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51EE38" w14:textId="77777777" w:rsidR="00BB24E8" w:rsidRPr="00BB24E8" w:rsidRDefault="00BB24E8" w:rsidP="001543AD">
      <w:pPr>
        <w:pStyle w:val="Title"/>
        <w:pBdr>
          <w:bottom w:val="none" w:sz="0" w:space="0" w:color="auto"/>
        </w:pBdr>
        <w:spacing w:after="240"/>
        <w:jc w:val="right"/>
        <w:rPr>
          <w:rFonts w:asciiTheme="minorHAnsi" w:hAnsiTheme="minorHAnsi" w:cstheme="minorHAnsi"/>
          <w:b/>
          <w:sz w:val="22"/>
          <w:szCs w:val="22"/>
          <w:lang w:val="en-US"/>
        </w:rPr>
      </w:pPr>
    </w:p>
    <w:p w14:paraId="572CD8F9" w14:textId="77777777" w:rsidR="00391FD9" w:rsidRDefault="00391FD9" w:rsidP="00391FD9">
      <w:pPr>
        <w:pStyle w:val="SubtitleCover"/>
        <w:pBdr>
          <w:top w:val="none" w:sz="0" w:space="0" w:color="auto"/>
        </w:pBdr>
      </w:pPr>
      <w:r w:rsidRPr="00124D91">
        <w:rPr>
          <w:noProof/>
          <w:lang w:val="en-AU" w:eastAsia="en-AU"/>
        </w:rPr>
        <w:drawing>
          <wp:inline distT="0" distB="0" distL="0" distR="0" wp14:anchorId="6674FF6A" wp14:editId="317769EA">
            <wp:extent cx="3684701" cy="1480541"/>
            <wp:effectExtent l="0" t="0" r="0" b="5715"/>
            <wp:docPr id="45" name="Picture 45"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CEO Admin\WORDDOCS\Logo\Town of East Fremantle_Logo_Landscape_Colour [HIGHRE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99545" cy="1486505"/>
                    </a:xfrm>
                    <a:prstGeom prst="rect">
                      <a:avLst/>
                    </a:prstGeom>
                    <a:noFill/>
                    <a:ln>
                      <a:noFill/>
                    </a:ln>
                  </pic:spPr>
                </pic:pic>
              </a:graphicData>
            </a:graphic>
          </wp:inline>
        </w:drawing>
      </w:r>
    </w:p>
    <w:p w14:paraId="6E8CA165" w14:textId="77777777" w:rsidR="00391FD9" w:rsidRDefault="00391FD9" w:rsidP="00391FD9">
      <w:pPr>
        <w:pStyle w:val="BodyText"/>
      </w:pPr>
    </w:p>
    <w:p w14:paraId="241890D6" w14:textId="77777777" w:rsidR="00391FD9" w:rsidRDefault="00391FD9" w:rsidP="00391FD9">
      <w:pPr>
        <w:pStyle w:val="BodyText"/>
      </w:pPr>
    </w:p>
    <w:p w14:paraId="5D792002" w14:textId="77777777" w:rsidR="00391FD9" w:rsidRDefault="00391FD9" w:rsidP="00391FD9">
      <w:pPr>
        <w:pStyle w:val="BodyText"/>
      </w:pPr>
    </w:p>
    <w:p w14:paraId="0ACDC465" w14:textId="77777777" w:rsidR="00391FD9" w:rsidRDefault="00391FD9" w:rsidP="00391FD9">
      <w:pPr>
        <w:pStyle w:val="BodyText"/>
      </w:pPr>
    </w:p>
    <w:p w14:paraId="12F41E1A" w14:textId="77777777" w:rsidR="00391FD9" w:rsidRDefault="00391FD9" w:rsidP="00391FD9">
      <w:pPr>
        <w:pStyle w:val="BodyText"/>
      </w:pPr>
    </w:p>
    <w:p w14:paraId="3A3382E5" w14:textId="77777777" w:rsidR="00391FD9" w:rsidRDefault="00391FD9" w:rsidP="00391FD9">
      <w:pPr>
        <w:pStyle w:val="BodyText"/>
      </w:pPr>
    </w:p>
    <w:p w14:paraId="65314E8D" w14:textId="77777777" w:rsidR="00391FD9" w:rsidRDefault="00391FD9" w:rsidP="00391FD9">
      <w:pPr>
        <w:pStyle w:val="TitleCover"/>
        <w:rPr>
          <w:rFonts w:ascii="Calibri" w:hAnsi="Calibri" w:cs="Calibri"/>
          <w:b/>
          <w:color w:val="1F497D"/>
          <w:sz w:val="96"/>
        </w:rPr>
      </w:pPr>
      <w:r>
        <w:rPr>
          <w:rFonts w:ascii="Calibri" w:hAnsi="Calibri" w:cs="Calibri"/>
          <w:b/>
          <w:color w:val="1F497D"/>
          <w:sz w:val="96"/>
        </w:rPr>
        <w:t>policy</w:t>
      </w:r>
    </w:p>
    <w:p w14:paraId="2F9F5C61" w14:textId="77777777" w:rsidR="00391FD9" w:rsidRPr="008D5B65" w:rsidRDefault="00391FD9" w:rsidP="00391FD9">
      <w:pPr>
        <w:pStyle w:val="TitleCover"/>
        <w:rPr>
          <w:rFonts w:ascii="Calibri" w:hAnsi="Calibri" w:cs="Calibri"/>
          <w:b/>
          <w:color w:val="1F497D"/>
          <w:sz w:val="96"/>
        </w:rPr>
      </w:pPr>
      <w:r w:rsidRPr="008D5B65">
        <w:rPr>
          <w:rFonts w:ascii="Calibri" w:hAnsi="Calibri" w:cs="Calibri"/>
          <w:b/>
          <w:color w:val="1F497D"/>
          <w:sz w:val="96"/>
        </w:rPr>
        <w:t>Register</w:t>
      </w:r>
    </w:p>
    <w:p w14:paraId="0FA7B0F6" w14:textId="77777777" w:rsidR="00391FD9" w:rsidRPr="00143586" w:rsidRDefault="00391FD9" w:rsidP="00391FD9">
      <w:pPr>
        <w:tabs>
          <w:tab w:val="left" w:pos="3969"/>
        </w:tabs>
        <w:spacing w:after="240"/>
        <w:rPr>
          <w:rFonts w:ascii="Arial" w:hAnsi="Arial" w:cs="Arial"/>
          <w:sz w:val="28"/>
        </w:rPr>
      </w:pPr>
    </w:p>
    <w:p w14:paraId="2F3C77EE" w14:textId="77777777" w:rsidR="00391FD9" w:rsidRDefault="00391FD9" w:rsidP="00391FD9">
      <w:pPr>
        <w:tabs>
          <w:tab w:val="left" w:pos="3969"/>
        </w:tabs>
        <w:spacing w:after="240"/>
        <w:rPr>
          <w:rFonts w:ascii="Arial" w:hAnsi="Arial" w:cs="Arial"/>
          <w:sz w:val="28"/>
        </w:rPr>
      </w:pPr>
    </w:p>
    <w:p w14:paraId="3DD19F88" w14:textId="77777777" w:rsidR="00BB24E8" w:rsidRDefault="00BB24E8" w:rsidP="00BB24E8">
      <w:pPr>
        <w:rPr>
          <w:lang w:val="en-US"/>
        </w:rPr>
      </w:pPr>
    </w:p>
    <w:p w14:paraId="2DE1F57B" w14:textId="77777777" w:rsidR="00707F63" w:rsidRDefault="00707F63" w:rsidP="00BB24E8">
      <w:pPr>
        <w:rPr>
          <w:lang w:val="en-US"/>
        </w:rPr>
      </w:pPr>
    </w:p>
    <w:p w14:paraId="509337B0" w14:textId="77777777" w:rsidR="00391FD9" w:rsidRDefault="00391FD9">
      <w:pPr>
        <w:rPr>
          <w:lang w:val="en-US"/>
        </w:rPr>
      </w:pPr>
      <w:r>
        <w:rPr>
          <w:lang w:val="en-US"/>
        </w:rPr>
        <w:br w:type="page"/>
      </w:r>
    </w:p>
    <w:p w14:paraId="3ACC4A22" w14:textId="77777777" w:rsidR="00391FD9" w:rsidRDefault="00391FD9" w:rsidP="00391FD9">
      <w:pPr>
        <w:tabs>
          <w:tab w:val="left" w:pos="1701"/>
          <w:tab w:val="right" w:pos="9637"/>
        </w:tabs>
        <w:jc w:val="both"/>
        <w:rPr>
          <w:rFonts w:ascii="Calibri" w:hAnsi="Calibri" w:cs="Calibri"/>
          <w:b/>
          <w:bCs/>
          <w:color w:val="1F497D"/>
          <w:sz w:val="24"/>
          <w:szCs w:val="18"/>
        </w:rPr>
      </w:pPr>
    </w:p>
    <w:p w14:paraId="4A44C31B" w14:textId="77777777" w:rsidR="00391FD9" w:rsidRDefault="00391FD9" w:rsidP="00391FD9">
      <w:pPr>
        <w:tabs>
          <w:tab w:val="left" w:pos="1701"/>
          <w:tab w:val="right" w:pos="9637"/>
        </w:tabs>
        <w:jc w:val="both"/>
        <w:rPr>
          <w:rFonts w:ascii="Calibri" w:hAnsi="Calibri" w:cs="Calibri"/>
          <w:b/>
          <w:bCs/>
          <w:color w:val="1F497D"/>
          <w:sz w:val="24"/>
          <w:szCs w:val="18"/>
        </w:rPr>
      </w:pPr>
      <w:r w:rsidRPr="00522F54">
        <w:rPr>
          <w:rFonts w:ascii="Calibri" w:hAnsi="Calibri" w:cs="Calibri"/>
          <w:b/>
          <w:bCs/>
          <w:color w:val="1F497D"/>
          <w:sz w:val="24"/>
          <w:szCs w:val="18"/>
        </w:rPr>
        <w:t>DOCUMENT CONTROL</w:t>
      </w:r>
    </w:p>
    <w:p w14:paraId="4AFDCAF5" w14:textId="77777777" w:rsidR="00391FD9" w:rsidRPr="00522F54" w:rsidRDefault="00391FD9" w:rsidP="00391FD9">
      <w:pPr>
        <w:tabs>
          <w:tab w:val="left" w:pos="1701"/>
          <w:tab w:val="right" w:pos="9637"/>
        </w:tabs>
        <w:jc w:val="both"/>
        <w:rPr>
          <w:rFonts w:ascii="Calibri" w:hAnsi="Calibri" w:cs="Calibri"/>
          <w:b/>
          <w:bCs/>
          <w:color w:val="1F497D"/>
          <w:sz w:val="24"/>
          <w:szCs w:val="18"/>
        </w:rPr>
      </w:pPr>
      <w:r>
        <w:rPr>
          <w:rFonts w:ascii="Calibri" w:hAnsi="Calibri" w:cs="Calibri"/>
          <w:b/>
          <w:bCs/>
          <w:color w:val="1F497D"/>
          <w:sz w:val="24"/>
          <w:szCs w:val="18"/>
        </w:rPr>
        <w:t xml:space="preserve">Register created in new format </w:t>
      </w:r>
      <w:r w:rsidR="00AF00FA">
        <w:rPr>
          <w:rFonts w:ascii="Calibri" w:hAnsi="Calibri" w:cs="Calibri"/>
          <w:b/>
          <w:bCs/>
          <w:color w:val="1F497D"/>
          <w:sz w:val="24"/>
          <w:szCs w:val="18"/>
        </w:rPr>
        <w:t xml:space="preserve">26 </w:t>
      </w:r>
      <w:r>
        <w:rPr>
          <w:rFonts w:ascii="Calibri" w:hAnsi="Calibri" w:cs="Calibri"/>
          <w:b/>
          <w:bCs/>
          <w:color w:val="1F497D"/>
          <w:sz w:val="24"/>
          <w:szCs w:val="18"/>
        </w:rPr>
        <w:t>July 2019 (Document Version 1)</w:t>
      </w:r>
    </w:p>
    <w:tbl>
      <w:tblPr>
        <w:tblW w:w="9067" w:type="dxa"/>
        <w:tblBorders>
          <w:top w:val="single" w:sz="4" w:space="0" w:color="548DD4"/>
          <w:left w:val="single" w:sz="4" w:space="0" w:color="548DD4"/>
          <w:bottom w:val="single" w:sz="4" w:space="0" w:color="548DD4"/>
          <w:right w:val="single" w:sz="4" w:space="0" w:color="548DD4"/>
          <w:insideH w:val="single" w:sz="6" w:space="0" w:color="548DD4"/>
          <w:insideV w:val="single" w:sz="6" w:space="0" w:color="548DD4"/>
        </w:tblBorders>
        <w:tblLook w:val="04A0" w:firstRow="1" w:lastRow="0" w:firstColumn="1" w:lastColumn="0" w:noHBand="0" w:noVBand="1"/>
      </w:tblPr>
      <w:tblGrid>
        <w:gridCol w:w="1242"/>
        <w:gridCol w:w="1872"/>
        <w:gridCol w:w="5953"/>
      </w:tblGrid>
      <w:tr w:rsidR="00391FD9" w:rsidRPr="00522F54" w14:paraId="4FB73A53" w14:textId="77777777" w:rsidTr="00413AC7">
        <w:tc>
          <w:tcPr>
            <w:tcW w:w="9067" w:type="dxa"/>
            <w:gridSpan w:val="3"/>
            <w:shd w:val="clear" w:color="auto" w:fill="8DB3E2"/>
          </w:tcPr>
          <w:p w14:paraId="05600547" w14:textId="77777777" w:rsidR="00391FD9" w:rsidRPr="00522F54" w:rsidRDefault="00391FD9" w:rsidP="00FA5404">
            <w:pPr>
              <w:tabs>
                <w:tab w:val="left" w:pos="1701"/>
                <w:tab w:val="right" w:pos="9637"/>
              </w:tabs>
              <w:jc w:val="center"/>
              <w:rPr>
                <w:rFonts w:ascii="Calibri" w:hAnsi="Calibri" w:cs="Calibri"/>
                <w:b/>
                <w:bCs/>
                <w:color w:val="1F497D"/>
                <w:sz w:val="20"/>
              </w:rPr>
            </w:pPr>
            <w:r w:rsidRPr="00522F54">
              <w:rPr>
                <w:rFonts w:ascii="Calibri" w:hAnsi="Calibri" w:cs="Calibri"/>
                <w:b/>
                <w:bCs/>
                <w:color w:val="1F497D"/>
                <w:sz w:val="20"/>
              </w:rPr>
              <w:t>AMENDMENTS</w:t>
            </w:r>
          </w:p>
        </w:tc>
      </w:tr>
      <w:tr w:rsidR="00391FD9" w:rsidRPr="00522F54" w14:paraId="469AB1F5" w14:textId="77777777" w:rsidTr="00413AC7">
        <w:tc>
          <w:tcPr>
            <w:tcW w:w="1242" w:type="dxa"/>
            <w:shd w:val="clear" w:color="auto" w:fill="auto"/>
          </w:tcPr>
          <w:p w14:paraId="43457192" w14:textId="77777777" w:rsidR="00391FD9" w:rsidRPr="00522F54" w:rsidRDefault="00391FD9" w:rsidP="00413AC7">
            <w:pPr>
              <w:tabs>
                <w:tab w:val="left" w:pos="1701"/>
                <w:tab w:val="right" w:pos="9637"/>
              </w:tabs>
              <w:spacing w:after="0"/>
              <w:jc w:val="both"/>
              <w:rPr>
                <w:rFonts w:ascii="Calibri" w:hAnsi="Calibri" w:cs="Calibri"/>
                <w:b/>
                <w:bCs/>
                <w:color w:val="1F497D"/>
                <w:sz w:val="20"/>
              </w:rPr>
            </w:pPr>
            <w:r w:rsidRPr="00522F54">
              <w:rPr>
                <w:rFonts w:ascii="Calibri" w:hAnsi="Calibri" w:cs="Calibri"/>
                <w:b/>
                <w:bCs/>
                <w:color w:val="1F497D"/>
                <w:sz w:val="20"/>
              </w:rPr>
              <w:t>Document Version</w:t>
            </w:r>
          </w:p>
        </w:tc>
        <w:tc>
          <w:tcPr>
            <w:tcW w:w="1872" w:type="dxa"/>
            <w:shd w:val="clear" w:color="auto" w:fill="auto"/>
            <w:vAlign w:val="center"/>
          </w:tcPr>
          <w:p w14:paraId="5A22CBB3" w14:textId="77777777" w:rsidR="00391FD9" w:rsidRPr="00522F54" w:rsidRDefault="00391FD9" w:rsidP="00413AC7">
            <w:pPr>
              <w:tabs>
                <w:tab w:val="left" w:pos="1701"/>
                <w:tab w:val="right" w:pos="9637"/>
              </w:tabs>
              <w:spacing w:after="0"/>
              <w:rPr>
                <w:rFonts w:ascii="Calibri" w:hAnsi="Calibri" w:cs="Calibri"/>
                <w:b/>
                <w:bCs/>
                <w:color w:val="1F497D"/>
                <w:sz w:val="20"/>
              </w:rPr>
            </w:pPr>
            <w:r w:rsidRPr="00522F54">
              <w:rPr>
                <w:rFonts w:ascii="Calibri" w:hAnsi="Calibri" w:cs="Calibri"/>
                <w:b/>
                <w:bCs/>
                <w:color w:val="1F497D"/>
                <w:sz w:val="20"/>
              </w:rPr>
              <w:t>Date of Amendment</w:t>
            </w:r>
          </w:p>
        </w:tc>
        <w:tc>
          <w:tcPr>
            <w:tcW w:w="5953" w:type="dxa"/>
            <w:shd w:val="clear" w:color="auto" w:fill="auto"/>
            <w:vAlign w:val="center"/>
          </w:tcPr>
          <w:p w14:paraId="03ED6DD2" w14:textId="77777777" w:rsidR="00391FD9" w:rsidRPr="00522F54" w:rsidRDefault="00391FD9" w:rsidP="00413AC7">
            <w:pPr>
              <w:tabs>
                <w:tab w:val="left" w:pos="1701"/>
                <w:tab w:val="right" w:pos="9637"/>
              </w:tabs>
              <w:spacing w:after="0"/>
              <w:rPr>
                <w:rFonts w:ascii="Calibri" w:hAnsi="Calibri" w:cs="Calibri"/>
                <w:b/>
                <w:bCs/>
                <w:color w:val="1F497D"/>
                <w:sz w:val="20"/>
              </w:rPr>
            </w:pPr>
            <w:r w:rsidRPr="00522F54">
              <w:rPr>
                <w:rFonts w:ascii="Calibri" w:hAnsi="Calibri" w:cs="Calibri"/>
                <w:b/>
                <w:bCs/>
                <w:color w:val="1F497D"/>
                <w:sz w:val="20"/>
              </w:rPr>
              <w:t>Amendment details</w:t>
            </w:r>
          </w:p>
        </w:tc>
      </w:tr>
      <w:tr w:rsidR="00391FD9" w:rsidRPr="00522F54" w14:paraId="0D4B189F" w14:textId="77777777" w:rsidTr="00413AC7">
        <w:tc>
          <w:tcPr>
            <w:tcW w:w="1242" w:type="dxa"/>
            <w:shd w:val="clear" w:color="auto" w:fill="auto"/>
          </w:tcPr>
          <w:p w14:paraId="37A9E556" w14:textId="77777777" w:rsidR="00391FD9" w:rsidRPr="00522F54" w:rsidRDefault="00EA0D1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w:t>
            </w:r>
          </w:p>
        </w:tc>
        <w:tc>
          <w:tcPr>
            <w:tcW w:w="1872" w:type="dxa"/>
            <w:shd w:val="clear" w:color="auto" w:fill="auto"/>
          </w:tcPr>
          <w:p w14:paraId="0BCFEC36" w14:textId="77777777" w:rsidR="00391FD9" w:rsidRPr="00522F54" w:rsidRDefault="00EA0D1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20 August 2019</w:t>
            </w:r>
          </w:p>
        </w:tc>
        <w:tc>
          <w:tcPr>
            <w:tcW w:w="5953" w:type="dxa"/>
            <w:shd w:val="clear" w:color="auto" w:fill="auto"/>
          </w:tcPr>
          <w:p w14:paraId="42A59089" w14:textId="77777777" w:rsidR="00EA0D1A" w:rsidRDefault="00EA0D1A" w:rsidP="00EA0D1A">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Amendments to:</w:t>
            </w:r>
          </w:p>
          <w:p w14:paraId="64A6A518" w14:textId="77777777" w:rsidR="00391FD9" w:rsidRPr="00413AC7" w:rsidRDefault="00EA0D1A" w:rsidP="00EA0D1A">
            <w:pPr>
              <w:tabs>
                <w:tab w:val="left" w:pos="1701"/>
                <w:tab w:val="right" w:pos="9637"/>
              </w:tabs>
              <w:spacing w:after="0"/>
              <w:jc w:val="both"/>
              <w:rPr>
                <w:rFonts w:ascii="Calibri" w:hAnsi="Calibri" w:cs="Calibri"/>
                <w:b/>
                <w:bCs/>
                <w:color w:val="1F497D"/>
                <w:sz w:val="20"/>
              </w:rPr>
            </w:pPr>
            <w:r w:rsidRPr="00413AC7">
              <w:rPr>
                <w:rFonts w:ascii="Calibri" w:hAnsi="Calibri" w:cs="Calibri"/>
                <w:b/>
                <w:bCs/>
                <w:color w:val="1F497D"/>
                <w:sz w:val="20"/>
              </w:rPr>
              <w:t>2.1.9 Parking Infringement Appeal</w:t>
            </w:r>
          </w:p>
          <w:p w14:paraId="681874F0" w14:textId="77777777" w:rsidR="00EA0D1A" w:rsidRPr="00522F54" w:rsidRDefault="00EA0D1A" w:rsidP="00EA0D1A">
            <w:pPr>
              <w:tabs>
                <w:tab w:val="left" w:pos="1701"/>
                <w:tab w:val="right" w:pos="9637"/>
              </w:tabs>
              <w:spacing w:after="0"/>
              <w:jc w:val="both"/>
              <w:rPr>
                <w:rFonts w:ascii="Calibri" w:hAnsi="Calibri" w:cs="Calibri"/>
                <w:bCs/>
                <w:color w:val="1F497D"/>
                <w:sz w:val="20"/>
              </w:rPr>
            </w:pPr>
            <w:r w:rsidRPr="00413AC7">
              <w:rPr>
                <w:rFonts w:ascii="Calibri" w:hAnsi="Calibri" w:cs="Calibri"/>
                <w:b/>
                <w:bCs/>
                <w:color w:val="1F497D"/>
                <w:sz w:val="20"/>
              </w:rPr>
              <w:t>2.1.10 Infringement Debt Management</w:t>
            </w:r>
          </w:p>
        </w:tc>
      </w:tr>
      <w:tr w:rsidR="00391FD9" w:rsidRPr="00522F54" w14:paraId="3174FC8B" w14:textId="77777777" w:rsidTr="00413AC7">
        <w:tc>
          <w:tcPr>
            <w:tcW w:w="1242" w:type="dxa"/>
            <w:shd w:val="clear" w:color="auto" w:fill="auto"/>
          </w:tcPr>
          <w:p w14:paraId="14FC41CA" w14:textId="77777777" w:rsidR="00391FD9" w:rsidRPr="00522F54" w:rsidRDefault="00B32822"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w:t>
            </w:r>
          </w:p>
        </w:tc>
        <w:tc>
          <w:tcPr>
            <w:tcW w:w="1872" w:type="dxa"/>
            <w:shd w:val="clear" w:color="auto" w:fill="auto"/>
          </w:tcPr>
          <w:p w14:paraId="2C749470" w14:textId="77777777" w:rsidR="00391FD9" w:rsidRPr="00522F54" w:rsidRDefault="00B32822"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17 September 2019</w:t>
            </w:r>
          </w:p>
        </w:tc>
        <w:tc>
          <w:tcPr>
            <w:tcW w:w="5953" w:type="dxa"/>
            <w:shd w:val="clear" w:color="auto" w:fill="auto"/>
          </w:tcPr>
          <w:p w14:paraId="0F6F4D0E" w14:textId="77777777" w:rsidR="00391FD9" w:rsidRDefault="00B32822" w:rsidP="00440F47">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Amendments to:</w:t>
            </w:r>
          </w:p>
          <w:p w14:paraId="3BEBC6B0" w14:textId="77777777" w:rsidR="00440F47" w:rsidRPr="00413AC7" w:rsidRDefault="00440F47" w:rsidP="00440F47">
            <w:pPr>
              <w:tabs>
                <w:tab w:val="left" w:pos="1701"/>
                <w:tab w:val="right" w:pos="9637"/>
              </w:tabs>
              <w:spacing w:after="0"/>
              <w:jc w:val="both"/>
              <w:rPr>
                <w:rFonts w:ascii="Calibri" w:hAnsi="Calibri" w:cs="Calibri"/>
                <w:b/>
                <w:bCs/>
                <w:color w:val="1F497D"/>
                <w:sz w:val="20"/>
              </w:rPr>
            </w:pPr>
            <w:r w:rsidRPr="00413AC7">
              <w:rPr>
                <w:rFonts w:ascii="Calibri" w:hAnsi="Calibri" w:cs="Calibri"/>
                <w:b/>
                <w:bCs/>
                <w:color w:val="1F497D"/>
                <w:sz w:val="20"/>
              </w:rPr>
              <w:t>1.2.2 CEO Leave Approval</w:t>
            </w:r>
          </w:p>
          <w:p w14:paraId="5F32150B" w14:textId="77777777" w:rsidR="00440F47" w:rsidRDefault="00440F47" w:rsidP="00440F47">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Deletion of “5 days executive leave”</w:t>
            </w:r>
          </w:p>
          <w:p w14:paraId="1F5E2F4C" w14:textId="77777777" w:rsidR="00440F47" w:rsidRPr="00413AC7" w:rsidRDefault="00440F47" w:rsidP="00440F47">
            <w:pPr>
              <w:tabs>
                <w:tab w:val="left" w:pos="1701"/>
                <w:tab w:val="right" w:pos="9637"/>
              </w:tabs>
              <w:spacing w:after="0"/>
              <w:jc w:val="both"/>
              <w:rPr>
                <w:rFonts w:ascii="Calibri" w:hAnsi="Calibri" w:cs="Calibri"/>
                <w:b/>
                <w:bCs/>
                <w:color w:val="1F497D"/>
                <w:sz w:val="20"/>
              </w:rPr>
            </w:pPr>
            <w:r w:rsidRPr="00413AC7">
              <w:rPr>
                <w:rFonts w:ascii="Calibri" w:hAnsi="Calibri" w:cs="Calibri"/>
                <w:b/>
                <w:bCs/>
                <w:color w:val="1F497D"/>
                <w:sz w:val="20"/>
              </w:rPr>
              <w:t>1.2.5 Staff Education and Study Leave</w:t>
            </w:r>
          </w:p>
          <w:p w14:paraId="7B494A73" w14:textId="77777777" w:rsidR="00440F47" w:rsidRPr="00440F47" w:rsidRDefault="00440F47" w:rsidP="002A3889">
            <w:pPr>
              <w:pStyle w:val="ListParagraph"/>
              <w:numPr>
                <w:ilvl w:val="0"/>
                <w:numId w:val="370"/>
              </w:numPr>
              <w:tabs>
                <w:tab w:val="left" w:pos="1701"/>
                <w:tab w:val="right" w:pos="9637"/>
              </w:tabs>
              <w:spacing w:after="0"/>
              <w:ind w:left="212" w:hanging="212"/>
              <w:jc w:val="both"/>
              <w:rPr>
                <w:rFonts w:ascii="Calibri" w:hAnsi="Calibri" w:cs="Calibri"/>
                <w:bCs/>
                <w:color w:val="1F497D"/>
                <w:sz w:val="20"/>
              </w:rPr>
            </w:pPr>
            <w:r w:rsidRPr="00440F47">
              <w:rPr>
                <w:rFonts w:ascii="Calibri" w:hAnsi="Calibri" w:cs="Calibri"/>
                <w:bCs/>
                <w:color w:val="1F497D"/>
                <w:sz w:val="20"/>
              </w:rPr>
              <w:t>Amended eligibility for study assistance to “completion of 12 months service”.</w:t>
            </w:r>
          </w:p>
          <w:p w14:paraId="45BA27CC" w14:textId="77777777" w:rsidR="00440F47" w:rsidRDefault="00440F47" w:rsidP="002A3889">
            <w:pPr>
              <w:pStyle w:val="ListParagraph"/>
              <w:numPr>
                <w:ilvl w:val="0"/>
                <w:numId w:val="370"/>
              </w:numPr>
              <w:tabs>
                <w:tab w:val="left" w:pos="1701"/>
                <w:tab w:val="right" w:pos="9637"/>
              </w:tabs>
              <w:spacing w:after="0"/>
              <w:ind w:left="212" w:hanging="212"/>
              <w:jc w:val="both"/>
              <w:rPr>
                <w:rFonts w:ascii="Calibri" w:hAnsi="Calibri" w:cs="Calibri"/>
                <w:bCs/>
                <w:color w:val="1F497D"/>
                <w:sz w:val="20"/>
              </w:rPr>
            </w:pPr>
            <w:r w:rsidRPr="00440F47">
              <w:rPr>
                <w:rFonts w:ascii="Calibri" w:hAnsi="Calibri" w:cs="Calibri"/>
                <w:bCs/>
                <w:color w:val="1F497D"/>
                <w:sz w:val="20"/>
              </w:rPr>
              <w:t xml:space="preserve">Inserted maximum of “up to $2,500” for reimbursement of education fees. </w:t>
            </w:r>
          </w:p>
          <w:p w14:paraId="11958711" w14:textId="77777777" w:rsidR="00440F47" w:rsidRPr="00413AC7" w:rsidRDefault="00440F47" w:rsidP="00440F47">
            <w:pPr>
              <w:tabs>
                <w:tab w:val="left" w:pos="1701"/>
                <w:tab w:val="right" w:pos="9637"/>
              </w:tabs>
              <w:spacing w:after="0"/>
              <w:jc w:val="both"/>
              <w:rPr>
                <w:rFonts w:ascii="Calibri" w:hAnsi="Calibri" w:cs="Calibri"/>
                <w:b/>
                <w:bCs/>
                <w:color w:val="1F497D"/>
                <w:sz w:val="20"/>
              </w:rPr>
            </w:pPr>
            <w:r w:rsidRPr="00413AC7">
              <w:rPr>
                <w:rFonts w:ascii="Calibri" w:hAnsi="Calibri" w:cs="Calibri"/>
                <w:b/>
                <w:bCs/>
                <w:color w:val="1F497D"/>
                <w:sz w:val="20"/>
              </w:rPr>
              <w:t>2.1.3 Purchasing</w:t>
            </w:r>
          </w:p>
          <w:p w14:paraId="306B555E" w14:textId="77777777" w:rsidR="00440F47" w:rsidRPr="00440F47" w:rsidRDefault="00440F47" w:rsidP="00440F47">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Inclusion of assessment criteria for purchases over $20,001 and up to $50,000</w:t>
            </w:r>
          </w:p>
          <w:p w14:paraId="20B6C7D9" w14:textId="77777777" w:rsidR="00FA7A52" w:rsidRPr="00413AC7" w:rsidRDefault="00440F47" w:rsidP="00440F47">
            <w:pPr>
              <w:tabs>
                <w:tab w:val="left" w:pos="1701"/>
                <w:tab w:val="right" w:pos="9637"/>
              </w:tabs>
              <w:spacing w:after="0"/>
              <w:jc w:val="both"/>
              <w:rPr>
                <w:rFonts w:ascii="Calibri" w:hAnsi="Calibri" w:cs="Calibri"/>
                <w:b/>
                <w:bCs/>
                <w:color w:val="1F497D"/>
                <w:sz w:val="20"/>
              </w:rPr>
            </w:pPr>
            <w:r w:rsidRPr="00413AC7">
              <w:rPr>
                <w:rFonts w:ascii="Calibri" w:hAnsi="Calibri" w:cs="Calibri"/>
                <w:b/>
                <w:bCs/>
                <w:color w:val="1F497D"/>
                <w:sz w:val="20"/>
              </w:rPr>
              <w:t>2.1.9 Parking Infringement Appeals</w:t>
            </w:r>
          </w:p>
          <w:p w14:paraId="1F1D9B5D" w14:textId="77777777" w:rsidR="00440F47" w:rsidRPr="00440F47" w:rsidRDefault="00440F47" w:rsidP="002A3889">
            <w:pPr>
              <w:pStyle w:val="ListParagraph"/>
              <w:numPr>
                <w:ilvl w:val="0"/>
                <w:numId w:val="371"/>
              </w:numPr>
              <w:tabs>
                <w:tab w:val="left" w:pos="1701"/>
                <w:tab w:val="right" w:pos="9637"/>
              </w:tabs>
              <w:spacing w:after="0"/>
              <w:ind w:left="178" w:hanging="178"/>
              <w:jc w:val="both"/>
              <w:rPr>
                <w:rFonts w:ascii="Calibri" w:hAnsi="Calibri" w:cs="Calibri"/>
                <w:bCs/>
                <w:color w:val="1F497D"/>
                <w:sz w:val="20"/>
              </w:rPr>
            </w:pPr>
            <w:r w:rsidRPr="00440F47">
              <w:rPr>
                <w:rFonts w:ascii="Calibri" w:hAnsi="Calibri" w:cs="Calibri"/>
                <w:bCs/>
                <w:color w:val="1F497D"/>
                <w:sz w:val="20"/>
              </w:rPr>
              <w:t>Insertion of methods for lodging an appeal</w:t>
            </w:r>
          </w:p>
          <w:p w14:paraId="4DDDF5DB" w14:textId="77777777" w:rsidR="00440F47" w:rsidRPr="00440F47" w:rsidRDefault="00440F47" w:rsidP="002A3889">
            <w:pPr>
              <w:pStyle w:val="ListParagraph"/>
              <w:numPr>
                <w:ilvl w:val="0"/>
                <w:numId w:val="371"/>
              </w:numPr>
              <w:tabs>
                <w:tab w:val="left" w:pos="1701"/>
                <w:tab w:val="right" w:pos="9637"/>
              </w:tabs>
              <w:spacing w:after="0"/>
              <w:ind w:left="178" w:hanging="178"/>
              <w:jc w:val="both"/>
              <w:rPr>
                <w:rFonts w:ascii="Calibri" w:hAnsi="Calibri" w:cs="Calibri"/>
                <w:bCs/>
                <w:color w:val="1F497D"/>
                <w:sz w:val="20"/>
              </w:rPr>
            </w:pPr>
            <w:r w:rsidRPr="00440F47">
              <w:rPr>
                <w:rFonts w:ascii="Calibri" w:hAnsi="Calibri" w:cs="Calibri"/>
                <w:bCs/>
                <w:color w:val="1F497D"/>
                <w:sz w:val="20"/>
              </w:rPr>
              <w:t>Leniency period increased from 10 to 15 mins for exceeding a time limit</w:t>
            </w:r>
          </w:p>
          <w:p w14:paraId="572DBFCE" w14:textId="77777777" w:rsidR="00440F47" w:rsidRPr="00440F47" w:rsidRDefault="00440F47" w:rsidP="002A3889">
            <w:pPr>
              <w:pStyle w:val="ListParagraph"/>
              <w:numPr>
                <w:ilvl w:val="0"/>
                <w:numId w:val="371"/>
              </w:numPr>
              <w:tabs>
                <w:tab w:val="left" w:pos="1701"/>
                <w:tab w:val="right" w:pos="9637"/>
              </w:tabs>
              <w:spacing w:after="0"/>
              <w:ind w:left="178" w:hanging="178"/>
              <w:jc w:val="both"/>
              <w:rPr>
                <w:rFonts w:ascii="Calibri" w:hAnsi="Calibri" w:cs="Calibri"/>
                <w:bCs/>
                <w:color w:val="1F497D"/>
                <w:sz w:val="20"/>
              </w:rPr>
            </w:pPr>
            <w:r w:rsidRPr="00440F47">
              <w:rPr>
                <w:rFonts w:ascii="Calibri" w:hAnsi="Calibri" w:cs="Calibri"/>
                <w:bCs/>
                <w:color w:val="1F497D"/>
                <w:sz w:val="20"/>
              </w:rPr>
              <w:t>Failure to display a ticket (where proof of purchase is provided) to be included as a circumstance where infringement may be withdrawn.</w:t>
            </w:r>
          </w:p>
          <w:p w14:paraId="1124153C" w14:textId="77777777" w:rsidR="00440F47" w:rsidRPr="00413AC7" w:rsidRDefault="00440F47" w:rsidP="00440F47">
            <w:pPr>
              <w:tabs>
                <w:tab w:val="left" w:pos="1701"/>
                <w:tab w:val="right" w:pos="9637"/>
              </w:tabs>
              <w:spacing w:after="0"/>
              <w:jc w:val="both"/>
              <w:rPr>
                <w:rFonts w:ascii="Calibri" w:hAnsi="Calibri" w:cs="Calibri"/>
                <w:b/>
                <w:bCs/>
                <w:color w:val="1F497D"/>
                <w:sz w:val="20"/>
              </w:rPr>
            </w:pPr>
            <w:r w:rsidRPr="00413AC7">
              <w:rPr>
                <w:rFonts w:ascii="Calibri" w:hAnsi="Calibri" w:cs="Calibri"/>
                <w:b/>
                <w:bCs/>
                <w:color w:val="1F497D"/>
                <w:sz w:val="20"/>
              </w:rPr>
              <w:t xml:space="preserve">2.1.10 Infringement Debt Management </w:t>
            </w:r>
          </w:p>
          <w:p w14:paraId="304F58A5" w14:textId="77777777" w:rsidR="00440F47" w:rsidRPr="00440F47" w:rsidRDefault="00440F47" w:rsidP="002A3889">
            <w:pPr>
              <w:pStyle w:val="ListParagraph"/>
              <w:numPr>
                <w:ilvl w:val="0"/>
                <w:numId w:val="372"/>
              </w:numPr>
              <w:tabs>
                <w:tab w:val="left" w:pos="1701"/>
                <w:tab w:val="right" w:pos="9637"/>
              </w:tabs>
              <w:spacing w:after="0"/>
              <w:ind w:left="178" w:hanging="178"/>
              <w:jc w:val="both"/>
              <w:rPr>
                <w:rFonts w:ascii="Calibri" w:hAnsi="Calibri" w:cs="Calibri"/>
                <w:bCs/>
                <w:color w:val="1F497D"/>
                <w:sz w:val="20"/>
              </w:rPr>
            </w:pPr>
            <w:r w:rsidRPr="00440F47">
              <w:rPr>
                <w:rFonts w:ascii="Calibri" w:hAnsi="Calibri" w:cs="Calibri"/>
                <w:bCs/>
                <w:color w:val="1F497D"/>
                <w:sz w:val="20"/>
              </w:rPr>
              <w:t>Removal of information duplicated in Policy 2.1.9</w:t>
            </w:r>
          </w:p>
          <w:p w14:paraId="6F086E1B" w14:textId="77777777" w:rsidR="00B32822" w:rsidRPr="00413AC7" w:rsidRDefault="00440F47" w:rsidP="002A3889">
            <w:pPr>
              <w:pStyle w:val="ListParagraph"/>
              <w:numPr>
                <w:ilvl w:val="0"/>
                <w:numId w:val="372"/>
              </w:numPr>
              <w:tabs>
                <w:tab w:val="left" w:pos="1701"/>
                <w:tab w:val="right" w:pos="9637"/>
              </w:tabs>
              <w:spacing w:after="0"/>
              <w:ind w:left="178" w:hanging="178"/>
              <w:jc w:val="both"/>
              <w:rPr>
                <w:rFonts w:ascii="Calibri" w:hAnsi="Calibri" w:cs="Calibri"/>
                <w:bCs/>
                <w:color w:val="1F497D"/>
                <w:sz w:val="20"/>
              </w:rPr>
            </w:pPr>
            <w:r w:rsidRPr="00440F47">
              <w:rPr>
                <w:rFonts w:ascii="Calibri" w:hAnsi="Calibri" w:cs="Calibri"/>
                <w:bCs/>
                <w:color w:val="1F497D"/>
                <w:sz w:val="20"/>
              </w:rPr>
              <w:t xml:space="preserve">Slight amendment to management reporting requirements. </w:t>
            </w:r>
          </w:p>
        </w:tc>
      </w:tr>
      <w:tr w:rsidR="00391FD9" w:rsidRPr="00522F54" w14:paraId="1AAC1BC1" w14:textId="77777777" w:rsidTr="00413AC7">
        <w:trPr>
          <w:trHeight w:val="65"/>
        </w:trPr>
        <w:tc>
          <w:tcPr>
            <w:tcW w:w="1242" w:type="dxa"/>
            <w:shd w:val="clear" w:color="auto" w:fill="auto"/>
          </w:tcPr>
          <w:p w14:paraId="7009285A" w14:textId="77777777" w:rsidR="00391FD9" w:rsidRPr="00522F54" w:rsidRDefault="00A36126"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4</w:t>
            </w:r>
          </w:p>
        </w:tc>
        <w:tc>
          <w:tcPr>
            <w:tcW w:w="1872" w:type="dxa"/>
            <w:shd w:val="clear" w:color="auto" w:fill="auto"/>
          </w:tcPr>
          <w:p w14:paraId="2A5DE5F4" w14:textId="77777777" w:rsidR="00391FD9" w:rsidRPr="00522F54" w:rsidRDefault="00A36126"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15 October 2019</w:t>
            </w:r>
          </w:p>
        </w:tc>
        <w:tc>
          <w:tcPr>
            <w:tcW w:w="5953" w:type="dxa"/>
            <w:shd w:val="clear" w:color="auto" w:fill="auto"/>
          </w:tcPr>
          <w:p w14:paraId="6F4B92C9" w14:textId="77777777" w:rsidR="00391FD9" w:rsidRDefault="00A36126" w:rsidP="00A36126">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Amendments to:</w:t>
            </w:r>
          </w:p>
          <w:p w14:paraId="414B1E5C" w14:textId="77777777" w:rsidR="00A36126" w:rsidRDefault="00A36126" w:rsidP="00A36126">
            <w:pPr>
              <w:tabs>
                <w:tab w:val="left" w:pos="1701"/>
                <w:tab w:val="right" w:pos="9637"/>
              </w:tabs>
              <w:spacing w:after="0"/>
              <w:jc w:val="both"/>
              <w:rPr>
                <w:rFonts w:ascii="Calibri" w:hAnsi="Calibri" w:cs="Calibri"/>
                <w:b/>
                <w:bCs/>
                <w:color w:val="1F497D"/>
                <w:sz w:val="20"/>
              </w:rPr>
            </w:pPr>
            <w:r>
              <w:rPr>
                <w:rFonts w:ascii="Calibri" w:hAnsi="Calibri" w:cs="Calibri"/>
                <w:b/>
                <w:bCs/>
                <w:color w:val="1F497D"/>
                <w:sz w:val="20"/>
              </w:rPr>
              <w:t>3.1.5 Community Design Advisory Committee</w:t>
            </w:r>
          </w:p>
          <w:p w14:paraId="79D87447" w14:textId="77777777" w:rsidR="00A36126" w:rsidRPr="00A36126" w:rsidRDefault="00A36126" w:rsidP="002A3889">
            <w:pPr>
              <w:pStyle w:val="ListParagraph"/>
              <w:numPr>
                <w:ilvl w:val="0"/>
                <w:numId w:val="373"/>
              </w:numPr>
              <w:tabs>
                <w:tab w:val="left" w:pos="1701"/>
                <w:tab w:val="right" w:pos="9637"/>
              </w:tabs>
              <w:spacing w:after="0"/>
              <w:ind w:left="177" w:hanging="141"/>
              <w:jc w:val="both"/>
              <w:rPr>
                <w:rFonts w:ascii="Calibri" w:hAnsi="Calibri" w:cs="Calibri"/>
                <w:bCs/>
                <w:color w:val="1F497D"/>
                <w:sz w:val="20"/>
              </w:rPr>
            </w:pPr>
            <w:r w:rsidRPr="00A36126">
              <w:rPr>
                <w:rFonts w:ascii="Calibri" w:hAnsi="Calibri" w:cs="Calibri"/>
                <w:bCs/>
                <w:color w:val="1F497D"/>
                <w:sz w:val="20"/>
              </w:rPr>
              <w:t>Addition of points 5 and 6 under “Code of Conduct” heading</w:t>
            </w:r>
          </w:p>
          <w:p w14:paraId="7FF1C538" w14:textId="77777777" w:rsidR="00A36126" w:rsidRPr="00A36126" w:rsidRDefault="00A36126" w:rsidP="002A3889">
            <w:pPr>
              <w:pStyle w:val="ListParagraph"/>
              <w:numPr>
                <w:ilvl w:val="0"/>
                <w:numId w:val="373"/>
              </w:numPr>
              <w:tabs>
                <w:tab w:val="left" w:pos="1701"/>
                <w:tab w:val="right" w:pos="9637"/>
              </w:tabs>
              <w:spacing w:after="0"/>
              <w:ind w:left="177" w:hanging="141"/>
              <w:jc w:val="both"/>
              <w:rPr>
                <w:rFonts w:ascii="Calibri" w:hAnsi="Calibri" w:cs="Calibri"/>
                <w:bCs/>
                <w:color w:val="1F497D"/>
                <w:sz w:val="20"/>
              </w:rPr>
            </w:pPr>
            <w:r w:rsidRPr="00A36126">
              <w:rPr>
                <w:rFonts w:ascii="Calibri" w:hAnsi="Calibri" w:cs="Calibri"/>
                <w:bCs/>
                <w:color w:val="1F497D"/>
                <w:sz w:val="20"/>
              </w:rPr>
              <w:t>Various minor grammatical errors</w:t>
            </w:r>
          </w:p>
          <w:p w14:paraId="7927F83E" w14:textId="77777777" w:rsidR="00A36126" w:rsidRPr="00A36126" w:rsidRDefault="00A36126" w:rsidP="00A36126">
            <w:pPr>
              <w:tabs>
                <w:tab w:val="left" w:pos="1701"/>
                <w:tab w:val="right" w:pos="9637"/>
              </w:tabs>
              <w:spacing w:after="0"/>
              <w:jc w:val="both"/>
              <w:rPr>
                <w:rFonts w:ascii="Calibri" w:hAnsi="Calibri" w:cs="Calibri"/>
                <w:b/>
                <w:bCs/>
                <w:color w:val="1F497D"/>
                <w:sz w:val="20"/>
              </w:rPr>
            </w:pPr>
            <w:r w:rsidRPr="00A36126">
              <w:rPr>
                <w:rFonts w:ascii="Calibri" w:hAnsi="Calibri" w:cs="Calibri"/>
                <w:b/>
                <w:bCs/>
                <w:color w:val="1F497D"/>
                <w:sz w:val="20"/>
              </w:rPr>
              <w:t>3.1.7 Wood Encouragement – Council</w:t>
            </w:r>
          </w:p>
          <w:p w14:paraId="0D6B48F4" w14:textId="77777777" w:rsidR="00A36126" w:rsidRPr="00A36126" w:rsidRDefault="00A36126" w:rsidP="002A3889">
            <w:pPr>
              <w:pStyle w:val="ListParagraph"/>
              <w:numPr>
                <w:ilvl w:val="0"/>
                <w:numId w:val="374"/>
              </w:numPr>
              <w:tabs>
                <w:tab w:val="left" w:pos="1701"/>
                <w:tab w:val="right" w:pos="9637"/>
              </w:tabs>
              <w:spacing w:after="0"/>
              <w:ind w:left="177" w:hanging="141"/>
              <w:jc w:val="both"/>
              <w:rPr>
                <w:rFonts w:ascii="Calibri" w:hAnsi="Calibri" w:cs="Calibri"/>
                <w:bCs/>
                <w:color w:val="1F497D"/>
                <w:sz w:val="20"/>
              </w:rPr>
            </w:pPr>
            <w:r w:rsidRPr="00A36126">
              <w:rPr>
                <w:rFonts w:ascii="Calibri" w:hAnsi="Calibri" w:cs="Calibri"/>
                <w:bCs/>
                <w:color w:val="1F497D"/>
                <w:sz w:val="20"/>
              </w:rPr>
              <w:t>Insertion of Local Government Act 1995 under Legislation</w:t>
            </w:r>
          </w:p>
          <w:p w14:paraId="67DA77CE" w14:textId="77777777" w:rsidR="00A36126" w:rsidRPr="00A36126" w:rsidRDefault="00A36126" w:rsidP="00A36126">
            <w:pPr>
              <w:tabs>
                <w:tab w:val="left" w:pos="1701"/>
                <w:tab w:val="right" w:pos="9637"/>
              </w:tabs>
              <w:spacing w:after="0"/>
              <w:jc w:val="both"/>
              <w:rPr>
                <w:rFonts w:ascii="Calibri" w:hAnsi="Calibri" w:cs="Calibri"/>
                <w:b/>
                <w:bCs/>
                <w:color w:val="1F497D"/>
                <w:sz w:val="20"/>
              </w:rPr>
            </w:pPr>
            <w:r w:rsidRPr="00A36126">
              <w:rPr>
                <w:rFonts w:ascii="Calibri" w:hAnsi="Calibri" w:cs="Calibri"/>
                <w:b/>
                <w:bCs/>
                <w:color w:val="1F497D"/>
                <w:sz w:val="20"/>
              </w:rPr>
              <w:t>3.1.8 Wood Encouragement – General</w:t>
            </w:r>
          </w:p>
          <w:p w14:paraId="4332F865" w14:textId="77777777" w:rsidR="00A36126" w:rsidRPr="00731C34" w:rsidRDefault="00A36126" w:rsidP="002A3889">
            <w:pPr>
              <w:pStyle w:val="ListParagraph"/>
              <w:numPr>
                <w:ilvl w:val="0"/>
                <w:numId w:val="374"/>
              </w:numPr>
              <w:tabs>
                <w:tab w:val="left" w:pos="1701"/>
                <w:tab w:val="right" w:pos="9637"/>
              </w:tabs>
              <w:spacing w:after="0"/>
              <w:ind w:left="177" w:hanging="141"/>
              <w:jc w:val="both"/>
              <w:rPr>
                <w:rFonts w:ascii="Calibri" w:hAnsi="Calibri" w:cs="Calibri"/>
                <w:bCs/>
                <w:color w:val="1F497D"/>
                <w:sz w:val="20"/>
              </w:rPr>
            </w:pPr>
            <w:r w:rsidRPr="00731C34">
              <w:rPr>
                <w:rFonts w:ascii="Calibri" w:hAnsi="Calibri" w:cs="Calibri"/>
                <w:bCs/>
                <w:color w:val="1F497D"/>
                <w:sz w:val="20"/>
              </w:rPr>
              <w:t>Insertion of Planning and Development Act 2005 &amp; Planning and Development (Local Planning Schemes) Regulations 2015 under Legislation.</w:t>
            </w:r>
          </w:p>
          <w:p w14:paraId="15701D60" w14:textId="77777777" w:rsidR="00A36126" w:rsidRPr="00731C34" w:rsidRDefault="00731C34" w:rsidP="00A36126">
            <w:pPr>
              <w:tabs>
                <w:tab w:val="left" w:pos="1701"/>
                <w:tab w:val="right" w:pos="9637"/>
              </w:tabs>
              <w:spacing w:after="0"/>
              <w:jc w:val="both"/>
              <w:rPr>
                <w:rFonts w:ascii="Calibri" w:hAnsi="Calibri" w:cs="Calibri"/>
                <w:b/>
                <w:bCs/>
                <w:color w:val="1F497D"/>
                <w:sz w:val="20"/>
              </w:rPr>
            </w:pPr>
            <w:r w:rsidRPr="00731C34">
              <w:rPr>
                <w:rFonts w:ascii="Calibri" w:hAnsi="Calibri" w:cs="Calibri"/>
                <w:b/>
                <w:bCs/>
                <w:color w:val="1F497D"/>
                <w:sz w:val="20"/>
              </w:rPr>
              <w:t>3.1.9 Percent for Public Art – Local Planning Policy</w:t>
            </w:r>
          </w:p>
          <w:p w14:paraId="0923A7D2" w14:textId="77777777" w:rsidR="00731C34" w:rsidRPr="00731C34" w:rsidRDefault="00731C34" w:rsidP="002A3889">
            <w:pPr>
              <w:pStyle w:val="ListParagraph"/>
              <w:numPr>
                <w:ilvl w:val="0"/>
                <w:numId w:val="374"/>
              </w:numPr>
              <w:tabs>
                <w:tab w:val="left" w:pos="1701"/>
                <w:tab w:val="right" w:pos="9637"/>
              </w:tabs>
              <w:spacing w:after="0"/>
              <w:ind w:left="177" w:hanging="141"/>
              <w:jc w:val="both"/>
              <w:rPr>
                <w:rFonts w:ascii="Calibri" w:hAnsi="Calibri" w:cs="Calibri"/>
                <w:bCs/>
                <w:color w:val="1F497D"/>
                <w:sz w:val="20"/>
              </w:rPr>
            </w:pPr>
            <w:r w:rsidRPr="00731C34">
              <w:rPr>
                <w:rFonts w:ascii="Calibri" w:hAnsi="Calibri" w:cs="Calibri"/>
                <w:bCs/>
                <w:color w:val="1F497D"/>
                <w:sz w:val="20"/>
              </w:rPr>
              <w:t>Insertion of Planning and Development Act 2005 &amp; Planning and Development (Local Planning Schemes) Regulations 2015 under Legislation.</w:t>
            </w:r>
          </w:p>
          <w:p w14:paraId="37E9E2C1" w14:textId="77777777" w:rsidR="00731C34" w:rsidRPr="00731C34" w:rsidRDefault="00731C34" w:rsidP="00A36126">
            <w:pPr>
              <w:tabs>
                <w:tab w:val="left" w:pos="1701"/>
                <w:tab w:val="right" w:pos="9637"/>
              </w:tabs>
              <w:spacing w:after="0"/>
              <w:jc w:val="both"/>
              <w:rPr>
                <w:rFonts w:ascii="Calibri" w:hAnsi="Calibri" w:cs="Calibri"/>
                <w:b/>
                <w:bCs/>
                <w:color w:val="1F497D"/>
                <w:sz w:val="20"/>
              </w:rPr>
            </w:pPr>
            <w:r w:rsidRPr="00731C34">
              <w:rPr>
                <w:rFonts w:ascii="Calibri" w:hAnsi="Calibri" w:cs="Calibri"/>
                <w:b/>
                <w:bCs/>
                <w:color w:val="1F497D"/>
                <w:sz w:val="20"/>
              </w:rPr>
              <w:t>4.1.2 Public Art Panel</w:t>
            </w:r>
          </w:p>
          <w:p w14:paraId="22ACDA2F" w14:textId="77777777" w:rsidR="00731C34" w:rsidRPr="00731C34" w:rsidRDefault="00731C34" w:rsidP="002A3889">
            <w:pPr>
              <w:pStyle w:val="ListParagraph"/>
              <w:numPr>
                <w:ilvl w:val="0"/>
                <w:numId w:val="374"/>
              </w:numPr>
              <w:tabs>
                <w:tab w:val="left" w:pos="1701"/>
                <w:tab w:val="right" w:pos="9637"/>
              </w:tabs>
              <w:spacing w:after="0"/>
              <w:ind w:left="177" w:hanging="141"/>
              <w:jc w:val="both"/>
              <w:rPr>
                <w:rFonts w:ascii="Calibri" w:hAnsi="Calibri" w:cs="Calibri"/>
                <w:bCs/>
                <w:color w:val="1F497D"/>
                <w:sz w:val="20"/>
              </w:rPr>
            </w:pPr>
            <w:r w:rsidRPr="00731C34">
              <w:rPr>
                <w:rFonts w:ascii="Calibri" w:hAnsi="Calibri" w:cs="Calibri"/>
                <w:bCs/>
                <w:color w:val="1F497D"/>
                <w:sz w:val="20"/>
              </w:rPr>
              <w:t>To allow for an increased number of members with resulting quorum adjustment.</w:t>
            </w:r>
          </w:p>
          <w:p w14:paraId="5C3B0F45" w14:textId="77777777" w:rsidR="00731C34" w:rsidRPr="00731C34" w:rsidRDefault="00731C34" w:rsidP="00A36126">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lastRenderedPageBreak/>
              <w:t xml:space="preserve">Revocation of </w:t>
            </w:r>
            <w:r w:rsidRPr="00731C34">
              <w:rPr>
                <w:rFonts w:ascii="Calibri" w:hAnsi="Calibri" w:cs="Calibri"/>
                <w:b/>
                <w:bCs/>
                <w:color w:val="1F497D"/>
                <w:sz w:val="20"/>
              </w:rPr>
              <w:t>3.1.6 Town Planning Advisory Panel Policy</w:t>
            </w:r>
          </w:p>
          <w:p w14:paraId="60C5ADDF" w14:textId="77777777" w:rsidR="00731C34" w:rsidRPr="00731C34" w:rsidRDefault="00731C34" w:rsidP="00A36126">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Adoption of new Policy </w:t>
            </w:r>
            <w:r w:rsidRPr="00731C34">
              <w:rPr>
                <w:rFonts w:ascii="Calibri" w:hAnsi="Calibri" w:cs="Calibri"/>
                <w:b/>
                <w:bCs/>
                <w:color w:val="1F497D"/>
                <w:sz w:val="20"/>
              </w:rPr>
              <w:t>4.2.1 Maintenance &amp; Removal of Public and Verge Trees</w:t>
            </w:r>
          </w:p>
        </w:tc>
      </w:tr>
      <w:tr w:rsidR="00391FD9" w:rsidRPr="00522F54" w14:paraId="7363BB13" w14:textId="77777777" w:rsidTr="00413AC7">
        <w:trPr>
          <w:trHeight w:val="65"/>
        </w:trPr>
        <w:tc>
          <w:tcPr>
            <w:tcW w:w="1242" w:type="dxa"/>
            <w:shd w:val="clear" w:color="auto" w:fill="auto"/>
          </w:tcPr>
          <w:p w14:paraId="57B1897D" w14:textId="77777777" w:rsidR="00391FD9" w:rsidRDefault="00FD4C05"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lastRenderedPageBreak/>
              <w:t>5</w:t>
            </w:r>
          </w:p>
        </w:tc>
        <w:tc>
          <w:tcPr>
            <w:tcW w:w="1872" w:type="dxa"/>
            <w:shd w:val="clear" w:color="auto" w:fill="auto"/>
          </w:tcPr>
          <w:p w14:paraId="50F45A19" w14:textId="77777777" w:rsidR="00391FD9" w:rsidRDefault="00FD4C05"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19 November 2019</w:t>
            </w:r>
          </w:p>
        </w:tc>
        <w:tc>
          <w:tcPr>
            <w:tcW w:w="5953" w:type="dxa"/>
            <w:shd w:val="clear" w:color="auto" w:fill="auto"/>
          </w:tcPr>
          <w:p w14:paraId="49315B2E" w14:textId="77777777" w:rsidR="00FD4C05" w:rsidRDefault="00FD4C05" w:rsidP="00FD4C05">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Amendments to: </w:t>
            </w:r>
          </w:p>
          <w:p w14:paraId="0583D559" w14:textId="77777777" w:rsidR="00391FD9" w:rsidRPr="00FD4C05" w:rsidRDefault="00FD4C05" w:rsidP="00FD4C05">
            <w:pPr>
              <w:tabs>
                <w:tab w:val="left" w:pos="1701"/>
                <w:tab w:val="right" w:pos="9637"/>
              </w:tabs>
              <w:spacing w:after="0"/>
              <w:jc w:val="both"/>
              <w:rPr>
                <w:rFonts w:ascii="Calibri" w:hAnsi="Calibri" w:cs="Calibri"/>
                <w:b/>
                <w:bCs/>
                <w:color w:val="1F497D"/>
                <w:sz w:val="20"/>
              </w:rPr>
            </w:pPr>
            <w:r>
              <w:rPr>
                <w:rFonts w:ascii="Calibri" w:hAnsi="Calibri" w:cs="Calibri"/>
                <w:b/>
                <w:bCs/>
                <w:color w:val="1F497D"/>
                <w:sz w:val="20"/>
              </w:rPr>
              <w:t>Policy 2.1.3 Purchasing</w:t>
            </w:r>
          </w:p>
          <w:p w14:paraId="2D9C5E72" w14:textId="77777777" w:rsidR="00FD4C05" w:rsidRPr="00FD4C05" w:rsidRDefault="00FD4C05" w:rsidP="002A3889">
            <w:pPr>
              <w:pStyle w:val="ListParagraph"/>
              <w:numPr>
                <w:ilvl w:val="0"/>
                <w:numId w:val="374"/>
              </w:numPr>
              <w:tabs>
                <w:tab w:val="left" w:pos="1701"/>
                <w:tab w:val="right" w:pos="9637"/>
              </w:tabs>
              <w:spacing w:after="0"/>
              <w:ind w:left="178" w:hanging="141"/>
              <w:jc w:val="both"/>
              <w:rPr>
                <w:rFonts w:ascii="Calibri" w:hAnsi="Calibri" w:cs="Calibri"/>
                <w:bCs/>
                <w:color w:val="1F497D"/>
                <w:sz w:val="20"/>
              </w:rPr>
            </w:pPr>
            <w:r w:rsidRPr="00FD4C05">
              <w:rPr>
                <w:rFonts w:ascii="Calibri" w:hAnsi="Calibri" w:cs="Calibri"/>
                <w:bCs/>
                <w:color w:val="1F497D"/>
                <w:sz w:val="20"/>
              </w:rPr>
              <w:t>Replacing the word “obtain” for “request” (quotes) in threshold table for purchases over $5,001 up to $150,000</w:t>
            </w:r>
          </w:p>
          <w:p w14:paraId="62E00E35" w14:textId="77777777" w:rsidR="00FD4C05" w:rsidRPr="00FD4C05" w:rsidRDefault="00FD4C05" w:rsidP="002A3889">
            <w:pPr>
              <w:pStyle w:val="ListParagraph"/>
              <w:numPr>
                <w:ilvl w:val="0"/>
                <w:numId w:val="374"/>
              </w:numPr>
              <w:tabs>
                <w:tab w:val="left" w:pos="1701"/>
                <w:tab w:val="right" w:pos="9637"/>
              </w:tabs>
              <w:spacing w:after="0"/>
              <w:ind w:left="178" w:hanging="141"/>
              <w:jc w:val="both"/>
              <w:rPr>
                <w:rFonts w:ascii="Calibri" w:hAnsi="Calibri" w:cs="Calibri"/>
                <w:bCs/>
                <w:color w:val="1F497D"/>
                <w:sz w:val="20"/>
              </w:rPr>
            </w:pPr>
            <w:r w:rsidRPr="00FD4C05">
              <w:rPr>
                <w:rFonts w:ascii="Calibri" w:hAnsi="Calibri" w:cs="Calibri"/>
                <w:bCs/>
                <w:color w:val="1F497D"/>
                <w:sz w:val="20"/>
              </w:rPr>
              <w:t>Adding the section “Quotation Exemptions</w:t>
            </w:r>
          </w:p>
          <w:p w14:paraId="488DFC71" w14:textId="77777777" w:rsidR="00FD4C05" w:rsidRDefault="00FD4C05" w:rsidP="002A3889">
            <w:pPr>
              <w:pStyle w:val="ListParagraph"/>
              <w:numPr>
                <w:ilvl w:val="0"/>
                <w:numId w:val="374"/>
              </w:numPr>
              <w:tabs>
                <w:tab w:val="left" w:pos="1701"/>
                <w:tab w:val="right" w:pos="9637"/>
              </w:tabs>
              <w:spacing w:after="0"/>
              <w:ind w:left="178" w:hanging="141"/>
              <w:jc w:val="both"/>
              <w:rPr>
                <w:rFonts w:ascii="Calibri" w:hAnsi="Calibri" w:cs="Calibri"/>
                <w:bCs/>
                <w:color w:val="1F497D"/>
                <w:sz w:val="20"/>
              </w:rPr>
            </w:pPr>
            <w:r w:rsidRPr="00FD4C05">
              <w:rPr>
                <w:rFonts w:ascii="Calibri" w:hAnsi="Calibri" w:cs="Calibri"/>
                <w:bCs/>
                <w:color w:val="1F497D"/>
                <w:sz w:val="20"/>
              </w:rPr>
              <w:t>Adding Executive Assistant Corporate Services with a purchasing authority to $1,500 to the Procedures attachment</w:t>
            </w:r>
          </w:p>
          <w:p w14:paraId="0A1A5831" w14:textId="77777777" w:rsidR="00FD4C05" w:rsidRDefault="00FD4C05" w:rsidP="00FD4C05">
            <w:pPr>
              <w:tabs>
                <w:tab w:val="left" w:pos="1701"/>
                <w:tab w:val="right" w:pos="9637"/>
              </w:tabs>
              <w:spacing w:after="0"/>
              <w:ind w:left="37"/>
              <w:jc w:val="both"/>
              <w:rPr>
                <w:rFonts w:ascii="Calibri" w:hAnsi="Calibri" w:cs="Calibri"/>
                <w:b/>
                <w:bCs/>
                <w:color w:val="1F497D"/>
                <w:sz w:val="20"/>
              </w:rPr>
            </w:pPr>
            <w:r>
              <w:rPr>
                <w:rFonts w:ascii="Calibri" w:hAnsi="Calibri" w:cs="Calibri"/>
                <w:b/>
                <w:bCs/>
                <w:color w:val="1F497D"/>
                <w:sz w:val="20"/>
              </w:rPr>
              <w:t xml:space="preserve">Policy </w:t>
            </w:r>
            <w:r w:rsidR="00AC797A">
              <w:rPr>
                <w:rFonts w:ascii="Calibri" w:hAnsi="Calibri" w:cs="Calibri"/>
                <w:b/>
                <w:bCs/>
                <w:color w:val="1F497D"/>
                <w:sz w:val="20"/>
              </w:rPr>
              <w:t>2.1.11 Community Grants &amp; Sponsorship</w:t>
            </w:r>
          </w:p>
          <w:p w14:paraId="2FB5FAD0" w14:textId="77777777" w:rsidR="00AC797A" w:rsidRPr="00AC797A" w:rsidRDefault="00AC797A" w:rsidP="00AC797A">
            <w:pPr>
              <w:tabs>
                <w:tab w:val="left" w:pos="1701"/>
                <w:tab w:val="right" w:pos="9637"/>
              </w:tabs>
              <w:spacing w:after="0"/>
              <w:ind w:left="37"/>
              <w:jc w:val="both"/>
              <w:rPr>
                <w:rFonts w:ascii="Calibri" w:hAnsi="Calibri" w:cs="Calibri"/>
                <w:bCs/>
                <w:color w:val="1F497D"/>
                <w:sz w:val="20"/>
              </w:rPr>
            </w:pPr>
            <w:r w:rsidRPr="00AC797A">
              <w:rPr>
                <w:rFonts w:ascii="Calibri" w:hAnsi="Calibri" w:cs="Calibri"/>
                <w:bCs/>
                <w:color w:val="1F497D"/>
                <w:sz w:val="20"/>
              </w:rPr>
              <w:t xml:space="preserve">Increasing the Councillors membership on the Community Grants Committee to two </w:t>
            </w:r>
          </w:p>
        </w:tc>
      </w:tr>
      <w:tr w:rsidR="007C32A8" w:rsidRPr="00522F54" w14:paraId="2AFD38BA" w14:textId="77777777" w:rsidTr="00413AC7">
        <w:trPr>
          <w:trHeight w:val="65"/>
        </w:trPr>
        <w:tc>
          <w:tcPr>
            <w:tcW w:w="1242" w:type="dxa"/>
            <w:shd w:val="clear" w:color="auto" w:fill="auto"/>
          </w:tcPr>
          <w:p w14:paraId="540CCCF9" w14:textId="77777777" w:rsidR="007C32A8" w:rsidRDefault="007C32A8"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6</w:t>
            </w:r>
          </w:p>
        </w:tc>
        <w:tc>
          <w:tcPr>
            <w:tcW w:w="1872" w:type="dxa"/>
            <w:shd w:val="clear" w:color="auto" w:fill="auto"/>
          </w:tcPr>
          <w:p w14:paraId="0A205D14" w14:textId="77777777" w:rsidR="007C32A8" w:rsidRDefault="007C32A8"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10 December 2019</w:t>
            </w:r>
          </w:p>
        </w:tc>
        <w:tc>
          <w:tcPr>
            <w:tcW w:w="5953" w:type="dxa"/>
            <w:shd w:val="clear" w:color="auto" w:fill="auto"/>
          </w:tcPr>
          <w:p w14:paraId="169F7BF8" w14:textId="77777777" w:rsidR="007C32A8" w:rsidRDefault="007C32A8"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Amendment to </w:t>
            </w:r>
            <w:r>
              <w:rPr>
                <w:rFonts w:ascii="Calibri" w:hAnsi="Calibri" w:cs="Calibri"/>
                <w:b/>
                <w:bCs/>
                <w:color w:val="1F497D"/>
                <w:sz w:val="20"/>
              </w:rPr>
              <w:t>Policy 2.1.3 Purchasing</w:t>
            </w:r>
          </w:p>
          <w:p w14:paraId="7F63994E" w14:textId="77777777" w:rsidR="007C32A8" w:rsidRPr="007C32A8" w:rsidRDefault="007C32A8" w:rsidP="00FD4C05">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Adding Senior Ranger with a purchasing authority to $2,000 to the Procedures attachment.</w:t>
            </w:r>
          </w:p>
        </w:tc>
      </w:tr>
      <w:tr w:rsidR="0041207D" w:rsidRPr="00522F54" w14:paraId="48004614" w14:textId="77777777" w:rsidTr="00413AC7">
        <w:trPr>
          <w:trHeight w:val="65"/>
        </w:trPr>
        <w:tc>
          <w:tcPr>
            <w:tcW w:w="1242" w:type="dxa"/>
            <w:shd w:val="clear" w:color="auto" w:fill="auto"/>
          </w:tcPr>
          <w:p w14:paraId="4F7606EB" w14:textId="77777777" w:rsidR="0041207D" w:rsidRDefault="0041207D"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7</w:t>
            </w:r>
          </w:p>
        </w:tc>
        <w:tc>
          <w:tcPr>
            <w:tcW w:w="1872" w:type="dxa"/>
            <w:shd w:val="clear" w:color="auto" w:fill="auto"/>
          </w:tcPr>
          <w:p w14:paraId="7DF44CEB" w14:textId="77777777" w:rsidR="0041207D" w:rsidRDefault="0041207D"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18 February 2020</w:t>
            </w:r>
          </w:p>
        </w:tc>
        <w:tc>
          <w:tcPr>
            <w:tcW w:w="5953" w:type="dxa"/>
            <w:shd w:val="clear" w:color="auto" w:fill="auto"/>
          </w:tcPr>
          <w:p w14:paraId="2037D4A0" w14:textId="77777777" w:rsidR="0041207D" w:rsidRDefault="0041207D"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New </w:t>
            </w:r>
            <w:r>
              <w:rPr>
                <w:rFonts w:ascii="Calibri" w:hAnsi="Calibri" w:cs="Calibri"/>
                <w:b/>
                <w:bCs/>
                <w:color w:val="1F497D"/>
                <w:sz w:val="20"/>
              </w:rPr>
              <w:t>Policy 2.1.15 Waste Services for Community &amp; Sporting Groups</w:t>
            </w:r>
          </w:p>
          <w:p w14:paraId="18E4BE57" w14:textId="77777777" w:rsidR="00E379A5" w:rsidRPr="00E379A5" w:rsidRDefault="00E379A5"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New </w:t>
            </w:r>
            <w:r>
              <w:rPr>
                <w:rFonts w:ascii="Calibri" w:hAnsi="Calibri" w:cs="Calibri"/>
                <w:b/>
                <w:bCs/>
                <w:color w:val="1F497D"/>
                <w:sz w:val="20"/>
              </w:rPr>
              <w:t>Policy 3.1.6 George Street Designated Heritage Area (LPP)</w:t>
            </w:r>
          </w:p>
          <w:p w14:paraId="1A66DCA2" w14:textId="77777777" w:rsidR="0041207D" w:rsidRDefault="0041207D"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New </w:t>
            </w:r>
            <w:r>
              <w:rPr>
                <w:rFonts w:ascii="Calibri" w:hAnsi="Calibri" w:cs="Calibri"/>
                <w:b/>
                <w:bCs/>
                <w:color w:val="1F497D"/>
                <w:sz w:val="20"/>
              </w:rPr>
              <w:t>Policy 4.2.2 Foreshore Dinghy Management</w:t>
            </w:r>
          </w:p>
          <w:p w14:paraId="772B0233" w14:textId="77777777" w:rsidR="00E379A5" w:rsidRPr="00E379A5" w:rsidRDefault="0041207D"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New </w:t>
            </w:r>
            <w:r>
              <w:rPr>
                <w:rFonts w:ascii="Calibri" w:hAnsi="Calibri" w:cs="Calibri"/>
                <w:b/>
                <w:bCs/>
                <w:color w:val="1F497D"/>
                <w:sz w:val="20"/>
              </w:rPr>
              <w:t>Policy 6.1.1 Community Gardens</w:t>
            </w:r>
          </w:p>
        </w:tc>
      </w:tr>
      <w:tr w:rsidR="00206BFD" w:rsidRPr="00522F54" w14:paraId="2B34AEA5" w14:textId="77777777" w:rsidTr="00413AC7">
        <w:trPr>
          <w:trHeight w:val="65"/>
        </w:trPr>
        <w:tc>
          <w:tcPr>
            <w:tcW w:w="1242" w:type="dxa"/>
            <w:shd w:val="clear" w:color="auto" w:fill="auto"/>
          </w:tcPr>
          <w:p w14:paraId="4D8D484E" w14:textId="77777777" w:rsidR="00206BFD" w:rsidRDefault="00206BFD"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8</w:t>
            </w:r>
          </w:p>
        </w:tc>
        <w:tc>
          <w:tcPr>
            <w:tcW w:w="1872" w:type="dxa"/>
            <w:shd w:val="clear" w:color="auto" w:fill="auto"/>
          </w:tcPr>
          <w:p w14:paraId="401BA669" w14:textId="77777777" w:rsidR="00206BFD" w:rsidRDefault="00206BFD"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17 March 2020</w:t>
            </w:r>
          </w:p>
        </w:tc>
        <w:tc>
          <w:tcPr>
            <w:tcW w:w="5953" w:type="dxa"/>
            <w:shd w:val="clear" w:color="auto" w:fill="auto"/>
          </w:tcPr>
          <w:p w14:paraId="7FCBEE52" w14:textId="77777777" w:rsidR="00206BFD" w:rsidRDefault="00206BFD"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Amendment to </w:t>
            </w:r>
            <w:r>
              <w:rPr>
                <w:rFonts w:ascii="Calibri" w:hAnsi="Calibri" w:cs="Calibri"/>
                <w:b/>
                <w:bCs/>
                <w:color w:val="1F497D"/>
                <w:sz w:val="20"/>
              </w:rPr>
              <w:t>Policy 2.1.2 Investment of Surplus Funds</w:t>
            </w:r>
          </w:p>
          <w:p w14:paraId="4D82BA5F" w14:textId="77777777" w:rsidR="00206BFD" w:rsidRPr="00206BFD" w:rsidRDefault="00206BFD" w:rsidP="00206BFD">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Amending section (b) in respect to Fossil Fuel Free Investments. </w:t>
            </w:r>
          </w:p>
        </w:tc>
      </w:tr>
      <w:tr w:rsidR="0048473F" w:rsidRPr="00522F54" w14:paraId="5D604012" w14:textId="77777777" w:rsidTr="00413AC7">
        <w:trPr>
          <w:trHeight w:val="65"/>
        </w:trPr>
        <w:tc>
          <w:tcPr>
            <w:tcW w:w="1242" w:type="dxa"/>
            <w:shd w:val="clear" w:color="auto" w:fill="auto"/>
          </w:tcPr>
          <w:p w14:paraId="1F1CCB82" w14:textId="77777777" w:rsidR="0048473F" w:rsidRDefault="0048473F"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9</w:t>
            </w:r>
          </w:p>
        </w:tc>
        <w:tc>
          <w:tcPr>
            <w:tcW w:w="1872" w:type="dxa"/>
            <w:shd w:val="clear" w:color="auto" w:fill="auto"/>
          </w:tcPr>
          <w:p w14:paraId="2EB7EC5B" w14:textId="77777777" w:rsidR="0048473F" w:rsidRDefault="0048473F"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21 April 2020</w:t>
            </w:r>
          </w:p>
        </w:tc>
        <w:tc>
          <w:tcPr>
            <w:tcW w:w="5953" w:type="dxa"/>
            <w:shd w:val="clear" w:color="auto" w:fill="auto"/>
          </w:tcPr>
          <w:p w14:paraId="60F32663" w14:textId="77777777" w:rsidR="0048473F" w:rsidRDefault="0048473F"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Amendment to </w:t>
            </w:r>
            <w:r>
              <w:rPr>
                <w:rFonts w:ascii="Calibri" w:hAnsi="Calibri" w:cs="Calibri"/>
                <w:b/>
                <w:bCs/>
                <w:color w:val="1F497D"/>
                <w:sz w:val="20"/>
              </w:rPr>
              <w:t>Policy 2.1.7 Debt Collection</w:t>
            </w:r>
          </w:p>
          <w:p w14:paraId="6B14A12B" w14:textId="77777777" w:rsidR="0048473F" w:rsidRDefault="0048473F" w:rsidP="00FD4C05">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Amending policy to provide support to individuals and businesses who may be financially impacted by the effects of COVID-19.</w:t>
            </w:r>
          </w:p>
          <w:p w14:paraId="1177DC78" w14:textId="77777777" w:rsidR="00AB3570" w:rsidRPr="00AB3570" w:rsidRDefault="00AB3570"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New </w:t>
            </w:r>
            <w:r>
              <w:rPr>
                <w:rFonts w:ascii="Calibri" w:hAnsi="Calibri" w:cs="Calibri"/>
                <w:b/>
                <w:bCs/>
                <w:color w:val="1F497D"/>
                <w:sz w:val="20"/>
              </w:rPr>
              <w:t>Policy 1.1.7 Attendance at Events</w:t>
            </w:r>
          </w:p>
          <w:p w14:paraId="3E51A629" w14:textId="77777777" w:rsidR="0048473F" w:rsidRPr="0048473F" w:rsidRDefault="0048473F"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New </w:t>
            </w:r>
            <w:r>
              <w:rPr>
                <w:rFonts w:ascii="Calibri" w:hAnsi="Calibri" w:cs="Calibri"/>
                <w:b/>
                <w:bCs/>
                <w:color w:val="1F497D"/>
                <w:sz w:val="20"/>
              </w:rPr>
              <w:t>Policy 1.2.7 COVID-19 Leave</w:t>
            </w:r>
          </w:p>
        </w:tc>
      </w:tr>
      <w:tr w:rsidR="007F177A" w:rsidRPr="00522F54" w14:paraId="758C6C80" w14:textId="77777777" w:rsidTr="00413AC7">
        <w:trPr>
          <w:trHeight w:val="65"/>
        </w:trPr>
        <w:tc>
          <w:tcPr>
            <w:tcW w:w="1242" w:type="dxa"/>
            <w:shd w:val="clear" w:color="auto" w:fill="auto"/>
          </w:tcPr>
          <w:p w14:paraId="5086CFD3" w14:textId="77777777" w:rsidR="007F177A" w:rsidRDefault="0032649F"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10</w:t>
            </w:r>
          </w:p>
        </w:tc>
        <w:tc>
          <w:tcPr>
            <w:tcW w:w="1872" w:type="dxa"/>
            <w:shd w:val="clear" w:color="auto" w:fill="auto"/>
          </w:tcPr>
          <w:p w14:paraId="5EDFB0F6" w14:textId="77777777" w:rsidR="007F177A" w:rsidRDefault="0032649F"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19 May 2020</w:t>
            </w:r>
          </w:p>
        </w:tc>
        <w:tc>
          <w:tcPr>
            <w:tcW w:w="5953" w:type="dxa"/>
            <w:shd w:val="clear" w:color="auto" w:fill="auto"/>
          </w:tcPr>
          <w:p w14:paraId="4694A901" w14:textId="77777777" w:rsidR="007F177A" w:rsidRDefault="0032649F"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New </w:t>
            </w:r>
            <w:r>
              <w:rPr>
                <w:rFonts w:ascii="Calibri" w:hAnsi="Calibri" w:cs="Calibri"/>
                <w:b/>
                <w:bCs/>
                <w:color w:val="1F497D"/>
                <w:sz w:val="20"/>
              </w:rPr>
              <w:t>Policy 1.1.8 Elected Member and CEO Training &amp; Professional Development</w:t>
            </w:r>
          </w:p>
          <w:p w14:paraId="50246AD2" w14:textId="77777777" w:rsidR="002B6A65" w:rsidRDefault="0032649F"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Amendment to </w:t>
            </w:r>
            <w:r>
              <w:rPr>
                <w:rFonts w:ascii="Calibri" w:hAnsi="Calibri" w:cs="Calibri"/>
                <w:b/>
                <w:bCs/>
                <w:color w:val="1F497D"/>
                <w:sz w:val="20"/>
              </w:rPr>
              <w:t>Policy</w:t>
            </w:r>
            <w:r w:rsidR="002B6A65">
              <w:rPr>
                <w:rFonts w:ascii="Calibri" w:hAnsi="Calibri" w:cs="Calibri"/>
                <w:b/>
                <w:bCs/>
                <w:color w:val="1F497D"/>
                <w:sz w:val="20"/>
              </w:rPr>
              <w:t xml:space="preserve"> 2.1.3 Purchasing</w:t>
            </w:r>
          </w:p>
          <w:p w14:paraId="2022E3DE" w14:textId="77777777" w:rsidR="0032649F" w:rsidRPr="002B6A65" w:rsidRDefault="002B6A65" w:rsidP="00FD4C05">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Amendment to </w:t>
            </w:r>
            <w:r>
              <w:rPr>
                <w:rFonts w:ascii="Calibri" w:hAnsi="Calibri" w:cs="Calibri"/>
                <w:b/>
                <w:bCs/>
                <w:color w:val="1F497D"/>
                <w:sz w:val="20"/>
              </w:rPr>
              <w:t>Policy 2.1.5 Donation</w:t>
            </w:r>
          </w:p>
        </w:tc>
      </w:tr>
      <w:tr w:rsidR="00D71E0E" w:rsidRPr="00522F54" w14:paraId="2F415435" w14:textId="77777777" w:rsidTr="00413AC7">
        <w:trPr>
          <w:trHeight w:val="65"/>
        </w:trPr>
        <w:tc>
          <w:tcPr>
            <w:tcW w:w="1242" w:type="dxa"/>
            <w:shd w:val="clear" w:color="auto" w:fill="auto"/>
          </w:tcPr>
          <w:p w14:paraId="272B54D3" w14:textId="77777777" w:rsidR="00D71E0E" w:rsidRDefault="00D71E0E"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11</w:t>
            </w:r>
          </w:p>
        </w:tc>
        <w:tc>
          <w:tcPr>
            <w:tcW w:w="1872" w:type="dxa"/>
            <w:shd w:val="clear" w:color="auto" w:fill="auto"/>
          </w:tcPr>
          <w:p w14:paraId="4461F2E7" w14:textId="77777777" w:rsidR="00D71E0E" w:rsidRDefault="00D71E0E"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16 June 2020</w:t>
            </w:r>
          </w:p>
        </w:tc>
        <w:tc>
          <w:tcPr>
            <w:tcW w:w="5953" w:type="dxa"/>
            <w:shd w:val="clear" w:color="auto" w:fill="auto"/>
          </w:tcPr>
          <w:p w14:paraId="7CB04FFF" w14:textId="77777777" w:rsidR="00D71E0E" w:rsidRDefault="00D71E0E" w:rsidP="00FD4C05">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New </w:t>
            </w:r>
            <w:r w:rsidRPr="00D71E0E">
              <w:rPr>
                <w:rFonts w:ascii="Calibri" w:hAnsi="Calibri" w:cs="Calibri"/>
                <w:b/>
                <w:bCs/>
                <w:color w:val="1F497D"/>
                <w:sz w:val="20"/>
              </w:rPr>
              <w:t>Policy 2.1.16 Rates Concession</w:t>
            </w:r>
            <w:r>
              <w:rPr>
                <w:rFonts w:ascii="Calibri" w:hAnsi="Calibri" w:cs="Calibri"/>
                <w:bCs/>
                <w:color w:val="1F497D"/>
                <w:sz w:val="20"/>
              </w:rPr>
              <w:t xml:space="preserve"> </w:t>
            </w:r>
          </w:p>
          <w:p w14:paraId="12F9DFCD" w14:textId="77777777" w:rsidR="00D71E0E" w:rsidRDefault="00D71E0E" w:rsidP="00FD4C05">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New </w:t>
            </w:r>
            <w:r w:rsidRPr="00D71E0E">
              <w:rPr>
                <w:rFonts w:ascii="Calibri" w:hAnsi="Calibri" w:cs="Calibri"/>
                <w:b/>
                <w:bCs/>
                <w:color w:val="1F497D"/>
                <w:sz w:val="20"/>
              </w:rPr>
              <w:t>Policy 2.1.17 Pensioner and Seniors Rebate</w:t>
            </w:r>
          </w:p>
          <w:p w14:paraId="170B802F" w14:textId="77777777" w:rsidR="00D71E0E" w:rsidRDefault="00D71E0E" w:rsidP="00FD4C05">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New </w:t>
            </w:r>
            <w:r w:rsidRPr="00D71E0E">
              <w:rPr>
                <w:rFonts w:ascii="Calibri" w:hAnsi="Calibri" w:cs="Calibri"/>
                <w:b/>
                <w:bCs/>
                <w:color w:val="1F497D"/>
                <w:sz w:val="20"/>
              </w:rPr>
              <w:t>Policy 2.1.18 Cash Backed Reserves</w:t>
            </w:r>
          </w:p>
        </w:tc>
      </w:tr>
      <w:tr w:rsidR="009A574A" w:rsidRPr="00522F54" w14:paraId="6F86C548" w14:textId="77777777" w:rsidTr="00413AC7">
        <w:trPr>
          <w:trHeight w:val="65"/>
        </w:trPr>
        <w:tc>
          <w:tcPr>
            <w:tcW w:w="1242" w:type="dxa"/>
            <w:shd w:val="clear" w:color="auto" w:fill="auto"/>
          </w:tcPr>
          <w:p w14:paraId="78483384" w14:textId="77777777" w:rsidR="009A574A" w:rsidRDefault="009A574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12</w:t>
            </w:r>
          </w:p>
        </w:tc>
        <w:tc>
          <w:tcPr>
            <w:tcW w:w="1872" w:type="dxa"/>
            <w:shd w:val="clear" w:color="auto" w:fill="auto"/>
          </w:tcPr>
          <w:p w14:paraId="04ED4CFD" w14:textId="77777777" w:rsidR="009A574A" w:rsidRDefault="009A574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21 July 2020</w:t>
            </w:r>
          </w:p>
        </w:tc>
        <w:tc>
          <w:tcPr>
            <w:tcW w:w="5953" w:type="dxa"/>
            <w:shd w:val="clear" w:color="auto" w:fill="auto"/>
          </w:tcPr>
          <w:p w14:paraId="1EAF271B" w14:textId="77777777" w:rsidR="009A574A" w:rsidRDefault="009A574A" w:rsidP="009A574A">
            <w:pPr>
              <w:tabs>
                <w:tab w:val="left" w:pos="1701"/>
                <w:tab w:val="right" w:pos="9637"/>
              </w:tabs>
              <w:spacing w:after="0"/>
              <w:jc w:val="both"/>
              <w:rPr>
                <w:rFonts w:ascii="Calibri" w:hAnsi="Calibri" w:cs="Calibri"/>
                <w:b/>
                <w:bCs/>
                <w:color w:val="1F497D"/>
                <w:sz w:val="20"/>
              </w:rPr>
            </w:pPr>
            <w:r>
              <w:rPr>
                <w:rFonts w:ascii="Calibri" w:hAnsi="Calibri" w:cs="Calibri"/>
                <w:bCs/>
                <w:color w:val="1F497D"/>
                <w:sz w:val="20"/>
              </w:rPr>
              <w:t xml:space="preserve">Amendment to </w:t>
            </w:r>
            <w:r>
              <w:rPr>
                <w:rFonts w:ascii="Calibri" w:hAnsi="Calibri" w:cs="Calibri"/>
                <w:b/>
                <w:bCs/>
                <w:color w:val="1F497D"/>
                <w:sz w:val="20"/>
              </w:rPr>
              <w:t>Policy 1.2.1 Code of Conduct</w:t>
            </w:r>
          </w:p>
          <w:p w14:paraId="407BFC31" w14:textId="77777777" w:rsidR="00476A8C" w:rsidRPr="00476A8C" w:rsidRDefault="00476A8C" w:rsidP="009A574A">
            <w:pPr>
              <w:tabs>
                <w:tab w:val="left" w:pos="1701"/>
                <w:tab w:val="right" w:pos="9637"/>
              </w:tabs>
              <w:spacing w:after="0"/>
              <w:jc w:val="both"/>
              <w:rPr>
                <w:rFonts w:ascii="Calibri" w:hAnsi="Calibri" w:cs="Calibri"/>
                <w:color w:val="1F497D"/>
                <w:sz w:val="20"/>
              </w:rPr>
            </w:pPr>
            <w:r>
              <w:rPr>
                <w:rFonts w:ascii="Calibri" w:hAnsi="Calibri" w:cs="Calibri"/>
                <w:color w:val="1F497D"/>
                <w:sz w:val="20"/>
              </w:rPr>
              <w:t xml:space="preserve">New </w:t>
            </w:r>
            <w:r w:rsidRPr="00476A8C">
              <w:rPr>
                <w:rFonts w:ascii="Calibri" w:hAnsi="Calibri" w:cs="Calibri"/>
                <w:b/>
                <w:bCs/>
                <w:color w:val="1F497D"/>
                <w:sz w:val="20"/>
              </w:rPr>
              <w:t>Policy 6.1.2 Trading in Public Places</w:t>
            </w:r>
          </w:p>
        </w:tc>
      </w:tr>
      <w:tr w:rsidR="00492C9F" w:rsidRPr="00522F54" w14:paraId="51361A65" w14:textId="77777777" w:rsidTr="00413AC7">
        <w:trPr>
          <w:trHeight w:val="65"/>
        </w:trPr>
        <w:tc>
          <w:tcPr>
            <w:tcW w:w="1242" w:type="dxa"/>
            <w:shd w:val="clear" w:color="auto" w:fill="auto"/>
          </w:tcPr>
          <w:p w14:paraId="204B4110" w14:textId="77777777" w:rsidR="00492C9F" w:rsidRDefault="00492C9F"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13</w:t>
            </w:r>
          </w:p>
        </w:tc>
        <w:tc>
          <w:tcPr>
            <w:tcW w:w="1872" w:type="dxa"/>
            <w:shd w:val="clear" w:color="auto" w:fill="auto"/>
          </w:tcPr>
          <w:p w14:paraId="020BB77E" w14:textId="77777777" w:rsidR="00492C9F" w:rsidRDefault="00492C9F"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15 September 2020</w:t>
            </w:r>
          </w:p>
        </w:tc>
        <w:tc>
          <w:tcPr>
            <w:tcW w:w="5953" w:type="dxa"/>
            <w:shd w:val="clear" w:color="auto" w:fill="auto"/>
          </w:tcPr>
          <w:p w14:paraId="168B047D" w14:textId="77777777" w:rsidR="00492C9F" w:rsidRDefault="00492C9F" w:rsidP="009A574A">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New </w:t>
            </w:r>
            <w:r w:rsidRPr="00492C9F">
              <w:rPr>
                <w:rFonts w:ascii="Calibri" w:hAnsi="Calibri" w:cs="Calibri"/>
                <w:b/>
                <w:color w:val="1F497D"/>
                <w:sz w:val="20"/>
              </w:rPr>
              <w:t>Policy 1.2.8 Whistleblower (Public Interest Disclosure)</w:t>
            </w:r>
          </w:p>
          <w:p w14:paraId="6E37ED3A" w14:textId="77777777" w:rsidR="00492C9F" w:rsidRDefault="00492C9F" w:rsidP="009A574A">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Amendment to </w:t>
            </w:r>
            <w:r w:rsidRPr="00492C9F">
              <w:rPr>
                <w:rFonts w:ascii="Calibri" w:hAnsi="Calibri" w:cs="Calibri"/>
                <w:b/>
                <w:color w:val="1F497D"/>
                <w:sz w:val="20"/>
              </w:rPr>
              <w:t>Policy 2.1.3 Purchasing</w:t>
            </w:r>
            <w:r>
              <w:rPr>
                <w:rFonts w:ascii="Calibri" w:hAnsi="Calibri" w:cs="Calibri"/>
                <w:bCs/>
                <w:color w:val="1F497D"/>
                <w:sz w:val="20"/>
              </w:rPr>
              <w:t xml:space="preserve"> </w:t>
            </w:r>
          </w:p>
          <w:p w14:paraId="7294B54A" w14:textId="77777777" w:rsidR="00492C9F" w:rsidRDefault="00492C9F" w:rsidP="009A574A">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New </w:t>
            </w:r>
            <w:r w:rsidRPr="00492C9F">
              <w:rPr>
                <w:rFonts w:ascii="Calibri" w:hAnsi="Calibri" w:cs="Calibri"/>
                <w:b/>
                <w:color w:val="1F497D"/>
                <w:sz w:val="20"/>
              </w:rPr>
              <w:t>Policy 2.2.7 Fraud and Corruption</w:t>
            </w:r>
          </w:p>
          <w:p w14:paraId="3498ADB1" w14:textId="77777777" w:rsidR="0062714E" w:rsidRDefault="00492C9F"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New </w:t>
            </w:r>
            <w:r w:rsidRPr="00492C9F">
              <w:rPr>
                <w:rFonts w:ascii="Calibri" w:hAnsi="Calibri" w:cs="Calibri"/>
                <w:b/>
                <w:color w:val="1F497D"/>
                <w:sz w:val="20"/>
              </w:rPr>
              <w:t>Policy 2.2.8 Volunteer Management</w:t>
            </w:r>
          </w:p>
          <w:p w14:paraId="4DFBD563" w14:textId="6A803A26" w:rsidR="00492C9F" w:rsidRDefault="0062714E" w:rsidP="009A574A">
            <w:pPr>
              <w:tabs>
                <w:tab w:val="left" w:pos="1701"/>
                <w:tab w:val="right" w:pos="9637"/>
              </w:tabs>
              <w:spacing w:after="0"/>
              <w:jc w:val="both"/>
              <w:rPr>
                <w:rFonts w:ascii="Calibri" w:hAnsi="Calibri" w:cs="Calibri"/>
                <w:bCs/>
                <w:color w:val="1F497D"/>
                <w:sz w:val="20"/>
              </w:rPr>
            </w:pPr>
            <w:r w:rsidRPr="0062714E">
              <w:rPr>
                <w:rFonts w:ascii="Calibri" w:hAnsi="Calibri" w:cs="Calibri"/>
                <w:color w:val="1F497D"/>
                <w:sz w:val="20"/>
              </w:rPr>
              <w:t xml:space="preserve">New </w:t>
            </w:r>
            <w:r>
              <w:rPr>
                <w:rFonts w:ascii="Calibri" w:hAnsi="Calibri" w:cs="Calibri"/>
                <w:b/>
                <w:bCs/>
                <w:color w:val="1F497D"/>
                <w:sz w:val="20"/>
              </w:rPr>
              <w:t xml:space="preserve">Policy 2.1.19 Contract Variation </w:t>
            </w:r>
            <w:r w:rsidR="00492C9F">
              <w:rPr>
                <w:rFonts w:ascii="Calibri" w:hAnsi="Calibri" w:cs="Calibri"/>
                <w:bCs/>
                <w:color w:val="1F497D"/>
                <w:sz w:val="20"/>
              </w:rPr>
              <w:t xml:space="preserve"> </w:t>
            </w:r>
          </w:p>
        </w:tc>
      </w:tr>
      <w:tr w:rsidR="00926364" w:rsidRPr="00522F54" w14:paraId="5CF93398" w14:textId="77777777" w:rsidTr="00413AC7">
        <w:trPr>
          <w:trHeight w:val="65"/>
        </w:trPr>
        <w:tc>
          <w:tcPr>
            <w:tcW w:w="1242" w:type="dxa"/>
            <w:shd w:val="clear" w:color="auto" w:fill="auto"/>
          </w:tcPr>
          <w:p w14:paraId="56FC0170" w14:textId="499B0916" w:rsidR="00926364" w:rsidRDefault="00926364"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14</w:t>
            </w:r>
          </w:p>
        </w:tc>
        <w:tc>
          <w:tcPr>
            <w:tcW w:w="1872" w:type="dxa"/>
            <w:shd w:val="clear" w:color="auto" w:fill="auto"/>
          </w:tcPr>
          <w:p w14:paraId="1CD00B5E" w14:textId="5566DA0C" w:rsidR="00926364" w:rsidRDefault="00926364"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20 October 2020</w:t>
            </w:r>
          </w:p>
        </w:tc>
        <w:tc>
          <w:tcPr>
            <w:tcW w:w="5953" w:type="dxa"/>
            <w:shd w:val="clear" w:color="auto" w:fill="auto"/>
          </w:tcPr>
          <w:p w14:paraId="7450DB47" w14:textId="2344B35A" w:rsidR="00926364" w:rsidRPr="00926364" w:rsidRDefault="00926364"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New </w:t>
            </w:r>
            <w:r>
              <w:rPr>
                <w:rFonts w:ascii="Calibri" w:hAnsi="Calibri" w:cs="Calibri"/>
                <w:b/>
                <w:color w:val="1F497D"/>
                <w:sz w:val="20"/>
              </w:rPr>
              <w:t>Policy 6.1.3 Sustainable Event Policy</w:t>
            </w:r>
          </w:p>
        </w:tc>
      </w:tr>
      <w:tr w:rsidR="00BE10C4" w:rsidRPr="00522F54" w14:paraId="5ED2C07C" w14:textId="77777777" w:rsidTr="00413AC7">
        <w:trPr>
          <w:trHeight w:val="65"/>
        </w:trPr>
        <w:tc>
          <w:tcPr>
            <w:tcW w:w="1242" w:type="dxa"/>
            <w:shd w:val="clear" w:color="auto" w:fill="auto"/>
          </w:tcPr>
          <w:p w14:paraId="61E2713F" w14:textId="6D7F511B" w:rsidR="00BE10C4" w:rsidRDefault="00BE10C4"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15</w:t>
            </w:r>
          </w:p>
        </w:tc>
        <w:tc>
          <w:tcPr>
            <w:tcW w:w="1872" w:type="dxa"/>
            <w:shd w:val="clear" w:color="auto" w:fill="auto"/>
          </w:tcPr>
          <w:p w14:paraId="471F58DA" w14:textId="2379E634" w:rsidR="00BE10C4" w:rsidRDefault="00BE10C4"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17 November 2020</w:t>
            </w:r>
          </w:p>
        </w:tc>
        <w:tc>
          <w:tcPr>
            <w:tcW w:w="5953" w:type="dxa"/>
            <w:shd w:val="clear" w:color="auto" w:fill="auto"/>
          </w:tcPr>
          <w:p w14:paraId="18A075C5" w14:textId="57955714" w:rsidR="00BE10C4" w:rsidRPr="00BE10C4" w:rsidRDefault="00BE10C4"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New </w:t>
            </w:r>
            <w:r>
              <w:rPr>
                <w:rFonts w:ascii="Calibri" w:hAnsi="Calibri" w:cs="Calibri"/>
                <w:b/>
                <w:color w:val="1F497D"/>
                <w:sz w:val="20"/>
              </w:rPr>
              <w:t>Policy 4.1.5 Memorials in Public Places</w:t>
            </w:r>
          </w:p>
        </w:tc>
      </w:tr>
      <w:tr w:rsidR="00FB1C2E" w:rsidRPr="00522F54" w14:paraId="05221601" w14:textId="77777777" w:rsidTr="00413AC7">
        <w:trPr>
          <w:trHeight w:val="65"/>
        </w:trPr>
        <w:tc>
          <w:tcPr>
            <w:tcW w:w="1242" w:type="dxa"/>
            <w:shd w:val="clear" w:color="auto" w:fill="auto"/>
          </w:tcPr>
          <w:p w14:paraId="5968038C" w14:textId="737C5FDC" w:rsidR="00FB1C2E" w:rsidRDefault="00FB1C2E"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16</w:t>
            </w:r>
          </w:p>
        </w:tc>
        <w:tc>
          <w:tcPr>
            <w:tcW w:w="1872" w:type="dxa"/>
            <w:shd w:val="clear" w:color="auto" w:fill="auto"/>
          </w:tcPr>
          <w:p w14:paraId="065CF644" w14:textId="28DC5B05" w:rsidR="00FB1C2E" w:rsidRDefault="00FB1C2E"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8 December 2020</w:t>
            </w:r>
          </w:p>
        </w:tc>
        <w:tc>
          <w:tcPr>
            <w:tcW w:w="5953" w:type="dxa"/>
            <w:shd w:val="clear" w:color="auto" w:fill="auto"/>
          </w:tcPr>
          <w:p w14:paraId="6B5C4D2E" w14:textId="0DE61F78" w:rsidR="00FB1C2E" w:rsidRDefault="00FB1C2E"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Amendment to </w:t>
            </w:r>
            <w:r>
              <w:rPr>
                <w:rFonts w:ascii="Calibri" w:hAnsi="Calibri" w:cs="Calibri"/>
                <w:b/>
                <w:color w:val="1F497D"/>
                <w:sz w:val="20"/>
              </w:rPr>
              <w:t>Policy 2.1.3 Purchasing</w:t>
            </w:r>
          </w:p>
          <w:p w14:paraId="37605177" w14:textId="4155DFC0" w:rsidR="00FB1C2E" w:rsidRPr="00FB1C2E" w:rsidRDefault="00FB1C2E"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Amendment to </w:t>
            </w:r>
            <w:r>
              <w:rPr>
                <w:rFonts w:ascii="Calibri" w:hAnsi="Calibri" w:cs="Calibri"/>
                <w:b/>
                <w:color w:val="1F497D"/>
                <w:sz w:val="20"/>
              </w:rPr>
              <w:t>Policy 2.2.4 Risk Management</w:t>
            </w:r>
          </w:p>
        </w:tc>
      </w:tr>
      <w:tr w:rsidR="00A76C77" w:rsidRPr="00522F54" w14:paraId="152079E3" w14:textId="77777777" w:rsidTr="00413AC7">
        <w:trPr>
          <w:trHeight w:val="65"/>
        </w:trPr>
        <w:tc>
          <w:tcPr>
            <w:tcW w:w="1242" w:type="dxa"/>
            <w:shd w:val="clear" w:color="auto" w:fill="auto"/>
          </w:tcPr>
          <w:p w14:paraId="00C2663E" w14:textId="40193761" w:rsidR="00A76C77" w:rsidRDefault="00A76C77"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17</w:t>
            </w:r>
          </w:p>
        </w:tc>
        <w:tc>
          <w:tcPr>
            <w:tcW w:w="1872" w:type="dxa"/>
            <w:shd w:val="clear" w:color="auto" w:fill="auto"/>
          </w:tcPr>
          <w:p w14:paraId="3CD906D4" w14:textId="1DD0FEA6" w:rsidR="00A76C77" w:rsidRDefault="00A76C77"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16 February 2021</w:t>
            </w:r>
          </w:p>
        </w:tc>
        <w:tc>
          <w:tcPr>
            <w:tcW w:w="5953" w:type="dxa"/>
            <w:shd w:val="clear" w:color="auto" w:fill="auto"/>
          </w:tcPr>
          <w:p w14:paraId="09B91BCF" w14:textId="77777777" w:rsidR="00A76C77" w:rsidRDefault="00BF46C8" w:rsidP="009A574A">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New </w:t>
            </w:r>
            <w:r w:rsidRPr="00BF46C8">
              <w:rPr>
                <w:rFonts w:ascii="Calibri" w:hAnsi="Calibri" w:cs="Calibri"/>
                <w:b/>
                <w:color w:val="1F497D"/>
                <w:sz w:val="20"/>
              </w:rPr>
              <w:t>Policy 1.1.9 Code of Conduct for Elected Members, Committee Members and Candidates</w:t>
            </w:r>
            <w:r>
              <w:rPr>
                <w:rFonts w:ascii="Calibri" w:hAnsi="Calibri" w:cs="Calibri"/>
                <w:bCs/>
                <w:color w:val="1F497D"/>
                <w:sz w:val="20"/>
              </w:rPr>
              <w:t xml:space="preserve">. </w:t>
            </w:r>
          </w:p>
          <w:p w14:paraId="0C17DB21" w14:textId="77777777" w:rsidR="00BF46C8" w:rsidRDefault="00BF46C8" w:rsidP="009A574A">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lastRenderedPageBreak/>
              <w:t>Deletion of Policy 1.2.1 Code of Conduct for Elected Members, Committee Members and Employees</w:t>
            </w:r>
          </w:p>
          <w:p w14:paraId="6CE7D698" w14:textId="5FCAF3BC" w:rsidR="00A27277" w:rsidRDefault="00A27277" w:rsidP="009A574A">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New </w:t>
            </w:r>
            <w:r w:rsidRPr="00A27277">
              <w:rPr>
                <w:rFonts w:ascii="Calibri" w:hAnsi="Calibri" w:cs="Calibri"/>
                <w:b/>
                <w:color w:val="1F497D"/>
                <w:sz w:val="20"/>
              </w:rPr>
              <w:t>Policy 3.2.3 Waterwise Pool and Spa Cover</w:t>
            </w:r>
          </w:p>
        </w:tc>
      </w:tr>
      <w:tr w:rsidR="0033352E" w:rsidRPr="00522F54" w14:paraId="11223515" w14:textId="77777777" w:rsidTr="00413AC7">
        <w:trPr>
          <w:trHeight w:val="65"/>
        </w:trPr>
        <w:tc>
          <w:tcPr>
            <w:tcW w:w="1242" w:type="dxa"/>
            <w:shd w:val="clear" w:color="auto" w:fill="auto"/>
          </w:tcPr>
          <w:p w14:paraId="5996C7DA" w14:textId="0972B614" w:rsidR="0033352E" w:rsidRDefault="0033352E"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lastRenderedPageBreak/>
              <w:t>18</w:t>
            </w:r>
          </w:p>
        </w:tc>
        <w:tc>
          <w:tcPr>
            <w:tcW w:w="1872" w:type="dxa"/>
            <w:shd w:val="clear" w:color="auto" w:fill="auto"/>
          </w:tcPr>
          <w:p w14:paraId="087DE89D" w14:textId="2D6658AE" w:rsidR="0033352E" w:rsidRDefault="0033352E"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16 March 2021</w:t>
            </w:r>
          </w:p>
        </w:tc>
        <w:tc>
          <w:tcPr>
            <w:tcW w:w="5953" w:type="dxa"/>
            <w:shd w:val="clear" w:color="auto" w:fill="auto"/>
          </w:tcPr>
          <w:p w14:paraId="61519085" w14:textId="6801A663" w:rsidR="0033352E" w:rsidRPr="0033352E" w:rsidRDefault="0033352E"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New </w:t>
            </w:r>
            <w:r>
              <w:rPr>
                <w:rFonts w:ascii="Calibri" w:hAnsi="Calibri" w:cs="Calibri"/>
                <w:b/>
                <w:color w:val="1F497D"/>
                <w:sz w:val="20"/>
              </w:rPr>
              <w:t>Policy 1.2.9 Appointment of Acting Chief Executive Officer</w:t>
            </w:r>
          </w:p>
        </w:tc>
      </w:tr>
      <w:tr w:rsidR="00003ACA" w:rsidRPr="00522F54" w14:paraId="02690D25" w14:textId="77777777" w:rsidTr="00413AC7">
        <w:trPr>
          <w:trHeight w:val="65"/>
        </w:trPr>
        <w:tc>
          <w:tcPr>
            <w:tcW w:w="1242" w:type="dxa"/>
            <w:shd w:val="clear" w:color="auto" w:fill="auto"/>
          </w:tcPr>
          <w:p w14:paraId="2B77A1A4" w14:textId="4EA266D1" w:rsidR="00003ACA" w:rsidRDefault="00003AC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19</w:t>
            </w:r>
          </w:p>
        </w:tc>
        <w:tc>
          <w:tcPr>
            <w:tcW w:w="1872" w:type="dxa"/>
            <w:shd w:val="clear" w:color="auto" w:fill="auto"/>
          </w:tcPr>
          <w:p w14:paraId="2780D91C" w14:textId="1A908C25" w:rsidR="00003ACA" w:rsidRDefault="00003AC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20 April 2021</w:t>
            </w:r>
          </w:p>
        </w:tc>
        <w:tc>
          <w:tcPr>
            <w:tcW w:w="5953" w:type="dxa"/>
            <w:shd w:val="clear" w:color="auto" w:fill="auto"/>
          </w:tcPr>
          <w:p w14:paraId="1515DA6C" w14:textId="6084CA5B" w:rsidR="00003ACA" w:rsidRPr="00003ACA" w:rsidRDefault="00003ACA"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Amendment to </w:t>
            </w:r>
            <w:r>
              <w:rPr>
                <w:rFonts w:ascii="Calibri" w:hAnsi="Calibri" w:cs="Calibri"/>
                <w:b/>
                <w:color w:val="1F497D"/>
                <w:sz w:val="20"/>
              </w:rPr>
              <w:t>Policy 4.2.2 Foreshore Dinghy Management</w:t>
            </w:r>
          </w:p>
        </w:tc>
      </w:tr>
      <w:tr w:rsidR="002D6926" w:rsidRPr="00522F54" w14:paraId="3188E561" w14:textId="77777777" w:rsidTr="00413AC7">
        <w:trPr>
          <w:trHeight w:val="65"/>
        </w:trPr>
        <w:tc>
          <w:tcPr>
            <w:tcW w:w="1242" w:type="dxa"/>
            <w:shd w:val="clear" w:color="auto" w:fill="auto"/>
          </w:tcPr>
          <w:p w14:paraId="70B6AE8B" w14:textId="5878E3AE" w:rsidR="002D6926" w:rsidRDefault="002D6926"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20</w:t>
            </w:r>
          </w:p>
        </w:tc>
        <w:tc>
          <w:tcPr>
            <w:tcW w:w="1872" w:type="dxa"/>
            <w:shd w:val="clear" w:color="auto" w:fill="auto"/>
          </w:tcPr>
          <w:p w14:paraId="2B53005C" w14:textId="1979F8A0" w:rsidR="002D6926" w:rsidRDefault="002D6926"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18 May 2021</w:t>
            </w:r>
          </w:p>
        </w:tc>
        <w:tc>
          <w:tcPr>
            <w:tcW w:w="5953" w:type="dxa"/>
            <w:shd w:val="clear" w:color="auto" w:fill="auto"/>
          </w:tcPr>
          <w:p w14:paraId="2A41989F" w14:textId="4A716AB7" w:rsidR="002D6926" w:rsidRPr="002D6926" w:rsidRDefault="002D6926"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New </w:t>
            </w:r>
            <w:r>
              <w:rPr>
                <w:rFonts w:ascii="Calibri" w:hAnsi="Calibri" w:cs="Calibri"/>
                <w:b/>
                <w:color w:val="1F497D"/>
                <w:sz w:val="20"/>
              </w:rPr>
              <w:t>Policy 1.1.10 Code of Conduct Behaviour Complaints Management</w:t>
            </w:r>
          </w:p>
        </w:tc>
      </w:tr>
      <w:tr w:rsidR="00B65B43" w:rsidRPr="00522F54" w14:paraId="41C44D84" w14:textId="77777777" w:rsidTr="00413AC7">
        <w:trPr>
          <w:trHeight w:val="65"/>
        </w:trPr>
        <w:tc>
          <w:tcPr>
            <w:tcW w:w="1242" w:type="dxa"/>
            <w:shd w:val="clear" w:color="auto" w:fill="auto"/>
          </w:tcPr>
          <w:p w14:paraId="30D0A210" w14:textId="513E4B68" w:rsidR="00B65B43" w:rsidRDefault="00B65B43"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21</w:t>
            </w:r>
          </w:p>
        </w:tc>
        <w:tc>
          <w:tcPr>
            <w:tcW w:w="1872" w:type="dxa"/>
            <w:shd w:val="clear" w:color="auto" w:fill="auto"/>
          </w:tcPr>
          <w:p w14:paraId="4EE6056C" w14:textId="2D001A15" w:rsidR="00B65B43" w:rsidRDefault="00B65B43"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22 June 2021</w:t>
            </w:r>
          </w:p>
        </w:tc>
        <w:tc>
          <w:tcPr>
            <w:tcW w:w="5953" w:type="dxa"/>
            <w:shd w:val="clear" w:color="auto" w:fill="auto"/>
          </w:tcPr>
          <w:p w14:paraId="696AD041" w14:textId="27EE617E" w:rsidR="00B65B43" w:rsidRDefault="00B65B43" w:rsidP="009A574A">
            <w:pPr>
              <w:tabs>
                <w:tab w:val="left" w:pos="1701"/>
                <w:tab w:val="right" w:pos="9637"/>
              </w:tabs>
              <w:spacing w:after="0"/>
              <w:jc w:val="both"/>
              <w:rPr>
                <w:rFonts w:ascii="Calibri" w:hAnsi="Calibri" w:cs="Calibri"/>
                <w:bCs/>
                <w:color w:val="1F497D"/>
                <w:sz w:val="20"/>
              </w:rPr>
            </w:pPr>
            <w:r>
              <w:rPr>
                <w:rFonts w:ascii="Calibri" w:hAnsi="Calibri" w:cs="Calibri"/>
                <w:bCs/>
                <w:color w:val="1F497D"/>
                <w:sz w:val="20"/>
              </w:rPr>
              <w:t xml:space="preserve">Amendment to Procedures attached to </w:t>
            </w:r>
            <w:r w:rsidRPr="00B65B43">
              <w:rPr>
                <w:rFonts w:ascii="Calibri" w:hAnsi="Calibri" w:cs="Calibri"/>
                <w:b/>
                <w:color w:val="1F497D"/>
                <w:sz w:val="20"/>
              </w:rPr>
              <w:t>Policy 2.1.3 Purchasing</w:t>
            </w:r>
          </w:p>
        </w:tc>
      </w:tr>
      <w:tr w:rsidR="00D645F5" w:rsidRPr="00522F54" w14:paraId="5D621E6C" w14:textId="77777777" w:rsidTr="00413AC7">
        <w:trPr>
          <w:trHeight w:val="65"/>
        </w:trPr>
        <w:tc>
          <w:tcPr>
            <w:tcW w:w="1242" w:type="dxa"/>
            <w:shd w:val="clear" w:color="auto" w:fill="auto"/>
          </w:tcPr>
          <w:p w14:paraId="59B97339" w14:textId="6C3AAE5E" w:rsidR="00D645F5" w:rsidRDefault="00D645F5"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22</w:t>
            </w:r>
          </w:p>
        </w:tc>
        <w:tc>
          <w:tcPr>
            <w:tcW w:w="1872" w:type="dxa"/>
            <w:shd w:val="clear" w:color="auto" w:fill="auto"/>
          </w:tcPr>
          <w:p w14:paraId="3A863357" w14:textId="76DB5763" w:rsidR="00D645F5" w:rsidRDefault="00D645F5"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20 July 2021</w:t>
            </w:r>
          </w:p>
        </w:tc>
        <w:tc>
          <w:tcPr>
            <w:tcW w:w="5953" w:type="dxa"/>
            <w:shd w:val="clear" w:color="auto" w:fill="auto"/>
          </w:tcPr>
          <w:p w14:paraId="36327EE8" w14:textId="77777777" w:rsidR="00D645F5" w:rsidRDefault="00D645F5"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Amendment to </w:t>
            </w:r>
            <w:r>
              <w:rPr>
                <w:rFonts w:ascii="Calibri" w:hAnsi="Calibri" w:cs="Calibri"/>
                <w:b/>
                <w:color w:val="1F497D"/>
                <w:sz w:val="20"/>
              </w:rPr>
              <w:t>Policy 2.1.3 Purchasing</w:t>
            </w:r>
          </w:p>
          <w:p w14:paraId="496C5E15" w14:textId="02F4A928" w:rsidR="00D645F5" w:rsidRPr="00D645F5" w:rsidRDefault="00D645F5"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New </w:t>
            </w:r>
            <w:r>
              <w:rPr>
                <w:rFonts w:ascii="Calibri" w:hAnsi="Calibri" w:cs="Calibri"/>
                <w:b/>
                <w:color w:val="1F497D"/>
                <w:sz w:val="20"/>
              </w:rPr>
              <w:t>Policy 3.2.4 Verge Treatment</w:t>
            </w:r>
          </w:p>
        </w:tc>
      </w:tr>
      <w:tr w:rsidR="00A76A09" w:rsidRPr="00522F54" w14:paraId="69D31B9F" w14:textId="77777777" w:rsidTr="00413AC7">
        <w:trPr>
          <w:trHeight w:val="65"/>
        </w:trPr>
        <w:tc>
          <w:tcPr>
            <w:tcW w:w="1242" w:type="dxa"/>
            <w:shd w:val="clear" w:color="auto" w:fill="auto"/>
          </w:tcPr>
          <w:p w14:paraId="6EF83D84" w14:textId="01779EBD" w:rsidR="00A76A09" w:rsidRDefault="00A76A0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23</w:t>
            </w:r>
          </w:p>
        </w:tc>
        <w:tc>
          <w:tcPr>
            <w:tcW w:w="1872" w:type="dxa"/>
            <w:shd w:val="clear" w:color="auto" w:fill="auto"/>
          </w:tcPr>
          <w:p w14:paraId="445CE04C" w14:textId="225BD22A" w:rsidR="00A76A09" w:rsidRDefault="00A76A0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17 August 2021</w:t>
            </w:r>
          </w:p>
        </w:tc>
        <w:tc>
          <w:tcPr>
            <w:tcW w:w="5953" w:type="dxa"/>
            <w:shd w:val="clear" w:color="auto" w:fill="auto"/>
          </w:tcPr>
          <w:p w14:paraId="35E2B204" w14:textId="77777777" w:rsidR="00A76A09" w:rsidRDefault="00A76A09"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Amendment to </w:t>
            </w:r>
            <w:r>
              <w:rPr>
                <w:rFonts w:ascii="Calibri" w:hAnsi="Calibri" w:cs="Calibri"/>
                <w:b/>
                <w:color w:val="1F497D"/>
                <w:sz w:val="20"/>
              </w:rPr>
              <w:t>Policy 1.2.7 COVID19 Leave</w:t>
            </w:r>
          </w:p>
          <w:p w14:paraId="3A159A74" w14:textId="7AB48D19" w:rsidR="00A76A09" w:rsidRPr="00A76A09" w:rsidRDefault="00A76A09"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New </w:t>
            </w:r>
            <w:r>
              <w:rPr>
                <w:rFonts w:ascii="Calibri" w:hAnsi="Calibri" w:cs="Calibri"/>
                <w:b/>
                <w:color w:val="1F497D"/>
                <w:sz w:val="20"/>
              </w:rPr>
              <w:t>Policy 1.2.10 Employee Superannuation Co-Contribution</w:t>
            </w:r>
          </w:p>
        </w:tc>
      </w:tr>
      <w:tr w:rsidR="00210A41" w:rsidRPr="00522F54" w14:paraId="0E1D1596" w14:textId="77777777" w:rsidTr="00413AC7">
        <w:trPr>
          <w:trHeight w:val="65"/>
        </w:trPr>
        <w:tc>
          <w:tcPr>
            <w:tcW w:w="1242" w:type="dxa"/>
            <w:shd w:val="clear" w:color="auto" w:fill="auto"/>
          </w:tcPr>
          <w:p w14:paraId="4F8D75BC" w14:textId="67235B98" w:rsidR="00210A41" w:rsidRDefault="00210A41"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24</w:t>
            </w:r>
          </w:p>
        </w:tc>
        <w:tc>
          <w:tcPr>
            <w:tcW w:w="1872" w:type="dxa"/>
            <w:shd w:val="clear" w:color="auto" w:fill="auto"/>
          </w:tcPr>
          <w:p w14:paraId="00EA9560" w14:textId="491870AD" w:rsidR="00210A41" w:rsidRDefault="00210A41"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21 September 2021</w:t>
            </w:r>
          </w:p>
        </w:tc>
        <w:tc>
          <w:tcPr>
            <w:tcW w:w="5953" w:type="dxa"/>
            <w:shd w:val="clear" w:color="auto" w:fill="auto"/>
          </w:tcPr>
          <w:p w14:paraId="427142D1" w14:textId="507A2EFE" w:rsidR="00210A41" w:rsidRPr="00210A41" w:rsidRDefault="00210A41"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New </w:t>
            </w:r>
            <w:r>
              <w:rPr>
                <w:rFonts w:ascii="Calibri" w:hAnsi="Calibri" w:cs="Calibri"/>
                <w:b/>
                <w:color w:val="1F497D"/>
                <w:sz w:val="20"/>
              </w:rPr>
              <w:t>Policy 1.1.11 Caretaker Period</w:t>
            </w:r>
          </w:p>
        </w:tc>
      </w:tr>
      <w:tr w:rsidR="00334EE3" w:rsidRPr="00522F54" w14:paraId="3359AFB8" w14:textId="77777777" w:rsidTr="00413AC7">
        <w:trPr>
          <w:trHeight w:val="65"/>
        </w:trPr>
        <w:tc>
          <w:tcPr>
            <w:tcW w:w="1242" w:type="dxa"/>
            <w:shd w:val="clear" w:color="auto" w:fill="auto"/>
          </w:tcPr>
          <w:p w14:paraId="4141313F" w14:textId="118A0D9A" w:rsidR="00334EE3" w:rsidRDefault="00334EE3"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25</w:t>
            </w:r>
          </w:p>
        </w:tc>
        <w:tc>
          <w:tcPr>
            <w:tcW w:w="1872" w:type="dxa"/>
            <w:shd w:val="clear" w:color="auto" w:fill="auto"/>
          </w:tcPr>
          <w:p w14:paraId="7D0B110E" w14:textId="27D6FBA8" w:rsidR="00334EE3" w:rsidRDefault="00334EE3"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19 October 2021</w:t>
            </w:r>
          </w:p>
        </w:tc>
        <w:tc>
          <w:tcPr>
            <w:tcW w:w="5953" w:type="dxa"/>
            <w:shd w:val="clear" w:color="auto" w:fill="auto"/>
          </w:tcPr>
          <w:p w14:paraId="3BF08B6E" w14:textId="77777777" w:rsidR="00334EE3" w:rsidRDefault="00334EE3"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Amendments to </w:t>
            </w:r>
            <w:r>
              <w:rPr>
                <w:rFonts w:ascii="Calibri" w:hAnsi="Calibri" w:cs="Calibri"/>
                <w:b/>
                <w:color w:val="1F497D"/>
                <w:sz w:val="20"/>
              </w:rPr>
              <w:t>Policy 3.1.5 Community Design Advisory Committee</w:t>
            </w:r>
          </w:p>
          <w:p w14:paraId="2C9A37C1" w14:textId="09E06B58" w:rsidR="00334EE3" w:rsidRPr="00334EE3" w:rsidRDefault="00334EE3"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New </w:t>
            </w:r>
            <w:r>
              <w:rPr>
                <w:rFonts w:ascii="Calibri" w:hAnsi="Calibri" w:cs="Calibri"/>
                <w:b/>
                <w:color w:val="1F497D"/>
                <w:sz w:val="20"/>
              </w:rPr>
              <w:t>Policy 2.2.9 Legislative Compliance &amp; Procedure</w:t>
            </w:r>
          </w:p>
        </w:tc>
      </w:tr>
      <w:tr w:rsidR="00710174" w:rsidRPr="00522F54" w14:paraId="7BB3778C" w14:textId="77777777" w:rsidTr="00413AC7">
        <w:trPr>
          <w:trHeight w:val="65"/>
        </w:trPr>
        <w:tc>
          <w:tcPr>
            <w:tcW w:w="1242" w:type="dxa"/>
            <w:shd w:val="clear" w:color="auto" w:fill="auto"/>
          </w:tcPr>
          <w:p w14:paraId="11D9BBFA" w14:textId="691F38F9" w:rsidR="00710174" w:rsidRDefault="00710174"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26</w:t>
            </w:r>
          </w:p>
        </w:tc>
        <w:tc>
          <w:tcPr>
            <w:tcW w:w="1872" w:type="dxa"/>
            <w:shd w:val="clear" w:color="auto" w:fill="auto"/>
          </w:tcPr>
          <w:p w14:paraId="690D22E2" w14:textId="3CCCFA84" w:rsidR="00710174" w:rsidRDefault="00710174"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16 November 2021</w:t>
            </w:r>
          </w:p>
        </w:tc>
        <w:tc>
          <w:tcPr>
            <w:tcW w:w="5953" w:type="dxa"/>
            <w:shd w:val="clear" w:color="auto" w:fill="auto"/>
          </w:tcPr>
          <w:p w14:paraId="380039BA" w14:textId="77175E2C" w:rsidR="00710174" w:rsidRPr="00710174" w:rsidRDefault="00710174" w:rsidP="009A574A">
            <w:pPr>
              <w:tabs>
                <w:tab w:val="left" w:pos="1701"/>
                <w:tab w:val="right" w:pos="9637"/>
              </w:tabs>
              <w:spacing w:after="0"/>
              <w:jc w:val="both"/>
              <w:rPr>
                <w:rFonts w:ascii="Calibri" w:hAnsi="Calibri" w:cs="Calibri"/>
                <w:b/>
                <w:color w:val="1F497D"/>
                <w:sz w:val="20"/>
              </w:rPr>
            </w:pPr>
            <w:r>
              <w:rPr>
                <w:rFonts w:ascii="Calibri" w:hAnsi="Calibri" w:cs="Calibri"/>
                <w:bCs/>
                <w:color w:val="1F497D"/>
                <w:sz w:val="20"/>
              </w:rPr>
              <w:t xml:space="preserve">Amendments to </w:t>
            </w:r>
            <w:r>
              <w:rPr>
                <w:rFonts w:ascii="Calibri" w:hAnsi="Calibri" w:cs="Calibri"/>
                <w:b/>
                <w:color w:val="1F497D"/>
                <w:sz w:val="20"/>
              </w:rPr>
              <w:t>Policy 2.1.8 Corporate Credit Card</w:t>
            </w:r>
          </w:p>
        </w:tc>
      </w:tr>
      <w:tr w:rsidR="00D90BB9" w:rsidRPr="00522F54" w14:paraId="1DF40240" w14:textId="77777777" w:rsidTr="00413AC7">
        <w:trPr>
          <w:trHeight w:val="65"/>
        </w:trPr>
        <w:tc>
          <w:tcPr>
            <w:tcW w:w="1242" w:type="dxa"/>
            <w:shd w:val="clear" w:color="auto" w:fill="auto"/>
          </w:tcPr>
          <w:p w14:paraId="5D38D754" w14:textId="68A0AD00" w:rsidR="00D90BB9" w:rsidRDefault="00D90BB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27</w:t>
            </w:r>
          </w:p>
        </w:tc>
        <w:tc>
          <w:tcPr>
            <w:tcW w:w="1872" w:type="dxa"/>
            <w:shd w:val="clear" w:color="auto" w:fill="auto"/>
          </w:tcPr>
          <w:p w14:paraId="68A98CC7" w14:textId="04C219B0" w:rsidR="00D90BB9" w:rsidRDefault="00D90BB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22 February 2022</w:t>
            </w:r>
          </w:p>
        </w:tc>
        <w:tc>
          <w:tcPr>
            <w:tcW w:w="5953" w:type="dxa"/>
            <w:shd w:val="clear" w:color="auto" w:fill="auto"/>
          </w:tcPr>
          <w:p w14:paraId="67C65BF5" w14:textId="77777777" w:rsidR="00D90BB9" w:rsidRPr="00FD4C05" w:rsidRDefault="00D90BB9" w:rsidP="00D90BB9">
            <w:pPr>
              <w:tabs>
                <w:tab w:val="left" w:pos="1701"/>
                <w:tab w:val="right" w:pos="9637"/>
              </w:tabs>
              <w:spacing w:after="0"/>
              <w:jc w:val="both"/>
              <w:rPr>
                <w:rFonts w:ascii="Calibri" w:hAnsi="Calibri" w:cs="Calibri"/>
                <w:b/>
                <w:bCs/>
                <w:color w:val="1F497D"/>
                <w:sz w:val="20"/>
              </w:rPr>
            </w:pPr>
            <w:r>
              <w:rPr>
                <w:rFonts w:ascii="Calibri" w:hAnsi="Calibri" w:cs="Calibri"/>
                <w:b/>
                <w:bCs/>
                <w:color w:val="1F497D"/>
                <w:sz w:val="20"/>
              </w:rPr>
              <w:t>Policy 2.1.3 Purchasing</w:t>
            </w:r>
          </w:p>
          <w:p w14:paraId="4B8A9146" w14:textId="40E93BC8" w:rsidR="00D90BB9" w:rsidRPr="0009696C" w:rsidRDefault="00D90BB9" w:rsidP="002A3889">
            <w:pPr>
              <w:pStyle w:val="ListParagraph"/>
              <w:numPr>
                <w:ilvl w:val="0"/>
                <w:numId w:val="374"/>
              </w:numPr>
              <w:tabs>
                <w:tab w:val="left" w:pos="1701"/>
                <w:tab w:val="right" w:pos="9637"/>
              </w:tabs>
              <w:spacing w:after="0"/>
              <w:ind w:left="178" w:hanging="141"/>
              <w:jc w:val="both"/>
              <w:rPr>
                <w:rFonts w:ascii="Calibri" w:hAnsi="Calibri" w:cs="Calibri"/>
                <w:bCs/>
                <w:color w:val="1F497D"/>
                <w:sz w:val="20"/>
              </w:rPr>
            </w:pPr>
            <w:r>
              <w:rPr>
                <w:rFonts w:ascii="Calibri" w:hAnsi="Calibri" w:cs="Calibri"/>
                <w:bCs/>
                <w:color w:val="1F497D"/>
                <w:sz w:val="20"/>
              </w:rPr>
              <w:t>Increasing purchasing authority for Community Engagement Officer t</w:t>
            </w:r>
            <w:r w:rsidRPr="00FD4C05">
              <w:rPr>
                <w:rFonts w:ascii="Calibri" w:hAnsi="Calibri" w:cs="Calibri"/>
                <w:bCs/>
                <w:color w:val="1F497D"/>
                <w:sz w:val="20"/>
              </w:rPr>
              <w:t>o $</w:t>
            </w:r>
            <w:r>
              <w:rPr>
                <w:rFonts w:ascii="Calibri" w:hAnsi="Calibri" w:cs="Calibri"/>
                <w:bCs/>
                <w:color w:val="1F497D"/>
                <w:sz w:val="20"/>
              </w:rPr>
              <w:t>5,0</w:t>
            </w:r>
            <w:r w:rsidRPr="00FD4C05">
              <w:rPr>
                <w:rFonts w:ascii="Calibri" w:hAnsi="Calibri" w:cs="Calibri"/>
                <w:bCs/>
                <w:color w:val="1F497D"/>
                <w:sz w:val="20"/>
              </w:rPr>
              <w:t xml:space="preserve">00 </w:t>
            </w:r>
            <w:r>
              <w:rPr>
                <w:rFonts w:ascii="Calibri" w:hAnsi="Calibri" w:cs="Calibri"/>
                <w:bCs/>
                <w:color w:val="1F497D"/>
                <w:sz w:val="20"/>
              </w:rPr>
              <w:t>in</w:t>
            </w:r>
            <w:r w:rsidRPr="00FD4C05">
              <w:rPr>
                <w:rFonts w:ascii="Calibri" w:hAnsi="Calibri" w:cs="Calibri"/>
                <w:bCs/>
                <w:color w:val="1F497D"/>
                <w:sz w:val="20"/>
              </w:rPr>
              <w:t xml:space="preserve"> the Procedures attachmen</w:t>
            </w:r>
            <w:r w:rsidR="0009696C">
              <w:rPr>
                <w:rFonts w:ascii="Calibri" w:hAnsi="Calibri" w:cs="Calibri"/>
                <w:bCs/>
                <w:color w:val="1F497D"/>
                <w:sz w:val="20"/>
              </w:rPr>
              <w:t>t</w:t>
            </w:r>
          </w:p>
        </w:tc>
      </w:tr>
      <w:tr w:rsidR="006A23FA" w:rsidRPr="00522F54" w14:paraId="7935B257" w14:textId="77777777" w:rsidTr="00413AC7">
        <w:trPr>
          <w:trHeight w:val="65"/>
        </w:trPr>
        <w:tc>
          <w:tcPr>
            <w:tcW w:w="1242" w:type="dxa"/>
            <w:shd w:val="clear" w:color="auto" w:fill="auto"/>
          </w:tcPr>
          <w:p w14:paraId="49D312E0" w14:textId="192951C9" w:rsidR="006A23FA" w:rsidRDefault="006A23F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28</w:t>
            </w:r>
          </w:p>
        </w:tc>
        <w:tc>
          <w:tcPr>
            <w:tcW w:w="1872" w:type="dxa"/>
            <w:shd w:val="clear" w:color="auto" w:fill="auto"/>
          </w:tcPr>
          <w:p w14:paraId="4188015A" w14:textId="7B6733EA" w:rsidR="006A23FA" w:rsidRDefault="006A23F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15 March 2022</w:t>
            </w:r>
          </w:p>
        </w:tc>
        <w:tc>
          <w:tcPr>
            <w:tcW w:w="5953" w:type="dxa"/>
            <w:shd w:val="clear" w:color="auto" w:fill="auto"/>
          </w:tcPr>
          <w:p w14:paraId="19A8BBB4" w14:textId="24505C24" w:rsidR="006A23FA" w:rsidRPr="006A23FA" w:rsidRDefault="006A23FA" w:rsidP="00D90BB9">
            <w:pPr>
              <w:tabs>
                <w:tab w:val="left" w:pos="1701"/>
                <w:tab w:val="right" w:pos="9637"/>
              </w:tabs>
              <w:spacing w:after="0"/>
              <w:jc w:val="both"/>
              <w:rPr>
                <w:rFonts w:ascii="Calibri" w:hAnsi="Calibri" w:cs="Calibri"/>
                <w:b/>
                <w:bCs/>
                <w:color w:val="1F497D"/>
                <w:sz w:val="20"/>
              </w:rPr>
            </w:pPr>
            <w:r>
              <w:rPr>
                <w:rFonts w:ascii="Calibri" w:hAnsi="Calibri" w:cs="Calibri"/>
                <w:color w:val="1F497D"/>
                <w:sz w:val="20"/>
              </w:rPr>
              <w:t xml:space="preserve">Amendments to </w:t>
            </w:r>
            <w:r w:rsidRPr="006A23FA">
              <w:rPr>
                <w:rFonts w:ascii="Calibri" w:hAnsi="Calibri" w:cs="Calibri"/>
                <w:b/>
                <w:bCs/>
                <w:color w:val="1F497D"/>
                <w:sz w:val="20"/>
              </w:rPr>
              <w:t>Policy 2.1.2 Investment of Surplus Funds</w:t>
            </w:r>
          </w:p>
        </w:tc>
      </w:tr>
      <w:tr w:rsidR="00592629" w:rsidRPr="00522F54" w14:paraId="431076F3" w14:textId="77777777" w:rsidTr="00413AC7">
        <w:trPr>
          <w:trHeight w:val="65"/>
        </w:trPr>
        <w:tc>
          <w:tcPr>
            <w:tcW w:w="1242" w:type="dxa"/>
            <w:shd w:val="clear" w:color="auto" w:fill="auto"/>
          </w:tcPr>
          <w:p w14:paraId="68EEBF18" w14:textId="039DCED6" w:rsidR="00592629" w:rsidRDefault="0059262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29</w:t>
            </w:r>
          </w:p>
        </w:tc>
        <w:tc>
          <w:tcPr>
            <w:tcW w:w="1872" w:type="dxa"/>
            <w:shd w:val="clear" w:color="auto" w:fill="auto"/>
          </w:tcPr>
          <w:p w14:paraId="2A25F27B" w14:textId="7AAAE272" w:rsidR="00592629" w:rsidRDefault="0059262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19 July 2022</w:t>
            </w:r>
          </w:p>
        </w:tc>
        <w:tc>
          <w:tcPr>
            <w:tcW w:w="5953" w:type="dxa"/>
            <w:shd w:val="clear" w:color="auto" w:fill="auto"/>
          </w:tcPr>
          <w:p w14:paraId="2D2E2E19" w14:textId="77777777" w:rsidR="00592629" w:rsidRDefault="00592629" w:rsidP="00D90BB9">
            <w:pPr>
              <w:tabs>
                <w:tab w:val="left" w:pos="1701"/>
                <w:tab w:val="right" w:pos="9637"/>
              </w:tabs>
              <w:spacing w:after="0"/>
              <w:jc w:val="both"/>
              <w:rPr>
                <w:rFonts w:ascii="Calibri" w:hAnsi="Calibri" w:cs="Calibri"/>
                <w:color w:val="1F497D"/>
                <w:sz w:val="20"/>
              </w:rPr>
            </w:pPr>
            <w:r>
              <w:rPr>
                <w:rFonts w:ascii="Calibri" w:hAnsi="Calibri" w:cs="Calibri"/>
                <w:color w:val="1F497D"/>
                <w:sz w:val="20"/>
              </w:rPr>
              <w:t>Amendments to</w:t>
            </w:r>
          </w:p>
          <w:p w14:paraId="2B25DE10" w14:textId="7DB5A930" w:rsidR="00592629" w:rsidRDefault="00592629" w:rsidP="00D90BB9">
            <w:pPr>
              <w:tabs>
                <w:tab w:val="left" w:pos="1701"/>
                <w:tab w:val="right" w:pos="9637"/>
              </w:tabs>
              <w:spacing w:after="0"/>
              <w:jc w:val="both"/>
              <w:rPr>
                <w:rFonts w:ascii="Calibri" w:hAnsi="Calibri" w:cs="Calibri"/>
                <w:b/>
                <w:bCs/>
                <w:color w:val="1F497D"/>
                <w:sz w:val="20"/>
              </w:rPr>
            </w:pPr>
            <w:r>
              <w:rPr>
                <w:rFonts w:ascii="Calibri" w:hAnsi="Calibri" w:cs="Calibri"/>
                <w:b/>
                <w:bCs/>
                <w:color w:val="1F497D"/>
                <w:sz w:val="20"/>
              </w:rPr>
              <w:t>Policy 2.1.4 Rates Exemption</w:t>
            </w:r>
          </w:p>
          <w:p w14:paraId="6EA6BA25" w14:textId="20300DAA" w:rsidR="00592629" w:rsidRDefault="00592629" w:rsidP="00D90BB9">
            <w:pPr>
              <w:tabs>
                <w:tab w:val="left" w:pos="1701"/>
                <w:tab w:val="right" w:pos="9637"/>
              </w:tabs>
              <w:spacing w:after="0"/>
              <w:jc w:val="both"/>
              <w:rPr>
                <w:rFonts w:ascii="Calibri" w:hAnsi="Calibri" w:cs="Calibri"/>
                <w:b/>
                <w:bCs/>
                <w:color w:val="1F497D"/>
                <w:sz w:val="20"/>
              </w:rPr>
            </w:pPr>
            <w:r>
              <w:rPr>
                <w:rFonts w:ascii="Calibri" w:hAnsi="Calibri" w:cs="Calibri"/>
                <w:b/>
                <w:bCs/>
                <w:color w:val="1F497D"/>
                <w:sz w:val="20"/>
              </w:rPr>
              <w:t>Policy 2.1.7 Debt Collection</w:t>
            </w:r>
          </w:p>
          <w:p w14:paraId="7368BA56" w14:textId="3C3D7AC3" w:rsidR="00592629" w:rsidRDefault="00592629" w:rsidP="00D90BB9">
            <w:pPr>
              <w:tabs>
                <w:tab w:val="left" w:pos="1701"/>
                <w:tab w:val="right" w:pos="9637"/>
              </w:tabs>
              <w:spacing w:after="0"/>
              <w:jc w:val="both"/>
              <w:rPr>
                <w:rFonts w:ascii="Calibri" w:hAnsi="Calibri" w:cs="Calibri"/>
                <w:b/>
                <w:bCs/>
                <w:color w:val="1F497D"/>
                <w:sz w:val="20"/>
              </w:rPr>
            </w:pPr>
            <w:r>
              <w:rPr>
                <w:rFonts w:ascii="Calibri" w:hAnsi="Calibri" w:cs="Calibri"/>
                <w:b/>
                <w:bCs/>
                <w:color w:val="1F497D"/>
                <w:sz w:val="20"/>
              </w:rPr>
              <w:t>Policy 2.1.10 Infringement Debt Management</w:t>
            </w:r>
          </w:p>
          <w:p w14:paraId="32544482" w14:textId="648CB3AD" w:rsidR="00592629" w:rsidRDefault="00592629" w:rsidP="00D90BB9">
            <w:pPr>
              <w:tabs>
                <w:tab w:val="left" w:pos="1701"/>
                <w:tab w:val="right" w:pos="9637"/>
              </w:tabs>
              <w:spacing w:after="0"/>
              <w:jc w:val="both"/>
              <w:rPr>
                <w:rFonts w:ascii="Calibri" w:hAnsi="Calibri" w:cs="Calibri"/>
                <w:b/>
                <w:bCs/>
                <w:color w:val="1F497D"/>
                <w:sz w:val="20"/>
              </w:rPr>
            </w:pPr>
            <w:r>
              <w:rPr>
                <w:rFonts w:ascii="Calibri" w:hAnsi="Calibri" w:cs="Calibri"/>
                <w:b/>
                <w:bCs/>
                <w:color w:val="1F497D"/>
                <w:sz w:val="20"/>
              </w:rPr>
              <w:t>Policy 2.1.16 Rates Concession</w:t>
            </w:r>
          </w:p>
          <w:p w14:paraId="0CD42EB4" w14:textId="0DF0F29E" w:rsidR="00592629" w:rsidRDefault="00592629" w:rsidP="00D90BB9">
            <w:pPr>
              <w:tabs>
                <w:tab w:val="left" w:pos="1701"/>
                <w:tab w:val="right" w:pos="9637"/>
              </w:tabs>
              <w:spacing w:after="0"/>
              <w:jc w:val="both"/>
              <w:rPr>
                <w:rFonts w:ascii="Calibri" w:hAnsi="Calibri" w:cs="Calibri"/>
                <w:color w:val="1F497D"/>
                <w:sz w:val="20"/>
              </w:rPr>
            </w:pPr>
            <w:r>
              <w:rPr>
                <w:rFonts w:ascii="Calibri" w:hAnsi="Calibri" w:cs="Calibri"/>
                <w:b/>
                <w:bCs/>
                <w:color w:val="1F497D"/>
                <w:sz w:val="20"/>
              </w:rPr>
              <w:t>Policy 2.1.17</w:t>
            </w:r>
            <w:r>
              <w:rPr>
                <w:rFonts w:ascii="Calibri" w:hAnsi="Calibri" w:cs="Calibri"/>
                <w:color w:val="1F497D"/>
                <w:sz w:val="20"/>
              </w:rPr>
              <w:t xml:space="preserve"> </w:t>
            </w:r>
            <w:r w:rsidRPr="00592629">
              <w:rPr>
                <w:rFonts w:ascii="Calibri" w:hAnsi="Calibri" w:cs="Calibri"/>
                <w:b/>
                <w:bCs/>
                <w:color w:val="1F497D"/>
                <w:sz w:val="20"/>
              </w:rPr>
              <w:t>Pensioners and Seniors Rebates</w:t>
            </w:r>
          </w:p>
        </w:tc>
      </w:tr>
      <w:tr w:rsidR="00185BF4" w:rsidRPr="00522F54" w14:paraId="7AB4F303" w14:textId="77777777" w:rsidTr="00413AC7">
        <w:trPr>
          <w:trHeight w:val="65"/>
        </w:trPr>
        <w:tc>
          <w:tcPr>
            <w:tcW w:w="1242" w:type="dxa"/>
            <w:shd w:val="clear" w:color="auto" w:fill="auto"/>
          </w:tcPr>
          <w:p w14:paraId="771B5213" w14:textId="2B5E375F" w:rsidR="00185BF4" w:rsidRDefault="00185BF4"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30</w:t>
            </w:r>
          </w:p>
        </w:tc>
        <w:tc>
          <w:tcPr>
            <w:tcW w:w="1872" w:type="dxa"/>
            <w:shd w:val="clear" w:color="auto" w:fill="auto"/>
          </w:tcPr>
          <w:p w14:paraId="6E289E4F" w14:textId="4A538677" w:rsidR="00185BF4" w:rsidRDefault="00F709C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15 November 2022</w:t>
            </w:r>
          </w:p>
        </w:tc>
        <w:tc>
          <w:tcPr>
            <w:tcW w:w="5953" w:type="dxa"/>
            <w:shd w:val="clear" w:color="auto" w:fill="auto"/>
          </w:tcPr>
          <w:p w14:paraId="274E1CD6" w14:textId="073DBBB7" w:rsidR="00185BF4" w:rsidRPr="00F709C9" w:rsidRDefault="00F709C9" w:rsidP="00D90BB9">
            <w:pPr>
              <w:tabs>
                <w:tab w:val="left" w:pos="1701"/>
                <w:tab w:val="right" w:pos="9637"/>
              </w:tabs>
              <w:spacing w:after="0"/>
              <w:jc w:val="both"/>
              <w:rPr>
                <w:rFonts w:ascii="Calibri" w:hAnsi="Calibri" w:cs="Calibri"/>
                <w:b/>
                <w:bCs/>
                <w:color w:val="1F497D"/>
                <w:sz w:val="20"/>
              </w:rPr>
            </w:pPr>
            <w:r>
              <w:rPr>
                <w:rFonts w:ascii="Calibri" w:hAnsi="Calibri" w:cs="Calibri"/>
                <w:color w:val="1F497D"/>
                <w:sz w:val="20"/>
              </w:rPr>
              <w:t xml:space="preserve">New </w:t>
            </w:r>
            <w:r>
              <w:rPr>
                <w:rFonts w:ascii="Calibri" w:hAnsi="Calibri" w:cs="Calibri"/>
                <w:b/>
                <w:bCs/>
                <w:color w:val="1F497D"/>
                <w:sz w:val="20"/>
              </w:rPr>
              <w:t>Policy 4.2.3 Tree Management and Protection in Public Places Plan</w:t>
            </w:r>
          </w:p>
        </w:tc>
      </w:tr>
      <w:tr w:rsidR="0014591B" w:rsidRPr="00522F54" w14:paraId="385A87B8" w14:textId="77777777" w:rsidTr="00413AC7">
        <w:trPr>
          <w:trHeight w:val="65"/>
        </w:trPr>
        <w:tc>
          <w:tcPr>
            <w:tcW w:w="1242" w:type="dxa"/>
            <w:shd w:val="clear" w:color="auto" w:fill="auto"/>
          </w:tcPr>
          <w:p w14:paraId="74F5EFF2" w14:textId="35333B2F" w:rsidR="0014591B" w:rsidRDefault="0014591B"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w:t>
            </w:r>
            <w:r w:rsidR="00F709C9">
              <w:rPr>
                <w:rFonts w:ascii="Calibri" w:hAnsi="Calibri" w:cs="Calibri"/>
                <w:bCs/>
                <w:color w:val="1F497D"/>
                <w:sz w:val="20"/>
              </w:rPr>
              <w:t>1</w:t>
            </w:r>
          </w:p>
        </w:tc>
        <w:tc>
          <w:tcPr>
            <w:tcW w:w="1872" w:type="dxa"/>
            <w:shd w:val="clear" w:color="auto" w:fill="auto"/>
          </w:tcPr>
          <w:p w14:paraId="1A0316BF" w14:textId="09FE6DC6" w:rsidR="0014591B" w:rsidRDefault="0014591B"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16 May 2023</w:t>
            </w:r>
          </w:p>
        </w:tc>
        <w:tc>
          <w:tcPr>
            <w:tcW w:w="5953" w:type="dxa"/>
            <w:shd w:val="clear" w:color="auto" w:fill="auto"/>
          </w:tcPr>
          <w:p w14:paraId="038C4C5F" w14:textId="223B4F8A" w:rsidR="0014591B" w:rsidRPr="0014591B" w:rsidRDefault="0014591B" w:rsidP="00D90BB9">
            <w:pPr>
              <w:tabs>
                <w:tab w:val="left" w:pos="1701"/>
                <w:tab w:val="right" w:pos="9637"/>
              </w:tabs>
              <w:spacing w:after="0"/>
              <w:jc w:val="both"/>
              <w:rPr>
                <w:rFonts w:ascii="Calibri" w:hAnsi="Calibri" w:cs="Calibri"/>
                <w:b/>
                <w:bCs/>
                <w:color w:val="1F497D"/>
                <w:sz w:val="20"/>
              </w:rPr>
            </w:pPr>
            <w:r>
              <w:rPr>
                <w:rFonts w:ascii="Calibri" w:hAnsi="Calibri" w:cs="Calibri"/>
                <w:color w:val="1F497D"/>
                <w:sz w:val="20"/>
              </w:rPr>
              <w:t xml:space="preserve">Amendment to </w:t>
            </w:r>
            <w:r>
              <w:rPr>
                <w:rFonts w:ascii="Calibri" w:hAnsi="Calibri" w:cs="Calibri"/>
                <w:b/>
                <w:bCs/>
                <w:color w:val="1F497D"/>
                <w:sz w:val="20"/>
              </w:rPr>
              <w:t>Policy 3.1.3 Town Centre Redevelopment Guidelines – Local Planning Policy</w:t>
            </w:r>
          </w:p>
        </w:tc>
      </w:tr>
      <w:tr w:rsidR="00F979FC" w:rsidRPr="00522F54" w14:paraId="2529BBAC" w14:textId="77777777" w:rsidTr="00413AC7">
        <w:trPr>
          <w:trHeight w:val="65"/>
        </w:trPr>
        <w:tc>
          <w:tcPr>
            <w:tcW w:w="1242" w:type="dxa"/>
            <w:shd w:val="clear" w:color="auto" w:fill="auto"/>
          </w:tcPr>
          <w:p w14:paraId="7FB30A4C" w14:textId="028B63DD" w:rsidR="00F979FC" w:rsidRDefault="00F979FC"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w:t>
            </w:r>
            <w:r w:rsidR="00F709C9">
              <w:rPr>
                <w:rFonts w:ascii="Calibri" w:hAnsi="Calibri" w:cs="Calibri"/>
                <w:bCs/>
                <w:color w:val="1F497D"/>
                <w:sz w:val="20"/>
              </w:rPr>
              <w:t>2</w:t>
            </w:r>
          </w:p>
        </w:tc>
        <w:tc>
          <w:tcPr>
            <w:tcW w:w="1872" w:type="dxa"/>
            <w:shd w:val="clear" w:color="auto" w:fill="auto"/>
          </w:tcPr>
          <w:p w14:paraId="129EF0D6" w14:textId="1F247D0D" w:rsidR="00F979FC" w:rsidRDefault="00F979FC"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18 July 2023</w:t>
            </w:r>
          </w:p>
        </w:tc>
        <w:tc>
          <w:tcPr>
            <w:tcW w:w="5953" w:type="dxa"/>
            <w:shd w:val="clear" w:color="auto" w:fill="auto"/>
          </w:tcPr>
          <w:p w14:paraId="7689F284" w14:textId="563011ED" w:rsidR="00F979FC" w:rsidRPr="00F979FC" w:rsidRDefault="00F979FC" w:rsidP="00D90BB9">
            <w:pPr>
              <w:tabs>
                <w:tab w:val="left" w:pos="1701"/>
                <w:tab w:val="right" w:pos="9637"/>
              </w:tabs>
              <w:spacing w:after="0"/>
              <w:jc w:val="both"/>
              <w:rPr>
                <w:rFonts w:ascii="Calibri" w:hAnsi="Calibri" w:cs="Calibri"/>
                <w:color w:val="1F497D"/>
                <w:sz w:val="20"/>
              </w:rPr>
            </w:pPr>
            <w:r>
              <w:rPr>
                <w:rFonts w:ascii="Calibri" w:hAnsi="Calibri" w:cs="Calibri"/>
                <w:color w:val="1F497D"/>
                <w:sz w:val="20"/>
              </w:rPr>
              <w:t xml:space="preserve">New </w:t>
            </w:r>
            <w:r>
              <w:rPr>
                <w:rFonts w:ascii="Calibri" w:hAnsi="Calibri" w:cs="Calibri"/>
                <w:b/>
                <w:bCs/>
                <w:color w:val="1F497D"/>
                <w:sz w:val="20"/>
              </w:rPr>
              <w:t>Policy 3.1.4</w:t>
            </w:r>
            <w:r w:rsidR="00CD728D">
              <w:rPr>
                <w:rFonts w:ascii="Calibri" w:hAnsi="Calibri" w:cs="Calibri"/>
                <w:b/>
                <w:bCs/>
                <w:color w:val="1F497D"/>
                <w:sz w:val="20"/>
              </w:rPr>
              <w:t xml:space="preserve"> Payment in Lieu of Parking Plan – Local Planning Policy </w:t>
            </w:r>
            <w:r>
              <w:rPr>
                <w:rFonts w:ascii="Calibri" w:hAnsi="Calibri" w:cs="Calibri"/>
                <w:color w:val="1F497D"/>
                <w:sz w:val="20"/>
              </w:rPr>
              <w:t>(supersedes 3.1.4 George Street Parking)</w:t>
            </w:r>
          </w:p>
        </w:tc>
      </w:tr>
      <w:tr w:rsidR="0041150C" w:rsidRPr="00522F54" w14:paraId="72CAB59A" w14:textId="77777777" w:rsidTr="00413AC7">
        <w:trPr>
          <w:trHeight w:val="65"/>
        </w:trPr>
        <w:tc>
          <w:tcPr>
            <w:tcW w:w="1242" w:type="dxa"/>
            <w:shd w:val="clear" w:color="auto" w:fill="auto"/>
          </w:tcPr>
          <w:p w14:paraId="1AA3A91F" w14:textId="0D3FC84D" w:rsidR="0041150C" w:rsidRDefault="0041150C"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w:t>
            </w:r>
            <w:r w:rsidR="00F709C9">
              <w:rPr>
                <w:rFonts w:ascii="Calibri" w:hAnsi="Calibri" w:cs="Calibri"/>
                <w:bCs/>
                <w:color w:val="1F497D"/>
                <w:sz w:val="20"/>
              </w:rPr>
              <w:t>3</w:t>
            </w:r>
          </w:p>
        </w:tc>
        <w:tc>
          <w:tcPr>
            <w:tcW w:w="1872" w:type="dxa"/>
            <w:shd w:val="clear" w:color="auto" w:fill="auto"/>
          </w:tcPr>
          <w:p w14:paraId="139BD0B3" w14:textId="1B576465" w:rsidR="0041150C" w:rsidRDefault="0041150C"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15 August 2023</w:t>
            </w:r>
          </w:p>
        </w:tc>
        <w:tc>
          <w:tcPr>
            <w:tcW w:w="5953" w:type="dxa"/>
            <w:shd w:val="clear" w:color="auto" w:fill="auto"/>
          </w:tcPr>
          <w:p w14:paraId="5BA20C9C" w14:textId="44D85E87" w:rsidR="0041150C" w:rsidRPr="0041150C" w:rsidRDefault="0041150C" w:rsidP="00D90BB9">
            <w:pPr>
              <w:tabs>
                <w:tab w:val="left" w:pos="1701"/>
                <w:tab w:val="right" w:pos="9637"/>
              </w:tabs>
              <w:spacing w:after="0"/>
              <w:jc w:val="both"/>
              <w:rPr>
                <w:rFonts w:ascii="Calibri" w:hAnsi="Calibri" w:cs="Calibri"/>
                <w:b/>
                <w:bCs/>
                <w:color w:val="1F497D"/>
                <w:sz w:val="20"/>
              </w:rPr>
            </w:pPr>
            <w:r>
              <w:rPr>
                <w:rFonts w:ascii="Calibri" w:hAnsi="Calibri" w:cs="Calibri"/>
                <w:color w:val="1F497D"/>
                <w:sz w:val="20"/>
              </w:rPr>
              <w:t xml:space="preserve">New </w:t>
            </w:r>
            <w:r>
              <w:rPr>
                <w:rFonts w:ascii="Calibri" w:hAnsi="Calibri" w:cs="Calibri"/>
                <w:b/>
                <w:bCs/>
                <w:color w:val="1F497D"/>
                <w:sz w:val="20"/>
              </w:rPr>
              <w:t>Policy 2.2.10 Habitual or Vexatious Complaints</w:t>
            </w:r>
          </w:p>
        </w:tc>
      </w:tr>
      <w:tr w:rsidR="006B49C8" w:rsidRPr="00522F54" w14:paraId="16DCFED8" w14:textId="77777777" w:rsidTr="00413AC7">
        <w:trPr>
          <w:trHeight w:val="65"/>
        </w:trPr>
        <w:tc>
          <w:tcPr>
            <w:tcW w:w="1242" w:type="dxa"/>
            <w:shd w:val="clear" w:color="auto" w:fill="auto"/>
          </w:tcPr>
          <w:p w14:paraId="7B39EAFF" w14:textId="424BB7B9" w:rsidR="006B49C8" w:rsidRDefault="006B49C8"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w:t>
            </w:r>
            <w:r w:rsidR="00F709C9">
              <w:rPr>
                <w:rFonts w:ascii="Calibri" w:hAnsi="Calibri" w:cs="Calibri"/>
                <w:bCs/>
                <w:color w:val="1F497D"/>
                <w:sz w:val="20"/>
              </w:rPr>
              <w:t>4</w:t>
            </w:r>
          </w:p>
        </w:tc>
        <w:tc>
          <w:tcPr>
            <w:tcW w:w="1872" w:type="dxa"/>
            <w:shd w:val="clear" w:color="auto" w:fill="auto"/>
          </w:tcPr>
          <w:p w14:paraId="77F94101" w14:textId="12BB55DB" w:rsidR="006B49C8" w:rsidRDefault="006B49C8"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19 March 2024</w:t>
            </w:r>
          </w:p>
        </w:tc>
        <w:tc>
          <w:tcPr>
            <w:tcW w:w="5953" w:type="dxa"/>
            <w:shd w:val="clear" w:color="auto" w:fill="auto"/>
          </w:tcPr>
          <w:p w14:paraId="303FB3AF" w14:textId="4342AE11" w:rsidR="006B49C8" w:rsidRPr="006B49C8" w:rsidRDefault="006B49C8" w:rsidP="00D90BB9">
            <w:pPr>
              <w:tabs>
                <w:tab w:val="left" w:pos="1701"/>
                <w:tab w:val="right" w:pos="9637"/>
              </w:tabs>
              <w:spacing w:after="0"/>
              <w:jc w:val="both"/>
              <w:rPr>
                <w:rFonts w:ascii="Calibri" w:hAnsi="Calibri" w:cs="Calibri"/>
                <w:b/>
                <w:bCs/>
                <w:color w:val="1F497D"/>
                <w:sz w:val="20"/>
              </w:rPr>
            </w:pPr>
            <w:r>
              <w:rPr>
                <w:rFonts w:ascii="Calibri" w:hAnsi="Calibri" w:cs="Calibri"/>
                <w:color w:val="1F497D"/>
                <w:sz w:val="20"/>
              </w:rPr>
              <w:t xml:space="preserve">Amendment to </w:t>
            </w:r>
            <w:r>
              <w:rPr>
                <w:rFonts w:ascii="Calibri" w:hAnsi="Calibri" w:cs="Calibri"/>
                <w:b/>
                <w:bCs/>
                <w:color w:val="1F497D"/>
                <w:sz w:val="20"/>
              </w:rPr>
              <w:t>Policy 2.1.8 Corporate Credit Card</w:t>
            </w:r>
          </w:p>
        </w:tc>
      </w:tr>
      <w:tr w:rsidR="001B5B0A" w:rsidRPr="00522F54" w14:paraId="17CBC568" w14:textId="77777777" w:rsidTr="00413AC7">
        <w:trPr>
          <w:trHeight w:val="65"/>
        </w:trPr>
        <w:tc>
          <w:tcPr>
            <w:tcW w:w="1242" w:type="dxa"/>
            <w:shd w:val="clear" w:color="auto" w:fill="auto"/>
          </w:tcPr>
          <w:p w14:paraId="25190F13" w14:textId="7D7BD963" w:rsidR="001B5B0A" w:rsidRDefault="001B5B0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w:t>
            </w:r>
            <w:r w:rsidR="00F709C9">
              <w:rPr>
                <w:rFonts w:ascii="Calibri" w:hAnsi="Calibri" w:cs="Calibri"/>
                <w:bCs/>
                <w:color w:val="1F497D"/>
                <w:sz w:val="20"/>
              </w:rPr>
              <w:t>5</w:t>
            </w:r>
          </w:p>
        </w:tc>
        <w:tc>
          <w:tcPr>
            <w:tcW w:w="1872" w:type="dxa"/>
            <w:shd w:val="clear" w:color="auto" w:fill="auto"/>
          </w:tcPr>
          <w:p w14:paraId="4D6413AF" w14:textId="5CE0C8DC" w:rsidR="001B5B0A" w:rsidRDefault="001B5B0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10 April 2024</w:t>
            </w:r>
          </w:p>
        </w:tc>
        <w:tc>
          <w:tcPr>
            <w:tcW w:w="5953" w:type="dxa"/>
            <w:shd w:val="clear" w:color="auto" w:fill="auto"/>
          </w:tcPr>
          <w:p w14:paraId="49A2C1E6" w14:textId="77777777" w:rsidR="001B5B0A" w:rsidRDefault="001B5B0A"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color w:val="1F497D"/>
                <w:sz w:val="20"/>
              </w:rPr>
              <w:t xml:space="preserve">Amendment to </w:t>
            </w:r>
            <w:r>
              <w:rPr>
                <w:rFonts w:ascii="Calibri" w:hAnsi="Calibri" w:cs="Calibri"/>
                <w:b/>
                <w:bCs/>
                <w:color w:val="1F497D"/>
                <w:sz w:val="20"/>
              </w:rPr>
              <w:t>Policy 3.1.3 Town Centre Redevelopment Guidelines – Local Planning Policy</w:t>
            </w:r>
          </w:p>
          <w:p w14:paraId="1353FADE" w14:textId="23475862" w:rsidR="001B5B0A" w:rsidRPr="001B5B0A" w:rsidRDefault="001B5B0A" w:rsidP="001B5B0A">
            <w:pPr>
              <w:tabs>
                <w:tab w:val="left" w:pos="1701"/>
                <w:tab w:val="right" w:pos="9637"/>
              </w:tabs>
              <w:spacing w:after="0" w:line="240" w:lineRule="auto"/>
              <w:jc w:val="both"/>
              <w:rPr>
                <w:rFonts w:ascii="Calibri" w:hAnsi="Calibri" w:cs="Calibri"/>
                <w:color w:val="1F497D"/>
                <w:sz w:val="20"/>
              </w:rPr>
            </w:pPr>
            <w:r>
              <w:rPr>
                <w:rFonts w:ascii="Calibri" w:hAnsi="Calibri" w:cs="Calibri"/>
                <w:color w:val="1F497D"/>
                <w:sz w:val="20"/>
              </w:rPr>
              <w:t>(Council resolved 160523 to authorise further minor modifications following deferral gazettal period for amendments to State Planning Policy 7.3 Residential Design Codes Vol 1 &amp; 2)</w:t>
            </w:r>
          </w:p>
        </w:tc>
      </w:tr>
      <w:tr w:rsidR="00351F3D" w:rsidRPr="00522F54" w14:paraId="7CCDE702" w14:textId="77777777" w:rsidTr="00413AC7">
        <w:trPr>
          <w:trHeight w:val="65"/>
        </w:trPr>
        <w:tc>
          <w:tcPr>
            <w:tcW w:w="1242" w:type="dxa"/>
            <w:shd w:val="clear" w:color="auto" w:fill="auto"/>
          </w:tcPr>
          <w:p w14:paraId="065983B6" w14:textId="71976BAD" w:rsidR="00351F3D" w:rsidRDefault="00351F3D"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w:t>
            </w:r>
            <w:r w:rsidR="00F709C9">
              <w:rPr>
                <w:rFonts w:ascii="Calibri" w:hAnsi="Calibri" w:cs="Calibri"/>
                <w:bCs/>
                <w:color w:val="1F497D"/>
                <w:sz w:val="20"/>
              </w:rPr>
              <w:t>6</w:t>
            </w:r>
          </w:p>
        </w:tc>
        <w:tc>
          <w:tcPr>
            <w:tcW w:w="1872" w:type="dxa"/>
            <w:shd w:val="clear" w:color="auto" w:fill="auto"/>
          </w:tcPr>
          <w:p w14:paraId="331E87D4" w14:textId="3D30DA60" w:rsidR="00351F3D" w:rsidRDefault="00D376C6"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15 October</w:t>
            </w:r>
            <w:r w:rsidR="00351F3D">
              <w:rPr>
                <w:rFonts w:ascii="Calibri" w:hAnsi="Calibri" w:cs="Calibri"/>
                <w:bCs/>
                <w:color w:val="1F497D"/>
                <w:sz w:val="20"/>
              </w:rPr>
              <w:t xml:space="preserve"> 2024</w:t>
            </w:r>
          </w:p>
        </w:tc>
        <w:tc>
          <w:tcPr>
            <w:tcW w:w="5953" w:type="dxa"/>
            <w:shd w:val="clear" w:color="auto" w:fill="auto"/>
          </w:tcPr>
          <w:p w14:paraId="354D9806" w14:textId="2775E7EA" w:rsidR="00351F3D" w:rsidRDefault="00D376C6" w:rsidP="001B5B0A">
            <w:pPr>
              <w:tabs>
                <w:tab w:val="left" w:pos="1701"/>
                <w:tab w:val="right" w:pos="9637"/>
              </w:tabs>
              <w:spacing w:after="0" w:line="240" w:lineRule="auto"/>
              <w:jc w:val="both"/>
              <w:rPr>
                <w:rFonts w:ascii="Calibri" w:hAnsi="Calibri" w:cs="Calibri"/>
                <w:color w:val="1F497D"/>
                <w:sz w:val="20"/>
              </w:rPr>
            </w:pPr>
            <w:r>
              <w:rPr>
                <w:rFonts w:ascii="Calibri" w:hAnsi="Calibri" w:cs="Calibri"/>
                <w:color w:val="1F497D"/>
                <w:sz w:val="20"/>
              </w:rPr>
              <w:t xml:space="preserve">New </w:t>
            </w:r>
            <w:r>
              <w:rPr>
                <w:rFonts w:ascii="Calibri" w:hAnsi="Calibri" w:cs="Calibri"/>
                <w:b/>
                <w:bCs/>
                <w:color w:val="1F497D"/>
                <w:sz w:val="20"/>
              </w:rPr>
              <w:t>Policy 1.1.12 Recordkeeping for Elected Members</w:t>
            </w:r>
            <w:r w:rsidR="00351F3D">
              <w:rPr>
                <w:rFonts w:ascii="Calibri" w:hAnsi="Calibri" w:cs="Calibri"/>
                <w:color w:val="1F497D"/>
                <w:sz w:val="20"/>
              </w:rPr>
              <w:t xml:space="preserve"> </w:t>
            </w:r>
          </w:p>
        </w:tc>
      </w:tr>
      <w:tr w:rsidR="00D376C6" w:rsidRPr="00522F54" w14:paraId="4CB2F1C8" w14:textId="77777777" w:rsidTr="00413AC7">
        <w:trPr>
          <w:trHeight w:val="65"/>
        </w:trPr>
        <w:tc>
          <w:tcPr>
            <w:tcW w:w="1242" w:type="dxa"/>
            <w:shd w:val="clear" w:color="auto" w:fill="auto"/>
          </w:tcPr>
          <w:p w14:paraId="735AA6EB" w14:textId="0875D9B4" w:rsidR="00D376C6" w:rsidRDefault="00B028E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w:t>
            </w:r>
            <w:r w:rsidR="00F709C9">
              <w:rPr>
                <w:rFonts w:ascii="Calibri" w:hAnsi="Calibri" w:cs="Calibri"/>
                <w:bCs/>
                <w:color w:val="1F497D"/>
                <w:sz w:val="20"/>
              </w:rPr>
              <w:t>7</w:t>
            </w:r>
          </w:p>
        </w:tc>
        <w:tc>
          <w:tcPr>
            <w:tcW w:w="1872" w:type="dxa"/>
            <w:shd w:val="clear" w:color="auto" w:fill="auto"/>
          </w:tcPr>
          <w:p w14:paraId="77C285CC" w14:textId="23854598" w:rsidR="00D376C6" w:rsidRDefault="00B028E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19 November 2024</w:t>
            </w:r>
          </w:p>
        </w:tc>
        <w:tc>
          <w:tcPr>
            <w:tcW w:w="5953" w:type="dxa"/>
            <w:shd w:val="clear" w:color="auto" w:fill="auto"/>
          </w:tcPr>
          <w:p w14:paraId="4350D6EA" w14:textId="2A7B71F0" w:rsidR="00D376C6" w:rsidRDefault="00B028E9"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color w:val="1F497D"/>
                <w:sz w:val="20"/>
              </w:rPr>
              <w:t xml:space="preserve">New </w:t>
            </w:r>
            <w:r>
              <w:rPr>
                <w:rFonts w:ascii="Calibri" w:hAnsi="Calibri" w:cs="Calibri"/>
                <w:b/>
                <w:bCs/>
                <w:color w:val="1F497D"/>
                <w:sz w:val="20"/>
              </w:rPr>
              <w:t>Policy 2.1.20 Waste Services and Charging</w:t>
            </w:r>
          </w:p>
          <w:p w14:paraId="126CE3D5" w14:textId="77777777" w:rsidR="00B028E9" w:rsidRDefault="00B028E9"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color w:val="1F497D"/>
                <w:sz w:val="20"/>
              </w:rPr>
              <w:t xml:space="preserve">Revocation of </w:t>
            </w:r>
            <w:r>
              <w:rPr>
                <w:rFonts w:ascii="Calibri" w:hAnsi="Calibri" w:cs="Calibri"/>
                <w:b/>
                <w:bCs/>
                <w:color w:val="1F497D"/>
                <w:sz w:val="20"/>
              </w:rPr>
              <w:t>Policy 2.1.13 Rubbish Collection Charge</w:t>
            </w:r>
          </w:p>
          <w:p w14:paraId="7C93C9D5" w14:textId="6036D5A4" w:rsidR="00D4082F" w:rsidRPr="00D4082F" w:rsidRDefault="00D4082F" w:rsidP="001B5B0A">
            <w:pPr>
              <w:tabs>
                <w:tab w:val="left" w:pos="1701"/>
                <w:tab w:val="right" w:pos="9637"/>
              </w:tabs>
              <w:spacing w:after="0" w:line="240" w:lineRule="auto"/>
              <w:jc w:val="both"/>
              <w:rPr>
                <w:rFonts w:ascii="Calibri" w:hAnsi="Calibri" w:cs="Calibri"/>
                <w:b/>
                <w:bCs/>
                <w:color w:val="1F497D"/>
                <w:sz w:val="20"/>
              </w:rPr>
            </w:pPr>
            <w:r w:rsidRPr="00D4082F">
              <w:rPr>
                <w:rFonts w:ascii="Calibri" w:hAnsi="Calibri" w:cs="Calibri"/>
                <w:color w:val="1F497D"/>
                <w:sz w:val="20"/>
              </w:rPr>
              <w:t>Amendment</w:t>
            </w:r>
            <w:r w:rsidR="00C017EE">
              <w:rPr>
                <w:rFonts w:ascii="Calibri" w:hAnsi="Calibri" w:cs="Calibri"/>
                <w:color w:val="1F497D"/>
                <w:sz w:val="20"/>
              </w:rPr>
              <w:t>s</w:t>
            </w:r>
            <w:r w:rsidRPr="00D4082F">
              <w:rPr>
                <w:rFonts w:ascii="Calibri" w:hAnsi="Calibri" w:cs="Calibri"/>
                <w:color w:val="1F497D"/>
                <w:sz w:val="20"/>
              </w:rPr>
              <w:t xml:space="preserve"> to</w:t>
            </w:r>
            <w:r>
              <w:rPr>
                <w:rFonts w:ascii="Calibri" w:hAnsi="Calibri" w:cs="Calibri"/>
                <w:b/>
                <w:bCs/>
                <w:color w:val="1F497D"/>
                <w:sz w:val="20"/>
              </w:rPr>
              <w:t xml:space="preserve"> Policy 3.2.4 Verge Treatment</w:t>
            </w:r>
          </w:p>
        </w:tc>
      </w:tr>
      <w:tr w:rsidR="00F1050A" w:rsidRPr="00522F54" w14:paraId="4C3A8FBD" w14:textId="77777777" w:rsidTr="00413AC7">
        <w:trPr>
          <w:trHeight w:val="65"/>
        </w:trPr>
        <w:tc>
          <w:tcPr>
            <w:tcW w:w="1242" w:type="dxa"/>
            <w:shd w:val="clear" w:color="auto" w:fill="auto"/>
          </w:tcPr>
          <w:p w14:paraId="000A9E0D" w14:textId="52C4A5DC" w:rsidR="00F1050A" w:rsidRDefault="00F1050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lastRenderedPageBreak/>
              <w:t>3</w:t>
            </w:r>
            <w:r w:rsidR="00F709C9">
              <w:rPr>
                <w:rFonts w:ascii="Calibri" w:hAnsi="Calibri" w:cs="Calibri"/>
                <w:bCs/>
                <w:color w:val="1F497D"/>
                <w:sz w:val="20"/>
              </w:rPr>
              <w:t>8</w:t>
            </w:r>
          </w:p>
        </w:tc>
        <w:tc>
          <w:tcPr>
            <w:tcW w:w="1872" w:type="dxa"/>
            <w:shd w:val="clear" w:color="auto" w:fill="auto"/>
          </w:tcPr>
          <w:p w14:paraId="325E0AB3" w14:textId="18E8E9C0" w:rsidR="00F1050A" w:rsidRDefault="00F1050A"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18 March 2025</w:t>
            </w:r>
          </w:p>
        </w:tc>
        <w:tc>
          <w:tcPr>
            <w:tcW w:w="5953" w:type="dxa"/>
            <w:shd w:val="clear" w:color="auto" w:fill="auto"/>
          </w:tcPr>
          <w:p w14:paraId="5CCD54C9" w14:textId="5EB20E0C" w:rsidR="00F1050A" w:rsidRPr="00F1050A" w:rsidRDefault="00F1050A"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color w:val="1F497D"/>
                <w:sz w:val="20"/>
              </w:rPr>
              <w:t xml:space="preserve">Amendment to </w:t>
            </w:r>
            <w:r>
              <w:rPr>
                <w:rFonts w:ascii="Calibri" w:hAnsi="Calibri" w:cs="Calibri"/>
                <w:b/>
                <w:bCs/>
                <w:color w:val="1F497D"/>
                <w:sz w:val="20"/>
              </w:rPr>
              <w:t>Policy 2.1.3 Purchasing</w:t>
            </w:r>
          </w:p>
        </w:tc>
      </w:tr>
      <w:tr w:rsidR="00F709C9" w:rsidRPr="00522F54" w14:paraId="52CF321D" w14:textId="77777777" w:rsidTr="00413AC7">
        <w:trPr>
          <w:trHeight w:val="65"/>
        </w:trPr>
        <w:tc>
          <w:tcPr>
            <w:tcW w:w="1242" w:type="dxa"/>
            <w:shd w:val="clear" w:color="auto" w:fill="auto"/>
          </w:tcPr>
          <w:p w14:paraId="6A8C86C1" w14:textId="47BAC7EB" w:rsidR="00F709C9" w:rsidRDefault="00F709C9"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39</w:t>
            </w:r>
          </w:p>
        </w:tc>
        <w:tc>
          <w:tcPr>
            <w:tcW w:w="1872" w:type="dxa"/>
            <w:shd w:val="clear" w:color="auto" w:fill="auto"/>
          </w:tcPr>
          <w:p w14:paraId="2C1A7D18" w14:textId="4944050F" w:rsidR="00F709C9" w:rsidRDefault="00904BFC"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15 July 2025</w:t>
            </w:r>
          </w:p>
        </w:tc>
        <w:tc>
          <w:tcPr>
            <w:tcW w:w="5953" w:type="dxa"/>
            <w:shd w:val="clear" w:color="auto" w:fill="auto"/>
          </w:tcPr>
          <w:p w14:paraId="0F3DD98A" w14:textId="2287E68B" w:rsidR="00F709C9" w:rsidRPr="00904BFC" w:rsidRDefault="00904BFC"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color w:val="1F497D"/>
                <w:sz w:val="20"/>
              </w:rPr>
              <w:t xml:space="preserve">New </w:t>
            </w:r>
            <w:r>
              <w:rPr>
                <w:rFonts w:ascii="Calibri" w:hAnsi="Calibri" w:cs="Calibri"/>
                <w:b/>
                <w:bCs/>
                <w:color w:val="1F497D"/>
                <w:sz w:val="20"/>
              </w:rPr>
              <w:t xml:space="preserve">Policy 1.3.2 </w:t>
            </w:r>
            <w:r w:rsidR="003309BF">
              <w:rPr>
                <w:rFonts w:ascii="Calibri" w:hAnsi="Calibri" w:cs="Calibri"/>
                <w:b/>
                <w:bCs/>
                <w:color w:val="1F497D"/>
                <w:sz w:val="20"/>
              </w:rPr>
              <w:t>End of Year Office Closure</w:t>
            </w:r>
          </w:p>
        </w:tc>
      </w:tr>
      <w:tr w:rsidR="001C2952" w:rsidRPr="00522F54" w14:paraId="17F653C0" w14:textId="77777777" w:rsidTr="00413AC7">
        <w:trPr>
          <w:trHeight w:val="65"/>
        </w:trPr>
        <w:tc>
          <w:tcPr>
            <w:tcW w:w="1242" w:type="dxa"/>
            <w:shd w:val="clear" w:color="auto" w:fill="auto"/>
          </w:tcPr>
          <w:p w14:paraId="6CC781AE" w14:textId="3BDB8AF2" w:rsidR="001C2952" w:rsidRDefault="001C2952"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40</w:t>
            </w:r>
          </w:p>
        </w:tc>
        <w:tc>
          <w:tcPr>
            <w:tcW w:w="1872" w:type="dxa"/>
            <w:shd w:val="clear" w:color="auto" w:fill="auto"/>
          </w:tcPr>
          <w:p w14:paraId="3CC6E6F9" w14:textId="38EC437C" w:rsidR="001C2952" w:rsidRDefault="001C2952"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19 August 2025</w:t>
            </w:r>
          </w:p>
        </w:tc>
        <w:tc>
          <w:tcPr>
            <w:tcW w:w="5953" w:type="dxa"/>
            <w:shd w:val="clear" w:color="auto" w:fill="auto"/>
          </w:tcPr>
          <w:p w14:paraId="027C0740" w14:textId="77777777" w:rsidR="00281099" w:rsidRDefault="001C2952" w:rsidP="001B5B0A">
            <w:pPr>
              <w:tabs>
                <w:tab w:val="left" w:pos="1701"/>
                <w:tab w:val="right" w:pos="9637"/>
              </w:tabs>
              <w:spacing w:after="0" w:line="240" w:lineRule="auto"/>
              <w:jc w:val="both"/>
              <w:rPr>
                <w:rFonts w:ascii="Calibri" w:hAnsi="Calibri" w:cs="Calibri"/>
                <w:color w:val="1F497D"/>
                <w:sz w:val="20"/>
              </w:rPr>
            </w:pPr>
            <w:r>
              <w:rPr>
                <w:rFonts w:ascii="Calibri" w:hAnsi="Calibri" w:cs="Calibri"/>
                <w:color w:val="1F497D"/>
                <w:sz w:val="20"/>
              </w:rPr>
              <w:t>Amendment</w:t>
            </w:r>
            <w:r w:rsidR="00281099">
              <w:rPr>
                <w:rFonts w:ascii="Calibri" w:hAnsi="Calibri" w:cs="Calibri"/>
                <w:color w:val="1F497D"/>
                <w:sz w:val="20"/>
              </w:rPr>
              <w:t>s</w:t>
            </w:r>
            <w:r>
              <w:rPr>
                <w:rFonts w:ascii="Calibri" w:hAnsi="Calibri" w:cs="Calibri"/>
                <w:color w:val="1F497D"/>
                <w:sz w:val="20"/>
              </w:rPr>
              <w:t xml:space="preserve"> to</w:t>
            </w:r>
            <w:r w:rsidR="00281099">
              <w:rPr>
                <w:rFonts w:ascii="Calibri" w:hAnsi="Calibri" w:cs="Calibri"/>
                <w:color w:val="1F497D"/>
                <w:sz w:val="20"/>
              </w:rPr>
              <w:t>:</w:t>
            </w:r>
            <w:r>
              <w:rPr>
                <w:rFonts w:ascii="Calibri" w:hAnsi="Calibri" w:cs="Calibri"/>
                <w:color w:val="1F497D"/>
                <w:sz w:val="20"/>
              </w:rPr>
              <w:t xml:space="preserve"> </w:t>
            </w:r>
          </w:p>
          <w:p w14:paraId="012B76D5" w14:textId="77777777" w:rsidR="001C2952" w:rsidRDefault="001C2952"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b/>
                <w:bCs/>
                <w:color w:val="1F497D"/>
                <w:sz w:val="20"/>
              </w:rPr>
              <w:t>Policy 1.1.11 Elections – Caretaker Period</w:t>
            </w:r>
          </w:p>
          <w:p w14:paraId="3597B48D" w14:textId="16177F6F" w:rsidR="00281099" w:rsidRPr="001C2952" w:rsidRDefault="00281099"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b/>
                <w:bCs/>
                <w:color w:val="1F497D"/>
                <w:sz w:val="20"/>
              </w:rPr>
              <w:t>Policy 4.</w:t>
            </w:r>
            <w:r w:rsidR="006F7BC1">
              <w:rPr>
                <w:rFonts w:ascii="Calibri" w:hAnsi="Calibri" w:cs="Calibri"/>
                <w:b/>
                <w:bCs/>
                <w:color w:val="1F497D"/>
                <w:sz w:val="20"/>
              </w:rPr>
              <w:t>1.2 Public Art Panel</w:t>
            </w:r>
          </w:p>
        </w:tc>
      </w:tr>
      <w:tr w:rsidR="00F97FA8" w:rsidRPr="00522F54" w14:paraId="16F169E0" w14:textId="77777777" w:rsidTr="00413AC7">
        <w:trPr>
          <w:trHeight w:val="65"/>
        </w:trPr>
        <w:tc>
          <w:tcPr>
            <w:tcW w:w="1242" w:type="dxa"/>
            <w:shd w:val="clear" w:color="auto" w:fill="auto"/>
          </w:tcPr>
          <w:p w14:paraId="0A9974EE" w14:textId="7260511C" w:rsidR="00F97FA8" w:rsidRDefault="00F97FA8"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41</w:t>
            </w:r>
          </w:p>
        </w:tc>
        <w:tc>
          <w:tcPr>
            <w:tcW w:w="1872" w:type="dxa"/>
            <w:shd w:val="clear" w:color="auto" w:fill="auto"/>
          </w:tcPr>
          <w:p w14:paraId="3C27823D" w14:textId="450926AA" w:rsidR="00F97FA8" w:rsidRDefault="00F97FA8"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16 September 2025</w:t>
            </w:r>
          </w:p>
        </w:tc>
        <w:tc>
          <w:tcPr>
            <w:tcW w:w="5953" w:type="dxa"/>
            <w:shd w:val="clear" w:color="auto" w:fill="auto"/>
          </w:tcPr>
          <w:p w14:paraId="52BC2557" w14:textId="275061D5" w:rsidR="00F97FA8" w:rsidRPr="00F97FA8" w:rsidRDefault="00F97FA8"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color w:val="1F497D"/>
                <w:sz w:val="20"/>
              </w:rPr>
              <w:t xml:space="preserve">Amendment to </w:t>
            </w:r>
            <w:r>
              <w:rPr>
                <w:rFonts w:ascii="Calibri" w:hAnsi="Calibri" w:cs="Calibri"/>
                <w:b/>
                <w:bCs/>
                <w:color w:val="1F497D"/>
                <w:sz w:val="20"/>
              </w:rPr>
              <w:t xml:space="preserve">Policy </w:t>
            </w:r>
            <w:r w:rsidR="00446784">
              <w:rPr>
                <w:rFonts w:ascii="Calibri" w:hAnsi="Calibri" w:cs="Calibri"/>
                <w:b/>
                <w:bCs/>
                <w:color w:val="1F497D"/>
                <w:sz w:val="20"/>
              </w:rPr>
              <w:t>2.1.3 Purchasing</w:t>
            </w:r>
          </w:p>
        </w:tc>
      </w:tr>
      <w:tr w:rsidR="009C6DD8" w:rsidRPr="00522F54" w14:paraId="0FF1C21A" w14:textId="77777777" w:rsidTr="00413AC7">
        <w:trPr>
          <w:trHeight w:val="65"/>
        </w:trPr>
        <w:tc>
          <w:tcPr>
            <w:tcW w:w="1242" w:type="dxa"/>
            <w:shd w:val="clear" w:color="auto" w:fill="auto"/>
          </w:tcPr>
          <w:p w14:paraId="22BDAA8A" w14:textId="4CA32CAB" w:rsidR="009C6DD8" w:rsidRDefault="009C6DD8"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42</w:t>
            </w:r>
          </w:p>
        </w:tc>
        <w:tc>
          <w:tcPr>
            <w:tcW w:w="1872" w:type="dxa"/>
            <w:shd w:val="clear" w:color="auto" w:fill="auto"/>
          </w:tcPr>
          <w:p w14:paraId="6144301F" w14:textId="5A4FC2B6" w:rsidR="009C6DD8" w:rsidRDefault="009C6DD8"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28 October 2025</w:t>
            </w:r>
          </w:p>
        </w:tc>
        <w:tc>
          <w:tcPr>
            <w:tcW w:w="5953" w:type="dxa"/>
            <w:shd w:val="clear" w:color="auto" w:fill="auto"/>
          </w:tcPr>
          <w:p w14:paraId="0FF6F3C0" w14:textId="293D1192" w:rsidR="009C6DD8" w:rsidRPr="009C6DD8" w:rsidRDefault="009C6DD8"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color w:val="1F497D"/>
                <w:sz w:val="20"/>
              </w:rPr>
              <w:t xml:space="preserve">Amendment to </w:t>
            </w:r>
            <w:r>
              <w:rPr>
                <w:rFonts w:ascii="Calibri" w:hAnsi="Calibri" w:cs="Calibri"/>
                <w:b/>
                <w:bCs/>
                <w:color w:val="1F497D"/>
                <w:sz w:val="20"/>
              </w:rPr>
              <w:t>Policy 2.1.11 Community Grants &amp; Sponsorship</w:t>
            </w:r>
          </w:p>
        </w:tc>
      </w:tr>
      <w:tr w:rsidR="003F1D8D" w:rsidRPr="00522F54" w14:paraId="7D987146" w14:textId="77777777" w:rsidTr="00413AC7">
        <w:trPr>
          <w:trHeight w:val="65"/>
        </w:trPr>
        <w:tc>
          <w:tcPr>
            <w:tcW w:w="1242" w:type="dxa"/>
            <w:shd w:val="clear" w:color="auto" w:fill="auto"/>
          </w:tcPr>
          <w:p w14:paraId="4D49B649" w14:textId="6522C890" w:rsidR="003F1D8D" w:rsidRDefault="003F1D8D"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43</w:t>
            </w:r>
          </w:p>
        </w:tc>
        <w:tc>
          <w:tcPr>
            <w:tcW w:w="1872" w:type="dxa"/>
            <w:shd w:val="clear" w:color="auto" w:fill="auto"/>
          </w:tcPr>
          <w:p w14:paraId="1FE2E164" w14:textId="206B8A58" w:rsidR="003F1D8D" w:rsidRDefault="003F1D8D"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18 November 2025</w:t>
            </w:r>
          </w:p>
        </w:tc>
        <w:tc>
          <w:tcPr>
            <w:tcW w:w="5953" w:type="dxa"/>
            <w:shd w:val="clear" w:color="auto" w:fill="auto"/>
          </w:tcPr>
          <w:p w14:paraId="5DED8F1F" w14:textId="0114CEBB" w:rsidR="003F1D8D" w:rsidRPr="003F1D8D" w:rsidRDefault="003F1D8D"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color w:val="1F497D"/>
                <w:sz w:val="20"/>
              </w:rPr>
              <w:t xml:space="preserve">New </w:t>
            </w:r>
            <w:r>
              <w:rPr>
                <w:rFonts w:ascii="Calibri" w:hAnsi="Calibri" w:cs="Calibri"/>
                <w:b/>
                <w:bCs/>
                <w:color w:val="1F497D"/>
                <w:sz w:val="20"/>
              </w:rPr>
              <w:t>Policy 1.1.13</w:t>
            </w:r>
            <w:r w:rsidR="00840B2C">
              <w:rPr>
                <w:rFonts w:ascii="Calibri" w:hAnsi="Calibri" w:cs="Calibri"/>
                <w:b/>
                <w:bCs/>
                <w:color w:val="1F497D"/>
                <w:sz w:val="20"/>
              </w:rPr>
              <w:t xml:space="preserve"> Recognition of Service </w:t>
            </w:r>
            <w:r w:rsidR="00D75B37">
              <w:rPr>
                <w:rFonts w:ascii="Calibri" w:hAnsi="Calibri" w:cs="Calibri"/>
                <w:b/>
                <w:bCs/>
                <w:color w:val="1F497D"/>
                <w:sz w:val="20"/>
              </w:rPr>
              <w:t>– Council Members</w:t>
            </w:r>
          </w:p>
        </w:tc>
      </w:tr>
      <w:tr w:rsidR="006472C8" w:rsidRPr="00522F54" w14:paraId="6BA19DD1" w14:textId="77777777" w:rsidTr="00413AC7">
        <w:trPr>
          <w:trHeight w:val="65"/>
        </w:trPr>
        <w:tc>
          <w:tcPr>
            <w:tcW w:w="1242" w:type="dxa"/>
            <w:shd w:val="clear" w:color="auto" w:fill="auto"/>
          </w:tcPr>
          <w:p w14:paraId="0890802B" w14:textId="15552B5A" w:rsidR="006472C8" w:rsidRDefault="003D65FF"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44</w:t>
            </w:r>
          </w:p>
        </w:tc>
        <w:tc>
          <w:tcPr>
            <w:tcW w:w="1872" w:type="dxa"/>
            <w:shd w:val="clear" w:color="auto" w:fill="auto"/>
          </w:tcPr>
          <w:p w14:paraId="2A91ADCA" w14:textId="6618909F" w:rsidR="006472C8" w:rsidRDefault="003D65FF" w:rsidP="00FA5404">
            <w:pPr>
              <w:tabs>
                <w:tab w:val="left" w:pos="1701"/>
                <w:tab w:val="right" w:pos="9637"/>
              </w:tabs>
              <w:jc w:val="both"/>
              <w:rPr>
                <w:rFonts w:ascii="Calibri" w:hAnsi="Calibri" w:cs="Calibri"/>
                <w:bCs/>
                <w:color w:val="1F497D"/>
                <w:sz w:val="20"/>
              </w:rPr>
            </w:pPr>
            <w:r>
              <w:rPr>
                <w:rFonts w:ascii="Calibri" w:hAnsi="Calibri" w:cs="Calibri"/>
                <w:bCs/>
                <w:color w:val="1F497D"/>
                <w:sz w:val="20"/>
              </w:rPr>
              <w:t>9 December 2025</w:t>
            </w:r>
          </w:p>
        </w:tc>
        <w:tc>
          <w:tcPr>
            <w:tcW w:w="5953" w:type="dxa"/>
            <w:shd w:val="clear" w:color="auto" w:fill="auto"/>
          </w:tcPr>
          <w:p w14:paraId="46783DA2" w14:textId="77777777" w:rsidR="006472C8" w:rsidRDefault="003D65FF" w:rsidP="001B5B0A">
            <w:pPr>
              <w:tabs>
                <w:tab w:val="left" w:pos="1701"/>
                <w:tab w:val="right" w:pos="9637"/>
              </w:tabs>
              <w:spacing w:after="0" w:line="240" w:lineRule="auto"/>
              <w:jc w:val="both"/>
              <w:rPr>
                <w:rFonts w:ascii="Calibri" w:hAnsi="Calibri" w:cs="Calibri"/>
                <w:color w:val="1F497D"/>
                <w:sz w:val="20"/>
              </w:rPr>
            </w:pPr>
            <w:r>
              <w:rPr>
                <w:rFonts w:ascii="Calibri" w:hAnsi="Calibri" w:cs="Calibri"/>
                <w:color w:val="1F497D"/>
                <w:sz w:val="20"/>
              </w:rPr>
              <w:t>Amendments to:</w:t>
            </w:r>
          </w:p>
          <w:p w14:paraId="2883B567" w14:textId="77777777" w:rsidR="003D65FF" w:rsidRDefault="003D65FF"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b/>
                <w:bCs/>
                <w:color w:val="1F497D"/>
                <w:sz w:val="20"/>
              </w:rPr>
              <w:t>Policy 2.1.2 Investment of Surplus Funds</w:t>
            </w:r>
          </w:p>
          <w:p w14:paraId="0F9AB77F" w14:textId="77777777" w:rsidR="003D65FF" w:rsidRDefault="003D65FF"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b/>
                <w:bCs/>
                <w:color w:val="1F497D"/>
                <w:sz w:val="20"/>
              </w:rPr>
              <w:t>Policy 2.1.10 Infringement Debt Management</w:t>
            </w:r>
          </w:p>
          <w:p w14:paraId="5BBA5038" w14:textId="77777777" w:rsidR="003D65FF" w:rsidRDefault="003D65FF" w:rsidP="001B5B0A">
            <w:pPr>
              <w:tabs>
                <w:tab w:val="left" w:pos="1701"/>
                <w:tab w:val="right" w:pos="9637"/>
              </w:tabs>
              <w:spacing w:after="0" w:line="240" w:lineRule="auto"/>
              <w:jc w:val="both"/>
              <w:rPr>
                <w:rFonts w:ascii="Calibri" w:hAnsi="Calibri" w:cs="Calibri"/>
                <w:color w:val="1F497D"/>
                <w:sz w:val="20"/>
              </w:rPr>
            </w:pPr>
            <w:r>
              <w:rPr>
                <w:rFonts w:ascii="Calibri" w:hAnsi="Calibri" w:cs="Calibri"/>
                <w:color w:val="1F497D"/>
                <w:sz w:val="20"/>
              </w:rPr>
              <w:t xml:space="preserve">Removal of </w:t>
            </w:r>
          </w:p>
          <w:p w14:paraId="7BB1CE4F" w14:textId="77777777" w:rsidR="003D65FF" w:rsidRDefault="003D65FF" w:rsidP="001B5B0A">
            <w:pPr>
              <w:tabs>
                <w:tab w:val="left" w:pos="1701"/>
                <w:tab w:val="right" w:pos="9637"/>
              </w:tabs>
              <w:spacing w:after="0" w:line="240" w:lineRule="auto"/>
              <w:jc w:val="both"/>
              <w:rPr>
                <w:rFonts w:ascii="Calibri" w:hAnsi="Calibri" w:cs="Calibri"/>
                <w:b/>
                <w:bCs/>
                <w:color w:val="1F497D"/>
                <w:sz w:val="20"/>
              </w:rPr>
            </w:pPr>
            <w:r>
              <w:rPr>
                <w:rFonts w:ascii="Calibri" w:hAnsi="Calibri" w:cs="Calibri"/>
                <w:b/>
                <w:bCs/>
                <w:color w:val="1F497D"/>
                <w:sz w:val="20"/>
              </w:rPr>
              <w:t>Policy 2.1.14 Motor Vehicle Acquisition &amp; Usage</w:t>
            </w:r>
          </w:p>
          <w:p w14:paraId="31C4F2C1" w14:textId="35EEB4F4" w:rsidR="003D65FF" w:rsidRPr="003D65FF" w:rsidRDefault="003D65FF" w:rsidP="001B5B0A">
            <w:pPr>
              <w:tabs>
                <w:tab w:val="left" w:pos="1701"/>
                <w:tab w:val="right" w:pos="9637"/>
              </w:tabs>
              <w:spacing w:after="0" w:line="240" w:lineRule="auto"/>
              <w:jc w:val="both"/>
              <w:rPr>
                <w:rFonts w:ascii="Calibri" w:hAnsi="Calibri" w:cs="Calibri"/>
                <w:color w:val="1F497D"/>
                <w:sz w:val="20"/>
              </w:rPr>
            </w:pPr>
            <w:r>
              <w:rPr>
                <w:rFonts w:ascii="Calibri" w:hAnsi="Calibri" w:cs="Calibri"/>
                <w:color w:val="1F497D"/>
                <w:sz w:val="20"/>
              </w:rPr>
              <w:t>which has been converted to an Administration Policy</w:t>
            </w:r>
          </w:p>
        </w:tc>
      </w:tr>
    </w:tbl>
    <w:p w14:paraId="4C67CED6" w14:textId="77777777" w:rsidR="0033352E" w:rsidRDefault="0033352E">
      <w:pPr>
        <w:rPr>
          <w:lang w:val="en-US"/>
        </w:rPr>
      </w:pPr>
      <w:r>
        <w:rPr>
          <w:lang w:val="en-US"/>
        </w:rPr>
        <w:br w:type="page"/>
      </w:r>
    </w:p>
    <w:p w14:paraId="4CB9E63D" w14:textId="77777777" w:rsidR="00707F63" w:rsidRDefault="00707F63">
      <w:pPr>
        <w:rPr>
          <w:lang w:val="en-US"/>
        </w:rPr>
      </w:pPr>
    </w:p>
    <w:p w14:paraId="75282021" w14:textId="77777777" w:rsidR="00391FD9" w:rsidRPr="00391FD9" w:rsidRDefault="00391FD9" w:rsidP="00391FD9">
      <w:pPr>
        <w:jc w:val="center"/>
        <w:rPr>
          <w:rFonts w:ascii="Arial" w:hAnsi="Arial" w:cs="Arial"/>
          <w:b/>
          <w:sz w:val="28"/>
          <w:szCs w:val="28"/>
          <w:lang w:val="en-US"/>
        </w:rPr>
      </w:pPr>
      <w:r w:rsidRPr="00391FD9">
        <w:rPr>
          <w:rFonts w:ascii="Arial" w:hAnsi="Arial" w:cs="Arial"/>
          <w:b/>
          <w:sz w:val="28"/>
          <w:szCs w:val="28"/>
          <w:lang w:val="en-US"/>
        </w:rPr>
        <w:t>TABLE OF CONTENTS</w:t>
      </w:r>
    </w:p>
    <w:p w14:paraId="71EA885E" w14:textId="3EEA8C35" w:rsidR="00746ABF" w:rsidRDefault="00443F2C">
      <w:pPr>
        <w:pStyle w:val="TOC1"/>
        <w:rPr>
          <w:rFonts w:eastAsiaTheme="minorEastAsia"/>
          <w:noProof/>
          <w:kern w:val="2"/>
          <w:szCs w:val="24"/>
          <w:lang w:eastAsia="en-AU"/>
          <w14:ligatures w14:val="standardContextual"/>
        </w:rPr>
      </w:pPr>
      <w:r>
        <w:rPr>
          <w:lang w:val="en-US"/>
        </w:rPr>
        <w:fldChar w:fldCharType="begin"/>
      </w:r>
      <w:r>
        <w:rPr>
          <w:lang w:val="en-US"/>
        </w:rPr>
        <w:instrText xml:space="preserve"> TOC \n \p " " \h \z \t "Policy 1,1,Policy 2,2,Policy 3,3" </w:instrText>
      </w:r>
      <w:r>
        <w:rPr>
          <w:lang w:val="en-US"/>
        </w:rPr>
        <w:fldChar w:fldCharType="separate"/>
      </w:r>
      <w:hyperlink w:anchor="_Toc216866644" w:history="1">
        <w:r w:rsidR="00746ABF" w:rsidRPr="00000567">
          <w:rPr>
            <w:rStyle w:val="Hyperlink"/>
            <w:noProof/>
          </w:rPr>
          <w:t>1.</w:t>
        </w:r>
        <w:r w:rsidR="00746ABF">
          <w:rPr>
            <w:rFonts w:eastAsiaTheme="minorEastAsia"/>
            <w:noProof/>
            <w:kern w:val="2"/>
            <w:szCs w:val="24"/>
            <w:lang w:eastAsia="en-AU"/>
            <w14:ligatures w14:val="standardContextual"/>
          </w:rPr>
          <w:tab/>
        </w:r>
        <w:r w:rsidR="00746ABF" w:rsidRPr="00000567">
          <w:rPr>
            <w:rStyle w:val="Hyperlink"/>
            <w:noProof/>
          </w:rPr>
          <w:t>OFFICE OF THE CEO</w:t>
        </w:r>
      </w:hyperlink>
    </w:p>
    <w:p w14:paraId="4D7E80D3" w14:textId="0C2176E6" w:rsidR="00746ABF" w:rsidRDefault="00746ABF">
      <w:pPr>
        <w:pStyle w:val="TOC2"/>
        <w:rPr>
          <w:rFonts w:eastAsiaTheme="minorEastAsia"/>
          <w:noProof/>
          <w:kern w:val="2"/>
          <w:sz w:val="24"/>
          <w:szCs w:val="24"/>
          <w:lang w:eastAsia="en-AU"/>
          <w14:ligatures w14:val="standardContextual"/>
        </w:rPr>
      </w:pPr>
      <w:hyperlink w:anchor="_Toc216866645" w:history="1">
        <w:r w:rsidRPr="00000567">
          <w:rPr>
            <w:rStyle w:val="Hyperlink"/>
            <w:noProof/>
          </w:rPr>
          <w:t>1.1</w:t>
        </w:r>
        <w:r>
          <w:rPr>
            <w:rFonts w:eastAsiaTheme="minorEastAsia"/>
            <w:noProof/>
            <w:kern w:val="2"/>
            <w:sz w:val="24"/>
            <w:szCs w:val="24"/>
            <w:lang w:eastAsia="en-AU"/>
            <w14:ligatures w14:val="standardContextual"/>
          </w:rPr>
          <w:tab/>
        </w:r>
        <w:r w:rsidRPr="00000567">
          <w:rPr>
            <w:rStyle w:val="Hyperlink"/>
            <w:noProof/>
          </w:rPr>
          <w:t>ELECTED MEMBERS</w:t>
        </w:r>
      </w:hyperlink>
    </w:p>
    <w:p w14:paraId="0920FBA4" w14:textId="42E1A7F4" w:rsidR="00746ABF" w:rsidRDefault="00746ABF">
      <w:pPr>
        <w:pStyle w:val="TOC3"/>
        <w:tabs>
          <w:tab w:val="left" w:pos="1985"/>
        </w:tabs>
        <w:rPr>
          <w:rFonts w:eastAsiaTheme="minorEastAsia"/>
          <w:noProof/>
          <w:kern w:val="2"/>
          <w:sz w:val="24"/>
          <w:szCs w:val="24"/>
          <w:lang w:eastAsia="en-AU"/>
          <w14:ligatures w14:val="standardContextual"/>
        </w:rPr>
      </w:pPr>
      <w:hyperlink w:anchor="_Toc216866646" w:history="1">
        <w:r w:rsidRPr="00000567">
          <w:rPr>
            <w:rStyle w:val="Hyperlink"/>
            <w:noProof/>
          </w:rPr>
          <w:t>1.1.1</w:t>
        </w:r>
        <w:r>
          <w:rPr>
            <w:rFonts w:eastAsiaTheme="minorEastAsia"/>
            <w:noProof/>
            <w:kern w:val="2"/>
            <w:sz w:val="24"/>
            <w:szCs w:val="24"/>
            <w:lang w:eastAsia="en-AU"/>
            <w14:ligatures w14:val="standardContextual"/>
          </w:rPr>
          <w:tab/>
        </w:r>
        <w:r w:rsidRPr="00000567">
          <w:rPr>
            <w:rStyle w:val="Hyperlink"/>
            <w:noProof/>
          </w:rPr>
          <w:t>Payment of Council Members Fees and Allowances</w:t>
        </w:r>
      </w:hyperlink>
    </w:p>
    <w:p w14:paraId="51628603" w14:textId="06A1DD39" w:rsidR="00746ABF" w:rsidRDefault="00746ABF">
      <w:pPr>
        <w:pStyle w:val="TOC3"/>
        <w:tabs>
          <w:tab w:val="left" w:pos="1985"/>
        </w:tabs>
        <w:rPr>
          <w:rFonts w:eastAsiaTheme="minorEastAsia"/>
          <w:noProof/>
          <w:kern w:val="2"/>
          <w:sz w:val="24"/>
          <w:szCs w:val="24"/>
          <w:lang w:eastAsia="en-AU"/>
          <w14:ligatures w14:val="standardContextual"/>
        </w:rPr>
      </w:pPr>
      <w:hyperlink w:anchor="_Toc216866647" w:history="1">
        <w:r w:rsidRPr="00000567">
          <w:rPr>
            <w:rStyle w:val="Hyperlink"/>
            <w:noProof/>
          </w:rPr>
          <w:t>1.1.2</w:t>
        </w:r>
        <w:r>
          <w:rPr>
            <w:rFonts w:eastAsiaTheme="minorEastAsia"/>
            <w:noProof/>
            <w:kern w:val="2"/>
            <w:sz w:val="24"/>
            <w:szCs w:val="24"/>
            <w:lang w:eastAsia="en-AU"/>
            <w14:ligatures w14:val="standardContextual"/>
          </w:rPr>
          <w:tab/>
        </w:r>
        <w:r w:rsidRPr="00000567">
          <w:rPr>
            <w:rStyle w:val="Hyperlink"/>
            <w:noProof/>
          </w:rPr>
          <w:t>ICT Support for Elected Members</w:t>
        </w:r>
      </w:hyperlink>
    </w:p>
    <w:p w14:paraId="4BBC0D36" w14:textId="2EA9C57E" w:rsidR="00746ABF" w:rsidRDefault="00746ABF">
      <w:pPr>
        <w:pStyle w:val="TOC3"/>
        <w:tabs>
          <w:tab w:val="left" w:pos="1985"/>
        </w:tabs>
        <w:rPr>
          <w:rFonts w:eastAsiaTheme="minorEastAsia"/>
          <w:noProof/>
          <w:kern w:val="2"/>
          <w:sz w:val="24"/>
          <w:szCs w:val="24"/>
          <w:lang w:eastAsia="en-AU"/>
          <w14:ligatures w14:val="standardContextual"/>
        </w:rPr>
      </w:pPr>
      <w:hyperlink w:anchor="_Toc216866648" w:history="1">
        <w:r w:rsidRPr="00000567">
          <w:rPr>
            <w:rStyle w:val="Hyperlink"/>
            <w:noProof/>
          </w:rPr>
          <w:t>1.1.3</w:t>
        </w:r>
        <w:r>
          <w:rPr>
            <w:rFonts w:eastAsiaTheme="minorEastAsia"/>
            <w:noProof/>
            <w:kern w:val="2"/>
            <w:sz w:val="24"/>
            <w:szCs w:val="24"/>
            <w:lang w:eastAsia="en-AU"/>
            <w14:ligatures w14:val="standardContextual"/>
          </w:rPr>
          <w:tab/>
        </w:r>
        <w:r w:rsidRPr="00000567">
          <w:rPr>
            <w:rStyle w:val="Hyperlink"/>
            <w:noProof/>
          </w:rPr>
          <w:t>Notice of Motions by Elected Members</w:t>
        </w:r>
      </w:hyperlink>
    </w:p>
    <w:p w14:paraId="0853AE95" w14:textId="1E6988E2" w:rsidR="00746ABF" w:rsidRDefault="00746ABF">
      <w:pPr>
        <w:pStyle w:val="TOC3"/>
        <w:tabs>
          <w:tab w:val="left" w:pos="1985"/>
        </w:tabs>
        <w:rPr>
          <w:rFonts w:eastAsiaTheme="minorEastAsia"/>
          <w:noProof/>
          <w:kern w:val="2"/>
          <w:sz w:val="24"/>
          <w:szCs w:val="24"/>
          <w:lang w:eastAsia="en-AU"/>
          <w14:ligatures w14:val="standardContextual"/>
        </w:rPr>
      </w:pPr>
      <w:hyperlink w:anchor="_Toc216866649" w:history="1">
        <w:r w:rsidRPr="00000567">
          <w:rPr>
            <w:rStyle w:val="Hyperlink"/>
            <w:noProof/>
          </w:rPr>
          <w:t>1.1.4</w:t>
        </w:r>
        <w:r>
          <w:rPr>
            <w:rFonts w:eastAsiaTheme="minorEastAsia"/>
            <w:noProof/>
            <w:kern w:val="2"/>
            <w:sz w:val="24"/>
            <w:szCs w:val="24"/>
            <w:lang w:eastAsia="en-AU"/>
            <w14:ligatures w14:val="standardContextual"/>
          </w:rPr>
          <w:tab/>
        </w:r>
        <w:r w:rsidRPr="00000567">
          <w:rPr>
            <w:rStyle w:val="Hyperlink"/>
            <w:noProof/>
          </w:rPr>
          <w:t>Legal Advice</w:t>
        </w:r>
      </w:hyperlink>
    </w:p>
    <w:p w14:paraId="0D5D3511" w14:textId="2B218309" w:rsidR="00746ABF" w:rsidRDefault="00746ABF">
      <w:pPr>
        <w:pStyle w:val="TOC3"/>
        <w:tabs>
          <w:tab w:val="left" w:pos="1985"/>
        </w:tabs>
        <w:rPr>
          <w:rFonts w:eastAsiaTheme="minorEastAsia"/>
          <w:noProof/>
          <w:kern w:val="2"/>
          <w:sz w:val="24"/>
          <w:szCs w:val="24"/>
          <w:lang w:eastAsia="en-AU"/>
          <w14:ligatures w14:val="standardContextual"/>
        </w:rPr>
      </w:pPr>
      <w:hyperlink w:anchor="_Toc216866650" w:history="1">
        <w:r w:rsidRPr="00000567">
          <w:rPr>
            <w:rStyle w:val="Hyperlink"/>
            <w:noProof/>
          </w:rPr>
          <w:t>1.1.5</w:t>
        </w:r>
        <w:r>
          <w:rPr>
            <w:rFonts w:eastAsiaTheme="minorEastAsia"/>
            <w:noProof/>
            <w:kern w:val="2"/>
            <w:sz w:val="24"/>
            <w:szCs w:val="24"/>
            <w:lang w:eastAsia="en-AU"/>
            <w14:ligatures w14:val="standardContextual"/>
          </w:rPr>
          <w:tab/>
        </w:r>
        <w:r w:rsidRPr="00000567">
          <w:rPr>
            <w:rStyle w:val="Hyperlink"/>
            <w:noProof/>
          </w:rPr>
          <w:t>Honorary Freeman of the Town of East Fremantle</w:t>
        </w:r>
      </w:hyperlink>
    </w:p>
    <w:p w14:paraId="4BC983B9" w14:textId="628D68F2" w:rsidR="00746ABF" w:rsidRDefault="00746ABF">
      <w:pPr>
        <w:pStyle w:val="TOC3"/>
        <w:tabs>
          <w:tab w:val="left" w:pos="1985"/>
        </w:tabs>
        <w:rPr>
          <w:rFonts w:eastAsiaTheme="minorEastAsia"/>
          <w:noProof/>
          <w:kern w:val="2"/>
          <w:sz w:val="24"/>
          <w:szCs w:val="24"/>
          <w:lang w:eastAsia="en-AU"/>
          <w14:ligatures w14:val="standardContextual"/>
        </w:rPr>
      </w:pPr>
      <w:hyperlink w:anchor="_Toc216866651" w:history="1">
        <w:r w:rsidRPr="00000567">
          <w:rPr>
            <w:rStyle w:val="Hyperlink"/>
            <w:noProof/>
          </w:rPr>
          <w:t>1.1.6</w:t>
        </w:r>
        <w:r>
          <w:rPr>
            <w:rFonts w:eastAsiaTheme="minorEastAsia"/>
            <w:noProof/>
            <w:kern w:val="2"/>
            <w:sz w:val="24"/>
            <w:szCs w:val="24"/>
            <w:lang w:eastAsia="en-AU"/>
            <w14:ligatures w14:val="standardContextual"/>
          </w:rPr>
          <w:tab/>
        </w:r>
        <w:r w:rsidRPr="00000567">
          <w:rPr>
            <w:rStyle w:val="Hyperlink"/>
            <w:noProof/>
          </w:rPr>
          <w:t>Elected Member Communication</w:t>
        </w:r>
      </w:hyperlink>
    </w:p>
    <w:p w14:paraId="0CCF330A" w14:textId="285F8948" w:rsidR="00746ABF" w:rsidRDefault="00746ABF">
      <w:pPr>
        <w:pStyle w:val="TOC3"/>
        <w:tabs>
          <w:tab w:val="left" w:pos="1985"/>
        </w:tabs>
        <w:rPr>
          <w:rFonts w:eastAsiaTheme="minorEastAsia"/>
          <w:noProof/>
          <w:kern w:val="2"/>
          <w:sz w:val="24"/>
          <w:szCs w:val="24"/>
          <w:lang w:eastAsia="en-AU"/>
          <w14:ligatures w14:val="standardContextual"/>
        </w:rPr>
      </w:pPr>
      <w:hyperlink w:anchor="_Toc216866652" w:history="1">
        <w:r w:rsidRPr="00000567">
          <w:rPr>
            <w:rStyle w:val="Hyperlink"/>
            <w:noProof/>
          </w:rPr>
          <w:t>1.1.7</w:t>
        </w:r>
        <w:r>
          <w:rPr>
            <w:rFonts w:eastAsiaTheme="minorEastAsia"/>
            <w:noProof/>
            <w:kern w:val="2"/>
            <w:sz w:val="24"/>
            <w:szCs w:val="24"/>
            <w:lang w:eastAsia="en-AU"/>
            <w14:ligatures w14:val="standardContextual"/>
          </w:rPr>
          <w:tab/>
        </w:r>
        <w:r w:rsidRPr="00000567">
          <w:rPr>
            <w:rStyle w:val="Hyperlink"/>
            <w:noProof/>
          </w:rPr>
          <w:t>Attendance at Events</w:t>
        </w:r>
      </w:hyperlink>
    </w:p>
    <w:p w14:paraId="03E5D084" w14:textId="66315B2C" w:rsidR="00746ABF" w:rsidRDefault="00746ABF">
      <w:pPr>
        <w:pStyle w:val="TOC3"/>
        <w:tabs>
          <w:tab w:val="left" w:pos="1985"/>
        </w:tabs>
        <w:rPr>
          <w:rFonts w:eastAsiaTheme="minorEastAsia"/>
          <w:noProof/>
          <w:kern w:val="2"/>
          <w:sz w:val="24"/>
          <w:szCs w:val="24"/>
          <w:lang w:eastAsia="en-AU"/>
          <w14:ligatures w14:val="standardContextual"/>
        </w:rPr>
      </w:pPr>
      <w:hyperlink w:anchor="_Toc216866653" w:history="1">
        <w:r w:rsidRPr="00000567">
          <w:rPr>
            <w:rStyle w:val="Hyperlink"/>
            <w:noProof/>
          </w:rPr>
          <w:t>1.1.8</w:t>
        </w:r>
        <w:r>
          <w:rPr>
            <w:rFonts w:eastAsiaTheme="minorEastAsia"/>
            <w:noProof/>
            <w:kern w:val="2"/>
            <w:sz w:val="24"/>
            <w:szCs w:val="24"/>
            <w:lang w:eastAsia="en-AU"/>
            <w14:ligatures w14:val="standardContextual"/>
          </w:rPr>
          <w:tab/>
        </w:r>
        <w:r w:rsidRPr="00000567">
          <w:rPr>
            <w:rStyle w:val="Hyperlink"/>
            <w:noProof/>
          </w:rPr>
          <w:t>Elected Member and CEO Training &amp; Professional Development</w:t>
        </w:r>
      </w:hyperlink>
    </w:p>
    <w:p w14:paraId="227D0F2D" w14:textId="6608EF4A" w:rsidR="00746ABF" w:rsidRDefault="00746ABF">
      <w:pPr>
        <w:pStyle w:val="TOC3"/>
        <w:tabs>
          <w:tab w:val="left" w:pos="1985"/>
        </w:tabs>
        <w:rPr>
          <w:rFonts w:eastAsiaTheme="minorEastAsia"/>
          <w:noProof/>
          <w:kern w:val="2"/>
          <w:sz w:val="24"/>
          <w:szCs w:val="24"/>
          <w:lang w:eastAsia="en-AU"/>
          <w14:ligatures w14:val="standardContextual"/>
        </w:rPr>
      </w:pPr>
      <w:hyperlink w:anchor="_Toc216866654" w:history="1">
        <w:r w:rsidRPr="00000567">
          <w:rPr>
            <w:rStyle w:val="Hyperlink"/>
            <w:noProof/>
          </w:rPr>
          <w:t>1.1.9</w:t>
        </w:r>
        <w:r>
          <w:rPr>
            <w:rFonts w:eastAsiaTheme="minorEastAsia"/>
            <w:noProof/>
            <w:kern w:val="2"/>
            <w:sz w:val="24"/>
            <w:szCs w:val="24"/>
            <w:lang w:eastAsia="en-AU"/>
            <w14:ligatures w14:val="standardContextual"/>
          </w:rPr>
          <w:tab/>
        </w:r>
        <w:r w:rsidRPr="00000567">
          <w:rPr>
            <w:rStyle w:val="Hyperlink"/>
            <w:noProof/>
          </w:rPr>
          <w:t>Code of Conduct for Elected Members, Committee Members and Candidates</w:t>
        </w:r>
      </w:hyperlink>
    </w:p>
    <w:p w14:paraId="32BC062B" w14:textId="07AF1959" w:rsidR="00746ABF" w:rsidRDefault="00746ABF">
      <w:pPr>
        <w:pStyle w:val="TOC3"/>
        <w:tabs>
          <w:tab w:val="left" w:pos="1985"/>
        </w:tabs>
        <w:rPr>
          <w:rFonts w:eastAsiaTheme="minorEastAsia"/>
          <w:noProof/>
          <w:kern w:val="2"/>
          <w:sz w:val="24"/>
          <w:szCs w:val="24"/>
          <w:lang w:eastAsia="en-AU"/>
          <w14:ligatures w14:val="standardContextual"/>
        </w:rPr>
      </w:pPr>
      <w:hyperlink w:anchor="_Toc216866655" w:history="1">
        <w:r w:rsidRPr="00000567">
          <w:rPr>
            <w:rStyle w:val="Hyperlink"/>
            <w:noProof/>
          </w:rPr>
          <w:t>1.1.10</w:t>
        </w:r>
        <w:r>
          <w:rPr>
            <w:rFonts w:eastAsiaTheme="minorEastAsia"/>
            <w:noProof/>
            <w:kern w:val="2"/>
            <w:sz w:val="24"/>
            <w:szCs w:val="24"/>
            <w:lang w:eastAsia="en-AU"/>
            <w14:ligatures w14:val="standardContextual"/>
          </w:rPr>
          <w:tab/>
        </w:r>
        <w:r w:rsidRPr="00000567">
          <w:rPr>
            <w:rStyle w:val="Hyperlink"/>
            <w:noProof/>
          </w:rPr>
          <w:t>Code of Conduct Behaviour Complaints Management Policy</w:t>
        </w:r>
      </w:hyperlink>
    </w:p>
    <w:p w14:paraId="72456AC5" w14:textId="45514399" w:rsidR="00746ABF" w:rsidRDefault="00746ABF">
      <w:pPr>
        <w:pStyle w:val="TOC3"/>
        <w:tabs>
          <w:tab w:val="left" w:pos="1985"/>
        </w:tabs>
        <w:rPr>
          <w:rFonts w:eastAsiaTheme="minorEastAsia"/>
          <w:noProof/>
          <w:kern w:val="2"/>
          <w:sz w:val="24"/>
          <w:szCs w:val="24"/>
          <w:lang w:eastAsia="en-AU"/>
          <w14:ligatures w14:val="standardContextual"/>
        </w:rPr>
      </w:pPr>
      <w:hyperlink w:anchor="_Toc216866656" w:history="1">
        <w:r w:rsidRPr="00000567">
          <w:rPr>
            <w:rStyle w:val="Hyperlink"/>
            <w:noProof/>
          </w:rPr>
          <w:t>1.1.11</w:t>
        </w:r>
        <w:r>
          <w:rPr>
            <w:rFonts w:eastAsiaTheme="minorEastAsia"/>
            <w:noProof/>
            <w:kern w:val="2"/>
            <w:sz w:val="24"/>
            <w:szCs w:val="24"/>
            <w:lang w:eastAsia="en-AU"/>
            <w14:ligatures w14:val="standardContextual"/>
          </w:rPr>
          <w:tab/>
        </w:r>
        <w:r w:rsidRPr="00000567">
          <w:rPr>
            <w:rStyle w:val="Hyperlink"/>
            <w:noProof/>
          </w:rPr>
          <w:t>Elections – Caretaker Period</w:t>
        </w:r>
      </w:hyperlink>
    </w:p>
    <w:p w14:paraId="6C1E0EE2" w14:textId="71555B53" w:rsidR="00746ABF" w:rsidRDefault="00746ABF">
      <w:pPr>
        <w:pStyle w:val="TOC3"/>
        <w:rPr>
          <w:rFonts w:eastAsiaTheme="minorEastAsia"/>
          <w:noProof/>
          <w:kern w:val="2"/>
          <w:sz w:val="24"/>
          <w:szCs w:val="24"/>
          <w:lang w:eastAsia="en-AU"/>
          <w14:ligatures w14:val="standardContextual"/>
        </w:rPr>
      </w:pPr>
      <w:hyperlink w:anchor="_Toc216866657" w:history="1">
        <w:r w:rsidRPr="00000567">
          <w:rPr>
            <w:rStyle w:val="Hyperlink"/>
            <w:noProof/>
          </w:rPr>
          <w:t xml:space="preserve">1.1.12 </w:t>
        </w:r>
        <w:r>
          <w:rPr>
            <w:rStyle w:val="Hyperlink"/>
            <w:noProof/>
          </w:rPr>
          <w:tab/>
        </w:r>
        <w:r w:rsidRPr="00000567">
          <w:rPr>
            <w:rStyle w:val="Hyperlink"/>
            <w:noProof/>
          </w:rPr>
          <w:t>Recordkeeping for Elected Members</w:t>
        </w:r>
      </w:hyperlink>
    </w:p>
    <w:p w14:paraId="582DF61A" w14:textId="1A00E782" w:rsidR="00746ABF" w:rsidRDefault="00746ABF">
      <w:pPr>
        <w:pStyle w:val="TOC3"/>
        <w:tabs>
          <w:tab w:val="left" w:pos="1985"/>
        </w:tabs>
        <w:rPr>
          <w:rFonts w:eastAsiaTheme="minorEastAsia"/>
          <w:noProof/>
          <w:kern w:val="2"/>
          <w:sz w:val="24"/>
          <w:szCs w:val="24"/>
          <w:lang w:eastAsia="en-AU"/>
          <w14:ligatures w14:val="standardContextual"/>
        </w:rPr>
      </w:pPr>
      <w:hyperlink w:anchor="_Toc216866658" w:history="1">
        <w:r w:rsidRPr="00000567">
          <w:rPr>
            <w:rStyle w:val="Hyperlink"/>
            <w:noProof/>
          </w:rPr>
          <w:t>1.1.13</w:t>
        </w:r>
        <w:r>
          <w:rPr>
            <w:rFonts w:eastAsiaTheme="minorEastAsia"/>
            <w:noProof/>
            <w:kern w:val="2"/>
            <w:sz w:val="24"/>
            <w:szCs w:val="24"/>
            <w:lang w:eastAsia="en-AU"/>
            <w14:ligatures w14:val="standardContextual"/>
          </w:rPr>
          <w:tab/>
        </w:r>
        <w:r w:rsidRPr="00000567">
          <w:rPr>
            <w:rStyle w:val="Hyperlink"/>
            <w:noProof/>
          </w:rPr>
          <w:t>Recognition of Service - Council Members</w:t>
        </w:r>
      </w:hyperlink>
    </w:p>
    <w:p w14:paraId="764722FA" w14:textId="2EA17563" w:rsidR="00746ABF" w:rsidRDefault="00746ABF">
      <w:pPr>
        <w:pStyle w:val="TOC2"/>
        <w:rPr>
          <w:rFonts w:eastAsiaTheme="minorEastAsia"/>
          <w:noProof/>
          <w:kern w:val="2"/>
          <w:sz w:val="24"/>
          <w:szCs w:val="24"/>
          <w:lang w:eastAsia="en-AU"/>
          <w14:ligatures w14:val="standardContextual"/>
        </w:rPr>
      </w:pPr>
      <w:hyperlink w:anchor="_Toc216866659" w:history="1">
        <w:r w:rsidRPr="00000567">
          <w:rPr>
            <w:rStyle w:val="Hyperlink"/>
            <w:noProof/>
          </w:rPr>
          <w:t>1.2</w:t>
        </w:r>
        <w:r>
          <w:rPr>
            <w:rFonts w:eastAsiaTheme="minorEastAsia"/>
            <w:noProof/>
            <w:kern w:val="2"/>
            <w:sz w:val="24"/>
            <w:szCs w:val="24"/>
            <w:lang w:eastAsia="en-AU"/>
            <w14:ligatures w14:val="standardContextual"/>
          </w:rPr>
          <w:tab/>
        </w:r>
        <w:r w:rsidRPr="00000567">
          <w:rPr>
            <w:rStyle w:val="Hyperlink"/>
            <w:noProof/>
          </w:rPr>
          <w:t>HUMAN RESOURCES</w:t>
        </w:r>
      </w:hyperlink>
    </w:p>
    <w:p w14:paraId="2215C15D" w14:textId="28B3BF08" w:rsidR="00746ABF" w:rsidRDefault="00746ABF">
      <w:pPr>
        <w:pStyle w:val="TOC3"/>
        <w:tabs>
          <w:tab w:val="left" w:pos="1985"/>
        </w:tabs>
        <w:rPr>
          <w:rFonts w:eastAsiaTheme="minorEastAsia"/>
          <w:noProof/>
          <w:kern w:val="2"/>
          <w:sz w:val="24"/>
          <w:szCs w:val="24"/>
          <w:lang w:eastAsia="en-AU"/>
          <w14:ligatures w14:val="standardContextual"/>
        </w:rPr>
      </w:pPr>
      <w:hyperlink w:anchor="_Toc216866660" w:history="1">
        <w:r w:rsidRPr="00000567">
          <w:rPr>
            <w:rStyle w:val="Hyperlink"/>
            <w:strike/>
            <w:noProof/>
          </w:rPr>
          <w:t>1.2.1</w:t>
        </w:r>
        <w:r>
          <w:rPr>
            <w:rFonts w:eastAsiaTheme="minorEastAsia"/>
            <w:noProof/>
            <w:kern w:val="2"/>
            <w:sz w:val="24"/>
            <w:szCs w:val="24"/>
            <w:lang w:eastAsia="en-AU"/>
            <w14:ligatures w14:val="standardContextual"/>
          </w:rPr>
          <w:tab/>
        </w:r>
        <w:r w:rsidRPr="00000567">
          <w:rPr>
            <w:rStyle w:val="Hyperlink"/>
            <w:strike/>
            <w:noProof/>
          </w:rPr>
          <w:t>Code of Conduct for Council Members, Committee Members and Employees</w:t>
        </w:r>
      </w:hyperlink>
    </w:p>
    <w:p w14:paraId="37A7E008" w14:textId="729D6EDE" w:rsidR="00746ABF" w:rsidRDefault="00746ABF">
      <w:pPr>
        <w:pStyle w:val="TOC3"/>
        <w:rPr>
          <w:rFonts w:eastAsiaTheme="minorEastAsia"/>
          <w:noProof/>
          <w:kern w:val="2"/>
          <w:sz w:val="24"/>
          <w:szCs w:val="24"/>
          <w:lang w:eastAsia="en-AU"/>
          <w14:ligatures w14:val="standardContextual"/>
        </w:rPr>
      </w:pPr>
      <w:r>
        <w:rPr>
          <w:rStyle w:val="Hyperlink"/>
          <w:noProof/>
        </w:rPr>
        <w:tab/>
      </w:r>
      <w:hyperlink w:anchor="_Toc216866661" w:history="1">
        <w:r w:rsidRPr="00000567">
          <w:rPr>
            <w:rStyle w:val="Hyperlink"/>
            <w:bCs/>
            <w:noProof/>
          </w:rPr>
          <w:t>This Policy has been replaced with Policy 1.1.9 Code of Conduct for Council Members, Committee Members and Candidates.  A separate internal Code of Conduct for Employees &amp; Contractors has being developed .</w:t>
        </w:r>
      </w:hyperlink>
    </w:p>
    <w:p w14:paraId="3E4A652E" w14:textId="1D1CBA3B" w:rsidR="00746ABF" w:rsidRDefault="00746ABF">
      <w:pPr>
        <w:pStyle w:val="TOC3"/>
        <w:tabs>
          <w:tab w:val="left" w:pos="1985"/>
        </w:tabs>
        <w:rPr>
          <w:rFonts w:eastAsiaTheme="minorEastAsia"/>
          <w:noProof/>
          <w:kern w:val="2"/>
          <w:sz w:val="24"/>
          <w:szCs w:val="24"/>
          <w:lang w:eastAsia="en-AU"/>
          <w14:ligatures w14:val="standardContextual"/>
        </w:rPr>
      </w:pPr>
      <w:hyperlink w:anchor="_Toc216866662" w:history="1">
        <w:r w:rsidRPr="00000567">
          <w:rPr>
            <w:rStyle w:val="Hyperlink"/>
            <w:noProof/>
          </w:rPr>
          <w:t>1.2.2</w:t>
        </w:r>
        <w:r>
          <w:rPr>
            <w:rFonts w:eastAsiaTheme="minorEastAsia"/>
            <w:noProof/>
            <w:kern w:val="2"/>
            <w:sz w:val="24"/>
            <w:szCs w:val="24"/>
            <w:lang w:eastAsia="en-AU"/>
            <w14:ligatures w14:val="standardContextual"/>
          </w:rPr>
          <w:tab/>
        </w:r>
        <w:r w:rsidRPr="00000567">
          <w:rPr>
            <w:rStyle w:val="Hyperlink"/>
            <w:noProof/>
          </w:rPr>
          <w:t>CEO Leave Approval</w:t>
        </w:r>
      </w:hyperlink>
    </w:p>
    <w:p w14:paraId="47185A1F" w14:textId="7F279CBB" w:rsidR="00746ABF" w:rsidRDefault="00746ABF">
      <w:pPr>
        <w:pStyle w:val="TOC3"/>
        <w:tabs>
          <w:tab w:val="left" w:pos="1985"/>
        </w:tabs>
        <w:rPr>
          <w:rFonts w:eastAsiaTheme="minorEastAsia"/>
          <w:noProof/>
          <w:kern w:val="2"/>
          <w:sz w:val="24"/>
          <w:szCs w:val="24"/>
          <w:lang w:eastAsia="en-AU"/>
          <w14:ligatures w14:val="standardContextual"/>
        </w:rPr>
      </w:pPr>
      <w:hyperlink w:anchor="_Toc216866663" w:history="1">
        <w:r w:rsidRPr="00000567">
          <w:rPr>
            <w:rStyle w:val="Hyperlink"/>
            <w:noProof/>
          </w:rPr>
          <w:t>1.2.3</w:t>
        </w:r>
        <w:r>
          <w:rPr>
            <w:rFonts w:eastAsiaTheme="minorEastAsia"/>
            <w:noProof/>
            <w:kern w:val="2"/>
            <w:sz w:val="24"/>
            <w:szCs w:val="24"/>
            <w:lang w:eastAsia="en-AU"/>
            <w14:ligatures w14:val="standardContextual"/>
          </w:rPr>
          <w:tab/>
        </w:r>
        <w:r w:rsidRPr="00000567">
          <w:rPr>
            <w:rStyle w:val="Hyperlink"/>
            <w:noProof/>
          </w:rPr>
          <w:t>Staff Recruitment and Retention</w:t>
        </w:r>
      </w:hyperlink>
    </w:p>
    <w:p w14:paraId="0C462AE3" w14:textId="06EC486F" w:rsidR="00746ABF" w:rsidRDefault="00746ABF">
      <w:pPr>
        <w:pStyle w:val="TOC3"/>
        <w:tabs>
          <w:tab w:val="left" w:pos="1985"/>
        </w:tabs>
        <w:rPr>
          <w:rFonts w:eastAsiaTheme="minorEastAsia"/>
          <w:noProof/>
          <w:kern w:val="2"/>
          <w:sz w:val="24"/>
          <w:szCs w:val="24"/>
          <w:lang w:eastAsia="en-AU"/>
          <w14:ligatures w14:val="standardContextual"/>
        </w:rPr>
      </w:pPr>
      <w:hyperlink w:anchor="_Toc216866664" w:history="1">
        <w:r w:rsidRPr="00000567">
          <w:rPr>
            <w:rStyle w:val="Hyperlink"/>
            <w:noProof/>
          </w:rPr>
          <w:t>1.2.4</w:t>
        </w:r>
        <w:r>
          <w:rPr>
            <w:rFonts w:eastAsiaTheme="minorEastAsia"/>
            <w:noProof/>
            <w:kern w:val="2"/>
            <w:sz w:val="24"/>
            <w:szCs w:val="24"/>
            <w:lang w:eastAsia="en-AU"/>
            <w14:ligatures w14:val="standardContextual"/>
          </w:rPr>
          <w:tab/>
        </w:r>
        <w:r w:rsidRPr="00000567">
          <w:rPr>
            <w:rStyle w:val="Hyperlink"/>
            <w:noProof/>
          </w:rPr>
          <w:t>Gratuity Payment</w:t>
        </w:r>
      </w:hyperlink>
    </w:p>
    <w:p w14:paraId="7AE7EED9" w14:textId="66CDA246" w:rsidR="00746ABF" w:rsidRDefault="00746ABF">
      <w:pPr>
        <w:pStyle w:val="TOC3"/>
        <w:tabs>
          <w:tab w:val="left" w:pos="1985"/>
        </w:tabs>
        <w:rPr>
          <w:rFonts w:eastAsiaTheme="minorEastAsia"/>
          <w:noProof/>
          <w:kern w:val="2"/>
          <w:sz w:val="24"/>
          <w:szCs w:val="24"/>
          <w:lang w:eastAsia="en-AU"/>
          <w14:ligatures w14:val="standardContextual"/>
        </w:rPr>
      </w:pPr>
      <w:hyperlink w:anchor="_Toc216866665" w:history="1">
        <w:r w:rsidRPr="00000567">
          <w:rPr>
            <w:rStyle w:val="Hyperlink"/>
            <w:noProof/>
          </w:rPr>
          <w:t>1.2.5</w:t>
        </w:r>
        <w:r>
          <w:rPr>
            <w:rFonts w:eastAsiaTheme="minorEastAsia"/>
            <w:noProof/>
            <w:kern w:val="2"/>
            <w:sz w:val="24"/>
            <w:szCs w:val="24"/>
            <w:lang w:eastAsia="en-AU"/>
            <w14:ligatures w14:val="standardContextual"/>
          </w:rPr>
          <w:tab/>
        </w:r>
        <w:r w:rsidRPr="00000567">
          <w:rPr>
            <w:rStyle w:val="Hyperlink"/>
            <w:noProof/>
          </w:rPr>
          <w:t>Staff Education and Study Leave</w:t>
        </w:r>
      </w:hyperlink>
    </w:p>
    <w:p w14:paraId="2EC2F75D" w14:textId="52BD30E1" w:rsidR="00746ABF" w:rsidRDefault="00746ABF">
      <w:pPr>
        <w:pStyle w:val="TOC3"/>
        <w:tabs>
          <w:tab w:val="left" w:pos="1985"/>
        </w:tabs>
        <w:rPr>
          <w:rFonts w:eastAsiaTheme="minorEastAsia"/>
          <w:noProof/>
          <w:kern w:val="2"/>
          <w:sz w:val="24"/>
          <w:szCs w:val="24"/>
          <w:lang w:eastAsia="en-AU"/>
          <w14:ligatures w14:val="standardContextual"/>
        </w:rPr>
      </w:pPr>
      <w:hyperlink w:anchor="_Toc216866666" w:history="1">
        <w:r w:rsidRPr="00000567">
          <w:rPr>
            <w:rStyle w:val="Hyperlink"/>
            <w:noProof/>
          </w:rPr>
          <w:t>1.2.6</w:t>
        </w:r>
        <w:r>
          <w:rPr>
            <w:rFonts w:eastAsiaTheme="minorEastAsia"/>
            <w:noProof/>
            <w:kern w:val="2"/>
            <w:sz w:val="24"/>
            <w:szCs w:val="24"/>
            <w:lang w:eastAsia="en-AU"/>
            <w14:ligatures w14:val="standardContextual"/>
          </w:rPr>
          <w:tab/>
        </w:r>
        <w:r w:rsidRPr="00000567">
          <w:rPr>
            <w:rStyle w:val="Hyperlink"/>
            <w:noProof/>
          </w:rPr>
          <w:t>Employee Use of Council Equipment</w:t>
        </w:r>
      </w:hyperlink>
    </w:p>
    <w:p w14:paraId="0898806F" w14:textId="59B6439B" w:rsidR="00746ABF" w:rsidRDefault="00746ABF">
      <w:pPr>
        <w:pStyle w:val="TOC3"/>
        <w:tabs>
          <w:tab w:val="left" w:pos="1985"/>
        </w:tabs>
        <w:rPr>
          <w:rFonts w:eastAsiaTheme="minorEastAsia"/>
          <w:noProof/>
          <w:kern w:val="2"/>
          <w:sz w:val="24"/>
          <w:szCs w:val="24"/>
          <w:lang w:eastAsia="en-AU"/>
          <w14:ligatures w14:val="standardContextual"/>
        </w:rPr>
      </w:pPr>
      <w:hyperlink w:anchor="_Toc216866667" w:history="1">
        <w:r w:rsidRPr="00000567">
          <w:rPr>
            <w:rStyle w:val="Hyperlink"/>
            <w:noProof/>
          </w:rPr>
          <w:t>1.2.7</w:t>
        </w:r>
        <w:r>
          <w:rPr>
            <w:rFonts w:eastAsiaTheme="minorEastAsia"/>
            <w:noProof/>
            <w:kern w:val="2"/>
            <w:sz w:val="24"/>
            <w:szCs w:val="24"/>
            <w:lang w:eastAsia="en-AU"/>
            <w14:ligatures w14:val="standardContextual"/>
          </w:rPr>
          <w:tab/>
        </w:r>
        <w:r w:rsidRPr="00000567">
          <w:rPr>
            <w:rStyle w:val="Hyperlink"/>
            <w:noProof/>
          </w:rPr>
          <w:t>COVID-19 Leave</w:t>
        </w:r>
      </w:hyperlink>
    </w:p>
    <w:p w14:paraId="5D83C70A" w14:textId="50CE0A6C" w:rsidR="00746ABF" w:rsidRDefault="00746ABF">
      <w:pPr>
        <w:pStyle w:val="TOC3"/>
        <w:tabs>
          <w:tab w:val="left" w:pos="1985"/>
        </w:tabs>
        <w:rPr>
          <w:rFonts w:eastAsiaTheme="minorEastAsia"/>
          <w:noProof/>
          <w:kern w:val="2"/>
          <w:sz w:val="24"/>
          <w:szCs w:val="24"/>
          <w:lang w:eastAsia="en-AU"/>
          <w14:ligatures w14:val="standardContextual"/>
        </w:rPr>
      </w:pPr>
      <w:hyperlink w:anchor="_Toc216866668" w:history="1">
        <w:r w:rsidRPr="00000567">
          <w:rPr>
            <w:rStyle w:val="Hyperlink"/>
            <w:noProof/>
          </w:rPr>
          <w:t>1.2.8</w:t>
        </w:r>
        <w:r>
          <w:rPr>
            <w:rFonts w:eastAsiaTheme="minorEastAsia"/>
            <w:noProof/>
            <w:kern w:val="2"/>
            <w:sz w:val="24"/>
            <w:szCs w:val="24"/>
            <w:lang w:eastAsia="en-AU"/>
            <w14:ligatures w14:val="standardContextual"/>
          </w:rPr>
          <w:tab/>
        </w:r>
        <w:r w:rsidRPr="00000567">
          <w:rPr>
            <w:rStyle w:val="Hyperlink"/>
            <w:noProof/>
          </w:rPr>
          <w:t>Whistleblower (Public Interest Disclosure)</w:t>
        </w:r>
      </w:hyperlink>
    </w:p>
    <w:p w14:paraId="2377A4A0" w14:textId="4925490F" w:rsidR="00746ABF" w:rsidRDefault="00746ABF">
      <w:pPr>
        <w:pStyle w:val="TOC3"/>
        <w:tabs>
          <w:tab w:val="left" w:pos="1985"/>
        </w:tabs>
        <w:rPr>
          <w:rFonts w:eastAsiaTheme="minorEastAsia"/>
          <w:noProof/>
          <w:kern w:val="2"/>
          <w:sz w:val="24"/>
          <w:szCs w:val="24"/>
          <w:lang w:eastAsia="en-AU"/>
          <w14:ligatures w14:val="standardContextual"/>
        </w:rPr>
      </w:pPr>
      <w:hyperlink w:anchor="_Toc216866669" w:history="1">
        <w:r w:rsidRPr="00000567">
          <w:rPr>
            <w:rStyle w:val="Hyperlink"/>
            <w:noProof/>
          </w:rPr>
          <w:t>1.2.9</w:t>
        </w:r>
        <w:r>
          <w:rPr>
            <w:rFonts w:eastAsiaTheme="minorEastAsia"/>
            <w:noProof/>
            <w:kern w:val="2"/>
            <w:sz w:val="24"/>
            <w:szCs w:val="24"/>
            <w:lang w:eastAsia="en-AU"/>
            <w14:ligatures w14:val="standardContextual"/>
          </w:rPr>
          <w:tab/>
        </w:r>
        <w:r w:rsidRPr="00000567">
          <w:rPr>
            <w:rStyle w:val="Hyperlink"/>
            <w:noProof/>
          </w:rPr>
          <w:t>Appointment of Acting Chief Executive Officer</w:t>
        </w:r>
      </w:hyperlink>
    </w:p>
    <w:p w14:paraId="7305D8A8" w14:textId="67A95538" w:rsidR="00746ABF" w:rsidRDefault="00746ABF">
      <w:pPr>
        <w:pStyle w:val="TOC3"/>
        <w:tabs>
          <w:tab w:val="left" w:pos="1985"/>
        </w:tabs>
        <w:rPr>
          <w:rFonts w:eastAsiaTheme="minorEastAsia"/>
          <w:noProof/>
          <w:kern w:val="2"/>
          <w:sz w:val="24"/>
          <w:szCs w:val="24"/>
          <w:lang w:eastAsia="en-AU"/>
          <w14:ligatures w14:val="standardContextual"/>
        </w:rPr>
      </w:pPr>
      <w:hyperlink w:anchor="_Toc216866671" w:history="1">
        <w:r w:rsidRPr="00000567">
          <w:rPr>
            <w:rStyle w:val="Hyperlink"/>
            <w:noProof/>
          </w:rPr>
          <w:t>1.2.10</w:t>
        </w:r>
        <w:r>
          <w:rPr>
            <w:rFonts w:eastAsiaTheme="minorEastAsia"/>
            <w:noProof/>
            <w:kern w:val="2"/>
            <w:sz w:val="24"/>
            <w:szCs w:val="24"/>
            <w:lang w:eastAsia="en-AU"/>
            <w14:ligatures w14:val="standardContextual"/>
          </w:rPr>
          <w:tab/>
        </w:r>
        <w:r w:rsidRPr="00000567">
          <w:rPr>
            <w:rStyle w:val="Hyperlink"/>
            <w:noProof/>
          </w:rPr>
          <w:t>Employee Superannuation Co-Contribution</w:t>
        </w:r>
      </w:hyperlink>
    </w:p>
    <w:p w14:paraId="42559A5F" w14:textId="6DE1C6A8" w:rsidR="00746ABF" w:rsidRDefault="00746ABF">
      <w:pPr>
        <w:pStyle w:val="TOC2"/>
        <w:rPr>
          <w:rFonts w:eastAsiaTheme="minorEastAsia"/>
          <w:noProof/>
          <w:kern w:val="2"/>
          <w:sz w:val="24"/>
          <w:szCs w:val="24"/>
          <w:lang w:eastAsia="en-AU"/>
          <w14:ligatures w14:val="standardContextual"/>
        </w:rPr>
      </w:pPr>
      <w:hyperlink w:anchor="_Toc216866672" w:history="1">
        <w:r w:rsidRPr="00000567">
          <w:rPr>
            <w:rStyle w:val="Hyperlink"/>
            <w:noProof/>
          </w:rPr>
          <w:t>1.3</w:t>
        </w:r>
        <w:r>
          <w:rPr>
            <w:rFonts w:eastAsiaTheme="minorEastAsia"/>
            <w:noProof/>
            <w:kern w:val="2"/>
            <w:sz w:val="24"/>
            <w:szCs w:val="24"/>
            <w:lang w:eastAsia="en-AU"/>
            <w14:ligatures w14:val="standardContextual"/>
          </w:rPr>
          <w:tab/>
        </w:r>
        <w:r w:rsidRPr="00000567">
          <w:rPr>
            <w:rStyle w:val="Hyperlink"/>
            <w:noProof/>
          </w:rPr>
          <w:t>COMMUNICATIONS &amp; COMMUNITY ENGAGEMENT</w:t>
        </w:r>
      </w:hyperlink>
    </w:p>
    <w:p w14:paraId="690FF35E" w14:textId="4D2F56EE" w:rsidR="00746ABF" w:rsidRDefault="00746ABF">
      <w:pPr>
        <w:pStyle w:val="TOC3"/>
        <w:tabs>
          <w:tab w:val="left" w:pos="1985"/>
        </w:tabs>
        <w:rPr>
          <w:rFonts w:eastAsiaTheme="minorEastAsia"/>
          <w:noProof/>
          <w:kern w:val="2"/>
          <w:sz w:val="24"/>
          <w:szCs w:val="24"/>
          <w:lang w:eastAsia="en-AU"/>
          <w14:ligatures w14:val="standardContextual"/>
        </w:rPr>
      </w:pPr>
      <w:hyperlink w:anchor="_Toc216866673" w:history="1">
        <w:r w:rsidRPr="00000567">
          <w:rPr>
            <w:rStyle w:val="Hyperlink"/>
            <w:noProof/>
          </w:rPr>
          <w:t>1.3.1</w:t>
        </w:r>
        <w:r>
          <w:rPr>
            <w:rFonts w:eastAsiaTheme="minorEastAsia"/>
            <w:noProof/>
            <w:kern w:val="2"/>
            <w:sz w:val="24"/>
            <w:szCs w:val="24"/>
            <w:lang w:eastAsia="en-AU"/>
            <w14:ligatures w14:val="standardContextual"/>
          </w:rPr>
          <w:tab/>
        </w:r>
        <w:r w:rsidRPr="00000567">
          <w:rPr>
            <w:rStyle w:val="Hyperlink"/>
            <w:noProof/>
          </w:rPr>
          <w:t>Social Media</w:t>
        </w:r>
      </w:hyperlink>
    </w:p>
    <w:p w14:paraId="23F85A95" w14:textId="66017541" w:rsidR="00746ABF" w:rsidRDefault="00746ABF">
      <w:pPr>
        <w:pStyle w:val="TOC3"/>
        <w:tabs>
          <w:tab w:val="left" w:pos="1985"/>
        </w:tabs>
        <w:rPr>
          <w:rFonts w:eastAsiaTheme="minorEastAsia"/>
          <w:noProof/>
          <w:kern w:val="2"/>
          <w:sz w:val="24"/>
          <w:szCs w:val="24"/>
          <w:lang w:eastAsia="en-AU"/>
          <w14:ligatures w14:val="standardContextual"/>
        </w:rPr>
      </w:pPr>
      <w:hyperlink w:anchor="_Toc216866674" w:history="1">
        <w:r w:rsidRPr="00000567">
          <w:rPr>
            <w:rStyle w:val="Hyperlink"/>
            <w:noProof/>
          </w:rPr>
          <w:t>1.3.2</w:t>
        </w:r>
        <w:r>
          <w:rPr>
            <w:rFonts w:eastAsiaTheme="minorEastAsia"/>
            <w:noProof/>
            <w:kern w:val="2"/>
            <w:sz w:val="24"/>
            <w:szCs w:val="24"/>
            <w:lang w:eastAsia="en-AU"/>
            <w14:ligatures w14:val="standardContextual"/>
          </w:rPr>
          <w:tab/>
        </w:r>
        <w:r w:rsidRPr="00000567">
          <w:rPr>
            <w:rStyle w:val="Hyperlink"/>
            <w:noProof/>
          </w:rPr>
          <w:t>End of Year Office Closure</w:t>
        </w:r>
      </w:hyperlink>
    </w:p>
    <w:p w14:paraId="09B7BC28" w14:textId="46171FB6" w:rsidR="00746ABF" w:rsidRDefault="00746ABF">
      <w:pPr>
        <w:pStyle w:val="TOC1"/>
        <w:rPr>
          <w:rFonts w:eastAsiaTheme="minorEastAsia"/>
          <w:noProof/>
          <w:kern w:val="2"/>
          <w:szCs w:val="24"/>
          <w:lang w:eastAsia="en-AU"/>
          <w14:ligatures w14:val="standardContextual"/>
        </w:rPr>
      </w:pPr>
      <w:hyperlink w:anchor="_Toc216866675" w:history="1">
        <w:r w:rsidRPr="00000567">
          <w:rPr>
            <w:rStyle w:val="Hyperlink"/>
            <w:noProof/>
          </w:rPr>
          <w:t>2.</w:t>
        </w:r>
        <w:r>
          <w:rPr>
            <w:rFonts w:eastAsiaTheme="minorEastAsia"/>
            <w:noProof/>
            <w:kern w:val="2"/>
            <w:szCs w:val="24"/>
            <w:lang w:eastAsia="en-AU"/>
            <w14:ligatures w14:val="standardContextual"/>
          </w:rPr>
          <w:tab/>
        </w:r>
        <w:r w:rsidRPr="00000567">
          <w:rPr>
            <w:rStyle w:val="Hyperlink"/>
            <w:noProof/>
          </w:rPr>
          <w:t>CORPORATE SERVICES</w:t>
        </w:r>
      </w:hyperlink>
    </w:p>
    <w:p w14:paraId="68B9FC95" w14:textId="2A772B03" w:rsidR="00746ABF" w:rsidRDefault="00746ABF">
      <w:pPr>
        <w:pStyle w:val="TOC2"/>
        <w:rPr>
          <w:rFonts w:eastAsiaTheme="minorEastAsia"/>
          <w:noProof/>
          <w:kern w:val="2"/>
          <w:sz w:val="24"/>
          <w:szCs w:val="24"/>
          <w:lang w:eastAsia="en-AU"/>
          <w14:ligatures w14:val="standardContextual"/>
        </w:rPr>
      </w:pPr>
      <w:hyperlink w:anchor="_Toc216866676" w:history="1">
        <w:r w:rsidRPr="00000567">
          <w:rPr>
            <w:rStyle w:val="Hyperlink"/>
            <w:noProof/>
          </w:rPr>
          <w:t>2.1</w:t>
        </w:r>
        <w:r>
          <w:rPr>
            <w:rFonts w:eastAsiaTheme="minorEastAsia"/>
            <w:noProof/>
            <w:kern w:val="2"/>
            <w:sz w:val="24"/>
            <w:szCs w:val="24"/>
            <w:lang w:eastAsia="en-AU"/>
            <w14:ligatures w14:val="standardContextual"/>
          </w:rPr>
          <w:tab/>
        </w:r>
        <w:r w:rsidRPr="00000567">
          <w:rPr>
            <w:rStyle w:val="Hyperlink"/>
            <w:noProof/>
          </w:rPr>
          <w:t>FINANCIAL MANAGEMENT</w:t>
        </w:r>
      </w:hyperlink>
    </w:p>
    <w:p w14:paraId="421BC6DB" w14:textId="4BC2F5E1" w:rsidR="00746ABF" w:rsidRDefault="00746ABF">
      <w:pPr>
        <w:pStyle w:val="TOC3"/>
        <w:tabs>
          <w:tab w:val="left" w:pos="1985"/>
        </w:tabs>
        <w:rPr>
          <w:rFonts w:eastAsiaTheme="minorEastAsia"/>
          <w:noProof/>
          <w:kern w:val="2"/>
          <w:sz w:val="24"/>
          <w:szCs w:val="24"/>
          <w:lang w:eastAsia="en-AU"/>
          <w14:ligatures w14:val="standardContextual"/>
        </w:rPr>
      </w:pPr>
      <w:hyperlink w:anchor="_Toc216866677" w:history="1">
        <w:r w:rsidRPr="00000567">
          <w:rPr>
            <w:rStyle w:val="Hyperlink"/>
            <w:noProof/>
          </w:rPr>
          <w:t>2.1.1</w:t>
        </w:r>
        <w:r>
          <w:rPr>
            <w:rFonts w:eastAsiaTheme="minorEastAsia"/>
            <w:noProof/>
            <w:kern w:val="2"/>
            <w:sz w:val="24"/>
            <w:szCs w:val="24"/>
            <w:lang w:eastAsia="en-AU"/>
            <w14:ligatures w14:val="standardContextual"/>
          </w:rPr>
          <w:tab/>
        </w:r>
        <w:r w:rsidRPr="00000567">
          <w:rPr>
            <w:rStyle w:val="Hyperlink"/>
            <w:noProof/>
          </w:rPr>
          <w:t>Disposal of Surplus Property</w:t>
        </w:r>
      </w:hyperlink>
    </w:p>
    <w:p w14:paraId="3EA89A86" w14:textId="18DABCB6" w:rsidR="00746ABF" w:rsidRDefault="00746ABF">
      <w:pPr>
        <w:pStyle w:val="TOC3"/>
        <w:tabs>
          <w:tab w:val="left" w:pos="1985"/>
        </w:tabs>
        <w:rPr>
          <w:rFonts w:eastAsiaTheme="minorEastAsia"/>
          <w:noProof/>
          <w:kern w:val="2"/>
          <w:sz w:val="24"/>
          <w:szCs w:val="24"/>
          <w:lang w:eastAsia="en-AU"/>
          <w14:ligatures w14:val="standardContextual"/>
        </w:rPr>
      </w:pPr>
      <w:hyperlink w:anchor="_Toc216866678" w:history="1">
        <w:r w:rsidRPr="00000567">
          <w:rPr>
            <w:rStyle w:val="Hyperlink"/>
            <w:noProof/>
          </w:rPr>
          <w:t>2.1.2</w:t>
        </w:r>
        <w:r>
          <w:rPr>
            <w:rFonts w:eastAsiaTheme="minorEastAsia"/>
            <w:noProof/>
            <w:kern w:val="2"/>
            <w:sz w:val="24"/>
            <w:szCs w:val="24"/>
            <w:lang w:eastAsia="en-AU"/>
            <w14:ligatures w14:val="standardContextual"/>
          </w:rPr>
          <w:tab/>
        </w:r>
        <w:r w:rsidRPr="00000567">
          <w:rPr>
            <w:rStyle w:val="Hyperlink"/>
            <w:noProof/>
          </w:rPr>
          <w:t>Investment of Surplus Funds</w:t>
        </w:r>
      </w:hyperlink>
    </w:p>
    <w:p w14:paraId="653CCDC9" w14:textId="2C200A48" w:rsidR="00746ABF" w:rsidRDefault="00746ABF">
      <w:pPr>
        <w:pStyle w:val="TOC3"/>
        <w:tabs>
          <w:tab w:val="left" w:pos="1985"/>
        </w:tabs>
        <w:rPr>
          <w:rFonts w:eastAsiaTheme="minorEastAsia"/>
          <w:noProof/>
          <w:kern w:val="2"/>
          <w:sz w:val="24"/>
          <w:szCs w:val="24"/>
          <w:lang w:eastAsia="en-AU"/>
          <w14:ligatures w14:val="standardContextual"/>
        </w:rPr>
      </w:pPr>
      <w:hyperlink w:anchor="_Toc216866679" w:history="1">
        <w:r w:rsidRPr="00000567">
          <w:rPr>
            <w:rStyle w:val="Hyperlink"/>
            <w:noProof/>
          </w:rPr>
          <w:t>2.1.4</w:t>
        </w:r>
        <w:r>
          <w:rPr>
            <w:rFonts w:eastAsiaTheme="minorEastAsia"/>
            <w:noProof/>
            <w:kern w:val="2"/>
            <w:sz w:val="24"/>
            <w:szCs w:val="24"/>
            <w:lang w:eastAsia="en-AU"/>
            <w14:ligatures w14:val="standardContextual"/>
          </w:rPr>
          <w:tab/>
        </w:r>
        <w:r w:rsidRPr="00000567">
          <w:rPr>
            <w:rStyle w:val="Hyperlink"/>
            <w:noProof/>
          </w:rPr>
          <w:t>Rates Exemption</w:t>
        </w:r>
      </w:hyperlink>
    </w:p>
    <w:p w14:paraId="68AF8051" w14:textId="338E66F6" w:rsidR="00746ABF" w:rsidRDefault="00746ABF">
      <w:pPr>
        <w:pStyle w:val="TOC3"/>
        <w:tabs>
          <w:tab w:val="left" w:pos="1985"/>
        </w:tabs>
        <w:rPr>
          <w:rFonts w:eastAsiaTheme="minorEastAsia"/>
          <w:noProof/>
          <w:kern w:val="2"/>
          <w:sz w:val="24"/>
          <w:szCs w:val="24"/>
          <w:lang w:eastAsia="en-AU"/>
          <w14:ligatures w14:val="standardContextual"/>
        </w:rPr>
      </w:pPr>
      <w:hyperlink w:anchor="_Toc216866680" w:history="1">
        <w:r w:rsidRPr="00000567">
          <w:rPr>
            <w:rStyle w:val="Hyperlink"/>
            <w:noProof/>
          </w:rPr>
          <w:t>2.1.5</w:t>
        </w:r>
        <w:r>
          <w:rPr>
            <w:rFonts w:eastAsiaTheme="minorEastAsia"/>
            <w:noProof/>
            <w:kern w:val="2"/>
            <w:sz w:val="24"/>
            <w:szCs w:val="24"/>
            <w:lang w:eastAsia="en-AU"/>
            <w14:ligatures w14:val="standardContextual"/>
          </w:rPr>
          <w:tab/>
        </w:r>
        <w:r w:rsidRPr="00000567">
          <w:rPr>
            <w:rStyle w:val="Hyperlink"/>
            <w:noProof/>
          </w:rPr>
          <w:t>Donations</w:t>
        </w:r>
      </w:hyperlink>
    </w:p>
    <w:p w14:paraId="2FDA9DA3" w14:textId="12E33A02" w:rsidR="00746ABF" w:rsidRDefault="00746ABF">
      <w:pPr>
        <w:pStyle w:val="TOC3"/>
        <w:tabs>
          <w:tab w:val="left" w:pos="1985"/>
        </w:tabs>
        <w:rPr>
          <w:rFonts w:eastAsiaTheme="minorEastAsia"/>
          <w:noProof/>
          <w:kern w:val="2"/>
          <w:sz w:val="24"/>
          <w:szCs w:val="24"/>
          <w:lang w:eastAsia="en-AU"/>
          <w14:ligatures w14:val="standardContextual"/>
        </w:rPr>
      </w:pPr>
      <w:hyperlink w:anchor="_Toc216866681" w:history="1">
        <w:r w:rsidRPr="00000567">
          <w:rPr>
            <w:rStyle w:val="Hyperlink"/>
            <w:noProof/>
          </w:rPr>
          <w:t>2.1.6</w:t>
        </w:r>
        <w:r>
          <w:rPr>
            <w:rFonts w:eastAsiaTheme="minorEastAsia"/>
            <w:noProof/>
            <w:kern w:val="2"/>
            <w:sz w:val="24"/>
            <w:szCs w:val="24"/>
            <w:lang w:eastAsia="en-AU"/>
            <w14:ligatures w14:val="standardContextual"/>
          </w:rPr>
          <w:tab/>
        </w:r>
        <w:r w:rsidRPr="00000567">
          <w:rPr>
            <w:rStyle w:val="Hyperlink"/>
            <w:noProof/>
          </w:rPr>
          <w:t>Supplier Payments</w:t>
        </w:r>
      </w:hyperlink>
    </w:p>
    <w:p w14:paraId="70DE3381" w14:textId="3941A3FA" w:rsidR="00746ABF" w:rsidRDefault="00746ABF">
      <w:pPr>
        <w:pStyle w:val="TOC3"/>
        <w:tabs>
          <w:tab w:val="left" w:pos="1985"/>
        </w:tabs>
        <w:rPr>
          <w:rFonts w:eastAsiaTheme="minorEastAsia"/>
          <w:noProof/>
          <w:kern w:val="2"/>
          <w:sz w:val="24"/>
          <w:szCs w:val="24"/>
          <w:lang w:eastAsia="en-AU"/>
          <w14:ligatures w14:val="standardContextual"/>
        </w:rPr>
      </w:pPr>
      <w:hyperlink w:anchor="_Toc216866682" w:history="1">
        <w:r w:rsidRPr="00000567">
          <w:rPr>
            <w:rStyle w:val="Hyperlink"/>
            <w:noProof/>
          </w:rPr>
          <w:t>2.1.7</w:t>
        </w:r>
        <w:r>
          <w:rPr>
            <w:rFonts w:eastAsiaTheme="minorEastAsia"/>
            <w:noProof/>
            <w:kern w:val="2"/>
            <w:sz w:val="24"/>
            <w:szCs w:val="24"/>
            <w:lang w:eastAsia="en-AU"/>
            <w14:ligatures w14:val="standardContextual"/>
          </w:rPr>
          <w:tab/>
        </w:r>
        <w:r w:rsidRPr="00000567">
          <w:rPr>
            <w:rStyle w:val="Hyperlink"/>
            <w:noProof/>
          </w:rPr>
          <w:t>Rates/ Sundry Debtor Recovery (Debt</w:t>
        </w:r>
        <w:r w:rsidRPr="00000567">
          <w:rPr>
            <w:rStyle w:val="Hyperlink"/>
            <w:noProof/>
            <w:spacing w:val="9"/>
          </w:rPr>
          <w:t xml:space="preserve"> </w:t>
        </w:r>
        <w:r w:rsidRPr="00000567">
          <w:rPr>
            <w:rStyle w:val="Hyperlink"/>
            <w:noProof/>
            <w:spacing w:val="3"/>
          </w:rPr>
          <w:t>Collection)</w:t>
        </w:r>
      </w:hyperlink>
    </w:p>
    <w:p w14:paraId="176ACC09" w14:textId="7A417AAB" w:rsidR="00746ABF" w:rsidRDefault="00746ABF">
      <w:pPr>
        <w:pStyle w:val="TOC3"/>
        <w:tabs>
          <w:tab w:val="left" w:pos="1985"/>
        </w:tabs>
        <w:rPr>
          <w:rFonts w:eastAsiaTheme="minorEastAsia"/>
          <w:noProof/>
          <w:kern w:val="2"/>
          <w:sz w:val="24"/>
          <w:szCs w:val="24"/>
          <w:lang w:eastAsia="en-AU"/>
          <w14:ligatures w14:val="standardContextual"/>
        </w:rPr>
      </w:pPr>
      <w:hyperlink w:anchor="_Toc216866683" w:history="1">
        <w:r w:rsidRPr="00000567">
          <w:rPr>
            <w:rStyle w:val="Hyperlink"/>
            <w:noProof/>
          </w:rPr>
          <w:t>2.1.8</w:t>
        </w:r>
        <w:r>
          <w:rPr>
            <w:rFonts w:eastAsiaTheme="minorEastAsia"/>
            <w:noProof/>
            <w:kern w:val="2"/>
            <w:sz w:val="24"/>
            <w:szCs w:val="24"/>
            <w:lang w:eastAsia="en-AU"/>
            <w14:ligatures w14:val="standardContextual"/>
          </w:rPr>
          <w:tab/>
        </w:r>
        <w:r w:rsidRPr="00000567">
          <w:rPr>
            <w:rStyle w:val="Hyperlink"/>
            <w:noProof/>
          </w:rPr>
          <w:t>Corporate Credit Card</w:t>
        </w:r>
      </w:hyperlink>
    </w:p>
    <w:p w14:paraId="77222598" w14:textId="0D31395A" w:rsidR="00746ABF" w:rsidRDefault="00746ABF">
      <w:pPr>
        <w:pStyle w:val="TOC3"/>
        <w:tabs>
          <w:tab w:val="left" w:pos="1985"/>
        </w:tabs>
        <w:rPr>
          <w:rFonts w:eastAsiaTheme="minorEastAsia"/>
          <w:noProof/>
          <w:kern w:val="2"/>
          <w:sz w:val="24"/>
          <w:szCs w:val="24"/>
          <w:lang w:eastAsia="en-AU"/>
          <w14:ligatures w14:val="standardContextual"/>
        </w:rPr>
      </w:pPr>
      <w:hyperlink w:anchor="_Toc216866684" w:history="1">
        <w:r w:rsidRPr="00000567">
          <w:rPr>
            <w:rStyle w:val="Hyperlink"/>
            <w:noProof/>
          </w:rPr>
          <w:t>2.1.9</w:t>
        </w:r>
        <w:r>
          <w:rPr>
            <w:rFonts w:eastAsiaTheme="minorEastAsia"/>
            <w:noProof/>
            <w:kern w:val="2"/>
            <w:sz w:val="24"/>
            <w:szCs w:val="24"/>
            <w:lang w:eastAsia="en-AU"/>
            <w14:ligatures w14:val="standardContextual"/>
          </w:rPr>
          <w:tab/>
        </w:r>
        <w:r w:rsidRPr="00000567">
          <w:rPr>
            <w:rStyle w:val="Hyperlink"/>
            <w:noProof/>
          </w:rPr>
          <w:t>Parking Infringement Appeals</w:t>
        </w:r>
      </w:hyperlink>
    </w:p>
    <w:p w14:paraId="21AF2E6F" w14:textId="0BDFE8F2" w:rsidR="00746ABF" w:rsidRDefault="00746ABF">
      <w:pPr>
        <w:pStyle w:val="TOC3"/>
        <w:tabs>
          <w:tab w:val="left" w:pos="1985"/>
        </w:tabs>
        <w:rPr>
          <w:rFonts w:eastAsiaTheme="minorEastAsia"/>
          <w:noProof/>
          <w:kern w:val="2"/>
          <w:sz w:val="24"/>
          <w:szCs w:val="24"/>
          <w:lang w:eastAsia="en-AU"/>
          <w14:ligatures w14:val="standardContextual"/>
        </w:rPr>
      </w:pPr>
      <w:hyperlink w:anchor="_Toc216866686" w:history="1">
        <w:r w:rsidRPr="00000567">
          <w:rPr>
            <w:rStyle w:val="Hyperlink"/>
            <w:noProof/>
          </w:rPr>
          <w:t>2.1.10</w:t>
        </w:r>
        <w:r>
          <w:rPr>
            <w:rFonts w:eastAsiaTheme="minorEastAsia"/>
            <w:noProof/>
            <w:kern w:val="2"/>
            <w:sz w:val="24"/>
            <w:szCs w:val="24"/>
            <w:lang w:eastAsia="en-AU"/>
            <w14:ligatures w14:val="standardContextual"/>
          </w:rPr>
          <w:tab/>
        </w:r>
        <w:r w:rsidRPr="00000567">
          <w:rPr>
            <w:rStyle w:val="Hyperlink"/>
            <w:noProof/>
          </w:rPr>
          <w:t>Infringement Debt Management</w:t>
        </w:r>
      </w:hyperlink>
    </w:p>
    <w:p w14:paraId="589516E3" w14:textId="7CE92B5D" w:rsidR="00746ABF" w:rsidRDefault="00746ABF">
      <w:pPr>
        <w:pStyle w:val="TOC3"/>
        <w:tabs>
          <w:tab w:val="left" w:pos="1985"/>
        </w:tabs>
        <w:rPr>
          <w:rFonts w:eastAsiaTheme="minorEastAsia"/>
          <w:noProof/>
          <w:kern w:val="2"/>
          <w:sz w:val="24"/>
          <w:szCs w:val="24"/>
          <w:lang w:eastAsia="en-AU"/>
          <w14:ligatures w14:val="standardContextual"/>
        </w:rPr>
      </w:pPr>
      <w:hyperlink w:anchor="_Toc216866687" w:history="1">
        <w:r w:rsidRPr="00000567">
          <w:rPr>
            <w:rStyle w:val="Hyperlink"/>
            <w:noProof/>
          </w:rPr>
          <w:t>2.1.11</w:t>
        </w:r>
        <w:r>
          <w:rPr>
            <w:rFonts w:eastAsiaTheme="minorEastAsia"/>
            <w:noProof/>
            <w:kern w:val="2"/>
            <w:sz w:val="24"/>
            <w:szCs w:val="24"/>
            <w:lang w:eastAsia="en-AU"/>
            <w14:ligatures w14:val="standardContextual"/>
          </w:rPr>
          <w:tab/>
        </w:r>
        <w:r w:rsidRPr="00000567">
          <w:rPr>
            <w:rStyle w:val="Hyperlink"/>
            <w:noProof/>
          </w:rPr>
          <w:t>Community Grants &amp; Sponsorship</w:t>
        </w:r>
      </w:hyperlink>
    </w:p>
    <w:p w14:paraId="6A9BF601" w14:textId="3EB7C38F" w:rsidR="00746ABF" w:rsidRDefault="00746ABF">
      <w:pPr>
        <w:pStyle w:val="TOC3"/>
        <w:tabs>
          <w:tab w:val="left" w:pos="1985"/>
        </w:tabs>
        <w:rPr>
          <w:rFonts w:eastAsiaTheme="minorEastAsia"/>
          <w:noProof/>
          <w:kern w:val="2"/>
          <w:sz w:val="24"/>
          <w:szCs w:val="24"/>
          <w:lang w:eastAsia="en-AU"/>
          <w14:ligatures w14:val="standardContextual"/>
        </w:rPr>
      </w:pPr>
      <w:hyperlink w:anchor="_Toc216866688" w:history="1">
        <w:r w:rsidRPr="00000567">
          <w:rPr>
            <w:rStyle w:val="Hyperlink"/>
            <w:noProof/>
          </w:rPr>
          <w:t>2.1.12</w:t>
        </w:r>
        <w:r>
          <w:rPr>
            <w:rFonts w:eastAsiaTheme="minorEastAsia"/>
            <w:noProof/>
            <w:kern w:val="2"/>
            <w:sz w:val="24"/>
            <w:szCs w:val="24"/>
            <w:lang w:eastAsia="en-AU"/>
            <w14:ligatures w14:val="standardContextual"/>
          </w:rPr>
          <w:tab/>
        </w:r>
        <w:r w:rsidRPr="00000567">
          <w:rPr>
            <w:rStyle w:val="Hyperlink"/>
            <w:noProof/>
          </w:rPr>
          <w:t>Leeuwin Carpark (No 1) &amp; Launching Ramp – Parking for Ratepayers</w:t>
        </w:r>
      </w:hyperlink>
    </w:p>
    <w:p w14:paraId="7C3961A5" w14:textId="72F2225B" w:rsidR="00746ABF" w:rsidRDefault="00746ABF">
      <w:pPr>
        <w:pStyle w:val="TOC3"/>
        <w:tabs>
          <w:tab w:val="left" w:pos="1985"/>
        </w:tabs>
        <w:rPr>
          <w:rFonts w:eastAsiaTheme="minorEastAsia"/>
          <w:noProof/>
          <w:kern w:val="2"/>
          <w:sz w:val="24"/>
          <w:szCs w:val="24"/>
          <w:lang w:eastAsia="en-AU"/>
          <w14:ligatures w14:val="standardContextual"/>
        </w:rPr>
      </w:pPr>
      <w:hyperlink w:anchor="_Toc216866689" w:history="1">
        <w:r w:rsidRPr="00000567">
          <w:rPr>
            <w:rStyle w:val="Hyperlink"/>
            <w:strike/>
            <w:noProof/>
          </w:rPr>
          <w:t>2.1.13</w:t>
        </w:r>
        <w:r>
          <w:rPr>
            <w:rFonts w:eastAsiaTheme="minorEastAsia"/>
            <w:noProof/>
            <w:kern w:val="2"/>
            <w:sz w:val="24"/>
            <w:szCs w:val="24"/>
            <w:lang w:eastAsia="en-AU"/>
            <w14:ligatures w14:val="standardContextual"/>
          </w:rPr>
          <w:tab/>
        </w:r>
        <w:r w:rsidRPr="00000567">
          <w:rPr>
            <w:rStyle w:val="Hyperlink"/>
            <w:strike/>
            <w:noProof/>
          </w:rPr>
          <w:t>Rubbish Collection Charge – Domestic Service – No Separate Charge (Revoked 19/11/24)</w:t>
        </w:r>
      </w:hyperlink>
    </w:p>
    <w:p w14:paraId="4063FC9D" w14:textId="45AECD3B" w:rsidR="00746ABF" w:rsidRDefault="00746ABF">
      <w:pPr>
        <w:pStyle w:val="TOC3"/>
        <w:tabs>
          <w:tab w:val="left" w:pos="1985"/>
        </w:tabs>
        <w:rPr>
          <w:rStyle w:val="Hyperlink"/>
          <w:noProof/>
        </w:rPr>
      </w:pPr>
      <w:hyperlink w:anchor="_Toc216866690" w:history="1">
        <w:r w:rsidRPr="00000567">
          <w:rPr>
            <w:rStyle w:val="Hyperlink"/>
            <w:strike/>
            <w:noProof/>
          </w:rPr>
          <w:t>2.1.14</w:t>
        </w:r>
        <w:r>
          <w:rPr>
            <w:rFonts w:eastAsiaTheme="minorEastAsia"/>
            <w:noProof/>
            <w:kern w:val="2"/>
            <w:sz w:val="24"/>
            <w:szCs w:val="24"/>
            <w:lang w:eastAsia="en-AU"/>
            <w14:ligatures w14:val="standardContextual"/>
          </w:rPr>
          <w:tab/>
        </w:r>
        <w:r w:rsidRPr="00000567">
          <w:rPr>
            <w:rStyle w:val="Hyperlink"/>
            <w:strike/>
            <w:noProof/>
          </w:rPr>
          <w:t>Motor Vehicle Acquisition &amp; Usage</w:t>
        </w:r>
      </w:hyperlink>
    </w:p>
    <w:p w14:paraId="716089E7" w14:textId="7A7CA203" w:rsidR="00746ABF" w:rsidRPr="00746ABF" w:rsidRDefault="00746ABF" w:rsidP="00746ABF">
      <w:pPr>
        <w:spacing w:after="0"/>
        <w:ind w:left="1985"/>
      </w:pPr>
      <w:r>
        <w:t>This policy has been reclassified as an administration policy</w:t>
      </w:r>
    </w:p>
    <w:p w14:paraId="41771BF1" w14:textId="4C07C3C1" w:rsidR="00746ABF" w:rsidRDefault="00746ABF">
      <w:pPr>
        <w:pStyle w:val="TOC3"/>
        <w:tabs>
          <w:tab w:val="left" w:pos="1985"/>
        </w:tabs>
        <w:rPr>
          <w:rFonts w:eastAsiaTheme="minorEastAsia"/>
          <w:noProof/>
          <w:kern w:val="2"/>
          <w:sz w:val="24"/>
          <w:szCs w:val="24"/>
          <w:lang w:eastAsia="en-AU"/>
          <w14:ligatures w14:val="standardContextual"/>
        </w:rPr>
      </w:pPr>
      <w:hyperlink w:anchor="_Toc216866692" w:history="1">
        <w:r w:rsidRPr="00000567">
          <w:rPr>
            <w:rStyle w:val="Hyperlink"/>
            <w:noProof/>
          </w:rPr>
          <w:t>2.1.15</w:t>
        </w:r>
        <w:r>
          <w:rPr>
            <w:rFonts w:eastAsiaTheme="minorEastAsia"/>
            <w:noProof/>
            <w:kern w:val="2"/>
            <w:sz w:val="24"/>
            <w:szCs w:val="24"/>
            <w:lang w:eastAsia="en-AU"/>
            <w14:ligatures w14:val="standardContextual"/>
          </w:rPr>
          <w:tab/>
        </w:r>
        <w:r w:rsidRPr="00000567">
          <w:rPr>
            <w:rStyle w:val="Hyperlink"/>
            <w:noProof/>
          </w:rPr>
          <w:t>Waste Services for Community and Sporting Organisations</w:t>
        </w:r>
      </w:hyperlink>
    </w:p>
    <w:p w14:paraId="1177D621" w14:textId="14666870" w:rsidR="00746ABF" w:rsidRDefault="00746ABF">
      <w:pPr>
        <w:pStyle w:val="TOC3"/>
        <w:tabs>
          <w:tab w:val="left" w:pos="1985"/>
        </w:tabs>
        <w:rPr>
          <w:rFonts w:eastAsiaTheme="minorEastAsia"/>
          <w:noProof/>
          <w:kern w:val="2"/>
          <w:sz w:val="24"/>
          <w:szCs w:val="24"/>
          <w:lang w:eastAsia="en-AU"/>
          <w14:ligatures w14:val="standardContextual"/>
        </w:rPr>
      </w:pPr>
      <w:hyperlink w:anchor="_Toc216866693" w:history="1">
        <w:r w:rsidRPr="00000567">
          <w:rPr>
            <w:rStyle w:val="Hyperlink"/>
            <w:noProof/>
          </w:rPr>
          <w:t>2.1.16</w:t>
        </w:r>
        <w:r>
          <w:rPr>
            <w:rFonts w:eastAsiaTheme="minorEastAsia"/>
            <w:noProof/>
            <w:kern w:val="2"/>
            <w:sz w:val="24"/>
            <w:szCs w:val="24"/>
            <w:lang w:eastAsia="en-AU"/>
            <w14:ligatures w14:val="standardContextual"/>
          </w:rPr>
          <w:tab/>
        </w:r>
        <w:r w:rsidRPr="00000567">
          <w:rPr>
            <w:rStyle w:val="Hyperlink"/>
            <w:noProof/>
          </w:rPr>
          <w:t>Rates Concession Policy</w:t>
        </w:r>
      </w:hyperlink>
    </w:p>
    <w:p w14:paraId="68B6026D" w14:textId="0EF1FCE0" w:rsidR="00746ABF" w:rsidRDefault="00746ABF">
      <w:pPr>
        <w:pStyle w:val="TOC3"/>
        <w:tabs>
          <w:tab w:val="left" w:pos="1985"/>
        </w:tabs>
        <w:rPr>
          <w:rFonts w:eastAsiaTheme="minorEastAsia"/>
          <w:noProof/>
          <w:kern w:val="2"/>
          <w:sz w:val="24"/>
          <w:szCs w:val="24"/>
          <w:lang w:eastAsia="en-AU"/>
          <w14:ligatures w14:val="standardContextual"/>
        </w:rPr>
      </w:pPr>
      <w:hyperlink w:anchor="_Toc216866695" w:history="1">
        <w:r w:rsidRPr="00000567">
          <w:rPr>
            <w:rStyle w:val="Hyperlink"/>
            <w:noProof/>
          </w:rPr>
          <w:t>2.1.17</w:t>
        </w:r>
        <w:r>
          <w:rPr>
            <w:rFonts w:eastAsiaTheme="minorEastAsia"/>
            <w:noProof/>
            <w:kern w:val="2"/>
            <w:sz w:val="24"/>
            <w:szCs w:val="24"/>
            <w:lang w:eastAsia="en-AU"/>
            <w14:ligatures w14:val="standardContextual"/>
          </w:rPr>
          <w:tab/>
        </w:r>
        <w:r w:rsidRPr="00000567">
          <w:rPr>
            <w:rStyle w:val="Hyperlink"/>
            <w:noProof/>
          </w:rPr>
          <w:t>Pensioners and Seniors Rebates Eligibility</w:t>
        </w:r>
      </w:hyperlink>
    </w:p>
    <w:p w14:paraId="62602DD3" w14:textId="4BC31E6B" w:rsidR="00746ABF" w:rsidRDefault="00746ABF">
      <w:pPr>
        <w:pStyle w:val="TOC3"/>
        <w:tabs>
          <w:tab w:val="left" w:pos="1985"/>
        </w:tabs>
        <w:rPr>
          <w:rFonts w:eastAsiaTheme="minorEastAsia"/>
          <w:noProof/>
          <w:kern w:val="2"/>
          <w:sz w:val="24"/>
          <w:szCs w:val="24"/>
          <w:lang w:eastAsia="en-AU"/>
          <w14:ligatures w14:val="standardContextual"/>
        </w:rPr>
      </w:pPr>
      <w:hyperlink w:anchor="_Toc216866697" w:history="1">
        <w:r w:rsidRPr="00000567">
          <w:rPr>
            <w:rStyle w:val="Hyperlink"/>
            <w:noProof/>
          </w:rPr>
          <w:t>2.1.18</w:t>
        </w:r>
        <w:r>
          <w:rPr>
            <w:rFonts w:eastAsiaTheme="minorEastAsia"/>
            <w:noProof/>
            <w:kern w:val="2"/>
            <w:sz w:val="24"/>
            <w:szCs w:val="24"/>
            <w:lang w:eastAsia="en-AU"/>
            <w14:ligatures w14:val="standardContextual"/>
          </w:rPr>
          <w:tab/>
        </w:r>
        <w:r w:rsidRPr="00000567">
          <w:rPr>
            <w:rStyle w:val="Hyperlink"/>
            <w:noProof/>
          </w:rPr>
          <w:t>Cash Backed Reserves</w:t>
        </w:r>
      </w:hyperlink>
    </w:p>
    <w:p w14:paraId="1ECAF1F0" w14:textId="2AB2D278" w:rsidR="00746ABF" w:rsidRDefault="00746ABF">
      <w:pPr>
        <w:pStyle w:val="TOC3"/>
        <w:tabs>
          <w:tab w:val="left" w:pos="1985"/>
        </w:tabs>
        <w:rPr>
          <w:rFonts w:eastAsiaTheme="minorEastAsia"/>
          <w:noProof/>
          <w:kern w:val="2"/>
          <w:sz w:val="24"/>
          <w:szCs w:val="24"/>
          <w:lang w:eastAsia="en-AU"/>
          <w14:ligatures w14:val="standardContextual"/>
        </w:rPr>
      </w:pPr>
      <w:hyperlink w:anchor="_Toc216866698" w:history="1">
        <w:r w:rsidRPr="00000567">
          <w:rPr>
            <w:rStyle w:val="Hyperlink"/>
            <w:noProof/>
          </w:rPr>
          <w:t>2.1.19</w:t>
        </w:r>
        <w:r>
          <w:rPr>
            <w:rFonts w:eastAsiaTheme="minorEastAsia"/>
            <w:noProof/>
            <w:kern w:val="2"/>
            <w:sz w:val="24"/>
            <w:szCs w:val="24"/>
            <w:lang w:eastAsia="en-AU"/>
            <w14:ligatures w14:val="standardContextual"/>
          </w:rPr>
          <w:tab/>
        </w:r>
        <w:r w:rsidRPr="00000567">
          <w:rPr>
            <w:rStyle w:val="Hyperlink"/>
            <w:noProof/>
          </w:rPr>
          <w:t>Contract Variations</w:t>
        </w:r>
      </w:hyperlink>
    </w:p>
    <w:p w14:paraId="6AB04872" w14:textId="41EF9C0A" w:rsidR="00746ABF" w:rsidRDefault="00746ABF">
      <w:pPr>
        <w:pStyle w:val="TOC3"/>
        <w:rPr>
          <w:rFonts w:eastAsiaTheme="minorEastAsia"/>
          <w:noProof/>
          <w:kern w:val="2"/>
          <w:sz w:val="24"/>
          <w:szCs w:val="24"/>
          <w:lang w:eastAsia="en-AU"/>
          <w14:ligatures w14:val="standardContextual"/>
        </w:rPr>
      </w:pPr>
      <w:hyperlink w:anchor="_Toc216866699" w:history="1">
        <w:r w:rsidRPr="00000567">
          <w:rPr>
            <w:rStyle w:val="Hyperlink"/>
            <w:noProof/>
          </w:rPr>
          <w:t>2.1.20  Waste Services and Charging</w:t>
        </w:r>
      </w:hyperlink>
    </w:p>
    <w:p w14:paraId="07D82977" w14:textId="20DE58DD" w:rsidR="00746ABF" w:rsidRDefault="00746ABF">
      <w:pPr>
        <w:pStyle w:val="TOC2"/>
        <w:rPr>
          <w:rFonts w:eastAsiaTheme="minorEastAsia"/>
          <w:noProof/>
          <w:kern w:val="2"/>
          <w:sz w:val="24"/>
          <w:szCs w:val="24"/>
          <w:lang w:eastAsia="en-AU"/>
          <w14:ligatures w14:val="standardContextual"/>
        </w:rPr>
      </w:pPr>
      <w:hyperlink w:anchor="_Toc216866700" w:history="1">
        <w:r w:rsidRPr="00000567">
          <w:rPr>
            <w:rStyle w:val="Hyperlink"/>
            <w:noProof/>
          </w:rPr>
          <w:t>2.2</w:t>
        </w:r>
        <w:r>
          <w:rPr>
            <w:rFonts w:eastAsiaTheme="minorEastAsia"/>
            <w:noProof/>
            <w:kern w:val="2"/>
            <w:sz w:val="24"/>
            <w:szCs w:val="24"/>
            <w:lang w:eastAsia="en-AU"/>
            <w14:ligatures w14:val="standardContextual"/>
          </w:rPr>
          <w:tab/>
        </w:r>
        <w:r w:rsidRPr="00000567">
          <w:rPr>
            <w:rStyle w:val="Hyperlink"/>
            <w:noProof/>
          </w:rPr>
          <w:t>RISK MANAGEMENT</w:t>
        </w:r>
      </w:hyperlink>
    </w:p>
    <w:p w14:paraId="0ABB6ADD" w14:textId="6699616A" w:rsidR="00746ABF" w:rsidRDefault="00746ABF">
      <w:pPr>
        <w:pStyle w:val="TOC3"/>
        <w:tabs>
          <w:tab w:val="left" w:pos="1985"/>
        </w:tabs>
        <w:rPr>
          <w:rFonts w:eastAsiaTheme="minorEastAsia"/>
          <w:noProof/>
          <w:kern w:val="2"/>
          <w:sz w:val="24"/>
          <w:szCs w:val="24"/>
          <w:lang w:eastAsia="en-AU"/>
          <w14:ligatures w14:val="standardContextual"/>
        </w:rPr>
      </w:pPr>
      <w:hyperlink w:anchor="_Toc216866701" w:history="1">
        <w:r w:rsidRPr="00000567">
          <w:rPr>
            <w:rStyle w:val="Hyperlink"/>
            <w:noProof/>
          </w:rPr>
          <w:t>2.2.1</w:t>
        </w:r>
        <w:r>
          <w:rPr>
            <w:rFonts w:eastAsiaTheme="minorEastAsia"/>
            <w:noProof/>
            <w:kern w:val="2"/>
            <w:sz w:val="24"/>
            <w:szCs w:val="24"/>
            <w:lang w:eastAsia="en-AU"/>
            <w14:ligatures w14:val="standardContextual"/>
          </w:rPr>
          <w:tab/>
        </w:r>
        <w:r w:rsidRPr="00000567">
          <w:rPr>
            <w:rStyle w:val="Hyperlink"/>
            <w:noProof/>
          </w:rPr>
          <w:t>Legal Representation for Council Members and Employees</w:t>
        </w:r>
      </w:hyperlink>
    </w:p>
    <w:p w14:paraId="52FF4F57" w14:textId="6417AA82" w:rsidR="00746ABF" w:rsidRDefault="00746ABF">
      <w:pPr>
        <w:pStyle w:val="TOC3"/>
        <w:tabs>
          <w:tab w:val="left" w:pos="1985"/>
        </w:tabs>
        <w:rPr>
          <w:rFonts w:eastAsiaTheme="minorEastAsia"/>
          <w:noProof/>
          <w:kern w:val="2"/>
          <w:sz w:val="24"/>
          <w:szCs w:val="24"/>
          <w:lang w:eastAsia="en-AU"/>
          <w14:ligatures w14:val="standardContextual"/>
        </w:rPr>
      </w:pPr>
      <w:hyperlink w:anchor="_Toc216866702" w:history="1">
        <w:r w:rsidRPr="00000567">
          <w:rPr>
            <w:rStyle w:val="Hyperlink"/>
            <w:noProof/>
          </w:rPr>
          <w:t>2.2.2</w:t>
        </w:r>
        <w:r>
          <w:rPr>
            <w:rFonts w:eastAsiaTheme="minorEastAsia"/>
            <w:noProof/>
            <w:kern w:val="2"/>
            <w:sz w:val="24"/>
            <w:szCs w:val="24"/>
            <w:lang w:eastAsia="en-AU"/>
            <w14:ligatures w14:val="standardContextual"/>
          </w:rPr>
          <w:tab/>
        </w:r>
        <w:r w:rsidRPr="00000567">
          <w:rPr>
            <w:rStyle w:val="Hyperlink"/>
            <w:noProof/>
          </w:rPr>
          <w:t>Use of Information Technology</w:t>
        </w:r>
      </w:hyperlink>
    </w:p>
    <w:p w14:paraId="27939925" w14:textId="2B1D6F56" w:rsidR="00746ABF" w:rsidRDefault="00746ABF">
      <w:pPr>
        <w:pStyle w:val="TOC3"/>
        <w:tabs>
          <w:tab w:val="left" w:pos="1985"/>
        </w:tabs>
        <w:rPr>
          <w:rFonts w:eastAsiaTheme="minorEastAsia"/>
          <w:noProof/>
          <w:kern w:val="2"/>
          <w:sz w:val="24"/>
          <w:szCs w:val="24"/>
          <w:lang w:eastAsia="en-AU"/>
          <w14:ligatures w14:val="standardContextual"/>
        </w:rPr>
      </w:pPr>
      <w:hyperlink w:anchor="_Toc216866703" w:history="1">
        <w:r w:rsidRPr="00000567">
          <w:rPr>
            <w:rStyle w:val="Hyperlink"/>
            <w:noProof/>
          </w:rPr>
          <w:t>2.2.3</w:t>
        </w:r>
        <w:r>
          <w:rPr>
            <w:rFonts w:eastAsiaTheme="minorEastAsia"/>
            <w:noProof/>
            <w:kern w:val="2"/>
            <w:sz w:val="24"/>
            <w:szCs w:val="24"/>
            <w:lang w:eastAsia="en-AU"/>
            <w14:ligatures w14:val="standardContextual"/>
          </w:rPr>
          <w:tab/>
        </w:r>
        <w:r w:rsidRPr="00000567">
          <w:rPr>
            <w:rStyle w:val="Hyperlink"/>
            <w:noProof/>
          </w:rPr>
          <w:t>Related Party Disclosures</w:t>
        </w:r>
      </w:hyperlink>
    </w:p>
    <w:p w14:paraId="6466E06E" w14:textId="28B267E5" w:rsidR="00746ABF" w:rsidRDefault="00746ABF">
      <w:pPr>
        <w:pStyle w:val="TOC3"/>
        <w:tabs>
          <w:tab w:val="left" w:pos="1985"/>
        </w:tabs>
        <w:rPr>
          <w:rFonts w:eastAsiaTheme="minorEastAsia"/>
          <w:noProof/>
          <w:kern w:val="2"/>
          <w:sz w:val="24"/>
          <w:szCs w:val="24"/>
          <w:lang w:eastAsia="en-AU"/>
          <w14:ligatures w14:val="standardContextual"/>
        </w:rPr>
      </w:pPr>
      <w:hyperlink w:anchor="_Toc216866704" w:history="1">
        <w:r w:rsidRPr="00000567">
          <w:rPr>
            <w:rStyle w:val="Hyperlink"/>
            <w:noProof/>
          </w:rPr>
          <w:t>2.2.4</w:t>
        </w:r>
        <w:r>
          <w:rPr>
            <w:rFonts w:eastAsiaTheme="minorEastAsia"/>
            <w:noProof/>
            <w:kern w:val="2"/>
            <w:sz w:val="24"/>
            <w:szCs w:val="24"/>
            <w:lang w:eastAsia="en-AU"/>
            <w14:ligatures w14:val="standardContextual"/>
          </w:rPr>
          <w:tab/>
        </w:r>
        <w:r w:rsidRPr="00000567">
          <w:rPr>
            <w:rStyle w:val="Hyperlink"/>
            <w:noProof/>
          </w:rPr>
          <w:t>Risk</w:t>
        </w:r>
        <w:r w:rsidRPr="00000567">
          <w:rPr>
            <w:rStyle w:val="Hyperlink"/>
            <w:noProof/>
            <w:spacing w:val="7"/>
          </w:rPr>
          <w:t xml:space="preserve"> </w:t>
        </w:r>
        <w:r w:rsidRPr="00000567">
          <w:rPr>
            <w:rStyle w:val="Hyperlink"/>
            <w:noProof/>
          </w:rPr>
          <w:t>Management</w:t>
        </w:r>
      </w:hyperlink>
    </w:p>
    <w:p w14:paraId="59BCBA72" w14:textId="794700E9" w:rsidR="00746ABF" w:rsidRDefault="00746ABF">
      <w:pPr>
        <w:pStyle w:val="TOC3"/>
        <w:tabs>
          <w:tab w:val="left" w:pos="1985"/>
        </w:tabs>
        <w:rPr>
          <w:rFonts w:eastAsiaTheme="minorEastAsia"/>
          <w:noProof/>
          <w:kern w:val="2"/>
          <w:sz w:val="24"/>
          <w:szCs w:val="24"/>
          <w:lang w:eastAsia="en-AU"/>
          <w14:ligatures w14:val="standardContextual"/>
        </w:rPr>
      </w:pPr>
      <w:hyperlink w:anchor="_Toc216866705" w:history="1">
        <w:r w:rsidRPr="00000567">
          <w:rPr>
            <w:rStyle w:val="Hyperlink"/>
            <w:noProof/>
          </w:rPr>
          <w:t>2.2.5</w:t>
        </w:r>
        <w:r>
          <w:rPr>
            <w:rFonts w:eastAsiaTheme="minorEastAsia"/>
            <w:noProof/>
            <w:kern w:val="2"/>
            <w:sz w:val="24"/>
            <w:szCs w:val="24"/>
            <w:lang w:eastAsia="en-AU"/>
            <w14:ligatures w14:val="standardContextual"/>
          </w:rPr>
          <w:tab/>
        </w:r>
        <w:r w:rsidRPr="00000567">
          <w:rPr>
            <w:rStyle w:val="Hyperlink"/>
            <w:noProof/>
          </w:rPr>
          <w:t>Internal Audit Charter</w:t>
        </w:r>
      </w:hyperlink>
    </w:p>
    <w:p w14:paraId="38498321" w14:textId="3AB76819" w:rsidR="00746ABF" w:rsidRDefault="00746ABF">
      <w:pPr>
        <w:pStyle w:val="TOC3"/>
        <w:tabs>
          <w:tab w:val="left" w:pos="1985"/>
        </w:tabs>
        <w:rPr>
          <w:rFonts w:eastAsiaTheme="minorEastAsia"/>
          <w:noProof/>
          <w:kern w:val="2"/>
          <w:sz w:val="24"/>
          <w:szCs w:val="24"/>
          <w:lang w:eastAsia="en-AU"/>
          <w14:ligatures w14:val="standardContextual"/>
        </w:rPr>
      </w:pPr>
      <w:hyperlink w:anchor="_Toc216866706" w:history="1">
        <w:r w:rsidRPr="00000567">
          <w:rPr>
            <w:rStyle w:val="Hyperlink"/>
            <w:noProof/>
          </w:rPr>
          <w:t>2.2.6</w:t>
        </w:r>
        <w:r>
          <w:rPr>
            <w:rFonts w:eastAsiaTheme="minorEastAsia"/>
            <w:noProof/>
            <w:kern w:val="2"/>
            <w:sz w:val="24"/>
            <w:szCs w:val="24"/>
            <w:lang w:eastAsia="en-AU"/>
            <w14:ligatures w14:val="standardContextual"/>
          </w:rPr>
          <w:tab/>
        </w:r>
        <w:r w:rsidRPr="00000567">
          <w:rPr>
            <w:rStyle w:val="Hyperlink"/>
            <w:noProof/>
          </w:rPr>
          <w:t>Requests for New or Capital Upgrades to Existing Community Buildings</w:t>
        </w:r>
      </w:hyperlink>
    </w:p>
    <w:p w14:paraId="7738490D" w14:textId="00E92B67" w:rsidR="00746ABF" w:rsidRDefault="00746ABF">
      <w:pPr>
        <w:pStyle w:val="TOC3"/>
        <w:tabs>
          <w:tab w:val="left" w:pos="1985"/>
        </w:tabs>
        <w:rPr>
          <w:rFonts w:eastAsiaTheme="minorEastAsia"/>
          <w:noProof/>
          <w:kern w:val="2"/>
          <w:sz w:val="24"/>
          <w:szCs w:val="24"/>
          <w:lang w:eastAsia="en-AU"/>
          <w14:ligatures w14:val="standardContextual"/>
        </w:rPr>
      </w:pPr>
      <w:hyperlink w:anchor="_Toc216866707" w:history="1">
        <w:r w:rsidRPr="00000567">
          <w:rPr>
            <w:rStyle w:val="Hyperlink"/>
            <w:noProof/>
          </w:rPr>
          <w:t>2.2.7</w:t>
        </w:r>
        <w:r>
          <w:rPr>
            <w:rFonts w:eastAsiaTheme="minorEastAsia"/>
            <w:noProof/>
            <w:kern w:val="2"/>
            <w:sz w:val="24"/>
            <w:szCs w:val="24"/>
            <w:lang w:eastAsia="en-AU"/>
            <w14:ligatures w14:val="standardContextual"/>
          </w:rPr>
          <w:tab/>
        </w:r>
        <w:r w:rsidRPr="00000567">
          <w:rPr>
            <w:rStyle w:val="Hyperlink"/>
            <w:noProof/>
          </w:rPr>
          <w:t>Fraud and Corruption</w:t>
        </w:r>
      </w:hyperlink>
    </w:p>
    <w:p w14:paraId="45575D2D" w14:textId="104E3680" w:rsidR="00746ABF" w:rsidRDefault="00746ABF">
      <w:pPr>
        <w:pStyle w:val="TOC3"/>
        <w:tabs>
          <w:tab w:val="left" w:pos="1985"/>
        </w:tabs>
        <w:rPr>
          <w:rFonts w:eastAsiaTheme="minorEastAsia"/>
          <w:noProof/>
          <w:kern w:val="2"/>
          <w:sz w:val="24"/>
          <w:szCs w:val="24"/>
          <w:lang w:eastAsia="en-AU"/>
          <w14:ligatures w14:val="standardContextual"/>
        </w:rPr>
      </w:pPr>
      <w:hyperlink w:anchor="_Toc216866708" w:history="1">
        <w:r w:rsidRPr="00000567">
          <w:rPr>
            <w:rStyle w:val="Hyperlink"/>
            <w:noProof/>
          </w:rPr>
          <w:t>2.2.8</w:t>
        </w:r>
        <w:r>
          <w:rPr>
            <w:rFonts w:eastAsiaTheme="minorEastAsia"/>
            <w:noProof/>
            <w:kern w:val="2"/>
            <w:sz w:val="24"/>
            <w:szCs w:val="24"/>
            <w:lang w:eastAsia="en-AU"/>
            <w14:ligatures w14:val="standardContextual"/>
          </w:rPr>
          <w:tab/>
        </w:r>
        <w:r w:rsidRPr="00000567">
          <w:rPr>
            <w:rStyle w:val="Hyperlink"/>
            <w:noProof/>
          </w:rPr>
          <w:t>Volunteer Management</w:t>
        </w:r>
      </w:hyperlink>
    </w:p>
    <w:p w14:paraId="439E5F17" w14:textId="06F355BE" w:rsidR="00746ABF" w:rsidRDefault="00746ABF">
      <w:pPr>
        <w:pStyle w:val="TOC3"/>
        <w:tabs>
          <w:tab w:val="left" w:pos="1985"/>
        </w:tabs>
        <w:rPr>
          <w:rFonts w:eastAsiaTheme="minorEastAsia"/>
          <w:noProof/>
          <w:kern w:val="2"/>
          <w:sz w:val="24"/>
          <w:szCs w:val="24"/>
          <w:lang w:eastAsia="en-AU"/>
          <w14:ligatures w14:val="standardContextual"/>
        </w:rPr>
      </w:pPr>
      <w:hyperlink w:anchor="_Toc216866709" w:history="1">
        <w:r w:rsidRPr="00000567">
          <w:rPr>
            <w:rStyle w:val="Hyperlink"/>
            <w:noProof/>
          </w:rPr>
          <w:t>2.2.9</w:t>
        </w:r>
        <w:r>
          <w:rPr>
            <w:rFonts w:eastAsiaTheme="minorEastAsia"/>
            <w:noProof/>
            <w:kern w:val="2"/>
            <w:sz w:val="24"/>
            <w:szCs w:val="24"/>
            <w:lang w:eastAsia="en-AU"/>
            <w14:ligatures w14:val="standardContextual"/>
          </w:rPr>
          <w:tab/>
        </w:r>
        <w:r w:rsidRPr="00000567">
          <w:rPr>
            <w:rStyle w:val="Hyperlink"/>
            <w:noProof/>
          </w:rPr>
          <w:t>Legislative Compliance Policy and Procedure</w:t>
        </w:r>
      </w:hyperlink>
    </w:p>
    <w:p w14:paraId="2DB2C3BB" w14:textId="19BDFC82" w:rsidR="00746ABF" w:rsidRDefault="00746ABF">
      <w:pPr>
        <w:pStyle w:val="TOC3"/>
        <w:tabs>
          <w:tab w:val="left" w:pos="1985"/>
        </w:tabs>
        <w:rPr>
          <w:rFonts w:eastAsiaTheme="minorEastAsia"/>
          <w:noProof/>
          <w:kern w:val="2"/>
          <w:sz w:val="24"/>
          <w:szCs w:val="24"/>
          <w:lang w:eastAsia="en-AU"/>
          <w14:ligatures w14:val="standardContextual"/>
        </w:rPr>
      </w:pPr>
      <w:hyperlink w:anchor="_Toc216866710" w:history="1">
        <w:r w:rsidRPr="00000567">
          <w:rPr>
            <w:rStyle w:val="Hyperlink"/>
            <w:noProof/>
          </w:rPr>
          <w:t>2.2.10</w:t>
        </w:r>
        <w:r>
          <w:rPr>
            <w:rFonts w:eastAsiaTheme="minorEastAsia"/>
            <w:noProof/>
            <w:kern w:val="2"/>
            <w:sz w:val="24"/>
            <w:szCs w:val="24"/>
            <w:lang w:eastAsia="en-AU"/>
            <w14:ligatures w14:val="standardContextual"/>
          </w:rPr>
          <w:tab/>
        </w:r>
        <w:r w:rsidRPr="00000567">
          <w:rPr>
            <w:rStyle w:val="Hyperlink"/>
            <w:noProof/>
          </w:rPr>
          <w:t>Habitual or Vexatious Complaints</w:t>
        </w:r>
      </w:hyperlink>
    </w:p>
    <w:p w14:paraId="3E0BB6A0" w14:textId="3D0B18B9" w:rsidR="00746ABF" w:rsidRDefault="00746ABF">
      <w:pPr>
        <w:pStyle w:val="TOC1"/>
        <w:rPr>
          <w:rFonts w:eastAsiaTheme="minorEastAsia"/>
          <w:noProof/>
          <w:kern w:val="2"/>
          <w:szCs w:val="24"/>
          <w:lang w:eastAsia="en-AU"/>
          <w14:ligatures w14:val="standardContextual"/>
        </w:rPr>
      </w:pPr>
      <w:hyperlink w:anchor="_Toc216866711" w:history="1">
        <w:r w:rsidRPr="00000567">
          <w:rPr>
            <w:rStyle w:val="Hyperlink"/>
            <w:noProof/>
          </w:rPr>
          <w:t>3.</w:t>
        </w:r>
        <w:r>
          <w:rPr>
            <w:rFonts w:eastAsiaTheme="minorEastAsia"/>
            <w:noProof/>
            <w:kern w:val="2"/>
            <w:szCs w:val="24"/>
            <w:lang w:eastAsia="en-AU"/>
            <w14:ligatures w14:val="standardContextual"/>
          </w:rPr>
          <w:tab/>
        </w:r>
        <w:r w:rsidRPr="00000567">
          <w:rPr>
            <w:rStyle w:val="Hyperlink"/>
            <w:noProof/>
          </w:rPr>
          <w:t>REGULATORY SERVICES</w:t>
        </w:r>
      </w:hyperlink>
    </w:p>
    <w:p w14:paraId="6269DBDC" w14:textId="03E98A19" w:rsidR="00746ABF" w:rsidRDefault="00746ABF">
      <w:pPr>
        <w:pStyle w:val="TOC2"/>
        <w:rPr>
          <w:rFonts w:eastAsiaTheme="minorEastAsia"/>
          <w:noProof/>
          <w:kern w:val="2"/>
          <w:sz w:val="24"/>
          <w:szCs w:val="24"/>
          <w:lang w:eastAsia="en-AU"/>
          <w14:ligatures w14:val="standardContextual"/>
        </w:rPr>
      </w:pPr>
      <w:hyperlink w:anchor="_Toc216866712" w:history="1">
        <w:r w:rsidRPr="00000567">
          <w:rPr>
            <w:rStyle w:val="Hyperlink"/>
            <w:noProof/>
          </w:rPr>
          <w:t>3.1</w:t>
        </w:r>
        <w:r>
          <w:rPr>
            <w:rFonts w:eastAsiaTheme="minorEastAsia"/>
            <w:noProof/>
            <w:kern w:val="2"/>
            <w:sz w:val="24"/>
            <w:szCs w:val="24"/>
            <w:lang w:eastAsia="en-AU"/>
            <w14:ligatures w14:val="standardContextual"/>
          </w:rPr>
          <w:tab/>
        </w:r>
        <w:r w:rsidRPr="00000567">
          <w:rPr>
            <w:rStyle w:val="Hyperlink"/>
            <w:noProof/>
          </w:rPr>
          <w:t>PLANNING</w:t>
        </w:r>
      </w:hyperlink>
    </w:p>
    <w:p w14:paraId="1224688E" w14:textId="535B4E3A" w:rsidR="00746ABF" w:rsidRDefault="00746ABF">
      <w:pPr>
        <w:pStyle w:val="TOC3"/>
        <w:tabs>
          <w:tab w:val="left" w:pos="1985"/>
        </w:tabs>
        <w:rPr>
          <w:rFonts w:eastAsiaTheme="minorEastAsia"/>
          <w:noProof/>
          <w:kern w:val="2"/>
          <w:sz w:val="24"/>
          <w:szCs w:val="24"/>
          <w:lang w:eastAsia="en-AU"/>
          <w14:ligatures w14:val="standardContextual"/>
        </w:rPr>
      </w:pPr>
      <w:hyperlink w:anchor="_Toc216866713" w:history="1">
        <w:r w:rsidRPr="00000567">
          <w:rPr>
            <w:rStyle w:val="Hyperlink"/>
            <w:noProof/>
          </w:rPr>
          <w:t>3.1.1</w:t>
        </w:r>
        <w:r>
          <w:rPr>
            <w:rFonts w:eastAsiaTheme="minorEastAsia"/>
            <w:noProof/>
            <w:kern w:val="2"/>
            <w:sz w:val="24"/>
            <w:szCs w:val="24"/>
            <w:lang w:eastAsia="en-AU"/>
            <w14:ligatures w14:val="standardContextual"/>
          </w:rPr>
          <w:tab/>
        </w:r>
        <w:r w:rsidRPr="00000567">
          <w:rPr>
            <w:rStyle w:val="Hyperlink"/>
            <w:noProof/>
          </w:rPr>
          <w:t>Residential Design Guidelines</w:t>
        </w:r>
      </w:hyperlink>
    </w:p>
    <w:p w14:paraId="3CEC819C" w14:textId="79730153" w:rsidR="00746ABF" w:rsidRDefault="00746ABF">
      <w:pPr>
        <w:pStyle w:val="TOC3"/>
        <w:tabs>
          <w:tab w:val="left" w:pos="1985"/>
        </w:tabs>
        <w:rPr>
          <w:rFonts w:eastAsiaTheme="minorEastAsia"/>
          <w:noProof/>
          <w:kern w:val="2"/>
          <w:sz w:val="24"/>
          <w:szCs w:val="24"/>
          <w:lang w:eastAsia="en-AU"/>
          <w14:ligatures w14:val="standardContextual"/>
        </w:rPr>
      </w:pPr>
      <w:hyperlink w:anchor="_Toc216866715" w:history="1">
        <w:r w:rsidRPr="00000567">
          <w:rPr>
            <w:rStyle w:val="Hyperlink"/>
            <w:noProof/>
          </w:rPr>
          <w:t>3.1.2</w:t>
        </w:r>
        <w:r>
          <w:rPr>
            <w:rFonts w:eastAsiaTheme="minorEastAsia"/>
            <w:noProof/>
            <w:kern w:val="2"/>
            <w:sz w:val="24"/>
            <w:szCs w:val="24"/>
            <w:lang w:eastAsia="en-AU"/>
            <w14:ligatures w14:val="standardContextual"/>
          </w:rPr>
          <w:tab/>
        </w:r>
        <w:r w:rsidRPr="00000567">
          <w:rPr>
            <w:rStyle w:val="Hyperlink"/>
            <w:noProof/>
          </w:rPr>
          <w:t>Signage Design Guidelines - Local Planning Policy</w:t>
        </w:r>
      </w:hyperlink>
    </w:p>
    <w:p w14:paraId="58350C7F" w14:textId="393AEDAD" w:rsidR="00746ABF" w:rsidRDefault="00746ABF">
      <w:pPr>
        <w:pStyle w:val="TOC3"/>
        <w:tabs>
          <w:tab w:val="left" w:pos="1985"/>
        </w:tabs>
        <w:rPr>
          <w:rFonts w:eastAsiaTheme="minorEastAsia"/>
          <w:noProof/>
          <w:kern w:val="2"/>
          <w:sz w:val="24"/>
          <w:szCs w:val="24"/>
          <w:lang w:eastAsia="en-AU"/>
          <w14:ligatures w14:val="standardContextual"/>
        </w:rPr>
      </w:pPr>
      <w:hyperlink w:anchor="_Toc216866716" w:history="1">
        <w:r w:rsidRPr="00000567">
          <w:rPr>
            <w:rStyle w:val="Hyperlink"/>
            <w:noProof/>
          </w:rPr>
          <w:t>3.1.3</w:t>
        </w:r>
        <w:r>
          <w:rPr>
            <w:rFonts w:eastAsiaTheme="minorEastAsia"/>
            <w:noProof/>
            <w:kern w:val="2"/>
            <w:sz w:val="24"/>
            <w:szCs w:val="24"/>
            <w:lang w:eastAsia="en-AU"/>
            <w14:ligatures w14:val="standardContextual"/>
          </w:rPr>
          <w:tab/>
        </w:r>
        <w:r w:rsidRPr="00000567">
          <w:rPr>
            <w:rStyle w:val="Hyperlink"/>
            <w:noProof/>
          </w:rPr>
          <w:t>Town Centre Redevelopment Guidelines – Local Planning Policy</w:t>
        </w:r>
      </w:hyperlink>
    </w:p>
    <w:p w14:paraId="062D4147" w14:textId="7A1DF44A" w:rsidR="00746ABF" w:rsidRDefault="00746ABF">
      <w:pPr>
        <w:pStyle w:val="TOC3"/>
        <w:tabs>
          <w:tab w:val="left" w:pos="1985"/>
        </w:tabs>
        <w:rPr>
          <w:rFonts w:eastAsiaTheme="minorEastAsia"/>
          <w:noProof/>
          <w:kern w:val="2"/>
          <w:sz w:val="24"/>
          <w:szCs w:val="24"/>
          <w:lang w:eastAsia="en-AU"/>
          <w14:ligatures w14:val="standardContextual"/>
        </w:rPr>
      </w:pPr>
      <w:hyperlink w:anchor="_Toc216866717" w:history="1">
        <w:r w:rsidRPr="00000567">
          <w:rPr>
            <w:rStyle w:val="Hyperlink"/>
            <w:noProof/>
          </w:rPr>
          <w:t>3.1.4</w:t>
        </w:r>
        <w:r>
          <w:rPr>
            <w:rFonts w:eastAsiaTheme="minorEastAsia"/>
            <w:noProof/>
            <w:kern w:val="2"/>
            <w:sz w:val="24"/>
            <w:szCs w:val="24"/>
            <w:lang w:eastAsia="en-AU"/>
            <w14:ligatures w14:val="standardContextual"/>
          </w:rPr>
          <w:tab/>
        </w:r>
        <w:r w:rsidRPr="00000567">
          <w:rPr>
            <w:rStyle w:val="Hyperlink"/>
            <w:noProof/>
          </w:rPr>
          <w:t>Payment in Lieu of Parking Plan – Local Planning Policy</w:t>
        </w:r>
      </w:hyperlink>
    </w:p>
    <w:p w14:paraId="112DEBCE" w14:textId="12A6585D" w:rsidR="00746ABF" w:rsidRDefault="00746ABF">
      <w:pPr>
        <w:pStyle w:val="TOC3"/>
        <w:tabs>
          <w:tab w:val="left" w:pos="1985"/>
        </w:tabs>
        <w:rPr>
          <w:rFonts w:eastAsiaTheme="minorEastAsia"/>
          <w:noProof/>
          <w:kern w:val="2"/>
          <w:sz w:val="24"/>
          <w:szCs w:val="24"/>
          <w:lang w:eastAsia="en-AU"/>
          <w14:ligatures w14:val="standardContextual"/>
        </w:rPr>
      </w:pPr>
      <w:hyperlink w:anchor="_Toc216866718" w:history="1">
        <w:r w:rsidRPr="00000567">
          <w:rPr>
            <w:rStyle w:val="Hyperlink"/>
            <w:noProof/>
          </w:rPr>
          <w:t>3.1.5</w:t>
        </w:r>
        <w:r>
          <w:rPr>
            <w:rFonts w:eastAsiaTheme="minorEastAsia"/>
            <w:noProof/>
            <w:kern w:val="2"/>
            <w:sz w:val="24"/>
            <w:szCs w:val="24"/>
            <w:lang w:eastAsia="en-AU"/>
            <w14:ligatures w14:val="standardContextual"/>
          </w:rPr>
          <w:tab/>
        </w:r>
        <w:r w:rsidRPr="00000567">
          <w:rPr>
            <w:rStyle w:val="Hyperlink"/>
            <w:noProof/>
          </w:rPr>
          <w:t>Community Design Advisory Committee</w:t>
        </w:r>
      </w:hyperlink>
    </w:p>
    <w:p w14:paraId="29BBFB5B" w14:textId="043E42DE" w:rsidR="00746ABF" w:rsidRDefault="00746ABF">
      <w:pPr>
        <w:pStyle w:val="TOC3"/>
        <w:tabs>
          <w:tab w:val="left" w:pos="1985"/>
        </w:tabs>
        <w:rPr>
          <w:rFonts w:eastAsiaTheme="minorEastAsia"/>
          <w:noProof/>
          <w:kern w:val="2"/>
          <w:sz w:val="24"/>
          <w:szCs w:val="24"/>
          <w:lang w:eastAsia="en-AU"/>
          <w14:ligatures w14:val="standardContextual"/>
        </w:rPr>
      </w:pPr>
      <w:hyperlink w:anchor="_Toc216866719" w:history="1">
        <w:r w:rsidRPr="00000567">
          <w:rPr>
            <w:rStyle w:val="Hyperlink"/>
            <w:noProof/>
          </w:rPr>
          <w:t>3.1.6</w:t>
        </w:r>
        <w:r>
          <w:rPr>
            <w:rFonts w:eastAsiaTheme="minorEastAsia"/>
            <w:noProof/>
            <w:kern w:val="2"/>
            <w:sz w:val="24"/>
            <w:szCs w:val="24"/>
            <w:lang w:eastAsia="en-AU"/>
            <w14:ligatures w14:val="standardContextual"/>
          </w:rPr>
          <w:tab/>
        </w:r>
        <w:r w:rsidRPr="00000567">
          <w:rPr>
            <w:rStyle w:val="Hyperlink"/>
            <w:noProof/>
          </w:rPr>
          <w:t>George Street Designated Heritage Area - Local Planning Policy</w:t>
        </w:r>
      </w:hyperlink>
    </w:p>
    <w:p w14:paraId="2BA68A68" w14:textId="587558AF" w:rsidR="00746ABF" w:rsidRDefault="00746ABF">
      <w:pPr>
        <w:pStyle w:val="TOC3"/>
        <w:tabs>
          <w:tab w:val="left" w:pos="1985"/>
        </w:tabs>
        <w:rPr>
          <w:rFonts w:eastAsiaTheme="minorEastAsia"/>
          <w:noProof/>
          <w:kern w:val="2"/>
          <w:sz w:val="24"/>
          <w:szCs w:val="24"/>
          <w:lang w:eastAsia="en-AU"/>
          <w14:ligatures w14:val="standardContextual"/>
        </w:rPr>
      </w:pPr>
      <w:hyperlink w:anchor="_Toc216866720" w:history="1">
        <w:r w:rsidRPr="00000567">
          <w:rPr>
            <w:rStyle w:val="Hyperlink"/>
            <w:noProof/>
          </w:rPr>
          <w:t>3.1.7</w:t>
        </w:r>
        <w:r>
          <w:rPr>
            <w:rFonts w:eastAsiaTheme="minorEastAsia"/>
            <w:noProof/>
            <w:kern w:val="2"/>
            <w:sz w:val="24"/>
            <w:szCs w:val="24"/>
            <w:lang w:eastAsia="en-AU"/>
            <w14:ligatures w14:val="standardContextual"/>
          </w:rPr>
          <w:tab/>
        </w:r>
        <w:r w:rsidRPr="00000567">
          <w:rPr>
            <w:rStyle w:val="Hyperlink"/>
            <w:noProof/>
          </w:rPr>
          <w:t>Wood Encouragement - Council</w:t>
        </w:r>
      </w:hyperlink>
    </w:p>
    <w:p w14:paraId="2F188209" w14:textId="025D5D24" w:rsidR="00746ABF" w:rsidRDefault="00746ABF">
      <w:pPr>
        <w:pStyle w:val="TOC3"/>
        <w:tabs>
          <w:tab w:val="left" w:pos="1985"/>
        </w:tabs>
        <w:rPr>
          <w:rFonts w:eastAsiaTheme="minorEastAsia"/>
          <w:noProof/>
          <w:kern w:val="2"/>
          <w:sz w:val="24"/>
          <w:szCs w:val="24"/>
          <w:lang w:eastAsia="en-AU"/>
          <w14:ligatures w14:val="standardContextual"/>
        </w:rPr>
      </w:pPr>
      <w:hyperlink w:anchor="_Toc216866721" w:history="1">
        <w:r w:rsidRPr="00000567">
          <w:rPr>
            <w:rStyle w:val="Hyperlink"/>
            <w:noProof/>
          </w:rPr>
          <w:t>3.1.8</w:t>
        </w:r>
        <w:r>
          <w:rPr>
            <w:rFonts w:eastAsiaTheme="minorEastAsia"/>
            <w:noProof/>
            <w:kern w:val="2"/>
            <w:sz w:val="24"/>
            <w:szCs w:val="24"/>
            <w:lang w:eastAsia="en-AU"/>
            <w14:ligatures w14:val="standardContextual"/>
          </w:rPr>
          <w:tab/>
        </w:r>
        <w:r w:rsidRPr="00000567">
          <w:rPr>
            <w:rStyle w:val="Hyperlink"/>
            <w:noProof/>
          </w:rPr>
          <w:t>Wood Encouragement – General</w:t>
        </w:r>
      </w:hyperlink>
    </w:p>
    <w:p w14:paraId="5A416D55" w14:textId="4DBA250F" w:rsidR="00746ABF" w:rsidRDefault="00746ABF">
      <w:pPr>
        <w:pStyle w:val="TOC3"/>
        <w:tabs>
          <w:tab w:val="left" w:pos="1985"/>
        </w:tabs>
        <w:rPr>
          <w:rFonts w:eastAsiaTheme="minorEastAsia"/>
          <w:noProof/>
          <w:kern w:val="2"/>
          <w:sz w:val="24"/>
          <w:szCs w:val="24"/>
          <w:lang w:eastAsia="en-AU"/>
          <w14:ligatures w14:val="standardContextual"/>
        </w:rPr>
      </w:pPr>
      <w:hyperlink w:anchor="_Toc216866722" w:history="1">
        <w:r w:rsidRPr="00000567">
          <w:rPr>
            <w:rStyle w:val="Hyperlink"/>
            <w:noProof/>
          </w:rPr>
          <w:t>3.1.9</w:t>
        </w:r>
        <w:r>
          <w:rPr>
            <w:rFonts w:eastAsiaTheme="minorEastAsia"/>
            <w:noProof/>
            <w:kern w:val="2"/>
            <w:sz w:val="24"/>
            <w:szCs w:val="24"/>
            <w:lang w:eastAsia="en-AU"/>
            <w14:ligatures w14:val="standardContextual"/>
          </w:rPr>
          <w:tab/>
        </w:r>
        <w:r w:rsidRPr="00000567">
          <w:rPr>
            <w:rStyle w:val="Hyperlink"/>
            <w:noProof/>
          </w:rPr>
          <w:t>Percent for Public Art – Local Planning Policy</w:t>
        </w:r>
      </w:hyperlink>
    </w:p>
    <w:p w14:paraId="1B0C3C75" w14:textId="3E7CB6A4" w:rsidR="00746ABF" w:rsidRDefault="00746ABF">
      <w:pPr>
        <w:pStyle w:val="TOC2"/>
        <w:rPr>
          <w:rFonts w:eastAsiaTheme="minorEastAsia"/>
          <w:noProof/>
          <w:kern w:val="2"/>
          <w:sz w:val="24"/>
          <w:szCs w:val="24"/>
          <w:lang w:eastAsia="en-AU"/>
          <w14:ligatures w14:val="standardContextual"/>
        </w:rPr>
      </w:pPr>
      <w:hyperlink w:anchor="_Toc216866723" w:history="1">
        <w:r w:rsidRPr="00000567">
          <w:rPr>
            <w:rStyle w:val="Hyperlink"/>
            <w:noProof/>
          </w:rPr>
          <w:t>3.2</w:t>
        </w:r>
        <w:r>
          <w:rPr>
            <w:rFonts w:eastAsiaTheme="minorEastAsia"/>
            <w:noProof/>
            <w:kern w:val="2"/>
            <w:sz w:val="24"/>
            <w:szCs w:val="24"/>
            <w:lang w:eastAsia="en-AU"/>
            <w14:ligatures w14:val="standardContextual"/>
          </w:rPr>
          <w:tab/>
        </w:r>
        <w:r w:rsidRPr="00000567">
          <w:rPr>
            <w:rStyle w:val="Hyperlink"/>
            <w:noProof/>
          </w:rPr>
          <w:t>ENVIRONMENTAL HEALTH</w:t>
        </w:r>
      </w:hyperlink>
    </w:p>
    <w:p w14:paraId="3F782188" w14:textId="6EFBFE45" w:rsidR="00746ABF" w:rsidRDefault="00746ABF">
      <w:pPr>
        <w:pStyle w:val="TOC3"/>
        <w:tabs>
          <w:tab w:val="left" w:pos="1985"/>
        </w:tabs>
        <w:rPr>
          <w:rFonts w:eastAsiaTheme="minorEastAsia"/>
          <w:noProof/>
          <w:kern w:val="2"/>
          <w:sz w:val="24"/>
          <w:szCs w:val="24"/>
          <w:lang w:eastAsia="en-AU"/>
          <w14:ligatures w14:val="standardContextual"/>
        </w:rPr>
      </w:pPr>
      <w:hyperlink w:anchor="_Toc216866724" w:history="1">
        <w:r w:rsidRPr="00000567">
          <w:rPr>
            <w:rStyle w:val="Hyperlink"/>
            <w:noProof/>
          </w:rPr>
          <w:t>3.2.1</w:t>
        </w:r>
        <w:r>
          <w:rPr>
            <w:rFonts w:eastAsiaTheme="minorEastAsia"/>
            <w:noProof/>
            <w:kern w:val="2"/>
            <w:sz w:val="24"/>
            <w:szCs w:val="24"/>
            <w:lang w:eastAsia="en-AU"/>
            <w14:ligatures w14:val="standardContextual"/>
          </w:rPr>
          <w:tab/>
        </w:r>
        <w:r w:rsidRPr="00000567">
          <w:rPr>
            <w:rStyle w:val="Hyperlink"/>
            <w:noProof/>
          </w:rPr>
          <w:t>Healthy Eating</w:t>
        </w:r>
      </w:hyperlink>
    </w:p>
    <w:p w14:paraId="7EAB2DC0" w14:textId="16F6932F" w:rsidR="00746ABF" w:rsidRDefault="00746ABF">
      <w:pPr>
        <w:pStyle w:val="TOC3"/>
        <w:tabs>
          <w:tab w:val="left" w:pos="1985"/>
        </w:tabs>
        <w:rPr>
          <w:rFonts w:eastAsiaTheme="minorEastAsia"/>
          <w:noProof/>
          <w:kern w:val="2"/>
          <w:sz w:val="24"/>
          <w:szCs w:val="24"/>
          <w:lang w:eastAsia="en-AU"/>
          <w14:ligatures w14:val="standardContextual"/>
        </w:rPr>
      </w:pPr>
      <w:hyperlink w:anchor="_Toc216866725" w:history="1">
        <w:r w:rsidRPr="00000567">
          <w:rPr>
            <w:rStyle w:val="Hyperlink"/>
            <w:noProof/>
          </w:rPr>
          <w:t>3.2.2</w:t>
        </w:r>
        <w:r>
          <w:rPr>
            <w:rFonts w:eastAsiaTheme="minorEastAsia"/>
            <w:noProof/>
            <w:kern w:val="2"/>
            <w:sz w:val="24"/>
            <w:szCs w:val="24"/>
            <w:lang w:eastAsia="en-AU"/>
            <w14:ligatures w14:val="standardContextual"/>
          </w:rPr>
          <w:tab/>
        </w:r>
        <w:r w:rsidRPr="00000567">
          <w:rPr>
            <w:rStyle w:val="Hyperlink"/>
            <w:noProof/>
          </w:rPr>
          <w:t>Noise Attenuation</w:t>
        </w:r>
      </w:hyperlink>
    </w:p>
    <w:p w14:paraId="08072CAB" w14:textId="1DF8CB87" w:rsidR="00746ABF" w:rsidRDefault="00746ABF">
      <w:pPr>
        <w:pStyle w:val="TOC3"/>
        <w:tabs>
          <w:tab w:val="left" w:pos="1985"/>
        </w:tabs>
        <w:rPr>
          <w:rFonts w:eastAsiaTheme="minorEastAsia"/>
          <w:noProof/>
          <w:kern w:val="2"/>
          <w:sz w:val="24"/>
          <w:szCs w:val="24"/>
          <w:lang w:eastAsia="en-AU"/>
          <w14:ligatures w14:val="standardContextual"/>
        </w:rPr>
      </w:pPr>
      <w:hyperlink w:anchor="_Toc216866726" w:history="1">
        <w:r w:rsidRPr="00000567">
          <w:rPr>
            <w:rStyle w:val="Hyperlink"/>
            <w:noProof/>
          </w:rPr>
          <w:t>3.2.3</w:t>
        </w:r>
        <w:r>
          <w:rPr>
            <w:rFonts w:eastAsiaTheme="minorEastAsia"/>
            <w:noProof/>
            <w:kern w:val="2"/>
            <w:sz w:val="24"/>
            <w:szCs w:val="24"/>
            <w:lang w:eastAsia="en-AU"/>
            <w14:ligatures w14:val="standardContextual"/>
          </w:rPr>
          <w:tab/>
        </w:r>
        <w:r w:rsidRPr="00000567">
          <w:rPr>
            <w:rStyle w:val="Hyperlink"/>
            <w:noProof/>
          </w:rPr>
          <w:t>Waterwise Pool &amp; Spa Cover Policy</w:t>
        </w:r>
      </w:hyperlink>
    </w:p>
    <w:p w14:paraId="164950CC" w14:textId="0681A365" w:rsidR="00746ABF" w:rsidRDefault="00746ABF">
      <w:pPr>
        <w:pStyle w:val="TOC3"/>
        <w:tabs>
          <w:tab w:val="left" w:pos="1985"/>
        </w:tabs>
        <w:rPr>
          <w:rFonts w:eastAsiaTheme="minorEastAsia"/>
          <w:noProof/>
          <w:kern w:val="2"/>
          <w:sz w:val="24"/>
          <w:szCs w:val="24"/>
          <w:lang w:eastAsia="en-AU"/>
          <w14:ligatures w14:val="standardContextual"/>
        </w:rPr>
      </w:pPr>
      <w:hyperlink w:anchor="_Toc216866727" w:history="1">
        <w:r w:rsidRPr="00000567">
          <w:rPr>
            <w:rStyle w:val="Hyperlink"/>
            <w:noProof/>
            <w:spacing w:val="-2"/>
          </w:rPr>
          <w:t>3.2.4</w:t>
        </w:r>
        <w:r>
          <w:rPr>
            <w:rFonts w:eastAsiaTheme="minorEastAsia"/>
            <w:noProof/>
            <w:kern w:val="2"/>
            <w:sz w:val="24"/>
            <w:szCs w:val="24"/>
            <w:lang w:eastAsia="en-AU"/>
            <w14:ligatures w14:val="standardContextual"/>
          </w:rPr>
          <w:tab/>
        </w:r>
        <w:r w:rsidRPr="00000567">
          <w:rPr>
            <w:rStyle w:val="Hyperlink"/>
            <w:noProof/>
          </w:rPr>
          <w:t>Verge</w:t>
        </w:r>
        <w:r w:rsidRPr="00000567">
          <w:rPr>
            <w:rStyle w:val="Hyperlink"/>
            <w:noProof/>
            <w:spacing w:val="10"/>
          </w:rPr>
          <w:t xml:space="preserve"> </w:t>
        </w:r>
        <w:r w:rsidRPr="00000567">
          <w:rPr>
            <w:rStyle w:val="Hyperlink"/>
            <w:noProof/>
          </w:rPr>
          <w:t>Treatment</w:t>
        </w:r>
        <w:r w:rsidRPr="00000567">
          <w:rPr>
            <w:rStyle w:val="Hyperlink"/>
            <w:noProof/>
            <w:spacing w:val="17"/>
          </w:rPr>
          <w:t xml:space="preserve"> </w:t>
        </w:r>
        <w:r w:rsidRPr="00000567">
          <w:rPr>
            <w:rStyle w:val="Hyperlink"/>
            <w:noProof/>
            <w:spacing w:val="-2"/>
          </w:rPr>
          <w:t>Policy</w:t>
        </w:r>
      </w:hyperlink>
    </w:p>
    <w:p w14:paraId="15AD7030" w14:textId="045EB8EF" w:rsidR="00746ABF" w:rsidRDefault="00746ABF">
      <w:pPr>
        <w:pStyle w:val="TOC1"/>
        <w:rPr>
          <w:rFonts w:eastAsiaTheme="minorEastAsia"/>
          <w:noProof/>
          <w:kern w:val="2"/>
          <w:szCs w:val="24"/>
          <w:lang w:eastAsia="en-AU"/>
          <w14:ligatures w14:val="standardContextual"/>
        </w:rPr>
      </w:pPr>
      <w:hyperlink w:anchor="_Toc216866728" w:history="1">
        <w:r w:rsidRPr="00000567">
          <w:rPr>
            <w:rStyle w:val="Hyperlink"/>
            <w:noProof/>
          </w:rPr>
          <w:t>4.</w:t>
        </w:r>
        <w:r>
          <w:rPr>
            <w:rFonts w:eastAsiaTheme="minorEastAsia"/>
            <w:noProof/>
            <w:kern w:val="2"/>
            <w:szCs w:val="24"/>
            <w:lang w:eastAsia="en-AU"/>
            <w14:ligatures w14:val="standardContextual"/>
          </w:rPr>
          <w:tab/>
        </w:r>
        <w:r w:rsidRPr="00000567">
          <w:rPr>
            <w:rStyle w:val="Hyperlink"/>
            <w:noProof/>
          </w:rPr>
          <w:t>OPERATIONS</w:t>
        </w:r>
      </w:hyperlink>
    </w:p>
    <w:p w14:paraId="39B59F41" w14:textId="54A63AB6" w:rsidR="00746ABF" w:rsidRDefault="00746ABF">
      <w:pPr>
        <w:pStyle w:val="TOC2"/>
        <w:rPr>
          <w:rFonts w:eastAsiaTheme="minorEastAsia"/>
          <w:noProof/>
          <w:kern w:val="2"/>
          <w:sz w:val="24"/>
          <w:szCs w:val="24"/>
          <w:lang w:eastAsia="en-AU"/>
          <w14:ligatures w14:val="standardContextual"/>
        </w:rPr>
      </w:pPr>
      <w:hyperlink w:anchor="_Toc216866729" w:history="1">
        <w:r w:rsidRPr="00000567">
          <w:rPr>
            <w:rStyle w:val="Hyperlink"/>
            <w:noProof/>
          </w:rPr>
          <w:t>4.1</w:t>
        </w:r>
        <w:r>
          <w:rPr>
            <w:rFonts w:eastAsiaTheme="minorEastAsia"/>
            <w:noProof/>
            <w:kern w:val="2"/>
            <w:sz w:val="24"/>
            <w:szCs w:val="24"/>
            <w:lang w:eastAsia="en-AU"/>
            <w14:ligatures w14:val="standardContextual"/>
          </w:rPr>
          <w:tab/>
        </w:r>
        <w:r w:rsidRPr="00000567">
          <w:rPr>
            <w:rStyle w:val="Hyperlink"/>
            <w:noProof/>
          </w:rPr>
          <w:t>PUBLIC INFRASTRUCTURE</w:t>
        </w:r>
      </w:hyperlink>
    </w:p>
    <w:p w14:paraId="07AB54D6" w14:textId="641E8561" w:rsidR="00746ABF" w:rsidRDefault="00746ABF">
      <w:pPr>
        <w:pStyle w:val="TOC3"/>
        <w:tabs>
          <w:tab w:val="left" w:pos="1985"/>
        </w:tabs>
        <w:rPr>
          <w:rFonts w:eastAsiaTheme="minorEastAsia"/>
          <w:noProof/>
          <w:kern w:val="2"/>
          <w:sz w:val="24"/>
          <w:szCs w:val="24"/>
          <w:lang w:eastAsia="en-AU"/>
          <w14:ligatures w14:val="standardContextual"/>
        </w:rPr>
      </w:pPr>
      <w:hyperlink w:anchor="_Toc216866730" w:history="1">
        <w:r w:rsidRPr="00000567">
          <w:rPr>
            <w:rStyle w:val="Hyperlink"/>
            <w:noProof/>
          </w:rPr>
          <w:t>4.1.1</w:t>
        </w:r>
        <w:r>
          <w:rPr>
            <w:rFonts w:eastAsiaTheme="minorEastAsia"/>
            <w:noProof/>
            <w:kern w:val="2"/>
            <w:sz w:val="24"/>
            <w:szCs w:val="24"/>
            <w:lang w:eastAsia="en-AU"/>
            <w14:ligatures w14:val="standardContextual"/>
          </w:rPr>
          <w:tab/>
        </w:r>
        <w:r w:rsidRPr="00000567">
          <w:rPr>
            <w:rStyle w:val="Hyperlink"/>
            <w:noProof/>
          </w:rPr>
          <w:t>Removal of Graffiti</w:t>
        </w:r>
      </w:hyperlink>
    </w:p>
    <w:p w14:paraId="52E24F83" w14:textId="667716EF" w:rsidR="00746ABF" w:rsidRDefault="00746ABF">
      <w:pPr>
        <w:pStyle w:val="TOC3"/>
        <w:tabs>
          <w:tab w:val="left" w:pos="1985"/>
        </w:tabs>
        <w:rPr>
          <w:rFonts w:eastAsiaTheme="minorEastAsia"/>
          <w:noProof/>
          <w:kern w:val="2"/>
          <w:sz w:val="24"/>
          <w:szCs w:val="24"/>
          <w:lang w:eastAsia="en-AU"/>
          <w14:ligatures w14:val="standardContextual"/>
        </w:rPr>
      </w:pPr>
      <w:hyperlink w:anchor="_Toc216866731" w:history="1">
        <w:r w:rsidRPr="00000567">
          <w:rPr>
            <w:rStyle w:val="Hyperlink"/>
            <w:noProof/>
          </w:rPr>
          <w:t>4.1.2</w:t>
        </w:r>
        <w:r>
          <w:rPr>
            <w:rFonts w:eastAsiaTheme="minorEastAsia"/>
            <w:noProof/>
            <w:kern w:val="2"/>
            <w:sz w:val="24"/>
            <w:szCs w:val="24"/>
            <w:lang w:eastAsia="en-AU"/>
            <w14:ligatures w14:val="standardContextual"/>
          </w:rPr>
          <w:tab/>
        </w:r>
        <w:r w:rsidRPr="00000567">
          <w:rPr>
            <w:rStyle w:val="Hyperlink"/>
            <w:noProof/>
          </w:rPr>
          <w:t>Public Art Panel</w:t>
        </w:r>
      </w:hyperlink>
    </w:p>
    <w:p w14:paraId="4F113027" w14:textId="7E302608" w:rsidR="00746ABF" w:rsidRDefault="00746ABF">
      <w:pPr>
        <w:pStyle w:val="TOC3"/>
        <w:tabs>
          <w:tab w:val="left" w:pos="1985"/>
        </w:tabs>
        <w:rPr>
          <w:rFonts w:eastAsiaTheme="minorEastAsia"/>
          <w:noProof/>
          <w:kern w:val="2"/>
          <w:sz w:val="24"/>
          <w:szCs w:val="24"/>
          <w:lang w:eastAsia="en-AU"/>
          <w14:ligatures w14:val="standardContextual"/>
        </w:rPr>
      </w:pPr>
      <w:hyperlink w:anchor="_Toc216866732" w:history="1">
        <w:r w:rsidRPr="00000567">
          <w:rPr>
            <w:rStyle w:val="Hyperlink"/>
            <w:noProof/>
          </w:rPr>
          <w:t>4.1.3</w:t>
        </w:r>
        <w:r>
          <w:rPr>
            <w:rFonts w:eastAsiaTheme="minorEastAsia"/>
            <w:noProof/>
            <w:kern w:val="2"/>
            <w:sz w:val="24"/>
            <w:szCs w:val="24"/>
            <w:lang w:eastAsia="en-AU"/>
            <w14:ligatures w14:val="standardContextual"/>
          </w:rPr>
          <w:tab/>
        </w:r>
        <w:r w:rsidRPr="00000567">
          <w:rPr>
            <w:rStyle w:val="Hyperlink"/>
            <w:noProof/>
          </w:rPr>
          <w:t>Public Art</w:t>
        </w:r>
      </w:hyperlink>
    </w:p>
    <w:p w14:paraId="617120A8" w14:textId="053A1154" w:rsidR="00746ABF" w:rsidRDefault="00746ABF">
      <w:pPr>
        <w:pStyle w:val="TOC3"/>
        <w:tabs>
          <w:tab w:val="left" w:pos="1985"/>
        </w:tabs>
        <w:rPr>
          <w:rFonts w:eastAsiaTheme="minorEastAsia"/>
          <w:noProof/>
          <w:kern w:val="2"/>
          <w:sz w:val="24"/>
          <w:szCs w:val="24"/>
          <w:lang w:eastAsia="en-AU"/>
          <w14:ligatures w14:val="standardContextual"/>
        </w:rPr>
      </w:pPr>
      <w:hyperlink w:anchor="_Toc216866733" w:history="1">
        <w:r w:rsidRPr="00000567">
          <w:rPr>
            <w:rStyle w:val="Hyperlink"/>
            <w:noProof/>
          </w:rPr>
          <w:t>4.1.4</w:t>
        </w:r>
        <w:r>
          <w:rPr>
            <w:rFonts w:eastAsiaTheme="minorEastAsia"/>
            <w:noProof/>
            <w:kern w:val="2"/>
            <w:sz w:val="24"/>
            <w:szCs w:val="24"/>
            <w:lang w:eastAsia="en-AU"/>
            <w14:ligatures w14:val="standardContextual"/>
          </w:rPr>
          <w:tab/>
        </w:r>
        <w:r w:rsidRPr="00000567">
          <w:rPr>
            <w:rStyle w:val="Hyperlink"/>
            <w:noProof/>
          </w:rPr>
          <w:t>Directional Signs</w:t>
        </w:r>
      </w:hyperlink>
    </w:p>
    <w:p w14:paraId="4BFEBABA" w14:textId="5EFA81D0" w:rsidR="00746ABF" w:rsidRDefault="00746ABF">
      <w:pPr>
        <w:pStyle w:val="TOC3"/>
        <w:tabs>
          <w:tab w:val="left" w:pos="1985"/>
        </w:tabs>
        <w:rPr>
          <w:rFonts w:eastAsiaTheme="minorEastAsia"/>
          <w:noProof/>
          <w:kern w:val="2"/>
          <w:sz w:val="24"/>
          <w:szCs w:val="24"/>
          <w:lang w:eastAsia="en-AU"/>
          <w14:ligatures w14:val="standardContextual"/>
        </w:rPr>
      </w:pPr>
      <w:hyperlink w:anchor="_Toc216866734" w:history="1">
        <w:r w:rsidRPr="00000567">
          <w:rPr>
            <w:rStyle w:val="Hyperlink"/>
            <w:noProof/>
          </w:rPr>
          <w:t>4.1.5</w:t>
        </w:r>
        <w:r>
          <w:rPr>
            <w:rFonts w:eastAsiaTheme="minorEastAsia"/>
            <w:noProof/>
            <w:kern w:val="2"/>
            <w:sz w:val="24"/>
            <w:szCs w:val="24"/>
            <w:lang w:eastAsia="en-AU"/>
            <w14:ligatures w14:val="standardContextual"/>
          </w:rPr>
          <w:tab/>
        </w:r>
        <w:r w:rsidRPr="00000567">
          <w:rPr>
            <w:rStyle w:val="Hyperlink"/>
            <w:noProof/>
          </w:rPr>
          <w:t>Memorials in Public Places</w:t>
        </w:r>
      </w:hyperlink>
    </w:p>
    <w:p w14:paraId="064E486B" w14:textId="4587FDCE" w:rsidR="00746ABF" w:rsidRDefault="00746ABF">
      <w:pPr>
        <w:pStyle w:val="TOC2"/>
        <w:rPr>
          <w:rFonts w:eastAsiaTheme="minorEastAsia"/>
          <w:noProof/>
          <w:kern w:val="2"/>
          <w:sz w:val="24"/>
          <w:szCs w:val="24"/>
          <w:lang w:eastAsia="en-AU"/>
          <w14:ligatures w14:val="standardContextual"/>
        </w:rPr>
      </w:pPr>
      <w:hyperlink w:anchor="_Toc216866735" w:history="1">
        <w:r w:rsidRPr="00000567">
          <w:rPr>
            <w:rStyle w:val="Hyperlink"/>
            <w:noProof/>
          </w:rPr>
          <w:t>4.2</w:t>
        </w:r>
        <w:r>
          <w:rPr>
            <w:rFonts w:eastAsiaTheme="minorEastAsia"/>
            <w:noProof/>
            <w:kern w:val="2"/>
            <w:sz w:val="24"/>
            <w:szCs w:val="24"/>
            <w:lang w:eastAsia="en-AU"/>
            <w14:ligatures w14:val="standardContextual"/>
          </w:rPr>
          <w:tab/>
        </w:r>
        <w:r w:rsidRPr="00000567">
          <w:rPr>
            <w:rStyle w:val="Hyperlink"/>
            <w:noProof/>
          </w:rPr>
          <w:t>PARKS &amp; RESERVES</w:t>
        </w:r>
      </w:hyperlink>
    </w:p>
    <w:p w14:paraId="043CD1FE" w14:textId="394E8B5B" w:rsidR="00746ABF" w:rsidRDefault="00746ABF">
      <w:pPr>
        <w:pStyle w:val="TOC3"/>
        <w:tabs>
          <w:tab w:val="left" w:pos="1985"/>
        </w:tabs>
        <w:rPr>
          <w:rFonts w:eastAsiaTheme="minorEastAsia"/>
          <w:noProof/>
          <w:kern w:val="2"/>
          <w:sz w:val="24"/>
          <w:szCs w:val="24"/>
          <w:lang w:eastAsia="en-AU"/>
          <w14:ligatures w14:val="standardContextual"/>
        </w:rPr>
      </w:pPr>
      <w:hyperlink w:anchor="_Toc216866736" w:history="1">
        <w:r w:rsidRPr="00000567">
          <w:rPr>
            <w:rStyle w:val="Hyperlink"/>
            <w:noProof/>
          </w:rPr>
          <w:t>4.2.1</w:t>
        </w:r>
        <w:r>
          <w:rPr>
            <w:rFonts w:eastAsiaTheme="minorEastAsia"/>
            <w:noProof/>
            <w:kern w:val="2"/>
            <w:sz w:val="24"/>
            <w:szCs w:val="24"/>
            <w:lang w:eastAsia="en-AU"/>
            <w14:ligatures w14:val="standardContextual"/>
          </w:rPr>
          <w:tab/>
        </w:r>
        <w:r w:rsidRPr="00000567">
          <w:rPr>
            <w:rStyle w:val="Hyperlink"/>
            <w:noProof/>
          </w:rPr>
          <w:t>Maintenance &amp; Removal of Public and Verge Trees</w:t>
        </w:r>
      </w:hyperlink>
    </w:p>
    <w:p w14:paraId="2C50BBB1" w14:textId="0FF9B554" w:rsidR="00746ABF" w:rsidRDefault="00746ABF">
      <w:pPr>
        <w:pStyle w:val="TOC3"/>
        <w:tabs>
          <w:tab w:val="left" w:pos="1985"/>
        </w:tabs>
        <w:rPr>
          <w:rFonts w:eastAsiaTheme="minorEastAsia"/>
          <w:noProof/>
          <w:kern w:val="2"/>
          <w:sz w:val="24"/>
          <w:szCs w:val="24"/>
          <w:lang w:eastAsia="en-AU"/>
          <w14:ligatures w14:val="standardContextual"/>
        </w:rPr>
      </w:pPr>
      <w:hyperlink w:anchor="_Toc216866737" w:history="1">
        <w:r w:rsidRPr="00000567">
          <w:rPr>
            <w:rStyle w:val="Hyperlink"/>
            <w:noProof/>
          </w:rPr>
          <w:t>4.2.2</w:t>
        </w:r>
        <w:r>
          <w:rPr>
            <w:rFonts w:eastAsiaTheme="minorEastAsia"/>
            <w:noProof/>
            <w:kern w:val="2"/>
            <w:sz w:val="24"/>
            <w:szCs w:val="24"/>
            <w:lang w:eastAsia="en-AU"/>
            <w14:ligatures w14:val="standardContextual"/>
          </w:rPr>
          <w:tab/>
        </w:r>
        <w:r w:rsidRPr="00000567">
          <w:rPr>
            <w:rStyle w:val="Hyperlink"/>
            <w:noProof/>
          </w:rPr>
          <w:t>Foreshore Dinghy Management</w:t>
        </w:r>
      </w:hyperlink>
    </w:p>
    <w:p w14:paraId="303D348B" w14:textId="25D15979" w:rsidR="00746ABF" w:rsidRDefault="00746ABF">
      <w:pPr>
        <w:pStyle w:val="TOC3"/>
        <w:tabs>
          <w:tab w:val="left" w:pos="1985"/>
        </w:tabs>
        <w:rPr>
          <w:rFonts w:eastAsiaTheme="minorEastAsia"/>
          <w:noProof/>
          <w:kern w:val="2"/>
          <w:sz w:val="24"/>
          <w:szCs w:val="24"/>
          <w:lang w:eastAsia="en-AU"/>
          <w14:ligatures w14:val="standardContextual"/>
        </w:rPr>
      </w:pPr>
      <w:hyperlink w:anchor="_Toc216866738" w:history="1">
        <w:r w:rsidRPr="00000567">
          <w:rPr>
            <w:rStyle w:val="Hyperlink"/>
            <w:noProof/>
          </w:rPr>
          <w:t>4.2.3</w:t>
        </w:r>
        <w:r>
          <w:rPr>
            <w:rFonts w:eastAsiaTheme="minorEastAsia"/>
            <w:noProof/>
            <w:kern w:val="2"/>
            <w:sz w:val="24"/>
            <w:szCs w:val="24"/>
            <w:lang w:eastAsia="en-AU"/>
            <w14:ligatures w14:val="standardContextual"/>
          </w:rPr>
          <w:tab/>
        </w:r>
        <w:r w:rsidRPr="00000567">
          <w:rPr>
            <w:rStyle w:val="Hyperlink"/>
            <w:noProof/>
          </w:rPr>
          <w:t>Tree Management and Protection in Public Places Plan</w:t>
        </w:r>
      </w:hyperlink>
    </w:p>
    <w:p w14:paraId="371577A9" w14:textId="31AC22DB" w:rsidR="00746ABF" w:rsidRDefault="00746ABF">
      <w:pPr>
        <w:pStyle w:val="TOC1"/>
        <w:rPr>
          <w:rFonts w:eastAsiaTheme="minorEastAsia"/>
          <w:noProof/>
          <w:kern w:val="2"/>
          <w:szCs w:val="24"/>
          <w:lang w:eastAsia="en-AU"/>
          <w14:ligatures w14:val="standardContextual"/>
        </w:rPr>
      </w:pPr>
      <w:hyperlink w:anchor="_Toc216866739" w:history="1">
        <w:r w:rsidRPr="00000567">
          <w:rPr>
            <w:rStyle w:val="Hyperlink"/>
            <w:noProof/>
          </w:rPr>
          <w:t>5.</w:t>
        </w:r>
        <w:r>
          <w:rPr>
            <w:rFonts w:eastAsiaTheme="minorEastAsia"/>
            <w:noProof/>
            <w:kern w:val="2"/>
            <w:szCs w:val="24"/>
            <w:lang w:eastAsia="en-AU"/>
            <w14:ligatures w14:val="standardContextual"/>
          </w:rPr>
          <w:tab/>
        </w:r>
        <w:r w:rsidRPr="00000567">
          <w:rPr>
            <w:rStyle w:val="Hyperlink"/>
            <w:noProof/>
          </w:rPr>
          <w:t>RANGER SERVICES</w:t>
        </w:r>
      </w:hyperlink>
    </w:p>
    <w:p w14:paraId="4D9C6CF4" w14:textId="35DFE585" w:rsidR="00746ABF" w:rsidRDefault="00746ABF">
      <w:pPr>
        <w:pStyle w:val="TOC2"/>
        <w:rPr>
          <w:rFonts w:eastAsiaTheme="minorEastAsia"/>
          <w:noProof/>
          <w:kern w:val="2"/>
          <w:sz w:val="24"/>
          <w:szCs w:val="24"/>
          <w:lang w:eastAsia="en-AU"/>
          <w14:ligatures w14:val="standardContextual"/>
        </w:rPr>
      </w:pPr>
      <w:hyperlink w:anchor="_Toc216866740" w:history="1">
        <w:r w:rsidRPr="00000567">
          <w:rPr>
            <w:rStyle w:val="Hyperlink"/>
            <w:noProof/>
          </w:rPr>
          <w:t>5.1</w:t>
        </w:r>
        <w:r>
          <w:rPr>
            <w:rFonts w:eastAsiaTheme="minorEastAsia"/>
            <w:noProof/>
            <w:kern w:val="2"/>
            <w:sz w:val="24"/>
            <w:szCs w:val="24"/>
            <w:lang w:eastAsia="en-AU"/>
            <w14:ligatures w14:val="standardContextual"/>
          </w:rPr>
          <w:tab/>
        </w:r>
        <w:r w:rsidRPr="00000567">
          <w:rPr>
            <w:rStyle w:val="Hyperlink"/>
            <w:noProof/>
          </w:rPr>
          <w:t>ANIMAL CONTROL</w:t>
        </w:r>
      </w:hyperlink>
    </w:p>
    <w:p w14:paraId="050CAF53" w14:textId="46901053" w:rsidR="00746ABF" w:rsidRDefault="00746ABF">
      <w:pPr>
        <w:pStyle w:val="TOC3"/>
        <w:tabs>
          <w:tab w:val="left" w:pos="1985"/>
        </w:tabs>
        <w:rPr>
          <w:rFonts w:eastAsiaTheme="minorEastAsia"/>
          <w:noProof/>
          <w:kern w:val="2"/>
          <w:sz w:val="24"/>
          <w:szCs w:val="24"/>
          <w:lang w:eastAsia="en-AU"/>
          <w14:ligatures w14:val="standardContextual"/>
        </w:rPr>
      </w:pPr>
      <w:hyperlink w:anchor="_Toc216866741" w:history="1">
        <w:r w:rsidRPr="00000567">
          <w:rPr>
            <w:rStyle w:val="Hyperlink"/>
            <w:noProof/>
          </w:rPr>
          <w:t>5.1.1</w:t>
        </w:r>
        <w:r>
          <w:rPr>
            <w:rFonts w:eastAsiaTheme="minorEastAsia"/>
            <w:noProof/>
            <w:kern w:val="2"/>
            <w:sz w:val="24"/>
            <w:szCs w:val="24"/>
            <w:lang w:eastAsia="en-AU"/>
            <w14:ligatures w14:val="standardContextual"/>
          </w:rPr>
          <w:tab/>
        </w:r>
        <w:r w:rsidRPr="00000567">
          <w:rPr>
            <w:rStyle w:val="Hyperlink"/>
            <w:noProof/>
          </w:rPr>
          <w:t>Dog Management – Community Safety</w:t>
        </w:r>
      </w:hyperlink>
    </w:p>
    <w:p w14:paraId="52AEBF18" w14:textId="687267F1" w:rsidR="00746ABF" w:rsidRDefault="00746ABF">
      <w:pPr>
        <w:pStyle w:val="TOC3"/>
        <w:tabs>
          <w:tab w:val="left" w:pos="1985"/>
        </w:tabs>
        <w:rPr>
          <w:rFonts w:eastAsiaTheme="minorEastAsia"/>
          <w:noProof/>
          <w:kern w:val="2"/>
          <w:sz w:val="24"/>
          <w:szCs w:val="24"/>
          <w:lang w:eastAsia="en-AU"/>
          <w14:ligatures w14:val="standardContextual"/>
        </w:rPr>
      </w:pPr>
      <w:hyperlink w:anchor="_Toc216866742" w:history="1">
        <w:r w:rsidRPr="00000567">
          <w:rPr>
            <w:rStyle w:val="Hyperlink"/>
            <w:noProof/>
          </w:rPr>
          <w:t>5.1.2</w:t>
        </w:r>
        <w:r>
          <w:rPr>
            <w:rFonts w:eastAsiaTheme="minorEastAsia"/>
            <w:noProof/>
            <w:kern w:val="2"/>
            <w:sz w:val="24"/>
            <w:szCs w:val="24"/>
            <w:lang w:eastAsia="en-AU"/>
            <w14:ligatures w14:val="standardContextual"/>
          </w:rPr>
          <w:tab/>
        </w:r>
        <w:r w:rsidRPr="00000567">
          <w:rPr>
            <w:rStyle w:val="Hyperlink"/>
            <w:noProof/>
          </w:rPr>
          <w:t>Dangerous Dog Declarations</w:t>
        </w:r>
      </w:hyperlink>
    </w:p>
    <w:p w14:paraId="520A8BEE" w14:textId="3A88041E" w:rsidR="00746ABF" w:rsidRDefault="00746ABF">
      <w:pPr>
        <w:pStyle w:val="TOC1"/>
        <w:rPr>
          <w:rFonts w:eastAsiaTheme="minorEastAsia"/>
          <w:noProof/>
          <w:kern w:val="2"/>
          <w:szCs w:val="24"/>
          <w:lang w:eastAsia="en-AU"/>
          <w14:ligatures w14:val="standardContextual"/>
        </w:rPr>
      </w:pPr>
      <w:hyperlink w:anchor="_Toc216866744" w:history="1">
        <w:r w:rsidRPr="00000567">
          <w:rPr>
            <w:rStyle w:val="Hyperlink"/>
            <w:noProof/>
          </w:rPr>
          <w:t>6.</w:t>
        </w:r>
        <w:r>
          <w:rPr>
            <w:rFonts w:eastAsiaTheme="minorEastAsia"/>
            <w:noProof/>
            <w:kern w:val="2"/>
            <w:szCs w:val="24"/>
            <w:lang w:eastAsia="en-AU"/>
            <w14:ligatures w14:val="standardContextual"/>
          </w:rPr>
          <w:tab/>
        </w:r>
        <w:r w:rsidRPr="00000567">
          <w:rPr>
            <w:rStyle w:val="Hyperlink"/>
            <w:noProof/>
          </w:rPr>
          <w:t>COMMUNITY</w:t>
        </w:r>
      </w:hyperlink>
    </w:p>
    <w:p w14:paraId="79A6FBA7" w14:textId="5F2B617F" w:rsidR="00746ABF" w:rsidRDefault="00746ABF">
      <w:pPr>
        <w:pStyle w:val="TOC2"/>
        <w:rPr>
          <w:rFonts w:eastAsiaTheme="minorEastAsia"/>
          <w:noProof/>
          <w:kern w:val="2"/>
          <w:sz w:val="24"/>
          <w:szCs w:val="24"/>
          <w:lang w:eastAsia="en-AU"/>
          <w14:ligatures w14:val="standardContextual"/>
        </w:rPr>
      </w:pPr>
      <w:hyperlink w:anchor="_Toc216866745" w:history="1">
        <w:r w:rsidRPr="00000567">
          <w:rPr>
            <w:rStyle w:val="Hyperlink"/>
            <w:noProof/>
          </w:rPr>
          <w:t>6.1</w:t>
        </w:r>
        <w:r>
          <w:rPr>
            <w:rFonts w:eastAsiaTheme="minorEastAsia"/>
            <w:noProof/>
            <w:kern w:val="2"/>
            <w:sz w:val="24"/>
            <w:szCs w:val="24"/>
            <w:lang w:eastAsia="en-AU"/>
            <w14:ligatures w14:val="standardContextual"/>
          </w:rPr>
          <w:tab/>
        </w:r>
        <w:r w:rsidRPr="00000567">
          <w:rPr>
            <w:rStyle w:val="Hyperlink"/>
            <w:noProof/>
          </w:rPr>
          <w:t>ACTIVITIES</w:t>
        </w:r>
      </w:hyperlink>
    </w:p>
    <w:p w14:paraId="16113FD7" w14:textId="4F971177" w:rsidR="00746ABF" w:rsidRDefault="00746ABF">
      <w:pPr>
        <w:pStyle w:val="TOC3"/>
        <w:tabs>
          <w:tab w:val="left" w:pos="1985"/>
        </w:tabs>
        <w:rPr>
          <w:rFonts w:eastAsiaTheme="minorEastAsia"/>
          <w:noProof/>
          <w:kern w:val="2"/>
          <w:sz w:val="24"/>
          <w:szCs w:val="24"/>
          <w:lang w:eastAsia="en-AU"/>
          <w14:ligatures w14:val="standardContextual"/>
        </w:rPr>
      </w:pPr>
      <w:hyperlink w:anchor="_Toc216866746" w:history="1">
        <w:r w:rsidRPr="00000567">
          <w:rPr>
            <w:rStyle w:val="Hyperlink"/>
            <w:noProof/>
          </w:rPr>
          <w:t>6.1.1</w:t>
        </w:r>
        <w:r>
          <w:rPr>
            <w:rFonts w:eastAsiaTheme="minorEastAsia"/>
            <w:noProof/>
            <w:kern w:val="2"/>
            <w:sz w:val="24"/>
            <w:szCs w:val="24"/>
            <w:lang w:eastAsia="en-AU"/>
            <w14:ligatures w14:val="standardContextual"/>
          </w:rPr>
          <w:tab/>
        </w:r>
        <w:r w:rsidRPr="00000567">
          <w:rPr>
            <w:rStyle w:val="Hyperlink"/>
            <w:noProof/>
          </w:rPr>
          <w:t>Community Gardens</w:t>
        </w:r>
      </w:hyperlink>
    </w:p>
    <w:p w14:paraId="2ECACC7C" w14:textId="39FBF1D2" w:rsidR="00746ABF" w:rsidRDefault="00746ABF">
      <w:pPr>
        <w:pStyle w:val="TOC3"/>
        <w:tabs>
          <w:tab w:val="left" w:pos="1985"/>
        </w:tabs>
        <w:rPr>
          <w:rFonts w:eastAsiaTheme="minorEastAsia"/>
          <w:noProof/>
          <w:kern w:val="2"/>
          <w:sz w:val="24"/>
          <w:szCs w:val="24"/>
          <w:lang w:eastAsia="en-AU"/>
          <w14:ligatures w14:val="standardContextual"/>
        </w:rPr>
      </w:pPr>
      <w:hyperlink w:anchor="_Toc216866747" w:history="1">
        <w:r w:rsidRPr="00000567">
          <w:rPr>
            <w:rStyle w:val="Hyperlink"/>
            <w:noProof/>
          </w:rPr>
          <w:t>6.1.2</w:t>
        </w:r>
        <w:r>
          <w:rPr>
            <w:rFonts w:eastAsiaTheme="minorEastAsia"/>
            <w:noProof/>
            <w:kern w:val="2"/>
            <w:sz w:val="24"/>
            <w:szCs w:val="24"/>
            <w:lang w:eastAsia="en-AU"/>
            <w14:ligatures w14:val="standardContextual"/>
          </w:rPr>
          <w:tab/>
        </w:r>
        <w:r w:rsidRPr="00000567">
          <w:rPr>
            <w:rStyle w:val="Hyperlink"/>
            <w:noProof/>
          </w:rPr>
          <w:t>Trading in Public Places</w:t>
        </w:r>
      </w:hyperlink>
    </w:p>
    <w:p w14:paraId="35137F6C" w14:textId="639F1778" w:rsidR="00746ABF" w:rsidRDefault="00746ABF">
      <w:pPr>
        <w:pStyle w:val="TOC3"/>
        <w:tabs>
          <w:tab w:val="left" w:pos="1985"/>
        </w:tabs>
        <w:rPr>
          <w:rFonts w:eastAsiaTheme="minorEastAsia"/>
          <w:noProof/>
          <w:kern w:val="2"/>
          <w:sz w:val="24"/>
          <w:szCs w:val="24"/>
          <w:lang w:eastAsia="en-AU"/>
          <w14:ligatures w14:val="standardContextual"/>
        </w:rPr>
      </w:pPr>
      <w:hyperlink w:anchor="_Toc216866748" w:history="1">
        <w:r w:rsidRPr="00000567">
          <w:rPr>
            <w:rStyle w:val="Hyperlink"/>
            <w:noProof/>
          </w:rPr>
          <w:t xml:space="preserve">6.1.3    </w:t>
        </w:r>
        <w:r>
          <w:rPr>
            <w:rFonts w:eastAsiaTheme="minorEastAsia"/>
            <w:noProof/>
            <w:kern w:val="2"/>
            <w:sz w:val="24"/>
            <w:szCs w:val="24"/>
            <w:lang w:eastAsia="en-AU"/>
            <w14:ligatures w14:val="standardContextual"/>
          </w:rPr>
          <w:tab/>
        </w:r>
        <w:r w:rsidRPr="00000567">
          <w:rPr>
            <w:rStyle w:val="Hyperlink"/>
            <w:noProof/>
          </w:rPr>
          <w:t>Sustainable Event</w:t>
        </w:r>
      </w:hyperlink>
    </w:p>
    <w:p w14:paraId="795EF5CC" w14:textId="480C2BEC" w:rsidR="00707F63" w:rsidRDefault="00443F2C" w:rsidP="00BB24E8">
      <w:pPr>
        <w:rPr>
          <w:lang w:val="en-US"/>
        </w:rPr>
      </w:pPr>
      <w:r>
        <w:rPr>
          <w:rFonts w:eastAsia="Calibri"/>
          <w:sz w:val="24"/>
          <w:lang w:val="en-US"/>
        </w:rPr>
        <w:fldChar w:fldCharType="end"/>
      </w:r>
    </w:p>
    <w:p w14:paraId="4B089410" w14:textId="77777777" w:rsidR="00707F63" w:rsidRDefault="00707F63" w:rsidP="00BB24E8">
      <w:pPr>
        <w:rPr>
          <w:lang w:val="en-US"/>
        </w:rPr>
      </w:pPr>
    </w:p>
    <w:p w14:paraId="2324F485" w14:textId="77777777" w:rsidR="00391FD9" w:rsidRDefault="00391FD9" w:rsidP="00BB24E8">
      <w:pPr>
        <w:rPr>
          <w:lang w:val="en-US"/>
        </w:rPr>
        <w:sectPr w:rsidR="00391FD9" w:rsidSect="001543AD">
          <w:headerReference w:type="even" r:id="rId13"/>
          <w:headerReference w:type="default" r:id="rId14"/>
          <w:footerReference w:type="even" r:id="rId15"/>
          <w:footerReference w:type="default" r:id="rId16"/>
          <w:headerReference w:type="first" r:id="rId17"/>
          <w:footerReference w:type="first" r:id="rId18"/>
          <w:pgSz w:w="11906" w:h="16838"/>
          <w:pgMar w:top="1021" w:right="1440" w:bottom="1440" w:left="1440" w:header="709" w:footer="709" w:gutter="0"/>
          <w:cols w:space="708"/>
          <w:docGrid w:linePitch="360"/>
        </w:sectPr>
      </w:pPr>
    </w:p>
    <w:p w14:paraId="5BC54976" w14:textId="691C22FC" w:rsidR="00BB24E8" w:rsidRDefault="00125ECD" w:rsidP="001543AD">
      <w:pPr>
        <w:pStyle w:val="Title"/>
        <w:pBdr>
          <w:bottom w:val="none" w:sz="0" w:space="0" w:color="auto"/>
        </w:pBdr>
        <w:spacing w:after="240"/>
        <w:jc w:val="right"/>
        <w:rPr>
          <w:rFonts w:ascii="Arial" w:hAnsi="Arial" w:cs="Arial"/>
          <w:b/>
          <w:sz w:val="12"/>
          <w:szCs w:val="28"/>
          <w:lang w:val="en-US"/>
        </w:rPr>
      </w:pPr>
      <w:r>
        <w:rPr>
          <w:noProof/>
          <w:lang w:eastAsia="en-AU"/>
        </w:rPr>
        <w:lastRenderedPageBreak/>
        <w:drawing>
          <wp:anchor distT="0" distB="0" distL="114300" distR="114300" simplePos="0" relativeHeight="251668480" behindDoc="1" locked="0" layoutInCell="1" allowOverlap="1" wp14:anchorId="7C17F047" wp14:editId="77770E29">
            <wp:simplePos x="0" y="0"/>
            <wp:positionH relativeFrom="margin">
              <wp:align>right</wp:align>
            </wp:positionH>
            <wp:positionV relativeFrom="paragraph">
              <wp:posOffset>80010</wp:posOffset>
            </wp:positionV>
            <wp:extent cx="1744345" cy="699135"/>
            <wp:effectExtent l="0" t="0" r="8255" b="5715"/>
            <wp:wrapTight wrapText="bothSides">
              <wp:wrapPolygon edited="0">
                <wp:start x="0" y="0"/>
                <wp:lineTo x="0" y="21188"/>
                <wp:lineTo x="21466" y="21188"/>
                <wp:lineTo x="21466"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3AA02815" w14:textId="69F4A2F3" w:rsidR="006159B7" w:rsidRPr="00AC7C4E" w:rsidRDefault="006159B7" w:rsidP="001543AD">
      <w:pPr>
        <w:pStyle w:val="Title"/>
        <w:pBdr>
          <w:bottom w:val="none" w:sz="0" w:space="0" w:color="auto"/>
        </w:pBdr>
        <w:spacing w:after="240"/>
        <w:jc w:val="right"/>
        <w:rPr>
          <w:rFonts w:ascii="Arial" w:hAnsi="Arial" w:cs="Arial"/>
          <w:b/>
          <w:sz w:val="12"/>
          <w:szCs w:val="28"/>
          <w:lang w:val="en-US"/>
        </w:rPr>
      </w:pPr>
    </w:p>
    <w:p w14:paraId="2D2E7CE8" w14:textId="77777777" w:rsidR="00AC7C4E" w:rsidRPr="00AC7C4E" w:rsidRDefault="00AC7C4E" w:rsidP="00AC7C4E">
      <w:pPr>
        <w:spacing w:after="0"/>
        <w:rPr>
          <w:sz w:val="2"/>
          <w:lang w:val="en-US"/>
        </w:rPr>
      </w:pPr>
    </w:p>
    <w:p w14:paraId="0B695F4F" w14:textId="77777777" w:rsidR="003369A9" w:rsidRDefault="003369A9" w:rsidP="00BB24E8">
      <w:pPr>
        <w:pStyle w:val="Policy1"/>
        <w:spacing w:after="120"/>
      </w:pPr>
    </w:p>
    <w:p w14:paraId="3C7A44F0" w14:textId="77777777" w:rsidR="003369A9" w:rsidRDefault="003369A9" w:rsidP="00BB24E8">
      <w:pPr>
        <w:pStyle w:val="Policy1"/>
        <w:spacing w:after="120"/>
      </w:pPr>
    </w:p>
    <w:p w14:paraId="6B7A8A80" w14:textId="647A2214" w:rsidR="00AC7C4E" w:rsidRPr="00C0368D" w:rsidRDefault="00AC7C4E" w:rsidP="00BB24E8">
      <w:pPr>
        <w:pStyle w:val="Policy1"/>
        <w:spacing w:after="120"/>
      </w:pPr>
      <w:bookmarkStart w:id="0" w:name="_Toc216866644"/>
      <w:r w:rsidRPr="00C0368D">
        <w:t>1.</w:t>
      </w:r>
      <w:r w:rsidRPr="00C0368D">
        <w:tab/>
        <w:t>OFFICE OF THE CEO</w:t>
      </w:r>
      <w:bookmarkEnd w:id="0"/>
    </w:p>
    <w:p w14:paraId="57202F82" w14:textId="77777777" w:rsidR="00AC7C4E" w:rsidRPr="00AC7C4E" w:rsidRDefault="00AC7C4E" w:rsidP="00BB24E8">
      <w:pPr>
        <w:pStyle w:val="Policy2"/>
        <w:spacing w:after="120"/>
      </w:pPr>
      <w:bookmarkStart w:id="1" w:name="_Toc216866645"/>
      <w:r w:rsidRPr="00AC7C4E">
        <w:t>1.1</w:t>
      </w:r>
      <w:r w:rsidRPr="00AC7C4E">
        <w:tab/>
        <w:t>ELECTED MEMBERS</w:t>
      </w:r>
      <w:bookmarkEnd w:id="1"/>
    </w:p>
    <w:p w14:paraId="08CB745C" w14:textId="77777777" w:rsidR="006159B7" w:rsidRPr="00B47F10" w:rsidRDefault="009F5ABD" w:rsidP="00BB24E8">
      <w:pPr>
        <w:pStyle w:val="Policy3"/>
      </w:pPr>
      <w:bookmarkStart w:id="2" w:name="_Toc216866646"/>
      <w:r w:rsidRPr="00B47F10">
        <w:t>1.1.1</w:t>
      </w:r>
      <w:r w:rsidRPr="00B47F10">
        <w:tab/>
      </w:r>
      <w:r w:rsidR="004B2E6D" w:rsidRPr="00B47F10">
        <w:t>P</w:t>
      </w:r>
      <w:r w:rsidR="00AC7C4E">
        <w:t>ayment of Council Members Fees and Allowances</w:t>
      </w:r>
      <w:bookmarkEnd w:id="2"/>
    </w:p>
    <w:tbl>
      <w:tblPr>
        <w:tblStyle w:val="TableGrid"/>
        <w:tblW w:w="0" w:type="auto"/>
        <w:tblInd w:w="-5" w:type="dxa"/>
        <w:tblLook w:val="04A0" w:firstRow="1" w:lastRow="0" w:firstColumn="1" w:lastColumn="0" w:noHBand="0" w:noVBand="1"/>
      </w:tblPr>
      <w:tblGrid>
        <w:gridCol w:w="3032"/>
        <w:gridCol w:w="5989"/>
      </w:tblGrid>
      <w:tr w:rsidR="006159B7" w:rsidRPr="009F5ABD" w14:paraId="1A59ED31" w14:textId="77777777" w:rsidTr="006C2BE9">
        <w:tc>
          <w:tcPr>
            <w:tcW w:w="3032" w:type="dxa"/>
          </w:tcPr>
          <w:p w14:paraId="003B90A4" w14:textId="77777777" w:rsidR="006159B7" w:rsidRPr="009F5ABD" w:rsidRDefault="00047CB7" w:rsidP="002656F5">
            <w:pPr>
              <w:rPr>
                <w:rFonts w:cstheme="minorHAnsi"/>
                <w:b/>
                <w:lang w:val="en-US"/>
              </w:rPr>
            </w:pPr>
            <w:r w:rsidRPr="009F5ABD">
              <w:rPr>
                <w:rFonts w:cstheme="minorHAnsi"/>
                <w:b/>
                <w:lang w:val="en-US"/>
              </w:rPr>
              <w:t>Type:</w:t>
            </w:r>
          </w:p>
        </w:tc>
        <w:tc>
          <w:tcPr>
            <w:tcW w:w="5989" w:type="dxa"/>
          </w:tcPr>
          <w:p w14:paraId="0828A54B" w14:textId="77777777" w:rsidR="006159B7" w:rsidRPr="009F5ABD" w:rsidRDefault="005851BA" w:rsidP="004B2E6D">
            <w:pPr>
              <w:rPr>
                <w:rFonts w:cstheme="minorHAnsi"/>
                <w:lang w:val="en-US"/>
              </w:rPr>
            </w:pPr>
            <w:r w:rsidRPr="009F5ABD">
              <w:rPr>
                <w:rFonts w:cstheme="minorHAnsi"/>
                <w:lang w:val="en-US"/>
              </w:rPr>
              <w:t>Office of CEO – Elected Members</w:t>
            </w:r>
          </w:p>
        </w:tc>
      </w:tr>
      <w:tr w:rsidR="006159B7" w:rsidRPr="009F5ABD" w14:paraId="696514FD" w14:textId="77777777" w:rsidTr="006C2BE9">
        <w:tc>
          <w:tcPr>
            <w:tcW w:w="3032" w:type="dxa"/>
          </w:tcPr>
          <w:p w14:paraId="06ED2279" w14:textId="77777777" w:rsidR="006159B7" w:rsidRPr="009F5ABD" w:rsidRDefault="00047CB7" w:rsidP="002656F5">
            <w:pPr>
              <w:rPr>
                <w:rFonts w:cstheme="minorHAnsi"/>
                <w:b/>
                <w:lang w:val="en-US"/>
              </w:rPr>
            </w:pPr>
            <w:r w:rsidRPr="009F5ABD">
              <w:rPr>
                <w:rFonts w:cstheme="minorHAnsi"/>
                <w:b/>
                <w:lang w:val="en-US"/>
              </w:rPr>
              <w:t>Legislation:</w:t>
            </w:r>
          </w:p>
        </w:tc>
        <w:tc>
          <w:tcPr>
            <w:tcW w:w="5989" w:type="dxa"/>
          </w:tcPr>
          <w:p w14:paraId="52503098" w14:textId="77777777" w:rsidR="006159B7" w:rsidRPr="009F5ABD" w:rsidRDefault="00982C9F" w:rsidP="002656F5">
            <w:pPr>
              <w:rPr>
                <w:rFonts w:cstheme="minorHAnsi"/>
                <w:lang w:val="en-US"/>
              </w:rPr>
            </w:pPr>
            <w:r w:rsidRPr="009F5ABD">
              <w:rPr>
                <w:rFonts w:cstheme="minorHAnsi"/>
                <w:lang w:val="en-US"/>
              </w:rPr>
              <w:t>Local Government Act</w:t>
            </w:r>
            <w:r w:rsidR="009F5ABD" w:rsidRPr="009F5ABD">
              <w:rPr>
                <w:rFonts w:cstheme="minorHAnsi"/>
                <w:lang w:val="en-US"/>
              </w:rPr>
              <w:t xml:space="preserve"> 1995</w:t>
            </w:r>
          </w:p>
        </w:tc>
      </w:tr>
      <w:tr w:rsidR="006159B7" w:rsidRPr="009F5ABD" w14:paraId="53DA8698" w14:textId="77777777" w:rsidTr="006C2BE9">
        <w:tc>
          <w:tcPr>
            <w:tcW w:w="3032" w:type="dxa"/>
          </w:tcPr>
          <w:p w14:paraId="65E3274B" w14:textId="77777777" w:rsidR="006159B7" w:rsidRPr="009F5ABD" w:rsidRDefault="00047CB7" w:rsidP="002656F5">
            <w:pPr>
              <w:rPr>
                <w:rFonts w:cstheme="minorHAnsi"/>
                <w:b/>
                <w:lang w:val="en-US"/>
              </w:rPr>
            </w:pPr>
            <w:r w:rsidRPr="009F5ABD">
              <w:rPr>
                <w:rFonts w:cstheme="minorHAnsi"/>
                <w:b/>
                <w:lang w:val="en-US"/>
              </w:rPr>
              <w:t>Delegation:</w:t>
            </w:r>
          </w:p>
        </w:tc>
        <w:tc>
          <w:tcPr>
            <w:tcW w:w="5989" w:type="dxa"/>
          </w:tcPr>
          <w:p w14:paraId="56674BF9" w14:textId="77777777" w:rsidR="006159B7" w:rsidRPr="009F5ABD" w:rsidRDefault="00735771" w:rsidP="002656F5">
            <w:pPr>
              <w:rPr>
                <w:rFonts w:cstheme="minorHAnsi"/>
                <w:lang w:val="en-US"/>
              </w:rPr>
            </w:pPr>
            <w:r w:rsidRPr="009F5ABD">
              <w:rPr>
                <w:rFonts w:cstheme="minorHAnsi"/>
                <w:lang w:val="en-US"/>
              </w:rPr>
              <w:t>N/A</w:t>
            </w:r>
          </w:p>
        </w:tc>
      </w:tr>
      <w:tr w:rsidR="006159B7" w:rsidRPr="009F5ABD" w14:paraId="7EE7295D" w14:textId="77777777" w:rsidTr="006C2BE9">
        <w:tc>
          <w:tcPr>
            <w:tcW w:w="3032" w:type="dxa"/>
          </w:tcPr>
          <w:p w14:paraId="016A47B8" w14:textId="77777777" w:rsidR="006159B7" w:rsidRPr="009F5ABD" w:rsidRDefault="00047CB7" w:rsidP="002656F5">
            <w:pPr>
              <w:rPr>
                <w:rFonts w:cstheme="minorHAnsi"/>
                <w:b/>
                <w:lang w:val="en-US"/>
              </w:rPr>
            </w:pPr>
            <w:r w:rsidRPr="009F5ABD">
              <w:rPr>
                <w:rFonts w:cstheme="minorHAnsi"/>
                <w:b/>
                <w:lang w:val="en-US"/>
              </w:rPr>
              <w:t>Other Related Document:</w:t>
            </w:r>
          </w:p>
        </w:tc>
        <w:tc>
          <w:tcPr>
            <w:tcW w:w="5989" w:type="dxa"/>
          </w:tcPr>
          <w:p w14:paraId="654E10CB" w14:textId="77777777" w:rsidR="006159B7" w:rsidRPr="009F5ABD" w:rsidRDefault="006159B7" w:rsidP="002656F5">
            <w:pPr>
              <w:rPr>
                <w:rFonts w:cstheme="minorHAnsi"/>
                <w:lang w:val="en-US"/>
              </w:rPr>
            </w:pPr>
          </w:p>
        </w:tc>
      </w:tr>
    </w:tbl>
    <w:p w14:paraId="052AD67D" w14:textId="77777777" w:rsidR="00A33E87" w:rsidRPr="00B47F10" w:rsidRDefault="00A33E87" w:rsidP="0062401B">
      <w:pPr>
        <w:spacing w:before="240" w:after="0"/>
        <w:rPr>
          <w:b/>
          <w:sz w:val="28"/>
          <w:szCs w:val="28"/>
          <w:lang w:val="en-US"/>
        </w:rPr>
      </w:pPr>
      <w:r w:rsidRPr="00B47F10">
        <w:rPr>
          <w:b/>
          <w:sz w:val="28"/>
          <w:szCs w:val="28"/>
          <w:lang w:val="en-US"/>
        </w:rPr>
        <w:t>Objective</w:t>
      </w:r>
    </w:p>
    <w:p w14:paraId="57733D12" w14:textId="77777777" w:rsidR="00B11A8D" w:rsidRPr="009F5ABD" w:rsidRDefault="00AA5AEE" w:rsidP="00FC490B">
      <w:pPr>
        <w:jc w:val="both"/>
        <w:rPr>
          <w:rFonts w:cstheme="minorHAnsi"/>
          <w:lang w:val="en-US"/>
        </w:rPr>
      </w:pPr>
      <w:r w:rsidRPr="009F5ABD">
        <w:rPr>
          <w:rFonts w:cstheme="minorHAnsi"/>
          <w:lang w:val="en-US"/>
        </w:rPr>
        <w:t xml:space="preserve">To </w:t>
      </w:r>
      <w:r w:rsidR="004B2E6D" w:rsidRPr="009F5ABD">
        <w:rPr>
          <w:rFonts w:cstheme="minorHAnsi"/>
          <w:lang w:val="en-US"/>
        </w:rPr>
        <w:t>clarify the payment method for disbursement of Council member fees and allowances.</w:t>
      </w:r>
    </w:p>
    <w:p w14:paraId="7AFAB633" w14:textId="77777777" w:rsidR="00A33E87" w:rsidRPr="00B47F10" w:rsidRDefault="00A33E87" w:rsidP="0062401B">
      <w:pPr>
        <w:spacing w:before="200" w:after="0"/>
        <w:rPr>
          <w:b/>
          <w:sz w:val="28"/>
          <w:szCs w:val="28"/>
          <w:lang w:val="en-US"/>
        </w:rPr>
      </w:pPr>
      <w:r w:rsidRPr="00B47F10">
        <w:rPr>
          <w:b/>
          <w:sz w:val="28"/>
          <w:szCs w:val="28"/>
          <w:lang w:val="en-US"/>
        </w:rPr>
        <w:t>Policy Scope</w:t>
      </w:r>
    </w:p>
    <w:p w14:paraId="7F2CBA7C" w14:textId="77777777" w:rsidR="00B11A8D" w:rsidRPr="009F5ABD" w:rsidRDefault="00B11A8D" w:rsidP="00B11A8D">
      <w:pPr>
        <w:rPr>
          <w:rFonts w:cstheme="minorHAnsi"/>
          <w:lang w:val="en-US"/>
        </w:rPr>
      </w:pPr>
      <w:r w:rsidRPr="009F5ABD">
        <w:rPr>
          <w:rFonts w:cstheme="minorHAnsi"/>
          <w:lang w:val="en-US"/>
        </w:rPr>
        <w:t xml:space="preserve">This policy </w:t>
      </w:r>
      <w:r w:rsidR="00D66810" w:rsidRPr="009F5ABD">
        <w:rPr>
          <w:rFonts w:cstheme="minorHAnsi"/>
          <w:lang w:val="en-US"/>
        </w:rPr>
        <w:t xml:space="preserve">relates to </w:t>
      </w:r>
      <w:r w:rsidR="004B2E6D" w:rsidRPr="009F5ABD">
        <w:rPr>
          <w:rFonts w:cstheme="minorHAnsi"/>
          <w:lang w:val="en-US"/>
        </w:rPr>
        <w:t>elected members.</w:t>
      </w:r>
    </w:p>
    <w:p w14:paraId="71FB1FE7" w14:textId="77777777" w:rsidR="00A33E87" w:rsidRPr="00B47F10" w:rsidRDefault="00A33E87" w:rsidP="0062401B">
      <w:pPr>
        <w:spacing w:before="200" w:after="0"/>
        <w:rPr>
          <w:b/>
          <w:sz w:val="28"/>
          <w:szCs w:val="28"/>
          <w:lang w:val="en-US"/>
        </w:rPr>
      </w:pPr>
      <w:r w:rsidRPr="00B47F10">
        <w:rPr>
          <w:b/>
          <w:sz w:val="28"/>
          <w:szCs w:val="28"/>
          <w:lang w:val="en-US"/>
        </w:rPr>
        <w:t xml:space="preserve">Policy </w:t>
      </w:r>
    </w:p>
    <w:p w14:paraId="4A03E0AC" w14:textId="77777777" w:rsidR="004B2E6D" w:rsidRPr="009F5ABD" w:rsidRDefault="004B2E6D" w:rsidP="004B2E6D">
      <w:pPr>
        <w:spacing w:after="0" w:line="240" w:lineRule="auto"/>
        <w:jc w:val="both"/>
        <w:rPr>
          <w:rFonts w:cstheme="minorHAnsi"/>
        </w:rPr>
      </w:pPr>
      <w:r w:rsidRPr="009F5ABD">
        <w:rPr>
          <w:rFonts w:cstheme="minorHAnsi"/>
        </w:rPr>
        <w:t>Payments to Council members to be paid as a proportionate lump sum retrospectively in the month following the end of each month, with payments to Council members who resign or retire prior to the end of a month being paid on a pro-rata basis.</w:t>
      </w:r>
    </w:p>
    <w:p w14:paraId="11CEF4CA" w14:textId="77777777" w:rsidR="004B2E6D" w:rsidRPr="009F5ABD" w:rsidRDefault="004B2E6D" w:rsidP="004B2E6D">
      <w:pPr>
        <w:spacing w:after="0" w:line="240" w:lineRule="auto"/>
        <w:jc w:val="both"/>
        <w:rPr>
          <w:rFonts w:cstheme="minorHAnsi"/>
        </w:rPr>
      </w:pPr>
    </w:p>
    <w:p w14:paraId="4B9195BD" w14:textId="77777777" w:rsidR="00982C9F" w:rsidRPr="009F5ABD" w:rsidRDefault="004B2E6D" w:rsidP="004B2E6D">
      <w:pPr>
        <w:spacing w:after="0" w:line="240" w:lineRule="auto"/>
        <w:jc w:val="both"/>
        <w:rPr>
          <w:rFonts w:cstheme="minorHAnsi"/>
        </w:rPr>
      </w:pPr>
      <w:r w:rsidRPr="009F5ABD">
        <w:rPr>
          <w:rFonts w:cstheme="minorHAnsi"/>
        </w:rPr>
        <w:t xml:space="preserve">Newly elected members may seek reimbursement of ICT hardware setup costs as an advance to the ICT Allowance. </w:t>
      </w:r>
    </w:p>
    <w:p w14:paraId="2B2A61E2" w14:textId="77777777" w:rsidR="00735771" w:rsidRPr="009F5ABD" w:rsidRDefault="00735771" w:rsidP="00B11A8D">
      <w:pPr>
        <w:jc w:val="both"/>
        <w:rPr>
          <w:rFonts w:cstheme="minorHAnsi"/>
          <w:lang w:val="en-US"/>
        </w:rPr>
      </w:pPr>
    </w:p>
    <w:p w14:paraId="13F9D600" w14:textId="77777777" w:rsidR="00333982" w:rsidRPr="009F5ABD" w:rsidRDefault="00333982" w:rsidP="00333982">
      <w:pPr>
        <w:spacing w:after="0" w:line="240" w:lineRule="auto"/>
        <w:jc w:val="both"/>
        <w:rPr>
          <w:rFonts w:cstheme="minorHAnsi"/>
        </w:rPr>
      </w:pPr>
    </w:p>
    <w:p w14:paraId="729368A2" w14:textId="77777777" w:rsidR="000010BB" w:rsidRPr="009F5ABD" w:rsidRDefault="000010BB" w:rsidP="00B43583">
      <w:pPr>
        <w:jc w:val="both"/>
        <w:rPr>
          <w:rFonts w:cstheme="minorHAnsi"/>
          <w:lang w:val="en-US"/>
        </w:rPr>
      </w:pPr>
    </w:p>
    <w:tbl>
      <w:tblPr>
        <w:tblStyle w:val="TableGrid"/>
        <w:tblW w:w="0" w:type="auto"/>
        <w:tblLook w:val="04A0" w:firstRow="1" w:lastRow="0" w:firstColumn="1" w:lastColumn="0" w:noHBand="0" w:noVBand="1"/>
      </w:tblPr>
      <w:tblGrid>
        <w:gridCol w:w="3057"/>
        <w:gridCol w:w="6005"/>
      </w:tblGrid>
      <w:tr w:rsidR="00047CB7" w:rsidRPr="009F5ABD" w14:paraId="7E16CB0E" w14:textId="77777777" w:rsidTr="002656F5">
        <w:tc>
          <w:tcPr>
            <w:tcW w:w="3085" w:type="dxa"/>
          </w:tcPr>
          <w:p w14:paraId="1C21F641" w14:textId="77777777" w:rsidR="00047CB7" w:rsidRPr="009F5ABD" w:rsidRDefault="002656F5" w:rsidP="002656F5">
            <w:pPr>
              <w:jc w:val="both"/>
              <w:rPr>
                <w:rFonts w:cstheme="minorHAnsi"/>
                <w:b/>
                <w:lang w:val="en-US"/>
              </w:rPr>
            </w:pPr>
            <w:r w:rsidRPr="009F5ABD">
              <w:rPr>
                <w:rFonts w:cstheme="minorHAnsi"/>
                <w:b/>
                <w:lang w:val="en-US"/>
              </w:rPr>
              <w:t>Responsible Directorate:</w:t>
            </w:r>
          </w:p>
        </w:tc>
        <w:tc>
          <w:tcPr>
            <w:tcW w:w="6157" w:type="dxa"/>
          </w:tcPr>
          <w:p w14:paraId="5DF0E890" w14:textId="77777777" w:rsidR="00047CB7" w:rsidRPr="009F5ABD" w:rsidRDefault="00D447B7" w:rsidP="002656F5">
            <w:pPr>
              <w:jc w:val="both"/>
              <w:rPr>
                <w:rFonts w:cstheme="minorHAnsi"/>
                <w:lang w:val="en-US"/>
              </w:rPr>
            </w:pPr>
            <w:r w:rsidRPr="009F5ABD">
              <w:rPr>
                <w:rFonts w:cstheme="minorHAnsi"/>
                <w:lang w:val="en-US"/>
              </w:rPr>
              <w:t>Offic</w:t>
            </w:r>
            <w:r w:rsidR="0062401B">
              <w:rPr>
                <w:rFonts w:cstheme="minorHAnsi"/>
                <w:lang w:val="en-US"/>
              </w:rPr>
              <w:t>e of the CEO</w:t>
            </w:r>
          </w:p>
        </w:tc>
      </w:tr>
      <w:tr w:rsidR="00047CB7" w:rsidRPr="009F5ABD" w14:paraId="19408ACF" w14:textId="77777777" w:rsidTr="002656F5">
        <w:tc>
          <w:tcPr>
            <w:tcW w:w="3085" w:type="dxa"/>
          </w:tcPr>
          <w:p w14:paraId="4B78C3C2" w14:textId="77777777" w:rsidR="00047CB7" w:rsidRPr="009F5ABD" w:rsidRDefault="002656F5" w:rsidP="002656F5">
            <w:pPr>
              <w:jc w:val="both"/>
              <w:rPr>
                <w:rFonts w:cstheme="minorHAnsi"/>
                <w:b/>
                <w:lang w:val="en-US"/>
              </w:rPr>
            </w:pPr>
            <w:r w:rsidRPr="009F5ABD">
              <w:rPr>
                <w:rFonts w:cstheme="minorHAnsi"/>
                <w:b/>
                <w:lang w:val="en-US"/>
              </w:rPr>
              <w:t>Reviewing Officer:</w:t>
            </w:r>
          </w:p>
        </w:tc>
        <w:tc>
          <w:tcPr>
            <w:tcW w:w="6157" w:type="dxa"/>
          </w:tcPr>
          <w:p w14:paraId="72FAC410" w14:textId="77777777" w:rsidR="00047CB7" w:rsidRPr="009F5ABD" w:rsidRDefault="00D447B7" w:rsidP="002656F5">
            <w:pPr>
              <w:jc w:val="both"/>
              <w:rPr>
                <w:rFonts w:cstheme="minorHAnsi"/>
                <w:lang w:val="en-US"/>
              </w:rPr>
            </w:pPr>
            <w:r w:rsidRPr="009F5ABD">
              <w:rPr>
                <w:rFonts w:cstheme="minorHAnsi"/>
                <w:lang w:val="en-US"/>
              </w:rPr>
              <w:t>Chief Executive Officer</w:t>
            </w:r>
          </w:p>
        </w:tc>
      </w:tr>
      <w:tr w:rsidR="002656F5" w:rsidRPr="009F5ABD" w14:paraId="508BC484" w14:textId="77777777" w:rsidTr="002656F5">
        <w:tc>
          <w:tcPr>
            <w:tcW w:w="3085" w:type="dxa"/>
          </w:tcPr>
          <w:p w14:paraId="5C19D760" w14:textId="77777777" w:rsidR="002656F5" w:rsidRPr="009F5ABD" w:rsidRDefault="002656F5" w:rsidP="004E6C98">
            <w:pPr>
              <w:jc w:val="both"/>
              <w:rPr>
                <w:rFonts w:cstheme="minorHAnsi"/>
                <w:b/>
                <w:lang w:val="en-US"/>
              </w:rPr>
            </w:pPr>
            <w:r w:rsidRPr="009F5ABD">
              <w:rPr>
                <w:rFonts w:cstheme="minorHAnsi"/>
                <w:b/>
                <w:lang w:val="en-US"/>
              </w:rPr>
              <w:t>Decision making Authority:</w:t>
            </w:r>
          </w:p>
        </w:tc>
        <w:tc>
          <w:tcPr>
            <w:tcW w:w="6157" w:type="dxa"/>
          </w:tcPr>
          <w:p w14:paraId="66687635" w14:textId="77777777" w:rsidR="002656F5" w:rsidRPr="009F5ABD" w:rsidRDefault="002656F5" w:rsidP="004E6C98">
            <w:pPr>
              <w:jc w:val="both"/>
              <w:rPr>
                <w:rFonts w:cstheme="minorHAnsi"/>
                <w:lang w:val="en-US"/>
              </w:rPr>
            </w:pPr>
            <w:r w:rsidRPr="009F5ABD">
              <w:rPr>
                <w:rFonts w:cstheme="minorHAnsi"/>
                <w:lang w:val="en-US"/>
              </w:rPr>
              <w:t>Council</w:t>
            </w:r>
          </w:p>
        </w:tc>
      </w:tr>
      <w:tr w:rsidR="002656F5" w:rsidRPr="009F5ABD" w14:paraId="3AE4F348" w14:textId="77777777" w:rsidTr="002656F5">
        <w:tc>
          <w:tcPr>
            <w:tcW w:w="3085" w:type="dxa"/>
          </w:tcPr>
          <w:p w14:paraId="1CFEE00F" w14:textId="77777777" w:rsidR="002656F5" w:rsidRPr="009F5ABD" w:rsidRDefault="002656F5" w:rsidP="004E6C98">
            <w:pPr>
              <w:jc w:val="both"/>
              <w:rPr>
                <w:rFonts w:cstheme="minorHAnsi"/>
                <w:b/>
                <w:lang w:val="en-US"/>
              </w:rPr>
            </w:pPr>
            <w:r w:rsidRPr="009F5ABD">
              <w:rPr>
                <w:rFonts w:cstheme="minorHAnsi"/>
                <w:b/>
                <w:lang w:val="en-US"/>
              </w:rPr>
              <w:t>Policy Adopted:</w:t>
            </w:r>
          </w:p>
        </w:tc>
        <w:tc>
          <w:tcPr>
            <w:tcW w:w="6157" w:type="dxa"/>
          </w:tcPr>
          <w:p w14:paraId="78E66CB2" w14:textId="77777777" w:rsidR="002656F5" w:rsidRPr="009F5ABD" w:rsidRDefault="00847998" w:rsidP="00ED3ED4">
            <w:pPr>
              <w:jc w:val="both"/>
              <w:rPr>
                <w:rFonts w:cstheme="minorHAnsi"/>
                <w:lang w:val="en-US"/>
              </w:rPr>
            </w:pPr>
            <w:r w:rsidRPr="009F5ABD">
              <w:rPr>
                <w:rFonts w:cstheme="minorHAnsi"/>
                <w:lang w:val="en-US"/>
              </w:rPr>
              <w:t>16/12/97</w:t>
            </w:r>
          </w:p>
        </w:tc>
      </w:tr>
      <w:tr w:rsidR="00047CB7" w:rsidRPr="009F5ABD" w14:paraId="5089980D" w14:textId="77777777" w:rsidTr="002656F5">
        <w:tc>
          <w:tcPr>
            <w:tcW w:w="3085" w:type="dxa"/>
          </w:tcPr>
          <w:p w14:paraId="7C55EC7E" w14:textId="77777777" w:rsidR="00047CB7" w:rsidRPr="009F5ABD" w:rsidRDefault="002656F5" w:rsidP="002656F5">
            <w:pPr>
              <w:jc w:val="both"/>
              <w:rPr>
                <w:rFonts w:cstheme="minorHAnsi"/>
                <w:b/>
                <w:lang w:val="en-US"/>
              </w:rPr>
            </w:pPr>
            <w:r w:rsidRPr="009F5ABD">
              <w:rPr>
                <w:rFonts w:cstheme="minorHAnsi"/>
                <w:b/>
                <w:lang w:val="en-US"/>
              </w:rPr>
              <w:t>Policy Amended</w:t>
            </w:r>
            <w:r w:rsidR="003D010C" w:rsidRPr="009F5ABD">
              <w:rPr>
                <w:rFonts w:cstheme="minorHAnsi"/>
                <w:b/>
                <w:lang w:val="en-US"/>
              </w:rPr>
              <w:t>/Reviewed</w:t>
            </w:r>
            <w:r w:rsidRPr="009F5ABD">
              <w:rPr>
                <w:rFonts w:cstheme="minorHAnsi"/>
                <w:b/>
                <w:lang w:val="en-US"/>
              </w:rPr>
              <w:t>:</w:t>
            </w:r>
          </w:p>
        </w:tc>
        <w:tc>
          <w:tcPr>
            <w:tcW w:w="6157" w:type="dxa"/>
          </w:tcPr>
          <w:p w14:paraId="075E87BA" w14:textId="77777777" w:rsidR="00047CB7" w:rsidRPr="009F5ABD" w:rsidRDefault="00847998" w:rsidP="00ED3ED4">
            <w:pPr>
              <w:jc w:val="both"/>
              <w:rPr>
                <w:rFonts w:cstheme="minorHAnsi"/>
                <w:lang w:val="en-US"/>
              </w:rPr>
            </w:pPr>
            <w:r w:rsidRPr="009F5ABD">
              <w:rPr>
                <w:rFonts w:cstheme="minorHAnsi"/>
                <w:lang w:val="en-US"/>
              </w:rPr>
              <w:t>18/3/08, 16/2/16</w:t>
            </w:r>
            <w:r w:rsidR="000A5B09">
              <w:rPr>
                <w:rFonts w:cstheme="minorHAnsi"/>
                <w:lang w:val="en-US"/>
              </w:rPr>
              <w:t>, 17/9/19</w:t>
            </w:r>
          </w:p>
        </w:tc>
      </w:tr>
      <w:tr w:rsidR="009F5ABD" w:rsidRPr="009F5ABD" w14:paraId="3861A19D" w14:textId="77777777" w:rsidTr="002656F5">
        <w:tc>
          <w:tcPr>
            <w:tcW w:w="3085" w:type="dxa"/>
          </w:tcPr>
          <w:p w14:paraId="499B0E61" w14:textId="77777777" w:rsidR="009F5ABD" w:rsidRPr="009F5ABD" w:rsidRDefault="009F5ABD" w:rsidP="002656F5">
            <w:pPr>
              <w:jc w:val="both"/>
              <w:rPr>
                <w:rFonts w:cstheme="minorHAnsi"/>
                <w:b/>
                <w:lang w:val="en-US"/>
              </w:rPr>
            </w:pPr>
            <w:r w:rsidRPr="009F5ABD">
              <w:rPr>
                <w:rFonts w:cstheme="minorHAnsi"/>
                <w:b/>
                <w:lang w:val="en-US"/>
              </w:rPr>
              <w:t>Former Policy No</w:t>
            </w:r>
            <w:r w:rsidR="00AC7C4E">
              <w:rPr>
                <w:rFonts w:cstheme="minorHAnsi"/>
                <w:b/>
                <w:lang w:val="en-US"/>
              </w:rPr>
              <w:t>:</w:t>
            </w:r>
          </w:p>
        </w:tc>
        <w:tc>
          <w:tcPr>
            <w:tcW w:w="6157" w:type="dxa"/>
          </w:tcPr>
          <w:p w14:paraId="5C83690B" w14:textId="77777777" w:rsidR="009F5ABD" w:rsidRPr="009F5ABD" w:rsidRDefault="009F5ABD" w:rsidP="00ED3ED4">
            <w:pPr>
              <w:jc w:val="both"/>
              <w:rPr>
                <w:rFonts w:cstheme="minorHAnsi"/>
                <w:lang w:val="en-US"/>
              </w:rPr>
            </w:pPr>
            <w:r w:rsidRPr="009F5ABD">
              <w:rPr>
                <w:rFonts w:cstheme="minorHAnsi"/>
                <w:lang w:val="en-US"/>
              </w:rPr>
              <w:t>4.2.2</w:t>
            </w:r>
          </w:p>
        </w:tc>
      </w:tr>
    </w:tbl>
    <w:p w14:paraId="1481DCFA" w14:textId="77777777" w:rsidR="005851BA" w:rsidRPr="009F5ABD" w:rsidRDefault="005851BA" w:rsidP="00B43583">
      <w:pPr>
        <w:jc w:val="both"/>
        <w:rPr>
          <w:rFonts w:cstheme="minorHAnsi"/>
          <w:lang w:val="en-US"/>
        </w:rPr>
      </w:pPr>
    </w:p>
    <w:p w14:paraId="55072D99" w14:textId="77777777" w:rsidR="005851BA" w:rsidRPr="009F5ABD" w:rsidRDefault="005851BA" w:rsidP="005851BA">
      <w:pPr>
        <w:rPr>
          <w:rFonts w:cstheme="minorHAnsi"/>
          <w:lang w:val="en-US"/>
        </w:rPr>
      </w:pPr>
      <w:r w:rsidRPr="009F5ABD">
        <w:rPr>
          <w:rFonts w:cstheme="minorHAnsi"/>
          <w:lang w:val="en-US"/>
        </w:rPr>
        <w:br w:type="page"/>
      </w:r>
    </w:p>
    <w:p w14:paraId="0F6D2B10" w14:textId="628E18C4" w:rsidR="009F5ABD" w:rsidRPr="009F5ABD" w:rsidRDefault="00125ECD" w:rsidP="009F5ABD">
      <w:pPr>
        <w:pStyle w:val="Title"/>
        <w:pBdr>
          <w:bottom w:val="none" w:sz="0" w:space="0" w:color="auto"/>
        </w:pBdr>
        <w:spacing w:after="240"/>
        <w:jc w:val="right"/>
        <w:rPr>
          <w:rFonts w:asciiTheme="minorHAnsi" w:hAnsiTheme="minorHAnsi" w:cstheme="minorHAnsi"/>
          <w:b/>
          <w:sz w:val="22"/>
          <w:szCs w:val="22"/>
          <w:lang w:val="en-US"/>
        </w:rPr>
      </w:pPr>
      <w:r>
        <w:rPr>
          <w:noProof/>
          <w:lang w:eastAsia="en-AU"/>
        </w:rPr>
        <w:lastRenderedPageBreak/>
        <w:drawing>
          <wp:anchor distT="0" distB="0" distL="114300" distR="114300" simplePos="0" relativeHeight="251670528" behindDoc="1" locked="0" layoutInCell="1" allowOverlap="1" wp14:anchorId="371D0E0D" wp14:editId="7A53F9CD">
            <wp:simplePos x="0" y="0"/>
            <wp:positionH relativeFrom="margin">
              <wp:align>right</wp:align>
            </wp:positionH>
            <wp:positionV relativeFrom="paragraph">
              <wp:posOffset>13335</wp:posOffset>
            </wp:positionV>
            <wp:extent cx="1744345" cy="699135"/>
            <wp:effectExtent l="0" t="0" r="8255" b="5715"/>
            <wp:wrapTight wrapText="bothSides">
              <wp:wrapPolygon edited="0">
                <wp:start x="0" y="0"/>
                <wp:lineTo x="0" y="21188"/>
                <wp:lineTo x="21466" y="21188"/>
                <wp:lineTo x="21466" y="0"/>
                <wp:lineTo x="0" y="0"/>
              </wp:wrapPolygon>
            </wp:wrapTight>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r w:rsidR="009F5ABD" w:rsidRPr="009F5ABD">
        <w:rPr>
          <w:rFonts w:asciiTheme="minorHAnsi" w:hAnsiTheme="minorHAnsi" w:cstheme="minorHAnsi"/>
          <w:b/>
          <w:sz w:val="22"/>
          <w:szCs w:val="22"/>
          <w:lang w:val="en-US"/>
        </w:rPr>
        <w:t xml:space="preserve">  </w:t>
      </w:r>
    </w:p>
    <w:p w14:paraId="6A19CE8A" w14:textId="77777777" w:rsidR="009F5ABD" w:rsidRPr="00B47F10" w:rsidRDefault="009F5ABD" w:rsidP="009F5ABD">
      <w:pPr>
        <w:pStyle w:val="Title"/>
        <w:pBdr>
          <w:bottom w:val="none" w:sz="0" w:space="0" w:color="auto"/>
        </w:pBdr>
        <w:spacing w:before="240" w:after="240"/>
        <w:ind w:left="1134" w:hanging="1134"/>
        <w:rPr>
          <w:rFonts w:asciiTheme="minorHAnsi" w:hAnsiTheme="minorHAnsi" w:cstheme="minorHAnsi"/>
          <w:b/>
          <w:sz w:val="20"/>
          <w:szCs w:val="22"/>
          <w:lang w:val="en-US"/>
        </w:rPr>
      </w:pPr>
    </w:p>
    <w:p w14:paraId="4510A47E" w14:textId="77777777" w:rsidR="003369A9" w:rsidRDefault="003369A9" w:rsidP="009579A8">
      <w:pPr>
        <w:pStyle w:val="Policy3"/>
      </w:pPr>
    </w:p>
    <w:p w14:paraId="086FE448" w14:textId="77777777" w:rsidR="003369A9" w:rsidRDefault="003369A9" w:rsidP="009579A8">
      <w:pPr>
        <w:pStyle w:val="Policy3"/>
      </w:pPr>
    </w:p>
    <w:p w14:paraId="7B157A24" w14:textId="2A834161" w:rsidR="009F5ABD" w:rsidRPr="00B47F10" w:rsidRDefault="009F5ABD" w:rsidP="009579A8">
      <w:pPr>
        <w:pStyle w:val="Policy3"/>
      </w:pPr>
      <w:bookmarkStart w:id="3" w:name="_Toc216866647"/>
      <w:r w:rsidRPr="00B47F10">
        <w:t>1.1.2</w:t>
      </w:r>
      <w:r w:rsidRPr="00B47F10">
        <w:tab/>
        <w:t>ICT S</w:t>
      </w:r>
      <w:r w:rsidR="009579A8">
        <w:t>upport for Elected Members</w:t>
      </w:r>
      <w:bookmarkEnd w:id="3"/>
      <w:r w:rsidRPr="00B47F10">
        <w:t xml:space="preserve"> </w:t>
      </w:r>
    </w:p>
    <w:tbl>
      <w:tblPr>
        <w:tblStyle w:val="TableGrid"/>
        <w:tblW w:w="0" w:type="auto"/>
        <w:tblLook w:val="04A0" w:firstRow="1" w:lastRow="0" w:firstColumn="1" w:lastColumn="0" w:noHBand="0" w:noVBand="1"/>
      </w:tblPr>
      <w:tblGrid>
        <w:gridCol w:w="3020"/>
        <w:gridCol w:w="5996"/>
      </w:tblGrid>
      <w:tr w:rsidR="009F5ABD" w:rsidRPr="009F5ABD" w14:paraId="67592572" w14:textId="77777777" w:rsidTr="009F5ABD">
        <w:tc>
          <w:tcPr>
            <w:tcW w:w="3020" w:type="dxa"/>
          </w:tcPr>
          <w:p w14:paraId="01FBBA82" w14:textId="77777777" w:rsidR="009F5ABD" w:rsidRPr="009F5ABD" w:rsidRDefault="009F5ABD" w:rsidP="004E6C98">
            <w:pPr>
              <w:rPr>
                <w:rFonts w:cstheme="minorHAnsi"/>
                <w:b/>
                <w:lang w:val="en-US"/>
              </w:rPr>
            </w:pPr>
            <w:r w:rsidRPr="009F5ABD">
              <w:rPr>
                <w:rFonts w:cstheme="minorHAnsi"/>
                <w:b/>
                <w:lang w:val="en-US"/>
              </w:rPr>
              <w:t>Type:</w:t>
            </w:r>
          </w:p>
        </w:tc>
        <w:tc>
          <w:tcPr>
            <w:tcW w:w="5996" w:type="dxa"/>
          </w:tcPr>
          <w:p w14:paraId="312EB16B" w14:textId="77777777" w:rsidR="009F5ABD" w:rsidRPr="009F5ABD" w:rsidRDefault="009F5ABD" w:rsidP="004E6C98">
            <w:pPr>
              <w:rPr>
                <w:rFonts w:cstheme="minorHAnsi"/>
                <w:lang w:val="en-US"/>
              </w:rPr>
            </w:pPr>
            <w:r w:rsidRPr="009F5ABD">
              <w:rPr>
                <w:rFonts w:cstheme="minorHAnsi"/>
                <w:lang w:val="en-US"/>
              </w:rPr>
              <w:t xml:space="preserve">Office of the CEO – Elected Members </w:t>
            </w:r>
          </w:p>
        </w:tc>
      </w:tr>
      <w:tr w:rsidR="009F5ABD" w:rsidRPr="009F5ABD" w14:paraId="5DCD6ACF" w14:textId="77777777" w:rsidTr="009F5ABD">
        <w:tc>
          <w:tcPr>
            <w:tcW w:w="3020" w:type="dxa"/>
          </w:tcPr>
          <w:p w14:paraId="61FE7382" w14:textId="77777777" w:rsidR="009F5ABD" w:rsidRPr="009F5ABD" w:rsidRDefault="009F5ABD" w:rsidP="004E6C98">
            <w:pPr>
              <w:rPr>
                <w:rFonts w:cstheme="minorHAnsi"/>
                <w:b/>
                <w:lang w:val="en-US"/>
              </w:rPr>
            </w:pPr>
            <w:r w:rsidRPr="009F5ABD">
              <w:rPr>
                <w:rFonts w:cstheme="minorHAnsi"/>
                <w:b/>
                <w:lang w:val="en-US"/>
              </w:rPr>
              <w:t>Legislation:</w:t>
            </w:r>
          </w:p>
        </w:tc>
        <w:tc>
          <w:tcPr>
            <w:tcW w:w="5996" w:type="dxa"/>
          </w:tcPr>
          <w:p w14:paraId="79A22E0C" w14:textId="77777777" w:rsidR="009F5ABD" w:rsidRPr="009F5ABD" w:rsidRDefault="009F5ABD" w:rsidP="004E6C98">
            <w:pPr>
              <w:rPr>
                <w:rFonts w:cstheme="minorHAnsi"/>
                <w:lang w:val="en-US"/>
              </w:rPr>
            </w:pPr>
            <w:r w:rsidRPr="009F5ABD">
              <w:rPr>
                <w:rFonts w:cstheme="minorHAnsi"/>
                <w:lang w:val="en-US"/>
              </w:rPr>
              <w:t xml:space="preserve">Section 5.99A of the </w:t>
            </w:r>
            <w:r w:rsidRPr="009F5ABD">
              <w:rPr>
                <w:rFonts w:cstheme="minorHAnsi"/>
                <w:i/>
                <w:lang w:val="en-US"/>
              </w:rPr>
              <w:t>Local Government Act 1995</w:t>
            </w:r>
            <w:r w:rsidRPr="009F5ABD">
              <w:rPr>
                <w:rFonts w:cstheme="minorHAnsi"/>
                <w:i/>
                <w:lang w:val="en-US"/>
              </w:rPr>
              <w:br/>
            </w:r>
            <w:r w:rsidRPr="009F5ABD">
              <w:rPr>
                <w:rFonts w:cstheme="minorHAnsi"/>
                <w:lang w:val="en-US"/>
              </w:rPr>
              <w:t xml:space="preserve">Regulation 31 of the </w:t>
            </w:r>
            <w:r w:rsidRPr="009F5ABD">
              <w:rPr>
                <w:rFonts w:cstheme="minorHAnsi"/>
                <w:i/>
                <w:lang w:val="en-US"/>
              </w:rPr>
              <w:t>Local Government (Administration) Regulations 1996</w:t>
            </w:r>
          </w:p>
        </w:tc>
      </w:tr>
      <w:tr w:rsidR="009F5ABD" w:rsidRPr="009F5ABD" w14:paraId="5CEECBEA" w14:textId="77777777" w:rsidTr="009F5ABD">
        <w:tc>
          <w:tcPr>
            <w:tcW w:w="3020" w:type="dxa"/>
          </w:tcPr>
          <w:p w14:paraId="2C876922" w14:textId="77777777" w:rsidR="009F5ABD" w:rsidRPr="009F5ABD" w:rsidRDefault="009F5ABD" w:rsidP="004E6C98">
            <w:pPr>
              <w:rPr>
                <w:rFonts w:cstheme="minorHAnsi"/>
                <w:b/>
                <w:lang w:val="en-US"/>
              </w:rPr>
            </w:pPr>
            <w:r w:rsidRPr="009F5ABD">
              <w:rPr>
                <w:rFonts w:cstheme="minorHAnsi"/>
                <w:b/>
                <w:lang w:val="en-US"/>
              </w:rPr>
              <w:t>Delegation:</w:t>
            </w:r>
          </w:p>
        </w:tc>
        <w:tc>
          <w:tcPr>
            <w:tcW w:w="5996" w:type="dxa"/>
          </w:tcPr>
          <w:p w14:paraId="61D90056" w14:textId="77777777" w:rsidR="009F5ABD" w:rsidRPr="009F5ABD" w:rsidRDefault="009F5ABD" w:rsidP="004E6C98">
            <w:pPr>
              <w:rPr>
                <w:rFonts w:cstheme="minorHAnsi"/>
                <w:lang w:val="en-US"/>
              </w:rPr>
            </w:pPr>
          </w:p>
        </w:tc>
      </w:tr>
      <w:tr w:rsidR="009F5ABD" w:rsidRPr="009F5ABD" w14:paraId="0BE45D29" w14:textId="77777777" w:rsidTr="009F5ABD">
        <w:tc>
          <w:tcPr>
            <w:tcW w:w="3020" w:type="dxa"/>
          </w:tcPr>
          <w:p w14:paraId="5011C6B2" w14:textId="77777777" w:rsidR="009F5ABD" w:rsidRPr="009F5ABD" w:rsidRDefault="009F5ABD" w:rsidP="004E6C98">
            <w:pPr>
              <w:rPr>
                <w:rFonts w:cstheme="minorHAnsi"/>
                <w:b/>
                <w:lang w:val="en-US"/>
              </w:rPr>
            </w:pPr>
            <w:r w:rsidRPr="009F5ABD">
              <w:rPr>
                <w:rFonts w:cstheme="minorHAnsi"/>
                <w:b/>
                <w:lang w:val="en-US"/>
              </w:rPr>
              <w:t>Other Related Document:</w:t>
            </w:r>
          </w:p>
        </w:tc>
        <w:tc>
          <w:tcPr>
            <w:tcW w:w="5996" w:type="dxa"/>
          </w:tcPr>
          <w:p w14:paraId="550069B6" w14:textId="77777777" w:rsidR="009F5ABD" w:rsidRPr="009F5ABD" w:rsidRDefault="009F5ABD" w:rsidP="00513521">
            <w:pPr>
              <w:rPr>
                <w:rFonts w:cstheme="minorHAnsi"/>
                <w:lang w:val="en-US"/>
              </w:rPr>
            </w:pPr>
            <w:r w:rsidRPr="009F5ABD">
              <w:rPr>
                <w:rFonts w:cstheme="minorHAnsi"/>
                <w:lang w:val="en-US"/>
              </w:rPr>
              <w:t>Policy 1.1.</w:t>
            </w:r>
            <w:r w:rsidR="00513521">
              <w:rPr>
                <w:rFonts w:cstheme="minorHAnsi"/>
                <w:lang w:val="en-US"/>
              </w:rPr>
              <w:t>1</w:t>
            </w:r>
            <w:r w:rsidRPr="009F5ABD">
              <w:rPr>
                <w:rFonts w:cstheme="minorHAnsi"/>
                <w:lang w:val="en-US"/>
              </w:rPr>
              <w:t xml:space="preserve"> Payment of Council</w:t>
            </w:r>
            <w:r w:rsidR="00513521">
              <w:rPr>
                <w:rFonts w:cstheme="minorHAnsi"/>
                <w:lang w:val="en-US"/>
              </w:rPr>
              <w:t xml:space="preserve"> Member Fees </w:t>
            </w:r>
          </w:p>
        </w:tc>
      </w:tr>
    </w:tbl>
    <w:p w14:paraId="52D6B2E7" w14:textId="77777777" w:rsidR="009F5ABD" w:rsidRPr="00B47F10" w:rsidRDefault="009F5ABD" w:rsidP="0062401B">
      <w:pPr>
        <w:spacing w:before="240" w:after="0"/>
        <w:rPr>
          <w:b/>
          <w:sz w:val="28"/>
          <w:szCs w:val="28"/>
          <w:lang w:val="en-US"/>
        </w:rPr>
      </w:pPr>
      <w:r w:rsidRPr="00B47F10">
        <w:rPr>
          <w:b/>
          <w:sz w:val="28"/>
          <w:szCs w:val="28"/>
          <w:lang w:val="en-US"/>
        </w:rPr>
        <w:t>Objective</w:t>
      </w:r>
    </w:p>
    <w:p w14:paraId="119A2CED" w14:textId="77777777" w:rsidR="009F5ABD" w:rsidRPr="009F5ABD" w:rsidRDefault="009F5ABD" w:rsidP="009F5ABD">
      <w:pPr>
        <w:spacing w:after="0"/>
        <w:jc w:val="both"/>
        <w:rPr>
          <w:rFonts w:cstheme="minorHAnsi"/>
          <w:lang w:val="en-US"/>
        </w:rPr>
      </w:pPr>
      <w:r w:rsidRPr="009F5ABD">
        <w:rPr>
          <w:rFonts w:cstheme="minorHAnsi"/>
          <w:lang w:val="en-US"/>
        </w:rPr>
        <w:t xml:space="preserve">The purpose of this Policy is to: </w:t>
      </w:r>
    </w:p>
    <w:p w14:paraId="62BA2DE1" w14:textId="77777777" w:rsidR="009F5ABD" w:rsidRPr="009F5ABD" w:rsidRDefault="009F5ABD" w:rsidP="000C29DC">
      <w:pPr>
        <w:pStyle w:val="ListParagraph"/>
        <w:numPr>
          <w:ilvl w:val="0"/>
          <w:numId w:val="5"/>
        </w:numPr>
        <w:spacing w:after="0"/>
        <w:ind w:left="426" w:hanging="426"/>
        <w:jc w:val="both"/>
        <w:rPr>
          <w:rFonts w:cstheme="minorHAnsi"/>
          <w:lang w:val="en-US"/>
        </w:rPr>
      </w:pPr>
      <w:r w:rsidRPr="009F5ABD">
        <w:rPr>
          <w:rFonts w:cstheme="minorHAnsi"/>
          <w:lang w:val="en-US"/>
        </w:rPr>
        <w:t xml:space="preserve">establish the protocols for providing Information Communication Technology (ICT) support for elected members to enable the provision of information to </w:t>
      </w:r>
      <w:proofErr w:type="gramStart"/>
      <w:r w:rsidRPr="009F5ABD">
        <w:rPr>
          <w:rFonts w:cstheme="minorHAnsi"/>
          <w:lang w:val="en-US"/>
        </w:rPr>
        <w:t>elected</w:t>
      </w:r>
      <w:proofErr w:type="gramEnd"/>
      <w:r w:rsidRPr="009F5ABD">
        <w:rPr>
          <w:rFonts w:cstheme="minorHAnsi"/>
          <w:lang w:val="en-US"/>
        </w:rPr>
        <w:t xml:space="preserve"> members in an electronic format;</w:t>
      </w:r>
    </w:p>
    <w:p w14:paraId="1B7EE9E8" w14:textId="77777777" w:rsidR="009F5ABD" w:rsidRPr="009F5ABD" w:rsidRDefault="009F5ABD" w:rsidP="000C29DC">
      <w:pPr>
        <w:pStyle w:val="ListParagraph"/>
        <w:numPr>
          <w:ilvl w:val="0"/>
          <w:numId w:val="5"/>
        </w:numPr>
        <w:spacing w:after="0"/>
        <w:ind w:left="426" w:hanging="426"/>
        <w:jc w:val="both"/>
        <w:rPr>
          <w:rFonts w:cstheme="minorHAnsi"/>
          <w:lang w:val="en-US"/>
        </w:rPr>
      </w:pPr>
      <w:r w:rsidRPr="009F5ABD">
        <w:rPr>
          <w:rFonts w:cstheme="minorHAnsi"/>
          <w:lang w:val="en-US"/>
        </w:rPr>
        <w:t>outline the expectation in relation to expenditure of elected members annual ICT Allowance.</w:t>
      </w:r>
    </w:p>
    <w:p w14:paraId="6EE02299" w14:textId="77777777" w:rsidR="009F5ABD" w:rsidRPr="00B47F10" w:rsidRDefault="009F5ABD" w:rsidP="0062401B">
      <w:pPr>
        <w:spacing w:before="200" w:after="0"/>
        <w:rPr>
          <w:b/>
          <w:sz w:val="28"/>
          <w:szCs w:val="28"/>
          <w:lang w:val="en-US"/>
        </w:rPr>
      </w:pPr>
      <w:r w:rsidRPr="00B47F10">
        <w:rPr>
          <w:b/>
          <w:sz w:val="28"/>
          <w:szCs w:val="28"/>
          <w:lang w:val="en-US"/>
        </w:rPr>
        <w:t>Policy Scope</w:t>
      </w:r>
    </w:p>
    <w:p w14:paraId="279C4610" w14:textId="77777777" w:rsidR="009F5ABD" w:rsidRPr="009F5ABD" w:rsidRDefault="009F5ABD" w:rsidP="009F5ABD">
      <w:pPr>
        <w:jc w:val="both"/>
        <w:rPr>
          <w:rFonts w:cstheme="minorHAnsi"/>
          <w:lang w:val="en-US"/>
        </w:rPr>
      </w:pPr>
      <w:r w:rsidRPr="009F5ABD">
        <w:rPr>
          <w:rFonts w:cstheme="minorHAnsi"/>
          <w:lang w:val="en-US"/>
        </w:rPr>
        <w:t>This policy applies to all elected members and supports the electronic transfer of documents and information to enable the Council to make informed decisions.</w:t>
      </w:r>
    </w:p>
    <w:p w14:paraId="31389EAB" w14:textId="77777777" w:rsidR="009F5ABD" w:rsidRPr="00B47F10" w:rsidRDefault="009F5ABD" w:rsidP="0062401B">
      <w:pPr>
        <w:spacing w:before="200" w:after="0"/>
        <w:rPr>
          <w:b/>
          <w:sz w:val="28"/>
          <w:szCs w:val="28"/>
        </w:rPr>
      </w:pPr>
      <w:r w:rsidRPr="00B47F10">
        <w:rPr>
          <w:b/>
          <w:sz w:val="28"/>
          <w:szCs w:val="28"/>
          <w:lang w:val="en-US"/>
        </w:rPr>
        <w:t xml:space="preserve">Policy </w:t>
      </w:r>
    </w:p>
    <w:p w14:paraId="642BCB34" w14:textId="77777777" w:rsidR="009F5ABD" w:rsidRPr="009F5ABD" w:rsidRDefault="009F5ABD" w:rsidP="004935F9">
      <w:pPr>
        <w:pStyle w:val="Default"/>
        <w:spacing w:after="200"/>
        <w:jc w:val="both"/>
        <w:rPr>
          <w:rFonts w:asciiTheme="minorHAnsi" w:hAnsiTheme="minorHAnsi" w:cstheme="minorHAnsi"/>
          <w:color w:val="auto"/>
          <w:sz w:val="22"/>
          <w:szCs w:val="22"/>
        </w:rPr>
      </w:pPr>
      <w:r w:rsidRPr="009F5ABD">
        <w:rPr>
          <w:rFonts w:asciiTheme="minorHAnsi" w:hAnsiTheme="minorHAnsi" w:cstheme="minorHAnsi"/>
          <w:color w:val="auto"/>
          <w:sz w:val="22"/>
          <w:szCs w:val="22"/>
        </w:rPr>
        <w:t xml:space="preserve">In accordance with section 5.99A of the </w:t>
      </w:r>
      <w:r w:rsidRPr="009F5ABD">
        <w:rPr>
          <w:rFonts w:asciiTheme="minorHAnsi" w:hAnsiTheme="minorHAnsi" w:cstheme="minorHAnsi"/>
          <w:i/>
          <w:color w:val="auto"/>
          <w:sz w:val="22"/>
          <w:szCs w:val="22"/>
        </w:rPr>
        <w:t>Local Government Act 1995</w:t>
      </w:r>
      <w:r w:rsidRPr="009F5ABD">
        <w:rPr>
          <w:rFonts w:asciiTheme="minorHAnsi" w:hAnsiTheme="minorHAnsi" w:cstheme="minorHAnsi"/>
          <w:color w:val="auto"/>
          <w:sz w:val="22"/>
          <w:szCs w:val="22"/>
        </w:rPr>
        <w:t xml:space="preserve"> elected members are provided with an annual ICT allowance payable to them monthly during their term of office.  </w:t>
      </w:r>
    </w:p>
    <w:p w14:paraId="7F1F75DC" w14:textId="77777777" w:rsidR="009F5ABD" w:rsidRPr="009F5ABD" w:rsidRDefault="009F5ABD" w:rsidP="004935F9">
      <w:pPr>
        <w:pStyle w:val="Default"/>
        <w:spacing w:line="276" w:lineRule="auto"/>
        <w:jc w:val="both"/>
        <w:rPr>
          <w:rFonts w:asciiTheme="minorHAnsi" w:hAnsiTheme="minorHAnsi" w:cstheme="minorHAnsi"/>
          <w:color w:val="auto"/>
          <w:sz w:val="22"/>
          <w:szCs w:val="22"/>
        </w:rPr>
      </w:pPr>
      <w:r w:rsidRPr="009F5ABD">
        <w:rPr>
          <w:rFonts w:asciiTheme="minorHAnsi" w:hAnsiTheme="minorHAnsi" w:cstheme="minorHAnsi"/>
          <w:color w:val="auto"/>
          <w:sz w:val="22"/>
          <w:szCs w:val="22"/>
        </w:rPr>
        <w:t>This allowance in part may be used to:</w:t>
      </w:r>
    </w:p>
    <w:p w14:paraId="74F96F4E" w14:textId="77777777" w:rsidR="009F5ABD" w:rsidRPr="009F5ABD" w:rsidRDefault="009F5ABD" w:rsidP="000C29DC">
      <w:pPr>
        <w:pStyle w:val="Default"/>
        <w:numPr>
          <w:ilvl w:val="0"/>
          <w:numId w:val="6"/>
        </w:numPr>
        <w:spacing w:line="276" w:lineRule="auto"/>
        <w:ind w:left="426" w:hanging="426"/>
        <w:jc w:val="both"/>
        <w:rPr>
          <w:rFonts w:asciiTheme="minorHAnsi" w:hAnsiTheme="minorHAnsi" w:cstheme="minorHAnsi"/>
          <w:color w:val="auto"/>
          <w:sz w:val="22"/>
          <w:szCs w:val="22"/>
        </w:rPr>
      </w:pPr>
      <w:r w:rsidRPr="009F5ABD">
        <w:rPr>
          <w:rFonts w:asciiTheme="minorHAnsi" w:hAnsiTheme="minorHAnsi" w:cstheme="minorHAnsi"/>
          <w:color w:val="auto"/>
          <w:sz w:val="22"/>
          <w:szCs w:val="22"/>
        </w:rPr>
        <w:t>purchase a digital tablet device, with sim card.</w:t>
      </w:r>
    </w:p>
    <w:p w14:paraId="2030033E" w14:textId="77777777" w:rsidR="009F5ABD" w:rsidRPr="009F5ABD" w:rsidRDefault="009F5ABD" w:rsidP="000C29DC">
      <w:pPr>
        <w:pStyle w:val="Default"/>
        <w:numPr>
          <w:ilvl w:val="0"/>
          <w:numId w:val="6"/>
        </w:numPr>
        <w:spacing w:after="200" w:line="276" w:lineRule="auto"/>
        <w:ind w:left="425" w:hanging="425"/>
        <w:jc w:val="both"/>
        <w:rPr>
          <w:rFonts w:asciiTheme="minorHAnsi" w:hAnsiTheme="minorHAnsi" w:cstheme="minorHAnsi"/>
          <w:color w:val="auto"/>
          <w:sz w:val="22"/>
          <w:szCs w:val="22"/>
        </w:rPr>
      </w:pPr>
      <w:r w:rsidRPr="009F5ABD">
        <w:rPr>
          <w:rFonts w:asciiTheme="minorHAnsi" w:hAnsiTheme="minorHAnsi" w:cstheme="minorHAnsi"/>
          <w:color w:val="auto"/>
          <w:sz w:val="22"/>
          <w:szCs w:val="22"/>
        </w:rPr>
        <w:t>pay for the monthly data plan for the device – the plan will be terminated on vacating the position.</w:t>
      </w:r>
    </w:p>
    <w:p w14:paraId="6CF91765" w14:textId="77777777" w:rsidR="009F5ABD" w:rsidRPr="009F5ABD" w:rsidRDefault="009F5ABD" w:rsidP="004935F9">
      <w:pPr>
        <w:pStyle w:val="Default"/>
        <w:spacing w:after="200"/>
        <w:jc w:val="both"/>
        <w:rPr>
          <w:rFonts w:asciiTheme="minorHAnsi" w:hAnsiTheme="minorHAnsi" w:cstheme="minorHAnsi"/>
          <w:color w:val="auto"/>
          <w:sz w:val="22"/>
          <w:szCs w:val="22"/>
        </w:rPr>
      </w:pPr>
      <w:r w:rsidRPr="009F5ABD">
        <w:rPr>
          <w:rFonts w:asciiTheme="minorHAnsi" w:hAnsiTheme="minorHAnsi" w:cstheme="minorHAnsi"/>
          <w:color w:val="auto"/>
          <w:sz w:val="22"/>
          <w:szCs w:val="22"/>
        </w:rPr>
        <w:t>The allowance may also be used for telecommunication expenses.</w:t>
      </w:r>
    </w:p>
    <w:p w14:paraId="2B036E89" w14:textId="77777777" w:rsidR="009F5ABD" w:rsidRPr="009F5ABD" w:rsidRDefault="009F5ABD" w:rsidP="004935F9">
      <w:pPr>
        <w:pStyle w:val="Default"/>
        <w:spacing w:after="200"/>
        <w:jc w:val="both"/>
        <w:rPr>
          <w:rFonts w:asciiTheme="minorHAnsi" w:hAnsiTheme="minorHAnsi" w:cstheme="minorHAnsi"/>
          <w:sz w:val="22"/>
          <w:szCs w:val="22"/>
        </w:rPr>
      </w:pPr>
      <w:r w:rsidRPr="009F5ABD">
        <w:rPr>
          <w:rFonts w:asciiTheme="minorHAnsi" w:hAnsiTheme="minorHAnsi" w:cstheme="minorHAnsi"/>
          <w:color w:val="auto"/>
          <w:sz w:val="22"/>
          <w:szCs w:val="22"/>
        </w:rPr>
        <w:t>The Town will prov</w:t>
      </w:r>
      <w:r w:rsidRPr="009F5ABD">
        <w:rPr>
          <w:rFonts w:asciiTheme="minorHAnsi" w:hAnsiTheme="minorHAnsi" w:cstheme="minorHAnsi"/>
          <w:sz w:val="22"/>
          <w:szCs w:val="22"/>
        </w:rPr>
        <w:t>ide training to elected members to develop competencies in the use of the allocated digital tablet device.</w:t>
      </w:r>
    </w:p>
    <w:p w14:paraId="3DB44686" w14:textId="77777777" w:rsidR="009F5ABD" w:rsidRPr="009F5ABD" w:rsidRDefault="009F5ABD" w:rsidP="004935F9">
      <w:pPr>
        <w:pStyle w:val="Default"/>
        <w:spacing w:after="200"/>
        <w:jc w:val="both"/>
        <w:rPr>
          <w:rFonts w:asciiTheme="minorHAnsi" w:hAnsiTheme="minorHAnsi" w:cstheme="minorHAnsi"/>
          <w:sz w:val="22"/>
          <w:szCs w:val="22"/>
        </w:rPr>
      </w:pPr>
      <w:r w:rsidRPr="009F5ABD">
        <w:rPr>
          <w:rFonts w:asciiTheme="minorHAnsi" w:hAnsiTheme="minorHAnsi" w:cstheme="minorHAnsi"/>
          <w:sz w:val="22"/>
          <w:szCs w:val="22"/>
        </w:rPr>
        <w:t>The remaining balance of the ICT Allowance will be paid monthly to the elected member.</w:t>
      </w:r>
    </w:p>
    <w:p w14:paraId="48026AD4" w14:textId="77777777" w:rsidR="009F5ABD" w:rsidRPr="009F5ABD" w:rsidRDefault="009F5ABD" w:rsidP="004935F9">
      <w:pPr>
        <w:pStyle w:val="Default"/>
        <w:spacing w:after="200"/>
        <w:jc w:val="both"/>
        <w:rPr>
          <w:rFonts w:asciiTheme="minorHAnsi" w:hAnsiTheme="minorHAnsi" w:cstheme="minorHAnsi"/>
          <w:sz w:val="22"/>
          <w:szCs w:val="22"/>
        </w:rPr>
      </w:pPr>
      <w:r w:rsidRPr="009F5ABD">
        <w:rPr>
          <w:rFonts w:asciiTheme="minorHAnsi" w:hAnsiTheme="minorHAnsi" w:cstheme="minorHAnsi"/>
          <w:sz w:val="22"/>
          <w:szCs w:val="22"/>
        </w:rPr>
        <w:t xml:space="preserve">Any loss of, or damage to the device is the responsibility of the elected member. </w:t>
      </w:r>
    </w:p>
    <w:p w14:paraId="1FC9334A" w14:textId="77777777" w:rsidR="00AE2A2B" w:rsidRPr="009F5ABD" w:rsidRDefault="009F5ABD" w:rsidP="004935F9">
      <w:pPr>
        <w:pStyle w:val="Default"/>
        <w:spacing w:after="200"/>
        <w:jc w:val="both"/>
        <w:rPr>
          <w:rFonts w:asciiTheme="minorHAnsi" w:hAnsiTheme="minorHAnsi" w:cstheme="minorHAnsi"/>
          <w:sz w:val="22"/>
          <w:szCs w:val="22"/>
        </w:rPr>
      </w:pPr>
      <w:r w:rsidRPr="009F5ABD">
        <w:rPr>
          <w:rFonts w:asciiTheme="minorHAnsi" w:hAnsiTheme="minorHAnsi" w:cstheme="minorHAnsi"/>
          <w:sz w:val="22"/>
          <w:szCs w:val="22"/>
        </w:rPr>
        <w:t>All equipment purchased via the annual ICT Allowance remains the property of the elected member.</w:t>
      </w:r>
    </w:p>
    <w:tbl>
      <w:tblPr>
        <w:tblStyle w:val="TableGrid"/>
        <w:tblW w:w="0" w:type="auto"/>
        <w:tblLook w:val="04A0" w:firstRow="1" w:lastRow="0" w:firstColumn="1" w:lastColumn="0" w:noHBand="0" w:noVBand="1"/>
      </w:tblPr>
      <w:tblGrid>
        <w:gridCol w:w="3027"/>
        <w:gridCol w:w="5989"/>
      </w:tblGrid>
      <w:tr w:rsidR="009F5ABD" w:rsidRPr="009F5ABD" w14:paraId="1A9C09C3" w14:textId="77777777" w:rsidTr="009F5ABD">
        <w:tc>
          <w:tcPr>
            <w:tcW w:w="3027" w:type="dxa"/>
          </w:tcPr>
          <w:p w14:paraId="04C1636C" w14:textId="77777777" w:rsidR="009F5ABD" w:rsidRPr="009F5ABD" w:rsidRDefault="009F5ABD" w:rsidP="004E6C98">
            <w:pPr>
              <w:jc w:val="both"/>
              <w:rPr>
                <w:rFonts w:cstheme="minorHAnsi"/>
                <w:b/>
                <w:lang w:val="en-US"/>
              </w:rPr>
            </w:pPr>
            <w:r w:rsidRPr="009F5ABD">
              <w:rPr>
                <w:rFonts w:cstheme="minorHAnsi"/>
                <w:b/>
                <w:lang w:val="en-US"/>
              </w:rPr>
              <w:t>Responsible Directorate:</w:t>
            </w:r>
          </w:p>
        </w:tc>
        <w:tc>
          <w:tcPr>
            <w:tcW w:w="5989" w:type="dxa"/>
          </w:tcPr>
          <w:p w14:paraId="0A0FC8EE" w14:textId="77777777" w:rsidR="009F5ABD" w:rsidRPr="009F5ABD" w:rsidRDefault="009F5ABD" w:rsidP="004E6C98">
            <w:pPr>
              <w:jc w:val="both"/>
              <w:rPr>
                <w:rFonts w:cstheme="minorHAnsi"/>
                <w:lang w:val="en-US"/>
              </w:rPr>
            </w:pPr>
            <w:r w:rsidRPr="009F5ABD">
              <w:rPr>
                <w:rFonts w:cstheme="minorHAnsi"/>
                <w:lang w:val="en-US"/>
              </w:rPr>
              <w:t>Corporate Services</w:t>
            </w:r>
          </w:p>
        </w:tc>
      </w:tr>
      <w:tr w:rsidR="009F5ABD" w:rsidRPr="009F5ABD" w14:paraId="0CE0D3A2" w14:textId="77777777" w:rsidTr="009F5ABD">
        <w:tc>
          <w:tcPr>
            <w:tcW w:w="3027" w:type="dxa"/>
          </w:tcPr>
          <w:p w14:paraId="6F2F3343" w14:textId="77777777" w:rsidR="009F5ABD" w:rsidRPr="009F5ABD" w:rsidRDefault="009F5ABD" w:rsidP="004E6C98">
            <w:pPr>
              <w:jc w:val="both"/>
              <w:rPr>
                <w:rFonts w:cstheme="minorHAnsi"/>
                <w:b/>
                <w:lang w:val="en-US"/>
              </w:rPr>
            </w:pPr>
            <w:r w:rsidRPr="009F5ABD">
              <w:rPr>
                <w:rFonts w:cstheme="minorHAnsi"/>
                <w:b/>
                <w:lang w:val="en-US"/>
              </w:rPr>
              <w:t>Reviewing Officer:</w:t>
            </w:r>
          </w:p>
        </w:tc>
        <w:tc>
          <w:tcPr>
            <w:tcW w:w="5989" w:type="dxa"/>
          </w:tcPr>
          <w:p w14:paraId="00CE7EBD" w14:textId="77777777" w:rsidR="009F5ABD" w:rsidRPr="009F5ABD" w:rsidRDefault="00513521" w:rsidP="00513521">
            <w:pPr>
              <w:jc w:val="both"/>
              <w:rPr>
                <w:rFonts w:cstheme="minorHAnsi"/>
                <w:lang w:val="en-US"/>
              </w:rPr>
            </w:pPr>
            <w:r>
              <w:rPr>
                <w:rFonts w:cstheme="minorHAnsi"/>
                <w:lang w:val="en-US"/>
              </w:rPr>
              <w:t xml:space="preserve">Executive </w:t>
            </w:r>
            <w:r w:rsidR="009F5ABD" w:rsidRPr="009F5ABD">
              <w:rPr>
                <w:rFonts w:cstheme="minorHAnsi"/>
                <w:lang w:val="en-US"/>
              </w:rPr>
              <w:t xml:space="preserve">Manager </w:t>
            </w:r>
            <w:r>
              <w:rPr>
                <w:rFonts w:cstheme="minorHAnsi"/>
                <w:lang w:val="en-US"/>
              </w:rPr>
              <w:t>Corporate Services</w:t>
            </w:r>
          </w:p>
        </w:tc>
      </w:tr>
      <w:tr w:rsidR="009F5ABD" w:rsidRPr="009F5ABD" w14:paraId="666E20B5" w14:textId="77777777" w:rsidTr="009F5ABD">
        <w:tc>
          <w:tcPr>
            <w:tcW w:w="3027" w:type="dxa"/>
          </w:tcPr>
          <w:p w14:paraId="28239F75" w14:textId="77777777" w:rsidR="009F5ABD" w:rsidRPr="009F5ABD" w:rsidRDefault="009F5ABD" w:rsidP="004E6C98">
            <w:pPr>
              <w:jc w:val="both"/>
              <w:rPr>
                <w:rFonts w:cstheme="minorHAnsi"/>
                <w:b/>
                <w:lang w:val="en-US"/>
              </w:rPr>
            </w:pPr>
            <w:r w:rsidRPr="009F5ABD">
              <w:rPr>
                <w:rFonts w:cstheme="minorHAnsi"/>
                <w:b/>
                <w:lang w:val="en-US"/>
              </w:rPr>
              <w:t>Decision making Authority:</w:t>
            </w:r>
          </w:p>
        </w:tc>
        <w:tc>
          <w:tcPr>
            <w:tcW w:w="5989" w:type="dxa"/>
          </w:tcPr>
          <w:p w14:paraId="79A913EB" w14:textId="77777777" w:rsidR="009F5ABD" w:rsidRPr="009F5ABD" w:rsidRDefault="009F5ABD" w:rsidP="004E6C98">
            <w:pPr>
              <w:jc w:val="both"/>
              <w:rPr>
                <w:rFonts w:cstheme="minorHAnsi"/>
                <w:lang w:val="en-US"/>
              </w:rPr>
            </w:pPr>
            <w:r w:rsidRPr="009F5ABD">
              <w:rPr>
                <w:rFonts w:cstheme="minorHAnsi"/>
                <w:lang w:val="en-US"/>
              </w:rPr>
              <w:t>Council</w:t>
            </w:r>
          </w:p>
        </w:tc>
      </w:tr>
      <w:tr w:rsidR="009F5ABD" w:rsidRPr="009F5ABD" w14:paraId="4A81CF32" w14:textId="77777777" w:rsidTr="009F5ABD">
        <w:tc>
          <w:tcPr>
            <w:tcW w:w="3027" w:type="dxa"/>
          </w:tcPr>
          <w:p w14:paraId="29E9AB6D" w14:textId="77777777" w:rsidR="009F5ABD" w:rsidRPr="009F5ABD" w:rsidRDefault="009F5ABD" w:rsidP="004E6C98">
            <w:pPr>
              <w:jc w:val="both"/>
              <w:rPr>
                <w:rFonts w:cstheme="minorHAnsi"/>
                <w:b/>
                <w:lang w:val="en-US"/>
              </w:rPr>
            </w:pPr>
            <w:r w:rsidRPr="009F5ABD">
              <w:rPr>
                <w:rFonts w:cstheme="minorHAnsi"/>
                <w:b/>
                <w:lang w:val="en-US"/>
              </w:rPr>
              <w:t>Policy Adopted:</w:t>
            </w:r>
          </w:p>
        </w:tc>
        <w:tc>
          <w:tcPr>
            <w:tcW w:w="5989" w:type="dxa"/>
          </w:tcPr>
          <w:p w14:paraId="04624F1D" w14:textId="77777777" w:rsidR="009F5ABD" w:rsidRPr="009F5ABD" w:rsidRDefault="009F5ABD" w:rsidP="004E6C98">
            <w:pPr>
              <w:jc w:val="both"/>
              <w:rPr>
                <w:rFonts w:cstheme="minorHAnsi"/>
                <w:lang w:val="en-US"/>
              </w:rPr>
            </w:pPr>
            <w:r w:rsidRPr="009F5ABD">
              <w:rPr>
                <w:rFonts w:cstheme="minorHAnsi"/>
                <w:lang w:val="en-US"/>
              </w:rPr>
              <w:t>21/6/16</w:t>
            </w:r>
          </w:p>
        </w:tc>
      </w:tr>
      <w:tr w:rsidR="009F5ABD" w:rsidRPr="009F5ABD" w14:paraId="03CCFA89" w14:textId="77777777" w:rsidTr="009F5ABD">
        <w:tc>
          <w:tcPr>
            <w:tcW w:w="3027" w:type="dxa"/>
          </w:tcPr>
          <w:p w14:paraId="70F68BD3" w14:textId="77777777" w:rsidR="009F5ABD" w:rsidRPr="009F5ABD" w:rsidRDefault="009F5ABD" w:rsidP="004E6C98">
            <w:pPr>
              <w:jc w:val="both"/>
              <w:rPr>
                <w:rFonts w:cstheme="minorHAnsi"/>
                <w:b/>
                <w:lang w:val="en-US"/>
              </w:rPr>
            </w:pPr>
            <w:r w:rsidRPr="009F5ABD">
              <w:rPr>
                <w:rFonts w:cstheme="minorHAnsi"/>
                <w:b/>
                <w:lang w:val="en-US"/>
              </w:rPr>
              <w:t>Policy Amended</w:t>
            </w:r>
            <w:r>
              <w:rPr>
                <w:rFonts w:cstheme="minorHAnsi"/>
                <w:b/>
                <w:lang w:val="en-US"/>
              </w:rPr>
              <w:t>/Reviewed</w:t>
            </w:r>
            <w:r w:rsidRPr="009F5ABD">
              <w:rPr>
                <w:rFonts w:cstheme="minorHAnsi"/>
                <w:b/>
                <w:lang w:val="en-US"/>
              </w:rPr>
              <w:t>:</w:t>
            </w:r>
          </w:p>
        </w:tc>
        <w:tc>
          <w:tcPr>
            <w:tcW w:w="5989" w:type="dxa"/>
          </w:tcPr>
          <w:p w14:paraId="3D5F159D" w14:textId="77777777" w:rsidR="009F5ABD" w:rsidRPr="009F5ABD" w:rsidRDefault="000A5B09" w:rsidP="004E6C98">
            <w:pPr>
              <w:jc w:val="both"/>
              <w:rPr>
                <w:rFonts w:cstheme="minorHAnsi"/>
                <w:lang w:val="en-US"/>
              </w:rPr>
            </w:pPr>
            <w:r>
              <w:rPr>
                <w:rFonts w:cstheme="minorHAnsi"/>
                <w:lang w:val="en-US"/>
              </w:rPr>
              <w:t>17/9/19</w:t>
            </w:r>
          </w:p>
        </w:tc>
      </w:tr>
      <w:tr w:rsidR="009F5ABD" w:rsidRPr="009F5ABD" w14:paraId="5B0E911A" w14:textId="77777777" w:rsidTr="009F5ABD">
        <w:tc>
          <w:tcPr>
            <w:tcW w:w="3027" w:type="dxa"/>
          </w:tcPr>
          <w:p w14:paraId="69B40CB8" w14:textId="77777777" w:rsidR="009F5ABD" w:rsidRPr="009F5ABD" w:rsidRDefault="009F5ABD" w:rsidP="004E6C98">
            <w:pPr>
              <w:jc w:val="both"/>
              <w:rPr>
                <w:rFonts w:cstheme="minorHAnsi"/>
                <w:b/>
                <w:lang w:val="en-US"/>
              </w:rPr>
            </w:pPr>
            <w:r>
              <w:rPr>
                <w:rFonts w:cstheme="minorHAnsi"/>
                <w:b/>
                <w:lang w:val="en-US"/>
              </w:rPr>
              <w:t>Former Policy No:</w:t>
            </w:r>
          </w:p>
        </w:tc>
        <w:tc>
          <w:tcPr>
            <w:tcW w:w="5989" w:type="dxa"/>
          </w:tcPr>
          <w:p w14:paraId="3B58DC77" w14:textId="77777777" w:rsidR="009F5ABD" w:rsidRPr="009F5ABD" w:rsidRDefault="009F5ABD" w:rsidP="004E6C98">
            <w:pPr>
              <w:jc w:val="both"/>
              <w:rPr>
                <w:rFonts w:cstheme="minorHAnsi"/>
                <w:lang w:val="en-US"/>
              </w:rPr>
            </w:pPr>
            <w:r>
              <w:rPr>
                <w:rFonts w:cstheme="minorHAnsi"/>
                <w:lang w:val="en-US"/>
              </w:rPr>
              <w:t>4.1.5</w:t>
            </w:r>
          </w:p>
        </w:tc>
      </w:tr>
    </w:tbl>
    <w:p w14:paraId="58E18469" w14:textId="77777777" w:rsidR="006C2BE9" w:rsidRDefault="006C2BE9" w:rsidP="004935F9">
      <w:pPr>
        <w:pStyle w:val="Title"/>
        <w:pBdr>
          <w:bottom w:val="none" w:sz="0" w:space="0" w:color="auto"/>
        </w:pBdr>
        <w:spacing w:after="240"/>
        <w:jc w:val="right"/>
        <w:rPr>
          <w:rFonts w:asciiTheme="minorHAnsi" w:hAnsiTheme="minorHAnsi" w:cstheme="minorHAnsi"/>
          <w:b/>
          <w:sz w:val="22"/>
          <w:szCs w:val="22"/>
          <w:lang w:val="en-US"/>
        </w:rPr>
      </w:pPr>
    </w:p>
    <w:p w14:paraId="77CCA7FB" w14:textId="1A24D0E6" w:rsidR="004935F9" w:rsidRPr="00E0728C" w:rsidRDefault="003369A9" w:rsidP="004935F9">
      <w:pPr>
        <w:pStyle w:val="Title"/>
        <w:pBdr>
          <w:bottom w:val="none" w:sz="0" w:space="0" w:color="auto"/>
        </w:pBdr>
        <w:spacing w:after="240"/>
        <w:jc w:val="right"/>
        <w:rPr>
          <w:rFonts w:asciiTheme="minorHAnsi" w:hAnsiTheme="minorHAnsi" w:cstheme="minorHAnsi"/>
          <w:b/>
          <w:sz w:val="22"/>
          <w:szCs w:val="22"/>
          <w:lang w:val="en-US"/>
        </w:rPr>
      </w:pPr>
      <w:r>
        <w:rPr>
          <w:noProof/>
          <w:lang w:eastAsia="en-AU"/>
        </w:rPr>
        <w:lastRenderedPageBreak/>
        <w:drawing>
          <wp:anchor distT="0" distB="0" distL="114300" distR="114300" simplePos="0" relativeHeight="251671552" behindDoc="1" locked="0" layoutInCell="1" allowOverlap="1" wp14:anchorId="48B3EB24" wp14:editId="7EF3BB21">
            <wp:simplePos x="0" y="0"/>
            <wp:positionH relativeFrom="column">
              <wp:posOffset>4081145</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01554252" w14:textId="77777777" w:rsidR="004935F9" w:rsidRPr="00E0728C" w:rsidRDefault="004935F9" w:rsidP="004935F9">
      <w:pPr>
        <w:pStyle w:val="Title"/>
        <w:pBdr>
          <w:bottom w:val="none" w:sz="0" w:space="0" w:color="auto"/>
        </w:pBdr>
        <w:spacing w:before="240" w:after="240"/>
        <w:rPr>
          <w:rFonts w:asciiTheme="minorHAnsi" w:hAnsiTheme="minorHAnsi" w:cstheme="minorHAnsi"/>
          <w:b/>
          <w:sz w:val="22"/>
          <w:szCs w:val="22"/>
          <w:lang w:val="en-US"/>
        </w:rPr>
      </w:pPr>
    </w:p>
    <w:p w14:paraId="60DEAA02" w14:textId="77777777" w:rsidR="003369A9" w:rsidRDefault="003369A9" w:rsidP="009579A8">
      <w:pPr>
        <w:pStyle w:val="Policy3"/>
      </w:pPr>
    </w:p>
    <w:p w14:paraId="2B1C51C3" w14:textId="77777777" w:rsidR="003369A9" w:rsidRDefault="003369A9" w:rsidP="009579A8">
      <w:pPr>
        <w:pStyle w:val="Policy3"/>
      </w:pPr>
    </w:p>
    <w:p w14:paraId="3EDDFA43" w14:textId="592CEA10" w:rsidR="004935F9" w:rsidRPr="00B47F10" w:rsidRDefault="004935F9" w:rsidP="009579A8">
      <w:pPr>
        <w:pStyle w:val="Policy3"/>
      </w:pPr>
      <w:bookmarkStart w:id="4" w:name="_Toc216866648"/>
      <w:r w:rsidRPr="00B47F10">
        <w:t>1.1.3</w:t>
      </w:r>
      <w:r w:rsidRPr="00B47F10">
        <w:tab/>
        <w:t>N</w:t>
      </w:r>
      <w:r w:rsidR="009579A8">
        <w:t>otice of Motions by Elected Members</w:t>
      </w:r>
      <w:bookmarkEnd w:id="4"/>
    </w:p>
    <w:tbl>
      <w:tblPr>
        <w:tblStyle w:val="TableGrid"/>
        <w:tblW w:w="0" w:type="auto"/>
        <w:tblLook w:val="04A0" w:firstRow="1" w:lastRow="0" w:firstColumn="1" w:lastColumn="0" w:noHBand="0" w:noVBand="1"/>
      </w:tblPr>
      <w:tblGrid>
        <w:gridCol w:w="3023"/>
        <w:gridCol w:w="5993"/>
      </w:tblGrid>
      <w:tr w:rsidR="004935F9" w:rsidRPr="00E0728C" w14:paraId="7C608440" w14:textId="77777777" w:rsidTr="004935F9">
        <w:tc>
          <w:tcPr>
            <w:tcW w:w="3023" w:type="dxa"/>
          </w:tcPr>
          <w:p w14:paraId="64D6B834" w14:textId="77777777" w:rsidR="004935F9" w:rsidRPr="00E0728C" w:rsidRDefault="004935F9" w:rsidP="004E6C98">
            <w:pPr>
              <w:rPr>
                <w:rFonts w:cstheme="minorHAnsi"/>
                <w:b/>
                <w:lang w:val="en-US"/>
              </w:rPr>
            </w:pPr>
            <w:r w:rsidRPr="00E0728C">
              <w:rPr>
                <w:rFonts w:cstheme="minorHAnsi"/>
                <w:b/>
                <w:lang w:val="en-US"/>
              </w:rPr>
              <w:t>Type:</w:t>
            </w:r>
          </w:p>
        </w:tc>
        <w:tc>
          <w:tcPr>
            <w:tcW w:w="5993" w:type="dxa"/>
          </w:tcPr>
          <w:p w14:paraId="1C657C5C" w14:textId="77777777" w:rsidR="004935F9" w:rsidRPr="00E0728C" w:rsidRDefault="004935F9" w:rsidP="004E6C98">
            <w:pPr>
              <w:rPr>
                <w:rFonts w:cstheme="minorHAnsi"/>
                <w:lang w:val="en-US"/>
              </w:rPr>
            </w:pPr>
            <w:r>
              <w:rPr>
                <w:rFonts w:cstheme="minorHAnsi"/>
                <w:lang w:val="en-US"/>
              </w:rPr>
              <w:t>Office of the CEO – Elected Members</w:t>
            </w:r>
          </w:p>
        </w:tc>
      </w:tr>
      <w:tr w:rsidR="004935F9" w:rsidRPr="00E0728C" w14:paraId="001A2B86" w14:textId="77777777" w:rsidTr="004935F9">
        <w:tc>
          <w:tcPr>
            <w:tcW w:w="3023" w:type="dxa"/>
          </w:tcPr>
          <w:p w14:paraId="1DBE793F" w14:textId="77777777" w:rsidR="004935F9" w:rsidRPr="00E0728C" w:rsidRDefault="004935F9" w:rsidP="004E6C98">
            <w:pPr>
              <w:rPr>
                <w:rFonts w:cstheme="minorHAnsi"/>
                <w:b/>
                <w:lang w:val="en-US"/>
              </w:rPr>
            </w:pPr>
            <w:r w:rsidRPr="00E0728C">
              <w:rPr>
                <w:rFonts w:cstheme="minorHAnsi"/>
                <w:b/>
                <w:lang w:val="en-US"/>
              </w:rPr>
              <w:t>Legislation:</w:t>
            </w:r>
          </w:p>
        </w:tc>
        <w:tc>
          <w:tcPr>
            <w:tcW w:w="5993" w:type="dxa"/>
          </w:tcPr>
          <w:p w14:paraId="2F3E323D" w14:textId="77777777" w:rsidR="004935F9" w:rsidRPr="00E0728C" w:rsidRDefault="004935F9" w:rsidP="004E6C98">
            <w:pPr>
              <w:rPr>
                <w:rFonts w:cstheme="minorHAnsi"/>
                <w:lang w:val="en-US"/>
              </w:rPr>
            </w:pPr>
            <w:r w:rsidRPr="00E0728C">
              <w:rPr>
                <w:rFonts w:cstheme="minorHAnsi"/>
                <w:lang w:val="en-US"/>
              </w:rPr>
              <w:t>Local Government Act</w:t>
            </w:r>
            <w:r>
              <w:rPr>
                <w:rFonts w:cstheme="minorHAnsi"/>
                <w:lang w:val="en-US"/>
              </w:rPr>
              <w:t xml:space="preserve"> 1995</w:t>
            </w:r>
          </w:p>
        </w:tc>
      </w:tr>
      <w:tr w:rsidR="004935F9" w:rsidRPr="00E0728C" w14:paraId="58F2CB81" w14:textId="77777777" w:rsidTr="004935F9">
        <w:tc>
          <w:tcPr>
            <w:tcW w:w="3023" w:type="dxa"/>
          </w:tcPr>
          <w:p w14:paraId="07047399" w14:textId="77777777" w:rsidR="004935F9" w:rsidRPr="00E0728C" w:rsidRDefault="004935F9" w:rsidP="004E6C98">
            <w:pPr>
              <w:rPr>
                <w:rFonts w:cstheme="minorHAnsi"/>
                <w:b/>
                <w:lang w:val="en-US"/>
              </w:rPr>
            </w:pPr>
            <w:r w:rsidRPr="00E0728C">
              <w:rPr>
                <w:rFonts w:cstheme="minorHAnsi"/>
                <w:b/>
                <w:lang w:val="en-US"/>
              </w:rPr>
              <w:t>Delegation:</w:t>
            </w:r>
          </w:p>
        </w:tc>
        <w:tc>
          <w:tcPr>
            <w:tcW w:w="5993" w:type="dxa"/>
          </w:tcPr>
          <w:p w14:paraId="50D365BC" w14:textId="77777777" w:rsidR="004935F9" w:rsidRPr="00E0728C" w:rsidRDefault="004935F9" w:rsidP="004E6C98">
            <w:pPr>
              <w:rPr>
                <w:rFonts w:cstheme="minorHAnsi"/>
                <w:lang w:val="en-US"/>
              </w:rPr>
            </w:pPr>
            <w:r w:rsidRPr="00E0728C">
              <w:rPr>
                <w:rFonts w:cstheme="minorHAnsi"/>
                <w:lang w:val="en-US"/>
              </w:rPr>
              <w:t>N/A</w:t>
            </w:r>
          </w:p>
        </w:tc>
      </w:tr>
      <w:tr w:rsidR="004935F9" w:rsidRPr="00E0728C" w14:paraId="4F286CC7" w14:textId="77777777" w:rsidTr="004935F9">
        <w:tc>
          <w:tcPr>
            <w:tcW w:w="3023" w:type="dxa"/>
          </w:tcPr>
          <w:p w14:paraId="75760C32" w14:textId="77777777" w:rsidR="004935F9" w:rsidRPr="00E0728C" w:rsidRDefault="004935F9" w:rsidP="004E6C98">
            <w:pPr>
              <w:rPr>
                <w:rFonts w:cstheme="minorHAnsi"/>
                <w:b/>
                <w:lang w:val="en-US"/>
              </w:rPr>
            </w:pPr>
            <w:r w:rsidRPr="00E0728C">
              <w:rPr>
                <w:rFonts w:cstheme="minorHAnsi"/>
                <w:b/>
                <w:lang w:val="en-US"/>
              </w:rPr>
              <w:t>Other Related Document:</w:t>
            </w:r>
          </w:p>
        </w:tc>
        <w:tc>
          <w:tcPr>
            <w:tcW w:w="5993" w:type="dxa"/>
          </w:tcPr>
          <w:p w14:paraId="4CBECF6D" w14:textId="77777777" w:rsidR="004935F9" w:rsidRPr="00E0728C" w:rsidRDefault="004935F9" w:rsidP="004E6C98">
            <w:pPr>
              <w:rPr>
                <w:rFonts w:cstheme="minorHAnsi"/>
                <w:lang w:val="en-US"/>
              </w:rPr>
            </w:pPr>
          </w:p>
        </w:tc>
      </w:tr>
    </w:tbl>
    <w:p w14:paraId="5CE1E283" w14:textId="77777777" w:rsidR="004935F9" w:rsidRPr="00B47F10" w:rsidRDefault="004935F9" w:rsidP="0062401B">
      <w:pPr>
        <w:spacing w:before="240" w:after="0"/>
        <w:rPr>
          <w:b/>
          <w:sz w:val="28"/>
          <w:szCs w:val="28"/>
          <w:lang w:val="en-US"/>
        </w:rPr>
      </w:pPr>
      <w:r w:rsidRPr="00B47F10">
        <w:rPr>
          <w:b/>
          <w:sz w:val="28"/>
          <w:szCs w:val="28"/>
          <w:lang w:val="en-US"/>
        </w:rPr>
        <w:t>Objective</w:t>
      </w:r>
    </w:p>
    <w:p w14:paraId="60BB9BB9" w14:textId="77777777" w:rsidR="004935F9" w:rsidRPr="00E0728C" w:rsidRDefault="004935F9" w:rsidP="004935F9">
      <w:pPr>
        <w:jc w:val="both"/>
        <w:rPr>
          <w:rFonts w:cstheme="minorHAnsi"/>
          <w:lang w:val="en-US"/>
        </w:rPr>
      </w:pPr>
      <w:r w:rsidRPr="00E0728C">
        <w:rPr>
          <w:rFonts w:cstheme="minorHAnsi"/>
          <w:lang w:val="en-US"/>
        </w:rPr>
        <w:t>To stipulate the deadline for submission of notice of motions in the preparation of Council agendas.</w:t>
      </w:r>
    </w:p>
    <w:p w14:paraId="1851E3C6" w14:textId="77777777" w:rsidR="004935F9" w:rsidRPr="00B47F10" w:rsidRDefault="004935F9" w:rsidP="0062401B">
      <w:pPr>
        <w:spacing w:before="200" w:after="0"/>
        <w:rPr>
          <w:b/>
          <w:sz w:val="28"/>
          <w:szCs w:val="28"/>
          <w:lang w:val="en-US"/>
        </w:rPr>
      </w:pPr>
      <w:r w:rsidRPr="00B47F10">
        <w:rPr>
          <w:b/>
          <w:sz w:val="28"/>
          <w:szCs w:val="28"/>
          <w:lang w:val="en-US"/>
        </w:rPr>
        <w:t>Policy Scope</w:t>
      </w:r>
    </w:p>
    <w:p w14:paraId="189BD50F" w14:textId="77777777" w:rsidR="004935F9" w:rsidRPr="00E0728C" w:rsidRDefault="004935F9" w:rsidP="004935F9">
      <w:pPr>
        <w:rPr>
          <w:rFonts w:cstheme="minorHAnsi"/>
          <w:lang w:val="en-US"/>
        </w:rPr>
      </w:pPr>
      <w:r w:rsidRPr="00E0728C">
        <w:rPr>
          <w:rFonts w:cstheme="minorHAnsi"/>
          <w:lang w:val="en-US"/>
        </w:rPr>
        <w:t xml:space="preserve">This policy relates to elected members seeking to propose a notice of motion. </w:t>
      </w:r>
    </w:p>
    <w:p w14:paraId="2D4967C8" w14:textId="77777777" w:rsidR="004935F9" w:rsidRPr="00B47F10" w:rsidRDefault="004935F9" w:rsidP="0062401B">
      <w:pPr>
        <w:spacing w:before="200" w:after="0"/>
        <w:rPr>
          <w:b/>
          <w:sz w:val="28"/>
          <w:szCs w:val="28"/>
          <w:lang w:val="en-US"/>
        </w:rPr>
      </w:pPr>
      <w:r w:rsidRPr="00B47F10">
        <w:rPr>
          <w:b/>
          <w:sz w:val="28"/>
          <w:szCs w:val="28"/>
          <w:lang w:val="en-US"/>
        </w:rPr>
        <w:t xml:space="preserve">Policy </w:t>
      </w:r>
    </w:p>
    <w:p w14:paraId="741F3A7F" w14:textId="77777777" w:rsidR="004935F9" w:rsidRPr="00E0728C" w:rsidRDefault="004935F9" w:rsidP="00FA5404">
      <w:pPr>
        <w:spacing w:after="0" w:line="240" w:lineRule="auto"/>
        <w:jc w:val="both"/>
        <w:rPr>
          <w:rFonts w:cstheme="minorHAnsi"/>
        </w:rPr>
      </w:pPr>
      <w:r w:rsidRPr="00E0728C">
        <w:rPr>
          <w:rFonts w:cstheme="minorHAnsi"/>
        </w:rPr>
        <w:t>That notices of motion for the next Council meeting be received seven clear days before the finalisation of the agenda.</w:t>
      </w:r>
    </w:p>
    <w:p w14:paraId="6D1407FB" w14:textId="77777777" w:rsidR="004935F9" w:rsidRPr="00E0728C" w:rsidRDefault="004935F9" w:rsidP="004935F9">
      <w:pPr>
        <w:jc w:val="both"/>
        <w:rPr>
          <w:rFonts w:cstheme="minorHAnsi"/>
          <w:lang w:val="en-US"/>
        </w:rPr>
      </w:pPr>
    </w:p>
    <w:p w14:paraId="34830D1D" w14:textId="77777777" w:rsidR="004935F9" w:rsidRPr="00E0728C" w:rsidRDefault="004935F9" w:rsidP="004935F9">
      <w:pPr>
        <w:spacing w:after="0" w:line="240" w:lineRule="auto"/>
        <w:jc w:val="both"/>
        <w:rPr>
          <w:rFonts w:cstheme="minorHAnsi"/>
        </w:rPr>
      </w:pPr>
    </w:p>
    <w:p w14:paraId="229ADECA" w14:textId="77777777" w:rsidR="004935F9" w:rsidRPr="00E0728C" w:rsidRDefault="004935F9" w:rsidP="004935F9">
      <w:pPr>
        <w:jc w:val="both"/>
        <w:rPr>
          <w:rFonts w:cstheme="minorHAnsi"/>
          <w:lang w:val="en-US"/>
        </w:rPr>
      </w:pPr>
    </w:p>
    <w:tbl>
      <w:tblPr>
        <w:tblStyle w:val="TableGrid"/>
        <w:tblW w:w="0" w:type="auto"/>
        <w:tblLook w:val="04A0" w:firstRow="1" w:lastRow="0" w:firstColumn="1" w:lastColumn="0" w:noHBand="0" w:noVBand="1"/>
      </w:tblPr>
      <w:tblGrid>
        <w:gridCol w:w="3057"/>
        <w:gridCol w:w="6005"/>
      </w:tblGrid>
      <w:tr w:rsidR="004935F9" w:rsidRPr="00E0728C" w14:paraId="61223269" w14:textId="77777777" w:rsidTr="004E6C98">
        <w:tc>
          <w:tcPr>
            <w:tcW w:w="3085" w:type="dxa"/>
          </w:tcPr>
          <w:p w14:paraId="2A61A946" w14:textId="77777777" w:rsidR="004935F9" w:rsidRPr="00E0728C" w:rsidRDefault="004935F9" w:rsidP="004E6C98">
            <w:pPr>
              <w:jc w:val="both"/>
              <w:rPr>
                <w:rFonts w:cstheme="minorHAnsi"/>
                <w:b/>
                <w:lang w:val="en-US"/>
              </w:rPr>
            </w:pPr>
            <w:r w:rsidRPr="00E0728C">
              <w:rPr>
                <w:rFonts w:cstheme="minorHAnsi"/>
                <w:b/>
                <w:lang w:val="en-US"/>
              </w:rPr>
              <w:t>Responsible Directorate:</w:t>
            </w:r>
          </w:p>
        </w:tc>
        <w:tc>
          <w:tcPr>
            <w:tcW w:w="6157" w:type="dxa"/>
          </w:tcPr>
          <w:p w14:paraId="7FA7BD9D" w14:textId="77777777" w:rsidR="004935F9" w:rsidRPr="00E0728C" w:rsidRDefault="009579A8" w:rsidP="004E6C98">
            <w:pPr>
              <w:jc w:val="both"/>
              <w:rPr>
                <w:rFonts w:cstheme="minorHAnsi"/>
                <w:lang w:val="en-US"/>
              </w:rPr>
            </w:pPr>
            <w:r>
              <w:rPr>
                <w:rFonts w:cstheme="minorHAnsi"/>
                <w:lang w:val="en-US"/>
              </w:rPr>
              <w:t>Office of the CEO</w:t>
            </w:r>
          </w:p>
        </w:tc>
      </w:tr>
      <w:tr w:rsidR="004935F9" w:rsidRPr="00E0728C" w14:paraId="6F73EAD2" w14:textId="77777777" w:rsidTr="004E6C98">
        <w:tc>
          <w:tcPr>
            <w:tcW w:w="3085" w:type="dxa"/>
          </w:tcPr>
          <w:p w14:paraId="77F4C214" w14:textId="77777777" w:rsidR="004935F9" w:rsidRPr="00E0728C" w:rsidRDefault="004935F9" w:rsidP="004E6C98">
            <w:pPr>
              <w:jc w:val="both"/>
              <w:rPr>
                <w:rFonts w:cstheme="minorHAnsi"/>
                <w:b/>
                <w:lang w:val="en-US"/>
              </w:rPr>
            </w:pPr>
            <w:r w:rsidRPr="00E0728C">
              <w:rPr>
                <w:rFonts w:cstheme="minorHAnsi"/>
                <w:b/>
                <w:lang w:val="en-US"/>
              </w:rPr>
              <w:t>Reviewing Officer:</w:t>
            </w:r>
          </w:p>
        </w:tc>
        <w:tc>
          <w:tcPr>
            <w:tcW w:w="6157" w:type="dxa"/>
          </w:tcPr>
          <w:p w14:paraId="03C6749A" w14:textId="77777777" w:rsidR="004935F9" w:rsidRPr="00E0728C" w:rsidRDefault="004935F9" w:rsidP="004E6C98">
            <w:pPr>
              <w:jc w:val="both"/>
              <w:rPr>
                <w:rFonts w:cstheme="minorHAnsi"/>
                <w:lang w:val="en-US"/>
              </w:rPr>
            </w:pPr>
            <w:r w:rsidRPr="00E0728C">
              <w:rPr>
                <w:rFonts w:cstheme="minorHAnsi"/>
                <w:lang w:val="en-US"/>
              </w:rPr>
              <w:t>Chief Executive Officer</w:t>
            </w:r>
          </w:p>
        </w:tc>
      </w:tr>
      <w:tr w:rsidR="004935F9" w:rsidRPr="00E0728C" w14:paraId="130472D5" w14:textId="77777777" w:rsidTr="004E6C98">
        <w:tc>
          <w:tcPr>
            <w:tcW w:w="3085" w:type="dxa"/>
          </w:tcPr>
          <w:p w14:paraId="4D0460F1" w14:textId="77777777" w:rsidR="004935F9" w:rsidRPr="00E0728C" w:rsidRDefault="004935F9" w:rsidP="004E6C98">
            <w:pPr>
              <w:jc w:val="both"/>
              <w:rPr>
                <w:rFonts w:cstheme="minorHAnsi"/>
                <w:b/>
                <w:lang w:val="en-US"/>
              </w:rPr>
            </w:pPr>
            <w:r w:rsidRPr="00E0728C">
              <w:rPr>
                <w:rFonts w:cstheme="minorHAnsi"/>
                <w:b/>
                <w:lang w:val="en-US"/>
              </w:rPr>
              <w:t>Decision making Authority:</w:t>
            </w:r>
          </w:p>
        </w:tc>
        <w:tc>
          <w:tcPr>
            <w:tcW w:w="6157" w:type="dxa"/>
          </w:tcPr>
          <w:p w14:paraId="3C07D1B2" w14:textId="77777777" w:rsidR="004935F9" w:rsidRPr="00E0728C" w:rsidRDefault="004935F9" w:rsidP="004E6C98">
            <w:pPr>
              <w:jc w:val="both"/>
              <w:rPr>
                <w:rFonts w:cstheme="minorHAnsi"/>
                <w:lang w:val="en-US"/>
              </w:rPr>
            </w:pPr>
            <w:r w:rsidRPr="00E0728C">
              <w:rPr>
                <w:rFonts w:cstheme="minorHAnsi"/>
                <w:lang w:val="en-US"/>
              </w:rPr>
              <w:t>Council</w:t>
            </w:r>
          </w:p>
        </w:tc>
      </w:tr>
      <w:tr w:rsidR="004935F9" w:rsidRPr="00E0728C" w14:paraId="5124734B" w14:textId="77777777" w:rsidTr="004E6C98">
        <w:tc>
          <w:tcPr>
            <w:tcW w:w="3085" w:type="dxa"/>
          </w:tcPr>
          <w:p w14:paraId="2CB60EB3" w14:textId="77777777" w:rsidR="004935F9" w:rsidRPr="00E0728C" w:rsidRDefault="004935F9" w:rsidP="004E6C98">
            <w:pPr>
              <w:jc w:val="both"/>
              <w:rPr>
                <w:rFonts w:cstheme="minorHAnsi"/>
                <w:b/>
                <w:lang w:val="en-US"/>
              </w:rPr>
            </w:pPr>
            <w:r w:rsidRPr="00E0728C">
              <w:rPr>
                <w:rFonts w:cstheme="minorHAnsi"/>
                <w:b/>
                <w:lang w:val="en-US"/>
              </w:rPr>
              <w:t>Policy Adopted:</w:t>
            </w:r>
          </w:p>
        </w:tc>
        <w:tc>
          <w:tcPr>
            <w:tcW w:w="6157" w:type="dxa"/>
          </w:tcPr>
          <w:p w14:paraId="5F5EC124" w14:textId="77777777" w:rsidR="004935F9" w:rsidRPr="00E0728C" w:rsidRDefault="004935F9" w:rsidP="004E6C98">
            <w:pPr>
              <w:jc w:val="both"/>
              <w:rPr>
                <w:rFonts w:cstheme="minorHAnsi"/>
                <w:lang w:val="en-US"/>
              </w:rPr>
            </w:pPr>
            <w:r w:rsidRPr="00E0728C">
              <w:rPr>
                <w:rFonts w:cstheme="minorHAnsi"/>
                <w:lang w:val="en-US"/>
              </w:rPr>
              <w:t>16/9/14</w:t>
            </w:r>
          </w:p>
        </w:tc>
      </w:tr>
      <w:tr w:rsidR="004935F9" w:rsidRPr="00E0728C" w14:paraId="1F655E88" w14:textId="77777777" w:rsidTr="004E6C98">
        <w:tc>
          <w:tcPr>
            <w:tcW w:w="3085" w:type="dxa"/>
          </w:tcPr>
          <w:p w14:paraId="7E67EFB1" w14:textId="77777777" w:rsidR="004935F9" w:rsidRPr="00E0728C" w:rsidRDefault="004935F9" w:rsidP="004E6C98">
            <w:pPr>
              <w:jc w:val="both"/>
              <w:rPr>
                <w:rFonts w:cstheme="minorHAnsi"/>
                <w:b/>
                <w:lang w:val="en-US"/>
              </w:rPr>
            </w:pPr>
            <w:r w:rsidRPr="00E0728C">
              <w:rPr>
                <w:rFonts w:cstheme="minorHAnsi"/>
                <w:b/>
                <w:lang w:val="en-US"/>
              </w:rPr>
              <w:t>Policy Amended/Reviewed:</w:t>
            </w:r>
          </w:p>
        </w:tc>
        <w:tc>
          <w:tcPr>
            <w:tcW w:w="6157" w:type="dxa"/>
          </w:tcPr>
          <w:p w14:paraId="74634545" w14:textId="77777777" w:rsidR="004935F9" w:rsidRPr="00E0728C" w:rsidRDefault="004935F9" w:rsidP="004E6C98">
            <w:pPr>
              <w:jc w:val="both"/>
              <w:rPr>
                <w:rFonts w:cstheme="minorHAnsi"/>
                <w:lang w:val="en-US"/>
              </w:rPr>
            </w:pPr>
            <w:r w:rsidRPr="00E0728C">
              <w:rPr>
                <w:rFonts w:cstheme="minorHAnsi"/>
                <w:lang w:val="en-US"/>
              </w:rPr>
              <w:t>21/7/15</w:t>
            </w:r>
            <w:r w:rsidR="000A5B09">
              <w:rPr>
                <w:rFonts w:cstheme="minorHAnsi"/>
                <w:lang w:val="en-US"/>
              </w:rPr>
              <w:t>, 17/9/19</w:t>
            </w:r>
          </w:p>
        </w:tc>
      </w:tr>
      <w:tr w:rsidR="004935F9" w:rsidRPr="00E0728C" w14:paraId="1B02DC7B" w14:textId="77777777" w:rsidTr="004E6C98">
        <w:tc>
          <w:tcPr>
            <w:tcW w:w="3085" w:type="dxa"/>
          </w:tcPr>
          <w:p w14:paraId="0EE841A1" w14:textId="77777777" w:rsidR="004935F9" w:rsidRPr="00E0728C" w:rsidRDefault="004935F9" w:rsidP="004E6C98">
            <w:pPr>
              <w:jc w:val="both"/>
              <w:rPr>
                <w:rFonts w:cstheme="minorHAnsi"/>
                <w:b/>
                <w:lang w:val="en-US"/>
              </w:rPr>
            </w:pPr>
            <w:r>
              <w:rPr>
                <w:rFonts w:cstheme="minorHAnsi"/>
                <w:b/>
                <w:lang w:val="en-US"/>
              </w:rPr>
              <w:t>Former Policy No:</w:t>
            </w:r>
          </w:p>
        </w:tc>
        <w:tc>
          <w:tcPr>
            <w:tcW w:w="6157" w:type="dxa"/>
          </w:tcPr>
          <w:p w14:paraId="7F2A7621" w14:textId="77777777" w:rsidR="004935F9" w:rsidRPr="00E0728C" w:rsidRDefault="004935F9" w:rsidP="004E6C98">
            <w:pPr>
              <w:jc w:val="both"/>
              <w:rPr>
                <w:rFonts w:cstheme="minorHAnsi"/>
                <w:lang w:val="en-US"/>
              </w:rPr>
            </w:pPr>
            <w:r>
              <w:rPr>
                <w:rFonts w:cstheme="minorHAnsi"/>
                <w:lang w:val="en-US"/>
              </w:rPr>
              <w:t>4.1.3</w:t>
            </w:r>
          </w:p>
        </w:tc>
      </w:tr>
    </w:tbl>
    <w:p w14:paraId="57D12456" w14:textId="77777777" w:rsidR="004935F9" w:rsidRPr="00E0728C" w:rsidRDefault="004935F9" w:rsidP="004935F9">
      <w:pPr>
        <w:jc w:val="both"/>
        <w:rPr>
          <w:rFonts w:cstheme="minorHAnsi"/>
          <w:lang w:val="en-US"/>
        </w:rPr>
      </w:pPr>
    </w:p>
    <w:p w14:paraId="0D6BE64A" w14:textId="77777777" w:rsidR="004935F9" w:rsidRPr="00E0728C" w:rsidRDefault="004935F9" w:rsidP="004935F9">
      <w:pPr>
        <w:jc w:val="both"/>
        <w:rPr>
          <w:rFonts w:cstheme="minorHAnsi"/>
          <w:lang w:val="en-US"/>
        </w:rPr>
      </w:pPr>
    </w:p>
    <w:p w14:paraId="7F6E5FB3" w14:textId="77777777" w:rsidR="004935F9" w:rsidRPr="00E0728C" w:rsidRDefault="004935F9" w:rsidP="004935F9">
      <w:pPr>
        <w:jc w:val="both"/>
        <w:rPr>
          <w:rFonts w:cstheme="minorHAnsi"/>
          <w:lang w:val="en-US"/>
        </w:rPr>
      </w:pPr>
    </w:p>
    <w:p w14:paraId="485A466B" w14:textId="77777777" w:rsidR="004935F9" w:rsidRDefault="004935F9">
      <w:pPr>
        <w:rPr>
          <w:rFonts w:cstheme="minorHAnsi"/>
          <w:lang w:val="en-US"/>
        </w:rPr>
      </w:pPr>
      <w:r>
        <w:rPr>
          <w:rFonts w:cstheme="minorHAnsi"/>
          <w:lang w:val="en-US"/>
        </w:rPr>
        <w:br w:type="page"/>
      </w:r>
    </w:p>
    <w:p w14:paraId="4A4C6265" w14:textId="65234294" w:rsidR="004935F9" w:rsidRDefault="003369A9" w:rsidP="004935F9">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73600" behindDoc="1" locked="0" layoutInCell="1" allowOverlap="1" wp14:anchorId="6738527C" wp14:editId="30B13992">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F678944" w14:textId="77777777" w:rsidR="004935F9" w:rsidRPr="009579A8" w:rsidRDefault="004935F9" w:rsidP="009579A8">
      <w:pPr>
        <w:pStyle w:val="Title"/>
        <w:pBdr>
          <w:bottom w:val="none" w:sz="0" w:space="0" w:color="auto"/>
        </w:pBdr>
        <w:spacing w:after="0"/>
        <w:rPr>
          <w:rFonts w:ascii="Arial" w:hAnsi="Arial" w:cs="Arial"/>
          <w:b/>
          <w:sz w:val="8"/>
          <w:szCs w:val="28"/>
          <w:lang w:val="en-US"/>
        </w:rPr>
      </w:pPr>
    </w:p>
    <w:p w14:paraId="5927FF48" w14:textId="77777777" w:rsidR="003369A9" w:rsidRDefault="003369A9" w:rsidP="009579A8">
      <w:pPr>
        <w:pStyle w:val="Policy3"/>
      </w:pPr>
      <w:bookmarkStart w:id="5" w:name="_Toc39733644"/>
    </w:p>
    <w:p w14:paraId="3D40DAD6" w14:textId="77777777" w:rsidR="003369A9" w:rsidRDefault="003369A9" w:rsidP="009579A8">
      <w:pPr>
        <w:pStyle w:val="Policy3"/>
      </w:pPr>
    </w:p>
    <w:p w14:paraId="7209E7F7" w14:textId="6E79445F" w:rsidR="004935F9" w:rsidRPr="00B47F10" w:rsidRDefault="004935F9" w:rsidP="009579A8">
      <w:pPr>
        <w:pStyle w:val="Policy3"/>
      </w:pPr>
      <w:bookmarkStart w:id="6" w:name="_Toc216866649"/>
      <w:r w:rsidRPr="00B47F10">
        <w:t>1.1.4</w:t>
      </w:r>
      <w:r w:rsidRPr="00B47F10">
        <w:tab/>
        <w:t>L</w:t>
      </w:r>
      <w:r w:rsidR="009579A8">
        <w:t>egal Advice</w:t>
      </w:r>
      <w:bookmarkEnd w:id="5"/>
      <w:bookmarkEnd w:id="6"/>
    </w:p>
    <w:tbl>
      <w:tblPr>
        <w:tblStyle w:val="TableGrid"/>
        <w:tblW w:w="0" w:type="auto"/>
        <w:tblLook w:val="04A0" w:firstRow="1" w:lastRow="0" w:firstColumn="1" w:lastColumn="0" w:noHBand="0" w:noVBand="1"/>
      </w:tblPr>
      <w:tblGrid>
        <w:gridCol w:w="3023"/>
        <w:gridCol w:w="5993"/>
      </w:tblGrid>
      <w:tr w:rsidR="004935F9" w:rsidRPr="00090248" w14:paraId="6F8B4D2D" w14:textId="77777777" w:rsidTr="004935F9">
        <w:tc>
          <w:tcPr>
            <w:tcW w:w="3023" w:type="dxa"/>
          </w:tcPr>
          <w:p w14:paraId="0114EF16" w14:textId="77777777" w:rsidR="004935F9" w:rsidRPr="00090248" w:rsidRDefault="004935F9" w:rsidP="004E6C98">
            <w:pPr>
              <w:rPr>
                <w:rFonts w:cstheme="minorHAnsi"/>
                <w:b/>
                <w:lang w:val="en-US"/>
              </w:rPr>
            </w:pPr>
            <w:r w:rsidRPr="00090248">
              <w:rPr>
                <w:rFonts w:cstheme="minorHAnsi"/>
                <w:b/>
                <w:lang w:val="en-US"/>
              </w:rPr>
              <w:t>Type:</w:t>
            </w:r>
          </w:p>
        </w:tc>
        <w:tc>
          <w:tcPr>
            <w:tcW w:w="5993" w:type="dxa"/>
          </w:tcPr>
          <w:p w14:paraId="1B24D851" w14:textId="77777777" w:rsidR="004935F9" w:rsidRPr="00090248" w:rsidRDefault="004935F9" w:rsidP="004E6C98">
            <w:pPr>
              <w:rPr>
                <w:rFonts w:cstheme="minorHAnsi"/>
                <w:lang w:val="en-US"/>
              </w:rPr>
            </w:pPr>
            <w:r>
              <w:rPr>
                <w:rFonts w:cstheme="minorHAnsi"/>
                <w:lang w:val="en-US"/>
              </w:rPr>
              <w:t>Office of the CEO – Elected Members</w:t>
            </w:r>
          </w:p>
        </w:tc>
      </w:tr>
      <w:tr w:rsidR="004935F9" w:rsidRPr="00090248" w14:paraId="0950D77A" w14:textId="77777777" w:rsidTr="004935F9">
        <w:tc>
          <w:tcPr>
            <w:tcW w:w="3023" w:type="dxa"/>
          </w:tcPr>
          <w:p w14:paraId="4E1CB411" w14:textId="77777777" w:rsidR="004935F9" w:rsidRPr="00090248" w:rsidRDefault="004935F9" w:rsidP="004E6C98">
            <w:pPr>
              <w:rPr>
                <w:rFonts w:cstheme="minorHAnsi"/>
                <w:b/>
                <w:lang w:val="en-US"/>
              </w:rPr>
            </w:pPr>
            <w:r w:rsidRPr="00090248">
              <w:rPr>
                <w:rFonts w:cstheme="minorHAnsi"/>
                <w:b/>
                <w:lang w:val="en-US"/>
              </w:rPr>
              <w:t>Legislation:</w:t>
            </w:r>
          </w:p>
        </w:tc>
        <w:tc>
          <w:tcPr>
            <w:tcW w:w="5993" w:type="dxa"/>
          </w:tcPr>
          <w:p w14:paraId="3E34C405" w14:textId="77777777" w:rsidR="004935F9" w:rsidRPr="00090248" w:rsidRDefault="004935F9" w:rsidP="004E6C98">
            <w:pPr>
              <w:rPr>
                <w:rFonts w:cstheme="minorHAnsi"/>
                <w:lang w:val="en-US"/>
              </w:rPr>
            </w:pPr>
            <w:r w:rsidRPr="00090248">
              <w:rPr>
                <w:rFonts w:cstheme="minorHAnsi"/>
                <w:lang w:val="en-US"/>
              </w:rPr>
              <w:t xml:space="preserve">Local Government Act 1995 </w:t>
            </w:r>
          </w:p>
        </w:tc>
      </w:tr>
      <w:tr w:rsidR="004935F9" w:rsidRPr="00090248" w14:paraId="36F18A72" w14:textId="77777777" w:rsidTr="004935F9">
        <w:tc>
          <w:tcPr>
            <w:tcW w:w="3023" w:type="dxa"/>
          </w:tcPr>
          <w:p w14:paraId="7D6706C2" w14:textId="77777777" w:rsidR="004935F9" w:rsidRPr="00090248" w:rsidRDefault="004935F9" w:rsidP="004E6C98">
            <w:pPr>
              <w:rPr>
                <w:rFonts w:cstheme="minorHAnsi"/>
                <w:b/>
                <w:lang w:val="en-US"/>
              </w:rPr>
            </w:pPr>
            <w:r w:rsidRPr="00090248">
              <w:rPr>
                <w:rFonts w:cstheme="minorHAnsi"/>
                <w:b/>
                <w:lang w:val="en-US"/>
              </w:rPr>
              <w:t>Delegation:</w:t>
            </w:r>
          </w:p>
        </w:tc>
        <w:tc>
          <w:tcPr>
            <w:tcW w:w="5993" w:type="dxa"/>
          </w:tcPr>
          <w:p w14:paraId="747B3D74" w14:textId="77777777" w:rsidR="004935F9" w:rsidRPr="00090248" w:rsidRDefault="004935F9" w:rsidP="004E6C98">
            <w:pPr>
              <w:rPr>
                <w:rFonts w:cstheme="minorHAnsi"/>
                <w:lang w:val="en-US"/>
              </w:rPr>
            </w:pPr>
            <w:r w:rsidRPr="00090248">
              <w:rPr>
                <w:rFonts w:cstheme="minorHAnsi"/>
                <w:lang w:val="en-US"/>
              </w:rPr>
              <w:t>N/A</w:t>
            </w:r>
          </w:p>
        </w:tc>
      </w:tr>
      <w:tr w:rsidR="004935F9" w:rsidRPr="00090248" w14:paraId="5DFC5BED" w14:textId="77777777" w:rsidTr="004935F9">
        <w:tc>
          <w:tcPr>
            <w:tcW w:w="3023" w:type="dxa"/>
          </w:tcPr>
          <w:p w14:paraId="6B590244" w14:textId="77777777" w:rsidR="004935F9" w:rsidRPr="00090248" w:rsidRDefault="004935F9" w:rsidP="004E6C98">
            <w:pPr>
              <w:rPr>
                <w:rFonts w:cstheme="minorHAnsi"/>
                <w:b/>
                <w:lang w:val="en-US"/>
              </w:rPr>
            </w:pPr>
            <w:r w:rsidRPr="00090248">
              <w:rPr>
                <w:rFonts w:cstheme="minorHAnsi"/>
                <w:b/>
                <w:lang w:val="en-US"/>
              </w:rPr>
              <w:t>Other Related Document:</w:t>
            </w:r>
          </w:p>
        </w:tc>
        <w:tc>
          <w:tcPr>
            <w:tcW w:w="5993" w:type="dxa"/>
          </w:tcPr>
          <w:p w14:paraId="50B8D626" w14:textId="77777777" w:rsidR="004935F9" w:rsidRPr="00090248" w:rsidRDefault="004935F9" w:rsidP="004E6C98">
            <w:pPr>
              <w:rPr>
                <w:rFonts w:cstheme="minorHAnsi"/>
                <w:lang w:val="en-US"/>
              </w:rPr>
            </w:pPr>
          </w:p>
        </w:tc>
      </w:tr>
    </w:tbl>
    <w:p w14:paraId="355F710F" w14:textId="77777777" w:rsidR="004935F9" w:rsidRPr="00B47F10" w:rsidRDefault="004935F9" w:rsidP="0062401B">
      <w:pPr>
        <w:spacing w:before="240" w:after="0"/>
        <w:rPr>
          <w:b/>
          <w:sz w:val="28"/>
          <w:szCs w:val="28"/>
          <w:lang w:val="en-US"/>
        </w:rPr>
      </w:pPr>
      <w:r w:rsidRPr="00B47F10">
        <w:rPr>
          <w:b/>
          <w:sz w:val="28"/>
          <w:szCs w:val="28"/>
          <w:lang w:val="en-US"/>
        </w:rPr>
        <w:t>Objective</w:t>
      </w:r>
    </w:p>
    <w:p w14:paraId="29811DC0" w14:textId="77777777" w:rsidR="004935F9" w:rsidRPr="00090248" w:rsidRDefault="004935F9" w:rsidP="004935F9">
      <w:pPr>
        <w:jc w:val="both"/>
        <w:rPr>
          <w:rFonts w:cstheme="minorHAnsi"/>
          <w:lang w:val="en-US"/>
        </w:rPr>
      </w:pPr>
      <w:r w:rsidRPr="00090248">
        <w:rPr>
          <w:rFonts w:cstheme="minorHAnsi"/>
          <w:lang w:val="en-US"/>
        </w:rPr>
        <w:t>This policy is intended to provide clarity regarding the release of legal advice to elected members.</w:t>
      </w:r>
    </w:p>
    <w:p w14:paraId="595F054C" w14:textId="77777777" w:rsidR="004935F9" w:rsidRPr="00B47F10" w:rsidRDefault="004935F9" w:rsidP="0062401B">
      <w:pPr>
        <w:spacing w:before="200" w:after="0"/>
        <w:rPr>
          <w:b/>
          <w:sz w:val="28"/>
          <w:szCs w:val="28"/>
          <w:lang w:val="en-US"/>
        </w:rPr>
      </w:pPr>
      <w:r w:rsidRPr="00B47F10">
        <w:rPr>
          <w:b/>
          <w:sz w:val="28"/>
          <w:szCs w:val="28"/>
          <w:lang w:val="en-US"/>
        </w:rPr>
        <w:t>Policy Scope</w:t>
      </w:r>
    </w:p>
    <w:p w14:paraId="2D5B1771" w14:textId="77777777" w:rsidR="004935F9" w:rsidRPr="00090248" w:rsidRDefault="004935F9" w:rsidP="004935F9">
      <w:pPr>
        <w:rPr>
          <w:rFonts w:cstheme="minorHAnsi"/>
          <w:lang w:val="en-US"/>
        </w:rPr>
      </w:pPr>
      <w:r w:rsidRPr="00090248">
        <w:rPr>
          <w:rFonts w:cstheme="minorHAnsi"/>
          <w:lang w:val="en-US"/>
        </w:rPr>
        <w:t>This policy relates to all legal advice received for Council business.</w:t>
      </w:r>
    </w:p>
    <w:p w14:paraId="1A9F13EF" w14:textId="77777777" w:rsidR="004935F9" w:rsidRPr="00B47F10" w:rsidRDefault="004935F9" w:rsidP="0062401B">
      <w:pPr>
        <w:spacing w:before="200" w:after="0"/>
        <w:rPr>
          <w:b/>
          <w:sz w:val="28"/>
          <w:szCs w:val="28"/>
          <w:lang w:val="en-US"/>
        </w:rPr>
      </w:pPr>
      <w:r w:rsidRPr="00B47F10">
        <w:rPr>
          <w:b/>
          <w:sz w:val="28"/>
          <w:szCs w:val="28"/>
          <w:lang w:val="en-US"/>
        </w:rPr>
        <w:t xml:space="preserve">Policy </w:t>
      </w:r>
    </w:p>
    <w:p w14:paraId="63CC6F0B" w14:textId="77777777" w:rsidR="004935F9" w:rsidRPr="00090248" w:rsidRDefault="004935F9" w:rsidP="00AE2A2B">
      <w:pPr>
        <w:spacing w:after="60"/>
        <w:jc w:val="both"/>
        <w:rPr>
          <w:rFonts w:cstheme="minorHAnsi"/>
          <w:lang w:val="en-US"/>
        </w:rPr>
      </w:pPr>
      <w:r w:rsidRPr="00090248">
        <w:rPr>
          <w:rFonts w:cstheme="minorHAnsi"/>
          <w:lang w:val="en-US"/>
        </w:rPr>
        <w:t xml:space="preserve">The obtaining of legal advice </w:t>
      </w:r>
      <w:proofErr w:type="gramStart"/>
      <w:r w:rsidRPr="00090248">
        <w:rPr>
          <w:rFonts w:cstheme="minorHAnsi"/>
          <w:lang w:val="en-US"/>
        </w:rPr>
        <w:t>where</w:t>
      </w:r>
      <w:proofErr w:type="gramEnd"/>
      <w:r w:rsidRPr="00090248">
        <w:rPr>
          <w:rFonts w:cstheme="minorHAnsi"/>
          <w:lang w:val="en-US"/>
        </w:rPr>
        <w:t xml:space="preserve"> considered appropriate is a function of the role of CEO to enable legal administration of the Council’s business. Legal advice is to be made available to elected members where:</w:t>
      </w:r>
    </w:p>
    <w:p w14:paraId="34CCF42E" w14:textId="77777777" w:rsidR="004935F9" w:rsidRPr="00090248" w:rsidRDefault="004935F9" w:rsidP="000C29DC">
      <w:pPr>
        <w:pStyle w:val="ListParagraph"/>
        <w:numPr>
          <w:ilvl w:val="0"/>
          <w:numId w:val="4"/>
        </w:numPr>
        <w:jc w:val="both"/>
        <w:rPr>
          <w:rFonts w:cstheme="minorHAnsi"/>
          <w:lang w:val="en-US"/>
        </w:rPr>
      </w:pPr>
      <w:r w:rsidRPr="00090248">
        <w:rPr>
          <w:rFonts w:cstheme="minorHAnsi"/>
          <w:lang w:val="en-US"/>
        </w:rPr>
        <w:t>legal advice is required to ensure that informed decisions can be made by elected members,</w:t>
      </w:r>
    </w:p>
    <w:p w14:paraId="35C053DD" w14:textId="77777777" w:rsidR="004935F9" w:rsidRPr="00090248" w:rsidRDefault="004935F9" w:rsidP="000C29DC">
      <w:pPr>
        <w:pStyle w:val="ListParagraph"/>
        <w:numPr>
          <w:ilvl w:val="0"/>
          <w:numId w:val="4"/>
        </w:numPr>
        <w:jc w:val="both"/>
        <w:rPr>
          <w:rFonts w:cstheme="minorHAnsi"/>
          <w:lang w:val="en-US"/>
        </w:rPr>
      </w:pPr>
      <w:r w:rsidRPr="00090248">
        <w:rPr>
          <w:rFonts w:cstheme="minorHAnsi"/>
          <w:lang w:val="en-US"/>
        </w:rPr>
        <w:t>legal advice is obtained regarding a litigation risk,</w:t>
      </w:r>
    </w:p>
    <w:p w14:paraId="2E5E263E" w14:textId="77777777" w:rsidR="004935F9" w:rsidRPr="00090248" w:rsidRDefault="004935F9" w:rsidP="000C29DC">
      <w:pPr>
        <w:pStyle w:val="ListParagraph"/>
        <w:numPr>
          <w:ilvl w:val="0"/>
          <w:numId w:val="4"/>
        </w:numPr>
        <w:jc w:val="both"/>
        <w:rPr>
          <w:rFonts w:cstheme="minorHAnsi"/>
          <w:lang w:val="en-US"/>
        </w:rPr>
      </w:pPr>
      <w:r w:rsidRPr="00090248">
        <w:rPr>
          <w:rFonts w:cstheme="minorHAnsi"/>
          <w:lang w:val="en-US"/>
        </w:rPr>
        <w:t>Council has requested legal advice,</w:t>
      </w:r>
    </w:p>
    <w:p w14:paraId="6CEDF402" w14:textId="77777777" w:rsidR="004935F9" w:rsidRPr="00090248" w:rsidRDefault="004935F9" w:rsidP="000C29DC">
      <w:pPr>
        <w:pStyle w:val="ListParagraph"/>
        <w:numPr>
          <w:ilvl w:val="0"/>
          <w:numId w:val="4"/>
        </w:numPr>
        <w:jc w:val="both"/>
        <w:rPr>
          <w:rFonts w:cstheme="minorHAnsi"/>
          <w:lang w:val="en-US"/>
        </w:rPr>
      </w:pPr>
      <w:r w:rsidRPr="00090248">
        <w:rPr>
          <w:rFonts w:cstheme="minorHAnsi"/>
          <w:lang w:val="en-US"/>
        </w:rPr>
        <w:t>legal advice relates to issues of governance.</w:t>
      </w:r>
    </w:p>
    <w:p w14:paraId="7FB6E89C" w14:textId="77777777" w:rsidR="004935F9" w:rsidRPr="00090248" w:rsidRDefault="004935F9" w:rsidP="004935F9">
      <w:pPr>
        <w:jc w:val="both"/>
        <w:rPr>
          <w:rFonts w:cstheme="minorHAnsi"/>
          <w:lang w:val="en-US"/>
        </w:rPr>
      </w:pPr>
      <w:r w:rsidRPr="00090248">
        <w:rPr>
          <w:rFonts w:cstheme="minorHAnsi"/>
          <w:lang w:val="en-US"/>
        </w:rPr>
        <w:t>All legal advice is confidential and is not to be circulated or divulged to a third party.</w:t>
      </w:r>
    </w:p>
    <w:p w14:paraId="27069A7D" w14:textId="77777777" w:rsidR="004935F9" w:rsidRPr="00090248" w:rsidRDefault="004935F9" w:rsidP="004935F9">
      <w:pPr>
        <w:jc w:val="both"/>
        <w:rPr>
          <w:rFonts w:cstheme="minorHAnsi"/>
          <w:lang w:val="en-US"/>
        </w:rPr>
      </w:pPr>
    </w:p>
    <w:p w14:paraId="436183F4" w14:textId="77777777" w:rsidR="004935F9" w:rsidRPr="00090248" w:rsidRDefault="004935F9" w:rsidP="004935F9">
      <w:pPr>
        <w:jc w:val="both"/>
        <w:rPr>
          <w:rFonts w:cstheme="minorHAnsi"/>
          <w:lang w:val="en-US"/>
        </w:rPr>
      </w:pPr>
    </w:p>
    <w:p w14:paraId="0F0FF99E" w14:textId="77777777" w:rsidR="004935F9" w:rsidRPr="00090248" w:rsidRDefault="004935F9" w:rsidP="004935F9">
      <w:pPr>
        <w:spacing w:after="0" w:line="240" w:lineRule="auto"/>
        <w:jc w:val="both"/>
        <w:rPr>
          <w:rFonts w:cstheme="minorHAnsi"/>
        </w:rPr>
      </w:pPr>
    </w:p>
    <w:p w14:paraId="72E7CAEF" w14:textId="77777777" w:rsidR="004935F9" w:rsidRPr="00090248" w:rsidRDefault="004935F9" w:rsidP="004935F9">
      <w:pPr>
        <w:jc w:val="both"/>
        <w:rPr>
          <w:rFonts w:cstheme="minorHAnsi"/>
          <w:lang w:val="en-US"/>
        </w:rPr>
      </w:pPr>
    </w:p>
    <w:tbl>
      <w:tblPr>
        <w:tblStyle w:val="TableGrid"/>
        <w:tblW w:w="0" w:type="auto"/>
        <w:tblLook w:val="04A0" w:firstRow="1" w:lastRow="0" w:firstColumn="1" w:lastColumn="0" w:noHBand="0" w:noVBand="1"/>
      </w:tblPr>
      <w:tblGrid>
        <w:gridCol w:w="3057"/>
        <w:gridCol w:w="6005"/>
      </w:tblGrid>
      <w:tr w:rsidR="004935F9" w:rsidRPr="00090248" w14:paraId="19E5AB60" w14:textId="77777777" w:rsidTr="004E6C98">
        <w:tc>
          <w:tcPr>
            <w:tcW w:w="3085" w:type="dxa"/>
          </w:tcPr>
          <w:p w14:paraId="416116EE" w14:textId="77777777" w:rsidR="004935F9" w:rsidRPr="00090248" w:rsidRDefault="004935F9" w:rsidP="004E6C98">
            <w:pPr>
              <w:jc w:val="both"/>
              <w:rPr>
                <w:rFonts w:cstheme="minorHAnsi"/>
                <w:b/>
                <w:lang w:val="en-US"/>
              </w:rPr>
            </w:pPr>
            <w:r w:rsidRPr="00090248">
              <w:rPr>
                <w:rFonts w:cstheme="minorHAnsi"/>
                <w:b/>
                <w:lang w:val="en-US"/>
              </w:rPr>
              <w:t>Responsible Directorate:</w:t>
            </w:r>
          </w:p>
        </w:tc>
        <w:tc>
          <w:tcPr>
            <w:tcW w:w="6157" w:type="dxa"/>
          </w:tcPr>
          <w:p w14:paraId="44B975B6" w14:textId="77777777" w:rsidR="004935F9" w:rsidRPr="00090248" w:rsidRDefault="004935F9" w:rsidP="004E6C98">
            <w:pPr>
              <w:jc w:val="both"/>
              <w:rPr>
                <w:rFonts w:cstheme="minorHAnsi"/>
                <w:lang w:val="en-US"/>
              </w:rPr>
            </w:pPr>
            <w:r w:rsidRPr="00090248">
              <w:rPr>
                <w:rFonts w:cstheme="minorHAnsi"/>
                <w:lang w:val="en-US"/>
              </w:rPr>
              <w:t>Offic</w:t>
            </w:r>
            <w:r w:rsidR="009579A8">
              <w:rPr>
                <w:rFonts w:cstheme="minorHAnsi"/>
                <w:lang w:val="en-US"/>
              </w:rPr>
              <w:t>e of the CEO</w:t>
            </w:r>
          </w:p>
        </w:tc>
      </w:tr>
      <w:tr w:rsidR="004935F9" w:rsidRPr="00090248" w14:paraId="2DC75492" w14:textId="77777777" w:rsidTr="004E6C98">
        <w:tc>
          <w:tcPr>
            <w:tcW w:w="3085" w:type="dxa"/>
          </w:tcPr>
          <w:p w14:paraId="1AEC36B4" w14:textId="77777777" w:rsidR="004935F9" w:rsidRPr="00090248" w:rsidRDefault="004935F9" w:rsidP="004E6C98">
            <w:pPr>
              <w:jc w:val="both"/>
              <w:rPr>
                <w:rFonts w:cstheme="minorHAnsi"/>
                <w:b/>
                <w:lang w:val="en-US"/>
              </w:rPr>
            </w:pPr>
            <w:r w:rsidRPr="00090248">
              <w:rPr>
                <w:rFonts w:cstheme="minorHAnsi"/>
                <w:b/>
                <w:lang w:val="en-US"/>
              </w:rPr>
              <w:t>Reviewing Officer:</w:t>
            </w:r>
          </w:p>
        </w:tc>
        <w:tc>
          <w:tcPr>
            <w:tcW w:w="6157" w:type="dxa"/>
          </w:tcPr>
          <w:p w14:paraId="72FB4D09" w14:textId="77777777" w:rsidR="004935F9" w:rsidRPr="00090248" w:rsidRDefault="004935F9" w:rsidP="004E6C98">
            <w:pPr>
              <w:jc w:val="both"/>
              <w:rPr>
                <w:rFonts w:cstheme="minorHAnsi"/>
                <w:lang w:val="en-US"/>
              </w:rPr>
            </w:pPr>
            <w:r w:rsidRPr="00090248">
              <w:rPr>
                <w:rFonts w:cstheme="minorHAnsi"/>
                <w:lang w:val="en-US"/>
              </w:rPr>
              <w:t>Chief Executive Officer</w:t>
            </w:r>
          </w:p>
        </w:tc>
      </w:tr>
      <w:tr w:rsidR="004935F9" w:rsidRPr="00090248" w14:paraId="63DA8F88" w14:textId="77777777" w:rsidTr="004E6C98">
        <w:tc>
          <w:tcPr>
            <w:tcW w:w="3085" w:type="dxa"/>
          </w:tcPr>
          <w:p w14:paraId="53043A15" w14:textId="77777777" w:rsidR="004935F9" w:rsidRPr="00090248" w:rsidRDefault="004935F9" w:rsidP="004E6C98">
            <w:pPr>
              <w:jc w:val="both"/>
              <w:rPr>
                <w:rFonts w:cstheme="minorHAnsi"/>
                <w:b/>
                <w:lang w:val="en-US"/>
              </w:rPr>
            </w:pPr>
            <w:r w:rsidRPr="00090248">
              <w:rPr>
                <w:rFonts w:cstheme="minorHAnsi"/>
                <w:b/>
                <w:lang w:val="en-US"/>
              </w:rPr>
              <w:t>Decision making Authority:</w:t>
            </w:r>
          </w:p>
        </w:tc>
        <w:tc>
          <w:tcPr>
            <w:tcW w:w="6157" w:type="dxa"/>
          </w:tcPr>
          <w:p w14:paraId="643517AF" w14:textId="77777777" w:rsidR="004935F9" w:rsidRPr="00090248" w:rsidRDefault="004935F9" w:rsidP="004E6C98">
            <w:pPr>
              <w:jc w:val="both"/>
              <w:rPr>
                <w:rFonts w:cstheme="minorHAnsi"/>
                <w:lang w:val="en-US"/>
              </w:rPr>
            </w:pPr>
            <w:r w:rsidRPr="00090248">
              <w:rPr>
                <w:rFonts w:cstheme="minorHAnsi"/>
                <w:lang w:val="en-US"/>
              </w:rPr>
              <w:t>Council</w:t>
            </w:r>
          </w:p>
        </w:tc>
      </w:tr>
      <w:tr w:rsidR="004935F9" w:rsidRPr="00090248" w14:paraId="1AD4AD4C" w14:textId="77777777" w:rsidTr="004E6C98">
        <w:tc>
          <w:tcPr>
            <w:tcW w:w="3085" w:type="dxa"/>
          </w:tcPr>
          <w:p w14:paraId="52C13104" w14:textId="77777777" w:rsidR="004935F9" w:rsidRPr="00090248" w:rsidRDefault="004935F9" w:rsidP="004E6C98">
            <w:pPr>
              <w:jc w:val="both"/>
              <w:rPr>
                <w:rFonts w:cstheme="minorHAnsi"/>
                <w:b/>
                <w:lang w:val="en-US"/>
              </w:rPr>
            </w:pPr>
            <w:r w:rsidRPr="00090248">
              <w:rPr>
                <w:rFonts w:cstheme="minorHAnsi"/>
                <w:b/>
                <w:lang w:val="en-US"/>
              </w:rPr>
              <w:t>Policy Adopted:</w:t>
            </w:r>
          </w:p>
        </w:tc>
        <w:tc>
          <w:tcPr>
            <w:tcW w:w="6157" w:type="dxa"/>
          </w:tcPr>
          <w:p w14:paraId="588253C6" w14:textId="77777777" w:rsidR="004935F9" w:rsidRPr="00090248" w:rsidRDefault="004935F9" w:rsidP="004E6C98">
            <w:pPr>
              <w:jc w:val="both"/>
              <w:rPr>
                <w:rFonts w:cstheme="minorHAnsi"/>
                <w:lang w:val="en-US"/>
              </w:rPr>
            </w:pPr>
            <w:r w:rsidRPr="00090248">
              <w:rPr>
                <w:rFonts w:cstheme="minorHAnsi"/>
                <w:lang w:val="en-US"/>
              </w:rPr>
              <w:t>17/11/15</w:t>
            </w:r>
          </w:p>
        </w:tc>
      </w:tr>
      <w:tr w:rsidR="004935F9" w:rsidRPr="00090248" w14:paraId="3CC3B4DE" w14:textId="77777777" w:rsidTr="004E6C98">
        <w:tc>
          <w:tcPr>
            <w:tcW w:w="3085" w:type="dxa"/>
          </w:tcPr>
          <w:p w14:paraId="6C08F255" w14:textId="77777777" w:rsidR="004935F9" w:rsidRPr="00090248" w:rsidRDefault="00800F7A" w:rsidP="004E6C98">
            <w:pPr>
              <w:jc w:val="both"/>
              <w:rPr>
                <w:rFonts w:cstheme="minorHAnsi"/>
                <w:b/>
                <w:lang w:val="en-US"/>
              </w:rPr>
            </w:pPr>
            <w:r>
              <w:rPr>
                <w:rFonts w:cstheme="minorHAnsi"/>
                <w:b/>
                <w:lang w:val="en-US"/>
              </w:rPr>
              <w:t>Policy Amended/Reviewed:</w:t>
            </w:r>
          </w:p>
        </w:tc>
        <w:tc>
          <w:tcPr>
            <w:tcW w:w="6157" w:type="dxa"/>
          </w:tcPr>
          <w:p w14:paraId="2E4589C9" w14:textId="77777777" w:rsidR="004935F9" w:rsidRPr="00090248" w:rsidRDefault="000A5B09" w:rsidP="004E6C98">
            <w:pPr>
              <w:jc w:val="both"/>
              <w:rPr>
                <w:rFonts w:cstheme="minorHAnsi"/>
                <w:lang w:val="en-US"/>
              </w:rPr>
            </w:pPr>
            <w:r>
              <w:rPr>
                <w:rFonts w:cstheme="minorHAnsi"/>
                <w:lang w:val="en-US"/>
              </w:rPr>
              <w:t>17/9/19</w:t>
            </w:r>
          </w:p>
        </w:tc>
      </w:tr>
      <w:tr w:rsidR="004935F9" w:rsidRPr="00090248" w14:paraId="32E23891" w14:textId="77777777" w:rsidTr="004E6C98">
        <w:tc>
          <w:tcPr>
            <w:tcW w:w="3085" w:type="dxa"/>
          </w:tcPr>
          <w:p w14:paraId="3AFE821D" w14:textId="77777777" w:rsidR="004935F9" w:rsidRPr="00090248" w:rsidRDefault="004935F9" w:rsidP="004E6C98">
            <w:pPr>
              <w:jc w:val="both"/>
              <w:rPr>
                <w:rFonts w:cstheme="minorHAnsi"/>
                <w:b/>
                <w:lang w:val="en-US"/>
              </w:rPr>
            </w:pPr>
            <w:r>
              <w:rPr>
                <w:rFonts w:cstheme="minorHAnsi"/>
                <w:b/>
                <w:lang w:val="en-US"/>
              </w:rPr>
              <w:t>Former Policy No:</w:t>
            </w:r>
          </w:p>
        </w:tc>
        <w:tc>
          <w:tcPr>
            <w:tcW w:w="6157" w:type="dxa"/>
          </w:tcPr>
          <w:p w14:paraId="50D267BA" w14:textId="77777777" w:rsidR="004935F9" w:rsidRPr="00090248" w:rsidRDefault="004935F9" w:rsidP="004E6C98">
            <w:pPr>
              <w:jc w:val="both"/>
              <w:rPr>
                <w:rFonts w:cstheme="minorHAnsi"/>
                <w:lang w:val="en-US"/>
              </w:rPr>
            </w:pPr>
            <w:r>
              <w:rPr>
                <w:rFonts w:cstheme="minorHAnsi"/>
                <w:lang w:val="en-US"/>
              </w:rPr>
              <w:t>4.1.4</w:t>
            </w:r>
          </w:p>
        </w:tc>
      </w:tr>
    </w:tbl>
    <w:p w14:paraId="2BA0DF07" w14:textId="77777777" w:rsidR="004935F9" w:rsidRPr="00090248" w:rsidRDefault="004935F9" w:rsidP="004935F9">
      <w:pPr>
        <w:jc w:val="both"/>
        <w:rPr>
          <w:rFonts w:cstheme="minorHAnsi"/>
          <w:lang w:val="en-US"/>
        </w:rPr>
      </w:pPr>
    </w:p>
    <w:p w14:paraId="5598ECE7" w14:textId="77777777" w:rsidR="004935F9" w:rsidRPr="00090248" w:rsidRDefault="004935F9" w:rsidP="004935F9">
      <w:pPr>
        <w:jc w:val="both"/>
        <w:rPr>
          <w:rFonts w:cstheme="minorHAnsi"/>
          <w:lang w:val="en-US"/>
        </w:rPr>
      </w:pPr>
    </w:p>
    <w:p w14:paraId="66C54031" w14:textId="77777777" w:rsidR="006C2BE9" w:rsidRDefault="006C2BE9">
      <w:pPr>
        <w:rPr>
          <w:rFonts w:cstheme="minorHAnsi"/>
          <w:lang w:val="en-US"/>
        </w:rPr>
      </w:pPr>
      <w:r>
        <w:rPr>
          <w:rFonts w:cstheme="minorHAnsi"/>
          <w:lang w:val="en-US"/>
        </w:rPr>
        <w:br w:type="page"/>
      </w:r>
    </w:p>
    <w:p w14:paraId="383C95AE" w14:textId="3925F054" w:rsidR="008A7E09" w:rsidRDefault="003369A9" w:rsidP="008A7E09">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74624" behindDoc="1" locked="0" layoutInCell="1" allowOverlap="1" wp14:anchorId="42C3BF5B" wp14:editId="77349C2B">
            <wp:simplePos x="0" y="0"/>
            <wp:positionH relativeFrom="margin">
              <wp:align>right</wp:align>
            </wp:positionH>
            <wp:positionV relativeFrom="paragraph">
              <wp:posOffset>13335</wp:posOffset>
            </wp:positionV>
            <wp:extent cx="1744345" cy="699135"/>
            <wp:effectExtent l="0" t="0" r="8255" b="5715"/>
            <wp:wrapTight wrapText="bothSides">
              <wp:wrapPolygon edited="0">
                <wp:start x="0" y="0"/>
                <wp:lineTo x="0" y="21188"/>
                <wp:lineTo x="21466" y="21188"/>
                <wp:lineTo x="21466" y="0"/>
                <wp:lineTo x="0" y="0"/>
              </wp:wrapPolygon>
            </wp:wrapTight>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0747140C" w14:textId="77777777" w:rsidR="008A7E09" w:rsidRPr="009579A8" w:rsidRDefault="008A7E09" w:rsidP="009579A8">
      <w:pPr>
        <w:pStyle w:val="Title"/>
        <w:pBdr>
          <w:bottom w:val="none" w:sz="0" w:space="0" w:color="auto"/>
        </w:pBdr>
        <w:spacing w:after="0"/>
        <w:rPr>
          <w:rFonts w:ascii="Arial" w:hAnsi="Arial" w:cs="Arial"/>
          <w:b/>
          <w:sz w:val="18"/>
          <w:szCs w:val="28"/>
          <w:lang w:val="en-US"/>
        </w:rPr>
      </w:pPr>
    </w:p>
    <w:p w14:paraId="226C5BB1" w14:textId="77777777" w:rsidR="003369A9" w:rsidRDefault="003369A9" w:rsidP="009579A8">
      <w:pPr>
        <w:pStyle w:val="Policy3"/>
      </w:pPr>
    </w:p>
    <w:p w14:paraId="395EA6B8" w14:textId="77777777" w:rsidR="003369A9" w:rsidRDefault="003369A9" w:rsidP="009579A8">
      <w:pPr>
        <w:pStyle w:val="Policy3"/>
      </w:pPr>
    </w:p>
    <w:p w14:paraId="2654E6A6" w14:textId="77777777" w:rsidR="00125ECD" w:rsidRDefault="00125ECD" w:rsidP="009579A8">
      <w:pPr>
        <w:pStyle w:val="Policy3"/>
      </w:pPr>
    </w:p>
    <w:p w14:paraId="4CD8D00C" w14:textId="3858161B" w:rsidR="008A7E09" w:rsidRPr="00B47F10" w:rsidRDefault="008A7E09" w:rsidP="009579A8">
      <w:pPr>
        <w:pStyle w:val="Policy3"/>
      </w:pPr>
      <w:bookmarkStart w:id="7" w:name="_Toc216866650"/>
      <w:r w:rsidRPr="00B47F10">
        <w:t>1.1.5</w:t>
      </w:r>
      <w:r w:rsidRPr="00B47F10">
        <w:tab/>
        <w:t>H</w:t>
      </w:r>
      <w:r w:rsidR="009579A8">
        <w:t>onorary Freeman of the Town of East Fremantle</w:t>
      </w:r>
      <w:bookmarkEnd w:id="7"/>
      <w:r w:rsidRPr="00B47F10">
        <w:t xml:space="preserve"> </w:t>
      </w:r>
    </w:p>
    <w:tbl>
      <w:tblPr>
        <w:tblStyle w:val="TableGrid"/>
        <w:tblW w:w="0" w:type="auto"/>
        <w:tblLook w:val="04A0" w:firstRow="1" w:lastRow="0" w:firstColumn="1" w:lastColumn="0" w:noHBand="0" w:noVBand="1"/>
      </w:tblPr>
      <w:tblGrid>
        <w:gridCol w:w="3024"/>
        <w:gridCol w:w="5992"/>
      </w:tblGrid>
      <w:tr w:rsidR="008A7E09" w:rsidRPr="0096334F" w14:paraId="3A614FD5" w14:textId="77777777" w:rsidTr="008A7E09">
        <w:tc>
          <w:tcPr>
            <w:tcW w:w="3024" w:type="dxa"/>
          </w:tcPr>
          <w:p w14:paraId="34B24556" w14:textId="77777777" w:rsidR="008A7E09" w:rsidRPr="0096334F" w:rsidRDefault="008A7E09" w:rsidP="004E6C98">
            <w:pPr>
              <w:rPr>
                <w:rFonts w:cstheme="minorHAnsi"/>
                <w:b/>
                <w:lang w:val="en-US"/>
              </w:rPr>
            </w:pPr>
            <w:r w:rsidRPr="0096334F">
              <w:rPr>
                <w:rFonts w:cstheme="minorHAnsi"/>
                <w:b/>
                <w:lang w:val="en-US"/>
              </w:rPr>
              <w:t>Type:</w:t>
            </w:r>
          </w:p>
        </w:tc>
        <w:tc>
          <w:tcPr>
            <w:tcW w:w="5992" w:type="dxa"/>
          </w:tcPr>
          <w:p w14:paraId="361ABA14" w14:textId="77777777" w:rsidR="008A7E09" w:rsidRPr="0096334F" w:rsidRDefault="008A7E09" w:rsidP="004E6C98">
            <w:pPr>
              <w:rPr>
                <w:rFonts w:cstheme="minorHAnsi"/>
                <w:lang w:val="en-US"/>
              </w:rPr>
            </w:pPr>
            <w:r>
              <w:rPr>
                <w:rFonts w:cstheme="minorHAnsi"/>
                <w:lang w:val="en-US"/>
              </w:rPr>
              <w:t>Office of the CEO – Elected Members</w:t>
            </w:r>
          </w:p>
        </w:tc>
      </w:tr>
      <w:tr w:rsidR="008A7E09" w:rsidRPr="0096334F" w14:paraId="70806151" w14:textId="77777777" w:rsidTr="008A7E09">
        <w:tc>
          <w:tcPr>
            <w:tcW w:w="3024" w:type="dxa"/>
          </w:tcPr>
          <w:p w14:paraId="42406B8E" w14:textId="77777777" w:rsidR="008A7E09" w:rsidRPr="0096334F" w:rsidRDefault="008A7E09" w:rsidP="004E6C98">
            <w:pPr>
              <w:rPr>
                <w:rFonts w:cstheme="minorHAnsi"/>
                <w:b/>
                <w:lang w:val="en-US"/>
              </w:rPr>
            </w:pPr>
            <w:r w:rsidRPr="0096334F">
              <w:rPr>
                <w:rFonts w:cstheme="minorHAnsi"/>
                <w:b/>
                <w:lang w:val="en-US"/>
              </w:rPr>
              <w:t>Legislation:</w:t>
            </w:r>
          </w:p>
        </w:tc>
        <w:tc>
          <w:tcPr>
            <w:tcW w:w="5992" w:type="dxa"/>
          </w:tcPr>
          <w:p w14:paraId="3C6B03DF" w14:textId="77777777" w:rsidR="008A7E09" w:rsidRPr="0096334F" w:rsidRDefault="008A7E09" w:rsidP="004E6C98">
            <w:pPr>
              <w:rPr>
                <w:rFonts w:cstheme="minorHAnsi"/>
                <w:lang w:val="en-US"/>
              </w:rPr>
            </w:pPr>
            <w:r w:rsidRPr="0096334F">
              <w:rPr>
                <w:rFonts w:cstheme="minorHAnsi"/>
                <w:lang w:val="en-US"/>
              </w:rPr>
              <w:t>N/A</w:t>
            </w:r>
          </w:p>
        </w:tc>
      </w:tr>
      <w:tr w:rsidR="008A7E09" w:rsidRPr="0096334F" w14:paraId="2DE51588" w14:textId="77777777" w:rsidTr="008A7E09">
        <w:tc>
          <w:tcPr>
            <w:tcW w:w="3024" w:type="dxa"/>
          </w:tcPr>
          <w:p w14:paraId="0822626E" w14:textId="77777777" w:rsidR="008A7E09" w:rsidRPr="0096334F" w:rsidRDefault="008A7E09" w:rsidP="004E6C98">
            <w:pPr>
              <w:rPr>
                <w:rFonts w:cstheme="minorHAnsi"/>
                <w:b/>
                <w:lang w:val="en-US"/>
              </w:rPr>
            </w:pPr>
            <w:r w:rsidRPr="0096334F">
              <w:rPr>
                <w:rFonts w:cstheme="minorHAnsi"/>
                <w:b/>
                <w:lang w:val="en-US"/>
              </w:rPr>
              <w:t>Delegation:</w:t>
            </w:r>
          </w:p>
        </w:tc>
        <w:tc>
          <w:tcPr>
            <w:tcW w:w="5992" w:type="dxa"/>
          </w:tcPr>
          <w:p w14:paraId="2A26CF22" w14:textId="77777777" w:rsidR="008A7E09" w:rsidRPr="0096334F" w:rsidRDefault="008A7E09" w:rsidP="004E6C98">
            <w:pPr>
              <w:rPr>
                <w:rFonts w:cstheme="minorHAnsi"/>
                <w:lang w:val="en-US"/>
              </w:rPr>
            </w:pPr>
            <w:r w:rsidRPr="0096334F">
              <w:rPr>
                <w:rFonts w:cstheme="minorHAnsi"/>
                <w:lang w:val="en-US"/>
              </w:rPr>
              <w:t>N/A</w:t>
            </w:r>
          </w:p>
        </w:tc>
      </w:tr>
      <w:tr w:rsidR="008A7E09" w:rsidRPr="0096334F" w14:paraId="02CAC32F" w14:textId="77777777" w:rsidTr="008A7E09">
        <w:tc>
          <w:tcPr>
            <w:tcW w:w="3024" w:type="dxa"/>
          </w:tcPr>
          <w:p w14:paraId="4877D580" w14:textId="77777777" w:rsidR="008A7E09" w:rsidRPr="0096334F" w:rsidRDefault="008A7E09" w:rsidP="004E6C98">
            <w:pPr>
              <w:rPr>
                <w:rFonts w:cstheme="minorHAnsi"/>
                <w:b/>
                <w:lang w:val="en-US"/>
              </w:rPr>
            </w:pPr>
            <w:r w:rsidRPr="0096334F">
              <w:rPr>
                <w:rFonts w:cstheme="minorHAnsi"/>
                <w:b/>
                <w:lang w:val="en-US"/>
              </w:rPr>
              <w:t>Other Related Document:</w:t>
            </w:r>
          </w:p>
        </w:tc>
        <w:tc>
          <w:tcPr>
            <w:tcW w:w="5992" w:type="dxa"/>
          </w:tcPr>
          <w:p w14:paraId="38467A33" w14:textId="77777777" w:rsidR="008A7E09" w:rsidRPr="0096334F" w:rsidRDefault="008A7E09" w:rsidP="004E6C98">
            <w:pPr>
              <w:rPr>
                <w:rFonts w:cstheme="minorHAnsi"/>
                <w:lang w:val="en-US"/>
              </w:rPr>
            </w:pPr>
            <w:r w:rsidRPr="0096334F">
              <w:rPr>
                <w:rFonts w:cstheme="minorHAnsi"/>
                <w:lang w:val="en-US"/>
              </w:rPr>
              <w:t>Honorary Freeman of the Town of East Fremantle Procedure PRO/1.1</w:t>
            </w:r>
            <w:r>
              <w:rPr>
                <w:rFonts w:cstheme="minorHAnsi"/>
                <w:lang w:val="en-US"/>
              </w:rPr>
              <w:t>.5</w:t>
            </w:r>
          </w:p>
        </w:tc>
      </w:tr>
    </w:tbl>
    <w:p w14:paraId="37AE8E95" w14:textId="77777777" w:rsidR="008A7E09" w:rsidRPr="00B47F10" w:rsidRDefault="008A7E09" w:rsidP="0062401B">
      <w:pPr>
        <w:spacing w:before="240" w:after="0"/>
        <w:rPr>
          <w:b/>
          <w:sz w:val="28"/>
          <w:szCs w:val="28"/>
          <w:lang w:val="en-US"/>
        </w:rPr>
      </w:pPr>
      <w:r w:rsidRPr="00B47F10">
        <w:rPr>
          <w:b/>
          <w:sz w:val="28"/>
          <w:szCs w:val="28"/>
          <w:lang w:val="en-US"/>
        </w:rPr>
        <w:t>Objective</w:t>
      </w:r>
    </w:p>
    <w:p w14:paraId="3EA0BFED" w14:textId="77777777" w:rsidR="008A7E09" w:rsidRPr="0096334F" w:rsidRDefault="008A7E09" w:rsidP="008A7E09">
      <w:pPr>
        <w:pStyle w:val="ListParagraph"/>
        <w:tabs>
          <w:tab w:val="left" w:pos="1843"/>
        </w:tabs>
        <w:spacing w:line="240" w:lineRule="auto"/>
        <w:ind w:left="0"/>
        <w:rPr>
          <w:rFonts w:cstheme="minorHAnsi"/>
        </w:rPr>
      </w:pPr>
      <w:r w:rsidRPr="0096334F">
        <w:rPr>
          <w:rFonts w:cstheme="minorHAnsi"/>
        </w:rPr>
        <w:t>To recognise outstanding and meritorious service to the Town of East Fremantle</w:t>
      </w:r>
    </w:p>
    <w:p w14:paraId="37EFB0C1" w14:textId="77777777" w:rsidR="008A7E09" w:rsidRPr="00B47F10" w:rsidRDefault="008A7E09" w:rsidP="0062401B">
      <w:pPr>
        <w:spacing w:before="200" w:after="0"/>
        <w:rPr>
          <w:b/>
          <w:sz w:val="28"/>
          <w:szCs w:val="28"/>
          <w:lang w:val="en-US"/>
        </w:rPr>
      </w:pPr>
      <w:r w:rsidRPr="00B47F10">
        <w:rPr>
          <w:b/>
          <w:sz w:val="28"/>
          <w:szCs w:val="28"/>
          <w:lang w:val="en-US"/>
        </w:rPr>
        <w:t>Policy Scope</w:t>
      </w:r>
    </w:p>
    <w:p w14:paraId="015CA4CC" w14:textId="77777777" w:rsidR="008A7E09" w:rsidRPr="00B47F10" w:rsidRDefault="008A7E09" w:rsidP="00B47F10">
      <w:pPr>
        <w:pStyle w:val="ListParagraph"/>
        <w:tabs>
          <w:tab w:val="left" w:pos="1843"/>
        </w:tabs>
        <w:spacing w:line="240" w:lineRule="auto"/>
        <w:ind w:left="0"/>
        <w:jc w:val="both"/>
        <w:rPr>
          <w:rFonts w:cstheme="minorHAnsi"/>
          <w:sz w:val="28"/>
          <w:szCs w:val="28"/>
        </w:rPr>
      </w:pPr>
      <w:r w:rsidRPr="0096334F">
        <w:rPr>
          <w:rFonts w:cstheme="minorHAnsi"/>
        </w:rPr>
        <w:t xml:space="preserve">This policy applies to all applications for the award of Honorary Freeman of the Town of East </w:t>
      </w:r>
      <w:r w:rsidRPr="00B47F10">
        <w:rPr>
          <w:rFonts w:cstheme="minorHAnsi"/>
        </w:rPr>
        <w:t>Fremantle.</w:t>
      </w:r>
    </w:p>
    <w:p w14:paraId="5A2AE0ED" w14:textId="77777777" w:rsidR="008A7E09" w:rsidRPr="00B47F10" w:rsidRDefault="008A7E09" w:rsidP="00B47F10">
      <w:pPr>
        <w:spacing w:before="200" w:after="0"/>
        <w:jc w:val="both"/>
        <w:rPr>
          <w:b/>
          <w:sz w:val="28"/>
          <w:szCs w:val="28"/>
          <w:lang w:val="en-US"/>
        </w:rPr>
      </w:pPr>
      <w:r w:rsidRPr="00B47F10">
        <w:rPr>
          <w:b/>
          <w:sz w:val="28"/>
          <w:szCs w:val="28"/>
          <w:lang w:val="en-US"/>
        </w:rPr>
        <w:t xml:space="preserve">Policy </w:t>
      </w:r>
    </w:p>
    <w:p w14:paraId="3A03D47E" w14:textId="77777777" w:rsidR="008A7E09" w:rsidRPr="0096334F" w:rsidRDefault="008A7E09" w:rsidP="00B47F10">
      <w:pPr>
        <w:pStyle w:val="ListParagraph"/>
        <w:tabs>
          <w:tab w:val="left" w:pos="1843"/>
        </w:tabs>
        <w:spacing w:line="240" w:lineRule="auto"/>
        <w:ind w:left="0"/>
        <w:contextualSpacing w:val="0"/>
        <w:jc w:val="both"/>
        <w:rPr>
          <w:rFonts w:cstheme="minorHAnsi"/>
        </w:rPr>
      </w:pPr>
      <w:r w:rsidRPr="0096334F">
        <w:rPr>
          <w:rFonts w:cstheme="minorHAnsi"/>
        </w:rPr>
        <w:t>The status of Honorary Freeman of the Town is the Town of East Fremantle’s highest award.</w:t>
      </w:r>
    </w:p>
    <w:p w14:paraId="3FFBB666" w14:textId="77777777" w:rsidR="008A7E09" w:rsidRPr="0096334F" w:rsidRDefault="008A7E09" w:rsidP="00B47F10">
      <w:pPr>
        <w:pStyle w:val="ListParagraph"/>
        <w:tabs>
          <w:tab w:val="left" w:pos="1843"/>
        </w:tabs>
        <w:spacing w:line="240" w:lineRule="auto"/>
        <w:ind w:left="0"/>
        <w:contextualSpacing w:val="0"/>
        <w:jc w:val="both"/>
        <w:rPr>
          <w:rFonts w:cstheme="minorHAnsi"/>
        </w:rPr>
      </w:pPr>
      <w:r w:rsidRPr="0096334F">
        <w:rPr>
          <w:rFonts w:cstheme="minorHAnsi"/>
        </w:rPr>
        <w:t xml:space="preserve">Nominations for Freeman of the Town are to comply with Council’s Honorary Freeman of the Town procedures. </w:t>
      </w:r>
    </w:p>
    <w:p w14:paraId="36912B9D" w14:textId="77777777" w:rsidR="008A7E09" w:rsidRPr="0096334F" w:rsidRDefault="008A7E09" w:rsidP="00B47F10">
      <w:pPr>
        <w:pStyle w:val="ListParagraph"/>
        <w:tabs>
          <w:tab w:val="left" w:pos="1843"/>
        </w:tabs>
        <w:spacing w:line="240" w:lineRule="auto"/>
        <w:ind w:left="567" w:hanging="567"/>
        <w:contextualSpacing w:val="0"/>
        <w:jc w:val="both"/>
        <w:rPr>
          <w:rFonts w:cstheme="minorHAnsi"/>
        </w:rPr>
      </w:pPr>
      <w:r w:rsidRPr="0096334F">
        <w:rPr>
          <w:rFonts w:cstheme="minorHAnsi"/>
        </w:rPr>
        <w:t>An Honorary Freeman of the Town is to be invited to all civic functions of the Town.</w:t>
      </w:r>
    </w:p>
    <w:p w14:paraId="7A430797" w14:textId="77777777" w:rsidR="008A7E09" w:rsidRPr="0096334F" w:rsidRDefault="008A7E09" w:rsidP="00B47F10">
      <w:pPr>
        <w:pStyle w:val="ListParagraph"/>
        <w:tabs>
          <w:tab w:val="left" w:pos="1843"/>
        </w:tabs>
        <w:spacing w:line="240" w:lineRule="auto"/>
        <w:ind w:left="0"/>
        <w:contextualSpacing w:val="0"/>
        <w:jc w:val="both"/>
        <w:rPr>
          <w:rFonts w:cstheme="minorHAnsi"/>
        </w:rPr>
      </w:pPr>
      <w:r w:rsidRPr="0096334F">
        <w:rPr>
          <w:rFonts w:cstheme="minorHAnsi"/>
        </w:rPr>
        <w:t>An Honorary Freeman of the Town is to receive a special badge which identifies him/her as Freeman of the Town.</w:t>
      </w:r>
    </w:p>
    <w:p w14:paraId="788718B9" w14:textId="77777777" w:rsidR="008A7E09" w:rsidRPr="0096334F" w:rsidRDefault="008A7E09" w:rsidP="00B47F10">
      <w:pPr>
        <w:pStyle w:val="ListParagraph"/>
        <w:tabs>
          <w:tab w:val="left" w:pos="1843"/>
          <w:tab w:val="right" w:pos="9050"/>
        </w:tabs>
        <w:spacing w:line="240" w:lineRule="auto"/>
        <w:ind w:left="0"/>
        <w:contextualSpacing w:val="0"/>
        <w:jc w:val="both"/>
        <w:rPr>
          <w:rFonts w:cstheme="minorHAnsi"/>
          <w:u w:val="single"/>
        </w:rPr>
      </w:pPr>
      <w:r w:rsidRPr="0096334F">
        <w:rPr>
          <w:rFonts w:cstheme="minorHAnsi"/>
        </w:rPr>
        <w:t>Nominations are to be made in the strictest confidence without the knowledge of the nominee and Council is to consider the matter behind closed doors. No record of the nominee’s name is to be recorded in the Council or Committee minutes whether supported or not by Council.</w:t>
      </w:r>
      <w:r w:rsidRPr="0096334F">
        <w:rPr>
          <w:rFonts w:cstheme="minorHAnsi"/>
          <w:b/>
        </w:rPr>
        <w:t xml:space="preserve">  </w:t>
      </w:r>
      <w:r w:rsidRPr="0096334F">
        <w:rPr>
          <w:rFonts w:cstheme="minorHAnsi"/>
          <w:b/>
        </w:rPr>
        <w:tab/>
      </w:r>
    </w:p>
    <w:p w14:paraId="71CC6E8F" w14:textId="77777777" w:rsidR="008A7E09" w:rsidRDefault="00927E53" w:rsidP="00927E53">
      <w:pPr>
        <w:pStyle w:val="ListParagraph"/>
        <w:tabs>
          <w:tab w:val="left" w:pos="1843"/>
          <w:tab w:val="right" w:pos="9050"/>
        </w:tabs>
        <w:spacing w:line="240" w:lineRule="auto"/>
        <w:ind w:left="1560" w:hanging="1560"/>
        <w:jc w:val="both"/>
        <w:rPr>
          <w:rFonts w:cstheme="minorHAnsi"/>
          <w:b/>
        </w:rPr>
      </w:pPr>
      <w:r>
        <w:rPr>
          <w:rFonts w:cstheme="minorHAnsi"/>
          <w:b/>
        </w:rPr>
        <w:t>Attachment</w:t>
      </w:r>
    </w:p>
    <w:p w14:paraId="4ABA5FCE" w14:textId="77777777" w:rsidR="00927E53" w:rsidRPr="00927E53" w:rsidRDefault="00927E53" w:rsidP="00927E53">
      <w:pPr>
        <w:pStyle w:val="ListParagraph"/>
        <w:tabs>
          <w:tab w:val="left" w:pos="1843"/>
          <w:tab w:val="right" w:pos="9050"/>
        </w:tabs>
        <w:spacing w:line="240" w:lineRule="auto"/>
        <w:ind w:left="1560" w:hanging="1560"/>
        <w:jc w:val="both"/>
        <w:rPr>
          <w:rFonts w:cstheme="minorHAnsi"/>
        </w:rPr>
      </w:pPr>
      <w:r>
        <w:rPr>
          <w:rFonts w:cstheme="minorHAnsi"/>
        </w:rPr>
        <w:t>Freeman of the Town Procedure &amp; Application Form</w:t>
      </w:r>
    </w:p>
    <w:tbl>
      <w:tblPr>
        <w:tblStyle w:val="TableGrid"/>
        <w:tblW w:w="0" w:type="auto"/>
        <w:tblLook w:val="04A0" w:firstRow="1" w:lastRow="0" w:firstColumn="1" w:lastColumn="0" w:noHBand="0" w:noVBand="1"/>
      </w:tblPr>
      <w:tblGrid>
        <w:gridCol w:w="3057"/>
        <w:gridCol w:w="6005"/>
      </w:tblGrid>
      <w:tr w:rsidR="008A7E09" w:rsidRPr="0096334F" w14:paraId="7930E67D" w14:textId="77777777" w:rsidTr="004E6C98">
        <w:tc>
          <w:tcPr>
            <w:tcW w:w="3085" w:type="dxa"/>
          </w:tcPr>
          <w:p w14:paraId="6AFA456A" w14:textId="77777777" w:rsidR="008A7E09" w:rsidRPr="0096334F" w:rsidRDefault="008A7E09" w:rsidP="004E6C98">
            <w:pPr>
              <w:jc w:val="both"/>
              <w:rPr>
                <w:rFonts w:cstheme="minorHAnsi"/>
                <w:b/>
                <w:lang w:val="en-US"/>
              </w:rPr>
            </w:pPr>
            <w:r w:rsidRPr="0096334F">
              <w:rPr>
                <w:rFonts w:cstheme="minorHAnsi"/>
                <w:b/>
                <w:lang w:val="en-US"/>
              </w:rPr>
              <w:t>Responsible Directorate:</w:t>
            </w:r>
          </w:p>
        </w:tc>
        <w:tc>
          <w:tcPr>
            <w:tcW w:w="6157" w:type="dxa"/>
          </w:tcPr>
          <w:p w14:paraId="1E45DCB6" w14:textId="77777777" w:rsidR="008A7E09" w:rsidRPr="0096334F" w:rsidRDefault="008A7E09" w:rsidP="004E6C98">
            <w:pPr>
              <w:jc w:val="both"/>
              <w:rPr>
                <w:rFonts w:cstheme="minorHAnsi"/>
                <w:lang w:val="en-US"/>
              </w:rPr>
            </w:pPr>
            <w:r w:rsidRPr="0096334F">
              <w:rPr>
                <w:rFonts w:cstheme="minorHAnsi"/>
                <w:lang w:val="en-US"/>
              </w:rPr>
              <w:t>Office of the CEO</w:t>
            </w:r>
          </w:p>
        </w:tc>
      </w:tr>
      <w:tr w:rsidR="008A7E09" w:rsidRPr="0096334F" w14:paraId="6B61F9BE" w14:textId="77777777" w:rsidTr="004E6C98">
        <w:tc>
          <w:tcPr>
            <w:tcW w:w="3085" w:type="dxa"/>
          </w:tcPr>
          <w:p w14:paraId="64074856" w14:textId="77777777" w:rsidR="008A7E09" w:rsidRPr="0096334F" w:rsidRDefault="008A7E09" w:rsidP="004E6C98">
            <w:pPr>
              <w:jc w:val="both"/>
              <w:rPr>
                <w:rFonts w:cstheme="minorHAnsi"/>
                <w:b/>
                <w:lang w:val="en-US"/>
              </w:rPr>
            </w:pPr>
            <w:r w:rsidRPr="0096334F">
              <w:rPr>
                <w:rFonts w:cstheme="minorHAnsi"/>
                <w:b/>
                <w:lang w:val="en-US"/>
              </w:rPr>
              <w:t>Reviewing Officer:</w:t>
            </w:r>
          </w:p>
        </w:tc>
        <w:tc>
          <w:tcPr>
            <w:tcW w:w="6157" w:type="dxa"/>
          </w:tcPr>
          <w:p w14:paraId="066F000F" w14:textId="77777777" w:rsidR="008A7E09" w:rsidRPr="0096334F" w:rsidRDefault="008A7E09" w:rsidP="004E6C98">
            <w:pPr>
              <w:jc w:val="both"/>
              <w:rPr>
                <w:rFonts w:cstheme="minorHAnsi"/>
                <w:lang w:val="en-US"/>
              </w:rPr>
            </w:pPr>
            <w:r w:rsidRPr="0096334F">
              <w:rPr>
                <w:rFonts w:cstheme="minorHAnsi"/>
                <w:lang w:val="en-US"/>
              </w:rPr>
              <w:t>Chief Executive Officer</w:t>
            </w:r>
          </w:p>
        </w:tc>
      </w:tr>
      <w:tr w:rsidR="008A7E09" w:rsidRPr="0096334F" w14:paraId="765A848C" w14:textId="77777777" w:rsidTr="004E6C98">
        <w:tc>
          <w:tcPr>
            <w:tcW w:w="3085" w:type="dxa"/>
          </w:tcPr>
          <w:p w14:paraId="28B6D401" w14:textId="77777777" w:rsidR="008A7E09" w:rsidRPr="0096334F" w:rsidRDefault="008A7E09" w:rsidP="004E6C98">
            <w:pPr>
              <w:jc w:val="both"/>
              <w:rPr>
                <w:rFonts w:cstheme="minorHAnsi"/>
                <w:b/>
                <w:lang w:val="en-US"/>
              </w:rPr>
            </w:pPr>
            <w:r w:rsidRPr="0096334F">
              <w:rPr>
                <w:rFonts w:cstheme="minorHAnsi"/>
                <w:b/>
                <w:lang w:val="en-US"/>
              </w:rPr>
              <w:t>Decision making Authority:</w:t>
            </w:r>
          </w:p>
        </w:tc>
        <w:tc>
          <w:tcPr>
            <w:tcW w:w="6157" w:type="dxa"/>
          </w:tcPr>
          <w:p w14:paraId="08EFE616" w14:textId="77777777" w:rsidR="008A7E09" w:rsidRPr="0096334F" w:rsidRDefault="008A7E09" w:rsidP="004E6C98">
            <w:pPr>
              <w:jc w:val="both"/>
              <w:rPr>
                <w:rFonts w:cstheme="minorHAnsi"/>
                <w:lang w:val="en-US"/>
              </w:rPr>
            </w:pPr>
            <w:r w:rsidRPr="0096334F">
              <w:rPr>
                <w:rFonts w:cstheme="minorHAnsi"/>
                <w:lang w:val="en-US"/>
              </w:rPr>
              <w:t>Council</w:t>
            </w:r>
          </w:p>
        </w:tc>
      </w:tr>
      <w:tr w:rsidR="008A7E09" w:rsidRPr="0096334F" w14:paraId="15E956B0" w14:textId="77777777" w:rsidTr="004E6C98">
        <w:tc>
          <w:tcPr>
            <w:tcW w:w="3085" w:type="dxa"/>
          </w:tcPr>
          <w:p w14:paraId="099BF5A9" w14:textId="77777777" w:rsidR="008A7E09" w:rsidRPr="0096334F" w:rsidRDefault="008A7E09" w:rsidP="004E6C98">
            <w:pPr>
              <w:jc w:val="both"/>
              <w:rPr>
                <w:rFonts w:cstheme="minorHAnsi"/>
                <w:b/>
                <w:lang w:val="en-US"/>
              </w:rPr>
            </w:pPr>
            <w:r w:rsidRPr="0096334F">
              <w:rPr>
                <w:rFonts w:cstheme="minorHAnsi"/>
                <w:b/>
                <w:lang w:val="en-US"/>
              </w:rPr>
              <w:t>Policy Adopted:</w:t>
            </w:r>
          </w:p>
        </w:tc>
        <w:tc>
          <w:tcPr>
            <w:tcW w:w="6157" w:type="dxa"/>
          </w:tcPr>
          <w:p w14:paraId="3F2BFF2E" w14:textId="77777777" w:rsidR="008A7E09" w:rsidRPr="0096334F" w:rsidRDefault="008A7E09" w:rsidP="004E6C98">
            <w:pPr>
              <w:jc w:val="both"/>
              <w:rPr>
                <w:rFonts w:cstheme="minorHAnsi"/>
                <w:lang w:val="en-US"/>
              </w:rPr>
            </w:pPr>
            <w:r w:rsidRPr="0096334F">
              <w:rPr>
                <w:rFonts w:cstheme="minorHAnsi"/>
                <w:lang w:val="en-US"/>
              </w:rPr>
              <w:t>19/8/14</w:t>
            </w:r>
          </w:p>
        </w:tc>
      </w:tr>
      <w:tr w:rsidR="008A7E09" w:rsidRPr="0096334F" w14:paraId="3CEFDDF4" w14:textId="77777777" w:rsidTr="004E6C98">
        <w:tc>
          <w:tcPr>
            <w:tcW w:w="3085" w:type="dxa"/>
          </w:tcPr>
          <w:p w14:paraId="33AF62A6" w14:textId="77777777" w:rsidR="008A7E09" w:rsidRPr="0096334F" w:rsidRDefault="008A7E09" w:rsidP="004E6C98">
            <w:pPr>
              <w:jc w:val="both"/>
              <w:rPr>
                <w:rFonts w:cstheme="minorHAnsi"/>
                <w:b/>
                <w:lang w:val="en-US"/>
              </w:rPr>
            </w:pPr>
            <w:r w:rsidRPr="0096334F">
              <w:rPr>
                <w:rFonts w:cstheme="minorHAnsi"/>
                <w:b/>
                <w:lang w:val="en-US"/>
              </w:rPr>
              <w:t>Policy Amended/Reviewed:</w:t>
            </w:r>
          </w:p>
        </w:tc>
        <w:tc>
          <w:tcPr>
            <w:tcW w:w="6157" w:type="dxa"/>
          </w:tcPr>
          <w:p w14:paraId="6A68436F" w14:textId="77777777" w:rsidR="008A7E09" w:rsidRPr="0096334F" w:rsidRDefault="008A7E09" w:rsidP="004E6C98">
            <w:pPr>
              <w:jc w:val="both"/>
              <w:rPr>
                <w:rFonts w:cstheme="minorHAnsi"/>
                <w:lang w:val="en-US"/>
              </w:rPr>
            </w:pPr>
            <w:r w:rsidRPr="0096334F">
              <w:rPr>
                <w:rFonts w:cstheme="minorHAnsi"/>
                <w:lang w:val="en-US"/>
              </w:rPr>
              <w:t>21/7/15</w:t>
            </w:r>
            <w:r w:rsidR="000A5B09">
              <w:rPr>
                <w:rFonts w:cstheme="minorHAnsi"/>
                <w:lang w:val="en-US"/>
              </w:rPr>
              <w:t>, 17/9/19</w:t>
            </w:r>
          </w:p>
        </w:tc>
      </w:tr>
      <w:tr w:rsidR="008A7E09" w:rsidRPr="0096334F" w14:paraId="4260489E" w14:textId="77777777" w:rsidTr="004E6C98">
        <w:tc>
          <w:tcPr>
            <w:tcW w:w="3085" w:type="dxa"/>
          </w:tcPr>
          <w:p w14:paraId="5922B14E" w14:textId="77777777" w:rsidR="008A7E09" w:rsidRPr="0096334F" w:rsidRDefault="008A7E09" w:rsidP="004E6C98">
            <w:pPr>
              <w:jc w:val="both"/>
              <w:rPr>
                <w:rFonts w:cstheme="minorHAnsi"/>
                <w:b/>
                <w:lang w:val="en-US"/>
              </w:rPr>
            </w:pPr>
            <w:r>
              <w:rPr>
                <w:rFonts w:cstheme="minorHAnsi"/>
                <w:b/>
                <w:lang w:val="en-US"/>
              </w:rPr>
              <w:t>Former Policy No:</w:t>
            </w:r>
          </w:p>
        </w:tc>
        <w:tc>
          <w:tcPr>
            <w:tcW w:w="6157" w:type="dxa"/>
          </w:tcPr>
          <w:p w14:paraId="22F8EB1C" w14:textId="77777777" w:rsidR="008A7E09" w:rsidRPr="0096334F" w:rsidRDefault="008A7E09" w:rsidP="004E6C98">
            <w:pPr>
              <w:jc w:val="both"/>
              <w:rPr>
                <w:rFonts w:cstheme="minorHAnsi"/>
                <w:lang w:val="en-US"/>
              </w:rPr>
            </w:pPr>
            <w:r>
              <w:rPr>
                <w:rFonts w:cstheme="minorHAnsi"/>
                <w:lang w:val="en-US"/>
              </w:rPr>
              <w:t>1.1.1</w:t>
            </w:r>
          </w:p>
        </w:tc>
      </w:tr>
    </w:tbl>
    <w:p w14:paraId="02CEBF20" w14:textId="77777777" w:rsidR="008A7E09" w:rsidRPr="0096334F" w:rsidRDefault="008A7E09" w:rsidP="008A7E09">
      <w:pPr>
        <w:jc w:val="both"/>
        <w:rPr>
          <w:rFonts w:cstheme="minorHAnsi"/>
          <w:lang w:val="en-US"/>
        </w:rPr>
      </w:pPr>
    </w:p>
    <w:p w14:paraId="5086ED6A" w14:textId="77777777" w:rsidR="00063DD7" w:rsidRDefault="00063DD7">
      <w:pPr>
        <w:rPr>
          <w:rFonts w:cstheme="minorHAnsi"/>
          <w:lang w:val="en-US"/>
        </w:rPr>
      </w:pPr>
      <w:r>
        <w:rPr>
          <w:rFonts w:cstheme="minorHAnsi"/>
          <w:lang w:val="en-US"/>
        </w:rPr>
        <w:br w:type="page"/>
      </w:r>
    </w:p>
    <w:p w14:paraId="634EDD97" w14:textId="77777777" w:rsidR="00063DD7" w:rsidRDefault="00063DD7" w:rsidP="009579A8">
      <w:pPr>
        <w:jc w:val="right"/>
        <w:rPr>
          <w:spacing w:val="-1"/>
        </w:rPr>
      </w:pPr>
      <w:r w:rsidRPr="00456DE4">
        <w:rPr>
          <w:noProof/>
          <w:lang w:eastAsia="en-AU"/>
        </w:rPr>
        <w:lastRenderedPageBreak/>
        <w:drawing>
          <wp:inline distT="0" distB="0" distL="0" distR="0" wp14:anchorId="401FCB9A" wp14:editId="1ED298C8">
            <wp:extent cx="1161563" cy="466725"/>
            <wp:effectExtent l="0" t="0" r="635" b="0"/>
            <wp:docPr id="49" name="Picture 49"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CEO Admin\WORDDOCS\Logo\Town of East Fremantle_Logo_Landscape_Colour [HIGHRE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3912" cy="467669"/>
                    </a:xfrm>
                    <a:prstGeom prst="rect">
                      <a:avLst/>
                    </a:prstGeom>
                    <a:noFill/>
                    <a:ln>
                      <a:noFill/>
                    </a:ln>
                  </pic:spPr>
                </pic:pic>
              </a:graphicData>
            </a:graphic>
          </wp:inline>
        </w:drawing>
      </w:r>
    </w:p>
    <w:p w14:paraId="6397D1C7" w14:textId="77777777" w:rsidR="00063DD7" w:rsidRPr="009579A8" w:rsidRDefault="00063DD7" w:rsidP="009579A8">
      <w:pPr>
        <w:jc w:val="center"/>
        <w:rPr>
          <w:b/>
          <w:sz w:val="28"/>
          <w:szCs w:val="28"/>
          <w:lang w:val="en-US"/>
        </w:rPr>
      </w:pPr>
      <w:r w:rsidRPr="009579A8">
        <w:rPr>
          <w:b/>
          <w:sz w:val="28"/>
          <w:szCs w:val="28"/>
          <w:lang w:val="en-US"/>
        </w:rPr>
        <w:t>HONORARY FREEMAN OF THE TOWN OF EAST FREMANTLE PROCEDURE (PRO</w:t>
      </w:r>
      <w:r w:rsidR="00927E53" w:rsidRPr="009579A8">
        <w:rPr>
          <w:b/>
          <w:sz w:val="28"/>
          <w:szCs w:val="28"/>
          <w:lang w:val="en-US"/>
        </w:rPr>
        <w:t>1.1.5</w:t>
      </w:r>
      <w:r w:rsidRPr="009579A8">
        <w:rPr>
          <w:b/>
          <w:sz w:val="28"/>
          <w:szCs w:val="28"/>
          <w:lang w:val="en-US"/>
        </w:rPr>
        <w:t>)</w:t>
      </w:r>
    </w:p>
    <w:p w14:paraId="5257BD06" w14:textId="77777777" w:rsidR="00063DD7" w:rsidRDefault="00063DD7" w:rsidP="00063DD7">
      <w:pPr>
        <w:spacing w:before="240" w:after="0"/>
        <w:rPr>
          <w:b/>
          <w:lang w:val="en-US"/>
        </w:rPr>
      </w:pPr>
    </w:p>
    <w:p w14:paraId="0AFB6114" w14:textId="77777777" w:rsidR="00063DD7" w:rsidRPr="00063DD7" w:rsidRDefault="00063DD7" w:rsidP="00063DD7">
      <w:pPr>
        <w:spacing w:before="240" w:after="0"/>
        <w:rPr>
          <w:b/>
          <w:lang w:val="en-US"/>
        </w:rPr>
      </w:pPr>
      <w:r w:rsidRPr="00063DD7">
        <w:rPr>
          <w:b/>
          <w:lang w:val="en-US"/>
        </w:rPr>
        <w:t>Objective</w:t>
      </w:r>
    </w:p>
    <w:p w14:paraId="68C80432" w14:textId="77777777" w:rsidR="00063DD7" w:rsidRDefault="00063DD7" w:rsidP="00063DD7">
      <w:pPr>
        <w:rPr>
          <w:lang w:val="en-US"/>
        </w:rPr>
      </w:pPr>
      <w:r>
        <w:rPr>
          <w:lang w:val="en-US"/>
        </w:rPr>
        <w:t xml:space="preserve">The objective </w:t>
      </w:r>
      <w:r w:rsidRPr="00BC3CA2">
        <w:rPr>
          <w:lang w:val="en-US"/>
        </w:rPr>
        <w:t xml:space="preserve">of this </w:t>
      </w:r>
      <w:r>
        <w:rPr>
          <w:lang w:val="en-US"/>
        </w:rPr>
        <w:t>procedure</w:t>
      </w:r>
      <w:r w:rsidRPr="00BC3CA2">
        <w:rPr>
          <w:lang w:val="en-US"/>
        </w:rPr>
        <w:t xml:space="preserve"> </w:t>
      </w:r>
      <w:r>
        <w:rPr>
          <w:lang w:val="en-US"/>
        </w:rPr>
        <w:t>is</w:t>
      </w:r>
      <w:r w:rsidRPr="00BC3CA2">
        <w:rPr>
          <w:lang w:val="en-US"/>
        </w:rPr>
        <w:t xml:space="preserve"> to provide </w:t>
      </w:r>
      <w:r>
        <w:rPr>
          <w:lang w:val="en-US"/>
        </w:rPr>
        <w:t>guidelines for determining any nomination for Freeman of the Town.</w:t>
      </w:r>
    </w:p>
    <w:p w14:paraId="5C55DA63" w14:textId="77777777" w:rsidR="00063DD7" w:rsidRPr="00063DD7" w:rsidRDefault="00063DD7" w:rsidP="00063DD7">
      <w:pPr>
        <w:spacing w:after="0"/>
        <w:rPr>
          <w:b/>
          <w:lang w:val="en-US"/>
        </w:rPr>
      </w:pPr>
      <w:r w:rsidRPr="00063DD7">
        <w:rPr>
          <w:b/>
          <w:lang w:val="en-US"/>
        </w:rPr>
        <w:t xml:space="preserve">Procedure </w:t>
      </w:r>
    </w:p>
    <w:p w14:paraId="64A7FB34" w14:textId="77777777" w:rsidR="00063DD7" w:rsidRPr="0080358B" w:rsidRDefault="00063DD7" w:rsidP="00063DD7">
      <w:r w:rsidRPr="0080358B">
        <w:t xml:space="preserve">Nominations </w:t>
      </w:r>
      <w:r>
        <w:t>are to be lodged on the attached form with</w:t>
      </w:r>
      <w:r w:rsidRPr="0080358B">
        <w:t xml:space="preserve"> the Chief Executive Officer detailing the reasons why the person is worthy of the award and is to be signed by at least six members of the Council.  </w:t>
      </w:r>
    </w:p>
    <w:p w14:paraId="1B5CE1AB" w14:textId="77777777" w:rsidR="00063DD7" w:rsidRPr="0080358B" w:rsidRDefault="00063DD7" w:rsidP="00063DD7">
      <w:r>
        <w:t>The Chief Executive Officer is to</w:t>
      </w:r>
      <w:r w:rsidRPr="0080358B">
        <w:t xml:space="preserve"> consider nominations for the granting of the status of Honorary Freeman of the Town and make a recommendation to Council on the merit of the nomination.  </w:t>
      </w:r>
      <w:r w:rsidRPr="0080358B">
        <w:tab/>
      </w:r>
    </w:p>
    <w:p w14:paraId="554A268D" w14:textId="77777777" w:rsidR="00063DD7" w:rsidRPr="0080358B" w:rsidRDefault="00063DD7" w:rsidP="00063DD7">
      <w:r w:rsidRPr="0080358B">
        <w:t xml:space="preserve">The decision to make the award </w:t>
      </w:r>
      <w:r>
        <w:t>is to</w:t>
      </w:r>
      <w:r w:rsidRPr="0080358B">
        <w:t xml:space="preserve"> be supported by a Special Majority of the Council (75%).  </w:t>
      </w:r>
    </w:p>
    <w:p w14:paraId="18B5C95D" w14:textId="77777777" w:rsidR="00063DD7" w:rsidRDefault="00063DD7" w:rsidP="00063DD7">
      <w:pPr>
        <w:rPr>
          <w:rFonts w:cstheme="minorHAnsi"/>
          <w:lang w:val="en-US"/>
        </w:rPr>
      </w:pPr>
    </w:p>
    <w:p w14:paraId="10FABBF8" w14:textId="77777777" w:rsidR="00063DD7" w:rsidRDefault="00063DD7">
      <w:pPr>
        <w:rPr>
          <w:rFonts w:cstheme="minorHAnsi"/>
          <w:lang w:val="en-US"/>
        </w:rPr>
      </w:pPr>
      <w:r>
        <w:rPr>
          <w:rFonts w:cstheme="minorHAnsi"/>
          <w:lang w:val="en-US"/>
        </w:rPr>
        <w:br w:type="page"/>
      </w:r>
    </w:p>
    <w:p w14:paraId="7E09E1FF" w14:textId="77777777" w:rsidR="00063DD7" w:rsidRDefault="00063DD7" w:rsidP="00063DD7">
      <w:pPr>
        <w:jc w:val="right"/>
        <w:rPr>
          <w:rFonts w:ascii="Arial Rounded MT Bold" w:hAnsi="Arial Rounded MT Bold"/>
          <w:sz w:val="36"/>
          <w:szCs w:val="36"/>
        </w:rPr>
      </w:pPr>
      <w:r w:rsidRPr="00456DE4">
        <w:rPr>
          <w:noProof/>
          <w:lang w:eastAsia="en-AU"/>
        </w:rPr>
        <w:lastRenderedPageBreak/>
        <w:drawing>
          <wp:inline distT="0" distB="0" distL="0" distR="0" wp14:anchorId="103BEF3A" wp14:editId="66552AE2">
            <wp:extent cx="1161563" cy="466725"/>
            <wp:effectExtent l="0" t="0" r="635" b="0"/>
            <wp:docPr id="50" name="Picture 50"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CEO Admin\WORDDOCS\Logo\Town of East Fremantle_Logo_Landscape_Colour [HIGHRE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3912" cy="467669"/>
                    </a:xfrm>
                    <a:prstGeom prst="rect">
                      <a:avLst/>
                    </a:prstGeom>
                    <a:noFill/>
                    <a:ln>
                      <a:noFill/>
                    </a:ln>
                  </pic:spPr>
                </pic:pic>
              </a:graphicData>
            </a:graphic>
          </wp:inline>
        </w:drawing>
      </w:r>
    </w:p>
    <w:p w14:paraId="5C2FE9B9" w14:textId="77777777" w:rsidR="00063DD7" w:rsidRPr="00BE3CB7" w:rsidRDefault="00063DD7" w:rsidP="00703158">
      <w:pPr>
        <w:spacing w:before="480" w:after="0"/>
        <w:jc w:val="center"/>
        <w:rPr>
          <w:rFonts w:ascii="Arial Rounded MT Bold" w:hAnsi="Arial Rounded MT Bold"/>
          <w:sz w:val="36"/>
          <w:szCs w:val="36"/>
        </w:rPr>
      </w:pPr>
      <w:r w:rsidRPr="00703158">
        <w:rPr>
          <w:rFonts w:ascii="Arial Rounded MT Bold" w:hAnsi="Arial Rounded MT Bold"/>
          <w:sz w:val="32"/>
          <w:szCs w:val="36"/>
        </w:rPr>
        <w:t>Nomination - Honorary Freeman</w:t>
      </w:r>
    </w:p>
    <w:p w14:paraId="3526423D" w14:textId="77777777" w:rsidR="00063DD7" w:rsidRDefault="00063DD7" w:rsidP="00063DD7">
      <w:pPr>
        <w:rPr>
          <w:sz w:val="28"/>
          <w:szCs w:val="28"/>
        </w:rPr>
      </w:pPr>
    </w:p>
    <w:p w14:paraId="17C7E472" w14:textId="77777777" w:rsidR="00063DD7" w:rsidRPr="00063DD7" w:rsidRDefault="00063DD7" w:rsidP="00063DD7">
      <w:pPr>
        <w:spacing w:after="120"/>
        <w:rPr>
          <w:sz w:val="26"/>
          <w:szCs w:val="28"/>
        </w:rPr>
      </w:pPr>
      <w:r w:rsidRPr="00063DD7">
        <w:rPr>
          <w:sz w:val="26"/>
          <w:szCs w:val="28"/>
        </w:rPr>
        <w:t>Name of Person Nominated for consideration:</w:t>
      </w:r>
    </w:p>
    <w:p w14:paraId="6A93AB6C" w14:textId="77777777" w:rsidR="00063DD7" w:rsidRPr="00063DD7" w:rsidRDefault="00063DD7" w:rsidP="00063DD7">
      <w:pPr>
        <w:spacing w:before="480"/>
        <w:rPr>
          <w:sz w:val="26"/>
          <w:szCs w:val="28"/>
        </w:rPr>
      </w:pPr>
      <w:r w:rsidRPr="00063DD7">
        <w:rPr>
          <w:sz w:val="26"/>
          <w:szCs w:val="28"/>
        </w:rPr>
        <w:t>_______________________________________</w:t>
      </w:r>
    </w:p>
    <w:p w14:paraId="3E244F69" w14:textId="77777777" w:rsidR="00063DD7" w:rsidRPr="00063DD7" w:rsidRDefault="00063DD7" w:rsidP="00063DD7">
      <w:pPr>
        <w:spacing w:before="360"/>
        <w:rPr>
          <w:sz w:val="26"/>
          <w:szCs w:val="28"/>
        </w:rPr>
      </w:pPr>
      <w:r w:rsidRPr="00063DD7">
        <w:rPr>
          <w:sz w:val="26"/>
          <w:szCs w:val="28"/>
        </w:rPr>
        <w:t>Please complete in detail:</w:t>
      </w:r>
    </w:p>
    <w:tbl>
      <w:tblPr>
        <w:tblStyle w:val="TableGrid"/>
        <w:tblW w:w="0" w:type="auto"/>
        <w:tblLook w:val="04A0" w:firstRow="1" w:lastRow="0" w:firstColumn="1" w:lastColumn="0" w:noHBand="0" w:noVBand="1"/>
      </w:tblPr>
      <w:tblGrid>
        <w:gridCol w:w="530"/>
        <w:gridCol w:w="8486"/>
      </w:tblGrid>
      <w:tr w:rsidR="00063DD7" w14:paraId="7B5A566C" w14:textId="77777777" w:rsidTr="00703158">
        <w:tc>
          <w:tcPr>
            <w:tcW w:w="530" w:type="dxa"/>
          </w:tcPr>
          <w:p w14:paraId="12074EAE" w14:textId="77777777" w:rsidR="00063DD7" w:rsidRPr="00063DD7" w:rsidRDefault="00063DD7" w:rsidP="008F4A30">
            <w:pPr>
              <w:rPr>
                <w:color w:val="365F91" w:themeColor="accent1" w:themeShade="BF"/>
                <w:sz w:val="26"/>
                <w:szCs w:val="28"/>
              </w:rPr>
            </w:pPr>
            <w:r w:rsidRPr="00063DD7">
              <w:rPr>
                <w:color w:val="365F91" w:themeColor="accent1" w:themeShade="BF"/>
                <w:sz w:val="26"/>
                <w:szCs w:val="28"/>
              </w:rPr>
              <w:t>1.</w:t>
            </w:r>
          </w:p>
        </w:tc>
        <w:tc>
          <w:tcPr>
            <w:tcW w:w="8486" w:type="dxa"/>
          </w:tcPr>
          <w:p w14:paraId="3D623364" w14:textId="77777777" w:rsidR="00063DD7" w:rsidRPr="00063DD7" w:rsidRDefault="00063DD7" w:rsidP="008F4A30">
            <w:pPr>
              <w:rPr>
                <w:color w:val="365F91" w:themeColor="accent1" w:themeShade="BF"/>
                <w:sz w:val="26"/>
                <w:szCs w:val="28"/>
              </w:rPr>
            </w:pPr>
            <w:r w:rsidRPr="00063DD7">
              <w:rPr>
                <w:color w:val="365F91" w:themeColor="accent1" w:themeShade="BF"/>
                <w:sz w:val="26"/>
                <w:szCs w:val="28"/>
              </w:rPr>
              <w:t>Length of service in a field (or fields) of activity:</w:t>
            </w:r>
          </w:p>
        </w:tc>
      </w:tr>
      <w:tr w:rsidR="00063DD7" w14:paraId="7BE43879" w14:textId="77777777" w:rsidTr="00703158">
        <w:tc>
          <w:tcPr>
            <w:tcW w:w="9016" w:type="dxa"/>
            <w:gridSpan w:val="2"/>
          </w:tcPr>
          <w:p w14:paraId="53B257EE" w14:textId="77777777" w:rsidR="00063DD7" w:rsidRDefault="00063DD7" w:rsidP="008F4A30">
            <w:pPr>
              <w:spacing w:before="120"/>
              <w:rPr>
                <w:sz w:val="28"/>
                <w:szCs w:val="28"/>
              </w:rPr>
            </w:pPr>
          </w:p>
        </w:tc>
      </w:tr>
      <w:tr w:rsidR="00063DD7" w14:paraId="1EEAF4BF" w14:textId="77777777" w:rsidTr="00703158">
        <w:tc>
          <w:tcPr>
            <w:tcW w:w="9016" w:type="dxa"/>
            <w:gridSpan w:val="2"/>
          </w:tcPr>
          <w:p w14:paraId="7D577330" w14:textId="77777777" w:rsidR="00063DD7" w:rsidRDefault="00063DD7" w:rsidP="008F4A30">
            <w:pPr>
              <w:spacing w:before="120"/>
              <w:rPr>
                <w:sz w:val="28"/>
                <w:szCs w:val="28"/>
              </w:rPr>
            </w:pPr>
          </w:p>
        </w:tc>
      </w:tr>
      <w:tr w:rsidR="00063DD7" w14:paraId="65F43732" w14:textId="77777777" w:rsidTr="00703158">
        <w:tc>
          <w:tcPr>
            <w:tcW w:w="9016" w:type="dxa"/>
            <w:gridSpan w:val="2"/>
          </w:tcPr>
          <w:p w14:paraId="36BC040D" w14:textId="77777777" w:rsidR="00063DD7" w:rsidRDefault="00063DD7" w:rsidP="008F4A30">
            <w:pPr>
              <w:spacing w:before="120"/>
              <w:rPr>
                <w:sz w:val="28"/>
                <w:szCs w:val="28"/>
              </w:rPr>
            </w:pPr>
          </w:p>
        </w:tc>
      </w:tr>
      <w:tr w:rsidR="00063DD7" w14:paraId="5953D99A" w14:textId="77777777" w:rsidTr="00703158">
        <w:tc>
          <w:tcPr>
            <w:tcW w:w="9016" w:type="dxa"/>
            <w:gridSpan w:val="2"/>
          </w:tcPr>
          <w:p w14:paraId="64F65626" w14:textId="77777777" w:rsidR="00063DD7" w:rsidRDefault="00063DD7" w:rsidP="008F4A30">
            <w:pPr>
              <w:spacing w:before="120"/>
              <w:rPr>
                <w:sz w:val="28"/>
                <w:szCs w:val="28"/>
              </w:rPr>
            </w:pPr>
          </w:p>
        </w:tc>
      </w:tr>
      <w:tr w:rsidR="00063DD7" w14:paraId="402DCB23" w14:textId="77777777" w:rsidTr="00703158">
        <w:tc>
          <w:tcPr>
            <w:tcW w:w="9016" w:type="dxa"/>
            <w:gridSpan w:val="2"/>
          </w:tcPr>
          <w:p w14:paraId="00CFD512" w14:textId="77777777" w:rsidR="00063DD7" w:rsidRDefault="00063DD7" w:rsidP="008F4A30">
            <w:pPr>
              <w:spacing w:before="120"/>
              <w:rPr>
                <w:sz w:val="28"/>
                <w:szCs w:val="28"/>
              </w:rPr>
            </w:pPr>
          </w:p>
        </w:tc>
      </w:tr>
      <w:tr w:rsidR="00063DD7" w14:paraId="49F6460B" w14:textId="77777777" w:rsidTr="00703158">
        <w:tc>
          <w:tcPr>
            <w:tcW w:w="530" w:type="dxa"/>
          </w:tcPr>
          <w:p w14:paraId="37D6CF04" w14:textId="77777777" w:rsidR="00063DD7" w:rsidRPr="00063DD7" w:rsidRDefault="00063DD7" w:rsidP="008F4A30">
            <w:pPr>
              <w:rPr>
                <w:color w:val="365F91" w:themeColor="accent1" w:themeShade="BF"/>
                <w:sz w:val="26"/>
                <w:szCs w:val="28"/>
              </w:rPr>
            </w:pPr>
            <w:r w:rsidRPr="00063DD7">
              <w:rPr>
                <w:color w:val="365F91" w:themeColor="accent1" w:themeShade="BF"/>
                <w:sz w:val="26"/>
                <w:szCs w:val="28"/>
              </w:rPr>
              <w:t>2.</w:t>
            </w:r>
          </w:p>
        </w:tc>
        <w:tc>
          <w:tcPr>
            <w:tcW w:w="8486" w:type="dxa"/>
          </w:tcPr>
          <w:p w14:paraId="46D08E77" w14:textId="77777777" w:rsidR="00063DD7" w:rsidRPr="00063DD7" w:rsidRDefault="00063DD7" w:rsidP="008F4A30">
            <w:pPr>
              <w:rPr>
                <w:color w:val="365F91" w:themeColor="accent1" w:themeShade="BF"/>
                <w:sz w:val="26"/>
                <w:szCs w:val="28"/>
              </w:rPr>
            </w:pPr>
            <w:r w:rsidRPr="00063DD7">
              <w:rPr>
                <w:color w:val="365F91" w:themeColor="accent1" w:themeShade="BF"/>
                <w:sz w:val="26"/>
                <w:szCs w:val="28"/>
              </w:rPr>
              <w:t>Level of commitment to the field (or fields) of activity</w:t>
            </w:r>
          </w:p>
        </w:tc>
      </w:tr>
      <w:tr w:rsidR="00063DD7" w14:paraId="35307296" w14:textId="77777777" w:rsidTr="00703158">
        <w:tc>
          <w:tcPr>
            <w:tcW w:w="9016" w:type="dxa"/>
            <w:gridSpan w:val="2"/>
          </w:tcPr>
          <w:p w14:paraId="07E9F389" w14:textId="77777777" w:rsidR="00063DD7" w:rsidRDefault="00063DD7" w:rsidP="008F4A30">
            <w:pPr>
              <w:spacing w:before="120"/>
              <w:rPr>
                <w:sz w:val="28"/>
                <w:szCs w:val="28"/>
              </w:rPr>
            </w:pPr>
          </w:p>
        </w:tc>
      </w:tr>
      <w:tr w:rsidR="00063DD7" w14:paraId="4997E031" w14:textId="77777777" w:rsidTr="00703158">
        <w:tc>
          <w:tcPr>
            <w:tcW w:w="9016" w:type="dxa"/>
            <w:gridSpan w:val="2"/>
          </w:tcPr>
          <w:p w14:paraId="1EA8B797" w14:textId="77777777" w:rsidR="00063DD7" w:rsidRDefault="00063DD7" w:rsidP="008F4A30">
            <w:pPr>
              <w:spacing w:before="120"/>
              <w:rPr>
                <w:sz w:val="28"/>
                <w:szCs w:val="28"/>
              </w:rPr>
            </w:pPr>
          </w:p>
        </w:tc>
      </w:tr>
      <w:tr w:rsidR="00063DD7" w14:paraId="77662902" w14:textId="77777777" w:rsidTr="00703158">
        <w:tc>
          <w:tcPr>
            <w:tcW w:w="9016" w:type="dxa"/>
            <w:gridSpan w:val="2"/>
          </w:tcPr>
          <w:p w14:paraId="62808473" w14:textId="77777777" w:rsidR="00063DD7" w:rsidRDefault="00063DD7" w:rsidP="008F4A30">
            <w:pPr>
              <w:spacing w:before="120"/>
              <w:rPr>
                <w:sz w:val="28"/>
                <w:szCs w:val="28"/>
              </w:rPr>
            </w:pPr>
          </w:p>
        </w:tc>
      </w:tr>
      <w:tr w:rsidR="00063DD7" w14:paraId="2A2D1031" w14:textId="77777777" w:rsidTr="00703158">
        <w:tc>
          <w:tcPr>
            <w:tcW w:w="9016" w:type="dxa"/>
            <w:gridSpan w:val="2"/>
          </w:tcPr>
          <w:p w14:paraId="25402DE2" w14:textId="77777777" w:rsidR="00063DD7" w:rsidRDefault="00063DD7" w:rsidP="008F4A30">
            <w:pPr>
              <w:spacing w:before="120"/>
              <w:rPr>
                <w:sz w:val="28"/>
                <w:szCs w:val="28"/>
              </w:rPr>
            </w:pPr>
          </w:p>
        </w:tc>
      </w:tr>
      <w:tr w:rsidR="00063DD7" w14:paraId="42C7A431" w14:textId="77777777" w:rsidTr="00703158">
        <w:tc>
          <w:tcPr>
            <w:tcW w:w="9016" w:type="dxa"/>
            <w:gridSpan w:val="2"/>
          </w:tcPr>
          <w:p w14:paraId="1DD30085" w14:textId="77777777" w:rsidR="00063DD7" w:rsidRDefault="00063DD7" w:rsidP="008F4A30">
            <w:pPr>
              <w:spacing w:before="120"/>
              <w:rPr>
                <w:sz w:val="28"/>
                <w:szCs w:val="28"/>
              </w:rPr>
            </w:pPr>
          </w:p>
        </w:tc>
      </w:tr>
      <w:tr w:rsidR="00063DD7" w14:paraId="1D47B0C4" w14:textId="77777777" w:rsidTr="00703158">
        <w:tc>
          <w:tcPr>
            <w:tcW w:w="9016" w:type="dxa"/>
            <w:gridSpan w:val="2"/>
          </w:tcPr>
          <w:p w14:paraId="7FF2B647" w14:textId="77777777" w:rsidR="00063DD7" w:rsidRDefault="00063DD7" w:rsidP="008F4A30">
            <w:pPr>
              <w:spacing w:before="120"/>
              <w:rPr>
                <w:sz w:val="28"/>
                <w:szCs w:val="28"/>
              </w:rPr>
            </w:pPr>
          </w:p>
        </w:tc>
      </w:tr>
      <w:tr w:rsidR="00063DD7" w14:paraId="7265DE1B" w14:textId="77777777" w:rsidTr="00703158">
        <w:tc>
          <w:tcPr>
            <w:tcW w:w="9016" w:type="dxa"/>
            <w:gridSpan w:val="2"/>
          </w:tcPr>
          <w:p w14:paraId="62550320" w14:textId="77777777" w:rsidR="00063DD7" w:rsidRDefault="00063DD7" w:rsidP="008F4A30">
            <w:pPr>
              <w:spacing w:before="120"/>
              <w:rPr>
                <w:sz w:val="28"/>
                <w:szCs w:val="28"/>
              </w:rPr>
            </w:pPr>
          </w:p>
        </w:tc>
      </w:tr>
      <w:tr w:rsidR="00063DD7" w14:paraId="40576CD6" w14:textId="77777777" w:rsidTr="00703158">
        <w:tc>
          <w:tcPr>
            <w:tcW w:w="530" w:type="dxa"/>
          </w:tcPr>
          <w:p w14:paraId="490698D6" w14:textId="77777777" w:rsidR="00063DD7" w:rsidRPr="00063DD7" w:rsidRDefault="00063DD7" w:rsidP="008F4A30">
            <w:pPr>
              <w:rPr>
                <w:color w:val="365F91" w:themeColor="accent1" w:themeShade="BF"/>
                <w:sz w:val="26"/>
                <w:szCs w:val="28"/>
              </w:rPr>
            </w:pPr>
            <w:r w:rsidRPr="00063DD7">
              <w:rPr>
                <w:color w:val="365F91" w:themeColor="accent1" w:themeShade="BF"/>
                <w:sz w:val="26"/>
                <w:szCs w:val="28"/>
              </w:rPr>
              <w:t>3.</w:t>
            </w:r>
          </w:p>
        </w:tc>
        <w:tc>
          <w:tcPr>
            <w:tcW w:w="8486" w:type="dxa"/>
          </w:tcPr>
          <w:p w14:paraId="1D221A4B" w14:textId="77777777" w:rsidR="00063DD7" w:rsidRPr="00063DD7" w:rsidRDefault="00063DD7" w:rsidP="008F4A30">
            <w:pPr>
              <w:rPr>
                <w:color w:val="365F91" w:themeColor="accent1" w:themeShade="BF"/>
                <w:sz w:val="26"/>
                <w:szCs w:val="28"/>
              </w:rPr>
            </w:pPr>
            <w:r w:rsidRPr="00063DD7">
              <w:rPr>
                <w:color w:val="365F91" w:themeColor="accent1" w:themeShade="BF"/>
                <w:sz w:val="26"/>
                <w:szCs w:val="28"/>
              </w:rPr>
              <w:t>Personal leadership qualities</w:t>
            </w:r>
          </w:p>
        </w:tc>
      </w:tr>
      <w:tr w:rsidR="00063DD7" w14:paraId="4A7C7C5E" w14:textId="77777777" w:rsidTr="00703158">
        <w:tc>
          <w:tcPr>
            <w:tcW w:w="9016" w:type="dxa"/>
            <w:gridSpan w:val="2"/>
          </w:tcPr>
          <w:p w14:paraId="74F7336B" w14:textId="77777777" w:rsidR="00063DD7" w:rsidRDefault="00063DD7" w:rsidP="008F4A30">
            <w:pPr>
              <w:spacing w:before="120"/>
              <w:rPr>
                <w:sz w:val="28"/>
                <w:szCs w:val="28"/>
              </w:rPr>
            </w:pPr>
          </w:p>
        </w:tc>
      </w:tr>
      <w:tr w:rsidR="00063DD7" w14:paraId="5AD5E98C" w14:textId="77777777" w:rsidTr="00703158">
        <w:tc>
          <w:tcPr>
            <w:tcW w:w="9016" w:type="dxa"/>
            <w:gridSpan w:val="2"/>
          </w:tcPr>
          <w:p w14:paraId="24BBFC97" w14:textId="77777777" w:rsidR="00063DD7" w:rsidRDefault="00063DD7" w:rsidP="008F4A30">
            <w:pPr>
              <w:spacing w:before="120"/>
              <w:rPr>
                <w:sz w:val="28"/>
                <w:szCs w:val="28"/>
              </w:rPr>
            </w:pPr>
          </w:p>
        </w:tc>
      </w:tr>
      <w:tr w:rsidR="00063DD7" w14:paraId="12A0512B" w14:textId="77777777" w:rsidTr="00703158">
        <w:tc>
          <w:tcPr>
            <w:tcW w:w="9016" w:type="dxa"/>
            <w:gridSpan w:val="2"/>
          </w:tcPr>
          <w:p w14:paraId="5B6D7EA4" w14:textId="77777777" w:rsidR="00063DD7" w:rsidRDefault="00063DD7" w:rsidP="008F4A30">
            <w:pPr>
              <w:spacing w:before="120"/>
              <w:rPr>
                <w:sz w:val="28"/>
                <w:szCs w:val="28"/>
              </w:rPr>
            </w:pPr>
          </w:p>
        </w:tc>
      </w:tr>
      <w:tr w:rsidR="00063DD7" w14:paraId="329A217B" w14:textId="77777777" w:rsidTr="00703158">
        <w:tc>
          <w:tcPr>
            <w:tcW w:w="9016" w:type="dxa"/>
            <w:gridSpan w:val="2"/>
          </w:tcPr>
          <w:p w14:paraId="2B568E34" w14:textId="77777777" w:rsidR="00063DD7" w:rsidRDefault="00063DD7" w:rsidP="008F4A30">
            <w:pPr>
              <w:spacing w:before="120"/>
              <w:rPr>
                <w:sz w:val="28"/>
                <w:szCs w:val="28"/>
              </w:rPr>
            </w:pPr>
          </w:p>
        </w:tc>
      </w:tr>
      <w:tr w:rsidR="00063DD7" w14:paraId="3C1C538C" w14:textId="77777777" w:rsidTr="00703158">
        <w:tc>
          <w:tcPr>
            <w:tcW w:w="9016" w:type="dxa"/>
            <w:gridSpan w:val="2"/>
          </w:tcPr>
          <w:p w14:paraId="5E033530" w14:textId="77777777" w:rsidR="00063DD7" w:rsidRDefault="00063DD7" w:rsidP="008F4A30">
            <w:pPr>
              <w:spacing w:before="120"/>
              <w:rPr>
                <w:sz w:val="28"/>
                <w:szCs w:val="28"/>
              </w:rPr>
            </w:pPr>
          </w:p>
        </w:tc>
      </w:tr>
      <w:tr w:rsidR="00063DD7" w14:paraId="0103FB05" w14:textId="77777777" w:rsidTr="00703158">
        <w:tc>
          <w:tcPr>
            <w:tcW w:w="9016" w:type="dxa"/>
            <w:gridSpan w:val="2"/>
          </w:tcPr>
          <w:p w14:paraId="25BDE4EC" w14:textId="77777777" w:rsidR="00063DD7" w:rsidRDefault="00063DD7" w:rsidP="008F4A30">
            <w:pPr>
              <w:spacing w:before="120"/>
              <w:rPr>
                <w:sz w:val="28"/>
                <w:szCs w:val="28"/>
              </w:rPr>
            </w:pPr>
          </w:p>
        </w:tc>
      </w:tr>
      <w:tr w:rsidR="00063DD7" w14:paraId="6D70C074" w14:textId="77777777" w:rsidTr="00703158">
        <w:tc>
          <w:tcPr>
            <w:tcW w:w="9016" w:type="dxa"/>
            <w:gridSpan w:val="2"/>
          </w:tcPr>
          <w:p w14:paraId="10C194A9" w14:textId="77777777" w:rsidR="00063DD7" w:rsidRDefault="00063DD7" w:rsidP="008F4A30">
            <w:pPr>
              <w:spacing w:before="120"/>
              <w:rPr>
                <w:sz w:val="28"/>
                <w:szCs w:val="28"/>
              </w:rPr>
            </w:pPr>
          </w:p>
        </w:tc>
      </w:tr>
      <w:tr w:rsidR="00063DD7" w14:paraId="1679ABCC" w14:textId="77777777" w:rsidTr="00703158">
        <w:tc>
          <w:tcPr>
            <w:tcW w:w="530" w:type="dxa"/>
          </w:tcPr>
          <w:p w14:paraId="19941C2A" w14:textId="77777777" w:rsidR="00063DD7" w:rsidRPr="00BE3CB7" w:rsidRDefault="00063DD7" w:rsidP="008F4A30">
            <w:pPr>
              <w:rPr>
                <w:color w:val="365F91" w:themeColor="accent1" w:themeShade="BF"/>
                <w:sz w:val="28"/>
                <w:szCs w:val="28"/>
              </w:rPr>
            </w:pPr>
            <w:r w:rsidRPr="00063DD7">
              <w:rPr>
                <w:color w:val="365F91" w:themeColor="accent1" w:themeShade="BF"/>
                <w:sz w:val="26"/>
                <w:szCs w:val="28"/>
              </w:rPr>
              <w:lastRenderedPageBreak/>
              <w:t>4.</w:t>
            </w:r>
          </w:p>
        </w:tc>
        <w:tc>
          <w:tcPr>
            <w:tcW w:w="8486" w:type="dxa"/>
          </w:tcPr>
          <w:p w14:paraId="6209366C" w14:textId="77777777" w:rsidR="00063DD7" w:rsidRPr="00BE3CB7" w:rsidRDefault="00063DD7" w:rsidP="008F4A30">
            <w:pPr>
              <w:rPr>
                <w:color w:val="365F91" w:themeColor="accent1" w:themeShade="BF"/>
                <w:sz w:val="28"/>
                <w:szCs w:val="28"/>
              </w:rPr>
            </w:pPr>
            <w:r w:rsidRPr="00BE3CB7">
              <w:rPr>
                <w:color w:val="365F91" w:themeColor="accent1" w:themeShade="BF"/>
                <w:sz w:val="28"/>
                <w:szCs w:val="28"/>
              </w:rPr>
              <w:t>any benefits to the community of the Town of East Fremantle and include more broadly, to the state of Western Australia or to the nation resulting from the nominee’s work</w:t>
            </w:r>
          </w:p>
        </w:tc>
      </w:tr>
      <w:tr w:rsidR="00063DD7" w14:paraId="7532D0E7" w14:textId="77777777" w:rsidTr="00703158">
        <w:tc>
          <w:tcPr>
            <w:tcW w:w="9016" w:type="dxa"/>
            <w:gridSpan w:val="2"/>
          </w:tcPr>
          <w:p w14:paraId="54C06D6D" w14:textId="77777777" w:rsidR="00063DD7" w:rsidRDefault="00063DD7" w:rsidP="008F4A30">
            <w:pPr>
              <w:spacing w:before="120"/>
              <w:rPr>
                <w:sz w:val="28"/>
                <w:szCs w:val="28"/>
              </w:rPr>
            </w:pPr>
          </w:p>
        </w:tc>
      </w:tr>
      <w:tr w:rsidR="00063DD7" w14:paraId="41535A88" w14:textId="77777777" w:rsidTr="00703158">
        <w:tc>
          <w:tcPr>
            <w:tcW w:w="9016" w:type="dxa"/>
            <w:gridSpan w:val="2"/>
          </w:tcPr>
          <w:p w14:paraId="398513BF" w14:textId="77777777" w:rsidR="00063DD7" w:rsidRDefault="00063DD7" w:rsidP="008F4A30">
            <w:pPr>
              <w:spacing w:before="120"/>
              <w:rPr>
                <w:sz w:val="28"/>
                <w:szCs w:val="28"/>
              </w:rPr>
            </w:pPr>
          </w:p>
        </w:tc>
      </w:tr>
      <w:tr w:rsidR="00063DD7" w14:paraId="5EB47CB9" w14:textId="77777777" w:rsidTr="00703158">
        <w:tc>
          <w:tcPr>
            <w:tcW w:w="9016" w:type="dxa"/>
            <w:gridSpan w:val="2"/>
          </w:tcPr>
          <w:p w14:paraId="35C4EC92" w14:textId="77777777" w:rsidR="00063DD7" w:rsidRDefault="00063DD7" w:rsidP="008F4A30">
            <w:pPr>
              <w:spacing w:before="120"/>
              <w:rPr>
                <w:sz w:val="28"/>
                <w:szCs w:val="28"/>
              </w:rPr>
            </w:pPr>
          </w:p>
        </w:tc>
      </w:tr>
      <w:tr w:rsidR="00063DD7" w14:paraId="1D9D4402" w14:textId="77777777" w:rsidTr="00703158">
        <w:tc>
          <w:tcPr>
            <w:tcW w:w="9016" w:type="dxa"/>
            <w:gridSpan w:val="2"/>
          </w:tcPr>
          <w:p w14:paraId="4D219D52" w14:textId="77777777" w:rsidR="00063DD7" w:rsidRDefault="00063DD7" w:rsidP="008F4A30">
            <w:pPr>
              <w:spacing w:before="120"/>
              <w:rPr>
                <w:sz w:val="28"/>
                <w:szCs w:val="28"/>
              </w:rPr>
            </w:pPr>
          </w:p>
        </w:tc>
      </w:tr>
      <w:tr w:rsidR="00063DD7" w14:paraId="771F822B" w14:textId="77777777" w:rsidTr="00703158">
        <w:tc>
          <w:tcPr>
            <w:tcW w:w="9016" w:type="dxa"/>
            <w:gridSpan w:val="2"/>
          </w:tcPr>
          <w:p w14:paraId="3546C5D0" w14:textId="77777777" w:rsidR="00063DD7" w:rsidRDefault="00063DD7" w:rsidP="008F4A30">
            <w:pPr>
              <w:spacing w:before="120"/>
              <w:rPr>
                <w:sz w:val="28"/>
                <w:szCs w:val="28"/>
              </w:rPr>
            </w:pPr>
          </w:p>
        </w:tc>
      </w:tr>
      <w:tr w:rsidR="00063DD7" w14:paraId="1B410045" w14:textId="77777777" w:rsidTr="00703158">
        <w:tc>
          <w:tcPr>
            <w:tcW w:w="9016" w:type="dxa"/>
            <w:gridSpan w:val="2"/>
          </w:tcPr>
          <w:p w14:paraId="0ED1A203" w14:textId="77777777" w:rsidR="00063DD7" w:rsidRDefault="00063DD7" w:rsidP="008F4A30">
            <w:pPr>
              <w:spacing w:before="120"/>
              <w:rPr>
                <w:sz w:val="28"/>
                <w:szCs w:val="28"/>
              </w:rPr>
            </w:pPr>
          </w:p>
        </w:tc>
      </w:tr>
      <w:tr w:rsidR="00063DD7" w14:paraId="415E6429" w14:textId="77777777" w:rsidTr="00703158">
        <w:tc>
          <w:tcPr>
            <w:tcW w:w="9016" w:type="dxa"/>
            <w:gridSpan w:val="2"/>
          </w:tcPr>
          <w:p w14:paraId="27B40CDE" w14:textId="77777777" w:rsidR="00063DD7" w:rsidRDefault="00063DD7" w:rsidP="008F4A30">
            <w:pPr>
              <w:spacing w:before="120"/>
              <w:rPr>
                <w:sz w:val="28"/>
                <w:szCs w:val="28"/>
              </w:rPr>
            </w:pPr>
          </w:p>
        </w:tc>
      </w:tr>
      <w:tr w:rsidR="00063DD7" w14:paraId="5FBCBE99" w14:textId="77777777" w:rsidTr="00703158">
        <w:tc>
          <w:tcPr>
            <w:tcW w:w="9016" w:type="dxa"/>
            <w:gridSpan w:val="2"/>
          </w:tcPr>
          <w:p w14:paraId="5D35459F" w14:textId="77777777" w:rsidR="00063DD7" w:rsidRDefault="00063DD7" w:rsidP="008F4A30">
            <w:pPr>
              <w:spacing w:before="120"/>
              <w:rPr>
                <w:sz w:val="28"/>
                <w:szCs w:val="28"/>
              </w:rPr>
            </w:pPr>
          </w:p>
        </w:tc>
      </w:tr>
      <w:tr w:rsidR="00063DD7" w14:paraId="7AB3449B" w14:textId="77777777" w:rsidTr="00703158">
        <w:tc>
          <w:tcPr>
            <w:tcW w:w="530" w:type="dxa"/>
          </w:tcPr>
          <w:p w14:paraId="66E8EB9D" w14:textId="77777777" w:rsidR="00063DD7" w:rsidRPr="00063DD7" w:rsidRDefault="00063DD7" w:rsidP="008F4A30">
            <w:pPr>
              <w:rPr>
                <w:color w:val="365F91" w:themeColor="accent1" w:themeShade="BF"/>
                <w:sz w:val="26"/>
                <w:szCs w:val="28"/>
              </w:rPr>
            </w:pPr>
            <w:r w:rsidRPr="00063DD7">
              <w:rPr>
                <w:color w:val="365F91" w:themeColor="accent1" w:themeShade="BF"/>
                <w:sz w:val="26"/>
                <w:szCs w:val="28"/>
              </w:rPr>
              <w:t>5.</w:t>
            </w:r>
          </w:p>
        </w:tc>
        <w:tc>
          <w:tcPr>
            <w:tcW w:w="8486" w:type="dxa"/>
          </w:tcPr>
          <w:p w14:paraId="10A3E5CB" w14:textId="77777777" w:rsidR="00063DD7" w:rsidRPr="00063DD7" w:rsidRDefault="00063DD7" w:rsidP="008F4A30">
            <w:pPr>
              <w:rPr>
                <w:color w:val="365F91" w:themeColor="accent1" w:themeShade="BF"/>
                <w:sz w:val="26"/>
                <w:szCs w:val="28"/>
              </w:rPr>
            </w:pPr>
            <w:r w:rsidRPr="00063DD7">
              <w:rPr>
                <w:color w:val="365F91" w:themeColor="accent1" w:themeShade="BF"/>
                <w:sz w:val="26"/>
                <w:szCs w:val="28"/>
              </w:rPr>
              <w:t>Special achievements of the nominee.</w:t>
            </w:r>
          </w:p>
        </w:tc>
      </w:tr>
      <w:tr w:rsidR="00063DD7" w14:paraId="41BD81A6" w14:textId="77777777" w:rsidTr="00703158">
        <w:tc>
          <w:tcPr>
            <w:tcW w:w="9016" w:type="dxa"/>
            <w:gridSpan w:val="2"/>
          </w:tcPr>
          <w:p w14:paraId="4A5BE06D" w14:textId="77777777" w:rsidR="00063DD7" w:rsidRDefault="00063DD7" w:rsidP="008F4A30">
            <w:pPr>
              <w:spacing w:before="120"/>
              <w:rPr>
                <w:sz w:val="28"/>
                <w:szCs w:val="28"/>
              </w:rPr>
            </w:pPr>
          </w:p>
        </w:tc>
      </w:tr>
      <w:tr w:rsidR="00063DD7" w14:paraId="5883BFEE" w14:textId="77777777" w:rsidTr="00703158">
        <w:tc>
          <w:tcPr>
            <w:tcW w:w="9016" w:type="dxa"/>
            <w:gridSpan w:val="2"/>
          </w:tcPr>
          <w:p w14:paraId="1E23A528" w14:textId="77777777" w:rsidR="00063DD7" w:rsidRDefault="00063DD7" w:rsidP="008F4A30">
            <w:pPr>
              <w:spacing w:before="120"/>
              <w:rPr>
                <w:sz w:val="28"/>
                <w:szCs w:val="28"/>
              </w:rPr>
            </w:pPr>
          </w:p>
        </w:tc>
      </w:tr>
      <w:tr w:rsidR="00063DD7" w14:paraId="7331AD3D" w14:textId="77777777" w:rsidTr="00703158">
        <w:tc>
          <w:tcPr>
            <w:tcW w:w="9016" w:type="dxa"/>
            <w:gridSpan w:val="2"/>
          </w:tcPr>
          <w:p w14:paraId="5166E37A" w14:textId="77777777" w:rsidR="00063DD7" w:rsidRDefault="00063DD7" w:rsidP="008F4A30">
            <w:pPr>
              <w:spacing w:before="120"/>
              <w:rPr>
                <w:sz w:val="28"/>
                <w:szCs w:val="28"/>
              </w:rPr>
            </w:pPr>
          </w:p>
        </w:tc>
      </w:tr>
      <w:tr w:rsidR="00063DD7" w14:paraId="6A26EDE9" w14:textId="77777777" w:rsidTr="00703158">
        <w:tc>
          <w:tcPr>
            <w:tcW w:w="9016" w:type="dxa"/>
            <w:gridSpan w:val="2"/>
          </w:tcPr>
          <w:p w14:paraId="53CFE8E8" w14:textId="77777777" w:rsidR="00063DD7" w:rsidRDefault="00063DD7" w:rsidP="008F4A30">
            <w:pPr>
              <w:spacing w:before="120"/>
              <w:rPr>
                <w:sz w:val="28"/>
                <w:szCs w:val="28"/>
              </w:rPr>
            </w:pPr>
          </w:p>
        </w:tc>
      </w:tr>
      <w:tr w:rsidR="00063DD7" w14:paraId="7F0022D7" w14:textId="77777777" w:rsidTr="00703158">
        <w:tc>
          <w:tcPr>
            <w:tcW w:w="9016" w:type="dxa"/>
            <w:gridSpan w:val="2"/>
          </w:tcPr>
          <w:p w14:paraId="7281F77B" w14:textId="77777777" w:rsidR="00063DD7" w:rsidRDefault="00063DD7" w:rsidP="008F4A30">
            <w:pPr>
              <w:spacing w:before="120"/>
              <w:rPr>
                <w:sz w:val="28"/>
                <w:szCs w:val="28"/>
              </w:rPr>
            </w:pPr>
          </w:p>
        </w:tc>
      </w:tr>
      <w:tr w:rsidR="00063DD7" w14:paraId="5D670553" w14:textId="77777777" w:rsidTr="00703158">
        <w:tc>
          <w:tcPr>
            <w:tcW w:w="9016" w:type="dxa"/>
            <w:gridSpan w:val="2"/>
          </w:tcPr>
          <w:p w14:paraId="4345875E" w14:textId="77777777" w:rsidR="00063DD7" w:rsidRDefault="00063DD7" w:rsidP="008F4A30">
            <w:pPr>
              <w:spacing w:before="120"/>
              <w:rPr>
                <w:sz w:val="28"/>
                <w:szCs w:val="28"/>
              </w:rPr>
            </w:pPr>
          </w:p>
        </w:tc>
      </w:tr>
      <w:tr w:rsidR="00063DD7" w14:paraId="58B47B6E" w14:textId="77777777" w:rsidTr="00703158">
        <w:tc>
          <w:tcPr>
            <w:tcW w:w="9016" w:type="dxa"/>
            <w:gridSpan w:val="2"/>
          </w:tcPr>
          <w:p w14:paraId="54443BBC" w14:textId="77777777" w:rsidR="00063DD7" w:rsidRDefault="00063DD7" w:rsidP="008F4A30">
            <w:pPr>
              <w:spacing w:before="120"/>
              <w:rPr>
                <w:sz w:val="28"/>
                <w:szCs w:val="28"/>
              </w:rPr>
            </w:pPr>
          </w:p>
        </w:tc>
      </w:tr>
      <w:tr w:rsidR="00063DD7" w14:paraId="79371B2B" w14:textId="77777777" w:rsidTr="00703158">
        <w:tc>
          <w:tcPr>
            <w:tcW w:w="9016" w:type="dxa"/>
            <w:gridSpan w:val="2"/>
          </w:tcPr>
          <w:p w14:paraId="1EF00687" w14:textId="77777777" w:rsidR="00063DD7" w:rsidRDefault="00063DD7" w:rsidP="008F4A30">
            <w:pPr>
              <w:spacing w:before="120"/>
              <w:rPr>
                <w:sz w:val="28"/>
                <w:szCs w:val="28"/>
              </w:rPr>
            </w:pPr>
          </w:p>
        </w:tc>
      </w:tr>
    </w:tbl>
    <w:p w14:paraId="521A2E51" w14:textId="77777777" w:rsidR="00063DD7" w:rsidRDefault="00063DD7" w:rsidP="00063DD7">
      <w:pPr>
        <w:rPr>
          <w:sz w:val="28"/>
          <w:szCs w:val="28"/>
        </w:rPr>
      </w:pPr>
    </w:p>
    <w:p w14:paraId="516FB044" w14:textId="77777777" w:rsidR="00063DD7" w:rsidRPr="006C2BE9" w:rsidRDefault="00063DD7" w:rsidP="00063DD7">
      <w:pPr>
        <w:spacing w:after="360"/>
        <w:rPr>
          <w:sz w:val="24"/>
          <w:szCs w:val="24"/>
        </w:rPr>
      </w:pPr>
      <w:r w:rsidRPr="006C2BE9">
        <w:rPr>
          <w:sz w:val="24"/>
          <w:szCs w:val="24"/>
        </w:rPr>
        <w:t>Signed (Elected Members)</w:t>
      </w:r>
    </w:p>
    <w:p w14:paraId="44CA0E8C" w14:textId="77777777" w:rsidR="00063DD7" w:rsidRPr="00466487" w:rsidRDefault="00063DD7" w:rsidP="00063DD7">
      <w:pPr>
        <w:rPr>
          <w:sz w:val="28"/>
          <w:szCs w:val="28"/>
          <w:u w:val="single"/>
        </w:rPr>
      </w:pP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rPr>
        <w:tab/>
      </w:r>
      <w:r>
        <w:rPr>
          <w:sz w:val="28"/>
          <w:szCs w:val="28"/>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p>
    <w:p w14:paraId="169CF5A4" w14:textId="77777777" w:rsidR="00063DD7" w:rsidRDefault="00063DD7" w:rsidP="00063DD7">
      <w:pPr>
        <w:pStyle w:val="ListParagraph"/>
        <w:ind w:left="0"/>
        <w:rPr>
          <w:color w:val="000000"/>
          <w:sz w:val="24"/>
          <w:szCs w:val="24"/>
        </w:rPr>
      </w:pPr>
    </w:p>
    <w:p w14:paraId="1E8853D2" w14:textId="77777777" w:rsidR="00063DD7" w:rsidRDefault="00063DD7" w:rsidP="00063DD7">
      <w:pPr>
        <w:pStyle w:val="ListParagraph"/>
        <w:ind w:left="0"/>
        <w:rPr>
          <w:color w:val="000000"/>
          <w:sz w:val="24"/>
          <w:szCs w:val="24"/>
          <w:u w:val="single"/>
        </w:rPr>
      </w:pP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rPr>
        <w:tab/>
      </w:r>
      <w:r>
        <w:rPr>
          <w:color w:val="000000"/>
          <w:sz w:val="24"/>
          <w:szCs w:val="24"/>
        </w:rPr>
        <w:tab/>
      </w: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u w:val="single"/>
        </w:rPr>
        <w:tab/>
      </w:r>
    </w:p>
    <w:p w14:paraId="6F045E73" w14:textId="77777777" w:rsidR="00063DD7" w:rsidRDefault="00063DD7" w:rsidP="00063DD7">
      <w:pPr>
        <w:pStyle w:val="ListParagraph"/>
        <w:ind w:left="0"/>
        <w:rPr>
          <w:color w:val="000000"/>
          <w:sz w:val="24"/>
          <w:szCs w:val="24"/>
          <w:u w:val="single"/>
        </w:rPr>
      </w:pPr>
    </w:p>
    <w:p w14:paraId="15A866B4" w14:textId="77777777" w:rsidR="00063DD7" w:rsidRDefault="00063DD7" w:rsidP="00063DD7">
      <w:pPr>
        <w:pStyle w:val="ListParagraph"/>
        <w:ind w:left="0"/>
        <w:rPr>
          <w:color w:val="000000"/>
          <w:sz w:val="24"/>
          <w:szCs w:val="24"/>
          <w:u w:val="single"/>
        </w:rPr>
      </w:pPr>
    </w:p>
    <w:p w14:paraId="7878C3DB" w14:textId="77777777" w:rsidR="00063DD7" w:rsidRPr="00466487" w:rsidRDefault="00063DD7" w:rsidP="00063DD7">
      <w:pPr>
        <w:pStyle w:val="ListParagraph"/>
        <w:ind w:left="0"/>
        <w:rPr>
          <w:color w:val="000000"/>
          <w:sz w:val="24"/>
          <w:szCs w:val="24"/>
          <w:u w:val="single"/>
        </w:rPr>
      </w:pP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rPr>
        <w:tab/>
      </w:r>
      <w:r>
        <w:rPr>
          <w:color w:val="000000"/>
          <w:sz w:val="24"/>
          <w:szCs w:val="24"/>
        </w:rPr>
        <w:tab/>
      </w: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u w:val="single"/>
        </w:rPr>
        <w:tab/>
      </w:r>
      <w:r>
        <w:rPr>
          <w:color w:val="000000"/>
          <w:sz w:val="24"/>
          <w:szCs w:val="24"/>
          <w:u w:val="single"/>
        </w:rPr>
        <w:tab/>
      </w:r>
    </w:p>
    <w:p w14:paraId="4BFE98CD" w14:textId="77777777" w:rsidR="00063DD7" w:rsidRPr="00F84448" w:rsidRDefault="00063DD7" w:rsidP="00063DD7">
      <w:pPr>
        <w:pStyle w:val="ListParagraph"/>
        <w:ind w:left="0"/>
        <w:rPr>
          <w:sz w:val="24"/>
          <w:szCs w:val="24"/>
        </w:rPr>
      </w:pPr>
      <w:r w:rsidRPr="00F84448">
        <w:rPr>
          <w:color w:val="000000"/>
          <w:sz w:val="24"/>
          <w:szCs w:val="24"/>
        </w:rPr>
        <w:br/>
      </w:r>
    </w:p>
    <w:p w14:paraId="0138CE36" w14:textId="77777777" w:rsidR="00063DD7" w:rsidRPr="009F5ABD" w:rsidRDefault="00063DD7" w:rsidP="00063DD7">
      <w:pPr>
        <w:rPr>
          <w:rFonts w:cstheme="minorHAnsi"/>
          <w:lang w:val="en-US"/>
        </w:rPr>
      </w:pPr>
    </w:p>
    <w:p w14:paraId="7B4BAA02" w14:textId="77777777" w:rsidR="008A7E09" w:rsidRDefault="008A7E09">
      <w:pPr>
        <w:rPr>
          <w:rFonts w:ascii="Arial" w:hAnsi="Arial" w:cs="Arial"/>
          <w:lang w:val="en-US"/>
        </w:rPr>
      </w:pPr>
      <w:r>
        <w:rPr>
          <w:rFonts w:ascii="Arial" w:hAnsi="Arial" w:cs="Arial"/>
          <w:lang w:val="en-US"/>
        </w:rPr>
        <w:br w:type="page"/>
      </w:r>
    </w:p>
    <w:p w14:paraId="20C5F801" w14:textId="190C1896" w:rsidR="005230B3" w:rsidRPr="007F4344" w:rsidRDefault="003369A9" w:rsidP="005230B3">
      <w:pPr>
        <w:jc w:val="right"/>
      </w:pPr>
      <w:r>
        <w:rPr>
          <w:noProof/>
          <w:lang w:eastAsia="en-AU"/>
        </w:rPr>
        <w:lastRenderedPageBreak/>
        <w:drawing>
          <wp:anchor distT="0" distB="0" distL="114300" distR="114300" simplePos="0" relativeHeight="251675648" behindDoc="1" locked="0" layoutInCell="1" allowOverlap="1" wp14:anchorId="3F0759E2" wp14:editId="32173CB0">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32790EC3" w14:textId="77777777" w:rsidR="003369A9" w:rsidRDefault="003369A9" w:rsidP="009579A8">
      <w:pPr>
        <w:pStyle w:val="Policy3"/>
      </w:pPr>
    </w:p>
    <w:p w14:paraId="2ADF3620" w14:textId="77777777" w:rsidR="003369A9" w:rsidRDefault="003369A9" w:rsidP="009579A8">
      <w:pPr>
        <w:pStyle w:val="Policy3"/>
      </w:pPr>
    </w:p>
    <w:p w14:paraId="65C80552" w14:textId="69382B3A" w:rsidR="005230B3" w:rsidRPr="00B47F10" w:rsidRDefault="005230B3" w:rsidP="009579A8">
      <w:pPr>
        <w:pStyle w:val="Policy3"/>
      </w:pPr>
      <w:bookmarkStart w:id="8" w:name="_Toc216866651"/>
      <w:r w:rsidRPr="00B47F10">
        <w:t>1.1.6</w:t>
      </w:r>
      <w:r w:rsidRPr="00B47F10">
        <w:tab/>
        <w:t>E</w:t>
      </w:r>
      <w:r w:rsidR="009579A8">
        <w:t>lected Member Communication</w:t>
      </w:r>
      <w:bookmarkEnd w:id="8"/>
    </w:p>
    <w:tbl>
      <w:tblPr>
        <w:tblStyle w:val="TableGrid"/>
        <w:tblW w:w="0" w:type="auto"/>
        <w:tblLook w:val="04A0" w:firstRow="1" w:lastRow="0" w:firstColumn="1" w:lastColumn="0" w:noHBand="0" w:noVBand="1"/>
      </w:tblPr>
      <w:tblGrid>
        <w:gridCol w:w="3019"/>
        <w:gridCol w:w="5997"/>
      </w:tblGrid>
      <w:tr w:rsidR="005230B3" w:rsidRPr="00956E52" w14:paraId="49BB6185" w14:textId="77777777" w:rsidTr="005230B3">
        <w:tc>
          <w:tcPr>
            <w:tcW w:w="3019" w:type="dxa"/>
          </w:tcPr>
          <w:p w14:paraId="4580F527" w14:textId="77777777" w:rsidR="005230B3" w:rsidRPr="00956E52" w:rsidRDefault="005230B3" w:rsidP="004E6C98">
            <w:pPr>
              <w:rPr>
                <w:rFonts w:cstheme="minorHAnsi"/>
                <w:b/>
                <w:lang w:val="en-US"/>
              </w:rPr>
            </w:pPr>
            <w:r w:rsidRPr="00956E52">
              <w:rPr>
                <w:rFonts w:cstheme="minorHAnsi"/>
                <w:b/>
                <w:lang w:val="en-US"/>
              </w:rPr>
              <w:t>Type:</w:t>
            </w:r>
          </w:p>
        </w:tc>
        <w:tc>
          <w:tcPr>
            <w:tcW w:w="5997" w:type="dxa"/>
          </w:tcPr>
          <w:p w14:paraId="7F49B540" w14:textId="77777777" w:rsidR="005230B3" w:rsidRPr="00956E52" w:rsidRDefault="009579A8" w:rsidP="004E6C98">
            <w:pPr>
              <w:rPr>
                <w:rFonts w:cstheme="minorHAnsi"/>
                <w:lang w:val="en-US"/>
              </w:rPr>
            </w:pPr>
            <w:r>
              <w:rPr>
                <w:rFonts w:cstheme="minorHAnsi"/>
                <w:lang w:val="en-US"/>
              </w:rPr>
              <w:t>Office of the CEO – Elected Members</w:t>
            </w:r>
          </w:p>
        </w:tc>
      </w:tr>
      <w:tr w:rsidR="005230B3" w:rsidRPr="00956E52" w14:paraId="7FF287F1" w14:textId="77777777" w:rsidTr="005230B3">
        <w:tc>
          <w:tcPr>
            <w:tcW w:w="3019" w:type="dxa"/>
          </w:tcPr>
          <w:p w14:paraId="3498FC2A" w14:textId="77777777" w:rsidR="005230B3" w:rsidRPr="00956E52" w:rsidRDefault="005230B3" w:rsidP="004E6C98">
            <w:pPr>
              <w:rPr>
                <w:rFonts w:cstheme="minorHAnsi"/>
                <w:b/>
                <w:lang w:val="en-US"/>
              </w:rPr>
            </w:pPr>
            <w:r w:rsidRPr="00956E52">
              <w:rPr>
                <w:rFonts w:cstheme="minorHAnsi"/>
                <w:b/>
                <w:lang w:val="en-US"/>
              </w:rPr>
              <w:t>Legislation:</w:t>
            </w:r>
          </w:p>
        </w:tc>
        <w:tc>
          <w:tcPr>
            <w:tcW w:w="5997" w:type="dxa"/>
          </w:tcPr>
          <w:p w14:paraId="6C0EB0B8" w14:textId="77777777" w:rsidR="005230B3" w:rsidRPr="00956E52" w:rsidRDefault="005230B3" w:rsidP="004E6C98">
            <w:pPr>
              <w:ind w:left="318" w:hanging="318"/>
              <w:rPr>
                <w:rFonts w:cstheme="minorHAnsi"/>
              </w:rPr>
            </w:pPr>
            <w:hyperlink r:id="rId21" w:history="1">
              <w:r w:rsidRPr="00956E52">
                <w:rPr>
                  <w:rStyle w:val="Hyperlink"/>
                  <w:rFonts w:cstheme="minorHAnsi"/>
                </w:rPr>
                <w:t>Local Government (Rules of Conduct) Regulations 2007</w:t>
              </w:r>
            </w:hyperlink>
          </w:p>
          <w:p w14:paraId="0A9E7E67" w14:textId="77777777" w:rsidR="005230B3" w:rsidRPr="00956E52" w:rsidRDefault="005230B3" w:rsidP="004E6C98">
            <w:pPr>
              <w:rPr>
                <w:rFonts w:cstheme="minorHAnsi"/>
              </w:rPr>
            </w:pPr>
            <w:r w:rsidRPr="00956E52">
              <w:rPr>
                <w:rFonts w:cstheme="minorHAnsi"/>
              </w:rPr>
              <w:t xml:space="preserve">State Records Act 2000 - </w:t>
            </w:r>
            <w:hyperlink r:id="rId22" w:history="1">
              <w:r w:rsidRPr="00956E52">
                <w:rPr>
                  <w:rStyle w:val="Hyperlink"/>
                  <w:rFonts w:cstheme="minorHAnsi"/>
                </w:rPr>
                <w:t>SRC Standard 8 – Managing Digital Information</w:t>
              </w:r>
            </w:hyperlink>
          </w:p>
          <w:p w14:paraId="7D63FD1F" w14:textId="77777777" w:rsidR="005230B3" w:rsidRPr="00956E52" w:rsidRDefault="005230B3" w:rsidP="004E6C98">
            <w:pPr>
              <w:rPr>
                <w:rFonts w:cstheme="minorHAnsi"/>
              </w:rPr>
            </w:pPr>
            <w:hyperlink r:id="rId23" w:history="1">
              <w:r w:rsidRPr="00956E52">
                <w:rPr>
                  <w:rStyle w:val="Hyperlink"/>
                  <w:rFonts w:cstheme="minorHAnsi"/>
                </w:rPr>
                <w:t>State Records Office Guideline – Management of Digital Records</w:t>
              </w:r>
            </w:hyperlink>
          </w:p>
        </w:tc>
      </w:tr>
      <w:tr w:rsidR="005230B3" w:rsidRPr="00956E52" w14:paraId="365F9A28" w14:textId="77777777" w:rsidTr="005230B3">
        <w:tc>
          <w:tcPr>
            <w:tcW w:w="3019" w:type="dxa"/>
          </w:tcPr>
          <w:p w14:paraId="16562828" w14:textId="77777777" w:rsidR="005230B3" w:rsidRPr="00956E52" w:rsidRDefault="005230B3" w:rsidP="004E6C98">
            <w:pPr>
              <w:rPr>
                <w:rFonts w:cstheme="minorHAnsi"/>
                <w:b/>
                <w:lang w:val="en-US"/>
              </w:rPr>
            </w:pPr>
            <w:r w:rsidRPr="00956E52">
              <w:rPr>
                <w:rFonts w:cstheme="minorHAnsi"/>
                <w:b/>
                <w:lang w:val="en-US"/>
              </w:rPr>
              <w:t>Delegation:</w:t>
            </w:r>
          </w:p>
        </w:tc>
        <w:tc>
          <w:tcPr>
            <w:tcW w:w="5997" w:type="dxa"/>
          </w:tcPr>
          <w:p w14:paraId="024F46E6" w14:textId="77777777" w:rsidR="005230B3" w:rsidRPr="00956E52" w:rsidRDefault="005230B3" w:rsidP="004E6C98">
            <w:pPr>
              <w:rPr>
                <w:rFonts w:cstheme="minorHAnsi"/>
                <w:lang w:val="en-US"/>
              </w:rPr>
            </w:pPr>
          </w:p>
        </w:tc>
      </w:tr>
      <w:tr w:rsidR="005230B3" w:rsidRPr="00956E52" w14:paraId="4C1CA418" w14:textId="77777777" w:rsidTr="005230B3">
        <w:tc>
          <w:tcPr>
            <w:tcW w:w="3019" w:type="dxa"/>
          </w:tcPr>
          <w:p w14:paraId="0CA9B7A5" w14:textId="77777777" w:rsidR="005230B3" w:rsidRPr="00956E52" w:rsidRDefault="005230B3" w:rsidP="004E6C98">
            <w:pPr>
              <w:rPr>
                <w:rFonts w:cstheme="minorHAnsi"/>
                <w:b/>
                <w:lang w:val="en-US"/>
              </w:rPr>
            </w:pPr>
            <w:r w:rsidRPr="00956E52">
              <w:rPr>
                <w:rFonts w:cstheme="minorHAnsi"/>
                <w:b/>
                <w:lang w:val="en-US"/>
              </w:rPr>
              <w:t>Other Related Document:</w:t>
            </w:r>
          </w:p>
        </w:tc>
        <w:tc>
          <w:tcPr>
            <w:tcW w:w="5997" w:type="dxa"/>
          </w:tcPr>
          <w:p w14:paraId="65F6E784" w14:textId="77777777" w:rsidR="005230B3" w:rsidRPr="00956E52" w:rsidRDefault="005230B3" w:rsidP="004E6C98">
            <w:pPr>
              <w:rPr>
                <w:rFonts w:cstheme="minorHAnsi"/>
                <w:lang w:val="en-US"/>
              </w:rPr>
            </w:pPr>
            <w:r w:rsidRPr="00956E52">
              <w:rPr>
                <w:rFonts w:cstheme="minorHAnsi"/>
                <w:lang w:val="en-US"/>
              </w:rPr>
              <w:t>Code of Conduct</w:t>
            </w:r>
            <w:r w:rsidR="009579A8">
              <w:rPr>
                <w:rFonts w:cstheme="minorHAnsi"/>
                <w:lang w:val="en-US"/>
              </w:rPr>
              <w:t xml:space="preserve"> Policy 1.2.1</w:t>
            </w:r>
            <w:r w:rsidRPr="00956E52">
              <w:rPr>
                <w:rFonts w:cstheme="minorHAnsi"/>
                <w:lang w:val="en-US"/>
              </w:rPr>
              <w:t xml:space="preserve"> </w:t>
            </w:r>
          </w:p>
        </w:tc>
      </w:tr>
    </w:tbl>
    <w:p w14:paraId="01D01134" w14:textId="77777777" w:rsidR="005230B3" w:rsidRPr="00956E52" w:rsidRDefault="005230B3" w:rsidP="005230B3">
      <w:pPr>
        <w:spacing w:after="120"/>
        <w:rPr>
          <w:rFonts w:cstheme="minorHAnsi"/>
        </w:rPr>
      </w:pPr>
    </w:p>
    <w:p w14:paraId="26309B42" w14:textId="77777777" w:rsidR="005230B3" w:rsidRPr="00B47F10" w:rsidRDefault="005230B3" w:rsidP="005230B3">
      <w:pPr>
        <w:spacing w:after="0" w:line="240" w:lineRule="auto"/>
        <w:rPr>
          <w:rFonts w:cstheme="minorHAnsi"/>
          <w:b/>
          <w:sz w:val="28"/>
          <w:szCs w:val="28"/>
        </w:rPr>
      </w:pPr>
      <w:r w:rsidRPr="00B47F10">
        <w:rPr>
          <w:rFonts w:cstheme="minorHAnsi"/>
          <w:b/>
          <w:sz w:val="28"/>
          <w:szCs w:val="28"/>
        </w:rPr>
        <w:t>Objective</w:t>
      </w:r>
    </w:p>
    <w:p w14:paraId="31C102A1" w14:textId="77777777" w:rsidR="005230B3" w:rsidRPr="00956E52" w:rsidRDefault="005230B3" w:rsidP="005230B3">
      <w:pPr>
        <w:spacing w:after="240"/>
        <w:jc w:val="both"/>
        <w:rPr>
          <w:rFonts w:cstheme="minorHAnsi"/>
        </w:rPr>
      </w:pPr>
      <w:r w:rsidRPr="00956E52">
        <w:rPr>
          <w:rFonts w:cstheme="minorHAnsi"/>
        </w:rPr>
        <w:t>To establish protocols for the Town of East Fremantle official communications with our community to ensure the Town is professionally and accurately represented, to maximise a positive public perception and response to the Town.</w:t>
      </w:r>
    </w:p>
    <w:p w14:paraId="548EA830" w14:textId="77777777" w:rsidR="005230B3" w:rsidRPr="00B47F10" w:rsidRDefault="005230B3" w:rsidP="005230B3">
      <w:pPr>
        <w:spacing w:after="0"/>
        <w:rPr>
          <w:rFonts w:cstheme="minorHAnsi"/>
          <w:b/>
          <w:sz w:val="28"/>
          <w:szCs w:val="28"/>
        </w:rPr>
      </w:pPr>
      <w:r w:rsidRPr="00B47F10">
        <w:rPr>
          <w:rFonts w:cstheme="minorHAnsi"/>
          <w:b/>
          <w:sz w:val="28"/>
          <w:szCs w:val="28"/>
        </w:rPr>
        <w:t>Policy Scope</w:t>
      </w:r>
    </w:p>
    <w:p w14:paraId="7FD72122" w14:textId="77777777" w:rsidR="005230B3" w:rsidRPr="00956E52" w:rsidRDefault="005230B3" w:rsidP="006B1124">
      <w:pPr>
        <w:spacing w:after="60"/>
        <w:rPr>
          <w:rFonts w:cstheme="minorHAnsi"/>
        </w:rPr>
      </w:pPr>
      <w:r w:rsidRPr="00956E52">
        <w:rPr>
          <w:rFonts w:cstheme="minorHAnsi"/>
        </w:rPr>
        <w:t>This policy applies to:</w:t>
      </w:r>
    </w:p>
    <w:p w14:paraId="7B1F2489" w14:textId="77777777" w:rsidR="005230B3" w:rsidRPr="00956E52" w:rsidRDefault="005230B3" w:rsidP="000C29DC">
      <w:pPr>
        <w:pStyle w:val="ListParagraph"/>
        <w:numPr>
          <w:ilvl w:val="0"/>
          <w:numId w:val="10"/>
        </w:numPr>
        <w:spacing w:after="60"/>
        <w:ind w:left="425" w:hanging="425"/>
        <w:jc w:val="both"/>
        <w:rPr>
          <w:rFonts w:cstheme="minorHAnsi"/>
        </w:rPr>
      </w:pPr>
      <w:r w:rsidRPr="00956E52">
        <w:rPr>
          <w:rFonts w:cstheme="minorHAnsi"/>
        </w:rPr>
        <w:t>communications initiated or responded to by the Town of East Fremantle with our community; and</w:t>
      </w:r>
    </w:p>
    <w:p w14:paraId="74C9A077" w14:textId="77777777" w:rsidR="005230B3" w:rsidRPr="00956E52" w:rsidRDefault="007B7628" w:rsidP="000C29DC">
      <w:pPr>
        <w:pStyle w:val="ListParagraph"/>
        <w:numPr>
          <w:ilvl w:val="0"/>
          <w:numId w:val="10"/>
        </w:numPr>
        <w:spacing w:before="60"/>
        <w:ind w:left="425" w:hanging="425"/>
        <w:jc w:val="both"/>
        <w:rPr>
          <w:rFonts w:cstheme="minorHAnsi"/>
        </w:rPr>
      </w:pPr>
      <w:r>
        <w:rPr>
          <w:rFonts w:cstheme="minorHAnsi"/>
        </w:rPr>
        <w:t>e</w:t>
      </w:r>
      <w:r w:rsidR="005230B3" w:rsidRPr="00956E52">
        <w:rPr>
          <w:rFonts w:cstheme="minorHAnsi"/>
        </w:rPr>
        <w:t xml:space="preserve">lected </w:t>
      </w:r>
      <w:r>
        <w:rPr>
          <w:rFonts w:cstheme="minorHAnsi"/>
        </w:rPr>
        <w:t>m</w:t>
      </w:r>
      <w:r w:rsidR="005230B3" w:rsidRPr="00956E52">
        <w:rPr>
          <w:rFonts w:cstheme="minorHAnsi"/>
        </w:rPr>
        <w:t>embers when making comment in either their Town role or in a personal capacity.</w:t>
      </w:r>
    </w:p>
    <w:p w14:paraId="761DE971" w14:textId="77777777" w:rsidR="005230B3" w:rsidRPr="00B47F10" w:rsidRDefault="005230B3" w:rsidP="009579A8">
      <w:pPr>
        <w:spacing w:after="60"/>
        <w:rPr>
          <w:rFonts w:cstheme="minorHAnsi"/>
          <w:b/>
          <w:sz w:val="28"/>
          <w:szCs w:val="28"/>
        </w:rPr>
      </w:pPr>
      <w:r w:rsidRPr="00B47F10">
        <w:rPr>
          <w:rFonts w:cstheme="minorHAnsi"/>
          <w:b/>
          <w:sz w:val="28"/>
          <w:szCs w:val="28"/>
        </w:rPr>
        <w:t>Policy Statement</w:t>
      </w:r>
    </w:p>
    <w:p w14:paraId="749189C3" w14:textId="77777777" w:rsidR="005230B3" w:rsidRPr="009579A8" w:rsidRDefault="00561BE2" w:rsidP="009579A8">
      <w:pPr>
        <w:spacing w:after="0"/>
        <w:ind w:left="425" w:hanging="425"/>
        <w:rPr>
          <w:b/>
          <w:i/>
        </w:rPr>
      </w:pPr>
      <w:r w:rsidRPr="009579A8">
        <w:rPr>
          <w:b/>
        </w:rPr>
        <w:t>1.</w:t>
      </w:r>
      <w:r w:rsidRPr="009579A8">
        <w:rPr>
          <w:b/>
          <w:i/>
        </w:rPr>
        <w:tab/>
      </w:r>
      <w:r w:rsidR="005230B3" w:rsidRPr="009579A8">
        <w:rPr>
          <w:b/>
        </w:rPr>
        <w:t>Official Communications</w:t>
      </w:r>
    </w:p>
    <w:p w14:paraId="0E5EE578" w14:textId="77777777" w:rsidR="005230B3" w:rsidRPr="00956E52" w:rsidRDefault="005230B3" w:rsidP="00E82163">
      <w:pPr>
        <w:spacing w:after="60"/>
        <w:jc w:val="both"/>
        <w:rPr>
          <w:rFonts w:cstheme="minorHAnsi"/>
        </w:rPr>
      </w:pPr>
      <w:r w:rsidRPr="00956E52">
        <w:rPr>
          <w:rFonts w:cstheme="minorHAnsi"/>
        </w:rPr>
        <w:t>The purposes of Town’s official communications include:</w:t>
      </w:r>
    </w:p>
    <w:p w14:paraId="6995E829" w14:textId="77777777" w:rsidR="005230B3" w:rsidRPr="00956E52" w:rsidRDefault="007B7628" w:rsidP="000C29DC">
      <w:pPr>
        <w:pStyle w:val="ListParagraph"/>
        <w:numPr>
          <w:ilvl w:val="0"/>
          <w:numId w:val="7"/>
        </w:numPr>
        <w:spacing w:after="60"/>
        <w:ind w:left="425" w:hanging="425"/>
        <w:contextualSpacing w:val="0"/>
        <w:jc w:val="both"/>
        <w:rPr>
          <w:rFonts w:cstheme="minorHAnsi"/>
        </w:rPr>
      </w:pPr>
      <w:r>
        <w:rPr>
          <w:rFonts w:cstheme="minorHAnsi"/>
        </w:rPr>
        <w:t>s</w:t>
      </w:r>
      <w:r w:rsidR="005230B3" w:rsidRPr="00956E52">
        <w:rPr>
          <w:rFonts w:cstheme="minorHAnsi"/>
        </w:rPr>
        <w:t>haring information required by law to be publicly available.</w:t>
      </w:r>
    </w:p>
    <w:p w14:paraId="36F8563F" w14:textId="77777777" w:rsidR="005230B3" w:rsidRPr="00956E52" w:rsidRDefault="007B7628" w:rsidP="000C29DC">
      <w:pPr>
        <w:pStyle w:val="ListParagraph"/>
        <w:numPr>
          <w:ilvl w:val="0"/>
          <w:numId w:val="7"/>
        </w:numPr>
        <w:spacing w:before="120" w:after="60"/>
        <w:ind w:left="426" w:hanging="426"/>
        <w:contextualSpacing w:val="0"/>
        <w:jc w:val="both"/>
        <w:rPr>
          <w:rFonts w:cstheme="minorHAnsi"/>
        </w:rPr>
      </w:pPr>
      <w:r>
        <w:rPr>
          <w:rFonts w:cstheme="minorHAnsi"/>
        </w:rPr>
        <w:t>s</w:t>
      </w:r>
      <w:r w:rsidR="005230B3" w:rsidRPr="00956E52">
        <w:rPr>
          <w:rFonts w:cstheme="minorHAnsi"/>
        </w:rPr>
        <w:t>haring information that is of interest and benefit to the Community.</w:t>
      </w:r>
    </w:p>
    <w:p w14:paraId="70117132" w14:textId="77777777" w:rsidR="005230B3" w:rsidRPr="00956E52" w:rsidRDefault="007B7628" w:rsidP="000C29DC">
      <w:pPr>
        <w:pStyle w:val="ListParagraph"/>
        <w:numPr>
          <w:ilvl w:val="0"/>
          <w:numId w:val="7"/>
        </w:numPr>
        <w:spacing w:before="120" w:after="60"/>
        <w:ind w:left="426" w:hanging="426"/>
        <w:contextualSpacing w:val="0"/>
        <w:jc w:val="both"/>
        <w:rPr>
          <w:rFonts w:cstheme="minorHAnsi"/>
        </w:rPr>
      </w:pPr>
      <w:r>
        <w:rPr>
          <w:rFonts w:cstheme="minorHAnsi"/>
        </w:rPr>
        <w:t>p</w:t>
      </w:r>
      <w:r w:rsidR="005230B3" w:rsidRPr="00956E52">
        <w:rPr>
          <w:rFonts w:cstheme="minorHAnsi"/>
        </w:rPr>
        <w:t>romoting the Town of East Fremantle events and services.</w:t>
      </w:r>
    </w:p>
    <w:p w14:paraId="683081D9" w14:textId="77777777" w:rsidR="005230B3" w:rsidRPr="00956E52" w:rsidRDefault="007B7628" w:rsidP="000C29DC">
      <w:pPr>
        <w:pStyle w:val="ListParagraph"/>
        <w:numPr>
          <w:ilvl w:val="0"/>
          <w:numId w:val="7"/>
        </w:numPr>
        <w:spacing w:before="120" w:after="60"/>
        <w:ind w:left="426" w:hanging="426"/>
        <w:contextualSpacing w:val="0"/>
        <w:jc w:val="both"/>
        <w:rPr>
          <w:rFonts w:cstheme="minorHAnsi"/>
        </w:rPr>
      </w:pPr>
      <w:r>
        <w:rPr>
          <w:rFonts w:cstheme="minorHAnsi"/>
        </w:rPr>
        <w:t>p</w:t>
      </w:r>
      <w:r w:rsidR="005230B3" w:rsidRPr="00956E52">
        <w:rPr>
          <w:rFonts w:cstheme="minorHAnsi"/>
        </w:rPr>
        <w:t>romoting Public Notices and community consultation / engagement opportunities.</w:t>
      </w:r>
    </w:p>
    <w:p w14:paraId="27F2573F" w14:textId="77777777" w:rsidR="005230B3" w:rsidRPr="00956E52" w:rsidRDefault="007B7628" w:rsidP="000C29DC">
      <w:pPr>
        <w:pStyle w:val="ListParagraph"/>
        <w:numPr>
          <w:ilvl w:val="0"/>
          <w:numId w:val="7"/>
        </w:numPr>
        <w:spacing w:before="120" w:after="60"/>
        <w:ind w:left="426" w:hanging="426"/>
        <w:contextualSpacing w:val="0"/>
        <w:jc w:val="both"/>
        <w:rPr>
          <w:rFonts w:cstheme="minorHAnsi"/>
        </w:rPr>
      </w:pPr>
      <w:r>
        <w:rPr>
          <w:rFonts w:cstheme="minorHAnsi"/>
        </w:rPr>
        <w:t>a</w:t>
      </w:r>
      <w:r w:rsidR="005230B3" w:rsidRPr="00956E52">
        <w:rPr>
          <w:rFonts w:cstheme="minorHAnsi"/>
        </w:rPr>
        <w:t>nswering questions and responding to requests for information relevant to the role of the Town.</w:t>
      </w:r>
    </w:p>
    <w:p w14:paraId="1709D791" w14:textId="77777777" w:rsidR="005230B3" w:rsidRPr="00956E52" w:rsidRDefault="007B7628" w:rsidP="000C29DC">
      <w:pPr>
        <w:pStyle w:val="ListParagraph"/>
        <w:numPr>
          <w:ilvl w:val="0"/>
          <w:numId w:val="7"/>
        </w:numPr>
        <w:spacing w:before="120" w:after="120"/>
        <w:ind w:left="426" w:hanging="426"/>
        <w:jc w:val="both"/>
        <w:rPr>
          <w:rFonts w:cstheme="minorHAnsi"/>
        </w:rPr>
      </w:pPr>
      <w:proofErr w:type="spellStart"/>
      <w:r>
        <w:rPr>
          <w:rFonts w:cstheme="minorHAnsi"/>
        </w:rPr>
        <w:t>e</w:t>
      </w:r>
      <w:r w:rsidR="005230B3" w:rsidRPr="00956E52">
        <w:rPr>
          <w:rFonts w:cstheme="minorHAnsi"/>
        </w:rPr>
        <w:t>eceiving</w:t>
      </w:r>
      <w:proofErr w:type="spellEnd"/>
      <w:r w:rsidR="005230B3" w:rsidRPr="00956E52">
        <w:rPr>
          <w:rFonts w:cstheme="minorHAnsi"/>
        </w:rPr>
        <w:t xml:space="preserve"> and responding to community feedback, ideas, comments, compliments and complaints.</w:t>
      </w:r>
    </w:p>
    <w:p w14:paraId="6F9F9AAF" w14:textId="77777777" w:rsidR="005230B3" w:rsidRPr="00956E52" w:rsidRDefault="005230B3" w:rsidP="005230B3">
      <w:pPr>
        <w:jc w:val="both"/>
        <w:rPr>
          <w:rFonts w:cstheme="minorHAnsi"/>
        </w:rPr>
      </w:pPr>
      <w:r w:rsidRPr="00956E52">
        <w:rPr>
          <w:rFonts w:cstheme="minorHAnsi"/>
        </w:rPr>
        <w:t>The Town of East Fremantle’s</w:t>
      </w:r>
      <w:r w:rsidRPr="00956E52">
        <w:rPr>
          <w:rFonts w:cstheme="minorHAnsi"/>
          <w:color w:val="00B050"/>
        </w:rPr>
        <w:t xml:space="preserve"> </w:t>
      </w:r>
      <w:r w:rsidRPr="00956E52">
        <w:rPr>
          <w:rFonts w:cstheme="minorHAnsi"/>
        </w:rPr>
        <w:t>official communications will be consistent with relevant legislation, policies, standards and the positions adopted by the Council.  Our communications will always be respectful and professional.</w:t>
      </w:r>
    </w:p>
    <w:p w14:paraId="58FE1094" w14:textId="77777777" w:rsidR="005230B3" w:rsidRPr="00956E52" w:rsidRDefault="005230B3" w:rsidP="005230B3">
      <w:pPr>
        <w:spacing w:after="60" w:line="240" w:lineRule="auto"/>
        <w:jc w:val="both"/>
        <w:rPr>
          <w:rFonts w:cstheme="minorHAnsi"/>
        </w:rPr>
      </w:pPr>
      <w:r w:rsidRPr="00956E52">
        <w:rPr>
          <w:rFonts w:cstheme="minorHAnsi"/>
        </w:rPr>
        <w:t>The Town of East Fremantle will use a combination of different communication modes to suit the type of information to be communicated and the requirements of the community or specific audience, including:</w:t>
      </w:r>
    </w:p>
    <w:p w14:paraId="25CED1E9" w14:textId="77777777" w:rsidR="005230B3" w:rsidRPr="00956E52" w:rsidRDefault="00E82163" w:rsidP="000C29DC">
      <w:pPr>
        <w:pStyle w:val="ListParagraph"/>
        <w:numPr>
          <w:ilvl w:val="0"/>
          <w:numId w:val="7"/>
        </w:numPr>
        <w:spacing w:before="120" w:after="120"/>
        <w:ind w:left="426" w:hanging="426"/>
        <w:rPr>
          <w:rFonts w:cstheme="minorHAnsi"/>
        </w:rPr>
      </w:pPr>
      <w:proofErr w:type="gramStart"/>
      <w:r>
        <w:rPr>
          <w:rFonts w:cstheme="minorHAnsi"/>
        </w:rPr>
        <w:t>w</w:t>
      </w:r>
      <w:r w:rsidR="005230B3" w:rsidRPr="00956E52">
        <w:rPr>
          <w:rFonts w:cstheme="minorHAnsi"/>
        </w:rPr>
        <w:t>ebsite;</w:t>
      </w:r>
      <w:proofErr w:type="gramEnd"/>
    </w:p>
    <w:p w14:paraId="0A57B0D0" w14:textId="77777777" w:rsidR="005230B3" w:rsidRPr="00956E52" w:rsidRDefault="007B7628" w:rsidP="000C29DC">
      <w:pPr>
        <w:pStyle w:val="ListParagraph"/>
        <w:numPr>
          <w:ilvl w:val="0"/>
          <w:numId w:val="7"/>
        </w:numPr>
        <w:spacing w:before="120" w:after="120"/>
        <w:ind w:left="426" w:hanging="426"/>
        <w:rPr>
          <w:rFonts w:cstheme="minorHAnsi"/>
        </w:rPr>
      </w:pPr>
      <w:r>
        <w:rPr>
          <w:rFonts w:cstheme="minorHAnsi"/>
        </w:rPr>
        <w:t>a</w:t>
      </w:r>
      <w:r w:rsidR="005230B3" w:rsidRPr="00956E52">
        <w:rPr>
          <w:rFonts w:cstheme="minorHAnsi"/>
        </w:rPr>
        <w:t xml:space="preserve">dvertising and promotional </w:t>
      </w:r>
      <w:proofErr w:type="gramStart"/>
      <w:r w:rsidR="005230B3" w:rsidRPr="00956E52">
        <w:rPr>
          <w:rFonts w:cstheme="minorHAnsi"/>
        </w:rPr>
        <w:t>materials;</w:t>
      </w:r>
      <w:proofErr w:type="gramEnd"/>
    </w:p>
    <w:p w14:paraId="6126D4E2" w14:textId="77777777" w:rsidR="005230B3" w:rsidRPr="00956E52" w:rsidRDefault="007B7628" w:rsidP="000C29DC">
      <w:pPr>
        <w:pStyle w:val="ListParagraph"/>
        <w:numPr>
          <w:ilvl w:val="0"/>
          <w:numId w:val="7"/>
        </w:numPr>
        <w:spacing w:before="120" w:after="120"/>
        <w:ind w:left="426" w:hanging="426"/>
        <w:rPr>
          <w:rFonts w:cstheme="minorHAnsi"/>
        </w:rPr>
      </w:pPr>
      <w:r>
        <w:rPr>
          <w:rFonts w:cstheme="minorHAnsi"/>
        </w:rPr>
        <w:t>m</w:t>
      </w:r>
      <w:r w:rsidR="005230B3" w:rsidRPr="00956E52">
        <w:rPr>
          <w:rFonts w:cstheme="minorHAnsi"/>
        </w:rPr>
        <w:t xml:space="preserve">edia releases prepared for the </w:t>
      </w:r>
      <w:proofErr w:type="gramStart"/>
      <w:r w:rsidR="005230B3" w:rsidRPr="00956E52">
        <w:rPr>
          <w:rFonts w:cstheme="minorHAnsi"/>
        </w:rPr>
        <w:t>Mayor</w:t>
      </w:r>
      <w:proofErr w:type="gramEnd"/>
      <w:r w:rsidR="005230B3" w:rsidRPr="00956E52">
        <w:rPr>
          <w:rFonts w:cstheme="minorHAnsi"/>
        </w:rPr>
        <w:t>, to promote specific Town of East Fremantle positions;</w:t>
      </w:r>
    </w:p>
    <w:p w14:paraId="29C1BA38" w14:textId="77777777" w:rsidR="005230B3" w:rsidRPr="00956E52" w:rsidRDefault="007B7628" w:rsidP="000C29DC">
      <w:pPr>
        <w:pStyle w:val="ListParagraph"/>
        <w:numPr>
          <w:ilvl w:val="0"/>
          <w:numId w:val="7"/>
        </w:numPr>
        <w:spacing w:before="120" w:after="120"/>
        <w:ind w:left="426" w:hanging="426"/>
        <w:rPr>
          <w:rFonts w:cstheme="minorHAnsi"/>
        </w:rPr>
      </w:pPr>
      <w:r>
        <w:rPr>
          <w:rFonts w:cstheme="minorHAnsi"/>
        </w:rPr>
        <w:lastRenderedPageBreak/>
        <w:t>s</w:t>
      </w:r>
      <w:r w:rsidR="005230B3" w:rsidRPr="00956E52">
        <w:rPr>
          <w:rFonts w:cstheme="minorHAnsi"/>
        </w:rPr>
        <w:t>ocial media; and</w:t>
      </w:r>
    </w:p>
    <w:p w14:paraId="0811C133" w14:textId="77777777" w:rsidR="005230B3" w:rsidRPr="00956E52" w:rsidRDefault="007B7628" w:rsidP="000C29DC">
      <w:pPr>
        <w:pStyle w:val="ListParagraph"/>
        <w:numPr>
          <w:ilvl w:val="0"/>
          <w:numId w:val="7"/>
        </w:numPr>
        <w:spacing w:before="120" w:after="0"/>
        <w:ind w:left="426" w:hanging="426"/>
        <w:rPr>
          <w:rFonts w:cstheme="minorHAnsi"/>
        </w:rPr>
      </w:pPr>
      <w:r>
        <w:rPr>
          <w:rFonts w:cstheme="minorHAnsi"/>
        </w:rPr>
        <w:t>c</w:t>
      </w:r>
      <w:r w:rsidR="005230B3" w:rsidRPr="00956E52">
        <w:rPr>
          <w:rFonts w:cstheme="minorHAnsi"/>
        </w:rPr>
        <w:t xml:space="preserve">ommunity newsletters, letter </w:t>
      </w:r>
      <w:proofErr w:type="gramStart"/>
      <w:r w:rsidR="005230B3" w:rsidRPr="00956E52">
        <w:rPr>
          <w:rFonts w:cstheme="minorHAnsi"/>
        </w:rPr>
        <w:t>drops</w:t>
      </w:r>
      <w:proofErr w:type="gramEnd"/>
      <w:r w:rsidR="005230B3" w:rsidRPr="00956E52">
        <w:rPr>
          <w:rFonts w:cstheme="minorHAnsi"/>
        </w:rPr>
        <w:t xml:space="preserve"> and other modes of communications undertaken by the Town’s Administration at the discretion of the CEO. </w:t>
      </w:r>
    </w:p>
    <w:p w14:paraId="2C2D869D" w14:textId="77777777" w:rsidR="005230B3" w:rsidRPr="009579A8" w:rsidRDefault="00561BE2" w:rsidP="009579A8">
      <w:pPr>
        <w:spacing w:before="200" w:after="0"/>
        <w:ind w:left="426" w:hanging="426"/>
        <w:rPr>
          <w:b/>
        </w:rPr>
      </w:pPr>
      <w:r w:rsidRPr="009579A8">
        <w:rPr>
          <w:b/>
        </w:rPr>
        <w:t>2.</w:t>
      </w:r>
      <w:r w:rsidRPr="009579A8">
        <w:rPr>
          <w:b/>
        </w:rPr>
        <w:tab/>
      </w:r>
      <w:r w:rsidR="005230B3" w:rsidRPr="009579A8">
        <w:rPr>
          <w:b/>
        </w:rPr>
        <w:t>Speaking on behalf of the Town of East Fremantle</w:t>
      </w:r>
    </w:p>
    <w:p w14:paraId="6991FAA4" w14:textId="77777777" w:rsidR="005230B3" w:rsidRPr="00956E52" w:rsidRDefault="005230B3" w:rsidP="005230B3">
      <w:pPr>
        <w:tabs>
          <w:tab w:val="right" w:pos="8931"/>
        </w:tabs>
        <w:jc w:val="both"/>
        <w:rPr>
          <w:rFonts w:cstheme="minorHAnsi"/>
        </w:rPr>
      </w:pPr>
      <w:r w:rsidRPr="00956E52">
        <w:rPr>
          <w:rFonts w:cstheme="minorHAnsi"/>
        </w:rPr>
        <w:t xml:space="preserve">The </w:t>
      </w:r>
      <w:proofErr w:type="gramStart"/>
      <w:r w:rsidRPr="00956E52">
        <w:rPr>
          <w:rFonts w:cstheme="minorHAnsi"/>
        </w:rPr>
        <w:t>Mayor</w:t>
      </w:r>
      <w:proofErr w:type="gramEnd"/>
      <w:r w:rsidRPr="00956E52">
        <w:rPr>
          <w:rFonts w:cstheme="minorHAnsi"/>
        </w:rPr>
        <w:t xml:space="preserve"> is the official spokesperson for the Town and may represent the Town of East Fremantle and may represent the Town in official communications, including; speeches, comment, print, electronic and social media</w:t>
      </w:r>
      <w:r w:rsidRPr="00956E52">
        <w:rPr>
          <w:rFonts w:cstheme="minorHAnsi"/>
          <w:i/>
        </w:rPr>
        <w:t>. [ s.2.8(1)(d) of the Local Government Act 1995]</w:t>
      </w:r>
    </w:p>
    <w:p w14:paraId="20495BF8" w14:textId="77777777" w:rsidR="005230B3" w:rsidRPr="00956E52" w:rsidRDefault="005230B3" w:rsidP="00561BE2">
      <w:pPr>
        <w:tabs>
          <w:tab w:val="right" w:pos="8931"/>
        </w:tabs>
        <w:spacing w:after="0"/>
        <w:rPr>
          <w:rFonts w:cstheme="minorHAnsi"/>
        </w:rPr>
      </w:pPr>
      <w:r w:rsidRPr="00956E52">
        <w:rPr>
          <w:rFonts w:cstheme="minorHAnsi"/>
        </w:rPr>
        <w:t>Where the Mayor is unavailable, the Deputy Mayor may act as the spokesperson.</w:t>
      </w:r>
    </w:p>
    <w:p w14:paraId="3959EC45" w14:textId="77777777" w:rsidR="005230B3" w:rsidRPr="00956E52" w:rsidRDefault="005230B3" w:rsidP="005230B3">
      <w:pPr>
        <w:tabs>
          <w:tab w:val="right" w:pos="8931"/>
        </w:tabs>
        <w:rPr>
          <w:rFonts w:cstheme="minorHAnsi"/>
          <w:i/>
        </w:rPr>
      </w:pPr>
      <w:r w:rsidRPr="00956E52">
        <w:rPr>
          <w:rFonts w:cstheme="minorHAnsi"/>
        </w:rPr>
        <w:t>[</w:t>
      </w:r>
      <w:r w:rsidRPr="00956E52">
        <w:rPr>
          <w:rFonts w:cstheme="minorHAnsi"/>
          <w:i/>
        </w:rPr>
        <w:t>s.2.9 and s.5.34 of the Local Government Act 1995]</w:t>
      </w:r>
    </w:p>
    <w:p w14:paraId="49C9EF3A" w14:textId="77777777" w:rsidR="00561BE2" w:rsidRDefault="005230B3" w:rsidP="00561BE2">
      <w:pPr>
        <w:tabs>
          <w:tab w:val="right" w:pos="8931"/>
        </w:tabs>
        <w:spacing w:after="0"/>
        <w:rPr>
          <w:rFonts w:cstheme="minorHAnsi"/>
        </w:rPr>
      </w:pPr>
      <w:r w:rsidRPr="00956E52">
        <w:rPr>
          <w:rFonts w:cstheme="minorHAnsi"/>
        </w:rPr>
        <w:t xml:space="preserve">The CEO may speak on behalf of the Town, where authorised to do so by the </w:t>
      </w:r>
      <w:proofErr w:type="gramStart"/>
      <w:r w:rsidRPr="00956E52">
        <w:rPr>
          <w:rFonts w:cstheme="minorHAnsi"/>
        </w:rPr>
        <w:t>Mayor</w:t>
      </w:r>
      <w:proofErr w:type="gramEnd"/>
      <w:r w:rsidRPr="00956E52">
        <w:rPr>
          <w:rFonts w:cstheme="minorHAnsi"/>
        </w:rPr>
        <w:t xml:space="preserve">. </w:t>
      </w:r>
    </w:p>
    <w:p w14:paraId="62EB6DF1" w14:textId="77777777" w:rsidR="005230B3" w:rsidRPr="00956E52" w:rsidRDefault="005230B3" w:rsidP="005230B3">
      <w:pPr>
        <w:tabs>
          <w:tab w:val="right" w:pos="8931"/>
        </w:tabs>
        <w:rPr>
          <w:rFonts w:cstheme="minorHAnsi"/>
        </w:rPr>
      </w:pPr>
      <w:r w:rsidRPr="00956E52">
        <w:rPr>
          <w:rFonts w:cstheme="minorHAnsi"/>
          <w:i/>
        </w:rPr>
        <w:t>[s.5.41(f) of the Local Government Act 1995]</w:t>
      </w:r>
    </w:p>
    <w:p w14:paraId="7CE5A9A3" w14:textId="77777777" w:rsidR="005230B3" w:rsidRPr="00956E52" w:rsidRDefault="005230B3" w:rsidP="005230B3">
      <w:pPr>
        <w:jc w:val="both"/>
        <w:rPr>
          <w:rFonts w:cstheme="minorHAnsi"/>
        </w:rPr>
      </w:pPr>
      <w:r w:rsidRPr="00956E52">
        <w:rPr>
          <w:rFonts w:cstheme="minorHAnsi"/>
        </w:rPr>
        <w:t xml:space="preserve">The provisions of the </w:t>
      </w:r>
      <w:r w:rsidRPr="00956E52">
        <w:rPr>
          <w:rFonts w:cstheme="minorHAnsi"/>
          <w:i/>
        </w:rPr>
        <w:t>Local Government Act 1995</w:t>
      </w:r>
      <w:r w:rsidRPr="00956E52">
        <w:rPr>
          <w:rFonts w:cstheme="minorHAnsi"/>
        </w:rPr>
        <w:t xml:space="preserve"> essentially direct that only the </w:t>
      </w:r>
      <w:proofErr w:type="gramStart"/>
      <w:r w:rsidRPr="00956E52">
        <w:rPr>
          <w:rFonts w:cstheme="minorHAnsi"/>
        </w:rPr>
        <w:t>Mayor</w:t>
      </w:r>
      <w:proofErr w:type="gramEnd"/>
      <w:r w:rsidRPr="00956E52">
        <w:rPr>
          <w:rFonts w:cstheme="minorHAnsi"/>
        </w:rPr>
        <w:t xml:space="preserve">, or the CEO if authorised, may speak on behalf of the Local Government.  It is respectful and courteous to the office of Mayor to refrain from commenting publicly, particularly on recent decisions or contemporary issues, until such time as the </w:t>
      </w:r>
      <w:proofErr w:type="gramStart"/>
      <w:r w:rsidRPr="00956E52">
        <w:rPr>
          <w:rFonts w:cstheme="minorHAnsi"/>
        </w:rPr>
        <w:t>Mayor</w:t>
      </w:r>
      <w:proofErr w:type="gramEnd"/>
      <w:r w:rsidRPr="00956E52">
        <w:rPr>
          <w:rFonts w:cstheme="minorHAnsi"/>
        </w:rPr>
        <w:t xml:space="preserve"> has had opportunity to speak on behalf of the Town.</w:t>
      </w:r>
    </w:p>
    <w:p w14:paraId="11A9D26C" w14:textId="77777777" w:rsidR="005230B3" w:rsidRPr="00956E52" w:rsidRDefault="005230B3" w:rsidP="00561BE2">
      <w:pPr>
        <w:spacing w:after="60" w:line="240" w:lineRule="auto"/>
        <w:rPr>
          <w:rFonts w:cstheme="minorHAnsi"/>
        </w:rPr>
      </w:pPr>
      <w:r w:rsidRPr="00956E52">
        <w:rPr>
          <w:rFonts w:cstheme="minorHAnsi"/>
        </w:rPr>
        <w:t>Communications by Elected Members, whether undertaken in an authorised official capacity or as a personal communication, must not:</w:t>
      </w:r>
    </w:p>
    <w:p w14:paraId="3AFA249E" w14:textId="77777777" w:rsidR="005230B3" w:rsidRPr="00956E52" w:rsidRDefault="005230B3" w:rsidP="000C29DC">
      <w:pPr>
        <w:pStyle w:val="ListParagraph"/>
        <w:numPr>
          <w:ilvl w:val="0"/>
          <w:numId w:val="9"/>
        </w:numPr>
        <w:spacing w:before="120" w:after="120"/>
        <w:ind w:left="284" w:hanging="284"/>
        <w:rPr>
          <w:rFonts w:cstheme="minorHAnsi"/>
        </w:rPr>
      </w:pPr>
      <w:r w:rsidRPr="00956E52">
        <w:rPr>
          <w:rFonts w:cstheme="minorHAnsi"/>
        </w:rPr>
        <w:t xml:space="preserve">bring the Town into </w:t>
      </w:r>
      <w:proofErr w:type="gramStart"/>
      <w:r w:rsidRPr="00956E52">
        <w:rPr>
          <w:rFonts w:cstheme="minorHAnsi"/>
        </w:rPr>
        <w:t>disrepute</w:t>
      </w:r>
      <w:r w:rsidRPr="00956E52">
        <w:rPr>
          <w:rFonts w:cstheme="minorHAnsi"/>
          <w:color w:val="00B050"/>
        </w:rPr>
        <w:t>;</w:t>
      </w:r>
      <w:proofErr w:type="gramEnd"/>
      <w:r w:rsidRPr="00956E52">
        <w:rPr>
          <w:rFonts w:cstheme="minorHAnsi"/>
          <w:color w:val="00B050"/>
        </w:rPr>
        <w:t xml:space="preserve"> </w:t>
      </w:r>
    </w:p>
    <w:p w14:paraId="295BA1C2" w14:textId="77777777" w:rsidR="005230B3" w:rsidRPr="00956E52" w:rsidRDefault="005230B3" w:rsidP="000C29DC">
      <w:pPr>
        <w:pStyle w:val="ListParagraph"/>
        <w:numPr>
          <w:ilvl w:val="0"/>
          <w:numId w:val="9"/>
        </w:numPr>
        <w:spacing w:before="120" w:after="120"/>
        <w:ind w:left="284" w:hanging="284"/>
        <w:rPr>
          <w:rFonts w:cstheme="minorHAnsi"/>
        </w:rPr>
      </w:pPr>
      <w:r w:rsidRPr="00956E52">
        <w:rPr>
          <w:rFonts w:cstheme="minorHAnsi"/>
        </w:rPr>
        <w:t xml:space="preserve">compromise the person’s effectiveness in their role with the </w:t>
      </w:r>
      <w:proofErr w:type="gramStart"/>
      <w:r w:rsidRPr="00956E52">
        <w:rPr>
          <w:rFonts w:cstheme="minorHAnsi"/>
        </w:rPr>
        <w:t>Town</w:t>
      </w:r>
      <w:r w:rsidRPr="00956E52">
        <w:rPr>
          <w:rFonts w:cstheme="minorHAnsi"/>
          <w:color w:val="00B050"/>
        </w:rPr>
        <w:t>;</w:t>
      </w:r>
      <w:proofErr w:type="gramEnd"/>
    </w:p>
    <w:p w14:paraId="3B595995" w14:textId="77777777" w:rsidR="005230B3" w:rsidRPr="00956E52" w:rsidRDefault="005230B3" w:rsidP="000C29DC">
      <w:pPr>
        <w:pStyle w:val="ListParagraph"/>
        <w:numPr>
          <w:ilvl w:val="0"/>
          <w:numId w:val="9"/>
        </w:numPr>
        <w:spacing w:before="120" w:after="120"/>
        <w:ind w:left="284" w:hanging="284"/>
        <w:rPr>
          <w:rFonts w:cstheme="minorHAnsi"/>
        </w:rPr>
      </w:pPr>
      <w:r w:rsidRPr="00956E52">
        <w:rPr>
          <w:rFonts w:cstheme="minorHAnsi"/>
        </w:rPr>
        <w:t xml:space="preserve">imply the Town’s endorsement of personal </w:t>
      </w:r>
      <w:proofErr w:type="gramStart"/>
      <w:r w:rsidRPr="00956E52">
        <w:rPr>
          <w:rFonts w:cstheme="minorHAnsi"/>
        </w:rPr>
        <w:t>views</w:t>
      </w:r>
      <w:r w:rsidRPr="00956E52">
        <w:rPr>
          <w:rFonts w:cstheme="minorHAnsi"/>
          <w:color w:val="00B050"/>
        </w:rPr>
        <w:t>;</w:t>
      </w:r>
      <w:proofErr w:type="gramEnd"/>
      <w:r w:rsidRPr="00956E52">
        <w:rPr>
          <w:rFonts w:cstheme="minorHAnsi"/>
          <w:color w:val="00B050"/>
        </w:rPr>
        <w:t xml:space="preserve"> </w:t>
      </w:r>
    </w:p>
    <w:p w14:paraId="6DCE7541" w14:textId="77777777" w:rsidR="005230B3" w:rsidRPr="00956E52" w:rsidRDefault="005230B3" w:rsidP="000C29DC">
      <w:pPr>
        <w:pStyle w:val="ListParagraph"/>
        <w:numPr>
          <w:ilvl w:val="0"/>
          <w:numId w:val="9"/>
        </w:numPr>
        <w:spacing w:before="120" w:after="120"/>
        <w:ind w:left="284" w:hanging="284"/>
        <w:jc w:val="both"/>
        <w:rPr>
          <w:rFonts w:cstheme="minorHAnsi"/>
        </w:rPr>
      </w:pPr>
      <w:r w:rsidRPr="00956E52">
        <w:rPr>
          <w:rFonts w:cstheme="minorHAnsi"/>
        </w:rPr>
        <w:t>imply the Elected Member is speaking on behalf of the Town, unless authorised to do so; or</w:t>
      </w:r>
    </w:p>
    <w:p w14:paraId="24752D6F" w14:textId="77777777" w:rsidR="005230B3" w:rsidRPr="00956E52" w:rsidRDefault="005230B3" w:rsidP="000C29DC">
      <w:pPr>
        <w:pStyle w:val="ListParagraph"/>
        <w:numPr>
          <w:ilvl w:val="0"/>
          <w:numId w:val="9"/>
        </w:numPr>
        <w:spacing w:before="120" w:after="0"/>
        <w:ind w:left="284" w:hanging="284"/>
        <w:rPr>
          <w:rFonts w:cstheme="minorHAnsi"/>
        </w:rPr>
      </w:pPr>
      <w:r w:rsidRPr="00956E52">
        <w:rPr>
          <w:rFonts w:cstheme="minorHAnsi"/>
        </w:rPr>
        <w:t xml:space="preserve">disclose, without authorisation, confidential information. </w:t>
      </w:r>
    </w:p>
    <w:p w14:paraId="3E5CC7AD" w14:textId="77777777" w:rsidR="005230B3" w:rsidRPr="00956E52" w:rsidRDefault="005230B3" w:rsidP="00561BE2">
      <w:pPr>
        <w:spacing w:before="200"/>
        <w:jc w:val="both"/>
        <w:rPr>
          <w:rFonts w:cstheme="minorHAnsi"/>
        </w:rPr>
      </w:pPr>
      <w:r w:rsidRPr="00956E52">
        <w:rPr>
          <w:rFonts w:cstheme="minorHAnsi"/>
        </w:rPr>
        <w:t>Social media accounts or unsecured website forums must not be used to transact meetings which relate to the official business of the Town.</w:t>
      </w:r>
    </w:p>
    <w:p w14:paraId="08651536" w14:textId="77777777" w:rsidR="005230B3" w:rsidRPr="00956E52" w:rsidRDefault="005230B3" w:rsidP="005230B3">
      <w:pPr>
        <w:jc w:val="both"/>
        <w:rPr>
          <w:rFonts w:cstheme="minorHAnsi"/>
        </w:rPr>
      </w:pPr>
      <w:r w:rsidRPr="00956E52">
        <w:rPr>
          <w:rFonts w:cstheme="minorHAnsi"/>
        </w:rPr>
        <w:t xml:space="preserve">Elected member communications must comply with the Code of Conduct and the </w:t>
      </w:r>
      <w:r w:rsidRPr="00956E52">
        <w:rPr>
          <w:rFonts w:cstheme="minorHAnsi"/>
          <w:i/>
        </w:rPr>
        <w:t>Local Government (Rules of Conduct) Regulations 2007</w:t>
      </w:r>
      <w:r w:rsidRPr="00956E52">
        <w:rPr>
          <w:rFonts w:cstheme="minorHAnsi"/>
        </w:rPr>
        <w:t>.</w:t>
      </w:r>
    </w:p>
    <w:p w14:paraId="28EB7888" w14:textId="77777777" w:rsidR="005230B3" w:rsidRPr="0093618A" w:rsidRDefault="00561BE2" w:rsidP="0093618A">
      <w:pPr>
        <w:spacing w:after="0"/>
        <w:ind w:left="425" w:hanging="425"/>
        <w:rPr>
          <w:rFonts w:cstheme="minorHAnsi"/>
          <w:b/>
          <w:u w:val="single"/>
        </w:rPr>
      </w:pPr>
      <w:r w:rsidRPr="0093618A">
        <w:rPr>
          <w:rFonts w:cstheme="minorHAnsi"/>
          <w:b/>
        </w:rPr>
        <w:t>3.</w:t>
      </w:r>
      <w:r w:rsidRPr="0093618A">
        <w:rPr>
          <w:rFonts w:cstheme="minorHAnsi"/>
          <w:b/>
          <w:i/>
        </w:rPr>
        <w:tab/>
      </w:r>
      <w:r w:rsidR="005230B3" w:rsidRPr="0093618A">
        <w:rPr>
          <w:b/>
        </w:rPr>
        <w:t>Responding to Media Enquiries, Developing Media Statements, Press Releases</w:t>
      </w:r>
    </w:p>
    <w:p w14:paraId="6C7BD0EC" w14:textId="77777777" w:rsidR="005230B3" w:rsidRPr="00956E52" w:rsidRDefault="005230B3" w:rsidP="005230B3">
      <w:pPr>
        <w:jc w:val="both"/>
        <w:rPr>
          <w:rFonts w:cstheme="minorHAnsi"/>
        </w:rPr>
      </w:pPr>
      <w:r w:rsidRPr="00956E52">
        <w:rPr>
          <w:rFonts w:cstheme="minorHAnsi"/>
        </w:rPr>
        <w:t>All enquiries from the Media for an official Town of East Fremantle comment, whether made to an individual Elected Member or Employee, must be directed to the CEO or a person authorised by the CEO.  Information will be coordinated to support the Mayor or CEO (where authorised) to make an official response on behalf of the Town.</w:t>
      </w:r>
    </w:p>
    <w:p w14:paraId="650ACD91" w14:textId="77777777" w:rsidR="005230B3" w:rsidRPr="00956E52" w:rsidRDefault="005230B3" w:rsidP="00561BE2">
      <w:pPr>
        <w:jc w:val="both"/>
        <w:rPr>
          <w:rFonts w:cstheme="minorHAnsi"/>
        </w:rPr>
      </w:pPr>
      <w:r w:rsidRPr="00956E52">
        <w:rPr>
          <w:rFonts w:cstheme="minorHAnsi"/>
        </w:rPr>
        <w:t>Elected Members may make comments to the media in a personal capacity – refer to clause 7.1 below.</w:t>
      </w:r>
    </w:p>
    <w:p w14:paraId="6A7D19CD" w14:textId="77777777" w:rsidR="005230B3" w:rsidRPr="009579A8" w:rsidRDefault="00561BE2" w:rsidP="0093618A">
      <w:pPr>
        <w:spacing w:after="0"/>
        <w:ind w:left="426" w:hanging="426"/>
        <w:rPr>
          <w:b/>
        </w:rPr>
      </w:pPr>
      <w:r w:rsidRPr="009579A8">
        <w:rPr>
          <w:rFonts w:cstheme="minorHAnsi"/>
          <w:b/>
        </w:rPr>
        <w:t>4.</w:t>
      </w:r>
      <w:r w:rsidRPr="009579A8">
        <w:rPr>
          <w:rFonts w:cstheme="minorHAnsi"/>
          <w:b/>
          <w:i/>
        </w:rPr>
        <w:tab/>
      </w:r>
      <w:r w:rsidR="005230B3" w:rsidRPr="009579A8">
        <w:rPr>
          <w:b/>
        </w:rPr>
        <w:t>Website</w:t>
      </w:r>
    </w:p>
    <w:p w14:paraId="5C53BD6A" w14:textId="77777777" w:rsidR="005230B3" w:rsidRPr="00956E52" w:rsidRDefault="005230B3" w:rsidP="005230B3">
      <w:pPr>
        <w:jc w:val="both"/>
        <w:rPr>
          <w:rFonts w:cstheme="minorHAnsi"/>
        </w:rPr>
      </w:pPr>
      <w:r w:rsidRPr="00956E52">
        <w:rPr>
          <w:rFonts w:cstheme="minorHAnsi"/>
        </w:rPr>
        <w:t>The Town of East Fremantle will maintain an official website, as our community’s on-line resource to access to the Town’s official communications.</w:t>
      </w:r>
    </w:p>
    <w:p w14:paraId="13967396" w14:textId="77777777" w:rsidR="005230B3" w:rsidRPr="0093618A" w:rsidRDefault="00561BE2" w:rsidP="0093618A">
      <w:pPr>
        <w:spacing w:after="0"/>
        <w:ind w:left="425" w:hanging="425"/>
        <w:rPr>
          <w:b/>
          <w:i/>
        </w:rPr>
      </w:pPr>
      <w:r w:rsidRPr="0093618A">
        <w:rPr>
          <w:b/>
        </w:rPr>
        <w:t>5.</w:t>
      </w:r>
      <w:r w:rsidRPr="0093618A">
        <w:rPr>
          <w:b/>
          <w:i/>
        </w:rPr>
        <w:tab/>
      </w:r>
      <w:r w:rsidR="005230B3" w:rsidRPr="0093618A">
        <w:rPr>
          <w:b/>
        </w:rPr>
        <w:t>Social Media</w:t>
      </w:r>
    </w:p>
    <w:p w14:paraId="0DDD006F" w14:textId="77777777" w:rsidR="005230B3" w:rsidRPr="00956E52" w:rsidRDefault="005230B3" w:rsidP="005230B3">
      <w:pPr>
        <w:jc w:val="both"/>
        <w:rPr>
          <w:rFonts w:cstheme="minorHAnsi"/>
        </w:rPr>
      </w:pPr>
      <w:r w:rsidRPr="00956E52">
        <w:rPr>
          <w:rFonts w:cstheme="minorHAnsi"/>
        </w:rPr>
        <w:t xml:space="preserve">The Town of East Fremantle uses </w:t>
      </w:r>
      <w:proofErr w:type="gramStart"/>
      <w:r w:rsidRPr="00956E52">
        <w:rPr>
          <w:rFonts w:cstheme="minorHAnsi"/>
        </w:rPr>
        <w:t>Social Media</w:t>
      </w:r>
      <w:proofErr w:type="gramEnd"/>
      <w:r w:rsidRPr="00956E52">
        <w:rPr>
          <w:rFonts w:cstheme="minorHAnsi"/>
        </w:rPr>
        <w:t xml:space="preserve"> to facilitate interactive information sharing and to provide responsive feedback to our community.  </w:t>
      </w:r>
      <w:proofErr w:type="gramStart"/>
      <w:r w:rsidRPr="00956E52">
        <w:rPr>
          <w:rFonts w:cstheme="minorHAnsi"/>
        </w:rPr>
        <w:t>Social Media</w:t>
      </w:r>
      <w:proofErr w:type="gramEnd"/>
      <w:r w:rsidRPr="00956E52">
        <w:rPr>
          <w:rFonts w:cstheme="minorHAnsi"/>
        </w:rPr>
        <w:t xml:space="preserve"> will not however, be used by the Town </w:t>
      </w:r>
      <w:r w:rsidRPr="00956E52">
        <w:rPr>
          <w:rFonts w:cstheme="minorHAnsi"/>
        </w:rPr>
        <w:lastRenderedPageBreak/>
        <w:t>to communicate or respond to matters that are complex or relate to a person’s or entity’s private affairs.</w:t>
      </w:r>
    </w:p>
    <w:p w14:paraId="72666BFA" w14:textId="77777777" w:rsidR="005230B3" w:rsidRPr="00956E52" w:rsidRDefault="005230B3" w:rsidP="0093618A">
      <w:pPr>
        <w:spacing w:after="60"/>
        <w:jc w:val="both"/>
        <w:rPr>
          <w:rFonts w:cstheme="minorHAnsi"/>
        </w:rPr>
      </w:pPr>
      <w:r w:rsidRPr="00956E52">
        <w:rPr>
          <w:rFonts w:cstheme="minorHAnsi"/>
        </w:rPr>
        <w:t>The Town of East Fremantle currently maintains the following Social Media accounts:</w:t>
      </w:r>
    </w:p>
    <w:p w14:paraId="5E4944DD" w14:textId="77777777" w:rsidR="005230B3" w:rsidRPr="00956E52" w:rsidRDefault="005230B3" w:rsidP="000C29DC">
      <w:pPr>
        <w:pStyle w:val="ListParagraph"/>
        <w:numPr>
          <w:ilvl w:val="0"/>
          <w:numId w:val="11"/>
        </w:numPr>
        <w:spacing w:after="0"/>
        <w:ind w:left="425" w:hanging="425"/>
        <w:jc w:val="both"/>
        <w:rPr>
          <w:rFonts w:cstheme="minorHAnsi"/>
        </w:rPr>
      </w:pPr>
      <w:r w:rsidRPr="00956E52">
        <w:rPr>
          <w:rFonts w:cstheme="minorHAnsi"/>
        </w:rPr>
        <w:t xml:space="preserve">Facebook </w:t>
      </w:r>
    </w:p>
    <w:p w14:paraId="3BE3B39E" w14:textId="77777777" w:rsidR="005230B3" w:rsidRPr="00956E52" w:rsidRDefault="005230B3" w:rsidP="00561BE2">
      <w:pPr>
        <w:spacing w:before="200"/>
        <w:jc w:val="both"/>
        <w:rPr>
          <w:rFonts w:cstheme="minorHAnsi"/>
        </w:rPr>
      </w:pPr>
      <w:r w:rsidRPr="00956E52">
        <w:rPr>
          <w:rFonts w:cstheme="minorHAnsi"/>
        </w:rPr>
        <w:t xml:space="preserve">The Town of East Fremantle may also post and contribute to </w:t>
      </w:r>
      <w:proofErr w:type="gramStart"/>
      <w:r w:rsidRPr="00956E52">
        <w:rPr>
          <w:rFonts w:cstheme="minorHAnsi"/>
        </w:rPr>
        <w:t>Social Media</w:t>
      </w:r>
      <w:proofErr w:type="gramEnd"/>
      <w:r w:rsidRPr="00956E52">
        <w:rPr>
          <w:rFonts w:cstheme="minorHAnsi"/>
        </w:rPr>
        <w:t xml:space="preserve"> hosted by others, so as to ensure that the Town’s strategic objectives are appropriately represented and promoted.</w:t>
      </w:r>
    </w:p>
    <w:p w14:paraId="296E8C5E" w14:textId="77777777" w:rsidR="005230B3" w:rsidRPr="00956E52" w:rsidRDefault="005230B3" w:rsidP="00800F7A">
      <w:pPr>
        <w:spacing w:after="60"/>
        <w:jc w:val="both"/>
        <w:rPr>
          <w:rFonts w:cstheme="minorHAnsi"/>
        </w:rPr>
      </w:pPr>
      <w:r w:rsidRPr="00956E52">
        <w:rPr>
          <w:rFonts w:cstheme="minorHAnsi"/>
        </w:rPr>
        <w:t>The Town of East Fremantle actively seeks ideas, questions and feedback from our community however, we expect participants to behave in a respectful manner.  The Town will moderate its Social Media accounts to address and where necessary delete content deemed to be:</w:t>
      </w:r>
    </w:p>
    <w:p w14:paraId="110BAF11" w14:textId="77777777" w:rsidR="005230B3" w:rsidRPr="00956E52" w:rsidRDefault="005230B3" w:rsidP="000C29DC">
      <w:pPr>
        <w:pStyle w:val="ListParagraph"/>
        <w:numPr>
          <w:ilvl w:val="0"/>
          <w:numId w:val="8"/>
        </w:numPr>
        <w:spacing w:before="120" w:after="120"/>
        <w:ind w:left="426" w:hanging="426"/>
        <w:jc w:val="both"/>
        <w:rPr>
          <w:rFonts w:cstheme="minorHAnsi"/>
        </w:rPr>
      </w:pPr>
      <w:r w:rsidRPr="00956E52">
        <w:rPr>
          <w:rFonts w:cstheme="minorHAnsi"/>
        </w:rPr>
        <w:t xml:space="preserve">offensive, abusive, defamatory, inaccurate, false or </w:t>
      </w:r>
      <w:proofErr w:type="gramStart"/>
      <w:r w:rsidRPr="00956E52">
        <w:rPr>
          <w:rFonts w:cstheme="minorHAnsi"/>
        </w:rPr>
        <w:t>misleading;</w:t>
      </w:r>
      <w:proofErr w:type="gramEnd"/>
    </w:p>
    <w:p w14:paraId="0847EC81" w14:textId="77777777" w:rsidR="005230B3" w:rsidRPr="00956E52" w:rsidRDefault="005230B3" w:rsidP="000C29DC">
      <w:pPr>
        <w:pStyle w:val="ListParagraph"/>
        <w:numPr>
          <w:ilvl w:val="0"/>
          <w:numId w:val="8"/>
        </w:numPr>
        <w:spacing w:before="120" w:after="120"/>
        <w:ind w:left="426" w:hanging="426"/>
        <w:jc w:val="both"/>
        <w:rPr>
          <w:rFonts w:cstheme="minorHAnsi"/>
        </w:rPr>
      </w:pPr>
      <w:r w:rsidRPr="00956E52">
        <w:rPr>
          <w:rFonts w:cstheme="minorHAnsi"/>
        </w:rPr>
        <w:t xml:space="preserve">promotional, soliciting or commercial in </w:t>
      </w:r>
      <w:proofErr w:type="gramStart"/>
      <w:r w:rsidRPr="00956E52">
        <w:rPr>
          <w:rFonts w:cstheme="minorHAnsi"/>
        </w:rPr>
        <w:t>nature;</w:t>
      </w:r>
      <w:proofErr w:type="gramEnd"/>
    </w:p>
    <w:p w14:paraId="4A48D5B9" w14:textId="77777777" w:rsidR="005230B3" w:rsidRPr="00956E52" w:rsidRDefault="005230B3" w:rsidP="000C29DC">
      <w:pPr>
        <w:pStyle w:val="ListParagraph"/>
        <w:numPr>
          <w:ilvl w:val="0"/>
          <w:numId w:val="8"/>
        </w:numPr>
        <w:spacing w:before="120" w:after="120"/>
        <w:ind w:left="426" w:hanging="426"/>
        <w:jc w:val="both"/>
        <w:rPr>
          <w:rFonts w:cstheme="minorHAnsi"/>
        </w:rPr>
      </w:pPr>
      <w:r w:rsidRPr="00956E52">
        <w:rPr>
          <w:rFonts w:cstheme="minorHAnsi"/>
        </w:rPr>
        <w:t xml:space="preserve">unlawful or incites others to break the </w:t>
      </w:r>
      <w:proofErr w:type="gramStart"/>
      <w:r w:rsidRPr="00956E52">
        <w:rPr>
          <w:rFonts w:cstheme="minorHAnsi"/>
        </w:rPr>
        <w:t>law;</w:t>
      </w:r>
      <w:proofErr w:type="gramEnd"/>
    </w:p>
    <w:p w14:paraId="673BF146" w14:textId="77777777" w:rsidR="005230B3" w:rsidRPr="00956E52" w:rsidRDefault="005230B3" w:rsidP="000C29DC">
      <w:pPr>
        <w:pStyle w:val="ListParagraph"/>
        <w:numPr>
          <w:ilvl w:val="0"/>
          <w:numId w:val="8"/>
        </w:numPr>
        <w:spacing w:before="120" w:after="120"/>
        <w:ind w:left="426" w:hanging="426"/>
        <w:jc w:val="both"/>
        <w:rPr>
          <w:rFonts w:cstheme="minorHAnsi"/>
        </w:rPr>
      </w:pPr>
      <w:r w:rsidRPr="00956E52">
        <w:rPr>
          <w:rFonts w:cstheme="minorHAnsi"/>
        </w:rPr>
        <w:t xml:space="preserve">information which may compromise individual or community safety or </w:t>
      </w:r>
      <w:proofErr w:type="gramStart"/>
      <w:r w:rsidRPr="00956E52">
        <w:rPr>
          <w:rFonts w:cstheme="minorHAnsi"/>
        </w:rPr>
        <w:t>security;</w:t>
      </w:r>
      <w:proofErr w:type="gramEnd"/>
    </w:p>
    <w:p w14:paraId="01A3E6D2" w14:textId="77777777" w:rsidR="005230B3" w:rsidRPr="00956E52" w:rsidRDefault="005230B3" w:rsidP="000C29DC">
      <w:pPr>
        <w:pStyle w:val="ListParagraph"/>
        <w:numPr>
          <w:ilvl w:val="0"/>
          <w:numId w:val="8"/>
        </w:numPr>
        <w:spacing w:before="120" w:after="120"/>
        <w:ind w:left="426" w:hanging="426"/>
        <w:jc w:val="both"/>
        <w:rPr>
          <w:rFonts w:cstheme="minorHAnsi"/>
        </w:rPr>
      </w:pPr>
      <w:r w:rsidRPr="00956E52">
        <w:rPr>
          <w:rFonts w:cstheme="minorHAnsi"/>
        </w:rPr>
        <w:t xml:space="preserve">repetitive material copied and pasted or </w:t>
      </w:r>
      <w:proofErr w:type="gramStart"/>
      <w:r w:rsidRPr="00956E52">
        <w:rPr>
          <w:rFonts w:cstheme="minorHAnsi"/>
        </w:rPr>
        <w:t>duplicated;</w:t>
      </w:r>
      <w:proofErr w:type="gramEnd"/>
      <w:r w:rsidRPr="00956E52">
        <w:rPr>
          <w:rFonts w:cstheme="minorHAnsi"/>
        </w:rPr>
        <w:t xml:space="preserve"> </w:t>
      </w:r>
    </w:p>
    <w:p w14:paraId="07DAB858" w14:textId="77777777" w:rsidR="005230B3" w:rsidRPr="00956E52" w:rsidRDefault="005230B3" w:rsidP="000C29DC">
      <w:pPr>
        <w:pStyle w:val="ListParagraph"/>
        <w:numPr>
          <w:ilvl w:val="0"/>
          <w:numId w:val="8"/>
        </w:numPr>
        <w:spacing w:before="120" w:after="120"/>
        <w:ind w:left="426" w:hanging="426"/>
        <w:jc w:val="both"/>
        <w:rPr>
          <w:rFonts w:cstheme="minorHAnsi"/>
        </w:rPr>
      </w:pPr>
      <w:r w:rsidRPr="00956E52">
        <w:rPr>
          <w:rFonts w:cstheme="minorHAnsi"/>
        </w:rPr>
        <w:t xml:space="preserve">content that promotes or opposes any person campaigning for election to the Council, appointment to official office, or any </w:t>
      </w:r>
      <w:proofErr w:type="gramStart"/>
      <w:r w:rsidRPr="00956E52">
        <w:rPr>
          <w:rFonts w:cstheme="minorHAnsi"/>
        </w:rPr>
        <w:t>ballot;</w:t>
      </w:r>
      <w:proofErr w:type="gramEnd"/>
      <w:r w:rsidRPr="00956E52">
        <w:rPr>
          <w:rFonts w:cstheme="minorHAnsi"/>
        </w:rPr>
        <w:t xml:space="preserve"> </w:t>
      </w:r>
    </w:p>
    <w:p w14:paraId="6CDEC855" w14:textId="77777777" w:rsidR="005230B3" w:rsidRPr="00956E52" w:rsidRDefault="005230B3" w:rsidP="000C29DC">
      <w:pPr>
        <w:pStyle w:val="ListParagraph"/>
        <w:numPr>
          <w:ilvl w:val="0"/>
          <w:numId w:val="8"/>
        </w:numPr>
        <w:spacing w:before="120" w:after="120"/>
        <w:ind w:left="426" w:hanging="426"/>
        <w:jc w:val="both"/>
        <w:rPr>
          <w:rFonts w:cstheme="minorHAnsi"/>
        </w:rPr>
      </w:pPr>
      <w:r w:rsidRPr="00956E52">
        <w:rPr>
          <w:rFonts w:cstheme="minorHAnsi"/>
        </w:rPr>
        <w:t>content that violates intellectual property rights or the legal ownership of interests or another party; and</w:t>
      </w:r>
    </w:p>
    <w:p w14:paraId="39B84B58" w14:textId="77777777" w:rsidR="005230B3" w:rsidRPr="00956E52" w:rsidRDefault="005230B3" w:rsidP="000C29DC">
      <w:pPr>
        <w:pStyle w:val="ListParagraph"/>
        <w:numPr>
          <w:ilvl w:val="0"/>
          <w:numId w:val="8"/>
        </w:numPr>
        <w:spacing w:before="120" w:after="0"/>
        <w:ind w:left="426" w:hanging="426"/>
        <w:jc w:val="both"/>
        <w:rPr>
          <w:rFonts w:cstheme="minorHAnsi"/>
        </w:rPr>
      </w:pPr>
      <w:r w:rsidRPr="00956E52">
        <w:rPr>
          <w:rFonts w:cstheme="minorHAnsi"/>
        </w:rPr>
        <w:t>any other inappropriate content or comments at the discretion of the Town of East Fremantle.</w:t>
      </w:r>
    </w:p>
    <w:p w14:paraId="6E2F44C2" w14:textId="77777777" w:rsidR="005230B3" w:rsidRPr="00956E52" w:rsidRDefault="005230B3" w:rsidP="007B7628">
      <w:pPr>
        <w:spacing w:before="200"/>
        <w:jc w:val="both"/>
        <w:rPr>
          <w:rFonts w:cstheme="minorHAnsi"/>
        </w:rPr>
      </w:pPr>
      <w:r w:rsidRPr="00956E52">
        <w:rPr>
          <w:rFonts w:cstheme="minorHAnsi"/>
        </w:rPr>
        <w:t xml:space="preserve">Where a </w:t>
      </w:r>
      <w:proofErr w:type="gramStart"/>
      <w:r w:rsidRPr="00956E52">
        <w:rPr>
          <w:rFonts w:cstheme="minorHAnsi"/>
        </w:rPr>
        <w:t>third party</w:t>
      </w:r>
      <w:proofErr w:type="gramEnd"/>
      <w:r w:rsidRPr="00956E52">
        <w:rPr>
          <w:rFonts w:cstheme="minorHAnsi"/>
        </w:rPr>
        <w:t xml:space="preserve"> contributor to the Town’s social media account is identified as posting content which is deleted is accordance with the above, the Town may at its complete discretion block that contributor for a specific period of time or permanently.</w:t>
      </w:r>
    </w:p>
    <w:p w14:paraId="266DC5DB" w14:textId="77777777" w:rsidR="005230B3" w:rsidRPr="00956E52" w:rsidRDefault="005230B3" w:rsidP="005230B3">
      <w:pPr>
        <w:jc w:val="both"/>
        <w:rPr>
          <w:rFonts w:cstheme="minorHAnsi"/>
        </w:rPr>
      </w:pPr>
      <w:proofErr w:type="gramStart"/>
      <w:r w:rsidRPr="00956E52">
        <w:rPr>
          <w:rFonts w:cstheme="minorHAnsi"/>
        </w:rPr>
        <w:t>Social Media</w:t>
      </w:r>
      <w:proofErr w:type="gramEnd"/>
      <w:r w:rsidRPr="00956E52">
        <w:rPr>
          <w:rFonts w:cstheme="minorHAnsi"/>
        </w:rPr>
        <w:t xml:space="preserve"> is not an official forum for providing detailed responses to comments posted on the Town of East Fremantle social media platforms and where appropriate the Town’s </w:t>
      </w:r>
      <w:proofErr w:type="spellStart"/>
      <w:r w:rsidRPr="00956E52">
        <w:rPr>
          <w:rFonts w:cstheme="minorHAnsi"/>
        </w:rPr>
        <w:t>face</w:t>
      </w:r>
      <w:r w:rsidR="006B1124">
        <w:rPr>
          <w:rFonts w:cstheme="minorHAnsi"/>
        </w:rPr>
        <w:t>book</w:t>
      </w:r>
      <w:proofErr w:type="spellEnd"/>
      <w:r w:rsidR="006B1124">
        <w:rPr>
          <w:rFonts w:cstheme="minorHAnsi"/>
        </w:rPr>
        <w:t xml:space="preserve"> administrator may use the </w:t>
      </w:r>
      <w:r w:rsidRPr="00956E52">
        <w:rPr>
          <w:rFonts w:cstheme="minorHAnsi"/>
        </w:rPr>
        <w:t>following statement if a comment or query comes from a member of the public via social media:</w:t>
      </w:r>
    </w:p>
    <w:p w14:paraId="5C4C344E" w14:textId="77777777" w:rsidR="005230B3" w:rsidRPr="00956E52" w:rsidRDefault="005230B3" w:rsidP="005230B3">
      <w:pPr>
        <w:rPr>
          <w:rFonts w:cstheme="minorHAnsi"/>
          <w:i/>
          <w:iCs/>
          <w:shd w:val="clear" w:color="auto" w:fill="FFFFFF"/>
        </w:rPr>
      </w:pPr>
      <w:r w:rsidRPr="00956E52">
        <w:rPr>
          <w:rFonts w:cstheme="minorHAnsi"/>
          <w:i/>
          <w:iCs/>
          <w:shd w:val="clear" w:color="auto" w:fill="FFFFFF"/>
        </w:rPr>
        <w:t xml:space="preserve">"Hi &lt;&lt;name&gt;&gt;, thank you for connecting with us on Facebook. We are unable to action requests via </w:t>
      </w:r>
      <w:proofErr w:type="gramStart"/>
      <w:r w:rsidRPr="00956E52">
        <w:rPr>
          <w:rFonts w:cstheme="minorHAnsi"/>
          <w:i/>
          <w:iCs/>
          <w:shd w:val="clear" w:color="auto" w:fill="FFFFFF"/>
        </w:rPr>
        <w:t>Social Media</w:t>
      </w:r>
      <w:proofErr w:type="gramEnd"/>
      <w:r w:rsidRPr="00956E52">
        <w:rPr>
          <w:rFonts w:cstheme="minorHAnsi"/>
          <w:i/>
          <w:iCs/>
          <w:shd w:val="clear" w:color="auto" w:fill="FFFFFF"/>
        </w:rPr>
        <w:t xml:space="preserve"> - please email your message to </w:t>
      </w:r>
      <w:hyperlink r:id="rId24" w:history="1">
        <w:r w:rsidRPr="00956E52">
          <w:rPr>
            <w:rStyle w:val="Hyperlink"/>
            <w:rFonts w:cstheme="minorHAnsi"/>
            <w:i/>
            <w:iCs/>
            <w:shd w:val="clear" w:color="auto" w:fill="FFFFFF"/>
          </w:rPr>
          <w:t>admin@eastfremantle.wa.gov.au</w:t>
        </w:r>
      </w:hyperlink>
      <w:r w:rsidRPr="00956E52">
        <w:rPr>
          <w:rFonts w:cstheme="minorHAnsi"/>
          <w:i/>
          <w:iCs/>
          <w:shd w:val="clear" w:color="auto" w:fill="FFFFFF"/>
        </w:rPr>
        <w:t>. Thank you for your kind attention. "</w:t>
      </w:r>
    </w:p>
    <w:p w14:paraId="727F74B1" w14:textId="77777777" w:rsidR="005230B3" w:rsidRPr="0093618A" w:rsidRDefault="00561BE2" w:rsidP="0093618A">
      <w:pPr>
        <w:spacing w:after="0"/>
        <w:ind w:left="567" w:hanging="567"/>
        <w:rPr>
          <w:i/>
        </w:rPr>
      </w:pPr>
      <w:r w:rsidRPr="0093618A">
        <w:rPr>
          <w:i/>
        </w:rPr>
        <w:t>5.1</w:t>
      </w:r>
      <w:r w:rsidRPr="0093618A">
        <w:rPr>
          <w:i/>
        </w:rPr>
        <w:tab/>
      </w:r>
      <w:r w:rsidR="005230B3" w:rsidRPr="0093618A">
        <w:rPr>
          <w:i/>
        </w:rPr>
        <w:t>Use of Social Media in Emergency Management and Response</w:t>
      </w:r>
    </w:p>
    <w:p w14:paraId="1EAC9AC5" w14:textId="77777777" w:rsidR="005230B3" w:rsidRPr="00956E52" w:rsidRDefault="005230B3" w:rsidP="00561BE2">
      <w:pPr>
        <w:spacing w:after="60"/>
        <w:jc w:val="both"/>
        <w:rPr>
          <w:rFonts w:cstheme="minorHAnsi"/>
        </w:rPr>
      </w:pPr>
      <w:r w:rsidRPr="00956E52">
        <w:rPr>
          <w:rFonts w:cstheme="minorHAnsi"/>
        </w:rPr>
        <w:t>The Town will use the following Social Media accounts to communicate and advise our community regarding Emergency Management:</w:t>
      </w:r>
    </w:p>
    <w:p w14:paraId="5EBA43C4" w14:textId="77777777" w:rsidR="005230B3" w:rsidRPr="00956E52" w:rsidRDefault="005230B3" w:rsidP="000C29DC">
      <w:pPr>
        <w:pStyle w:val="ListParagraph"/>
        <w:numPr>
          <w:ilvl w:val="0"/>
          <w:numId w:val="11"/>
        </w:numPr>
        <w:spacing w:before="120" w:after="120"/>
        <w:ind w:left="426" w:hanging="426"/>
        <w:jc w:val="both"/>
        <w:rPr>
          <w:rFonts w:cstheme="minorHAnsi"/>
        </w:rPr>
      </w:pPr>
      <w:r w:rsidRPr="00956E52">
        <w:rPr>
          <w:rFonts w:cstheme="minorHAnsi"/>
        </w:rPr>
        <w:t>Facebook</w:t>
      </w:r>
    </w:p>
    <w:p w14:paraId="2AC6ABFE" w14:textId="77777777" w:rsidR="005230B3" w:rsidRPr="00956E52" w:rsidRDefault="005230B3" w:rsidP="000C29DC">
      <w:pPr>
        <w:pStyle w:val="ListParagraph"/>
        <w:numPr>
          <w:ilvl w:val="0"/>
          <w:numId w:val="11"/>
        </w:numPr>
        <w:spacing w:before="120" w:after="120"/>
        <w:ind w:left="426" w:hanging="426"/>
        <w:jc w:val="both"/>
        <w:rPr>
          <w:rFonts w:cstheme="minorHAnsi"/>
        </w:rPr>
      </w:pPr>
      <w:r w:rsidRPr="00956E52">
        <w:rPr>
          <w:rFonts w:cstheme="minorHAnsi"/>
        </w:rPr>
        <w:t>Website</w:t>
      </w:r>
    </w:p>
    <w:p w14:paraId="22C0F76E" w14:textId="77777777" w:rsidR="005230B3" w:rsidRPr="0093618A" w:rsidRDefault="00561BE2" w:rsidP="0093618A">
      <w:pPr>
        <w:spacing w:after="0"/>
        <w:ind w:left="426" w:hanging="426"/>
        <w:rPr>
          <w:b/>
          <w:i/>
        </w:rPr>
      </w:pPr>
      <w:r w:rsidRPr="0093618A">
        <w:rPr>
          <w:b/>
        </w:rPr>
        <w:t>6.</w:t>
      </w:r>
      <w:r w:rsidRPr="0093618A">
        <w:rPr>
          <w:b/>
          <w:i/>
        </w:rPr>
        <w:tab/>
      </w:r>
      <w:r w:rsidR="005230B3" w:rsidRPr="0093618A">
        <w:rPr>
          <w:b/>
        </w:rPr>
        <w:t>Record Keeping and Freedom of Information</w:t>
      </w:r>
    </w:p>
    <w:p w14:paraId="5FE10DBA" w14:textId="77777777" w:rsidR="005230B3" w:rsidRPr="00956E52" w:rsidRDefault="005230B3" w:rsidP="005230B3">
      <w:pPr>
        <w:jc w:val="both"/>
        <w:rPr>
          <w:rFonts w:cstheme="minorHAnsi"/>
        </w:rPr>
      </w:pPr>
      <w:r w:rsidRPr="00956E52">
        <w:rPr>
          <w:rFonts w:cstheme="minorHAnsi"/>
        </w:rPr>
        <w:t xml:space="preserve">Official communications undertaken on behalf of the Town of East Fremantle, including on the Town’s Social Media accounts and </w:t>
      </w:r>
      <w:proofErr w:type="gramStart"/>
      <w:r w:rsidRPr="00956E52">
        <w:rPr>
          <w:rFonts w:cstheme="minorHAnsi"/>
        </w:rPr>
        <w:t>third party</w:t>
      </w:r>
      <w:proofErr w:type="gramEnd"/>
      <w:r w:rsidRPr="00956E52">
        <w:rPr>
          <w:rFonts w:cstheme="minorHAnsi"/>
        </w:rPr>
        <w:t xml:space="preserve"> social media accounts must be created and retained as local government records in accordance with the Town’s Record Keeping Plan and the </w:t>
      </w:r>
      <w:r w:rsidRPr="00956E52">
        <w:rPr>
          <w:rFonts w:cstheme="minorHAnsi"/>
          <w:i/>
        </w:rPr>
        <w:t xml:space="preserve">State Records Act 2000. </w:t>
      </w:r>
      <w:r w:rsidRPr="00956E52">
        <w:rPr>
          <w:rFonts w:cstheme="minorHAnsi"/>
        </w:rPr>
        <w:t xml:space="preserve">These records are also subject to the </w:t>
      </w:r>
      <w:r w:rsidRPr="00956E52">
        <w:rPr>
          <w:rFonts w:cstheme="minorHAnsi"/>
          <w:i/>
        </w:rPr>
        <w:t>Freedom of Information Act 1992</w:t>
      </w:r>
      <w:r w:rsidRPr="00956E52">
        <w:rPr>
          <w:rFonts w:cstheme="minorHAnsi"/>
        </w:rPr>
        <w:t>.</w:t>
      </w:r>
    </w:p>
    <w:p w14:paraId="57D87F72" w14:textId="77777777" w:rsidR="005230B3" w:rsidRPr="00956E52" w:rsidRDefault="005230B3" w:rsidP="005230B3">
      <w:pPr>
        <w:jc w:val="both"/>
        <w:rPr>
          <w:rFonts w:cstheme="minorHAnsi"/>
        </w:rPr>
      </w:pPr>
      <w:r w:rsidRPr="00956E52">
        <w:rPr>
          <w:rFonts w:cstheme="minorHAnsi"/>
        </w:rPr>
        <w:lastRenderedPageBreak/>
        <w:t xml:space="preserve">Elected Member communications that relate to their role as an Elected Member are subject to the requirements of the Town’s Record Keeping Plan and the </w:t>
      </w:r>
      <w:r w:rsidRPr="00956E52">
        <w:rPr>
          <w:rFonts w:cstheme="minorHAnsi"/>
          <w:i/>
        </w:rPr>
        <w:t xml:space="preserve">State Records Act 2000. </w:t>
      </w:r>
      <w:r w:rsidRPr="00956E52">
        <w:rPr>
          <w:rFonts w:cstheme="minorHAnsi"/>
        </w:rPr>
        <w:t xml:space="preserve">Elected Members are responsible for transferring these records to the Town’s administration. Elected Member records are also subject to the </w:t>
      </w:r>
      <w:r w:rsidRPr="00956E52">
        <w:rPr>
          <w:rFonts w:cstheme="minorHAnsi"/>
          <w:i/>
        </w:rPr>
        <w:t>Freedom of Information Act 1992</w:t>
      </w:r>
      <w:r w:rsidRPr="00956E52">
        <w:rPr>
          <w:rFonts w:cstheme="minorHAnsi"/>
        </w:rPr>
        <w:t>.</w:t>
      </w:r>
    </w:p>
    <w:p w14:paraId="279E2151" w14:textId="77777777" w:rsidR="005230B3" w:rsidRPr="00111418" w:rsidRDefault="00561BE2" w:rsidP="00111418">
      <w:pPr>
        <w:spacing w:after="0"/>
        <w:ind w:left="426" w:hanging="426"/>
        <w:rPr>
          <w:b/>
          <w:i/>
        </w:rPr>
      </w:pPr>
      <w:r w:rsidRPr="00111418">
        <w:rPr>
          <w:b/>
        </w:rPr>
        <w:t>7</w:t>
      </w:r>
      <w:r w:rsidRPr="00111418">
        <w:rPr>
          <w:b/>
          <w:i/>
        </w:rPr>
        <w:t>.</w:t>
      </w:r>
      <w:r w:rsidRPr="00111418">
        <w:rPr>
          <w:b/>
          <w:i/>
        </w:rPr>
        <w:tab/>
      </w:r>
      <w:r w:rsidR="005230B3" w:rsidRPr="00111418">
        <w:rPr>
          <w:b/>
        </w:rPr>
        <w:t>Personal Communications</w:t>
      </w:r>
    </w:p>
    <w:p w14:paraId="7870DF4A" w14:textId="77777777" w:rsidR="005230B3" w:rsidRPr="00956E52" w:rsidRDefault="005230B3" w:rsidP="005230B3">
      <w:pPr>
        <w:jc w:val="both"/>
        <w:rPr>
          <w:rFonts w:cstheme="minorHAnsi"/>
        </w:rPr>
      </w:pPr>
      <w:r w:rsidRPr="00956E52">
        <w:rPr>
          <w:rFonts w:cstheme="minorHAnsi"/>
        </w:rPr>
        <w:t>Personal communications and statements made privately; in conversation, written, recorded emailed, texted or posted in personal social media, have the potential to be made public, whether intended or not.</w:t>
      </w:r>
    </w:p>
    <w:p w14:paraId="1D3302EF" w14:textId="77777777" w:rsidR="005230B3" w:rsidRPr="00956E52" w:rsidRDefault="005230B3" w:rsidP="005230B3">
      <w:pPr>
        <w:jc w:val="both"/>
        <w:rPr>
          <w:rFonts w:cstheme="minorHAnsi"/>
        </w:rPr>
      </w:pPr>
      <w:r w:rsidRPr="00956E52">
        <w:rPr>
          <w:rFonts w:cstheme="minorHAnsi"/>
        </w:rPr>
        <w:t xml:space="preserve">On the basis that personal or private communications may be shared or become public at some point in the future, Elected Members should ensure that their personal or private communications do not breach the requirements of this policy, the Code of Conduct and the </w:t>
      </w:r>
      <w:r w:rsidRPr="00956E52">
        <w:rPr>
          <w:rFonts w:cstheme="minorHAnsi"/>
          <w:i/>
        </w:rPr>
        <w:t>Local Government (Rules of Conduct) Regulations 2007</w:t>
      </w:r>
      <w:r w:rsidRPr="00956E52">
        <w:rPr>
          <w:rFonts w:cstheme="minorHAnsi"/>
        </w:rPr>
        <w:t>.</w:t>
      </w:r>
    </w:p>
    <w:p w14:paraId="490457C6" w14:textId="77777777" w:rsidR="005230B3" w:rsidRPr="00111418" w:rsidRDefault="00561BE2" w:rsidP="00111418">
      <w:pPr>
        <w:spacing w:after="0"/>
        <w:rPr>
          <w:i/>
        </w:rPr>
      </w:pPr>
      <w:r w:rsidRPr="00111418">
        <w:rPr>
          <w:i/>
        </w:rPr>
        <w:t>7.1</w:t>
      </w:r>
      <w:r w:rsidRPr="00111418">
        <w:rPr>
          <w:i/>
        </w:rPr>
        <w:tab/>
      </w:r>
      <w:r w:rsidR="005230B3" w:rsidRPr="00111418">
        <w:rPr>
          <w:i/>
        </w:rPr>
        <w:t>Elected Member Statements on Town Matters</w:t>
      </w:r>
    </w:p>
    <w:p w14:paraId="46A835AC" w14:textId="77777777" w:rsidR="005230B3" w:rsidRPr="00956E52" w:rsidRDefault="005230B3" w:rsidP="005230B3">
      <w:pPr>
        <w:jc w:val="both"/>
        <w:rPr>
          <w:rFonts w:cstheme="minorHAnsi"/>
        </w:rPr>
      </w:pPr>
      <w:r w:rsidRPr="00956E52">
        <w:rPr>
          <w:rFonts w:cstheme="minorHAnsi"/>
        </w:rPr>
        <w:t>An Elected Member may choose to make a personal statement publicly on a matter related to the business of the Town of East Fremantle.</w:t>
      </w:r>
    </w:p>
    <w:p w14:paraId="3E1FF328" w14:textId="77777777" w:rsidR="005230B3" w:rsidRPr="00956E52" w:rsidRDefault="005230B3" w:rsidP="007B7628">
      <w:pPr>
        <w:spacing w:after="60"/>
        <w:jc w:val="both"/>
        <w:rPr>
          <w:rFonts w:cstheme="minorHAnsi"/>
        </w:rPr>
      </w:pPr>
      <w:r w:rsidRPr="00956E52">
        <w:rPr>
          <w:rFonts w:cstheme="minorHAnsi"/>
        </w:rPr>
        <w:t>Any public statement made by an Elected Member, whether made in a personal capacity or in their Local Government representative capacity, must:</w:t>
      </w:r>
    </w:p>
    <w:p w14:paraId="6AC0200B" w14:textId="77777777" w:rsidR="005230B3" w:rsidRPr="00956E52" w:rsidRDefault="005230B3" w:rsidP="000C29DC">
      <w:pPr>
        <w:pStyle w:val="ListParagraph"/>
        <w:numPr>
          <w:ilvl w:val="0"/>
          <w:numId w:val="12"/>
        </w:numPr>
        <w:spacing w:after="120"/>
        <w:ind w:left="426" w:hanging="426"/>
        <w:jc w:val="both"/>
        <w:rPr>
          <w:rFonts w:cstheme="minorHAnsi"/>
        </w:rPr>
      </w:pPr>
      <w:r w:rsidRPr="00956E52">
        <w:rPr>
          <w:rFonts w:cstheme="minorHAnsi"/>
        </w:rPr>
        <w:t>clearly state that the comment or content is a personal view only, which does not necessarily represent the views of the Town of East Fremantle.</w:t>
      </w:r>
    </w:p>
    <w:p w14:paraId="679A3004" w14:textId="77777777" w:rsidR="005230B3" w:rsidRPr="00956E52" w:rsidRDefault="005230B3" w:rsidP="000C29DC">
      <w:pPr>
        <w:pStyle w:val="ListParagraph"/>
        <w:numPr>
          <w:ilvl w:val="0"/>
          <w:numId w:val="12"/>
        </w:numPr>
        <w:spacing w:before="120" w:after="120"/>
        <w:ind w:left="426" w:hanging="426"/>
        <w:jc w:val="both"/>
        <w:rPr>
          <w:rFonts w:cstheme="minorHAnsi"/>
        </w:rPr>
      </w:pPr>
      <w:r w:rsidRPr="00956E52">
        <w:rPr>
          <w:rFonts w:cstheme="minorHAnsi"/>
        </w:rPr>
        <w:t xml:space="preserve">be made with reasonable care and </w:t>
      </w:r>
      <w:proofErr w:type="gramStart"/>
      <w:r w:rsidRPr="00956E52">
        <w:rPr>
          <w:rFonts w:cstheme="minorHAnsi"/>
        </w:rPr>
        <w:t>diligence;</w:t>
      </w:r>
      <w:proofErr w:type="gramEnd"/>
    </w:p>
    <w:p w14:paraId="21310A7B" w14:textId="77777777" w:rsidR="005230B3" w:rsidRPr="00956E52" w:rsidRDefault="005230B3" w:rsidP="000C29DC">
      <w:pPr>
        <w:pStyle w:val="ListParagraph"/>
        <w:numPr>
          <w:ilvl w:val="0"/>
          <w:numId w:val="12"/>
        </w:numPr>
        <w:spacing w:before="120" w:after="120"/>
        <w:ind w:left="426" w:hanging="426"/>
        <w:jc w:val="both"/>
        <w:rPr>
          <w:rFonts w:cstheme="minorHAnsi"/>
        </w:rPr>
      </w:pPr>
      <w:r w:rsidRPr="00956E52">
        <w:rPr>
          <w:rFonts w:cstheme="minorHAnsi"/>
        </w:rPr>
        <w:t xml:space="preserve">be lawful, including avoiding contravention of; copyright, defamation, discrimination or harassment </w:t>
      </w:r>
      <w:proofErr w:type="gramStart"/>
      <w:r w:rsidRPr="00956E52">
        <w:rPr>
          <w:rFonts w:cstheme="minorHAnsi"/>
        </w:rPr>
        <w:t>laws;</w:t>
      </w:r>
      <w:proofErr w:type="gramEnd"/>
    </w:p>
    <w:p w14:paraId="716BE247" w14:textId="77777777" w:rsidR="005230B3" w:rsidRPr="00956E52" w:rsidRDefault="005230B3" w:rsidP="000C29DC">
      <w:pPr>
        <w:pStyle w:val="ListParagraph"/>
        <w:numPr>
          <w:ilvl w:val="0"/>
          <w:numId w:val="12"/>
        </w:numPr>
        <w:spacing w:before="120" w:after="120"/>
        <w:ind w:left="426" w:hanging="426"/>
        <w:jc w:val="both"/>
        <w:rPr>
          <w:rFonts w:cstheme="minorHAnsi"/>
        </w:rPr>
      </w:pPr>
      <w:r w:rsidRPr="00956E52">
        <w:rPr>
          <w:rFonts w:cstheme="minorHAnsi"/>
        </w:rPr>
        <w:t xml:space="preserve">be factually </w:t>
      </w:r>
      <w:proofErr w:type="gramStart"/>
      <w:r w:rsidRPr="00956E52">
        <w:rPr>
          <w:rFonts w:cstheme="minorHAnsi"/>
        </w:rPr>
        <w:t>correct;</w:t>
      </w:r>
      <w:proofErr w:type="gramEnd"/>
    </w:p>
    <w:p w14:paraId="52D4B694" w14:textId="77777777" w:rsidR="005230B3" w:rsidRPr="00956E52" w:rsidRDefault="005230B3" w:rsidP="000C29DC">
      <w:pPr>
        <w:pStyle w:val="ListParagraph"/>
        <w:numPr>
          <w:ilvl w:val="0"/>
          <w:numId w:val="12"/>
        </w:numPr>
        <w:spacing w:before="120" w:after="120"/>
        <w:ind w:left="426" w:hanging="426"/>
        <w:jc w:val="both"/>
        <w:rPr>
          <w:rFonts w:cstheme="minorHAnsi"/>
        </w:rPr>
      </w:pPr>
      <w:r w:rsidRPr="00956E52">
        <w:rPr>
          <w:rFonts w:cstheme="minorHAnsi"/>
        </w:rPr>
        <w:t xml:space="preserve">avoid damage to the reputation of the local </w:t>
      </w:r>
      <w:proofErr w:type="gramStart"/>
      <w:r w:rsidRPr="00956E52">
        <w:rPr>
          <w:rFonts w:cstheme="minorHAnsi"/>
        </w:rPr>
        <w:t>government;</w:t>
      </w:r>
      <w:proofErr w:type="gramEnd"/>
    </w:p>
    <w:p w14:paraId="456D1E1D" w14:textId="77777777" w:rsidR="005230B3" w:rsidRPr="00956E52" w:rsidRDefault="005230B3" w:rsidP="000C29DC">
      <w:pPr>
        <w:pStyle w:val="ListParagraph"/>
        <w:numPr>
          <w:ilvl w:val="0"/>
          <w:numId w:val="12"/>
        </w:numPr>
        <w:spacing w:before="120" w:after="120"/>
        <w:ind w:left="426" w:hanging="426"/>
        <w:jc w:val="both"/>
        <w:rPr>
          <w:rFonts w:cstheme="minorHAnsi"/>
        </w:rPr>
      </w:pPr>
      <w:r w:rsidRPr="00956E52">
        <w:rPr>
          <w:rFonts w:cstheme="minorHAnsi"/>
        </w:rPr>
        <w:t xml:space="preserve">not reflect adversely on a decision of the </w:t>
      </w:r>
      <w:proofErr w:type="gramStart"/>
      <w:r w:rsidRPr="00956E52">
        <w:rPr>
          <w:rFonts w:cstheme="minorHAnsi"/>
        </w:rPr>
        <w:t>Council;</w:t>
      </w:r>
      <w:proofErr w:type="gramEnd"/>
    </w:p>
    <w:p w14:paraId="062909EB" w14:textId="77777777" w:rsidR="005230B3" w:rsidRPr="00956E52" w:rsidRDefault="005230B3" w:rsidP="000C29DC">
      <w:pPr>
        <w:pStyle w:val="ListParagraph"/>
        <w:numPr>
          <w:ilvl w:val="0"/>
          <w:numId w:val="12"/>
        </w:numPr>
        <w:spacing w:before="120" w:after="120"/>
        <w:ind w:left="426" w:hanging="426"/>
        <w:jc w:val="both"/>
        <w:rPr>
          <w:rFonts w:cstheme="minorHAnsi"/>
        </w:rPr>
      </w:pPr>
      <w:r w:rsidRPr="00956E52">
        <w:rPr>
          <w:rFonts w:cstheme="minorHAnsi"/>
        </w:rPr>
        <w:t xml:space="preserve">not reflect adversely on the character or actions of another Elected Member or </w:t>
      </w:r>
      <w:proofErr w:type="gramStart"/>
      <w:r w:rsidRPr="00956E52">
        <w:rPr>
          <w:rFonts w:cstheme="minorHAnsi"/>
        </w:rPr>
        <w:t>Employee;</w:t>
      </w:r>
      <w:proofErr w:type="gramEnd"/>
    </w:p>
    <w:p w14:paraId="6F6E2581" w14:textId="77777777" w:rsidR="005230B3" w:rsidRPr="00956E52" w:rsidRDefault="005230B3" w:rsidP="000C29DC">
      <w:pPr>
        <w:pStyle w:val="ListParagraph"/>
        <w:numPr>
          <w:ilvl w:val="0"/>
          <w:numId w:val="12"/>
        </w:numPr>
        <w:spacing w:before="120" w:after="120"/>
        <w:ind w:left="426" w:hanging="426"/>
        <w:jc w:val="both"/>
        <w:rPr>
          <w:rFonts w:cstheme="minorHAnsi"/>
        </w:rPr>
      </w:pPr>
      <w:r w:rsidRPr="00956E52">
        <w:rPr>
          <w:rFonts w:cstheme="minorHAnsi"/>
        </w:rPr>
        <w:t>maintain a respectful and positive tone and not use offensive or objectionable expressions in reference to any Elected Member, Employee or community member.</w:t>
      </w:r>
    </w:p>
    <w:p w14:paraId="6FA1BB59" w14:textId="77777777" w:rsidR="005230B3" w:rsidRPr="00956E52" w:rsidRDefault="005230B3" w:rsidP="005230B3">
      <w:pPr>
        <w:jc w:val="both"/>
        <w:rPr>
          <w:rFonts w:cstheme="minorHAnsi"/>
        </w:rPr>
      </w:pPr>
      <w:r w:rsidRPr="00956E52">
        <w:rPr>
          <w:rFonts w:cstheme="minorHAnsi"/>
        </w:rPr>
        <w:t>An Elected Member who is approached by the media for a personal statement may request the assistance of the CEO.</w:t>
      </w:r>
    </w:p>
    <w:p w14:paraId="2A9D3E58" w14:textId="77777777" w:rsidR="005230B3" w:rsidRPr="00956E52" w:rsidRDefault="005230B3" w:rsidP="005230B3">
      <w:pPr>
        <w:jc w:val="both"/>
        <w:rPr>
          <w:rFonts w:cstheme="minorHAnsi"/>
        </w:rPr>
      </w:pPr>
      <w:r w:rsidRPr="00956E52">
        <w:rPr>
          <w:rFonts w:cstheme="minorHAnsi"/>
        </w:rPr>
        <w:t xml:space="preserve">Comments which become public and which breach this policy, the Code of Conduct or the </w:t>
      </w:r>
      <w:r w:rsidRPr="00956E52">
        <w:rPr>
          <w:rFonts w:cstheme="minorHAnsi"/>
          <w:i/>
        </w:rPr>
        <w:t>Local Government (Rules of Conduct) Regulations 2007</w:t>
      </w:r>
      <w:r w:rsidRPr="00956E52">
        <w:rPr>
          <w:rFonts w:cstheme="minorHAnsi"/>
        </w:rPr>
        <w:t xml:space="preserve">, may constitute a minor breach of the </w:t>
      </w:r>
      <w:r w:rsidRPr="00956E52">
        <w:rPr>
          <w:rFonts w:cstheme="minorHAnsi"/>
          <w:i/>
        </w:rPr>
        <w:t>Local Government Act 1995</w:t>
      </w:r>
      <w:r w:rsidRPr="00956E52">
        <w:rPr>
          <w:rFonts w:cstheme="minorHAnsi"/>
        </w:rPr>
        <w:t xml:space="preserve"> and may be referred for investigation.</w:t>
      </w:r>
    </w:p>
    <w:tbl>
      <w:tblPr>
        <w:tblStyle w:val="TableGrid"/>
        <w:tblW w:w="0" w:type="auto"/>
        <w:tblLook w:val="04A0" w:firstRow="1" w:lastRow="0" w:firstColumn="1" w:lastColumn="0" w:noHBand="0" w:noVBand="1"/>
      </w:tblPr>
      <w:tblGrid>
        <w:gridCol w:w="3050"/>
        <w:gridCol w:w="5966"/>
      </w:tblGrid>
      <w:tr w:rsidR="005230B3" w:rsidRPr="00956E52" w14:paraId="7725F5D9" w14:textId="77777777" w:rsidTr="00D577CE">
        <w:tc>
          <w:tcPr>
            <w:tcW w:w="3050" w:type="dxa"/>
            <w:tcBorders>
              <w:top w:val="single" w:sz="4" w:space="0" w:color="auto"/>
              <w:left w:val="single" w:sz="4" w:space="0" w:color="auto"/>
              <w:bottom w:val="single" w:sz="4" w:space="0" w:color="auto"/>
              <w:right w:val="single" w:sz="4" w:space="0" w:color="auto"/>
            </w:tcBorders>
          </w:tcPr>
          <w:p w14:paraId="6D6D76EE" w14:textId="77777777" w:rsidR="005230B3" w:rsidRPr="00956E52" w:rsidRDefault="005230B3" w:rsidP="004E6C98">
            <w:pPr>
              <w:jc w:val="both"/>
              <w:rPr>
                <w:rFonts w:cstheme="minorHAnsi"/>
                <w:b/>
                <w:lang w:val="en-US"/>
              </w:rPr>
            </w:pPr>
            <w:r w:rsidRPr="00956E52">
              <w:rPr>
                <w:rFonts w:cstheme="minorHAnsi"/>
                <w:b/>
                <w:lang w:val="en-US"/>
              </w:rPr>
              <w:t>Responsible Directorate:</w:t>
            </w:r>
          </w:p>
        </w:tc>
        <w:tc>
          <w:tcPr>
            <w:tcW w:w="5966" w:type="dxa"/>
            <w:tcBorders>
              <w:top w:val="single" w:sz="4" w:space="0" w:color="auto"/>
              <w:left w:val="single" w:sz="4" w:space="0" w:color="auto"/>
              <w:bottom w:val="single" w:sz="4" w:space="0" w:color="auto"/>
              <w:right w:val="single" w:sz="4" w:space="0" w:color="auto"/>
            </w:tcBorders>
          </w:tcPr>
          <w:p w14:paraId="1B7874CF" w14:textId="77777777" w:rsidR="005230B3" w:rsidRPr="00956E52" w:rsidRDefault="005230B3" w:rsidP="004E6C98">
            <w:pPr>
              <w:jc w:val="both"/>
              <w:rPr>
                <w:rFonts w:cstheme="minorHAnsi"/>
                <w:lang w:val="en-US"/>
              </w:rPr>
            </w:pPr>
            <w:r w:rsidRPr="00956E52">
              <w:rPr>
                <w:rFonts w:cstheme="minorHAnsi"/>
                <w:lang w:val="en-US"/>
              </w:rPr>
              <w:t>Office of the Chief Executive Officer</w:t>
            </w:r>
          </w:p>
        </w:tc>
      </w:tr>
      <w:tr w:rsidR="005230B3" w:rsidRPr="00956E52" w14:paraId="1117B6DA" w14:textId="77777777" w:rsidTr="00D577CE">
        <w:tc>
          <w:tcPr>
            <w:tcW w:w="3050" w:type="dxa"/>
            <w:tcBorders>
              <w:top w:val="single" w:sz="4" w:space="0" w:color="auto"/>
            </w:tcBorders>
          </w:tcPr>
          <w:p w14:paraId="06557F12" w14:textId="77777777" w:rsidR="005230B3" w:rsidRPr="00956E52" w:rsidRDefault="005230B3" w:rsidP="004E6C98">
            <w:pPr>
              <w:jc w:val="both"/>
              <w:rPr>
                <w:rFonts w:cstheme="minorHAnsi"/>
                <w:b/>
                <w:lang w:val="en-US"/>
              </w:rPr>
            </w:pPr>
            <w:r w:rsidRPr="00956E52">
              <w:rPr>
                <w:rFonts w:cstheme="minorHAnsi"/>
                <w:b/>
                <w:lang w:val="en-US"/>
              </w:rPr>
              <w:t>Reviewing Officer:</w:t>
            </w:r>
          </w:p>
        </w:tc>
        <w:tc>
          <w:tcPr>
            <w:tcW w:w="5966" w:type="dxa"/>
            <w:tcBorders>
              <w:top w:val="single" w:sz="4" w:space="0" w:color="auto"/>
            </w:tcBorders>
          </w:tcPr>
          <w:p w14:paraId="18F8851F" w14:textId="77777777" w:rsidR="005230B3" w:rsidRPr="00956E52" w:rsidRDefault="005230B3" w:rsidP="004E6C98">
            <w:pPr>
              <w:jc w:val="both"/>
              <w:rPr>
                <w:rFonts w:cstheme="minorHAnsi"/>
                <w:lang w:val="en-US"/>
              </w:rPr>
            </w:pPr>
            <w:r w:rsidRPr="00956E52">
              <w:rPr>
                <w:rFonts w:cstheme="minorHAnsi"/>
                <w:lang w:val="en-US"/>
              </w:rPr>
              <w:t>Chief Executive Officer</w:t>
            </w:r>
          </w:p>
        </w:tc>
      </w:tr>
      <w:tr w:rsidR="005230B3" w:rsidRPr="00956E52" w14:paraId="2C3107C7" w14:textId="77777777" w:rsidTr="00D577CE">
        <w:tc>
          <w:tcPr>
            <w:tcW w:w="3050" w:type="dxa"/>
          </w:tcPr>
          <w:p w14:paraId="55CE92B3" w14:textId="77777777" w:rsidR="005230B3" w:rsidRPr="00956E52" w:rsidRDefault="005230B3" w:rsidP="004E6C98">
            <w:pPr>
              <w:rPr>
                <w:rFonts w:cstheme="minorHAnsi"/>
                <w:b/>
                <w:lang w:val="en-US"/>
              </w:rPr>
            </w:pPr>
            <w:r w:rsidRPr="00956E52">
              <w:rPr>
                <w:rFonts w:cstheme="minorHAnsi"/>
                <w:b/>
                <w:lang w:val="en-US"/>
              </w:rPr>
              <w:t>Decision making Authority:</w:t>
            </w:r>
          </w:p>
        </w:tc>
        <w:tc>
          <w:tcPr>
            <w:tcW w:w="5966" w:type="dxa"/>
          </w:tcPr>
          <w:p w14:paraId="70DEBE22" w14:textId="77777777" w:rsidR="005230B3" w:rsidRPr="00956E52" w:rsidRDefault="005230B3" w:rsidP="004E6C98">
            <w:pPr>
              <w:jc w:val="both"/>
              <w:rPr>
                <w:rFonts w:cstheme="minorHAnsi"/>
                <w:lang w:val="en-US"/>
              </w:rPr>
            </w:pPr>
            <w:r w:rsidRPr="00956E52">
              <w:rPr>
                <w:rFonts w:cstheme="minorHAnsi"/>
                <w:lang w:val="en-US"/>
              </w:rPr>
              <w:t>Council</w:t>
            </w:r>
          </w:p>
        </w:tc>
      </w:tr>
      <w:tr w:rsidR="005230B3" w:rsidRPr="00956E52" w14:paraId="6DB2F0C5" w14:textId="77777777" w:rsidTr="00D577CE">
        <w:tc>
          <w:tcPr>
            <w:tcW w:w="3050" w:type="dxa"/>
          </w:tcPr>
          <w:p w14:paraId="700426A5" w14:textId="77777777" w:rsidR="005230B3" w:rsidRPr="00956E52" w:rsidRDefault="005230B3" w:rsidP="004E6C98">
            <w:pPr>
              <w:jc w:val="both"/>
              <w:rPr>
                <w:rFonts w:cstheme="minorHAnsi"/>
                <w:b/>
                <w:lang w:val="en-US"/>
              </w:rPr>
            </w:pPr>
            <w:r w:rsidRPr="00956E52">
              <w:rPr>
                <w:rFonts w:cstheme="minorHAnsi"/>
                <w:b/>
                <w:lang w:val="en-US"/>
              </w:rPr>
              <w:t>Policy Adopted:</w:t>
            </w:r>
          </w:p>
        </w:tc>
        <w:tc>
          <w:tcPr>
            <w:tcW w:w="5966" w:type="dxa"/>
          </w:tcPr>
          <w:p w14:paraId="6A4B8179" w14:textId="77777777" w:rsidR="005230B3" w:rsidRPr="00956E52" w:rsidRDefault="005230B3" w:rsidP="004E6C98">
            <w:pPr>
              <w:jc w:val="both"/>
              <w:rPr>
                <w:rFonts w:cstheme="minorHAnsi"/>
                <w:lang w:val="en-US"/>
              </w:rPr>
            </w:pPr>
            <w:r w:rsidRPr="00956E52">
              <w:rPr>
                <w:rFonts w:cstheme="minorHAnsi"/>
                <w:lang w:val="en-US"/>
              </w:rPr>
              <w:t>20/11/18</w:t>
            </w:r>
          </w:p>
        </w:tc>
      </w:tr>
      <w:tr w:rsidR="005230B3" w:rsidRPr="00956E52" w14:paraId="1398D837" w14:textId="77777777" w:rsidTr="00D577CE">
        <w:tc>
          <w:tcPr>
            <w:tcW w:w="3050" w:type="dxa"/>
          </w:tcPr>
          <w:p w14:paraId="04CBB267" w14:textId="77777777" w:rsidR="005230B3" w:rsidRPr="00956E52" w:rsidRDefault="007B7628" w:rsidP="004E6C98">
            <w:pPr>
              <w:jc w:val="both"/>
              <w:rPr>
                <w:rFonts w:cstheme="minorHAnsi"/>
                <w:b/>
                <w:lang w:val="en-US"/>
              </w:rPr>
            </w:pPr>
            <w:r>
              <w:rPr>
                <w:rFonts w:cstheme="minorHAnsi"/>
                <w:b/>
                <w:lang w:val="en-US"/>
              </w:rPr>
              <w:t>Policy Amended/Reviewed:</w:t>
            </w:r>
          </w:p>
        </w:tc>
        <w:tc>
          <w:tcPr>
            <w:tcW w:w="5966" w:type="dxa"/>
          </w:tcPr>
          <w:p w14:paraId="1587BE36" w14:textId="77777777" w:rsidR="005230B3" w:rsidRPr="00956E52" w:rsidRDefault="000A5B09" w:rsidP="004E6C98">
            <w:pPr>
              <w:jc w:val="both"/>
              <w:rPr>
                <w:rFonts w:cstheme="minorHAnsi"/>
                <w:lang w:val="en-US"/>
              </w:rPr>
            </w:pPr>
            <w:r>
              <w:rPr>
                <w:rFonts w:cstheme="minorHAnsi"/>
                <w:lang w:val="en-US"/>
              </w:rPr>
              <w:t>17/9/19</w:t>
            </w:r>
          </w:p>
        </w:tc>
      </w:tr>
      <w:tr w:rsidR="005230B3" w:rsidRPr="00956E52" w14:paraId="4B9DD455" w14:textId="77777777" w:rsidTr="00D577CE">
        <w:tc>
          <w:tcPr>
            <w:tcW w:w="3050" w:type="dxa"/>
          </w:tcPr>
          <w:p w14:paraId="69AB6B1A" w14:textId="77777777" w:rsidR="005230B3" w:rsidRPr="00956E52" w:rsidRDefault="007B7628" w:rsidP="004E6C98">
            <w:pPr>
              <w:jc w:val="both"/>
              <w:rPr>
                <w:rFonts w:cstheme="minorHAnsi"/>
                <w:b/>
                <w:lang w:val="en-US"/>
              </w:rPr>
            </w:pPr>
            <w:r>
              <w:rPr>
                <w:rFonts w:cstheme="minorHAnsi"/>
                <w:b/>
                <w:lang w:val="en-US"/>
              </w:rPr>
              <w:t>Former Policy No</w:t>
            </w:r>
            <w:r w:rsidR="005230B3" w:rsidRPr="00956E52">
              <w:rPr>
                <w:rFonts w:cstheme="minorHAnsi"/>
                <w:b/>
                <w:lang w:val="en-US"/>
              </w:rPr>
              <w:t>:</w:t>
            </w:r>
          </w:p>
        </w:tc>
        <w:tc>
          <w:tcPr>
            <w:tcW w:w="5966" w:type="dxa"/>
          </w:tcPr>
          <w:p w14:paraId="7038BC54" w14:textId="77777777" w:rsidR="005230B3" w:rsidRPr="00956E52" w:rsidRDefault="007B7628" w:rsidP="004E6C98">
            <w:pPr>
              <w:jc w:val="both"/>
              <w:rPr>
                <w:rFonts w:cstheme="minorHAnsi"/>
                <w:lang w:val="en-US"/>
              </w:rPr>
            </w:pPr>
            <w:r>
              <w:rPr>
                <w:rFonts w:cstheme="minorHAnsi"/>
                <w:lang w:val="en-US"/>
              </w:rPr>
              <w:t>4.4.4</w:t>
            </w:r>
          </w:p>
        </w:tc>
      </w:tr>
    </w:tbl>
    <w:p w14:paraId="00E7976D" w14:textId="77777777" w:rsidR="00AB3570" w:rsidRDefault="00AB3570" w:rsidP="005230B3">
      <w:pPr>
        <w:rPr>
          <w:rFonts w:cstheme="minorHAnsi"/>
        </w:rPr>
      </w:pPr>
    </w:p>
    <w:p w14:paraId="4FA8DC35" w14:textId="77777777" w:rsidR="00AB3570" w:rsidRDefault="00AB3570" w:rsidP="00AB3570">
      <w:r>
        <w:br w:type="page"/>
      </w:r>
    </w:p>
    <w:p w14:paraId="1C14AC28" w14:textId="5C48AB58" w:rsidR="00AB3570" w:rsidRDefault="003369A9" w:rsidP="00AB3570">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76672" behindDoc="1" locked="0" layoutInCell="1" allowOverlap="1" wp14:anchorId="49A9E5FE" wp14:editId="5FD3ADC2">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06186744" w14:textId="77777777" w:rsidR="003369A9" w:rsidRDefault="003369A9" w:rsidP="00AB3570">
      <w:pPr>
        <w:pStyle w:val="Policy3"/>
      </w:pPr>
    </w:p>
    <w:p w14:paraId="7D4576D4" w14:textId="77777777" w:rsidR="003369A9" w:rsidRDefault="003369A9" w:rsidP="00AB3570">
      <w:pPr>
        <w:pStyle w:val="Policy3"/>
      </w:pPr>
    </w:p>
    <w:p w14:paraId="601D43BC" w14:textId="713E4762" w:rsidR="00AB3570" w:rsidRPr="007C58BC" w:rsidRDefault="006C2BE9" w:rsidP="00AB3570">
      <w:pPr>
        <w:pStyle w:val="Policy3"/>
      </w:pPr>
      <w:bookmarkStart w:id="9" w:name="_Toc216866652"/>
      <w:r>
        <w:t>1.1.7</w:t>
      </w:r>
      <w:r>
        <w:tab/>
      </w:r>
      <w:r w:rsidR="00AB3570" w:rsidRPr="007C58BC">
        <w:t>A</w:t>
      </w:r>
      <w:r w:rsidR="00AB3570">
        <w:t>ttendance at Events</w:t>
      </w:r>
      <w:bookmarkEnd w:id="9"/>
    </w:p>
    <w:tbl>
      <w:tblPr>
        <w:tblStyle w:val="TableGrid"/>
        <w:tblW w:w="0" w:type="auto"/>
        <w:tblInd w:w="-5" w:type="dxa"/>
        <w:tblLook w:val="04A0" w:firstRow="1" w:lastRow="0" w:firstColumn="1" w:lastColumn="0" w:noHBand="0" w:noVBand="1"/>
      </w:tblPr>
      <w:tblGrid>
        <w:gridCol w:w="3213"/>
        <w:gridCol w:w="5854"/>
      </w:tblGrid>
      <w:tr w:rsidR="00AB3570" w14:paraId="42C98C71" w14:textId="77777777" w:rsidTr="003369A9">
        <w:tc>
          <w:tcPr>
            <w:tcW w:w="3213" w:type="dxa"/>
          </w:tcPr>
          <w:p w14:paraId="5DBC6EE4" w14:textId="77777777" w:rsidR="00AB3570" w:rsidRPr="007C58BC" w:rsidRDefault="00AB3570" w:rsidP="006C2BE9">
            <w:pPr>
              <w:spacing w:line="264" w:lineRule="auto"/>
              <w:rPr>
                <w:rFonts w:cstheme="minorHAnsi"/>
                <w:b/>
                <w:lang w:val="en-US"/>
              </w:rPr>
            </w:pPr>
            <w:r w:rsidRPr="007C58BC">
              <w:rPr>
                <w:rFonts w:cstheme="minorHAnsi"/>
                <w:b/>
                <w:lang w:val="en-US"/>
              </w:rPr>
              <w:t>Type:</w:t>
            </w:r>
          </w:p>
        </w:tc>
        <w:tc>
          <w:tcPr>
            <w:tcW w:w="5854" w:type="dxa"/>
          </w:tcPr>
          <w:p w14:paraId="20F71ABD" w14:textId="77777777" w:rsidR="00AB3570" w:rsidRPr="007C58BC" w:rsidRDefault="00AB3570" w:rsidP="006C2BE9">
            <w:pPr>
              <w:spacing w:line="264" w:lineRule="auto"/>
              <w:rPr>
                <w:rFonts w:cstheme="minorHAnsi"/>
                <w:lang w:val="en-US"/>
              </w:rPr>
            </w:pPr>
            <w:r w:rsidRPr="007C58BC">
              <w:rPr>
                <w:rFonts w:cstheme="minorHAnsi"/>
                <w:lang w:val="en-US"/>
              </w:rPr>
              <w:t>Office of the CEO - Elected Members</w:t>
            </w:r>
          </w:p>
        </w:tc>
      </w:tr>
      <w:tr w:rsidR="003369A9" w14:paraId="248A7C82" w14:textId="77777777" w:rsidTr="003369A9">
        <w:tc>
          <w:tcPr>
            <w:tcW w:w="3213" w:type="dxa"/>
          </w:tcPr>
          <w:p w14:paraId="1E06AA9B" w14:textId="77777777" w:rsidR="003369A9" w:rsidRPr="007C58BC" w:rsidRDefault="003369A9" w:rsidP="006C2BE9">
            <w:pPr>
              <w:spacing w:line="264" w:lineRule="auto"/>
              <w:rPr>
                <w:rFonts w:cstheme="minorHAnsi"/>
                <w:b/>
                <w:lang w:val="en-US"/>
              </w:rPr>
            </w:pPr>
          </w:p>
        </w:tc>
        <w:tc>
          <w:tcPr>
            <w:tcW w:w="5854" w:type="dxa"/>
          </w:tcPr>
          <w:p w14:paraId="00CBC67E" w14:textId="77777777" w:rsidR="003369A9" w:rsidRPr="007C58BC" w:rsidRDefault="003369A9" w:rsidP="006C2BE9">
            <w:pPr>
              <w:spacing w:line="264" w:lineRule="auto"/>
              <w:rPr>
                <w:rFonts w:cstheme="minorHAnsi"/>
                <w:lang w:val="en-US"/>
              </w:rPr>
            </w:pPr>
          </w:p>
        </w:tc>
      </w:tr>
      <w:tr w:rsidR="00AB3570" w14:paraId="3099D33C" w14:textId="77777777" w:rsidTr="003369A9">
        <w:tc>
          <w:tcPr>
            <w:tcW w:w="3213" w:type="dxa"/>
          </w:tcPr>
          <w:p w14:paraId="491DA557" w14:textId="77777777" w:rsidR="00AB3570" w:rsidRPr="007C58BC" w:rsidRDefault="00AB3570" w:rsidP="006C2BE9">
            <w:pPr>
              <w:spacing w:line="264" w:lineRule="auto"/>
              <w:rPr>
                <w:rFonts w:cstheme="minorHAnsi"/>
                <w:b/>
                <w:lang w:val="en-US"/>
              </w:rPr>
            </w:pPr>
            <w:r w:rsidRPr="007C58BC">
              <w:rPr>
                <w:rFonts w:cstheme="minorHAnsi"/>
                <w:b/>
                <w:lang w:val="en-US"/>
              </w:rPr>
              <w:t>Legislation:</w:t>
            </w:r>
          </w:p>
        </w:tc>
        <w:tc>
          <w:tcPr>
            <w:tcW w:w="5854" w:type="dxa"/>
          </w:tcPr>
          <w:p w14:paraId="115CCFBA" w14:textId="77777777" w:rsidR="00AB3570" w:rsidRPr="007C58BC" w:rsidRDefault="00AB3570" w:rsidP="006C2BE9">
            <w:pPr>
              <w:spacing w:line="264" w:lineRule="auto"/>
              <w:rPr>
                <w:rFonts w:cstheme="minorHAnsi"/>
                <w:i/>
                <w:lang w:val="en-US"/>
              </w:rPr>
            </w:pPr>
            <w:r w:rsidRPr="007C58BC">
              <w:rPr>
                <w:rFonts w:cstheme="minorHAnsi"/>
                <w:lang w:val="en-US"/>
              </w:rPr>
              <w:t>S</w:t>
            </w:r>
            <w:r>
              <w:rPr>
                <w:rFonts w:cstheme="minorHAnsi"/>
                <w:lang w:val="en-US"/>
              </w:rPr>
              <w:t xml:space="preserve">ection </w:t>
            </w:r>
            <w:r w:rsidRPr="007C58BC">
              <w:rPr>
                <w:rFonts w:cstheme="minorHAnsi"/>
                <w:lang w:val="en-US"/>
              </w:rPr>
              <w:t>5.90A</w:t>
            </w:r>
            <w:r>
              <w:rPr>
                <w:rFonts w:cstheme="minorHAnsi"/>
                <w:lang w:val="en-US"/>
              </w:rPr>
              <w:t xml:space="preserve"> of the </w:t>
            </w:r>
            <w:r w:rsidRPr="007C58BC">
              <w:rPr>
                <w:rFonts w:cstheme="minorHAnsi"/>
                <w:i/>
                <w:lang w:val="en-US"/>
              </w:rPr>
              <w:t>Local Government Act</w:t>
            </w:r>
            <w:r>
              <w:rPr>
                <w:rFonts w:cstheme="minorHAnsi"/>
                <w:i/>
                <w:lang w:val="en-US"/>
              </w:rPr>
              <w:t xml:space="preserve"> 1995</w:t>
            </w:r>
          </w:p>
        </w:tc>
      </w:tr>
      <w:tr w:rsidR="00AB3570" w14:paraId="7C429D85" w14:textId="77777777" w:rsidTr="003369A9">
        <w:tc>
          <w:tcPr>
            <w:tcW w:w="3213" w:type="dxa"/>
          </w:tcPr>
          <w:p w14:paraId="18497546" w14:textId="77777777" w:rsidR="00AB3570" w:rsidRPr="007C58BC" w:rsidRDefault="00AB3570" w:rsidP="006C2BE9">
            <w:pPr>
              <w:spacing w:line="264" w:lineRule="auto"/>
              <w:rPr>
                <w:rFonts w:cstheme="minorHAnsi"/>
                <w:b/>
                <w:lang w:val="en-US"/>
              </w:rPr>
            </w:pPr>
            <w:r w:rsidRPr="007C58BC">
              <w:rPr>
                <w:rFonts w:cstheme="minorHAnsi"/>
                <w:b/>
                <w:lang w:val="en-US"/>
              </w:rPr>
              <w:t>Delegation:</w:t>
            </w:r>
          </w:p>
        </w:tc>
        <w:tc>
          <w:tcPr>
            <w:tcW w:w="5854" w:type="dxa"/>
          </w:tcPr>
          <w:p w14:paraId="5524B50D" w14:textId="77777777" w:rsidR="00AB3570" w:rsidRPr="007C58BC" w:rsidRDefault="00AB3570" w:rsidP="006C2BE9">
            <w:pPr>
              <w:spacing w:line="264" w:lineRule="auto"/>
              <w:rPr>
                <w:rFonts w:cstheme="minorHAnsi"/>
                <w:lang w:val="en-US"/>
              </w:rPr>
            </w:pPr>
            <w:r>
              <w:rPr>
                <w:rFonts w:cstheme="minorHAnsi"/>
                <w:lang w:val="en-US"/>
              </w:rPr>
              <w:t>Nil</w:t>
            </w:r>
          </w:p>
        </w:tc>
      </w:tr>
      <w:tr w:rsidR="00AB3570" w14:paraId="6E441A78" w14:textId="77777777" w:rsidTr="003369A9">
        <w:tc>
          <w:tcPr>
            <w:tcW w:w="3213" w:type="dxa"/>
          </w:tcPr>
          <w:p w14:paraId="22A1E371" w14:textId="77777777" w:rsidR="00AB3570" w:rsidRPr="007C58BC" w:rsidRDefault="00AB3570" w:rsidP="006C2BE9">
            <w:pPr>
              <w:spacing w:line="264" w:lineRule="auto"/>
              <w:rPr>
                <w:rFonts w:cstheme="minorHAnsi"/>
                <w:b/>
                <w:lang w:val="en-US"/>
              </w:rPr>
            </w:pPr>
            <w:r w:rsidRPr="007C58BC">
              <w:rPr>
                <w:rFonts w:cstheme="minorHAnsi"/>
                <w:b/>
                <w:lang w:val="en-US"/>
              </w:rPr>
              <w:t>Other Related Document:</w:t>
            </w:r>
          </w:p>
        </w:tc>
        <w:tc>
          <w:tcPr>
            <w:tcW w:w="5854" w:type="dxa"/>
          </w:tcPr>
          <w:p w14:paraId="379F1DB9" w14:textId="77777777" w:rsidR="00AB3570" w:rsidRPr="007C58BC" w:rsidRDefault="00AB3570" w:rsidP="006C2BE9">
            <w:pPr>
              <w:spacing w:line="264" w:lineRule="auto"/>
              <w:rPr>
                <w:rFonts w:cstheme="minorHAnsi"/>
                <w:lang w:val="en-US"/>
              </w:rPr>
            </w:pPr>
            <w:r>
              <w:rPr>
                <w:rFonts w:cstheme="minorHAnsi"/>
                <w:lang w:val="en-US"/>
              </w:rPr>
              <w:t>Nil.</w:t>
            </w:r>
          </w:p>
        </w:tc>
      </w:tr>
    </w:tbl>
    <w:p w14:paraId="45B86CBF" w14:textId="77777777" w:rsidR="00AB3570" w:rsidRPr="002A731F" w:rsidRDefault="00AB3570" w:rsidP="003369A9">
      <w:pPr>
        <w:spacing w:before="240" w:after="0"/>
        <w:rPr>
          <w:b/>
          <w:sz w:val="28"/>
          <w:szCs w:val="28"/>
          <w:lang w:val="en-US"/>
        </w:rPr>
      </w:pPr>
      <w:r>
        <w:rPr>
          <w:b/>
          <w:sz w:val="28"/>
          <w:szCs w:val="28"/>
          <w:lang w:val="en-US"/>
        </w:rPr>
        <w:t xml:space="preserve">Purpose </w:t>
      </w:r>
    </w:p>
    <w:p w14:paraId="4F30BEAB" w14:textId="77777777" w:rsidR="00AB3570" w:rsidRPr="006C2BE9" w:rsidRDefault="00AB3570" w:rsidP="003369A9">
      <w:pPr>
        <w:pStyle w:val="BodyText"/>
        <w:spacing w:line="264" w:lineRule="auto"/>
        <w:ind w:left="0"/>
        <w:jc w:val="both"/>
        <w:rPr>
          <w:rFonts w:asciiTheme="minorHAnsi" w:hAnsiTheme="minorHAnsi" w:cstheme="minorHAnsi"/>
          <w:szCs w:val="22"/>
        </w:rPr>
      </w:pPr>
      <w:r w:rsidRPr="006C2BE9">
        <w:rPr>
          <w:rFonts w:asciiTheme="minorHAnsi" w:hAnsiTheme="minorHAnsi" w:cstheme="minorHAnsi"/>
          <w:szCs w:val="22"/>
        </w:rPr>
        <w:t>This policy addresses attendance at any events, including concerts, conferences, functions or sporting events, whether free of charge, part of a sponsorship agreement, or paid by the local government. The purpose of the policy is to provide transparency about the attendance at events of Elected Members, the Chief Executive Officer (CEO) and all Employees of the Town of East Fremantle.</w:t>
      </w:r>
    </w:p>
    <w:p w14:paraId="1C0F7373" w14:textId="77777777" w:rsidR="00AB3570" w:rsidRPr="006C2BE9" w:rsidRDefault="00AB3570" w:rsidP="003369A9">
      <w:pPr>
        <w:spacing w:before="240" w:after="0"/>
        <w:rPr>
          <w:rFonts w:cstheme="minorHAnsi"/>
          <w:b/>
          <w:sz w:val="28"/>
          <w:szCs w:val="28"/>
          <w:lang w:val="en-US"/>
        </w:rPr>
      </w:pPr>
      <w:r w:rsidRPr="006C2BE9">
        <w:rPr>
          <w:rFonts w:cstheme="minorHAnsi"/>
          <w:b/>
          <w:sz w:val="28"/>
          <w:szCs w:val="28"/>
          <w:lang w:val="en-US"/>
        </w:rPr>
        <w:t>Objective</w:t>
      </w:r>
    </w:p>
    <w:p w14:paraId="17CCC7A4" w14:textId="77777777" w:rsidR="00AB3570" w:rsidRPr="006C2BE9" w:rsidRDefault="00AB3570" w:rsidP="003369A9">
      <w:pPr>
        <w:pStyle w:val="BodyText"/>
        <w:spacing w:after="200" w:line="264" w:lineRule="auto"/>
        <w:ind w:left="0"/>
        <w:jc w:val="both"/>
        <w:rPr>
          <w:rFonts w:asciiTheme="minorHAnsi" w:hAnsiTheme="minorHAnsi" w:cstheme="minorHAnsi"/>
          <w:szCs w:val="22"/>
        </w:rPr>
      </w:pPr>
      <w:r w:rsidRPr="006C2BE9">
        <w:rPr>
          <w:rFonts w:asciiTheme="minorHAnsi" w:hAnsiTheme="minorHAnsi" w:cstheme="minorHAnsi"/>
          <w:szCs w:val="22"/>
        </w:rPr>
        <w:t xml:space="preserve">The policy provides guidance to Elected Members and Employees when an invitation to an event or function, or other hospitality occasion, ticketed or otherwise, is offered free of charge. </w:t>
      </w:r>
    </w:p>
    <w:p w14:paraId="26138F49" w14:textId="77777777" w:rsidR="00AB3570" w:rsidRPr="006C2BE9" w:rsidRDefault="00AB3570" w:rsidP="003369A9">
      <w:pPr>
        <w:pStyle w:val="BodyText"/>
        <w:spacing w:after="200" w:line="264" w:lineRule="auto"/>
        <w:ind w:left="0"/>
        <w:jc w:val="both"/>
        <w:rPr>
          <w:rFonts w:asciiTheme="minorHAnsi" w:hAnsiTheme="minorHAnsi" w:cstheme="minorHAnsi"/>
          <w:szCs w:val="22"/>
        </w:rPr>
      </w:pPr>
      <w:r w:rsidRPr="006C2BE9">
        <w:rPr>
          <w:rFonts w:asciiTheme="minorHAnsi" w:hAnsiTheme="minorHAnsi" w:cstheme="minorHAnsi"/>
          <w:szCs w:val="22"/>
        </w:rPr>
        <w:t>Attendance at an event in accordance with this policy will exclude the gift holder from the requirement to disclose an interest if the ticket is above $300 and the donor has a matter before Council. Any gift received that is less than $300 (either one gift or cumulative over 12 months from the same donor) also does not need to be disclosed as an interest. Receipt of the gift will still be required under the gift register provisions.</w:t>
      </w:r>
    </w:p>
    <w:p w14:paraId="576C998B" w14:textId="77777777" w:rsidR="00AB3570" w:rsidRPr="002A731F" w:rsidRDefault="00AB3570" w:rsidP="003369A9">
      <w:pPr>
        <w:spacing w:before="240" w:after="0"/>
        <w:rPr>
          <w:b/>
          <w:sz w:val="28"/>
          <w:szCs w:val="28"/>
          <w:lang w:val="en-US"/>
        </w:rPr>
      </w:pPr>
      <w:r>
        <w:rPr>
          <w:b/>
          <w:sz w:val="28"/>
          <w:szCs w:val="28"/>
          <w:lang w:val="en-US"/>
        </w:rPr>
        <w:t>Policy Scope</w:t>
      </w:r>
    </w:p>
    <w:p w14:paraId="7C4B41E8" w14:textId="77777777" w:rsidR="00AB3570" w:rsidRPr="00270AD6" w:rsidRDefault="00AB3570" w:rsidP="003369A9">
      <w:pPr>
        <w:spacing w:before="120" w:after="0"/>
        <w:rPr>
          <w:b/>
          <w:u w:val="single"/>
        </w:rPr>
      </w:pPr>
      <w:r w:rsidRPr="00270AD6">
        <w:rPr>
          <w:b/>
          <w:u w:val="single"/>
        </w:rPr>
        <w:t>Invitations</w:t>
      </w:r>
    </w:p>
    <w:p w14:paraId="6E2C6E5E" w14:textId="77777777" w:rsidR="00AB3570" w:rsidRPr="00A01238" w:rsidRDefault="00AB3570" w:rsidP="003369A9">
      <w:pPr>
        <w:widowControl w:val="0"/>
        <w:autoSpaceDE w:val="0"/>
        <w:autoSpaceDN w:val="0"/>
        <w:ind w:left="567" w:hanging="567"/>
        <w:jc w:val="both"/>
        <w:rPr>
          <w:rFonts w:cstheme="minorHAnsi"/>
        </w:rPr>
      </w:pPr>
      <w:r>
        <w:rPr>
          <w:rFonts w:cstheme="minorHAnsi"/>
          <w:color w:val="2C2D2E"/>
        </w:rPr>
        <w:t>1.</w:t>
      </w:r>
      <w:r>
        <w:rPr>
          <w:rFonts w:cstheme="minorHAnsi"/>
          <w:color w:val="2C2D2E"/>
        </w:rPr>
        <w:tab/>
      </w:r>
      <w:r w:rsidRPr="001D2E73">
        <w:rPr>
          <w:rFonts w:cstheme="minorHAnsi"/>
          <w:color w:val="2C2D2E"/>
        </w:rPr>
        <w:t>All invitations of offers of tickets for a</w:t>
      </w:r>
      <w:r>
        <w:rPr>
          <w:rFonts w:cstheme="minorHAnsi"/>
          <w:color w:val="2C2D2E"/>
        </w:rPr>
        <w:t>n</w:t>
      </w:r>
      <w:r w:rsidRPr="001D2E73">
        <w:rPr>
          <w:rFonts w:cstheme="minorHAnsi"/>
          <w:color w:val="2C2D2E"/>
        </w:rPr>
        <w:t xml:space="preserve"> </w:t>
      </w:r>
      <w:r>
        <w:rPr>
          <w:rFonts w:cstheme="minorHAnsi"/>
          <w:color w:val="2C2D2E"/>
        </w:rPr>
        <w:t xml:space="preserve">elected member, </w:t>
      </w:r>
      <w:r w:rsidRPr="001D2E73">
        <w:rPr>
          <w:rFonts w:cstheme="minorHAnsi"/>
          <w:color w:val="2C2D2E"/>
        </w:rPr>
        <w:t xml:space="preserve">CEO </w:t>
      </w:r>
      <w:r>
        <w:rPr>
          <w:rFonts w:cstheme="minorHAnsi"/>
          <w:color w:val="2C2D2E"/>
        </w:rPr>
        <w:t xml:space="preserve">or employee </w:t>
      </w:r>
      <w:r w:rsidRPr="001D2E73">
        <w:rPr>
          <w:rFonts w:cstheme="minorHAnsi"/>
          <w:color w:val="2C2D2E"/>
        </w:rPr>
        <w:t xml:space="preserve">to attend an event should be in writing and addressed to the </w:t>
      </w:r>
      <w:r w:rsidRPr="00A01238">
        <w:rPr>
          <w:rFonts w:cstheme="minorHAnsi"/>
          <w:color w:val="2C2D2E"/>
        </w:rPr>
        <w:t>CEO.</w:t>
      </w:r>
    </w:p>
    <w:p w14:paraId="39930D8D" w14:textId="77777777" w:rsidR="00AB3570" w:rsidRPr="001D2E73" w:rsidRDefault="00AB3570" w:rsidP="003369A9">
      <w:pPr>
        <w:widowControl w:val="0"/>
        <w:autoSpaceDE w:val="0"/>
        <w:autoSpaceDN w:val="0"/>
        <w:ind w:left="567" w:hanging="567"/>
        <w:jc w:val="both"/>
        <w:rPr>
          <w:rFonts w:cstheme="minorHAnsi"/>
        </w:rPr>
      </w:pPr>
      <w:r w:rsidRPr="00A01238">
        <w:rPr>
          <w:rFonts w:cstheme="minorHAnsi"/>
          <w:color w:val="2C2D2E"/>
        </w:rPr>
        <w:t>2.</w:t>
      </w:r>
      <w:r w:rsidRPr="00A01238">
        <w:rPr>
          <w:rFonts w:cstheme="minorHAnsi"/>
          <w:color w:val="2C2D2E"/>
        </w:rPr>
        <w:tab/>
        <w:t>Any invitation or offer of tickets not addressed to the CEO is not captured by this policy and must be disclosed in accordance with the gift and interest provisions</w:t>
      </w:r>
      <w:r w:rsidRPr="001D2E73">
        <w:rPr>
          <w:rFonts w:cstheme="minorHAnsi"/>
          <w:color w:val="2C2D2E"/>
        </w:rPr>
        <w:t xml:space="preserve"> in the</w:t>
      </w:r>
      <w:r w:rsidRPr="001D2E73">
        <w:rPr>
          <w:rFonts w:cstheme="minorHAnsi"/>
          <w:color w:val="2C2D2E"/>
          <w:spacing w:val="-4"/>
        </w:rPr>
        <w:t xml:space="preserve"> </w:t>
      </w:r>
      <w:r w:rsidRPr="001D2E73">
        <w:rPr>
          <w:rFonts w:cstheme="minorHAnsi"/>
          <w:color w:val="2C2D2E"/>
        </w:rPr>
        <w:t>Act.</w:t>
      </w:r>
    </w:p>
    <w:p w14:paraId="597BA85F" w14:textId="77777777" w:rsidR="00AB3570" w:rsidRDefault="00AB3570" w:rsidP="003369A9">
      <w:pPr>
        <w:widowControl w:val="0"/>
        <w:autoSpaceDE w:val="0"/>
        <w:autoSpaceDN w:val="0"/>
        <w:ind w:left="567" w:hanging="567"/>
        <w:jc w:val="both"/>
        <w:rPr>
          <w:rFonts w:cstheme="minorHAnsi"/>
          <w:color w:val="2C2D2E"/>
        </w:rPr>
      </w:pPr>
      <w:r>
        <w:rPr>
          <w:rFonts w:cstheme="minorHAnsi"/>
          <w:color w:val="2C2D2E"/>
        </w:rPr>
        <w:t>3.</w:t>
      </w:r>
      <w:r>
        <w:rPr>
          <w:rFonts w:cstheme="minorHAnsi"/>
          <w:color w:val="2C2D2E"/>
        </w:rPr>
        <w:tab/>
      </w:r>
      <w:r w:rsidRPr="001D2E73">
        <w:rPr>
          <w:rFonts w:cstheme="minorHAnsi"/>
          <w:color w:val="2C2D2E"/>
        </w:rPr>
        <w:t>A list of events and attendees authorised by the local government in advance of the event is at A</w:t>
      </w:r>
      <w:r>
        <w:rPr>
          <w:rFonts w:cstheme="minorHAnsi"/>
          <w:color w:val="2C2D2E"/>
        </w:rPr>
        <w:t>nnexure</w:t>
      </w:r>
      <w:r w:rsidRPr="001D2E73">
        <w:rPr>
          <w:rFonts w:cstheme="minorHAnsi"/>
          <w:color w:val="2C2D2E"/>
          <w:spacing w:val="-4"/>
        </w:rPr>
        <w:t xml:space="preserve"> </w:t>
      </w:r>
      <w:r w:rsidRPr="00A01238">
        <w:rPr>
          <w:rFonts w:cstheme="minorHAnsi"/>
          <w:b/>
          <w:color w:val="2C2D2E"/>
        </w:rPr>
        <w:t>A</w:t>
      </w:r>
      <w:r w:rsidRPr="001D2E73">
        <w:rPr>
          <w:rFonts w:cstheme="minorHAnsi"/>
          <w:color w:val="2C2D2E"/>
        </w:rPr>
        <w:t>.</w:t>
      </w:r>
    </w:p>
    <w:p w14:paraId="77F72FA8" w14:textId="77777777" w:rsidR="00AB3570" w:rsidRPr="00270AD6" w:rsidRDefault="00AB3570" w:rsidP="003369A9">
      <w:pPr>
        <w:spacing w:after="0"/>
        <w:rPr>
          <w:b/>
          <w:u w:val="single"/>
        </w:rPr>
      </w:pPr>
      <w:r w:rsidRPr="00270AD6">
        <w:rPr>
          <w:b/>
          <w:u w:val="single"/>
        </w:rPr>
        <w:t>Approval of</w:t>
      </w:r>
      <w:r w:rsidRPr="00270AD6">
        <w:rPr>
          <w:b/>
          <w:spacing w:val="-6"/>
          <w:u w:val="single"/>
        </w:rPr>
        <w:t xml:space="preserve"> </w:t>
      </w:r>
      <w:r w:rsidRPr="00270AD6">
        <w:rPr>
          <w:b/>
          <w:u w:val="single"/>
        </w:rPr>
        <w:t>attendance</w:t>
      </w:r>
    </w:p>
    <w:p w14:paraId="60EC367E" w14:textId="77777777" w:rsidR="00AB3570" w:rsidRDefault="00AB3570" w:rsidP="003369A9">
      <w:pPr>
        <w:autoSpaceDE w:val="0"/>
        <w:autoSpaceDN w:val="0"/>
        <w:adjustRightInd w:val="0"/>
        <w:spacing w:after="0" w:line="240" w:lineRule="auto"/>
        <w:jc w:val="both"/>
      </w:pPr>
      <w:r w:rsidRPr="003F5A81">
        <w:t xml:space="preserve">Where an invitation is received to an event that is not pre-approved, it may be submitted for approval no later than three business days prior to the event for approval as follows: </w:t>
      </w:r>
    </w:p>
    <w:p w14:paraId="60F3605B" w14:textId="77777777" w:rsidR="00AB3570" w:rsidRPr="003F5A81" w:rsidRDefault="00AB3570" w:rsidP="003369A9">
      <w:pPr>
        <w:autoSpaceDE w:val="0"/>
        <w:autoSpaceDN w:val="0"/>
        <w:adjustRightInd w:val="0"/>
        <w:spacing w:after="0" w:line="240" w:lineRule="auto"/>
      </w:pPr>
    </w:p>
    <w:p w14:paraId="73C46211" w14:textId="77777777" w:rsidR="00AB3570" w:rsidRPr="003F5A81" w:rsidRDefault="00AB3570" w:rsidP="003369A9">
      <w:pPr>
        <w:autoSpaceDE w:val="0"/>
        <w:autoSpaceDN w:val="0"/>
        <w:adjustRightInd w:val="0"/>
        <w:spacing w:after="29" w:line="240" w:lineRule="auto"/>
        <w:ind w:left="142"/>
      </w:pPr>
      <w:r w:rsidRPr="003F5A81">
        <w:t xml:space="preserve">• Events for the Mayor will be approved by the Deputy </w:t>
      </w:r>
      <w:proofErr w:type="gramStart"/>
      <w:r w:rsidRPr="003F5A81">
        <w:t>Mayor;</w:t>
      </w:r>
      <w:proofErr w:type="gramEnd"/>
      <w:r w:rsidRPr="003F5A81">
        <w:t xml:space="preserve"> </w:t>
      </w:r>
    </w:p>
    <w:p w14:paraId="4FF30C4D" w14:textId="77777777" w:rsidR="00AB3570" w:rsidRPr="003F5A81" w:rsidRDefault="00AB3570" w:rsidP="003369A9">
      <w:pPr>
        <w:autoSpaceDE w:val="0"/>
        <w:autoSpaceDN w:val="0"/>
        <w:adjustRightInd w:val="0"/>
        <w:spacing w:after="29" w:line="240" w:lineRule="auto"/>
        <w:ind w:left="142"/>
      </w:pPr>
      <w:r w:rsidRPr="003F5A81">
        <w:t xml:space="preserve">• Events for Councillors will be approved by the </w:t>
      </w:r>
      <w:proofErr w:type="gramStart"/>
      <w:r w:rsidRPr="003F5A81">
        <w:t>Mayor</w:t>
      </w:r>
      <w:proofErr w:type="gramEnd"/>
      <w:r w:rsidRPr="003F5A81">
        <w:t xml:space="preserve">; and </w:t>
      </w:r>
    </w:p>
    <w:p w14:paraId="3A2BD5FE" w14:textId="77777777" w:rsidR="00AB3570" w:rsidRDefault="00AB3570" w:rsidP="003369A9">
      <w:pPr>
        <w:autoSpaceDE w:val="0"/>
        <w:autoSpaceDN w:val="0"/>
        <w:adjustRightInd w:val="0"/>
        <w:spacing w:after="0" w:line="240" w:lineRule="auto"/>
        <w:ind w:left="142"/>
      </w:pPr>
      <w:r w:rsidRPr="003F5A81">
        <w:t xml:space="preserve">• Events for the Chief Executive Officer will be approved by the </w:t>
      </w:r>
      <w:proofErr w:type="gramStart"/>
      <w:r w:rsidRPr="003F5A81">
        <w:t>Mayor</w:t>
      </w:r>
      <w:proofErr w:type="gramEnd"/>
      <w:r w:rsidRPr="003F5A81">
        <w:t xml:space="preserve">. </w:t>
      </w:r>
    </w:p>
    <w:p w14:paraId="3EBD39F4" w14:textId="77777777" w:rsidR="00AB3570" w:rsidRPr="003F5A81" w:rsidRDefault="00AB3570" w:rsidP="002A3889">
      <w:pPr>
        <w:pStyle w:val="ListParagraph"/>
        <w:numPr>
          <w:ilvl w:val="0"/>
          <w:numId w:val="458"/>
        </w:numPr>
        <w:autoSpaceDE w:val="0"/>
        <w:autoSpaceDN w:val="0"/>
        <w:adjustRightInd w:val="0"/>
        <w:spacing w:after="0" w:line="240" w:lineRule="auto"/>
        <w:ind w:left="284" w:hanging="142"/>
      </w:pPr>
      <w:r>
        <w:t>Events for staff to be approved by the Chief Executive Officer</w:t>
      </w:r>
    </w:p>
    <w:p w14:paraId="7C6526D2" w14:textId="77777777" w:rsidR="00AB3570" w:rsidRDefault="00AB3570" w:rsidP="00AB3570">
      <w:pPr>
        <w:autoSpaceDE w:val="0"/>
        <w:autoSpaceDN w:val="0"/>
        <w:adjustRightInd w:val="0"/>
        <w:spacing w:after="0" w:line="240" w:lineRule="auto"/>
        <w:ind w:left="720"/>
      </w:pPr>
    </w:p>
    <w:p w14:paraId="4F8F36AE" w14:textId="77777777" w:rsidR="00AB3570" w:rsidRDefault="00AB3570" w:rsidP="00AB3570">
      <w:r>
        <w:br w:type="page"/>
      </w:r>
    </w:p>
    <w:p w14:paraId="44319CBC" w14:textId="77777777" w:rsidR="00AB3570" w:rsidRPr="003F5A81" w:rsidRDefault="00AB3570" w:rsidP="003369A9">
      <w:pPr>
        <w:autoSpaceDE w:val="0"/>
        <w:autoSpaceDN w:val="0"/>
        <w:adjustRightInd w:val="0"/>
        <w:spacing w:after="120" w:line="240" w:lineRule="auto"/>
      </w:pPr>
      <w:r w:rsidRPr="003F5A81">
        <w:lastRenderedPageBreak/>
        <w:t xml:space="preserve">Considerations for approval of the event include: </w:t>
      </w:r>
    </w:p>
    <w:p w14:paraId="3E56A4E0" w14:textId="77777777" w:rsidR="00AB3570" w:rsidRPr="003F5A81" w:rsidRDefault="00AB3570" w:rsidP="003369A9">
      <w:pPr>
        <w:autoSpaceDE w:val="0"/>
        <w:autoSpaceDN w:val="0"/>
        <w:adjustRightInd w:val="0"/>
        <w:spacing w:after="29" w:line="240" w:lineRule="auto"/>
        <w:ind w:left="142"/>
      </w:pPr>
      <w:r>
        <w:t>• a</w:t>
      </w:r>
      <w:r w:rsidRPr="003F5A81">
        <w:t xml:space="preserve">ny justification provided by the applicant when the event is submitted for approval. </w:t>
      </w:r>
    </w:p>
    <w:p w14:paraId="1CFFF148" w14:textId="77777777" w:rsidR="00AB3570" w:rsidRPr="003F5A81" w:rsidRDefault="00AB3570" w:rsidP="003369A9">
      <w:pPr>
        <w:autoSpaceDE w:val="0"/>
        <w:autoSpaceDN w:val="0"/>
        <w:adjustRightInd w:val="0"/>
        <w:spacing w:after="29" w:line="240" w:lineRule="auto"/>
        <w:ind w:left="142"/>
      </w:pPr>
      <w:r>
        <w:t>• t</w:t>
      </w:r>
      <w:r w:rsidRPr="003F5A81">
        <w:t xml:space="preserve">he benefit to the </w:t>
      </w:r>
      <w:r>
        <w:t>Town</w:t>
      </w:r>
      <w:r w:rsidRPr="003F5A81">
        <w:t xml:space="preserve"> of the person attending. </w:t>
      </w:r>
    </w:p>
    <w:p w14:paraId="21D80AB6" w14:textId="77777777" w:rsidR="00AB3570" w:rsidRPr="003F5A81" w:rsidRDefault="00AB3570" w:rsidP="003369A9">
      <w:pPr>
        <w:autoSpaceDE w:val="0"/>
        <w:autoSpaceDN w:val="0"/>
        <w:adjustRightInd w:val="0"/>
        <w:spacing w:after="29" w:line="240" w:lineRule="auto"/>
        <w:ind w:left="142"/>
      </w:pPr>
      <w:r>
        <w:t>• a</w:t>
      </w:r>
      <w:r w:rsidRPr="003F5A81">
        <w:t xml:space="preserve">lignment to the </w:t>
      </w:r>
      <w:r>
        <w:t>Town</w:t>
      </w:r>
      <w:r w:rsidRPr="003F5A81">
        <w:t xml:space="preserve">’s Strategic Objectives. </w:t>
      </w:r>
    </w:p>
    <w:p w14:paraId="781F9A64" w14:textId="77777777" w:rsidR="00AB3570" w:rsidRDefault="00AB3570" w:rsidP="003369A9">
      <w:pPr>
        <w:autoSpaceDE w:val="0"/>
        <w:autoSpaceDN w:val="0"/>
        <w:adjustRightInd w:val="0"/>
        <w:spacing w:after="0" w:line="240" w:lineRule="auto"/>
        <w:ind w:left="142"/>
      </w:pPr>
      <w:r>
        <w:t>• t</w:t>
      </w:r>
      <w:r w:rsidRPr="003F5A81">
        <w:t xml:space="preserve">he number of </w:t>
      </w:r>
      <w:r>
        <w:t>Town</w:t>
      </w:r>
      <w:r w:rsidRPr="003F5A81">
        <w:t xml:space="preserve"> representatives already approved to attend. </w:t>
      </w:r>
    </w:p>
    <w:p w14:paraId="6F72E9F5" w14:textId="77777777" w:rsidR="00AB3570" w:rsidRPr="008E30D7" w:rsidRDefault="00AB3570" w:rsidP="00AB3570">
      <w:pPr>
        <w:autoSpaceDE w:val="0"/>
        <w:autoSpaceDN w:val="0"/>
        <w:adjustRightInd w:val="0"/>
        <w:spacing w:after="0" w:line="240" w:lineRule="auto"/>
        <w:rPr>
          <w:rFonts w:ascii="Helvetica LT" w:hAnsi="Helvetica LT" w:cs="Helvetica LT"/>
          <w:color w:val="000000"/>
        </w:rPr>
      </w:pPr>
    </w:p>
    <w:p w14:paraId="2686511E" w14:textId="77777777" w:rsidR="00AB3570" w:rsidRPr="00270AD6" w:rsidRDefault="00AB3570" w:rsidP="003369A9">
      <w:pPr>
        <w:spacing w:after="0"/>
        <w:rPr>
          <w:b/>
          <w:u w:val="single"/>
        </w:rPr>
      </w:pPr>
      <w:r w:rsidRPr="00270AD6">
        <w:rPr>
          <w:b/>
          <w:u w:val="single"/>
        </w:rPr>
        <w:t xml:space="preserve">Approved Events </w:t>
      </w:r>
    </w:p>
    <w:p w14:paraId="09E2C225" w14:textId="77777777" w:rsidR="00AB3570" w:rsidRDefault="00AB3570" w:rsidP="003369A9">
      <w:pPr>
        <w:rPr>
          <w:b/>
        </w:rPr>
      </w:pPr>
      <w:r w:rsidRPr="00270AD6">
        <w:t xml:space="preserve">Listed in Annexure </w:t>
      </w:r>
      <w:r>
        <w:t>(</w:t>
      </w:r>
      <w:r w:rsidRPr="00270AD6">
        <w:rPr>
          <w:b/>
        </w:rPr>
        <w:t>A</w:t>
      </w:r>
      <w:r>
        <w:rPr>
          <w:b/>
        </w:rPr>
        <w:t>)</w:t>
      </w:r>
    </w:p>
    <w:p w14:paraId="5B3EBB8A" w14:textId="77777777" w:rsidR="00AB3570" w:rsidRPr="008E30D7" w:rsidRDefault="00AB3570" w:rsidP="003369A9">
      <w:pPr>
        <w:spacing w:after="0"/>
        <w:rPr>
          <w:b/>
          <w:u w:val="single"/>
        </w:rPr>
      </w:pPr>
      <w:r w:rsidRPr="008E30D7">
        <w:rPr>
          <w:b/>
          <w:u w:val="single"/>
        </w:rPr>
        <w:t xml:space="preserve">Non-Approved Events </w:t>
      </w:r>
    </w:p>
    <w:p w14:paraId="10AD7C85" w14:textId="77777777" w:rsidR="00AB3570" w:rsidRPr="00D612FC" w:rsidRDefault="00AB3570" w:rsidP="003369A9">
      <w:pPr>
        <w:autoSpaceDE w:val="0"/>
        <w:autoSpaceDN w:val="0"/>
        <w:adjustRightInd w:val="0"/>
        <w:spacing w:after="0" w:line="240" w:lineRule="auto"/>
      </w:pPr>
      <w:r w:rsidRPr="00D612FC">
        <w:t xml:space="preserve">Any event that is not pre-approved, is not submitted through an approval process, or is received personally is considered a non-approved event. </w:t>
      </w:r>
    </w:p>
    <w:p w14:paraId="6A8EB68E" w14:textId="77777777" w:rsidR="00AB3570" w:rsidRDefault="00AB3570" w:rsidP="003369A9">
      <w:pPr>
        <w:autoSpaceDE w:val="0"/>
        <w:autoSpaceDN w:val="0"/>
        <w:adjustRightInd w:val="0"/>
        <w:spacing w:after="0" w:line="240" w:lineRule="auto"/>
        <w:ind w:firstLine="284"/>
      </w:pPr>
    </w:p>
    <w:p w14:paraId="7FFE6749" w14:textId="77777777" w:rsidR="00AB3570" w:rsidRPr="00D612FC" w:rsidRDefault="00AB3570" w:rsidP="003369A9">
      <w:pPr>
        <w:autoSpaceDE w:val="0"/>
        <w:autoSpaceDN w:val="0"/>
        <w:adjustRightInd w:val="0"/>
        <w:spacing w:after="0" w:line="240" w:lineRule="auto"/>
      </w:pPr>
      <w:r w:rsidRPr="00D612FC">
        <w:t xml:space="preserve">If the event is a free event to the </w:t>
      </w:r>
      <w:proofErr w:type="gramStart"/>
      <w:r w:rsidRPr="00D612FC">
        <w:t>public</w:t>
      </w:r>
      <w:proofErr w:type="gramEnd"/>
      <w:r w:rsidRPr="00D612FC">
        <w:t xml:space="preserve"> then no action is required. </w:t>
      </w:r>
    </w:p>
    <w:p w14:paraId="5DCD4577" w14:textId="77777777" w:rsidR="00AB3570" w:rsidRDefault="00AB3570" w:rsidP="003369A9">
      <w:pPr>
        <w:autoSpaceDE w:val="0"/>
        <w:autoSpaceDN w:val="0"/>
        <w:adjustRightInd w:val="0"/>
        <w:spacing w:after="0" w:line="240" w:lineRule="auto"/>
      </w:pPr>
    </w:p>
    <w:p w14:paraId="26EEE071" w14:textId="77777777" w:rsidR="00AB3570" w:rsidRPr="00D612FC" w:rsidRDefault="00AB3570" w:rsidP="003369A9">
      <w:pPr>
        <w:autoSpaceDE w:val="0"/>
        <w:autoSpaceDN w:val="0"/>
        <w:adjustRightInd w:val="0"/>
        <w:spacing w:after="0" w:line="240" w:lineRule="auto"/>
      </w:pPr>
      <w:r w:rsidRPr="00D612FC">
        <w:t xml:space="preserve">If the event is ticketed and the Elected Member or Chief Executive Officer pays the full ticketed price and does not seek </w:t>
      </w:r>
      <w:proofErr w:type="gramStart"/>
      <w:r w:rsidRPr="00D612FC">
        <w:t>reimbursement</w:t>
      </w:r>
      <w:proofErr w:type="gramEnd"/>
      <w:r w:rsidRPr="00D612FC">
        <w:t xml:space="preserve"> then no action is required. </w:t>
      </w:r>
    </w:p>
    <w:p w14:paraId="35250C58" w14:textId="77777777" w:rsidR="00AB3570" w:rsidRDefault="00AB3570" w:rsidP="003369A9">
      <w:pPr>
        <w:autoSpaceDE w:val="0"/>
        <w:autoSpaceDN w:val="0"/>
        <w:adjustRightInd w:val="0"/>
        <w:spacing w:after="0" w:line="240" w:lineRule="auto"/>
      </w:pPr>
    </w:p>
    <w:p w14:paraId="695755C5" w14:textId="77777777" w:rsidR="00AB3570" w:rsidRPr="003F5A81" w:rsidRDefault="00AB3570" w:rsidP="003369A9">
      <w:pPr>
        <w:autoSpaceDE w:val="0"/>
        <w:autoSpaceDN w:val="0"/>
        <w:adjustRightInd w:val="0"/>
        <w:spacing w:line="240" w:lineRule="auto"/>
      </w:pPr>
      <w:r w:rsidRPr="00D612FC">
        <w:t xml:space="preserve">If the event is ticketed and the Elected Member or Chief Executive Officer pays a discounted rate or is provided with a free </w:t>
      </w:r>
      <w:proofErr w:type="gramStart"/>
      <w:r w:rsidRPr="00D612FC">
        <w:t>ticket</w:t>
      </w:r>
      <w:proofErr w:type="gramEnd"/>
      <w:r w:rsidRPr="00D612FC">
        <w:t xml:space="preserve"> then the recipient must disclose receipt of the tickets (and any other associated hospitality) within 10 days.</w:t>
      </w:r>
    </w:p>
    <w:p w14:paraId="5682638C" w14:textId="77777777" w:rsidR="00AB3570" w:rsidRPr="008E30D7" w:rsidRDefault="00AB3570" w:rsidP="003369A9">
      <w:pPr>
        <w:spacing w:after="0"/>
      </w:pPr>
      <w:r w:rsidRPr="008E30D7">
        <w:rPr>
          <w:u w:val="single"/>
        </w:rPr>
        <w:t>Payments in respect of</w:t>
      </w:r>
      <w:r w:rsidRPr="008E30D7">
        <w:rPr>
          <w:spacing w:val="-6"/>
          <w:u w:val="single"/>
        </w:rPr>
        <w:t xml:space="preserve"> </w:t>
      </w:r>
      <w:r w:rsidRPr="008E30D7">
        <w:rPr>
          <w:u w:val="single"/>
        </w:rPr>
        <w:t>attendance</w:t>
      </w:r>
    </w:p>
    <w:p w14:paraId="6331CACC" w14:textId="77777777" w:rsidR="00AB3570" w:rsidRDefault="00AB3570" w:rsidP="003369A9">
      <w:pPr>
        <w:widowControl w:val="0"/>
        <w:autoSpaceDE w:val="0"/>
        <w:autoSpaceDN w:val="0"/>
        <w:ind w:left="426" w:hanging="426"/>
        <w:jc w:val="both"/>
      </w:pPr>
      <w:r>
        <w:rPr>
          <w:color w:val="2C2D2E"/>
        </w:rPr>
        <w:t>1.</w:t>
      </w:r>
      <w:r>
        <w:rPr>
          <w:color w:val="2C2D2E"/>
        </w:rPr>
        <w:tab/>
      </w:r>
      <w:r w:rsidRPr="001D2E73">
        <w:rPr>
          <w:color w:val="2C2D2E"/>
        </w:rPr>
        <w:t>Where an invitation or ticket to an event is provided free of charge, the local government may contribute to appropriate expenses for attendance, such as travel and accommodation, for even</w:t>
      </w:r>
      <w:r>
        <w:rPr>
          <w:color w:val="2C2D2E"/>
        </w:rPr>
        <w:t>ts outside the district if the C</w:t>
      </w:r>
      <w:r w:rsidRPr="001D2E73">
        <w:rPr>
          <w:color w:val="2C2D2E"/>
        </w:rPr>
        <w:t>ouncil determine</w:t>
      </w:r>
      <w:r>
        <w:rPr>
          <w:color w:val="2C2D2E"/>
        </w:rPr>
        <w:t>s</w:t>
      </w:r>
      <w:r w:rsidRPr="001D2E73">
        <w:rPr>
          <w:color w:val="2C2D2E"/>
        </w:rPr>
        <w:t xml:space="preserve"> attendance to be of public</w:t>
      </w:r>
      <w:r w:rsidRPr="001D2E73">
        <w:rPr>
          <w:color w:val="2C2D2E"/>
          <w:spacing w:val="-27"/>
        </w:rPr>
        <w:t xml:space="preserve"> </w:t>
      </w:r>
      <w:r w:rsidRPr="001D2E73">
        <w:rPr>
          <w:color w:val="2C2D2E"/>
        </w:rPr>
        <w:t>value.</w:t>
      </w:r>
    </w:p>
    <w:p w14:paraId="083DE541" w14:textId="77777777" w:rsidR="00AB3570" w:rsidRDefault="00AB3570" w:rsidP="003369A9">
      <w:pPr>
        <w:widowControl w:val="0"/>
        <w:autoSpaceDE w:val="0"/>
        <w:autoSpaceDN w:val="0"/>
        <w:ind w:left="426" w:hanging="426"/>
        <w:jc w:val="both"/>
      </w:pPr>
      <w:r>
        <w:rPr>
          <w:color w:val="2C2D2E"/>
        </w:rPr>
        <w:t>2.</w:t>
      </w:r>
      <w:r>
        <w:rPr>
          <w:color w:val="2C2D2E"/>
        </w:rPr>
        <w:tab/>
      </w:r>
      <w:r w:rsidRPr="001D2E73">
        <w:rPr>
          <w:color w:val="2C2D2E"/>
        </w:rPr>
        <w:t>For any events where a member of the public is required to pay, unless previously approved a</w:t>
      </w:r>
      <w:r>
        <w:rPr>
          <w:color w:val="2C2D2E"/>
        </w:rPr>
        <w:t>nd listed in Attachment A, the C</w:t>
      </w:r>
      <w:r w:rsidRPr="001D2E73">
        <w:rPr>
          <w:color w:val="2C2D2E"/>
        </w:rPr>
        <w:t>ouncil will determine whether it is in the best interests of the local government for a</w:t>
      </w:r>
      <w:r>
        <w:rPr>
          <w:color w:val="2C2D2E"/>
        </w:rPr>
        <w:t xml:space="preserve">n elected member </w:t>
      </w:r>
      <w:r w:rsidRPr="001D2E73">
        <w:rPr>
          <w:color w:val="2C2D2E"/>
        </w:rPr>
        <w:t>or the CEO or another officer to attend on behalf of the</w:t>
      </w:r>
      <w:r w:rsidRPr="001D2E73">
        <w:rPr>
          <w:color w:val="2C2D2E"/>
          <w:spacing w:val="-8"/>
        </w:rPr>
        <w:t xml:space="preserve"> </w:t>
      </w:r>
      <w:r>
        <w:rPr>
          <w:color w:val="2C2D2E"/>
        </w:rPr>
        <w:t>C</w:t>
      </w:r>
      <w:r w:rsidRPr="001D2E73">
        <w:rPr>
          <w:color w:val="2C2D2E"/>
        </w:rPr>
        <w:t>ouncil.</w:t>
      </w:r>
    </w:p>
    <w:p w14:paraId="4990ACBB" w14:textId="77777777" w:rsidR="00AB3570" w:rsidRDefault="00AB3570" w:rsidP="003369A9">
      <w:pPr>
        <w:widowControl w:val="0"/>
        <w:autoSpaceDE w:val="0"/>
        <w:autoSpaceDN w:val="0"/>
        <w:ind w:left="426" w:hanging="426"/>
        <w:jc w:val="both"/>
      </w:pPr>
      <w:r>
        <w:rPr>
          <w:color w:val="2C2D2E"/>
        </w:rPr>
        <w:t>3.</w:t>
      </w:r>
      <w:r>
        <w:rPr>
          <w:color w:val="2C2D2E"/>
        </w:rPr>
        <w:tab/>
        <w:t>If the C</w:t>
      </w:r>
      <w:r w:rsidRPr="001D2E73">
        <w:rPr>
          <w:color w:val="2C2D2E"/>
        </w:rPr>
        <w:t>ouncil determines that a council member or CEO should attend a paid event, the local government will pay the cost of attendance and reasonable expenses, such as travel and</w:t>
      </w:r>
      <w:r w:rsidRPr="001D2E73">
        <w:rPr>
          <w:color w:val="2C2D2E"/>
          <w:spacing w:val="-5"/>
        </w:rPr>
        <w:t xml:space="preserve"> </w:t>
      </w:r>
      <w:r w:rsidRPr="001D2E73">
        <w:rPr>
          <w:color w:val="2C2D2E"/>
        </w:rPr>
        <w:t>accommodation.</w:t>
      </w:r>
    </w:p>
    <w:p w14:paraId="4E3F4BAA" w14:textId="77777777" w:rsidR="00AB3570" w:rsidRPr="006047DC" w:rsidRDefault="00AB3570" w:rsidP="003369A9">
      <w:pPr>
        <w:widowControl w:val="0"/>
        <w:autoSpaceDE w:val="0"/>
        <w:autoSpaceDN w:val="0"/>
        <w:spacing w:before="3" w:after="0"/>
        <w:ind w:left="426" w:hanging="426"/>
        <w:jc w:val="both"/>
      </w:pPr>
      <w:r>
        <w:rPr>
          <w:color w:val="2C2D2E"/>
        </w:rPr>
        <w:t>4.</w:t>
      </w:r>
      <w:r>
        <w:rPr>
          <w:color w:val="2C2D2E"/>
        </w:rPr>
        <w:tab/>
      </w:r>
      <w:r w:rsidRPr="001D2E73">
        <w:rPr>
          <w:color w:val="2C2D2E"/>
        </w:rPr>
        <w:t>Where partners of an authorised local government representative attend an event, any tickets for that person, if paid for by the local government, must be reimbursed by the representative unless expressly authorised by the</w:t>
      </w:r>
      <w:r w:rsidRPr="001D2E73">
        <w:rPr>
          <w:color w:val="2C2D2E"/>
          <w:spacing w:val="-14"/>
        </w:rPr>
        <w:t xml:space="preserve"> </w:t>
      </w:r>
      <w:r>
        <w:rPr>
          <w:color w:val="2C2D2E"/>
        </w:rPr>
        <w:t>C</w:t>
      </w:r>
      <w:r w:rsidRPr="001D2E73">
        <w:rPr>
          <w:color w:val="2C2D2E"/>
        </w:rPr>
        <w:t>ouncil.</w:t>
      </w:r>
    </w:p>
    <w:p w14:paraId="6D468867" w14:textId="77777777" w:rsidR="00AB3570" w:rsidRDefault="00AB3570" w:rsidP="00AB3570">
      <w:pPr>
        <w:autoSpaceDE w:val="0"/>
        <w:autoSpaceDN w:val="0"/>
        <w:adjustRightInd w:val="0"/>
        <w:spacing w:after="0" w:line="240" w:lineRule="auto"/>
        <w:ind w:firstLine="284"/>
        <w:rPr>
          <w:u w:val="single"/>
        </w:rPr>
      </w:pPr>
    </w:p>
    <w:p w14:paraId="45EBDAD8" w14:textId="77777777" w:rsidR="00AB3570" w:rsidRPr="00D612FC" w:rsidRDefault="00AB3570" w:rsidP="003369A9">
      <w:pPr>
        <w:autoSpaceDE w:val="0"/>
        <w:autoSpaceDN w:val="0"/>
        <w:adjustRightInd w:val="0"/>
        <w:spacing w:after="0" w:line="240" w:lineRule="auto"/>
        <w:rPr>
          <w:u w:val="single"/>
        </w:rPr>
      </w:pPr>
      <w:r w:rsidRPr="00D612FC">
        <w:rPr>
          <w:u w:val="single"/>
        </w:rPr>
        <w:t xml:space="preserve">Definitions </w:t>
      </w:r>
    </w:p>
    <w:p w14:paraId="04375B07" w14:textId="77777777" w:rsidR="00AB3570" w:rsidRPr="00D612FC" w:rsidRDefault="00AB3570" w:rsidP="003369A9">
      <w:pPr>
        <w:autoSpaceDE w:val="0"/>
        <w:autoSpaceDN w:val="0"/>
        <w:adjustRightInd w:val="0"/>
        <w:spacing w:after="0" w:line="240" w:lineRule="auto"/>
      </w:pPr>
      <w:r w:rsidRPr="00D612FC">
        <w:rPr>
          <w:b/>
        </w:rPr>
        <w:t>Elected Members</w:t>
      </w:r>
      <w:r w:rsidRPr="00D612FC">
        <w:t xml:space="preserve"> includes the Mayor and all Councillors. </w:t>
      </w:r>
    </w:p>
    <w:p w14:paraId="5AABC4C1" w14:textId="77777777" w:rsidR="00AB3570" w:rsidRDefault="00AB3570" w:rsidP="003369A9">
      <w:pPr>
        <w:autoSpaceDE w:val="0"/>
        <w:autoSpaceDN w:val="0"/>
        <w:adjustRightInd w:val="0"/>
        <w:spacing w:after="0" w:line="240" w:lineRule="auto"/>
      </w:pPr>
    </w:p>
    <w:p w14:paraId="0AA7F636" w14:textId="77777777" w:rsidR="00AB3570" w:rsidRPr="00D612FC" w:rsidRDefault="00AB3570" w:rsidP="003369A9">
      <w:pPr>
        <w:autoSpaceDE w:val="0"/>
        <w:autoSpaceDN w:val="0"/>
        <w:adjustRightInd w:val="0"/>
        <w:spacing w:after="0" w:line="240" w:lineRule="auto"/>
      </w:pPr>
      <w:r w:rsidRPr="00D612FC">
        <w:t xml:space="preserve">In accordance with Section 5.90A of </w:t>
      </w:r>
      <w:r w:rsidRPr="00D612FC">
        <w:rPr>
          <w:i/>
        </w:rPr>
        <w:t>the Local Government Act 1995</w:t>
      </w:r>
      <w:r w:rsidRPr="00D612FC">
        <w:t xml:space="preserve"> an event is defined as a: </w:t>
      </w:r>
    </w:p>
    <w:p w14:paraId="689D1DC7" w14:textId="77777777" w:rsidR="00AB3570" w:rsidRPr="00D612FC" w:rsidRDefault="00AB3570" w:rsidP="002A3889">
      <w:pPr>
        <w:pStyle w:val="ListParagraph"/>
        <w:numPr>
          <w:ilvl w:val="0"/>
          <w:numId w:val="430"/>
        </w:numPr>
        <w:autoSpaceDE w:val="0"/>
        <w:autoSpaceDN w:val="0"/>
        <w:adjustRightInd w:val="0"/>
        <w:spacing w:after="0" w:line="240" w:lineRule="auto"/>
        <w:ind w:left="426" w:hanging="426"/>
      </w:pPr>
      <w:r w:rsidRPr="00D612FC">
        <w:t xml:space="preserve">Concert </w:t>
      </w:r>
    </w:p>
    <w:p w14:paraId="6E8C42EB" w14:textId="77777777" w:rsidR="00AB3570" w:rsidRPr="00D612FC" w:rsidRDefault="00AB3570" w:rsidP="002A3889">
      <w:pPr>
        <w:pStyle w:val="ListParagraph"/>
        <w:numPr>
          <w:ilvl w:val="0"/>
          <w:numId w:val="430"/>
        </w:numPr>
        <w:autoSpaceDE w:val="0"/>
        <w:autoSpaceDN w:val="0"/>
        <w:adjustRightInd w:val="0"/>
        <w:spacing w:after="0" w:line="240" w:lineRule="auto"/>
        <w:ind w:left="426" w:hanging="426"/>
      </w:pPr>
      <w:r w:rsidRPr="00D612FC">
        <w:t xml:space="preserve">Conference </w:t>
      </w:r>
    </w:p>
    <w:p w14:paraId="15F0133B" w14:textId="77777777" w:rsidR="00AB3570" w:rsidRPr="00D612FC" w:rsidRDefault="00AB3570" w:rsidP="002A3889">
      <w:pPr>
        <w:pStyle w:val="ListParagraph"/>
        <w:numPr>
          <w:ilvl w:val="0"/>
          <w:numId w:val="430"/>
        </w:numPr>
        <w:autoSpaceDE w:val="0"/>
        <w:autoSpaceDN w:val="0"/>
        <w:adjustRightInd w:val="0"/>
        <w:spacing w:after="0" w:line="240" w:lineRule="auto"/>
        <w:ind w:left="426" w:hanging="426"/>
      </w:pPr>
      <w:r w:rsidRPr="00D612FC">
        <w:t xml:space="preserve">Function </w:t>
      </w:r>
    </w:p>
    <w:p w14:paraId="361E7A9A" w14:textId="77777777" w:rsidR="00AB3570" w:rsidRPr="00D612FC" w:rsidRDefault="00AB3570" w:rsidP="002A3889">
      <w:pPr>
        <w:pStyle w:val="ListParagraph"/>
        <w:numPr>
          <w:ilvl w:val="0"/>
          <w:numId w:val="430"/>
        </w:numPr>
        <w:autoSpaceDE w:val="0"/>
        <w:autoSpaceDN w:val="0"/>
        <w:adjustRightInd w:val="0"/>
        <w:spacing w:after="0" w:line="240" w:lineRule="auto"/>
        <w:ind w:left="426" w:hanging="426"/>
      </w:pPr>
      <w:r w:rsidRPr="00D612FC">
        <w:t xml:space="preserve">Sporting event </w:t>
      </w:r>
    </w:p>
    <w:p w14:paraId="4A523A50" w14:textId="77777777" w:rsidR="00AB3570" w:rsidRPr="00D612FC" w:rsidRDefault="00AB3570" w:rsidP="002A3889">
      <w:pPr>
        <w:pStyle w:val="ListParagraph"/>
        <w:numPr>
          <w:ilvl w:val="0"/>
          <w:numId w:val="430"/>
        </w:numPr>
        <w:autoSpaceDE w:val="0"/>
        <w:autoSpaceDN w:val="0"/>
        <w:adjustRightInd w:val="0"/>
        <w:spacing w:after="0" w:line="240" w:lineRule="auto"/>
        <w:ind w:left="426" w:hanging="426"/>
      </w:pPr>
      <w:r w:rsidRPr="00D612FC">
        <w:t xml:space="preserve">Occasions prescribed by the Local Government (Administration) Regulations 1996. </w:t>
      </w:r>
    </w:p>
    <w:p w14:paraId="4F93FD22" w14:textId="77777777" w:rsidR="00AB3570" w:rsidRPr="00D612FC" w:rsidRDefault="00AB3570" w:rsidP="00AB3570">
      <w:pPr>
        <w:autoSpaceDE w:val="0"/>
        <w:autoSpaceDN w:val="0"/>
        <w:adjustRightInd w:val="0"/>
        <w:spacing w:after="0" w:line="240" w:lineRule="auto"/>
        <w:ind w:firstLine="284"/>
      </w:pPr>
    </w:p>
    <w:p w14:paraId="7B62D4AB" w14:textId="77777777" w:rsidR="00AB3570" w:rsidRDefault="00AB3570" w:rsidP="00AB3570">
      <w:pPr>
        <w:spacing w:before="200" w:after="0" w:line="240" w:lineRule="auto"/>
        <w:jc w:val="both"/>
        <w:rPr>
          <w:rFonts w:ascii="Arial" w:hAnsi="Arial" w:cs="Arial"/>
        </w:rPr>
      </w:pPr>
    </w:p>
    <w:p w14:paraId="1985A3BA" w14:textId="77777777" w:rsidR="00AB3570" w:rsidRPr="009B72F2" w:rsidRDefault="00AB3570" w:rsidP="00AB3570">
      <w:pPr>
        <w:spacing w:before="200" w:after="0" w:line="240" w:lineRule="auto"/>
        <w:jc w:val="both"/>
        <w:rPr>
          <w:rFonts w:ascii="Arial" w:hAnsi="Arial" w:cs="Arial"/>
        </w:rPr>
      </w:pPr>
    </w:p>
    <w:tbl>
      <w:tblPr>
        <w:tblStyle w:val="TableGrid"/>
        <w:tblW w:w="0" w:type="auto"/>
        <w:tblInd w:w="279" w:type="dxa"/>
        <w:tblLook w:val="04A0" w:firstRow="1" w:lastRow="0" w:firstColumn="1" w:lastColumn="0" w:noHBand="0" w:noVBand="1"/>
      </w:tblPr>
      <w:tblGrid>
        <w:gridCol w:w="3260"/>
        <w:gridCol w:w="5477"/>
      </w:tblGrid>
      <w:tr w:rsidR="00AB3570" w:rsidRPr="009B72F2" w14:paraId="6677317D" w14:textId="77777777" w:rsidTr="003369A9">
        <w:tc>
          <w:tcPr>
            <w:tcW w:w="3260" w:type="dxa"/>
          </w:tcPr>
          <w:p w14:paraId="36E6D6EF" w14:textId="77777777" w:rsidR="00AB3570" w:rsidRPr="00A57F43" w:rsidRDefault="00AB3570" w:rsidP="006C2BE9">
            <w:pPr>
              <w:rPr>
                <w:rFonts w:cstheme="minorHAnsi"/>
                <w:b/>
                <w:lang w:val="en-US"/>
              </w:rPr>
            </w:pPr>
            <w:r w:rsidRPr="00A57F43">
              <w:rPr>
                <w:rFonts w:cstheme="minorHAnsi"/>
                <w:b/>
                <w:lang w:val="en-US"/>
              </w:rPr>
              <w:t>Responsible Directorate:</w:t>
            </w:r>
          </w:p>
        </w:tc>
        <w:tc>
          <w:tcPr>
            <w:tcW w:w="5477" w:type="dxa"/>
          </w:tcPr>
          <w:p w14:paraId="50D069C9" w14:textId="77777777" w:rsidR="00AB3570" w:rsidRPr="00A57F43" w:rsidRDefault="00AB3570" w:rsidP="006C2BE9">
            <w:pPr>
              <w:jc w:val="both"/>
              <w:rPr>
                <w:rFonts w:cstheme="minorHAnsi"/>
                <w:lang w:val="en-US"/>
              </w:rPr>
            </w:pPr>
            <w:r w:rsidRPr="00A57F43">
              <w:rPr>
                <w:rFonts w:cstheme="minorHAnsi"/>
                <w:lang w:val="en-US"/>
              </w:rPr>
              <w:t>Offic</w:t>
            </w:r>
            <w:r>
              <w:rPr>
                <w:rFonts w:cstheme="minorHAnsi"/>
                <w:lang w:val="en-US"/>
              </w:rPr>
              <w:t>e of the CEO</w:t>
            </w:r>
          </w:p>
        </w:tc>
      </w:tr>
      <w:tr w:rsidR="00AB3570" w:rsidRPr="009B72F2" w14:paraId="3242C606" w14:textId="77777777" w:rsidTr="003369A9">
        <w:tc>
          <w:tcPr>
            <w:tcW w:w="3260" w:type="dxa"/>
          </w:tcPr>
          <w:p w14:paraId="05B270B7" w14:textId="77777777" w:rsidR="00AB3570" w:rsidRPr="00A57F43" w:rsidRDefault="00AB3570" w:rsidP="006C2BE9">
            <w:pPr>
              <w:rPr>
                <w:rFonts w:cstheme="minorHAnsi"/>
                <w:b/>
                <w:lang w:val="en-US"/>
              </w:rPr>
            </w:pPr>
            <w:r w:rsidRPr="00A57F43">
              <w:rPr>
                <w:rFonts w:cstheme="minorHAnsi"/>
                <w:b/>
                <w:lang w:val="en-US"/>
              </w:rPr>
              <w:t>Reviewing Officer:</w:t>
            </w:r>
          </w:p>
        </w:tc>
        <w:tc>
          <w:tcPr>
            <w:tcW w:w="5477" w:type="dxa"/>
          </w:tcPr>
          <w:p w14:paraId="299AC9F7" w14:textId="77777777" w:rsidR="00AB3570" w:rsidRPr="00A57F43" w:rsidRDefault="00AB3570" w:rsidP="006C2BE9">
            <w:pPr>
              <w:jc w:val="both"/>
              <w:rPr>
                <w:rFonts w:cstheme="minorHAnsi"/>
                <w:lang w:val="en-US"/>
              </w:rPr>
            </w:pPr>
            <w:r>
              <w:rPr>
                <w:rFonts w:cstheme="minorHAnsi"/>
                <w:lang w:val="en-US"/>
              </w:rPr>
              <w:t>Chief Executive Officer</w:t>
            </w:r>
          </w:p>
        </w:tc>
      </w:tr>
      <w:tr w:rsidR="00AB3570" w:rsidRPr="009B72F2" w14:paraId="40405B33" w14:textId="77777777" w:rsidTr="003369A9">
        <w:tc>
          <w:tcPr>
            <w:tcW w:w="3260" w:type="dxa"/>
          </w:tcPr>
          <w:p w14:paraId="46B39DFC" w14:textId="77777777" w:rsidR="00AB3570" w:rsidRPr="00A57F43" w:rsidRDefault="00AB3570" w:rsidP="006C2BE9">
            <w:pPr>
              <w:rPr>
                <w:rFonts w:cstheme="minorHAnsi"/>
                <w:b/>
                <w:lang w:val="en-US"/>
              </w:rPr>
            </w:pPr>
            <w:r w:rsidRPr="00A57F43">
              <w:rPr>
                <w:rFonts w:cstheme="minorHAnsi"/>
                <w:b/>
                <w:lang w:val="en-US"/>
              </w:rPr>
              <w:t>Decision making Authority:</w:t>
            </w:r>
          </w:p>
        </w:tc>
        <w:tc>
          <w:tcPr>
            <w:tcW w:w="5477" w:type="dxa"/>
          </w:tcPr>
          <w:p w14:paraId="73C0A329" w14:textId="77777777" w:rsidR="00AB3570" w:rsidRPr="00A57F43" w:rsidRDefault="00AB3570" w:rsidP="006C2BE9">
            <w:pPr>
              <w:jc w:val="both"/>
              <w:rPr>
                <w:rFonts w:cstheme="minorHAnsi"/>
                <w:lang w:val="en-US"/>
              </w:rPr>
            </w:pPr>
            <w:r>
              <w:rPr>
                <w:rFonts w:cstheme="minorHAnsi"/>
                <w:lang w:val="en-US"/>
              </w:rPr>
              <w:t>Council</w:t>
            </w:r>
          </w:p>
        </w:tc>
      </w:tr>
      <w:tr w:rsidR="00AB3570" w:rsidRPr="009B72F2" w14:paraId="3AB037B2" w14:textId="77777777" w:rsidTr="003369A9">
        <w:tc>
          <w:tcPr>
            <w:tcW w:w="3260" w:type="dxa"/>
          </w:tcPr>
          <w:p w14:paraId="7FF77E61" w14:textId="77777777" w:rsidR="00AB3570" w:rsidRPr="00A57F43" w:rsidRDefault="00AB3570" w:rsidP="006C2BE9">
            <w:pPr>
              <w:rPr>
                <w:rFonts w:cstheme="minorHAnsi"/>
                <w:b/>
                <w:lang w:val="en-US"/>
              </w:rPr>
            </w:pPr>
            <w:r w:rsidRPr="00A57F43">
              <w:rPr>
                <w:rFonts w:cstheme="minorHAnsi"/>
                <w:b/>
                <w:lang w:val="en-US"/>
              </w:rPr>
              <w:t>Policy Adopted:</w:t>
            </w:r>
          </w:p>
        </w:tc>
        <w:tc>
          <w:tcPr>
            <w:tcW w:w="5477" w:type="dxa"/>
          </w:tcPr>
          <w:p w14:paraId="54B83AAF" w14:textId="77777777" w:rsidR="00AB3570" w:rsidRPr="00A57F43" w:rsidRDefault="00AB3570" w:rsidP="006C2BE9">
            <w:pPr>
              <w:jc w:val="both"/>
              <w:rPr>
                <w:rFonts w:cstheme="minorHAnsi"/>
                <w:lang w:val="en-US"/>
              </w:rPr>
            </w:pPr>
            <w:r>
              <w:rPr>
                <w:rFonts w:cstheme="minorHAnsi"/>
                <w:lang w:val="en-US"/>
              </w:rPr>
              <w:t>21</w:t>
            </w:r>
            <w:r w:rsidRPr="008E30D7">
              <w:rPr>
                <w:rFonts w:cstheme="minorHAnsi"/>
                <w:lang w:val="en-US"/>
              </w:rPr>
              <w:t>/4/20</w:t>
            </w:r>
          </w:p>
        </w:tc>
      </w:tr>
      <w:tr w:rsidR="00AB3570" w:rsidRPr="009B72F2" w14:paraId="0BF33826" w14:textId="77777777" w:rsidTr="003369A9">
        <w:tc>
          <w:tcPr>
            <w:tcW w:w="3260" w:type="dxa"/>
          </w:tcPr>
          <w:p w14:paraId="155585A1" w14:textId="77777777" w:rsidR="00AB3570" w:rsidRPr="00A57F43" w:rsidRDefault="00AB3570" w:rsidP="006C2BE9">
            <w:pPr>
              <w:rPr>
                <w:rFonts w:cstheme="minorHAnsi"/>
                <w:b/>
                <w:lang w:val="en-US"/>
              </w:rPr>
            </w:pPr>
            <w:r w:rsidRPr="00A57F43">
              <w:rPr>
                <w:rFonts w:cstheme="minorHAnsi"/>
                <w:b/>
                <w:lang w:val="en-US"/>
              </w:rPr>
              <w:t>Policy Amended</w:t>
            </w:r>
            <w:r>
              <w:rPr>
                <w:rFonts w:cstheme="minorHAnsi"/>
                <w:b/>
                <w:lang w:val="en-US"/>
              </w:rPr>
              <w:t>/Reviewed</w:t>
            </w:r>
            <w:r w:rsidRPr="00A57F43">
              <w:rPr>
                <w:rFonts w:cstheme="minorHAnsi"/>
                <w:b/>
                <w:lang w:val="en-US"/>
              </w:rPr>
              <w:t>:</w:t>
            </w:r>
          </w:p>
        </w:tc>
        <w:tc>
          <w:tcPr>
            <w:tcW w:w="5477" w:type="dxa"/>
          </w:tcPr>
          <w:p w14:paraId="0CF41C6D" w14:textId="77777777" w:rsidR="00AB3570" w:rsidRPr="00A57F43" w:rsidRDefault="00AB3570" w:rsidP="006C2BE9">
            <w:pPr>
              <w:jc w:val="both"/>
              <w:rPr>
                <w:rFonts w:cstheme="minorHAnsi"/>
                <w:lang w:val="en-US"/>
              </w:rPr>
            </w:pPr>
          </w:p>
        </w:tc>
      </w:tr>
    </w:tbl>
    <w:p w14:paraId="0CBDC646" w14:textId="77777777" w:rsidR="00AB3570" w:rsidRPr="009B72F2" w:rsidRDefault="00AB3570" w:rsidP="00AB3570">
      <w:pPr>
        <w:jc w:val="both"/>
        <w:rPr>
          <w:rFonts w:ascii="Arial" w:hAnsi="Arial" w:cs="Arial"/>
          <w:lang w:val="en-US"/>
        </w:rPr>
      </w:pPr>
    </w:p>
    <w:p w14:paraId="676C354F" w14:textId="77777777" w:rsidR="00AB3570" w:rsidRPr="009B72F2" w:rsidRDefault="00AB3570" w:rsidP="00AB3570">
      <w:pPr>
        <w:jc w:val="both"/>
        <w:rPr>
          <w:rFonts w:ascii="Arial" w:hAnsi="Arial" w:cs="Arial"/>
          <w:lang w:val="en-US"/>
        </w:rPr>
      </w:pPr>
    </w:p>
    <w:p w14:paraId="3D45F549" w14:textId="77777777" w:rsidR="00AB3570" w:rsidRPr="001D2E73" w:rsidRDefault="00AB3570" w:rsidP="00AB3570">
      <w:pPr>
        <w:jc w:val="both"/>
        <w:rPr>
          <w:rFonts w:cstheme="minorHAnsi"/>
        </w:rPr>
        <w:sectPr w:rsidR="00AB3570" w:rsidRPr="001D2E73" w:rsidSect="006C2BE9">
          <w:pgSz w:w="11910" w:h="16840"/>
          <w:pgMar w:top="1134" w:right="1420" w:bottom="1077" w:left="1418" w:header="720" w:footer="720" w:gutter="0"/>
          <w:cols w:space="720"/>
        </w:sectPr>
      </w:pPr>
    </w:p>
    <w:p w14:paraId="3FDFC657" w14:textId="77777777" w:rsidR="00AB3570" w:rsidRDefault="00AB3570" w:rsidP="00AB3570">
      <w:pPr>
        <w:spacing w:after="0"/>
        <w:rPr>
          <w:b/>
        </w:rPr>
      </w:pPr>
      <w:r>
        <w:rPr>
          <w:b/>
        </w:rPr>
        <w:lastRenderedPageBreak/>
        <w:t xml:space="preserve">Annexure A – </w:t>
      </w:r>
      <w:r w:rsidRPr="00A01238">
        <w:rPr>
          <w:b/>
        </w:rPr>
        <w:t>Pre-Approved Events</w:t>
      </w:r>
    </w:p>
    <w:p w14:paraId="06C8C2C3" w14:textId="77777777" w:rsidR="00AB3570" w:rsidRDefault="00AB3570" w:rsidP="00AB3570">
      <w:pPr>
        <w:spacing w:after="0"/>
        <w:rPr>
          <w:b/>
        </w:rPr>
      </w:pPr>
    </w:p>
    <w:p w14:paraId="5EE46D6F" w14:textId="77777777" w:rsidR="00AB3570" w:rsidRDefault="00AB3570" w:rsidP="00AB3570">
      <w:pPr>
        <w:spacing w:after="120"/>
        <w:jc w:val="both"/>
        <w:rPr>
          <w:b/>
        </w:rPr>
      </w:pPr>
      <w:r>
        <w:t>The Town approves attendance at the following events by Elected Members, the Chief Executive Officer and employees of the Town: -</w:t>
      </w:r>
    </w:p>
    <w:p w14:paraId="7C4716CF" w14:textId="77777777" w:rsidR="00AB3570" w:rsidRDefault="00AB3570" w:rsidP="002A3889">
      <w:pPr>
        <w:pStyle w:val="ListParagraph"/>
        <w:numPr>
          <w:ilvl w:val="0"/>
          <w:numId w:val="429"/>
        </w:numPr>
        <w:spacing w:after="60" w:line="240" w:lineRule="auto"/>
        <w:ind w:left="714" w:hanging="357"/>
        <w:contextualSpacing w:val="0"/>
        <w:jc w:val="both"/>
      </w:pPr>
      <w:r>
        <w:t xml:space="preserve">Meetings or event of clubs or organisations within the Town of East </w:t>
      </w:r>
      <w:proofErr w:type="gramStart"/>
      <w:r>
        <w:t>Fremantle;</w:t>
      </w:r>
      <w:proofErr w:type="gramEnd"/>
      <w:r>
        <w:t xml:space="preserve"> </w:t>
      </w:r>
    </w:p>
    <w:p w14:paraId="4E42FB15" w14:textId="77777777" w:rsidR="00AB3570" w:rsidRDefault="00AB3570" w:rsidP="002A3889">
      <w:pPr>
        <w:pStyle w:val="NoSpacing"/>
        <w:numPr>
          <w:ilvl w:val="0"/>
          <w:numId w:val="429"/>
        </w:numPr>
        <w:spacing w:after="60"/>
        <w:ind w:left="714" w:hanging="357"/>
        <w:jc w:val="both"/>
      </w:pPr>
      <w:r w:rsidRPr="00A06570">
        <w:t xml:space="preserve">Local Government </w:t>
      </w:r>
      <w:proofErr w:type="gramStart"/>
      <w:r w:rsidRPr="00A06570">
        <w:t>Insurance  Service</w:t>
      </w:r>
      <w:proofErr w:type="gramEnd"/>
      <w:r w:rsidRPr="00A06570">
        <w:t xml:space="preserve"> (LGIS)</w:t>
      </w:r>
      <w:r>
        <w:t>;</w:t>
      </w:r>
    </w:p>
    <w:p w14:paraId="7AA74671" w14:textId="77777777" w:rsidR="00AB3570" w:rsidRDefault="00AB3570" w:rsidP="002A3889">
      <w:pPr>
        <w:pStyle w:val="NoSpacing"/>
        <w:numPr>
          <w:ilvl w:val="0"/>
          <w:numId w:val="429"/>
        </w:numPr>
        <w:spacing w:after="60"/>
        <w:ind w:left="714" w:hanging="357"/>
        <w:jc w:val="both"/>
      </w:pPr>
      <w:r>
        <w:t>Planning Institute of Australia</w:t>
      </w:r>
    </w:p>
    <w:p w14:paraId="7E4659E1" w14:textId="77777777" w:rsidR="00AB3570" w:rsidRDefault="00AB3570" w:rsidP="002A3889">
      <w:pPr>
        <w:pStyle w:val="NoSpacing"/>
        <w:numPr>
          <w:ilvl w:val="0"/>
          <w:numId w:val="429"/>
        </w:numPr>
        <w:spacing w:after="60"/>
        <w:ind w:left="714" w:hanging="357"/>
        <w:jc w:val="both"/>
      </w:pPr>
      <w:r>
        <w:t>Urban Development Institute of Australia WA Division Inc</w:t>
      </w:r>
    </w:p>
    <w:p w14:paraId="6BF2FE41" w14:textId="77777777" w:rsidR="00AB3570" w:rsidRDefault="00AB3570" w:rsidP="002A3889">
      <w:pPr>
        <w:pStyle w:val="NoSpacing"/>
        <w:numPr>
          <w:ilvl w:val="0"/>
          <w:numId w:val="429"/>
        </w:numPr>
        <w:spacing w:after="60"/>
        <w:ind w:left="714" w:hanging="357"/>
        <w:jc w:val="both"/>
      </w:pPr>
      <w:r>
        <w:t xml:space="preserve">Local Government Chief Officer Group Australia &amp; NZ </w:t>
      </w:r>
    </w:p>
    <w:p w14:paraId="6410E4A5" w14:textId="77777777" w:rsidR="00AB3570" w:rsidRPr="00A06570" w:rsidRDefault="00AB3570" w:rsidP="002A3889">
      <w:pPr>
        <w:pStyle w:val="NoSpacing"/>
        <w:numPr>
          <w:ilvl w:val="0"/>
          <w:numId w:val="429"/>
        </w:numPr>
        <w:spacing w:after="60"/>
        <w:ind w:left="714" w:hanging="357"/>
        <w:jc w:val="both"/>
      </w:pPr>
      <w:r>
        <w:t>Any State or national sporting event</w:t>
      </w:r>
    </w:p>
    <w:p w14:paraId="77207078" w14:textId="77777777" w:rsidR="00AB3570" w:rsidRPr="00A06570" w:rsidRDefault="00AB3570" w:rsidP="002A3889">
      <w:pPr>
        <w:pStyle w:val="NoSpacing"/>
        <w:numPr>
          <w:ilvl w:val="0"/>
          <w:numId w:val="429"/>
        </w:numPr>
        <w:spacing w:after="60"/>
        <w:ind w:left="714" w:hanging="357"/>
        <w:jc w:val="both"/>
      </w:pPr>
      <w:r w:rsidRPr="00A06570">
        <w:t xml:space="preserve">A government department of another State, a Territory or the </w:t>
      </w:r>
      <w:proofErr w:type="gramStart"/>
      <w:r w:rsidRPr="00A06570">
        <w:t>Commonwealth;</w:t>
      </w:r>
      <w:proofErr w:type="gramEnd"/>
      <w:r w:rsidRPr="00A06570">
        <w:t xml:space="preserve"> </w:t>
      </w:r>
    </w:p>
    <w:p w14:paraId="3287A654" w14:textId="77777777" w:rsidR="00AB3570" w:rsidRDefault="00AB3570" w:rsidP="002A3889">
      <w:pPr>
        <w:pStyle w:val="ListParagraph"/>
        <w:numPr>
          <w:ilvl w:val="0"/>
          <w:numId w:val="429"/>
        </w:numPr>
        <w:spacing w:after="60" w:line="240" w:lineRule="auto"/>
        <w:ind w:left="714" w:hanging="357"/>
        <w:contextualSpacing w:val="0"/>
        <w:jc w:val="both"/>
      </w:pPr>
      <w:r>
        <w:t xml:space="preserve">Events hosted by Clubs or Not for Profit Organisations within the Town of East Fremantle to which the Town, Elected Member, Chief Executive Officer or employee has been officially </w:t>
      </w:r>
      <w:proofErr w:type="gramStart"/>
      <w:r>
        <w:t>invited;</w:t>
      </w:r>
      <w:proofErr w:type="gramEnd"/>
      <w:r>
        <w:t xml:space="preserve"> </w:t>
      </w:r>
    </w:p>
    <w:p w14:paraId="1904AC60" w14:textId="77777777" w:rsidR="00AB3570" w:rsidRDefault="00AB3570" w:rsidP="002A3889">
      <w:pPr>
        <w:pStyle w:val="ListParagraph"/>
        <w:numPr>
          <w:ilvl w:val="0"/>
          <w:numId w:val="429"/>
        </w:numPr>
        <w:spacing w:after="60" w:line="240" w:lineRule="auto"/>
        <w:ind w:left="714" w:hanging="357"/>
        <w:contextualSpacing w:val="0"/>
        <w:jc w:val="both"/>
      </w:pPr>
      <w:r>
        <w:t xml:space="preserve">Town sponsored functions or </w:t>
      </w:r>
      <w:proofErr w:type="gramStart"/>
      <w:r>
        <w:t>events;</w:t>
      </w:r>
      <w:proofErr w:type="gramEnd"/>
      <w:r>
        <w:t xml:space="preserve"> </w:t>
      </w:r>
    </w:p>
    <w:p w14:paraId="635599C4" w14:textId="77777777" w:rsidR="00AB3570" w:rsidRDefault="00AB3570" w:rsidP="002A3889">
      <w:pPr>
        <w:pStyle w:val="ListParagraph"/>
        <w:numPr>
          <w:ilvl w:val="0"/>
          <w:numId w:val="429"/>
        </w:numPr>
        <w:spacing w:after="60" w:line="240" w:lineRule="auto"/>
        <w:ind w:left="714" w:hanging="357"/>
        <w:contextualSpacing w:val="0"/>
        <w:jc w:val="both"/>
      </w:pPr>
      <w:r>
        <w:t xml:space="preserve">Community art </w:t>
      </w:r>
      <w:proofErr w:type="gramStart"/>
      <w:r>
        <w:t>exhibitions;</w:t>
      </w:r>
      <w:proofErr w:type="gramEnd"/>
      <w:r>
        <w:t xml:space="preserve"> </w:t>
      </w:r>
    </w:p>
    <w:p w14:paraId="65F8EB90" w14:textId="77777777" w:rsidR="00AB3570" w:rsidRDefault="00AB3570" w:rsidP="002A3889">
      <w:pPr>
        <w:pStyle w:val="ListParagraph"/>
        <w:numPr>
          <w:ilvl w:val="0"/>
          <w:numId w:val="429"/>
        </w:numPr>
        <w:spacing w:after="60" w:line="240" w:lineRule="auto"/>
        <w:ind w:left="714" w:hanging="357"/>
        <w:contextualSpacing w:val="0"/>
        <w:jc w:val="both"/>
      </w:pPr>
      <w:r>
        <w:t>Cultural events/</w:t>
      </w:r>
      <w:proofErr w:type="gramStart"/>
      <w:r>
        <w:t>festivals;</w:t>
      </w:r>
      <w:proofErr w:type="gramEnd"/>
      <w:r>
        <w:t xml:space="preserve"> </w:t>
      </w:r>
    </w:p>
    <w:p w14:paraId="1971DAB7" w14:textId="77777777" w:rsidR="00AB3570" w:rsidRDefault="00AB3570" w:rsidP="002A3889">
      <w:pPr>
        <w:pStyle w:val="ListParagraph"/>
        <w:numPr>
          <w:ilvl w:val="0"/>
          <w:numId w:val="429"/>
        </w:numPr>
        <w:spacing w:after="60" w:line="240" w:lineRule="auto"/>
        <w:ind w:left="714" w:hanging="357"/>
        <w:contextualSpacing w:val="0"/>
        <w:jc w:val="both"/>
      </w:pPr>
      <w:r>
        <w:t xml:space="preserve">Events run by a Local, State or Federal </w:t>
      </w:r>
      <w:proofErr w:type="gramStart"/>
      <w:r>
        <w:t>Government;</w:t>
      </w:r>
      <w:proofErr w:type="gramEnd"/>
      <w:r>
        <w:t xml:space="preserve"> </w:t>
      </w:r>
    </w:p>
    <w:p w14:paraId="3FE06B6F" w14:textId="77777777" w:rsidR="00AB3570" w:rsidRDefault="00AB3570" w:rsidP="002A3889">
      <w:pPr>
        <w:pStyle w:val="ListParagraph"/>
        <w:numPr>
          <w:ilvl w:val="0"/>
          <w:numId w:val="429"/>
        </w:numPr>
        <w:spacing w:after="60" w:line="240" w:lineRule="auto"/>
        <w:ind w:left="714" w:hanging="357"/>
        <w:contextualSpacing w:val="0"/>
        <w:jc w:val="both"/>
      </w:pPr>
      <w:r>
        <w:t xml:space="preserve">Events run by the Richmond Primary </w:t>
      </w:r>
      <w:proofErr w:type="gramStart"/>
      <w:r>
        <w:t>School;</w:t>
      </w:r>
      <w:proofErr w:type="gramEnd"/>
      <w:r>
        <w:t xml:space="preserve"> </w:t>
      </w:r>
    </w:p>
    <w:p w14:paraId="1F8649B5" w14:textId="77777777" w:rsidR="00AB3570" w:rsidRDefault="00AB3570" w:rsidP="002A3889">
      <w:pPr>
        <w:pStyle w:val="ListParagraph"/>
        <w:numPr>
          <w:ilvl w:val="0"/>
          <w:numId w:val="429"/>
        </w:numPr>
        <w:spacing w:after="60" w:line="240" w:lineRule="auto"/>
        <w:ind w:left="714" w:hanging="357"/>
        <w:contextualSpacing w:val="0"/>
        <w:jc w:val="both"/>
      </w:pPr>
      <w:r>
        <w:t xml:space="preserve">Opening or launch of an event or facility within the Town of East </w:t>
      </w:r>
      <w:proofErr w:type="gramStart"/>
      <w:r>
        <w:t>Fremantle;</w:t>
      </w:r>
      <w:proofErr w:type="gramEnd"/>
      <w:r>
        <w:t xml:space="preserve"> </w:t>
      </w:r>
    </w:p>
    <w:p w14:paraId="7DC66A0F" w14:textId="77777777" w:rsidR="00AB3570" w:rsidRPr="00794B3D" w:rsidRDefault="00AB3570" w:rsidP="002A3889">
      <w:pPr>
        <w:pStyle w:val="ListParagraph"/>
        <w:numPr>
          <w:ilvl w:val="0"/>
          <w:numId w:val="429"/>
        </w:numPr>
        <w:spacing w:after="60" w:line="240" w:lineRule="auto"/>
        <w:ind w:left="714" w:hanging="357"/>
        <w:contextualSpacing w:val="0"/>
        <w:jc w:val="both"/>
      </w:pPr>
      <w:proofErr w:type="gramStart"/>
      <w:r w:rsidRPr="00794B3D">
        <w:t>South West</w:t>
      </w:r>
      <w:proofErr w:type="gramEnd"/>
      <w:r w:rsidRPr="00794B3D">
        <w:t xml:space="preserve"> group event(s) &amp; Conferences; and </w:t>
      </w:r>
    </w:p>
    <w:p w14:paraId="3FDFC254" w14:textId="77777777" w:rsidR="00AB3570" w:rsidRPr="00794B3D" w:rsidRDefault="00AB3570" w:rsidP="002A3889">
      <w:pPr>
        <w:pStyle w:val="ListParagraph"/>
        <w:numPr>
          <w:ilvl w:val="0"/>
          <w:numId w:val="429"/>
        </w:numPr>
        <w:spacing w:after="60" w:line="240" w:lineRule="auto"/>
        <w:ind w:left="714" w:hanging="357"/>
        <w:contextualSpacing w:val="0"/>
        <w:jc w:val="both"/>
      </w:pPr>
      <w:r w:rsidRPr="00794B3D">
        <w:t>Where Mayor, Elected Member</w:t>
      </w:r>
      <w:r>
        <w:t>,</w:t>
      </w:r>
      <w:r w:rsidRPr="00794B3D">
        <w:t xml:space="preserve"> Chief Executive Officer </w:t>
      </w:r>
      <w:r>
        <w:t xml:space="preserve">or staff </w:t>
      </w:r>
      <w:r w:rsidRPr="00794B3D">
        <w:t>representation has been formally requested.</w:t>
      </w:r>
    </w:p>
    <w:p w14:paraId="062ED42E" w14:textId="77777777" w:rsidR="00AB3570" w:rsidRPr="00CE762C" w:rsidRDefault="00AB3570" w:rsidP="00AB3570">
      <w:pPr>
        <w:pStyle w:val="BodyText"/>
        <w:spacing w:after="200" w:line="264" w:lineRule="auto"/>
        <w:ind w:left="284" w:right="148"/>
        <w:jc w:val="both"/>
      </w:pPr>
    </w:p>
    <w:p w14:paraId="4D8E9D03" w14:textId="77777777" w:rsidR="00AB3570" w:rsidRDefault="00AB3570" w:rsidP="00AB3570">
      <w:pPr>
        <w:spacing w:after="0"/>
        <w:rPr>
          <w:b/>
        </w:rPr>
      </w:pPr>
    </w:p>
    <w:p w14:paraId="732A4DAF" w14:textId="77777777" w:rsidR="00AB3570" w:rsidRDefault="00AB3570" w:rsidP="00AB3570">
      <w:pPr>
        <w:spacing w:after="0"/>
        <w:rPr>
          <w:b/>
        </w:rPr>
      </w:pPr>
    </w:p>
    <w:p w14:paraId="38F32B5C" w14:textId="77777777" w:rsidR="00AB3570" w:rsidRDefault="00AB3570" w:rsidP="00AB3570">
      <w:pPr>
        <w:spacing w:after="0"/>
        <w:rPr>
          <w:b/>
        </w:rPr>
      </w:pPr>
    </w:p>
    <w:p w14:paraId="63D33AC4" w14:textId="77777777" w:rsidR="00AB3570" w:rsidRDefault="00AB3570" w:rsidP="00AB3570">
      <w:pPr>
        <w:spacing w:after="0"/>
        <w:rPr>
          <w:b/>
        </w:rPr>
      </w:pPr>
    </w:p>
    <w:p w14:paraId="398262F2" w14:textId="77777777" w:rsidR="00AB3570" w:rsidRDefault="00AB3570" w:rsidP="00AB3570">
      <w:pPr>
        <w:spacing w:after="0"/>
        <w:rPr>
          <w:b/>
        </w:rPr>
      </w:pPr>
    </w:p>
    <w:p w14:paraId="5A1AAD69" w14:textId="77777777" w:rsidR="00AB3570" w:rsidRDefault="00AB3570" w:rsidP="00AB3570">
      <w:pPr>
        <w:spacing w:after="0"/>
        <w:rPr>
          <w:b/>
        </w:rPr>
      </w:pPr>
    </w:p>
    <w:p w14:paraId="4C7B8AA2" w14:textId="77777777" w:rsidR="00AB3570" w:rsidRDefault="00AB3570" w:rsidP="00AB3570">
      <w:pPr>
        <w:spacing w:after="0"/>
        <w:rPr>
          <w:b/>
        </w:rPr>
      </w:pPr>
    </w:p>
    <w:p w14:paraId="3A823B80" w14:textId="77777777" w:rsidR="00AB3570" w:rsidRDefault="00AB3570" w:rsidP="00AB3570">
      <w:pPr>
        <w:spacing w:after="0"/>
        <w:rPr>
          <w:b/>
        </w:rPr>
      </w:pPr>
    </w:p>
    <w:p w14:paraId="31315E64" w14:textId="77777777" w:rsidR="00B47F10" w:rsidRDefault="00B47F10" w:rsidP="005230B3">
      <w:pPr>
        <w:rPr>
          <w:rFonts w:cstheme="minorHAnsi"/>
        </w:rPr>
      </w:pPr>
    </w:p>
    <w:p w14:paraId="4DFEE158" w14:textId="77777777" w:rsidR="00B47F10" w:rsidRDefault="00B47F10" w:rsidP="00B47F10">
      <w:r>
        <w:br w:type="page"/>
      </w:r>
    </w:p>
    <w:p w14:paraId="4617BD97" w14:textId="7220FC57" w:rsidR="00FC0CF1" w:rsidRDefault="003369A9" w:rsidP="00FC0CF1">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77696" behindDoc="1" locked="0" layoutInCell="1" allowOverlap="1" wp14:anchorId="3A168F70" wp14:editId="234FBD0D">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7D134C8" w14:textId="77777777" w:rsidR="00FC0CF1" w:rsidRPr="009579A8" w:rsidRDefault="00FC0CF1" w:rsidP="00FC0CF1">
      <w:pPr>
        <w:pStyle w:val="Title"/>
        <w:pBdr>
          <w:bottom w:val="none" w:sz="0" w:space="0" w:color="auto"/>
        </w:pBdr>
        <w:spacing w:after="0"/>
        <w:rPr>
          <w:rFonts w:ascii="Arial" w:hAnsi="Arial" w:cs="Arial"/>
          <w:b/>
          <w:sz w:val="18"/>
          <w:szCs w:val="28"/>
          <w:lang w:val="en-US"/>
        </w:rPr>
      </w:pPr>
    </w:p>
    <w:p w14:paraId="4908ED78" w14:textId="77777777" w:rsidR="003369A9" w:rsidRDefault="003369A9" w:rsidP="00FC0CF1">
      <w:pPr>
        <w:pStyle w:val="Policy3"/>
      </w:pPr>
      <w:bookmarkStart w:id="10" w:name="_Toc14942616"/>
    </w:p>
    <w:p w14:paraId="4A826EA7" w14:textId="451450B2" w:rsidR="003369A9" w:rsidRDefault="003369A9" w:rsidP="00FC0CF1">
      <w:pPr>
        <w:pStyle w:val="Policy3"/>
      </w:pPr>
    </w:p>
    <w:p w14:paraId="3768A69D" w14:textId="77777777" w:rsidR="00125ECD" w:rsidRDefault="00125ECD" w:rsidP="00FC0CF1">
      <w:pPr>
        <w:pStyle w:val="Policy3"/>
      </w:pPr>
    </w:p>
    <w:p w14:paraId="4FE297D9" w14:textId="768AEBBB" w:rsidR="00FC0CF1" w:rsidRPr="002744D1" w:rsidRDefault="00FC0CF1" w:rsidP="00FC0CF1">
      <w:pPr>
        <w:pStyle w:val="Policy3"/>
      </w:pPr>
      <w:bookmarkStart w:id="11" w:name="_Toc216866653"/>
      <w:r>
        <w:t>1.1.8</w:t>
      </w:r>
      <w:r w:rsidRPr="002744D1">
        <w:tab/>
      </w:r>
      <w:bookmarkEnd w:id="10"/>
      <w:r>
        <w:t>Elected Member and CEO Training &amp; Professional Development</w:t>
      </w:r>
      <w:bookmarkEnd w:id="11"/>
      <w:r w:rsidRPr="002744D1">
        <w:t xml:space="preserve"> </w:t>
      </w:r>
    </w:p>
    <w:tbl>
      <w:tblPr>
        <w:tblStyle w:val="TableGrid"/>
        <w:tblW w:w="0" w:type="auto"/>
        <w:tblLook w:val="04A0" w:firstRow="1" w:lastRow="0" w:firstColumn="1" w:lastColumn="0" w:noHBand="0" w:noVBand="1"/>
      </w:tblPr>
      <w:tblGrid>
        <w:gridCol w:w="3024"/>
        <w:gridCol w:w="5992"/>
      </w:tblGrid>
      <w:tr w:rsidR="00FC0CF1" w:rsidRPr="0096334F" w14:paraId="1DEEE127" w14:textId="77777777" w:rsidTr="007F177A">
        <w:tc>
          <w:tcPr>
            <w:tcW w:w="3024" w:type="dxa"/>
          </w:tcPr>
          <w:p w14:paraId="42E84CB4" w14:textId="77777777" w:rsidR="00FC0CF1" w:rsidRPr="0096334F" w:rsidRDefault="00FC0CF1" w:rsidP="007F177A">
            <w:pPr>
              <w:rPr>
                <w:rFonts w:cstheme="minorHAnsi"/>
                <w:b/>
                <w:lang w:val="en-US"/>
              </w:rPr>
            </w:pPr>
            <w:r w:rsidRPr="0096334F">
              <w:rPr>
                <w:rFonts w:cstheme="minorHAnsi"/>
                <w:b/>
                <w:lang w:val="en-US"/>
              </w:rPr>
              <w:t>Type:</w:t>
            </w:r>
          </w:p>
        </w:tc>
        <w:tc>
          <w:tcPr>
            <w:tcW w:w="5992" w:type="dxa"/>
          </w:tcPr>
          <w:p w14:paraId="64D36C4E" w14:textId="77777777" w:rsidR="00FC0CF1" w:rsidRPr="0096334F" w:rsidRDefault="00FC0CF1" w:rsidP="007F177A">
            <w:pPr>
              <w:rPr>
                <w:rFonts w:cstheme="minorHAnsi"/>
                <w:lang w:val="en-US"/>
              </w:rPr>
            </w:pPr>
            <w:r>
              <w:rPr>
                <w:rFonts w:cstheme="minorHAnsi"/>
                <w:lang w:val="en-US"/>
              </w:rPr>
              <w:t>Office of the CEO – Elected Members</w:t>
            </w:r>
          </w:p>
        </w:tc>
      </w:tr>
      <w:tr w:rsidR="00FC0CF1" w:rsidRPr="0096334F" w14:paraId="0851F139" w14:textId="77777777" w:rsidTr="007F177A">
        <w:tc>
          <w:tcPr>
            <w:tcW w:w="3024" w:type="dxa"/>
          </w:tcPr>
          <w:p w14:paraId="70404F76" w14:textId="77777777" w:rsidR="00FC0CF1" w:rsidRPr="0096334F" w:rsidRDefault="00FC0CF1" w:rsidP="007F177A">
            <w:pPr>
              <w:rPr>
                <w:rFonts w:cstheme="minorHAnsi"/>
                <w:b/>
                <w:lang w:val="en-US"/>
              </w:rPr>
            </w:pPr>
            <w:r w:rsidRPr="0096334F">
              <w:rPr>
                <w:rFonts w:cstheme="minorHAnsi"/>
                <w:b/>
                <w:lang w:val="en-US"/>
              </w:rPr>
              <w:t>Legislation:</w:t>
            </w:r>
          </w:p>
        </w:tc>
        <w:tc>
          <w:tcPr>
            <w:tcW w:w="5992" w:type="dxa"/>
          </w:tcPr>
          <w:p w14:paraId="6E3547D8" w14:textId="77777777" w:rsidR="00FC0CF1" w:rsidRDefault="00FC0CF1" w:rsidP="007F177A">
            <w:pPr>
              <w:rPr>
                <w:rFonts w:cstheme="minorHAnsi"/>
                <w:lang w:val="en-US"/>
              </w:rPr>
            </w:pPr>
            <w:r>
              <w:rPr>
                <w:rFonts w:cstheme="minorHAnsi"/>
                <w:lang w:val="en-US"/>
              </w:rPr>
              <w:t>Local Government Act 1995</w:t>
            </w:r>
          </w:p>
          <w:p w14:paraId="0D120B8E" w14:textId="77777777" w:rsidR="00FC0CF1" w:rsidRPr="0096334F" w:rsidRDefault="00FC0CF1" w:rsidP="007F177A">
            <w:pPr>
              <w:rPr>
                <w:rFonts w:cstheme="minorHAnsi"/>
                <w:lang w:val="en-US"/>
              </w:rPr>
            </w:pPr>
            <w:r>
              <w:rPr>
                <w:rFonts w:cstheme="minorHAnsi"/>
                <w:lang w:val="en-US"/>
              </w:rPr>
              <w:t>Local Government (Administration) Regulations 1996</w:t>
            </w:r>
          </w:p>
        </w:tc>
      </w:tr>
      <w:tr w:rsidR="00FC0CF1" w:rsidRPr="0096334F" w14:paraId="6126A5FC" w14:textId="77777777" w:rsidTr="007F177A">
        <w:tc>
          <w:tcPr>
            <w:tcW w:w="3024" w:type="dxa"/>
          </w:tcPr>
          <w:p w14:paraId="4A9FD8BF" w14:textId="77777777" w:rsidR="00FC0CF1" w:rsidRPr="0096334F" w:rsidRDefault="00FC0CF1" w:rsidP="007F177A">
            <w:pPr>
              <w:rPr>
                <w:rFonts w:cstheme="minorHAnsi"/>
                <w:b/>
                <w:lang w:val="en-US"/>
              </w:rPr>
            </w:pPr>
            <w:r w:rsidRPr="0096334F">
              <w:rPr>
                <w:rFonts w:cstheme="minorHAnsi"/>
                <w:b/>
                <w:lang w:val="en-US"/>
              </w:rPr>
              <w:t>Delegation:</w:t>
            </w:r>
          </w:p>
        </w:tc>
        <w:tc>
          <w:tcPr>
            <w:tcW w:w="5992" w:type="dxa"/>
          </w:tcPr>
          <w:p w14:paraId="714AE456" w14:textId="77777777" w:rsidR="00FC0CF1" w:rsidRPr="0096334F" w:rsidRDefault="00FC0CF1" w:rsidP="007F177A">
            <w:pPr>
              <w:rPr>
                <w:rFonts w:cstheme="minorHAnsi"/>
                <w:lang w:val="en-US"/>
              </w:rPr>
            </w:pPr>
            <w:r w:rsidRPr="0096334F">
              <w:rPr>
                <w:rFonts w:cstheme="minorHAnsi"/>
                <w:lang w:val="en-US"/>
              </w:rPr>
              <w:t>N/A</w:t>
            </w:r>
          </w:p>
        </w:tc>
      </w:tr>
      <w:tr w:rsidR="00FC0CF1" w:rsidRPr="0096334F" w14:paraId="624DB55D" w14:textId="77777777" w:rsidTr="007F177A">
        <w:tc>
          <w:tcPr>
            <w:tcW w:w="3024" w:type="dxa"/>
          </w:tcPr>
          <w:p w14:paraId="22BAA05F" w14:textId="77777777" w:rsidR="00FC0CF1" w:rsidRPr="0096334F" w:rsidRDefault="00FC0CF1" w:rsidP="007F177A">
            <w:pPr>
              <w:rPr>
                <w:rFonts w:cstheme="minorHAnsi"/>
                <w:b/>
                <w:lang w:val="en-US"/>
              </w:rPr>
            </w:pPr>
            <w:r w:rsidRPr="0096334F">
              <w:rPr>
                <w:rFonts w:cstheme="minorHAnsi"/>
                <w:b/>
                <w:lang w:val="en-US"/>
              </w:rPr>
              <w:t>Other Related Document:</w:t>
            </w:r>
          </w:p>
        </w:tc>
        <w:tc>
          <w:tcPr>
            <w:tcW w:w="5992" w:type="dxa"/>
          </w:tcPr>
          <w:p w14:paraId="6CA71E99" w14:textId="77777777" w:rsidR="00FC0CF1" w:rsidRPr="0096334F" w:rsidRDefault="00FC0CF1" w:rsidP="007F177A">
            <w:pPr>
              <w:rPr>
                <w:rFonts w:cstheme="minorHAnsi"/>
                <w:lang w:val="en-US"/>
              </w:rPr>
            </w:pPr>
          </w:p>
        </w:tc>
      </w:tr>
    </w:tbl>
    <w:p w14:paraId="5A338C45" w14:textId="77777777" w:rsidR="00FC0CF1" w:rsidRPr="00B47F10" w:rsidRDefault="00FC0CF1" w:rsidP="00FC0CF1">
      <w:pPr>
        <w:spacing w:before="240" w:after="0"/>
        <w:rPr>
          <w:b/>
          <w:sz w:val="28"/>
          <w:szCs w:val="28"/>
          <w:lang w:val="en-US"/>
        </w:rPr>
      </w:pPr>
      <w:r w:rsidRPr="00B47F10">
        <w:rPr>
          <w:b/>
          <w:sz w:val="28"/>
          <w:szCs w:val="28"/>
          <w:lang w:val="en-US"/>
        </w:rPr>
        <w:t>Objective</w:t>
      </w:r>
    </w:p>
    <w:p w14:paraId="06992AF5" w14:textId="77777777" w:rsidR="00FC0CF1" w:rsidRPr="000F5D35" w:rsidRDefault="00FC0CF1" w:rsidP="00FC0CF1">
      <w:pPr>
        <w:spacing w:line="250" w:lineRule="exact"/>
        <w:jc w:val="both"/>
        <w:rPr>
          <w:rFonts w:eastAsia="Arial" w:cstheme="minorHAnsi"/>
        </w:rPr>
      </w:pPr>
      <w:r w:rsidRPr="000F5D35">
        <w:rPr>
          <w:rFonts w:eastAsia="Arial" w:cstheme="minorHAnsi"/>
          <w:spacing w:val="-1"/>
        </w:rPr>
        <w:t>T</w:t>
      </w:r>
      <w:r w:rsidRPr="000F5D35">
        <w:rPr>
          <w:rFonts w:eastAsia="Arial" w:cstheme="minorHAnsi"/>
          <w:spacing w:val="2"/>
        </w:rPr>
        <w:t>h</w:t>
      </w:r>
      <w:r w:rsidRPr="000F5D35">
        <w:rPr>
          <w:rFonts w:eastAsia="Arial" w:cstheme="minorHAnsi"/>
        </w:rPr>
        <w:t>e</w:t>
      </w:r>
      <w:r w:rsidRPr="000F5D35">
        <w:rPr>
          <w:rFonts w:eastAsia="Arial" w:cstheme="minorHAnsi"/>
          <w:spacing w:val="-16"/>
        </w:rPr>
        <w:t xml:space="preserve"> </w:t>
      </w:r>
      <w:r w:rsidRPr="000F5D35">
        <w:rPr>
          <w:rFonts w:eastAsia="Arial" w:cstheme="minorHAnsi"/>
          <w:spacing w:val="2"/>
        </w:rPr>
        <w:t>po</w:t>
      </w:r>
      <w:r w:rsidRPr="000F5D35">
        <w:rPr>
          <w:rFonts w:eastAsia="Arial" w:cstheme="minorHAnsi"/>
          <w:spacing w:val="-1"/>
        </w:rPr>
        <w:t>li</w:t>
      </w:r>
      <w:r w:rsidRPr="000F5D35">
        <w:rPr>
          <w:rFonts w:eastAsia="Arial" w:cstheme="minorHAnsi"/>
        </w:rPr>
        <w:t>cy</w:t>
      </w:r>
      <w:r w:rsidRPr="000F5D35">
        <w:rPr>
          <w:rFonts w:eastAsia="Arial" w:cstheme="minorHAnsi"/>
          <w:spacing w:val="-18"/>
        </w:rPr>
        <w:t xml:space="preserve"> </w:t>
      </w:r>
      <w:r w:rsidRPr="000F5D35">
        <w:rPr>
          <w:rFonts w:eastAsia="Arial" w:cstheme="minorHAnsi"/>
          <w:spacing w:val="2"/>
        </w:rPr>
        <w:t>p</w:t>
      </w:r>
      <w:r w:rsidRPr="000F5D35">
        <w:rPr>
          <w:rFonts w:eastAsia="Arial" w:cstheme="minorHAnsi"/>
          <w:spacing w:val="-2"/>
        </w:rPr>
        <w:t>r</w:t>
      </w:r>
      <w:r w:rsidRPr="000F5D35">
        <w:rPr>
          <w:rFonts w:eastAsia="Arial" w:cstheme="minorHAnsi"/>
          <w:spacing w:val="2"/>
        </w:rPr>
        <w:t>o</w:t>
      </w:r>
      <w:r w:rsidRPr="000F5D35">
        <w:rPr>
          <w:rFonts w:eastAsia="Arial" w:cstheme="minorHAnsi"/>
        </w:rPr>
        <w:t>v</w:t>
      </w:r>
      <w:r w:rsidRPr="000F5D35">
        <w:rPr>
          <w:rFonts w:eastAsia="Arial" w:cstheme="minorHAnsi"/>
          <w:spacing w:val="-1"/>
        </w:rPr>
        <w:t>i</w:t>
      </w:r>
      <w:r w:rsidRPr="000F5D35">
        <w:rPr>
          <w:rFonts w:eastAsia="Arial" w:cstheme="minorHAnsi"/>
          <w:spacing w:val="-3"/>
        </w:rPr>
        <w:t>d</w:t>
      </w:r>
      <w:r w:rsidRPr="000F5D35">
        <w:rPr>
          <w:rFonts w:eastAsia="Arial" w:cstheme="minorHAnsi"/>
          <w:spacing w:val="2"/>
        </w:rPr>
        <w:t>e</w:t>
      </w:r>
      <w:r w:rsidRPr="000F5D35">
        <w:rPr>
          <w:rFonts w:eastAsia="Arial" w:cstheme="minorHAnsi"/>
        </w:rPr>
        <w:t>s</w:t>
      </w:r>
      <w:r w:rsidRPr="000F5D35">
        <w:rPr>
          <w:rFonts w:eastAsia="Arial" w:cstheme="minorHAnsi"/>
          <w:spacing w:val="-13"/>
        </w:rPr>
        <w:t xml:space="preserve"> </w:t>
      </w:r>
      <w:r w:rsidRPr="000F5D35">
        <w:rPr>
          <w:rFonts w:eastAsia="Arial" w:cstheme="minorHAnsi"/>
        </w:rPr>
        <w:t>a</w:t>
      </w:r>
      <w:r w:rsidRPr="000F5D35">
        <w:rPr>
          <w:rFonts w:eastAsia="Arial" w:cstheme="minorHAnsi"/>
          <w:spacing w:val="-16"/>
        </w:rPr>
        <w:t xml:space="preserve"> </w:t>
      </w:r>
      <w:r w:rsidRPr="000F5D35">
        <w:rPr>
          <w:rFonts w:eastAsia="Arial" w:cstheme="minorHAnsi"/>
          <w:spacing w:val="6"/>
        </w:rPr>
        <w:t>f</w:t>
      </w:r>
      <w:r w:rsidRPr="000F5D35">
        <w:rPr>
          <w:rFonts w:eastAsia="Arial" w:cstheme="minorHAnsi"/>
          <w:spacing w:val="-6"/>
        </w:rPr>
        <w:t>r</w:t>
      </w:r>
      <w:r w:rsidRPr="000F5D35">
        <w:rPr>
          <w:rFonts w:eastAsia="Arial" w:cstheme="minorHAnsi"/>
          <w:spacing w:val="2"/>
        </w:rPr>
        <w:t>a</w:t>
      </w:r>
      <w:r w:rsidRPr="000F5D35">
        <w:rPr>
          <w:rFonts w:eastAsia="Arial" w:cstheme="minorHAnsi"/>
          <w:spacing w:val="-2"/>
        </w:rPr>
        <w:t>m</w:t>
      </w:r>
      <w:r w:rsidRPr="000F5D35">
        <w:rPr>
          <w:rFonts w:eastAsia="Arial" w:cstheme="minorHAnsi"/>
          <w:spacing w:val="2"/>
        </w:rPr>
        <w:t>e</w:t>
      </w:r>
      <w:r w:rsidRPr="000F5D35">
        <w:rPr>
          <w:rFonts w:eastAsia="Arial" w:cstheme="minorHAnsi"/>
          <w:spacing w:val="-6"/>
        </w:rPr>
        <w:t>w</w:t>
      </w:r>
      <w:r w:rsidRPr="000F5D35">
        <w:rPr>
          <w:rFonts w:eastAsia="Arial" w:cstheme="minorHAnsi"/>
          <w:spacing w:val="2"/>
        </w:rPr>
        <w:t>o</w:t>
      </w:r>
      <w:r w:rsidRPr="000F5D35">
        <w:rPr>
          <w:rFonts w:eastAsia="Arial" w:cstheme="minorHAnsi"/>
          <w:spacing w:val="-2"/>
        </w:rPr>
        <w:t>r</w:t>
      </w:r>
      <w:r w:rsidRPr="000F5D35">
        <w:rPr>
          <w:rFonts w:eastAsia="Arial" w:cstheme="minorHAnsi"/>
        </w:rPr>
        <w:t>k</w:t>
      </w:r>
      <w:r w:rsidRPr="000F5D35">
        <w:rPr>
          <w:rFonts w:eastAsia="Arial" w:cstheme="minorHAnsi"/>
          <w:spacing w:val="-18"/>
        </w:rPr>
        <w:t xml:space="preserve"> </w:t>
      </w:r>
      <w:r w:rsidRPr="000F5D35">
        <w:rPr>
          <w:rFonts w:eastAsia="Arial" w:cstheme="minorHAnsi"/>
          <w:spacing w:val="6"/>
        </w:rPr>
        <w:t>f</w:t>
      </w:r>
      <w:r w:rsidRPr="000F5D35">
        <w:rPr>
          <w:rFonts w:eastAsia="Arial" w:cstheme="minorHAnsi"/>
          <w:spacing w:val="2"/>
        </w:rPr>
        <w:t>o</w:t>
      </w:r>
      <w:r w:rsidRPr="000F5D35">
        <w:rPr>
          <w:rFonts w:eastAsia="Arial" w:cstheme="minorHAnsi"/>
        </w:rPr>
        <w:t>r</w:t>
      </w:r>
      <w:r w:rsidRPr="000F5D35">
        <w:rPr>
          <w:rFonts w:eastAsia="Arial" w:cstheme="minorHAnsi"/>
          <w:spacing w:val="-15"/>
        </w:rPr>
        <w:t xml:space="preserve"> </w:t>
      </w:r>
      <w:r w:rsidRPr="000F5D35">
        <w:rPr>
          <w:rFonts w:eastAsia="Arial" w:cstheme="minorHAnsi"/>
          <w:spacing w:val="1"/>
        </w:rPr>
        <w:t>E</w:t>
      </w:r>
      <w:r w:rsidRPr="000F5D35">
        <w:rPr>
          <w:rFonts w:eastAsia="Arial" w:cstheme="minorHAnsi"/>
          <w:spacing w:val="-1"/>
        </w:rPr>
        <w:t>l</w:t>
      </w:r>
      <w:r w:rsidRPr="000F5D35">
        <w:rPr>
          <w:rFonts w:eastAsia="Arial" w:cstheme="minorHAnsi"/>
          <w:spacing w:val="2"/>
        </w:rPr>
        <w:t>e</w:t>
      </w:r>
      <w:r w:rsidRPr="000F5D35">
        <w:rPr>
          <w:rFonts w:eastAsia="Arial" w:cstheme="minorHAnsi"/>
        </w:rPr>
        <w:t>c</w:t>
      </w:r>
      <w:r w:rsidRPr="000F5D35">
        <w:rPr>
          <w:rFonts w:eastAsia="Arial" w:cstheme="minorHAnsi"/>
          <w:spacing w:val="-4"/>
        </w:rPr>
        <w:t>t</w:t>
      </w:r>
      <w:r w:rsidRPr="000F5D35">
        <w:rPr>
          <w:rFonts w:eastAsia="Arial" w:cstheme="minorHAnsi"/>
          <w:spacing w:val="2"/>
        </w:rPr>
        <w:t>e</w:t>
      </w:r>
      <w:r w:rsidRPr="000F5D35">
        <w:rPr>
          <w:rFonts w:eastAsia="Arial" w:cstheme="minorHAnsi"/>
        </w:rPr>
        <w:t>d</w:t>
      </w:r>
      <w:r w:rsidRPr="000F5D35">
        <w:rPr>
          <w:rFonts w:eastAsia="Arial" w:cstheme="minorHAnsi"/>
          <w:spacing w:val="-10"/>
        </w:rPr>
        <w:t xml:space="preserve"> </w:t>
      </w:r>
      <w:r w:rsidRPr="000F5D35">
        <w:rPr>
          <w:rFonts w:eastAsia="Arial" w:cstheme="minorHAnsi"/>
          <w:spacing w:val="-6"/>
        </w:rPr>
        <w:t>M</w:t>
      </w:r>
      <w:r w:rsidRPr="000F5D35">
        <w:rPr>
          <w:rFonts w:eastAsia="Arial" w:cstheme="minorHAnsi"/>
          <w:spacing w:val="2"/>
        </w:rPr>
        <w:t>e</w:t>
      </w:r>
      <w:r w:rsidRPr="000F5D35">
        <w:rPr>
          <w:rFonts w:eastAsia="Arial" w:cstheme="minorHAnsi"/>
          <w:spacing w:val="-2"/>
        </w:rPr>
        <w:t>m</w:t>
      </w:r>
      <w:r w:rsidRPr="000F5D35">
        <w:rPr>
          <w:rFonts w:eastAsia="Arial" w:cstheme="minorHAnsi"/>
          <w:spacing w:val="-3"/>
        </w:rPr>
        <w:t>b</w:t>
      </w:r>
      <w:r w:rsidRPr="000F5D35">
        <w:rPr>
          <w:rFonts w:eastAsia="Arial" w:cstheme="minorHAnsi"/>
          <w:spacing w:val="2"/>
        </w:rPr>
        <w:t>e</w:t>
      </w:r>
      <w:r w:rsidRPr="000F5D35">
        <w:rPr>
          <w:rFonts w:eastAsia="Arial" w:cstheme="minorHAnsi"/>
          <w:spacing w:val="-2"/>
        </w:rPr>
        <w:t>r</w:t>
      </w:r>
      <w:r w:rsidRPr="000F5D35">
        <w:rPr>
          <w:rFonts w:eastAsia="Arial" w:cstheme="minorHAnsi"/>
        </w:rPr>
        <w:t>s</w:t>
      </w:r>
      <w:r w:rsidRPr="000F5D35">
        <w:rPr>
          <w:rFonts w:eastAsia="Arial" w:cstheme="minorHAnsi"/>
          <w:spacing w:val="-12"/>
        </w:rPr>
        <w:t xml:space="preserve"> </w:t>
      </w:r>
      <w:r w:rsidRPr="000F5D35">
        <w:rPr>
          <w:rFonts w:eastAsia="Arial" w:cstheme="minorHAnsi"/>
          <w:spacing w:val="2"/>
        </w:rPr>
        <w:t>a</w:t>
      </w:r>
      <w:r w:rsidRPr="000F5D35">
        <w:rPr>
          <w:rFonts w:eastAsia="Arial" w:cstheme="minorHAnsi"/>
          <w:spacing w:val="-3"/>
        </w:rPr>
        <w:t>n</w:t>
      </w:r>
      <w:r w:rsidRPr="000F5D35">
        <w:rPr>
          <w:rFonts w:eastAsia="Arial" w:cstheme="minorHAnsi"/>
        </w:rPr>
        <w:t>d</w:t>
      </w:r>
      <w:r w:rsidRPr="000F5D35">
        <w:rPr>
          <w:rFonts w:eastAsia="Arial" w:cstheme="minorHAnsi"/>
          <w:spacing w:val="-12"/>
        </w:rPr>
        <w:t xml:space="preserve"> </w:t>
      </w:r>
      <w:r w:rsidRPr="000F5D35">
        <w:rPr>
          <w:rFonts w:eastAsia="Arial" w:cstheme="minorHAnsi"/>
          <w:spacing w:val="-4"/>
        </w:rPr>
        <w:t>t</w:t>
      </w:r>
      <w:r w:rsidRPr="000F5D35">
        <w:rPr>
          <w:rFonts w:eastAsia="Arial" w:cstheme="minorHAnsi"/>
          <w:spacing w:val="2"/>
        </w:rPr>
        <w:t>h</w:t>
      </w:r>
      <w:r w:rsidRPr="000F5D35">
        <w:rPr>
          <w:rFonts w:eastAsia="Arial" w:cstheme="minorHAnsi"/>
        </w:rPr>
        <w:t>e</w:t>
      </w:r>
      <w:r w:rsidRPr="000F5D35">
        <w:rPr>
          <w:rFonts w:eastAsia="Arial" w:cstheme="minorHAnsi"/>
          <w:spacing w:val="-10"/>
        </w:rPr>
        <w:t xml:space="preserve"> </w:t>
      </w:r>
      <w:r w:rsidRPr="000F5D35">
        <w:rPr>
          <w:rFonts w:eastAsia="Arial" w:cstheme="minorHAnsi"/>
          <w:spacing w:val="-6"/>
        </w:rPr>
        <w:t>C</w:t>
      </w:r>
      <w:r w:rsidRPr="000F5D35">
        <w:rPr>
          <w:rFonts w:eastAsia="Arial" w:cstheme="minorHAnsi"/>
          <w:spacing w:val="2"/>
        </w:rPr>
        <w:t>h</w:t>
      </w:r>
      <w:r w:rsidRPr="000F5D35">
        <w:rPr>
          <w:rFonts w:eastAsia="Arial" w:cstheme="minorHAnsi"/>
          <w:spacing w:val="-1"/>
        </w:rPr>
        <w:t>i</w:t>
      </w:r>
      <w:r w:rsidRPr="000F5D35">
        <w:rPr>
          <w:rFonts w:eastAsia="Arial" w:cstheme="minorHAnsi"/>
          <w:spacing w:val="-3"/>
        </w:rPr>
        <w:t>e</w:t>
      </w:r>
      <w:r w:rsidRPr="000F5D35">
        <w:rPr>
          <w:rFonts w:eastAsia="Arial" w:cstheme="minorHAnsi"/>
        </w:rPr>
        <w:t>f</w:t>
      </w:r>
      <w:r w:rsidRPr="000F5D35">
        <w:rPr>
          <w:rFonts w:eastAsia="Arial" w:cstheme="minorHAnsi"/>
          <w:spacing w:val="-12"/>
        </w:rPr>
        <w:t xml:space="preserve"> </w:t>
      </w:r>
      <w:r w:rsidRPr="000F5D35">
        <w:rPr>
          <w:rFonts w:eastAsia="Arial" w:cstheme="minorHAnsi"/>
          <w:spacing w:val="1"/>
        </w:rPr>
        <w:t>E</w:t>
      </w:r>
      <w:r w:rsidRPr="000F5D35">
        <w:rPr>
          <w:rFonts w:eastAsia="Arial" w:cstheme="minorHAnsi"/>
          <w:spacing w:val="-5"/>
        </w:rPr>
        <w:t>x</w:t>
      </w:r>
      <w:r w:rsidRPr="000F5D35">
        <w:rPr>
          <w:rFonts w:eastAsia="Arial" w:cstheme="minorHAnsi"/>
          <w:spacing w:val="2"/>
        </w:rPr>
        <w:t>e</w:t>
      </w:r>
      <w:r w:rsidRPr="000F5D35">
        <w:rPr>
          <w:rFonts w:eastAsia="Arial" w:cstheme="minorHAnsi"/>
        </w:rPr>
        <w:t>c</w:t>
      </w:r>
      <w:r w:rsidRPr="000F5D35">
        <w:rPr>
          <w:rFonts w:eastAsia="Arial" w:cstheme="minorHAnsi"/>
          <w:spacing w:val="2"/>
        </w:rPr>
        <w:t>u</w:t>
      </w:r>
      <w:r w:rsidRPr="000F5D35">
        <w:rPr>
          <w:rFonts w:eastAsia="Arial" w:cstheme="minorHAnsi"/>
          <w:spacing w:val="1"/>
        </w:rPr>
        <w:t>t</w:t>
      </w:r>
      <w:r w:rsidRPr="000F5D35">
        <w:rPr>
          <w:rFonts w:eastAsia="Arial" w:cstheme="minorHAnsi"/>
          <w:spacing w:val="-1"/>
        </w:rPr>
        <w:t>i</w:t>
      </w:r>
      <w:r w:rsidRPr="000F5D35">
        <w:rPr>
          <w:rFonts w:eastAsia="Arial" w:cstheme="minorHAnsi"/>
          <w:spacing w:val="-5"/>
        </w:rPr>
        <w:t>v</w:t>
      </w:r>
      <w:r w:rsidRPr="000F5D35">
        <w:rPr>
          <w:rFonts w:eastAsia="Arial" w:cstheme="minorHAnsi"/>
        </w:rPr>
        <w:t>e</w:t>
      </w:r>
      <w:r w:rsidRPr="000F5D35">
        <w:rPr>
          <w:rFonts w:eastAsia="Arial" w:cstheme="minorHAnsi"/>
          <w:spacing w:val="-12"/>
        </w:rPr>
        <w:t xml:space="preserve"> O</w:t>
      </w:r>
      <w:r w:rsidRPr="000F5D35">
        <w:rPr>
          <w:rFonts w:eastAsia="Arial" w:cstheme="minorHAnsi"/>
          <w:spacing w:val="1"/>
        </w:rPr>
        <w:t>ff</w:t>
      </w:r>
      <w:r w:rsidRPr="000F5D35">
        <w:rPr>
          <w:rFonts w:eastAsia="Arial" w:cstheme="minorHAnsi"/>
          <w:spacing w:val="-1"/>
        </w:rPr>
        <w:t>i</w:t>
      </w:r>
      <w:r w:rsidRPr="000F5D35">
        <w:rPr>
          <w:rFonts w:eastAsia="Arial" w:cstheme="minorHAnsi"/>
        </w:rPr>
        <w:t>c</w:t>
      </w:r>
      <w:r w:rsidRPr="000F5D35">
        <w:rPr>
          <w:rFonts w:eastAsia="Arial" w:cstheme="minorHAnsi"/>
          <w:spacing w:val="2"/>
        </w:rPr>
        <w:t>e</w:t>
      </w:r>
      <w:r w:rsidRPr="000F5D35">
        <w:rPr>
          <w:rFonts w:eastAsia="Arial" w:cstheme="minorHAnsi"/>
        </w:rPr>
        <w:t>r</w:t>
      </w:r>
      <w:r w:rsidRPr="000F5D35">
        <w:rPr>
          <w:rFonts w:eastAsia="Arial" w:cstheme="minorHAnsi"/>
          <w:spacing w:val="-11"/>
        </w:rPr>
        <w:t xml:space="preserve"> </w:t>
      </w:r>
      <w:r w:rsidRPr="000F5D35">
        <w:rPr>
          <w:rFonts w:eastAsia="Arial" w:cstheme="minorHAnsi"/>
          <w:spacing w:val="-2"/>
        </w:rPr>
        <w:t>(</w:t>
      </w:r>
      <w:r w:rsidRPr="000F5D35">
        <w:rPr>
          <w:rFonts w:eastAsia="Arial" w:cstheme="minorHAnsi"/>
          <w:spacing w:val="-1"/>
        </w:rPr>
        <w:t>C</w:t>
      </w:r>
      <w:r w:rsidRPr="000F5D35">
        <w:rPr>
          <w:rFonts w:eastAsia="Arial" w:cstheme="minorHAnsi"/>
          <w:spacing w:val="1"/>
        </w:rPr>
        <w:t>EO</w:t>
      </w:r>
      <w:r w:rsidRPr="000F5D35">
        <w:rPr>
          <w:rFonts w:eastAsia="Arial" w:cstheme="minorHAnsi"/>
        </w:rPr>
        <w:t>)</w:t>
      </w:r>
      <w:r w:rsidRPr="000F5D35">
        <w:rPr>
          <w:rFonts w:eastAsia="Arial" w:cstheme="minorHAnsi"/>
          <w:spacing w:val="-14"/>
        </w:rPr>
        <w:t xml:space="preserve"> </w:t>
      </w:r>
      <w:r w:rsidRPr="000F5D35">
        <w:rPr>
          <w:rFonts w:eastAsia="Arial" w:cstheme="minorHAnsi"/>
          <w:spacing w:val="-6"/>
        </w:rPr>
        <w:t>i</w:t>
      </w:r>
      <w:r w:rsidRPr="000F5D35">
        <w:rPr>
          <w:rFonts w:eastAsia="Arial" w:cstheme="minorHAnsi"/>
        </w:rPr>
        <w:t>n</w:t>
      </w:r>
      <w:r w:rsidRPr="000F5D35">
        <w:rPr>
          <w:rFonts w:eastAsia="Arial" w:cstheme="minorHAnsi"/>
          <w:spacing w:val="-12"/>
        </w:rPr>
        <w:t xml:space="preserve"> </w:t>
      </w:r>
      <w:r w:rsidRPr="000F5D35">
        <w:rPr>
          <w:rFonts w:eastAsia="Arial" w:cstheme="minorHAnsi"/>
          <w:spacing w:val="-2"/>
        </w:rPr>
        <w:t>r</w:t>
      </w:r>
      <w:r w:rsidRPr="000F5D35">
        <w:rPr>
          <w:rFonts w:eastAsia="Arial" w:cstheme="minorHAnsi"/>
          <w:spacing w:val="2"/>
        </w:rPr>
        <w:t>e</w:t>
      </w:r>
      <w:r w:rsidRPr="000F5D35">
        <w:rPr>
          <w:rFonts w:eastAsia="Arial" w:cstheme="minorHAnsi"/>
          <w:spacing w:val="-1"/>
        </w:rPr>
        <w:t>l</w:t>
      </w:r>
      <w:r w:rsidRPr="000F5D35">
        <w:rPr>
          <w:rFonts w:eastAsia="Arial" w:cstheme="minorHAnsi"/>
          <w:spacing w:val="2"/>
        </w:rPr>
        <w:t>a</w:t>
      </w:r>
      <w:r w:rsidRPr="000F5D35">
        <w:rPr>
          <w:rFonts w:eastAsia="Arial" w:cstheme="minorHAnsi"/>
          <w:spacing w:val="1"/>
        </w:rPr>
        <w:t>t</w:t>
      </w:r>
      <w:r w:rsidRPr="000F5D35">
        <w:rPr>
          <w:rFonts w:eastAsia="Arial" w:cstheme="minorHAnsi"/>
          <w:spacing w:val="-6"/>
        </w:rPr>
        <w:t>i</w:t>
      </w:r>
      <w:r w:rsidRPr="000F5D35">
        <w:rPr>
          <w:rFonts w:eastAsia="Arial" w:cstheme="minorHAnsi"/>
          <w:spacing w:val="-3"/>
        </w:rPr>
        <w:t>o</w:t>
      </w:r>
      <w:r w:rsidRPr="000F5D35">
        <w:rPr>
          <w:rFonts w:eastAsia="Arial" w:cstheme="minorHAnsi"/>
        </w:rPr>
        <w:t xml:space="preserve">n </w:t>
      </w:r>
      <w:r w:rsidRPr="000F5D35">
        <w:rPr>
          <w:rFonts w:eastAsia="Arial" w:cstheme="minorHAnsi"/>
          <w:spacing w:val="1"/>
        </w:rPr>
        <w:t>t</w:t>
      </w:r>
      <w:r w:rsidRPr="000F5D35">
        <w:rPr>
          <w:rFonts w:eastAsia="Arial" w:cstheme="minorHAnsi"/>
        </w:rPr>
        <w:t>o</w:t>
      </w:r>
      <w:r w:rsidRPr="000F5D35">
        <w:rPr>
          <w:rFonts w:eastAsia="Arial" w:cstheme="minorHAnsi"/>
          <w:spacing w:val="3"/>
        </w:rPr>
        <w:t xml:space="preserve"> </w:t>
      </w:r>
      <w:r w:rsidRPr="000F5D35">
        <w:rPr>
          <w:rFonts w:eastAsia="Arial" w:cstheme="minorHAnsi"/>
          <w:spacing w:val="1"/>
        </w:rPr>
        <w:t>t</w:t>
      </w:r>
      <w:r w:rsidRPr="000F5D35">
        <w:rPr>
          <w:rFonts w:eastAsia="Arial" w:cstheme="minorHAnsi"/>
          <w:spacing w:val="-6"/>
        </w:rPr>
        <w:t>r</w:t>
      </w:r>
      <w:r w:rsidRPr="000F5D35">
        <w:rPr>
          <w:rFonts w:eastAsia="Arial" w:cstheme="minorHAnsi"/>
          <w:spacing w:val="2"/>
        </w:rPr>
        <w:t>a</w:t>
      </w:r>
      <w:r w:rsidRPr="000F5D35">
        <w:rPr>
          <w:rFonts w:eastAsia="Arial" w:cstheme="minorHAnsi"/>
          <w:spacing w:val="-1"/>
        </w:rPr>
        <w:t>i</w:t>
      </w:r>
      <w:r w:rsidRPr="000F5D35">
        <w:rPr>
          <w:rFonts w:eastAsia="Arial" w:cstheme="minorHAnsi"/>
          <w:spacing w:val="2"/>
        </w:rPr>
        <w:t>n</w:t>
      </w:r>
      <w:r w:rsidRPr="000F5D35">
        <w:rPr>
          <w:rFonts w:eastAsia="Arial" w:cstheme="minorHAnsi"/>
          <w:spacing w:val="-1"/>
        </w:rPr>
        <w:t>i</w:t>
      </w:r>
      <w:r w:rsidRPr="000F5D35">
        <w:rPr>
          <w:rFonts w:eastAsia="Arial" w:cstheme="minorHAnsi"/>
          <w:spacing w:val="-3"/>
        </w:rPr>
        <w:t>n</w:t>
      </w:r>
      <w:r w:rsidRPr="000F5D35">
        <w:rPr>
          <w:rFonts w:eastAsia="Arial" w:cstheme="minorHAnsi"/>
          <w:spacing w:val="2"/>
        </w:rPr>
        <w:t>g</w:t>
      </w:r>
      <w:r w:rsidRPr="000F5D35">
        <w:rPr>
          <w:rFonts w:eastAsia="Arial" w:cstheme="minorHAnsi"/>
        </w:rPr>
        <w:t xml:space="preserve"> and</w:t>
      </w:r>
      <w:r w:rsidRPr="000F5D35">
        <w:rPr>
          <w:rFonts w:eastAsia="Arial" w:cstheme="minorHAnsi"/>
          <w:spacing w:val="-3"/>
        </w:rPr>
        <w:t xml:space="preserve"> </w:t>
      </w:r>
      <w:r w:rsidRPr="000F5D35">
        <w:rPr>
          <w:rFonts w:eastAsia="Arial" w:cstheme="minorHAnsi"/>
          <w:spacing w:val="2"/>
        </w:rPr>
        <w:t>p</w:t>
      </w:r>
      <w:r w:rsidRPr="000F5D35">
        <w:rPr>
          <w:rFonts w:eastAsia="Arial" w:cstheme="minorHAnsi"/>
          <w:spacing w:val="-2"/>
        </w:rPr>
        <w:t>r</w:t>
      </w:r>
      <w:r w:rsidRPr="000F5D35">
        <w:rPr>
          <w:rFonts w:eastAsia="Arial" w:cstheme="minorHAnsi"/>
          <w:spacing w:val="-3"/>
        </w:rPr>
        <w:t>o</w:t>
      </w:r>
      <w:r w:rsidRPr="000F5D35">
        <w:rPr>
          <w:rFonts w:eastAsia="Arial" w:cstheme="minorHAnsi"/>
          <w:spacing w:val="1"/>
        </w:rPr>
        <w:t>f</w:t>
      </w:r>
      <w:r w:rsidRPr="000F5D35">
        <w:rPr>
          <w:rFonts w:eastAsia="Arial" w:cstheme="minorHAnsi"/>
          <w:spacing w:val="2"/>
        </w:rPr>
        <w:t>e</w:t>
      </w:r>
      <w:r w:rsidRPr="000F5D35">
        <w:rPr>
          <w:rFonts w:eastAsia="Arial" w:cstheme="minorHAnsi"/>
        </w:rPr>
        <w:t>ss</w:t>
      </w:r>
      <w:r w:rsidRPr="000F5D35">
        <w:rPr>
          <w:rFonts w:eastAsia="Arial" w:cstheme="minorHAnsi"/>
          <w:spacing w:val="-1"/>
        </w:rPr>
        <w:t>i</w:t>
      </w:r>
      <w:r w:rsidRPr="000F5D35">
        <w:rPr>
          <w:rFonts w:eastAsia="Arial" w:cstheme="minorHAnsi"/>
          <w:spacing w:val="-3"/>
        </w:rPr>
        <w:t>o</w:t>
      </w:r>
      <w:r w:rsidRPr="000F5D35">
        <w:rPr>
          <w:rFonts w:eastAsia="Arial" w:cstheme="minorHAnsi"/>
          <w:spacing w:val="2"/>
        </w:rPr>
        <w:t>na</w:t>
      </w:r>
      <w:r w:rsidRPr="000F5D35">
        <w:rPr>
          <w:rFonts w:eastAsia="Arial" w:cstheme="minorHAnsi"/>
        </w:rPr>
        <w:t>l</w:t>
      </w:r>
      <w:r w:rsidRPr="000F5D35">
        <w:rPr>
          <w:rFonts w:eastAsia="Arial" w:cstheme="minorHAnsi"/>
          <w:spacing w:val="-5"/>
        </w:rPr>
        <w:t xml:space="preserve"> </w:t>
      </w:r>
      <w:r w:rsidRPr="000F5D35">
        <w:rPr>
          <w:rFonts w:eastAsia="Arial" w:cstheme="minorHAnsi"/>
          <w:spacing w:val="2"/>
        </w:rPr>
        <w:t>d</w:t>
      </w:r>
      <w:r w:rsidRPr="000F5D35">
        <w:rPr>
          <w:rFonts w:eastAsia="Arial" w:cstheme="minorHAnsi"/>
          <w:spacing w:val="-3"/>
        </w:rPr>
        <w:t>e</w:t>
      </w:r>
      <w:r w:rsidRPr="000F5D35">
        <w:rPr>
          <w:rFonts w:eastAsia="Arial" w:cstheme="minorHAnsi"/>
        </w:rPr>
        <w:t>v</w:t>
      </w:r>
      <w:r w:rsidRPr="000F5D35">
        <w:rPr>
          <w:rFonts w:eastAsia="Arial" w:cstheme="minorHAnsi"/>
          <w:spacing w:val="2"/>
        </w:rPr>
        <w:t>e</w:t>
      </w:r>
      <w:r w:rsidRPr="000F5D35">
        <w:rPr>
          <w:rFonts w:eastAsia="Arial" w:cstheme="minorHAnsi"/>
          <w:spacing w:val="-1"/>
        </w:rPr>
        <w:t>l</w:t>
      </w:r>
      <w:r w:rsidRPr="000F5D35">
        <w:rPr>
          <w:rFonts w:eastAsia="Arial" w:cstheme="minorHAnsi"/>
          <w:spacing w:val="-3"/>
        </w:rPr>
        <w:t>o</w:t>
      </w:r>
      <w:r w:rsidRPr="000F5D35">
        <w:rPr>
          <w:rFonts w:eastAsia="Arial" w:cstheme="minorHAnsi"/>
          <w:spacing w:val="2"/>
        </w:rPr>
        <w:t>p</w:t>
      </w:r>
      <w:r w:rsidRPr="000F5D35">
        <w:rPr>
          <w:rFonts w:eastAsia="Arial" w:cstheme="minorHAnsi"/>
          <w:spacing w:val="-2"/>
        </w:rPr>
        <w:t>m</w:t>
      </w:r>
      <w:r w:rsidRPr="000F5D35">
        <w:rPr>
          <w:rFonts w:eastAsia="Arial" w:cstheme="minorHAnsi"/>
          <w:spacing w:val="-3"/>
        </w:rPr>
        <w:t>e</w:t>
      </w:r>
      <w:r w:rsidRPr="000F5D35">
        <w:rPr>
          <w:rFonts w:eastAsia="Arial" w:cstheme="minorHAnsi"/>
          <w:spacing w:val="2"/>
        </w:rPr>
        <w:t>n</w:t>
      </w:r>
      <w:r w:rsidRPr="000F5D35">
        <w:rPr>
          <w:rFonts w:eastAsia="Arial" w:cstheme="minorHAnsi"/>
          <w:spacing w:val="1"/>
        </w:rPr>
        <w:t>t</w:t>
      </w:r>
      <w:r w:rsidRPr="000F5D35">
        <w:rPr>
          <w:rFonts w:eastAsia="Arial" w:cstheme="minorHAnsi"/>
        </w:rPr>
        <w:t>.</w:t>
      </w:r>
    </w:p>
    <w:p w14:paraId="3D119E18" w14:textId="77777777" w:rsidR="00FC0CF1" w:rsidRPr="000F5D35" w:rsidRDefault="00FC0CF1" w:rsidP="00FC0CF1">
      <w:pPr>
        <w:spacing w:before="200" w:after="0"/>
        <w:jc w:val="both"/>
        <w:rPr>
          <w:rFonts w:eastAsia="Arial" w:cstheme="minorHAnsi"/>
          <w:i/>
          <w:spacing w:val="-7"/>
        </w:rPr>
      </w:pPr>
      <w:r w:rsidRPr="000F5D35">
        <w:rPr>
          <w:rFonts w:eastAsia="Arial" w:cstheme="minorHAnsi"/>
        </w:rPr>
        <w:t>T</w:t>
      </w:r>
      <w:r w:rsidRPr="000F5D35">
        <w:rPr>
          <w:rFonts w:eastAsia="Arial" w:cstheme="minorHAnsi"/>
          <w:spacing w:val="1"/>
        </w:rPr>
        <w:t>h</w:t>
      </w:r>
      <w:r w:rsidRPr="000F5D35">
        <w:rPr>
          <w:rFonts w:eastAsia="Arial" w:cstheme="minorHAnsi"/>
          <w:spacing w:val="-1"/>
        </w:rPr>
        <w:t>i</w:t>
      </w:r>
      <w:r w:rsidRPr="000F5D35">
        <w:rPr>
          <w:rFonts w:eastAsia="Arial" w:cstheme="minorHAnsi"/>
        </w:rPr>
        <w:t>s</w:t>
      </w:r>
      <w:r w:rsidRPr="000F5D35">
        <w:rPr>
          <w:rFonts w:eastAsia="Arial" w:cstheme="minorHAnsi"/>
          <w:spacing w:val="-3"/>
        </w:rPr>
        <w:t xml:space="preserve"> </w:t>
      </w:r>
      <w:r w:rsidRPr="000F5D35">
        <w:rPr>
          <w:rFonts w:eastAsia="Arial" w:cstheme="minorHAnsi"/>
          <w:spacing w:val="2"/>
        </w:rPr>
        <w:t>po</w:t>
      </w:r>
      <w:r w:rsidRPr="000F5D35">
        <w:rPr>
          <w:rFonts w:eastAsia="Arial" w:cstheme="minorHAnsi"/>
          <w:spacing w:val="-1"/>
        </w:rPr>
        <w:t>li</w:t>
      </w:r>
      <w:r w:rsidRPr="000F5D35">
        <w:rPr>
          <w:rFonts w:eastAsia="Arial" w:cstheme="minorHAnsi"/>
        </w:rPr>
        <w:t>cy</w:t>
      </w:r>
      <w:r w:rsidRPr="000F5D35">
        <w:rPr>
          <w:rFonts w:eastAsia="Arial" w:cstheme="minorHAnsi"/>
          <w:spacing w:val="-4"/>
        </w:rPr>
        <w:t xml:space="preserve"> </w:t>
      </w:r>
      <w:r w:rsidRPr="000F5D35">
        <w:rPr>
          <w:rFonts w:eastAsia="Arial" w:cstheme="minorHAnsi"/>
          <w:spacing w:val="-1"/>
        </w:rPr>
        <w:t>i</w:t>
      </w:r>
      <w:r w:rsidRPr="000F5D35">
        <w:rPr>
          <w:rFonts w:eastAsia="Arial" w:cstheme="minorHAnsi"/>
        </w:rPr>
        <w:t>s</w:t>
      </w:r>
      <w:r w:rsidRPr="000F5D35">
        <w:rPr>
          <w:rFonts w:eastAsia="Arial" w:cstheme="minorHAnsi"/>
          <w:spacing w:val="-4"/>
        </w:rPr>
        <w:t xml:space="preserve"> </w:t>
      </w:r>
      <w:r w:rsidRPr="000F5D35">
        <w:rPr>
          <w:rFonts w:eastAsia="Arial" w:cstheme="minorHAnsi"/>
          <w:spacing w:val="-3"/>
        </w:rPr>
        <w:t>d</w:t>
      </w:r>
      <w:r w:rsidRPr="000F5D35">
        <w:rPr>
          <w:rFonts w:eastAsia="Arial" w:cstheme="minorHAnsi"/>
          <w:spacing w:val="2"/>
        </w:rPr>
        <w:t>e</w:t>
      </w:r>
      <w:r w:rsidRPr="000F5D35">
        <w:rPr>
          <w:rFonts w:eastAsia="Arial" w:cstheme="minorHAnsi"/>
          <w:spacing w:val="-5"/>
        </w:rPr>
        <w:t>v</w:t>
      </w:r>
      <w:r w:rsidRPr="000F5D35">
        <w:rPr>
          <w:rFonts w:eastAsia="Arial" w:cstheme="minorHAnsi"/>
          <w:spacing w:val="2"/>
        </w:rPr>
        <w:t>e</w:t>
      </w:r>
      <w:r w:rsidRPr="000F5D35">
        <w:rPr>
          <w:rFonts w:eastAsia="Arial" w:cstheme="minorHAnsi"/>
          <w:spacing w:val="-1"/>
        </w:rPr>
        <w:t>l</w:t>
      </w:r>
      <w:r w:rsidRPr="000F5D35">
        <w:rPr>
          <w:rFonts w:eastAsia="Arial" w:cstheme="minorHAnsi"/>
          <w:spacing w:val="2"/>
        </w:rPr>
        <w:t>o</w:t>
      </w:r>
      <w:r w:rsidRPr="000F5D35">
        <w:rPr>
          <w:rFonts w:eastAsia="Arial" w:cstheme="minorHAnsi"/>
          <w:spacing w:val="-3"/>
        </w:rPr>
        <w:t>p</w:t>
      </w:r>
      <w:r w:rsidRPr="000F5D35">
        <w:rPr>
          <w:rFonts w:eastAsia="Arial" w:cstheme="minorHAnsi"/>
          <w:spacing w:val="2"/>
        </w:rPr>
        <w:t>e</w:t>
      </w:r>
      <w:r w:rsidRPr="000F5D35">
        <w:rPr>
          <w:rFonts w:eastAsia="Arial" w:cstheme="minorHAnsi"/>
        </w:rPr>
        <w:t>d</w:t>
      </w:r>
      <w:r w:rsidRPr="000F5D35">
        <w:rPr>
          <w:rFonts w:eastAsia="Arial" w:cstheme="minorHAnsi"/>
          <w:spacing w:val="-2"/>
        </w:rPr>
        <w:t xml:space="preserve"> </w:t>
      </w:r>
      <w:r w:rsidRPr="000F5D35">
        <w:rPr>
          <w:rFonts w:eastAsia="Arial" w:cstheme="minorHAnsi"/>
          <w:spacing w:val="-6"/>
        </w:rPr>
        <w:t>i</w:t>
      </w:r>
      <w:r w:rsidRPr="000F5D35">
        <w:rPr>
          <w:rFonts w:eastAsia="Arial" w:cstheme="minorHAnsi"/>
        </w:rPr>
        <w:t>n</w:t>
      </w:r>
      <w:r w:rsidRPr="000F5D35">
        <w:rPr>
          <w:rFonts w:eastAsia="Arial" w:cstheme="minorHAnsi"/>
          <w:spacing w:val="-2"/>
        </w:rPr>
        <w:t xml:space="preserve"> </w:t>
      </w:r>
      <w:r w:rsidRPr="000F5D35">
        <w:rPr>
          <w:rFonts w:eastAsia="Arial" w:cstheme="minorHAnsi"/>
          <w:spacing w:val="2"/>
        </w:rPr>
        <w:t>a</w:t>
      </w:r>
      <w:r w:rsidRPr="000F5D35">
        <w:rPr>
          <w:rFonts w:eastAsia="Arial" w:cstheme="minorHAnsi"/>
        </w:rPr>
        <w:t>c</w:t>
      </w:r>
      <w:r w:rsidRPr="000F5D35">
        <w:rPr>
          <w:rFonts w:eastAsia="Arial" w:cstheme="minorHAnsi"/>
          <w:spacing w:val="-5"/>
        </w:rPr>
        <w:t>c</w:t>
      </w:r>
      <w:r w:rsidRPr="000F5D35">
        <w:rPr>
          <w:rFonts w:eastAsia="Arial" w:cstheme="minorHAnsi"/>
          <w:spacing w:val="2"/>
        </w:rPr>
        <w:t>o</w:t>
      </w:r>
      <w:r w:rsidRPr="000F5D35">
        <w:rPr>
          <w:rFonts w:eastAsia="Arial" w:cstheme="minorHAnsi"/>
          <w:spacing w:val="-2"/>
        </w:rPr>
        <w:t>r</w:t>
      </w:r>
      <w:r w:rsidRPr="000F5D35">
        <w:rPr>
          <w:rFonts w:eastAsia="Arial" w:cstheme="minorHAnsi"/>
          <w:spacing w:val="-3"/>
        </w:rPr>
        <w:t>d</w:t>
      </w:r>
      <w:r w:rsidRPr="000F5D35">
        <w:rPr>
          <w:rFonts w:eastAsia="Arial" w:cstheme="minorHAnsi"/>
          <w:spacing w:val="2"/>
        </w:rPr>
        <w:t>an</w:t>
      </w:r>
      <w:r w:rsidRPr="000F5D35">
        <w:rPr>
          <w:rFonts w:eastAsia="Arial" w:cstheme="minorHAnsi"/>
          <w:spacing w:val="-5"/>
        </w:rPr>
        <w:t>c</w:t>
      </w:r>
      <w:r w:rsidRPr="000F5D35">
        <w:rPr>
          <w:rFonts w:eastAsia="Arial" w:cstheme="minorHAnsi"/>
        </w:rPr>
        <w:t>e</w:t>
      </w:r>
      <w:r w:rsidRPr="000F5D35">
        <w:rPr>
          <w:rFonts w:eastAsia="Arial" w:cstheme="minorHAnsi"/>
          <w:spacing w:val="-2"/>
        </w:rPr>
        <w:t xml:space="preserve"> </w:t>
      </w:r>
      <w:r w:rsidRPr="000F5D35">
        <w:rPr>
          <w:rFonts w:eastAsia="Arial" w:cstheme="minorHAnsi"/>
          <w:spacing w:val="-1"/>
        </w:rPr>
        <w:t>wi</w:t>
      </w:r>
      <w:r w:rsidRPr="000F5D35">
        <w:rPr>
          <w:rFonts w:eastAsia="Arial" w:cstheme="minorHAnsi"/>
          <w:spacing w:val="1"/>
        </w:rPr>
        <w:t>t</w:t>
      </w:r>
      <w:r w:rsidRPr="000F5D35">
        <w:rPr>
          <w:rFonts w:eastAsia="Arial" w:cstheme="minorHAnsi"/>
        </w:rPr>
        <w:t>h</w:t>
      </w:r>
      <w:r w:rsidRPr="000F5D35">
        <w:rPr>
          <w:rFonts w:eastAsia="Arial" w:cstheme="minorHAnsi"/>
          <w:spacing w:val="-2"/>
        </w:rPr>
        <w:t xml:space="preserve"> </w:t>
      </w:r>
      <w:r w:rsidRPr="000F5D35">
        <w:rPr>
          <w:rFonts w:eastAsia="Arial" w:cstheme="minorHAnsi"/>
          <w:spacing w:val="-4"/>
        </w:rPr>
        <w:t>t</w:t>
      </w:r>
      <w:r w:rsidRPr="000F5D35">
        <w:rPr>
          <w:rFonts w:eastAsia="Arial" w:cstheme="minorHAnsi"/>
          <w:spacing w:val="2"/>
        </w:rPr>
        <w:t>h</w:t>
      </w:r>
      <w:r w:rsidRPr="000F5D35">
        <w:rPr>
          <w:rFonts w:eastAsia="Arial" w:cstheme="minorHAnsi"/>
        </w:rPr>
        <w:t xml:space="preserve">e </w:t>
      </w:r>
      <w:r w:rsidRPr="000F5D35">
        <w:rPr>
          <w:rFonts w:eastAsia="Arial" w:cstheme="minorHAnsi"/>
          <w:i/>
          <w:spacing w:val="2"/>
        </w:rPr>
        <w:t>L</w:t>
      </w:r>
      <w:r w:rsidRPr="000F5D35">
        <w:rPr>
          <w:rFonts w:eastAsia="Arial" w:cstheme="minorHAnsi"/>
          <w:i/>
          <w:spacing w:val="-3"/>
        </w:rPr>
        <w:t>o</w:t>
      </w:r>
      <w:r w:rsidRPr="000F5D35">
        <w:rPr>
          <w:rFonts w:eastAsia="Arial" w:cstheme="minorHAnsi"/>
          <w:i/>
        </w:rPr>
        <w:t>c</w:t>
      </w:r>
      <w:r w:rsidRPr="000F5D35">
        <w:rPr>
          <w:rFonts w:eastAsia="Arial" w:cstheme="minorHAnsi"/>
          <w:i/>
          <w:spacing w:val="2"/>
        </w:rPr>
        <w:t>a</w:t>
      </w:r>
      <w:r w:rsidRPr="000F5D35">
        <w:rPr>
          <w:rFonts w:eastAsia="Arial" w:cstheme="minorHAnsi"/>
          <w:i/>
        </w:rPr>
        <w:t>l</w:t>
      </w:r>
      <w:r w:rsidRPr="000F5D35">
        <w:rPr>
          <w:rFonts w:eastAsia="Arial" w:cstheme="minorHAnsi"/>
          <w:i/>
          <w:spacing w:val="-5"/>
        </w:rPr>
        <w:t xml:space="preserve"> </w:t>
      </w:r>
      <w:r w:rsidRPr="000F5D35">
        <w:rPr>
          <w:rFonts w:eastAsia="Arial" w:cstheme="minorHAnsi"/>
          <w:i/>
          <w:spacing w:val="1"/>
        </w:rPr>
        <w:t>G</w:t>
      </w:r>
      <w:r w:rsidRPr="000F5D35">
        <w:rPr>
          <w:rFonts w:eastAsia="Arial" w:cstheme="minorHAnsi"/>
          <w:i/>
          <w:spacing w:val="2"/>
        </w:rPr>
        <w:t>o</w:t>
      </w:r>
      <w:r w:rsidRPr="000F5D35">
        <w:rPr>
          <w:rFonts w:eastAsia="Arial" w:cstheme="minorHAnsi"/>
          <w:i/>
          <w:spacing w:val="-5"/>
        </w:rPr>
        <w:t>v</w:t>
      </w:r>
      <w:r w:rsidRPr="000F5D35">
        <w:rPr>
          <w:rFonts w:eastAsia="Arial" w:cstheme="minorHAnsi"/>
          <w:i/>
          <w:spacing w:val="2"/>
        </w:rPr>
        <w:t>e</w:t>
      </w:r>
      <w:r w:rsidRPr="000F5D35">
        <w:rPr>
          <w:rFonts w:eastAsia="Arial" w:cstheme="minorHAnsi"/>
          <w:i/>
          <w:spacing w:val="-2"/>
        </w:rPr>
        <w:t>r</w:t>
      </w:r>
      <w:r w:rsidRPr="000F5D35">
        <w:rPr>
          <w:rFonts w:eastAsia="Arial" w:cstheme="minorHAnsi"/>
          <w:i/>
          <w:spacing w:val="2"/>
        </w:rPr>
        <w:t>n</w:t>
      </w:r>
      <w:r w:rsidRPr="000F5D35">
        <w:rPr>
          <w:rFonts w:eastAsia="Arial" w:cstheme="minorHAnsi"/>
          <w:i/>
          <w:spacing w:val="-2"/>
        </w:rPr>
        <w:t>m</w:t>
      </w:r>
      <w:r w:rsidRPr="000F5D35">
        <w:rPr>
          <w:rFonts w:eastAsia="Arial" w:cstheme="minorHAnsi"/>
          <w:i/>
          <w:spacing w:val="-3"/>
        </w:rPr>
        <w:t>e</w:t>
      </w:r>
      <w:r w:rsidRPr="000F5D35">
        <w:rPr>
          <w:rFonts w:eastAsia="Arial" w:cstheme="minorHAnsi"/>
          <w:i/>
          <w:spacing w:val="2"/>
        </w:rPr>
        <w:t>n</w:t>
      </w:r>
      <w:r w:rsidRPr="000F5D35">
        <w:rPr>
          <w:rFonts w:eastAsia="Arial" w:cstheme="minorHAnsi"/>
          <w:i/>
        </w:rPr>
        <w:t>t</w:t>
      </w:r>
      <w:r w:rsidRPr="000F5D35">
        <w:rPr>
          <w:rFonts w:eastAsia="Arial" w:cstheme="minorHAnsi"/>
          <w:i/>
          <w:spacing w:val="-7"/>
        </w:rPr>
        <w:t xml:space="preserve"> </w:t>
      </w:r>
      <w:r>
        <w:rPr>
          <w:rFonts w:eastAsia="Arial" w:cstheme="minorHAnsi"/>
          <w:i/>
          <w:spacing w:val="-7"/>
        </w:rPr>
        <w:t xml:space="preserve">Act 1995 </w:t>
      </w:r>
      <w:r>
        <w:rPr>
          <w:rFonts w:eastAsia="Arial" w:cstheme="minorHAnsi"/>
          <w:spacing w:val="-7"/>
        </w:rPr>
        <w:t xml:space="preserve">Sections 5.126(1), 5.127, 5.128 and the </w:t>
      </w:r>
      <w:r>
        <w:rPr>
          <w:rFonts w:eastAsia="Arial" w:cstheme="minorHAnsi"/>
          <w:i/>
          <w:spacing w:val="-7"/>
        </w:rPr>
        <w:t>Local Government (Administration) Regulations 1996.</w:t>
      </w:r>
    </w:p>
    <w:p w14:paraId="67EAD52F" w14:textId="77777777" w:rsidR="00FC0CF1" w:rsidRPr="00B47F10" w:rsidRDefault="00FC0CF1" w:rsidP="00FC0CF1">
      <w:pPr>
        <w:spacing w:before="200" w:after="0"/>
        <w:rPr>
          <w:b/>
          <w:sz w:val="28"/>
          <w:szCs w:val="28"/>
          <w:lang w:val="en-US"/>
        </w:rPr>
      </w:pPr>
      <w:r w:rsidRPr="00B47F10">
        <w:rPr>
          <w:b/>
          <w:sz w:val="28"/>
          <w:szCs w:val="28"/>
          <w:lang w:val="en-US"/>
        </w:rPr>
        <w:t>Policy Scope</w:t>
      </w:r>
    </w:p>
    <w:p w14:paraId="37015D71" w14:textId="77777777" w:rsidR="00FC0CF1" w:rsidRPr="00B47F10" w:rsidRDefault="00FC0CF1" w:rsidP="00FC0CF1">
      <w:pPr>
        <w:pStyle w:val="ListParagraph"/>
        <w:tabs>
          <w:tab w:val="left" w:pos="1843"/>
        </w:tabs>
        <w:spacing w:line="240" w:lineRule="auto"/>
        <w:ind w:left="0"/>
        <w:jc w:val="both"/>
        <w:rPr>
          <w:rFonts w:cstheme="minorHAnsi"/>
          <w:sz w:val="28"/>
          <w:szCs w:val="28"/>
        </w:rPr>
      </w:pPr>
      <w:r w:rsidRPr="0096334F">
        <w:rPr>
          <w:rFonts w:cstheme="minorHAnsi"/>
        </w:rPr>
        <w:t xml:space="preserve">This policy applies to </w:t>
      </w:r>
      <w:r>
        <w:rPr>
          <w:rFonts w:cstheme="minorHAnsi"/>
        </w:rPr>
        <w:t>Elected Members or the CEO where stated</w:t>
      </w:r>
      <w:r w:rsidRPr="00B47F10">
        <w:rPr>
          <w:rFonts w:cstheme="minorHAnsi"/>
        </w:rPr>
        <w:t>.</w:t>
      </w:r>
    </w:p>
    <w:p w14:paraId="4A6A8B12" w14:textId="77777777" w:rsidR="00FC0CF1" w:rsidRPr="00B47F10" w:rsidRDefault="00FC0CF1" w:rsidP="00FC0CF1">
      <w:pPr>
        <w:spacing w:before="200" w:after="0"/>
        <w:jc w:val="both"/>
        <w:rPr>
          <w:b/>
          <w:sz w:val="28"/>
          <w:szCs w:val="28"/>
          <w:lang w:val="en-US"/>
        </w:rPr>
      </w:pPr>
      <w:r w:rsidRPr="00B47F10">
        <w:rPr>
          <w:b/>
          <w:sz w:val="28"/>
          <w:szCs w:val="28"/>
          <w:lang w:val="en-US"/>
        </w:rPr>
        <w:t xml:space="preserve">Policy </w:t>
      </w:r>
    </w:p>
    <w:p w14:paraId="74661544" w14:textId="77777777" w:rsidR="00FC0CF1" w:rsidRPr="00585C2D" w:rsidRDefault="00FC0CF1" w:rsidP="00FC0CF1">
      <w:pPr>
        <w:spacing w:after="60" w:line="240" w:lineRule="auto"/>
        <w:ind w:left="425" w:right="-23" w:hanging="425"/>
        <w:rPr>
          <w:rFonts w:eastAsia="Arial" w:cstheme="minorHAnsi"/>
        </w:rPr>
      </w:pPr>
      <w:r>
        <w:rPr>
          <w:rFonts w:eastAsia="Arial" w:cstheme="minorHAnsi"/>
          <w:b/>
          <w:bCs/>
          <w:spacing w:val="1"/>
        </w:rPr>
        <w:t>1.</w:t>
      </w:r>
      <w:r>
        <w:rPr>
          <w:rFonts w:eastAsia="Arial" w:cstheme="minorHAnsi"/>
          <w:b/>
          <w:bCs/>
          <w:spacing w:val="1"/>
        </w:rPr>
        <w:tab/>
      </w:r>
      <w:r w:rsidRPr="00585C2D">
        <w:rPr>
          <w:rFonts w:eastAsia="Arial" w:cstheme="minorHAnsi"/>
          <w:b/>
          <w:bCs/>
          <w:spacing w:val="1"/>
        </w:rPr>
        <w:t>E</w:t>
      </w:r>
      <w:r>
        <w:rPr>
          <w:rFonts w:eastAsia="Arial" w:cstheme="minorHAnsi"/>
          <w:b/>
          <w:bCs/>
          <w:spacing w:val="1"/>
        </w:rPr>
        <w:t>lected Member Mandatory Training</w:t>
      </w:r>
    </w:p>
    <w:p w14:paraId="0B4AC8D8" w14:textId="77777777" w:rsidR="00FC0CF1" w:rsidRPr="00585C2D" w:rsidRDefault="00FC0CF1" w:rsidP="00FC0CF1">
      <w:pPr>
        <w:spacing w:after="120" w:line="239" w:lineRule="auto"/>
        <w:ind w:left="850" w:hanging="425"/>
        <w:jc w:val="both"/>
        <w:rPr>
          <w:rFonts w:eastAsia="Arial" w:cstheme="minorHAnsi"/>
        </w:rPr>
      </w:pPr>
      <w:r w:rsidRPr="00585C2D">
        <w:rPr>
          <w:rFonts w:eastAsia="Arial" w:cstheme="minorHAnsi"/>
          <w:spacing w:val="2"/>
        </w:rPr>
        <w:t>a</w:t>
      </w:r>
      <w:r>
        <w:rPr>
          <w:rFonts w:eastAsia="Arial" w:cstheme="minorHAnsi"/>
        </w:rPr>
        <w:t>.</w:t>
      </w:r>
      <w:r>
        <w:rPr>
          <w:rFonts w:eastAsia="Arial" w:cstheme="minorHAnsi"/>
        </w:rPr>
        <w:tab/>
      </w:r>
      <w:proofErr w:type="gramStart"/>
      <w:r w:rsidRPr="00585C2D">
        <w:rPr>
          <w:rFonts w:eastAsia="Arial" w:cstheme="minorHAnsi"/>
          <w:spacing w:val="1"/>
        </w:rPr>
        <w:t>A</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 xml:space="preserve">d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proofErr w:type="gramEnd"/>
      <w:r w:rsidRPr="00585C2D">
        <w:rPr>
          <w:rFonts w:eastAsia="Arial" w:cstheme="minorHAnsi"/>
          <w:spacing w:val="-7"/>
        </w:rPr>
        <w:t xml:space="preserve"> </w:t>
      </w:r>
      <w:r w:rsidRPr="00585C2D">
        <w:rPr>
          <w:rFonts w:eastAsia="Arial" w:cstheme="minorHAnsi"/>
          <w:spacing w:val="-2"/>
        </w:rPr>
        <w:t>m</w:t>
      </w:r>
      <w:r w:rsidRPr="00585C2D">
        <w:rPr>
          <w:rFonts w:eastAsia="Arial" w:cstheme="minorHAnsi"/>
          <w:spacing w:val="2"/>
        </w:rPr>
        <w:t>u</w:t>
      </w:r>
      <w:r w:rsidRPr="00585C2D">
        <w:rPr>
          <w:rFonts w:eastAsia="Arial" w:cstheme="minorHAnsi"/>
        </w:rPr>
        <w:t>st</w:t>
      </w:r>
      <w:r w:rsidRPr="00585C2D">
        <w:rPr>
          <w:rFonts w:eastAsia="Arial" w:cstheme="minorHAnsi"/>
          <w:spacing w:val="-2"/>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spacing w:val="-2"/>
        </w:rPr>
        <w:t>m</w:t>
      </w:r>
      <w:r w:rsidRPr="00585C2D">
        <w:rPr>
          <w:rFonts w:eastAsia="Arial" w:cstheme="minorHAnsi"/>
          <w:spacing w:val="2"/>
        </w:rPr>
        <w:t>p</w:t>
      </w:r>
      <w:r w:rsidRPr="00585C2D">
        <w:rPr>
          <w:rFonts w:eastAsia="Arial" w:cstheme="minorHAnsi"/>
          <w:spacing w:val="-6"/>
        </w:rPr>
        <w:t>l</w:t>
      </w:r>
      <w:r w:rsidRPr="00585C2D">
        <w:rPr>
          <w:rFonts w:eastAsia="Arial" w:cstheme="minorHAnsi"/>
          <w:spacing w:val="2"/>
        </w:rPr>
        <w:t>e</w:t>
      </w:r>
      <w:r w:rsidRPr="00585C2D">
        <w:rPr>
          <w:rFonts w:eastAsia="Arial" w:cstheme="minorHAnsi"/>
          <w:spacing w:val="1"/>
        </w:rPr>
        <w:t>t</w:t>
      </w:r>
      <w:r w:rsidRPr="00585C2D">
        <w:rPr>
          <w:rFonts w:eastAsia="Arial" w:cstheme="minorHAnsi"/>
        </w:rPr>
        <w:t>e</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3"/>
        </w:rPr>
        <w:t>o</w:t>
      </w:r>
      <w:r w:rsidRPr="00585C2D">
        <w:rPr>
          <w:rFonts w:eastAsia="Arial" w:cstheme="minorHAnsi"/>
          <w:spacing w:val="2"/>
        </w:rPr>
        <w:t>u</w:t>
      </w:r>
      <w:r w:rsidRPr="00585C2D">
        <w:rPr>
          <w:rFonts w:eastAsia="Arial" w:cstheme="minorHAnsi"/>
          <w:spacing w:val="-2"/>
        </w:rPr>
        <w:t>r</w:t>
      </w:r>
      <w:r w:rsidRPr="00585C2D">
        <w:rPr>
          <w:rFonts w:eastAsia="Arial" w:cstheme="minorHAnsi"/>
        </w:rPr>
        <w:t>se</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1"/>
        </w:rPr>
        <w:t>i</w:t>
      </w:r>
      <w:r w:rsidRPr="00585C2D">
        <w:rPr>
          <w:rFonts w:eastAsia="Arial" w:cstheme="minorHAnsi"/>
          <w:spacing w:val="1"/>
        </w:rPr>
        <w:t>t</w:t>
      </w:r>
      <w:r w:rsidRPr="00585C2D">
        <w:rPr>
          <w:rFonts w:eastAsia="Arial" w:cstheme="minorHAnsi"/>
          <w:spacing w:val="-6"/>
        </w:rPr>
        <w:t>l</w:t>
      </w:r>
      <w:r w:rsidRPr="00585C2D">
        <w:rPr>
          <w:rFonts w:eastAsia="Arial" w:cstheme="minorHAnsi"/>
          <w:spacing w:val="2"/>
        </w:rPr>
        <w:t>e</w:t>
      </w:r>
      <w:r w:rsidRPr="00585C2D">
        <w:rPr>
          <w:rFonts w:eastAsia="Arial" w:cstheme="minorHAnsi"/>
        </w:rPr>
        <w:t>d</w:t>
      </w:r>
      <w:r w:rsidRPr="00585C2D">
        <w:rPr>
          <w:rFonts w:eastAsia="Arial" w:cstheme="minorHAnsi"/>
          <w:spacing w:val="1"/>
        </w:rPr>
        <w:t xml:space="preserve"> </w:t>
      </w:r>
      <w:r w:rsidRPr="00585C2D">
        <w:rPr>
          <w:rFonts w:eastAsia="Arial" w:cstheme="minorHAnsi"/>
          <w:i/>
          <w:spacing w:val="-6"/>
        </w:rPr>
        <w:t>C</w:t>
      </w:r>
      <w:r w:rsidRPr="00585C2D">
        <w:rPr>
          <w:rFonts w:eastAsia="Arial" w:cstheme="minorHAnsi"/>
          <w:i/>
          <w:spacing w:val="2"/>
        </w:rPr>
        <w:t>o</w:t>
      </w:r>
      <w:r w:rsidRPr="00585C2D">
        <w:rPr>
          <w:rFonts w:eastAsia="Arial" w:cstheme="minorHAnsi"/>
          <w:i/>
          <w:spacing w:val="-3"/>
        </w:rPr>
        <w:t>u</w:t>
      </w:r>
      <w:r w:rsidRPr="00585C2D">
        <w:rPr>
          <w:rFonts w:eastAsia="Arial" w:cstheme="minorHAnsi"/>
          <w:i/>
          <w:spacing w:val="2"/>
        </w:rPr>
        <w:t>n</w:t>
      </w:r>
      <w:r w:rsidRPr="00585C2D">
        <w:rPr>
          <w:rFonts w:eastAsia="Arial" w:cstheme="minorHAnsi"/>
          <w:i/>
        </w:rPr>
        <w:t>c</w:t>
      </w:r>
      <w:r w:rsidRPr="00585C2D">
        <w:rPr>
          <w:rFonts w:eastAsia="Arial" w:cstheme="minorHAnsi"/>
          <w:i/>
          <w:spacing w:val="-1"/>
        </w:rPr>
        <w:t>i</w:t>
      </w:r>
      <w:r w:rsidRPr="00585C2D">
        <w:rPr>
          <w:rFonts w:eastAsia="Arial" w:cstheme="minorHAnsi"/>
          <w:i/>
        </w:rPr>
        <w:t>l</w:t>
      </w:r>
      <w:r w:rsidRPr="00585C2D">
        <w:rPr>
          <w:rFonts w:eastAsia="Arial" w:cstheme="minorHAnsi"/>
          <w:i/>
          <w:spacing w:val="-5"/>
        </w:rPr>
        <w:t xml:space="preserve"> </w:t>
      </w:r>
      <w:r w:rsidRPr="00585C2D">
        <w:rPr>
          <w:rFonts w:eastAsia="Arial" w:cstheme="minorHAnsi"/>
          <w:i/>
          <w:spacing w:val="-2"/>
        </w:rPr>
        <w:t>M</w:t>
      </w:r>
      <w:r w:rsidRPr="00585C2D">
        <w:rPr>
          <w:rFonts w:eastAsia="Arial" w:cstheme="minorHAnsi"/>
          <w:i/>
          <w:spacing w:val="2"/>
        </w:rPr>
        <w:t>e</w:t>
      </w:r>
      <w:r w:rsidRPr="00585C2D">
        <w:rPr>
          <w:rFonts w:eastAsia="Arial" w:cstheme="minorHAnsi"/>
          <w:i/>
          <w:spacing w:val="-2"/>
        </w:rPr>
        <w:t>m</w:t>
      </w:r>
      <w:r w:rsidRPr="00585C2D">
        <w:rPr>
          <w:rFonts w:eastAsia="Arial" w:cstheme="minorHAnsi"/>
          <w:i/>
          <w:spacing w:val="-3"/>
        </w:rPr>
        <w:t>b</w:t>
      </w:r>
      <w:r w:rsidRPr="00585C2D">
        <w:rPr>
          <w:rFonts w:eastAsia="Arial" w:cstheme="minorHAnsi"/>
          <w:i/>
          <w:spacing w:val="2"/>
        </w:rPr>
        <w:t>e</w:t>
      </w:r>
      <w:r w:rsidRPr="00585C2D">
        <w:rPr>
          <w:rFonts w:eastAsia="Arial" w:cstheme="minorHAnsi"/>
          <w:i/>
        </w:rPr>
        <w:t>r</w:t>
      </w:r>
      <w:r w:rsidRPr="00585C2D">
        <w:rPr>
          <w:rFonts w:eastAsia="Arial" w:cstheme="minorHAnsi"/>
          <w:i/>
          <w:spacing w:val="-5"/>
        </w:rPr>
        <w:t xml:space="preserve"> </w:t>
      </w:r>
      <w:r w:rsidRPr="00585C2D">
        <w:rPr>
          <w:rFonts w:eastAsia="Arial" w:cstheme="minorHAnsi"/>
          <w:i/>
          <w:spacing w:val="1"/>
        </w:rPr>
        <w:t>E</w:t>
      </w:r>
      <w:r w:rsidRPr="00585C2D">
        <w:rPr>
          <w:rFonts w:eastAsia="Arial" w:cstheme="minorHAnsi"/>
          <w:i/>
        </w:rPr>
        <w:t>ss</w:t>
      </w:r>
      <w:r w:rsidRPr="00585C2D">
        <w:rPr>
          <w:rFonts w:eastAsia="Arial" w:cstheme="minorHAnsi"/>
          <w:i/>
          <w:spacing w:val="-3"/>
        </w:rPr>
        <w:t>e</w:t>
      </w:r>
      <w:r w:rsidRPr="00585C2D">
        <w:rPr>
          <w:rFonts w:eastAsia="Arial" w:cstheme="minorHAnsi"/>
          <w:i/>
          <w:spacing w:val="2"/>
        </w:rPr>
        <w:t>n</w:t>
      </w:r>
      <w:r w:rsidRPr="00585C2D">
        <w:rPr>
          <w:rFonts w:eastAsia="Arial" w:cstheme="minorHAnsi"/>
          <w:i/>
          <w:spacing w:val="1"/>
        </w:rPr>
        <w:t>t</w:t>
      </w:r>
      <w:r w:rsidRPr="00585C2D">
        <w:rPr>
          <w:rFonts w:eastAsia="Arial" w:cstheme="minorHAnsi"/>
          <w:i/>
          <w:spacing w:val="-6"/>
        </w:rPr>
        <w:t>i</w:t>
      </w:r>
      <w:r w:rsidRPr="00585C2D">
        <w:rPr>
          <w:rFonts w:eastAsia="Arial" w:cstheme="minorHAnsi"/>
          <w:i/>
          <w:spacing w:val="2"/>
        </w:rPr>
        <w:t>a</w:t>
      </w:r>
      <w:r w:rsidRPr="00585C2D">
        <w:rPr>
          <w:rFonts w:eastAsia="Arial" w:cstheme="minorHAnsi"/>
          <w:i/>
          <w:spacing w:val="-1"/>
        </w:rPr>
        <w:t>l</w:t>
      </w:r>
      <w:r w:rsidRPr="00585C2D">
        <w:rPr>
          <w:rFonts w:eastAsia="Arial" w:cstheme="minorHAnsi"/>
          <w:i/>
          <w:spacing w:val="3"/>
        </w:rPr>
        <w:t>s</w:t>
      </w:r>
      <w:r w:rsidRPr="00585C2D">
        <w:rPr>
          <w:rFonts w:eastAsia="Arial" w:cstheme="minorHAnsi"/>
        </w:rPr>
        <w:t>,</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rPr>
        <w:t>cc</w:t>
      </w:r>
      <w:r w:rsidRPr="00585C2D">
        <w:rPr>
          <w:rFonts w:eastAsia="Arial" w:cstheme="minorHAnsi"/>
          <w:spacing w:val="2"/>
        </w:rPr>
        <w:t>o</w:t>
      </w:r>
      <w:r w:rsidRPr="00585C2D">
        <w:rPr>
          <w:rFonts w:eastAsia="Arial" w:cstheme="minorHAnsi"/>
          <w:spacing w:val="-6"/>
        </w:rPr>
        <w:t>r</w:t>
      </w:r>
      <w:r w:rsidRPr="00585C2D">
        <w:rPr>
          <w:rFonts w:eastAsia="Arial" w:cstheme="minorHAnsi"/>
          <w:spacing w:val="2"/>
        </w:rPr>
        <w:t>d</w:t>
      </w:r>
      <w:r w:rsidRPr="00585C2D">
        <w:rPr>
          <w:rFonts w:eastAsia="Arial" w:cstheme="minorHAnsi"/>
          <w:spacing w:val="-3"/>
        </w:rPr>
        <w:t>a</w:t>
      </w:r>
      <w:r w:rsidRPr="00585C2D">
        <w:rPr>
          <w:rFonts w:eastAsia="Arial" w:cstheme="minorHAnsi"/>
          <w:spacing w:val="2"/>
        </w:rPr>
        <w:t>n</w:t>
      </w:r>
      <w:r w:rsidRPr="00585C2D">
        <w:rPr>
          <w:rFonts w:eastAsia="Arial" w:cstheme="minorHAnsi"/>
        </w:rPr>
        <w:t xml:space="preserve">ce </w:t>
      </w:r>
      <w:r w:rsidRPr="00585C2D">
        <w:rPr>
          <w:rFonts w:eastAsia="Arial" w:cstheme="minorHAnsi"/>
          <w:spacing w:val="-1"/>
        </w:rPr>
        <w:t>wi</w:t>
      </w:r>
      <w:r w:rsidRPr="00585C2D">
        <w:rPr>
          <w:rFonts w:eastAsia="Arial" w:cstheme="minorHAnsi"/>
          <w:spacing w:val="1"/>
        </w:rPr>
        <w:t>t</w:t>
      </w:r>
      <w:r w:rsidRPr="00585C2D">
        <w:rPr>
          <w:rFonts w:eastAsia="Arial" w:cstheme="minorHAnsi"/>
        </w:rPr>
        <w:t>h</w:t>
      </w:r>
      <w:r w:rsidRPr="00585C2D">
        <w:rPr>
          <w:rFonts w:eastAsia="Arial" w:cstheme="minorHAnsi"/>
          <w:spacing w:val="9"/>
        </w:rPr>
        <w:t xml:space="preserve"> </w:t>
      </w:r>
      <w:r w:rsidRPr="00585C2D">
        <w:rPr>
          <w:rFonts w:eastAsia="Arial" w:cstheme="minorHAnsi"/>
          <w:spacing w:val="-5"/>
        </w:rPr>
        <w:t>s</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4"/>
        </w:rPr>
        <w:t xml:space="preserve"> </w:t>
      </w:r>
      <w:r w:rsidRPr="00585C2D">
        <w:rPr>
          <w:rFonts w:eastAsia="Arial" w:cstheme="minorHAnsi"/>
          <w:spacing w:val="2"/>
        </w:rPr>
        <w:t>5</w:t>
      </w:r>
      <w:r w:rsidRPr="00585C2D">
        <w:rPr>
          <w:rFonts w:eastAsia="Arial" w:cstheme="minorHAnsi"/>
          <w:spacing w:val="-4"/>
        </w:rPr>
        <w:t>.</w:t>
      </w:r>
      <w:r w:rsidRPr="00585C2D">
        <w:rPr>
          <w:rFonts w:eastAsia="Arial" w:cstheme="minorHAnsi"/>
          <w:spacing w:val="2"/>
        </w:rPr>
        <w:t>1</w:t>
      </w:r>
      <w:r w:rsidRPr="00585C2D">
        <w:rPr>
          <w:rFonts w:eastAsia="Arial" w:cstheme="minorHAnsi"/>
          <w:spacing w:val="-3"/>
        </w:rPr>
        <w:t>2</w:t>
      </w:r>
      <w:r w:rsidRPr="00585C2D">
        <w:rPr>
          <w:rFonts w:eastAsia="Arial" w:cstheme="minorHAnsi"/>
          <w:spacing w:val="2"/>
        </w:rPr>
        <w:t>6</w:t>
      </w:r>
      <w:r w:rsidRPr="00585C2D">
        <w:rPr>
          <w:rFonts w:eastAsia="Arial" w:cstheme="minorHAnsi"/>
          <w:spacing w:val="-2"/>
        </w:rPr>
        <w:t>(</w:t>
      </w:r>
      <w:r w:rsidRPr="00585C2D">
        <w:rPr>
          <w:rFonts w:eastAsia="Arial" w:cstheme="minorHAnsi"/>
          <w:spacing w:val="2"/>
        </w:rPr>
        <w:t>1</w:t>
      </w:r>
      <w:r w:rsidRPr="00585C2D">
        <w:rPr>
          <w:rFonts w:eastAsia="Arial" w:cstheme="minorHAnsi"/>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8"/>
        </w:rPr>
        <w:t xml:space="preserve"> </w:t>
      </w:r>
      <w:r w:rsidRPr="00585C2D">
        <w:rPr>
          <w:rFonts w:eastAsia="Arial" w:cstheme="minorHAnsi"/>
          <w:i/>
          <w:spacing w:val="-3"/>
        </w:rPr>
        <w:t>L</w:t>
      </w:r>
      <w:r w:rsidRPr="00585C2D">
        <w:rPr>
          <w:rFonts w:eastAsia="Arial" w:cstheme="minorHAnsi"/>
          <w:i/>
          <w:spacing w:val="2"/>
        </w:rPr>
        <w:t>o</w:t>
      </w:r>
      <w:r w:rsidRPr="00585C2D">
        <w:rPr>
          <w:rFonts w:eastAsia="Arial" w:cstheme="minorHAnsi"/>
          <w:i/>
          <w:spacing w:val="-5"/>
        </w:rPr>
        <w:t>c</w:t>
      </w:r>
      <w:r w:rsidRPr="00585C2D">
        <w:rPr>
          <w:rFonts w:eastAsia="Arial" w:cstheme="minorHAnsi"/>
          <w:i/>
          <w:spacing w:val="2"/>
        </w:rPr>
        <w:t>a</w:t>
      </w:r>
      <w:r w:rsidRPr="00585C2D">
        <w:rPr>
          <w:rFonts w:eastAsia="Arial" w:cstheme="minorHAnsi"/>
          <w:i/>
        </w:rPr>
        <w:t>l</w:t>
      </w:r>
      <w:r w:rsidRPr="00585C2D">
        <w:rPr>
          <w:rFonts w:eastAsia="Arial" w:cstheme="minorHAnsi"/>
          <w:i/>
          <w:spacing w:val="5"/>
        </w:rPr>
        <w:t xml:space="preserve"> </w:t>
      </w:r>
      <w:r w:rsidRPr="00585C2D">
        <w:rPr>
          <w:rFonts w:eastAsia="Arial" w:cstheme="minorHAnsi"/>
          <w:i/>
          <w:spacing w:val="-4"/>
        </w:rPr>
        <w:t>G</w:t>
      </w:r>
      <w:r w:rsidRPr="00585C2D">
        <w:rPr>
          <w:rFonts w:eastAsia="Arial" w:cstheme="minorHAnsi"/>
          <w:i/>
          <w:spacing w:val="2"/>
        </w:rPr>
        <w:t>o</w:t>
      </w:r>
      <w:r w:rsidRPr="00585C2D">
        <w:rPr>
          <w:rFonts w:eastAsia="Arial" w:cstheme="minorHAnsi"/>
          <w:i/>
          <w:spacing w:val="-5"/>
        </w:rPr>
        <w:t>v</w:t>
      </w:r>
      <w:r w:rsidRPr="00585C2D">
        <w:rPr>
          <w:rFonts w:eastAsia="Arial" w:cstheme="minorHAnsi"/>
          <w:i/>
          <w:spacing w:val="2"/>
        </w:rPr>
        <w:t>e</w:t>
      </w:r>
      <w:r w:rsidRPr="00585C2D">
        <w:rPr>
          <w:rFonts w:eastAsia="Arial" w:cstheme="minorHAnsi"/>
          <w:i/>
          <w:spacing w:val="-2"/>
        </w:rPr>
        <w:t>r</w:t>
      </w:r>
      <w:r w:rsidRPr="00585C2D">
        <w:rPr>
          <w:rFonts w:eastAsia="Arial" w:cstheme="minorHAnsi"/>
          <w:i/>
          <w:spacing w:val="2"/>
        </w:rPr>
        <w:t>n</w:t>
      </w:r>
      <w:r w:rsidRPr="00585C2D">
        <w:rPr>
          <w:rFonts w:eastAsia="Arial" w:cstheme="minorHAnsi"/>
          <w:i/>
          <w:spacing w:val="-2"/>
        </w:rPr>
        <w:t>m</w:t>
      </w:r>
      <w:r w:rsidRPr="00585C2D">
        <w:rPr>
          <w:rFonts w:eastAsia="Arial" w:cstheme="minorHAnsi"/>
          <w:i/>
          <w:spacing w:val="-3"/>
        </w:rPr>
        <w:t>e</w:t>
      </w:r>
      <w:r w:rsidRPr="00585C2D">
        <w:rPr>
          <w:rFonts w:eastAsia="Arial" w:cstheme="minorHAnsi"/>
          <w:i/>
          <w:spacing w:val="2"/>
        </w:rPr>
        <w:t>n</w:t>
      </w:r>
      <w:r w:rsidRPr="00585C2D">
        <w:rPr>
          <w:rFonts w:eastAsia="Arial" w:cstheme="minorHAnsi"/>
          <w:i/>
        </w:rPr>
        <w:t>t</w:t>
      </w:r>
      <w:r w:rsidRPr="00585C2D">
        <w:rPr>
          <w:rFonts w:eastAsia="Arial" w:cstheme="minorHAnsi"/>
          <w:i/>
          <w:spacing w:val="3"/>
        </w:rPr>
        <w:t xml:space="preserve"> </w:t>
      </w:r>
      <w:r w:rsidRPr="00585C2D">
        <w:rPr>
          <w:rFonts w:eastAsia="Arial" w:cstheme="minorHAnsi"/>
          <w:i/>
          <w:spacing w:val="1"/>
        </w:rPr>
        <w:t>A</w:t>
      </w:r>
      <w:r w:rsidRPr="00585C2D">
        <w:rPr>
          <w:rFonts w:eastAsia="Arial" w:cstheme="minorHAnsi"/>
          <w:i/>
        </w:rPr>
        <w:t>ct</w:t>
      </w:r>
      <w:r w:rsidRPr="00585C2D">
        <w:rPr>
          <w:rFonts w:eastAsia="Arial" w:cstheme="minorHAnsi"/>
          <w:i/>
          <w:spacing w:val="3"/>
        </w:rPr>
        <w:t xml:space="preserve"> </w:t>
      </w:r>
      <w:r w:rsidRPr="00585C2D">
        <w:rPr>
          <w:rFonts w:eastAsia="Arial" w:cstheme="minorHAnsi"/>
          <w:i/>
          <w:spacing w:val="-3"/>
        </w:rPr>
        <w:t>1</w:t>
      </w:r>
      <w:r w:rsidRPr="00585C2D">
        <w:rPr>
          <w:rFonts w:eastAsia="Arial" w:cstheme="minorHAnsi"/>
          <w:i/>
          <w:spacing w:val="2"/>
        </w:rPr>
        <w:t>9</w:t>
      </w:r>
      <w:r w:rsidRPr="00585C2D">
        <w:rPr>
          <w:rFonts w:eastAsia="Arial" w:cstheme="minorHAnsi"/>
          <w:i/>
          <w:spacing w:val="-3"/>
        </w:rPr>
        <w:t>9</w:t>
      </w:r>
      <w:r w:rsidRPr="00585C2D">
        <w:rPr>
          <w:rFonts w:eastAsia="Arial" w:cstheme="minorHAnsi"/>
          <w:i/>
        </w:rPr>
        <w:t>5</w:t>
      </w:r>
      <w:r w:rsidRPr="00585C2D">
        <w:rPr>
          <w:rFonts w:eastAsia="Arial" w:cstheme="minorHAnsi"/>
          <w:i/>
          <w:spacing w:val="9"/>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4"/>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5"/>
        </w:rPr>
        <w:t xml:space="preserve"> </w:t>
      </w:r>
      <w:r w:rsidRPr="00585C2D">
        <w:rPr>
          <w:rFonts w:eastAsia="Arial" w:cstheme="minorHAnsi"/>
          <w:i/>
          <w:spacing w:val="-3"/>
        </w:rPr>
        <w:t>L</w:t>
      </w:r>
      <w:r w:rsidRPr="00585C2D">
        <w:rPr>
          <w:rFonts w:eastAsia="Arial" w:cstheme="minorHAnsi"/>
          <w:i/>
          <w:spacing w:val="2"/>
        </w:rPr>
        <w:t>o</w:t>
      </w:r>
      <w:r w:rsidRPr="00585C2D">
        <w:rPr>
          <w:rFonts w:eastAsia="Arial" w:cstheme="minorHAnsi"/>
          <w:i/>
        </w:rPr>
        <w:t>c</w:t>
      </w:r>
      <w:r w:rsidRPr="00585C2D">
        <w:rPr>
          <w:rFonts w:eastAsia="Arial" w:cstheme="minorHAnsi"/>
          <w:i/>
          <w:spacing w:val="2"/>
        </w:rPr>
        <w:t>a</w:t>
      </w:r>
      <w:r w:rsidRPr="00585C2D">
        <w:rPr>
          <w:rFonts w:eastAsia="Arial" w:cstheme="minorHAnsi"/>
          <w:i/>
        </w:rPr>
        <w:t>l</w:t>
      </w:r>
      <w:r w:rsidRPr="00585C2D">
        <w:rPr>
          <w:rFonts w:eastAsia="Arial" w:cstheme="minorHAnsi"/>
          <w:i/>
          <w:spacing w:val="1"/>
        </w:rPr>
        <w:t xml:space="preserve"> </w:t>
      </w:r>
      <w:r w:rsidRPr="00585C2D">
        <w:rPr>
          <w:rFonts w:eastAsia="Arial" w:cstheme="minorHAnsi"/>
          <w:i/>
          <w:spacing w:val="-4"/>
        </w:rPr>
        <w:t>G</w:t>
      </w:r>
      <w:r w:rsidRPr="00585C2D">
        <w:rPr>
          <w:rFonts w:eastAsia="Arial" w:cstheme="minorHAnsi"/>
          <w:i/>
          <w:spacing w:val="2"/>
        </w:rPr>
        <w:t>o</w:t>
      </w:r>
      <w:r w:rsidRPr="00585C2D">
        <w:rPr>
          <w:rFonts w:eastAsia="Arial" w:cstheme="minorHAnsi"/>
          <w:i/>
        </w:rPr>
        <w:t>v</w:t>
      </w:r>
      <w:r w:rsidRPr="00585C2D">
        <w:rPr>
          <w:rFonts w:eastAsia="Arial" w:cstheme="minorHAnsi"/>
          <w:i/>
          <w:spacing w:val="2"/>
        </w:rPr>
        <w:t>e</w:t>
      </w:r>
      <w:r w:rsidRPr="00585C2D">
        <w:rPr>
          <w:rFonts w:eastAsia="Arial" w:cstheme="minorHAnsi"/>
          <w:i/>
          <w:spacing w:val="-6"/>
        </w:rPr>
        <w:t>r</w:t>
      </w:r>
      <w:r w:rsidRPr="00585C2D">
        <w:rPr>
          <w:rFonts w:eastAsia="Arial" w:cstheme="minorHAnsi"/>
          <w:i/>
          <w:spacing w:val="2"/>
        </w:rPr>
        <w:t>n</w:t>
      </w:r>
      <w:r w:rsidRPr="00585C2D">
        <w:rPr>
          <w:rFonts w:eastAsia="Arial" w:cstheme="minorHAnsi"/>
          <w:i/>
          <w:spacing w:val="-2"/>
        </w:rPr>
        <w:t>m</w:t>
      </w:r>
      <w:r w:rsidRPr="00585C2D">
        <w:rPr>
          <w:rFonts w:eastAsia="Arial" w:cstheme="minorHAnsi"/>
          <w:i/>
          <w:spacing w:val="2"/>
        </w:rPr>
        <w:t>e</w:t>
      </w:r>
      <w:r w:rsidRPr="00585C2D">
        <w:rPr>
          <w:rFonts w:eastAsia="Arial" w:cstheme="minorHAnsi"/>
          <w:i/>
          <w:spacing w:val="-3"/>
        </w:rPr>
        <w:t>n</w:t>
      </w:r>
      <w:r w:rsidRPr="00585C2D">
        <w:rPr>
          <w:rFonts w:eastAsia="Arial" w:cstheme="minorHAnsi"/>
          <w:i/>
        </w:rPr>
        <w:t xml:space="preserve">t </w:t>
      </w:r>
      <w:r w:rsidRPr="00585C2D">
        <w:rPr>
          <w:rFonts w:eastAsia="Arial" w:cstheme="minorHAnsi"/>
          <w:i/>
          <w:spacing w:val="-2"/>
        </w:rPr>
        <w:t>(</w:t>
      </w:r>
      <w:r w:rsidRPr="00585C2D">
        <w:rPr>
          <w:rFonts w:eastAsia="Arial" w:cstheme="minorHAnsi"/>
          <w:i/>
          <w:spacing w:val="1"/>
        </w:rPr>
        <w:t>A</w:t>
      </w:r>
      <w:r w:rsidRPr="00585C2D">
        <w:rPr>
          <w:rFonts w:eastAsia="Arial" w:cstheme="minorHAnsi"/>
          <w:i/>
          <w:spacing w:val="2"/>
        </w:rPr>
        <w:t>d</w:t>
      </w:r>
      <w:r w:rsidRPr="00585C2D">
        <w:rPr>
          <w:rFonts w:eastAsia="Arial" w:cstheme="minorHAnsi"/>
          <w:i/>
          <w:spacing w:val="-2"/>
        </w:rPr>
        <w:t>m</w:t>
      </w:r>
      <w:r w:rsidRPr="00585C2D">
        <w:rPr>
          <w:rFonts w:eastAsia="Arial" w:cstheme="minorHAnsi"/>
          <w:i/>
          <w:spacing w:val="-1"/>
        </w:rPr>
        <w:t>i</w:t>
      </w:r>
      <w:r w:rsidRPr="00585C2D">
        <w:rPr>
          <w:rFonts w:eastAsia="Arial" w:cstheme="minorHAnsi"/>
          <w:i/>
          <w:spacing w:val="2"/>
        </w:rPr>
        <w:t>n</w:t>
      </w:r>
      <w:r w:rsidRPr="00585C2D">
        <w:rPr>
          <w:rFonts w:eastAsia="Arial" w:cstheme="minorHAnsi"/>
          <w:i/>
          <w:spacing w:val="-1"/>
        </w:rPr>
        <w:t>i</w:t>
      </w:r>
      <w:r w:rsidRPr="00585C2D">
        <w:rPr>
          <w:rFonts w:eastAsia="Arial" w:cstheme="minorHAnsi"/>
          <w:i/>
        </w:rPr>
        <w:t>s</w:t>
      </w:r>
      <w:r w:rsidRPr="00585C2D">
        <w:rPr>
          <w:rFonts w:eastAsia="Arial" w:cstheme="minorHAnsi"/>
          <w:i/>
          <w:spacing w:val="1"/>
        </w:rPr>
        <w:t>t</w:t>
      </w:r>
      <w:r w:rsidRPr="00585C2D">
        <w:rPr>
          <w:rFonts w:eastAsia="Arial" w:cstheme="minorHAnsi"/>
          <w:i/>
          <w:spacing w:val="-2"/>
        </w:rPr>
        <w:t>r</w:t>
      </w:r>
      <w:r w:rsidRPr="00585C2D">
        <w:rPr>
          <w:rFonts w:eastAsia="Arial" w:cstheme="minorHAnsi"/>
          <w:i/>
          <w:spacing w:val="-3"/>
        </w:rPr>
        <w:t>a</w:t>
      </w:r>
      <w:r w:rsidRPr="00585C2D">
        <w:rPr>
          <w:rFonts w:eastAsia="Arial" w:cstheme="minorHAnsi"/>
          <w:i/>
          <w:spacing w:val="1"/>
        </w:rPr>
        <w:t>t</w:t>
      </w:r>
      <w:r w:rsidRPr="00585C2D">
        <w:rPr>
          <w:rFonts w:eastAsia="Arial" w:cstheme="minorHAnsi"/>
          <w:i/>
          <w:spacing w:val="-1"/>
        </w:rPr>
        <w:t>i</w:t>
      </w:r>
      <w:r w:rsidRPr="00585C2D">
        <w:rPr>
          <w:rFonts w:eastAsia="Arial" w:cstheme="minorHAnsi"/>
          <w:i/>
          <w:spacing w:val="2"/>
        </w:rPr>
        <w:t>on</w:t>
      </w:r>
      <w:r w:rsidRPr="00585C2D">
        <w:rPr>
          <w:rFonts w:eastAsia="Arial" w:cstheme="minorHAnsi"/>
          <w:i/>
        </w:rPr>
        <w:t xml:space="preserve">) </w:t>
      </w:r>
      <w:r w:rsidRPr="00585C2D">
        <w:rPr>
          <w:rFonts w:eastAsia="Arial" w:cstheme="minorHAnsi"/>
          <w:i/>
          <w:spacing w:val="-1"/>
        </w:rPr>
        <w:t>R</w:t>
      </w:r>
      <w:r w:rsidRPr="00585C2D">
        <w:rPr>
          <w:rFonts w:eastAsia="Arial" w:cstheme="minorHAnsi"/>
          <w:i/>
          <w:spacing w:val="-3"/>
        </w:rPr>
        <w:t>e</w:t>
      </w:r>
      <w:r w:rsidRPr="00585C2D">
        <w:rPr>
          <w:rFonts w:eastAsia="Arial" w:cstheme="minorHAnsi"/>
          <w:i/>
          <w:spacing w:val="2"/>
        </w:rPr>
        <w:t>gu</w:t>
      </w:r>
      <w:r w:rsidRPr="00585C2D">
        <w:rPr>
          <w:rFonts w:eastAsia="Arial" w:cstheme="minorHAnsi"/>
          <w:i/>
          <w:spacing w:val="-1"/>
        </w:rPr>
        <w:t>l</w:t>
      </w:r>
      <w:r w:rsidRPr="00585C2D">
        <w:rPr>
          <w:rFonts w:eastAsia="Arial" w:cstheme="minorHAnsi"/>
          <w:i/>
          <w:spacing w:val="-3"/>
        </w:rPr>
        <w:t>a</w:t>
      </w:r>
      <w:r w:rsidRPr="00585C2D">
        <w:rPr>
          <w:rFonts w:eastAsia="Arial" w:cstheme="minorHAnsi"/>
          <w:i/>
          <w:spacing w:val="1"/>
        </w:rPr>
        <w:t>t</w:t>
      </w:r>
      <w:r w:rsidRPr="00585C2D">
        <w:rPr>
          <w:rFonts w:eastAsia="Arial" w:cstheme="minorHAnsi"/>
          <w:i/>
          <w:spacing w:val="-1"/>
        </w:rPr>
        <w:t>i</w:t>
      </w:r>
      <w:r w:rsidRPr="00585C2D">
        <w:rPr>
          <w:rFonts w:eastAsia="Arial" w:cstheme="minorHAnsi"/>
          <w:i/>
          <w:spacing w:val="-3"/>
        </w:rPr>
        <w:t>o</w:t>
      </w:r>
      <w:r w:rsidRPr="00585C2D">
        <w:rPr>
          <w:rFonts w:eastAsia="Arial" w:cstheme="minorHAnsi"/>
          <w:i/>
          <w:spacing w:val="2"/>
        </w:rPr>
        <w:t>n</w:t>
      </w:r>
      <w:r w:rsidRPr="00585C2D">
        <w:rPr>
          <w:rFonts w:eastAsia="Arial" w:cstheme="minorHAnsi"/>
          <w:i/>
        </w:rPr>
        <w:t>s</w:t>
      </w:r>
      <w:r w:rsidRPr="00585C2D">
        <w:rPr>
          <w:rFonts w:eastAsia="Arial" w:cstheme="minorHAnsi"/>
          <w:i/>
          <w:spacing w:val="1"/>
        </w:rPr>
        <w:t xml:space="preserve"> </w:t>
      </w:r>
      <w:r w:rsidRPr="00585C2D">
        <w:rPr>
          <w:rFonts w:eastAsia="Arial" w:cstheme="minorHAnsi"/>
          <w:i/>
          <w:spacing w:val="2"/>
        </w:rPr>
        <w:t>1</w:t>
      </w:r>
      <w:r w:rsidRPr="00585C2D">
        <w:rPr>
          <w:rFonts w:eastAsia="Arial" w:cstheme="minorHAnsi"/>
          <w:i/>
          <w:spacing w:val="-3"/>
        </w:rPr>
        <w:t>9</w:t>
      </w:r>
      <w:r w:rsidRPr="00585C2D">
        <w:rPr>
          <w:rFonts w:eastAsia="Arial" w:cstheme="minorHAnsi"/>
          <w:i/>
          <w:spacing w:val="2"/>
        </w:rPr>
        <w:t>9</w:t>
      </w:r>
      <w:r w:rsidRPr="00585C2D">
        <w:rPr>
          <w:rFonts w:eastAsia="Arial" w:cstheme="minorHAnsi"/>
          <w:i/>
          <w:spacing w:val="3"/>
        </w:rPr>
        <w:t>6</w:t>
      </w:r>
      <w:r w:rsidRPr="00585C2D">
        <w:rPr>
          <w:rFonts w:eastAsia="Arial" w:cstheme="minorHAnsi"/>
        </w:rPr>
        <w:t>,</w:t>
      </w:r>
      <w:r w:rsidRPr="00585C2D">
        <w:rPr>
          <w:rFonts w:eastAsia="Arial" w:cstheme="minorHAnsi"/>
          <w:spacing w:val="7"/>
        </w:rPr>
        <w:t xml:space="preserve"> </w:t>
      </w:r>
      <w:r w:rsidRPr="00585C2D">
        <w:rPr>
          <w:rFonts w:eastAsia="Arial" w:cstheme="minorHAnsi"/>
          <w:spacing w:val="-1"/>
        </w:rPr>
        <w:t>wi</w:t>
      </w:r>
      <w:r w:rsidRPr="00585C2D">
        <w:rPr>
          <w:rFonts w:eastAsia="Arial" w:cstheme="minorHAnsi"/>
          <w:spacing w:val="-4"/>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n</w:t>
      </w:r>
      <w:r w:rsidRPr="00585C2D">
        <w:rPr>
          <w:rFonts w:eastAsia="Arial" w:cstheme="minorHAnsi"/>
          <w:spacing w:val="3"/>
        </w:rPr>
        <w:t xml:space="preserve"> </w:t>
      </w:r>
      <w:r w:rsidRPr="00585C2D">
        <w:rPr>
          <w:rFonts w:eastAsia="Arial" w:cstheme="minorHAnsi"/>
        </w:rPr>
        <w:t>a</w:t>
      </w:r>
      <w:r w:rsidRPr="00585C2D">
        <w:rPr>
          <w:rFonts w:eastAsia="Arial" w:cstheme="minorHAnsi"/>
          <w:spacing w:val="3"/>
        </w:rPr>
        <w:t xml:space="preserve"> </w:t>
      </w:r>
      <w:r w:rsidRPr="00585C2D">
        <w:rPr>
          <w:rFonts w:eastAsia="Arial" w:cstheme="minorHAnsi"/>
          <w:spacing w:val="-3"/>
        </w:rPr>
        <w:t>p</w:t>
      </w:r>
      <w:r w:rsidRPr="00585C2D">
        <w:rPr>
          <w:rFonts w:eastAsia="Arial" w:cstheme="minorHAnsi"/>
          <w:spacing w:val="2"/>
        </w:rPr>
        <w:t>e</w:t>
      </w:r>
      <w:r w:rsidRPr="00585C2D">
        <w:rPr>
          <w:rFonts w:eastAsia="Arial" w:cstheme="minorHAnsi"/>
          <w:spacing w:val="-2"/>
        </w:rPr>
        <w:t>r</w:t>
      </w:r>
      <w:r w:rsidRPr="00585C2D">
        <w:rPr>
          <w:rFonts w:eastAsia="Arial" w:cstheme="minorHAnsi"/>
          <w:spacing w:val="-1"/>
        </w:rPr>
        <w:t>i</w:t>
      </w:r>
      <w:r w:rsidRPr="00585C2D">
        <w:rPr>
          <w:rFonts w:eastAsia="Arial" w:cstheme="minorHAnsi"/>
          <w:spacing w:val="-3"/>
        </w:rPr>
        <w:t>o</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1"/>
        </w:rPr>
        <w:t>w</w:t>
      </w:r>
      <w:r w:rsidRPr="00585C2D">
        <w:rPr>
          <w:rFonts w:eastAsia="Arial" w:cstheme="minorHAnsi"/>
          <w:spacing w:val="2"/>
        </w:rPr>
        <w:t>e</w:t>
      </w:r>
      <w:r w:rsidRPr="00585C2D">
        <w:rPr>
          <w:rFonts w:eastAsia="Arial" w:cstheme="minorHAnsi"/>
          <w:spacing w:val="-1"/>
        </w:rPr>
        <w:t>l</w:t>
      </w:r>
      <w:r w:rsidRPr="00585C2D">
        <w:rPr>
          <w:rFonts w:eastAsia="Arial" w:cstheme="minorHAnsi"/>
          <w:spacing w:val="-5"/>
        </w:rPr>
        <w:t>v</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2"/>
        </w:rPr>
        <w:t>m</w:t>
      </w:r>
      <w:r w:rsidRPr="00585C2D">
        <w:rPr>
          <w:rFonts w:eastAsia="Arial" w:cstheme="minorHAnsi"/>
          <w:spacing w:val="-3"/>
        </w:rPr>
        <w:t>o</w:t>
      </w:r>
      <w:r w:rsidRPr="00585C2D">
        <w:rPr>
          <w:rFonts w:eastAsia="Arial" w:cstheme="minorHAnsi"/>
          <w:spacing w:val="2"/>
        </w:rPr>
        <w:t>n</w:t>
      </w:r>
      <w:r w:rsidRPr="00585C2D">
        <w:rPr>
          <w:rFonts w:eastAsia="Arial" w:cstheme="minorHAnsi"/>
          <w:spacing w:val="-4"/>
        </w:rPr>
        <w:t>t</w:t>
      </w:r>
      <w:r w:rsidRPr="00585C2D">
        <w:rPr>
          <w:rFonts w:eastAsia="Arial" w:cstheme="minorHAnsi"/>
          <w:spacing w:val="2"/>
        </w:rPr>
        <w:t>h</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b</w:t>
      </w:r>
      <w:r w:rsidRPr="00585C2D">
        <w:rPr>
          <w:rFonts w:eastAsia="Arial" w:cstheme="minorHAnsi"/>
          <w:spacing w:val="-3"/>
        </w:rPr>
        <w:t>e</w:t>
      </w:r>
      <w:r w:rsidRPr="00585C2D">
        <w:rPr>
          <w:rFonts w:eastAsia="Arial" w:cstheme="minorHAnsi"/>
          <w:spacing w:val="2"/>
        </w:rPr>
        <w:t>g</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d</w:t>
      </w:r>
      <w:r w:rsidRPr="00585C2D">
        <w:rPr>
          <w:rFonts w:eastAsia="Arial" w:cstheme="minorHAnsi"/>
          <w:spacing w:val="2"/>
        </w:rPr>
        <w:t>a</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2"/>
        </w:rPr>
        <w:t>o</w:t>
      </w:r>
      <w:r w:rsidRPr="00585C2D">
        <w:rPr>
          <w:rFonts w:eastAsia="Arial" w:cstheme="minorHAnsi"/>
        </w:rPr>
        <w:t xml:space="preserve">n </w:t>
      </w:r>
      <w:r w:rsidRPr="00585C2D">
        <w:rPr>
          <w:rFonts w:eastAsia="Arial" w:cstheme="minorHAnsi"/>
          <w:spacing w:val="-1"/>
        </w:rPr>
        <w:t>w</w:t>
      </w:r>
      <w:r w:rsidRPr="00585C2D">
        <w:rPr>
          <w:rFonts w:eastAsia="Arial" w:cstheme="minorHAnsi"/>
          <w:spacing w:val="2"/>
        </w:rPr>
        <w:t>h</w:t>
      </w:r>
      <w:r w:rsidRPr="00585C2D">
        <w:rPr>
          <w:rFonts w:eastAsia="Arial" w:cstheme="minorHAnsi"/>
          <w:spacing w:val="-1"/>
        </w:rPr>
        <w:t>i</w:t>
      </w:r>
      <w:r w:rsidRPr="00585C2D">
        <w:rPr>
          <w:rFonts w:eastAsia="Arial" w:cstheme="minorHAnsi"/>
        </w:rPr>
        <w:t>ch</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 xml:space="preserve">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3"/>
        </w:rPr>
        <w:t>e</w:t>
      </w:r>
      <w:r w:rsidRPr="00585C2D">
        <w:rPr>
          <w:rFonts w:eastAsia="Arial" w:cstheme="minorHAnsi"/>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4"/>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1"/>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3"/>
        </w:rPr>
        <w:t>e</w:t>
      </w:r>
      <w:r w:rsidRPr="00585C2D">
        <w:rPr>
          <w:rFonts w:eastAsia="Arial" w:cstheme="minorHAnsi"/>
          <w:spacing w:val="2"/>
        </w:rPr>
        <w:t>n</w:t>
      </w:r>
      <w:r w:rsidRPr="00585C2D">
        <w:rPr>
          <w:rFonts w:eastAsia="Arial" w:cstheme="minorHAnsi"/>
        </w:rPr>
        <w:t>c</w:t>
      </w:r>
      <w:r w:rsidRPr="00585C2D">
        <w:rPr>
          <w:rFonts w:eastAsia="Arial" w:cstheme="minorHAnsi"/>
          <w:spacing w:val="2"/>
        </w:rPr>
        <w:t>e</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1"/>
        </w:rPr>
        <w:t>t</w:t>
      </w:r>
      <w:r w:rsidRPr="00585C2D">
        <w:rPr>
          <w:rFonts w:eastAsia="Arial" w:cstheme="minorHAnsi"/>
          <w:spacing w:val="2"/>
        </w:rPr>
        <w:t>e</w:t>
      </w:r>
      <w:r w:rsidRPr="00585C2D">
        <w:rPr>
          <w:rFonts w:eastAsia="Arial" w:cstheme="minorHAnsi"/>
          <w:spacing w:val="-2"/>
        </w:rPr>
        <w:t>r</w:t>
      </w:r>
      <w:r w:rsidRPr="00585C2D">
        <w:rPr>
          <w:rFonts w:eastAsia="Arial" w:cstheme="minorHAnsi"/>
        </w:rPr>
        <w:t>m</w:t>
      </w:r>
      <w:r w:rsidRPr="00585C2D">
        <w:rPr>
          <w:rFonts w:eastAsia="Arial" w:cstheme="minorHAnsi"/>
          <w:spacing w:val="-5"/>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spacing w:val="1"/>
        </w:rPr>
        <w:t>f</w:t>
      </w:r>
      <w:r w:rsidRPr="00585C2D">
        <w:rPr>
          <w:rFonts w:eastAsia="Arial" w:cstheme="minorHAnsi"/>
          <w:spacing w:val="6"/>
        </w:rPr>
        <w:t>f</w:t>
      </w:r>
      <w:r w:rsidRPr="00585C2D">
        <w:rPr>
          <w:rFonts w:eastAsia="Arial" w:cstheme="minorHAnsi"/>
          <w:spacing w:val="-1"/>
        </w:rPr>
        <w:t>i</w:t>
      </w:r>
      <w:r w:rsidRPr="00585C2D">
        <w:rPr>
          <w:rFonts w:eastAsia="Arial" w:cstheme="minorHAnsi"/>
          <w:spacing w:val="-5"/>
        </w:rPr>
        <w:t>c</w:t>
      </w:r>
      <w:r w:rsidRPr="00585C2D">
        <w:rPr>
          <w:rFonts w:eastAsia="Arial" w:cstheme="minorHAnsi"/>
          <w:spacing w:val="6"/>
        </w:rPr>
        <w:t>e</w:t>
      </w:r>
      <w:r w:rsidRPr="00585C2D">
        <w:rPr>
          <w:rFonts w:eastAsia="Arial" w:cstheme="minorHAnsi"/>
        </w:rPr>
        <w:t>.</w:t>
      </w:r>
    </w:p>
    <w:p w14:paraId="4F07B2C0" w14:textId="77777777" w:rsidR="00FC0CF1" w:rsidRPr="00585C2D" w:rsidRDefault="00FC0CF1" w:rsidP="00FC0CF1">
      <w:pPr>
        <w:spacing w:after="120" w:line="240" w:lineRule="auto"/>
        <w:ind w:left="850" w:hanging="425"/>
        <w:rPr>
          <w:rFonts w:eastAsia="Arial" w:cstheme="minorHAnsi"/>
        </w:rPr>
      </w:pPr>
      <w:r w:rsidRPr="00585C2D">
        <w:rPr>
          <w:rFonts w:eastAsia="Arial" w:cstheme="minorHAnsi"/>
          <w:spacing w:val="2"/>
        </w:rPr>
        <w:t>b</w:t>
      </w:r>
      <w:r>
        <w:rPr>
          <w:rFonts w:eastAsia="Arial" w:cstheme="minorHAnsi"/>
        </w:rPr>
        <w:t>.</w:t>
      </w:r>
      <w:r>
        <w:rPr>
          <w:rFonts w:eastAsia="Arial" w:cstheme="minorHAnsi"/>
        </w:rPr>
        <w:tab/>
      </w:r>
      <w:r w:rsidRPr="00585C2D">
        <w:rPr>
          <w:rFonts w:eastAsia="Arial" w:cstheme="minorHAnsi"/>
        </w:rPr>
        <w:t>T</w:t>
      </w:r>
      <w:r w:rsidRPr="00585C2D">
        <w:rPr>
          <w:rFonts w:eastAsia="Arial" w:cstheme="minorHAnsi"/>
          <w:spacing w:val="1"/>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6"/>
        </w:rPr>
        <w:t>m</w:t>
      </w:r>
      <w:r w:rsidRPr="00585C2D">
        <w:rPr>
          <w:rFonts w:eastAsia="Arial" w:cstheme="minorHAnsi"/>
          <w:spacing w:val="2"/>
        </w:rPr>
        <w:t>a</w:t>
      </w:r>
      <w:r w:rsidRPr="00585C2D">
        <w:rPr>
          <w:rFonts w:eastAsia="Arial" w:cstheme="minorHAnsi"/>
          <w:spacing w:val="-3"/>
        </w:rPr>
        <w:t>n</w:t>
      </w:r>
      <w:r w:rsidRPr="00585C2D">
        <w:rPr>
          <w:rFonts w:eastAsia="Arial" w:cstheme="minorHAnsi"/>
          <w:spacing w:val="2"/>
        </w:rPr>
        <w:t>da</w:t>
      </w:r>
      <w:r w:rsidRPr="00585C2D">
        <w:rPr>
          <w:rFonts w:eastAsia="Arial" w:cstheme="minorHAnsi"/>
          <w:spacing w:val="-4"/>
        </w:rPr>
        <w:t>t</w:t>
      </w:r>
      <w:r w:rsidRPr="00585C2D">
        <w:rPr>
          <w:rFonts w:eastAsia="Arial" w:cstheme="minorHAnsi"/>
          <w:spacing w:val="2"/>
        </w:rPr>
        <w:t>o</w:t>
      </w:r>
      <w:r w:rsidRPr="00585C2D">
        <w:rPr>
          <w:rFonts w:eastAsia="Arial" w:cstheme="minorHAnsi"/>
          <w:spacing w:val="-2"/>
        </w:rPr>
        <w:t>r</w:t>
      </w:r>
      <w:r w:rsidRPr="00585C2D">
        <w:rPr>
          <w:rFonts w:eastAsia="Arial" w:cstheme="minorHAnsi"/>
        </w:rPr>
        <w:t>y</w:t>
      </w:r>
      <w:r w:rsidRPr="00585C2D">
        <w:rPr>
          <w:rFonts w:eastAsia="Arial" w:cstheme="minorHAnsi"/>
          <w:spacing w:val="1"/>
        </w:rPr>
        <w:t xml:space="preserve"> t</w:t>
      </w:r>
      <w:r w:rsidRPr="00585C2D">
        <w:rPr>
          <w:rFonts w:eastAsia="Arial" w:cstheme="minorHAnsi"/>
          <w:spacing w:val="-6"/>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5"/>
        </w:rPr>
        <w:t>v</w:t>
      </w:r>
      <w:r w:rsidRPr="00585C2D">
        <w:rPr>
          <w:rFonts w:eastAsia="Arial" w:cstheme="minorHAnsi"/>
          <w:spacing w:val="2"/>
        </w:rPr>
        <w:t>a</w:t>
      </w:r>
      <w:r w:rsidRPr="00585C2D">
        <w:rPr>
          <w:rFonts w:eastAsia="Arial" w:cstheme="minorHAnsi"/>
          <w:spacing w:val="-1"/>
        </w:rPr>
        <w:t>li</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6"/>
        </w:rPr>
        <w:t>f</w:t>
      </w:r>
      <w:r w:rsidRPr="00585C2D">
        <w:rPr>
          <w:rFonts w:eastAsia="Arial" w:cstheme="minorHAnsi"/>
          <w:spacing w:val="-1"/>
        </w:rPr>
        <w:t>i</w:t>
      </w:r>
      <w:r w:rsidRPr="00585C2D">
        <w:rPr>
          <w:rFonts w:eastAsia="Arial" w:cstheme="minorHAnsi"/>
          <w:spacing w:val="-5"/>
        </w:rPr>
        <w:t>v</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5"/>
        </w:rPr>
        <w:t>y</w:t>
      </w:r>
      <w:r w:rsidRPr="00585C2D">
        <w:rPr>
          <w:rFonts w:eastAsia="Arial" w:cstheme="minorHAnsi"/>
          <w:spacing w:val="2"/>
        </w:rPr>
        <w:t>ea</w:t>
      </w:r>
      <w:r w:rsidRPr="00585C2D">
        <w:rPr>
          <w:rFonts w:eastAsia="Arial" w:cstheme="minorHAnsi"/>
          <w:spacing w:val="-2"/>
        </w:rPr>
        <w:t>r</w:t>
      </w:r>
      <w:r w:rsidRPr="00585C2D">
        <w:rPr>
          <w:rFonts w:eastAsia="Arial" w:cstheme="minorHAnsi"/>
        </w:rPr>
        <w:t>s.</w:t>
      </w:r>
    </w:p>
    <w:p w14:paraId="75615700" w14:textId="77777777" w:rsidR="00FC0CF1" w:rsidRPr="00585C2D" w:rsidRDefault="00FC0CF1" w:rsidP="00FC0CF1">
      <w:pPr>
        <w:spacing w:after="60" w:line="240" w:lineRule="auto"/>
        <w:ind w:left="850" w:hanging="425"/>
        <w:rPr>
          <w:rFonts w:eastAsia="Arial" w:cstheme="minorHAnsi"/>
        </w:rPr>
      </w:pPr>
      <w:r>
        <w:rPr>
          <w:rFonts w:eastAsia="Arial" w:cstheme="minorHAnsi"/>
        </w:rPr>
        <w:t>c.</w:t>
      </w:r>
      <w:r>
        <w:rPr>
          <w:rFonts w:eastAsia="Arial" w:cstheme="minorHAnsi"/>
        </w:rPr>
        <w:tab/>
      </w:r>
      <w:r w:rsidRPr="00585C2D">
        <w:rPr>
          <w:rFonts w:eastAsia="Arial" w:cstheme="minorHAnsi"/>
        </w:rPr>
        <w:t>T</w:t>
      </w:r>
      <w:r w:rsidRPr="00585C2D">
        <w:rPr>
          <w:rFonts w:eastAsia="Arial" w:cstheme="minorHAnsi"/>
          <w:spacing w:val="1"/>
        </w:rPr>
        <w:t>h</w:t>
      </w:r>
      <w:r w:rsidRPr="00585C2D">
        <w:rPr>
          <w:rFonts w:eastAsia="Arial" w:cstheme="minorHAnsi"/>
        </w:rPr>
        <w:t>e</w:t>
      </w:r>
      <w:r w:rsidRPr="00585C2D">
        <w:rPr>
          <w:rFonts w:eastAsia="Arial" w:cstheme="minorHAnsi"/>
          <w:spacing w:val="3"/>
        </w:rPr>
        <w:t xml:space="preserve"> </w:t>
      </w:r>
      <w:r w:rsidRPr="00585C2D">
        <w:rPr>
          <w:rFonts w:eastAsia="Arial" w:cstheme="minorHAnsi"/>
          <w:i/>
          <w:spacing w:val="-6"/>
        </w:rPr>
        <w:t>C</w:t>
      </w:r>
      <w:r w:rsidRPr="00585C2D">
        <w:rPr>
          <w:rFonts w:eastAsia="Arial" w:cstheme="minorHAnsi"/>
          <w:i/>
          <w:spacing w:val="2"/>
        </w:rPr>
        <w:t>o</w:t>
      </w:r>
      <w:r w:rsidRPr="00585C2D">
        <w:rPr>
          <w:rFonts w:eastAsia="Arial" w:cstheme="minorHAnsi"/>
          <w:i/>
          <w:spacing w:val="-3"/>
        </w:rPr>
        <w:t>u</w:t>
      </w:r>
      <w:r w:rsidRPr="00585C2D">
        <w:rPr>
          <w:rFonts w:eastAsia="Arial" w:cstheme="minorHAnsi"/>
          <w:i/>
          <w:spacing w:val="2"/>
        </w:rPr>
        <w:t>n</w:t>
      </w:r>
      <w:r w:rsidRPr="00585C2D">
        <w:rPr>
          <w:rFonts w:eastAsia="Arial" w:cstheme="minorHAnsi"/>
          <w:i/>
        </w:rPr>
        <w:t>c</w:t>
      </w:r>
      <w:r w:rsidRPr="00585C2D">
        <w:rPr>
          <w:rFonts w:eastAsia="Arial" w:cstheme="minorHAnsi"/>
          <w:i/>
          <w:spacing w:val="-1"/>
        </w:rPr>
        <w:t>i</w:t>
      </w:r>
      <w:r w:rsidRPr="00585C2D">
        <w:rPr>
          <w:rFonts w:eastAsia="Arial" w:cstheme="minorHAnsi"/>
          <w:i/>
        </w:rPr>
        <w:t xml:space="preserve">l </w:t>
      </w:r>
      <w:r w:rsidRPr="00585C2D">
        <w:rPr>
          <w:rFonts w:eastAsia="Arial" w:cstheme="minorHAnsi"/>
          <w:i/>
          <w:spacing w:val="-2"/>
        </w:rPr>
        <w:t>M</w:t>
      </w:r>
      <w:r w:rsidRPr="00585C2D">
        <w:rPr>
          <w:rFonts w:eastAsia="Arial" w:cstheme="minorHAnsi"/>
          <w:i/>
          <w:spacing w:val="2"/>
        </w:rPr>
        <w:t>e</w:t>
      </w:r>
      <w:r w:rsidRPr="00585C2D">
        <w:rPr>
          <w:rFonts w:eastAsia="Arial" w:cstheme="minorHAnsi"/>
          <w:i/>
          <w:spacing w:val="-2"/>
        </w:rPr>
        <w:t>m</w:t>
      </w:r>
      <w:r w:rsidRPr="00585C2D">
        <w:rPr>
          <w:rFonts w:eastAsia="Arial" w:cstheme="minorHAnsi"/>
          <w:i/>
          <w:spacing w:val="-3"/>
        </w:rPr>
        <w:t>b</w:t>
      </w:r>
      <w:r w:rsidRPr="00585C2D">
        <w:rPr>
          <w:rFonts w:eastAsia="Arial" w:cstheme="minorHAnsi"/>
          <w:i/>
          <w:spacing w:val="2"/>
        </w:rPr>
        <w:t>e</w:t>
      </w:r>
      <w:r w:rsidRPr="00585C2D">
        <w:rPr>
          <w:rFonts w:eastAsia="Arial" w:cstheme="minorHAnsi"/>
          <w:i/>
        </w:rPr>
        <w:t xml:space="preserve">r </w:t>
      </w:r>
      <w:r w:rsidRPr="00585C2D">
        <w:rPr>
          <w:rFonts w:eastAsia="Arial" w:cstheme="minorHAnsi"/>
          <w:i/>
          <w:spacing w:val="1"/>
        </w:rPr>
        <w:t>E</w:t>
      </w:r>
      <w:r w:rsidRPr="00585C2D">
        <w:rPr>
          <w:rFonts w:eastAsia="Arial" w:cstheme="minorHAnsi"/>
          <w:i/>
          <w:spacing w:val="-5"/>
        </w:rPr>
        <w:t>s</w:t>
      </w:r>
      <w:r w:rsidRPr="00585C2D">
        <w:rPr>
          <w:rFonts w:eastAsia="Arial" w:cstheme="minorHAnsi"/>
          <w:i/>
        </w:rPr>
        <w:t>s</w:t>
      </w:r>
      <w:r w:rsidRPr="00585C2D">
        <w:rPr>
          <w:rFonts w:eastAsia="Arial" w:cstheme="minorHAnsi"/>
          <w:i/>
          <w:spacing w:val="-3"/>
        </w:rPr>
        <w:t>e</w:t>
      </w:r>
      <w:r w:rsidRPr="00585C2D">
        <w:rPr>
          <w:rFonts w:eastAsia="Arial" w:cstheme="minorHAnsi"/>
          <w:i/>
          <w:spacing w:val="2"/>
        </w:rPr>
        <w:t>n</w:t>
      </w:r>
      <w:r w:rsidRPr="00585C2D">
        <w:rPr>
          <w:rFonts w:eastAsia="Arial" w:cstheme="minorHAnsi"/>
          <w:i/>
          <w:spacing w:val="1"/>
        </w:rPr>
        <w:t>t</w:t>
      </w:r>
      <w:r w:rsidRPr="00585C2D">
        <w:rPr>
          <w:rFonts w:eastAsia="Arial" w:cstheme="minorHAnsi"/>
          <w:i/>
          <w:spacing w:val="-1"/>
        </w:rPr>
        <w:t>i</w:t>
      </w:r>
      <w:r w:rsidRPr="00585C2D">
        <w:rPr>
          <w:rFonts w:eastAsia="Arial" w:cstheme="minorHAnsi"/>
          <w:i/>
          <w:spacing w:val="2"/>
        </w:rPr>
        <w:t>a</w:t>
      </w:r>
      <w:r w:rsidRPr="00585C2D">
        <w:rPr>
          <w:rFonts w:eastAsia="Arial" w:cstheme="minorHAnsi"/>
          <w:i/>
          <w:spacing w:val="-1"/>
        </w:rPr>
        <w:t>l</w:t>
      </w:r>
      <w:r w:rsidRPr="00585C2D">
        <w:rPr>
          <w:rFonts w:eastAsia="Arial" w:cstheme="minorHAnsi"/>
          <w:i/>
          <w:spacing w:val="4"/>
        </w:rPr>
        <w:t>s</w:t>
      </w:r>
      <w:r w:rsidRPr="00585C2D">
        <w:rPr>
          <w:rFonts w:eastAsia="Arial" w:cstheme="minorHAnsi"/>
        </w:rPr>
        <w:t>,</w:t>
      </w:r>
      <w:r w:rsidRPr="00585C2D">
        <w:rPr>
          <w:rFonts w:eastAsia="Arial" w:cstheme="minorHAnsi"/>
          <w:spacing w:val="-3"/>
        </w:rPr>
        <w:t xml:space="preserve"> </w:t>
      </w:r>
      <w:r w:rsidRPr="00585C2D">
        <w:rPr>
          <w:rFonts w:eastAsia="Arial" w:cstheme="minorHAnsi"/>
        </w:rPr>
        <w:t>c</w:t>
      </w:r>
      <w:r w:rsidRPr="00585C2D">
        <w:rPr>
          <w:rFonts w:eastAsia="Arial" w:cstheme="minorHAnsi"/>
          <w:spacing w:val="-3"/>
        </w:rPr>
        <w:t>o</w:t>
      </w:r>
      <w:r w:rsidRPr="00585C2D">
        <w:rPr>
          <w:rFonts w:eastAsia="Arial" w:cstheme="minorHAnsi"/>
          <w:spacing w:val="2"/>
        </w:rPr>
        <w:t>n</w:t>
      </w:r>
      <w:r w:rsidRPr="00585C2D">
        <w:rPr>
          <w:rFonts w:eastAsia="Arial" w:cstheme="minorHAnsi"/>
        </w:rPr>
        <w:t>s</w:t>
      </w:r>
      <w:r w:rsidRPr="00585C2D">
        <w:rPr>
          <w:rFonts w:eastAsia="Arial" w:cstheme="minorHAnsi"/>
          <w:spacing w:val="-1"/>
        </w:rPr>
        <w:t>i</w:t>
      </w:r>
      <w:r w:rsidRPr="00585C2D">
        <w:rPr>
          <w:rFonts w:eastAsia="Arial" w:cstheme="minorHAnsi"/>
        </w:rPr>
        <w:t>s</w:t>
      </w:r>
      <w:r w:rsidRPr="00585C2D">
        <w:rPr>
          <w:rFonts w:eastAsia="Arial" w:cstheme="minorHAnsi"/>
          <w:spacing w:val="1"/>
        </w:rPr>
        <w:t>t</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f</w:t>
      </w:r>
      <w:r w:rsidRPr="00585C2D">
        <w:rPr>
          <w:rFonts w:eastAsia="Arial" w:cstheme="minorHAnsi"/>
          <w:spacing w:val="-3"/>
        </w:rPr>
        <w:t>o</w:t>
      </w:r>
      <w:r w:rsidRPr="00585C2D">
        <w:rPr>
          <w:rFonts w:eastAsia="Arial" w:cstheme="minorHAnsi"/>
          <w:spacing w:val="-1"/>
        </w:rPr>
        <w:t>ll</w:t>
      </w:r>
      <w:r w:rsidRPr="00585C2D">
        <w:rPr>
          <w:rFonts w:eastAsia="Arial" w:cstheme="minorHAnsi"/>
          <w:spacing w:val="2"/>
        </w:rPr>
        <w:t>o</w:t>
      </w:r>
      <w:r w:rsidRPr="00585C2D">
        <w:rPr>
          <w:rFonts w:eastAsia="Arial" w:cstheme="minorHAnsi"/>
          <w:spacing w:val="-1"/>
        </w:rPr>
        <w:t>wi</w:t>
      </w:r>
      <w:r w:rsidRPr="00585C2D">
        <w:rPr>
          <w:rFonts w:eastAsia="Arial" w:cstheme="minorHAnsi"/>
          <w:spacing w:val="2"/>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6"/>
        </w:rPr>
        <w:t>m</w:t>
      </w:r>
      <w:r w:rsidRPr="00585C2D">
        <w:rPr>
          <w:rFonts w:eastAsia="Arial" w:cstheme="minorHAnsi"/>
          <w:spacing w:val="2"/>
        </w:rPr>
        <w:t>o</w:t>
      </w:r>
      <w:r w:rsidRPr="00585C2D">
        <w:rPr>
          <w:rFonts w:eastAsia="Arial" w:cstheme="minorHAnsi"/>
          <w:spacing w:val="-3"/>
        </w:rPr>
        <w:t>d</w:t>
      </w:r>
      <w:r w:rsidRPr="00585C2D">
        <w:rPr>
          <w:rFonts w:eastAsia="Arial" w:cstheme="minorHAnsi"/>
          <w:spacing w:val="2"/>
        </w:rPr>
        <w:t>u</w:t>
      </w:r>
      <w:r w:rsidRPr="00585C2D">
        <w:rPr>
          <w:rFonts w:eastAsia="Arial" w:cstheme="minorHAnsi"/>
          <w:spacing w:val="-1"/>
        </w:rPr>
        <w:t>l</w:t>
      </w:r>
      <w:r w:rsidRPr="00585C2D">
        <w:rPr>
          <w:rFonts w:eastAsia="Arial" w:cstheme="minorHAnsi"/>
          <w:spacing w:val="2"/>
        </w:rPr>
        <w:t>e</w:t>
      </w:r>
      <w:r w:rsidRPr="00585C2D">
        <w:rPr>
          <w:rFonts w:eastAsia="Arial" w:cstheme="minorHAnsi"/>
        </w:rPr>
        <w:t>s:</w:t>
      </w:r>
    </w:p>
    <w:p w14:paraId="32538061" w14:textId="77777777" w:rsidR="00FC0CF1" w:rsidRPr="00670C40" w:rsidRDefault="00FC0CF1" w:rsidP="002A3889">
      <w:pPr>
        <w:pStyle w:val="ListParagraph"/>
        <w:numPr>
          <w:ilvl w:val="0"/>
          <w:numId w:val="431"/>
        </w:numPr>
        <w:tabs>
          <w:tab w:val="left" w:pos="2180"/>
        </w:tabs>
        <w:spacing w:before="16" w:after="0" w:line="240" w:lineRule="auto"/>
        <w:rPr>
          <w:rFonts w:eastAsia="Arial" w:cstheme="minorHAnsi"/>
        </w:rPr>
      </w:pPr>
      <w:r w:rsidRPr="00670C40">
        <w:rPr>
          <w:rFonts w:eastAsia="Arial" w:cstheme="minorHAnsi"/>
          <w:spacing w:val="-1"/>
        </w:rPr>
        <w:t>U</w:t>
      </w:r>
      <w:r w:rsidRPr="00670C40">
        <w:rPr>
          <w:rFonts w:eastAsia="Arial" w:cstheme="minorHAnsi"/>
          <w:spacing w:val="2"/>
        </w:rPr>
        <w:t>nde</w:t>
      </w:r>
      <w:r w:rsidRPr="00670C40">
        <w:rPr>
          <w:rFonts w:eastAsia="Arial" w:cstheme="minorHAnsi"/>
          <w:spacing w:val="-2"/>
        </w:rPr>
        <w:t>r</w:t>
      </w:r>
      <w:r w:rsidRPr="00670C40">
        <w:rPr>
          <w:rFonts w:eastAsia="Arial" w:cstheme="minorHAnsi"/>
          <w:spacing w:val="-5"/>
        </w:rPr>
        <w:t>s</w:t>
      </w:r>
      <w:r w:rsidRPr="00670C40">
        <w:rPr>
          <w:rFonts w:eastAsia="Arial" w:cstheme="minorHAnsi"/>
          <w:spacing w:val="1"/>
        </w:rPr>
        <w:t>t</w:t>
      </w:r>
      <w:r w:rsidRPr="00670C40">
        <w:rPr>
          <w:rFonts w:eastAsia="Arial" w:cstheme="minorHAnsi"/>
          <w:spacing w:val="-3"/>
        </w:rPr>
        <w:t>a</w:t>
      </w:r>
      <w:r w:rsidRPr="00670C40">
        <w:rPr>
          <w:rFonts w:eastAsia="Arial" w:cstheme="minorHAnsi"/>
          <w:spacing w:val="2"/>
        </w:rPr>
        <w:t>nd</w:t>
      </w:r>
      <w:r w:rsidRPr="00670C40">
        <w:rPr>
          <w:rFonts w:eastAsia="Arial" w:cstheme="minorHAnsi"/>
          <w:spacing w:val="-1"/>
        </w:rPr>
        <w:t>i</w:t>
      </w:r>
      <w:r w:rsidRPr="00670C40">
        <w:rPr>
          <w:rFonts w:eastAsia="Arial" w:cstheme="minorHAnsi"/>
          <w:spacing w:val="-3"/>
        </w:rPr>
        <w:t>n</w:t>
      </w:r>
      <w:r w:rsidRPr="00670C40">
        <w:rPr>
          <w:rFonts w:eastAsia="Arial" w:cstheme="minorHAnsi"/>
        </w:rPr>
        <w:t>g</w:t>
      </w:r>
      <w:r w:rsidRPr="00670C40">
        <w:rPr>
          <w:rFonts w:eastAsia="Arial" w:cstheme="minorHAnsi"/>
          <w:spacing w:val="-2"/>
        </w:rPr>
        <w:t xml:space="preserve"> </w:t>
      </w:r>
      <w:r w:rsidRPr="00670C40">
        <w:rPr>
          <w:rFonts w:eastAsia="Arial" w:cstheme="minorHAnsi"/>
          <w:spacing w:val="2"/>
        </w:rPr>
        <w:t>Lo</w:t>
      </w:r>
      <w:r w:rsidRPr="00670C40">
        <w:rPr>
          <w:rFonts w:eastAsia="Arial" w:cstheme="minorHAnsi"/>
          <w:spacing w:val="-5"/>
        </w:rPr>
        <w:t>c</w:t>
      </w:r>
      <w:r w:rsidRPr="00670C40">
        <w:rPr>
          <w:rFonts w:eastAsia="Arial" w:cstheme="minorHAnsi"/>
          <w:spacing w:val="2"/>
        </w:rPr>
        <w:t>a</w:t>
      </w:r>
      <w:r w:rsidRPr="00670C40">
        <w:rPr>
          <w:rFonts w:eastAsia="Arial" w:cstheme="minorHAnsi"/>
        </w:rPr>
        <w:t xml:space="preserve">l </w:t>
      </w:r>
      <w:proofErr w:type="gramStart"/>
      <w:r w:rsidRPr="00670C40">
        <w:rPr>
          <w:rFonts w:eastAsia="Arial" w:cstheme="minorHAnsi"/>
          <w:spacing w:val="-4"/>
        </w:rPr>
        <w:t>G</w:t>
      </w:r>
      <w:r w:rsidRPr="00670C40">
        <w:rPr>
          <w:rFonts w:eastAsia="Arial" w:cstheme="minorHAnsi"/>
          <w:spacing w:val="2"/>
        </w:rPr>
        <w:t>o</w:t>
      </w:r>
      <w:r w:rsidRPr="00670C40">
        <w:rPr>
          <w:rFonts w:eastAsia="Arial" w:cstheme="minorHAnsi"/>
        </w:rPr>
        <w:t>v</w:t>
      </w:r>
      <w:r w:rsidRPr="00670C40">
        <w:rPr>
          <w:rFonts w:eastAsia="Arial" w:cstheme="minorHAnsi"/>
          <w:spacing w:val="2"/>
        </w:rPr>
        <w:t>e</w:t>
      </w:r>
      <w:r w:rsidRPr="00670C40">
        <w:rPr>
          <w:rFonts w:eastAsia="Arial" w:cstheme="minorHAnsi"/>
          <w:spacing w:val="-6"/>
        </w:rPr>
        <w:t>r</w:t>
      </w:r>
      <w:r w:rsidRPr="00670C40">
        <w:rPr>
          <w:rFonts w:eastAsia="Arial" w:cstheme="minorHAnsi"/>
          <w:spacing w:val="2"/>
        </w:rPr>
        <w:t>n</w:t>
      </w:r>
      <w:r w:rsidRPr="00670C40">
        <w:rPr>
          <w:rFonts w:eastAsia="Arial" w:cstheme="minorHAnsi"/>
          <w:spacing w:val="-2"/>
        </w:rPr>
        <w:t>m</w:t>
      </w:r>
      <w:r w:rsidRPr="00670C40">
        <w:rPr>
          <w:rFonts w:eastAsia="Arial" w:cstheme="minorHAnsi"/>
          <w:spacing w:val="2"/>
        </w:rPr>
        <w:t>e</w:t>
      </w:r>
      <w:r w:rsidRPr="00670C40">
        <w:rPr>
          <w:rFonts w:eastAsia="Arial" w:cstheme="minorHAnsi"/>
          <w:spacing w:val="-3"/>
        </w:rPr>
        <w:t>n</w:t>
      </w:r>
      <w:r w:rsidRPr="00670C40">
        <w:rPr>
          <w:rFonts w:eastAsia="Arial" w:cstheme="minorHAnsi"/>
          <w:spacing w:val="1"/>
        </w:rPr>
        <w:t>t</w:t>
      </w:r>
      <w:r w:rsidRPr="00670C40">
        <w:rPr>
          <w:rFonts w:eastAsia="Arial" w:cstheme="minorHAnsi"/>
        </w:rPr>
        <w:t>;</w:t>
      </w:r>
      <w:proofErr w:type="gramEnd"/>
    </w:p>
    <w:p w14:paraId="4870D9F0" w14:textId="77777777" w:rsidR="00FC0CF1" w:rsidRPr="00670C40" w:rsidRDefault="00FC0CF1" w:rsidP="002A3889">
      <w:pPr>
        <w:pStyle w:val="ListParagraph"/>
        <w:numPr>
          <w:ilvl w:val="0"/>
          <w:numId w:val="431"/>
        </w:numPr>
        <w:tabs>
          <w:tab w:val="left" w:pos="2180"/>
        </w:tabs>
        <w:spacing w:before="15" w:after="0" w:line="240" w:lineRule="auto"/>
        <w:rPr>
          <w:rFonts w:eastAsia="Arial" w:cstheme="minorHAnsi"/>
        </w:rPr>
      </w:pPr>
      <w:r w:rsidRPr="00670C40">
        <w:rPr>
          <w:rFonts w:eastAsia="Arial" w:cstheme="minorHAnsi"/>
          <w:spacing w:val="1"/>
        </w:rPr>
        <w:t>S</w:t>
      </w:r>
      <w:r w:rsidRPr="00670C40">
        <w:rPr>
          <w:rFonts w:eastAsia="Arial" w:cstheme="minorHAnsi"/>
          <w:spacing w:val="2"/>
        </w:rPr>
        <w:t>e</w:t>
      </w:r>
      <w:r w:rsidRPr="00670C40">
        <w:rPr>
          <w:rFonts w:eastAsia="Arial" w:cstheme="minorHAnsi"/>
          <w:spacing w:val="-2"/>
        </w:rPr>
        <w:t>r</w:t>
      </w:r>
      <w:r w:rsidRPr="00670C40">
        <w:rPr>
          <w:rFonts w:eastAsia="Arial" w:cstheme="minorHAnsi"/>
        </w:rPr>
        <w:t>v</w:t>
      </w:r>
      <w:r w:rsidRPr="00670C40">
        <w:rPr>
          <w:rFonts w:eastAsia="Arial" w:cstheme="minorHAnsi"/>
          <w:spacing w:val="-1"/>
        </w:rPr>
        <w:t>i</w:t>
      </w:r>
      <w:r w:rsidRPr="00670C40">
        <w:rPr>
          <w:rFonts w:eastAsia="Arial" w:cstheme="minorHAnsi"/>
          <w:spacing w:val="-3"/>
        </w:rPr>
        <w:t>n</w:t>
      </w:r>
      <w:r w:rsidRPr="00670C40">
        <w:rPr>
          <w:rFonts w:eastAsia="Arial" w:cstheme="minorHAnsi"/>
        </w:rPr>
        <w:t>g</w:t>
      </w:r>
      <w:r w:rsidRPr="00670C40">
        <w:rPr>
          <w:rFonts w:eastAsia="Arial" w:cstheme="minorHAnsi"/>
          <w:spacing w:val="3"/>
        </w:rPr>
        <w:t xml:space="preserve"> </w:t>
      </w:r>
      <w:r w:rsidRPr="00670C40">
        <w:rPr>
          <w:rFonts w:eastAsia="Arial" w:cstheme="minorHAnsi"/>
          <w:spacing w:val="-3"/>
        </w:rPr>
        <w:t>o</w:t>
      </w:r>
      <w:r w:rsidRPr="00670C40">
        <w:rPr>
          <w:rFonts w:eastAsia="Arial" w:cstheme="minorHAnsi"/>
        </w:rPr>
        <w:t>n</w:t>
      </w:r>
      <w:r w:rsidRPr="00670C40">
        <w:rPr>
          <w:rFonts w:eastAsia="Arial" w:cstheme="minorHAnsi"/>
          <w:spacing w:val="3"/>
        </w:rPr>
        <w:t xml:space="preserve"> </w:t>
      </w:r>
      <w:proofErr w:type="gramStart"/>
      <w:r w:rsidRPr="00670C40">
        <w:rPr>
          <w:rFonts w:eastAsia="Arial" w:cstheme="minorHAnsi"/>
          <w:spacing w:val="-6"/>
        </w:rPr>
        <w:t>C</w:t>
      </w:r>
      <w:r w:rsidRPr="00670C40">
        <w:rPr>
          <w:rFonts w:eastAsia="Arial" w:cstheme="minorHAnsi"/>
          <w:spacing w:val="2"/>
        </w:rPr>
        <w:t>o</w:t>
      </w:r>
      <w:r w:rsidRPr="00670C40">
        <w:rPr>
          <w:rFonts w:eastAsia="Arial" w:cstheme="minorHAnsi"/>
          <w:spacing w:val="-3"/>
        </w:rPr>
        <w:t>u</w:t>
      </w:r>
      <w:r w:rsidRPr="00670C40">
        <w:rPr>
          <w:rFonts w:eastAsia="Arial" w:cstheme="minorHAnsi"/>
          <w:spacing w:val="2"/>
        </w:rPr>
        <w:t>n</w:t>
      </w:r>
      <w:r w:rsidRPr="00670C40">
        <w:rPr>
          <w:rFonts w:eastAsia="Arial" w:cstheme="minorHAnsi"/>
        </w:rPr>
        <w:t>c</w:t>
      </w:r>
      <w:r w:rsidRPr="00670C40">
        <w:rPr>
          <w:rFonts w:eastAsia="Arial" w:cstheme="minorHAnsi"/>
          <w:spacing w:val="-1"/>
        </w:rPr>
        <w:t>il</w:t>
      </w:r>
      <w:r w:rsidRPr="00670C40">
        <w:rPr>
          <w:rFonts w:eastAsia="Arial" w:cstheme="minorHAnsi"/>
        </w:rPr>
        <w:t>;</w:t>
      </w:r>
      <w:proofErr w:type="gramEnd"/>
    </w:p>
    <w:p w14:paraId="2C6597B7" w14:textId="77777777" w:rsidR="00FC0CF1" w:rsidRPr="00670C40" w:rsidRDefault="00FC0CF1" w:rsidP="002A3889">
      <w:pPr>
        <w:pStyle w:val="ListParagraph"/>
        <w:numPr>
          <w:ilvl w:val="0"/>
          <w:numId w:val="431"/>
        </w:numPr>
        <w:tabs>
          <w:tab w:val="left" w:pos="2180"/>
        </w:tabs>
        <w:spacing w:before="10" w:after="0" w:line="240" w:lineRule="auto"/>
        <w:rPr>
          <w:rFonts w:eastAsia="Arial" w:cstheme="minorHAnsi"/>
        </w:rPr>
      </w:pPr>
      <w:r w:rsidRPr="00670C40">
        <w:rPr>
          <w:rFonts w:eastAsia="Arial" w:cstheme="minorHAnsi"/>
          <w:spacing w:val="-6"/>
        </w:rPr>
        <w:t>M</w:t>
      </w:r>
      <w:r w:rsidRPr="00670C40">
        <w:rPr>
          <w:rFonts w:eastAsia="Arial" w:cstheme="minorHAnsi"/>
          <w:spacing w:val="2"/>
        </w:rPr>
        <w:t>ee</w:t>
      </w:r>
      <w:r w:rsidRPr="00670C40">
        <w:rPr>
          <w:rFonts w:eastAsia="Arial" w:cstheme="minorHAnsi"/>
          <w:spacing w:val="1"/>
        </w:rPr>
        <w:t>t</w:t>
      </w:r>
      <w:r w:rsidRPr="00670C40">
        <w:rPr>
          <w:rFonts w:eastAsia="Arial" w:cstheme="minorHAnsi"/>
          <w:spacing w:val="-1"/>
        </w:rPr>
        <w:t>i</w:t>
      </w:r>
      <w:r w:rsidRPr="00670C40">
        <w:rPr>
          <w:rFonts w:eastAsia="Arial" w:cstheme="minorHAnsi"/>
          <w:spacing w:val="2"/>
        </w:rPr>
        <w:t>n</w:t>
      </w:r>
      <w:r w:rsidRPr="00670C40">
        <w:rPr>
          <w:rFonts w:eastAsia="Arial" w:cstheme="minorHAnsi"/>
        </w:rPr>
        <w:t>g</w:t>
      </w:r>
      <w:r w:rsidRPr="00670C40">
        <w:rPr>
          <w:rFonts w:eastAsia="Arial" w:cstheme="minorHAnsi"/>
          <w:spacing w:val="-2"/>
        </w:rPr>
        <w:t xml:space="preserve"> </w:t>
      </w:r>
      <w:proofErr w:type="gramStart"/>
      <w:r w:rsidRPr="00670C40">
        <w:rPr>
          <w:rFonts w:eastAsia="Arial" w:cstheme="minorHAnsi"/>
          <w:spacing w:val="1"/>
        </w:rPr>
        <w:t>P</w:t>
      </w:r>
      <w:r w:rsidRPr="00670C40">
        <w:rPr>
          <w:rFonts w:eastAsia="Arial" w:cstheme="minorHAnsi"/>
          <w:spacing w:val="-2"/>
        </w:rPr>
        <w:t>r</w:t>
      </w:r>
      <w:r w:rsidRPr="00670C40">
        <w:rPr>
          <w:rFonts w:eastAsia="Arial" w:cstheme="minorHAnsi"/>
          <w:spacing w:val="2"/>
        </w:rPr>
        <w:t>o</w:t>
      </w:r>
      <w:r w:rsidRPr="00670C40">
        <w:rPr>
          <w:rFonts w:eastAsia="Arial" w:cstheme="minorHAnsi"/>
          <w:spacing w:val="-5"/>
        </w:rPr>
        <w:t>c</w:t>
      </w:r>
      <w:r w:rsidRPr="00670C40">
        <w:rPr>
          <w:rFonts w:eastAsia="Arial" w:cstheme="minorHAnsi"/>
          <w:spacing w:val="2"/>
        </w:rPr>
        <w:t>e</w:t>
      </w:r>
      <w:r w:rsidRPr="00670C40">
        <w:rPr>
          <w:rFonts w:eastAsia="Arial" w:cstheme="minorHAnsi"/>
          <w:spacing w:val="-3"/>
        </w:rPr>
        <w:t>d</w:t>
      </w:r>
      <w:r w:rsidRPr="00670C40">
        <w:rPr>
          <w:rFonts w:eastAsia="Arial" w:cstheme="minorHAnsi"/>
          <w:spacing w:val="2"/>
        </w:rPr>
        <w:t>u</w:t>
      </w:r>
      <w:r w:rsidRPr="00670C40">
        <w:rPr>
          <w:rFonts w:eastAsia="Arial" w:cstheme="minorHAnsi"/>
          <w:spacing w:val="-2"/>
        </w:rPr>
        <w:t>r</w:t>
      </w:r>
      <w:r w:rsidRPr="00670C40">
        <w:rPr>
          <w:rFonts w:eastAsia="Arial" w:cstheme="minorHAnsi"/>
          <w:spacing w:val="2"/>
        </w:rPr>
        <w:t>e</w:t>
      </w:r>
      <w:r w:rsidRPr="00670C40">
        <w:rPr>
          <w:rFonts w:eastAsia="Arial" w:cstheme="minorHAnsi"/>
        </w:rPr>
        <w:t>s;</w:t>
      </w:r>
      <w:proofErr w:type="gramEnd"/>
    </w:p>
    <w:p w14:paraId="507A24EA" w14:textId="77777777" w:rsidR="00FC0CF1" w:rsidRPr="00670C40" w:rsidRDefault="00FC0CF1" w:rsidP="002A3889">
      <w:pPr>
        <w:pStyle w:val="ListParagraph"/>
        <w:numPr>
          <w:ilvl w:val="0"/>
          <w:numId w:val="431"/>
        </w:numPr>
        <w:tabs>
          <w:tab w:val="left" w:pos="2180"/>
        </w:tabs>
        <w:spacing w:before="15" w:after="0" w:line="240" w:lineRule="auto"/>
        <w:rPr>
          <w:rFonts w:eastAsia="Arial" w:cstheme="minorHAnsi"/>
        </w:rPr>
      </w:pPr>
      <w:r w:rsidRPr="00670C40">
        <w:rPr>
          <w:rFonts w:eastAsia="Arial" w:cstheme="minorHAnsi"/>
          <w:spacing w:val="-1"/>
        </w:rPr>
        <w:t>C</w:t>
      </w:r>
      <w:r w:rsidRPr="00670C40">
        <w:rPr>
          <w:rFonts w:eastAsia="Arial" w:cstheme="minorHAnsi"/>
          <w:spacing w:val="2"/>
        </w:rPr>
        <w:t>o</w:t>
      </w:r>
      <w:r w:rsidRPr="00670C40">
        <w:rPr>
          <w:rFonts w:eastAsia="Arial" w:cstheme="minorHAnsi"/>
          <w:spacing w:val="-3"/>
        </w:rPr>
        <w:t>n</w:t>
      </w:r>
      <w:r w:rsidRPr="00670C40">
        <w:rPr>
          <w:rFonts w:eastAsia="Arial" w:cstheme="minorHAnsi"/>
          <w:spacing w:val="6"/>
        </w:rPr>
        <w:t>f</w:t>
      </w:r>
      <w:r w:rsidRPr="00670C40">
        <w:rPr>
          <w:rFonts w:eastAsia="Arial" w:cstheme="minorHAnsi"/>
          <w:spacing w:val="-1"/>
        </w:rPr>
        <w:t>li</w:t>
      </w:r>
      <w:r w:rsidRPr="00670C40">
        <w:rPr>
          <w:rFonts w:eastAsia="Arial" w:cstheme="minorHAnsi"/>
        </w:rPr>
        <w:t>c</w:t>
      </w:r>
      <w:r w:rsidRPr="00670C40">
        <w:rPr>
          <w:rFonts w:eastAsia="Arial" w:cstheme="minorHAnsi"/>
          <w:spacing w:val="1"/>
        </w:rPr>
        <w:t>t</w:t>
      </w:r>
      <w:r w:rsidRPr="00670C40">
        <w:rPr>
          <w:rFonts w:eastAsia="Arial" w:cstheme="minorHAnsi"/>
        </w:rPr>
        <w:t>s</w:t>
      </w:r>
      <w:r w:rsidRPr="00670C40">
        <w:rPr>
          <w:rFonts w:eastAsia="Arial" w:cstheme="minorHAnsi"/>
          <w:spacing w:val="-4"/>
        </w:rPr>
        <w:t xml:space="preserve"> </w:t>
      </w:r>
      <w:r w:rsidRPr="00670C40">
        <w:rPr>
          <w:rFonts w:eastAsia="Arial" w:cstheme="minorHAnsi"/>
          <w:spacing w:val="-3"/>
        </w:rPr>
        <w:t>o</w:t>
      </w:r>
      <w:r w:rsidRPr="00670C40">
        <w:rPr>
          <w:rFonts w:eastAsia="Arial" w:cstheme="minorHAnsi"/>
        </w:rPr>
        <w:t>f</w:t>
      </w:r>
      <w:r w:rsidRPr="00670C40">
        <w:rPr>
          <w:rFonts w:eastAsia="Arial" w:cstheme="minorHAnsi"/>
          <w:spacing w:val="2"/>
        </w:rPr>
        <w:t xml:space="preserve"> </w:t>
      </w:r>
      <w:r w:rsidRPr="00670C40">
        <w:rPr>
          <w:rFonts w:eastAsia="Arial" w:cstheme="minorHAnsi"/>
          <w:spacing w:val="-4"/>
        </w:rPr>
        <w:t>I</w:t>
      </w:r>
      <w:r w:rsidRPr="00670C40">
        <w:rPr>
          <w:rFonts w:eastAsia="Arial" w:cstheme="minorHAnsi"/>
          <w:spacing w:val="2"/>
        </w:rPr>
        <w:t>n</w:t>
      </w:r>
      <w:r w:rsidRPr="00670C40">
        <w:rPr>
          <w:rFonts w:eastAsia="Arial" w:cstheme="minorHAnsi"/>
          <w:spacing w:val="1"/>
        </w:rPr>
        <w:t>t</w:t>
      </w:r>
      <w:r w:rsidRPr="00670C40">
        <w:rPr>
          <w:rFonts w:eastAsia="Arial" w:cstheme="minorHAnsi"/>
          <w:spacing w:val="2"/>
        </w:rPr>
        <w:t>e</w:t>
      </w:r>
      <w:r w:rsidRPr="00670C40">
        <w:rPr>
          <w:rFonts w:eastAsia="Arial" w:cstheme="minorHAnsi"/>
          <w:spacing w:val="-2"/>
        </w:rPr>
        <w:t>r</w:t>
      </w:r>
      <w:r w:rsidRPr="00670C40">
        <w:rPr>
          <w:rFonts w:eastAsia="Arial" w:cstheme="minorHAnsi"/>
          <w:spacing w:val="-3"/>
        </w:rPr>
        <w:t>e</w:t>
      </w:r>
      <w:r w:rsidRPr="00670C40">
        <w:rPr>
          <w:rFonts w:eastAsia="Arial" w:cstheme="minorHAnsi"/>
        </w:rPr>
        <w:t>s</w:t>
      </w:r>
      <w:r w:rsidRPr="00670C40">
        <w:rPr>
          <w:rFonts w:eastAsia="Arial" w:cstheme="minorHAnsi"/>
          <w:spacing w:val="1"/>
        </w:rPr>
        <w:t>t</w:t>
      </w:r>
      <w:r w:rsidRPr="00670C40">
        <w:rPr>
          <w:rFonts w:eastAsia="Arial" w:cstheme="minorHAnsi"/>
        </w:rPr>
        <w:t>;</w:t>
      </w:r>
      <w:r w:rsidRPr="00670C40">
        <w:rPr>
          <w:rFonts w:eastAsia="Arial" w:cstheme="minorHAnsi"/>
          <w:spacing w:val="-3"/>
        </w:rPr>
        <w:t xml:space="preserve"> </w:t>
      </w:r>
      <w:r w:rsidRPr="00670C40">
        <w:rPr>
          <w:rFonts w:eastAsia="Arial" w:cstheme="minorHAnsi"/>
          <w:spacing w:val="2"/>
        </w:rPr>
        <w:t>a</w:t>
      </w:r>
      <w:r w:rsidRPr="00670C40">
        <w:rPr>
          <w:rFonts w:eastAsia="Arial" w:cstheme="minorHAnsi"/>
          <w:spacing w:val="-3"/>
        </w:rPr>
        <w:t>n</w:t>
      </w:r>
      <w:r w:rsidRPr="00670C40">
        <w:rPr>
          <w:rFonts w:eastAsia="Arial" w:cstheme="minorHAnsi"/>
        </w:rPr>
        <w:t>d</w:t>
      </w:r>
    </w:p>
    <w:p w14:paraId="78E71240" w14:textId="77777777" w:rsidR="00FC0CF1" w:rsidRPr="00670C40" w:rsidRDefault="00FC0CF1" w:rsidP="002A3889">
      <w:pPr>
        <w:pStyle w:val="ListParagraph"/>
        <w:numPr>
          <w:ilvl w:val="0"/>
          <w:numId w:val="431"/>
        </w:numPr>
        <w:tabs>
          <w:tab w:val="left" w:pos="2180"/>
        </w:tabs>
        <w:spacing w:before="15" w:after="60" w:line="240" w:lineRule="auto"/>
        <w:rPr>
          <w:rFonts w:eastAsia="Arial" w:cstheme="minorHAnsi"/>
        </w:rPr>
      </w:pPr>
      <w:r w:rsidRPr="00670C40">
        <w:rPr>
          <w:rFonts w:eastAsia="Arial" w:cstheme="minorHAnsi"/>
          <w:spacing w:val="-1"/>
        </w:rPr>
        <w:t>U</w:t>
      </w:r>
      <w:r w:rsidRPr="00670C40">
        <w:rPr>
          <w:rFonts w:eastAsia="Arial" w:cstheme="minorHAnsi"/>
          <w:spacing w:val="2"/>
        </w:rPr>
        <w:t>nde</w:t>
      </w:r>
      <w:r w:rsidRPr="00670C40">
        <w:rPr>
          <w:rFonts w:eastAsia="Arial" w:cstheme="minorHAnsi"/>
          <w:spacing w:val="-2"/>
        </w:rPr>
        <w:t>r</w:t>
      </w:r>
      <w:r w:rsidRPr="00670C40">
        <w:rPr>
          <w:rFonts w:eastAsia="Arial" w:cstheme="minorHAnsi"/>
          <w:spacing w:val="-5"/>
        </w:rPr>
        <w:t>s</w:t>
      </w:r>
      <w:r w:rsidRPr="00670C40">
        <w:rPr>
          <w:rFonts w:eastAsia="Arial" w:cstheme="minorHAnsi"/>
          <w:spacing w:val="1"/>
        </w:rPr>
        <w:t>t</w:t>
      </w:r>
      <w:r w:rsidRPr="00670C40">
        <w:rPr>
          <w:rFonts w:eastAsia="Arial" w:cstheme="minorHAnsi"/>
          <w:spacing w:val="-3"/>
        </w:rPr>
        <w:t>a</w:t>
      </w:r>
      <w:r w:rsidRPr="00670C40">
        <w:rPr>
          <w:rFonts w:eastAsia="Arial" w:cstheme="minorHAnsi"/>
          <w:spacing w:val="2"/>
        </w:rPr>
        <w:t>nd</w:t>
      </w:r>
      <w:r w:rsidRPr="00670C40">
        <w:rPr>
          <w:rFonts w:eastAsia="Arial" w:cstheme="minorHAnsi"/>
          <w:spacing w:val="-1"/>
        </w:rPr>
        <w:t>i</w:t>
      </w:r>
      <w:r w:rsidRPr="00670C40">
        <w:rPr>
          <w:rFonts w:eastAsia="Arial" w:cstheme="minorHAnsi"/>
          <w:spacing w:val="-3"/>
        </w:rPr>
        <w:t>n</w:t>
      </w:r>
      <w:r w:rsidRPr="00670C40">
        <w:rPr>
          <w:rFonts w:eastAsia="Arial" w:cstheme="minorHAnsi"/>
        </w:rPr>
        <w:t>g</w:t>
      </w:r>
      <w:r w:rsidRPr="00670C40">
        <w:rPr>
          <w:rFonts w:eastAsia="Arial" w:cstheme="minorHAnsi"/>
          <w:spacing w:val="3"/>
        </w:rPr>
        <w:t xml:space="preserve"> </w:t>
      </w:r>
      <w:r w:rsidRPr="00670C40">
        <w:rPr>
          <w:rFonts w:eastAsia="Arial" w:cstheme="minorHAnsi"/>
        </w:rPr>
        <w:t>F</w:t>
      </w:r>
      <w:r w:rsidRPr="00670C40">
        <w:rPr>
          <w:rFonts w:eastAsia="Arial" w:cstheme="minorHAnsi"/>
          <w:spacing w:val="-6"/>
        </w:rPr>
        <w:t>i</w:t>
      </w:r>
      <w:r w:rsidRPr="00670C40">
        <w:rPr>
          <w:rFonts w:eastAsia="Arial" w:cstheme="minorHAnsi"/>
          <w:spacing w:val="2"/>
        </w:rPr>
        <w:t>n</w:t>
      </w:r>
      <w:r w:rsidRPr="00670C40">
        <w:rPr>
          <w:rFonts w:eastAsia="Arial" w:cstheme="minorHAnsi"/>
          <w:spacing w:val="-3"/>
        </w:rPr>
        <w:t>a</w:t>
      </w:r>
      <w:r w:rsidRPr="00670C40">
        <w:rPr>
          <w:rFonts w:eastAsia="Arial" w:cstheme="minorHAnsi"/>
          <w:spacing w:val="2"/>
        </w:rPr>
        <w:t>n</w:t>
      </w:r>
      <w:r w:rsidRPr="00670C40">
        <w:rPr>
          <w:rFonts w:eastAsia="Arial" w:cstheme="minorHAnsi"/>
        </w:rPr>
        <w:t>c</w:t>
      </w:r>
      <w:r w:rsidRPr="00670C40">
        <w:rPr>
          <w:rFonts w:eastAsia="Arial" w:cstheme="minorHAnsi"/>
          <w:spacing w:val="-1"/>
        </w:rPr>
        <w:t>i</w:t>
      </w:r>
      <w:r w:rsidRPr="00670C40">
        <w:rPr>
          <w:rFonts w:eastAsia="Arial" w:cstheme="minorHAnsi"/>
          <w:spacing w:val="2"/>
        </w:rPr>
        <w:t>a</w:t>
      </w:r>
      <w:r w:rsidRPr="00670C40">
        <w:rPr>
          <w:rFonts w:eastAsia="Arial" w:cstheme="minorHAnsi"/>
        </w:rPr>
        <w:t xml:space="preserve">l </w:t>
      </w:r>
      <w:r w:rsidRPr="00670C40">
        <w:rPr>
          <w:rFonts w:eastAsia="Arial" w:cstheme="minorHAnsi"/>
          <w:spacing w:val="-1"/>
        </w:rPr>
        <w:t>R</w:t>
      </w:r>
      <w:r w:rsidRPr="00670C40">
        <w:rPr>
          <w:rFonts w:eastAsia="Arial" w:cstheme="minorHAnsi"/>
          <w:spacing w:val="-3"/>
        </w:rPr>
        <w:t>ep</w:t>
      </w:r>
      <w:r w:rsidRPr="00670C40">
        <w:rPr>
          <w:rFonts w:eastAsia="Arial" w:cstheme="minorHAnsi"/>
          <w:spacing w:val="2"/>
        </w:rPr>
        <w:t>o</w:t>
      </w:r>
      <w:r w:rsidRPr="00670C40">
        <w:rPr>
          <w:rFonts w:eastAsia="Arial" w:cstheme="minorHAnsi"/>
          <w:spacing w:val="-2"/>
        </w:rPr>
        <w:t>r</w:t>
      </w:r>
      <w:r w:rsidRPr="00670C40">
        <w:rPr>
          <w:rFonts w:eastAsia="Arial" w:cstheme="minorHAnsi"/>
          <w:spacing w:val="1"/>
        </w:rPr>
        <w:t>t</w:t>
      </w:r>
      <w:r w:rsidRPr="00670C40">
        <w:rPr>
          <w:rFonts w:eastAsia="Arial" w:cstheme="minorHAnsi"/>
        </w:rPr>
        <w:t>s</w:t>
      </w:r>
      <w:r w:rsidRPr="00670C40">
        <w:rPr>
          <w:rFonts w:eastAsia="Arial" w:cstheme="minorHAnsi"/>
          <w:spacing w:val="1"/>
        </w:rPr>
        <w:t xml:space="preserve"> </w:t>
      </w:r>
      <w:r w:rsidRPr="00670C40">
        <w:rPr>
          <w:rFonts w:eastAsia="Arial" w:cstheme="minorHAnsi"/>
          <w:spacing w:val="-3"/>
        </w:rPr>
        <w:t>a</w:t>
      </w:r>
      <w:r w:rsidRPr="00670C40">
        <w:rPr>
          <w:rFonts w:eastAsia="Arial" w:cstheme="minorHAnsi"/>
          <w:spacing w:val="2"/>
        </w:rPr>
        <w:t>n</w:t>
      </w:r>
      <w:r w:rsidRPr="00670C40">
        <w:rPr>
          <w:rFonts w:eastAsia="Arial" w:cstheme="minorHAnsi"/>
        </w:rPr>
        <w:t>d</w:t>
      </w:r>
      <w:r w:rsidRPr="00670C40">
        <w:rPr>
          <w:rFonts w:eastAsia="Arial" w:cstheme="minorHAnsi"/>
          <w:spacing w:val="-2"/>
        </w:rPr>
        <w:t xml:space="preserve"> </w:t>
      </w:r>
      <w:r w:rsidRPr="00670C40">
        <w:rPr>
          <w:rFonts w:eastAsia="Arial" w:cstheme="minorHAnsi"/>
          <w:spacing w:val="-3"/>
        </w:rPr>
        <w:t>B</w:t>
      </w:r>
      <w:r w:rsidRPr="00670C40">
        <w:rPr>
          <w:rFonts w:eastAsia="Arial" w:cstheme="minorHAnsi"/>
          <w:spacing w:val="2"/>
        </w:rPr>
        <w:t>u</w:t>
      </w:r>
      <w:r w:rsidRPr="00670C40">
        <w:rPr>
          <w:rFonts w:eastAsia="Arial" w:cstheme="minorHAnsi"/>
          <w:spacing w:val="-3"/>
        </w:rPr>
        <w:t>d</w:t>
      </w:r>
      <w:r w:rsidRPr="00670C40">
        <w:rPr>
          <w:rFonts w:eastAsia="Arial" w:cstheme="minorHAnsi"/>
          <w:spacing w:val="2"/>
        </w:rPr>
        <w:t>ge</w:t>
      </w:r>
      <w:r w:rsidRPr="00670C40">
        <w:rPr>
          <w:rFonts w:eastAsia="Arial" w:cstheme="minorHAnsi"/>
          <w:spacing w:val="-4"/>
        </w:rPr>
        <w:t>t</w:t>
      </w:r>
      <w:r w:rsidRPr="00670C40">
        <w:rPr>
          <w:rFonts w:eastAsia="Arial" w:cstheme="minorHAnsi"/>
          <w:spacing w:val="7"/>
        </w:rPr>
        <w:t>s</w:t>
      </w:r>
      <w:r w:rsidRPr="00670C40">
        <w:rPr>
          <w:rFonts w:eastAsia="Arial" w:cstheme="minorHAnsi"/>
        </w:rPr>
        <w:t>.</w:t>
      </w:r>
    </w:p>
    <w:p w14:paraId="53B41B02" w14:textId="77777777" w:rsidR="00FC0CF1" w:rsidRPr="00585C2D" w:rsidRDefault="00FC0CF1" w:rsidP="00FC0CF1">
      <w:pPr>
        <w:spacing w:after="60" w:line="240" w:lineRule="auto"/>
        <w:ind w:left="851"/>
        <w:rPr>
          <w:rFonts w:eastAsia="Arial" w:cstheme="minorHAnsi"/>
        </w:rPr>
      </w:pPr>
      <w:r w:rsidRPr="00585C2D">
        <w:rPr>
          <w:rFonts w:eastAsia="Arial" w:cstheme="minorHAnsi"/>
        </w:rPr>
        <w:t>T</w:t>
      </w:r>
      <w:r w:rsidRPr="00585C2D">
        <w:rPr>
          <w:rFonts w:eastAsia="Arial" w:cstheme="minorHAnsi"/>
          <w:spacing w:val="1"/>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5"/>
        </w:rPr>
        <w:t>c</w:t>
      </w:r>
      <w:r w:rsidRPr="00585C2D">
        <w:rPr>
          <w:rFonts w:eastAsia="Arial" w:cstheme="minorHAnsi"/>
          <w:spacing w:val="2"/>
        </w:rPr>
        <w:t>ou</w:t>
      </w:r>
      <w:r w:rsidRPr="00585C2D">
        <w:rPr>
          <w:rFonts w:eastAsia="Arial" w:cstheme="minorHAnsi"/>
          <w:spacing w:val="-2"/>
        </w:rPr>
        <w:t>r</w:t>
      </w:r>
      <w:r w:rsidRPr="00585C2D">
        <w:rPr>
          <w:rFonts w:eastAsia="Arial" w:cstheme="minorHAnsi"/>
          <w:spacing w:val="-5"/>
        </w:rPr>
        <w:t>s</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o</w:t>
      </w:r>
      <w:r w:rsidRPr="00585C2D">
        <w:rPr>
          <w:rFonts w:eastAsia="Arial" w:cstheme="minorHAnsi"/>
        </w:rPr>
        <w:t>v</w:t>
      </w:r>
      <w:r w:rsidRPr="00585C2D">
        <w:rPr>
          <w:rFonts w:eastAsia="Arial" w:cstheme="minorHAnsi"/>
          <w:spacing w:val="-1"/>
        </w:rPr>
        <w:t>i</w:t>
      </w:r>
      <w:r w:rsidRPr="00585C2D">
        <w:rPr>
          <w:rFonts w:eastAsia="Arial" w:cstheme="minorHAnsi"/>
          <w:spacing w:val="-3"/>
        </w:rPr>
        <w:t>d</w:t>
      </w:r>
      <w:r w:rsidRPr="00585C2D">
        <w:rPr>
          <w:rFonts w:eastAsia="Arial" w:cstheme="minorHAnsi"/>
          <w:spacing w:val="2"/>
        </w:rPr>
        <w:t>e</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spacing w:val="-1"/>
        </w:rPr>
        <w:t>ll</w:t>
      </w:r>
      <w:r w:rsidRPr="00585C2D">
        <w:rPr>
          <w:rFonts w:eastAsia="Arial" w:cstheme="minorHAnsi"/>
          <w:spacing w:val="2"/>
        </w:rPr>
        <w:t>o</w:t>
      </w:r>
      <w:r w:rsidRPr="00585C2D">
        <w:rPr>
          <w:rFonts w:eastAsia="Arial" w:cstheme="minorHAnsi"/>
          <w:spacing w:val="-1"/>
        </w:rPr>
        <w:t>wi</w:t>
      </w:r>
      <w:r w:rsidRPr="00585C2D">
        <w:rPr>
          <w:rFonts w:eastAsia="Arial" w:cstheme="minorHAnsi"/>
          <w:spacing w:val="-3"/>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2"/>
        </w:rPr>
        <w:t>b</w:t>
      </w:r>
      <w:r w:rsidRPr="00585C2D">
        <w:rPr>
          <w:rFonts w:eastAsia="Arial" w:cstheme="minorHAnsi"/>
          <w:spacing w:val="-3"/>
        </w:rPr>
        <w:t>o</w:t>
      </w:r>
      <w:r w:rsidRPr="00585C2D">
        <w:rPr>
          <w:rFonts w:eastAsia="Arial" w:cstheme="minorHAnsi"/>
          <w:spacing w:val="2"/>
        </w:rPr>
        <w:t>d</w:t>
      </w:r>
      <w:r w:rsidRPr="00585C2D">
        <w:rPr>
          <w:rFonts w:eastAsia="Arial" w:cstheme="minorHAnsi"/>
          <w:spacing w:val="-1"/>
        </w:rPr>
        <w:t>i</w:t>
      </w:r>
      <w:r w:rsidRPr="00585C2D">
        <w:rPr>
          <w:rFonts w:eastAsia="Arial" w:cstheme="minorHAnsi"/>
          <w:spacing w:val="2"/>
        </w:rPr>
        <w:t>e</w:t>
      </w:r>
      <w:r w:rsidRPr="00585C2D">
        <w:rPr>
          <w:rFonts w:eastAsia="Arial" w:cstheme="minorHAnsi"/>
        </w:rPr>
        <w:t>s</w:t>
      </w:r>
      <w:r w:rsidRPr="00585C2D">
        <w:rPr>
          <w:rFonts w:eastAsia="Arial" w:cstheme="minorHAnsi"/>
          <w:spacing w:val="2"/>
        </w:rPr>
        <w:t xml:space="preserve"> </w:t>
      </w:r>
      <w:r w:rsidRPr="00585C2D">
        <w:rPr>
          <w:rFonts w:eastAsia="Arial" w:cstheme="minorHAnsi"/>
        </w:rPr>
        <w:t>–</w:t>
      </w:r>
    </w:p>
    <w:p w14:paraId="3F7CFC03" w14:textId="77777777" w:rsidR="00FC0CF1" w:rsidRPr="00585C2D" w:rsidRDefault="00FC0CF1" w:rsidP="00FC0CF1">
      <w:pPr>
        <w:tabs>
          <w:tab w:val="left" w:pos="2180"/>
        </w:tabs>
        <w:spacing w:before="16" w:after="0" w:line="240" w:lineRule="auto"/>
        <w:ind w:left="1276" w:hanging="425"/>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1"/>
        </w:rPr>
        <w:t>N</w:t>
      </w:r>
      <w:r w:rsidRPr="00585C2D">
        <w:rPr>
          <w:rFonts w:eastAsia="Arial" w:cstheme="minorHAnsi"/>
          <w:spacing w:val="2"/>
        </w:rPr>
        <w:t>o</w:t>
      </w:r>
      <w:r w:rsidRPr="00585C2D">
        <w:rPr>
          <w:rFonts w:eastAsia="Arial" w:cstheme="minorHAnsi"/>
          <w:spacing w:val="-2"/>
        </w:rPr>
        <w:t>r</w:t>
      </w:r>
      <w:r w:rsidRPr="00585C2D">
        <w:rPr>
          <w:rFonts w:eastAsia="Arial" w:cstheme="minorHAnsi"/>
          <w:spacing w:val="1"/>
        </w:rPr>
        <w:t>t</w:t>
      </w:r>
      <w:r w:rsidRPr="00585C2D">
        <w:rPr>
          <w:rFonts w:eastAsia="Arial" w:cstheme="minorHAnsi"/>
        </w:rPr>
        <w:t>h</w:t>
      </w:r>
      <w:r w:rsidRPr="00585C2D">
        <w:rPr>
          <w:rFonts w:eastAsia="Arial" w:cstheme="minorHAnsi"/>
          <w:spacing w:val="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1"/>
        </w:rPr>
        <w:t>t</w:t>
      </w:r>
      <w:r w:rsidRPr="00585C2D">
        <w:rPr>
          <w:rFonts w:eastAsia="Arial" w:cstheme="minorHAnsi"/>
          <w:spacing w:val="-2"/>
        </w:rPr>
        <w:t>r</w:t>
      </w:r>
      <w:r w:rsidRPr="00585C2D">
        <w:rPr>
          <w:rFonts w:eastAsia="Arial" w:cstheme="minorHAnsi"/>
          <w:spacing w:val="-3"/>
        </w:rPr>
        <w:t>o</w:t>
      </w:r>
      <w:r w:rsidRPr="00585C2D">
        <w:rPr>
          <w:rFonts w:eastAsia="Arial" w:cstheme="minorHAnsi"/>
          <w:spacing w:val="2"/>
        </w:rPr>
        <w:t>po</w:t>
      </w:r>
      <w:r w:rsidRPr="00585C2D">
        <w:rPr>
          <w:rFonts w:eastAsia="Arial" w:cstheme="minorHAnsi"/>
          <w:spacing w:val="-1"/>
        </w:rPr>
        <w:t>li</w:t>
      </w:r>
      <w:r w:rsidRPr="00585C2D">
        <w:rPr>
          <w:rFonts w:eastAsia="Arial" w:cstheme="minorHAnsi"/>
          <w:spacing w:val="-4"/>
        </w:rPr>
        <w:t>t</w:t>
      </w:r>
      <w:r w:rsidRPr="00585C2D">
        <w:rPr>
          <w:rFonts w:eastAsia="Arial" w:cstheme="minorHAnsi"/>
          <w:spacing w:val="2"/>
        </w:rPr>
        <w:t>a</w:t>
      </w:r>
      <w:r w:rsidRPr="00585C2D">
        <w:rPr>
          <w:rFonts w:eastAsia="Arial" w:cstheme="minorHAnsi"/>
        </w:rPr>
        <w:t>n</w:t>
      </w:r>
      <w:r w:rsidRPr="00585C2D">
        <w:rPr>
          <w:rFonts w:eastAsia="Arial" w:cstheme="minorHAnsi"/>
          <w:spacing w:val="3"/>
        </w:rPr>
        <w:t xml:space="preserve"> </w:t>
      </w:r>
      <w:proofErr w:type="gramStart"/>
      <w:r w:rsidRPr="00585C2D">
        <w:rPr>
          <w:rFonts w:eastAsia="Arial" w:cstheme="minorHAnsi"/>
          <w:spacing w:val="-5"/>
        </w:rPr>
        <w:t>T</w:t>
      </w:r>
      <w:r w:rsidRPr="00585C2D">
        <w:rPr>
          <w:rFonts w:eastAsia="Arial" w:cstheme="minorHAnsi"/>
          <w:spacing w:val="1"/>
        </w:rPr>
        <w:t>A</w:t>
      </w:r>
      <w:r w:rsidRPr="00585C2D">
        <w:rPr>
          <w:rFonts w:eastAsia="Arial" w:cstheme="minorHAnsi"/>
        </w:rPr>
        <w:t>F</w:t>
      </w:r>
      <w:r w:rsidRPr="00585C2D">
        <w:rPr>
          <w:rFonts w:eastAsia="Arial" w:cstheme="minorHAnsi"/>
          <w:spacing w:val="1"/>
        </w:rPr>
        <w:t>E</w:t>
      </w:r>
      <w:r w:rsidRPr="00585C2D">
        <w:rPr>
          <w:rFonts w:eastAsia="Arial" w:cstheme="minorHAnsi"/>
        </w:rPr>
        <w:t>;</w:t>
      </w:r>
      <w:proofErr w:type="gramEnd"/>
    </w:p>
    <w:p w14:paraId="38DCC23A" w14:textId="77777777" w:rsidR="00FC0CF1" w:rsidRPr="00585C2D" w:rsidRDefault="00FC0CF1" w:rsidP="00FC0CF1">
      <w:pPr>
        <w:tabs>
          <w:tab w:val="left" w:pos="2180"/>
        </w:tabs>
        <w:spacing w:before="15" w:after="0" w:line="240" w:lineRule="auto"/>
        <w:ind w:left="1276" w:hanging="425"/>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1"/>
        </w:rPr>
        <w:t>S</w:t>
      </w:r>
      <w:r w:rsidRPr="00585C2D">
        <w:rPr>
          <w:rFonts w:eastAsia="Arial" w:cstheme="minorHAnsi"/>
          <w:spacing w:val="2"/>
        </w:rPr>
        <w:t>o</w:t>
      </w:r>
      <w:r w:rsidRPr="00585C2D">
        <w:rPr>
          <w:rFonts w:eastAsia="Arial" w:cstheme="minorHAnsi"/>
          <w:spacing w:val="-3"/>
        </w:rPr>
        <w:t>u</w:t>
      </w:r>
      <w:r w:rsidRPr="00585C2D">
        <w:rPr>
          <w:rFonts w:eastAsia="Arial" w:cstheme="minorHAnsi"/>
          <w:spacing w:val="1"/>
        </w:rPr>
        <w:t>t</w:t>
      </w:r>
      <w:r w:rsidRPr="00585C2D">
        <w:rPr>
          <w:rFonts w:eastAsia="Arial" w:cstheme="minorHAnsi"/>
        </w:rPr>
        <w:t>h</w:t>
      </w:r>
      <w:r w:rsidRPr="00585C2D">
        <w:rPr>
          <w:rFonts w:eastAsia="Arial" w:cstheme="minorHAnsi"/>
          <w:spacing w:val="-2"/>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opo</w:t>
      </w:r>
      <w:r w:rsidRPr="00585C2D">
        <w:rPr>
          <w:rFonts w:eastAsia="Arial" w:cstheme="minorHAnsi"/>
          <w:spacing w:val="-1"/>
        </w:rPr>
        <w:t>li</w:t>
      </w:r>
      <w:r w:rsidRPr="00585C2D">
        <w:rPr>
          <w:rFonts w:eastAsia="Arial" w:cstheme="minorHAnsi"/>
          <w:spacing w:val="-4"/>
        </w:rPr>
        <w:t>t</w:t>
      </w:r>
      <w:r w:rsidRPr="00585C2D">
        <w:rPr>
          <w:rFonts w:eastAsia="Arial" w:cstheme="minorHAnsi"/>
          <w:spacing w:val="2"/>
        </w:rPr>
        <w:t>a</w:t>
      </w:r>
      <w:r w:rsidRPr="00585C2D">
        <w:rPr>
          <w:rFonts w:eastAsia="Arial" w:cstheme="minorHAnsi"/>
        </w:rPr>
        <w:t>n</w:t>
      </w:r>
      <w:r w:rsidRPr="00585C2D">
        <w:rPr>
          <w:rFonts w:eastAsia="Arial" w:cstheme="minorHAnsi"/>
          <w:spacing w:val="-2"/>
        </w:rPr>
        <w:t xml:space="preserve"> </w:t>
      </w:r>
      <w:proofErr w:type="gramStart"/>
      <w:r w:rsidRPr="00585C2D">
        <w:rPr>
          <w:rFonts w:eastAsia="Arial" w:cstheme="minorHAnsi"/>
        </w:rPr>
        <w:t>T</w:t>
      </w:r>
      <w:r w:rsidRPr="00585C2D">
        <w:rPr>
          <w:rFonts w:eastAsia="Arial" w:cstheme="minorHAnsi"/>
          <w:spacing w:val="1"/>
        </w:rPr>
        <w:t>A</w:t>
      </w:r>
      <w:r w:rsidRPr="00585C2D">
        <w:rPr>
          <w:rFonts w:eastAsia="Arial" w:cstheme="minorHAnsi"/>
        </w:rPr>
        <w:t>F</w:t>
      </w:r>
      <w:r w:rsidRPr="00585C2D">
        <w:rPr>
          <w:rFonts w:eastAsia="Arial" w:cstheme="minorHAnsi"/>
          <w:spacing w:val="-4"/>
        </w:rPr>
        <w:t>E</w:t>
      </w:r>
      <w:r w:rsidRPr="00585C2D">
        <w:rPr>
          <w:rFonts w:eastAsia="Arial" w:cstheme="minorHAnsi"/>
        </w:rPr>
        <w:t>;</w:t>
      </w:r>
      <w:proofErr w:type="gramEnd"/>
    </w:p>
    <w:p w14:paraId="0813FB52" w14:textId="77777777" w:rsidR="00FC0CF1" w:rsidRPr="00585C2D" w:rsidRDefault="00FC0CF1" w:rsidP="00FC0CF1">
      <w:pPr>
        <w:tabs>
          <w:tab w:val="left" w:pos="2180"/>
        </w:tabs>
        <w:spacing w:before="15" w:after="120" w:line="240" w:lineRule="auto"/>
        <w:ind w:left="1276" w:hanging="425"/>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7"/>
        </w:rPr>
        <w:t>W</w:t>
      </w:r>
      <w:r w:rsidRPr="00585C2D">
        <w:rPr>
          <w:rFonts w:eastAsia="Arial" w:cstheme="minorHAnsi"/>
          <w:spacing w:val="-3"/>
        </w:rPr>
        <w:t>e</w:t>
      </w:r>
      <w:r w:rsidRPr="00585C2D">
        <w:rPr>
          <w:rFonts w:eastAsia="Arial" w:cstheme="minorHAnsi"/>
          <w:spacing w:val="-5"/>
        </w:rPr>
        <w:t>s</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spacing w:val="2"/>
        </w:rPr>
        <w:t>u</w:t>
      </w:r>
      <w:r w:rsidRPr="00585C2D">
        <w:rPr>
          <w:rFonts w:eastAsia="Arial" w:cstheme="minorHAnsi"/>
        </w:rPr>
        <w:t>s</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l</w:t>
      </w:r>
      <w:r w:rsidRPr="00585C2D">
        <w:rPr>
          <w:rFonts w:eastAsia="Arial" w:cstheme="minorHAnsi"/>
          <w:spacing w:val="-6"/>
        </w:rPr>
        <w:t>i</w:t>
      </w:r>
      <w:r w:rsidRPr="00585C2D">
        <w:rPr>
          <w:rFonts w:eastAsia="Arial" w:cstheme="minorHAnsi"/>
          <w:spacing w:val="2"/>
        </w:rPr>
        <w:t>a</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2"/>
        </w:rPr>
        <w:t>Lo</w:t>
      </w:r>
      <w:r w:rsidRPr="00585C2D">
        <w:rPr>
          <w:rFonts w:eastAsia="Arial" w:cstheme="minorHAnsi"/>
          <w:spacing w:val="-5"/>
        </w:rPr>
        <w:t>c</w:t>
      </w:r>
      <w:r w:rsidRPr="00585C2D">
        <w:rPr>
          <w:rFonts w:eastAsia="Arial" w:cstheme="minorHAnsi"/>
          <w:spacing w:val="2"/>
        </w:rPr>
        <w:t>a</w:t>
      </w:r>
      <w:r w:rsidRPr="00585C2D">
        <w:rPr>
          <w:rFonts w:eastAsia="Arial" w:cstheme="minorHAnsi"/>
        </w:rPr>
        <w:t xml:space="preserve">l </w:t>
      </w:r>
      <w:r w:rsidRPr="00585C2D">
        <w:rPr>
          <w:rFonts w:eastAsia="Arial" w:cstheme="minorHAnsi"/>
          <w:spacing w:val="-4"/>
        </w:rPr>
        <w:t>G</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n</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1"/>
        </w:rPr>
        <w:t>A</w:t>
      </w:r>
      <w:r w:rsidRPr="00585C2D">
        <w:rPr>
          <w:rFonts w:eastAsia="Arial" w:cstheme="minorHAnsi"/>
        </w:rPr>
        <w:t>ss</w:t>
      </w:r>
      <w:r w:rsidRPr="00585C2D">
        <w:rPr>
          <w:rFonts w:eastAsia="Arial" w:cstheme="minorHAnsi"/>
          <w:spacing w:val="2"/>
        </w:rPr>
        <w:t>o</w:t>
      </w:r>
      <w:r w:rsidRPr="00585C2D">
        <w:rPr>
          <w:rFonts w:eastAsia="Arial" w:cstheme="minorHAnsi"/>
        </w:rPr>
        <w:t>c</w:t>
      </w:r>
      <w:r w:rsidRPr="00585C2D">
        <w:rPr>
          <w:rFonts w:eastAsia="Arial" w:cstheme="minorHAnsi"/>
          <w:spacing w:val="-6"/>
        </w:rPr>
        <w:t>i</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10"/>
        </w:rPr>
        <w:t xml:space="preserve"> </w:t>
      </w:r>
      <w:r w:rsidRPr="00585C2D">
        <w:rPr>
          <w:rFonts w:eastAsia="Arial" w:cstheme="minorHAnsi"/>
          <w:spacing w:val="-6"/>
        </w:rPr>
        <w:t>(</w:t>
      </w:r>
      <w:r w:rsidRPr="00585C2D">
        <w:rPr>
          <w:rFonts w:eastAsia="Arial" w:cstheme="minorHAnsi"/>
          <w:spacing w:val="7"/>
        </w:rPr>
        <w:t>W</w:t>
      </w:r>
      <w:r w:rsidRPr="00585C2D">
        <w:rPr>
          <w:rFonts w:eastAsia="Arial" w:cstheme="minorHAnsi"/>
          <w:spacing w:val="-3"/>
        </w:rPr>
        <w:t>AL</w:t>
      </w:r>
      <w:r w:rsidRPr="00585C2D">
        <w:rPr>
          <w:rFonts w:eastAsia="Arial" w:cstheme="minorHAnsi"/>
          <w:spacing w:val="1"/>
        </w:rPr>
        <w:t>GA</w:t>
      </w:r>
      <w:r w:rsidRPr="00585C2D">
        <w:rPr>
          <w:rFonts w:eastAsia="Arial" w:cstheme="minorHAnsi"/>
          <w:spacing w:val="-1"/>
        </w:rPr>
        <w:t>)</w:t>
      </w:r>
      <w:r w:rsidRPr="00585C2D">
        <w:rPr>
          <w:rFonts w:eastAsia="Arial" w:cstheme="minorHAnsi"/>
        </w:rPr>
        <w:t>.</w:t>
      </w:r>
    </w:p>
    <w:p w14:paraId="019D40E0" w14:textId="77777777" w:rsidR="00FC0CF1" w:rsidRPr="00585C2D" w:rsidRDefault="00FC0CF1" w:rsidP="00FC0CF1">
      <w:pPr>
        <w:spacing w:after="60" w:line="240" w:lineRule="auto"/>
        <w:ind w:left="850" w:hanging="425"/>
        <w:jc w:val="both"/>
        <w:rPr>
          <w:rFonts w:eastAsia="Arial" w:cstheme="minorHAnsi"/>
        </w:rPr>
      </w:pPr>
      <w:r w:rsidRPr="00585C2D">
        <w:rPr>
          <w:rFonts w:eastAsia="Arial" w:cstheme="minorHAnsi"/>
          <w:spacing w:val="2"/>
        </w:rPr>
        <w:t>d</w:t>
      </w:r>
      <w:r>
        <w:rPr>
          <w:rFonts w:eastAsia="Arial" w:cstheme="minorHAnsi"/>
        </w:rPr>
        <w:t>.</w:t>
      </w:r>
      <w:r>
        <w:rPr>
          <w:rFonts w:eastAsia="Arial" w:cstheme="minorHAnsi"/>
        </w:rPr>
        <w:tab/>
      </w:r>
      <w:r w:rsidRPr="00585C2D">
        <w:rPr>
          <w:rFonts w:eastAsia="Arial" w:cstheme="minorHAnsi"/>
          <w:spacing w:val="2"/>
        </w:rPr>
        <w:t>A</w:t>
      </w:r>
      <w:r w:rsidRPr="00585C2D">
        <w:rPr>
          <w:rFonts w:eastAsia="Arial" w:cstheme="minorHAnsi"/>
        </w:rPr>
        <w:t>n</w:t>
      </w:r>
      <w:r w:rsidRPr="00585C2D">
        <w:rPr>
          <w:rFonts w:eastAsia="Arial" w:cstheme="minorHAnsi"/>
          <w:spacing w:val="18"/>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18"/>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14"/>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15"/>
        </w:rPr>
        <w:t xml:space="preserve"> </w:t>
      </w:r>
      <w:r w:rsidRPr="00585C2D">
        <w:rPr>
          <w:rFonts w:eastAsia="Arial" w:cstheme="minorHAnsi"/>
          <w:spacing w:val="2"/>
        </w:rPr>
        <w:t>e</w:t>
      </w:r>
      <w:r w:rsidRPr="00585C2D">
        <w:rPr>
          <w:rFonts w:eastAsia="Arial" w:cstheme="minorHAnsi"/>
          <w:spacing w:val="-5"/>
        </w:rPr>
        <w:t>x</w:t>
      </w:r>
      <w:r w:rsidRPr="00585C2D">
        <w:rPr>
          <w:rFonts w:eastAsia="Arial" w:cstheme="minorHAnsi"/>
          <w:spacing w:val="2"/>
        </w:rPr>
        <w:t>e</w:t>
      </w:r>
      <w:r w:rsidRPr="00585C2D">
        <w:rPr>
          <w:rFonts w:eastAsia="Arial" w:cstheme="minorHAnsi"/>
          <w:spacing w:val="-2"/>
        </w:rPr>
        <w:t>m</w:t>
      </w:r>
      <w:r w:rsidRPr="00585C2D">
        <w:rPr>
          <w:rFonts w:eastAsia="Arial" w:cstheme="minorHAnsi"/>
          <w:spacing w:val="-3"/>
        </w:rPr>
        <w:t>p</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6"/>
        </w:rPr>
        <w:t>f</w:t>
      </w:r>
      <w:r w:rsidRPr="00585C2D">
        <w:rPr>
          <w:rFonts w:eastAsia="Arial" w:cstheme="minorHAnsi"/>
          <w:spacing w:val="-2"/>
        </w:rPr>
        <w:t>r</w:t>
      </w:r>
      <w:r w:rsidRPr="00585C2D">
        <w:rPr>
          <w:rFonts w:eastAsia="Arial" w:cstheme="minorHAnsi"/>
          <w:spacing w:val="2"/>
        </w:rPr>
        <w:t>o</w:t>
      </w:r>
      <w:r w:rsidRPr="00585C2D">
        <w:rPr>
          <w:rFonts w:eastAsia="Arial" w:cstheme="minorHAnsi"/>
        </w:rPr>
        <w:t>m</w:t>
      </w:r>
      <w:r w:rsidRPr="00585C2D">
        <w:rPr>
          <w:rFonts w:eastAsia="Arial" w:cstheme="minorHAnsi"/>
          <w:spacing w:val="14"/>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7"/>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qu</w:t>
      </w:r>
      <w:r w:rsidRPr="00585C2D">
        <w:rPr>
          <w:rFonts w:eastAsia="Arial" w:cstheme="minorHAnsi"/>
          <w:spacing w:val="-1"/>
        </w:rPr>
        <w:t>i</w:t>
      </w:r>
      <w:r w:rsidRPr="00585C2D">
        <w:rPr>
          <w:rFonts w:eastAsia="Arial" w:cstheme="minorHAnsi"/>
          <w:spacing w:val="-2"/>
        </w:rPr>
        <w:t>r</w:t>
      </w:r>
      <w:r w:rsidRPr="00585C2D">
        <w:rPr>
          <w:rFonts w:eastAsia="Arial" w:cstheme="minorHAnsi"/>
          <w:spacing w:val="2"/>
        </w:rPr>
        <w:t>e</w:t>
      </w:r>
      <w:r w:rsidRPr="00585C2D">
        <w:rPr>
          <w:rFonts w:eastAsia="Arial" w:cstheme="minorHAnsi"/>
          <w:spacing w:val="-6"/>
        </w:rPr>
        <w:t>m</w:t>
      </w:r>
      <w:r w:rsidRPr="00585C2D">
        <w:rPr>
          <w:rFonts w:eastAsia="Arial" w:cstheme="minorHAnsi"/>
          <w:spacing w:val="2"/>
        </w:rPr>
        <w:t>en</w:t>
      </w:r>
      <w:r w:rsidRPr="00585C2D">
        <w:rPr>
          <w:rFonts w:eastAsia="Arial" w:cstheme="minorHAnsi"/>
          <w:spacing w:val="8"/>
        </w:rPr>
        <w:t>t</w:t>
      </w:r>
      <w:r w:rsidRPr="00585C2D">
        <w:rPr>
          <w:rFonts w:eastAsia="Arial" w:cstheme="minorHAnsi"/>
        </w:rPr>
        <w:t>s</w:t>
      </w:r>
      <w:r w:rsidRPr="00585C2D">
        <w:rPr>
          <w:rFonts w:eastAsia="Arial" w:cstheme="minorHAnsi"/>
          <w:spacing w:val="11"/>
        </w:rPr>
        <w:t xml:space="preserve"> </w:t>
      </w:r>
      <w:r w:rsidRPr="00585C2D">
        <w:rPr>
          <w:rFonts w:eastAsia="Arial" w:cstheme="minorHAnsi"/>
          <w:spacing w:val="2"/>
        </w:rPr>
        <w:t>o</w:t>
      </w:r>
      <w:r w:rsidRPr="00585C2D">
        <w:rPr>
          <w:rFonts w:eastAsia="Arial" w:cstheme="minorHAnsi"/>
          <w:spacing w:val="-3"/>
        </w:rPr>
        <w:t>u</w:t>
      </w:r>
      <w:r w:rsidRPr="00585C2D">
        <w:rPr>
          <w:rFonts w:eastAsia="Arial" w:cstheme="minorHAnsi"/>
          <w:spacing w:val="1"/>
        </w:rPr>
        <w:t>t</w:t>
      </w:r>
      <w:r w:rsidRPr="00585C2D">
        <w:rPr>
          <w:rFonts w:eastAsia="Arial" w:cstheme="minorHAnsi"/>
          <w:spacing w:val="-1"/>
        </w:rPr>
        <w:t>li</w:t>
      </w:r>
      <w:r w:rsidRPr="00585C2D">
        <w:rPr>
          <w:rFonts w:eastAsia="Arial" w:cstheme="minorHAnsi"/>
          <w:spacing w:val="2"/>
        </w:rPr>
        <w:t>n</w:t>
      </w:r>
      <w:r w:rsidRPr="00585C2D">
        <w:rPr>
          <w:rFonts w:eastAsia="Arial" w:cstheme="minorHAnsi"/>
          <w:spacing w:val="-3"/>
        </w:rPr>
        <w:t>e</w:t>
      </w:r>
      <w:r w:rsidRPr="00585C2D">
        <w:rPr>
          <w:rFonts w:eastAsia="Arial" w:cstheme="minorHAnsi"/>
        </w:rPr>
        <w:t>d</w:t>
      </w:r>
      <w:r w:rsidRPr="00585C2D">
        <w:rPr>
          <w:rFonts w:eastAsia="Arial" w:cstheme="minorHAnsi"/>
          <w:spacing w:val="19"/>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17"/>
        </w:rPr>
        <w:t xml:space="preserve"> </w:t>
      </w:r>
      <w:r w:rsidRPr="00585C2D">
        <w:rPr>
          <w:rFonts w:eastAsia="Arial" w:cstheme="minorHAnsi"/>
          <w:spacing w:val="-5"/>
        </w:rPr>
        <w:t>s</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17"/>
        </w:rPr>
        <w:t xml:space="preserve"> </w:t>
      </w:r>
      <w:r w:rsidRPr="00585C2D">
        <w:rPr>
          <w:rFonts w:eastAsia="Arial" w:cstheme="minorHAnsi"/>
          <w:spacing w:val="-3"/>
        </w:rPr>
        <w:t>5</w:t>
      </w:r>
      <w:r w:rsidRPr="00585C2D">
        <w:rPr>
          <w:rFonts w:eastAsia="Arial" w:cstheme="minorHAnsi"/>
          <w:spacing w:val="1"/>
        </w:rPr>
        <w:t>.</w:t>
      </w:r>
      <w:r w:rsidRPr="00585C2D">
        <w:rPr>
          <w:rFonts w:eastAsia="Arial" w:cstheme="minorHAnsi"/>
          <w:spacing w:val="-3"/>
        </w:rPr>
        <w:t>1</w:t>
      </w:r>
      <w:r w:rsidRPr="00585C2D">
        <w:rPr>
          <w:rFonts w:eastAsia="Arial" w:cstheme="minorHAnsi"/>
          <w:spacing w:val="2"/>
        </w:rPr>
        <w:t>26</w:t>
      </w:r>
      <w:r w:rsidRPr="00585C2D">
        <w:rPr>
          <w:rFonts w:eastAsia="Arial" w:cstheme="minorHAnsi"/>
          <w:spacing w:val="-2"/>
        </w:rPr>
        <w:t>(</w:t>
      </w:r>
      <w:r w:rsidRPr="00585C2D">
        <w:rPr>
          <w:rFonts w:eastAsia="Arial" w:cstheme="minorHAnsi"/>
          <w:spacing w:val="2"/>
        </w:rPr>
        <w:t>1</w:t>
      </w:r>
      <w:r w:rsidRPr="00585C2D">
        <w:rPr>
          <w:rFonts w:eastAsia="Arial" w:cstheme="minorHAnsi"/>
        </w:rPr>
        <w:t>)</w:t>
      </w:r>
      <w:r w:rsidRPr="00585C2D">
        <w:rPr>
          <w:rFonts w:eastAsia="Arial" w:cstheme="minorHAnsi"/>
          <w:spacing w:val="9"/>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1"/>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8"/>
        </w:rPr>
        <w:t xml:space="preserve"> </w:t>
      </w:r>
      <w:r w:rsidRPr="00585C2D">
        <w:rPr>
          <w:rFonts w:eastAsia="Arial" w:cstheme="minorHAnsi"/>
          <w:i/>
          <w:spacing w:val="2"/>
        </w:rPr>
        <w:t>Lo</w:t>
      </w:r>
      <w:r w:rsidRPr="00585C2D">
        <w:rPr>
          <w:rFonts w:eastAsia="Arial" w:cstheme="minorHAnsi"/>
          <w:i/>
          <w:spacing w:val="-5"/>
        </w:rPr>
        <w:t>c</w:t>
      </w:r>
      <w:r w:rsidRPr="00585C2D">
        <w:rPr>
          <w:rFonts w:eastAsia="Arial" w:cstheme="minorHAnsi"/>
          <w:i/>
          <w:spacing w:val="2"/>
        </w:rPr>
        <w:t>a</w:t>
      </w:r>
      <w:r w:rsidRPr="00585C2D">
        <w:rPr>
          <w:rFonts w:eastAsia="Arial" w:cstheme="minorHAnsi"/>
          <w:i/>
        </w:rPr>
        <w:t xml:space="preserve">l </w:t>
      </w:r>
      <w:r w:rsidRPr="00585C2D">
        <w:rPr>
          <w:rFonts w:eastAsia="Arial" w:cstheme="minorHAnsi"/>
          <w:i/>
          <w:spacing w:val="1"/>
        </w:rPr>
        <w:t>G</w:t>
      </w:r>
      <w:r w:rsidRPr="00585C2D">
        <w:rPr>
          <w:rFonts w:eastAsia="Arial" w:cstheme="minorHAnsi"/>
          <w:i/>
          <w:spacing w:val="2"/>
        </w:rPr>
        <w:t>o</w:t>
      </w:r>
      <w:r w:rsidRPr="00585C2D">
        <w:rPr>
          <w:rFonts w:eastAsia="Arial" w:cstheme="minorHAnsi"/>
          <w:i/>
        </w:rPr>
        <w:t>v</w:t>
      </w:r>
      <w:r w:rsidRPr="00585C2D">
        <w:rPr>
          <w:rFonts w:eastAsia="Arial" w:cstheme="minorHAnsi"/>
          <w:i/>
          <w:spacing w:val="2"/>
        </w:rPr>
        <w:t>e</w:t>
      </w:r>
      <w:r w:rsidRPr="00585C2D">
        <w:rPr>
          <w:rFonts w:eastAsia="Arial" w:cstheme="minorHAnsi"/>
          <w:i/>
          <w:spacing w:val="-6"/>
        </w:rPr>
        <w:t>r</w:t>
      </w:r>
      <w:r w:rsidRPr="00585C2D">
        <w:rPr>
          <w:rFonts w:eastAsia="Arial" w:cstheme="minorHAnsi"/>
          <w:i/>
          <w:spacing w:val="2"/>
        </w:rPr>
        <w:t>n</w:t>
      </w:r>
      <w:r w:rsidRPr="00585C2D">
        <w:rPr>
          <w:rFonts w:eastAsia="Arial" w:cstheme="minorHAnsi"/>
          <w:i/>
          <w:spacing w:val="-2"/>
        </w:rPr>
        <w:t>m</w:t>
      </w:r>
      <w:r w:rsidRPr="00585C2D">
        <w:rPr>
          <w:rFonts w:eastAsia="Arial" w:cstheme="minorHAnsi"/>
          <w:i/>
          <w:spacing w:val="-3"/>
        </w:rPr>
        <w:t>e</w:t>
      </w:r>
      <w:r w:rsidRPr="00585C2D">
        <w:rPr>
          <w:rFonts w:eastAsia="Arial" w:cstheme="minorHAnsi"/>
          <w:i/>
          <w:spacing w:val="2"/>
        </w:rPr>
        <w:t>n</w:t>
      </w:r>
      <w:r w:rsidRPr="00585C2D">
        <w:rPr>
          <w:rFonts w:eastAsia="Arial" w:cstheme="minorHAnsi"/>
          <w:i/>
        </w:rPr>
        <w:t>t</w:t>
      </w:r>
      <w:r w:rsidRPr="00585C2D">
        <w:rPr>
          <w:rFonts w:eastAsia="Arial" w:cstheme="minorHAnsi"/>
          <w:i/>
          <w:spacing w:val="3"/>
        </w:rPr>
        <w:t xml:space="preserve"> </w:t>
      </w:r>
      <w:r w:rsidRPr="00585C2D">
        <w:rPr>
          <w:rFonts w:eastAsia="Arial" w:cstheme="minorHAnsi"/>
          <w:i/>
          <w:spacing w:val="1"/>
        </w:rPr>
        <w:t>A</w:t>
      </w:r>
      <w:r w:rsidRPr="00585C2D">
        <w:rPr>
          <w:rFonts w:eastAsia="Arial" w:cstheme="minorHAnsi"/>
          <w:i/>
        </w:rPr>
        <w:t>ct</w:t>
      </w:r>
      <w:r w:rsidRPr="00585C2D">
        <w:rPr>
          <w:rFonts w:eastAsia="Arial" w:cstheme="minorHAnsi"/>
          <w:i/>
          <w:spacing w:val="3"/>
        </w:rPr>
        <w:t xml:space="preserve"> </w:t>
      </w:r>
      <w:r w:rsidRPr="00585C2D">
        <w:rPr>
          <w:rFonts w:eastAsia="Arial" w:cstheme="minorHAnsi"/>
          <w:i/>
          <w:spacing w:val="2"/>
        </w:rPr>
        <w:t>1</w:t>
      </w:r>
      <w:r w:rsidRPr="00585C2D">
        <w:rPr>
          <w:rFonts w:eastAsia="Arial" w:cstheme="minorHAnsi"/>
          <w:i/>
          <w:spacing w:val="-3"/>
        </w:rPr>
        <w:t>9</w:t>
      </w:r>
      <w:r w:rsidRPr="00585C2D">
        <w:rPr>
          <w:rFonts w:eastAsia="Arial" w:cstheme="minorHAnsi"/>
          <w:i/>
          <w:spacing w:val="2"/>
        </w:rPr>
        <w:t>9</w:t>
      </w:r>
      <w:r w:rsidRPr="00585C2D">
        <w:rPr>
          <w:rFonts w:eastAsia="Arial" w:cstheme="minorHAnsi"/>
          <w:i/>
        </w:rPr>
        <w:t>5</w:t>
      </w:r>
      <w:r w:rsidRPr="00585C2D">
        <w:rPr>
          <w:rFonts w:eastAsia="Arial" w:cstheme="minorHAnsi"/>
          <w:i/>
          <w:spacing w:val="7"/>
        </w:rPr>
        <w:t xml:space="preserve"> </w:t>
      </w:r>
      <w:r w:rsidRPr="00585C2D">
        <w:rPr>
          <w:rFonts w:eastAsia="Arial" w:cstheme="minorHAnsi"/>
          <w:spacing w:val="-6"/>
        </w:rPr>
        <w:t>i</w:t>
      </w:r>
      <w:r w:rsidRPr="00585C2D">
        <w:rPr>
          <w:rFonts w:eastAsia="Arial" w:cstheme="minorHAnsi"/>
        </w:rPr>
        <w:t>f</w:t>
      </w:r>
      <w:r w:rsidRPr="00585C2D">
        <w:rPr>
          <w:rFonts w:eastAsia="Arial" w:cstheme="minorHAnsi"/>
          <w:spacing w:val="1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4"/>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9"/>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 xml:space="preserve">r </w:t>
      </w:r>
      <w:r w:rsidRPr="00585C2D">
        <w:rPr>
          <w:rFonts w:eastAsia="Arial" w:cstheme="minorHAnsi"/>
          <w:spacing w:val="-3"/>
        </w:rPr>
        <w:t>p</w:t>
      </w:r>
      <w:r w:rsidRPr="00585C2D">
        <w:rPr>
          <w:rFonts w:eastAsia="Arial" w:cstheme="minorHAnsi"/>
          <w:spacing w:val="2"/>
        </w:rPr>
        <w:t>a</w:t>
      </w:r>
      <w:r w:rsidRPr="00585C2D">
        <w:rPr>
          <w:rFonts w:eastAsia="Arial" w:cstheme="minorHAnsi"/>
          <w:spacing w:val="-5"/>
        </w:rPr>
        <w:t>s</w:t>
      </w:r>
      <w:r w:rsidRPr="00585C2D">
        <w:rPr>
          <w:rFonts w:eastAsia="Arial" w:cstheme="minorHAnsi"/>
        </w:rPr>
        <w:t>s</w:t>
      </w:r>
      <w:r w:rsidRPr="00585C2D">
        <w:rPr>
          <w:rFonts w:eastAsia="Arial" w:cstheme="minorHAnsi"/>
          <w:spacing w:val="2"/>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2"/>
        </w:rPr>
        <w:t>e</w:t>
      </w:r>
      <w:r w:rsidRPr="00585C2D">
        <w:rPr>
          <w:rFonts w:eastAsia="Arial" w:cstheme="minorHAnsi"/>
          <w:spacing w:val="-1"/>
        </w:rPr>
        <w:t>i</w:t>
      </w:r>
      <w:r w:rsidRPr="00585C2D">
        <w:rPr>
          <w:rFonts w:eastAsia="Arial" w:cstheme="minorHAnsi"/>
          <w:spacing w:val="-4"/>
        </w:rPr>
        <w:t>t</w:t>
      </w:r>
      <w:r w:rsidRPr="00585C2D">
        <w:rPr>
          <w:rFonts w:eastAsia="Arial" w:cstheme="minorHAnsi"/>
          <w:spacing w:val="2"/>
        </w:rPr>
        <w:t>he</w:t>
      </w:r>
      <w:r w:rsidRPr="00585C2D">
        <w:rPr>
          <w:rFonts w:eastAsia="Arial" w:cstheme="minorHAnsi"/>
        </w:rPr>
        <w:t xml:space="preserve">r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spacing w:val="-1"/>
        </w:rPr>
        <w:t>ll</w:t>
      </w:r>
      <w:r w:rsidRPr="00585C2D">
        <w:rPr>
          <w:rFonts w:eastAsia="Arial" w:cstheme="minorHAnsi"/>
          <w:spacing w:val="2"/>
        </w:rPr>
        <w:t>o</w:t>
      </w:r>
      <w:r w:rsidRPr="00585C2D">
        <w:rPr>
          <w:rFonts w:eastAsia="Arial" w:cstheme="minorHAnsi"/>
          <w:spacing w:val="-1"/>
        </w:rPr>
        <w:t>wi</w:t>
      </w:r>
      <w:r w:rsidRPr="00585C2D">
        <w:rPr>
          <w:rFonts w:eastAsia="Arial" w:cstheme="minorHAnsi"/>
          <w:spacing w:val="-3"/>
        </w:rPr>
        <w:t>n</w:t>
      </w:r>
      <w:r w:rsidRPr="00585C2D">
        <w:rPr>
          <w:rFonts w:eastAsia="Arial" w:cstheme="minorHAnsi"/>
        </w:rPr>
        <w:t>g</w:t>
      </w:r>
      <w:r w:rsidRPr="00585C2D">
        <w:rPr>
          <w:rFonts w:eastAsia="Arial" w:cstheme="minorHAnsi"/>
          <w:spacing w:val="8"/>
        </w:rPr>
        <w:t xml:space="preserve"> </w:t>
      </w:r>
      <w:r w:rsidRPr="00585C2D">
        <w:rPr>
          <w:rFonts w:eastAsia="Arial" w:cstheme="minorHAnsi"/>
          <w:spacing w:val="-5"/>
        </w:rPr>
        <w:t>c</w:t>
      </w:r>
      <w:r w:rsidRPr="00585C2D">
        <w:rPr>
          <w:rFonts w:eastAsia="Arial" w:cstheme="minorHAnsi"/>
          <w:spacing w:val="2"/>
        </w:rPr>
        <w:t>ou</w:t>
      </w:r>
      <w:r w:rsidRPr="00585C2D">
        <w:rPr>
          <w:rFonts w:eastAsia="Arial" w:cstheme="minorHAnsi"/>
          <w:spacing w:val="-2"/>
        </w:rPr>
        <w:t>r</w:t>
      </w:r>
      <w:r w:rsidRPr="00585C2D">
        <w:rPr>
          <w:rFonts w:eastAsia="Arial" w:cstheme="minorHAnsi"/>
        </w:rPr>
        <w:t>s</w:t>
      </w:r>
      <w:r w:rsidRPr="00585C2D">
        <w:rPr>
          <w:rFonts w:eastAsia="Arial" w:cstheme="minorHAnsi"/>
          <w:spacing w:val="2"/>
        </w:rPr>
        <w:t>e</w:t>
      </w:r>
      <w:r w:rsidRPr="00585C2D">
        <w:rPr>
          <w:rFonts w:eastAsia="Arial" w:cstheme="minorHAnsi"/>
        </w:rPr>
        <w:t>s</w:t>
      </w:r>
      <w:r w:rsidRPr="00585C2D">
        <w:rPr>
          <w:rFonts w:eastAsia="Arial" w:cstheme="minorHAnsi"/>
          <w:spacing w:val="2"/>
        </w:rPr>
        <w:t xml:space="preserve"> </w:t>
      </w:r>
      <w:r w:rsidRPr="00585C2D">
        <w:rPr>
          <w:rFonts w:eastAsia="Arial" w:cstheme="minorHAnsi"/>
          <w:spacing w:val="-1"/>
        </w:rPr>
        <w:t>wi</w:t>
      </w:r>
      <w:r w:rsidRPr="00585C2D">
        <w:rPr>
          <w:rFonts w:eastAsia="Arial" w:cstheme="minorHAnsi"/>
          <w:spacing w:val="1"/>
        </w:rPr>
        <w:t>t</w:t>
      </w:r>
      <w:r w:rsidRPr="00585C2D">
        <w:rPr>
          <w:rFonts w:eastAsia="Arial" w:cstheme="minorHAnsi"/>
          <w:spacing w:val="2"/>
        </w:rPr>
        <w:t>h</w:t>
      </w:r>
      <w:r w:rsidRPr="00585C2D">
        <w:rPr>
          <w:rFonts w:eastAsia="Arial" w:cstheme="minorHAnsi"/>
          <w:spacing w:val="-6"/>
        </w:rPr>
        <w:t>i</w:t>
      </w:r>
      <w:r w:rsidRPr="00585C2D">
        <w:rPr>
          <w:rFonts w:eastAsia="Arial" w:cstheme="minorHAnsi"/>
        </w:rPr>
        <w:t>n</w:t>
      </w:r>
      <w:r w:rsidRPr="00585C2D">
        <w:rPr>
          <w:rFonts w:eastAsia="Arial" w:cstheme="minorHAnsi"/>
          <w:spacing w:val="8"/>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 xml:space="preserve">e </w:t>
      </w:r>
      <w:r w:rsidRPr="00585C2D">
        <w:rPr>
          <w:rFonts w:eastAsia="Arial" w:cstheme="minorHAnsi"/>
          <w:spacing w:val="2"/>
        </w:rPr>
        <w:t>pe</w:t>
      </w:r>
      <w:r w:rsidRPr="00585C2D">
        <w:rPr>
          <w:rFonts w:eastAsia="Arial" w:cstheme="minorHAnsi"/>
          <w:spacing w:val="-2"/>
        </w:rPr>
        <w:t>r</w:t>
      </w:r>
      <w:r w:rsidRPr="00585C2D">
        <w:rPr>
          <w:rFonts w:eastAsia="Arial" w:cstheme="minorHAnsi"/>
          <w:spacing w:val="-1"/>
        </w:rPr>
        <w:t>i</w:t>
      </w:r>
      <w:r w:rsidRPr="00585C2D">
        <w:rPr>
          <w:rFonts w:eastAsia="Arial" w:cstheme="minorHAnsi"/>
          <w:spacing w:val="-3"/>
        </w:rPr>
        <w:t>o</w:t>
      </w:r>
      <w:r w:rsidRPr="00585C2D">
        <w:rPr>
          <w:rFonts w:eastAsia="Arial" w:cstheme="minorHAnsi"/>
        </w:rPr>
        <w:t>d</w:t>
      </w:r>
      <w:r w:rsidRPr="00585C2D">
        <w:rPr>
          <w:rFonts w:eastAsia="Arial" w:cstheme="minorHAnsi"/>
          <w:spacing w:val="6"/>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5"/>
        </w:rPr>
        <w:t xml:space="preserve"> </w:t>
      </w:r>
      <w:r w:rsidRPr="00585C2D">
        <w:rPr>
          <w:rFonts w:eastAsia="Arial" w:cstheme="minorHAnsi"/>
          <w:spacing w:val="6"/>
        </w:rPr>
        <w:t>f</w:t>
      </w:r>
      <w:r w:rsidRPr="00585C2D">
        <w:rPr>
          <w:rFonts w:eastAsia="Arial" w:cstheme="minorHAnsi"/>
          <w:spacing w:val="-1"/>
        </w:rPr>
        <w:t>i</w:t>
      </w:r>
      <w:r w:rsidRPr="00585C2D">
        <w:rPr>
          <w:rFonts w:eastAsia="Arial" w:cstheme="minorHAnsi"/>
          <w:spacing w:val="-5"/>
        </w:rPr>
        <w:t>v</w:t>
      </w:r>
      <w:r w:rsidRPr="00585C2D">
        <w:rPr>
          <w:rFonts w:eastAsia="Arial" w:cstheme="minorHAnsi"/>
        </w:rPr>
        <w:t>e</w:t>
      </w:r>
      <w:r w:rsidRPr="00585C2D">
        <w:rPr>
          <w:rFonts w:eastAsia="Arial" w:cstheme="minorHAnsi"/>
          <w:spacing w:val="6"/>
        </w:rPr>
        <w:t xml:space="preserve"> </w:t>
      </w:r>
      <w:r w:rsidRPr="00585C2D">
        <w:rPr>
          <w:rFonts w:eastAsia="Arial" w:cstheme="minorHAnsi"/>
        </w:rPr>
        <w:t>y</w:t>
      </w:r>
      <w:r w:rsidRPr="00585C2D">
        <w:rPr>
          <w:rFonts w:eastAsia="Arial" w:cstheme="minorHAnsi"/>
          <w:spacing w:val="-3"/>
        </w:rPr>
        <w:t>e</w:t>
      </w:r>
      <w:r w:rsidRPr="00585C2D">
        <w:rPr>
          <w:rFonts w:eastAsia="Arial" w:cstheme="minorHAnsi"/>
          <w:spacing w:val="2"/>
        </w:rPr>
        <w:t>a</w:t>
      </w:r>
      <w:r w:rsidRPr="00585C2D">
        <w:rPr>
          <w:rFonts w:eastAsia="Arial" w:cstheme="minorHAnsi"/>
          <w:spacing w:val="-2"/>
        </w:rPr>
        <w:t>r</w:t>
      </w:r>
      <w:r w:rsidRPr="00585C2D">
        <w:rPr>
          <w:rFonts w:eastAsia="Arial" w:cstheme="minorHAnsi"/>
        </w:rPr>
        <w:t>s</w:t>
      </w:r>
      <w:r w:rsidRPr="00585C2D">
        <w:rPr>
          <w:rFonts w:eastAsia="Arial" w:cstheme="minorHAnsi"/>
          <w:spacing w:val="5"/>
        </w:rPr>
        <w:t xml:space="preserve"> </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6"/>
        </w:rPr>
        <w:t xml:space="preserve"> </w:t>
      </w:r>
      <w:r w:rsidRPr="00585C2D">
        <w:rPr>
          <w:rFonts w:eastAsia="Arial" w:cstheme="minorHAnsi"/>
          <w:spacing w:val="-1"/>
        </w:rPr>
        <w:t>i</w:t>
      </w:r>
      <w:r w:rsidRPr="00585C2D">
        <w:rPr>
          <w:rFonts w:eastAsia="Arial" w:cstheme="minorHAnsi"/>
          <w:spacing w:val="-2"/>
        </w:rPr>
        <w:t>mm</w:t>
      </w:r>
      <w:r w:rsidRPr="00585C2D">
        <w:rPr>
          <w:rFonts w:eastAsia="Arial" w:cstheme="minorHAnsi"/>
          <w:spacing w:val="2"/>
        </w:rPr>
        <w:t>ed</w:t>
      </w:r>
      <w:r w:rsidRPr="00585C2D">
        <w:rPr>
          <w:rFonts w:eastAsia="Arial" w:cstheme="minorHAnsi"/>
          <w:spacing w:val="-1"/>
        </w:rPr>
        <w:t>i</w:t>
      </w:r>
      <w:r w:rsidRPr="00585C2D">
        <w:rPr>
          <w:rFonts w:eastAsia="Arial" w:cstheme="minorHAnsi"/>
          <w:spacing w:val="2"/>
        </w:rPr>
        <w:t>a</w:t>
      </w:r>
      <w:r w:rsidRPr="00585C2D">
        <w:rPr>
          <w:rFonts w:eastAsia="Arial" w:cstheme="minorHAnsi"/>
          <w:spacing w:val="-4"/>
        </w:rPr>
        <w:t>t</w:t>
      </w:r>
      <w:r w:rsidRPr="00585C2D">
        <w:rPr>
          <w:rFonts w:eastAsia="Arial" w:cstheme="minorHAnsi"/>
          <w:spacing w:val="2"/>
        </w:rPr>
        <w:t>e</w:t>
      </w:r>
      <w:r w:rsidRPr="00585C2D">
        <w:rPr>
          <w:rFonts w:eastAsia="Arial" w:cstheme="minorHAnsi"/>
          <w:spacing w:val="-1"/>
        </w:rPr>
        <w:t>l</w:t>
      </w:r>
      <w:r w:rsidRPr="00585C2D">
        <w:rPr>
          <w:rFonts w:eastAsia="Arial" w:cstheme="minorHAnsi"/>
        </w:rPr>
        <w:t>y</w:t>
      </w:r>
      <w:r w:rsidRPr="00585C2D">
        <w:rPr>
          <w:rFonts w:eastAsia="Arial" w:cstheme="minorHAnsi"/>
          <w:spacing w:val="5"/>
        </w:rPr>
        <w:t xml:space="preserve"> </w:t>
      </w:r>
      <w:r w:rsidRPr="00585C2D">
        <w:rPr>
          <w:rFonts w:eastAsia="Arial" w:cstheme="minorHAnsi"/>
          <w:spacing w:val="-3"/>
        </w:rPr>
        <w:t>be</w:t>
      </w:r>
      <w:r w:rsidRPr="00585C2D">
        <w:rPr>
          <w:rFonts w:eastAsia="Arial" w:cstheme="minorHAnsi"/>
          <w:spacing w:val="6"/>
        </w:rPr>
        <w:t>f</w:t>
      </w:r>
      <w:r w:rsidRPr="00585C2D">
        <w:rPr>
          <w:rFonts w:eastAsia="Arial" w:cstheme="minorHAnsi"/>
          <w:spacing w:val="2"/>
        </w:rPr>
        <w:t>o</w:t>
      </w:r>
      <w:r w:rsidRPr="00585C2D">
        <w:rPr>
          <w:rFonts w:eastAsia="Arial" w:cstheme="minorHAnsi"/>
          <w:spacing w:val="-6"/>
        </w:rPr>
        <w:t>r</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2"/>
        </w:rPr>
        <w:t>da</w:t>
      </w:r>
      <w:r w:rsidRPr="00585C2D">
        <w:rPr>
          <w:rFonts w:eastAsia="Arial" w:cstheme="minorHAnsi"/>
        </w:rPr>
        <w:t xml:space="preserve">y </w:t>
      </w:r>
      <w:r w:rsidRPr="00585C2D">
        <w:rPr>
          <w:rFonts w:eastAsia="Arial" w:cstheme="minorHAnsi"/>
          <w:spacing w:val="2"/>
        </w:rPr>
        <w:t>o</w:t>
      </w:r>
      <w:r w:rsidRPr="00585C2D">
        <w:rPr>
          <w:rFonts w:eastAsia="Arial" w:cstheme="minorHAnsi"/>
        </w:rPr>
        <w:t>n</w:t>
      </w:r>
      <w:r w:rsidRPr="00585C2D">
        <w:rPr>
          <w:rFonts w:eastAsia="Arial" w:cstheme="minorHAnsi"/>
          <w:spacing w:val="6"/>
        </w:rPr>
        <w:t xml:space="preserve"> </w:t>
      </w:r>
      <w:r w:rsidRPr="00585C2D">
        <w:rPr>
          <w:rFonts w:eastAsia="Arial" w:cstheme="minorHAnsi"/>
          <w:spacing w:val="-6"/>
        </w:rPr>
        <w:t>w</w:t>
      </w:r>
      <w:r w:rsidRPr="00585C2D">
        <w:rPr>
          <w:rFonts w:eastAsia="Arial" w:cstheme="minorHAnsi"/>
          <w:spacing w:val="2"/>
        </w:rPr>
        <w:t>h</w:t>
      </w:r>
      <w:r w:rsidRPr="00585C2D">
        <w:rPr>
          <w:rFonts w:eastAsia="Arial" w:cstheme="minorHAnsi"/>
          <w:spacing w:val="-1"/>
        </w:rPr>
        <w:t>i</w:t>
      </w:r>
      <w:r w:rsidRPr="00585C2D">
        <w:rPr>
          <w:rFonts w:eastAsia="Arial" w:cstheme="minorHAnsi"/>
        </w:rPr>
        <w:t>ch</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1"/>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8"/>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 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2"/>
        </w:rPr>
        <w:t>en</w:t>
      </w:r>
      <w:r w:rsidRPr="00585C2D">
        <w:rPr>
          <w:rFonts w:eastAsia="Arial" w:cstheme="minorHAnsi"/>
          <w:spacing w:val="-5"/>
        </w:rPr>
        <w:t>c</w:t>
      </w:r>
      <w:r w:rsidRPr="00585C2D">
        <w:rPr>
          <w:rFonts w:eastAsia="Arial" w:cstheme="minorHAnsi"/>
          <w:spacing w:val="2"/>
        </w:rPr>
        <w:t>e</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1"/>
        </w:rPr>
        <w:t>t</w:t>
      </w:r>
      <w:r w:rsidRPr="00585C2D">
        <w:rPr>
          <w:rFonts w:eastAsia="Arial" w:cstheme="minorHAnsi"/>
          <w:spacing w:val="2"/>
        </w:rPr>
        <w:t>e</w:t>
      </w:r>
      <w:r w:rsidRPr="00585C2D">
        <w:rPr>
          <w:rFonts w:eastAsia="Arial" w:cstheme="minorHAnsi"/>
          <w:spacing w:val="-2"/>
        </w:rPr>
        <w:t>r</w:t>
      </w:r>
      <w:r w:rsidRPr="00585C2D">
        <w:rPr>
          <w:rFonts w:eastAsia="Arial" w:cstheme="minorHAnsi"/>
        </w:rPr>
        <w:t xml:space="preserve">m </w:t>
      </w:r>
      <w:r w:rsidRPr="00585C2D">
        <w:rPr>
          <w:rFonts w:eastAsia="Arial" w:cstheme="minorHAnsi"/>
          <w:spacing w:val="-3"/>
        </w:rPr>
        <w:t>o</w:t>
      </w:r>
      <w:r w:rsidRPr="00585C2D">
        <w:rPr>
          <w:rFonts w:eastAsia="Arial" w:cstheme="minorHAnsi"/>
        </w:rPr>
        <w:t>f</w:t>
      </w:r>
      <w:r w:rsidRPr="00585C2D">
        <w:rPr>
          <w:rFonts w:eastAsia="Arial" w:cstheme="minorHAnsi"/>
          <w:spacing w:val="-3"/>
        </w:rPr>
        <w:t xml:space="preserve"> o</w:t>
      </w:r>
      <w:r w:rsidRPr="00585C2D">
        <w:rPr>
          <w:rFonts w:eastAsia="Arial" w:cstheme="minorHAnsi"/>
          <w:spacing w:val="1"/>
        </w:rPr>
        <w:t>f</w:t>
      </w:r>
      <w:r w:rsidRPr="00585C2D">
        <w:rPr>
          <w:rFonts w:eastAsia="Arial" w:cstheme="minorHAnsi"/>
          <w:spacing w:val="6"/>
        </w:rPr>
        <w:t>f</w:t>
      </w:r>
      <w:r w:rsidRPr="00585C2D">
        <w:rPr>
          <w:rFonts w:eastAsia="Arial" w:cstheme="minorHAnsi"/>
          <w:spacing w:val="-1"/>
        </w:rPr>
        <w:t>i</w:t>
      </w:r>
      <w:r w:rsidRPr="00585C2D">
        <w:rPr>
          <w:rFonts w:eastAsia="Arial" w:cstheme="minorHAnsi"/>
        </w:rPr>
        <w:t>c</w:t>
      </w:r>
      <w:r w:rsidRPr="00585C2D">
        <w:rPr>
          <w:rFonts w:eastAsia="Arial" w:cstheme="minorHAnsi"/>
          <w:spacing w:val="2"/>
        </w:rPr>
        <w:t>e</w:t>
      </w:r>
      <w:r w:rsidRPr="00585C2D">
        <w:rPr>
          <w:rFonts w:eastAsia="Arial" w:cstheme="minorHAnsi"/>
        </w:rPr>
        <w:t>:</w:t>
      </w:r>
    </w:p>
    <w:p w14:paraId="08CE7AD0" w14:textId="77777777" w:rsidR="00FC0CF1" w:rsidRPr="00585C2D" w:rsidRDefault="00FC0CF1" w:rsidP="00FC0CF1">
      <w:pPr>
        <w:tabs>
          <w:tab w:val="left" w:pos="2180"/>
        </w:tabs>
        <w:spacing w:after="60" w:line="240" w:lineRule="auto"/>
        <w:ind w:left="1276" w:right="1287" w:hanging="425"/>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1"/>
        </w:rPr>
        <w:t>C</w:t>
      </w:r>
      <w:r w:rsidRPr="00585C2D">
        <w:rPr>
          <w:rFonts w:eastAsia="Arial" w:cstheme="minorHAnsi"/>
          <w:spacing w:val="2"/>
        </w:rPr>
        <w:t>ou</w:t>
      </w:r>
      <w:r w:rsidRPr="00585C2D">
        <w:rPr>
          <w:rFonts w:eastAsia="Arial" w:cstheme="minorHAnsi"/>
          <w:spacing w:val="-3"/>
        </w:rPr>
        <w:t>n</w:t>
      </w:r>
      <w:r w:rsidRPr="00585C2D">
        <w:rPr>
          <w:rFonts w:eastAsia="Arial" w:cstheme="minorHAnsi"/>
          <w:spacing w:val="1"/>
        </w:rPr>
        <w:t>c</w:t>
      </w:r>
      <w:r w:rsidRPr="00585C2D">
        <w:rPr>
          <w:rFonts w:eastAsia="Arial" w:cstheme="minorHAnsi"/>
          <w:spacing w:val="-1"/>
        </w:rPr>
        <w:t>i</w:t>
      </w:r>
      <w:r w:rsidRPr="00585C2D">
        <w:rPr>
          <w:rFonts w:eastAsia="Arial" w:cstheme="minorHAnsi"/>
        </w:rPr>
        <w:t xml:space="preserve">l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 xml:space="preserve">r </w:t>
      </w:r>
      <w:proofErr w:type="gramStart"/>
      <w:r w:rsidRPr="00585C2D">
        <w:rPr>
          <w:rFonts w:eastAsia="Arial" w:cstheme="minorHAnsi"/>
          <w:spacing w:val="1"/>
        </w:rPr>
        <w:t>E</w:t>
      </w:r>
      <w:r w:rsidRPr="00585C2D">
        <w:rPr>
          <w:rFonts w:eastAsia="Arial" w:cstheme="minorHAnsi"/>
        </w:rPr>
        <w:t>s</w:t>
      </w:r>
      <w:r w:rsidRPr="00585C2D">
        <w:rPr>
          <w:rFonts w:eastAsia="Arial" w:cstheme="minorHAnsi"/>
          <w:spacing w:val="-5"/>
        </w:rPr>
        <w:t>s</w:t>
      </w:r>
      <w:r w:rsidRPr="00585C2D">
        <w:rPr>
          <w:rFonts w:eastAsia="Arial" w:cstheme="minorHAnsi"/>
          <w:spacing w:val="2"/>
        </w:rPr>
        <w:t>e</w:t>
      </w:r>
      <w:r w:rsidRPr="00585C2D">
        <w:rPr>
          <w:rFonts w:eastAsia="Arial" w:cstheme="minorHAnsi"/>
          <w:spacing w:val="-3"/>
        </w:rPr>
        <w:t>n</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a</w:t>
      </w:r>
      <w:r w:rsidRPr="00585C2D">
        <w:rPr>
          <w:rFonts w:eastAsia="Arial" w:cstheme="minorHAnsi"/>
          <w:spacing w:val="-1"/>
        </w:rPr>
        <w:t>l</w:t>
      </w:r>
      <w:r w:rsidRPr="00585C2D">
        <w:rPr>
          <w:rFonts w:eastAsia="Arial" w:cstheme="minorHAnsi"/>
        </w:rPr>
        <w:t>s;</w:t>
      </w:r>
      <w:proofErr w:type="gramEnd"/>
    </w:p>
    <w:p w14:paraId="744A4232" w14:textId="77777777" w:rsidR="00FC0CF1" w:rsidRPr="00585C2D" w:rsidRDefault="00FC0CF1" w:rsidP="00FC0CF1">
      <w:pPr>
        <w:tabs>
          <w:tab w:val="left" w:pos="2180"/>
        </w:tabs>
        <w:spacing w:before="15" w:after="60" w:line="240" w:lineRule="auto"/>
        <w:ind w:left="1276" w:right="1287" w:hanging="425"/>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2"/>
        </w:rPr>
        <w:t>5</w:t>
      </w:r>
      <w:r w:rsidRPr="00585C2D">
        <w:rPr>
          <w:rFonts w:eastAsia="Arial" w:cstheme="minorHAnsi"/>
          <w:spacing w:val="-3"/>
        </w:rPr>
        <w:t>2</w:t>
      </w:r>
      <w:r w:rsidRPr="00585C2D">
        <w:rPr>
          <w:rFonts w:eastAsia="Arial" w:cstheme="minorHAnsi"/>
          <w:spacing w:val="2"/>
        </w:rPr>
        <w:t>7</w:t>
      </w:r>
      <w:r w:rsidRPr="00585C2D">
        <w:rPr>
          <w:rFonts w:eastAsia="Arial" w:cstheme="minorHAnsi"/>
          <w:spacing w:val="-3"/>
        </w:rPr>
        <w:t>56</w:t>
      </w:r>
      <w:r>
        <w:rPr>
          <w:rFonts w:eastAsia="Arial" w:cstheme="minorHAnsi"/>
          <w:spacing w:val="-3"/>
        </w:rPr>
        <w:t xml:space="preserve"> </w:t>
      </w:r>
      <w:r w:rsidRPr="00585C2D">
        <w:rPr>
          <w:rFonts w:eastAsia="Arial" w:cstheme="minorHAnsi"/>
          <w:spacing w:val="7"/>
        </w:rPr>
        <w:t>W</w:t>
      </w:r>
      <w:r w:rsidRPr="00585C2D">
        <w:rPr>
          <w:rFonts w:eastAsia="Arial" w:cstheme="minorHAnsi"/>
        </w:rPr>
        <w:t>A</w:t>
      </w:r>
      <w:r w:rsidRPr="00585C2D">
        <w:rPr>
          <w:rFonts w:eastAsia="Arial" w:cstheme="minorHAnsi"/>
          <w:spacing w:val="-2"/>
        </w:rPr>
        <w:t xml:space="preserve"> </w:t>
      </w:r>
      <w:r w:rsidRPr="00585C2D">
        <w:rPr>
          <w:rFonts w:eastAsia="Arial" w:cstheme="minorHAnsi"/>
          <w:spacing w:val="-1"/>
        </w:rPr>
        <w:t>Di</w:t>
      </w:r>
      <w:r w:rsidRPr="00585C2D">
        <w:rPr>
          <w:rFonts w:eastAsia="Arial" w:cstheme="minorHAnsi"/>
          <w:spacing w:val="2"/>
        </w:rPr>
        <w:t>p</w:t>
      </w:r>
      <w:r w:rsidRPr="00585C2D">
        <w:rPr>
          <w:rFonts w:eastAsia="Arial" w:cstheme="minorHAnsi"/>
          <w:spacing w:val="-6"/>
        </w:rPr>
        <w:t>l</w:t>
      </w:r>
      <w:r w:rsidRPr="00585C2D">
        <w:rPr>
          <w:rFonts w:eastAsia="Arial" w:cstheme="minorHAnsi"/>
          <w:spacing w:val="2"/>
        </w:rPr>
        <w:t>o</w:t>
      </w:r>
      <w:r w:rsidRPr="00585C2D">
        <w:rPr>
          <w:rFonts w:eastAsia="Arial" w:cstheme="minorHAnsi"/>
          <w:spacing w:val="-2"/>
        </w:rPr>
        <w:t>m</w:t>
      </w:r>
      <w:r w:rsidRPr="00585C2D">
        <w:rPr>
          <w:rFonts w:eastAsia="Arial" w:cstheme="minorHAnsi"/>
        </w:rPr>
        <w:t>a</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Lo</w:t>
      </w:r>
      <w:r w:rsidRPr="00585C2D">
        <w:rPr>
          <w:rFonts w:eastAsia="Arial" w:cstheme="minorHAnsi"/>
          <w:spacing w:val="-5"/>
        </w:rPr>
        <w:t>c</w:t>
      </w:r>
      <w:r w:rsidRPr="00585C2D">
        <w:rPr>
          <w:rFonts w:eastAsia="Arial" w:cstheme="minorHAnsi"/>
          <w:spacing w:val="2"/>
        </w:rPr>
        <w:t>a</w:t>
      </w:r>
      <w:r w:rsidRPr="00585C2D">
        <w:rPr>
          <w:rFonts w:eastAsia="Arial" w:cstheme="minorHAnsi"/>
        </w:rPr>
        <w:t xml:space="preserve">l </w:t>
      </w:r>
      <w:r w:rsidRPr="00585C2D">
        <w:rPr>
          <w:rFonts w:eastAsia="Arial" w:cstheme="minorHAnsi"/>
          <w:spacing w:val="-4"/>
        </w:rPr>
        <w:t>G</w:t>
      </w:r>
      <w:r w:rsidRPr="00585C2D">
        <w:rPr>
          <w:rFonts w:eastAsia="Arial" w:cstheme="minorHAnsi"/>
          <w:spacing w:val="2"/>
        </w:rPr>
        <w:t>o</w:t>
      </w:r>
      <w:r w:rsidRPr="00585C2D">
        <w:rPr>
          <w:rFonts w:eastAsia="Arial" w:cstheme="minorHAnsi"/>
        </w:rPr>
        <w:t>v</w:t>
      </w:r>
      <w:r w:rsidRPr="00585C2D">
        <w:rPr>
          <w:rFonts w:eastAsia="Arial" w:cstheme="minorHAnsi"/>
          <w:spacing w:val="2"/>
        </w:rPr>
        <w:t>e</w:t>
      </w:r>
      <w:r w:rsidRPr="00585C2D">
        <w:rPr>
          <w:rFonts w:eastAsia="Arial" w:cstheme="minorHAnsi"/>
          <w:spacing w:val="-6"/>
        </w:rPr>
        <w:t>r</w:t>
      </w:r>
      <w:r w:rsidRPr="00585C2D">
        <w:rPr>
          <w:rFonts w:eastAsia="Arial" w:cstheme="minorHAnsi"/>
          <w:spacing w:val="2"/>
        </w:rPr>
        <w:t>n</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5"/>
        </w:rPr>
        <w:t>(</w:t>
      </w:r>
      <w:r w:rsidRPr="00585C2D">
        <w:rPr>
          <w:rFonts w:eastAsia="Arial" w:cstheme="minorHAnsi"/>
          <w:spacing w:val="-1"/>
        </w:rPr>
        <w:t>C</w:t>
      </w:r>
      <w:r w:rsidRPr="00585C2D">
        <w:rPr>
          <w:rFonts w:eastAsia="Arial" w:cstheme="minorHAnsi"/>
          <w:spacing w:val="-3"/>
        </w:rPr>
        <w:t>o</w:t>
      </w:r>
      <w:r w:rsidRPr="00585C2D">
        <w:rPr>
          <w:rFonts w:eastAsia="Arial" w:cstheme="minorHAnsi"/>
          <w:spacing w:val="2"/>
        </w:rPr>
        <w:t>un</w:t>
      </w:r>
      <w:r w:rsidRPr="00585C2D">
        <w:rPr>
          <w:rFonts w:eastAsia="Arial" w:cstheme="minorHAnsi"/>
        </w:rPr>
        <w:t>c</w:t>
      </w:r>
      <w:r w:rsidRPr="00585C2D">
        <w:rPr>
          <w:rFonts w:eastAsia="Arial" w:cstheme="minorHAnsi"/>
          <w:spacing w:val="-1"/>
        </w:rPr>
        <w:t>i</w:t>
      </w:r>
      <w:r w:rsidRPr="00585C2D">
        <w:rPr>
          <w:rFonts w:eastAsia="Arial" w:cstheme="minorHAnsi"/>
        </w:rPr>
        <w:t>l</w:t>
      </w:r>
      <w:r w:rsidRPr="00585C2D">
        <w:rPr>
          <w:rFonts w:eastAsia="Arial" w:cstheme="minorHAnsi"/>
          <w:spacing w:val="-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proofErr w:type="gramStart"/>
      <w:r w:rsidRPr="00585C2D">
        <w:rPr>
          <w:rFonts w:eastAsia="Arial" w:cstheme="minorHAnsi"/>
          <w:spacing w:val="-2"/>
        </w:rPr>
        <w:t>)</w:t>
      </w:r>
      <w:r w:rsidRPr="00585C2D">
        <w:rPr>
          <w:rFonts w:eastAsia="Arial" w:cstheme="minorHAnsi"/>
        </w:rPr>
        <w:t>;</w:t>
      </w:r>
      <w:proofErr w:type="gramEnd"/>
    </w:p>
    <w:p w14:paraId="5FDA6C30" w14:textId="77777777" w:rsidR="00FC0CF1" w:rsidRPr="00585C2D" w:rsidRDefault="00FC0CF1" w:rsidP="00FC0CF1">
      <w:pPr>
        <w:tabs>
          <w:tab w:val="left" w:pos="2180"/>
        </w:tabs>
        <w:spacing w:after="120" w:line="240" w:lineRule="auto"/>
        <w:ind w:left="1276" w:hanging="425"/>
        <w:jc w:val="both"/>
        <w:rPr>
          <w:rFonts w:eastAsia="Arial" w:cstheme="minorHAnsi"/>
        </w:rPr>
      </w:pPr>
      <w:r w:rsidRPr="00585C2D">
        <w:rPr>
          <w:rFonts w:eastAsia="Times New Roman" w:cstheme="minorHAnsi"/>
          <w:w w:val="131"/>
        </w:rPr>
        <w:lastRenderedPageBreak/>
        <w:t>•</w:t>
      </w:r>
      <w:r w:rsidRPr="00585C2D">
        <w:rPr>
          <w:rFonts w:eastAsia="Times New Roman" w:cstheme="minorHAnsi"/>
        </w:rPr>
        <w:tab/>
      </w:r>
      <w:r w:rsidRPr="00585C2D">
        <w:rPr>
          <w:rFonts w:eastAsia="Arial" w:cstheme="minorHAnsi"/>
        </w:rPr>
        <w:t>T</w:t>
      </w:r>
      <w:r w:rsidRPr="00585C2D">
        <w:rPr>
          <w:rFonts w:eastAsia="Arial" w:cstheme="minorHAnsi"/>
          <w:spacing w:val="1"/>
        </w:rPr>
        <w:t>h</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5"/>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3"/>
        </w:rPr>
        <w:t>p</w:t>
      </w:r>
      <w:r w:rsidRPr="00585C2D">
        <w:rPr>
          <w:rFonts w:eastAsia="Arial" w:cstheme="minorHAnsi"/>
          <w:spacing w:val="2"/>
        </w:rPr>
        <w:t>a</w:t>
      </w:r>
      <w:r w:rsidRPr="00585C2D">
        <w:rPr>
          <w:rFonts w:eastAsia="Arial" w:cstheme="minorHAnsi"/>
        </w:rPr>
        <w:t>ss</w:t>
      </w:r>
      <w:r w:rsidRPr="00585C2D">
        <w:rPr>
          <w:rFonts w:eastAsia="Arial" w:cstheme="minorHAnsi"/>
          <w:spacing w:val="-3"/>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5"/>
        </w:rPr>
        <w:t>c</w:t>
      </w:r>
      <w:r w:rsidRPr="00585C2D">
        <w:rPr>
          <w:rFonts w:eastAsia="Arial" w:cstheme="minorHAnsi"/>
          <w:spacing w:val="2"/>
        </w:rPr>
        <w:t>ou</w:t>
      </w:r>
      <w:r w:rsidRPr="00585C2D">
        <w:rPr>
          <w:rFonts w:eastAsia="Arial" w:cstheme="minorHAnsi"/>
          <w:spacing w:val="-2"/>
        </w:rPr>
        <w:t>r</w:t>
      </w:r>
      <w:r w:rsidRPr="00585C2D">
        <w:rPr>
          <w:rFonts w:eastAsia="Arial" w:cstheme="minorHAnsi"/>
        </w:rPr>
        <w:t>se</w:t>
      </w:r>
      <w:r w:rsidRPr="00585C2D">
        <w:rPr>
          <w:rFonts w:eastAsia="Arial" w:cstheme="minorHAnsi"/>
          <w:spacing w:val="-11"/>
        </w:rPr>
        <w:t xml:space="preserve"> </w:t>
      </w:r>
      <w:r w:rsidRPr="00585C2D">
        <w:rPr>
          <w:rFonts w:eastAsia="Arial" w:cstheme="minorHAnsi"/>
          <w:spacing w:val="1"/>
        </w:rPr>
        <w:t>t</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l</w:t>
      </w:r>
      <w:r w:rsidRPr="00585C2D">
        <w:rPr>
          <w:rFonts w:eastAsia="Arial" w:cstheme="minorHAnsi"/>
          <w:spacing w:val="-3"/>
        </w:rPr>
        <w:t>e</w:t>
      </w:r>
      <w:r w:rsidRPr="00585C2D">
        <w:rPr>
          <w:rFonts w:eastAsia="Arial" w:cstheme="minorHAnsi"/>
        </w:rPr>
        <w:t>d</w:t>
      </w:r>
      <w:r w:rsidRPr="00585C2D">
        <w:rPr>
          <w:rFonts w:eastAsia="Arial" w:cstheme="minorHAnsi"/>
          <w:spacing w:val="-12"/>
        </w:rPr>
        <w:t xml:space="preserve"> </w:t>
      </w:r>
      <w:r w:rsidRPr="00585C2D">
        <w:rPr>
          <w:rFonts w:eastAsia="Arial" w:cstheme="minorHAnsi"/>
          <w:spacing w:val="2"/>
        </w:rPr>
        <w:t>L</w:t>
      </w:r>
      <w:r w:rsidRPr="00585C2D">
        <w:rPr>
          <w:rFonts w:eastAsia="Arial" w:cstheme="minorHAnsi"/>
          <w:spacing w:val="-4"/>
        </w:rPr>
        <w:t>G</w:t>
      </w:r>
      <w:r w:rsidRPr="00585C2D">
        <w:rPr>
          <w:rFonts w:eastAsia="Arial" w:cstheme="minorHAnsi"/>
          <w:spacing w:val="-3"/>
        </w:rPr>
        <w:t>A</w:t>
      </w:r>
      <w:r w:rsidRPr="00585C2D">
        <w:rPr>
          <w:rFonts w:eastAsia="Arial" w:cstheme="minorHAnsi"/>
          <w:spacing w:val="1"/>
        </w:rPr>
        <w:t>SS</w:t>
      </w:r>
      <w:r w:rsidRPr="00585C2D">
        <w:rPr>
          <w:rFonts w:eastAsia="Arial" w:cstheme="minorHAnsi"/>
          <w:spacing w:val="-3"/>
        </w:rPr>
        <w:t>0</w:t>
      </w:r>
      <w:r w:rsidRPr="00585C2D">
        <w:rPr>
          <w:rFonts w:eastAsia="Arial" w:cstheme="minorHAnsi"/>
          <w:spacing w:val="2"/>
        </w:rPr>
        <w:t>0</w:t>
      </w:r>
      <w:r w:rsidRPr="00585C2D">
        <w:rPr>
          <w:rFonts w:eastAsia="Arial" w:cstheme="minorHAnsi"/>
          <w:spacing w:val="-3"/>
        </w:rPr>
        <w:t>0</w:t>
      </w:r>
      <w:r w:rsidRPr="00585C2D">
        <w:rPr>
          <w:rFonts w:eastAsia="Arial" w:cstheme="minorHAnsi"/>
          <w:spacing w:val="2"/>
        </w:rPr>
        <w:t>0</w:t>
      </w:r>
      <w:r w:rsidRPr="00585C2D">
        <w:rPr>
          <w:rFonts w:eastAsia="Arial" w:cstheme="minorHAnsi"/>
        </w:rPr>
        <w:t>2</w:t>
      </w:r>
      <w:r w:rsidRPr="00585C2D">
        <w:rPr>
          <w:rFonts w:eastAsia="Arial" w:cstheme="minorHAnsi"/>
          <w:spacing w:val="-4"/>
        </w:rPr>
        <w:t xml:space="preserve"> </w:t>
      </w:r>
      <w:r w:rsidRPr="00585C2D">
        <w:rPr>
          <w:rFonts w:eastAsia="Arial" w:cstheme="minorHAnsi"/>
          <w:spacing w:val="-1"/>
        </w:rPr>
        <w:t>C</w:t>
      </w:r>
      <w:r w:rsidRPr="00585C2D">
        <w:rPr>
          <w:rFonts w:eastAsia="Arial" w:cstheme="minorHAnsi"/>
          <w:spacing w:val="-3"/>
        </w:rPr>
        <w:t>o</w:t>
      </w:r>
      <w:r w:rsidRPr="00585C2D">
        <w:rPr>
          <w:rFonts w:eastAsia="Arial" w:cstheme="minorHAnsi"/>
          <w:spacing w:val="2"/>
        </w:rPr>
        <w:t>un</w:t>
      </w:r>
      <w:r w:rsidRPr="00585C2D">
        <w:rPr>
          <w:rFonts w:eastAsia="Arial" w:cstheme="minorHAnsi"/>
        </w:rPr>
        <w:t>c</w:t>
      </w:r>
      <w:r w:rsidRPr="00585C2D">
        <w:rPr>
          <w:rFonts w:eastAsia="Arial" w:cstheme="minorHAnsi"/>
          <w:spacing w:val="-1"/>
        </w:rPr>
        <w:t>i</w:t>
      </w:r>
      <w:r w:rsidRPr="00585C2D">
        <w:rPr>
          <w:rFonts w:eastAsia="Arial" w:cstheme="minorHAnsi"/>
        </w:rPr>
        <w:t>l</w:t>
      </w:r>
      <w:r w:rsidRPr="00585C2D">
        <w:rPr>
          <w:rFonts w:eastAsia="Arial" w:cstheme="minorHAnsi"/>
          <w:spacing w:val="-1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10"/>
        </w:rPr>
        <w:t xml:space="preserve"> </w:t>
      </w:r>
      <w:r w:rsidRPr="00585C2D">
        <w:rPr>
          <w:rFonts w:eastAsia="Arial" w:cstheme="minorHAnsi"/>
          <w:spacing w:val="1"/>
        </w:rPr>
        <w:t>S</w:t>
      </w:r>
      <w:r w:rsidRPr="00585C2D">
        <w:rPr>
          <w:rFonts w:eastAsia="Arial" w:cstheme="minorHAnsi"/>
        </w:rPr>
        <w:t>k</w:t>
      </w:r>
      <w:r w:rsidRPr="00585C2D">
        <w:rPr>
          <w:rFonts w:eastAsia="Arial" w:cstheme="minorHAnsi"/>
          <w:spacing w:val="-1"/>
        </w:rPr>
        <w:t>il</w:t>
      </w:r>
      <w:r w:rsidRPr="00585C2D">
        <w:rPr>
          <w:rFonts w:eastAsia="Arial" w:cstheme="minorHAnsi"/>
        </w:rPr>
        <w:t>l</w:t>
      </w:r>
      <w:r w:rsidRPr="00585C2D">
        <w:rPr>
          <w:rFonts w:eastAsia="Arial" w:cstheme="minorHAnsi"/>
          <w:spacing w:val="-14"/>
        </w:rPr>
        <w:t xml:space="preserve"> </w:t>
      </w:r>
      <w:r w:rsidRPr="00585C2D">
        <w:rPr>
          <w:rFonts w:eastAsia="Arial" w:cstheme="minorHAnsi"/>
          <w:spacing w:val="1"/>
        </w:rPr>
        <w:t>S</w:t>
      </w:r>
      <w:r w:rsidRPr="00585C2D">
        <w:rPr>
          <w:rFonts w:eastAsia="Arial" w:cstheme="minorHAnsi"/>
          <w:spacing w:val="-3"/>
        </w:rPr>
        <w:t>e</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2"/>
        </w:rPr>
        <w:t>b</w:t>
      </w:r>
      <w:r w:rsidRPr="00585C2D">
        <w:rPr>
          <w:rFonts w:eastAsia="Arial" w:cstheme="minorHAnsi"/>
          <w:spacing w:val="-3"/>
        </w:rPr>
        <w:t>e</w:t>
      </w:r>
      <w:r w:rsidRPr="00585C2D">
        <w:rPr>
          <w:rFonts w:eastAsia="Arial" w:cstheme="minorHAnsi"/>
          <w:spacing w:val="1"/>
        </w:rPr>
        <w:t>f</w:t>
      </w:r>
      <w:r w:rsidRPr="00585C2D">
        <w:rPr>
          <w:rFonts w:eastAsia="Arial" w:cstheme="minorHAnsi"/>
          <w:spacing w:val="2"/>
        </w:rPr>
        <w:t>o</w:t>
      </w:r>
      <w:r w:rsidRPr="00585C2D">
        <w:rPr>
          <w:rFonts w:eastAsia="Arial" w:cstheme="minorHAnsi"/>
          <w:spacing w:val="-2"/>
        </w:rPr>
        <w:t>r</w:t>
      </w:r>
      <w:r w:rsidRPr="00585C2D">
        <w:rPr>
          <w:rFonts w:eastAsia="Arial" w:cstheme="minorHAnsi"/>
        </w:rPr>
        <w:t>e</w:t>
      </w:r>
      <w:r>
        <w:rPr>
          <w:rFonts w:eastAsia="Arial" w:cstheme="minorHAnsi"/>
        </w:rPr>
        <w:t xml:space="preserve"> </w:t>
      </w:r>
      <w:r w:rsidRPr="00585C2D">
        <w:rPr>
          <w:rFonts w:eastAsia="Arial" w:cstheme="minorHAnsi"/>
        </w:rPr>
        <w:t>1</w:t>
      </w:r>
      <w:r w:rsidRPr="00585C2D">
        <w:rPr>
          <w:rFonts w:eastAsia="Arial" w:cstheme="minorHAnsi"/>
          <w:spacing w:val="-2"/>
        </w:rPr>
        <w:t xml:space="preserve"> </w:t>
      </w:r>
      <w:r w:rsidRPr="00585C2D">
        <w:rPr>
          <w:rFonts w:eastAsia="Arial" w:cstheme="minorHAnsi"/>
        </w:rPr>
        <w:t>J</w:t>
      </w:r>
      <w:r w:rsidRPr="00585C2D">
        <w:rPr>
          <w:rFonts w:eastAsia="Arial" w:cstheme="minorHAnsi"/>
          <w:spacing w:val="2"/>
        </w:rPr>
        <w:t>u</w:t>
      </w:r>
      <w:r w:rsidRPr="00585C2D">
        <w:rPr>
          <w:rFonts w:eastAsia="Arial" w:cstheme="minorHAnsi"/>
          <w:spacing w:val="-1"/>
        </w:rPr>
        <w:t>l</w:t>
      </w:r>
      <w:r w:rsidRPr="00585C2D">
        <w:rPr>
          <w:rFonts w:eastAsia="Arial" w:cstheme="minorHAnsi"/>
        </w:rPr>
        <w:t>y</w:t>
      </w:r>
      <w:r w:rsidRPr="00585C2D">
        <w:rPr>
          <w:rFonts w:eastAsia="Arial" w:cstheme="minorHAnsi"/>
          <w:spacing w:val="-8"/>
        </w:rPr>
        <w:t xml:space="preserve"> </w:t>
      </w:r>
      <w:r w:rsidRPr="00585C2D">
        <w:rPr>
          <w:rFonts w:eastAsia="Arial" w:cstheme="minorHAnsi"/>
          <w:spacing w:val="-3"/>
        </w:rPr>
        <w:t>2</w:t>
      </w:r>
      <w:r w:rsidRPr="00585C2D">
        <w:rPr>
          <w:rFonts w:eastAsia="Arial" w:cstheme="minorHAnsi"/>
          <w:spacing w:val="2"/>
        </w:rPr>
        <w:t>0</w:t>
      </w:r>
      <w:r w:rsidRPr="00585C2D">
        <w:rPr>
          <w:rFonts w:eastAsia="Arial" w:cstheme="minorHAnsi"/>
          <w:spacing w:val="-3"/>
        </w:rPr>
        <w:t>1</w:t>
      </w:r>
      <w:r w:rsidRPr="00585C2D">
        <w:rPr>
          <w:rFonts w:eastAsia="Arial" w:cstheme="minorHAnsi"/>
        </w:rPr>
        <w:t>9</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1"/>
        </w:rPr>
        <w:t>wi</w:t>
      </w:r>
      <w:r w:rsidRPr="00585C2D">
        <w:rPr>
          <w:rFonts w:eastAsia="Arial" w:cstheme="minorHAnsi"/>
          <w:spacing w:val="-4"/>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n</w:t>
      </w:r>
      <w:r w:rsidRPr="00585C2D">
        <w:rPr>
          <w:rFonts w:eastAsia="Arial" w:cstheme="minorHAnsi"/>
          <w:spacing w:val="-7"/>
        </w:rPr>
        <w:t xml:space="preserve"> </w:t>
      </w:r>
      <w:r w:rsidRPr="00585C2D">
        <w:rPr>
          <w:rFonts w:eastAsia="Arial" w:cstheme="minorHAnsi"/>
        </w:rPr>
        <w:t>a</w:t>
      </w:r>
      <w:r w:rsidRPr="00585C2D">
        <w:rPr>
          <w:rFonts w:eastAsia="Arial" w:cstheme="minorHAnsi"/>
          <w:spacing w:val="-7"/>
        </w:rPr>
        <w:t xml:space="preserve"> </w:t>
      </w:r>
      <w:r w:rsidRPr="00585C2D">
        <w:rPr>
          <w:rFonts w:eastAsia="Arial" w:cstheme="minorHAnsi"/>
          <w:spacing w:val="2"/>
        </w:rPr>
        <w:t>pe</w:t>
      </w:r>
      <w:r w:rsidRPr="00585C2D">
        <w:rPr>
          <w:rFonts w:eastAsia="Arial" w:cstheme="minorHAnsi"/>
          <w:spacing w:val="-2"/>
        </w:rPr>
        <w:t>r</w:t>
      </w:r>
      <w:r w:rsidRPr="00585C2D">
        <w:rPr>
          <w:rFonts w:eastAsia="Arial" w:cstheme="minorHAnsi"/>
          <w:spacing w:val="-1"/>
        </w:rPr>
        <w:t>i</w:t>
      </w:r>
      <w:r w:rsidRPr="00585C2D">
        <w:rPr>
          <w:rFonts w:eastAsia="Arial" w:cstheme="minorHAnsi"/>
          <w:spacing w:val="-3"/>
        </w:rPr>
        <w:t>o</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
        </w:rPr>
        <w:t xml:space="preserve"> </w:t>
      </w:r>
      <w:r w:rsidRPr="00585C2D">
        <w:rPr>
          <w:rFonts w:eastAsia="Arial" w:cstheme="minorHAnsi"/>
          <w:spacing w:val="6"/>
        </w:rPr>
        <w:t>f</w:t>
      </w:r>
      <w:r w:rsidRPr="00585C2D">
        <w:rPr>
          <w:rFonts w:eastAsia="Arial" w:cstheme="minorHAnsi"/>
          <w:spacing w:val="-6"/>
        </w:rPr>
        <w:t>i</w:t>
      </w:r>
      <w:r w:rsidRPr="00585C2D">
        <w:rPr>
          <w:rFonts w:eastAsia="Arial" w:cstheme="minorHAnsi"/>
        </w:rPr>
        <w:t>ve</w:t>
      </w:r>
      <w:r w:rsidRPr="00585C2D">
        <w:rPr>
          <w:rFonts w:eastAsia="Arial" w:cstheme="minorHAnsi"/>
          <w:spacing w:val="-2"/>
        </w:rPr>
        <w:t xml:space="preserve"> </w:t>
      </w:r>
      <w:r w:rsidRPr="00585C2D">
        <w:rPr>
          <w:rFonts w:eastAsia="Arial" w:cstheme="minorHAnsi"/>
          <w:spacing w:val="-5"/>
        </w:rPr>
        <w:t>y</w:t>
      </w:r>
      <w:r w:rsidRPr="00585C2D">
        <w:rPr>
          <w:rFonts w:eastAsia="Arial" w:cstheme="minorHAnsi"/>
          <w:spacing w:val="2"/>
        </w:rPr>
        <w:t>ea</w:t>
      </w:r>
      <w:r w:rsidRPr="00585C2D">
        <w:rPr>
          <w:rFonts w:eastAsia="Arial" w:cstheme="minorHAnsi"/>
          <w:spacing w:val="-2"/>
        </w:rPr>
        <w:t>r</w:t>
      </w:r>
      <w:r w:rsidRPr="00585C2D">
        <w:rPr>
          <w:rFonts w:eastAsia="Arial" w:cstheme="minorHAnsi"/>
        </w:rPr>
        <w:t>s</w:t>
      </w:r>
      <w:r w:rsidRPr="00585C2D">
        <w:rPr>
          <w:rFonts w:eastAsia="Arial" w:cstheme="minorHAnsi"/>
          <w:spacing w:val="-8"/>
        </w:rPr>
        <w:t xml:space="preserve"> </w:t>
      </w:r>
      <w:r w:rsidRPr="00585C2D">
        <w:rPr>
          <w:rFonts w:eastAsia="Arial" w:cstheme="minorHAnsi"/>
          <w:spacing w:val="-3"/>
        </w:rPr>
        <w:t>e</w:t>
      </w:r>
      <w:r w:rsidRPr="00585C2D">
        <w:rPr>
          <w:rFonts w:eastAsia="Arial" w:cstheme="minorHAnsi"/>
          <w:spacing w:val="2"/>
        </w:rPr>
        <w:t>nd</w:t>
      </w:r>
      <w:r w:rsidRPr="00585C2D">
        <w:rPr>
          <w:rFonts w:eastAsia="Arial" w:cstheme="minorHAnsi"/>
          <w:spacing w:val="-6"/>
        </w:rPr>
        <w:t>i</w:t>
      </w:r>
      <w:r w:rsidRPr="00585C2D">
        <w:rPr>
          <w:rFonts w:eastAsia="Arial" w:cstheme="minorHAnsi"/>
          <w:spacing w:val="-3"/>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1"/>
        </w:rPr>
        <w:t>i</w:t>
      </w:r>
      <w:r w:rsidRPr="00585C2D">
        <w:rPr>
          <w:rFonts w:eastAsia="Arial" w:cstheme="minorHAnsi"/>
          <w:spacing w:val="-2"/>
        </w:rPr>
        <w:t>mm</w:t>
      </w:r>
      <w:r w:rsidRPr="00585C2D">
        <w:rPr>
          <w:rFonts w:eastAsia="Arial" w:cstheme="minorHAnsi"/>
          <w:spacing w:val="2"/>
        </w:rPr>
        <w:t>ed</w:t>
      </w:r>
      <w:r w:rsidRPr="00585C2D">
        <w:rPr>
          <w:rFonts w:eastAsia="Arial" w:cstheme="minorHAnsi"/>
          <w:spacing w:val="-6"/>
        </w:rPr>
        <w:t>i</w:t>
      </w:r>
      <w:r w:rsidRPr="00585C2D">
        <w:rPr>
          <w:rFonts w:eastAsia="Arial" w:cstheme="minorHAnsi"/>
          <w:spacing w:val="2"/>
        </w:rPr>
        <w:t>a</w:t>
      </w:r>
      <w:r w:rsidRPr="00585C2D">
        <w:rPr>
          <w:rFonts w:eastAsia="Arial" w:cstheme="minorHAnsi"/>
          <w:spacing w:val="1"/>
        </w:rPr>
        <w:t>t</w:t>
      </w:r>
      <w:r w:rsidRPr="00585C2D">
        <w:rPr>
          <w:rFonts w:eastAsia="Arial" w:cstheme="minorHAnsi"/>
          <w:spacing w:val="2"/>
        </w:rPr>
        <w:t>e</w:t>
      </w:r>
      <w:r w:rsidRPr="00585C2D">
        <w:rPr>
          <w:rFonts w:eastAsia="Arial" w:cstheme="minorHAnsi"/>
          <w:spacing w:val="-1"/>
        </w:rPr>
        <w:t>l</w:t>
      </w:r>
      <w:r w:rsidRPr="00585C2D">
        <w:rPr>
          <w:rFonts w:eastAsia="Arial" w:cstheme="minorHAnsi"/>
        </w:rPr>
        <w:t>y</w:t>
      </w:r>
      <w:r w:rsidRPr="00585C2D">
        <w:rPr>
          <w:rFonts w:eastAsia="Arial" w:cstheme="minorHAnsi"/>
          <w:spacing w:val="-8"/>
        </w:rPr>
        <w:t xml:space="preserve"> </w:t>
      </w:r>
      <w:r w:rsidRPr="00585C2D">
        <w:rPr>
          <w:rFonts w:eastAsia="Arial" w:cstheme="minorHAnsi"/>
          <w:spacing w:val="-3"/>
        </w:rPr>
        <w:t>be</w:t>
      </w:r>
      <w:r w:rsidRPr="00585C2D">
        <w:rPr>
          <w:rFonts w:eastAsia="Arial" w:cstheme="minorHAnsi"/>
          <w:spacing w:val="1"/>
        </w:rPr>
        <w:t>f</w:t>
      </w:r>
      <w:r w:rsidRPr="00585C2D">
        <w:rPr>
          <w:rFonts w:eastAsia="Arial" w:cstheme="minorHAnsi"/>
          <w:spacing w:val="2"/>
        </w:rPr>
        <w:t>o</w:t>
      </w:r>
      <w:r w:rsidRPr="00585C2D">
        <w:rPr>
          <w:rFonts w:eastAsia="Arial" w:cstheme="minorHAnsi"/>
          <w:spacing w:val="-2"/>
        </w:rPr>
        <w:t>r</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d</w:t>
      </w:r>
      <w:r w:rsidRPr="00585C2D">
        <w:rPr>
          <w:rFonts w:eastAsia="Arial" w:cstheme="minorHAnsi"/>
          <w:spacing w:val="2"/>
        </w:rPr>
        <w:t>a</w:t>
      </w:r>
      <w:r w:rsidRPr="00585C2D">
        <w:rPr>
          <w:rFonts w:eastAsia="Arial" w:cstheme="minorHAnsi"/>
        </w:rPr>
        <w:t>y</w:t>
      </w:r>
      <w:r w:rsidRPr="00585C2D">
        <w:rPr>
          <w:rFonts w:eastAsia="Arial" w:cstheme="minorHAnsi"/>
          <w:spacing w:val="-8"/>
        </w:rPr>
        <w:t xml:space="preserve"> </w:t>
      </w:r>
      <w:r w:rsidRPr="00585C2D">
        <w:rPr>
          <w:rFonts w:eastAsia="Arial" w:cstheme="minorHAnsi"/>
          <w:spacing w:val="2"/>
        </w:rPr>
        <w:t>o</w:t>
      </w:r>
      <w:r w:rsidRPr="00585C2D">
        <w:rPr>
          <w:rFonts w:eastAsia="Arial" w:cstheme="minorHAnsi"/>
        </w:rPr>
        <w:t>n</w:t>
      </w:r>
      <w:r w:rsidRPr="00585C2D">
        <w:rPr>
          <w:rFonts w:eastAsia="Arial" w:cstheme="minorHAnsi"/>
          <w:spacing w:val="-6"/>
        </w:rPr>
        <w:t xml:space="preserve"> </w:t>
      </w:r>
      <w:r w:rsidRPr="00585C2D">
        <w:rPr>
          <w:rFonts w:eastAsia="Arial" w:cstheme="minorHAnsi"/>
          <w:spacing w:val="-1"/>
        </w:rPr>
        <w:t>w</w:t>
      </w:r>
      <w:r w:rsidRPr="00585C2D">
        <w:rPr>
          <w:rFonts w:eastAsia="Arial" w:cstheme="minorHAnsi"/>
          <w:spacing w:val="2"/>
        </w:rPr>
        <w:t>h</w:t>
      </w:r>
      <w:r w:rsidRPr="00585C2D">
        <w:rPr>
          <w:rFonts w:eastAsia="Arial" w:cstheme="minorHAnsi"/>
          <w:spacing w:val="-1"/>
        </w:rPr>
        <w:t>i</w:t>
      </w:r>
      <w:r w:rsidRPr="00585C2D">
        <w:rPr>
          <w:rFonts w:eastAsia="Arial" w:cstheme="minorHAnsi"/>
          <w:spacing w:val="-5"/>
        </w:rPr>
        <w:t>c</w:t>
      </w:r>
      <w:r w:rsidRPr="00585C2D">
        <w:rPr>
          <w:rFonts w:eastAsia="Arial" w:cstheme="minorHAnsi"/>
        </w:rPr>
        <w:t>h</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Pr>
          <w:rFonts w:eastAsia="Arial" w:cstheme="minorHAnsi"/>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4"/>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3"/>
        </w:rPr>
        <w:t>b</w:t>
      </w:r>
      <w:r w:rsidRPr="00585C2D">
        <w:rPr>
          <w:rFonts w:eastAsia="Arial" w:cstheme="minorHAnsi"/>
          <w:spacing w:val="2"/>
        </w:rPr>
        <w:t>e</w:t>
      </w:r>
      <w:r w:rsidRPr="00585C2D">
        <w:rPr>
          <w:rFonts w:eastAsia="Arial" w:cstheme="minorHAnsi"/>
        </w:rPr>
        <w:t>r 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3"/>
        </w:rPr>
        <w:t>e</w:t>
      </w:r>
      <w:r w:rsidRPr="00585C2D">
        <w:rPr>
          <w:rFonts w:eastAsia="Arial" w:cstheme="minorHAnsi"/>
          <w:spacing w:val="2"/>
        </w:rPr>
        <w:t>n</w:t>
      </w:r>
      <w:r w:rsidRPr="00585C2D">
        <w:rPr>
          <w:rFonts w:eastAsia="Arial" w:cstheme="minorHAnsi"/>
        </w:rPr>
        <w:t>c</w:t>
      </w:r>
      <w:r w:rsidRPr="00585C2D">
        <w:rPr>
          <w:rFonts w:eastAsia="Arial" w:cstheme="minorHAnsi"/>
          <w:spacing w:val="-3"/>
        </w:rPr>
        <w:t>e</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4"/>
        </w:rPr>
        <w:t>t</w:t>
      </w:r>
      <w:r w:rsidRPr="00585C2D">
        <w:rPr>
          <w:rFonts w:eastAsia="Arial" w:cstheme="minorHAnsi"/>
          <w:spacing w:val="2"/>
        </w:rPr>
        <w:t>e</w:t>
      </w:r>
      <w:r w:rsidRPr="00585C2D">
        <w:rPr>
          <w:rFonts w:eastAsia="Arial" w:cstheme="minorHAnsi"/>
          <w:spacing w:val="-2"/>
        </w:rPr>
        <w:t>r</w:t>
      </w:r>
      <w:r w:rsidRPr="00585C2D">
        <w:rPr>
          <w:rFonts w:eastAsia="Arial" w:cstheme="minorHAnsi"/>
        </w:rPr>
        <w:t xml:space="preserve">m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spacing w:val="1"/>
        </w:rPr>
        <w:t>ff</w:t>
      </w:r>
      <w:r w:rsidRPr="00585C2D">
        <w:rPr>
          <w:rFonts w:eastAsia="Arial" w:cstheme="minorHAnsi"/>
          <w:spacing w:val="-1"/>
        </w:rPr>
        <w:t>i</w:t>
      </w:r>
      <w:r w:rsidRPr="00585C2D">
        <w:rPr>
          <w:rFonts w:eastAsia="Arial" w:cstheme="minorHAnsi"/>
        </w:rPr>
        <w:t>c</w:t>
      </w:r>
      <w:r w:rsidRPr="00585C2D">
        <w:rPr>
          <w:rFonts w:eastAsia="Arial" w:cstheme="minorHAnsi"/>
          <w:spacing w:val="6"/>
        </w:rPr>
        <w:t>e</w:t>
      </w:r>
      <w:r w:rsidRPr="00585C2D">
        <w:rPr>
          <w:rFonts w:eastAsia="Arial" w:cstheme="minorHAnsi"/>
        </w:rPr>
        <w:t>.</w:t>
      </w:r>
    </w:p>
    <w:p w14:paraId="597564F2" w14:textId="77777777" w:rsidR="00FC0CF1" w:rsidRPr="00585C2D" w:rsidRDefault="00FC0CF1" w:rsidP="00FC0CF1">
      <w:pPr>
        <w:spacing w:line="240" w:lineRule="auto"/>
        <w:ind w:left="850" w:hanging="425"/>
        <w:jc w:val="both"/>
        <w:rPr>
          <w:rFonts w:eastAsia="Arial" w:cstheme="minorHAnsi"/>
        </w:rPr>
      </w:pPr>
      <w:r w:rsidRPr="00585C2D">
        <w:rPr>
          <w:rFonts w:eastAsia="Arial" w:cstheme="minorHAnsi"/>
          <w:spacing w:val="2"/>
        </w:rPr>
        <w:t>e</w:t>
      </w:r>
      <w:r>
        <w:rPr>
          <w:rFonts w:eastAsia="Arial" w:cstheme="minorHAnsi"/>
        </w:rPr>
        <w:t>.</w:t>
      </w:r>
      <w:r>
        <w:rPr>
          <w:rFonts w:eastAsia="Arial" w:cstheme="minorHAnsi"/>
        </w:rPr>
        <w:tab/>
      </w:r>
      <w:r w:rsidRPr="00585C2D">
        <w:rPr>
          <w:rFonts w:eastAsia="Arial" w:cstheme="minorHAnsi"/>
          <w:spacing w:val="-4"/>
        </w:rPr>
        <w:t>I</w:t>
      </w:r>
      <w:r w:rsidRPr="00585C2D">
        <w:rPr>
          <w:rFonts w:eastAsia="Arial" w:cstheme="minorHAnsi"/>
        </w:rPr>
        <w:t>n</w:t>
      </w:r>
      <w:r w:rsidRPr="00585C2D">
        <w:rPr>
          <w:rFonts w:eastAsia="Arial" w:cstheme="minorHAnsi"/>
          <w:spacing w:val="22"/>
        </w:rPr>
        <w:t xml:space="preserve"> </w:t>
      </w:r>
      <w:r w:rsidRPr="00585C2D">
        <w:rPr>
          <w:rFonts w:eastAsia="Arial" w:cstheme="minorHAnsi"/>
          <w:spacing w:val="2"/>
        </w:rPr>
        <w:t>a</w:t>
      </w:r>
      <w:r w:rsidRPr="00585C2D">
        <w:rPr>
          <w:rFonts w:eastAsia="Arial" w:cstheme="minorHAnsi"/>
        </w:rPr>
        <w:t>cc</w:t>
      </w:r>
      <w:r w:rsidRPr="00585C2D">
        <w:rPr>
          <w:rFonts w:eastAsia="Arial" w:cstheme="minorHAnsi"/>
          <w:spacing w:val="2"/>
        </w:rPr>
        <w:t>o</w:t>
      </w:r>
      <w:r w:rsidRPr="00585C2D">
        <w:rPr>
          <w:rFonts w:eastAsia="Arial" w:cstheme="minorHAnsi"/>
          <w:spacing w:val="-2"/>
        </w:rPr>
        <w:t>r</w:t>
      </w:r>
      <w:r w:rsidRPr="00585C2D">
        <w:rPr>
          <w:rFonts w:eastAsia="Arial" w:cstheme="minorHAnsi"/>
          <w:spacing w:val="-3"/>
        </w:rPr>
        <w:t>d</w:t>
      </w:r>
      <w:r w:rsidRPr="00585C2D">
        <w:rPr>
          <w:rFonts w:eastAsia="Arial" w:cstheme="minorHAnsi"/>
          <w:spacing w:val="2"/>
        </w:rPr>
        <w:t>a</w:t>
      </w:r>
      <w:r w:rsidRPr="00585C2D">
        <w:rPr>
          <w:rFonts w:eastAsia="Arial" w:cstheme="minorHAnsi"/>
          <w:spacing w:val="-3"/>
        </w:rPr>
        <w:t>n</w:t>
      </w:r>
      <w:r w:rsidRPr="00585C2D">
        <w:rPr>
          <w:rFonts w:eastAsia="Arial" w:cstheme="minorHAnsi"/>
        </w:rPr>
        <w:t>ce</w:t>
      </w:r>
      <w:r w:rsidRPr="00585C2D">
        <w:rPr>
          <w:rFonts w:eastAsia="Arial" w:cstheme="minorHAnsi"/>
          <w:spacing w:val="22"/>
        </w:rPr>
        <w:t xml:space="preserve"> </w:t>
      </w:r>
      <w:r w:rsidRPr="00585C2D">
        <w:rPr>
          <w:rFonts w:eastAsia="Arial" w:cstheme="minorHAnsi"/>
          <w:spacing w:val="-1"/>
        </w:rPr>
        <w:t>wi</w:t>
      </w:r>
      <w:r w:rsidRPr="00585C2D">
        <w:rPr>
          <w:rFonts w:eastAsia="Arial" w:cstheme="minorHAnsi"/>
          <w:spacing w:val="-4"/>
        </w:rPr>
        <w:t>t</w:t>
      </w:r>
      <w:r w:rsidRPr="00585C2D">
        <w:rPr>
          <w:rFonts w:eastAsia="Arial" w:cstheme="minorHAnsi"/>
        </w:rPr>
        <w:t>h</w:t>
      </w:r>
      <w:r w:rsidRPr="00585C2D">
        <w:rPr>
          <w:rFonts w:eastAsia="Arial" w:cstheme="minorHAnsi"/>
          <w:spacing w:val="22"/>
        </w:rPr>
        <w:t xml:space="preserve"> </w:t>
      </w:r>
      <w:r w:rsidRPr="00585C2D">
        <w:rPr>
          <w:rFonts w:eastAsia="Arial" w:cstheme="minorHAnsi"/>
          <w:spacing w:val="-5"/>
        </w:rPr>
        <w:t>s</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22"/>
        </w:rPr>
        <w:t xml:space="preserve"> </w:t>
      </w:r>
      <w:r w:rsidRPr="00585C2D">
        <w:rPr>
          <w:rFonts w:eastAsia="Arial" w:cstheme="minorHAnsi"/>
          <w:spacing w:val="-3"/>
        </w:rPr>
        <w:t>5</w:t>
      </w:r>
      <w:r w:rsidRPr="00585C2D">
        <w:rPr>
          <w:rFonts w:eastAsia="Arial" w:cstheme="minorHAnsi"/>
          <w:spacing w:val="1"/>
        </w:rPr>
        <w:t>.</w:t>
      </w:r>
      <w:r w:rsidRPr="00585C2D">
        <w:rPr>
          <w:rFonts w:eastAsia="Arial" w:cstheme="minorHAnsi"/>
          <w:spacing w:val="-3"/>
        </w:rPr>
        <w:t>1</w:t>
      </w:r>
      <w:r w:rsidRPr="00585C2D">
        <w:rPr>
          <w:rFonts w:eastAsia="Arial" w:cstheme="minorHAnsi"/>
          <w:spacing w:val="2"/>
        </w:rPr>
        <w:t>2</w:t>
      </w:r>
      <w:r w:rsidRPr="00585C2D">
        <w:rPr>
          <w:rFonts w:eastAsia="Arial" w:cstheme="minorHAnsi"/>
        </w:rPr>
        <w:t>7</w:t>
      </w:r>
      <w:r w:rsidRPr="00585C2D">
        <w:rPr>
          <w:rFonts w:eastAsia="Arial" w:cstheme="minorHAnsi"/>
          <w:spacing w:val="1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1"/>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9"/>
        </w:rPr>
        <w:t xml:space="preserve"> </w:t>
      </w:r>
      <w:r w:rsidRPr="00585C2D">
        <w:rPr>
          <w:rFonts w:eastAsia="Arial" w:cstheme="minorHAnsi"/>
          <w:i/>
          <w:spacing w:val="-3"/>
        </w:rPr>
        <w:t>L</w:t>
      </w:r>
      <w:r w:rsidRPr="00585C2D">
        <w:rPr>
          <w:rFonts w:eastAsia="Arial" w:cstheme="minorHAnsi"/>
          <w:i/>
          <w:spacing w:val="2"/>
        </w:rPr>
        <w:t>o</w:t>
      </w:r>
      <w:r w:rsidRPr="00585C2D">
        <w:rPr>
          <w:rFonts w:eastAsia="Arial" w:cstheme="minorHAnsi"/>
          <w:i/>
        </w:rPr>
        <w:t>c</w:t>
      </w:r>
      <w:r w:rsidRPr="00585C2D">
        <w:rPr>
          <w:rFonts w:eastAsia="Arial" w:cstheme="minorHAnsi"/>
          <w:i/>
          <w:spacing w:val="2"/>
        </w:rPr>
        <w:t>a</w:t>
      </w:r>
      <w:r w:rsidRPr="00585C2D">
        <w:rPr>
          <w:rFonts w:eastAsia="Arial" w:cstheme="minorHAnsi"/>
          <w:i/>
        </w:rPr>
        <w:t>l</w:t>
      </w:r>
      <w:r w:rsidRPr="00585C2D">
        <w:rPr>
          <w:rFonts w:eastAsia="Arial" w:cstheme="minorHAnsi"/>
          <w:i/>
          <w:spacing w:val="14"/>
        </w:rPr>
        <w:t xml:space="preserve"> </w:t>
      </w:r>
      <w:r w:rsidRPr="00585C2D">
        <w:rPr>
          <w:rFonts w:eastAsia="Arial" w:cstheme="minorHAnsi"/>
          <w:i/>
          <w:spacing w:val="-4"/>
        </w:rPr>
        <w:t>G</w:t>
      </w:r>
      <w:r w:rsidRPr="00585C2D">
        <w:rPr>
          <w:rFonts w:eastAsia="Arial" w:cstheme="minorHAnsi"/>
          <w:i/>
          <w:spacing w:val="2"/>
        </w:rPr>
        <w:t>o</w:t>
      </w:r>
      <w:r w:rsidRPr="00585C2D">
        <w:rPr>
          <w:rFonts w:eastAsia="Arial" w:cstheme="minorHAnsi"/>
          <w:i/>
        </w:rPr>
        <w:t>v</w:t>
      </w:r>
      <w:r w:rsidRPr="00585C2D">
        <w:rPr>
          <w:rFonts w:eastAsia="Arial" w:cstheme="minorHAnsi"/>
          <w:i/>
          <w:spacing w:val="2"/>
        </w:rPr>
        <w:t>e</w:t>
      </w:r>
      <w:r w:rsidRPr="00585C2D">
        <w:rPr>
          <w:rFonts w:eastAsia="Arial" w:cstheme="minorHAnsi"/>
          <w:i/>
          <w:spacing w:val="-2"/>
        </w:rPr>
        <w:t>r</w:t>
      </w:r>
      <w:r w:rsidRPr="00585C2D">
        <w:rPr>
          <w:rFonts w:eastAsia="Arial" w:cstheme="minorHAnsi"/>
          <w:i/>
          <w:spacing w:val="2"/>
        </w:rPr>
        <w:t>n</w:t>
      </w:r>
      <w:r w:rsidRPr="00585C2D">
        <w:rPr>
          <w:rFonts w:eastAsia="Arial" w:cstheme="minorHAnsi"/>
          <w:i/>
          <w:spacing w:val="-6"/>
        </w:rPr>
        <w:t>m</w:t>
      </w:r>
      <w:r w:rsidRPr="00585C2D">
        <w:rPr>
          <w:rFonts w:eastAsia="Arial" w:cstheme="minorHAnsi"/>
          <w:i/>
          <w:spacing w:val="2"/>
        </w:rPr>
        <w:t>en</w:t>
      </w:r>
      <w:r w:rsidRPr="00585C2D">
        <w:rPr>
          <w:rFonts w:eastAsia="Arial" w:cstheme="minorHAnsi"/>
          <w:i/>
        </w:rPr>
        <w:t>t</w:t>
      </w:r>
      <w:r w:rsidRPr="00585C2D">
        <w:rPr>
          <w:rFonts w:eastAsia="Arial" w:cstheme="minorHAnsi"/>
          <w:i/>
          <w:spacing w:val="17"/>
        </w:rPr>
        <w:t xml:space="preserve"> </w:t>
      </w:r>
      <w:r w:rsidRPr="00585C2D">
        <w:rPr>
          <w:rFonts w:eastAsia="Arial" w:cstheme="minorHAnsi"/>
          <w:i/>
          <w:spacing w:val="1"/>
        </w:rPr>
        <w:t>A</w:t>
      </w:r>
      <w:r w:rsidRPr="00585C2D">
        <w:rPr>
          <w:rFonts w:eastAsia="Arial" w:cstheme="minorHAnsi"/>
          <w:i/>
        </w:rPr>
        <w:t>ct</w:t>
      </w:r>
      <w:r w:rsidRPr="00585C2D">
        <w:rPr>
          <w:rFonts w:eastAsia="Arial" w:cstheme="minorHAnsi"/>
          <w:i/>
          <w:spacing w:val="17"/>
        </w:rPr>
        <w:t xml:space="preserve"> </w:t>
      </w:r>
      <w:r w:rsidRPr="00585C2D">
        <w:rPr>
          <w:rFonts w:eastAsia="Arial" w:cstheme="minorHAnsi"/>
          <w:i/>
          <w:spacing w:val="-3"/>
        </w:rPr>
        <w:t>1</w:t>
      </w:r>
      <w:r w:rsidRPr="00585C2D">
        <w:rPr>
          <w:rFonts w:eastAsia="Arial" w:cstheme="minorHAnsi"/>
          <w:i/>
          <w:spacing w:val="2"/>
        </w:rPr>
        <w:t>9</w:t>
      </w:r>
      <w:r w:rsidRPr="00585C2D">
        <w:rPr>
          <w:rFonts w:eastAsia="Arial" w:cstheme="minorHAnsi"/>
          <w:i/>
          <w:spacing w:val="-3"/>
        </w:rPr>
        <w:t>9</w:t>
      </w:r>
      <w:r w:rsidRPr="00585C2D">
        <w:rPr>
          <w:rFonts w:eastAsia="Arial" w:cstheme="minorHAnsi"/>
          <w:i/>
        </w:rPr>
        <w:t>5</w:t>
      </w:r>
      <w:r w:rsidRPr="00585C2D">
        <w:rPr>
          <w:rFonts w:eastAsia="Arial" w:cstheme="minorHAnsi"/>
          <w:i/>
          <w:spacing w:val="27"/>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17"/>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3"/>
        </w:rPr>
        <w:t>g</w:t>
      </w:r>
      <w:r w:rsidRPr="00585C2D">
        <w:rPr>
          <w:rFonts w:eastAsia="Arial" w:cstheme="minorHAnsi"/>
          <w:spacing w:val="2"/>
        </w:rPr>
        <w:t>u</w:t>
      </w:r>
      <w:r w:rsidRPr="00585C2D">
        <w:rPr>
          <w:rFonts w:eastAsia="Arial" w:cstheme="minorHAnsi"/>
          <w:spacing w:val="-1"/>
        </w:rPr>
        <w:t>l</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17"/>
        </w:rPr>
        <w:t xml:space="preserve"> </w:t>
      </w:r>
      <w:r w:rsidRPr="00585C2D">
        <w:rPr>
          <w:rFonts w:eastAsia="Arial" w:cstheme="minorHAnsi"/>
          <w:spacing w:val="-3"/>
        </w:rPr>
        <w:t>3</w:t>
      </w:r>
      <w:r w:rsidRPr="00585C2D">
        <w:rPr>
          <w:rFonts w:eastAsia="Arial" w:cstheme="minorHAnsi"/>
        </w:rPr>
        <w:t>5</w:t>
      </w:r>
      <w:r w:rsidRPr="00585C2D">
        <w:rPr>
          <w:rFonts w:eastAsia="Arial" w:cstheme="minorHAnsi"/>
          <w:spacing w:val="2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1"/>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 xml:space="preserve">e </w:t>
      </w:r>
      <w:r w:rsidRPr="00585C2D">
        <w:rPr>
          <w:rFonts w:eastAsia="Arial" w:cstheme="minorHAnsi"/>
          <w:i/>
          <w:spacing w:val="2"/>
        </w:rPr>
        <w:t>Lo</w:t>
      </w:r>
      <w:r w:rsidRPr="00585C2D">
        <w:rPr>
          <w:rFonts w:eastAsia="Arial" w:cstheme="minorHAnsi"/>
          <w:i/>
          <w:spacing w:val="-5"/>
        </w:rPr>
        <w:t>c</w:t>
      </w:r>
      <w:r w:rsidRPr="00585C2D">
        <w:rPr>
          <w:rFonts w:eastAsia="Arial" w:cstheme="minorHAnsi"/>
          <w:i/>
          <w:spacing w:val="2"/>
        </w:rPr>
        <w:t>a</w:t>
      </w:r>
      <w:r w:rsidRPr="00585C2D">
        <w:rPr>
          <w:rFonts w:eastAsia="Arial" w:cstheme="minorHAnsi"/>
          <w:i/>
        </w:rPr>
        <w:t>l</w:t>
      </w:r>
      <w:r w:rsidRPr="00585C2D">
        <w:rPr>
          <w:rFonts w:eastAsia="Arial" w:cstheme="minorHAnsi"/>
          <w:i/>
          <w:spacing w:val="2"/>
        </w:rPr>
        <w:t xml:space="preserve"> </w:t>
      </w:r>
      <w:r w:rsidRPr="00585C2D">
        <w:rPr>
          <w:rFonts w:eastAsia="Arial" w:cstheme="minorHAnsi"/>
          <w:i/>
          <w:spacing w:val="1"/>
        </w:rPr>
        <w:t>G</w:t>
      </w:r>
      <w:r w:rsidRPr="00585C2D">
        <w:rPr>
          <w:rFonts w:eastAsia="Arial" w:cstheme="minorHAnsi"/>
          <w:i/>
          <w:spacing w:val="2"/>
        </w:rPr>
        <w:t>o</w:t>
      </w:r>
      <w:r w:rsidRPr="00585C2D">
        <w:rPr>
          <w:rFonts w:eastAsia="Arial" w:cstheme="minorHAnsi"/>
          <w:i/>
          <w:spacing w:val="-5"/>
        </w:rPr>
        <w:t>v</w:t>
      </w:r>
      <w:r w:rsidRPr="00585C2D">
        <w:rPr>
          <w:rFonts w:eastAsia="Arial" w:cstheme="minorHAnsi"/>
          <w:i/>
          <w:spacing w:val="2"/>
        </w:rPr>
        <w:t>e</w:t>
      </w:r>
      <w:r w:rsidRPr="00585C2D">
        <w:rPr>
          <w:rFonts w:eastAsia="Arial" w:cstheme="minorHAnsi"/>
          <w:i/>
          <w:spacing w:val="-2"/>
        </w:rPr>
        <w:t>r</w:t>
      </w:r>
      <w:r w:rsidRPr="00585C2D">
        <w:rPr>
          <w:rFonts w:eastAsia="Arial" w:cstheme="minorHAnsi"/>
          <w:i/>
          <w:spacing w:val="2"/>
        </w:rPr>
        <w:t>n</w:t>
      </w:r>
      <w:r w:rsidRPr="00585C2D">
        <w:rPr>
          <w:rFonts w:eastAsia="Arial" w:cstheme="minorHAnsi"/>
          <w:i/>
          <w:spacing w:val="-2"/>
        </w:rPr>
        <w:t>m</w:t>
      </w:r>
      <w:r w:rsidRPr="00585C2D">
        <w:rPr>
          <w:rFonts w:eastAsia="Arial" w:cstheme="minorHAnsi"/>
          <w:i/>
          <w:spacing w:val="-3"/>
        </w:rPr>
        <w:t>e</w:t>
      </w:r>
      <w:r w:rsidRPr="00585C2D">
        <w:rPr>
          <w:rFonts w:eastAsia="Arial" w:cstheme="minorHAnsi"/>
          <w:i/>
          <w:spacing w:val="2"/>
        </w:rPr>
        <w:t>n</w:t>
      </w:r>
      <w:r w:rsidRPr="00585C2D">
        <w:rPr>
          <w:rFonts w:eastAsia="Arial" w:cstheme="minorHAnsi"/>
          <w:i/>
        </w:rPr>
        <w:t>t</w:t>
      </w:r>
      <w:r w:rsidRPr="00585C2D">
        <w:rPr>
          <w:rFonts w:eastAsia="Arial" w:cstheme="minorHAnsi"/>
          <w:i/>
          <w:spacing w:val="4"/>
        </w:rPr>
        <w:t xml:space="preserve"> </w:t>
      </w:r>
      <w:r w:rsidRPr="00585C2D">
        <w:rPr>
          <w:rFonts w:eastAsia="Arial" w:cstheme="minorHAnsi"/>
          <w:i/>
          <w:spacing w:val="-2"/>
        </w:rPr>
        <w:t>(</w:t>
      </w:r>
      <w:r w:rsidRPr="00585C2D">
        <w:rPr>
          <w:rFonts w:eastAsia="Arial" w:cstheme="minorHAnsi"/>
          <w:i/>
          <w:spacing w:val="-3"/>
        </w:rPr>
        <w:t>A</w:t>
      </w:r>
      <w:r w:rsidRPr="00585C2D">
        <w:rPr>
          <w:rFonts w:eastAsia="Arial" w:cstheme="minorHAnsi"/>
          <w:i/>
          <w:spacing w:val="2"/>
        </w:rPr>
        <w:t>d</w:t>
      </w:r>
      <w:r w:rsidRPr="00585C2D">
        <w:rPr>
          <w:rFonts w:eastAsia="Arial" w:cstheme="minorHAnsi"/>
          <w:i/>
          <w:spacing w:val="-2"/>
        </w:rPr>
        <w:t>m</w:t>
      </w:r>
      <w:r w:rsidRPr="00585C2D">
        <w:rPr>
          <w:rFonts w:eastAsia="Arial" w:cstheme="minorHAnsi"/>
          <w:i/>
          <w:spacing w:val="-1"/>
        </w:rPr>
        <w:t>i</w:t>
      </w:r>
      <w:r w:rsidRPr="00585C2D">
        <w:rPr>
          <w:rFonts w:eastAsia="Arial" w:cstheme="minorHAnsi"/>
          <w:i/>
          <w:spacing w:val="6"/>
        </w:rPr>
        <w:t>n</w:t>
      </w:r>
      <w:r w:rsidRPr="00585C2D">
        <w:rPr>
          <w:rFonts w:eastAsia="Arial" w:cstheme="minorHAnsi"/>
          <w:i/>
          <w:spacing w:val="-1"/>
        </w:rPr>
        <w:t>i</w:t>
      </w:r>
      <w:r w:rsidRPr="00585C2D">
        <w:rPr>
          <w:rFonts w:eastAsia="Arial" w:cstheme="minorHAnsi"/>
          <w:i/>
        </w:rPr>
        <w:t>s</w:t>
      </w:r>
      <w:r w:rsidRPr="00585C2D">
        <w:rPr>
          <w:rFonts w:eastAsia="Arial" w:cstheme="minorHAnsi"/>
          <w:i/>
          <w:spacing w:val="1"/>
        </w:rPr>
        <w:t>t</w:t>
      </w:r>
      <w:r w:rsidRPr="00585C2D">
        <w:rPr>
          <w:rFonts w:eastAsia="Arial" w:cstheme="minorHAnsi"/>
          <w:i/>
          <w:spacing w:val="-2"/>
        </w:rPr>
        <w:t>r</w:t>
      </w:r>
      <w:r w:rsidRPr="00585C2D">
        <w:rPr>
          <w:rFonts w:eastAsia="Arial" w:cstheme="minorHAnsi"/>
          <w:i/>
          <w:spacing w:val="-3"/>
        </w:rPr>
        <w:t>a</w:t>
      </w:r>
      <w:r w:rsidRPr="00585C2D">
        <w:rPr>
          <w:rFonts w:eastAsia="Arial" w:cstheme="minorHAnsi"/>
          <w:i/>
          <w:spacing w:val="1"/>
        </w:rPr>
        <w:t>t</w:t>
      </w:r>
      <w:r w:rsidRPr="00585C2D">
        <w:rPr>
          <w:rFonts w:eastAsia="Arial" w:cstheme="minorHAnsi"/>
          <w:i/>
          <w:spacing w:val="-1"/>
        </w:rPr>
        <w:t>i</w:t>
      </w:r>
      <w:r w:rsidRPr="00585C2D">
        <w:rPr>
          <w:rFonts w:eastAsia="Arial" w:cstheme="minorHAnsi"/>
          <w:i/>
          <w:spacing w:val="2"/>
        </w:rPr>
        <w:t>on</w:t>
      </w:r>
      <w:r w:rsidRPr="00585C2D">
        <w:rPr>
          <w:rFonts w:eastAsia="Arial" w:cstheme="minorHAnsi"/>
          <w:i/>
        </w:rPr>
        <w:t>)</w:t>
      </w:r>
      <w:r w:rsidRPr="00585C2D">
        <w:rPr>
          <w:rFonts w:eastAsia="Arial" w:cstheme="minorHAnsi"/>
          <w:i/>
          <w:spacing w:val="2"/>
        </w:rPr>
        <w:t xml:space="preserve"> </w:t>
      </w:r>
      <w:r w:rsidRPr="00585C2D">
        <w:rPr>
          <w:rFonts w:eastAsia="Arial" w:cstheme="minorHAnsi"/>
          <w:i/>
          <w:spacing w:val="-1"/>
        </w:rPr>
        <w:t>R</w:t>
      </w:r>
      <w:r w:rsidRPr="00585C2D">
        <w:rPr>
          <w:rFonts w:eastAsia="Arial" w:cstheme="minorHAnsi"/>
          <w:i/>
          <w:spacing w:val="-3"/>
        </w:rPr>
        <w:t>e</w:t>
      </w:r>
      <w:r w:rsidRPr="00585C2D">
        <w:rPr>
          <w:rFonts w:eastAsia="Arial" w:cstheme="minorHAnsi"/>
          <w:i/>
          <w:spacing w:val="2"/>
        </w:rPr>
        <w:t>gu</w:t>
      </w:r>
      <w:r w:rsidRPr="00585C2D">
        <w:rPr>
          <w:rFonts w:eastAsia="Arial" w:cstheme="minorHAnsi"/>
          <w:i/>
          <w:spacing w:val="-6"/>
        </w:rPr>
        <w:t>l</w:t>
      </w:r>
      <w:r w:rsidRPr="00585C2D">
        <w:rPr>
          <w:rFonts w:eastAsia="Arial" w:cstheme="minorHAnsi"/>
          <w:i/>
          <w:spacing w:val="2"/>
        </w:rPr>
        <w:t>a</w:t>
      </w:r>
      <w:r w:rsidRPr="00585C2D">
        <w:rPr>
          <w:rFonts w:eastAsia="Arial" w:cstheme="minorHAnsi"/>
          <w:i/>
          <w:spacing w:val="1"/>
        </w:rPr>
        <w:t>t</w:t>
      </w:r>
      <w:r w:rsidRPr="00585C2D">
        <w:rPr>
          <w:rFonts w:eastAsia="Arial" w:cstheme="minorHAnsi"/>
          <w:i/>
          <w:spacing w:val="-1"/>
        </w:rPr>
        <w:t>i</w:t>
      </w:r>
      <w:r w:rsidRPr="00585C2D">
        <w:rPr>
          <w:rFonts w:eastAsia="Arial" w:cstheme="minorHAnsi"/>
          <w:i/>
          <w:spacing w:val="-3"/>
        </w:rPr>
        <w:t>o</w:t>
      </w:r>
      <w:r w:rsidRPr="00585C2D">
        <w:rPr>
          <w:rFonts w:eastAsia="Arial" w:cstheme="minorHAnsi"/>
          <w:i/>
          <w:spacing w:val="2"/>
        </w:rPr>
        <w:t>n</w:t>
      </w:r>
      <w:r w:rsidRPr="00585C2D">
        <w:rPr>
          <w:rFonts w:eastAsia="Arial" w:cstheme="minorHAnsi"/>
          <w:i/>
        </w:rPr>
        <w:t>s</w:t>
      </w:r>
      <w:r w:rsidRPr="00585C2D">
        <w:rPr>
          <w:rFonts w:eastAsia="Arial" w:cstheme="minorHAnsi"/>
          <w:i/>
          <w:spacing w:val="3"/>
        </w:rPr>
        <w:t xml:space="preserve"> </w:t>
      </w:r>
      <w:r w:rsidRPr="00585C2D">
        <w:rPr>
          <w:rFonts w:eastAsia="Arial" w:cstheme="minorHAnsi"/>
          <w:i/>
          <w:spacing w:val="-3"/>
        </w:rPr>
        <w:t>1</w:t>
      </w:r>
      <w:r w:rsidRPr="00585C2D">
        <w:rPr>
          <w:rFonts w:eastAsia="Arial" w:cstheme="minorHAnsi"/>
          <w:i/>
          <w:spacing w:val="2"/>
        </w:rPr>
        <w:t>9</w:t>
      </w:r>
      <w:r w:rsidRPr="00585C2D">
        <w:rPr>
          <w:rFonts w:eastAsia="Arial" w:cstheme="minorHAnsi"/>
          <w:i/>
          <w:spacing w:val="-3"/>
        </w:rPr>
        <w:t>9</w:t>
      </w:r>
      <w:r w:rsidRPr="00585C2D">
        <w:rPr>
          <w:rFonts w:eastAsia="Arial" w:cstheme="minorHAnsi"/>
          <w:i/>
          <w:spacing w:val="2"/>
        </w:rPr>
        <w:t>6</w:t>
      </w:r>
      <w:r w:rsidRPr="00585C2D">
        <w:rPr>
          <w:rFonts w:eastAsia="Arial" w:cstheme="minorHAnsi"/>
          <w:i/>
        </w:rPr>
        <w:t>,</w:t>
      </w:r>
      <w:r w:rsidRPr="00585C2D">
        <w:rPr>
          <w:rFonts w:eastAsia="Arial" w:cstheme="minorHAnsi"/>
          <w:i/>
          <w:spacing w:val="9"/>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5"/>
        </w:rPr>
        <w:t xml:space="preserve"> Town</w:t>
      </w:r>
      <w:r w:rsidRPr="00585C2D">
        <w:rPr>
          <w:rFonts w:eastAsia="Arial" w:cstheme="minorHAnsi"/>
          <w:spacing w:val="3"/>
        </w:rPr>
        <w:t xml:space="preserve"> </w:t>
      </w:r>
      <w:r w:rsidRPr="00585C2D">
        <w:rPr>
          <w:rFonts w:eastAsia="Arial" w:cstheme="minorHAnsi"/>
          <w:spacing w:val="-2"/>
        </w:rPr>
        <w:t>m</w:t>
      </w:r>
      <w:r w:rsidRPr="00585C2D">
        <w:rPr>
          <w:rFonts w:eastAsia="Arial" w:cstheme="minorHAnsi"/>
          <w:spacing w:val="2"/>
        </w:rPr>
        <w:t>u</w:t>
      </w:r>
      <w:r w:rsidRPr="00585C2D">
        <w:rPr>
          <w:rFonts w:eastAsia="Arial" w:cstheme="minorHAnsi"/>
        </w:rPr>
        <w:t xml:space="preserve">st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pa</w:t>
      </w:r>
      <w:r w:rsidRPr="00585C2D">
        <w:rPr>
          <w:rFonts w:eastAsia="Arial" w:cstheme="minorHAnsi"/>
          <w:spacing w:val="-2"/>
        </w:rPr>
        <w:t>r</w:t>
      </w:r>
      <w:r w:rsidRPr="00585C2D">
        <w:rPr>
          <w:rFonts w:eastAsia="Arial" w:cstheme="minorHAnsi"/>
        </w:rPr>
        <w:t>e a</w:t>
      </w:r>
      <w:r w:rsidRPr="00585C2D">
        <w:rPr>
          <w:rFonts w:eastAsia="Arial" w:cstheme="minorHAnsi"/>
          <w:spacing w:val="5"/>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3"/>
        </w:rPr>
        <w:t>p</w:t>
      </w:r>
      <w:r w:rsidRPr="00585C2D">
        <w:rPr>
          <w:rFonts w:eastAsia="Arial" w:cstheme="minorHAnsi"/>
          <w:spacing w:val="2"/>
        </w:rPr>
        <w:t>o</w:t>
      </w:r>
      <w:r w:rsidRPr="00585C2D">
        <w:rPr>
          <w:rFonts w:eastAsia="Arial" w:cstheme="minorHAnsi"/>
          <w:spacing w:val="-2"/>
        </w:rPr>
        <w:t>r</w:t>
      </w:r>
      <w:r w:rsidRPr="00585C2D">
        <w:rPr>
          <w:rFonts w:eastAsia="Arial" w:cstheme="minorHAnsi"/>
        </w:rPr>
        <w:t xml:space="preserve">t </w:t>
      </w:r>
      <w:r w:rsidRPr="00585C2D">
        <w:rPr>
          <w:rFonts w:eastAsia="Arial" w:cstheme="minorHAnsi"/>
          <w:spacing w:val="6"/>
        </w:rPr>
        <w:t>f</w:t>
      </w:r>
      <w:r w:rsidRPr="00585C2D">
        <w:rPr>
          <w:rFonts w:eastAsia="Arial" w:cstheme="minorHAnsi"/>
          <w:spacing w:val="2"/>
        </w:rPr>
        <w:t>o</w:t>
      </w:r>
      <w:r w:rsidRPr="00585C2D">
        <w:rPr>
          <w:rFonts w:eastAsia="Arial" w:cstheme="minorHAnsi"/>
        </w:rPr>
        <w:t>r</w:t>
      </w:r>
      <w:r w:rsidRPr="00585C2D">
        <w:rPr>
          <w:rFonts w:eastAsia="Arial" w:cstheme="minorHAnsi"/>
          <w:spacing w:val="2"/>
        </w:rPr>
        <w:t xml:space="preserve"> </w:t>
      </w:r>
      <w:r w:rsidRPr="00585C2D">
        <w:rPr>
          <w:rFonts w:eastAsia="Arial" w:cstheme="minorHAnsi"/>
          <w:spacing w:val="-3"/>
        </w:rPr>
        <w:t>e</w:t>
      </w:r>
      <w:r w:rsidRPr="00585C2D">
        <w:rPr>
          <w:rFonts w:eastAsia="Arial" w:cstheme="minorHAnsi"/>
          <w:spacing w:val="2"/>
        </w:rPr>
        <w:t>a</w:t>
      </w:r>
      <w:r w:rsidRPr="00585C2D">
        <w:rPr>
          <w:rFonts w:eastAsia="Arial" w:cstheme="minorHAnsi"/>
          <w:spacing w:val="-5"/>
        </w:rPr>
        <w:t>c</w:t>
      </w:r>
      <w:r w:rsidRPr="00585C2D">
        <w:rPr>
          <w:rFonts w:eastAsia="Arial" w:cstheme="minorHAnsi"/>
        </w:rPr>
        <w:t xml:space="preserve">h </w:t>
      </w:r>
      <w:r w:rsidRPr="00585C2D">
        <w:rPr>
          <w:rFonts w:eastAsia="Arial" w:cstheme="minorHAnsi"/>
          <w:spacing w:val="6"/>
        </w:rPr>
        <w:t>f</w:t>
      </w:r>
      <w:r w:rsidRPr="00585C2D">
        <w:rPr>
          <w:rFonts w:eastAsia="Arial" w:cstheme="minorHAnsi"/>
          <w:spacing w:val="-6"/>
        </w:rPr>
        <w:t>i</w:t>
      </w:r>
      <w:r w:rsidRPr="00585C2D">
        <w:rPr>
          <w:rFonts w:eastAsia="Arial" w:cstheme="minorHAnsi"/>
          <w:spacing w:val="2"/>
        </w:rPr>
        <w:t>n</w:t>
      </w:r>
      <w:r w:rsidRPr="00585C2D">
        <w:rPr>
          <w:rFonts w:eastAsia="Arial" w:cstheme="minorHAnsi"/>
          <w:spacing w:val="-3"/>
        </w:rPr>
        <w:t>a</w:t>
      </w:r>
      <w:r w:rsidRPr="00585C2D">
        <w:rPr>
          <w:rFonts w:eastAsia="Arial" w:cstheme="minorHAnsi"/>
          <w:spacing w:val="2"/>
        </w:rPr>
        <w:t>n</w:t>
      </w:r>
      <w:r w:rsidRPr="00585C2D">
        <w:rPr>
          <w:rFonts w:eastAsia="Arial" w:cstheme="minorHAnsi"/>
        </w:rPr>
        <w:t>c</w:t>
      </w:r>
      <w:r w:rsidRPr="00585C2D">
        <w:rPr>
          <w:rFonts w:eastAsia="Arial" w:cstheme="minorHAnsi"/>
          <w:spacing w:val="-1"/>
        </w:rPr>
        <w:t>i</w:t>
      </w:r>
      <w:r w:rsidRPr="00585C2D">
        <w:rPr>
          <w:rFonts w:eastAsia="Arial" w:cstheme="minorHAnsi"/>
          <w:spacing w:val="2"/>
        </w:rPr>
        <w:t>a</w:t>
      </w:r>
      <w:r w:rsidRPr="00585C2D">
        <w:rPr>
          <w:rFonts w:eastAsia="Arial" w:cstheme="minorHAnsi"/>
        </w:rPr>
        <w:t>l</w:t>
      </w:r>
      <w:r w:rsidRPr="00585C2D">
        <w:rPr>
          <w:rFonts w:eastAsia="Arial" w:cstheme="minorHAnsi"/>
          <w:spacing w:val="-14"/>
        </w:rPr>
        <w:t xml:space="preserve"> </w:t>
      </w:r>
      <w:r w:rsidRPr="00585C2D">
        <w:rPr>
          <w:rFonts w:eastAsia="Arial" w:cstheme="minorHAnsi"/>
          <w:spacing w:val="-5"/>
        </w:rPr>
        <w:t>y</w:t>
      </w:r>
      <w:r w:rsidRPr="00585C2D">
        <w:rPr>
          <w:rFonts w:eastAsia="Arial" w:cstheme="minorHAnsi"/>
          <w:spacing w:val="2"/>
        </w:rPr>
        <w:t>ea</w:t>
      </w:r>
      <w:r w:rsidRPr="00585C2D">
        <w:rPr>
          <w:rFonts w:eastAsia="Arial" w:cstheme="minorHAnsi"/>
        </w:rPr>
        <w:t>r</w:t>
      </w:r>
      <w:r w:rsidRPr="00585C2D">
        <w:rPr>
          <w:rFonts w:eastAsia="Arial" w:cstheme="minorHAnsi"/>
          <w:spacing w:val="-19"/>
        </w:rPr>
        <w:t xml:space="preserve"> </w:t>
      </w:r>
      <w:r w:rsidRPr="00585C2D">
        <w:rPr>
          <w:rFonts w:eastAsia="Arial" w:cstheme="minorHAnsi"/>
          <w:spacing w:val="2"/>
        </w:rPr>
        <w:t>o</w:t>
      </w:r>
      <w:r w:rsidRPr="00585C2D">
        <w:rPr>
          <w:rFonts w:eastAsia="Arial" w:cstheme="minorHAnsi"/>
        </w:rPr>
        <w:t>n</w:t>
      </w:r>
      <w:r w:rsidRPr="00585C2D">
        <w:rPr>
          <w:rFonts w:eastAsia="Arial" w:cstheme="minorHAnsi"/>
          <w:spacing w:val="-16"/>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2"/>
        </w:rPr>
        <w:t>m</w:t>
      </w:r>
      <w:r w:rsidRPr="00585C2D">
        <w:rPr>
          <w:rFonts w:eastAsia="Arial" w:cstheme="minorHAnsi"/>
          <w:spacing w:val="-3"/>
        </w:rPr>
        <w:t>a</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a</w:t>
      </w:r>
      <w:r w:rsidRPr="00585C2D">
        <w:rPr>
          <w:rFonts w:eastAsia="Arial" w:cstheme="minorHAnsi"/>
          <w:spacing w:val="1"/>
        </w:rPr>
        <w:t>t</w:t>
      </w:r>
      <w:r w:rsidRPr="00585C2D">
        <w:rPr>
          <w:rFonts w:eastAsia="Arial" w:cstheme="minorHAnsi"/>
          <w:spacing w:val="2"/>
        </w:rPr>
        <w:t>o</w:t>
      </w:r>
      <w:r w:rsidRPr="00585C2D">
        <w:rPr>
          <w:rFonts w:eastAsia="Arial" w:cstheme="minorHAnsi"/>
          <w:spacing w:val="-2"/>
        </w:rPr>
        <w:t>r</w:t>
      </w:r>
      <w:r w:rsidRPr="00585C2D">
        <w:rPr>
          <w:rFonts w:eastAsia="Arial" w:cstheme="minorHAnsi"/>
        </w:rPr>
        <w:t>y</w:t>
      </w:r>
      <w:r w:rsidRPr="00585C2D">
        <w:rPr>
          <w:rFonts w:eastAsia="Arial" w:cstheme="minorHAnsi"/>
          <w:spacing w:val="-18"/>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12"/>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spacing w:val="-2"/>
        </w:rPr>
        <w:t>m</w:t>
      </w:r>
      <w:r w:rsidRPr="00585C2D">
        <w:rPr>
          <w:rFonts w:eastAsia="Arial" w:cstheme="minorHAnsi"/>
          <w:spacing w:val="2"/>
        </w:rPr>
        <w:t>p</w:t>
      </w:r>
      <w:r w:rsidRPr="00585C2D">
        <w:rPr>
          <w:rFonts w:eastAsia="Arial" w:cstheme="minorHAnsi"/>
          <w:spacing w:val="-6"/>
        </w:rPr>
        <w:t>l</w:t>
      </w:r>
      <w:r w:rsidRPr="00585C2D">
        <w:rPr>
          <w:rFonts w:eastAsia="Arial" w:cstheme="minorHAnsi"/>
          <w:spacing w:val="2"/>
        </w:rPr>
        <w:t>e</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16"/>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13"/>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12"/>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8"/>
        </w:rPr>
        <w:t xml:space="preserve"> </w:t>
      </w:r>
      <w:r w:rsidRPr="00585C2D">
        <w:rPr>
          <w:rFonts w:eastAsia="Arial" w:cstheme="minorHAnsi"/>
          <w:spacing w:val="2"/>
        </w:rPr>
        <w:t>du</w:t>
      </w:r>
      <w:r w:rsidRPr="00585C2D">
        <w:rPr>
          <w:rFonts w:eastAsia="Arial" w:cstheme="minorHAnsi"/>
          <w:spacing w:val="-2"/>
        </w:rPr>
        <w:t>r</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1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1"/>
        </w:rPr>
        <w:t xml:space="preserve"> </w:t>
      </w:r>
      <w:r w:rsidRPr="00585C2D">
        <w:rPr>
          <w:rFonts w:eastAsia="Arial" w:cstheme="minorHAnsi"/>
          <w:spacing w:val="6"/>
        </w:rPr>
        <w:t>f</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an</w:t>
      </w:r>
      <w:r w:rsidRPr="00585C2D">
        <w:rPr>
          <w:rFonts w:eastAsia="Arial" w:cstheme="minorHAnsi"/>
        </w:rPr>
        <w:t>c</w:t>
      </w:r>
      <w:r w:rsidRPr="00585C2D">
        <w:rPr>
          <w:rFonts w:eastAsia="Arial" w:cstheme="minorHAnsi"/>
          <w:spacing w:val="-6"/>
        </w:rPr>
        <w:t>i</w:t>
      </w:r>
      <w:r w:rsidRPr="00585C2D">
        <w:rPr>
          <w:rFonts w:eastAsia="Arial" w:cstheme="minorHAnsi"/>
          <w:spacing w:val="2"/>
        </w:rPr>
        <w:t>a</w:t>
      </w:r>
      <w:r w:rsidRPr="00585C2D">
        <w:rPr>
          <w:rFonts w:eastAsia="Arial" w:cstheme="minorHAnsi"/>
        </w:rPr>
        <w:t>l</w:t>
      </w:r>
      <w:r w:rsidRPr="00585C2D">
        <w:rPr>
          <w:rFonts w:eastAsia="Arial" w:cstheme="minorHAnsi"/>
          <w:spacing w:val="-14"/>
        </w:rPr>
        <w:t xml:space="preserve"> </w:t>
      </w:r>
      <w:r w:rsidRPr="00585C2D">
        <w:rPr>
          <w:rFonts w:eastAsia="Arial" w:cstheme="minorHAnsi"/>
        </w:rPr>
        <w:t>y</w:t>
      </w:r>
      <w:r w:rsidRPr="00585C2D">
        <w:rPr>
          <w:rFonts w:eastAsia="Arial" w:cstheme="minorHAnsi"/>
          <w:spacing w:val="-3"/>
        </w:rPr>
        <w:t>e</w:t>
      </w:r>
      <w:r w:rsidRPr="00585C2D">
        <w:rPr>
          <w:rFonts w:eastAsia="Arial" w:cstheme="minorHAnsi"/>
          <w:spacing w:val="2"/>
        </w:rPr>
        <w:t>a</w:t>
      </w:r>
      <w:r w:rsidRPr="00585C2D">
        <w:rPr>
          <w:rFonts w:eastAsia="Arial" w:cstheme="minorHAnsi"/>
          <w:spacing w:val="14"/>
        </w:rPr>
        <w:t>r</w:t>
      </w:r>
      <w:r w:rsidRPr="00585C2D">
        <w:rPr>
          <w:rFonts w:eastAsia="Arial" w:cstheme="minorHAnsi"/>
        </w:rPr>
        <w:t>. T</w:t>
      </w:r>
      <w:r w:rsidRPr="00585C2D">
        <w:rPr>
          <w:rFonts w:eastAsia="Arial" w:cstheme="minorHAnsi"/>
          <w:spacing w:val="1"/>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6"/>
        </w:rPr>
        <w:t>r</w:t>
      </w:r>
      <w:r w:rsidRPr="00585C2D">
        <w:rPr>
          <w:rFonts w:eastAsia="Arial" w:cstheme="minorHAnsi"/>
          <w:spacing w:val="2"/>
        </w:rPr>
        <w:t>e</w:t>
      </w:r>
      <w:r w:rsidRPr="00585C2D">
        <w:rPr>
          <w:rFonts w:eastAsia="Arial" w:cstheme="minorHAnsi"/>
          <w:spacing w:val="-3"/>
        </w:rPr>
        <w:t>p</w:t>
      </w:r>
      <w:r w:rsidRPr="00585C2D">
        <w:rPr>
          <w:rFonts w:eastAsia="Arial" w:cstheme="minorHAnsi"/>
          <w:spacing w:val="2"/>
        </w:rPr>
        <w:t>o</w:t>
      </w:r>
      <w:r w:rsidRPr="00585C2D">
        <w:rPr>
          <w:rFonts w:eastAsia="Arial" w:cstheme="minorHAnsi"/>
          <w:spacing w:val="-2"/>
        </w:rPr>
        <w:t>r</w:t>
      </w:r>
      <w:r w:rsidRPr="00585C2D">
        <w:rPr>
          <w:rFonts w:eastAsia="Arial" w:cstheme="minorHAnsi"/>
        </w:rPr>
        <w:t>t</w:t>
      </w:r>
      <w:r w:rsidRPr="00585C2D">
        <w:rPr>
          <w:rFonts w:eastAsia="Arial" w:cstheme="minorHAnsi"/>
          <w:spacing w:val="-8"/>
        </w:rPr>
        <w:t xml:space="preserve"> </w:t>
      </w:r>
      <w:r w:rsidRPr="00585C2D">
        <w:rPr>
          <w:rFonts w:eastAsia="Arial" w:cstheme="minorHAnsi"/>
          <w:spacing w:val="-2"/>
        </w:rPr>
        <w:t>m</w:t>
      </w:r>
      <w:r w:rsidRPr="00585C2D">
        <w:rPr>
          <w:rFonts w:eastAsia="Arial" w:cstheme="minorHAnsi"/>
          <w:spacing w:val="2"/>
        </w:rPr>
        <w:t>u</w:t>
      </w:r>
      <w:r w:rsidRPr="00585C2D">
        <w:rPr>
          <w:rFonts w:eastAsia="Arial" w:cstheme="minorHAnsi"/>
          <w:spacing w:val="-5"/>
        </w:rPr>
        <w:t>s</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2"/>
        </w:rPr>
        <w:t>p</w:t>
      </w:r>
      <w:r w:rsidRPr="00585C2D">
        <w:rPr>
          <w:rFonts w:eastAsia="Arial" w:cstheme="minorHAnsi"/>
          <w:spacing w:val="-3"/>
        </w:rPr>
        <w:t>u</w:t>
      </w:r>
      <w:r w:rsidRPr="00585C2D">
        <w:rPr>
          <w:rFonts w:eastAsia="Arial" w:cstheme="minorHAnsi"/>
          <w:spacing w:val="2"/>
        </w:rPr>
        <w:t>b</w:t>
      </w:r>
      <w:r w:rsidRPr="00585C2D">
        <w:rPr>
          <w:rFonts w:eastAsia="Arial" w:cstheme="minorHAnsi"/>
          <w:spacing w:val="-1"/>
        </w:rPr>
        <w:t>li</w:t>
      </w:r>
      <w:r w:rsidRPr="00585C2D">
        <w:rPr>
          <w:rFonts w:eastAsia="Arial" w:cstheme="minorHAnsi"/>
        </w:rPr>
        <w:t>s</w:t>
      </w:r>
      <w:r w:rsidRPr="00585C2D">
        <w:rPr>
          <w:rFonts w:eastAsia="Arial" w:cstheme="minorHAnsi"/>
          <w:spacing w:val="-3"/>
        </w:rPr>
        <w:t>h</w:t>
      </w:r>
      <w:r w:rsidRPr="00585C2D">
        <w:rPr>
          <w:rFonts w:eastAsia="Arial" w:cstheme="minorHAnsi"/>
          <w:spacing w:val="2"/>
        </w:rPr>
        <w:t>e</w:t>
      </w:r>
      <w:r w:rsidRPr="00585C2D">
        <w:rPr>
          <w:rFonts w:eastAsia="Arial" w:cstheme="minorHAnsi"/>
        </w:rPr>
        <w:t>d</w:t>
      </w:r>
      <w:r w:rsidRPr="00585C2D">
        <w:rPr>
          <w:rFonts w:eastAsia="Arial" w:cstheme="minorHAnsi"/>
          <w:spacing w:val="-11"/>
        </w:rPr>
        <w:t xml:space="preserve"> </w:t>
      </w:r>
      <w:r w:rsidRPr="00585C2D">
        <w:rPr>
          <w:rFonts w:eastAsia="Arial" w:cstheme="minorHAnsi"/>
          <w:spacing w:val="-3"/>
        </w:rPr>
        <w:t>o</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1"/>
        </w:rPr>
        <w:t xml:space="preserve"> Town</w:t>
      </w:r>
      <w:r w:rsidRPr="00585C2D">
        <w:rPr>
          <w:rFonts w:eastAsia="Arial" w:cstheme="minorHAnsi"/>
          <w:spacing w:val="-1"/>
        </w:rPr>
        <w:t>’</w:t>
      </w:r>
      <w:r w:rsidRPr="00585C2D">
        <w:rPr>
          <w:rFonts w:eastAsia="Arial" w:cstheme="minorHAnsi"/>
        </w:rPr>
        <w:t>s</w:t>
      </w:r>
      <w:r w:rsidRPr="00585C2D">
        <w:rPr>
          <w:rFonts w:eastAsia="Arial" w:cstheme="minorHAnsi"/>
          <w:spacing w:val="-8"/>
        </w:rPr>
        <w:t xml:space="preserve"> </w:t>
      </w:r>
      <w:r w:rsidRPr="00585C2D">
        <w:rPr>
          <w:rFonts w:eastAsia="Arial" w:cstheme="minorHAnsi"/>
          <w:spacing w:val="-1"/>
        </w:rPr>
        <w:t>w</w:t>
      </w:r>
      <w:r w:rsidRPr="00585C2D">
        <w:rPr>
          <w:rFonts w:eastAsia="Arial" w:cstheme="minorHAnsi"/>
          <w:spacing w:val="-3"/>
        </w:rPr>
        <w:t>e</w:t>
      </w:r>
      <w:r w:rsidRPr="00585C2D">
        <w:rPr>
          <w:rFonts w:eastAsia="Arial" w:cstheme="minorHAnsi"/>
          <w:spacing w:val="2"/>
        </w:rPr>
        <w:t>b</w:t>
      </w:r>
      <w:r w:rsidRPr="00585C2D">
        <w:rPr>
          <w:rFonts w:eastAsia="Arial" w:cstheme="minorHAnsi"/>
        </w:rPr>
        <w:t>s</w:t>
      </w:r>
      <w:r w:rsidRPr="00585C2D">
        <w:rPr>
          <w:rFonts w:eastAsia="Arial" w:cstheme="minorHAnsi"/>
          <w:spacing w:val="-1"/>
        </w:rPr>
        <w:t>i</w:t>
      </w:r>
      <w:r w:rsidRPr="00585C2D">
        <w:rPr>
          <w:rFonts w:eastAsia="Arial" w:cstheme="minorHAnsi"/>
          <w:spacing w:val="-4"/>
        </w:rPr>
        <w:t>t</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1"/>
        </w:rPr>
        <w:t>wi</w:t>
      </w:r>
      <w:r w:rsidRPr="00585C2D">
        <w:rPr>
          <w:rFonts w:eastAsia="Arial" w:cstheme="minorHAnsi"/>
          <w:spacing w:val="1"/>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n</w:t>
      </w:r>
      <w:r w:rsidRPr="00585C2D">
        <w:rPr>
          <w:rFonts w:eastAsia="Arial" w:cstheme="minorHAnsi"/>
          <w:spacing w:val="-11"/>
        </w:rPr>
        <w:t xml:space="preserve"> </w:t>
      </w:r>
      <w:r w:rsidRPr="00585C2D">
        <w:rPr>
          <w:rFonts w:eastAsia="Arial" w:cstheme="minorHAnsi"/>
          <w:spacing w:val="2"/>
        </w:rPr>
        <w:t>o</w:t>
      </w:r>
      <w:r w:rsidRPr="00585C2D">
        <w:rPr>
          <w:rFonts w:eastAsia="Arial" w:cstheme="minorHAnsi"/>
          <w:spacing w:val="-3"/>
        </w:rPr>
        <w:t>n</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m</w:t>
      </w:r>
      <w:r w:rsidRPr="00585C2D">
        <w:rPr>
          <w:rFonts w:eastAsia="Arial" w:cstheme="minorHAnsi"/>
          <w:spacing w:val="-3"/>
        </w:rPr>
        <w:t>o</w:t>
      </w:r>
      <w:r w:rsidRPr="00585C2D">
        <w:rPr>
          <w:rFonts w:eastAsia="Arial" w:cstheme="minorHAnsi"/>
          <w:spacing w:val="2"/>
        </w:rPr>
        <w:t>n</w:t>
      </w:r>
      <w:r w:rsidRPr="00585C2D">
        <w:rPr>
          <w:rFonts w:eastAsia="Arial" w:cstheme="minorHAnsi"/>
          <w:spacing w:val="-4"/>
        </w:rPr>
        <w:t>t</w:t>
      </w:r>
      <w:r w:rsidRPr="00585C2D">
        <w:rPr>
          <w:rFonts w:eastAsia="Arial" w:cstheme="minorHAnsi"/>
        </w:rPr>
        <w:t>h</w:t>
      </w:r>
      <w:r w:rsidRPr="00585C2D">
        <w:rPr>
          <w:rFonts w:eastAsia="Arial" w:cstheme="minorHAnsi"/>
          <w:spacing w:val="-11"/>
        </w:rPr>
        <w:t xml:space="preserve"> </w:t>
      </w:r>
      <w:r w:rsidRPr="00585C2D">
        <w:rPr>
          <w:rFonts w:eastAsia="Arial" w:cstheme="minorHAnsi"/>
          <w:spacing w:val="-3"/>
        </w:rPr>
        <w:t>a</w:t>
      </w:r>
      <w:r w:rsidRPr="00585C2D">
        <w:rPr>
          <w:rFonts w:eastAsia="Arial" w:cstheme="minorHAnsi"/>
          <w:spacing w:val="6"/>
        </w:rPr>
        <w:t>f</w:t>
      </w:r>
      <w:r w:rsidRPr="00585C2D">
        <w:rPr>
          <w:rFonts w:eastAsia="Arial" w:cstheme="minorHAnsi"/>
          <w:spacing w:val="-4"/>
        </w:rPr>
        <w:t>t</w:t>
      </w:r>
      <w:r w:rsidRPr="00585C2D">
        <w:rPr>
          <w:rFonts w:eastAsia="Arial" w:cstheme="minorHAnsi"/>
          <w:spacing w:val="2"/>
        </w:rPr>
        <w:t>e</w:t>
      </w:r>
      <w:r w:rsidRPr="00585C2D">
        <w:rPr>
          <w:rFonts w:eastAsia="Arial" w:cstheme="minorHAnsi"/>
        </w:rPr>
        <w:t>r</w:t>
      </w:r>
      <w:r w:rsidRPr="00585C2D">
        <w:rPr>
          <w:rFonts w:eastAsia="Arial" w:cstheme="minorHAnsi"/>
          <w:spacing w:val="-10"/>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2"/>
        </w:rPr>
        <w:t>e</w:t>
      </w:r>
      <w:r w:rsidRPr="00585C2D">
        <w:rPr>
          <w:rFonts w:eastAsia="Arial" w:cstheme="minorHAnsi"/>
          <w:spacing w:val="-3"/>
        </w:rPr>
        <w:t>n</w:t>
      </w:r>
      <w:r w:rsidRPr="00585C2D">
        <w:rPr>
          <w:rFonts w:eastAsia="Arial" w:cstheme="minorHAnsi"/>
        </w:rPr>
        <w:t>d</w:t>
      </w:r>
      <w:r w:rsidRPr="00585C2D">
        <w:rPr>
          <w:rFonts w:eastAsia="Arial" w:cstheme="minorHAnsi"/>
          <w:spacing w:val="-11"/>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8"/>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Pr>
          <w:rFonts w:eastAsia="Arial" w:cstheme="minorHAnsi"/>
          <w:spacing w:val="-11"/>
        </w:rPr>
        <w:t xml:space="preserve"> </w:t>
      </w:r>
      <w:r w:rsidRPr="00F0410F">
        <w:rPr>
          <w:rFonts w:eastAsia="Arial" w:cstheme="minorHAnsi"/>
        </w:rPr>
        <w:t>financial</w:t>
      </w:r>
      <w:r>
        <w:rPr>
          <w:rFonts w:eastAsia="Arial" w:cstheme="minorHAnsi"/>
          <w:spacing w:val="-11"/>
        </w:rPr>
        <w:t xml:space="preserve"> </w:t>
      </w:r>
      <w:r w:rsidRPr="00585C2D">
        <w:rPr>
          <w:rFonts w:eastAsia="Arial" w:cstheme="minorHAnsi"/>
        </w:rPr>
        <w:t>y</w:t>
      </w:r>
      <w:r w:rsidRPr="00585C2D">
        <w:rPr>
          <w:rFonts w:eastAsia="Arial" w:cstheme="minorHAnsi"/>
          <w:spacing w:val="2"/>
        </w:rPr>
        <w:t>ea</w:t>
      </w:r>
      <w:r w:rsidRPr="00585C2D">
        <w:rPr>
          <w:rFonts w:eastAsia="Arial" w:cstheme="minorHAnsi"/>
        </w:rPr>
        <w:t xml:space="preserve">r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6"/>
        </w:rPr>
        <w:t>w</w:t>
      </w:r>
      <w:r w:rsidRPr="00585C2D">
        <w:rPr>
          <w:rFonts w:eastAsia="Arial" w:cstheme="minorHAnsi"/>
          <w:spacing w:val="2"/>
        </w:rPr>
        <w:t>h</w:t>
      </w:r>
      <w:r w:rsidRPr="00585C2D">
        <w:rPr>
          <w:rFonts w:eastAsia="Arial" w:cstheme="minorHAnsi"/>
          <w:spacing w:val="-1"/>
        </w:rPr>
        <w:t>i</w:t>
      </w:r>
      <w:r w:rsidRPr="00585C2D">
        <w:rPr>
          <w:rFonts w:eastAsia="Arial" w:cstheme="minorHAnsi"/>
        </w:rPr>
        <w:t>ch</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po</w:t>
      </w:r>
      <w:r w:rsidRPr="00585C2D">
        <w:rPr>
          <w:rFonts w:eastAsia="Arial" w:cstheme="minorHAnsi"/>
          <w:spacing w:val="-2"/>
        </w:rPr>
        <w:t>r</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6"/>
        </w:rPr>
        <w:t>r</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a</w:t>
      </w:r>
      <w:r w:rsidRPr="00585C2D">
        <w:rPr>
          <w:rFonts w:eastAsia="Arial" w:cstheme="minorHAnsi"/>
          <w:spacing w:val="-4"/>
        </w:rPr>
        <w:t>t</w:t>
      </w:r>
      <w:r w:rsidRPr="00585C2D">
        <w:rPr>
          <w:rFonts w:eastAsia="Arial" w:cstheme="minorHAnsi"/>
          <w:spacing w:val="2"/>
        </w:rPr>
        <w:t>e</w:t>
      </w:r>
      <w:r w:rsidRPr="00585C2D">
        <w:rPr>
          <w:rFonts w:eastAsia="Arial" w:cstheme="minorHAnsi"/>
        </w:rPr>
        <w:t>s.</w:t>
      </w:r>
    </w:p>
    <w:p w14:paraId="07AE8D41" w14:textId="77777777" w:rsidR="00FC0CF1" w:rsidRPr="00585C2D" w:rsidRDefault="00FC0CF1" w:rsidP="00FC0CF1">
      <w:pPr>
        <w:spacing w:after="60" w:line="240" w:lineRule="auto"/>
        <w:ind w:left="425" w:hanging="425"/>
        <w:rPr>
          <w:rFonts w:eastAsia="Arial" w:cstheme="minorHAnsi"/>
        </w:rPr>
      </w:pPr>
      <w:r>
        <w:rPr>
          <w:rFonts w:eastAsia="Arial" w:cstheme="minorHAnsi"/>
          <w:b/>
          <w:bCs/>
        </w:rPr>
        <w:t>2</w:t>
      </w:r>
      <w:r w:rsidRPr="00585C2D">
        <w:rPr>
          <w:rFonts w:eastAsia="Arial" w:cstheme="minorHAnsi"/>
          <w:b/>
          <w:bCs/>
        </w:rPr>
        <w:t>.</w:t>
      </w:r>
      <w:r w:rsidRPr="00585C2D">
        <w:rPr>
          <w:rFonts w:eastAsia="Arial" w:cstheme="minorHAnsi"/>
          <w:b/>
          <w:bCs/>
          <w:spacing w:val="3"/>
        </w:rPr>
        <w:t xml:space="preserve"> </w:t>
      </w:r>
      <w:r>
        <w:rPr>
          <w:rFonts w:eastAsia="Arial" w:cstheme="minorHAnsi"/>
          <w:b/>
          <w:bCs/>
          <w:spacing w:val="3"/>
        </w:rPr>
        <w:tab/>
      </w:r>
      <w:r w:rsidRPr="00585C2D">
        <w:rPr>
          <w:rFonts w:eastAsia="Arial" w:cstheme="minorHAnsi"/>
          <w:b/>
          <w:bCs/>
          <w:spacing w:val="1"/>
        </w:rPr>
        <w:t>E</w:t>
      </w:r>
      <w:r>
        <w:rPr>
          <w:rFonts w:eastAsia="Arial" w:cstheme="minorHAnsi"/>
          <w:b/>
          <w:bCs/>
          <w:spacing w:val="1"/>
        </w:rPr>
        <w:t>lected Member and CEO Training and Professional Development</w:t>
      </w:r>
    </w:p>
    <w:p w14:paraId="4E6DBB52" w14:textId="77777777" w:rsidR="00FC0CF1" w:rsidRPr="004D3B1B" w:rsidRDefault="00FC0CF1" w:rsidP="00FC0CF1">
      <w:pPr>
        <w:spacing w:after="0" w:line="240" w:lineRule="auto"/>
        <w:ind w:left="851" w:hanging="425"/>
        <w:rPr>
          <w:rFonts w:eastAsia="Arial" w:cstheme="minorHAnsi"/>
          <w:u w:val="single"/>
        </w:rPr>
      </w:pPr>
      <w:r w:rsidRPr="004D3B1B">
        <w:rPr>
          <w:rFonts w:eastAsia="Arial" w:cstheme="minorHAnsi"/>
          <w:bCs/>
          <w:spacing w:val="1"/>
        </w:rPr>
        <w:t>2.</w:t>
      </w:r>
      <w:r w:rsidRPr="004D3B1B">
        <w:rPr>
          <w:rFonts w:eastAsia="Arial" w:cstheme="minorHAnsi"/>
          <w:bCs/>
        </w:rPr>
        <w:t>1</w:t>
      </w:r>
      <w:r w:rsidRPr="004D3B1B">
        <w:rPr>
          <w:rFonts w:eastAsia="Arial" w:cstheme="minorHAnsi"/>
          <w:bCs/>
          <w:spacing w:val="4"/>
        </w:rPr>
        <w:t xml:space="preserve"> </w:t>
      </w:r>
      <w:r w:rsidRPr="004D3B1B">
        <w:rPr>
          <w:rFonts w:eastAsia="Arial" w:cstheme="minorHAnsi"/>
          <w:bCs/>
          <w:spacing w:val="4"/>
        </w:rPr>
        <w:tab/>
      </w:r>
      <w:r w:rsidRPr="004D3B1B">
        <w:rPr>
          <w:rFonts w:eastAsia="Arial" w:cstheme="minorHAnsi"/>
          <w:bCs/>
          <w:spacing w:val="-11"/>
          <w:u w:val="single"/>
        </w:rPr>
        <w:t>A</w:t>
      </w:r>
      <w:r w:rsidRPr="004D3B1B">
        <w:rPr>
          <w:rFonts w:eastAsia="Arial" w:cstheme="minorHAnsi"/>
          <w:bCs/>
          <w:u w:val="single"/>
        </w:rPr>
        <w:t>p</w:t>
      </w:r>
      <w:r w:rsidRPr="004D3B1B">
        <w:rPr>
          <w:rFonts w:eastAsia="Arial" w:cstheme="minorHAnsi"/>
          <w:bCs/>
          <w:spacing w:val="-1"/>
          <w:u w:val="single"/>
        </w:rPr>
        <w:t>p</w:t>
      </w:r>
      <w:r w:rsidRPr="004D3B1B">
        <w:rPr>
          <w:rFonts w:eastAsia="Arial" w:cstheme="minorHAnsi"/>
          <w:bCs/>
          <w:u w:val="single"/>
        </w:rPr>
        <w:t>ro</w:t>
      </w:r>
      <w:r w:rsidRPr="004D3B1B">
        <w:rPr>
          <w:rFonts w:eastAsia="Arial" w:cstheme="minorHAnsi"/>
          <w:bCs/>
          <w:spacing w:val="-3"/>
          <w:u w:val="single"/>
        </w:rPr>
        <w:t>v</w:t>
      </w:r>
      <w:r w:rsidRPr="004D3B1B">
        <w:rPr>
          <w:rFonts w:eastAsia="Arial" w:cstheme="minorHAnsi"/>
          <w:bCs/>
          <w:spacing w:val="2"/>
          <w:u w:val="single"/>
        </w:rPr>
        <w:t>e</w:t>
      </w:r>
      <w:r w:rsidRPr="004D3B1B">
        <w:rPr>
          <w:rFonts w:eastAsia="Arial" w:cstheme="minorHAnsi"/>
          <w:bCs/>
          <w:u w:val="single"/>
        </w:rPr>
        <w:t>d</w:t>
      </w:r>
      <w:r w:rsidRPr="004D3B1B">
        <w:rPr>
          <w:rFonts w:eastAsia="Arial" w:cstheme="minorHAnsi"/>
          <w:bCs/>
          <w:spacing w:val="2"/>
          <w:u w:val="single"/>
        </w:rPr>
        <w:t xml:space="preserve"> </w:t>
      </w:r>
      <w:r w:rsidRPr="004D3B1B">
        <w:rPr>
          <w:rFonts w:eastAsia="Arial" w:cstheme="minorHAnsi"/>
          <w:bCs/>
          <w:spacing w:val="4"/>
          <w:u w:val="single"/>
        </w:rPr>
        <w:t>T</w:t>
      </w:r>
      <w:r w:rsidRPr="004D3B1B">
        <w:rPr>
          <w:rFonts w:eastAsia="Arial" w:cstheme="minorHAnsi"/>
          <w:bCs/>
          <w:spacing w:val="-4"/>
          <w:u w:val="single"/>
        </w:rPr>
        <w:t>r</w:t>
      </w:r>
      <w:r w:rsidRPr="004D3B1B">
        <w:rPr>
          <w:rFonts w:eastAsia="Arial" w:cstheme="minorHAnsi"/>
          <w:bCs/>
          <w:spacing w:val="2"/>
          <w:u w:val="single"/>
        </w:rPr>
        <w:t>a</w:t>
      </w:r>
      <w:r w:rsidRPr="004D3B1B">
        <w:rPr>
          <w:rFonts w:eastAsia="Arial" w:cstheme="minorHAnsi"/>
          <w:bCs/>
          <w:spacing w:val="-4"/>
          <w:u w:val="single"/>
        </w:rPr>
        <w:t>i</w:t>
      </w:r>
      <w:r w:rsidRPr="004D3B1B">
        <w:rPr>
          <w:rFonts w:eastAsia="Arial" w:cstheme="minorHAnsi"/>
          <w:bCs/>
          <w:u w:val="single"/>
        </w:rPr>
        <w:t>n</w:t>
      </w:r>
      <w:r w:rsidRPr="004D3B1B">
        <w:rPr>
          <w:rFonts w:eastAsia="Arial" w:cstheme="minorHAnsi"/>
          <w:bCs/>
          <w:spacing w:val="-4"/>
          <w:u w:val="single"/>
        </w:rPr>
        <w:t>i</w:t>
      </w:r>
      <w:r w:rsidRPr="004D3B1B">
        <w:rPr>
          <w:rFonts w:eastAsia="Arial" w:cstheme="minorHAnsi"/>
          <w:bCs/>
          <w:u w:val="single"/>
        </w:rPr>
        <w:t xml:space="preserve">ng </w:t>
      </w:r>
      <w:r w:rsidRPr="004D3B1B">
        <w:rPr>
          <w:rFonts w:eastAsia="Arial" w:cstheme="minorHAnsi"/>
          <w:bCs/>
          <w:spacing w:val="2"/>
          <w:u w:val="single"/>
        </w:rPr>
        <w:t>a</w:t>
      </w:r>
      <w:r w:rsidRPr="004D3B1B">
        <w:rPr>
          <w:rFonts w:eastAsia="Arial" w:cstheme="minorHAnsi"/>
          <w:bCs/>
          <w:u w:val="single"/>
        </w:rPr>
        <w:t>nd</w:t>
      </w:r>
      <w:r w:rsidRPr="004D3B1B">
        <w:rPr>
          <w:rFonts w:eastAsia="Arial" w:cstheme="minorHAnsi"/>
          <w:bCs/>
          <w:spacing w:val="1"/>
          <w:u w:val="single"/>
        </w:rPr>
        <w:t xml:space="preserve"> </w:t>
      </w:r>
      <w:r w:rsidRPr="004D3B1B">
        <w:rPr>
          <w:rFonts w:eastAsia="Arial" w:cstheme="minorHAnsi"/>
          <w:bCs/>
          <w:spacing w:val="2"/>
          <w:u w:val="single"/>
        </w:rPr>
        <w:t>P</w:t>
      </w:r>
      <w:r w:rsidRPr="004D3B1B">
        <w:rPr>
          <w:rFonts w:eastAsia="Arial" w:cstheme="minorHAnsi"/>
          <w:bCs/>
          <w:u w:val="single"/>
        </w:rPr>
        <w:t>ro</w:t>
      </w:r>
      <w:r w:rsidRPr="004D3B1B">
        <w:rPr>
          <w:rFonts w:eastAsia="Arial" w:cstheme="minorHAnsi"/>
          <w:bCs/>
          <w:spacing w:val="-2"/>
          <w:u w:val="single"/>
        </w:rPr>
        <w:t>f</w:t>
      </w:r>
      <w:r w:rsidRPr="004D3B1B">
        <w:rPr>
          <w:rFonts w:eastAsia="Arial" w:cstheme="minorHAnsi"/>
          <w:bCs/>
          <w:spacing w:val="2"/>
          <w:u w:val="single"/>
        </w:rPr>
        <w:t>e</w:t>
      </w:r>
      <w:r w:rsidRPr="004D3B1B">
        <w:rPr>
          <w:rFonts w:eastAsia="Arial" w:cstheme="minorHAnsi"/>
          <w:bCs/>
          <w:spacing w:val="-3"/>
          <w:u w:val="single"/>
        </w:rPr>
        <w:t>ss</w:t>
      </w:r>
      <w:r w:rsidRPr="004D3B1B">
        <w:rPr>
          <w:rFonts w:eastAsia="Arial" w:cstheme="minorHAnsi"/>
          <w:bCs/>
          <w:spacing w:val="-4"/>
          <w:u w:val="single"/>
        </w:rPr>
        <w:t>i</w:t>
      </w:r>
      <w:r w:rsidRPr="004D3B1B">
        <w:rPr>
          <w:rFonts w:eastAsia="Arial" w:cstheme="minorHAnsi"/>
          <w:bCs/>
          <w:u w:val="single"/>
        </w:rPr>
        <w:t>o</w:t>
      </w:r>
      <w:r w:rsidRPr="004D3B1B">
        <w:rPr>
          <w:rFonts w:eastAsia="Arial" w:cstheme="minorHAnsi"/>
          <w:bCs/>
          <w:spacing w:val="-1"/>
          <w:u w:val="single"/>
        </w:rPr>
        <w:t>n</w:t>
      </w:r>
      <w:r w:rsidRPr="004D3B1B">
        <w:rPr>
          <w:rFonts w:eastAsia="Arial" w:cstheme="minorHAnsi"/>
          <w:bCs/>
          <w:spacing w:val="2"/>
          <w:u w:val="single"/>
        </w:rPr>
        <w:t>a</w:t>
      </w:r>
      <w:r w:rsidRPr="004D3B1B">
        <w:rPr>
          <w:rFonts w:eastAsia="Arial" w:cstheme="minorHAnsi"/>
          <w:bCs/>
          <w:u w:val="single"/>
        </w:rPr>
        <w:t>l</w:t>
      </w:r>
      <w:r w:rsidRPr="004D3B1B">
        <w:rPr>
          <w:rFonts w:eastAsia="Arial" w:cstheme="minorHAnsi"/>
          <w:bCs/>
          <w:spacing w:val="-1"/>
          <w:u w:val="single"/>
        </w:rPr>
        <w:t xml:space="preserve"> D</w:t>
      </w:r>
      <w:r w:rsidRPr="004D3B1B">
        <w:rPr>
          <w:rFonts w:eastAsia="Arial" w:cstheme="minorHAnsi"/>
          <w:bCs/>
          <w:spacing w:val="2"/>
          <w:u w:val="single"/>
        </w:rPr>
        <w:t>e</w:t>
      </w:r>
      <w:r w:rsidRPr="004D3B1B">
        <w:rPr>
          <w:rFonts w:eastAsia="Arial" w:cstheme="minorHAnsi"/>
          <w:bCs/>
          <w:spacing w:val="-3"/>
          <w:u w:val="single"/>
        </w:rPr>
        <w:t>v</w:t>
      </w:r>
      <w:r w:rsidRPr="004D3B1B">
        <w:rPr>
          <w:rFonts w:eastAsia="Arial" w:cstheme="minorHAnsi"/>
          <w:bCs/>
          <w:spacing w:val="2"/>
          <w:u w:val="single"/>
        </w:rPr>
        <w:t>e</w:t>
      </w:r>
      <w:r w:rsidRPr="004D3B1B">
        <w:rPr>
          <w:rFonts w:eastAsia="Arial" w:cstheme="minorHAnsi"/>
          <w:bCs/>
          <w:spacing w:val="1"/>
          <w:u w:val="single"/>
        </w:rPr>
        <w:t>l</w:t>
      </w:r>
      <w:r w:rsidRPr="004D3B1B">
        <w:rPr>
          <w:rFonts w:eastAsia="Arial" w:cstheme="minorHAnsi"/>
          <w:bCs/>
          <w:u w:val="single"/>
        </w:rPr>
        <w:t>o</w:t>
      </w:r>
      <w:r w:rsidRPr="004D3B1B">
        <w:rPr>
          <w:rFonts w:eastAsia="Arial" w:cstheme="minorHAnsi"/>
          <w:bCs/>
          <w:spacing w:val="-1"/>
          <w:u w:val="single"/>
        </w:rPr>
        <w:t>p</w:t>
      </w:r>
      <w:r w:rsidRPr="004D3B1B">
        <w:rPr>
          <w:rFonts w:eastAsia="Arial" w:cstheme="minorHAnsi"/>
          <w:bCs/>
          <w:spacing w:val="-4"/>
          <w:u w:val="single"/>
        </w:rPr>
        <w:t>m</w:t>
      </w:r>
      <w:r w:rsidRPr="004D3B1B">
        <w:rPr>
          <w:rFonts w:eastAsia="Arial" w:cstheme="minorHAnsi"/>
          <w:bCs/>
          <w:spacing w:val="2"/>
          <w:u w:val="single"/>
        </w:rPr>
        <w:t>e</w:t>
      </w:r>
      <w:r w:rsidRPr="004D3B1B">
        <w:rPr>
          <w:rFonts w:eastAsia="Arial" w:cstheme="minorHAnsi"/>
          <w:bCs/>
          <w:u w:val="single"/>
        </w:rPr>
        <w:t>nt</w:t>
      </w:r>
      <w:r w:rsidRPr="004D3B1B">
        <w:rPr>
          <w:rFonts w:eastAsia="Arial" w:cstheme="minorHAnsi"/>
          <w:bCs/>
          <w:spacing w:val="5"/>
          <w:u w:val="single"/>
        </w:rPr>
        <w:t xml:space="preserve"> </w:t>
      </w:r>
      <w:r w:rsidRPr="004D3B1B">
        <w:rPr>
          <w:rFonts w:eastAsia="Arial" w:cstheme="minorHAnsi"/>
          <w:bCs/>
          <w:spacing w:val="-6"/>
          <w:u w:val="single"/>
        </w:rPr>
        <w:t>A</w:t>
      </w:r>
      <w:r w:rsidRPr="004D3B1B">
        <w:rPr>
          <w:rFonts w:eastAsia="Arial" w:cstheme="minorHAnsi"/>
          <w:bCs/>
          <w:spacing w:val="1"/>
          <w:u w:val="single"/>
        </w:rPr>
        <w:t>l</w:t>
      </w:r>
      <w:r w:rsidRPr="004D3B1B">
        <w:rPr>
          <w:rFonts w:eastAsia="Arial" w:cstheme="minorHAnsi"/>
          <w:bCs/>
          <w:spacing w:val="-4"/>
          <w:u w:val="single"/>
        </w:rPr>
        <w:t>l</w:t>
      </w:r>
      <w:r w:rsidRPr="004D3B1B">
        <w:rPr>
          <w:rFonts w:eastAsia="Arial" w:cstheme="minorHAnsi"/>
          <w:bCs/>
          <w:u w:val="single"/>
        </w:rPr>
        <w:t>o</w:t>
      </w:r>
      <w:r w:rsidRPr="004D3B1B">
        <w:rPr>
          <w:rFonts w:eastAsia="Arial" w:cstheme="minorHAnsi"/>
          <w:bCs/>
          <w:spacing w:val="1"/>
          <w:u w:val="single"/>
        </w:rPr>
        <w:t>c</w:t>
      </w:r>
      <w:r w:rsidRPr="004D3B1B">
        <w:rPr>
          <w:rFonts w:eastAsia="Arial" w:cstheme="minorHAnsi"/>
          <w:bCs/>
          <w:spacing w:val="2"/>
          <w:u w:val="single"/>
        </w:rPr>
        <w:t>a</w:t>
      </w:r>
      <w:r w:rsidRPr="004D3B1B">
        <w:rPr>
          <w:rFonts w:eastAsia="Arial" w:cstheme="minorHAnsi"/>
          <w:bCs/>
          <w:spacing w:val="-2"/>
          <w:u w:val="single"/>
        </w:rPr>
        <w:t>t</w:t>
      </w:r>
      <w:r w:rsidRPr="004D3B1B">
        <w:rPr>
          <w:rFonts w:eastAsia="Arial" w:cstheme="minorHAnsi"/>
          <w:bCs/>
          <w:spacing w:val="-4"/>
          <w:u w:val="single"/>
        </w:rPr>
        <w:t>i</w:t>
      </w:r>
      <w:r w:rsidRPr="004D3B1B">
        <w:rPr>
          <w:rFonts w:eastAsia="Arial" w:cstheme="minorHAnsi"/>
          <w:bCs/>
          <w:u w:val="single"/>
        </w:rPr>
        <w:t>on</w:t>
      </w:r>
    </w:p>
    <w:p w14:paraId="62B82848" w14:textId="77777777" w:rsidR="00FC0CF1" w:rsidRPr="00585C2D" w:rsidRDefault="00FC0CF1" w:rsidP="00FC0CF1">
      <w:pPr>
        <w:spacing w:after="60" w:line="250" w:lineRule="exact"/>
        <w:ind w:left="1276" w:hanging="425"/>
        <w:jc w:val="both"/>
        <w:rPr>
          <w:rFonts w:eastAsia="Arial" w:cstheme="minorHAnsi"/>
        </w:rPr>
      </w:pPr>
      <w:r w:rsidRPr="00585C2D">
        <w:rPr>
          <w:rFonts w:eastAsia="Arial" w:cstheme="minorHAnsi"/>
          <w:spacing w:val="2"/>
        </w:rPr>
        <w:t>a</w:t>
      </w:r>
      <w:r>
        <w:rPr>
          <w:rFonts w:eastAsia="Arial" w:cstheme="minorHAnsi"/>
        </w:rPr>
        <w:t>.</w:t>
      </w:r>
      <w:r>
        <w:rPr>
          <w:rFonts w:eastAsia="Arial" w:cstheme="minorHAnsi"/>
        </w:rPr>
        <w:tab/>
      </w:r>
      <w:r w:rsidRPr="00585C2D">
        <w:rPr>
          <w:rFonts w:eastAsia="Arial" w:cstheme="minorHAnsi"/>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31"/>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6"/>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33"/>
        </w:rPr>
        <w:t xml:space="preserve">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43"/>
        </w:rPr>
        <w:t xml:space="preserve"> </w:t>
      </w:r>
      <w:r w:rsidRPr="00585C2D">
        <w:rPr>
          <w:rFonts w:eastAsia="Arial" w:cstheme="minorHAnsi"/>
          <w:spacing w:val="2"/>
        </w:rPr>
        <w:t>a</w:t>
      </w:r>
      <w:r w:rsidRPr="00585C2D">
        <w:rPr>
          <w:rFonts w:eastAsia="Arial" w:cstheme="minorHAnsi"/>
          <w:spacing w:val="-5"/>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e</w:t>
      </w:r>
      <w:r w:rsidRPr="00585C2D">
        <w:rPr>
          <w:rFonts w:eastAsia="Arial" w:cstheme="minorHAnsi"/>
        </w:rPr>
        <w:t>s</w:t>
      </w:r>
      <w:r w:rsidRPr="00585C2D">
        <w:rPr>
          <w:rFonts w:eastAsia="Arial" w:cstheme="minorHAnsi"/>
          <w:spacing w:val="31"/>
        </w:rPr>
        <w:t xml:space="preserve"> </w:t>
      </w:r>
      <w:r w:rsidRPr="00585C2D">
        <w:rPr>
          <w:rFonts w:eastAsia="Arial" w:cstheme="minorHAnsi"/>
          <w:spacing w:val="-1"/>
        </w:rPr>
        <w:t>w</w:t>
      </w:r>
      <w:r w:rsidRPr="00585C2D">
        <w:rPr>
          <w:rFonts w:eastAsia="Arial" w:cstheme="minorHAnsi"/>
          <w:spacing w:val="2"/>
        </w:rPr>
        <w:t>h</w:t>
      </w:r>
      <w:r w:rsidRPr="00585C2D">
        <w:rPr>
          <w:rFonts w:eastAsia="Arial" w:cstheme="minorHAnsi"/>
          <w:spacing w:val="-1"/>
        </w:rPr>
        <w:t>i</w:t>
      </w:r>
      <w:r w:rsidRPr="00585C2D">
        <w:rPr>
          <w:rFonts w:eastAsia="Arial" w:cstheme="minorHAnsi"/>
        </w:rPr>
        <w:t>ch</w:t>
      </w:r>
      <w:r w:rsidRPr="00585C2D">
        <w:rPr>
          <w:rFonts w:eastAsia="Arial" w:cstheme="minorHAnsi"/>
          <w:spacing w:val="36"/>
        </w:rPr>
        <w:t xml:space="preserve"> </w:t>
      </w:r>
      <w:r w:rsidRPr="00585C2D">
        <w:rPr>
          <w:rFonts w:eastAsia="Arial" w:cstheme="minorHAnsi"/>
          <w:spacing w:val="1"/>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s</w:t>
      </w:r>
      <w:r w:rsidRPr="00585C2D">
        <w:rPr>
          <w:rFonts w:eastAsia="Arial" w:cstheme="minorHAnsi"/>
          <w:spacing w:val="30"/>
        </w:rPr>
        <w:t xml:space="preserve"> </w:t>
      </w:r>
      <w:r w:rsidRPr="00585C2D">
        <w:rPr>
          <w:rFonts w:eastAsia="Arial" w:cstheme="minorHAnsi"/>
          <w:spacing w:val="2"/>
        </w:rPr>
        <w:t>po</w:t>
      </w:r>
      <w:r w:rsidRPr="00585C2D">
        <w:rPr>
          <w:rFonts w:eastAsia="Arial" w:cstheme="minorHAnsi"/>
          <w:spacing w:val="-1"/>
        </w:rPr>
        <w:t>li</w:t>
      </w:r>
      <w:r w:rsidRPr="00585C2D">
        <w:rPr>
          <w:rFonts w:eastAsia="Arial" w:cstheme="minorHAnsi"/>
        </w:rPr>
        <w:t>cy</w:t>
      </w:r>
      <w:r w:rsidRPr="00585C2D">
        <w:rPr>
          <w:rFonts w:eastAsia="Arial" w:cstheme="minorHAnsi"/>
          <w:spacing w:val="35"/>
        </w:rPr>
        <w:t xml:space="preserve"> </w:t>
      </w:r>
      <w:r w:rsidRPr="00585C2D">
        <w:rPr>
          <w:rFonts w:eastAsia="Arial" w:cstheme="minorHAnsi"/>
          <w:spacing w:val="-3"/>
        </w:rPr>
        <w:t>a</w:t>
      </w:r>
      <w:r w:rsidRPr="00585C2D">
        <w:rPr>
          <w:rFonts w:eastAsia="Arial" w:cstheme="minorHAnsi"/>
          <w:spacing w:val="2"/>
        </w:rPr>
        <w:t>pp</w:t>
      </w:r>
      <w:r w:rsidRPr="00585C2D">
        <w:rPr>
          <w:rFonts w:eastAsia="Arial" w:cstheme="minorHAnsi"/>
          <w:spacing w:val="-1"/>
        </w:rPr>
        <w:t>li</w:t>
      </w:r>
      <w:r w:rsidRPr="00585C2D">
        <w:rPr>
          <w:rFonts w:eastAsia="Arial" w:cstheme="minorHAnsi"/>
          <w:spacing w:val="2"/>
        </w:rPr>
        <w:t>e</w:t>
      </w:r>
      <w:r w:rsidRPr="00585C2D">
        <w:rPr>
          <w:rFonts w:eastAsia="Arial" w:cstheme="minorHAnsi"/>
        </w:rPr>
        <w:t>s</w:t>
      </w:r>
      <w:r w:rsidRPr="00585C2D">
        <w:rPr>
          <w:rFonts w:eastAsia="Arial" w:cstheme="minorHAnsi"/>
          <w:spacing w:val="35"/>
        </w:rPr>
        <w:t xml:space="preserve"> </w:t>
      </w:r>
      <w:r w:rsidRPr="00585C2D">
        <w:rPr>
          <w:rFonts w:eastAsia="Arial" w:cstheme="minorHAnsi"/>
          <w:spacing w:val="-5"/>
        </w:rPr>
        <w:t>s</w:t>
      </w:r>
      <w:r w:rsidRPr="00585C2D">
        <w:rPr>
          <w:rFonts w:eastAsia="Arial" w:cstheme="minorHAnsi"/>
          <w:spacing w:val="2"/>
        </w:rPr>
        <w:t>ha</w:t>
      </w:r>
      <w:r w:rsidRPr="00585C2D">
        <w:rPr>
          <w:rFonts w:eastAsia="Arial" w:cstheme="minorHAnsi"/>
          <w:spacing w:val="-1"/>
        </w:rPr>
        <w:t>l</w:t>
      </w:r>
      <w:r w:rsidRPr="00585C2D">
        <w:rPr>
          <w:rFonts w:eastAsia="Arial" w:cstheme="minorHAnsi"/>
        </w:rPr>
        <w:t>l</w:t>
      </w:r>
      <w:r w:rsidRPr="00585C2D">
        <w:rPr>
          <w:rFonts w:eastAsia="Arial" w:cstheme="minorHAnsi"/>
          <w:spacing w:val="33"/>
        </w:rPr>
        <w:t xml:space="preserve"> </w:t>
      </w:r>
      <w:r w:rsidRPr="00585C2D">
        <w:rPr>
          <w:rFonts w:eastAsia="Arial" w:cstheme="minorHAnsi"/>
          <w:spacing w:val="-3"/>
        </w:rPr>
        <w:t>g</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ll</w:t>
      </w:r>
      <w:r w:rsidRPr="00585C2D">
        <w:rPr>
          <w:rFonts w:eastAsia="Arial" w:cstheme="minorHAnsi"/>
        </w:rPr>
        <w:t>y</w:t>
      </w:r>
      <w:r w:rsidRPr="00585C2D">
        <w:rPr>
          <w:rFonts w:eastAsia="Arial" w:cstheme="minorHAnsi"/>
          <w:spacing w:val="35"/>
        </w:rPr>
        <w:t xml:space="preserve"> </w:t>
      </w:r>
      <w:r w:rsidRPr="00585C2D">
        <w:rPr>
          <w:rFonts w:eastAsia="Arial" w:cstheme="minorHAnsi"/>
          <w:spacing w:val="-3"/>
        </w:rPr>
        <w:t>b</w:t>
      </w:r>
      <w:r w:rsidRPr="00585C2D">
        <w:rPr>
          <w:rFonts w:eastAsia="Arial" w:cstheme="minorHAnsi"/>
        </w:rPr>
        <w:t xml:space="preserve">e </w:t>
      </w:r>
      <w:r w:rsidRPr="00585C2D">
        <w:rPr>
          <w:rFonts w:eastAsia="Arial" w:cstheme="minorHAnsi"/>
          <w:spacing w:val="-1"/>
        </w:rPr>
        <w:t>li</w:t>
      </w:r>
      <w:r w:rsidRPr="00585C2D">
        <w:rPr>
          <w:rFonts w:eastAsia="Arial" w:cstheme="minorHAnsi"/>
          <w:spacing w:val="-2"/>
        </w:rPr>
        <w:t>m</w:t>
      </w:r>
      <w:r w:rsidRPr="00585C2D">
        <w:rPr>
          <w:rFonts w:eastAsia="Arial" w:cstheme="minorHAnsi"/>
          <w:spacing w:val="-1"/>
        </w:rPr>
        <w:t>i</w:t>
      </w:r>
      <w:r w:rsidRPr="00585C2D">
        <w:rPr>
          <w:rFonts w:eastAsia="Arial" w:cstheme="minorHAnsi"/>
          <w:spacing w:val="1"/>
        </w:rPr>
        <w:t>t</w:t>
      </w:r>
      <w:r w:rsidRPr="00585C2D">
        <w:rPr>
          <w:rFonts w:eastAsia="Arial" w:cstheme="minorHAnsi"/>
          <w:spacing w:val="2"/>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spacing w:val="-1"/>
        </w:rPr>
        <w:t>ll</w:t>
      </w:r>
      <w:r w:rsidRPr="00585C2D">
        <w:rPr>
          <w:rFonts w:eastAsia="Arial" w:cstheme="minorHAnsi"/>
          <w:spacing w:val="2"/>
        </w:rPr>
        <w:t>o</w:t>
      </w:r>
      <w:r w:rsidRPr="00585C2D">
        <w:rPr>
          <w:rFonts w:eastAsia="Arial" w:cstheme="minorHAnsi"/>
          <w:spacing w:val="-1"/>
        </w:rPr>
        <w:t>w</w:t>
      </w:r>
      <w:r w:rsidRPr="00585C2D">
        <w:rPr>
          <w:rFonts w:eastAsia="Arial" w:cstheme="minorHAnsi"/>
          <w:spacing w:val="-6"/>
        </w:rPr>
        <w:t>i</w:t>
      </w:r>
      <w:r w:rsidRPr="00585C2D">
        <w:rPr>
          <w:rFonts w:eastAsia="Arial" w:cstheme="minorHAnsi"/>
          <w:spacing w:val="2"/>
        </w:rPr>
        <w:t>ng</w:t>
      </w:r>
      <w:r w:rsidRPr="00585C2D">
        <w:rPr>
          <w:rFonts w:eastAsia="Arial" w:cstheme="minorHAnsi"/>
        </w:rPr>
        <w:t>:</w:t>
      </w:r>
    </w:p>
    <w:p w14:paraId="4DEE36C9" w14:textId="77777777" w:rsidR="00FC0CF1" w:rsidRPr="00585C2D" w:rsidRDefault="00FC0CF1" w:rsidP="00FC0CF1">
      <w:pPr>
        <w:tabs>
          <w:tab w:val="left" w:pos="2180"/>
        </w:tabs>
        <w:spacing w:after="60" w:line="240" w:lineRule="auto"/>
        <w:ind w:left="1701" w:hanging="425"/>
        <w:jc w:val="both"/>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8"/>
        </w:rPr>
        <w:t>W</w:t>
      </w:r>
      <w:r w:rsidRPr="00585C2D">
        <w:rPr>
          <w:rFonts w:eastAsia="Arial" w:cstheme="minorHAnsi"/>
        </w:rPr>
        <w:t>A</w:t>
      </w:r>
      <w:r w:rsidRPr="00585C2D">
        <w:rPr>
          <w:rFonts w:eastAsia="Arial" w:cstheme="minorHAnsi"/>
          <w:spacing w:val="36"/>
        </w:rPr>
        <w:t xml:space="preserve"> </w:t>
      </w:r>
      <w:r w:rsidRPr="00585C2D">
        <w:rPr>
          <w:rFonts w:eastAsia="Arial" w:cstheme="minorHAnsi"/>
          <w:spacing w:val="2"/>
        </w:rPr>
        <w:t>L</w:t>
      </w:r>
      <w:r w:rsidRPr="00585C2D">
        <w:rPr>
          <w:rFonts w:eastAsia="Arial" w:cstheme="minorHAnsi"/>
          <w:spacing w:val="-3"/>
        </w:rPr>
        <w:t>o</w:t>
      </w:r>
      <w:r w:rsidRPr="00585C2D">
        <w:rPr>
          <w:rFonts w:eastAsia="Arial" w:cstheme="minorHAnsi"/>
        </w:rPr>
        <w:t>c</w:t>
      </w:r>
      <w:r w:rsidRPr="00585C2D">
        <w:rPr>
          <w:rFonts w:eastAsia="Arial" w:cstheme="minorHAnsi"/>
          <w:spacing w:val="2"/>
        </w:rPr>
        <w:t>a</w:t>
      </w:r>
      <w:r w:rsidRPr="00585C2D">
        <w:rPr>
          <w:rFonts w:eastAsia="Arial" w:cstheme="minorHAnsi"/>
        </w:rPr>
        <w:t>l</w:t>
      </w:r>
      <w:r w:rsidRPr="00585C2D">
        <w:rPr>
          <w:rFonts w:eastAsia="Arial" w:cstheme="minorHAnsi"/>
          <w:spacing w:val="38"/>
        </w:rPr>
        <w:t xml:space="preserve"> </w:t>
      </w:r>
      <w:r w:rsidRPr="00585C2D">
        <w:rPr>
          <w:rFonts w:eastAsia="Arial" w:cstheme="minorHAnsi"/>
          <w:spacing w:val="1"/>
        </w:rPr>
        <w:t>G</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n</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40"/>
        </w:rPr>
        <w:t xml:space="preserve"> </w:t>
      </w:r>
      <w:r w:rsidRPr="00585C2D">
        <w:rPr>
          <w:rFonts w:eastAsia="Arial" w:cstheme="minorHAnsi"/>
          <w:spacing w:val="1"/>
        </w:rPr>
        <w:t>A</w:t>
      </w:r>
      <w:r w:rsidRPr="00585C2D">
        <w:rPr>
          <w:rFonts w:eastAsia="Arial" w:cstheme="minorHAnsi"/>
        </w:rPr>
        <w:t>ss</w:t>
      </w:r>
      <w:r w:rsidRPr="00585C2D">
        <w:rPr>
          <w:rFonts w:eastAsia="Arial" w:cstheme="minorHAnsi"/>
          <w:spacing w:val="-3"/>
        </w:rPr>
        <w:t>o</w:t>
      </w:r>
      <w:r w:rsidRPr="00585C2D">
        <w:rPr>
          <w:rFonts w:eastAsia="Arial" w:cstheme="minorHAnsi"/>
        </w:rPr>
        <w:t>c</w:t>
      </w:r>
      <w:r w:rsidRPr="00585C2D">
        <w:rPr>
          <w:rFonts w:eastAsia="Arial" w:cstheme="minorHAnsi"/>
          <w:spacing w:val="-1"/>
        </w:rPr>
        <w:t>i</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46"/>
        </w:rPr>
        <w:t xml:space="preserve"> </w:t>
      </w:r>
      <w:r w:rsidRPr="00585C2D">
        <w:rPr>
          <w:rFonts w:eastAsia="Arial" w:cstheme="minorHAnsi"/>
          <w:spacing w:val="-6"/>
        </w:rPr>
        <w:t>C</w:t>
      </w:r>
      <w:r w:rsidRPr="00585C2D">
        <w:rPr>
          <w:rFonts w:eastAsia="Arial" w:cstheme="minorHAnsi"/>
          <w:spacing w:val="2"/>
        </w:rPr>
        <w:t>o</w:t>
      </w:r>
      <w:r w:rsidRPr="00585C2D">
        <w:rPr>
          <w:rFonts w:eastAsia="Arial" w:cstheme="minorHAnsi"/>
          <w:spacing w:val="-3"/>
        </w:rPr>
        <w:t>u</w:t>
      </w:r>
      <w:r w:rsidRPr="00585C2D">
        <w:rPr>
          <w:rFonts w:eastAsia="Arial" w:cstheme="minorHAnsi"/>
          <w:spacing w:val="2"/>
        </w:rPr>
        <w:t>n</w:t>
      </w:r>
      <w:r w:rsidRPr="00585C2D">
        <w:rPr>
          <w:rFonts w:eastAsia="Arial" w:cstheme="minorHAnsi"/>
        </w:rPr>
        <w:t>c</w:t>
      </w:r>
      <w:r w:rsidRPr="00585C2D">
        <w:rPr>
          <w:rFonts w:eastAsia="Arial" w:cstheme="minorHAnsi"/>
          <w:spacing w:val="-1"/>
        </w:rPr>
        <w:t>i</w:t>
      </w:r>
      <w:r w:rsidRPr="00585C2D">
        <w:rPr>
          <w:rFonts w:eastAsia="Arial" w:cstheme="minorHAnsi"/>
        </w:rPr>
        <w:t>l</w:t>
      </w:r>
      <w:r w:rsidRPr="00585C2D">
        <w:rPr>
          <w:rFonts w:eastAsia="Arial" w:cstheme="minorHAnsi"/>
          <w:spacing w:val="43"/>
        </w:rPr>
        <w:t xml:space="preserve"> </w:t>
      </w:r>
      <w:r w:rsidRPr="00585C2D">
        <w:rPr>
          <w:rFonts w:eastAsia="Arial" w:cstheme="minorHAnsi"/>
          <w:spacing w:val="1"/>
        </w:rPr>
        <w:t>(</w:t>
      </w:r>
      <w:r w:rsidRPr="00585C2D">
        <w:rPr>
          <w:rFonts w:eastAsia="Arial" w:cstheme="minorHAnsi"/>
          <w:spacing w:val="7"/>
        </w:rPr>
        <w:t>W</w:t>
      </w:r>
      <w:r w:rsidRPr="00585C2D">
        <w:rPr>
          <w:rFonts w:eastAsia="Arial" w:cstheme="minorHAnsi"/>
          <w:spacing w:val="-8"/>
        </w:rPr>
        <w:t>A</w:t>
      </w:r>
      <w:r w:rsidRPr="00585C2D">
        <w:rPr>
          <w:rFonts w:eastAsia="Arial" w:cstheme="minorHAnsi"/>
          <w:spacing w:val="2"/>
        </w:rPr>
        <w:t>L</w:t>
      </w:r>
      <w:r w:rsidRPr="00585C2D">
        <w:rPr>
          <w:rFonts w:eastAsia="Arial" w:cstheme="minorHAnsi"/>
          <w:spacing w:val="1"/>
        </w:rPr>
        <w:t>G</w:t>
      </w:r>
      <w:r w:rsidRPr="00585C2D">
        <w:rPr>
          <w:rFonts w:eastAsia="Arial" w:cstheme="minorHAnsi"/>
          <w:spacing w:val="2"/>
        </w:rPr>
        <w:t>A</w:t>
      </w:r>
      <w:r w:rsidRPr="00585C2D">
        <w:rPr>
          <w:rFonts w:eastAsia="Arial" w:cstheme="minorHAnsi"/>
        </w:rPr>
        <w:t>)</w:t>
      </w:r>
      <w:r w:rsidRPr="00585C2D">
        <w:rPr>
          <w:rFonts w:eastAsia="Arial" w:cstheme="minorHAnsi"/>
          <w:spacing w:val="38"/>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41"/>
        </w:rPr>
        <w:t xml:space="preserve"> </w:t>
      </w:r>
      <w:r w:rsidRPr="00585C2D">
        <w:rPr>
          <w:rFonts w:eastAsia="Arial" w:cstheme="minorHAnsi"/>
          <w:spacing w:val="1"/>
        </w:rPr>
        <w:t>A</w:t>
      </w:r>
      <w:r w:rsidRPr="00585C2D">
        <w:rPr>
          <w:rFonts w:eastAsia="Arial" w:cstheme="minorHAnsi"/>
          <w:spacing w:val="2"/>
        </w:rPr>
        <w:t>u</w:t>
      </w:r>
      <w:r w:rsidRPr="00585C2D">
        <w:rPr>
          <w:rFonts w:eastAsia="Arial" w:cstheme="minorHAnsi"/>
        </w:rPr>
        <w:t>s</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spacing w:val="-1"/>
        </w:rPr>
        <w:t>li</w:t>
      </w:r>
      <w:r w:rsidRPr="00585C2D">
        <w:rPr>
          <w:rFonts w:eastAsia="Arial" w:cstheme="minorHAnsi"/>
          <w:spacing w:val="2"/>
        </w:rPr>
        <w:t>a</w:t>
      </w:r>
      <w:r w:rsidRPr="00585C2D">
        <w:rPr>
          <w:rFonts w:eastAsia="Arial" w:cstheme="minorHAnsi"/>
        </w:rPr>
        <w:t>n</w:t>
      </w:r>
      <w:r w:rsidRPr="00585C2D">
        <w:rPr>
          <w:rFonts w:eastAsia="Arial" w:cstheme="minorHAnsi"/>
          <w:spacing w:val="41"/>
        </w:rPr>
        <w:t xml:space="preserve"> </w:t>
      </w:r>
      <w:r w:rsidRPr="00585C2D">
        <w:rPr>
          <w:rFonts w:eastAsia="Arial" w:cstheme="minorHAnsi"/>
          <w:spacing w:val="-3"/>
        </w:rPr>
        <w:t>L</w:t>
      </w:r>
      <w:r w:rsidRPr="00585C2D">
        <w:rPr>
          <w:rFonts w:eastAsia="Arial" w:cstheme="minorHAnsi"/>
          <w:spacing w:val="2"/>
        </w:rPr>
        <w:t>o</w:t>
      </w:r>
      <w:r w:rsidRPr="00585C2D">
        <w:rPr>
          <w:rFonts w:eastAsia="Arial" w:cstheme="minorHAnsi"/>
        </w:rPr>
        <w:t>c</w:t>
      </w:r>
      <w:r w:rsidRPr="00585C2D">
        <w:rPr>
          <w:rFonts w:eastAsia="Arial" w:cstheme="minorHAnsi"/>
          <w:spacing w:val="2"/>
        </w:rPr>
        <w:t>a</w:t>
      </w:r>
      <w:r w:rsidRPr="00585C2D">
        <w:rPr>
          <w:rFonts w:eastAsia="Arial" w:cstheme="minorHAnsi"/>
        </w:rPr>
        <w:t>l</w:t>
      </w:r>
      <w:r w:rsidRPr="00585C2D">
        <w:rPr>
          <w:rFonts w:eastAsia="Arial" w:cstheme="minorHAnsi"/>
          <w:spacing w:val="38"/>
        </w:rPr>
        <w:t xml:space="preserve"> </w:t>
      </w:r>
      <w:r w:rsidRPr="00585C2D">
        <w:rPr>
          <w:rFonts w:eastAsia="Arial" w:cstheme="minorHAnsi"/>
          <w:spacing w:val="1"/>
        </w:rPr>
        <w:t>G</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n</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Pr>
          <w:rFonts w:eastAsia="Arial" w:cstheme="minorHAnsi"/>
        </w:rPr>
        <w:t xml:space="preserve"> </w:t>
      </w:r>
      <w:r w:rsidRPr="00585C2D">
        <w:rPr>
          <w:rFonts w:eastAsia="Arial" w:cstheme="minorHAnsi"/>
          <w:spacing w:val="1"/>
        </w:rPr>
        <w:t>A</w:t>
      </w:r>
      <w:r w:rsidRPr="00585C2D">
        <w:rPr>
          <w:rFonts w:eastAsia="Arial" w:cstheme="minorHAnsi"/>
        </w:rPr>
        <w:t>ss</w:t>
      </w:r>
      <w:r w:rsidRPr="00585C2D">
        <w:rPr>
          <w:rFonts w:eastAsia="Arial" w:cstheme="minorHAnsi"/>
          <w:spacing w:val="2"/>
        </w:rPr>
        <w:t>o</w:t>
      </w:r>
      <w:r w:rsidRPr="00585C2D">
        <w:rPr>
          <w:rFonts w:eastAsia="Arial" w:cstheme="minorHAnsi"/>
        </w:rPr>
        <w:t>c</w:t>
      </w:r>
      <w:r w:rsidRPr="00585C2D">
        <w:rPr>
          <w:rFonts w:eastAsia="Arial" w:cstheme="minorHAnsi"/>
          <w:spacing w:val="-6"/>
        </w:rPr>
        <w:t>i</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5"/>
        </w:rPr>
        <w:t xml:space="preserve"> </w:t>
      </w:r>
      <w:r w:rsidRPr="00585C2D">
        <w:rPr>
          <w:rFonts w:eastAsia="Arial" w:cstheme="minorHAnsi"/>
          <w:spacing w:val="-2"/>
        </w:rPr>
        <w:t>(</w:t>
      </w:r>
      <w:r w:rsidRPr="00585C2D">
        <w:rPr>
          <w:rFonts w:eastAsia="Arial" w:cstheme="minorHAnsi"/>
          <w:spacing w:val="-3"/>
        </w:rPr>
        <w:t>A</w:t>
      </w:r>
      <w:r w:rsidRPr="00585C2D">
        <w:rPr>
          <w:rFonts w:eastAsia="Arial" w:cstheme="minorHAnsi"/>
          <w:spacing w:val="2"/>
        </w:rPr>
        <w:t>L</w:t>
      </w:r>
      <w:r w:rsidRPr="00585C2D">
        <w:rPr>
          <w:rFonts w:eastAsia="Arial" w:cstheme="minorHAnsi"/>
          <w:spacing w:val="1"/>
        </w:rPr>
        <w:t>GA</w:t>
      </w:r>
      <w:r w:rsidRPr="00585C2D">
        <w:rPr>
          <w:rFonts w:eastAsia="Arial" w:cstheme="minorHAnsi"/>
        </w:rPr>
        <w:t xml:space="preserve">) </w:t>
      </w:r>
      <w:r w:rsidRPr="00585C2D">
        <w:rPr>
          <w:rFonts w:eastAsia="Arial" w:cstheme="minorHAnsi"/>
          <w:spacing w:val="-5"/>
        </w:rPr>
        <w:t>c</w:t>
      </w:r>
      <w:r w:rsidRPr="00585C2D">
        <w:rPr>
          <w:rFonts w:eastAsia="Arial" w:cstheme="minorHAnsi"/>
          <w:spacing w:val="-3"/>
        </w:rPr>
        <w:t>on</w:t>
      </w:r>
      <w:r w:rsidRPr="00585C2D">
        <w:rPr>
          <w:rFonts w:eastAsia="Arial" w:cstheme="minorHAnsi"/>
          <w:spacing w:val="6"/>
        </w:rPr>
        <w:t>f</w:t>
      </w:r>
      <w:r w:rsidRPr="00585C2D">
        <w:rPr>
          <w:rFonts w:eastAsia="Arial" w:cstheme="minorHAnsi"/>
          <w:spacing w:val="2"/>
        </w:rPr>
        <w:t>e</w:t>
      </w:r>
      <w:r w:rsidRPr="00585C2D">
        <w:rPr>
          <w:rFonts w:eastAsia="Arial" w:cstheme="minorHAnsi"/>
          <w:spacing w:val="-6"/>
        </w:rPr>
        <w:t>r</w:t>
      </w:r>
      <w:r w:rsidRPr="00585C2D">
        <w:rPr>
          <w:rFonts w:eastAsia="Arial" w:cstheme="minorHAnsi"/>
          <w:spacing w:val="2"/>
        </w:rPr>
        <w:t>en</w:t>
      </w:r>
      <w:r w:rsidRPr="00585C2D">
        <w:rPr>
          <w:rFonts w:eastAsia="Arial" w:cstheme="minorHAnsi"/>
          <w:spacing w:val="-5"/>
        </w:rPr>
        <w:t>c</w:t>
      </w:r>
      <w:r w:rsidRPr="00585C2D">
        <w:rPr>
          <w:rFonts w:eastAsia="Arial" w:cstheme="minorHAnsi"/>
          <w:spacing w:val="2"/>
        </w:rPr>
        <w:t>e</w:t>
      </w:r>
      <w:r w:rsidRPr="00585C2D">
        <w:rPr>
          <w:rFonts w:eastAsia="Arial" w:cstheme="minorHAnsi"/>
        </w:rPr>
        <w:t>s.</w:t>
      </w:r>
    </w:p>
    <w:p w14:paraId="46B894B0" w14:textId="77777777" w:rsidR="00FC0CF1" w:rsidRPr="00585C2D" w:rsidRDefault="00FC0CF1" w:rsidP="00FC0CF1">
      <w:pPr>
        <w:tabs>
          <w:tab w:val="left" w:pos="2180"/>
        </w:tabs>
        <w:spacing w:before="11" w:after="60" w:line="240" w:lineRule="auto"/>
        <w:ind w:left="1701" w:hanging="425"/>
        <w:jc w:val="both"/>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1"/>
        </w:rPr>
        <w:t>S</w:t>
      </w:r>
      <w:r w:rsidRPr="00585C2D">
        <w:rPr>
          <w:rFonts w:eastAsia="Arial" w:cstheme="minorHAnsi"/>
          <w:spacing w:val="2"/>
        </w:rPr>
        <w:t>p</w:t>
      </w:r>
      <w:r w:rsidRPr="00585C2D">
        <w:rPr>
          <w:rFonts w:eastAsia="Arial" w:cstheme="minorHAnsi"/>
          <w:spacing w:val="-3"/>
        </w:rPr>
        <w:t>e</w:t>
      </w:r>
      <w:r w:rsidRPr="00585C2D">
        <w:rPr>
          <w:rFonts w:eastAsia="Arial" w:cstheme="minorHAnsi"/>
        </w:rPr>
        <w:t>c</w:t>
      </w:r>
      <w:r w:rsidRPr="00585C2D">
        <w:rPr>
          <w:rFonts w:eastAsia="Arial" w:cstheme="minorHAnsi"/>
          <w:spacing w:val="-1"/>
        </w:rPr>
        <w:t>i</w:t>
      </w:r>
      <w:r w:rsidRPr="00585C2D">
        <w:rPr>
          <w:rFonts w:eastAsia="Arial" w:cstheme="minorHAnsi"/>
          <w:spacing w:val="2"/>
        </w:rPr>
        <w:t>a</w:t>
      </w:r>
      <w:r w:rsidRPr="00585C2D">
        <w:rPr>
          <w:rFonts w:eastAsia="Arial" w:cstheme="minorHAnsi"/>
        </w:rPr>
        <w:t>l</w:t>
      </w:r>
      <w:r w:rsidRPr="00585C2D">
        <w:rPr>
          <w:rFonts w:eastAsia="Arial" w:cstheme="minorHAnsi"/>
          <w:spacing w:val="48"/>
        </w:rPr>
        <w:t xml:space="preserve"> </w:t>
      </w:r>
      <w:r w:rsidRPr="00585C2D">
        <w:rPr>
          <w:rFonts w:eastAsia="Arial" w:cstheme="minorHAnsi"/>
          <w:spacing w:val="-1"/>
        </w:rPr>
        <w:t>‘</w:t>
      </w:r>
      <w:r w:rsidRPr="00585C2D">
        <w:rPr>
          <w:rFonts w:eastAsia="Arial" w:cstheme="minorHAnsi"/>
          <w:spacing w:val="2"/>
        </w:rPr>
        <w:t>o</w:t>
      </w:r>
      <w:r w:rsidRPr="00585C2D">
        <w:rPr>
          <w:rFonts w:eastAsia="Arial" w:cstheme="minorHAnsi"/>
          <w:spacing w:val="-3"/>
        </w:rPr>
        <w:t>n</w:t>
      </w:r>
      <w:r w:rsidRPr="00585C2D">
        <w:rPr>
          <w:rFonts w:eastAsia="Arial" w:cstheme="minorHAnsi"/>
        </w:rPr>
        <w:t>e</w:t>
      </w:r>
      <w:r w:rsidRPr="00585C2D">
        <w:rPr>
          <w:rFonts w:eastAsia="Arial" w:cstheme="minorHAnsi"/>
          <w:spacing w:val="51"/>
        </w:rPr>
        <w:t xml:space="preserve"> </w:t>
      </w:r>
      <w:r w:rsidRPr="00585C2D">
        <w:rPr>
          <w:rFonts w:eastAsia="Arial" w:cstheme="minorHAnsi"/>
          <w:spacing w:val="-3"/>
        </w:rPr>
        <w:t>o</w:t>
      </w:r>
      <w:r w:rsidRPr="00585C2D">
        <w:rPr>
          <w:rFonts w:eastAsia="Arial" w:cstheme="minorHAnsi"/>
          <w:spacing w:val="1"/>
        </w:rPr>
        <w:t>ff</w:t>
      </w:r>
      <w:r w:rsidRPr="00585C2D">
        <w:rPr>
          <w:rFonts w:eastAsia="Arial" w:cstheme="minorHAnsi"/>
        </w:rPr>
        <w:t>’</w:t>
      </w:r>
      <w:r w:rsidRPr="00585C2D">
        <w:rPr>
          <w:rFonts w:eastAsia="Arial" w:cstheme="minorHAnsi"/>
          <w:spacing w:val="48"/>
        </w:rPr>
        <w:t xml:space="preserve"> </w:t>
      </w:r>
      <w:r w:rsidRPr="00585C2D">
        <w:rPr>
          <w:rFonts w:eastAsia="Arial" w:cstheme="minorHAnsi"/>
        </w:rPr>
        <w:t>c</w:t>
      </w:r>
      <w:r w:rsidRPr="00585C2D">
        <w:rPr>
          <w:rFonts w:eastAsia="Arial" w:cstheme="minorHAnsi"/>
          <w:spacing w:val="-3"/>
        </w:rPr>
        <w:t>on</w:t>
      </w:r>
      <w:r w:rsidRPr="00585C2D">
        <w:rPr>
          <w:rFonts w:eastAsia="Arial" w:cstheme="minorHAnsi"/>
          <w:spacing w:val="1"/>
        </w:rPr>
        <w:t>f</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e</w:t>
      </w:r>
      <w:r w:rsidRPr="00585C2D">
        <w:rPr>
          <w:rFonts w:eastAsia="Arial" w:cstheme="minorHAnsi"/>
          <w:spacing w:val="-3"/>
        </w:rPr>
        <w:t>n</w:t>
      </w:r>
      <w:r w:rsidRPr="00585C2D">
        <w:rPr>
          <w:rFonts w:eastAsia="Arial" w:cstheme="minorHAnsi"/>
        </w:rPr>
        <w:t>c</w:t>
      </w:r>
      <w:r w:rsidRPr="00585C2D">
        <w:rPr>
          <w:rFonts w:eastAsia="Arial" w:cstheme="minorHAnsi"/>
          <w:spacing w:val="2"/>
        </w:rPr>
        <w:t>e</w:t>
      </w:r>
      <w:r w:rsidRPr="00585C2D">
        <w:rPr>
          <w:rFonts w:eastAsia="Arial" w:cstheme="minorHAnsi"/>
        </w:rPr>
        <w:t>s</w:t>
      </w:r>
      <w:r w:rsidRPr="00585C2D">
        <w:rPr>
          <w:rFonts w:eastAsia="Arial" w:cstheme="minorHAnsi"/>
          <w:spacing w:val="49"/>
        </w:rPr>
        <w:t xml:space="preserve"> </w:t>
      </w:r>
      <w:r w:rsidRPr="00585C2D">
        <w:rPr>
          <w:rFonts w:eastAsia="Arial" w:cstheme="minorHAnsi"/>
          <w:spacing w:val="-5"/>
        </w:rPr>
        <w:t>c</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e</w:t>
      </w:r>
      <w:r w:rsidRPr="00585C2D">
        <w:rPr>
          <w:rFonts w:eastAsia="Arial" w:cstheme="minorHAnsi"/>
        </w:rPr>
        <w:t>d</w:t>
      </w:r>
      <w:r w:rsidRPr="00585C2D">
        <w:rPr>
          <w:rFonts w:eastAsia="Arial" w:cstheme="minorHAnsi"/>
          <w:spacing w:val="46"/>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47"/>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47"/>
        </w:rPr>
        <w:t xml:space="preserve"> </w:t>
      </w:r>
      <w:r w:rsidRPr="00585C2D">
        <w:rPr>
          <w:rFonts w:eastAsia="Arial" w:cstheme="minorHAnsi"/>
          <w:spacing w:val="-5"/>
        </w:rPr>
        <w:t>s</w:t>
      </w:r>
      <w:r w:rsidRPr="00585C2D">
        <w:rPr>
          <w:rFonts w:eastAsia="Arial" w:cstheme="minorHAnsi"/>
          <w:spacing w:val="2"/>
        </w:rPr>
        <w:t>p</w:t>
      </w:r>
      <w:r w:rsidRPr="00585C2D">
        <w:rPr>
          <w:rFonts w:eastAsia="Arial" w:cstheme="minorHAnsi"/>
          <w:spacing w:val="-3"/>
        </w:rPr>
        <w:t>on</w:t>
      </w:r>
      <w:r w:rsidRPr="00585C2D">
        <w:rPr>
          <w:rFonts w:eastAsia="Arial" w:cstheme="minorHAnsi"/>
        </w:rPr>
        <w:t>s</w:t>
      </w:r>
      <w:r w:rsidRPr="00585C2D">
        <w:rPr>
          <w:rFonts w:eastAsia="Arial" w:cstheme="minorHAnsi"/>
          <w:spacing w:val="2"/>
        </w:rPr>
        <w:t>o</w:t>
      </w:r>
      <w:r w:rsidRPr="00585C2D">
        <w:rPr>
          <w:rFonts w:eastAsia="Arial" w:cstheme="minorHAnsi"/>
          <w:spacing w:val="-2"/>
        </w:rPr>
        <w:t>r</w:t>
      </w:r>
      <w:r w:rsidRPr="00585C2D">
        <w:rPr>
          <w:rFonts w:eastAsia="Arial" w:cstheme="minorHAnsi"/>
          <w:spacing w:val="2"/>
        </w:rPr>
        <w:t>e</w:t>
      </w:r>
      <w:r w:rsidRPr="00585C2D">
        <w:rPr>
          <w:rFonts w:eastAsia="Arial" w:cstheme="minorHAnsi"/>
        </w:rPr>
        <w:t>d</w:t>
      </w:r>
      <w:r w:rsidRPr="00585C2D">
        <w:rPr>
          <w:rFonts w:eastAsia="Arial" w:cstheme="minorHAnsi"/>
          <w:spacing w:val="46"/>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49"/>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53"/>
        </w:rPr>
        <w:t xml:space="preserve"> </w:t>
      </w:r>
      <w:r w:rsidRPr="00585C2D">
        <w:rPr>
          <w:rFonts w:eastAsia="Arial" w:cstheme="minorHAnsi"/>
          <w:spacing w:val="7"/>
        </w:rPr>
        <w:t>W</w:t>
      </w:r>
      <w:r w:rsidRPr="00585C2D">
        <w:rPr>
          <w:rFonts w:eastAsia="Arial" w:cstheme="minorHAnsi"/>
          <w:spacing w:val="-3"/>
        </w:rPr>
        <w:t>A</w:t>
      </w:r>
      <w:r w:rsidRPr="00585C2D">
        <w:rPr>
          <w:rFonts w:eastAsia="Arial" w:cstheme="minorHAnsi"/>
          <w:spacing w:val="2"/>
        </w:rPr>
        <w:t>L</w:t>
      </w:r>
      <w:r w:rsidRPr="00585C2D">
        <w:rPr>
          <w:rFonts w:eastAsia="Arial" w:cstheme="minorHAnsi"/>
          <w:spacing w:val="-4"/>
        </w:rPr>
        <w:t>G</w:t>
      </w:r>
      <w:r w:rsidRPr="00585C2D">
        <w:rPr>
          <w:rFonts w:eastAsia="Arial" w:cstheme="minorHAnsi"/>
        </w:rPr>
        <w:t>A</w:t>
      </w:r>
      <w:r w:rsidRPr="00585C2D">
        <w:rPr>
          <w:rFonts w:eastAsia="Arial" w:cstheme="minorHAnsi"/>
          <w:spacing w:val="52"/>
        </w:rPr>
        <w:t xml:space="preserve"> </w:t>
      </w:r>
      <w:r w:rsidRPr="00585C2D">
        <w:rPr>
          <w:rFonts w:eastAsia="Arial" w:cstheme="minorHAnsi"/>
          <w:spacing w:val="-3"/>
        </w:rPr>
        <w:t>a</w:t>
      </w:r>
      <w:r w:rsidRPr="00585C2D">
        <w:rPr>
          <w:rFonts w:eastAsia="Arial" w:cstheme="minorHAnsi"/>
          <w:spacing w:val="2"/>
        </w:rPr>
        <w:t>nd</w:t>
      </w:r>
      <w:r w:rsidRPr="00585C2D">
        <w:rPr>
          <w:rFonts w:eastAsia="Arial" w:cstheme="minorHAnsi"/>
          <w:spacing w:val="-3"/>
        </w:rPr>
        <w:t>/</w:t>
      </w:r>
      <w:r w:rsidRPr="00585C2D">
        <w:rPr>
          <w:rFonts w:eastAsia="Arial" w:cstheme="minorHAnsi"/>
          <w:spacing w:val="2"/>
        </w:rPr>
        <w:t>o</w:t>
      </w:r>
      <w:r w:rsidRPr="00585C2D">
        <w:rPr>
          <w:rFonts w:eastAsia="Arial" w:cstheme="minorHAnsi"/>
        </w:rPr>
        <w:t>r</w:t>
      </w:r>
      <w:r w:rsidRPr="00585C2D">
        <w:rPr>
          <w:rFonts w:eastAsia="Arial" w:cstheme="minorHAnsi"/>
          <w:spacing w:val="48"/>
        </w:rPr>
        <w:t xml:space="preserve"> </w:t>
      </w:r>
      <w:r w:rsidRPr="00585C2D">
        <w:rPr>
          <w:rFonts w:eastAsia="Arial" w:cstheme="minorHAnsi"/>
          <w:spacing w:val="1"/>
        </w:rPr>
        <w:t>A</w:t>
      </w:r>
      <w:r w:rsidRPr="00585C2D">
        <w:rPr>
          <w:rFonts w:eastAsia="Arial" w:cstheme="minorHAnsi"/>
          <w:spacing w:val="-3"/>
        </w:rPr>
        <w:t>L</w:t>
      </w:r>
      <w:r w:rsidRPr="00585C2D">
        <w:rPr>
          <w:rFonts w:eastAsia="Arial" w:cstheme="minorHAnsi"/>
          <w:spacing w:val="1"/>
        </w:rPr>
        <w:t>G</w:t>
      </w:r>
      <w:r w:rsidRPr="00585C2D">
        <w:rPr>
          <w:rFonts w:eastAsia="Arial" w:cstheme="minorHAnsi"/>
        </w:rPr>
        <w:t>A</w:t>
      </w:r>
      <w:r w:rsidRPr="00585C2D">
        <w:rPr>
          <w:rFonts w:eastAsia="Arial" w:cstheme="minorHAnsi"/>
          <w:spacing w:val="47"/>
        </w:rPr>
        <w:t xml:space="preserve"> </w:t>
      </w:r>
      <w:r w:rsidRPr="00585C2D">
        <w:rPr>
          <w:rFonts w:eastAsia="Arial" w:cstheme="minorHAnsi"/>
          <w:spacing w:val="2"/>
        </w:rPr>
        <w:t>o</w:t>
      </w:r>
      <w:r w:rsidRPr="00585C2D">
        <w:rPr>
          <w:rFonts w:eastAsia="Arial" w:cstheme="minorHAnsi"/>
        </w:rPr>
        <w:t xml:space="preserve">n </w:t>
      </w:r>
      <w:r w:rsidRPr="00585C2D">
        <w:rPr>
          <w:rFonts w:eastAsia="Arial" w:cstheme="minorHAnsi"/>
          <w:spacing w:val="-1"/>
        </w:rPr>
        <w:t>i</w:t>
      </w:r>
      <w:r w:rsidRPr="00585C2D">
        <w:rPr>
          <w:rFonts w:eastAsia="Arial" w:cstheme="minorHAnsi"/>
          <w:spacing w:val="-2"/>
        </w:rPr>
        <w:t>m</w:t>
      </w:r>
      <w:r w:rsidRPr="00585C2D">
        <w:rPr>
          <w:rFonts w:eastAsia="Arial" w:cstheme="minorHAnsi"/>
          <w:spacing w:val="2"/>
        </w:rPr>
        <w:t>po</w:t>
      </w:r>
      <w:r w:rsidRPr="00585C2D">
        <w:rPr>
          <w:rFonts w:eastAsia="Arial" w:cstheme="minorHAnsi"/>
          <w:spacing w:val="-2"/>
        </w:rPr>
        <w:t>r</w:t>
      </w:r>
      <w:r w:rsidRPr="00585C2D">
        <w:rPr>
          <w:rFonts w:eastAsia="Arial" w:cstheme="minorHAnsi"/>
          <w:spacing w:val="1"/>
        </w:rPr>
        <w:t>t</w:t>
      </w:r>
      <w:r w:rsidRPr="00585C2D">
        <w:rPr>
          <w:rFonts w:eastAsia="Arial" w:cstheme="minorHAnsi"/>
          <w:spacing w:val="-3"/>
        </w:rPr>
        <w:t>a</w:t>
      </w:r>
      <w:r w:rsidRPr="00585C2D">
        <w:rPr>
          <w:rFonts w:eastAsia="Arial" w:cstheme="minorHAnsi"/>
          <w:spacing w:val="2"/>
        </w:rPr>
        <w:t>n</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5"/>
        </w:rPr>
        <w:t>s</w:t>
      </w:r>
      <w:r w:rsidRPr="00585C2D">
        <w:rPr>
          <w:rFonts w:eastAsia="Arial" w:cstheme="minorHAnsi"/>
          <w:spacing w:val="2"/>
        </w:rPr>
        <w:t>ue</w:t>
      </w:r>
      <w:r w:rsidRPr="00585C2D">
        <w:rPr>
          <w:rFonts w:eastAsia="Arial" w:cstheme="minorHAnsi"/>
          <w:spacing w:val="-5"/>
        </w:rPr>
        <w:t>s</w:t>
      </w:r>
      <w:r w:rsidRPr="00585C2D">
        <w:rPr>
          <w:rFonts w:eastAsia="Arial" w:cstheme="minorHAnsi"/>
        </w:rPr>
        <w:t>.</w:t>
      </w:r>
    </w:p>
    <w:p w14:paraId="322CEB58" w14:textId="77777777" w:rsidR="00FC0CF1" w:rsidRPr="00585C2D" w:rsidRDefault="00FC0CF1" w:rsidP="00FC0CF1">
      <w:pPr>
        <w:tabs>
          <w:tab w:val="left" w:pos="2180"/>
        </w:tabs>
        <w:spacing w:before="15" w:after="60" w:line="240" w:lineRule="auto"/>
        <w:ind w:left="1701" w:hanging="425"/>
        <w:jc w:val="both"/>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1"/>
        </w:rPr>
        <w:t>A</w:t>
      </w:r>
      <w:r w:rsidRPr="00585C2D">
        <w:rPr>
          <w:rFonts w:eastAsia="Arial" w:cstheme="minorHAnsi"/>
          <w:spacing w:val="2"/>
        </w:rPr>
        <w:t>n</w:t>
      </w:r>
      <w:r w:rsidRPr="00585C2D">
        <w:rPr>
          <w:rFonts w:eastAsia="Arial" w:cstheme="minorHAnsi"/>
          <w:spacing w:val="-3"/>
        </w:rPr>
        <w:t>n</w:t>
      </w:r>
      <w:r w:rsidRPr="00585C2D">
        <w:rPr>
          <w:rFonts w:eastAsia="Arial" w:cstheme="minorHAnsi"/>
          <w:spacing w:val="2"/>
        </w:rPr>
        <w:t>ua</w:t>
      </w:r>
      <w:r w:rsidRPr="00585C2D">
        <w:rPr>
          <w:rFonts w:eastAsia="Arial" w:cstheme="minorHAnsi"/>
        </w:rPr>
        <w:t>l</w:t>
      </w:r>
      <w:r w:rsidRPr="00585C2D">
        <w:rPr>
          <w:rFonts w:eastAsia="Arial" w:cstheme="minorHAnsi"/>
          <w:spacing w:val="19"/>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1"/>
        </w:rPr>
        <w:t>f</w:t>
      </w:r>
      <w:r w:rsidRPr="00585C2D">
        <w:rPr>
          <w:rFonts w:eastAsia="Arial" w:cstheme="minorHAnsi"/>
          <w:spacing w:val="2"/>
        </w:rPr>
        <w:t>e</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n</w:t>
      </w:r>
      <w:r w:rsidRPr="00585C2D">
        <w:rPr>
          <w:rFonts w:eastAsia="Arial" w:cstheme="minorHAnsi"/>
        </w:rPr>
        <w:t>c</w:t>
      </w:r>
      <w:r w:rsidRPr="00585C2D">
        <w:rPr>
          <w:rFonts w:eastAsia="Arial" w:cstheme="minorHAnsi"/>
          <w:spacing w:val="-3"/>
        </w:rPr>
        <w:t>e</w:t>
      </w:r>
      <w:r w:rsidRPr="00585C2D">
        <w:rPr>
          <w:rFonts w:eastAsia="Arial" w:cstheme="minorHAnsi"/>
        </w:rPr>
        <w:t>s</w:t>
      </w:r>
      <w:r w:rsidRPr="00585C2D">
        <w:rPr>
          <w:rFonts w:eastAsia="Arial" w:cstheme="minorHAnsi"/>
          <w:spacing w:val="20"/>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6"/>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2"/>
        </w:rPr>
        <w:t xml:space="preserve"> </w:t>
      </w:r>
      <w:r w:rsidRPr="00585C2D">
        <w:rPr>
          <w:rFonts w:eastAsia="Arial" w:cstheme="minorHAnsi"/>
          <w:spacing w:val="-6"/>
        </w:rPr>
        <w:t>m</w:t>
      </w:r>
      <w:r w:rsidRPr="00585C2D">
        <w:rPr>
          <w:rFonts w:eastAsia="Arial" w:cstheme="minorHAnsi"/>
          <w:spacing w:val="2"/>
        </w:rPr>
        <w:t>a</w:t>
      </w:r>
      <w:r w:rsidRPr="00585C2D">
        <w:rPr>
          <w:rFonts w:eastAsia="Arial" w:cstheme="minorHAnsi"/>
          <w:spacing w:val="-1"/>
        </w:rPr>
        <w:t>j</w:t>
      </w:r>
      <w:r w:rsidRPr="00585C2D">
        <w:rPr>
          <w:rFonts w:eastAsia="Arial" w:cstheme="minorHAnsi"/>
          <w:spacing w:val="2"/>
        </w:rPr>
        <w:t>o</w:t>
      </w:r>
      <w:r w:rsidRPr="00585C2D">
        <w:rPr>
          <w:rFonts w:eastAsia="Arial" w:cstheme="minorHAnsi"/>
        </w:rPr>
        <w:t>r</w:t>
      </w:r>
      <w:r w:rsidRPr="00585C2D">
        <w:rPr>
          <w:rFonts w:eastAsia="Arial" w:cstheme="minorHAnsi"/>
          <w:spacing w:val="19"/>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6"/>
        </w:rPr>
        <w:t>i</w:t>
      </w:r>
      <w:r w:rsidRPr="00585C2D">
        <w:rPr>
          <w:rFonts w:eastAsia="Arial" w:cstheme="minorHAnsi"/>
          <w:spacing w:val="2"/>
        </w:rPr>
        <w:t>on</w:t>
      </w:r>
      <w:r w:rsidRPr="00585C2D">
        <w:rPr>
          <w:rFonts w:eastAsia="Arial" w:cstheme="minorHAnsi"/>
        </w:rPr>
        <w:t>s</w:t>
      </w:r>
      <w:r w:rsidRPr="00585C2D">
        <w:rPr>
          <w:rFonts w:eastAsia="Arial" w:cstheme="minorHAnsi"/>
          <w:spacing w:val="20"/>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22"/>
        </w:rPr>
        <w:t xml:space="preserve"> </w:t>
      </w:r>
      <w:r w:rsidRPr="00585C2D">
        <w:rPr>
          <w:rFonts w:eastAsia="Arial" w:cstheme="minorHAnsi"/>
          <w:spacing w:val="-6"/>
        </w:rPr>
        <w:t>l</w:t>
      </w:r>
      <w:r w:rsidRPr="00585C2D">
        <w:rPr>
          <w:rFonts w:eastAsia="Arial" w:cstheme="minorHAnsi"/>
          <w:spacing w:val="2"/>
        </w:rPr>
        <w:t>o</w:t>
      </w:r>
      <w:r w:rsidRPr="00585C2D">
        <w:rPr>
          <w:rFonts w:eastAsia="Arial" w:cstheme="minorHAnsi"/>
        </w:rPr>
        <w:t>c</w:t>
      </w:r>
      <w:r w:rsidRPr="00585C2D">
        <w:rPr>
          <w:rFonts w:eastAsia="Arial" w:cstheme="minorHAnsi"/>
          <w:spacing w:val="2"/>
        </w:rPr>
        <w:t>a</w:t>
      </w:r>
      <w:r w:rsidRPr="00585C2D">
        <w:rPr>
          <w:rFonts w:eastAsia="Arial" w:cstheme="minorHAnsi"/>
        </w:rPr>
        <w:t>l</w:t>
      </w:r>
      <w:r w:rsidRPr="00585C2D">
        <w:rPr>
          <w:rFonts w:eastAsia="Arial" w:cstheme="minorHAnsi"/>
          <w:spacing w:val="19"/>
        </w:rPr>
        <w:t xml:space="preserve"> </w:t>
      </w:r>
      <w:r w:rsidRPr="00585C2D">
        <w:rPr>
          <w:rFonts w:eastAsia="Arial" w:cstheme="minorHAnsi"/>
          <w:spacing w:val="-3"/>
        </w:rPr>
        <w:t>g</w:t>
      </w:r>
      <w:r w:rsidRPr="00585C2D">
        <w:rPr>
          <w:rFonts w:eastAsia="Arial" w:cstheme="minorHAnsi"/>
          <w:spacing w:val="2"/>
        </w:rPr>
        <w:t>o</w:t>
      </w:r>
      <w:r w:rsidRPr="00585C2D">
        <w:rPr>
          <w:rFonts w:eastAsia="Arial" w:cstheme="minorHAnsi"/>
        </w:rPr>
        <w:t>v</w:t>
      </w:r>
      <w:r w:rsidRPr="00585C2D">
        <w:rPr>
          <w:rFonts w:eastAsia="Arial" w:cstheme="minorHAnsi"/>
          <w:spacing w:val="2"/>
        </w:rPr>
        <w:t>e</w:t>
      </w:r>
      <w:r w:rsidRPr="00585C2D">
        <w:rPr>
          <w:rFonts w:eastAsia="Arial" w:cstheme="minorHAnsi"/>
          <w:spacing w:val="-6"/>
        </w:rPr>
        <w:t>r</w:t>
      </w:r>
      <w:r w:rsidRPr="00585C2D">
        <w:rPr>
          <w:rFonts w:eastAsia="Arial" w:cstheme="minorHAnsi"/>
          <w:spacing w:val="2"/>
        </w:rPr>
        <w:t>n</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21"/>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17"/>
        </w:rPr>
        <w:t xml:space="preserve"> </w:t>
      </w:r>
      <w:r w:rsidRPr="00585C2D">
        <w:rPr>
          <w:rFonts w:eastAsia="Arial" w:cstheme="minorHAnsi"/>
          <w:spacing w:val="2"/>
        </w:rPr>
        <w:t>o</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rPr>
        <w:t>r</w:t>
      </w:r>
      <w:r w:rsidRPr="00585C2D">
        <w:rPr>
          <w:rFonts w:eastAsia="Arial" w:cstheme="minorHAnsi"/>
          <w:spacing w:val="19"/>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rPr>
        <w:t>s</w:t>
      </w:r>
      <w:r w:rsidRPr="00585C2D">
        <w:rPr>
          <w:rFonts w:eastAsia="Arial" w:cstheme="minorHAnsi"/>
          <w:spacing w:val="1"/>
        </w:rPr>
        <w:t>t</w:t>
      </w:r>
      <w:r w:rsidRPr="00585C2D">
        <w:rPr>
          <w:rFonts w:eastAsia="Arial" w:cstheme="minorHAnsi"/>
          <w:spacing w:val="-1"/>
        </w:rPr>
        <w:t>i</w:t>
      </w:r>
      <w:r w:rsidRPr="00585C2D">
        <w:rPr>
          <w:rFonts w:eastAsia="Arial" w:cstheme="minorHAnsi"/>
          <w:spacing w:val="-4"/>
        </w:rPr>
        <w:t>t</w:t>
      </w:r>
      <w:r w:rsidRPr="00585C2D">
        <w:rPr>
          <w:rFonts w:eastAsia="Arial" w:cstheme="minorHAnsi"/>
          <w:spacing w:val="2"/>
        </w:rPr>
        <w:t>u</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w:t>
      </w:r>
      <w:r w:rsidRPr="00585C2D">
        <w:rPr>
          <w:rFonts w:eastAsia="Arial" w:cstheme="minorHAnsi"/>
        </w:rPr>
        <w:t>s</w:t>
      </w:r>
      <w:r w:rsidRPr="00585C2D">
        <w:rPr>
          <w:rFonts w:eastAsia="Arial" w:cstheme="minorHAnsi"/>
          <w:spacing w:val="20"/>
        </w:rPr>
        <w:t xml:space="preserve"> </w:t>
      </w:r>
      <w:r w:rsidRPr="00585C2D">
        <w:rPr>
          <w:rFonts w:eastAsia="Arial" w:cstheme="minorHAnsi"/>
          <w:spacing w:val="-3"/>
        </w:rPr>
        <w:t>o</w:t>
      </w:r>
      <w:r w:rsidRPr="00585C2D">
        <w:rPr>
          <w:rFonts w:eastAsia="Arial" w:cstheme="minorHAnsi"/>
        </w:rPr>
        <w:t xml:space="preserve">f </w:t>
      </w:r>
      <w:r w:rsidRPr="00585C2D">
        <w:rPr>
          <w:rFonts w:eastAsia="Arial" w:cstheme="minorHAnsi"/>
          <w:spacing w:val="-2"/>
        </w:rPr>
        <w:t>r</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v</w:t>
      </w:r>
      <w:r w:rsidRPr="00585C2D">
        <w:rPr>
          <w:rFonts w:eastAsia="Arial" w:cstheme="minorHAnsi"/>
          <w:spacing w:val="-3"/>
        </w:rPr>
        <w:t>a</w:t>
      </w:r>
      <w:r w:rsidRPr="00585C2D">
        <w:rPr>
          <w:rFonts w:eastAsia="Arial" w:cstheme="minorHAnsi"/>
          <w:spacing w:val="2"/>
        </w:rPr>
        <w:t>n</w:t>
      </w:r>
      <w:r w:rsidRPr="00585C2D">
        <w:rPr>
          <w:rFonts w:eastAsia="Arial" w:cstheme="minorHAnsi"/>
        </w:rPr>
        <w:t>ce</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1"/>
        </w:rPr>
        <w:t>l</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a</w:t>
      </w:r>
      <w:r w:rsidRPr="00585C2D">
        <w:rPr>
          <w:rFonts w:eastAsia="Arial" w:cstheme="minorHAnsi"/>
        </w:rPr>
        <w:t xml:space="preserve">l </w:t>
      </w:r>
      <w:r w:rsidRPr="00585C2D">
        <w:rPr>
          <w:rFonts w:eastAsia="Arial" w:cstheme="minorHAnsi"/>
          <w:spacing w:val="-3"/>
        </w:rPr>
        <w:t>g</w:t>
      </w:r>
      <w:r w:rsidRPr="00585C2D">
        <w:rPr>
          <w:rFonts w:eastAsia="Arial" w:cstheme="minorHAnsi"/>
          <w:spacing w:val="2"/>
        </w:rPr>
        <w:t>o</w:t>
      </w:r>
      <w:r w:rsidRPr="00585C2D">
        <w:rPr>
          <w:rFonts w:eastAsia="Arial" w:cstheme="minorHAnsi"/>
        </w:rPr>
        <w:t>v</w:t>
      </w:r>
      <w:r w:rsidRPr="00585C2D">
        <w:rPr>
          <w:rFonts w:eastAsia="Arial" w:cstheme="minorHAnsi"/>
          <w:spacing w:val="2"/>
        </w:rPr>
        <w:t>e</w:t>
      </w:r>
      <w:r w:rsidRPr="00585C2D">
        <w:rPr>
          <w:rFonts w:eastAsia="Arial" w:cstheme="minorHAnsi"/>
          <w:spacing w:val="-6"/>
        </w:rPr>
        <w:t>r</w:t>
      </w:r>
      <w:r w:rsidRPr="00585C2D">
        <w:rPr>
          <w:rFonts w:eastAsia="Arial" w:cstheme="minorHAnsi"/>
          <w:spacing w:val="2"/>
        </w:rPr>
        <w:t>n</w:t>
      </w:r>
      <w:r w:rsidRPr="00585C2D">
        <w:rPr>
          <w:rFonts w:eastAsia="Arial" w:cstheme="minorHAnsi"/>
          <w:spacing w:val="-2"/>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e</w:t>
      </w:r>
      <w:r w:rsidRPr="00585C2D">
        <w:rPr>
          <w:rFonts w:eastAsia="Arial" w:cstheme="minorHAnsi"/>
        </w:rPr>
        <w:t>s.</w:t>
      </w:r>
    </w:p>
    <w:p w14:paraId="004D6CC8" w14:textId="77777777" w:rsidR="00FC0CF1" w:rsidRPr="00585C2D" w:rsidRDefault="00FC0CF1" w:rsidP="00FC0CF1">
      <w:pPr>
        <w:tabs>
          <w:tab w:val="left" w:pos="2180"/>
        </w:tabs>
        <w:spacing w:before="10" w:after="60" w:line="240" w:lineRule="auto"/>
        <w:ind w:left="1701" w:hanging="425"/>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1"/>
        </w:rPr>
        <w:t>A</w:t>
      </w:r>
      <w:r w:rsidRPr="00585C2D">
        <w:rPr>
          <w:rFonts w:eastAsia="Arial" w:cstheme="minorHAnsi"/>
        </w:rPr>
        <w:t>cc</w:t>
      </w:r>
      <w:r w:rsidRPr="00585C2D">
        <w:rPr>
          <w:rFonts w:eastAsia="Arial" w:cstheme="minorHAnsi"/>
          <w:spacing w:val="-2"/>
        </w:rPr>
        <w:t>r</w:t>
      </w:r>
      <w:r w:rsidRPr="00585C2D">
        <w:rPr>
          <w:rFonts w:eastAsia="Arial" w:cstheme="minorHAnsi"/>
          <w:spacing w:val="2"/>
        </w:rPr>
        <w:t>ed</w:t>
      </w:r>
      <w:r w:rsidRPr="00585C2D">
        <w:rPr>
          <w:rFonts w:eastAsia="Arial" w:cstheme="minorHAnsi"/>
          <w:spacing w:val="-1"/>
        </w:rPr>
        <w:t>i</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spacing w:val="-2"/>
        </w:rPr>
        <w:t>r</w:t>
      </w:r>
      <w:r w:rsidRPr="00585C2D">
        <w:rPr>
          <w:rFonts w:eastAsia="Arial" w:cstheme="minorHAnsi"/>
          <w:spacing w:val="-3"/>
        </w:rPr>
        <w:t>g</w:t>
      </w:r>
      <w:r w:rsidRPr="00585C2D">
        <w:rPr>
          <w:rFonts w:eastAsia="Arial" w:cstheme="minorHAnsi"/>
          <w:spacing w:val="2"/>
        </w:rPr>
        <w:t>an</w:t>
      </w:r>
      <w:r w:rsidRPr="00585C2D">
        <w:rPr>
          <w:rFonts w:eastAsia="Arial" w:cstheme="minorHAnsi"/>
          <w:spacing w:val="-1"/>
        </w:rPr>
        <w:t>i</w:t>
      </w:r>
      <w:r w:rsidRPr="00585C2D">
        <w:rPr>
          <w:rFonts w:eastAsia="Arial" w:cstheme="minorHAnsi"/>
          <w:spacing w:val="-5"/>
        </w:rPr>
        <w:t>s</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3"/>
        </w:rPr>
        <w:t>o</w:t>
      </w:r>
      <w:r w:rsidRPr="00585C2D">
        <w:rPr>
          <w:rFonts w:eastAsia="Arial" w:cstheme="minorHAnsi"/>
          <w:spacing w:val="1"/>
        </w:rPr>
        <w:t>ff</w:t>
      </w:r>
      <w:r w:rsidRPr="00585C2D">
        <w:rPr>
          <w:rFonts w:eastAsia="Arial" w:cstheme="minorHAnsi"/>
          <w:spacing w:val="2"/>
        </w:rPr>
        <w:t>e</w:t>
      </w:r>
      <w:r w:rsidRPr="00585C2D">
        <w:rPr>
          <w:rFonts w:eastAsia="Arial" w:cstheme="minorHAnsi"/>
          <w:spacing w:val="-2"/>
        </w:rPr>
        <w:t>r</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7"/>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a</w:t>
      </w:r>
      <w:r w:rsidRPr="00585C2D">
        <w:rPr>
          <w:rFonts w:eastAsia="Arial" w:cstheme="minorHAnsi"/>
          <w:spacing w:val="-3"/>
        </w:rPr>
        <w:t>n</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r</w:t>
      </w:r>
      <w:r w:rsidRPr="00585C2D">
        <w:rPr>
          <w:rFonts w:eastAsia="Arial" w:cstheme="minorHAnsi"/>
          <w:spacing w:val="2"/>
        </w:rPr>
        <w:t>o</w:t>
      </w:r>
      <w:r w:rsidRPr="00585C2D">
        <w:rPr>
          <w:rFonts w:eastAsia="Arial" w:cstheme="minorHAnsi"/>
          <w:spacing w:val="-6"/>
        </w:rPr>
        <w:t>l</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5"/>
        </w:rPr>
        <w:t>s</w:t>
      </w:r>
      <w:r w:rsidRPr="00585C2D">
        <w:rPr>
          <w:rFonts w:eastAsia="Arial" w:cstheme="minorHAnsi"/>
          <w:spacing w:val="2"/>
        </w:rPr>
        <w:t>p</w:t>
      </w:r>
      <w:r w:rsidRPr="00585C2D">
        <w:rPr>
          <w:rFonts w:eastAsia="Arial" w:cstheme="minorHAnsi"/>
          <w:spacing w:val="-3"/>
        </w:rPr>
        <w:t>o</w:t>
      </w:r>
      <w:r w:rsidRPr="00585C2D">
        <w:rPr>
          <w:rFonts w:eastAsia="Arial" w:cstheme="minorHAnsi"/>
          <w:spacing w:val="2"/>
        </w:rPr>
        <w:t>n</w:t>
      </w:r>
      <w:r w:rsidRPr="00585C2D">
        <w:rPr>
          <w:rFonts w:eastAsia="Arial" w:cstheme="minorHAnsi"/>
        </w:rPr>
        <w:t>s</w:t>
      </w:r>
      <w:r w:rsidRPr="00585C2D">
        <w:rPr>
          <w:rFonts w:eastAsia="Arial" w:cstheme="minorHAnsi"/>
          <w:spacing w:val="-1"/>
        </w:rPr>
        <w:t>i</w:t>
      </w:r>
      <w:r w:rsidRPr="00585C2D">
        <w:rPr>
          <w:rFonts w:eastAsia="Arial" w:cstheme="minorHAnsi"/>
          <w:spacing w:val="2"/>
        </w:rPr>
        <w:t>b</w:t>
      </w:r>
      <w:r w:rsidRPr="00585C2D">
        <w:rPr>
          <w:rFonts w:eastAsia="Arial" w:cstheme="minorHAnsi"/>
          <w:spacing w:val="-1"/>
        </w:rPr>
        <w:t>ili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e</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3"/>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Pr>
          <w:rFonts w:eastAsia="Arial" w:cstheme="minorHAnsi"/>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5"/>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C</w:t>
      </w:r>
      <w:r w:rsidRPr="00585C2D">
        <w:rPr>
          <w:rFonts w:eastAsia="Arial" w:cstheme="minorHAnsi"/>
          <w:spacing w:val="1"/>
        </w:rPr>
        <w:t>E</w:t>
      </w:r>
      <w:r w:rsidRPr="00585C2D">
        <w:rPr>
          <w:rFonts w:eastAsia="Arial" w:cstheme="minorHAnsi"/>
          <w:spacing w:val="-2"/>
        </w:rPr>
        <w:t>O</w:t>
      </w:r>
      <w:r w:rsidRPr="00585C2D">
        <w:rPr>
          <w:rFonts w:eastAsia="Arial" w:cstheme="minorHAnsi"/>
        </w:rPr>
        <w:t>.</w:t>
      </w:r>
    </w:p>
    <w:p w14:paraId="3552F805" w14:textId="77777777" w:rsidR="00FC0CF1" w:rsidRPr="00585C2D" w:rsidRDefault="00FC0CF1" w:rsidP="00FC0CF1">
      <w:pPr>
        <w:tabs>
          <w:tab w:val="left" w:pos="2180"/>
        </w:tabs>
        <w:spacing w:before="16" w:after="60" w:line="240" w:lineRule="auto"/>
        <w:ind w:left="1701" w:hanging="425"/>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7"/>
        </w:rPr>
        <w:t>W</w:t>
      </w:r>
      <w:r w:rsidRPr="00585C2D">
        <w:rPr>
          <w:rFonts w:eastAsia="Arial" w:cstheme="minorHAnsi"/>
          <w:spacing w:val="-3"/>
        </w:rPr>
        <w:t>AL</w:t>
      </w:r>
      <w:r w:rsidRPr="00585C2D">
        <w:rPr>
          <w:rFonts w:eastAsia="Arial" w:cstheme="minorHAnsi"/>
          <w:spacing w:val="1"/>
        </w:rPr>
        <w:t>G</w:t>
      </w:r>
      <w:r w:rsidRPr="00585C2D">
        <w:rPr>
          <w:rFonts w:eastAsia="Arial" w:cstheme="minorHAnsi"/>
        </w:rPr>
        <w:t>A</w:t>
      </w:r>
      <w:r w:rsidRPr="00585C2D">
        <w:rPr>
          <w:rFonts w:eastAsia="Arial" w:cstheme="minorHAnsi"/>
          <w:spacing w:val="-1"/>
        </w:rPr>
        <w:t xml:space="preserve"> C</w:t>
      </w:r>
      <w:r w:rsidRPr="00585C2D">
        <w:rPr>
          <w:rFonts w:eastAsia="Arial" w:cstheme="minorHAnsi"/>
          <w:spacing w:val="-3"/>
        </w:rPr>
        <w:t>o</w:t>
      </w:r>
      <w:r w:rsidRPr="00585C2D">
        <w:rPr>
          <w:rFonts w:eastAsia="Arial" w:cstheme="minorHAnsi"/>
          <w:spacing w:val="2"/>
        </w:rPr>
        <w:t>un</w:t>
      </w:r>
      <w:r w:rsidRPr="00585C2D">
        <w:rPr>
          <w:rFonts w:eastAsia="Arial" w:cstheme="minorHAnsi"/>
        </w:rPr>
        <w:t>c</w:t>
      </w:r>
      <w:r w:rsidRPr="00585C2D">
        <w:rPr>
          <w:rFonts w:eastAsia="Arial" w:cstheme="minorHAnsi"/>
          <w:spacing w:val="-1"/>
        </w:rPr>
        <w:t>i</w:t>
      </w:r>
      <w:r w:rsidRPr="00585C2D">
        <w:rPr>
          <w:rFonts w:eastAsia="Arial" w:cstheme="minorHAnsi"/>
        </w:rPr>
        <w:t xml:space="preserve">l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 T</w:t>
      </w:r>
      <w:r w:rsidRPr="00585C2D">
        <w:rPr>
          <w:rFonts w:eastAsia="Arial" w:cstheme="minorHAnsi"/>
          <w:spacing w:val="-7"/>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D</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6"/>
        </w:rPr>
        <w:t>m</w:t>
      </w:r>
      <w:r w:rsidRPr="00585C2D">
        <w:rPr>
          <w:rFonts w:eastAsia="Arial" w:cstheme="minorHAnsi"/>
          <w:spacing w:val="2"/>
        </w:rPr>
        <w:t>en</w:t>
      </w:r>
      <w:r w:rsidRPr="00585C2D">
        <w:rPr>
          <w:rFonts w:eastAsia="Arial" w:cstheme="minorHAnsi"/>
          <w:spacing w:val="-4"/>
        </w:rPr>
        <w:t>t</w:t>
      </w:r>
      <w:r w:rsidRPr="00585C2D">
        <w:rPr>
          <w:rFonts w:eastAsia="Arial" w:cstheme="minorHAnsi"/>
        </w:rPr>
        <w:t>.</w:t>
      </w:r>
    </w:p>
    <w:p w14:paraId="4B01969C" w14:textId="77777777" w:rsidR="00FC0CF1" w:rsidRPr="00585C2D" w:rsidRDefault="00FC0CF1" w:rsidP="00FC0CF1">
      <w:pPr>
        <w:tabs>
          <w:tab w:val="left" w:pos="2180"/>
        </w:tabs>
        <w:spacing w:before="16" w:after="60" w:line="238" w:lineRule="auto"/>
        <w:ind w:left="1701" w:hanging="425"/>
        <w:jc w:val="both"/>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1"/>
        </w:rPr>
        <w:t>Ot</w:t>
      </w:r>
      <w:r w:rsidRPr="00585C2D">
        <w:rPr>
          <w:rFonts w:eastAsia="Arial" w:cstheme="minorHAnsi"/>
          <w:spacing w:val="-3"/>
        </w:rPr>
        <w:t>h</w:t>
      </w:r>
      <w:r w:rsidRPr="00585C2D">
        <w:rPr>
          <w:rFonts w:eastAsia="Arial" w:cstheme="minorHAnsi"/>
          <w:spacing w:val="2"/>
        </w:rPr>
        <w:t>e</w:t>
      </w:r>
      <w:r w:rsidRPr="00585C2D">
        <w:rPr>
          <w:rFonts w:eastAsia="Arial" w:cstheme="minorHAnsi"/>
        </w:rPr>
        <w:t>r</w:t>
      </w:r>
      <w:r w:rsidRPr="00585C2D">
        <w:rPr>
          <w:rFonts w:eastAsia="Arial" w:cstheme="minorHAnsi"/>
          <w:spacing w:val="23"/>
        </w:rPr>
        <w:t xml:space="preserve"> </w:t>
      </w:r>
      <w:r w:rsidRPr="00585C2D">
        <w:rPr>
          <w:rFonts w:eastAsia="Arial" w:cstheme="minorHAnsi"/>
          <w:spacing w:val="-1"/>
        </w:rPr>
        <w:t>l</w:t>
      </w:r>
      <w:r w:rsidRPr="00585C2D">
        <w:rPr>
          <w:rFonts w:eastAsia="Arial" w:cstheme="minorHAnsi"/>
          <w:spacing w:val="2"/>
        </w:rPr>
        <w:t>o</w:t>
      </w:r>
      <w:r w:rsidRPr="00585C2D">
        <w:rPr>
          <w:rFonts w:eastAsia="Arial" w:cstheme="minorHAnsi"/>
        </w:rPr>
        <w:t>c</w:t>
      </w:r>
      <w:r w:rsidRPr="00585C2D">
        <w:rPr>
          <w:rFonts w:eastAsia="Arial" w:cstheme="minorHAnsi"/>
          <w:spacing w:val="2"/>
        </w:rPr>
        <w:t>a</w:t>
      </w:r>
      <w:r w:rsidRPr="00585C2D">
        <w:rPr>
          <w:rFonts w:eastAsia="Arial" w:cstheme="minorHAnsi"/>
        </w:rPr>
        <w:t>l</w:t>
      </w:r>
      <w:r w:rsidRPr="00585C2D">
        <w:rPr>
          <w:rFonts w:eastAsia="Arial" w:cstheme="minorHAnsi"/>
          <w:spacing w:val="19"/>
        </w:rPr>
        <w:t xml:space="preserve"> </w:t>
      </w:r>
      <w:r w:rsidRPr="00585C2D">
        <w:rPr>
          <w:rFonts w:eastAsia="Arial" w:cstheme="minorHAnsi"/>
          <w:spacing w:val="2"/>
        </w:rPr>
        <w:t>go</w:t>
      </w:r>
      <w:r w:rsidRPr="00585C2D">
        <w:rPr>
          <w:rFonts w:eastAsia="Arial" w:cstheme="minorHAnsi"/>
          <w:spacing w:val="-5"/>
        </w:rPr>
        <w:t>v</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n</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spacing w:val="5"/>
        </w:rPr>
        <w:t>t</w:t>
      </w:r>
      <w:r w:rsidRPr="00585C2D">
        <w:rPr>
          <w:rFonts w:eastAsia="Arial" w:cstheme="minorHAnsi"/>
          <w:spacing w:val="-2"/>
        </w:rPr>
        <w:t>-</w:t>
      </w:r>
      <w:r w:rsidRPr="00585C2D">
        <w:rPr>
          <w:rFonts w:eastAsia="Arial" w:cstheme="minorHAnsi"/>
        </w:rPr>
        <w:t>s</w:t>
      </w:r>
      <w:r w:rsidRPr="00585C2D">
        <w:rPr>
          <w:rFonts w:eastAsia="Arial" w:cstheme="minorHAnsi"/>
          <w:spacing w:val="-3"/>
        </w:rPr>
        <w:t>p</w:t>
      </w:r>
      <w:r w:rsidRPr="00585C2D">
        <w:rPr>
          <w:rFonts w:eastAsia="Arial" w:cstheme="minorHAnsi"/>
          <w:spacing w:val="2"/>
        </w:rPr>
        <w:t>e</w:t>
      </w:r>
      <w:r w:rsidRPr="00585C2D">
        <w:rPr>
          <w:rFonts w:eastAsia="Arial" w:cstheme="minorHAnsi"/>
        </w:rPr>
        <w:t>c</w:t>
      </w:r>
      <w:r w:rsidRPr="00585C2D">
        <w:rPr>
          <w:rFonts w:eastAsia="Arial" w:cstheme="minorHAnsi"/>
          <w:spacing w:val="-6"/>
        </w:rPr>
        <w:t>i</w:t>
      </w:r>
      <w:r w:rsidRPr="00585C2D">
        <w:rPr>
          <w:rFonts w:eastAsia="Arial" w:cstheme="minorHAnsi"/>
          <w:spacing w:val="6"/>
        </w:rPr>
        <w:t>f</w:t>
      </w:r>
      <w:r w:rsidRPr="00585C2D">
        <w:rPr>
          <w:rFonts w:eastAsia="Arial" w:cstheme="minorHAnsi"/>
          <w:spacing w:val="-1"/>
        </w:rPr>
        <w:t>i</w:t>
      </w:r>
      <w:r w:rsidRPr="00585C2D">
        <w:rPr>
          <w:rFonts w:eastAsia="Arial" w:cstheme="minorHAnsi"/>
        </w:rPr>
        <w:t>c</w:t>
      </w:r>
      <w:r w:rsidRPr="00585C2D">
        <w:rPr>
          <w:rFonts w:eastAsia="Arial" w:cstheme="minorHAnsi"/>
          <w:spacing w:val="25"/>
        </w:rPr>
        <w:t xml:space="preserve"> </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27"/>
        </w:rPr>
        <w:t xml:space="preserve"> </w:t>
      </w:r>
      <w:r w:rsidRPr="00585C2D">
        <w:rPr>
          <w:rFonts w:eastAsia="Arial" w:cstheme="minorHAnsi"/>
        </w:rPr>
        <w:t>c</w:t>
      </w:r>
      <w:r w:rsidRPr="00585C2D">
        <w:rPr>
          <w:rFonts w:eastAsia="Arial" w:cstheme="minorHAnsi"/>
          <w:spacing w:val="-3"/>
        </w:rPr>
        <w:t>o</w:t>
      </w:r>
      <w:r w:rsidRPr="00585C2D">
        <w:rPr>
          <w:rFonts w:eastAsia="Arial" w:cstheme="minorHAnsi"/>
          <w:spacing w:val="2"/>
        </w:rPr>
        <w:t>u</w:t>
      </w:r>
      <w:r w:rsidRPr="00585C2D">
        <w:rPr>
          <w:rFonts w:eastAsia="Arial" w:cstheme="minorHAnsi"/>
          <w:spacing w:val="-2"/>
        </w:rPr>
        <w:t>r</w:t>
      </w:r>
      <w:r w:rsidRPr="00585C2D">
        <w:rPr>
          <w:rFonts w:eastAsia="Arial" w:cstheme="minorHAnsi"/>
        </w:rPr>
        <w:t>s</w:t>
      </w:r>
      <w:r w:rsidRPr="00585C2D">
        <w:rPr>
          <w:rFonts w:eastAsia="Arial" w:cstheme="minorHAnsi"/>
          <w:spacing w:val="2"/>
        </w:rPr>
        <w:t>e</w:t>
      </w:r>
      <w:r w:rsidRPr="00585C2D">
        <w:rPr>
          <w:rFonts w:eastAsia="Arial" w:cstheme="minorHAnsi"/>
          <w:spacing w:val="-5"/>
        </w:rPr>
        <w:t>s</w:t>
      </w:r>
      <w:r w:rsidRPr="00585C2D">
        <w:rPr>
          <w:rFonts w:eastAsia="Arial" w:cstheme="minorHAnsi"/>
        </w:rPr>
        <w:t>,</w:t>
      </w:r>
      <w:r w:rsidRPr="00585C2D">
        <w:rPr>
          <w:rFonts w:eastAsia="Arial" w:cstheme="minorHAnsi"/>
          <w:spacing w:val="21"/>
        </w:rPr>
        <w:t xml:space="preserve"> </w:t>
      </w:r>
      <w:r w:rsidRPr="00585C2D">
        <w:rPr>
          <w:rFonts w:eastAsia="Arial" w:cstheme="minorHAnsi"/>
          <w:spacing w:val="-1"/>
        </w:rPr>
        <w:t>w</w:t>
      </w:r>
      <w:r w:rsidRPr="00585C2D">
        <w:rPr>
          <w:rFonts w:eastAsia="Arial" w:cstheme="minorHAnsi"/>
          <w:spacing w:val="2"/>
        </w:rPr>
        <w:t>o</w:t>
      </w:r>
      <w:r w:rsidRPr="00585C2D">
        <w:rPr>
          <w:rFonts w:eastAsia="Arial" w:cstheme="minorHAnsi"/>
          <w:spacing w:val="-2"/>
        </w:rPr>
        <w:t>r</w:t>
      </w:r>
      <w:r w:rsidRPr="00585C2D">
        <w:rPr>
          <w:rFonts w:eastAsia="Arial" w:cstheme="minorHAnsi"/>
        </w:rPr>
        <w:t>ks</w:t>
      </w:r>
      <w:r w:rsidRPr="00585C2D">
        <w:rPr>
          <w:rFonts w:eastAsia="Arial" w:cstheme="minorHAnsi"/>
          <w:spacing w:val="2"/>
        </w:rPr>
        <w:t>h</w:t>
      </w:r>
      <w:r w:rsidRPr="00585C2D">
        <w:rPr>
          <w:rFonts w:eastAsia="Arial" w:cstheme="minorHAnsi"/>
          <w:spacing w:val="-3"/>
        </w:rPr>
        <w:t>o</w:t>
      </w:r>
      <w:r w:rsidRPr="00585C2D">
        <w:rPr>
          <w:rFonts w:eastAsia="Arial" w:cstheme="minorHAnsi"/>
          <w:spacing w:val="2"/>
        </w:rPr>
        <w:t>p</w:t>
      </w:r>
      <w:r w:rsidRPr="00585C2D">
        <w:rPr>
          <w:rFonts w:eastAsia="Arial" w:cstheme="minorHAnsi"/>
        </w:rPr>
        <w:t>s</w:t>
      </w:r>
      <w:r w:rsidRPr="00585C2D">
        <w:rPr>
          <w:rFonts w:eastAsia="Arial" w:cstheme="minorHAnsi"/>
          <w:spacing w:val="25"/>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spacing w:val="-2"/>
        </w:rPr>
        <w:t>r</w:t>
      </w:r>
      <w:r w:rsidRPr="00585C2D">
        <w:rPr>
          <w:rFonts w:eastAsia="Arial" w:cstheme="minorHAnsi"/>
          <w:spacing w:val="2"/>
        </w:rPr>
        <w:t>u</w:t>
      </w:r>
      <w:r w:rsidRPr="00585C2D">
        <w:rPr>
          <w:rFonts w:eastAsia="Arial" w:cstheme="minorHAnsi"/>
          <w:spacing w:val="-2"/>
        </w:rPr>
        <w:t>m</w:t>
      </w:r>
      <w:r w:rsidRPr="00585C2D">
        <w:rPr>
          <w:rFonts w:eastAsia="Arial" w:cstheme="minorHAnsi"/>
          <w:spacing w:val="-5"/>
        </w:rPr>
        <w:t>s</w:t>
      </w:r>
      <w:r w:rsidRPr="00585C2D">
        <w:rPr>
          <w:rFonts w:eastAsia="Arial" w:cstheme="minorHAnsi"/>
        </w:rPr>
        <w:t>,</w:t>
      </w:r>
      <w:r w:rsidRPr="00585C2D">
        <w:rPr>
          <w:rFonts w:eastAsia="Arial" w:cstheme="minorHAnsi"/>
          <w:spacing w:val="26"/>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22"/>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27"/>
        </w:rPr>
        <w:t xml:space="preserve"> </w:t>
      </w:r>
      <w:r w:rsidRPr="00585C2D">
        <w:rPr>
          <w:rFonts w:eastAsia="Arial" w:cstheme="minorHAnsi"/>
          <w:spacing w:val="-5"/>
        </w:rPr>
        <w:t>s</w:t>
      </w:r>
      <w:r w:rsidRPr="00585C2D">
        <w:rPr>
          <w:rFonts w:eastAsia="Arial" w:cstheme="minorHAnsi"/>
          <w:spacing w:val="2"/>
        </w:rPr>
        <w:t>u</w:t>
      </w:r>
      <w:r w:rsidRPr="00585C2D">
        <w:rPr>
          <w:rFonts w:eastAsia="Arial" w:cstheme="minorHAnsi"/>
        </w:rPr>
        <w:t xml:space="preserve">ch </w:t>
      </w:r>
      <w:r w:rsidRPr="00585C2D">
        <w:rPr>
          <w:rFonts w:eastAsia="Arial" w:cstheme="minorHAnsi"/>
          <w:spacing w:val="1"/>
        </w:rPr>
        <w:t>t</w:t>
      </w:r>
      <w:r w:rsidRPr="00585C2D">
        <w:rPr>
          <w:rFonts w:eastAsia="Arial" w:cstheme="minorHAnsi"/>
          <w:spacing w:val="2"/>
        </w:rPr>
        <w:t>h</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g</w:t>
      </w:r>
      <w:r w:rsidRPr="00585C2D">
        <w:rPr>
          <w:rFonts w:eastAsia="Arial" w:cstheme="minorHAnsi"/>
        </w:rPr>
        <w:t xml:space="preserve">s </w:t>
      </w:r>
      <w:r w:rsidRPr="00585C2D">
        <w:rPr>
          <w:rFonts w:eastAsia="Arial" w:cstheme="minorHAnsi"/>
          <w:spacing w:val="2"/>
        </w:rPr>
        <w:t>a</w:t>
      </w:r>
      <w:r w:rsidRPr="00585C2D">
        <w:rPr>
          <w:rFonts w:eastAsia="Arial" w:cstheme="minorHAnsi"/>
        </w:rPr>
        <w:t xml:space="preserve">s </w:t>
      </w:r>
      <w:r w:rsidRPr="00585C2D">
        <w:rPr>
          <w:rFonts w:eastAsia="Arial" w:cstheme="minorHAnsi"/>
          <w:spacing w:val="-3"/>
        </w:rPr>
        <w:t>u</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e</w:t>
      </w:r>
      <w:r w:rsidRPr="00585C2D">
        <w:rPr>
          <w:rFonts w:eastAsia="Arial" w:cstheme="minorHAnsi"/>
          <w:spacing w:val="-2"/>
        </w:rPr>
        <w:t>r</w:t>
      </w:r>
      <w:r w:rsidRPr="00585C2D">
        <w:rPr>
          <w:rFonts w:eastAsia="Arial" w:cstheme="minorHAnsi"/>
        </w:rPr>
        <w:t>s</w:t>
      </w:r>
      <w:r w:rsidRPr="00585C2D">
        <w:rPr>
          <w:rFonts w:eastAsia="Arial" w:cstheme="minorHAnsi"/>
          <w:spacing w:val="-4"/>
        </w:rPr>
        <w:t>t</w:t>
      </w:r>
      <w:r w:rsidRPr="00585C2D">
        <w:rPr>
          <w:rFonts w:eastAsia="Arial" w:cstheme="minorHAnsi"/>
          <w:spacing w:val="2"/>
        </w:rPr>
        <w:t>a</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r</w:t>
      </w:r>
      <w:r w:rsidRPr="00585C2D">
        <w:rPr>
          <w:rFonts w:eastAsia="Arial" w:cstheme="minorHAnsi"/>
          <w:spacing w:val="2"/>
        </w:rPr>
        <w:t>o</w:t>
      </w:r>
      <w:r w:rsidRPr="00585C2D">
        <w:rPr>
          <w:rFonts w:eastAsia="Arial" w:cstheme="minorHAnsi"/>
          <w:spacing w:val="-1"/>
        </w:rPr>
        <w:t>l</w:t>
      </w:r>
      <w:r w:rsidRPr="00585C2D">
        <w:rPr>
          <w:rFonts w:eastAsia="Arial" w:cstheme="minorHAnsi"/>
          <w:spacing w:val="2"/>
        </w:rPr>
        <w:t>e</w:t>
      </w:r>
      <w:r w:rsidRPr="00585C2D">
        <w:rPr>
          <w:rFonts w:eastAsia="Arial" w:cstheme="minorHAnsi"/>
        </w:rPr>
        <w:t>s</w:t>
      </w:r>
      <w:r w:rsidRPr="00585C2D">
        <w:rPr>
          <w:rFonts w:eastAsia="Arial" w:cstheme="minorHAnsi"/>
          <w:spacing w:val="1"/>
        </w:rPr>
        <w:t>/</w:t>
      </w:r>
      <w:r w:rsidRPr="00585C2D">
        <w:rPr>
          <w:rFonts w:eastAsia="Arial" w:cstheme="minorHAnsi"/>
          <w:spacing w:val="-6"/>
        </w:rPr>
        <w:t>r</w:t>
      </w:r>
      <w:r w:rsidRPr="00585C2D">
        <w:rPr>
          <w:rFonts w:eastAsia="Arial" w:cstheme="minorHAnsi"/>
          <w:spacing w:val="2"/>
        </w:rPr>
        <w:t>e</w:t>
      </w:r>
      <w:r w:rsidRPr="00585C2D">
        <w:rPr>
          <w:rFonts w:eastAsia="Arial" w:cstheme="minorHAnsi"/>
        </w:rPr>
        <w:t>s</w:t>
      </w:r>
      <w:r w:rsidRPr="00585C2D">
        <w:rPr>
          <w:rFonts w:eastAsia="Arial" w:cstheme="minorHAnsi"/>
          <w:spacing w:val="-3"/>
        </w:rPr>
        <w:t>p</w:t>
      </w:r>
      <w:r w:rsidRPr="00585C2D">
        <w:rPr>
          <w:rFonts w:eastAsia="Arial" w:cstheme="minorHAnsi"/>
          <w:spacing w:val="2"/>
        </w:rPr>
        <w:t>on</w:t>
      </w:r>
      <w:r w:rsidRPr="00585C2D">
        <w:rPr>
          <w:rFonts w:eastAsia="Arial" w:cstheme="minorHAnsi"/>
        </w:rPr>
        <w:t>s</w:t>
      </w:r>
      <w:r w:rsidRPr="00585C2D">
        <w:rPr>
          <w:rFonts w:eastAsia="Arial" w:cstheme="minorHAnsi"/>
          <w:spacing w:val="-6"/>
        </w:rPr>
        <w:t>i</w:t>
      </w:r>
      <w:r w:rsidRPr="00585C2D">
        <w:rPr>
          <w:rFonts w:eastAsia="Arial" w:cstheme="minorHAnsi"/>
          <w:spacing w:val="2"/>
        </w:rPr>
        <w:t>b</w:t>
      </w:r>
      <w:r w:rsidRPr="00585C2D">
        <w:rPr>
          <w:rFonts w:eastAsia="Arial" w:cstheme="minorHAnsi"/>
          <w:spacing w:val="-1"/>
        </w:rPr>
        <w:t>ili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e</w:t>
      </w:r>
      <w:r w:rsidRPr="00585C2D">
        <w:rPr>
          <w:rFonts w:eastAsia="Arial" w:cstheme="minorHAnsi"/>
        </w:rPr>
        <w:t xml:space="preserve">s </w:t>
      </w:r>
      <w:r w:rsidRPr="00585C2D">
        <w:rPr>
          <w:rFonts w:eastAsia="Arial" w:cstheme="minorHAnsi"/>
          <w:spacing w:val="-3"/>
        </w:rPr>
        <w:t>o</w:t>
      </w:r>
      <w:r w:rsidRPr="00585C2D">
        <w:rPr>
          <w:rFonts w:eastAsia="Arial" w:cstheme="minorHAnsi"/>
        </w:rPr>
        <w:t>f</w:t>
      </w:r>
      <w:r w:rsidRPr="00585C2D">
        <w:rPr>
          <w:rFonts w:eastAsia="Arial" w:cstheme="minorHAnsi"/>
          <w:spacing w:val="15"/>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4"/>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m</w:t>
      </w:r>
      <w:r w:rsidRPr="00585C2D">
        <w:rPr>
          <w:rFonts w:eastAsia="Arial" w:cstheme="minorHAnsi"/>
          <w:spacing w:val="2"/>
        </w:rPr>
        <w:t>e</w:t>
      </w:r>
      <w:r w:rsidRPr="00585C2D">
        <w:rPr>
          <w:rFonts w:eastAsia="Arial" w:cstheme="minorHAnsi"/>
          <w:spacing w:val="-3"/>
        </w:rPr>
        <w:t>e</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2"/>
        </w:rPr>
        <w:t xml:space="preserve"> p</w:t>
      </w:r>
      <w:r w:rsidRPr="00585C2D">
        <w:rPr>
          <w:rFonts w:eastAsia="Arial" w:cstheme="minorHAnsi"/>
          <w:spacing w:val="-2"/>
        </w:rPr>
        <w:t>r</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e</w:t>
      </w:r>
      <w:r w:rsidRPr="00585C2D">
        <w:rPr>
          <w:rFonts w:eastAsia="Arial" w:cstheme="minorHAnsi"/>
          <w:spacing w:val="-3"/>
        </w:rPr>
        <w:t>d</w:t>
      </w:r>
      <w:r w:rsidRPr="00585C2D">
        <w:rPr>
          <w:rFonts w:eastAsia="Arial" w:cstheme="minorHAnsi"/>
          <w:spacing w:val="2"/>
        </w:rPr>
        <w:t>u</w:t>
      </w:r>
      <w:r w:rsidRPr="00585C2D">
        <w:rPr>
          <w:rFonts w:eastAsia="Arial" w:cstheme="minorHAnsi"/>
          <w:spacing w:val="-2"/>
        </w:rPr>
        <w:t>r</w:t>
      </w:r>
      <w:r w:rsidRPr="00585C2D">
        <w:rPr>
          <w:rFonts w:eastAsia="Arial" w:cstheme="minorHAnsi"/>
          <w:spacing w:val="2"/>
        </w:rPr>
        <w:t>e</w:t>
      </w:r>
      <w:r w:rsidRPr="00585C2D">
        <w:rPr>
          <w:rFonts w:eastAsia="Arial" w:cstheme="minorHAnsi"/>
        </w:rPr>
        <w:t xml:space="preserve">s, </w:t>
      </w:r>
      <w:r w:rsidRPr="00585C2D">
        <w:rPr>
          <w:rFonts w:eastAsia="Arial" w:cstheme="minorHAnsi"/>
          <w:spacing w:val="2"/>
        </w:rPr>
        <w:t>e</w:t>
      </w:r>
      <w:r w:rsidRPr="00585C2D">
        <w:rPr>
          <w:rFonts w:eastAsia="Arial" w:cstheme="minorHAnsi"/>
          <w:spacing w:val="1"/>
        </w:rPr>
        <w:t>t</w:t>
      </w:r>
      <w:r w:rsidRPr="00585C2D">
        <w:rPr>
          <w:rFonts w:eastAsia="Arial" w:cstheme="minorHAnsi"/>
        </w:rPr>
        <w:t>c.</w:t>
      </w:r>
    </w:p>
    <w:p w14:paraId="16FBA8C7" w14:textId="77777777" w:rsidR="00FC0CF1" w:rsidRPr="00585C2D" w:rsidRDefault="00FC0CF1" w:rsidP="00FC0CF1">
      <w:pPr>
        <w:tabs>
          <w:tab w:val="left" w:pos="2180"/>
        </w:tabs>
        <w:spacing w:before="17" w:after="60" w:line="238" w:lineRule="auto"/>
        <w:ind w:left="1701" w:hanging="425"/>
        <w:jc w:val="both"/>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1"/>
        </w:rPr>
        <w:t>S</w:t>
      </w:r>
      <w:r w:rsidRPr="00585C2D">
        <w:rPr>
          <w:rFonts w:eastAsia="Arial" w:cstheme="minorHAnsi"/>
          <w:spacing w:val="2"/>
        </w:rPr>
        <w:t>u</w:t>
      </w:r>
      <w:r w:rsidRPr="00585C2D">
        <w:rPr>
          <w:rFonts w:eastAsia="Arial" w:cstheme="minorHAnsi"/>
          <w:spacing w:val="-3"/>
        </w:rPr>
        <w:t>b</w:t>
      </w:r>
      <w:r w:rsidRPr="00585C2D">
        <w:rPr>
          <w:rFonts w:eastAsia="Arial" w:cstheme="minorHAnsi"/>
        </w:rPr>
        <w:t>sc</w:t>
      </w:r>
      <w:r w:rsidRPr="00585C2D">
        <w:rPr>
          <w:rFonts w:eastAsia="Arial" w:cstheme="minorHAnsi"/>
          <w:spacing w:val="-2"/>
        </w:rPr>
        <w:t>r</w:t>
      </w:r>
      <w:r w:rsidRPr="00585C2D">
        <w:rPr>
          <w:rFonts w:eastAsia="Arial" w:cstheme="minorHAnsi"/>
          <w:spacing w:val="-1"/>
        </w:rPr>
        <w:t>i</w:t>
      </w:r>
      <w:r w:rsidRPr="00585C2D">
        <w:rPr>
          <w:rFonts w:eastAsia="Arial" w:cstheme="minorHAnsi"/>
          <w:spacing w:val="2"/>
        </w:rPr>
        <w:t>p</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9"/>
        </w:rPr>
        <w:t xml:space="preserve"> </w:t>
      </w:r>
      <w:r w:rsidRPr="00585C2D">
        <w:rPr>
          <w:rFonts w:eastAsia="Arial" w:cstheme="minorHAnsi"/>
          <w:spacing w:val="2"/>
        </w:rPr>
        <w:t>p</w:t>
      </w:r>
      <w:r w:rsidRPr="00585C2D">
        <w:rPr>
          <w:rFonts w:eastAsia="Arial" w:cstheme="minorHAnsi"/>
          <w:spacing w:val="-6"/>
        </w:rPr>
        <w:t>r</w:t>
      </w:r>
      <w:r w:rsidRPr="00585C2D">
        <w:rPr>
          <w:rFonts w:eastAsia="Arial" w:cstheme="minorHAnsi"/>
          <w:spacing w:val="-3"/>
        </w:rPr>
        <w:t>o</w:t>
      </w:r>
      <w:r w:rsidRPr="00585C2D">
        <w:rPr>
          <w:rFonts w:eastAsia="Arial" w:cstheme="minorHAnsi"/>
          <w:spacing w:val="6"/>
        </w:rPr>
        <w:t>f</w:t>
      </w:r>
      <w:r w:rsidRPr="00585C2D">
        <w:rPr>
          <w:rFonts w:eastAsia="Arial" w:cstheme="minorHAnsi"/>
          <w:spacing w:val="-3"/>
        </w:rPr>
        <w:t>e</w:t>
      </w:r>
      <w:r w:rsidRPr="00585C2D">
        <w:rPr>
          <w:rFonts w:eastAsia="Arial" w:cstheme="minorHAnsi"/>
        </w:rPr>
        <w:t>ss</w:t>
      </w:r>
      <w:r w:rsidRPr="00585C2D">
        <w:rPr>
          <w:rFonts w:eastAsia="Arial" w:cstheme="minorHAnsi"/>
          <w:spacing w:val="-1"/>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15"/>
        </w:rPr>
        <w:t xml:space="preserve"> </w:t>
      </w:r>
      <w:r w:rsidRPr="00585C2D">
        <w:rPr>
          <w:rFonts w:eastAsia="Arial" w:cstheme="minorHAnsi"/>
          <w:spacing w:val="-2"/>
        </w:rPr>
        <w:t>m</w:t>
      </w:r>
      <w:r w:rsidRPr="00585C2D">
        <w:rPr>
          <w:rFonts w:eastAsia="Arial" w:cstheme="minorHAnsi"/>
          <w:spacing w:val="2"/>
        </w:rPr>
        <w:t>e</w:t>
      </w:r>
      <w:r w:rsidRPr="00585C2D">
        <w:rPr>
          <w:rFonts w:eastAsia="Arial" w:cstheme="minorHAnsi"/>
          <w:spacing w:val="-6"/>
        </w:rPr>
        <w:t>m</w:t>
      </w:r>
      <w:r w:rsidRPr="00585C2D">
        <w:rPr>
          <w:rFonts w:eastAsia="Arial" w:cstheme="minorHAnsi"/>
          <w:spacing w:val="2"/>
        </w:rPr>
        <w:t>be</w:t>
      </w:r>
      <w:r w:rsidRPr="00585C2D">
        <w:rPr>
          <w:rFonts w:eastAsia="Arial" w:cstheme="minorHAnsi"/>
          <w:spacing w:val="-2"/>
        </w:rPr>
        <w:t>r</w:t>
      </w:r>
      <w:r w:rsidRPr="00585C2D">
        <w:rPr>
          <w:rFonts w:eastAsia="Arial" w:cstheme="minorHAnsi"/>
          <w:spacing w:val="-5"/>
        </w:rPr>
        <w:t>s</w:t>
      </w:r>
      <w:r w:rsidRPr="00585C2D">
        <w:rPr>
          <w:rFonts w:eastAsia="Arial" w:cstheme="minorHAnsi"/>
          <w:spacing w:val="2"/>
        </w:rPr>
        <w:t>h</w:t>
      </w:r>
      <w:r w:rsidRPr="00585C2D">
        <w:rPr>
          <w:rFonts w:eastAsia="Arial" w:cstheme="minorHAnsi"/>
          <w:spacing w:val="-1"/>
        </w:rPr>
        <w:t>i</w:t>
      </w:r>
      <w:r w:rsidRPr="00585C2D">
        <w:rPr>
          <w:rFonts w:eastAsia="Arial" w:cstheme="minorHAnsi"/>
          <w:spacing w:val="2"/>
        </w:rPr>
        <w:t>p</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a</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rPr>
        <w:t>ss</w:t>
      </w:r>
      <w:r w:rsidRPr="00585C2D">
        <w:rPr>
          <w:rFonts w:eastAsia="Arial" w:cstheme="minorHAnsi"/>
          <w:spacing w:val="-1"/>
        </w:rPr>
        <w:t>i</w:t>
      </w:r>
      <w:r w:rsidRPr="00585C2D">
        <w:rPr>
          <w:rFonts w:eastAsia="Arial" w:cstheme="minorHAnsi"/>
        </w:rPr>
        <w:t>st</w:t>
      </w:r>
      <w:r w:rsidRPr="00585C2D">
        <w:rPr>
          <w:rFonts w:eastAsia="Arial" w:cstheme="minorHAnsi"/>
          <w:spacing w:val="7"/>
        </w:rPr>
        <w:t xml:space="preserve"> </w:t>
      </w:r>
      <w:r w:rsidRPr="00585C2D">
        <w:rPr>
          <w:rFonts w:eastAsia="Arial" w:cstheme="minorHAnsi"/>
          <w:spacing w:val="6"/>
        </w:rPr>
        <w:t>a</w:t>
      </w:r>
      <w:r w:rsidRPr="00585C2D">
        <w:rPr>
          <w:rFonts w:eastAsia="Arial" w:cstheme="minorHAnsi"/>
        </w:rPr>
        <w:t>n</w:t>
      </w:r>
      <w:r w:rsidRPr="00585C2D">
        <w:rPr>
          <w:rFonts w:eastAsia="Arial" w:cstheme="minorHAnsi"/>
          <w:spacing w:val="9"/>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3"/>
        </w:rPr>
        <w:t>e</w:t>
      </w:r>
      <w:r w:rsidRPr="00585C2D">
        <w:rPr>
          <w:rFonts w:eastAsia="Arial" w:cstheme="minorHAnsi"/>
        </w:rPr>
        <w:t>d</w:t>
      </w:r>
      <w:r w:rsidRPr="00585C2D">
        <w:rPr>
          <w:rFonts w:eastAsia="Arial" w:cstheme="minorHAnsi"/>
          <w:spacing w:val="1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9"/>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6"/>
        </w:rPr>
        <w:t>f</w:t>
      </w:r>
      <w:r w:rsidRPr="00585C2D">
        <w:rPr>
          <w:rFonts w:eastAsia="Arial" w:cstheme="minorHAnsi"/>
          <w:spacing w:val="2"/>
        </w:rPr>
        <w:t>u</w:t>
      </w:r>
      <w:r w:rsidRPr="00585C2D">
        <w:rPr>
          <w:rFonts w:eastAsia="Arial" w:cstheme="minorHAnsi"/>
          <w:spacing w:val="-6"/>
        </w:rPr>
        <w:t>l</w:t>
      </w:r>
      <w:r w:rsidRPr="00585C2D">
        <w:rPr>
          <w:rFonts w:eastAsia="Arial" w:cstheme="minorHAnsi"/>
          <w:spacing w:val="6"/>
        </w:rPr>
        <w:t>f</w:t>
      </w:r>
      <w:r w:rsidRPr="00585C2D">
        <w:rPr>
          <w:rFonts w:eastAsia="Arial" w:cstheme="minorHAnsi"/>
          <w:spacing w:val="-1"/>
        </w:rPr>
        <w:t>illi</w:t>
      </w:r>
      <w:r w:rsidRPr="00585C2D">
        <w:rPr>
          <w:rFonts w:eastAsia="Arial" w:cstheme="minorHAnsi"/>
          <w:spacing w:val="-3"/>
        </w:rPr>
        <w:t>n</w:t>
      </w:r>
      <w:r w:rsidRPr="00585C2D">
        <w:rPr>
          <w:rFonts w:eastAsia="Arial" w:cstheme="minorHAnsi"/>
        </w:rPr>
        <w:t>g</w:t>
      </w:r>
      <w:r w:rsidRPr="00585C2D">
        <w:rPr>
          <w:rFonts w:eastAsia="Arial" w:cstheme="minorHAnsi"/>
          <w:spacing w:val="12"/>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2"/>
        </w:rPr>
        <w:t>r</w:t>
      </w:r>
      <w:r w:rsidRPr="00585C2D">
        <w:rPr>
          <w:rFonts w:eastAsia="Arial" w:cstheme="minorHAnsi"/>
          <w:spacing w:val="2"/>
        </w:rPr>
        <w:t>o</w:t>
      </w:r>
      <w:r w:rsidRPr="00585C2D">
        <w:rPr>
          <w:rFonts w:eastAsia="Arial" w:cstheme="minorHAnsi"/>
          <w:spacing w:val="-1"/>
        </w:rPr>
        <w:t>l</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1"/>
        </w:rPr>
        <w:t>C</w:t>
      </w:r>
      <w:r w:rsidRPr="00585C2D">
        <w:rPr>
          <w:rFonts w:eastAsia="Arial" w:cstheme="minorHAnsi"/>
          <w:spacing w:val="2"/>
        </w:rPr>
        <w:t>o</w:t>
      </w:r>
      <w:r w:rsidRPr="00585C2D">
        <w:rPr>
          <w:rFonts w:eastAsia="Arial" w:cstheme="minorHAnsi"/>
          <w:spacing w:val="-3"/>
        </w:rPr>
        <w:t>u</w:t>
      </w:r>
      <w:r w:rsidRPr="00585C2D">
        <w:rPr>
          <w:rFonts w:eastAsia="Arial" w:cstheme="minorHAnsi"/>
          <w:spacing w:val="2"/>
        </w:rPr>
        <w:t>n</w:t>
      </w:r>
      <w:r w:rsidRPr="00585C2D">
        <w:rPr>
          <w:rFonts w:eastAsia="Arial" w:cstheme="minorHAnsi"/>
        </w:rPr>
        <w:t>c</w:t>
      </w:r>
      <w:r w:rsidRPr="00585C2D">
        <w:rPr>
          <w:rFonts w:eastAsia="Arial" w:cstheme="minorHAnsi"/>
          <w:spacing w:val="-1"/>
        </w:rPr>
        <w:t>il</w:t>
      </w:r>
      <w:r w:rsidRPr="00585C2D">
        <w:rPr>
          <w:rFonts w:eastAsia="Arial" w:cstheme="minorHAnsi"/>
        </w:rPr>
        <w:t>.</w:t>
      </w:r>
      <w:r w:rsidRPr="00585C2D">
        <w:rPr>
          <w:rFonts w:eastAsia="Arial" w:cstheme="minorHAnsi"/>
          <w:spacing w:val="10"/>
        </w:rPr>
        <w:t xml:space="preserve"> </w:t>
      </w:r>
      <w:r w:rsidRPr="00585C2D">
        <w:rPr>
          <w:rFonts w:eastAsia="Arial" w:cstheme="minorHAnsi"/>
          <w:spacing w:val="-6"/>
        </w:rPr>
        <w:t>N</w:t>
      </w:r>
      <w:r w:rsidRPr="00585C2D">
        <w:rPr>
          <w:rFonts w:eastAsia="Arial" w:cstheme="minorHAnsi"/>
          <w:spacing w:val="2"/>
        </w:rPr>
        <w:t>o</w:t>
      </w:r>
      <w:r w:rsidRPr="00585C2D">
        <w:rPr>
          <w:rFonts w:eastAsia="Arial" w:cstheme="minorHAnsi"/>
          <w:spacing w:val="-4"/>
        </w:rPr>
        <w:t>t</w:t>
      </w:r>
      <w:r w:rsidRPr="00585C2D">
        <w:rPr>
          <w:rFonts w:eastAsia="Arial" w:cstheme="minorHAnsi"/>
          <w:spacing w:val="2"/>
        </w:rPr>
        <w:t>e</w:t>
      </w:r>
      <w:r w:rsidRPr="00585C2D">
        <w:rPr>
          <w:rFonts w:eastAsia="Arial" w:cstheme="minorHAnsi"/>
        </w:rPr>
        <w:t>,</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1"/>
        </w:rPr>
        <w:t>C</w:t>
      </w:r>
      <w:r w:rsidRPr="00585C2D">
        <w:rPr>
          <w:rFonts w:eastAsia="Arial" w:cstheme="minorHAnsi"/>
          <w:spacing w:val="-3"/>
        </w:rPr>
        <w:t>E</w:t>
      </w:r>
      <w:r w:rsidRPr="00585C2D">
        <w:rPr>
          <w:rFonts w:eastAsia="Arial" w:cstheme="minorHAnsi"/>
        </w:rPr>
        <w:t>O</w:t>
      </w:r>
      <w:r w:rsidRPr="00585C2D">
        <w:rPr>
          <w:rFonts w:eastAsia="Arial" w:cstheme="minorHAnsi"/>
          <w:spacing w:val="2"/>
        </w:rPr>
        <w:t xml:space="preserve"> 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 xml:space="preserve">l </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2"/>
        </w:rPr>
        <w:t>h</w:t>
      </w:r>
      <w:r w:rsidRPr="00585C2D">
        <w:rPr>
          <w:rFonts w:eastAsia="Arial" w:cstheme="minorHAnsi"/>
          <w:spacing w:val="-6"/>
        </w:rPr>
        <w:t>i</w:t>
      </w:r>
      <w:r w:rsidRPr="00585C2D">
        <w:rPr>
          <w:rFonts w:eastAsia="Arial" w:cstheme="minorHAnsi"/>
        </w:rPr>
        <w:t>p</w:t>
      </w:r>
      <w:r w:rsidRPr="00585C2D">
        <w:rPr>
          <w:rFonts w:eastAsia="Arial" w:cstheme="minorHAnsi"/>
          <w:spacing w:val="8"/>
        </w:rPr>
        <w:t xml:space="preserve"> </w:t>
      </w:r>
      <w:r w:rsidRPr="00585C2D">
        <w:rPr>
          <w:rFonts w:eastAsia="Arial" w:cstheme="minorHAnsi"/>
          <w:spacing w:val="2"/>
        </w:rPr>
        <w:t>a</w:t>
      </w:r>
      <w:r w:rsidRPr="00585C2D">
        <w:rPr>
          <w:rFonts w:eastAsia="Arial" w:cstheme="minorHAnsi"/>
          <w:spacing w:val="-1"/>
        </w:rPr>
        <w:t>l</w:t>
      </w:r>
      <w:r w:rsidRPr="00585C2D">
        <w:rPr>
          <w:rFonts w:eastAsia="Arial" w:cstheme="minorHAnsi"/>
          <w:spacing w:val="-6"/>
        </w:rPr>
        <w:t>l</w:t>
      </w:r>
      <w:r w:rsidRPr="00585C2D">
        <w:rPr>
          <w:rFonts w:eastAsia="Arial" w:cstheme="minorHAnsi"/>
          <w:spacing w:val="2"/>
        </w:rPr>
        <w:t>o</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3"/>
        </w:rPr>
        <w:t>a</w:t>
      </w:r>
      <w:r w:rsidRPr="00585C2D">
        <w:rPr>
          <w:rFonts w:eastAsia="Arial" w:cstheme="minorHAnsi"/>
        </w:rPr>
        <w:t>cc</w:t>
      </w:r>
      <w:r w:rsidRPr="00585C2D">
        <w:rPr>
          <w:rFonts w:eastAsia="Arial" w:cstheme="minorHAnsi"/>
          <w:spacing w:val="2"/>
        </w:rPr>
        <w:t>o</w:t>
      </w:r>
      <w:r w:rsidRPr="00585C2D">
        <w:rPr>
          <w:rFonts w:eastAsia="Arial" w:cstheme="minorHAnsi"/>
          <w:spacing w:val="-2"/>
        </w:rPr>
        <w:t>r</w:t>
      </w:r>
      <w:r w:rsidRPr="00585C2D">
        <w:rPr>
          <w:rFonts w:eastAsia="Arial" w:cstheme="minorHAnsi"/>
          <w:spacing w:val="-3"/>
        </w:rPr>
        <w:t>d</w:t>
      </w:r>
      <w:r w:rsidRPr="00585C2D">
        <w:rPr>
          <w:rFonts w:eastAsia="Arial" w:cstheme="minorHAnsi"/>
          <w:spacing w:val="2"/>
        </w:rPr>
        <w:t>an</w:t>
      </w:r>
      <w:r w:rsidRPr="00585C2D">
        <w:rPr>
          <w:rFonts w:eastAsia="Arial" w:cstheme="minorHAnsi"/>
          <w:spacing w:val="-5"/>
        </w:rPr>
        <w:t>c</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1"/>
        </w:rPr>
        <w:t>wi</w:t>
      </w:r>
      <w:r w:rsidRPr="00585C2D">
        <w:rPr>
          <w:rFonts w:eastAsia="Arial" w:cstheme="minorHAnsi"/>
          <w:spacing w:val="-4"/>
        </w:rPr>
        <w:t>t</w:t>
      </w:r>
      <w:r w:rsidRPr="00585C2D">
        <w:rPr>
          <w:rFonts w:eastAsia="Arial" w:cstheme="minorHAnsi"/>
        </w:rPr>
        <w:t xml:space="preserve">h </w:t>
      </w:r>
      <w:r w:rsidRPr="00585C2D">
        <w:rPr>
          <w:rFonts w:eastAsia="Arial" w:cstheme="minorHAnsi"/>
          <w:spacing w:val="1"/>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5"/>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rPr>
        <w:t>ct</w:t>
      </w:r>
      <w:r w:rsidRPr="00585C2D">
        <w:rPr>
          <w:rFonts w:eastAsia="Arial" w:cstheme="minorHAnsi"/>
          <w:spacing w:val="2"/>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n</w:t>
      </w:r>
      <w:r w:rsidRPr="00585C2D">
        <w:rPr>
          <w:rFonts w:eastAsia="Arial" w:cstheme="minorHAnsi"/>
          <w:spacing w:val="-3"/>
        </w:rPr>
        <w:t>o</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rPr>
        <w:t>c</w:t>
      </w:r>
      <w:r w:rsidRPr="00585C2D">
        <w:rPr>
          <w:rFonts w:eastAsia="Arial" w:cstheme="minorHAnsi"/>
          <w:spacing w:val="-6"/>
        </w:rPr>
        <w:t>l</w:t>
      </w:r>
      <w:r w:rsidRPr="00585C2D">
        <w:rPr>
          <w:rFonts w:eastAsia="Arial" w:cstheme="minorHAnsi"/>
          <w:spacing w:val="2"/>
        </w:rPr>
        <w:t>u</w:t>
      </w:r>
      <w:r w:rsidRPr="00585C2D">
        <w:rPr>
          <w:rFonts w:eastAsia="Arial" w:cstheme="minorHAnsi"/>
          <w:spacing w:val="-3"/>
        </w:rPr>
        <w:t>d</w:t>
      </w:r>
      <w:r w:rsidRPr="00585C2D">
        <w:rPr>
          <w:rFonts w:eastAsia="Arial" w:cstheme="minorHAnsi"/>
          <w:spacing w:val="2"/>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6"/>
        </w:rPr>
        <w:t>i</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a</w:t>
      </w:r>
      <w:r w:rsidRPr="00585C2D">
        <w:rPr>
          <w:rFonts w:eastAsia="Arial" w:cstheme="minorHAnsi"/>
          <w:spacing w:val="-1"/>
        </w:rPr>
        <w:t>ll</w:t>
      </w:r>
      <w:r w:rsidRPr="00585C2D">
        <w:rPr>
          <w:rFonts w:eastAsia="Arial" w:cstheme="minorHAnsi"/>
          <w:spacing w:val="2"/>
        </w:rPr>
        <w:t>o</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spacing w:val="-1"/>
        </w:rPr>
        <w:t>n</w:t>
      </w:r>
      <w:r w:rsidRPr="00585C2D">
        <w:rPr>
          <w:rFonts w:eastAsia="Arial" w:cstheme="minorHAnsi"/>
        </w:rPr>
        <w:t>.</w:t>
      </w:r>
    </w:p>
    <w:p w14:paraId="4F86A66B" w14:textId="77777777" w:rsidR="00FC0CF1" w:rsidRPr="00585C2D" w:rsidRDefault="00FC0CF1" w:rsidP="00FC0CF1">
      <w:pPr>
        <w:tabs>
          <w:tab w:val="left" w:pos="2180"/>
        </w:tabs>
        <w:spacing w:before="16" w:after="120" w:line="240" w:lineRule="auto"/>
        <w:ind w:left="1701" w:hanging="425"/>
        <w:jc w:val="both"/>
        <w:rPr>
          <w:rFonts w:eastAsia="Arial" w:cstheme="minorHAnsi"/>
        </w:rPr>
      </w:pPr>
      <w:r w:rsidRPr="00585C2D">
        <w:rPr>
          <w:rFonts w:eastAsia="Times New Roman" w:cstheme="minorHAnsi"/>
          <w:w w:val="131"/>
        </w:rPr>
        <w:t>•</w:t>
      </w:r>
      <w:r w:rsidRPr="00585C2D">
        <w:rPr>
          <w:rFonts w:eastAsia="Times New Roman" w:cstheme="minorHAnsi"/>
        </w:rPr>
        <w:tab/>
      </w:r>
      <w:r w:rsidRPr="00585C2D">
        <w:rPr>
          <w:rFonts w:eastAsia="Arial" w:cstheme="minorHAnsi"/>
          <w:spacing w:val="-1"/>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1"/>
        </w:rPr>
        <w:t>f</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e</w:t>
      </w:r>
      <w:r w:rsidRPr="00585C2D">
        <w:rPr>
          <w:rFonts w:eastAsia="Arial" w:cstheme="minorHAnsi"/>
          <w:spacing w:val="-3"/>
        </w:rPr>
        <w:t>n</w:t>
      </w:r>
      <w:r w:rsidRPr="00585C2D">
        <w:rPr>
          <w:rFonts w:eastAsia="Arial" w:cstheme="minorHAnsi"/>
        </w:rPr>
        <w:t>c</w:t>
      </w:r>
      <w:r w:rsidRPr="00585C2D">
        <w:rPr>
          <w:rFonts w:eastAsia="Arial" w:cstheme="minorHAnsi"/>
          <w:spacing w:val="2"/>
        </w:rPr>
        <w:t>e</w:t>
      </w:r>
      <w:r w:rsidRPr="00585C2D">
        <w:rPr>
          <w:rFonts w:eastAsia="Arial" w:cstheme="minorHAnsi"/>
        </w:rPr>
        <w:t>s</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4"/>
        </w:rPr>
        <w:t xml:space="preserve"> </w:t>
      </w:r>
      <w:r w:rsidRPr="00585C2D">
        <w:rPr>
          <w:rFonts w:eastAsia="Arial" w:cstheme="minorHAnsi"/>
        </w:rPr>
        <w:t>s</w:t>
      </w:r>
      <w:r w:rsidRPr="00585C2D">
        <w:rPr>
          <w:rFonts w:eastAsia="Arial" w:cstheme="minorHAnsi"/>
          <w:spacing w:val="-4"/>
        </w:rPr>
        <w:t>t</w:t>
      </w:r>
      <w:r w:rsidRPr="00585C2D">
        <w:rPr>
          <w:rFonts w:eastAsia="Arial" w:cstheme="minorHAnsi"/>
          <w:spacing w:val="-3"/>
        </w:rPr>
        <w:t>u</w:t>
      </w:r>
      <w:r w:rsidRPr="00585C2D">
        <w:rPr>
          <w:rFonts w:eastAsia="Arial" w:cstheme="minorHAnsi"/>
          <w:spacing w:val="2"/>
        </w:rPr>
        <w:t>d</w:t>
      </w:r>
      <w:r w:rsidRPr="00585C2D">
        <w:rPr>
          <w:rFonts w:eastAsia="Arial" w:cstheme="minorHAnsi"/>
        </w:rPr>
        <w:t>y</w:t>
      </w:r>
      <w:r w:rsidRPr="00585C2D">
        <w:rPr>
          <w:rFonts w:eastAsia="Arial" w:cstheme="minorHAnsi"/>
          <w:spacing w:val="6"/>
        </w:rPr>
        <w:t xml:space="preserve"> </w:t>
      </w:r>
      <w:r w:rsidRPr="00585C2D">
        <w:rPr>
          <w:rFonts w:eastAsia="Arial" w:cstheme="minorHAnsi"/>
          <w:spacing w:val="-4"/>
        </w:rPr>
        <w:t>t</w:t>
      </w:r>
      <w:r w:rsidRPr="00585C2D">
        <w:rPr>
          <w:rFonts w:eastAsia="Arial" w:cstheme="minorHAnsi"/>
          <w:spacing w:val="2"/>
        </w:rPr>
        <w:t>ou</w:t>
      </w:r>
      <w:r w:rsidRPr="00585C2D">
        <w:rPr>
          <w:rFonts w:eastAsia="Arial" w:cstheme="minorHAnsi"/>
          <w:spacing w:val="-2"/>
        </w:rPr>
        <w:t>r</w:t>
      </w:r>
      <w:r w:rsidRPr="00585C2D">
        <w:rPr>
          <w:rFonts w:eastAsia="Arial" w:cstheme="minorHAnsi"/>
        </w:rPr>
        <w:t>s</w:t>
      </w:r>
      <w:r w:rsidRPr="00585C2D">
        <w:rPr>
          <w:rFonts w:eastAsia="Arial" w:cstheme="minorHAnsi"/>
          <w:spacing w:val="4"/>
        </w:rPr>
        <w:t xml:space="preserve"> (SWG)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a</w:t>
      </w:r>
      <w:r w:rsidRPr="00585C2D">
        <w:rPr>
          <w:rFonts w:eastAsia="Arial" w:cstheme="minorHAnsi"/>
        </w:rPr>
        <w:t>t</w:t>
      </w:r>
      <w:r w:rsidRPr="00585C2D">
        <w:rPr>
          <w:rFonts w:eastAsia="Arial" w:cstheme="minorHAnsi"/>
          <w:spacing w:val="2"/>
        </w:rPr>
        <w:t xml:space="preserve"> assi</w:t>
      </w:r>
      <w:r>
        <w:rPr>
          <w:rFonts w:eastAsia="Arial" w:cstheme="minorHAnsi"/>
          <w:spacing w:val="2"/>
        </w:rPr>
        <w:t>s</w:t>
      </w:r>
      <w:r w:rsidRPr="00585C2D">
        <w:rPr>
          <w:rFonts w:eastAsia="Arial" w:cstheme="minorHAnsi"/>
          <w:spacing w:val="2"/>
        </w:rPr>
        <w:t xml:space="preserve">t in delivering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a</w:t>
      </w:r>
      <w:r w:rsidRPr="00585C2D">
        <w:rPr>
          <w:rFonts w:eastAsia="Arial" w:cstheme="minorHAnsi"/>
          <w:spacing w:val="-4"/>
        </w:rPr>
        <w:t>t</w:t>
      </w:r>
      <w:r w:rsidRPr="00585C2D">
        <w:rPr>
          <w:rFonts w:eastAsia="Arial" w:cstheme="minorHAnsi"/>
          <w:spacing w:val="-1"/>
        </w:rPr>
        <w:t>i</w:t>
      </w:r>
      <w:r w:rsidRPr="00585C2D">
        <w:rPr>
          <w:rFonts w:eastAsia="Arial" w:cstheme="minorHAnsi"/>
        </w:rPr>
        <w:t>v</w:t>
      </w:r>
      <w:r w:rsidRPr="00585C2D">
        <w:rPr>
          <w:rFonts w:eastAsia="Arial" w:cstheme="minorHAnsi"/>
          <w:spacing w:val="2"/>
        </w:rPr>
        <w:t>e</w:t>
      </w:r>
      <w:r w:rsidRPr="00585C2D">
        <w:rPr>
          <w:rFonts w:eastAsia="Arial" w:cstheme="minorHAnsi"/>
        </w:rPr>
        <w:t>s</w:t>
      </w:r>
      <w:r w:rsidRPr="00585C2D">
        <w:rPr>
          <w:rFonts w:eastAsia="Arial" w:cstheme="minorHAnsi"/>
          <w:spacing w:val="11"/>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2"/>
        </w:rPr>
        <w:t>p</w:t>
      </w:r>
      <w:r w:rsidRPr="00585C2D">
        <w:rPr>
          <w:rFonts w:eastAsia="Arial" w:cstheme="minorHAnsi"/>
          <w:spacing w:val="-6"/>
        </w:rPr>
        <w:t>r</w:t>
      </w:r>
      <w:r w:rsidRPr="00585C2D">
        <w:rPr>
          <w:rFonts w:eastAsia="Arial" w:cstheme="minorHAnsi"/>
          <w:spacing w:val="2"/>
        </w:rPr>
        <w:t>o</w:t>
      </w:r>
      <w:r w:rsidRPr="00585C2D">
        <w:rPr>
          <w:rFonts w:eastAsia="Arial" w:cstheme="minorHAnsi"/>
          <w:spacing w:val="-1"/>
        </w:rPr>
        <w:t>j</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rPr>
        <w:t>s</w:t>
      </w:r>
      <w:r w:rsidRPr="00585C2D">
        <w:rPr>
          <w:rFonts w:eastAsia="Arial" w:cstheme="minorHAnsi"/>
          <w:spacing w:val="1"/>
        </w:rPr>
        <w:t xml:space="preserve"> t</w:t>
      </w:r>
      <w:r w:rsidRPr="00585C2D">
        <w:rPr>
          <w:rFonts w:eastAsia="Arial" w:cstheme="minorHAnsi"/>
          <w:spacing w:val="-3"/>
        </w:rPr>
        <w:t>h</w:t>
      </w:r>
      <w:r w:rsidRPr="00585C2D">
        <w:rPr>
          <w:rFonts w:eastAsia="Arial" w:cstheme="minorHAnsi"/>
          <w:spacing w:val="2"/>
        </w:rPr>
        <w:t>a</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3"/>
        </w:rPr>
        <w:t>h</w:t>
      </w:r>
      <w:r w:rsidRPr="00585C2D">
        <w:rPr>
          <w:rFonts w:eastAsia="Arial" w:cstheme="minorHAnsi"/>
          <w:spacing w:val="2"/>
        </w:rPr>
        <w:t>a</w:t>
      </w:r>
      <w:r w:rsidRPr="00585C2D">
        <w:rPr>
          <w:rFonts w:eastAsia="Arial" w:cstheme="minorHAnsi"/>
        </w:rPr>
        <w:t>ve</w:t>
      </w:r>
      <w:r w:rsidRPr="00585C2D">
        <w:rPr>
          <w:rFonts w:eastAsia="Arial" w:cstheme="minorHAnsi"/>
          <w:spacing w:val="3"/>
        </w:rPr>
        <w:t xml:space="preserve"> </w:t>
      </w:r>
      <w:r w:rsidRPr="00585C2D">
        <w:rPr>
          <w:rFonts w:eastAsia="Arial" w:cstheme="minorHAnsi"/>
          <w:spacing w:val="-3"/>
        </w:rPr>
        <w:t>b</w:t>
      </w:r>
      <w:r w:rsidRPr="00585C2D">
        <w:rPr>
          <w:rFonts w:eastAsia="Arial" w:cstheme="minorHAnsi"/>
          <w:spacing w:val="2"/>
        </w:rPr>
        <w:t>e</w:t>
      </w:r>
      <w:r w:rsidRPr="00585C2D">
        <w:rPr>
          <w:rFonts w:eastAsia="Arial" w:cstheme="minorHAnsi"/>
          <w:spacing w:val="-3"/>
        </w:rPr>
        <w:t>e</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3"/>
        </w:rPr>
        <w:t>o</w:t>
      </w:r>
      <w:r w:rsidRPr="00585C2D">
        <w:rPr>
          <w:rFonts w:eastAsia="Arial" w:cstheme="minorHAnsi"/>
          <w:spacing w:val="2"/>
        </w:rPr>
        <w:t>u</w:t>
      </w:r>
      <w:r w:rsidRPr="00585C2D">
        <w:rPr>
          <w:rFonts w:eastAsia="Arial" w:cstheme="minorHAnsi"/>
          <w:spacing w:val="1"/>
        </w:rPr>
        <w:t>t</w:t>
      </w:r>
      <w:r w:rsidRPr="00585C2D">
        <w:rPr>
          <w:rFonts w:eastAsia="Arial" w:cstheme="minorHAnsi"/>
          <w:spacing w:val="-1"/>
        </w:rPr>
        <w:t>li</w:t>
      </w:r>
      <w:r w:rsidRPr="00585C2D">
        <w:rPr>
          <w:rFonts w:eastAsia="Arial" w:cstheme="minorHAnsi"/>
          <w:spacing w:val="-3"/>
        </w:rPr>
        <w:t>n</w:t>
      </w:r>
      <w:r w:rsidRPr="00585C2D">
        <w:rPr>
          <w:rFonts w:eastAsia="Arial" w:cstheme="minorHAnsi"/>
          <w:spacing w:val="2"/>
        </w:rPr>
        <w:t>e</w:t>
      </w:r>
      <w:r w:rsidRPr="00585C2D">
        <w:rPr>
          <w:rFonts w:eastAsia="Arial" w:cstheme="minorHAnsi"/>
        </w:rPr>
        <w:t xml:space="preserve">d </w:t>
      </w:r>
      <w:r w:rsidRPr="00585C2D">
        <w:rPr>
          <w:rFonts w:eastAsia="Arial" w:cstheme="minorHAnsi"/>
          <w:spacing w:val="-1"/>
        </w:rPr>
        <w:t>i</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Town’s </w:t>
      </w:r>
      <w:r w:rsidRPr="00585C2D">
        <w:rPr>
          <w:rFonts w:eastAsia="Arial" w:cstheme="minorHAnsi"/>
          <w:spacing w:val="1"/>
        </w:rPr>
        <w:t>St</w:t>
      </w:r>
      <w:r w:rsidRPr="00585C2D">
        <w:rPr>
          <w:rFonts w:eastAsia="Arial" w:cstheme="minorHAnsi"/>
          <w:spacing w:val="-2"/>
        </w:rPr>
        <w:t>r</w:t>
      </w:r>
      <w:r w:rsidRPr="00585C2D">
        <w:rPr>
          <w:rFonts w:eastAsia="Arial" w:cstheme="minorHAnsi"/>
          <w:spacing w:val="-3"/>
        </w:rPr>
        <w:t>a</w:t>
      </w:r>
      <w:r w:rsidRPr="00585C2D">
        <w:rPr>
          <w:rFonts w:eastAsia="Arial" w:cstheme="minorHAnsi"/>
          <w:spacing w:val="1"/>
        </w:rPr>
        <w:t>t</w:t>
      </w:r>
      <w:r w:rsidRPr="00585C2D">
        <w:rPr>
          <w:rFonts w:eastAsia="Arial" w:cstheme="minorHAnsi"/>
          <w:spacing w:val="-3"/>
        </w:rPr>
        <w:t>e</w:t>
      </w:r>
      <w:r w:rsidRPr="00585C2D">
        <w:rPr>
          <w:rFonts w:eastAsia="Arial" w:cstheme="minorHAnsi"/>
          <w:spacing w:val="2"/>
        </w:rPr>
        <w:t>g</w:t>
      </w:r>
      <w:r w:rsidRPr="00585C2D">
        <w:rPr>
          <w:rFonts w:eastAsia="Arial" w:cstheme="minorHAnsi"/>
          <w:spacing w:val="-1"/>
        </w:rPr>
        <w:t>i</w:t>
      </w:r>
      <w:r w:rsidRPr="00585C2D">
        <w:rPr>
          <w:rFonts w:eastAsia="Arial" w:cstheme="minorHAnsi"/>
        </w:rPr>
        <w:t>c</w:t>
      </w:r>
      <w:r w:rsidRPr="00585C2D">
        <w:rPr>
          <w:rFonts w:eastAsia="Arial" w:cstheme="minorHAnsi"/>
          <w:spacing w:val="5"/>
        </w:rPr>
        <w:t xml:space="preserve"> </w:t>
      </w:r>
      <w:r w:rsidRPr="00585C2D">
        <w:rPr>
          <w:rFonts w:eastAsia="Arial" w:cstheme="minorHAnsi"/>
          <w:spacing w:val="-1"/>
        </w:rPr>
        <w:t>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3"/>
        </w:rPr>
        <w:t>u</w:t>
      </w:r>
      <w:r w:rsidRPr="00585C2D">
        <w:rPr>
          <w:rFonts w:eastAsia="Arial" w:cstheme="minorHAnsi"/>
          <w:spacing w:val="2"/>
        </w:rPr>
        <w:t>n</w:t>
      </w:r>
      <w:r w:rsidRPr="00585C2D">
        <w:rPr>
          <w:rFonts w:eastAsia="Arial" w:cstheme="minorHAnsi"/>
          <w:spacing w:val="-1"/>
        </w:rPr>
        <w:t>i</w:t>
      </w:r>
      <w:r w:rsidRPr="00585C2D">
        <w:rPr>
          <w:rFonts w:eastAsia="Arial" w:cstheme="minorHAnsi"/>
          <w:spacing w:val="1"/>
        </w:rPr>
        <w:t>t</w:t>
      </w:r>
      <w:r w:rsidRPr="00585C2D">
        <w:rPr>
          <w:rFonts w:eastAsia="Arial" w:cstheme="minorHAnsi"/>
        </w:rPr>
        <w:t xml:space="preserve">y </w:t>
      </w:r>
      <w:r w:rsidRPr="00585C2D">
        <w:rPr>
          <w:rFonts w:eastAsia="Arial" w:cstheme="minorHAnsi"/>
          <w:spacing w:val="1"/>
        </w:rPr>
        <w:t>P</w:t>
      </w:r>
      <w:r w:rsidRPr="00585C2D">
        <w:rPr>
          <w:rFonts w:eastAsia="Arial" w:cstheme="minorHAnsi"/>
          <w:spacing w:val="-1"/>
        </w:rPr>
        <w:t>l</w:t>
      </w:r>
      <w:r w:rsidRPr="00585C2D">
        <w:rPr>
          <w:rFonts w:eastAsia="Arial" w:cstheme="minorHAnsi"/>
          <w:spacing w:val="-3"/>
        </w:rPr>
        <w:t>a</w:t>
      </w:r>
      <w:r w:rsidRPr="00585C2D">
        <w:rPr>
          <w:rFonts w:eastAsia="Arial" w:cstheme="minorHAnsi"/>
          <w:spacing w:val="2"/>
        </w:rPr>
        <w:t>n</w:t>
      </w:r>
      <w:r w:rsidRPr="00585C2D">
        <w:rPr>
          <w:rFonts w:eastAsia="Arial" w:cstheme="minorHAnsi"/>
        </w:rPr>
        <w:t>,</w:t>
      </w:r>
      <w:r w:rsidRPr="00585C2D">
        <w:rPr>
          <w:rFonts w:eastAsia="Arial" w:cstheme="minorHAnsi"/>
          <w:spacing w:val="2"/>
        </w:rPr>
        <w:t xml:space="preserve"> o</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6"/>
        </w:rPr>
        <w:t>C</w:t>
      </w:r>
      <w:r w:rsidRPr="00585C2D">
        <w:rPr>
          <w:rFonts w:eastAsia="Arial" w:cstheme="minorHAnsi"/>
          <w:spacing w:val="2"/>
        </w:rPr>
        <w:t>o</w:t>
      </w:r>
      <w:r w:rsidRPr="00585C2D">
        <w:rPr>
          <w:rFonts w:eastAsia="Arial" w:cstheme="minorHAnsi"/>
          <w:spacing w:val="-3"/>
        </w:rPr>
        <w:t>u</w:t>
      </w:r>
      <w:r w:rsidRPr="00585C2D">
        <w:rPr>
          <w:rFonts w:eastAsia="Arial" w:cstheme="minorHAnsi"/>
          <w:spacing w:val="2"/>
        </w:rPr>
        <w:t>n</w:t>
      </w:r>
      <w:r w:rsidRPr="00585C2D">
        <w:rPr>
          <w:rFonts w:eastAsia="Arial" w:cstheme="minorHAnsi"/>
        </w:rPr>
        <w:t>c</w:t>
      </w:r>
      <w:r w:rsidRPr="00585C2D">
        <w:rPr>
          <w:rFonts w:eastAsia="Arial" w:cstheme="minorHAnsi"/>
          <w:spacing w:val="-1"/>
        </w:rPr>
        <w:t>i</w:t>
      </w:r>
      <w:r w:rsidRPr="00585C2D">
        <w:rPr>
          <w:rFonts w:eastAsia="Arial" w:cstheme="minorHAnsi"/>
        </w:rPr>
        <w:t xml:space="preserve">l </w:t>
      </w:r>
      <w:r w:rsidRPr="00585C2D">
        <w:rPr>
          <w:rFonts w:eastAsia="Arial" w:cstheme="minorHAnsi"/>
          <w:spacing w:val="-2"/>
        </w:rPr>
        <w:t>r</w:t>
      </w:r>
      <w:r w:rsidRPr="00585C2D">
        <w:rPr>
          <w:rFonts w:eastAsia="Arial" w:cstheme="minorHAnsi"/>
          <w:spacing w:val="2"/>
        </w:rPr>
        <w:t>e</w:t>
      </w:r>
      <w:r w:rsidRPr="00585C2D">
        <w:rPr>
          <w:rFonts w:eastAsia="Arial" w:cstheme="minorHAnsi"/>
        </w:rPr>
        <w:t>s</w:t>
      </w:r>
      <w:r w:rsidRPr="00585C2D">
        <w:rPr>
          <w:rFonts w:eastAsia="Arial" w:cstheme="minorHAnsi"/>
          <w:spacing w:val="2"/>
        </w:rPr>
        <w:t>o</w:t>
      </w:r>
      <w:r w:rsidRPr="00585C2D">
        <w:rPr>
          <w:rFonts w:eastAsia="Arial" w:cstheme="minorHAnsi"/>
          <w:spacing w:val="-1"/>
        </w:rPr>
        <w:t>l</w:t>
      </w:r>
      <w:r w:rsidRPr="00585C2D">
        <w:rPr>
          <w:rFonts w:eastAsia="Arial" w:cstheme="minorHAnsi"/>
          <w:spacing w:val="2"/>
        </w:rPr>
        <w:t>u</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spacing w:val="4"/>
        </w:rPr>
        <w:t>n</w:t>
      </w:r>
      <w:r w:rsidRPr="00585C2D">
        <w:rPr>
          <w:rFonts w:eastAsia="Arial" w:cstheme="minorHAnsi"/>
          <w:spacing w:val="-5"/>
        </w:rPr>
        <w:t>s</w:t>
      </w:r>
      <w:r w:rsidRPr="00585C2D">
        <w:rPr>
          <w:rFonts w:eastAsia="Arial" w:cstheme="minorHAnsi"/>
        </w:rPr>
        <w:t>.</w:t>
      </w:r>
    </w:p>
    <w:p w14:paraId="7BAB45B0" w14:textId="77777777" w:rsidR="00FC0CF1" w:rsidRPr="004D3B1B" w:rsidRDefault="00FC0CF1" w:rsidP="00FC0CF1">
      <w:pPr>
        <w:spacing w:after="0" w:line="240" w:lineRule="auto"/>
        <w:ind w:left="851" w:right="1288" w:hanging="425"/>
        <w:rPr>
          <w:rFonts w:eastAsia="Arial" w:cstheme="minorHAnsi"/>
        </w:rPr>
      </w:pPr>
      <w:r>
        <w:rPr>
          <w:rFonts w:eastAsia="Arial" w:cstheme="minorHAnsi"/>
          <w:bCs/>
          <w:spacing w:val="1"/>
        </w:rPr>
        <w:t>2</w:t>
      </w:r>
      <w:r w:rsidRPr="004D3B1B">
        <w:rPr>
          <w:rFonts w:eastAsia="Arial" w:cstheme="minorHAnsi"/>
          <w:bCs/>
          <w:spacing w:val="1"/>
        </w:rPr>
        <w:t>.</w:t>
      </w:r>
      <w:r w:rsidRPr="004D3B1B">
        <w:rPr>
          <w:rFonts w:eastAsia="Arial" w:cstheme="minorHAnsi"/>
          <w:bCs/>
        </w:rPr>
        <w:t>2</w:t>
      </w:r>
      <w:r w:rsidRPr="004D3B1B">
        <w:rPr>
          <w:rFonts w:eastAsia="Arial" w:cstheme="minorHAnsi"/>
          <w:bCs/>
          <w:spacing w:val="-11"/>
        </w:rPr>
        <w:t xml:space="preserve"> </w:t>
      </w:r>
      <w:r w:rsidRPr="004D3B1B">
        <w:rPr>
          <w:rFonts w:eastAsia="Arial" w:cstheme="minorHAnsi"/>
          <w:bCs/>
          <w:spacing w:val="-11"/>
        </w:rPr>
        <w:tab/>
      </w:r>
      <w:r w:rsidRPr="004D3B1B">
        <w:rPr>
          <w:rFonts w:eastAsia="Arial" w:cstheme="minorHAnsi"/>
          <w:bCs/>
          <w:spacing w:val="-1"/>
          <w:u w:val="single"/>
        </w:rPr>
        <w:t>C</w:t>
      </w:r>
      <w:r w:rsidRPr="004D3B1B">
        <w:rPr>
          <w:rFonts w:eastAsia="Arial" w:cstheme="minorHAnsi"/>
          <w:bCs/>
          <w:u w:val="single"/>
        </w:rPr>
        <w:t>o</w:t>
      </w:r>
      <w:r w:rsidRPr="004D3B1B">
        <w:rPr>
          <w:rFonts w:eastAsia="Arial" w:cstheme="minorHAnsi"/>
          <w:bCs/>
          <w:spacing w:val="-1"/>
          <w:u w:val="single"/>
        </w:rPr>
        <w:t>n</w:t>
      </w:r>
      <w:r w:rsidRPr="004D3B1B">
        <w:rPr>
          <w:rFonts w:eastAsia="Arial" w:cstheme="minorHAnsi"/>
          <w:bCs/>
          <w:spacing w:val="-2"/>
          <w:u w:val="single"/>
        </w:rPr>
        <w:t>t</w:t>
      </w:r>
      <w:r w:rsidRPr="004D3B1B">
        <w:rPr>
          <w:rFonts w:eastAsia="Arial" w:cstheme="minorHAnsi"/>
          <w:bCs/>
          <w:spacing w:val="-4"/>
          <w:u w:val="single"/>
        </w:rPr>
        <w:t>i</w:t>
      </w:r>
      <w:r w:rsidRPr="004D3B1B">
        <w:rPr>
          <w:rFonts w:eastAsia="Arial" w:cstheme="minorHAnsi"/>
          <w:bCs/>
          <w:u w:val="single"/>
        </w:rPr>
        <w:t>n</w:t>
      </w:r>
      <w:r w:rsidRPr="004D3B1B">
        <w:rPr>
          <w:rFonts w:eastAsia="Arial" w:cstheme="minorHAnsi"/>
          <w:bCs/>
          <w:spacing w:val="-1"/>
          <w:u w:val="single"/>
        </w:rPr>
        <w:t>u</w:t>
      </w:r>
      <w:r w:rsidRPr="004D3B1B">
        <w:rPr>
          <w:rFonts w:eastAsia="Arial" w:cstheme="minorHAnsi"/>
          <w:bCs/>
          <w:u w:val="single"/>
        </w:rPr>
        <w:t>o</w:t>
      </w:r>
      <w:r w:rsidRPr="004D3B1B">
        <w:rPr>
          <w:rFonts w:eastAsia="Arial" w:cstheme="minorHAnsi"/>
          <w:bCs/>
          <w:spacing w:val="4"/>
          <w:u w:val="single"/>
        </w:rPr>
        <w:t>u</w:t>
      </w:r>
      <w:r w:rsidRPr="004D3B1B">
        <w:rPr>
          <w:rFonts w:eastAsia="Arial" w:cstheme="minorHAnsi"/>
          <w:bCs/>
          <w:u w:val="single"/>
        </w:rPr>
        <w:t xml:space="preserve">s </w:t>
      </w:r>
      <w:r w:rsidRPr="004D3B1B">
        <w:rPr>
          <w:rFonts w:eastAsia="Arial" w:cstheme="minorHAnsi"/>
          <w:bCs/>
          <w:spacing w:val="2"/>
          <w:u w:val="single"/>
        </w:rPr>
        <w:t>P</w:t>
      </w:r>
      <w:r w:rsidRPr="004D3B1B">
        <w:rPr>
          <w:rFonts w:eastAsia="Arial" w:cstheme="minorHAnsi"/>
          <w:bCs/>
          <w:u w:val="single"/>
        </w:rPr>
        <w:t>ro</w:t>
      </w:r>
      <w:r w:rsidRPr="004D3B1B">
        <w:rPr>
          <w:rFonts w:eastAsia="Arial" w:cstheme="minorHAnsi"/>
          <w:bCs/>
          <w:spacing w:val="-2"/>
          <w:u w:val="single"/>
        </w:rPr>
        <w:t>f</w:t>
      </w:r>
      <w:r w:rsidRPr="004D3B1B">
        <w:rPr>
          <w:rFonts w:eastAsia="Arial" w:cstheme="minorHAnsi"/>
          <w:bCs/>
          <w:spacing w:val="2"/>
          <w:u w:val="single"/>
        </w:rPr>
        <w:t>e</w:t>
      </w:r>
      <w:r w:rsidRPr="004D3B1B">
        <w:rPr>
          <w:rFonts w:eastAsia="Arial" w:cstheme="minorHAnsi"/>
          <w:bCs/>
          <w:spacing w:val="-3"/>
          <w:u w:val="single"/>
        </w:rPr>
        <w:t>ss</w:t>
      </w:r>
      <w:r w:rsidRPr="004D3B1B">
        <w:rPr>
          <w:rFonts w:eastAsia="Arial" w:cstheme="minorHAnsi"/>
          <w:bCs/>
          <w:spacing w:val="-4"/>
          <w:u w:val="single"/>
        </w:rPr>
        <w:t>i</w:t>
      </w:r>
      <w:r w:rsidRPr="004D3B1B">
        <w:rPr>
          <w:rFonts w:eastAsia="Arial" w:cstheme="minorHAnsi"/>
          <w:bCs/>
          <w:u w:val="single"/>
        </w:rPr>
        <w:t>o</w:t>
      </w:r>
      <w:r w:rsidRPr="004D3B1B">
        <w:rPr>
          <w:rFonts w:eastAsia="Arial" w:cstheme="minorHAnsi"/>
          <w:bCs/>
          <w:spacing w:val="-1"/>
          <w:u w:val="single"/>
        </w:rPr>
        <w:t>n</w:t>
      </w:r>
      <w:r w:rsidRPr="004D3B1B">
        <w:rPr>
          <w:rFonts w:eastAsia="Arial" w:cstheme="minorHAnsi"/>
          <w:bCs/>
          <w:spacing w:val="2"/>
          <w:u w:val="single"/>
        </w:rPr>
        <w:t>a</w:t>
      </w:r>
      <w:r w:rsidRPr="004D3B1B">
        <w:rPr>
          <w:rFonts w:eastAsia="Arial" w:cstheme="minorHAnsi"/>
          <w:bCs/>
          <w:u w:val="single"/>
        </w:rPr>
        <w:t>l</w:t>
      </w:r>
      <w:r w:rsidRPr="004D3B1B">
        <w:rPr>
          <w:rFonts w:eastAsia="Arial" w:cstheme="minorHAnsi"/>
          <w:bCs/>
          <w:spacing w:val="-1"/>
          <w:u w:val="single"/>
        </w:rPr>
        <w:t xml:space="preserve"> </w:t>
      </w:r>
      <w:r w:rsidRPr="004D3B1B">
        <w:rPr>
          <w:rFonts w:eastAsia="Arial" w:cstheme="minorHAnsi"/>
          <w:bCs/>
          <w:u w:val="single"/>
        </w:rPr>
        <w:t>D</w:t>
      </w:r>
      <w:r w:rsidRPr="004D3B1B">
        <w:rPr>
          <w:rFonts w:eastAsia="Arial" w:cstheme="minorHAnsi"/>
          <w:bCs/>
          <w:spacing w:val="2"/>
          <w:u w:val="single"/>
        </w:rPr>
        <w:t>e</w:t>
      </w:r>
      <w:r w:rsidRPr="004D3B1B">
        <w:rPr>
          <w:rFonts w:eastAsia="Arial" w:cstheme="minorHAnsi"/>
          <w:bCs/>
          <w:spacing w:val="-3"/>
          <w:u w:val="single"/>
        </w:rPr>
        <w:t>v</w:t>
      </w:r>
      <w:r w:rsidRPr="004D3B1B">
        <w:rPr>
          <w:rFonts w:eastAsia="Arial" w:cstheme="minorHAnsi"/>
          <w:bCs/>
          <w:spacing w:val="2"/>
          <w:u w:val="single"/>
        </w:rPr>
        <w:t>e</w:t>
      </w:r>
      <w:r w:rsidRPr="004D3B1B">
        <w:rPr>
          <w:rFonts w:eastAsia="Arial" w:cstheme="minorHAnsi"/>
          <w:bCs/>
          <w:spacing w:val="-4"/>
          <w:u w:val="single"/>
        </w:rPr>
        <w:t>l</w:t>
      </w:r>
      <w:r w:rsidRPr="004D3B1B">
        <w:rPr>
          <w:rFonts w:eastAsia="Arial" w:cstheme="minorHAnsi"/>
          <w:bCs/>
          <w:u w:val="single"/>
        </w:rPr>
        <w:t>o</w:t>
      </w:r>
      <w:r w:rsidRPr="004D3B1B">
        <w:rPr>
          <w:rFonts w:eastAsia="Arial" w:cstheme="minorHAnsi"/>
          <w:bCs/>
          <w:spacing w:val="4"/>
          <w:u w:val="single"/>
        </w:rPr>
        <w:t>p</w:t>
      </w:r>
      <w:r w:rsidRPr="004D3B1B">
        <w:rPr>
          <w:rFonts w:eastAsia="Arial" w:cstheme="minorHAnsi"/>
          <w:bCs/>
          <w:spacing w:val="-4"/>
          <w:u w:val="single"/>
        </w:rPr>
        <w:t>m</w:t>
      </w:r>
      <w:r w:rsidRPr="004D3B1B">
        <w:rPr>
          <w:rFonts w:eastAsia="Arial" w:cstheme="minorHAnsi"/>
          <w:bCs/>
          <w:spacing w:val="2"/>
          <w:u w:val="single"/>
        </w:rPr>
        <w:t>e</w:t>
      </w:r>
      <w:r w:rsidRPr="004D3B1B">
        <w:rPr>
          <w:rFonts w:eastAsia="Arial" w:cstheme="minorHAnsi"/>
          <w:bCs/>
          <w:u w:val="single"/>
        </w:rPr>
        <w:t>nt</w:t>
      </w:r>
    </w:p>
    <w:p w14:paraId="749D6393" w14:textId="77777777" w:rsidR="00FC0CF1" w:rsidRPr="00585C2D" w:rsidRDefault="00FC0CF1" w:rsidP="00FC0CF1">
      <w:pPr>
        <w:spacing w:after="120" w:line="240" w:lineRule="auto"/>
        <w:ind w:left="1276" w:hanging="425"/>
        <w:jc w:val="both"/>
        <w:rPr>
          <w:rFonts w:eastAsia="Arial" w:cstheme="minorHAnsi"/>
        </w:rPr>
      </w:pPr>
      <w:r w:rsidRPr="00585C2D">
        <w:rPr>
          <w:rFonts w:eastAsia="Arial" w:cstheme="minorHAnsi"/>
          <w:spacing w:val="2"/>
        </w:rPr>
        <w:t>a</w:t>
      </w:r>
      <w:r>
        <w:rPr>
          <w:rFonts w:eastAsia="Arial" w:cstheme="minorHAnsi"/>
        </w:rPr>
        <w:t>.</w:t>
      </w:r>
      <w:r>
        <w:rPr>
          <w:rFonts w:eastAsia="Arial" w:cstheme="minorHAnsi"/>
        </w:rPr>
        <w:tab/>
      </w:r>
      <w:r w:rsidRPr="00585C2D">
        <w:rPr>
          <w:rFonts w:eastAsia="Arial" w:cstheme="minorHAnsi"/>
          <w:spacing w:val="-4"/>
        </w:rPr>
        <w:t>I</w:t>
      </w:r>
      <w:r w:rsidRPr="00585C2D">
        <w:rPr>
          <w:rFonts w:eastAsia="Arial" w:cstheme="minorHAnsi"/>
        </w:rPr>
        <w:t>n</w:t>
      </w:r>
      <w:r w:rsidRPr="00585C2D">
        <w:rPr>
          <w:rFonts w:eastAsia="Arial" w:cstheme="minorHAnsi"/>
          <w:spacing w:val="36"/>
        </w:rPr>
        <w:t xml:space="preserve"> </w:t>
      </w:r>
      <w:r w:rsidRPr="00585C2D">
        <w:rPr>
          <w:rFonts w:eastAsia="Arial" w:cstheme="minorHAnsi"/>
          <w:spacing w:val="2"/>
        </w:rPr>
        <w:t>a</w:t>
      </w:r>
      <w:r w:rsidRPr="00585C2D">
        <w:rPr>
          <w:rFonts w:eastAsia="Arial" w:cstheme="minorHAnsi"/>
        </w:rPr>
        <w:t>cc</w:t>
      </w:r>
      <w:r w:rsidRPr="00585C2D">
        <w:rPr>
          <w:rFonts w:eastAsia="Arial" w:cstheme="minorHAnsi"/>
          <w:spacing w:val="2"/>
        </w:rPr>
        <w:t>o</w:t>
      </w:r>
      <w:r w:rsidRPr="00585C2D">
        <w:rPr>
          <w:rFonts w:eastAsia="Arial" w:cstheme="minorHAnsi"/>
          <w:spacing w:val="-2"/>
        </w:rPr>
        <w:t>r</w:t>
      </w:r>
      <w:r w:rsidRPr="00585C2D">
        <w:rPr>
          <w:rFonts w:eastAsia="Arial" w:cstheme="minorHAnsi"/>
          <w:spacing w:val="-3"/>
        </w:rPr>
        <w:t>d</w:t>
      </w:r>
      <w:r w:rsidRPr="00585C2D">
        <w:rPr>
          <w:rFonts w:eastAsia="Arial" w:cstheme="minorHAnsi"/>
          <w:spacing w:val="2"/>
        </w:rPr>
        <w:t>an</w:t>
      </w:r>
      <w:r w:rsidRPr="00585C2D">
        <w:rPr>
          <w:rFonts w:eastAsia="Arial" w:cstheme="minorHAnsi"/>
          <w:spacing w:val="-5"/>
        </w:rPr>
        <w:t>c</w:t>
      </w:r>
      <w:r w:rsidRPr="00585C2D">
        <w:rPr>
          <w:rFonts w:eastAsia="Arial" w:cstheme="minorHAnsi"/>
        </w:rPr>
        <w:t>e</w:t>
      </w:r>
      <w:r w:rsidRPr="00585C2D">
        <w:rPr>
          <w:rFonts w:eastAsia="Arial" w:cstheme="minorHAnsi"/>
          <w:spacing w:val="36"/>
        </w:rPr>
        <w:t xml:space="preserve"> </w:t>
      </w:r>
      <w:r w:rsidRPr="00585C2D">
        <w:rPr>
          <w:rFonts w:eastAsia="Arial" w:cstheme="minorHAnsi"/>
          <w:spacing w:val="-1"/>
        </w:rPr>
        <w:t>wi</w:t>
      </w:r>
      <w:r w:rsidRPr="00585C2D">
        <w:rPr>
          <w:rFonts w:eastAsia="Arial" w:cstheme="minorHAnsi"/>
          <w:spacing w:val="1"/>
        </w:rPr>
        <w:t>t</w:t>
      </w:r>
      <w:r w:rsidRPr="00585C2D">
        <w:rPr>
          <w:rFonts w:eastAsia="Arial" w:cstheme="minorHAnsi"/>
        </w:rPr>
        <w:t>h</w:t>
      </w:r>
      <w:r w:rsidRPr="00585C2D">
        <w:rPr>
          <w:rFonts w:eastAsia="Arial" w:cstheme="minorHAnsi"/>
          <w:spacing w:val="40"/>
        </w:rPr>
        <w:t xml:space="preserve"> </w:t>
      </w:r>
      <w:r w:rsidRPr="00585C2D">
        <w:rPr>
          <w:rFonts w:eastAsia="Arial" w:cstheme="minorHAnsi"/>
          <w:spacing w:val="-5"/>
        </w:rPr>
        <w:t>s</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31"/>
        </w:rPr>
        <w:t xml:space="preserve"> </w:t>
      </w:r>
      <w:r w:rsidRPr="00585C2D">
        <w:rPr>
          <w:rFonts w:eastAsia="Arial" w:cstheme="minorHAnsi"/>
          <w:spacing w:val="2"/>
        </w:rPr>
        <w:t>5</w:t>
      </w:r>
      <w:r w:rsidRPr="00585C2D">
        <w:rPr>
          <w:rFonts w:eastAsia="Arial" w:cstheme="minorHAnsi"/>
          <w:spacing w:val="1"/>
        </w:rPr>
        <w:t>.</w:t>
      </w:r>
      <w:r w:rsidRPr="00585C2D">
        <w:rPr>
          <w:rFonts w:eastAsia="Arial" w:cstheme="minorHAnsi"/>
          <w:spacing w:val="-3"/>
        </w:rPr>
        <w:t>1</w:t>
      </w:r>
      <w:r w:rsidRPr="00585C2D">
        <w:rPr>
          <w:rFonts w:eastAsia="Arial" w:cstheme="minorHAnsi"/>
          <w:spacing w:val="2"/>
        </w:rPr>
        <w:t>2</w:t>
      </w:r>
      <w:r w:rsidRPr="00585C2D">
        <w:rPr>
          <w:rFonts w:eastAsia="Arial" w:cstheme="minorHAnsi"/>
        </w:rPr>
        <w:t>8</w:t>
      </w:r>
      <w:r w:rsidRPr="00585C2D">
        <w:rPr>
          <w:rFonts w:eastAsia="Arial" w:cstheme="minorHAnsi"/>
          <w:spacing w:val="31"/>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5"/>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41"/>
        </w:rPr>
        <w:t xml:space="preserve"> </w:t>
      </w:r>
      <w:r w:rsidRPr="00585C2D">
        <w:rPr>
          <w:rFonts w:eastAsia="Arial" w:cstheme="minorHAnsi"/>
          <w:i/>
          <w:spacing w:val="-3"/>
        </w:rPr>
        <w:t>L</w:t>
      </w:r>
      <w:r w:rsidRPr="00585C2D">
        <w:rPr>
          <w:rFonts w:eastAsia="Arial" w:cstheme="minorHAnsi"/>
          <w:i/>
          <w:spacing w:val="2"/>
        </w:rPr>
        <w:t>o</w:t>
      </w:r>
      <w:r w:rsidRPr="00585C2D">
        <w:rPr>
          <w:rFonts w:eastAsia="Arial" w:cstheme="minorHAnsi"/>
          <w:i/>
        </w:rPr>
        <w:t>c</w:t>
      </w:r>
      <w:r w:rsidRPr="00585C2D">
        <w:rPr>
          <w:rFonts w:eastAsia="Arial" w:cstheme="minorHAnsi"/>
          <w:i/>
          <w:spacing w:val="2"/>
        </w:rPr>
        <w:t>a</w:t>
      </w:r>
      <w:r w:rsidRPr="00585C2D">
        <w:rPr>
          <w:rFonts w:eastAsia="Arial" w:cstheme="minorHAnsi"/>
          <w:i/>
        </w:rPr>
        <w:t>l</w:t>
      </w:r>
      <w:r w:rsidRPr="00585C2D">
        <w:rPr>
          <w:rFonts w:eastAsia="Arial" w:cstheme="minorHAnsi"/>
          <w:i/>
          <w:spacing w:val="29"/>
        </w:rPr>
        <w:t xml:space="preserve"> </w:t>
      </w:r>
      <w:r w:rsidRPr="00585C2D">
        <w:rPr>
          <w:rFonts w:eastAsia="Arial" w:cstheme="minorHAnsi"/>
          <w:i/>
          <w:spacing w:val="1"/>
        </w:rPr>
        <w:t>G</w:t>
      </w:r>
      <w:r w:rsidRPr="00585C2D">
        <w:rPr>
          <w:rFonts w:eastAsia="Arial" w:cstheme="minorHAnsi"/>
          <w:i/>
          <w:spacing w:val="2"/>
        </w:rPr>
        <w:t>o</w:t>
      </w:r>
      <w:r w:rsidRPr="00585C2D">
        <w:rPr>
          <w:rFonts w:eastAsia="Arial" w:cstheme="minorHAnsi"/>
          <w:i/>
        </w:rPr>
        <w:t>v</w:t>
      </w:r>
      <w:r w:rsidRPr="00585C2D">
        <w:rPr>
          <w:rFonts w:eastAsia="Arial" w:cstheme="minorHAnsi"/>
          <w:i/>
          <w:spacing w:val="2"/>
        </w:rPr>
        <w:t>e</w:t>
      </w:r>
      <w:r w:rsidRPr="00585C2D">
        <w:rPr>
          <w:rFonts w:eastAsia="Arial" w:cstheme="minorHAnsi"/>
          <w:i/>
          <w:spacing w:val="-6"/>
        </w:rPr>
        <w:t>r</w:t>
      </w:r>
      <w:r w:rsidRPr="00585C2D">
        <w:rPr>
          <w:rFonts w:eastAsia="Arial" w:cstheme="minorHAnsi"/>
          <w:i/>
          <w:spacing w:val="2"/>
        </w:rPr>
        <w:t>n</w:t>
      </w:r>
      <w:r w:rsidRPr="00585C2D">
        <w:rPr>
          <w:rFonts w:eastAsia="Arial" w:cstheme="minorHAnsi"/>
          <w:i/>
          <w:spacing w:val="-2"/>
        </w:rPr>
        <w:t>m</w:t>
      </w:r>
      <w:r w:rsidRPr="00585C2D">
        <w:rPr>
          <w:rFonts w:eastAsia="Arial" w:cstheme="minorHAnsi"/>
          <w:i/>
          <w:spacing w:val="-3"/>
        </w:rPr>
        <w:t>e</w:t>
      </w:r>
      <w:r w:rsidRPr="00585C2D">
        <w:rPr>
          <w:rFonts w:eastAsia="Arial" w:cstheme="minorHAnsi"/>
          <w:i/>
          <w:spacing w:val="2"/>
        </w:rPr>
        <w:t>n</w:t>
      </w:r>
      <w:r w:rsidRPr="00585C2D">
        <w:rPr>
          <w:rFonts w:eastAsia="Arial" w:cstheme="minorHAnsi"/>
          <w:i/>
        </w:rPr>
        <w:t>t</w:t>
      </w:r>
      <w:r w:rsidRPr="00585C2D">
        <w:rPr>
          <w:rFonts w:eastAsia="Arial" w:cstheme="minorHAnsi"/>
          <w:i/>
          <w:spacing w:val="35"/>
        </w:rPr>
        <w:t xml:space="preserve"> </w:t>
      </w:r>
      <w:r w:rsidRPr="00585C2D">
        <w:rPr>
          <w:rFonts w:eastAsia="Arial" w:cstheme="minorHAnsi"/>
          <w:i/>
          <w:spacing w:val="1"/>
        </w:rPr>
        <w:t>A</w:t>
      </w:r>
      <w:r w:rsidRPr="00585C2D">
        <w:rPr>
          <w:rFonts w:eastAsia="Arial" w:cstheme="minorHAnsi"/>
          <w:i/>
          <w:spacing w:val="-5"/>
        </w:rPr>
        <w:t>c</w:t>
      </w:r>
      <w:r w:rsidRPr="00585C2D">
        <w:rPr>
          <w:rFonts w:eastAsia="Arial" w:cstheme="minorHAnsi"/>
          <w:i/>
        </w:rPr>
        <w:t>t</w:t>
      </w:r>
      <w:r w:rsidRPr="00585C2D">
        <w:rPr>
          <w:rFonts w:eastAsia="Arial" w:cstheme="minorHAnsi"/>
          <w:i/>
          <w:spacing w:val="35"/>
        </w:rPr>
        <w:t xml:space="preserve"> </w:t>
      </w:r>
      <w:r w:rsidRPr="00585C2D">
        <w:rPr>
          <w:rFonts w:eastAsia="Arial" w:cstheme="minorHAnsi"/>
          <w:i/>
          <w:spacing w:val="-3"/>
        </w:rPr>
        <w:t>1</w:t>
      </w:r>
      <w:r w:rsidRPr="00585C2D">
        <w:rPr>
          <w:rFonts w:eastAsia="Arial" w:cstheme="minorHAnsi"/>
          <w:i/>
          <w:spacing w:val="2"/>
        </w:rPr>
        <w:t>9</w:t>
      </w:r>
      <w:r w:rsidRPr="00585C2D">
        <w:rPr>
          <w:rFonts w:eastAsia="Arial" w:cstheme="minorHAnsi"/>
          <w:i/>
          <w:spacing w:val="-3"/>
        </w:rPr>
        <w:t>9</w:t>
      </w:r>
      <w:r w:rsidRPr="00585C2D">
        <w:rPr>
          <w:rFonts w:eastAsia="Arial" w:cstheme="minorHAnsi"/>
          <w:i/>
          <w:spacing w:val="7"/>
        </w:rPr>
        <w:t>5</w:t>
      </w:r>
      <w:r w:rsidRPr="00585C2D">
        <w:rPr>
          <w:rFonts w:eastAsia="Arial" w:cstheme="minorHAnsi"/>
          <w:i/>
        </w:rPr>
        <w:t>,</w:t>
      </w:r>
      <w:r w:rsidRPr="00585C2D">
        <w:rPr>
          <w:rFonts w:eastAsia="Arial" w:cstheme="minorHAnsi"/>
          <w:i/>
          <w:spacing w:val="36"/>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38"/>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30"/>
        </w:rPr>
        <w:t xml:space="preserve"> </w:t>
      </w:r>
      <w:r w:rsidRPr="00585C2D">
        <w:rPr>
          <w:rFonts w:eastAsia="Arial" w:cstheme="minorHAnsi"/>
          <w:spacing w:val="2"/>
        </w:rPr>
        <w:t>a</w:t>
      </w:r>
      <w:r w:rsidRPr="00585C2D">
        <w:rPr>
          <w:rFonts w:eastAsia="Arial" w:cstheme="minorHAnsi"/>
          <w:spacing w:val="-2"/>
        </w:rPr>
        <w:t>r</w:t>
      </w:r>
      <w:r w:rsidRPr="00585C2D">
        <w:rPr>
          <w:rFonts w:eastAsia="Arial" w:cstheme="minorHAnsi"/>
        </w:rPr>
        <w:t xml:space="preserve">e </w:t>
      </w:r>
      <w:r w:rsidRPr="00585C2D">
        <w:rPr>
          <w:rFonts w:eastAsia="Arial" w:cstheme="minorHAnsi"/>
          <w:spacing w:val="2"/>
        </w:rPr>
        <w:t>en</w:t>
      </w:r>
      <w:r w:rsidRPr="00585C2D">
        <w:rPr>
          <w:rFonts w:eastAsia="Arial" w:cstheme="minorHAnsi"/>
          <w:spacing w:val="-5"/>
        </w:rPr>
        <w:t>c</w:t>
      </w:r>
      <w:r w:rsidRPr="00585C2D">
        <w:rPr>
          <w:rFonts w:eastAsia="Arial" w:cstheme="minorHAnsi"/>
          <w:spacing w:val="2"/>
        </w:rPr>
        <w:t>ou</w:t>
      </w:r>
      <w:r w:rsidRPr="00585C2D">
        <w:rPr>
          <w:rFonts w:eastAsia="Arial" w:cstheme="minorHAnsi"/>
          <w:spacing w:val="-2"/>
        </w:rPr>
        <w:t>r</w:t>
      </w:r>
      <w:r w:rsidRPr="00585C2D">
        <w:rPr>
          <w:rFonts w:eastAsia="Arial" w:cstheme="minorHAnsi"/>
          <w:spacing w:val="-3"/>
        </w:rPr>
        <w:t>a</w:t>
      </w:r>
      <w:r w:rsidRPr="00585C2D">
        <w:rPr>
          <w:rFonts w:eastAsia="Arial" w:cstheme="minorHAnsi"/>
          <w:spacing w:val="2"/>
        </w:rPr>
        <w:t>g</w:t>
      </w:r>
      <w:r w:rsidRPr="00585C2D">
        <w:rPr>
          <w:rFonts w:eastAsia="Arial" w:cstheme="minorHAnsi"/>
          <w:spacing w:val="-3"/>
        </w:rPr>
        <w:t>e</w:t>
      </w:r>
      <w:r w:rsidRPr="00585C2D">
        <w:rPr>
          <w:rFonts w:eastAsia="Arial" w:cstheme="minorHAnsi"/>
        </w:rPr>
        <w:t>d</w:t>
      </w:r>
      <w:r w:rsidRPr="00585C2D">
        <w:rPr>
          <w:rFonts w:eastAsia="Arial" w:cstheme="minorHAnsi"/>
          <w:spacing w:val="8"/>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8"/>
        </w:rPr>
        <w:t xml:space="preserve"> </w:t>
      </w:r>
      <w:r w:rsidRPr="00585C2D">
        <w:rPr>
          <w:rFonts w:eastAsia="Arial" w:cstheme="minorHAnsi"/>
          <w:spacing w:val="-1"/>
        </w:rPr>
        <w:t>i</w:t>
      </w:r>
      <w:r w:rsidRPr="00585C2D">
        <w:rPr>
          <w:rFonts w:eastAsia="Arial" w:cstheme="minorHAnsi"/>
          <w:spacing w:val="-3"/>
        </w:rPr>
        <w:t>d</w:t>
      </w:r>
      <w:r w:rsidRPr="00585C2D">
        <w:rPr>
          <w:rFonts w:eastAsia="Arial" w:cstheme="minorHAnsi"/>
          <w:spacing w:val="2"/>
        </w:rPr>
        <w:t>e</w:t>
      </w:r>
      <w:r w:rsidRPr="00585C2D">
        <w:rPr>
          <w:rFonts w:eastAsia="Arial" w:cstheme="minorHAnsi"/>
          <w:spacing w:val="-3"/>
        </w:rPr>
        <w:t>n</w:t>
      </w:r>
      <w:r w:rsidRPr="00585C2D">
        <w:rPr>
          <w:rFonts w:eastAsia="Arial" w:cstheme="minorHAnsi"/>
          <w:spacing w:val="1"/>
        </w:rPr>
        <w:t>t</w:t>
      </w:r>
      <w:r w:rsidRPr="00585C2D">
        <w:rPr>
          <w:rFonts w:eastAsia="Arial" w:cstheme="minorHAnsi"/>
          <w:spacing w:val="-6"/>
        </w:rPr>
        <w:t>i</w:t>
      </w:r>
      <w:r w:rsidRPr="00585C2D">
        <w:rPr>
          <w:rFonts w:eastAsia="Arial" w:cstheme="minorHAnsi"/>
          <w:spacing w:val="6"/>
        </w:rPr>
        <w:t>f</w:t>
      </w:r>
      <w:r w:rsidRPr="00585C2D">
        <w:rPr>
          <w:rFonts w:eastAsia="Arial" w:cstheme="minorHAnsi"/>
        </w:rPr>
        <w:t>y</w:t>
      </w:r>
      <w:r w:rsidRPr="00585C2D">
        <w:rPr>
          <w:rFonts w:eastAsia="Arial" w:cstheme="minorHAnsi"/>
          <w:spacing w:val="10"/>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3"/>
        </w:rPr>
        <w:t>d</w:t>
      </w:r>
      <w:r w:rsidRPr="00585C2D">
        <w:rPr>
          <w:rFonts w:eastAsia="Arial" w:cstheme="minorHAnsi"/>
          <w:spacing w:val="2"/>
        </w:rPr>
        <w:t>ua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nu</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 xml:space="preserve">l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3"/>
        </w:rPr>
        <w:t>n</w:t>
      </w:r>
      <w:r w:rsidRPr="00585C2D">
        <w:rPr>
          <w:rFonts w:eastAsia="Arial" w:cstheme="minorHAnsi"/>
          <w:spacing w:val="2"/>
        </w:rPr>
        <w:t>e</w:t>
      </w:r>
      <w:r w:rsidRPr="00585C2D">
        <w:rPr>
          <w:rFonts w:eastAsia="Arial" w:cstheme="minorHAnsi"/>
          <w:spacing w:val="-3"/>
        </w:rPr>
        <w:t>e</w:t>
      </w:r>
      <w:r w:rsidRPr="00585C2D">
        <w:rPr>
          <w:rFonts w:eastAsia="Arial" w:cstheme="minorHAnsi"/>
          <w:spacing w:val="2"/>
        </w:rPr>
        <w:t>d</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h</w:t>
      </w:r>
      <w:r w:rsidRPr="00585C2D">
        <w:rPr>
          <w:rFonts w:eastAsia="Arial" w:cstheme="minorHAnsi"/>
          <w:spacing w:val="-3"/>
        </w:rPr>
        <w:t>a</w:t>
      </w:r>
      <w:r w:rsidRPr="00585C2D">
        <w:rPr>
          <w:rFonts w:eastAsia="Arial" w:cstheme="minorHAnsi"/>
          <w:spacing w:val="2"/>
        </w:rPr>
        <w:t>n</w:t>
      </w:r>
      <w:r w:rsidRPr="00585C2D">
        <w:rPr>
          <w:rFonts w:eastAsia="Arial" w:cstheme="minorHAnsi"/>
        </w:rPr>
        <w:t xml:space="preserve">ce </w:t>
      </w:r>
      <w:r w:rsidRPr="00585C2D">
        <w:rPr>
          <w:rFonts w:eastAsia="Arial" w:cstheme="minorHAnsi"/>
          <w:spacing w:val="1"/>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3"/>
        </w:rPr>
        <w:t>e</w:t>
      </w:r>
      <w:r w:rsidRPr="00585C2D">
        <w:rPr>
          <w:rFonts w:eastAsia="Arial" w:cstheme="minorHAnsi"/>
          <w:spacing w:val="1"/>
        </w:rPr>
        <w:t>ff</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e</w:t>
      </w:r>
      <w:r w:rsidRPr="00585C2D">
        <w:rPr>
          <w:rFonts w:eastAsia="Arial" w:cstheme="minorHAnsi"/>
        </w:rPr>
        <w:t>ss</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spacing w:val="2"/>
        </w:rPr>
        <w:t>dd</w:t>
      </w:r>
      <w:r w:rsidRPr="00585C2D">
        <w:rPr>
          <w:rFonts w:eastAsia="Arial" w:cstheme="minorHAnsi"/>
          <w:spacing w:val="-6"/>
        </w:rPr>
        <w:t>r</w:t>
      </w:r>
      <w:r w:rsidRPr="00585C2D">
        <w:rPr>
          <w:rFonts w:eastAsia="Arial" w:cstheme="minorHAnsi"/>
          <w:spacing w:val="2"/>
        </w:rPr>
        <w:t>e</w:t>
      </w:r>
      <w:r w:rsidRPr="00585C2D">
        <w:rPr>
          <w:rFonts w:eastAsia="Arial" w:cstheme="minorHAnsi"/>
        </w:rPr>
        <w:t>ss</w:t>
      </w:r>
      <w:r w:rsidRPr="00585C2D">
        <w:rPr>
          <w:rFonts w:eastAsia="Arial" w:cstheme="minorHAnsi"/>
          <w:spacing w:val="1"/>
        </w:rPr>
        <w:t xml:space="preserve"> </w:t>
      </w:r>
      <w:r w:rsidRPr="00585C2D">
        <w:rPr>
          <w:rFonts w:eastAsia="Arial" w:cstheme="minorHAnsi"/>
        </w:rPr>
        <w:t>sk</w:t>
      </w:r>
      <w:r w:rsidRPr="00585C2D">
        <w:rPr>
          <w:rFonts w:eastAsia="Arial" w:cstheme="minorHAnsi"/>
          <w:spacing w:val="-1"/>
        </w:rPr>
        <w:t>il</w:t>
      </w:r>
      <w:r w:rsidRPr="00585C2D">
        <w:rPr>
          <w:rFonts w:eastAsia="Arial" w:cstheme="minorHAnsi"/>
        </w:rPr>
        <w:t xml:space="preserve">l </w:t>
      </w:r>
      <w:r w:rsidRPr="00585C2D">
        <w:rPr>
          <w:rFonts w:eastAsia="Arial" w:cstheme="minorHAnsi"/>
          <w:spacing w:val="-3"/>
        </w:rPr>
        <w:t>g</w:t>
      </w:r>
      <w:r w:rsidRPr="00585C2D">
        <w:rPr>
          <w:rFonts w:eastAsia="Arial" w:cstheme="minorHAnsi"/>
          <w:spacing w:val="2"/>
        </w:rPr>
        <w:t>a</w:t>
      </w:r>
      <w:r w:rsidRPr="00585C2D">
        <w:rPr>
          <w:rFonts w:eastAsia="Arial" w:cstheme="minorHAnsi"/>
          <w:spacing w:val="-3"/>
        </w:rPr>
        <w:t>p</w:t>
      </w:r>
      <w:r w:rsidRPr="00585C2D">
        <w:rPr>
          <w:rFonts w:eastAsia="Arial" w:cstheme="minorHAnsi"/>
        </w:rPr>
        <w:t>s</w:t>
      </w:r>
      <w:r w:rsidRPr="00585C2D">
        <w:rPr>
          <w:rFonts w:eastAsia="Arial" w:cstheme="minorHAnsi"/>
          <w:spacing w:val="5"/>
        </w:rPr>
        <w:t xml:space="preserve"> </w:t>
      </w:r>
      <w:r w:rsidRPr="00585C2D">
        <w:rPr>
          <w:rFonts w:eastAsia="Arial" w:cstheme="minorHAnsi"/>
          <w:spacing w:val="2"/>
        </w:rPr>
        <w:t>a</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3"/>
        </w:rPr>
        <w:t>q</w:t>
      </w:r>
      <w:r w:rsidRPr="00585C2D">
        <w:rPr>
          <w:rFonts w:eastAsia="Arial" w:cstheme="minorHAnsi"/>
          <w:spacing w:val="2"/>
        </w:rPr>
        <w:t>u</w:t>
      </w:r>
      <w:r w:rsidRPr="00585C2D">
        <w:rPr>
          <w:rFonts w:eastAsia="Arial" w:cstheme="minorHAnsi"/>
          <w:spacing w:val="-6"/>
        </w:rPr>
        <w:t>i</w:t>
      </w:r>
      <w:r w:rsidRPr="00585C2D">
        <w:rPr>
          <w:rFonts w:eastAsia="Arial" w:cstheme="minorHAnsi"/>
          <w:spacing w:val="-2"/>
        </w:rPr>
        <w:t>r</w:t>
      </w:r>
      <w:r w:rsidRPr="00585C2D">
        <w:rPr>
          <w:rFonts w:eastAsia="Arial" w:cstheme="minorHAnsi"/>
          <w:spacing w:val="2"/>
        </w:rPr>
        <w:t>e</w:t>
      </w:r>
      <w:r w:rsidRPr="00585C2D">
        <w:rPr>
          <w:rFonts w:eastAsia="Arial" w:cstheme="minorHAnsi"/>
          <w:spacing w:val="4"/>
        </w:rPr>
        <w:t>d</w:t>
      </w:r>
      <w:r w:rsidRPr="00585C2D">
        <w:rPr>
          <w:rFonts w:eastAsia="Arial" w:cstheme="minorHAnsi"/>
        </w:rPr>
        <w:t>.</w:t>
      </w:r>
    </w:p>
    <w:p w14:paraId="5501FB4F" w14:textId="77777777" w:rsidR="00FC0CF1" w:rsidRPr="00585C2D" w:rsidRDefault="00FC0CF1" w:rsidP="00FC0CF1">
      <w:pPr>
        <w:spacing w:after="120" w:line="241" w:lineRule="auto"/>
        <w:ind w:left="1276" w:hanging="425"/>
        <w:jc w:val="both"/>
        <w:rPr>
          <w:rFonts w:eastAsia="Arial" w:cstheme="minorHAnsi"/>
        </w:rPr>
      </w:pPr>
      <w:r w:rsidRPr="00585C2D">
        <w:rPr>
          <w:rFonts w:eastAsia="Arial" w:cstheme="minorHAnsi"/>
          <w:spacing w:val="2"/>
        </w:rPr>
        <w:t>b</w:t>
      </w:r>
      <w:r>
        <w:rPr>
          <w:rFonts w:eastAsia="Arial" w:cstheme="minorHAnsi"/>
        </w:rPr>
        <w:t>.</w:t>
      </w:r>
      <w:r>
        <w:rPr>
          <w:rFonts w:eastAsia="Arial" w:cstheme="minorHAnsi"/>
        </w:rPr>
        <w:tab/>
      </w:r>
      <w:r w:rsidRPr="00585C2D">
        <w:rPr>
          <w:rFonts w:eastAsia="Arial" w:cstheme="minorHAnsi"/>
          <w:spacing w:val="1"/>
        </w:rPr>
        <w:t>A</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3"/>
        </w:rPr>
        <w:t>n</w:t>
      </w:r>
      <w:r w:rsidRPr="00585C2D">
        <w:rPr>
          <w:rFonts w:eastAsia="Arial" w:cstheme="minorHAnsi"/>
          <w:spacing w:val="2"/>
        </w:rPr>
        <w:t>e</w:t>
      </w:r>
      <w:r w:rsidRPr="00585C2D">
        <w:rPr>
          <w:rFonts w:eastAsia="Arial" w:cstheme="minorHAnsi"/>
          <w:spacing w:val="-3"/>
        </w:rPr>
        <w:t>e</w:t>
      </w:r>
      <w:r w:rsidRPr="00585C2D">
        <w:rPr>
          <w:rFonts w:eastAsia="Arial" w:cstheme="minorHAnsi"/>
          <w:spacing w:val="2"/>
        </w:rPr>
        <w:t>d</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1"/>
        </w:rPr>
        <w:t>i</w:t>
      </w:r>
      <w:r w:rsidRPr="00585C2D">
        <w:rPr>
          <w:rFonts w:eastAsia="Arial" w:cstheme="minorHAnsi"/>
          <w:spacing w:val="2"/>
        </w:rPr>
        <w:t>nd</w:t>
      </w:r>
      <w:r w:rsidRPr="00585C2D">
        <w:rPr>
          <w:rFonts w:eastAsia="Arial" w:cstheme="minorHAnsi"/>
          <w:spacing w:val="-1"/>
        </w:rPr>
        <w:t>i</w:t>
      </w:r>
      <w:r w:rsidRPr="00585C2D">
        <w:rPr>
          <w:rFonts w:eastAsia="Arial" w:cstheme="minorHAnsi"/>
        </w:rPr>
        <w:t>v</w:t>
      </w:r>
      <w:r w:rsidRPr="00585C2D">
        <w:rPr>
          <w:rFonts w:eastAsia="Arial" w:cstheme="minorHAnsi"/>
          <w:spacing w:val="-6"/>
        </w:rPr>
        <w:t>i</w:t>
      </w:r>
      <w:r w:rsidRPr="00585C2D">
        <w:rPr>
          <w:rFonts w:eastAsia="Arial" w:cstheme="minorHAnsi"/>
          <w:spacing w:val="2"/>
        </w:rPr>
        <w:t>d</w:t>
      </w:r>
      <w:r w:rsidRPr="00585C2D">
        <w:rPr>
          <w:rFonts w:eastAsia="Arial" w:cstheme="minorHAnsi"/>
          <w:spacing w:val="-3"/>
        </w:rPr>
        <w:t>u</w:t>
      </w:r>
      <w:r w:rsidRPr="00585C2D">
        <w:rPr>
          <w:rFonts w:eastAsia="Arial" w:cstheme="minorHAnsi"/>
          <w:spacing w:val="2"/>
        </w:rPr>
        <w:t>a</w:t>
      </w:r>
      <w:r w:rsidRPr="00585C2D">
        <w:rPr>
          <w:rFonts w:eastAsia="Arial" w:cstheme="minorHAnsi"/>
        </w:rPr>
        <w:t>l</w:t>
      </w:r>
      <w:r w:rsidRPr="00585C2D">
        <w:rPr>
          <w:rFonts w:eastAsia="Arial" w:cstheme="minorHAnsi"/>
          <w:spacing w:val="10"/>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9"/>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7"/>
        </w:rPr>
        <w:t xml:space="preserve"> </w:t>
      </w:r>
      <w:r w:rsidRPr="00585C2D">
        <w:rPr>
          <w:rFonts w:eastAsia="Arial" w:cstheme="minorHAnsi"/>
          <w:spacing w:val="-2"/>
        </w:rPr>
        <w:t>m</w:t>
      </w:r>
      <w:r w:rsidRPr="00585C2D">
        <w:rPr>
          <w:rFonts w:eastAsia="Arial" w:cstheme="minorHAnsi"/>
          <w:spacing w:val="2"/>
        </w:rPr>
        <w:t>a</w:t>
      </w:r>
      <w:r w:rsidRPr="00585C2D">
        <w:rPr>
          <w:rFonts w:eastAsia="Arial" w:cstheme="minorHAnsi"/>
        </w:rPr>
        <w:t>y</w:t>
      </w:r>
      <w:r w:rsidRPr="00585C2D">
        <w:rPr>
          <w:rFonts w:eastAsia="Arial" w:cstheme="minorHAnsi"/>
          <w:spacing w:val="1"/>
        </w:rPr>
        <w:t xml:space="preserve"> </w:t>
      </w:r>
      <w:r w:rsidRPr="00585C2D">
        <w:rPr>
          <w:rFonts w:eastAsia="Arial" w:cstheme="minorHAnsi"/>
        </w:rPr>
        <w:t>v</w:t>
      </w:r>
      <w:r w:rsidRPr="00585C2D">
        <w:rPr>
          <w:rFonts w:eastAsia="Arial" w:cstheme="minorHAnsi"/>
          <w:spacing w:val="2"/>
        </w:rPr>
        <w:t>a</w:t>
      </w:r>
      <w:r w:rsidRPr="00585C2D">
        <w:rPr>
          <w:rFonts w:eastAsia="Arial" w:cstheme="minorHAnsi"/>
          <w:spacing w:val="-2"/>
        </w:rPr>
        <w:t>r</w:t>
      </w:r>
      <w:r w:rsidRPr="00585C2D">
        <w:rPr>
          <w:rFonts w:eastAsia="Arial" w:cstheme="minorHAnsi"/>
        </w:rPr>
        <w:t>y,</w:t>
      </w:r>
      <w:r w:rsidRPr="00585C2D">
        <w:rPr>
          <w:rFonts w:eastAsia="Arial" w:cstheme="minorHAnsi"/>
          <w:spacing w:val="7"/>
        </w:rPr>
        <w:t xml:space="preserve"> </w:t>
      </w:r>
      <w:r w:rsidRPr="00585C2D">
        <w:rPr>
          <w:rFonts w:eastAsia="Arial" w:cstheme="minorHAnsi"/>
          <w:spacing w:val="-3"/>
        </w:rPr>
        <w:t>e</w:t>
      </w:r>
      <w:r w:rsidRPr="00585C2D">
        <w:rPr>
          <w:rFonts w:eastAsia="Arial" w:cstheme="minorHAnsi"/>
          <w:spacing w:val="2"/>
        </w:rPr>
        <w:t>a</w:t>
      </w:r>
      <w:r w:rsidRPr="00585C2D">
        <w:rPr>
          <w:rFonts w:eastAsia="Arial" w:cstheme="minorHAnsi"/>
        </w:rPr>
        <w:t>ch</w:t>
      </w:r>
      <w:r w:rsidRPr="00585C2D">
        <w:rPr>
          <w:rFonts w:eastAsia="Arial" w:cstheme="minorHAnsi"/>
          <w:spacing w:val="5"/>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9"/>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3"/>
        </w:rPr>
        <w:t>b</w:t>
      </w:r>
      <w:r w:rsidRPr="00585C2D">
        <w:rPr>
          <w:rFonts w:eastAsia="Arial" w:cstheme="minorHAnsi"/>
          <w:spacing w:val="2"/>
        </w:rPr>
        <w:t>e</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2"/>
        </w:rPr>
        <w:t>en</w:t>
      </w:r>
      <w:r w:rsidRPr="00585C2D">
        <w:rPr>
          <w:rFonts w:eastAsia="Arial" w:cstheme="minorHAnsi"/>
          <w:spacing w:val="-5"/>
        </w:rPr>
        <w:t>c</w:t>
      </w:r>
      <w:r w:rsidRPr="00585C2D">
        <w:rPr>
          <w:rFonts w:eastAsia="Arial" w:cstheme="minorHAnsi"/>
          <w:spacing w:val="2"/>
        </w:rPr>
        <w:t>ou</w:t>
      </w:r>
      <w:r w:rsidRPr="00585C2D">
        <w:rPr>
          <w:rFonts w:eastAsia="Arial" w:cstheme="minorHAnsi"/>
          <w:spacing w:val="-6"/>
        </w:rPr>
        <w:t>r</w:t>
      </w:r>
      <w:r w:rsidRPr="00585C2D">
        <w:rPr>
          <w:rFonts w:eastAsia="Arial" w:cstheme="minorHAnsi"/>
          <w:spacing w:val="2"/>
        </w:rPr>
        <w:t>a</w:t>
      </w:r>
      <w:r w:rsidRPr="00585C2D">
        <w:rPr>
          <w:rFonts w:eastAsia="Arial" w:cstheme="minorHAnsi"/>
          <w:spacing w:val="-3"/>
        </w:rPr>
        <w:t>g</w:t>
      </w:r>
      <w:r w:rsidRPr="00585C2D">
        <w:rPr>
          <w:rFonts w:eastAsia="Arial" w:cstheme="minorHAnsi"/>
          <w:spacing w:val="2"/>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rPr>
        <w:t>o s</w:t>
      </w:r>
      <w:r w:rsidRPr="00585C2D">
        <w:rPr>
          <w:rFonts w:eastAsia="Arial" w:cstheme="minorHAnsi"/>
          <w:spacing w:val="2"/>
        </w:rPr>
        <w:t>ee</w:t>
      </w:r>
      <w:r w:rsidRPr="00585C2D">
        <w:rPr>
          <w:rFonts w:eastAsia="Arial" w:cstheme="minorHAnsi"/>
        </w:rPr>
        <w:t>k</w:t>
      </w:r>
      <w:r w:rsidRPr="00585C2D">
        <w:rPr>
          <w:rFonts w:eastAsia="Arial" w:cstheme="minorHAnsi"/>
          <w:spacing w:val="25"/>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1"/>
        </w:rPr>
        <w:t xml:space="preserve"> </w:t>
      </w:r>
      <w:r w:rsidRPr="00585C2D">
        <w:rPr>
          <w:rFonts w:eastAsia="Arial" w:cstheme="minorHAnsi"/>
          <w:spacing w:val="-3"/>
        </w:rPr>
        <w:t>a</w:t>
      </w:r>
      <w:r w:rsidRPr="00585C2D">
        <w:rPr>
          <w:rFonts w:eastAsia="Arial" w:cstheme="minorHAnsi"/>
        </w:rPr>
        <w:t>ss</w:t>
      </w:r>
      <w:r w:rsidRPr="00585C2D">
        <w:rPr>
          <w:rFonts w:eastAsia="Arial" w:cstheme="minorHAnsi"/>
          <w:spacing w:val="-1"/>
        </w:rPr>
        <w:t>i</w:t>
      </w:r>
      <w:r w:rsidRPr="00585C2D">
        <w:rPr>
          <w:rFonts w:eastAsia="Arial" w:cstheme="minorHAnsi"/>
        </w:rPr>
        <w:t>s</w:t>
      </w:r>
      <w:r w:rsidRPr="00585C2D">
        <w:rPr>
          <w:rFonts w:eastAsia="Arial" w:cstheme="minorHAnsi"/>
          <w:spacing w:val="1"/>
        </w:rPr>
        <w:t>t</w:t>
      </w:r>
      <w:r w:rsidRPr="00585C2D">
        <w:rPr>
          <w:rFonts w:eastAsia="Arial" w:cstheme="minorHAnsi"/>
          <w:spacing w:val="-3"/>
        </w:rPr>
        <w:t>a</w:t>
      </w:r>
      <w:r w:rsidRPr="00585C2D">
        <w:rPr>
          <w:rFonts w:eastAsia="Arial" w:cstheme="minorHAnsi"/>
          <w:spacing w:val="2"/>
        </w:rPr>
        <w:t>n</w:t>
      </w:r>
      <w:r w:rsidRPr="00585C2D">
        <w:rPr>
          <w:rFonts w:eastAsia="Arial" w:cstheme="minorHAnsi"/>
        </w:rPr>
        <w:t>ce</w:t>
      </w:r>
      <w:r w:rsidRPr="00585C2D">
        <w:rPr>
          <w:rFonts w:eastAsia="Arial" w:cstheme="minorHAnsi"/>
          <w:spacing w:val="2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1"/>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31"/>
        </w:rPr>
        <w:t xml:space="preserve"> </w:t>
      </w:r>
      <w:r w:rsidRPr="00585C2D">
        <w:rPr>
          <w:rFonts w:eastAsia="Arial" w:cstheme="minorHAnsi"/>
          <w:spacing w:val="-6"/>
        </w:rPr>
        <w:t>C</w:t>
      </w:r>
      <w:r w:rsidRPr="00585C2D">
        <w:rPr>
          <w:rFonts w:eastAsia="Arial" w:cstheme="minorHAnsi"/>
          <w:spacing w:val="1"/>
        </w:rPr>
        <w:t>E</w:t>
      </w:r>
      <w:r w:rsidRPr="00585C2D">
        <w:rPr>
          <w:rFonts w:eastAsia="Arial" w:cstheme="minorHAnsi"/>
        </w:rPr>
        <w:t>O</w:t>
      </w:r>
      <w:r w:rsidRPr="00585C2D">
        <w:rPr>
          <w:rFonts w:eastAsia="Arial" w:cstheme="minorHAnsi"/>
          <w:spacing w:val="31"/>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1"/>
        </w:rPr>
        <w:t xml:space="preserve"> </w:t>
      </w:r>
      <w:r w:rsidRPr="00585C2D">
        <w:rPr>
          <w:rFonts w:eastAsia="Arial" w:cstheme="minorHAnsi"/>
          <w:spacing w:val="-6"/>
        </w:rPr>
        <w:t>M</w:t>
      </w:r>
      <w:r w:rsidRPr="00585C2D">
        <w:rPr>
          <w:rFonts w:eastAsia="Arial" w:cstheme="minorHAnsi"/>
          <w:spacing w:val="2"/>
        </w:rPr>
        <w:t>a</w:t>
      </w:r>
      <w:r w:rsidRPr="00585C2D">
        <w:rPr>
          <w:rFonts w:eastAsia="Arial" w:cstheme="minorHAnsi"/>
        </w:rPr>
        <w:t>y</w:t>
      </w:r>
      <w:r w:rsidRPr="00585C2D">
        <w:rPr>
          <w:rFonts w:eastAsia="Arial" w:cstheme="minorHAnsi"/>
          <w:spacing w:val="2"/>
        </w:rPr>
        <w:t>o</w:t>
      </w:r>
      <w:r w:rsidRPr="00585C2D">
        <w:rPr>
          <w:rFonts w:eastAsia="Arial" w:cstheme="minorHAnsi"/>
        </w:rPr>
        <w:t>r</w:t>
      </w:r>
      <w:r w:rsidRPr="00585C2D">
        <w:rPr>
          <w:rFonts w:eastAsia="Arial" w:cstheme="minorHAnsi"/>
          <w:spacing w:val="30"/>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27"/>
        </w:rPr>
        <w:t xml:space="preserve"> </w:t>
      </w:r>
      <w:r w:rsidRPr="00585C2D">
        <w:rPr>
          <w:rFonts w:eastAsia="Arial" w:cstheme="minorHAnsi"/>
          <w:spacing w:val="-3"/>
        </w:rPr>
        <w:t>a</w:t>
      </w:r>
      <w:r w:rsidRPr="00585C2D">
        <w:rPr>
          <w:rFonts w:eastAsia="Arial" w:cstheme="minorHAnsi"/>
          <w:spacing w:val="2"/>
        </w:rPr>
        <w:t>na</w:t>
      </w:r>
      <w:r w:rsidRPr="00585C2D">
        <w:rPr>
          <w:rFonts w:eastAsia="Arial" w:cstheme="minorHAnsi"/>
          <w:spacing w:val="-1"/>
        </w:rPr>
        <w:t>l</w:t>
      </w:r>
      <w:r w:rsidRPr="00585C2D">
        <w:rPr>
          <w:rFonts w:eastAsia="Arial" w:cstheme="minorHAnsi"/>
        </w:rPr>
        <w:t>ys</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31"/>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r</w:t>
      </w:r>
      <w:r w:rsidRPr="00585C2D">
        <w:rPr>
          <w:rFonts w:eastAsia="Arial" w:cstheme="minorHAnsi"/>
          <w:spacing w:val="23"/>
        </w:rPr>
        <w:t xml:space="preserve"> </w:t>
      </w:r>
      <w:proofErr w:type="gramStart"/>
      <w:r w:rsidRPr="00585C2D">
        <w:rPr>
          <w:rFonts w:eastAsia="Arial" w:cstheme="minorHAnsi"/>
          <w:spacing w:val="2"/>
        </w:rPr>
        <w:t>pa</w:t>
      </w:r>
      <w:r w:rsidRPr="00585C2D">
        <w:rPr>
          <w:rFonts w:eastAsia="Arial" w:cstheme="minorHAnsi"/>
          <w:spacing w:val="-2"/>
        </w:rPr>
        <w:t>r</w:t>
      </w:r>
      <w:r w:rsidRPr="00585C2D">
        <w:rPr>
          <w:rFonts w:eastAsia="Arial" w:cstheme="minorHAnsi"/>
          <w:spacing w:val="1"/>
        </w:rPr>
        <w:t>t</w:t>
      </w:r>
      <w:r w:rsidRPr="00585C2D">
        <w:rPr>
          <w:rFonts w:eastAsia="Arial" w:cstheme="minorHAnsi"/>
          <w:spacing w:val="-1"/>
        </w:rPr>
        <w:t>i</w:t>
      </w:r>
      <w:r w:rsidRPr="00585C2D">
        <w:rPr>
          <w:rFonts w:eastAsia="Arial" w:cstheme="minorHAnsi"/>
          <w:spacing w:val="-5"/>
        </w:rPr>
        <w:t>c</w:t>
      </w:r>
      <w:r w:rsidRPr="00585C2D">
        <w:rPr>
          <w:rFonts w:eastAsia="Arial" w:cstheme="minorHAnsi"/>
          <w:spacing w:val="2"/>
        </w:rPr>
        <w:t>u</w:t>
      </w:r>
      <w:r w:rsidRPr="00585C2D">
        <w:rPr>
          <w:rFonts w:eastAsia="Arial" w:cstheme="minorHAnsi"/>
          <w:spacing w:val="-1"/>
        </w:rPr>
        <w:t>l</w:t>
      </w:r>
      <w:r w:rsidRPr="00585C2D">
        <w:rPr>
          <w:rFonts w:eastAsia="Arial" w:cstheme="minorHAnsi"/>
          <w:spacing w:val="2"/>
        </w:rPr>
        <w:t>a</w:t>
      </w:r>
      <w:r w:rsidRPr="00585C2D">
        <w:rPr>
          <w:rFonts w:eastAsia="Arial" w:cstheme="minorHAnsi"/>
        </w:rPr>
        <w:t>r</w:t>
      </w:r>
      <w:r w:rsidRPr="00585C2D">
        <w:rPr>
          <w:rFonts w:eastAsia="Arial" w:cstheme="minorHAnsi"/>
          <w:spacing w:val="28"/>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qu</w:t>
      </w:r>
      <w:r w:rsidRPr="00585C2D">
        <w:rPr>
          <w:rFonts w:eastAsia="Arial" w:cstheme="minorHAnsi"/>
          <w:spacing w:val="-1"/>
        </w:rPr>
        <w:t>i</w:t>
      </w:r>
      <w:r w:rsidRPr="00585C2D">
        <w:rPr>
          <w:rFonts w:eastAsia="Arial" w:cstheme="minorHAnsi"/>
          <w:spacing w:val="-2"/>
        </w:rPr>
        <w:t>r</w:t>
      </w:r>
      <w:r w:rsidRPr="00585C2D">
        <w:rPr>
          <w:rFonts w:eastAsia="Arial" w:cstheme="minorHAnsi"/>
          <w:spacing w:val="2"/>
        </w:rPr>
        <w:t>e</w:t>
      </w:r>
      <w:r w:rsidRPr="00585C2D">
        <w:rPr>
          <w:rFonts w:eastAsia="Arial" w:cstheme="minorHAnsi"/>
          <w:spacing w:val="-6"/>
        </w:rPr>
        <w:t>m</w:t>
      </w:r>
      <w:r w:rsidRPr="00585C2D">
        <w:rPr>
          <w:rFonts w:eastAsia="Arial" w:cstheme="minorHAnsi"/>
          <w:spacing w:val="2"/>
        </w:rPr>
        <w:t>en</w:t>
      </w:r>
      <w:r w:rsidRPr="00585C2D">
        <w:rPr>
          <w:rFonts w:eastAsia="Arial" w:cstheme="minorHAnsi"/>
          <w:spacing w:val="-4"/>
        </w:rPr>
        <w:t>t</w:t>
      </w:r>
      <w:r w:rsidRPr="00585C2D">
        <w:rPr>
          <w:rFonts w:eastAsia="Arial" w:cstheme="minorHAnsi"/>
        </w:rPr>
        <w:t>s</w:t>
      </w:r>
      <w:proofErr w:type="gramEnd"/>
      <w:r w:rsidRPr="00585C2D">
        <w:rPr>
          <w:rFonts w:eastAsia="Arial" w:cstheme="minorHAnsi"/>
          <w:spacing w:val="30"/>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7"/>
        </w:rPr>
        <w:t xml:space="preserve"> </w:t>
      </w:r>
      <w:r w:rsidRPr="00585C2D">
        <w:rPr>
          <w:rFonts w:eastAsia="Arial" w:cstheme="minorHAnsi"/>
          <w:spacing w:val="-1"/>
        </w:rPr>
        <w:t>i</w:t>
      </w:r>
      <w:r w:rsidRPr="00585C2D">
        <w:rPr>
          <w:rFonts w:eastAsia="Arial" w:cstheme="minorHAnsi"/>
        </w:rPr>
        <w:t xml:space="preserve">n </w:t>
      </w:r>
      <w:r w:rsidRPr="00585C2D">
        <w:rPr>
          <w:rFonts w:eastAsia="Arial" w:cstheme="minorHAnsi"/>
          <w:spacing w:val="-1"/>
        </w:rPr>
        <w:t>i</w:t>
      </w:r>
      <w:r w:rsidRPr="00585C2D">
        <w:rPr>
          <w:rFonts w:eastAsia="Arial" w:cstheme="minorHAnsi"/>
          <w:spacing w:val="2"/>
        </w:rPr>
        <w:t>de</w:t>
      </w:r>
      <w:r w:rsidRPr="00585C2D">
        <w:rPr>
          <w:rFonts w:eastAsia="Arial" w:cstheme="minorHAnsi"/>
          <w:spacing w:val="-3"/>
        </w:rPr>
        <w:t>n</w:t>
      </w:r>
      <w:r w:rsidRPr="00585C2D">
        <w:rPr>
          <w:rFonts w:eastAsia="Arial" w:cstheme="minorHAnsi"/>
          <w:spacing w:val="1"/>
        </w:rPr>
        <w:t>t</w:t>
      </w:r>
      <w:r w:rsidRPr="00585C2D">
        <w:rPr>
          <w:rFonts w:eastAsia="Arial" w:cstheme="minorHAnsi"/>
          <w:spacing w:val="-6"/>
        </w:rPr>
        <w:t>i</w:t>
      </w:r>
      <w:r w:rsidRPr="00585C2D">
        <w:rPr>
          <w:rFonts w:eastAsia="Arial" w:cstheme="minorHAnsi"/>
          <w:spacing w:val="6"/>
        </w:rPr>
        <w:t>f</w:t>
      </w:r>
      <w:r w:rsidRPr="00585C2D">
        <w:rPr>
          <w:rFonts w:eastAsia="Arial" w:cstheme="minorHAnsi"/>
        </w:rPr>
        <w:t>y</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3"/>
        </w:rPr>
        <w:t>a</w:t>
      </w:r>
      <w:r w:rsidRPr="00585C2D">
        <w:rPr>
          <w:rFonts w:eastAsia="Arial" w:cstheme="minorHAnsi"/>
          <w:spacing w:val="2"/>
        </w:rPr>
        <w:t>pp</w:t>
      </w:r>
      <w:r w:rsidRPr="00585C2D">
        <w:rPr>
          <w:rFonts w:eastAsia="Arial" w:cstheme="minorHAnsi"/>
          <w:spacing w:val="-6"/>
        </w:rPr>
        <w:t>r</w:t>
      </w:r>
      <w:r w:rsidRPr="00585C2D">
        <w:rPr>
          <w:rFonts w:eastAsia="Arial" w:cstheme="minorHAnsi"/>
          <w:spacing w:val="2"/>
        </w:rPr>
        <w:t>op</w:t>
      </w:r>
      <w:r w:rsidRPr="00585C2D">
        <w:rPr>
          <w:rFonts w:eastAsia="Arial" w:cstheme="minorHAnsi"/>
          <w:spacing w:val="-2"/>
        </w:rPr>
        <w:t>r</w:t>
      </w:r>
      <w:r w:rsidRPr="00585C2D">
        <w:rPr>
          <w:rFonts w:eastAsia="Arial" w:cstheme="minorHAnsi"/>
          <w:spacing w:val="-1"/>
        </w:rPr>
        <w:t>i</w:t>
      </w:r>
      <w:r w:rsidRPr="00585C2D">
        <w:rPr>
          <w:rFonts w:eastAsia="Arial" w:cstheme="minorHAnsi"/>
          <w:spacing w:val="-3"/>
        </w:rPr>
        <w:t>a</w:t>
      </w:r>
      <w:r w:rsidRPr="00585C2D">
        <w:rPr>
          <w:rFonts w:eastAsia="Arial" w:cstheme="minorHAnsi"/>
          <w:spacing w:val="1"/>
        </w:rPr>
        <w:t>t</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5"/>
        </w:rPr>
        <w:t>c</w:t>
      </w:r>
      <w:r w:rsidRPr="00585C2D">
        <w:rPr>
          <w:rFonts w:eastAsia="Arial" w:cstheme="minorHAnsi"/>
          <w:spacing w:val="2"/>
        </w:rPr>
        <w:t>ou</w:t>
      </w:r>
      <w:r w:rsidRPr="00585C2D">
        <w:rPr>
          <w:rFonts w:eastAsia="Arial" w:cstheme="minorHAnsi"/>
          <w:spacing w:val="-2"/>
        </w:rPr>
        <w:t>r</w:t>
      </w:r>
      <w:r w:rsidRPr="00585C2D">
        <w:rPr>
          <w:rFonts w:eastAsia="Arial" w:cstheme="minorHAnsi"/>
          <w:spacing w:val="-5"/>
        </w:rPr>
        <w:t>s</w:t>
      </w:r>
      <w:r w:rsidRPr="00585C2D">
        <w:rPr>
          <w:rFonts w:eastAsia="Arial" w:cstheme="minorHAnsi"/>
          <w:spacing w:val="2"/>
        </w:rPr>
        <w:t>e</w:t>
      </w:r>
      <w:r w:rsidRPr="00585C2D">
        <w:rPr>
          <w:rFonts w:eastAsia="Arial" w:cstheme="minorHAnsi"/>
        </w:rPr>
        <w:t>s,</w:t>
      </w:r>
      <w:r w:rsidRPr="00585C2D">
        <w:rPr>
          <w:rFonts w:eastAsia="Arial" w:cstheme="minorHAnsi"/>
          <w:spacing w:val="-3"/>
        </w:rPr>
        <w:t xml:space="preserve"> </w:t>
      </w:r>
      <w:r w:rsidRPr="00585C2D">
        <w:rPr>
          <w:rFonts w:eastAsia="Arial" w:cstheme="minorHAnsi"/>
        </w:rPr>
        <w:t>s</w:t>
      </w:r>
      <w:r w:rsidRPr="00585C2D">
        <w:rPr>
          <w:rFonts w:eastAsia="Arial" w:cstheme="minorHAnsi"/>
          <w:spacing w:val="2"/>
        </w:rPr>
        <w:t>e</w:t>
      </w:r>
      <w:r w:rsidRPr="00585C2D">
        <w:rPr>
          <w:rFonts w:eastAsia="Arial" w:cstheme="minorHAnsi"/>
          <w:spacing w:val="-2"/>
        </w:rPr>
        <w:t>m</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a</w:t>
      </w:r>
      <w:r w:rsidRPr="00585C2D">
        <w:rPr>
          <w:rFonts w:eastAsia="Arial" w:cstheme="minorHAnsi"/>
          <w:spacing w:val="-2"/>
        </w:rPr>
        <w:t>r</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2"/>
        </w:rPr>
        <w:t xml:space="preserve"> m</w:t>
      </w:r>
      <w:r w:rsidRPr="00585C2D">
        <w:rPr>
          <w:rFonts w:eastAsia="Arial" w:cstheme="minorHAnsi"/>
          <w:spacing w:val="-3"/>
        </w:rPr>
        <w:t>e</w:t>
      </w:r>
      <w:r w:rsidRPr="00585C2D">
        <w:rPr>
          <w:rFonts w:eastAsia="Arial" w:cstheme="minorHAnsi"/>
          <w:spacing w:val="2"/>
        </w:rPr>
        <w:t>e</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ho</w:t>
      </w:r>
      <w:r w:rsidRPr="00585C2D">
        <w:rPr>
          <w:rFonts w:eastAsia="Arial" w:cstheme="minorHAnsi"/>
          <w:spacing w:val="-5"/>
        </w:rPr>
        <w:t>s</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n</w:t>
      </w:r>
      <w:r w:rsidRPr="00585C2D">
        <w:rPr>
          <w:rFonts w:eastAsia="Arial" w:cstheme="minorHAnsi"/>
          <w:spacing w:val="-3"/>
        </w:rPr>
        <w:t>e</w:t>
      </w:r>
      <w:r w:rsidRPr="00585C2D">
        <w:rPr>
          <w:rFonts w:eastAsia="Arial" w:cstheme="minorHAnsi"/>
          <w:spacing w:val="2"/>
        </w:rPr>
        <w:t>ed</w:t>
      </w:r>
      <w:r w:rsidRPr="00585C2D">
        <w:rPr>
          <w:rFonts w:eastAsia="Arial" w:cstheme="minorHAnsi"/>
          <w:spacing w:val="-5"/>
        </w:rPr>
        <w:t>s</w:t>
      </w:r>
      <w:r w:rsidRPr="00585C2D">
        <w:rPr>
          <w:rFonts w:eastAsia="Arial" w:cstheme="minorHAnsi"/>
        </w:rPr>
        <w:t>.</w:t>
      </w:r>
    </w:p>
    <w:p w14:paraId="4812D7BF" w14:textId="77777777" w:rsidR="00FC0CF1" w:rsidRPr="00585C2D" w:rsidRDefault="00FC0CF1" w:rsidP="00FC0CF1">
      <w:pPr>
        <w:spacing w:line="240" w:lineRule="auto"/>
        <w:ind w:left="1276" w:hanging="425"/>
        <w:jc w:val="both"/>
        <w:rPr>
          <w:rFonts w:eastAsia="Arial" w:cstheme="minorHAnsi"/>
        </w:rPr>
      </w:pPr>
      <w:r>
        <w:rPr>
          <w:rFonts w:eastAsia="Arial" w:cstheme="minorHAnsi"/>
        </w:rPr>
        <w:t>c.</w:t>
      </w:r>
      <w:r>
        <w:rPr>
          <w:rFonts w:eastAsia="Arial" w:cstheme="minorHAnsi"/>
        </w:rPr>
        <w:tab/>
      </w:r>
      <w:r w:rsidRPr="00585C2D">
        <w:rPr>
          <w:rFonts w:eastAsia="Arial" w:cstheme="minorHAnsi"/>
          <w:spacing w:val="-4"/>
        </w:rPr>
        <w:t>I</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2"/>
        </w:rPr>
        <w:t>d</w:t>
      </w:r>
      <w:r w:rsidRPr="00585C2D">
        <w:rPr>
          <w:rFonts w:eastAsia="Arial" w:cstheme="minorHAnsi"/>
          <w:spacing w:val="-3"/>
        </w:rPr>
        <w:t>e</w:t>
      </w:r>
      <w:r w:rsidRPr="00585C2D">
        <w:rPr>
          <w:rFonts w:eastAsia="Arial" w:cstheme="minorHAnsi"/>
          <w:spacing w:val="1"/>
        </w:rPr>
        <w:t>t</w:t>
      </w:r>
      <w:r w:rsidRPr="00585C2D">
        <w:rPr>
          <w:rFonts w:eastAsia="Arial" w:cstheme="minorHAnsi"/>
          <w:spacing w:val="2"/>
        </w:rPr>
        <w:t>e</w:t>
      </w:r>
      <w:r w:rsidRPr="00585C2D">
        <w:rPr>
          <w:rFonts w:eastAsia="Arial" w:cstheme="minorHAnsi"/>
          <w:spacing w:val="-2"/>
        </w:rPr>
        <w:t>rm</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p</w:t>
      </w:r>
      <w:r w:rsidRPr="00585C2D">
        <w:rPr>
          <w:rFonts w:eastAsia="Arial" w:cstheme="minorHAnsi"/>
          <w:spacing w:val="-6"/>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6"/>
        </w:rPr>
        <w:t xml:space="preserve">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2"/>
        </w:rPr>
        <w:t xml:space="preserve"> 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spacing w:val="-5"/>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e</w:t>
      </w:r>
      <w:r w:rsidRPr="00585C2D">
        <w:rPr>
          <w:rFonts w:eastAsia="Arial" w:cstheme="minorHAnsi"/>
        </w:rPr>
        <w:t>s</w:t>
      </w:r>
      <w:r w:rsidRPr="00585C2D">
        <w:rPr>
          <w:rFonts w:eastAsia="Arial" w:cstheme="minorHAnsi"/>
          <w:spacing w:val="1"/>
        </w:rPr>
        <w:t xml:space="preserve"> f</w:t>
      </w:r>
      <w:r w:rsidRPr="00585C2D">
        <w:rPr>
          <w:rFonts w:eastAsia="Arial" w:cstheme="minorHAnsi"/>
          <w:spacing w:val="2"/>
        </w:rPr>
        <w:t>o</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3"/>
        </w:rPr>
        <w:t>d</w:t>
      </w:r>
      <w:r w:rsidRPr="00585C2D">
        <w:rPr>
          <w:rFonts w:eastAsia="Arial" w:cstheme="minorHAnsi"/>
          <w:spacing w:val="2"/>
        </w:rPr>
        <w:t>ua</w:t>
      </w:r>
      <w:r w:rsidRPr="00585C2D">
        <w:rPr>
          <w:rFonts w:eastAsia="Arial" w:cstheme="minorHAnsi"/>
          <w:spacing w:val="-1"/>
        </w:rPr>
        <w:t>l</w:t>
      </w:r>
      <w:r w:rsidRPr="00585C2D">
        <w:rPr>
          <w:rFonts w:eastAsia="Arial" w:cstheme="minorHAnsi"/>
        </w:rPr>
        <w:t>s,</w:t>
      </w:r>
      <w:r w:rsidRPr="00585C2D">
        <w:rPr>
          <w:rFonts w:eastAsia="Arial" w:cstheme="minorHAnsi"/>
          <w:spacing w:val="9"/>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3"/>
        </w:rPr>
        <w:t>e</w:t>
      </w:r>
      <w:r w:rsidRPr="00585C2D">
        <w:rPr>
          <w:rFonts w:eastAsia="Arial" w:cstheme="minorHAnsi"/>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9"/>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
        </w:rPr>
        <w:t xml:space="preserve"> </w:t>
      </w:r>
      <w:r w:rsidRPr="00585C2D">
        <w:rPr>
          <w:rFonts w:eastAsia="Arial" w:cstheme="minorHAnsi"/>
        </w:rPr>
        <w:t>s</w:t>
      </w:r>
      <w:r w:rsidRPr="00585C2D">
        <w:rPr>
          <w:rFonts w:eastAsia="Arial" w:cstheme="minorHAnsi"/>
          <w:spacing w:val="-3"/>
        </w:rPr>
        <w:t>h</w:t>
      </w:r>
      <w:r w:rsidRPr="00585C2D">
        <w:rPr>
          <w:rFonts w:eastAsia="Arial" w:cstheme="minorHAnsi"/>
          <w:spacing w:val="2"/>
        </w:rPr>
        <w:t>ou</w:t>
      </w:r>
      <w:r w:rsidRPr="00585C2D">
        <w:rPr>
          <w:rFonts w:eastAsia="Arial" w:cstheme="minorHAnsi"/>
          <w:spacing w:val="-6"/>
        </w:rPr>
        <w:t>l</w:t>
      </w:r>
      <w:r w:rsidRPr="00585C2D">
        <w:rPr>
          <w:rFonts w:eastAsia="Arial" w:cstheme="minorHAnsi"/>
        </w:rPr>
        <w:t>d c</w:t>
      </w:r>
      <w:r w:rsidRPr="00585C2D">
        <w:rPr>
          <w:rFonts w:eastAsia="Arial" w:cstheme="minorHAnsi"/>
          <w:spacing w:val="2"/>
        </w:rPr>
        <w:t>on</w:t>
      </w:r>
      <w:r w:rsidRPr="00585C2D">
        <w:rPr>
          <w:rFonts w:eastAsia="Arial" w:cstheme="minorHAnsi"/>
        </w:rPr>
        <w:t>s</w:t>
      </w:r>
      <w:r w:rsidRPr="00585C2D">
        <w:rPr>
          <w:rFonts w:eastAsia="Arial" w:cstheme="minorHAnsi"/>
          <w:spacing w:val="-6"/>
        </w:rPr>
        <w:t>i</w:t>
      </w:r>
      <w:r w:rsidRPr="00585C2D">
        <w:rPr>
          <w:rFonts w:eastAsia="Arial" w:cstheme="minorHAnsi"/>
          <w:spacing w:val="2"/>
        </w:rPr>
        <w:t>de</w:t>
      </w:r>
      <w:r w:rsidRPr="00585C2D">
        <w:rPr>
          <w:rFonts w:eastAsia="Arial" w:cstheme="minorHAnsi"/>
        </w:rPr>
        <w:t>r</w:t>
      </w:r>
      <w:r w:rsidRPr="00585C2D">
        <w:rPr>
          <w:rFonts w:eastAsia="Arial" w:cstheme="minorHAnsi"/>
          <w:spacing w:val="-10"/>
        </w:rPr>
        <w:t xml:space="preserve"> </w:t>
      </w:r>
      <w:r w:rsidRPr="00585C2D">
        <w:rPr>
          <w:rFonts w:eastAsia="Arial" w:cstheme="minorHAnsi"/>
          <w:spacing w:val="2"/>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rPr>
        <w:t>c</w:t>
      </w:r>
      <w:r w:rsidRPr="00585C2D">
        <w:rPr>
          <w:rFonts w:eastAsia="Arial" w:cstheme="minorHAnsi"/>
          <w:spacing w:val="2"/>
        </w:rPr>
        <w:t>u</w:t>
      </w:r>
      <w:r w:rsidRPr="00585C2D">
        <w:rPr>
          <w:rFonts w:eastAsia="Arial" w:cstheme="minorHAnsi"/>
          <w:spacing w:val="-2"/>
        </w:rPr>
        <w:t>rr</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1"/>
        </w:rPr>
        <w:t>f</w:t>
      </w:r>
      <w:r w:rsidRPr="00585C2D">
        <w:rPr>
          <w:rFonts w:eastAsia="Arial" w:cstheme="minorHAnsi"/>
          <w:spacing w:val="2"/>
        </w:rPr>
        <w:t>u</w:t>
      </w:r>
      <w:r w:rsidRPr="00585C2D">
        <w:rPr>
          <w:rFonts w:eastAsia="Arial" w:cstheme="minorHAnsi"/>
          <w:spacing w:val="-4"/>
        </w:rPr>
        <w:t>t</w:t>
      </w:r>
      <w:r w:rsidRPr="00585C2D">
        <w:rPr>
          <w:rFonts w:eastAsia="Arial" w:cstheme="minorHAnsi"/>
          <w:spacing w:val="2"/>
        </w:rPr>
        <w:t>u</w:t>
      </w:r>
      <w:r w:rsidRPr="00585C2D">
        <w:rPr>
          <w:rFonts w:eastAsia="Arial" w:cstheme="minorHAnsi"/>
          <w:spacing w:val="-2"/>
        </w:rPr>
        <w:t>r</w:t>
      </w:r>
      <w:r w:rsidRPr="00585C2D">
        <w:rPr>
          <w:rFonts w:eastAsia="Arial" w:cstheme="minorHAnsi"/>
        </w:rPr>
        <w:t>e</w:t>
      </w:r>
      <w:r w:rsidRPr="00585C2D">
        <w:rPr>
          <w:rFonts w:eastAsia="Arial" w:cstheme="minorHAnsi"/>
          <w:spacing w:val="-7"/>
        </w:rPr>
        <w:t xml:space="preserve"> </w:t>
      </w:r>
      <w:r w:rsidRPr="00585C2D">
        <w:rPr>
          <w:rFonts w:eastAsia="Arial" w:cstheme="minorHAnsi"/>
        </w:rPr>
        <w:t>s</w:t>
      </w:r>
      <w:r w:rsidRPr="00585C2D">
        <w:rPr>
          <w:rFonts w:eastAsia="Arial" w:cstheme="minorHAnsi"/>
          <w:spacing w:val="1"/>
        </w:rPr>
        <w:t>t</w:t>
      </w:r>
      <w:r w:rsidRPr="00585C2D">
        <w:rPr>
          <w:rFonts w:eastAsia="Arial" w:cstheme="minorHAnsi"/>
          <w:spacing w:val="-2"/>
        </w:rPr>
        <w:t>r</w:t>
      </w:r>
      <w:r w:rsidRPr="00585C2D">
        <w:rPr>
          <w:rFonts w:eastAsia="Arial" w:cstheme="minorHAnsi"/>
          <w:spacing w:val="-3"/>
        </w:rPr>
        <w:t>a</w:t>
      </w:r>
      <w:r w:rsidRPr="00585C2D">
        <w:rPr>
          <w:rFonts w:eastAsia="Arial" w:cstheme="minorHAnsi"/>
          <w:spacing w:val="1"/>
        </w:rPr>
        <w:t>t</w:t>
      </w:r>
      <w:r w:rsidRPr="00585C2D">
        <w:rPr>
          <w:rFonts w:eastAsia="Arial" w:cstheme="minorHAnsi"/>
          <w:spacing w:val="-3"/>
        </w:rPr>
        <w:t>e</w:t>
      </w:r>
      <w:r w:rsidRPr="00585C2D">
        <w:rPr>
          <w:rFonts w:eastAsia="Arial" w:cstheme="minorHAnsi"/>
          <w:spacing w:val="2"/>
        </w:rPr>
        <w:t>g</w:t>
      </w:r>
      <w:r w:rsidRPr="00585C2D">
        <w:rPr>
          <w:rFonts w:eastAsia="Arial" w:cstheme="minorHAnsi"/>
          <w:spacing w:val="-1"/>
        </w:rPr>
        <w:t>i</w:t>
      </w:r>
      <w:r w:rsidRPr="00585C2D">
        <w:rPr>
          <w:rFonts w:eastAsia="Arial" w:cstheme="minorHAnsi"/>
        </w:rPr>
        <w:t>c</w:t>
      </w:r>
      <w:r w:rsidRPr="00585C2D">
        <w:rPr>
          <w:rFonts w:eastAsia="Arial" w:cstheme="minorHAnsi"/>
          <w:spacing w:val="-8"/>
        </w:rPr>
        <w:t xml:space="preserve"> </w:t>
      </w:r>
      <w:r w:rsidRPr="00585C2D">
        <w:rPr>
          <w:rFonts w:eastAsia="Arial" w:cstheme="minorHAnsi"/>
          <w:spacing w:val="2"/>
        </w:rPr>
        <w:t>d</w:t>
      </w:r>
      <w:r w:rsidRPr="00585C2D">
        <w:rPr>
          <w:rFonts w:eastAsia="Arial" w:cstheme="minorHAnsi"/>
          <w:spacing w:val="-1"/>
        </w:rPr>
        <w:t>i</w:t>
      </w:r>
      <w:r w:rsidRPr="00585C2D">
        <w:rPr>
          <w:rFonts w:eastAsia="Arial" w:cstheme="minorHAnsi"/>
          <w:spacing w:val="-2"/>
        </w:rPr>
        <w:t>r</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3"/>
        </w:rPr>
        <w:t>an</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e</w:t>
      </w:r>
      <w:r w:rsidRPr="00585C2D">
        <w:rPr>
          <w:rFonts w:eastAsia="Arial" w:cstheme="minorHAnsi"/>
        </w:rPr>
        <w:t>s</w:t>
      </w:r>
      <w:r w:rsidRPr="00585C2D">
        <w:rPr>
          <w:rFonts w:eastAsia="Arial" w:cstheme="minorHAnsi"/>
          <w:spacing w:val="-8"/>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7"/>
        </w:rPr>
        <w:t xml:space="preserve"> Town</w:t>
      </w:r>
      <w:r w:rsidRPr="00585C2D">
        <w:rPr>
          <w:rFonts w:eastAsia="Arial" w:cstheme="minorHAnsi"/>
          <w:spacing w:val="-13"/>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1"/>
        </w:rPr>
        <w:t>i</w:t>
      </w:r>
      <w:r w:rsidRPr="00585C2D">
        <w:rPr>
          <w:rFonts w:eastAsia="Arial" w:cstheme="minorHAnsi"/>
          <w:spacing w:val="1"/>
        </w:rPr>
        <w:t>t</w:t>
      </w:r>
      <w:r w:rsidRPr="00585C2D">
        <w:rPr>
          <w:rFonts w:eastAsia="Arial" w:cstheme="minorHAnsi"/>
        </w:rPr>
        <w:t>s</w:t>
      </w:r>
      <w:r w:rsidRPr="00585C2D">
        <w:rPr>
          <w:rFonts w:eastAsia="Arial" w:cstheme="minorHAnsi"/>
          <w:spacing w:val="-8"/>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1"/>
        </w:rPr>
        <w:t>i</w:t>
      </w:r>
      <w:r w:rsidRPr="00585C2D">
        <w:rPr>
          <w:rFonts w:eastAsia="Arial" w:cstheme="minorHAnsi"/>
          <w:spacing w:val="2"/>
        </w:rPr>
        <w:t>o</w:t>
      </w:r>
      <w:r w:rsidRPr="00585C2D">
        <w:rPr>
          <w:rFonts w:eastAsia="Arial" w:cstheme="minorHAnsi"/>
          <w:spacing w:val="-2"/>
        </w:rPr>
        <w:t>r</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e</w:t>
      </w:r>
      <w:r w:rsidRPr="00585C2D">
        <w:rPr>
          <w:rFonts w:eastAsia="Arial" w:cstheme="minorHAnsi"/>
        </w:rPr>
        <w:t>s</w:t>
      </w:r>
      <w:r w:rsidRPr="00585C2D">
        <w:rPr>
          <w:rFonts w:eastAsia="Arial" w:cstheme="minorHAnsi"/>
          <w:spacing w:val="-13"/>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 sk</w:t>
      </w:r>
      <w:r w:rsidRPr="00585C2D">
        <w:rPr>
          <w:rFonts w:eastAsia="Arial" w:cstheme="minorHAnsi"/>
          <w:spacing w:val="-1"/>
        </w:rPr>
        <w:t>ill</w:t>
      </w:r>
      <w:r w:rsidRPr="00585C2D">
        <w:rPr>
          <w:rFonts w:eastAsia="Arial" w:cstheme="minorHAnsi"/>
        </w:rPr>
        <w:t>s</w:t>
      </w:r>
      <w:r w:rsidRPr="00585C2D">
        <w:rPr>
          <w:rFonts w:eastAsia="Arial" w:cstheme="minorHAnsi"/>
          <w:spacing w:val="1"/>
        </w:rPr>
        <w:t xml:space="preserve"> t</w:t>
      </w:r>
      <w:r w:rsidRPr="00585C2D">
        <w:rPr>
          <w:rFonts w:eastAsia="Arial" w:cstheme="minorHAnsi"/>
          <w:spacing w:val="2"/>
        </w:rPr>
        <w:t>h</w:t>
      </w:r>
      <w:r w:rsidRPr="00585C2D">
        <w:rPr>
          <w:rFonts w:eastAsia="Arial" w:cstheme="minorHAnsi"/>
          <w:spacing w:val="-3"/>
        </w:rPr>
        <w:t>a</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1"/>
        </w:rPr>
        <w:t>wil</w:t>
      </w:r>
      <w:r w:rsidRPr="00585C2D">
        <w:rPr>
          <w:rFonts w:eastAsia="Arial" w:cstheme="minorHAnsi"/>
        </w:rPr>
        <w:t xml:space="preserve">l </w:t>
      </w:r>
      <w:r w:rsidRPr="00585C2D">
        <w:rPr>
          <w:rFonts w:eastAsia="Arial" w:cstheme="minorHAnsi"/>
          <w:spacing w:val="2"/>
        </w:rPr>
        <w:t>b</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n</w:t>
      </w:r>
      <w:r w:rsidRPr="00585C2D">
        <w:rPr>
          <w:rFonts w:eastAsia="Arial" w:cstheme="minorHAnsi"/>
          <w:spacing w:val="2"/>
        </w:rPr>
        <w:t>e</w:t>
      </w:r>
      <w:r w:rsidRPr="00585C2D">
        <w:rPr>
          <w:rFonts w:eastAsia="Arial" w:cstheme="minorHAnsi"/>
          <w:spacing w:val="-3"/>
        </w:rPr>
        <w:t>e</w:t>
      </w:r>
      <w:r w:rsidRPr="00585C2D">
        <w:rPr>
          <w:rFonts w:eastAsia="Arial" w:cstheme="minorHAnsi"/>
          <w:spacing w:val="2"/>
        </w:rPr>
        <w:t>d</w:t>
      </w:r>
      <w:r w:rsidRPr="00585C2D">
        <w:rPr>
          <w:rFonts w:eastAsia="Arial" w:cstheme="minorHAnsi"/>
          <w:spacing w:val="-3"/>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2"/>
        </w:rPr>
        <w:t>g</w:t>
      </w:r>
      <w:r w:rsidRPr="00585C2D">
        <w:rPr>
          <w:rFonts w:eastAsia="Arial" w:cstheme="minorHAnsi"/>
          <w:spacing w:val="-1"/>
        </w:rPr>
        <w:t>i</w:t>
      </w:r>
      <w:r w:rsidRPr="00585C2D">
        <w:rPr>
          <w:rFonts w:eastAsia="Arial" w:cstheme="minorHAnsi"/>
        </w:rPr>
        <w:t>ve</w:t>
      </w:r>
      <w:r w:rsidRPr="00585C2D">
        <w:rPr>
          <w:rFonts w:eastAsia="Arial" w:cstheme="minorHAnsi"/>
          <w:spacing w:val="-2"/>
        </w:rPr>
        <w:t xml:space="preserve"> </w:t>
      </w:r>
      <w:r w:rsidRPr="00585C2D">
        <w:rPr>
          <w:rFonts w:eastAsia="Arial" w:cstheme="minorHAnsi"/>
          <w:spacing w:val="-3"/>
        </w:rPr>
        <w:t>e</w:t>
      </w:r>
      <w:r w:rsidRPr="00585C2D">
        <w:rPr>
          <w:rFonts w:eastAsia="Arial" w:cstheme="minorHAnsi"/>
          <w:spacing w:val="1"/>
        </w:rPr>
        <w:t>ff</w:t>
      </w:r>
      <w:r w:rsidRPr="00585C2D">
        <w:rPr>
          <w:rFonts w:eastAsia="Arial" w:cstheme="minorHAnsi"/>
          <w:spacing w:val="2"/>
        </w:rPr>
        <w:t>e</w:t>
      </w:r>
      <w:r w:rsidRPr="00585C2D">
        <w:rPr>
          <w:rFonts w:eastAsia="Arial" w:cstheme="minorHAnsi"/>
        </w:rPr>
        <w:t>ct</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d</w:t>
      </w:r>
      <w:r w:rsidRPr="00585C2D">
        <w:rPr>
          <w:rFonts w:eastAsia="Arial" w:cstheme="minorHAnsi"/>
          <w:spacing w:val="-1"/>
        </w:rPr>
        <w:t>i</w:t>
      </w:r>
      <w:r w:rsidRPr="00585C2D">
        <w:rPr>
          <w:rFonts w:eastAsia="Arial" w:cstheme="minorHAnsi"/>
          <w:spacing w:val="-2"/>
        </w:rPr>
        <w:t>r</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1"/>
        </w:rPr>
        <w:t>i</w:t>
      </w:r>
      <w:r w:rsidRPr="00585C2D">
        <w:rPr>
          <w:rFonts w:eastAsia="Arial" w:cstheme="minorHAnsi"/>
          <w:spacing w:val="2"/>
        </w:rPr>
        <w:t>o</w:t>
      </w:r>
      <w:r w:rsidRPr="00585C2D">
        <w:rPr>
          <w:rFonts w:eastAsia="Arial" w:cstheme="minorHAnsi"/>
          <w:spacing w:val="11"/>
        </w:rPr>
        <w:t>n</w:t>
      </w:r>
      <w:r w:rsidRPr="00585C2D">
        <w:rPr>
          <w:rFonts w:eastAsia="Arial" w:cstheme="minorHAnsi"/>
        </w:rPr>
        <w:t>.</w:t>
      </w:r>
    </w:p>
    <w:p w14:paraId="15EB9042" w14:textId="77777777" w:rsidR="00FC0CF1" w:rsidRPr="00585C2D" w:rsidRDefault="00FC0CF1" w:rsidP="00FC0CF1">
      <w:pPr>
        <w:spacing w:after="60" w:line="240" w:lineRule="auto"/>
        <w:ind w:left="425" w:right="-23" w:hanging="425"/>
        <w:rPr>
          <w:rFonts w:eastAsia="Arial" w:cstheme="minorHAnsi"/>
        </w:rPr>
      </w:pPr>
      <w:r>
        <w:rPr>
          <w:rFonts w:eastAsia="Arial" w:cstheme="minorHAnsi"/>
          <w:b/>
          <w:bCs/>
        </w:rPr>
        <w:t>3</w:t>
      </w:r>
      <w:r w:rsidRPr="00585C2D">
        <w:rPr>
          <w:rFonts w:eastAsia="Arial" w:cstheme="minorHAnsi"/>
          <w:b/>
          <w:bCs/>
        </w:rPr>
        <w:t>.</w:t>
      </w:r>
      <w:r>
        <w:rPr>
          <w:rFonts w:eastAsia="Arial" w:cstheme="minorHAnsi"/>
          <w:b/>
          <w:bCs/>
        </w:rPr>
        <w:tab/>
      </w:r>
      <w:r w:rsidRPr="00585C2D">
        <w:rPr>
          <w:rFonts w:eastAsia="Arial" w:cstheme="minorHAnsi"/>
          <w:b/>
          <w:bCs/>
        </w:rPr>
        <w:t>F</w:t>
      </w:r>
      <w:r>
        <w:rPr>
          <w:rFonts w:eastAsia="Arial" w:cstheme="minorHAnsi"/>
          <w:b/>
          <w:bCs/>
        </w:rPr>
        <w:t>unding Allocation</w:t>
      </w:r>
    </w:p>
    <w:p w14:paraId="0909ED9A" w14:textId="77777777" w:rsidR="00FC0CF1" w:rsidRPr="00585C2D" w:rsidRDefault="00FC0CF1" w:rsidP="00FC0CF1">
      <w:pPr>
        <w:spacing w:after="120" w:line="250" w:lineRule="exact"/>
        <w:ind w:left="850" w:right="-45" w:hanging="425"/>
        <w:jc w:val="both"/>
        <w:rPr>
          <w:rFonts w:eastAsia="Arial" w:cstheme="minorHAnsi"/>
        </w:rPr>
      </w:pPr>
      <w:r w:rsidRPr="00585C2D">
        <w:rPr>
          <w:rFonts w:eastAsia="Arial" w:cstheme="minorHAnsi"/>
          <w:spacing w:val="2"/>
        </w:rPr>
        <w:t>a</w:t>
      </w:r>
      <w:r w:rsidRPr="00585C2D">
        <w:rPr>
          <w:rFonts w:eastAsia="Arial" w:cstheme="minorHAnsi"/>
        </w:rPr>
        <w:t>.</w:t>
      </w:r>
      <w:r w:rsidRPr="00585C2D">
        <w:rPr>
          <w:rFonts w:eastAsia="Arial" w:cstheme="minorHAnsi"/>
          <w:spacing w:val="54"/>
        </w:rPr>
        <w:t xml:space="preserve"> </w:t>
      </w:r>
      <w:r>
        <w:rPr>
          <w:rFonts w:eastAsia="Arial" w:cstheme="minorHAnsi"/>
          <w:spacing w:val="54"/>
        </w:rPr>
        <w:tab/>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2"/>
        </w:rPr>
        <w:t>r</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3"/>
        </w:rPr>
        <w:t>e</w:t>
      </w:r>
      <w:r w:rsidRPr="00585C2D">
        <w:rPr>
          <w:rFonts w:eastAsia="Arial" w:cstheme="minorHAnsi"/>
          <w:spacing w:val="2"/>
        </w:rPr>
        <w:t>n</w:t>
      </w:r>
      <w:r w:rsidRPr="00585C2D">
        <w:rPr>
          <w:rFonts w:eastAsia="Arial" w:cstheme="minorHAnsi"/>
          <w:spacing w:val="1"/>
        </w:rPr>
        <w:t>t</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l</w:t>
      </w:r>
      <w:r w:rsidRPr="00585C2D">
        <w:rPr>
          <w:rFonts w:eastAsia="Arial" w:cstheme="minorHAnsi"/>
          <w:spacing w:val="-3"/>
        </w:rPr>
        <w:t>e</w:t>
      </w:r>
      <w:r w:rsidRPr="00585C2D">
        <w:rPr>
          <w:rFonts w:eastAsia="Arial" w:cstheme="minorHAnsi"/>
        </w:rPr>
        <w:t>d</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6"/>
        </w:rPr>
        <w:t xml:space="preserve"> </w:t>
      </w:r>
      <w:r w:rsidRPr="00585C2D">
        <w:rPr>
          <w:rFonts w:eastAsia="Arial" w:cstheme="minorHAnsi"/>
        </w:rPr>
        <w:t>a</w:t>
      </w:r>
      <w:r w:rsidRPr="00585C2D">
        <w:rPr>
          <w:rFonts w:eastAsia="Arial" w:cstheme="minorHAnsi"/>
          <w:spacing w:val="9"/>
        </w:rPr>
        <w:t xml:space="preserve"> </w:t>
      </w:r>
      <w:r w:rsidRPr="00585C2D">
        <w:rPr>
          <w:rFonts w:eastAsia="Arial" w:cstheme="minorHAnsi"/>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6"/>
        </w:rPr>
        <w:t xml:space="preserve"> </w:t>
      </w:r>
      <w:r w:rsidRPr="00585C2D">
        <w:rPr>
          <w:rFonts w:eastAsia="Arial" w:cstheme="minorHAnsi"/>
          <w:spacing w:val="-3"/>
        </w:rPr>
        <w:t>an</w:t>
      </w:r>
      <w:r w:rsidRPr="00585C2D">
        <w:rPr>
          <w:rFonts w:eastAsia="Arial" w:cstheme="minorHAnsi"/>
        </w:rPr>
        <w:t>d</w:t>
      </w:r>
      <w:r w:rsidRPr="00585C2D">
        <w:rPr>
          <w:rFonts w:eastAsia="Arial" w:cstheme="minorHAnsi"/>
          <w:spacing w:val="8"/>
        </w:rPr>
        <w:t xml:space="preserve"> </w:t>
      </w:r>
      <w:r w:rsidRPr="00585C2D">
        <w:rPr>
          <w:rFonts w:eastAsia="Arial" w:cstheme="minorHAnsi"/>
          <w:spacing w:val="1"/>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spacing w:val="1"/>
        </w:rPr>
        <w:t>s</w:t>
      </w:r>
      <w:r w:rsidRPr="00585C2D">
        <w:rPr>
          <w:rFonts w:eastAsia="Arial" w:cstheme="minorHAnsi"/>
        </w:rPr>
        <w:t>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8"/>
        </w:rPr>
        <w:t xml:space="preserve"> </w:t>
      </w:r>
      <w:r w:rsidRPr="00585C2D">
        <w:rPr>
          <w:rFonts w:eastAsia="Arial" w:cstheme="minorHAnsi"/>
          <w:spacing w:val="-6"/>
        </w:rPr>
        <w:t>D</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op</w:t>
      </w:r>
      <w:r w:rsidRPr="00585C2D">
        <w:rPr>
          <w:rFonts w:eastAsia="Arial" w:cstheme="minorHAnsi"/>
          <w:spacing w:val="-6"/>
        </w:rPr>
        <w:t>m</w:t>
      </w:r>
      <w:r w:rsidRPr="00585C2D">
        <w:rPr>
          <w:rFonts w:eastAsia="Arial" w:cstheme="minorHAnsi"/>
          <w:spacing w:val="2"/>
        </w:rPr>
        <w:t>en</w:t>
      </w:r>
      <w:r w:rsidRPr="00585C2D">
        <w:rPr>
          <w:rFonts w:eastAsia="Arial" w:cstheme="minorHAnsi"/>
        </w:rPr>
        <w:t xml:space="preserve">t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spacing w:val="-3"/>
        </w:rPr>
        <w:t>n</w:t>
      </w:r>
      <w:r w:rsidRPr="00585C2D">
        <w:rPr>
          <w:rFonts w:eastAsia="Arial" w:cstheme="minorHAnsi"/>
        </w:rPr>
        <w:t>,</w:t>
      </w:r>
      <w:r w:rsidRPr="00585C2D">
        <w:rPr>
          <w:rFonts w:eastAsia="Arial" w:cstheme="minorHAnsi"/>
          <w:spacing w:val="5"/>
        </w:rPr>
        <w:t xml:space="preserve"> </w:t>
      </w:r>
      <w:r w:rsidRPr="00585C2D">
        <w:rPr>
          <w:rFonts w:eastAsia="Arial" w:cstheme="minorHAnsi"/>
          <w:spacing w:val="2"/>
        </w:rPr>
        <w:t>a</w:t>
      </w:r>
      <w:r w:rsidRPr="00585C2D">
        <w:rPr>
          <w:rFonts w:eastAsia="Arial" w:cstheme="minorHAnsi"/>
        </w:rPr>
        <w:t xml:space="preserve">s </w:t>
      </w:r>
      <w:r w:rsidRPr="00585C2D">
        <w:rPr>
          <w:rFonts w:eastAsia="Arial" w:cstheme="minorHAnsi"/>
          <w:spacing w:val="2"/>
        </w:rPr>
        <w:t>de</w:t>
      </w:r>
      <w:r w:rsidRPr="00585C2D">
        <w:rPr>
          <w:rFonts w:eastAsia="Arial" w:cstheme="minorHAnsi"/>
          <w:spacing w:val="-4"/>
        </w:rPr>
        <w:t>t</w:t>
      </w:r>
      <w:r w:rsidRPr="00585C2D">
        <w:rPr>
          <w:rFonts w:eastAsia="Arial" w:cstheme="minorHAnsi"/>
          <w:spacing w:val="2"/>
        </w:rPr>
        <w:t>e</w:t>
      </w:r>
      <w:r w:rsidRPr="00585C2D">
        <w:rPr>
          <w:rFonts w:eastAsia="Arial" w:cstheme="minorHAnsi"/>
          <w:spacing w:val="-2"/>
        </w:rPr>
        <w:t>rm</w:t>
      </w:r>
      <w:r w:rsidRPr="00585C2D">
        <w:rPr>
          <w:rFonts w:eastAsia="Arial" w:cstheme="minorHAnsi"/>
          <w:spacing w:val="-1"/>
        </w:rPr>
        <w:t>i</w:t>
      </w:r>
      <w:r w:rsidRPr="00585C2D">
        <w:rPr>
          <w:rFonts w:eastAsia="Arial" w:cstheme="minorHAnsi"/>
          <w:spacing w:val="2"/>
        </w:rPr>
        <w:t>n</w:t>
      </w:r>
      <w:r w:rsidRPr="00585C2D">
        <w:rPr>
          <w:rFonts w:eastAsia="Arial" w:cstheme="minorHAnsi"/>
          <w:spacing w:val="-3"/>
        </w:rPr>
        <w:t>e</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2"/>
        </w:rPr>
        <w:t>u</w:t>
      </w:r>
      <w:r w:rsidRPr="00585C2D">
        <w:rPr>
          <w:rFonts w:eastAsia="Arial" w:cstheme="minorHAnsi"/>
          <w:spacing w:val="-3"/>
        </w:rPr>
        <w:t>n</w:t>
      </w:r>
      <w:r w:rsidRPr="00585C2D">
        <w:rPr>
          <w:rFonts w:eastAsia="Arial" w:cstheme="minorHAnsi"/>
          <w:spacing w:val="2"/>
        </w:rPr>
        <w:t>de</w:t>
      </w:r>
      <w:r w:rsidRPr="00585C2D">
        <w:rPr>
          <w:rFonts w:eastAsia="Arial" w:cstheme="minorHAnsi"/>
        </w:rPr>
        <w:t xml:space="preserve">r </w:t>
      </w:r>
      <w:r w:rsidRPr="00585C2D">
        <w:rPr>
          <w:rFonts w:eastAsia="Arial" w:cstheme="minorHAnsi"/>
          <w:spacing w:val="-1"/>
        </w:rPr>
        <w:t>Cl</w:t>
      </w:r>
      <w:r w:rsidRPr="00585C2D">
        <w:rPr>
          <w:rFonts w:eastAsia="Arial" w:cstheme="minorHAnsi"/>
          <w:spacing w:val="-3"/>
        </w:rPr>
        <w:t>a</w:t>
      </w:r>
      <w:r w:rsidRPr="00585C2D">
        <w:rPr>
          <w:rFonts w:eastAsia="Arial" w:cstheme="minorHAnsi"/>
          <w:spacing w:val="2"/>
        </w:rPr>
        <w:t>u</w:t>
      </w:r>
      <w:r w:rsidRPr="00585C2D">
        <w:rPr>
          <w:rFonts w:eastAsia="Arial" w:cstheme="minorHAnsi"/>
        </w:rPr>
        <w:t>se</w:t>
      </w:r>
      <w:r w:rsidRPr="00585C2D">
        <w:rPr>
          <w:rFonts w:eastAsia="Arial" w:cstheme="minorHAnsi"/>
          <w:spacing w:val="-2"/>
        </w:rPr>
        <w:t xml:space="preserve"> </w:t>
      </w:r>
      <w:r>
        <w:rPr>
          <w:rFonts w:eastAsia="Arial" w:cstheme="minorHAnsi"/>
          <w:spacing w:val="2"/>
        </w:rPr>
        <w:t>2</w:t>
      </w:r>
      <w:r w:rsidRPr="00585C2D">
        <w:rPr>
          <w:rFonts w:eastAsia="Arial" w:cstheme="minorHAnsi"/>
          <w:spacing w:val="-4"/>
        </w:rPr>
        <w:t>.</w:t>
      </w:r>
      <w:r w:rsidRPr="00585C2D">
        <w:rPr>
          <w:rFonts w:eastAsia="Arial" w:cstheme="minorHAnsi"/>
          <w:spacing w:val="2"/>
        </w:rPr>
        <w:t>1</w:t>
      </w:r>
      <w:r w:rsidRPr="00585C2D">
        <w:rPr>
          <w:rFonts w:eastAsia="Arial" w:cstheme="minorHAnsi"/>
        </w:rPr>
        <w:t>.</w:t>
      </w:r>
    </w:p>
    <w:p w14:paraId="5CECD435" w14:textId="77777777" w:rsidR="00FC0CF1" w:rsidRPr="00585C2D" w:rsidRDefault="00FC0CF1" w:rsidP="00FC0CF1">
      <w:pPr>
        <w:spacing w:after="120" w:line="239" w:lineRule="auto"/>
        <w:ind w:left="850" w:right="-45" w:hanging="425"/>
        <w:jc w:val="both"/>
        <w:rPr>
          <w:rFonts w:eastAsia="Arial" w:cstheme="minorHAnsi"/>
        </w:rPr>
      </w:pPr>
      <w:r w:rsidRPr="00585C2D">
        <w:rPr>
          <w:rFonts w:eastAsia="Arial" w:cstheme="minorHAnsi"/>
          <w:spacing w:val="2"/>
        </w:rPr>
        <w:t>b</w:t>
      </w:r>
      <w:r>
        <w:rPr>
          <w:rFonts w:eastAsia="Arial" w:cstheme="minorHAnsi"/>
        </w:rPr>
        <w:t>.</w:t>
      </w:r>
      <w:r>
        <w:rPr>
          <w:rFonts w:eastAsia="Arial" w:cstheme="minorHAnsi"/>
        </w:rPr>
        <w:tab/>
      </w:r>
      <w:r w:rsidRPr="00585C2D">
        <w:rPr>
          <w:rFonts w:eastAsia="Arial" w:cstheme="minorHAnsi"/>
          <w:spacing w:val="2"/>
        </w:rPr>
        <w:t>A</w:t>
      </w:r>
      <w:r w:rsidRPr="00585C2D">
        <w:rPr>
          <w:rFonts w:eastAsia="Arial" w:cstheme="minorHAnsi"/>
          <w:spacing w:val="14"/>
        </w:rPr>
        <w:t xml:space="preserve"> </w:t>
      </w:r>
      <w:r>
        <w:rPr>
          <w:rFonts w:eastAsia="Arial" w:cstheme="minorHAnsi"/>
        </w:rPr>
        <w:t>provision of</w:t>
      </w:r>
      <w:r w:rsidRPr="00585C2D">
        <w:rPr>
          <w:rFonts w:eastAsia="Arial" w:cstheme="minorHAnsi"/>
        </w:rPr>
        <w:t xml:space="preserve"> </w:t>
      </w:r>
      <w:r>
        <w:rPr>
          <w:rFonts w:eastAsia="Arial" w:cstheme="minorHAnsi"/>
        </w:rPr>
        <w:t xml:space="preserve">up to </w:t>
      </w:r>
      <w:r w:rsidRPr="005867A6">
        <w:rPr>
          <w:rFonts w:eastAsia="Arial" w:cstheme="minorHAnsi"/>
          <w:spacing w:val="-3"/>
        </w:rPr>
        <w:t>$</w:t>
      </w:r>
      <w:r>
        <w:rPr>
          <w:rFonts w:eastAsia="Arial" w:cstheme="minorHAnsi"/>
          <w:spacing w:val="-3"/>
        </w:rPr>
        <w:t>3</w:t>
      </w:r>
      <w:r w:rsidRPr="005867A6">
        <w:rPr>
          <w:rFonts w:eastAsia="Arial" w:cstheme="minorHAnsi"/>
          <w:spacing w:val="-4"/>
        </w:rPr>
        <w:t>,</w:t>
      </w:r>
      <w:r w:rsidRPr="005867A6">
        <w:rPr>
          <w:rFonts w:eastAsia="Arial" w:cstheme="minorHAnsi"/>
          <w:spacing w:val="2"/>
        </w:rPr>
        <w:t>0</w:t>
      </w:r>
      <w:r w:rsidRPr="005867A6">
        <w:rPr>
          <w:rFonts w:eastAsia="Arial" w:cstheme="minorHAnsi"/>
          <w:spacing w:val="-3"/>
        </w:rPr>
        <w:t>0</w:t>
      </w:r>
      <w:r w:rsidRPr="005867A6">
        <w:rPr>
          <w:rFonts w:eastAsia="Arial" w:cstheme="minorHAnsi"/>
        </w:rPr>
        <w:t>0</w:t>
      </w:r>
      <w:r w:rsidRPr="00585C2D">
        <w:rPr>
          <w:rFonts w:eastAsia="Arial" w:cstheme="minorHAnsi"/>
        </w:rPr>
        <w:t xml:space="preserve"> </w:t>
      </w:r>
      <w:r>
        <w:rPr>
          <w:rFonts w:eastAsia="Arial" w:cstheme="minorHAnsi"/>
        </w:rPr>
        <w:t xml:space="preserve">pa </w:t>
      </w:r>
      <w:r w:rsidRPr="00585C2D">
        <w:rPr>
          <w:rFonts w:eastAsia="Arial" w:cstheme="minorHAnsi"/>
          <w:spacing w:val="2"/>
        </w:rPr>
        <w:t>pe</w:t>
      </w:r>
      <w:r w:rsidRPr="00585C2D">
        <w:rPr>
          <w:rFonts w:eastAsia="Arial" w:cstheme="minorHAnsi"/>
        </w:rPr>
        <w:t xml:space="preserve">r </w:t>
      </w:r>
      <w:r>
        <w:rPr>
          <w:rFonts w:eastAsia="Arial" w:cstheme="minorHAnsi"/>
        </w:rPr>
        <w:t>Councillor</w:t>
      </w:r>
      <w:r w:rsidRPr="00585C2D">
        <w:rPr>
          <w:rFonts w:eastAsia="Arial" w:cstheme="minorHAnsi"/>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12"/>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e</w:t>
      </w:r>
      <w:r w:rsidRPr="00585C2D">
        <w:rPr>
          <w:rFonts w:eastAsia="Arial" w:cstheme="minorHAnsi"/>
        </w:rPr>
        <w:t xml:space="preserve">r </w:t>
      </w:r>
      <w:r w:rsidRPr="00585C2D">
        <w:rPr>
          <w:rFonts w:eastAsia="Arial" w:cstheme="minorHAnsi"/>
          <w:spacing w:val="-5"/>
        </w:rPr>
        <w:t>c</w:t>
      </w:r>
      <w:r w:rsidRPr="00585C2D">
        <w:rPr>
          <w:rFonts w:eastAsia="Arial" w:cstheme="minorHAnsi"/>
          <w:spacing w:val="2"/>
        </w:rPr>
        <w:t>o</w:t>
      </w:r>
      <w:r w:rsidRPr="00585C2D">
        <w:rPr>
          <w:rFonts w:eastAsia="Arial" w:cstheme="minorHAnsi"/>
        </w:rPr>
        <w:t>s</w:t>
      </w:r>
      <w:r w:rsidRPr="00585C2D">
        <w:rPr>
          <w:rFonts w:eastAsia="Arial" w:cstheme="minorHAnsi"/>
          <w:spacing w:val="1"/>
        </w:rPr>
        <w:t>t</w:t>
      </w:r>
      <w:r w:rsidRPr="00585C2D">
        <w:rPr>
          <w:rFonts w:eastAsia="Arial" w:cstheme="minorHAnsi"/>
        </w:rPr>
        <w:t xml:space="preserve">s </w:t>
      </w:r>
      <w:r w:rsidRPr="00585C2D">
        <w:rPr>
          <w:rFonts w:eastAsia="Arial" w:cstheme="minorHAnsi"/>
          <w:spacing w:val="2"/>
        </w:rPr>
        <w:t>a</w:t>
      </w:r>
      <w:r w:rsidRPr="00585C2D">
        <w:rPr>
          <w:rFonts w:eastAsia="Arial" w:cstheme="minorHAnsi"/>
          <w:spacing w:val="-5"/>
        </w:rPr>
        <w:t>s</w:t>
      </w:r>
      <w:r w:rsidRPr="00585C2D">
        <w:rPr>
          <w:rFonts w:eastAsia="Arial" w:cstheme="minorHAnsi"/>
        </w:rPr>
        <w:t>s</w:t>
      </w:r>
      <w:r w:rsidRPr="00585C2D">
        <w:rPr>
          <w:rFonts w:eastAsia="Arial" w:cstheme="minorHAnsi"/>
          <w:spacing w:val="2"/>
        </w:rPr>
        <w:t>o</w:t>
      </w:r>
      <w:r w:rsidRPr="00585C2D">
        <w:rPr>
          <w:rFonts w:eastAsia="Arial" w:cstheme="minorHAnsi"/>
        </w:rPr>
        <w:t>c</w:t>
      </w:r>
      <w:r w:rsidRPr="00585C2D">
        <w:rPr>
          <w:rFonts w:eastAsia="Arial" w:cstheme="minorHAnsi"/>
          <w:spacing w:val="-6"/>
        </w:rPr>
        <w:t>i</w:t>
      </w:r>
      <w:r w:rsidRPr="00585C2D">
        <w:rPr>
          <w:rFonts w:eastAsia="Arial" w:cstheme="minorHAnsi"/>
          <w:spacing w:val="2"/>
        </w:rPr>
        <w:t>a</w:t>
      </w:r>
      <w:r w:rsidRPr="00585C2D">
        <w:rPr>
          <w:rFonts w:eastAsia="Arial" w:cstheme="minorHAnsi"/>
          <w:spacing w:val="1"/>
        </w:rPr>
        <w:t>t</w:t>
      </w:r>
      <w:r w:rsidRPr="00585C2D">
        <w:rPr>
          <w:rFonts w:eastAsia="Arial" w:cstheme="minorHAnsi"/>
          <w:spacing w:val="-3"/>
        </w:rPr>
        <w:t>e</w:t>
      </w:r>
      <w:r w:rsidRPr="00585C2D">
        <w:rPr>
          <w:rFonts w:eastAsia="Arial" w:cstheme="minorHAnsi"/>
        </w:rPr>
        <w:t xml:space="preserve">d </w:t>
      </w:r>
      <w:r w:rsidRPr="00585C2D">
        <w:rPr>
          <w:rFonts w:eastAsia="Arial" w:cstheme="minorHAnsi"/>
          <w:spacing w:val="-1"/>
        </w:rPr>
        <w:t>wi</w:t>
      </w:r>
      <w:r w:rsidRPr="00585C2D">
        <w:rPr>
          <w:rFonts w:eastAsia="Arial" w:cstheme="minorHAnsi"/>
          <w:spacing w:val="1"/>
        </w:rPr>
        <w:t>t</w:t>
      </w:r>
      <w:r w:rsidRPr="00585C2D">
        <w:rPr>
          <w:rFonts w:eastAsia="Arial" w:cstheme="minorHAnsi"/>
        </w:rPr>
        <w:t xml:space="preserve">h </w:t>
      </w:r>
      <w:r w:rsidRPr="00585C2D">
        <w:rPr>
          <w:rFonts w:eastAsia="Arial" w:cstheme="minorHAnsi"/>
          <w:spacing w:val="2"/>
        </w:rPr>
        <w:t>a</w:t>
      </w:r>
      <w:r w:rsidRPr="00585C2D">
        <w:rPr>
          <w:rFonts w:eastAsia="Arial" w:cstheme="minorHAnsi"/>
          <w:spacing w:val="1"/>
        </w:rPr>
        <w:t>t</w:t>
      </w:r>
      <w:r w:rsidRPr="00585C2D">
        <w:rPr>
          <w:rFonts w:eastAsia="Arial" w:cstheme="minorHAnsi"/>
          <w:spacing w:val="-4"/>
        </w:rPr>
        <w:t>t</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w:t>
      </w:r>
      <w:r w:rsidRPr="00585C2D">
        <w:rPr>
          <w:rFonts w:eastAsia="Arial" w:cstheme="minorHAnsi"/>
          <w:spacing w:val="-3"/>
        </w:rPr>
        <w:t>a</w:t>
      </w:r>
      <w:r w:rsidRPr="00585C2D">
        <w:rPr>
          <w:rFonts w:eastAsia="Arial" w:cstheme="minorHAnsi"/>
          <w:spacing w:val="2"/>
        </w:rPr>
        <w:t>n</w:t>
      </w:r>
      <w:r w:rsidRPr="00585C2D">
        <w:rPr>
          <w:rFonts w:eastAsia="Arial" w:cstheme="minorHAnsi"/>
        </w:rPr>
        <w:t>ce</w:t>
      </w:r>
      <w:r w:rsidRPr="00585C2D">
        <w:rPr>
          <w:rFonts w:eastAsia="Arial" w:cstheme="minorHAnsi"/>
          <w:spacing w:val="3"/>
        </w:rPr>
        <w:t xml:space="preserve"> </w:t>
      </w:r>
      <w:r w:rsidRPr="00585C2D">
        <w:rPr>
          <w:rFonts w:eastAsia="Arial" w:cstheme="minorHAnsi"/>
          <w:spacing w:val="-3"/>
        </w:rPr>
        <w:t>a</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3"/>
        </w:rPr>
        <w:t>d</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op</w:t>
      </w:r>
      <w:r w:rsidRPr="00585C2D">
        <w:rPr>
          <w:rFonts w:eastAsia="Arial" w:cstheme="minorHAnsi"/>
          <w:spacing w:val="-6"/>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2"/>
        </w:rPr>
        <w:t xml:space="preserve"> 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e</w:t>
      </w:r>
      <w:r w:rsidRPr="00585C2D">
        <w:rPr>
          <w:rFonts w:eastAsia="Arial" w:cstheme="minorHAnsi"/>
          <w:spacing w:val="9"/>
        </w:rPr>
        <w:t>s</w:t>
      </w:r>
      <w:r w:rsidRPr="00585C2D">
        <w:rPr>
          <w:rFonts w:eastAsia="Arial" w:cstheme="minorHAnsi"/>
        </w:rPr>
        <w:t>.</w:t>
      </w:r>
      <w:r w:rsidRPr="00585C2D">
        <w:rPr>
          <w:rFonts w:eastAsia="Arial" w:cstheme="minorHAnsi"/>
          <w:spacing w:val="7"/>
        </w:rPr>
        <w:t xml:space="preserve"> </w:t>
      </w:r>
      <w:r w:rsidRPr="00585C2D">
        <w:rPr>
          <w:rFonts w:eastAsia="Arial" w:cstheme="minorHAnsi"/>
          <w:spacing w:val="-5"/>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1"/>
        </w:rPr>
        <w:t>i</w:t>
      </w:r>
      <w:r w:rsidRPr="00585C2D">
        <w:rPr>
          <w:rFonts w:eastAsia="Arial" w:cstheme="minorHAnsi"/>
          <w:spacing w:val="-3"/>
        </w:rPr>
        <w:t>n</w:t>
      </w:r>
      <w:r w:rsidRPr="00585C2D">
        <w:rPr>
          <w:rFonts w:eastAsia="Arial" w:cstheme="minorHAnsi"/>
        </w:rPr>
        <w:t>c</w:t>
      </w:r>
      <w:r w:rsidRPr="00585C2D">
        <w:rPr>
          <w:rFonts w:eastAsia="Arial" w:cstheme="minorHAnsi"/>
          <w:spacing w:val="-1"/>
        </w:rPr>
        <w:t>l</w:t>
      </w:r>
      <w:r w:rsidRPr="00585C2D">
        <w:rPr>
          <w:rFonts w:eastAsia="Arial" w:cstheme="minorHAnsi"/>
          <w:spacing w:val="2"/>
        </w:rPr>
        <w:t>u</w:t>
      </w:r>
      <w:r w:rsidRPr="00585C2D">
        <w:rPr>
          <w:rFonts w:eastAsia="Arial" w:cstheme="minorHAnsi"/>
          <w:spacing w:val="-3"/>
        </w:rPr>
        <w:t>d</w:t>
      </w:r>
      <w:r w:rsidRPr="00585C2D">
        <w:rPr>
          <w:rFonts w:eastAsia="Arial" w:cstheme="minorHAnsi"/>
          <w:spacing w:val="2"/>
        </w:rPr>
        <w:t>e</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4"/>
        </w:rPr>
        <w:t>t</w:t>
      </w:r>
      <w:r w:rsidRPr="00585C2D">
        <w:rPr>
          <w:rFonts w:eastAsia="Arial" w:cstheme="minorHAnsi"/>
          <w:spacing w:val="2"/>
        </w:rPr>
        <w:t>ua</w:t>
      </w:r>
      <w:r w:rsidRPr="00585C2D">
        <w:rPr>
          <w:rFonts w:eastAsia="Arial" w:cstheme="minorHAnsi"/>
        </w:rPr>
        <w:t>l c</w:t>
      </w:r>
      <w:r w:rsidRPr="00585C2D">
        <w:rPr>
          <w:rFonts w:eastAsia="Arial" w:cstheme="minorHAnsi"/>
          <w:spacing w:val="-3"/>
        </w:rPr>
        <w:t>o</w:t>
      </w:r>
      <w:r w:rsidRPr="00585C2D">
        <w:rPr>
          <w:rFonts w:eastAsia="Arial" w:cstheme="minorHAnsi"/>
        </w:rPr>
        <w:t>s</w:t>
      </w:r>
      <w:r w:rsidRPr="00585C2D">
        <w:rPr>
          <w:rFonts w:eastAsia="Arial" w:cstheme="minorHAnsi"/>
          <w:spacing w:val="1"/>
        </w:rPr>
        <w:t>t</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w:t>
      </w:r>
      <w:r w:rsidRPr="00585C2D">
        <w:rPr>
          <w:rFonts w:eastAsia="Arial" w:cstheme="minorHAnsi"/>
          <w:spacing w:val="-1"/>
        </w:rPr>
        <w:t>i</w:t>
      </w:r>
      <w:r w:rsidRPr="00585C2D">
        <w:rPr>
          <w:rFonts w:eastAsia="Arial" w:cstheme="minorHAnsi"/>
          <w:spacing w:val="2"/>
        </w:rPr>
        <w:t>n</w:t>
      </w:r>
      <w:r w:rsidRPr="00585C2D">
        <w:rPr>
          <w:rFonts w:eastAsia="Arial" w:cstheme="minorHAnsi"/>
        </w:rPr>
        <w:t>c</w:t>
      </w:r>
      <w:r w:rsidRPr="00585C2D">
        <w:rPr>
          <w:rFonts w:eastAsia="Arial" w:cstheme="minorHAnsi"/>
          <w:spacing w:val="-1"/>
        </w:rPr>
        <w:t>l</w:t>
      </w:r>
      <w:r w:rsidRPr="00585C2D">
        <w:rPr>
          <w:rFonts w:eastAsia="Arial" w:cstheme="minorHAnsi"/>
          <w:spacing w:val="-3"/>
        </w:rPr>
        <w:t>u</w:t>
      </w:r>
      <w:r w:rsidRPr="00585C2D">
        <w:rPr>
          <w:rFonts w:eastAsia="Arial" w:cstheme="minorHAnsi"/>
          <w:spacing w:val="2"/>
        </w:rPr>
        <w:t>d</w:t>
      </w:r>
      <w:r w:rsidRPr="00585C2D">
        <w:rPr>
          <w:rFonts w:eastAsia="Arial" w:cstheme="minorHAnsi"/>
          <w:spacing w:val="-1"/>
        </w:rPr>
        <w:t>i</w:t>
      </w:r>
      <w:r w:rsidRPr="00585C2D">
        <w:rPr>
          <w:rFonts w:eastAsia="Arial" w:cstheme="minorHAnsi"/>
          <w:spacing w:val="2"/>
        </w:rPr>
        <w:t>n</w:t>
      </w:r>
      <w:r w:rsidRPr="00585C2D">
        <w:rPr>
          <w:rFonts w:eastAsia="Arial" w:cstheme="minorHAnsi"/>
        </w:rPr>
        <w:t xml:space="preserve">g </w:t>
      </w:r>
      <w:r w:rsidRPr="00585C2D">
        <w:rPr>
          <w:rFonts w:eastAsia="Arial" w:cstheme="minorHAnsi"/>
          <w:spacing w:val="-2"/>
        </w:rPr>
        <w:t>r</w:t>
      </w:r>
      <w:r w:rsidRPr="00585C2D">
        <w:rPr>
          <w:rFonts w:eastAsia="Arial" w:cstheme="minorHAnsi"/>
          <w:spacing w:val="2"/>
        </w:rPr>
        <w:t>eg</w:t>
      </w:r>
      <w:r w:rsidRPr="00585C2D">
        <w:rPr>
          <w:rFonts w:eastAsia="Arial" w:cstheme="minorHAnsi"/>
          <w:spacing w:val="-1"/>
        </w:rPr>
        <w:t>i</w:t>
      </w:r>
      <w:r w:rsidRPr="00585C2D">
        <w:rPr>
          <w:rFonts w:eastAsia="Arial" w:cstheme="minorHAnsi"/>
        </w:rPr>
        <w:t>s</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rPr>
        <w:t>,</w:t>
      </w:r>
      <w:r w:rsidRPr="00585C2D">
        <w:rPr>
          <w:rFonts w:eastAsia="Arial" w:cstheme="minorHAnsi"/>
          <w:spacing w:val="2"/>
        </w:rPr>
        <w:t xml:space="preserve"> a</w:t>
      </w:r>
      <w:r w:rsidRPr="00585C2D">
        <w:rPr>
          <w:rFonts w:eastAsia="Arial" w:cstheme="minorHAnsi"/>
          <w:spacing w:val="-5"/>
        </w:rPr>
        <w:t>c</w:t>
      </w:r>
      <w:r w:rsidRPr="00585C2D">
        <w:rPr>
          <w:rFonts w:eastAsia="Arial" w:cstheme="minorHAnsi"/>
        </w:rPr>
        <w:t>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3"/>
        </w:rPr>
        <w:t>o</w:t>
      </w:r>
      <w:r w:rsidRPr="00585C2D">
        <w:rPr>
          <w:rFonts w:eastAsia="Arial" w:cstheme="minorHAnsi"/>
          <w:spacing w:val="2"/>
        </w:rPr>
        <w:t>d</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spacing w:val="-3"/>
        </w:rPr>
        <w:t>n</w:t>
      </w:r>
      <w:r w:rsidRPr="00585C2D">
        <w:rPr>
          <w:rFonts w:eastAsia="Arial" w:cstheme="minorHAnsi"/>
        </w:rPr>
        <w:t>,</w:t>
      </w:r>
      <w:r w:rsidRPr="00585C2D">
        <w:rPr>
          <w:rFonts w:eastAsia="Arial" w:cstheme="minorHAnsi"/>
          <w:spacing w:val="2"/>
        </w:rPr>
        <w:t xml:space="preserve"> </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a</w:t>
      </w:r>
      <w:r w:rsidRPr="00585C2D">
        <w:rPr>
          <w:rFonts w:eastAsia="Arial" w:cstheme="minorHAnsi"/>
          <w:spacing w:val="-1"/>
        </w:rPr>
        <w:t>l</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rPr>
        <w:t xml:space="preserve">) </w:t>
      </w:r>
      <w:r w:rsidRPr="00585C2D">
        <w:rPr>
          <w:rFonts w:eastAsia="Arial" w:cstheme="minorHAnsi"/>
          <w:spacing w:val="-6"/>
        </w:rPr>
        <w:t>w</w:t>
      </w:r>
      <w:r w:rsidRPr="00585C2D">
        <w:rPr>
          <w:rFonts w:eastAsia="Arial" w:cstheme="minorHAnsi"/>
          <w:spacing w:val="2"/>
        </w:rPr>
        <w:t>h</w:t>
      </w:r>
      <w:r w:rsidRPr="00585C2D">
        <w:rPr>
          <w:rFonts w:eastAsia="Arial" w:cstheme="minorHAnsi"/>
          <w:spacing w:val="-1"/>
        </w:rPr>
        <w:t>i</w:t>
      </w:r>
      <w:r w:rsidRPr="00585C2D">
        <w:rPr>
          <w:rFonts w:eastAsia="Arial" w:cstheme="minorHAnsi"/>
        </w:rPr>
        <w:t>ch</w:t>
      </w:r>
      <w:r w:rsidRPr="00585C2D">
        <w:rPr>
          <w:rFonts w:eastAsia="Arial" w:cstheme="minorHAnsi"/>
          <w:spacing w:val="-2"/>
        </w:rPr>
        <w:t xml:space="preserve"> </w:t>
      </w:r>
      <w:r w:rsidRPr="00585C2D">
        <w:rPr>
          <w:rFonts w:eastAsia="Arial" w:cstheme="minorHAnsi"/>
          <w:spacing w:val="2"/>
        </w:rPr>
        <w:t>ha</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3"/>
        </w:rPr>
        <w:t>b</w:t>
      </w:r>
      <w:r w:rsidRPr="00585C2D">
        <w:rPr>
          <w:rFonts w:eastAsia="Arial" w:cstheme="minorHAnsi"/>
          <w:spacing w:val="2"/>
        </w:rPr>
        <w:t>e</w:t>
      </w:r>
      <w:r w:rsidRPr="00585C2D">
        <w:rPr>
          <w:rFonts w:eastAsia="Arial" w:cstheme="minorHAnsi"/>
          <w:spacing w:val="-3"/>
        </w:rPr>
        <w:t>e</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spacing w:val="-5"/>
        </w:rPr>
        <w:t>c</w:t>
      </w:r>
      <w:r w:rsidRPr="00585C2D">
        <w:rPr>
          <w:rFonts w:eastAsia="Arial" w:cstheme="minorHAnsi"/>
          <w:spacing w:val="2"/>
        </w:rPr>
        <w:t>u</w:t>
      </w:r>
      <w:r w:rsidRPr="00585C2D">
        <w:rPr>
          <w:rFonts w:eastAsia="Arial" w:cstheme="minorHAnsi"/>
          <w:spacing w:val="-2"/>
        </w:rPr>
        <w:t>rr</w:t>
      </w:r>
      <w:r w:rsidRPr="00585C2D">
        <w:rPr>
          <w:rFonts w:eastAsia="Arial" w:cstheme="minorHAnsi"/>
          <w:spacing w:val="2"/>
        </w:rPr>
        <w:t>e</w:t>
      </w:r>
      <w:r w:rsidRPr="00585C2D">
        <w:rPr>
          <w:rFonts w:eastAsia="Arial" w:cstheme="minorHAnsi"/>
          <w:spacing w:val="-3"/>
        </w:rPr>
        <w:t>d</w:t>
      </w:r>
      <w:r w:rsidRPr="00585C2D">
        <w:rPr>
          <w:rFonts w:eastAsia="Arial" w:cstheme="minorHAnsi"/>
        </w:rPr>
        <w:t>.</w:t>
      </w:r>
    </w:p>
    <w:p w14:paraId="0495D5FE" w14:textId="77777777" w:rsidR="00FC0CF1" w:rsidRPr="00585C2D" w:rsidRDefault="00FC0CF1" w:rsidP="00FC0CF1">
      <w:pPr>
        <w:spacing w:after="120" w:line="250" w:lineRule="exact"/>
        <w:ind w:left="850" w:right="-45" w:hanging="425"/>
        <w:jc w:val="both"/>
        <w:rPr>
          <w:rFonts w:eastAsia="Arial" w:cstheme="minorHAnsi"/>
        </w:rPr>
      </w:pPr>
      <w:r>
        <w:rPr>
          <w:rFonts w:eastAsia="Arial" w:cstheme="minorHAnsi"/>
        </w:rPr>
        <w:lastRenderedPageBreak/>
        <w:t>c.</w:t>
      </w:r>
      <w:r>
        <w:rPr>
          <w:rFonts w:eastAsia="Arial" w:cstheme="minorHAnsi"/>
        </w:rPr>
        <w:tab/>
      </w:r>
      <w:r w:rsidRPr="00585C2D">
        <w:rPr>
          <w:rFonts w:eastAsia="Arial" w:cstheme="minorHAnsi"/>
          <w:spacing w:val="1"/>
        </w:rPr>
        <w:t>A</w:t>
      </w:r>
      <w:r>
        <w:rPr>
          <w:rFonts w:eastAsia="Arial" w:cstheme="minorHAnsi"/>
          <w:spacing w:val="1"/>
        </w:rPr>
        <w:t xml:space="preserve"> </w:t>
      </w:r>
      <w:r>
        <w:rPr>
          <w:rFonts w:eastAsia="Arial" w:cstheme="minorHAnsi"/>
        </w:rPr>
        <w:t xml:space="preserve">provision </w:t>
      </w:r>
      <w:r w:rsidRPr="005867A6">
        <w:rPr>
          <w:rFonts w:eastAsia="Arial" w:cstheme="minorHAnsi"/>
          <w:spacing w:val="-3"/>
        </w:rPr>
        <w:t>o</w:t>
      </w:r>
      <w:r w:rsidRPr="005867A6">
        <w:rPr>
          <w:rFonts w:eastAsia="Arial" w:cstheme="minorHAnsi"/>
        </w:rPr>
        <w:t>f</w:t>
      </w:r>
      <w:r>
        <w:rPr>
          <w:rFonts w:eastAsia="Arial" w:cstheme="minorHAnsi"/>
        </w:rPr>
        <w:t xml:space="preserve"> up to</w:t>
      </w:r>
      <w:r w:rsidRPr="005867A6">
        <w:rPr>
          <w:rFonts w:eastAsia="Arial" w:cstheme="minorHAnsi"/>
          <w:spacing w:val="-7"/>
        </w:rPr>
        <w:t xml:space="preserve"> </w:t>
      </w:r>
      <w:r w:rsidRPr="005867A6">
        <w:rPr>
          <w:rFonts w:eastAsia="Arial" w:cstheme="minorHAnsi"/>
          <w:spacing w:val="-3"/>
        </w:rPr>
        <w:t>$</w:t>
      </w:r>
      <w:r>
        <w:rPr>
          <w:rFonts w:eastAsia="Arial" w:cstheme="minorHAnsi"/>
          <w:spacing w:val="-3"/>
        </w:rPr>
        <w:t>6</w:t>
      </w:r>
      <w:r w:rsidRPr="005867A6">
        <w:rPr>
          <w:rFonts w:eastAsia="Arial" w:cstheme="minorHAnsi"/>
          <w:spacing w:val="-4"/>
        </w:rPr>
        <w:t>,</w:t>
      </w:r>
      <w:r w:rsidRPr="005867A6">
        <w:rPr>
          <w:rFonts w:eastAsia="Arial" w:cstheme="minorHAnsi"/>
          <w:spacing w:val="-3"/>
        </w:rPr>
        <w:t>0</w:t>
      </w:r>
      <w:r w:rsidRPr="005867A6">
        <w:rPr>
          <w:rFonts w:eastAsia="Arial" w:cstheme="minorHAnsi"/>
          <w:spacing w:val="2"/>
        </w:rPr>
        <w:t>0</w:t>
      </w:r>
      <w:r w:rsidRPr="005867A6">
        <w:rPr>
          <w:rFonts w:eastAsia="Arial" w:cstheme="minorHAnsi"/>
        </w:rPr>
        <w:t>0</w:t>
      </w:r>
      <w:r>
        <w:rPr>
          <w:rFonts w:eastAsia="Arial" w:cstheme="minorHAnsi"/>
          <w:spacing w:val="-12"/>
        </w:rPr>
        <w:t xml:space="preserve"> </w:t>
      </w:r>
      <w:proofErr w:type="spellStart"/>
      <w:r>
        <w:rPr>
          <w:rFonts w:eastAsia="Arial" w:cstheme="minorHAnsi"/>
          <w:spacing w:val="-12"/>
        </w:rPr>
        <w:t>pa</w:t>
      </w:r>
      <w:proofErr w:type="spellEnd"/>
      <w:r>
        <w:rPr>
          <w:rFonts w:eastAsia="Arial" w:cstheme="minorHAnsi"/>
          <w:spacing w:val="-1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10"/>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6"/>
        </w:rPr>
        <w:t>M</w:t>
      </w:r>
      <w:r w:rsidRPr="00585C2D">
        <w:rPr>
          <w:rFonts w:eastAsia="Arial" w:cstheme="minorHAnsi"/>
          <w:spacing w:val="2"/>
        </w:rPr>
        <w:t>a</w:t>
      </w:r>
      <w:r w:rsidRPr="00585C2D">
        <w:rPr>
          <w:rFonts w:eastAsia="Arial" w:cstheme="minorHAnsi"/>
        </w:rPr>
        <w:t>y</w:t>
      </w:r>
      <w:r w:rsidRPr="00585C2D">
        <w:rPr>
          <w:rFonts w:eastAsia="Arial" w:cstheme="minorHAnsi"/>
          <w:spacing w:val="2"/>
        </w:rPr>
        <w:t>o</w:t>
      </w:r>
      <w:r w:rsidRPr="00585C2D">
        <w:rPr>
          <w:rFonts w:eastAsia="Arial" w:cstheme="minorHAnsi"/>
        </w:rPr>
        <w:t>r</w:t>
      </w:r>
      <w:r w:rsidRPr="00585C2D">
        <w:rPr>
          <w:rFonts w:eastAsia="Arial" w:cstheme="minorHAnsi"/>
          <w:spacing w:val="-10"/>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1"/>
        </w:rPr>
        <w:t>C</w:t>
      </w:r>
      <w:r w:rsidRPr="00585C2D">
        <w:rPr>
          <w:rFonts w:eastAsia="Arial" w:cstheme="minorHAnsi"/>
          <w:spacing w:val="-3"/>
        </w:rPr>
        <w:t>E</w:t>
      </w:r>
      <w:r w:rsidRPr="00585C2D">
        <w:rPr>
          <w:rFonts w:eastAsia="Arial" w:cstheme="minorHAnsi"/>
          <w:spacing w:val="1"/>
        </w:rPr>
        <w:t>O</w:t>
      </w:r>
      <w:r w:rsidRPr="00585C2D">
        <w:rPr>
          <w:rFonts w:eastAsia="Arial" w:cstheme="minorHAnsi"/>
        </w:rPr>
        <w:t>,</w:t>
      </w:r>
      <w:r w:rsidRPr="00585C2D">
        <w:rPr>
          <w:rFonts w:eastAsia="Arial" w:cstheme="minorHAnsi"/>
          <w:spacing w:val="-7"/>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10"/>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e</w:t>
      </w:r>
      <w:r w:rsidRPr="00585C2D">
        <w:rPr>
          <w:rFonts w:eastAsia="Arial" w:cstheme="minorHAnsi"/>
        </w:rPr>
        <w:t>r</w:t>
      </w:r>
      <w:r w:rsidRPr="00585C2D">
        <w:rPr>
          <w:rFonts w:eastAsia="Arial" w:cstheme="minorHAnsi"/>
          <w:spacing w:val="-10"/>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5"/>
        </w:rPr>
        <w:t>s</w:t>
      </w:r>
      <w:r w:rsidRPr="00585C2D">
        <w:rPr>
          <w:rFonts w:eastAsia="Arial" w:cstheme="minorHAnsi"/>
          <w:spacing w:val="1"/>
        </w:rPr>
        <w:t>t</w:t>
      </w:r>
      <w:r w:rsidRPr="00585C2D">
        <w:rPr>
          <w:rFonts w:eastAsia="Arial" w:cstheme="minorHAnsi"/>
        </w:rPr>
        <w:t>s</w:t>
      </w:r>
      <w:r w:rsidRPr="00585C2D">
        <w:rPr>
          <w:rFonts w:eastAsia="Arial" w:cstheme="minorHAnsi"/>
          <w:spacing w:val="-8"/>
        </w:rPr>
        <w:t xml:space="preserve"> </w:t>
      </w:r>
      <w:r w:rsidRPr="00585C2D">
        <w:rPr>
          <w:rFonts w:eastAsia="Arial" w:cstheme="minorHAnsi"/>
          <w:spacing w:val="2"/>
        </w:rPr>
        <w:t>a</w:t>
      </w:r>
      <w:r w:rsidRPr="00585C2D">
        <w:rPr>
          <w:rFonts w:eastAsia="Arial" w:cstheme="minorHAnsi"/>
          <w:spacing w:val="-5"/>
        </w:rPr>
        <w:t>s</w:t>
      </w:r>
      <w:r w:rsidRPr="00585C2D">
        <w:rPr>
          <w:rFonts w:eastAsia="Arial" w:cstheme="minorHAnsi"/>
        </w:rPr>
        <w:t>s</w:t>
      </w:r>
      <w:r w:rsidRPr="00585C2D">
        <w:rPr>
          <w:rFonts w:eastAsia="Arial" w:cstheme="minorHAnsi"/>
          <w:spacing w:val="2"/>
        </w:rPr>
        <w:t>o</w:t>
      </w:r>
      <w:r w:rsidRPr="00585C2D">
        <w:rPr>
          <w:rFonts w:eastAsia="Arial" w:cstheme="minorHAnsi"/>
        </w:rPr>
        <w:t>c</w:t>
      </w:r>
      <w:r w:rsidRPr="00585C2D">
        <w:rPr>
          <w:rFonts w:eastAsia="Arial" w:cstheme="minorHAnsi"/>
          <w:spacing w:val="-1"/>
        </w:rPr>
        <w:t>i</w:t>
      </w:r>
      <w:r w:rsidRPr="00585C2D">
        <w:rPr>
          <w:rFonts w:eastAsia="Arial" w:cstheme="minorHAnsi"/>
          <w:spacing w:val="-3"/>
        </w:rPr>
        <w:t>a</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1"/>
        </w:rPr>
        <w:t>wi</w:t>
      </w:r>
      <w:r w:rsidRPr="00585C2D">
        <w:rPr>
          <w:rFonts w:eastAsia="Arial" w:cstheme="minorHAnsi"/>
          <w:spacing w:val="1"/>
        </w:rPr>
        <w:t>t</w:t>
      </w:r>
      <w:r w:rsidRPr="00585C2D">
        <w:rPr>
          <w:rFonts w:eastAsia="Arial" w:cstheme="minorHAnsi"/>
        </w:rPr>
        <w:t xml:space="preserve">h </w:t>
      </w:r>
      <w:r w:rsidRPr="00585C2D">
        <w:rPr>
          <w:rFonts w:eastAsia="Arial" w:cstheme="minorHAnsi"/>
          <w:spacing w:val="2"/>
        </w:rPr>
        <w:t>a</w:t>
      </w:r>
      <w:r w:rsidRPr="00585C2D">
        <w:rPr>
          <w:rFonts w:eastAsia="Arial" w:cstheme="minorHAnsi"/>
          <w:spacing w:val="1"/>
        </w:rPr>
        <w:t>t</w:t>
      </w:r>
      <w:r w:rsidRPr="00585C2D">
        <w:rPr>
          <w:rFonts w:eastAsia="Arial" w:cstheme="minorHAnsi"/>
          <w:spacing w:val="-4"/>
        </w:rPr>
        <w:t>t</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w:t>
      </w:r>
      <w:r w:rsidRPr="00585C2D">
        <w:rPr>
          <w:rFonts w:eastAsia="Arial" w:cstheme="minorHAnsi"/>
          <w:spacing w:val="-3"/>
        </w:rPr>
        <w:t>a</w:t>
      </w:r>
      <w:r w:rsidRPr="00585C2D">
        <w:rPr>
          <w:rFonts w:eastAsia="Arial" w:cstheme="minorHAnsi"/>
          <w:spacing w:val="2"/>
        </w:rPr>
        <w:t>n</w:t>
      </w:r>
      <w:r w:rsidRPr="00585C2D">
        <w:rPr>
          <w:rFonts w:eastAsia="Arial" w:cstheme="minorHAnsi"/>
        </w:rPr>
        <w:t>ce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e</w:t>
      </w:r>
      <w:r w:rsidRPr="00585C2D">
        <w:rPr>
          <w:rFonts w:eastAsia="Arial" w:cstheme="minorHAnsi"/>
          <w:spacing w:val="-5"/>
        </w:rPr>
        <w:t>s</w:t>
      </w:r>
      <w:r w:rsidRPr="00585C2D">
        <w:rPr>
          <w:rFonts w:eastAsia="Arial" w:cstheme="minorHAnsi"/>
        </w:rPr>
        <w:t>.</w:t>
      </w:r>
    </w:p>
    <w:p w14:paraId="033F117F" w14:textId="77777777" w:rsidR="00FC0CF1" w:rsidRPr="00585C2D" w:rsidRDefault="00FC0CF1" w:rsidP="00FC0CF1">
      <w:pPr>
        <w:spacing w:after="120" w:line="240" w:lineRule="auto"/>
        <w:ind w:left="850" w:right="-45" w:hanging="425"/>
        <w:jc w:val="both"/>
        <w:rPr>
          <w:rFonts w:eastAsia="Arial" w:cstheme="minorHAnsi"/>
        </w:rPr>
      </w:pPr>
      <w:r w:rsidRPr="00585C2D">
        <w:rPr>
          <w:rFonts w:eastAsia="Arial" w:cstheme="minorHAnsi"/>
          <w:spacing w:val="2"/>
        </w:rPr>
        <w:t>d</w:t>
      </w:r>
      <w:r>
        <w:rPr>
          <w:rFonts w:eastAsia="Arial" w:cstheme="minorHAnsi"/>
        </w:rPr>
        <w:t>.</w:t>
      </w:r>
      <w:r>
        <w:rPr>
          <w:rFonts w:eastAsia="Arial" w:cstheme="minorHAnsi"/>
        </w:rPr>
        <w:tab/>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2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1"/>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20"/>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19"/>
        </w:rPr>
        <w:t xml:space="preserve"> </w:t>
      </w:r>
      <w:r w:rsidRPr="00585C2D">
        <w:rPr>
          <w:rFonts w:eastAsia="Arial" w:cstheme="minorHAnsi"/>
          <w:spacing w:val="2"/>
        </w:rPr>
        <w:t>on</w:t>
      </w:r>
      <w:r w:rsidRPr="00585C2D">
        <w:rPr>
          <w:rFonts w:eastAsia="Arial" w:cstheme="minorHAnsi"/>
          <w:spacing w:val="-1"/>
        </w:rPr>
        <w:t>l</w:t>
      </w:r>
      <w:r w:rsidRPr="00585C2D">
        <w:rPr>
          <w:rFonts w:eastAsia="Arial" w:cstheme="minorHAnsi"/>
        </w:rPr>
        <w:t>y</w:t>
      </w:r>
      <w:r w:rsidRPr="00585C2D">
        <w:rPr>
          <w:rFonts w:eastAsia="Arial" w:cstheme="minorHAnsi"/>
          <w:spacing w:val="20"/>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22"/>
        </w:rPr>
        <w:t xml:space="preserve"> </w:t>
      </w:r>
      <w:r w:rsidRPr="00585C2D">
        <w:rPr>
          <w:rFonts w:eastAsia="Arial" w:cstheme="minorHAnsi"/>
          <w:spacing w:val="-2"/>
        </w:rPr>
        <w:t>r</w:t>
      </w:r>
      <w:r w:rsidRPr="00585C2D">
        <w:rPr>
          <w:rFonts w:eastAsia="Arial" w:cstheme="minorHAnsi"/>
          <w:spacing w:val="2"/>
        </w:rPr>
        <w:t>eg</w:t>
      </w:r>
      <w:r w:rsidRPr="00585C2D">
        <w:rPr>
          <w:rFonts w:eastAsia="Arial" w:cstheme="minorHAnsi"/>
          <w:spacing w:val="-1"/>
        </w:rPr>
        <w:t>i</w:t>
      </w:r>
      <w:r w:rsidRPr="00585C2D">
        <w:rPr>
          <w:rFonts w:eastAsia="Arial" w:cstheme="minorHAnsi"/>
        </w:rPr>
        <w:t>s</w:t>
      </w:r>
      <w:r w:rsidRPr="00585C2D">
        <w:rPr>
          <w:rFonts w:eastAsia="Arial" w:cstheme="minorHAnsi"/>
          <w:spacing w:val="-4"/>
        </w:rPr>
        <w:t>t</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e</w:t>
      </w:r>
      <w:r w:rsidRPr="00585C2D">
        <w:rPr>
          <w:rFonts w:eastAsia="Arial" w:cstheme="minorHAnsi"/>
        </w:rPr>
        <w:t>d</w:t>
      </w:r>
      <w:r w:rsidRPr="00585C2D">
        <w:rPr>
          <w:rFonts w:eastAsia="Arial" w:cstheme="minorHAnsi"/>
          <w:spacing w:val="17"/>
        </w:rPr>
        <w:t xml:space="preserve"> </w:t>
      </w:r>
      <w:r w:rsidRPr="00585C2D">
        <w:rPr>
          <w:rFonts w:eastAsia="Arial" w:cstheme="minorHAnsi"/>
          <w:spacing w:val="6"/>
        </w:rPr>
        <w:t>f</w:t>
      </w:r>
      <w:r w:rsidRPr="00585C2D">
        <w:rPr>
          <w:rFonts w:eastAsia="Arial" w:cstheme="minorHAnsi"/>
          <w:spacing w:val="2"/>
        </w:rPr>
        <w:t>o</w:t>
      </w:r>
      <w:r w:rsidRPr="00585C2D">
        <w:rPr>
          <w:rFonts w:eastAsia="Arial" w:cstheme="minorHAnsi"/>
        </w:rPr>
        <w:t>r</w:t>
      </w:r>
      <w:r w:rsidRPr="00585C2D">
        <w:rPr>
          <w:rFonts w:eastAsia="Arial" w:cstheme="minorHAnsi"/>
          <w:spacing w:val="20"/>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4"/>
        </w:rPr>
        <w:t>f</w:t>
      </w:r>
      <w:r w:rsidRPr="00585C2D">
        <w:rPr>
          <w:rFonts w:eastAsia="Arial" w:cstheme="minorHAnsi"/>
          <w:spacing w:val="2"/>
        </w:rPr>
        <w:t>e</w:t>
      </w:r>
      <w:r w:rsidRPr="00585C2D">
        <w:rPr>
          <w:rFonts w:eastAsia="Arial" w:cstheme="minorHAnsi"/>
        </w:rPr>
        <w:t>ss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21"/>
        </w:rPr>
        <w:t xml:space="preserve"> </w:t>
      </w:r>
      <w:r w:rsidRPr="00585C2D">
        <w:rPr>
          <w:rFonts w:eastAsia="Arial" w:cstheme="minorHAnsi"/>
          <w:spacing w:val="-3"/>
        </w:rPr>
        <w:t>d</w:t>
      </w:r>
      <w:r w:rsidRPr="00585C2D">
        <w:rPr>
          <w:rFonts w:eastAsia="Arial" w:cstheme="minorHAnsi"/>
          <w:spacing w:val="2"/>
        </w:rPr>
        <w:t>e</w:t>
      </w:r>
      <w:r w:rsidRPr="00585C2D">
        <w:rPr>
          <w:rFonts w:eastAsia="Arial" w:cstheme="minorHAnsi"/>
        </w:rPr>
        <w:t>v</w:t>
      </w:r>
      <w:r w:rsidRPr="00585C2D">
        <w:rPr>
          <w:rFonts w:eastAsia="Arial" w:cstheme="minorHAnsi"/>
          <w:spacing w:val="2"/>
        </w:rPr>
        <w:t>e</w:t>
      </w:r>
      <w:r w:rsidRPr="00585C2D">
        <w:rPr>
          <w:rFonts w:eastAsia="Arial" w:cstheme="minorHAnsi"/>
          <w:spacing w:val="-6"/>
        </w:rPr>
        <w:t>l</w:t>
      </w:r>
      <w:r w:rsidRPr="00585C2D">
        <w:rPr>
          <w:rFonts w:eastAsia="Arial" w:cstheme="minorHAnsi"/>
          <w:spacing w:val="2"/>
        </w:rPr>
        <w:t>op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16"/>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e</w:t>
      </w:r>
      <w:r w:rsidRPr="00585C2D">
        <w:rPr>
          <w:rFonts w:eastAsia="Arial" w:cstheme="minorHAnsi"/>
        </w:rPr>
        <w:t>s</w:t>
      </w:r>
      <w:r w:rsidRPr="00585C2D">
        <w:rPr>
          <w:rFonts w:eastAsia="Arial" w:cstheme="minorHAnsi"/>
          <w:spacing w:val="24"/>
        </w:rPr>
        <w:t xml:space="preserve"> </w:t>
      </w:r>
      <w:r w:rsidRPr="00585C2D">
        <w:rPr>
          <w:rFonts w:eastAsia="Arial" w:cstheme="minorHAnsi"/>
          <w:spacing w:val="-6"/>
        </w:rPr>
        <w:t>i</w:t>
      </w:r>
      <w:r w:rsidRPr="00585C2D">
        <w:rPr>
          <w:rFonts w:eastAsia="Arial" w:cstheme="minorHAnsi"/>
        </w:rPr>
        <w:t>f</w:t>
      </w:r>
      <w:r w:rsidRPr="00585C2D">
        <w:rPr>
          <w:rFonts w:eastAsia="Arial" w:cstheme="minorHAnsi"/>
          <w:spacing w:val="26"/>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3"/>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 xml:space="preserve">d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6"/>
        </w:rPr>
        <w:t xml:space="preserve"> </w:t>
      </w:r>
      <w:r w:rsidRPr="00585C2D">
        <w:rPr>
          <w:rFonts w:eastAsia="Arial" w:cstheme="minorHAnsi"/>
          <w:spacing w:val="2"/>
        </w:rPr>
        <w:t>ha</w:t>
      </w:r>
      <w:r w:rsidRPr="00585C2D">
        <w:rPr>
          <w:rFonts w:eastAsia="Arial" w:cstheme="minorHAnsi"/>
        </w:rPr>
        <w:t>s</w:t>
      </w:r>
      <w:r w:rsidRPr="00585C2D">
        <w:rPr>
          <w:rFonts w:eastAsia="Arial" w:cstheme="minorHAnsi"/>
          <w:spacing w:val="1"/>
        </w:rPr>
        <w:t xml:space="preserve"> </w:t>
      </w:r>
      <w:r w:rsidRPr="00585C2D">
        <w:rPr>
          <w:rFonts w:eastAsia="Arial" w:cstheme="minorHAnsi"/>
        </w:rPr>
        <w:t>s</w:t>
      </w:r>
      <w:r w:rsidRPr="00585C2D">
        <w:rPr>
          <w:rFonts w:eastAsia="Arial" w:cstheme="minorHAnsi"/>
          <w:spacing w:val="-3"/>
        </w:rPr>
        <w:t>u</w:t>
      </w:r>
      <w:r w:rsidRPr="00585C2D">
        <w:rPr>
          <w:rFonts w:eastAsia="Arial" w:cstheme="minorHAnsi"/>
          <w:spacing w:val="1"/>
        </w:rPr>
        <w:t>ff</w:t>
      </w:r>
      <w:r w:rsidRPr="00585C2D">
        <w:rPr>
          <w:rFonts w:eastAsia="Arial" w:cstheme="minorHAnsi"/>
          <w:spacing w:val="-1"/>
        </w:rPr>
        <w:t>i</w:t>
      </w:r>
      <w:r w:rsidRPr="00585C2D">
        <w:rPr>
          <w:rFonts w:eastAsia="Arial" w:cstheme="minorHAnsi"/>
        </w:rPr>
        <w:t>c</w:t>
      </w:r>
      <w:r w:rsidRPr="00585C2D">
        <w:rPr>
          <w:rFonts w:eastAsia="Arial" w:cstheme="minorHAnsi"/>
          <w:spacing w:val="-1"/>
        </w:rPr>
        <w:t>i</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1"/>
        </w:rPr>
        <w:t>f</w:t>
      </w:r>
      <w:r w:rsidRPr="00585C2D">
        <w:rPr>
          <w:rFonts w:eastAsia="Arial" w:cstheme="minorHAnsi"/>
          <w:spacing w:val="2"/>
        </w:rPr>
        <w:t>u</w:t>
      </w:r>
      <w:r w:rsidRPr="00585C2D">
        <w:rPr>
          <w:rFonts w:eastAsia="Arial" w:cstheme="minorHAnsi"/>
          <w:spacing w:val="-3"/>
        </w:rPr>
        <w:t>n</w:t>
      </w:r>
      <w:r w:rsidRPr="00585C2D">
        <w:rPr>
          <w:rFonts w:eastAsia="Arial" w:cstheme="minorHAnsi"/>
          <w:spacing w:val="2"/>
        </w:rPr>
        <w:t>d</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6"/>
        </w:rPr>
        <w:t>i</w:t>
      </w:r>
      <w:r w:rsidRPr="00585C2D">
        <w:rPr>
          <w:rFonts w:eastAsia="Arial" w:cstheme="minorHAnsi"/>
        </w:rPr>
        <w:t>n</w:t>
      </w:r>
      <w:r w:rsidRPr="00585C2D">
        <w:rPr>
          <w:rFonts w:eastAsia="Arial" w:cstheme="minorHAnsi"/>
          <w:spacing w:val="8"/>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r</w:t>
      </w:r>
      <w:r w:rsidRPr="00585C2D">
        <w:rPr>
          <w:rFonts w:eastAsia="Arial" w:cstheme="minorHAnsi"/>
          <w:spacing w:val="10"/>
        </w:rPr>
        <w:t xml:space="preserve"> </w:t>
      </w:r>
      <w:r w:rsidRPr="00585C2D">
        <w:rPr>
          <w:rFonts w:eastAsia="Arial" w:cstheme="minorHAnsi"/>
          <w:spacing w:val="2"/>
        </w:rPr>
        <w:t>e</w:t>
      </w:r>
      <w:r w:rsidRPr="00585C2D">
        <w:rPr>
          <w:rFonts w:eastAsia="Arial" w:cstheme="minorHAnsi"/>
        </w:rPr>
        <w:t>x</w:t>
      </w:r>
      <w:r w:rsidRPr="00585C2D">
        <w:rPr>
          <w:rFonts w:eastAsia="Arial" w:cstheme="minorHAnsi"/>
          <w:spacing w:val="-3"/>
        </w:rPr>
        <w:t>p</w:t>
      </w:r>
      <w:r w:rsidRPr="00585C2D">
        <w:rPr>
          <w:rFonts w:eastAsia="Arial" w:cstheme="minorHAnsi"/>
          <w:spacing w:val="2"/>
        </w:rPr>
        <w:t>en</w:t>
      </w:r>
      <w:r w:rsidRPr="00585C2D">
        <w:rPr>
          <w:rFonts w:eastAsia="Arial" w:cstheme="minorHAnsi"/>
          <w:spacing w:val="-5"/>
        </w:rPr>
        <w:t>s</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8"/>
        </w:rPr>
        <w:t xml:space="preserve"> </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e</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rPr>
        <w:t>s</w:t>
      </w:r>
      <w:r w:rsidRPr="00585C2D">
        <w:rPr>
          <w:rFonts w:eastAsia="Arial" w:cstheme="minorHAnsi"/>
          <w:spacing w:val="1"/>
        </w:rPr>
        <w:t>t</w:t>
      </w:r>
      <w:r w:rsidRPr="00585C2D">
        <w:rPr>
          <w:rFonts w:eastAsia="Arial" w:cstheme="minorHAnsi"/>
        </w:rPr>
        <w:t>s,</w:t>
      </w:r>
      <w:r w:rsidRPr="00585C2D">
        <w:rPr>
          <w:rFonts w:eastAsia="Arial" w:cstheme="minorHAnsi"/>
          <w:spacing w:val="2"/>
        </w:rPr>
        <w:t xml:space="preserve"> </w:t>
      </w:r>
      <w:r w:rsidRPr="00585C2D">
        <w:rPr>
          <w:rFonts w:eastAsia="Arial" w:cstheme="minorHAnsi"/>
          <w:spacing w:val="-3"/>
        </w:rPr>
        <w:t>u</w:t>
      </w:r>
      <w:r w:rsidRPr="00585C2D">
        <w:rPr>
          <w:rFonts w:eastAsia="Arial" w:cstheme="minorHAnsi"/>
          <w:spacing w:val="2"/>
        </w:rPr>
        <w:t>n</w:t>
      </w:r>
      <w:r w:rsidRPr="00585C2D">
        <w:rPr>
          <w:rFonts w:eastAsia="Arial" w:cstheme="minorHAnsi"/>
          <w:spacing w:val="-1"/>
        </w:rPr>
        <w:t>l</w:t>
      </w:r>
      <w:r w:rsidRPr="00585C2D">
        <w:rPr>
          <w:rFonts w:eastAsia="Arial" w:cstheme="minorHAnsi"/>
          <w:spacing w:val="2"/>
        </w:rPr>
        <w:t>e</w:t>
      </w:r>
      <w:r w:rsidRPr="00585C2D">
        <w:rPr>
          <w:rFonts w:eastAsia="Arial" w:cstheme="minorHAnsi"/>
        </w:rPr>
        <w:t xml:space="preserve">ss </w:t>
      </w:r>
      <w:r w:rsidRPr="00585C2D">
        <w:rPr>
          <w:rFonts w:eastAsia="Arial" w:cstheme="minorHAnsi"/>
          <w:spacing w:val="-1"/>
        </w:rPr>
        <w:t>C</w:t>
      </w:r>
      <w:r w:rsidRPr="00585C2D">
        <w:rPr>
          <w:rFonts w:eastAsia="Arial" w:cstheme="minorHAnsi"/>
          <w:spacing w:val="2"/>
        </w:rPr>
        <w:t>ou</w:t>
      </w:r>
      <w:r w:rsidRPr="00585C2D">
        <w:rPr>
          <w:rFonts w:eastAsia="Arial" w:cstheme="minorHAnsi"/>
          <w:spacing w:val="-3"/>
        </w:rPr>
        <w:t>n</w:t>
      </w:r>
      <w:r w:rsidRPr="00585C2D">
        <w:rPr>
          <w:rFonts w:eastAsia="Arial" w:cstheme="minorHAnsi"/>
        </w:rPr>
        <w:t>c</w:t>
      </w:r>
      <w:r w:rsidRPr="00585C2D">
        <w:rPr>
          <w:rFonts w:eastAsia="Arial" w:cstheme="minorHAnsi"/>
          <w:spacing w:val="-1"/>
        </w:rPr>
        <w:t>i</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rPr>
        <w:t>s</w:t>
      </w:r>
      <w:r w:rsidRPr="00585C2D">
        <w:rPr>
          <w:rFonts w:eastAsia="Arial" w:cstheme="minorHAnsi"/>
          <w:spacing w:val="2"/>
        </w:rPr>
        <w:t>o</w:t>
      </w:r>
      <w:r w:rsidRPr="00585C2D">
        <w:rPr>
          <w:rFonts w:eastAsia="Arial" w:cstheme="minorHAnsi"/>
          <w:spacing w:val="-1"/>
        </w:rPr>
        <w:t>l</w:t>
      </w:r>
      <w:r w:rsidRPr="00585C2D">
        <w:rPr>
          <w:rFonts w:eastAsia="Arial" w:cstheme="minorHAnsi"/>
          <w:spacing w:val="-5"/>
        </w:rPr>
        <w:t>v</w:t>
      </w:r>
      <w:r w:rsidRPr="00585C2D">
        <w:rPr>
          <w:rFonts w:eastAsia="Arial" w:cstheme="minorHAnsi"/>
          <w:spacing w:val="2"/>
        </w:rPr>
        <w:t>e</w:t>
      </w:r>
      <w:r w:rsidRPr="00585C2D">
        <w:rPr>
          <w:rFonts w:eastAsia="Arial" w:cstheme="minorHAnsi"/>
        </w:rPr>
        <w:t>s</w:t>
      </w:r>
      <w:r w:rsidRPr="00585C2D">
        <w:rPr>
          <w:rFonts w:eastAsia="Arial" w:cstheme="minorHAnsi"/>
          <w:spacing w:val="-4"/>
        </w:rPr>
        <w:t xml:space="preserve"> t</w:t>
      </w:r>
      <w:r w:rsidRPr="00585C2D">
        <w:rPr>
          <w:rFonts w:eastAsia="Arial" w:cstheme="minorHAnsi"/>
          <w:spacing w:val="4"/>
        </w:rPr>
        <w:t>h</w:t>
      </w:r>
      <w:r w:rsidRPr="00585C2D">
        <w:rPr>
          <w:rFonts w:eastAsia="Arial" w:cstheme="minorHAnsi"/>
          <w:spacing w:val="2"/>
        </w:rPr>
        <w:t>a</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spacing w:val="1"/>
        </w:rPr>
        <w:t>t</w:t>
      </w:r>
      <w:r w:rsidRPr="00585C2D">
        <w:rPr>
          <w:rFonts w:eastAsia="Arial" w:cstheme="minorHAnsi"/>
          <w:spacing w:val="-4"/>
        </w:rPr>
        <w:t>t</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w:t>
      </w:r>
      <w:r w:rsidRPr="00585C2D">
        <w:rPr>
          <w:rFonts w:eastAsia="Arial" w:cstheme="minorHAnsi"/>
          <w:spacing w:val="-3"/>
        </w:rPr>
        <w:t>a</w:t>
      </w:r>
      <w:r w:rsidRPr="00585C2D">
        <w:rPr>
          <w:rFonts w:eastAsia="Arial" w:cstheme="minorHAnsi"/>
          <w:spacing w:val="2"/>
        </w:rPr>
        <w:t>n</w:t>
      </w:r>
      <w:r w:rsidRPr="00585C2D">
        <w:rPr>
          <w:rFonts w:eastAsia="Arial" w:cstheme="minorHAnsi"/>
          <w:spacing w:val="-5"/>
        </w:rPr>
        <w:t>c</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8"/>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a</w:t>
      </w:r>
      <w:r w:rsidRPr="00585C2D">
        <w:rPr>
          <w:rFonts w:eastAsia="Arial" w:cstheme="minorHAnsi"/>
        </w:rPr>
        <w:t>t</w:t>
      </w:r>
      <w:r w:rsidRPr="00585C2D">
        <w:rPr>
          <w:rFonts w:eastAsia="Arial" w:cstheme="minorHAnsi"/>
          <w:spacing w:val="1"/>
        </w:rPr>
        <w:t xml:space="preserve"> 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6"/>
        </w:rPr>
        <w:t xml:space="preserve"> 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1"/>
        </w:rPr>
        <w:t>w</w:t>
      </w:r>
      <w:r w:rsidRPr="00585C2D">
        <w:rPr>
          <w:rFonts w:eastAsia="Arial" w:cstheme="minorHAnsi"/>
          <w:spacing w:val="2"/>
        </w:rPr>
        <w:t>ou</w:t>
      </w:r>
      <w:r w:rsidRPr="00585C2D">
        <w:rPr>
          <w:rFonts w:eastAsia="Arial" w:cstheme="minorHAnsi"/>
          <w:spacing w:val="-1"/>
        </w:rPr>
        <w:t>l</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5"/>
        </w:rPr>
        <w:t>s</w:t>
      </w:r>
      <w:r w:rsidRPr="00585C2D">
        <w:rPr>
          <w:rFonts w:eastAsia="Arial" w:cstheme="minorHAnsi"/>
          <w:spacing w:val="-3"/>
        </w:rPr>
        <w:t>p</w:t>
      </w:r>
      <w:r w:rsidRPr="00585C2D">
        <w:rPr>
          <w:rFonts w:eastAsia="Arial" w:cstheme="minorHAnsi"/>
          <w:spacing w:val="2"/>
        </w:rPr>
        <w:t>e</w:t>
      </w:r>
      <w:r w:rsidRPr="00585C2D">
        <w:rPr>
          <w:rFonts w:eastAsia="Arial" w:cstheme="minorHAnsi"/>
        </w:rPr>
        <w:t>c</w:t>
      </w:r>
      <w:r w:rsidRPr="00585C2D">
        <w:rPr>
          <w:rFonts w:eastAsia="Arial" w:cstheme="minorHAnsi"/>
          <w:spacing w:val="-6"/>
        </w:rPr>
        <w:t>i</w:t>
      </w:r>
      <w:r w:rsidRPr="00585C2D">
        <w:rPr>
          <w:rFonts w:eastAsia="Arial" w:cstheme="minorHAnsi"/>
          <w:spacing w:val="6"/>
        </w:rPr>
        <w:t>f</w:t>
      </w:r>
      <w:r w:rsidRPr="00585C2D">
        <w:rPr>
          <w:rFonts w:eastAsia="Arial" w:cstheme="minorHAnsi"/>
          <w:spacing w:val="-1"/>
        </w:rPr>
        <w:t>i</w:t>
      </w:r>
      <w:r w:rsidRPr="00585C2D">
        <w:rPr>
          <w:rFonts w:eastAsia="Arial" w:cstheme="minorHAnsi"/>
        </w:rPr>
        <w:t xml:space="preserve">c </w:t>
      </w:r>
      <w:r w:rsidRPr="00585C2D">
        <w:rPr>
          <w:rFonts w:eastAsia="Arial" w:cstheme="minorHAnsi"/>
          <w:spacing w:val="-3"/>
        </w:rPr>
        <w:t>b</w:t>
      </w:r>
      <w:r w:rsidRPr="00585C2D">
        <w:rPr>
          <w:rFonts w:eastAsia="Arial" w:cstheme="minorHAnsi"/>
          <w:spacing w:val="2"/>
        </w:rPr>
        <w:t>e</w:t>
      </w:r>
      <w:r w:rsidRPr="00585C2D">
        <w:rPr>
          <w:rFonts w:eastAsia="Arial" w:cstheme="minorHAnsi"/>
          <w:spacing w:val="-3"/>
        </w:rPr>
        <w:t>ne</w:t>
      </w:r>
      <w:r w:rsidRPr="00585C2D">
        <w:rPr>
          <w:rFonts w:eastAsia="Arial" w:cstheme="minorHAnsi"/>
          <w:spacing w:val="6"/>
        </w:rPr>
        <w:t>f</w:t>
      </w:r>
      <w:r w:rsidRPr="00585C2D">
        <w:rPr>
          <w:rFonts w:eastAsia="Arial" w:cstheme="minorHAnsi"/>
          <w:spacing w:val="-1"/>
        </w:rPr>
        <w:t>i</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Town</w:t>
      </w:r>
      <w:r w:rsidRPr="00585C2D">
        <w:rPr>
          <w:rFonts w:eastAsia="Arial" w:cstheme="minorHAnsi"/>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5"/>
        </w:rPr>
        <w:t>s</w:t>
      </w:r>
      <w:r w:rsidRPr="00585C2D">
        <w:rPr>
          <w:rFonts w:eastAsia="Arial" w:cstheme="minorHAnsi"/>
          <w:spacing w:val="2"/>
        </w:rPr>
        <w:t>o</w:t>
      </w:r>
      <w:r w:rsidRPr="00585C2D">
        <w:rPr>
          <w:rFonts w:eastAsia="Arial" w:cstheme="minorHAnsi"/>
          <w:spacing w:val="-1"/>
        </w:rPr>
        <w:t>l</w:t>
      </w:r>
      <w:r w:rsidRPr="00585C2D">
        <w:rPr>
          <w:rFonts w:eastAsia="Arial" w:cstheme="minorHAnsi"/>
        </w:rPr>
        <w:t>v</w:t>
      </w:r>
      <w:r w:rsidRPr="00585C2D">
        <w:rPr>
          <w:rFonts w:eastAsia="Arial" w:cstheme="minorHAnsi"/>
          <w:spacing w:val="2"/>
        </w:rPr>
        <w:t>e</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a</w:t>
      </w:r>
      <w:r w:rsidRPr="00585C2D">
        <w:rPr>
          <w:rFonts w:eastAsia="Arial" w:cstheme="minorHAnsi"/>
          <w:spacing w:val="-4"/>
        </w:rPr>
        <w:t>t</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a</w:t>
      </w:r>
      <w:r w:rsidRPr="00585C2D">
        <w:rPr>
          <w:rFonts w:eastAsia="Arial" w:cstheme="minorHAnsi"/>
          <w:spacing w:val="2"/>
        </w:rPr>
        <w:t>dd</w:t>
      </w:r>
      <w:r w:rsidRPr="00585C2D">
        <w:rPr>
          <w:rFonts w:eastAsia="Arial" w:cstheme="minorHAnsi"/>
          <w:spacing w:val="-1"/>
        </w:rPr>
        <w:t>i</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1"/>
        </w:rPr>
        <w:t>f</w:t>
      </w:r>
      <w:r w:rsidRPr="00585C2D">
        <w:rPr>
          <w:rFonts w:eastAsia="Arial" w:cstheme="minorHAnsi"/>
          <w:spacing w:val="2"/>
        </w:rPr>
        <w:t>u</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6"/>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3"/>
        </w:rPr>
        <w:t>a</w:t>
      </w:r>
      <w:r w:rsidRPr="00585C2D">
        <w:rPr>
          <w:rFonts w:eastAsia="Arial" w:cstheme="minorHAnsi"/>
          <w:spacing w:val="2"/>
        </w:rPr>
        <w:t>n</w:t>
      </w:r>
      <w:r w:rsidRPr="00585C2D">
        <w:rPr>
          <w:rFonts w:eastAsia="Arial" w:cstheme="minorHAnsi"/>
        </w:rPr>
        <w:t>y</w:t>
      </w:r>
      <w:r w:rsidRPr="00585C2D">
        <w:rPr>
          <w:rFonts w:eastAsia="Arial" w:cstheme="minorHAnsi"/>
          <w:spacing w:val="-4"/>
        </w:rPr>
        <w:t xml:space="preserve"> </w:t>
      </w:r>
      <w:r w:rsidRPr="00585C2D">
        <w:rPr>
          <w:rFonts w:eastAsia="Arial" w:cstheme="minorHAnsi"/>
        </w:rPr>
        <w:t>s</w:t>
      </w:r>
      <w:r w:rsidRPr="00585C2D">
        <w:rPr>
          <w:rFonts w:eastAsia="Arial" w:cstheme="minorHAnsi"/>
          <w:spacing w:val="2"/>
        </w:rPr>
        <w:t>ho</w:t>
      </w:r>
      <w:r w:rsidRPr="00585C2D">
        <w:rPr>
          <w:rFonts w:eastAsia="Arial" w:cstheme="minorHAnsi"/>
          <w:spacing w:val="-2"/>
        </w:rPr>
        <w:t>r</w:t>
      </w:r>
      <w:r w:rsidRPr="00585C2D">
        <w:rPr>
          <w:rFonts w:eastAsia="Arial" w:cstheme="minorHAnsi"/>
          <w:spacing w:val="-4"/>
        </w:rPr>
        <w:t>t</w:t>
      </w:r>
      <w:r w:rsidRPr="00585C2D">
        <w:rPr>
          <w:rFonts w:eastAsia="Arial" w:cstheme="minorHAnsi"/>
          <w:spacing w:val="1"/>
        </w:rPr>
        <w:t>f</w:t>
      </w:r>
      <w:r w:rsidRPr="00585C2D">
        <w:rPr>
          <w:rFonts w:eastAsia="Arial" w:cstheme="minorHAnsi"/>
          <w:spacing w:val="2"/>
        </w:rPr>
        <w:t>a</w:t>
      </w:r>
      <w:r w:rsidRPr="00585C2D">
        <w:rPr>
          <w:rFonts w:eastAsia="Arial" w:cstheme="minorHAnsi"/>
          <w:spacing w:val="-1"/>
        </w:rPr>
        <w:t>ll</w:t>
      </w:r>
      <w:r w:rsidRPr="00585C2D">
        <w:rPr>
          <w:rFonts w:eastAsia="Arial" w:cstheme="minorHAnsi"/>
        </w:rPr>
        <w:t>.</w:t>
      </w:r>
    </w:p>
    <w:p w14:paraId="258EECA9" w14:textId="77777777" w:rsidR="00FC0CF1" w:rsidRPr="00585C2D" w:rsidRDefault="00FC0CF1" w:rsidP="00FC0CF1">
      <w:pPr>
        <w:spacing w:after="120" w:line="239" w:lineRule="auto"/>
        <w:ind w:left="850" w:right="-45" w:hanging="425"/>
        <w:jc w:val="both"/>
        <w:rPr>
          <w:rFonts w:eastAsia="Arial" w:cstheme="minorHAnsi"/>
        </w:rPr>
      </w:pPr>
      <w:r w:rsidRPr="00585C2D">
        <w:rPr>
          <w:rFonts w:eastAsia="Arial" w:cstheme="minorHAnsi"/>
          <w:spacing w:val="2"/>
        </w:rPr>
        <w:t>e</w:t>
      </w:r>
      <w:r>
        <w:rPr>
          <w:rFonts w:eastAsia="Arial" w:cstheme="minorHAnsi"/>
        </w:rPr>
        <w:t>.</w:t>
      </w:r>
      <w:r>
        <w:rPr>
          <w:rFonts w:eastAsia="Arial" w:cstheme="minorHAnsi"/>
        </w:rPr>
        <w:tab/>
      </w:r>
      <w:r w:rsidRPr="00585C2D">
        <w:rPr>
          <w:rFonts w:eastAsia="Arial" w:cstheme="minorHAnsi"/>
        </w:rPr>
        <w:t>T</w:t>
      </w:r>
      <w:r w:rsidRPr="00585C2D">
        <w:rPr>
          <w:rFonts w:eastAsia="Arial" w:cstheme="minorHAnsi"/>
          <w:spacing w:val="1"/>
        </w:rPr>
        <w:t>h</w:t>
      </w:r>
      <w:r w:rsidRPr="00585C2D">
        <w:rPr>
          <w:rFonts w:eastAsia="Arial" w:cstheme="minorHAnsi"/>
        </w:rPr>
        <w:t>e</w:t>
      </w:r>
      <w:r w:rsidRPr="00585C2D">
        <w:rPr>
          <w:rFonts w:eastAsia="Arial" w:cstheme="minorHAnsi"/>
          <w:spacing w:val="3"/>
        </w:rPr>
        <w:t xml:space="preserve"> </w:t>
      </w:r>
      <w:r w:rsidRPr="00585C2D">
        <w:rPr>
          <w:rFonts w:eastAsia="Arial" w:cstheme="minorHAnsi"/>
        </w:rPr>
        <w:t>c</w:t>
      </w:r>
      <w:r w:rsidRPr="00585C2D">
        <w:rPr>
          <w:rFonts w:eastAsia="Arial" w:cstheme="minorHAnsi"/>
          <w:spacing w:val="2"/>
        </w:rPr>
        <w:t>o</w:t>
      </w:r>
      <w:r w:rsidRPr="00585C2D">
        <w:rPr>
          <w:rFonts w:eastAsia="Arial" w:cstheme="minorHAnsi"/>
        </w:rPr>
        <w:t>s</w:t>
      </w:r>
      <w:r w:rsidRPr="00585C2D">
        <w:rPr>
          <w:rFonts w:eastAsia="Arial" w:cstheme="minorHAnsi"/>
          <w:spacing w:val="1"/>
        </w:rPr>
        <w:t>t</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a</w:t>
      </w:r>
      <w:r w:rsidRPr="00585C2D">
        <w:rPr>
          <w:rFonts w:eastAsia="Arial" w:cstheme="minorHAnsi"/>
          <w:spacing w:val="-5"/>
        </w:rPr>
        <w:t>s</w:t>
      </w:r>
      <w:r w:rsidRPr="00585C2D">
        <w:rPr>
          <w:rFonts w:eastAsia="Arial" w:cstheme="minorHAnsi"/>
        </w:rPr>
        <w:t>s</w:t>
      </w:r>
      <w:r w:rsidRPr="00585C2D">
        <w:rPr>
          <w:rFonts w:eastAsia="Arial" w:cstheme="minorHAnsi"/>
          <w:spacing w:val="2"/>
        </w:rPr>
        <w:t>o</w:t>
      </w:r>
      <w:r w:rsidRPr="00585C2D">
        <w:rPr>
          <w:rFonts w:eastAsia="Arial" w:cstheme="minorHAnsi"/>
        </w:rPr>
        <w:t>c</w:t>
      </w:r>
      <w:r w:rsidRPr="00585C2D">
        <w:rPr>
          <w:rFonts w:eastAsia="Arial" w:cstheme="minorHAnsi"/>
          <w:spacing w:val="-1"/>
        </w:rPr>
        <w:t>i</w:t>
      </w:r>
      <w:r w:rsidRPr="00585C2D">
        <w:rPr>
          <w:rFonts w:eastAsia="Arial" w:cstheme="minorHAnsi"/>
          <w:spacing w:val="-3"/>
        </w:rPr>
        <w:t>a</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1"/>
        </w:rPr>
        <w:t>wi</w:t>
      </w:r>
      <w:r w:rsidRPr="00585C2D">
        <w:rPr>
          <w:rFonts w:eastAsia="Arial" w:cstheme="minorHAnsi"/>
          <w:spacing w:val="-4"/>
        </w:rPr>
        <w:t>t</w:t>
      </w:r>
      <w:r w:rsidRPr="00585C2D">
        <w:rPr>
          <w:rFonts w:eastAsia="Arial" w:cstheme="minorHAnsi"/>
        </w:rPr>
        <w:t>h</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m</w:t>
      </w:r>
      <w:r w:rsidRPr="00585C2D">
        <w:rPr>
          <w:rFonts w:eastAsia="Arial" w:cstheme="minorHAnsi"/>
          <w:spacing w:val="-3"/>
        </w:rPr>
        <w:t>a</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a</w:t>
      </w:r>
      <w:r w:rsidRPr="00585C2D">
        <w:rPr>
          <w:rFonts w:eastAsia="Arial" w:cstheme="minorHAnsi"/>
          <w:spacing w:val="1"/>
        </w:rPr>
        <w:t>t</w:t>
      </w:r>
      <w:r w:rsidRPr="00585C2D">
        <w:rPr>
          <w:rFonts w:eastAsia="Arial" w:cstheme="minorHAnsi"/>
          <w:spacing w:val="2"/>
        </w:rPr>
        <w:t>o</w:t>
      </w:r>
      <w:r w:rsidRPr="00585C2D">
        <w:rPr>
          <w:rFonts w:eastAsia="Arial" w:cstheme="minorHAnsi"/>
          <w:spacing w:val="-2"/>
        </w:rPr>
        <w:t>r</w:t>
      </w:r>
      <w:r w:rsidRPr="00585C2D">
        <w:rPr>
          <w:rFonts w:eastAsia="Arial" w:cstheme="minorHAnsi"/>
        </w:rPr>
        <w:t>y</w:t>
      </w:r>
      <w:r w:rsidRPr="00585C2D">
        <w:rPr>
          <w:rFonts w:eastAsia="Arial" w:cstheme="minorHAnsi"/>
          <w:spacing w:val="8"/>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6"/>
        </w:rPr>
        <w:t>i</w:t>
      </w:r>
      <w:r w:rsidRPr="00585C2D">
        <w:rPr>
          <w:rFonts w:eastAsia="Arial" w:cstheme="minorHAnsi"/>
          <w:spacing w:val="2"/>
        </w:rPr>
        <w:t>n</w:t>
      </w:r>
      <w:r w:rsidRPr="00585C2D">
        <w:rPr>
          <w:rFonts w:eastAsia="Arial" w:cstheme="minorHAnsi"/>
        </w:rPr>
        <w:t>c</w:t>
      </w:r>
      <w:r w:rsidRPr="00585C2D">
        <w:rPr>
          <w:rFonts w:eastAsia="Arial" w:cstheme="minorHAnsi"/>
          <w:spacing w:val="-1"/>
        </w:rPr>
        <w:t>l</w:t>
      </w:r>
      <w:r w:rsidRPr="00585C2D">
        <w:rPr>
          <w:rFonts w:eastAsia="Arial" w:cstheme="minorHAnsi"/>
          <w:spacing w:val="2"/>
        </w:rPr>
        <w:t>ud</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12"/>
        </w:rPr>
        <w:t xml:space="preserve"> </w:t>
      </w:r>
      <w:r w:rsidRPr="00585C2D">
        <w:rPr>
          <w:rFonts w:eastAsia="Arial" w:cstheme="minorHAnsi"/>
          <w:i/>
          <w:spacing w:val="-6"/>
        </w:rPr>
        <w:t>C</w:t>
      </w:r>
      <w:r w:rsidRPr="00585C2D">
        <w:rPr>
          <w:rFonts w:eastAsia="Arial" w:cstheme="minorHAnsi"/>
          <w:i/>
          <w:spacing w:val="2"/>
        </w:rPr>
        <w:t>o</w:t>
      </w:r>
      <w:r w:rsidRPr="00585C2D">
        <w:rPr>
          <w:rFonts w:eastAsia="Arial" w:cstheme="minorHAnsi"/>
          <w:i/>
          <w:spacing w:val="-3"/>
        </w:rPr>
        <w:t>u</w:t>
      </w:r>
      <w:r w:rsidRPr="00585C2D">
        <w:rPr>
          <w:rFonts w:eastAsia="Arial" w:cstheme="minorHAnsi"/>
          <w:i/>
          <w:spacing w:val="2"/>
        </w:rPr>
        <w:t>n</w:t>
      </w:r>
      <w:r w:rsidRPr="00585C2D">
        <w:rPr>
          <w:rFonts w:eastAsia="Arial" w:cstheme="minorHAnsi"/>
          <w:i/>
        </w:rPr>
        <w:t>c</w:t>
      </w:r>
      <w:r w:rsidRPr="00585C2D">
        <w:rPr>
          <w:rFonts w:eastAsia="Arial" w:cstheme="minorHAnsi"/>
          <w:i/>
          <w:spacing w:val="-1"/>
        </w:rPr>
        <w:t>i</w:t>
      </w:r>
      <w:r w:rsidRPr="00585C2D">
        <w:rPr>
          <w:rFonts w:eastAsia="Arial" w:cstheme="minorHAnsi"/>
          <w:i/>
        </w:rPr>
        <w:t>l</w:t>
      </w:r>
      <w:r w:rsidRPr="00585C2D">
        <w:rPr>
          <w:rFonts w:eastAsia="Arial" w:cstheme="minorHAnsi"/>
          <w:i/>
          <w:spacing w:val="5"/>
        </w:rPr>
        <w:t xml:space="preserve"> </w:t>
      </w:r>
      <w:r w:rsidRPr="00585C2D">
        <w:rPr>
          <w:rFonts w:eastAsia="Arial" w:cstheme="minorHAnsi"/>
          <w:i/>
          <w:spacing w:val="-2"/>
        </w:rPr>
        <w:t>M</w:t>
      </w:r>
      <w:r w:rsidRPr="00585C2D">
        <w:rPr>
          <w:rFonts w:eastAsia="Arial" w:cstheme="minorHAnsi"/>
          <w:i/>
          <w:spacing w:val="2"/>
        </w:rPr>
        <w:t>e</w:t>
      </w:r>
      <w:r w:rsidRPr="00585C2D">
        <w:rPr>
          <w:rFonts w:eastAsia="Arial" w:cstheme="minorHAnsi"/>
          <w:i/>
          <w:spacing w:val="-6"/>
        </w:rPr>
        <w:t>m</w:t>
      </w:r>
      <w:r w:rsidRPr="00585C2D">
        <w:rPr>
          <w:rFonts w:eastAsia="Arial" w:cstheme="minorHAnsi"/>
          <w:i/>
          <w:spacing w:val="2"/>
        </w:rPr>
        <w:t>be</w:t>
      </w:r>
      <w:r w:rsidRPr="00585C2D">
        <w:rPr>
          <w:rFonts w:eastAsia="Arial" w:cstheme="minorHAnsi"/>
          <w:i/>
        </w:rPr>
        <w:t xml:space="preserve">r </w:t>
      </w:r>
      <w:r w:rsidRPr="00585C2D">
        <w:rPr>
          <w:rFonts w:eastAsia="Arial" w:cstheme="minorHAnsi"/>
          <w:i/>
          <w:spacing w:val="1"/>
        </w:rPr>
        <w:t>E</w:t>
      </w:r>
      <w:r w:rsidRPr="00585C2D">
        <w:rPr>
          <w:rFonts w:eastAsia="Arial" w:cstheme="minorHAnsi"/>
          <w:i/>
        </w:rPr>
        <w:t>ss</w:t>
      </w:r>
      <w:r w:rsidRPr="00585C2D">
        <w:rPr>
          <w:rFonts w:eastAsia="Arial" w:cstheme="minorHAnsi"/>
          <w:i/>
          <w:spacing w:val="-3"/>
        </w:rPr>
        <w:t>e</w:t>
      </w:r>
      <w:r w:rsidRPr="00585C2D">
        <w:rPr>
          <w:rFonts w:eastAsia="Arial" w:cstheme="minorHAnsi"/>
          <w:i/>
          <w:spacing w:val="2"/>
        </w:rPr>
        <w:t>n</w:t>
      </w:r>
      <w:r w:rsidRPr="00585C2D">
        <w:rPr>
          <w:rFonts w:eastAsia="Arial" w:cstheme="minorHAnsi"/>
          <w:i/>
          <w:spacing w:val="1"/>
        </w:rPr>
        <w:t>t</w:t>
      </w:r>
      <w:r w:rsidRPr="00585C2D">
        <w:rPr>
          <w:rFonts w:eastAsia="Arial" w:cstheme="minorHAnsi"/>
          <w:i/>
          <w:spacing w:val="-1"/>
        </w:rPr>
        <w:t>i</w:t>
      </w:r>
      <w:r w:rsidRPr="00585C2D">
        <w:rPr>
          <w:rFonts w:eastAsia="Arial" w:cstheme="minorHAnsi"/>
          <w:i/>
          <w:spacing w:val="2"/>
        </w:rPr>
        <w:t>a</w:t>
      </w:r>
      <w:r w:rsidRPr="00585C2D">
        <w:rPr>
          <w:rFonts w:eastAsia="Arial" w:cstheme="minorHAnsi"/>
          <w:i/>
          <w:spacing w:val="-1"/>
        </w:rPr>
        <w:t>l</w:t>
      </w:r>
      <w:r w:rsidRPr="00585C2D">
        <w:rPr>
          <w:rFonts w:eastAsia="Arial" w:cstheme="minorHAnsi"/>
          <w:i/>
        </w:rPr>
        <w:t>s</w:t>
      </w:r>
      <w:r w:rsidRPr="00585C2D">
        <w:rPr>
          <w:rFonts w:eastAsia="Arial" w:cstheme="minorHAnsi"/>
          <w:i/>
          <w:spacing w:val="5"/>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 xml:space="preserve">d </w:t>
      </w:r>
      <w:r w:rsidRPr="00585C2D">
        <w:rPr>
          <w:rFonts w:eastAsia="Arial" w:cstheme="minorHAnsi"/>
          <w:spacing w:val="1"/>
        </w:rPr>
        <w:t>t</w:t>
      </w:r>
      <w:r w:rsidRPr="00585C2D">
        <w:rPr>
          <w:rFonts w:eastAsia="Arial" w:cstheme="minorHAnsi"/>
          <w:spacing w:val="2"/>
        </w:rPr>
        <w:t>h</w:t>
      </w:r>
      <w:r w:rsidRPr="00585C2D">
        <w:rPr>
          <w:rFonts w:eastAsia="Arial" w:cstheme="minorHAnsi"/>
        </w:rPr>
        <w:t>e</w:t>
      </w:r>
      <w:r w:rsidRPr="00585C2D">
        <w:rPr>
          <w:rFonts w:eastAsia="Arial" w:cstheme="minorHAnsi"/>
          <w:spacing w:val="27"/>
        </w:rPr>
        <w:t xml:space="preserve"> </w:t>
      </w:r>
      <w:r w:rsidRPr="00585C2D">
        <w:rPr>
          <w:rFonts w:eastAsia="Arial" w:cstheme="minorHAnsi"/>
          <w:spacing w:val="-3"/>
        </w:rPr>
        <w:t>5</w:t>
      </w:r>
      <w:r w:rsidRPr="00585C2D">
        <w:rPr>
          <w:rFonts w:eastAsia="Arial" w:cstheme="minorHAnsi"/>
          <w:spacing w:val="2"/>
        </w:rPr>
        <w:t>2</w:t>
      </w:r>
      <w:r w:rsidRPr="00585C2D">
        <w:rPr>
          <w:rFonts w:eastAsia="Arial" w:cstheme="minorHAnsi"/>
          <w:spacing w:val="-3"/>
        </w:rPr>
        <w:t>7</w:t>
      </w:r>
      <w:r w:rsidRPr="00585C2D">
        <w:rPr>
          <w:rFonts w:eastAsia="Arial" w:cstheme="minorHAnsi"/>
          <w:spacing w:val="2"/>
        </w:rPr>
        <w:t>5</w:t>
      </w:r>
      <w:r w:rsidRPr="00585C2D">
        <w:rPr>
          <w:rFonts w:eastAsia="Arial" w:cstheme="minorHAnsi"/>
          <w:spacing w:val="-8"/>
        </w:rPr>
        <w:t>6</w:t>
      </w:r>
      <w:r w:rsidRPr="00585C2D">
        <w:rPr>
          <w:rFonts w:eastAsia="Arial" w:cstheme="minorHAnsi"/>
          <w:spacing w:val="7"/>
        </w:rPr>
        <w:t>W</w:t>
      </w:r>
      <w:r w:rsidRPr="00585C2D">
        <w:rPr>
          <w:rFonts w:eastAsia="Arial" w:cstheme="minorHAnsi"/>
        </w:rPr>
        <w:t>A</w:t>
      </w:r>
      <w:r w:rsidRPr="00585C2D">
        <w:rPr>
          <w:rFonts w:eastAsia="Arial" w:cstheme="minorHAnsi"/>
          <w:spacing w:val="26"/>
        </w:rPr>
        <w:t xml:space="preserve"> </w:t>
      </w:r>
      <w:r w:rsidRPr="00585C2D">
        <w:rPr>
          <w:rFonts w:eastAsia="Arial" w:cstheme="minorHAnsi"/>
          <w:spacing w:val="-1"/>
        </w:rPr>
        <w:t>Di</w:t>
      </w:r>
      <w:r w:rsidRPr="00585C2D">
        <w:rPr>
          <w:rFonts w:eastAsia="Arial" w:cstheme="minorHAnsi"/>
          <w:spacing w:val="2"/>
        </w:rPr>
        <w:t>p</w:t>
      </w:r>
      <w:r w:rsidRPr="00585C2D">
        <w:rPr>
          <w:rFonts w:eastAsia="Arial" w:cstheme="minorHAnsi"/>
          <w:spacing w:val="-1"/>
        </w:rPr>
        <w:t>l</w:t>
      </w:r>
      <w:r w:rsidRPr="00585C2D">
        <w:rPr>
          <w:rFonts w:eastAsia="Arial" w:cstheme="minorHAnsi"/>
          <w:spacing w:val="2"/>
        </w:rPr>
        <w:t>o</w:t>
      </w:r>
      <w:r w:rsidRPr="00585C2D">
        <w:rPr>
          <w:rFonts w:eastAsia="Arial" w:cstheme="minorHAnsi"/>
          <w:spacing w:val="-6"/>
        </w:rPr>
        <w:t>m</w:t>
      </w:r>
      <w:r w:rsidRPr="00585C2D">
        <w:rPr>
          <w:rFonts w:eastAsia="Arial" w:cstheme="minorHAnsi"/>
        </w:rPr>
        <w:t>a</w:t>
      </w:r>
      <w:r w:rsidRPr="00585C2D">
        <w:rPr>
          <w:rFonts w:eastAsia="Arial" w:cstheme="minorHAnsi"/>
          <w:spacing w:val="2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1"/>
        </w:rPr>
        <w:t xml:space="preserve"> </w:t>
      </w:r>
      <w:r w:rsidRPr="00585C2D">
        <w:rPr>
          <w:rFonts w:eastAsia="Arial" w:cstheme="minorHAnsi"/>
          <w:spacing w:val="2"/>
        </w:rPr>
        <w:t>Lo</w:t>
      </w:r>
      <w:r w:rsidRPr="00585C2D">
        <w:rPr>
          <w:rFonts w:eastAsia="Arial" w:cstheme="minorHAnsi"/>
          <w:spacing w:val="-5"/>
        </w:rPr>
        <w:t>c</w:t>
      </w:r>
      <w:r w:rsidRPr="00585C2D">
        <w:rPr>
          <w:rFonts w:eastAsia="Arial" w:cstheme="minorHAnsi"/>
          <w:spacing w:val="2"/>
        </w:rPr>
        <w:t>a</w:t>
      </w:r>
      <w:r w:rsidRPr="00585C2D">
        <w:rPr>
          <w:rFonts w:eastAsia="Arial" w:cstheme="minorHAnsi"/>
        </w:rPr>
        <w:t>l</w:t>
      </w:r>
      <w:r w:rsidRPr="00585C2D">
        <w:rPr>
          <w:rFonts w:eastAsia="Arial" w:cstheme="minorHAnsi"/>
          <w:spacing w:val="29"/>
        </w:rPr>
        <w:t xml:space="preserve"> </w:t>
      </w:r>
      <w:r w:rsidRPr="00585C2D">
        <w:rPr>
          <w:rFonts w:eastAsia="Arial" w:cstheme="minorHAnsi"/>
          <w:spacing w:val="-4"/>
        </w:rPr>
        <w:t>G</w:t>
      </w:r>
      <w:r w:rsidRPr="00585C2D">
        <w:rPr>
          <w:rFonts w:eastAsia="Arial" w:cstheme="minorHAnsi"/>
          <w:spacing w:val="2"/>
        </w:rPr>
        <w:t>o</w:t>
      </w:r>
      <w:r w:rsidRPr="00585C2D">
        <w:rPr>
          <w:rFonts w:eastAsia="Arial" w:cstheme="minorHAnsi"/>
        </w:rPr>
        <w:t>v</w:t>
      </w:r>
      <w:r w:rsidRPr="00585C2D">
        <w:rPr>
          <w:rFonts w:eastAsia="Arial" w:cstheme="minorHAnsi"/>
          <w:spacing w:val="2"/>
        </w:rPr>
        <w:t>e</w:t>
      </w:r>
      <w:r w:rsidRPr="00585C2D">
        <w:rPr>
          <w:rFonts w:eastAsia="Arial" w:cstheme="minorHAnsi"/>
          <w:spacing w:val="-6"/>
        </w:rPr>
        <w:t>r</w:t>
      </w:r>
      <w:r w:rsidRPr="00585C2D">
        <w:rPr>
          <w:rFonts w:eastAsia="Arial" w:cstheme="minorHAnsi"/>
          <w:spacing w:val="2"/>
        </w:rPr>
        <w:t>n</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31"/>
        </w:rPr>
        <w:t xml:space="preserve"> </w:t>
      </w:r>
      <w:r w:rsidRPr="00585C2D">
        <w:rPr>
          <w:rFonts w:eastAsia="Arial" w:cstheme="minorHAnsi"/>
          <w:spacing w:val="-2"/>
        </w:rPr>
        <w:t>(</w:t>
      </w:r>
      <w:r w:rsidRPr="00585C2D">
        <w:rPr>
          <w:rFonts w:eastAsia="Arial" w:cstheme="minorHAnsi"/>
          <w:spacing w:val="-1"/>
        </w:rPr>
        <w:t>C</w:t>
      </w:r>
      <w:r w:rsidRPr="00585C2D">
        <w:rPr>
          <w:rFonts w:eastAsia="Arial" w:cstheme="minorHAnsi"/>
          <w:spacing w:val="-3"/>
        </w:rPr>
        <w:t>o</w:t>
      </w:r>
      <w:r w:rsidRPr="00585C2D">
        <w:rPr>
          <w:rFonts w:eastAsia="Arial" w:cstheme="minorHAnsi"/>
          <w:spacing w:val="2"/>
        </w:rPr>
        <w:t>un</w:t>
      </w:r>
      <w:r w:rsidRPr="00585C2D">
        <w:rPr>
          <w:rFonts w:eastAsia="Arial" w:cstheme="minorHAnsi"/>
        </w:rPr>
        <w:t>c</w:t>
      </w:r>
      <w:r w:rsidRPr="00585C2D">
        <w:rPr>
          <w:rFonts w:eastAsia="Arial" w:cstheme="minorHAnsi"/>
          <w:spacing w:val="-1"/>
        </w:rPr>
        <w:t>i</w:t>
      </w:r>
      <w:r w:rsidRPr="00585C2D">
        <w:rPr>
          <w:rFonts w:eastAsia="Arial" w:cstheme="minorHAnsi"/>
        </w:rPr>
        <w:t>l</w:t>
      </w:r>
      <w:r w:rsidRPr="00585C2D">
        <w:rPr>
          <w:rFonts w:eastAsia="Arial" w:cstheme="minorHAnsi"/>
          <w:spacing w:val="29"/>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w:t>
      </w:r>
      <w:r w:rsidRPr="00585C2D">
        <w:rPr>
          <w:rFonts w:eastAsia="Arial" w:cstheme="minorHAnsi"/>
          <w:spacing w:val="40"/>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29"/>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27"/>
        </w:rPr>
        <w:t xml:space="preserve"> </w:t>
      </w:r>
      <w:r w:rsidRPr="00585C2D">
        <w:rPr>
          <w:rFonts w:eastAsia="Arial" w:cstheme="minorHAnsi"/>
          <w:spacing w:val="1"/>
        </w:rPr>
        <w:t>f</w:t>
      </w:r>
      <w:r w:rsidRPr="00585C2D">
        <w:rPr>
          <w:rFonts w:eastAsia="Arial" w:cstheme="minorHAnsi"/>
          <w:spacing w:val="-3"/>
        </w:rPr>
        <w:t>u</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e</w:t>
      </w:r>
      <w:r w:rsidRPr="00585C2D">
        <w:rPr>
          <w:rFonts w:eastAsia="Arial" w:cstheme="minorHAnsi"/>
        </w:rPr>
        <w:t>d</w:t>
      </w:r>
      <w:r w:rsidRPr="00585C2D">
        <w:rPr>
          <w:rFonts w:eastAsia="Arial" w:cstheme="minorHAnsi"/>
          <w:spacing w:val="27"/>
        </w:rPr>
        <w:t xml:space="preserve"> </w:t>
      </w:r>
      <w:r w:rsidRPr="00585C2D">
        <w:rPr>
          <w:rFonts w:eastAsia="Arial" w:cstheme="minorHAnsi"/>
          <w:spacing w:val="2"/>
        </w:rPr>
        <w:t>o</w:t>
      </w:r>
      <w:r w:rsidRPr="00585C2D">
        <w:rPr>
          <w:rFonts w:eastAsia="Arial" w:cstheme="minorHAnsi"/>
          <w:spacing w:val="-3"/>
        </w:rPr>
        <w:t>u</w:t>
      </w:r>
      <w:r w:rsidRPr="00585C2D">
        <w:rPr>
          <w:rFonts w:eastAsia="Arial" w:cstheme="minorHAnsi"/>
          <w:spacing w:val="1"/>
        </w:rPr>
        <w:t>t</w:t>
      </w:r>
      <w:r w:rsidRPr="00585C2D">
        <w:rPr>
          <w:rFonts w:eastAsia="Arial" w:cstheme="minorHAnsi"/>
        </w:rPr>
        <w:t>s</w:t>
      </w:r>
      <w:r w:rsidRPr="00585C2D">
        <w:rPr>
          <w:rFonts w:eastAsia="Arial" w:cstheme="minorHAnsi"/>
          <w:spacing w:val="-1"/>
        </w:rPr>
        <w:t>i</w:t>
      </w:r>
      <w:r w:rsidRPr="00585C2D">
        <w:rPr>
          <w:rFonts w:eastAsia="Arial" w:cstheme="minorHAnsi"/>
          <w:spacing w:val="-3"/>
        </w:rPr>
        <w:t>d</w:t>
      </w:r>
      <w:r w:rsidRPr="00585C2D">
        <w:rPr>
          <w:rFonts w:eastAsia="Arial" w:cstheme="minorHAnsi"/>
        </w:rPr>
        <w:t>e</w:t>
      </w:r>
      <w:r w:rsidRPr="00585C2D">
        <w:rPr>
          <w:rFonts w:eastAsia="Arial" w:cstheme="minorHAnsi"/>
          <w:spacing w:val="31"/>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5"/>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 xml:space="preserve">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12"/>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1"/>
        </w:rPr>
        <w:t xml:space="preserve"> </w:t>
      </w:r>
      <w:r w:rsidRPr="00585C2D">
        <w:rPr>
          <w:rFonts w:eastAsia="Arial" w:cstheme="minorHAnsi"/>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12"/>
        </w:rPr>
        <w:t xml:space="preserve"> </w:t>
      </w:r>
      <w:r w:rsidRPr="00585C2D">
        <w:rPr>
          <w:rFonts w:eastAsia="Arial" w:cstheme="minorHAnsi"/>
          <w:spacing w:val="1"/>
        </w:rPr>
        <w:t>P</w:t>
      </w:r>
      <w:r w:rsidRPr="00585C2D">
        <w:rPr>
          <w:rFonts w:eastAsia="Arial" w:cstheme="minorHAnsi"/>
          <w:spacing w:val="-6"/>
        </w:rPr>
        <w:t>r</w:t>
      </w:r>
      <w:r w:rsidRPr="00585C2D">
        <w:rPr>
          <w:rFonts w:eastAsia="Arial" w:cstheme="minorHAnsi"/>
          <w:spacing w:val="-3"/>
        </w:rPr>
        <w:t>o</w:t>
      </w:r>
      <w:r w:rsidRPr="00585C2D">
        <w:rPr>
          <w:rFonts w:eastAsia="Arial" w:cstheme="minorHAnsi"/>
          <w:spacing w:val="6"/>
        </w:rPr>
        <w:t>f</w:t>
      </w:r>
      <w:r w:rsidRPr="00585C2D">
        <w:rPr>
          <w:rFonts w:eastAsia="Arial" w:cstheme="minorHAnsi"/>
          <w:spacing w:val="2"/>
        </w:rPr>
        <w:t>e</w:t>
      </w:r>
      <w:r w:rsidRPr="00585C2D">
        <w:rPr>
          <w:rFonts w:eastAsia="Arial" w:cstheme="minorHAnsi"/>
        </w:rPr>
        <w:t>ss</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9"/>
        </w:rPr>
        <w:t xml:space="preserve"> </w:t>
      </w:r>
      <w:r w:rsidRPr="00585C2D">
        <w:rPr>
          <w:rFonts w:eastAsia="Arial" w:cstheme="minorHAnsi"/>
          <w:spacing w:val="-1"/>
        </w:rPr>
        <w:t>D</w:t>
      </w:r>
      <w:r w:rsidRPr="00585C2D">
        <w:rPr>
          <w:rFonts w:eastAsia="Arial" w:cstheme="minorHAnsi"/>
          <w:spacing w:val="2"/>
        </w:rPr>
        <w:t>e</w:t>
      </w:r>
      <w:r w:rsidRPr="00585C2D">
        <w:rPr>
          <w:rFonts w:eastAsia="Arial" w:cstheme="minorHAnsi"/>
          <w:spacing w:val="-5"/>
        </w:rPr>
        <w:t>v</w:t>
      </w:r>
      <w:r w:rsidRPr="00585C2D">
        <w:rPr>
          <w:rFonts w:eastAsia="Arial" w:cstheme="minorHAnsi"/>
          <w:spacing w:val="-3"/>
        </w:rPr>
        <w:t>e</w:t>
      </w:r>
      <w:r w:rsidRPr="00585C2D">
        <w:rPr>
          <w:rFonts w:eastAsia="Arial" w:cstheme="minorHAnsi"/>
          <w:spacing w:val="-1"/>
        </w:rPr>
        <w:t>l</w:t>
      </w:r>
      <w:r w:rsidRPr="00585C2D">
        <w:rPr>
          <w:rFonts w:eastAsia="Arial" w:cstheme="minorHAnsi"/>
          <w:spacing w:val="2"/>
        </w:rPr>
        <w:t>op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2"/>
        </w:rPr>
        <w:t>a</w:t>
      </w:r>
      <w:r w:rsidRPr="00585C2D">
        <w:rPr>
          <w:rFonts w:eastAsia="Arial" w:cstheme="minorHAnsi"/>
          <w:spacing w:val="-1"/>
        </w:rPr>
        <w:t>l</w:t>
      </w:r>
      <w:r w:rsidRPr="00585C2D">
        <w:rPr>
          <w:rFonts w:eastAsia="Arial" w:cstheme="minorHAnsi"/>
          <w:spacing w:val="-6"/>
        </w:rPr>
        <w:t>l</w:t>
      </w:r>
      <w:r w:rsidRPr="00585C2D">
        <w:rPr>
          <w:rFonts w:eastAsia="Arial" w:cstheme="minorHAnsi"/>
          <w:spacing w:val="2"/>
        </w:rPr>
        <w:t>o</w:t>
      </w:r>
      <w:r w:rsidRPr="00585C2D">
        <w:rPr>
          <w:rFonts w:eastAsia="Arial" w:cstheme="minorHAnsi"/>
        </w:rPr>
        <w:t>c</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rPr>
        <w:t xml:space="preserve">. </w:t>
      </w:r>
      <w:r w:rsidRPr="00585C2D">
        <w:rPr>
          <w:rFonts w:eastAsia="Arial" w:cstheme="minorHAnsi"/>
          <w:spacing w:val="35"/>
        </w:rPr>
        <w:t xml:space="preserve"> </w:t>
      </w:r>
      <w:r w:rsidRPr="00585C2D">
        <w:rPr>
          <w:rFonts w:eastAsia="Arial" w:cstheme="minorHAnsi"/>
        </w:rPr>
        <w:t>T</w:t>
      </w:r>
      <w:r w:rsidRPr="00585C2D">
        <w:rPr>
          <w:rFonts w:eastAsia="Arial" w:cstheme="minorHAnsi"/>
          <w:spacing w:val="1"/>
        </w:rPr>
        <w:t>h</w:t>
      </w:r>
      <w:r w:rsidRPr="00585C2D">
        <w:rPr>
          <w:rFonts w:eastAsia="Arial" w:cstheme="minorHAnsi"/>
          <w:spacing w:val="-1"/>
        </w:rPr>
        <w:t>i</w:t>
      </w:r>
      <w:r w:rsidRPr="00585C2D">
        <w:rPr>
          <w:rFonts w:eastAsia="Arial" w:cstheme="minorHAnsi"/>
        </w:rPr>
        <w:t>s</w:t>
      </w:r>
      <w:r w:rsidRPr="00585C2D">
        <w:rPr>
          <w:rFonts w:eastAsia="Arial" w:cstheme="minorHAnsi"/>
          <w:spacing w:val="11"/>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rPr>
        <w:t>c</w:t>
      </w:r>
      <w:r w:rsidRPr="00585C2D">
        <w:rPr>
          <w:rFonts w:eastAsia="Arial" w:cstheme="minorHAnsi"/>
          <w:spacing w:val="-1"/>
        </w:rPr>
        <w:t>l</w:t>
      </w:r>
      <w:r w:rsidRPr="00585C2D">
        <w:rPr>
          <w:rFonts w:eastAsia="Arial" w:cstheme="minorHAnsi"/>
          <w:spacing w:val="-3"/>
        </w:rPr>
        <w:t>u</w:t>
      </w:r>
      <w:r w:rsidRPr="00585C2D">
        <w:rPr>
          <w:rFonts w:eastAsia="Arial" w:cstheme="minorHAnsi"/>
          <w:spacing w:val="2"/>
        </w:rPr>
        <w:t>d</w:t>
      </w:r>
      <w:r w:rsidRPr="00585C2D">
        <w:rPr>
          <w:rFonts w:eastAsia="Arial" w:cstheme="minorHAnsi"/>
          <w:spacing w:val="-3"/>
        </w:rPr>
        <w:t>e</w:t>
      </w:r>
      <w:r w:rsidRPr="00585C2D">
        <w:rPr>
          <w:rFonts w:eastAsia="Arial" w:cstheme="minorHAnsi"/>
        </w:rPr>
        <w:t>s</w:t>
      </w:r>
      <w:r w:rsidRPr="00585C2D">
        <w:rPr>
          <w:rFonts w:eastAsia="Arial" w:cstheme="minorHAnsi"/>
          <w:spacing w:val="11"/>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y</w:t>
      </w:r>
      <w:r w:rsidRPr="00585C2D">
        <w:rPr>
          <w:rFonts w:eastAsia="Arial" w:cstheme="minorHAnsi"/>
          <w:spacing w:val="11"/>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4"/>
        </w:rPr>
        <w:t>t</w:t>
      </w:r>
      <w:r w:rsidRPr="00585C2D">
        <w:rPr>
          <w:rFonts w:eastAsia="Arial" w:cstheme="minorHAnsi"/>
          <w:spacing w:val="2"/>
        </w:rPr>
        <w:t>ua</w:t>
      </w:r>
      <w:r w:rsidRPr="00585C2D">
        <w:rPr>
          <w:rFonts w:eastAsia="Arial" w:cstheme="minorHAnsi"/>
        </w:rPr>
        <w:t>l c</w:t>
      </w:r>
      <w:r w:rsidRPr="00585C2D">
        <w:rPr>
          <w:rFonts w:eastAsia="Arial" w:cstheme="minorHAnsi"/>
          <w:spacing w:val="2"/>
        </w:rPr>
        <w:t>o</w:t>
      </w:r>
      <w:r w:rsidRPr="00585C2D">
        <w:rPr>
          <w:rFonts w:eastAsia="Arial" w:cstheme="minorHAnsi"/>
        </w:rPr>
        <w:t>s</w:t>
      </w:r>
      <w:r w:rsidRPr="00585C2D">
        <w:rPr>
          <w:rFonts w:eastAsia="Arial" w:cstheme="minorHAnsi"/>
          <w:spacing w:val="1"/>
        </w:rPr>
        <w:t>t</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w:t>
      </w:r>
      <w:r w:rsidRPr="00585C2D">
        <w:rPr>
          <w:rFonts w:eastAsia="Arial" w:cstheme="minorHAnsi"/>
          <w:spacing w:val="-1"/>
        </w:rPr>
        <w:t>i</w:t>
      </w:r>
      <w:r w:rsidRPr="00585C2D">
        <w:rPr>
          <w:rFonts w:eastAsia="Arial" w:cstheme="minorHAnsi"/>
          <w:spacing w:val="2"/>
        </w:rPr>
        <w:t>n</w:t>
      </w:r>
      <w:r w:rsidRPr="00585C2D">
        <w:rPr>
          <w:rFonts w:eastAsia="Arial" w:cstheme="minorHAnsi"/>
        </w:rPr>
        <w:t>c</w:t>
      </w:r>
      <w:r w:rsidRPr="00585C2D">
        <w:rPr>
          <w:rFonts w:eastAsia="Arial" w:cstheme="minorHAnsi"/>
          <w:spacing w:val="-6"/>
        </w:rPr>
        <w:t>l</w:t>
      </w:r>
      <w:r w:rsidRPr="00585C2D">
        <w:rPr>
          <w:rFonts w:eastAsia="Arial" w:cstheme="minorHAnsi"/>
          <w:spacing w:val="2"/>
        </w:rPr>
        <w:t>ud</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6"/>
        </w:rPr>
        <w:t>r</w:t>
      </w:r>
      <w:r w:rsidRPr="00585C2D">
        <w:rPr>
          <w:rFonts w:eastAsia="Arial" w:cstheme="minorHAnsi"/>
          <w:spacing w:val="2"/>
        </w:rPr>
        <w:t>eg</w:t>
      </w:r>
      <w:r w:rsidRPr="00585C2D">
        <w:rPr>
          <w:rFonts w:eastAsia="Arial" w:cstheme="minorHAnsi"/>
          <w:spacing w:val="-1"/>
        </w:rPr>
        <w:t>i</w:t>
      </w:r>
      <w:r w:rsidRPr="00585C2D">
        <w:rPr>
          <w:rFonts w:eastAsia="Arial" w:cstheme="minorHAnsi"/>
        </w:rPr>
        <w:t>s</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w:t>
      </w:r>
      <w:r w:rsidRPr="00585C2D">
        <w:rPr>
          <w:rFonts w:eastAsia="Arial" w:cstheme="minorHAnsi"/>
        </w:rPr>
        <w:t>,</w:t>
      </w:r>
      <w:r w:rsidRPr="00585C2D">
        <w:rPr>
          <w:rFonts w:eastAsia="Arial" w:cstheme="minorHAnsi"/>
          <w:spacing w:val="2"/>
        </w:rPr>
        <w:t xml:space="preserve"> a</w:t>
      </w:r>
      <w:r w:rsidRPr="00585C2D">
        <w:rPr>
          <w:rFonts w:eastAsia="Arial" w:cstheme="minorHAnsi"/>
        </w:rPr>
        <w:t>cc</w:t>
      </w:r>
      <w:r w:rsidRPr="00585C2D">
        <w:rPr>
          <w:rFonts w:eastAsia="Arial" w:cstheme="minorHAnsi"/>
          <w:spacing w:val="2"/>
        </w:rPr>
        <w:t>o</w:t>
      </w:r>
      <w:r w:rsidRPr="00585C2D">
        <w:rPr>
          <w:rFonts w:eastAsia="Arial" w:cstheme="minorHAnsi"/>
          <w:spacing w:val="-2"/>
        </w:rPr>
        <w:t>m</w:t>
      </w:r>
      <w:r w:rsidRPr="00585C2D">
        <w:rPr>
          <w:rFonts w:eastAsia="Arial" w:cstheme="minorHAnsi"/>
          <w:spacing w:val="-6"/>
        </w:rPr>
        <w:t>m</w:t>
      </w:r>
      <w:r w:rsidRPr="00585C2D">
        <w:rPr>
          <w:rFonts w:eastAsia="Arial" w:cstheme="minorHAnsi"/>
          <w:spacing w:val="2"/>
        </w:rPr>
        <w:t>o</w:t>
      </w:r>
      <w:r w:rsidRPr="00585C2D">
        <w:rPr>
          <w:rFonts w:eastAsia="Arial" w:cstheme="minorHAnsi"/>
          <w:spacing w:val="-3"/>
        </w:rPr>
        <w:t>d</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w:t>
      </w:r>
      <w:r w:rsidRPr="00585C2D">
        <w:rPr>
          <w:rFonts w:eastAsia="Arial" w:cstheme="minorHAnsi"/>
        </w:rPr>
        <w:t>,</w:t>
      </w:r>
      <w:r w:rsidRPr="00585C2D">
        <w:rPr>
          <w:rFonts w:eastAsia="Arial" w:cstheme="minorHAnsi"/>
          <w:spacing w:val="2"/>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3"/>
        </w:rPr>
        <w:t>a</w:t>
      </w:r>
      <w:r w:rsidRPr="00585C2D">
        <w:rPr>
          <w:rFonts w:eastAsia="Arial" w:cstheme="minorHAnsi"/>
          <w:spacing w:val="-1"/>
        </w:rPr>
        <w:t>l</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rPr>
        <w:t>v</w:t>
      </w:r>
      <w:r w:rsidRPr="00585C2D">
        <w:rPr>
          <w:rFonts w:eastAsia="Arial" w:cstheme="minorHAnsi"/>
          <w:spacing w:val="2"/>
        </w:rPr>
        <w:t>e</w:t>
      </w:r>
      <w:r w:rsidRPr="00585C2D">
        <w:rPr>
          <w:rFonts w:eastAsia="Arial" w:cstheme="minorHAnsi"/>
          <w:spacing w:val="-1"/>
        </w:rPr>
        <w:t>l</w:t>
      </w:r>
      <w:r w:rsidRPr="00585C2D">
        <w:rPr>
          <w:rFonts w:eastAsia="Arial" w:cstheme="minorHAnsi"/>
        </w:rPr>
        <w:t xml:space="preserve">) </w:t>
      </w:r>
      <w:r w:rsidRPr="00585C2D">
        <w:rPr>
          <w:rFonts w:eastAsia="Arial" w:cstheme="minorHAnsi"/>
          <w:spacing w:val="-1"/>
        </w:rPr>
        <w:t>w</w:t>
      </w:r>
      <w:r w:rsidRPr="00585C2D">
        <w:rPr>
          <w:rFonts w:eastAsia="Arial" w:cstheme="minorHAnsi"/>
          <w:spacing w:val="2"/>
        </w:rPr>
        <w:t>h</w:t>
      </w:r>
      <w:r w:rsidRPr="00585C2D">
        <w:rPr>
          <w:rFonts w:eastAsia="Arial" w:cstheme="minorHAnsi"/>
          <w:spacing w:val="-1"/>
        </w:rPr>
        <w:t>i</w:t>
      </w:r>
      <w:r w:rsidRPr="00585C2D">
        <w:rPr>
          <w:rFonts w:eastAsia="Arial" w:cstheme="minorHAnsi"/>
          <w:spacing w:val="-5"/>
        </w:rPr>
        <w:t>c</w:t>
      </w:r>
      <w:r w:rsidRPr="00585C2D">
        <w:rPr>
          <w:rFonts w:eastAsia="Arial" w:cstheme="minorHAnsi"/>
        </w:rPr>
        <w:t>h</w:t>
      </w:r>
      <w:r w:rsidRPr="00585C2D">
        <w:rPr>
          <w:rFonts w:eastAsia="Arial" w:cstheme="minorHAnsi"/>
          <w:spacing w:val="-2"/>
        </w:rPr>
        <w:t xml:space="preserve"> </w:t>
      </w:r>
      <w:r w:rsidRPr="00585C2D">
        <w:rPr>
          <w:rFonts w:eastAsia="Arial" w:cstheme="minorHAnsi"/>
          <w:spacing w:val="2"/>
        </w:rPr>
        <w:t>ha</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b</w:t>
      </w:r>
      <w:r w:rsidRPr="00585C2D">
        <w:rPr>
          <w:rFonts w:eastAsia="Arial" w:cstheme="minorHAnsi"/>
          <w:spacing w:val="-3"/>
        </w:rPr>
        <w:t>e</w:t>
      </w:r>
      <w:r w:rsidRPr="00585C2D">
        <w:rPr>
          <w:rFonts w:eastAsia="Arial" w:cstheme="minorHAnsi"/>
          <w:spacing w:val="2"/>
        </w:rPr>
        <w:t>e</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spacing w:val="-5"/>
        </w:rPr>
        <w:t>c</w:t>
      </w:r>
      <w:r w:rsidRPr="00585C2D">
        <w:rPr>
          <w:rFonts w:eastAsia="Arial" w:cstheme="minorHAnsi"/>
          <w:spacing w:val="2"/>
        </w:rPr>
        <w:t>u</w:t>
      </w:r>
      <w:r w:rsidRPr="00585C2D">
        <w:rPr>
          <w:rFonts w:eastAsia="Arial" w:cstheme="minorHAnsi"/>
          <w:spacing w:val="-2"/>
        </w:rPr>
        <w:t>rr</w:t>
      </w:r>
      <w:r w:rsidRPr="00585C2D">
        <w:rPr>
          <w:rFonts w:eastAsia="Arial" w:cstheme="minorHAnsi"/>
          <w:spacing w:val="2"/>
        </w:rPr>
        <w:t>ed</w:t>
      </w:r>
      <w:r w:rsidRPr="00585C2D">
        <w:rPr>
          <w:rFonts w:eastAsia="Arial" w:cstheme="minorHAnsi"/>
        </w:rPr>
        <w:t>.</w:t>
      </w:r>
    </w:p>
    <w:p w14:paraId="7719D9B9" w14:textId="77777777" w:rsidR="00FC0CF1" w:rsidRPr="00585C2D" w:rsidRDefault="00FC0CF1" w:rsidP="00FC0CF1">
      <w:pPr>
        <w:tabs>
          <w:tab w:val="left" w:pos="1820"/>
        </w:tabs>
        <w:spacing w:after="120" w:line="240" w:lineRule="auto"/>
        <w:ind w:left="850" w:right="-45" w:hanging="425"/>
        <w:jc w:val="both"/>
        <w:rPr>
          <w:rFonts w:eastAsia="Arial" w:cstheme="minorHAnsi"/>
        </w:rPr>
      </w:pPr>
      <w:r w:rsidRPr="00585C2D">
        <w:rPr>
          <w:rFonts w:eastAsia="Arial" w:cstheme="minorHAnsi"/>
          <w:spacing w:val="1"/>
        </w:rPr>
        <w:t>f</w:t>
      </w:r>
      <w:r w:rsidRPr="00585C2D">
        <w:rPr>
          <w:rFonts w:eastAsia="Arial" w:cstheme="minorHAnsi"/>
        </w:rPr>
        <w:t>.</w:t>
      </w:r>
      <w:r w:rsidRPr="00585C2D">
        <w:rPr>
          <w:rFonts w:eastAsia="Arial" w:cstheme="minorHAnsi"/>
        </w:rPr>
        <w:tab/>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14"/>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3"/>
        </w:rPr>
        <w:t>b</w:t>
      </w:r>
      <w:r w:rsidRPr="00585C2D">
        <w:rPr>
          <w:rFonts w:eastAsia="Arial" w:cstheme="minorHAnsi"/>
          <w:spacing w:val="2"/>
        </w:rPr>
        <w:t>e</w:t>
      </w:r>
      <w:r w:rsidRPr="00585C2D">
        <w:rPr>
          <w:rFonts w:eastAsia="Arial" w:cstheme="minorHAnsi"/>
          <w:spacing w:val="-2"/>
        </w:rPr>
        <w:t>r</w:t>
      </w:r>
      <w:r w:rsidRPr="00585C2D">
        <w:rPr>
          <w:rFonts w:eastAsia="Arial" w:cstheme="minorHAnsi"/>
        </w:rPr>
        <w:t>s</w:t>
      </w:r>
      <w:r w:rsidRPr="00585C2D">
        <w:rPr>
          <w:rFonts w:eastAsia="Arial" w:cstheme="minorHAnsi"/>
          <w:spacing w:val="12"/>
        </w:rPr>
        <w:t xml:space="preserve"> </w:t>
      </w:r>
      <w:r w:rsidRPr="00585C2D">
        <w:rPr>
          <w:rFonts w:eastAsia="Arial" w:cstheme="minorHAnsi"/>
          <w:spacing w:val="-2"/>
        </w:rPr>
        <w:t>m</w:t>
      </w:r>
      <w:r w:rsidRPr="00585C2D">
        <w:rPr>
          <w:rFonts w:eastAsia="Arial" w:cstheme="minorHAnsi"/>
          <w:spacing w:val="2"/>
        </w:rPr>
        <w:t>a</w:t>
      </w:r>
      <w:r w:rsidRPr="00585C2D">
        <w:rPr>
          <w:rFonts w:eastAsia="Arial" w:cstheme="minorHAnsi"/>
        </w:rPr>
        <w:t>y</w:t>
      </w:r>
      <w:r w:rsidRPr="00585C2D">
        <w:rPr>
          <w:rFonts w:eastAsia="Arial" w:cstheme="minorHAnsi"/>
          <w:spacing w:val="6"/>
        </w:rPr>
        <w:t xml:space="preserve"> </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c</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12"/>
        </w:rPr>
        <w:t xml:space="preserve"> </w:t>
      </w:r>
      <w:r w:rsidRPr="00585C2D">
        <w:rPr>
          <w:rFonts w:eastAsia="Arial" w:cstheme="minorHAnsi"/>
          <w:spacing w:val="-3"/>
        </w:rPr>
        <w:t>u</w:t>
      </w:r>
      <w:r w:rsidRPr="00585C2D">
        <w:rPr>
          <w:rFonts w:eastAsia="Arial" w:cstheme="minorHAnsi"/>
          <w:spacing w:val="1"/>
        </w:rPr>
        <w:t>t</w:t>
      </w:r>
      <w:r w:rsidRPr="00585C2D">
        <w:rPr>
          <w:rFonts w:eastAsia="Arial" w:cstheme="minorHAnsi"/>
          <w:spacing w:val="-1"/>
        </w:rPr>
        <w:t>ili</w:t>
      </w:r>
      <w:r w:rsidRPr="00585C2D">
        <w:rPr>
          <w:rFonts w:eastAsia="Arial" w:cstheme="minorHAnsi"/>
        </w:rPr>
        <w:t>se</w:t>
      </w:r>
      <w:r w:rsidRPr="00585C2D">
        <w:rPr>
          <w:rFonts w:eastAsia="Arial" w:cstheme="minorHAnsi"/>
          <w:spacing w:val="7"/>
        </w:rPr>
        <w:t xml:space="preserve"> </w:t>
      </w:r>
      <w:r w:rsidRPr="00585C2D">
        <w:rPr>
          <w:rFonts w:eastAsia="Arial" w:cstheme="minorHAnsi"/>
        </w:rPr>
        <w:t>a</w:t>
      </w:r>
      <w:r w:rsidRPr="00585C2D">
        <w:rPr>
          <w:rFonts w:eastAsia="Arial" w:cstheme="minorHAnsi"/>
          <w:spacing w:val="12"/>
        </w:rPr>
        <w:t xml:space="preserve"> </w:t>
      </w:r>
      <w:r w:rsidRPr="00585C2D">
        <w:rPr>
          <w:rFonts w:eastAsia="Arial" w:cstheme="minorHAnsi"/>
          <w:spacing w:val="-3"/>
        </w:rPr>
        <w:t>p</w:t>
      </w:r>
      <w:r w:rsidRPr="00585C2D">
        <w:rPr>
          <w:rFonts w:eastAsia="Arial" w:cstheme="minorHAnsi"/>
          <w:spacing w:val="2"/>
        </w:rPr>
        <w:t>o</w:t>
      </w:r>
      <w:r w:rsidRPr="00585C2D">
        <w:rPr>
          <w:rFonts w:eastAsia="Arial" w:cstheme="minorHAnsi"/>
          <w:spacing w:val="-2"/>
        </w:rPr>
        <w:t>r</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11"/>
        </w:rPr>
        <w:t xml:space="preserve"> </w:t>
      </w:r>
      <w:r w:rsidRPr="00585C2D">
        <w:rPr>
          <w:rFonts w:eastAsia="Arial" w:cstheme="minorHAnsi"/>
          <w:spacing w:val="1"/>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7"/>
        </w:rPr>
        <w:t>o</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9"/>
        </w:rPr>
        <w:t xml:space="preserve"> </w:t>
      </w:r>
      <w:r w:rsidRPr="00585C2D">
        <w:rPr>
          <w:rFonts w:eastAsia="Arial" w:cstheme="minorHAnsi"/>
          <w:spacing w:val="1"/>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9"/>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2"/>
        </w:rPr>
        <w:t>h</w:t>
      </w:r>
      <w:r w:rsidRPr="00585C2D">
        <w:rPr>
          <w:rFonts w:eastAsia="Arial" w:cstheme="minorHAnsi"/>
          <w:spacing w:val="-6"/>
        </w:rPr>
        <w:t>i</w:t>
      </w:r>
      <w:r w:rsidRPr="00585C2D">
        <w:rPr>
          <w:rFonts w:eastAsia="Arial" w:cstheme="minorHAnsi"/>
          <w:spacing w:val="2"/>
        </w:rPr>
        <w:t>p</w:t>
      </w:r>
      <w:r w:rsidRPr="00585C2D">
        <w:rPr>
          <w:rFonts w:eastAsia="Arial" w:cstheme="minorHAnsi"/>
        </w:rPr>
        <w:t>.</w:t>
      </w:r>
      <w:r>
        <w:rPr>
          <w:rFonts w:eastAsia="Arial" w:cstheme="minorHAnsi"/>
        </w:rPr>
        <w:t xml:space="preserve"> </w:t>
      </w:r>
      <w:r w:rsidRPr="00585C2D">
        <w:rPr>
          <w:rFonts w:eastAsia="Arial" w:cstheme="minorHAnsi"/>
          <w:spacing w:val="1"/>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6"/>
        </w:rPr>
        <w:t>f</w:t>
      </w:r>
      <w:r w:rsidRPr="00585C2D">
        <w:rPr>
          <w:rFonts w:eastAsia="Arial" w:cstheme="minorHAnsi"/>
          <w:spacing w:val="-3"/>
        </w:rPr>
        <w:t>e</w:t>
      </w:r>
      <w:r w:rsidRPr="00585C2D">
        <w:rPr>
          <w:rFonts w:eastAsia="Arial" w:cstheme="minorHAnsi"/>
        </w:rPr>
        <w:t>ss</w:t>
      </w:r>
      <w:r w:rsidRPr="00585C2D">
        <w:rPr>
          <w:rFonts w:eastAsia="Arial" w:cstheme="minorHAnsi"/>
          <w:spacing w:val="-1"/>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19"/>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spacing w:val="-5"/>
        </w:rPr>
        <w:t>s</w:t>
      </w:r>
      <w:r w:rsidRPr="00585C2D">
        <w:rPr>
          <w:rFonts w:eastAsia="Arial" w:cstheme="minorHAnsi"/>
          <w:spacing w:val="2"/>
        </w:rPr>
        <w:t>h</w:t>
      </w:r>
      <w:r w:rsidRPr="00585C2D">
        <w:rPr>
          <w:rFonts w:eastAsia="Arial" w:cstheme="minorHAnsi"/>
          <w:spacing w:val="-1"/>
        </w:rPr>
        <w:t>i</w:t>
      </w:r>
      <w:r w:rsidRPr="00585C2D">
        <w:rPr>
          <w:rFonts w:eastAsia="Arial" w:cstheme="minorHAnsi"/>
        </w:rPr>
        <w:t>p</w:t>
      </w:r>
      <w:r w:rsidRPr="00585C2D">
        <w:rPr>
          <w:rFonts w:eastAsia="Arial" w:cstheme="minorHAnsi"/>
          <w:spacing w:val="26"/>
        </w:rPr>
        <w:t xml:space="preserve"> </w:t>
      </w:r>
      <w:r w:rsidRPr="00585C2D">
        <w:rPr>
          <w:rFonts w:eastAsia="Arial" w:cstheme="minorHAnsi"/>
          <w:spacing w:val="-6"/>
        </w:rPr>
        <w:t>m</w:t>
      </w:r>
      <w:r w:rsidRPr="00585C2D">
        <w:rPr>
          <w:rFonts w:eastAsia="Arial" w:cstheme="minorHAnsi"/>
          <w:spacing w:val="2"/>
        </w:rPr>
        <w:t>u</w:t>
      </w:r>
      <w:r w:rsidRPr="00585C2D">
        <w:rPr>
          <w:rFonts w:eastAsia="Arial" w:cstheme="minorHAnsi"/>
        </w:rPr>
        <w:t>st</w:t>
      </w:r>
      <w:r w:rsidRPr="00585C2D">
        <w:rPr>
          <w:rFonts w:eastAsia="Arial" w:cstheme="minorHAnsi"/>
          <w:spacing w:val="21"/>
        </w:rPr>
        <w:t xml:space="preserve"> </w:t>
      </w:r>
      <w:r w:rsidRPr="00585C2D">
        <w:rPr>
          <w:rFonts w:eastAsia="Arial" w:cstheme="minorHAnsi"/>
          <w:spacing w:val="-6"/>
        </w:rPr>
        <w:t>r</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a</w:t>
      </w:r>
      <w:r w:rsidRPr="00585C2D">
        <w:rPr>
          <w:rFonts w:eastAsia="Arial" w:cstheme="minorHAnsi"/>
          <w:spacing w:val="-4"/>
        </w:rPr>
        <w:t>t</w:t>
      </w:r>
      <w:r w:rsidRPr="00585C2D">
        <w:rPr>
          <w:rFonts w:eastAsia="Arial" w:cstheme="minorHAnsi"/>
        </w:rPr>
        <w:t>e</w:t>
      </w:r>
      <w:r w:rsidRPr="00585C2D">
        <w:rPr>
          <w:rFonts w:eastAsia="Arial" w:cstheme="minorHAnsi"/>
          <w:spacing w:val="22"/>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22"/>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r</w:t>
      </w:r>
      <w:r w:rsidRPr="00585C2D">
        <w:rPr>
          <w:rFonts w:eastAsia="Arial" w:cstheme="minorHAnsi"/>
          <w:spacing w:val="19"/>
        </w:rPr>
        <w:t xml:space="preserve"> </w:t>
      </w:r>
      <w:r w:rsidRPr="00585C2D">
        <w:rPr>
          <w:rFonts w:eastAsia="Arial" w:cstheme="minorHAnsi"/>
          <w:spacing w:val="-6"/>
        </w:rPr>
        <w:t>r</w:t>
      </w:r>
      <w:r w:rsidRPr="00585C2D">
        <w:rPr>
          <w:rFonts w:eastAsia="Arial" w:cstheme="minorHAnsi"/>
          <w:spacing w:val="2"/>
        </w:rPr>
        <w:t>o</w:t>
      </w:r>
      <w:r w:rsidRPr="00585C2D">
        <w:rPr>
          <w:rFonts w:eastAsia="Arial" w:cstheme="minorHAnsi"/>
          <w:spacing w:val="-1"/>
        </w:rPr>
        <w:t>l</w:t>
      </w:r>
      <w:r w:rsidRPr="00585C2D">
        <w:rPr>
          <w:rFonts w:eastAsia="Arial" w:cstheme="minorHAnsi"/>
        </w:rPr>
        <w:t>e</w:t>
      </w:r>
      <w:r w:rsidRPr="00585C2D">
        <w:rPr>
          <w:rFonts w:eastAsia="Arial" w:cstheme="minorHAnsi"/>
          <w:spacing w:val="17"/>
        </w:rPr>
        <w:t xml:space="preserve"> </w:t>
      </w:r>
      <w:r w:rsidRPr="00585C2D">
        <w:rPr>
          <w:rFonts w:eastAsia="Arial" w:cstheme="minorHAnsi"/>
          <w:spacing w:val="2"/>
        </w:rPr>
        <w:t>a</w:t>
      </w:r>
      <w:r w:rsidRPr="00585C2D">
        <w:rPr>
          <w:rFonts w:eastAsia="Arial" w:cstheme="minorHAnsi"/>
        </w:rPr>
        <w:t>s</w:t>
      </w:r>
      <w:r w:rsidRPr="00585C2D">
        <w:rPr>
          <w:rFonts w:eastAsia="Arial" w:cstheme="minorHAnsi"/>
          <w:spacing w:val="15"/>
        </w:rPr>
        <w:t xml:space="preserve"> </w:t>
      </w:r>
      <w:r w:rsidRPr="00585C2D">
        <w:rPr>
          <w:rFonts w:eastAsia="Arial" w:cstheme="minorHAnsi"/>
          <w:spacing w:val="7"/>
        </w:rPr>
        <w:t>a</w:t>
      </w:r>
      <w:r w:rsidRPr="00585C2D">
        <w:rPr>
          <w:rFonts w:eastAsia="Arial" w:cstheme="minorHAnsi"/>
        </w:rPr>
        <w:t>n</w:t>
      </w:r>
      <w:r w:rsidRPr="00585C2D">
        <w:rPr>
          <w:rFonts w:eastAsia="Arial" w:cstheme="minorHAnsi"/>
          <w:spacing w:val="18"/>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24"/>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19"/>
        </w:rPr>
        <w:t xml:space="preserve"> </w:t>
      </w:r>
      <w:r w:rsidRPr="00585C2D">
        <w:rPr>
          <w:rFonts w:eastAsia="Arial" w:cstheme="minorHAnsi"/>
          <w:spacing w:val="-6"/>
        </w:rPr>
        <w:t>i</w:t>
      </w:r>
      <w:r w:rsidRPr="00585C2D">
        <w:rPr>
          <w:rFonts w:eastAsia="Arial" w:cstheme="minorHAnsi"/>
        </w:rPr>
        <w:t>n</w:t>
      </w:r>
      <w:r w:rsidRPr="00585C2D">
        <w:rPr>
          <w:rFonts w:eastAsia="Arial" w:cstheme="minorHAnsi"/>
          <w:spacing w:val="22"/>
        </w:rPr>
        <w:t xml:space="preserve"> </w:t>
      </w:r>
      <w:r w:rsidRPr="00585C2D">
        <w:rPr>
          <w:rFonts w:eastAsia="Arial" w:cstheme="minorHAnsi"/>
          <w:spacing w:val="-1"/>
        </w:rPr>
        <w:t>l</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a</w:t>
      </w:r>
      <w:r w:rsidRPr="00585C2D">
        <w:rPr>
          <w:rFonts w:eastAsia="Arial" w:cstheme="minorHAnsi"/>
        </w:rPr>
        <w:t>l</w:t>
      </w:r>
      <w:r w:rsidRPr="00585C2D">
        <w:rPr>
          <w:rFonts w:eastAsia="Arial" w:cstheme="minorHAnsi"/>
          <w:spacing w:val="14"/>
        </w:rPr>
        <w:t xml:space="preserve"> </w:t>
      </w:r>
      <w:r w:rsidRPr="00585C2D">
        <w:rPr>
          <w:rFonts w:eastAsia="Arial" w:cstheme="minorHAnsi"/>
          <w:spacing w:val="2"/>
        </w:rPr>
        <w:t>go</w:t>
      </w:r>
      <w:r w:rsidRPr="00585C2D">
        <w:rPr>
          <w:rFonts w:eastAsia="Arial" w:cstheme="minorHAnsi"/>
          <w:spacing w:val="-5"/>
        </w:rPr>
        <w:t>v</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n</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Pr>
          <w:rFonts w:eastAsia="Arial" w:cstheme="minorHAnsi"/>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spacing w:val="-3"/>
        </w:rPr>
        <w:t>p</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o</w:t>
      </w:r>
      <w:r w:rsidRPr="00585C2D">
        <w:rPr>
          <w:rFonts w:eastAsia="Arial" w:cstheme="minorHAnsi"/>
        </w:rPr>
        <w:t>v</w:t>
      </w:r>
      <w:r w:rsidRPr="00585C2D">
        <w:rPr>
          <w:rFonts w:eastAsia="Arial" w:cstheme="minorHAnsi"/>
          <w:spacing w:val="-3"/>
        </w:rPr>
        <w:t>e</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C</w:t>
      </w:r>
      <w:r w:rsidRPr="00585C2D">
        <w:rPr>
          <w:rFonts w:eastAsia="Arial" w:cstheme="minorHAnsi"/>
          <w:spacing w:val="1"/>
        </w:rPr>
        <w:t>E</w:t>
      </w:r>
      <w:r w:rsidRPr="00585C2D">
        <w:rPr>
          <w:rFonts w:eastAsia="Arial" w:cstheme="minorHAnsi"/>
          <w:spacing w:val="-4"/>
        </w:rPr>
        <w:t>O</w:t>
      </w:r>
      <w:r w:rsidRPr="00585C2D">
        <w:rPr>
          <w:rFonts w:eastAsia="Arial" w:cstheme="minorHAnsi"/>
        </w:rPr>
        <w:t>.</w:t>
      </w:r>
    </w:p>
    <w:p w14:paraId="35C2863E" w14:textId="77777777" w:rsidR="00FC0CF1" w:rsidRPr="00585C2D" w:rsidRDefault="00FC0CF1" w:rsidP="00FC0CF1">
      <w:pPr>
        <w:spacing w:after="120" w:line="239" w:lineRule="auto"/>
        <w:ind w:left="850" w:right="-45" w:hanging="425"/>
        <w:jc w:val="both"/>
        <w:rPr>
          <w:rFonts w:eastAsia="Arial" w:cstheme="minorHAnsi"/>
        </w:rPr>
      </w:pPr>
      <w:r w:rsidRPr="00585C2D">
        <w:rPr>
          <w:rFonts w:eastAsia="Arial" w:cstheme="minorHAnsi"/>
          <w:spacing w:val="2"/>
        </w:rPr>
        <w:t>g</w:t>
      </w:r>
      <w:r>
        <w:rPr>
          <w:rFonts w:eastAsia="Arial" w:cstheme="minorHAnsi"/>
        </w:rPr>
        <w:t>.</w:t>
      </w:r>
      <w:r>
        <w:rPr>
          <w:rFonts w:eastAsia="Arial" w:cstheme="minorHAnsi"/>
        </w:rPr>
        <w:tab/>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1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1"/>
        </w:rPr>
        <w:t xml:space="preserve"> </w:t>
      </w:r>
      <w:r w:rsidRPr="00585C2D">
        <w:rPr>
          <w:rFonts w:eastAsia="Arial" w:cstheme="minorHAnsi"/>
          <w:spacing w:val="-1"/>
        </w:rPr>
        <w:t>w</w:t>
      </w:r>
      <w:r w:rsidRPr="00585C2D">
        <w:rPr>
          <w:rFonts w:eastAsia="Arial" w:cstheme="minorHAnsi"/>
          <w:spacing w:val="2"/>
        </w:rPr>
        <w:t>h</w:t>
      </w:r>
      <w:r w:rsidRPr="00585C2D">
        <w:rPr>
          <w:rFonts w:eastAsia="Arial" w:cstheme="minorHAnsi"/>
        </w:rPr>
        <w:t>o</w:t>
      </w:r>
      <w:r w:rsidRPr="00585C2D">
        <w:rPr>
          <w:rFonts w:eastAsia="Arial" w:cstheme="minorHAnsi"/>
          <w:spacing w:val="13"/>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q</w:t>
      </w:r>
      <w:r w:rsidRPr="00585C2D">
        <w:rPr>
          <w:rFonts w:eastAsia="Arial" w:cstheme="minorHAnsi"/>
          <w:spacing w:val="-3"/>
        </w:rPr>
        <w:t>u</w:t>
      </w:r>
      <w:r w:rsidRPr="00585C2D">
        <w:rPr>
          <w:rFonts w:eastAsia="Arial" w:cstheme="minorHAnsi"/>
          <w:spacing w:val="2"/>
        </w:rPr>
        <w:t>e</w:t>
      </w:r>
      <w:r w:rsidRPr="00585C2D">
        <w:rPr>
          <w:rFonts w:eastAsia="Arial" w:cstheme="minorHAnsi"/>
        </w:rPr>
        <w:t>st</w:t>
      </w:r>
      <w:r w:rsidRPr="00585C2D">
        <w:rPr>
          <w:rFonts w:eastAsia="Arial" w:cstheme="minorHAnsi"/>
          <w:spacing w:val="7"/>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10"/>
        </w:rPr>
        <w:t xml:space="preserve"> </w:t>
      </w:r>
      <w:r w:rsidRPr="00585C2D">
        <w:rPr>
          <w:rFonts w:eastAsia="Arial" w:cstheme="minorHAnsi"/>
          <w:spacing w:val="-2"/>
        </w:rPr>
        <w:t>m</w:t>
      </w:r>
      <w:r w:rsidRPr="00585C2D">
        <w:rPr>
          <w:rFonts w:eastAsia="Arial" w:cstheme="minorHAnsi"/>
          <w:spacing w:val="2"/>
        </w:rPr>
        <w:t>e</w:t>
      </w:r>
      <w:r w:rsidRPr="00585C2D">
        <w:rPr>
          <w:rFonts w:eastAsia="Arial" w:cstheme="minorHAnsi"/>
          <w:spacing w:val="-6"/>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2"/>
        </w:rPr>
        <w:t>h</w:t>
      </w:r>
      <w:r w:rsidRPr="00585C2D">
        <w:rPr>
          <w:rFonts w:eastAsia="Arial" w:cstheme="minorHAnsi"/>
          <w:spacing w:val="-6"/>
        </w:rPr>
        <w:t>i</w:t>
      </w:r>
      <w:r w:rsidRPr="00585C2D">
        <w:rPr>
          <w:rFonts w:eastAsia="Arial" w:cstheme="minorHAnsi"/>
        </w:rPr>
        <w:t>p</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13"/>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13"/>
        </w:rPr>
        <w:t xml:space="preserve"> </w:t>
      </w:r>
      <w:r w:rsidRPr="00585C2D">
        <w:rPr>
          <w:rFonts w:eastAsia="Arial" w:cstheme="minorHAnsi"/>
          <w:spacing w:val="-3"/>
        </w:rPr>
        <w:t>p</w:t>
      </w:r>
      <w:r w:rsidRPr="00585C2D">
        <w:rPr>
          <w:rFonts w:eastAsia="Arial" w:cstheme="minorHAnsi"/>
          <w:spacing w:val="2"/>
        </w:rPr>
        <w:t>a</w:t>
      </w:r>
      <w:r w:rsidRPr="00585C2D">
        <w:rPr>
          <w:rFonts w:eastAsia="Arial" w:cstheme="minorHAnsi"/>
          <w:spacing w:val="-1"/>
        </w:rPr>
        <w:t>i</w:t>
      </w:r>
      <w:r w:rsidRPr="00585C2D">
        <w:rPr>
          <w:rFonts w:eastAsia="Arial" w:cstheme="minorHAnsi"/>
        </w:rPr>
        <w:t>d</w:t>
      </w:r>
      <w:r w:rsidRPr="00585C2D">
        <w:rPr>
          <w:rFonts w:eastAsia="Arial" w:cstheme="minorHAnsi"/>
          <w:spacing w:val="13"/>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13"/>
        </w:rPr>
        <w:t xml:space="preserve"> </w:t>
      </w:r>
      <w:r w:rsidRPr="00585C2D">
        <w:rPr>
          <w:rFonts w:eastAsia="Arial" w:cstheme="minorHAnsi"/>
        </w:rPr>
        <w:t>a</w:t>
      </w:r>
      <w:r w:rsidRPr="00585C2D">
        <w:rPr>
          <w:rFonts w:eastAsia="Arial" w:cstheme="minorHAnsi"/>
          <w:spacing w:val="13"/>
        </w:rPr>
        <w:t xml:space="preserve"> </w:t>
      </w:r>
      <w:r w:rsidRPr="00585C2D">
        <w:rPr>
          <w:rFonts w:eastAsia="Arial" w:cstheme="minorHAnsi"/>
        </w:rPr>
        <w:t>y</w:t>
      </w:r>
      <w:r w:rsidRPr="00585C2D">
        <w:rPr>
          <w:rFonts w:eastAsia="Arial" w:cstheme="minorHAnsi"/>
          <w:spacing w:val="-3"/>
        </w:rPr>
        <w:t>e</w:t>
      </w:r>
      <w:r w:rsidRPr="00585C2D">
        <w:rPr>
          <w:rFonts w:eastAsia="Arial" w:cstheme="minorHAnsi"/>
          <w:spacing w:val="2"/>
        </w:rPr>
        <w:t>a</w:t>
      </w:r>
      <w:r w:rsidRPr="00585C2D">
        <w:rPr>
          <w:rFonts w:eastAsia="Arial" w:cstheme="minorHAnsi"/>
        </w:rPr>
        <w:t>r</w:t>
      </w:r>
      <w:r w:rsidRPr="00585C2D">
        <w:rPr>
          <w:rFonts w:eastAsia="Arial" w:cstheme="minorHAnsi"/>
          <w:spacing w:val="9"/>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a</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spacing w:val="-1"/>
        </w:rPr>
        <w:t>i</w:t>
      </w:r>
      <w:r w:rsidRPr="00585C2D">
        <w:rPr>
          <w:rFonts w:eastAsia="Arial" w:cstheme="minorHAnsi"/>
        </w:rPr>
        <w:t>r</w:t>
      </w:r>
      <w:r w:rsidRPr="00585C2D">
        <w:rPr>
          <w:rFonts w:eastAsia="Arial" w:cstheme="minorHAnsi"/>
          <w:spacing w:val="14"/>
        </w:rPr>
        <w:t xml:space="preserve"> </w:t>
      </w:r>
      <w:r w:rsidRPr="00585C2D">
        <w:rPr>
          <w:rFonts w:eastAsia="Arial" w:cstheme="minorHAnsi"/>
          <w:spacing w:val="-4"/>
        </w:rPr>
        <w:t>t</w:t>
      </w:r>
      <w:r w:rsidRPr="00585C2D">
        <w:rPr>
          <w:rFonts w:eastAsia="Arial" w:cstheme="minorHAnsi"/>
          <w:spacing w:val="2"/>
        </w:rPr>
        <w:t>e</w:t>
      </w:r>
      <w:r w:rsidRPr="00585C2D">
        <w:rPr>
          <w:rFonts w:eastAsia="Arial" w:cstheme="minorHAnsi"/>
          <w:spacing w:val="-2"/>
        </w:rPr>
        <w:t>r</w:t>
      </w:r>
      <w:r w:rsidRPr="00585C2D">
        <w:rPr>
          <w:rFonts w:eastAsia="Arial" w:cstheme="minorHAnsi"/>
        </w:rPr>
        <w:t>m</w:t>
      </w:r>
      <w:r w:rsidRPr="00585C2D">
        <w:rPr>
          <w:rFonts w:eastAsia="Arial" w:cstheme="minorHAnsi"/>
          <w:spacing w:val="9"/>
        </w:rPr>
        <w:t xml:space="preserve"> </w:t>
      </w:r>
      <w:r w:rsidRPr="00585C2D">
        <w:rPr>
          <w:rFonts w:eastAsia="Arial" w:cstheme="minorHAnsi"/>
          <w:spacing w:val="-3"/>
        </w:rPr>
        <w:t>o</w:t>
      </w:r>
      <w:r w:rsidRPr="00585C2D">
        <w:rPr>
          <w:rFonts w:eastAsia="Arial" w:cstheme="minorHAnsi"/>
        </w:rPr>
        <w:t xml:space="preserve">f </w:t>
      </w:r>
      <w:r w:rsidRPr="00585C2D">
        <w:rPr>
          <w:rFonts w:eastAsia="Arial" w:cstheme="minorHAnsi"/>
          <w:spacing w:val="-3"/>
        </w:rPr>
        <w:t>o</w:t>
      </w:r>
      <w:r w:rsidRPr="00585C2D">
        <w:rPr>
          <w:rFonts w:eastAsia="Arial" w:cstheme="minorHAnsi"/>
          <w:spacing w:val="1"/>
        </w:rPr>
        <w:t>f</w:t>
      </w:r>
      <w:r w:rsidRPr="00585C2D">
        <w:rPr>
          <w:rFonts w:eastAsia="Arial" w:cstheme="minorHAnsi"/>
          <w:spacing w:val="6"/>
        </w:rPr>
        <w:t>f</w:t>
      </w:r>
      <w:r w:rsidRPr="00585C2D">
        <w:rPr>
          <w:rFonts w:eastAsia="Arial" w:cstheme="minorHAnsi"/>
          <w:spacing w:val="-1"/>
        </w:rPr>
        <w:t>i</w:t>
      </w:r>
      <w:r w:rsidRPr="00585C2D">
        <w:rPr>
          <w:rFonts w:eastAsia="Arial" w:cstheme="minorHAnsi"/>
        </w:rPr>
        <w:t>ce</w:t>
      </w:r>
      <w:r w:rsidRPr="00585C2D">
        <w:rPr>
          <w:rFonts w:eastAsia="Arial" w:cstheme="minorHAnsi"/>
          <w:spacing w:val="-6"/>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3"/>
        </w:rPr>
        <w:t xml:space="preserve"> n</w:t>
      </w:r>
      <w:r w:rsidRPr="00585C2D">
        <w:rPr>
          <w:rFonts w:eastAsia="Arial" w:cstheme="minorHAnsi"/>
          <w:spacing w:val="2"/>
        </w:rPr>
        <w:t>o</w:t>
      </w:r>
      <w:r w:rsidRPr="00585C2D">
        <w:rPr>
          <w:rFonts w:eastAsia="Arial" w:cstheme="minorHAnsi"/>
        </w:rPr>
        <w:t>t</w:t>
      </w:r>
      <w:r w:rsidRPr="00585C2D">
        <w:rPr>
          <w:rFonts w:eastAsia="Arial" w:cstheme="minorHAnsi"/>
          <w:spacing w:val="-7"/>
        </w:rPr>
        <w:t xml:space="preserve"> </w:t>
      </w:r>
      <w:r w:rsidRPr="00585C2D">
        <w:rPr>
          <w:rFonts w:eastAsia="Arial" w:cstheme="minorHAnsi"/>
        </w:rPr>
        <w:t>a</w:t>
      </w:r>
      <w:r w:rsidRPr="00585C2D">
        <w:rPr>
          <w:rFonts w:eastAsia="Arial" w:cstheme="minorHAnsi"/>
          <w:spacing w:val="-7"/>
        </w:rPr>
        <w:t xml:space="preserve"> </w:t>
      </w:r>
      <w:r w:rsidRPr="00585C2D">
        <w:rPr>
          <w:rFonts w:eastAsia="Arial" w:cstheme="minorHAnsi"/>
          <w:spacing w:val="1"/>
        </w:rPr>
        <w:t>f</w:t>
      </w:r>
      <w:r w:rsidRPr="00585C2D">
        <w:rPr>
          <w:rFonts w:eastAsia="Arial" w:cstheme="minorHAnsi"/>
          <w:spacing w:val="2"/>
        </w:rPr>
        <w:t>u</w:t>
      </w:r>
      <w:r w:rsidRPr="00585C2D">
        <w:rPr>
          <w:rFonts w:eastAsia="Arial" w:cstheme="minorHAnsi"/>
          <w:spacing w:val="-1"/>
        </w:rPr>
        <w:t>l</w:t>
      </w:r>
      <w:r w:rsidRPr="00585C2D">
        <w:rPr>
          <w:rFonts w:eastAsia="Arial" w:cstheme="minorHAnsi"/>
        </w:rPr>
        <w:t>l</w:t>
      </w:r>
      <w:r w:rsidRPr="00585C2D">
        <w:rPr>
          <w:rFonts w:eastAsia="Arial" w:cstheme="minorHAnsi"/>
          <w:spacing w:val="-10"/>
        </w:rPr>
        <w:t xml:space="preserve"> </w:t>
      </w:r>
      <w:r w:rsidRPr="00585C2D">
        <w:rPr>
          <w:rFonts w:eastAsia="Arial" w:cstheme="minorHAnsi"/>
          <w:spacing w:val="6"/>
        </w:rPr>
        <w:t>f</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a</w:t>
      </w:r>
      <w:r w:rsidRPr="00585C2D">
        <w:rPr>
          <w:rFonts w:eastAsia="Arial" w:cstheme="minorHAnsi"/>
          <w:spacing w:val="-3"/>
        </w:rPr>
        <w:t>n</w:t>
      </w:r>
      <w:r w:rsidRPr="00585C2D">
        <w:rPr>
          <w:rFonts w:eastAsia="Arial" w:cstheme="minorHAnsi"/>
        </w:rPr>
        <w:t>c</w:t>
      </w:r>
      <w:r w:rsidRPr="00585C2D">
        <w:rPr>
          <w:rFonts w:eastAsia="Arial" w:cstheme="minorHAnsi"/>
          <w:spacing w:val="-1"/>
        </w:rPr>
        <w:t>i</w:t>
      </w:r>
      <w:r w:rsidRPr="00585C2D">
        <w:rPr>
          <w:rFonts w:eastAsia="Arial" w:cstheme="minorHAnsi"/>
          <w:spacing w:val="2"/>
        </w:rPr>
        <w:t>a</w:t>
      </w:r>
      <w:r w:rsidRPr="00585C2D">
        <w:rPr>
          <w:rFonts w:eastAsia="Arial" w:cstheme="minorHAnsi"/>
        </w:rPr>
        <w:t>l</w:t>
      </w:r>
      <w:r w:rsidRPr="00585C2D">
        <w:rPr>
          <w:rFonts w:eastAsia="Arial" w:cstheme="minorHAnsi"/>
          <w:spacing w:val="-5"/>
        </w:rPr>
        <w:t xml:space="preserve"> y</w:t>
      </w:r>
      <w:r w:rsidRPr="00585C2D">
        <w:rPr>
          <w:rFonts w:eastAsia="Arial" w:cstheme="minorHAnsi"/>
          <w:spacing w:val="2"/>
        </w:rPr>
        <w:t>ea</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3"/>
        </w:rPr>
        <w:t>o</w:t>
      </w:r>
      <w:r w:rsidRPr="00585C2D">
        <w:rPr>
          <w:rFonts w:eastAsia="Arial" w:cstheme="minorHAnsi"/>
          <w:spacing w:val="2"/>
        </w:rPr>
        <w:t>n</w:t>
      </w:r>
      <w:r w:rsidRPr="00585C2D">
        <w:rPr>
          <w:rFonts w:eastAsia="Arial" w:cstheme="minorHAnsi"/>
          <w:spacing w:val="-1"/>
        </w:rPr>
        <w:t>l</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3"/>
        </w:rPr>
        <w:t>h</w:t>
      </w:r>
      <w:r w:rsidRPr="00585C2D">
        <w:rPr>
          <w:rFonts w:eastAsia="Arial" w:cstheme="minorHAnsi"/>
          <w:spacing w:val="2"/>
        </w:rPr>
        <w:t>a</w:t>
      </w:r>
      <w:r w:rsidRPr="00585C2D">
        <w:rPr>
          <w:rFonts w:eastAsia="Arial" w:cstheme="minorHAnsi"/>
        </w:rPr>
        <w:t>ve</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3"/>
        </w:rPr>
        <w:t>p</w:t>
      </w:r>
      <w:r w:rsidRPr="00585C2D">
        <w:rPr>
          <w:rFonts w:eastAsia="Arial" w:cstheme="minorHAnsi"/>
          <w:spacing w:val="-2"/>
        </w:rPr>
        <w:t>r</w:t>
      </w:r>
      <w:r w:rsidRPr="00585C2D">
        <w:rPr>
          <w:rFonts w:eastAsia="Arial" w:cstheme="minorHAnsi"/>
          <w:spacing w:val="2"/>
        </w:rPr>
        <w:t>opo</w:t>
      </w:r>
      <w:r w:rsidRPr="00585C2D">
        <w:rPr>
          <w:rFonts w:eastAsia="Arial" w:cstheme="minorHAnsi"/>
          <w:spacing w:val="-2"/>
        </w:rPr>
        <w:t>r</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2"/>
        </w:rPr>
        <w:t>pa</w:t>
      </w:r>
      <w:r w:rsidRPr="00585C2D">
        <w:rPr>
          <w:rFonts w:eastAsia="Arial" w:cstheme="minorHAnsi"/>
          <w:spacing w:val="-6"/>
        </w:rPr>
        <w:t>i</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da</w:t>
      </w:r>
      <w:r w:rsidRPr="00585C2D">
        <w:rPr>
          <w:rFonts w:eastAsia="Arial" w:cstheme="minorHAnsi"/>
        </w:rPr>
        <w:t>ys</w:t>
      </w:r>
      <w:r w:rsidRPr="00585C2D">
        <w:rPr>
          <w:rFonts w:eastAsia="Arial" w:cstheme="minorHAnsi"/>
          <w:spacing w:val="-8"/>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spacing w:val="-5"/>
        </w:rPr>
        <w:t>s</w:t>
      </w:r>
      <w:r w:rsidRPr="00585C2D">
        <w:rPr>
          <w:rFonts w:eastAsia="Arial" w:cstheme="minorHAnsi"/>
          <w:spacing w:val="2"/>
        </w:rPr>
        <w:t>h</w:t>
      </w:r>
      <w:r w:rsidRPr="00585C2D">
        <w:rPr>
          <w:rFonts w:eastAsia="Arial" w:cstheme="minorHAnsi"/>
          <w:spacing w:val="-1"/>
        </w:rPr>
        <w:t>i</w:t>
      </w:r>
      <w:r w:rsidRPr="00585C2D">
        <w:rPr>
          <w:rFonts w:eastAsia="Arial" w:cstheme="minorHAnsi"/>
        </w:rPr>
        <w:t xml:space="preserve">p </w:t>
      </w:r>
      <w:r w:rsidRPr="00585C2D">
        <w:rPr>
          <w:rFonts w:eastAsia="Arial" w:cstheme="minorHAnsi"/>
          <w:spacing w:val="2"/>
        </w:rPr>
        <w:t>pe</w:t>
      </w:r>
      <w:r w:rsidRPr="00585C2D">
        <w:rPr>
          <w:rFonts w:eastAsia="Arial" w:cstheme="minorHAnsi"/>
          <w:spacing w:val="-2"/>
        </w:rPr>
        <w:t>r</w:t>
      </w:r>
      <w:r w:rsidRPr="00585C2D">
        <w:rPr>
          <w:rFonts w:eastAsia="Arial" w:cstheme="minorHAnsi"/>
          <w:spacing w:val="-1"/>
        </w:rPr>
        <w:t>i</w:t>
      </w:r>
      <w:r w:rsidRPr="00585C2D">
        <w:rPr>
          <w:rFonts w:eastAsia="Arial" w:cstheme="minorHAnsi"/>
          <w:spacing w:val="-3"/>
        </w:rPr>
        <w:t>o</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3"/>
        </w:rPr>
        <w:t>h</w:t>
      </w:r>
      <w:r w:rsidRPr="00585C2D">
        <w:rPr>
          <w:rFonts w:eastAsia="Arial" w:cstheme="minorHAnsi"/>
          <w:spacing w:val="2"/>
        </w:rPr>
        <w:t>o</w:t>
      </w:r>
      <w:r w:rsidRPr="00585C2D">
        <w:rPr>
          <w:rFonts w:eastAsia="Arial" w:cstheme="minorHAnsi"/>
          <w:spacing w:val="-1"/>
        </w:rPr>
        <w:t>l</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spacing w:val="1"/>
        </w:rPr>
        <w:t>f</w:t>
      </w:r>
      <w:r w:rsidRPr="00585C2D">
        <w:rPr>
          <w:rFonts w:eastAsia="Arial" w:cstheme="minorHAnsi"/>
          <w:spacing w:val="6"/>
        </w:rPr>
        <w:t>f</w:t>
      </w:r>
      <w:r w:rsidRPr="00585C2D">
        <w:rPr>
          <w:rFonts w:eastAsia="Arial" w:cstheme="minorHAnsi"/>
          <w:spacing w:val="-1"/>
        </w:rPr>
        <w:t>i</w:t>
      </w:r>
      <w:r w:rsidRPr="00585C2D">
        <w:rPr>
          <w:rFonts w:eastAsia="Arial" w:cstheme="minorHAnsi"/>
          <w:spacing w:val="-5"/>
        </w:rPr>
        <w:t>c</w:t>
      </w:r>
      <w:r w:rsidRPr="00585C2D">
        <w:rPr>
          <w:rFonts w:eastAsia="Arial" w:cstheme="minorHAnsi"/>
          <w:spacing w:val="2"/>
        </w:rPr>
        <w:t>e</w:t>
      </w:r>
      <w:r w:rsidRPr="00585C2D">
        <w:rPr>
          <w:rFonts w:eastAsia="Arial" w:cstheme="minorHAnsi"/>
        </w:rPr>
        <w:t>.</w:t>
      </w:r>
    </w:p>
    <w:p w14:paraId="02A4D211" w14:textId="77777777" w:rsidR="00FC0CF1" w:rsidRPr="00585C2D" w:rsidRDefault="00FC0CF1" w:rsidP="00FC0CF1">
      <w:pPr>
        <w:spacing w:after="120" w:line="239" w:lineRule="auto"/>
        <w:ind w:left="850" w:right="-45" w:hanging="425"/>
        <w:jc w:val="both"/>
        <w:rPr>
          <w:rFonts w:eastAsia="Arial" w:cstheme="minorHAnsi"/>
        </w:rPr>
      </w:pPr>
      <w:r w:rsidRPr="00585C2D">
        <w:rPr>
          <w:rFonts w:eastAsia="Arial" w:cstheme="minorHAnsi"/>
          <w:spacing w:val="2"/>
        </w:rPr>
        <w:t>h</w:t>
      </w:r>
      <w:r>
        <w:rPr>
          <w:rFonts w:eastAsia="Arial" w:cstheme="minorHAnsi"/>
        </w:rPr>
        <w:t>.</w:t>
      </w:r>
      <w:r>
        <w:rPr>
          <w:rFonts w:eastAsia="Arial" w:cstheme="minorHAnsi"/>
        </w:rPr>
        <w:tab/>
      </w:r>
      <w:r w:rsidRPr="00585C2D">
        <w:rPr>
          <w:rFonts w:eastAsia="Arial" w:cstheme="minorHAnsi"/>
          <w:spacing w:val="1"/>
        </w:rPr>
        <w:t>A</w:t>
      </w:r>
      <w:r w:rsidRPr="00585C2D">
        <w:rPr>
          <w:rFonts w:eastAsia="Arial" w:cstheme="minorHAnsi"/>
          <w:spacing w:val="2"/>
        </w:rPr>
        <w:t>n</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e</w:t>
      </w:r>
      <w:r w:rsidRPr="00585C2D">
        <w:rPr>
          <w:rFonts w:eastAsia="Arial" w:cstheme="minorHAnsi"/>
        </w:rPr>
        <w:t>s</w:t>
      </w:r>
      <w:r w:rsidRPr="00585C2D">
        <w:rPr>
          <w:rFonts w:eastAsia="Arial" w:cstheme="minorHAnsi"/>
          <w:spacing w:val="3"/>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1"/>
        </w:rPr>
        <w:t>A</w:t>
      </w:r>
      <w:r w:rsidRPr="00585C2D">
        <w:rPr>
          <w:rFonts w:eastAsia="Arial" w:cstheme="minorHAnsi"/>
          <w:spacing w:val="-3"/>
        </w:rPr>
        <w:t>d</w:t>
      </w:r>
      <w:r w:rsidRPr="00585C2D">
        <w:rPr>
          <w:rFonts w:eastAsia="Arial" w:cstheme="minorHAnsi"/>
        </w:rPr>
        <w:t>v</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a</w:t>
      </w:r>
      <w:r w:rsidRPr="00585C2D">
        <w:rPr>
          <w:rFonts w:eastAsia="Arial" w:cstheme="minorHAnsi"/>
        </w:rPr>
        <w:t>cy</w:t>
      </w:r>
      <w:r w:rsidRPr="00585C2D">
        <w:rPr>
          <w:rFonts w:eastAsia="Arial" w:cstheme="minorHAnsi"/>
          <w:spacing w:val="1"/>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3"/>
        </w:rPr>
        <w:t>L</w:t>
      </w:r>
      <w:r w:rsidRPr="00585C2D">
        <w:rPr>
          <w:rFonts w:eastAsia="Arial" w:cstheme="minorHAnsi"/>
          <w:spacing w:val="2"/>
        </w:rPr>
        <w:t>o</w:t>
      </w:r>
      <w:r w:rsidRPr="00585C2D">
        <w:rPr>
          <w:rFonts w:eastAsia="Arial" w:cstheme="minorHAnsi"/>
          <w:spacing w:val="-3"/>
        </w:rPr>
        <w:t>b</w:t>
      </w:r>
      <w:r w:rsidRPr="00585C2D">
        <w:rPr>
          <w:rFonts w:eastAsia="Arial" w:cstheme="minorHAnsi"/>
          <w:spacing w:val="2"/>
        </w:rPr>
        <w:t>b</w:t>
      </w:r>
      <w:r w:rsidRPr="00585C2D">
        <w:rPr>
          <w:rFonts w:eastAsia="Arial" w:cstheme="minorHAnsi"/>
        </w:rPr>
        <w:t>y</w:t>
      </w:r>
      <w:r w:rsidRPr="00585C2D">
        <w:rPr>
          <w:rFonts w:eastAsia="Arial" w:cstheme="minorHAnsi"/>
          <w:spacing w:val="-1"/>
        </w:rPr>
        <w:t>i</w:t>
      </w:r>
      <w:r w:rsidRPr="00585C2D">
        <w:rPr>
          <w:rFonts w:eastAsia="Arial" w:cstheme="minorHAnsi"/>
          <w:spacing w:val="-3"/>
        </w:rPr>
        <w:t>n</w:t>
      </w:r>
      <w:r w:rsidRPr="00585C2D">
        <w:rPr>
          <w:rFonts w:eastAsia="Arial" w:cstheme="minorHAnsi"/>
          <w:spacing w:val="6"/>
        </w:rPr>
        <w:t>g</w:t>
      </w:r>
      <w:r w:rsidRPr="00585C2D">
        <w:rPr>
          <w:rFonts w:eastAsia="Arial" w:cstheme="minorHAnsi"/>
        </w:rPr>
        <w:t>,</w:t>
      </w:r>
      <w:r w:rsidRPr="00585C2D">
        <w:rPr>
          <w:rFonts w:eastAsia="Arial" w:cstheme="minorHAnsi"/>
          <w:spacing w:val="7"/>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3"/>
        </w:rPr>
        <w:t>n</w:t>
      </w:r>
      <w:r w:rsidRPr="00585C2D">
        <w:rPr>
          <w:rFonts w:eastAsia="Arial" w:cstheme="minorHAnsi"/>
          <w:spacing w:val="2"/>
        </w:rPr>
        <w:t>o</w:t>
      </w:r>
      <w:r w:rsidRPr="00585C2D">
        <w:rPr>
          <w:rFonts w:eastAsia="Arial" w:cstheme="minorHAnsi"/>
        </w:rPr>
        <w:t>t</w:t>
      </w:r>
      <w:r w:rsidRPr="00585C2D">
        <w:rPr>
          <w:rFonts w:eastAsia="Arial" w:cstheme="minorHAnsi"/>
          <w:spacing w:val="4"/>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1"/>
        </w:rPr>
        <w:t>i</w:t>
      </w:r>
      <w:r w:rsidRPr="00585C2D">
        <w:rPr>
          <w:rFonts w:eastAsia="Arial" w:cstheme="minorHAnsi"/>
          <w:spacing w:val="-3"/>
        </w:rPr>
        <w:t>n</w:t>
      </w:r>
      <w:r w:rsidRPr="00585C2D">
        <w:rPr>
          <w:rFonts w:eastAsia="Arial" w:cstheme="minorHAnsi"/>
        </w:rPr>
        <w:t>c</w:t>
      </w:r>
      <w:r w:rsidRPr="00585C2D">
        <w:rPr>
          <w:rFonts w:eastAsia="Arial" w:cstheme="minorHAnsi"/>
          <w:spacing w:val="-1"/>
        </w:rPr>
        <w:t>l</w:t>
      </w:r>
      <w:r w:rsidRPr="00585C2D">
        <w:rPr>
          <w:rFonts w:eastAsia="Arial" w:cstheme="minorHAnsi"/>
          <w:spacing w:val="2"/>
        </w:rPr>
        <w:t>u</w:t>
      </w:r>
      <w:r w:rsidRPr="00585C2D">
        <w:rPr>
          <w:rFonts w:eastAsia="Arial" w:cstheme="minorHAnsi"/>
          <w:spacing w:val="-3"/>
        </w:rPr>
        <w:t>d</w:t>
      </w:r>
      <w:r w:rsidRPr="00585C2D">
        <w:rPr>
          <w:rFonts w:eastAsia="Arial" w:cstheme="minorHAnsi"/>
          <w:spacing w:val="2"/>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rPr>
        <w:t xml:space="preserve">n </w:t>
      </w:r>
      <w:r w:rsidRPr="00585C2D">
        <w:rPr>
          <w:rFonts w:eastAsia="Arial" w:cstheme="minorHAnsi"/>
          <w:spacing w:val="1"/>
        </w:rPr>
        <w:t>t</w:t>
      </w:r>
      <w:r w:rsidRPr="00585C2D">
        <w:rPr>
          <w:rFonts w:eastAsia="Arial" w:cstheme="minorHAnsi"/>
          <w:spacing w:val="2"/>
        </w:rPr>
        <w:t>h</w:t>
      </w:r>
      <w:r w:rsidRPr="00585C2D">
        <w:rPr>
          <w:rFonts w:eastAsia="Arial" w:cstheme="minorHAnsi"/>
        </w:rPr>
        <w:t>e</w:t>
      </w:r>
      <w:r w:rsidRPr="00585C2D">
        <w:rPr>
          <w:rFonts w:eastAsia="Arial" w:cstheme="minorHAnsi"/>
          <w:spacing w:val="4"/>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5"/>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6"/>
        </w:rPr>
        <w:t xml:space="preserve">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1"/>
        </w:rPr>
        <w:t>C</w:t>
      </w:r>
      <w:r w:rsidRPr="00585C2D">
        <w:rPr>
          <w:rFonts w:eastAsia="Arial" w:cstheme="minorHAnsi"/>
          <w:spacing w:val="1"/>
        </w:rPr>
        <w:t>E</w:t>
      </w:r>
      <w:r w:rsidRPr="00585C2D">
        <w:rPr>
          <w:rFonts w:eastAsia="Arial" w:cstheme="minorHAnsi"/>
        </w:rPr>
        <w:t>O</w:t>
      </w:r>
      <w:r w:rsidRPr="00585C2D">
        <w:rPr>
          <w:rFonts w:eastAsia="Arial" w:cstheme="minorHAnsi"/>
          <w:spacing w:val="4"/>
        </w:rPr>
        <w:t xml:space="preserve"> </w:t>
      </w:r>
      <w:r w:rsidRPr="00585C2D">
        <w:rPr>
          <w:rFonts w:eastAsia="Arial" w:cstheme="minorHAnsi"/>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3"/>
        </w:rPr>
        <w:t>an</w:t>
      </w:r>
      <w:r w:rsidRPr="00585C2D">
        <w:rPr>
          <w:rFonts w:eastAsia="Arial" w:cstheme="minorHAnsi"/>
        </w:rPr>
        <w:t>d</w:t>
      </w:r>
      <w:r w:rsidRPr="00585C2D">
        <w:rPr>
          <w:rFonts w:eastAsia="Arial" w:cstheme="minorHAnsi"/>
          <w:spacing w:val="10"/>
        </w:rPr>
        <w:t xml:space="preserve"> </w:t>
      </w:r>
      <w:r w:rsidRPr="00585C2D">
        <w:rPr>
          <w:rFonts w:eastAsia="Arial" w:cstheme="minorHAnsi"/>
          <w:spacing w:val="1"/>
        </w:rPr>
        <w:t>P</w:t>
      </w:r>
      <w:r w:rsidRPr="00585C2D">
        <w:rPr>
          <w:rFonts w:eastAsia="Arial" w:cstheme="minorHAnsi"/>
          <w:spacing w:val="-6"/>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6"/>
        </w:rPr>
        <w:t>D</w:t>
      </w:r>
      <w:r w:rsidRPr="00585C2D">
        <w:rPr>
          <w:rFonts w:eastAsia="Arial" w:cstheme="minorHAnsi"/>
          <w:spacing w:val="2"/>
        </w:rPr>
        <w:t>e</w:t>
      </w:r>
      <w:r w:rsidRPr="00585C2D">
        <w:rPr>
          <w:rFonts w:eastAsia="Arial" w:cstheme="minorHAnsi"/>
        </w:rPr>
        <w:t>v</w:t>
      </w:r>
      <w:r w:rsidRPr="00585C2D">
        <w:rPr>
          <w:rFonts w:eastAsia="Arial" w:cstheme="minorHAnsi"/>
          <w:spacing w:val="2"/>
        </w:rPr>
        <w:t>e</w:t>
      </w:r>
      <w:r w:rsidRPr="00585C2D">
        <w:rPr>
          <w:rFonts w:eastAsia="Arial" w:cstheme="minorHAnsi"/>
          <w:spacing w:val="-6"/>
        </w:rPr>
        <w:t>l</w:t>
      </w:r>
      <w:r w:rsidRPr="00585C2D">
        <w:rPr>
          <w:rFonts w:eastAsia="Arial" w:cstheme="minorHAnsi"/>
          <w:spacing w:val="2"/>
        </w:rPr>
        <w:t>op</w:t>
      </w:r>
      <w:r w:rsidRPr="00585C2D">
        <w:rPr>
          <w:rFonts w:eastAsia="Arial" w:cstheme="minorHAnsi"/>
          <w:spacing w:val="-6"/>
        </w:rPr>
        <w:t>m</w:t>
      </w:r>
      <w:r w:rsidRPr="00585C2D">
        <w:rPr>
          <w:rFonts w:eastAsia="Arial" w:cstheme="minorHAnsi"/>
          <w:spacing w:val="2"/>
        </w:rPr>
        <w:t>en</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spacing w:val="-1"/>
        </w:rPr>
        <w:t>l</w:t>
      </w:r>
      <w:r w:rsidRPr="00585C2D">
        <w:rPr>
          <w:rFonts w:eastAsia="Arial" w:cstheme="minorHAnsi"/>
          <w:spacing w:val="-6"/>
        </w:rPr>
        <w:t>l</w:t>
      </w:r>
      <w:r w:rsidRPr="00585C2D">
        <w:rPr>
          <w:rFonts w:eastAsia="Arial" w:cstheme="minorHAnsi"/>
          <w:spacing w:val="2"/>
        </w:rPr>
        <w:t>o</w:t>
      </w:r>
      <w:r w:rsidRPr="00585C2D">
        <w:rPr>
          <w:rFonts w:eastAsia="Arial" w:cstheme="minorHAnsi"/>
        </w:rPr>
        <w:t>c</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5"/>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7"/>
        </w:rPr>
        <w:t xml:space="preserve"> </w:t>
      </w:r>
      <w:r w:rsidRPr="00585C2D">
        <w:rPr>
          <w:rFonts w:eastAsia="Arial" w:cstheme="minorHAnsi"/>
          <w:spacing w:val="-3"/>
        </w:rPr>
        <w:t xml:space="preserve">be </w:t>
      </w:r>
      <w:r w:rsidRPr="00585C2D">
        <w:rPr>
          <w:rFonts w:eastAsia="Arial" w:cstheme="minorHAnsi"/>
          <w:spacing w:val="2"/>
        </w:rPr>
        <w:t>de</w:t>
      </w:r>
      <w:r w:rsidRPr="00585C2D">
        <w:rPr>
          <w:rFonts w:eastAsia="Arial" w:cstheme="minorHAnsi"/>
          <w:spacing w:val="-4"/>
        </w:rPr>
        <w:t>t</w:t>
      </w:r>
      <w:r w:rsidRPr="00585C2D">
        <w:rPr>
          <w:rFonts w:eastAsia="Arial" w:cstheme="minorHAnsi"/>
          <w:spacing w:val="2"/>
        </w:rPr>
        <w:t>e</w:t>
      </w:r>
      <w:r w:rsidRPr="00585C2D">
        <w:rPr>
          <w:rFonts w:eastAsia="Arial" w:cstheme="minorHAnsi"/>
          <w:spacing w:val="-2"/>
        </w:rPr>
        <w:t>rm</w:t>
      </w:r>
      <w:r w:rsidRPr="00585C2D">
        <w:rPr>
          <w:rFonts w:eastAsia="Arial" w:cstheme="minorHAnsi"/>
          <w:spacing w:val="-1"/>
        </w:rPr>
        <w:t>i</w:t>
      </w:r>
      <w:r w:rsidRPr="00585C2D">
        <w:rPr>
          <w:rFonts w:eastAsia="Arial" w:cstheme="minorHAnsi"/>
          <w:spacing w:val="2"/>
        </w:rPr>
        <w:t>n</w:t>
      </w:r>
      <w:r w:rsidRPr="00585C2D">
        <w:rPr>
          <w:rFonts w:eastAsia="Arial" w:cstheme="minorHAnsi"/>
          <w:spacing w:val="-3"/>
        </w:rPr>
        <w:t>e</w:t>
      </w:r>
      <w:r w:rsidRPr="00585C2D">
        <w:rPr>
          <w:rFonts w:eastAsia="Arial" w:cstheme="minorHAnsi"/>
        </w:rPr>
        <w:t>d</w:t>
      </w:r>
      <w:r w:rsidRPr="00585C2D">
        <w:rPr>
          <w:rFonts w:eastAsia="Arial" w:cstheme="minorHAnsi"/>
          <w:spacing w:val="27"/>
        </w:rPr>
        <w:t xml:space="preserve"> </w:t>
      </w:r>
      <w:r w:rsidRPr="00585C2D">
        <w:rPr>
          <w:rFonts w:eastAsia="Arial" w:cstheme="minorHAnsi"/>
          <w:spacing w:val="2"/>
        </w:rPr>
        <w:t>a</w:t>
      </w:r>
      <w:r w:rsidRPr="00585C2D">
        <w:rPr>
          <w:rFonts w:eastAsia="Arial" w:cstheme="minorHAnsi"/>
        </w:rPr>
        <w:t>s</w:t>
      </w:r>
      <w:r w:rsidRPr="00585C2D">
        <w:rPr>
          <w:rFonts w:eastAsia="Arial" w:cstheme="minorHAnsi"/>
          <w:spacing w:val="25"/>
        </w:rPr>
        <w:t xml:space="preserve"> </w:t>
      </w:r>
      <w:r w:rsidRPr="00585C2D">
        <w:rPr>
          <w:rFonts w:eastAsia="Arial" w:cstheme="minorHAnsi"/>
          <w:spacing w:val="2"/>
        </w:rPr>
        <w:t>pa</w:t>
      </w:r>
      <w:r w:rsidRPr="00585C2D">
        <w:rPr>
          <w:rFonts w:eastAsia="Arial" w:cstheme="minorHAnsi"/>
          <w:spacing w:val="-2"/>
        </w:rPr>
        <w:t>r</w:t>
      </w:r>
      <w:r w:rsidRPr="00585C2D">
        <w:rPr>
          <w:rFonts w:eastAsia="Arial" w:cstheme="minorHAnsi"/>
        </w:rPr>
        <w:t>t</w:t>
      </w:r>
      <w:r w:rsidRPr="00585C2D">
        <w:rPr>
          <w:rFonts w:eastAsia="Arial" w:cstheme="minorHAnsi"/>
          <w:spacing w:val="26"/>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1"/>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7"/>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spacing w:val="-3"/>
        </w:rPr>
        <w:t>n</w:t>
      </w:r>
      <w:r w:rsidRPr="00585C2D">
        <w:rPr>
          <w:rFonts w:eastAsia="Arial" w:cstheme="minorHAnsi"/>
          <w:spacing w:val="2"/>
        </w:rPr>
        <w:t>ua</w:t>
      </w:r>
      <w:r w:rsidRPr="00585C2D">
        <w:rPr>
          <w:rFonts w:eastAsia="Arial" w:cstheme="minorHAnsi"/>
        </w:rPr>
        <w:t>l</w:t>
      </w:r>
      <w:r w:rsidRPr="00585C2D">
        <w:rPr>
          <w:rFonts w:eastAsia="Arial" w:cstheme="minorHAnsi"/>
          <w:spacing w:val="24"/>
        </w:rPr>
        <w:t xml:space="preserve"> </w:t>
      </w:r>
      <w:r w:rsidRPr="00585C2D">
        <w:rPr>
          <w:rFonts w:eastAsia="Arial" w:cstheme="minorHAnsi"/>
          <w:spacing w:val="2"/>
        </w:rPr>
        <w:t>b</w:t>
      </w:r>
      <w:r w:rsidRPr="00585C2D">
        <w:rPr>
          <w:rFonts w:eastAsia="Arial" w:cstheme="minorHAnsi"/>
          <w:spacing w:val="-3"/>
        </w:rPr>
        <w:t>ud</w:t>
      </w:r>
      <w:r w:rsidRPr="00585C2D">
        <w:rPr>
          <w:rFonts w:eastAsia="Arial" w:cstheme="minorHAnsi"/>
          <w:spacing w:val="2"/>
        </w:rPr>
        <w:t>ge</w:t>
      </w:r>
      <w:r w:rsidRPr="00585C2D">
        <w:rPr>
          <w:rFonts w:eastAsia="Arial" w:cstheme="minorHAnsi"/>
          <w:spacing w:val="4"/>
        </w:rPr>
        <w:t>t</w:t>
      </w:r>
      <w:r w:rsidRPr="00585C2D">
        <w:rPr>
          <w:rFonts w:eastAsia="Arial" w:cstheme="minorHAnsi"/>
        </w:rPr>
        <w:t>.</w:t>
      </w:r>
      <w:r w:rsidRPr="00585C2D">
        <w:rPr>
          <w:rFonts w:eastAsia="Arial" w:cstheme="minorHAnsi"/>
          <w:spacing w:val="31"/>
        </w:rPr>
        <w:t xml:space="preserve"> </w:t>
      </w:r>
      <w:r w:rsidRPr="00585C2D">
        <w:rPr>
          <w:rFonts w:eastAsia="Arial" w:cstheme="minorHAnsi"/>
          <w:spacing w:val="-5"/>
        </w:rPr>
        <w:t>T</w:t>
      </w:r>
      <w:r w:rsidRPr="00585C2D">
        <w:rPr>
          <w:rFonts w:eastAsia="Arial" w:cstheme="minorHAnsi"/>
          <w:spacing w:val="2"/>
        </w:rPr>
        <w:t>h</w:t>
      </w:r>
      <w:r w:rsidRPr="00585C2D">
        <w:rPr>
          <w:rFonts w:eastAsia="Arial" w:cstheme="minorHAnsi"/>
        </w:rPr>
        <w:t>e</w:t>
      </w:r>
      <w:r w:rsidRPr="00585C2D">
        <w:rPr>
          <w:rFonts w:eastAsia="Arial" w:cstheme="minorHAnsi"/>
          <w:spacing w:val="27"/>
        </w:rPr>
        <w:t xml:space="preserve"> </w:t>
      </w:r>
      <w:r w:rsidRPr="00585C2D">
        <w:rPr>
          <w:rFonts w:eastAsia="Arial" w:cstheme="minorHAnsi"/>
          <w:spacing w:val="-3"/>
        </w:rPr>
        <w:t>a</w:t>
      </w:r>
      <w:r w:rsidRPr="00585C2D">
        <w:rPr>
          <w:rFonts w:eastAsia="Arial" w:cstheme="minorHAnsi"/>
          <w:spacing w:val="-2"/>
        </w:rPr>
        <w:t>m</w:t>
      </w:r>
      <w:r w:rsidRPr="00585C2D">
        <w:rPr>
          <w:rFonts w:eastAsia="Arial" w:cstheme="minorHAnsi"/>
          <w:spacing w:val="2"/>
        </w:rPr>
        <w:t>ou</w:t>
      </w:r>
      <w:r w:rsidRPr="00585C2D">
        <w:rPr>
          <w:rFonts w:eastAsia="Arial" w:cstheme="minorHAnsi"/>
          <w:spacing w:val="-3"/>
        </w:rPr>
        <w:t>n</w:t>
      </w:r>
      <w:r w:rsidRPr="00585C2D">
        <w:rPr>
          <w:rFonts w:eastAsia="Arial" w:cstheme="minorHAnsi"/>
        </w:rPr>
        <w:t>t</w:t>
      </w:r>
      <w:r w:rsidRPr="00585C2D">
        <w:rPr>
          <w:rFonts w:eastAsia="Arial" w:cstheme="minorHAnsi"/>
          <w:spacing w:val="31"/>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25"/>
        </w:rPr>
        <w:t xml:space="preserve"> </w:t>
      </w:r>
      <w:r w:rsidRPr="00585C2D">
        <w:rPr>
          <w:rFonts w:eastAsia="Arial" w:cstheme="minorHAnsi"/>
          <w:spacing w:val="2"/>
        </w:rPr>
        <w:t>o</w:t>
      </w:r>
      <w:r w:rsidRPr="00585C2D">
        <w:rPr>
          <w:rFonts w:eastAsia="Arial" w:cstheme="minorHAnsi"/>
          <w:spacing w:val="-3"/>
        </w:rPr>
        <w:t>u</w:t>
      </w:r>
      <w:r w:rsidRPr="00585C2D">
        <w:rPr>
          <w:rFonts w:eastAsia="Arial" w:cstheme="minorHAnsi"/>
          <w:spacing w:val="1"/>
        </w:rPr>
        <w:t>t</w:t>
      </w:r>
      <w:r w:rsidRPr="00585C2D">
        <w:rPr>
          <w:rFonts w:eastAsia="Arial" w:cstheme="minorHAnsi"/>
        </w:rPr>
        <w:t>s</w:t>
      </w:r>
      <w:r w:rsidRPr="00585C2D">
        <w:rPr>
          <w:rFonts w:eastAsia="Arial" w:cstheme="minorHAnsi"/>
          <w:spacing w:val="-1"/>
        </w:rPr>
        <w:t>i</w:t>
      </w:r>
      <w:r w:rsidRPr="00585C2D">
        <w:rPr>
          <w:rFonts w:eastAsia="Arial" w:cstheme="minorHAnsi"/>
          <w:spacing w:val="-3"/>
        </w:rPr>
        <w:t>d</w:t>
      </w:r>
      <w:r w:rsidRPr="00585C2D">
        <w:rPr>
          <w:rFonts w:eastAsia="Arial" w:cstheme="minorHAnsi"/>
        </w:rPr>
        <w:t>e</w:t>
      </w:r>
      <w:r w:rsidRPr="00585C2D">
        <w:rPr>
          <w:rFonts w:eastAsia="Arial" w:cstheme="minorHAnsi"/>
          <w:spacing w:val="2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1"/>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7"/>
        </w:rPr>
        <w:t xml:space="preserve">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rPr>
        <w:t>n</w:t>
      </w:r>
      <w:r w:rsidRPr="00585C2D">
        <w:rPr>
          <w:rFonts w:eastAsia="Arial" w:cstheme="minorHAnsi"/>
          <w:spacing w:val="27"/>
        </w:rPr>
        <w:t xml:space="preserve"> </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w:t>
      </w:r>
      <w:r w:rsidRPr="00585C2D">
        <w:rPr>
          <w:rFonts w:eastAsia="Arial" w:cstheme="minorHAnsi"/>
          <w:spacing w:val="-3"/>
        </w:rPr>
        <w:t>e</w:t>
      </w:r>
      <w:r w:rsidRPr="00585C2D">
        <w:rPr>
          <w:rFonts w:eastAsia="Arial" w:cstheme="minorHAnsi"/>
        </w:rPr>
        <w:t xml:space="preserve">d </w:t>
      </w:r>
      <w:r w:rsidRPr="00585C2D">
        <w:rPr>
          <w:rFonts w:eastAsia="Arial" w:cstheme="minorHAnsi"/>
          <w:spacing w:val="-1"/>
        </w:rPr>
        <w:t>wi</w:t>
      </w:r>
      <w:r w:rsidRPr="00585C2D">
        <w:rPr>
          <w:rFonts w:eastAsia="Arial" w:cstheme="minorHAnsi"/>
          <w:spacing w:val="1"/>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po</w:t>
      </w:r>
      <w:r w:rsidRPr="00585C2D">
        <w:rPr>
          <w:rFonts w:eastAsia="Arial" w:cstheme="minorHAnsi"/>
          <w:spacing w:val="-1"/>
        </w:rPr>
        <w:t>li</w:t>
      </w:r>
      <w:r w:rsidRPr="00585C2D">
        <w:rPr>
          <w:rFonts w:eastAsia="Arial" w:cstheme="minorHAnsi"/>
        </w:rPr>
        <w:t>cy</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6"/>
        </w:rPr>
        <w:t xml:space="preserve"> </w:t>
      </w:r>
      <w:r w:rsidRPr="00585C2D">
        <w:rPr>
          <w:rFonts w:eastAsia="Arial" w:cstheme="minorHAnsi"/>
          <w:spacing w:val="-1"/>
        </w:rPr>
        <w:t>wil</w:t>
      </w:r>
      <w:r w:rsidRPr="00585C2D">
        <w:rPr>
          <w:rFonts w:eastAsia="Arial" w:cstheme="minorHAnsi"/>
        </w:rPr>
        <w:t>l c</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e</w:t>
      </w:r>
      <w:r w:rsidRPr="00585C2D">
        <w:rPr>
          <w:rFonts w:eastAsia="Arial" w:cstheme="minorHAnsi"/>
        </w:rPr>
        <w:t>r</w:t>
      </w:r>
      <w:r w:rsidRPr="00585C2D">
        <w:rPr>
          <w:rFonts w:eastAsia="Arial" w:cstheme="minorHAnsi"/>
          <w:spacing w:val="1"/>
        </w:rPr>
        <w:t xml:space="preserve"> </w:t>
      </w:r>
      <w:r w:rsidRPr="00585C2D">
        <w:rPr>
          <w:rFonts w:eastAsia="Arial" w:cstheme="minorHAnsi"/>
          <w:spacing w:val="2"/>
        </w:rPr>
        <w:t>a</w:t>
      </w:r>
      <w:r w:rsidRPr="00585C2D">
        <w:rPr>
          <w:rFonts w:eastAsia="Arial" w:cstheme="minorHAnsi"/>
          <w:spacing w:val="-1"/>
        </w:rPr>
        <w:t>l</w:t>
      </w:r>
      <w:r w:rsidRPr="00585C2D">
        <w:rPr>
          <w:rFonts w:eastAsia="Arial" w:cstheme="minorHAnsi"/>
        </w:rPr>
        <w:t xml:space="preserve">l </w:t>
      </w:r>
      <w:r w:rsidRPr="00585C2D">
        <w:rPr>
          <w:rFonts w:eastAsia="Arial" w:cstheme="minorHAnsi"/>
          <w:spacing w:val="-5"/>
        </w:rPr>
        <w:t>c</w:t>
      </w:r>
      <w:r w:rsidRPr="00585C2D">
        <w:rPr>
          <w:rFonts w:eastAsia="Arial" w:cstheme="minorHAnsi"/>
          <w:spacing w:val="2"/>
        </w:rPr>
        <w:t>o</w:t>
      </w:r>
      <w:r w:rsidRPr="00585C2D">
        <w:rPr>
          <w:rFonts w:eastAsia="Arial" w:cstheme="minorHAnsi"/>
        </w:rPr>
        <w:t>s</w:t>
      </w:r>
      <w:r w:rsidRPr="00585C2D">
        <w:rPr>
          <w:rFonts w:eastAsia="Arial" w:cstheme="minorHAnsi"/>
          <w:spacing w:val="1"/>
        </w:rPr>
        <w:t>t</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rPr>
        <w:t>s</w:t>
      </w:r>
      <w:r w:rsidRPr="00585C2D">
        <w:rPr>
          <w:rFonts w:eastAsia="Arial" w:cstheme="minorHAnsi"/>
          <w:spacing w:val="-5"/>
        </w:rPr>
        <w:t>s</w:t>
      </w:r>
      <w:r w:rsidRPr="00585C2D">
        <w:rPr>
          <w:rFonts w:eastAsia="Arial" w:cstheme="minorHAnsi"/>
          <w:spacing w:val="2"/>
        </w:rPr>
        <w:t>o</w:t>
      </w:r>
      <w:r w:rsidRPr="00585C2D">
        <w:rPr>
          <w:rFonts w:eastAsia="Arial" w:cstheme="minorHAnsi"/>
        </w:rPr>
        <w:t>c</w:t>
      </w:r>
      <w:r w:rsidRPr="00585C2D">
        <w:rPr>
          <w:rFonts w:eastAsia="Arial" w:cstheme="minorHAnsi"/>
          <w:spacing w:val="-1"/>
        </w:rPr>
        <w:t>i</w:t>
      </w:r>
      <w:r w:rsidRPr="00585C2D">
        <w:rPr>
          <w:rFonts w:eastAsia="Arial" w:cstheme="minorHAnsi"/>
          <w:spacing w:val="2"/>
        </w:rPr>
        <w:t>a</w:t>
      </w:r>
      <w:r w:rsidRPr="00585C2D">
        <w:rPr>
          <w:rFonts w:eastAsia="Arial" w:cstheme="minorHAnsi"/>
          <w:spacing w:val="-4"/>
        </w:rPr>
        <w:t>t</w:t>
      </w:r>
      <w:r w:rsidRPr="00585C2D">
        <w:rPr>
          <w:rFonts w:eastAsia="Arial" w:cstheme="minorHAnsi"/>
          <w:spacing w:val="-3"/>
        </w:rPr>
        <w:t>e</w:t>
      </w:r>
      <w:r w:rsidRPr="00585C2D">
        <w:rPr>
          <w:rFonts w:eastAsia="Arial" w:cstheme="minorHAnsi"/>
        </w:rPr>
        <w:t>d</w:t>
      </w:r>
      <w:r w:rsidRPr="00585C2D">
        <w:rPr>
          <w:rFonts w:eastAsia="Arial" w:cstheme="minorHAnsi"/>
          <w:spacing w:val="6"/>
        </w:rPr>
        <w:t xml:space="preserve"> </w:t>
      </w:r>
      <w:r w:rsidRPr="00585C2D">
        <w:rPr>
          <w:rFonts w:eastAsia="Arial" w:cstheme="minorHAnsi"/>
          <w:spacing w:val="-1"/>
        </w:rPr>
        <w:t>wi</w:t>
      </w:r>
      <w:r w:rsidRPr="00585C2D">
        <w:rPr>
          <w:rFonts w:eastAsia="Arial" w:cstheme="minorHAnsi"/>
          <w:spacing w:val="1"/>
        </w:rPr>
        <w:t>t</w:t>
      </w:r>
      <w:r w:rsidRPr="00585C2D">
        <w:rPr>
          <w:rFonts w:eastAsia="Arial" w:cstheme="minorHAnsi"/>
        </w:rPr>
        <w:t>h</w:t>
      </w:r>
      <w:r w:rsidRPr="00585C2D">
        <w:rPr>
          <w:rFonts w:eastAsia="Arial" w:cstheme="minorHAnsi"/>
          <w:spacing w:val="-1"/>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2"/>
        </w:rPr>
        <w:t>y</w:t>
      </w:r>
      <w:r w:rsidRPr="00585C2D">
        <w:rPr>
          <w:rFonts w:eastAsia="Arial" w:cstheme="minorHAnsi"/>
        </w:rPr>
        <w:t>.</w:t>
      </w:r>
    </w:p>
    <w:p w14:paraId="081B8BFA" w14:textId="77777777" w:rsidR="00FC0CF1" w:rsidRPr="00585C2D" w:rsidRDefault="00FC0CF1" w:rsidP="00FC0CF1">
      <w:pPr>
        <w:spacing w:after="120" w:line="241" w:lineRule="auto"/>
        <w:ind w:left="850" w:right="-45" w:hanging="425"/>
        <w:jc w:val="both"/>
        <w:rPr>
          <w:rFonts w:eastAsia="Arial" w:cstheme="minorHAnsi"/>
        </w:rPr>
      </w:pPr>
      <w:proofErr w:type="spellStart"/>
      <w:r w:rsidRPr="00585C2D">
        <w:rPr>
          <w:rFonts w:eastAsia="Arial" w:cstheme="minorHAnsi"/>
          <w:spacing w:val="-1"/>
        </w:rPr>
        <w:t>i</w:t>
      </w:r>
      <w:proofErr w:type="spellEnd"/>
      <w:r w:rsidRPr="00585C2D">
        <w:rPr>
          <w:rFonts w:eastAsia="Arial" w:cstheme="minorHAnsi"/>
        </w:rPr>
        <w:t>.</w:t>
      </w:r>
      <w:r w:rsidRPr="00585C2D">
        <w:rPr>
          <w:rFonts w:eastAsia="Arial" w:cstheme="minorHAnsi"/>
        </w:rPr>
        <w:tab/>
      </w:r>
      <w:r w:rsidRPr="00585C2D">
        <w:rPr>
          <w:rFonts w:eastAsia="Arial" w:cstheme="minorHAnsi"/>
          <w:spacing w:val="-1"/>
        </w:rPr>
        <w:t>U</w:t>
      </w:r>
      <w:r w:rsidRPr="00585C2D">
        <w:rPr>
          <w:rFonts w:eastAsia="Arial" w:cstheme="minorHAnsi"/>
          <w:spacing w:val="2"/>
        </w:rPr>
        <w:t>ne</w:t>
      </w:r>
      <w:r w:rsidRPr="00585C2D">
        <w:rPr>
          <w:rFonts w:eastAsia="Arial" w:cstheme="minorHAnsi"/>
          <w:spacing w:val="-5"/>
        </w:rPr>
        <w:t>x</w:t>
      </w:r>
      <w:r w:rsidRPr="00585C2D">
        <w:rPr>
          <w:rFonts w:eastAsia="Arial" w:cstheme="minorHAnsi"/>
          <w:spacing w:val="2"/>
        </w:rPr>
        <w:t>p</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e</w:t>
      </w:r>
      <w:r w:rsidRPr="00585C2D">
        <w:rPr>
          <w:rFonts w:eastAsia="Arial" w:cstheme="minorHAnsi"/>
        </w:rPr>
        <w:t>d</w:t>
      </w:r>
      <w:r w:rsidRPr="00585C2D">
        <w:rPr>
          <w:rFonts w:eastAsia="Arial" w:cstheme="minorHAnsi"/>
          <w:spacing w:val="-6"/>
        </w:rPr>
        <w:t xml:space="preserve"> </w:t>
      </w:r>
      <w:r w:rsidRPr="00585C2D">
        <w:rPr>
          <w:rFonts w:eastAsia="Arial" w:cstheme="minorHAnsi"/>
          <w:spacing w:val="6"/>
        </w:rPr>
        <w:t>f</w:t>
      </w:r>
      <w:r w:rsidRPr="00585C2D">
        <w:rPr>
          <w:rFonts w:eastAsia="Arial" w:cstheme="minorHAnsi"/>
          <w:spacing w:val="-3"/>
        </w:rPr>
        <w:t>u</w:t>
      </w:r>
      <w:r w:rsidRPr="00585C2D">
        <w:rPr>
          <w:rFonts w:eastAsia="Arial" w:cstheme="minorHAnsi"/>
          <w:spacing w:val="2"/>
        </w:rPr>
        <w:t>nd</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e</w:t>
      </w:r>
      <w:r w:rsidRPr="00585C2D">
        <w:rPr>
          <w:rFonts w:eastAsia="Arial" w:cstheme="minorHAnsi"/>
          <w:spacing w:val="2"/>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4"/>
        </w:rPr>
        <w:t xml:space="preserve"> </w:t>
      </w:r>
      <w:r w:rsidRPr="00585C2D">
        <w:rPr>
          <w:rFonts w:eastAsia="Arial" w:cstheme="minorHAnsi"/>
          <w:spacing w:val="-5"/>
        </w:rPr>
        <w:t>y</w:t>
      </w:r>
      <w:r w:rsidRPr="00585C2D">
        <w:rPr>
          <w:rFonts w:eastAsia="Arial" w:cstheme="minorHAnsi"/>
          <w:spacing w:val="2"/>
        </w:rPr>
        <w:t>ea</w:t>
      </w:r>
      <w:r w:rsidRPr="00585C2D">
        <w:rPr>
          <w:rFonts w:eastAsia="Arial" w:cstheme="minorHAnsi"/>
          <w:spacing w:val="-2"/>
        </w:rPr>
        <w:t>r</w:t>
      </w:r>
      <w:r w:rsidRPr="00585C2D">
        <w:rPr>
          <w:rFonts w:eastAsia="Arial" w:cstheme="minorHAnsi"/>
          <w:spacing w:val="2"/>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2"/>
        </w:rPr>
        <w:t>n</w:t>
      </w:r>
      <w:r w:rsidRPr="00585C2D">
        <w:rPr>
          <w:rFonts w:eastAsia="Arial" w:cstheme="minorHAnsi"/>
          <w:spacing w:val="-3"/>
        </w:rPr>
        <w:t>o</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2"/>
        </w:rPr>
        <w:t>a</w:t>
      </w:r>
      <w:r w:rsidRPr="00585C2D">
        <w:rPr>
          <w:rFonts w:eastAsia="Arial" w:cstheme="minorHAnsi"/>
          <w:spacing w:val="-2"/>
        </w:rPr>
        <w:t>rr</w:t>
      </w:r>
      <w:r w:rsidRPr="00585C2D">
        <w:rPr>
          <w:rFonts w:eastAsia="Arial" w:cstheme="minorHAnsi"/>
          <w:spacing w:val="-1"/>
        </w:rPr>
        <w:t>i</w:t>
      </w:r>
      <w:r w:rsidRPr="00585C2D">
        <w:rPr>
          <w:rFonts w:eastAsia="Arial" w:cstheme="minorHAnsi"/>
          <w:spacing w:val="2"/>
        </w:rPr>
        <w:t>e</w:t>
      </w:r>
      <w:r w:rsidRPr="00585C2D">
        <w:rPr>
          <w:rFonts w:eastAsia="Arial" w:cstheme="minorHAnsi"/>
        </w:rPr>
        <w:t>d</w:t>
      </w:r>
      <w:r w:rsidRPr="00585C2D">
        <w:rPr>
          <w:rFonts w:eastAsia="Arial" w:cstheme="minorHAnsi"/>
          <w:spacing w:val="1"/>
        </w:rPr>
        <w:t xml:space="preserve"> </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e</w:t>
      </w:r>
      <w:r w:rsidRPr="00585C2D">
        <w:rPr>
          <w:rFonts w:eastAsia="Arial" w:cstheme="minorHAnsi"/>
        </w:rPr>
        <w:t xml:space="preserve">r </w:t>
      </w:r>
      <w:r w:rsidRPr="00585C2D">
        <w:rPr>
          <w:rFonts w:eastAsia="Arial" w:cstheme="minorHAnsi"/>
          <w:spacing w:val="-4"/>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ne</w:t>
      </w:r>
      <w:r w:rsidRPr="00585C2D">
        <w:rPr>
          <w:rFonts w:eastAsia="Arial" w:cstheme="minorHAnsi"/>
        </w:rPr>
        <w:t>xt</w:t>
      </w:r>
      <w:r w:rsidRPr="00585C2D">
        <w:rPr>
          <w:rFonts w:eastAsia="Arial" w:cstheme="minorHAnsi"/>
          <w:spacing w:val="-7"/>
        </w:rPr>
        <w:t xml:space="preserve"> </w:t>
      </w:r>
      <w:r w:rsidRPr="00585C2D">
        <w:rPr>
          <w:rFonts w:eastAsia="Arial" w:cstheme="minorHAnsi"/>
          <w:spacing w:val="6"/>
        </w:rPr>
        <w:t>f</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a</w:t>
      </w:r>
      <w:r w:rsidRPr="00585C2D">
        <w:rPr>
          <w:rFonts w:eastAsia="Arial" w:cstheme="minorHAnsi"/>
          <w:spacing w:val="-3"/>
        </w:rPr>
        <w:t>n</w:t>
      </w:r>
      <w:r w:rsidRPr="00585C2D">
        <w:rPr>
          <w:rFonts w:eastAsia="Arial" w:cstheme="minorHAnsi"/>
        </w:rPr>
        <w:t>c</w:t>
      </w:r>
      <w:r w:rsidRPr="00585C2D">
        <w:rPr>
          <w:rFonts w:eastAsia="Arial" w:cstheme="minorHAnsi"/>
          <w:spacing w:val="-1"/>
        </w:rPr>
        <w:t>i</w:t>
      </w:r>
      <w:r w:rsidRPr="00585C2D">
        <w:rPr>
          <w:rFonts w:eastAsia="Arial" w:cstheme="minorHAnsi"/>
          <w:spacing w:val="2"/>
        </w:rPr>
        <w:t>a</w:t>
      </w:r>
      <w:r w:rsidRPr="00585C2D">
        <w:rPr>
          <w:rFonts w:eastAsia="Arial" w:cstheme="minorHAnsi"/>
        </w:rPr>
        <w:t xml:space="preserve">l </w:t>
      </w:r>
      <w:r w:rsidRPr="00585C2D">
        <w:rPr>
          <w:rFonts w:eastAsia="Arial" w:cstheme="minorHAnsi"/>
          <w:spacing w:val="-5"/>
        </w:rPr>
        <w:t>y</w:t>
      </w:r>
      <w:r w:rsidRPr="00585C2D">
        <w:rPr>
          <w:rFonts w:eastAsia="Arial" w:cstheme="minorHAnsi"/>
          <w:spacing w:val="2"/>
        </w:rPr>
        <w:t>ea</w:t>
      </w:r>
      <w:r w:rsidRPr="00585C2D">
        <w:rPr>
          <w:rFonts w:eastAsia="Arial" w:cstheme="minorHAnsi"/>
          <w:spacing w:val="-2"/>
        </w:rPr>
        <w:t>r</w:t>
      </w:r>
      <w:r w:rsidRPr="00585C2D">
        <w:rPr>
          <w:rFonts w:eastAsia="Arial" w:cstheme="minorHAnsi"/>
        </w:rPr>
        <w:t xml:space="preserve">, </w:t>
      </w:r>
      <w:r w:rsidRPr="00585C2D">
        <w:rPr>
          <w:rFonts w:eastAsia="Arial" w:cstheme="minorHAnsi"/>
          <w:spacing w:val="2"/>
        </w:rPr>
        <w:t>un</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s</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3"/>
        </w:rPr>
        <w:t>a</w:t>
      </w:r>
      <w:r w:rsidRPr="00585C2D">
        <w:rPr>
          <w:rFonts w:eastAsia="Arial" w:cstheme="minorHAnsi"/>
          <w:spacing w:val="2"/>
        </w:rPr>
        <w:t>pp</w:t>
      </w:r>
      <w:r w:rsidRPr="00585C2D">
        <w:rPr>
          <w:rFonts w:eastAsia="Arial" w:cstheme="minorHAnsi"/>
          <w:spacing w:val="-6"/>
        </w:rPr>
        <w:t>r</w:t>
      </w:r>
      <w:r w:rsidRPr="00585C2D">
        <w:rPr>
          <w:rFonts w:eastAsia="Arial" w:cstheme="minorHAnsi"/>
          <w:spacing w:val="2"/>
        </w:rPr>
        <w:t>o</w:t>
      </w:r>
      <w:r w:rsidRPr="00585C2D">
        <w:rPr>
          <w:rFonts w:eastAsia="Arial" w:cstheme="minorHAnsi"/>
        </w:rPr>
        <w:t>v</w:t>
      </w:r>
      <w:r w:rsidRPr="00585C2D">
        <w:rPr>
          <w:rFonts w:eastAsia="Arial" w:cstheme="minorHAnsi"/>
          <w:spacing w:val="-3"/>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3"/>
        </w:rPr>
        <w:t>b</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1"/>
        </w:rPr>
        <w:t>C</w:t>
      </w:r>
      <w:r w:rsidRPr="00585C2D">
        <w:rPr>
          <w:rFonts w:eastAsia="Arial" w:cstheme="minorHAnsi"/>
          <w:spacing w:val="-3"/>
        </w:rPr>
        <w:t>o</w:t>
      </w:r>
      <w:r w:rsidRPr="00585C2D">
        <w:rPr>
          <w:rFonts w:eastAsia="Arial" w:cstheme="minorHAnsi"/>
          <w:spacing w:val="2"/>
        </w:rPr>
        <w:t>un</w:t>
      </w:r>
      <w:r w:rsidRPr="00585C2D">
        <w:rPr>
          <w:rFonts w:eastAsia="Arial" w:cstheme="minorHAnsi"/>
        </w:rPr>
        <w:t>c</w:t>
      </w:r>
      <w:r w:rsidRPr="00585C2D">
        <w:rPr>
          <w:rFonts w:eastAsia="Arial" w:cstheme="minorHAnsi"/>
          <w:spacing w:val="-1"/>
        </w:rPr>
        <w:t>il</w:t>
      </w:r>
      <w:r w:rsidRPr="00585C2D">
        <w:rPr>
          <w:rFonts w:eastAsia="Arial" w:cstheme="minorHAnsi"/>
        </w:rPr>
        <w:t>.</w:t>
      </w:r>
    </w:p>
    <w:p w14:paraId="23D5B956" w14:textId="77777777" w:rsidR="00FC0CF1" w:rsidRPr="00585C2D" w:rsidRDefault="00FC0CF1" w:rsidP="00FC0CF1">
      <w:pPr>
        <w:spacing w:line="240" w:lineRule="auto"/>
        <w:ind w:left="850" w:right="-45" w:hanging="425"/>
        <w:jc w:val="both"/>
        <w:rPr>
          <w:rFonts w:eastAsia="Arial" w:cstheme="minorHAnsi"/>
        </w:rPr>
      </w:pPr>
      <w:r>
        <w:rPr>
          <w:rFonts w:eastAsia="Arial" w:cstheme="minorHAnsi"/>
        </w:rPr>
        <w:t xml:space="preserve">j. </w:t>
      </w:r>
      <w:r>
        <w:rPr>
          <w:rFonts w:eastAsia="Arial" w:cstheme="minorHAnsi"/>
        </w:rPr>
        <w:tab/>
      </w:r>
      <w:r w:rsidRPr="00585C2D">
        <w:rPr>
          <w:rFonts w:eastAsia="Arial" w:cstheme="minorHAnsi"/>
          <w:spacing w:val="-4"/>
        </w:rPr>
        <w:t>I</w:t>
      </w:r>
      <w:r w:rsidRPr="00585C2D">
        <w:rPr>
          <w:rFonts w:eastAsia="Arial" w:cstheme="minorHAnsi"/>
          <w:spacing w:val="2"/>
        </w:rPr>
        <w:t>n</w:t>
      </w:r>
      <w:r w:rsidRPr="00585C2D">
        <w:rPr>
          <w:rFonts w:eastAsia="Arial" w:cstheme="minorHAnsi"/>
          <w:spacing w:val="1"/>
        </w:rPr>
        <w:t>t</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na</w:t>
      </w:r>
      <w:r w:rsidRPr="00585C2D">
        <w:rPr>
          <w:rFonts w:eastAsia="Arial" w:cstheme="minorHAnsi"/>
        </w:rPr>
        <w:t xml:space="preserve">l </w:t>
      </w:r>
      <w:r w:rsidRPr="00585C2D">
        <w:rPr>
          <w:rFonts w:eastAsia="Arial" w:cstheme="minorHAnsi"/>
          <w:spacing w:val="-6"/>
        </w:rPr>
        <w:t>w</w:t>
      </w:r>
      <w:r w:rsidRPr="00585C2D">
        <w:rPr>
          <w:rFonts w:eastAsia="Arial" w:cstheme="minorHAnsi"/>
          <w:spacing w:val="2"/>
        </w:rPr>
        <w:t>o</w:t>
      </w:r>
      <w:r w:rsidRPr="00585C2D">
        <w:rPr>
          <w:rFonts w:eastAsia="Arial" w:cstheme="minorHAnsi"/>
          <w:spacing w:val="-2"/>
        </w:rPr>
        <w:t>r</w:t>
      </w:r>
      <w:r w:rsidRPr="00585C2D">
        <w:rPr>
          <w:rFonts w:eastAsia="Arial" w:cstheme="minorHAnsi"/>
        </w:rPr>
        <w:t>ks</w:t>
      </w:r>
      <w:r w:rsidRPr="00585C2D">
        <w:rPr>
          <w:rFonts w:eastAsia="Arial" w:cstheme="minorHAnsi"/>
          <w:spacing w:val="-3"/>
        </w:rPr>
        <w:t>h</w:t>
      </w:r>
      <w:r w:rsidRPr="00585C2D">
        <w:rPr>
          <w:rFonts w:eastAsia="Arial" w:cstheme="minorHAnsi"/>
          <w:spacing w:val="2"/>
        </w:rPr>
        <w:t>op</w:t>
      </w:r>
      <w:r w:rsidRPr="00585C2D">
        <w:rPr>
          <w:rFonts w:eastAsia="Arial" w:cstheme="minorHAnsi"/>
          <w:spacing w:val="-5"/>
        </w:rPr>
        <w:t>s</w:t>
      </w:r>
      <w:r w:rsidRPr="00585C2D">
        <w:rPr>
          <w:rFonts w:eastAsia="Arial" w:cstheme="minorHAnsi"/>
        </w:rPr>
        <w:t>,</w:t>
      </w:r>
      <w:r w:rsidRPr="00585C2D">
        <w:rPr>
          <w:rFonts w:eastAsia="Arial" w:cstheme="minorHAnsi"/>
          <w:spacing w:val="2"/>
        </w:rPr>
        <w:t xml:space="preserve"> </w:t>
      </w:r>
      <w:r w:rsidRPr="00585C2D">
        <w:rPr>
          <w:rFonts w:eastAsia="Arial" w:cstheme="minorHAnsi"/>
        </w:rPr>
        <w:t>s</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spacing w:val="1"/>
        </w:rPr>
        <w:t>t</w:t>
      </w:r>
      <w:r w:rsidRPr="00585C2D">
        <w:rPr>
          <w:rFonts w:eastAsia="Arial" w:cstheme="minorHAnsi"/>
          <w:spacing w:val="-3"/>
        </w:rPr>
        <w:t>e</w:t>
      </w:r>
      <w:r w:rsidRPr="00585C2D">
        <w:rPr>
          <w:rFonts w:eastAsia="Arial" w:cstheme="minorHAnsi"/>
          <w:spacing w:val="2"/>
        </w:rPr>
        <w:t>g</w:t>
      </w:r>
      <w:r w:rsidRPr="00585C2D">
        <w:rPr>
          <w:rFonts w:eastAsia="Arial" w:cstheme="minorHAnsi"/>
          <w:spacing w:val="-1"/>
        </w:rPr>
        <w:t>i</w:t>
      </w:r>
      <w:r w:rsidRPr="00585C2D">
        <w:rPr>
          <w:rFonts w:eastAsia="Arial" w:cstheme="minorHAnsi"/>
        </w:rPr>
        <w:t>c</w:t>
      </w:r>
      <w:r w:rsidRPr="00585C2D">
        <w:rPr>
          <w:rFonts w:eastAsia="Arial" w:cstheme="minorHAnsi"/>
          <w:spacing w:val="-4"/>
        </w:rPr>
        <w:t xml:space="preserve"> </w:t>
      </w:r>
      <w:r w:rsidRPr="00585C2D">
        <w:rPr>
          <w:rFonts w:eastAsia="Arial" w:cstheme="minorHAnsi"/>
          <w:spacing w:val="2"/>
        </w:rPr>
        <w:t>p</w:t>
      </w:r>
      <w:r w:rsidRPr="00585C2D">
        <w:rPr>
          <w:rFonts w:eastAsia="Arial" w:cstheme="minorHAnsi"/>
          <w:spacing w:val="-1"/>
        </w:rPr>
        <w:t>l</w:t>
      </w:r>
      <w:r w:rsidRPr="00585C2D">
        <w:rPr>
          <w:rFonts w:eastAsia="Arial" w:cstheme="minorHAnsi"/>
          <w:spacing w:val="2"/>
        </w:rPr>
        <w:t>a</w:t>
      </w:r>
      <w:r w:rsidRPr="00585C2D">
        <w:rPr>
          <w:rFonts w:eastAsia="Arial" w:cstheme="minorHAnsi"/>
          <w:spacing w:val="-3"/>
        </w:rPr>
        <w:t>n</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3"/>
        </w:rPr>
        <w:t>d</w:t>
      </w:r>
      <w:r w:rsidRPr="00585C2D">
        <w:rPr>
          <w:rFonts w:eastAsia="Arial" w:cstheme="minorHAnsi"/>
          <w:spacing w:val="2"/>
        </w:rPr>
        <w:t>a</w:t>
      </w:r>
      <w:r w:rsidRPr="00585C2D">
        <w:rPr>
          <w:rFonts w:eastAsia="Arial" w:cstheme="minorHAnsi"/>
        </w:rPr>
        <w:t>ys,</w:t>
      </w:r>
      <w:r w:rsidRPr="00585C2D">
        <w:rPr>
          <w:rFonts w:eastAsia="Arial" w:cstheme="minorHAnsi"/>
          <w:spacing w:val="-3"/>
        </w:rPr>
        <w:t xml:space="preserve"> </w:t>
      </w:r>
      <w:r w:rsidRPr="00585C2D">
        <w:rPr>
          <w:rFonts w:eastAsia="Arial" w:cstheme="minorHAnsi"/>
          <w:spacing w:val="-1"/>
        </w:rPr>
        <w:t>w</w:t>
      </w:r>
      <w:r w:rsidRPr="00585C2D">
        <w:rPr>
          <w:rFonts w:eastAsia="Arial" w:cstheme="minorHAnsi"/>
          <w:spacing w:val="-3"/>
        </w:rPr>
        <w:t>h</w:t>
      </w:r>
      <w:r w:rsidRPr="00585C2D">
        <w:rPr>
          <w:rFonts w:eastAsia="Arial" w:cstheme="minorHAnsi"/>
          <w:spacing w:val="2"/>
        </w:rPr>
        <w:t>o</w:t>
      </w:r>
      <w:r w:rsidRPr="00585C2D">
        <w:rPr>
          <w:rFonts w:eastAsia="Arial" w:cstheme="minorHAnsi"/>
          <w:spacing w:val="-1"/>
        </w:rPr>
        <w:t>l</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1"/>
        </w:rPr>
        <w:t>C</w:t>
      </w:r>
      <w:r w:rsidRPr="00585C2D">
        <w:rPr>
          <w:rFonts w:eastAsia="Arial" w:cstheme="minorHAnsi"/>
          <w:spacing w:val="-3"/>
        </w:rPr>
        <w:t>o</w:t>
      </w:r>
      <w:r w:rsidRPr="00585C2D">
        <w:rPr>
          <w:rFonts w:eastAsia="Arial" w:cstheme="minorHAnsi"/>
          <w:spacing w:val="2"/>
        </w:rPr>
        <w:t>un</w:t>
      </w:r>
      <w:r w:rsidRPr="00585C2D">
        <w:rPr>
          <w:rFonts w:eastAsia="Arial" w:cstheme="minorHAnsi"/>
        </w:rPr>
        <w:t>c</w:t>
      </w:r>
      <w:r w:rsidRPr="00585C2D">
        <w:rPr>
          <w:rFonts w:eastAsia="Arial" w:cstheme="minorHAnsi"/>
          <w:spacing w:val="-1"/>
        </w:rPr>
        <w:t>i</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 xml:space="preserve">d </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t</w:t>
      </w:r>
      <w:r w:rsidRPr="00585C2D">
        <w:rPr>
          <w:rFonts w:eastAsia="Arial" w:cstheme="minorHAnsi"/>
          <w:spacing w:val="2"/>
        </w:rPr>
        <w:t>e</w:t>
      </w:r>
      <w:r w:rsidRPr="00585C2D">
        <w:rPr>
          <w:rFonts w:eastAsia="Arial" w:cstheme="minorHAnsi"/>
          <w:spacing w:val="-2"/>
        </w:rPr>
        <w:t>r</w:t>
      </w:r>
      <w:r w:rsidRPr="00585C2D">
        <w:rPr>
          <w:rFonts w:eastAsia="Arial" w:cstheme="minorHAnsi"/>
          <w:spacing w:val="-3"/>
        </w:rPr>
        <w:t>n</w:t>
      </w:r>
      <w:r w:rsidRPr="00585C2D">
        <w:rPr>
          <w:rFonts w:eastAsia="Arial" w:cstheme="minorHAnsi"/>
          <w:spacing w:val="2"/>
        </w:rPr>
        <w:t>a</w:t>
      </w:r>
      <w:r w:rsidRPr="00585C2D">
        <w:rPr>
          <w:rFonts w:eastAsia="Arial" w:cstheme="minorHAnsi"/>
        </w:rPr>
        <w:t xml:space="preserve">l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2"/>
        </w:rPr>
        <w:t>p</w:t>
      </w:r>
      <w:r w:rsidRPr="00585C2D">
        <w:rPr>
          <w:rFonts w:eastAsia="Arial" w:cstheme="minorHAnsi"/>
          <w:spacing w:val="-6"/>
        </w:rPr>
        <w:t>r</w:t>
      </w:r>
      <w:r w:rsidRPr="00585C2D">
        <w:rPr>
          <w:rFonts w:eastAsia="Arial" w:cstheme="minorHAnsi"/>
          <w:spacing w:val="2"/>
        </w:rPr>
        <w:t>og</w:t>
      </w:r>
      <w:r w:rsidRPr="00585C2D">
        <w:rPr>
          <w:rFonts w:eastAsia="Arial" w:cstheme="minorHAnsi"/>
          <w:spacing w:val="-2"/>
        </w:rPr>
        <w:t>r</w:t>
      </w:r>
      <w:r w:rsidRPr="00585C2D">
        <w:rPr>
          <w:rFonts w:eastAsia="Arial" w:cstheme="minorHAnsi"/>
          <w:spacing w:val="2"/>
        </w:rPr>
        <w:t>a</w:t>
      </w:r>
      <w:r w:rsidRPr="00585C2D">
        <w:rPr>
          <w:rFonts w:eastAsia="Arial" w:cstheme="minorHAnsi"/>
          <w:spacing w:val="-2"/>
        </w:rPr>
        <w:t>m</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2"/>
        </w:rPr>
        <w:t>r</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n</w:t>
      </w:r>
      <w:r w:rsidRPr="00585C2D">
        <w:rPr>
          <w:rFonts w:eastAsia="Arial" w:cstheme="minorHAnsi"/>
          <w:spacing w:val="2"/>
        </w:rPr>
        <w:t>o</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6"/>
        </w:rPr>
        <w:t>i</w:t>
      </w:r>
      <w:r w:rsidRPr="00585C2D">
        <w:rPr>
          <w:rFonts w:eastAsia="Arial" w:cstheme="minorHAnsi"/>
          <w:spacing w:val="2"/>
        </w:rPr>
        <w:t>n</w:t>
      </w:r>
      <w:r w:rsidRPr="00585C2D">
        <w:rPr>
          <w:rFonts w:eastAsia="Arial" w:cstheme="minorHAnsi"/>
        </w:rPr>
        <w:t>c</w:t>
      </w:r>
      <w:r w:rsidRPr="00585C2D">
        <w:rPr>
          <w:rFonts w:eastAsia="Arial" w:cstheme="minorHAnsi"/>
          <w:spacing w:val="-1"/>
        </w:rPr>
        <w:t>l</w:t>
      </w:r>
      <w:r w:rsidRPr="00585C2D">
        <w:rPr>
          <w:rFonts w:eastAsia="Arial" w:cstheme="minorHAnsi"/>
          <w:spacing w:val="-3"/>
        </w:rPr>
        <w:t>u</w:t>
      </w:r>
      <w:r w:rsidRPr="00585C2D">
        <w:rPr>
          <w:rFonts w:eastAsia="Arial" w:cstheme="minorHAnsi"/>
          <w:spacing w:val="2"/>
        </w:rPr>
        <w:t>d</w:t>
      </w:r>
      <w:r w:rsidRPr="00585C2D">
        <w:rPr>
          <w:rFonts w:eastAsia="Arial" w:cstheme="minorHAnsi"/>
          <w:spacing w:val="-3"/>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3"/>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1"/>
        </w:rPr>
        <w:t>C</w:t>
      </w:r>
      <w:r w:rsidRPr="00585C2D">
        <w:rPr>
          <w:rFonts w:eastAsia="Arial" w:cstheme="minorHAnsi"/>
          <w:spacing w:val="1"/>
        </w:rPr>
        <w:t>EO</w:t>
      </w:r>
      <w:r w:rsidRPr="00585C2D">
        <w:rPr>
          <w:rFonts w:eastAsia="Arial" w:cstheme="minorHAnsi"/>
          <w:spacing w:val="-1"/>
        </w:rPr>
        <w:t>’</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 xml:space="preserve">d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spacing w:val="-3"/>
        </w:rPr>
        <w:t>n</w:t>
      </w:r>
      <w:r w:rsidRPr="00585C2D">
        <w:rPr>
          <w:rFonts w:eastAsia="Arial" w:cstheme="minorHAnsi"/>
        </w:rPr>
        <w:t>.</w:t>
      </w:r>
    </w:p>
    <w:p w14:paraId="5933D599" w14:textId="77777777" w:rsidR="00FC0CF1" w:rsidRPr="00804EB5" w:rsidRDefault="00FC0CF1" w:rsidP="00FC0CF1">
      <w:pPr>
        <w:spacing w:after="60" w:line="240" w:lineRule="auto"/>
        <w:ind w:left="425" w:right="-23" w:hanging="425"/>
        <w:rPr>
          <w:rFonts w:eastAsia="Arial" w:cstheme="minorHAnsi"/>
        </w:rPr>
      </w:pPr>
      <w:r w:rsidRPr="00804EB5">
        <w:rPr>
          <w:rFonts w:eastAsia="Arial" w:cstheme="minorHAnsi"/>
          <w:b/>
          <w:bCs/>
        </w:rPr>
        <w:t xml:space="preserve">4. </w:t>
      </w:r>
      <w:r w:rsidRPr="00804EB5">
        <w:rPr>
          <w:rFonts w:eastAsia="Arial" w:cstheme="minorHAnsi"/>
          <w:b/>
          <w:bCs/>
        </w:rPr>
        <w:tab/>
        <w:t>Approval for Training or Professional Development</w:t>
      </w:r>
    </w:p>
    <w:p w14:paraId="34963679" w14:textId="77777777" w:rsidR="00FC0CF1" w:rsidRPr="00585C2D" w:rsidRDefault="00FC0CF1" w:rsidP="00FC0CF1">
      <w:pPr>
        <w:spacing w:after="60" w:line="240" w:lineRule="auto"/>
        <w:ind w:left="851" w:right="-46" w:hanging="425"/>
        <w:jc w:val="both"/>
        <w:rPr>
          <w:rFonts w:eastAsia="Arial" w:cstheme="minorHAnsi"/>
        </w:rPr>
      </w:pPr>
      <w:r w:rsidRPr="00585C2D">
        <w:rPr>
          <w:rFonts w:eastAsia="Arial" w:cstheme="minorHAnsi"/>
          <w:spacing w:val="2"/>
        </w:rPr>
        <w:t>a</w:t>
      </w:r>
      <w:r>
        <w:rPr>
          <w:rFonts w:eastAsia="Arial" w:cstheme="minorHAnsi"/>
        </w:rPr>
        <w:t>.</w:t>
      </w:r>
      <w:r>
        <w:rPr>
          <w:rFonts w:eastAsia="Arial" w:cstheme="minorHAnsi"/>
        </w:rPr>
        <w:tab/>
      </w:r>
      <w:r w:rsidRPr="00585C2D">
        <w:rPr>
          <w:rFonts w:eastAsia="Arial" w:cstheme="minorHAnsi"/>
        </w:rPr>
        <w:t>T</w:t>
      </w:r>
      <w:r w:rsidRPr="00585C2D">
        <w:rPr>
          <w:rFonts w:eastAsia="Arial" w:cstheme="minorHAnsi"/>
          <w:spacing w:val="1"/>
        </w:rPr>
        <w:t>h</w:t>
      </w:r>
      <w:r w:rsidRPr="00585C2D">
        <w:rPr>
          <w:rFonts w:eastAsia="Arial" w:cstheme="minorHAnsi"/>
        </w:rPr>
        <w:t>e</w:t>
      </w:r>
      <w:r w:rsidRPr="00585C2D">
        <w:rPr>
          <w:rFonts w:eastAsia="Arial" w:cstheme="minorHAnsi"/>
          <w:spacing w:val="27"/>
        </w:rPr>
        <w:t xml:space="preserve"> </w:t>
      </w:r>
      <w:r w:rsidRPr="00585C2D">
        <w:rPr>
          <w:rFonts w:eastAsia="Arial" w:cstheme="minorHAnsi"/>
          <w:spacing w:val="-6"/>
        </w:rPr>
        <w:t>C</w:t>
      </w:r>
      <w:r w:rsidRPr="00585C2D">
        <w:rPr>
          <w:rFonts w:eastAsia="Arial" w:cstheme="minorHAnsi"/>
          <w:spacing w:val="1"/>
        </w:rPr>
        <w:t>E</w:t>
      </w:r>
      <w:r w:rsidRPr="00585C2D">
        <w:rPr>
          <w:rFonts w:eastAsia="Arial" w:cstheme="minorHAnsi"/>
        </w:rPr>
        <w:t>O</w:t>
      </w:r>
      <w:r w:rsidRPr="00585C2D">
        <w:rPr>
          <w:rFonts w:eastAsia="Arial" w:cstheme="minorHAnsi"/>
          <w:spacing w:val="26"/>
        </w:rPr>
        <w:t xml:space="preserve"> </w:t>
      </w:r>
      <w:r w:rsidRPr="00585C2D">
        <w:rPr>
          <w:rFonts w:eastAsia="Arial" w:cstheme="minorHAnsi"/>
          <w:spacing w:val="-2"/>
        </w:rPr>
        <w:t>m</w:t>
      </w:r>
      <w:r w:rsidRPr="00585C2D">
        <w:rPr>
          <w:rFonts w:eastAsia="Arial" w:cstheme="minorHAnsi"/>
          <w:spacing w:val="2"/>
        </w:rPr>
        <w:t>a</w:t>
      </w:r>
      <w:r w:rsidRPr="00585C2D">
        <w:rPr>
          <w:rFonts w:eastAsia="Arial" w:cstheme="minorHAnsi"/>
        </w:rPr>
        <w:t>y</w:t>
      </w:r>
      <w:r w:rsidRPr="00585C2D">
        <w:rPr>
          <w:rFonts w:eastAsia="Arial" w:cstheme="minorHAnsi"/>
          <w:spacing w:val="20"/>
        </w:rPr>
        <w:t xml:space="preserve"> </w:t>
      </w:r>
      <w:r w:rsidRPr="00585C2D">
        <w:rPr>
          <w:rFonts w:eastAsia="Arial" w:cstheme="minorHAnsi"/>
          <w:spacing w:val="-3"/>
        </w:rPr>
        <w:t>a</w:t>
      </w:r>
      <w:r w:rsidRPr="00585C2D">
        <w:rPr>
          <w:rFonts w:eastAsia="Arial" w:cstheme="minorHAnsi"/>
          <w:spacing w:val="2"/>
        </w:rPr>
        <w:t>pp</w:t>
      </w:r>
      <w:r w:rsidRPr="00585C2D">
        <w:rPr>
          <w:rFonts w:eastAsia="Arial" w:cstheme="minorHAnsi"/>
          <w:spacing w:val="-2"/>
        </w:rPr>
        <w:t>r</w:t>
      </w:r>
      <w:r w:rsidRPr="00585C2D">
        <w:rPr>
          <w:rFonts w:eastAsia="Arial" w:cstheme="minorHAnsi"/>
          <w:spacing w:val="2"/>
        </w:rPr>
        <w:t>o</w:t>
      </w:r>
      <w:r w:rsidRPr="00585C2D">
        <w:rPr>
          <w:rFonts w:eastAsia="Arial" w:cstheme="minorHAnsi"/>
          <w:spacing w:val="-5"/>
        </w:rPr>
        <w:t>v</w:t>
      </w:r>
      <w:r w:rsidRPr="00585C2D">
        <w:rPr>
          <w:rFonts w:eastAsia="Arial" w:cstheme="minorHAnsi"/>
        </w:rPr>
        <w:t>e</w:t>
      </w:r>
      <w:r w:rsidRPr="00585C2D">
        <w:rPr>
          <w:rFonts w:eastAsia="Arial" w:cstheme="minorHAnsi"/>
          <w:spacing w:val="26"/>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29"/>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3"/>
        </w:rPr>
        <w:t>b</w:t>
      </w:r>
      <w:r w:rsidRPr="00585C2D">
        <w:rPr>
          <w:rFonts w:eastAsia="Arial" w:cstheme="minorHAnsi"/>
          <w:spacing w:val="2"/>
        </w:rPr>
        <w:t>e</w:t>
      </w:r>
      <w:r w:rsidRPr="00585C2D">
        <w:rPr>
          <w:rFonts w:eastAsia="Arial" w:cstheme="minorHAnsi"/>
          <w:spacing w:val="-2"/>
        </w:rPr>
        <w:t>r</w:t>
      </w:r>
      <w:r w:rsidRPr="00585C2D">
        <w:rPr>
          <w:rFonts w:eastAsia="Arial" w:cstheme="minorHAnsi"/>
        </w:rPr>
        <w:t>s</w:t>
      </w:r>
      <w:r w:rsidRPr="00585C2D">
        <w:rPr>
          <w:rFonts w:eastAsia="Arial" w:cstheme="minorHAnsi"/>
          <w:spacing w:val="26"/>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6"/>
        </w:rPr>
        <w:t>i</w:t>
      </w:r>
      <w:r w:rsidRPr="00585C2D">
        <w:rPr>
          <w:rFonts w:eastAsia="Arial" w:cstheme="minorHAnsi"/>
          <w:spacing w:val="-3"/>
        </w:rPr>
        <w:t>n</w:t>
      </w:r>
      <w:r w:rsidRPr="00585C2D">
        <w:rPr>
          <w:rFonts w:eastAsia="Arial" w:cstheme="minorHAnsi"/>
        </w:rPr>
        <w:t>g</w:t>
      </w:r>
      <w:r w:rsidRPr="00585C2D">
        <w:rPr>
          <w:rFonts w:eastAsia="Arial" w:cstheme="minorHAnsi"/>
          <w:spacing w:val="27"/>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2"/>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19"/>
        </w:rPr>
        <w:t xml:space="preserve">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28"/>
        </w:rPr>
        <w:t xml:space="preserve"> </w:t>
      </w:r>
      <w:r w:rsidRPr="00585C2D">
        <w:rPr>
          <w:rFonts w:eastAsia="Arial" w:cstheme="minorHAnsi"/>
          <w:spacing w:val="2"/>
        </w:rPr>
        <w:t>a</w:t>
      </w:r>
      <w:r w:rsidRPr="00585C2D">
        <w:rPr>
          <w:rFonts w:eastAsia="Arial" w:cstheme="minorHAnsi"/>
          <w:spacing w:val="-3"/>
        </w:rPr>
        <w:t>p</w:t>
      </w:r>
      <w:r w:rsidRPr="00585C2D">
        <w:rPr>
          <w:rFonts w:eastAsia="Arial" w:cstheme="minorHAnsi"/>
          <w:spacing w:val="2"/>
        </w:rPr>
        <w:t>p</w:t>
      </w:r>
      <w:r w:rsidRPr="00585C2D">
        <w:rPr>
          <w:rFonts w:eastAsia="Arial" w:cstheme="minorHAnsi"/>
          <w:spacing w:val="-1"/>
        </w:rPr>
        <w:t>li</w:t>
      </w:r>
      <w:r w:rsidRPr="00585C2D">
        <w:rPr>
          <w:rFonts w:eastAsia="Arial" w:cstheme="minorHAnsi"/>
        </w:rPr>
        <w:t>c</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4"/>
        </w:rPr>
        <w:t>n</w:t>
      </w:r>
      <w:r w:rsidRPr="00585C2D">
        <w:rPr>
          <w:rFonts w:eastAsia="Arial" w:cstheme="minorHAnsi"/>
        </w:rPr>
        <w:t>s</w:t>
      </w:r>
      <w:r>
        <w:rPr>
          <w:rFonts w:eastAsia="Arial" w:cstheme="minorHAnsi"/>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3"/>
        </w:rPr>
        <w:t xml:space="preserve"> </w:t>
      </w:r>
      <w:proofErr w:type="gramStart"/>
      <w:r w:rsidRPr="00585C2D">
        <w:rPr>
          <w:rFonts w:eastAsia="Arial" w:cstheme="minorHAnsi"/>
          <w:spacing w:val="-6"/>
        </w:rPr>
        <w:t>M</w:t>
      </w:r>
      <w:r w:rsidRPr="00585C2D">
        <w:rPr>
          <w:rFonts w:eastAsia="Arial" w:cstheme="minorHAnsi"/>
          <w:spacing w:val="2"/>
        </w:rPr>
        <w:t>a</w:t>
      </w:r>
      <w:r w:rsidRPr="00585C2D">
        <w:rPr>
          <w:rFonts w:eastAsia="Arial" w:cstheme="minorHAnsi"/>
        </w:rPr>
        <w:t>y</w:t>
      </w:r>
      <w:r w:rsidRPr="00585C2D">
        <w:rPr>
          <w:rFonts w:eastAsia="Arial" w:cstheme="minorHAnsi"/>
          <w:spacing w:val="2"/>
        </w:rPr>
        <w:t>o</w:t>
      </w:r>
      <w:r w:rsidRPr="00585C2D">
        <w:rPr>
          <w:rFonts w:eastAsia="Arial" w:cstheme="minorHAnsi"/>
        </w:rPr>
        <w:t>r</w:t>
      </w:r>
      <w:proofErr w:type="gramEnd"/>
      <w:r w:rsidRPr="00585C2D">
        <w:rPr>
          <w:rFonts w:eastAsia="Arial" w:cstheme="minorHAnsi"/>
        </w:rPr>
        <w:t xml:space="preserve"> </w:t>
      </w:r>
      <w:r w:rsidRPr="00585C2D">
        <w:rPr>
          <w:rFonts w:eastAsia="Arial" w:cstheme="minorHAnsi"/>
          <w:spacing w:val="-6"/>
        </w:rPr>
        <w:t>m</w:t>
      </w:r>
      <w:r w:rsidRPr="00585C2D">
        <w:rPr>
          <w:rFonts w:eastAsia="Arial" w:cstheme="minorHAnsi"/>
          <w:spacing w:val="2"/>
        </w:rPr>
        <w:t>a</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3"/>
        </w:rPr>
        <w:t>p</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o</w:t>
      </w:r>
      <w:r w:rsidRPr="00585C2D">
        <w:rPr>
          <w:rFonts w:eastAsia="Arial" w:cstheme="minorHAnsi"/>
        </w:rPr>
        <w:t>ve</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6"/>
        </w:rPr>
        <w:t>C</w:t>
      </w:r>
      <w:r w:rsidRPr="00585C2D">
        <w:rPr>
          <w:rFonts w:eastAsia="Arial" w:cstheme="minorHAnsi"/>
          <w:spacing w:val="1"/>
        </w:rPr>
        <w:t>EO</w:t>
      </w:r>
      <w:r w:rsidRPr="00585C2D">
        <w:rPr>
          <w:rFonts w:eastAsia="Arial" w:cstheme="minorHAnsi"/>
          <w:spacing w:val="-1"/>
        </w:rPr>
        <w:t>’</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6"/>
        </w:rPr>
        <w:t>w</w:t>
      </w:r>
      <w:r w:rsidRPr="00585C2D">
        <w:rPr>
          <w:rFonts w:eastAsia="Arial" w:cstheme="minorHAnsi"/>
          <w:spacing w:val="2"/>
        </w:rPr>
        <w:t>he</w:t>
      </w:r>
      <w:r w:rsidRPr="00585C2D">
        <w:rPr>
          <w:rFonts w:eastAsia="Arial" w:cstheme="minorHAnsi"/>
          <w:spacing w:val="-2"/>
        </w:rPr>
        <w:t>r</w:t>
      </w:r>
      <w:r w:rsidRPr="00585C2D">
        <w:rPr>
          <w:rFonts w:eastAsia="Arial" w:cstheme="minorHAnsi"/>
        </w:rPr>
        <w:t>e</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rPr>
        <w:t>:</w:t>
      </w:r>
    </w:p>
    <w:p w14:paraId="01B480B3" w14:textId="77777777" w:rsidR="00FC0CF1" w:rsidRPr="00585C2D" w:rsidRDefault="00FC0CF1" w:rsidP="00FC0CF1">
      <w:pPr>
        <w:tabs>
          <w:tab w:val="left" w:pos="2540"/>
        </w:tabs>
        <w:spacing w:after="60" w:line="250" w:lineRule="exact"/>
        <w:ind w:left="1418" w:right="-20" w:hanging="425"/>
        <w:rPr>
          <w:rFonts w:eastAsia="Arial" w:cstheme="minorHAnsi"/>
        </w:rPr>
      </w:pPr>
      <w:proofErr w:type="spellStart"/>
      <w:r w:rsidRPr="00585C2D">
        <w:rPr>
          <w:rFonts w:eastAsia="Arial" w:cstheme="minorHAnsi"/>
          <w:spacing w:val="-1"/>
        </w:rPr>
        <w:t>i</w:t>
      </w:r>
      <w:proofErr w:type="spellEnd"/>
      <w:r w:rsidRPr="00585C2D">
        <w:rPr>
          <w:rFonts w:eastAsia="Arial" w:cstheme="minorHAnsi"/>
        </w:rPr>
        <w:t>.</w:t>
      </w:r>
      <w:r w:rsidRPr="00585C2D">
        <w:rPr>
          <w:rFonts w:eastAsia="Arial" w:cstheme="minorHAnsi"/>
        </w:rPr>
        <w:tab/>
      </w:r>
      <w:r w:rsidRPr="00585C2D">
        <w:rPr>
          <w:rFonts w:eastAsia="Arial" w:cstheme="minorHAnsi"/>
          <w:spacing w:val="1"/>
        </w:rPr>
        <w:t>A</w:t>
      </w:r>
      <w:r w:rsidRPr="00585C2D">
        <w:rPr>
          <w:rFonts w:eastAsia="Arial" w:cstheme="minorHAnsi"/>
          <w:spacing w:val="2"/>
        </w:rPr>
        <w:t>pp</w:t>
      </w:r>
      <w:r w:rsidRPr="00585C2D">
        <w:rPr>
          <w:rFonts w:eastAsia="Arial" w:cstheme="minorHAnsi"/>
          <w:spacing w:val="-1"/>
        </w:rPr>
        <w:t>li</w:t>
      </w:r>
      <w:r w:rsidRPr="00585C2D">
        <w:rPr>
          <w:rFonts w:eastAsia="Arial" w:cstheme="minorHAnsi"/>
          <w:spacing w:val="-5"/>
        </w:rPr>
        <w:t>c</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spacing w:val="-2"/>
        </w:rPr>
        <w:t>m</w:t>
      </w:r>
      <w:r w:rsidRPr="00585C2D">
        <w:rPr>
          <w:rFonts w:eastAsia="Arial" w:cstheme="minorHAnsi"/>
          <w:spacing w:val="2"/>
        </w:rPr>
        <w:t>p</w:t>
      </w:r>
      <w:r w:rsidRPr="00585C2D">
        <w:rPr>
          <w:rFonts w:eastAsia="Arial" w:cstheme="minorHAnsi"/>
          <w:spacing w:val="-1"/>
        </w:rPr>
        <w:t>li</w:t>
      </w:r>
      <w:r w:rsidRPr="00585C2D">
        <w:rPr>
          <w:rFonts w:eastAsia="Arial" w:cstheme="minorHAnsi"/>
          <w:spacing w:val="2"/>
        </w:rPr>
        <w:t>e</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1"/>
        </w:rPr>
        <w:t>wi</w:t>
      </w:r>
      <w:r w:rsidRPr="00585C2D">
        <w:rPr>
          <w:rFonts w:eastAsia="Arial" w:cstheme="minorHAnsi"/>
          <w:spacing w:val="1"/>
        </w:rPr>
        <w:t>t</w:t>
      </w:r>
      <w:r w:rsidRPr="00585C2D">
        <w:rPr>
          <w:rFonts w:eastAsia="Arial" w:cstheme="minorHAnsi"/>
        </w:rPr>
        <w:t>h</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s</w:t>
      </w:r>
      <w:r w:rsidRPr="00585C2D">
        <w:rPr>
          <w:rFonts w:eastAsia="Arial" w:cstheme="minorHAnsi"/>
          <w:spacing w:val="-4"/>
        </w:rPr>
        <w:t xml:space="preserve"> </w:t>
      </w:r>
      <w:proofErr w:type="gramStart"/>
      <w:r w:rsidRPr="00585C2D">
        <w:rPr>
          <w:rFonts w:eastAsia="Arial" w:cstheme="minorHAnsi"/>
          <w:spacing w:val="2"/>
        </w:rPr>
        <w:t>po</w:t>
      </w:r>
      <w:r w:rsidRPr="00585C2D">
        <w:rPr>
          <w:rFonts w:eastAsia="Arial" w:cstheme="minorHAnsi"/>
          <w:spacing w:val="-1"/>
        </w:rPr>
        <w:t>li</w:t>
      </w:r>
      <w:r w:rsidRPr="00585C2D">
        <w:rPr>
          <w:rFonts w:eastAsia="Arial" w:cstheme="minorHAnsi"/>
        </w:rPr>
        <w:t>cy;</w:t>
      </w:r>
      <w:proofErr w:type="gramEnd"/>
    </w:p>
    <w:p w14:paraId="04BA041C" w14:textId="77777777" w:rsidR="00FC0CF1" w:rsidRPr="00585C2D" w:rsidRDefault="00FC0CF1" w:rsidP="00FC0CF1">
      <w:pPr>
        <w:tabs>
          <w:tab w:val="left" w:pos="2540"/>
        </w:tabs>
        <w:spacing w:before="1" w:after="60" w:line="240" w:lineRule="auto"/>
        <w:ind w:left="1418" w:right="-20" w:hanging="425"/>
        <w:rPr>
          <w:rFonts w:eastAsia="Arial" w:cstheme="minorHAnsi"/>
        </w:rPr>
      </w:pPr>
      <w:r w:rsidRPr="00585C2D">
        <w:rPr>
          <w:rFonts w:eastAsia="Arial" w:cstheme="minorHAnsi"/>
          <w:spacing w:val="-1"/>
        </w:rPr>
        <w:t>ii</w:t>
      </w:r>
      <w:r w:rsidRPr="00585C2D">
        <w:rPr>
          <w:rFonts w:eastAsia="Arial" w:cstheme="minorHAnsi"/>
        </w:rPr>
        <w:t>.</w:t>
      </w:r>
      <w:r w:rsidRPr="00585C2D">
        <w:rPr>
          <w:rFonts w:eastAsia="Arial" w:cstheme="minorHAnsi"/>
        </w:rPr>
        <w:tab/>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3"/>
        </w:rPr>
        <w:t>d</w:t>
      </w:r>
      <w:r w:rsidRPr="00585C2D">
        <w:rPr>
          <w:rFonts w:eastAsia="Arial" w:cstheme="minorHAnsi"/>
          <w:spacing w:val="2"/>
        </w:rPr>
        <w:t>e</w:t>
      </w:r>
      <w:r w:rsidRPr="00585C2D">
        <w:rPr>
          <w:rFonts w:eastAsia="Arial" w:cstheme="minorHAnsi"/>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he</w:t>
      </w:r>
      <w:r w:rsidRPr="00585C2D">
        <w:rPr>
          <w:rFonts w:eastAsia="Arial" w:cstheme="minorHAnsi"/>
          <w:spacing w:val="-1"/>
        </w:rPr>
        <w:t>l</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1"/>
        </w:rPr>
        <w:t>wi</w:t>
      </w:r>
      <w:r w:rsidRPr="00585C2D">
        <w:rPr>
          <w:rFonts w:eastAsia="Arial" w:cstheme="minorHAnsi"/>
          <w:spacing w:val="-4"/>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A</w:t>
      </w:r>
      <w:r w:rsidRPr="00585C2D">
        <w:rPr>
          <w:rFonts w:eastAsia="Arial" w:cstheme="minorHAnsi"/>
          <w:spacing w:val="2"/>
        </w:rPr>
        <w:t>u</w:t>
      </w:r>
      <w:r w:rsidRPr="00585C2D">
        <w:rPr>
          <w:rFonts w:eastAsia="Arial" w:cstheme="minorHAnsi"/>
        </w:rPr>
        <w:t>s</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spacing w:val="-1"/>
        </w:rPr>
        <w:t>li</w:t>
      </w:r>
      <w:r w:rsidRPr="00585C2D">
        <w:rPr>
          <w:rFonts w:eastAsia="Arial" w:cstheme="minorHAnsi"/>
        </w:rPr>
        <w:t>a</w:t>
      </w:r>
      <w:r w:rsidRPr="00585C2D">
        <w:rPr>
          <w:rFonts w:eastAsia="Arial" w:cstheme="minorHAnsi"/>
          <w:spacing w:val="-2"/>
        </w:rPr>
        <w:t xml:space="preserve">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1"/>
        </w:rPr>
        <w:t>N</w:t>
      </w:r>
      <w:r w:rsidRPr="00585C2D">
        <w:rPr>
          <w:rFonts w:eastAsia="Arial" w:cstheme="minorHAnsi"/>
          <w:spacing w:val="2"/>
        </w:rPr>
        <w:t>e</w:t>
      </w:r>
      <w:r w:rsidRPr="00585C2D">
        <w:rPr>
          <w:rFonts w:eastAsia="Arial" w:cstheme="minorHAnsi"/>
        </w:rPr>
        <w:t xml:space="preserve">w </w:t>
      </w:r>
      <w:r w:rsidRPr="00585C2D">
        <w:rPr>
          <w:rFonts w:eastAsia="Arial" w:cstheme="minorHAnsi"/>
          <w:spacing w:val="-5"/>
        </w:rPr>
        <w:t>Z</w:t>
      </w:r>
      <w:r w:rsidRPr="00585C2D">
        <w:rPr>
          <w:rFonts w:eastAsia="Arial" w:cstheme="minorHAnsi"/>
          <w:spacing w:val="2"/>
        </w:rPr>
        <w:t>ea</w:t>
      </w:r>
      <w:r w:rsidRPr="00585C2D">
        <w:rPr>
          <w:rFonts w:eastAsia="Arial" w:cstheme="minorHAnsi"/>
          <w:spacing w:val="-6"/>
        </w:rPr>
        <w:t>l</w:t>
      </w:r>
      <w:r w:rsidRPr="00585C2D">
        <w:rPr>
          <w:rFonts w:eastAsia="Arial" w:cstheme="minorHAnsi"/>
          <w:spacing w:val="2"/>
        </w:rPr>
        <w:t>a</w:t>
      </w:r>
      <w:r w:rsidRPr="00585C2D">
        <w:rPr>
          <w:rFonts w:eastAsia="Arial" w:cstheme="minorHAnsi"/>
          <w:spacing w:val="-3"/>
        </w:rPr>
        <w:t>n</w:t>
      </w:r>
      <w:r w:rsidRPr="00585C2D">
        <w:rPr>
          <w:rFonts w:eastAsia="Arial" w:cstheme="minorHAnsi"/>
          <w:spacing w:val="2"/>
        </w:rPr>
        <w:t>d</w:t>
      </w:r>
      <w:r w:rsidRPr="00585C2D">
        <w:rPr>
          <w:rFonts w:eastAsia="Arial" w:cstheme="minorHAnsi"/>
        </w:rPr>
        <w:t>;</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p>
    <w:p w14:paraId="6F3C58AC" w14:textId="77777777" w:rsidR="00FC0CF1" w:rsidRPr="00585C2D" w:rsidRDefault="00FC0CF1" w:rsidP="00FC0CF1">
      <w:pPr>
        <w:tabs>
          <w:tab w:val="left" w:pos="2540"/>
        </w:tabs>
        <w:spacing w:before="1" w:after="120" w:line="240" w:lineRule="auto"/>
        <w:ind w:left="1417" w:right="96" w:hanging="425"/>
        <w:jc w:val="both"/>
        <w:rPr>
          <w:rFonts w:eastAsia="Arial" w:cstheme="minorHAnsi"/>
        </w:rPr>
      </w:pPr>
      <w:r w:rsidRPr="00585C2D">
        <w:rPr>
          <w:rFonts w:eastAsia="Arial" w:cstheme="minorHAnsi"/>
          <w:spacing w:val="-1"/>
        </w:rPr>
        <w:t>iii</w:t>
      </w:r>
      <w:r w:rsidRPr="00585C2D">
        <w:rPr>
          <w:rFonts w:eastAsia="Arial" w:cstheme="minorHAnsi"/>
        </w:rPr>
        <w:t>.</w:t>
      </w:r>
      <w:r w:rsidRPr="00585C2D">
        <w:rPr>
          <w:rFonts w:eastAsia="Arial" w:cstheme="minorHAnsi"/>
        </w:rPr>
        <w:tab/>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 xml:space="preserve">d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 xml:space="preserve">r </w:t>
      </w:r>
      <w:r w:rsidRPr="00585C2D">
        <w:rPr>
          <w:rFonts w:eastAsia="Arial" w:cstheme="minorHAnsi"/>
          <w:spacing w:val="2"/>
        </w:rPr>
        <w:t>ha</w:t>
      </w:r>
      <w:r w:rsidRPr="00585C2D">
        <w:rPr>
          <w:rFonts w:eastAsia="Arial" w:cstheme="minorHAnsi"/>
        </w:rPr>
        <w:t>s s</w:t>
      </w:r>
      <w:r w:rsidRPr="00585C2D">
        <w:rPr>
          <w:rFonts w:eastAsia="Arial" w:cstheme="minorHAnsi"/>
          <w:spacing w:val="-3"/>
        </w:rPr>
        <w:t>u</w:t>
      </w:r>
      <w:r w:rsidRPr="00585C2D">
        <w:rPr>
          <w:rFonts w:eastAsia="Arial" w:cstheme="minorHAnsi"/>
          <w:spacing w:val="1"/>
        </w:rPr>
        <w:t>ff</w:t>
      </w:r>
      <w:r w:rsidRPr="00585C2D">
        <w:rPr>
          <w:rFonts w:eastAsia="Arial" w:cstheme="minorHAnsi"/>
          <w:spacing w:val="-1"/>
        </w:rPr>
        <w:t>i</w:t>
      </w:r>
      <w:r w:rsidRPr="00585C2D">
        <w:rPr>
          <w:rFonts w:eastAsia="Arial" w:cstheme="minorHAnsi"/>
        </w:rPr>
        <w:t>c</w:t>
      </w:r>
      <w:r w:rsidRPr="00585C2D">
        <w:rPr>
          <w:rFonts w:eastAsia="Arial" w:cstheme="minorHAnsi"/>
          <w:spacing w:val="-1"/>
        </w:rPr>
        <w:t>i</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13"/>
        </w:rPr>
        <w:t xml:space="preserve"> </w:t>
      </w:r>
      <w:r w:rsidRPr="00585C2D">
        <w:rPr>
          <w:rFonts w:eastAsia="Arial" w:cstheme="minorHAnsi"/>
          <w:spacing w:val="1"/>
        </w:rPr>
        <w:t>f</w:t>
      </w:r>
      <w:r w:rsidRPr="00585C2D">
        <w:rPr>
          <w:rFonts w:eastAsia="Arial" w:cstheme="minorHAnsi"/>
          <w:spacing w:val="-3"/>
        </w:rPr>
        <w:t>u</w:t>
      </w:r>
      <w:r w:rsidRPr="00585C2D">
        <w:rPr>
          <w:rFonts w:eastAsia="Arial" w:cstheme="minorHAnsi"/>
          <w:spacing w:val="2"/>
        </w:rPr>
        <w:t>nd</w:t>
      </w:r>
      <w:r w:rsidRPr="00585C2D">
        <w:rPr>
          <w:rFonts w:eastAsia="Arial" w:cstheme="minorHAnsi"/>
        </w:rPr>
        <w:t xml:space="preserve">s </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a</w:t>
      </w:r>
      <w:r w:rsidRPr="00585C2D">
        <w:rPr>
          <w:rFonts w:eastAsia="Arial" w:cstheme="minorHAnsi"/>
          <w:spacing w:val="-1"/>
        </w:rPr>
        <w:t>il</w:t>
      </w:r>
      <w:r w:rsidRPr="00585C2D">
        <w:rPr>
          <w:rFonts w:eastAsia="Arial" w:cstheme="minorHAnsi"/>
          <w:spacing w:val="2"/>
        </w:rPr>
        <w:t>ab</w:t>
      </w:r>
      <w:r w:rsidRPr="00585C2D">
        <w:rPr>
          <w:rFonts w:eastAsia="Arial" w:cstheme="minorHAnsi"/>
          <w:spacing w:val="-6"/>
        </w:rPr>
        <w:t>l</w:t>
      </w:r>
      <w:r w:rsidRPr="00585C2D">
        <w:rPr>
          <w:rFonts w:eastAsia="Arial" w:cstheme="minorHAnsi"/>
        </w:rPr>
        <w:t xml:space="preserve">e </w:t>
      </w:r>
      <w:r w:rsidRPr="00585C2D">
        <w:rPr>
          <w:rFonts w:eastAsia="Arial" w:cstheme="minorHAnsi"/>
          <w:spacing w:val="-1"/>
        </w:rPr>
        <w:t>i</w:t>
      </w:r>
      <w:r w:rsidRPr="00585C2D">
        <w:rPr>
          <w:rFonts w:eastAsia="Arial" w:cstheme="minorHAnsi"/>
        </w:rPr>
        <w:t xml:space="preserve">n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14"/>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1"/>
        </w:rPr>
        <w:t>t</w:t>
      </w:r>
      <w:r w:rsidRPr="00585C2D">
        <w:rPr>
          <w:rFonts w:eastAsia="Arial" w:cstheme="minorHAnsi"/>
          <w:spacing w:val="11"/>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6"/>
        </w:rPr>
        <w:t>i</w:t>
      </w:r>
      <w:r w:rsidRPr="00585C2D">
        <w:rPr>
          <w:rFonts w:eastAsia="Arial" w:cstheme="minorHAnsi"/>
          <w:spacing w:val="2"/>
        </w:rPr>
        <w:t>n</w:t>
      </w:r>
      <w:r w:rsidRPr="00585C2D">
        <w:rPr>
          <w:rFonts w:eastAsia="Arial" w:cstheme="minorHAnsi"/>
        </w:rPr>
        <w:t xml:space="preserve">g </w:t>
      </w:r>
      <w:r w:rsidRPr="00585C2D">
        <w:rPr>
          <w:rFonts w:eastAsia="Arial" w:cstheme="minorHAnsi"/>
          <w:spacing w:val="-3"/>
        </w:rPr>
        <w:t>a</w:t>
      </w:r>
      <w:r w:rsidRPr="00585C2D">
        <w:rPr>
          <w:rFonts w:eastAsia="Arial" w:cstheme="minorHAnsi"/>
          <w:spacing w:val="2"/>
        </w:rPr>
        <w:t>n</w:t>
      </w:r>
      <w:r w:rsidRPr="00585C2D">
        <w:rPr>
          <w:rFonts w:eastAsia="Arial" w:cstheme="minorHAnsi"/>
        </w:rPr>
        <w:t xml:space="preserve">d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op</w:t>
      </w:r>
      <w:r w:rsidRPr="00585C2D">
        <w:rPr>
          <w:rFonts w:eastAsia="Arial" w:cstheme="minorHAnsi"/>
          <w:spacing w:val="-6"/>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2"/>
        </w:rPr>
        <w:t xml:space="preserve"> a</w:t>
      </w:r>
      <w:r w:rsidRPr="00585C2D">
        <w:rPr>
          <w:rFonts w:eastAsia="Arial" w:cstheme="minorHAnsi"/>
          <w:spacing w:val="-5"/>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e</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rPr>
        <w:t>s</w:t>
      </w:r>
      <w:r w:rsidRPr="00585C2D">
        <w:rPr>
          <w:rFonts w:eastAsia="Arial" w:cstheme="minorHAnsi"/>
          <w:spacing w:val="1"/>
        </w:rPr>
        <w:t>t</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a</w:t>
      </w:r>
      <w:r w:rsidRPr="00585C2D">
        <w:rPr>
          <w:rFonts w:eastAsia="Arial" w:cstheme="minorHAnsi"/>
          <w:spacing w:val="1"/>
        </w:rPr>
        <w:t>t</w:t>
      </w:r>
      <w:r w:rsidRPr="00585C2D">
        <w:rPr>
          <w:rFonts w:eastAsia="Arial" w:cstheme="minorHAnsi"/>
          <w:spacing w:val="-4"/>
        </w:rPr>
        <w:t>t</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a</w:t>
      </w:r>
      <w:r w:rsidRPr="00585C2D">
        <w:rPr>
          <w:rFonts w:eastAsia="Arial" w:cstheme="minorHAnsi"/>
          <w:spacing w:val="-3"/>
        </w:rPr>
        <w:t>n</w:t>
      </w:r>
      <w:r w:rsidRPr="00585C2D">
        <w:rPr>
          <w:rFonts w:eastAsia="Arial" w:cstheme="minorHAnsi"/>
        </w:rPr>
        <w:t>c</w:t>
      </w:r>
      <w:r w:rsidRPr="00585C2D">
        <w:rPr>
          <w:rFonts w:eastAsia="Arial" w:cstheme="minorHAnsi"/>
          <w:spacing w:val="2"/>
        </w:rPr>
        <w:t>e</w:t>
      </w:r>
      <w:r w:rsidRPr="00585C2D">
        <w:rPr>
          <w:rFonts w:eastAsia="Arial" w:cstheme="minorHAnsi"/>
        </w:rPr>
        <w:t>.</w:t>
      </w:r>
    </w:p>
    <w:p w14:paraId="7922BFA6" w14:textId="77777777" w:rsidR="00FC0CF1" w:rsidRPr="00585C2D" w:rsidRDefault="00FC0CF1" w:rsidP="00FC0CF1">
      <w:pPr>
        <w:spacing w:after="60" w:line="250" w:lineRule="exact"/>
        <w:ind w:left="850" w:right="96" w:hanging="425"/>
        <w:jc w:val="both"/>
        <w:rPr>
          <w:rFonts w:eastAsia="Arial" w:cstheme="minorHAnsi"/>
        </w:rPr>
      </w:pPr>
      <w:r w:rsidRPr="00585C2D">
        <w:rPr>
          <w:rFonts w:eastAsia="Arial" w:cstheme="minorHAnsi"/>
          <w:spacing w:val="2"/>
        </w:rPr>
        <w:t>b</w:t>
      </w:r>
      <w:r>
        <w:rPr>
          <w:rFonts w:eastAsia="Arial" w:cstheme="minorHAnsi"/>
        </w:rPr>
        <w:t>.</w:t>
      </w:r>
      <w:r>
        <w:rPr>
          <w:rFonts w:eastAsia="Arial" w:cstheme="minorHAnsi"/>
        </w:rPr>
        <w:tab/>
      </w:r>
      <w:r w:rsidRPr="00585C2D">
        <w:rPr>
          <w:rFonts w:eastAsia="Arial" w:cstheme="minorHAnsi"/>
        </w:rPr>
        <w:t>A</w:t>
      </w:r>
      <w:r w:rsidRPr="00585C2D">
        <w:rPr>
          <w:rFonts w:eastAsia="Arial" w:cstheme="minorHAnsi"/>
          <w:spacing w:val="-12"/>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rPr>
        <w:t>s</w:t>
      </w:r>
      <w:r w:rsidRPr="00585C2D">
        <w:rPr>
          <w:rFonts w:eastAsia="Arial" w:cstheme="minorHAnsi"/>
          <w:spacing w:val="2"/>
        </w:rPr>
        <w:t>o</w:t>
      </w:r>
      <w:r w:rsidRPr="00585C2D">
        <w:rPr>
          <w:rFonts w:eastAsia="Arial" w:cstheme="minorHAnsi"/>
          <w:spacing w:val="-1"/>
        </w:rPr>
        <w:t>l</w:t>
      </w:r>
      <w:r w:rsidRPr="00585C2D">
        <w:rPr>
          <w:rFonts w:eastAsia="Arial" w:cstheme="minorHAnsi"/>
          <w:spacing w:val="-3"/>
        </w:rPr>
        <w:t>u</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1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8"/>
        </w:rPr>
        <w:t xml:space="preserve"> </w:t>
      </w:r>
      <w:r w:rsidRPr="00585C2D">
        <w:rPr>
          <w:rFonts w:eastAsia="Arial" w:cstheme="minorHAnsi"/>
          <w:spacing w:val="-1"/>
        </w:rPr>
        <w:t>C</w:t>
      </w:r>
      <w:r w:rsidRPr="00585C2D">
        <w:rPr>
          <w:rFonts w:eastAsia="Arial" w:cstheme="minorHAnsi"/>
          <w:spacing w:val="-3"/>
        </w:rPr>
        <w:t>o</w:t>
      </w:r>
      <w:r w:rsidRPr="00585C2D">
        <w:rPr>
          <w:rFonts w:eastAsia="Arial" w:cstheme="minorHAnsi"/>
          <w:spacing w:val="2"/>
        </w:rPr>
        <w:t>un</w:t>
      </w:r>
      <w:r w:rsidRPr="00585C2D">
        <w:rPr>
          <w:rFonts w:eastAsia="Arial" w:cstheme="minorHAnsi"/>
        </w:rPr>
        <w:t>c</w:t>
      </w:r>
      <w:r w:rsidRPr="00585C2D">
        <w:rPr>
          <w:rFonts w:eastAsia="Arial" w:cstheme="minorHAnsi"/>
          <w:spacing w:val="-1"/>
        </w:rPr>
        <w:t>i</w:t>
      </w:r>
      <w:r w:rsidRPr="00585C2D">
        <w:rPr>
          <w:rFonts w:eastAsia="Arial" w:cstheme="minorHAnsi"/>
        </w:rPr>
        <w:t>l</w:t>
      </w:r>
      <w:r w:rsidRPr="00585C2D">
        <w:rPr>
          <w:rFonts w:eastAsia="Arial" w:cstheme="minorHAnsi"/>
          <w:spacing w:val="-14"/>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13"/>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3"/>
        </w:rPr>
        <w:t>q</w:t>
      </w:r>
      <w:r w:rsidRPr="00585C2D">
        <w:rPr>
          <w:rFonts w:eastAsia="Arial" w:cstheme="minorHAnsi"/>
          <w:spacing w:val="2"/>
        </w:rPr>
        <w:t>u</w:t>
      </w:r>
      <w:r w:rsidRPr="00585C2D">
        <w:rPr>
          <w:rFonts w:eastAsia="Arial" w:cstheme="minorHAnsi"/>
          <w:spacing w:val="-1"/>
        </w:rPr>
        <w:t>i</w:t>
      </w:r>
      <w:r w:rsidRPr="00585C2D">
        <w:rPr>
          <w:rFonts w:eastAsia="Arial" w:cstheme="minorHAnsi"/>
          <w:spacing w:val="-2"/>
        </w:rPr>
        <w:t>r</w:t>
      </w:r>
      <w:r w:rsidRPr="00585C2D">
        <w:rPr>
          <w:rFonts w:eastAsia="Arial" w:cstheme="minorHAnsi"/>
          <w:spacing w:val="2"/>
        </w:rPr>
        <w:t>e</w:t>
      </w:r>
      <w:r w:rsidRPr="00585C2D">
        <w:rPr>
          <w:rFonts w:eastAsia="Arial" w:cstheme="minorHAnsi"/>
        </w:rPr>
        <w:t>d</w:t>
      </w:r>
      <w:r w:rsidRPr="00585C2D">
        <w:rPr>
          <w:rFonts w:eastAsia="Arial" w:cstheme="minorHAnsi"/>
          <w:spacing w:val="-12"/>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12"/>
        </w:rPr>
        <w:t xml:space="preserve"> </w:t>
      </w:r>
      <w:r w:rsidRPr="00585C2D">
        <w:rPr>
          <w:rFonts w:eastAsia="Arial" w:cstheme="minorHAnsi"/>
          <w:spacing w:val="-3"/>
        </w:rPr>
        <w:t>a</w:t>
      </w:r>
      <w:r w:rsidRPr="00585C2D">
        <w:rPr>
          <w:rFonts w:eastAsia="Arial" w:cstheme="minorHAnsi"/>
          <w:spacing w:val="2"/>
        </w:rPr>
        <w:t>pp</w:t>
      </w:r>
      <w:r w:rsidRPr="00585C2D">
        <w:rPr>
          <w:rFonts w:eastAsia="Arial" w:cstheme="minorHAnsi"/>
          <w:spacing w:val="-6"/>
        </w:rPr>
        <w:t>r</w:t>
      </w:r>
      <w:r w:rsidRPr="00585C2D">
        <w:rPr>
          <w:rFonts w:eastAsia="Arial" w:cstheme="minorHAnsi"/>
          <w:spacing w:val="2"/>
        </w:rPr>
        <w:t>o</w:t>
      </w:r>
      <w:r w:rsidRPr="00585C2D">
        <w:rPr>
          <w:rFonts w:eastAsia="Arial" w:cstheme="minorHAnsi"/>
        </w:rPr>
        <w:t>ve</w:t>
      </w:r>
      <w:r w:rsidRPr="00585C2D">
        <w:rPr>
          <w:rFonts w:eastAsia="Arial" w:cstheme="minorHAnsi"/>
          <w:spacing w:val="-4"/>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10"/>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2"/>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1"/>
        </w:rPr>
        <w:t>C</w:t>
      </w:r>
      <w:r w:rsidRPr="00585C2D">
        <w:rPr>
          <w:rFonts w:eastAsia="Arial" w:cstheme="minorHAnsi"/>
          <w:spacing w:val="1"/>
        </w:rPr>
        <w:t>E</w:t>
      </w:r>
      <w:r w:rsidRPr="00585C2D">
        <w:rPr>
          <w:rFonts w:eastAsia="Arial" w:cstheme="minorHAnsi"/>
        </w:rPr>
        <w:t>O</w:t>
      </w:r>
      <w:r w:rsidRPr="00585C2D">
        <w:rPr>
          <w:rFonts w:eastAsia="Arial" w:cstheme="minorHAnsi"/>
          <w:spacing w:val="-12"/>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q</w:t>
      </w:r>
      <w:r w:rsidRPr="00585C2D">
        <w:rPr>
          <w:rFonts w:eastAsia="Arial" w:cstheme="minorHAnsi"/>
          <w:spacing w:val="-3"/>
        </w:rPr>
        <w:t>u</w:t>
      </w:r>
      <w:r w:rsidRPr="00585C2D">
        <w:rPr>
          <w:rFonts w:eastAsia="Arial" w:cstheme="minorHAnsi"/>
          <w:spacing w:val="2"/>
        </w:rPr>
        <w:t>e</w:t>
      </w:r>
      <w:r w:rsidRPr="00585C2D">
        <w:rPr>
          <w:rFonts w:eastAsia="Arial" w:cstheme="minorHAnsi"/>
        </w:rPr>
        <w:t>st</w:t>
      </w:r>
      <w:r w:rsidRPr="00585C2D">
        <w:rPr>
          <w:rFonts w:eastAsia="Arial" w:cstheme="minorHAnsi"/>
          <w:spacing w:val="-12"/>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12"/>
        </w:rPr>
        <w:t xml:space="preserve"> </w:t>
      </w:r>
      <w:r w:rsidRPr="00585C2D">
        <w:rPr>
          <w:rFonts w:eastAsia="Arial" w:cstheme="minorHAnsi"/>
          <w:spacing w:val="2"/>
        </w:rPr>
        <w:t>a</w:t>
      </w:r>
      <w:r w:rsidRPr="00585C2D">
        <w:rPr>
          <w:rFonts w:eastAsia="Arial" w:cstheme="minorHAnsi"/>
          <w:spacing w:val="-4"/>
        </w:rPr>
        <w:t>t</w:t>
      </w:r>
      <w:r w:rsidRPr="00585C2D">
        <w:rPr>
          <w:rFonts w:eastAsia="Arial" w:cstheme="minorHAnsi"/>
          <w:spacing w:val="1"/>
        </w:rPr>
        <w:t>t</w:t>
      </w:r>
      <w:r w:rsidRPr="00585C2D">
        <w:rPr>
          <w:rFonts w:eastAsia="Arial" w:cstheme="minorHAnsi"/>
          <w:spacing w:val="-3"/>
        </w:rPr>
        <w:t>e</w:t>
      </w:r>
      <w:r w:rsidRPr="00585C2D">
        <w:rPr>
          <w:rFonts w:eastAsia="Arial" w:cstheme="minorHAnsi"/>
          <w:spacing w:val="2"/>
        </w:rPr>
        <w:t>n</w:t>
      </w:r>
      <w:r w:rsidRPr="00585C2D">
        <w:rPr>
          <w:rFonts w:eastAsia="Arial" w:cstheme="minorHAnsi"/>
        </w:rPr>
        <w:t>d</w:t>
      </w:r>
      <w:r w:rsidRPr="00585C2D">
        <w:rPr>
          <w:rFonts w:eastAsia="Arial" w:cstheme="minorHAnsi"/>
          <w:spacing w:val="-8"/>
        </w:rPr>
        <w:t xml:space="preserve"> </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 xml:space="preserve">g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2"/>
        </w:rPr>
        <w:t>p</w:t>
      </w:r>
      <w:r w:rsidRPr="00585C2D">
        <w:rPr>
          <w:rFonts w:eastAsia="Arial" w:cstheme="minorHAnsi"/>
          <w:spacing w:val="-6"/>
        </w:rPr>
        <w:t>r</w:t>
      </w:r>
      <w:r w:rsidRPr="00585C2D">
        <w:rPr>
          <w:rFonts w:eastAsia="Arial" w:cstheme="minorHAnsi"/>
          <w:spacing w:val="-3"/>
        </w:rPr>
        <w:t>o</w:t>
      </w:r>
      <w:r w:rsidRPr="00585C2D">
        <w:rPr>
          <w:rFonts w:eastAsia="Arial" w:cstheme="minorHAnsi"/>
          <w:spacing w:val="6"/>
        </w:rPr>
        <w:t>f</w:t>
      </w:r>
      <w:r w:rsidRPr="00585C2D">
        <w:rPr>
          <w:rFonts w:eastAsia="Arial" w:cstheme="minorHAnsi"/>
          <w:spacing w:val="2"/>
        </w:rPr>
        <w:t>e</w:t>
      </w:r>
      <w:r w:rsidRPr="00585C2D">
        <w:rPr>
          <w:rFonts w:eastAsia="Arial" w:cstheme="minorHAnsi"/>
          <w:spacing w:val="-5"/>
        </w:rPr>
        <w:t>s</w:t>
      </w:r>
      <w:r w:rsidRPr="00585C2D">
        <w:rPr>
          <w:rFonts w:eastAsia="Arial" w:cstheme="minorHAnsi"/>
        </w:rPr>
        <w:t>s</w:t>
      </w:r>
      <w:r w:rsidRPr="00585C2D">
        <w:rPr>
          <w:rFonts w:eastAsia="Arial" w:cstheme="minorHAnsi"/>
          <w:spacing w:val="-1"/>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 xml:space="preserve">l </w:t>
      </w:r>
      <w:r w:rsidRPr="00585C2D">
        <w:rPr>
          <w:rFonts w:eastAsia="Arial" w:cstheme="minorHAnsi"/>
          <w:spacing w:val="-3"/>
        </w:rPr>
        <w:t>d</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op</w:t>
      </w:r>
      <w:r w:rsidRPr="00585C2D">
        <w:rPr>
          <w:rFonts w:eastAsia="Arial" w:cstheme="minorHAnsi"/>
          <w:spacing w:val="-6"/>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8"/>
        </w:rPr>
        <w:t xml:space="preserve"> </w:t>
      </w:r>
      <w:r w:rsidRPr="00585C2D">
        <w:rPr>
          <w:rFonts w:eastAsia="Arial" w:cstheme="minorHAnsi"/>
          <w:spacing w:val="-1"/>
        </w:rPr>
        <w:t>w</w:t>
      </w:r>
      <w:r w:rsidRPr="00585C2D">
        <w:rPr>
          <w:rFonts w:eastAsia="Arial" w:cstheme="minorHAnsi"/>
          <w:spacing w:val="-3"/>
        </w:rPr>
        <w:t>h</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e</w:t>
      </w:r>
      <w:r w:rsidRPr="00585C2D">
        <w:rPr>
          <w:rFonts w:eastAsia="Arial" w:cstheme="minorHAnsi"/>
        </w:rPr>
        <w:t>:</w:t>
      </w:r>
    </w:p>
    <w:p w14:paraId="451F3A11" w14:textId="77777777" w:rsidR="00FC0CF1" w:rsidRPr="00585C2D" w:rsidRDefault="00FC0CF1" w:rsidP="00FC0CF1">
      <w:pPr>
        <w:tabs>
          <w:tab w:val="left" w:pos="2540"/>
        </w:tabs>
        <w:spacing w:after="60" w:line="251" w:lineRule="exact"/>
        <w:ind w:left="1417" w:right="96" w:hanging="425"/>
        <w:rPr>
          <w:rFonts w:eastAsia="Arial" w:cstheme="minorHAnsi"/>
        </w:rPr>
      </w:pPr>
      <w:proofErr w:type="spellStart"/>
      <w:r w:rsidRPr="00585C2D">
        <w:rPr>
          <w:rFonts w:eastAsia="Arial" w:cstheme="minorHAnsi"/>
          <w:spacing w:val="-1"/>
        </w:rPr>
        <w:t>i</w:t>
      </w:r>
      <w:proofErr w:type="spellEnd"/>
      <w:r w:rsidRPr="00585C2D">
        <w:rPr>
          <w:rFonts w:eastAsia="Arial" w:cstheme="minorHAnsi"/>
        </w:rPr>
        <w:t>.</w:t>
      </w:r>
      <w:r w:rsidRPr="00585C2D">
        <w:rPr>
          <w:rFonts w:eastAsia="Arial" w:cstheme="minorHAnsi"/>
        </w:rPr>
        <w:tab/>
      </w:r>
      <w:r>
        <w:rPr>
          <w:rFonts w:eastAsia="Arial" w:cstheme="minorHAnsi"/>
          <w:spacing w:val="1"/>
        </w:rPr>
        <w:t>a</w:t>
      </w:r>
      <w:r w:rsidRPr="00585C2D">
        <w:rPr>
          <w:rFonts w:eastAsia="Arial" w:cstheme="minorHAnsi"/>
          <w:spacing w:val="2"/>
        </w:rPr>
        <w:t>pp</w:t>
      </w:r>
      <w:r w:rsidRPr="00585C2D">
        <w:rPr>
          <w:rFonts w:eastAsia="Arial" w:cstheme="minorHAnsi"/>
          <w:spacing w:val="-1"/>
        </w:rPr>
        <w:t>li</w:t>
      </w:r>
      <w:r w:rsidRPr="00585C2D">
        <w:rPr>
          <w:rFonts w:eastAsia="Arial" w:cstheme="minorHAnsi"/>
          <w:spacing w:val="-5"/>
        </w:rPr>
        <w:t>c</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2"/>
        </w:rPr>
        <w:t>d</w:t>
      </w:r>
      <w:r w:rsidRPr="00585C2D">
        <w:rPr>
          <w:rFonts w:eastAsia="Arial" w:cstheme="minorHAnsi"/>
          <w:spacing w:val="-3"/>
        </w:rPr>
        <w:t>o</w:t>
      </w:r>
      <w:r w:rsidRPr="00585C2D">
        <w:rPr>
          <w:rFonts w:eastAsia="Arial" w:cstheme="minorHAnsi"/>
          <w:spacing w:val="2"/>
        </w:rPr>
        <w:t>e</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3"/>
        </w:rPr>
        <w:t>n</w:t>
      </w:r>
      <w:r w:rsidRPr="00585C2D">
        <w:rPr>
          <w:rFonts w:eastAsia="Arial" w:cstheme="minorHAnsi"/>
          <w:spacing w:val="2"/>
        </w:rPr>
        <w:t>o</w:t>
      </w:r>
      <w:r w:rsidRPr="00585C2D">
        <w:rPr>
          <w:rFonts w:eastAsia="Arial" w:cstheme="minorHAnsi"/>
        </w:rPr>
        <w:t>t</w:t>
      </w:r>
      <w:r w:rsidRPr="00585C2D">
        <w:rPr>
          <w:rFonts w:eastAsia="Arial" w:cstheme="minorHAnsi"/>
          <w:spacing w:val="-3"/>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2"/>
        </w:rPr>
        <w:t>m</w:t>
      </w:r>
      <w:r w:rsidRPr="00585C2D">
        <w:rPr>
          <w:rFonts w:eastAsia="Arial" w:cstheme="minorHAnsi"/>
          <w:spacing w:val="2"/>
        </w:rPr>
        <w:t>p</w:t>
      </w:r>
      <w:r w:rsidRPr="00585C2D">
        <w:rPr>
          <w:rFonts w:eastAsia="Arial" w:cstheme="minorHAnsi"/>
          <w:spacing w:val="-1"/>
        </w:rPr>
        <w:t>l</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1"/>
        </w:rPr>
        <w:t>wi</w:t>
      </w:r>
      <w:r w:rsidRPr="00585C2D">
        <w:rPr>
          <w:rFonts w:eastAsia="Arial" w:cstheme="minorHAnsi"/>
          <w:spacing w:val="1"/>
        </w:rPr>
        <w:t>t</w:t>
      </w:r>
      <w:r w:rsidRPr="00585C2D">
        <w:rPr>
          <w:rFonts w:eastAsia="Arial" w:cstheme="minorHAnsi"/>
        </w:rPr>
        <w:t>h</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s</w:t>
      </w:r>
      <w:r w:rsidRPr="00585C2D">
        <w:rPr>
          <w:rFonts w:eastAsia="Arial" w:cstheme="minorHAnsi"/>
          <w:spacing w:val="-4"/>
        </w:rPr>
        <w:t xml:space="preserve"> </w:t>
      </w:r>
      <w:proofErr w:type="gramStart"/>
      <w:r w:rsidRPr="00585C2D">
        <w:rPr>
          <w:rFonts w:eastAsia="Arial" w:cstheme="minorHAnsi"/>
          <w:spacing w:val="2"/>
        </w:rPr>
        <w:t>po</w:t>
      </w:r>
      <w:r w:rsidRPr="00585C2D">
        <w:rPr>
          <w:rFonts w:eastAsia="Arial" w:cstheme="minorHAnsi"/>
          <w:spacing w:val="-1"/>
        </w:rPr>
        <w:t>li</w:t>
      </w:r>
      <w:r w:rsidRPr="00585C2D">
        <w:rPr>
          <w:rFonts w:eastAsia="Arial" w:cstheme="minorHAnsi"/>
        </w:rPr>
        <w:t>cy;</w:t>
      </w:r>
      <w:proofErr w:type="gramEnd"/>
    </w:p>
    <w:p w14:paraId="5A037444" w14:textId="77777777" w:rsidR="00FC0CF1" w:rsidRPr="00585C2D" w:rsidRDefault="00FC0CF1" w:rsidP="00FC0CF1">
      <w:pPr>
        <w:tabs>
          <w:tab w:val="left" w:pos="2540"/>
        </w:tabs>
        <w:spacing w:before="1" w:after="60" w:line="241" w:lineRule="auto"/>
        <w:ind w:left="1417" w:right="96" w:hanging="425"/>
        <w:rPr>
          <w:rFonts w:eastAsia="Arial" w:cstheme="minorHAnsi"/>
        </w:rPr>
      </w:pPr>
      <w:r w:rsidRPr="00585C2D">
        <w:rPr>
          <w:rFonts w:eastAsia="Arial" w:cstheme="minorHAnsi"/>
          <w:spacing w:val="-1"/>
        </w:rPr>
        <w:t>ii</w:t>
      </w:r>
      <w:r w:rsidRPr="00585C2D">
        <w:rPr>
          <w:rFonts w:eastAsia="Arial" w:cstheme="minorHAnsi"/>
        </w:rPr>
        <w:t>.</w:t>
      </w:r>
      <w:r w:rsidRPr="00585C2D">
        <w:rPr>
          <w:rFonts w:eastAsia="Arial" w:cstheme="minorHAnsi"/>
        </w:rPr>
        <w:tab/>
      </w:r>
      <w:r>
        <w:rPr>
          <w:rFonts w:eastAsia="Arial" w:cstheme="minorHAnsi"/>
          <w:spacing w:val="1"/>
        </w:rPr>
        <w:t>e</w:t>
      </w:r>
      <w:r w:rsidRPr="00585C2D">
        <w:rPr>
          <w:rFonts w:eastAsia="Arial" w:cstheme="minorHAnsi"/>
        </w:rPr>
        <w:t>s</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m</w:t>
      </w:r>
      <w:r w:rsidRPr="00585C2D">
        <w:rPr>
          <w:rFonts w:eastAsia="Arial" w:cstheme="minorHAnsi"/>
          <w:spacing w:val="2"/>
        </w:rPr>
        <w:t>a</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14"/>
        </w:rPr>
        <w:t xml:space="preserve"> </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en</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2"/>
        </w:rPr>
        <w:t>e</w:t>
      </w:r>
      <w:r w:rsidRPr="00585C2D">
        <w:rPr>
          <w:rFonts w:eastAsia="Arial" w:cstheme="minorHAnsi"/>
          <w:spacing w:val="-5"/>
        </w:rPr>
        <w:t>x</w:t>
      </w:r>
      <w:r w:rsidRPr="00585C2D">
        <w:rPr>
          <w:rFonts w:eastAsia="Arial" w:cstheme="minorHAnsi"/>
          <w:spacing w:val="2"/>
        </w:rPr>
        <w:t>p</w:t>
      </w:r>
      <w:r w:rsidRPr="00585C2D">
        <w:rPr>
          <w:rFonts w:eastAsia="Arial" w:cstheme="minorHAnsi"/>
          <w:spacing w:val="-3"/>
        </w:rPr>
        <w:t>e</w:t>
      </w:r>
      <w:r w:rsidRPr="00585C2D">
        <w:rPr>
          <w:rFonts w:eastAsia="Arial" w:cstheme="minorHAnsi"/>
          <w:spacing w:val="2"/>
        </w:rPr>
        <w:t>n</w:t>
      </w:r>
      <w:r w:rsidRPr="00585C2D">
        <w:rPr>
          <w:rFonts w:eastAsia="Arial" w:cstheme="minorHAnsi"/>
        </w:rPr>
        <w:t>s</w:t>
      </w:r>
      <w:r w:rsidRPr="00585C2D">
        <w:rPr>
          <w:rFonts w:eastAsia="Arial" w:cstheme="minorHAnsi"/>
          <w:spacing w:val="2"/>
        </w:rPr>
        <w:t>e</w:t>
      </w:r>
      <w:r w:rsidRPr="00585C2D">
        <w:rPr>
          <w:rFonts w:eastAsia="Arial" w:cstheme="minorHAnsi"/>
        </w:rPr>
        <w:t>s</w:t>
      </w:r>
      <w:r w:rsidRPr="00585C2D">
        <w:rPr>
          <w:rFonts w:eastAsia="Arial" w:cstheme="minorHAnsi"/>
          <w:spacing w:val="11"/>
        </w:rPr>
        <w:t xml:space="preserve"> </w:t>
      </w:r>
      <w:r w:rsidRPr="00585C2D">
        <w:rPr>
          <w:rFonts w:eastAsia="Arial" w:cstheme="minorHAnsi"/>
          <w:spacing w:val="2"/>
        </w:rPr>
        <w:t>e</w:t>
      </w:r>
      <w:r w:rsidRPr="00585C2D">
        <w:rPr>
          <w:rFonts w:eastAsia="Arial" w:cstheme="minorHAnsi"/>
        </w:rPr>
        <w:t>x</w:t>
      </w:r>
      <w:r w:rsidRPr="00585C2D">
        <w:rPr>
          <w:rFonts w:eastAsia="Arial" w:cstheme="minorHAnsi"/>
          <w:spacing w:val="-5"/>
        </w:rPr>
        <w:t>c</w:t>
      </w:r>
      <w:r w:rsidRPr="00585C2D">
        <w:rPr>
          <w:rFonts w:eastAsia="Arial" w:cstheme="minorHAnsi"/>
          <w:spacing w:val="2"/>
        </w:rPr>
        <w:t>e</w:t>
      </w:r>
      <w:r w:rsidRPr="00585C2D">
        <w:rPr>
          <w:rFonts w:eastAsia="Arial" w:cstheme="minorHAnsi"/>
          <w:spacing w:val="-3"/>
        </w:rPr>
        <w:t>e</w:t>
      </w:r>
      <w:r w:rsidRPr="00585C2D">
        <w:rPr>
          <w:rFonts w:eastAsia="Arial" w:cstheme="minorHAnsi"/>
        </w:rPr>
        <w:t>d</w:t>
      </w:r>
      <w:r w:rsidRPr="00585C2D">
        <w:rPr>
          <w:rFonts w:eastAsia="Arial" w:cstheme="minorHAnsi"/>
          <w:spacing w:val="1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3"/>
        </w:rPr>
        <w:t xml:space="preserve"> </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a</w:t>
      </w:r>
      <w:r w:rsidRPr="00585C2D">
        <w:rPr>
          <w:rFonts w:eastAsia="Arial" w:cstheme="minorHAnsi"/>
          <w:spacing w:val="-1"/>
        </w:rPr>
        <w:t>il</w:t>
      </w:r>
      <w:r w:rsidRPr="00585C2D">
        <w:rPr>
          <w:rFonts w:eastAsia="Arial" w:cstheme="minorHAnsi"/>
          <w:spacing w:val="2"/>
        </w:rPr>
        <w:t>ab</w:t>
      </w:r>
      <w:r w:rsidRPr="00585C2D">
        <w:rPr>
          <w:rFonts w:eastAsia="Arial" w:cstheme="minorHAnsi"/>
          <w:spacing w:val="-6"/>
        </w:rPr>
        <w:t>l</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2"/>
        </w:rPr>
        <w:t>ba</w:t>
      </w:r>
      <w:r w:rsidRPr="00585C2D">
        <w:rPr>
          <w:rFonts w:eastAsia="Arial" w:cstheme="minorHAnsi"/>
          <w:spacing w:val="-1"/>
        </w:rPr>
        <w:t>l</w:t>
      </w:r>
      <w:r w:rsidRPr="00585C2D">
        <w:rPr>
          <w:rFonts w:eastAsia="Arial" w:cstheme="minorHAnsi"/>
          <w:spacing w:val="-3"/>
        </w:rPr>
        <w:t>a</w:t>
      </w:r>
      <w:r w:rsidRPr="00585C2D">
        <w:rPr>
          <w:rFonts w:eastAsia="Arial" w:cstheme="minorHAnsi"/>
          <w:spacing w:val="2"/>
        </w:rPr>
        <w:t>n</w:t>
      </w:r>
      <w:r w:rsidRPr="00585C2D">
        <w:rPr>
          <w:rFonts w:eastAsia="Arial" w:cstheme="minorHAnsi"/>
        </w:rPr>
        <w:t>ce</w:t>
      </w:r>
      <w:r w:rsidRPr="00585C2D">
        <w:rPr>
          <w:rFonts w:eastAsia="Arial" w:cstheme="minorHAnsi"/>
          <w:spacing w:val="13"/>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16"/>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3"/>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14"/>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spacing w:val="-1"/>
        </w:rPr>
        <w:t>’</w:t>
      </w:r>
      <w:r w:rsidRPr="00585C2D">
        <w:rPr>
          <w:rFonts w:eastAsia="Arial" w:cstheme="minorHAnsi"/>
        </w:rPr>
        <w:t>s</w:t>
      </w:r>
      <w:r w:rsidRPr="00585C2D">
        <w:rPr>
          <w:rFonts w:eastAsia="Arial" w:cstheme="minorHAnsi"/>
          <w:spacing w:val="17"/>
        </w:rPr>
        <w:t xml:space="preserve"> </w:t>
      </w:r>
      <w:r w:rsidRPr="00585C2D">
        <w:rPr>
          <w:rFonts w:eastAsia="Arial" w:cstheme="minorHAnsi"/>
          <w:spacing w:val="2"/>
        </w:rPr>
        <w:t>e</w:t>
      </w:r>
      <w:r w:rsidRPr="00585C2D">
        <w:rPr>
          <w:rFonts w:eastAsia="Arial" w:cstheme="minorHAnsi"/>
        </w:rPr>
        <w:t>x</w:t>
      </w:r>
      <w:r w:rsidRPr="00585C2D">
        <w:rPr>
          <w:rFonts w:eastAsia="Arial" w:cstheme="minorHAnsi"/>
          <w:spacing w:val="-3"/>
        </w:rPr>
        <w:t>p</w:t>
      </w:r>
      <w:r w:rsidRPr="00585C2D">
        <w:rPr>
          <w:rFonts w:eastAsia="Arial" w:cstheme="minorHAnsi"/>
          <w:spacing w:val="2"/>
        </w:rPr>
        <w:t>en</w:t>
      </w:r>
      <w:r w:rsidRPr="00585C2D">
        <w:rPr>
          <w:rFonts w:eastAsia="Arial" w:cstheme="minorHAnsi"/>
          <w:spacing w:val="-5"/>
        </w:rPr>
        <w:t>s</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w:t>
      </w:r>
      <w:r w:rsidRPr="00585C2D">
        <w:rPr>
          <w:rFonts w:eastAsia="Arial" w:cstheme="minorHAnsi"/>
        </w:rPr>
        <w:t>;</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rPr>
        <w:t>r</w:t>
      </w:r>
    </w:p>
    <w:p w14:paraId="51904997" w14:textId="77777777" w:rsidR="00FC0CF1" w:rsidRPr="00585C2D" w:rsidRDefault="00FC0CF1" w:rsidP="00FC0CF1">
      <w:pPr>
        <w:spacing w:after="120" w:line="240" w:lineRule="auto"/>
        <w:ind w:left="851" w:right="-46" w:hanging="425"/>
        <w:jc w:val="both"/>
        <w:rPr>
          <w:rFonts w:eastAsia="Arial" w:cstheme="minorHAnsi"/>
        </w:rPr>
      </w:pPr>
      <w:r>
        <w:rPr>
          <w:rFonts w:eastAsia="Arial" w:cstheme="minorHAnsi"/>
        </w:rPr>
        <w:t>c.</w:t>
      </w:r>
      <w:r>
        <w:rPr>
          <w:rFonts w:eastAsia="Arial" w:cstheme="minorHAnsi"/>
        </w:rPr>
        <w:tab/>
      </w:r>
      <w:r w:rsidRPr="00585C2D">
        <w:rPr>
          <w:rFonts w:eastAsia="Arial" w:cstheme="minorHAnsi"/>
          <w:spacing w:val="1"/>
        </w:rPr>
        <w:t>G</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ll</w:t>
      </w:r>
      <w:r w:rsidRPr="00585C2D">
        <w:rPr>
          <w:rFonts w:eastAsia="Arial" w:cstheme="minorHAnsi"/>
        </w:rPr>
        <w:t>y,</w:t>
      </w:r>
      <w:r w:rsidRPr="00585C2D">
        <w:rPr>
          <w:rFonts w:eastAsia="Arial" w:cstheme="minorHAnsi"/>
          <w:spacing w:val="32"/>
        </w:rPr>
        <w:t xml:space="preserve"> </w:t>
      </w:r>
      <w:r w:rsidRPr="00585C2D">
        <w:rPr>
          <w:rFonts w:eastAsia="Arial" w:cstheme="minorHAnsi"/>
          <w:spacing w:val="1"/>
        </w:rPr>
        <w:t>t</w:t>
      </w:r>
      <w:r w:rsidRPr="00585C2D">
        <w:rPr>
          <w:rFonts w:eastAsia="Arial" w:cstheme="minorHAnsi"/>
          <w:spacing w:val="-1"/>
        </w:rPr>
        <w:t>w</w:t>
      </w:r>
      <w:r w:rsidRPr="00585C2D">
        <w:rPr>
          <w:rFonts w:eastAsia="Arial" w:cstheme="minorHAnsi"/>
        </w:rPr>
        <w:t>o</w:t>
      </w:r>
      <w:r w:rsidRPr="00585C2D">
        <w:rPr>
          <w:rFonts w:eastAsia="Arial" w:cstheme="minorHAnsi"/>
          <w:spacing w:val="31"/>
        </w:rPr>
        <w:t xml:space="preserve"> </w:t>
      </w:r>
      <w:r w:rsidRPr="00585C2D">
        <w:rPr>
          <w:rFonts w:eastAsia="Arial" w:cstheme="minorHAnsi"/>
          <w:spacing w:val="-3"/>
        </w:rPr>
        <w:t>b</w:t>
      </w:r>
      <w:r w:rsidRPr="00585C2D">
        <w:rPr>
          <w:rFonts w:eastAsia="Arial" w:cstheme="minorHAnsi"/>
          <w:spacing w:val="2"/>
        </w:rPr>
        <w:t>u</w:t>
      </w:r>
      <w:r w:rsidRPr="00585C2D">
        <w:rPr>
          <w:rFonts w:eastAsia="Arial" w:cstheme="minorHAnsi"/>
        </w:rPr>
        <w:t>t</w:t>
      </w:r>
      <w:r w:rsidRPr="00585C2D">
        <w:rPr>
          <w:rFonts w:eastAsia="Arial" w:cstheme="minorHAnsi"/>
          <w:spacing w:val="32"/>
        </w:rPr>
        <w:t xml:space="preserve"> </w:t>
      </w:r>
      <w:r w:rsidRPr="00585C2D">
        <w:rPr>
          <w:rFonts w:eastAsia="Arial" w:cstheme="minorHAnsi"/>
          <w:spacing w:val="2"/>
        </w:rPr>
        <w:t>n</w:t>
      </w:r>
      <w:r w:rsidRPr="00585C2D">
        <w:rPr>
          <w:rFonts w:eastAsia="Arial" w:cstheme="minorHAnsi"/>
        </w:rPr>
        <w:t>o</w:t>
      </w:r>
      <w:r w:rsidRPr="00585C2D">
        <w:rPr>
          <w:rFonts w:eastAsia="Arial" w:cstheme="minorHAnsi"/>
          <w:spacing w:val="36"/>
        </w:rPr>
        <w:t xml:space="preserve"> </w:t>
      </w:r>
      <w:r w:rsidRPr="00585C2D">
        <w:rPr>
          <w:rFonts w:eastAsia="Arial" w:cstheme="minorHAnsi"/>
          <w:spacing w:val="-6"/>
        </w:rPr>
        <w:t>m</w:t>
      </w:r>
      <w:r w:rsidRPr="00585C2D">
        <w:rPr>
          <w:rFonts w:eastAsia="Arial" w:cstheme="minorHAnsi"/>
          <w:spacing w:val="2"/>
        </w:rPr>
        <w:t>o</w:t>
      </w:r>
      <w:r w:rsidRPr="00585C2D">
        <w:rPr>
          <w:rFonts w:eastAsia="Arial" w:cstheme="minorHAnsi"/>
          <w:spacing w:val="-2"/>
        </w:rPr>
        <w:t>r</w:t>
      </w:r>
      <w:r w:rsidRPr="00585C2D">
        <w:rPr>
          <w:rFonts w:eastAsia="Arial" w:cstheme="minorHAnsi"/>
        </w:rPr>
        <w:t>e</w:t>
      </w:r>
      <w:r w:rsidRPr="00585C2D">
        <w:rPr>
          <w:rFonts w:eastAsia="Arial" w:cstheme="minorHAnsi"/>
          <w:spacing w:val="31"/>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a</w:t>
      </w:r>
      <w:r w:rsidRPr="00585C2D">
        <w:rPr>
          <w:rFonts w:eastAsia="Arial" w:cstheme="minorHAnsi"/>
        </w:rPr>
        <w:t>n</w:t>
      </w:r>
      <w:r w:rsidRPr="00585C2D">
        <w:rPr>
          <w:rFonts w:eastAsia="Arial" w:cstheme="minorHAnsi"/>
          <w:spacing w:val="35"/>
        </w:rPr>
        <w:t xml:space="preserve"> </w:t>
      </w:r>
      <w:r w:rsidRPr="00585C2D">
        <w:rPr>
          <w:rFonts w:eastAsia="Arial" w:cstheme="minorHAnsi"/>
          <w:spacing w:val="1"/>
        </w:rPr>
        <w:t>t</w:t>
      </w:r>
      <w:r w:rsidRPr="00585C2D">
        <w:rPr>
          <w:rFonts w:eastAsia="Arial" w:cstheme="minorHAnsi"/>
          <w:spacing w:val="2"/>
        </w:rPr>
        <w:t>h</w:t>
      </w:r>
      <w:r w:rsidRPr="00585C2D">
        <w:rPr>
          <w:rFonts w:eastAsia="Arial" w:cstheme="minorHAnsi"/>
          <w:spacing w:val="-6"/>
        </w:rPr>
        <w:t>r</w:t>
      </w:r>
      <w:r w:rsidRPr="00585C2D">
        <w:rPr>
          <w:rFonts w:eastAsia="Arial" w:cstheme="minorHAnsi"/>
          <w:spacing w:val="2"/>
        </w:rPr>
        <w:t>e</w:t>
      </w:r>
      <w:r w:rsidRPr="00585C2D">
        <w:rPr>
          <w:rFonts w:eastAsia="Arial" w:cstheme="minorHAnsi"/>
        </w:rPr>
        <w:t>e</w:t>
      </w:r>
      <w:r w:rsidRPr="00585C2D">
        <w:rPr>
          <w:rFonts w:eastAsia="Arial" w:cstheme="minorHAnsi"/>
          <w:spacing w:val="33"/>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3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35"/>
        </w:rPr>
        <w:t xml:space="preserve"> </w:t>
      </w:r>
      <w:r w:rsidRPr="00585C2D">
        <w:rPr>
          <w:rFonts w:eastAsia="Arial" w:cstheme="minorHAnsi"/>
          <w:spacing w:val="-2"/>
        </w:rPr>
        <w:t>m</w:t>
      </w:r>
      <w:r w:rsidRPr="00585C2D">
        <w:rPr>
          <w:rFonts w:eastAsia="Arial" w:cstheme="minorHAnsi"/>
          <w:spacing w:val="2"/>
        </w:rPr>
        <w:t>a</w:t>
      </w:r>
      <w:r w:rsidRPr="00585C2D">
        <w:rPr>
          <w:rFonts w:eastAsia="Arial" w:cstheme="minorHAnsi"/>
        </w:rPr>
        <w:t>y</w:t>
      </w:r>
      <w:r w:rsidRPr="00585C2D">
        <w:rPr>
          <w:rFonts w:eastAsia="Arial" w:cstheme="minorHAnsi"/>
          <w:spacing w:val="30"/>
        </w:rPr>
        <w:t xml:space="preserve"> </w:t>
      </w:r>
      <w:r w:rsidRPr="00585C2D">
        <w:rPr>
          <w:rFonts w:eastAsia="Arial" w:cstheme="minorHAnsi"/>
          <w:spacing w:val="2"/>
        </w:rPr>
        <w:t>a</w:t>
      </w:r>
      <w:r w:rsidRPr="00585C2D">
        <w:rPr>
          <w:rFonts w:eastAsia="Arial" w:cstheme="minorHAnsi"/>
          <w:spacing w:val="1"/>
        </w:rPr>
        <w:t>t</w:t>
      </w:r>
      <w:r w:rsidRPr="00585C2D">
        <w:rPr>
          <w:rFonts w:eastAsia="Arial" w:cstheme="minorHAnsi"/>
          <w:spacing w:val="-4"/>
        </w:rPr>
        <w:t>t</w:t>
      </w:r>
      <w:r w:rsidRPr="00585C2D">
        <w:rPr>
          <w:rFonts w:eastAsia="Arial" w:cstheme="minorHAnsi"/>
          <w:spacing w:val="2"/>
        </w:rPr>
        <w:t>e</w:t>
      </w:r>
      <w:r w:rsidRPr="00585C2D">
        <w:rPr>
          <w:rFonts w:eastAsia="Arial" w:cstheme="minorHAnsi"/>
          <w:spacing w:val="-3"/>
        </w:rPr>
        <w:t>n</w:t>
      </w:r>
      <w:r w:rsidRPr="00585C2D">
        <w:rPr>
          <w:rFonts w:eastAsia="Arial" w:cstheme="minorHAnsi"/>
        </w:rPr>
        <w:t>d</w:t>
      </w:r>
      <w:r w:rsidRPr="00585C2D">
        <w:rPr>
          <w:rFonts w:eastAsia="Arial" w:cstheme="minorHAnsi"/>
          <w:spacing w:val="31"/>
        </w:rPr>
        <w:t xml:space="preserve"> </w:t>
      </w:r>
      <w:r w:rsidRPr="00585C2D">
        <w:rPr>
          <w:rFonts w:eastAsia="Arial" w:cstheme="minorHAnsi"/>
        </w:rPr>
        <w:t>a</w:t>
      </w:r>
      <w:r w:rsidRPr="00585C2D">
        <w:rPr>
          <w:rFonts w:eastAsia="Arial" w:cstheme="minorHAnsi"/>
          <w:spacing w:val="36"/>
        </w:rPr>
        <w:t xml:space="preserve"> </w:t>
      </w:r>
      <w:r w:rsidRPr="00585C2D">
        <w:rPr>
          <w:rFonts w:eastAsia="Arial" w:cstheme="minorHAnsi"/>
          <w:spacing w:val="-3"/>
        </w:rPr>
        <w:t>p</w:t>
      </w:r>
      <w:r w:rsidRPr="00585C2D">
        <w:rPr>
          <w:rFonts w:eastAsia="Arial" w:cstheme="minorHAnsi"/>
          <w:spacing w:val="2"/>
        </w:rPr>
        <w:t>a</w:t>
      </w:r>
      <w:r w:rsidRPr="00585C2D">
        <w:rPr>
          <w:rFonts w:eastAsia="Arial" w:cstheme="minorHAnsi"/>
          <w:spacing w:val="-2"/>
        </w:rPr>
        <w:t>r</w:t>
      </w:r>
      <w:r w:rsidRPr="00585C2D">
        <w:rPr>
          <w:rFonts w:eastAsia="Arial" w:cstheme="minorHAnsi"/>
          <w:spacing w:val="1"/>
        </w:rPr>
        <w:t>t</w:t>
      </w:r>
      <w:r w:rsidRPr="00585C2D">
        <w:rPr>
          <w:rFonts w:eastAsia="Arial" w:cstheme="minorHAnsi"/>
          <w:spacing w:val="-1"/>
        </w:rPr>
        <w:t>i</w:t>
      </w:r>
      <w:r w:rsidRPr="00585C2D">
        <w:rPr>
          <w:rFonts w:eastAsia="Arial" w:cstheme="minorHAnsi"/>
        </w:rPr>
        <w:t>c</w:t>
      </w:r>
      <w:r w:rsidRPr="00585C2D">
        <w:rPr>
          <w:rFonts w:eastAsia="Arial" w:cstheme="minorHAnsi"/>
          <w:spacing w:val="2"/>
        </w:rPr>
        <w:t>u</w:t>
      </w:r>
      <w:r w:rsidRPr="00585C2D">
        <w:rPr>
          <w:rFonts w:eastAsia="Arial" w:cstheme="minorHAnsi"/>
          <w:spacing w:val="-6"/>
        </w:rPr>
        <w:t>l</w:t>
      </w:r>
      <w:r w:rsidRPr="00585C2D">
        <w:rPr>
          <w:rFonts w:eastAsia="Arial" w:cstheme="minorHAnsi"/>
          <w:spacing w:val="2"/>
        </w:rPr>
        <w:t>a</w:t>
      </w:r>
      <w:r w:rsidRPr="00585C2D">
        <w:rPr>
          <w:rFonts w:eastAsia="Arial" w:cstheme="minorHAnsi"/>
        </w:rPr>
        <w:t>r</w:t>
      </w:r>
      <w:r w:rsidRPr="00585C2D">
        <w:rPr>
          <w:rFonts w:eastAsia="Arial" w:cstheme="minorHAnsi"/>
          <w:spacing w:val="33"/>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32"/>
        </w:rPr>
        <w:t xml:space="preserve">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op</w:t>
      </w:r>
      <w:r w:rsidRPr="00585C2D">
        <w:rPr>
          <w:rFonts w:eastAsia="Arial" w:cstheme="minorHAnsi"/>
          <w:spacing w:val="-6"/>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5"/>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rPr>
        <w:t>y</w:t>
      </w:r>
      <w:r w:rsidRPr="00585C2D">
        <w:rPr>
          <w:rFonts w:eastAsia="Arial" w:cstheme="minorHAnsi"/>
          <w:spacing w:val="7"/>
        </w:rPr>
        <w:t xml:space="preserve"> </w:t>
      </w:r>
      <w:r w:rsidRPr="00585C2D">
        <w:rPr>
          <w:rFonts w:eastAsia="Arial" w:cstheme="minorHAnsi"/>
          <w:spacing w:val="-3"/>
        </w:rPr>
        <w:t>o</w:t>
      </w:r>
      <w:r w:rsidRPr="00585C2D">
        <w:rPr>
          <w:rFonts w:eastAsia="Arial" w:cstheme="minorHAnsi"/>
          <w:spacing w:val="2"/>
        </w:rPr>
        <w:t>u</w:t>
      </w:r>
      <w:r w:rsidRPr="00585C2D">
        <w:rPr>
          <w:rFonts w:eastAsia="Arial" w:cstheme="minorHAnsi"/>
          <w:spacing w:val="1"/>
        </w:rPr>
        <w:t>t</w:t>
      </w:r>
      <w:r w:rsidRPr="00585C2D">
        <w:rPr>
          <w:rFonts w:eastAsia="Arial" w:cstheme="minorHAnsi"/>
        </w:rPr>
        <w:t>s</w:t>
      </w:r>
      <w:r w:rsidRPr="00585C2D">
        <w:rPr>
          <w:rFonts w:eastAsia="Arial" w:cstheme="minorHAnsi"/>
          <w:spacing w:val="-1"/>
        </w:rPr>
        <w:t>i</w:t>
      </w:r>
      <w:r w:rsidRPr="00585C2D">
        <w:rPr>
          <w:rFonts w:eastAsia="Arial" w:cstheme="minorHAnsi"/>
          <w:spacing w:val="-3"/>
        </w:rPr>
        <w:t>d</w:t>
      </w:r>
      <w:r w:rsidRPr="00585C2D">
        <w:rPr>
          <w:rFonts w:eastAsia="Arial" w:cstheme="minorHAnsi"/>
        </w:rPr>
        <w:t xml:space="preserve">e </w:t>
      </w:r>
      <w:r w:rsidRPr="00585C2D">
        <w:rPr>
          <w:rFonts w:eastAsia="Arial" w:cstheme="minorHAnsi"/>
          <w:spacing w:val="7"/>
        </w:rPr>
        <w:t>W</w:t>
      </w:r>
      <w:r w:rsidRPr="00585C2D">
        <w:rPr>
          <w:rFonts w:eastAsia="Arial" w:cstheme="minorHAnsi"/>
          <w:spacing w:val="-3"/>
        </w:rPr>
        <w:t>e</w:t>
      </w:r>
      <w:r w:rsidRPr="00585C2D">
        <w:rPr>
          <w:rFonts w:eastAsia="Arial" w:cstheme="minorHAnsi"/>
        </w:rPr>
        <w:t>s</w:t>
      </w:r>
      <w:r w:rsidRPr="00585C2D">
        <w:rPr>
          <w:rFonts w:eastAsia="Arial" w:cstheme="minorHAnsi"/>
          <w:spacing w:val="1"/>
        </w:rPr>
        <w:t>t</w:t>
      </w:r>
      <w:r w:rsidRPr="00585C2D">
        <w:rPr>
          <w:rFonts w:eastAsia="Arial" w:cstheme="minorHAnsi"/>
          <w:spacing w:val="2"/>
        </w:rPr>
        <w:t>e</w:t>
      </w:r>
      <w:r w:rsidRPr="00585C2D">
        <w:rPr>
          <w:rFonts w:eastAsia="Arial" w:cstheme="minorHAnsi"/>
          <w:spacing w:val="-6"/>
        </w:rPr>
        <w:t>r</w:t>
      </w:r>
      <w:r w:rsidRPr="00585C2D">
        <w:rPr>
          <w:rFonts w:eastAsia="Arial" w:cstheme="minorHAnsi"/>
        </w:rPr>
        <w:t>n</w:t>
      </w:r>
      <w:r w:rsidRPr="00585C2D">
        <w:rPr>
          <w:rFonts w:eastAsia="Arial" w:cstheme="minorHAnsi"/>
          <w:spacing w:val="10"/>
        </w:rPr>
        <w:t xml:space="preserve"> </w:t>
      </w:r>
      <w:r w:rsidRPr="00585C2D">
        <w:rPr>
          <w:rFonts w:eastAsia="Arial" w:cstheme="minorHAnsi"/>
          <w:spacing w:val="-3"/>
        </w:rPr>
        <w:t>A</w:t>
      </w:r>
      <w:r w:rsidRPr="00585C2D">
        <w:rPr>
          <w:rFonts w:eastAsia="Arial" w:cstheme="minorHAnsi"/>
          <w:spacing w:val="2"/>
        </w:rPr>
        <w:t>u</w:t>
      </w:r>
      <w:r w:rsidRPr="00585C2D">
        <w:rPr>
          <w:rFonts w:eastAsia="Arial" w:cstheme="minorHAnsi"/>
        </w:rPr>
        <w:t>s</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spacing w:val="-1"/>
        </w:rPr>
        <w:t>li</w:t>
      </w:r>
      <w:r w:rsidRPr="00585C2D">
        <w:rPr>
          <w:rFonts w:eastAsia="Arial" w:cstheme="minorHAnsi"/>
        </w:rPr>
        <w:t>a</w:t>
      </w:r>
      <w:r w:rsidRPr="00585C2D">
        <w:rPr>
          <w:rFonts w:eastAsia="Arial" w:cstheme="minorHAnsi"/>
          <w:spacing w:val="5"/>
        </w:rPr>
        <w:t xml:space="preserve"> </w:t>
      </w:r>
      <w:r w:rsidRPr="00585C2D">
        <w:rPr>
          <w:rFonts w:eastAsia="Arial" w:cstheme="minorHAnsi"/>
          <w:spacing w:val="2"/>
        </w:rPr>
        <w:t>a</w:t>
      </w:r>
      <w:r w:rsidRPr="00585C2D">
        <w:rPr>
          <w:rFonts w:eastAsia="Arial" w:cstheme="minorHAnsi"/>
        </w:rPr>
        <w:t>t</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10"/>
        </w:rPr>
        <w:t xml:space="preserve"> </w:t>
      </w:r>
      <w:r w:rsidRPr="00585C2D">
        <w:rPr>
          <w:rFonts w:eastAsia="Arial" w:cstheme="minorHAnsi"/>
          <w:spacing w:val="-5"/>
        </w:rPr>
        <w:t>s</w:t>
      </w:r>
      <w:r w:rsidRPr="00585C2D">
        <w:rPr>
          <w:rFonts w:eastAsia="Arial" w:cstheme="minorHAnsi"/>
          <w:spacing w:val="2"/>
        </w:rPr>
        <w:t>a</w:t>
      </w:r>
      <w:r w:rsidRPr="00585C2D">
        <w:rPr>
          <w:rFonts w:eastAsia="Arial" w:cstheme="minorHAnsi"/>
          <w:spacing w:val="-2"/>
        </w:rPr>
        <w:t>m</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m</w:t>
      </w:r>
      <w:r w:rsidRPr="00585C2D">
        <w:rPr>
          <w:rFonts w:eastAsia="Arial" w:cstheme="minorHAnsi"/>
          <w:spacing w:val="2"/>
        </w:rPr>
        <w:t>e</w:t>
      </w:r>
      <w:r w:rsidRPr="00585C2D">
        <w:rPr>
          <w:rFonts w:eastAsia="Arial" w:cstheme="minorHAnsi"/>
        </w:rPr>
        <w:t>,</w:t>
      </w:r>
      <w:r w:rsidRPr="00585C2D">
        <w:rPr>
          <w:rFonts w:eastAsia="Arial" w:cstheme="minorHAnsi"/>
          <w:spacing w:val="5"/>
        </w:rPr>
        <w:t xml:space="preserve"> </w:t>
      </w:r>
      <w:r w:rsidRPr="00585C2D">
        <w:rPr>
          <w:rFonts w:eastAsia="Arial" w:cstheme="minorHAnsi"/>
          <w:spacing w:val="-3"/>
        </w:rPr>
        <w:t>u</w:t>
      </w:r>
      <w:r w:rsidRPr="00585C2D">
        <w:rPr>
          <w:rFonts w:eastAsia="Arial" w:cstheme="minorHAnsi"/>
          <w:spacing w:val="2"/>
        </w:rPr>
        <w:t>n</w:t>
      </w:r>
      <w:r w:rsidRPr="00585C2D">
        <w:rPr>
          <w:rFonts w:eastAsia="Arial" w:cstheme="minorHAnsi"/>
          <w:spacing w:val="-1"/>
        </w:rPr>
        <w:t>l</w:t>
      </w:r>
      <w:r w:rsidRPr="00585C2D">
        <w:rPr>
          <w:rFonts w:eastAsia="Arial" w:cstheme="minorHAnsi"/>
          <w:spacing w:val="2"/>
        </w:rPr>
        <w:t>e</w:t>
      </w:r>
      <w:r w:rsidRPr="00585C2D">
        <w:rPr>
          <w:rFonts w:eastAsia="Arial" w:cstheme="minorHAnsi"/>
        </w:rPr>
        <w:t>ss</w:t>
      </w:r>
      <w:r w:rsidRPr="00585C2D">
        <w:rPr>
          <w:rFonts w:eastAsia="Arial" w:cstheme="minorHAnsi"/>
          <w:spacing w:val="4"/>
        </w:rPr>
        <w:t xml:space="preserve"> </w:t>
      </w:r>
      <w:r w:rsidRPr="00585C2D">
        <w:rPr>
          <w:rFonts w:eastAsia="Arial" w:cstheme="minorHAnsi"/>
          <w:spacing w:val="-1"/>
        </w:rPr>
        <w:t>C</w:t>
      </w:r>
      <w:r w:rsidRPr="00585C2D">
        <w:rPr>
          <w:rFonts w:eastAsia="Arial" w:cstheme="minorHAnsi"/>
          <w:spacing w:val="-3"/>
        </w:rPr>
        <w:t>o</w:t>
      </w:r>
      <w:r w:rsidRPr="00585C2D">
        <w:rPr>
          <w:rFonts w:eastAsia="Arial" w:cstheme="minorHAnsi"/>
          <w:spacing w:val="2"/>
        </w:rPr>
        <w:t>un</w:t>
      </w:r>
      <w:r w:rsidRPr="00585C2D">
        <w:rPr>
          <w:rFonts w:eastAsia="Arial" w:cstheme="minorHAnsi"/>
        </w:rPr>
        <w:t>c</w:t>
      </w:r>
      <w:r w:rsidRPr="00585C2D">
        <w:rPr>
          <w:rFonts w:eastAsia="Arial" w:cstheme="minorHAnsi"/>
          <w:spacing w:val="-1"/>
        </w:rPr>
        <w:t>i</w:t>
      </w:r>
      <w:r w:rsidRPr="00585C2D">
        <w:rPr>
          <w:rFonts w:eastAsia="Arial" w:cstheme="minorHAnsi"/>
        </w:rPr>
        <w:t>l</w:t>
      </w:r>
      <w:r w:rsidRPr="00585C2D">
        <w:rPr>
          <w:rFonts w:eastAsia="Arial" w:cstheme="minorHAnsi"/>
          <w:spacing w:val="2"/>
        </w:rPr>
        <w:t xml:space="preserve"> h</w:t>
      </w:r>
      <w:r w:rsidRPr="00585C2D">
        <w:rPr>
          <w:rFonts w:eastAsia="Arial" w:cstheme="minorHAnsi"/>
          <w:spacing w:val="-3"/>
        </w:rPr>
        <w:t>a</w:t>
      </w:r>
      <w:r w:rsidRPr="00585C2D">
        <w:rPr>
          <w:rFonts w:eastAsia="Arial" w:cstheme="minorHAnsi"/>
        </w:rPr>
        <w:t>s</w:t>
      </w:r>
      <w:r w:rsidRPr="00585C2D">
        <w:rPr>
          <w:rFonts w:eastAsia="Arial" w:cstheme="minorHAnsi"/>
          <w:spacing w:val="14"/>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5"/>
        </w:rPr>
        <w:t>s</w:t>
      </w:r>
      <w:r w:rsidRPr="00585C2D">
        <w:rPr>
          <w:rFonts w:eastAsia="Arial" w:cstheme="minorHAnsi"/>
          <w:spacing w:val="2"/>
        </w:rPr>
        <w:t>o</w:t>
      </w:r>
      <w:r w:rsidRPr="00585C2D">
        <w:rPr>
          <w:rFonts w:eastAsia="Arial" w:cstheme="minorHAnsi"/>
          <w:spacing w:val="-1"/>
        </w:rPr>
        <w:t>l</w:t>
      </w:r>
      <w:r w:rsidRPr="00585C2D">
        <w:rPr>
          <w:rFonts w:eastAsia="Arial" w:cstheme="minorHAnsi"/>
        </w:rPr>
        <w:t>v</w:t>
      </w:r>
      <w:r w:rsidRPr="00585C2D">
        <w:rPr>
          <w:rFonts w:eastAsia="Arial" w:cstheme="minorHAnsi"/>
          <w:spacing w:val="-3"/>
        </w:rPr>
        <w:t>e</w:t>
      </w:r>
      <w:r w:rsidRPr="00585C2D">
        <w:rPr>
          <w:rFonts w:eastAsia="Arial" w:cstheme="minorHAnsi"/>
        </w:rPr>
        <w:t xml:space="preserve">d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2"/>
        </w:rPr>
        <w:t xml:space="preserve"> a</w:t>
      </w:r>
      <w:r w:rsidRPr="00585C2D">
        <w:rPr>
          <w:rFonts w:eastAsia="Arial" w:cstheme="minorHAnsi"/>
          <w:spacing w:val="-3"/>
        </w:rPr>
        <w:t>d</w:t>
      </w:r>
      <w:r w:rsidRPr="00585C2D">
        <w:rPr>
          <w:rFonts w:eastAsia="Arial" w:cstheme="minorHAnsi"/>
          <w:spacing w:val="2"/>
        </w:rPr>
        <w:t>d</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5"/>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rPr>
        <w:t xml:space="preserve">o </w:t>
      </w:r>
      <w:r w:rsidRPr="00585C2D">
        <w:rPr>
          <w:rFonts w:eastAsia="Arial" w:cstheme="minorHAnsi"/>
          <w:spacing w:val="2"/>
        </w:rPr>
        <w:t>a</w:t>
      </w:r>
      <w:r w:rsidRPr="00585C2D">
        <w:rPr>
          <w:rFonts w:eastAsia="Arial" w:cstheme="minorHAnsi"/>
          <w:spacing w:val="1"/>
        </w:rPr>
        <w:t>t</w:t>
      </w:r>
      <w:r w:rsidRPr="00585C2D">
        <w:rPr>
          <w:rFonts w:eastAsia="Arial" w:cstheme="minorHAnsi"/>
          <w:spacing w:val="-4"/>
        </w:rPr>
        <w:t>t</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w:t>
      </w:r>
      <w:r w:rsidRPr="00585C2D">
        <w:rPr>
          <w:rFonts w:eastAsia="Arial" w:cstheme="minorHAnsi"/>
        </w:rPr>
        <w:t>.</w:t>
      </w:r>
      <w:r w:rsidRPr="00585C2D">
        <w:rPr>
          <w:rFonts w:eastAsia="Arial" w:cstheme="minorHAnsi"/>
          <w:spacing w:val="6"/>
        </w:rPr>
        <w:t xml:space="preserve"> </w:t>
      </w:r>
      <w:r w:rsidRPr="00585C2D">
        <w:rPr>
          <w:rFonts w:eastAsia="Arial" w:cstheme="minorHAnsi"/>
          <w:spacing w:val="-1"/>
        </w:rPr>
        <w:t>N</w:t>
      </w:r>
      <w:r w:rsidRPr="00585C2D">
        <w:rPr>
          <w:rFonts w:eastAsia="Arial" w:cstheme="minorHAnsi"/>
          <w:spacing w:val="2"/>
        </w:rPr>
        <w:t>o</w:t>
      </w:r>
      <w:r w:rsidRPr="00585C2D">
        <w:rPr>
          <w:rFonts w:eastAsia="Arial" w:cstheme="minorHAnsi"/>
          <w:spacing w:val="-4"/>
        </w:rPr>
        <w:t>t</w:t>
      </w:r>
      <w:r w:rsidRPr="00585C2D">
        <w:rPr>
          <w:rFonts w:eastAsia="Arial" w:cstheme="minorHAnsi"/>
          <w:spacing w:val="2"/>
        </w:rPr>
        <w:t>e</w:t>
      </w:r>
      <w:r w:rsidRPr="00585C2D">
        <w:rPr>
          <w:rFonts w:eastAsia="Arial" w:cstheme="minorHAnsi"/>
        </w:rPr>
        <w:t>:</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spacing w:val="2"/>
        </w:rPr>
        <w:t>pp</w:t>
      </w:r>
      <w:r w:rsidRPr="00585C2D">
        <w:rPr>
          <w:rFonts w:eastAsia="Arial" w:cstheme="minorHAnsi"/>
          <w:spacing w:val="-2"/>
        </w:rPr>
        <w:t>r</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a</w:t>
      </w:r>
      <w:r w:rsidRPr="00585C2D">
        <w:rPr>
          <w:rFonts w:eastAsia="Arial" w:cstheme="minorHAnsi"/>
        </w:rPr>
        <w:t>l</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1"/>
        </w:rPr>
        <w:t>t</w:t>
      </w:r>
      <w:r w:rsidRPr="00585C2D">
        <w:rPr>
          <w:rFonts w:eastAsia="Arial" w:cstheme="minorHAnsi"/>
          <w:spacing w:val="-4"/>
        </w:rPr>
        <w:t>t</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w:t>
      </w:r>
      <w:r w:rsidRPr="00585C2D">
        <w:rPr>
          <w:rFonts w:eastAsia="Arial" w:cstheme="minorHAnsi"/>
          <w:spacing w:val="-3"/>
        </w:rPr>
        <w:t>a</w:t>
      </w:r>
      <w:r w:rsidRPr="00585C2D">
        <w:rPr>
          <w:rFonts w:eastAsia="Arial" w:cstheme="minorHAnsi"/>
          <w:spacing w:val="2"/>
        </w:rPr>
        <w:t>n</w:t>
      </w:r>
      <w:r w:rsidRPr="00585C2D">
        <w:rPr>
          <w:rFonts w:eastAsia="Arial" w:cstheme="minorHAnsi"/>
        </w:rPr>
        <w:t xml:space="preserve">ce </w:t>
      </w:r>
      <w:r w:rsidRPr="00585C2D">
        <w:rPr>
          <w:rFonts w:eastAsia="Arial" w:cstheme="minorHAnsi"/>
          <w:spacing w:val="2"/>
        </w:rPr>
        <w:t>a</w:t>
      </w:r>
      <w:r w:rsidRPr="00585C2D">
        <w:rPr>
          <w:rFonts w:eastAsia="Arial" w:cstheme="minorHAnsi"/>
        </w:rPr>
        <w:t>t</w:t>
      </w:r>
      <w:r w:rsidRPr="00585C2D">
        <w:rPr>
          <w:rFonts w:eastAsia="Arial" w:cstheme="minorHAnsi"/>
          <w:spacing w:val="4"/>
        </w:rPr>
        <w:t xml:space="preserve"> </w:t>
      </w:r>
      <w:r w:rsidRPr="00585C2D">
        <w:rPr>
          <w:rFonts w:eastAsia="Arial" w:cstheme="minorHAnsi"/>
        </w:rPr>
        <w:t>a</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5"/>
        </w:rPr>
        <w:t xml:space="preserve">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29"/>
        </w:rPr>
        <w:t xml:space="preserve">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35"/>
        </w:rPr>
        <w:t xml:space="preserve"> </w:t>
      </w:r>
      <w:r w:rsidRPr="00585C2D">
        <w:rPr>
          <w:rFonts w:eastAsia="Arial" w:cstheme="minorHAnsi"/>
          <w:spacing w:val="-3"/>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spacing w:val="5"/>
        </w:rPr>
        <w:t>v</w:t>
      </w:r>
      <w:r w:rsidRPr="00585C2D">
        <w:rPr>
          <w:rFonts w:eastAsia="Arial" w:cstheme="minorHAnsi"/>
          <w:spacing w:val="-1"/>
        </w:rPr>
        <w:t>i</w:t>
      </w:r>
      <w:r w:rsidRPr="00585C2D">
        <w:rPr>
          <w:rFonts w:eastAsia="Arial" w:cstheme="minorHAnsi"/>
          <w:spacing w:val="1"/>
        </w:rPr>
        <w:t>t</w:t>
      </w:r>
      <w:r w:rsidRPr="00585C2D">
        <w:rPr>
          <w:rFonts w:eastAsia="Arial" w:cstheme="minorHAnsi"/>
        </w:rPr>
        <w:t>y</w:t>
      </w:r>
      <w:r w:rsidRPr="00585C2D">
        <w:rPr>
          <w:rFonts w:eastAsia="Arial" w:cstheme="minorHAnsi"/>
          <w:spacing w:val="35"/>
        </w:rPr>
        <w:t xml:space="preserve"> </w:t>
      </w:r>
      <w:r w:rsidRPr="00585C2D">
        <w:rPr>
          <w:rFonts w:eastAsia="Arial" w:cstheme="minorHAnsi"/>
          <w:spacing w:val="-5"/>
        </w:rPr>
        <w:t>s</w:t>
      </w:r>
      <w:r w:rsidRPr="00585C2D">
        <w:rPr>
          <w:rFonts w:eastAsia="Arial" w:cstheme="minorHAnsi"/>
          <w:spacing w:val="2"/>
        </w:rPr>
        <w:t>h</w:t>
      </w:r>
      <w:r w:rsidRPr="00585C2D">
        <w:rPr>
          <w:rFonts w:eastAsia="Arial" w:cstheme="minorHAnsi"/>
          <w:spacing w:val="-3"/>
        </w:rPr>
        <w:t>o</w:t>
      </w:r>
      <w:r w:rsidRPr="00585C2D">
        <w:rPr>
          <w:rFonts w:eastAsia="Arial" w:cstheme="minorHAnsi"/>
          <w:spacing w:val="2"/>
        </w:rPr>
        <w:t>u</w:t>
      </w:r>
      <w:r w:rsidRPr="00585C2D">
        <w:rPr>
          <w:rFonts w:eastAsia="Arial" w:cstheme="minorHAnsi"/>
          <w:spacing w:val="-1"/>
        </w:rPr>
        <w:t>l</w:t>
      </w:r>
      <w:r w:rsidRPr="00585C2D">
        <w:rPr>
          <w:rFonts w:eastAsia="Arial" w:cstheme="minorHAnsi"/>
        </w:rPr>
        <w:t>d</w:t>
      </w:r>
      <w:r w:rsidRPr="00585C2D">
        <w:rPr>
          <w:rFonts w:eastAsia="Arial" w:cstheme="minorHAnsi"/>
          <w:spacing w:val="31"/>
        </w:rPr>
        <w:t xml:space="preserve"> </w:t>
      </w:r>
      <w:r w:rsidRPr="00585C2D">
        <w:rPr>
          <w:rFonts w:eastAsia="Arial" w:cstheme="minorHAnsi"/>
          <w:spacing w:val="2"/>
        </w:rPr>
        <w:t>n</w:t>
      </w:r>
      <w:r w:rsidRPr="00585C2D">
        <w:rPr>
          <w:rFonts w:eastAsia="Arial" w:cstheme="minorHAnsi"/>
          <w:spacing w:val="-3"/>
        </w:rPr>
        <w:t>o</w:t>
      </w:r>
      <w:r w:rsidRPr="00585C2D">
        <w:rPr>
          <w:rFonts w:eastAsia="Arial" w:cstheme="minorHAnsi"/>
        </w:rPr>
        <w:t>t</w:t>
      </w:r>
      <w:r w:rsidRPr="00585C2D">
        <w:rPr>
          <w:rFonts w:eastAsia="Arial" w:cstheme="minorHAnsi"/>
          <w:spacing w:val="35"/>
        </w:rPr>
        <w:t xml:space="preserve"> </w:t>
      </w:r>
      <w:r w:rsidRPr="00585C2D">
        <w:rPr>
          <w:rFonts w:eastAsia="Arial" w:cstheme="minorHAnsi"/>
          <w:spacing w:val="-1"/>
        </w:rPr>
        <w:t>i</w:t>
      </w:r>
      <w:r w:rsidRPr="00585C2D">
        <w:rPr>
          <w:rFonts w:eastAsia="Arial" w:cstheme="minorHAnsi"/>
          <w:spacing w:val="-2"/>
        </w:rPr>
        <w:t>m</w:t>
      </w:r>
      <w:r w:rsidRPr="00585C2D">
        <w:rPr>
          <w:rFonts w:eastAsia="Arial" w:cstheme="minorHAnsi"/>
          <w:spacing w:val="-3"/>
        </w:rPr>
        <w:t>p</w:t>
      </w:r>
      <w:r w:rsidRPr="00585C2D">
        <w:rPr>
          <w:rFonts w:eastAsia="Arial" w:cstheme="minorHAnsi"/>
          <w:spacing w:val="2"/>
        </w:rPr>
        <w:t>e</w:t>
      </w:r>
      <w:r w:rsidRPr="00585C2D">
        <w:rPr>
          <w:rFonts w:eastAsia="Arial" w:cstheme="minorHAnsi"/>
          <w:spacing w:val="-3"/>
        </w:rPr>
        <w:t>d</w:t>
      </w:r>
      <w:r w:rsidRPr="00585C2D">
        <w:rPr>
          <w:rFonts w:eastAsia="Arial" w:cstheme="minorHAnsi"/>
        </w:rPr>
        <w:t>e</w:t>
      </w:r>
      <w:r w:rsidRPr="00585C2D">
        <w:rPr>
          <w:rFonts w:eastAsia="Arial" w:cstheme="minorHAnsi"/>
          <w:spacing w:val="36"/>
        </w:rPr>
        <w:t xml:space="preserve"> </w:t>
      </w:r>
      <w:r w:rsidRPr="00585C2D">
        <w:rPr>
          <w:rFonts w:eastAsia="Arial" w:cstheme="minorHAnsi"/>
        </w:rPr>
        <w:t>a</w:t>
      </w:r>
      <w:r w:rsidRPr="00585C2D">
        <w:rPr>
          <w:rFonts w:eastAsia="Arial" w:cstheme="minorHAnsi"/>
          <w:spacing w:val="32"/>
        </w:rPr>
        <w:t xml:space="preserve"> </w:t>
      </w:r>
      <w:r w:rsidRPr="00585C2D">
        <w:rPr>
          <w:rFonts w:eastAsia="Arial" w:cstheme="minorHAnsi"/>
          <w:spacing w:val="-3"/>
        </w:rPr>
        <w:t>q</w:t>
      </w:r>
      <w:r w:rsidRPr="00585C2D">
        <w:rPr>
          <w:rFonts w:eastAsia="Arial" w:cstheme="minorHAnsi"/>
          <w:spacing w:val="2"/>
        </w:rPr>
        <w:t>uo</w:t>
      </w:r>
      <w:r w:rsidRPr="00585C2D">
        <w:rPr>
          <w:rFonts w:eastAsia="Arial" w:cstheme="minorHAnsi"/>
          <w:spacing w:val="-2"/>
        </w:rPr>
        <w:t>r</w:t>
      </w:r>
      <w:r w:rsidRPr="00585C2D">
        <w:rPr>
          <w:rFonts w:eastAsia="Arial" w:cstheme="minorHAnsi"/>
          <w:spacing w:val="2"/>
        </w:rPr>
        <w:t>u</w:t>
      </w:r>
      <w:r w:rsidRPr="00585C2D">
        <w:rPr>
          <w:rFonts w:eastAsia="Arial" w:cstheme="minorHAnsi"/>
        </w:rPr>
        <w:t>m</w:t>
      </w:r>
      <w:r w:rsidRPr="00585C2D">
        <w:rPr>
          <w:rFonts w:eastAsia="Arial" w:cstheme="minorHAnsi"/>
          <w:spacing w:val="28"/>
        </w:rPr>
        <w:t xml:space="preserve"> </w:t>
      </w:r>
      <w:r w:rsidRPr="00585C2D">
        <w:rPr>
          <w:rFonts w:eastAsia="Arial" w:cstheme="minorHAnsi"/>
          <w:spacing w:val="2"/>
        </w:rPr>
        <w:t>a</w:t>
      </w:r>
      <w:r w:rsidRPr="00585C2D">
        <w:rPr>
          <w:rFonts w:eastAsia="Arial" w:cstheme="minorHAnsi"/>
        </w:rPr>
        <w:t>t</w:t>
      </w:r>
      <w:r w:rsidRPr="00585C2D">
        <w:rPr>
          <w:rFonts w:eastAsia="Arial" w:cstheme="minorHAnsi"/>
          <w:spacing w:val="37"/>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y</w:t>
      </w:r>
      <w:r w:rsidRPr="00585C2D">
        <w:rPr>
          <w:rFonts w:eastAsia="Arial" w:cstheme="minorHAnsi"/>
          <w:spacing w:val="35"/>
        </w:rPr>
        <w:t xml:space="preserve"> </w:t>
      </w:r>
      <w:r w:rsidRPr="00585C2D">
        <w:rPr>
          <w:rFonts w:eastAsia="Arial" w:cstheme="minorHAnsi"/>
        </w:rPr>
        <w:t>sc</w:t>
      </w:r>
      <w:r w:rsidRPr="00585C2D">
        <w:rPr>
          <w:rFonts w:eastAsia="Arial" w:cstheme="minorHAnsi"/>
          <w:spacing w:val="-3"/>
        </w:rPr>
        <w:t>h</w:t>
      </w:r>
      <w:r w:rsidRPr="00585C2D">
        <w:rPr>
          <w:rFonts w:eastAsia="Arial" w:cstheme="minorHAnsi"/>
          <w:spacing w:val="2"/>
        </w:rPr>
        <w:t>e</w:t>
      </w:r>
      <w:r w:rsidRPr="00585C2D">
        <w:rPr>
          <w:rFonts w:eastAsia="Arial" w:cstheme="minorHAnsi"/>
          <w:spacing w:val="-3"/>
        </w:rPr>
        <w:t>d</w:t>
      </w:r>
      <w:r w:rsidRPr="00585C2D">
        <w:rPr>
          <w:rFonts w:eastAsia="Arial" w:cstheme="minorHAnsi"/>
          <w:spacing w:val="2"/>
        </w:rPr>
        <w:t>u</w:t>
      </w:r>
      <w:r w:rsidRPr="00585C2D">
        <w:rPr>
          <w:rFonts w:eastAsia="Arial" w:cstheme="minorHAnsi"/>
          <w:spacing w:val="-1"/>
        </w:rPr>
        <w:t>l</w:t>
      </w:r>
      <w:r w:rsidRPr="00585C2D">
        <w:rPr>
          <w:rFonts w:eastAsia="Arial" w:cstheme="minorHAnsi"/>
          <w:spacing w:val="-3"/>
        </w:rPr>
        <w:t>e</w:t>
      </w:r>
      <w:r w:rsidRPr="00585C2D">
        <w:rPr>
          <w:rFonts w:eastAsia="Arial" w:cstheme="minorHAnsi"/>
        </w:rPr>
        <w:t>d</w:t>
      </w:r>
      <w:r w:rsidRPr="00585C2D">
        <w:rPr>
          <w:rFonts w:eastAsia="Arial" w:cstheme="minorHAnsi"/>
          <w:spacing w:val="36"/>
        </w:rPr>
        <w:t xml:space="preserve"> </w:t>
      </w:r>
      <w:r w:rsidRPr="00585C2D">
        <w:rPr>
          <w:rFonts w:eastAsia="Arial" w:cstheme="minorHAnsi"/>
          <w:spacing w:val="-6"/>
        </w:rPr>
        <w:t>C</w:t>
      </w:r>
      <w:r w:rsidRPr="00585C2D">
        <w:rPr>
          <w:rFonts w:eastAsia="Arial" w:cstheme="minorHAnsi"/>
          <w:spacing w:val="2"/>
        </w:rPr>
        <w:t>o</w:t>
      </w:r>
      <w:r w:rsidRPr="00585C2D">
        <w:rPr>
          <w:rFonts w:eastAsia="Arial" w:cstheme="minorHAnsi"/>
          <w:spacing w:val="-3"/>
        </w:rPr>
        <w:t>u</w:t>
      </w:r>
      <w:r w:rsidRPr="00585C2D">
        <w:rPr>
          <w:rFonts w:eastAsia="Arial" w:cstheme="minorHAnsi"/>
          <w:spacing w:val="2"/>
        </w:rPr>
        <w:t>n</w:t>
      </w:r>
      <w:r w:rsidRPr="00585C2D">
        <w:rPr>
          <w:rFonts w:eastAsia="Arial" w:cstheme="minorHAnsi"/>
        </w:rPr>
        <w:t>c</w:t>
      </w:r>
      <w:r w:rsidRPr="00585C2D">
        <w:rPr>
          <w:rFonts w:eastAsia="Arial" w:cstheme="minorHAnsi"/>
          <w:spacing w:val="-1"/>
        </w:rPr>
        <w:t>i</w:t>
      </w:r>
      <w:r w:rsidRPr="00585C2D">
        <w:rPr>
          <w:rFonts w:eastAsia="Arial" w:cstheme="minorHAnsi"/>
        </w:rPr>
        <w:t>l</w:t>
      </w:r>
      <w:r w:rsidRPr="00585C2D">
        <w:rPr>
          <w:rFonts w:eastAsia="Arial" w:cstheme="minorHAnsi"/>
          <w:spacing w:val="33"/>
        </w:rPr>
        <w:t xml:space="preserve">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1"/>
        </w:rPr>
        <w:t>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1"/>
        </w:rPr>
        <w:t>i</w:t>
      </w:r>
      <w:r w:rsidRPr="00585C2D">
        <w:rPr>
          <w:rFonts w:eastAsia="Arial" w:cstheme="minorHAnsi"/>
          <w:spacing w:val="1"/>
        </w:rPr>
        <w:t>tt</w:t>
      </w:r>
      <w:r w:rsidRPr="00585C2D">
        <w:rPr>
          <w:rFonts w:eastAsia="Arial" w:cstheme="minorHAnsi"/>
          <w:spacing w:val="2"/>
        </w:rPr>
        <w:t>e</w:t>
      </w:r>
      <w:r w:rsidRPr="00585C2D">
        <w:rPr>
          <w:rFonts w:eastAsia="Arial" w:cstheme="minorHAnsi"/>
        </w:rPr>
        <w:t>e</w:t>
      </w:r>
      <w:r w:rsidRPr="00585C2D">
        <w:rPr>
          <w:rFonts w:eastAsia="Arial" w:cstheme="minorHAnsi"/>
          <w:spacing w:val="-2"/>
        </w:rPr>
        <w:t xml:space="preserve"> m</w:t>
      </w:r>
      <w:r w:rsidRPr="00585C2D">
        <w:rPr>
          <w:rFonts w:eastAsia="Arial" w:cstheme="minorHAnsi"/>
          <w:spacing w:val="-3"/>
        </w:rPr>
        <w:t>e</w:t>
      </w:r>
      <w:r w:rsidRPr="00585C2D">
        <w:rPr>
          <w:rFonts w:eastAsia="Arial" w:cstheme="minorHAnsi"/>
          <w:spacing w:val="2"/>
        </w:rPr>
        <w:t>e</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g</w:t>
      </w:r>
      <w:r w:rsidRPr="00585C2D">
        <w:rPr>
          <w:rFonts w:eastAsia="Arial" w:cstheme="minorHAnsi"/>
        </w:rPr>
        <w:t>s.</w:t>
      </w:r>
    </w:p>
    <w:p w14:paraId="27640D7C" w14:textId="77777777" w:rsidR="00FC0CF1" w:rsidRPr="00585C2D" w:rsidRDefault="00FC0CF1" w:rsidP="00FC0CF1">
      <w:pPr>
        <w:spacing w:line="240" w:lineRule="auto"/>
        <w:ind w:left="850" w:right="-45" w:hanging="425"/>
        <w:jc w:val="both"/>
        <w:rPr>
          <w:rFonts w:eastAsia="Arial" w:cstheme="minorHAnsi"/>
        </w:rPr>
      </w:pPr>
      <w:r w:rsidRPr="00585C2D">
        <w:rPr>
          <w:rFonts w:eastAsia="Arial" w:cstheme="minorHAnsi"/>
          <w:spacing w:val="2"/>
        </w:rPr>
        <w:t>d</w:t>
      </w:r>
      <w:r>
        <w:rPr>
          <w:rFonts w:eastAsia="Arial" w:cstheme="minorHAnsi"/>
        </w:rPr>
        <w:t>.</w:t>
      </w:r>
      <w:r>
        <w:rPr>
          <w:rFonts w:eastAsia="Arial" w:cstheme="minorHAnsi"/>
        </w:rPr>
        <w:tab/>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22"/>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5"/>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19"/>
        </w:rPr>
        <w:t xml:space="preserve"> </w:t>
      </w:r>
      <w:r w:rsidRPr="00585C2D">
        <w:rPr>
          <w:rFonts w:eastAsia="Arial" w:cstheme="minorHAnsi"/>
          <w:spacing w:val="1"/>
        </w:rPr>
        <w:t>t</w:t>
      </w:r>
      <w:r w:rsidRPr="00585C2D">
        <w:rPr>
          <w:rFonts w:eastAsia="Arial" w:cstheme="minorHAnsi"/>
          <w:spacing w:val="2"/>
        </w:rPr>
        <w:t>h</w:t>
      </w:r>
      <w:r w:rsidRPr="00585C2D">
        <w:rPr>
          <w:rFonts w:eastAsia="Arial" w:cstheme="minorHAnsi"/>
        </w:rPr>
        <w:t>e</w:t>
      </w:r>
      <w:r w:rsidRPr="00585C2D">
        <w:rPr>
          <w:rFonts w:eastAsia="Arial" w:cstheme="minorHAnsi"/>
          <w:spacing w:val="22"/>
        </w:rPr>
        <w:t xml:space="preserve"> </w:t>
      </w:r>
      <w:r w:rsidRPr="00585C2D">
        <w:rPr>
          <w:rFonts w:eastAsia="Arial" w:cstheme="minorHAnsi"/>
          <w:spacing w:val="-6"/>
        </w:rPr>
        <w:t>C</w:t>
      </w:r>
      <w:r w:rsidRPr="00585C2D">
        <w:rPr>
          <w:rFonts w:eastAsia="Arial" w:cstheme="minorHAnsi"/>
          <w:spacing w:val="1"/>
        </w:rPr>
        <w:t>E</w:t>
      </w:r>
      <w:r w:rsidRPr="00585C2D">
        <w:rPr>
          <w:rFonts w:eastAsia="Arial" w:cstheme="minorHAnsi"/>
        </w:rPr>
        <w:t>O</w:t>
      </w:r>
      <w:r w:rsidRPr="00585C2D">
        <w:rPr>
          <w:rFonts w:eastAsia="Arial" w:cstheme="minorHAnsi"/>
          <w:spacing w:val="21"/>
        </w:rPr>
        <w:t xml:space="preserve"> </w:t>
      </w:r>
      <w:r w:rsidRPr="00585C2D">
        <w:rPr>
          <w:rFonts w:eastAsia="Arial" w:cstheme="minorHAnsi"/>
          <w:spacing w:val="-1"/>
        </w:rPr>
        <w:t>w</w:t>
      </w:r>
      <w:r w:rsidRPr="00585C2D">
        <w:rPr>
          <w:rFonts w:eastAsia="Arial" w:cstheme="minorHAnsi"/>
          <w:spacing w:val="-3"/>
        </w:rPr>
        <w:t>h</w:t>
      </w:r>
      <w:r w:rsidRPr="00585C2D">
        <w:rPr>
          <w:rFonts w:eastAsia="Arial" w:cstheme="minorHAnsi"/>
        </w:rPr>
        <w:t>o</w:t>
      </w:r>
      <w:r w:rsidRPr="00585C2D">
        <w:rPr>
          <w:rFonts w:eastAsia="Arial" w:cstheme="minorHAnsi"/>
          <w:spacing w:val="22"/>
        </w:rPr>
        <w:t xml:space="preserve"> </w:t>
      </w:r>
      <w:r w:rsidRPr="00585C2D">
        <w:rPr>
          <w:rFonts w:eastAsia="Arial" w:cstheme="minorHAnsi"/>
          <w:spacing w:val="-1"/>
        </w:rPr>
        <w:t>wi</w:t>
      </w:r>
      <w:r w:rsidRPr="00585C2D">
        <w:rPr>
          <w:rFonts w:eastAsia="Arial" w:cstheme="minorHAnsi"/>
        </w:rPr>
        <w:t>sh</w:t>
      </w:r>
      <w:r w:rsidRPr="00585C2D">
        <w:rPr>
          <w:rFonts w:eastAsia="Arial" w:cstheme="minorHAnsi"/>
          <w:spacing w:val="22"/>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22"/>
        </w:rPr>
        <w:t xml:space="preserve"> </w:t>
      </w:r>
      <w:r w:rsidRPr="00585C2D">
        <w:rPr>
          <w:rFonts w:eastAsia="Arial" w:cstheme="minorHAnsi"/>
          <w:spacing w:val="-3"/>
        </w:rPr>
        <w:t>p</w:t>
      </w:r>
      <w:r w:rsidRPr="00585C2D">
        <w:rPr>
          <w:rFonts w:eastAsia="Arial" w:cstheme="minorHAnsi"/>
          <w:spacing w:val="2"/>
        </w:rPr>
        <w:t>a</w:t>
      </w:r>
      <w:r w:rsidRPr="00585C2D">
        <w:rPr>
          <w:rFonts w:eastAsia="Arial" w:cstheme="minorHAnsi"/>
          <w:spacing w:val="-2"/>
        </w:rPr>
        <w:t>r</w:t>
      </w:r>
      <w:r w:rsidRPr="00585C2D">
        <w:rPr>
          <w:rFonts w:eastAsia="Arial" w:cstheme="minorHAnsi"/>
          <w:spacing w:val="1"/>
        </w:rPr>
        <w:t>t</w:t>
      </w:r>
      <w:r w:rsidRPr="00585C2D">
        <w:rPr>
          <w:rFonts w:eastAsia="Arial" w:cstheme="minorHAnsi"/>
          <w:spacing w:val="-1"/>
        </w:rPr>
        <w:t>i</w:t>
      </w:r>
      <w:r w:rsidRPr="00585C2D">
        <w:rPr>
          <w:rFonts w:eastAsia="Arial" w:cstheme="minorHAnsi"/>
        </w:rPr>
        <w:t>c</w:t>
      </w:r>
      <w:r w:rsidRPr="00585C2D">
        <w:rPr>
          <w:rFonts w:eastAsia="Arial" w:cstheme="minorHAnsi"/>
          <w:spacing w:val="-6"/>
        </w:rPr>
        <w:t>i</w:t>
      </w:r>
      <w:r w:rsidRPr="00585C2D">
        <w:rPr>
          <w:rFonts w:eastAsia="Arial" w:cstheme="minorHAnsi"/>
          <w:spacing w:val="2"/>
        </w:rPr>
        <w:t>pa</w:t>
      </w:r>
      <w:r w:rsidRPr="00585C2D">
        <w:rPr>
          <w:rFonts w:eastAsia="Arial" w:cstheme="minorHAnsi"/>
          <w:spacing w:val="-4"/>
        </w:rPr>
        <w:t>t</w:t>
      </w:r>
      <w:r w:rsidRPr="00585C2D">
        <w:rPr>
          <w:rFonts w:eastAsia="Arial" w:cstheme="minorHAnsi"/>
        </w:rPr>
        <w:t>e</w:t>
      </w:r>
      <w:r w:rsidRPr="00585C2D">
        <w:rPr>
          <w:rFonts w:eastAsia="Arial" w:cstheme="minorHAnsi"/>
          <w:spacing w:val="22"/>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22"/>
        </w:rPr>
        <w:t xml:space="preserve"> </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22"/>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19"/>
        </w:rPr>
        <w:t xml:space="preserve"> </w:t>
      </w:r>
      <w:r w:rsidRPr="00585C2D">
        <w:rPr>
          <w:rFonts w:eastAsia="Arial" w:cstheme="minorHAnsi"/>
          <w:spacing w:val="2"/>
        </w:rPr>
        <w:t>p</w:t>
      </w:r>
      <w:r w:rsidRPr="00585C2D">
        <w:rPr>
          <w:rFonts w:eastAsia="Arial" w:cstheme="minorHAnsi"/>
          <w:spacing w:val="-6"/>
        </w:rPr>
        <w:t>r</w:t>
      </w:r>
      <w:r w:rsidRPr="00585C2D">
        <w:rPr>
          <w:rFonts w:eastAsia="Arial" w:cstheme="minorHAnsi"/>
          <w:spacing w:val="-3"/>
        </w:rPr>
        <w:t>o</w:t>
      </w:r>
      <w:r w:rsidRPr="00585C2D">
        <w:rPr>
          <w:rFonts w:eastAsia="Arial" w:cstheme="minorHAnsi"/>
          <w:spacing w:val="6"/>
        </w:rPr>
        <w:t>f</w:t>
      </w:r>
      <w:r w:rsidRPr="00585C2D">
        <w:rPr>
          <w:rFonts w:eastAsia="Arial" w:cstheme="minorHAnsi"/>
          <w:spacing w:val="2"/>
        </w:rPr>
        <w:t>e</w:t>
      </w:r>
      <w:r w:rsidRPr="00585C2D">
        <w:rPr>
          <w:rFonts w:eastAsia="Arial" w:cstheme="minorHAnsi"/>
          <w:spacing w:val="-5"/>
        </w:rPr>
        <w:t>s</w:t>
      </w:r>
      <w:r w:rsidRPr="00585C2D">
        <w:rPr>
          <w:rFonts w:eastAsia="Arial" w:cstheme="minorHAnsi"/>
        </w:rPr>
        <w:t>s</w:t>
      </w:r>
      <w:r w:rsidRPr="00585C2D">
        <w:rPr>
          <w:rFonts w:eastAsia="Arial" w:cstheme="minorHAnsi"/>
          <w:spacing w:val="-1"/>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19"/>
        </w:rPr>
        <w:t xml:space="preserve"> </w:t>
      </w:r>
      <w:r w:rsidRPr="00585C2D">
        <w:rPr>
          <w:rFonts w:eastAsia="Arial" w:cstheme="minorHAnsi"/>
          <w:spacing w:val="-3"/>
        </w:rPr>
        <w:t>d</w:t>
      </w:r>
      <w:r w:rsidRPr="00585C2D">
        <w:rPr>
          <w:rFonts w:eastAsia="Arial" w:cstheme="minorHAnsi"/>
          <w:spacing w:val="2"/>
        </w:rPr>
        <w:t>e</w:t>
      </w:r>
      <w:r w:rsidRPr="00585C2D">
        <w:rPr>
          <w:rFonts w:eastAsia="Arial" w:cstheme="minorHAnsi"/>
        </w:rPr>
        <w:t>v</w:t>
      </w:r>
      <w:r w:rsidRPr="00585C2D">
        <w:rPr>
          <w:rFonts w:eastAsia="Arial" w:cstheme="minorHAnsi"/>
          <w:spacing w:val="2"/>
        </w:rPr>
        <w:t>e</w:t>
      </w:r>
      <w:r w:rsidRPr="00585C2D">
        <w:rPr>
          <w:rFonts w:eastAsia="Arial" w:cstheme="minorHAnsi"/>
          <w:spacing w:val="-6"/>
        </w:rPr>
        <w:t>l</w:t>
      </w:r>
      <w:r w:rsidRPr="00585C2D">
        <w:rPr>
          <w:rFonts w:eastAsia="Arial" w:cstheme="minorHAnsi"/>
          <w:spacing w:val="2"/>
        </w:rPr>
        <w:t>op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 xml:space="preserve">t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e</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m</w:t>
      </w:r>
      <w:r w:rsidRPr="00585C2D">
        <w:rPr>
          <w:rFonts w:eastAsia="Arial" w:cstheme="minorHAnsi"/>
          <w:spacing w:val="2"/>
        </w:rPr>
        <w:t>u</w:t>
      </w:r>
      <w:r w:rsidRPr="00585C2D">
        <w:rPr>
          <w:rFonts w:eastAsia="Arial" w:cstheme="minorHAnsi"/>
        </w:rPr>
        <w:t>st</w:t>
      </w:r>
      <w:r w:rsidRPr="00585C2D">
        <w:rPr>
          <w:rFonts w:eastAsia="Arial" w:cstheme="minorHAnsi"/>
          <w:spacing w:val="2"/>
        </w:rPr>
        <w:t xml:space="preserve"> </w:t>
      </w:r>
      <w:r>
        <w:rPr>
          <w:rFonts w:eastAsia="Arial" w:cstheme="minorHAnsi"/>
          <w:spacing w:val="2"/>
        </w:rPr>
        <w:t>email their request to EA to CEO.</w:t>
      </w:r>
      <w:r w:rsidRPr="00585C2D">
        <w:rPr>
          <w:rFonts w:eastAsia="Arial" w:cstheme="minorHAnsi"/>
          <w:spacing w:val="7"/>
        </w:rPr>
        <w:t xml:space="preserve"> </w:t>
      </w:r>
      <w:r w:rsidRPr="00585C2D">
        <w:rPr>
          <w:rFonts w:eastAsia="Arial" w:cstheme="minorHAnsi"/>
          <w:spacing w:val="1"/>
        </w:rPr>
        <w:t>A</w:t>
      </w:r>
      <w:r w:rsidRPr="00585C2D">
        <w:rPr>
          <w:rFonts w:eastAsia="Arial" w:cstheme="minorHAnsi"/>
          <w:spacing w:val="-1"/>
        </w:rPr>
        <w:t>l</w:t>
      </w:r>
      <w:r w:rsidRPr="00585C2D">
        <w:rPr>
          <w:rFonts w:eastAsia="Arial" w:cstheme="minorHAnsi"/>
        </w:rPr>
        <w:t xml:space="preserve">l </w:t>
      </w:r>
      <w:r w:rsidRPr="00585C2D">
        <w:rPr>
          <w:rFonts w:eastAsia="Arial" w:cstheme="minorHAnsi"/>
          <w:spacing w:val="-3"/>
        </w:rPr>
        <w:t>a</w:t>
      </w:r>
      <w:r w:rsidRPr="00585C2D">
        <w:rPr>
          <w:rFonts w:eastAsia="Arial" w:cstheme="minorHAnsi"/>
          <w:spacing w:val="2"/>
        </w:rPr>
        <w:t>pp</w:t>
      </w:r>
      <w:r w:rsidRPr="00585C2D">
        <w:rPr>
          <w:rFonts w:eastAsia="Arial" w:cstheme="minorHAnsi"/>
          <w:spacing w:val="-1"/>
        </w:rPr>
        <w:t>li</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on</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a</w:t>
      </w:r>
      <w:r w:rsidRPr="00585C2D">
        <w:rPr>
          <w:rFonts w:eastAsia="Arial" w:cstheme="minorHAnsi"/>
          <w:spacing w:val="-2"/>
        </w:rPr>
        <w:t>r</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spacing w:val="-2"/>
        </w:rPr>
        <w:t>r</w:t>
      </w:r>
      <w:r w:rsidRPr="00585C2D">
        <w:rPr>
          <w:rFonts w:eastAsia="Arial" w:cstheme="minorHAnsi"/>
          <w:spacing w:val="-1"/>
        </w:rPr>
        <w:t>w</w:t>
      </w:r>
      <w:r w:rsidRPr="00585C2D">
        <w:rPr>
          <w:rFonts w:eastAsia="Arial" w:cstheme="minorHAnsi"/>
          <w:spacing w:val="2"/>
        </w:rPr>
        <w:t>a</w:t>
      </w:r>
      <w:r w:rsidRPr="00585C2D">
        <w:rPr>
          <w:rFonts w:eastAsia="Arial" w:cstheme="minorHAnsi"/>
          <w:spacing w:val="-2"/>
        </w:rPr>
        <w:t>r</w:t>
      </w:r>
      <w:r w:rsidRPr="00585C2D">
        <w:rPr>
          <w:rFonts w:eastAsia="Arial" w:cstheme="minorHAnsi"/>
          <w:spacing w:val="-3"/>
        </w:rPr>
        <w:t>d</w:t>
      </w:r>
      <w:r w:rsidRPr="00585C2D">
        <w:rPr>
          <w:rFonts w:eastAsia="Arial" w:cstheme="minorHAnsi"/>
          <w:spacing w:val="2"/>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1"/>
        </w:rPr>
        <w:t>C</w:t>
      </w:r>
      <w:r w:rsidRPr="00585C2D">
        <w:rPr>
          <w:rFonts w:eastAsia="Arial" w:cstheme="minorHAnsi"/>
          <w:spacing w:val="-3"/>
        </w:rPr>
        <w:t>E</w:t>
      </w:r>
      <w:r w:rsidRPr="00585C2D">
        <w:rPr>
          <w:rFonts w:eastAsia="Arial" w:cstheme="minorHAnsi"/>
        </w:rPr>
        <w:t>O</w:t>
      </w:r>
      <w:r w:rsidRPr="00585C2D">
        <w:rPr>
          <w:rFonts w:eastAsia="Arial" w:cstheme="minorHAnsi"/>
          <w:spacing w:val="7"/>
        </w:rPr>
        <w:t xml:space="preserve"> </w:t>
      </w:r>
      <w:r w:rsidRPr="00585C2D">
        <w:rPr>
          <w:rFonts w:eastAsia="Arial" w:cstheme="minorHAnsi"/>
          <w:spacing w:val="-1"/>
        </w:rPr>
        <w:t>i</w:t>
      </w:r>
      <w:r w:rsidRPr="00585C2D">
        <w:rPr>
          <w:rFonts w:eastAsia="Arial" w:cstheme="minorHAnsi"/>
        </w:rPr>
        <w:t xml:space="preserve">n </w:t>
      </w:r>
      <w:r w:rsidRPr="00585C2D">
        <w:rPr>
          <w:rFonts w:eastAsia="Arial" w:cstheme="minorHAnsi"/>
          <w:spacing w:val="-2"/>
        </w:rPr>
        <w:t>r</w:t>
      </w:r>
      <w:r w:rsidRPr="00585C2D">
        <w:rPr>
          <w:rFonts w:eastAsia="Arial" w:cstheme="minorHAnsi"/>
          <w:spacing w:val="2"/>
        </w:rPr>
        <w:t>ea</w:t>
      </w:r>
      <w:r w:rsidRPr="00585C2D">
        <w:rPr>
          <w:rFonts w:eastAsia="Arial" w:cstheme="minorHAnsi"/>
        </w:rPr>
        <w:t>s</w:t>
      </w:r>
      <w:r w:rsidRPr="00585C2D">
        <w:rPr>
          <w:rFonts w:eastAsia="Arial" w:cstheme="minorHAnsi"/>
          <w:spacing w:val="-3"/>
        </w:rPr>
        <w:t>o</w:t>
      </w:r>
      <w:r w:rsidRPr="00585C2D">
        <w:rPr>
          <w:rFonts w:eastAsia="Arial" w:cstheme="minorHAnsi"/>
          <w:spacing w:val="2"/>
        </w:rPr>
        <w:t>n</w:t>
      </w:r>
      <w:r w:rsidRPr="00585C2D">
        <w:rPr>
          <w:rFonts w:eastAsia="Arial" w:cstheme="minorHAnsi"/>
          <w:spacing w:val="-3"/>
        </w:rPr>
        <w:t>a</w:t>
      </w:r>
      <w:r w:rsidRPr="00585C2D">
        <w:rPr>
          <w:rFonts w:eastAsia="Arial" w:cstheme="minorHAnsi"/>
          <w:spacing w:val="2"/>
        </w:rPr>
        <w:t>b</w:t>
      </w:r>
      <w:r w:rsidRPr="00585C2D">
        <w:rPr>
          <w:rFonts w:eastAsia="Arial" w:cstheme="minorHAnsi"/>
          <w:spacing w:val="-1"/>
        </w:rPr>
        <w:t>l</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m</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11"/>
        </w:rPr>
        <w:t xml:space="preserve"> </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e</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g</w:t>
      </w:r>
      <w:r w:rsidRPr="00585C2D">
        <w:rPr>
          <w:rFonts w:eastAsia="Arial" w:cstheme="minorHAnsi"/>
          <w:spacing w:val="-1"/>
        </w:rPr>
        <w:t>i</w:t>
      </w:r>
      <w:r w:rsidRPr="00585C2D">
        <w:rPr>
          <w:rFonts w:eastAsia="Arial" w:cstheme="minorHAnsi"/>
        </w:rPr>
        <w:t>s</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11"/>
        </w:rPr>
        <w:t xml:space="preserve"> </w:t>
      </w:r>
      <w:r w:rsidRPr="00585C2D">
        <w:rPr>
          <w:rFonts w:eastAsia="Arial" w:cstheme="minorHAnsi"/>
          <w:spacing w:val="-3"/>
        </w:rPr>
        <w:t>d</w:t>
      </w:r>
      <w:r w:rsidRPr="00585C2D">
        <w:rPr>
          <w:rFonts w:eastAsia="Arial" w:cstheme="minorHAnsi"/>
          <w:spacing w:val="2"/>
        </w:rPr>
        <w:t>e</w:t>
      </w:r>
      <w:r w:rsidRPr="00585C2D">
        <w:rPr>
          <w:rFonts w:eastAsia="Arial" w:cstheme="minorHAnsi"/>
          <w:spacing w:val="-3"/>
        </w:rPr>
        <w:t>a</w:t>
      </w:r>
      <w:r w:rsidRPr="00585C2D">
        <w:rPr>
          <w:rFonts w:eastAsia="Arial" w:cstheme="minorHAnsi"/>
          <w:spacing w:val="2"/>
        </w:rPr>
        <w:t>d</w:t>
      </w:r>
      <w:r w:rsidRPr="00585C2D">
        <w:rPr>
          <w:rFonts w:eastAsia="Arial" w:cstheme="minorHAnsi"/>
          <w:spacing w:val="-1"/>
        </w:rPr>
        <w:t>li</w:t>
      </w:r>
      <w:r w:rsidRPr="00585C2D">
        <w:rPr>
          <w:rFonts w:eastAsia="Arial" w:cstheme="minorHAnsi"/>
          <w:spacing w:val="2"/>
        </w:rPr>
        <w:t>n</w:t>
      </w:r>
      <w:r w:rsidRPr="00585C2D">
        <w:rPr>
          <w:rFonts w:eastAsia="Arial" w:cstheme="minorHAnsi"/>
          <w:spacing w:val="-3"/>
        </w:rPr>
        <w:t>e</w:t>
      </w:r>
      <w:r w:rsidRPr="00585C2D">
        <w:rPr>
          <w:rFonts w:eastAsia="Arial" w:cstheme="minorHAnsi"/>
        </w:rPr>
        <w:t>.</w:t>
      </w:r>
      <w:r w:rsidRPr="00585C2D">
        <w:rPr>
          <w:rFonts w:eastAsia="Arial" w:cstheme="minorHAnsi"/>
          <w:spacing w:val="-12"/>
        </w:rPr>
        <w:t xml:space="preserve"> </w:t>
      </w:r>
      <w:r w:rsidRPr="00585C2D">
        <w:rPr>
          <w:rFonts w:eastAsia="Arial" w:cstheme="minorHAnsi"/>
          <w:spacing w:val="7"/>
        </w:rPr>
        <w:t>W</w:t>
      </w:r>
      <w:r w:rsidRPr="00585C2D">
        <w:rPr>
          <w:rFonts w:eastAsia="Arial" w:cstheme="minorHAnsi"/>
          <w:spacing w:val="-3"/>
        </w:rPr>
        <w:t>he</w:t>
      </w:r>
      <w:r w:rsidRPr="00585C2D">
        <w:rPr>
          <w:rFonts w:eastAsia="Arial" w:cstheme="minorHAnsi"/>
          <w:spacing w:val="-2"/>
        </w:rPr>
        <w:t>r</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a</w:t>
      </w:r>
      <w:r w:rsidRPr="00585C2D">
        <w:rPr>
          <w:rFonts w:eastAsia="Arial" w:cstheme="minorHAnsi"/>
          <w:spacing w:val="-5"/>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c</w:t>
      </w:r>
      <w:r w:rsidRPr="00585C2D">
        <w:rPr>
          <w:rFonts w:eastAsia="Arial" w:cstheme="minorHAnsi"/>
          <w:spacing w:val="-3"/>
        </w:rPr>
        <w:t>a</w:t>
      </w:r>
      <w:r w:rsidRPr="00585C2D">
        <w:rPr>
          <w:rFonts w:eastAsia="Arial" w:cstheme="minorHAnsi"/>
          <w:spacing w:val="2"/>
        </w:rPr>
        <w:t>b</w:t>
      </w:r>
      <w:r w:rsidRPr="00585C2D">
        <w:rPr>
          <w:rFonts w:eastAsia="Arial" w:cstheme="minorHAnsi"/>
          <w:spacing w:val="-1"/>
        </w:rPr>
        <w:t>l</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1"/>
        </w:rPr>
        <w:lastRenderedPageBreak/>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1"/>
        </w:rPr>
        <w:t>Town</w:t>
      </w:r>
      <w:r w:rsidRPr="00585C2D">
        <w:rPr>
          <w:rFonts w:eastAsia="Arial" w:cstheme="minorHAnsi"/>
          <w:spacing w:val="-8"/>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14"/>
        </w:rPr>
        <w:t xml:space="preserve"> </w:t>
      </w:r>
      <w:r w:rsidRPr="00585C2D">
        <w:rPr>
          <w:rFonts w:eastAsia="Arial" w:cstheme="minorHAnsi"/>
          <w:spacing w:val="2"/>
        </w:rPr>
        <w:t>u</w:t>
      </w:r>
      <w:r w:rsidRPr="00585C2D">
        <w:rPr>
          <w:rFonts w:eastAsia="Arial" w:cstheme="minorHAnsi"/>
          <w:spacing w:val="1"/>
        </w:rPr>
        <w:t>t</w:t>
      </w:r>
      <w:r w:rsidRPr="00585C2D">
        <w:rPr>
          <w:rFonts w:eastAsia="Arial" w:cstheme="minorHAnsi"/>
          <w:spacing w:val="-1"/>
        </w:rPr>
        <w:t>ili</w:t>
      </w:r>
      <w:r w:rsidRPr="00585C2D">
        <w:rPr>
          <w:rFonts w:eastAsia="Arial" w:cstheme="minorHAnsi"/>
        </w:rPr>
        <w:t>se</w:t>
      </w:r>
      <w:r w:rsidRPr="00585C2D">
        <w:rPr>
          <w:rFonts w:eastAsia="Arial" w:cstheme="minorHAnsi"/>
          <w:spacing w:val="-11"/>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6"/>
        </w:rPr>
        <w:t>‘</w:t>
      </w:r>
      <w:r w:rsidRPr="00585C2D">
        <w:rPr>
          <w:rFonts w:eastAsia="Arial" w:cstheme="minorHAnsi"/>
          <w:spacing w:val="2"/>
        </w:rPr>
        <w:t>ea</w:t>
      </w:r>
      <w:r w:rsidRPr="00585C2D">
        <w:rPr>
          <w:rFonts w:eastAsia="Arial" w:cstheme="minorHAnsi"/>
          <w:spacing w:val="-2"/>
        </w:rPr>
        <w:t>r</w:t>
      </w:r>
      <w:r w:rsidRPr="00585C2D">
        <w:rPr>
          <w:rFonts w:eastAsia="Arial" w:cstheme="minorHAnsi"/>
          <w:spacing w:val="-1"/>
        </w:rPr>
        <w:t>l</w:t>
      </w:r>
      <w:r w:rsidRPr="00585C2D">
        <w:rPr>
          <w:rFonts w:eastAsia="Arial" w:cstheme="minorHAnsi"/>
        </w:rPr>
        <w:t xml:space="preserve">y </w:t>
      </w:r>
      <w:r w:rsidRPr="00585C2D">
        <w:rPr>
          <w:rFonts w:eastAsia="Arial" w:cstheme="minorHAnsi"/>
          <w:spacing w:val="2"/>
        </w:rPr>
        <w:t>b</w:t>
      </w:r>
      <w:r w:rsidRPr="00585C2D">
        <w:rPr>
          <w:rFonts w:eastAsia="Arial" w:cstheme="minorHAnsi"/>
          <w:spacing w:val="-1"/>
        </w:rPr>
        <w:t>i</w:t>
      </w:r>
      <w:r w:rsidRPr="00585C2D">
        <w:rPr>
          <w:rFonts w:eastAsia="Arial" w:cstheme="minorHAnsi"/>
          <w:spacing w:val="-2"/>
        </w:rPr>
        <w:t>r</w:t>
      </w:r>
      <w:r w:rsidRPr="00585C2D">
        <w:rPr>
          <w:rFonts w:eastAsia="Arial" w:cstheme="minorHAnsi"/>
          <w:spacing w:val="2"/>
        </w:rPr>
        <w:t>d</w:t>
      </w:r>
      <w:r w:rsidRPr="00585C2D">
        <w:rPr>
          <w:rFonts w:eastAsia="Arial" w:cstheme="minorHAnsi"/>
        </w:rPr>
        <w:t>’</w:t>
      </w:r>
      <w:r w:rsidRPr="00585C2D">
        <w:rPr>
          <w:rFonts w:eastAsia="Arial" w:cstheme="minorHAnsi"/>
          <w:spacing w:val="19"/>
        </w:rPr>
        <w:t xml:space="preserve"> </w:t>
      </w:r>
      <w:r w:rsidRPr="00585C2D">
        <w:rPr>
          <w:rFonts w:eastAsia="Arial" w:cstheme="minorHAnsi"/>
          <w:spacing w:val="-2"/>
        </w:rPr>
        <w:t>r</w:t>
      </w:r>
      <w:r w:rsidRPr="00585C2D">
        <w:rPr>
          <w:rFonts w:eastAsia="Arial" w:cstheme="minorHAnsi"/>
          <w:spacing w:val="2"/>
        </w:rPr>
        <w:t>eg</w:t>
      </w:r>
      <w:r w:rsidRPr="00585C2D">
        <w:rPr>
          <w:rFonts w:eastAsia="Arial" w:cstheme="minorHAnsi"/>
          <w:spacing w:val="-1"/>
        </w:rPr>
        <w:t>i</w:t>
      </w:r>
      <w:r w:rsidRPr="00585C2D">
        <w:rPr>
          <w:rFonts w:eastAsia="Arial" w:cstheme="minorHAnsi"/>
          <w:spacing w:val="-5"/>
        </w:rPr>
        <w:t>s</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17"/>
        </w:rPr>
        <w:t xml:space="preserve"> </w:t>
      </w:r>
      <w:r w:rsidRPr="00585C2D">
        <w:rPr>
          <w:rFonts w:eastAsia="Arial" w:cstheme="minorHAnsi"/>
          <w:spacing w:val="2"/>
        </w:rPr>
        <w:t>op</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on</w:t>
      </w:r>
      <w:r w:rsidRPr="00585C2D">
        <w:rPr>
          <w:rFonts w:eastAsia="Arial" w:cstheme="minorHAnsi"/>
        </w:rPr>
        <w:t>.</w:t>
      </w:r>
      <w:r w:rsidRPr="00585C2D">
        <w:rPr>
          <w:rFonts w:eastAsia="Arial" w:cstheme="minorHAnsi"/>
          <w:spacing w:val="21"/>
        </w:rPr>
        <w:t xml:space="preserve"> </w:t>
      </w:r>
      <w:r w:rsidRPr="00585C2D">
        <w:rPr>
          <w:rFonts w:eastAsia="Arial" w:cstheme="minorHAnsi"/>
          <w:spacing w:val="-3"/>
        </w:rPr>
        <w:t>A</w:t>
      </w:r>
      <w:r w:rsidRPr="00585C2D">
        <w:rPr>
          <w:rFonts w:eastAsia="Arial" w:cstheme="minorHAnsi"/>
          <w:spacing w:val="2"/>
        </w:rPr>
        <w:t>pp</w:t>
      </w:r>
      <w:r w:rsidRPr="00585C2D">
        <w:rPr>
          <w:rFonts w:eastAsia="Arial" w:cstheme="minorHAnsi"/>
          <w:spacing w:val="-2"/>
        </w:rPr>
        <w:t>r</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a</w:t>
      </w:r>
      <w:r w:rsidRPr="00585C2D">
        <w:rPr>
          <w:rFonts w:eastAsia="Arial" w:cstheme="minorHAnsi"/>
          <w:spacing w:val="-1"/>
        </w:rPr>
        <w:t>l</w:t>
      </w:r>
      <w:r w:rsidRPr="00585C2D">
        <w:rPr>
          <w:rFonts w:eastAsia="Arial" w:cstheme="minorHAnsi"/>
        </w:rPr>
        <w:t>s</w:t>
      </w:r>
      <w:r w:rsidRPr="00585C2D">
        <w:rPr>
          <w:rFonts w:eastAsia="Arial" w:cstheme="minorHAnsi"/>
          <w:spacing w:val="20"/>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22"/>
        </w:rPr>
        <w:t xml:space="preserve"> </w:t>
      </w:r>
      <w:r w:rsidRPr="00585C2D">
        <w:rPr>
          <w:rFonts w:eastAsia="Arial" w:cstheme="minorHAnsi"/>
          <w:spacing w:val="-6"/>
        </w:rPr>
        <w:t>r</w:t>
      </w:r>
      <w:r w:rsidRPr="00585C2D">
        <w:rPr>
          <w:rFonts w:eastAsia="Arial" w:cstheme="minorHAnsi"/>
          <w:spacing w:val="2"/>
        </w:rPr>
        <w:t>e</w:t>
      </w:r>
      <w:r w:rsidRPr="00585C2D">
        <w:rPr>
          <w:rFonts w:eastAsia="Arial" w:cstheme="minorHAnsi"/>
        </w:rPr>
        <w:t>s</w:t>
      </w:r>
      <w:r w:rsidRPr="00585C2D">
        <w:rPr>
          <w:rFonts w:eastAsia="Arial" w:cstheme="minorHAnsi"/>
          <w:spacing w:val="-3"/>
        </w:rPr>
        <w:t>p</w:t>
      </w:r>
      <w:r w:rsidRPr="00585C2D">
        <w:rPr>
          <w:rFonts w:eastAsia="Arial" w:cstheme="minorHAnsi"/>
          <w:spacing w:val="2"/>
        </w:rPr>
        <w:t>e</w:t>
      </w:r>
      <w:r w:rsidRPr="00585C2D">
        <w:rPr>
          <w:rFonts w:eastAsia="Arial" w:cstheme="minorHAnsi"/>
        </w:rPr>
        <w:t>ct</w:t>
      </w:r>
      <w:r w:rsidRPr="00585C2D">
        <w:rPr>
          <w:rFonts w:eastAsia="Arial" w:cstheme="minorHAnsi"/>
          <w:spacing w:val="16"/>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1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2"/>
        </w:rPr>
        <w:t xml:space="preserve"> </w:t>
      </w:r>
      <w:r w:rsidRPr="00585C2D">
        <w:rPr>
          <w:rFonts w:eastAsia="Arial" w:cstheme="minorHAnsi"/>
          <w:spacing w:val="-6"/>
        </w:rPr>
        <w:t>C</w:t>
      </w:r>
      <w:r w:rsidRPr="00585C2D">
        <w:rPr>
          <w:rFonts w:eastAsia="Arial" w:cstheme="minorHAnsi"/>
          <w:spacing w:val="1"/>
        </w:rPr>
        <w:t>E</w:t>
      </w:r>
      <w:r w:rsidRPr="00585C2D">
        <w:rPr>
          <w:rFonts w:eastAsia="Arial" w:cstheme="minorHAnsi"/>
        </w:rPr>
        <w:t>O</w:t>
      </w:r>
      <w:r w:rsidRPr="00585C2D">
        <w:rPr>
          <w:rFonts w:eastAsia="Arial" w:cstheme="minorHAnsi"/>
          <w:spacing w:val="21"/>
        </w:rPr>
        <w:t xml:space="preserve"> </w:t>
      </w:r>
      <w:r w:rsidRPr="00585C2D">
        <w:rPr>
          <w:rFonts w:eastAsia="Arial" w:cstheme="minorHAnsi"/>
          <w:spacing w:val="-2"/>
        </w:rPr>
        <w:t>m</w:t>
      </w:r>
      <w:r w:rsidRPr="00585C2D">
        <w:rPr>
          <w:rFonts w:eastAsia="Arial" w:cstheme="minorHAnsi"/>
          <w:spacing w:val="2"/>
        </w:rPr>
        <w:t>u</w:t>
      </w:r>
      <w:r w:rsidRPr="00585C2D">
        <w:rPr>
          <w:rFonts w:eastAsia="Arial" w:cstheme="minorHAnsi"/>
          <w:spacing w:val="-5"/>
        </w:rPr>
        <w:t>s</w:t>
      </w:r>
      <w:r w:rsidRPr="00585C2D">
        <w:rPr>
          <w:rFonts w:eastAsia="Arial" w:cstheme="minorHAnsi"/>
        </w:rPr>
        <w:t>t</w:t>
      </w:r>
      <w:r w:rsidRPr="00585C2D">
        <w:rPr>
          <w:rFonts w:eastAsia="Arial" w:cstheme="minorHAnsi"/>
          <w:spacing w:val="21"/>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17"/>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spacing w:val="-2"/>
        </w:rPr>
        <w:t>r</w:t>
      </w:r>
      <w:r w:rsidRPr="00585C2D">
        <w:rPr>
          <w:rFonts w:eastAsia="Arial" w:cstheme="minorHAnsi"/>
          <w:spacing w:val="-1"/>
        </w:rPr>
        <w:t>w</w:t>
      </w:r>
      <w:r w:rsidRPr="00585C2D">
        <w:rPr>
          <w:rFonts w:eastAsia="Arial" w:cstheme="minorHAnsi"/>
          <w:spacing w:val="2"/>
        </w:rPr>
        <w:t>a</w:t>
      </w:r>
      <w:r w:rsidRPr="00585C2D">
        <w:rPr>
          <w:rFonts w:eastAsia="Arial" w:cstheme="minorHAnsi"/>
          <w:spacing w:val="-2"/>
        </w:rPr>
        <w:t>r</w:t>
      </w:r>
      <w:r w:rsidRPr="00585C2D">
        <w:rPr>
          <w:rFonts w:eastAsia="Arial" w:cstheme="minorHAnsi"/>
          <w:spacing w:val="-3"/>
        </w:rPr>
        <w:t>d</w:t>
      </w:r>
      <w:r w:rsidRPr="00585C2D">
        <w:rPr>
          <w:rFonts w:eastAsia="Arial" w:cstheme="minorHAnsi"/>
          <w:spacing w:val="2"/>
        </w:rPr>
        <w:t>e</w:t>
      </w:r>
      <w:r w:rsidRPr="00585C2D">
        <w:rPr>
          <w:rFonts w:eastAsia="Arial" w:cstheme="minorHAnsi"/>
        </w:rPr>
        <w:t>d</w:t>
      </w:r>
      <w:r w:rsidRPr="00585C2D">
        <w:rPr>
          <w:rFonts w:eastAsia="Arial" w:cstheme="minorHAnsi"/>
          <w:spacing w:val="17"/>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1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3"/>
        </w:rPr>
        <w:t xml:space="preserve"> </w:t>
      </w:r>
      <w:proofErr w:type="gramStart"/>
      <w:r w:rsidRPr="00585C2D">
        <w:rPr>
          <w:rFonts w:eastAsia="Arial" w:cstheme="minorHAnsi"/>
          <w:spacing w:val="-6"/>
        </w:rPr>
        <w:t>M</w:t>
      </w:r>
      <w:r w:rsidRPr="00585C2D">
        <w:rPr>
          <w:rFonts w:eastAsia="Arial" w:cstheme="minorHAnsi"/>
          <w:spacing w:val="2"/>
        </w:rPr>
        <w:t>a</w:t>
      </w:r>
      <w:r w:rsidRPr="00585C2D">
        <w:rPr>
          <w:rFonts w:eastAsia="Arial" w:cstheme="minorHAnsi"/>
        </w:rPr>
        <w:t>y</w:t>
      </w:r>
      <w:r w:rsidRPr="00585C2D">
        <w:rPr>
          <w:rFonts w:eastAsia="Arial" w:cstheme="minorHAnsi"/>
          <w:spacing w:val="2"/>
        </w:rPr>
        <w:t>o</w:t>
      </w:r>
      <w:r w:rsidRPr="00585C2D">
        <w:rPr>
          <w:rFonts w:eastAsia="Arial" w:cstheme="minorHAnsi"/>
        </w:rPr>
        <w:t>r</w:t>
      </w:r>
      <w:proofErr w:type="gramEnd"/>
      <w:r w:rsidRPr="00585C2D">
        <w:rPr>
          <w:rFonts w:eastAsia="Arial" w:cstheme="minorHAnsi"/>
          <w:spacing w:val="15"/>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2"/>
        </w:rPr>
        <w:t>a</w:t>
      </w:r>
      <w:r w:rsidRPr="00585C2D">
        <w:rPr>
          <w:rFonts w:eastAsia="Arial" w:cstheme="minorHAnsi"/>
          <w:spacing w:val="-3"/>
        </w:rPr>
        <w:t>p</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o</w:t>
      </w:r>
      <w:r w:rsidRPr="00585C2D">
        <w:rPr>
          <w:rFonts w:eastAsia="Arial" w:cstheme="minorHAnsi"/>
        </w:rPr>
        <w:t>v</w:t>
      </w:r>
      <w:r w:rsidRPr="00585C2D">
        <w:rPr>
          <w:rFonts w:eastAsia="Arial" w:cstheme="minorHAnsi"/>
          <w:spacing w:val="2"/>
        </w:rPr>
        <w:t>a</w:t>
      </w:r>
      <w:r w:rsidRPr="00585C2D">
        <w:rPr>
          <w:rFonts w:eastAsia="Arial" w:cstheme="minorHAnsi"/>
        </w:rPr>
        <w:t>l.</w:t>
      </w:r>
    </w:p>
    <w:p w14:paraId="739584D5" w14:textId="77777777" w:rsidR="004111DE" w:rsidRDefault="004111DE">
      <w:pPr>
        <w:rPr>
          <w:rFonts w:eastAsia="Arial" w:cstheme="minorHAnsi"/>
          <w:b/>
          <w:bCs/>
        </w:rPr>
      </w:pPr>
      <w:r>
        <w:rPr>
          <w:rFonts w:eastAsia="Arial" w:cstheme="minorHAnsi"/>
          <w:b/>
          <w:bCs/>
        </w:rPr>
        <w:br w:type="page"/>
      </w:r>
    </w:p>
    <w:p w14:paraId="1988D584" w14:textId="70F7F597" w:rsidR="00FC0CF1" w:rsidRPr="00585C2D" w:rsidRDefault="00FC0CF1" w:rsidP="00FC0CF1">
      <w:pPr>
        <w:spacing w:after="60" w:line="240" w:lineRule="auto"/>
        <w:ind w:left="425" w:right="-23" w:hanging="425"/>
        <w:rPr>
          <w:rFonts w:eastAsia="Arial" w:cstheme="minorHAnsi"/>
        </w:rPr>
      </w:pPr>
      <w:r>
        <w:rPr>
          <w:rFonts w:eastAsia="Arial" w:cstheme="minorHAnsi"/>
          <w:b/>
          <w:bCs/>
        </w:rPr>
        <w:lastRenderedPageBreak/>
        <w:t>5</w:t>
      </w:r>
      <w:r w:rsidRPr="00585C2D">
        <w:rPr>
          <w:rFonts w:eastAsia="Arial" w:cstheme="minorHAnsi"/>
          <w:b/>
          <w:bCs/>
        </w:rPr>
        <w:t>.</w:t>
      </w:r>
      <w:r>
        <w:rPr>
          <w:rFonts w:eastAsia="Arial" w:cstheme="minorHAnsi"/>
          <w:b/>
          <w:bCs/>
          <w:spacing w:val="60"/>
        </w:rPr>
        <w:tab/>
      </w:r>
      <w:r w:rsidRPr="00585C2D">
        <w:rPr>
          <w:rFonts w:eastAsia="Arial" w:cstheme="minorHAnsi"/>
          <w:b/>
          <w:bCs/>
          <w:spacing w:val="4"/>
        </w:rPr>
        <w:t>T</w:t>
      </w:r>
      <w:r>
        <w:rPr>
          <w:rFonts w:eastAsia="Arial" w:cstheme="minorHAnsi"/>
          <w:b/>
          <w:bCs/>
          <w:spacing w:val="4"/>
        </w:rPr>
        <w:t>ravel, Accommodation, Meals and Incidentals</w:t>
      </w:r>
    </w:p>
    <w:p w14:paraId="3173EF63" w14:textId="77777777" w:rsidR="00FC0CF1" w:rsidRPr="00585C2D" w:rsidRDefault="00FC0CF1" w:rsidP="00FC0CF1">
      <w:pPr>
        <w:spacing w:after="120" w:line="239" w:lineRule="auto"/>
        <w:ind w:left="851" w:right="-45" w:hanging="425"/>
        <w:jc w:val="both"/>
        <w:rPr>
          <w:rFonts w:eastAsia="Arial" w:cstheme="minorHAnsi"/>
        </w:rPr>
      </w:pPr>
      <w:r w:rsidRPr="00585C2D">
        <w:rPr>
          <w:rFonts w:eastAsia="Arial" w:cstheme="minorHAnsi"/>
          <w:spacing w:val="2"/>
        </w:rPr>
        <w:t>a</w:t>
      </w:r>
      <w:r>
        <w:rPr>
          <w:rFonts w:eastAsia="Arial" w:cstheme="minorHAnsi"/>
        </w:rPr>
        <w:t>.</w:t>
      </w:r>
      <w:r>
        <w:rPr>
          <w:rFonts w:eastAsia="Arial" w:cstheme="minorHAnsi"/>
        </w:rPr>
        <w:tab/>
      </w:r>
      <w:r w:rsidRPr="00585C2D">
        <w:rPr>
          <w:rFonts w:eastAsia="Arial" w:cstheme="minorHAnsi"/>
          <w:spacing w:val="7"/>
        </w:rPr>
        <w:t>W</w:t>
      </w:r>
      <w:r w:rsidRPr="00585C2D">
        <w:rPr>
          <w:rFonts w:eastAsia="Arial" w:cstheme="minorHAnsi"/>
          <w:spacing w:val="-3"/>
        </w:rPr>
        <w:t>he</w:t>
      </w:r>
      <w:r w:rsidRPr="00585C2D">
        <w:rPr>
          <w:rFonts w:eastAsia="Arial" w:cstheme="minorHAnsi"/>
          <w:spacing w:val="-2"/>
        </w:rPr>
        <w:t>r</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spacing w:val="-5"/>
        </w:rPr>
        <w:t>c</w:t>
      </w:r>
      <w:r w:rsidRPr="00585C2D">
        <w:rPr>
          <w:rFonts w:eastAsia="Arial" w:cstheme="minorHAnsi"/>
          <w:spacing w:val="2"/>
        </w:rPr>
        <w:t>ab</w:t>
      </w:r>
      <w:r w:rsidRPr="00585C2D">
        <w:rPr>
          <w:rFonts w:eastAsia="Arial" w:cstheme="minorHAnsi"/>
          <w:spacing w:val="-6"/>
        </w:rPr>
        <w:t>l</w:t>
      </w:r>
      <w:r w:rsidRPr="00585C2D">
        <w:rPr>
          <w:rFonts w:eastAsia="Arial" w:cstheme="minorHAnsi"/>
          <w:spacing w:val="2"/>
        </w:rPr>
        <w:t>e</w:t>
      </w:r>
      <w:r w:rsidRPr="00585C2D">
        <w:rPr>
          <w:rFonts w:eastAsia="Arial" w:cstheme="minorHAnsi"/>
        </w:rPr>
        <w:t>,</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e</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q</w:t>
      </w:r>
      <w:r w:rsidRPr="00585C2D">
        <w:rPr>
          <w:rFonts w:eastAsia="Arial" w:cstheme="minorHAnsi"/>
          <w:spacing w:val="-3"/>
        </w:rPr>
        <w:t>u</w:t>
      </w:r>
      <w:r w:rsidRPr="00585C2D">
        <w:rPr>
          <w:rFonts w:eastAsia="Arial" w:cstheme="minorHAnsi"/>
          <w:spacing w:val="2"/>
        </w:rPr>
        <w:t>e</w:t>
      </w:r>
      <w:r w:rsidRPr="00585C2D">
        <w:rPr>
          <w:rFonts w:eastAsia="Arial" w:cstheme="minorHAnsi"/>
        </w:rPr>
        <w:t>s</w:t>
      </w:r>
      <w:r w:rsidRPr="00585C2D">
        <w:rPr>
          <w:rFonts w:eastAsia="Arial" w:cstheme="minorHAnsi"/>
          <w:spacing w:val="1"/>
        </w:rPr>
        <w:t>t</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5"/>
        </w:rPr>
        <w:t>s</w:t>
      </w:r>
      <w:r w:rsidRPr="00585C2D">
        <w:rPr>
          <w:rFonts w:eastAsia="Arial" w:cstheme="minorHAnsi"/>
          <w:spacing w:val="2"/>
        </w:rPr>
        <w:t>h</w:t>
      </w:r>
      <w:r w:rsidRPr="00585C2D">
        <w:rPr>
          <w:rFonts w:eastAsia="Arial" w:cstheme="minorHAnsi"/>
          <w:spacing w:val="-3"/>
        </w:rPr>
        <w:t>o</w:t>
      </w:r>
      <w:r w:rsidRPr="00585C2D">
        <w:rPr>
          <w:rFonts w:eastAsia="Arial" w:cstheme="minorHAnsi"/>
          <w:spacing w:val="2"/>
        </w:rPr>
        <w:t>u</w:t>
      </w:r>
      <w:r w:rsidRPr="00585C2D">
        <w:rPr>
          <w:rFonts w:eastAsia="Arial" w:cstheme="minorHAnsi"/>
          <w:spacing w:val="-1"/>
        </w:rPr>
        <w:t>l</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o</w:t>
      </w:r>
      <w:r w:rsidRPr="00585C2D">
        <w:rPr>
          <w:rFonts w:eastAsia="Arial" w:cstheme="minorHAnsi"/>
        </w:rPr>
        <w:t>v</w:t>
      </w:r>
      <w:r w:rsidRPr="00585C2D">
        <w:rPr>
          <w:rFonts w:eastAsia="Arial" w:cstheme="minorHAnsi"/>
          <w:spacing w:val="-6"/>
        </w:rPr>
        <w:t>i</w:t>
      </w:r>
      <w:r w:rsidRPr="00585C2D">
        <w:rPr>
          <w:rFonts w:eastAsia="Arial" w:cstheme="minorHAnsi"/>
          <w:spacing w:val="2"/>
        </w:rPr>
        <w:t>d</w:t>
      </w:r>
      <w:r w:rsidRPr="00585C2D">
        <w:rPr>
          <w:rFonts w:eastAsia="Arial" w:cstheme="minorHAnsi"/>
          <w:spacing w:val="-3"/>
        </w:rPr>
        <w:t>e</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1"/>
        </w:rPr>
        <w:t>l</w:t>
      </w:r>
      <w:r w:rsidRPr="00585C2D">
        <w:rPr>
          <w:rFonts w:eastAsia="Arial" w:cstheme="minorHAnsi"/>
          <w:spacing w:val="2"/>
        </w:rPr>
        <w:t>ea</w:t>
      </w:r>
      <w:r w:rsidRPr="00585C2D">
        <w:rPr>
          <w:rFonts w:eastAsia="Arial" w:cstheme="minorHAnsi"/>
          <w:spacing w:val="-5"/>
        </w:rPr>
        <w:t>s</w:t>
      </w:r>
      <w:r w:rsidRPr="00585C2D">
        <w:rPr>
          <w:rFonts w:eastAsia="Arial" w:cstheme="minorHAnsi"/>
        </w:rPr>
        <w:t>t</w:t>
      </w:r>
      <w:r w:rsidRPr="00585C2D">
        <w:rPr>
          <w:rFonts w:eastAsia="Arial" w:cstheme="minorHAnsi"/>
          <w:spacing w:val="-3"/>
        </w:rPr>
        <w:t xml:space="preserve"> o</w:t>
      </w:r>
      <w:r w:rsidRPr="00585C2D">
        <w:rPr>
          <w:rFonts w:eastAsia="Arial" w:cstheme="minorHAnsi"/>
          <w:spacing w:val="2"/>
        </w:rPr>
        <w:t>n</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6"/>
        </w:rPr>
        <w:t>m</w:t>
      </w:r>
      <w:r w:rsidRPr="00585C2D">
        <w:rPr>
          <w:rFonts w:eastAsia="Arial" w:cstheme="minorHAnsi"/>
          <w:spacing w:val="2"/>
        </w:rPr>
        <w:t>o</w:t>
      </w:r>
      <w:r w:rsidRPr="00585C2D">
        <w:rPr>
          <w:rFonts w:eastAsia="Arial" w:cstheme="minorHAnsi"/>
          <w:spacing w:val="-3"/>
        </w:rPr>
        <w:t>n</w:t>
      </w:r>
      <w:r w:rsidRPr="00585C2D">
        <w:rPr>
          <w:rFonts w:eastAsia="Arial" w:cstheme="minorHAnsi"/>
          <w:spacing w:val="1"/>
        </w:rPr>
        <w:t>t</w:t>
      </w:r>
      <w:r w:rsidRPr="00585C2D">
        <w:rPr>
          <w:rFonts w:eastAsia="Arial" w:cstheme="minorHAnsi"/>
        </w:rPr>
        <w:t>h</w:t>
      </w:r>
      <w:r w:rsidRPr="00585C2D">
        <w:rPr>
          <w:rFonts w:eastAsia="Arial" w:cstheme="minorHAnsi"/>
          <w:spacing w:val="5"/>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1"/>
        </w:rPr>
        <w:t>i</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 xml:space="preserve">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e</w:t>
      </w:r>
      <w:r w:rsidRPr="00585C2D">
        <w:rPr>
          <w:rFonts w:eastAsia="Arial" w:cstheme="minorHAnsi"/>
        </w:rPr>
        <w:t>l</w:t>
      </w:r>
      <w:r w:rsidRPr="00585C2D">
        <w:rPr>
          <w:rFonts w:eastAsia="Arial" w:cstheme="minorHAnsi"/>
          <w:spacing w:val="-3"/>
        </w:rPr>
        <w:t xml:space="preserve"> d</w:t>
      </w:r>
      <w:r w:rsidRPr="00585C2D">
        <w:rPr>
          <w:rFonts w:eastAsia="Arial" w:cstheme="minorHAnsi"/>
          <w:spacing w:val="2"/>
        </w:rPr>
        <w:t>a</w:t>
      </w:r>
      <w:r w:rsidRPr="00585C2D">
        <w:rPr>
          <w:rFonts w:eastAsia="Arial" w:cstheme="minorHAnsi"/>
          <w:spacing w:val="-4"/>
        </w:rPr>
        <w:t>t</w:t>
      </w:r>
      <w:r w:rsidRPr="00585C2D">
        <w:rPr>
          <w:rFonts w:eastAsia="Arial" w:cstheme="minorHAnsi"/>
        </w:rPr>
        <w:t xml:space="preserve">e </w:t>
      </w:r>
      <w:r w:rsidRPr="00585C2D">
        <w:rPr>
          <w:rFonts w:eastAsia="Arial" w:cstheme="minorHAnsi"/>
          <w:spacing w:val="1"/>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rPr>
        <w:t>w</w:t>
      </w:r>
      <w:r w:rsidRPr="00585C2D">
        <w:rPr>
          <w:rFonts w:eastAsia="Arial" w:cstheme="minorHAnsi"/>
          <w:spacing w:val="-5"/>
        </w:rPr>
        <w:t xml:space="preserve"> </w:t>
      </w:r>
      <w:r w:rsidRPr="00585C2D">
        <w:rPr>
          <w:rFonts w:eastAsia="Arial" w:cstheme="minorHAnsi"/>
          <w:spacing w:val="2"/>
        </w:rPr>
        <w:t>a</w:t>
      </w:r>
      <w:r w:rsidRPr="00585C2D">
        <w:rPr>
          <w:rFonts w:eastAsia="Arial" w:cstheme="minorHAnsi"/>
          <w:spacing w:val="-3"/>
        </w:rPr>
        <w:t>d</w:t>
      </w:r>
      <w:r w:rsidRPr="00585C2D">
        <w:rPr>
          <w:rFonts w:eastAsia="Arial" w:cstheme="minorHAnsi"/>
          <w:spacing w:val="2"/>
        </w:rPr>
        <w:t>e</w:t>
      </w:r>
      <w:r w:rsidRPr="00585C2D">
        <w:rPr>
          <w:rFonts w:eastAsia="Arial" w:cstheme="minorHAnsi"/>
          <w:spacing w:val="-3"/>
        </w:rPr>
        <w:t>qu</w:t>
      </w:r>
      <w:r w:rsidRPr="00585C2D">
        <w:rPr>
          <w:rFonts w:eastAsia="Arial" w:cstheme="minorHAnsi"/>
          <w:spacing w:val="2"/>
        </w:rPr>
        <w:t>a</w:t>
      </w:r>
      <w:r w:rsidRPr="00585C2D">
        <w:rPr>
          <w:rFonts w:eastAsia="Arial" w:cstheme="minorHAnsi"/>
          <w:spacing w:val="1"/>
        </w:rPr>
        <w:t>t</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m</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3"/>
        </w:rPr>
        <w:t>b</w:t>
      </w:r>
      <w:r w:rsidRPr="00585C2D">
        <w:rPr>
          <w:rFonts w:eastAsia="Arial" w:cstheme="minorHAnsi"/>
          <w:spacing w:val="2"/>
        </w:rPr>
        <w:t>oo</w:t>
      </w:r>
      <w:r w:rsidRPr="00585C2D">
        <w:rPr>
          <w:rFonts w:eastAsia="Arial" w:cstheme="minorHAnsi"/>
        </w:rPr>
        <w:t>k</w:t>
      </w:r>
      <w:r w:rsidRPr="00585C2D">
        <w:rPr>
          <w:rFonts w:eastAsia="Arial" w:cstheme="minorHAnsi"/>
          <w:spacing w:val="-6"/>
        </w:rPr>
        <w:t>i</w:t>
      </w:r>
      <w:r w:rsidRPr="00585C2D">
        <w:rPr>
          <w:rFonts w:eastAsia="Arial" w:cstheme="minorHAnsi"/>
          <w:spacing w:val="2"/>
        </w:rPr>
        <w:t>ng</w:t>
      </w:r>
      <w:r w:rsidRPr="00585C2D">
        <w:rPr>
          <w:rFonts w:eastAsia="Arial" w:cstheme="minorHAnsi"/>
        </w:rPr>
        <w:t>s</w:t>
      </w:r>
      <w:r w:rsidRPr="00585C2D">
        <w:rPr>
          <w:rFonts w:eastAsia="Arial" w:cstheme="minorHAnsi"/>
          <w:spacing w:val="-4"/>
        </w:rPr>
        <w:t xml:space="preserve"> 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2"/>
        </w:rPr>
        <w:t xml:space="preserve"> m</w:t>
      </w:r>
      <w:r w:rsidRPr="00585C2D">
        <w:rPr>
          <w:rFonts w:eastAsia="Arial" w:cstheme="minorHAnsi"/>
          <w:spacing w:val="-3"/>
        </w:rPr>
        <w:t>a</w:t>
      </w:r>
      <w:r w:rsidRPr="00585C2D">
        <w:rPr>
          <w:rFonts w:eastAsia="Arial" w:cstheme="minorHAnsi"/>
          <w:spacing w:val="2"/>
        </w:rPr>
        <w:t>d</w:t>
      </w:r>
      <w:r w:rsidRPr="00585C2D">
        <w:rPr>
          <w:rFonts w:eastAsia="Arial" w:cstheme="minorHAnsi"/>
          <w:spacing w:val="9"/>
        </w:rPr>
        <w:t>e</w:t>
      </w:r>
      <w:r w:rsidRPr="00585C2D">
        <w:rPr>
          <w:rFonts w:eastAsia="Arial" w:cstheme="minorHAnsi"/>
        </w:rPr>
        <w:t>,</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spacing w:val="-1"/>
        </w:rPr>
        <w:t>i</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1"/>
        </w:rPr>
        <w:t>wil</w:t>
      </w:r>
      <w:r w:rsidRPr="00585C2D">
        <w:rPr>
          <w:rFonts w:eastAsia="Arial" w:cstheme="minorHAnsi"/>
        </w:rPr>
        <w:t xml:space="preserve">l </w:t>
      </w:r>
      <w:r w:rsidRPr="00585C2D">
        <w:rPr>
          <w:rFonts w:eastAsia="Arial" w:cstheme="minorHAnsi"/>
          <w:spacing w:val="2"/>
        </w:rPr>
        <w:t>a</w:t>
      </w:r>
      <w:r w:rsidRPr="00585C2D">
        <w:rPr>
          <w:rFonts w:eastAsia="Arial" w:cstheme="minorHAnsi"/>
          <w:spacing w:val="-1"/>
        </w:rPr>
        <w:t>l</w:t>
      </w:r>
      <w:r w:rsidRPr="00585C2D">
        <w:rPr>
          <w:rFonts w:eastAsia="Arial" w:cstheme="minorHAnsi"/>
          <w:spacing w:val="-6"/>
        </w:rPr>
        <w:t>l</w:t>
      </w:r>
      <w:r w:rsidRPr="00585C2D">
        <w:rPr>
          <w:rFonts w:eastAsia="Arial" w:cstheme="minorHAnsi"/>
          <w:spacing w:val="2"/>
        </w:rPr>
        <w:t>o</w:t>
      </w:r>
      <w:r w:rsidRPr="00585C2D">
        <w:rPr>
          <w:rFonts w:eastAsia="Arial" w:cstheme="minorHAnsi"/>
        </w:rPr>
        <w:t xml:space="preserve">w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Town</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a</w:t>
      </w:r>
      <w:r w:rsidRPr="00585C2D">
        <w:rPr>
          <w:rFonts w:eastAsia="Arial" w:cstheme="minorHAnsi"/>
        </w:rPr>
        <w:t>ke</w:t>
      </w:r>
      <w:r w:rsidRPr="00585C2D">
        <w:rPr>
          <w:rFonts w:eastAsia="Arial" w:cstheme="minorHAnsi"/>
          <w:spacing w:val="3"/>
        </w:rPr>
        <w:t xml:space="preserve"> </w:t>
      </w:r>
      <w:r w:rsidRPr="00585C2D">
        <w:rPr>
          <w:rFonts w:eastAsia="Arial" w:cstheme="minorHAnsi"/>
          <w:spacing w:val="-3"/>
        </w:rPr>
        <w:t>a</w:t>
      </w:r>
      <w:r w:rsidRPr="00585C2D">
        <w:rPr>
          <w:rFonts w:eastAsia="Arial" w:cstheme="minorHAnsi"/>
          <w:spacing w:val="2"/>
        </w:rPr>
        <w:t>d</w:t>
      </w:r>
      <w:r w:rsidRPr="00585C2D">
        <w:rPr>
          <w:rFonts w:eastAsia="Arial" w:cstheme="minorHAnsi"/>
        </w:rPr>
        <w:t>v</w:t>
      </w:r>
      <w:r w:rsidRPr="00585C2D">
        <w:rPr>
          <w:rFonts w:eastAsia="Arial" w:cstheme="minorHAnsi"/>
          <w:spacing w:val="-3"/>
        </w:rPr>
        <w:t>a</w:t>
      </w:r>
      <w:r w:rsidRPr="00585C2D">
        <w:rPr>
          <w:rFonts w:eastAsia="Arial" w:cstheme="minorHAnsi"/>
          <w:spacing w:val="2"/>
        </w:rPr>
        <w:t>n</w:t>
      </w:r>
      <w:r w:rsidRPr="00585C2D">
        <w:rPr>
          <w:rFonts w:eastAsia="Arial" w:cstheme="minorHAnsi"/>
          <w:spacing w:val="-4"/>
        </w:rPr>
        <w:t>t</w:t>
      </w:r>
      <w:r w:rsidRPr="00585C2D">
        <w:rPr>
          <w:rFonts w:eastAsia="Arial" w:cstheme="minorHAnsi"/>
          <w:spacing w:val="2"/>
        </w:rPr>
        <w:t>a</w:t>
      </w:r>
      <w:r w:rsidRPr="00585C2D">
        <w:rPr>
          <w:rFonts w:eastAsia="Arial" w:cstheme="minorHAnsi"/>
          <w:spacing w:val="-3"/>
        </w:rPr>
        <w:t>g</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a</w:t>
      </w:r>
      <w:r w:rsidRPr="00585C2D">
        <w:rPr>
          <w:rFonts w:eastAsia="Arial" w:cstheme="minorHAnsi"/>
          <w:spacing w:val="-3"/>
        </w:rPr>
        <w:t>n</w:t>
      </w:r>
      <w:r w:rsidRPr="00585C2D">
        <w:rPr>
          <w:rFonts w:eastAsia="Arial" w:cstheme="minorHAnsi"/>
        </w:rPr>
        <w:t xml:space="preserve">y </w:t>
      </w:r>
      <w:r w:rsidRPr="00585C2D">
        <w:rPr>
          <w:rFonts w:eastAsia="Arial" w:cstheme="minorHAnsi"/>
          <w:spacing w:val="2"/>
        </w:rPr>
        <w:t>a</w:t>
      </w:r>
      <w:r w:rsidRPr="00585C2D">
        <w:rPr>
          <w:rFonts w:eastAsia="Arial" w:cstheme="minorHAnsi"/>
        </w:rPr>
        <w:t>v</w:t>
      </w:r>
      <w:r w:rsidRPr="00585C2D">
        <w:rPr>
          <w:rFonts w:eastAsia="Arial" w:cstheme="minorHAnsi"/>
          <w:spacing w:val="2"/>
        </w:rPr>
        <w:t>a</w:t>
      </w:r>
      <w:r w:rsidRPr="00585C2D">
        <w:rPr>
          <w:rFonts w:eastAsia="Arial" w:cstheme="minorHAnsi"/>
          <w:spacing w:val="-1"/>
        </w:rPr>
        <w:t>il</w:t>
      </w:r>
      <w:r w:rsidRPr="00585C2D">
        <w:rPr>
          <w:rFonts w:eastAsia="Arial" w:cstheme="minorHAnsi"/>
          <w:spacing w:val="-3"/>
        </w:rPr>
        <w:t>a</w:t>
      </w:r>
      <w:r w:rsidRPr="00585C2D">
        <w:rPr>
          <w:rFonts w:eastAsia="Arial" w:cstheme="minorHAnsi"/>
          <w:spacing w:val="2"/>
        </w:rPr>
        <w:t>b</w:t>
      </w:r>
      <w:r w:rsidRPr="00585C2D">
        <w:rPr>
          <w:rFonts w:eastAsia="Arial" w:cstheme="minorHAnsi"/>
          <w:spacing w:val="-1"/>
        </w:rPr>
        <w:t>l</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d</w:t>
      </w:r>
      <w:r w:rsidRPr="00585C2D">
        <w:rPr>
          <w:rFonts w:eastAsia="Arial" w:cstheme="minorHAnsi"/>
          <w:spacing w:val="-1"/>
        </w:rPr>
        <w:t>i</w:t>
      </w:r>
      <w:r w:rsidRPr="00585C2D">
        <w:rPr>
          <w:rFonts w:eastAsia="Arial" w:cstheme="minorHAnsi"/>
        </w:rPr>
        <w:t>sc</w:t>
      </w:r>
      <w:r w:rsidRPr="00585C2D">
        <w:rPr>
          <w:rFonts w:eastAsia="Arial" w:cstheme="minorHAnsi"/>
          <w:spacing w:val="-3"/>
        </w:rPr>
        <w:t>o</w:t>
      </w:r>
      <w:r w:rsidRPr="00585C2D">
        <w:rPr>
          <w:rFonts w:eastAsia="Arial" w:cstheme="minorHAnsi"/>
          <w:spacing w:val="2"/>
        </w:rPr>
        <w:t>u</w:t>
      </w:r>
      <w:r w:rsidRPr="00585C2D">
        <w:rPr>
          <w:rFonts w:eastAsia="Arial" w:cstheme="minorHAnsi"/>
          <w:spacing w:val="-3"/>
        </w:rPr>
        <w:t>n</w:t>
      </w:r>
      <w:r w:rsidRPr="00585C2D">
        <w:rPr>
          <w:rFonts w:eastAsia="Arial" w:cstheme="minorHAnsi"/>
          <w:spacing w:val="1"/>
        </w:rPr>
        <w:t>t</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3"/>
        </w:rPr>
        <w:t>e</w:t>
      </w:r>
      <w:r w:rsidRPr="00585C2D">
        <w:rPr>
          <w:rFonts w:eastAsia="Arial" w:cstheme="minorHAnsi"/>
          <w:spacing w:val="2"/>
        </w:rPr>
        <w:t>a</w:t>
      </w:r>
      <w:r w:rsidRPr="00585C2D">
        <w:rPr>
          <w:rFonts w:eastAsia="Arial" w:cstheme="minorHAnsi"/>
          <w:spacing w:val="-2"/>
        </w:rPr>
        <w:t>r</w:t>
      </w:r>
      <w:r w:rsidRPr="00585C2D">
        <w:rPr>
          <w:rFonts w:eastAsia="Arial" w:cstheme="minorHAnsi"/>
          <w:spacing w:val="-1"/>
        </w:rPr>
        <w:t>l</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3"/>
        </w:rPr>
        <w:t>p</w:t>
      </w:r>
      <w:r w:rsidRPr="00585C2D">
        <w:rPr>
          <w:rFonts w:eastAsia="Arial" w:cstheme="minorHAnsi"/>
          <w:spacing w:val="2"/>
        </w:rPr>
        <w:t>u</w:t>
      </w:r>
      <w:r w:rsidRPr="00585C2D">
        <w:rPr>
          <w:rFonts w:eastAsia="Arial" w:cstheme="minorHAnsi"/>
          <w:spacing w:val="-2"/>
        </w:rPr>
        <w:t>r</w:t>
      </w:r>
      <w:r w:rsidRPr="00585C2D">
        <w:rPr>
          <w:rFonts w:eastAsia="Arial" w:cstheme="minorHAnsi"/>
        </w:rPr>
        <w:t>c</w:t>
      </w:r>
      <w:r w:rsidRPr="00585C2D">
        <w:rPr>
          <w:rFonts w:eastAsia="Arial" w:cstheme="minorHAnsi"/>
          <w:spacing w:val="-3"/>
        </w:rPr>
        <w:t>h</w:t>
      </w:r>
      <w:r w:rsidRPr="00585C2D">
        <w:rPr>
          <w:rFonts w:eastAsia="Arial" w:cstheme="minorHAnsi"/>
          <w:spacing w:val="2"/>
        </w:rPr>
        <w:t>a</w:t>
      </w:r>
      <w:r w:rsidRPr="00585C2D">
        <w:rPr>
          <w:rFonts w:eastAsia="Arial" w:cstheme="minorHAnsi"/>
        </w:rPr>
        <w:t>s</w:t>
      </w:r>
      <w:r w:rsidRPr="00585C2D">
        <w:rPr>
          <w:rFonts w:eastAsia="Arial" w:cstheme="minorHAnsi"/>
          <w:spacing w:val="-3"/>
        </w:rPr>
        <w:t>e</w:t>
      </w:r>
      <w:r w:rsidRPr="00585C2D">
        <w:rPr>
          <w:rFonts w:eastAsia="Arial" w:cstheme="minorHAnsi"/>
        </w:rPr>
        <w:t>.</w:t>
      </w:r>
    </w:p>
    <w:p w14:paraId="47B378EA" w14:textId="77777777" w:rsidR="00FC0CF1" w:rsidRPr="00585C2D" w:rsidRDefault="00FC0CF1" w:rsidP="00FC0CF1">
      <w:pPr>
        <w:spacing w:after="120" w:line="241" w:lineRule="auto"/>
        <w:ind w:left="851" w:right="-45" w:hanging="425"/>
        <w:jc w:val="both"/>
        <w:rPr>
          <w:rFonts w:eastAsia="Arial" w:cstheme="minorHAnsi"/>
        </w:rPr>
      </w:pPr>
      <w:r w:rsidRPr="00585C2D">
        <w:rPr>
          <w:rFonts w:eastAsia="Arial" w:cstheme="minorHAnsi"/>
          <w:spacing w:val="2"/>
        </w:rPr>
        <w:t>b</w:t>
      </w:r>
      <w:r>
        <w:rPr>
          <w:rFonts w:eastAsia="Arial" w:cstheme="minorHAnsi"/>
        </w:rPr>
        <w:t>.</w:t>
      </w:r>
      <w:r>
        <w:rPr>
          <w:rFonts w:eastAsia="Arial" w:cstheme="minorHAnsi"/>
        </w:rPr>
        <w:tab/>
      </w:r>
      <w:r w:rsidRPr="00585C2D">
        <w:rPr>
          <w:rFonts w:eastAsia="Arial" w:cstheme="minorHAnsi"/>
        </w:rPr>
        <w:t>T</w:t>
      </w:r>
      <w:r w:rsidRPr="00585C2D">
        <w:rPr>
          <w:rFonts w:eastAsia="Arial" w:cstheme="minorHAnsi"/>
          <w:spacing w:val="1"/>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rPr>
        <w:t>st</w:t>
      </w:r>
      <w:r w:rsidRPr="00585C2D">
        <w:rPr>
          <w:rFonts w:eastAsia="Arial" w:cstheme="minorHAnsi"/>
          <w:spacing w:val="-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spacing w:val="-1"/>
        </w:rPr>
        <w:t>i</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e</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3"/>
        </w:rPr>
        <w:t>an</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6"/>
        </w:rPr>
        <w:t>f</w:t>
      </w:r>
      <w:r w:rsidRPr="00585C2D">
        <w:rPr>
          <w:rFonts w:eastAsia="Arial" w:cstheme="minorHAnsi"/>
          <w:spacing w:val="-2"/>
        </w:rPr>
        <w:t>r</w:t>
      </w:r>
      <w:r w:rsidRPr="00585C2D">
        <w:rPr>
          <w:rFonts w:eastAsia="Arial" w:cstheme="minorHAnsi"/>
          <w:spacing w:val="2"/>
        </w:rPr>
        <w:t>o</w:t>
      </w:r>
      <w:r w:rsidRPr="00585C2D">
        <w:rPr>
          <w:rFonts w:eastAsia="Arial" w:cstheme="minorHAnsi"/>
        </w:rPr>
        <w:t>m</w:t>
      </w:r>
      <w:r w:rsidRPr="00585C2D">
        <w:rPr>
          <w:rFonts w:eastAsia="Arial" w:cstheme="minorHAnsi"/>
          <w:spacing w:val="-10"/>
        </w:rPr>
        <w:t xml:space="preserve"> </w:t>
      </w:r>
      <w:r w:rsidRPr="00585C2D">
        <w:rPr>
          <w:rFonts w:eastAsia="Arial" w:cstheme="minorHAnsi"/>
          <w:spacing w:val="2"/>
        </w:rPr>
        <w:t>de</w:t>
      </w:r>
      <w:r w:rsidRPr="00585C2D">
        <w:rPr>
          <w:rFonts w:eastAsia="Arial" w:cstheme="minorHAnsi"/>
          <w:spacing w:val="-5"/>
        </w:rPr>
        <w:t>s</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4"/>
        </w:rPr>
        <w:t xml:space="preserve"> t</w:t>
      </w:r>
      <w:r w:rsidRPr="00585C2D">
        <w:rPr>
          <w:rFonts w:eastAsia="Arial" w:cstheme="minorHAnsi"/>
        </w:rPr>
        <w:t>o</w:t>
      </w:r>
      <w:r w:rsidRPr="00585C2D">
        <w:rPr>
          <w:rFonts w:eastAsia="Arial" w:cstheme="minorHAnsi"/>
          <w:spacing w:val="-7"/>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4"/>
        </w:rPr>
        <w:t xml:space="preserve"> t</w:t>
      </w:r>
      <w:r w:rsidRPr="00585C2D">
        <w:rPr>
          <w:rFonts w:eastAsia="Arial" w:cstheme="minorHAnsi"/>
          <w:spacing w:val="2"/>
        </w:rPr>
        <w:t>h</w:t>
      </w:r>
      <w:r w:rsidRPr="00585C2D">
        <w:rPr>
          <w:rFonts w:eastAsia="Arial" w:cstheme="minorHAnsi"/>
        </w:rPr>
        <w:t>e</w:t>
      </w:r>
      <w:r w:rsidRPr="00585C2D">
        <w:rPr>
          <w:rFonts w:eastAsia="Arial" w:cstheme="minorHAnsi"/>
          <w:spacing w:val="-6"/>
        </w:rPr>
        <w:t xml:space="preserve"> </w:t>
      </w:r>
      <w:r w:rsidRPr="00585C2D">
        <w:rPr>
          <w:rFonts w:eastAsia="Arial" w:cstheme="minorHAnsi"/>
        </w:rPr>
        <w:t>s</w:t>
      </w:r>
      <w:r w:rsidRPr="00585C2D">
        <w:rPr>
          <w:rFonts w:eastAsia="Arial" w:cstheme="minorHAnsi"/>
          <w:spacing w:val="-3"/>
        </w:rPr>
        <w:t>h</w:t>
      </w:r>
      <w:r w:rsidRPr="00585C2D">
        <w:rPr>
          <w:rFonts w:eastAsia="Arial" w:cstheme="minorHAnsi"/>
          <w:spacing w:val="2"/>
        </w:rPr>
        <w:t>o</w:t>
      </w:r>
      <w:r w:rsidRPr="00585C2D">
        <w:rPr>
          <w:rFonts w:eastAsia="Arial" w:cstheme="minorHAnsi"/>
          <w:spacing w:val="-2"/>
        </w:rPr>
        <w:t>r</w:t>
      </w:r>
      <w:r w:rsidRPr="00585C2D">
        <w:rPr>
          <w:rFonts w:eastAsia="Arial" w:cstheme="minorHAnsi"/>
          <w:spacing w:val="1"/>
        </w:rPr>
        <w:t>t</w:t>
      </w:r>
      <w:r w:rsidRPr="00585C2D">
        <w:rPr>
          <w:rFonts w:eastAsia="Arial" w:cstheme="minorHAnsi"/>
          <w:spacing w:val="2"/>
        </w:rPr>
        <w:t>e</w:t>
      </w:r>
      <w:r w:rsidRPr="00585C2D">
        <w:rPr>
          <w:rFonts w:eastAsia="Arial" w:cstheme="minorHAnsi"/>
          <w:spacing w:val="-5"/>
        </w:rPr>
        <w:t>s</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2"/>
        </w:rPr>
        <w:t>m</w:t>
      </w:r>
      <w:r w:rsidRPr="00585C2D">
        <w:rPr>
          <w:rFonts w:eastAsia="Arial" w:cstheme="minorHAnsi"/>
          <w:spacing w:val="2"/>
        </w:rPr>
        <w:t>o</w:t>
      </w:r>
      <w:r w:rsidRPr="00585C2D">
        <w:rPr>
          <w:rFonts w:eastAsia="Arial" w:cstheme="minorHAnsi"/>
          <w:spacing w:val="-5"/>
        </w:rPr>
        <w:t>s</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2"/>
        </w:rPr>
        <w:t>p</w:t>
      </w:r>
      <w:r w:rsidRPr="00585C2D">
        <w:rPr>
          <w:rFonts w:eastAsia="Arial" w:cstheme="minorHAnsi"/>
          <w:spacing w:val="-6"/>
        </w:rPr>
        <w:t>r</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c</w:t>
      </w:r>
      <w:r w:rsidRPr="00585C2D">
        <w:rPr>
          <w:rFonts w:eastAsia="Arial" w:cstheme="minorHAnsi"/>
          <w:spacing w:val="2"/>
        </w:rPr>
        <w:t>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6"/>
        </w:rPr>
        <w:t>r</w:t>
      </w:r>
      <w:r w:rsidRPr="00585C2D">
        <w:rPr>
          <w:rFonts w:eastAsia="Arial" w:cstheme="minorHAnsi"/>
          <w:spacing w:val="2"/>
        </w:rPr>
        <w:t>ou</w:t>
      </w:r>
      <w:r w:rsidRPr="00585C2D">
        <w:rPr>
          <w:rFonts w:eastAsia="Arial" w:cstheme="minorHAnsi"/>
          <w:spacing w:val="-4"/>
        </w:rPr>
        <w:t>t</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un</w:t>
      </w:r>
      <w:r w:rsidRPr="00585C2D">
        <w:rPr>
          <w:rFonts w:eastAsia="Arial" w:cstheme="minorHAnsi"/>
          <w:spacing w:val="-6"/>
        </w:rPr>
        <w:t>l</w:t>
      </w:r>
      <w:r w:rsidRPr="00585C2D">
        <w:rPr>
          <w:rFonts w:eastAsia="Arial" w:cstheme="minorHAnsi"/>
          <w:spacing w:val="2"/>
        </w:rPr>
        <w:t>e</w:t>
      </w:r>
      <w:r w:rsidRPr="00585C2D">
        <w:rPr>
          <w:rFonts w:eastAsia="Arial" w:cstheme="minorHAnsi"/>
        </w:rPr>
        <w:t xml:space="preserve">ss </w:t>
      </w:r>
      <w:r w:rsidRPr="00585C2D">
        <w:rPr>
          <w:rFonts w:eastAsia="Arial" w:cstheme="minorHAnsi"/>
          <w:spacing w:val="2"/>
        </w:rPr>
        <w:t>a</w:t>
      </w:r>
      <w:r w:rsidRPr="00585C2D">
        <w:rPr>
          <w:rFonts w:eastAsia="Arial" w:cstheme="minorHAnsi"/>
          <w:spacing w:val="-3"/>
        </w:rPr>
        <w:t>d</w:t>
      </w:r>
      <w:r w:rsidRPr="00585C2D">
        <w:rPr>
          <w:rFonts w:eastAsia="Arial" w:cstheme="minorHAnsi"/>
          <w:spacing w:val="2"/>
        </w:rPr>
        <w:t>d</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 xml:space="preserve">l </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rPr>
        <w:t>v</w:t>
      </w:r>
      <w:r w:rsidRPr="00585C2D">
        <w:rPr>
          <w:rFonts w:eastAsia="Arial" w:cstheme="minorHAnsi"/>
          <w:spacing w:val="2"/>
        </w:rPr>
        <w:t>e</w:t>
      </w:r>
      <w:r w:rsidRPr="00585C2D">
        <w:rPr>
          <w:rFonts w:eastAsia="Arial" w:cstheme="minorHAnsi"/>
        </w:rPr>
        <w:t xml:space="preserve">l </w:t>
      </w:r>
      <w:r w:rsidRPr="00585C2D">
        <w:rPr>
          <w:rFonts w:eastAsia="Arial" w:cstheme="minorHAnsi"/>
          <w:spacing w:val="-1"/>
        </w:rPr>
        <w:t>i</w:t>
      </w:r>
      <w:r w:rsidRPr="00585C2D">
        <w:rPr>
          <w:rFonts w:eastAsia="Arial" w:cstheme="minorHAnsi"/>
        </w:rPr>
        <w:t>s</w:t>
      </w:r>
      <w:r w:rsidRPr="00585C2D">
        <w:rPr>
          <w:rFonts w:eastAsia="Arial" w:cstheme="minorHAnsi"/>
          <w:spacing w:val="-4"/>
        </w:rPr>
        <w:t xml:space="preserve"> </w:t>
      </w:r>
      <w:r w:rsidRPr="00585C2D">
        <w:rPr>
          <w:rFonts w:eastAsia="Arial" w:cstheme="minorHAnsi"/>
        </w:rPr>
        <w:t>c</w:t>
      </w:r>
      <w:r w:rsidRPr="00585C2D">
        <w:rPr>
          <w:rFonts w:eastAsia="Arial" w:cstheme="minorHAnsi"/>
          <w:spacing w:val="-3"/>
        </w:rPr>
        <w:t>o</w:t>
      </w:r>
      <w:r w:rsidRPr="00585C2D">
        <w:rPr>
          <w:rFonts w:eastAsia="Arial" w:cstheme="minorHAnsi"/>
          <w:spacing w:val="2"/>
        </w:rPr>
        <w:t>n</w:t>
      </w:r>
      <w:r w:rsidRPr="00585C2D">
        <w:rPr>
          <w:rFonts w:eastAsia="Arial" w:cstheme="minorHAnsi"/>
          <w:spacing w:val="1"/>
        </w:rPr>
        <w:t>t</w:t>
      </w:r>
      <w:r w:rsidRPr="00585C2D">
        <w:rPr>
          <w:rFonts w:eastAsia="Arial" w:cstheme="minorHAnsi"/>
          <w:spacing w:val="2"/>
        </w:rPr>
        <w:t>e</w:t>
      </w:r>
      <w:r w:rsidRPr="00585C2D">
        <w:rPr>
          <w:rFonts w:eastAsia="Arial" w:cstheme="minorHAnsi"/>
          <w:spacing w:val="-6"/>
        </w:rPr>
        <w:t>m</w:t>
      </w:r>
      <w:r w:rsidRPr="00585C2D">
        <w:rPr>
          <w:rFonts w:eastAsia="Arial" w:cstheme="minorHAnsi"/>
          <w:spacing w:val="2"/>
        </w:rPr>
        <w:t>p</w:t>
      </w:r>
      <w:r w:rsidRPr="00585C2D">
        <w:rPr>
          <w:rFonts w:eastAsia="Arial" w:cstheme="minorHAnsi"/>
          <w:spacing w:val="-1"/>
        </w:rPr>
        <w:t>l</w:t>
      </w:r>
      <w:r w:rsidRPr="00585C2D">
        <w:rPr>
          <w:rFonts w:eastAsia="Arial" w:cstheme="minorHAnsi"/>
          <w:spacing w:val="2"/>
        </w:rPr>
        <w:t>a</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3"/>
        </w:rPr>
        <w:t>be</w:t>
      </w:r>
      <w:r w:rsidRPr="00585C2D">
        <w:rPr>
          <w:rFonts w:eastAsia="Arial" w:cstheme="minorHAnsi"/>
          <w:spacing w:val="6"/>
        </w:rPr>
        <w:t>f</w:t>
      </w:r>
      <w:r w:rsidRPr="00585C2D">
        <w:rPr>
          <w:rFonts w:eastAsia="Arial" w:cstheme="minorHAnsi"/>
          <w:spacing w:val="2"/>
        </w:rPr>
        <w:t>o</w:t>
      </w:r>
      <w:r w:rsidRPr="00585C2D">
        <w:rPr>
          <w:rFonts w:eastAsia="Arial" w:cstheme="minorHAnsi"/>
          <w:spacing w:val="-6"/>
        </w:rPr>
        <w:t>r</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3"/>
        </w:rPr>
        <w:t>a</w:t>
      </w:r>
      <w:r w:rsidRPr="00585C2D">
        <w:rPr>
          <w:rFonts w:eastAsia="Arial" w:cstheme="minorHAnsi"/>
          <w:spacing w:val="6"/>
        </w:rPr>
        <w:t>f</w:t>
      </w:r>
      <w:r w:rsidRPr="00585C2D">
        <w:rPr>
          <w:rFonts w:eastAsia="Arial" w:cstheme="minorHAnsi"/>
          <w:spacing w:val="-4"/>
        </w:rPr>
        <w:t>t</w:t>
      </w:r>
      <w:r w:rsidRPr="00585C2D">
        <w:rPr>
          <w:rFonts w:eastAsia="Arial" w:cstheme="minorHAnsi"/>
          <w:spacing w:val="2"/>
        </w:rPr>
        <w:t>e</w:t>
      </w:r>
      <w:r w:rsidRPr="00585C2D">
        <w:rPr>
          <w:rFonts w:eastAsia="Arial" w:cstheme="minorHAnsi"/>
        </w:rPr>
        <w:t>r</w:t>
      </w:r>
      <w:r w:rsidRPr="00585C2D">
        <w:rPr>
          <w:rFonts w:eastAsia="Arial" w:cstheme="minorHAnsi"/>
          <w:spacing w:val="-5"/>
        </w:rPr>
        <w:t xml:space="preserve"> </w:t>
      </w:r>
      <w:r w:rsidRPr="00585C2D">
        <w:rPr>
          <w:rFonts w:eastAsia="Arial" w:cstheme="minorHAnsi"/>
        </w:rPr>
        <w:t>a</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1"/>
        </w:rPr>
        <w:t>f</w:t>
      </w:r>
      <w:r w:rsidRPr="00585C2D">
        <w:rPr>
          <w:rFonts w:eastAsia="Arial" w:cstheme="minorHAnsi"/>
          <w:spacing w:val="2"/>
        </w:rPr>
        <w:t>e</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n</w:t>
      </w:r>
      <w:r w:rsidRPr="00585C2D">
        <w:rPr>
          <w:rFonts w:eastAsia="Arial" w:cstheme="minorHAnsi"/>
        </w:rPr>
        <w:t>c</w:t>
      </w:r>
      <w:r w:rsidRPr="00585C2D">
        <w:rPr>
          <w:rFonts w:eastAsia="Arial" w:cstheme="minorHAnsi"/>
          <w:spacing w:val="-3"/>
        </w:rPr>
        <w:t>e</w:t>
      </w:r>
      <w:r w:rsidRPr="00585C2D">
        <w:rPr>
          <w:rFonts w:eastAsia="Arial" w:cstheme="minorHAnsi"/>
        </w:rPr>
        <w:t>.</w:t>
      </w:r>
    </w:p>
    <w:p w14:paraId="4B327B94" w14:textId="77777777" w:rsidR="00FC0CF1" w:rsidRPr="00585C2D" w:rsidRDefault="00FC0CF1" w:rsidP="00FC0CF1">
      <w:pPr>
        <w:spacing w:after="120" w:line="241" w:lineRule="auto"/>
        <w:ind w:left="851" w:right="-45" w:hanging="425"/>
        <w:jc w:val="both"/>
        <w:rPr>
          <w:rFonts w:eastAsia="Arial" w:cstheme="minorHAnsi"/>
        </w:rPr>
      </w:pPr>
      <w:r>
        <w:rPr>
          <w:rFonts w:eastAsia="Arial" w:cstheme="minorHAnsi"/>
        </w:rPr>
        <w:t>c.</w:t>
      </w:r>
      <w:r>
        <w:rPr>
          <w:rFonts w:eastAsia="Arial" w:cstheme="minorHAnsi"/>
        </w:rPr>
        <w:tab/>
      </w:r>
      <w:r w:rsidRPr="00585C2D">
        <w:rPr>
          <w:rFonts w:eastAsia="Arial" w:cstheme="minorHAnsi"/>
          <w:spacing w:val="1"/>
        </w:rPr>
        <w:t>A</w:t>
      </w:r>
      <w:r w:rsidRPr="00585C2D">
        <w:rPr>
          <w:rFonts w:eastAsia="Arial" w:cstheme="minorHAnsi"/>
          <w:spacing w:val="-1"/>
        </w:rPr>
        <w:t>l</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2"/>
        </w:rPr>
        <w:t>a</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rPr>
        <w:t>v</w:t>
      </w:r>
      <w:r w:rsidRPr="00585C2D">
        <w:rPr>
          <w:rFonts w:eastAsia="Arial" w:cstheme="minorHAnsi"/>
          <w:spacing w:val="2"/>
        </w:rPr>
        <w:t>e</w:t>
      </w:r>
      <w:r w:rsidRPr="00585C2D">
        <w:rPr>
          <w:rFonts w:eastAsia="Arial" w:cstheme="minorHAnsi"/>
        </w:rPr>
        <w:t xml:space="preserve">l </w:t>
      </w:r>
      <w:r w:rsidRPr="00585C2D">
        <w:rPr>
          <w:rFonts w:eastAsia="Arial" w:cstheme="minorHAnsi"/>
          <w:spacing w:val="-1"/>
        </w:rPr>
        <w:t>i</w:t>
      </w:r>
      <w:r w:rsidRPr="00585C2D">
        <w:rPr>
          <w:rFonts w:eastAsia="Arial" w:cstheme="minorHAnsi"/>
        </w:rPr>
        <w:t>s</w:t>
      </w:r>
      <w:r w:rsidRPr="00585C2D">
        <w:rPr>
          <w:rFonts w:eastAsia="Arial" w:cstheme="minorHAnsi"/>
          <w:spacing w:val="1"/>
        </w:rPr>
        <w:t xml:space="preserve"> 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1"/>
        </w:rPr>
        <w:t xml:space="preserve"> E</w:t>
      </w:r>
      <w:r w:rsidRPr="00585C2D">
        <w:rPr>
          <w:rFonts w:eastAsia="Arial" w:cstheme="minorHAnsi"/>
          <w:spacing w:val="-5"/>
        </w:rPr>
        <w:t>c</w:t>
      </w:r>
      <w:r w:rsidRPr="00585C2D">
        <w:rPr>
          <w:rFonts w:eastAsia="Arial" w:cstheme="minorHAnsi"/>
          <w:spacing w:val="7"/>
        </w:rPr>
        <w:t>o</w:t>
      </w:r>
      <w:r w:rsidRPr="00585C2D">
        <w:rPr>
          <w:rFonts w:eastAsia="Arial" w:cstheme="minorHAnsi"/>
          <w:spacing w:val="-3"/>
        </w:rPr>
        <w:t>n</w:t>
      </w:r>
      <w:r w:rsidRPr="00585C2D">
        <w:rPr>
          <w:rFonts w:eastAsia="Arial" w:cstheme="minorHAnsi"/>
          <w:spacing w:val="2"/>
        </w:rPr>
        <w:t>o</w:t>
      </w:r>
      <w:r w:rsidRPr="00585C2D">
        <w:rPr>
          <w:rFonts w:eastAsia="Arial" w:cstheme="minorHAnsi"/>
          <w:spacing w:val="-2"/>
        </w:rPr>
        <w:t>m</w:t>
      </w:r>
      <w:r w:rsidRPr="00585C2D">
        <w:rPr>
          <w:rFonts w:eastAsia="Arial" w:cstheme="minorHAnsi"/>
        </w:rPr>
        <w:t>y</w:t>
      </w:r>
      <w:r w:rsidRPr="00585C2D">
        <w:rPr>
          <w:rFonts w:eastAsia="Arial" w:cstheme="minorHAnsi"/>
          <w:spacing w:val="6"/>
        </w:rPr>
        <w:t xml:space="preserve"> </w:t>
      </w:r>
      <w:r w:rsidRPr="00585C2D">
        <w:rPr>
          <w:rFonts w:eastAsia="Arial" w:cstheme="minorHAnsi"/>
          <w:spacing w:val="-1"/>
        </w:rPr>
        <w:t>Cl</w:t>
      </w:r>
      <w:r w:rsidRPr="00585C2D">
        <w:rPr>
          <w:rFonts w:eastAsia="Arial" w:cstheme="minorHAnsi"/>
          <w:spacing w:val="2"/>
        </w:rPr>
        <w:t>a</w:t>
      </w:r>
      <w:r w:rsidRPr="00585C2D">
        <w:rPr>
          <w:rFonts w:eastAsia="Arial" w:cstheme="minorHAnsi"/>
          <w:spacing w:val="-5"/>
        </w:rPr>
        <w:t>s</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2"/>
        </w:rPr>
        <w:t>a</w:t>
      </w:r>
      <w:r w:rsidRPr="00585C2D">
        <w:rPr>
          <w:rFonts w:eastAsia="Arial" w:cstheme="minorHAnsi"/>
        </w:rPr>
        <w:t>t a</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1"/>
        </w:rPr>
        <w:t>i</w:t>
      </w:r>
      <w:r w:rsidRPr="00585C2D">
        <w:rPr>
          <w:rFonts w:eastAsia="Arial" w:cstheme="minorHAnsi"/>
          <w:spacing w:val="-6"/>
        </w:rPr>
        <w:t>m</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a</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13"/>
        </w:rPr>
        <w:t xml:space="preserve"> </w:t>
      </w:r>
      <w:r w:rsidRPr="00585C2D">
        <w:rPr>
          <w:rFonts w:eastAsia="Arial" w:cstheme="minorHAnsi"/>
          <w:spacing w:val="-5"/>
        </w:rPr>
        <w:t>c</w:t>
      </w:r>
      <w:r w:rsidRPr="00585C2D">
        <w:rPr>
          <w:rFonts w:eastAsia="Arial" w:cstheme="minorHAnsi"/>
          <w:spacing w:val="2"/>
        </w:rPr>
        <w:t>on</w:t>
      </w:r>
      <w:r w:rsidRPr="00585C2D">
        <w:rPr>
          <w:rFonts w:eastAsia="Arial" w:cstheme="minorHAnsi"/>
          <w:spacing w:val="-5"/>
        </w:rPr>
        <w:t>v</w:t>
      </w:r>
      <w:r w:rsidRPr="00585C2D">
        <w:rPr>
          <w:rFonts w:eastAsia="Arial" w:cstheme="minorHAnsi"/>
          <w:spacing w:val="2"/>
        </w:rPr>
        <w:t>en</w:t>
      </w:r>
      <w:r w:rsidRPr="00585C2D">
        <w:rPr>
          <w:rFonts w:eastAsia="Arial" w:cstheme="minorHAnsi"/>
          <w:spacing w:val="-6"/>
        </w:rPr>
        <w:t>i</w:t>
      </w:r>
      <w:r w:rsidRPr="00585C2D">
        <w:rPr>
          <w:rFonts w:eastAsia="Arial" w:cstheme="minorHAnsi"/>
          <w:spacing w:val="2"/>
        </w:rPr>
        <w:t>en</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5"/>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1"/>
        </w:rPr>
        <w:t>C</w:t>
      </w:r>
      <w:r w:rsidRPr="00585C2D">
        <w:rPr>
          <w:rFonts w:eastAsia="Arial" w:cstheme="minorHAnsi"/>
          <w:spacing w:val="1"/>
        </w:rPr>
        <w:t>E</w:t>
      </w:r>
      <w:r w:rsidRPr="00585C2D">
        <w:rPr>
          <w:rFonts w:eastAsia="Arial" w:cstheme="minorHAnsi"/>
          <w:spacing w:val="-4"/>
        </w:rPr>
        <w:t>O</w:t>
      </w:r>
      <w:r w:rsidRPr="00585C2D">
        <w:rPr>
          <w:rFonts w:eastAsia="Arial" w:cstheme="minorHAnsi"/>
        </w:rPr>
        <w:t>.</w:t>
      </w:r>
      <w:r w:rsidRPr="00585C2D">
        <w:rPr>
          <w:rFonts w:eastAsia="Arial" w:cstheme="minorHAnsi"/>
          <w:spacing w:val="-5"/>
        </w:rPr>
        <w:t xml:space="preserve"> T</w:t>
      </w:r>
      <w:r w:rsidRPr="00585C2D">
        <w:rPr>
          <w:rFonts w:eastAsia="Arial" w:cstheme="minorHAnsi"/>
          <w:spacing w:val="2"/>
        </w:rPr>
        <w:t>h</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rPr>
        <w:t>st</w:t>
      </w:r>
      <w:r w:rsidRPr="00585C2D">
        <w:rPr>
          <w:rFonts w:eastAsia="Arial" w:cstheme="minorHAnsi"/>
          <w:spacing w:val="-1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12"/>
        </w:rPr>
        <w:t xml:space="preserve"> </w:t>
      </w:r>
      <w:r w:rsidRPr="00585C2D">
        <w:rPr>
          <w:rFonts w:eastAsia="Arial" w:cstheme="minorHAnsi"/>
          <w:spacing w:val="2"/>
        </w:rPr>
        <w:t>an</w:t>
      </w:r>
      <w:r w:rsidRPr="00585C2D">
        <w:rPr>
          <w:rFonts w:eastAsia="Arial" w:cstheme="minorHAnsi"/>
        </w:rPr>
        <w:t>y</w:t>
      </w:r>
      <w:r w:rsidRPr="00585C2D">
        <w:rPr>
          <w:rFonts w:eastAsia="Arial" w:cstheme="minorHAnsi"/>
          <w:spacing w:val="-13"/>
        </w:rPr>
        <w:t xml:space="preserve"> </w:t>
      </w:r>
      <w:r w:rsidRPr="00585C2D">
        <w:rPr>
          <w:rFonts w:eastAsia="Arial" w:cstheme="minorHAnsi"/>
          <w:spacing w:val="-3"/>
        </w:rPr>
        <w:t>u</w:t>
      </w:r>
      <w:r w:rsidRPr="00585C2D">
        <w:rPr>
          <w:rFonts w:eastAsia="Arial" w:cstheme="minorHAnsi"/>
          <w:spacing w:val="2"/>
        </w:rPr>
        <w:t>pg</w:t>
      </w:r>
      <w:r w:rsidRPr="00585C2D">
        <w:rPr>
          <w:rFonts w:eastAsia="Arial" w:cstheme="minorHAnsi"/>
          <w:spacing w:val="-6"/>
        </w:rPr>
        <w:t>r</w:t>
      </w:r>
      <w:r w:rsidRPr="00585C2D">
        <w:rPr>
          <w:rFonts w:eastAsia="Arial" w:cstheme="minorHAnsi"/>
          <w:spacing w:val="2"/>
        </w:rPr>
        <w:t>a</w:t>
      </w:r>
      <w:r w:rsidRPr="00585C2D">
        <w:rPr>
          <w:rFonts w:eastAsia="Arial" w:cstheme="minorHAnsi"/>
          <w:spacing w:val="-3"/>
        </w:rPr>
        <w:t>d</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11"/>
        </w:rPr>
        <w:t xml:space="preserve"> </w:t>
      </w:r>
      <w:r w:rsidRPr="00585C2D">
        <w:rPr>
          <w:rFonts w:eastAsia="Arial" w:cstheme="minorHAnsi"/>
          <w:spacing w:val="-3"/>
        </w:rPr>
        <w:t>b</w:t>
      </w:r>
      <w:r w:rsidRPr="00585C2D">
        <w:rPr>
          <w:rFonts w:eastAsia="Arial" w:cstheme="minorHAnsi"/>
          <w:spacing w:val="2"/>
        </w:rPr>
        <w:t>u</w:t>
      </w:r>
      <w:r w:rsidRPr="00585C2D">
        <w:rPr>
          <w:rFonts w:eastAsia="Arial" w:cstheme="minorHAnsi"/>
        </w:rPr>
        <w:t>s</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e</w:t>
      </w:r>
      <w:r w:rsidRPr="00585C2D">
        <w:rPr>
          <w:rFonts w:eastAsia="Arial" w:cstheme="minorHAnsi"/>
        </w:rPr>
        <w:t>ss c</w:t>
      </w:r>
      <w:r w:rsidRPr="00585C2D">
        <w:rPr>
          <w:rFonts w:eastAsia="Arial" w:cstheme="minorHAnsi"/>
          <w:spacing w:val="-1"/>
        </w:rPr>
        <w:t>l</w:t>
      </w:r>
      <w:r w:rsidRPr="00585C2D">
        <w:rPr>
          <w:rFonts w:eastAsia="Arial" w:cstheme="minorHAnsi"/>
          <w:spacing w:val="2"/>
        </w:rPr>
        <w:t>a</w:t>
      </w:r>
      <w:r w:rsidRPr="00585C2D">
        <w:rPr>
          <w:rFonts w:eastAsia="Arial" w:cstheme="minorHAnsi"/>
        </w:rPr>
        <w:t>ss</w:t>
      </w:r>
      <w:r w:rsidRPr="00585C2D">
        <w:rPr>
          <w:rFonts w:eastAsia="Arial" w:cstheme="minorHAnsi"/>
          <w:spacing w:val="1"/>
        </w:rPr>
        <w:t xml:space="preserve"> </w:t>
      </w:r>
      <w:r w:rsidRPr="00585C2D">
        <w:rPr>
          <w:rFonts w:eastAsia="Arial" w:cstheme="minorHAnsi"/>
        </w:rPr>
        <w:t>s</w:t>
      </w:r>
      <w:r w:rsidRPr="00585C2D">
        <w:rPr>
          <w:rFonts w:eastAsia="Arial" w:cstheme="minorHAnsi"/>
          <w:spacing w:val="-3"/>
        </w:rPr>
        <w:t>h</w:t>
      </w:r>
      <w:r w:rsidRPr="00585C2D">
        <w:rPr>
          <w:rFonts w:eastAsia="Arial" w:cstheme="minorHAnsi"/>
          <w:spacing w:val="2"/>
        </w:rPr>
        <w:t>a</w:t>
      </w:r>
      <w:r w:rsidRPr="00585C2D">
        <w:rPr>
          <w:rFonts w:eastAsia="Arial" w:cstheme="minorHAnsi"/>
          <w:spacing w:val="-1"/>
        </w:rPr>
        <w:t>l</w:t>
      </w:r>
      <w:r w:rsidRPr="00585C2D">
        <w:rPr>
          <w:rFonts w:eastAsia="Arial" w:cstheme="minorHAnsi"/>
        </w:rPr>
        <w:t xml:space="preserve">l </w:t>
      </w:r>
      <w:r w:rsidRPr="00585C2D">
        <w:rPr>
          <w:rFonts w:eastAsia="Arial" w:cstheme="minorHAnsi"/>
          <w:spacing w:val="2"/>
        </w:rPr>
        <w:t>b</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p</w:t>
      </w:r>
      <w:r w:rsidRPr="00585C2D">
        <w:rPr>
          <w:rFonts w:eastAsia="Arial" w:cstheme="minorHAnsi"/>
          <w:spacing w:val="2"/>
        </w:rPr>
        <w:t>a</w:t>
      </w:r>
      <w:r w:rsidRPr="00585C2D">
        <w:rPr>
          <w:rFonts w:eastAsia="Arial" w:cstheme="minorHAnsi"/>
          <w:spacing w:val="-1"/>
        </w:rPr>
        <w:t>i</w:t>
      </w:r>
      <w:r w:rsidRPr="00585C2D">
        <w:rPr>
          <w:rFonts w:eastAsia="Arial" w:cstheme="minorHAnsi"/>
        </w:rPr>
        <w:t>d</w:t>
      </w:r>
      <w:r w:rsidRPr="00585C2D">
        <w:rPr>
          <w:rFonts w:eastAsia="Arial" w:cstheme="minorHAnsi"/>
          <w:spacing w:val="1"/>
        </w:rPr>
        <w:t xml:space="preserve"> f</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2"/>
        </w:rPr>
        <w:t>b</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5"/>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4"/>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 xml:space="preserve">r </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1"/>
        </w:rPr>
        <w:t>C</w:t>
      </w:r>
      <w:r w:rsidRPr="00585C2D">
        <w:rPr>
          <w:rFonts w:eastAsia="Arial" w:cstheme="minorHAnsi"/>
          <w:spacing w:val="1"/>
        </w:rPr>
        <w:t>EO</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y</w:t>
      </w:r>
      <w:r w:rsidRPr="00585C2D">
        <w:rPr>
          <w:rFonts w:eastAsia="Arial" w:cstheme="minorHAnsi"/>
          <w:spacing w:val="1"/>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5"/>
        </w:rPr>
        <w:t>s</w:t>
      </w:r>
      <w:r w:rsidRPr="00585C2D">
        <w:rPr>
          <w:rFonts w:eastAsia="Arial" w:cstheme="minorHAnsi"/>
          <w:spacing w:val="1"/>
        </w:rPr>
        <w:t>t</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spacing w:val="-5"/>
        </w:rPr>
        <w:t>c</w:t>
      </w:r>
      <w:r w:rsidRPr="00585C2D">
        <w:rPr>
          <w:rFonts w:eastAsia="Arial" w:cstheme="minorHAnsi"/>
          <w:spacing w:val="2"/>
        </w:rPr>
        <w:t>u</w:t>
      </w:r>
      <w:r w:rsidRPr="00585C2D">
        <w:rPr>
          <w:rFonts w:eastAsia="Arial" w:cstheme="minorHAnsi"/>
          <w:spacing w:val="-2"/>
        </w:rPr>
        <w:t>rr</w:t>
      </w:r>
      <w:r w:rsidRPr="00585C2D">
        <w:rPr>
          <w:rFonts w:eastAsia="Arial" w:cstheme="minorHAnsi"/>
          <w:spacing w:val="2"/>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a</w:t>
      </w:r>
      <w:r w:rsidRPr="00585C2D">
        <w:rPr>
          <w:rFonts w:eastAsia="Arial" w:cstheme="minorHAnsi"/>
          <w:spacing w:val="1"/>
        </w:rPr>
        <w:t>t</w:t>
      </w:r>
      <w:r w:rsidRPr="00585C2D">
        <w:rPr>
          <w:rFonts w:eastAsia="Arial" w:cstheme="minorHAnsi"/>
        </w:rPr>
        <w:t>e</w:t>
      </w:r>
      <w:r w:rsidRPr="00585C2D">
        <w:rPr>
          <w:rFonts w:eastAsia="Arial" w:cstheme="minorHAnsi"/>
          <w:spacing w:val="-2"/>
        </w:rPr>
        <w:t xml:space="preserve"> </w:t>
      </w:r>
      <w:r w:rsidRPr="00585C2D">
        <w:rPr>
          <w:rFonts w:eastAsia="Arial" w:cstheme="minorHAnsi"/>
        </w:rPr>
        <w:t>a</w:t>
      </w:r>
      <w:r w:rsidRPr="00585C2D">
        <w:rPr>
          <w:rFonts w:eastAsia="Arial" w:cstheme="minorHAnsi"/>
          <w:spacing w:val="3"/>
        </w:rPr>
        <w:t xml:space="preserve"> </w:t>
      </w:r>
      <w:r w:rsidRPr="00585C2D">
        <w:rPr>
          <w:rFonts w:eastAsia="Arial" w:cstheme="minorHAnsi"/>
        </w:rPr>
        <w:t>s</w:t>
      </w:r>
      <w:r w:rsidRPr="00585C2D">
        <w:rPr>
          <w:rFonts w:eastAsia="Arial" w:cstheme="minorHAnsi"/>
          <w:spacing w:val="-3"/>
        </w:rPr>
        <w:t>e</w:t>
      </w:r>
      <w:r w:rsidRPr="00585C2D">
        <w:rPr>
          <w:rFonts w:eastAsia="Arial" w:cstheme="minorHAnsi"/>
          <w:spacing w:val="2"/>
        </w:rPr>
        <w:t>a</w:t>
      </w:r>
      <w:r w:rsidRPr="00585C2D">
        <w:rPr>
          <w:rFonts w:eastAsia="Arial" w:cstheme="minorHAnsi"/>
        </w:rPr>
        <w:t>t</w:t>
      </w:r>
      <w:r w:rsidRPr="00585C2D">
        <w:rPr>
          <w:rFonts w:eastAsia="Arial" w:cstheme="minorHAnsi"/>
          <w:spacing w:val="9"/>
        </w:rPr>
        <w:t xml:space="preserve"> </w:t>
      </w:r>
      <w:r w:rsidRPr="00585C2D">
        <w:rPr>
          <w:rFonts w:eastAsia="Arial" w:cstheme="minorHAnsi"/>
          <w:spacing w:val="-1"/>
        </w:rPr>
        <w:t>i</w:t>
      </w:r>
      <w:r w:rsidRPr="00585C2D">
        <w:rPr>
          <w:rFonts w:eastAsia="Arial" w:cstheme="minorHAnsi"/>
        </w:rPr>
        <w:t>n</w:t>
      </w:r>
      <w:r>
        <w:rPr>
          <w:rFonts w:eastAsia="Arial" w:cstheme="minorHAnsi"/>
        </w:rPr>
        <w:t xml:space="preserve"> </w:t>
      </w:r>
      <w:r w:rsidRPr="00585C2D">
        <w:rPr>
          <w:rFonts w:eastAsia="Arial" w:cstheme="minorHAnsi"/>
          <w:spacing w:val="1"/>
        </w:rPr>
        <w:t>E</w:t>
      </w:r>
      <w:r w:rsidRPr="00585C2D">
        <w:rPr>
          <w:rFonts w:eastAsia="Arial" w:cstheme="minorHAnsi"/>
        </w:rPr>
        <w:t>c</w:t>
      </w:r>
      <w:r w:rsidRPr="00585C2D">
        <w:rPr>
          <w:rFonts w:eastAsia="Arial" w:cstheme="minorHAnsi"/>
          <w:spacing w:val="-3"/>
        </w:rPr>
        <w:t>o</w:t>
      </w:r>
      <w:r w:rsidRPr="00585C2D">
        <w:rPr>
          <w:rFonts w:eastAsia="Arial" w:cstheme="minorHAnsi"/>
          <w:spacing w:val="2"/>
        </w:rPr>
        <w:t>no</w:t>
      </w:r>
      <w:r w:rsidRPr="00585C2D">
        <w:rPr>
          <w:rFonts w:eastAsia="Arial" w:cstheme="minorHAnsi"/>
          <w:spacing w:val="-2"/>
        </w:rPr>
        <w:t>m</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1"/>
        </w:rPr>
        <w:t>Cl</w:t>
      </w:r>
      <w:r w:rsidRPr="00585C2D">
        <w:rPr>
          <w:rFonts w:eastAsia="Arial" w:cstheme="minorHAnsi"/>
          <w:spacing w:val="2"/>
        </w:rPr>
        <w:t>a</w:t>
      </w:r>
      <w:r w:rsidRPr="00585C2D">
        <w:rPr>
          <w:rFonts w:eastAsia="Arial" w:cstheme="minorHAnsi"/>
        </w:rPr>
        <w:t>ss</w:t>
      </w:r>
      <w:r w:rsidRPr="00585C2D">
        <w:rPr>
          <w:rFonts w:eastAsia="Arial" w:cstheme="minorHAnsi"/>
          <w:spacing w:val="-4"/>
        </w:rPr>
        <w:t xml:space="preserve"> </w:t>
      </w:r>
      <w:r w:rsidRPr="00585C2D">
        <w:rPr>
          <w:rFonts w:eastAsia="Arial" w:cstheme="minorHAnsi"/>
          <w:spacing w:val="-1"/>
        </w:rPr>
        <w:t>wil</w:t>
      </w:r>
      <w:r w:rsidRPr="00585C2D">
        <w:rPr>
          <w:rFonts w:eastAsia="Arial" w:cstheme="minorHAnsi"/>
        </w:rPr>
        <w:t xml:space="preserve">l </w:t>
      </w:r>
      <w:r w:rsidRPr="00585C2D">
        <w:rPr>
          <w:rFonts w:eastAsia="Arial" w:cstheme="minorHAnsi"/>
          <w:spacing w:val="2"/>
        </w:rPr>
        <w:t>b</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e</w:t>
      </w:r>
      <w:r w:rsidRPr="00585C2D">
        <w:rPr>
          <w:rFonts w:eastAsia="Arial" w:cstheme="minorHAnsi"/>
          <w:spacing w:val="-5"/>
        </w:rPr>
        <w:t>x</w:t>
      </w:r>
      <w:r w:rsidRPr="00585C2D">
        <w:rPr>
          <w:rFonts w:eastAsia="Arial" w:cstheme="minorHAnsi"/>
          <w:spacing w:val="2"/>
        </w:rPr>
        <w:t>p</w:t>
      </w:r>
      <w:r w:rsidRPr="00585C2D">
        <w:rPr>
          <w:rFonts w:eastAsia="Arial" w:cstheme="minorHAnsi"/>
          <w:spacing w:val="-3"/>
        </w:rPr>
        <w:t>e</w:t>
      </w:r>
      <w:r w:rsidRPr="00585C2D">
        <w:rPr>
          <w:rFonts w:eastAsia="Arial" w:cstheme="minorHAnsi"/>
          <w:spacing w:val="2"/>
        </w:rPr>
        <w:t>n</w:t>
      </w:r>
      <w:r w:rsidRPr="00585C2D">
        <w:rPr>
          <w:rFonts w:eastAsia="Arial" w:cstheme="minorHAnsi"/>
        </w:rPr>
        <w:t>se</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1"/>
        </w:rPr>
        <w:t>Town</w:t>
      </w:r>
      <w:r w:rsidRPr="00585C2D">
        <w:rPr>
          <w:rFonts w:eastAsia="Arial" w:cstheme="minorHAnsi"/>
        </w:rPr>
        <w:t>.</w:t>
      </w:r>
      <w:r w:rsidRPr="00585C2D">
        <w:rPr>
          <w:rFonts w:eastAsia="Arial" w:cstheme="minorHAnsi"/>
          <w:spacing w:val="6"/>
        </w:rPr>
        <w:t xml:space="preserve"> </w:t>
      </w:r>
      <w:r w:rsidRPr="00585C2D">
        <w:rPr>
          <w:rFonts w:eastAsia="Arial" w:cstheme="minorHAnsi"/>
          <w:spacing w:val="-1"/>
        </w:rPr>
        <w:t>N</w:t>
      </w:r>
      <w:r w:rsidRPr="00585C2D">
        <w:rPr>
          <w:rFonts w:eastAsia="Arial" w:cstheme="minorHAnsi"/>
          <w:spacing w:val="2"/>
        </w:rPr>
        <w:t>o</w:t>
      </w:r>
      <w:r w:rsidRPr="00585C2D">
        <w:rPr>
          <w:rFonts w:eastAsia="Arial" w:cstheme="minorHAnsi"/>
          <w:spacing w:val="1"/>
        </w:rPr>
        <w:t>t</w:t>
      </w:r>
      <w:r w:rsidRPr="00585C2D">
        <w:rPr>
          <w:rFonts w:eastAsia="Arial" w:cstheme="minorHAnsi"/>
          <w:spacing w:val="2"/>
        </w:rPr>
        <w:t>e</w:t>
      </w:r>
      <w:r w:rsidRPr="00585C2D">
        <w:rPr>
          <w:rFonts w:eastAsia="Arial" w:cstheme="minorHAnsi"/>
        </w:rPr>
        <w:t>:</w:t>
      </w:r>
      <w:r w:rsidRPr="00585C2D">
        <w:rPr>
          <w:rFonts w:eastAsia="Arial" w:cstheme="minorHAnsi"/>
          <w:spacing w:val="-3"/>
        </w:rPr>
        <w:t xml:space="preserve"> </w:t>
      </w:r>
      <w:r w:rsidRPr="00585C2D">
        <w:rPr>
          <w:rFonts w:eastAsia="Arial" w:cstheme="minorHAnsi"/>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e</w:t>
      </w:r>
      <w:r w:rsidRPr="00585C2D">
        <w:rPr>
          <w:rFonts w:eastAsia="Arial" w:cstheme="minorHAnsi"/>
        </w:rPr>
        <w:t xml:space="preserve">l </w:t>
      </w:r>
      <w:r w:rsidRPr="00585C2D">
        <w:rPr>
          <w:rFonts w:eastAsia="Arial" w:cstheme="minorHAnsi"/>
          <w:spacing w:val="-3"/>
        </w:rPr>
        <w:t>p</w:t>
      </w:r>
      <w:r w:rsidRPr="00585C2D">
        <w:rPr>
          <w:rFonts w:eastAsia="Arial" w:cstheme="minorHAnsi"/>
          <w:spacing w:val="2"/>
        </w:rPr>
        <w:t>e</w:t>
      </w:r>
      <w:r w:rsidRPr="00585C2D">
        <w:rPr>
          <w:rFonts w:eastAsia="Arial" w:cstheme="minorHAnsi"/>
          <w:spacing w:val="-2"/>
        </w:rPr>
        <w:t>r</w:t>
      </w:r>
      <w:r w:rsidRPr="00585C2D">
        <w:rPr>
          <w:rFonts w:eastAsia="Arial" w:cstheme="minorHAnsi"/>
          <w:spacing w:val="-1"/>
        </w:rPr>
        <w:t>i</w:t>
      </w:r>
      <w:r w:rsidRPr="00585C2D">
        <w:rPr>
          <w:rFonts w:eastAsia="Arial" w:cstheme="minorHAnsi"/>
          <w:spacing w:val="2"/>
        </w:rPr>
        <w:t>o</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wil</w:t>
      </w:r>
      <w:r w:rsidRPr="00585C2D">
        <w:rPr>
          <w:rFonts w:eastAsia="Arial" w:cstheme="minorHAnsi"/>
        </w:rPr>
        <w:t xml:space="preserve">l </w:t>
      </w:r>
      <w:r w:rsidRPr="00585C2D">
        <w:rPr>
          <w:rFonts w:eastAsia="Arial" w:cstheme="minorHAnsi"/>
          <w:spacing w:val="-3"/>
        </w:rPr>
        <w:t>b</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d</w:t>
      </w:r>
      <w:r w:rsidRPr="00585C2D">
        <w:rPr>
          <w:rFonts w:eastAsia="Arial" w:cstheme="minorHAnsi"/>
          <w:spacing w:val="2"/>
        </w:rPr>
        <w:t>a</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3"/>
        </w:rPr>
        <w:t>be</w:t>
      </w:r>
      <w:r w:rsidRPr="00585C2D">
        <w:rPr>
          <w:rFonts w:eastAsia="Arial" w:cstheme="minorHAnsi"/>
          <w:spacing w:val="1"/>
        </w:rPr>
        <w:t>f</w:t>
      </w:r>
      <w:r w:rsidRPr="00585C2D">
        <w:rPr>
          <w:rFonts w:eastAsia="Arial" w:cstheme="minorHAnsi"/>
          <w:spacing w:val="2"/>
        </w:rPr>
        <w:t>o</w:t>
      </w:r>
      <w:r w:rsidRPr="00585C2D">
        <w:rPr>
          <w:rFonts w:eastAsia="Arial" w:cstheme="minorHAnsi"/>
          <w:spacing w:val="-2"/>
        </w:rPr>
        <w:t>r</w:t>
      </w:r>
      <w:r w:rsidRPr="00585C2D">
        <w:rPr>
          <w:rFonts w:eastAsia="Arial" w:cstheme="minorHAnsi"/>
        </w:rPr>
        <w:t xml:space="preserve">e </w:t>
      </w:r>
      <w:r w:rsidRPr="00585C2D">
        <w:rPr>
          <w:rFonts w:eastAsia="Arial" w:cstheme="minorHAnsi"/>
          <w:spacing w:val="1"/>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3"/>
        </w:rPr>
        <w:t>e</w:t>
      </w:r>
      <w:r w:rsidRPr="00585C2D">
        <w:rPr>
          <w:rFonts w:eastAsia="Arial" w:cstheme="minorHAnsi"/>
          <w:spacing w:val="2"/>
        </w:rPr>
        <w:t>n</w:t>
      </w:r>
      <w:r w:rsidRPr="00585C2D">
        <w:rPr>
          <w:rFonts w:eastAsia="Arial" w:cstheme="minorHAnsi"/>
        </w:rPr>
        <w:t>c</w:t>
      </w:r>
      <w:r w:rsidRPr="00585C2D">
        <w:rPr>
          <w:rFonts w:eastAsia="Arial" w:cstheme="minorHAnsi"/>
          <w:spacing w:val="2"/>
        </w:rPr>
        <w:t>e</w:t>
      </w:r>
      <w:r w:rsidRPr="00585C2D">
        <w:rPr>
          <w:rFonts w:eastAsia="Arial" w:cstheme="minorHAnsi"/>
          <w:spacing w:val="-6"/>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da</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spacing w:val="6"/>
        </w:rPr>
        <w:t>f</w:t>
      </w:r>
      <w:r w:rsidRPr="00585C2D">
        <w:rPr>
          <w:rFonts w:eastAsia="Arial" w:cstheme="minorHAnsi"/>
          <w:spacing w:val="-4"/>
        </w:rPr>
        <w:t>t</w:t>
      </w:r>
      <w:r w:rsidRPr="00585C2D">
        <w:rPr>
          <w:rFonts w:eastAsia="Arial" w:cstheme="minorHAnsi"/>
          <w:spacing w:val="2"/>
        </w:rPr>
        <w:t>e</w:t>
      </w:r>
      <w:r w:rsidRPr="00585C2D">
        <w:rPr>
          <w:rFonts w:eastAsia="Arial" w:cstheme="minorHAnsi"/>
        </w:rPr>
        <w:t xml:space="preserve">r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5"/>
        </w:rPr>
        <w:t>c</w:t>
      </w:r>
      <w:r w:rsidRPr="00585C2D">
        <w:rPr>
          <w:rFonts w:eastAsia="Arial" w:cstheme="minorHAnsi"/>
          <w:spacing w:val="2"/>
        </w:rPr>
        <w:t>on</w:t>
      </w:r>
      <w:r w:rsidRPr="00585C2D">
        <w:rPr>
          <w:rFonts w:eastAsia="Arial" w:cstheme="minorHAnsi"/>
        </w:rPr>
        <w:t>c</w:t>
      </w:r>
      <w:r w:rsidRPr="00585C2D">
        <w:rPr>
          <w:rFonts w:eastAsia="Arial" w:cstheme="minorHAnsi"/>
          <w:spacing w:val="-6"/>
        </w:rPr>
        <w:t>l</w:t>
      </w:r>
      <w:r w:rsidRPr="00585C2D">
        <w:rPr>
          <w:rFonts w:eastAsia="Arial" w:cstheme="minorHAnsi"/>
          <w:spacing w:val="2"/>
        </w:rPr>
        <w:t>u</w:t>
      </w:r>
      <w:r w:rsidRPr="00585C2D">
        <w:rPr>
          <w:rFonts w:eastAsia="Arial" w:cstheme="minorHAnsi"/>
        </w:rPr>
        <w:t>s</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5"/>
        </w:rPr>
        <w:t>y</w:t>
      </w:r>
      <w:r w:rsidRPr="00585C2D">
        <w:rPr>
          <w:rFonts w:eastAsia="Arial" w:cstheme="minorHAnsi"/>
        </w:rPr>
        <w:t>.</w:t>
      </w:r>
    </w:p>
    <w:p w14:paraId="6ABBBD0C" w14:textId="77777777" w:rsidR="00FC0CF1" w:rsidRPr="00585C2D" w:rsidRDefault="00FC0CF1" w:rsidP="00FC0CF1">
      <w:pPr>
        <w:spacing w:after="120" w:line="241" w:lineRule="auto"/>
        <w:ind w:left="851" w:right="-45" w:hanging="425"/>
        <w:jc w:val="both"/>
        <w:rPr>
          <w:rFonts w:eastAsia="Arial" w:cstheme="minorHAnsi"/>
        </w:rPr>
      </w:pPr>
      <w:r w:rsidRPr="00585C2D">
        <w:rPr>
          <w:rFonts w:eastAsia="Arial" w:cstheme="minorHAnsi"/>
          <w:spacing w:val="2"/>
        </w:rPr>
        <w:t>d</w:t>
      </w:r>
      <w:r>
        <w:rPr>
          <w:rFonts w:eastAsia="Arial" w:cstheme="minorHAnsi"/>
        </w:rPr>
        <w:t>.</w:t>
      </w:r>
      <w:r>
        <w:rPr>
          <w:rFonts w:eastAsia="Arial" w:cstheme="minorHAnsi"/>
        </w:rPr>
        <w:tab/>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3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spacing w:val="-5"/>
        </w:rPr>
        <w:t>s</w:t>
      </w:r>
      <w:r w:rsidRPr="00585C2D">
        <w:rPr>
          <w:rFonts w:eastAsia="Arial" w:cstheme="minorHAnsi"/>
        </w:rPr>
        <w:t>,</w:t>
      </w:r>
      <w:r w:rsidRPr="00585C2D">
        <w:rPr>
          <w:rFonts w:eastAsia="Arial" w:cstheme="minorHAnsi"/>
          <w:spacing w:val="31"/>
        </w:rPr>
        <w:t xml:space="preserve"> </w:t>
      </w:r>
      <w:r w:rsidRPr="00585C2D">
        <w:rPr>
          <w:rFonts w:eastAsia="Arial" w:cstheme="minorHAnsi"/>
          <w:spacing w:val="-1"/>
        </w:rPr>
        <w:t>w</w:t>
      </w:r>
      <w:r w:rsidRPr="00585C2D">
        <w:rPr>
          <w:rFonts w:eastAsia="Arial" w:cstheme="minorHAnsi"/>
          <w:spacing w:val="-3"/>
        </w:rPr>
        <w:t>h</w:t>
      </w:r>
      <w:r w:rsidRPr="00585C2D">
        <w:rPr>
          <w:rFonts w:eastAsia="Arial" w:cstheme="minorHAnsi"/>
        </w:rPr>
        <w:t>o</w:t>
      </w:r>
      <w:r w:rsidRPr="00585C2D">
        <w:rPr>
          <w:rFonts w:eastAsia="Arial" w:cstheme="minorHAnsi"/>
          <w:spacing w:val="31"/>
        </w:rPr>
        <w:t xml:space="preserve"> </w:t>
      </w:r>
      <w:r w:rsidRPr="00585C2D">
        <w:rPr>
          <w:rFonts w:eastAsia="Arial" w:cstheme="minorHAnsi"/>
          <w:spacing w:val="2"/>
        </w:rPr>
        <w:t>u</w:t>
      </w:r>
      <w:r w:rsidRPr="00585C2D">
        <w:rPr>
          <w:rFonts w:eastAsia="Arial" w:cstheme="minorHAnsi"/>
          <w:spacing w:val="-5"/>
        </w:rPr>
        <w:t>s</w:t>
      </w:r>
      <w:r w:rsidRPr="00585C2D">
        <w:rPr>
          <w:rFonts w:eastAsia="Arial" w:cstheme="minorHAnsi"/>
        </w:rPr>
        <w:t>e</w:t>
      </w:r>
      <w:r w:rsidRPr="00585C2D">
        <w:rPr>
          <w:rFonts w:eastAsia="Arial" w:cstheme="minorHAnsi"/>
          <w:spacing w:val="31"/>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r</w:t>
      </w:r>
      <w:r w:rsidRPr="00585C2D">
        <w:rPr>
          <w:rFonts w:eastAsia="Arial" w:cstheme="minorHAnsi"/>
          <w:spacing w:val="23"/>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1"/>
        </w:rPr>
        <w:t>i</w:t>
      </w:r>
      <w:r w:rsidRPr="00585C2D">
        <w:rPr>
          <w:rFonts w:eastAsia="Arial" w:cstheme="minorHAnsi"/>
        </w:rPr>
        <w:t>v</w:t>
      </w:r>
      <w:r w:rsidRPr="00585C2D">
        <w:rPr>
          <w:rFonts w:eastAsia="Arial" w:cstheme="minorHAnsi"/>
          <w:spacing w:val="2"/>
        </w:rPr>
        <w:t>a</w:t>
      </w:r>
      <w:r w:rsidRPr="00585C2D">
        <w:rPr>
          <w:rFonts w:eastAsia="Arial" w:cstheme="minorHAnsi"/>
          <w:spacing w:val="-4"/>
        </w:rPr>
        <w:t>t</w:t>
      </w:r>
      <w:r w:rsidRPr="00585C2D">
        <w:rPr>
          <w:rFonts w:eastAsia="Arial" w:cstheme="minorHAnsi"/>
        </w:rPr>
        <w:t>e</w:t>
      </w:r>
      <w:r w:rsidRPr="00585C2D">
        <w:rPr>
          <w:rFonts w:eastAsia="Arial" w:cstheme="minorHAnsi"/>
          <w:spacing w:val="31"/>
        </w:rPr>
        <w:t xml:space="preserve"> </w:t>
      </w:r>
      <w:r w:rsidRPr="00585C2D">
        <w:rPr>
          <w:rFonts w:eastAsia="Arial" w:cstheme="minorHAnsi"/>
        </w:rPr>
        <w:t>v</w:t>
      </w:r>
      <w:r w:rsidRPr="00585C2D">
        <w:rPr>
          <w:rFonts w:eastAsia="Arial" w:cstheme="minorHAnsi"/>
          <w:spacing w:val="-3"/>
        </w:rPr>
        <w:t>e</w:t>
      </w:r>
      <w:r w:rsidRPr="00585C2D">
        <w:rPr>
          <w:rFonts w:eastAsia="Arial" w:cstheme="minorHAnsi"/>
          <w:spacing w:val="2"/>
        </w:rPr>
        <w:t>h</w:t>
      </w:r>
      <w:r w:rsidRPr="00585C2D">
        <w:rPr>
          <w:rFonts w:eastAsia="Arial" w:cstheme="minorHAnsi"/>
          <w:spacing w:val="-1"/>
        </w:rPr>
        <w:t>i</w:t>
      </w:r>
      <w:r w:rsidRPr="00585C2D">
        <w:rPr>
          <w:rFonts w:eastAsia="Arial" w:cstheme="minorHAnsi"/>
        </w:rPr>
        <w:t>c</w:t>
      </w:r>
      <w:r w:rsidRPr="00585C2D">
        <w:rPr>
          <w:rFonts w:eastAsia="Arial" w:cstheme="minorHAnsi"/>
          <w:spacing w:val="-1"/>
        </w:rPr>
        <w:t>l</w:t>
      </w:r>
      <w:r w:rsidRPr="00585C2D">
        <w:rPr>
          <w:rFonts w:eastAsia="Arial" w:cstheme="minorHAnsi"/>
        </w:rPr>
        <w:t>e</w:t>
      </w:r>
      <w:r w:rsidRPr="00585C2D">
        <w:rPr>
          <w:rFonts w:eastAsia="Arial" w:cstheme="minorHAnsi"/>
          <w:spacing w:val="27"/>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28"/>
        </w:rPr>
        <w:t xml:space="preserve"> </w:t>
      </w:r>
      <w:r w:rsidRPr="00585C2D">
        <w:rPr>
          <w:rFonts w:eastAsia="Arial" w:cstheme="minorHAnsi"/>
        </w:rPr>
        <w:t>c</w:t>
      </w:r>
      <w:r w:rsidRPr="00585C2D">
        <w:rPr>
          <w:rFonts w:eastAsia="Arial" w:cstheme="minorHAnsi"/>
          <w:spacing w:val="-3"/>
        </w:rPr>
        <w:t>on</w:t>
      </w:r>
      <w:r w:rsidRPr="00585C2D">
        <w:rPr>
          <w:rFonts w:eastAsia="Arial" w:cstheme="minorHAnsi"/>
          <w:spacing w:val="1"/>
        </w:rPr>
        <w:t>f</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en</w:t>
      </w:r>
      <w:r w:rsidRPr="00585C2D">
        <w:rPr>
          <w:rFonts w:eastAsia="Arial" w:cstheme="minorHAnsi"/>
          <w:spacing w:val="-5"/>
        </w:rPr>
        <w:t>c</w:t>
      </w:r>
      <w:r w:rsidRPr="00585C2D">
        <w:rPr>
          <w:rFonts w:eastAsia="Arial" w:cstheme="minorHAnsi"/>
        </w:rPr>
        <w:t>e</w:t>
      </w:r>
      <w:r w:rsidRPr="00585C2D">
        <w:rPr>
          <w:rFonts w:eastAsia="Arial" w:cstheme="minorHAnsi"/>
          <w:spacing w:val="31"/>
        </w:rPr>
        <w:t xml:space="preserve"> </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rPr>
        <w:t>v</w:t>
      </w:r>
      <w:r w:rsidRPr="00585C2D">
        <w:rPr>
          <w:rFonts w:eastAsia="Arial" w:cstheme="minorHAnsi"/>
          <w:spacing w:val="2"/>
        </w:rPr>
        <w:t>e</w:t>
      </w:r>
      <w:r w:rsidRPr="00585C2D">
        <w:rPr>
          <w:rFonts w:eastAsia="Arial" w:cstheme="minorHAnsi"/>
          <w:spacing w:val="-1"/>
        </w:rPr>
        <w:t>l</w:t>
      </w:r>
      <w:r w:rsidRPr="00585C2D">
        <w:rPr>
          <w:rFonts w:eastAsia="Arial" w:cstheme="minorHAnsi"/>
        </w:rPr>
        <w:t>,</w:t>
      </w:r>
      <w:r w:rsidRPr="00585C2D">
        <w:rPr>
          <w:rFonts w:eastAsia="Arial" w:cstheme="minorHAnsi"/>
          <w:spacing w:val="31"/>
        </w:rPr>
        <w:t xml:space="preserve"> </w:t>
      </w:r>
      <w:r w:rsidRPr="00585C2D">
        <w:rPr>
          <w:rFonts w:eastAsia="Arial" w:cstheme="minorHAnsi"/>
          <w:spacing w:val="11"/>
        </w:rPr>
        <w:t>w</w:t>
      </w:r>
      <w:r w:rsidRPr="00585C2D">
        <w:rPr>
          <w:rFonts w:eastAsia="Arial" w:cstheme="minorHAnsi"/>
          <w:spacing w:val="-1"/>
        </w:rPr>
        <w:t>il</w:t>
      </w:r>
      <w:r w:rsidRPr="00585C2D">
        <w:rPr>
          <w:rFonts w:eastAsia="Arial" w:cstheme="minorHAnsi"/>
        </w:rPr>
        <w:t>l</w:t>
      </w:r>
      <w:r w:rsidRPr="00585C2D">
        <w:rPr>
          <w:rFonts w:eastAsia="Arial" w:cstheme="minorHAnsi"/>
          <w:spacing w:val="29"/>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31"/>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1"/>
        </w:rPr>
        <w:t>i</w:t>
      </w:r>
      <w:r w:rsidRPr="00585C2D">
        <w:rPr>
          <w:rFonts w:eastAsia="Arial" w:cstheme="minorHAnsi"/>
          <w:spacing w:val="-6"/>
        </w:rPr>
        <w:t>m</w:t>
      </w:r>
      <w:r w:rsidRPr="00585C2D">
        <w:rPr>
          <w:rFonts w:eastAsia="Arial" w:cstheme="minorHAnsi"/>
          <w:spacing w:val="2"/>
        </w:rPr>
        <w:t>bu</w:t>
      </w:r>
      <w:r w:rsidRPr="00585C2D">
        <w:rPr>
          <w:rFonts w:eastAsia="Arial" w:cstheme="minorHAnsi"/>
          <w:spacing w:val="-2"/>
        </w:rPr>
        <w:t>r</w:t>
      </w:r>
      <w:r w:rsidRPr="00585C2D">
        <w:rPr>
          <w:rFonts w:eastAsia="Arial" w:cstheme="minorHAnsi"/>
        </w:rPr>
        <w:t>s</w:t>
      </w:r>
      <w:r w:rsidRPr="00585C2D">
        <w:rPr>
          <w:rFonts w:eastAsia="Arial" w:cstheme="minorHAnsi"/>
          <w:spacing w:val="-3"/>
        </w:rPr>
        <w:t>e</w:t>
      </w:r>
      <w:r w:rsidRPr="00585C2D">
        <w:rPr>
          <w:rFonts w:eastAsia="Arial" w:cstheme="minorHAnsi"/>
        </w:rPr>
        <w:t>d</w:t>
      </w:r>
      <w:r w:rsidRPr="00585C2D">
        <w:rPr>
          <w:rFonts w:eastAsia="Arial" w:cstheme="minorHAnsi"/>
          <w:spacing w:val="27"/>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 v</w:t>
      </w:r>
      <w:r w:rsidRPr="00585C2D">
        <w:rPr>
          <w:rFonts w:eastAsia="Arial" w:cstheme="minorHAnsi"/>
          <w:spacing w:val="2"/>
        </w:rPr>
        <w:t>eh</w:t>
      </w:r>
      <w:r w:rsidRPr="00585C2D">
        <w:rPr>
          <w:rFonts w:eastAsia="Arial" w:cstheme="minorHAnsi"/>
          <w:spacing w:val="-1"/>
        </w:rPr>
        <w:t>i</w:t>
      </w:r>
      <w:r w:rsidRPr="00585C2D">
        <w:rPr>
          <w:rFonts w:eastAsia="Arial" w:cstheme="minorHAnsi"/>
        </w:rPr>
        <w:t>c</w:t>
      </w:r>
      <w:r w:rsidRPr="00585C2D">
        <w:rPr>
          <w:rFonts w:eastAsia="Arial" w:cstheme="minorHAnsi"/>
          <w:spacing w:val="-1"/>
        </w:rPr>
        <w:t>l</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rPr>
        <w:t>s</w:t>
      </w:r>
      <w:r w:rsidRPr="00585C2D">
        <w:rPr>
          <w:rFonts w:eastAsia="Arial" w:cstheme="minorHAnsi"/>
          <w:spacing w:val="1"/>
        </w:rPr>
        <w:t>t</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6"/>
        </w:rPr>
        <w:t>i</w:t>
      </w:r>
      <w:r w:rsidRPr="00585C2D">
        <w:rPr>
          <w:rFonts w:eastAsia="Arial" w:cstheme="minorHAnsi"/>
        </w:rPr>
        <w:t>n</w:t>
      </w:r>
      <w:r w:rsidRPr="00585C2D">
        <w:rPr>
          <w:rFonts w:eastAsia="Arial" w:cstheme="minorHAnsi"/>
          <w:spacing w:val="8"/>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5"/>
        </w:rPr>
        <w:t>c</w:t>
      </w:r>
      <w:r w:rsidRPr="00585C2D">
        <w:rPr>
          <w:rFonts w:eastAsia="Arial" w:cstheme="minorHAnsi"/>
          <w:spacing w:val="2"/>
        </w:rPr>
        <w:t>o</w:t>
      </w:r>
      <w:r w:rsidRPr="00585C2D">
        <w:rPr>
          <w:rFonts w:eastAsia="Arial" w:cstheme="minorHAnsi"/>
          <w:spacing w:val="-2"/>
        </w:rPr>
        <w:t>r</w:t>
      </w:r>
      <w:r w:rsidRPr="00585C2D">
        <w:rPr>
          <w:rFonts w:eastAsia="Arial" w:cstheme="minorHAnsi"/>
          <w:spacing w:val="2"/>
        </w:rPr>
        <w:t>d</w:t>
      </w:r>
      <w:r w:rsidRPr="00585C2D">
        <w:rPr>
          <w:rFonts w:eastAsia="Arial" w:cstheme="minorHAnsi"/>
          <w:spacing w:val="-3"/>
        </w:rPr>
        <w:t>a</w:t>
      </w:r>
      <w:r w:rsidRPr="00585C2D">
        <w:rPr>
          <w:rFonts w:eastAsia="Arial" w:cstheme="minorHAnsi"/>
          <w:spacing w:val="2"/>
        </w:rPr>
        <w:t>n</w:t>
      </w:r>
      <w:r w:rsidRPr="00585C2D">
        <w:rPr>
          <w:rFonts w:eastAsia="Arial" w:cstheme="minorHAnsi"/>
          <w:spacing w:val="-5"/>
        </w:rPr>
        <w:t>c</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1"/>
        </w:rPr>
        <w:t>wi</w:t>
      </w:r>
      <w:r w:rsidRPr="00585C2D">
        <w:rPr>
          <w:rFonts w:eastAsia="Arial" w:cstheme="minorHAnsi"/>
          <w:spacing w:val="1"/>
        </w:rPr>
        <w:t>t</w:t>
      </w:r>
      <w:r w:rsidRPr="00585C2D">
        <w:rPr>
          <w:rFonts w:eastAsia="Arial" w:cstheme="minorHAnsi"/>
        </w:rPr>
        <w:t>h</w:t>
      </w:r>
      <w:r w:rsidRPr="00585C2D">
        <w:rPr>
          <w:rFonts w:eastAsia="Arial" w:cstheme="minorHAnsi"/>
          <w:spacing w:val="8"/>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0"/>
        </w:rPr>
        <w:t xml:space="preserve"> </w:t>
      </w:r>
      <w:r w:rsidRPr="00585C2D">
        <w:rPr>
          <w:rFonts w:eastAsia="Arial" w:cstheme="minorHAnsi"/>
          <w:i/>
          <w:spacing w:val="1"/>
        </w:rPr>
        <w:t>P</w:t>
      </w:r>
      <w:r w:rsidRPr="00585C2D">
        <w:rPr>
          <w:rFonts w:eastAsia="Arial" w:cstheme="minorHAnsi"/>
          <w:i/>
          <w:spacing w:val="-3"/>
        </w:rPr>
        <w:t>u</w:t>
      </w:r>
      <w:r w:rsidRPr="00585C2D">
        <w:rPr>
          <w:rFonts w:eastAsia="Arial" w:cstheme="minorHAnsi"/>
          <w:i/>
          <w:spacing w:val="2"/>
        </w:rPr>
        <w:t>b</w:t>
      </w:r>
      <w:r w:rsidRPr="00585C2D">
        <w:rPr>
          <w:rFonts w:eastAsia="Arial" w:cstheme="minorHAnsi"/>
          <w:i/>
          <w:spacing w:val="-1"/>
        </w:rPr>
        <w:t>li</w:t>
      </w:r>
      <w:r w:rsidRPr="00585C2D">
        <w:rPr>
          <w:rFonts w:eastAsia="Arial" w:cstheme="minorHAnsi"/>
          <w:i/>
        </w:rPr>
        <w:t>c</w:t>
      </w:r>
      <w:r w:rsidRPr="00585C2D">
        <w:rPr>
          <w:rFonts w:eastAsia="Arial" w:cstheme="minorHAnsi"/>
          <w:i/>
          <w:spacing w:val="6"/>
        </w:rPr>
        <w:t xml:space="preserve"> </w:t>
      </w:r>
      <w:r w:rsidRPr="00585C2D">
        <w:rPr>
          <w:rFonts w:eastAsia="Arial" w:cstheme="minorHAnsi"/>
          <w:i/>
          <w:spacing w:val="-3"/>
        </w:rPr>
        <w:t>S</w:t>
      </w:r>
      <w:r w:rsidRPr="00585C2D">
        <w:rPr>
          <w:rFonts w:eastAsia="Arial" w:cstheme="minorHAnsi"/>
          <w:i/>
          <w:spacing w:val="2"/>
        </w:rPr>
        <w:t>e</w:t>
      </w:r>
      <w:r w:rsidRPr="00585C2D">
        <w:rPr>
          <w:rFonts w:eastAsia="Arial" w:cstheme="minorHAnsi"/>
          <w:i/>
          <w:spacing w:val="-2"/>
        </w:rPr>
        <w:t>r</w:t>
      </w:r>
      <w:r w:rsidRPr="00585C2D">
        <w:rPr>
          <w:rFonts w:eastAsia="Arial" w:cstheme="minorHAnsi"/>
          <w:i/>
        </w:rPr>
        <w:t>v</w:t>
      </w:r>
      <w:r w:rsidRPr="00585C2D">
        <w:rPr>
          <w:rFonts w:eastAsia="Arial" w:cstheme="minorHAnsi"/>
          <w:i/>
          <w:spacing w:val="-1"/>
        </w:rPr>
        <w:t>i</w:t>
      </w:r>
      <w:r w:rsidRPr="00585C2D">
        <w:rPr>
          <w:rFonts w:eastAsia="Arial" w:cstheme="minorHAnsi"/>
          <w:i/>
        </w:rPr>
        <w:t>ce</w:t>
      </w:r>
      <w:r w:rsidRPr="00585C2D">
        <w:rPr>
          <w:rFonts w:eastAsia="Arial" w:cstheme="minorHAnsi"/>
          <w:i/>
          <w:spacing w:val="8"/>
        </w:rPr>
        <w:t xml:space="preserve"> </w:t>
      </w:r>
      <w:r w:rsidRPr="00585C2D">
        <w:rPr>
          <w:rFonts w:eastAsia="Arial" w:cstheme="minorHAnsi"/>
          <w:i/>
          <w:spacing w:val="-3"/>
        </w:rPr>
        <w:t>A</w:t>
      </w:r>
      <w:r w:rsidRPr="00585C2D">
        <w:rPr>
          <w:rFonts w:eastAsia="Arial" w:cstheme="minorHAnsi"/>
          <w:i/>
          <w:spacing w:val="-1"/>
        </w:rPr>
        <w:t>w</w:t>
      </w:r>
      <w:r w:rsidRPr="00585C2D">
        <w:rPr>
          <w:rFonts w:eastAsia="Arial" w:cstheme="minorHAnsi"/>
          <w:i/>
          <w:spacing w:val="2"/>
        </w:rPr>
        <w:t>a</w:t>
      </w:r>
      <w:r w:rsidRPr="00585C2D">
        <w:rPr>
          <w:rFonts w:eastAsia="Arial" w:cstheme="minorHAnsi"/>
          <w:i/>
          <w:spacing w:val="-2"/>
        </w:rPr>
        <w:t>r</w:t>
      </w:r>
      <w:r w:rsidRPr="00585C2D">
        <w:rPr>
          <w:rFonts w:eastAsia="Arial" w:cstheme="minorHAnsi"/>
          <w:i/>
        </w:rPr>
        <w:t>d</w:t>
      </w:r>
      <w:r w:rsidRPr="00585C2D">
        <w:rPr>
          <w:rFonts w:eastAsia="Arial" w:cstheme="minorHAnsi"/>
          <w:i/>
          <w:spacing w:val="8"/>
        </w:rPr>
        <w:t xml:space="preserve"> </w:t>
      </w:r>
      <w:r w:rsidRPr="00585C2D">
        <w:rPr>
          <w:rFonts w:eastAsia="Arial" w:cstheme="minorHAnsi"/>
          <w:i/>
          <w:spacing w:val="-3"/>
        </w:rPr>
        <w:t>1</w:t>
      </w:r>
      <w:r w:rsidRPr="00585C2D">
        <w:rPr>
          <w:rFonts w:eastAsia="Arial" w:cstheme="minorHAnsi"/>
          <w:i/>
          <w:spacing w:val="2"/>
        </w:rPr>
        <w:t>9</w:t>
      </w:r>
      <w:r w:rsidRPr="00585C2D">
        <w:rPr>
          <w:rFonts w:eastAsia="Arial" w:cstheme="minorHAnsi"/>
          <w:i/>
          <w:spacing w:val="-3"/>
        </w:rPr>
        <w:t>9</w:t>
      </w:r>
      <w:r w:rsidRPr="00585C2D">
        <w:rPr>
          <w:rFonts w:eastAsia="Arial" w:cstheme="minorHAnsi"/>
          <w:i/>
        </w:rPr>
        <w:t>2</w:t>
      </w:r>
      <w:r w:rsidRPr="00585C2D">
        <w:rPr>
          <w:rFonts w:eastAsia="Arial" w:cstheme="minorHAnsi"/>
          <w:i/>
          <w:spacing w:val="13"/>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3"/>
        </w:rPr>
        <w:t xml:space="preserve"> </w:t>
      </w:r>
      <w:r w:rsidRPr="00585C2D">
        <w:rPr>
          <w:rFonts w:eastAsia="Arial" w:cstheme="minorHAnsi"/>
        </w:rPr>
        <w:t>a</w:t>
      </w:r>
      <w:r w:rsidRPr="00585C2D">
        <w:rPr>
          <w:rFonts w:eastAsia="Arial" w:cstheme="minorHAnsi"/>
          <w:spacing w:val="8"/>
        </w:rPr>
        <w:t xml:space="preserve"> </w:t>
      </w:r>
      <w:r w:rsidRPr="00585C2D">
        <w:rPr>
          <w:rFonts w:eastAsia="Arial" w:cstheme="minorHAnsi"/>
          <w:spacing w:val="-2"/>
        </w:rPr>
        <w:t>m</w:t>
      </w:r>
      <w:r w:rsidRPr="00585C2D">
        <w:rPr>
          <w:rFonts w:eastAsia="Arial" w:cstheme="minorHAnsi"/>
          <w:spacing w:val="2"/>
        </w:rPr>
        <w:t>a</w:t>
      </w:r>
      <w:r w:rsidRPr="00585C2D">
        <w:rPr>
          <w:rFonts w:eastAsia="Arial" w:cstheme="minorHAnsi"/>
        </w:rPr>
        <w:t>x</w:t>
      </w:r>
      <w:r w:rsidRPr="00585C2D">
        <w:rPr>
          <w:rFonts w:eastAsia="Arial" w:cstheme="minorHAnsi"/>
          <w:spacing w:val="-1"/>
        </w:rPr>
        <w:t>i</w:t>
      </w:r>
      <w:r w:rsidRPr="00585C2D">
        <w:rPr>
          <w:rFonts w:eastAsia="Arial" w:cstheme="minorHAnsi"/>
          <w:spacing w:val="-2"/>
        </w:rPr>
        <w:t>m</w:t>
      </w:r>
      <w:r w:rsidRPr="00585C2D">
        <w:rPr>
          <w:rFonts w:eastAsia="Arial" w:cstheme="minorHAnsi"/>
          <w:spacing w:val="2"/>
        </w:rPr>
        <w:t>u</w:t>
      </w:r>
      <w:r w:rsidRPr="00585C2D">
        <w:rPr>
          <w:rFonts w:eastAsia="Arial" w:cstheme="minorHAnsi"/>
        </w:rPr>
        <w:t xml:space="preserve">m </w:t>
      </w:r>
      <w:r w:rsidRPr="00585C2D">
        <w:rPr>
          <w:rFonts w:eastAsia="Arial" w:cstheme="minorHAnsi"/>
          <w:spacing w:val="2"/>
        </w:rPr>
        <w:t>a</w:t>
      </w:r>
      <w:r w:rsidRPr="00585C2D">
        <w:rPr>
          <w:rFonts w:eastAsia="Arial" w:cstheme="minorHAnsi"/>
          <w:spacing w:val="-2"/>
        </w:rPr>
        <w:t>m</w:t>
      </w:r>
      <w:r w:rsidRPr="00585C2D">
        <w:rPr>
          <w:rFonts w:eastAsia="Arial" w:cstheme="minorHAnsi"/>
          <w:spacing w:val="2"/>
        </w:rPr>
        <w:t>o</w:t>
      </w:r>
      <w:r w:rsidRPr="00585C2D">
        <w:rPr>
          <w:rFonts w:eastAsia="Arial" w:cstheme="minorHAnsi"/>
          <w:spacing w:val="-3"/>
        </w:rPr>
        <w:t>u</w:t>
      </w:r>
      <w:r w:rsidRPr="00585C2D">
        <w:rPr>
          <w:rFonts w:eastAsia="Arial" w:cstheme="minorHAnsi"/>
          <w:spacing w:val="2"/>
        </w:rPr>
        <w:t>n</w:t>
      </w:r>
      <w:r w:rsidRPr="00585C2D">
        <w:rPr>
          <w:rFonts w:eastAsia="Arial" w:cstheme="minorHAnsi"/>
        </w:rPr>
        <w:t xml:space="preserve">t </w:t>
      </w:r>
      <w:r w:rsidRPr="00585C2D">
        <w:rPr>
          <w:rFonts w:eastAsia="Arial" w:cstheme="minorHAnsi"/>
          <w:spacing w:val="2"/>
        </w:rPr>
        <w:t>e</w:t>
      </w:r>
      <w:r w:rsidRPr="00585C2D">
        <w:rPr>
          <w:rFonts w:eastAsia="Arial" w:cstheme="minorHAnsi"/>
          <w:spacing w:val="-3"/>
        </w:rPr>
        <w:t>q</w:t>
      </w:r>
      <w:r w:rsidRPr="00585C2D">
        <w:rPr>
          <w:rFonts w:eastAsia="Arial" w:cstheme="minorHAnsi"/>
          <w:spacing w:val="2"/>
        </w:rPr>
        <w:t>u</w:t>
      </w:r>
      <w:r w:rsidRPr="00585C2D">
        <w:rPr>
          <w:rFonts w:eastAsia="Arial" w:cstheme="minorHAnsi"/>
          <w:spacing w:val="-1"/>
        </w:rPr>
        <w:t>i</w:t>
      </w:r>
      <w:r w:rsidRPr="00585C2D">
        <w:rPr>
          <w:rFonts w:eastAsia="Arial" w:cstheme="minorHAnsi"/>
        </w:rPr>
        <w:t>v</w:t>
      </w:r>
      <w:r w:rsidRPr="00585C2D">
        <w:rPr>
          <w:rFonts w:eastAsia="Arial" w:cstheme="minorHAnsi"/>
          <w:spacing w:val="2"/>
        </w:rPr>
        <w:t>a</w:t>
      </w:r>
      <w:r w:rsidRPr="00585C2D">
        <w:rPr>
          <w:rFonts w:eastAsia="Arial" w:cstheme="minorHAnsi"/>
          <w:spacing w:val="-1"/>
        </w:rPr>
        <w:t>l</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6"/>
        </w:rPr>
        <w:t>w</w:t>
      </w:r>
      <w:r w:rsidRPr="00585C2D">
        <w:rPr>
          <w:rFonts w:eastAsia="Arial" w:cstheme="minorHAnsi"/>
          <w:spacing w:val="2"/>
        </w:rPr>
        <w:t>h</w:t>
      </w:r>
      <w:r w:rsidRPr="00585C2D">
        <w:rPr>
          <w:rFonts w:eastAsia="Arial" w:cstheme="minorHAnsi"/>
          <w:spacing w:val="-3"/>
        </w:rPr>
        <w:t>a</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1"/>
        </w:rPr>
        <w:t>i</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6"/>
        </w:rPr>
        <w:t>w</w:t>
      </w:r>
      <w:r w:rsidRPr="00585C2D">
        <w:rPr>
          <w:rFonts w:eastAsia="Arial" w:cstheme="minorHAnsi"/>
          <w:spacing w:val="2"/>
        </w:rPr>
        <w:t>ou</w:t>
      </w:r>
      <w:r w:rsidRPr="00585C2D">
        <w:rPr>
          <w:rFonts w:eastAsia="Arial" w:cstheme="minorHAnsi"/>
          <w:spacing w:val="-1"/>
        </w:rPr>
        <w:t>l</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3"/>
        </w:rPr>
        <w:t>h</w:t>
      </w:r>
      <w:r w:rsidRPr="00585C2D">
        <w:rPr>
          <w:rFonts w:eastAsia="Arial" w:cstheme="minorHAnsi"/>
          <w:spacing w:val="2"/>
        </w:rPr>
        <w:t>a</w:t>
      </w:r>
      <w:r w:rsidRPr="00585C2D">
        <w:rPr>
          <w:rFonts w:eastAsia="Arial" w:cstheme="minorHAnsi"/>
        </w:rPr>
        <w:t>ve</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5"/>
        </w:rPr>
        <w:t>s</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3"/>
        </w:rPr>
        <w:t>a</w:t>
      </w:r>
      <w:r w:rsidRPr="00585C2D">
        <w:rPr>
          <w:rFonts w:eastAsia="Arial" w:cstheme="minorHAnsi"/>
        </w:rPr>
        <w:t>v</w:t>
      </w:r>
      <w:r w:rsidRPr="00585C2D">
        <w:rPr>
          <w:rFonts w:eastAsia="Arial" w:cstheme="minorHAnsi"/>
          <w:spacing w:val="2"/>
        </w:rPr>
        <w:t>e</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spacing w:val="-1"/>
        </w:rPr>
        <w:t>i</w:t>
      </w:r>
      <w:r w:rsidRPr="00585C2D">
        <w:rPr>
          <w:rFonts w:eastAsia="Arial" w:cstheme="minorHAnsi"/>
          <w:spacing w:val="-2"/>
        </w:rPr>
        <w:t>r</w:t>
      </w:r>
      <w:r w:rsidRPr="00585C2D">
        <w:rPr>
          <w:rFonts w:eastAsia="Arial" w:cstheme="minorHAnsi"/>
        </w:rPr>
        <w:t>.</w:t>
      </w:r>
    </w:p>
    <w:p w14:paraId="3F505EDC" w14:textId="77777777" w:rsidR="00FC0CF1" w:rsidRPr="00585C2D" w:rsidRDefault="00FC0CF1" w:rsidP="00FC0CF1">
      <w:pPr>
        <w:spacing w:after="120" w:line="240" w:lineRule="auto"/>
        <w:ind w:left="851" w:right="-45" w:hanging="425"/>
        <w:jc w:val="both"/>
        <w:rPr>
          <w:rFonts w:eastAsia="Arial" w:cstheme="minorHAnsi"/>
        </w:rPr>
      </w:pPr>
      <w:r w:rsidRPr="00585C2D">
        <w:rPr>
          <w:rFonts w:eastAsia="Arial" w:cstheme="minorHAnsi"/>
          <w:spacing w:val="2"/>
        </w:rPr>
        <w:t>e</w:t>
      </w:r>
      <w:r w:rsidRPr="00585C2D">
        <w:rPr>
          <w:rFonts w:eastAsia="Arial" w:cstheme="minorHAnsi"/>
        </w:rPr>
        <w:t>.</w:t>
      </w:r>
      <w:r>
        <w:rPr>
          <w:rFonts w:eastAsia="Arial" w:cstheme="minorHAnsi"/>
        </w:rPr>
        <w:tab/>
        <w:t>A</w:t>
      </w:r>
      <w:r w:rsidRPr="00585C2D">
        <w:rPr>
          <w:rFonts w:eastAsia="Arial" w:cstheme="minorHAnsi"/>
        </w:rPr>
        <w:t>cc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3"/>
        </w:rPr>
        <w:t>o</w:t>
      </w:r>
      <w:r w:rsidRPr="00585C2D">
        <w:rPr>
          <w:rFonts w:eastAsia="Arial" w:cstheme="minorHAnsi"/>
          <w:spacing w:val="2"/>
        </w:rPr>
        <w:t>d</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b</w:t>
      </w:r>
      <w:r w:rsidRPr="00585C2D">
        <w:rPr>
          <w:rFonts w:eastAsia="Arial" w:cstheme="minorHAnsi"/>
          <w:spacing w:val="2"/>
        </w:rPr>
        <w:t>oo</w:t>
      </w:r>
      <w:r w:rsidRPr="00585C2D">
        <w:rPr>
          <w:rFonts w:eastAsia="Arial" w:cstheme="minorHAnsi"/>
          <w:spacing w:val="-5"/>
        </w:rPr>
        <w:t>k</w:t>
      </w:r>
      <w:r w:rsidRPr="00585C2D">
        <w:rPr>
          <w:rFonts w:eastAsia="Arial" w:cstheme="minorHAnsi"/>
          <w:spacing w:val="2"/>
        </w:rPr>
        <w:t>e</w:t>
      </w:r>
      <w:r w:rsidRPr="00585C2D">
        <w:rPr>
          <w:rFonts w:eastAsia="Arial" w:cstheme="minorHAnsi"/>
          <w:spacing w:val="-3"/>
        </w:rPr>
        <w:t>d</w:t>
      </w:r>
      <w:r w:rsidRPr="00585C2D">
        <w:rPr>
          <w:rFonts w:eastAsia="Arial" w:cstheme="minorHAnsi"/>
        </w:rPr>
        <w:t>,</w:t>
      </w:r>
      <w:r w:rsidRPr="00585C2D">
        <w:rPr>
          <w:rFonts w:eastAsia="Arial" w:cstheme="minorHAnsi"/>
          <w:spacing w:val="2"/>
        </w:rPr>
        <w:t xml:space="preserve"> </w:t>
      </w:r>
      <w:r w:rsidRPr="00585C2D">
        <w:rPr>
          <w:rFonts w:eastAsia="Arial" w:cstheme="minorHAnsi"/>
          <w:spacing w:val="-6"/>
        </w:rPr>
        <w:t>w</w:t>
      </w:r>
      <w:r w:rsidRPr="00585C2D">
        <w:rPr>
          <w:rFonts w:eastAsia="Arial" w:cstheme="minorHAnsi"/>
          <w:spacing w:val="2"/>
        </w:rPr>
        <w:t>he</w:t>
      </w:r>
      <w:r w:rsidRPr="00585C2D">
        <w:rPr>
          <w:rFonts w:eastAsia="Arial" w:cstheme="minorHAnsi"/>
          <w:spacing w:val="-2"/>
        </w:rPr>
        <w:t>r</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spacing w:val="-5"/>
        </w:rPr>
        <w:t>c</w:t>
      </w:r>
      <w:r w:rsidRPr="00585C2D">
        <w:rPr>
          <w:rFonts w:eastAsia="Arial" w:cstheme="minorHAnsi"/>
          <w:spacing w:val="2"/>
        </w:rPr>
        <w:t>ab</w:t>
      </w:r>
      <w:r w:rsidRPr="00585C2D">
        <w:rPr>
          <w:rFonts w:eastAsia="Arial" w:cstheme="minorHAnsi"/>
          <w:spacing w:val="-6"/>
        </w:rPr>
        <w:t>l</w:t>
      </w:r>
      <w:r w:rsidRPr="00585C2D">
        <w:rPr>
          <w:rFonts w:eastAsia="Arial" w:cstheme="minorHAnsi"/>
          <w:spacing w:val="-3"/>
        </w:rPr>
        <w:t>e</w:t>
      </w:r>
      <w:r w:rsidRPr="00585C2D">
        <w:rPr>
          <w:rFonts w:eastAsia="Arial" w:cstheme="minorHAnsi"/>
        </w:rPr>
        <w:t>,</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rPr>
        <w:t>ss</w:t>
      </w:r>
      <w:r w:rsidRPr="00585C2D">
        <w:rPr>
          <w:rFonts w:eastAsia="Arial" w:cstheme="minorHAnsi"/>
          <w:spacing w:val="-3"/>
        </w:rPr>
        <w:t>o</w:t>
      </w:r>
      <w:r w:rsidRPr="00585C2D">
        <w:rPr>
          <w:rFonts w:eastAsia="Arial" w:cstheme="minorHAnsi"/>
        </w:rPr>
        <w:t>c</w:t>
      </w:r>
      <w:r w:rsidRPr="00585C2D">
        <w:rPr>
          <w:rFonts w:eastAsia="Arial" w:cstheme="minorHAnsi"/>
          <w:spacing w:val="-1"/>
        </w:rPr>
        <w:t>i</w:t>
      </w:r>
      <w:r w:rsidRPr="00585C2D">
        <w:rPr>
          <w:rFonts w:eastAsia="Arial" w:cstheme="minorHAnsi"/>
          <w:spacing w:val="2"/>
        </w:rPr>
        <w:t>a</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2"/>
        </w:rPr>
        <w:t xml:space="preserve"> </w:t>
      </w:r>
      <w:r w:rsidRPr="00585C2D">
        <w:rPr>
          <w:rFonts w:eastAsia="Arial" w:cstheme="minorHAnsi"/>
        </w:rPr>
        <w:t>v</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u</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o</w:t>
      </w:r>
      <w:r w:rsidRPr="00585C2D">
        <w:rPr>
          <w:rFonts w:eastAsia="Arial" w:cstheme="minorHAnsi"/>
          <w:spacing w:val="-2"/>
        </w:rPr>
        <w:t>r</w:t>
      </w:r>
      <w:r w:rsidRPr="00585C2D">
        <w:rPr>
          <w:rFonts w:eastAsia="Arial" w:cstheme="minorHAnsi"/>
        </w:rPr>
        <w:t>,</w:t>
      </w:r>
      <w:r w:rsidRPr="00585C2D">
        <w:rPr>
          <w:rFonts w:eastAsia="Arial" w:cstheme="minorHAnsi"/>
          <w:spacing w:val="-3"/>
        </w:rPr>
        <w:t xml:space="preserve"> </w:t>
      </w:r>
      <w:r w:rsidRPr="00585C2D">
        <w:rPr>
          <w:rFonts w:eastAsia="Arial" w:cstheme="minorHAnsi"/>
          <w:spacing w:val="-6"/>
        </w:rPr>
        <w:t>i</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3"/>
        </w:rPr>
        <w:t>u</w:t>
      </w:r>
      <w:r w:rsidRPr="00585C2D">
        <w:rPr>
          <w:rFonts w:eastAsia="Arial" w:cstheme="minorHAnsi"/>
          <w:spacing w:val="2"/>
        </w:rPr>
        <w:t>na</w:t>
      </w:r>
      <w:r w:rsidRPr="00585C2D">
        <w:rPr>
          <w:rFonts w:eastAsia="Arial" w:cstheme="minorHAnsi"/>
          <w:spacing w:val="-5"/>
        </w:rPr>
        <w:t>v</w:t>
      </w:r>
      <w:r w:rsidRPr="00585C2D">
        <w:rPr>
          <w:rFonts w:eastAsia="Arial" w:cstheme="minorHAnsi"/>
          <w:spacing w:val="2"/>
        </w:rPr>
        <w:t>a</w:t>
      </w:r>
      <w:r w:rsidRPr="00585C2D">
        <w:rPr>
          <w:rFonts w:eastAsia="Arial" w:cstheme="minorHAnsi"/>
          <w:spacing w:val="-1"/>
        </w:rPr>
        <w:t>il</w:t>
      </w:r>
      <w:r w:rsidRPr="00585C2D">
        <w:rPr>
          <w:rFonts w:eastAsia="Arial" w:cstheme="minorHAnsi"/>
          <w:spacing w:val="2"/>
        </w:rPr>
        <w:t>ab</w:t>
      </w:r>
      <w:r w:rsidRPr="00585C2D">
        <w:rPr>
          <w:rFonts w:eastAsia="Arial" w:cstheme="minorHAnsi"/>
          <w:spacing w:val="-6"/>
        </w:rPr>
        <w:t>l</w:t>
      </w:r>
      <w:r w:rsidRPr="00585C2D">
        <w:rPr>
          <w:rFonts w:eastAsia="Arial" w:cstheme="minorHAnsi"/>
          <w:spacing w:val="2"/>
        </w:rPr>
        <w:t>e</w:t>
      </w:r>
      <w:r w:rsidRPr="00585C2D">
        <w:rPr>
          <w:rFonts w:eastAsia="Arial" w:cstheme="minorHAnsi"/>
        </w:rPr>
        <w:t>,</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rPr>
        <w:t xml:space="preserve">t </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e</w:t>
      </w:r>
      <w:r w:rsidRPr="00585C2D">
        <w:rPr>
          <w:rFonts w:eastAsia="Arial" w:cstheme="minorHAnsi"/>
          <w:spacing w:val="-2"/>
        </w:rPr>
        <w:t>m</w:t>
      </w:r>
      <w:r w:rsidRPr="00585C2D">
        <w:rPr>
          <w:rFonts w:eastAsia="Arial" w:cstheme="minorHAnsi"/>
          <w:spacing w:val="-1"/>
        </w:rPr>
        <w:t>i</w:t>
      </w:r>
      <w:r w:rsidRPr="00585C2D">
        <w:rPr>
          <w:rFonts w:eastAsia="Arial" w:cstheme="minorHAnsi"/>
        </w:rPr>
        <w:t>s</w:t>
      </w:r>
      <w:r w:rsidRPr="00585C2D">
        <w:rPr>
          <w:rFonts w:eastAsia="Arial" w:cstheme="minorHAnsi"/>
          <w:spacing w:val="2"/>
        </w:rPr>
        <w:t>e</w:t>
      </w:r>
      <w:r w:rsidRPr="00585C2D">
        <w:rPr>
          <w:rFonts w:eastAsia="Arial" w:cstheme="minorHAnsi"/>
        </w:rPr>
        <w:t>s</w:t>
      </w:r>
      <w:r w:rsidRPr="00585C2D">
        <w:rPr>
          <w:rFonts w:eastAsia="Arial" w:cstheme="minorHAnsi"/>
          <w:spacing w:val="1"/>
        </w:rPr>
        <w:t xml:space="preserve"> </w:t>
      </w:r>
      <w:proofErr w:type="gramStart"/>
      <w:r w:rsidRPr="00585C2D">
        <w:rPr>
          <w:rFonts w:eastAsia="Arial" w:cstheme="minorHAnsi"/>
          <w:spacing w:val="-6"/>
        </w:rPr>
        <w:t>i</w:t>
      </w:r>
      <w:r w:rsidRPr="00585C2D">
        <w:rPr>
          <w:rFonts w:eastAsia="Arial" w:cstheme="minorHAnsi"/>
        </w:rPr>
        <w:t>n</w:t>
      </w:r>
      <w:r w:rsidRPr="00585C2D">
        <w:rPr>
          <w:rFonts w:eastAsia="Arial" w:cstheme="minorHAnsi"/>
          <w:spacing w:val="3"/>
        </w:rPr>
        <w:t xml:space="preserve"> </w:t>
      </w:r>
      <w:r w:rsidRPr="00585C2D">
        <w:rPr>
          <w:rFonts w:eastAsia="Arial" w:cstheme="minorHAnsi"/>
        </w:rPr>
        <w:t>c</w:t>
      </w:r>
      <w:r w:rsidRPr="00585C2D">
        <w:rPr>
          <w:rFonts w:eastAsia="Arial" w:cstheme="minorHAnsi"/>
          <w:spacing w:val="-1"/>
        </w:rPr>
        <w:t>l</w:t>
      </w:r>
      <w:r w:rsidRPr="00585C2D">
        <w:rPr>
          <w:rFonts w:eastAsia="Arial" w:cstheme="minorHAnsi"/>
          <w:spacing w:val="2"/>
        </w:rPr>
        <w:t>o</w:t>
      </w:r>
      <w:r w:rsidRPr="00585C2D">
        <w:rPr>
          <w:rFonts w:eastAsia="Arial" w:cstheme="minorHAnsi"/>
          <w:spacing w:val="-5"/>
        </w:rPr>
        <w:t>s</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o</w:t>
      </w:r>
      <w:r w:rsidRPr="00585C2D">
        <w:rPr>
          <w:rFonts w:eastAsia="Arial" w:cstheme="minorHAnsi"/>
        </w:rPr>
        <w:t>x</w:t>
      </w:r>
      <w:r w:rsidRPr="00585C2D">
        <w:rPr>
          <w:rFonts w:eastAsia="Arial" w:cstheme="minorHAnsi"/>
          <w:spacing w:val="-1"/>
        </w:rPr>
        <w:t>i</w:t>
      </w:r>
      <w:r w:rsidRPr="00585C2D">
        <w:rPr>
          <w:rFonts w:eastAsia="Arial" w:cstheme="minorHAnsi"/>
          <w:spacing w:val="-2"/>
        </w:rPr>
        <w:t>m</w:t>
      </w:r>
      <w:r w:rsidRPr="00585C2D">
        <w:rPr>
          <w:rFonts w:eastAsia="Arial" w:cstheme="minorHAnsi"/>
          <w:spacing w:val="-1"/>
        </w:rPr>
        <w:t>i</w:t>
      </w:r>
      <w:r w:rsidRPr="00585C2D">
        <w:rPr>
          <w:rFonts w:eastAsia="Arial" w:cstheme="minorHAnsi"/>
          <w:spacing w:val="1"/>
        </w:rPr>
        <w:t>t</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rPr>
        <w:t>o</w:t>
      </w:r>
      <w:proofErr w:type="gramEnd"/>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rPr>
        <w:t>v</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u</w:t>
      </w:r>
      <w:r w:rsidRPr="00585C2D">
        <w:rPr>
          <w:rFonts w:eastAsia="Arial" w:cstheme="minorHAnsi"/>
          <w:spacing w:val="2"/>
        </w:rPr>
        <w:t>e</w:t>
      </w:r>
      <w:r w:rsidRPr="00585C2D">
        <w:rPr>
          <w:rFonts w:eastAsia="Arial" w:cstheme="minorHAnsi"/>
        </w:rPr>
        <w:t>.</w:t>
      </w:r>
      <w:r w:rsidRPr="00585C2D">
        <w:rPr>
          <w:rFonts w:eastAsia="Arial" w:cstheme="minorHAnsi"/>
          <w:spacing w:val="-3"/>
        </w:rPr>
        <w:t xml:space="preserve"> </w:t>
      </w:r>
      <w:r w:rsidRPr="00585C2D">
        <w:rPr>
          <w:rFonts w:eastAsia="Arial" w:cstheme="minorHAnsi"/>
          <w:spacing w:val="1"/>
        </w:rPr>
        <w:t>B</w:t>
      </w:r>
      <w:r w:rsidRPr="00585C2D">
        <w:rPr>
          <w:rFonts w:eastAsia="Arial" w:cstheme="minorHAnsi"/>
          <w:spacing w:val="-3"/>
        </w:rPr>
        <w:t>o</w:t>
      </w:r>
      <w:r w:rsidRPr="00585C2D">
        <w:rPr>
          <w:rFonts w:eastAsia="Arial" w:cstheme="minorHAnsi"/>
          <w:spacing w:val="2"/>
        </w:rPr>
        <w:t>o</w:t>
      </w:r>
      <w:r w:rsidRPr="00585C2D">
        <w:rPr>
          <w:rFonts w:eastAsia="Arial" w:cstheme="minorHAnsi"/>
        </w:rPr>
        <w:t>k</w:t>
      </w:r>
      <w:r w:rsidRPr="00585C2D">
        <w:rPr>
          <w:rFonts w:eastAsia="Arial" w:cstheme="minorHAnsi"/>
          <w:spacing w:val="-1"/>
        </w:rPr>
        <w:t>i</w:t>
      </w:r>
      <w:r w:rsidRPr="00585C2D">
        <w:rPr>
          <w:rFonts w:eastAsia="Arial" w:cstheme="minorHAnsi"/>
          <w:spacing w:val="-3"/>
        </w:rPr>
        <w:t>ng</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1"/>
        </w:rPr>
        <w:t>wil</w:t>
      </w:r>
      <w:r w:rsidRPr="00585C2D">
        <w:rPr>
          <w:rFonts w:eastAsia="Arial" w:cstheme="minorHAnsi"/>
        </w:rPr>
        <w:t xml:space="preserve">l </w:t>
      </w:r>
      <w:r w:rsidRPr="00585C2D">
        <w:rPr>
          <w:rFonts w:eastAsia="Arial" w:cstheme="minorHAnsi"/>
          <w:spacing w:val="-1"/>
        </w:rPr>
        <w:t>i</w:t>
      </w:r>
      <w:r w:rsidRPr="00585C2D">
        <w:rPr>
          <w:rFonts w:eastAsia="Arial" w:cstheme="minorHAnsi"/>
          <w:spacing w:val="2"/>
        </w:rPr>
        <w:t>n</w:t>
      </w:r>
      <w:r w:rsidRPr="00585C2D">
        <w:rPr>
          <w:rFonts w:eastAsia="Arial" w:cstheme="minorHAnsi"/>
        </w:rPr>
        <w:t>c</w:t>
      </w:r>
      <w:r w:rsidRPr="00585C2D">
        <w:rPr>
          <w:rFonts w:eastAsia="Arial" w:cstheme="minorHAnsi"/>
          <w:spacing w:val="-1"/>
        </w:rPr>
        <w:t>l</w:t>
      </w:r>
      <w:r w:rsidRPr="00585C2D">
        <w:rPr>
          <w:rFonts w:eastAsia="Arial" w:cstheme="minorHAnsi"/>
          <w:spacing w:val="2"/>
        </w:rPr>
        <w:t>u</w:t>
      </w:r>
      <w:r w:rsidRPr="00585C2D">
        <w:rPr>
          <w:rFonts w:eastAsia="Arial" w:cstheme="minorHAnsi"/>
          <w:spacing w:val="-3"/>
        </w:rPr>
        <w:t>d</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a</w:t>
      </w:r>
      <w:r w:rsidRPr="00585C2D">
        <w:rPr>
          <w:rFonts w:eastAsia="Arial" w:cstheme="minorHAnsi"/>
        </w:rPr>
        <w:t>cc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3"/>
        </w:rPr>
        <w:t>o</w:t>
      </w:r>
      <w:r w:rsidRPr="00585C2D">
        <w:rPr>
          <w:rFonts w:eastAsia="Arial" w:cstheme="minorHAnsi"/>
          <w:spacing w:val="2"/>
        </w:rPr>
        <w:t>d</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g</w:t>
      </w:r>
      <w:r w:rsidRPr="00585C2D">
        <w:rPr>
          <w:rFonts w:eastAsia="Arial" w:cstheme="minorHAnsi"/>
          <w:spacing w:val="2"/>
        </w:rPr>
        <w:t>h</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2"/>
        </w:rPr>
        <w:t>b</w:t>
      </w:r>
      <w:r w:rsidRPr="00585C2D">
        <w:rPr>
          <w:rFonts w:eastAsia="Arial" w:cstheme="minorHAnsi"/>
          <w:spacing w:val="-3"/>
        </w:rPr>
        <w:t>e</w:t>
      </w:r>
      <w:r w:rsidRPr="00585C2D">
        <w:rPr>
          <w:rFonts w:eastAsia="Arial" w:cstheme="minorHAnsi"/>
          <w:spacing w:val="1"/>
        </w:rPr>
        <w:t>f</w:t>
      </w:r>
      <w:r w:rsidRPr="00585C2D">
        <w:rPr>
          <w:rFonts w:eastAsia="Arial" w:cstheme="minorHAnsi"/>
          <w:spacing w:val="2"/>
        </w:rPr>
        <w:t>o</w:t>
      </w:r>
      <w:r w:rsidRPr="00585C2D">
        <w:rPr>
          <w:rFonts w:eastAsia="Arial" w:cstheme="minorHAnsi"/>
          <w:spacing w:val="-2"/>
        </w:rPr>
        <w:t>r</w:t>
      </w:r>
      <w:r w:rsidRPr="00585C2D">
        <w:rPr>
          <w:rFonts w:eastAsia="Arial" w:cstheme="minorHAnsi"/>
        </w:rPr>
        <w:t xml:space="preserve">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g</w:t>
      </w:r>
      <w:r w:rsidRPr="00585C2D">
        <w:rPr>
          <w:rFonts w:eastAsia="Arial" w:cstheme="minorHAnsi"/>
          <w:spacing w:val="2"/>
        </w:rPr>
        <w:t>h</w:t>
      </w:r>
      <w:r w:rsidRPr="00585C2D">
        <w:rPr>
          <w:rFonts w:eastAsia="Arial" w:cstheme="minorHAnsi"/>
        </w:rPr>
        <w:t>t</w:t>
      </w:r>
      <w:r w:rsidRPr="00585C2D">
        <w:rPr>
          <w:rFonts w:eastAsia="Arial" w:cstheme="minorHAnsi"/>
          <w:spacing w:val="-3"/>
        </w:rPr>
        <w:t xml:space="preserve"> 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rPr>
        <w:t>c</w:t>
      </w:r>
      <w:r w:rsidRPr="00585C2D">
        <w:rPr>
          <w:rFonts w:eastAsia="Arial" w:cstheme="minorHAnsi"/>
          <w:spacing w:val="-1"/>
        </w:rPr>
        <w:t>l</w:t>
      </w:r>
      <w:r w:rsidRPr="00585C2D">
        <w:rPr>
          <w:rFonts w:eastAsia="Arial" w:cstheme="minorHAnsi"/>
          <w:spacing w:val="2"/>
        </w:rPr>
        <w:t>o</w:t>
      </w:r>
      <w:r w:rsidRPr="00585C2D">
        <w:rPr>
          <w:rFonts w:eastAsia="Arial" w:cstheme="minorHAnsi"/>
        </w:rPr>
        <w:t>s</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t</w:t>
      </w:r>
      <w:r w:rsidRPr="00585C2D">
        <w:rPr>
          <w:rFonts w:eastAsia="Arial" w:cstheme="minorHAnsi"/>
        </w:rPr>
        <w:t>.</w:t>
      </w:r>
      <w:r w:rsidRPr="00585C2D">
        <w:rPr>
          <w:rFonts w:eastAsia="Arial" w:cstheme="minorHAnsi"/>
          <w:spacing w:val="2"/>
        </w:rPr>
        <w:t xml:space="preserve"> </w:t>
      </w:r>
      <w:r w:rsidRPr="00585C2D">
        <w:rPr>
          <w:rFonts w:eastAsia="Arial" w:cstheme="minorHAnsi"/>
          <w:spacing w:val="-4"/>
        </w:rPr>
        <w:t>I</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spacing w:val="-2"/>
        </w:rPr>
        <w:t>r</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a</w:t>
      </w:r>
      <w:r w:rsidRPr="00585C2D">
        <w:rPr>
          <w:rFonts w:eastAsia="Arial" w:cstheme="minorHAnsi"/>
          <w:spacing w:val="-2"/>
        </w:rPr>
        <w:t>r</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n</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6"/>
        </w:rPr>
        <w:t>f</w:t>
      </w:r>
      <w:r w:rsidRPr="00585C2D">
        <w:rPr>
          <w:rFonts w:eastAsia="Arial" w:cstheme="minorHAnsi"/>
          <w:spacing w:val="-1"/>
        </w:rPr>
        <w:t>li</w:t>
      </w:r>
      <w:r w:rsidRPr="00585C2D">
        <w:rPr>
          <w:rFonts w:eastAsia="Arial" w:cstheme="minorHAnsi"/>
          <w:spacing w:val="-3"/>
        </w:rPr>
        <w:t>g</w:t>
      </w:r>
      <w:r w:rsidRPr="00585C2D">
        <w:rPr>
          <w:rFonts w:eastAsia="Arial" w:cstheme="minorHAnsi"/>
          <w:spacing w:val="2"/>
        </w:rPr>
        <w:t>h</w:t>
      </w:r>
      <w:r w:rsidRPr="00585C2D">
        <w:rPr>
          <w:rFonts w:eastAsia="Arial" w:cstheme="minorHAnsi"/>
          <w:spacing w:val="5"/>
        </w:rPr>
        <w:t>t</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rPr>
        <w:t>v</w:t>
      </w:r>
      <w:r w:rsidRPr="00585C2D">
        <w:rPr>
          <w:rFonts w:eastAsia="Arial" w:cstheme="minorHAnsi"/>
          <w:spacing w:val="2"/>
        </w:rPr>
        <w:t>a</w:t>
      </w:r>
      <w:r w:rsidRPr="00585C2D">
        <w:rPr>
          <w:rFonts w:eastAsia="Arial" w:cstheme="minorHAnsi"/>
          <w:spacing w:val="-1"/>
        </w:rPr>
        <w:t>il</w:t>
      </w:r>
      <w:r w:rsidRPr="00585C2D">
        <w:rPr>
          <w:rFonts w:eastAsia="Arial" w:cstheme="minorHAnsi"/>
          <w:spacing w:val="-3"/>
        </w:rPr>
        <w:t>a</w:t>
      </w:r>
      <w:r w:rsidRPr="00585C2D">
        <w:rPr>
          <w:rFonts w:eastAsia="Arial" w:cstheme="minorHAnsi"/>
          <w:spacing w:val="2"/>
        </w:rPr>
        <w:t>b</w:t>
      </w:r>
      <w:r w:rsidRPr="00585C2D">
        <w:rPr>
          <w:rFonts w:eastAsia="Arial" w:cstheme="minorHAnsi"/>
          <w:spacing w:val="-1"/>
        </w:rPr>
        <w:t>l</w:t>
      </w:r>
      <w:r w:rsidRPr="00585C2D">
        <w:rPr>
          <w:rFonts w:eastAsia="Arial" w:cstheme="minorHAnsi"/>
        </w:rPr>
        <w:t xml:space="preserve">e </w:t>
      </w:r>
      <w:r w:rsidRPr="00585C2D">
        <w:rPr>
          <w:rFonts w:eastAsia="Arial" w:cstheme="minorHAnsi"/>
          <w:spacing w:val="2"/>
        </w:rPr>
        <w:t>e</w:t>
      </w:r>
      <w:r w:rsidRPr="00585C2D">
        <w:rPr>
          <w:rFonts w:eastAsia="Arial" w:cstheme="minorHAnsi"/>
          <w:spacing w:val="-1"/>
        </w:rPr>
        <w:t>i</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rPr>
        <w:t xml:space="preserve">r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d</w:t>
      </w:r>
      <w:r w:rsidRPr="00585C2D">
        <w:rPr>
          <w:rFonts w:eastAsia="Arial" w:cstheme="minorHAnsi"/>
          <w:spacing w:val="2"/>
        </w:rPr>
        <w:t>a</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3"/>
        </w:rPr>
        <w:t>be</w:t>
      </w:r>
      <w:r w:rsidRPr="00585C2D">
        <w:rPr>
          <w:rFonts w:eastAsia="Arial" w:cstheme="minorHAnsi"/>
          <w:spacing w:val="6"/>
        </w:rPr>
        <w:t>f</w:t>
      </w:r>
      <w:r w:rsidRPr="00585C2D">
        <w:rPr>
          <w:rFonts w:eastAsia="Arial" w:cstheme="minorHAnsi"/>
          <w:spacing w:val="2"/>
        </w:rPr>
        <w:t>o</w:t>
      </w:r>
      <w:r w:rsidRPr="00585C2D">
        <w:rPr>
          <w:rFonts w:eastAsia="Arial" w:cstheme="minorHAnsi"/>
          <w:spacing w:val="-6"/>
        </w:rPr>
        <w:t>r</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1"/>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d</w:t>
      </w:r>
      <w:r w:rsidRPr="00585C2D">
        <w:rPr>
          <w:rFonts w:eastAsia="Arial" w:cstheme="minorHAnsi"/>
          <w:spacing w:val="2"/>
        </w:rPr>
        <w:t>a</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spacing w:val="6"/>
        </w:rPr>
        <w:t>f</w:t>
      </w:r>
      <w:r w:rsidRPr="00585C2D">
        <w:rPr>
          <w:rFonts w:eastAsia="Arial" w:cstheme="minorHAnsi"/>
          <w:spacing w:val="-4"/>
        </w:rPr>
        <w:t>t</w:t>
      </w:r>
      <w:r w:rsidRPr="00585C2D">
        <w:rPr>
          <w:rFonts w:eastAsia="Arial" w:cstheme="minorHAnsi"/>
          <w:spacing w:val="2"/>
        </w:rPr>
        <w:t>e</w:t>
      </w:r>
      <w:r w:rsidRPr="00585C2D">
        <w:rPr>
          <w:rFonts w:eastAsia="Arial" w:cstheme="minorHAnsi"/>
        </w:rPr>
        <w:t xml:space="preserve">r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e</w:t>
      </w:r>
      <w:r w:rsidRPr="00585C2D">
        <w:rPr>
          <w:rFonts w:eastAsia="Arial" w:cstheme="minorHAnsi"/>
          <w:spacing w:val="-3"/>
        </w:rPr>
        <w:t>n</w:t>
      </w:r>
      <w:r w:rsidRPr="00585C2D">
        <w:rPr>
          <w:rFonts w:eastAsia="Arial" w:cstheme="minorHAnsi"/>
          <w:spacing w:val="4"/>
        </w:rPr>
        <w:t>t</w:t>
      </w:r>
      <w:r w:rsidRPr="00585C2D">
        <w:rPr>
          <w:rFonts w:eastAsia="Arial" w:cstheme="minorHAnsi"/>
        </w:rPr>
        <w:t>,</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 xml:space="preserve">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3"/>
        </w:rPr>
        <w:t>b</w:t>
      </w:r>
      <w:r w:rsidRPr="00585C2D">
        <w:rPr>
          <w:rFonts w:eastAsia="Arial" w:cstheme="minorHAnsi"/>
          <w:spacing w:val="2"/>
        </w:rPr>
        <w:t>e</w:t>
      </w:r>
      <w:r w:rsidRPr="00585C2D">
        <w:rPr>
          <w:rFonts w:eastAsia="Arial" w:cstheme="minorHAnsi"/>
        </w:rPr>
        <w:t xml:space="preserve">r </w:t>
      </w:r>
      <w:r w:rsidRPr="00585C2D">
        <w:rPr>
          <w:rFonts w:eastAsia="Arial" w:cstheme="minorHAnsi"/>
          <w:spacing w:val="-2"/>
        </w:rPr>
        <w:t>m</w:t>
      </w:r>
      <w:r w:rsidRPr="00585C2D">
        <w:rPr>
          <w:rFonts w:eastAsia="Arial" w:cstheme="minorHAnsi"/>
          <w:spacing w:val="2"/>
        </w:rPr>
        <w:t>a</w:t>
      </w:r>
      <w:r w:rsidRPr="00585C2D">
        <w:rPr>
          <w:rFonts w:eastAsia="Arial" w:cstheme="minorHAnsi"/>
        </w:rPr>
        <w:t>y</w:t>
      </w:r>
      <w:r w:rsidRPr="00585C2D">
        <w:rPr>
          <w:rFonts w:eastAsia="Arial" w:cstheme="minorHAnsi"/>
          <w:spacing w:val="-8"/>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6"/>
        </w:rPr>
        <w:t>r</w:t>
      </w:r>
      <w:r w:rsidRPr="00585C2D">
        <w:rPr>
          <w:rFonts w:eastAsia="Arial" w:cstheme="minorHAnsi"/>
          <w:spacing w:val="2"/>
        </w:rPr>
        <w:t>e</w:t>
      </w:r>
      <w:r w:rsidRPr="00585C2D">
        <w:rPr>
          <w:rFonts w:eastAsia="Arial" w:cstheme="minorHAnsi"/>
          <w:spacing w:val="-3"/>
        </w:rPr>
        <w:t>q</w:t>
      </w:r>
      <w:r w:rsidRPr="00585C2D">
        <w:rPr>
          <w:rFonts w:eastAsia="Arial" w:cstheme="minorHAnsi"/>
          <w:spacing w:val="2"/>
        </w:rPr>
        <w:t>u</w:t>
      </w:r>
      <w:r w:rsidRPr="00585C2D">
        <w:rPr>
          <w:rFonts w:eastAsia="Arial" w:cstheme="minorHAnsi"/>
          <w:spacing w:val="-1"/>
        </w:rPr>
        <w:t>i</w:t>
      </w:r>
      <w:r w:rsidRPr="00585C2D">
        <w:rPr>
          <w:rFonts w:eastAsia="Arial" w:cstheme="minorHAnsi"/>
          <w:spacing w:val="-2"/>
        </w:rPr>
        <w:t>r</w:t>
      </w:r>
      <w:r w:rsidRPr="00585C2D">
        <w:rPr>
          <w:rFonts w:eastAsia="Arial" w:cstheme="minorHAnsi"/>
          <w:spacing w:val="2"/>
        </w:rPr>
        <w:t>e</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2"/>
        </w:rPr>
        <w:t>u</w:t>
      </w:r>
      <w:r w:rsidRPr="00585C2D">
        <w:rPr>
          <w:rFonts w:eastAsia="Arial" w:cstheme="minorHAnsi"/>
          <w:spacing w:val="-5"/>
        </w:rPr>
        <w:t>s</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2"/>
        </w:rPr>
        <w:t>a</w:t>
      </w:r>
      <w:r w:rsidRPr="00585C2D">
        <w:rPr>
          <w:rFonts w:eastAsia="Arial" w:cstheme="minorHAnsi"/>
          <w:spacing w:val="-1"/>
        </w:rPr>
        <w:t>ll</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e</w:t>
      </w:r>
      <w:r w:rsidRPr="00585C2D">
        <w:rPr>
          <w:rFonts w:eastAsia="Arial" w:cstheme="minorHAnsi"/>
        </w:rPr>
        <w:t xml:space="preserve">r </w:t>
      </w:r>
      <w:r w:rsidRPr="00585C2D">
        <w:rPr>
          <w:rFonts w:eastAsia="Arial" w:cstheme="minorHAnsi"/>
          <w:spacing w:val="-4"/>
        </w:rPr>
        <w:t>t</w:t>
      </w:r>
      <w:r w:rsidRPr="00585C2D">
        <w:rPr>
          <w:rFonts w:eastAsia="Arial" w:cstheme="minorHAnsi"/>
          <w:spacing w:val="2"/>
        </w:rPr>
        <w:t>h</w:t>
      </w:r>
      <w:r w:rsidRPr="00585C2D">
        <w:rPr>
          <w:rFonts w:eastAsia="Arial" w:cstheme="minorHAnsi"/>
        </w:rPr>
        <w:t xml:space="preserve">e </w:t>
      </w:r>
      <w:r w:rsidRPr="00585C2D">
        <w:rPr>
          <w:rFonts w:eastAsia="Arial" w:cstheme="minorHAnsi"/>
          <w:spacing w:val="2"/>
        </w:rPr>
        <w:t>a</w:t>
      </w:r>
      <w:r w:rsidRPr="00585C2D">
        <w:rPr>
          <w:rFonts w:eastAsia="Arial" w:cstheme="minorHAnsi"/>
          <w:spacing w:val="-3"/>
        </w:rPr>
        <w:t>d</w:t>
      </w:r>
      <w:r w:rsidRPr="00585C2D">
        <w:rPr>
          <w:rFonts w:eastAsia="Arial" w:cstheme="minorHAnsi"/>
          <w:spacing w:val="2"/>
        </w:rPr>
        <w:t>d</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5"/>
        </w:rPr>
        <w:t>c</w:t>
      </w:r>
      <w:r w:rsidRPr="00585C2D">
        <w:rPr>
          <w:rFonts w:eastAsia="Arial" w:cstheme="minorHAnsi"/>
          <w:spacing w:val="2"/>
        </w:rPr>
        <w:t>o</w:t>
      </w:r>
      <w:r w:rsidRPr="00585C2D">
        <w:rPr>
          <w:rFonts w:eastAsia="Arial" w:cstheme="minorHAnsi"/>
          <w:spacing w:val="-2"/>
        </w:rPr>
        <w:t>mm</w:t>
      </w:r>
      <w:r w:rsidRPr="00585C2D">
        <w:rPr>
          <w:rFonts w:eastAsia="Arial" w:cstheme="minorHAnsi"/>
          <w:spacing w:val="-3"/>
        </w:rPr>
        <w:t>o</w:t>
      </w:r>
      <w:r w:rsidRPr="00585C2D">
        <w:rPr>
          <w:rFonts w:eastAsia="Arial" w:cstheme="minorHAnsi"/>
          <w:spacing w:val="2"/>
        </w:rPr>
        <w:t>da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rPr>
        <w:t>,</w:t>
      </w:r>
      <w:r w:rsidRPr="00585C2D">
        <w:rPr>
          <w:rFonts w:eastAsia="Arial" w:cstheme="minorHAnsi"/>
          <w:spacing w:val="6"/>
        </w:rPr>
        <w:t xml:space="preserve"> </w:t>
      </w:r>
      <w:r w:rsidRPr="00585C2D">
        <w:rPr>
          <w:rFonts w:eastAsia="Arial" w:cstheme="minorHAnsi"/>
          <w:spacing w:val="-2"/>
        </w:rPr>
        <w:t>m</w:t>
      </w:r>
      <w:r w:rsidRPr="00585C2D">
        <w:rPr>
          <w:rFonts w:eastAsia="Arial" w:cstheme="minorHAnsi"/>
          <w:spacing w:val="2"/>
        </w:rPr>
        <w:t>ea</w:t>
      </w:r>
      <w:r w:rsidRPr="00585C2D">
        <w:rPr>
          <w:rFonts w:eastAsia="Arial" w:cstheme="minorHAnsi"/>
          <w:spacing w:val="-1"/>
        </w:rPr>
        <w:t>l</w:t>
      </w:r>
      <w:r w:rsidRPr="00585C2D">
        <w:rPr>
          <w:rFonts w:eastAsia="Arial" w:cstheme="minorHAnsi"/>
        </w:rPr>
        <w:t xml:space="preserve">s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rPr>
        <w:t>c</w:t>
      </w:r>
      <w:r w:rsidRPr="00585C2D">
        <w:rPr>
          <w:rFonts w:eastAsia="Arial" w:cstheme="minorHAnsi"/>
          <w:spacing w:val="-1"/>
        </w:rPr>
        <w:t>i</w:t>
      </w:r>
      <w:r w:rsidRPr="00585C2D">
        <w:rPr>
          <w:rFonts w:eastAsia="Arial" w:cstheme="minorHAnsi"/>
          <w:spacing w:val="-3"/>
        </w:rPr>
        <w:t>d</w:t>
      </w:r>
      <w:r w:rsidRPr="00585C2D">
        <w:rPr>
          <w:rFonts w:eastAsia="Arial" w:cstheme="minorHAnsi"/>
          <w:spacing w:val="2"/>
        </w:rPr>
        <w:t>e</w:t>
      </w:r>
      <w:r w:rsidRPr="00585C2D">
        <w:rPr>
          <w:rFonts w:eastAsia="Arial" w:cstheme="minorHAnsi"/>
          <w:spacing w:val="-3"/>
        </w:rPr>
        <w:t>n</w:t>
      </w:r>
      <w:r w:rsidRPr="00585C2D">
        <w:rPr>
          <w:rFonts w:eastAsia="Arial" w:cstheme="minorHAnsi"/>
          <w:spacing w:val="1"/>
        </w:rPr>
        <w:t>t</w:t>
      </w:r>
      <w:r w:rsidRPr="00585C2D">
        <w:rPr>
          <w:rFonts w:eastAsia="Arial" w:cstheme="minorHAnsi"/>
          <w:spacing w:val="2"/>
        </w:rPr>
        <w:t>a</w:t>
      </w:r>
      <w:r w:rsidRPr="00585C2D">
        <w:rPr>
          <w:rFonts w:eastAsia="Arial" w:cstheme="minorHAnsi"/>
          <w:spacing w:val="-1"/>
        </w:rPr>
        <w:t>l</w:t>
      </w:r>
      <w:r w:rsidRPr="00585C2D">
        <w:rPr>
          <w:rFonts w:eastAsia="Arial" w:cstheme="minorHAnsi"/>
        </w:rPr>
        <w:t xml:space="preserve">s </w:t>
      </w:r>
      <w:r w:rsidRPr="00585C2D">
        <w:rPr>
          <w:rFonts w:eastAsia="Arial" w:cstheme="minorHAnsi"/>
          <w:spacing w:val="-2"/>
        </w:rPr>
        <w:t>r</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a</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3"/>
        </w:rPr>
        <w:t>a</w:t>
      </w:r>
      <w:r w:rsidRPr="00585C2D">
        <w:rPr>
          <w:rFonts w:eastAsia="Arial" w:cstheme="minorHAnsi"/>
          <w:spacing w:val="2"/>
        </w:rPr>
        <w:t>dd</w:t>
      </w:r>
      <w:r w:rsidRPr="00585C2D">
        <w:rPr>
          <w:rFonts w:eastAsia="Arial" w:cstheme="minorHAnsi"/>
          <w:spacing w:val="-1"/>
        </w:rPr>
        <w:t>i</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4"/>
        </w:rPr>
        <w:t xml:space="preserve"> </w:t>
      </w:r>
      <w:r w:rsidRPr="00585C2D">
        <w:rPr>
          <w:rFonts w:eastAsia="Arial" w:cstheme="minorHAnsi"/>
          <w:spacing w:val="-1"/>
        </w:rPr>
        <w:t>l</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g</w:t>
      </w:r>
      <w:r w:rsidRPr="00585C2D">
        <w:rPr>
          <w:rFonts w:eastAsia="Arial" w:cstheme="minorHAnsi"/>
          <w:spacing w:val="-4"/>
        </w:rPr>
        <w:t>t</w:t>
      </w:r>
      <w:r w:rsidRPr="00585C2D">
        <w:rPr>
          <w:rFonts w:eastAsia="Arial" w:cstheme="minorHAnsi"/>
        </w:rPr>
        <w:t>h</w:t>
      </w:r>
      <w:r w:rsidRPr="00585C2D">
        <w:rPr>
          <w:rFonts w:eastAsia="Arial" w:cstheme="minorHAnsi"/>
          <w:spacing w:val="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m</w:t>
      </w:r>
      <w:r w:rsidRPr="00585C2D">
        <w:rPr>
          <w:rFonts w:eastAsia="Arial" w:cstheme="minorHAnsi"/>
        </w:rPr>
        <w:t>e</w:t>
      </w:r>
      <w:r w:rsidRPr="00585C2D">
        <w:rPr>
          <w:rFonts w:eastAsia="Arial" w:cstheme="minorHAnsi"/>
          <w:spacing w:val="7"/>
        </w:rPr>
        <w:t xml:space="preserve"> </w:t>
      </w:r>
      <w:proofErr w:type="gramStart"/>
      <w:r w:rsidRPr="00585C2D">
        <w:rPr>
          <w:rFonts w:eastAsia="Arial" w:cstheme="minorHAnsi"/>
          <w:spacing w:val="2"/>
        </w:rPr>
        <w:t>a</w:t>
      </w:r>
      <w:r w:rsidRPr="00585C2D">
        <w:rPr>
          <w:rFonts w:eastAsia="Arial" w:cstheme="minorHAnsi"/>
        </w:rPr>
        <w:t xml:space="preserve">s a </w:t>
      </w:r>
      <w:r w:rsidRPr="00585C2D">
        <w:rPr>
          <w:rFonts w:eastAsia="Arial" w:cstheme="minorHAnsi"/>
          <w:spacing w:val="-2"/>
        </w:rPr>
        <w:t>r</w:t>
      </w:r>
      <w:r w:rsidRPr="00585C2D">
        <w:rPr>
          <w:rFonts w:eastAsia="Arial" w:cstheme="minorHAnsi"/>
          <w:spacing w:val="2"/>
        </w:rPr>
        <w:t>e</w:t>
      </w:r>
      <w:r w:rsidRPr="00585C2D">
        <w:rPr>
          <w:rFonts w:eastAsia="Arial" w:cstheme="minorHAnsi"/>
        </w:rPr>
        <w:t>s</w:t>
      </w:r>
      <w:r w:rsidRPr="00585C2D">
        <w:rPr>
          <w:rFonts w:eastAsia="Arial" w:cstheme="minorHAnsi"/>
          <w:spacing w:val="2"/>
        </w:rPr>
        <w:t>u</w:t>
      </w:r>
      <w:r w:rsidRPr="00585C2D">
        <w:rPr>
          <w:rFonts w:eastAsia="Arial" w:cstheme="minorHAnsi"/>
          <w:spacing w:val="-1"/>
        </w:rPr>
        <w:t>l</w:t>
      </w:r>
      <w:r w:rsidRPr="00585C2D">
        <w:rPr>
          <w:rFonts w:eastAsia="Arial" w:cstheme="minorHAnsi"/>
        </w:rPr>
        <w:t>t</w:t>
      </w:r>
      <w:r w:rsidRPr="00585C2D">
        <w:rPr>
          <w:rFonts w:eastAsia="Arial" w:cstheme="minorHAnsi"/>
          <w:spacing w:val="-3"/>
        </w:rPr>
        <w:t xml:space="preserve"> o</w:t>
      </w:r>
      <w:r w:rsidRPr="00585C2D">
        <w:rPr>
          <w:rFonts w:eastAsia="Arial" w:cstheme="minorHAnsi"/>
        </w:rPr>
        <w:t>f</w:t>
      </w:r>
      <w:proofErr w:type="gramEnd"/>
      <w:r w:rsidRPr="00585C2D">
        <w:rPr>
          <w:rFonts w:eastAsia="Arial" w:cstheme="minorHAnsi"/>
          <w:spacing w:val="2"/>
        </w:rPr>
        <w:t xml:space="preserve"> </w:t>
      </w:r>
      <w:r w:rsidRPr="00585C2D">
        <w:rPr>
          <w:rFonts w:eastAsia="Arial" w:cstheme="minorHAnsi"/>
          <w:spacing w:val="6"/>
        </w:rPr>
        <w:t>f</w:t>
      </w:r>
      <w:r w:rsidRPr="00585C2D">
        <w:rPr>
          <w:rFonts w:eastAsia="Arial" w:cstheme="minorHAnsi"/>
          <w:spacing w:val="-1"/>
        </w:rPr>
        <w:t>l</w:t>
      </w:r>
      <w:r w:rsidRPr="00585C2D">
        <w:rPr>
          <w:rFonts w:eastAsia="Arial" w:cstheme="minorHAnsi"/>
          <w:spacing w:val="-6"/>
        </w:rPr>
        <w:t>i</w:t>
      </w:r>
      <w:r w:rsidRPr="00585C2D">
        <w:rPr>
          <w:rFonts w:eastAsia="Arial" w:cstheme="minorHAnsi"/>
          <w:spacing w:val="2"/>
        </w:rPr>
        <w:t>gh</w:t>
      </w:r>
      <w:r w:rsidRPr="00585C2D">
        <w:rPr>
          <w:rFonts w:eastAsia="Arial" w:cstheme="minorHAnsi"/>
          <w:spacing w:val="-4"/>
        </w:rPr>
        <w:t>t</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3"/>
        </w:rPr>
        <w:t>n</w:t>
      </w:r>
      <w:r w:rsidRPr="00585C2D">
        <w:rPr>
          <w:rFonts w:eastAsia="Arial" w:cstheme="minorHAnsi"/>
          <w:spacing w:val="2"/>
        </w:rPr>
        <w:t>o</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2"/>
        </w:rPr>
        <w:t>be</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a</w:t>
      </w:r>
      <w:r w:rsidRPr="00585C2D">
        <w:rPr>
          <w:rFonts w:eastAsia="Arial" w:cstheme="minorHAnsi"/>
          <w:spacing w:val="-1"/>
        </w:rPr>
        <w:t>il</w:t>
      </w:r>
      <w:r w:rsidRPr="00585C2D">
        <w:rPr>
          <w:rFonts w:eastAsia="Arial" w:cstheme="minorHAnsi"/>
          <w:spacing w:val="2"/>
        </w:rPr>
        <w:t>ab</w:t>
      </w:r>
      <w:r w:rsidRPr="00585C2D">
        <w:rPr>
          <w:rFonts w:eastAsia="Arial" w:cstheme="minorHAnsi"/>
          <w:spacing w:val="-6"/>
        </w:rPr>
        <w:t>l</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d</w:t>
      </w:r>
      <w:r w:rsidRPr="00585C2D">
        <w:rPr>
          <w:rFonts w:eastAsia="Arial" w:cstheme="minorHAnsi"/>
          <w:spacing w:val="-3"/>
        </w:rPr>
        <w:t>a</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3"/>
        </w:rPr>
        <w:t>be</w:t>
      </w:r>
      <w:r w:rsidRPr="00585C2D">
        <w:rPr>
          <w:rFonts w:eastAsia="Arial" w:cstheme="minorHAnsi"/>
          <w:spacing w:val="1"/>
        </w:rPr>
        <w:t>f</w:t>
      </w:r>
      <w:r w:rsidRPr="00585C2D">
        <w:rPr>
          <w:rFonts w:eastAsia="Arial" w:cstheme="minorHAnsi"/>
          <w:spacing w:val="2"/>
        </w:rPr>
        <w:t>o</w:t>
      </w:r>
      <w:r w:rsidRPr="00585C2D">
        <w:rPr>
          <w:rFonts w:eastAsia="Arial" w:cstheme="minorHAnsi"/>
          <w:spacing w:val="-2"/>
        </w:rPr>
        <w:t>r</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d</w:t>
      </w:r>
      <w:r w:rsidRPr="00585C2D">
        <w:rPr>
          <w:rFonts w:eastAsia="Arial" w:cstheme="minorHAnsi"/>
          <w:spacing w:val="2"/>
        </w:rPr>
        <w:t>a</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spacing w:val="6"/>
        </w:rPr>
        <w:t>f</w:t>
      </w:r>
      <w:r w:rsidRPr="00585C2D">
        <w:rPr>
          <w:rFonts w:eastAsia="Arial" w:cstheme="minorHAnsi"/>
          <w:spacing w:val="-4"/>
        </w:rPr>
        <w:t>t</w:t>
      </w:r>
      <w:r w:rsidRPr="00585C2D">
        <w:rPr>
          <w:rFonts w:eastAsia="Arial" w:cstheme="minorHAnsi"/>
          <w:spacing w:val="2"/>
        </w:rPr>
        <w:t>e</w:t>
      </w:r>
      <w:r w:rsidRPr="00585C2D">
        <w:rPr>
          <w:rFonts w:eastAsia="Arial" w:cstheme="minorHAnsi"/>
        </w:rPr>
        <w:t xml:space="preserve">r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en</w:t>
      </w:r>
      <w:r w:rsidRPr="00585C2D">
        <w:rPr>
          <w:rFonts w:eastAsia="Arial" w:cstheme="minorHAnsi"/>
          <w:spacing w:val="6"/>
        </w:rPr>
        <w:t>t</w:t>
      </w:r>
      <w:r w:rsidRPr="00585C2D">
        <w:rPr>
          <w:rFonts w:eastAsia="Arial" w:cstheme="minorHAnsi"/>
        </w:rPr>
        <w:t>.</w:t>
      </w:r>
    </w:p>
    <w:p w14:paraId="0953EE2C" w14:textId="77777777" w:rsidR="00FC0CF1" w:rsidRPr="00585C2D" w:rsidRDefault="00FC0CF1" w:rsidP="00FC0CF1">
      <w:pPr>
        <w:spacing w:after="120" w:line="259" w:lineRule="auto"/>
        <w:ind w:left="851" w:right="-45" w:hanging="425"/>
        <w:jc w:val="both"/>
        <w:rPr>
          <w:rFonts w:eastAsia="Arial" w:cstheme="minorHAnsi"/>
        </w:rPr>
      </w:pPr>
      <w:r>
        <w:rPr>
          <w:rFonts w:eastAsia="Arial" w:cstheme="minorHAnsi"/>
        </w:rPr>
        <w:t>f.</w:t>
      </w:r>
      <w:r>
        <w:rPr>
          <w:rFonts w:eastAsia="Arial" w:cstheme="minorHAnsi"/>
        </w:rPr>
        <w:tab/>
      </w:r>
      <w:r w:rsidRPr="00585C2D">
        <w:rPr>
          <w:rFonts w:eastAsia="Arial" w:cstheme="minorHAnsi"/>
        </w:rPr>
        <w:t>T</w:t>
      </w:r>
      <w:r w:rsidRPr="00585C2D">
        <w:rPr>
          <w:rFonts w:eastAsia="Arial" w:cstheme="minorHAnsi"/>
          <w:spacing w:val="1"/>
        </w:rPr>
        <w:t>h</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1"/>
        </w:rPr>
        <w:t>Town</w:t>
      </w:r>
      <w:r w:rsidRPr="00585C2D">
        <w:rPr>
          <w:rFonts w:eastAsia="Arial" w:cstheme="minorHAnsi"/>
          <w:spacing w:val="-8"/>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14"/>
        </w:rPr>
        <w:t xml:space="preserve"> </w:t>
      </w:r>
      <w:r>
        <w:rPr>
          <w:rFonts w:eastAsia="Arial" w:cstheme="minorHAnsi"/>
          <w:spacing w:val="-14"/>
        </w:rPr>
        <w:t xml:space="preserve">reimburse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10"/>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3"/>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11"/>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1"/>
        </w:rPr>
        <w:t>C</w:t>
      </w:r>
      <w:r w:rsidRPr="00585C2D">
        <w:rPr>
          <w:rFonts w:eastAsia="Arial" w:cstheme="minorHAnsi"/>
          <w:spacing w:val="1"/>
        </w:rPr>
        <w:t>E</w:t>
      </w:r>
      <w:r w:rsidRPr="00585C2D">
        <w:rPr>
          <w:rFonts w:eastAsia="Arial" w:cstheme="minorHAnsi"/>
          <w:spacing w:val="-1"/>
        </w:rPr>
        <w:t>O</w:t>
      </w:r>
      <w:r>
        <w:rPr>
          <w:rFonts w:eastAsia="Arial" w:cstheme="minorHAnsi"/>
          <w:spacing w:val="-1"/>
        </w:rPr>
        <w:t xml:space="preserve"> for reasonable daily living expenses</w:t>
      </w:r>
      <w:r>
        <w:rPr>
          <w:rFonts w:eastAsia="Arial" w:cstheme="minorHAnsi"/>
        </w:rPr>
        <w:t xml:space="preserve"> whilst away for the duration of </w:t>
      </w:r>
      <w:r w:rsidRPr="00585C2D">
        <w:rPr>
          <w:rFonts w:eastAsia="Arial" w:cstheme="minorHAnsi"/>
          <w:spacing w:val="-5"/>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1"/>
        </w:rPr>
        <w:t>f</w:t>
      </w:r>
      <w:r w:rsidRPr="00585C2D">
        <w:rPr>
          <w:rFonts w:eastAsia="Arial" w:cstheme="minorHAnsi"/>
          <w:spacing w:val="2"/>
        </w:rPr>
        <w:t>e</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n</w:t>
      </w:r>
      <w:r w:rsidRPr="00585C2D">
        <w:rPr>
          <w:rFonts w:eastAsia="Arial" w:cstheme="minorHAnsi"/>
        </w:rPr>
        <w:t>ce</w:t>
      </w:r>
      <w:r w:rsidRPr="00585C2D">
        <w:rPr>
          <w:rFonts w:eastAsia="Arial" w:cstheme="minorHAnsi"/>
          <w:spacing w:val="-11"/>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14"/>
        </w:rPr>
        <w:t xml:space="preserve">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spacing w:val="1"/>
        </w:rPr>
        <w:t>t</w:t>
      </w:r>
      <w:r>
        <w:rPr>
          <w:rFonts w:eastAsia="Arial" w:cstheme="minorHAnsi"/>
        </w:rPr>
        <w:t xml:space="preserve">, </w:t>
      </w:r>
      <w:r w:rsidRPr="00585C2D">
        <w:rPr>
          <w:rFonts w:eastAsia="Arial" w:cstheme="minorHAnsi"/>
          <w:spacing w:val="2"/>
        </w:rPr>
        <w:t>o</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p</w:t>
      </w:r>
      <w:r w:rsidRPr="00585C2D">
        <w:rPr>
          <w:rFonts w:eastAsia="Arial" w:cstheme="minorHAnsi"/>
          <w:spacing w:val="-6"/>
        </w:rPr>
        <w:t>r</w:t>
      </w:r>
      <w:r w:rsidRPr="00585C2D">
        <w:rPr>
          <w:rFonts w:eastAsia="Arial" w:cstheme="minorHAnsi"/>
          <w:spacing w:val="2"/>
        </w:rPr>
        <w:t>o</w:t>
      </w:r>
      <w:r w:rsidRPr="00585C2D">
        <w:rPr>
          <w:rFonts w:eastAsia="Arial" w:cstheme="minorHAnsi"/>
          <w:spacing w:val="-3"/>
        </w:rPr>
        <w:t>d</w:t>
      </w:r>
      <w:r w:rsidRPr="00585C2D">
        <w:rPr>
          <w:rFonts w:eastAsia="Arial" w:cstheme="minorHAnsi"/>
          <w:spacing w:val="2"/>
        </w:rPr>
        <w:t>u</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5"/>
        </w:rPr>
        <w:t>c</w:t>
      </w:r>
      <w:r w:rsidRPr="00585C2D">
        <w:rPr>
          <w:rFonts w:eastAsia="Arial" w:cstheme="minorHAnsi"/>
          <w:spacing w:val="2"/>
        </w:rPr>
        <w:t>e</w:t>
      </w:r>
      <w:r w:rsidRPr="00585C2D">
        <w:rPr>
          <w:rFonts w:eastAsia="Arial" w:cstheme="minorHAnsi"/>
          <w:spacing w:val="-1"/>
        </w:rPr>
        <w:t>i</w:t>
      </w:r>
      <w:r w:rsidRPr="00585C2D">
        <w:rPr>
          <w:rFonts w:eastAsia="Arial" w:cstheme="minorHAnsi"/>
          <w:spacing w:val="-3"/>
        </w:rPr>
        <w:t>p</w:t>
      </w:r>
      <w:r w:rsidRPr="00585C2D">
        <w:rPr>
          <w:rFonts w:eastAsia="Arial" w:cstheme="minorHAnsi"/>
          <w:spacing w:val="1"/>
        </w:rPr>
        <w:t>t</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5"/>
        </w:rPr>
        <w:t>v</w:t>
      </w:r>
      <w:r w:rsidRPr="00585C2D">
        <w:rPr>
          <w:rFonts w:eastAsia="Arial" w:cstheme="minorHAnsi"/>
          <w:spacing w:val="2"/>
        </w:rPr>
        <w:t>e</w:t>
      </w:r>
      <w:r w:rsidRPr="00585C2D">
        <w:rPr>
          <w:rFonts w:eastAsia="Arial" w:cstheme="minorHAnsi"/>
          <w:spacing w:val="-2"/>
        </w:rPr>
        <w:t>r</w:t>
      </w:r>
      <w:r w:rsidRPr="00585C2D">
        <w:rPr>
          <w:rFonts w:eastAsia="Arial" w:cstheme="minorHAnsi"/>
          <w:spacing w:val="-1"/>
        </w:rPr>
        <w:t>i</w:t>
      </w:r>
      <w:r w:rsidRPr="00585C2D">
        <w:rPr>
          <w:rFonts w:eastAsia="Arial" w:cstheme="minorHAnsi"/>
          <w:spacing w:val="6"/>
        </w:rPr>
        <w:t>f</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e</w:t>
      </w:r>
      <w:r w:rsidRPr="00585C2D">
        <w:rPr>
          <w:rFonts w:eastAsia="Arial" w:cstheme="minorHAnsi"/>
        </w:rPr>
        <w:t>x</w:t>
      </w:r>
      <w:r w:rsidRPr="00585C2D">
        <w:rPr>
          <w:rFonts w:eastAsia="Arial" w:cstheme="minorHAnsi"/>
          <w:spacing w:val="-3"/>
        </w:rPr>
        <w:t>p</w:t>
      </w:r>
      <w:r w:rsidRPr="00585C2D">
        <w:rPr>
          <w:rFonts w:eastAsia="Arial" w:cstheme="minorHAnsi"/>
          <w:spacing w:val="2"/>
        </w:rPr>
        <w:t>en</w:t>
      </w:r>
      <w:r w:rsidRPr="00585C2D">
        <w:rPr>
          <w:rFonts w:eastAsia="Arial" w:cstheme="minorHAnsi"/>
          <w:spacing w:val="-5"/>
        </w:rPr>
        <w:t>s</w:t>
      </w:r>
      <w:r w:rsidRPr="00585C2D">
        <w:rPr>
          <w:rFonts w:eastAsia="Arial" w:cstheme="minorHAnsi"/>
          <w:spacing w:val="2"/>
        </w:rPr>
        <w:t>e</w:t>
      </w:r>
      <w:r w:rsidRPr="00585C2D">
        <w:rPr>
          <w:rFonts w:eastAsia="Arial" w:cstheme="minorHAnsi"/>
        </w:rPr>
        <w:t>.</w:t>
      </w:r>
    </w:p>
    <w:p w14:paraId="73E4D610" w14:textId="77777777" w:rsidR="00FC0CF1" w:rsidRPr="00585C2D" w:rsidRDefault="00FC0CF1" w:rsidP="00FC0CF1">
      <w:pPr>
        <w:spacing w:after="120" w:line="258" w:lineRule="auto"/>
        <w:ind w:left="851" w:right="-45" w:hanging="425"/>
        <w:jc w:val="both"/>
        <w:rPr>
          <w:rFonts w:eastAsia="Arial" w:cstheme="minorHAnsi"/>
        </w:rPr>
      </w:pPr>
      <w:r w:rsidRPr="00585C2D">
        <w:rPr>
          <w:rFonts w:eastAsia="Arial" w:cstheme="minorHAnsi"/>
          <w:spacing w:val="2"/>
        </w:rPr>
        <w:t>h</w:t>
      </w:r>
      <w:r>
        <w:rPr>
          <w:rFonts w:eastAsia="Arial" w:cstheme="minorHAnsi"/>
        </w:rPr>
        <w:t>.</w:t>
      </w:r>
      <w:r>
        <w:rPr>
          <w:rFonts w:eastAsia="Arial" w:cstheme="minorHAnsi"/>
        </w:rPr>
        <w:tab/>
      </w:r>
      <w:r w:rsidRPr="00585C2D">
        <w:rPr>
          <w:rFonts w:eastAsia="Arial" w:cstheme="minorHAnsi"/>
          <w:spacing w:val="7"/>
        </w:rPr>
        <w:t>W</w:t>
      </w:r>
      <w:r w:rsidRPr="00585C2D">
        <w:rPr>
          <w:rFonts w:eastAsia="Arial" w:cstheme="minorHAnsi"/>
          <w:spacing w:val="-3"/>
        </w:rPr>
        <w:t>he</w:t>
      </w:r>
      <w:r w:rsidRPr="00585C2D">
        <w:rPr>
          <w:rFonts w:eastAsia="Arial" w:cstheme="minorHAnsi"/>
          <w:spacing w:val="-2"/>
        </w:rPr>
        <w:t>r</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1"/>
        </w:rPr>
        <w:t>C</w:t>
      </w:r>
      <w:r w:rsidRPr="00585C2D">
        <w:rPr>
          <w:rFonts w:eastAsia="Arial" w:cstheme="minorHAnsi"/>
          <w:spacing w:val="-3"/>
        </w:rPr>
        <w:t>E</w:t>
      </w:r>
      <w:r w:rsidRPr="00585C2D">
        <w:rPr>
          <w:rFonts w:eastAsia="Arial" w:cstheme="minorHAnsi"/>
        </w:rPr>
        <w:t>O</w:t>
      </w:r>
      <w:r w:rsidRPr="00585C2D">
        <w:rPr>
          <w:rFonts w:eastAsia="Arial" w:cstheme="minorHAnsi"/>
          <w:spacing w:val="7"/>
        </w:rPr>
        <w:t xml:space="preserve"> </w:t>
      </w:r>
      <w:r w:rsidRPr="00585C2D">
        <w:rPr>
          <w:rFonts w:eastAsia="Arial" w:cstheme="minorHAnsi"/>
        </w:rPr>
        <w:t>c</w:t>
      </w:r>
      <w:r w:rsidRPr="00585C2D">
        <w:rPr>
          <w:rFonts w:eastAsia="Arial" w:cstheme="minorHAnsi"/>
          <w:spacing w:val="-3"/>
        </w:rPr>
        <w:t>h</w:t>
      </w:r>
      <w:r w:rsidRPr="00585C2D">
        <w:rPr>
          <w:rFonts w:eastAsia="Arial" w:cstheme="minorHAnsi"/>
          <w:spacing w:val="9"/>
        </w:rPr>
        <w:t>o</w:t>
      </w:r>
      <w:r w:rsidRPr="00585C2D">
        <w:rPr>
          <w:rFonts w:eastAsia="Arial" w:cstheme="minorHAnsi"/>
          <w:spacing w:val="-3"/>
        </w:rPr>
        <w:t>o</w:t>
      </w:r>
      <w:r w:rsidRPr="00585C2D">
        <w:rPr>
          <w:rFonts w:eastAsia="Arial" w:cstheme="minorHAnsi"/>
        </w:rPr>
        <w:t>s</w:t>
      </w:r>
      <w:r w:rsidRPr="00585C2D">
        <w:rPr>
          <w:rFonts w:eastAsia="Arial" w:cstheme="minorHAnsi"/>
          <w:spacing w:val="2"/>
        </w:rPr>
        <w:t>e</w:t>
      </w:r>
      <w:r w:rsidRPr="00585C2D">
        <w:rPr>
          <w:rFonts w:eastAsia="Arial" w:cstheme="minorHAnsi"/>
        </w:rPr>
        <w:t>s</w:t>
      </w:r>
      <w:r w:rsidRPr="00585C2D">
        <w:rPr>
          <w:rFonts w:eastAsia="Arial" w:cstheme="minorHAnsi"/>
          <w:spacing w:val="1"/>
        </w:rPr>
        <w:t xml:space="preserve"> 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spacing w:val="-2"/>
        </w:rPr>
        <w:t>rr</w:t>
      </w:r>
      <w:r w:rsidRPr="00585C2D">
        <w:rPr>
          <w:rFonts w:eastAsia="Arial" w:cstheme="minorHAnsi"/>
          <w:spacing w:val="-1"/>
        </w:rPr>
        <w:t>i</w:t>
      </w:r>
      <w:r w:rsidRPr="00585C2D">
        <w:rPr>
          <w:rFonts w:eastAsia="Arial" w:cstheme="minorHAnsi"/>
        </w:rPr>
        <w:t>ve</w:t>
      </w:r>
      <w:r w:rsidRPr="00585C2D">
        <w:rPr>
          <w:rFonts w:eastAsia="Arial" w:cstheme="minorHAnsi"/>
          <w:spacing w:val="7"/>
        </w:rPr>
        <w:t xml:space="preserve"> </w:t>
      </w:r>
      <w:r w:rsidRPr="00585C2D">
        <w:rPr>
          <w:rFonts w:eastAsia="Arial" w:cstheme="minorHAnsi"/>
          <w:spacing w:val="-3"/>
        </w:rPr>
        <w:t>e</w:t>
      </w:r>
      <w:r w:rsidRPr="00585C2D">
        <w:rPr>
          <w:rFonts w:eastAsia="Arial" w:cstheme="minorHAnsi"/>
          <w:spacing w:val="2"/>
        </w:rPr>
        <w:t>a</w:t>
      </w:r>
      <w:r w:rsidRPr="00585C2D">
        <w:rPr>
          <w:rFonts w:eastAsia="Arial" w:cstheme="minorHAnsi"/>
          <w:spacing w:val="-2"/>
        </w:rPr>
        <w:t>r</w:t>
      </w:r>
      <w:r w:rsidRPr="00585C2D">
        <w:rPr>
          <w:rFonts w:eastAsia="Arial" w:cstheme="minorHAnsi"/>
          <w:spacing w:val="-1"/>
        </w:rPr>
        <w:t>li</w:t>
      </w:r>
      <w:r w:rsidRPr="00585C2D">
        <w:rPr>
          <w:rFonts w:eastAsia="Arial" w:cstheme="minorHAnsi"/>
          <w:spacing w:val="2"/>
        </w:rPr>
        <w:t>e</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2"/>
        </w:rPr>
        <w:t>e</w:t>
      </w:r>
      <w:r w:rsidRPr="00585C2D">
        <w:rPr>
          <w:rFonts w:eastAsia="Arial" w:cstheme="minorHAnsi"/>
          <w:spacing w:val="-5"/>
        </w:rPr>
        <w:t>x</w:t>
      </w:r>
      <w:r w:rsidRPr="00585C2D">
        <w:rPr>
          <w:rFonts w:eastAsia="Arial" w:cstheme="minorHAnsi"/>
          <w:spacing w:val="1"/>
        </w:rPr>
        <w:t>t</w:t>
      </w:r>
      <w:r w:rsidRPr="00585C2D">
        <w:rPr>
          <w:rFonts w:eastAsia="Arial" w:cstheme="minorHAnsi"/>
          <w:spacing w:val="-3"/>
        </w:rPr>
        <w:t>e</w:t>
      </w:r>
      <w:r w:rsidRPr="00585C2D">
        <w:rPr>
          <w:rFonts w:eastAsia="Arial" w:cstheme="minorHAnsi"/>
          <w:spacing w:val="2"/>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spacing w:val="-1"/>
        </w:rPr>
        <w:t>i</w:t>
      </w:r>
      <w:r w:rsidRPr="00585C2D">
        <w:rPr>
          <w:rFonts w:eastAsia="Arial" w:cstheme="minorHAnsi"/>
        </w:rPr>
        <w:t>r</w:t>
      </w:r>
      <w:r w:rsidRPr="00585C2D">
        <w:rPr>
          <w:rFonts w:eastAsia="Arial" w:cstheme="minorHAnsi"/>
          <w:spacing w:val="4"/>
        </w:rPr>
        <w:t xml:space="preserve"> </w:t>
      </w:r>
      <w:r w:rsidRPr="00585C2D">
        <w:rPr>
          <w:rFonts w:eastAsia="Arial" w:cstheme="minorHAnsi"/>
        </w:rPr>
        <w:t>s</w:t>
      </w:r>
      <w:r w:rsidRPr="00585C2D">
        <w:rPr>
          <w:rFonts w:eastAsia="Arial" w:cstheme="minorHAnsi"/>
          <w:spacing w:val="1"/>
        </w:rPr>
        <w:t>t</w:t>
      </w:r>
      <w:r w:rsidRPr="00585C2D">
        <w:rPr>
          <w:rFonts w:eastAsia="Arial" w:cstheme="minorHAnsi"/>
          <w:spacing w:val="2"/>
        </w:rPr>
        <w:t>a</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2"/>
        </w:rPr>
        <w:t>a</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1"/>
        </w:rPr>
        <w:t>l</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 xml:space="preserve">n </w:t>
      </w:r>
      <w:r w:rsidRPr="00585C2D">
        <w:rPr>
          <w:rFonts w:eastAsia="Arial" w:cstheme="minorHAnsi"/>
          <w:spacing w:val="-3"/>
        </w:rPr>
        <w:t>o</w:t>
      </w:r>
      <w:r w:rsidRPr="00585C2D">
        <w:rPr>
          <w:rFonts w:eastAsia="Arial" w:cstheme="minorHAnsi"/>
        </w:rPr>
        <w:t>f</w:t>
      </w:r>
      <w:r w:rsidRPr="00585C2D">
        <w:rPr>
          <w:rFonts w:eastAsia="Arial" w:cstheme="minorHAnsi"/>
          <w:spacing w:val="10"/>
        </w:rPr>
        <w:t xml:space="preserve"> </w:t>
      </w:r>
      <w:r w:rsidRPr="00585C2D">
        <w:rPr>
          <w:rFonts w:eastAsia="Arial" w:cstheme="minorHAnsi"/>
        </w:rPr>
        <w:t>a</w:t>
      </w:r>
      <w:r w:rsidRPr="00585C2D">
        <w:rPr>
          <w:rFonts w:eastAsia="Arial" w:cstheme="minorHAnsi"/>
          <w:spacing w:val="11"/>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1"/>
        </w:rPr>
        <w:t>f</w:t>
      </w:r>
      <w:r w:rsidRPr="00585C2D">
        <w:rPr>
          <w:rFonts w:eastAsia="Arial" w:cstheme="minorHAnsi"/>
          <w:spacing w:val="2"/>
        </w:rPr>
        <w:t>e</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n</w:t>
      </w:r>
      <w:r w:rsidRPr="00585C2D">
        <w:rPr>
          <w:rFonts w:eastAsia="Arial" w:cstheme="minorHAnsi"/>
          <w:spacing w:val="-5"/>
        </w:rPr>
        <w:t>c</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8"/>
        </w:rPr>
        <w:t xml:space="preserve"> </w:t>
      </w:r>
      <w:r w:rsidRPr="00585C2D">
        <w:rPr>
          <w:rFonts w:eastAsia="Arial" w:cstheme="minorHAnsi"/>
          <w:spacing w:val="-3"/>
        </w:rPr>
        <w:t>d</w:t>
      </w:r>
      <w:r w:rsidRPr="00585C2D">
        <w:rPr>
          <w:rFonts w:eastAsia="Arial" w:cstheme="minorHAnsi"/>
          <w:spacing w:val="2"/>
        </w:rPr>
        <w:t>e</w:t>
      </w:r>
      <w:r w:rsidRPr="00585C2D">
        <w:rPr>
          <w:rFonts w:eastAsia="Arial" w:cstheme="minorHAnsi"/>
        </w:rPr>
        <w:t>v</w:t>
      </w:r>
      <w:r w:rsidRPr="00585C2D">
        <w:rPr>
          <w:rFonts w:eastAsia="Arial" w:cstheme="minorHAnsi"/>
          <w:spacing w:val="-1"/>
        </w:rPr>
        <w:t>i</w:t>
      </w:r>
      <w:r w:rsidRPr="00585C2D">
        <w:rPr>
          <w:rFonts w:eastAsia="Arial" w:cstheme="minorHAnsi"/>
          <w:spacing w:val="-3"/>
        </w:rPr>
        <w:t>a</w:t>
      </w:r>
      <w:r w:rsidRPr="00585C2D">
        <w:rPr>
          <w:rFonts w:eastAsia="Arial" w:cstheme="minorHAnsi"/>
          <w:spacing w:val="1"/>
        </w:rPr>
        <w:t>t</w:t>
      </w:r>
      <w:r w:rsidRPr="00585C2D">
        <w:rPr>
          <w:rFonts w:eastAsia="Arial" w:cstheme="minorHAnsi"/>
          <w:spacing w:val="2"/>
        </w:rPr>
        <w:t>e</w:t>
      </w:r>
      <w:r w:rsidRPr="00585C2D">
        <w:rPr>
          <w:rFonts w:eastAsia="Arial" w:cstheme="minorHAnsi"/>
        </w:rPr>
        <w:t xml:space="preserve">s </w:t>
      </w:r>
      <w:r w:rsidRPr="00585C2D">
        <w:rPr>
          <w:rFonts w:eastAsia="Arial" w:cstheme="minorHAnsi"/>
          <w:spacing w:val="6"/>
        </w:rPr>
        <w:t>f</w:t>
      </w:r>
      <w:r w:rsidRPr="00585C2D">
        <w:rPr>
          <w:rFonts w:eastAsia="Arial" w:cstheme="minorHAnsi"/>
          <w:spacing w:val="-2"/>
        </w:rPr>
        <w:t>r</w:t>
      </w:r>
      <w:r w:rsidRPr="00585C2D">
        <w:rPr>
          <w:rFonts w:eastAsia="Arial" w:cstheme="minorHAnsi"/>
          <w:spacing w:val="2"/>
        </w:rPr>
        <w:t>o</w:t>
      </w:r>
      <w:r w:rsidRPr="00585C2D">
        <w:rPr>
          <w:rFonts w:eastAsia="Arial" w:cstheme="minorHAnsi"/>
        </w:rPr>
        <w:t>m</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rPr>
        <w:t>v</w:t>
      </w:r>
      <w:r w:rsidRPr="00585C2D">
        <w:rPr>
          <w:rFonts w:eastAsia="Arial" w:cstheme="minorHAnsi"/>
          <w:spacing w:val="2"/>
        </w:rPr>
        <w:t>e</w:t>
      </w:r>
      <w:r w:rsidRPr="00585C2D">
        <w:rPr>
          <w:rFonts w:eastAsia="Arial" w:cstheme="minorHAnsi"/>
        </w:rPr>
        <w:t>l</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2"/>
        </w:rPr>
        <w:t>rr</w:t>
      </w:r>
      <w:r w:rsidRPr="00585C2D">
        <w:rPr>
          <w:rFonts w:eastAsia="Arial" w:cstheme="minorHAnsi"/>
          <w:spacing w:val="-3"/>
        </w:rPr>
        <w:t>an</w:t>
      </w:r>
      <w:r w:rsidRPr="00585C2D">
        <w:rPr>
          <w:rFonts w:eastAsia="Arial" w:cstheme="minorHAnsi"/>
          <w:spacing w:val="2"/>
        </w:rPr>
        <w:t>ge</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spacing w:val="1"/>
        </w:rPr>
        <w:t>t</w:t>
      </w:r>
      <w:r w:rsidRPr="00585C2D">
        <w:rPr>
          <w:rFonts w:eastAsia="Arial" w:cstheme="minorHAnsi"/>
          <w:spacing w:val="-5"/>
        </w:rPr>
        <w:t>s</w:t>
      </w:r>
      <w:r w:rsidRPr="00585C2D">
        <w:rPr>
          <w:rFonts w:eastAsia="Arial" w:cstheme="minorHAnsi"/>
        </w:rPr>
        <w:t>,</w:t>
      </w:r>
      <w:r w:rsidRPr="00585C2D">
        <w:rPr>
          <w:rFonts w:eastAsia="Arial" w:cstheme="minorHAnsi"/>
          <w:spacing w:val="10"/>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spacing w:val="-3"/>
        </w:rPr>
        <w:t>e</w:t>
      </w:r>
      <w:r w:rsidRPr="00585C2D">
        <w:rPr>
          <w:rFonts w:eastAsia="Arial" w:cstheme="minorHAnsi"/>
        </w:rPr>
        <w:t>n</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3"/>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11"/>
        </w:rPr>
        <w:t xml:space="preserve"> </w:t>
      </w:r>
      <w:r w:rsidRPr="00585C2D">
        <w:rPr>
          <w:rFonts w:eastAsia="Arial" w:cstheme="minorHAnsi"/>
          <w:spacing w:val="-6"/>
        </w:rPr>
        <w:t>C</w:t>
      </w:r>
      <w:r w:rsidRPr="00585C2D">
        <w:rPr>
          <w:rFonts w:eastAsia="Arial" w:cstheme="minorHAnsi"/>
          <w:spacing w:val="1"/>
        </w:rPr>
        <w:t>E</w:t>
      </w:r>
      <w:r w:rsidRPr="00585C2D">
        <w:rPr>
          <w:rFonts w:eastAsia="Arial" w:cstheme="minorHAnsi"/>
        </w:rPr>
        <w:t xml:space="preserve">O </w:t>
      </w:r>
      <w:r w:rsidRPr="00585C2D">
        <w:rPr>
          <w:rFonts w:eastAsia="Arial" w:cstheme="minorHAnsi"/>
          <w:spacing w:val="-1"/>
        </w:rPr>
        <w:t>wil</w:t>
      </w:r>
      <w:r w:rsidRPr="00585C2D">
        <w:rPr>
          <w:rFonts w:eastAsia="Arial" w:cstheme="minorHAnsi"/>
        </w:rPr>
        <w:t>l</w:t>
      </w:r>
      <w:r w:rsidRPr="00585C2D">
        <w:rPr>
          <w:rFonts w:eastAsia="Arial" w:cstheme="minorHAnsi"/>
          <w:spacing w:val="6"/>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9"/>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5"/>
        </w:rPr>
        <w:t>s</w:t>
      </w:r>
      <w:r w:rsidRPr="00585C2D">
        <w:rPr>
          <w:rFonts w:eastAsia="Arial" w:cstheme="minorHAnsi"/>
          <w:spacing w:val="-3"/>
        </w:rPr>
        <w:t>p</w:t>
      </w:r>
      <w:r w:rsidRPr="00585C2D">
        <w:rPr>
          <w:rFonts w:eastAsia="Arial" w:cstheme="minorHAnsi"/>
          <w:spacing w:val="2"/>
        </w:rPr>
        <w:t>on</w:t>
      </w:r>
      <w:r w:rsidRPr="00585C2D">
        <w:rPr>
          <w:rFonts w:eastAsia="Arial" w:cstheme="minorHAnsi"/>
        </w:rPr>
        <w:t>s</w:t>
      </w:r>
      <w:r w:rsidRPr="00585C2D">
        <w:rPr>
          <w:rFonts w:eastAsia="Arial" w:cstheme="minorHAnsi"/>
          <w:spacing w:val="-1"/>
        </w:rPr>
        <w:t>i</w:t>
      </w:r>
      <w:r w:rsidRPr="00585C2D">
        <w:rPr>
          <w:rFonts w:eastAsia="Arial" w:cstheme="minorHAnsi"/>
          <w:spacing w:val="2"/>
        </w:rPr>
        <w:t>b</w:t>
      </w:r>
      <w:r w:rsidRPr="00585C2D">
        <w:rPr>
          <w:rFonts w:eastAsia="Arial" w:cstheme="minorHAnsi"/>
          <w:spacing w:val="-6"/>
        </w:rPr>
        <w:t>l</w:t>
      </w:r>
      <w:r w:rsidRPr="00585C2D">
        <w:rPr>
          <w:rFonts w:eastAsia="Arial" w:cstheme="minorHAnsi"/>
        </w:rPr>
        <w:t>e</w:t>
      </w:r>
      <w:r w:rsidRPr="00585C2D">
        <w:rPr>
          <w:rFonts w:eastAsia="Arial" w:cstheme="minorHAnsi"/>
          <w:spacing w:val="4"/>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6"/>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 xml:space="preserve">e </w:t>
      </w:r>
      <w:r w:rsidRPr="00585C2D">
        <w:rPr>
          <w:rFonts w:eastAsia="Arial" w:cstheme="minorHAnsi"/>
          <w:spacing w:val="1"/>
        </w:rPr>
        <w:t>f</w:t>
      </w:r>
      <w:r w:rsidRPr="00585C2D">
        <w:rPr>
          <w:rFonts w:eastAsia="Arial" w:cstheme="minorHAnsi"/>
          <w:spacing w:val="2"/>
        </w:rPr>
        <w:t>u</w:t>
      </w:r>
      <w:r w:rsidRPr="00585C2D">
        <w:rPr>
          <w:rFonts w:eastAsia="Arial" w:cstheme="minorHAnsi"/>
          <w:spacing w:val="-1"/>
        </w:rPr>
        <w:t>l</w:t>
      </w:r>
      <w:r w:rsidRPr="00585C2D">
        <w:rPr>
          <w:rFonts w:eastAsia="Arial" w:cstheme="minorHAnsi"/>
        </w:rPr>
        <w:t>l</w:t>
      </w:r>
      <w:r w:rsidRPr="00585C2D">
        <w:rPr>
          <w:rFonts w:eastAsia="Arial" w:cstheme="minorHAnsi"/>
          <w:spacing w:val="6"/>
        </w:rPr>
        <w:t xml:space="preserve"> </w:t>
      </w:r>
      <w:r w:rsidRPr="00585C2D">
        <w:rPr>
          <w:rFonts w:eastAsia="Arial" w:cstheme="minorHAnsi"/>
        </w:rPr>
        <w:t>c</w:t>
      </w:r>
      <w:r w:rsidRPr="00585C2D">
        <w:rPr>
          <w:rFonts w:eastAsia="Arial" w:cstheme="minorHAnsi"/>
          <w:spacing w:val="2"/>
        </w:rPr>
        <w:t>o</w:t>
      </w:r>
      <w:r w:rsidRPr="00585C2D">
        <w:rPr>
          <w:rFonts w:eastAsia="Arial" w:cstheme="minorHAnsi"/>
        </w:rPr>
        <w:t>st</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5"/>
        </w:rPr>
        <w:t>s</w:t>
      </w:r>
      <w:r w:rsidRPr="00585C2D">
        <w:rPr>
          <w:rFonts w:eastAsia="Arial" w:cstheme="minorHAnsi"/>
        </w:rPr>
        <w:t>s</w:t>
      </w:r>
      <w:r w:rsidRPr="00585C2D">
        <w:rPr>
          <w:rFonts w:eastAsia="Arial" w:cstheme="minorHAnsi"/>
          <w:spacing w:val="2"/>
        </w:rPr>
        <w:t>o</w:t>
      </w:r>
      <w:r w:rsidRPr="00585C2D">
        <w:rPr>
          <w:rFonts w:eastAsia="Arial" w:cstheme="minorHAnsi"/>
        </w:rPr>
        <w:t>c</w:t>
      </w:r>
      <w:r w:rsidRPr="00585C2D">
        <w:rPr>
          <w:rFonts w:eastAsia="Arial" w:cstheme="minorHAnsi"/>
          <w:spacing w:val="-1"/>
        </w:rPr>
        <w:t>i</w:t>
      </w:r>
      <w:r w:rsidRPr="00585C2D">
        <w:rPr>
          <w:rFonts w:eastAsia="Arial" w:cstheme="minorHAnsi"/>
          <w:spacing w:val="-3"/>
        </w:rPr>
        <w:t>a</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9"/>
        </w:rPr>
        <w:t xml:space="preserve"> </w:t>
      </w:r>
      <w:r w:rsidRPr="00585C2D">
        <w:rPr>
          <w:rFonts w:eastAsia="Arial" w:cstheme="minorHAnsi"/>
          <w:spacing w:val="-1"/>
        </w:rPr>
        <w:t>wi</w:t>
      </w:r>
      <w:r w:rsidRPr="00585C2D">
        <w:rPr>
          <w:rFonts w:eastAsia="Arial" w:cstheme="minorHAnsi"/>
          <w:spacing w:val="-4"/>
        </w:rPr>
        <w:t>t</w:t>
      </w:r>
      <w:r w:rsidRPr="00585C2D">
        <w:rPr>
          <w:rFonts w:eastAsia="Arial" w:cstheme="minorHAnsi"/>
        </w:rPr>
        <w:t>h</w:t>
      </w:r>
      <w:r w:rsidRPr="00585C2D">
        <w:rPr>
          <w:rFonts w:eastAsia="Arial" w:cstheme="minorHAnsi"/>
          <w:spacing w:val="9"/>
        </w:rPr>
        <w:t xml:space="preserve"> </w:t>
      </w:r>
      <w:r w:rsidRPr="00585C2D">
        <w:rPr>
          <w:rFonts w:eastAsia="Arial" w:cstheme="minorHAnsi"/>
          <w:spacing w:val="-4"/>
        </w:rPr>
        <w:t>t</w:t>
      </w:r>
      <w:r w:rsidRPr="00585C2D">
        <w:rPr>
          <w:rFonts w:eastAsia="Arial" w:cstheme="minorHAnsi"/>
          <w:spacing w:val="2"/>
        </w:rPr>
        <w:t>ha</w:t>
      </w:r>
      <w:r w:rsidRPr="00585C2D">
        <w:rPr>
          <w:rFonts w:eastAsia="Arial" w:cstheme="minorHAnsi"/>
        </w:rPr>
        <w:t>t</w:t>
      </w:r>
      <w:r w:rsidRPr="00585C2D">
        <w:rPr>
          <w:rFonts w:eastAsia="Arial" w:cstheme="minorHAnsi"/>
          <w:spacing w:val="4"/>
        </w:rPr>
        <w:t xml:space="preserve"> </w:t>
      </w:r>
      <w:r w:rsidRPr="00585C2D">
        <w:rPr>
          <w:rFonts w:eastAsia="Arial" w:cstheme="minorHAnsi"/>
          <w:spacing w:val="2"/>
        </w:rPr>
        <w:t>e</w:t>
      </w:r>
      <w:r w:rsidRPr="00585C2D">
        <w:rPr>
          <w:rFonts w:eastAsia="Arial" w:cstheme="minorHAnsi"/>
          <w:spacing w:val="-5"/>
        </w:rPr>
        <w:t>x</w:t>
      </w:r>
      <w:r w:rsidRPr="00585C2D">
        <w:rPr>
          <w:rFonts w:eastAsia="Arial" w:cstheme="minorHAnsi"/>
          <w:spacing w:val="1"/>
        </w:rPr>
        <w:t>t</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e</w:t>
      </w:r>
      <w:r w:rsidRPr="00585C2D">
        <w:rPr>
          <w:rFonts w:eastAsia="Arial" w:cstheme="minorHAnsi"/>
        </w:rPr>
        <w:t>d</w:t>
      </w:r>
      <w:r w:rsidRPr="00585C2D">
        <w:rPr>
          <w:rFonts w:eastAsia="Arial" w:cstheme="minorHAnsi"/>
          <w:spacing w:val="5"/>
        </w:rPr>
        <w:t xml:space="preserve"> </w:t>
      </w:r>
      <w:r w:rsidRPr="00585C2D">
        <w:rPr>
          <w:rFonts w:eastAsia="Arial" w:cstheme="minorHAnsi"/>
        </w:rPr>
        <w:t>s</w:t>
      </w:r>
      <w:r w:rsidRPr="00585C2D">
        <w:rPr>
          <w:rFonts w:eastAsia="Arial" w:cstheme="minorHAnsi"/>
          <w:spacing w:val="-4"/>
        </w:rPr>
        <w:t>t</w:t>
      </w:r>
      <w:r w:rsidRPr="00585C2D">
        <w:rPr>
          <w:rFonts w:eastAsia="Arial" w:cstheme="minorHAnsi"/>
          <w:spacing w:val="2"/>
        </w:rPr>
        <w:t>a</w:t>
      </w:r>
      <w:r w:rsidRPr="00585C2D">
        <w:rPr>
          <w:rFonts w:eastAsia="Arial" w:cstheme="minorHAnsi"/>
        </w:rPr>
        <w:t>y</w:t>
      </w:r>
      <w:r w:rsidRPr="00585C2D">
        <w:rPr>
          <w:rFonts w:eastAsia="Arial" w:cstheme="minorHAnsi"/>
          <w:spacing w:val="8"/>
        </w:rPr>
        <w:t xml:space="preserve"> </w:t>
      </w:r>
      <w:r w:rsidRPr="00585C2D">
        <w:rPr>
          <w:rFonts w:eastAsia="Arial" w:cstheme="minorHAnsi"/>
          <w:spacing w:val="-3"/>
        </w:rPr>
        <w:t>an</w:t>
      </w:r>
      <w:r w:rsidRPr="00585C2D">
        <w:rPr>
          <w:rFonts w:eastAsia="Arial" w:cstheme="minorHAnsi"/>
          <w:spacing w:val="2"/>
        </w:rPr>
        <w:t>d</w:t>
      </w:r>
      <w:r w:rsidRPr="00585C2D">
        <w:rPr>
          <w:rFonts w:eastAsia="Arial" w:cstheme="minorHAnsi"/>
          <w:spacing w:val="1"/>
        </w:rPr>
        <w:t>/</w:t>
      </w:r>
      <w:r w:rsidRPr="00585C2D">
        <w:rPr>
          <w:rFonts w:eastAsia="Arial" w:cstheme="minorHAnsi"/>
          <w:spacing w:val="2"/>
        </w:rPr>
        <w:t>o</w:t>
      </w:r>
      <w:r w:rsidRPr="00585C2D">
        <w:rPr>
          <w:rFonts w:eastAsia="Arial" w:cstheme="minorHAnsi"/>
        </w:rPr>
        <w:t>r</w:t>
      </w:r>
      <w:r w:rsidRPr="00585C2D">
        <w:rPr>
          <w:rFonts w:eastAsia="Arial" w:cstheme="minorHAnsi"/>
          <w:spacing w:val="1"/>
        </w:rPr>
        <w:t xml:space="preserve"> </w:t>
      </w:r>
      <w:r w:rsidRPr="00585C2D">
        <w:rPr>
          <w:rFonts w:eastAsia="Arial" w:cstheme="minorHAnsi"/>
        </w:rPr>
        <w:t>v</w:t>
      </w:r>
      <w:r w:rsidRPr="00585C2D">
        <w:rPr>
          <w:rFonts w:eastAsia="Arial" w:cstheme="minorHAnsi"/>
          <w:spacing w:val="2"/>
        </w:rPr>
        <w:t>a</w:t>
      </w:r>
      <w:r w:rsidRPr="00585C2D">
        <w:rPr>
          <w:rFonts w:eastAsia="Arial" w:cstheme="minorHAnsi"/>
          <w:spacing w:val="-2"/>
        </w:rPr>
        <w:t>r</w:t>
      </w:r>
      <w:r w:rsidRPr="00585C2D">
        <w:rPr>
          <w:rFonts w:eastAsia="Arial" w:cstheme="minorHAnsi"/>
          <w:spacing w:val="-1"/>
        </w:rPr>
        <w:t>i</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e</w:t>
      </w:r>
      <w:r w:rsidRPr="00585C2D">
        <w:rPr>
          <w:rFonts w:eastAsia="Arial" w:cstheme="minorHAnsi"/>
        </w:rPr>
        <w:t xml:space="preserve">l </w:t>
      </w:r>
      <w:r w:rsidRPr="00585C2D">
        <w:rPr>
          <w:rFonts w:eastAsia="Arial" w:cstheme="minorHAnsi"/>
          <w:spacing w:val="2"/>
        </w:rPr>
        <w:t>a</w:t>
      </w:r>
      <w:r w:rsidRPr="00585C2D">
        <w:rPr>
          <w:rFonts w:eastAsia="Arial" w:cstheme="minorHAnsi"/>
          <w:spacing w:val="-2"/>
        </w:rPr>
        <w:t>rr</w:t>
      </w:r>
      <w:r w:rsidRPr="00585C2D">
        <w:rPr>
          <w:rFonts w:eastAsia="Arial" w:cstheme="minorHAnsi"/>
          <w:spacing w:val="2"/>
        </w:rPr>
        <w:t>a</w:t>
      </w:r>
      <w:r w:rsidRPr="00585C2D">
        <w:rPr>
          <w:rFonts w:eastAsia="Arial" w:cstheme="minorHAnsi"/>
          <w:spacing w:val="-3"/>
        </w:rPr>
        <w:t>n</w:t>
      </w:r>
      <w:r w:rsidRPr="00585C2D">
        <w:rPr>
          <w:rFonts w:eastAsia="Arial" w:cstheme="minorHAnsi"/>
          <w:spacing w:val="2"/>
        </w:rPr>
        <w:t>g</w:t>
      </w:r>
      <w:r w:rsidRPr="00585C2D">
        <w:rPr>
          <w:rFonts w:eastAsia="Arial" w:cstheme="minorHAnsi"/>
          <w:spacing w:val="3"/>
        </w:rPr>
        <w:t>e</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spacing w:val="1"/>
        </w:rPr>
        <w:t>t</w:t>
      </w:r>
      <w:r w:rsidRPr="00585C2D">
        <w:rPr>
          <w:rFonts w:eastAsia="Arial" w:cstheme="minorHAnsi"/>
        </w:rPr>
        <w:t>s</w:t>
      </w:r>
      <w:r w:rsidRPr="00585C2D">
        <w:rPr>
          <w:rFonts w:eastAsia="Arial" w:cstheme="minorHAnsi"/>
          <w:spacing w:val="-8"/>
        </w:rPr>
        <w:t xml:space="preserve"> </w:t>
      </w:r>
      <w:r w:rsidRPr="00585C2D">
        <w:rPr>
          <w:rFonts w:eastAsia="Arial" w:cstheme="minorHAnsi"/>
          <w:spacing w:val="6"/>
        </w:rPr>
        <w:t>f</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1"/>
        </w:rPr>
        <w:t>i</w:t>
      </w:r>
      <w:r w:rsidRPr="00585C2D">
        <w:rPr>
          <w:rFonts w:eastAsia="Arial" w:cstheme="minorHAnsi"/>
        </w:rPr>
        <w:t>v</w:t>
      </w:r>
      <w:r w:rsidRPr="00585C2D">
        <w:rPr>
          <w:rFonts w:eastAsia="Arial" w:cstheme="minorHAnsi"/>
          <w:spacing w:val="2"/>
        </w:rPr>
        <w:t>a</w:t>
      </w:r>
      <w:r w:rsidRPr="00585C2D">
        <w:rPr>
          <w:rFonts w:eastAsia="Arial" w:cstheme="minorHAnsi"/>
          <w:spacing w:val="-4"/>
        </w:rPr>
        <w:t>t</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p</w:t>
      </w:r>
      <w:r w:rsidRPr="00585C2D">
        <w:rPr>
          <w:rFonts w:eastAsia="Arial" w:cstheme="minorHAnsi"/>
          <w:spacing w:val="2"/>
        </w:rPr>
        <w:t>u</w:t>
      </w:r>
      <w:r w:rsidRPr="00585C2D">
        <w:rPr>
          <w:rFonts w:eastAsia="Arial" w:cstheme="minorHAnsi"/>
          <w:spacing w:val="-2"/>
        </w:rPr>
        <w:t>r</w:t>
      </w:r>
      <w:r w:rsidRPr="00585C2D">
        <w:rPr>
          <w:rFonts w:eastAsia="Arial" w:cstheme="minorHAnsi"/>
          <w:spacing w:val="-3"/>
        </w:rPr>
        <w:t>p</w:t>
      </w:r>
      <w:r w:rsidRPr="00585C2D">
        <w:rPr>
          <w:rFonts w:eastAsia="Arial" w:cstheme="minorHAnsi"/>
          <w:spacing w:val="2"/>
        </w:rPr>
        <w:t>o</w:t>
      </w:r>
      <w:r w:rsidRPr="00585C2D">
        <w:rPr>
          <w:rFonts w:eastAsia="Arial" w:cstheme="minorHAnsi"/>
        </w:rPr>
        <w:t>s</w:t>
      </w:r>
      <w:r w:rsidRPr="00585C2D">
        <w:rPr>
          <w:rFonts w:eastAsia="Arial" w:cstheme="minorHAnsi"/>
          <w:spacing w:val="2"/>
        </w:rPr>
        <w:t>e</w:t>
      </w:r>
      <w:r w:rsidRPr="00585C2D">
        <w:rPr>
          <w:rFonts w:eastAsia="Arial" w:cstheme="minorHAnsi"/>
          <w:spacing w:val="-5"/>
        </w:rPr>
        <w:t>s</w:t>
      </w:r>
      <w:r w:rsidRPr="00585C2D">
        <w:rPr>
          <w:rFonts w:eastAsia="Arial" w:cstheme="minorHAnsi"/>
        </w:rPr>
        <w:t>.</w:t>
      </w:r>
      <w:r w:rsidRPr="00585C2D">
        <w:rPr>
          <w:rFonts w:eastAsia="Arial" w:cstheme="minorHAnsi"/>
          <w:spacing w:val="2"/>
        </w:rPr>
        <w:t xml:space="preserve"> </w:t>
      </w:r>
      <w:r w:rsidRPr="00585C2D">
        <w:rPr>
          <w:rFonts w:eastAsia="Arial" w:cstheme="minorHAnsi"/>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e</w:t>
      </w:r>
      <w:r w:rsidRPr="00585C2D">
        <w:rPr>
          <w:rFonts w:eastAsia="Arial" w:cstheme="minorHAnsi"/>
        </w:rPr>
        <w:t>xc</w:t>
      </w:r>
      <w:r w:rsidRPr="00585C2D">
        <w:rPr>
          <w:rFonts w:eastAsia="Arial" w:cstheme="minorHAnsi"/>
          <w:spacing w:val="-3"/>
        </w:rPr>
        <w:t>e</w:t>
      </w:r>
      <w:r w:rsidRPr="00585C2D">
        <w:rPr>
          <w:rFonts w:eastAsia="Arial" w:cstheme="minorHAnsi"/>
          <w:spacing w:val="2"/>
        </w:rPr>
        <w:t>p</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w</w:t>
      </w:r>
      <w:r w:rsidRPr="00585C2D">
        <w:rPr>
          <w:rFonts w:eastAsia="Arial" w:cstheme="minorHAnsi"/>
          <w:spacing w:val="2"/>
        </w:rPr>
        <w:t>ou</w:t>
      </w:r>
      <w:r w:rsidRPr="00585C2D">
        <w:rPr>
          <w:rFonts w:eastAsia="Arial" w:cstheme="minorHAnsi"/>
          <w:spacing w:val="-6"/>
        </w:rPr>
        <w:t>l</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6"/>
        </w:rPr>
        <w:t>i</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6"/>
        </w:rPr>
        <w:t>f</w:t>
      </w:r>
      <w:r w:rsidRPr="00585C2D">
        <w:rPr>
          <w:rFonts w:eastAsia="Arial" w:cstheme="minorHAnsi"/>
          <w:spacing w:val="-1"/>
        </w:rPr>
        <w:t>li</w:t>
      </w:r>
      <w:r w:rsidRPr="00585C2D">
        <w:rPr>
          <w:rFonts w:eastAsia="Arial" w:cstheme="minorHAnsi"/>
          <w:spacing w:val="-3"/>
        </w:rPr>
        <w:t>g</w:t>
      </w:r>
      <w:r w:rsidRPr="00585C2D">
        <w:rPr>
          <w:rFonts w:eastAsia="Arial" w:cstheme="minorHAnsi"/>
          <w:spacing w:val="2"/>
        </w:rPr>
        <w:t>h</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5"/>
        </w:rPr>
        <w:t>s</w:t>
      </w:r>
      <w:r w:rsidRPr="00585C2D">
        <w:rPr>
          <w:rFonts w:eastAsia="Arial" w:cstheme="minorHAnsi"/>
        </w:rPr>
        <w:t>c</w:t>
      </w:r>
      <w:r w:rsidRPr="00585C2D">
        <w:rPr>
          <w:rFonts w:eastAsia="Arial" w:cstheme="minorHAnsi"/>
          <w:spacing w:val="-3"/>
        </w:rPr>
        <w:t>h</w:t>
      </w:r>
      <w:r w:rsidRPr="00585C2D">
        <w:rPr>
          <w:rFonts w:eastAsia="Arial" w:cstheme="minorHAnsi"/>
          <w:spacing w:val="2"/>
        </w:rPr>
        <w:t>e</w:t>
      </w:r>
      <w:r w:rsidRPr="00585C2D">
        <w:rPr>
          <w:rFonts w:eastAsia="Arial" w:cstheme="minorHAnsi"/>
          <w:spacing w:val="-3"/>
        </w:rPr>
        <w:t>d</w:t>
      </w:r>
      <w:r w:rsidRPr="00585C2D">
        <w:rPr>
          <w:rFonts w:eastAsia="Arial" w:cstheme="minorHAnsi"/>
          <w:spacing w:val="2"/>
        </w:rPr>
        <w:t>u</w:t>
      </w:r>
      <w:r w:rsidRPr="00585C2D">
        <w:rPr>
          <w:rFonts w:eastAsia="Arial" w:cstheme="minorHAnsi"/>
          <w:spacing w:val="-1"/>
        </w:rPr>
        <w:t>l</w:t>
      </w:r>
      <w:r w:rsidRPr="00585C2D">
        <w:rPr>
          <w:rFonts w:eastAsia="Arial" w:cstheme="minorHAnsi"/>
          <w:spacing w:val="2"/>
        </w:rPr>
        <w:t>e</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d</w:t>
      </w:r>
      <w:r w:rsidRPr="00585C2D">
        <w:rPr>
          <w:rFonts w:eastAsia="Arial" w:cstheme="minorHAnsi"/>
          <w:spacing w:val="-3"/>
        </w:rPr>
        <w:t>e</w:t>
      </w:r>
      <w:r w:rsidRPr="00585C2D">
        <w:rPr>
          <w:rFonts w:eastAsia="Arial" w:cstheme="minorHAnsi"/>
          <w:spacing w:val="1"/>
        </w:rPr>
        <w:t>t</w:t>
      </w:r>
      <w:r w:rsidRPr="00585C2D">
        <w:rPr>
          <w:rFonts w:eastAsia="Arial" w:cstheme="minorHAnsi"/>
          <w:spacing w:val="2"/>
        </w:rPr>
        <w:t>e</w:t>
      </w:r>
      <w:r w:rsidRPr="00585C2D">
        <w:rPr>
          <w:rFonts w:eastAsia="Arial" w:cstheme="minorHAnsi"/>
          <w:spacing w:val="-2"/>
        </w:rPr>
        <w:t>rm</w:t>
      </w:r>
      <w:r w:rsidRPr="00585C2D">
        <w:rPr>
          <w:rFonts w:eastAsia="Arial" w:cstheme="minorHAnsi"/>
          <w:spacing w:val="-1"/>
        </w:rPr>
        <w:t>i</w:t>
      </w:r>
      <w:r w:rsidRPr="00585C2D">
        <w:rPr>
          <w:rFonts w:eastAsia="Arial" w:cstheme="minorHAnsi"/>
          <w:spacing w:val="2"/>
        </w:rPr>
        <w:t>n</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rPr>
        <w:t xml:space="preserve">n </w:t>
      </w:r>
      <w:r w:rsidRPr="00585C2D">
        <w:rPr>
          <w:rFonts w:eastAsia="Arial" w:cstheme="minorHAnsi"/>
          <w:spacing w:val="2"/>
        </w:rPr>
        <w:t>e</w:t>
      </w:r>
      <w:r w:rsidRPr="00585C2D">
        <w:rPr>
          <w:rFonts w:eastAsia="Arial" w:cstheme="minorHAnsi"/>
        </w:rPr>
        <w:t>x</w:t>
      </w:r>
      <w:r w:rsidRPr="00585C2D">
        <w:rPr>
          <w:rFonts w:eastAsia="Arial" w:cstheme="minorHAnsi"/>
          <w:spacing w:val="1"/>
        </w:rPr>
        <w:t>t</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e</w:t>
      </w:r>
      <w:r w:rsidRPr="00585C2D">
        <w:rPr>
          <w:rFonts w:eastAsia="Arial" w:cstheme="minorHAnsi"/>
        </w:rPr>
        <w:t>d</w:t>
      </w:r>
      <w:r w:rsidRPr="00585C2D">
        <w:rPr>
          <w:rFonts w:eastAsia="Arial" w:cstheme="minorHAnsi"/>
          <w:spacing w:val="-2"/>
        </w:rPr>
        <w:t xml:space="preserve"> </w:t>
      </w:r>
      <w:r w:rsidRPr="00585C2D">
        <w:rPr>
          <w:rFonts w:eastAsia="Arial" w:cstheme="minorHAnsi"/>
        </w:rPr>
        <w:t>s</w:t>
      </w:r>
      <w:r w:rsidRPr="00585C2D">
        <w:rPr>
          <w:rFonts w:eastAsia="Arial" w:cstheme="minorHAnsi"/>
          <w:spacing w:val="-4"/>
        </w:rPr>
        <w:t>t</w:t>
      </w:r>
      <w:r w:rsidRPr="00585C2D">
        <w:rPr>
          <w:rFonts w:eastAsia="Arial" w:cstheme="minorHAnsi"/>
          <w:spacing w:val="2"/>
        </w:rPr>
        <w:t>a</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qu</w:t>
      </w:r>
      <w:r w:rsidRPr="00585C2D">
        <w:rPr>
          <w:rFonts w:eastAsia="Arial" w:cstheme="minorHAnsi"/>
          <w:spacing w:val="-1"/>
        </w:rPr>
        <w:t>i</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d</w:t>
      </w:r>
      <w:r w:rsidRPr="00585C2D">
        <w:rPr>
          <w:rFonts w:eastAsia="Arial" w:cstheme="minorHAnsi"/>
        </w:rPr>
        <w:t>.</w:t>
      </w:r>
    </w:p>
    <w:p w14:paraId="2CF519FA" w14:textId="77777777" w:rsidR="00FC0CF1" w:rsidRPr="00585C2D" w:rsidRDefault="00FC0CF1" w:rsidP="00FC0CF1">
      <w:pPr>
        <w:spacing w:after="120" w:line="259" w:lineRule="auto"/>
        <w:ind w:left="851" w:right="-45" w:hanging="425"/>
        <w:jc w:val="both"/>
        <w:rPr>
          <w:rFonts w:eastAsia="Arial" w:cstheme="minorHAnsi"/>
        </w:rPr>
      </w:pPr>
      <w:proofErr w:type="spellStart"/>
      <w:r w:rsidRPr="00585C2D">
        <w:rPr>
          <w:rFonts w:eastAsia="Arial" w:cstheme="minorHAnsi"/>
          <w:spacing w:val="-1"/>
        </w:rPr>
        <w:t>i</w:t>
      </w:r>
      <w:proofErr w:type="spellEnd"/>
      <w:r w:rsidRPr="00585C2D">
        <w:rPr>
          <w:rFonts w:eastAsia="Arial" w:cstheme="minorHAnsi"/>
        </w:rPr>
        <w:t>.</w:t>
      </w:r>
      <w:r w:rsidRPr="00585C2D">
        <w:rPr>
          <w:rFonts w:eastAsia="Arial" w:cstheme="minorHAnsi"/>
        </w:rPr>
        <w:tab/>
      </w:r>
      <w:r w:rsidRPr="00585C2D">
        <w:rPr>
          <w:rFonts w:eastAsia="Arial" w:cstheme="minorHAnsi"/>
          <w:spacing w:val="-1"/>
        </w:rPr>
        <w:t>Hi</w:t>
      </w:r>
      <w:r w:rsidRPr="00585C2D">
        <w:rPr>
          <w:rFonts w:eastAsia="Arial" w:cstheme="minorHAnsi"/>
          <w:spacing w:val="-2"/>
        </w:rPr>
        <w:t>r</w:t>
      </w:r>
      <w:r w:rsidRPr="00585C2D">
        <w:rPr>
          <w:rFonts w:eastAsia="Arial" w:cstheme="minorHAnsi"/>
        </w:rPr>
        <w:t>e</w:t>
      </w:r>
      <w:r w:rsidRPr="00585C2D">
        <w:rPr>
          <w:rFonts w:eastAsia="Arial" w:cstheme="minorHAnsi"/>
          <w:spacing w:val="-12"/>
        </w:rPr>
        <w:t xml:space="preserve"> </w:t>
      </w:r>
      <w:r w:rsidRPr="00585C2D">
        <w:rPr>
          <w:rFonts w:eastAsia="Arial" w:cstheme="minorHAnsi"/>
        </w:rPr>
        <w:t>c</w:t>
      </w:r>
      <w:r w:rsidRPr="00585C2D">
        <w:rPr>
          <w:rFonts w:eastAsia="Arial" w:cstheme="minorHAnsi"/>
          <w:spacing w:val="2"/>
        </w:rPr>
        <w:t>a</w:t>
      </w:r>
      <w:r w:rsidRPr="00585C2D">
        <w:rPr>
          <w:rFonts w:eastAsia="Arial" w:cstheme="minorHAnsi"/>
          <w:spacing w:val="-2"/>
        </w:rPr>
        <w:t>r</w:t>
      </w:r>
      <w:r w:rsidRPr="00585C2D">
        <w:rPr>
          <w:rFonts w:eastAsia="Arial" w:cstheme="minorHAnsi"/>
        </w:rPr>
        <w:t>s</w:t>
      </w:r>
      <w:r w:rsidRPr="00585C2D">
        <w:rPr>
          <w:rFonts w:eastAsia="Arial" w:cstheme="minorHAnsi"/>
          <w:spacing w:val="-13"/>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14"/>
        </w:rPr>
        <w:t xml:space="preserve"> </w:t>
      </w:r>
      <w:r w:rsidRPr="00585C2D">
        <w:rPr>
          <w:rFonts w:eastAsia="Arial" w:cstheme="minorHAnsi"/>
          <w:spacing w:val="2"/>
        </w:rPr>
        <w:t>on</w:t>
      </w:r>
      <w:r w:rsidRPr="00585C2D">
        <w:rPr>
          <w:rFonts w:eastAsia="Arial" w:cstheme="minorHAnsi"/>
          <w:spacing w:val="-1"/>
        </w:rPr>
        <w:t>l</w:t>
      </w:r>
      <w:r w:rsidRPr="00585C2D">
        <w:rPr>
          <w:rFonts w:eastAsia="Arial" w:cstheme="minorHAnsi"/>
        </w:rPr>
        <w:t>y</w:t>
      </w:r>
      <w:r w:rsidRPr="00585C2D">
        <w:rPr>
          <w:rFonts w:eastAsia="Arial" w:cstheme="minorHAnsi"/>
          <w:spacing w:val="-18"/>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16"/>
        </w:rPr>
        <w:t xml:space="preserve"> </w:t>
      </w:r>
      <w:r w:rsidRPr="00585C2D">
        <w:rPr>
          <w:rFonts w:eastAsia="Arial" w:cstheme="minorHAnsi"/>
          <w:spacing w:val="2"/>
        </w:rPr>
        <w:t>pa</w:t>
      </w:r>
      <w:r w:rsidRPr="00585C2D">
        <w:rPr>
          <w:rFonts w:eastAsia="Arial" w:cstheme="minorHAnsi"/>
          <w:spacing w:val="-6"/>
        </w:rPr>
        <w:t>i</w:t>
      </w:r>
      <w:r w:rsidRPr="00585C2D">
        <w:rPr>
          <w:rFonts w:eastAsia="Arial" w:cstheme="minorHAnsi"/>
        </w:rPr>
        <w:t>d</w:t>
      </w:r>
      <w:r w:rsidRPr="00585C2D">
        <w:rPr>
          <w:rFonts w:eastAsia="Arial" w:cstheme="minorHAnsi"/>
          <w:spacing w:val="-16"/>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18"/>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1"/>
        </w:rPr>
        <w:t>Town</w:t>
      </w:r>
      <w:r w:rsidRPr="00585C2D">
        <w:rPr>
          <w:rFonts w:eastAsia="Arial" w:cstheme="minorHAnsi"/>
          <w:spacing w:val="-13"/>
        </w:rPr>
        <w:t xml:space="preserve"> </w:t>
      </w:r>
      <w:r w:rsidRPr="00585C2D">
        <w:rPr>
          <w:rFonts w:eastAsia="Arial" w:cstheme="minorHAnsi"/>
          <w:spacing w:val="-6"/>
        </w:rPr>
        <w:t>i</w:t>
      </w:r>
      <w:r w:rsidRPr="00585C2D">
        <w:rPr>
          <w:rFonts w:eastAsia="Arial" w:cstheme="minorHAnsi"/>
        </w:rPr>
        <w:t>f</w:t>
      </w:r>
      <w:r w:rsidRPr="00585C2D">
        <w:rPr>
          <w:rFonts w:eastAsia="Arial" w:cstheme="minorHAnsi"/>
          <w:spacing w:val="-8"/>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6"/>
        </w:rPr>
        <w:t xml:space="preserve"> </w:t>
      </w:r>
      <w:r w:rsidRPr="00585C2D">
        <w:rPr>
          <w:rFonts w:eastAsia="Arial" w:cstheme="minorHAnsi"/>
          <w:spacing w:val="-1"/>
        </w:rPr>
        <w:t>C</w:t>
      </w:r>
      <w:r w:rsidRPr="00585C2D">
        <w:rPr>
          <w:rFonts w:eastAsia="Arial" w:cstheme="minorHAnsi"/>
          <w:spacing w:val="1"/>
        </w:rPr>
        <w:t>E</w:t>
      </w:r>
      <w:r w:rsidRPr="00585C2D">
        <w:rPr>
          <w:rFonts w:eastAsia="Arial" w:cstheme="minorHAnsi"/>
        </w:rPr>
        <w:t>O</w:t>
      </w:r>
      <w:r w:rsidRPr="00585C2D">
        <w:rPr>
          <w:rFonts w:eastAsia="Arial" w:cstheme="minorHAnsi"/>
          <w:spacing w:val="-17"/>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1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5"/>
        </w:rPr>
        <w:t>c</w:t>
      </w:r>
      <w:r w:rsidRPr="00585C2D">
        <w:rPr>
          <w:rFonts w:eastAsia="Arial" w:cstheme="minorHAnsi"/>
          <w:spacing w:val="2"/>
        </w:rPr>
        <w:t>a</w:t>
      </w:r>
      <w:r w:rsidRPr="00585C2D">
        <w:rPr>
          <w:rFonts w:eastAsia="Arial" w:cstheme="minorHAnsi"/>
        </w:rPr>
        <w:t>se</w:t>
      </w:r>
      <w:r w:rsidRPr="00585C2D">
        <w:rPr>
          <w:rFonts w:eastAsia="Arial" w:cstheme="minorHAnsi"/>
          <w:spacing w:val="-16"/>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1"/>
        </w:rPr>
        <w:t>C</w:t>
      </w:r>
      <w:r w:rsidRPr="00585C2D">
        <w:rPr>
          <w:rFonts w:eastAsia="Arial" w:cstheme="minorHAnsi"/>
          <w:spacing w:val="-3"/>
        </w:rPr>
        <w:t>E</w:t>
      </w:r>
      <w:r w:rsidRPr="00585C2D">
        <w:rPr>
          <w:rFonts w:eastAsia="Arial" w:cstheme="minorHAnsi"/>
          <w:spacing w:val="1"/>
        </w:rPr>
        <w:t>O</w:t>
      </w:r>
      <w:r w:rsidRPr="00585C2D">
        <w:rPr>
          <w:rFonts w:eastAsia="Arial" w:cstheme="minorHAnsi"/>
        </w:rPr>
        <w:t>,</w:t>
      </w:r>
      <w:r w:rsidRPr="00585C2D">
        <w:rPr>
          <w:rFonts w:eastAsia="Arial" w:cstheme="minorHAnsi"/>
          <w:spacing w:val="-1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6"/>
        </w:rPr>
        <w:t xml:space="preserve"> </w:t>
      </w:r>
      <w:r w:rsidRPr="00585C2D">
        <w:rPr>
          <w:rFonts w:eastAsia="Arial" w:cstheme="minorHAnsi"/>
          <w:spacing w:val="-6"/>
        </w:rPr>
        <w:t>M</w:t>
      </w:r>
      <w:r w:rsidRPr="00585C2D">
        <w:rPr>
          <w:rFonts w:eastAsia="Arial" w:cstheme="minorHAnsi"/>
          <w:spacing w:val="2"/>
        </w:rPr>
        <w:t>a</w:t>
      </w:r>
      <w:r w:rsidRPr="00585C2D">
        <w:rPr>
          <w:rFonts w:eastAsia="Arial" w:cstheme="minorHAnsi"/>
        </w:rPr>
        <w:t>y</w:t>
      </w:r>
      <w:r w:rsidRPr="00585C2D">
        <w:rPr>
          <w:rFonts w:eastAsia="Arial" w:cstheme="minorHAnsi"/>
          <w:spacing w:val="2"/>
        </w:rPr>
        <w:t>o</w:t>
      </w:r>
      <w:r w:rsidRPr="00585C2D">
        <w:rPr>
          <w:rFonts w:eastAsia="Arial" w:cstheme="minorHAnsi"/>
          <w:spacing w:val="-2"/>
        </w:rPr>
        <w:t>r</w:t>
      </w:r>
      <w:r w:rsidRPr="00585C2D">
        <w:rPr>
          <w:rFonts w:eastAsia="Arial" w:cstheme="minorHAnsi"/>
        </w:rPr>
        <w:t>,</w:t>
      </w:r>
      <w:r w:rsidRPr="00585C2D">
        <w:rPr>
          <w:rFonts w:eastAsia="Arial" w:cstheme="minorHAnsi"/>
          <w:spacing w:val="-12"/>
        </w:rPr>
        <w:t xml:space="preserve"> </w:t>
      </w:r>
      <w:r w:rsidRPr="00585C2D">
        <w:rPr>
          <w:rFonts w:eastAsia="Arial" w:cstheme="minorHAnsi"/>
        </w:rPr>
        <w:t>c</w:t>
      </w:r>
      <w:r w:rsidRPr="00585C2D">
        <w:rPr>
          <w:rFonts w:eastAsia="Arial" w:cstheme="minorHAnsi"/>
          <w:spacing w:val="-3"/>
        </w:rPr>
        <w:t>o</w:t>
      </w:r>
      <w:r w:rsidRPr="00585C2D">
        <w:rPr>
          <w:rFonts w:eastAsia="Arial" w:cstheme="minorHAnsi"/>
          <w:spacing w:val="2"/>
        </w:rPr>
        <w:t>n</w:t>
      </w:r>
      <w:r w:rsidRPr="00585C2D">
        <w:rPr>
          <w:rFonts w:eastAsia="Arial" w:cstheme="minorHAnsi"/>
        </w:rPr>
        <w:t>s</w:t>
      </w:r>
      <w:r w:rsidRPr="00585C2D">
        <w:rPr>
          <w:rFonts w:eastAsia="Arial" w:cstheme="minorHAnsi"/>
          <w:spacing w:val="-1"/>
        </w:rPr>
        <w:t>i</w:t>
      </w:r>
      <w:r w:rsidRPr="00585C2D">
        <w:rPr>
          <w:rFonts w:eastAsia="Arial" w:cstheme="minorHAnsi"/>
          <w:spacing w:val="-3"/>
        </w:rPr>
        <w:t>d</w:t>
      </w:r>
      <w:r w:rsidRPr="00585C2D">
        <w:rPr>
          <w:rFonts w:eastAsia="Arial" w:cstheme="minorHAnsi"/>
          <w:spacing w:val="2"/>
        </w:rPr>
        <w:t>e</w:t>
      </w:r>
      <w:r w:rsidRPr="00585C2D">
        <w:rPr>
          <w:rFonts w:eastAsia="Arial" w:cstheme="minorHAnsi"/>
        </w:rPr>
        <w:t xml:space="preserve">r </w:t>
      </w:r>
      <w:r w:rsidRPr="00585C2D">
        <w:rPr>
          <w:rFonts w:eastAsia="Arial" w:cstheme="minorHAnsi"/>
          <w:spacing w:val="-1"/>
        </w:rPr>
        <w:t>i</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2"/>
        </w:rPr>
        <w:t>m</w:t>
      </w:r>
      <w:r w:rsidRPr="00585C2D">
        <w:rPr>
          <w:rFonts w:eastAsia="Arial" w:cstheme="minorHAnsi"/>
          <w:spacing w:val="2"/>
        </w:rPr>
        <w:t>o</w:t>
      </w:r>
      <w:r w:rsidRPr="00585C2D">
        <w:rPr>
          <w:rFonts w:eastAsia="Arial" w:cstheme="minorHAnsi"/>
        </w:rPr>
        <w:t>st</w:t>
      </w:r>
      <w:r w:rsidRPr="00585C2D">
        <w:rPr>
          <w:rFonts w:eastAsia="Arial" w:cstheme="minorHAnsi"/>
          <w:spacing w:val="-12"/>
        </w:rPr>
        <w:t xml:space="preserve"> </w:t>
      </w:r>
      <w:r w:rsidRPr="00585C2D">
        <w:rPr>
          <w:rFonts w:eastAsia="Arial" w:cstheme="minorHAnsi"/>
          <w:spacing w:val="-3"/>
        </w:rPr>
        <w:t>e</w:t>
      </w:r>
      <w:r w:rsidRPr="00585C2D">
        <w:rPr>
          <w:rFonts w:eastAsia="Arial" w:cstheme="minorHAnsi"/>
          <w:spacing w:val="1"/>
        </w:rPr>
        <w:t>ff</w:t>
      </w:r>
      <w:r w:rsidRPr="00585C2D">
        <w:rPr>
          <w:rFonts w:eastAsia="Arial" w:cstheme="minorHAnsi"/>
          <w:spacing w:val="-3"/>
        </w:rPr>
        <w:t>e</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ve</w:t>
      </w:r>
      <w:r w:rsidRPr="00585C2D">
        <w:rPr>
          <w:rFonts w:eastAsia="Arial" w:cstheme="minorHAnsi"/>
          <w:spacing w:val="-11"/>
        </w:rPr>
        <w:t xml:space="preserve"> </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an</w:t>
      </w:r>
      <w:r w:rsidRPr="00585C2D">
        <w:rPr>
          <w:rFonts w:eastAsia="Arial" w:cstheme="minorHAnsi"/>
        </w:rPr>
        <w:t>s</w:t>
      </w:r>
      <w:r w:rsidRPr="00585C2D">
        <w:rPr>
          <w:rFonts w:eastAsia="Arial" w:cstheme="minorHAnsi"/>
          <w:spacing w:val="-13"/>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rPr>
        <w:t>v</w:t>
      </w:r>
      <w:r w:rsidRPr="00585C2D">
        <w:rPr>
          <w:rFonts w:eastAsia="Arial" w:cstheme="minorHAnsi"/>
          <w:spacing w:val="2"/>
        </w:rPr>
        <w:t>e</w:t>
      </w:r>
      <w:r w:rsidRPr="00585C2D">
        <w:rPr>
          <w:rFonts w:eastAsia="Arial" w:cstheme="minorHAnsi"/>
        </w:rPr>
        <w:t>l</w:t>
      </w:r>
      <w:r w:rsidRPr="00585C2D">
        <w:rPr>
          <w:rFonts w:eastAsia="Arial" w:cstheme="minorHAnsi"/>
          <w:spacing w:val="-10"/>
        </w:rPr>
        <w:t xml:space="preserve"> </w:t>
      </w:r>
      <w:r w:rsidRPr="00585C2D">
        <w:rPr>
          <w:rFonts w:eastAsia="Arial" w:cstheme="minorHAnsi"/>
          <w:spacing w:val="-1"/>
        </w:rPr>
        <w:t>w</w:t>
      </w:r>
      <w:r w:rsidRPr="00585C2D">
        <w:rPr>
          <w:rFonts w:eastAsia="Arial" w:cstheme="minorHAnsi"/>
          <w:spacing w:val="-3"/>
        </w:rPr>
        <w:t>h</w:t>
      </w:r>
      <w:r w:rsidRPr="00585C2D">
        <w:rPr>
          <w:rFonts w:eastAsia="Arial" w:cstheme="minorHAnsi"/>
          <w:spacing w:val="2"/>
        </w:rPr>
        <w:t>e</w:t>
      </w:r>
      <w:r w:rsidRPr="00585C2D">
        <w:rPr>
          <w:rFonts w:eastAsia="Arial" w:cstheme="minorHAnsi"/>
        </w:rPr>
        <w:t>n</w:t>
      </w:r>
      <w:r w:rsidRPr="00585C2D">
        <w:rPr>
          <w:rFonts w:eastAsia="Arial" w:cstheme="minorHAnsi"/>
          <w:spacing w:val="-11"/>
        </w:rPr>
        <w:t xml:space="preserve"> </w:t>
      </w:r>
      <w:r w:rsidRPr="00585C2D">
        <w:rPr>
          <w:rFonts w:eastAsia="Arial" w:cstheme="minorHAnsi"/>
          <w:spacing w:val="-3"/>
        </w:rPr>
        <w:t>a</w:t>
      </w:r>
      <w:r w:rsidRPr="00585C2D">
        <w:rPr>
          <w:rFonts w:eastAsia="Arial" w:cstheme="minorHAnsi"/>
          <w:spacing w:val="1"/>
        </w:rPr>
        <w:t>tt</w:t>
      </w:r>
      <w:r w:rsidRPr="00585C2D">
        <w:rPr>
          <w:rFonts w:eastAsia="Arial" w:cstheme="minorHAnsi"/>
          <w:spacing w:val="-3"/>
        </w:rPr>
        <w:t>e</w:t>
      </w:r>
      <w:r w:rsidRPr="00585C2D">
        <w:rPr>
          <w:rFonts w:eastAsia="Arial" w:cstheme="minorHAnsi"/>
          <w:spacing w:val="2"/>
        </w:rPr>
        <w:t>nd</w:t>
      </w:r>
      <w:r w:rsidRPr="00585C2D">
        <w:rPr>
          <w:rFonts w:eastAsia="Arial" w:cstheme="minorHAnsi"/>
          <w:spacing w:val="-6"/>
        </w:rPr>
        <w:t>i</w:t>
      </w:r>
      <w:r w:rsidRPr="00585C2D">
        <w:rPr>
          <w:rFonts w:eastAsia="Arial" w:cstheme="minorHAnsi"/>
          <w:spacing w:val="-3"/>
        </w:rPr>
        <w:t>n</w:t>
      </w:r>
      <w:r w:rsidRPr="00585C2D">
        <w:rPr>
          <w:rFonts w:eastAsia="Arial" w:cstheme="minorHAnsi"/>
        </w:rPr>
        <w:t>g</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11"/>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1"/>
        </w:rPr>
        <w:t>f</w:t>
      </w:r>
      <w:r w:rsidRPr="00585C2D">
        <w:rPr>
          <w:rFonts w:eastAsia="Arial" w:cstheme="minorHAnsi"/>
          <w:spacing w:val="2"/>
        </w:rPr>
        <w:t>e</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n</w:t>
      </w:r>
      <w:r w:rsidRPr="00585C2D">
        <w:rPr>
          <w:rFonts w:eastAsia="Arial" w:cstheme="minorHAnsi"/>
        </w:rPr>
        <w:t>ce</w:t>
      </w:r>
      <w:r w:rsidRPr="00585C2D">
        <w:rPr>
          <w:rFonts w:eastAsia="Arial" w:cstheme="minorHAnsi"/>
          <w:spacing w:val="-11"/>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3"/>
        </w:rPr>
        <w:t>o</w:t>
      </w:r>
      <w:r w:rsidRPr="00585C2D">
        <w:rPr>
          <w:rFonts w:eastAsia="Arial" w:cstheme="minorHAnsi"/>
          <w:spacing w:val="1"/>
        </w:rPr>
        <w:t>f</w:t>
      </w:r>
      <w:r w:rsidRPr="00585C2D">
        <w:rPr>
          <w:rFonts w:eastAsia="Arial" w:cstheme="minorHAnsi"/>
          <w:spacing w:val="2"/>
        </w:rPr>
        <w:t>e</w:t>
      </w:r>
      <w:r w:rsidRPr="00585C2D">
        <w:rPr>
          <w:rFonts w:eastAsia="Arial" w:cstheme="minorHAnsi"/>
        </w:rPr>
        <w:t>ss</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a</w:t>
      </w:r>
      <w:r w:rsidRPr="00585C2D">
        <w:rPr>
          <w:rFonts w:eastAsia="Arial" w:cstheme="minorHAnsi"/>
        </w:rPr>
        <w:t>l</w:t>
      </w:r>
      <w:r w:rsidRPr="00585C2D">
        <w:rPr>
          <w:rFonts w:eastAsia="Arial" w:cstheme="minorHAnsi"/>
          <w:spacing w:val="-14"/>
        </w:rPr>
        <w:t xml:space="preserve"> </w:t>
      </w:r>
      <w:r w:rsidRPr="00585C2D">
        <w:rPr>
          <w:rFonts w:eastAsia="Arial" w:cstheme="minorHAnsi"/>
          <w:spacing w:val="2"/>
        </w:rPr>
        <w:t>de</w:t>
      </w:r>
      <w:r w:rsidRPr="00585C2D">
        <w:rPr>
          <w:rFonts w:eastAsia="Arial" w:cstheme="minorHAnsi"/>
          <w:spacing w:val="-5"/>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spacing w:val="1"/>
        </w:rPr>
        <w:t>t</w:t>
      </w:r>
      <w:r w:rsidRPr="00585C2D">
        <w:rPr>
          <w:rFonts w:eastAsia="Arial" w:cstheme="minorHAnsi"/>
        </w:rPr>
        <w:t xml:space="preserve">. </w:t>
      </w:r>
      <w:r w:rsidRPr="00585C2D">
        <w:rPr>
          <w:rFonts w:eastAsia="Arial" w:cstheme="minorHAnsi"/>
          <w:spacing w:val="1"/>
        </w:rPr>
        <w:t>St</w:t>
      </w:r>
      <w:r w:rsidRPr="00585C2D">
        <w:rPr>
          <w:rFonts w:eastAsia="Arial" w:cstheme="minorHAnsi"/>
          <w:spacing w:val="-3"/>
        </w:rPr>
        <w:t>a</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a</w:t>
      </w:r>
      <w:r w:rsidRPr="00585C2D">
        <w:rPr>
          <w:rFonts w:eastAsia="Arial" w:cstheme="minorHAnsi"/>
          <w:spacing w:val="-2"/>
        </w:rPr>
        <w:t>r</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2"/>
        </w:rPr>
        <w:t>a</w:t>
      </w:r>
      <w:r w:rsidRPr="00585C2D">
        <w:rPr>
          <w:rFonts w:eastAsia="Arial" w:cstheme="minorHAnsi"/>
        </w:rPr>
        <w:t xml:space="preserve">xi </w:t>
      </w:r>
      <w:r w:rsidRPr="00585C2D">
        <w:rPr>
          <w:rFonts w:eastAsia="Arial" w:cstheme="minorHAnsi"/>
          <w:spacing w:val="1"/>
        </w:rPr>
        <w:t>f</w:t>
      </w:r>
      <w:r w:rsidRPr="00585C2D">
        <w:rPr>
          <w:rFonts w:eastAsia="Arial" w:cstheme="minorHAnsi"/>
          <w:spacing w:val="2"/>
        </w:rPr>
        <w:t>a</w:t>
      </w:r>
      <w:r w:rsidRPr="00585C2D">
        <w:rPr>
          <w:rFonts w:eastAsia="Arial" w:cstheme="minorHAnsi"/>
          <w:spacing w:val="-6"/>
        </w:rPr>
        <w:t>r</w:t>
      </w:r>
      <w:r w:rsidRPr="00585C2D">
        <w:rPr>
          <w:rFonts w:eastAsia="Arial" w:cstheme="minorHAnsi"/>
          <w:spacing w:val="2"/>
        </w:rPr>
        <w:t>e</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2"/>
        </w:rPr>
        <w:t>(</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rPr>
        <w:t>s</w:t>
      </w:r>
      <w:r w:rsidRPr="00585C2D">
        <w:rPr>
          <w:rFonts w:eastAsia="Arial" w:cstheme="minorHAnsi"/>
          <w:spacing w:val="-1"/>
        </w:rPr>
        <w:t>i</w:t>
      </w:r>
      <w:r w:rsidRPr="00585C2D">
        <w:rPr>
          <w:rFonts w:eastAsia="Arial" w:cstheme="minorHAnsi"/>
          <w:spacing w:val="-2"/>
        </w:rPr>
        <w:t>m</w:t>
      </w:r>
      <w:r w:rsidRPr="00585C2D">
        <w:rPr>
          <w:rFonts w:eastAsia="Arial" w:cstheme="minorHAnsi"/>
          <w:spacing w:val="-1"/>
        </w:rPr>
        <w:t>il</w:t>
      </w:r>
      <w:r w:rsidRPr="00585C2D">
        <w:rPr>
          <w:rFonts w:eastAsia="Arial" w:cstheme="minorHAnsi"/>
          <w:spacing w:val="2"/>
        </w:rPr>
        <w:t>a</w:t>
      </w:r>
      <w:r w:rsidRPr="00585C2D">
        <w:rPr>
          <w:rFonts w:eastAsia="Arial" w:cstheme="minorHAnsi"/>
        </w:rPr>
        <w:t>r s</w:t>
      </w:r>
      <w:r w:rsidRPr="00585C2D">
        <w:rPr>
          <w:rFonts w:eastAsia="Arial" w:cstheme="minorHAnsi"/>
          <w:spacing w:val="2"/>
        </w:rPr>
        <w:t>e</w:t>
      </w:r>
      <w:r w:rsidRPr="00585C2D">
        <w:rPr>
          <w:rFonts w:eastAsia="Arial" w:cstheme="minorHAnsi"/>
          <w:spacing w:val="-2"/>
        </w:rPr>
        <w:t>r</w:t>
      </w:r>
      <w:r w:rsidRPr="00585C2D">
        <w:rPr>
          <w:rFonts w:eastAsia="Arial" w:cstheme="minorHAnsi"/>
        </w:rPr>
        <w:t>v</w:t>
      </w:r>
      <w:r w:rsidRPr="00585C2D">
        <w:rPr>
          <w:rFonts w:eastAsia="Arial" w:cstheme="minorHAnsi"/>
          <w:spacing w:val="-1"/>
        </w:rPr>
        <w:t>i</w:t>
      </w:r>
      <w:r w:rsidRPr="00585C2D">
        <w:rPr>
          <w:rFonts w:eastAsia="Arial" w:cstheme="minorHAnsi"/>
        </w:rPr>
        <w:t>c</w:t>
      </w:r>
      <w:r w:rsidRPr="00585C2D">
        <w:rPr>
          <w:rFonts w:eastAsia="Arial" w:cstheme="minorHAnsi"/>
          <w:spacing w:val="2"/>
        </w:rPr>
        <w:t>e</w:t>
      </w:r>
      <w:r w:rsidRPr="00585C2D">
        <w:rPr>
          <w:rFonts w:eastAsia="Arial" w:cstheme="minorHAnsi"/>
        </w:rPr>
        <w:t xml:space="preserve">s)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2"/>
        </w:rPr>
        <w:t>p</w:t>
      </w:r>
      <w:r w:rsidRPr="00585C2D">
        <w:rPr>
          <w:rFonts w:eastAsia="Arial" w:cstheme="minorHAnsi"/>
          <w:spacing w:val="-3"/>
        </w:rPr>
        <w:t>u</w:t>
      </w:r>
      <w:r w:rsidRPr="00585C2D">
        <w:rPr>
          <w:rFonts w:eastAsia="Arial" w:cstheme="minorHAnsi"/>
          <w:spacing w:val="2"/>
        </w:rPr>
        <w:t>b</w:t>
      </w:r>
      <w:r w:rsidRPr="00585C2D">
        <w:rPr>
          <w:rFonts w:eastAsia="Arial" w:cstheme="minorHAnsi"/>
          <w:spacing w:val="-1"/>
        </w:rPr>
        <w:t>li</w:t>
      </w:r>
      <w:r w:rsidRPr="00585C2D">
        <w:rPr>
          <w:rFonts w:eastAsia="Arial" w:cstheme="minorHAnsi"/>
        </w:rPr>
        <w:t>c</w:t>
      </w:r>
      <w:r w:rsidRPr="00585C2D">
        <w:rPr>
          <w:rFonts w:eastAsia="Arial" w:cstheme="minorHAnsi"/>
          <w:spacing w:val="6"/>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3"/>
        </w:rPr>
        <w:t>n</w:t>
      </w:r>
      <w:r w:rsidRPr="00585C2D">
        <w:rPr>
          <w:rFonts w:eastAsia="Arial" w:cstheme="minorHAnsi"/>
        </w:rPr>
        <w:t>s</w:t>
      </w:r>
      <w:r w:rsidRPr="00585C2D">
        <w:rPr>
          <w:rFonts w:eastAsia="Arial" w:cstheme="minorHAnsi"/>
          <w:spacing w:val="-3"/>
        </w:rPr>
        <w:t>p</w:t>
      </w:r>
      <w:r w:rsidRPr="00585C2D">
        <w:rPr>
          <w:rFonts w:eastAsia="Arial" w:cstheme="minorHAnsi"/>
          <w:spacing w:val="2"/>
        </w:rPr>
        <w:t>o</w:t>
      </w:r>
      <w:r w:rsidRPr="00585C2D">
        <w:rPr>
          <w:rFonts w:eastAsia="Arial" w:cstheme="minorHAnsi"/>
          <w:spacing w:val="-2"/>
        </w:rPr>
        <w:t>r</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a</w:t>
      </w:r>
      <w:r w:rsidRPr="00585C2D">
        <w:rPr>
          <w:rFonts w:eastAsia="Arial" w:cstheme="minorHAnsi"/>
        </w:rPr>
        <w:t>s</w:t>
      </w:r>
      <w:r w:rsidRPr="00585C2D">
        <w:rPr>
          <w:rFonts w:eastAsia="Arial" w:cstheme="minorHAnsi"/>
          <w:spacing w:val="-3"/>
        </w:rPr>
        <w:t>o</w:t>
      </w:r>
      <w:r w:rsidRPr="00585C2D">
        <w:rPr>
          <w:rFonts w:eastAsia="Arial" w:cstheme="minorHAnsi"/>
          <w:spacing w:val="2"/>
        </w:rPr>
        <w:t>n</w:t>
      </w:r>
      <w:r w:rsidRPr="00585C2D">
        <w:rPr>
          <w:rFonts w:eastAsia="Arial" w:cstheme="minorHAnsi"/>
          <w:spacing w:val="-3"/>
        </w:rPr>
        <w:t>a</w:t>
      </w:r>
      <w:r w:rsidRPr="00585C2D">
        <w:rPr>
          <w:rFonts w:eastAsia="Arial" w:cstheme="minorHAnsi"/>
          <w:spacing w:val="2"/>
        </w:rPr>
        <w:t>b</w:t>
      </w:r>
      <w:r w:rsidRPr="00585C2D">
        <w:rPr>
          <w:rFonts w:eastAsia="Arial" w:cstheme="minorHAnsi"/>
          <w:spacing w:val="-1"/>
        </w:rPr>
        <w:t>l</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5"/>
        </w:rPr>
        <w:t>v</w:t>
      </w:r>
      <w:r w:rsidRPr="00585C2D">
        <w:rPr>
          <w:rFonts w:eastAsia="Arial" w:cstheme="minorHAnsi"/>
          <w:spacing w:val="2"/>
        </w:rPr>
        <w:t>e</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qu</w:t>
      </w:r>
      <w:r w:rsidRPr="00585C2D">
        <w:rPr>
          <w:rFonts w:eastAsia="Arial" w:cstheme="minorHAnsi"/>
          <w:spacing w:val="-1"/>
        </w:rPr>
        <w:t>i</w:t>
      </w:r>
      <w:r w:rsidRPr="00585C2D">
        <w:rPr>
          <w:rFonts w:eastAsia="Arial" w:cstheme="minorHAnsi"/>
          <w:spacing w:val="-2"/>
        </w:rPr>
        <w:t>r</w:t>
      </w:r>
      <w:r w:rsidRPr="00585C2D">
        <w:rPr>
          <w:rFonts w:eastAsia="Arial" w:cstheme="minorHAnsi"/>
          <w:spacing w:val="2"/>
        </w:rPr>
        <w:t>e</w:t>
      </w:r>
      <w:r w:rsidRPr="00585C2D">
        <w:rPr>
          <w:rFonts w:eastAsia="Arial" w:cstheme="minorHAnsi"/>
          <w:spacing w:val="-6"/>
        </w:rPr>
        <w:t>m</w:t>
      </w:r>
      <w:r w:rsidRPr="00585C2D">
        <w:rPr>
          <w:rFonts w:eastAsia="Arial" w:cstheme="minorHAnsi"/>
          <w:spacing w:val="2"/>
        </w:rPr>
        <w:t>en</w:t>
      </w:r>
      <w:r w:rsidRPr="00585C2D">
        <w:rPr>
          <w:rFonts w:eastAsia="Arial" w:cstheme="minorHAnsi"/>
          <w:spacing w:val="1"/>
        </w:rPr>
        <w:t>t</w:t>
      </w:r>
      <w:r w:rsidRPr="00585C2D">
        <w:rPr>
          <w:rFonts w:eastAsia="Arial" w:cstheme="minorHAnsi"/>
        </w:rPr>
        <w:t xml:space="preserve">s </w:t>
      </w:r>
      <w:r w:rsidRPr="00585C2D">
        <w:rPr>
          <w:rFonts w:eastAsia="Arial" w:cstheme="minorHAnsi"/>
          <w:spacing w:val="-1"/>
        </w:rPr>
        <w:t>wil</w:t>
      </w:r>
      <w:r w:rsidRPr="00585C2D">
        <w:rPr>
          <w:rFonts w:eastAsia="Arial" w:cstheme="minorHAnsi"/>
        </w:rPr>
        <w:t xml:space="preserve">l </w:t>
      </w:r>
      <w:r w:rsidRPr="00585C2D">
        <w:rPr>
          <w:rFonts w:eastAsia="Arial" w:cstheme="minorHAnsi"/>
          <w:spacing w:val="2"/>
        </w:rPr>
        <w:t>b</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1"/>
        </w:rPr>
        <w:t>i</w:t>
      </w:r>
      <w:r w:rsidRPr="00585C2D">
        <w:rPr>
          <w:rFonts w:eastAsia="Arial" w:cstheme="minorHAnsi"/>
          <w:spacing w:val="-2"/>
        </w:rPr>
        <w:t>m</w:t>
      </w:r>
      <w:r w:rsidRPr="00585C2D">
        <w:rPr>
          <w:rFonts w:eastAsia="Arial" w:cstheme="minorHAnsi"/>
          <w:spacing w:val="-3"/>
        </w:rPr>
        <w:t>b</w:t>
      </w:r>
      <w:r w:rsidRPr="00585C2D">
        <w:rPr>
          <w:rFonts w:eastAsia="Arial" w:cstheme="minorHAnsi"/>
          <w:spacing w:val="2"/>
        </w:rPr>
        <w:t>u</w:t>
      </w:r>
      <w:r w:rsidRPr="00585C2D">
        <w:rPr>
          <w:rFonts w:eastAsia="Arial" w:cstheme="minorHAnsi"/>
          <w:spacing w:val="-2"/>
        </w:rPr>
        <w:t>r</w:t>
      </w:r>
      <w:r w:rsidRPr="00585C2D">
        <w:rPr>
          <w:rFonts w:eastAsia="Arial" w:cstheme="minorHAnsi"/>
        </w:rPr>
        <w:t>s</w:t>
      </w:r>
      <w:r w:rsidRPr="00585C2D">
        <w:rPr>
          <w:rFonts w:eastAsia="Arial" w:cstheme="minorHAnsi"/>
          <w:spacing w:val="-3"/>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3"/>
        </w:rPr>
        <w:t>up</w:t>
      </w:r>
      <w:r w:rsidRPr="00585C2D">
        <w:rPr>
          <w:rFonts w:eastAsia="Arial" w:cstheme="minorHAnsi"/>
          <w:spacing w:val="2"/>
        </w:rPr>
        <w:t>o</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6"/>
        </w:rPr>
        <w:t>r</w:t>
      </w:r>
      <w:r w:rsidRPr="00585C2D">
        <w:rPr>
          <w:rFonts w:eastAsia="Arial" w:cstheme="minorHAnsi"/>
          <w:spacing w:val="2"/>
        </w:rPr>
        <w:t>e</w:t>
      </w:r>
      <w:r w:rsidRPr="00585C2D">
        <w:rPr>
          <w:rFonts w:eastAsia="Arial" w:cstheme="minorHAnsi"/>
          <w:spacing w:val="1"/>
        </w:rPr>
        <w:t>t</w:t>
      </w:r>
      <w:r w:rsidRPr="00585C2D">
        <w:rPr>
          <w:rFonts w:eastAsia="Arial" w:cstheme="minorHAnsi"/>
          <w:spacing w:val="2"/>
        </w:rPr>
        <w:t>u</w:t>
      </w:r>
      <w:r w:rsidRPr="00585C2D">
        <w:rPr>
          <w:rFonts w:eastAsia="Arial" w:cstheme="minorHAnsi"/>
          <w:spacing w:val="-6"/>
        </w:rPr>
        <w:t>r</w:t>
      </w:r>
      <w:r w:rsidRPr="00585C2D">
        <w:rPr>
          <w:rFonts w:eastAsia="Arial" w:cstheme="minorHAnsi"/>
          <w:spacing w:val="2"/>
        </w:rPr>
        <w:t>n</w:t>
      </w:r>
      <w:r w:rsidRPr="00585C2D">
        <w:rPr>
          <w:rFonts w:eastAsia="Arial" w:cstheme="minorHAnsi"/>
        </w:rPr>
        <w:t>,</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p</w:t>
      </w:r>
      <w:r w:rsidRPr="00585C2D">
        <w:rPr>
          <w:rFonts w:eastAsia="Arial" w:cstheme="minorHAnsi"/>
          <w:spacing w:val="-6"/>
        </w:rPr>
        <w:t>r</w:t>
      </w:r>
      <w:r w:rsidRPr="00585C2D">
        <w:rPr>
          <w:rFonts w:eastAsia="Arial" w:cstheme="minorHAnsi"/>
          <w:spacing w:val="2"/>
        </w:rPr>
        <w:t>o</w:t>
      </w:r>
      <w:r w:rsidRPr="00585C2D">
        <w:rPr>
          <w:rFonts w:eastAsia="Arial" w:cstheme="minorHAnsi"/>
          <w:spacing w:val="-3"/>
        </w:rPr>
        <w:t>d</w:t>
      </w:r>
      <w:r w:rsidRPr="00585C2D">
        <w:rPr>
          <w:rFonts w:eastAsia="Arial" w:cstheme="minorHAnsi"/>
          <w:spacing w:val="2"/>
        </w:rPr>
        <w:t>u</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5"/>
        </w:rPr>
        <w:t>c</w:t>
      </w:r>
      <w:r w:rsidRPr="00585C2D">
        <w:rPr>
          <w:rFonts w:eastAsia="Arial" w:cstheme="minorHAnsi"/>
          <w:spacing w:val="2"/>
        </w:rPr>
        <w:t>e</w:t>
      </w:r>
      <w:r w:rsidRPr="00585C2D">
        <w:rPr>
          <w:rFonts w:eastAsia="Arial" w:cstheme="minorHAnsi"/>
          <w:spacing w:val="-1"/>
        </w:rPr>
        <w:t>i</w:t>
      </w:r>
      <w:r w:rsidRPr="00585C2D">
        <w:rPr>
          <w:rFonts w:eastAsia="Arial" w:cstheme="minorHAnsi"/>
          <w:spacing w:val="-3"/>
        </w:rPr>
        <w:t>p</w:t>
      </w:r>
      <w:r w:rsidRPr="00585C2D">
        <w:rPr>
          <w:rFonts w:eastAsia="Arial" w:cstheme="minorHAnsi"/>
          <w:spacing w:val="1"/>
        </w:rPr>
        <w:t>t</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5"/>
        </w:rPr>
        <w:t>v</w:t>
      </w:r>
      <w:r w:rsidRPr="00585C2D">
        <w:rPr>
          <w:rFonts w:eastAsia="Arial" w:cstheme="minorHAnsi"/>
          <w:spacing w:val="2"/>
        </w:rPr>
        <w:t>e</w:t>
      </w:r>
      <w:r w:rsidRPr="00585C2D">
        <w:rPr>
          <w:rFonts w:eastAsia="Arial" w:cstheme="minorHAnsi"/>
          <w:spacing w:val="-2"/>
        </w:rPr>
        <w:t>r</w:t>
      </w:r>
      <w:r w:rsidRPr="00585C2D">
        <w:rPr>
          <w:rFonts w:eastAsia="Arial" w:cstheme="minorHAnsi"/>
          <w:spacing w:val="-1"/>
        </w:rPr>
        <w:t>i</w:t>
      </w:r>
      <w:r w:rsidRPr="00585C2D">
        <w:rPr>
          <w:rFonts w:eastAsia="Arial" w:cstheme="minorHAnsi"/>
          <w:spacing w:val="6"/>
        </w:rPr>
        <w:t>f</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e</w:t>
      </w:r>
      <w:r w:rsidRPr="00585C2D">
        <w:rPr>
          <w:rFonts w:eastAsia="Arial" w:cstheme="minorHAnsi"/>
        </w:rPr>
        <w:t>x</w:t>
      </w:r>
      <w:r w:rsidRPr="00585C2D">
        <w:rPr>
          <w:rFonts w:eastAsia="Arial" w:cstheme="minorHAnsi"/>
          <w:spacing w:val="-3"/>
        </w:rPr>
        <w:t>p</w:t>
      </w:r>
      <w:r w:rsidRPr="00585C2D">
        <w:rPr>
          <w:rFonts w:eastAsia="Arial" w:cstheme="minorHAnsi"/>
          <w:spacing w:val="2"/>
        </w:rPr>
        <w:t>en</w:t>
      </w:r>
      <w:r w:rsidRPr="00585C2D">
        <w:rPr>
          <w:rFonts w:eastAsia="Arial" w:cstheme="minorHAnsi"/>
          <w:spacing w:val="-5"/>
        </w:rPr>
        <w:t>s</w:t>
      </w:r>
      <w:r w:rsidRPr="00585C2D">
        <w:rPr>
          <w:rFonts w:eastAsia="Arial" w:cstheme="minorHAnsi"/>
          <w:spacing w:val="2"/>
        </w:rPr>
        <w:t>e</w:t>
      </w:r>
      <w:r w:rsidRPr="00585C2D">
        <w:rPr>
          <w:rFonts w:eastAsia="Arial" w:cstheme="minorHAnsi"/>
        </w:rPr>
        <w:t>.</w:t>
      </w:r>
    </w:p>
    <w:p w14:paraId="51F25087" w14:textId="77777777" w:rsidR="00FC0CF1" w:rsidRPr="00585C2D" w:rsidRDefault="00FC0CF1" w:rsidP="00FC0CF1">
      <w:pPr>
        <w:spacing w:line="240" w:lineRule="auto"/>
        <w:ind w:left="850" w:right="-45" w:hanging="425"/>
        <w:jc w:val="both"/>
        <w:rPr>
          <w:rFonts w:eastAsia="Arial" w:cstheme="minorHAnsi"/>
        </w:rPr>
      </w:pPr>
      <w:r w:rsidRPr="00585C2D">
        <w:rPr>
          <w:rFonts w:eastAsia="Arial" w:cstheme="minorHAnsi"/>
          <w:spacing w:val="-1"/>
        </w:rPr>
        <w:t>j</w:t>
      </w:r>
      <w:r w:rsidRPr="00585C2D">
        <w:rPr>
          <w:rFonts w:eastAsia="Arial" w:cstheme="minorHAnsi"/>
        </w:rPr>
        <w:t>.</w:t>
      </w:r>
      <w:r w:rsidRPr="00585C2D">
        <w:rPr>
          <w:rFonts w:eastAsia="Arial" w:cstheme="minorHAnsi"/>
        </w:rPr>
        <w:tab/>
      </w:r>
      <w:r w:rsidRPr="00585C2D">
        <w:rPr>
          <w:rFonts w:eastAsia="Arial" w:cstheme="minorHAnsi"/>
          <w:spacing w:val="7"/>
        </w:rPr>
        <w:t>W</w:t>
      </w:r>
      <w:r w:rsidRPr="00585C2D">
        <w:rPr>
          <w:rFonts w:eastAsia="Arial" w:cstheme="minorHAnsi"/>
          <w:spacing w:val="-3"/>
        </w:rPr>
        <w:t>he</w:t>
      </w:r>
      <w:r w:rsidRPr="00585C2D">
        <w:rPr>
          <w:rFonts w:eastAsia="Arial" w:cstheme="minorHAnsi"/>
          <w:spacing w:val="-2"/>
        </w:rPr>
        <w:t>r</w:t>
      </w:r>
      <w:r w:rsidRPr="00585C2D">
        <w:rPr>
          <w:rFonts w:eastAsia="Arial" w:cstheme="minorHAnsi"/>
        </w:rPr>
        <w:t>e</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rPr>
        <w:t xml:space="preserve">n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spacing w:val="3"/>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 xml:space="preserve">d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 xml:space="preserve">r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1"/>
        </w:rPr>
        <w:t>C</w:t>
      </w:r>
      <w:r w:rsidRPr="00585C2D">
        <w:rPr>
          <w:rFonts w:eastAsia="Arial" w:cstheme="minorHAnsi"/>
          <w:spacing w:val="-3"/>
        </w:rPr>
        <w:t>E</w:t>
      </w:r>
      <w:r w:rsidRPr="00585C2D">
        <w:rPr>
          <w:rFonts w:eastAsia="Arial" w:cstheme="minorHAnsi"/>
        </w:rPr>
        <w:t xml:space="preserve">O </w:t>
      </w:r>
      <w:r w:rsidRPr="00585C2D">
        <w:rPr>
          <w:rFonts w:eastAsia="Arial" w:cstheme="minorHAnsi"/>
          <w:spacing w:val="-1"/>
        </w:rPr>
        <w:t>i</w:t>
      </w:r>
      <w:r w:rsidRPr="00585C2D">
        <w:rPr>
          <w:rFonts w:eastAsia="Arial" w:cstheme="minorHAnsi"/>
        </w:rPr>
        <w:t>s</w:t>
      </w:r>
      <w:r w:rsidRPr="00585C2D">
        <w:rPr>
          <w:rFonts w:eastAsia="Arial" w:cstheme="minorHAnsi"/>
          <w:spacing w:val="2"/>
        </w:rPr>
        <w:t xml:space="preserve"> a</w:t>
      </w:r>
      <w:r w:rsidRPr="00585C2D">
        <w:rPr>
          <w:rFonts w:eastAsia="Arial" w:cstheme="minorHAnsi"/>
        </w:rPr>
        <w:t>c</w:t>
      </w:r>
      <w:r w:rsidRPr="00585C2D">
        <w:rPr>
          <w:rFonts w:eastAsia="Arial" w:cstheme="minorHAnsi"/>
          <w:spacing w:val="-5"/>
        </w:rPr>
        <w:t>c</w:t>
      </w:r>
      <w:r w:rsidRPr="00585C2D">
        <w:rPr>
          <w:rFonts w:eastAsia="Arial" w:cstheme="minorHAnsi"/>
          <w:spacing w:val="2"/>
        </w:rPr>
        <w:t>o</w:t>
      </w:r>
      <w:r w:rsidRPr="00585C2D">
        <w:rPr>
          <w:rFonts w:eastAsia="Arial" w:cstheme="minorHAnsi"/>
          <w:spacing w:val="-2"/>
        </w:rPr>
        <w:t>m</w:t>
      </w:r>
      <w:r w:rsidRPr="00585C2D">
        <w:rPr>
          <w:rFonts w:eastAsia="Arial" w:cstheme="minorHAnsi"/>
          <w:spacing w:val="-3"/>
        </w:rPr>
        <w:t>p</w:t>
      </w:r>
      <w:r w:rsidRPr="00585C2D">
        <w:rPr>
          <w:rFonts w:eastAsia="Arial" w:cstheme="minorHAnsi"/>
          <w:spacing w:val="2"/>
        </w:rPr>
        <w:t>an</w:t>
      </w:r>
      <w:r w:rsidRPr="00585C2D">
        <w:rPr>
          <w:rFonts w:eastAsia="Arial" w:cstheme="minorHAnsi"/>
          <w:spacing w:val="-1"/>
        </w:rPr>
        <w:t>i</w:t>
      </w:r>
      <w:r w:rsidRPr="00585C2D">
        <w:rPr>
          <w:rFonts w:eastAsia="Arial" w:cstheme="minorHAnsi"/>
          <w:spacing w:val="-3"/>
        </w:rPr>
        <w:t>e</w:t>
      </w:r>
      <w:r w:rsidRPr="00585C2D">
        <w:rPr>
          <w:rFonts w:eastAsia="Arial" w:cstheme="minorHAnsi"/>
        </w:rPr>
        <w:t xml:space="preserve">d </w:t>
      </w:r>
      <w:r w:rsidRPr="00585C2D">
        <w:rPr>
          <w:rFonts w:eastAsia="Arial" w:cstheme="minorHAnsi"/>
          <w:spacing w:val="2"/>
        </w:rPr>
        <w:t>b</w:t>
      </w:r>
      <w:r w:rsidRPr="00585C2D">
        <w:rPr>
          <w:rFonts w:eastAsia="Arial" w:cstheme="minorHAnsi"/>
        </w:rPr>
        <w:t>y</w:t>
      </w:r>
      <w:r w:rsidRPr="00585C2D">
        <w:rPr>
          <w:rFonts w:eastAsia="Arial" w:cstheme="minorHAnsi"/>
          <w:spacing w:val="58"/>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spacing w:val="2"/>
        </w:rPr>
        <w:t>o</w:t>
      </w:r>
      <w:r w:rsidRPr="00585C2D">
        <w:rPr>
          <w:rFonts w:eastAsia="Arial" w:cstheme="minorHAnsi"/>
          <w:spacing w:val="-4"/>
        </w:rPr>
        <w:t>t</w:t>
      </w:r>
      <w:r w:rsidRPr="00585C2D">
        <w:rPr>
          <w:rFonts w:eastAsia="Arial" w:cstheme="minorHAnsi"/>
          <w:spacing w:val="2"/>
        </w:rPr>
        <w:t>he</w:t>
      </w:r>
      <w:r w:rsidRPr="00585C2D">
        <w:rPr>
          <w:rFonts w:eastAsia="Arial" w:cstheme="minorHAnsi"/>
        </w:rPr>
        <w:t>r</w:t>
      </w:r>
      <w:r w:rsidRPr="00585C2D">
        <w:rPr>
          <w:rFonts w:eastAsia="Arial" w:cstheme="minorHAnsi"/>
          <w:spacing w:val="1"/>
        </w:rPr>
        <w:t xml:space="preserve"> </w:t>
      </w:r>
      <w:r w:rsidRPr="00585C2D">
        <w:rPr>
          <w:rFonts w:eastAsia="Arial" w:cstheme="minorHAnsi"/>
          <w:spacing w:val="-3"/>
        </w:rPr>
        <w:t>p</w:t>
      </w:r>
      <w:r w:rsidRPr="00585C2D">
        <w:rPr>
          <w:rFonts w:eastAsia="Arial" w:cstheme="minorHAnsi"/>
          <w:spacing w:val="2"/>
        </w:rPr>
        <w:t>e</w:t>
      </w:r>
      <w:r w:rsidRPr="00585C2D">
        <w:rPr>
          <w:rFonts w:eastAsia="Arial" w:cstheme="minorHAnsi"/>
          <w:spacing w:val="-2"/>
        </w:rPr>
        <w:t>r</w:t>
      </w:r>
      <w:r w:rsidRPr="00585C2D">
        <w:rPr>
          <w:rFonts w:eastAsia="Arial" w:cstheme="minorHAnsi"/>
        </w:rPr>
        <w:t>s</w:t>
      </w:r>
      <w:r w:rsidRPr="00585C2D">
        <w:rPr>
          <w:rFonts w:eastAsia="Arial" w:cstheme="minorHAnsi"/>
          <w:spacing w:val="-3"/>
        </w:rPr>
        <w:t>o</w:t>
      </w:r>
      <w:r w:rsidRPr="00585C2D">
        <w:rPr>
          <w:rFonts w:eastAsia="Arial" w:cstheme="minorHAnsi"/>
        </w:rPr>
        <w:t>n</w:t>
      </w:r>
      <w:r w:rsidRPr="00585C2D">
        <w:rPr>
          <w:rFonts w:eastAsia="Arial" w:cstheme="minorHAnsi"/>
          <w:spacing w:val="60"/>
        </w:rPr>
        <w:t xml:space="preserve"> </w:t>
      </w:r>
      <w:r w:rsidRPr="00585C2D">
        <w:rPr>
          <w:rFonts w:eastAsia="Arial" w:cstheme="minorHAnsi"/>
          <w:spacing w:val="6"/>
        </w:rPr>
        <w:t>f</w:t>
      </w:r>
      <w:r w:rsidRPr="00585C2D">
        <w:rPr>
          <w:rFonts w:eastAsia="Arial" w:cstheme="minorHAnsi"/>
          <w:spacing w:val="2"/>
        </w:rPr>
        <w:t>o</w:t>
      </w:r>
      <w:r w:rsidRPr="00585C2D">
        <w:rPr>
          <w:rFonts w:eastAsia="Arial" w:cstheme="minorHAnsi"/>
        </w:rPr>
        <w:t>r T</w:t>
      </w:r>
      <w:r w:rsidRPr="00585C2D">
        <w:rPr>
          <w:rFonts w:eastAsia="Arial" w:cstheme="minorHAnsi"/>
          <w:spacing w:val="-2"/>
        </w:rPr>
        <w:t>r</w:t>
      </w:r>
      <w:r w:rsidRPr="00585C2D">
        <w:rPr>
          <w:rFonts w:eastAsia="Arial" w:cstheme="minorHAnsi"/>
          <w:spacing w:val="2"/>
        </w:rPr>
        <w:t>a</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60"/>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 xml:space="preserve">d </w:t>
      </w:r>
      <w:r w:rsidRPr="00585C2D">
        <w:rPr>
          <w:rFonts w:eastAsia="Arial" w:cstheme="minorHAnsi"/>
          <w:spacing w:val="-1"/>
        </w:rPr>
        <w:t>D</w:t>
      </w:r>
      <w:r w:rsidRPr="00585C2D">
        <w:rPr>
          <w:rFonts w:eastAsia="Arial" w:cstheme="minorHAnsi"/>
          <w:spacing w:val="2"/>
        </w:rPr>
        <w:t>e</w:t>
      </w:r>
      <w:r w:rsidRPr="00585C2D">
        <w:rPr>
          <w:rFonts w:eastAsia="Arial" w:cstheme="minorHAnsi"/>
        </w:rPr>
        <w:t>v</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o</w:t>
      </w:r>
      <w:r w:rsidRPr="00585C2D">
        <w:rPr>
          <w:rFonts w:eastAsia="Arial" w:cstheme="minorHAnsi"/>
          <w:spacing w:val="2"/>
        </w:rPr>
        <w:t>p</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6"/>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3"/>
        </w:rPr>
        <w:t xml:space="preserve"> </w:t>
      </w:r>
      <w:r w:rsidRPr="00585C2D">
        <w:rPr>
          <w:rFonts w:eastAsia="Arial" w:cstheme="minorHAnsi"/>
          <w:spacing w:val="1"/>
        </w:rPr>
        <w:t>A</w:t>
      </w:r>
      <w:r w:rsidRPr="00585C2D">
        <w:rPr>
          <w:rFonts w:eastAsia="Arial" w:cstheme="minorHAnsi"/>
          <w:spacing w:val="-3"/>
        </w:rPr>
        <w:t>d</w:t>
      </w:r>
      <w:r w:rsidRPr="00585C2D">
        <w:rPr>
          <w:rFonts w:eastAsia="Arial" w:cstheme="minorHAnsi"/>
        </w:rPr>
        <w:t>v</w:t>
      </w:r>
      <w:r w:rsidRPr="00585C2D">
        <w:rPr>
          <w:rFonts w:eastAsia="Arial" w:cstheme="minorHAnsi"/>
          <w:spacing w:val="2"/>
        </w:rPr>
        <w:t>o</w:t>
      </w:r>
      <w:r w:rsidRPr="00585C2D">
        <w:rPr>
          <w:rFonts w:eastAsia="Arial" w:cstheme="minorHAnsi"/>
          <w:spacing w:val="-5"/>
        </w:rPr>
        <w:t>c</w:t>
      </w:r>
      <w:r w:rsidRPr="00585C2D">
        <w:rPr>
          <w:rFonts w:eastAsia="Arial" w:cstheme="minorHAnsi"/>
          <w:spacing w:val="2"/>
        </w:rPr>
        <w:t>a</w:t>
      </w:r>
      <w:r w:rsidRPr="00585C2D">
        <w:rPr>
          <w:rFonts w:eastAsia="Arial" w:cstheme="minorHAnsi"/>
        </w:rPr>
        <w:t>cy</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6"/>
        </w:rPr>
        <w:t xml:space="preserve"> </w:t>
      </w:r>
      <w:r w:rsidRPr="00585C2D">
        <w:rPr>
          <w:rFonts w:eastAsia="Arial" w:cstheme="minorHAnsi"/>
          <w:spacing w:val="-3"/>
        </w:rPr>
        <w:t>L</w:t>
      </w:r>
      <w:r w:rsidRPr="00585C2D">
        <w:rPr>
          <w:rFonts w:eastAsia="Arial" w:cstheme="minorHAnsi"/>
          <w:spacing w:val="2"/>
        </w:rPr>
        <w:t>o</w:t>
      </w:r>
      <w:r w:rsidRPr="00585C2D">
        <w:rPr>
          <w:rFonts w:eastAsia="Arial" w:cstheme="minorHAnsi"/>
          <w:spacing w:val="-3"/>
        </w:rPr>
        <w:t>b</w:t>
      </w:r>
      <w:r w:rsidRPr="00585C2D">
        <w:rPr>
          <w:rFonts w:eastAsia="Arial" w:cstheme="minorHAnsi"/>
          <w:spacing w:val="2"/>
        </w:rPr>
        <w:t>b</w:t>
      </w:r>
      <w:r w:rsidRPr="00585C2D">
        <w:rPr>
          <w:rFonts w:eastAsia="Arial" w:cstheme="minorHAnsi"/>
        </w:rPr>
        <w:t>y</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6"/>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1"/>
        </w:rPr>
        <w:t>t</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e</w:t>
      </w:r>
      <w:r w:rsidRPr="00585C2D">
        <w:rPr>
          <w:rFonts w:eastAsia="Arial" w:cstheme="minorHAnsi"/>
        </w:rPr>
        <w:t>s,</w:t>
      </w:r>
      <w:r w:rsidRPr="00585C2D">
        <w:rPr>
          <w:rFonts w:eastAsia="Arial" w:cstheme="minorHAnsi"/>
          <w:spacing w:val="10"/>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rPr>
        <w:t>s</w:t>
      </w:r>
      <w:r w:rsidRPr="00585C2D">
        <w:rPr>
          <w:rFonts w:eastAsia="Arial" w:cstheme="minorHAnsi"/>
          <w:spacing w:val="1"/>
        </w:rPr>
        <w:t>t</w:t>
      </w:r>
      <w:r w:rsidRPr="00585C2D">
        <w:rPr>
          <w:rFonts w:eastAsia="Arial" w:cstheme="minorHAnsi"/>
        </w:rPr>
        <w:t xml:space="preserve">s </w:t>
      </w:r>
      <w:r w:rsidRPr="00585C2D">
        <w:rPr>
          <w:rFonts w:eastAsia="Arial" w:cstheme="minorHAnsi"/>
          <w:spacing w:val="6"/>
        </w:rPr>
        <w:t>f</w:t>
      </w:r>
      <w:r w:rsidRPr="00585C2D">
        <w:rPr>
          <w:rFonts w:eastAsia="Arial" w:cstheme="minorHAnsi"/>
          <w:spacing w:val="2"/>
        </w:rPr>
        <w:t>o</w:t>
      </w:r>
      <w:r w:rsidRPr="00585C2D">
        <w:rPr>
          <w:rFonts w:eastAsia="Arial" w:cstheme="minorHAnsi"/>
        </w:rPr>
        <w:t>r</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spacing w:val="-5"/>
        </w:rPr>
        <w:t>c</w:t>
      </w:r>
      <w:r w:rsidRPr="00585C2D">
        <w:rPr>
          <w:rFonts w:eastAsia="Arial" w:cstheme="minorHAnsi"/>
          <w:spacing w:val="2"/>
        </w:rPr>
        <w:t>u</w:t>
      </w:r>
      <w:r w:rsidRPr="00585C2D">
        <w:rPr>
          <w:rFonts w:eastAsia="Arial" w:cstheme="minorHAnsi"/>
          <w:spacing w:val="-2"/>
        </w:rPr>
        <w:t>rr</w:t>
      </w:r>
      <w:r w:rsidRPr="00585C2D">
        <w:rPr>
          <w:rFonts w:eastAsia="Arial" w:cstheme="minorHAnsi"/>
          <w:spacing w:val="2"/>
        </w:rPr>
        <w:t>e</w:t>
      </w:r>
      <w:r w:rsidRPr="00585C2D">
        <w:rPr>
          <w:rFonts w:eastAsia="Arial" w:cstheme="minorHAnsi"/>
        </w:rPr>
        <w:t>d</w:t>
      </w:r>
      <w:r w:rsidRPr="00585C2D">
        <w:rPr>
          <w:rFonts w:eastAsia="Arial" w:cstheme="minorHAnsi"/>
          <w:spacing w:val="6"/>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3"/>
        </w:rPr>
        <w:t>a</w:t>
      </w:r>
      <w:r w:rsidRPr="00585C2D">
        <w:rPr>
          <w:rFonts w:eastAsia="Arial" w:cstheme="minorHAnsi"/>
        </w:rPr>
        <w:t>cc</w:t>
      </w:r>
      <w:r w:rsidRPr="00585C2D">
        <w:rPr>
          <w:rFonts w:eastAsia="Arial" w:cstheme="minorHAnsi"/>
          <w:spacing w:val="2"/>
        </w:rPr>
        <w:t>o</w:t>
      </w:r>
      <w:r w:rsidRPr="00585C2D">
        <w:rPr>
          <w:rFonts w:eastAsia="Arial" w:cstheme="minorHAnsi"/>
          <w:spacing w:val="-2"/>
        </w:rPr>
        <w:t>m</w:t>
      </w:r>
      <w:r w:rsidRPr="00585C2D">
        <w:rPr>
          <w:rFonts w:eastAsia="Arial" w:cstheme="minorHAnsi"/>
          <w:spacing w:val="-3"/>
        </w:rPr>
        <w:t>p</w:t>
      </w:r>
      <w:r w:rsidRPr="00585C2D">
        <w:rPr>
          <w:rFonts w:eastAsia="Arial" w:cstheme="minorHAnsi"/>
          <w:spacing w:val="2"/>
        </w:rPr>
        <w:t>a</w:t>
      </w:r>
      <w:r w:rsidRPr="00585C2D">
        <w:rPr>
          <w:rFonts w:eastAsia="Arial" w:cstheme="minorHAnsi"/>
          <w:spacing w:val="-3"/>
        </w:rPr>
        <w:t>n</w:t>
      </w:r>
      <w:r w:rsidRPr="00585C2D">
        <w:rPr>
          <w:rFonts w:eastAsia="Arial" w:cstheme="minorHAnsi"/>
        </w:rPr>
        <w:t>y</w:t>
      </w:r>
      <w:r w:rsidRPr="00585C2D">
        <w:rPr>
          <w:rFonts w:eastAsia="Arial" w:cstheme="minorHAnsi"/>
          <w:spacing w:val="-1"/>
        </w:rPr>
        <w:t>i</w:t>
      </w:r>
      <w:r w:rsidRPr="00585C2D">
        <w:rPr>
          <w:rFonts w:eastAsia="Arial" w:cstheme="minorHAnsi"/>
          <w:spacing w:val="2"/>
        </w:rPr>
        <w:t>n</w:t>
      </w:r>
      <w:r w:rsidRPr="00585C2D">
        <w:rPr>
          <w:rFonts w:eastAsia="Arial" w:cstheme="minorHAnsi"/>
        </w:rPr>
        <w:t xml:space="preserve">g </w:t>
      </w:r>
      <w:r w:rsidRPr="00585C2D">
        <w:rPr>
          <w:rFonts w:eastAsia="Arial" w:cstheme="minorHAnsi"/>
          <w:spacing w:val="2"/>
        </w:rPr>
        <w:t>pe</w:t>
      </w:r>
      <w:r w:rsidRPr="00585C2D">
        <w:rPr>
          <w:rFonts w:eastAsia="Arial" w:cstheme="minorHAnsi"/>
          <w:spacing w:val="-2"/>
        </w:rPr>
        <w:t>r</w:t>
      </w:r>
      <w:r w:rsidRPr="00585C2D">
        <w:rPr>
          <w:rFonts w:eastAsia="Arial" w:cstheme="minorHAnsi"/>
        </w:rPr>
        <w:t>s</w:t>
      </w:r>
      <w:r w:rsidRPr="00585C2D">
        <w:rPr>
          <w:rFonts w:eastAsia="Arial" w:cstheme="minorHAnsi"/>
          <w:spacing w:val="-3"/>
        </w:rPr>
        <w:t>o</w:t>
      </w:r>
      <w:r w:rsidRPr="00585C2D">
        <w:rPr>
          <w:rFonts w:eastAsia="Arial" w:cstheme="minorHAnsi"/>
        </w:rPr>
        <w:t>n</w:t>
      </w:r>
      <w:r w:rsidRPr="00585C2D">
        <w:rPr>
          <w:rFonts w:eastAsia="Arial" w:cstheme="minorHAnsi"/>
          <w:spacing w:val="10"/>
        </w:rPr>
        <w:t xml:space="preserve"> </w:t>
      </w:r>
      <w:r w:rsidRPr="00585C2D">
        <w:rPr>
          <w:rFonts w:eastAsia="Arial" w:cstheme="minorHAnsi"/>
          <w:spacing w:val="-6"/>
        </w:rPr>
        <w:t>i</w:t>
      </w:r>
      <w:r w:rsidRPr="00585C2D">
        <w:rPr>
          <w:rFonts w:eastAsia="Arial" w:cstheme="minorHAnsi"/>
          <w:spacing w:val="2"/>
        </w:rPr>
        <w:t>n</w:t>
      </w:r>
      <w:r w:rsidRPr="00585C2D">
        <w:rPr>
          <w:rFonts w:eastAsia="Arial" w:cstheme="minorHAnsi"/>
        </w:rPr>
        <w:t>c</w:t>
      </w:r>
      <w:r w:rsidRPr="00585C2D">
        <w:rPr>
          <w:rFonts w:eastAsia="Arial" w:cstheme="minorHAnsi"/>
          <w:spacing w:val="-1"/>
        </w:rPr>
        <w:t>l</w:t>
      </w:r>
      <w:r w:rsidRPr="00585C2D">
        <w:rPr>
          <w:rFonts w:eastAsia="Arial" w:cstheme="minorHAnsi"/>
          <w:spacing w:val="-3"/>
        </w:rPr>
        <w:t>u</w:t>
      </w:r>
      <w:r w:rsidRPr="00585C2D">
        <w:rPr>
          <w:rFonts w:eastAsia="Arial" w:cstheme="minorHAnsi"/>
          <w:spacing w:val="2"/>
        </w:rPr>
        <w:t>d</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5"/>
        </w:rPr>
        <w:t xml:space="preserve"> </w:t>
      </w:r>
      <w:r w:rsidRPr="00585C2D">
        <w:rPr>
          <w:rFonts w:eastAsia="Arial" w:cstheme="minorHAnsi"/>
          <w:spacing w:val="2"/>
        </w:rPr>
        <w:t>bu</w:t>
      </w:r>
      <w:r w:rsidRPr="00585C2D">
        <w:rPr>
          <w:rFonts w:eastAsia="Arial" w:cstheme="minorHAnsi"/>
        </w:rPr>
        <w:t>t</w:t>
      </w:r>
      <w:r w:rsidRPr="00585C2D">
        <w:rPr>
          <w:rFonts w:eastAsia="Arial" w:cstheme="minorHAnsi"/>
          <w:spacing w:val="4"/>
        </w:rPr>
        <w:t xml:space="preserve"> </w:t>
      </w:r>
      <w:r w:rsidRPr="00585C2D">
        <w:rPr>
          <w:rFonts w:eastAsia="Arial" w:cstheme="minorHAnsi"/>
          <w:spacing w:val="-3"/>
        </w:rPr>
        <w:t>n</w:t>
      </w:r>
      <w:r w:rsidRPr="00585C2D">
        <w:rPr>
          <w:rFonts w:eastAsia="Arial" w:cstheme="minorHAnsi"/>
          <w:spacing w:val="2"/>
        </w:rPr>
        <w:t>o</w:t>
      </w:r>
      <w:r w:rsidRPr="00585C2D">
        <w:rPr>
          <w:rFonts w:eastAsia="Arial" w:cstheme="minorHAnsi"/>
        </w:rPr>
        <w:t>t</w:t>
      </w:r>
      <w:r w:rsidRPr="00585C2D">
        <w:rPr>
          <w:rFonts w:eastAsia="Arial" w:cstheme="minorHAnsi"/>
          <w:spacing w:val="4"/>
        </w:rPr>
        <w:t xml:space="preserve"> </w:t>
      </w:r>
      <w:r w:rsidRPr="00585C2D">
        <w:rPr>
          <w:rFonts w:eastAsia="Arial" w:cstheme="minorHAnsi"/>
          <w:spacing w:val="-1"/>
        </w:rPr>
        <w:t>li</w:t>
      </w:r>
      <w:r w:rsidRPr="00585C2D">
        <w:rPr>
          <w:rFonts w:eastAsia="Arial" w:cstheme="minorHAnsi"/>
          <w:spacing w:val="-2"/>
        </w:rPr>
        <w:t>m</w:t>
      </w:r>
      <w:r w:rsidRPr="00585C2D">
        <w:rPr>
          <w:rFonts w:eastAsia="Arial" w:cstheme="minorHAnsi"/>
          <w:spacing w:val="-1"/>
        </w:rPr>
        <w:t>i</w:t>
      </w:r>
      <w:r w:rsidRPr="00585C2D">
        <w:rPr>
          <w:rFonts w:eastAsia="Arial" w:cstheme="minorHAnsi"/>
          <w:spacing w:val="1"/>
        </w:rPr>
        <w:t>t</w:t>
      </w:r>
      <w:r w:rsidRPr="00585C2D">
        <w:rPr>
          <w:rFonts w:eastAsia="Arial" w:cstheme="minorHAnsi"/>
          <w:spacing w:val="2"/>
        </w:rPr>
        <w:t>e</w:t>
      </w:r>
      <w:r w:rsidRPr="00585C2D">
        <w:rPr>
          <w:rFonts w:eastAsia="Arial" w:cstheme="minorHAnsi"/>
        </w:rPr>
        <w:t>d</w:t>
      </w:r>
      <w:r w:rsidRPr="00585C2D">
        <w:rPr>
          <w:rFonts w:eastAsia="Arial" w:cstheme="minorHAnsi"/>
          <w:spacing w:val="5"/>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10"/>
        </w:rPr>
        <w:t xml:space="preserve"> </w:t>
      </w:r>
      <w:r w:rsidRPr="00585C2D">
        <w:rPr>
          <w:rFonts w:eastAsia="Arial" w:cstheme="minorHAnsi"/>
          <w:spacing w:val="1"/>
        </w:rPr>
        <w:t>t</w:t>
      </w:r>
      <w:r w:rsidRPr="00585C2D">
        <w:rPr>
          <w:rFonts w:eastAsia="Arial" w:cstheme="minorHAnsi"/>
          <w:spacing w:val="-6"/>
        </w:rPr>
        <w:t>r</w:t>
      </w:r>
      <w:r w:rsidRPr="00585C2D">
        <w:rPr>
          <w:rFonts w:eastAsia="Arial" w:cstheme="minorHAnsi"/>
          <w:spacing w:val="2"/>
        </w:rPr>
        <w:t>a</w:t>
      </w:r>
      <w:r w:rsidRPr="00585C2D">
        <w:rPr>
          <w:rFonts w:eastAsia="Arial" w:cstheme="minorHAnsi"/>
        </w:rPr>
        <w:t>v</w:t>
      </w:r>
      <w:r w:rsidRPr="00585C2D">
        <w:rPr>
          <w:rFonts w:eastAsia="Arial" w:cstheme="minorHAnsi"/>
          <w:spacing w:val="2"/>
        </w:rPr>
        <w:t>e</w:t>
      </w:r>
      <w:r w:rsidRPr="00585C2D">
        <w:rPr>
          <w:rFonts w:eastAsia="Arial" w:cstheme="minorHAnsi"/>
          <w:spacing w:val="-1"/>
        </w:rPr>
        <w:t>l</w:t>
      </w:r>
      <w:r w:rsidRPr="00585C2D">
        <w:rPr>
          <w:rFonts w:eastAsia="Arial" w:cstheme="minorHAnsi"/>
        </w:rPr>
        <w:t>,</w:t>
      </w:r>
      <w:r w:rsidRPr="00585C2D">
        <w:rPr>
          <w:rFonts w:eastAsia="Arial" w:cstheme="minorHAnsi"/>
          <w:spacing w:val="4"/>
        </w:rPr>
        <w:t xml:space="preserve"> </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a</w:t>
      </w:r>
      <w:r w:rsidRPr="00585C2D">
        <w:rPr>
          <w:rFonts w:eastAsia="Arial" w:cstheme="minorHAnsi"/>
          <w:spacing w:val="-1"/>
        </w:rPr>
        <w:t>l</w:t>
      </w:r>
      <w:r w:rsidRPr="00585C2D">
        <w:rPr>
          <w:rFonts w:eastAsia="Arial" w:cstheme="minorHAnsi"/>
        </w:rPr>
        <w:t xml:space="preserve">s, </w:t>
      </w:r>
      <w:r w:rsidRPr="00585C2D">
        <w:rPr>
          <w:rFonts w:eastAsia="Arial" w:cstheme="minorHAnsi"/>
          <w:spacing w:val="-2"/>
        </w:rPr>
        <w:t>r</w:t>
      </w:r>
      <w:r w:rsidRPr="00585C2D">
        <w:rPr>
          <w:rFonts w:eastAsia="Arial" w:cstheme="minorHAnsi"/>
          <w:spacing w:val="2"/>
        </w:rPr>
        <w:t>eg</w:t>
      </w:r>
      <w:r w:rsidRPr="00585C2D">
        <w:rPr>
          <w:rFonts w:eastAsia="Arial" w:cstheme="minorHAnsi"/>
          <w:spacing w:val="-1"/>
        </w:rPr>
        <w:t>i</w:t>
      </w:r>
      <w:r w:rsidRPr="00585C2D">
        <w:rPr>
          <w:rFonts w:eastAsia="Arial" w:cstheme="minorHAnsi"/>
        </w:rPr>
        <w:t>s</w:t>
      </w:r>
      <w:r w:rsidRPr="00585C2D">
        <w:rPr>
          <w:rFonts w:eastAsia="Arial" w:cstheme="minorHAnsi"/>
          <w:spacing w:val="1"/>
        </w:rPr>
        <w:t>t</w:t>
      </w:r>
      <w:r w:rsidRPr="00585C2D">
        <w:rPr>
          <w:rFonts w:eastAsia="Arial" w:cstheme="minorHAnsi"/>
          <w:spacing w:val="-2"/>
        </w:rPr>
        <w:t>r</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5"/>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spacing w:val="-3"/>
        </w:rPr>
        <w:t>d</w:t>
      </w:r>
      <w:r w:rsidRPr="00585C2D">
        <w:rPr>
          <w:rFonts w:eastAsia="Arial" w:cstheme="minorHAnsi"/>
          <w:spacing w:val="1"/>
        </w:rPr>
        <w:t>/</w:t>
      </w:r>
      <w:r w:rsidRPr="00585C2D">
        <w:rPr>
          <w:rFonts w:eastAsia="Arial" w:cstheme="minorHAnsi"/>
          <w:spacing w:val="2"/>
        </w:rPr>
        <w:t>o</w:t>
      </w:r>
      <w:r w:rsidRPr="00585C2D">
        <w:rPr>
          <w:rFonts w:eastAsia="Arial" w:cstheme="minorHAnsi"/>
        </w:rPr>
        <w:t>r</w:t>
      </w:r>
      <w:r w:rsidRPr="00585C2D">
        <w:rPr>
          <w:rFonts w:eastAsia="Arial" w:cstheme="minorHAnsi"/>
          <w:spacing w:val="2"/>
        </w:rPr>
        <w:t xml:space="preserve"> pa</w:t>
      </w:r>
      <w:r w:rsidRPr="00585C2D">
        <w:rPr>
          <w:rFonts w:eastAsia="Arial" w:cstheme="minorHAnsi"/>
          <w:spacing w:val="-2"/>
        </w:rPr>
        <w:t>r</w:t>
      </w:r>
      <w:r w:rsidRPr="00585C2D">
        <w:rPr>
          <w:rFonts w:eastAsia="Arial" w:cstheme="minorHAnsi"/>
          <w:spacing w:val="1"/>
        </w:rPr>
        <w:t>t</w:t>
      </w:r>
      <w:r w:rsidRPr="00585C2D">
        <w:rPr>
          <w:rFonts w:eastAsia="Arial" w:cstheme="minorHAnsi"/>
          <w:spacing w:val="-1"/>
        </w:rPr>
        <w:t>i</w:t>
      </w:r>
      <w:r w:rsidRPr="00585C2D">
        <w:rPr>
          <w:rFonts w:eastAsia="Arial" w:cstheme="minorHAnsi"/>
        </w:rPr>
        <w:t>c</w:t>
      </w:r>
      <w:r w:rsidRPr="00585C2D">
        <w:rPr>
          <w:rFonts w:eastAsia="Arial" w:cstheme="minorHAnsi"/>
          <w:spacing w:val="-6"/>
        </w:rPr>
        <w:t>i</w:t>
      </w:r>
      <w:r w:rsidRPr="00585C2D">
        <w:rPr>
          <w:rFonts w:eastAsia="Arial" w:cstheme="minorHAnsi"/>
          <w:spacing w:val="2"/>
        </w:rPr>
        <w:t>p</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o</w:t>
      </w:r>
      <w:r w:rsidRPr="00585C2D">
        <w:rPr>
          <w:rFonts w:eastAsia="Arial" w:cstheme="minorHAnsi"/>
        </w:rPr>
        <w:t>n</w:t>
      </w:r>
      <w:r w:rsidRPr="00585C2D">
        <w:rPr>
          <w:rFonts w:eastAsia="Arial" w:cstheme="minorHAnsi"/>
          <w:spacing w:val="5"/>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5"/>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y</w:t>
      </w:r>
      <w:r w:rsidRPr="00585C2D">
        <w:rPr>
          <w:rFonts w:eastAsia="Arial" w:cstheme="minorHAnsi"/>
          <w:spacing w:val="3"/>
        </w:rPr>
        <w:t xml:space="preserve"> </w:t>
      </w:r>
      <w:r w:rsidRPr="00585C2D">
        <w:rPr>
          <w:rFonts w:eastAsia="Arial" w:cstheme="minorHAnsi"/>
          <w:spacing w:val="2"/>
        </w:rPr>
        <w:t>e</w:t>
      </w:r>
      <w:r w:rsidRPr="00585C2D">
        <w:rPr>
          <w:rFonts w:eastAsia="Arial" w:cstheme="minorHAnsi"/>
          <w:spacing w:val="-5"/>
        </w:rPr>
        <w:t>v</w:t>
      </w:r>
      <w:r w:rsidRPr="00585C2D">
        <w:rPr>
          <w:rFonts w:eastAsia="Arial" w:cstheme="minorHAnsi"/>
          <w:spacing w:val="2"/>
        </w:rPr>
        <w:t>en</w:t>
      </w:r>
      <w:r w:rsidRPr="00585C2D">
        <w:rPr>
          <w:rFonts w:eastAsia="Arial" w:cstheme="minorHAnsi"/>
        </w:rPr>
        <w:t xml:space="preserve">t </w:t>
      </w:r>
      <w:r w:rsidRPr="00585C2D">
        <w:rPr>
          <w:rFonts w:eastAsia="Arial" w:cstheme="minorHAnsi"/>
          <w:spacing w:val="2"/>
        </w:rPr>
        <w:t>p</w:t>
      </w:r>
      <w:r w:rsidRPr="00585C2D">
        <w:rPr>
          <w:rFonts w:eastAsia="Arial" w:cstheme="minorHAnsi"/>
          <w:spacing w:val="-2"/>
        </w:rPr>
        <w:t>r</w:t>
      </w:r>
      <w:r w:rsidRPr="00585C2D">
        <w:rPr>
          <w:rFonts w:eastAsia="Arial" w:cstheme="minorHAnsi"/>
          <w:spacing w:val="2"/>
        </w:rPr>
        <w:t>og</w:t>
      </w:r>
      <w:r w:rsidRPr="00585C2D">
        <w:rPr>
          <w:rFonts w:eastAsia="Arial" w:cstheme="minorHAnsi"/>
          <w:spacing w:val="-6"/>
        </w:rPr>
        <w:t>r</w:t>
      </w:r>
      <w:r w:rsidRPr="00585C2D">
        <w:rPr>
          <w:rFonts w:eastAsia="Arial" w:cstheme="minorHAnsi"/>
          <w:spacing w:val="2"/>
        </w:rPr>
        <w:t>a</w:t>
      </w:r>
      <w:r w:rsidRPr="00585C2D">
        <w:rPr>
          <w:rFonts w:eastAsia="Arial" w:cstheme="minorHAnsi"/>
          <w:spacing w:val="-2"/>
        </w:rPr>
        <w:t>m</w:t>
      </w:r>
      <w:r w:rsidRPr="00585C2D">
        <w:rPr>
          <w:rFonts w:eastAsia="Arial" w:cstheme="minorHAnsi"/>
        </w:rPr>
        <w:t>,</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spacing w:val="-2"/>
        </w:rPr>
        <w:t>r</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7"/>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3"/>
        </w:rPr>
        <w:t>b</w:t>
      </w:r>
      <w:r w:rsidRPr="00585C2D">
        <w:rPr>
          <w:rFonts w:eastAsia="Arial" w:cstheme="minorHAnsi"/>
          <w:spacing w:val="2"/>
        </w:rPr>
        <w:t>o</w:t>
      </w:r>
      <w:r w:rsidRPr="00585C2D">
        <w:rPr>
          <w:rFonts w:eastAsia="Arial" w:cstheme="minorHAnsi"/>
          <w:spacing w:val="-2"/>
        </w:rPr>
        <w:t>r</w:t>
      </w:r>
      <w:r w:rsidRPr="00585C2D">
        <w:rPr>
          <w:rFonts w:eastAsia="Arial" w:cstheme="minorHAnsi"/>
          <w:spacing w:val="2"/>
        </w:rPr>
        <w:t>n</w:t>
      </w:r>
      <w:r w:rsidRPr="00585C2D">
        <w:rPr>
          <w:rFonts w:eastAsia="Arial" w:cstheme="minorHAnsi"/>
        </w:rPr>
        <w:t>e</w:t>
      </w:r>
      <w:r w:rsidRPr="00585C2D">
        <w:rPr>
          <w:rFonts w:eastAsia="Arial" w:cstheme="minorHAnsi"/>
          <w:spacing w:val="-6"/>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8"/>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spacing w:val="-5"/>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w:t>
      </w:r>
      <w:r w:rsidRPr="00585C2D">
        <w:rPr>
          <w:rFonts w:eastAsia="Arial" w:cstheme="minorHAnsi"/>
          <w:spacing w:val="-7"/>
        </w:rPr>
        <w:t xml:space="preserve"> </w:t>
      </w:r>
      <w:r w:rsidRPr="00585C2D">
        <w:rPr>
          <w:rFonts w:eastAsia="Arial" w:cstheme="minorHAnsi"/>
          <w:spacing w:val="-1"/>
        </w:rPr>
        <w:t>C</w:t>
      </w:r>
      <w:r w:rsidRPr="00585C2D">
        <w:rPr>
          <w:rFonts w:eastAsia="Arial" w:cstheme="minorHAnsi"/>
          <w:spacing w:val="1"/>
        </w:rPr>
        <w:t>E</w:t>
      </w:r>
      <w:r w:rsidRPr="00585C2D">
        <w:rPr>
          <w:rFonts w:eastAsia="Arial" w:cstheme="minorHAnsi"/>
        </w:rPr>
        <w:t>O</w:t>
      </w:r>
      <w:r w:rsidRPr="00585C2D">
        <w:rPr>
          <w:rFonts w:eastAsia="Arial" w:cstheme="minorHAnsi"/>
          <w:spacing w:val="-7"/>
        </w:rPr>
        <w:t xml:space="preserve"> </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rPr>
        <w:t>c</w:t>
      </w:r>
      <w:r w:rsidRPr="00585C2D">
        <w:rPr>
          <w:rFonts w:eastAsia="Arial" w:cstheme="minorHAnsi"/>
          <w:spacing w:val="-5"/>
        </w:rPr>
        <w:t>c</w:t>
      </w:r>
      <w:r w:rsidRPr="00585C2D">
        <w:rPr>
          <w:rFonts w:eastAsia="Arial" w:cstheme="minorHAnsi"/>
          <w:spacing w:val="2"/>
        </w:rPr>
        <w:t>o</w:t>
      </w:r>
      <w:r w:rsidRPr="00585C2D">
        <w:rPr>
          <w:rFonts w:eastAsia="Arial" w:cstheme="minorHAnsi"/>
          <w:spacing w:val="-2"/>
        </w:rPr>
        <w:t>m</w:t>
      </w:r>
      <w:r w:rsidRPr="00585C2D">
        <w:rPr>
          <w:rFonts w:eastAsia="Arial" w:cstheme="minorHAnsi"/>
          <w:spacing w:val="2"/>
        </w:rPr>
        <w:t>p</w:t>
      </w:r>
      <w:r w:rsidRPr="00585C2D">
        <w:rPr>
          <w:rFonts w:eastAsia="Arial" w:cstheme="minorHAnsi"/>
          <w:spacing w:val="-3"/>
        </w:rPr>
        <w:t>a</w:t>
      </w:r>
      <w:r w:rsidRPr="00585C2D">
        <w:rPr>
          <w:rFonts w:eastAsia="Arial" w:cstheme="minorHAnsi"/>
          <w:spacing w:val="2"/>
        </w:rPr>
        <w:t>n</w:t>
      </w:r>
      <w:r w:rsidRPr="00585C2D">
        <w:rPr>
          <w:rFonts w:eastAsia="Arial" w:cstheme="minorHAnsi"/>
        </w:rPr>
        <w:t>y</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7"/>
        </w:rPr>
        <w:t xml:space="preserve"> </w:t>
      </w:r>
      <w:r w:rsidRPr="00585C2D">
        <w:rPr>
          <w:rFonts w:eastAsia="Arial" w:cstheme="minorHAnsi"/>
          <w:spacing w:val="2"/>
        </w:rPr>
        <w:t>pe</w:t>
      </w:r>
      <w:r w:rsidRPr="00585C2D">
        <w:rPr>
          <w:rFonts w:eastAsia="Arial" w:cstheme="minorHAnsi"/>
          <w:spacing w:val="-2"/>
        </w:rPr>
        <w:t>r</w:t>
      </w:r>
      <w:r w:rsidRPr="00585C2D">
        <w:rPr>
          <w:rFonts w:eastAsia="Arial" w:cstheme="minorHAnsi"/>
          <w:spacing w:val="-5"/>
        </w:rPr>
        <w:t>s</w:t>
      </w:r>
      <w:r w:rsidRPr="00585C2D">
        <w:rPr>
          <w:rFonts w:eastAsia="Arial" w:cstheme="minorHAnsi"/>
          <w:spacing w:val="2"/>
        </w:rPr>
        <w:t>o</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10"/>
        </w:rPr>
        <w:t xml:space="preserve"> </w:t>
      </w:r>
      <w:r w:rsidRPr="00585C2D">
        <w:rPr>
          <w:rFonts w:eastAsia="Arial" w:cstheme="minorHAnsi"/>
          <w:spacing w:val="2"/>
        </w:rPr>
        <w:t>no</w:t>
      </w:r>
      <w:r w:rsidRPr="00585C2D">
        <w:rPr>
          <w:rFonts w:eastAsia="Arial" w:cstheme="minorHAnsi"/>
        </w:rPr>
        <w:t xml:space="preserve">t </w:t>
      </w:r>
      <w:r w:rsidRPr="00585C2D">
        <w:rPr>
          <w:rFonts w:eastAsia="Arial" w:cstheme="minorHAnsi"/>
          <w:spacing w:val="2"/>
        </w:rPr>
        <w:t>b</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2"/>
        </w:rPr>
        <w:t>pa</w:t>
      </w:r>
      <w:r w:rsidRPr="00585C2D">
        <w:rPr>
          <w:rFonts w:eastAsia="Arial" w:cstheme="minorHAnsi"/>
          <w:spacing w:val="-6"/>
        </w:rPr>
        <w:t>i</w:t>
      </w:r>
      <w:r w:rsidRPr="00585C2D">
        <w:rPr>
          <w:rFonts w:eastAsia="Arial" w:cstheme="minorHAnsi"/>
        </w:rPr>
        <w:t>d</w:t>
      </w:r>
      <w:r w:rsidRPr="00585C2D">
        <w:rPr>
          <w:rFonts w:eastAsia="Arial" w:cstheme="minorHAnsi"/>
          <w:spacing w:val="-1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10"/>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1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1"/>
        </w:rPr>
        <w:t>Town</w:t>
      </w:r>
      <w:r w:rsidRPr="00585C2D">
        <w:rPr>
          <w:rFonts w:eastAsia="Arial" w:cstheme="minorHAnsi"/>
        </w:rPr>
        <w:t>.</w:t>
      </w:r>
      <w:r w:rsidRPr="00585C2D">
        <w:rPr>
          <w:rFonts w:eastAsia="Arial" w:cstheme="minorHAnsi"/>
          <w:spacing w:val="41"/>
        </w:rPr>
        <w:t xml:space="preserve"> </w:t>
      </w:r>
      <w:r w:rsidRPr="00585C2D">
        <w:rPr>
          <w:rFonts w:eastAsia="Arial" w:cstheme="minorHAnsi"/>
        </w:rPr>
        <w:t>T</w:t>
      </w:r>
      <w:r w:rsidRPr="00585C2D">
        <w:rPr>
          <w:rFonts w:eastAsia="Arial" w:cstheme="minorHAnsi"/>
          <w:spacing w:val="-3"/>
        </w:rPr>
        <w:t>h</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2"/>
        </w:rPr>
        <w:t>on</w:t>
      </w:r>
      <w:r w:rsidRPr="00585C2D">
        <w:rPr>
          <w:rFonts w:eastAsia="Arial" w:cstheme="minorHAnsi"/>
          <w:spacing w:val="-1"/>
        </w:rPr>
        <w:t>l</w:t>
      </w:r>
      <w:r w:rsidRPr="00585C2D">
        <w:rPr>
          <w:rFonts w:eastAsia="Arial" w:cstheme="minorHAnsi"/>
        </w:rPr>
        <w:t>y</w:t>
      </w:r>
      <w:r w:rsidRPr="00585C2D">
        <w:rPr>
          <w:rFonts w:eastAsia="Arial" w:cstheme="minorHAnsi"/>
          <w:spacing w:val="-13"/>
        </w:rPr>
        <w:t xml:space="preserve"> </w:t>
      </w:r>
      <w:r w:rsidRPr="00585C2D">
        <w:rPr>
          <w:rFonts w:eastAsia="Arial" w:cstheme="minorHAnsi"/>
          <w:spacing w:val="2"/>
        </w:rPr>
        <w:t>e</w:t>
      </w:r>
      <w:r w:rsidRPr="00585C2D">
        <w:rPr>
          <w:rFonts w:eastAsia="Arial" w:cstheme="minorHAnsi"/>
        </w:rPr>
        <w:t>xc</w:t>
      </w:r>
      <w:r w:rsidRPr="00585C2D">
        <w:rPr>
          <w:rFonts w:eastAsia="Arial" w:cstheme="minorHAnsi"/>
          <w:spacing w:val="-1"/>
        </w:rPr>
        <w:t>l</w:t>
      </w:r>
      <w:r w:rsidRPr="00585C2D">
        <w:rPr>
          <w:rFonts w:eastAsia="Arial" w:cstheme="minorHAnsi"/>
          <w:spacing w:val="2"/>
        </w:rPr>
        <w:t>u</w:t>
      </w:r>
      <w:r w:rsidRPr="00585C2D">
        <w:rPr>
          <w:rFonts w:eastAsia="Arial" w:cstheme="minorHAnsi"/>
        </w:rPr>
        <w:t>s</w:t>
      </w:r>
      <w:r w:rsidRPr="00585C2D">
        <w:rPr>
          <w:rFonts w:eastAsia="Arial" w:cstheme="minorHAnsi"/>
          <w:spacing w:val="-6"/>
        </w:rPr>
        <w:t>i</w:t>
      </w:r>
      <w:r w:rsidRPr="00585C2D">
        <w:rPr>
          <w:rFonts w:eastAsia="Arial" w:cstheme="minorHAnsi"/>
          <w:spacing w:val="2"/>
        </w:rPr>
        <w:t>o</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18"/>
        </w:rPr>
        <w:t xml:space="preserve"> </w:t>
      </w:r>
      <w:r w:rsidRPr="00585C2D">
        <w:rPr>
          <w:rFonts w:eastAsia="Arial" w:cstheme="minorHAnsi"/>
          <w:spacing w:val="6"/>
        </w:rPr>
        <w:t>f</w:t>
      </w:r>
      <w:r w:rsidRPr="00585C2D">
        <w:rPr>
          <w:rFonts w:eastAsia="Arial" w:cstheme="minorHAnsi"/>
          <w:spacing w:val="2"/>
        </w:rPr>
        <w:t>o</w:t>
      </w:r>
      <w:r w:rsidRPr="00585C2D">
        <w:rPr>
          <w:rFonts w:eastAsia="Arial" w:cstheme="minorHAnsi"/>
        </w:rPr>
        <w:t>r</w:t>
      </w:r>
      <w:r w:rsidRPr="00585C2D">
        <w:rPr>
          <w:rFonts w:eastAsia="Arial" w:cstheme="minorHAnsi"/>
          <w:spacing w:val="-15"/>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3"/>
        </w:rPr>
        <w:t>p</w:t>
      </w:r>
      <w:r w:rsidRPr="00585C2D">
        <w:rPr>
          <w:rFonts w:eastAsia="Arial" w:cstheme="minorHAnsi"/>
          <w:spacing w:val="2"/>
        </w:rPr>
        <w:t>a</w:t>
      </w:r>
      <w:r w:rsidRPr="00585C2D">
        <w:rPr>
          <w:rFonts w:eastAsia="Arial" w:cstheme="minorHAnsi"/>
        </w:rPr>
        <w:t>y</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12"/>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8"/>
        </w:rPr>
        <w:t xml:space="preserve"> </w:t>
      </w:r>
      <w:r w:rsidRPr="00585C2D">
        <w:rPr>
          <w:rFonts w:eastAsia="Arial" w:cstheme="minorHAnsi"/>
          <w:spacing w:val="2"/>
        </w:rPr>
        <w:t>a</w:t>
      </w:r>
      <w:r w:rsidRPr="00585C2D">
        <w:rPr>
          <w:rFonts w:eastAsia="Arial" w:cstheme="minorHAnsi"/>
        </w:rPr>
        <w:t>cc</w:t>
      </w:r>
      <w:r w:rsidRPr="00585C2D">
        <w:rPr>
          <w:rFonts w:eastAsia="Arial" w:cstheme="minorHAnsi"/>
          <w:spacing w:val="2"/>
        </w:rPr>
        <w:t>o</w:t>
      </w:r>
      <w:r w:rsidRPr="00585C2D">
        <w:rPr>
          <w:rFonts w:eastAsia="Arial" w:cstheme="minorHAnsi"/>
          <w:spacing w:val="-6"/>
        </w:rPr>
        <w:t>m</w:t>
      </w:r>
      <w:r w:rsidRPr="00585C2D">
        <w:rPr>
          <w:rFonts w:eastAsia="Arial" w:cstheme="minorHAnsi"/>
          <w:spacing w:val="2"/>
        </w:rPr>
        <w:t>p</w:t>
      </w:r>
      <w:r w:rsidRPr="00585C2D">
        <w:rPr>
          <w:rFonts w:eastAsia="Arial" w:cstheme="minorHAnsi"/>
          <w:spacing w:val="-3"/>
        </w:rPr>
        <w:t>a</w:t>
      </w:r>
      <w:r w:rsidRPr="00585C2D">
        <w:rPr>
          <w:rFonts w:eastAsia="Arial" w:cstheme="minorHAnsi"/>
          <w:spacing w:val="2"/>
        </w:rPr>
        <w:t>n</w:t>
      </w:r>
      <w:r w:rsidRPr="00585C2D">
        <w:rPr>
          <w:rFonts w:eastAsia="Arial" w:cstheme="minorHAnsi"/>
        </w:rPr>
        <w:t>y</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7"/>
        </w:rPr>
        <w:t xml:space="preserve"> </w:t>
      </w:r>
      <w:r w:rsidRPr="00585C2D">
        <w:rPr>
          <w:rFonts w:eastAsia="Arial" w:cstheme="minorHAnsi"/>
          <w:spacing w:val="-3"/>
        </w:rPr>
        <w:t>p</w:t>
      </w:r>
      <w:r w:rsidRPr="00585C2D">
        <w:rPr>
          <w:rFonts w:eastAsia="Arial" w:cstheme="minorHAnsi"/>
          <w:spacing w:val="2"/>
        </w:rPr>
        <w:t>e</w:t>
      </w:r>
      <w:r w:rsidRPr="00585C2D">
        <w:rPr>
          <w:rFonts w:eastAsia="Arial" w:cstheme="minorHAnsi"/>
          <w:spacing w:val="-2"/>
        </w:rPr>
        <w:t>r</w:t>
      </w:r>
      <w:r w:rsidRPr="00585C2D">
        <w:rPr>
          <w:rFonts w:eastAsia="Arial" w:cstheme="minorHAnsi"/>
        </w:rPr>
        <w:t>s</w:t>
      </w:r>
      <w:r w:rsidRPr="00585C2D">
        <w:rPr>
          <w:rFonts w:eastAsia="Arial" w:cstheme="minorHAnsi"/>
          <w:spacing w:val="-3"/>
        </w:rPr>
        <w:t>o</w:t>
      </w:r>
      <w:r w:rsidRPr="00585C2D">
        <w:rPr>
          <w:rFonts w:eastAsia="Arial" w:cstheme="minorHAnsi"/>
          <w:spacing w:val="2"/>
        </w:rPr>
        <w:t>n</w:t>
      </w:r>
      <w:r w:rsidRPr="00585C2D">
        <w:rPr>
          <w:rFonts w:eastAsia="Arial" w:cstheme="minorHAnsi"/>
        </w:rPr>
        <w:t>s</w:t>
      </w:r>
      <w:r w:rsidRPr="00585C2D">
        <w:rPr>
          <w:rFonts w:eastAsia="Arial" w:cstheme="minorHAnsi"/>
          <w:spacing w:val="-8"/>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12"/>
        </w:rPr>
        <w:t xml:space="preserve"> </w:t>
      </w:r>
      <w:r w:rsidRPr="00585C2D">
        <w:rPr>
          <w:rFonts w:eastAsia="Arial" w:cstheme="minorHAnsi"/>
          <w:spacing w:val="2"/>
        </w:rPr>
        <w:t>a</w:t>
      </w:r>
      <w:r w:rsidRPr="00585C2D">
        <w:rPr>
          <w:rFonts w:eastAsia="Arial" w:cstheme="minorHAnsi"/>
          <w:spacing w:val="1"/>
        </w:rPr>
        <w:t>t</w:t>
      </w:r>
      <w:r w:rsidRPr="00585C2D">
        <w:rPr>
          <w:rFonts w:eastAsia="Arial" w:cstheme="minorHAnsi"/>
          <w:spacing w:val="-4"/>
        </w:rPr>
        <w:t>t</w:t>
      </w:r>
      <w:r w:rsidRPr="00585C2D">
        <w:rPr>
          <w:rFonts w:eastAsia="Arial" w:cstheme="minorHAnsi"/>
          <w:spacing w:val="2"/>
        </w:rPr>
        <w:t>e</w:t>
      </w:r>
      <w:r w:rsidRPr="00585C2D">
        <w:rPr>
          <w:rFonts w:eastAsia="Arial" w:cstheme="minorHAnsi"/>
          <w:spacing w:val="-3"/>
        </w:rPr>
        <w:t>n</w:t>
      </w:r>
      <w:r w:rsidRPr="00585C2D">
        <w:rPr>
          <w:rFonts w:eastAsia="Arial" w:cstheme="minorHAnsi"/>
        </w:rPr>
        <w:t xml:space="preserve">d </w:t>
      </w:r>
      <w:r w:rsidRPr="00585C2D">
        <w:rPr>
          <w:rFonts w:eastAsia="Arial" w:cstheme="minorHAnsi"/>
          <w:spacing w:val="1"/>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3"/>
        </w:rPr>
        <w:t>on</w:t>
      </w:r>
      <w:r w:rsidRPr="00585C2D">
        <w:rPr>
          <w:rFonts w:eastAsia="Arial" w:cstheme="minorHAnsi"/>
          <w:spacing w:val="6"/>
        </w:rPr>
        <w:t>f</w:t>
      </w:r>
      <w:r w:rsidRPr="00585C2D">
        <w:rPr>
          <w:rFonts w:eastAsia="Arial" w:cstheme="minorHAnsi"/>
          <w:spacing w:val="2"/>
        </w:rPr>
        <w:t>e</w:t>
      </w:r>
      <w:r w:rsidRPr="00585C2D">
        <w:rPr>
          <w:rFonts w:eastAsia="Arial" w:cstheme="minorHAnsi"/>
          <w:spacing w:val="-6"/>
        </w:rPr>
        <w:t>r</w:t>
      </w:r>
      <w:r w:rsidRPr="00585C2D">
        <w:rPr>
          <w:rFonts w:eastAsia="Arial" w:cstheme="minorHAnsi"/>
          <w:spacing w:val="2"/>
        </w:rPr>
        <w:t>en</w:t>
      </w:r>
      <w:r w:rsidRPr="00585C2D">
        <w:rPr>
          <w:rFonts w:eastAsia="Arial" w:cstheme="minorHAnsi"/>
          <w:spacing w:val="-5"/>
        </w:rPr>
        <w:t>c</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d</w:t>
      </w:r>
      <w:r w:rsidRPr="00585C2D">
        <w:rPr>
          <w:rFonts w:eastAsia="Arial" w:cstheme="minorHAnsi"/>
          <w:spacing w:val="-1"/>
        </w:rPr>
        <w:t>i</w:t>
      </w:r>
      <w:r w:rsidRPr="00585C2D">
        <w:rPr>
          <w:rFonts w:eastAsia="Arial" w:cstheme="minorHAnsi"/>
          <w:spacing w:val="2"/>
        </w:rPr>
        <w:t>n</w:t>
      </w:r>
      <w:r w:rsidRPr="00585C2D">
        <w:rPr>
          <w:rFonts w:eastAsia="Arial" w:cstheme="minorHAnsi"/>
          <w:spacing w:val="-3"/>
        </w:rPr>
        <w:t>n</w:t>
      </w:r>
      <w:r w:rsidRPr="00585C2D">
        <w:rPr>
          <w:rFonts w:eastAsia="Arial" w:cstheme="minorHAnsi"/>
          <w:spacing w:val="2"/>
        </w:rPr>
        <w:t>e</w:t>
      </w:r>
      <w:r w:rsidRPr="00585C2D">
        <w:rPr>
          <w:rFonts w:eastAsia="Arial" w:cstheme="minorHAnsi"/>
          <w:spacing w:val="-2"/>
        </w:rPr>
        <w:t>r</w:t>
      </w:r>
      <w:r w:rsidRPr="00585C2D">
        <w:rPr>
          <w:rFonts w:eastAsia="Arial" w:cstheme="minorHAnsi"/>
        </w:rPr>
        <w:t>,</w:t>
      </w:r>
      <w:r w:rsidRPr="00585C2D">
        <w:rPr>
          <w:rFonts w:eastAsia="Arial" w:cstheme="minorHAnsi"/>
          <w:spacing w:val="2"/>
        </w:rPr>
        <w:t xml:space="preserve"> </w:t>
      </w:r>
      <w:r w:rsidRPr="00585C2D">
        <w:rPr>
          <w:rFonts w:eastAsia="Arial" w:cstheme="minorHAnsi"/>
          <w:spacing w:val="-1"/>
        </w:rPr>
        <w:t>wi</w:t>
      </w:r>
      <w:r w:rsidRPr="00585C2D">
        <w:rPr>
          <w:rFonts w:eastAsia="Arial" w:cstheme="minorHAnsi"/>
          <w:spacing w:val="-4"/>
        </w:rPr>
        <w:t>t</w:t>
      </w:r>
      <w:r w:rsidRPr="00585C2D">
        <w:rPr>
          <w:rFonts w:eastAsia="Arial" w:cstheme="minorHAnsi"/>
        </w:rPr>
        <w:t>h</w:t>
      </w:r>
      <w:r w:rsidRPr="00585C2D">
        <w:rPr>
          <w:rFonts w:eastAsia="Arial" w:cstheme="minorHAnsi"/>
          <w:spacing w:val="3"/>
        </w:rPr>
        <w:t xml:space="preserve"> </w:t>
      </w:r>
      <w:r w:rsidRPr="00585C2D">
        <w:rPr>
          <w:rFonts w:eastAsia="Arial" w:cstheme="minorHAnsi"/>
          <w:spacing w:val="-5"/>
        </w:rPr>
        <w:t>s</w:t>
      </w:r>
      <w:r w:rsidRPr="00585C2D">
        <w:rPr>
          <w:rFonts w:eastAsia="Arial" w:cstheme="minorHAnsi"/>
          <w:spacing w:val="2"/>
        </w:rPr>
        <w:t>u</w:t>
      </w:r>
      <w:r w:rsidRPr="00585C2D">
        <w:rPr>
          <w:rFonts w:eastAsia="Arial" w:cstheme="minorHAnsi"/>
        </w:rPr>
        <w:t>ch</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2"/>
        </w:rPr>
        <w:t>o</w:t>
      </w:r>
      <w:r w:rsidRPr="00585C2D">
        <w:rPr>
          <w:rFonts w:eastAsia="Arial" w:cstheme="minorHAnsi"/>
        </w:rPr>
        <w:t>s</w:t>
      </w:r>
      <w:r w:rsidRPr="00585C2D">
        <w:rPr>
          <w:rFonts w:eastAsia="Arial" w:cstheme="minorHAnsi"/>
          <w:spacing w:val="-4"/>
        </w:rPr>
        <w:t>t</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1"/>
        </w:rPr>
        <w:t>wil</w:t>
      </w:r>
      <w:r w:rsidRPr="00585C2D">
        <w:rPr>
          <w:rFonts w:eastAsia="Arial" w:cstheme="minorHAnsi"/>
        </w:rPr>
        <w:t xml:space="preserve">l </w:t>
      </w:r>
      <w:r w:rsidRPr="00585C2D">
        <w:rPr>
          <w:rFonts w:eastAsia="Arial" w:cstheme="minorHAnsi"/>
          <w:spacing w:val="2"/>
        </w:rPr>
        <w:t>b</w:t>
      </w:r>
      <w:r w:rsidRPr="00585C2D">
        <w:rPr>
          <w:rFonts w:eastAsia="Arial" w:cstheme="minorHAnsi"/>
        </w:rPr>
        <w:t>e</w:t>
      </w:r>
      <w:r w:rsidRPr="00585C2D">
        <w:rPr>
          <w:rFonts w:eastAsia="Arial" w:cstheme="minorHAnsi"/>
          <w:spacing w:val="-2"/>
        </w:rPr>
        <w:t xml:space="preserve"> m</w:t>
      </w:r>
      <w:r w:rsidRPr="00585C2D">
        <w:rPr>
          <w:rFonts w:eastAsia="Arial" w:cstheme="minorHAnsi"/>
          <w:spacing w:val="2"/>
        </w:rPr>
        <w:t>e</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1"/>
        </w:rPr>
        <w:t>Town</w:t>
      </w:r>
      <w:r w:rsidRPr="00585C2D">
        <w:rPr>
          <w:rFonts w:eastAsia="Arial" w:cstheme="minorHAnsi"/>
        </w:rPr>
        <w:t>.</w:t>
      </w:r>
    </w:p>
    <w:p w14:paraId="58083A89" w14:textId="77777777" w:rsidR="00FC0CF1" w:rsidRPr="00F523B6" w:rsidRDefault="00FC0CF1" w:rsidP="00FC0CF1">
      <w:pPr>
        <w:spacing w:after="0" w:line="240" w:lineRule="auto"/>
        <w:ind w:left="851" w:right="-20" w:hanging="425"/>
        <w:rPr>
          <w:rFonts w:eastAsia="Arial" w:cstheme="minorHAnsi"/>
          <w:u w:val="single"/>
        </w:rPr>
      </w:pPr>
      <w:r>
        <w:rPr>
          <w:rFonts w:eastAsia="Arial" w:cstheme="minorHAnsi"/>
          <w:bCs/>
          <w:spacing w:val="1"/>
          <w:u w:val="single"/>
        </w:rPr>
        <w:t>5</w:t>
      </w:r>
      <w:r w:rsidRPr="00F523B6">
        <w:rPr>
          <w:rFonts w:eastAsia="Arial" w:cstheme="minorHAnsi"/>
          <w:bCs/>
          <w:spacing w:val="1"/>
          <w:u w:val="single"/>
        </w:rPr>
        <w:t>.</w:t>
      </w:r>
      <w:r w:rsidRPr="00F523B6">
        <w:rPr>
          <w:rFonts w:eastAsia="Arial" w:cstheme="minorHAnsi"/>
          <w:bCs/>
          <w:u w:val="single"/>
        </w:rPr>
        <w:t>1</w:t>
      </w:r>
      <w:r w:rsidRPr="00F523B6">
        <w:rPr>
          <w:rFonts w:eastAsia="Arial" w:cstheme="minorHAnsi"/>
          <w:bCs/>
          <w:spacing w:val="-11"/>
          <w:u w:val="single"/>
        </w:rPr>
        <w:tab/>
      </w:r>
      <w:r w:rsidRPr="00F523B6">
        <w:rPr>
          <w:rFonts w:eastAsia="Arial" w:cstheme="minorHAnsi"/>
          <w:bCs/>
          <w:spacing w:val="-1"/>
          <w:u w:val="single"/>
        </w:rPr>
        <w:t>C</w:t>
      </w:r>
      <w:r w:rsidRPr="00F523B6">
        <w:rPr>
          <w:rFonts w:eastAsia="Arial" w:cstheme="minorHAnsi"/>
          <w:bCs/>
          <w:spacing w:val="-4"/>
          <w:u w:val="single"/>
        </w:rPr>
        <w:t>l</w:t>
      </w:r>
      <w:r w:rsidRPr="00F523B6">
        <w:rPr>
          <w:rFonts w:eastAsia="Arial" w:cstheme="minorHAnsi"/>
          <w:bCs/>
          <w:spacing w:val="2"/>
          <w:u w:val="single"/>
        </w:rPr>
        <w:t>a</w:t>
      </w:r>
      <w:r w:rsidRPr="00F523B6">
        <w:rPr>
          <w:rFonts w:eastAsia="Arial" w:cstheme="minorHAnsi"/>
          <w:bCs/>
          <w:spacing w:val="1"/>
          <w:u w:val="single"/>
        </w:rPr>
        <w:t>i</w:t>
      </w:r>
      <w:r w:rsidRPr="00F523B6">
        <w:rPr>
          <w:rFonts w:eastAsia="Arial" w:cstheme="minorHAnsi"/>
          <w:bCs/>
          <w:u w:val="single"/>
        </w:rPr>
        <w:t>m</w:t>
      </w:r>
      <w:r w:rsidRPr="00F523B6">
        <w:rPr>
          <w:rFonts w:eastAsia="Arial" w:cstheme="minorHAnsi"/>
          <w:bCs/>
          <w:spacing w:val="-3"/>
          <w:u w:val="single"/>
        </w:rPr>
        <w:t>i</w:t>
      </w:r>
      <w:r w:rsidRPr="00F523B6">
        <w:rPr>
          <w:rFonts w:eastAsia="Arial" w:cstheme="minorHAnsi"/>
          <w:bCs/>
          <w:u w:val="single"/>
        </w:rPr>
        <w:t>ng</w:t>
      </w:r>
      <w:r w:rsidRPr="00F523B6">
        <w:rPr>
          <w:rFonts w:eastAsia="Arial" w:cstheme="minorHAnsi"/>
          <w:bCs/>
          <w:spacing w:val="1"/>
          <w:u w:val="single"/>
        </w:rPr>
        <w:t xml:space="preserve"> </w:t>
      </w:r>
      <w:r w:rsidRPr="00F523B6">
        <w:rPr>
          <w:rFonts w:eastAsia="Arial" w:cstheme="minorHAnsi"/>
          <w:bCs/>
          <w:spacing w:val="2"/>
          <w:u w:val="single"/>
        </w:rPr>
        <w:t>Ex</w:t>
      </w:r>
      <w:r w:rsidRPr="00F523B6">
        <w:rPr>
          <w:rFonts w:eastAsia="Arial" w:cstheme="minorHAnsi"/>
          <w:bCs/>
          <w:u w:val="single"/>
        </w:rPr>
        <w:t>p</w:t>
      </w:r>
      <w:r w:rsidRPr="00F523B6">
        <w:rPr>
          <w:rFonts w:eastAsia="Arial" w:cstheme="minorHAnsi"/>
          <w:bCs/>
          <w:spacing w:val="1"/>
          <w:u w:val="single"/>
        </w:rPr>
        <w:t>e</w:t>
      </w:r>
      <w:r w:rsidRPr="00F523B6">
        <w:rPr>
          <w:rFonts w:eastAsia="Arial" w:cstheme="minorHAnsi"/>
          <w:bCs/>
          <w:u w:val="single"/>
        </w:rPr>
        <w:t>n</w:t>
      </w:r>
      <w:r w:rsidRPr="00F523B6">
        <w:rPr>
          <w:rFonts w:eastAsia="Arial" w:cstheme="minorHAnsi"/>
          <w:bCs/>
          <w:spacing w:val="-3"/>
          <w:u w:val="single"/>
        </w:rPr>
        <w:t>s</w:t>
      </w:r>
      <w:r w:rsidRPr="00F523B6">
        <w:rPr>
          <w:rFonts w:eastAsia="Arial" w:cstheme="minorHAnsi"/>
          <w:bCs/>
          <w:spacing w:val="2"/>
          <w:u w:val="single"/>
        </w:rPr>
        <w:t>e</w:t>
      </w:r>
      <w:r w:rsidRPr="00F523B6">
        <w:rPr>
          <w:rFonts w:eastAsia="Arial" w:cstheme="minorHAnsi"/>
          <w:bCs/>
          <w:u w:val="single"/>
        </w:rPr>
        <w:t>s</w:t>
      </w:r>
    </w:p>
    <w:p w14:paraId="4EBA7E66" w14:textId="77777777" w:rsidR="00FC0CF1" w:rsidRPr="00585C2D" w:rsidRDefault="00FC0CF1" w:rsidP="00FC0CF1">
      <w:pPr>
        <w:spacing w:after="120" w:line="241" w:lineRule="auto"/>
        <w:ind w:left="1276" w:right="-46" w:hanging="425"/>
        <w:jc w:val="both"/>
        <w:rPr>
          <w:rFonts w:eastAsia="Arial" w:cstheme="minorHAnsi"/>
        </w:rPr>
      </w:pPr>
      <w:r w:rsidRPr="00585C2D">
        <w:rPr>
          <w:rFonts w:eastAsia="Arial" w:cstheme="minorHAnsi"/>
          <w:spacing w:val="2"/>
        </w:rPr>
        <w:t>a</w:t>
      </w:r>
      <w:r>
        <w:rPr>
          <w:rFonts w:eastAsia="Arial" w:cstheme="minorHAnsi"/>
        </w:rPr>
        <w:t>.</w:t>
      </w:r>
      <w:r>
        <w:rPr>
          <w:rFonts w:eastAsia="Arial" w:cstheme="minorHAnsi"/>
        </w:rPr>
        <w:tab/>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14"/>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11"/>
        </w:rPr>
        <w:t xml:space="preserve"> </w:t>
      </w:r>
      <w:r w:rsidRPr="00585C2D">
        <w:rPr>
          <w:rFonts w:eastAsia="Arial" w:cstheme="minorHAnsi"/>
          <w:spacing w:val="2"/>
        </w:rPr>
        <w:t>a</w:t>
      </w:r>
      <w:r w:rsidRPr="00585C2D">
        <w:rPr>
          <w:rFonts w:eastAsia="Arial" w:cstheme="minorHAnsi"/>
          <w:spacing w:val="-2"/>
        </w:rPr>
        <w:t>r</w:t>
      </w:r>
      <w:r w:rsidRPr="00585C2D">
        <w:rPr>
          <w:rFonts w:eastAsia="Arial" w:cstheme="minorHAnsi"/>
        </w:rPr>
        <w:t>e</w:t>
      </w:r>
      <w:r w:rsidRPr="00585C2D">
        <w:rPr>
          <w:rFonts w:eastAsia="Arial" w:cstheme="minorHAnsi"/>
          <w:spacing w:val="13"/>
        </w:rPr>
        <w:t xml:space="preserve"> </w:t>
      </w:r>
      <w:r w:rsidRPr="00585C2D">
        <w:rPr>
          <w:rFonts w:eastAsia="Arial" w:cstheme="minorHAnsi"/>
          <w:spacing w:val="-3"/>
        </w:rPr>
        <w:t>a</w:t>
      </w:r>
      <w:r w:rsidRPr="00585C2D">
        <w:rPr>
          <w:rFonts w:eastAsia="Arial" w:cstheme="minorHAnsi"/>
          <w:spacing w:val="2"/>
        </w:rPr>
        <w:t>d</w:t>
      </w:r>
      <w:r w:rsidRPr="00585C2D">
        <w:rPr>
          <w:rFonts w:eastAsia="Arial" w:cstheme="minorHAnsi"/>
        </w:rPr>
        <w:t>v</w:t>
      </w:r>
      <w:r w:rsidRPr="00585C2D">
        <w:rPr>
          <w:rFonts w:eastAsia="Arial" w:cstheme="minorHAnsi"/>
          <w:spacing w:val="-1"/>
        </w:rPr>
        <w:t>i</w:t>
      </w:r>
      <w:r w:rsidRPr="00585C2D">
        <w:rPr>
          <w:rFonts w:eastAsia="Arial" w:cstheme="minorHAnsi"/>
        </w:rPr>
        <w:t>s</w:t>
      </w:r>
      <w:r w:rsidRPr="00585C2D">
        <w:rPr>
          <w:rFonts w:eastAsia="Arial" w:cstheme="minorHAnsi"/>
          <w:spacing w:val="-3"/>
        </w:rPr>
        <w:t>e</w:t>
      </w:r>
      <w:r w:rsidRPr="00585C2D">
        <w:rPr>
          <w:rFonts w:eastAsia="Arial" w:cstheme="minorHAnsi"/>
        </w:rPr>
        <w:t>d</w:t>
      </w:r>
      <w:r w:rsidRPr="00585C2D">
        <w:rPr>
          <w:rFonts w:eastAsia="Arial" w:cstheme="minorHAnsi"/>
          <w:spacing w:val="1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spacing w:val="-3"/>
        </w:rPr>
        <w:t>a</w:t>
      </w:r>
      <w:r w:rsidRPr="00585C2D">
        <w:rPr>
          <w:rFonts w:eastAsia="Arial" w:cstheme="minorHAnsi"/>
        </w:rPr>
        <w:t>t</w:t>
      </w:r>
      <w:r w:rsidRPr="00585C2D">
        <w:rPr>
          <w:rFonts w:eastAsia="Arial" w:cstheme="minorHAnsi"/>
          <w:spacing w:val="16"/>
        </w:rPr>
        <w:t xml:space="preserve"> </w:t>
      </w:r>
      <w:r w:rsidRPr="00585C2D">
        <w:rPr>
          <w:rFonts w:eastAsia="Arial" w:cstheme="minorHAnsi"/>
          <w:spacing w:val="-5"/>
        </w:rPr>
        <w:t>c</w:t>
      </w:r>
      <w:r w:rsidRPr="00585C2D">
        <w:rPr>
          <w:rFonts w:eastAsia="Arial" w:cstheme="minorHAnsi"/>
          <w:spacing w:val="2"/>
        </w:rPr>
        <w:t>a</w:t>
      </w:r>
      <w:r w:rsidRPr="00585C2D">
        <w:rPr>
          <w:rFonts w:eastAsia="Arial" w:cstheme="minorHAnsi"/>
          <w:spacing w:val="-2"/>
        </w:rPr>
        <w:t>r</w:t>
      </w:r>
      <w:r w:rsidRPr="00585C2D">
        <w:rPr>
          <w:rFonts w:eastAsia="Arial" w:cstheme="minorHAnsi"/>
        </w:rPr>
        <w:t>e</w:t>
      </w:r>
      <w:r w:rsidRPr="00585C2D">
        <w:rPr>
          <w:rFonts w:eastAsia="Arial" w:cstheme="minorHAnsi"/>
          <w:spacing w:val="13"/>
        </w:rPr>
        <w:t xml:space="preserve"> </w:t>
      </w:r>
      <w:r w:rsidRPr="00585C2D">
        <w:rPr>
          <w:rFonts w:eastAsia="Arial" w:cstheme="minorHAnsi"/>
          <w:spacing w:val="-3"/>
        </w:rPr>
        <w:t>n</w:t>
      </w:r>
      <w:r w:rsidRPr="00585C2D">
        <w:rPr>
          <w:rFonts w:eastAsia="Arial" w:cstheme="minorHAnsi"/>
          <w:spacing w:val="2"/>
        </w:rPr>
        <w:t>e</w:t>
      </w:r>
      <w:r w:rsidRPr="00585C2D">
        <w:rPr>
          <w:rFonts w:eastAsia="Arial" w:cstheme="minorHAnsi"/>
          <w:spacing w:val="-3"/>
        </w:rPr>
        <w:t>e</w:t>
      </w:r>
      <w:r w:rsidRPr="00585C2D">
        <w:rPr>
          <w:rFonts w:eastAsia="Arial" w:cstheme="minorHAnsi"/>
          <w:spacing w:val="2"/>
        </w:rPr>
        <w:t>d</w:t>
      </w:r>
      <w:r w:rsidRPr="00585C2D">
        <w:rPr>
          <w:rFonts w:eastAsia="Arial" w:cstheme="minorHAnsi"/>
        </w:rPr>
        <w:t>s</w:t>
      </w:r>
      <w:r w:rsidRPr="00585C2D">
        <w:rPr>
          <w:rFonts w:eastAsia="Arial" w:cstheme="minorHAnsi"/>
          <w:spacing w:val="15"/>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8"/>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13"/>
        </w:rPr>
        <w:t xml:space="preserve"> </w:t>
      </w:r>
      <w:r w:rsidRPr="00585C2D">
        <w:rPr>
          <w:rFonts w:eastAsia="Arial" w:cstheme="minorHAnsi"/>
          <w:spacing w:val="1"/>
        </w:rPr>
        <w:t>t</w:t>
      </w:r>
      <w:r w:rsidRPr="00585C2D">
        <w:rPr>
          <w:rFonts w:eastAsia="Arial" w:cstheme="minorHAnsi"/>
          <w:spacing w:val="2"/>
        </w:rPr>
        <w:t>a</w:t>
      </w:r>
      <w:r w:rsidRPr="00585C2D">
        <w:rPr>
          <w:rFonts w:eastAsia="Arial" w:cstheme="minorHAnsi"/>
          <w:spacing w:val="-5"/>
        </w:rPr>
        <w:t>k</w:t>
      </w:r>
      <w:r w:rsidRPr="00585C2D">
        <w:rPr>
          <w:rFonts w:eastAsia="Arial" w:cstheme="minorHAnsi"/>
          <w:spacing w:val="2"/>
        </w:rPr>
        <w:t>e</w:t>
      </w:r>
      <w:r w:rsidRPr="00585C2D">
        <w:rPr>
          <w:rFonts w:eastAsia="Arial" w:cstheme="minorHAnsi"/>
        </w:rPr>
        <w:t>n</w:t>
      </w:r>
      <w:r w:rsidRPr="00585C2D">
        <w:rPr>
          <w:rFonts w:eastAsia="Arial" w:cstheme="minorHAnsi"/>
          <w:spacing w:val="13"/>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13"/>
        </w:rPr>
        <w:t xml:space="preserve"> </w:t>
      </w:r>
      <w:r w:rsidRPr="00585C2D">
        <w:rPr>
          <w:rFonts w:eastAsia="Arial" w:cstheme="minorHAnsi"/>
          <w:spacing w:val="-2"/>
        </w:rPr>
        <w:t>m</w:t>
      </w:r>
      <w:r w:rsidRPr="00585C2D">
        <w:rPr>
          <w:rFonts w:eastAsia="Arial" w:cstheme="minorHAnsi"/>
          <w:spacing w:val="2"/>
        </w:rPr>
        <w:t>a</w:t>
      </w:r>
      <w:r w:rsidRPr="00585C2D">
        <w:rPr>
          <w:rFonts w:eastAsia="Arial" w:cstheme="minorHAnsi"/>
        </w:rPr>
        <w:t>k</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13"/>
        </w:rPr>
        <w:t xml:space="preserve"> </w:t>
      </w:r>
      <w:r w:rsidRPr="00585C2D">
        <w:rPr>
          <w:rFonts w:eastAsia="Arial" w:cstheme="minorHAnsi"/>
          <w:spacing w:val="-3"/>
        </w:rPr>
        <w:t>a</w:t>
      </w:r>
      <w:r w:rsidRPr="00585C2D">
        <w:rPr>
          <w:rFonts w:eastAsia="Arial" w:cstheme="minorHAnsi"/>
          <w:spacing w:val="2"/>
        </w:rPr>
        <w:t>pp</w:t>
      </w:r>
      <w:r w:rsidRPr="00585C2D">
        <w:rPr>
          <w:rFonts w:eastAsia="Arial" w:cstheme="minorHAnsi"/>
          <w:spacing w:val="-1"/>
        </w:rPr>
        <w:t>li</w:t>
      </w:r>
      <w:r w:rsidRPr="00585C2D">
        <w:rPr>
          <w:rFonts w:eastAsia="Arial" w:cstheme="minorHAnsi"/>
        </w:rPr>
        <w:t>c</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rPr>
        <w:t>n</w:t>
      </w:r>
      <w:r w:rsidRPr="00585C2D">
        <w:rPr>
          <w:rFonts w:eastAsia="Arial" w:cstheme="minorHAnsi"/>
          <w:spacing w:val="1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14"/>
        </w:rPr>
        <w:t xml:space="preserve"> </w:t>
      </w:r>
      <w:r w:rsidRPr="00585C2D">
        <w:rPr>
          <w:rFonts w:eastAsia="Arial" w:cstheme="minorHAnsi"/>
        </w:rPr>
        <w:t>c</w:t>
      </w:r>
      <w:r w:rsidRPr="00585C2D">
        <w:rPr>
          <w:rFonts w:eastAsia="Arial" w:cstheme="minorHAnsi"/>
          <w:spacing w:val="-6"/>
        </w:rPr>
        <w:t>l</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m</w:t>
      </w:r>
      <w:r w:rsidRPr="00585C2D">
        <w:rPr>
          <w:rFonts w:eastAsia="Arial" w:cstheme="minorHAnsi"/>
        </w:rPr>
        <w:t>s</w:t>
      </w:r>
      <w:r w:rsidRPr="00585C2D">
        <w:rPr>
          <w:rFonts w:eastAsia="Arial" w:cstheme="minorHAnsi"/>
          <w:spacing w:val="11"/>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2"/>
        </w:rPr>
        <w:t>r</w:t>
      </w:r>
      <w:r w:rsidRPr="00585C2D">
        <w:rPr>
          <w:rFonts w:eastAsia="Arial" w:cstheme="minorHAnsi"/>
          <w:spacing w:val="2"/>
        </w:rPr>
        <w:t>e</w:t>
      </w:r>
      <w:r w:rsidRPr="00585C2D">
        <w:rPr>
          <w:rFonts w:eastAsia="Arial" w:cstheme="minorHAnsi"/>
          <w:spacing w:val="-1"/>
        </w:rPr>
        <w:t>i</w:t>
      </w:r>
      <w:r w:rsidRPr="00585C2D">
        <w:rPr>
          <w:rFonts w:eastAsia="Arial" w:cstheme="minorHAnsi"/>
          <w:spacing w:val="-2"/>
        </w:rPr>
        <w:t>m</w:t>
      </w:r>
      <w:r w:rsidRPr="00585C2D">
        <w:rPr>
          <w:rFonts w:eastAsia="Arial" w:cstheme="minorHAnsi"/>
          <w:spacing w:val="2"/>
        </w:rPr>
        <w:t>bu</w:t>
      </w:r>
      <w:r w:rsidRPr="00585C2D">
        <w:rPr>
          <w:rFonts w:eastAsia="Arial" w:cstheme="minorHAnsi"/>
          <w:spacing w:val="-2"/>
        </w:rPr>
        <w:t>r</w:t>
      </w:r>
      <w:r w:rsidRPr="00585C2D">
        <w:rPr>
          <w:rFonts w:eastAsia="Arial" w:cstheme="minorHAnsi"/>
        </w:rPr>
        <w:t>s</w:t>
      </w:r>
      <w:r w:rsidRPr="00585C2D">
        <w:rPr>
          <w:rFonts w:eastAsia="Arial" w:cstheme="minorHAnsi"/>
          <w:spacing w:val="2"/>
        </w:rPr>
        <w:t>e</w:t>
      </w:r>
      <w:r w:rsidRPr="00585C2D">
        <w:rPr>
          <w:rFonts w:eastAsia="Arial" w:cstheme="minorHAnsi"/>
          <w:spacing w:val="-6"/>
        </w:rPr>
        <w:t>m</w:t>
      </w:r>
      <w:r w:rsidRPr="00585C2D">
        <w:rPr>
          <w:rFonts w:eastAsia="Arial" w:cstheme="minorHAnsi"/>
          <w:spacing w:val="2"/>
        </w:rPr>
        <w:t>en</w:t>
      </w:r>
      <w:r w:rsidRPr="00585C2D">
        <w:rPr>
          <w:rFonts w:eastAsia="Arial" w:cstheme="minorHAnsi"/>
        </w:rPr>
        <w:t>t</w:t>
      </w:r>
      <w:r w:rsidRPr="00585C2D">
        <w:rPr>
          <w:rFonts w:eastAsia="Arial" w:cstheme="minorHAnsi"/>
          <w:spacing w:val="1"/>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6"/>
        </w:rPr>
        <w:t xml:space="preserve"> </w:t>
      </w:r>
      <w:r w:rsidRPr="00585C2D">
        <w:rPr>
          <w:rFonts w:eastAsia="Arial" w:cstheme="minorHAnsi"/>
          <w:spacing w:val="2"/>
        </w:rPr>
        <w:t>e</w:t>
      </w:r>
      <w:r w:rsidRPr="00585C2D">
        <w:rPr>
          <w:rFonts w:eastAsia="Arial" w:cstheme="minorHAnsi"/>
          <w:spacing w:val="-5"/>
        </w:rPr>
        <w:t>x</w:t>
      </w:r>
      <w:r w:rsidRPr="00585C2D">
        <w:rPr>
          <w:rFonts w:eastAsia="Arial" w:cstheme="minorHAnsi"/>
          <w:spacing w:val="2"/>
        </w:rPr>
        <w:t>p</w:t>
      </w:r>
      <w:r w:rsidRPr="00585C2D">
        <w:rPr>
          <w:rFonts w:eastAsia="Arial" w:cstheme="minorHAnsi"/>
          <w:spacing w:val="-3"/>
        </w:rPr>
        <w:t>e</w:t>
      </w:r>
      <w:r w:rsidRPr="00585C2D">
        <w:rPr>
          <w:rFonts w:eastAsia="Arial" w:cstheme="minorHAnsi"/>
          <w:spacing w:val="2"/>
        </w:rPr>
        <w:t>n</w:t>
      </w:r>
      <w:r w:rsidRPr="00585C2D">
        <w:rPr>
          <w:rFonts w:eastAsia="Arial" w:cstheme="minorHAnsi"/>
        </w:rPr>
        <w:t>s</w:t>
      </w:r>
      <w:r w:rsidRPr="00585C2D">
        <w:rPr>
          <w:rFonts w:eastAsia="Arial" w:cstheme="minorHAnsi"/>
          <w:spacing w:val="2"/>
        </w:rPr>
        <w:t>e</w:t>
      </w:r>
      <w:r w:rsidRPr="00585C2D">
        <w:rPr>
          <w:rFonts w:eastAsia="Arial" w:cstheme="minorHAnsi"/>
        </w:rPr>
        <w:t xml:space="preserve">s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2"/>
        </w:rPr>
        <w:t xml:space="preserve"> d</w:t>
      </w:r>
      <w:r w:rsidRPr="00585C2D">
        <w:rPr>
          <w:rFonts w:eastAsia="Arial" w:cstheme="minorHAnsi"/>
          <w:spacing w:val="-6"/>
        </w:rPr>
        <w:t>i</w:t>
      </w:r>
      <w:r w:rsidRPr="00585C2D">
        <w:rPr>
          <w:rFonts w:eastAsia="Arial" w:cstheme="minorHAnsi"/>
          <w:spacing w:val="1"/>
        </w:rPr>
        <w:t>f</w:t>
      </w:r>
      <w:r w:rsidRPr="00585C2D">
        <w:rPr>
          <w:rFonts w:eastAsia="Arial" w:cstheme="minorHAnsi"/>
          <w:spacing w:val="6"/>
        </w:rPr>
        <w:t>f</w:t>
      </w:r>
      <w:r w:rsidRPr="00585C2D">
        <w:rPr>
          <w:rFonts w:eastAsia="Arial" w:cstheme="minorHAnsi"/>
          <w:spacing w:val="2"/>
        </w:rPr>
        <w:t>e</w:t>
      </w:r>
      <w:r w:rsidRPr="00585C2D">
        <w:rPr>
          <w:rFonts w:eastAsia="Arial" w:cstheme="minorHAnsi"/>
          <w:spacing w:val="-6"/>
        </w:rPr>
        <w:t>r</w:t>
      </w:r>
      <w:r w:rsidRPr="00585C2D">
        <w:rPr>
          <w:rFonts w:eastAsia="Arial" w:cstheme="minorHAnsi"/>
          <w:spacing w:val="2"/>
        </w:rPr>
        <w:t>en</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a</w:t>
      </w:r>
      <w:r w:rsidRPr="00585C2D">
        <w:rPr>
          <w:rFonts w:eastAsia="Arial" w:cstheme="minorHAnsi"/>
          <w:spacing w:val="-4"/>
        </w:rPr>
        <w:t>t</w:t>
      </w:r>
      <w:r w:rsidRPr="00585C2D">
        <w:rPr>
          <w:rFonts w:eastAsia="Arial" w:cstheme="minorHAnsi"/>
        </w:rPr>
        <w:t>e</w:t>
      </w:r>
      <w:r w:rsidRPr="00585C2D">
        <w:rPr>
          <w:rFonts w:eastAsia="Arial" w:cstheme="minorHAnsi"/>
          <w:spacing w:val="2"/>
        </w:rPr>
        <w:t xml:space="preserve"> be</w:t>
      </w:r>
      <w:r w:rsidRPr="00585C2D">
        <w:rPr>
          <w:rFonts w:eastAsia="Arial" w:cstheme="minorHAnsi"/>
          <w:spacing w:val="1"/>
        </w:rPr>
        <w:t>t</w:t>
      </w:r>
      <w:r w:rsidRPr="00585C2D">
        <w:rPr>
          <w:rFonts w:eastAsia="Arial" w:cstheme="minorHAnsi"/>
          <w:spacing w:val="-6"/>
        </w:rPr>
        <w:t>w</w:t>
      </w:r>
      <w:r w:rsidRPr="00585C2D">
        <w:rPr>
          <w:rFonts w:eastAsia="Arial" w:cstheme="minorHAnsi"/>
          <w:spacing w:val="2"/>
        </w:rPr>
        <w:t>e</w:t>
      </w:r>
      <w:r w:rsidRPr="00585C2D">
        <w:rPr>
          <w:rFonts w:eastAsia="Arial" w:cstheme="minorHAnsi"/>
          <w:spacing w:val="-3"/>
        </w:rPr>
        <w:t>e</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2"/>
        </w:rPr>
        <w:t>e</w:t>
      </w:r>
      <w:r w:rsidRPr="00585C2D">
        <w:rPr>
          <w:rFonts w:eastAsia="Arial" w:cstheme="minorHAnsi"/>
          <w:spacing w:val="-5"/>
        </w:rPr>
        <w:t>x</w:t>
      </w:r>
      <w:r w:rsidRPr="00585C2D">
        <w:rPr>
          <w:rFonts w:eastAsia="Arial" w:cstheme="minorHAnsi"/>
          <w:spacing w:val="-3"/>
        </w:rPr>
        <w:t>p</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spacing w:val="1"/>
        </w:rPr>
        <w:t>t</w:t>
      </w:r>
      <w:r w:rsidRPr="00585C2D">
        <w:rPr>
          <w:rFonts w:eastAsia="Arial" w:cstheme="minorHAnsi"/>
          <w:spacing w:val="2"/>
        </w:rPr>
        <w:t>u</w:t>
      </w:r>
      <w:r w:rsidRPr="00585C2D">
        <w:rPr>
          <w:rFonts w:eastAsia="Arial" w:cstheme="minorHAnsi"/>
          <w:spacing w:val="-2"/>
        </w:rPr>
        <w:t>r</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rPr>
        <w:t>c</w:t>
      </w:r>
      <w:r w:rsidRPr="00585C2D">
        <w:rPr>
          <w:rFonts w:eastAsia="Arial" w:cstheme="minorHAnsi"/>
          <w:spacing w:val="2"/>
        </w:rPr>
        <w:t>u</w:t>
      </w:r>
      <w:r w:rsidRPr="00585C2D">
        <w:rPr>
          <w:rFonts w:eastAsia="Arial" w:cstheme="minorHAnsi"/>
          <w:spacing w:val="-2"/>
        </w:rPr>
        <w:t>rr</w:t>
      </w:r>
      <w:r w:rsidRPr="00585C2D">
        <w:rPr>
          <w:rFonts w:eastAsia="Arial" w:cstheme="minorHAnsi"/>
          <w:spacing w:val="-3"/>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1"/>
        </w:rPr>
        <w:t>i</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spacing w:val="2"/>
        </w:rPr>
        <w:t>e</w:t>
      </w:r>
      <w:r w:rsidRPr="00585C2D">
        <w:rPr>
          <w:rFonts w:eastAsia="Arial" w:cstheme="minorHAnsi"/>
          <w:spacing w:val="-1"/>
        </w:rPr>
        <w:t>i</w:t>
      </w:r>
      <w:r w:rsidRPr="00585C2D">
        <w:rPr>
          <w:rFonts w:eastAsia="Arial" w:cstheme="minorHAnsi"/>
        </w:rPr>
        <w:t>r</w:t>
      </w:r>
      <w:r w:rsidRPr="00585C2D">
        <w:rPr>
          <w:rFonts w:eastAsia="Arial" w:cstheme="minorHAnsi"/>
          <w:spacing w:val="3"/>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1"/>
        </w:rPr>
        <w:t>i</w:t>
      </w:r>
      <w:r w:rsidRPr="00585C2D">
        <w:rPr>
          <w:rFonts w:eastAsia="Arial" w:cstheme="minorHAnsi"/>
        </w:rPr>
        <w:t>v</w:t>
      </w:r>
      <w:r w:rsidRPr="00585C2D">
        <w:rPr>
          <w:rFonts w:eastAsia="Arial" w:cstheme="minorHAnsi"/>
          <w:spacing w:val="-3"/>
        </w:rPr>
        <w:t>a</w:t>
      </w:r>
      <w:r w:rsidRPr="00585C2D">
        <w:rPr>
          <w:rFonts w:eastAsia="Arial" w:cstheme="minorHAnsi"/>
          <w:spacing w:val="1"/>
        </w:rPr>
        <w:t>t</w:t>
      </w:r>
      <w:r w:rsidRPr="00585C2D">
        <w:rPr>
          <w:rFonts w:eastAsia="Arial" w:cstheme="minorHAnsi"/>
        </w:rPr>
        <w:t>e c</w:t>
      </w:r>
      <w:r w:rsidRPr="00585C2D">
        <w:rPr>
          <w:rFonts w:eastAsia="Arial" w:cstheme="minorHAnsi"/>
          <w:spacing w:val="2"/>
        </w:rPr>
        <w:t>a</w:t>
      </w:r>
      <w:r w:rsidRPr="00585C2D">
        <w:rPr>
          <w:rFonts w:eastAsia="Arial" w:cstheme="minorHAnsi"/>
          <w:spacing w:val="-3"/>
        </w:rPr>
        <w:t>p</w:t>
      </w:r>
      <w:r w:rsidRPr="00585C2D">
        <w:rPr>
          <w:rFonts w:eastAsia="Arial" w:cstheme="minorHAnsi"/>
          <w:spacing w:val="2"/>
        </w:rPr>
        <w:t>a</w:t>
      </w:r>
      <w:r w:rsidRPr="00585C2D">
        <w:rPr>
          <w:rFonts w:eastAsia="Arial" w:cstheme="minorHAnsi"/>
        </w:rPr>
        <w:t>c</w:t>
      </w:r>
      <w:r w:rsidRPr="00585C2D">
        <w:rPr>
          <w:rFonts w:eastAsia="Arial" w:cstheme="minorHAnsi"/>
          <w:spacing w:val="-1"/>
        </w:rPr>
        <w:t>i</w:t>
      </w:r>
      <w:r w:rsidRPr="00585C2D">
        <w:rPr>
          <w:rFonts w:eastAsia="Arial" w:cstheme="minorHAnsi"/>
          <w:spacing w:val="1"/>
        </w:rPr>
        <w:t>t</w:t>
      </w:r>
      <w:r w:rsidRPr="00585C2D">
        <w:rPr>
          <w:rFonts w:eastAsia="Arial" w:cstheme="minorHAnsi"/>
        </w:rPr>
        <w:t>y</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3"/>
        </w:rPr>
        <w:t>e</w:t>
      </w:r>
      <w:r w:rsidRPr="00585C2D">
        <w:rPr>
          <w:rFonts w:eastAsia="Arial" w:cstheme="minorHAnsi"/>
        </w:rPr>
        <w:t>x</w:t>
      </w:r>
      <w:r w:rsidRPr="00585C2D">
        <w:rPr>
          <w:rFonts w:eastAsia="Arial" w:cstheme="minorHAnsi"/>
          <w:spacing w:val="-3"/>
        </w:rPr>
        <w:t>p</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spacing w:val="1"/>
        </w:rPr>
        <w:t>t</w:t>
      </w:r>
      <w:r w:rsidRPr="00585C2D">
        <w:rPr>
          <w:rFonts w:eastAsia="Arial" w:cstheme="minorHAnsi"/>
          <w:spacing w:val="2"/>
        </w:rPr>
        <w:t>u</w:t>
      </w:r>
      <w:r w:rsidRPr="00585C2D">
        <w:rPr>
          <w:rFonts w:eastAsia="Arial" w:cstheme="minorHAnsi"/>
          <w:spacing w:val="-2"/>
        </w:rPr>
        <w:t>r</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n</w:t>
      </w:r>
      <w:r w:rsidRPr="00585C2D">
        <w:rPr>
          <w:rFonts w:eastAsia="Arial" w:cstheme="minorHAnsi"/>
          <w:spacing w:val="2"/>
        </w:rPr>
        <w:t>e</w:t>
      </w:r>
      <w:r w:rsidRPr="00585C2D">
        <w:rPr>
          <w:rFonts w:eastAsia="Arial" w:cstheme="minorHAnsi"/>
        </w:rPr>
        <w:t>c</w:t>
      </w:r>
      <w:r w:rsidRPr="00585C2D">
        <w:rPr>
          <w:rFonts w:eastAsia="Arial" w:cstheme="minorHAnsi"/>
          <w:spacing w:val="7"/>
        </w:rPr>
        <w:t>e</w:t>
      </w:r>
      <w:r w:rsidRPr="00585C2D">
        <w:rPr>
          <w:rFonts w:eastAsia="Arial" w:cstheme="minorHAnsi"/>
          <w:spacing w:val="-5"/>
        </w:rPr>
        <w:t>s</w:t>
      </w:r>
      <w:r w:rsidRPr="00585C2D">
        <w:rPr>
          <w:rFonts w:eastAsia="Arial" w:cstheme="minorHAnsi"/>
        </w:rPr>
        <w:t>s</w:t>
      </w:r>
      <w:r w:rsidRPr="00585C2D">
        <w:rPr>
          <w:rFonts w:eastAsia="Arial" w:cstheme="minorHAnsi"/>
          <w:spacing w:val="2"/>
        </w:rPr>
        <w:t>a</w:t>
      </w:r>
      <w:r w:rsidRPr="00585C2D">
        <w:rPr>
          <w:rFonts w:eastAsia="Arial" w:cstheme="minorHAnsi"/>
          <w:spacing w:val="-2"/>
        </w:rPr>
        <w:t>r</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2"/>
        </w:rPr>
        <w:t xml:space="preserve"> </w:t>
      </w:r>
      <w:r w:rsidRPr="00585C2D">
        <w:rPr>
          <w:rFonts w:eastAsia="Arial" w:cstheme="minorHAnsi"/>
          <w:spacing w:val="1"/>
        </w:rPr>
        <w:t>f</w:t>
      </w:r>
      <w:r w:rsidRPr="00585C2D">
        <w:rPr>
          <w:rFonts w:eastAsia="Arial" w:cstheme="minorHAnsi"/>
          <w:spacing w:val="2"/>
        </w:rPr>
        <w:t>u</w:t>
      </w:r>
      <w:r w:rsidRPr="00585C2D">
        <w:rPr>
          <w:rFonts w:eastAsia="Arial" w:cstheme="minorHAnsi"/>
          <w:spacing w:val="-6"/>
        </w:rPr>
        <w:t>l</w:t>
      </w:r>
      <w:r w:rsidRPr="00585C2D">
        <w:rPr>
          <w:rFonts w:eastAsia="Arial" w:cstheme="minorHAnsi"/>
          <w:spacing w:val="6"/>
        </w:rPr>
        <w:t>f</w:t>
      </w:r>
      <w:r w:rsidRPr="00585C2D">
        <w:rPr>
          <w:rFonts w:eastAsia="Arial" w:cstheme="minorHAnsi"/>
          <w:spacing w:val="-1"/>
        </w:rPr>
        <w:t>i</w:t>
      </w:r>
      <w:r w:rsidRPr="00585C2D">
        <w:rPr>
          <w:rFonts w:eastAsia="Arial" w:cstheme="minorHAnsi"/>
        </w:rPr>
        <w:t>l</w:t>
      </w:r>
      <w:r w:rsidRPr="00585C2D">
        <w:rPr>
          <w:rFonts w:eastAsia="Arial" w:cstheme="minorHAnsi"/>
          <w:spacing w:val="2"/>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6"/>
        </w:rPr>
        <w:t>r</w:t>
      </w:r>
      <w:r w:rsidRPr="00585C2D">
        <w:rPr>
          <w:rFonts w:eastAsia="Arial" w:cstheme="minorHAnsi"/>
          <w:spacing w:val="2"/>
        </w:rPr>
        <w:t>o</w:t>
      </w:r>
      <w:r w:rsidRPr="00585C2D">
        <w:rPr>
          <w:rFonts w:eastAsia="Arial" w:cstheme="minorHAnsi"/>
          <w:spacing w:val="-1"/>
        </w:rPr>
        <w:t>l</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2"/>
        </w:rPr>
        <w:t>a</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1"/>
        </w:rPr>
        <w:t>a</w:t>
      </w:r>
      <w:r w:rsidRPr="00585C2D">
        <w:rPr>
          <w:rFonts w:eastAsia="Arial" w:cstheme="minorHAnsi"/>
        </w:rPr>
        <w:t>n</w:t>
      </w:r>
      <w:r w:rsidRPr="00585C2D">
        <w:rPr>
          <w:rFonts w:eastAsia="Arial" w:cstheme="minorHAnsi"/>
          <w:spacing w:val="-2"/>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 xml:space="preserve">d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w:t>
      </w:r>
    </w:p>
    <w:p w14:paraId="638FE6B8" w14:textId="77777777" w:rsidR="00FC0CF1" w:rsidRPr="00585C2D" w:rsidRDefault="00FC0CF1" w:rsidP="00FC0CF1">
      <w:pPr>
        <w:spacing w:before="78" w:after="120" w:line="241" w:lineRule="auto"/>
        <w:ind w:left="1276" w:right="-46" w:hanging="425"/>
        <w:jc w:val="both"/>
        <w:rPr>
          <w:rFonts w:eastAsia="Arial" w:cstheme="minorHAnsi"/>
        </w:rPr>
      </w:pPr>
      <w:r w:rsidRPr="00585C2D">
        <w:rPr>
          <w:rFonts w:eastAsia="Arial" w:cstheme="minorHAnsi"/>
          <w:spacing w:val="2"/>
        </w:rPr>
        <w:t>b</w:t>
      </w:r>
      <w:r>
        <w:rPr>
          <w:rFonts w:eastAsia="Arial" w:cstheme="minorHAnsi"/>
        </w:rPr>
        <w:t>.</w:t>
      </w:r>
      <w:r>
        <w:rPr>
          <w:rFonts w:eastAsia="Arial" w:cstheme="minorHAnsi"/>
        </w:rPr>
        <w:tab/>
      </w:r>
      <w:r w:rsidRPr="00585C2D">
        <w:rPr>
          <w:rFonts w:eastAsia="Arial" w:cstheme="minorHAnsi"/>
          <w:spacing w:val="-1"/>
        </w:rPr>
        <w:t>R</w:t>
      </w:r>
      <w:r w:rsidRPr="00585C2D">
        <w:rPr>
          <w:rFonts w:eastAsia="Arial" w:cstheme="minorHAnsi"/>
          <w:spacing w:val="2"/>
        </w:rPr>
        <w:t>e</w:t>
      </w:r>
      <w:r w:rsidRPr="00585C2D">
        <w:rPr>
          <w:rFonts w:eastAsia="Arial" w:cstheme="minorHAnsi"/>
          <w:spacing w:val="-1"/>
        </w:rPr>
        <w:t>i</w:t>
      </w:r>
      <w:r w:rsidRPr="00585C2D">
        <w:rPr>
          <w:rFonts w:eastAsia="Arial" w:cstheme="minorHAnsi"/>
          <w:spacing w:val="-2"/>
        </w:rPr>
        <w:t>m</w:t>
      </w:r>
      <w:r w:rsidRPr="00585C2D">
        <w:rPr>
          <w:rFonts w:eastAsia="Arial" w:cstheme="minorHAnsi"/>
          <w:spacing w:val="2"/>
        </w:rPr>
        <w:t>bu</w:t>
      </w:r>
      <w:r w:rsidRPr="00585C2D">
        <w:rPr>
          <w:rFonts w:eastAsia="Arial" w:cstheme="minorHAnsi"/>
          <w:spacing w:val="-2"/>
        </w:rPr>
        <w:t>r</w:t>
      </w:r>
      <w:r w:rsidRPr="00585C2D">
        <w:rPr>
          <w:rFonts w:eastAsia="Arial" w:cstheme="minorHAnsi"/>
        </w:rPr>
        <w:t>s</w:t>
      </w:r>
      <w:r w:rsidRPr="00585C2D">
        <w:rPr>
          <w:rFonts w:eastAsia="Arial" w:cstheme="minorHAnsi"/>
          <w:spacing w:val="2"/>
        </w:rPr>
        <w:t>e</w:t>
      </w:r>
      <w:r w:rsidRPr="00585C2D">
        <w:rPr>
          <w:rFonts w:eastAsia="Arial" w:cstheme="minorHAnsi"/>
          <w:spacing w:val="-6"/>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11"/>
        </w:rPr>
        <w:t xml:space="preserve"> </w:t>
      </w:r>
      <w:r w:rsidRPr="00585C2D">
        <w:rPr>
          <w:rFonts w:eastAsia="Arial" w:cstheme="minorHAnsi"/>
          <w:spacing w:val="2"/>
        </w:rPr>
        <w:t>e</w:t>
      </w:r>
      <w:r w:rsidRPr="00585C2D">
        <w:rPr>
          <w:rFonts w:eastAsia="Arial" w:cstheme="minorHAnsi"/>
          <w:spacing w:val="-5"/>
        </w:rPr>
        <w:t>x</w:t>
      </w:r>
      <w:r w:rsidRPr="00585C2D">
        <w:rPr>
          <w:rFonts w:eastAsia="Arial" w:cstheme="minorHAnsi"/>
          <w:spacing w:val="-3"/>
        </w:rPr>
        <w:t>p</w:t>
      </w:r>
      <w:r w:rsidRPr="00585C2D">
        <w:rPr>
          <w:rFonts w:eastAsia="Arial" w:cstheme="minorHAnsi"/>
          <w:spacing w:val="2"/>
        </w:rPr>
        <w:t>en</w:t>
      </w:r>
      <w:r w:rsidRPr="00585C2D">
        <w:rPr>
          <w:rFonts w:eastAsia="Arial" w:cstheme="minorHAnsi"/>
          <w:spacing w:val="-5"/>
        </w:rPr>
        <w:t>s</w:t>
      </w:r>
      <w:r w:rsidRPr="00585C2D">
        <w:rPr>
          <w:rFonts w:eastAsia="Arial" w:cstheme="minorHAnsi"/>
          <w:spacing w:val="2"/>
        </w:rPr>
        <w:t>e</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6"/>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3"/>
        </w:rPr>
        <w:t>u</w:t>
      </w:r>
      <w:r w:rsidRPr="00585C2D">
        <w:rPr>
          <w:rFonts w:eastAsia="Arial" w:cstheme="minorHAnsi"/>
          <w:spacing w:val="2"/>
        </w:rPr>
        <w:t>p</w:t>
      </w:r>
      <w:r w:rsidRPr="00585C2D">
        <w:rPr>
          <w:rFonts w:eastAsia="Arial" w:cstheme="minorHAnsi"/>
          <w:spacing w:val="-3"/>
        </w:rPr>
        <w:t>o</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3"/>
        </w:rPr>
        <w:t>a</w:t>
      </w:r>
      <w:r w:rsidRPr="00585C2D">
        <w:rPr>
          <w:rFonts w:eastAsia="Arial" w:cstheme="minorHAnsi"/>
          <w:spacing w:val="2"/>
        </w:rPr>
        <w:t>d</w:t>
      </w:r>
      <w:r w:rsidRPr="00585C2D">
        <w:rPr>
          <w:rFonts w:eastAsia="Arial" w:cstheme="minorHAnsi"/>
          <w:spacing w:val="-3"/>
        </w:rPr>
        <w:t>e</w:t>
      </w:r>
      <w:r w:rsidRPr="00585C2D">
        <w:rPr>
          <w:rFonts w:eastAsia="Arial" w:cstheme="minorHAnsi"/>
          <w:spacing w:val="2"/>
        </w:rPr>
        <w:t>q</w:t>
      </w:r>
      <w:r w:rsidRPr="00585C2D">
        <w:rPr>
          <w:rFonts w:eastAsia="Arial" w:cstheme="minorHAnsi"/>
          <w:spacing w:val="-3"/>
        </w:rPr>
        <w:t>u</w:t>
      </w:r>
      <w:r w:rsidRPr="00585C2D">
        <w:rPr>
          <w:rFonts w:eastAsia="Arial" w:cstheme="minorHAnsi"/>
          <w:spacing w:val="2"/>
        </w:rPr>
        <w:t>a</w:t>
      </w:r>
      <w:r w:rsidRPr="00585C2D">
        <w:rPr>
          <w:rFonts w:eastAsia="Arial" w:cstheme="minorHAnsi"/>
          <w:spacing w:val="1"/>
        </w:rPr>
        <w:t>t</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2"/>
        </w:rPr>
        <w:t>e</w:t>
      </w:r>
      <w:r w:rsidRPr="00585C2D">
        <w:rPr>
          <w:rFonts w:eastAsia="Arial" w:cstheme="minorHAnsi"/>
        </w:rPr>
        <w:t>v</w:t>
      </w:r>
      <w:r w:rsidRPr="00585C2D">
        <w:rPr>
          <w:rFonts w:eastAsia="Arial" w:cstheme="minorHAnsi"/>
          <w:spacing w:val="-1"/>
        </w:rPr>
        <w:t>i</w:t>
      </w:r>
      <w:r w:rsidRPr="00585C2D">
        <w:rPr>
          <w:rFonts w:eastAsia="Arial" w:cstheme="minorHAnsi"/>
          <w:spacing w:val="-3"/>
        </w:rPr>
        <w:t>d</w:t>
      </w:r>
      <w:r w:rsidRPr="00585C2D">
        <w:rPr>
          <w:rFonts w:eastAsia="Arial" w:cstheme="minorHAnsi"/>
          <w:spacing w:val="2"/>
        </w:rPr>
        <w:t>en</w:t>
      </w:r>
      <w:r w:rsidRPr="00585C2D">
        <w:rPr>
          <w:rFonts w:eastAsia="Arial" w:cstheme="minorHAnsi"/>
          <w:spacing w:val="-5"/>
        </w:rPr>
        <w:t>c</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11"/>
        </w:rPr>
        <w:t xml:space="preserve"> </w:t>
      </w:r>
      <w:r w:rsidRPr="00585C2D">
        <w:rPr>
          <w:rFonts w:eastAsia="Arial" w:cstheme="minorHAnsi"/>
          <w:spacing w:val="-5"/>
        </w:rPr>
        <w:t>s</w:t>
      </w:r>
      <w:r w:rsidRPr="00585C2D">
        <w:rPr>
          <w:rFonts w:eastAsia="Arial" w:cstheme="minorHAnsi"/>
          <w:spacing w:val="2"/>
        </w:rPr>
        <w:t>u</w:t>
      </w:r>
      <w:r w:rsidRPr="00585C2D">
        <w:rPr>
          <w:rFonts w:eastAsia="Arial" w:cstheme="minorHAnsi"/>
        </w:rPr>
        <w:t>ch</w:t>
      </w:r>
      <w:r w:rsidRPr="00585C2D">
        <w:rPr>
          <w:rFonts w:eastAsia="Arial" w:cstheme="minorHAnsi"/>
          <w:spacing w:val="3"/>
        </w:rPr>
        <w:t xml:space="preserve"> </w:t>
      </w:r>
      <w:r w:rsidRPr="00585C2D">
        <w:rPr>
          <w:rFonts w:eastAsia="Arial" w:cstheme="minorHAnsi"/>
          <w:spacing w:val="2"/>
        </w:rPr>
        <w:t>e</w:t>
      </w:r>
      <w:r w:rsidRPr="00585C2D">
        <w:rPr>
          <w:rFonts w:eastAsia="Arial" w:cstheme="minorHAnsi"/>
        </w:rPr>
        <w:t>x</w:t>
      </w:r>
      <w:r w:rsidRPr="00585C2D">
        <w:rPr>
          <w:rFonts w:eastAsia="Arial" w:cstheme="minorHAnsi"/>
          <w:spacing w:val="-3"/>
        </w:rPr>
        <w:t>p</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spacing w:val="1"/>
        </w:rPr>
        <w:t>t</w:t>
      </w:r>
      <w:r w:rsidRPr="00585C2D">
        <w:rPr>
          <w:rFonts w:eastAsia="Arial" w:cstheme="minorHAnsi"/>
          <w:spacing w:val="2"/>
        </w:rPr>
        <w:t>u</w:t>
      </w:r>
      <w:r w:rsidRPr="00585C2D">
        <w:rPr>
          <w:rFonts w:eastAsia="Arial" w:cstheme="minorHAnsi"/>
          <w:spacing w:val="-2"/>
        </w:rPr>
        <w:t>r</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6"/>
        </w:rPr>
        <w:t>i</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 xml:space="preserve">e </w:t>
      </w:r>
      <w:r w:rsidRPr="00585C2D">
        <w:rPr>
          <w:rFonts w:eastAsia="Arial" w:cstheme="minorHAnsi"/>
          <w:spacing w:val="1"/>
        </w:rPr>
        <w:t>f</w:t>
      </w:r>
      <w:r w:rsidRPr="00585C2D">
        <w:rPr>
          <w:rFonts w:eastAsia="Arial" w:cstheme="minorHAnsi"/>
          <w:spacing w:val="2"/>
        </w:rPr>
        <w:t>o</w:t>
      </w:r>
      <w:r w:rsidRPr="00585C2D">
        <w:rPr>
          <w:rFonts w:eastAsia="Arial" w:cstheme="minorHAnsi"/>
          <w:spacing w:val="-2"/>
        </w:rPr>
        <w:t>r</w:t>
      </w:r>
      <w:r w:rsidRPr="00585C2D">
        <w:rPr>
          <w:rFonts w:eastAsia="Arial" w:cstheme="minorHAnsi"/>
        </w:rPr>
        <w:t xml:space="preserve">m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spacing w:val="-5"/>
        </w:rPr>
        <w:t>v</w:t>
      </w:r>
      <w:r w:rsidRPr="00585C2D">
        <w:rPr>
          <w:rFonts w:eastAsia="Arial" w:cstheme="minorHAnsi"/>
          <w:spacing w:val="2"/>
        </w:rPr>
        <w:t>o</w:t>
      </w:r>
      <w:r w:rsidRPr="00585C2D">
        <w:rPr>
          <w:rFonts w:eastAsia="Arial" w:cstheme="minorHAnsi"/>
          <w:spacing w:val="-1"/>
        </w:rPr>
        <w:t>i</w:t>
      </w:r>
      <w:r w:rsidRPr="00585C2D">
        <w:rPr>
          <w:rFonts w:eastAsia="Arial" w:cstheme="minorHAnsi"/>
        </w:rPr>
        <w:t>c</w:t>
      </w:r>
      <w:r w:rsidRPr="00585C2D">
        <w:rPr>
          <w:rFonts w:eastAsia="Arial" w:cstheme="minorHAnsi"/>
          <w:spacing w:val="2"/>
        </w:rPr>
        <w:t>e</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2"/>
        </w:rPr>
        <w:t>r</w:t>
      </w:r>
      <w:r w:rsidRPr="00585C2D">
        <w:rPr>
          <w:rFonts w:eastAsia="Arial" w:cstheme="minorHAnsi"/>
          <w:spacing w:val="2"/>
        </w:rPr>
        <w:t>e</w:t>
      </w:r>
      <w:r w:rsidRPr="00585C2D">
        <w:rPr>
          <w:rFonts w:eastAsia="Arial" w:cstheme="minorHAnsi"/>
          <w:spacing w:val="-5"/>
        </w:rPr>
        <w:t>c</w:t>
      </w:r>
      <w:r w:rsidRPr="00585C2D">
        <w:rPr>
          <w:rFonts w:eastAsia="Arial" w:cstheme="minorHAnsi"/>
          <w:spacing w:val="2"/>
        </w:rPr>
        <w:t>e</w:t>
      </w:r>
      <w:r w:rsidRPr="00585C2D">
        <w:rPr>
          <w:rFonts w:eastAsia="Arial" w:cstheme="minorHAnsi"/>
          <w:spacing w:val="-1"/>
        </w:rPr>
        <w:t>i</w:t>
      </w:r>
      <w:r w:rsidRPr="00585C2D">
        <w:rPr>
          <w:rFonts w:eastAsia="Arial" w:cstheme="minorHAnsi"/>
          <w:spacing w:val="2"/>
        </w:rPr>
        <w:t>p</w:t>
      </w:r>
      <w:r w:rsidRPr="00585C2D">
        <w:rPr>
          <w:rFonts w:eastAsia="Arial" w:cstheme="minorHAnsi"/>
          <w:spacing w:val="1"/>
        </w:rPr>
        <w:t>t</w:t>
      </w:r>
      <w:r w:rsidRPr="00585C2D">
        <w:rPr>
          <w:rFonts w:eastAsia="Arial" w:cstheme="minorHAnsi"/>
        </w:rPr>
        <w:t>s</w:t>
      </w:r>
    </w:p>
    <w:p w14:paraId="22930E9E" w14:textId="77777777" w:rsidR="00FC0CF1" w:rsidRPr="0086431E" w:rsidRDefault="00FC0CF1" w:rsidP="00FC0CF1">
      <w:pPr>
        <w:spacing w:after="120" w:line="240" w:lineRule="auto"/>
        <w:ind w:left="1276" w:right="-46" w:hanging="425"/>
        <w:jc w:val="both"/>
        <w:rPr>
          <w:rFonts w:eastAsia="Arial" w:cstheme="minorHAnsi"/>
        </w:rPr>
      </w:pPr>
      <w:r>
        <w:rPr>
          <w:rFonts w:eastAsia="Arial" w:cstheme="minorHAnsi"/>
        </w:rPr>
        <w:lastRenderedPageBreak/>
        <w:t xml:space="preserve">c. </w:t>
      </w:r>
      <w:r>
        <w:rPr>
          <w:rFonts w:eastAsia="Arial" w:cstheme="minorHAnsi"/>
        </w:rPr>
        <w:tab/>
      </w:r>
      <w:r w:rsidRPr="00585C2D">
        <w:rPr>
          <w:rFonts w:eastAsia="Arial" w:cstheme="minorHAnsi"/>
          <w:spacing w:val="1"/>
        </w:rPr>
        <w:t>A</w:t>
      </w:r>
      <w:r w:rsidRPr="00585C2D">
        <w:rPr>
          <w:rFonts w:eastAsia="Arial" w:cstheme="minorHAnsi"/>
          <w:spacing w:val="-1"/>
        </w:rPr>
        <w:t>l</w:t>
      </w:r>
      <w:r w:rsidRPr="00585C2D">
        <w:rPr>
          <w:rFonts w:eastAsia="Arial" w:cstheme="minorHAnsi"/>
        </w:rPr>
        <w:t>l</w:t>
      </w:r>
      <w:r w:rsidRPr="00585C2D">
        <w:rPr>
          <w:rFonts w:eastAsia="Arial" w:cstheme="minorHAnsi"/>
          <w:spacing w:val="9"/>
        </w:rPr>
        <w:t xml:space="preserve"> </w:t>
      </w:r>
      <w:r w:rsidRPr="00585C2D">
        <w:rPr>
          <w:rFonts w:eastAsia="Arial" w:cstheme="minorHAnsi"/>
        </w:rPr>
        <w:t>c</w:t>
      </w:r>
      <w:r w:rsidRPr="00585C2D">
        <w:rPr>
          <w:rFonts w:eastAsia="Arial" w:cstheme="minorHAnsi"/>
          <w:spacing w:val="-1"/>
        </w:rPr>
        <w:t>l</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m</w:t>
      </w:r>
      <w:r w:rsidRPr="00585C2D">
        <w:rPr>
          <w:rFonts w:eastAsia="Arial" w:cstheme="minorHAnsi"/>
        </w:rPr>
        <w:t>s</w:t>
      </w:r>
      <w:r w:rsidRPr="00585C2D">
        <w:rPr>
          <w:rFonts w:eastAsia="Arial" w:cstheme="minorHAnsi"/>
          <w:spacing w:val="6"/>
        </w:rPr>
        <w:t xml:space="preserve"> f</w:t>
      </w:r>
      <w:r w:rsidRPr="00585C2D">
        <w:rPr>
          <w:rFonts w:eastAsia="Arial" w:cstheme="minorHAnsi"/>
          <w:spacing w:val="2"/>
        </w:rPr>
        <w:t>o</w:t>
      </w:r>
      <w:r w:rsidRPr="00585C2D">
        <w:rPr>
          <w:rFonts w:eastAsia="Arial" w:cstheme="minorHAnsi"/>
        </w:rPr>
        <w:t>r</w:t>
      </w:r>
      <w:r w:rsidRPr="00585C2D">
        <w:rPr>
          <w:rFonts w:eastAsia="Arial" w:cstheme="minorHAnsi"/>
          <w:spacing w:val="9"/>
        </w:rPr>
        <w:t xml:space="preserve"> </w:t>
      </w:r>
      <w:r w:rsidRPr="00585C2D">
        <w:rPr>
          <w:rFonts w:eastAsia="Arial" w:cstheme="minorHAnsi"/>
          <w:spacing w:val="-6"/>
        </w:rPr>
        <w:t>r</w:t>
      </w:r>
      <w:r w:rsidRPr="00585C2D">
        <w:rPr>
          <w:rFonts w:eastAsia="Arial" w:cstheme="minorHAnsi"/>
          <w:spacing w:val="2"/>
        </w:rPr>
        <w:t>e</w:t>
      </w:r>
      <w:r w:rsidRPr="00585C2D">
        <w:rPr>
          <w:rFonts w:eastAsia="Arial" w:cstheme="minorHAnsi"/>
          <w:spacing w:val="-1"/>
        </w:rPr>
        <w:t>i</w:t>
      </w:r>
      <w:r w:rsidRPr="00585C2D">
        <w:rPr>
          <w:rFonts w:eastAsia="Arial" w:cstheme="minorHAnsi"/>
          <w:spacing w:val="-2"/>
        </w:rPr>
        <w:t>m</w:t>
      </w:r>
      <w:r w:rsidRPr="00585C2D">
        <w:rPr>
          <w:rFonts w:eastAsia="Arial" w:cstheme="minorHAnsi"/>
          <w:spacing w:val="2"/>
        </w:rPr>
        <w:t>bu</w:t>
      </w:r>
      <w:r w:rsidRPr="00585C2D">
        <w:rPr>
          <w:rFonts w:eastAsia="Arial" w:cstheme="minorHAnsi"/>
          <w:spacing w:val="-2"/>
        </w:rPr>
        <w:t>r</w:t>
      </w:r>
      <w:r w:rsidRPr="00585C2D">
        <w:rPr>
          <w:rFonts w:eastAsia="Arial" w:cstheme="minorHAnsi"/>
          <w:spacing w:val="-5"/>
        </w:rPr>
        <w:t>s</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e</w:t>
      </w:r>
      <w:r w:rsidRPr="00585C2D">
        <w:rPr>
          <w:rFonts w:eastAsia="Arial" w:cstheme="minorHAnsi"/>
          <w:spacing w:val="-3"/>
        </w:rPr>
        <w:t>n</w:t>
      </w:r>
      <w:r w:rsidRPr="00585C2D">
        <w:rPr>
          <w:rFonts w:eastAsia="Arial" w:cstheme="minorHAnsi"/>
        </w:rPr>
        <w:t>t</w:t>
      </w:r>
      <w:r w:rsidRPr="00585C2D">
        <w:rPr>
          <w:rFonts w:eastAsia="Arial" w:cstheme="minorHAnsi"/>
          <w:spacing w:val="11"/>
        </w:rPr>
        <w:t xml:space="preserve"> </w:t>
      </w:r>
      <w:r w:rsidRPr="00585C2D">
        <w:rPr>
          <w:rFonts w:eastAsia="Arial" w:cstheme="minorHAnsi"/>
          <w:spacing w:val="-2"/>
        </w:rPr>
        <w:t>m</w:t>
      </w:r>
      <w:r w:rsidRPr="00585C2D">
        <w:rPr>
          <w:rFonts w:eastAsia="Arial" w:cstheme="minorHAnsi"/>
          <w:spacing w:val="2"/>
        </w:rPr>
        <w:t>u</w:t>
      </w:r>
      <w:r w:rsidRPr="00585C2D">
        <w:rPr>
          <w:rFonts w:eastAsia="Arial" w:cstheme="minorHAnsi"/>
          <w:spacing w:val="-5"/>
        </w:rPr>
        <w:t>s</w:t>
      </w:r>
      <w:r w:rsidRPr="00585C2D">
        <w:rPr>
          <w:rFonts w:eastAsia="Arial" w:cstheme="minorHAnsi"/>
        </w:rPr>
        <w:t>t</w:t>
      </w:r>
      <w:r w:rsidRPr="00585C2D">
        <w:rPr>
          <w:rFonts w:eastAsia="Arial" w:cstheme="minorHAnsi"/>
          <w:spacing w:val="11"/>
        </w:rPr>
        <w:t xml:space="preserve"> </w:t>
      </w:r>
      <w:r w:rsidRPr="00585C2D">
        <w:rPr>
          <w:rFonts w:eastAsia="Arial" w:cstheme="minorHAnsi"/>
          <w:spacing w:val="-3"/>
        </w:rPr>
        <w:t>b</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5"/>
        </w:rPr>
        <w:t>s</w:t>
      </w:r>
      <w:r w:rsidRPr="00585C2D">
        <w:rPr>
          <w:rFonts w:eastAsia="Arial" w:cstheme="minorHAnsi"/>
          <w:spacing w:val="2"/>
        </w:rPr>
        <w:t>ub</w:t>
      </w:r>
      <w:r w:rsidRPr="00585C2D">
        <w:rPr>
          <w:rFonts w:eastAsia="Arial" w:cstheme="minorHAnsi"/>
          <w:spacing w:val="-2"/>
        </w:rPr>
        <w:t>m</w:t>
      </w:r>
      <w:r w:rsidRPr="00585C2D">
        <w:rPr>
          <w:rFonts w:eastAsia="Arial" w:cstheme="minorHAnsi"/>
          <w:spacing w:val="-1"/>
        </w:rPr>
        <w:t>i</w:t>
      </w:r>
      <w:r w:rsidRPr="00585C2D">
        <w:rPr>
          <w:rFonts w:eastAsia="Arial" w:cstheme="minorHAnsi"/>
          <w:spacing w:val="1"/>
        </w:rPr>
        <w:t>t</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4"/>
        </w:rPr>
        <w:t>O</w:t>
      </w:r>
      <w:r w:rsidRPr="00585C2D">
        <w:rPr>
          <w:rFonts w:eastAsia="Arial" w:cstheme="minorHAnsi"/>
          <w:spacing w:val="1"/>
        </w:rPr>
        <w:t>f</w:t>
      </w:r>
      <w:r w:rsidRPr="00585C2D">
        <w:rPr>
          <w:rFonts w:eastAsia="Arial" w:cstheme="minorHAnsi"/>
          <w:spacing w:val="6"/>
        </w:rPr>
        <w:t>f</w:t>
      </w:r>
      <w:r w:rsidRPr="00585C2D">
        <w:rPr>
          <w:rFonts w:eastAsia="Arial" w:cstheme="minorHAnsi"/>
          <w:spacing w:val="-1"/>
        </w:rPr>
        <w:t>i</w:t>
      </w:r>
      <w:r w:rsidRPr="00585C2D">
        <w:rPr>
          <w:rFonts w:eastAsia="Arial" w:cstheme="minorHAnsi"/>
        </w:rPr>
        <w:t>ce</w:t>
      </w:r>
      <w:r w:rsidRPr="00585C2D">
        <w:rPr>
          <w:rFonts w:eastAsia="Arial" w:cstheme="minorHAnsi"/>
          <w:spacing w:val="8"/>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11"/>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12"/>
        </w:rPr>
        <w:t xml:space="preserve"> </w:t>
      </w:r>
      <w:r w:rsidRPr="00585C2D">
        <w:rPr>
          <w:rFonts w:eastAsia="Arial" w:cstheme="minorHAnsi"/>
          <w:spacing w:val="-6"/>
        </w:rPr>
        <w:t>M</w:t>
      </w:r>
      <w:r w:rsidRPr="00585C2D">
        <w:rPr>
          <w:rFonts w:eastAsia="Arial" w:cstheme="minorHAnsi"/>
          <w:spacing w:val="2"/>
        </w:rPr>
        <w:t>a</w:t>
      </w:r>
      <w:r w:rsidRPr="00585C2D">
        <w:rPr>
          <w:rFonts w:eastAsia="Arial" w:cstheme="minorHAnsi"/>
        </w:rPr>
        <w:t>y</w:t>
      </w:r>
      <w:r w:rsidRPr="00585C2D">
        <w:rPr>
          <w:rFonts w:eastAsia="Arial" w:cstheme="minorHAnsi"/>
          <w:spacing w:val="2"/>
        </w:rPr>
        <w:t>o</w:t>
      </w:r>
      <w:r w:rsidRPr="00585C2D">
        <w:rPr>
          <w:rFonts w:eastAsia="Arial" w:cstheme="minorHAnsi"/>
        </w:rPr>
        <w:t>r</w:t>
      </w:r>
      <w:r w:rsidRPr="00585C2D">
        <w:rPr>
          <w:rFonts w:eastAsia="Arial" w:cstheme="minorHAnsi"/>
          <w:spacing w:val="9"/>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8"/>
        </w:rPr>
        <w:t xml:space="preserve"> </w:t>
      </w:r>
      <w:r w:rsidRPr="00585C2D">
        <w:rPr>
          <w:rFonts w:eastAsia="Arial" w:cstheme="minorHAnsi"/>
          <w:spacing w:val="-1"/>
        </w:rPr>
        <w:t>C</w:t>
      </w:r>
      <w:r w:rsidRPr="00585C2D">
        <w:rPr>
          <w:rFonts w:eastAsia="Arial" w:cstheme="minorHAnsi"/>
          <w:spacing w:val="-3"/>
        </w:rPr>
        <w:t>o</w:t>
      </w:r>
      <w:r w:rsidRPr="00585C2D">
        <w:rPr>
          <w:rFonts w:eastAsia="Arial" w:cstheme="minorHAnsi"/>
          <w:spacing w:val="2"/>
        </w:rPr>
        <w:t>un</w:t>
      </w:r>
      <w:r w:rsidRPr="00585C2D">
        <w:rPr>
          <w:rFonts w:eastAsia="Arial" w:cstheme="minorHAnsi"/>
        </w:rPr>
        <w:t>c</w:t>
      </w:r>
      <w:r w:rsidRPr="00585C2D">
        <w:rPr>
          <w:rFonts w:eastAsia="Arial" w:cstheme="minorHAnsi"/>
          <w:spacing w:val="-1"/>
        </w:rPr>
        <w:t>ill</w:t>
      </w:r>
      <w:r w:rsidRPr="00585C2D">
        <w:rPr>
          <w:rFonts w:eastAsia="Arial" w:cstheme="minorHAnsi"/>
          <w:spacing w:val="2"/>
        </w:rPr>
        <w:t>o</w:t>
      </w:r>
      <w:r w:rsidRPr="00585C2D">
        <w:rPr>
          <w:rFonts w:eastAsia="Arial" w:cstheme="minorHAnsi"/>
          <w:spacing w:val="-2"/>
        </w:rPr>
        <w:t>r</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2"/>
        </w:rPr>
        <w:t>o</w:t>
      </w:r>
      <w:r w:rsidRPr="00585C2D">
        <w:rPr>
          <w:rFonts w:eastAsia="Arial" w:cstheme="minorHAnsi"/>
        </w:rPr>
        <w:t xml:space="preserve">n </w:t>
      </w:r>
      <w:r w:rsidRPr="00585C2D">
        <w:rPr>
          <w:rFonts w:eastAsia="Arial" w:cstheme="minorHAnsi"/>
          <w:spacing w:val="1"/>
        </w:rPr>
        <w:t>t</w:t>
      </w:r>
      <w:r w:rsidRPr="00585C2D">
        <w:rPr>
          <w:rFonts w:eastAsia="Arial" w:cstheme="minorHAnsi"/>
          <w:spacing w:val="2"/>
        </w:rPr>
        <w:t>h</w:t>
      </w:r>
      <w:r w:rsidRPr="00585C2D">
        <w:rPr>
          <w:rFonts w:eastAsia="Arial" w:cstheme="minorHAnsi"/>
        </w:rPr>
        <w:t>e</w:t>
      </w:r>
      <w:r w:rsidRPr="00585C2D">
        <w:rPr>
          <w:rFonts w:eastAsia="Arial" w:cstheme="minorHAnsi"/>
          <w:spacing w:val="3"/>
        </w:rPr>
        <w:t xml:space="preserve"> p</w:t>
      </w:r>
      <w:r w:rsidRPr="00585C2D">
        <w:rPr>
          <w:rFonts w:eastAsia="Arial" w:cstheme="minorHAnsi"/>
          <w:spacing w:val="-2"/>
        </w:rPr>
        <w:t>r</w:t>
      </w:r>
      <w:r w:rsidRPr="00585C2D">
        <w:rPr>
          <w:rFonts w:eastAsia="Arial" w:cstheme="minorHAnsi"/>
          <w:spacing w:val="2"/>
        </w:rPr>
        <w:t>o</w:t>
      </w:r>
      <w:r w:rsidRPr="00585C2D">
        <w:rPr>
          <w:rFonts w:eastAsia="Arial" w:cstheme="minorHAnsi"/>
        </w:rPr>
        <w:t>v</w:t>
      </w:r>
      <w:r w:rsidRPr="00585C2D">
        <w:rPr>
          <w:rFonts w:eastAsia="Arial" w:cstheme="minorHAnsi"/>
          <w:spacing w:val="-6"/>
        </w:rPr>
        <w:t>i</w:t>
      </w:r>
      <w:r w:rsidRPr="00585C2D">
        <w:rPr>
          <w:rFonts w:eastAsia="Arial" w:cstheme="minorHAnsi"/>
          <w:spacing w:val="2"/>
        </w:rPr>
        <w:t>d</w:t>
      </w:r>
      <w:r w:rsidRPr="00585C2D">
        <w:rPr>
          <w:rFonts w:eastAsia="Arial" w:cstheme="minorHAnsi"/>
          <w:spacing w:val="-3"/>
        </w:rPr>
        <w:t>e</w:t>
      </w:r>
      <w:r w:rsidRPr="00585C2D">
        <w:rPr>
          <w:rFonts w:eastAsia="Arial" w:cstheme="minorHAnsi"/>
        </w:rPr>
        <w:t>d</w:t>
      </w:r>
      <w:r w:rsidRPr="00585C2D">
        <w:rPr>
          <w:rFonts w:eastAsia="Arial" w:cstheme="minorHAnsi"/>
          <w:spacing w:val="8"/>
        </w:rPr>
        <w:t xml:space="preserve"> </w:t>
      </w:r>
      <w:r w:rsidRPr="00585C2D">
        <w:rPr>
          <w:rFonts w:eastAsia="Arial" w:cstheme="minorHAnsi"/>
        </w:rPr>
        <w:t>c</w:t>
      </w:r>
      <w:r w:rsidRPr="00585C2D">
        <w:rPr>
          <w:rFonts w:eastAsia="Arial" w:cstheme="minorHAnsi"/>
          <w:spacing w:val="-6"/>
        </w:rPr>
        <w:t>l</w:t>
      </w:r>
      <w:r w:rsidRPr="00585C2D">
        <w:rPr>
          <w:rFonts w:eastAsia="Arial" w:cstheme="minorHAnsi"/>
          <w:spacing w:val="2"/>
        </w:rPr>
        <w:t>a</w:t>
      </w:r>
      <w:r w:rsidRPr="00585C2D">
        <w:rPr>
          <w:rFonts w:eastAsia="Arial" w:cstheme="minorHAnsi"/>
          <w:spacing w:val="-1"/>
        </w:rPr>
        <w:t>i</w:t>
      </w:r>
      <w:r w:rsidRPr="00585C2D">
        <w:rPr>
          <w:rFonts w:eastAsia="Arial" w:cstheme="minorHAnsi"/>
        </w:rPr>
        <w:t xml:space="preserve">m </w:t>
      </w:r>
      <w:r w:rsidRPr="00585C2D">
        <w:rPr>
          <w:rFonts w:eastAsia="Arial" w:cstheme="minorHAnsi"/>
          <w:spacing w:val="6"/>
        </w:rPr>
        <w:t>f</w:t>
      </w:r>
      <w:r w:rsidRPr="00585C2D">
        <w:rPr>
          <w:rFonts w:eastAsia="Arial" w:cstheme="minorHAnsi"/>
          <w:spacing w:val="2"/>
        </w:rPr>
        <w:t>o</w:t>
      </w:r>
      <w:r w:rsidRPr="00585C2D">
        <w:rPr>
          <w:rFonts w:eastAsia="Arial" w:cstheme="minorHAnsi"/>
          <w:spacing w:val="-2"/>
        </w:rPr>
        <w:t>r</w:t>
      </w:r>
      <w:r w:rsidRPr="00585C2D">
        <w:rPr>
          <w:rFonts w:eastAsia="Arial" w:cstheme="minorHAnsi"/>
          <w:spacing w:val="1"/>
        </w:rPr>
        <w:t>m</w:t>
      </w:r>
      <w:r w:rsidRPr="00585C2D">
        <w:rPr>
          <w:rFonts w:eastAsia="Arial" w:cstheme="minorHAnsi"/>
        </w:rPr>
        <w:t>,</w:t>
      </w:r>
      <w:r w:rsidRPr="00585C2D">
        <w:rPr>
          <w:rFonts w:eastAsia="Arial" w:cstheme="minorHAnsi"/>
          <w:spacing w:val="7"/>
        </w:rPr>
        <w:t xml:space="preserve"> </w:t>
      </w:r>
      <w:r w:rsidRPr="00585C2D">
        <w:rPr>
          <w:rFonts w:eastAsia="Arial" w:cstheme="minorHAnsi"/>
          <w:spacing w:val="-1"/>
        </w:rPr>
        <w:t>wi</w:t>
      </w:r>
      <w:r w:rsidRPr="00585C2D">
        <w:rPr>
          <w:rFonts w:eastAsia="Arial" w:cstheme="minorHAnsi"/>
          <w:spacing w:val="-4"/>
        </w:rPr>
        <w:t>t</w:t>
      </w:r>
      <w:r w:rsidRPr="00585C2D">
        <w:rPr>
          <w:rFonts w:eastAsia="Arial" w:cstheme="minorHAnsi"/>
          <w:spacing w:val="3"/>
        </w:rPr>
        <w:t>h</w:t>
      </w:r>
      <w:r w:rsidRPr="00585C2D">
        <w:rPr>
          <w:rFonts w:eastAsia="Arial" w:cstheme="minorHAnsi"/>
          <w:spacing w:val="-1"/>
        </w:rPr>
        <w:t>i</w:t>
      </w:r>
      <w:r w:rsidRPr="00585C2D">
        <w:rPr>
          <w:rFonts w:eastAsia="Arial" w:cstheme="minorHAnsi"/>
        </w:rPr>
        <w:t>n</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1"/>
        </w:rPr>
        <w:t>w</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1"/>
        </w:rPr>
        <w:t>w</w:t>
      </w:r>
      <w:r w:rsidRPr="00585C2D">
        <w:rPr>
          <w:rFonts w:eastAsia="Arial" w:cstheme="minorHAnsi"/>
          <w:spacing w:val="-3"/>
        </w:rPr>
        <w:t>e</w:t>
      </w:r>
      <w:r w:rsidRPr="00585C2D">
        <w:rPr>
          <w:rFonts w:eastAsia="Arial" w:cstheme="minorHAnsi"/>
          <w:spacing w:val="2"/>
        </w:rPr>
        <w:t>e</w:t>
      </w:r>
      <w:r w:rsidRPr="00585C2D">
        <w:rPr>
          <w:rFonts w:eastAsia="Arial" w:cstheme="minorHAnsi"/>
          <w:spacing w:val="1"/>
        </w:rPr>
        <w:t>k</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5"/>
        </w:rPr>
        <w:t xml:space="preserve"> </w:t>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4"/>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2"/>
        </w:rPr>
        <w:t>r</w:t>
      </w:r>
      <w:r w:rsidRPr="00585C2D">
        <w:rPr>
          <w:rFonts w:eastAsia="Arial" w:cstheme="minorHAnsi"/>
          <w:spacing w:val="-3"/>
        </w:rPr>
        <w:t>e</w:t>
      </w:r>
      <w:r w:rsidRPr="00585C2D">
        <w:rPr>
          <w:rFonts w:eastAsia="Arial" w:cstheme="minorHAnsi"/>
          <w:spacing w:val="1"/>
        </w:rPr>
        <w:t>t</w:t>
      </w:r>
      <w:r w:rsidRPr="00585C2D">
        <w:rPr>
          <w:rFonts w:eastAsia="Arial" w:cstheme="minorHAnsi"/>
          <w:spacing w:val="2"/>
        </w:rPr>
        <w:t>u</w:t>
      </w:r>
      <w:r w:rsidRPr="00585C2D">
        <w:rPr>
          <w:rFonts w:eastAsia="Arial" w:cstheme="minorHAnsi"/>
          <w:spacing w:val="-2"/>
        </w:rPr>
        <w:t>r</w:t>
      </w:r>
      <w:r w:rsidRPr="00585C2D">
        <w:rPr>
          <w:rFonts w:eastAsia="Arial" w:cstheme="minorHAnsi"/>
          <w:spacing w:val="4"/>
        </w:rPr>
        <w:t>n</w:t>
      </w:r>
      <w:r w:rsidRPr="00585C2D">
        <w:rPr>
          <w:rFonts w:eastAsia="Arial" w:cstheme="minorHAnsi"/>
          <w:spacing w:val="-6"/>
        </w:rPr>
        <w:t>i</w:t>
      </w:r>
      <w:r w:rsidRPr="00585C2D">
        <w:rPr>
          <w:rFonts w:eastAsia="Arial" w:cstheme="minorHAnsi"/>
          <w:spacing w:val="2"/>
        </w:rPr>
        <w:t>n</w:t>
      </w:r>
      <w:r w:rsidRPr="00585C2D">
        <w:rPr>
          <w:rFonts w:eastAsia="Arial" w:cstheme="minorHAnsi"/>
        </w:rPr>
        <w:t>g</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1"/>
        </w:rPr>
        <w:t>Town</w:t>
      </w:r>
      <w:r w:rsidRPr="00585C2D">
        <w:rPr>
          <w:rFonts w:eastAsia="Arial" w:cstheme="minorHAnsi"/>
        </w:rPr>
        <w:t>.</w:t>
      </w:r>
      <w:r w:rsidRPr="00585C2D">
        <w:rPr>
          <w:rFonts w:eastAsia="Arial" w:cstheme="minorHAnsi"/>
          <w:spacing w:val="2"/>
        </w:rPr>
        <w:t xml:space="preserve"> </w:t>
      </w:r>
      <w:r w:rsidRPr="00585C2D">
        <w:rPr>
          <w:rFonts w:eastAsia="Arial" w:cstheme="minorHAnsi"/>
        </w:rPr>
        <w:t>F</w:t>
      </w:r>
      <w:r w:rsidRPr="00585C2D">
        <w:rPr>
          <w:rFonts w:eastAsia="Arial" w:cstheme="minorHAnsi"/>
          <w:spacing w:val="-2"/>
        </w:rPr>
        <w:t>i</w:t>
      </w:r>
      <w:r w:rsidRPr="00585C2D">
        <w:rPr>
          <w:rFonts w:eastAsia="Arial" w:cstheme="minorHAnsi"/>
          <w:spacing w:val="-3"/>
        </w:rPr>
        <w:t>n</w:t>
      </w:r>
      <w:r w:rsidRPr="00585C2D">
        <w:rPr>
          <w:rFonts w:eastAsia="Arial" w:cstheme="minorHAnsi"/>
          <w:spacing w:val="2"/>
        </w:rPr>
        <w:t>a</w:t>
      </w:r>
      <w:r w:rsidRPr="00585C2D">
        <w:rPr>
          <w:rFonts w:eastAsia="Arial" w:cstheme="minorHAnsi"/>
        </w:rPr>
        <w:t>l c</w:t>
      </w:r>
      <w:r w:rsidRPr="00585C2D">
        <w:rPr>
          <w:rFonts w:eastAsia="Arial" w:cstheme="minorHAnsi"/>
          <w:spacing w:val="-1"/>
        </w:rPr>
        <w:t>l</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m</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3"/>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6"/>
        </w:rPr>
        <w:t>f</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an</w:t>
      </w:r>
      <w:r w:rsidRPr="00585C2D">
        <w:rPr>
          <w:rFonts w:eastAsia="Arial" w:cstheme="minorHAnsi"/>
        </w:rPr>
        <w:t>c</w:t>
      </w:r>
      <w:r w:rsidRPr="00585C2D">
        <w:rPr>
          <w:rFonts w:eastAsia="Arial" w:cstheme="minorHAnsi"/>
          <w:spacing w:val="-6"/>
        </w:rPr>
        <w:t>i</w:t>
      </w:r>
      <w:r w:rsidRPr="00585C2D">
        <w:rPr>
          <w:rFonts w:eastAsia="Arial" w:cstheme="minorHAnsi"/>
          <w:spacing w:val="2"/>
        </w:rPr>
        <w:t>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5"/>
        </w:rPr>
        <w:t>y</w:t>
      </w:r>
      <w:r w:rsidRPr="00585C2D">
        <w:rPr>
          <w:rFonts w:eastAsia="Arial" w:cstheme="minorHAnsi"/>
          <w:spacing w:val="2"/>
        </w:rPr>
        <w:t>ea</w:t>
      </w:r>
      <w:r w:rsidRPr="00585C2D">
        <w:rPr>
          <w:rFonts w:eastAsia="Arial" w:cstheme="minorHAnsi"/>
        </w:rPr>
        <w:t>r</w:t>
      </w:r>
      <w:r w:rsidRPr="00585C2D">
        <w:rPr>
          <w:rFonts w:eastAsia="Arial" w:cstheme="minorHAnsi"/>
          <w:spacing w:val="-1"/>
        </w:rPr>
        <w:t xml:space="preserve"> </w:t>
      </w:r>
      <w:r w:rsidRPr="00585C2D">
        <w:rPr>
          <w:rFonts w:eastAsia="Arial" w:cstheme="minorHAnsi"/>
          <w:spacing w:val="-2"/>
        </w:rPr>
        <w:t>m</w:t>
      </w:r>
      <w:r w:rsidRPr="00585C2D">
        <w:rPr>
          <w:rFonts w:eastAsia="Arial" w:cstheme="minorHAnsi"/>
          <w:spacing w:val="2"/>
        </w:rPr>
        <w:t>u</w:t>
      </w:r>
      <w:r w:rsidRPr="00585C2D">
        <w:rPr>
          <w:rFonts w:eastAsia="Arial" w:cstheme="minorHAnsi"/>
        </w:rPr>
        <w:t>st</w:t>
      </w:r>
      <w:r w:rsidRPr="00585C2D">
        <w:rPr>
          <w:rFonts w:eastAsia="Arial" w:cstheme="minorHAnsi"/>
          <w:spacing w:val="-3"/>
        </w:rPr>
        <w:t xml:space="preserve"> </w:t>
      </w:r>
      <w:r w:rsidRPr="00585C2D">
        <w:rPr>
          <w:rFonts w:eastAsia="Arial" w:cstheme="minorHAnsi"/>
          <w:spacing w:val="2"/>
        </w:rPr>
        <w:t>b</w:t>
      </w:r>
      <w:r w:rsidRPr="00585C2D">
        <w:rPr>
          <w:rFonts w:eastAsia="Arial" w:cstheme="minorHAnsi"/>
        </w:rPr>
        <w:t>e</w:t>
      </w:r>
      <w:r w:rsidRPr="00585C2D">
        <w:rPr>
          <w:rFonts w:eastAsia="Arial" w:cstheme="minorHAnsi"/>
          <w:spacing w:val="3"/>
        </w:rPr>
        <w:t xml:space="preserve"> </w:t>
      </w:r>
      <w:r w:rsidRPr="00585C2D">
        <w:rPr>
          <w:rFonts w:eastAsia="Arial" w:cstheme="minorHAnsi"/>
        </w:rPr>
        <w:t>s</w:t>
      </w:r>
      <w:r w:rsidRPr="00585C2D">
        <w:rPr>
          <w:rFonts w:eastAsia="Arial" w:cstheme="minorHAnsi"/>
          <w:spacing w:val="-3"/>
        </w:rPr>
        <w:t>u</w:t>
      </w:r>
      <w:r w:rsidRPr="00585C2D">
        <w:rPr>
          <w:rFonts w:eastAsia="Arial" w:cstheme="minorHAnsi"/>
          <w:spacing w:val="2"/>
        </w:rPr>
        <w:t>b</w:t>
      </w:r>
      <w:r w:rsidRPr="00585C2D">
        <w:rPr>
          <w:rFonts w:eastAsia="Arial" w:cstheme="minorHAnsi"/>
          <w:spacing w:val="-2"/>
        </w:rPr>
        <w:t>m</w:t>
      </w:r>
      <w:r w:rsidRPr="00585C2D">
        <w:rPr>
          <w:rFonts w:eastAsia="Arial" w:cstheme="minorHAnsi"/>
          <w:spacing w:val="-6"/>
        </w:rPr>
        <w:t>i</w:t>
      </w:r>
      <w:r w:rsidRPr="00585C2D">
        <w:rPr>
          <w:rFonts w:eastAsia="Arial" w:cstheme="minorHAnsi"/>
          <w:spacing w:val="1"/>
        </w:rPr>
        <w:t>tt</w:t>
      </w:r>
      <w:r w:rsidRPr="00585C2D">
        <w:rPr>
          <w:rFonts w:eastAsia="Arial" w:cstheme="minorHAnsi"/>
          <w:spacing w:val="-3"/>
        </w:rPr>
        <w:t>e</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3"/>
        </w:rPr>
        <w:t>3</w:t>
      </w:r>
      <w:r w:rsidRPr="00585C2D">
        <w:rPr>
          <w:rFonts w:eastAsia="Arial" w:cstheme="minorHAnsi"/>
        </w:rPr>
        <w:t>1</w:t>
      </w:r>
      <w:r w:rsidRPr="00585C2D">
        <w:rPr>
          <w:rFonts w:eastAsia="Arial" w:cstheme="minorHAnsi"/>
          <w:spacing w:val="7"/>
        </w:rPr>
        <w:t xml:space="preserve"> </w:t>
      </w:r>
      <w:r w:rsidRPr="00585C2D">
        <w:rPr>
          <w:rFonts w:eastAsia="Arial" w:cstheme="minorHAnsi"/>
          <w:spacing w:val="-5"/>
        </w:rPr>
        <w:t>J</w:t>
      </w:r>
      <w:r w:rsidRPr="00585C2D">
        <w:rPr>
          <w:rFonts w:eastAsia="Arial" w:cstheme="minorHAnsi"/>
          <w:spacing w:val="2"/>
        </w:rPr>
        <w:t>u</w:t>
      </w:r>
      <w:r w:rsidRPr="00585C2D">
        <w:rPr>
          <w:rFonts w:eastAsia="Arial" w:cstheme="minorHAnsi"/>
          <w:spacing w:val="-1"/>
        </w:rPr>
        <w:t>l</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2"/>
        </w:rPr>
        <w:t>ha</w:t>
      </w:r>
      <w:r w:rsidRPr="00585C2D">
        <w:rPr>
          <w:rFonts w:eastAsia="Arial" w:cstheme="minorHAnsi"/>
        </w:rPr>
        <w:t>t</w:t>
      </w:r>
      <w:r w:rsidRPr="00585C2D">
        <w:rPr>
          <w:rFonts w:eastAsia="Arial" w:cstheme="minorHAnsi"/>
          <w:spacing w:val="2"/>
        </w:rPr>
        <w:t xml:space="preserve"> </w:t>
      </w:r>
      <w:r w:rsidRPr="00585C2D">
        <w:rPr>
          <w:rFonts w:eastAsia="Arial" w:cstheme="minorHAnsi"/>
          <w:spacing w:val="-5"/>
        </w:rPr>
        <w:t>y</w:t>
      </w:r>
      <w:r w:rsidRPr="00585C2D">
        <w:rPr>
          <w:rFonts w:eastAsia="Arial" w:cstheme="minorHAnsi"/>
          <w:spacing w:val="2"/>
        </w:rPr>
        <w:t>ea</w:t>
      </w:r>
      <w:r w:rsidRPr="00585C2D">
        <w:rPr>
          <w:rFonts w:eastAsia="Arial" w:cstheme="minorHAnsi"/>
        </w:rPr>
        <w:t>r</w:t>
      </w:r>
      <w:r w:rsidRPr="00585C2D">
        <w:rPr>
          <w:rFonts w:eastAsia="Arial" w:cstheme="minorHAnsi"/>
          <w:spacing w:val="-1"/>
        </w:rPr>
        <w:t xml:space="preserve"> </w:t>
      </w:r>
      <w:r w:rsidRPr="00585C2D">
        <w:rPr>
          <w:rFonts w:eastAsia="Arial" w:cstheme="minorHAnsi"/>
          <w:spacing w:val="-2"/>
        </w:rPr>
        <w:t>(</w:t>
      </w:r>
      <w:r w:rsidRPr="00585C2D">
        <w:rPr>
          <w:rFonts w:eastAsia="Arial" w:cstheme="minorHAnsi"/>
          <w:spacing w:val="2"/>
        </w:rPr>
        <w:t>3</w:t>
      </w:r>
      <w:r w:rsidRPr="00585C2D">
        <w:rPr>
          <w:rFonts w:eastAsia="Arial" w:cstheme="minorHAnsi"/>
        </w:rPr>
        <w:t>1</w:t>
      </w:r>
      <w:r w:rsidRPr="00585C2D">
        <w:rPr>
          <w:rFonts w:eastAsia="Arial" w:cstheme="minorHAnsi"/>
          <w:spacing w:val="-2"/>
        </w:rPr>
        <w:t xml:space="preserve"> </w:t>
      </w:r>
      <w:r w:rsidRPr="00585C2D">
        <w:rPr>
          <w:rFonts w:eastAsia="Arial" w:cstheme="minorHAnsi"/>
          <w:spacing w:val="2"/>
        </w:rPr>
        <w:t>da</w:t>
      </w:r>
      <w:r w:rsidRPr="00585C2D">
        <w:rPr>
          <w:rFonts w:eastAsia="Arial" w:cstheme="minorHAnsi"/>
        </w:rPr>
        <w:t>ys</w:t>
      </w:r>
      <w:r w:rsidRPr="00585C2D">
        <w:rPr>
          <w:rFonts w:eastAsia="Arial" w:cstheme="minorHAnsi"/>
          <w:spacing w:val="-4"/>
        </w:rPr>
        <w:t xml:space="preserve"> </w:t>
      </w:r>
      <w:r w:rsidRPr="00585C2D">
        <w:rPr>
          <w:rFonts w:eastAsia="Arial" w:cstheme="minorHAnsi"/>
          <w:spacing w:val="-3"/>
        </w:rPr>
        <w:t>a</w:t>
      </w:r>
      <w:r w:rsidRPr="00585C2D">
        <w:rPr>
          <w:rFonts w:eastAsia="Arial" w:cstheme="minorHAnsi"/>
          <w:spacing w:val="6"/>
        </w:rPr>
        <w:t>f</w:t>
      </w:r>
      <w:r w:rsidRPr="00585C2D">
        <w:rPr>
          <w:rFonts w:eastAsia="Arial" w:cstheme="minorHAnsi"/>
          <w:spacing w:val="-4"/>
        </w:rPr>
        <w:t>t</w:t>
      </w:r>
      <w:r w:rsidRPr="00585C2D">
        <w:rPr>
          <w:rFonts w:eastAsia="Arial" w:cstheme="minorHAnsi"/>
          <w:spacing w:val="2"/>
        </w:rPr>
        <w:t>e</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 xml:space="preserve">e </w:t>
      </w:r>
      <w:r w:rsidRPr="00585C2D">
        <w:rPr>
          <w:rFonts w:eastAsia="Arial" w:cstheme="minorHAnsi"/>
          <w:spacing w:val="2"/>
        </w:rPr>
        <w:t>e</w:t>
      </w:r>
      <w:r w:rsidRPr="00585C2D">
        <w:rPr>
          <w:rFonts w:eastAsia="Arial" w:cstheme="minorHAnsi"/>
          <w:spacing w:val="-3"/>
        </w:rPr>
        <w:t>n</w:t>
      </w:r>
      <w:r w:rsidRPr="00585C2D">
        <w:rPr>
          <w:rFonts w:eastAsia="Arial" w:cstheme="minorHAnsi"/>
        </w:rPr>
        <w:t>d</w:t>
      </w:r>
      <w:r w:rsidRPr="00585C2D">
        <w:rPr>
          <w:rFonts w:eastAsia="Arial" w:cstheme="minorHAnsi"/>
          <w:spacing w:val="27"/>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1"/>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22"/>
        </w:rPr>
        <w:t xml:space="preserve"> </w:t>
      </w:r>
      <w:r w:rsidRPr="00585C2D">
        <w:rPr>
          <w:rFonts w:eastAsia="Arial" w:cstheme="minorHAnsi"/>
          <w:spacing w:val="6"/>
        </w:rPr>
        <w:t>f</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an</w:t>
      </w:r>
      <w:r w:rsidRPr="00585C2D">
        <w:rPr>
          <w:rFonts w:eastAsia="Arial" w:cstheme="minorHAnsi"/>
        </w:rPr>
        <w:t>c</w:t>
      </w:r>
      <w:r w:rsidRPr="00585C2D">
        <w:rPr>
          <w:rFonts w:eastAsia="Arial" w:cstheme="minorHAnsi"/>
          <w:spacing w:val="-6"/>
        </w:rPr>
        <w:t>i</w:t>
      </w:r>
      <w:r w:rsidRPr="00585C2D">
        <w:rPr>
          <w:rFonts w:eastAsia="Arial" w:cstheme="minorHAnsi"/>
          <w:spacing w:val="2"/>
        </w:rPr>
        <w:t>a</w:t>
      </w:r>
      <w:r w:rsidRPr="00585C2D">
        <w:rPr>
          <w:rFonts w:eastAsia="Arial" w:cstheme="minorHAnsi"/>
        </w:rPr>
        <w:t>l</w:t>
      </w:r>
      <w:r w:rsidRPr="00585C2D">
        <w:rPr>
          <w:rFonts w:eastAsia="Arial" w:cstheme="minorHAnsi"/>
          <w:spacing w:val="29"/>
        </w:rPr>
        <w:t xml:space="preserve"> </w:t>
      </w:r>
      <w:r w:rsidRPr="00585C2D">
        <w:rPr>
          <w:rFonts w:eastAsia="Arial" w:cstheme="minorHAnsi"/>
          <w:spacing w:val="-5"/>
        </w:rPr>
        <w:t>y</w:t>
      </w:r>
      <w:r w:rsidRPr="00585C2D">
        <w:rPr>
          <w:rFonts w:eastAsia="Arial" w:cstheme="minorHAnsi"/>
          <w:spacing w:val="2"/>
        </w:rPr>
        <w:t>ea</w:t>
      </w:r>
      <w:r w:rsidRPr="00585C2D">
        <w:rPr>
          <w:rFonts w:eastAsia="Arial" w:cstheme="minorHAnsi"/>
          <w:spacing w:val="-2"/>
        </w:rPr>
        <w:t>r)</w:t>
      </w:r>
      <w:r w:rsidRPr="00585C2D">
        <w:rPr>
          <w:rFonts w:eastAsia="Arial" w:cstheme="minorHAnsi"/>
        </w:rPr>
        <w:t>.</w:t>
      </w:r>
      <w:r w:rsidRPr="00585C2D">
        <w:rPr>
          <w:rFonts w:eastAsia="Arial" w:cstheme="minorHAnsi"/>
          <w:spacing w:val="26"/>
        </w:rPr>
        <w:t xml:space="preserve"> </w:t>
      </w:r>
      <w:r w:rsidRPr="00585C2D">
        <w:rPr>
          <w:rFonts w:eastAsia="Arial" w:cstheme="minorHAnsi"/>
          <w:spacing w:val="-1"/>
        </w:rPr>
        <w:t>N</w:t>
      </w:r>
      <w:r w:rsidRPr="00585C2D">
        <w:rPr>
          <w:rFonts w:eastAsia="Arial" w:cstheme="minorHAnsi"/>
        </w:rPr>
        <w:t>o</w:t>
      </w:r>
      <w:r w:rsidRPr="00585C2D">
        <w:rPr>
          <w:rFonts w:eastAsia="Arial" w:cstheme="minorHAnsi"/>
          <w:spacing w:val="27"/>
        </w:rPr>
        <w:t xml:space="preserve"> </w:t>
      </w:r>
      <w:r w:rsidRPr="00585C2D">
        <w:rPr>
          <w:rFonts w:eastAsia="Arial" w:cstheme="minorHAnsi"/>
          <w:spacing w:val="-3"/>
        </w:rPr>
        <w:t>b</w:t>
      </w:r>
      <w:r w:rsidRPr="00585C2D">
        <w:rPr>
          <w:rFonts w:eastAsia="Arial" w:cstheme="minorHAnsi"/>
          <w:spacing w:val="2"/>
        </w:rPr>
        <w:t>a</w:t>
      </w:r>
      <w:r w:rsidRPr="00585C2D">
        <w:rPr>
          <w:rFonts w:eastAsia="Arial" w:cstheme="minorHAnsi"/>
        </w:rPr>
        <w:t>ck</w:t>
      </w:r>
      <w:r w:rsidRPr="00585C2D">
        <w:rPr>
          <w:rFonts w:eastAsia="Arial" w:cstheme="minorHAnsi"/>
          <w:spacing w:val="25"/>
        </w:rPr>
        <w:t xml:space="preserve"> </w:t>
      </w:r>
      <w:r w:rsidRPr="00585C2D">
        <w:rPr>
          <w:rFonts w:eastAsia="Arial" w:cstheme="minorHAnsi"/>
          <w:spacing w:val="-3"/>
        </w:rPr>
        <w:t>p</w:t>
      </w:r>
      <w:r w:rsidRPr="00585C2D">
        <w:rPr>
          <w:rFonts w:eastAsia="Arial" w:cstheme="minorHAnsi"/>
          <w:spacing w:val="2"/>
        </w:rPr>
        <w:t>a</w:t>
      </w:r>
      <w:r w:rsidRPr="00585C2D">
        <w:rPr>
          <w:rFonts w:eastAsia="Arial" w:cstheme="minorHAnsi"/>
        </w:rPr>
        <w:t>y</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rPr>
        <w:t>t</w:t>
      </w:r>
      <w:r w:rsidRPr="00585C2D">
        <w:rPr>
          <w:rFonts w:eastAsia="Arial" w:cstheme="minorHAnsi"/>
          <w:spacing w:val="26"/>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31"/>
        </w:rPr>
        <w:t xml:space="preserve"> </w:t>
      </w:r>
      <w:r w:rsidRPr="00585C2D">
        <w:rPr>
          <w:rFonts w:eastAsia="Arial" w:cstheme="minorHAnsi"/>
          <w:spacing w:val="-5"/>
        </w:rPr>
        <w:t>c</w:t>
      </w:r>
      <w:r w:rsidRPr="00585C2D">
        <w:rPr>
          <w:rFonts w:eastAsia="Arial" w:cstheme="minorHAnsi"/>
          <w:spacing w:val="-1"/>
        </w:rPr>
        <w:t>l</w:t>
      </w:r>
      <w:r w:rsidRPr="00585C2D">
        <w:rPr>
          <w:rFonts w:eastAsia="Arial" w:cstheme="minorHAnsi"/>
          <w:spacing w:val="2"/>
        </w:rPr>
        <w:t>a</w:t>
      </w:r>
      <w:r w:rsidRPr="00585C2D">
        <w:rPr>
          <w:rFonts w:eastAsia="Arial" w:cstheme="minorHAnsi"/>
          <w:spacing w:val="-1"/>
        </w:rPr>
        <w:t>i</w:t>
      </w:r>
      <w:r w:rsidRPr="00585C2D">
        <w:rPr>
          <w:rFonts w:eastAsia="Arial" w:cstheme="minorHAnsi"/>
          <w:spacing w:val="-2"/>
        </w:rPr>
        <w:t>m</w:t>
      </w:r>
      <w:r w:rsidRPr="00585C2D">
        <w:rPr>
          <w:rFonts w:eastAsia="Arial" w:cstheme="minorHAnsi"/>
        </w:rPr>
        <w:t>s</w:t>
      </w:r>
      <w:r w:rsidRPr="00585C2D">
        <w:rPr>
          <w:rFonts w:eastAsia="Arial" w:cstheme="minorHAnsi"/>
          <w:spacing w:val="30"/>
        </w:rPr>
        <w:t xml:space="preserve"> </w:t>
      </w:r>
      <w:r w:rsidRPr="00585C2D">
        <w:rPr>
          <w:rFonts w:eastAsia="Arial" w:cstheme="minorHAnsi"/>
          <w:spacing w:val="-2"/>
        </w:rPr>
        <w:t>r</w:t>
      </w:r>
      <w:r w:rsidRPr="00585C2D">
        <w:rPr>
          <w:rFonts w:eastAsia="Arial" w:cstheme="minorHAnsi"/>
          <w:spacing w:val="2"/>
        </w:rPr>
        <w:t>e</w:t>
      </w:r>
      <w:r w:rsidRPr="00585C2D">
        <w:rPr>
          <w:rFonts w:eastAsia="Arial" w:cstheme="minorHAnsi"/>
          <w:spacing w:val="-1"/>
        </w:rPr>
        <w:t>l</w:t>
      </w:r>
      <w:r w:rsidRPr="00585C2D">
        <w:rPr>
          <w:rFonts w:eastAsia="Arial" w:cstheme="minorHAnsi"/>
          <w:spacing w:val="-3"/>
        </w:rPr>
        <w:t>a</w:t>
      </w:r>
      <w:r w:rsidRPr="00585C2D">
        <w:rPr>
          <w:rFonts w:eastAsia="Arial" w:cstheme="minorHAnsi"/>
          <w:spacing w:val="1"/>
        </w:rPr>
        <w:t>t</w:t>
      </w:r>
      <w:r w:rsidRPr="00585C2D">
        <w:rPr>
          <w:rFonts w:eastAsia="Arial" w:cstheme="minorHAnsi"/>
          <w:spacing w:val="-1"/>
        </w:rPr>
        <w:t>i</w:t>
      </w:r>
      <w:r w:rsidRPr="00585C2D">
        <w:rPr>
          <w:rFonts w:eastAsia="Arial" w:cstheme="minorHAnsi"/>
          <w:spacing w:val="2"/>
        </w:rPr>
        <w:t>n</w:t>
      </w:r>
      <w:r w:rsidRPr="00585C2D">
        <w:rPr>
          <w:rFonts w:eastAsia="Arial" w:cstheme="minorHAnsi"/>
        </w:rPr>
        <w:t>g</w:t>
      </w:r>
      <w:r w:rsidRPr="00585C2D">
        <w:rPr>
          <w:rFonts w:eastAsia="Arial" w:cstheme="minorHAnsi"/>
          <w:spacing w:val="27"/>
        </w:rPr>
        <w:t xml:space="preserve"> </w:t>
      </w:r>
      <w:r w:rsidRPr="00585C2D">
        <w:rPr>
          <w:rFonts w:eastAsia="Arial" w:cstheme="minorHAnsi"/>
          <w:spacing w:val="-4"/>
        </w:rPr>
        <w:t>t</w:t>
      </w:r>
      <w:r w:rsidRPr="00585C2D">
        <w:rPr>
          <w:rFonts w:eastAsia="Arial" w:cstheme="minorHAnsi"/>
        </w:rPr>
        <w:t>o</w:t>
      </w:r>
      <w:r w:rsidRPr="00585C2D">
        <w:rPr>
          <w:rFonts w:eastAsia="Arial" w:cstheme="minorHAnsi"/>
          <w:spacing w:val="27"/>
        </w:rPr>
        <w:t xml:space="preserve"> </w:t>
      </w:r>
      <w:r w:rsidRPr="00585C2D">
        <w:rPr>
          <w:rFonts w:eastAsia="Arial" w:cstheme="minorHAnsi"/>
          <w:spacing w:val="2"/>
        </w:rPr>
        <w:t>p</w:t>
      </w:r>
      <w:r w:rsidRPr="00585C2D">
        <w:rPr>
          <w:rFonts w:eastAsia="Arial" w:cstheme="minorHAnsi"/>
          <w:spacing w:val="-2"/>
        </w:rPr>
        <w:t>r</w:t>
      </w:r>
      <w:r w:rsidRPr="00585C2D">
        <w:rPr>
          <w:rFonts w:eastAsia="Arial" w:cstheme="minorHAnsi"/>
          <w:spacing w:val="11"/>
        </w:rPr>
        <w:t>i</w:t>
      </w:r>
      <w:r w:rsidRPr="00585C2D">
        <w:rPr>
          <w:rFonts w:eastAsia="Arial" w:cstheme="minorHAnsi"/>
          <w:spacing w:val="2"/>
        </w:rPr>
        <w:t>o</w:t>
      </w:r>
      <w:r w:rsidRPr="00585C2D">
        <w:rPr>
          <w:rFonts w:eastAsia="Arial" w:cstheme="minorHAnsi"/>
        </w:rPr>
        <w:t>r</w:t>
      </w:r>
      <w:r w:rsidRPr="00585C2D">
        <w:rPr>
          <w:rFonts w:eastAsia="Arial" w:cstheme="minorHAnsi"/>
          <w:spacing w:val="19"/>
        </w:rPr>
        <w:t xml:space="preserve"> </w:t>
      </w:r>
      <w:r w:rsidRPr="00585C2D">
        <w:rPr>
          <w:rFonts w:eastAsia="Arial" w:cstheme="minorHAnsi"/>
          <w:spacing w:val="6"/>
        </w:rPr>
        <w:t>f</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an</w:t>
      </w:r>
      <w:r w:rsidRPr="00585C2D">
        <w:rPr>
          <w:rFonts w:eastAsia="Arial" w:cstheme="minorHAnsi"/>
        </w:rPr>
        <w:t>c</w:t>
      </w:r>
      <w:r w:rsidRPr="00585C2D">
        <w:rPr>
          <w:rFonts w:eastAsia="Arial" w:cstheme="minorHAnsi"/>
          <w:spacing w:val="-6"/>
        </w:rPr>
        <w:t>i</w:t>
      </w:r>
      <w:r w:rsidRPr="00585C2D">
        <w:rPr>
          <w:rFonts w:eastAsia="Arial" w:cstheme="minorHAnsi"/>
          <w:spacing w:val="2"/>
        </w:rPr>
        <w:t>a</w:t>
      </w:r>
      <w:r w:rsidRPr="00585C2D">
        <w:rPr>
          <w:rFonts w:eastAsia="Arial" w:cstheme="minorHAnsi"/>
        </w:rPr>
        <w:t>l</w:t>
      </w:r>
      <w:r w:rsidRPr="00585C2D">
        <w:rPr>
          <w:rFonts w:eastAsia="Arial" w:cstheme="minorHAnsi"/>
          <w:spacing w:val="29"/>
        </w:rPr>
        <w:t xml:space="preserve"> </w:t>
      </w:r>
      <w:r w:rsidRPr="00585C2D">
        <w:rPr>
          <w:rFonts w:eastAsia="Arial" w:cstheme="minorHAnsi"/>
          <w:spacing w:val="-5"/>
        </w:rPr>
        <w:t>y</w:t>
      </w:r>
      <w:r w:rsidRPr="00585C2D">
        <w:rPr>
          <w:rFonts w:eastAsia="Arial" w:cstheme="minorHAnsi"/>
          <w:spacing w:val="2"/>
        </w:rPr>
        <w:t>ea</w:t>
      </w:r>
      <w:r w:rsidRPr="00585C2D">
        <w:rPr>
          <w:rFonts w:eastAsia="Arial" w:cstheme="minorHAnsi"/>
          <w:spacing w:val="-2"/>
        </w:rPr>
        <w:t>r</w:t>
      </w:r>
      <w:r w:rsidRPr="00585C2D">
        <w:rPr>
          <w:rFonts w:eastAsia="Arial" w:cstheme="minorHAnsi"/>
        </w:rPr>
        <w:t>s</w:t>
      </w:r>
      <w:r w:rsidRPr="00585C2D">
        <w:rPr>
          <w:rFonts w:eastAsia="Arial" w:cstheme="minorHAnsi"/>
          <w:spacing w:val="25"/>
        </w:rPr>
        <w:t xml:space="preserve"> </w:t>
      </w:r>
      <w:r w:rsidRPr="00585C2D">
        <w:rPr>
          <w:rFonts w:eastAsia="Arial" w:cstheme="minorHAnsi"/>
          <w:spacing w:val="-1"/>
        </w:rPr>
        <w:t>wil</w:t>
      </w:r>
      <w:r w:rsidRPr="00585C2D">
        <w:rPr>
          <w:rFonts w:eastAsia="Arial" w:cstheme="minorHAnsi"/>
        </w:rPr>
        <w:t>l</w:t>
      </w:r>
      <w:r w:rsidRPr="00585C2D">
        <w:rPr>
          <w:rFonts w:eastAsia="Arial" w:cstheme="minorHAnsi"/>
          <w:spacing w:val="29"/>
        </w:rPr>
        <w:t xml:space="preserve"> </w:t>
      </w:r>
      <w:r w:rsidRPr="00585C2D">
        <w:rPr>
          <w:rFonts w:eastAsia="Arial" w:cstheme="minorHAnsi"/>
          <w:spacing w:val="-3"/>
        </w:rPr>
        <w:t>b</w:t>
      </w:r>
      <w:r w:rsidRPr="00585C2D">
        <w:rPr>
          <w:rFonts w:eastAsia="Arial" w:cstheme="minorHAnsi"/>
        </w:rPr>
        <w:t xml:space="preserve">e </w:t>
      </w:r>
      <w:r w:rsidRPr="00585C2D">
        <w:rPr>
          <w:rFonts w:eastAsia="Arial" w:cstheme="minorHAnsi"/>
          <w:spacing w:val="2"/>
        </w:rPr>
        <w:t>pe</w:t>
      </w:r>
      <w:r w:rsidRPr="00585C2D">
        <w:rPr>
          <w:rFonts w:eastAsia="Arial" w:cstheme="minorHAnsi"/>
          <w:spacing w:val="-2"/>
        </w:rPr>
        <w:t>rm</w:t>
      </w:r>
      <w:r w:rsidRPr="00585C2D">
        <w:rPr>
          <w:rFonts w:eastAsia="Arial" w:cstheme="minorHAnsi"/>
          <w:spacing w:val="-1"/>
        </w:rPr>
        <w:t>i</w:t>
      </w:r>
      <w:r w:rsidRPr="00585C2D">
        <w:rPr>
          <w:rFonts w:eastAsia="Arial" w:cstheme="minorHAnsi"/>
          <w:spacing w:val="1"/>
        </w:rPr>
        <w:t>tt</w:t>
      </w:r>
      <w:r w:rsidRPr="00585C2D">
        <w:rPr>
          <w:rFonts w:eastAsia="Arial" w:cstheme="minorHAnsi"/>
          <w:spacing w:val="-3"/>
        </w:rPr>
        <w:t>e</w:t>
      </w:r>
      <w:r w:rsidRPr="00585C2D">
        <w:rPr>
          <w:rFonts w:eastAsia="Arial" w:cstheme="minorHAnsi"/>
          <w:spacing w:val="2"/>
        </w:rPr>
        <w:t>d</w:t>
      </w:r>
      <w:r w:rsidRPr="00585C2D">
        <w:rPr>
          <w:rFonts w:eastAsia="Arial" w:cstheme="minorHAnsi"/>
        </w:rPr>
        <w:t>.</w:t>
      </w:r>
    </w:p>
    <w:p w14:paraId="7EA47AD8" w14:textId="77777777" w:rsidR="00FC0CF1" w:rsidRPr="00F523B6" w:rsidRDefault="00FC0CF1" w:rsidP="00FC0CF1">
      <w:pPr>
        <w:spacing w:after="0" w:line="240" w:lineRule="auto"/>
        <w:ind w:left="851" w:right="-20" w:hanging="425"/>
        <w:rPr>
          <w:rFonts w:eastAsia="Arial" w:cstheme="minorHAnsi"/>
        </w:rPr>
      </w:pPr>
      <w:r>
        <w:rPr>
          <w:rFonts w:eastAsia="Arial" w:cstheme="minorHAnsi"/>
          <w:bCs/>
          <w:spacing w:val="1"/>
        </w:rPr>
        <w:t>5</w:t>
      </w:r>
      <w:r w:rsidRPr="00F523B6">
        <w:rPr>
          <w:rFonts w:eastAsia="Arial" w:cstheme="minorHAnsi"/>
          <w:bCs/>
          <w:spacing w:val="1"/>
        </w:rPr>
        <w:t>.</w:t>
      </w:r>
      <w:r w:rsidRPr="00F523B6">
        <w:rPr>
          <w:rFonts w:eastAsia="Arial" w:cstheme="minorHAnsi"/>
          <w:bCs/>
        </w:rPr>
        <w:t>2</w:t>
      </w:r>
      <w:r w:rsidRPr="00F523B6">
        <w:rPr>
          <w:rFonts w:eastAsia="Arial" w:cstheme="minorHAnsi"/>
          <w:bCs/>
          <w:spacing w:val="-11"/>
        </w:rPr>
        <w:t xml:space="preserve"> </w:t>
      </w:r>
      <w:r w:rsidRPr="00F523B6">
        <w:rPr>
          <w:rFonts w:eastAsia="Arial" w:cstheme="minorHAnsi"/>
          <w:bCs/>
          <w:spacing w:val="-11"/>
        </w:rPr>
        <w:tab/>
      </w:r>
      <w:r w:rsidRPr="00F523B6">
        <w:rPr>
          <w:rFonts w:eastAsia="Arial" w:cstheme="minorHAnsi"/>
          <w:bCs/>
          <w:spacing w:val="4"/>
          <w:u w:val="single"/>
        </w:rPr>
        <w:t>T</w:t>
      </w:r>
      <w:r w:rsidRPr="00F523B6">
        <w:rPr>
          <w:rFonts w:eastAsia="Arial" w:cstheme="minorHAnsi"/>
          <w:bCs/>
          <w:spacing w:val="-4"/>
          <w:u w:val="single"/>
        </w:rPr>
        <w:t>r</w:t>
      </w:r>
      <w:r w:rsidRPr="00F523B6">
        <w:rPr>
          <w:rFonts w:eastAsia="Arial" w:cstheme="minorHAnsi"/>
          <w:bCs/>
          <w:spacing w:val="2"/>
          <w:u w:val="single"/>
        </w:rPr>
        <w:t>a</w:t>
      </w:r>
      <w:r w:rsidRPr="00F523B6">
        <w:rPr>
          <w:rFonts w:eastAsia="Arial" w:cstheme="minorHAnsi"/>
          <w:bCs/>
          <w:spacing w:val="-3"/>
          <w:u w:val="single"/>
        </w:rPr>
        <w:t>v</w:t>
      </w:r>
      <w:r w:rsidRPr="00F523B6">
        <w:rPr>
          <w:rFonts w:eastAsia="Arial" w:cstheme="minorHAnsi"/>
          <w:bCs/>
          <w:spacing w:val="2"/>
          <w:u w:val="single"/>
        </w:rPr>
        <w:t>e</w:t>
      </w:r>
      <w:r w:rsidRPr="00F523B6">
        <w:rPr>
          <w:rFonts w:eastAsia="Arial" w:cstheme="minorHAnsi"/>
          <w:bCs/>
          <w:u w:val="single"/>
        </w:rPr>
        <w:t>l</w:t>
      </w:r>
      <w:r w:rsidRPr="00F523B6">
        <w:rPr>
          <w:rFonts w:eastAsia="Arial" w:cstheme="minorHAnsi"/>
          <w:bCs/>
          <w:spacing w:val="-3"/>
          <w:u w:val="single"/>
        </w:rPr>
        <w:t xml:space="preserve"> </w:t>
      </w:r>
      <w:r w:rsidRPr="00F523B6">
        <w:rPr>
          <w:rFonts w:eastAsia="Arial" w:cstheme="minorHAnsi"/>
          <w:bCs/>
          <w:spacing w:val="-4"/>
          <w:u w:val="single"/>
        </w:rPr>
        <w:t>I</w:t>
      </w:r>
      <w:r w:rsidRPr="00F523B6">
        <w:rPr>
          <w:rFonts w:eastAsia="Arial" w:cstheme="minorHAnsi"/>
          <w:bCs/>
          <w:u w:val="single"/>
        </w:rPr>
        <w:t>n</w:t>
      </w:r>
      <w:r w:rsidRPr="00F523B6">
        <w:rPr>
          <w:rFonts w:eastAsia="Arial" w:cstheme="minorHAnsi"/>
          <w:bCs/>
          <w:spacing w:val="-3"/>
          <w:u w:val="single"/>
        </w:rPr>
        <w:t>s</w:t>
      </w:r>
      <w:r w:rsidRPr="00F523B6">
        <w:rPr>
          <w:rFonts w:eastAsia="Arial" w:cstheme="minorHAnsi"/>
          <w:bCs/>
          <w:u w:val="single"/>
        </w:rPr>
        <w:t>ur</w:t>
      </w:r>
      <w:r w:rsidRPr="00F523B6">
        <w:rPr>
          <w:rFonts w:eastAsia="Arial" w:cstheme="minorHAnsi"/>
          <w:bCs/>
          <w:spacing w:val="2"/>
          <w:u w:val="single"/>
        </w:rPr>
        <w:t>a</w:t>
      </w:r>
      <w:r w:rsidRPr="00F523B6">
        <w:rPr>
          <w:rFonts w:eastAsia="Arial" w:cstheme="minorHAnsi"/>
          <w:bCs/>
          <w:u w:val="single"/>
        </w:rPr>
        <w:t>n</w:t>
      </w:r>
      <w:r w:rsidRPr="00F523B6">
        <w:rPr>
          <w:rFonts w:eastAsia="Arial" w:cstheme="minorHAnsi"/>
          <w:bCs/>
          <w:spacing w:val="1"/>
          <w:u w:val="single"/>
        </w:rPr>
        <w:t>c</w:t>
      </w:r>
      <w:r w:rsidRPr="00F523B6">
        <w:rPr>
          <w:rFonts w:eastAsia="Arial" w:cstheme="minorHAnsi"/>
          <w:bCs/>
          <w:u w:val="single"/>
        </w:rPr>
        <w:t>e</w:t>
      </w:r>
    </w:p>
    <w:p w14:paraId="07099A32" w14:textId="77777777" w:rsidR="00FC0CF1" w:rsidRPr="00585C2D" w:rsidRDefault="00FC0CF1" w:rsidP="00FC0CF1">
      <w:pPr>
        <w:spacing w:after="120" w:line="240" w:lineRule="auto"/>
        <w:ind w:left="1276" w:right="-45" w:hanging="425"/>
        <w:jc w:val="both"/>
        <w:rPr>
          <w:rFonts w:eastAsia="Arial" w:cstheme="minorHAnsi"/>
        </w:rPr>
      </w:pPr>
      <w:r w:rsidRPr="00585C2D">
        <w:rPr>
          <w:rFonts w:eastAsia="Arial" w:cstheme="minorHAnsi"/>
          <w:spacing w:val="2"/>
        </w:rPr>
        <w:t>a</w:t>
      </w:r>
      <w:r>
        <w:rPr>
          <w:rFonts w:eastAsia="Arial" w:cstheme="minorHAnsi"/>
        </w:rPr>
        <w:t>.</w:t>
      </w:r>
      <w:r>
        <w:rPr>
          <w:rFonts w:eastAsia="Arial" w:cstheme="minorHAnsi"/>
        </w:rPr>
        <w:tab/>
      </w:r>
      <w:r w:rsidRPr="00585C2D">
        <w:rPr>
          <w:rFonts w:eastAsia="Arial" w:cstheme="minorHAnsi"/>
        </w:rPr>
        <w:t>T</w:t>
      </w:r>
      <w:r w:rsidRPr="00585C2D">
        <w:rPr>
          <w:rFonts w:eastAsia="Arial" w:cstheme="minorHAnsi"/>
          <w:spacing w:val="-2"/>
        </w:rPr>
        <w:t>r</w:t>
      </w:r>
      <w:r w:rsidRPr="00585C2D">
        <w:rPr>
          <w:rFonts w:eastAsia="Arial" w:cstheme="minorHAnsi"/>
          <w:spacing w:val="2"/>
        </w:rPr>
        <w:t>a</w:t>
      </w:r>
      <w:r w:rsidRPr="00585C2D">
        <w:rPr>
          <w:rFonts w:eastAsia="Arial" w:cstheme="minorHAnsi"/>
        </w:rPr>
        <w:t>v</w:t>
      </w:r>
      <w:r w:rsidRPr="00585C2D">
        <w:rPr>
          <w:rFonts w:eastAsia="Arial" w:cstheme="minorHAnsi"/>
          <w:spacing w:val="2"/>
        </w:rPr>
        <w:t>e</w:t>
      </w:r>
      <w:r w:rsidRPr="00585C2D">
        <w:rPr>
          <w:rFonts w:eastAsia="Arial" w:cstheme="minorHAnsi"/>
        </w:rPr>
        <w:t>l</w:t>
      </w:r>
      <w:r w:rsidRPr="00585C2D">
        <w:rPr>
          <w:rFonts w:eastAsia="Arial" w:cstheme="minorHAnsi"/>
          <w:spacing w:val="9"/>
        </w:rPr>
        <w:t xml:space="preserve"> </w:t>
      </w:r>
      <w:r w:rsidRPr="00585C2D">
        <w:rPr>
          <w:rFonts w:eastAsia="Arial" w:cstheme="minorHAnsi"/>
          <w:spacing w:val="-1"/>
        </w:rPr>
        <w:t>i</w:t>
      </w:r>
      <w:r w:rsidRPr="00585C2D">
        <w:rPr>
          <w:rFonts w:eastAsia="Arial" w:cstheme="minorHAnsi"/>
          <w:spacing w:val="-3"/>
        </w:rPr>
        <w:t>n</w:t>
      </w:r>
      <w:r w:rsidRPr="00585C2D">
        <w:rPr>
          <w:rFonts w:eastAsia="Arial" w:cstheme="minorHAnsi"/>
        </w:rPr>
        <w:t>s</w:t>
      </w:r>
      <w:r w:rsidRPr="00585C2D">
        <w:rPr>
          <w:rFonts w:eastAsia="Arial" w:cstheme="minorHAnsi"/>
          <w:spacing w:val="2"/>
        </w:rPr>
        <w:t>u</w:t>
      </w:r>
      <w:r w:rsidRPr="00585C2D">
        <w:rPr>
          <w:rFonts w:eastAsia="Arial" w:cstheme="minorHAnsi"/>
          <w:spacing w:val="-2"/>
        </w:rPr>
        <w:t>r</w:t>
      </w:r>
      <w:r w:rsidRPr="00585C2D">
        <w:rPr>
          <w:rFonts w:eastAsia="Arial" w:cstheme="minorHAnsi"/>
          <w:spacing w:val="-3"/>
        </w:rPr>
        <w:t>a</w:t>
      </w:r>
      <w:r w:rsidRPr="00585C2D">
        <w:rPr>
          <w:rFonts w:eastAsia="Arial" w:cstheme="minorHAnsi"/>
          <w:spacing w:val="2"/>
        </w:rPr>
        <w:t>n</w:t>
      </w:r>
      <w:r w:rsidRPr="00585C2D">
        <w:rPr>
          <w:rFonts w:eastAsia="Arial" w:cstheme="minorHAnsi"/>
        </w:rPr>
        <w:t>ce</w:t>
      </w:r>
      <w:r w:rsidRPr="00585C2D">
        <w:rPr>
          <w:rFonts w:eastAsia="Arial" w:cstheme="minorHAnsi"/>
          <w:spacing w:val="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8"/>
        </w:rPr>
        <w:t xml:space="preserve"> </w:t>
      </w:r>
      <w:r w:rsidRPr="00585C2D">
        <w:rPr>
          <w:rFonts w:eastAsia="Arial" w:cstheme="minorHAnsi"/>
          <w:spacing w:val="2"/>
        </w:rPr>
        <w:t>Town</w:t>
      </w:r>
      <w:r w:rsidRPr="00585C2D">
        <w:rPr>
          <w:rFonts w:eastAsia="Arial" w:cstheme="minorHAnsi"/>
          <w:spacing w:val="11"/>
        </w:rPr>
        <w:t xml:space="preserve"> </w:t>
      </w:r>
      <w:r w:rsidRPr="00585C2D">
        <w:rPr>
          <w:rFonts w:eastAsia="Arial" w:cstheme="minorHAnsi"/>
          <w:spacing w:val="-6"/>
        </w:rPr>
        <w:t>r</w:t>
      </w:r>
      <w:r w:rsidRPr="00585C2D">
        <w:rPr>
          <w:rFonts w:eastAsia="Arial" w:cstheme="minorHAnsi"/>
          <w:spacing w:val="2"/>
        </w:rPr>
        <w:t>e</w:t>
      </w:r>
      <w:r w:rsidRPr="00585C2D">
        <w:rPr>
          <w:rFonts w:eastAsia="Arial" w:cstheme="minorHAnsi"/>
          <w:spacing w:val="-1"/>
        </w:rPr>
        <w:t>l</w:t>
      </w:r>
      <w:r w:rsidRPr="00585C2D">
        <w:rPr>
          <w:rFonts w:eastAsia="Arial" w:cstheme="minorHAnsi"/>
          <w:spacing w:val="2"/>
        </w:rPr>
        <w:t>a</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3"/>
        </w:rPr>
        <w:t>b</w:t>
      </w:r>
      <w:r w:rsidRPr="00585C2D">
        <w:rPr>
          <w:rFonts w:eastAsia="Arial" w:cstheme="minorHAnsi"/>
          <w:spacing w:val="2"/>
        </w:rPr>
        <w:t>u</w:t>
      </w:r>
      <w:r w:rsidRPr="00585C2D">
        <w:rPr>
          <w:rFonts w:eastAsia="Arial" w:cstheme="minorHAnsi"/>
        </w:rPr>
        <w:t>s</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e</w:t>
      </w:r>
      <w:r w:rsidRPr="00585C2D">
        <w:rPr>
          <w:rFonts w:eastAsia="Arial" w:cstheme="minorHAnsi"/>
        </w:rPr>
        <w:t>ss</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2"/>
        </w:rPr>
        <w:t>r</w:t>
      </w:r>
      <w:r w:rsidRPr="00585C2D">
        <w:rPr>
          <w:rFonts w:eastAsia="Arial" w:cstheme="minorHAnsi"/>
          <w:spacing w:val="-1"/>
        </w:rPr>
        <w:t>i</w:t>
      </w:r>
      <w:r w:rsidRPr="00585C2D">
        <w:rPr>
          <w:rFonts w:eastAsia="Arial" w:cstheme="minorHAnsi"/>
          <w:spacing w:val="2"/>
        </w:rPr>
        <w:t>p</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1"/>
        </w:rPr>
        <w:t>i</w:t>
      </w:r>
      <w:r w:rsidRPr="00585C2D">
        <w:rPr>
          <w:rFonts w:eastAsia="Arial" w:cstheme="minorHAnsi"/>
          <w:spacing w:val="2"/>
        </w:rPr>
        <w:t>n</w:t>
      </w:r>
      <w:r w:rsidRPr="00585C2D">
        <w:rPr>
          <w:rFonts w:eastAsia="Arial" w:cstheme="minorHAnsi"/>
        </w:rPr>
        <w:t>c</w:t>
      </w:r>
      <w:r w:rsidRPr="00585C2D">
        <w:rPr>
          <w:rFonts w:eastAsia="Arial" w:cstheme="minorHAnsi"/>
          <w:spacing w:val="-1"/>
        </w:rPr>
        <w:t>l</w:t>
      </w:r>
      <w:r w:rsidRPr="00585C2D">
        <w:rPr>
          <w:rFonts w:eastAsia="Arial" w:cstheme="minorHAnsi"/>
          <w:spacing w:val="-3"/>
        </w:rPr>
        <w:t>u</w:t>
      </w:r>
      <w:r w:rsidRPr="00585C2D">
        <w:rPr>
          <w:rFonts w:eastAsia="Arial" w:cstheme="minorHAnsi"/>
          <w:spacing w:val="2"/>
        </w:rPr>
        <w:t>d</w:t>
      </w:r>
      <w:r w:rsidRPr="00585C2D">
        <w:rPr>
          <w:rFonts w:eastAsia="Arial" w:cstheme="minorHAnsi"/>
          <w:spacing w:val="-1"/>
        </w:rPr>
        <w:t>i</w:t>
      </w:r>
      <w:r w:rsidRPr="00585C2D">
        <w:rPr>
          <w:rFonts w:eastAsia="Arial" w:cstheme="minorHAnsi"/>
          <w:spacing w:val="-3"/>
        </w:rPr>
        <w:t>n</w:t>
      </w:r>
      <w:r w:rsidRPr="00585C2D">
        <w:rPr>
          <w:rFonts w:eastAsia="Arial" w:cstheme="minorHAnsi"/>
        </w:rPr>
        <w:t>g</w:t>
      </w:r>
      <w:r w:rsidRPr="00585C2D">
        <w:rPr>
          <w:rFonts w:eastAsia="Arial" w:cstheme="minorHAnsi"/>
          <w:spacing w:val="12"/>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rPr>
        <w:t>v</w:t>
      </w:r>
      <w:r w:rsidRPr="00585C2D">
        <w:rPr>
          <w:rFonts w:eastAsia="Arial" w:cstheme="minorHAnsi"/>
          <w:spacing w:val="2"/>
        </w:rPr>
        <w:t>e</w:t>
      </w:r>
      <w:r w:rsidRPr="00585C2D">
        <w:rPr>
          <w:rFonts w:eastAsia="Arial" w:cstheme="minorHAnsi"/>
        </w:rPr>
        <w:t>r</w:t>
      </w:r>
      <w:r w:rsidRPr="00585C2D">
        <w:rPr>
          <w:rFonts w:eastAsia="Arial" w:cstheme="minorHAnsi"/>
          <w:spacing w:val="3"/>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3"/>
        </w:rPr>
        <w:t xml:space="preserve"> </w:t>
      </w:r>
      <w:r w:rsidRPr="00585C2D">
        <w:rPr>
          <w:rFonts w:eastAsia="Arial" w:cstheme="minorHAnsi"/>
          <w:spacing w:val="2"/>
        </w:rPr>
        <w:t>e</w:t>
      </w:r>
      <w:r w:rsidRPr="00585C2D">
        <w:rPr>
          <w:rFonts w:eastAsia="Arial" w:cstheme="minorHAnsi"/>
          <w:spacing w:val="-5"/>
        </w:rPr>
        <w:t>x</w:t>
      </w:r>
      <w:r w:rsidRPr="00585C2D">
        <w:rPr>
          <w:rFonts w:eastAsia="Arial" w:cstheme="minorHAnsi"/>
          <w:spacing w:val="2"/>
        </w:rPr>
        <w:t>p</w:t>
      </w:r>
      <w:r w:rsidRPr="00585C2D">
        <w:rPr>
          <w:rFonts w:eastAsia="Arial" w:cstheme="minorHAnsi"/>
          <w:spacing w:val="-3"/>
        </w:rPr>
        <w:t>e</w:t>
      </w:r>
      <w:r w:rsidRPr="00585C2D">
        <w:rPr>
          <w:rFonts w:eastAsia="Arial" w:cstheme="minorHAnsi"/>
          <w:spacing w:val="2"/>
        </w:rPr>
        <w:t>n</w:t>
      </w:r>
      <w:r w:rsidRPr="00585C2D">
        <w:rPr>
          <w:rFonts w:eastAsia="Arial" w:cstheme="minorHAnsi"/>
        </w:rPr>
        <w:t>s</w:t>
      </w:r>
      <w:r w:rsidRPr="00585C2D">
        <w:rPr>
          <w:rFonts w:eastAsia="Arial" w:cstheme="minorHAnsi"/>
          <w:spacing w:val="2"/>
        </w:rPr>
        <w:t>e</w:t>
      </w:r>
      <w:r w:rsidRPr="00585C2D">
        <w:rPr>
          <w:rFonts w:eastAsia="Arial" w:cstheme="minorHAnsi"/>
        </w:rPr>
        <w:t xml:space="preserve">s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8"/>
        </w:rPr>
        <w:t xml:space="preserve"> </w:t>
      </w:r>
      <w:r w:rsidRPr="00585C2D">
        <w:rPr>
          <w:rFonts w:eastAsia="Arial" w:cstheme="minorHAnsi"/>
          <w:spacing w:val="-2"/>
        </w:rPr>
        <w:t>m</w:t>
      </w:r>
      <w:r w:rsidRPr="00585C2D">
        <w:rPr>
          <w:rFonts w:eastAsia="Arial" w:cstheme="minorHAnsi"/>
          <w:spacing w:val="2"/>
        </w:rPr>
        <w:t>ed</w:t>
      </w:r>
      <w:r w:rsidRPr="00585C2D">
        <w:rPr>
          <w:rFonts w:eastAsia="Arial" w:cstheme="minorHAnsi"/>
          <w:spacing w:val="-1"/>
        </w:rPr>
        <w:t>i</w:t>
      </w:r>
      <w:r w:rsidRPr="00585C2D">
        <w:rPr>
          <w:rFonts w:eastAsia="Arial" w:cstheme="minorHAnsi"/>
        </w:rPr>
        <w:t>c</w:t>
      </w:r>
      <w:r w:rsidRPr="00585C2D">
        <w:rPr>
          <w:rFonts w:eastAsia="Arial" w:cstheme="minorHAnsi"/>
          <w:spacing w:val="2"/>
        </w:rPr>
        <w:t>a</w:t>
      </w:r>
      <w:r w:rsidRPr="00585C2D">
        <w:rPr>
          <w:rFonts w:eastAsia="Arial" w:cstheme="minorHAnsi"/>
        </w:rPr>
        <w:t xml:space="preserve">l </w:t>
      </w:r>
      <w:r w:rsidRPr="00585C2D">
        <w:rPr>
          <w:rFonts w:eastAsia="Arial" w:cstheme="minorHAnsi"/>
          <w:spacing w:val="1"/>
        </w:rPr>
        <w:t>t</w:t>
      </w:r>
      <w:r w:rsidRPr="00585C2D">
        <w:rPr>
          <w:rFonts w:eastAsia="Arial" w:cstheme="minorHAnsi"/>
          <w:spacing w:val="-2"/>
        </w:rPr>
        <w:t>r</w:t>
      </w:r>
      <w:r w:rsidRPr="00585C2D">
        <w:rPr>
          <w:rFonts w:eastAsia="Arial" w:cstheme="minorHAnsi"/>
          <w:spacing w:val="-3"/>
        </w:rPr>
        <w:t>e</w:t>
      </w:r>
      <w:r w:rsidRPr="00585C2D">
        <w:rPr>
          <w:rFonts w:eastAsia="Arial" w:cstheme="minorHAnsi"/>
          <w:spacing w:val="2"/>
        </w:rPr>
        <w:t>a</w:t>
      </w:r>
      <w:r w:rsidRPr="00585C2D">
        <w:rPr>
          <w:rFonts w:eastAsia="Arial" w:cstheme="minorHAnsi"/>
          <w:spacing w:val="1"/>
        </w:rPr>
        <w:t>t</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spacing w:val="1"/>
        </w:rPr>
        <w:t>t</w:t>
      </w:r>
      <w:r w:rsidRPr="00585C2D">
        <w:rPr>
          <w:rFonts w:eastAsia="Arial" w:cstheme="minorHAnsi"/>
        </w:rPr>
        <w:t>,</w:t>
      </w:r>
      <w:r w:rsidRPr="00585C2D">
        <w:rPr>
          <w:rFonts w:eastAsia="Arial" w:cstheme="minorHAnsi"/>
          <w:spacing w:val="2"/>
        </w:rPr>
        <w:t xml:space="preserve"> e</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r</w:t>
      </w:r>
      <w:r w:rsidRPr="00585C2D">
        <w:rPr>
          <w:rFonts w:eastAsia="Arial" w:cstheme="minorHAnsi"/>
          <w:spacing w:val="2"/>
        </w:rPr>
        <w:t>g</w:t>
      </w:r>
      <w:r w:rsidRPr="00585C2D">
        <w:rPr>
          <w:rFonts w:eastAsia="Arial" w:cstheme="minorHAnsi"/>
          <w:spacing w:val="-3"/>
        </w:rPr>
        <w:t>e</w:t>
      </w:r>
      <w:r w:rsidRPr="00585C2D">
        <w:rPr>
          <w:rFonts w:eastAsia="Arial" w:cstheme="minorHAnsi"/>
          <w:spacing w:val="2"/>
        </w:rPr>
        <w:t>n</w:t>
      </w:r>
      <w:r w:rsidRPr="00585C2D">
        <w:rPr>
          <w:rFonts w:eastAsia="Arial" w:cstheme="minorHAnsi"/>
        </w:rPr>
        <w:t>cy</w:t>
      </w:r>
      <w:r w:rsidRPr="00585C2D">
        <w:rPr>
          <w:rFonts w:eastAsia="Arial" w:cstheme="minorHAnsi"/>
          <w:spacing w:val="1"/>
        </w:rPr>
        <w:t xml:space="preserve"> </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d</w:t>
      </w:r>
      <w:r w:rsidRPr="00585C2D">
        <w:rPr>
          <w:rFonts w:eastAsia="Arial" w:cstheme="minorHAnsi"/>
          <w:spacing w:val="-1"/>
        </w:rPr>
        <w:t>i</w:t>
      </w:r>
      <w:r w:rsidRPr="00585C2D">
        <w:rPr>
          <w:rFonts w:eastAsia="Arial" w:cstheme="minorHAnsi"/>
        </w:rPr>
        <w:t>c</w:t>
      </w:r>
      <w:r w:rsidRPr="00585C2D">
        <w:rPr>
          <w:rFonts w:eastAsia="Arial" w:cstheme="minorHAnsi"/>
          <w:spacing w:val="2"/>
        </w:rPr>
        <w:t>a</w:t>
      </w:r>
      <w:r w:rsidRPr="00585C2D">
        <w:rPr>
          <w:rFonts w:eastAsia="Arial" w:cstheme="minorHAnsi"/>
        </w:rPr>
        <w:t xml:space="preserve">l </w:t>
      </w:r>
      <w:r w:rsidRPr="00585C2D">
        <w:rPr>
          <w:rFonts w:eastAsia="Arial" w:cstheme="minorHAnsi"/>
          <w:spacing w:val="2"/>
        </w:rPr>
        <w:t>e</w:t>
      </w:r>
      <w:r w:rsidRPr="00585C2D">
        <w:rPr>
          <w:rFonts w:eastAsia="Arial" w:cstheme="minorHAnsi"/>
        </w:rPr>
        <w:t>v</w:t>
      </w:r>
      <w:r w:rsidRPr="00585C2D">
        <w:rPr>
          <w:rFonts w:eastAsia="Arial" w:cstheme="minorHAnsi"/>
          <w:spacing w:val="2"/>
        </w:rPr>
        <w:t>a</w:t>
      </w:r>
      <w:r w:rsidRPr="00585C2D">
        <w:rPr>
          <w:rFonts w:eastAsia="Arial" w:cstheme="minorHAnsi"/>
          <w:spacing w:val="-5"/>
        </w:rPr>
        <w:t>c</w:t>
      </w:r>
      <w:r w:rsidRPr="00585C2D">
        <w:rPr>
          <w:rFonts w:eastAsia="Arial" w:cstheme="minorHAnsi"/>
          <w:spacing w:val="2"/>
        </w:rPr>
        <w:t>u</w:t>
      </w:r>
      <w:r w:rsidRPr="00585C2D">
        <w:rPr>
          <w:rFonts w:eastAsia="Arial" w:cstheme="minorHAnsi"/>
          <w:spacing w:val="-3"/>
        </w:rPr>
        <w:t>a</w:t>
      </w:r>
      <w:r w:rsidRPr="00585C2D">
        <w:rPr>
          <w:rFonts w:eastAsia="Arial" w:cstheme="minorHAnsi"/>
          <w:spacing w:val="-4"/>
        </w:rPr>
        <w:t>t</w:t>
      </w:r>
      <w:r w:rsidRPr="00585C2D">
        <w:rPr>
          <w:rFonts w:eastAsia="Arial" w:cstheme="minorHAnsi"/>
          <w:spacing w:val="-1"/>
        </w:rPr>
        <w:t>i</w:t>
      </w:r>
      <w:r w:rsidRPr="00585C2D">
        <w:rPr>
          <w:rFonts w:eastAsia="Arial" w:cstheme="minorHAnsi"/>
          <w:spacing w:val="2"/>
        </w:rPr>
        <w:t>on</w:t>
      </w:r>
      <w:r w:rsidRPr="00585C2D">
        <w:rPr>
          <w:rFonts w:eastAsia="Arial" w:cstheme="minorHAnsi"/>
        </w:rPr>
        <w:t>,</w:t>
      </w:r>
      <w:r w:rsidRPr="00585C2D">
        <w:rPr>
          <w:rFonts w:eastAsia="Arial" w:cstheme="minorHAnsi"/>
          <w:spacing w:val="6"/>
        </w:rPr>
        <w:t xml:space="preserve"> f</w:t>
      </w:r>
      <w:r w:rsidRPr="00585C2D">
        <w:rPr>
          <w:rFonts w:eastAsia="Arial" w:cstheme="minorHAnsi"/>
          <w:spacing w:val="-1"/>
        </w:rPr>
        <w:t>li</w:t>
      </w:r>
      <w:r w:rsidRPr="00585C2D">
        <w:rPr>
          <w:rFonts w:eastAsia="Arial" w:cstheme="minorHAnsi"/>
          <w:spacing w:val="-3"/>
        </w:rPr>
        <w:t>g</w:t>
      </w:r>
      <w:r w:rsidRPr="00585C2D">
        <w:rPr>
          <w:rFonts w:eastAsia="Arial" w:cstheme="minorHAnsi"/>
          <w:spacing w:val="2"/>
        </w:rPr>
        <w:t>h</w:t>
      </w:r>
      <w:r w:rsidRPr="00585C2D">
        <w:rPr>
          <w:rFonts w:eastAsia="Arial" w:cstheme="minorHAnsi"/>
        </w:rPr>
        <w:t>t</w:t>
      </w:r>
      <w:r w:rsidRPr="00585C2D">
        <w:rPr>
          <w:rFonts w:eastAsia="Arial" w:cstheme="minorHAnsi"/>
          <w:spacing w:val="7"/>
        </w:rPr>
        <w:t xml:space="preserve"> </w:t>
      </w:r>
      <w:r w:rsidRPr="00585C2D">
        <w:rPr>
          <w:rFonts w:eastAsia="Arial" w:cstheme="minorHAnsi"/>
          <w:spacing w:val="-5"/>
        </w:rPr>
        <w:t>c</w:t>
      </w:r>
      <w:r w:rsidRPr="00585C2D">
        <w:rPr>
          <w:rFonts w:eastAsia="Arial" w:cstheme="minorHAnsi"/>
          <w:spacing w:val="2"/>
        </w:rPr>
        <w:t>a</w:t>
      </w:r>
      <w:r w:rsidRPr="00585C2D">
        <w:rPr>
          <w:rFonts w:eastAsia="Arial" w:cstheme="minorHAnsi"/>
          <w:spacing w:val="-3"/>
        </w:rPr>
        <w:t>n</w:t>
      </w:r>
      <w:r w:rsidRPr="00585C2D">
        <w:rPr>
          <w:rFonts w:eastAsia="Arial" w:cstheme="minorHAnsi"/>
        </w:rPr>
        <w:t>c</w:t>
      </w:r>
      <w:r w:rsidRPr="00585C2D">
        <w:rPr>
          <w:rFonts w:eastAsia="Arial" w:cstheme="minorHAnsi"/>
          <w:spacing w:val="2"/>
        </w:rPr>
        <w:t>e</w:t>
      </w:r>
      <w:r w:rsidRPr="00585C2D">
        <w:rPr>
          <w:rFonts w:eastAsia="Arial" w:cstheme="minorHAnsi"/>
          <w:spacing w:val="-1"/>
        </w:rPr>
        <w:t>ll</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on</w:t>
      </w:r>
      <w:r w:rsidRPr="00585C2D">
        <w:rPr>
          <w:rFonts w:eastAsia="Arial" w:cstheme="minorHAnsi"/>
          <w:spacing w:val="-5"/>
        </w:rPr>
        <w:t>s</w:t>
      </w:r>
      <w:r w:rsidRPr="00585C2D">
        <w:rPr>
          <w:rFonts w:eastAsia="Arial" w:cstheme="minorHAnsi"/>
        </w:rPr>
        <w:t>,</w:t>
      </w:r>
      <w:r w:rsidRPr="00585C2D">
        <w:rPr>
          <w:rFonts w:eastAsia="Arial" w:cstheme="minorHAnsi"/>
          <w:spacing w:val="7"/>
        </w:rPr>
        <w:t xml:space="preserve"> </w:t>
      </w:r>
      <w:r w:rsidRPr="00585C2D">
        <w:rPr>
          <w:rFonts w:eastAsia="Arial" w:cstheme="minorHAnsi"/>
          <w:spacing w:val="-6"/>
        </w:rPr>
        <w:t>l</w:t>
      </w:r>
      <w:r w:rsidRPr="00585C2D">
        <w:rPr>
          <w:rFonts w:eastAsia="Arial" w:cstheme="minorHAnsi"/>
          <w:spacing w:val="2"/>
        </w:rPr>
        <w:t>o</w:t>
      </w:r>
      <w:r w:rsidRPr="00585C2D">
        <w:rPr>
          <w:rFonts w:eastAsia="Arial" w:cstheme="minorHAnsi"/>
        </w:rPr>
        <w:t>st</w:t>
      </w:r>
      <w:r w:rsidRPr="00585C2D">
        <w:rPr>
          <w:rFonts w:eastAsia="Arial" w:cstheme="minorHAnsi"/>
          <w:spacing w:val="2"/>
        </w:rPr>
        <w:t xml:space="preserve"> b</w:t>
      </w:r>
      <w:r w:rsidRPr="00585C2D">
        <w:rPr>
          <w:rFonts w:eastAsia="Arial" w:cstheme="minorHAnsi"/>
          <w:spacing w:val="-3"/>
        </w:rPr>
        <w:t>a</w:t>
      </w:r>
      <w:r w:rsidRPr="00585C2D">
        <w:rPr>
          <w:rFonts w:eastAsia="Arial" w:cstheme="minorHAnsi"/>
          <w:spacing w:val="2"/>
        </w:rPr>
        <w:t>g</w:t>
      </w:r>
      <w:r w:rsidRPr="00585C2D">
        <w:rPr>
          <w:rFonts w:eastAsia="Arial" w:cstheme="minorHAnsi"/>
          <w:spacing w:val="-3"/>
        </w:rPr>
        <w:t>ga</w:t>
      </w:r>
      <w:r w:rsidRPr="00585C2D">
        <w:rPr>
          <w:rFonts w:eastAsia="Arial" w:cstheme="minorHAnsi"/>
          <w:spacing w:val="2"/>
        </w:rPr>
        <w:t>g</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 xml:space="preserve">d </w:t>
      </w:r>
      <w:r w:rsidRPr="00585C2D">
        <w:rPr>
          <w:rFonts w:eastAsia="Arial" w:cstheme="minorHAnsi"/>
          <w:spacing w:val="2"/>
        </w:rPr>
        <w:t>pe</w:t>
      </w:r>
      <w:r w:rsidRPr="00585C2D">
        <w:rPr>
          <w:rFonts w:eastAsia="Arial" w:cstheme="minorHAnsi"/>
          <w:spacing w:val="-2"/>
        </w:rPr>
        <w:t>r</w:t>
      </w:r>
      <w:r w:rsidRPr="00585C2D">
        <w:rPr>
          <w:rFonts w:eastAsia="Arial" w:cstheme="minorHAnsi"/>
        </w:rPr>
        <w:t>s</w:t>
      </w:r>
      <w:r w:rsidRPr="00585C2D">
        <w:rPr>
          <w:rFonts w:eastAsia="Arial" w:cstheme="minorHAnsi"/>
          <w:spacing w:val="-3"/>
        </w:rPr>
        <w:t>o</w:t>
      </w:r>
      <w:r w:rsidRPr="00585C2D">
        <w:rPr>
          <w:rFonts w:eastAsia="Arial" w:cstheme="minorHAnsi"/>
          <w:spacing w:val="2"/>
        </w:rPr>
        <w:t>na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3"/>
        </w:rPr>
        <w:t>e</w:t>
      </w:r>
      <w:r w:rsidRPr="00585C2D">
        <w:rPr>
          <w:rFonts w:eastAsia="Arial" w:cstheme="minorHAnsi"/>
          <w:spacing w:val="1"/>
        </w:rPr>
        <w:t>ff</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rPr>
        <w:t>s</w:t>
      </w:r>
      <w:r w:rsidRPr="00585C2D">
        <w:rPr>
          <w:rFonts w:eastAsia="Arial" w:cstheme="minorHAnsi"/>
          <w:spacing w:val="-1"/>
        </w:rPr>
        <w:t xml:space="preserve"> wil</w:t>
      </w:r>
      <w:r w:rsidRPr="00585C2D">
        <w:rPr>
          <w:rFonts w:eastAsia="Arial" w:cstheme="minorHAnsi"/>
        </w:rPr>
        <w:t xml:space="preserve">l </w:t>
      </w:r>
      <w:r w:rsidRPr="00585C2D">
        <w:rPr>
          <w:rFonts w:eastAsia="Arial" w:cstheme="minorHAnsi"/>
          <w:spacing w:val="2"/>
        </w:rPr>
        <w:t>b</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p</w:t>
      </w:r>
      <w:r w:rsidRPr="00585C2D">
        <w:rPr>
          <w:rFonts w:eastAsia="Arial" w:cstheme="minorHAnsi"/>
          <w:spacing w:val="2"/>
        </w:rPr>
        <w:t>a</w:t>
      </w:r>
      <w:r w:rsidRPr="00585C2D">
        <w:rPr>
          <w:rFonts w:eastAsia="Arial" w:cstheme="minorHAnsi"/>
          <w:spacing w:val="-1"/>
        </w:rPr>
        <w:t>i</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1"/>
        </w:rPr>
        <w:t>f</w:t>
      </w:r>
      <w:r w:rsidRPr="00585C2D">
        <w:rPr>
          <w:rFonts w:eastAsia="Arial" w:cstheme="minorHAnsi"/>
          <w:spacing w:val="2"/>
        </w:rPr>
        <w:t>o</w:t>
      </w:r>
      <w:r w:rsidRPr="00585C2D">
        <w:rPr>
          <w:rFonts w:eastAsia="Arial" w:cstheme="minorHAnsi"/>
        </w:rPr>
        <w:t>r</w:t>
      </w:r>
      <w:r w:rsidRPr="00585C2D">
        <w:rPr>
          <w:rFonts w:eastAsia="Arial" w:cstheme="minorHAnsi"/>
          <w:spacing w:val="-5"/>
        </w:rPr>
        <w:t xml:space="preserve"> </w:t>
      </w:r>
      <w:r w:rsidRPr="00585C2D">
        <w:rPr>
          <w:rFonts w:eastAsia="Arial" w:cstheme="minorHAnsi"/>
          <w:spacing w:val="2"/>
        </w:rPr>
        <w:t>b</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Town</w:t>
      </w:r>
      <w:r w:rsidRPr="00585C2D">
        <w:rPr>
          <w:rFonts w:eastAsia="Arial" w:cstheme="minorHAnsi"/>
        </w:rPr>
        <w:t>.</w:t>
      </w:r>
    </w:p>
    <w:p w14:paraId="166D2F08" w14:textId="77777777" w:rsidR="00FC0CF1" w:rsidRPr="00585C2D" w:rsidRDefault="00FC0CF1" w:rsidP="00FC0CF1">
      <w:pPr>
        <w:spacing w:after="0" w:line="241" w:lineRule="auto"/>
        <w:ind w:left="1276" w:right="-46" w:hanging="425"/>
        <w:jc w:val="both"/>
        <w:rPr>
          <w:rFonts w:eastAsia="Arial" w:cstheme="minorHAnsi"/>
        </w:rPr>
      </w:pPr>
      <w:r w:rsidRPr="00585C2D">
        <w:rPr>
          <w:rFonts w:eastAsia="Arial" w:cstheme="minorHAnsi"/>
          <w:spacing w:val="2"/>
        </w:rPr>
        <w:t>b</w:t>
      </w:r>
      <w:r>
        <w:rPr>
          <w:rFonts w:eastAsia="Arial" w:cstheme="minorHAnsi"/>
        </w:rPr>
        <w:t>.</w:t>
      </w:r>
      <w:r>
        <w:rPr>
          <w:rFonts w:eastAsia="Arial" w:cstheme="minorHAnsi"/>
        </w:rPr>
        <w:tab/>
      </w:r>
      <w:r w:rsidRPr="00585C2D">
        <w:rPr>
          <w:rFonts w:eastAsia="Arial" w:cstheme="minorHAnsi"/>
          <w:spacing w:val="1"/>
        </w:rPr>
        <w:t>E</w:t>
      </w:r>
      <w:r w:rsidRPr="00585C2D">
        <w:rPr>
          <w:rFonts w:eastAsia="Arial" w:cstheme="minorHAnsi"/>
          <w:spacing w:val="-1"/>
        </w:rPr>
        <w:t>l</w:t>
      </w:r>
      <w:r w:rsidRPr="00585C2D">
        <w:rPr>
          <w:rFonts w:eastAsia="Arial" w:cstheme="minorHAnsi"/>
          <w:spacing w:val="2"/>
        </w:rPr>
        <w:t>e</w:t>
      </w:r>
      <w:r w:rsidRPr="00585C2D">
        <w:rPr>
          <w:rFonts w:eastAsia="Arial" w:cstheme="minorHAnsi"/>
        </w:rPr>
        <w:t>c</w:t>
      </w:r>
      <w:r w:rsidRPr="00585C2D">
        <w:rPr>
          <w:rFonts w:eastAsia="Arial" w:cstheme="minorHAnsi"/>
          <w:spacing w:val="-4"/>
        </w:rPr>
        <w:t>t</w:t>
      </w:r>
      <w:r w:rsidRPr="00585C2D">
        <w:rPr>
          <w:rFonts w:eastAsia="Arial" w:cstheme="minorHAnsi"/>
          <w:spacing w:val="2"/>
        </w:rPr>
        <w:t>e</w:t>
      </w:r>
      <w:r w:rsidRPr="00585C2D">
        <w:rPr>
          <w:rFonts w:eastAsia="Arial" w:cstheme="minorHAnsi"/>
        </w:rPr>
        <w:t>d</w:t>
      </w:r>
      <w:r w:rsidRPr="00585C2D">
        <w:rPr>
          <w:rFonts w:eastAsia="Arial" w:cstheme="minorHAnsi"/>
          <w:spacing w:val="9"/>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2"/>
        </w:rPr>
        <w:t>be</w:t>
      </w:r>
      <w:r w:rsidRPr="00585C2D">
        <w:rPr>
          <w:rFonts w:eastAsia="Arial" w:cstheme="minorHAnsi"/>
          <w:spacing w:val="-2"/>
        </w:rPr>
        <w:t>r</w:t>
      </w:r>
      <w:r w:rsidRPr="00585C2D">
        <w:rPr>
          <w:rFonts w:eastAsia="Arial" w:cstheme="minorHAnsi"/>
        </w:rPr>
        <w:t>s</w:t>
      </w:r>
      <w:r w:rsidRPr="00585C2D">
        <w:rPr>
          <w:rFonts w:eastAsia="Arial" w:cstheme="minorHAnsi"/>
          <w:spacing w:val="7"/>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12"/>
        </w:rPr>
        <w:t xml:space="preserve"> </w:t>
      </w:r>
      <w:r w:rsidRPr="00585C2D">
        <w:rPr>
          <w:rFonts w:eastAsia="Arial" w:cstheme="minorHAnsi"/>
          <w:spacing w:val="-4"/>
        </w:rPr>
        <w:t>t</w:t>
      </w:r>
      <w:r w:rsidRPr="00585C2D">
        <w:rPr>
          <w:rFonts w:eastAsia="Arial" w:cstheme="minorHAnsi"/>
          <w:spacing w:val="2"/>
        </w:rPr>
        <w:t>h</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1"/>
        </w:rPr>
        <w:t>C</w:t>
      </w:r>
      <w:r w:rsidRPr="00585C2D">
        <w:rPr>
          <w:rFonts w:eastAsia="Arial" w:cstheme="minorHAnsi"/>
          <w:spacing w:val="-3"/>
        </w:rPr>
        <w:t>E</w:t>
      </w:r>
      <w:r w:rsidRPr="00585C2D">
        <w:rPr>
          <w:rFonts w:eastAsia="Arial" w:cstheme="minorHAnsi"/>
        </w:rPr>
        <w:t>O</w:t>
      </w:r>
      <w:r w:rsidRPr="00585C2D">
        <w:rPr>
          <w:rFonts w:eastAsia="Arial" w:cstheme="minorHAnsi"/>
          <w:spacing w:val="14"/>
        </w:rPr>
        <w:t xml:space="preserve"> </w:t>
      </w:r>
      <w:r w:rsidRPr="00585C2D">
        <w:rPr>
          <w:rFonts w:eastAsia="Arial" w:cstheme="minorHAnsi"/>
          <w:spacing w:val="-2"/>
        </w:rPr>
        <w:t>m</w:t>
      </w:r>
      <w:r w:rsidRPr="00585C2D">
        <w:rPr>
          <w:rFonts w:eastAsia="Arial" w:cstheme="minorHAnsi"/>
          <w:spacing w:val="-3"/>
        </w:rPr>
        <w:t>u</w:t>
      </w:r>
      <w:r w:rsidRPr="00585C2D">
        <w:rPr>
          <w:rFonts w:eastAsia="Arial" w:cstheme="minorHAnsi"/>
        </w:rPr>
        <w:t>st</w:t>
      </w:r>
      <w:r w:rsidRPr="00585C2D">
        <w:rPr>
          <w:rFonts w:eastAsia="Arial" w:cstheme="minorHAnsi"/>
          <w:spacing w:val="7"/>
        </w:rPr>
        <w:t xml:space="preserve"> </w:t>
      </w:r>
      <w:r w:rsidRPr="00585C2D">
        <w:rPr>
          <w:rFonts w:eastAsia="Arial" w:cstheme="minorHAnsi"/>
          <w:spacing w:val="2"/>
        </w:rPr>
        <w:t>d</w:t>
      </w:r>
      <w:r w:rsidRPr="00585C2D">
        <w:rPr>
          <w:rFonts w:eastAsia="Arial" w:cstheme="minorHAnsi"/>
          <w:spacing w:val="-3"/>
        </w:rPr>
        <w:t>e</w:t>
      </w:r>
      <w:r w:rsidRPr="00585C2D">
        <w:rPr>
          <w:rFonts w:eastAsia="Arial" w:cstheme="minorHAnsi"/>
          <w:spacing w:val="1"/>
        </w:rPr>
        <w:t>t</w:t>
      </w:r>
      <w:r w:rsidRPr="00585C2D">
        <w:rPr>
          <w:rFonts w:eastAsia="Arial" w:cstheme="minorHAnsi"/>
          <w:spacing w:val="2"/>
        </w:rPr>
        <w:t>e</w:t>
      </w:r>
      <w:r w:rsidRPr="00585C2D">
        <w:rPr>
          <w:rFonts w:eastAsia="Arial" w:cstheme="minorHAnsi"/>
          <w:spacing w:val="-2"/>
        </w:rPr>
        <w:t>rm</w:t>
      </w:r>
      <w:r w:rsidRPr="00585C2D">
        <w:rPr>
          <w:rFonts w:eastAsia="Arial" w:cstheme="minorHAnsi"/>
          <w:spacing w:val="-1"/>
        </w:rPr>
        <w:t>i</w:t>
      </w:r>
      <w:r w:rsidRPr="00585C2D">
        <w:rPr>
          <w:rFonts w:eastAsia="Arial" w:cstheme="minorHAnsi"/>
          <w:spacing w:val="2"/>
        </w:rPr>
        <w:t>n</w:t>
      </w:r>
      <w:r w:rsidRPr="00585C2D">
        <w:rPr>
          <w:rFonts w:eastAsia="Arial" w:cstheme="minorHAnsi"/>
        </w:rPr>
        <w:t>e</w:t>
      </w:r>
      <w:r w:rsidRPr="00585C2D">
        <w:rPr>
          <w:rFonts w:eastAsia="Arial" w:cstheme="minorHAnsi"/>
          <w:spacing w:val="8"/>
        </w:rPr>
        <w:t xml:space="preserve"> </w:t>
      </w:r>
      <w:r w:rsidRPr="00585C2D">
        <w:rPr>
          <w:rFonts w:eastAsia="Arial" w:cstheme="minorHAnsi"/>
          <w:spacing w:val="-6"/>
        </w:rPr>
        <w:t>w</w:t>
      </w:r>
      <w:r w:rsidRPr="00585C2D">
        <w:rPr>
          <w:rFonts w:eastAsia="Arial" w:cstheme="minorHAnsi"/>
          <w:spacing w:val="2"/>
        </w:rPr>
        <w:t>he</w:t>
      </w:r>
      <w:r w:rsidRPr="00585C2D">
        <w:rPr>
          <w:rFonts w:eastAsia="Arial" w:cstheme="minorHAnsi"/>
          <w:spacing w:val="-4"/>
        </w:rPr>
        <w:t>t</w:t>
      </w:r>
      <w:r w:rsidRPr="00585C2D">
        <w:rPr>
          <w:rFonts w:eastAsia="Arial" w:cstheme="minorHAnsi"/>
          <w:spacing w:val="2"/>
        </w:rPr>
        <w:t>he</w:t>
      </w:r>
      <w:r w:rsidRPr="00585C2D">
        <w:rPr>
          <w:rFonts w:eastAsia="Arial" w:cstheme="minorHAnsi"/>
        </w:rPr>
        <w:t>r</w:t>
      </w:r>
      <w:r w:rsidRPr="00585C2D">
        <w:rPr>
          <w:rFonts w:eastAsia="Arial" w:cstheme="minorHAnsi"/>
          <w:spacing w:val="4"/>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2"/>
        </w:rPr>
        <w:t>b</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e</w:t>
      </w:r>
      <w:r w:rsidRPr="00585C2D">
        <w:rPr>
          <w:rFonts w:eastAsia="Arial" w:cstheme="minorHAnsi"/>
          <w:spacing w:val="6"/>
        </w:rPr>
        <w:t>f</w:t>
      </w:r>
      <w:r w:rsidRPr="00585C2D">
        <w:rPr>
          <w:rFonts w:eastAsia="Arial" w:cstheme="minorHAnsi"/>
          <w:spacing w:val="-6"/>
        </w:rPr>
        <w:t>i</w:t>
      </w:r>
      <w:r w:rsidRPr="00585C2D">
        <w:rPr>
          <w:rFonts w:eastAsia="Arial" w:cstheme="minorHAnsi"/>
          <w:spacing w:val="1"/>
        </w:rPr>
        <w:t>t</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7"/>
        </w:rPr>
        <w:t xml:space="preserve"> </w:t>
      </w:r>
      <w:r w:rsidRPr="00585C2D">
        <w:rPr>
          <w:rFonts w:eastAsia="Arial" w:cstheme="minorHAnsi"/>
          <w:spacing w:val="2"/>
        </w:rPr>
        <w:t>e</w:t>
      </w:r>
      <w:r w:rsidRPr="00585C2D">
        <w:rPr>
          <w:rFonts w:eastAsia="Arial" w:cstheme="minorHAnsi"/>
          <w:spacing w:val="-3"/>
        </w:rPr>
        <w:t>n</w:t>
      </w:r>
      <w:r w:rsidRPr="00585C2D">
        <w:rPr>
          <w:rFonts w:eastAsia="Arial" w:cstheme="minorHAnsi"/>
          <w:spacing w:val="2"/>
        </w:rPr>
        <w:t>do</w:t>
      </w:r>
      <w:r w:rsidRPr="00585C2D">
        <w:rPr>
          <w:rFonts w:eastAsia="Arial" w:cstheme="minorHAnsi"/>
          <w:spacing w:val="-2"/>
        </w:rPr>
        <w:t>r</w:t>
      </w:r>
      <w:r w:rsidRPr="00585C2D">
        <w:rPr>
          <w:rFonts w:eastAsia="Arial" w:cstheme="minorHAnsi"/>
          <w:spacing w:val="-5"/>
        </w:rPr>
        <w:t>s</w:t>
      </w:r>
      <w:r w:rsidRPr="00585C2D">
        <w:rPr>
          <w:rFonts w:eastAsia="Arial" w:cstheme="minorHAnsi"/>
          <w:spacing w:val="2"/>
        </w:rPr>
        <w:t>e</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spacing w:val="1"/>
        </w:rPr>
        <w:t>t</w:t>
      </w:r>
      <w:r w:rsidRPr="00585C2D">
        <w:rPr>
          <w:rFonts w:eastAsia="Arial" w:cstheme="minorHAnsi"/>
        </w:rPr>
        <w:t>s</w:t>
      </w:r>
      <w:r w:rsidRPr="00585C2D">
        <w:rPr>
          <w:rFonts w:eastAsia="Arial" w:cstheme="minorHAnsi"/>
          <w:spacing w:val="6"/>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 xml:space="preserve">e </w:t>
      </w:r>
      <w:r w:rsidRPr="00585C2D">
        <w:rPr>
          <w:rFonts w:eastAsia="Arial" w:cstheme="minorHAnsi"/>
          <w:spacing w:val="2"/>
        </w:rPr>
        <w:t>a</w:t>
      </w:r>
      <w:r w:rsidRPr="00585C2D">
        <w:rPr>
          <w:rFonts w:eastAsia="Arial" w:cstheme="minorHAnsi"/>
          <w:spacing w:val="-3"/>
        </w:rPr>
        <w:t>b</w:t>
      </w:r>
      <w:r w:rsidRPr="00585C2D">
        <w:rPr>
          <w:rFonts w:eastAsia="Arial" w:cstheme="minorHAnsi"/>
          <w:spacing w:val="2"/>
        </w:rPr>
        <w:t>o</w:t>
      </w:r>
      <w:r w:rsidRPr="00585C2D">
        <w:rPr>
          <w:rFonts w:eastAsia="Arial" w:cstheme="minorHAnsi"/>
        </w:rPr>
        <w:t>ve</w:t>
      </w:r>
      <w:r w:rsidRPr="00585C2D">
        <w:rPr>
          <w:rFonts w:eastAsia="Arial" w:cstheme="minorHAnsi"/>
          <w:spacing w:val="-7"/>
        </w:rPr>
        <w:t xml:space="preserve"> </w:t>
      </w:r>
      <w:r w:rsidRPr="00585C2D">
        <w:rPr>
          <w:rFonts w:eastAsia="Arial" w:cstheme="minorHAnsi"/>
          <w:spacing w:val="-6"/>
        </w:rPr>
        <w:t>i</w:t>
      </w:r>
      <w:r w:rsidRPr="00585C2D">
        <w:rPr>
          <w:rFonts w:eastAsia="Arial" w:cstheme="minorHAnsi"/>
          <w:spacing w:val="2"/>
        </w:rPr>
        <w:t>n</w:t>
      </w:r>
      <w:r w:rsidRPr="00585C2D">
        <w:rPr>
          <w:rFonts w:eastAsia="Arial" w:cstheme="minorHAnsi"/>
        </w:rPr>
        <w:t>s</w:t>
      </w:r>
      <w:r w:rsidRPr="00585C2D">
        <w:rPr>
          <w:rFonts w:eastAsia="Arial" w:cstheme="minorHAnsi"/>
          <w:spacing w:val="2"/>
        </w:rPr>
        <w:t>u</w:t>
      </w:r>
      <w:r w:rsidRPr="00585C2D">
        <w:rPr>
          <w:rFonts w:eastAsia="Arial" w:cstheme="minorHAnsi"/>
          <w:spacing w:val="-6"/>
        </w:rPr>
        <w:t>r</w:t>
      </w:r>
      <w:r w:rsidRPr="00585C2D">
        <w:rPr>
          <w:rFonts w:eastAsia="Arial" w:cstheme="minorHAnsi"/>
          <w:spacing w:val="2"/>
        </w:rPr>
        <w:t>an</w:t>
      </w:r>
      <w:r w:rsidRPr="00585C2D">
        <w:rPr>
          <w:rFonts w:eastAsia="Arial" w:cstheme="minorHAnsi"/>
          <w:spacing w:val="-5"/>
        </w:rPr>
        <w:t>c</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5"/>
        </w:rPr>
        <w:t>c</w:t>
      </w:r>
      <w:r w:rsidRPr="00585C2D">
        <w:rPr>
          <w:rFonts w:eastAsia="Arial" w:cstheme="minorHAnsi"/>
          <w:spacing w:val="2"/>
        </w:rPr>
        <w:t>o</w:t>
      </w:r>
      <w:r w:rsidRPr="00585C2D">
        <w:rPr>
          <w:rFonts w:eastAsia="Arial" w:cstheme="minorHAnsi"/>
        </w:rPr>
        <w:t>v</w:t>
      </w:r>
      <w:r w:rsidRPr="00585C2D">
        <w:rPr>
          <w:rFonts w:eastAsia="Arial" w:cstheme="minorHAnsi"/>
          <w:spacing w:val="2"/>
        </w:rPr>
        <w:t>e</w:t>
      </w:r>
      <w:r w:rsidRPr="00585C2D">
        <w:rPr>
          <w:rFonts w:eastAsia="Arial" w:cstheme="minorHAnsi"/>
        </w:rPr>
        <w:t>r</w:t>
      </w:r>
      <w:r w:rsidRPr="00585C2D">
        <w:rPr>
          <w:rFonts w:eastAsia="Arial" w:cstheme="minorHAnsi"/>
          <w:spacing w:val="-10"/>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13"/>
        </w:rPr>
        <w:t xml:space="preserve"> </w:t>
      </w:r>
      <w:r w:rsidRPr="00585C2D">
        <w:rPr>
          <w:rFonts w:eastAsia="Arial" w:cstheme="minorHAnsi"/>
          <w:spacing w:val="2"/>
        </w:rPr>
        <w:t>a</w:t>
      </w:r>
      <w:r w:rsidRPr="00585C2D">
        <w:rPr>
          <w:rFonts w:eastAsia="Arial" w:cstheme="minorHAnsi"/>
          <w:spacing w:val="-3"/>
        </w:rPr>
        <w:t>d</w:t>
      </w:r>
      <w:r w:rsidRPr="00585C2D">
        <w:rPr>
          <w:rFonts w:eastAsia="Arial" w:cstheme="minorHAnsi"/>
          <w:spacing w:val="2"/>
        </w:rPr>
        <w:t>e</w:t>
      </w:r>
      <w:r w:rsidRPr="00585C2D">
        <w:rPr>
          <w:rFonts w:eastAsia="Arial" w:cstheme="minorHAnsi"/>
          <w:spacing w:val="-3"/>
        </w:rPr>
        <w:t>qu</w:t>
      </w:r>
      <w:r w:rsidRPr="00585C2D">
        <w:rPr>
          <w:rFonts w:eastAsia="Arial" w:cstheme="minorHAnsi"/>
          <w:spacing w:val="2"/>
        </w:rPr>
        <w:t>a</w:t>
      </w:r>
      <w:r w:rsidRPr="00585C2D">
        <w:rPr>
          <w:rFonts w:eastAsia="Arial" w:cstheme="minorHAnsi"/>
          <w:spacing w:val="1"/>
        </w:rPr>
        <w:t>t</w:t>
      </w:r>
      <w:r w:rsidRPr="00585C2D">
        <w:rPr>
          <w:rFonts w:eastAsia="Arial" w:cstheme="minorHAnsi"/>
          <w:spacing w:val="-3"/>
        </w:rPr>
        <w:t>e</w:t>
      </w:r>
      <w:r w:rsidRPr="00585C2D">
        <w:rPr>
          <w:rFonts w:eastAsia="Arial" w:cstheme="minorHAnsi"/>
        </w:rPr>
        <w:t>.</w:t>
      </w:r>
      <w:r w:rsidRPr="00585C2D">
        <w:rPr>
          <w:rFonts w:eastAsia="Arial" w:cstheme="minorHAnsi"/>
          <w:spacing w:val="-2"/>
        </w:rPr>
        <w:t xml:space="preserve"> </w:t>
      </w:r>
      <w:r w:rsidRPr="00585C2D">
        <w:rPr>
          <w:rFonts w:eastAsia="Arial" w:cstheme="minorHAnsi"/>
          <w:spacing w:val="1"/>
        </w:rPr>
        <w:t>E</w:t>
      </w:r>
      <w:r w:rsidRPr="00585C2D">
        <w:rPr>
          <w:rFonts w:eastAsia="Arial" w:cstheme="minorHAnsi"/>
          <w:spacing w:val="-6"/>
        </w:rPr>
        <w:t>l</w:t>
      </w:r>
      <w:r w:rsidRPr="00585C2D">
        <w:rPr>
          <w:rFonts w:eastAsia="Arial" w:cstheme="minorHAnsi"/>
          <w:spacing w:val="2"/>
        </w:rPr>
        <w:t>e</w:t>
      </w:r>
      <w:r w:rsidRPr="00585C2D">
        <w:rPr>
          <w:rFonts w:eastAsia="Arial" w:cstheme="minorHAnsi"/>
        </w:rPr>
        <w:t>c</w:t>
      </w:r>
      <w:r w:rsidRPr="00585C2D">
        <w:rPr>
          <w:rFonts w:eastAsia="Arial" w:cstheme="minorHAnsi"/>
          <w:spacing w:val="1"/>
        </w:rPr>
        <w:t>t</w:t>
      </w:r>
      <w:r w:rsidRPr="00585C2D">
        <w:rPr>
          <w:rFonts w:eastAsia="Arial" w:cstheme="minorHAnsi"/>
          <w:spacing w:val="-3"/>
        </w:rPr>
        <w:t>e</w:t>
      </w:r>
      <w:r w:rsidRPr="00585C2D">
        <w:rPr>
          <w:rFonts w:eastAsia="Arial" w:cstheme="minorHAnsi"/>
        </w:rPr>
        <w:t>d</w:t>
      </w:r>
      <w:r w:rsidRPr="00585C2D">
        <w:rPr>
          <w:rFonts w:eastAsia="Arial" w:cstheme="minorHAnsi"/>
          <w:spacing w:val="-5"/>
        </w:rPr>
        <w:t xml:space="preserve"> </w:t>
      </w:r>
      <w:r w:rsidRPr="00585C2D">
        <w:rPr>
          <w:rFonts w:eastAsia="Arial" w:cstheme="minorHAnsi"/>
          <w:spacing w:val="-6"/>
        </w:rPr>
        <w:t>M</w:t>
      </w:r>
      <w:r w:rsidRPr="00585C2D">
        <w:rPr>
          <w:rFonts w:eastAsia="Arial" w:cstheme="minorHAnsi"/>
          <w:spacing w:val="2"/>
        </w:rPr>
        <w:t>e</w:t>
      </w:r>
      <w:r w:rsidRPr="00585C2D">
        <w:rPr>
          <w:rFonts w:eastAsia="Arial" w:cstheme="minorHAnsi"/>
          <w:spacing w:val="-2"/>
        </w:rPr>
        <w:t>m</w:t>
      </w:r>
      <w:r w:rsidRPr="00585C2D">
        <w:rPr>
          <w:rFonts w:eastAsia="Arial" w:cstheme="minorHAnsi"/>
          <w:spacing w:val="-3"/>
        </w:rPr>
        <w:t>b</w:t>
      </w:r>
      <w:r w:rsidRPr="00585C2D">
        <w:rPr>
          <w:rFonts w:eastAsia="Arial" w:cstheme="minorHAnsi"/>
          <w:spacing w:val="2"/>
        </w:rPr>
        <w:t>e</w:t>
      </w:r>
      <w:r w:rsidRPr="00585C2D">
        <w:rPr>
          <w:rFonts w:eastAsia="Arial" w:cstheme="minorHAnsi"/>
          <w:spacing w:val="-2"/>
        </w:rPr>
        <w:t>r</w:t>
      </w:r>
      <w:r w:rsidRPr="00585C2D">
        <w:rPr>
          <w:rFonts w:eastAsia="Arial" w:cstheme="minorHAnsi"/>
        </w:rPr>
        <w:t>s</w:t>
      </w:r>
      <w:r w:rsidRPr="00585C2D">
        <w:rPr>
          <w:rFonts w:eastAsia="Arial" w:cstheme="minorHAnsi"/>
          <w:spacing w:val="-7"/>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7"/>
        </w:rPr>
        <w:t xml:space="preserve"> </w:t>
      </w:r>
      <w:r w:rsidRPr="00585C2D">
        <w:rPr>
          <w:rFonts w:eastAsia="Arial" w:cstheme="minorHAnsi"/>
          <w:spacing w:val="-1"/>
        </w:rPr>
        <w:t>C</w:t>
      </w:r>
      <w:r w:rsidRPr="00585C2D">
        <w:rPr>
          <w:rFonts w:eastAsia="Arial" w:cstheme="minorHAnsi"/>
          <w:spacing w:val="-3"/>
        </w:rPr>
        <w:t>E</w:t>
      </w:r>
      <w:r w:rsidRPr="00585C2D">
        <w:rPr>
          <w:rFonts w:eastAsia="Arial" w:cstheme="minorHAnsi"/>
        </w:rPr>
        <w:t>O</w:t>
      </w:r>
      <w:r w:rsidRPr="00585C2D">
        <w:rPr>
          <w:rFonts w:eastAsia="Arial" w:cstheme="minorHAnsi"/>
          <w:spacing w:val="-5"/>
        </w:rPr>
        <w:t xml:space="preserve"> </w:t>
      </w:r>
      <w:r w:rsidRPr="00585C2D">
        <w:rPr>
          <w:rFonts w:eastAsia="Arial" w:cstheme="minorHAnsi"/>
          <w:spacing w:val="-2"/>
        </w:rPr>
        <w:t>m</w:t>
      </w:r>
      <w:r w:rsidRPr="00585C2D">
        <w:rPr>
          <w:rFonts w:eastAsia="Arial" w:cstheme="minorHAnsi"/>
          <w:spacing w:val="2"/>
        </w:rPr>
        <w:t>a</w:t>
      </w:r>
      <w:r w:rsidRPr="00585C2D">
        <w:rPr>
          <w:rFonts w:eastAsia="Arial" w:cstheme="minorHAnsi"/>
        </w:rPr>
        <w:t>y</w:t>
      </w:r>
      <w:r w:rsidRPr="00585C2D">
        <w:rPr>
          <w:rFonts w:eastAsia="Arial" w:cstheme="minorHAnsi"/>
          <w:spacing w:val="-13"/>
        </w:rPr>
        <w:t xml:space="preserve"> </w:t>
      </w:r>
      <w:r w:rsidRPr="00585C2D">
        <w:rPr>
          <w:rFonts w:eastAsia="Arial" w:cstheme="minorHAnsi"/>
          <w:spacing w:val="-1"/>
        </w:rPr>
        <w:t>wi</w:t>
      </w:r>
      <w:r w:rsidRPr="00585C2D">
        <w:rPr>
          <w:rFonts w:eastAsia="Arial" w:cstheme="minorHAnsi"/>
        </w:rPr>
        <w:t>sh</w:t>
      </w:r>
      <w:r w:rsidRPr="00585C2D">
        <w:rPr>
          <w:rFonts w:eastAsia="Arial" w:cstheme="minorHAnsi"/>
          <w:spacing w:val="-12"/>
        </w:rPr>
        <w:t xml:space="preserve"> </w:t>
      </w:r>
      <w:r w:rsidRPr="00585C2D">
        <w:rPr>
          <w:rFonts w:eastAsia="Arial" w:cstheme="minorHAnsi"/>
          <w:spacing w:val="1"/>
        </w:rPr>
        <w:t>t</w:t>
      </w:r>
      <w:r w:rsidRPr="00585C2D">
        <w:rPr>
          <w:rFonts w:eastAsia="Arial" w:cstheme="minorHAnsi"/>
        </w:rPr>
        <w:t>o</w:t>
      </w:r>
      <w:r w:rsidRPr="00585C2D">
        <w:rPr>
          <w:rFonts w:eastAsia="Arial" w:cstheme="minorHAnsi"/>
          <w:spacing w:val="-12"/>
        </w:rPr>
        <w:t xml:space="preserve"> </w:t>
      </w:r>
      <w:r w:rsidRPr="00585C2D">
        <w:rPr>
          <w:rFonts w:eastAsia="Arial" w:cstheme="minorHAnsi"/>
          <w:spacing w:val="2"/>
        </w:rPr>
        <w:t>o</w:t>
      </w:r>
      <w:r w:rsidRPr="00585C2D">
        <w:rPr>
          <w:rFonts w:eastAsia="Arial" w:cstheme="minorHAnsi"/>
          <w:spacing w:val="-3"/>
        </w:rPr>
        <w:t>b</w:t>
      </w:r>
      <w:r w:rsidRPr="00585C2D">
        <w:rPr>
          <w:rFonts w:eastAsia="Arial" w:cstheme="minorHAnsi"/>
          <w:spacing w:val="1"/>
        </w:rPr>
        <w:t>t</w:t>
      </w:r>
      <w:r w:rsidRPr="00585C2D">
        <w:rPr>
          <w:rFonts w:eastAsia="Arial" w:cstheme="minorHAnsi"/>
          <w:spacing w:val="2"/>
        </w:rPr>
        <w:t>a</w:t>
      </w:r>
      <w:r w:rsidRPr="00585C2D">
        <w:rPr>
          <w:rFonts w:eastAsia="Arial" w:cstheme="minorHAnsi"/>
          <w:spacing w:val="-6"/>
        </w:rPr>
        <w:t>i</w:t>
      </w:r>
      <w:r w:rsidRPr="00585C2D">
        <w:rPr>
          <w:rFonts w:eastAsia="Arial" w:cstheme="minorHAnsi"/>
        </w:rPr>
        <w:t>n</w:t>
      </w:r>
      <w:r w:rsidRPr="00585C2D">
        <w:rPr>
          <w:rFonts w:eastAsia="Arial" w:cstheme="minorHAnsi"/>
          <w:spacing w:val="-7"/>
        </w:rPr>
        <w:t xml:space="preserve"> </w:t>
      </w:r>
      <w:r w:rsidRPr="00585C2D">
        <w:rPr>
          <w:rFonts w:eastAsia="Arial" w:cstheme="minorHAnsi"/>
          <w:spacing w:val="-4"/>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r</w:t>
      </w:r>
      <w:r w:rsidRPr="00585C2D">
        <w:rPr>
          <w:rFonts w:eastAsia="Arial" w:cstheme="minorHAnsi"/>
          <w:spacing w:val="-10"/>
        </w:rPr>
        <w:t xml:space="preserve"> </w:t>
      </w:r>
      <w:r w:rsidRPr="00585C2D">
        <w:rPr>
          <w:rFonts w:eastAsia="Arial" w:cstheme="minorHAnsi"/>
          <w:spacing w:val="2"/>
        </w:rPr>
        <w:t>o</w:t>
      </w:r>
      <w:r w:rsidRPr="00585C2D">
        <w:rPr>
          <w:rFonts w:eastAsia="Arial" w:cstheme="minorHAnsi"/>
          <w:spacing w:val="-6"/>
        </w:rPr>
        <w:t>w</w:t>
      </w:r>
      <w:r w:rsidRPr="00585C2D">
        <w:rPr>
          <w:rFonts w:eastAsia="Arial" w:cstheme="minorHAnsi"/>
        </w:rPr>
        <w:t xml:space="preserve">n </w:t>
      </w:r>
      <w:r w:rsidRPr="00585C2D">
        <w:rPr>
          <w:rFonts w:eastAsia="Arial" w:cstheme="minorHAnsi"/>
          <w:spacing w:val="-1"/>
        </w:rPr>
        <w:t>i</w:t>
      </w:r>
      <w:r w:rsidRPr="00585C2D">
        <w:rPr>
          <w:rFonts w:eastAsia="Arial" w:cstheme="minorHAnsi"/>
          <w:spacing w:val="2"/>
        </w:rPr>
        <w:t>n</w:t>
      </w:r>
      <w:r w:rsidRPr="00585C2D">
        <w:rPr>
          <w:rFonts w:eastAsia="Arial" w:cstheme="minorHAnsi"/>
        </w:rPr>
        <w:t>s</w:t>
      </w:r>
      <w:r w:rsidRPr="00585C2D">
        <w:rPr>
          <w:rFonts w:eastAsia="Arial" w:cstheme="minorHAnsi"/>
          <w:spacing w:val="2"/>
        </w:rPr>
        <w:t>u</w:t>
      </w:r>
      <w:r w:rsidRPr="00585C2D">
        <w:rPr>
          <w:rFonts w:eastAsia="Arial" w:cstheme="minorHAnsi"/>
          <w:spacing w:val="-2"/>
        </w:rPr>
        <w:t>r</w:t>
      </w:r>
      <w:r w:rsidRPr="00585C2D">
        <w:rPr>
          <w:rFonts w:eastAsia="Arial" w:cstheme="minorHAnsi"/>
          <w:spacing w:val="-3"/>
        </w:rPr>
        <w:t>a</w:t>
      </w:r>
      <w:r w:rsidRPr="00585C2D">
        <w:rPr>
          <w:rFonts w:eastAsia="Arial" w:cstheme="minorHAnsi"/>
          <w:spacing w:val="2"/>
        </w:rPr>
        <w:t>n</w:t>
      </w:r>
      <w:r w:rsidRPr="00585C2D">
        <w:rPr>
          <w:rFonts w:eastAsia="Arial" w:cstheme="minorHAnsi"/>
        </w:rPr>
        <w:t>ce</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5"/>
        </w:rPr>
        <w:t>v</w:t>
      </w:r>
      <w:r w:rsidRPr="00585C2D">
        <w:rPr>
          <w:rFonts w:eastAsia="Arial" w:cstheme="minorHAnsi"/>
          <w:spacing w:val="2"/>
        </w:rPr>
        <w:t>e</w:t>
      </w:r>
      <w:r w:rsidRPr="00585C2D">
        <w:rPr>
          <w:rFonts w:eastAsia="Arial" w:cstheme="minorHAnsi"/>
          <w:spacing w:val="-2"/>
        </w:rPr>
        <w:t>r</w:t>
      </w:r>
      <w:r w:rsidRPr="00585C2D">
        <w:rPr>
          <w:rFonts w:eastAsia="Arial" w:cstheme="minorHAnsi"/>
        </w:rPr>
        <w:t>,</w:t>
      </w:r>
      <w:r w:rsidRPr="00585C2D">
        <w:rPr>
          <w:rFonts w:eastAsia="Arial" w:cstheme="minorHAnsi"/>
          <w:spacing w:val="1"/>
        </w:rPr>
        <w:t xml:space="preserve"> </w:t>
      </w:r>
      <w:r w:rsidRPr="00585C2D">
        <w:rPr>
          <w:rFonts w:eastAsia="Arial" w:cstheme="minorHAnsi"/>
          <w:spacing w:val="2"/>
        </w:rPr>
        <w:t>a</w:t>
      </w:r>
      <w:r w:rsidRPr="00585C2D">
        <w:rPr>
          <w:rFonts w:eastAsia="Arial" w:cstheme="minorHAnsi"/>
        </w:rPr>
        <w:t>t</w:t>
      </w:r>
      <w:r w:rsidRPr="00585C2D">
        <w:rPr>
          <w:rFonts w:eastAsia="Arial" w:cstheme="minorHAnsi"/>
          <w:spacing w:val="1"/>
        </w:rPr>
        <w:t xml:space="preserve"> t</w:t>
      </w:r>
      <w:r w:rsidRPr="00585C2D">
        <w:rPr>
          <w:rFonts w:eastAsia="Arial" w:cstheme="minorHAnsi"/>
          <w:spacing w:val="-3"/>
        </w:rPr>
        <w:t>h</w:t>
      </w:r>
      <w:r w:rsidRPr="00585C2D">
        <w:rPr>
          <w:rFonts w:eastAsia="Arial" w:cstheme="minorHAnsi"/>
          <w:spacing w:val="2"/>
        </w:rPr>
        <w:t>e</w:t>
      </w:r>
      <w:r w:rsidRPr="00585C2D">
        <w:rPr>
          <w:rFonts w:eastAsia="Arial" w:cstheme="minorHAnsi"/>
          <w:spacing w:val="-1"/>
        </w:rPr>
        <w:t>i</w:t>
      </w:r>
      <w:r w:rsidRPr="00585C2D">
        <w:rPr>
          <w:rFonts w:eastAsia="Arial" w:cstheme="minorHAnsi"/>
        </w:rPr>
        <w:t>r</w:t>
      </w:r>
      <w:r w:rsidRPr="00585C2D">
        <w:rPr>
          <w:rFonts w:eastAsia="Arial" w:cstheme="minorHAnsi"/>
          <w:spacing w:val="3"/>
        </w:rPr>
        <w:t xml:space="preserve"> </w:t>
      </w:r>
      <w:r w:rsidRPr="00585C2D">
        <w:rPr>
          <w:rFonts w:eastAsia="Arial" w:cstheme="minorHAnsi"/>
          <w:spacing w:val="2"/>
        </w:rPr>
        <w:t>o</w:t>
      </w:r>
      <w:r w:rsidRPr="00585C2D">
        <w:rPr>
          <w:rFonts w:eastAsia="Arial" w:cstheme="minorHAnsi"/>
          <w:spacing w:val="-1"/>
        </w:rPr>
        <w:t>w</w:t>
      </w:r>
      <w:r w:rsidRPr="00585C2D">
        <w:rPr>
          <w:rFonts w:eastAsia="Arial" w:cstheme="minorHAnsi"/>
        </w:rPr>
        <w:t>n</w:t>
      </w:r>
      <w:r w:rsidRPr="00585C2D">
        <w:rPr>
          <w:rFonts w:eastAsia="Arial" w:cstheme="minorHAnsi"/>
          <w:spacing w:val="2"/>
        </w:rPr>
        <w:t xml:space="preserve"> </w:t>
      </w:r>
      <w:r w:rsidRPr="00585C2D">
        <w:rPr>
          <w:rFonts w:eastAsia="Arial" w:cstheme="minorHAnsi"/>
        </w:rPr>
        <w:t>c</w:t>
      </w:r>
      <w:r w:rsidRPr="00585C2D">
        <w:rPr>
          <w:rFonts w:eastAsia="Arial" w:cstheme="minorHAnsi"/>
          <w:spacing w:val="2"/>
        </w:rPr>
        <w:t>o</w:t>
      </w:r>
      <w:r w:rsidRPr="00585C2D">
        <w:rPr>
          <w:rFonts w:eastAsia="Arial" w:cstheme="minorHAnsi"/>
          <w:spacing w:val="-5"/>
        </w:rPr>
        <w:t>s</w:t>
      </w:r>
      <w:r w:rsidRPr="00585C2D">
        <w:rPr>
          <w:rFonts w:eastAsia="Arial" w:cstheme="minorHAnsi"/>
          <w:spacing w:val="1"/>
        </w:rPr>
        <w:t>t</w:t>
      </w:r>
      <w:r w:rsidRPr="00585C2D">
        <w:rPr>
          <w:rFonts w:eastAsia="Arial" w:cstheme="minorHAnsi"/>
        </w:rPr>
        <w:t>,</w:t>
      </w:r>
      <w:r w:rsidRPr="00585C2D">
        <w:rPr>
          <w:rFonts w:eastAsia="Arial" w:cstheme="minorHAnsi"/>
          <w:spacing w:val="1"/>
        </w:rPr>
        <w:t xml:space="preserve"> t</w:t>
      </w:r>
      <w:r w:rsidRPr="00585C2D">
        <w:rPr>
          <w:rFonts w:eastAsia="Arial" w:cstheme="minorHAnsi"/>
        </w:rPr>
        <w:t>o</w:t>
      </w:r>
      <w:r w:rsidRPr="00585C2D">
        <w:rPr>
          <w:rFonts w:eastAsia="Arial" w:cstheme="minorHAnsi"/>
          <w:spacing w:val="1"/>
        </w:rPr>
        <w:t xml:space="preserve"> </w:t>
      </w:r>
      <w:r w:rsidRPr="00585C2D">
        <w:rPr>
          <w:rFonts w:eastAsia="Arial" w:cstheme="minorHAnsi"/>
          <w:spacing w:val="-3"/>
        </w:rPr>
        <w:t>e</w:t>
      </w:r>
      <w:r w:rsidRPr="00585C2D">
        <w:rPr>
          <w:rFonts w:eastAsia="Arial" w:cstheme="minorHAnsi"/>
          <w:spacing w:val="2"/>
        </w:rPr>
        <w:t>n</w:t>
      </w:r>
      <w:r w:rsidRPr="00585C2D">
        <w:rPr>
          <w:rFonts w:eastAsia="Arial" w:cstheme="minorHAnsi"/>
        </w:rPr>
        <w:t>s</w:t>
      </w:r>
      <w:r w:rsidRPr="00585C2D">
        <w:rPr>
          <w:rFonts w:eastAsia="Arial" w:cstheme="minorHAnsi"/>
          <w:spacing w:val="2"/>
        </w:rPr>
        <w:t>u</w:t>
      </w:r>
      <w:r w:rsidRPr="00585C2D">
        <w:rPr>
          <w:rFonts w:eastAsia="Arial" w:cstheme="minorHAnsi"/>
          <w:spacing w:val="-2"/>
        </w:rPr>
        <w:t>r</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1"/>
        </w:rPr>
        <w:t>t</w:t>
      </w:r>
      <w:r w:rsidRPr="00585C2D">
        <w:rPr>
          <w:rFonts w:eastAsia="Arial" w:cstheme="minorHAnsi"/>
          <w:spacing w:val="-3"/>
        </w:rPr>
        <w:t>h</w:t>
      </w:r>
      <w:r w:rsidRPr="00585C2D">
        <w:rPr>
          <w:rFonts w:eastAsia="Arial" w:cstheme="minorHAnsi"/>
        </w:rPr>
        <w:t>e</w:t>
      </w:r>
      <w:r w:rsidRPr="00585C2D">
        <w:rPr>
          <w:rFonts w:eastAsia="Arial" w:cstheme="minorHAnsi"/>
          <w:spacing w:val="1"/>
        </w:rPr>
        <w:t xml:space="preserve"> </w:t>
      </w:r>
      <w:r w:rsidRPr="00585C2D">
        <w:rPr>
          <w:rFonts w:eastAsia="Arial" w:cstheme="minorHAnsi"/>
          <w:spacing w:val="2"/>
        </w:rPr>
        <w:t>b</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e</w:t>
      </w:r>
      <w:r w:rsidRPr="00585C2D">
        <w:rPr>
          <w:rFonts w:eastAsia="Arial" w:cstheme="minorHAnsi"/>
          <w:spacing w:val="6"/>
        </w:rPr>
        <w:t>f</w:t>
      </w:r>
      <w:r w:rsidRPr="00585C2D">
        <w:rPr>
          <w:rFonts w:eastAsia="Arial" w:cstheme="minorHAnsi"/>
          <w:spacing w:val="-1"/>
        </w:rPr>
        <w:t>i</w:t>
      </w:r>
      <w:r w:rsidRPr="00585C2D">
        <w:rPr>
          <w:rFonts w:eastAsia="Arial" w:cstheme="minorHAnsi"/>
          <w:spacing w:val="1"/>
        </w:rPr>
        <w:t>t</w:t>
      </w:r>
      <w:r w:rsidRPr="00585C2D">
        <w:rPr>
          <w:rFonts w:eastAsia="Arial" w:cstheme="minorHAnsi"/>
        </w:rPr>
        <w:t xml:space="preserve">s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3"/>
        </w:rPr>
        <w:t>e</w:t>
      </w:r>
      <w:r w:rsidRPr="00585C2D">
        <w:rPr>
          <w:rFonts w:eastAsia="Arial" w:cstheme="minorHAnsi"/>
          <w:spacing w:val="2"/>
        </w:rPr>
        <w:t>n</w:t>
      </w:r>
      <w:r w:rsidRPr="00585C2D">
        <w:rPr>
          <w:rFonts w:eastAsia="Arial" w:cstheme="minorHAnsi"/>
          <w:spacing w:val="-3"/>
        </w:rPr>
        <w:t>d</w:t>
      </w:r>
      <w:r w:rsidRPr="00585C2D">
        <w:rPr>
          <w:rFonts w:eastAsia="Arial" w:cstheme="minorHAnsi"/>
          <w:spacing w:val="2"/>
        </w:rPr>
        <w:t>o</w:t>
      </w:r>
      <w:r w:rsidRPr="00585C2D">
        <w:rPr>
          <w:rFonts w:eastAsia="Arial" w:cstheme="minorHAnsi"/>
          <w:spacing w:val="-2"/>
        </w:rPr>
        <w:t>r</w:t>
      </w:r>
      <w:r w:rsidRPr="00585C2D">
        <w:rPr>
          <w:rFonts w:eastAsia="Arial" w:cstheme="minorHAnsi"/>
        </w:rPr>
        <w:t>s</w:t>
      </w:r>
      <w:r w:rsidRPr="00585C2D">
        <w:rPr>
          <w:rFonts w:eastAsia="Arial" w:cstheme="minorHAnsi"/>
          <w:spacing w:val="2"/>
        </w:rPr>
        <w:t>e</w:t>
      </w:r>
      <w:r w:rsidRPr="00585C2D">
        <w:rPr>
          <w:rFonts w:eastAsia="Arial" w:cstheme="minorHAnsi"/>
          <w:spacing w:val="-2"/>
        </w:rPr>
        <w:t>m</w:t>
      </w:r>
      <w:r w:rsidRPr="00585C2D">
        <w:rPr>
          <w:rFonts w:eastAsia="Arial" w:cstheme="minorHAnsi"/>
          <w:spacing w:val="-3"/>
        </w:rPr>
        <w:t>e</w:t>
      </w:r>
      <w:r w:rsidRPr="00585C2D">
        <w:rPr>
          <w:rFonts w:eastAsia="Arial" w:cstheme="minorHAnsi"/>
          <w:spacing w:val="2"/>
        </w:rPr>
        <w:t>n</w:t>
      </w:r>
      <w:r w:rsidRPr="00585C2D">
        <w:rPr>
          <w:rFonts w:eastAsia="Arial" w:cstheme="minorHAnsi"/>
          <w:spacing w:val="1"/>
        </w:rPr>
        <w:t>t</w:t>
      </w:r>
      <w:r w:rsidRPr="00585C2D">
        <w:rPr>
          <w:rFonts w:eastAsia="Arial" w:cstheme="minorHAnsi"/>
        </w:rPr>
        <w:t xml:space="preserve">s </w:t>
      </w:r>
      <w:r w:rsidRPr="00585C2D">
        <w:rPr>
          <w:rFonts w:eastAsia="Arial" w:cstheme="minorHAnsi"/>
          <w:spacing w:val="2"/>
        </w:rPr>
        <w:t>a</w:t>
      </w:r>
      <w:r w:rsidRPr="00585C2D">
        <w:rPr>
          <w:rFonts w:eastAsia="Arial" w:cstheme="minorHAnsi"/>
          <w:spacing w:val="-2"/>
        </w:rPr>
        <w:t>r</w:t>
      </w:r>
      <w:r w:rsidRPr="00585C2D">
        <w:rPr>
          <w:rFonts w:eastAsia="Arial" w:cstheme="minorHAnsi"/>
        </w:rPr>
        <w:t>e</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spacing w:val="2"/>
        </w:rPr>
        <w:t>d</w:t>
      </w:r>
      <w:r w:rsidRPr="00585C2D">
        <w:rPr>
          <w:rFonts w:eastAsia="Arial" w:cstheme="minorHAnsi"/>
          <w:spacing w:val="-3"/>
        </w:rPr>
        <w:t>e</w:t>
      </w:r>
      <w:r w:rsidRPr="00585C2D">
        <w:rPr>
          <w:rFonts w:eastAsia="Arial" w:cstheme="minorHAnsi"/>
          <w:spacing w:val="2"/>
        </w:rPr>
        <w:t>q</w:t>
      </w:r>
      <w:r w:rsidRPr="00585C2D">
        <w:rPr>
          <w:rFonts w:eastAsia="Arial" w:cstheme="minorHAnsi"/>
          <w:spacing w:val="-3"/>
        </w:rPr>
        <w:t>u</w:t>
      </w:r>
      <w:r w:rsidRPr="00585C2D">
        <w:rPr>
          <w:rFonts w:eastAsia="Arial" w:cstheme="minorHAnsi"/>
          <w:spacing w:val="2"/>
        </w:rPr>
        <w:t>a</w:t>
      </w:r>
      <w:r w:rsidRPr="00585C2D">
        <w:rPr>
          <w:rFonts w:eastAsia="Arial" w:cstheme="minorHAnsi"/>
          <w:spacing w:val="-4"/>
        </w:rPr>
        <w:t>t</w:t>
      </w:r>
      <w:r w:rsidRPr="00585C2D">
        <w:rPr>
          <w:rFonts w:eastAsia="Arial" w:cstheme="minorHAnsi"/>
        </w:rPr>
        <w:t>e</w:t>
      </w:r>
      <w:r w:rsidRPr="00585C2D">
        <w:rPr>
          <w:rFonts w:eastAsia="Arial" w:cstheme="minorHAnsi"/>
          <w:spacing w:val="1"/>
        </w:rPr>
        <w:t xml:space="preserve"> f</w:t>
      </w:r>
      <w:r w:rsidRPr="00585C2D">
        <w:rPr>
          <w:rFonts w:eastAsia="Arial" w:cstheme="minorHAnsi"/>
          <w:spacing w:val="2"/>
        </w:rPr>
        <w:t>o</w:t>
      </w:r>
      <w:r w:rsidRPr="00585C2D">
        <w:rPr>
          <w:rFonts w:eastAsia="Arial" w:cstheme="minorHAnsi"/>
        </w:rPr>
        <w:t xml:space="preserve">r </w:t>
      </w:r>
      <w:r w:rsidRPr="00585C2D">
        <w:rPr>
          <w:rFonts w:eastAsia="Arial" w:cstheme="minorHAnsi"/>
          <w:spacing w:val="1"/>
        </w:rPr>
        <w:t>t</w:t>
      </w:r>
      <w:r w:rsidRPr="00585C2D">
        <w:rPr>
          <w:rFonts w:eastAsia="Arial" w:cstheme="minorHAnsi"/>
          <w:spacing w:val="2"/>
        </w:rPr>
        <w:t>he</w:t>
      </w:r>
      <w:r w:rsidRPr="00585C2D">
        <w:rPr>
          <w:rFonts w:eastAsia="Arial" w:cstheme="minorHAnsi"/>
          <w:spacing w:val="-1"/>
        </w:rPr>
        <w:t>i</w:t>
      </w:r>
      <w:r w:rsidRPr="00585C2D">
        <w:rPr>
          <w:rFonts w:eastAsia="Arial" w:cstheme="minorHAnsi"/>
        </w:rPr>
        <w:t xml:space="preserve">r </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d</w:t>
      </w:r>
      <w:r w:rsidRPr="00585C2D">
        <w:rPr>
          <w:rFonts w:eastAsia="Arial" w:cstheme="minorHAnsi"/>
          <w:spacing w:val="-1"/>
        </w:rPr>
        <w:t>i</w:t>
      </w:r>
      <w:r w:rsidRPr="00585C2D">
        <w:rPr>
          <w:rFonts w:eastAsia="Arial" w:cstheme="minorHAnsi"/>
        </w:rPr>
        <w:t>v</w:t>
      </w:r>
      <w:r w:rsidRPr="00585C2D">
        <w:rPr>
          <w:rFonts w:eastAsia="Arial" w:cstheme="minorHAnsi"/>
          <w:spacing w:val="-1"/>
        </w:rPr>
        <w:t>i</w:t>
      </w:r>
      <w:r w:rsidRPr="00585C2D">
        <w:rPr>
          <w:rFonts w:eastAsia="Arial" w:cstheme="minorHAnsi"/>
          <w:spacing w:val="-3"/>
        </w:rPr>
        <w:t>d</w:t>
      </w:r>
      <w:r w:rsidRPr="00585C2D">
        <w:rPr>
          <w:rFonts w:eastAsia="Arial" w:cstheme="minorHAnsi"/>
          <w:spacing w:val="2"/>
        </w:rPr>
        <w:t>ua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2"/>
        </w:rPr>
        <w:t>n</w:t>
      </w:r>
      <w:r w:rsidRPr="00585C2D">
        <w:rPr>
          <w:rFonts w:eastAsia="Arial" w:cstheme="minorHAnsi"/>
          <w:spacing w:val="-3"/>
        </w:rPr>
        <w:t>e</w:t>
      </w:r>
      <w:r w:rsidRPr="00585C2D">
        <w:rPr>
          <w:rFonts w:eastAsia="Arial" w:cstheme="minorHAnsi"/>
          <w:spacing w:val="2"/>
        </w:rPr>
        <w:t>ed</w:t>
      </w:r>
      <w:r w:rsidRPr="00585C2D">
        <w:rPr>
          <w:rFonts w:eastAsia="Arial" w:cstheme="minorHAnsi"/>
          <w:spacing w:val="-5"/>
        </w:rPr>
        <w:t>s</w:t>
      </w:r>
      <w:r w:rsidRPr="00585C2D">
        <w:rPr>
          <w:rFonts w:eastAsia="Arial" w:cstheme="minorHAnsi"/>
        </w:rPr>
        <w:t>.</w:t>
      </w:r>
    </w:p>
    <w:p w14:paraId="75B20897" w14:textId="77777777" w:rsidR="00FC0CF1" w:rsidRPr="00585C2D" w:rsidRDefault="00FC0CF1" w:rsidP="00FC0CF1">
      <w:pPr>
        <w:spacing w:before="10" w:after="0" w:line="160" w:lineRule="exact"/>
        <w:rPr>
          <w:rFonts w:cstheme="minorHAnsi"/>
        </w:rPr>
      </w:pPr>
    </w:p>
    <w:p w14:paraId="4A007C05" w14:textId="77777777" w:rsidR="00FC0CF1" w:rsidRPr="00585C2D" w:rsidRDefault="00FC0CF1" w:rsidP="00FC0CF1">
      <w:pPr>
        <w:spacing w:after="0" w:line="200" w:lineRule="exact"/>
        <w:rPr>
          <w:rFonts w:cstheme="minorHAnsi"/>
        </w:rPr>
      </w:pPr>
    </w:p>
    <w:p w14:paraId="0FA2ACB4" w14:textId="77777777" w:rsidR="00FC0CF1" w:rsidRPr="00585C2D" w:rsidRDefault="00FC0CF1" w:rsidP="00FC0CF1">
      <w:pPr>
        <w:pStyle w:val="Default"/>
        <w:rPr>
          <w:rFonts w:asciiTheme="minorHAnsi" w:hAnsiTheme="minorHAnsi" w:cstheme="minorHAnsi"/>
          <w:sz w:val="22"/>
          <w:szCs w:val="22"/>
        </w:rPr>
      </w:pPr>
      <w:r w:rsidRPr="00585C2D">
        <w:rPr>
          <w:rFonts w:asciiTheme="minorHAnsi" w:hAnsiTheme="minorHAnsi" w:cstheme="minorHAnsi"/>
          <w:b/>
          <w:bCs/>
          <w:sz w:val="22"/>
          <w:szCs w:val="22"/>
        </w:rPr>
        <w:t xml:space="preserve">DEFINITIONS </w:t>
      </w:r>
    </w:p>
    <w:p w14:paraId="6EC8238B" w14:textId="77777777" w:rsidR="00FC0CF1" w:rsidRDefault="00FC0CF1" w:rsidP="00FC0CF1">
      <w:pPr>
        <w:spacing w:before="78" w:after="0" w:line="241" w:lineRule="auto"/>
        <w:ind w:right="95"/>
        <w:jc w:val="both"/>
        <w:rPr>
          <w:rFonts w:eastAsia="Arial" w:cstheme="minorHAnsi"/>
        </w:rPr>
      </w:pPr>
      <w:r w:rsidRPr="00585C2D">
        <w:rPr>
          <w:rFonts w:eastAsia="Arial" w:cstheme="minorHAnsi"/>
          <w:b/>
          <w:bCs/>
          <w:spacing w:val="-4"/>
        </w:rPr>
        <w:t>I</w:t>
      </w:r>
      <w:r w:rsidRPr="00585C2D">
        <w:rPr>
          <w:rFonts w:eastAsia="Arial" w:cstheme="minorHAnsi"/>
          <w:b/>
          <w:bCs/>
        </w:rPr>
        <w:t>n</w:t>
      </w:r>
      <w:r w:rsidRPr="00585C2D">
        <w:rPr>
          <w:rFonts w:eastAsia="Arial" w:cstheme="minorHAnsi"/>
          <w:b/>
          <w:bCs/>
          <w:spacing w:val="1"/>
        </w:rPr>
        <w:t>c</w:t>
      </w:r>
      <w:r w:rsidRPr="00585C2D">
        <w:rPr>
          <w:rFonts w:eastAsia="Arial" w:cstheme="minorHAnsi"/>
          <w:b/>
          <w:bCs/>
          <w:spacing w:val="-4"/>
        </w:rPr>
        <w:t>i</w:t>
      </w:r>
      <w:r w:rsidRPr="00585C2D">
        <w:rPr>
          <w:rFonts w:eastAsia="Arial" w:cstheme="minorHAnsi"/>
          <w:b/>
          <w:bCs/>
        </w:rPr>
        <w:t>d</w:t>
      </w:r>
      <w:r w:rsidRPr="00585C2D">
        <w:rPr>
          <w:rFonts w:eastAsia="Arial" w:cstheme="minorHAnsi"/>
          <w:b/>
          <w:bCs/>
          <w:spacing w:val="1"/>
        </w:rPr>
        <w:t>e</w:t>
      </w:r>
      <w:r w:rsidRPr="00585C2D">
        <w:rPr>
          <w:rFonts w:eastAsia="Arial" w:cstheme="minorHAnsi"/>
          <w:b/>
          <w:bCs/>
        </w:rPr>
        <w:t>n</w:t>
      </w:r>
      <w:r w:rsidRPr="00585C2D">
        <w:rPr>
          <w:rFonts w:eastAsia="Arial" w:cstheme="minorHAnsi"/>
          <w:b/>
          <w:bCs/>
          <w:spacing w:val="-2"/>
        </w:rPr>
        <w:t>t</w:t>
      </w:r>
      <w:r w:rsidRPr="00585C2D">
        <w:rPr>
          <w:rFonts w:eastAsia="Arial" w:cstheme="minorHAnsi"/>
          <w:b/>
          <w:bCs/>
          <w:spacing w:val="2"/>
        </w:rPr>
        <w:t>a</w:t>
      </w:r>
      <w:r w:rsidRPr="00585C2D">
        <w:rPr>
          <w:rFonts w:eastAsia="Arial" w:cstheme="minorHAnsi"/>
          <w:b/>
          <w:bCs/>
          <w:spacing w:val="-4"/>
        </w:rPr>
        <w:t>l</w:t>
      </w:r>
      <w:r w:rsidRPr="00585C2D">
        <w:rPr>
          <w:rFonts w:eastAsia="Arial" w:cstheme="minorHAnsi"/>
          <w:b/>
          <w:bCs/>
          <w:spacing w:val="-3"/>
        </w:rPr>
        <w:t>s</w:t>
      </w:r>
      <w:r w:rsidRPr="00585C2D">
        <w:rPr>
          <w:rFonts w:eastAsia="Arial" w:cstheme="minorHAnsi"/>
          <w:b/>
          <w:bCs/>
        </w:rPr>
        <w:t>:</w:t>
      </w:r>
      <w:r w:rsidRPr="00585C2D">
        <w:rPr>
          <w:rFonts w:eastAsia="Arial" w:cstheme="minorHAnsi"/>
          <w:b/>
          <w:bCs/>
          <w:spacing w:val="6"/>
        </w:rPr>
        <w:t xml:space="preserve"> </w:t>
      </w:r>
      <w:r w:rsidRPr="00585C2D">
        <w:rPr>
          <w:rFonts w:eastAsia="Arial" w:cstheme="minorHAnsi"/>
          <w:spacing w:val="-4"/>
        </w:rPr>
        <w:t>I</w:t>
      </w:r>
      <w:r w:rsidRPr="00585C2D">
        <w:rPr>
          <w:rFonts w:eastAsia="Arial" w:cstheme="minorHAnsi"/>
          <w:spacing w:val="2"/>
        </w:rPr>
        <w:t>n</w:t>
      </w:r>
      <w:r w:rsidRPr="00585C2D">
        <w:rPr>
          <w:rFonts w:eastAsia="Arial" w:cstheme="minorHAnsi"/>
        </w:rPr>
        <w:t>c</w:t>
      </w:r>
      <w:r w:rsidRPr="00585C2D">
        <w:rPr>
          <w:rFonts w:eastAsia="Arial" w:cstheme="minorHAnsi"/>
          <w:spacing w:val="-1"/>
        </w:rPr>
        <w:t>l</w:t>
      </w:r>
      <w:r w:rsidRPr="00585C2D">
        <w:rPr>
          <w:rFonts w:eastAsia="Arial" w:cstheme="minorHAnsi"/>
          <w:spacing w:val="2"/>
        </w:rPr>
        <w:t>ude</w:t>
      </w:r>
      <w:r w:rsidRPr="00585C2D">
        <w:rPr>
          <w:rFonts w:eastAsia="Arial" w:cstheme="minorHAnsi"/>
        </w:rPr>
        <w:t>s</w:t>
      </w:r>
      <w:r w:rsidRPr="00585C2D">
        <w:rPr>
          <w:rFonts w:eastAsia="Arial" w:cstheme="minorHAnsi"/>
          <w:spacing w:val="3"/>
        </w:rPr>
        <w:t xml:space="preserve"> </w:t>
      </w:r>
      <w:r w:rsidRPr="00585C2D">
        <w:rPr>
          <w:rFonts w:eastAsia="Arial" w:cstheme="minorHAnsi"/>
          <w:spacing w:val="-5"/>
        </w:rPr>
        <w:t>s</w:t>
      </w:r>
      <w:r w:rsidRPr="00585C2D">
        <w:rPr>
          <w:rFonts w:eastAsia="Arial" w:cstheme="minorHAnsi"/>
          <w:spacing w:val="2"/>
        </w:rPr>
        <w:t>na</w:t>
      </w:r>
      <w:r w:rsidRPr="00585C2D">
        <w:rPr>
          <w:rFonts w:eastAsia="Arial" w:cstheme="minorHAnsi"/>
        </w:rPr>
        <w:t>c</w:t>
      </w:r>
      <w:r w:rsidRPr="00585C2D">
        <w:rPr>
          <w:rFonts w:eastAsia="Arial" w:cstheme="minorHAnsi"/>
          <w:spacing w:val="-5"/>
        </w:rPr>
        <w:t>k</w:t>
      </w:r>
      <w:r w:rsidRPr="00585C2D">
        <w:rPr>
          <w:rFonts w:eastAsia="Arial" w:cstheme="minorHAnsi"/>
        </w:rPr>
        <w:t>s</w:t>
      </w:r>
      <w:r w:rsidRPr="00585C2D">
        <w:rPr>
          <w:rFonts w:eastAsia="Arial" w:cstheme="minorHAnsi"/>
          <w:spacing w:val="-4"/>
        </w:rPr>
        <w:t>/</w:t>
      </w:r>
      <w:r w:rsidRPr="00585C2D">
        <w:rPr>
          <w:rFonts w:eastAsia="Arial" w:cstheme="minorHAnsi"/>
          <w:spacing w:val="1"/>
        </w:rPr>
        <w:t>f</w:t>
      </w:r>
      <w:r w:rsidRPr="00585C2D">
        <w:rPr>
          <w:rFonts w:eastAsia="Arial" w:cstheme="minorHAnsi"/>
          <w:spacing w:val="2"/>
        </w:rPr>
        <w:t>o</w:t>
      </w:r>
      <w:r w:rsidRPr="00585C2D">
        <w:rPr>
          <w:rFonts w:eastAsia="Arial" w:cstheme="minorHAnsi"/>
          <w:spacing w:val="-3"/>
        </w:rPr>
        <w:t>o</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4"/>
        </w:rPr>
        <w:t>t</w:t>
      </w:r>
      <w:r w:rsidRPr="00585C2D">
        <w:rPr>
          <w:rFonts w:eastAsia="Arial" w:cstheme="minorHAnsi"/>
          <w:spacing w:val="2"/>
        </w:rPr>
        <w:t>ha</w:t>
      </w:r>
      <w:r w:rsidRPr="00585C2D">
        <w:rPr>
          <w:rFonts w:eastAsia="Arial" w:cstheme="minorHAnsi"/>
        </w:rPr>
        <w:t>t</w:t>
      </w:r>
      <w:r w:rsidRPr="00585C2D">
        <w:rPr>
          <w:rFonts w:eastAsia="Arial" w:cstheme="minorHAnsi"/>
          <w:spacing w:val="-3"/>
        </w:rPr>
        <w:t xml:space="preserve"> </w:t>
      </w:r>
      <w:r w:rsidRPr="00585C2D">
        <w:rPr>
          <w:rFonts w:eastAsia="Arial" w:cstheme="minorHAnsi"/>
          <w:spacing w:val="-1"/>
        </w:rPr>
        <w:t>i</w:t>
      </w:r>
      <w:r w:rsidRPr="00585C2D">
        <w:rPr>
          <w:rFonts w:eastAsia="Arial" w:cstheme="minorHAnsi"/>
        </w:rPr>
        <w:t>s</w:t>
      </w:r>
      <w:r w:rsidRPr="00585C2D">
        <w:rPr>
          <w:rFonts w:eastAsia="Arial" w:cstheme="minorHAnsi"/>
          <w:spacing w:val="1"/>
        </w:rPr>
        <w:t xml:space="preserve"> </w:t>
      </w:r>
      <w:r w:rsidRPr="00585C2D">
        <w:rPr>
          <w:rFonts w:eastAsia="Arial" w:cstheme="minorHAnsi"/>
          <w:spacing w:val="-5"/>
        </w:rPr>
        <w:t>c</w:t>
      </w:r>
      <w:r w:rsidRPr="00585C2D">
        <w:rPr>
          <w:rFonts w:eastAsia="Arial" w:cstheme="minorHAnsi"/>
          <w:spacing w:val="2"/>
        </w:rPr>
        <w:t>on</w:t>
      </w:r>
      <w:r w:rsidRPr="00585C2D">
        <w:rPr>
          <w:rFonts w:eastAsia="Arial" w:cstheme="minorHAnsi"/>
          <w:spacing w:val="-5"/>
        </w:rPr>
        <w:t>s</w:t>
      </w:r>
      <w:r w:rsidRPr="00585C2D">
        <w:rPr>
          <w:rFonts w:eastAsia="Arial" w:cstheme="minorHAnsi"/>
          <w:spacing w:val="2"/>
        </w:rPr>
        <w:t>u</w:t>
      </w:r>
      <w:r w:rsidRPr="00585C2D">
        <w:rPr>
          <w:rFonts w:eastAsia="Arial" w:cstheme="minorHAnsi"/>
          <w:spacing w:val="-2"/>
        </w:rPr>
        <w:t>m</w:t>
      </w:r>
      <w:r w:rsidRPr="00585C2D">
        <w:rPr>
          <w:rFonts w:eastAsia="Arial" w:cstheme="minorHAnsi"/>
          <w:spacing w:val="2"/>
        </w:rPr>
        <w:t>e</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2"/>
        </w:rPr>
        <w:t>o</w:t>
      </w:r>
      <w:r w:rsidRPr="00585C2D">
        <w:rPr>
          <w:rFonts w:eastAsia="Arial" w:cstheme="minorHAnsi"/>
          <w:spacing w:val="-3"/>
        </w:rPr>
        <w:t>u</w:t>
      </w:r>
      <w:r w:rsidRPr="00585C2D">
        <w:rPr>
          <w:rFonts w:eastAsia="Arial" w:cstheme="minorHAnsi"/>
          <w:spacing w:val="1"/>
        </w:rPr>
        <w:t>t</w:t>
      </w:r>
      <w:r w:rsidRPr="00585C2D">
        <w:rPr>
          <w:rFonts w:eastAsia="Arial" w:cstheme="minorHAnsi"/>
        </w:rPr>
        <w:t>s</w:t>
      </w:r>
      <w:r w:rsidRPr="00585C2D">
        <w:rPr>
          <w:rFonts w:eastAsia="Arial" w:cstheme="minorHAnsi"/>
          <w:spacing w:val="-1"/>
        </w:rPr>
        <w:t>i</w:t>
      </w:r>
      <w:r w:rsidRPr="00585C2D">
        <w:rPr>
          <w:rFonts w:eastAsia="Arial" w:cstheme="minorHAnsi"/>
          <w:spacing w:val="-3"/>
        </w:rPr>
        <w:t>d</w:t>
      </w:r>
      <w:r w:rsidRPr="00585C2D">
        <w:rPr>
          <w:rFonts w:eastAsia="Arial" w:cstheme="minorHAnsi"/>
        </w:rPr>
        <w:t>e</w:t>
      </w:r>
      <w:r w:rsidRPr="00585C2D">
        <w:rPr>
          <w:rFonts w:eastAsia="Arial" w:cstheme="minorHAnsi"/>
          <w:spacing w:val="3"/>
        </w:rPr>
        <w:t xml:space="preserve"> </w:t>
      </w:r>
      <w:r w:rsidRPr="00585C2D">
        <w:rPr>
          <w:rFonts w:eastAsia="Arial" w:cstheme="minorHAnsi"/>
          <w:spacing w:val="-3"/>
        </w:rPr>
        <w:t>o</w:t>
      </w:r>
      <w:r w:rsidRPr="00585C2D">
        <w:rPr>
          <w:rFonts w:eastAsia="Arial" w:cstheme="minorHAnsi"/>
        </w:rPr>
        <w:t>f</w:t>
      </w:r>
      <w:r w:rsidRPr="00585C2D">
        <w:rPr>
          <w:rFonts w:eastAsia="Arial" w:cstheme="minorHAnsi"/>
          <w:spacing w:val="2"/>
        </w:rPr>
        <w:t xml:space="preserve"> b</w:t>
      </w:r>
      <w:r w:rsidRPr="00585C2D">
        <w:rPr>
          <w:rFonts w:eastAsia="Arial" w:cstheme="minorHAnsi"/>
          <w:spacing w:val="-6"/>
        </w:rPr>
        <w:t>r</w:t>
      </w:r>
      <w:r w:rsidRPr="00585C2D">
        <w:rPr>
          <w:rFonts w:eastAsia="Arial" w:cstheme="minorHAnsi"/>
          <w:spacing w:val="2"/>
        </w:rPr>
        <w:t>ea</w:t>
      </w:r>
      <w:r w:rsidRPr="00585C2D">
        <w:rPr>
          <w:rFonts w:eastAsia="Arial" w:cstheme="minorHAnsi"/>
          <w:spacing w:val="-5"/>
        </w:rPr>
        <w:t>k</w:t>
      </w:r>
      <w:r w:rsidRPr="00585C2D">
        <w:rPr>
          <w:rFonts w:eastAsia="Arial" w:cstheme="minorHAnsi"/>
          <w:spacing w:val="1"/>
        </w:rPr>
        <w:t>f</w:t>
      </w:r>
      <w:r w:rsidRPr="00585C2D">
        <w:rPr>
          <w:rFonts w:eastAsia="Arial" w:cstheme="minorHAnsi"/>
          <w:spacing w:val="2"/>
        </w:rPr>
        <w:t>a</w:t>
      </w:r>
      <w:r w:rsidRPr="00585C2D">
        <w:rPr>
          <w:rFonts w:eastAsia="Arial" w:cstheme="minorHAnsi"/>
        </w:rPr>
        <w:t>s</w:t>
      </w:r>
      <w:r w:rsidRPr="00585C2D">
        <w:rPr>
          <w:rFonts w:eastAsia="Arial" w:cstheme="minorHAnsi"/>
          <w:spacing w:val="-4"/>
        </w:rPr>
        <w:t>t</w:t>
      </w:r>
      <w:r w:rsidRPr="00585C2D">
        <w:rPr>
          <w:rFonts w:eastAsia="Arial" w:cstheme="minorHAnsi"/>
        </w:rPr>
        <w:t>,</w:t>
      </w:r>
      <w:r w:rsidRPr="00585C2D">
        <w:rPr>
          <w:rFonts w:eastAsia="Arial" w:cstheme="minorHAnsi"/>
          <w:spacing w:val="2"/>
        </w:rPr>
        <w:t xml:space="preserve"> </w:t>
      </w:r>
      <w:r w:rsidRPr="00585C2D">
        <w:rPr>
          <w:rFonts w:eastAsia="Arial" w:cstheme="minorHAnsi"/>
          <w:spacing w:val="-1"/>
        </w:rPr>
        <w:t>l</w:t>
      </w:r>
      <w:r w:rsidRPr="00585C2D">
        <w:rPr>
          <w:rFonts w:eastAsia="Arial" w:cstheme="minorHAnsi"/>
          <w:spacing w:val="-3"/>
        </w:rPr>
        <w:t>u</w:t>
      </w:r>
      <w:r w:rsidRPr="00585C2D">
        <w:rPr>
          <w:rFonts w:eastAsia="Arial" w:cstheme="minorHAnsi"/>
          <w:spacing w:val="2"/>
        </w:rPr>
        <w:t>n</w:t>
      </w:r>
      <w:r w:rsidRPr="00585C2D">
        <w:rPr>
          <w:rFonts w:eastAsia="Arial" w:cstheme="minorHAnsi"/>
        </w:rPr>
        <w:t>ch</w:t>
      </w:r>
      <w:r w:rsidRPr="00585C2D">
        <w:rPr>
          <w:rFonts w:eastAsia="Arial" w:cstheme="minorHAnsi"/>
          <w:spacing w:val="-2"/>
        </w:rPr>
        <w:t xml:space="preserve"> </w:t>
      </w:r>
      <w:r w:rsidRPr="00585C2D">
        <w:rPr>
          <w:rFonts w:eastAsia="Arial" w:cstheme="minorHAnsi"/>
          <w:spacing w:val="-3"/>
        </w:rPr>
        <w:t>a</w:t>
      </w:r>
      <w:r w:rsidRPr="00585C2D">
        <w:rPr>
          <w:rFonts w:eastAsia="Arial" w:cstheme="minorHAnsi"/>
          <w:spacing w:val="2"/>
        </w:rPr>
        <w:t>n</w:t>
      </w:r>
      <w:r w:rsidRPr="00585C2D">
        <w:rPr>
          <w:rFonts w:eastAsia="Arial" w:cstheme="minorHAnsi"/>
        </w:rPr>
        <w:t>d</w:t>
      </w:r>
      <w:r w:rsidRPr="00585C2D">
        <w:rPr>
          <w:rFonts w:eastAsia="Arial" w:cstheme="minorHAnsi"/>
          <w:spacing w:val="-2"/>
        </w:rPr>
        <w:t xml:space="preserve"> </w:t>
      </w:r>
      <w:r w:rsidRPr="00585C2D">
        <w:rPr>
          <w:rFonts w:eastAsia="Arial" w:cstheme="minorHAnsi"/>
          <w:spacing w:val="2"/>
        </w:rPr>
        <w:t>d</w:t>
      </w:r>
      <w:r w:rsidRPr="00585C2D">
        <w:rPr>
          <w:rFonts w:eastAsia="Arial" w:cstheme="minorHAnsi"/>
          <w:spacing w:val="-1"/>
        </w:rPr>
        <w:t>i</w:t>
      </w:r>
      <w:r w:rsidRPr="00585C2D">
        <w:rPr>
          <w:rFonts w:eastAsia="Arial" w:cstheme="minorHAnsi"/>
          <w:spacing w:val="-3"/>
        </w:rPr>
        <w:t>n</w:t>
      </w:r>
      <w:r w:rsidRPr="00585C2D">
        <w:rPr>
          <w:rFonts w:eastAsia="Arial" w:cstheme="minorHAnsi"/>
          <w:spacing w:val="13"/>
        </w:rPr>
        <w:t>n</w:t>
      </w:r>
      <w:r w:rsidRPr="00585C2D">
        <w:rPr>
          <w:rFonts w:eastAsia="Arial" w:cstheme="minorHAnsi"/>
          <w:spacing w:val="2"/>
        </w:rPr>
        <w:t>e</w:t>
      </w:r>
      <w:r w:rsidRPr="00585C2D">
        <w:rPr>
          <w:rFonts w:eastAsia="Arial" w:cstheme="minorHAnsi"/>
          <w:spacing w:val="-2"/>
        </w:rPr>
        <w:t>r</w:t>
      </w:r>
      <w:r w:rsidRPr="00585C2D">
        <w:rPr>
          <w:rFonts w:eastAsia="Arial" w:cstheme="minorHAnsi"/>
        </w:rPr>
        <w:t>,</w:t>
      </w:r>
      <w:r w:rsidRPr="00585C2D">
        <w:rPr>
          <w:rFonts w:eastAsia="Arial" w:cstheme="minorHAnsi"/>
          <w:spacing w:val="-3"/>
        </w:rPr>
        <w:t xml:space="preserve"> </w:t>
      </w:r>
      <w:r w:rsidRPr="00585C2D">
        <w:rPr>
          <w:rFonts w:eastAsia="Arial" w:cstheme="minorHAnsi"/>
          <w:spacing w:val="2"/>
        </w:rPr>
        <w:t>d</w:t>
      </w:r>
      <w:r w:rsidRPr="00585C2D">
        <w:rPr>
          <w:rFonts w:eastAsia="Arial" w:cstheme="minorHAnsi"/>
          <w:spacing w:val="-2"/>
        </w:rPr>
        <w:t>r</w:t>
      </w:r>
      <w:r w:rsidRPr="00585C2D">
        <w:rPr>
          <w:rFonts w:eastAsia="Arial" w:cstheme="minorHAnsi"/>
          <w:spacing w:val="-1"/>
        </w:rPr>
        <w:t>i</w:t>
      </w:r>
      <w:r w:rsidRPr="00585C2D">
        <w:rPr>
          <w:rFonts w:eastAsia="Arial" w:cstheme="minorHAnsi"/>
          <w:spacing w:val="2"/>
        </w:rPr>
        <w:t>n</w:t>
      </w:r>
      <w:r w:rsidRPr="00585C2D">
        <w:rPr>
          <w:rFonts w:eastAsia="Arial" w:cstheme="minorHAnsi"/>
        </w:rPr>
        <w:t>k</w:t>
      </w:r>
      <w:r w:rsidRPr="00585C2D">
        <w:rPr>
          <w:rFonts w:eastAsia="Arial" w:cstheme="minorHAnsi"/>
          <w:spacing w:val="-5"/>
        </w:rPr>
        <w:t>s</w:t>
      </w:r>
      <w:r w:rsidRPr="00585C2D">
        <w:rPr>
          <w:rFonts w:eastAsia="Arial" w:cstheme="minorHAnsi"/>
        </w:rPr>
        <w:t xml:space="preserve">, </w:t>
      </w:r>
      <w:r w:rsidRPr="00585C2D">
        <w:rPr>
          <w:rFonts w:eastAsia="Arial" w:cstheme="minorHAnsi"/>
          <w:spacing w:val="-1"/>
        </w:rPr>
        <w:t>l</w:t>
      </w:r>
      <w:r w:rsidRPr="00585C2D">
        <w:rPr>
          <w:rFonts w:eastAsia="Arial" w:cstheme="minorHAnsi"/>
          <w:spacing w:val="2"/>
        </w:rPr>
        <w:t>au</w:t>
      </w:r>
      <w:r w:rsidRPr="00585C2D">
        <w:rPr>
          <w:rFonts w:eastAsia="Arial" w:cstheme="minorHAnsi"/>
          <w:spacing w:val="-3"/>
        </w:rPr>
        <w:t>n</w:t>
      </w:r>
      <w:r w:rsidRPr="00585C2D">
        <w:rPr>
          <w:rFonts w:eastAsia="Arial" w:cstheme="minorHAnsi"/>
          <w:spacing w:val="2"/>
        </w:rPr>
        <w:t>d</w:t>
      </w:r>
      <w:r w:rsidRPr="00585C2D">
        <w:rPr>
          <w:rFonts w:eastAsia="Arial" w:cstheme="minorHAnsi"/>
          <w:spacing w:val="-2"/>
        </w:rPr>
        <w:t>r</w:t>
      </w:r>
      <w:r w:rsidRPr="00585C2D">
        <w:rPr>
          <w:rFonts w:eastAsia="Arial" w:cstheme="minorHAnsi"/>
        </w:rPr>
        <w:t>y</w:t>
      </w:r>
      <w:r w:rsidRPr="00585C2D">
        <w:rPr>
          <w:rFonts w:eastAsia="Arial" w:cstheme="minorHAnsi"/>
          <w:spacing w:val="1"/>
        </w:rPr>
        <w:t xml:space="preserve"> </w:t>
      </w:r>
      <w:r w:rsidRPr="00585C2D">
        <w:rPr>
          <w:rFonts w:eastAsia="Arial" w:cstheme="minorHAnsi"/>
          <w:spacing w:val="-3"/>
        </w:rPr>
        <w:t>an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2"/>
        </w:rPr>
        <w:t>d</w:t>
      </w:r>
      <w:r w:rsidRPr="00585C2D">
        <w:rPr>
          <w:rFonts w:eastAsia="Arial" w:cstheme="minorHAnsi"/>
          <w:spacing w:val="-2"/>
        </w:rPr>
        <w:t>r</w:t>
      </w:r>
      <w:r w:rsidRPr="00585C2D">
        <w:rPr>
          <w:rFonts w:eastAsia="Arial" w:cstheme="minorHAnsi"/>
        </w:rPr>
        <w:t>y</w:t>
      </w:r>
      <w:r w:rsidRPr="00585C2D">
        <w:rPr>
          <w:rFonts w:eastAsia="Arial" w:cstheme="minorHAnsi"/>
          <w:spacing w:val="1"/>
        </w:rPr>
        <w:t xml:space="preserve"> </w:t>
      </w:r>
      <w:r w:rsidRPr="00585C2D">
        <w:rPr>
          <w:rFonts w:eastAsia="Arial" w:cstheme="minorHAnsi"/>
        </w:rPr>
        <w:t>c</w:t>
      </w:r>
      <w:r w:rsidRPr="00585C2D">
        <w:rPr>
          <w:rFonts w:eastAsia="Arial" w:cstheme="minorHAnsi"/>
          <w:spacing w:val="-6"/>
        </w:rPr>
        <w:t>l</w:t>
      </w:r>
      <w:r w:rsidRPr="00585C2D">
        <w:rPr>
          <w:rFonts w:eastAsia="Arial" w:cstheme="minorHAnsi"/>
          <w:spacing w:val="2"/>
        </w:rPr>
        <w:t>e</w:t>
      </w:r>
      <w:r w:rsidRPr="00585C2D">
        <w:rPr>
          <w:rFonts w:eastAsia="Arial" w:cstheme="minorHAnsi"/>
          <w:spacing w:val="-3"/>
        </w:rPr>
        <w:t>a</w:t>
      </w:r>
      <w:r w:rsidRPr="00585C2D">
        <w:rPr>
          <w:rFonts w:eastAsia="Arial" w:cstheme="minorHAnsi"/>
          <w:spacing w:val="2"/>
        </w:rPr>
        <w:t>n</w:t>
      </w:r>
      <w:r w:rsidRPr="00585C2D">
        <w:rPr>
          <w:rFonts w:eastAsia="Arial" w:cstheme="minorHAnsi"/>
          <w:spacing w:val="-1"/>
        </w:rPr>
        <w:t>i</w:t>
      </w:r>
      <w:r w:rsidRPr="00585C2D">
        <w:rPr>
          <w:rFonts w:eastAsia="Arial" w:cstheme="minorHAnsi"/>
          <w:spacing w:val="-3"/>
        </w:rPr>
        <w:t>n</w:t>
      </w:r>
      <w:r w:rsidRPr="00585C2D">
        <w:rPr>
          <w:rFonts w:eastAsia="Arial" w:cstheme="minorHAnsi"/>
          <w:spacing w:val="2"/>
        </w:rPr>
        <w:t>g</w:t>
      </w:r>
      <w:r w:rsidRPr="00585C2D">
        <w:rPr>
          <w:rFonts w:eastAsia="Arial" w:cstheme="minorHAnsi"/>
        </w:rPr>
        <w:t>,</w:t>
      </w:r>
      <w:r w:rsidRPr="00585C2D">
        <w:rPr>
          <w:rFonts w:eastAsia="Arial" w:cstheme="minorHAnsi"/>
          <w:spacing w:val="2"/>
        </w:rPr>
        <w:t xml:space="preserve"> </w:t>
      </w:r>
      <w:r w:rsidRPr="00585C2D">
        <w:rPr>
          <w:rFonts w:eastAsia="Arial" w:cstheme="minorHAnsi"/>
          <w:spacing w:val="-5"/>
        </w:rPr>
        <w:t>s</w:t>
      </w:r>
      <w:r w:rsidRPr="00585C2D">
        <w:rPr>
          <w:rFonts w:eastAsia="Arial" w:cstheme="minorHAnsi"/>
          <w:spacing w:val="1"/>
        </w:rPr>
        <w:t>t</w:t>
      </w:r>
      <w:r w:rsidRPr="00585C2D">
        <w:rPr>
          <w:rFonts w:eastAsia="Arial" w:cstheme="minorHAnsi"/>
          <w:spacing w:val="2"/>
        </w:rPr>
        <w:t>a</w:t>
      </w:r>
      <w:r w:rsidRPr="00585C2D">
        <w:rPr>
          <w:rFonts w:eastAsia="Arial" w:cstheme="minorHAnsi"/>
          <w:spacing w:val="1"/>
        </w:rPr>
        <w:t>t</w:t>
      </w:r>
      <w:r w:rsidRPr="00585C2D">
        <w:rPr>
          <w:rFonts w:eastAsia="Arial" w:cstheme="minorHAnsi"/>
          <w:spacing w:val="-6"/>
        </w:rPr>
        <w:t>i</w:t>
      </w:r>
      <w:r w:rsidRPr="00585C2D">
        <w:rPr>
          <w:rFonts w:eastAsia="Arial" w:cstheme="minorHAnsi"/>
          <w:spacing w:val="2"/>
        </w:rPr>
        <w:t>o</w:t>
      </w:r>
      <w:r w:rsidRPr="00585C2D">
        <w:rPr>
          <w:rFonts w:eastAsia="Arial" w:cstheme="minorHAnsi"/>
          <w:spacing w:val="3"/>
        </w:rPr>
        <w:t>n</w:t>
      </w:r>
      <w:r w:rsidRPr="00585C2D">
        <w:rPr>
          <w:rFonts w:eastAsia="Arial" w:cstheme="minorHAnsi"/>
          <w:spacing w:val="2"/>
        </w:rPr>
        <w:t>e</w:t>
      </w:r>
      <w:r w:rsidRPr="00585C2D">
        <w:rPr>
          <w:rFonts w:eastAsia="Arial" w:cstheme="minorHAnsi"/>
          <w:spacing w:val="-2"/>
        </w:rPr>
        <w:t>r</w:t>
      </w:r>
      <w:r w:rsidRPr="00585C2D">
        <w:rPr>
          <w:rFonts w:eastAsia="Arial" w:cstheme="minorHAnsi"/>
        </w:rPr>
        <w:t>y,</w:t>
      </w:r>
      <w:r w:rsidRPr="00585C2D">
        <w:rPr>
          <w:rFonts w:eastAsia="Arial" w:cstheme="minorHAnsi"/>
          <w:spacing w:val="-3"/>
        </w:rPr>
        <w:t xml:space="preserve"> o</w:t>
      </w:r>
      <w:r w:rsidRPr="00585C2D">
        <w:rPr>
          <w:rFonts w:eastAsia="Arial" w:cstheme="minorHAnsi"/>
          <w:spacing w:val="1"/>
        </w:rPr>
        <w:t>f</w:t>
      </w:r>
      <w:r w:rsidRPr="00585C2D">
        <w:rPr>
          <w:rFonts w:eastAsia="Arial" w:cstheme="minorHAnsi"/>
          <w:spacing w:val="6"/>
        </w:rPr>
        <w:t>f</w:t>
      </w:r>
      <w:r w:rsidRPr="00585C2D">
        <w:rPr>
          <w:rFonts w:eastAsia="Arial" w:cstheme="minorHAnsi"/>
          <w:spacing w:val="-1"/>
        </w:rPr>
        <w:t>i</w:t>
      </w:r>
      <w:r w:rsidRPr="00585C2D">
        <w:rPr>
          <w:rFonts w:eastAsia="Arial" w:cstheme="minorHAnsi"/>
        </w:rPr>
        <w:t>c</w:t>
      </w:r>
      <w:r w:rsidRPr="00585C2D">
        <w:rPr>
          <w:rFonts w:eastAsia="Arial" w:cstheme="minorHAnsi"/>
          <w:spacing w:val="-1"/>
        </w:rPr>
        <w:t>i</w:t>
      </w:r>
      <w:r w:rsidRPr="00585C2D">
        <w:rPr>
          <w:rFonts w:eastAsia="Arial" w:cstheme="minorHAnsi"/>
          <w:spacing w:val="2"/>
        </w:rPr>
        <w:t>a</w:t>
      </w:r>
      <w:r w:rsidRPr="00585C2D">
        <w:rPr>
          <w:rFonts w:eastAsia="Arial" w:cstheme="minorHAnsi"/>
        </w:rPr>
        <w:t>l</w:t>
      </w:r>
      <w:r w:rsidRPr="00585C2D">
        <w:rPr>
          <w:rFonts w:eastAsia="Arial" w:cstheme="minorHAnsi"/>
          <w:spacing w:val="-5"/>
        </w:rPr>
        <w:t xml:space="preserve"> </w:t>
      </w:r>
      <w:r w:rsidRPr="00585C2D">
        <w:rPr>
          <w:rFonts w:eastAsia="Arial" w:cstheme="minorHAnsi"/>
          <w:spacing w:val="1"/>
        </w:rPr>
        <w:t>t</w:t>
      </w:r>
      <w:r w:rsidRPr="00585C2D">
        <w:rPr>
          <w:rFonts w:eastAsia="Arial" w:cstheme="minorHAnsi"/>
          <w:spacing w:val="2"/>
        </w:rPr>
        <w:t>e</w:t>
      </w:r>
      <w:r w:rsidRPr="00585C2D">
        <w:rPr>
          <w:rFonts w:eastAsia="Arial" w:cstheme="minorHAnsi"/>
          <w:spacing w:val="-6"/>
        </w:rPr>
        <w:t>l</w:t>
      </w:r>
      <w:r w:rsidRPr="00585C2D">
        <w:rPr>
          <w:rFonts w:eastAsia="Arial" w:cstheme="minorHAnsi"/>
          <w:spacing w:val="2"/>
        </w:rPr>
        <w:t>e</w:t>
      </w:r>
      <w:r w:rsidRPr="00585C2D">
        <w:rPr>
          <w:rFonts w:eastAsia="Arial" w:cstheme="minorHAnsi"/>
          <w:spacing w:val="-3"/>
        </w:rPr>
        <w:t>ph</w:t>
      </w:r>
      <w:r w:rsidRPr="00585C2D">
        <w:rPr>
          <w:rFonts w:eastAsia="Arial" w:cstheme="minorHAnsi"/>
          <w:spacing w:val="2"/>
        </w:rPr>
        <w:t>o</w:t>
      </w:r>
      <w:r w:rsidRPr="00585C2D">
        <w:rPr>
          <w:rFonts w:eastAsia="Arial" w:cstheme="minorHAnsi"/>
          <w:spacing w:val="-3"/>
        </w:rPr>
        <w:t>n</w:t>
      </w:r>
      <w:r w:rsidRPr="00585C2D">
        <w:rPr>
          <w:rFonts w:eastAsia="Arial" w:cstheme="minorHAnsi"/>
        </w:rPr>
        <w:t>e</w:t>
      </w:r>
      <w:r w:rsidRPr="00585C2D">
        <w:rPr>
          <w:rFonts w:eastAsia="Arial" w:cstheme="minorHAnsi"/>
          <w:spacing w:val="3"/>
        </w:rPr>
        <w:t xml:space="preserve"> </w:t>
      </w:r>
      <w:r w:rsidRPr="00585C2D">
        <w:rPr>
          <w:rFonts w:eastAsia="Arial" w:cstheme="minorHAnsi"/>
        </w:rPr>
        <w:t>c</w:t>
      </w:r>
      <w:r w:rsidRPr="00585C2D">
        <w:rPr>
          <w:rFonts w:eastAsia="Arial" w:cstheme="minorHAnsi"/>
          <w:spacing w:val="2"/>
        </w:rPr>
        <w:t>a</w:t>
      </w:r>
      <w:r w:rsidRPr="00585C2D">
        <w:rPr>
          <w:rFonts w:eastAsia="Arial" w:cstheme="minorHAnsi"/>
          <w:spacing w:val="-1"/>
        </w:rPr>
        <w:t>ll</w:t>
      </w:r>
      <w:r w:rsidRPr="00585C2D">
        <w:rPr>
          <w:rFonts w:eastAsia="Arial" w:cstheme="minorHAnsi"/>
        </w:rPr>
        <w:t>s</w:t>
      </w:r>
      <w:r w:rsidRPr="00585C2D">
        <w:rPr>
          <w:rFonts w:eastAsia="Arial" w:cstheme="minorHAnsi"/>
          <w:spacing w:val="-4"/>
        </w:rPr>
        <w:t xml:space="preserve"> </w:t>
      </w:r>
      <w:r w:rsidRPr="00585C2D">
        <w:rPr>
          <w:rFonts w:eastAsia="Arial" w:cstheme="minorHAnsi"/>
          <w:spacing w:val="2"/>
        </w:rPr>
        <w:t>a</w:t>
      </w:r>
      <w:r w:rsidRPr="00585C2D">
        <w:rPr>
          <w:rFonts w:eastAsia="Arial" w:cstheme="minorHAnsi"/>
          <w:spacing w:val="-3"/>
        </w:rPr>
        <w:t>n</w:t>
      </w:r>
      <w:r w:rsidRPr="00585C2D">
        <w:rPr>
          <w:rFonts w:eastAsia="Arial" w:cstheme="minorHAnsi"/>
        </w:rPr>
        <w:t>d</w:t>
      </w:r>
      <w:r w:rsidRPr="00585C2D">
        <w:rPr>
          <w:rFonts w:eastAsia="Arial" w:cstheme="minorHAnsi"/>
          <w:spacing w:val="3"/>
        </w:rPr>
        <w:t xml:space="preserve"> </w:t>
      </w:r>
      <w:r w:rsidRPr="00585C2D">
        <w:rPr>
          <w:rFonts w:eastAsia="Arial" w:cstheme="minorHAnsi"/>
          <w:spacing w:val="-6"/>
        </w:rPr>
        <w:t>i</w:t>
      </w:r>
      <w:r w:rsidRPr="00585C2D">
        <w:rPr>
          <w:rFonts w:eastAsia="Arial" w:cstheme="minorHAnsi"/>
          <w:spacing w:val="2"/>
        </w:rPr>
        <w:t>n</w:t>
      </w:r>
      <w:r w:rsidRPr="00585C2D">
        <w:rPr>
          <w:rFonts w:eastAsia="Arial" w:cstheme="minorHAnsi"/>
          <w:spacing w:val="1"/>
        </w:rPr>
        <w:t>t</w:t>
      </w:r>
      <w:r w:rsidRPr="00585C2D">
        <w:rPr>
          <w:rFonts w:eastAsia="Arial" w:cstheme="minorHAnsi"/>
          <w:spacing w:val="2"/>
        </w:rPr>
        <w:t>e</w:t>
      </w:r>
      <w:r w:rsidRPr="00585C2D">
        <w:rPr>
          <w:rFonts w:eastAsia="Arial" w:cstheme="minorHAnsi"/>
          <w:spacing w:val="-6"/>
        </w:rPr>
        <w:t>r</w:t>
      </w:r>
      <w:r w:rsidRPr="00585C2D">
        <w:rPr>
          <w:rFonts w:eastAsia="Arial" w:cstheme="minorHAnsi"/>
          <w:spacing w:val="2"/>
        </w:rPr>
        <w:t>ne</w:t>
      </w:r>
      <w:r w:rsidRPr="00585C2D">
        <w:rPr>
          <w:rFonts w:eastAsia="Arial" w:cstheme="minorHAnsi"/>
          <w:spacing w:val="-4"/>
        </w:rPr>
        <w:t>t</w:t>
      </w:r>
      <w:r w:rsidRPr="00585C2D">
        <w:rPr>
          <w:rFonts w:eastAsia="Arial" w:cstheme="minorHAnsi"/>
        </w:rPr>
        <w:t>.</w:t>
      </w:r>
    </w:p>
    <w:p w14:paraId="0F088781" w14:textId="77777777" w:rsidR="00FC0CF1" w:rsidRPr="00585C2D" w:rsidRDefault="00FC0CF1" w:rsidP="00FC0CF1">
      <w:pPr>
        <w:spacing w:before="78" w:after="0" w:line="241" w:lineRule="auto"/>
        <w:ind w:right="1179"/>
        <w:rPr>
          <w:rFonts w:eastAsia="Arial" w:cstheme="minorHAnsi"/>
        </w:rPr>
      </w:pPr>
    </w:p>
    <w:tbl>
      <w:tblPr>
        <w:tblStyle w:val="TableGrid"/>
        <w:tblW w:w="0" w:type="auto"/>
        <w:tblLook w:val="04A0" w:firstRow="1" w:lastRow="0" w:firstColumn="1" w:lastColumn="0" w:noHBand="0" w:noVBand="1"/>
      </w:tblPr>
      <w:tblGrid>
        <w:gridCol w:w="3050"/>
        <w:gridCol w:w="5966"/>
      </w:tblGrid>
      <w:tr w:rsidR="00FC0CF1" w:rsidRPr="0096334F" w14:paraId="0C99ACA3" w14:textId="77777777" w:rsidTr="007F177A">
        <w:tc>
          <w:tcPr>
            <w:tcW w:w="3050" w:type="dxa"/>
          </w:tcPr>
          <w:p w14:paraId="55432B04" w14:textId="77777777" w:rsidR="00FC0CF1" w:rsidRPr="0096334F" w:rsidRDefault="00FC0CF1" w:rsidP="007F177A">
            <w:pPr>
              <w:jc w:val="both"/>
              <w:rPr>
                <w:rFonts w:cstheme="minorHAnsi"/>
                <w:b/>
                <w:lang w:val="en-US"/>
              </w:rPr>
            </w:pPr>
            <w:r w:rsidRPr="0096334F">
              <w:rPr>
                <w:rFonts w:cstheme="minorHAnsi"/>
                <w:b/>
                <w:lang w:val="en-US"/>
              </w:rPr>
              <w:t>Responsible Directorate:</w:t>
            </w:r>
          </w:p>
        </w:tc>
        <w:tc>
          <w:tcPr>
            <w:tcW w:w="5966" w:type="dxa"/>
          </w:tcPr>
          <w:p w14:paraId="0CD6196A" w14:textId="77777777" w:rsidR="00FC0CF1" w:rsidRPr="0096334F" w:rsidRDefault="00FC0CF1" w:rsidP="007F177A">
            <w:pPr>
              <w:jc w:val="both"/>
              <w:rPr>
                <w:rFonts w:cstheme="minorHAnsi"/>
                <w:lang w:val="en-US"/>
              </w:rPr>
            </w:pPr>
            <w:r w:rsidRPr="0096334F">
              <w:rPr>
                <w:rFonts w:cstheme="minorHAnsi"/>
                <w:lang w:val="en-US"/>
              </w:rPr>
              <w:t>Office of the CEO</w:t>
            </w:r>
          </w:p>
        </w:tc>
      </w:tr>
      <w:tr w:rsidR="00FC0CF1" w:rsidRPr="0096334F" w14:paraId="2905570F" w14:textId="77777777" w:rsidTr="007F177A">
        <w:tc>
          <w:tcPr>
            <w:tcW w:w="3050" w:type="dxa"/>
          </w:tcPr>
          <w:p w14:paraId="7E80945F" w14:textId="77777777" w:rsidR="00FC0CF1" w:rsidRPr="0096334F" w:rsidRDefault="00FC0CF1" w:rsidP="007F177A">
            <w:pPr>
              <w:jc w:val="both"/>
              <w:rPr>
                <w:rFonts w:cstheme="minorHAnsi"/>
                <w:b/>
                <w:lang w:val="en-US"/>
              </w:rPr>
            </w:pPr>
            <w:r w:rsidRPr="0096334F">
              <w:rPr>
                <w:rFonts w:cstheme="minorHAnsi"/>
                <w:b/>
                <w:lang w:val="en-US"/>
              </w:rPr>
              <w:t>Reviewing Officer:</w:t>
            </w:r>
          </w:p>
        </w:tc>
        <w:tc>
          <w:tcPr>
            <w:tcW w:w="5966" w:type="dxa"/>
          </w:tcPr>
          <w:p w14:paraId="25C8F254" w14:textId="77777777" w:rsidR="00FC0CF1" w:rsidRPr="0096334F" w:rsidRDefault="00FC0CF1" w:rsidP="007F177A">
            <w:pPr>
              <w:jc w:val="both"/>
              <w:rPr>
                <w:rFonts w:cstheme="minorHAnsi"/>
                <w:lang w:val="en-US"/>
              </w:rPr>
            </w:pPr>
            <w:r w:rsidRPr="0096334F">
              <w:rPr>
                <w:rFonts w:cstheme="minorHAnsi"/>
                <w:lang w:val="en-US"/>
              </w:rPr>
              <w:t>Chief Executive Officer</w:t>
            </w:r>
          </w:p>
        </w:tc>
      </w:tr>
      <w:tr w:rsidR="00FC0CF1" w:rsidRPr="0096334F" w14:paraId="7DC24E74" w14:textId="77777777" w:rsidTr="007F177A">
        <w:tc>
          <w:tcPr>
            <w:tcW w:w="3050" w:type="dxa"/>
          </w:tcPr>
          <w:p w14:paraId="4CE9AC6C" w14:textId="77777777" w:rsidR="00FC0CF1" w:rsidRPr="0096334F" w:rsidRDefault="00FC0CF1" w:rsidP="007F177A">
            <w:pPr>
              <w:jc w:val="both"/>
              <w:rPr>
                <w:rFonts w:cstheme="minorHAnsi"/>
                <w:b/>
                <w:lang w:val="en-US"/>
              </w:rPr>
            </w:pPr>
            <w:r w:rsidRPr="0096334F">
              <w:rPr>
                <w:rFonts w:cstheme="minorHAnsi"/>
                <w:b/>
                <w:lang w:val="en-US"/>
              </w:rPr>
              <w:t>Decision making Authority:</w:t>
            </w:r>
          </w:p>
        </w:tc>
        <w:tc>
          <w:tcPr>
            <w:tcW w:w="5966" w:type="dxa"/>
          </w:tcPr>
          <w:p w14:paraId="3B887A22" w14:textId="77777777" w:rsidR="00FC0CF1" w:rsidRPr="0096334F" w:rsidRDefault="00FC0CF1" w:rsidP="007F177A">
            <w:pPr>
              <w:jc w:val="both"/>
              <w:rPr>
                <w:rFonts w:cstheme="minorHAnsi"/>
                <w:lang w:val="en-US"/>
              </w:rPr>
            </w:pPr>
            <w:r w:rsidRPr="0096334F">
              <w:rPr>
                <w:rFonts w:cstheme="minorHAnsi"/>
                <w:lang w:val="en-US"/>
              </w:rPr>
              <w:t>Council</w:t>
            </w:r>
          </w:p>
        </w:tc>
      </w:tr>
      <w:tr w:rsidR="00FC0CF1" w:rsidRPr="0096334F" w14:paraId="547BA435" w14:textId="77777777" w:rsidTr="007F177A">
        <w:tc>
          <w:tcPr>
            <w:tcW w:w="3050" w:type="dxa"/>
          </w:tcPr>
          <w:p w14:paraId="2248ABC2" w14:textId="77777777" w:rsidR="00FC0CF1" w:rsidRPr="0096334F" w:rsidRDefault="00FC0CF1" w:rsidP="007F177A">
            <w:pPr>
              <w:jc w:val="both"/>
              <w:rPr>
                <w:rFonts w:cstheme="minorHAnsi"/>
                <w:b/>
                <w:lang w:val="en-US"/>
              </w:rPr>
            </w:pPr>
            <w:r w:rsidRPr="0096334F">
              <w:rPr>
                <w:rFonts w:cstheme="minorHAnsi"/>
                <w:b/>
                <w:lang w:val="en-US"/>
              </w:rPr>
              <w:t>Policy Adopted:</w:t>
            </w:r>
          </w:p>
        </w:tc>
        <w:tc>
          <w:tcPr>
            <w:tcW w:w="5966" w:type="dxa"/>
          </w:tcPr>
          <w:p w14:paraId="58F1EF71" w14:textId="77777777" w:rsidR="00FC0CF1" w:rsidRPr="0096334F" w:rsidRDefault="00FC0CF1" w:rsidP="007F177A">
            <w:pPr>
              <w:jc w:val="both"/>
              <w:rPr>
                <w:rFonts w:cstheme="minorHAnsi"/>
                <w:lang w:val="en-US"/>
              </w:rPr>
            </w:pPr>
            <w:r>
              <w:rPr>
                <w:rFonts w:cstheme="minorHAnsi"/>
                <w:lang w:val="en-US"/>
              </w:rPr>
              <w:t>19/5/20</w:t>
            </w:r>
          </w:p>
        </w:tc>
      </w:tr>
      <w:tr w:rsidR="00FC0CF1" w:rsidRPr="0096334F" w14:paraId="29642D90" w14:textId="77777777" w:rsidTr="007F177A">
        <w:tc>
          <w:tcPr>
            <w:tcW w:w="3050" w:type="dxa"/>
          </w:tcPr>
          <w:p w14:paraId="26575D26" w14:textId="77777777" w:rsidR="00FC0CF1" w:rsidRPr="0096334F" w:rsidRDefault="00FC0CF1" w:rsidP="007F177A">
            <w:pPr>
              <w:jc w:val="both"/>
              <w:rPr>
                <w:rFonts w:cstheme="minorHAnsi"/>
                <w:b/>
                <w:lang w:val="en-US"/>
              </w:rPr>
            </w:pPr>
            <w:r w:rsidRPr="0096334F">
              <w:rPr>
                <w:rFonts w:cstheme="minorHAnsi"/>
                <w:b/>
                <w:lang w:val="en-US"/>
              </w:rPr>
              <w:t>Policy Amended/Reviewed:</w:t>
            </w:r>
          </w:p>
        </w:tc>
        <w:tc>
          <w:tcPr>
            <w:tcW w:w="5966" w:type="dxa"/>
          </w:tcPr>
          <w:p w14:paraId="009D30C2" w14:textId="77777777" w:rsidR="00FC0CF1" w:rsidRPr="0096334F" w:rsidRDefault="00FC0CF1" w:rsidP="007F177A">
            <w:pPr>
              <w:jc w:val="both"/>
              <w:rPr>
                <w:rFonts w:cstheme="minorHAnsi"/>
                <w:lang w:val="en-US"/>
              </w:rPr>
            </w:pPr>
          </w:p>
        </w:tc>
      </w:tr>
    </w:tbl>
    <w:p w14:paraId="0334B1CD" w14:textId="77777777" w:rsidR="00FC0CF1" w:rsidRPr="0096334F" w:rsidRDefault="00FC0CF1" w:rsidP="00FC0CF1">
      <w:pPr>
        <w:jc w:val="both"/>
        <w:rPr>
          <w:rFonts w:cstheme="minorHAnsi"/>
          <w:lang w:val="en-US"/>
        </w:rPr>
      </w:pPr>
    </w:p>
    <w:p w14:paraId="1795C534" w14:textId="77777777" w:rsidR="00FC0CF1" w:rsidRDefault="00FC0CF1" w:rsidP="00B47F10"/>
    <w:p w14:paraId="67BB0ECE" w14:textId="510C675C" w:rsidR="00FF1058" w:rsidRDefault="00FF1058">
      <w:r>
        <w:br w:type="page"/>
      </w:r>
    </w:p>
    <w:p w14:paraId="62FDFA63" w14:textId="77777777" w:rsidR="00FF1058" w:rsidRDefault="00FF1058" w:rsidP="00FF1058">
      <w:pPr>
        <w:spacing w:after="160" w:line="259" w:lineRule="auto"/>
      </w:pPr>
      <w:bookmarkStart w:id="12" w:name="_Toc62726625"/>
      <w:bookmarkStart w:id="13" w:name="_Toc63158180"/>
    </w:p>
    <w:p w14:paraId="447B9895" w14:textId="77777777" w:rsidR="00FF1058" w:rsidRPr="00111418" w:rsidRDefault="00FF1058" w:rsidP="00FF1058">
      <w:pPr>
        <w:pStyle w:val="Title"/>
        <w:pBdr>
          <w:bottom w:val="none" w:sz="0" w:space="0" w:color="auto"/>
        </w:pBdr>
        <w:spacing w:after="240"/>
        <w:jc w:val="right"/>
        <w:rPr>
          <w:rFonts w:ascii="Arial" w:hAnsi="Arial" w:cs="Arial"/>
          <w:b/>
          <w:sz w:val="14"/>
          <w:szCs w:val="28"/>
          <w:lang w:val="en-US"/>
        </w:rPr>
      </w:pPr>
      <w:r>
        <w:rPr>
          <w:noProof/>
        </w:rPr>
        <w:drawing>
          <wp:inline distT="0" distB="0" distL="0" distR="0" wp14:anchorId="5025E1F5" wp14:editId="585A45F9">
            <wp:extent cx="1543050" cy="620058"/>
            <wp:effectExtent l="0" t="0" r="0" b="889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52299" cy="623775"/>
                    </a:xfrm>
                    <a:prstGeom prst="rect">
                      <a:avLst/>
                    </a:prstGeom>
                    <a:noFill/>
                    <a:ln>
                      <a:noFill/>
                    </a:ln>
                  </pic:spPr>
                </pic:pic>
              </a:graphicData>
            </a:graphic>
          </wp:inline>
        </w:drawing>
      </w:r>
    </w:p>
    <w:p w14:paraId="54996631" w14:textId="77777777" w:rsidR="00FF1058" w:rsidRPr="00111418" w:rsidRDefault="00FF1058" w:rsidP="00FF1058">
      <w:pPr>
        <w:pStyle w:val="Title"/>
        <w:pBdr>
          <w:bottom w:val="none" w:sz="0" w:space="0" w:color="auto"/>
        </w:pBdr>
        <w:spacing w:before="240" w:after="240"/>
        <w:rPr>
          <w:rFonts w:ascii="Arial" w:hAnsi="Arial" w:cs="Arial"/>
          <w:b/>
          <w:sz w:val="10"/>
          <w:szCs w:val="28"/>
          <w:lang w:val="en-US"/>
        </w:rPr>
      </w:pPr>
    </w:p>
    <w:p w14:paraId="1BF24C61" w14:textId="77777777" w:rsidR="00FF1058" w:rsidRDefault="00FF1058" w:rsidP="00FF1058">
      <w:pPr>
        <w:pStyle w:val="Policy3"/>
        <w:spacing w:before="120"/>
      </w:pPr>
    </w:p>
    <w:p w14:paraId="3968F244" w14:textId="77777777" w:rsidR="00FF1058" w:rsidRDefault="00FF1058" w:rsidP="00FF1058">
      <w:pPr>
        <w:pStyle w:val="Policy3"/>
        <w:spacing w:before="120"/>
      </w:pPr>
    </w:p>
    <w:p w14:paraId="0A22EA0E" w14:textId="77777777" w:rsidR="00FF1058" w:rsidRPr="00932F83" w:rsidRDefault="00FF1058" w:rsidP="00FF1058">
      <w:pPr>
        <w:pStyle w:val="Policy3"/>
        <w:spacing w:before="120"/>
      </w:pPr>
      <w:bookmarkStart w:id="14" w:name="_Toc216866654"/>
      <w:r w:rsidRPr="00932F83">
        <w:t>1.</w:t>
      </w:r>
      <w:r>
        <w:t>1</w:t>
      </w:r>
      <w:r w:rsidRPr="00932F83">
        <w:t>.</w:t>
      </w:r>
      <w:r>
        <w:t>9</w:t>
      </w:r>
      <w:r w:rsidRPr="00932F83">
        <w:tab/>
        <w:t xml:space="preserve">Code of Conduct for </w:t>
      </w:r>
      <w:r>
        <w:t>Elected</w:t>
      </w:r>
      <w:r w:rsidRPr="00932F83">
        <w:t xml:space="preserve"> Members, Committee Members and </w:t>
      </w:r>
      <w:r>
        <w:t>Candidates</w:t>
      </w:r>
      <w:bookmarkEnd w:id="14"/>
    </w:p>
    <w:tbl>
      <w:tblPr>
        <w:tblStyle w:val="TableGrid"/>
        <w:tblW w:w="0" w:type="auto"/>
        <w:tblLook w:val="04A0" w:firstRow="1" w:lastRow="0" w:firstColumn="1" w:lastColumn="0" w:noHBand="0" w:noVBand="1"/>
      </w:tblPr>
      <w:tblGrid>
        <w:gridCol w:w="3020"/>
        <w:gridCol w:w="5996"/>
      </w:tblGrid>
      <w:tr w:rsidR="00FF1058" w:rsidRPr="001F159B" w14:paraId="1CBDBE01" w14:textId="77777777" w:rsidTr="00FF1058">
        <w:tc>
          <w:tcPr>
            <w:tcW w:w="3020" w:type="dxa"/>
          </w:tcPr>
          <w:p w14:paraId="7879DC45" w14:textId="77777777" w:rsidR="00FF1058" w:rsidRPr="001F159B" w:rsidRDefault="00FF1058" w:rsidP="00FF1058">
            <w:pPr>
              <w:rPr>
                <w:rFonts w:cstheme="minorHAnsi"/>
                <w:b/>
                <w:lang w:val="en-US"/>
              </w:rPr>
            </w:pPr>
            <w:r w:rsidRPr="001F159B">
              <w:rPr>
                <w:rFonts w:cstheme="minorHAnsi"/>
                <w:b/>
                <w:lang w:val="en-US"/>
              </w:rPr>
              <w:t>Type:</w:t>
            </w:r>
          </w:p>
        </w:tc>
        <w:tc>
          <w:tcPr>
            <w:tcW w:w="5996" w:type="dxa"/>
          </w:tcPr>
          <w:p w14:paraId="76044451" w14:textId="77777777" w:rsidR="00FF1058" w:rsidRPr="001F159B" w:rsidRDefault="00FF1058" w:rsidP="00FF1058">
            <w:pPr>
              <w:rPr>
                <w:rFonts w:cstheme="minorHAnsi"/>
                <w:lang w:val="en-US"/>
              </w:rPr>
            </w:pPr>
            <w:r>
              <w:rPr>
                <w:rFonts w:cstheme="minorHAnsi"/>
                <w:lang w:val="en-US"/>
              </w:rPr>
              <w:t>Office of the CEO – Elected Members</w:t>
            </w:r>
          </w:p>
        </w:tc>
      </w:tr>
      <w:tr w:rsidR="00FF1058" w:rsidRPr="001F159B" w14:paraId="025E7E4B" w14:textId="77777777" w:rsidTr="00FF1058">
        <w:tc>
          <w:tcPr>
            <w:tcW w:w="3020" w:type="dxa"/>
          </w:tcPr>
          <w:p w14:paraId="362EF977" w14:textId="77777777" w:rsidR="00FF1058" w:rsidRPr="001F159B" w:rsidRDefault="00FF1058" w:rsidP="00FF1058">
            <w:pPr>
              <w:rPr>
                <w:rFonts w:cstheme="minorHAnsi"/>
                <w:b/>
                <w:lang w:val="en-US"/>
              </w:rPr>
            </w:pPr>
            <w:r w:rsidRPr="001F159B">
              <w:rPr>
                <w:rFonts w:cstheme="minorHAnsi"/>
                <w:b/>
                <w:lang w:val="en-US"/>
              </w:rPr>
              <w:t>Legislation:</w:t>
            </w:r>
          </w:p>
        </w:tc>
        <w:tc>
          <w:tcPr>
            <w:tcW w:w="5996" w:type="dxa"/>
          </w:tcPr>
          <w:p w14:paraId="4325208C" w14:textId="77777777" w:rsidR="00FF1058" w:rsidRPr="00F07ED7" w:rsidRDefault="00FF1058" w:rsidP="00FF1058">
            <w:pPr>
              <w:rPr>
                <w:rFonts w:cstheme="minorHAnsi"/>
                <w:lang w:val="en-US"/>
              </w:rPr>
            </w:pPr>
            <w:r>
              <w:rPr>
                <w:rFonts w:cstheme="minorHAnsi"/>
                <w:lang w:val="en-US"/>
              </w:rPr>
              <w:t>Local Government (Model Code of Conduct) Regulations 2021</w:t>
            </w:r>
          </w:p>
        </w:tc>
      </w:tr>
      <w:tr w:rsidR="00FF1058" w:rsidRPr="001F159B" w14:paraId="66E28C0D" w14:textId="77777777" w:rsidTr="00FF1058">
        <w:tc>
          <w:tcPr>
            <w:tcW w:w="3020" w:type="dxa"/>
            <w:tcBorders>
              <w:bottom w:val="single" w:sz="4" w:space="0" w:color="auto"/>
            </w:tcBorders>
          </w:tcPr>
          <w:p w14:paraId="7E1FB824" w14:textId="77777777" w:rsidR="00FF1058" w:rsidRPr="001F159B" w:rsidRDefault="00FF1058" w:rsidP="00FF1058">
            <w:pPr>
              <w:rPr>
                <w:rFonts w:cstheme="minorHAnsi"/>
                <w:b/>
                <w:lang w:val="en-US"/>
              </w:rPr>
            </w:pPr>
            <w:r w:rsidRPr="001F159B">
              <w:rPr>
                <w:rFonts w:cstheme="minorHAnsi"/>
                <w:b/>
                <w:lang w:val="en-US"/>
              </w:rPr>
              <w:t>Delegation:</w:t>
            </w:r>
          </w:p>
        </w:tc>
        <w:tc>
          <w:tcPr>
            <w:tcW w:w="5996" w:type="dxa"/>
            <w:tcBorders>
              <w:bottom w:val="single" w:sz="4" w:space="0" w:color="auto"/>
            </w:tcBorders>
          </w:tcPr>
          <w:p w14:paraId="21E8466D" w14:textId="77777777" w:rsidR="00FF1058" w:rsidRPr="00F07ED7" w:rsidRDefault="00FF1058" w:rsidP="00FF1058">
            <w:pPr>
              <w:rPr>
                <w:rFonts w:cstheme="minorHAnsi"/>
                <w:lang w:val="en-US"/>
              </w:rPr>
            </w:pPr>
            <w:r w:rsidRPr="00F07ED7">
              <w:rPr>
                <w:rFonts w:cstheme="minorHAnsi"/>
                <w:lang w:val="en-US"/>
              </w:rPr>
              <w:t>N/A</w:t>
            </w:r>
          </w:p>
        </w:tc>
      </w:tr>
      <w:tr w:rsidR="00FF1058" w:rsidRPr="001F159B" w14:paraId="69C11FBE" w14:textId="77777777" w:rsidTr="00FF1058">
        <w:tc>
          <w:tcPr>
            <w:tcW w:w="3020" w:type="dxa"/>
            <w:tcBorders>
              <w:bottom w:val="single" w:sz="4" w:space="0" w:color="auto"/>
            </w:tcBorders>
          </w:tcPr>
          <w:p w14:paraId="1C23C15E" w14:textId="77777777" w:rsidR="00FF1058" w:rsidRPr="001F159B" w:rsidRDefault="00FF1058" w:rsidP="00FF1058">
            <w:pPr>
              <w:rPr>
                <w:rFonts w:cstheme="minorHAnsi"/>
                <w:b/>
                <w:lang w:val="en-US"/>
              </w:rPr>
            </w:pPr>
            <w:r w:rsidRPr="001F159B">
              <w:rPr>
                <w:rFonts w:cstheme="minorHAnsi"/>
                <w:b/>
                <w:lang w:val="en-US"/>
              </w:rPr>
              <w:t>Other Related Document:</w:t>
            </w:r>
          </w:p>
        </w:tc>
        <w:tc>
          <w:tcPr>
            <w:tcW w:w="5996" w:type="dxa"/>
            <w:tcBorders>
              <w:bottom w:val="single" w:sz="4" w:space="0" w:color="auto"/>
            </w:tcBorders>
          </w:tcPr>
          <w:p w14:paraId="22BDE32E" w14:textId="77777777" w:rsidR="00FF1058" w:rsidRPr="00F07ED7" w:rsidRDefault="00FF1058" w:rsidP="00FF1058">
            <w:pPr>
              <w:rPr>
                <w:rFonts w:cstheme="minorHAnsi"/>
                <w:lang w:val="en-US"/>
              </w:rPr>
            </w:pPr>
            <w:r>
              <w:rPr>
                <w:rFonts w:cstheme="minorHAnsi"/>
                <w:lang w:val="en-US"/>
              </w:rPr>
              <w:t>Local Government Legislation Amendment Act 2019</w:t>
            </w:r>
          </w:p>
        </w:tc>
      </w:tr>
    </w:tbl>
    <w:p w14:paraId="30EBB988" w14:textId="77777777" w:rsidR="00FF1058" w:rsidRDefault="00FF1058" w:rsidP="00FF1058">
      <w:pPr>
        <w:spacing w:after="160" w:line="259" w:lineRule="auto"/>
      </w:pPr>
    </w:p>
    <w:p w14:paraId="5E395365" w14:textId="77777777" w:rsidR="00FF1058" w:rsidRDefault="00FF1058" w:rsidP="00FF1058">
      <w:pPr>
        <w:spacing w:after="160" w:line="259" w:lineRule="auto"/>
      </w:pPr>
    </w:p>
    <w:p w14:paraId="58414459" w14:textId="77777777" w:rsidR="00FF1058" w:rsidRDefault="00FF1058" w:rsidP="00FF1058">
      <w:pPr>
        <w:spacing w:after="160" w:line="259" w:lineRule="auto"/>
      </w:pPr>
    </w:p>
    <w:p w14:paraId="5AE7F16F" w14:textId="77777777" w:rsidR="00FF1058" w:rsidRDefault="00FF1058" w:rsidP="00FF1058">
      <w:pPr>
        <w:spacing w:after="160" w:line="259" w:lineRule="auto"/>
      </w:pPr>
    </w:p>
    <w:p w14:paraId="0F2606C5" w14:textId="77777777" w:rsidR="00FF1058" w:rsidRDefault="00FF1058" w:rsidP="00FF1058">
      <w:pPr>
        <w:spacing w:after="160" w:line="259" w:lineRule="auto"/>
      </w:pPr>
    </w:p>
    <w:p w14:paraId="40DE6611" w14:textId="77777777" w:rsidR="00FF1058" w:rsidRDefault="00FF1058" w:rsidP="00FF1058">
      <w:pPr>
        <w:spacing w:after="160" w:line="259" w:lineRule="auto"/>
      </w:pPr>
    </w:p>
    <w:p w14:paraId="2EFE845A" w14:textId="77777777" w:rsidR="00FF1058" w:rsidRDefault="00FF1058" w:rsidP="00FF1058">
      <w:pPr>
        <w:spacing w:after="160" w:line="259" w:lineRule="auto"/>
      </w:pPr>
    </w:p>
    <w:p w14:paraId="752832EE" w14:textId="77777777" w:rsidR="00FF1058" w:rsidRDefault="00FF1058" w:rsidP="00FF1058">
      <w:pPr>
        <w:spacing w:after="160" w:line="259" w:lineRule="auto"/>
      </w:pPr>
    </w:p>
    <w:p w14:paraId="2236C42E" w14:textId="77777777" w:rsidR="00FF1058" w:rsidRDefault="00FF1058" w:rsidP="00FF1058">
      <w:pPr>
        <w:spacing w:after="160" w:line="259" w:lineRule="auto"/>
      </w:pPr>
    </w:p>
    <w:p w14:paraId="2A10EBF5" w14:textId="77777777" w:rsidR="00FF1058" w:rsidRDefault="00FF1058" w:rsidP="00FF1058">
      <w:pPr>
        <w:spacing w:after="160" w:line="259" w:lineRule="auto"/>
        <w:sectPr w:rsidR="00FF1058" w:rsidSect="00FF1058">
          <w:footerReference w:type="even" r:id="rId26"/>
          <w:footerReference w:type="default" r:id="rId27"/>
          <w:headerReference w:type="first" r:id="rId28"/>
          <w:footerReference w:type="first" r:id="rId29"/>
          <w:pgSz w:w="11906" w:h="16838"/>
          <w:pgMar w:top="851" w:right="1440" w:bottom="1440" w:left="1440" w:header="708" w:footer="5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638E846" w14:textId="77777777" w:rsidR="00FF1058" w:rsidRDefault="00FF1058" w:rsidP="00FF1058">
      <w:pPr>
        <w:spacing w:after="160" w:line="259" w:lineRule="auto"/>
      </w:pPr>
    </w:p>
    <w:sdt>
      <w:sdtPr>
        <w:rPr>
          <w:rFonts w:asciiTheme="minorHAnsi" w:eastAsiaTheme="minorHAnsi" w:hAnsiTheme="minorHAnsi" w:cstheme="minorBidi"/>
          <w:b w:val="0"/>
          <w:bCs w:val="0"/>
          <w:color w:val="auto"/>
          <w:sz w:val="22"/>
          <w:szCs w:val="22"/>
          <w:lang w:val="en-AU"/>
        </w:rPr>
        <w:id w:val="-1917843682"/>
        <w:docPartObj>
          <w:docPartGallery w:val="Table of Contents"/>
          <w:docPartUnique/>
        </w:docPartObj>
      </w:sdtPr>
      <w:sdtEndPr>
        <w:rPr>
          <w:noProof/>
        </w:rPr>
      </w:sdtEndPr>
      <w:sdtContent>
        <w:p w14:paraId="3033B034" w14:textId="77777777" w:rsidR="00FF1058" w:rsidRPr="00455A6B" w:rsidRDefault="00FF1058" w:rsidP="00FF1058">
          <w:pPr>
            <w:pStyle w:val="TOCHeading"/>
            <w:jc w:val="center"/>
            <w:rPr>
              <w:rFonts w:ascii="Times New Roman" w:hAnsi="Times New Roman" w:cs="Times New Roman"/>
              <w:b w:val="0"/>
              <w:bCs w:val="0"/>
            </w:rPr>
          </w:pPr>
          <w:r w:rsidRPr="00455A6B">
            <w:rPr>
              <w:rFonts w:ascii="Times New Roman" w:hAnsi="Times New Roman" w:cs="Times New Roman"/>
            </w:rPr>
            <w:t>Contents</w:t>
          </w:r>
        </w:p>
        <w:p w14:paraId="49FB8E83" w14:textId="7A394DBD" w:rsidR="00FF1058" w:rsidRDefault="00FF1058" w:rsidP="00B00094">
          <w:pPr>
            <w:pStyle w:val="TOC3"/>
            <w:rPr>
              <w:rFonts w:eastAsiaTheme="minorEastAsia"/>
              <w:noProof/>
              <w:lang w:eastAsia="en-AU"/>
            </w:rPr>
          </w:pPr>
          <w:r>
            <w:fldChar w:fldCharType="begin"/>
          </w:r>
          <w:r>
            <w:instrText xml:space="preserve"> TOC \o "1-3" \h \z \u </w:instrText>
          </w:r>
          <w:r>
            <w:fldChar w:fldCharType="separate"/>
          </w:r>
          <w:hyperlink w:anchor="_Toc63929223" w:history="1">
            <w:r w:rsidRPr="00FD144E">
              <w:rPr>
                <w:rStyle w:val="Hyperlink"/>
                <w:noProof/>
              </w:rPr>
              <w:t>Division 1 — Preliminary provisions</w:t>
            </w:r>
            <w:r>
              <w:rPr>
                <w:noProof/>
                <w:webHidden/>
              </w:rPr>
              <w:tab/>
            </w:r>
            <w:r>
              <w:rPr>
                <w:noProof/>
                <w:webHidden/>
              </w:rPr>
              <w:fldChar w:fldCharType="begin"/>
            </w:r>
            <w:r>
              <w:rPr>
                <w:noProof/>
                <w:webHidden/>
              </w:rPr>
              <w:instrText xml:space="preserve"> PAGEREF _Toc63929223 \h </w:instrText>
            </w:r>
            <w:r>
              <w:rPr>
                <w:noProof/>
                <w:webHidden/>
              </w:rPr>
            </w:r>
            <w:r>
              <w:rPr>
                <w:noProof/>
                <w:webHidden/>
              </w:rPr>
              <w:fldChar w:fldCharType="separate"/>
            </w:r>
            <w:r w:rsidR="004D51B7">
              <w:rPr>
                <w:noProof/>
                <w:webHidden/>
              </w:rPr>
              <w:t>1</w:t>
            </w:r>
            <w:r>
              <w:rPr>
                <w:noProof/>
                <w:webHidden/>
              </w:rPr>
              <w:fldChar w:fldCharType="end"/>
            </w:r>
          </w:hyperlink>
        </w:p>
        <w:p w14:paraId="52970657" w14:textId="622EFA2E" w:rsidR="00FF1058" w:rsidRDefault="00FF1058" w:rsidP="00543E1B">
          <w:pPr>
            <w:pStyle w:val="TOC2"/>
            <w:rPr>
              <w:rFonts w:eastAsiaTheme="minorEastAsia"/>
              <w:noProof/>
              <w:lang w:eastAsia="en-AU"/>
            </w:rPr>
          </w:pPr>
          <w:hyperlink w:anchor="_Toc63929224" w:history="1">
            <w:r w:rsidRPr="00FD144E">
              <w:rPr>
                <w:rStyle w:val="Hyperlink"/>
                <w:rFonts w:ascii="Times New Roman" w:hAnsi="Times New Roman" w:cs="Times New Roman"/>
                <w:b/>
                <w:bCs/>
                <w:noProof/>
              </w:rPr>
              <w:t>1.</w:t>
            </w:r>
            <w:r>
              <w:rPr>
                <w:rFonts w:eastAsiaTheme="minorEastAsia"/>
                <w:noProof/>
                <w:lang w:eastAsia="en-AU"/>
              </w:rPr>
              <w:tab/>
            </w:r>
            <w:r w:rsidRPr="00FD144E">
              <w:rPr>
                <w:rStyle w:val="Hyperlink"/>
                <w:rFonts w:ascii="Times New Roman" w:hAnsi="Times New Roman" w:cs="Times New Roman"/>
                <w:b/>
                <w:bCs/>
                <w:noProof/>
              </w:rPr>
              <w:t>Citation</w:t>
            </w:r>
            <w:r>
              <w:rPr>
                <w:noProof/>
                <w:webHidden/>
              </w:rPr>
              <w:tab/>
            </w:r>
            <w:r>
              <w:rPr>
                <w:noProof/>
                <w:webHidden/>
              </w:rPr>
              <w:fldChar w:fldCharType="begin"/>
            </w:r>
            <w:r>
              <w:rPr>
                <w:noProof/>
                <w:webHidden/>
              </w:rPr>
              <w:instrText xml:space="preserve"> PAGEREF _Toc63929224 \h </w:instrText>
            </w:r>
            <w:r>
              <w:rPr>
                <w:noProof/>
                <w:webHidden/>
              </w:rPr>
            </w:r>
            <w:r>
              <w:rPr>
                <w:noProof/>
                <w:webHidden/>
              </w:rPr>
              <w:fldChar w:fldCharType="separate"/>
            </w:r>
            <w:r w:rsidR="004D51B7">
              <w:rPr>
                <w:noProof/>
                <w:webHidden/>
              </w:rPr>
              <w:t>1</w:t>
            </w:r>
            <w:r>
              <w:rPr>
                <w:noProof/>
                <w:webHidden/>
              </w:rPr>
              <w:fldChar w:fldCharType="end"/>
            </w:r>
          </w:hyperlink>
        </w:p>
        <w:p w14:paraId="06DB0DC7" w14:textId="2AC844F7" w:rsidR="00FF1058" w:rsidRDefault="00FF1058" w:rsidP="00543E1B">
          <w:pPr>
            <w:pStyle w:val="TOC2"/>
            <w:rPr>
              <w:rFonts w:eastAsiaTheme="minorEastAsia"/>
              <w:noProof/>
              <w:lang w:eastAsia="en-AU"/>
            </w:rPr>
          </w:pPr>
          <w:hyperlink w:anchor="_Toc63929225" w:history="1">
            <w:r w:rsidRPr="00FD144E">
              <w:rPr>
                <w:rStyle w:val="Hyperlink"/>
                <w:rFonts w:ascii="Times New Roman" w:hAnsi="Times New Roman" w:cs="Times New Roman"/>
                <w:b/>
                <w:bCs/>
                <w:noProof/>
              </w:rPr>
              <w:t>2.</w:t>
            </w:r>
            <w:r>
              <w:rPr>
                <w:rFonts w:eastAsiaTheme="minorEastAsia"/>
                <w:noProof/>
                <w:lang w:eastAsia="en-AU"/>
              </w:rPr>
              <w:tab/>
            </w:r>
            <w:r w:rsidRPr="00FD144E">
              <w:rPr>
                <w:rStyle w:val="Hyperlink"/>
                <w:rFonts w:ascii="Times New Roman" w:hAnsi="Times New Roman" w:cs="Times New Roman"/>
                <w:b/>
                <w:bCs/>
                <w:noProof/>
              </w:rPr>
              <w:t>Terms used</w:t>
            </w:r>
            <w:r>
              <w:rPr>
                <w:noProof/>
                <w:webHidden/>
              </w:rPr>
              <w:tab/>
            </w:r>
            <w:r>
              <w:rPr>
                <w:noProof/>
                <w:webHidden/>
              </w:rPr>
              <w:fldChar w:fldCharType="begin"/>
            </w:r>
            <w:r>
              <w:rPr>
                <w:noProof/>
                <w:webHidden/>
              </w:rPr>
              <w:instrText xml:space="preserve"> PAGEREF _Toc63929225 \h </w:instrText>
            </w:r>
            <w:r>
              <w:rPr>
                <w:noProof/>
                <w:webHidden/>
              </w:rPr>
            </w:r>
            <w:r>
              <w:rPr>
                <w:noProof/>
                <w:webHidden/>
              </w:rPr>
              <w:fldChar w:fldCharType="separate"/>
            </w:r>
            <w:r w:rsidR="004D51B7">
              <w:rPr>
                <w:noProof/>
                <w:webHidden/>
              </w:rPr>
              <w:t>1</w:t>
            </w:r>
            <w:r>
              <w:rPr>
                <w:noProof/>
                <w:webHidden/>
              </w:rPr>
              <w:fldChar w:fldCharType="end"/>
            </w:r>
          </w:hyperlink>
        </w:p>
        <w:p w14:paraId="1CAC3A6D" w14:textId="0ED0331D" w:rsidR="00FF1058" w:rsidRDefault="00FF1058" w:rsidP="00B00094">
          <w:pPr>
            <w:pStyle w:val="TOC3"/>
            <w:rPr>
              <w:rFonts w:eastAsiaTheme="minorEastAsia"/>
              <w:noProof/>
              <w:lang w:eastAsia="en-AU"/>
            </w:rPr>
          </w:pPr>
          <w:hyperlink w:anchor="_Toc63929226" w:history="1">
            <w:r w:rsidRPr="00FD144E">
              <w:rPr>
                <w:rStyle w:val="Hyperlink"/>
                <w:noProof/>
              </w:rPr>
              <w:t>Division 2 — General principles</w:t>
            </w:r>
            <w:r>
              <w:rPr>
                <w:noProof/>
                <w:webHidden/>
              </w:rPr>
              <w:tab/>
            </w:r>
            <w:r>
              <w:rPr>
                <w:noProof/>
                <w:webHidden/>
              </w:rPr>
              <w:fldChar w:fldCharType="begin"/>
            </w:r>
            <w:r>
              <w:rPr>
                <w:noProof/>
                <w:webHidden/>
              </w:rPr>
              <w:instrText xml:space="preserve"> PAGEREF _Toc63929226 \h </w:instrText>
            </w:r>
            <w:r>
              <w:rPr>
                <w:noProof/>
                <w:webHidden/>
              </w:rPr>
            </w:r>
            <w:r>
              <w:rPr>
                <w:noProof/>
                <w:webHidden/>
              </w:rPr>
              <w:fldChar w:fldCharType="separate"/>
            </w:r>
            <w:r w:rsidR="004D51B7">
              <w:rPr>
                <w:noProof/>
                <w:webHidden/>
              </w:rPr>
              <w:t>1</w:t>
            </w:r>
            <w:r>
              <w:rPr>
                <w:noProof/>
                <w:webHidden/>
              </w:rPr>
              <w:fldChar w:fldCharType="end"/>
            </w:r>
          </w:hyperlink>
        </w:p>
        <w:p w14:paraId="164A24BE" w14:textId="5CBB2509" w:rsidR="00FF1058" w:rsidRDefault="00FF1058" w:rsidP="00543E1B">
          <w:pPr>
            <w:pStyle w:val="TOC2"/>
            <w:rPr>
              <w:rFonts w:eastAsiaTheme="minorEastAsia"/>
              <w:noProof/>
              <w:lang w:eastAsia="en-AU"/>
            </w:rPr>
          </w:pPr>
          <w:hyperlink w:anchor="_Toc63929227" w:history="1">
            <w:r w:rsidRPr="00FD144E">
              <w:rPr>
                <w:rStyle w:val="Hyperlink"/>
                <w:rFonts w:ascii="Times New Roman" w:hAnsi="Times New Roman" w:cs="Times New Roman"/>
                <w:b/>
                <w:bCs/>
                <w:noProof/>
              </w:rPr>
              <w:t>3.</w:t>
            </w:r>
            <w:r>
              <w:rPr>
                <w:rFonts w:eastAsiaTheme="minorEastAsia"/>
                <w:noProof/>
                <w:lang w:eastAsia="en-AU"/>
              </w:rPr>
              <w:tab/>
            </w:r>
            <w:r w:rsidRPr="00FD144E">
              <w:rPr>
                <w:rStyle w:val="Hyperlink"/>
                <w:rFonts w:ascii="Times New Roman" w:hAnsi="Times New Roman" w:cs="Times New Roman"/>
                <w:b/>
                <w:bCs/>
                <w:noProof/>
              </w:rPr>
              <w:t>Overview of Division</w:t>
            </w:r>
            <w:r>
              <w:rPr>
                <w:noProof/>
                <w:webHidden/>
              </w:rPr>
              <w:tab/>
            </w:r>
            <w:r>
              <w:rPr>
                <w:noProof/>
                <w:webHidden/>
              </w:rPr>
              <w:fldChar w:fldCharType="begin"/>
            </w:r>
            <w:r>
              <w:rPr>
                <w:noProof/>
                <w:webHidden/>
              </w:rPr>
              <w:instrText xml:space="preserve"> PAGEREF _Toc63929227 \h </w:instrText>
            </w:r>
            <w:r>
              <w:rPr>
                <w:noProof/>
                <w:webHidden/>
              </w:rPr>
            </w:r>
            <w:r>
              <w:rPr>
                <w:noProof/>
                <w:webHidden/>
              </w:rPr>
              <w:fldChar w:fldCharType="separate"/>
            </w:r>
            <w:r w:rsidR="004D51B7">
              <w:rPr>
                <w:noProof/>
                <w:webHidden/>
              </w:rPr>
              <w:t>1</w:t>
            </w:r>
            <w:r>
              <w:rPr>
                <w:noProof/>
                <w:webHidden/>
              </w:rPr>
              <w:fldChar w:fldCharType="end"/>
            </w:r>
          </w:hyperlink>
        </w:p>
        <w:p w14:paraId="357048E4" w14:textId="215CBD34" w:rsidR="00FF1058" w:rsidRDefault="00FF1058" w:rsidP="00543E1B">
          <w:pPr>
            <w:pStyle w:val="TOC2"/>
            <w:rPr>
              <w:rFonts w:eastAsiaTheme="minorEastAsia"/>
              <w:noProof/>
              <w:lang w:eastAsia="en-AU"/>
            </w:rPr>
          </w:pPr>
          <w:hyperlink w:anchor="_Toc63929228" w:history="1">
            <w:r w:rsidRPr="00FD144E">
              <w:rPr>
                <w:rStyle w:val="Hyperlink"/>
                <w:rFonts w:ascii="Times New Roman" w:hAnsi="Times New Roman" w:cs="Times New Roman"/>
                <w:b/>
                <w:bCs/>
                <w:noProof/>
              </w:rPr>
              <w:t>4.</w:t>
            </w:r>
            <w:r>
              <w:rPr>
                <w:rFonts w:eastAsiaTheme="minorEastAsia"/>
                <w:noProof/>
                <w:lang w:eastAsia="en-AU"/>
              </w:rPr>
              <w:tab/>
            </w:r>
            <w:r w:rsidRPr="00FD144E">
              <w:rPr>
                <w:rStyle w:val="Hyperlink"/>
                <w:rFonts w:ascii="Times New Roman" w:hAnsi="Times New Roman" w:cs="Times New Roman"/>
                <w:b/>
                <w:bCs/>
                <w:noProof/>
              </w:rPr>
              <w:t>Personal integrity</w:t>
            </w:r>
            <w:r>
              <w:rPr>
                <w:noProof/>
                <w:webHidden/>
              </w:rPr>
              <w:tab/>
            </w:r>
            <w:r>
              <w:rPr>
                <w:noProof/>
                <w:webHidden/>
              </w:rPr>
              <w:fldChar w:fldCharType="begin"/>
            </w:r>
            <w:r>
              <w:rPr>
                <w:noProof/>
                <w:webHidden/>
              </w:rPr>
              <w:instrText xml:space="preserve"> PAGEREF _Toc63929228 \h </w:instrText>
            </w:r>
            <w:r>
              <w:rPr>
                <w:noProof/>
                <w:webHidden/>
              </w:rPr>
            </w:r>
            <w:r>
              <w:rPr>
                <w:noProof/>
                <w:webHidden/>
              </w:rPr>
              <w:fldChar w:fldCharType="separate"/>
            </w:r>
            <w:r w:rsidR="004D51B7">
              <w:rPr>
                <w:noProof/>
                <w:webHidden/>
              </w:rPr>
              <w:t>1</w:t>
            </w:r>
            <w:r>
              <w:rPr>
                <w:noProof/>
                <w:webHidden/>
              </w:rPr>
              <w:fldChar w:fldCharType="end"/>
            </w:r>
          </w:hyperlink>
        </w:p>
        <w:p w14:paraId="2FA931B0" w14:textId="2D8AD9EB" w:rsidR="00FF1058" w:rsidRDefault="00FF1058" w:rsidP="00543E1B">
          <w:pPr>
            <w:pStyle w:val="TOC2"/>
            <w:rPr>
              <w:rFonts w:eastAsiaTheme="minorEastAsia"/>
              <w:noProof/>
              <w:lang w:eastAsia="en-AU"/>
            </w:rPr>
          </w:pPr>
          <w:hyperlink w:anchor="_Toc63929229" w:history="1">
            <w:r w:rsidRPr="00FD144E">
              <w:rPr>
                <w:rStyle w:val="Hyperlink"/>
                <w:rFonts w:ascii="Times New Roman" w:hAnsi="Times New Roman" w:cs="Times New Roman"/>
                <w:b/>
                <w:bCs/>
                <w:noProof/>
              </w:rPr>
              <w:t>5.</w:t>
            </w:r>
            <w:r>
              <w:rPr>
                <w:rFonts w:eastAsiaTheme="minorEastAsia"/>
                <w:noProof/>
                <w:lang w:eastAsia="en-AU"/>
              </w:rPr>
              <w:tab/>
            </w:r>
            <w:r w:rsidRPr="00FD144E">
              <w:rPr>
                <w:rStyle w:val="Hyperlink"/>
                <w:rFonts w:ascii="Times New Roman" w:hAnsi="Times New Roman" w:cs="Times New Roman"/>
                <w:b/>
                <w:bCs/>
                <w:noProof/>
              </w:rPr>
              <w:t>Relationship with others</w:t>
            </w:r>
            <w:r>
              <w:rPr>
                <w:noProof/>
                <w:webHidden/>
              </w:rPr>
              <w:tab/>
            </w:r>
            <w:r>
              <w:rPr>
                <w:noProof/>
                <w:webHidden/>
              </w:rPr>
              <w:fldChar w:fldCharType="begin"/>
            </w:r>
            <w:r>
              <w:rPr>
                <w:noProof/>
                <w:webHidden/>
              </w:rPr>
              <w:instrText xml:space="preserve"> PAGEREF _Toc63929229 \h </w:instrText>
            </w:r>
            <w:r>
              <w:rPr>
                <w:noProof/>
                <w:webHidden/>
              </w:rPr>
            </w:r>
            <w:r>
              <w:rPr>
                <w:noProof/>
                <w:webHidden/>
              </w:rPr>
              <w:fldChar w:fldCharType="separate"/>
            </w:r>
            <w:r w:rsidR="004D51B7">
              <w:rPr>
                <w:noProof/>
                <w:webHidden/>
              </w:rPr>
              <w:t>1</w:t>
            </w:r>
            <w:r>
              <w:rPr>
                <w:noProof/>
                <w:webHidden/>
              </w:rPr>
              <w:fldChar w:fldCharType="end"/>
            </w:r>
          </w:hyperlink>
        </w:p>
        <w:p w14:paraId="08E40522" w14:textId="47B80965" w:rsidR="00FF1058" w:rsidRDefault="00FF1058" w:rsidP="00543E1B">
          <w:pPr>
            <w:pStyle w:val="TOC2"/>
            <w:rPr>
              <w:rFonts w:eastAsiaTheme="minorEastAsia"/>
              <w:noProof/>
              <w:lang w:eastAsia="en-AU"/>
            </w:rPr>
          </w:pPr>
          <w:hyperlink w:anchor="_Toc63929230" w:history="1">
            <w:r w:rsidRPr="00FD144E">
              <w:rPr>
                <w:rStyle w:val="Hyperlink"/>
                <w:rFonts w:ascii="Times New Roman" w:hAnsi="Times New Roman" w:cs="Times New Roman"/>
                <w:b/>
                <w:bCs/>
                <w:noProof/>
              </w:rPr>
              <w:t>6.</w:t>
            </w:r>
            <w:r>
              <w:rPr>
                <w:rFonts w:eastAsiaTheme="minorEastAsia"/>
                <w:noProof/>
                <w:lang w:eastAsia="en-AU"/>
              </w:rPr>
              <w:tab/>
            </w:r>
            <w:r w:rsidRPr="00FD144E">
              <w:rPr>
                <w:rStyle w:val="Hyperlink"/>
                <w:rFonts w:ascii="Times New Roman" w:hAnsi="Times New Roman" w:cs="Times New Roman"/>
                <w:b/>
                <w:bCs/>
                <w:noProof/>
              </w:rPr>
              <w:t>Accountability</w:t>
            </w:r>
            <w:r>
              <w:rPr>
                <w:noProof/>
                <w:webHidden/>
              </w:rPr>
              <w:tab/>
            </w:r>
            <w:r>
              <w:rPr>
                <w:noProof/>
                <w:webHidden/>
              </w:rPr>
              <w:fldChar w:fldCharType="begin"/>
            </w:r>
            <w:r>
              <w:rPr>
                <w:noProof/>
                <w:webHidden/>
              </w:rPr>
              <w:instrText xml:space="preserve"> PAGEREF _Toc63929230 \h </w:instrText>
            </w:r>
            <w:r>
              <w:rPr>
                <w:noProof/>
                <w:webHidden/>
              </w:rPr>
            </w:r>
            <w:r>
              <w:rPr>
                <w:noProof/>
                <w:webHidden/>
              </w:rPr>
              <w:fldChar w:fldCharType="separate"/>
            </w:r>
            <w:r w:rsidR="004D51B7">
              <w:rPr>
                <w:noProof/>
                <w:webHidden/>
              </w:rPr>
              <w:t>2</w:t>
            </w:r>
            <w:r>
              <w:rPr>
                <w:noProof/>
                <w:webHidden/>
              </w:rPr>
              <w:fldChar w:fldCharType="end"/>
            </w:r>
          </w:hyperlink>
        </w:p>
        <w:p w14:paraId="2EA594D0" w14:textId="01000E46" w:rsidR="00FF1058" w:rsidRDefault="00FF1058" w:rsidP="00B00094">
          <w:pPr>
            <w:pStyle w:val="TOC3"/>
            <w:rPr>
              <w:rFonts w:eastAsiaTheme="minorEastAsia"/>
              <w:noProof/>
              <w:lang w:eastAsia="en-AU"/>
            </w:rPr>
          </w:pPr>
          <w:hyperlink w:anchor="_Toc63929231" w:history="1">
            <w:r w:rsidRPr="00FD144E">
              <w:rPr>
                <w:rStyle w:val="Hyperlink"/>
                <w:noProof/>
              </w:rPr>
              <w:t>Division 3 — Behaviour</w:t>
            </w:r>
            <w:r>
              <w:rPr>
                <w:noProof/>
                <w:webHidden/>
              </w:rPr>
              <w:tab/>
            </w:r>
            <w:r>
              <w:rPr>
                <w:noProof/>
                <w:webHidden/>
              </w:rPr>
              <w:fldChar w:fldCharType="begin"/>
            </w:r>
            <w:r>
              <w:rPr>
                <w:noProof/>
                <w:webHidden/>
              </w:rPr>
              <w:instrText xml:space="preserve"> PAGEREF _Toc63929231 \h </w:instrText>
            </w:r>
            <w:r>
              <w:rPr>
                <w:noProof/>
                <w:webHidden/>
              </w:rPr>
            </w:r>
            <w:r>
              <w:rPr>
                <w:noProof/>
                <w:webHidden/>
              </w:rPr>
              <w:fldChar w:fldCharType="separate"/>
            </w:r>
            <w:r w:rsidR="004D51B7">
              <w:rPr>
                <w:noProof/>
                <w:webHidden/>
              </w:rPr>
              <w:t>2</w:t>
            </w:r>
            <w:r>
              <w:rPr>
                <w:noProof/>
                <w:webHidden/>
              </w:rPr>
              <w:fldChar w:fldCharType="end"/>
            </w:r>
          </w:hyperlink>
        </w:p>
        <w:p w14:paraId="214AB087" w14:textId="26262619" w:rsidR="00FF1058" w:rsidRDefault="00FF1058" w:rsidP="00543E1B">
          <w:pPr>
            <w:pStyle w:val="TOC2"/>
            <w:rPr>
              <w:rFonts w:eastAsiaTheme="minorEastAsia"/>
              <w:noProof/>
              <w:lang w:eastAsia="en-AU"/>
            </w:rPr>
          </w:pPr>
          <w:hyperlink w:anchor="_Toc63929232" w:history="1">
            <w:r w:rsidRPr="00FD144E">
              <w:rPr>
                <w:rStyle w:val="Hyperlink"/>
                <w:rFonts w:ascii="Times New Roman" w:hAnsi="Times New Roman" w:cs="Times New Roman"/>
                <w:b/>
                <w:bCs/>
                <w:noProof/>
              </w:rPr>
              <w:t>7.</w:t>
            </w:r>
            <w:r>
              <w:rPr>
                <w:rFonts w:eastAsiaTheme="minorEastAsia"/>
                <w:noProof/>
                <w:lang w:eastAsia="en-AU"/>
              </w:rPr>
              <w:tab/>
            </w:r>
            <w:r w:rsidRPr="00FD144E">
              <w:rPr>
                <w:rStyle w:val="Hyperlink"/>
                <w:rFonts w:ascii="Times New Roman" w:hAnsi="Times New Roman" w:cs="Times New Roman"/>
                <w:b/>
                <w:bCs/>
                <w:noProof/>
              </w:rPr>
              <w:t>Overview of Division</w:t>
            </w:r>
            <w:r>
              <w:rPr>
                <w:noProof/>
                <w:webHidden/>
              </w:rPr>
              <w:tab/>
            </w:r>
            <w:r>
              <w:rPr>
                <w:noProof/>
                <w:webHidden/>
              </w:rPr>
              <w:fldChar w:fldCharType="begin"/>
            </w:r>
            <w:r>
              <w:rPr>
                <w:noProof/>
                <w:webHidden/>
              </w:rPr>
              <w:instrText xml:space="preserve"> PAGEREF _Toc63929232 \h </w:instrText>
            </w:r>
            <w:r>
              <w:rPr>
                <w:noProof/>
                <w:webHidden/>
              </w:rPr>
            </w:r>
            <w:r>
              <w:rPr>
                <w:noProof/>
                <w:webHidden/>
              </w:rPr>
              <w:fldChar w:fldCharType="separate"/>
            </w:r>
            <w:r w:rsidR="004D51B7">
              <w:rPr>
                <w:noProof/>
                <w:webHidden/>
              </w:rPr>
              <w:t>2</w:t>
            </w:r>
            <w:r>
              <w:rPr>
                <w:noProof/>
                <w:webHidden/>
              </w:rPr>
              <w:fldChar w:fldCharType="end"/>
            </w:r>
          </w:hyperlink>
        </w:p>
        <w:p w14:paraId="4962F107" w14:textId="5CC3D4AF" w:rsidR="00FF1058" w:rsidRDefault="00FF1058" w:rsidP="00543E1B">
          <w:pPr>
            <w:pStyle w:val="TOC2"/>
            <w:rPr>
              <w:rFonts w:eastAsiaTheme="minorEastAsia"/>
              <w:noProof/>
              <w:lang w:eastAsia="en-AU"/>
            </w:rPr>
          </w:pPr>
          <w:hyperlink w:anchor="_Toc63929233" w:history="1">
            <w:r w:rsidRPr="00FD144E">
              <w:rPr>
                <w:rStyle w:val="Hyperlink"/>
                <w:rFonts w:ascii="Times New Roman" w:hAnsi="Times New Roman" w:cs="Times New Roman"/>
                <w:b/>
                <w:bCs/>
                <w:noProof/>
              </w:rPr>
              <w:t>8.</w:t>
            </w:r>
            <w:r>
              <w:rPr>
                <w:rFonts w:eastAsiaTheme="minorEastAsia"/>
                <w:noProof/>
                <w:lang w:eastAsia="en-AU"/>
              </w:rPr>
              <w:tab/>
            </w:r>
            <w:r w:rsidRPr="00FD144E">
              <w:rPr>
                <w:rStyle w:val="Hyperlink"/>
                <w:rFonts w:ascii="Times New Roman" w:hAnsi="Times New Roman" w:cs="Times New Roman"/>
                <w:b/>
                <w:bCs/>
                <w:noProof/>
              </w:rPr>
              <w:t>Personal integrity</w:t>
            </w:r>
            <w:r>
              <w:rPr>
                <w:noProof/>
                <w:webHidden/>
              </w:rPr>
              <w:tab/>
            </w:r>
            <w:r>
              <w:rPr>
                <w:noProof/>
                <w:webHidden/>
              </w:rPr>
              <w:fldChar w:fldCharType="begin"/>
            </w:r>
            <w:r>
              <w:rPr>
                <w:noProof/>
                <w:webHidden/>
              </w:rPr>
              <w:instrText xml:space="preserve"> PAGEREF _Toc63929233 \h </w:instrText>
            </w:r>
            <w:r>
              <w:rPr>
                <w:noProof/>
                <w:webHidden/>
              </w:rPr>
            </w:r>
            <w:r>
              <w:rPr>
                <w:noProof/>
                <w:webHidden/>
              </w:rPr>
              <w:fldChar w:fldCharType="separate"/>
            </w:r>
            <w:r w:rsidR="004D51B7">
              <w:rPr>
                <w:noProof/>
                <w:webHidden/>
              </w:rPr>
              <w:t>2</w:t>
            </w:r>
            <w:r>
              <w:rPr>
                <w:noProof/>
                <w:webHidden/>
              </w:rPr>
              <w:fldChar w:fldCharType="end"/>
            </w:r>
          </w:hyperlink>
        </w:p>
        <w:p w14:paraId="73C5660B" w14:textId="5C4339B6" w:rsidR="00FF1058" w:rsidRDefault="00FF1058" w:rsidP="00543E1B">
          <w:pPr>
            <w:pStyle w:val="TOC2"/>
            <w:rPr>
              <w:rFonts w:eastAsiaTheme="minorEastAsia"/>
              <w:noProof/>
              <w:lang w:eastAsia="en-AU"/>
            </w:rPr>
          </w:pPr>
          <w:hyperlink w:anchor="_Toc63929234" w:history="1">
            <w:r w:rsidRPr="00FD144E">
              <w:rPr>
                <w:rStyle w:val="Hyperlink"/>
                <w:rFonts w:ascii="Times New Roman" w:hAnsi="Times New Roman" w:cs="Times New Roman"/>
                <w:b/>
                <w:bCs/>
                <w:noProof/>
              </w:rPr>
              <w:t>9.</w:t>
            </w:r>
            <w:r>
              <w:rPr>
                <w:rFonts w:eastAsiaTheme="minorEastAsia"/>
                <w:noProof/>
                <w:lang w:eastAsia="en-AU"/>
              </w:rPr>
              <w:tab/>
            </w:r>
            <w:r w:rsidRPr="00FD144E">
              <w:rPr>
                <w:rStyle w:val="Hyperlink"/>
                <w:rFonts w:ascii="Times New Roman" w:hAnsi="Times New Roman" w:cs="Times New Roman"/>
                <w:b/>
                <w:bCs/>
                <w:noProof/>
              </w:rPr>
              <w:t>Relationship with others</w:t>
            </w:r>
            <w:r>
              <w:rPr>
                <w:noProof/>
                <w:webHidden/>
              </w:rPr>
              <w:tab/>
            </w:r>
            <w:r>
              <w:rPr>
                <w:noProof/>
                <w:webHidden/>
              </w:rPr>
              <w:fldChar w:fldCharType="begin"/>
            </w:r>
            <w:r>
              <w:rPr>
                <w:noProof/>
                <w:webHidden/>
              </w:rPr>
              <w:instrText xml:space="preserve"> PAGEREF _Toc63929234 \h </w:instrText>
            </w:r>
            <w:r>
              <w:rPr>
                <w:noProof/>
                <w:webHidden/>
              </w:rPr>
            </w:r>
            <w:r>
              <w:rPr>
                <w:noProof/>
                <w:webHidden/>
              </w:rPr>
              <w:fldChar w:fldCharType="separate"/>
            </w:r>
            <w:r w:rsidR="004D51B7">
              <w:rPr>
                <w:noProof/>
                <w:webHidden/>
              </w:rPr>
              <w:t>2</w:t>
            </w:r>
            <w:r>
              <w:rPr>
                <w:noProof/>
                <w:webHidden/>
              </w:rPr>
              <w:fldChar w:fldCharType="end"/>
            </w:r>
          </w:hyperlink>
        </w:p>
        <w:p w14:paraId="76E89F4A" w14:textId="07218255" w:rsidR="00FF1058" w:rsidRDefault="00FF1058" w:rsidP="00543E1B">
          <w:pPr>
            <w:pStyle w:val="TOC2"/>
            <w:rPr>
              <w:rFonts w:eastAsiaTheme="minorEastAsia"/>
              <w:noProof/>
              <w:lang w:eastAsia="en-AU"/>
            </w:rPr>
          </w:pPr>
          <w:hyperlink w:anchor="_Toc63929235" w:history="1">
            <w:r w:rsidRPr="00FD144E">
              <w:rPr>
                <w:rStyle w:val="Hyperlink"/>
                <w:rFonts w:ascii="Times New Roman" w:hAnsi="Times New Roman" w:cs="Times New Roman"/>
                <w:b/>
                <w:bCs/>
                <w:noProof/>
              </w:rPr>
              <w:t>10.</w:t>
            </w:r>
            <w:r>
              <w:rPr>
                <w:rFonts w:eastAsiaTheme="minorEastAsia"/>
                <w:noProof/>
                <w:lang w:eastAsia="en-AU"/>
              </w:rPr>
              <w:tab/>
            </w:r>
            <w:r w:rsidRPr="00FD144E">
              <w:rPr>
                <w:rStyle w:val="Hyperlink"/>
                <w:rFonts w:ascii="Times New Roman" w:hAnsi="Times New Roman" w:cs="Times New Roman"/>
                <w:b/>
                <w:bCs/>
                <w:noProof/>
              </w:rPr>
              <w:t>Council or committee meetings</w:t>
            </w:r>
            <w:r>
              <w:rPr>
                <w:noProof/>
                <w:webHidden/>
              </w:rPr>
              <w:tab/>
            </w:r>
            <w:r>
              <w:rPr>
                <w:noProof/>
                <w:webHidden/>
              </w:rPr>
              <w:fldChar w:fldCharType="begin"/>
            </w:r>
            <w:r>
              <w:rPr>
                <w:noProof/>
                <w:webHidden/>
              </w:rPr>
              <w:instrText xml:space="preserve"> PAGEREF _Toc63929235 \h </w:instrText>
            </w:r>
            <w:r>
              <w:rPr>
                <w:noProof/>
                <w:webHidden/>
              </w:rPr>
            </w:r>
            <w:r>
              <w:rPr>
                <w:noProof/>
                <w:webHidden/>
              </w:rPr>
              <w:fldChar w:fldCharType="separate"/>
            </w:r>
            <w:r w:rsidR="004D51B7">
              <w:rPr>
                <w:noProof/>
                <w:webHidden/>
              </w:rPr>
              <w:t>2</w:t>
            </w:r>
            <w:r>
              <w:rPr>
                <w:noProof/>
                <w:webHidden/>
              </w:rPr>
              <w:fldChar w:fldCharType="end"/>
            </w:r>
          </w:hyperlink>
        </w:p>
        <w:p w14:paraId="5533DE48" w14:textId="1085DC9C" w:rsidR="00FF1058" w:rsidRDefault="00FF1058" w:rsidP="00543E1B">
          <w:pPr>
            <w:pStyle w:val="TOC2"/>
            <w:rPr>
              <w:rFonts w:eastAsiaTheme="minorEastAsia"/>
              <w:noProof/>
              <w:lang w:eastAsia="en-AU"/>
            </w:rPr>
          </w:pPr>
          <w:hyperlink w:anchor="_Toc63929236" w:history="1">
            <w:r w:rsidRPr="00FD144E">
              <w:rPr>
                <w:rStyle w:val="Hyperlink"/>
                <w:rFonts w:ascii="Times New Roman" w:hAnsi="Times New Roman" w:cs="Times New Roman"/>
                <w:b/>
                <w:bCs/>
                <w:noProof/>
              </w:rPr>
              <w:t>11.</w:t>
            </w:r>
            <w:r>
              <w:rPr>
                <w:rFonts w:eastAsiaTheme="minorEastAsia"/>
                <w:noProof/>
                <w:lang w:eastAsia="en-AU"/>
              </w:rPr>
              <w:tab/>
            </w:r>
            <w:r w:rsidRPr="00FD144E">
              <w:rPr>
                <w:rStyle w:val="Hyperlink"/>
                <w:rFonts w:ascii="Times New Roman" w:hAnsi="Times New Roman" w:cs="Times New Roman"/>
                <w:b/>
                <w:bCs/>
                <w:noProof/>
              </w:rPr>
              <w:t>Complaint about alleged breach</w:t>
            </w:r>
            <w:r>
              <w:rPr>
                <w:noProof/>
                <w:webHidden/>
              </w:rPr>
              <w:tab/>
            </w:r>
            <w:r>
              <w:rPr>
                <w:noProof/>
                <w:webHidden/>
              </w:rPr>
              <w:fldChar w:fldCharType="begin"/>
            </w:r>
            <w:r>
              <w:rPr>
                <w:noProof/>
                <w:webHidden/>
              </w:rPr>
              <w:instrText xml:space="preserve"> PAGEREF _Toc63929236 \h </w:instrText>
            </w:r>
            <w:r>
              <w:rPr>
                <w:noProof/>
                <w:webHidden/>
              </w:rPr>
            </w:r>
            <w:r>
              <w:rPr>
                <w:noProof/>
                <w:webHidden/>
              </w:rPr>
              <w:fldChar w:fldCharType="separate"/>
            </w:r>
            <w:r w:rsidR="004D51B7">
              <w:rPr>
                <w:noProof/>
                <w:webHidden/>
              </w:rPr>
              <w:t>3</w:t>
            </w:r>
            <w:r>
              <w:rPr>
                <w:noProof/>
                <w:webHidden/>
              </w:rPr>
              <w:fldChar w:fldCharType="end"/>
            </w:r>
          </w:hyperlink>
        </w:p>
        <w:p w14:paraId="41E3487F" w14:textId="4454F056" w:rsidR="00FF1058" w:rsidRDefault="00FF1058" w:rsidP="00543E1B">
          <w:pPr>
            <w:pStyle w:val="TOC2"/>
            <w:rPr>
              <w:rFonts w:eastAsiaTheme="minorEastAsia"/>
              <w:noProof/>
              <w:lang w:eastAsia="en-AU"/>
            </w:rPr>
          </w:pPr>
          <w:hyperlink w:anchor="_Toc63929237" w:history="1">
            <w:r w:rsidRPr="00FD144E">
              <w:rPr>
                <w:rStyle w:val="Hyperlink"/>
                <w:rFonts w:ascii="Times New Roman" w:hAnsi="Times New Roman" w:cs="Times New Roman"/>
                <w:b/>
                <w:bCs/>
                <w:noProof/>
              </w:rPr>
              <w:t>12.</w:t>
            </w:r>
            <w:r>
              <w:rPr>
                <w:rFonts w:eastAsiaTheme="minorEastAsia"/>
                <w:noProof/>
                <w:lang w:eastAsia="en-AU"/>
              </w:rPr>
              <w:tab/>
            </w:r>
            <w:r w:rsidRPr="00FD144E">
              <w:rPr>
                <w:rStyle w:val="Hyperlink"/>
                <w:rFonts w:ascii="Times New Roman" w:hAnsi="Times New Roman" w:cs="Times New Roman"/>
                <w:b/>
                <w:bCs/>
                <w:noProof/>
              </w:rPr>
              <w:t>Dealing with complaint</w:t>
            </w:r>
            <w:r>
              <w:rPr>
                <w:noProof/>
                <w:webHidden/>
              </w:rPr>
              <w:tab/>
            </w:r>
            <w:r>
              <w:rPr>
                <w:noProof/>
                <w:webHidden/>
              </w:rPr>
              <w:fldChar w:fldCharType="begin"/>
            </w:r>
            <w:r>
              <w:rPr>
                <w:noProof/>
                <w:webHidden/>
              </w:rPr>
              <w:instrText xml:space="preserve"> PAGEREF _Toc63929237 \h </w:instrText>
            </w:r>
            <w:r>
              <w:rPr>
                <w:noProof/>
                <w:webHidden/>
              </w:rPr>
            </w:r>
            <w:r>
              <w:rPr>
                <w:noProof/>
                <w:webHidden/>
              </w:rPr>
              <w:fldChar w:fldCharType="separate"/>
            </w:r>
            <w:r w:rsidR="004D51B7">
              <w:rPr>
                <w:noProof/>
                <w:webHidden/>
              </w:rPr>
              <w:t>3</w:t>
            </w:r>
            <w:r>
              <w:rPr>
                <w:noProof/>
                <w:webHidden/>
              </w:rPr>
              <w:fldChar w:fldCharType="end"/>
            </w:r>
          </w:hyperlink>
        </w:p>
        <w:p w14:paraId="47610FE5" w14:textId="31E20A18" w:rsidR="00FF1058" w:rsidRDefault="00FF1058" w:rsidP="00543E1B">
          <w:pPr>
            <w:pStyle w:val="TOC2"/>
            <w:rPr>
              <w:rFonts w:eastAsiaTheme="minorEastAsia"/>
              <w:noProof/>
              <w:lang w:eastAsia="en-AU"/>
            </w:rPr>
          </w:pPr>
          <w:hyperlink w:anchor="_Toc63929238" w:history="1">
            <w:r w:rsidRPr="00FD144E">
              <w:rPr>
                <w:rStyle w:val="Hyperlink"/>
                <w:rFonts w:ascii="Times New Roman" w:hAnsi="Times New Roman" w:cs="Times New Roman"/>
                <w:b/>
                <w:bCs/>
                <w:noProof/>
              </w:rPr>
              <w:t>13.</w:t>
            </w:r>
            <w:r>
              <w:rPr>
                <w:rFonts w:eastAsiaTheme="minorEastAsia"/>
                <w:noProof/>
                <w:lang w:eastAsia="en-AU"/>
              </w:rPr>
              <w:tab/>
            </w:r>
            <w:r w:rsidRPr="00FD144E">
              <w:rPr>
                <w:rStyle w:val="Hyperlink"/>
                <w:rFonts w:ascii="Times New Roman" w:hAnsi="Times New Roman" w:cs="Times New Roman"/>
                <w:b/>
                <w:bCs/>
                <w:noProof/>
              </w:rPr>
              <w:t>Dismissal of complaint</w:t>
            </w:r>
            <w:r>
              <w:rPr>
                <w:noProof/>
                <w:webHidden/>
              </w:rPr>
              <w:tab/>
            </w:r>
            <w:r>
              <w:rPr>
                <w:noProof/>
                <w:webHidden/>
              </w:rPr>
              <w:fldChar w:fldCharType="begin"/>
            </w:r>
            <w:r>
              <w:rPr>
                <w:noProof/>
                <w:webHidden/>
              </w:rPr>
              <w:instrText xml:space="preserve"> PAGEREF _Toc63929238 \h </w:instrText>
            </w:r>
            <w:r>
              <w:rPr>
                <w:noProof/>
                <w:webHidden/>
              </w:rPr>
            </w:r>
            <w:r>
              <w:rPr>
                <w:noProof/>
                <w:webHidden/>
              </w:rPr>
              <w:fldChar w:fldCharType="separate"/>
            </w:r>
            <w:r w:rsidR="004D51B7">
              <w:rPr>
                <w:noProof/>
                <w:webHidden/>
              </w:rPr>
              <w:t>4</w:t>
            </w:r>
            <w:r>
              <w:rPr>
                <w:noProof/>
                <w:webHidden/>
              </w:rPr>
              <w:fldChar w:fldCharType="end"/>
            </w:r>
          </w:hyperlink>
        </w:p>
        <w:p w14:paraId="71ABA346" w14:textId="61EC4EBE" w:rsidR="00FF1058" w:rsidRDefault="00FF1058" w:rsidP="00543E1B">
          <w:pPr>
            <w:pStyle w:val="TOC2"/>
            <w:rPr>
              <w:rFonts w:eastAsiaTheme="minorEastAsia"/>
              <w:noProof/>
              <w:lang w:eastAsia="en-AU"/>
            </w:rPr>
          </w:pPr>
          <w:hyperlink w:anchor="_Toc63929239" w:history="1">
            <w:r w:rsidRPr="00FD144E">
              <w:rPr>
                <w:rStyle w:val="Hyperlink"/>
                <w:rFonts w:ascii="Times New Roman" w:hAnsi="Times New Roman" w:cs="Times New Roman"/>
                <w:b/>
                <w:bCs/>
                <w:noProof/>
              </w:rPr>
              <w:t>14.</w:t>
            </w:r>
            <w:r>
              <w:rPr>
                <w:rFonts w:eastAsiaTheme="minorEastAsia"/>
                <w:noProof/>
                <w:lang w:eastAsia="en-AU"/>
              </w:rPr>
              <w:tab/>
            </w:r>
            <w:r w:rsidRPr="00FD144E">
              <w:rPr>
                <w:rStyle w:val="Hyperlink"/>
                <w:rFonts w:ascii="Times New Roman" w:hAnsi="Times New Roman" w:cs="Times New Roman"/>
                <w:b/>
                <w:bCs/>
                <w:noProof/>
              </w:rPr>
              <w:t>Withdrawal of complaint</w:t>
            </w:r>
            <w:r>
              <w:rPr>
                <w:noProof/>
                <w:webHidden/>
              </w:rPr>
              <w:tab/>
            </w:r>
            <w:r>
              <w:rPr>
                <w:noProof/>
                <w:webHidden/>
              </w:rPr>
              <w:fldChar w:fldCharType="begin"/>
            </w:r>
            <w:r>
              <w:rPr>
                <w:noProof/>
                <w:webHidden/>
              </w:rPr>
              <w:instrText xml:space="preserve"> PAGEREF _Toc63929239 \h </w:instrText>
            </w:r>
            <w:r>
              <w:rPr>
                <w:noProof/>
                <w:webHidden/>
              </w:rPr>
            </w:r>
            <w:r>
              <w:rPr>
                <w:noProof/>
                <w:webHidden/>
              </w:rPr>
              <w:fldChar w:fldCharType="separate"/>
            </w:r>
            <w:r w:rsidR="004D51B7">
              <w:rPr>
                <w:noProof/>
                <w:webHidden/>
              </w:rPr>
              <w:t>4</w:t>
            </w:r>
            <w:r>
              <w:rPr>
                <w:noProof/>
                <w:webHidden/>
              </w:rPr>
              <w:fldChar w:fldCharType="end"/>
            </w:r>
          </w:hyperlink>
        </w:p>
        <w:p w14:paraId="60A3A186" w14:textId="26C968F5" w:rsidR="00FF1058" w:rsidRDefault="00FF1058" w:rsidP="00543E1B">
          <w:pPr>
            <w:pStyle w:val="TOC2"/>
            <w:rPr>
              <w:rFonts w:eastAsiaTheme="minorEastAsia"/>
              <w:noProof/>
              <w:lang w:eastAsia="en-AU"/>
            </w:rPr>
          </w:pPr>
          <w:hyperlink w:anchor="_Toc63929240" w:history="1">
            <w:r w:rsidRPr="00FD144E">
              <w:rPr>
                <w:rStyle w:val="Hyperlink"/>
                <w:rFonts w:ascii="Times New Roman" w:hAnsi="Times New Roman" w:cs="Times New Roman"/>
                <w:b/>
                <w:bCs/>
                <w:noProof/>
              </w:rPr>
              <w:t>15.</w:t>
            </w:r>
            <w:r>
              <w:rPr>
                <w:rFonts w:eastAsiaTheme="minorEastAsia"/>
                <w:noProof/>
                <w:lang w:eastAsia="en-AU"/>
              </w:rPr>
              <w:tab/>
            </w:r>
            <w:r w:rsidRPr="00FD144E">
              <w:rPr>
                <w:rStyle w:val="Hyperlink"/>
                <w:rFonts w:ascii="Times New Roman" w:hAnsi="Times New Roman" w:cs="Times New Roman"/>
                <w:b/>
                <w:bCs/>
                <w:noProof/>
              </w:rPr>
              <w:t>Other provisions about complaints</w:t>
            </w:r>
            <w:r>
              <w:rPr>
                <w:noProof/>
                <w:webHidden/>
              </w:rPr>
              <w:tab/>
            </w:r>
            <w:r>
              <w:rPr>
                <w:noProof/>
                <w:webHidden/>
              </w:rPr>
              <w:fldChar w:fldCharType="begin"/>
            </w:r>
            <w:r>
              <w:rPr>
                <w:noProof/>
                <w:webHidden/>
              </w:rPr>
              <w:instrText xml:space="preserve"> PAGEREF _Toc63929240 \h </w:instrText>
            </w:r>
            <w:r>
              <w:rPr>
                <w:noProof/>
                <w:webHidden/>
              </w:rPr>
            </w:r>
            <w:r>
              <w:rPr>
                <w:noProof/>
                <w:webHidden/>
              </w:rPr>
              <w:fldChar w:fldCharType="separate"/>
            </w:r>
            <w:r w:rsidR="004D51B7">
              <w:rPr>
                <w:noProof/>
                <w:webHidden/>
              </w:rPr>
              <w:t>4</w:t>
            </w:r>
            <w:r>
              <w:rPr>
                <w:noProof/>
                <w:webHidden/>
              </w:rPr>
              <w:fldChar w:fldCharType="end"/>
            </w:r>
          </w:hyperlink>
        </w:p>
        <w:p w14:paraId="00787D81" w14:textId="12C18771" w:rsidR="00FF1058" w:rsidRDefault="00FF1058" w:rsidP="00B00094">
          <w:pPr>
            <w:pStyle w:val="TOC3"/>
            <w:rPr>
              <w:rFonts w:eastAsiaTheme="minorEastAsia"/>
              <w:noProof/>
              <w:lang w:eastAsia="en-AU"/>
            </w:rPr>
          </w:pPr>
          <w:hyperlink w:anchor="_Toc63929241" w:history="1">
            <w:r w:rsidRPr="00FD144E">
              <w:rPr>
                <w:rStyle w:val="Hyperlink"/>
                <w:noProof/>
              </w:rPr>
              <w:t>Division 4 — Rules of conduct</w:t>
            </w:r>
            <w:r>
              <w:rPr>
                <w:noProof/>
                <w:webHidden/>
              </w:rPr>
              <w:tab/>
            </w:r>
            <w:r>
              <w:rPr>
                <w:noProof/>
                <w:webHidden/>
              </w:rPr>
              <w:fldChar w:fldCharType="begin"/>
            </w:r>
            <w:r>
              <w:rPr>
                <w:noProof/>
                <w:webHidden/>
              </w:rPr>
              <w:instrText xml:space="preserve"> PAGEREF _Toc63929241 \h </w:instrText>
            </w:r>
            <w:r>
              <w:rPr>
                <w:noProof/>
                <w:webHidden/>
              </w:rPr>
            </w:r>
            <w:r>
              <w:rPr>
                <w:noProof/>
                <w:webHidden/>
              </w:rPr>
              <w:fldChar w:fldCharType="separate"/>
            </w:r>
            <w:r w:rsidR="004D51B7">
              <w:rPr>
                <w:noProof/>
                <w:webHidden/>
              </w:rPr>
              <w:t>4</w:t>
            </w:r>
            <w:r>
              <w:rPr>
                <w:noProof/>
                <w:webHidden/>
              </w:rPr>
              <w:fldChar w:fldCharType="end"/>
            </w:r>
          </w:hyperlink>
        </w:p>
        <w:p w14:paraId="29737FF4" w14:textId="2E77E6C0" w:rsidR="00FF1058" w:rsidRDefault="00FF1058" w:rsidP="00543E1B">
          <w:pPr>
            <w:pStyle w:val="TOC2"/>
            <w:rPr>
              <w:rFonts w:eastAsiaTheme="minorEastAsia"/>
              <w:noProof/>
              <w:lang w:eastAsia="en-AU"/>
            </w:rPr>
          </w:pPr>
          <w:hyperlink w:anchor="_Toc63929242" w:history="1">
            <w:r w:rsidRPr="00FD144E">
              <w:rPr>
                <w:rStyle w:val="Hyperlink"/>
                <w:rFonts w:ascii="Times New Roman" w:hAnsi="Times New Roman" w:cs="Times New Roman"/>
                <w:b/>
                <w:bCs/>
                <w:noProof/>
              </w:rPr>
              <w:t>16.</w:t>
            </w:r>
            <w:r>
              <w:rPr>
                <w:rFonts w:eastAsiaTheme="minorEastAsia"/>
                <w:noProof/>
                <w:lang w:eastAsia="en-AU"/>
              </w:rPr>
              <w:tab/>
            </w:r>
            <w:r w:rsidRPr="00FD144E">
              <w:rPr>
                <w:rStyle w:val="Hyperlink"/>
                <w:rFonts w:ascii="Times New Roman" w:hAnsi="Times New Roman" w:cs="Times New Roman"/>
                <w:b/>
                <w:bCs/>
                <w:noProof/>
              </w:rPr>
              <w:t>Overview of Division</w:t>
            </w:r>
            <w:r>
              <w:rPr>
                <w:noProof/>
                <w:webHidden/>
              </w:rPr>
              <w:tab/>
            </w:r>
            <w:r>
              <w:rPr>
                <w:noProof/>
                <w:webHidden/>
              </w:rPr>
              <w:fldChar w:fldCharType="begin"/>
            </w:r>
            <w:r>
              <w:rPr>
                <w:noProof/>
                <w:webHidden/>
              </w:rPr>
              <w:instrText xml:space="preserve"> PAGEREF _Toc63929242 \h </w:instrText>
            </w:r>
            <w:r>
              <w:rPr>
                <w:noProof/>
                <w:webHidden/>
              </w:rPr>
            </w:r>
            <w:r>
              <w:rPr>
                <w:noProof/>
                <w:webHidden/>
              </w:rPr>
              <w:fldChar w:fldCharType="separate"/>
            </w:r>
            <w:r w:rsidR="004D51B7">
              <w:rPr>
                <w:noProof/>
                <w:webHidden/>
              </w:rPr>
              <w:t>4</w:t>
            </w:r>
            <w:r>
              <w:rPr>
                <w:noProof/>
                <w:webHidden/>
              </w:rPr>
              <w:fldChar w:fldCharType="end"/>
            </w:r>
          </w:hyperlink>
        </w:p>
        <w:p w14:paraId="4F006F0F" w14:textId="40ED959D" w:rsidR="00FF1058" w:rsidRDefault="00FF1058" w:rsidP="00543E1B">
          <w:pPr>
            <w:pStyle w:val="TOC2"/>
            <w:rPr>
              <w:rFonts w:eastAsiaTheme="minorEastAsia"/>
              <w:noProof/>
              <w:lang w:eastAsia="en-AU"/>
            </w:rPr>
          </w:pPr>
          <w:hyperlink w:anchor="_Toc63929243" w:history="1">
            <w:r w:rsidRPr="00FD144E">
              <w:rPr>
                <w:rStyle w:val="Hyperlink"/>
                <w:rFonts w:ascii="Times New Roman" w:hAnsi="Times New Roman" w:cs="Times New Roman"/>
                <w:b/>
                <w:bCs/>
                <w:noProof/>
              </w:rPr>
              <w:t>17.</w:t>
            </w:r>
            <w:r>
              <w:rPr>
                <w:rFonts w:eastAsiaTheme="minorEastAsia"/>
                <w:noProof/>
                <w:lang w:eastAsia="en-AU"/>
              </w:rPr>
              <w:tab/>
            </w:r>
            <w:r w:rsidRPr="00FD144E">
              <w:rPr>
                <w:rStyle w:val="Hyperlink"/>
                <w:rFonts w:ascii="Times New Roman" w:hAnsi="Times New Roman" w:cs="Times New Roman"/>
                <w:b/>
                <w:bCs/>
                <w:noProof/>
              </w:rPr>
              <w:t>Misuse of local government resources</w:t>
            </w:r>
            <w:r>
              <w:rPr>
                <w:noProof/>
                <w:webHidden/>
              </w:rPr>
              <w:tab/>
            </w:r>
            <w:r>
              <w:rPr>
                <w:noProof/>
                <w:webHidden/>
              </w:rPr>
              <w:fldChar w:fldCharType="begin"/>
            </w:r>
            <w:r>
              <w:rPr>
                <w:noProof/>
                <w:webHidden/>
              </w:rPr>
              <w:instrText xml:space="preserve"> PAGEREF _Toc63929243 \h </w:instrText>
            </w:r>
            <w:r>
              <w:rPr>
                <w:noProof/>
                <w:webHidden/>
              </w:rPr>
            </w:r>
            <w:r>
              <w:rPr>
                <w:noProof/>
                <w:webHidden/>
              </w:rPr>
              <w:fldChar w:fldCharType="separate"/>
            </w:r>
            <w:r w:rsidR="004D51B7">
              <w:rPr>
                <w:noProof/>
                <w:webHidden/>
              </w:rPr>
              <w:t>4</w:t>
            </w:r>
            <w:r>
              <w:rPr>
                <w:noProof/>
                <w:webHidden/>
              </w:rPr>
              <w:fldChar w:fldCharType="end"/>
            </w:r>
          </w:hyperlink>
        </w:p>
        <w:p w14:paraId="5EB1795D" w14:textId="6C4CA7BB" w:rsidR="00FF1058" w:rsidRDefault="00FF1058" w:rsidP="00543E1B">
          <w:pPr>
            <w:pStyle w:val="TOC2"/>
            <w:rPr>
              <w:rFonts w:eastAsiaTheme="minorEastAsia"/>
              <w:noProof/>
              <w:lang w:eastAsia="en-AU"/>
            </w:rPr>
          </w:pPr>
          <w:hyperlink w:anchor="_Toc63929244" w:history="1">
            <w:r w:rsidRPr="00FD144E">
              <w:rPr>
                <w:rStyle w:val="Hyperlink"/>
                <w:rFonts w:ascii="Times New Roman" w:hAnsi="Times New Roman" w:cs="Times New Roman"/>
                <w:b/>
                <w:bCs/>
                <w:noProof/>
              </w:rPr>
              <w:t>18.</w:t>
            </w:r>
            <w:r>
              <w:rPr>
                <w:rFonts w:eastAsiaTheme="minorEastAsia"/>
                <w:noProof/>
                <w:lang w:eastAsia="en-AU"/>
              </w:rPr>
              <w:tab/>
            </w:r>
            <w:r w:rsidRPr="00FD144E">
              <w:rPr>
                <w:rStyle w:val="Hyperlink"/>
                <w:rFonts w:ascii="Times New Roman" w:hAnsi="Times New Roman" w:cs="Times New Roman"/>
                <w:b/>
                <w:bCs/>
                <w:noProof/>
              </w:rPr>
              <w:t>Securing personal advantage or disadvantaging others</w:t>
            </w:r>
            <w:r>
              <w:rPr>
                <w:noProof/>
                <w:webHidden/>
              </w:rPr>
              <w:tab/>
            </w:r>
            <w:r>
              <w:rPr>
                <w:noProof/>
                <w:webHidden/>
              </w:rPr>
              <w:fldChar w:fldCharType="begin"/>
            </w:r>
            <w:r>
              <w:rPr>
                <w:noProof/>
                <w:webHidden/>
              </w:rPr>
              <w:instrText xml:space="preserve"> PAGEREF _Toc63929244 \h </w:instrText>
            </w:r>
            <w:r>
              <w:rPr>
                <w:noProof/>
                <w:webHidden/>
              </w:rPr>
            </w:r>
            <w:r>
              <w:rPr>
                <w:noProof/>
                <w:webHidden/>
              </w:rPr>
              <w:fldChar w:fldCharType="separate"/>
            </w:r>
            <w:r w:rsidR="004D51B7">
              <w:rPr>
                <w:noProof/>
                <w:webHidden/>
              </w:rPr>
              <w:t>5</w:t>
            </w:r>
            <w:r>
              <w:rPr>
                <w:noProof/>
                <w:webHidden/>
              </w:rPr>
              <w:fldChar w:fldCharType="end"/>
            </w:r>
          </w:hyperlink>
        </w:p>
        <w:p w14:paraId="5989BDF3" w14:textId="472C6AE9" w:rsidR="00FF1058" w:rsidRDefault="00FF1058" w:rsidP="00543E1B">
          <w:pPr>
            <w:pStyle w:val="TOC2"/>
            <w:rPr>
              <w:rFonts w:eastAsiaTheme="minorEastAsia"/>
              <w:noProof/>
              <w:lang w:eastAsia="en-AU"/>
            </w:rPr>
          </w:pPr>
          <w:hyperlink w:anchor="_Toc63929245" w:history="1">
            <w:r w:rsidRPr="00FD144E">
              <w:rPr>
                <w:rStyle w:val="Hyperlink"/>
                <w:rFonts w:ascii="Times New Roman" w:hAnsi="Times New Roman" w:cs="Times New Roman"/>
                <w:b/>
                <w:bCs/>
                <w:noProof/>
              </w:rPr>
              <w:t>19.</w:t>
            </w:r>
            <w:r>
              <w:rPr>
                <w:rFonts w:eastAsiaTheme="minorEastAsia"/>
                <w:noProof/>
                <w:lang w:eastAsia="en-AU"/>
              </w:rPr>
              <w:tab/>
            </w:r>
            <w:r w:rsidRPr="00FD144E">
              <w:rPr>
                <w:rStyle w:val="Hyperlink"/>
                <w:rFonts w:ascii="Times New Roman" w:hAnsi="Times New Roman" w:cs="Times New Roman"/>
                <w:b/>
                <w:bCs/>
                <w:noProof/>
              </w:rPr>
              <w:t>Prohibition against involvement in administration</w:t>
            </w:r>
            <w:r>
              <w:rPr>
                <w:noProof/>
                <w:webHidden/>
              </w:rPr>
              <w:tab/>
            </w:r>
            <w:r>
              <w:rPr>
                <w:noProof/>
                <w:webHidden/>
              </w:rPr>
              <w:fldChar w:fldCharType="begin"/>
            </w:r>
            <w:r>
              <w:rPr>
                <w:noProof/>
                <w:webHidden/>
              </w:rPr>
              <w:instrText xml:space="preserve"> PAGEREF _Toc63929245 \h </w:instrText>
            </w:r>
            <w:r>
              <w:rPr>
                <w:noProof/>
                <w:webHidden/>
              </w:rPr>
            </w:r>
            <w:r>
              <w:rPr>
                <w:noProof/>
                <w:webHidden/>
              </w:rPr>
              <w:fldChar w:fldCharType="separate"/>
            </w:r>
            <w:r w:rsidR="004D51B7">
              <w:rPr>
                <w:noProof/>
                <w:webHidden/>
              </w:rPr>
              <w:t>5</w:t>
            </w:r>
            <w:r>
              <w:rPr>
                <w:noProof/>
                <w:webHidden/>
              </w:rPr>
              <w:fldChar w:fldCharType="end"/>
            </w:r>
          </w:hyperlink>
        </w:p>
        <w:p w14:paraId="1448F2F7" w14:textId="56A9DE16" w:rsidR="00FF1058" w:rsidRDefault="00FF1058" w:rsidP="00543E1B">
          <w:pPr>
            <w:pStyle w:val="TOC2"/>
            <w:rPr>
              <w:rFonts w:eastAsiaTheme="minorEastAsia"/>
              <w:noProof/>
              <w:lang w:eastAsia="en-AU"/>
            </w:rPr>
          </w:pPr>
          <w:hyperlink w:anchor="_Toc63929246" w:history="1">
            <w:r w:rsidRPr="00FD144E">
              <w:rPr>
                <w:rStyle w:val="Hyperlink"/>
                <w:rFonts w:ascii="Times New Roman" w:hAnsi="Times New Roman" w:cs="Times New Roman"/>
                <w:b/>
                <w:bCs/>
                <w:noProof/>
              </w:rPr>
              <w:t>20.</w:t>
            </w:r>
            <w:r>
              <w:rPr>
                <w:rFonts w:eastAsiaTheme="minorEastAsia"/>
                <w:noProof/>
                <w:lang w:eastAsia="en-AU"/>
              </w:rPr>
              <w:tab/>
            </w:r>
            <w:r w:rsidRPr="00FD144E">
              <w:rPr>
                <w:rStyle w:val="Hyperlink"/>
                <w:rFonts w:ascii="Times New Roman" w:hAnsi="Times New Roman" w:cs="Times New Roman"/>
                <w:b/>
                <w:bCs/>
                <w:noProof/>
              </w:rPr>
              <w:t>Relationship with local government employees</w:t>
            </w:r>
            <w:r>
              <w:rPr>
                <w:noProof/>
                <w:webHidden/>
              </w:rPr>
              <w:tab/>
            </w:r>
            <w:r>
              <w:rPr>
                <w:noProof/>
                <w:webHidden/>
              </w:rPr>
              <w:fldChar w:fldCharType="begin"/>
            </w:r>
            <w:r>
              <w:rPr>
                <w:noProof/>
                <w:webHidden/>
              </w:rPr>
              <w:instrText xml:space="preserve"> PAGEREF _Toc63929246 \h </w:instrText>
            </w:r>
            <w:r>
              <w:rPr>
                <w:noProof/>
                <w:webHidden/>
              </w:rPr>
            </w:r>
            <w:r>
              <w:rPr>
                <w:noProof/>
                <w:webHidden/>
              </w:rPr>
              <w:fldChar w:fldCharType="separate"/>
            </w:r>
            <w:r w:rsidR="004D51B7">
              <w:rPr>
                <w:noProof/>
                <w:webHidden/>
              </w:rPr>
              <w:t>5</w:t>
            </w:r>
            <w:r>
              <w:rPr>
                <w:noProof/>
                <w:webHidden/>
              </w:rPr>
              <w:fldChar w:fldCharType="end"/>
            </w:r>
          </w:hyperlink>
        </w:p>
        <w:p w14:paraId="4D9D9F7B" w14:textId="6CE44F81" w:rsidR="00FF1058" w:rsidRDefault="00FF1058" w:rsidP="00543E1B">
          <w:pPr>
            <w:pStyle w:val="TOC2"/>
            <w:rPr>
              <w:rFonts w:eastAsiaTheme="minorEastAsia"/>
              <w:noProof/>
              <w:lang w:eastAsia="en-AU"/>
            </w:rPr>
          </w:pPr>
          <w:hyperlink w:anchor="_Toc63929247" w:history="1">
            <w:r w:rsidRPr="00FD144E">
              <w:rPr>
                <w:rStyle w:val="Hyperlink"/>
                <w:rFonts w:ascii="Times New Roman" w:hAnsi="Times New Roman" w:cs="Times New Roman"/>
                <w:b/>
                <w:bCs/>
                <w:noProof/>
              </w:rPr>
              <w:t>21.</w:t>
            </w:r>
            <w:r>
              <w:rPr>
                <w:rFonts w:eastAsiaTheme="minorEastAsia"/>
                <w:noProof/>
                <w:lang w:eastAsia="en-AU"/>
              </w:rPr>
              <w:tab/>
            </w:r>
            <w:r w:rsidRPr="00FD144E">
              <w:rPr>
                <w:rStyle w:val="Hyperlink"/>
                <w:rFonts w:ascii="Times New Roman" w:hAnsi="Times New Roman" w:cs="Times New Roman"/>
                <w:b/>
                <w:bCs/>
                <w:noProof/>
              </w:rPr>
              <w:t>Disclosure of information</w:t>
            </w:r>
            <w:r>
              <w:rPr>
                <w:noProof/>
                <w:webHidden/>
              </w:rPr>
              <w:tab/>
            </w:r>
            <w:r>
              <w:rPr>
                <w:noProof/>
                <w:webHidden/>
              </w:rPr>
              <w:fldChar w:fldCharType="begin"/>
            </w:r>
            <w:r>
              <w:rPr>
                <w:noProof/>
                <w:webHidden/>
              </w:rPr>
              <w:instrText xml:space="preserve"> PAGEREF _Toc63929247 \h </w:instrText>
            </w:r>
            <w:r>
              <w:rPr>
                <w:noProof/>
                <w:webHidden/>
              </w:rPr>
            </w:r>
            <w:r>
              <w:rPr>
                <w:noProof/>
                <w:webHidden/>
              </w:rPr>
              <w:fldChar w:fldCharType="separate"/>
            </w:r>
            <w:r w:rsidR="004D51B7">
              <w:rPr>
                <w:noProof/>
                <w:webHidden/>
              </w:rPr>
              <w:t>6</w:t>
            </w:r>
            <w:r>
              <w:rPr>
                <w:noProof/>
                <w:webHidden/>
              </w:rPr>
              <w:fldChar w:fldCharType="end"/>
            </w:r>
          </w:hyperlink>
        </w:p>
        <w:p w14:paraId="32FC22E7" w14:textId="3E860294" w:rsidR="00FF1058" w:rsidRDefault="00FF1058" w:rsidP="00543E1B">
          <w:pPr>
            <w:pStyle w:val="TOC2"/>
            <w:rPr>
              <w:rFonts w:eastAsiaTheme="minorEastAsia"/>
              <w:noProof/>
              <w:lang w:eastAsia="en-AU"/>
            </w:rPr>
          </w:pPr>
          <w:hyperlink w:anchor="_Toc63929248" w:history="1">
            <w:r w:rsidRPr="00FD144E">
              <w:rPr>
                <w:rStyle w:val="Hyperlink"/>
                <w:rFonts w:ascii="Times New Roman" w:hAnsi="Times New Roman" w:cs="Times New Roman"/>
                <w:b/>
                <w:bCs/>
                <w:noProof/>
              </w:rPr>
              <w:t>22.</w:t>
            </w:r>
            <w:r>
              <w:rPr>
                <w:rFonts w:eastAsiaTheme="minorEastAsia"/>
                <w:noProof/>
                <w:lang w:eastAsia="en-AU"/>
              </w:rPr>
              <w:tab/>
            </w:r>
            <w:r w:rsidRPr="00FD144E">
              <w:rPr>
                <w:rStyle w:val="Hyperlink"/>
                <w:rFonts w:ascii="Times New Roman" w:hAnsi="Times New Roman" w:cs="Times New Roman"/>
                <w:b/>
                <w:bCs/>
                <w:noProof/>
              </w:rPr>
              <w:t>Disclosure of interests</w:t>
            </w:r>
            <w:r>
              <w:rPr>
                <w:noProof/>
                <w:webHidden/>
              </w:rPr>
              <w:tab/>
            </w:r>
            <w:r>
              <w:rPr>
                <w:noProof/>
                <w:webHidden/>
              </w:rPr>
              <w:fldChar w:fldCharType="begin"/>
            </w:r>
            <w:r>
              <w:rPr>
                <w:noProof/>
                <w:webHidden/>
              </w:rPr>
              <w:instrText xml:space="preserve"> PAGEREF _Toc63929248 \h </w:instrText>
            </w:r>
            <w:r>
              <w:rPr>
                <w:noProof/>
                <w:webHidden/>
              </w:rPr>
            </w:r>
            <w:r>
              <w:rPr>
                <w:noProof/>
                <w:webHidden/>
              </w:rPr>
              <w:fldChar w:fldCharType="separate"/>
            </w:r>
            <w:r w:rsidR="004D51B7">
              <w:rPr>
                <w:noProof/>
                <w:webHidden/>
              </w:rPr>
              <w:t>6</w:t>
            </w:r>
            <w:r>
              <w:rPr>
                <w:noProof/>
                <w:webHidden/>
              </w:rPr>
              <w:fldChar w:fldCharType="end"/>
            </w:r>
          </w:hyperlink>
        </w:p>
        <w:p w14:paraId="0DD3BD01" w14:textId="2F2042E7" w:rsidR="00FF1058" w:rsidRDefault="00FF1058" w:rsidP="00543E1B">
          <w:pPr>
            <w:pStyle w:val="TOC2"/>
            <w:rPr>
              <w:rFonts w:eastAsiaTheme="minorEastAsia"/>
              <w:noProof/>
              <w:lang w:eastAsia="en-AU"/>
            </w:rPr>
          </w:pPr>
          <w:hyperlink w:anchor="_Toc63929249" w:history="1">
            <w:r w:rsidRPr="00FD144E">
              <w:rPr>
                <w:rStyle w:val="Hyperlink"/>
                <w:rFonts w:ascii="Times New Roman" w:hAnsi="Times New Roman" w:cs="Times New Roman"/>
                <w:b/>
                <w:bCs/>
                <w:noProof/>
              </w:rPr>
              <w:t>23.</w:t>
            </w:r>
            <w:r>
              <w:rPr>
                <w:rFonts w:eastAsiaTheme="minorEastAsia"/>
                <w:noProof/>
                <w:lang w:eastAsia="en-AU"/>
              </w:rPr>
              <w:tab/>
            </w:r>
            <w:r w:rsidRPr="00FD144E">
              <w:rPr>
                <w:rStyle w:val="Hyperlink"/>
                <w:rFonts w:ascii="Times New Roman" w:hAnsi="Times New Roman" w:cs="Times New Roman"/>
                <w:b/>
                <w:bCs/>
                <w:noProof/>
              </w:rPr>
              <w:t>Compliance with plan requirement</w:t>
            </w:r>
            <w:r>
              <w:rPr>
                <w:noProof/>
                <w:webHidden/>
              </w:rPr>
              <w:tab/>
            </w:r>
            <w:r>
              <w:rPr>
                <w:noProof/>
                <w:webHidden/>
              </w:rPr>
              <w:fldChar w:fldCharType="begin"/>
            </w:r>
            <w:r>
              <w:rPr>
                <w:noProof/>
                <w:webHidden/>
              </w:rPr>
              <w:instrText xml:space="preserve"> PAGEREF _Toc63929249 \h </w:instrText>
            </w:r>
            <w:r>
              <w:rPr>
                <w:noProof/>
                <w:webHidden/>
              </w:rPr>
            </w:r>
            <w:r>
              <w:rPr>
                <w:noProof/>
                <w:webHidden/>
              </w:rPr>
              <w:fldChar w:fldCharType="separate"/>
            </w:r>
            <w:r w:rsidR="004D51B7">
              <w:rPr>
                <w:noProof/>
                <w:webHidden/>
              </w:rPr>
              <w:t>7</w:t>
            </w:r>
            <w:r>
              <w:rPr>
                <w:noProof/>
                <w:webHidden/>
              </w:rPr>
              <w:fldChar w:fldCharType="end"/>
            </w:r>
          </w:hyperlink>
        </w:p>
        <w:p w14:paraId="0F0694FA" w14:textId="77777777" w:rsidR="00FF1058" w:rsidRDefault="00FF1058" w:rsidP="00FF1058">
          <w:r>
            <w:rPr>
              <w:b/>
              <w:bCs/>
              <w:noProof/>
            </w:rPr>
            <w:fldChar w:fldCharType="end"/>
          </w:r>
        </w:p>
      </w:sdtContent>
    </w:sdt>
    <w:p w14:paraId="0A8DE47C" w14:textId="77777777" w:rsidR="00FF1058" w:rsidRDefault="00FF1058" w:rsidP="00FF1058">
      <w:pPr>
        <w:spacing w:after="160" w:line="259" w:lineRule="auto"/>
      </w:pPr>
    </w:p>
    <w:p w14:paraId="00831C3A" w14:textId="77777777" w:rsidR="00FF1058" w:rsidRDefault="00FF1058" w:rsidP="00FF1058">
      <w:pPr>
        <w:spacing w:after="160" w:line="259" w:lineRule="auto"/>
      </w:pPr>
    </w:p>
    <w:p w14:paraId="40DE92DE" w14:textId="77777777" w:rsidR="00FF1058" w:rsidRDefault="00FF1058" w:rsidP="00FF1058">
      <w:pPr>
        <w:spacing w:after="160" w:line="259" w:lineRule="auto"/>
      </w:pPr>
    </w:p>
    <w:p w14:paraId="35B53886" w14:textId="77777777" w:rsidR="00FF1058" w:rsidRDefault="00FF1058" w:rsidP="00FF1058">
      <w:pPr>
        <w:spacing w:after="160" w:line="259" w:lineRule="auto"/>
        <w:sectPr w:rsidR="00FF1058" w:rsidSect="00FF1058">
          <w:footerReference w:type="default" r:id="rId30"/>
          <w:pgSz w:w="11906" w:h="16838"/>
          <w:pgMar w:top="851" w:right="1440" w:bottom="1440" w:left="1440" w:header="708" w:footer="5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44644E0" w14:textId="77777777" w:rsidR="00FF1058" w:rsidRDefault="00FF1058" w:rsidP="00FF1058">
      <w:pPr>
        <w:spacing w:after="160" w:line="259" w:lineRule="auto"/>
      </w:pPr>
    </w:p>
    <w:p w14:paraId="4F4002B4" w14:textId="70EE1802" w:rsidR="00FF1058" w:rsidRPr="00540001" w:rsidRDefault="00FF1058" w:rsidP="00FF1058">
      <w:pPr>
        <w:jc w:val="center"/>
        <w:rPr>
          <w:rFonts w:ascii="Times New Roman" w:hAnsi="Times New Roman" w:cs="Times New Roman"/>
          <w:b/>
          <w:bCs/>
          <w:snapToGrid w:val="0"/>
          <w:sz w:val="28"/>
          <w:szCs w:val="28"/>
        </w:rPr>
      </w:pPr>
      <w:r w:rsidRPr="00540001">
        <w:rPr>
          <w:rFonts w:ascii="Times New Roman" w:hAnsi="Times New Roman" w:cs="Times New Roman"/>
          <w:b/>
          <w:bCs/>
          <w:snapToGrid w:val="0"/>
          <w:sz w:val="28"/>
          <w:szCs w:val="28"/>
        </w:rPr>
        <w:t>Town of East Fremantle - Model code of conduct</w:t>
      </w:r>
      <w:bookmarkEnd w:id="12"/>
      <w:bookmarkEnd w:id="13"/>
    </w:p>
    <w:p w14:paraId="65B49FBC" w14:textId="77777777" w:rsidR="00FF1058" w:rsidRDefault="00FF1058" w:rsidP="00FF1058">
      <w:pPr>
        <w:pStyle w:val="yHeading3"/>
      </w:pPr>
      <w:bookmarkStart w:id="16" w:name="_Toc62726626"/>
      <w:bookmarkStart w:id="17" w:name="_Toc63158181"/>
      <w:bookmarkStart w:id="18" w:name="_Toc63929223"/>
      <w:r>
        <w:rPr>
          <w:rStyle w:val="CharSDivNo"/>
        </w:rPr>
        <w:t>Division 1</w:t>
      </w:r>
      <w:r>
        <w:t> — </w:t>
      </w:r>
      <w:r>
        <w:rPr>
          <w:rStyle w:val="CharSDivText"/>
          <w:rFonts w:eastAsiaTheme="majorEastAsia"/>
        </w:rPr>
        <w:t>Preliminary provisions</w:t>
      </w:r>
      <w:bookmarkEnd w:id="16"/>
      <w:bookmarkEnd w:id="17"/>
      <w:bookmarkEnd w:id="18"/>
    </w:p>
    <w:p w14:paraId="5D60E229" w14:textId="77777777" w:rsidR="00FF1058" w:rsidRPr="00540001" w:rsidRDefault="00FF1058" w:rsidP="00FF1058">
      <w:pPr>
        <w:pStyle w:val="Heading2"/>
        <w:tabs>
          <w:tab w:val="left" w:pos="709"/>
        </w:tabs>
        <w:rPr>
          <w:rFonts w:ascii="Times New Roman" w:hAnsi="Times New Roman" w:cs="Times New Roman"/>
          <w:b w:val="0"/>
          <w:bCs w:val="0"/>
          <w:sz w:val="22"/>
          <w:szCs w:val="22"/>
        </w:rPr>
      </w:pPr>
      <w:bookmarkStart w:id="19" w:name="_Toc63158182"/>
      <w:bookmarkStart w:id="20" w:name="_Toc63929224"/>
      <w:r w:rsidRPr="00540001">
        <w:rPr>
          <w:rStyle w:val="CharSClsNo"/>
          <w:rFonts w:ascii="Times New Roman" w:hAnsi="Times New Roman" w:cs="Times New Roman"/>
          <w:szCs w:val="22"/>
        </w:rPr>
        <w:t>1</w:t>
      </w:r>
      <w:r w:rsidRPr="00540001">
        <w:rPr>
          <w:rFonts w:ascii="Times New Roman" w:hAnsi="Times New Roman" w:cs="Times New Roman"/>
          <w:sz w:val="22"/>
          <w:szCs w:val="22"/>
        </w:rPr>
        <w:t>.</w:t>
      </w:r>
      <w:r w:rsidRPr="00540001">
        <w:rPr>
          <w:rFonts w:ascii="Times New Roman" w:hAnsi="Times New Roman" w:cs="Times New Roman"/>
          <w:sz w:val="22"/>
          <w:szCs w:val="22"/>
        </w:rPr>
        <w:tab/>
        <w:t>Citation</w:t>
      </w:r>
      <w:bookmarkEnd w:id="19"/>
      <w:bookmarkEnd w:id="20"/>
    </w:p>
    <w:p w14:paraId="68D12A31" w14:textId="77777777" w:rsidR="00FF1058" w:rsidRDefault="00FF1058" w:rsidP="00FF1058">
      <w:pPr>
        <w:pStyle w:val="ySubsection"/>
      </w:pPr>
      <w:r>
        <w:tab/>
      </w:r>
      <w:r>
        <w:tab/>
        <w:t xml:space="preserve">This is the </w:t>
      </w:r>
      <w:r w:rsidRPr="00375B9A">
        <w:rPr>
          <w:i/>
          <w:iCs/>
        </w:rPr>
        <w:t>Town of East Fremantle</w:t>
      </w:r>
      <w:r w:rsidRPr="00B133DE">
        <w:rPr>
          <w:i/>
          <w:color w:val="FF0000"/>
        </w:rPr>
        <w:t xml:space="preserve"> </w:t>
      </w:r>
      <w:r>
        <w:rPr>
          <w:i/>
        </w:rPr>
        <w:t>Code of Conduct for Council Members, Committee Members and Candidates</w:t>
      </w:r>
      <w:r>
        <w:t>.</w:t>
      </w:r>
    </w:p>
    <w:p w14:paraId="3B4C77D6" w14:textId="77777777" w:rsidR="00FF1058" w:rsidRDefault="00FF1058" w:rsidP="00FF1058">
      <w:pPr>
        <w:pStyle w:val="NoSpacing"/>
      </w:pPr>
    </w:p>
    <w:p w14:paraId="7F9E2501" w14:textId="77777777" w:rsidR="00FF1058" w:rsidRPr="00540001" w:rsidRDefault="00FF1058" w:rsidP="00FF1058">
      <w:pPr>
        <w:pStyle w:val="Heading2"/>
        <w:tabs>
          <w:tab w:val="left" w:pos="709"/>
        </w:tabs>
        <w:spacing w:before="0"/>
        <w:rPr>
          <w:rStyle w:val="CharSClsNo"/>
          <w:rFonts w:ascii="Times New Roman" w:hAnsi="Times New Roman" w:cs="Times New Roman"/>
          <w:b w:val="0"/>
          <w:bCs w:val="0"/>
          <w:szCs w:val="22"/>
        </w:rPr>
      </w:pPr>
      <w:bookmarkStart w:id="21" w:name="_Toc63158183"/>
      <w:bookmarkStart w:id="22" w:name="_Toc63929225"/>
      <w:r w:rsidRPr="00540001">
        <w:rPr>
          <w:rStyle w:val="CharSClsNo"/>
          <w:rFonts w:ascii="Times New Roman" w:hAnsi="Times New Roman" w:cs="Times New Roman"/>
          <w:szCs w:val="22"/>
        </w:rPr>
        <w:t>2.</w:t>
      </w:r>
      <w:r w:rsidRPr="00540001">
        <w:rPr>
          <w:rStyle w:val="CharSClsNo"/>
          <w:rFonts w:ascii="Times New Roman" w:hAnsi="Times New Roman" w:cs="Times New Roman"/>
          <w:szCs w:val="22"/>
        </w:rPr>
        <w:tab/>
        <w:t>Terms used</w:t>
      </w:r>
      <w:bookmarkEnd w:id="21"/>
      <w:bookmarkEnd w:id="22"/>
    </w:p>
    <w:p w14:paraId="70FE9684" w14:textId="77777777" w:rsidR="00FF1058" w:rsidRDefault="00FF1058" w:rsidP="00FF1058">
      <w:pPr>
        <w:pStyle w:val="ySubsection"/>
      </w:pPr>
      <w:r>
        <w:tab/>
        <w:t>(1)</w:t>
      </w:r>
      <w:r>
        <w:tab/>
        <w:t xml:space="preserve">In this code — </w:t>
      </w:r>
    </w:p>
    <w:p w14:paraId="71E1293B" w14:textId="77777777" w:rsidR="00FF1058" w:rsidRDefault="00FF1058" w:rsidP="00FF1058">
      <w:pPr>
        <w:pStyle w:val="yDefstart"/>
      </w:pPr>
      <w:r>
        <w:tab/>
      </w:r>
      <w:r>
        <w:rPr>
          <w:rStyle w:val="CharDefText"/>
        </w:rPr>
        <w:t>Act</w:t>
      </w:r>
      <w:r>
        <w:t xml:space="preserve"> means the </w:t>
      </w:r>
      <w:r>
        <w:rPr>
          <w:i/>
        </w:rPr>
        <w:t>Local Government Act </w:t>
      </w:r>
      <w:proofErr w:type="gramStart"/>
      <w:r>
        <w:rPr>
          <w:i/>
        </w:rPr>
        <w:t>1995</w:t>
      </w:r>
      <w:r>
        <w:t>;</w:t>
      </w:r>
      <w:proofErr w:type="gramEnd"/>
    </w:p>
    <w:p w14:paraId="65F7B032" w14:textId="77777777" w:rsidR="00FF1058" w:rsidRDefault="00FF1058" w:rsidP="00FF1058">
      <w:pPr>
        <w:pStyle w:val="yDefstart"/>
      </w:pPr>
      <w:r>
        <w:tab/>
      </w:r>
      <w:r>
        <w:rPr>
          <w:rStyle w:val="CharDefText"/>
        </w:rPr>
        <w:t>candidate</w:t>
      </w:r>
      <w:r>
        <w:t xml:space="preserve"> means a candidate for election as a council </w:t>
      </w:r>
      <w:proofErr w:type="gramStart"/>
      <w:r>
        <w:t>member;</w:t>
      </w:r>
      <w:proofErr w:type="gramEnd"/>
    </w:p>
    <w:p w14:paraId="6A2F606D" w14:textId="77777777" w:rsidR="00FF1058" w:rsidRDefault="00FF1058" w:rsidP="00FF1058">
      <w:pPr>
        <w:pStyle w:val="yDefstart"/>
      </w:pPr>
      <w:r>
        <w:tab/>
      </w:r>
      <w:r>
        <w:rPr>
          <w:rStyle w:val="CharDefText"/>
        </w:rPr>
        <w:t>complaint</w:t>
      </w:r>
      <w:r>
        <w:t xml:space="preserve"> means a complaint made under clause </w:t>
      </w:r>
      <w:proofErr w:type="gramStart"/>
      <w:r>
        <w:t>11(1);</w:t>
      </w:r>
      <w:proofErr w:type="gramEnd"/>
    </w:p>
    <w:p w14:paraId="369335E0" w14:textId="77777777" w:rsidR="00FF1058" w:rsidRDefault="00FF1058" w:rsidP="00FF1058">
      <w:pPr>
        <w:pStyle w:val="yDefstart"/>
      </w:pPr>
      <w:r>
        <w:tab/>
      </w:r>
      <w:r>
        <w:rPr>
          <w:rStyle w:val="CharDefText"/>
        </w:rPr>
        <w:t>publish</w:t>
      </w:r>
      <w:r>
        <w:t xml:space="preserve"> includes to publish on a social media platform.</w:t>
      </w:r>
    </w:p>
    <w:p w14:paraId="4886AB04" w14:textId="77777777" w:rsidR="00FF1058" w:rsidRDefault="00FF1058" w:rsidP="00FF1058">
      <w:pPr>
        <w:pStyle w:val="ySubsection"/>
      </w:pPr>
      <w:r>
        <w:tab/>
        <w:t>(2)</w:t>
      </w:r>
      <w:r>
        <w:tab/>
        <w:t>Other terms used in this code that are also used in the Act have the same meaning as they have in the Act, unless the contrary intention appears.</w:t>
      </w:r>
    </w:p>
    <w:p w14:paraId="715B8DB8" w14:textId="77777777" w:rsidR="00FF1058" w:rsidRDefault="00FF1058" w:rsidP="00FF1058">
      <w:pPr>
        <w:pStyle w:val="yHeading3"/>
      </w:pPr>
      <w:bookmarkStart w:id="23" w:name="_Toc62726629"/>
      <w:bookmarkStart w:id="24" w:name="_Toc63158184"/>
      <w:bookmarkStart w:id="25" w:name="_Toc63929226"/>
      <w:r>
        <w:rPr>
          <w:rStyle w:val="CharSDivNo"/>
        </w:rPr>
        <w:t>Division 2</w:t>
      </w:r>
      <w:r>
        <w:t> — </w:t>
      </w:r>
      <w:r>
        <w:rPr>
          <w:rStyle w:val="CharSDivText"/>
          <w:rFonts w:eastAsiaTheme="majorEastAsia"/>
        </w:rPr>
        <w:t>General principles</w:t>
      </w:r>
      <w:bookmarkEnd w:id="23"/>
      <w:bookmarkEnd w:id="24"/>
      <w:bookmarkEnd w:id="25"/>
    </w:p>
    <w:p w14:paraId="6058C0CE"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26" w:name="_Toc63158185"/>
      <w:bookmarkStart w:id="27" w:name="_Toc63929227"/>
      <w:r w:rsidRPr="00540001">
        <w:rPr>
          <w:rStyle w:val="CharSClsNo"/>
          <w:rFonts w:ascii="Times New Roman" w:hAnsi="Times New Roman" w:cs="Times New Roman"/>
          <w:szCs w:val="22"/>
        </w:rPr>
        <w:t>3.</w:t>
      </w:r>
      <w:r w:rsidRPr="00540001">
        <w:rPr>
          <w:rStyle w:val="CharSClsNo"/>
          <w:rFonts w:ascii="Times New Roman" w:hAnsi="Times New Roman" w:cs="Times New Roman"/>
          <w:szCs w:val="22"/>
        </w:rPr>
        <w:tab/>
        <w:t>Overview of Division</w:t>
      </w:r>
      <w:bookmarkEnd w:id="26"/>
      <w:bookmarkEnd w:id="27"/>
    </w:p>
    <w:p w14:paraId="47E98D81" w14:textId="77777777" w:rsidR="00FF1058" w:rsidRDefault="00FF1058" w:rsidP="00FF1058">
      <w:pPr>
        <w:pStyle w:val="ySubsection"/>
      </w:pPr>
      <w:r>
        <w:tab/>
      </w:r>
      <w:r>
        <w:tab/>
        <w:t>This Division sets out general principles to guide the behaviour of council members, committee members and candidates.</w:t>
      </w:r>
    </w:p>
    <w:p w14:paraId="65E67291" w14:textId="77777777" w:rsidR="00FF1058" w:rsidRDefault="00FF1058" w:rsidP="00FF1058">
      <w:pPr>
        <w:pStyle w:val="NoSpacing"/>
      </w:pPr>
    </w:p>
    <w:p w14:paraId="54C6034F"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28" w:name="_Toc63158186"/>
      <w:bookmarkStart w:id="29" w:name="_Toc63929228"/>
      <w:r w:rsidRPr="00540001">
        <w:rPr>
          <w:rStyle w:val="CharSClsNo"/>
          <w:rFonts w:ascii="Times New Roman" w:hAnsi="Times New Roman" w:cs="Times New Roman"/>
          <w:szCs w:val="22"/>
        </w:rPr>
        <w:t>4.</w:t>
      </w:r>
      <w:r w:rsidRPr="00540001">
        <w:rPr>
          <w:rStyle w:val="CharSClsNo"/>
          <w:rFonts w:ascii="Times New Roman" w:hAnsi="Times New Roman" w:cs="Times New Roman"/>
          <w:szCs w:val="22"/>
        </w:rPr>
        <w:tab/>
        <w:t>Personal integrity</w:t>
      </w:r>
      <w:bookmarkEnd w:id="28"/>
      <w:bookmarkEnd w:id="29"/>
    </w:p>
    <w:p w14:paraId="4B79D759" w14:textId="77777777" w:rsidR="00FF1058" w:rsidRDefault="00FF1058" w:rsidP="00FF1058">
      <w:pPr>
        <w:pStyle w:val="ySubsection"/>
      </w:pPr>
      <w:r>
        <w:tab/>
        <w:t>(1)</w:t>
      </w:r>
      <w:r>
        <w:tab/>
        <w:t xml:space="preserve">A council member, committee member or candidate should — </w:t>
      </w:r>
    </w:p>
    <w:p w14:paraId="1C474F85" w14:textId="77777777" w:rsidR="00FF1058" w:rsidRDefault="00FF1058" w:rsidP="00FF1058">
      <w:pPr>
        <w:pStyle w:val="yIndenta"/>
      </w:pPr>
      <w:r>
        <w:tab/>
        <w:t>(a)</w:t>
      </w:r>
      <w:r>
        <w:tab/>
        <w:t>act with reasonable care and diligence; and</w:t>
      </w:r>
    </w:p>
    <w:p w14:paraId="76C26127" w14:textId="77777777" w:rsidR="00FF1058" w:rsidRDefault="00FF1058" w:rsidP="00FF1058">
      <w:pPr>
        <w:pStyle w:val="yIndenta"/>
      </w:pPr>
      <w:r>
        <w:tab/>
        <w:t>(b)</w:t>
      </w:r>
      <w:r>
        <w:tab/>
        <w:t>act with honesty and integrity; and</w:t>
      </w:r>
    </w:p>
    <w:p w14:paraId="1A160C15" w14:textId="77777777" w:rsidR="00FF1058" w:rsidRDefault="00FF1058" w:rsidP="00FF1058">
      <w:pPr>
        <w:pStyle w:val="yIndenta"/>
      </w:pPr>
      <w:r>
        <w:tab/>
        <w:t>(c)</w:t>
      </w:r>
      <w:r>
        <w:tab/>
        <w:t>act lawfully; and</w:t>
      </w:r>
    </w:p>
    <w:p w14:paraId="5ADA3F4B" w14:textId="77777777" w:rsidR="00FF1058" w:rsidRDefault="00FF1058" w:rsidP="00FF1058">
      <w:pPr>
        <w:pStyle w:val="yIndenta"/>
      </w:pPr>
      <w:r>
        <w:tab/>
        <w:t>(d)</w:t>
      </w:r>
      <w:r>
        <w:tab/>
        <w:t>identify and appropriately manage any conflict of interest; and</w:t>
      </w:r>
    </w:p>
    <w:p w14:paraId="01BB0CE5" w14:textId="77777777" w:rsidR="00FF1058" w:rsidRDefault="00FF1058" w:rsidP="00FF1058">
      <w:pPr>
        <w:pStyle w:val="yIndenta"/>
      </w:pPr>
      <w:r>
        <w:tab/>
        <w:t>(e)</w:t>
      </w:r>
      <w:r>
        <w:tab/>
        <w:t>avoid damage to the reputation of the local government.</w:t>
      </w:r>
    </w:p>
    <w:p w14:paraId="7FEA6F33" w14:textId="77777777" w:rsidR="00FF1058" w:rsidRDefault="00FF1058" w:rsidP="00FF1058">
      <w:pPr>
        <w:pStyle w:val="ySubsection"/>
      </w:pPr>
      <w:r>
        <w:tab/>
        <w:t>(2)</w:t>
      </w:r>
      <w:r>
        <w:tab/>
        <w:t xml:space="preserve">A council member or committee member should — </w:t>
      </w:r>
    </w:p>
    <w:p w14:paraId="5FB8F8B4" w14:textId="77777777" w:rsidR="00FF1058" w:rsidRDefault="00FF1058" w:rsidP="00FF1058">
      <w:pPr>
        <w:pStyle w:val="yIndenta"/>
      </w:pPr>
      <w:r>
        <w:tab/>
        <w:t>(a)</w:t>
      </w:r>
      <w:r>
        <w:tab/>
        <w:t>act in accordance with the trust placed in council members and committee members; and</w:t>
      </w:r>
    </w:p>
    <w:p w14:paraId="562A0800" w14:textId="77777777" w:rsidR="00FF1058" w:rsidRDefault="00FF1058" w:rsidP="00FF1058">
      <w:pPr>
        <w:pStyle w:val="yIndenta"/>
      </w:pPr>
      <w:r>
        <w:tab/>
        <w:t>(b)</w:t>
      </w:r>
      <w:r>
        <w:tab/>
        <w:t>participate in decision</w:t>
      </w:r>
      <w:r>
        <w:noBreakHyphen/>
        <w:t>making in an honest, fair, impartial and timely manner; and</w:t>
      </w:r>
    </w:p>
    <w:p w14:paraId="2581D672" w14:textId="77777777" w:rsidR="00FF1058" w:rsidRDefault="00FF1058" w:rsidP="00FF1058">
      <w:pPr>
        <w:pStyle w:val="yIndenta"/>
      </w:pPr>
      <w:r>
        <w:tab/>
        <w:t>(c)</w:t>
      </w:r>
      <w:r>
        <w:tab/>
        <w:t>actively seek out and engage in training and development opportunities to improve the performance of their role; and</w:t>
      </w:r>
    </w:p>
    <w:p w14:paraId="010CA338" w14:textId="77777777" w:rsidR="00FF1058" w:rsidRDefault="00FF1058" w:rsidP="00FF1058">
      <w:pPr>
        <w:pStyle w:val="yIndenta"/>
      </w:pPr>
      <w:r>
        <w:tab/>
        <w:t>(d)</w:t>
      </w:r>
      <w:r>
        <w:tab/>
        <w:t>attend and participate in briefings, workshops and training sessions provided or arranged by the local government in relation to the performance of their role.</w:t>
      </w:r>
    </w:p>
    <w:p w14:paraId="5CDE399D" w14:textId="77777777" w:rsidR="00FF1058" w:rsidRDefault="00FF1058" w:rsidP="00FF1058">
      <w:pPr>
        <w:pStyle w:val="NoSpacing"/>
      </w:pPr>
    </w:p>
    <w:p w14:paraId="5455248F"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30" w:name="_Toc63158187"/>
      <w:bookmarkStart w:id="31" w:name="_Toc63929229"/>
      <w:r w:rsidRPr="00540001">
        <w:rPr>
          <w:rStyle w:val="CharSClsNo"/>
          <w:rFonts w:ascii="Times New Roman" w:hAnsi="Times New Roman" w:cs="Times New Roman"/>
          <w:szCs w:val="22"/>
        </w:rPr>
        <w:t>5.</w:t>
      </w:r>
      <w:r w:rsidRPr="00540001">
        <w:rPr>
          <w:rStyle w:val="CharSClsNo"/>
          <w:rFonts w:ascii="Times New Roman" w:hAnsi="Times New Roman" w:cs="Times New Roman"/>
          <w:szCs w:val="22"/>
        </w:rPr>
        <w:tab/>
        <w:t>Relationship with others</w:t>
      </w:r>
      <w:bookmarkEnd w:id="30"/>
      <w:bookmarkEnd w:id="31"/>
    </w:p>
    <w:p w14:paraId="61687629" w14:textId="77777777" w:rsidR="00FF1058" w:rsidRDefault="00FF1058" w:rsidP="00FF1058">
      <w:pPr>
        <w:pStyle w:val="ySubsection"/>
      </w:pPr>
      <w:r>
        <w:tab/>
        <w:t>(1)</w:t>
      </w:r>
      <w:r>
        <w:tab/>
        <w:t xml:space="preserve">A council member, committee member or candidate should — </w:t>
      </w:r>
    </w:p>
    <w:p w14:paraId="7F89F887" w14:textId="77777777" w:rsidR="00FF1058" w:rsidRDefault="00FF1058" w:rsidP="00FF1058">
      <w:pPr>
        <w:pStyle w:val="yIndenta"/>
      </w:pPr>
      <w:r>
        <w:tab/>
        <w:t>(a)</w:t>
      </w:r>
      <w:r>
        <w:tab/>
        <w:t>treat others with respect, courtesy and fairness; and</w:t>
      </w:r>
    </w:p>
    <w:p w14:paraId="6B1059FD" w14:textId="77777777" w:rsidR="00FF1058" w:rsidRDefault="00FF1058" w:rsidP="00FF1058">
      <w:pPr>
        <w:pStyle w:val="yIndenta"/>
      </w:pPr>
      <w:r>
        <w:tab/>
        <w:t>(b)</w:t>
      </w:r>
      <w:r>
        <w:tab/>
        <w:t>respect and value diversity in the community.</w:t>
      </w:r>
    </w:p>
    <w:p w14:paraId="6D591DFE" w14:textId="77777777" w:rsidR="00FF1058" w:rsidRDefault="00FF1058" w:rsidP="00FF1058">
      <w:pPr>
        <w:pStyle w:val="ySubsection"/>
      </w:pPr>
      <w:r>
        <w:lastRenderedPageBreak/>
        <w:tab/>
        <w:t>(2)</w:t>
      </w:r>
      <w:r>
        <w:tab/>
        <w:t>A council member or committee member should maintain and contribute to a harmonious, safe and productive work environment.</w:t>
      </w:r>
    </w:p>
    <w:p w14:paraId="0EE08673" w14:textId="77777777" w:rsidR="00FF1058" w:rsidRDefault="00FF1058" w:rsidP="00FF1058">
      <w:pPr>
        <w:pStyle w:val="NoSpacing"/>
      </w:pPr>
    </w:p>
    <w:p w14:paraId="56928FEA"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32" w:name="_Toc63158188"/>
      <w:bookmarkStart w:id="33" w:name="_Toc63929230"/>
      <w:r w:rsidRPr="00540001">
        <w:rPr>
          <w:rStyle w:val="CharSClsNo"/>
          <w:rFonts w:ascii="Times New Roman" w:hAnsi="Times New Roman" w:cs="Times New Roman"/>
          <w:szCs w:val="22"/>
        </w:rPr>
        <w:t>6.</w:t>
      </w:r>
      <w:r w:rsidRPr="00540001">
        <w:rPr>
          <w:rStyle w:val="CharSClsNo"/>
          <w:rFonts w:ascii="Times New Roman" w:hAnsi="Times New Roman" w:cs="Times New Roman"/>
          <w:szCs w:val="22"/>
        </w:rPr>
        <w:tab/>
        <w:t>Accountability</w:t>
      </w:r>
      <w:bookmarkEnd w:id="32"/>
      <w:bookmarkEnd w:id="33"/>
    </w:p>
    <w:p w14:paraId="4FA7EF4E" w14:textId="77777777" w:rsidR="00FF1058" w:rsidRDefault="00FF1058" w:rsidP="00D52769">
      <w:pPr>
        <w:pStyle w:val="ySubsection"/>
        <w:spacing w:before="120"/>
      </w:pPr>
      <w:r>
        <w:tab/>
      </w:r>
      <w:r>
        <w:tab/>
        <w:t xml:space="preserve">A council member or committee member should — </w:t>
      </w:r>
    </w:p>
    <w:p w14:paraId="7894615E" w14:textId="77777777" w:rsidR="00FF1058" w:rsidRDefault="00FF1058" w:rsidP="00FF1058">
      <w:pPr>
        <w:pStyle w:val="yIndenta"/>
      </w:pPr>
      <w:r>
        <w:tab/>
        <w:t>(a)</w:t>
      </w:r>
      <w:r>
        <w:tab/>
        <w:t>base decisions on relevant and factually correct information; and</w:t>
      </w:r>
    </w:p>
    <w:p w14:paraId="6F6851C6" w14:textId="77777777" w:rsidR="00FF1058" w:rsidRDefault="00FF1058" w:rsidP="00FF1058">
      <w:pPr>
        <w:pStyle w:val="yIndenta"/>
      </w:pPr>
      <w:r>
        <w:tab/>
        <w:t>(b)</w:t>
      </w:r>
      <w:r>
        <w:tab/>
        <w:t>make decisions on merit, in the public interest and in accordance with statutory obligations and principles of good governance and procedural fairness; and</w:t>
      </w:r>
    </w:p>
    <w:p w14:paraId="1016183C" w14:textId="77777777" w:rsidR="00FF1058" w:rsidRDefault="00FF1058" w:rsidP="00FF1058">
      <w:pPr>
        <w:pStyle w:val="yIndenta"/>
        <w:rPr>
          <w:rStyle w:val="DraftersNotes"/>
        </w:rPr>
      </w:pPr>
      <w:r>
        <w:tab/>
        <w:t>(c)</w:t>
      </w:r>
      <w:r>
        <w:tab/>
        <w:t>read all agenda papers given to them in relation to council or committee meetings; and</w:t>
      </w:r>
    </w:p>
    <w:p w14:paraId="3AAC80A7" w14:textId="77777777" w:rsidR="00FF1058" w:rsidRDefault="00FF1058" w:rsidP="00FF1058">
      <w:pPr>
        <w:pStyle w:val="yIndenta"/>
      </w:pPr>
      <w:r>
        <w:tab/>
        <w:t>(d)</w:t>
      </w:r>
      <w:r>
        <w:tab/>
        <w:t>be open and accountable to, and represent, the community in the district.</w:t>
      </w:r>
    </w:p>
    <w:p w14:paraId="06D04BC1" w14:textId="77777777" w:rsidR="00FF1058" w:rsidRDefault="00FF1058" w:rsidP="00FF1058">
      <w:pPr>
        <w:pStyle w:val="yHeading3"/>
        <w:keepLines/>
      </w:pPr>
      <w:bookmarkStart w:id="34" w:name="_Toc62726634"/>
      <w:bookmarkStart w:id="35" w:name="_Toc63158189"/>
      <w:bookmarkStart w:id="36" w:name="_Toc63929231"/>
      <w:r>
        <w:rPr>
          <w:rStyle w:val="CharSDivNo"/>
        </w:rPr>
        <w:t>Division 3</w:t>
      </w:r>
      <w:r>
        <w:t> — </w:t>
      </w:r>
      <w:r>
        <w:rPr>
          <w:rStyle w:val="CharSDivText"/>
          <w:rFonts w:eastAsiaTheme="majorEastAsia"/>
        </w:rPr>
        <w:t>Behaviour</w:t>
      </w:r>
      <w:bookmarkEnd w:id="34"/>
      <w:bookmarkEnd w:id="35"/>
      <w:bookmarkEnd w:id="36"/>
    </w:p>
    <w:p w14:paraId="7FF6F0B8"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37" w:name="_Toc63158190"/>
      <w:bookmarkStart w:id="38" w:name="_Toc63929232"/>
      <w:r w:rsidRPr="00540001">
        <w:rPr>
          <w:rStyle w:val="CharSClsNo"/>
          <w:rFonts w:ascii="Times New Roman" w:hAnsi="Times New Roman" w:cs="Times New Roman"/>
          <w:szCs w:val="22"/>
        </w:rPr>
        <w:t>7.</w:t>
      </w:r>
      <w:r w:rsidRPr="00540001">
        <w:rPr>
          <w:rStyle w:val="CharSClsNo"/>
          <w:rFonts w:ascii="Times New Roman" w:hAnsi="Times New Roman" w:cs="Times New Roman"/>
          <w:szCs w:val="22"/>
        </w:rPr>
        <w:tab/>
        <w:t>Overview of Division</w:t>
      </w:r>
      <w:bookmarkEnd w:id="37"/>
      <w:bookmarkEnd w:id="38"/>
    </w:p>
    <w:p w14:paraId="3F7DB93B" w14:textId="77777777" w:rsidR="00FF1058" w:rsidRDefault="00FF1058" w:rsidP="00D52769">
      <w:pPr>
        <w:pStyle w:val="ySubsection"/>
        <w:keepNext/>
        <w:keepLines/>
        <w:spacing w:before="120"/>
      </w:pPr>
      <w:r>
        <w:tab/>
      </w:r>
      <w:r>
        <w:tab/>
        <w:t xml:space="preserve">This Division sets out — </w:t>
      </w:r>
    </w:p>
    <w:p w14:paraId="5537E5F9" w14:textId="77777777" w:rsidR="00FF1058" w:rsidRDefault="00FF1058" w:rsidP="00FF1058">
      <w:pPr>
        <w:pStyle w:val="yIndenta"/>
        <w:keepNext/>
        <w:keepLines/>
      </w:pPr>
      <w:r>
        <w:tab/>
        <w:t>(a)</w:t>
      </w:r>
      <w:r>
        <w:tab/>
        <w:t>requirements relating to the behaviour of council members, committee members and candidates; and</w:t>
      </w:r>
    </w:p>
    <w:p w14:paraId="5C7E5D9E" w14:textId="77777777" w:rsidR="00FF1058" w:rsidRDefault="00FF1058" w:rsidP="00FF1058">
      <w:pPr>
        <w:pStyle w:val="yIndenta"/>
        <w:keepNext/>
        <w:keepLines/>
      </w:pPr>
      <w:r>
        <w:tab/>
        <w:t>(b)</w:t>
      </w:r>
      <w:r>
        <w:tab/>
        <w:t>the mechanism for dealing with alleged breaches of those requirements.</w:t>
      </w:r>
    </w:p>
    <w:p w14:paraId="76DA6045" w14:textId="77777777" w:rsidR="00FF1058" w:rsidRDefault="00FF1058" w:rsidP="00FF1058">
      <w:pPr>
        <w:pStyle w:val="NoSpacing"/>
      </w:pPr>
    </w:p>
    <w:p w14:paraId="32AC2A28"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39" w:name="_Toc63158191"/>
      <w:bookmarkStart w:id="40" w:name="_Toc63929233"/>
      <w:r w:rsidRPr="00540001">
        <w:rPr>
          <w:rStyle w:val="CharSClsNo"/>
          <w:rFonts w:ascii="Times New Roman" w:hAnsi="Times New Roman" w:cs="Times New Roman"/>
          <w:szCs w:val="22"/>
        </w:rPr>
        <w:t>8.</w:t>
      </w:r>
      <w:r w:rsidRPr="00540001">
        <w:rPr>
          <w:rStyle w:val="CharSClsNo"/>
          <w:rFonts w:ascii="Times New Roman" w:hAnsi="Times New Roman" w:cs="Times New Roman"/>
          <w:szCs w:val="22"/>
        </w:rPr>
        <w:tab/>
        <w:t>Personal integrity</w:t>
      </w:r>
      <w:bookmarkEnd w:id="39"/>
      <w:bookmarkEnd w:id="40"/>
    </w:p>
    <w:p w14:paraId="11DA1A60" w14:textId="77777777" w:rsidR="00FF1058" w:rsidRDefault="00FF1058" w:rsidP="00D52769">
      <w:pPr>
        <w:pStyle w:val="ySubsection"/>
        <w:spacing w:before="120"/>
      </w:pPr>
      <w:r>
        <w:tab/>
        <w:t>(1)</w:t>
      </w:r>
      <w:r>
        <w:tab/>
        <w:t xml:space="preserve">A council member, committee member or candidate — </w:t>
      </w:r>
    </w:p>
    <w:p w14:paraId="7732802E" w14:textId="77777777" w:rsidR="00FF1058" w:rsidRDefault="00FF1058" w:rsidP="00FF1058">
      <w:pPr>
        <w:pStyle w:val="yIndenta"/>
      </w:pPr>
      <w:r>
        <w:tab/>
        <w:t>(a)</w:t>
      </w:r>
      <w:r>
        <w:tab/>
        <w:t>must ensure that their use of social media and other forms of communication complies with this code; and</w:t>
      </w:r>
    </w:p>
    <w:p w14:paraId="676C6476" w14:textId="77777777" w:rsidR="00FF1058" w:rsidRDefault="00FF1058" w:rsidP="00FF1058">
      <w:pPr>
        <w:pStyle w:val="yIndenta"/>
      </w:pPr>
      <w:r>
        <w:tab/>
        <w:t>(b)</w:t>
      </w:r>
      <w:r>
        <w:tab/>
        <w:t>must only publish material that is factually correct.</w:t>
      </w:r>
    </w:p>
    <w:p w14:paraId="4456F788" w14:textId="77777777" w:rsidR="00FF1058" w:rsidRDefault="00FF1058" w:rsidP="00FF1058">
      <w:pPr>
        <w:pStyle w:val="ySubsection"/>
      </w:pPr>
      <w:r>
        <w:tab/>
        <w:t>(2)</w:t>
      </w:r>
      <w:r>
        <w:tab/>
        <w:t xml:space="preserve">A council member or committee member — </w:t>
      </w:r>
    </w:p>
    <w:p w14:paraId="5762EF20" w14:textId="77777777" w:rsidR="00FF1058" w:rsidRDefault="00FF1058" w:rsidP="00FF1058">
      <w:pPr>
        <w:pStyle w:val="yIndenta"/>
      </w:pPr>
      <w:r>
        <w:tab/>
        <w:t>(a)</w:t>
      </w:r>
      <w:r>
        <w:tab/>
        <w:t>must not be impaired by alcohol or drugs in the performance of their official duties; and</w:t>
      </w:r>
    </w:p>
    <w:p w14:paraId="097C8CD9" w14:textId="77777777" w:rsidR="00FF1058" w:rsidRDefault="00FF1058" w:rsidP="00FF1058">
      <w:pPr>
        <w:pStyle w:val="yIndenta"/>
      </w:pPr>
      <w:r>
        <w:tab/>
        <w:t>(b)</w:t>
      </w:r>
      <w:r>
        <w:tab/>
        <w:t>must comply with all policies, procedures and resolutions of the local government.</w:t>
      </w:r>
    </w:p>
    <w:p w14:paraId="0A341BBB" w14:textId="77777777" w:rsidR="00FF1058" w:rsidRDefault="00FF1058" w:rsidP="00FF1058">
      <w:pPr>
        <w:pStyle w:val="NoSpacing"/>
      </w:pPr>
    </w:p>
    <w:p w14:paraId="0C187F92" w14:textId="77777777" w:rsidR="00FF1058" w:rsidRPr="001958E4" w:rsidRDefault="00FF1058" w:rsidP="00D52769">
      <w:pPr>
        <w:pStyle w:val="Heading2"/>
        <w:tabs>
          <w:tab w:val="left" w:pos="709"/>
        </w:tabs>
        <w:spacing w:before="40"/>
        <w:rPr>
          <w:rStyle w:val="CharSClsNo"/>
          <w:rFonts w:ascii="Times New Roman" w:hAnsi="Times New Roman" w:cs="Times New Roman"/>
          <w:b w:val="0"/>
          <w:bCs w:val="0"/>
          <w:sz w:val="24"/>
          <w:szCs w:val="24"/>
        </w:rPr>
      </w:pPr>
      <w:bookmarkStart w:id="41" w:name="_Toc63158192"/>
      <w:bookmarkStart w:id="42" w:name="_Toc63929234"/>
      <w:r w:rsidRPr="00540001">
        <w:rPr>
          <w:rStyle w:val="CharSClsNo"/>
          <w:rFonts w:ascii="Times New Roman" w:hAnsi="Times New Roman" w:cs="Times New Roman"/>
          <w:szCs w:val="22"/>
        </w:rPr>
        <w:t>9.</w:t>
      </w:r>
      <w:r w:rsidRPr="00540001">
        <w:rPr>
          <w:rStyle w:val="CharSClsNo"/>
          <w:rFonts w:ascii="Times New Roman" w:hAnsi="Times New Roman" w:cs="Times New Roman"/>
          <w:szCs w:val="22"/>
        </w:rPr>
        <w:tab/>
        <w:t>Relationship with others</w:t>
      </w:r>
      <w:bookmarkEnd w:id="41"/>
      <w:bookmarkEnd w:id="42"/>
    </w:p>
    <w:p w14:paraId="22E2C514" w14:textId="77777777" w:rsidR="00FF1058" w:rsidRDefault="00FF1058" w:rsidP="00D52769">
      <w:pPr>
        <w:pStyle w:val="ySubsection"/>
        <w:spacing w:before="120"/>
      </w:pPr>
      <w:r>
        <w:tab/>
      </w:r>
      <w:r>
        <w:tab/>
        <w:t xml:space="preserve">A council member, committee member or candidate — </w:t>
      </w:r>
    </w:p>
    <w:p w14:paraId="70AF5D37" w14:textId="77777777" w:rsidR="00FF1058" w:rsidRDefault="00FF1058" w:rsidP="00FF1058">
      <w:pPr>
        <w:pStyle w:val="yIndenta"/>
      </w:pPr>
      <w:r>
        <w:tab/>
        <w:t>(a)</w:t>
      </w:r>
      <w:r>
        <w:tab/>
        <w:t>must not bully or harass another person in any way; and</w:t>
      </w:r>
    </w:p>
    <w:p w14:paraId="1297F5BA" w14:textId="77777777" w:rsidR="00FF1058" w:rsidRDefault="00FF1058" w:rsidP="00FF1058">
      <w:pPr>
        <w:pStyle w:val="yIndenta"/>
      </w:pPr>
      <w:r>
        <w:tab/>
        <w:t>(b)</w:t>
      </w:r>
      <w:r>
        <w:tab/>
        <w:t>must deal with the media in a positive and appropriate manner and in accordance with any relevant policy of the local government; and</w:t>
      </w:r>
    </w:p>
    <w:p w14:paraId="6ABAA607" w14:textId="77777777" w:rsidR="00FF1058" w:rsidRDefault="00FF1058" w:rsidP="00FF1058">
      <w:pPr>
        <w:pStyle w:val="yIndenta"/>
      </w:pPr>
      <w:r>
        <w:tab/>
        <w:t>(c)</w:t>
      </w:r>
      <w:r>
        <w:tab/>
        <w:t>must not use offensive or derogatory language when referring to another person; and</w:t>
      </w:r>
    </w:p>
    <w:p w14:paraId="158042FF" w14:textId="77777777" w:rsidR="00FF1058" w:rsidRDefault="00FF1058" w:rsidP="00FF1058">
      <w:pPr>
        <w:pStyle w:val="yIndenta"/>
      </w:pPr>
      <w:r>
        <w:tab/>
        <w:t>(d)</w:t>
      </w:r>
      <w:r>
        <w:tab/>
        <w:t>must not disparage the character of another council member, committee member or candidate or a local government employee in connection with the performance of their official duties; and</w:t>
      </w:r>
    </w:p>
    <w:p w14:paraId="7496EC0D" w14:textId="77777777" w:rsidR="00FF1058" w:rsidRDefault="00FF1058" w:rsidP="00FF1058">
      <w:pPr>
        <w:pStyle w:val="yIndenta"/>
      </w:pPr>
      <w:r>
        <w:tab/>
        <w:t>(e)</w:t>
      </w:r>
      <w:r>
        <w:tab/>
        <w:t>must not impute dishonest or unethical motives to another council member, committee member or candidate or a local government employee in connection with the performance of their official duties.</w:t>
      </w:r>
    </w:p>
    <w:p w14:paraId="5CEAB07F" w14:textId="77777777" w:rsidR="00FF1058" w:rsidRDefault="00FF1058" w:rsidP="00FF1058">
      <w:pPr>
        <w:pStyle w:val="NoSpacing"/>
      </w:pPr>
    </w:p>
    <w:p w14:paraId="3281E90E"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43" w:name="_Toc63158193"/>
      <w:bookmarkStart w:id="44" w:name="_Toc63929235"/>
      <w:r w:rsidRPr="00540001">
        <w:rPr>
          <w:rStyle w:val="CharSClsNo"/>
          <w:rFonts w:ascii="Times New Roman" w:hAnsi="Times New Roman" w:cs="Times New Roman"/>
          <w:szCs w:val="22"/>
        </w:rPr>
        <w:t>10.</w:t>
      </w:r>
      <w:r w:rsidRPr="00540001">
        <w:rPr>
          <w:rStyle w:val="CharSClsNo"/>
          <w:rFonts w:ascii="Times New Roman" w:hAnsi="Times New Roman" w:cs="Times New Roman"/>
          <w:szCs w:val="22"/>
        </w:rPr>
        <w:tab/>
        <w:t>Council or committee meetings</w:t>
      </w:r>
      <w:bookmarkEnd w:id="43"/>
      <w:bookmarkEnd w:id="44"/>
    </w:p>
    <w:p w14:paraId="3CD68DA9" w14:textId="77777777" w:rsidR="00FF1058" w:rsidRDefault="00FF1058" w:rsidP="00FF1058">
      <w:pPr>
        <w:pStyle w:val="ySubsection"/>
      </w:pPr>
      <w:r>
        <w:tab/>
      </w:r>
      <w:r>
        <w:tab/>
        <w:t xml:space="preserve">When attending a council or committee meeting, a council member, committee member or candidate — </w:t>
      </w:r>
    </w:p>
    <w:p w14:paraId="0E05627E" w14:textId="77777777" w:rsidR="00FF1058" w:rsidRDefault="00FF1058" w:rsidP="00FF1058">
      <w:pPr>
        <w:pStyle w:val="yIndenta"/>
      </w:pPr>
      <w:r>
        <w:rPr>
          <w:sz w:val="24"/>
        </w:rPr>
        <w:lastRenderedPageBreak/>
        <w:tab/>
        <w:t>(a)</w:t>
      </w:r>
      <w:r>
        <w:rPr>
          <w:sz w:val="24"/>
        </w:rPr>
        <w:tab/>
      </w:r>
      <w:r>
        <w:t>must not act in an abusive or threatening manner towards another person; and</w:t>
      </w:r>
    </w:p>
    <w:p w14:paraId="7FA023EE" w14:textId="77777777" w:rsidR="00FF1058" w:rsidRDefault="00FF1058" w:rsidP="00FF1058">
      <w:pPr>
        <w:pStyle w:val="yIndenta"/>
      </w:pPr>
      <w:r>
        <w:tab/>
        <w:t>(b)</w:t>
      </w:r>
      <w:r>
        <w:tab/>
        <w:t>must not make a statement that the member or candidate knows, or could reasonably be expected to know, is false or misleading; and</w:t>
      </w:r>
    </w:p>
    <w:p w14:paraId="3D8F6F73" w14:textId="77777777" w:rsidR="00FF1058" w:rsidRDefault="00FF1058" w:rsidP="00FF1058">
      <w:pPr>
        <w:pStyle w:val="yIndenta"/>
      </w:pPr>
      <w:r>
        <w:tab/>
        <w:t>(c)</w:t>
      </w:r>
      <w:r>
        <w:tab/>
        <w:t>must not repeatedly disrupt the meeting; and</w:t>
      </w:r>
    </w:p>
    <w:p w14:paraId="42B370B5" w14:textId="77777777" w:rsidR="00FF1058" w:rsidRDefault="00FF1058" w:rsidP="00FF1058">
      <w:pPr>
        <w:pStyle w:val="yIndenta"/>
      </w:pPr>
      <w:r>
        <w:tab/>
        <w:t>(d)</w:t>
      </w:r>
      <w:r>
        <w:tab/>
        <w:t>must comply with any requirements of a local law of the local government relating to the procedures and conduct of council or committee meetings; and</w:t>
      </w:r>
    </w:p>
    <w:p w14:paraId="78F7B91A" w14:textId="77777777" w:rsidR="00FF1058" w:rsidRDefault="00FF1058" w:rsidP="00FF1058">
      <w:pPr>
        <w:pStyle w:val="yIndenta"/>
      </w:pPr>
      <w:r>
        <w:tab/>
        <w:t>(e)</w:t>
      </w:r>
      <w:r>
        <w:tab/>
        <w:t>must comply with any direction given by the person presiding at the meeting; and</w:t>
      </w:r>
    </w:p>
    <w:p w14:paraId="5285031F" w14:textId="77777777" w:rsidR="00FF1058" w:rsidRDefault="00FF1058" w:rsidP="00FF1058">
      <w:pPr>
        <w:pStyle w:val="yIndenta"/>
      </w:pPr>
      <w:r>
        <w:tab/>
        <w:t>(f)</w:t>
      </w:r>
      <w:r>
        <w:tab/>
        <w:t>must immediately cease to engage in any conduct that has been ruled out of order by the person presiding at the meeting.</w:t>
      </w:r>
    </w:p>
    <w:p w14:paraId="53D58CA9" w14:textId="77777777" w:rsidR="00FF1058" w:rsidRDefault="00FF1058" w:rsidP="00FF1058">
      <w:pPr>
        <w:pStyle w:val="NoSpacing"/>
      </w:pPr>
    </w:p>
    <w:p w14:paraId="4282056A"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45" w:name="_Toc63158194"/>
      <w:bookmarkStart w:id="46" w:name="_Toc63929236"/>
      <w:bookmarkStart w:id="47" w:name="_Hlk63926304"/>
      <w:r w:rsidRPr="00540001">
        <w:rPr>
          <w:rStyle w:val="CharSClsNo"/>
          <w:rFonts w:ascii="Times New Roman" w:hAnsi="Times New Roman" w:cs="Times New Roman"/>
          <w:szCs w:val="22"/>
        </w:rPr>
        <w:t>11.</w:t>
      </w:r>
      <w:r w:rsidRPr="00540001">
        <w:rPr>
          <w:rStyle w:val="CharSClsNo"/>
          <w:rFonts w:ascii="Times New Roman" w:hAnsi="Times New Roman" w:cs="Times New Roman"/>
          <w:szCs w:val="22"/>
        </w:rPr>
        <w:tab/>
        <w:t>Complaint about alleged breach</w:t>
      </w:r>
      <w:bookmarkEnd w:id="45"/>
      <w:bookmarkEnd w:id="46"/>
    </w:p>
    <w:p w14:paraId="11167B11" w14:textId="77777777" w:rsidR="00FF1058" w:rsidRDefault="00FF1058" w:rsidP="00D52769">
      <w:pPr>
        <w:pStyle w:val="ySubsection"/>
        <w:spacing w:before="120"/>
      </w:pPr>
      <w:r>
        <w:tab/>
        <w:t>(1)</w:t>
      </w:r>
      <w:r>
        <w:tab/>
        <w:t>A person may make a complaint, in accordance with subclause (2), alleging a breach of a requirement set out in this Division.</w:t>
      </w:r>
    </w:p>
    <w:p w14:paraId="267C0090" w14:textId="77777777" w:rsidR="00FF1058" w:rsidRDefault="00FF1058" w:rsidP="00FF1058">
      <w:pPr>
        <w:pStyle w:val="ySubsection"/>
      </w:pPr>
      <w:r>
        <w:tab/>
        <w:t>(2)</w:t>
      </w:r>
      <w:r>
        <w:tab/>
        <w:t xml:space="preserve">A complaint must be made — </w:t>
      </w:r>
    </w:p>
    <w:p w14:paraId="7E2E4F6D" w14:textId="77777777" w:rsidR="00FF1058" w:rsidRDefault="00FF1058" w:rsidP="00FF1058">
      <w:pPr>
        <w:pStyle w:val="yIndenta"/>
      </w:pPr>
      <w:r>
        <w:tab/>
        <w:t>(a)</w:t>
      </w:r>
      <w:r>
        <w:tab/>
        <w:t>in writing in the form approved by the local government; and</w:t>
      </w:r>
    </w:p>
    <w:p w14:paraId="51AA14DD" w14:textId="77777777" w:rsidR="00FF1058" w:rsidRDefault="00FF1058" w:rsidP="00FF1058">
      <w:pPr>
        <w:pStyle w:val="yIndenta"/>
      </w:pPr>
      <w:r>
        <w:tab/>
        <w:t>(b)</w:t>
      </w:r>
      <w:r>
        <w:tab/>
        <w:t>to a person authorised under subclause (3); and</w:t>
      </w:r>
    </w:p>
    <w:p w14:paraId="04EF3D54" w14:textId="77777777" w:rsidR="00FF1058" w:rsidRDefault="00FF1058" w:rsidP="00FF1058">
      <w:pPr>
        <w:pStyle w:val="yIndenta"/>
      </w:pPr>
      <w:r>
        <w:tab/>
        <w:t>(c)</w:t>
      </w:r>
      <w:r>
        <w:tab/>
        <w:t>within 1 month after the occurrence of the alleged breach.</w:t>
      </w:r>
    </w:p>
    <w:p w14:paraId="6910673A" w14:textId="77777777" w:rsidR="00FF1058" w:rsidRDefault="00FF1058" w:rsidP="00FF1058">
      <w:pPr>
        <w:pStyle w:val="ySubsection"/>
      </w:pPr>
      <w:r>
        <w:tab/>
        <w:t>(3)</w:t>
      </w:r>
      <w:r>
        <w:tab/>
        <w:t>The local government must, in writing, authorise 1 or more persons to receive complaints and withdrawals of complaints.</w:t>
      </w:r>
    </w:p>
    <w:p w14:paraId="35550040" w14:textId="77777777" w:rsidR="00FF1058" w:rsidRDefault="00FF1058" w:rsidP="00FF1058">
      <w:pPr>
        <w:pStyle w:val="NoSpacing"/>
      </w:pPr>
    </w:p>
    <w:p w14:paraId="18F76B79"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48" w:name="_Toc63158195"/>
      <w:bookmarkStart w:id="49" w:name="_Toc63929237"/>
      <w:bookmarkStart w:id="50" w:name="_Hlk63926385"/>
      <w:bookmarkEnd w:id="47"/>
      <w:r w:rsidRPr="00540001">
        <w:rPr>
          <w:rStyle w:val="CharSClsNo"/>
          <w:rFonts w:ascii="Times New Roman" w:hAnsi="Times New Roman" w:cs="Times New Roman"/>
          <w:szCs w:val="22"/>
        </w:rPr>
        <w:t>12.</w:t>
      </w:r>
      <w:r w:rsidRPr="00540001">
        <w:rPr>
          <w:rStyle w:val="CharSClsNo"/>
          <w:rFonts w:ascii="Times New Roman" w:hAnsi="Times New Roman" w:cs="Times New Roman"/>
          <w:szCs w:val="22"/>
        </w:rPr>
        <w:tab/>
        <w:t>Dealing with complaint</w:t>
      </w:r>
      <w:bookmarkEnd w:id="48"/>
      <w:bookmarkEnd w:id="49"/>
    </w:p>
    <w:p w14:paraId="66E2BABA" w14:textId="77777777" w:rsidR="00FF1058" w:rsidRDefault="00FF1058" w:rsidP="00D52769">
      <w:pPr>
        <w:pStyle w:val="ySubsection"/>
        <w:spacing w:before="120"/>
      </w:pPr>
      <w:r>
        <w:tab/>
        <w:t>(1)</w:t>
      </w:r>
      <w:r>
        <w:tab/>
        <w:t>After considering a complaint, the local government must, unless it dismisses the complaint under clause 13 or the complaint is withdrawn under clause 14(1), make a finding as to whether the alleged breach the subject of the complaint has occurred.</w:t>
      </w:r>
    </w:p>
    <w:bookmarkEnd w:id="50"/>
    <w:p w14:paraId="23224D23" w14:textId="77777777" w:rsidR="00FF1058" w:rsidRDefault="00FF1058" w:rsidP="00FF1058">
      <w:pPr>
        <w:pStyle w:val="ySubsection"/>
      </w:pPr>
      <w:r>
        <w:tab/>
        <w:t>(2)</w:t>
      </w:r>
      <w:r>
        <w:tab/>
        <w:t>Before making a finding in relation to the complaint, the local government must give the person to whom the complaint relates a reasonable opportunity to be heard.</w:t>
      </w:r>
    </w:p>
    <w:p w14:paraId="75F5E9D7" w14:textId="77777777" w:rsidR="00FF1058" w:rsidRDefault="00FF1058" w:rsidP="00FF1058">
      <w:pPr>
        <w:pStyle w:val="ySubsection"/>
      </w:pPr>
      <w:r>
        <w:tab/>
        <w:t>(3)</w:t>
      </w:r>
      <w:r>
        <w:tab/>
        <w:t>A finding that the alleged breach has occurred must be based on evidence from which it may be concluded that it is more likely that the breach occurred than that it did not occur.</w:t>
      </w:r>
    </w:p>
    <w:p w14:paraId="7618CACC" w14:textId="77777777" w:rsidR="00FF1058" w:rsidRDefault="00FF1058" w:rsidP="00FF1058">
      <w:pPr>
        <w:pStyle w:val="ySubsection"/>
      </w:pPr>
      <w:r>
        <w:tab/>
        <w:t>(4)</w:t>
      </w:r>
      <w:r>
        <w:tab/>
        <w:t xml:space="preserve">If the local government makes a finding that the alleged breach has occurred, the local government may — </w:t>
      </w:r>
    </w:p>
    <w:p w14:paraId="3028F151" w14:textId="77777777" w:rsidR="00FF1058" w:rsidRDefault="00FF1058" w:rsidP="00FF1058">
      <w:pPr>
        <w:pStyle w:val="yIndenta"/>
      </w:pPr>
      <w:r>
        <w:tab/>
        <w:t>(a)</w:t>
      </w:r>
      <w:r>
        <w:tab/>
        <w:t>take no further action; or</w:t>
      </w:r>
    </w:p>
    <w:p w14:paraId="2DBE77FC" w14:textId="77777777" w:rsidR="00FF1058" w:rsidRDefault="00FF1058" w:rsidP="00FF1058">
      <w:pPr>
        <w:pStyle w:val="yIndenta"/>
      </w:pPr>
      <w:r>
        <w:tab/>
        <w:t>(b)</w:t>
      </w:r>
      <w:r>
        <w:tab/>
        <w:t>prepare and implement a plan to address the behaviour of the person to whom the complaint relates.</w:t>
      </w:r>
    </w:p>
    <w:p w14:paraId="7F0DC3ED" w14:textId="77777777" w:rsidR="00FF1058" w:rsidRDefault="00FF1058" w:rsidP="00FF1058">
      <w:pPr>
        <w:pStyle w:val="ySubsection"/>
      </w:pPr>
      <w:r>
        <w:tab/>
        <w:t>(5)</w:t>
      </w:r>
      <w:r>
        <w:tab/>
        <w:t>When preparing a plan under subclause (4)(b), the local government must consult with the person to whom the complaint relates.</w:t>
      </w:r>
    </w:p>
    <w:p w14:paraId="4E2262F1" w14:textId="77777777" w:rsidR="00FF1058" w:rsidRDefault="00FF1058" w:rsidP="00FF1058">
      <w:pPr>
        <w:pStyle w:val="ySubsection"/>
      </w:pPr>
      <w:r>
        <w:tab/>
        <w:t>(6)</w:t>
      </w:r>
      <w:r>
        <w:tab/>
        <w:t xml:space="preserve">A plan under subclause (4)(b) may include a requirement for the person to whom the complaint relates to do 1 or more of the following — </w:t>
      </w:r>
    </w:p>
    <w:p w14:paraId="183A9D88" w14:textId="77777777" w:rsidR="00FF1058" w:rsidRDefault="00FF1058" w:rsidP="00FF1058">
      <w:pPr>
        <w:pStyle w:val="yIndenta"/>
      </w:pPr>
      <w:r>
        <w:tab/>
        <w:t>(a)</w:t>
      </w:r>
      <w:r>
        <w:tab/>
        <w:t xml:space="preserve">engage in </w:t>
      </w:r>
      <w:proofErr w:type="gramStart"/>
      <w:r>
        <w:t>mediation;</w:t>
      </w:r>
      <w:proofErr w:type="gramEnd"/>
    </w:p>
    <w:p w14:paraId="1BBA260D" w14:textId="77777777" w:rsidR="00FF1058" w:rsidRDefault="00FF1058" w:rsidP="00FF1058">
      <w:pPr>
        <w:pStyle w:val="yIndenta"/>
      </w:pPr>
      <w:r>
        <w:tab/>
        <w:t>(b)</w:t>
      </w:r>
      <w:r>
        <w:tab/>
        <w:t xml:space="preserve">undertake </w:t>
      </w:r>
      <w:proofErr w:type="gramStart"/>
      <w:r>
        <w:t>counselling;</w:t>
      </w:r>
      <w:proofErr w:type="gramEnd"/>
    </w:p>
    <w:p w14:paraId="4F528AAD" w14:textId="77777777" w:rsidR="00FF1058" w:rsidRDefault="00FF1058" w:rsidP="00FF1058">
      <w:pPr>
        <w:pStyle w:val="yIndenta"/>
      </w:pPr>
      <w:r>
        <w:tab/>
        <w:t>(c)</w:t>
      </w:r>
      <w:r>
        <w:tab/>
        <w:t xml:space="preserve">undertake </w:t>
      </w:r>
      <w:proofErr w:type="gramStart"/>
      <w:r>
        <w:t>training;</w:t>
      </w:r>
      <w:proofErr w:type="gramEnd"/>
    </w:p>
    <w:p w14:paraId="2C9EF367" w14:textId="77777777" w:rsidR="00FF1058" w:rsidRDefault="00FF1058" w:rsidP="00FF1058">
      <w:pPr>
        <w:pStyle w:val="yIndenta"/>
      </w:pPr>
      <w:r>
        <w:tab/>
        <w:t>(d)</w:t>
      </w:r>
      <w:r>
        <w:tab/>
        <w:t>take other action the local government considers appropriate.</w:t>
      </w:r>
    </w:p>
    <w:p w14:paraId="68EC871D" w14:textId="77777777" w:rsidR="00FF1058" w:rsidRDefault="00FF1058" w:rsidP="00FF1058">
      <w:pPr>
        <w:pStyle w:val="ySubsection"/>
      </w:pPr>
      <w:r>
        <w:tab/>
        <w:t>(7)</w:t>
      </w:r>
      <w:r>
        <w:tab/>
        <w:t xml:space="preserve">If the local government makes a finding in relation to the complaint, the local government must give the complainant, and the person to whom the complaint relates, written notice of — </w:t>
      </w:r>
    </w:p>
    <w:p w14:paraId="5508556D" w14:textId="77777777" w:rsidR="00FF1058" w:rsidRDefault="00FF1058" w:rsidP="00FF1058">
      <w:pPr>
        <w:pStyle w:val="yIndenta"/>
      </w:pPr>
      <w:r>
        <w:tab/>
        <w:t>(a)</w:t>
      </w:r>
      <w:r>
        <w:tab/>
        <w:t>its finding and the reasons for its finding; and</w:t>
      </w:r>
    </w:p>
    <w:p w14:paraId="3BC21409" w14:textId="77777777" w:rsidR="00FF1058" w:rsidRDefault="00FF1058" w:rsidP="00FF1058">
      <w:pPr>
        <w:pStyle w:val="yIndenta"/>
      </w:pPr>
      <w:r>
        <w:lastRenderedPageBreak/>
        <w:tab/>
        <w:t>(b)</w:t>
      </w:r>
      <w:r>
        <w:tab/>
        <w:t>if its finding is that the alleged breach has occurred — its decision under subclause (4).</w:t>
      </w:r>
    </w:p>
    <w:p w14:paraId="1F876427" w14:textId="77777777" w:rsidR="00FF1058" w:rsidRDefault="00FF1058" w:rsidP="00FF1058">
      <w:pPr>
        <w:pStyle w:val="NoSpacing"/>
      </w:pPr>
    </w:p>
    <w:p w14:paraId="2819FF91"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51" w:name="_Toc63158196"/>
      <w:bookmarkStart w:id="52" w:name="_Toc63929238"/>
      <w:r w:rsidRPr="00540001">
        <w:rPr>
          <w:rStyle w:val="CharSClsNo"/>
          <w:rFonts w:ascii="Times New Roman" w:hAnsi="Times New Roman" w:cs="Times New Roman"/>
          <w:szCs w:val="22"/>
        </w:rPr>
        <w:t>13.</w:t>
      </w:r>
      <w:r w:rsidRPr="00540001">
        <w:rPr>
          <w:rStyle w:val="CharSClsNo"/>
          <w:rFonts w:ascii="Times New Roman" w:hAnsi="Times New Roman" w:cs="Times New Roman"/>
          <w:szCs w:val="22"/>
        </w:rPr>
        <w:tab/>
        <w:t>Dismissal of complaint</w:t>
      </w:r>
      <w:bookmarkEnd w:id="51"/>
      <w:bookmarkEnd w:id="52"/>
    </w:p>
    <w:p w14:paraId="086E1786" w14:textId="77777777" w:rsidR="00FF1058" w:rsidRDefault="00FF1058" w:rsidP="00FF1058">
      <w:pPr>
        <w:pStyle w:val="ySubsection"/>
        <w:keepNext/>
        <w:keepLines/>
      </w:pPr>
      <w:r>
        <w:tab/>
        <w:t>(1)</w:t>
      </w:r>
      <w:r>
        <w:tab/>
        <w:t xml:space="preserve">The local government must dismiss a complaint if it is satisfied that — </w:t>
      </w:r>
    </w:p>
    <w:p w14:paraId="02892BDA" w14:textId="77777777" w:rsidR="00FF1058" w:rsidRDefault="00FF1058" w:rsidP="00FF1058">
      <w:pPr>
        <w:pStyle w:val="yIndenta"/>
        <w:keepNext/>
        <w:keepLines/>
      </w:pPr>
      <w:r>
        <w:tab/>
        <w:t>(a)</w:t>
      </w:r>
      <w:r>
        <w:tab/>
        <w:t>the behaviour to which the complaint relates occurred at a council or committee meeting; and</w:t>
      </w:r>
    </w:p>
    <w:p w14:paraId="6363F833" w14:textId="77777777" w:rsidR="00FF1058" w:rsidRDefault="00FF1058" w:rsidP="00FF1058">
      <w:pPr>
        <w:pStyle w:val="yIndenta"/>
        <w:keepNext/>
        <w:keepLines/>
      </w:pPr>
      <w:r>
        <w:tab/>
        <w:t>(b)</w:t>
      </w:r>
      <w:r>
        <w:tab/>
        <w:t xml:space="preserve">either — </w:t>
      </w:r>
    </w:p>
    <w:p w14:paraId="0D35AA9A" w14:textId="77777777" w:rsidR="00FF1058" w:rsidRDefault="00FF1058" w:rsidP="00FF1058">
      <w:pPr>
        <w:pStyle w:val="yIndenti"/>
        <w:keepNext/>
        <w:keepLines/>
      </w:pPr>
      <w:r>
        <w:tab/>
        <w:t>(</w:t>
      </w:r>
      <w:proofErr w:type="spellStart"/>
      <w:r>
        <w:t>i</w:t>
      </w:r>
      <w:proofErr w:type="spellEnd"/>
      <w:r>
        <w:t>)</w:t>
      </w:r>
      <w:r>
        <w:tab/>
        <w:t>the behaviour was dealt with by the person presiding at the meeting; or</w:t>
      </w:r>
    </w:p>
    <w:p w14:paraId="5EDE99E7" w14:textId="77777777" w:rsidR="00FF1058" w:rsidRDefault="00FF1058" w:rsidP="00FF1058">
      <w:pPr>
        <w:pStyle w:val="yIndenti"/>
        <w:keepNext/>
        <w:keepLines/>
      </w:pPr>
      <w:r>
        <w:tab/>
        <w:t>(ii)</w:t>
      </w:r>
      <w:r>
        <w:tab/>
        <w:t>the person responsible for the behaviour has taken remedial action in accordance with a local law of the local government that deals with meeting procedures.</w:t>
      </w:r>
    </w:p>
    <w:p w14:paraId="1CC32975" w14:textId="77777777" w:rsidR="00FF1058" w:rsidRDefault="00FF1058" w:rsidP="00FF1058">
      <w:pPr>
        <w:pStyle w:val="ySubsection"/>
        <w:keepNext/>
        <w:keepLines/>
      </w:pPr>
      <w:r>
        <w:tab/>
        <w:t>(2)</w:t>
      </w:r>
      <w:r>
        <w:tab/>
        <w:t>If the local government dismisses a complaint, the local government must give the complainant, and the person to whom the complaint relates, written notice of its decision and the reasons for its decision.</w:t>
      </w:r>
    </w:p>
    <w:p w14:paraId="061A2E9F" w14:textId="77777777" w:rsidR="00FF1058" w:rsidRDefault="00FF1058" w:rsidP="00FF1058">
      <w:pPr>
        <w:pStyle w:val="NoSpacing"/>
      </w:pPr>
    </w:p>
    <w:p w14:paraId="357B3752"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53" w:name="_Toc63158197"/>
      <w:bookmarkStart w:id="54" w:name="_Toc63929239"/>
      <w:r w:rsidRPr="00540001">
        <w:rPr>
          <w:rStyle w:val="CharSClsNo"/>
          <w:rFonts w:ascii="Times New Roman" w:hAnsi="Times New Roman" w:cs="Times New Roman"/>
          <w:szCs w:val="22"/>
        </w:rPr>
        <w:t>14.</w:t>
      </w:r>
      <w:r w:rsidRPr="00540001">
        <w:rPr>
          <w:rStyle w:val="CharSClsNo"/>
          <w:rFonts w:ascii="Times New Roman" w:hAnsi="Times New Roman" w:cs="Times New Roman"/>
          <w:szCs w:val="22"/>
        </w:rPr>
        <w:tab/>
        <w:t>Withdrawal of complaint</w:t>
      </w:r>
      <w:bookmarkEnd w:id="53"/>
      <w:bookmarkEnd w:id="54"/>
    </w:p>
    <w:p w14:paraId="5306090C" w14:textId="77777777" w:rsidR="00FF1058" w:rsidRDefault="00FF1058" w:rsidP="00FF1058">
      <w:pPr>
        <w:pStyle w:val="ySubsection"/>
      </w:pPr>
      <w:r>
        <w:tab/>
        <w:t>(1)</w:t>
      </w:r>
      <w:r>
        <w:tab/>
        <w:t>A complainant may withdraw their complaint at any time before the local government makes a finding in relation to the complaint.</w:t>
      </w:r>
    </w:p>
    <w:p w14:paraId="2995FD68" w14:textId="77777777" w:rsidR="00FF1058" w:rsidRDefault="00FF1058" w:rsidP="00FF1058">
      <w:pPr>
        <w:pStyle w:val="ySubsection"/>
      </w:pPr>
      <w:r>
        <w:tab/>
        <w:t>(2)</w:t>
      </w:r>
      <w:r>
        <w:tab/>
        <w:t xml:space="preserve">The withdrawal of a complaint must be — </w:t>
      </w:r>
    </w:p>
    <w:p w14:paraId="7A2755C5" w14:textId="77777777" w:rsidR="00FF1058" w:rsidRDefault="00FF1058" w:rsidP="00FF1058">
      <w:pPr>
        <w:pStyle w:val="yIndenta"/>
      </w:pPr>
      <w:r>
        <w:tab/>
        <w:t>(a)</w:t>
      </w:r>
      <w:r>
        <w:tab/>
        <w:t>in writing; and</w:t>
      </w:r>
    </w:p>
    <w:p w14:paraId="52126259" w14:textId="77777777" w:rsidR="00FF1058" w:rsidRDefault="00FF1058" w:rsidP="00FF1058">
      <w:pPr>
        <w:pStyle w:val="yIndenta"/>
      </w:pPr>
      <w:r>
        <w:tab/>
        <w:t>(b)</w:t>
      </w:r>
      <w:r>
        <w:tab/>
        <w:t>given to a person authorised under clause 11(3).</w:t>
      </w:r>
    </w:p>
    <w:p w14:paraId="2653CCDF" w14:textId="77777777" w:rsidR="00FF1058" w:rsidRDefault="00FF1058" w:rsidP="00FF1058">
      <w:pPr>
        <w:pStyle w:val="NoSpacing"/>
      </w:pPr>
    </w:p>
    <w:p w14:paraId="77E746FF"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55" w:name="_Toc63158198"/>
      <w:bookmarkStart w:id="56" w:name="_Toc63929240"/>
      <w:r w:rsidRPr="00540001">
        <w:rPr>
          <w:rStyle w:val="CharSClsNo"/>
          <w:rFonts w:ascii="Times New Roman" w:hAnsi="Times New Roman" w:cs="Times New Roman"/>
          <w:szCs w:val="22"/>
        </w:rPr>
        <w:t>15.</w:t>
      </w:r>
      <w:r w:rsidRPr="00540001">
        <w:rPr>
          <w:rStyle w:val="CharSClsNo"/>
          <w:rFonts w:ascii="Times New Roman" w:hAnsi="Times New Roman" w:cs="Times New Roman"/>
          <w:szCs w:val="22"/>
        </w:rPr>
        <w:tab/>
        <w:t>Other provisions about complaints</w:t>
      </w:r>
      <w:bookmarkEnd w:id="55"/>
      <w:bookmarkEnd w:id="56"/>
    </w:p>
    <w:p w14:paraId="7E9BA97B" w14:textId="77777777" w:rsidR="00FF1058" w:rsidRDefault="00FF1058" w:rsidP="00FF1058">
      <w:pPr>
        <w:pStyle w:val="ySubsection"/>
      </w:pPr>
      <w:r>
        <w:tab/>
        <w:t>(1)</w:t>
      </w:r>
      <w:r>
        <w:tab/>
        <w:t>A complaint about an alleged breach by a candidate cannot be dealt with by the local government unless the candidate has been elected as a council member.</w:t>
      </w:r>
    </w:p>
    <w:p w14:paraId="34C1D5D6" w14:textId="77777777" w:rsidR="00FF1058" w:rsidRDefault="00FF1058" w:rsidP="00FF1058">
      <w:pPr>
        <w:pStyle w:val="ySubsection"/>
      </w:pPr>
      <w:r>
        <w:tab/>
        <w:t>(2)</w:t>
      </w:r>
      <w:r>
        <w:tab/>
        <w:t>The procedure for dealing with complaints may be determined by the local government to the extent that it is not provided for in this Division.</w:t>
      </w:r>
    </w:p>
    <w:p w14:paraId="0B3539DA" w14:textId="77777777" w:rsidR="00FF1058" w:rsidRDefault="00FF1058" w:rsidP="00FF1058">
      <w:pPr>
        <w:pStyle w:val="yHeading3"/>
      </w:pPr>
      <w:bookmarkStart w:id="57" w:name="_Toc62726644"/>
      <w:bookmarkStart w:id="58" w:name="_Toc63158199"/>
      <w:bookmarkStart w:id="59" w:name="_Toc63929241"/>
      <w:r>
        <w:rPr>
          <w:rStyle w:val="CharSDivNo"/>
        </w:rPr>
        <w:t>Division 4</w:t>
      </w:r>
      <w:r>
        <w:t> — </w:t>
      </w:r>
      <w:r>
        <w:rPr>
          <w:rStyle w:val="CharSDivText"/>
          <w:rFonts w:eastAsiaTheme="majorEastAsia"/>
        </w:rPr>
        <w:t>Rules of conduct</w:t>
      </w:r>
      <w:bookmarkEnd w:id="57"/>
      <w:bookmarkEnd w:id="58"/>
      <w:bookmarkEnd w:id="59"/>
    </w:p>
    <w:p w14:paraId="13F92223" w14:textId="77777777" w:rsidR="00FF1058" w:rsidRDefault="00FF1058" w:rsidP="00FF1058">
      <w:pPr>
        <w:pStyle w:val="PermNoteHeading"/>
      </w:pPr>
      <w:r>
        <w:tab/>
        <w:t>Notes for this Division:</w:t>
      </w:r>
    </w:p>
    <w:p w14:paraId="579F4632" w14:textId="77777777" w:rsidR="00FF1058" w:rsidRDefault="00FF1058" w:rsidP="00FF1058">
      <w:pPr>
        <w:pStyle w:val="PermNoteText"/>
      </w:pPr>
      <w:r>
        <w:tab/>
        <w:t>1.</w:t>
      </w:r>
      <w:r>
        <w:tab/>
        <w:t>Under section 5.105(1) of the Act a council member commits a minor breach if the council member contravenes a rule of conduct. This extends to the contravention of a rule of conduct that occurred when the council member was a candidate.</w:t>
      </w:r>
    </w:p>
    <w:p w14:paraId="1454CFD2" w14:textId="77777777" w:rsidR="00FF1058" w:rsidRDefault="00FF1058" w:rsidP="00FF1058">
      <w:pPr>
        <w:pStyle w:val="PermNoteText"/>
      </w:pPr>
      <w:r>
        <w:tab/>
        <w:t>2.</w:t>
      </w:r>
      <w:r>
        <w:tab/>
        <w:t>A minor breach is dealt with by a standards panel under section 5.110 of the Act.</w:t>
      </w:r>
    </w:p>
    <w:p w14:paraId="14B57519" w14:textId="77777777" w:rsidR="00FF1058" w:rsidRDefault="00FF1058" w:rsidP="00FF1058">
      <w:pPr>
        <w:pStyle w:val="NoSpacing"/>
      </w:pPr>
    </w:p>
    <w:p w14:paraId="1059F057"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60" w:name="_Toc63158200"/>
      <w:bookmarkStart w:id="61" w:name="_Toc63929242"/>
      <w:r w:rsidRPr="00540001">
        <w:rPr>
          <w:rStyle w:val="CharSClsNo"/>
          <w:rFonts w:ascii="Times New Roman" w:hAnsi="Times New Roman" w:cs="Times New Roman"/>
          <w:szCs w:val="22"/>
        </w:rPr>
        <w:t>16.</w:t>
      </w:r>
      <w:r w:rsidRPr="00540001">
        <w:rPr>
          <w:rStyle w:val="CharSClsNo"/>
          <w:rFonts w:ascii="Times New Roman" w:hAnsi="Times New Roman" w:cs="Times New Roman"/>
          <w:szCs w:val="22"/>
        </w:rPr>
        <w:tab/>
        <w:t>Overview of Division</w:t>
      </w:r>
      <w:bookmarkEnd w:id="60"/>
      <w:bookmarkEnd w:id="61"/>
    </w:p>
    <w:p w14:paraId="6565EC2E" w14:textId="77777777" w:rsidR="00FF1058" w:rsidRDefault="00FF1058" w:rsidP="00FF1058">
      <w:pPr>
        <w:pStyle w:val="ySubsection"/>
      </w:pPr>
      <w:r>
        <w:tab/>
        <w:t>(1)</w:t>
      </w:r>
      <w:r>
        <w:tab/>
        <w:t>This Division sets out rules of conduct for council members and candidates.</w:t>
      </w:r>
    </w:p>
    <w:p w14:paraId="122291DB" w14:textId="77777777" w:rsidR="00FF1058" w:rsidRDefault="00FF1058" w:rsidP="00FF1058">
      <w:pPr>
        <w:pStyle w:val="ySubsection"/>
      </w:pPr>
      <w:r>
        <w:tab/>
        <w:t>(2)</w:t>
      </w:r>
      <w:r>
        <w:tab/>
        <w:t>A reference in this Division to a council member includes a council member when acting as a committee member.</w:t>
      </w:r>
    </w:p>
    <w:p w14:paraId="53423CAC" w14:textId="77777777" w:rsidR="00FF1058" w:rsidRDefault="00FF1058" w:rsidP="00FF1058">
      <w:pPr>
        <w:pStyle w:val="NoSpacing"/>
      </w:pPr>
    </w:p>
    <w:p w14:paraId="2F1E8294" w14:textId="77777777" w:rsidR="00FF1058" w:rsidRPr="00540001" w:rsidRDefault="00FF1058" w:rsidP="00FF1058">
      <w:pPr>
        <w:pStyle w:val="Heading2"/>
        <w:tabs>
          <w:tab w:val="left" w:pos="709"/>
        </w:tabs>
        <w:rPr>
          <w:rStyle w:val="CharSClsNo"/>
          <w:rFonts w:ascii="Times New Roman" w:hAnsi="Times New Roman" w:cs="Times New Roman"/>
          <w:b w:val="0"/>
          <w:bCs w:val="0"/>
          <w:szCs w:val="22"/>
        </w:rPr>
      </w:pPr>
      <w:bookmarkStart w:id="62" w:name="_Toc63158201"/>
      <w:bookmarkStart w:id="63" w:name="_Toc63929243"/>
      <w:r w:rsidRPr="00540001">
        <w:rPr>
          <w:rStyle w:val="CharSClsNo"/>
          <w:rFonts w:ascii="Times New Roman" w:hAnsi="Times New Roman" w:cs="Times New Roman"/>
          <w:szCs w:val="22"/>
        </w:rPr>
        <w:t>17.</w:t>
      </w:r>
      <w:r w:rsidRPr="00540001">
        <w:rPr>
          <w:rStyle w:val="CharSClsNo"/>
          <w:rFonts w:ascii="Times New Roman" w:hAnsi="Times New Roman" w:cs="Times New Roman"/>
          <w:szCs w:val="22"/>
        </w:rPr>
        <w:tab/>
        <w:t>Misuse of local government resources</w:t>
      </w:r>
      <w:bookmarkEnd w:id="62"/>
      <w:bookmarkEnd w:id="63"/>
    </w:p>
    <w:p w14:paraId="4084376A" w14:textId="77777777" w:rsidR="00FF1058" w:rsidRDefault="00FF1058" w:rsidP="00FF1058">
      <w:pPr>
        <w:pStyle w:val="ySubsection"/>
      </w:pPr>
      <w:r>
        <w:tab/>
        <w:t>(1)</w:t>
      </w:r>
      <w:r>
        <w:tab/>
        <w:t xml:space="preserve">In this clause — </w:t>
      </w:r>
    </w:p>
    <w:p w14:paraId="2B4EBA92" w14:textId="77777777" w:rsidR="00FF1058" w:rsidRDefault="00FF1058" w:rsidP="00FF1058">
      <w:pPr>
        <w:pStyle w:val="yDefstart"/>
      </w:pPr>
      <w:r>
        <w:tab/>
      </w:r>
      <w:r>
        <w:rPr>
          <w:rStyle w:val="CharDefText"/>
        </w:rPr>
        <w:t>electoral purpose</w:t>
      </w:r>
      <w:r>
        <w:t xml:space="preserve"> means the purpose of persuading electors to vote in a particular way at an election, referendum or other poll held under the Act, the </w:t>
      </w:r>
      <w:r>
        <w:rPr>
          <w:i/>
          <w:iCs/>
        </w:rPr>
        <w:t>Electoral Act 1907</w:t>
      </w:r>
      <w:r>
        <w:t xml:space="preserve"> or the </w:t>
      </w:r>
      <w:r>
        <w:rPr>
          <w:i/>
          <w:iCs/>
        </w:rPr>
        <w:t>Commonwealth Electoral Act </w:t>
      </w:r>
      <w:proofErr w:type="gramStart"/>
      <w:r>
        <w:rPr>
          <w:i/>
          <w:iCs/>
        </w:rPr>
        <w:t>1918</w:t>
      </w:r>
      <w:r>
        <w:rPr>
          <w:iCs/>
        </w:rPr>
        <w:t>;</w:t>
      </w:r>
      <w:proofErr w:type="gramEnd"/>
    </w:p>
    <w:p w14:paraId="06583D72" w14:textId="77777777" w:rsidR="00FF1058" w:rsidRDefault="00FF1058" w:rsidP="00FF1058">
      <w:pPr>
        <w:pStyle w:val="yDefstart"/>
        <w:keepNext/>
        <w:keepLines/>
      </w:pPr>
      <w:r>
        <w:lastRenderedPageBreak/>
        <w:tab/>
      </w:r>
      <w:r>
        <w:rPr>
          <w:rStyle w:val="CharDefText"/>
        </w:rPr>
        <w:t>resources of a local government</w:t>
      </w:r>
      <w:r>
        <w:t xml:space="preserve"> </w:t>
      </w:r>
      <w:proofErr w:type="gramStart"/>
      <w:r>
        <w:t>includes</w:t>
      </w:r>
      <w:proofErr w:type="gramEnd"/>
      <w:r>
        <w:t xml:space="preserve"> — </w:t>
      </w:r>
    </w:p>
    <w:p w14:paraId="023A000E" w14:textId="77777777" w:rsidR="00FF1058" w:rsidRDefault="00FF1058" w:rsidP="00FF1058">
      <w:pPr>
        <w:pStyle w:val="yDefpara"/>
      </w:pPr>
      <w:r>
        <w:tab/>
        <w:t>(a)</w:t>
      </w:r>
      <w:r>
        <w:tab/>
        <w:t>local government property; and</w:t>
      </w:r>
    </w:p>
    <w:p w14:paraId="0620D110" w14:textId="77777777" w:rsidR="00FF1058" w:rsidRDefault="00FF1058" w:rsidP="00FF1058">
      <w:pPr>
        <w:pStyle w:val="yDefpara"/>
      </w:pPr>
      <w:r>
        <w:tab/>
        <w:t>(b)</w:t>
      </w:r>
      <w:r>
        <w:tab/>
        <w:t>services provided, or paid for, by a local government.</w:t>
      </w:r>
    </w:p>
    <w:p w14:paraId="3400FA3A" w14:textId="77777777" w:rsidR="00FF1058" w:rsidRDefault="00FF1058" w:rsidP="00FF1058">
      <w:pPr>
        <w:pStyle w:val="ySubsection"/>
      </w:pPr>
      <w:r>
        <w:tab/>
        <w:t>(2)</w:t>
      </w:r>
      <w:r>
        <w:tab/>
        <w:t>A council member must not, directly or indirectly, use the resources of a local government for an electoral purpose or other purpose unless authorised under the Act, or by the local government or the CEO, to use the resources for that purpose.</w:t>
      </w:r>
    </w:p>
    <w:p w14:paraId="248C625F" w14:textId="77777777" w:rsidR="00FF1058" w:rsidRDefault="00FF1058" w:rsidP="00FF1058">
      <w:pPr>
        <w:pStyle w:val="NoSpacing"/>
      </w:pPr>
    </w:p>
    <w:p w14:paraId="38A6A2E7"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64" w:name="_Toc63158202"/>
      <w:bookmarkStart w:id="65" w:name="_Toc63929244"/>
      <w:r w:rsidRPr="00540001">
        <w:rPr>
          <w:rStyle w:val="CharSClsNo"/>
          <w:rFonts w:ascii="Times New Roman" w:hAnsi="Times New Roman" w:cs="Times New Roman"/>
          <w:szCs w:val="22"/>
        </w:rPr>
        <w:t>18.</w:t>
      </w:r>
      <w:r w:rsidRPr="00540001">
        <w:rPr>
          <w:rStyle w:val="CharSClsNo"/>
          <w:rFonts w:ascii="Times New Roman" w:hAnsi="Times New Roman" w:cs="Times New Roman"/>
          <w:szCs w:val="22"/>
        </w:rPr>
        <w:tab/>
        <w:t>Securing personal advantage or disadvantaging others</w:t>
      </w:r>
      <w:bookmarkEnd w:id="64"/>
      <w:bookmarkEnd w:id="65"/>
    </w:p>
    <w:p w14:paraId="6BC44594" w14:textId="77777777" w:rsidR="00FF1058" w:rsidRDefault="00FF1058" w:rsidP="00FF1058">
      <w:pPr>
        <w:pStyle w:val="ySubsection"/>
      </w:pPr>
      <w:r>
        <w:tab/>
        <w:t>(1)</w:t>
      </w:r>
      <w:r>
        <w:tab/>
        <w:t xml:space="preserve">A council member must not make improper use of their office — </w:t>
      </w:r>
    </w:p>
    <w:p w14:paraId="63AE3633" w14:textId="77777777" w:rsidR="00FF1058" w:rsidRDefault="00FF1058" w:rsidP="00FF1058">
      <w:pPr>
        <w:pStyle w:val="yIndenta"/>
      </w:pPr>
      <w:r>
        <w:tab/>
        <w:t>(a)</w:t>
      </w:r>
      <w:r>
        <w:tab/>
        <w:t>to gain, directly or indirectly, an advantage for the council member or any other person; or</w:t>
      </w:r>
    </w:p>
    <w:p w14:paraId="2D62310C" w14:textId="77777777" w:rsidR="00FF1058" w:rsidRDefault="00FF1058" w:rsidP="00FF1058">
      <w:pPr>
        <w:pStyle w:val="yIndenta"/>
      </w:pPr>
      <w:r>
        <w:tab/>
        <w:t>(b)</w:t>
      </w:r>
      <w:r>
        <w:tab/>
        <w:t>to cause detriment to the local government or any other person.</w:t>
      </w:r>
    </w:p>
    <w:p w14:paraId="2B007021" w14:textId="77777777" w:rsidR="00FF1058" w:rsidRDefault="00FF1058" w:rsidP="00FF1058">
      <w:pPr>
        <w:pStyle w:val="ySubsection"/>
      </w:pPr>
      <w:r>
        <w:tab/>
        <w:t>(2)</w:t>
      </w:r>
      <w:r>
        <w:tab/>
        <w:t xml:space="preserve">Subclause (1) does not apply to conduct that contravenes section 5.93 of the Act or </w:t>
      </w:r>
      <w:r>
        <w:rPr>
          <w:i/>
          <w:iCs/>
        </w:rPr>
        <w:t>The Criminal Code</w:t>
      </w:r>
      <w:r>
        <w:t xml:space="preserve"> section 83.</w:t>
      </w:r>
    </w:p>
    <w:p w14:paraId="4ADA6280" w14:textId="77777777" w:rsidR="00FF1058" w:rsidRDefault="00FF1058" w:rsidP="00FF1058">
      <w:pPr>
        <w:pStyle w:val="NoSpacing"/>
      </w:pPr>
    </w:p>
    <w:p w14:paraId="3701B167"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66" w:name="_Toc63158203"/>
      <w:bookmarkStart w:id="67" w:name="_Toc63929245"/>
      <w:r w:rsidRPr="00540001">
        <w:rPr>
          <w:rStyle w:val="CharSClsNo"/>
          <w:rFonts w:ascii="Times New Roman" w:hAnsi="Times New Roman" w:cs="Times New Roman"/>
          <w:szCs w:val="22"/>
        </w:rPr>
        <w:t>19.</w:t>
      </w:r>
      <w:r w:rsidRPr="00540001">
        <w:rPr>
          <w:rStyle w:val="CharSClsNo"/>
          <w:rFonts w:ascii="Times New Roman" w:hAnsi="Times New Roman" w:cs="Times New Roman"/>
          <w:szCs w:val="22"/>
        </w:rPr>
        <w:tab/>
        <w:t>Prohibition against involvement in administration</w:t>
      </w:r>
      <w:bookmarkEnd w:id="66"/>
      <w:bookmarkEnd w:id="67"/>
    </w:p>
    <w:p w14:paraId="56FF7B48" w14:textId="77777777" w:rsidR="00FF1058" w:rsidRDefault="00FF1058" w:rsidP="00FF1058">
      <w:pPr>
        <w:pStyle w:val="ySubsection"/>
      </w:pPr>
      <w:r>
        <w:tab/>
        <w:t>(1)</w:t>
      </w:r>
      <w:r>
        <w:tab/>
        <w:t>A council member must not undertake a task that contributes to the administration of the local government unless authorised by the local government or the CEO to undertake that task.</w:t>
      </w:r>
    </w:p>
    <w:p w14:paraId="22296235" w14:textId="77777777" w:rsidR="00FF1058" w:rsidRDefault="00FF1058" w:rsidP="00FF1058">
      <w:pPr>
        <w:pStyle w:val="ySubsection"/>
      </w:pPr>
      <w:r>
        <w:tab/>
        <w:t>(2)</w:t>
      </w:r>
      <w:r>
        <w:tab/>
        <w:t>Subclause (1) does not apply to anything that a council member does as part of the deliberations at a council or committee meeting.</w:t>
      </w:r>
    </w:p>
    <w:p w14:paraId="28A9580F" w14:textId="77777777" w:rsidR="00FF1058" w:rsidRDefault="00FF1058" w:rsidP="00FF1058">
      <w:pPr>
        <w:pStyle w:val="NoSpacing"/>
      </w:pPr>
    </w:p>
    <w:p w14:paraId="03A3F1E6"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68" w:name="_Toc63158204"/>
      <w:bookmarkStart w:id="69" w:name="_Toc63929246"/>
      <w:r w:rsidRPr="00540001">
        <w:rPr>
          <w:rStyle w:val="CharSClsNo"/>
          <w:rFonts w:ascii="Times New Roman" w:hAnsi="Times New Roman" w:cs="Times New Roman"/>
          <w:szCs w:val="22"/>
        </w:rPr>
        <w:t>20.</w:t>
      </w:r>
      <w:r w:rsidRPr="00540001">
        <w:rPr>
          <w:rStyle w:val="CharSClsNo"/>
          <w:rFonts w:ascii="Times New Roman" w:hAnsi="Times New Roman" w:cs="Times New Roman"/>
          <w:szCs w:val="22"/>
        </w:rPr>
        <w:tab/>
        <w:t>Relationship with local government employees</w:t>
      </w:r>
      <w:bookmarkEnd w:id="68"/>
      <w:bookmarkEnd w:id="69"/>
    </w:p>
    <w:p w14:paraId="4383ABBE" w14:textId="77777777" w:rsidR="00FF1058" w:rsidRDefault="00FF1058" w:rsidP="00FF1058">
      <w:pPr>
        <w:pStyle w:val="ySubsection"/>
      </w:pPr>
      <w:r>
        <w:tab/>
        <w:t>(1)</w:t>
      </w:r>
      <w:r>
        <w:tab/>
        <w:t xml:space="preserve">In this clause — </w:t>
      </w:r>
    </w:p>
    <w:p w14:paraId="2D6071CA" w14:textId="77777777" w:rsidR="00FF1058" w:rsidRDefault="00FF1058" w:rsidP="00FF1058">
      <w:pPr>
        <w:pStyle w:val="yDefstart"/>
      </w:pPr>
      <w:r>
        <w:tab/>
      </w:r>
      <w:r>
        <w:rPr>
          <w:rStyle w:val="CharDefText"/>
        </w:rPr>
        <w:t>local government employee</w:t>
      </w:r>
      <w:r>
        <w:t xml:space="preserve"> means a person — </w:t>
      </w:r>
    </w:p>
    <w:p w14:paraId="67FA1D16" w14:textId="77777777" w:rsidR="00FF1058" w:rsidRDefault="00FF1058" w:rsidP="00FF1058">
      <w:pPr>
        <w:pStyle w:val="yDefpara"/>
      </w:pPr>
      <w:r>
        <w:tab/>
        <w:t>(a)</w:t>
      </w:r>
      <w:r>
        <w:tab/>
        <w:t>employed by a local government under section 5.36(1) of the Act; or</w:t>
      </w:r>
    </w:p>
    <w:p w14:paraId="013AB282" w14:textId="77777777" w:rsidR="00FF1058" w:rsidRDefault="00FF1058" w:rsidP="00FF1058">
      <w:pPr>
        <w:pStyle w:val="yDefpara"/>
      </w:pPr>
      <w:r>
        <w:tab/>
        <w:t>(b)</w:t>
      </w:r>
      <w:r>
        <w:tab/>
        <w:t>engaged by a local government under a contract for services.</w:t>
      </w:r>
    </w:p>
    <w:p w14:paraId="43DECCB7" w14:textId="77777777" w:rsidR="00FF1058" w:rsidRDefault="00FF1058" w:rsidP="00FF1058">
      <w:pPr>
        <w:pStyle w:val="ySubsection"/>
      </w:pPr>
      <w:r>
        <w:tab/>
        <w:t>(2)</w:t>
      </w:r>
      <w:r>
        <w:tab/>
        <w:t xml:space="preserve">A council member or candidate must not — </w:t>
      </w:r>
    </w:p>
    <w:p w14:paraId="556057C1" w14:textId="77777777" w:rsidR="00FF1058" w:rsidRDefault="00FF1058" w:rsidP="00FF1058">
      <w:pPr>
        <w:pStyle w:val="yIndenta"/>
      </w:pPr>
      <w:r>
        <w:tab/>
        <w:t>(a)</w:t>
      </w:r>
      <w:r>
        <w:tab/>
        <w:t>direct or attempt to direct a local government employee to do or not to do anything in their capacity as a local government employee; or</w:t>
      </w:r>
    </w:p>
    <w:p w14:paraId="6C137328" w14:textId="77777777" w:rsidR="00FF1058" w:rsidRDefault="00FF1058" w:rsidP="00FF1058">
      <w:pPr>
        <w:pStyle w:val="yIndenta"/>
      </w:pPr>
      <w:r>
        <w:tab/>
        <w:t>(b)</w:t>
      </w:r>
      <w:r>
        <w:tab/>
        <w:t>attempt to influence, by means of a threat or the promise of a reward, the conduct of a local government employee in their capacity as a local government employee; or</w:t>
      </w:r>
    </w:p>
    <w:p w14:paraId="4135C2E3" w14:textId="77777777" w:rsidR="00FF1058" w:rsidRDefault="00FF1058" w:rsidP="00FF1058">
      <w:pPr>
        <w:pStyle w:val="yIndenta"/>
      </w:pPr>
      <w:r>
        <w:tab/>
        <w:t>(c)</w:t>
      </w:r>
      <w:r>
        <w:tab/>
        <w:t>act in an abusive or threatening manner towards a local government employee.</w:t>
      </w:r>
    </w:p>
    <w:p w14:paraId="468253F5" w14:textId="77777777" w:rsidR="00FF1058" w:rsidRDefault="00FF1058" w:rsidP="00FF1058">
      <w:pPr>
        <w:pStyle w:val="ySubsection"/>
      </w:pPr>
      <w:r>
        <w:tab/>
        <w:t>(3)</w:t>
      </w:r>
      <w:r>
        <w:tab/>
        <w:t>Subclause (2)(a) does not apply to anything that a council member does as part of the deliberations at a council or committee meeting.</w:t>
      </w:r>
    </w:p>
    <w:p w14:paraId="10DBC183" w14:textId="77777777" w:rsidR="00FF1058" w:rsidRDefault="00FF1058" w:rsidP="00FF1058">
      <w:pPr>
        <w:pStyle w:val="ySubsection"/>
      </w:pPr>
      <w:r>
        <w:tab/>
        <w:t>(4)</w:t>
      </w:r>
      <w:r>
        <w:tab/>
        <w:t xml:space="preserve">If a council member or candidate, in their capacity as a council member or candidate, is attending a council or committee meeting or other organised event (for example, a briefing or workshop), the council member or candidate must not orally, in writing or by any other means — </w:t>
      </w:r>
    </w:p>
    <w:p w14:paraId="599B7A75" w14:textId="77777777" w:rsidR="00FF1058" w:rsidRDefault="00FF1058" w:rsidP="00FF1058">
      <w:pPr>
        <w:pStyle w:val="yIndenta"/>
      </w:pPr>
      <w:r>
        <w:tab/>
        <w:t>(a)</w:t>
      </w:r>
      <w:r>
        <w:tab/>
        <w:t>make a statement that a local government employee is incompetent or dishonest; or</w:t>
      </w:r>
    </w:p>
    <w:p w14:paraId="3CB5B95D" w14:textId="77777777" w:rsidR="00FF1058" w:rsidRDefault="00FF1058" w:rsidP="00FF1058">
      <w:pPr>
        <w:pStyle w:val="yIndenta"/>
      </w:pPr>
      <w:r>
        <w:tab/>
        <w:t>(b)</w:t>
      </w:r>
      <w:r>
        <w:tab/>
        <w:t>use an offensive or objectionable expression when referring to a local government employee.</w:t>
      </w:r>
    </w:p>
    <w:p w14:paraId="2294FCFA" w14:textId="77777777" w:rsidR="00FF1058" w:rsidRDefault="00FF1058" w:rsidP="00FF1058">
      <w:pPr>
        <w:pStyle w:val="ySubsection"/>
      </w:pPr>
      <w:r>
        <w:tab/>
        <w:t>(5)</w:t>
      </w:r>
      <w:r>
        <w:tab/>
        <w:t xml:space="preserve">Subclause (4)(a) does not apply to conduct that is unlawful under </w:t>
      </w:r>
      <w:r>
        <w:rPr>
          <w:i/>
          <w:iCs/>
        </w:rPr>
        <w:t>The Criminal Code</w:t>
      </w:r>
      <w:r>
        <w:t xml:space="preserve"> Chapter XXXV.</w:t>
      </w:r>
    </w:p>
    <w:p w14:paraId="48B9D4A4" w14:textId="77777777" w:rsidR="00FF1058" w:rsidRDefault="00FF1058" w:rsidP="00D52769">
      <w:pPr>
        <w:pStyle w:val="ySubsection"/>
        <w:spacing w:before="0"/>
      </w:pPr>
    </w:p>
    <w:p w14:paraId="60980D34"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70" w:name="_Toc63158205"/>
      <w:bookmarkStart w:id="71" w:name="_Toc63929247"/>
      <w:r w:rsidRPr="00540001">
        <w:rPr>
          <w:rStyle w:val="CharSClsNo"/>
          <w:rFonts w:ascii="Times New Roman" w:hAnsi="Times New Roman" w:cs="Times New Roman"/>
          <w:szCs w:val="22"/>
        </w:rPr>
        <w:lastRenderedPageBreak/>
        <w:t>21.</w:t>
      </w:r>
      <w:r w:rsidRPr="00540001">
        <w:rPr>
          <w:rStyle w:val="CharSClsNo"/>
          <w:rFonts w:ascii="Times New Roman" w:hAnsi="Times New Roman" w:cs="Times New Roman"/>
          <w:szCs w:val="22"/>
        </w:rPr>
        <w:tab/>
        <w:t>Disclosure of information</w:t>
      </w:r>
      <w:bookmarkEnd w:id="70"/>
      <w:bookmarkEnd w:id="71"/>
    </w:p>
    <w:p w14:paraId="443F6F43" w14:textId="77777777" w:rsidR="00FF1058" w:rsidRDefault="00FF1058" w:rsidP="00FF1058">
      <w:pPr>
        <w:pStyle w:val="ySubsection"/>
      </w:pPr>
      <w:r>
        <w:tab/>
        <w:t>(1)</w:t>
      </w:r>
      <w:r>
        <w:tab/>
        <w:t xml:space="preserve">In this clause — </w:t>
      </w:r>
    </w:p>
    <w:p w14:paraId="509C4258" w14:textId="77777777" w:rsidR="00FF1058" w:rsidRDefault="00FF1058" w:rsidP="00FF1058">
      <w:pPr>
        <w:pStyle w:val="yDefstart"/>
      </w:pPr>
      <w:r>
        <w:tab/>
      </w:r>
      <w:r>
        <w:rPr>
          <w:rStyle w:val="CharDefText"/>
        </w:rPr>
        <w:t>closed meeting</w:t>
      </w:r>
      <w:r>
        <w:t xml:space="preserve"> means a council or committee meeting, or a part of a council or committee meeting, that is closed to members of the public under section 5.23(2) of the </w:t>
      </w:r>
      <w:proofErr w:type="gramStart"/>
      <w:r>
        <w:t>Act;</w:t>
      </w:r>
      <w:proofErr w:type="gramEnd"/>
    </w:p>
    <w:p w14:paraId="15A9FE1E" w14:textId="77777777" w:rsidR="00FF1058" w:rsidRDefault="00FF1058" w:rsidP="00FF1058">
      <w:pPr>
        <w:pStyle w:val="yDefstart"/>
      </w:pPr>
      <w:r>
        <w:tab/>
      </w:r>
      <w:r>
        <w:rPr>
          <w:rStyle w:val="CharDefText"/>
        </w:rPr>
        <w:t>confidential document</w:t>
      </w:r>
      <w:r>
        <w:t xml:space="preserve"> means a document marked by the CEO, or by a person authorised by the CEO, to clearly show that the information in the document is not to be </w:t>
      </w:r>
      <w:proofErr w:type="gramStart"/>
      <w:r>
        <w:t>disclosed;</w:t>
      </w:r>
      <w:proofErr w:type="gramEnd"/>
    </w:p>
    <w:p w14:paraId="358677B3" w14:textId="77777777" w:rsidR="00FF1058" w:rsidRDefault="00FF1058" w:rsidP="00FF1058">
      <w:pPr>
        <w:pStyle w:val="yDefstart"/>
      </w:pPr>
      <w:r>
        <w:tab/>
      </w:r>
      <w:r>
        <w:rPr>
          <w:rStyle w:val="CharDefText"/>
        </w:rPr>
        <w:t>document</w:t>
      </w:r>
      <w:r>
        <w:t xml:space="preserve"> includes a part of a </w:t>
      </w:r>
      <w:proofErr w:type="gramStart"/>
      <w:r>
        <w:t>document;</w:t>
      </w:r>
      <w:proofErr w:type="gramEnd"/>
    </w:p>
    <w:p w14:paraId="02AAEDB7" w14:textId="77777777" w:rsidR="00FF1058" w:rsidRDefault="00FF1058" w:rsidP="00FF1058">
      <w:pPr>
        <w:pStyle w:val="yDefstart"/>
      </w:pPr>
      <w:r>
        <w:tab/>
      </w:r>
      <w:r>
        <w:rPr>
          <w:rStyle w:val="CharDefText"/>
        </w:rPr>
        <w:t>non</w:t>
      </w:r>
      <w:r>
        <w:rPr>
          <w:rStyle w:val="CharDefText"/>
        </w:rPr>
        <w:noBreakHyphen/>
        <w:t>confidential document</w:t>
      </w:r>
      <w:r>
        <w:t xml:space="preserve"> means a document that is not a confidential document. </w:t>
      </w:r>
    </w:p>
    <w:p w14:paraId="726E373B" w14:textId="77777777" w:rsidR="00FF1058" w:rsidRDefault="00FF1058" w:rsidP="00FF1058">
      <w:pPr>
        <w:pStyle w:val="ySubsection"/>
      </w:pPr>
      <w:r>
        <w:tab/>
        <w:t>(2)</w:t>
      </w:r>
      <w:r>
        <w:tab/>
        <w:t xml:space="preserve">A council member must not disclose information that the council member — </w:t>
      </w:r>
    </w:p>
    <w:p w14:paraId="0949C3A8" w14:textId="77777777" w:rsidR="00FF1058" w:rsidRDefault="00FF1058" w:rsidP="00FF1058">
      <w:pPr>
        <w:pStyle w:val="yIndenta"/>
      </w:pPr>
      <w:r>
        <w:tab/>
        <w:t>(a)</w:t>
      </w:r>
      <w:r>
        <w:tab/>
        <w:t>derived from a confidential document; or</w:t>
      </w:r>
    </w:p>
    <w:p w14:paraId="6DE3B9C1" w14:textId="77777777" w:rsidR="00FF1058" w:rsidRDefault="00FF1058" w:rsidP="00FF1058">
      <w:pPr>
        <w:pStyle w:val="yIndenta"/>
        <w:rPr>
          <w:rStyle w:val="DraftersNotes"/>
          <w:b w:val="0"/>
          <w:i w:val="0"/>
        </w:rPr>
      </w:pPr>
      <w:r>
        <w:tab/>
        <w:t>(b)</w:t>
      </w:r>
      <w:r>
        <w:tab/>
        <w:t>acquired at a closed meeting other than information derived from a non</w:t>
      </w:r>
      <w:r>
        <w:noBreakHyphen/>
        <w:t>confidential document.</w:t>
      </w:r>
    </w:p>
    <w:p w14:paraId="545A0405" w14:textId="77777777" w:rsidR="00FF1058" w:rsidRDefault="00FF1058" w:rsidP="00FF1058">
      <w:pPr>
        <w:pStyle w:val="ySubsection"/>
      </w:pPr>
      <w:r>
        <w:tab/>
        <w:t>(3)</w:t>
      </w:r>
      <w:r>
        <w:tab/>
        <w:t xml:space="preserve">Subclause (2) does not prevent a council member from disclosing information — </w:t>
      </w:r>
    </w:p>
    <w:p w14:paraId="1C5904AB" w14:textId="77777777" w:rsidR="00FF1058" w:rsidRDefault="00FF1058" w:rsidP="00FF1058">
      <w:pPr>
        <w:pStyle w:val="yIndenta"/>
      </w:pPr>
      <w:r>
        <w:tab/>
        <w:t>(a)</w:t>
      </w:r>
      <w:r>
        <w:tab/>
        <w:t>at a closed meeting; or</w:t>
      </w:r>
    </w:p>
    <w:p w14:paraId="1E14C739" w14:textId="77777777" w:rsidR="00FF1058" w:rsidRDefault="00FF1058" w:rsidP="00FF1058">
      <w:pPr>
        <w:pStyle w:val="yIndenta"/>
      </w:pPr>
      <w:r>
        <w:tab/>
        <w:t>(b)</w:t>
      </w:r>
      <w:r>
        <w:tab/>
        <w:t>to the extent specified by the council and subject to such other conditions as the council determines; or</w:t>
      </w:r>
    </w:p>
    <w:p w14:paraId="1E2BAAE7" w14:textId="77777777" w:rsidR="00FF1058" w:rsidRDefault="00FF1058" w:rsidP="00FF1058">
      <w:pPr>
        <w:pStyle w:val="yIndenta"/>
      </w:pPr>
      <w:r>
        <w:tab/>
        <w:t>(c)</w:t>
      </w:r>
      <w:r>
        <w:tab/>
        <w:t>that is already in the public domain; or</w:t>
      </w:r>
    </w:p>
    <w:p w14:paraId="0C48278E" w14:textId="77777777" w:rsidR="00FF1058" w:rsidRDefault="00FF1058" w:rsidP="00FF1058">
      <w:pPr>
        <w:pStyle w:val="yIndenta"/>
      </w:pPr>
      <w:r>
        <w:tab/>
        <w:t>(d)</w:t>
      </w:r>
      <w:r>
        <w:tab/>
        <w:t>to an officer of the Department; or</w:t>
      </w:r>
    </w:p>
    <w:p w14:paraId="47221893" w14:textId="77777777" w:rsidR="00FF1058" w:rsidRDefault="00FF1058" w:rsidP="00FF1058">
      <w:pPr>
        <w:pStyle w:val="yIndenta"/>
      </w:pPr>
      <w:r>
        <w:tab/>
        <w:t>(e)</w:t>
      </w:r>
      <w:r>
        <w:tab/>
        <w:t>to the Minister; or</w:t>
      </w:r>
    </w:p>
    <w:p w14:paraId="02159CC4" w14:textId="77777777" w:rsidR="00FF1058" w:rsidRDefault="00FF1058" w:rsidP="00FF1058">
      <w:pPr>
        <w:pStyle w:val="yIndenta"/>
      </w:pPr>
      <w:r>
        <w:tab/>
        <w:t>(f)</w:t>
      </w:r>
      <w:r>
        <w:tab/>
        <w:t>to a legal practitioner for the purpose of obtaining legal advice; or</w:t>
      </w:r>
    </w:p>
    <w:p w14:paraId="122BCB1F" w14:textId="77777777" w:rsidR="00FF1058" w:rsidRDefault="00FF1058" w:rsidP="00FF1058">
      <w:pPr>
        <w:pStyle w:val="yIndenta"/>
      </w:pPr>
      <w:r>
        <w:tab/>
        <w:t>(g)</w:t>
      </w:r>
      <w:r>
        <w:tab/>
        <w:t>if the disclosure is required or permitted by law.</w:t>
      </w:r>
    </w:p>
    <w:p w14:paraId="351C156B" w14:textId="77777777" w:rsidR="00FF1058" w:rsidRDefault="00FF1058" w:rsidP="00FF1058">
      <w:pPr>
        <w:pStyle w:val="NoSpacing"/>
      </w:pPr>
    </w:p>
    <w:p w14:paraId="116E7A59"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72" w:name="_Toc63158206"/>
      <w:bookmarkStart w:id="73" w:name="_Toc63929248"/>
      <w:r w:rsidRPr="00540001">
        <w:rPr>
          <w:rStyle w:val="CharSClsNo"/>
          <w:rFonts w:ascii="Times New Roman" w:hAnsi="Times New Roman" w:cs="Times New Roman"/>
          <w:szCs w:val="22"/>
        </w:rPr>
        <w:t>22.</w:t>
      </w:r>
      <w:r w:rsidRPr="00540001">
        <w:rPr>
          <w:rStyle w:val="CharSClsNo"/>
          <w:rFonts w:ascii="Times New Roman" w:hAnsi="Times New Roman" w:cs="Times New Roman"/>
          <w:szCs w:val="22"/>
        </w:rPr>
        <w:tab/>
        <w:t>Disclosure of interests</w:t>
      </w:r>
      <w:bookmarkEnd w:id="72"/>
      <w:bookmarkEnd w:id="73"/>
    </w:p>
    <w:p w14:paraId="56585EF4" w14:textId="77777777" w:rsidR="00FF1058" w:rsidRDefault="00FF1058" w:rsidP="00FF1058">
      <w:pPr>
        <w:pStyle w:val="ySubsection"/>
        <w:keepNext/>
      </w:pPr>
      <w:r>
        <w:tab/>
        <w:t>(1)</w:t>
      </w:r>
      <w:r>
        <w:tab/>
        <w:t xml:space="preserve">In this clause — </w:t>
      </w:r>
    </w:p>
    <w:p w14:paraId="173FA071" w14:textId="77777777" w:rsidR="00FF1058" w:rsidRDefault="00FF1058" w:rsidP="00FF1058">
      <w:pPr>
        <w:pStyle w:val="yDefstart"/>
      </w:pPr>
      <w:r>
        <w:tab/>
      </w:r>
      <w:r>
        <w:rPr>
          <w:rStyle w:val="CharDefText"/>
        </w:rPr>
        <w:t>interest</w:t>
      </w:r>
      <w:r>
        <w:t xml:space="preserve"> — </w:t>
      </w:r>
    </w:p>
    <w:p w14:paraId="7EFAD4CE" w14:textId="77777777" w:rsidR="00FF1058" w:rsidRDefault="00FF1058" w:rsidP="00FF1058">
      <w:pPr>
        <w:pStyle w:val="yDefpara"/>
      </w:pPr>
      <w:r>
        <w:tab/>
        <w:t>(a)</w:t>
      </w:r>
      <w:r>
        <w:tab/>
        <w:t>means an interest that could, or could reasonably be perceived to, adversely affect the impartiality of the person having the interest; and</w:t>
      </w:r>
    </w:p>
    <w:p w14:paraId="77C2E728" w14:textId="77777777" w:rsidR="00FF1058" w:rsidRDefault="00FF1058" w:rsidP="00FF1058">
      <w:pPr>
        <w:pStyle w:val="yDefpara"/>
      </w:pPr>
      <w:r>
        <w:tab/>
        <w:t>(b)</w:t>
      </w:r>
      <w:r>
        <w:tab/>
        <w:t>includes an interest arising from kinship, friendship or membership of an association.</w:t>
      </w:r>
    </w:p>
    <w:p w14:paraId="0B2AE158" w14:textId="77777777" w:rsidR="00FF1058" w:rsidRDefault="00FF1058" w:rsidP="00FF1058">
      <w:pPr>
        <w:pStyle w:val="ySubsection"/>
      </w:pPr>
      <w:r>
        <w:tab/>
        <w:t>(2)</w:t>
      </w:r>
      <w:r>
        <w:tab/>
        <w:t xml:space="preserve">A council member who has an interest in any matter to be discussed at a council or committee meeting attended by the council member must disclose the nature of the interest — </w:t>
      </w:r>
    </w:p>
    <w:p w14:paraId="0713B188" w14:textId="77777777" w:rsidR="00FF1058" w:rsidRDefault="00FF1058" w:rsidP="00FF1058">
      <w:pPr>
        <w:pStyle w:val="yIndenta"/>
      </w:pPr>
      <w:r>
        <w:tab/>
        <w:t>(a)</w:t>
      </w:r>
      <w:r>
        <w:tab/>
        <w:t>in a written notice given to the CEO before the meeting; or</w:t>
      </w:r>
    </w:p>
    <w:p w14:paraId="198E699A" w14:textId="77777777" w:rsidR="00FF1058" w:rsidRDefault="00FF1058" w:rsidP="00FF1058">
      <w:pPr>
        <w:pStyle w:val="yIndenta"/>
      </w:pPr>
      <w:r>
        <w:tab/>
        <w:t>(b)</w:t>
      </w:r>
      <w:r>
        <w:tab/>
        <w:t>at the meeting immediately before the matter is discussed.</w:t>
      </w:r>
    </w:p>
    <w:p w14:paraId="0775FF75" w14:textId="77777777" w:rsidR="00FF1058" w:rsidRDefault="00FF1058" w:rsidP="00FF1058">
      <w:pPr>
        <w:pStyle w:val="ySubsection"/>
      </w:pPr>
      <w:r>
        <w:tab/>
        <w:t>(3)</w:t>
      </w:r>
      <w:r>
        <w:tab/>
        <w:t>Subclause (2) does not apply to an interest referred to in section 5.60 of the Act.</w:t>
      </w:r>
    </w:p>
    <w:p w14:paraId="54D5DC0E" w14:textId="77777777" w:rsidR="00FF1058" w:rsidRDefault="00FF1058" w:rsidP="00FF1058">
      <w:pPr>
        <w:pStyle w:val="ySubsection"/>
      </w:pPr>
      <w:r>
        <w:tab/>
        <w:t>(4)</w:t>
      </w:r>
      <w:r>
        <w:tab/>
        <w:t xml:space="preserve">Subclause (2) does not apply if a council member fails to disclose an interest because the council member did not know — </w:t>
      </w:r>
    </w:p>
    <w:p w14:paraId="2B67F9E7" w14:textId="77777777" w:rsidR="00FF1058" w:rsidRDefault="00FF1058" w:rsidP="00FF1058">
      <w:pPr>
        <w:pStyle w:val="yIndenta"/>
      </w:pPr>
      <w:r>
        <w:tab/>
        <w:t>(a)</w:t>
      </w:r>
      <w:r>
        <w:tab/>
        <w:t>that they had an interest in the matter; or</w:t>
      </w:r>
    </w:p>
    <w:p w14:paraId="4EEACD36" w14:textId="77777777" w:rsidR="00FF1058" w:rsidRDefault="00FF1058" w:rsidP="00FF1058">
      <w:pPr>
        <w:pStyle w:val="yIndenta"/>
      </w:pPr>
      <w:r>
        <w:tab/>
        <w:t>(b)</w:t>
      </w:r>
      <w:r>
        <w:tab/>
        <w:t>that the matter in which they had an interest would be discussed at the meeting and the council member disclosed the interest as soon as possible after the discussion began.</w:t>
      </w:r>
    </w:p>
    <w:p w14:paraId="20CF7699" w14:textId="77777777" w:rsidR="00FF1058" w:rsidRDefault="00FF1058" w:rsidP="00FF1058">
      <w:pPr>
        <w:pStyle w:val="ySubsection"/>
        <w:keepNext/>
        <w:keepLines/>
      </w:pPr>
      <w:r>
        <w:lastRenderedPageBreak/>
        <w:tab/>
        <w:t>(5)</w:t>
      </w:r>
      <w:r>
        <w:tab/>
        <w:t xml:space="preserve">If, under subclause (2)(a), a council member discloses an interest in a written notice given to the CEO before a meeting, then — </w:t>
      </w:r>
    </w:p>
    <w:p w14:paraId="52058739" w14:textId="77777777" w:rsidR="00FF1058" w:rsidRDefault="00FF1058" w:rsidP="00FF1058">
      <w:pPr>
        <w:pStyle w:val="yIndenta"/>
      </w:pPr>
      <w:r>
        <w:tab/>
        <w:t>(a)</w:t>
      </w:r>
      <w:r>
        <w:tab/>
        <w:t>before the meeting the CEO must cause the notice to be given to the person who is to preside at the meeting; and</w:t>
      </w:r>
    </w:p>
    <w:p w14:paraId="39218606" w14:textId="77777777" w:rsidR="00FF1058" w:rsidRDefault="00FF1058" w:rsidP="00FF1058">
      <w:pPr>
        <w:pStyle w:val="yIndenta"/>
      </w:pPr>
      <w:r>
        <w:tab/>
        <w:t>(b)</w:t>
      </w:r>
      <w:r>
        <w:tab/>
        <w:t>at the meeting the person presiding must bring the notice and its contents to the attention of the persons present immediately before any matter to which the disclosure relates is discussed.</w:t>
      </w:r>
    </w:p>
    <w:p w14:paraId="561F78BC" w14:textId="77777777" w:rsidR="00FF1058" w:rsidRDefault="00FF1058" w:rsidP="00FF1058">
      <w:pPr>
        <w:pStyle w:val="ySubsection"/>
      </w:pPr>
      <w:r>
        <w:tab/>
        <w:t>(6)</w:t>
      </w:r>
      <w:r>
        <w:tab/>
        <w:t xml:space="preserve">Subclause (7) applies in relation to an interest if — </w:t>
      </w:r>
    </w:p>
    <w:p w14:paraId="106794FF" w14:textId="77777777" w:rsidR="00FF1058" w:rsidRDefault="00FF1058" w:rsidP="00FF1058">
      <w:pPr>
        <w:pStyle w:val="yIndenta"/>
      </w:pPr>
      <w:r>
        <w:tab/>
        <w:t>(a)</w:t>
      </w:r>
      <w:r>
        <w:tab/>
        <w:t>under subclause (2)(b) or (4)(b) the interest is disclosed at a meeting; or</w:t>
      </w:r>
    </w:p>
    <w:p w14:paraId="70CBC629" w14:textId="77777777" w:rsidR="00FF1058" w:rsidRDefault="00FF1058" w:rsidP="00FF1058">
      <w:pPr>
        <w:pStyle w:val="yIndenta"/>
      </w:pPr>
      <w:r>
        <w:tab/>
        <w:t>(b)</w:t>
      </w:r>
      <w:r>
        <w:tab/>
        <w:t>under subclause (5)(b) notice of the interest is brought to the attention of the persons present at a meeting.</w:t>
      </w:r>
    </w:p>
    <w:p w14:paraId="547E16B1" w14:textId="77777777" w:rsidR="00FF1058" w:rsidRDefault="00FF1058" w:rsidP="00FF1058">
      <w:pPr>
        <w:pStyle w:val="ySubsection"/>
      </w:pPr>
      <w:r>
        <w:tab/>
        <w:t>(7)</w:t>
      </w:r>
      <w:r>
        <w:tab/>
        <w:t>The nature of the interest must be recorded in the minutes of the meeting.</w:t>
      </w:r>
    </w:p>
    <w:p w14:paraId="043971A0" w14:textId="77777777" w:rsidR="00FF1058" w:rsidRDefault="00FF1058" w:rsidP="00FF1058">
      <w:pPr>
        <w:pStyle w:val="NoSpacing"/>
      </w:pPr>
    </w:p>
    <w:p w14:paraId="2AC8BB20" w14:textId="77777777" w:rsidR="00FF1058" w:rsidRPr="00540001" w:rsidRDefault="00FF1058" w:rsidP="00D52769">
      <w:pPr>
        <w:pStyle w:val="Heading2"/>
        <w:tabs>
          <w:tab w:val="left" w:pos="709"/>
        </w:tabs>
        <w:spacing w:before="40"/>
        <w:rPr>
          <w:rStyle w:val="CharSClsNo"/>
          <w:rFonts w:ascii="Times New Roman" w:hAnsi="Times New Roman" w:cs="Times New Roman"/>
          <w:b w:val="0"/>
          <w:bCs w:val="0"/>
          <w:szCs w:val="22"/>
        </w:rPr>
      </w:pPr>
      <w:bookmarkStart w:id="74" w:name="_Toc63158207"/>
      <w:bookmarkStart w:id="75" w:name="_Toc63929249"/>
      <w:r w:rsidRPr="00540001">
        <w:rPr>
          <w:rStyle w:val="CharSClsNo"/>
          <w:rFonts w:ascii="Times New Roman" w:hAnsi="Times New Roman" w:cs="Times New Roman"/>
          <w:szCs w:val="22"/>
        </w:rPr>
        <w:t>23.</w:t>
      </w:r>
      <w:r w:rsidRPr="00540001">
        <w:rPr>
          <w:rStyle w:val="CharSClsNo"/>
          <w:rFonts w:ascii="Times New Roman" w:hAnsi="Times New Roman" w:cs="Times New Roman"/>
          <w:szCs w:val="22"/>
        </w:rPr>
        <w:tab/>
        <w:t>Compliance with plan requirement</w:t>
      </w:r>
      <w:bookmarkEnd w:id="74"/>
      <w:bookmarkEnd w:id="75"/>
    </w:p>
    <w:p w14:paraId="71BF96B6" w14:textId="77777777" w:rsidR="00FF1058" w:rsidRDefault="00FF1058" w:rsidP="00FF1058">
      <w:pPr>
        <w:pStyle w:val="ySubsection"/>
      </w:pPr>
      <w:r>
        <w:tab/>
      </w:r>
      <w:r>
        <w:tab/>
        <w:t>If a plan under clause 12(4)(b) in relation to a council member includes a requirement referred to in clause 12(6), the council member must comply with the requirement.</w:t>
      </w:r>
    </w:p>
    <w:p w14:paraId="5E05A705" w14:textId="77777777" w:rsidR="00FF1058" w:rsidRDefault="00FF1058" w:rsidP="00FF1058">
      <w:pPr>
        <w:pStyle w:val="CentredBaseLine"/>
        <w:jc w:val="center"/>
      </w:pPr>
    </w:p>
    <w:p w14:paraId="19E56208" w14:textId="77777777" w:rsidR="00FF1058" w:rsidRDefault="00FF1058" w:rsidP="00FF1058"/>
    <w:p w14:paraId="63CE57EF" w14:textId="77777777" w:rsidR="00FF1058" w:rsidRDefault="00FF1058" w:rsidP="00FF1058"/>
    <w:p w14:paraId="7E105911" w14:textId="77777777" w:rsidR="00FF1058" w:rsidRPr="001F159B" w:rsidRDefault="00FF1058" w:rsidP="00FF1058">
      <w:pPr>
        <w:spacing w:after="0" w:line="240" w:lineRule="auto"/>
        <w:jc w:val="both"/>
        <w:rPr>
          <w:rFonts w:cstheme="minorHAnsi"/>
        </w:rPr>
      </w:pPr>
    </w:p>
    <w:tbl>
      <w:tblPr>
        <w:tblStyle w:val="TableGrid"/>
        <w:tblW w:w="0" w:type="auto"/>
        <w:tblLook w:val="04A0" w:firstRow="1" w:lastRow="0" w:firstColumn="1" w:lastColumn="0" w:noHBand="0" w:noVBand="1"/>
      </w:tblPr>
      <w:tblGrid>
        <w:gridCol w:w="3050"/>
        <w:gridCol w:w="5966"/>
      </w:tblGrid>
      <w:tr w:rsidR="00FF1058" w:rsidRPr="001F159B" w14:paraId="3C416C4F" w14:textId="77777777" w:rsidTr="00FF1058">
        <w:tc>
          <w:tcPr>
            <w:tcW w:w="3050" w:type="dxa"/>
          </w:tcPr>
          <w:p w14:paraId="5435DAEF" w14:textId="77777777" w:rsidR="00FF1058" w:rsidRPr="001F159B" w:rsidRDefault="00FF1058" w:rsidP="00FF1058">
            <w:pPr>
              <w:jc w:val="both"/>
              <w:rPr>
                <w:rFonts w:cstheme="minorHAnsi"/>
                <w:b/>
                <w:lang w:val="en-US"/>
              </w:rPr>
            </w:pPr>
            <w:r w:rsidRPr="001F159B">
              <w:rPr>
                <w:rFonts w:cstheme="minorHAnsi"/>
                <w:b/>
                <w:lang w:val="en-US"/>
              </w:rPr>
              <w:t>Responsible Directorate:</w:t>
            </w:r>
          </w:p>
        </w:tc>
        <w:tc>
          <w:tcPr>
            <w:tcW w:w="5966" w:type="dxa"/>
          </w:tcPr>
          <w:p w14:paraId="311CE31C" w14:textId="77777777" w:rsidR="00FF1058" w:rsidRPr="001F159B" w:rsidRDefault="00FF1058" w:rsidP="00FF1058">
            <w:pPr>
              <w:jc w:val="both"/>
              <w:rPr>
                <w:rFonts w:cstheme="minorHAnsi"/>
                <w:lang w:val="en-US"/>
              </w:rPr>
            </w:pPr>
            <w:r w:rsidRPr="001F159B">
              <w:rPr>
                <w:rFonts w:cstheme="minorHAnsi"/>
                <w:lang w:val="en-US"/>
              </w:rPr>
              <w:t>Office of the Chief Executive Officer</w:t>
            </w:r>
          </w:p>
        </w:tc>
      </w:tr>
      <w:tr w:rsidR="00FF1058" w:rsidRPr="001F159B" w14:paraId="69F53538" w14:textId="77777777" w:rsidTr="00FF1058">
        <w:tc>
          <w:tcPr>
            <w:tcW w:w="3050" w:type="dxa"/>
          </w:tcPr>
          <w:p w14:paraId="34E4E2F3" w14:textId="77777777" w:rsidR="00FF1058" w:rsidRPr="001F159B" w:rsidRDefault="00FF1058" w:rsidP="00FF1058">
            <w:pPr>
              <w:jc w:val="both"/>
              <w:rPr>
                <w:rFonts w:cstheme="minorHAnsi"/>
                <w:b/>
                <w:lang w:val="en-US"/>
              </w:rPr>
            </w:pPr>
            <w:r w:rsidRPr="001F159B">
              <w:rPr>
                <w:rFonts w:cstheme="minorHAnsi"/>
                <w:b/>
                <w:lang w:val="en-US"/>
              </w:rPr>
              <w:t>Reviewing Officer:</w:t>
            </w:r>
          </w:p>
        </w:tc>
        <w:tc>
          <w:tcPr>
            <w:tcW w:w="5966" w:type="dxa"/>
          </w:tcPr>
          <w:p w14:paraId="4BE34C5C" w14:textId="77777777" w:rsidR="00FF1058" w:rsidRPr="001F159B" w:rsidRDefault="00FF1058" w:rsidP="00FF1058">
            <w:pPr>
              <w:jc w:val="both"/>
              <w:rPr>
                <w:rFonts w:cstheme="minorHAnsi"/>
                <w:lang w:val="en-US"/>
              </w:rPr>
            </w:pPr>
            <w:r w:rsidRPr="001F159B">
              <w:rPr>
                <w:rFonts w:cstheme="minorHAnsi"/>
                <w:lang w:val="en-US"/>
              </w:rPr>
              <w:t>Chief Executive Officer</w:t>
            </w:r>
          </w:p>
        </w:tc>
      </w:tr>
      <w:tr w:rsidR="00FF1058" w:rsidRPr="001F159B" w14:paraId="0FAAD4D1" w14:textId="77777777" w:rsidTr="00FF1058">
        <w:tc>
          <w:tcPr>
            <w:tcW w:w="3050" w:type="dxa"/>
          </w:tcPr>
          <w:p w14:paraId="7F079056" w14:textId="77777777" w:rsidR="00FF1058" w:rsidRPr="001F159B" w:rsidRDefault="00FF1058" w:rsidP="00FF1058">
            <w:pPr>
              <w:jc w:val="both"/>
              <w:rPr>
                <w:rFonts w:cstheme="minorHAnsi"/>
                <w:b/>
                <w:lang w:val="en-US"/>
              </w:rPr>
            </w:pPr>
            <w:r w:rsidRPr="001F159B">
              <w:rPr>
                <w:rFonts w:cstheme="minorHAnsi"/>
                <w:b/>
                <w:lang w:val="en-US"/>
              </w:rPr>
              <w:t>Decision making Authority:</w:t>
            </w:r>
          </w:p>
        </w:tc>
        <w:tc>
          <w:tcPr>
            <w:tcW w:w="5966" w:type="dxa"/>
          </w:tcPr>
          <w:p w14:paraId="60394221" w14:textId="77777777" w:rsidR="00FF1058" w:rsidRPr="001F159B" w:rsidRDefault="00FF1058" w:rsidP="00FF1058">
            <w:pPr>
              <w:jc w:val="both"/>
              <w:rPr>
                <w:rFonts w:cstheme="minorHAnsi"/>
                <w:lang w:val="en-US"/>
              </w:rPr>
            </w:pPr>
            <w:r w:rsidRPr="001F159B">
              <w:rPr>
                <w:rFonts w:cstheme="minorHAnsi"/>
                <w:lang w:val="en-US"/>
              </w:rPr>
              <w:t>Council</w:t>
            </w:r>
          </w:p>
        </w:tc>
      </w:tr>
      <w:tr w:rsidR="00FF1058" w:rsidRPr="001F159B" w14:paraId="206B614C" w14:textId="77777777" w:rsidTr="00FF1058">
        <w:tc>
          <w:tcPr>
            <w:tcW w:w="3050" w:type="dxa"/>
          </w:tcPr>
          <w:p w14:paraId="27B30DD3" w14:textId="77777777" w:rsidR="00FF1058" w:rsidRPr="001F159B" w:rsidRDefault="00FF1058" w:rsidP="00FF1058">
            <w:pPr>
              <w:jc w:val="both"/>
              <w:rPr>
                <w:rFonts w:cstheme="minorHAnsi"/>
                <w:b/>
                <w:lang w:val="en-US"/>
              </w:rPr>
            </w:pPr>
            <w:r w:rsidRPr="001F159B">
              <w:rPr>
                <w:rFonts w:cstheme="minorHAnsi"/>
                <w:b/>
                <w:lang w:val="en-US"/>
              </w:rPr>
              <w:t>Policy Adopted:</w:t>
            </w:r>
          </w:p>
        </w:tc>
        <w:tc>
          <w:tcPr>
            <w:tcW w:w="5966" w:type="dxa"/>
          </w:tcPr>
          <w:p w14:paraId="1B261E76" w14:textId="77777777" w:rsidR="00FF1058" w:rsidRPr="001F159B" w:rsidRDefault="00FF1058" w:rsidP="00FF1058">
            <w:pPr>
              <w:jc w:val="both"/>
              <w:rPr>
                <w:rFonts w:cstheme="minorHAnsi"/>
                <w:lang w:val="en-US"/>
              </w:rPr>
            </w:pPr>
            <w:r w:rsidRPr="001F159B">
              <w:rPr>
                <w:rFonts w:cstheme="minorHAnsi"/>
                <w:lang w:val="en-US"/>
              </w:rPr>
              <w:t>24/9/96</w:t>
            </w:r>
          </w:p>
        </w:tc>
      </w:tr>
      <w:tr w:rsidR="00FF1058" w:rsidRPr="001F159B" w14:paraId="5396B8D7" w14:textId="77777777" w:rsidTr="00FF1058">
        <w:tc>
          <w:tcPr>
            <w:tcW w:w="3050" w:type="dxa"/>
          </w:tcPr>
          <w:p w14:paraId="52805E93" w14:textId="77777777" w:rsidR="00FF1058" w:rsidRPr="001F159B" w:rsidRDefault="00FF1058" w:rsidP="00FF1058">
            <w:pPr>
              <w:jc w:val="both"/>
              <w:rPr>
                <w:rFonts w:cstheme="minorHAnsi"/>
                <w:b/>
                <w:lang w:val="en-US"/>
              </w:rPr>
            </w:pPr>
            <w:r>
              <w:rPr>
                <w:rFonts w:cstheme="minorHAnsi"/>
                <w:b/>
                <w:lang w:val="en-US"/>
              </w:rPr>
              <w:t>Policy Amended/Reviewed:</w:t>
            </w:r>
          </w:p>
        </w:tc>
        <w:tc>
          <w:tcPr>
            <w:tcW w:w="5966" w:type="dxa"/>
          </w:tcPr>
          <w:p w14:paraId="21B90F90" w14:textId="77777777" w:rsidR="00FF1058" w:rsidRPr="001F159B" w:rsidRDefault="00FF1058" w:rsidP="00FF1058">
            <w:pPr>
              <w:jc w:val="both"/>
              <w:rPr>
                <w:rFonts w:cstheme="minorHAnsi"/>
                <w:lang w:val="en-US"/>
              </w:rPr>
            </w:pPr>
            <w:r w:rsidRPr="001F159B">
              <w:rPr>
                <w:rFonts w:cstheme="minorHAnsi"/>
                <w:lang w:val="en-US"/>
              </w:rPr>
              <w:t>27/4/98, 17/8/99, 21/8/01 15/9/15 &amp; 20/10/15</w:t>
            </w:r>
            <w:r>
              <w:rPr>
                <w:rFonts w:cstheme="minorHAnsi"/>
                <w:lang w:val="en-US"/>
              </w:rPr>
              <w:t>, 17/9/19, 21/7/20, 16/2/21</w:t>
            </w:r>
          </w:p>
        </w:tc>
      </w:tr>
      <w:tr w:rsidR="00FF1058" w:rsidRPr="001F159B" w14:paraId="50CA8C46" w14:textId="77777777" w:rsidTr="00FF1058">
        <w:tc>
          <w:tcPr>
            <w:tcW w:w="3050" w:type="dxa"/>
          </w:tcPr>
          <w:p w14:paraId="583DEC6A" w14:textId="77777777" w:rsidR="00FF1058" w:rsidRPr="001F159B" w:rsidRDefault="00FF1058" w:rsidP="00FF1058">
            <w:pPr>
              <w:jc w:val="both"/>
              <w:rPr>
                <w:rFonts w:cstheme="minorHAnsi"/>
                <w:b/>
                <w:lang w:val="en-US"/>
              </w:rPr>
            </w:pPr>
            <w:r>
              <w:rPr>
                <w:rFonts w:cstheme="minorHAnsi"/>
                <w:b/>
                <w:lang w:val="en-US"/>
              </w:rPr>
              <w:t>Former Policy No:</w:t>
            </w:r>
          </w:p>
        </w:tc>
        <w:tc>
          <w:tcPr>
            <w:tcW w:w="5966" w:type="dxa"/>
          </w:tcPr>
          <w:p w14:paraId="5AA39651" w14:textId="77777777" w:rsidR="00FF1058" w:rsidRPr="001F159B" w:rsidRDefault="00FF1058" w:rsidP="00FF1058">
            <w:pPr>
              <w:jc w:val="both"/>
              <w:rPr>
                <w:rFonts w:cstheme="minorHAnsi"/>
                <w:lang w:val="en-US"/>
              </w:rPr>
            </w:pPr>
            <w:r>
              <w:rPr>
                <w:rFonts w:cstheme="minorHAnsi"/>
                <w:lang w:val="en-US"/>
              </w:rPr>
              <w:t>4.1.2 then 1.2.1</w:t>
            </w:r>
          </w:p>
        </w:tc>
      </w:tr>
    </w:tbl>
    <w:p w14:paraId="05743406" w14:textId="77777777" w:rsidR="00FF1058" w:rsidRDefault="00FF1058" w:rsidP="00FF1058">
      <w:pPr>
        <w:jc w:val="both"/>
        <w:rPr>
          <w:rFonts w:cstheme="minorHAnsi"/>
          <w:lang w:val="en-US"/>
        </w:rPr>
      </w:pPr>
    </w:p>
    <w:p w14:paraId="7A66399A" w14:textId="77777777" w:rsidR="00FF1058" w:rsidRDefault="00FF1058" w:rsidP="00B47F10">
      <w:pPr>
        <w:sectPr w:rsidR="00FF1058" w:rsidSect="000321C8">
          <w:footerReference w:type="default" r:id="rId31"/>
          <w:pgSz w:w="11906" w:h="16838"/>
          <w:pgMar w:top="1021" w:right="1416" w:bottom="1440" w:left="1440" w:header="709" w:footer="709"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pPr>
    </w:p>
    <w:p w14:paraId="397ACBCC" w14:textId="77777777" w:rsidR="002D6926" w:rsidRDefault="002D6926" w:rsidP="001F159B">
      <w:pPr>
        <w:pStyle w:val="Title"/>
        <w:pBdr>
          <w:bottom w:val="none" w:sz="0" w:space="0" w:color="auto"/>
        </w:pBdr>
        <w:spacing w:after="240"/>
        <w:jc w:val="right"/>
        <w:rPr>
          <w:rFonts w:ascii="Arial" w:hAnsi="Arial" w:cs="Arial"/>
          <w:b/>
          <w:sz w:val="14"/>
          <w:szCs w:val="28"/>
          <w:lang w:val="en-US"/>
        </w:rPr>
      </w:pPr>
    </w:p>
    <w:p w14:paraId="1B0EB8D2" w14:textId="77777777" w:rsidR="002D6926" w:rsidRPr="00111418" w:rsidRDefault="002D6926" w:rsidP="002D6926">
      <w:pPr>
        <w:pStyle w:val="Title"/>
        <w:spacing w:after="240"/>
        <w:jc w:val="right"/>
        <w:rPr>
          <w:rFonts w:cs="Arial"/>
          <w:b/>
          <w:sz w:val="14"/>
          <w:szCs w:val="28"/>
          <w:lang w:val="en-US"/>
        </w:rPr>
      </w:pPr>
      <w:r>
        <w:rPr>
          <w:noProof/>
        </w:rPr>
        <w:drawing>
          <wp:inline distT="0" distB="0" distL="0" distR="0" wp14:anchorId="440904DC" wp14:editId="290C361A">
            <wp:extent cx="1740179" cy="699273"/>
            <wp:effectExtent l="0" t="0" r="0" b="571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58605" cy="706677"/>
                    </a:xfrm>
                    <a:prstGeom prst="rect">
                      <a:avLst/>
                    </a:prstGeom>
                    <a:noFill/>
                    <a:ln>
                      <a:noFill/>
                    </a:ln>
                  </pic:spPr>
                </pic:pic>
              </a:graphicData>
            </a:graphic>
          </wp:inline>
        </w:drawing>
      </w:r>
    </w:p>
    <w:p w14:paraId="1ED5226A" w14:textId="77777777" w:rsidR="002D6926" w:rsidRPr="00111418" w:rsidRDefault="002D6926" w:rsidP="002D6926">
      <w:pPr>
        <w:pStyle w:val="Title"/>
        <w:spacing w:after="240"/>
        <w:rPr>
          <w:rFonts w:cs="Arial"/>
          <w:b/>
          <w:sz w:val="10"/>
          <w:szCs w:val="28"/>
          <w:lang w:val="en-US"/>
        </w:rPr>
      </w:pPr>
    </w:p>
    <w:p w14:paraId="7195F2FA" w14:textId="77777777" w:rsidR="002D6926" w:rsidRPr="00932F83" w:rsidRDefault="002D6926" w:rsidP="002D6926">
      <w:pPr>
        <w:pStyle w:val="Policy3"/>
        <w:spacing w:before="120"/>
      </w:pPr>
      <w:bookmarkStart w:id="76" w:name="_Toc216866655"/>
      <w:r w:rsidRPr="00932F83">
        <w:t>1.</w:t>
      </w:r>
      <w:r>
        <w:t>1</w:t>
      </w:r>
      <w:r w:rsidRPr="00932F83">
        <w:t>.</w:t>
      </w:r>
      <w:r>
        <w:t>10</w:t>
      </w:r>
      <w:r w:rsidRPr="00932F83">
        <w:tab/>
        <w:t xml:space="preserve">Code of Conduct </w:t>
      </w:r>
      <w:proofErr w:type="spellStart"/>
      <w:r>
        <w:t>Behaviour</w:t>
      </w:r>
      <w:proofErr w:type="spellEnd"/>
      <w:r>
        <w:t xml:space="preserve"> Complaints Management Policy</w:t>
      </w:r>
      <w:bookmarkEnd w:id="76"/>
    </w:p>
    <w:tbl>
      <w:tblPr>
        <w:tblStyle w:val="TableGrid"/>
        <w:tblW w:w="0" w:type="auto"/>
        <w:tblLook w:val="04A0" w:firstRow="1" w:lastRow="0" w:firstColumn="1" w:lastColumn="0" w:noHBand="0" w:noVBand="1"/>
      </w:tblPr>
      <w:tblGrid>
        <w:gridCol w:w="3020"/>
        <w:gridCol w:w="5996"/>
      </w:tblGrid>
      <w:tr w:rsidR="002D6926" w:rsidRPr="001F159B" w14:paraId="523E1360" w14:textId="77777777" w:rsidTr="00A47C26">
        <w:tc>
          <w:tcPr>
            <w:tcW w:w="3020" w:type="dxa"/>
          </w:tcPr>
          <w:p w14:paraId="2097630C" w14:textId="77777777" w:rsidR="002D6926" w:rsidRPr="001F159B" w:rsidRDefault="002D6926" w:rsidP="00A47C26">
            <w:pPr>
              <w:rPr>
                <w:rFonts w:cstheme="minorHAnsi"/>
                <w:b/>
                <w:lang w:val="en-US"/>
              </w:rPr>
            </w:pPr>
            <w:r w:rsidRPr="001F159B">
              <w:rPr>
                <w:rFonts w:cstheme="minorHAnsi"/>
                <w:b/>
                <w:lang w:val="en-US"/>
              </w:rPr>
              <w:t>Type:</w:t>
            </w:r>
          </w:p>
        </w:tc>
        <w:tc>
          <w:tcPr>
            <w:tcW w:w="5996" w:type="dxa"/>
          </w:tcPr>
          <w:p w14:paraId="6ABF9182" w14:textId="77777777" w:rsidR="002D6926" w:rsidRPr="001F159B" w:rsidRDefault="002D6926" w:rsidP="00A47C26">
            <w:pPr>
              <w:rPr>
                <w:rFonts w:cstheme="minorHAnsi"/>
                <w:lang w:val="en-US"/>
              </w:rPr>
            </w:pPr>
            <w:r>
              <w:rPr>
                <w:rFonts w:cstheme="minorHAnsi"/>
                <w:lang w:val="en-US"/>
              </w:rPr>
              <w:t>Office of the CEO – Elected Members</w:t>
            </w:r>
          </w:p>
        </w:tc>
      </w:tr>
      <w:tr w:rsidR="002D6926" w:rsidRPr="001F159B" w14:paraId="5CDFECC5" w14:textId="77777777" w:rsidTr="00A47C26">
        <w:tc>
          <w:tcPr>
            <w:tcW w:w="3020" w:type="dxa"/>
          </w:tcPr>
          <w:p w14:paraId="327A19F9" w14:textId="77777777" w:rsidR="002D6926" w:rsidRPr="001F159B" w:rsidRDefault="002D6926" w:rsidP="00A47C26">
            <w:pPr>
              <w:rPr>
                <w:rFonts w:cstheme="minorHAnsi"/>
                <w:b/>
                <w:lang w:val="en-US"/>
              </w:rPr>
            </w:pPr>
            <w:r w:rsidRPr="001F159B">
              <w:rPr>
                <w:rFonts w:cstheme="minorHAnsi"/>
                <w:b/>
                <w:lang w:val="en-US"/>
              </w:rPr>
              <w:t>Legislation:</w:t>
            </w:r>
          </w:p>
        </w:tc>
        <w:tc>
          <w:tcPr>
            <w:tcW w:w="5996" w:type="dxa"/>
          </w:tcPr>
          <w:p w14:paraId="114345F8" w14:textId="77777777" w:rsidR="002D6926" w:rsidRPr="00F07ED7" w:rsidRDefault="002D6926" w:rsidP="00A47C26">
            <w:pPr>
              <w:rPr>
                <w:rFonts w:cstheme="minorHAnsi"/>
                <w:lang w:val="en-US"/>
              </w:rPr>
            </w:pPr>
            <w:r>
              <w:rPr>
                <w:rFonts w:cstheme="minorHAnsi"/>
                <w:lang w:val="en-US"/>
              </w:rPr>
              <w:t>Local Government (Model Code of Conduct) Regulations 2021</w:t>
            </w:r>
          </w:p>
        </w:tc>
      </w:tr>
      <w:tr w:rsidR="002D6926" w:rsidRPr="001F159B" w14:paraId="441D6F96" w14:textId="77777777" w:rsidTr="00A47C26">
        <w:tc>
          <w:tcPr>
            <w:tcW w:w="3020" w:type="dxa"/>
            <w:tcBorders>
              <w:bottom w:val="single" w:sz="4" w:space="0" w:color="auto"/>
            </w:tcBorders>
          </w:tcPr>
          <w:p w14:paraId="158B2BD1" w14:textId="77777777" w:rsidR="002D6926" w:rsidRPr="001F159B" w:rsidRDefault="002D6926" w:rsidP="00A47C26">
            <w:pPr>
              <w:rPr>
                <w:rFonts w:cstheme="minorHAnsi"/>
                <w:b/>
                <w:lang w:val="en-US"/>
              </w:rPr>
            </w:pPr>
            <w:r w:rsidRPr="001F159B">
              <w:rPr>
                <w:rFonts w:cstheme="minorHAnsi"/>
                <w:b/>
                <w:lang w:val="en-US"/>
              </w:rPr>
              <w:t>Delegation:</w:t>
            </w:r>
          </w:p>
        </w:tc>
        <w:tc>
          <w:tcPr>
            <w:tcW w:w="5996" w:type="dxa"/>
            <w:tcBorders>
              <w:bottom w:val="single" w:sz="4" w:space="0" w:color="auto"/>
            </w:tcBorders>
          </w:tcPr>
          <w:p w14:paraId="171CBA22" w14:textId="77777777" w:rsidR="002D6926" w:rsidRPr="00F07ED7" w:rsidRDefault="002D6926" w:rsidP="00A47C26">
            <w:pPr>
              <w:rPr>
                <w:rFonts w:cstheme="minorHAnsi"/>
                <w:lang w:val="en-US"/>
              </w:rPr>
            </w:pPr>
            <w:r w:rsidRPr="00F07ED7">
              <w:rPr>
                <w:rFonts w:cstheme="minorHAnsi"/>
                <w:lang w:val="en-US"/>
              </w:rPr>
              <w:t>N/A</w:t>
            </w:r>
          </w:p>
        </w:tc>
      </w:tr>
      <w:tr w:rsidR="002D6926" w:rsidRPr="001F159B" w14:paraId="6F6FF0CB" w14:textId="77777777" w:rsidTr="00A47C26">
        <w:tc>
          <w:tcPr>
            <w:tcW w:w="3020" w:type="dxa"/>
            <w:tcBorders>
              <w:bottom w:val="single" w:sz="4" w:space="0" w:color="auto"/>
            </w:tcBorders>
          </w:tcPr>
          <w:p w14:paraId="384EA10A" w14:textId="77777777" w:rsidR="002D6926" w:rsidRPr="001F159B" w:rsidRDefault="002D6926" w:rsidP="00A47C26">
            <w:pPr>
              <w:rPr>
                <w:rFonts w:cstheme="minorHAnsi"/>
                <w:b/>
                <w:lang w:val="en-US"/>
              </w:rPr>
            </w:pPr>
            <w:r w:rsidRPr="001F159B">
              <w:rPr>
                <w:rFonts w:cstheme="minorHAnsi"/>
                <w:b/>
                <w:lang w:val="en-US"/>
              </w:rPr>
              <w:t>Other Related Document:</w:t>
            </w:r>
          </w:p>
        </w:tc>
        <w:tc>
          <w:tcPr>
            <w:tcW w:w="5996" w:type="dxa"/>
            <w:tcBorders>
              <w:bottom w:val="single" w:sz="4" w:space="0" w:color="auto"/>
            </w:tcBorders>
          </w:tcPr>
          <w:p w14:paraId="3B84C46A" w14:textId="77777777" w:rsidR="002D6926" w:rsidRPr="00F07ED7" w:rsidRDefault="002D6926" w:rsidP="00A47C26">
            <w:pPr>
              <w:rPr>
                <w:rFonts w:cstheme="minorHAnsi"/>
                <w:lang w:val="en-US"/>
              </w:rPr>
            </w:pPr>
            <w:r>
              <w:rPr>
                <w:rFonts w:cstheme="minorHAnsi"/>
                <w:lang w:val="en-US"/>
              </w:rPr>
              <w:t>Local Government Legislation Amendment Act 2019</w:t>
            </w:r>
          </w:p>
        </w:tc>
      </w:tr>
    </w:tbl>
    <w:p w14:paraId="3475973B" w14:textId="77777777" w:rsidR="002D6926" w:rsidRDefault="002D6926" w:rsidP="002D6926"/>
    <w:p w14:paraId="1E377319" w14:textId="77777777" w:rsidR="002D6926" w:rsidRDefault="002D6926" w:rsidP="002D6926"/>
    <w:p w14:paraId="5047568E" w14:textId="77777777" w:rsidR="002D6926" w:rsidRDefault="002D6926" w:rsidP="002D6926"/>
    <w:p w14:paraId="5BD06292" w14:textId="77777777" w:rsidR="002D6926" w:rsidRDefault="002D6926" w:rsidP="002D6926"/>
    <w:p w14:paraId="646264D6" w14:textId="77777777" w:rsidR="002D6926" w:rsidRDefault="002D6926" w:rsidP="002D6926"/>
    <w:p w14:paraId="2DC351DD" w14:textId="77777777" w:rsidR="002D6926" w:rsidRDefault="002D6926" w:rsidP="002D6926"/>
    <w:p w14:paraId="3928693F" w14:textId="77777777" w:rsidR="002D6926" w:rsidRDefault="002D6926" w:rsidP="002D6926">
      <w:r>
        <w:br w:type="page"/>
      </w:r>
    </w:p>
    <w:bookmarkStart w:id="77" w:name="_Toc61280740" w:displacedByCustomXml="next"/>
    <w:sdt>
      <w:sdtPr>
        <w:rPr>
          <w:rFonts w:asciiTheme="minorHAnsi" w:eastAsiaTheme="minorEastAsia" w:hAnsiTheme="minorHAnsi" w:cstheme="minorBidi"/>
          <w:b w:val="0"/>
          <w:bCs w:val="0"/>
          <w:color w:val="4A442A" w:themeColor="background2" w:themeShade="40"/>
          <w:sz w:val="22"/>
          <w:szCs w:val="22"/>
        </w:rPr>
        <w:id w:val="-121703729"/>
        <w:docPartObj>
          <w:docPartGallery w:val="Table of Contents"/>
          <w:docPartUnique/>
        </w:docPartObj>
      </w:sdtPr>
      <w:sdtEndPr>
        <w:rPr>
          <w:rFonts w:eastAsiaTheme="minorHAnsi"/>
          <w:noProof/>
          <w:color w:val="auto"/>
          <w:sz w:val="19"/>
          <w:szCs w:val="19"/>
        </w:rPr>
      </w:sdtEndPr>
      <w:sdtContent>
        <w:p w14:paraId="5E5A672F" w14:textId="77777777" w:rsidR="002D6926" w:rsidRPr="00F31477" w:rsidRDefault="002D6926" w:rsidP="002D6926">
          <w:pPr>
            <w:pStyle w:val="Heading1"/>
            <w:rPr>
              <w:rStyle w:val="titletrainingtypeChar"/>
            </w:rPr>
          </w:pPr>
          <w:r w:rsidRPr="00F31477">
            <w:rPr>
              <w:rStyle w:val="titletrainingtypeChar"/>
            </w:rPr>
            <w:t>Table of Contents</w:t>
          </w:r>
        </w:p>
        <w:p w14:paraId="4D3552FC" w14:textId="63DD6FB4" w:rsidR="002D6926" w:rsidRDefault="002D6926" w:rsidP="002D6926">
          <w:pPr>
            <w:pStyle w:val="TOC1"/>
            <w:rPr>
              <w:b/>
              <w:bCs/>
              <w:noProof/>
              <w:lang w:eastAsia="en-AU"/>
            </w:rPr>
          </w:pPr>
          <w:r w:rsidRPr="0041635D">
            <w:rPr>
              <w:rFonts w:eastAsiaTheme="minorEastAsia" w:cstheme="minorHAnsi"/>
              <w:color w:val="000000" w:themeColor="text1"/>
              <w:sz w:val="19"/>
              <w:szCs w:val="19"/>
              <w:lang w:eastAsia="zh-CN"/>
            </w:rPr>
            <w:fldChar w:fldCharType="begin"/>
          </w:r>
          <w:r w:rsidRPr="0041635D">
            <w:rPr>
              <w:sz w:val="19"/>
              <w:szCs w:val="19"/>
            </w:rPr>
            <w:instrText xml:space="preserve"> TOC \o "1-3" \h \z \u </w:instrText>
          </w:r>
          <w:r w:rsidRPr="0041635D">
            <w:rPr>
              <w:rFonts w:eastAsiaTheme="minorEastAsia" w:cstheme="minorHAnsi"/>
              <w:color w:val="000000" w:themeColor="text1"/>
              <w:sz w:val="19"/>
              <w:szCs w:val="19"/>
              <w:lang w:eastAsia="zh-CN"/>
            </w:rPr>
            <w:fldChar w:fldCharType="separate"/>
          </w:r>
          <w:hyperlink w:anchor="_Toc70594037" w:history="1">
            <w:r w:rsidRPr="008C62DE">
              <w:rPr>
                <w:rStyle w:val="Hyperlink"/>
                <w:noProof/>
              </w:rPr>
              <w:t>1.</w:t>
            </w:r>
            <w:r>
              <w:rPr>
                <w:noProof/>
                <w:lang w:eastAsia="en-AU"/>
              </w:rPr>
              <w:tab/>
            </w:r>
            <w:r w:rsidRPr="008C62DE">
              <w:rPr>
                <w:rStyle w:val="Hyperlink"/>
                <w:noProof/>
              </w:rPr>
              <w:t>Principles</w:t>
            </w:r>
            <w:r>
              <w:rPr>
                <w:noProof/>
                <w:webHidden/>
              </w:rPr>
              <w:tab/>
            </w:r>
            <w:r>
              <w:rPr>
                <w:noProof/>
                <w:webHidden/>
              </w:rPr>
              <w:fldChar w:fldCharType="begin"/>
            </w:r>
            <w:r>
              <w:rPr>
                <w:noProof/>
                <w:webHidden/>
              </w:rPr>
              <w:instrText xml:space="preserve"> PAGEREF _Toc70594037 \h </w:instrText>
            </w:r>
            <w:r>
              <w:rPr>
                <w:noProof/>
                <w:webHidden/>
              </w:rPr>
            </w:r>
            <w:r>
              <w:rPr>
                <w:noProof/>
                <w:webHidden/>
              </w:rPr>
              <w:fldChar w:fldCharType="separate"/>
            </w:r>
            <w:r w:rsidR="004D51B7">
              <w:rPr>
                <w:noProof/>
                <w:webHidden/>
              </w:rPr>
              <w:t>3</w:t>
            </w:r>
            <w:r>
              <w:rPr>
                <w:noProof/>
                <w:webHidden/>
              </w:rPr>
              <w:fldChar w:fldCharType="end"/>
            </w:r>
          </w:hyperlink>
        </w:p>
        <w:p w14:paraId="11BD7061" w14:textId="17804DAB" w:rsidR="002D6926" w:rsidRDefault="002D6926" w:rsidP="00543E1B">
          <w:pPr>
            <w:pStyle w:val="TOC2"/>
            <w:rPr>
              <w:i/>
              <w:iCs/>
              <w:lang w:eastAsia="en-AU"/>
            </w:rPr>
          </w:pPr>
          <w:hyperlink w:anchor="_Toc70594038" w:history="1">
            <w:r w:rsidRPr="008C62DE">
              <w:rPr>
                <w:rStyle w:val="Hyperlink"/>
              </w:rPr>
              <w:t>1.1.</w:t>
            </w:r>
            <w:r>
              <w:rPr>
                <w:lang w:eastAsia="en-AU"/>
              </w:rPr>
              <w:tab/>
            </w:r>
            <w:r w:rsidRPr="008C62DE">
              <w:rPr>
                <w:rStyle w:val="Hyperlink"/>
              </w:rPr>
              <w:t>Procedural fairness</w:t>
            </w:r>
            <w:r>
              <w:rPr>
                <w:webHidden/>
              </w:rPr>
              <w:tab/>
            </w:r>
            <w:r>
              <w:rPr>
                <w:webHidden/>
              </w:rPr>
              <w:fldChar w:fldCharType="begin"/>
            </w:r>
            <w:r>
              <w:rPr>
                <w:webHidden/>
              </w:rPr>
              <w:instrText xml:space="preserve"> PAGEREF _Toc70594038 \h </w:instrText>
            </w:r>
            <w:r>
              <w:rPr>
                <w:webHidden/>
              </w:rPr>
            </w:r>
            <w:r>
              <w:rPr>
                <w:webHidden/>
              </w:rPr>
              <w:fldChar w:fldCharType="separate"/>
            </w:r>
            <w:r w:rsidR="004D51B7">
              <w:rPr>
                <w:noProof/>
                <w:webHidden/>
              </w:rPr>
              <w:t>3</w:t>
            </w:r>
            <w:r>
              <w:rPr>
                <w:webHidden/>
              </w:rPr>
              <w:fldChar w:fldCharType="end"/>
            </w:r>
          </w:hyperlink>
        </w:p>
        <w:p w14:paraId="2B8D031F" w14:textId="48CEF18E" w:rsidR="002D6926" w:rsidRDefault="002D6926" w:rsidP="00543E1B">
          <w:pPr>
            <w:pStyle w:val="TOC2"/>
            <w:rPr>
              <w:i/>
              <w:iCs/>
              <w:lang w:eastAsia="en-AU"/>
            </w:rPr>
          </w:pPr>
          <w:hyperlink w:anchor="_Toc70594039" w:history="1">
            <w:r w:rsidRPr="008C62DE">
              <w:rPr>
                <w:rStyle w:val="Hyperlink"/>
              </w:rPr>
              <w:t>1.2.</w:t>
            </w:r>
            <w:r>
              <w:rPr>
                <w:lang w:eastAsia="en-AU"/>
              </w:rPr>
              <w:tab/>
            </w:r>
            <w:r w:rsidRPr="008C62DE">
              <w:rPr>
                <w:rStyle w:val="Hyperlink"/>
              </w:rPr>
              <w:t>Consistency</w:t>
            </w:r>
            <w:r>
              <w:rPr>
                <w:webHidden/>
              </w:rPr>
              <w:tab/>
            </w:r>
            <w:r>
              <w:rPr>
                <w:webHidden/>
              </w:rPr>
              <w:fldChar w:fldCharType="begin"/>
            </w:r>
            <w:r>
              <w:rPr>
                <w:webHidden/>
              </w:rPr>
              <w:instrText xml:space="preserve"> PAGEREF _Toc70594039 \h </w:instrText>
            </w:r>
            <w:r>
              <w:rPr>
                <w:webHidden/>
              </w:rPr>
            </w:r>
            <w:r>
              <w:rPr>
                <w:webHidden/>
              </w:rPr>
              <w:fldChar w:fldCharType="separate"/>
            </w:r>
            <w:r w:rsidR="004D51B7">
              <w:rPr>
                <w:noProof/>
                <w:webHidden/>
              </w:rPr>
              <w:t>3</w:t>
            </w:r>
            <w:r>
              <w:rPr>
                <w:webHidden/>
              </w:rPr>
              <w:fldChar w:fldCharType="end"/>
            </w:r>
          </w:hyperlink>
        </w:p>
        <w:p w14:paraId="5BBD737C" w14:textId="486CC1CC" w:rsidR="002D6926" w:rsidRDefault="002D6926" w:rsidP="00543E1B">
          <w:pPr>
            <w:pStyle w:val="TOC2"/>
            <w:rPr>
              <w:i/>
              <w:iCs/>
              <w:lang w:eastAsia="en-AU"/>
            </w:rPr>
          </w:pPr>
          <w:hyperlink w:anchor="_Toc70594040" w:history="1">
            <w:r w:rsidRPr="008C62DE">
              <w:rPr>
                <w:rStyle w:val="Hyperlink"/>
              </w:rPr>
              <w:t>1.3.</w:t>
            </w:r>
            <w:r>
              <w:rPr>
                <w:lang w:eastAsia="en-AU"/>
              </w:rPr>
              <w:tab/>
            </w:r>
            <w:r w:rsidRPr="008C62DE">
              <w:rPr>
                <w:rStyle w:val="Hyperlink"/>
              </w:rPr>
              <w:t>Confidentiality</w:t>
            </w:r>
            <w:r>
              <w:rPr>
                <w:webHidden/>
              </w:rPr>
              <w:tab/>
            </w:r>
            <w:r>
              <w:rPr>
                <w:webHidden/>
              </w:rPr>
              <w:fldChar w:fldCharType="begin"/>
            </w:r>
            <w:r>
              <w:rPr>
                <w:webHidden/>
              </w:rPr>
              <w:instrText xml:space="preserve"> PAGEREF _Toc70594040 \h </w:instrText>
            </w:r>
            <w:r>
              <w:rPr>
                <w:webHidden/>
              </w:rPr>
            </w:r>
            <w:r>
              <w:rPr>
                <w:webHidden/>
              </w:rPr>
              <w:fldChar w:fldCharType="separate"/>
            </w:r>
            <w:r w:rsidR="004D51B7">
              <w:rPr>
                <w:noProof/>
                <w:webHidden/>
              </w:rPr>
              <w:t>3</w:t>
            </w:r>
            <w:r>
              <w:rPr>
                <w:webHidden/>
              </w:rPr>
              <w:fldChar w:fldCharType="end"/>
            </w:r>
          </w:hyperlink>
        </w:p>
        <w:p w14:paraId="0E0430DE" w14:textId="1146D4A3" w:rsidR="002D6926" w:rsidRDefault="002D6926" w:rsidP="00543E1B">
          <w:pPr>
            <w:pStyle w:val="TOC2"/>
            <w:rPr>
              <w:i/>
              <w:iCs/>
              <w:lang w:eastAsia="en-AU"/>
            </w:rPr>
          </w:pPr>
          <w:hyperlink w:anchor="_Toc70594041" w:history="1">
            <w:r w:rsidRPr="008C62DE">
              <w:rPr>
                <w:rStyle w:val="Hyperlink"/>
              </w:rPr>
              <w:t>1.4.</w:t>
            </w:r>
            <w:r>
              <w:rPr>
                <w:lang w:eastAsia="en-AU"/>
              </w:rPr>
              <w:tab/>
            </w:r>
            <w:r w:rsidRPr="008C62DE">
              <w:rPr>
                <w:rStyle w:val="Hyperlink"/>
              </w:rPr>
              <w:t>Accessibility</w:t>
            </w:r>
            <w:r>
              <w:rPr>
                <w:webHidden/>
              </w:rPr>
              <w:tab/>
            </w:r>
            <w:r>
              <w:rPr>
                <w:webHidden/>
              </w:rPr>
              <w:fldChar w:fldCharType="begin"/>
            </w:r>
            <w:r>
              <w:rPr>
                <w:webHidden/>
              </w:rPr>
              <w:instrText xml:space="preserve"> PAGEREF _Toc70594041 \h </w:instrText>
            </w:r>
            <w:r>
              <w:rPr>
                <w:webHidden/>
              </w:rPr>
            </w:r>
            <w:r>
              <w:rPr>
                <w:webHidden/>
              </w:rPr>
              <w:fldChar w:fldCharType="separate"/>
            </w:r>
            <w:r w:rsidR="004D51B7">
              <w:rPr>
                <w:noProof/>
                <w:webHidden/>
              </w:rPr>
              <w:t>3</w:t>
            </w:r>
            <w:r>
              <w:rPr>
                <w:webHidden/>
              </w:rPr>
              <w:fldChar w:fldCharType="end"/>
            </w:r>
          </w:hyperlink>
        </w:p>
        <w:p w14:paraId="51D37FCD" w14:textId="00A15632" w:rsidR="002D6926" w:rsidRDefault="002D6926" w:rsidP="002D6926">
          <w:pPr>
            <w:pStyle w:val="TOC1"/>
            <w:rPr>
              <w:b/>
              <w:bCs/>
              <w:noProof/>
              <w:lang w:eastAsia="en-AU"/>
            </w:rPr>
          </w:pPr>
          <w:hyperlink w:anchor="_Toc70594042" w:history="1">
            <w:r w:rsidRPr="008C62DE">
              <w:rPr>
                <w:rStyle w:val="Hyperlink"/>
                <w:noProof/>
              </w:rPr>
              <w:t>2.</w:t>
            </w:r>
            <w:r>
              <w:rPr>
                <w:noProof/>
                <w:lang w:eastAsia="en-AU"/>
              </w:rPr>
              <w:tab/>
            </w:r>
            <w:r w:rsidRPr="008C62DE">
              <w:rPr>
                <w:rStyle w:val="Hyperlink"/>
                <w:noProof/>
              </w:rPr>
              <w:t>Roles</w:t>
            </w:r>
            <w:r>
              <w:rPr>
                <w:noProof/>
                <w:webHidden/>
              </w:rPr>
              <w:tab/>
            </w:r>
            <w:r>
              <w:rPr>
                <w:noProof/>
                <w:webHidden/>
              </w:rPr>
              <w:fldChar w:fldCharType="begin"/>
            </w:r>
            <w:r>
              <w:rPr>
                <w:noProof/>
                <w:webHidden/>
              </w:rPr>
              <w:instrText xml:space="preserve"> PAGEREF _Toc70594042 \h </w:instrText>
            </w:r>
            <w:r>
              <w:rPr>
                <w:noProof/>
                <w:webHidden/>
              </w:rPr>
            </w:r>
            <w:r>
              <w:rPr>
                <w:noProof/>
                <w:webHidden/>
              </w:rPr>
              <w:fldChar w:fldCharType="separate"/>
            </w:r>
            <w:r w:rsidR="004D51B7">
              <w:rPr>
                <w:noProof/>
                <w:webHidden/>
              </w:rPr>
              <w:t>4</w:t>
            </w:r>
            <w:r>
              <w:rPr>
                <w:noProof/>
                <w:webHidden/>
              </w:rPr>
              <w:fldChar w:fldCharType="end"/>
            </w:r>
          </w:hyperlink>
        </w:p>
        <w:p w14:paraId="39DABC6E" w14:textId="32E67B0A" w:rsidR="002D6926" w:rsidRDefault="002D6926" w:rsidP="00543E1B">
          <w:pPr>
            <w:pStyle w:val="TOC2"/>
            <w:rPr>
              <w:i/>
              <w:iCs/>
              <w:lang w:eastAsia="en-AU"/>
            </w:rPr>
          </w:pPr>
          <w:hyperlink w:anchor="_Toc70594043" w:history="1">
            <w:r w:rsidRPr="008C62DE">
              <w:rPr>
                <w:rStyle w:val="Hyperlink"/>
              </w:rPr>
              <w:t>2.1.</w:t>
            </w:r>
            <w:r>
              <w:rPr>
                <w:lang w:eastAsia="en-AU"/>
              </w:rPr>
              <w:tab/>
            </w:r>
            <w:r w:rsidRPr="008C62DE">
              <w:rPr>
                <w:rStyle w:val="Hyperlink"/>
              </w:rPr>
              <w:t>Behaviour Complaints Officer</w:t>
            </w:r>
            <w:r>
              <w:rPr>
                <w:webHidden/>
              </w:rPr>
              <w:tab/>
            </w:r>
            <w:r>
              <w:rPr>
                <w:webHidden/>
              </w:rPr>
              <w:fldChar w:fldCharType="begin"/>
            </w:r>
            <w:r>
              <w:rPr>
                <w:webHidden/>
              </w:rPr>
              <w:instrText xml:space="preserve"> PAGEREF _Toc70594043 \h </w:instrText>
            </w:r>
            <w:r>
              <w:rPr>
                <w:webHidden/>
              </w:rPr>
            </w:r>
            <w:r>
              <w:rPr>
                <w:webHidden/>
              </w:rPr>
              <w:fldChar w:fldCharType="separate"/>
            </w:r>
            <w:r w:rsidR="004D51B7">
              <w:rPr>
                <w:noProof/>
                <w:webHidden/>
              </w:rPr>
              <w:t>4</w:t>
            </w:r>
            <w:r>
              <w:rPr>
                <w:webHidden/>
              </w:rPr>
              <w:fldChar w:fldCharType="end"/>
            </w:r>
          </w:hyperlink>
        </w:p>
        <w:p w14:paraId="177BA374" w14:textId="765F0F78" w:rsidR="002D6926" w:rsidRDefault="002D6926" w:rsidP="00543E1B">
          <w:pPr>
            <w:pStyle w:val="TOC2"/>
            <w:rPr>
              <w:i/>
              <w:iCs/>
              <w:lang w:eastAsia="en-AU"/>
            </w:rPr>
          </w:pPr>
          <w:hyperlink w:anchor="_Toc70594044" w:history="1">
            <w:r w:rsidRPr="008C62DE">
              <w:rPr>
                <w:rStyle w:val="Hyperlink"/>
              </w:rPr>
              <w:t>2.2.</w:t>
            </w:r>
            <w:r>
              <w:rPr>
                <w:lang w:eastAsia="en-AU"/>
              </w:rPr>
              <w:tab/>
            </w:r>
            <w:r w:rsidRPr="008C62DE">
              <w:rPr>
                <w:rStyle w:val="Hyperlink"/>
              </w:rPr>
              <w:t>Complaint Assessor</w:t>
            </w:r>
            <w:r>
              <w:rPr>
                <w:webHidden/>
              </w:rPr>
              <w:tab/>
            </w:r>
            <w:r>
              <w:rPr>
                <w:webHidden/>
              </w:rPr>
              <w:fldChar w:fldCharType="begin"/>
            </w:r>
            <w:r>
              <w:rPr>
                <w:webHidden/>
              </w:rPr>
              <w:instrText xml:space="preserve"> PAGEREF _Toc70594044 \h </w:instrText>
            </w:r>
            <w:r>
              <w:rPr>
                <w:webHidden/>
              </w:rPr>
            </w:r>
            <w:r>
              <w:rPr>
                <w:webHidden/>
              </w:rPr>
              <w:fldChar w:fldCharType="separate"/>
            </w:r>
            <w:r w:rsidR="004D51B7">
              <w:rPr>
                <w:noProof/>
                <w:webHidden/>
              </w:rPr>
              <w:t>4</w:t>
            </w:r>
            <w:r>
              <w:rPr>
                <w:webHidden/>
              </w:rPr>
              <w:fldChar w:fldCharType="end"/>
            </w:r>
          </w:hyperlink>
        </w:p>
        <w:p w14:paraId="7D3A444C" w14:textId="5DC36119" w:rsidR="002D6926" w:rsidRDefault="002D6926" w:rsidP="00543E1B">
          <w:pPr>
            <w:pStyle w:val="TOC2"/>
            <w:rPr>
              <w:i/>
              <w:iCs/>
              <w:lang w:eastAsia="en-AU"/>
            </w:rPr>
          </w:pPr>
          <w:hyperlink w:anchor="_Toc70594045" w:history="1">
            <w:r w:rsidRPr="008C62DE">
              <w:rPr>
                <w:rStyle w:val="Hyperlink"/>
              </w:rPr>
              <w:t>2.3.</w:t>
            </w:r>
            <w:r>
              <w:rPr>
                <w:lang w:eastAsia="en-AU"/>
              </w:rPr>
              <w:tab/>
            </w:r>
            <w:r w:rsidRPr="008C62DE">
              <w:rPr>
                <w:rStyle w:val="Hyperlink"/>
              </w:rPr>
              <w:t>Behaviour Complaints Committee</w:t>
            </w:r>
            <w:r>
              <w:rPr>
                <w:webHidden/>
              </w:rPr>
              <w:tab/>
            </w:r>
            <w:r>
              <w:rPr>
                <w:webHidden/>
              </w:rPr>
              <w:fldChar w:fldCharType="begin"/>
            </w:r>
            <w:r>
              <w:rPr>
                <w:webHidden/>
              </w:rPr>
              <w:instrText xml:space="preserve"> PAGEREF _Toc70594045 \h </w:instrText>
            </w:r>
            <w:r>
              <w:rPr>
                <w:webHidden/>
              </w:rPr>
            </w:r>
            <w:r>
              <w:rPr>
                <w:webHidden/>
              </w:rPr>
              <w:fldChar w:fldCharType="separate"/>
            </w:r>
            <w:r w:rsidR="004D51B7">
              <w:rPr>
                <w:noProof/>
                <w:webHidden/>
              </w:rPr>
              <w:t>4</w:t>
            </w:r>
            <w:r>
              <w:rPr>
                <w:webHidden/>
              </w:rPr>
              <w:fldChar w:fldCharType="end"/>
            </w:r>
          </w:hyperlink>
        </w:p>
        <w:p w14:paraId="3F5B096D" w14:textId="23DCA41F" w:rsidR="002D6926" w:rsidRDefault="002D6926" w:rsidP="002D6926">
          <w:pPr>
            <w:pStyle w:val="TOC1"/>
            <w:rPr>
              <w:b/>
              <w:bCs/>
              <w:noProof/>
              <w:lang w:eastAsia="en-AU"/>
            </w:rPr>
          </w:pPr>
          <w:hyperlink w:anchor="_Toc70594046" w:history="1">
            <w:r w:rsidRPr="008C62DE">
              <w:rPr>
                <w:rStyle w:val="Hyperlink"/>
                <w:noProof/>
              </w:rPr>
              <w:t>3.</w:t>
            </w:r>
            <w:r>
              <w:rPr>
                <w:noProof/>
                <w:lang w:eastAsia="en-AU"/>
              </w:rPr>
              <w:tab/>
            </w:r>
            <w:r w:rsidRPr="008C62DE">
              <w:rPr>
                <w:rStyle w:val="Hyperlink"/>
                <w:noProof/>
              </w:rPr>
              <w:t>Procedure</w:t>
            </w:r>
            <w:r>
              <w:rPr>
                <w:noProof/>
                <w:webHidden/>
              </w:rPr>
              <w:tab/>
            </w:r>
            <w:r>
              <w:rPr>
                <w:noProof/>
                <w:webHidden/>
              </w:rPr>
              <w:fldChar w:fldCharType="begin"/>
            </w:r>
            <w:r>
              <w:rPr>
                <w:noProof/>
                <w:webHidden/>
              </w:rPr>
              <w:instrText xml:space="preserve"> PAGEREF _Toc70594046 \h </w:instrText>
            </w:r>
            <w:r>
              <w:rPr>
                <w:noProof/>
                <w:webHidden/>
              </w:rPr>
            </w:r>
            <w:r>
              <w:rPr>
                <w:noProof/>
                <w:webHidden/>
              </w:rPr>
              <w:fldChar w:fldCharType="separate"/>
            </w:r>
            <w:r w:rsidR="004D51B7">
              <w:rPr>
                <w:noProof/>
                <w:webHidden/>
              </w:rPr>
              <w:t>4</w:t>
            </w:r>
            <w:r>
              <w:rPr>
                <w:noProof/>
                <w:webHidden/>
              </w:rPr>
              <w:fldChar w:fldCharType="end"/>
            </w:r>
          </w:hyperlink>
        </w:p>
        <w:p w14:paraId="22857124" w14:textId="71578C78" w:rsidR="002D6926" w:rsidRDefault="002D6926" w:rsidP="00543E1B">
          <w:pPr>
            <w:pStyle w:val="TOC2"/>
            <w:rPr>
              <w:i/>
              <w:iCs/>
              <w:lang w:eastAsia="en-AU"/>
            </w:rPr>
          </w:pPr>
          <w:hyperlink w:anchor="_Toc70594047" w:history="1">
            <w:r w:rsidRPr="008C62DE">
              <w:rPr>
                <w:rStyle w:val="Hyperlink"/>
              </w:rPr>
              <w:t>3.1.</w:t>
            </w:r>
            <w:r>
              <w:rPr>
                <w:lang w:eastAsia="en-AU"/>
              </w:rPr>
              <w:tab/>
            </w:r>
            <w:r w:rsidRPr="008C62DE">
              <w:rPr>
                <w:rStyle w:val="Hyperlink"/>
              </w:rPr>
              <w:t>Making a complaint</w:t>
            </w:r>
            <w:r>
              <w:rPr>
                <w:webHidden/>
              </w:rPr>
              <w:tab/>
            </w:r>
            <w:r>
              <w:rPr>
                <w:webHidden/>
              </w:rPr>
              <w:fldChar w:fldCharType="begin"/>
            </w:r>
            <w:r>
              <w:rPr>
                <w:webHidden/>
              </w:rPr>
              <w:instrText xml:space="preserve"> PAGEREF _Toc70594047 \h </w:instrText>
            </w:r>
            <w:r>
              <w:rPr>
                <w:webHidden/>
              </w:rPr>
            </w:r>
            <w:r>
              <w:rPr>
                <w:webHidden/>
              </w:rPr>
              <w:fldChar w:fldCharType="separate"/>
            </w:r>
            <w:r w:rsidR="004D51B7">
              <w:rPr>
                <w:noProof/>
                <w:webHidden/>
              </w:rPr>
              <w:t>4</w:t>
            </w:r>
            <w:r>
              <w:rPr>
                <w:webHidden/>
              </w:rPr>
              <w:fldChar w:fldCharType="end"/>
            </w:r>
          </w:hyperlink>
        </w:p>
        <w:p w14:paraId="7452440C" w14:textId="224624C1" w:rsidR="002D6926" w:rsidRDefault="002D6926" w:rsidP="00543E1B">
          <w:pPr>
            <w:pStyle w:val="TOC2"/>
            <w:rPr>
              <w:i/>
              <w:iCs/>
              <w:lang w:eastAsia="en-AU"/>
            </w:rPr>
          </w:pPr>
          <w:hyperlink w:anchor="_Toc70594048" w:history="1">
            <w:r w:rsidRPr="008C62DE">
              <w:rPr>
                <w:rStyle w:val="Hyperlink"/>
              </w:rPr>
              <w:t>3.2.</w:t>
            </w:r>
            <w:r>
              <w:rPr>
                <w:lang w:eastAsia="en-AU"/>
              </w:rPr>
              <w:tab/>
            </w:r>
            <w:r w:rsidRPr="008C62DE">
              <w:rPr>
                <w:rStyle w:val="Hyperlink"/>
              </w:rPr>
              <w:t>Candidate Complaints</w:t>
            </w:r>
            <w:r>
              <w:rPr>
                <w:webHidden/>
              </w:rPr>
              <w:tab/>
            </w:r>
            <w:r>
              <w:rPr>
                <w:webHidden/>
              </w:rPr>
              <w:fldChar w:fldCharType="begin"/>
            </w:r>
            <w:r>
              <w:rPr>
                <w:webHidden/>
              </w:rPr>
              <w:instrText xml:space="preserve"> PAGEREF _Toc70594048 \h </w:instrText>
            </w:r>
            <w:r>
              <w:rPr>
                <w:webHidden/>
              </w:rPr>
            </w:r>
            <w:r>
              <w:rPr>
                <w:webHidden/>
              </w:rPr>
              <w:fldChar w:fldCharType="separate"/>
            </w:r>
            <w:r w:rsidR="004D51B7">
              <w:rPr>
                <w:noProof/>
                <w:webHidden/>
              </w:rPr>
              <w:t>5</w:t>
            </w:r>
            <w:r>
              <w:rPr>
                <w:webHidden/>
              </w:rPr>
              <w:fldChar w:fldCharType="end"/>
            </w:r>
          </w:hyperlink>
        </w:p>
        <w:p w14:paraId="130975A0" w14:textId="35938D3E" w:rsidR="002D6926" w:rsidRDefault="002D6926" w:rsidP="00543E1B">
          <w:pPr>
            <w:pStyle w:val="TOC2"/>
            <w:rPr>
              <w:i/>
              <w:iCs/>
              <w:lang w:eastAsia="en-AU"/>
            </w:rPr>
          </w:pPr>
          <w:hyperlink w:anchor="_Toc70594049" w:history="1">
            <w:r w:rsidRPr="008C62DE">
              <w:rPr>
                <w:rStyle w:val="Hyperlink"/>
              </w:rPr>
              <w:t>3.3.</w:t>
            </w:r>
            <w:r>
              <w:rPr>
                <w:lang w:eastAsia="en-AU"/>
              </w:rPr>
              <w:tab/>
            </w:r>
            <w:r w:rsidRPr="008C62DE">
              <w:rPr>
                <w:rStyle w:val="Hyperlink"/>
              </w:rPr>
              <w:t>Withdrawing a Complaint</w:t>
            </w:r>
            <w:r>
              <w:rPr>
                <w:webHidden/>
              </w:rPr>
              <w:tab/>
            </w:r>
            <w:r>
              <w:rPr>
                <w:webHidden/>
              </w:rPr>
              <w:fldChar w:fldCharType="begin"/>
            </w:r>
            <w:r>
              <w:rPr>
                <w:webHidden/>
              </w:rPr>
              <w:instrText xml:space="preserve"> PAGEREF _Toc70594049 \h </w:instrText>
            </w:r>
            <w:r>
              <w:rPr>
                <w:webHidden/>
              </w:rPr>
            </w:r>
            <w:r>
              <w:rPr>
                <w:webHidden/>
              </w:rPr>
              <w:fldChar w:fldCharType="separate"/>
            </w:r>
            <w:r w:rsidR="004D51B7">
              <w:rPr>
                <w:noProof/>
                <w:webHidden/>
              </w:rPr>
              <w:t>5</w:t>
            </w:r>
            <w:r>
              <w:rPr>
                <w:webHidden/>
              </w:rPr>
              <w:fldChar w:fldCharType="end"/>
            </w:r>
          </w:hyperlink>
        </w:p>
        <w:p w14:paraId="6CF238F0" w14:textId="6D3458AE" w:rsidR="002D6926" w:rsidRDefault="002D6926" w:rsidP="00543E1B">
          <w:pPr>
            <w:pStyle w:val="TOC2"/>
            <w:rPr>
              <w:i/>
              <w:iCs/>
              <w:lang w:eastAsia="en-AU"/>
            </w:rPr>
          </w:pPr>
          <w:hyperlink w:anchor="_Toc70594050" w:history="1">
            <w:r w:rsidRPr="008C62DE">
              <w:rPr>
                <w:rStyle w:val="Hyperlink"/>
              </w:rPr>
              <w:t>3.4.</w:t>
            </w:r>
            <w:r>
              <w:rPr>
                <w:lang w:eastAsia="en-AU"/>
              </w:rPr>
              <w:tab/>
            </w:r>
            <w:r w:rsidRPr="008C62DE">
              <w:rPr>
                <w:rStyle w:val="Hyperlink"/>
              </w:rPr>
              <w:t>Notice to Complainant</w:t>
            </w:r>
            <w:r>
              <w:rPr>
                <w:webHidden/>
              </w:rPr>
              <w:tab/>
            </w:r>
            <w:r>
              <w:rPr>
                <w:webHidden/>
              </w:rPr>
              <w:fldChar w:fldCharType="begin"/>
            </w:r>
            <w:r>
              <w:rPr>
                <w:webHidden/>
              </w:rPr>
              <w:instrText xml:space="preserve"> PAGEREF _Toc70594050 \h </w:instrText>
            </w:r>
            <w:r>
              <w:rPr>
                <w:webHidden/>
              </w:rPr>
            </w:r>
            <w:r>
              <w:rPr>
                <w:webHidden/>
              </w:rPr>
              <w:fldChar w:fldCharType="separate"/>
            </w:r>
            <w:r w:rsidR="004D51B7">
              <w:rPr>
                <w:noProof/>
                <w:webHidden/>
              </w:rPr>
              <w:t>5</w:t>
            </w:r>
            <w:r>
              <w:rPr>
                <w:webHidden/>
              </w:rPr>
              <w:fldChar w:fldCharType="end"/>
            </w:r>
          </w:hyperlink>
        </w:p>
        <w:p w14:paraId="237F49C6" w14:textId="4F124030" w:rsidR="002D6926" w:rsidRDefault="002D6926" w:rsidP="00543E1B">
          <w:pPr>
            <w:pStyle w:val="TOC2"/>
            <w:rPr>
              <w:i/>
              <w:iCs/>
              <w:lang w:eastAsia="en-AU"/>
            </w:rPr>
          </w:pPr>
          <w:hyperlink w:anchor="_Toc70594051" w:history="1">
            <w:r w:rsidRPr="008C62DE">
              <w:rPr>
                <w:rStyle w:val="Hyperlink"/>
              </w:rPr>
              <w:t>3.5.</w:t>
            </w:r>
            <w:r>
              <w:rPr>
                <w:lang w:eastAsia="en-AU"/>
              </w:rPr>
              <w:tab/>
            </w:r>
            <w:r w:rsidRPr="008C62DE">
              <w:rPr>
                <w:rStyle w:val="Hyperlink"/>
              </w:rPr>
              <w:t>Notice to Respondent</w:t>
            </w:r>
            <w:r>
              <w:rPr>
                <w:webHidden/>
              </w:rPr>
              <w:tab/>
            </w:r>
            <w:r>
              <w:rPr>
                <w:webHidden/>
              </w:rPr>
              <w:fldChar w:fldCharType="begin"/>
            </w:r>
            <w:r>
              <w:rPr>
                <w:webHidden/>
              </w:rPr>
              <w:instrText xml:space="preserve"> PAGEREF _Toc70594051 \h </w:instrText>
            </w:r>
            <w:r>
              <w:rPr>
                <w:webHidden/>
              </w:rPr>
            </w:r>
            <w:r>
              <w:rPr>
                <w:webHidden/>
              </w:rPr>
              <w:fldChar w:fldCharType="separate"/>
            </w:r>
            <w:r w:rsidR="004D51B7">
              <w:rPr>
                <w:noProof/>
                <w:webHidden/>
              </w:rPr>
              <w:t>6</w:t>
            </w:r>
            <w:r>
              <w:rPr>
                <w:webHidden/>
              </w:rPr>
              <w:fldChar w:fldCharType="end"/>
            </w:r>
          </w:hyperlink>
        </w:p>
        <w:p w14:paraId="653DEAB3" w14:textId="39145A49" w:rsidR="002D6926" w:rsidRDefault="002D6926" w:rsidP="00543E1B">
          <w:pPr>
            <w:pStyle w:val="TOC2"/>
            <w:rPr>
              <w:i/>
              <w:iCs/>
              <w:lang w:eastAsia="en-AU"/>
            </w:rPr>
          </w:pPr>
          <w:hyperlink w:anchor="_Toc70594052" w:history="1">
            <w:r w:rsidRPr="008C62DE">
              <w:rPr>
                <w:rStyle w:val="Hyperlink"/>
              </w:rPr>
              <w:t>3.6.</w:t>
            </w:r>
            <w:r>
              <w:rPr>
                <w:lang w:eastAsia="en-AU"/>
              </w:rPr>
              <w:tab/>
            </w:r>
            <w:r w:rsidRPr="008C62DE">
              <w:rPr>
                <w:rStyle w:val="Hyperlink"/>
              </w:rPr>
              <w:t>Alternative Dispute Resolution</w:t>
            </w:r>
            <w:r>
              <w:rPr>
                <w:webHidden/>
              </w:rPr>
              <w:tab/>
            </w:r>
            <w:r>
              <w:rPr>
                <w:webHidden/>
              </w:rPr>
              <w:fldChar w:fldCharType="begin"/>
            </w:r>
            <w:r>
              <w:rPr>
                <w:webHidden/>
              </w:rPr>
              <w:instrText xml:space="preserve"> PAGEREF _Toc70594052 \h </w:instrText>
            </w:r>
            <w:r>
              <w:rPr>
                <w:webHidden/>
              </w:rPr>
            </w:r>
            <w:r>
              <w:rPr>
                <w:webHidden/>
              </w:rPr>
              <w:fldChar w:fldCharType="separate"/>
            </w:r>
            <w:r w:rsidR="004D51B7">
              <w:rPr>
                <w:noProof/>
                <w:webHidden/>
              </w:rPr>
              <w:t>6</w:t>
            </w:r>
            <w:r>
              <w:rPr>
                <w:webHidden/>
              </w:rPr>
              <w:fldChar w:fldCharType="end"/>
            </w:r>
          </w:hyperlink>
        </w:p>
        <w:p w14:paraId="1361B098" w14:textId="772212DC" w:rsidR="002D6926" w:rsidRDefault="002D6926" w:rsidP="00543E1B">
          <w:pPr>
            <w:pStyle w:val="TOC2"/>
            <w:rPr>
              <w:i/>
              <w:iCs/>
              <w:lang w:eastAsia="en-AU"/>
            </w:rPr>
          </w:pPr>
          <w:hyperlink w:anchor="_Toc70594053" w:history="1">
            <w:r w:rsidRPr="008C62DE">
              <w:rPr>
                <w:rStyle w:val="Hyperlink"/>
              </w:rPr>
              <w:t>3.7.</w:t>
            </w:r>
            <w:r>
              <w:rPr>
                <w:lang w:eastAsia="en-AU"/>
              </w:rPr>
              <w:tab/>
            </w:r>
            <w:r w:rsidRPr="008C62DE">
              <w:rPr>
                <w:rStyle w:val="Hyperlink"/>
              </w:rPr>
              <w:t>Order of Complaints</w:t>
            </w:r>
            <w:r>
              <w:rPr>
                <w:webHidden/>
              </w:rPr>
              <w:tab/>
            </w:r>
            <w:r>
              <w:rPr>
                <w:webHidden/>
              </w:rPr>
              <w:fldChar w:fldCharType="begin"/>
            </w:r>
            <w:r>
              <w:rPr>
                <w:webHidden/>
              </w:rPr>
              <w:instrText xml:space="preserve"> PAGEREF _Toc70594053 \h </w:instrText>
            </w:r>
            <w:r>
              <w:rPr>
                <w:webHidden/>
              </w:rPr>
            </w:r>
            <w:r>
              <w:rPr>
                <w:webHidden/>
              </w:rPr>
              <w:fldChar w:fldCharType="separate"/>
            </w:r>
            <w:r w:rsidR="004D51B7">
              <w:rPr>
                <w:noProof/>
                <w:webHidden/>
              </w:rPr>
              <w:t>6</w:t>
            </w:r>
            <w:r>
              <w:rPr>
                <w:webHidden/>
              </w:rPr>
              <w:fldChar w:fldCharType="end"/>
            </w:r>
          </w:hyperlink>
        </w:p>
        <w:p w14:paraId="25C06959" w14:textId="6B430718" w:rsidR="002D6926" w:rsidRDefault="002D6926" w:rsidP="00543E1B">
          <w:pPr>
            <w:pStyle w:val="TOC2"/>
            <w:rPr>
              <w:i/>
              <w:iCs/>
              <w:lang w:eastAsia="en-AU"/>
            </w:rPr>
          </w:pPr>
          <w:hyperlink w:anchor="_Toc70594054" w:history="1">
            <w:r w:rsidRPr="008C62DE">
              <w:rPr>
                <w:rStyle w:val="Hyperlink"/>
              </w:rPr>
              <w:t>3.8.</w:t>
            </w:r>
            <w:r>
              <w:rPr>
                <w:lang w:eastAsia="en-AU"/>
              </w:rPr>
              <w:tab/>
            </w:r>
            <w:r w:rsidRPr="008C62DE">
              <w:rPr>
                <w:rStyle w:val="Hyperlink"/>
              </w:rPr>
              <w:t>Appointment of Complaints Assessor</w:t>
            </w:r>
            <w:r>
              <w:rPr>
                <w:webHidden/>
              </w:rPr>
              <w:tab/>
            </w:r>
            <w:r>
              <w:rPr>
                <w:webHidden/>
              </w:rPr>
              <w:fldChar w:fldCharType="begin"/>
            </w:r>
            <w:r>
              <w:rPr>
                <w:webHidden/>
              </w:rPr>
              <w:instrText xml:space="preserve"> PAGEREF _Toc70594054 \h </w:instrText>
            </w:r>
            <w:r>
              <w:rPr>
                <w:webHidden/>
              </w:rPr>
            </w:r>
            <w:r>
              <w:rPr>
                <w:webHidden/>
              </w:rPr>
              <w:fldChar w:fldCharType="separate"/>
            </w:r>
            <w:r w:rsidR="004D51B7">
              <w:rPr>
                <w:noProof/>
                <w:webHidden/>
              </w:rPr>
              <w:t>7</w:t>
            </w:r>
            <w:r>
              <w:rPr>
                <w:webHidden/>
              </w:rPr>
              <w:fldChar w:fldCharType="end"/>
            </w:r>
          </w:hyperlink>
        </w:p>
        <w:p w14:paraId="619642A9" w14:textId="4FD8916B" w:rsidR="002D6926" w:rsidRDefault="002D6926" w:rsidP="00543E1B">
          <w:pPr>
            <w:pStyle w:val="TOC2"/>
            <w:rPr>
              <w:i/>
              <w:iCs/>
              <w:lang w:eastAsia="en-AU"/>
            </w:rPr>
          </w:pPr>
          <w:hyperlink w:anchor="_Toc70594055" w:history="1">
            <w:r w:rsidRPr="008C62DE">
              <w:rPr>
                <w:rStyle w:val="Hyperlink"/>
              </w:rPr>
              <w:t>3.9.</w:t>
            </w:r>
            <w:r>
              <w:rPr>
                <w:lang w:eastAsia="en-AU"/>
              </w:rPr>
              <w:tab/>
            </w:r>
            <w:r w:rsidRPr="008C62DE">
              <w:rPr>
                <w:rStyle w:val="Hyperlink"/>
              </w:rPr>
              <w:t>Search of Local Government Records</w:t>
            </w:r>
            <w:r>
              <w:rPr>
                <w:webHidden/>
              </w:rPr>
              <w:tab/>
            </w:r>
            <w:r>
              <w:rPr>
                <w:webHidden/>
              </w:rPr>
              <w:fldChar w:fldCharType="begin"/>
            </w:r>
            <w:r>
              <w:rPr>
                <w:webHidden/>
              </w:rPr>
              <w:instrText xml:space="preserve"> PAGEREF _Toc70594055 \h </w:instrText>
            </w:r>
            <w:r>
              <w:rPr>
                <w:webHidden/>
              </w:rPr>
            </w:r>
            <w:r>
              <w:rPr>
                <w:webHidden/>
              </w:rPr>
              <w:fldChar w:fldCharType="separate"/>
            </w:r>
            <w:r w:rsidR="004D51B7">
              <w:rPr>
                <w:noProof/>
                <w:webHidden/>
              </w:rPr>
              <w:t>7</w:t>
            </w:r>
            <w:r>
              <w:rPr>
                <w:webHidden/>
              </w:rPr>
              <w:fldChar w:fldCharType="end"/>
            </w:r>
          </w:hyperlink>
        </w:p>
        <w:p w14:paraId="5C884A99" w14:textId="0054B5C9" w:rsidR="002D6926" w:rsidRDefault="002D6926" w:rsidP="00543E1B">
          <w:pPr>
            <w:pStyle w:val="TOC2"/>
            <w:rPr>
              <w:i/>
              <w:iCs/>
              <w:lang w:eastAsia="en-AU"/>
            </w:rPr>
          </w:pPr>
          <w:hyperlink w:anchor="_Toc70594056" w:history="1">
            <w:r w:rsidRPr="008C62DE">
              <w:rPr>
                <w:rStyle w:val="Hyperlink"/>
              </w:rPr>
              <w:t>3.10.</w:t>
            </w:r>
            <w:r>
              <w:rPr>
                <w:lang w:eastAsia="en-AU"/>
              </w:rPr>
              <w:tab/>
            </w:r>
            <w:r w:rsidRPr="008C62DE">
              <w:rPr>
                <w:rStyle w:val="Hyperlink"/>
              </w:rPr>
              <w:t>Assessment of the Complaint</w:t>
            </w:r>
            <w:r>
              <w:rPr>
                <w:webHidden/>
              </w:rPr>
              <w:tab/>
            </w:r>
            <w:r>
              <w:rPr>
                <w:webHidden/>
              </w:rPr>
              <w:fldChar w:fldCharType="begin"/>
            </w:r>
            <w:r>
              <w:rPr>
                <w:webHidden/>
              </w:rPr>
              <w:instrText xml:space="preserve"> PAGEREF _Toc70594056 \h </w:instrText>
            </w:r>
            <w:r>
              <w:rPr>
                <w:webHidden/>
              </w:rPr>
            </w:r>
            <w:r>
              <w:rPr>
                <w:webHidden/>
              </w:rPr>
              <w:fldChar w:fldCharType="separate"/>
            </w:r>
            <w:r w:rsidR="004D51B7">
              <w:rPr>
                <w:noProof/>
                <w:webHidden/>
              </w:rPr>
              <w:t>7</w:t>
            </w:r>
            <w:r>
              <w:rPr>
                <w:webHidden/>
              </w:rPr>
              <w:fldChar w:fldCharType="end"/>
            </w:r>
          </w:hyperlink>
        </w:p>
        <w:p w14:paraId="73A2BD6D" w14:textId="2CAC98EC" w:rsidR="002D6926" w:rsidRDefault="002D6926" w:rsidP="00543E1B">
          <w:pPr>
            <w:pStyle w:val="TOC2"/>
            <w:rPr>
              <w:i/>
              <w:iCs/>
              <w:lang w:eastAsia="en-AU"/>
            </w:rPr>
          </w:pPr>
          <w:hyperlink w:anchor="_Toc70594057" w:history="1">
            <w:r w:rsidRPr="008C62DE">
              <w:rPr>
                <w:rStyle w:val="Hyperlink"/>
              </w:rPr>
              <w:t>3.11.</w:t>
            </w:r>
            <w:r>
              <w:rPr>
                <w:lang w:eastAsia="en-AU"/>
              </w:rPr>
              <w:tab/>
            </w:r>
            <w:r w:rsidRPr="008C62DE">
              <w:rPr>
                <w:rStyle w:val="Hyperlink"/>
              </w:rPr>
              <w:t>Complaint Report</w:t>
            </w:r>
            <w:r>
              <w:rPr>
                <w:webHidden/>
              </w:rPr>
              <w:tab/>
            </w:r>
            <w:r>
              <w:rPr>
                <w:webHidden/>
              </w:rPr>
              <w:fldChar w:fldCharType="begin"/>
            </w:r>
            <w:r>
              <w:rPr>
                <w:webHidden/>
              </w:rPr>
              <w:instrText xml:space="preserve"> PAGEREF _Toc70594057 \h </w:instrText>
            </w:r>
            <w:r>
              <w:rPr>
                <w:webHidden/>
              </w:rPr>
            </w:r>
            <w:r>
              <w:rPr>
                <w:webHidden/>
              </w:rPr>
              <w:fldChar w:fldCharType="separate"/>
            </w:r>
            <w:r w:rsidR="004D51B7">
              <w:rPr>
                <w:noProof/>
                <w:webHidden/>
              </w:rPr>
              <w:t>7</w:t>
            </w:r>
            <w:r>
              <w:rPr>
                <w:webHidden/>
              </w:rPr>
              <w:fldChar w:fldCharType="end"/>
            </w:r>
          </w:hyperlink>
        </w:p>
        <w:p w14:paraId="4549E360" w14:textId="0A75589F" w:rsidR="002D6926" w:rsidRDefault="002D6926" w:rsidP="00543E1B">
          <w:pPr>
            <w:pStyle w:val="TOC2"/>
            <w:rPr>
              <w:i/>
              <w:iCs/>
              <w:lang w:eastAsia="en-AU"/>
            </w:rPr>
          </w:pPr>
          <w:hyperlink w:anchor="_Toc70594058" w:history="1">
            <w:r w:rsidRPr="008C62DE">
              <w:rPr>
                <w:rStyle w:val="Hyperlink"/>
              </w:rPr>
              <w:t>3.12.</w:t>
            </w:r>
            <w:r>
              <w:rPr>
                <w:lang w:eastAsia="en-AU"/>
              </w:rPr>
              <w:tab/>
            </w:r>
            <w:r w:rsidRPr="008C62DE">
              <w:rPr>
                <w:rStyle w:val="Hyperlink"/>
              </w:rPr>
              <w:t>Complaints Committee Meeting</w:t>
            </w:r>
            <w:r>
              <w:rPr>
                <w:webHidden/>
              </w:rPr>
              <w:tab/>
            </w:r>
            <w:r>
              <w:rPr>
                <w:webHidden/>
              </w:rPr>
              <w:fldChar w:fldCharType="begin"/>
            </w:r>
            <w:r>
              <w:rPr>
                <w:webHidden/>
              </w:rPr>
              <w:instrText xml:space="preserve"> PAGEREF _Toc70594058 \h </w:instrText>
            </w:r>
            <w:r>
              <w:rPr>
                <w:webHidden/>
              </w:rPr>
            </w:r>
            <w:r>
              <w:rPr>
                <w:webHidden/>
              </w:rPr>
              <w:fldChar w:fldCharType="separate"/>
            </w:r>
            <w:r w:rsidR="004D51B7">
              <w:rPr>
                <w:noProof/>
                <w:webHidden/>
              </w:rPr>
              <w:t>8</w:t>
            </w:r>
            <w:r>
              <w:rPr>
                <w:webHidden/>
              </w:rPr>
              <w:fldChar w:fldCharType="end"/>
            </w:r>
          </w:hyperlink>
        </w:p>
        <w:p w14:paraId="3EA4BF8E" w14:textId="65DABDAC" w:rsidR="002D6926" w:rsidRDefault="002D6926" w:rsidP="00543E1B">
          <w:pPr>
            <w:pStyle w:val="TOC2"/>
            <w:rPr>
              <w:i/>
              <w:iCs/>
              <w:lang w:eastAsia="en-AU"/>
            </w:rPr>
          </w:pPr>
          <w:hyperlink w:anchor="_Toc70594059" w:history="1">
            <w:r w:rsidRPr="008C62DE">
              <w:rPr>
                <w:rStyle w:val="Hyperlink"/>
              </w:rPr>
              <w:t>3.13.</w:t>
            </w:r>
            <w:r>
              <w:rPr>
                <w:lang w:eastAsia="en-AU"/>
              </w:rPr>
              <w:tab/>
            </w:r>
            <w:r w:rsidRPr="008C62DE">
              <w:rPr>
                <w:rStyle w:val="Hyperlink"/>
              </w:rPr>
              <w:t>Compliance with Plan Requirement</w:t>
            </w:r>
            <w:r>
              <w:rPr>
                <w:webHidden/>
              </w:rPr>
              <w:tab/>
            </w:r>
            <w:r>
              <w:rPr>
                <w:webHidden/>
              </w:rPr>
              <w:fldChar w:fldCharType="begin"/>
            </w:r>
            <w:r>
              <w:rPr>
                <w:webHidden/>
              </w:rPr>
              <w:instrText xml:space="preserve"> PAGEREF _Toc70594059 \h </w:instrText>
            </w:r>
            <w:r>
              <w:rPr>
                <w:webHidden/>
              </w:rPr>
            </w:r>
            <w:r>
              <w:rPr>
                <w:webHidden/>
              </w:rPr>
              <w:fldChar w:fldCharType="separate"/>
            </w:r>
            <w:r w:rsidR="004D51B7">
              <w:rPr>
                <w:noProof/>
                <w:webHidden/>
              </w:rPr>
              <w:t>9</w:t>
            </w:r>
            <w:r>
              <w:rPr>
                <w:webHidden/>
              </w:rPr>
              <w:fldChar w:fldCharType="end"/>
            </w:r>
          </w:hyperlink>
        </w:p>
        <w:p w14:paraId="515570B8" w14:textId="2FA12A60" w:rsidR="002D6926" w:rsidRDefault="002D6926" w:rsidP="002D6926">
          <w:pPr>
            <w:pStyle w:val="TOC1"/>
            <w:rPr>
              <w:b/>
              <w:bCs/>
              <w:noProof/>
              <w:lang w:eastAsia="en-AU"/>
            </w:rPr>
          </w:pPr>
          <w:hyperlink w:anchor="_Toc70594060" w:history="1">
            <w:r w:rsidRPr="008C62DE">
              <w:rPr>
                <w:rStyle w:val="Hyperlink"/>
                <w:noProof/>
              </w:rPr>
              <w:t>4. Decision Making</w:t>
            </w:r>
            <w:r>
              <w:rPr>
                <w:noProof/>
                <w:webHidden/>
              </w:rPr>
              <w:tab/>
            </w:r>
            <w:r>
              <w:rPr>
                <w:noProof/>
                <w:webHidden/>
              </w:rPr>
              <w:fldChar w:fldCharType="begin"/>
            </w:r>
            <w:r>
              <w:rPr>
                <w:noProof/>
                <w:webHidden/>
              </w:rPr>
              <w:instrText xml:space="preserve"> PAGEREF _Toc70594060 \h </w:instrText>
            </w:r>
            <w:r>
              <w:rPr>
                <w:noProof/>
                <w:webHidden/>
              </w:rPr>
            </w:r>
            <w:r>
              <w:rPr>
                <w:noProof/>
                <w:webHidden/>
              </w:rPr>
              <w:fldChar w:fldCharType="separate"/>
            </w:r>
            <w:r w:rsidR="004D51B7">
              <w:rPr>
                <w:noProof/>
                <w:webHidden/>
              </w:rPr>
              <w:t>9</w:t>
            </w:r>
            <w:r>
              <w:rPr>
                <w:noProof/>
                <w:webHidden/>
              </w:rPr>
              <w:fldChar w:fldCharType="end"/>
            </w:r>
          </w:hyperlink>
        </w:p>
        <w:p w14:paraId="55D21D48" w14:textId="32CC6ED5" w:rsidR="002D6926" w:rsidRDefault="002D6926" w:rsidP="00543E1B">
          <w:pPr>
            <w:pStyle w:val="TOC2"/>
            <w:rPr>
              <w:i/>
              <w:iCs/>
              <w:lang w:eastAsia="en-AU"/>
            </w:rPr>
          </w:pPr>
          <w:hyperlink w:anchor="_Toc70594061" w:history="1">
            <w:r w:rsidRPr="008C62DE">
              <w:rPr>
                <w:rStyle w:val="Hyperlink"/>
              </w:rPr>
              <w:t>4.1.</w:t>
            </w:r>
            <w:r>
              <w:rPr>
                <w:lang w:eastAsia="en-AU"/>
              </w:rPr>
              <w:tab/>
            </w:r>
            <w:r w:rsidRPr="008C62DE">
              <w:rPr>
                <w:rStyle w:val="Hyperlink"/>
              </w:rPr>
              <w:t>Objective and Principles</w:t>
            </w:r>
            <w:r>
              <w:rPr>
                <w:webHidden/>
              </w:rPr>
              <w:tab/>
            </w:r>
            <w:r>
              <w:rPr>
                <w:webHidden/>
              </w:rPr>
              <w:fldChar w:fldCharType="begin"/>
            </w:r>
            <w:r>
              <w:rPr>
                <w:webHidden/>
              </w:rPr>
              <w:instrText xml:space="preserve"> PAGEREF _Toc70594061 \h </w:instrText>
            </w:r>
            <w:r>
              <w:rPr>
                <w:webHidden/>
              </w:rPr>
            </w:r>
            <w:r>
              <w:rPr>
                <w:webHidden/>
              </w:rPr>
              <w:fldChar w:fldCharType="separate"/>
            </w:r>
            <w:r w:rsidR="004D51B7">
              <w:rPr>
                <w:noProof/>
                <w:webHidden/>
              </w:rPr>
              <w:t>9</w:t>
            </w:r>
            <w:r>
              <w:rPr>
                <w:webHidden/>
              </w:rPr>
              <w:fldChar w:fldCharType="end"/>
            </w:r>
          </w:hyperlink>
        </w:p>
        <w:p w14:paraId="78BA3635" w14:textId="7E134A42" w:rsidR="002D6926" w:rsidRDefault="002D6926" w:rsidP="00543E1B">
          <w:pPr>
            <w:pStyle w:val="TOC2"/>
            <w:rPr>
              <w:i/>
              <w:iCs/>
              <w:lang w:eastAsia="en-AU"/>
            </w:rPr>
          </w:pPr>
          <w:hyperlink w:anchor="_Toc70594062" w:history="1">
            <w:r w:rsidRPr="008C62DE">
              <w:rPr>
                <w:rStyle w:val="Hyperlink"/>
              </w:rPr>
              <w:t>4.2.</w:t>
            </w:r>
            <w:r>
              <w:rPr>
                <w:lang w:eastAsia="en-AU"/>
              </w:rPr>
              <w:tab/>
            </w:r>
            <w:r w:rsidRPr="008C62DE">
              <w:rPr>
                <w:rStyle w:val="Hyperlink"/>
              </w:rPr>
              <w:t>Dismissal</w:t>
            </w:r>
            <w:r>
              <w:rPr>
                <w:webHidden/>
              </w:rPr>
              <w:tab/>
            </w:r>
            <w:r>
              <w:rPr>
                <w:webHidden/>
              </w:rPr>
              <w:fldChar w:fldCharType="begin"/>
            </w:r>
            <w:r>
              <w:rPr>
                <w:webHidden/>
              </w:rPr>
              <w:instrText xml:space="preserve"> PAGEREF _Toc70594062 \h </w:instrText>
            </w:r>
            <w:r>
              <w:rPr>
                <w:webHidden/>
              </w:rPr>
            </w:r>
            <w:r>
              <w:rPr>
                <w:webHidden/>
              </w:rPr>
              <w:fldChar w:fldCharType="separate"/>
            </w:r>
            <w:r w:rsidR="004D51B7">
              <w:rPr>
                <w:noProof/>
                <w:webHidden/>
              </w:rPr>
              <w:t>9</w:t>
            </w:r>
            <w:r>
              <w:rPr>
                <w:webHidden/>
              </w:rPr>
              <w:fldChar w:fldCharType="end"/>
            </w:r>
          </w:hyperlink>
        </w:p>
        <w:p w14:paraId="1ABE9467" w14:textId="4896695F" w:rsidR="002D6926" w:rsidRDefault="002D6926" w:rsidP="00543E1B">
          <w:pPr>
            <w:pStyle w:val="TOC2"/>
            <w:rPr>
              <w:i/>
              <w:iCs/>
              <w:lang w:eastAsia="en-AU"/>
            </w:rPr>
          </w:pPr>
          <w:hyperlink w:anchor="_Toc70594063" w:history="1">
            <w:r w:rsidRPr="008C62DE">
              <w:rPr>
                <w:rStyle w:val="Hyperlink"/>
              </w:rPr>
              <w:t>4.3.</w:t>
            </w:r>
            <w:r>
              <w:rPr>
                <w:lang w:eastAsia="en-AU"/>
              </w:rPr>
              <w:tab/>
            </w:r>
            <w:r w:rsidRPr="008C62DE">
              <w:rPr>
                <w:rStyle w:val="Hyperlink"/>
              </w:rPr>
              <w:t>Finding</w:t>
            </w:r>
            <w:r>
              <w:rPr>
                <w:webHidden/>
              </w:rPr>
              <w:tab/>
            </w:r>
            <w:r>
              <w:rPr>
                <w:webHidden/>
              </w:rPr>
              <w:fldChar w:fldCharType="begin"/>
            </w:r>
            <w:r>
              <w:rPr>
                <w:webHidden/>
              </w:rPr>
              <w:instrText xml:space="preserve"> PAGEREF _Toc70594063 \h </w:instrText>
            </w:r>
            <w:r>
              <w:rPr>
                <w:webHidden/>
              </w:rPr>
            </w:r>
            <w:r>
              <w:rPr>
                <w:webHidden/>
              </w:rPr>
              <w:fldChar w:fldCharType="separate"/>
            </w:r>
            <w:r w:rsidR="004D51B7">
              <w:rPr>
                <w:noProof/>
                <w:webHidden/>
              </w:rPr>
              <w:t>9</w:t>
            </w:r>
            <w:r>
              <w:rPr>
                <w:webHidden/>
              </w:rPr>
              <w:fldChar w:fldCharType="end"/>
            </w:r>
          </w:hyperlink>
        </w:p>
        <w:p w14:paraId="1C5004B8" w14:textId="5B458CAF" w:rsidR="002D6926" w:rsidRDefault="002D6926" w:rsidP="00543E1B">
          <w:pPr>
            <w:pStyle w:val="TOC2"/>
            <w:rPr>
              <w:i/>
              <w:iCs/>
              <w:lang w:eastAsia="en-AU"/>
            </w:rPr>
          </w:pPr>
          <w:hyperlink w:anchor="_Toc70594064" w:history="1">
            <w:r w:rsidRPr="008C62DE">
              <w:rPr>
                <w:rStyle w:val="Hyperlink"/>
              </w:rPr>
              <w:t>4.4.</w:t>
            </w:r>
            <w:r>
              <w:rPr>
                <w:lang w:eastAsia="en-AU"/>
              </w:rPr>
              <w:tab/>
            </w:r>
            <w:r w:rsidRPr="008C62DE">
              <w:rPr>
                <w:rStyle w:val="Hyperlink"/>
              </w:rPr>
              <w:t>Action</w:t>
            </w:r>
            <w:r>
              <w:rPr>
                <w:webHidden/>
              </w:rPr>
              <w:tab/>
            </w:r>
            <w:r>
              <w:rPr>
                <w:webHidden/>
              </w:rPr>
              <w:fldChar w:fldCharType="begin"/>
            </w:r>
            <w:r>
              <w:rPr>
                <w:webHidden/>
              </w:rPr>
              <w:instrText xml:space="preserve"> PAGEREF _Toc70594064 \h </w:instrText>
            </w:r>
            <w:r>
              <w:rPr>
                <w:webHidden/>
              </w:rPr>
            </w:r>
            <w:r>
              <w:rPr>
                <w:webHidden/>
              </w:rPr>
              <w:fldChar w:fldCharType="separate"/>
            </w:r>
            <w:r w:rsidR="004D51B7">
              <w:rPr>
                <w:noProof/>
                <w:webHidden/>
              </w:rPr>
              <w:t>9</w:t>
            </w:r>
            <w:r>
              <w:rPr>
                <w:webHidden/>
              </w:rPr>
              <w:fldChar w:fldCharType="end"/>
            </w:r>
          </w:hyperlink>
        </w:p>
        <w:p w14:paraId="44D1BD64" w14:textId="3BD81E84" w:rsidR="002D6926" w:rsidRDefault="002D6926" w:rsidP="00543E1B">
          <w:pPr>
            <w:pStyle w:val="TOC2"/>
            <w:rPr>
              <w:i/>
              <w:iCs/>
              <w:lang w:eastAsia="en-AU"/>
            </w:rPr>
          </w:pPr>
          <w:hyperlink w:anchor="_Toc70594065" w:history="1">
            <w:r w:rsidRPr="008C62DE">
              <w:rPr>
                <w:rStyle w:val="Hyperlink"/>
              </w:rPr>
              <w:t>4.5.</w:t>
            </w:r>
            <w:r>
              <w:rPr>
                <w:lang w:eastAsia="en-AU"/>
              </w:rPr>
              <w:tab/>
            </w:r>
            <w:r w:rsidRPr="008C62DE">
              <w:rPr>
                <w:rStyle w:val="Hyperlink"/>
              </w:rPr>
              <w:t>Plan Requirements</w:t>
            </w:r>
            <w:r>
              <w:rPr>
                <w:webHidden/>
              </w:rPr>
              <w:tab/>
            </w:r>
            <w:r>
              <w:rPr>
                <w:webHidden/>
              </w:rPr>
              <w:fldChar w:fldCharType="begin"/>
            </w:r>
            <w:r>
              <w:rPr>
                <w:webHidden/>
              </w:rPr>
              <w:instrText xml:space="preserve"> PAGEREF _Toc70594065 \h </w:instrText>
            </w:r>
            <w:r>
              <w:rPr>
                <w:webHidden/>
              </w:rPr>
            </w:r>
            <w:r>
              <w:rPr>
                <w:webHidden/>
              </w:rPr>
              <w:fldChar w:fldCharType="separate"/>
            </w:r>
            <w:r w:rsidR="004D51B7">
              <w:rPr>
                <w:noProof/>
                <w:webHidden/>
              </w:rPr>
              <w:t>10</w:t>
            </w:r>
            <w:r>
              <w:rPr>
                <w:webHidden/>
              </w:rPr>
              <w:fldChar w:fldCharType="end"/>
            </w:r>
          </w:hyperlink>
        </w:p>
        <w:p w14:paraId="3D5B8829" w14:textId="77777777" w:rsidR="002D6926" w:rsidRPr="001E0B79" w:rsidRDefault="002D6926" w:rsidP="002D6926">
          <w:pPr>
            <w:rPr>
              <w:sz w:val="19"/>
              <w:szCs w:val="19"/>
            </w:rPr>
          </w:pPr>
          <w:r w:rsidRPr="0041635D">
            <w:rPr>
              <w:rFonts w:cs="Arial"/>
              <w:b/>
              <w:bCs/>
              <w:noProof/>
              <w:sz w:val="19"/>
              <w:szCs w:val="19"/>
            </w:rPr>
            <w:fldChar w:fldCharType="end"/>
          </w:r>
        </w:p>
      </w:sdtContent>
    </w:sdt>
    <w:bookmarkEnd w:id="77"/>
    <w:p w14:paraId="7B8356C5" w14:textId="77777777" w:rsidR="002D6926" w:rsidRDefault="002D6926" w:rsidP="002D6926">
      <w:pPr>
        <w:sectPr w:rsidR="002D6926" w:rsidSect="005B7C36">
          <w:pgSz w:w="11906" w:h="16838"/>
          <w:pgMar w:top="1440" w:right="1440" w:bottom="1440" w:left="1440" w:header="708" w:footer="0" w:gutter="0"/>
          <w:cols w:space="708"/>
          <w:docGrid w:linePitch="360"/>
        </w:sectPr>
      </w:pPr>
    </w:p>
    <w:p w14:paraId="78A4C783" w14:textId="77777777" w:rsidR="002D6926" w:rsidRPr="00306C7E" w:rsidRDefault="002D6926" w:rsidP="002D6926">
      <w:pPr>
        <w:pStyle w:val="titletrainingtype"/>
      </w:pPr>
      <w:r w:rsidRPr="00306C7E">
        <w:lastRenderedPageBreak/>
        <w:t>Policy Objective</w:t>
      </w:r>
    </w:p>
    <w:p w14:paraId="6486E7D8" w14:textId="77777777" w:rsidR="002D6926" w:rsidRPr="00306C7E" w:rsidRDefault="002D6926" w:rsidP="002D6926">
      <w:pPr>
        <w:jc w:val="both"/>
        <w:rPr>
          <w:szCs w:val="18"/>
        </w:rPr>
      </w:pPr>
      <w:r>
        <w:rPr>
          <w:szCs w:val="18"/>
        </w:rPr>
        <w:t>To establish, in accordance with Clause 15(2) of the</w:t>
      </w:r>
      <w:r>
        <w:rPr>
          <w:iCs/>
        </w:rPr>
        <w:t xml:space="preserve"> </w:t>
      </w:r>
      <w:r w:rsidRPr="006B2BBC">
        <w:rPr>
          <w:i/>
          <w:iCs/>
        </w:rPr>
        <w:t>Local Government (Model Code of Conduct) Regulations 2021</w:t>
      </w:r>
      <w:r>
        <w:rPr>
          <w:iCs/>
        </w:rPr>
        <w:t xml:space="preserve"> and the </w:t>
      </w:r>
      <w:r>
        <w:t>Town of East Fremantle</w:t>
      </w:r>
      <w:r w:rsidRPr="00306C7E">
        <w:t xml:space="preserve"> Code of Conduct for Council Members, </w:t>
      </w:r>
      <w:r>
        <w:t xml:space="preserve">the procedure for dealing with </w:t>
      </w:r>
      <w:r w:rsidRPr="00306C7E">
        <w:rPr>
          <w:szCs w:val="18"/>
        </w:rPr>
        <w:t>complaints</w:t>
      </w:r>
      <w:r>
        <w:rPr>
          <w:szCs w:val="18"/>
        </w:rPr>
        <w:t xml:space="preserve"> about</w:t>
      </w:r>
      <w:r w:rsidRPr="00306C7E">
        <w:rPr>
          <w:szCs w:val="18"/>
        </w:rPr>
        <w:t xml:space="preserve"> alleg</w:t>
      </w:r>
      <w:r>
        <w:rPr>
          <w:szCs w:val="18"/>
        </w:rPr>
        <w:t>ed</w:t>
      </w:r>
      <w:r w:rsidRPr="00306C7E">
        <w:rPr>
          <w:szCs w:val="18"/>
        </w:rPr>
        <w:t xml:space="preserve"> breach</w:t>
      </w:r>
      <w:r>
        <w:rPr>
          <w:szCs w:val="18"/>
        </w:rPr>
        <w:t>es</w:t>
      </w:r>
      <w:r w:rsidRPr="00306C7E">
        <w:rPr>
          <w:szCs w:val="18"/>
        </w:rPr>
        <w:t xml:space="preserve"> of the behaviour requirements included in Division 3 of the </w:t>
      </w:r>
      <w:r>
        <w:t>Town of East Fremantle</w:t>
      </w:r>
      <w:r w:rsidRPr="00306C7E">
        <w:t xml:space="preserve"> Code of Conduct for Council Members, Committee Members and Candidates</w:t>
      </w:r>
      <w:r>
        <w:t>.</w:t>
      </w:r>
      <w:r w:rsidRPr="00306C7E">
        <w:rPr>
          <w:szCs w:val="18"/>
        </w:rPr>
        <w:t xml:space="preserve"> </w:t>
      </w:r>
    </w:p>
    <w:p w14:paraId="26794208" w14:textId="77777777" w:rsidR="002D6926" w:rsidRPr="00147680" w:rsidRDefault="002D6926" w:rsidP="002D6926">
      <w:pPr>
        <w:jc w:val="both"/>
        <w:rPr>
          <w:szCs w:val="18"/>
        </w:rPr>
      </w:pPr>
      <w:r w:rsidRPr="00306C7E">
        <w:rPr>
          <w:szCs w:val="18"/>
        </w:rPr>
        <w:t xml:space="preserve">To give effect to the </w:t>
      </w:r>
      <w:r>
        <w:t>Town of East Fremantle</w:t>
      </w:r>
      <w:r w:rsidRPr="00306C7E">
        <w:t xml:space="preserve">’s commitment to </w:t>
      </w:r>
      <w:r>
        <w:t xml:space="preserve">an </w:t>
      </w:r>
      <w:r w:rsidRPr="00306C7E">
        <w:t xml:space="preserve">effective, </w:t>
      </w:r>
      <w:r>
        <w:t xml:space="preserve">transparent, fair </w:t>
      </w:r>
      <w:r w:rsidRPr="00306C7E">
        <w:t xml:space="preserve">and accessible complaints handling process that supports high standards of behaviour of Council Members, Committee Members and Candidates. </w:t>
      </w:r>
    </w:p>
    <w:p w14:paraId="14E6EA5A" w14:textId="77777777" w:rsidR="002D6926" w:rsidRPr="00306C7E" w:rsidRDefault="002D6926" w:rsidP="002D6926">
      <w:pPr>
        <w:pStyle w:val="titletrainingtype"/>
      </w:pPr>
      <w:r w:rsidRPr="00306C7E">
        <w:t>Policy Scope</w:t>
      </w:r>
    </w:p>
    <w:p w14:paraId="79B93012" w14:textId="77777777" w:rsidR="002D6926" w:rsidRPr="00306C7E" w:rsidRDefault="002D6926" w:rsidP="002D6926">
      <w:pPr>
        <w:jc w:val="both"/>
        <w:rPr>
          <w:iCs/>
        </w:rPr>
      </w:pPr>
      <w:r w:rsidRPr="00306C7E">
        <w:rPr>
          <w:iCs/>
        </w:rPr>
        <w:t xml:space="preserve">This Policy applies to complaints </w:t>
      </w:r>
      <w:r>
        <w:rPr>
          <w:iCs/>
        </w:rPr>
        <w:t xml:space="preserve">made in accordance with Clause 11 of the </w:t>
      </w:r>
      <w:r>
        <w:t>Town of East Fremantle</w:t>
      </w:r>
      <w:r w:rsidRPr="00306C7E">
        <w:t xml:space="preserve"> Code of Conduct for Council Members, Committee Members and Candidates</w:t>
      </w:r>
      <w:r w:rsidRPr="00306C7E">
        <w:rPr>
          <w:szCs w:val="18"/>
        </w:rPr>
        <w:t>.</w:t>
      </w:r>
    </w:p>
    <w:p w14:paraId="50761747" w14:textId="77777777" w:rsidR="002D6926" w:rsidRDefault="002D6926" w:rsidP="002D6926">
      <w:pPr>
        <w:jc w:val="both"/>
        <w:rPr>
          <w:iCs/>
        </w:rPr>
      </w:pPr>
      <w:r>
        <w:rPr>
          <w:iCs/>
        </w:rPr>
        <w:t>This Policy applies to Council Members, Committee Members, Candidates and any person who submits a complaint in accordance with this Policy.</w:t>
      </w:r>
    </w:p>
    <w:p w14:paraId="5D67D8A1" w14:textId="77777777" w:rsidR="002D6926" w:rsidRPr="00306C7E" w:rsidRDefault="002D6926" w:rsidP="002D6926">
      <w:pPr>
        <w:pStyle w:val="titletrainingtype"/>
      </w:pPr>
      <w:r w:rsidRPr="00306C7E">
        <w:t>Definitions</w:t>
      </w:r>
    </w:p>
    <w:p w14:paraId="73EE9085" w14:textId="77777777" w:rsidR="002D6926" w:rsidRDefault="002D6926" w:rsidP="002D6926">
      <w:pPr>
        <w:jc w:val="both"/>
      </w:pPr>
      <w:r w:rsidRPr="00147680">
        <w:rPr>
          <w:b/>
        </w:rPr>
        <w:t>Act</w:t>
      </w:r>
      <w:r>
        <w:t xml:space="preserve"> means the </w:t>
      </w:r>
      <w:r w:rsidRPr="001E2068">
        <w:rPr>
          <w:i/>
        </w:rPr>
        <w:t>Local Government Act 1995</w:t>
      </w:r>
      <w:r>
        <w:t>.</w:t>
      </w:r>
    </w:p>
    <w:p w14:paraId="222B3E12" w14:textId="77777777" w:rsidR="002D6926" w:rsidRDefault="002D6926" w:rsidP="002D6926">
      <w:pPr>
        <w:jc w:val="both"/>
        <w:rPr>
          <w:b/>
        </w:rPr>
      </w:pPr>
      <w:r>
        <w:rPr>
          <w:b/>
        </w:rPr>
        <w:t>Behaviour Complaints Committee</w:t>
      </w:r>
      <w:r w:rsidRPr="000567F3">
        <w:t xml:space="preserve"> means </w:t>
      </w:r>
      <w:r>
        <w:t>the</w:t>
      </w:r>
      <w:r w:rsidRPr="000567F3">
        <w:t xml:space="preserve"> Committee established by the Council in accordance with s.5.8 of the Act f</w:t>
      </w:r>
      <w:r>
        <w:t>or the purpose of dealing with C</w:t>
      </w:r>
      <w:r w:rsidRPr="000567F3">
        <w:t xml:space="preserve">omplaints. The role of the </w:t>
      </w:r>
      <w:r>
        <w:t>Behaviour Complaints Committee</w:t>
      </w:r>
      <w:r w:rsidRPr="000567F3">
        <w:t xml:space="preserve"> is outlined in Part 2.3 of this Policy.</w:t>
      </w:r>
      <w:r>
        <w:rPr>
          <w:b/>
        </w:rPr>
        <w:t xml:space="preserve"> </w:t>
      </w:r>
    </w:p>
    <w:p w14:paraId="6FF906D6" w14:textId="77777777" w:rsidR="002D6926" w:rsidRPr="00CF4AF1" w:rsidRDefault="002D6926" w:rsidP="002D6926">
      <w:pPr>
        <w:jc w:val="both"/>
        <w:rPr>
          <w:b/>
        </w:rPr>
      </w:pPr>
      <w:r>
        <w:rPr>
          <w:b/>
        </w:rPr>
        <w:t>Behaviour Complaints Officer</w:t>
      </w:r>
      <w:r>
        <w:t xml:space="preserve"> means a person authorised in </w:t>
      </w:r>
      <w:r w:rsidRPr="00307B45">
        <w:t xml:space="preserve">writing </w:t>
      </w:r>
      <w:r w:rsidRPr="00307B45">
        <w:rPr>
          <w:iCs/>
        </w:rPr>
        <w:t>by the CEO exercising delegated authority under clause 11(3) of the Code of Conduct to receive complaints</w:t>
      </w:r>
      <w:r>
        <w:t xml:space="preserve"> and withdrawals of complaints. The role of the Behaviour Complaints Officer is addressed in Part 2.1 of this Policy.</w:t>
      </w:r>
    </w:p>
    <w:p w14:paraId="3F8838D4" w14:textId="77777777" w:rsidR="002D6926" w:rsidRPr="00606476" w:rsidRDefault="002D6926" w:rsidP="002D6926">
      <w:pPr>
        <w:jc w:val="both"/>
      </w:pPr>
      <w:r w:rsidRPr="00606476">
        <w:rPr>
          <w:b/>
        </w:rPr>
        <w:t>Breach</w:t>
      </w:r>
      <w:r w:rsidRPr="00606476">
        <w:t xml:space="preserve"> means a breach of Division 3 of </w:t>
      </w:r>
      <w:proofErr w:type="gramStart"/>
      <w:r w:rsidRPr="00606476">
        <w:t xml:space="preserve">the </w:t>
      </w:r>
      <w:r>
        <w:t xml:space="preserve"> Town</w:t>
      </w:r>
      <w:proofErr w:type="gramEnd"/>
      <w:r>
        <w:t xml:space="preserve"> of East Fremantle</w:t>
      </w:r>
      <w:r w:rsidRPr="00606476">
        <w:t xml:space="preserve"> Code of Conduct for Council Members, Committee Members and Candidates.</w:t>
      </w:r>
    </w:p>
    <w:p w14:paraId="67F8E4DF" w14:textId="77777777" w:rsidR="002D6926" w:rsidRPr="00606476" w:rsidRDefault="002D6926" w:rsidP="002D6926">
      <w:pPr>
        <w:jc w:val="both"/>
      </w:pPr>
      <w:r w:rsidRPr="00606476">
        <w:rPr>
          <w:b/>
        </w:rPr>
        <w:t>Candidate</w:t>
      </w:r>
      <w:r w:rsidRPr="00606476">
        <w:t xml:space="preserve"> means a candidate for election as a Council Member, whose nomination has been accepted by the </w:t>
      </w:r>
      <w:r w:rsidRPr="00606476">
        <w:rPr>
          <w:iCs/>
        </w:rPr>
        <w:t xml:space="preserve">Returning Officer under s.4.49 of the </w:t>
      </w:r>
      <w:proofErr w:type="gramStart"/>
      <w:r w:rsidRPr="00606476">
        <w:rPr>
          <w:iCs/>
        </w:rPr>
        <w:t>Act, but</w:t>
      </w:r>
      <w:proofErr w:type="gramEnd"/>
      <w:r w:rsidRPr="00606476">
        <w:rPr>
          <w:iCs/>
        </w:rPr>
        <w:t xml:space="preserve"> does not include a Council Member who has nominated for re-election. A person is a Candidate from the date on which their nomination is accepted, until the Returning Officer declares the election result in accordance with s.4.77 of the Act.</w:t>
      </w:r>
    </w:p>
    <w:p w14:paraId="52712045" w14:textId="77777777" w:rsidR="002D6926" w:rsidRPr="00606476" w:rsidRDefault="002D6926" w:rsidP="002D6926">
      <w:pPr>
        <w:jc w:val="both"/>
      </w:pPr>
      <w:r w:rsidRPr="00606476">
        <w:rPr>
          <w:b/>
        </w:rPr>
        <w:t>Candidate Complaint</w:t>
      </w:r>
      <w:r w:rsidRPr="00606476">
        <w:t xml:space="preserve"> means a Complaint alleging a Breach by a Candidate. Candidate Complaints are dealt with in Part 3.2 of this Policy.</w:t>
      </w:r>
    </w:p>
    <w:p w14:paraId="58EFC810" w14:textId="77777777" w:rsidR="002D6926" w:rsidRPr="00606476" w:rsidRDefault="002D6926" w:rsidP="002D6926">
      <w:pPr>
        <w:jc w:val="both"/>
      </w:pPr>
      <w:r w:rsidRPr="00606476">
        <w:rPr>
          <w:b/>
        </w:rPr>
        <w:t>Code of Conduct</w:t>
      </w:r>
      <w:r w:rsidRPr="00606476">
        <w:t xml:space="preserve"> means the </w:t>
      </w:r>
      <w:r>
        <w:t>Town of East Fremantle</w:t>
      </w:r>
      <w:r w:rsidRPr="00606476">
        <w:t xml:space="preserve"> Code of Conduct for Council Members, Committee Members and Candidates.</w:t>
      </w:r>
    </w:p>
    <w:p w14:paraId="01DAF538" w14:textId="77777777" w:rsidR="002D6926" w:rsidRPr="00606476" w:rsidRDefault="002D6926" w:rsidP="002D6926">
      <w:pPr>
        <w:jc w:val="both"/>
      </w:pPr>
      <w:r w:rsidRPr="00606476">
        <w:rPr>
          <w:b/>
        </w:rPr>
        <w:t xml:space="preserve">Committee </w:t>
      </w:r>
      <w:r w:rsidRPr="00606476">
        <w:t>means a committee of Council, established in accordance with s.5.8 of the Act.</w:t>
      </w:r>
    </w:p>
    <w:p w14:paraId="47FE0BEF" w14:textId="77777777" w:rsidR="002D6926" w:rsidRPr="00606476" w:rsidRDefault="002D6926" w:rsidP="002D6926">
      <w:pPr>
        <w:jc w:val="both"/>
      </w:pPr>
      <w:r w:rsidRPr="00606476">
        <w:rPr>
          <w:b/>
        </w:rPr>
        <w:t>Committee Member</w:t>
      </w:r>
      <w:r w:rsidRPr="00606476">
        <w:t xml:space="preserve"> means a Council Member, employee of the </w:t>
      </w:r>
      <w:r>
        <w:t>Town of East Fremantle</w:t>
      </w:r>
      <w:r w:rsidRPr="00606476">
        <w:t xml:space="preserve"> or other person who has been appointed by the Council to be a member of a </w:t>
      </w:r>
      <w:proofErr w:type="gramStart"/>
      <w:r w:rsidRPr="00606476">
        <w:t>Committee</w:t>
      </w:r>
      <w:proofErr w:type="gramEnd"/>
      <w:r w:rsidRPr="00606476">
        <w:t xml:space="preserve">, in accordance with </w:t>
      </w:r>
      <w:r w:rsidRPr="00606476">
        <w:lastRenderedPageBreak/>
        <w:t xml:space="preserve">s.5.10(1) of the Act. A person is a Committee Member from the date on which they are appointed, until their </w:t>
      </w:r>
      <w:r w:rsidRPr="00606476">
        <w:rPr>
          <w:iCs/>
        </w:rPr>
        <w:t>appointment expires or is terminated by Council resolution.</w:t>
      </w:r>
      <w:r w:rsidRPr="00606476">
        <w:t xml:space="preserve">  </w:t>
      </w:r>
    </w:p>
    <w:p w14:paraId="781C9834" w14:textId="77777777" w:rsidR="002D6926" w:rsidRPr="00606476" w:rsidRDefault="002D6926" w:rsidP="002D6926">
      <w:pPr>
        <w:jc w:val="both"/>
      </w:pPr>
      <w:r w:rsidRPr="00606476">
        <w:rPr>
          <w:b/>
        </w:rPr>
        <w:t>Complaint</w:t>
      </w:r>
      <w:r w:rsidRPr="00606476">
        <w:t xml:space="preserve"> means a complaint submitted under Clause 11 of the Code of Conduct.</w:t>
      </w:r>
    </w:p>
    <w:p w14:paraId="7C080590" w14:textId="77777777" w:rsidR="002D6926" w:rsidRPr="00606476" w:rsidRDefault="002D6926" w:rsidP="002D6926">
      <w:pPr>
        <w:jc w:val="both"/>
      </w:pPr>
      <w:r w:rsidRPr="00606476">
        <w:rPr>
          <w:b/>
        </w:rPr>
        <w:t>Complainant</w:t>
      </w:r>
      <w:r w:rsidRPr="00606476">
        <w:t xml:space="preserve"> means a person who has submitted a Complaint in accordance with this Policy.</w:t>
      </w:r>
    </w:p>
    <w:p w14:paraId="5ACA5D1F" w14:textId="77777777" w:rsidR="002D6926" w:rsidRPr="00606476" w:rsidRDefault="002D6926" w:rsidP="002D6926">
      <w:pPr>
        <w:jc w:val="both"/>
      </w:pPr>
      <w:r w:rsidRPr="00606476">
        <w:rPr>
          <w:b/>
        </w:rPr>
        <w:t xml:space="preserve">Complaint Assessor </w:t>
      </w:r>
      <w:r w:rsidRPr="00606476">
        <w:t xml:space="preserve">means a person appointed by the Behaviour Complaints Officer in accordance with Part 2.2 </w:t>
      </w:r>
      <w:r>
        <w:t xml:space="preserve">and Part 3.8 </w:t>
      </w:r>
      <w:r w:rsidRPr="00606476">
        <w:t>of this Policy.</w:t>
      </w:r>
    </w:p>
    <w:p w14:paraId="20635930" w14:textId="77777777" w:rsidR="002D6926" w:rsidRDefault="002D6926" w:rsidP="002D6926">
      <w:pPr>
        <w:jc w:val="both"/>
      </w:pPr>
      <w:r w:rsidRPr="00144E6E">
        <w:rPr>
          <w:b/>
          <w:i/>
        </w:rPr>
        <w:t>C</w:t>
      </w:r>
      <w:r w:rsidRPr="00C7162A">
        <w:rPr>
          <w:b/>
        </w:rPr>
        <w:t>omplaint Documents</w:t>
      </w:r>
      <w:r>
        <w:t xml:space="preserve"> means the Complaint Form and any supporting information, evidence, or attachments provided by the Complainant.</w:t>
      </w:r>
    </w:p>
    <w:p w14:paraId="1E6141A2" w14:textId="77777777" w:rsidR="002D6926" w:rsidRPr="00307B45" w:rsidRDefault="002D6926" w:rsidP="002D6926">
      <w:pPr>
        <w:jc w:val="both"/>
        <w:rPr>
          <w:iCs/>
        </w:rPr>
      </w:pPr>
      <w:r w:rsidRPr="00C7162A">
        <w:rPr>
          <w:b/>
        </w:rPr>
        <w:t>Complaint Form</w:t>
      </w:r>
      <w:r>
        <w:t xml:space="preserve"> means the form approved under clause 11(2)(a) of the Code of Conduct </w:t>
      </w:r>
      <w:r w:rsidRPr="00307B45">
        <w:rPr>
          <w:iCs/>
        </w:rPr>
        <w:t>by Council resolution</w:t>
      </w:r>
      <w:r>
        <w:rPr>
          <w:iCs/>
        </w:rPr>
        <w:t>.</w:t>
      </w:r>
      <w:r w:rsidRPr="00307B45">
        <w:rPr>
          <w:iCs/>
        </w:rPr>
        <w:t xml:space="preserve"> </w:t>
      </w:r>
    </w:p>
    <w:p w14:paraId="141FAA5D" w14:textId="77777777" w:rsidR="002D6926" w:rsidRDefault="002D6926" w:rsidP="002D6926">
      <w:pPr>
        <w:jc w:val="both"/>
      </w:pPr>
      <w:r w:rsidRPr="00C7162A">
        <w:rPr>
          <w:b/>
        </w:rPr>
        <w:t>Council</w:t>
      </w:r>
      <w:r>
        <w:t xml:space="preserve"> means the Council of the Town of East Fremantle.</w:t>
      </w:r>
    </w:p>
    <w:p w14:paraId="1DD76257" w14:textId="77777777" w:rsidR="002D6926" w:rsidRDefault="002D6926" w:rsidP="002D6926">
      <w:pPr>
        <w:jc w:val="both"/>
        <w:rPr>
          <w:b/>
        </w:rPr>
      </w:pPr>
      <w:r>
        <w:rPr>
          <w:b/>
        </w:rPr>
        <w:t xml:space="preserve">Council or Committee Meeting </w:t>
      </w:r>
      <w:r w:rsidRPr="006F167F">
        <w:t>means</w:t>
      </w:r>
      <w:r>
        <w:t xml:space="preserve"> a formal meeting of the Council or a Committee that is called and convened in accordance with the Act. It does not include informal meetings, such as workshops or briefings.</w:t>
      </w:r>
    </w:p>
    <w:p w14:paraId="6AE4720E" w14:textId="77777777" w:rsidR="002D6926" w:rsidRDefault="002D6926" w:rsidP="002D6926">
      <w:pPr>
        <w:jc w:val="both"/>
      </w:pPr>
      <w:r w:rsidRPr="00C7162A">
        <w:rPr>
          <w:b/>
        </w:rPr>
        <w:t>Council Member</w:t>
      </w:r>
      <w:r>
        <w:t xml:space="preserve"> means a person who is currently serving a term of office as an elected member of the Council in accordance with the Act.</w:t>
      </w:r>
    </w:p>
    <w:p w14:paraId="58F863BE" w14:textId="77777777" w:rsidR="002D6926" w:rsidRDefault="002D6926" w:rsidP="002D6926">
      <w:pPr>
        <w:jc w:val="both"/>
      </w:pPr>
      <w:r w:rsidRPr="00C7162A">
        <w:rPr>
          <w:b/>
        </w:rPr>
        <w:t>Finding</w:t>
      </w:r>
      <w:r>
        <w:t xml:space="preserve"> means a finding made in accordance with clause 12(1) of the Code of Conduct as to whether the alleged Breach has or has not occurred.</w:t>
      </w:r>
    </w:p>
    <w:p w14:paraId="4C175626" w14:textId="77777777" w:rsidR="002D6926" w:rsidRDefault="002D6926" w:rsidP="002D6926">
      <w:pPr>
        <w:jc w:val="both"/>
      </w:pPr>
      <w:r w:rsidRPr="00C7162A">
        <w:rPr>
          <w:b/>
        </w:rPr>
        <w:t>Plan</w:t>
      </w:r>
      <w:r>
        <w:t xml:space="preserve"> means a Plan that may be prepared and implemented under clause 12(4)(b) of the Code of Conduct, to address the behaviour of the person to whom the complaint relates (the Respondent), if a Finding has been made that a Breach has occurred. </w:t>
      </w:r>
    </w:p>
    <w:p w14:paraId="3650DFC0" w14:textId="77777777" w:rsidR="002D6926" w:rsidRPr="00EF2816" w:rsidRDefault="002D6926" w:rsidP="002D6926">
      <w:pPr>
        <w:spacing w:after="0"/>
        <w:jc w:val="both"/>
      </w:pPr>
      <w:r w:rsidRPr="00EF2816">
        <w:rPr>
          <w:b/>
        </w:rPr>
        <w:t>Response Documents</w:t>
      </w:r>
      <w:r w:rsidRPr="00EF2816">
        <w:t xml:space="preserve"> means the response provided by the Respondent to the </w:t>
      </w:r>
      <w:proofErr w:type="gramStart"/>
      <w:r w:rsidRPr="00EF2816">
        <w:t>Complaint,</w:t>
      </w:r>
      <w:r>
        <w:t xml:space="preserve"> </w:t>
      </w:r>
      <w:r w:rsidRPr="00EF2816">
        <w:t>and</w:t>
      </w:r>
      <w:proofErr w:type="gramEnd"/>
      <w:r w:rsidRPr="00EF2816">
        <w:t xml:space="preserve"> includes any supporting information or evidence that is supplied.</w:t>
      </w:r>
    </w:p>
    <w:p w14:paraId="57A48A76" w14:textId="77777777" w:rsidR="002D6926" w:rsidRDefault="002D6926" w:rsidP="002D6926">
      <w:pPr>
        <w:jc w:val="both"/>
      </w:pPr>
    </w:p>
    <w:p w14:paraId="5E60B62B" w14:textId="77777777" w:rsidR="002D6926" w:rsidRDefault="002D6926" w:rsidP="002D6926">
      <w:pPr>
        <w:rPr>
          <w:rFonts w:ascii="Arial" w:eastAsiaTheme="majorEastAsia" w:hAnsi="Arial" w:cstheme="majorBidi"/>
          <w:color w:val="948A54" w:themeColor="background2" w:themeShade="80"/>
          <w:spacing w:val="22"/>
          <w:kern w:val="28"/>
          <w:sz w:val="44"/>
          <w:szCs w:val="56"/>
          <w:lang w:eastAsia="zh-CN"/>
        </w:rPr>
      </w:pPr>
      <w:r>
        <w:br w:type="page"/>
      </w:r>
    </w:p>
    <w:p w14:paraId="3F397FA4" w14:textId="77777777" w:rsidR="002D6926" w:rsidRPr="00306C7E" w:rsidRDefault="002D6926" w:rsidP="002D6926">
      <w:pPr>
        <w:pStyle w:val="titletrainingtype"/>
        <w:jc w:val="both"/>
      </w:pPr>
      <w:r w:rsidRPr="00306C7E">
        <w:lastRenderedPageBreak/>
        <w:t>Policy Statement</w:t>
      </w:r>
    </w:p>
    <w:p w14:paraId="1BE27F43" w14:textId="77777777" w:rsidR="002D6926" w:rsidRPr="002D6926" w:rsidRDefault="002D6926" w:rsidP="002D6926">
      <w:pPr>
        <w:pStyle w:val="Heading1"/>
        <w:spacing w:before="240"/>
        <w:rPr>
          <w:rFonts w:ascii="Arial" w:hAnsi="Arial" w:cs="Arial"/>
          <w:sz w:val="24"/>
          <w:szCs w:val="24"/>
        </w:rPr>
      </w:pPr>
      <w:bookmarkStart w:id="78" w:name="_Toc70594037"/>
      <w:r w:rsidRPr="002D6926">
        <w:rPr>
          <w:rFonts w:ascii="Arial" w:hAnsi="Arial" w:cs="Arial"/>
          <w:sz w:val="24"/>
          <w:szCs w:val="24"/>
        </w:rPr>
        <w:t>1.</w:t>
      </w:r>
      <w:r w:rsidRPr="002D6926">
        <w:rPr>
          <w:rFonts w:ascii="Arial" w:hAnsi="Arial" w:cs="Arial"/>
          <w:sz w:val="24"/>
          <w:szCs w:val="24"/>
        </w:rPr>
        <w:tab/>
        <w:t>Principles</w:t>
      </w:r>
      <w:bookmarkEnd w:id="78"/>
    </w:p>
    <w:p w14:paraId="5B38E828" w14:textId="77777777" w:rsidR="002D6926" w:rsidRPr="002D6926" w:rsidRDefault="002D6926" w:rsidP="002D6926">
      <w:pPr>
        <w:pStyle w:val="Heading2"/>
        <w:ind w:left="993" w:hanging="567"/>
        <w:rPr>
          <w:rFonts w:ascii="Arial" w:hAnsi="Arial" w:cs="Arial"/>
          <w:sz w:val="24"/>
          <w:szCs w:val="24"/>
        </w:rPr>
      </w:pPr>
      <w:bookmarkStart w:id="79" w:name="_Toc70594038"/>
      <w:r w:rsidRPr="002D6926">
        <w:rPr>
          <w:rFonts w:ascii="Arial" w:hAnsi="Arial" w:cs="Arial"/>
          <w:sz w:val="24"/>
          <w:szCs w:val="24"/>
        </w:rPr>
        <w:t>1.1</w:t>
      </w:r>
      <w:r w:rsidRPr="002D6926">
        <w:rPr>
          <w:rFonts w:ascii="Arial" w:hAnsi="Arial" w:cs="Arial"/>
          <w:sz w:val="24"/>
          <w:szCs w:val="24"/>
        </w:rPr>
        <w:tab/>
        <w:t>Procedural fairness</w:t>
      </w:r>
      <w:bookmarkEnd w:id="79"/>
    </w:p>
    <w:p w14:paraId="312F36ED" w14:textId="77777777" w:rsidR="002D6926" w:rsidRPr="004D25AB" w:rsidRDefault="002D6926" w:rsidP="002D6926">
      <w:pPr>
        <w:tabs>
          <w:tab w:val="right" w:pos="8931"/>
        </w:tabs>
        <w:spacing w:after="0"/>
        <w:jc w:val="both"/>
        <w:rPr>
          <w:rFonts w:cstheme="minorHAnsi"/>
        </w:rPr>
      </w:pPr>
      <w:r>
        <w:t xml:space="preserve">The principles of procedural fairness, or natural justice, will apply when dealing with a Complaint </w:t>
      </w:r>
      <w:r w:rsidRPr="004D25AB">
        <w:rPr>
          <w:rFonts w:cstheme="minorHAnsi"/>
        </w:rPr>
        <w:t>under this Policy. In particular:</w:t>
      </w:r>
    </w:p>
    <w:p w14:paraId="7B5AE741" w14:textId="77777777" w:rsidR="002D6926" w:rsidRPr="004D25AB" w:rsidRDefault="002D6926" w:rsidP="002D6926">
      <w:pPr>
        <w:pStyle w:val="Bulletbody"/>
        <w:spacing w:before="120"/>
        <w:ind w:left="714" w:hanging="357"/>
        <w:contextualSpacing w:val="0"/>
        <w:jc w:val="both"/>
        <w:rPr>
          <w:rFonts w:asciiTheme="minorHAnsi" w:hAnsiTheme="minorHAnsi" w:cstheme="minorHAnsi"/>
        </w:rPr>
      </w:pPr>
      <w:r w:rsidRPr="004D25AB">
        <w:rPr>
          <w:rFonts w:asciiTheme="minorHAnsi" w:hAnsiTheme="minorHAnsi" w:cstheme="minorHAnsi"/>
        </w:rPr>
        <w:t xml:space="preserve">the Respondent will be afforded a reasonable opportunity to be heard before any findings are made, or a plan </w:t>
      </w:r>
      <w:proofErr w:type="gramStart"/>
      <w:r w:rsidRPr="004D25AB">
        <w:rPr>
          <w:rFonts w:asciiTheme="minorHAnsi" w:hAnsiTheme="minorHAnsi" w:cstheme="minorHAnsi"/>
        </w:rPr>
        <w:t>implemented;</w:t>
      </w:r>
      <w:proofErr w:type="gramEnd"/>
    </w:p>
    <w:p w14:paraId="69669B8D" w14:textId="77777777" w:rsidR="002D6926" w:rsidRPr="004D25AB" w:rsidRDefault="002D6926" w:rsidP="002D6926">
      <w:pPr>
        <w:pStyle w:val="Bulletbody"/>
        <w:jc w:val="both"/>
        <w:rPr>
          <w:rFonts w:asciiTheme="minorHAnsi" w:hAnsiTheme="minorHAnsi" w:cstheme="minorHAnsi"/>
        </w:rPr>
      </w:pPr>
      <w:r w:rsidRPr="004D25AB">
        <w:rPr>
          <w:rFonts w:asciiTheme="minorHAnsi" w:hAnsiTheme="minorHAnsi" w:cstheme="minorHAnsi"/>
        </w:rPr>
        <w:t>the decision maker should be objective and impartial, with an absence of bias or the perception of bias; and</w:t>
      </w:r>
    </w:p>
    <w:p w14:paraId="206A62A4" w14:textId="77777777" w:rsidR="002D6926" w:rsidRPr="004D25AB" w:rsidRDefault="002D6926" w:rsidP="002D6926">
      <w:pPr>
        <w:pStyle w:val="Bulletbody"/>
        <w:jc w:val="both"/>
        <w:rPr>
          <w:rFonts w:asciiTheme="minorHAnsi" w:hAnsiTheme="minorHAnsi" w:cstheme="minorHAnsi"/>
        </w:rPr>
      </w:pPr>
      <w:r w:rsidRPr="004D25AB">
        <w:rPr>
          <w:rFonts w:asciiTheme="minorHAnsi" w:hAnsiTheme="minorHAnsi" w:cstheme="minorHAnsi"/>
        </w:rPr>
        <w:t>any findings made will be based on proper and genuine consideration of the evidence.</w:t>
      </w:r>
    </w:p>
    <w:p w14:paraId="2C56EF11" w14:textId="77777777" w:rsidR="002D6926" w:rsidRPr="002D6926" w:rsidRDefault="002D6926" w:rsidP="002D6926">
      <w:pPr>
        <w:pStyle w:val="Heading2"/>
        <w:ind w:left="993" w:hanging="567"/>
        <w:rPr>
          <w:rFonts w:ascii="Arial" w:hAnsi="Arial" w:cs="Arial"/>
          <w:sz w:val="24"/>
          <w:szCs w:val="24"/>
        </w:rPr>
      </w:pPr>
      <w:bookmarkStart w:id="80" w:name="_Toc70594039"/>
      <w:r w:rsidRPr="002D6926">
        <w:rPr>
          <w:rFonts w:ascii="Arial" w:hAnsi="Arial" w:cs="Arial"/>
          <w:sz w:val="24"/>
          <w:szCs w:val="24"/>
        </w:rPr>
        <w:t>1.2</w:t>
      </w:r>
      <w:r w:rsidRPr="002D6926">
        <w:rPr>
          <w:rFonts w:ascii="Arial" w:hAnsi="Arial" w:cs="Arial"/>
          <w:sz w:val="24"/>
          <w:szCs w:val="24"/>
        </w:rPr>
        <w:tab/>
        <w:t>Consistency</w:t>
      </w:r>
      <w:bookmarkEnd w:id="80"/>
    </w:p>
    <w:p w14:paraId="1E1E2F94" w14:textId="77777777" w:rsidR="002D6926" w:rsidRPr="004A4DF1" w:rsidRDefault="002D6926" w:rsidP="002D6926">
      <w:pPr>
        <w:jc w:val="both"/>
      </w:pPr>
      <w:r>
        <w:t>The application of this Policy should lead to consistency in process and outcomes. While each Complainant and Respondent will be dealt with according to their circumstances, and each Complaint considered and determined on its merits, similar circumstances will result in similar decisions.</w:t>
      </w:r>
    </w:p>
    <w:p w14:paraId="0713F06C" w14:textId="77777777" w:rsidR="002D6926" w:rsidRPr="002D6926" w:rsidRDefault="002D6926" w:rsidP="002D6926">
      <w:pPr>
        <w:pStyle w:val="Heading2"/>
        <w:ind w:left="993" w:hanging="567"/>
        <w:rPr>
          <w:rFonts w:ascii="Arial" w:hAnsi="Arial" w:cs="Arial"/>
          <w:sz w:val="24"/>
          <w:szCs w:val="24"/>
        </w:rPr>
      </w:pPr>
      <w:bookmarkStart w:id="81" w:name="_Toc70594040"/>
      <w:r w:rsidRPr="002D6926">
        <w:rPr>
          <w:rFonts w:ascii="Arial" w:hAnsi="Arial" w:cs="Arial"/>
          <w:sz w:val="24"/>
          <w:szCs w:val="24"/>
        </w:rPr>
        <w:t>1.3</w:t>
      </w:r>
      <w:r w:rsidRPr="002D6926">
        <w:rPr>
          <w:rFonts w:ascii="Arial" w:hAnsi="Arial" w:cs="Arial"/>
          <w:sz w:val="24"/>
          <w:szCs w:val="24"/>
        </w:rPr>
        <w:tab/>
        <w:t>Confidentiality</w:t>
      </w:r>
      <w:bookmarkEnd w:id="81"/>
    </w:p>
    <w:p w14:paraId="22FB26CB" w14:textId="77777777" w:rsidR="002D6926" w:rsidRPr="00FB4C75" w:rsidRDefault="002D6926" w:rsidP="002D6926">
      <w:pPr>
        <w:tabs>
          <w:tab w:val="right" w:pos="8931"/>
        </w:tabs>
        <w:jc w:val="both"/>
      </w:pPr>
      <w:r w:rsidRPr="00FB4C75">
        <w:t xml:space="preserve">The </w:t>
      </w:r>
      <w:r>
        <w:t>Town of East Fremantle</w:t>
      </w:r>
      <w:r w:rsidRPr="00FB4C75">
        <w:t xml:space="preserve"> will take all reasonable steps to maintain confidentiality when dealing with the Complaint, </w:t>
      </w:r>
      <w:proofErr w:type="gramStart"/>
      <w:r w:rsidRPr="00FB4C75">
        <w:t>in order to</w:t>
      </w:r>
      <w:proofErr w:type="gramEnd"/>
      <w:r w:rsidRPr="00FB4C75">
        <w:t xml:space="preserve"> protect both the Complainant and Respondent. </w:t>
      </w:r>
    </w:p>
    <w:p w14:paraId="180BFF22" w14:textId="77777777" w:rsidR="002D6926" w:rsidRPr="00FB4C75" w:rsidRDefault="002D6926" w:rsidP="002D6926">
      <w:pPr>
        <w:tabs>
          <w:tab w:val="right" w:pos="8931"/>
        </w:tabs>
        <w:jc w:val="both"/>
      </w:pPr>
      <w:r w:rsidRPr="00FB4C75">
        <w:t xml:space="preserve">Council Members, Local Government employees and contractors who have a role in handling a specific complaint will be provided with sufficient information to fulfil their role. They must manage this information </w:t>
      </w:r>
      <w:proofErr w:type="gramStart"/>
      <w:r w:rsidRPr="00FB4C75">
        <w:t>securely, and</w:t>
      </w:r>
      <w:proofErr w:type="gramEnd"/>
      <w:r w:rsidRPr="00FB4C75">
        <w:t xml:space="preserve"> must not disclose or inappropriately use this information. </w:t>
      </w:r>
    </w:p>
    <w:p w14:paraId="1F477679" w14:textId="77777777" w:rsidR="002D6926" w:rsidRPr="00FB4C75" w:rsidRDefault="002D6926" w:rsidP="002D6926">
      <w:pPr>
        <w:tabs>
          <w:tab w:val="right" w:pos="8931"/>
        </w:tabs>
        <w:jc w:val="both"/>
      </w:pPr>
      <w:r w:rsidRPr="00FB4C75">
        <w:t>Complainants will be advised of the level of confidentiality they can expect, and that breaches of confidentiality on their part may prejudice the progress of their Complaint.</w:t>
      </w:r>
    </w:p>
    <w:tbl>
      <w:tblPr>
        <w:tblStyle w:val="TableGrid"/>
        <w:tblW w:w="0" w:type="auto"/>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none" w:sz="0" w:space="0" w:color="auto"/>
          <w:insideV w:val="none" w:sz="0" w:space="0" w:color="auto"/>
        </w:tblBorders>
        <w:tblLook w:val="04A0" w:firstRow="1" w:lastRow="0" w:firstColumn="1" w:lastColumn="0" w:noHBand="0" w:noVBand="1"/>
      </w:tblPr>
      <w:tblGrid>
        <w:gridCol w:w="8980"/>
      </w:tblGrid>
      <w:tr w:rsidR="002D6926" w:rsidRPr="00306C7E" w14:paraId="65F7462C" w14:textId="77777777" w:rsidTr="00A47C26">
        <w:tc>
          <w:tcPr>
            <w:tcW w:w="8980" w:type="dxa"/>
            <w:shd w:val="clear" w:color="auto" w:fill="auto"/>
          </w:tcPr>
          <w:p w14:paraId="1398BF80" w14:textId="77777777" w:rsidR="002D6926" w:rsidRPr="00306C7E" w:rsidRDefault="002D6926" w:rsidP="00A47C26">
            <w:pPr>
              <w:spacing w:before="120" w:after="120"/>
              <w:jc w:val="both"/>
            </w:pPr>
            <w:r>
              <w:rPr>
                <w:i/>
              </w:rPr>
              <w:t xml:space="preserve">Note: </w:t>
            </w:r>
            <w:r w:rsidRPr="00FB4C75">
              <w:rPr>
                <w:i/>
              </w:rPr>
              <w:t>A breach of confidentiality by Council Members or Committee Members under an adopted Complaints Policy would breach the Code of Conduct clause 8(2)(b) requirement to comply with all Local Government Policies. In the case of Council Members, this may also be a breach of Rule of Conduct 18(1).</w:t>
            </w:r>
            <w:r>
              <w:t xml:space="preserve">  </w:t>
            </w:r>
          </w:p>
        </w:tc>
      </w:tr>
    </w:tbl>
    <w:p w14:paraId="5A4BFA6C" w14:textId="77777777" w:rsidR="002D6926" w:rsidRPr="002D6926" w:rsidRDefault="002D6926" w:rsidP="002D6926">
      <w:pPr>
        <w:pStyle w:val="Heading2"/>
        <w:ind w:left="993" w:hanging="567"/>
        <w:rPr>
          <w:rFonts w:ascii="Arial" w:hAnsi="Arial" w:cs="Arial"/>
          <w:sz w:val="24"/>
          <w:szCs w:val="24"/>
        </w:rPr>
      </w:pPr>
      <w:bookmarkStart w:id="82" w:name="_Toc70594041"/>
      <w:r w:rsidRPr="002D6926">
        <w:rPr>
          <w:rFonts w:ascii="Arial" w:hAnsi="Arial" w:cs="Arial"/>
          <w:sz w:val="24"/>
          <w:szCs w:val="24"/>
        </w:rPr>
        <w:t>1.4</w:t>
      </w:r>
      <w:r w:rsidRPr="002D6926">
        <w:rPr>
          <w:rFonts w:ascii="Arial" w:hAnsi="Arial" w:cs="Arial"/>
          <w:sz w:val="24"/>
          <w:szCs w:val="24"/>
        </w:rPr>
        <w:tab/>
        <w:t>Accessibility</w:t>
      </w:r>
      <w:bookmarkEnd w:id="82"/>
    </w:p>
    <w:p w14:paraId="2FD2E56A" w14:textId="77777777" w:rsidR="002D6926" w:rsidRPr="00606476" w:rsidRDefault="002D6926" w:rsidP="002D6926">
      <w:pPr>
        <w:jc w:val="both"/>
      </w:pPr>
      <w:r w:rsidRPr="00606476">
        <w:t xml:space="preserve">The </w:t>
      </w:r>
      <w:r>
        <w:t>Town of East Fremantle</w:t>
      </w:r>
      <w:r w:rsidRPr="00606476">
        <w:t xml:space="preserve"> will ensure that information on how to make a complaint, including this Policy, is available at the </w:t>
      </w:r>
      <w:r>
        <w:t>Town of East Fremantle</w:t>
      </w:r>
      <w:r w:rsidRPr="00606476">
        <w:t xml:space="preserve">’s Administration Building and on the </w:t>
      </w:r>
      <w:r>
        <w:t>Town of East Fremantle</w:t>
      </w:r>
      <w:r w:rsidRPr="00606476">
        <w:t xml:space="preserve">’s website. The </w:t>
      </w:r>
      <w:r>
        <w:t>Town of East Fremantle</w:t>
      </w:r>
      <w:r w:rsidRPr="00606476">
        <w:t xml:space="preserve"> will make information available in alternative formats if requested. </w:t>
      </w:r>
    </w:p>
    <w:p w14:paraId="48B7E7BA" w14:textId="77777777" w:rsidR="002D6926" w:rsidRPr="00606476" w:rsidRDefault="002D6926" w:rsidP="002D6926">
      <w:pPr>
        <w:jc w:val="both"/>
      </w:pPr>
      <w:r w:rsidRPr="00606476">
        <w:t>Any person wishing to make a complaint may contact the Behaviour Complaints Officer if they require assistance in completing the complaint form or otherwise navigating the complaints process.</w:t>
      </w:r>
    </w:p>
    <w:tbl>
      <w:tblPr>
        <w:tblStyle w:val="TableGrid"/>
        <w:tblW w:w="0" w:type="auto"/>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none" w:sz="0" w:space="0" w:color="auto"/>
          <w:insideV w:val="none" w:sz="0" w:space="0" w:color="auto"/>
        </w:tblBorders>
        <w:tblLook w:val="04A0" w:firstRow="1" w:lastRow="0" w:firstColumn="1" w:lastColumn="0" w:noHBand="0" w:noVBand="1"/>
      </w:tblPr>
      <w:tblGrid>
        <w:gridCol w:w="8980"/>
      </w:tblGrid>
      <w:tr w:rsidR="002D6926" w:rsidRPr="00306C7E" w14:paraId="3D7CCAAF" w14:textId="77777777" w:rsidTr="00A47C26">
        <w:tc>
          <w:tcPr>
            <w:tcW w:w="8980" w:type="dxa"/>
            <w:shd w:val="clear" w:color="auto" w:fill="auto"/>
          </w:tcPr>
          <w:p w14:paraId="5241AAB4" w14:textId="77777777" w:rsidR="002D6926" w:rsidRDefault="002D6926" w:rsidP="002D6926">
            <w:pPr>
              <w:spacing w:before="60" w:after="60"/>
              <w:ind w:right="261"/>
              <w:jc w:val="both"/>
            </w:pPr>
            <w:r>
              <w:t>Behaviour Complaints Officer – Chief Executive Officer</w:t>
            </w:r>
          </w:p>
          <w:p w14:paraId="3C3E96F4" w14:textId="77777777" w:rsidR="002D6926" w:rsidRDefault="002D6926" w:rsidP="002D6926">
            <w:pPr>
              <w:spacing w:before="60" w:after="60"/>
              <w:ind w:right="261"/>
              <w:jc w:val="both"/>
            </w:pPr>
            <w:proofErr w:type="gramStart"/>
            <w:r>
              <w:t>Phone :</w:t>
            </w:r>
            <w:proofErr w:type="gramEnd"/>
            <w:r>
              <w:t xml:space="preserve"> 9339 9339</w:t>
            </w:r>
          </w:p>
          <w:p w14:paraId="4831E721" w14:textId="77777777" w:rsidR="002D6926" w:rsidRPr="00306C7E" w:rsidRDefault="002D6926" w:rsidP="002D6926">
            <w:pPr>
              <w:spacing w:before="60" w:after="120"/>
              <w:ind w:right="261"/>
              <w:jc w:val="both"/>
            </w:pPr>
            <w:r>
              <w:t xml:space="preserve">Email: </w:t>
            </w:r>
            <w:hyperlink r:id="rId32" w:history="1">
              <w:r w:rsidRPr="002F4FE6">
                <w:rPr>
                  <w:rStyle w:val="Hyperlink"/>
                </w:rPr>
                <w:t>gtuffin@eastfremantle.wa.gov.au</w:t>
              </w:r>
            </w:hyperlink>
            <w:r>
              <w:t xml:space="preserve"> </w:t>
            </w:r>
          </w:p>
        </w:tc>
      </w:tr>
    </w:tbl>
    <w:p w14:paraId="7778726A" w14:textId="77777777" w:rsidR="002D6926" w:rsidRPr="002D6926" w:rsidRDefault="002D6926" w:rsidP="002D6926">
      <w:pPr>
        <w:pStyle w:val="Heading1"/>
        <w:ind w:left="426" w:hanging="426"/>
        <w:rPr>
          <w:rFonts w:ascii="Arial" w:hAnsi="Arial" w:cs="Arial"/>
          <w:sz w:val="24"/>
          <w:szCs w:val="24"/>
        </w:rPr>
      </w:pPr>
      <w:bookmarkStart w:id="83" w:name="_Toc70594042"/>
      <w:r w:rsidRPr="002D6926">
        <w:rPr>
          <w:rFonts w:ascii="Arial" w:hAnsi="Arial" w:cs="Arial"/>
          <w:sz w:val="24"/>
          <w:szCs w:val="24"/>
        </w:rPr>
        <w:lastRenderedPageBreak/>
        <w:t>2.</w:t>
      </w:r>
      <w:r w:rsidRPr="002D6926">
        <w:rPr>
          <w:rFonts w:ascii="Arial" w:hAnsi="Arial" w:cs="Arial"/>
          <w:sz w:val="24"/>
          <w:szCs w:val="24"/>
        </w:rPr>
        <w:tab/>
        <w:t>Roles</w:t>
      </w:r>
      <w:bookmarkEnd w:id="83"/>
      <w:r w:rsidRPr="002D6926">
        <w:rPr>
          <w:rFonts w:ascii="Arial" w:hAnsi="Arial" w:cs="Arial"/>
          <w:sz w:val="24"/>
          <w:szCs w:val="24"/>
        </w:rPr>
        <w:t xml:space="preserve">  </w:t>
      </w:r>
    </w:p>
    <w:p w14:paraId="62CA3A5A" w14:textId="77777777" w:rsidR="002D6926" w:rsidRPr="002D6926" w:rsidRDefault="002D6926" w:rsidP="002D6926">
      <w:pPr>
        <w:pStyle w:val="Heading2"/>
        <w:ind w:left="993" w:hanging="567"/>
        <w:rPr>
          <w:rFonts w:ascii="Arial" w:hAnsi="Arial" w:cs="Arial"/>
          <w:sz w:val="24"/>
          <w:szCs w:val="24"/>
        </w:rPr>
      </w:pPr>
      <w:bookmarkStart w:id="84" w:name="_Toc70594043"/>
      <w:r w:rsidRPr="002D6926">
        <w:rPr>
          <w:rFonts w:ascii="Arial" w:hAnsi="Arial" w:cs="Arial"/>
          <w:sz w:val="24"/>
          <w:szCs w:val="24"/>
        </w:rPr>
        <w:t>2.1</w:t>
      </w:r>
      <w:r w:rsidRPr="002D6926">
        <w:rPr>
          <w:rFonts w:ascii="Arial" w:hAnsi="Arial" w:cs="Arial"/>
          <w:sz w:val="24"/>
          <w:szCs w:val="24"/>
        </w:rPr>
        <w:tab/>
        <w:t>Behaviour Complaints Officer</w:t>
      </w:r>
      <w:bookmarkEnd w:id="84"/>
    </w:p>
    <w:p w14:paraId="032D73A1" w14:textId="77777777" w:rsidR="002D6926" w:rsidRDefault="002D6926" w:rsidP="00057296">
      <w:pPr>
        <w:tabs>
          <w:tab w:val="right" w:pos="8931"/>
        </w:tabs>
        <w:spacing w:after="160"/>
        <w:jc w:val="both"/>
      </w:pPr>
      <w:r>
        <w:t xml:space="preserve">The Behaviour Complaints Officer is authorised in accordance with clause 11(3) of the Code of Conduct to accept complaints and withdrawal of complaints. </w:t>
      </w:r>
    </w:p>
    <w:p w14:paraId="01B98E4E" w14:textId="77777777" w:rsidR="002D6926" w:rsidRDefault="002D6926" w:rsidP="00057296">
      <w:pPr>
        <w:tabs>
          <w:tab w:val="right" w:pos="8931"/>
        </w:tabs>
        <w:spacing w:after="160"/>
        <w:jc w:val="both"/>
      </w:pPr>
      <w:r>
        <w:t>The Behaviour Complaints Officer is not an advocate for the complainant or the respondent. The Behaviour Complaints Officer provides procedural information and assistance to both Complainant and Respondent.</w:t>
      </w:r>
    </w:p>
    <w:p w14:paraId="4694FD43" w14:textId="77777777" w:rsidR="002D6926" w:rsidRDefault="002D6926" w:rsidP="00057296">
      <w:pPr>
        <w:tabs>
          <w:tab w:val="right" w:pos="8931"/>
        </w:tabs>
        <w:spacing w:after="160"/>
        <w:jc w:val="both"/>
      </w:pPr>
      <w:r>
        <w:t>The Behaviour Complaints Officer will liaise with and provide administrative support to a Complaint Assessor appointed under this Policy.</w:t>
      </w:r>
    </w:p>
    <w:p w14:paraId="5CC4C348" w14:textId="77777777" w:rsidR="002D6926" w:rsidRDefault="002D6926" w:rsidP="00057296">
      <w:pPr>
        <w:tabs>
          <w:tab w:val="right" w:pos="8931"/>
        </w:tabs>
        <w:spacing w:after="160"/>
        <w:jc w:val="both"/>
      </w:pPr>
      <w:r>
        <w:t xml:space="preserve">The Behaviour Complaints Officer will liaise with the Local Government to facilitate the calling and convening of Council or Behaviour Complaints Committee meetings if required. </w:t>
      </w:r>
    </w:p>
    <w:p w14:paraId="03849274" w14:textId="77777777" w:rsidR="002D6926" w:rsidRDefault="002D6926" w:rsidP="002D6926">
      <w:pPr>
        <w:tabs>
          <w:tab w:val="right" w:pos="8931"/>
        </w:tabs>
        <w:jc w:val="both"/>
      </w:pPr>
      <w:r>
        <w:t>In undertaking their functions, the Behaviour Complaints Officer will apply the Principles of this Policy.</w:t>
      </w:r>
    </w:p>
    <w:p w14:paraId="0FF311D5" w14:textId="77777777" w:rsidR="002D6926" w:rsidRPr="002D6926" w:rsidRDefault="002D6926" w:rsidP="002D6926">
      <w:pPr>
        <w:pStyle w:val="Heading2"/>
        <w:ind w:left="993" w:hanging="567"/>
        <w:rPr>
          <w:rFonts w:ascii="Arial" w:hAnsi="Arial" w:cs="Arial"/>
          <w:sz w:val="24"/>
          <w:szCs w:val="24"/>
        </w:rPr>
      </w:pPr>
      <w:bookmarkStart w:id="85" w:name="_Toc70594044"/>
      <w:r w:rsidRPr="002D6926">
        <w:rPr>
          <w:rFonts w:ascii="Arial" w:hAnsi="Arial" w:cs="Arial"/>
          <w:sz w:val="24"/>
          <w:szCs w:val="24"/>
        </w:rPr>
        <w:t>2.2</w:t>
      </w:r>
      <w:r w:rsidRPr="002D6926">
        <w:rPr>
          <w:rFonts w:ascii="Arial" w:hAnsi="Arial" w:cs="Arial"/>
          <w:sz w:val="24"/>
          <w:szCs w:val="24"/>
        </w:rPr>
        <w:tab/>
        <w:t>Complaint Assessor</w:t>
      </w:r>
      <w:bookmarkEnd w:id="85"/>
    </w:p>
    <w:p w14:paraId="7AFFD9DD" w14:textId="77777777" w:rsidR="002D6926" w:rsidRDefault="002D6926" w:rsidP="00057296">
      <w:pPr>
        <w:tabs>
          <w:tab w:val="right" w:pos="8931"/>
        </w:tabs>
        <w:spacing w:after="160"/>
        <w:jc w:val="both"/>
      </w:pPr>
      <w:r>
        <w:t>The Complaint Assessor is appointed by the Behaviour Complaints Officer in accordance with Part 3.8 of this Policy.</w:t>
      </w:r>
    </w:p>
    <w:p w14:paraId="4455EA0C" w14:textId="77777777" w:rsidR="002D6926" w:rsidRDefault="002D6926" w:rsidP="00057296">
      <w:pPr>
        <w:tabs>
          <w:tab w:val="right" w:pos="8931"/>
        </w:tabs>
        <w:spacing w:after="160"/>
        <w:jc w:val="both"/>
      </w:pPr>
      <w:r>
        <w:t>The Complaint Assessor is an impartial third party who will undertake the functions specified in this Policy. In undertaking their functions, the Complaint Assessor will apply the Principles of this Policy.</w:t>
      </w:r>
    </w:p>
    <w:p w14:paraId="2F00A474" w14:textId="77777777" w:rsidR="002D6926" w:rsidRDefault="002D6926" w:rsidP="002D6926">
      <w:pPr>
        <w:jc w:val="both"/>
      </w:pPr>
      <w:r>
        <w:t xml:space="preserve">The Complaint Assessor will liaise with the Behaviour Complaints Officer to manage the administrative requirements of dealing with the Complaint in accordance with this Policy. </w:t>
      </w:r>
    </w:p>
    <w:p w14:paraId="46B1C4AA" w14:textId="77777777" w:rsidR="002D6926" w:rsidRPr="002D6926" w:rsidRDefault="002D6926" w:rsidP="00057296">
      <w:pPr>
        <w:pStyle w:val="Heading2"/>
        <w:ind w:left="993" w:hanging="567"/>
        <w:rPr>
          <w:rFonts w:ascii="Arial" w:hAnsi="Arial" w:cs="Arial"/>
          <w:sz w:val="24"/>
          <w:szCs w:val="24"/>
        </w:rPr>
      </w:pPr>
      <w:bookmarkStart w:id="86" w:name="_Toc70594045"/>
      <w:r w:rsidRPr="002D6926">
        <w:rPr>
          <w:rFonts w:ascii="Arial" w:hAnsi="Arial" w:cs="Arial"/>
          <w:sz w:val="24"/>
          <w:szCs w:val="24"/>
        </w:rPr>
        <w:t>2.3</w:t>
      </w:r>
      <w:r w:rsidRPr="002D6926">
        <w:rPr>
          <w:rFonts w:ascii="Arial" w:hAnsi="Arial" w:cs="Arial"/>
          <w:sz w:val="24"/>
          <w:szCs w:val="24"/>
        </w:rPr>
        <w:tab/>
        <w:t>Behaviour Complaints Committee</w:t>
      </w:r>
      <w:bookmarkEnd w:id="86"/>
    </w:p>
    <w:p w14:paraId="2CD29563" w14:textId="77777777" w:rsidR="002D6926" w:rsidRDefault="002D6926" w:rsidP="00057296">
      <w:pPr>
        <w:tabs>
          <w:tab w:val="right" w:pos="8931"/>
        </w:tabs>
        <w:spacing w:after="160"/>
        <w:jc w:val="both"/>
      </w:pPr>
      <w:r>
        <w:t xml:space="preserve">The Behaviour Complaints Committee is a Committee of Council </w:t>
      </w:r>
      <w:r w:rsidRPr="00C93AF1">
        <w:t xml:space="preserve">established in accordance with s.5.8 of the Act for the purpose of dealing with </w:t>
      </w:r>
      <w:r>
        <w:t>C</w:t>
      </w:r>
      <w:r w:rsidRPr="00C93AF1">
        <w:t>omplaints.</w:t>
      </w:r>
    </w:p>
    <w:p w14:paraId="25B9B276" w14:textId="77777777" w:rsidR="002D6926" w:rsidRPr="004D25AB" w:rsidRDefault="002D6926" w:rsidP="002D6926">
      <w:pPr>
        <w:tabs>
          <w:tab w:val="right" w:pos="8931"/>
        </w:tabs>
        <w:jc w:val="both"/>
        <w:rPr>
          <w:color w:val="FF0000"/>
        </w:rPr>
      </w:pPr>
      <w:r>
        <w:t>The Behaviour Complaints Committee is a Committee of Council Members only. The membership and purpose of the Behaviour Complaints Committee is outlined in Behaviour Complaints Committee Terms of Reference.</w:t>
      </w:r>
    </w:p>
    <w:p w14:paraId="600014E2" w14:textId="77777777" w:rsidR="002D6926" w:rsidRPr="002D6926" w:rsidRDefault="002D6926" w:rsidP="00057296">
      <w:pPr>
        <w:pStyle w:val="Heading1"/>
        <w:spacing w:before="360"/>
        <w:ind w:left="426" w:hanging="426"/>
        <w:rPr>
          <w:rFonts w:ascii="Arial" w:hAnsi="Arial" w:cs="Arial"/>
          <w:sz w:val="24"/>
          <w:szCs w:val="24"/>
        </w:rPr>
      </w:pPr>
      <w:bookmarkStart w:id="87" w:name="_Toc70594046"/>
      <w:r w:rsidRPr="002D6926">
        <w:rPr>
          <w:rFonts w:ascii="Arial" w:hAnsi="Arial" w:cs="Arial"/>
          <w:sz w:val="24"/>
          <w:szCs w:val="24"/>
        </w:rPr>
        <w:t>3.</w:t>
      </w:r>
      <w:r w:rsidRPr="002D6926">
        <w:rPr>
          <w:rFonts w:ascii="Arial" w:hAnsi="Arial" w:cs="Arial"/>
          <w:sz w:val="24"/>
          <w:szCs w:val="24"/>
        </w:rPr>
        <w:tab/>
        <w:t>Procedure</w:t>
      </w:r>
      <w:bookmarkEnd w:id="87"/>
    </w:p>
    <w:p w14:paraId="7E2E0EE5" w14:textId="77777777" w:rsidR="002D6926" w:rsidRPr="002D6926" w:rsidRDefault="002D6926" w:rsidP="00057296">
      <w:pPr>
        <w:pStyle w:val="Heading2"/>
        <w:ind w:left="993" w:hanging="567"/>
        <w:rPr>
          <w:rFonts w:ascii="Arial" w:hAnsi="Arial" w:cs="Arial"/>
          <w:sz w:val="24"/>
          <w:szCs w:val="24"/>
        </w:rPr>
      </w:pPr>
      <w:bookmarkStart w:id="88" w:name="_Toc70594047"/>
      <w:r w:rsidRPr="002D6926">
        <w:rPr>
          <w:rFonts w:ascii="Arial" w:hAnsi="Arial" w:cs="Arial"/>
          <w:sz w:val="24"/>
          <w:szCs w:val="24"/>
        </w:rPr>
        <w:t>3.1</w:t>
      </w:r>
      <w:r w:rsidRPr="002D6926">
        <w:rPr>
          <w:rFonts w:ascii="Arial" w:hAnsi="Arial" w:cs="Arial"/>
          <w:sz w:val="24"/>
          <w:szCs w:val="24"/>
        </w:rPr>
        <w:tab/>
        <w:t>Making a complaint</w:t>
      </w:r>
      <w:bookmarkEnd w:id="88"/>
    </w:p>
    <w:p w14:paraId="47FE5D81" w14:textId="77777777" w:rsidR="002D6926" w:rsidRPr="0008072F" w:rsidRDefault="002D6926" w:rsidP="00057296">
      <w:pPr>
        <w:spacing w:after="160"/>
        <w:jc w:val="both"/>
      </w:pPr>
      <w:r w:rsidRPr="0008072F">
        <w:t>Any person may make a Complaint alleging that a Council Member, Committee Member or Candidate has behaved in a way that constitutes a breach of Division 3 of the Code of Conduct</w:t>
      </w:r>
      <w:r>
        <w:t xml:space="preserve"> </w:t>
      </w:r>
      <w:r w:rsidRPr="0008072F">
        <w:rPr>
          <w:rFonts w:cs="Arial"/>
          <w:i/>
        </w:rPr>
        <w:t>[clause 11(1) of the Code of Conduct]</w:t>
      </w:r>
      <w:r w:rsidRPr="0008072F">
        <w:t>.</w:t>
      </w:r>
    </w:p>
    <w:p w14:paraId="0455F083" w14:textId="77777777" w:rsidR="002D6926" w:rsidRPr="0008072F" w:rsidRDefault="002D6926" w:rsidP="00057296">
      <w:pPr>
        <w:spacing w:after="160"/>
        <w:jc w:val="both"/>
        <w:rPr>
          <w:i/>
        </w:rPr>
      </w:pPr>
      <w:r w:rsidRPr="0008072F">
        <w:t>A Complaint must be made within one (1) month after the alleged Breach</w:t>
      </w:r>
      <w:r>
        <w:t xml:space="preserve"> </w:t>
      </w:r>
      <w:r w:rsidRPr="0008072F">
        <w:rPr>
          <w:rFonts w:cs="Arial"/>
          <w:i/>
        </w:rPr>
        <w:t>[clause 11(2)(c) of the Code of Conduct]</w:t>
      </w:r>
      <w:r w:rsidRPr="0008072F">
        <w:rPr>
          <w:i/>
        </w:rPr>
        <w:t xml:space="preserve">. </w:t>
      </w:r>
    </w:p>
    <w:p w14:paraId="6FF8927A" w14:textId="77777777" w:rsidR="002D6926" w:rsidRDefault="002D6926" w:rsidP="00057296">
      <w:pPr>
        <w:spacing w:after="160"/>
        <w:jc w:val="both"/>
      </w:pPr>
      <w:r w:rsidRPr="0008072F">
        <w:t xml:space="preserve">A Complaint must be made by completing the Behaviour Complaint Form in full and providing the completed forms to the Behaviour Complaints Officer. </w:t>
      </w:r>
    </w:p>
    <w:p w14:paraId="2E1837B3" w14:textId="77777777" w:rsidR="002D6926" w:rsidRPr="0008072F" w:rsidRDefault="002D6926" w:rsidP="002D6926">
      <w:pPr>
        <w:jc w:val="both"/>
      </w:pPr>
      <w:r w:rsidRPr="0008072F">
        <w:t xml:space="preserve">A Complaint must </w:t>
      </w:r>
      <w:r>
        <w:t>be made in accordance with the Behaviour Complaint Form</w:t>
      </w:r>
      <w:r w:rsidRPr="0008072F">
        <w:t xml:space="preserve"> and specify which requirement(s) of the Code of Conduct is alleged to have been breached.</w:t>
      </w:r>
    </w:p>
    <w:p w14:paraId="721D9EB9" w14:textId="77777777" w:rsidR="002D6926" w:rsidRDefault="002D6926" w:rsidP="002D6926">
      <w:pPr>
        <w:jc w:val="both"/>
      </w:pPr>
      <w:r>
        <w:lastRenderedPageBreak/>
        <w:t>A Complaint is required to include the name and contact details of the Complainant therefore anonymous complaints cannot be accepted.</w:t>
      </w:r>
    </w:p>
    <w:p w14:paraId="755F1118" w14:textId="77777777" w:rsidR="002D6926" w:rsidRDefault="002D6926" w:rsidP="002D6926">
      <w:pPr>
        <w:jc w:val="both"/>
      </w:pPr>
      <w:r>
        <w:t xml:space="preserve">Where a Complaint Form omits required details, the Behaviour Complaints Officer will invite the Complainant to provide this information </w:t>
      </w:r>
      <w:proofErr w:type="gramStart"/>
      <w:r>
        <w:t>in order for</w:t>
      </w:r>
      <w:proofErr w:type="gramEnd"/>
      <w:r>
        <w:t xml:space="preserve"> the Complaint to be progressed.</w:t>
      </w:r>
    </w:p>
    <w:p w14:paraId="5B1FC984" w14:textId="77777777" w:rsidR="002D6926" w:rsidRDefault="002D6926" w:rsidP="002D6926">
      <w:pPr>
        <w:jc w:val="both"/>
      </w:pPr>
      <w:r>
        <w:t xml:space="preserve">Where a Complaint is made more than 1 month after the alleged breach, the Behaviour Complaints Officer will give the Complainant written notice that the Complaint cannot be made </w:t>
      </w:r>
      <w:r w:rsidRPr="0008072F">
        <w:rPr>
          <w:rFonts w:cs="Arial"/>
          <w:i/>
        </w:rPr>
        <w:t>[clause 11(2)(c) of the Code of Conduct]</w:t>
      </w:r>
      <w:r>
        <w:t xml:space="preserve">. </w:t>
      </w:r>
    </w:p>
    <w:p w14:paraId="6D82BA45" w14:textId="77777777" w:rsidR="002D6926" w:rsidRPr="00057296" w:rsidRDefault="002D6926" w:rsidP="00057296">
      <w:pPr>
        <w:pStyle w:val="Heading2"/>
        <w:ind w:left="993" w:hanging="567"/>
        <w:rPr>
          <w:rFonts w:ascii="Arial" w:hAnsi="Arial" w:cs="Arial"/>
          <w:sz w:val="24"/>
          <w:szCs w:val="24"/>
        </w:rPr>
      </w:pPr>
      <w:bookmarkStart w:id="89" w:name="_Toc70594048"/>
      <w:r w:rsidRPr="00057296">
        <w:rPr>
          <w:rFonts w:ascii="Arial" w:hAnsi="Arial" w:cs="Arial"/>
          <w:sz w:val="24"/>
          <w:szCs w:val="24"/>
        </w:rPr>
        <w:t>3.2</w:t>
      </w:r>
      <w:r w:rsidRPr="00057296">
        <w:rPr>
          <w:rFonts w:ascii="Arial" w:hAnsi="Arial" w:cs="Arial"/>
          <w:sz w:val="24"/>
          <w:szCs w:val="24"/>
        </w:rPr>
        <w:tab/>
        <w:t>Candidate Complaints</w:t>
      </w:r>
      <w:bookmarkEnd w:id="89"/>
    </w:p>
    <w:p w14:paraId="4B30E9CB" w14:textId="77777777" w:rsidR="002D6926" w:rsidRDefault="002D6926" w:rsidP="002D6926">
      <w:r>
        <w:t>A Complaint in relation to a Candidate must be made in accordance with 3.1, above, but cannot be dealt with unless the Candidate is subsequently declared elected as a Council Member.</w:t>
      </w:r>
    </w:p>
    <w:p w14:paraId="2E85ECFC" w14:textId="77777777" w:rsidR="002D6926" w:rsidRDefault="002D6926" w:rsidP="002D6926">
      <w:pPr>
        <w:spacing w:after="0" w:line="240" w:lineRule="auto"/>
      </w:pPr>
      <w:r>
        <w:t>Within 7 days after receiving a Candidate Complaint, the Behaviour Complaints Officer will</w:t>
      </w:r>
      <w:r w:rsidRPr="000B6CB1">
        <w:t xml:space="preserve"> </w:t>
      </w:r>
      <w:r>
        <w:t xml:space="preserve">provide written notice: </w:t>
      </w:r>
    </w:p>
    <w:p w14:paraId="62E14A06" w14:textId="77777777" w:rsidR="002D6926" w:rsidRPr="0010530D" w:rsidRDefault="002D6926" w:rsidP="002D6926">
      <w:pPr>
        <w:pStyle w:val="Bulletbody"/>
        <w:spacing w:before="0"/>
        <w:rPr>
          <w:rFonts w:asciiTheme="minorHAnsi" w:hAnsiTheme="minorHAnsi" w:cstheme="minorHAnsi"/>
        </w:rPr>
      </w:pPr>
      <w:r w:rsidRPr="0010530D">
        <w:rPr>
          <w:rFonts w:asciiTheme="minorHAnsi" w:hAnsiTheme="minorHAnsi" w:cstheme="minorHAnsi"/>
        </w:rPr>
        <w:t>To the Complainant confirming receipt, and advising of the procedure for candidate complaints; and</w:t>
      </w:r>
    </w:p>
    <w:p w14:paraId="77E1B725" w14:textId="77777777" w:rsidR="002D6926" w:rsidRPr="0010530D" w:rsidRDefault="002D6926" w:rsidP="002D6926">
      <w:pPr>
        <w:pStyle w:val="Bulletbody"/>
        <w:rPr>
          <w:rFonts w:asciiTheme="minorHAnsi" w:hAnsiTheme="minorHAnsi" w:cstheme="minorHAnsi"/>
        </w:rPr>
      </w:pPr>
      <w:r w:rsidRPr="0010530D">
        <w:rPr>
          <w:rFonts w:asciiTheme="minorHAnsi" w:hAnsiTheme="minorHAnsi" w:cstheme="minorHAnsi"/>
        </w:rPr>
        <w:t>To the Respondent, including a summary of the complaint, and advising of the procedure for candidate complaints.</w:t>
      </w:r>
    </w:p>
    <w:p w14:paraId="293C0705" w14:textId="77777777" w:rsidR="002D6926" w:rsidRDefault="002D6926" w:rsidP="002D6926">
      <w:pPr>
        <w:spacing w:after="0"/>
        <w:jc w:val="both"/>
      </w:pPr>
    </w:p>
    <w:p w14:paraId="7EE618F7" w14:textId="77777777" w:rsidR="002D6926" w:rsidRDefault="002D6926" w:rsidP="002D6926">
      <w:pPr>
        <w:jc w:val="both"/>
      </w:pPr>
      <w:r>
        <w:t xml:space="preserve">No action will be taken until the results of the election are declared by the Returning Officer. If the respondent is elected, then the complaint will be dealt with in accordance with this Policy. Timeframes that would otherwise commence on the receipt of a Complaint will be taken to commence on the election date. </w:t>
      </w:r>
    </w:p>
    <w:p w14:paraId="5C58A6E0" w14:textId="77777777" w:rsidR="002D6926" w:rsidRPr="00545BB6" w:rsidRDefault="002D6926" w:rsidP="002D6926">
      <w:pPr>
        <w:jc w:val="both"/>
      </w:pPr>
      <w:r>
        <w:t xml:space="preserve">If the Respondent is not elected, the Behaviour Complaints Officer will provide the Complainant with notice that the Respondent has not been </w:t>
      </w:r>
      <w:proofErr w:type="gramStart"/>
      <w:r>
        <w:t>elected</w:t>
      </w:r>
      <w:proofErr w:type="gramEnd"/>
      <w:r>
        <w:t xml:space="preserve"> and that the Complaint cannot be dealt with </w:t>
      </w:r>
      <w:r w:rsidRPr="00CF649C">
        <w:rPr>
          <w:rFonts w:cs="Arial"/>
          <w:i/>
        </w:rPr>
        <w:t>[</w:t>
      </w:r>
      <w:r w:rsidRPr="00CF649C">
        <w:rPr>
          <w:i/>
        </w:rPr>
        <w:t>clause 15(1) of the Code of Conduct</w:t>
      </w:r>
      <w:r w:rsidRPr="00CF649C">
        <w:rPr>
          <w:rFonts w:cs="Arial"/>
          <w:i/>
        </w:rPr>
        <w:t>]</w:t>
      </w:r>
      <w:r>
        <w:t xml:space="preserve">. </w:t>
      </w:r>
    </w:p>
    <w:p w14:paraId="5006D5FC" w14:textId="77777777" w:rsidR="002D6926" w:rsidRPr="00057296" w:rsidRDefault="002D6926" w:rsidP="00057296">
      <w:pPr>
        <w:pStyle w:val="Heading2"/>
        <w:ind w:left="993" w:hanging="567"/>
        <w:rPr>
          <w:rFonts w:ascii="Arial" w:hAnsi="Arial" w:cs="Arial"/>
          <w:sz w:val="24"/>
          <w:szCs w:val="24"/>
        </w:rPr>
      </w:pPr>
      <w:bookmarkStart w:id="90" w:name="_Toc70594049"/>
      <w:r w:rsidRPr="00057296">
        <w:rPr>
          <w:rFonts w:ascii="Arial" w:hAnsi="Arial" w:cs="Arial"/>
          <w:sz w:val="24"/>
          <w:szCs w:val="24"/>
        </w:rPr>
        <w:t>3.3</w:t>
      </w:r>
      <w:r w:rsidRPr="00057296">
        <w:rPr>
          <w:rFonts w:ascii="Arial" w:hAnsi="Arial" w:cs="Arial"/>
          <w:sz w:val="24"/>
          <w:szCs w:val="24"/>
        </w:rPr>
        <w:tab/>
        <w:t>Withdrawing a Complaint</w:t>
      </w:r>
      <w:bookmarkEnd w:id="90"/>
    </w:p>
    <w:p w14:paraId="314C12FE" w14:textId="77777777" w:rsidR="002D6926" w:rsidRDefault="002D6926" w:rsidP="002D6926">
      <w:pPr>
        <w:jc w:val="both"/>
      </w:pPr>
      <w:r>
        <w:t xml:space="preserve">A Complainant may withdraw their Complaint at any time before a Finding has been made in relation to the Complaint </w:t>
      </w:r>
      <w:r w:rsidRPr="00CF649C">
        <w:rPr>
          <w:rFonts w:cs="Arial"/>
          <w:i/>
        </w:rPr>
        <w:t>[</w:t>
      </w:r>
      <w:r w:rsidRPr="00CF649C">
        <w:rPr>
          <w:i/>
        </w:rPr>
        <w:t>clause</w:t>
      </w:r>
      <w:r w:rsidRPr="00D82218">
        <w:rPr>
          <w:i/>
        </w:rPr>
        <w:t xml:space="preserve"> 1</w:t>
      </w:r>
      <w:r>
        <w:rPr>
          <w:i/>
        </w:rPr>
        <w:t>4</w:t>
      </w:r>
      <w:r w:rsidRPr="00D82218">
        <w:rPr>
          <w:i/>
        </w:rPr>
        <w:t xml:space="preserve"> of the Code of Conduct</w:t>
      </w:r>
      <w:r>
        <w:rPr>
          <w:rFonts w:cs="Arial"/>
          <w:i/>
        </w:rPr>
        <w:t>]</w:t>
      </w:r>
      <w:r>
        <w:t>.</w:t>
      </w:r>
    </w:p>
    <w:p w14:paraId="4E816A12" w14:textId="77777777" w:rsidR="002D6926" w:rsidRDefault="002D6926" w:rsidP="002D6926">
      <w:pPr>
        <w:jc w:val="both"/>
      </w:pPr>
      <w:r>
        <w:t>A Complainant may withdraw a Complaint by advising the Behaviour Complaints Officer in writing that they wish to do so.</w:t>
      </w:r>
    </w:p>
    <w:p w14:paraId="55CF1F89" w14:textId="77777777" w:rsidR="002D6926" w:rsidRDefault="002D6926" w:rsidP="002D6926">
      <w:pPr>
        <w:jc w:val="both"/>
      </w:pPr>
      <w:r>
        <w:t>After receiving a written withdrawal of the Complaint, the Behaviour Complaints Officer will take all necessary steps to terminate the process commenced under this Policy.</w:t>
      </w:r>
    </w:p>
    <w:p w14:paraId="05F9B34C" w14:textId="77777777" w:rsidR="002D6926" w:rsidRPr="00057296" w:rsidRDefault="002D6926" w:rsidP="00057296">
      <w:pPr>
        <w:pStyle w:val="Heading2"/>
        <w:ind w:left="993" w:hanging="567"/>
        <w:rPr>
          <w:rFonts w:ascii="Arial" w:hAnsi="Arial" w:cs="Arial"/>
          <w:sz w:val="24"/>
          <w:szCs w:val="24"/>
        </w:rPr>
      </w:pPr>
      <w:bookmarkStart w:id="91" w:name="_Toc70594050"/>
      <w:r w:rsidRPr="00057296">
        <w:rPr>
          <w:rFonts w:ascii="Arial" w:hAnsi="Arial" w:cs="Arial"/>
          <w:sz w:val="24"/>
          <w:szCs w:val="24"/>
        </w:rPr>
        <w:t>3.4</w:t>
      </w:r>
      <w:r w:rsidRPr="00057296">
        <w:rPr>
          <w:rFonts w:ascii="Arial" w:hAnsi="Arial" w:cs="Arial"/>
          <w:sz w:val="24"/>
          <w:szCs w:val="24"/>
        </w:rPr>
        <w:tab/>
        <w:t>Notice to Complainant</w:t>
      </w:r>
      <w:bookmarkEnd w:id="91"/>
      <w:r w:rsidRPr="00057296">
        <w:rPr>
          <w:rFonts w:ascii="Arial" w:hAnsi="Arial" w:cs="Arial"/>
          <w:sz w:val="24"/>
          <w:szCs w:val="24"/>
        </w:rPr>
        <w:t xml:space="preserve"> </w:t>
      </w:r>
    </w:p>
    <w:p w14:paraId="57602CFF" w14:textId="77777777" w:rsidR="002D6926" w:rsidRDefault="002D6926" w:rsidP="002D6926">
      <w:pPr>
        <w:jc w:val="both"/>
      </w:pPr>
      <w:r>
        <w:t>Within 7 days after receiving a Complaint, the Behaviour Complaints Officer will provide written notice to the Complainant that:</w:t>
      </w:r>
    </w:p>
    <w:p w14:paraId="1FAB09EE" w14:textId="77777777" w:rsidR="002D6926" w:rsidRPr="00FB6622" w:rsidRDefault="002D6926" w:rsidP="002D6926">
      <w:pPr>
        <w:pStyle w:val="Bulletbody"/>
        <w:jc w:val="both"/>
        <w:rPr>
          <w:rFonts w:asciiTheme="minorHAnsi" w:hAnsiTheme="minorHAnsi" w:cstheme="minorHAnsi"/>
        </w:rPr>
      </w:pPr>
      <w:r w:rsidRPr="00FB6622">
        <w:rPr>
          <w:rFonts w:asciiTheme="minorHAnsi" w:hAnsiTheme="minorHAnsi" w:cstheme="minorHAnsi"/>
        </w:rPr>
        <w:t xml:space="preserve">confirms receipt of the </w:t>
      </w:r>
      <w:proofErr w:type="gramStart"/>
      <w:r w:rsidRPr="00FB6622">
        <w:rPr>
          <w:rFonts w:asciiTheme="minorHAnsi" w:hAnsiTheme="minorHAnsi" w:cstheme="minorHAnsi"/>
        </w:rPr>
        <w:t>Complaint;</w:t>
      </w:r>
      <w:proofErr w:type="gramEnd"/>
    </w:p>
    <w:p w14:paraId="7FA8BA63" w14:textId="77777777" w:rsidR="002D6926" w:rsidRPr="00FB6622" w:rsidRDefault="002D6926" w:rsidP="002D6926">
      <w:pPr>
        <w:pStyle w:val="Bulletbody"/>
        <w:jc w:val="both"/>
        <w:rPr>
          <w:rFonts w:asciiTheme="minorHAnsi" w:hAnsiTheme="minorHAnsi" w:cstheme="minorHAnsi"/>
        </w:rPr>
      </w:pPr>
      <w:r w:rsidRPr="00FB6622">
        <w:rPr>
          <w:rFonts w:asciiTheme="minorHAnsi" w:hAnsiTheme="minorHAnsi" w:cstheme="minorHAnsi"/>
        </w:rPr>
        <w:t xml:space="preserve">outlines the process that will be followed and possible </w:t>
      </w:r>
      <w:proofErr w:type="gramStart"/>
      <w:r w:rsidRPr="00FB6622">
        <w:rPr>
          <w:rFonts w:asciiTheme="minorHAnsi" w:hAnsiTheme="minorHAnsi" w:cstheme="minorHAnsi"/>
        </w:rPr>
        <w:t>outcomes;</w:t>
      </w:r>
      <w:proofErr w:type="gramEnd"/>
    </w:p>
    <w:p w14:paraId="07035A62" w14:textId="77777777" w:rsidR="002D6926" w:rsidRPr="00FB6622" w:rsidRDefault="002D6926" w:rsidP="002D6926">
      <w:pPr>
        <w:pStyle w:val="Bulletbody"/>
        <w:jc w:val="both"/>
        <w:rPr>
          <w:rFonts w:asciiTheme="minorHAnsi" w:hAnsiTheme="minorHAnsi" w:cstheme="minorHAnsi"/>
        </w:rPr>
      </w:pPr>
      <w:r w:rsidRPr="00FB6622">
        <w:rPr>
          <w:rFonts w:asciiTheme="minorHAnsi" w:hAnsiTheme="minorHAnsi" w:cstheme="minorHAnsi"/>
        </w:rPr>
        <w:t xml:space="preserve">explains the application of confidentiality to the </w:t>
      </w:r>
      <w:proofErr w:type="gramStart"/>
      <w:r w:rsidRPr="00FB6622">
        <w:rPr>
          <w:rFonts w:asciiTheme="minorHAnsi" w:hAnsiTheme="minorHAnsi" w:cstheme="minorHAnsi"/>
        </w:rPr>
        <w:t>complaint;</w:t>
      </w:r>
      <w:proofErr w:type="gramEnd"/>
      <w:r w:rsidRPr="00FB6622">
        <w:rPr>
          <w:rFonts w:asciiTheme="minorHAnsi" w:hAnsiTheme="minorHAnsi" w:cstheme="minorHAnsi"/>
        </w:rPr>
        <w:t xml:space="preserve"> </w:t>
      </w:r>
    </w:p>
    <w:p w14:paraId="26AF232A" w14:textId="77777777" w:rsidR="002D6926" w:rsidRPr="00FB6622" w:rsidRDefault="002D6926" w:rsidP="002D6926">
      <w:pPr>
        <w:pStyle w:val="Bulletbody"/>
        <w:jc w:val="both"/>
        <w:rPr>
          <w:rFonts w:asciiTheme="minorHAnsi" w:hAnsiTheme="minorHAnsi" w:cstheme="minorHAnsi"/>
        </w:rPr>
      </w:pPr>
      <w:r w:rsidRPr="00FB6622">
        <w:rPr>
          <w:rFonts w:asciiTheme="minorHAnsi" w:hAnsiTheme="minorHAnsi" w:cstheme="minorHAnsi"/>
        </w:rPr>
        <w:t>includes a copy of this Policy; and</w:t>
      </w:r>
    </w:p>
    <w:p w14:paraId="27E4D9A0" w14:textId="77777777" w:rsidR="002D6926" w:rsidRPr="00FB6622" w:rsidRDefault="002D6926" w:rsidP="002D6926">
      <w:pPr>
        <w:pStyle w:val="Bulletbody"/>
        <w:jc w:val="both"/>
        <w:rPr>
          <w:rFonts w:asciiTheme="minorHAnsi" w:hAnsiTheme="minorHAnsi" w:cstheme="minorHAnsi"/>
        </w:rPr>
      </w:pPr>
      <w:r w:rsidRPr="00FB6622">
        <w:rPr>
          <w:rFonts w:asciiTheme="minorHAnsi" w:hAnsiTheme="minorHAnsi" w:cstheme="minorHAnsi"/>
        </w:rPr>
        <w:t>if necessary, seeks clarifications or additional information.</w:t>
      </w:r>
    </w:p>
    <w:p w14:paraId="117DA106" w14:textId="77777777" w:rsidR="002D6926" w:rsidRDefault="002D6926" w:rsidP="002D6926">
      <w:pPr>
        <w:spacing w:after="0"/>
        <w:jc w:val="both"/>
      </w:pPr>
    </w:p>
    <w:p w14:paraId="1B972B1D" w14:textId="77777777" w:rsidR="002D6926" w:rsidRPr="0057768B" w:rsidRDefault="002D6926" w:rsidP="00057296">
      <w:pPr>
        <w:spacing w:after="160"/>
        <w:jc w:val="both"/>
      </w:pPr>
      <w:r>
        <w:t>If the Complaint Form indicates that the Complainant agrees to participate in Alternative Dispute Resolution, the Behaviour Complaints Officer will advise the Complainant of the process in accordance with Part 3.6 of this Policy.</w:t>
      </w:r>
    </w:p>
    <w:p w14:paraId="115DB966" w14:textId="77777777" w:rsidR="002D6926" w:rsidRPr="00057296" w:rsidRDefault="002D6926" w:rsidP="00057296">
      <w:pPr>
        <w:pStyle w:val="Heading2"/>
        <w:ind w:left="993" w:hanging="567"/>
        <w:rPr>
          <w:rFonts w:ascii="Arial" w:hAnsi="Arial" w:cs="Arial"/>
          <w:sz w:val="24"/>
          <w:szCs w:val="24"/>
        </w:rPr>
      </w:pPr>
      <w:bookmarkStart w:id="92" w:name="_Toc70594051"/>
      <w:r w:rsidRPr="00057296">
        <w:rPr>
          <w:rFonts w:ascii="Arial" w:hAnsi="Arial" w:cs="Arial"/>
          <w:sz w:val="24"/>
          <w:szCs w:val="24"/>
        </w:rPr>
        <w:t>3.5</w:t>
      </w:r>
      <w:r w:rsidRPr="00057296">
        <w:rPr>
          <w:rFonts w:ascii="Arial" w:hAnsi="Arial" w:cs="Arial"/>
          <w:sz w:val="24"/>
          <w:szCs w:val="24"/>
        </w:rPr>
        <w:tab/>
        <w:t>Notice to Respondent</w:t>
      </w:r>
      <w:bookmarkEnd w:id="92"/>
    </w:p>
    <w:p w14:paraId="539E4AEE" w14:textId="77777777" w:rsidR="002D6926" w:rsidRDefault="002D6926" w:rsidP="002D6926">
      <w:pPr>
        <w:spacing w:after="0"/>
        <w:jc w:val="both"/>
      </w:pPr>
      <w:r>
        <w:t>Within 14 days after receiving a Complaint, the Behaviour Complaints Officer will provide written notice to the Respondent that:</w:t>
      </w:r>
    </w:p>
    <w:p w14:paraId="7AAD743C" w14:textId="77777777" w:rsidR="002D6926" w:rsidRPr="00FB6622" w:rsidRDefault="002D6926" w:rsidP="002D6926">
      <w:pPr>
        <w:pStyle w:val="Bulletbody"/>
        <w:spacing w:before="120"/>
        <w:ind w:left="714" w:hanging="357"/>
        <w:contextualSpacing w:val="0"/>
        <w:jc w:val="both"/>
        <w:rPr>
          <w:rFonts w:asciiTheme="minorHAnsi" w:hAnsiTheme="minorHAnsi" w:cstheme="minorHAnsi"/>
        </w:rPr>
      </w:pPr>
      <w:r w:rsidRPr="00FB6622">
        <w:rPr>
          <w:rFonts w:asciiTheme="minorHAnsi" w:hAnsiTheme="minorHAnsi" w:cstheme="minorHAnsi"/>
        </w:rPr>
        <w:t xml:space="preserve">advises that a Complaint has been made in accordance with the Code of Conduct and this </w:t>
      </w:r>
      <w:proofErr w:type="gramStart"/>
      <w:r w:rsidRPr="00FB6622">
        <w:rPr>
          <w:rFonts w:asciiTheme="minorHAnsi" w:hAnsiTheme="minorHAnsi" w:cstheme="minorHAnsi"/>
        </w:rPr>
        <w:t>Policy;</w:t>
      </w:r>
      <w:proofErr w:type="gramEnd"/>
    </w:p>
    <w:p w14:paraId="6B511196" w14:textId="77777777" w:rsidR="002D6926" w:rsidRPr="00FB6622" w:rsidRDefault="002D6926" w:rsidP="002D6926">
      <w:pPr>
        <w:pStyle w:val="Bulletbody"/>
        <w:jc w:val="both"/>
        <w:rPr>
          <w:rFonts w:asciiTheme="minorHAnsi" w:hAnsiTheme="minorHAnsi" w:cstheme="minorHAnsi"/>
        </w:rPr>
      </w:pPr>
      <w:r w:rsidRPr="00FB6622">
        <w:rPr>
          <w:rFonts w:asciiTheme="minorHAnsi" w:hAnsiTheme="minorHAnsi" w:cstheme="minorHAnsi"/>
        </w:rPr>
        <w:t xml:space="preserve">includes a copy of the Complaint </w:t>
      </w:r>
      <w:proofErr w:type="gramStart"/>
      <w:r w:rsidRPr="00FB6622">
        <w:rPr>
          <w:rFonts w:asciiTheme="minorHAnsi" w:hAnsiTheme="minorHAnsi" w:cstheme="minorHAnsi"/>
        </w:rPr>
        <w:t>Documents;</w:t>
      </w:r>
      <w:proofErr w:type="gramEnd"/>
    </w:p>
    <w:p w14:paraId="201CA7FF" w14:textId="77777777" w:rsidR="002D6926" w:rsidRPr="00FB6622" w:rsidRDefault="002D6926" w:rsidP="002D6926">
      <w:pPr>
        <w:pStyle w:val="Bulletbody"/>
        <w:jc w:val="both"/>
        <w:rPr>
          <w:rFonts w:asciiTheme="minorHAnsi" w:hAnsiTheme="minorHAnsi" w:cstheme="minorHAnsi"/>
        </w:rPr>
      </w:pPr>
      <w:r w:rsidRPr="00FB6622">
        <w:rPr>
          <w:rFonts w:asciiTheme="minorHAnsi" w:hAnsiTheme="minorHAnsi" w:cstheme="minorHAnsi"/>
        </w:rPr>
        <w:t xml:space="preserve">outlines the process that will be followed, the opportunities that will be afforded to the Respondent to be heard and the possible </w:t>
      </w:r>
      <w:proofErr w:type="gramStart"/>
      <w:r w:rsidRPr="00FB6622">
        <w:rPr>
          <w:rFonts w:asciiTheme="minorHAnsi" w:hAnsiTheme="minorHAnsi" w:cstheme="minorHAnsi"/>
        </w:rPr>
        <w:t>outcomes;</w:t>
      </w:r>
      <w:proofErr w:type="gramEnd"/>
      <w:r w:rsidRPr="00FB6622">
        <w:rPr>
          <w:rFonts w:asciiTheme="minorHAnsi" w:hAnsiTheme="minorHAnsi" w:cstheme="minorHAnsi"/>
        </w:rPr>
        <w:t xml:space="preserve"> </w:t>
      </w:r>
    </w:p>
    <w:p w14:paraId="0665A8E6" w14:textId="77777777" w:rsidR="002D6926" w:rsidRPr="00FB6622" w:rsidRDefault="002D6926" w:rsidP="002D6926">
      <w:pPr>
        <w:pStyle w:val="Bulletbody"/>
        <w:jc w:val="both"/>
        <w:rPr>
          <w:rFonts w:asciiTheme="minorHAnsi" w:hAnsiTheme="minorHAnsi" w:cstheme="minorHAnsi"/>
        </w:rPr>
      </w:pPr>
      <w:r w:rsidRPr="00FB6622">
        <w:rPr>
          <w:rFonts w:asciiTheme="minorHAnsi" w:hAnsiTheme="minorHAnsi" w:cstheme="minorHAnsi"/>
        </w:rPr>
        <w:t>includes a copy of this Policy; and</w:t>
      </w:r>
    </w:p>
    <w:p w14:paraId="050D2912" w14:textId="77777777" w:rsidR="002D6926" w:rsidRPr="00FB6622" w:rsidRDefault="002D6926" w:rsidP="002D6926">
      <w:pPr>
        <w:pStyle w:val="Bulletbody"/>
        <w:jc w:val="both"/>
        <w:rPr>
          <w:rFonts w:asciiTheme="minorHAnsi" w:hAnsiTheme="minorHAnsi" w:cstheme="minorHAnsi"/>
        </w:rPr>
      </w:pPr>
      <w:r w:rsidRPr="00FB6622">
        <w:rPr>
          <w:rFonts w:asciiTheme="minorHAnsi" w:hAnsiTheme="minorHAnsi" w:cstheme="minorHAnsi"/>
        </w:rPr>
        <w:t>if applicable, advises that further information has been requested from the Complainant and will be provided in due course.</w:t>
      </w:r>
    </w:p>
    <w:p w14:paraId="7C4182B2" w14:textId="77777777" w:rsidR="002D6926" w:rsidRPr="0057768B" w:rsidRDefault="002D6926" w:rsidP="00057296">
      <w:pPr>
        <w:spacing w:before="120" w:after="0"/>
        <w:jc w:val="both"/>
      </w:pPr>
      <w:r>
        <w:t>If the Complainant has agreed to participate in Alternative Dispute Resolution, the Behaviour Complaints Officer will ask the Respondent if they are also willing to participate in accordance with Part 3.6 of this Policy.</w:t>
      </w:r>
    </w:p>
    <w:p w14:paraId="783FCFC9" w14:textId="77777777" w:rsidR="002D6926" w:rsidRPr="00057296" w:rsidRDefault="002D6926" w:rsidP="00057296">
      <w:pPr>
        <w:pStyle w:val="Heading2"/>
        <w:ind w:left="993" w:hanging="567"/>
        <w:rPr>
          <w:rFonts w:ascii="Arial" w:hAnsi="Arial" w:cs="Arial"/>
          <w:sz w:val="24"/>
          <w:szCs w:val="24"/>
        </w:rPr>
      </w:pPr>
      <w:bookmarkStart w:id="93" w:name="_Toc70594052"/>
      <w:r w:rsidRPr="00057296">
        <w:rPr>
          <w:rFonts w:ascii="Arial" w:hAnsi="Arial" w:cs="Arial"/>
          <w:sz w:val="24"/>
          <w:szCs w:val="24"/>
        </w:rPr>
        <w:t>3.6</w:t>
      </w:r>
      <w:r w:rsidRPr="00057296">
        <w:rPr>
          <w:rFonts w:ascii="Arial" w:hAnsi="Arial" w:cs="Arial"/>
          <w:sz w:val="24"/>
          <w:szCs w:val="24"/>
        </w:rPr>
        <w:tab/>
        <w:t>Alternative Dispute Resolution</w:t>
      </w:r>
      <w:bookmarkEnd w:id="93"/>
    </w:p>
    <w:p w14:paraId="43134C3A" w14:textId="77777777" w:rsidR="002D6926" w:rsidRDefault="002D6926" w:rsidP="00057296">
      <w:pPr>
        <w:tabs>
          <w:tab w:val="right" w:pos="8931"/>
        </w:tabs>
        <w:spacing w:after="160"/>
        <w:jc w:val="both"/>
      </w:pPr>
      <w:r>
        <w:t xml:space="preserve">The Town of East Fremantle recognises that Alternative Dispute Resolution may support both parties reach a mutually satisfactory outcome that resolves the issues giving rise to the Complaint. Alternative Dispute Resolution requires the consent of both parties to the Complaint and may not be appropriate in all circumstances. </w:t>
      </w:r>
    </w:p>
    <w:p w14:paraId="566030CC" w14:textId="77777777" w:rsidR="002D6926" w:rsidRDefault="002D6926" w:rsidP="00057296">
      <w:pPr>
        <w:tabs>
          <w:tab w:val="right" w:pos="8931"/>
        </w:tabs>
        <w:spacing w:after="160"/>
        <w:jc w:val="both"/>
      </w:pPr>
      <w:r>
        <w:t xml:space="preserve">To commence the process, the Behaviour Complaints Officer will, as the first course of action upon receiving a complaint, offer the Complainant and the Respondent the option of Alternative Dispute Resolution. If both parties agree to participate in Alternative Dispute Resolution, the Behaviour Complaints Officer will pause the formal process. </w:t>
      </w:r>
    </w:p>
    <w:p w14:paraId="433CF93F" w14:textId="77777777" w:rsidR="002D6926" w:rsidRDefault="002D6926" w:rsidP="00057296">
      <w:pPr>
        <w:spacing w:after="160"/>
        <w:jc w:val="both"/>
      </w:pPr>
      <w:r>
        <w:t xml:space="preserve">The objective of Alternative Dispute Resolution will be to reach an agreed resolution that satisfies the Complainant that the formal process is no longer required, allowing them to withdraw the Complaint, in accordance with Part 3.3 of this Policy. For example, an offer by a Respondent to issue a voluntary apology in response to a Complaint, even in the absence of a request from the Complainant, qualifies for consideration as Alternative Dispute Resolution.   </w:t>
      </w:r>
    </w:p>
    <w:p w14:paraId="1532B863" w14:textId="77777777" w:rsidR="002D6926" w:rsidRDefault="002D6926" w:rsidP="00057296">
      <w:pPr>
        <w:spacing w:after="160"/>
        <w:jc w:val="both"/>
      </w:pPr>
      <w:r>
        <w:t xml:space="preserve">If Alternative Dispute Resolution is commenced, both the Complainant and Respondent may decline to proceed with the process at any time. The process may also be terminated on the advice of a third party who is </w:t>
      </w:r>
      <w:proofErr w:type="gramStart"/>
      <w:r>
        <w:t>providing assistance to</w:t>
      </w:r>
      <w:proofErr w:type="gramEnd"/>
      <w:r>
        <w:t xml:space="preserve"> the Local Government, such as a facilitator or mediator.  </w:t>
      </w:r>
    </w:p>
    <w:p w14:paraId="55D860EA" w14:textId="77777777" w:rsidR="002D6926" w:rsidRDefault="002D6926" w:rsidP="002D6926">
      <w:pPr>
        <w:jc w:val="both"/>
      </w:pPr>
      <w:r>
        <w:t>If Alternative Dispute Resolution is terminated or does not achieve an agreed outcome that results in the withdrawal of the Complaint, the Behaviour Complaints Officer will resume the formal process required under this Policy.</w:t>
      </w:r>
    </w:p>
    <w:p w14:paraId="690ADEA0" w14:textId="77777777" w:rsidR="002D6926" w:rsidRPr="00057296" w:rsidRDefault="002D6926" w:rsidP="00057296">
      <w:pPr>
        <w:pStyle w:val="Heading2"/>
        <w:ind w:left="993" w:hanging="567"/>
        <w:rPr>
          <w:rFonts w:ascii="Arial" w:hAnsi="Arial" w:cs="Arial"/>
          <w:sz w:val="24"/>
          <w:szCs w:val="24"/>
        </w:rPr>
      </w:pPr>
      <w:bookmarkStart w:id="94" w:name="_Toc70594053"/>
      <w:r w:rsidRPr="00057296">
        <w:rPr>
          <w:rFonts w:ascii="Arial" w:hAnsi="Arial" w:cs="Arial"/>
          <w:sz w:val="24"/>
          <w:szCs w:val="24"/>
        </w:rPr>
        <w:t>3.7</w:t>
      </w:r>
      <w:r w:rsidRPr="00057296">
        <w:rPr>
          <w:rFonts w:ascii="Arial" w:hAnsi="Arial" w:cs="Arial"/>
          <w:sz w:val="24"/>
          <w:szCs w:val="24"/>
        </w:rPr>
        <w:tab/>
        <w:t>Order of Complaints</w:t>
      </w:r>
      <w:bookmarkEnd w:id="94"/>
    </w:p>
    <w:p w14:paraId="610B965C" w14:textId="77777777" w:rsidR="002D6926" w:rsidRPr="001D5FF3" w:rsidRDefault="002D6926" w:rsidP="00057296">
      <w:pPr>
        <w:spacing w:after="160"/>
        <w:jc w:val="both"/>
      </w:pPr>
      <w:r>
        <w:t>Complaints will normally be dealt with in the order in which they are received.</w:t>
      </w:r>
    </w:p>
    <w:p w14:paraId="14943964" w14:textId="77777777" w:rsidR="002D6926" w:rsidRPr="00D445DF" w:rsidRDefault="002D6926" w:rsidP="002D6926">
      <w:pPr>
        <w:jc w:val="both"/>
      </w:pPr>
      <w:r>
        <w:lastRenderedPageBreak/>
        <w:t>If more than one Complaint is received that relates to the same alleged behaviour, the Behaviour Complaints Officer may decide to progress those Complaints concurrently.</w:t>
      </w:r>
    </w:p>
    <w:p w14:paraId="156A6F5F" w14:textId="77777777" w:rsidR="002D6926" w:rsidRPr="00057296" w:rsidRDefault="002D6926" w:rsidP="002D6926">
      <w:pPr>
        <w:pStyle w:val="Heading2"/>
        <w:rPr>
          <w:rFonts w:ascii="Arial" w:hAnsi="Arial" w:cs="Arial"/>
          <w:sz w:val="24"/>
          <w:szCs w:val="24"/>
        </w:rPr>
      </w:pPr>
      <w:bookmarkStart w:id="95" w:name="_Toc70594054"/>
      <w:r w:rsidRPr="00057296">
        <w:rPr>
          <w:rFonts w:ascii="Arial" w:hAnsi="Arial" w:cs="Arial"/>
          <w:sz w:val="24"/>
          <w:szCs w:val="24"/>
        </w:rPr>
        <w:t>3.8</w:t>
      </w:r>
      <w:r w:rsidRPr="00057296">
        <w:rPr>
          <w:rFonts w:ascii="Arial" w:hAnsi="Arial" w:cs="Arial"/>
          <w:sz w:val="24"/>
          <w:szCs w:val="24"/>
        </w:rPr>
        <w:tab/>
        <w:t>Appointment of Complaints Assessor</w:t>
      </w:r>
      <w:bookmarkEnd w:id="95"/>
    </w:p>
    <w:p w14:paraId="2F3F5246" w14:textId="77777777" w:rsidR="002D6926" w:rsidRDefault="002D6926" w:rsidP="00057296">
      <w:pPr>
        <w:tabs>
          <w:tab w:val="right" w:pos="8931"/>
        </w:tabs>
        <w:spacing w:after="160"/>
        <w:jc w:val="both"/>
      </w:pPr>
      <w:r>
        <w:t xml:space="preserve">If Alternative Dispute Resolution is not commenced, is terminated or does not achieve an agreed outcome resulting in the withdrawal of the Complaint, the Behaviour Complaints Officer will appoint a suitably qualified and experience Complaint Assessor, in accordance with the Town of East Fremantle’s Purchasing Policy. </w:t>
      </w:r>
    </w:p>
    <w:p w14:paraId="2B441B33" w14:textId="77777777" w:rsidR="002D6926" w:rsidRPr="00197494" w:rsidRDefault="002D6926" w:rsidP="002D6926">
      <w:pPr>
        <w:tabs>
          <w:tab w:val="right" w:pos="8931"/>
        </w:tabs>
        <w:jc w:val="both"/>
      </w:pPr>
      <w:r>
        <w:t xml:space="preserve">The Behaviour Complaints Officer will endeavour to appoint a Complaint Assessor within a reasonable period. </w:t>
      </w:r>
      <w:r w:rsidRPr="00197494">
        <w:t>The Behaviour Complaints Officer will provide written notice of the appointment to the Complainant and the Respondent.</w:t>
      </w:r>
    </w:p>
    <w:p w14:paraId="6ED45036" w14:textId="77777777" w:rsidR="002D6926" w:rsidRPr="00057296" w:rsidRDefault="002D6926" w:rsidP="002D6926">
      <w:pPr>
        <w:pStyle w:val="Heading2"/>
        <w:rPr>
          <w:rFonts w:ascii="Arial" w:hAnsi="Arial" w:cs="Arial"/>
          <w:sz w:val="24"/>
          <w:szCs w:val="24"/>
        </w:rPr>
      </w:pPr>
      <w:bookmarkStart w:id="96" w:name="_Toc70594055"/>
      <w:r w:rsidRPr="00057296">
        <w:rPr>
          <w:rFonts w:ascii="Arial" w:hAnsi="Arial" w:cs="Arial"/>
          <w:sz w:val="24"/>
          <w:szCs w:val="24"/>
        </w:rPr>
        <w:t>3.9</w:t>
      </w:r>
      <w:r w:rsidRPr="00057296">
        <w:rPr>
          <w:rFonts w:ascii="Arial" w:hAnsi="Arial" w:cs="Arial"/>
          <w:sz w:val="24"/>
          <w:szCs w:val="24"/>
        </w:rPr>
        <w:tab/>
        <w:t>Search of Local Government Records</w:t>
      </w:r>
      <w:bookmarkEnd w:id="96"/>
    </w:p>
    <w:p w14:paraId="62161BE7" w14:textId="77777777" w:rsidR="002D6926" w:rsidRDefault="002D6926" w:rsidP="00057296">
      <w:pPr>
        <w:spacing w:after="160"/>
        <w:jc w:val="both"/>
      </w:pPr>
      <w:r>
        <w:t>The Complaint Assessor may request the Behaviour Complaints Officer to search for any relevant records in the Town of East Fremantle’s Record Management System.</w:t>
      </w:r>
    </w:p>
    <w:p w14:paraId="05396987" w14:textId="77777777" w:rsidR="002D6926" w:rsidRDefault="002D6926" w:rsidP="00057296">
      <w:pPr>
        <w:spacing w:after="0"/>
        <w:jc w:val="both"/>
      </w:pPr>
      <w:proofErr w:type="gramStart"/>
      <w:r>
        <w:t>In particular, if</w:t>
      </w:r>
      <w:proofErr w:type="gramEnd"/>
      <w:r>
        <w:t xml:space="preserve"> the behaviour is alleged to have occurred at a Council or Committee Meeting, the Behaviour Complaints Officer will be requested to identify any Local Government records that provide evidence that may support a decision as to whether:</w:t>
      </w:r>
    </w:p>
    <w:p w14:paraId="06921625" w14:textId="77777777" w:rsidR="002D6926" w:rsidRPr="00FB6622" w:rsidRDefault="002D6926" w:rsidP="00057296">
      <w:pPr>
        <w:pStyle w:val="Bulletbody"/>
        <w:spacing w:before="0"/>
        <w:ind w:left="714" w:hanging="357"/>
        <w:contextualSpacing w:val="0"/>
        <w:rPr>
          <w:rFonts w:asciiTheme="minorHAnsi" w:hAnsiTheme="minorHAnsi" w:cstheme="minorHAnsi"/>
        </w:rPr>
      </w:pPr>
      <w:r w:rsidRPr="00FB6622">
        <w:rPr>
          <w:rFonts w:asciiTheme="minorHAnsi" w:hAnsiTheme="minorHAnsi" w:cstheme="minorHAnsi"/>
        </w:rPr>
        <w:t xml:space="preserve">the behaviour occurred at a Council or Committee Meeting, </w:t>
      </w:r>
    </w:p>
    <w:p w14:paraId="2D684277" w14:textId="77777777" w:rsidR="002D6926" w:rsidRPr="00FB6622" w:rsidRDefault="002D6926" w:rsidP="002D6926">
      <w:pPr>
        <w:pStyle w:val="Bulletbody"/>
        <w:rPr>
          <w:rFonts w:asciiTheme="minorHAnsi" w:hAnsiTheme="minorHAnsi" w:cstheme="minorHAnsi"/>
        </w:rPr>
      </w:pPr>
      <w:r w:rsidRPr="00FB6622">
        <w:rPr>
          <w:rFonts w:asciiTheme="minorHAnsi" w:hAnsiTheme="minorHAnsi" w:cstheme="minorHAnsi"/>
        </w:rPr>
        <w:t>the behaviour was dealt with by the person presiding at the meeting, and/or</w:t>
      </w:r>
    </w:p>
    <w:p w14:paraId="13CA8B7A" w14:textId="77777777" w:rsidR="002D6926" w:rsidRPr="00FB6622" w:rsidRDefault="002D6926" w:rsidP="002D6926">
      <w:pPr>
        <w:pStyle w:val="Bulletbody"/>
        <w:rPr>
          <w:rFonts w:asciiTheme="minorHAnsi" w:hAnsiTheme="minorHAnsi" w:cstheme="minorHAnsi"/>
        </w:rPr>
      </w:pPr>
      <w:r w:rsidRPr="00FB6622">
        <w:rPr>
          <w:rFonts w:asciiTheme="minorHAnsi" w:hAnsiTheme="minorHAnsi" w:cstheme="minorHAnsi"/>
        </w:rPr>
        <w:t xml:space="preserve">the Respondent has taken remedial action in accordance with the </w:t>
      </w:r>
      <w:r>
        <w:rPr>
          <w:rFonts w:asciiTheme="minorHAnsi" w:hAnsiTheme="minorHAnsi" w:cstheme="minorHAnsi"/>
        </w:rPr>
        <w:t>Town of East Fremantle’s Meeting Procedures Local Law 2016</w:t>
      </w:r>
      <w:r w:rsidRPr="00FB6622">
        <w:rPr>
          <w:rFonts w:asciiTheme="minorHAnsi" w:hAnsiTheme="minorHAnsi" w:cstheme="minorHAnsi"/>
        </w:rPr>
        <w:t>.</w:t>
      </w:r>
    </w:p>
    <w:p w14:paraId="568E3332" w14:textId="77777777" w:rsidR="002D6926" w:rsidRPr="00FB6622" w:rsidRDefault="002D6926" w:rsidP="00057296">
      <w:pPr>
        <w:pStyle w:val="Bulletbody"/>
        <w:numPr>
          <w:ilvl w:val="0"/>
          <w:numId w:val="0"/>
        </w:numPr>
        <w:spacing w:before="120"/>
        <w:contextualSpacing w:val="0"/>
        <w:jc w:val="both"/>
        <w:rPr>
          <w:rFonts w:asciiTheme="minorHAnsi" w:hAnsiTheme="minorHAnsi" w:cstheme="minorHAnsi"/>
        </w:rPr>
      </w:pPr>
      <w:r w:rsidRPr="00FB6622">
        <w:rPr>
          <w:rFonts w:asciiTheme="minorHAnsi" w:hAnsiTheme="minorHAnsi" w:cstheme="minorHAnsi"/>
        </w:rPr>
        <w:t>The Complaints Assessor must provide the Respondent with a copy of any records that are identified. In addition, where a clarification or additional information has been sought from the Complainant by either the Behaviour Complaints Officer or the Complaint Assessor, copies must also be provided to the Respondent.</w:t>
      </w:r>
    </w:p>
    <w:p w14:paraId="284ED8DC" w14:textId="77777777" w:rsidR="002D6926" w:rsidRPr="00057296" w:rsidRDefault="002D6926" w:rsidP="00057296">
      <w:pPr>
        <w:pStyle w:val="Heading2"/>
        <w:ind w:left="993" w:hanging="567"/>
        <w:rPr>
          <w:rFonts w:ascii="Arial" w:hAnsi="Arial" w:cs="Arial"/>
          <w:sz w:val="24"/>
          <w:szCs w:val="24"/>
        </w:rPr>
      </w:pPr>
      <w:bookmarkStart w:id="97" w:name="_Toc70594056"/>
      <w:r w:rsidRPr="00057296">
        <w:rPr>
          <w:rFonts w:ascii="Arial" w:hAnsi="Arial" w:cs="Arial"/>
          <w:sz w:val="24"/>
          <w:szCs w:val="24"/>
        </w:rPr>
        <w:t>3.10</w:t>
      </w:r>
      <w:r w:rsidRPr="00057296">
        <w:rPr>
          <w:rFonts w:ascii="Arial" w:hAnsi="Arial" w:cs="Arial"/>
          <w:sz w:val="24"/>
          <w:szCs w:val="24"/>
        </w:rPr>
        <w:tab/>
        <w:t>Assessment of the Complaint</w:t>
      </w:r>
      <w:bookmarkEnd w:id="97"/>
    </w:p>
    <w:p w14:paraId="73E245A3" w14:textId="77777777" w:rsidR="002D6926" w:rsidRDefault="002D6926" w:rsidP="00057296">
      <w:pPr>
        <w:spacing w:after="160"/>
        <w:jc w:val="both"/>
      </w:pPr>
      <w:r>
        <w:t>The Complaint Assessor will undertake an assessment of the Complaint in accordance with the process outlined in the Notices given under Part 3.4 and Part 3.5 of this Policy.</w:t>
      </w:r>
    </w:p>
    <w:p w14:paraId="4A9676A0" w14:textId="77777777" w:rsidR="002D6926" w:rsidRDefault="002D6926" w:rsidP="002D6926">
      <w:pPr>
        <w:jc w:val="both"/>
      </w:pPr>
      <w:r>
        <w:t xml:space="preserve">The Complaint Assessor must ensure that the Respondent is provided with a reasonable opportunity to be heard before forming any </w:t>
      </w:r>
      <w:proofErr w:type="gramStart"/>
      <w:r>
        <w:t>opinions, or</w:t>
      </w:r>
      <w:proofErr w:type="gramEnd"/>
      <w:r>
        <w:t xml:space="preserve"> drafting the Complaint Report or recommendations. </w:t>
      </w:r>
    </w:p>
    <w:p w14:paraId="0951AE12" w14:textId="77777777" w:rsidR="002D6926" w:rsidRPr="00057296" w:rsidRDefault="002D6926" w:rsidP="00057296">
      <w:pPr>
        <w:pStyle w:val="Heading2"/>
        <w:ind w:left="993" w:hanging="567"/>
        <w:rPr>
          <w:rFonts w:ascii="Arial" w:hAnsi="Arial" w:cs="Arial"/>
          <w:sz w:val="24"/>
          <w:szCs w:val="24"/>
        </w:rPr>
      </w:pPr>
      <w:bookmarkStart w:id="98" w:name="_Toc70594057"/>
      <w:r w:rsidRPr="00057296">
        <w:rPr>
          <w:rFonts w:ascii="Arial" w:hAnsi="Arial" w:cs="Arial"/>
          <w:sz w:val="24"/>
          <w:szCs w:val="24"/>
        </w:rPr>
        <w:t>3.11</w:t>
      </w:r>
      <w:r w:rsidRPr="00057296">
        <w:rPr>
          <w:rFonts w:ascii="Arial" w:hAnsi="Arial" w:cs="Arial"/>
          <w:sz w:val="24"/>
          <w:szCs w:val="24"/>
        </w:rPr>
        <w:tab/>
        <w:t>Complaint Report</w:t>
      </w:r>
      <w:bookmarkEnd w:id="98"/>
    </w:p>
    <w:p w14:paraId="1D8FA921" w14:textId="77777777" w:rsidR="002D6926" w:rsidRPr="00FB6622" w:rsidRDefault="002D6926" w:rsidP="002D6926">
      <w:pPr>
        <w:pStyle w:val="Bulletbody"/>
        <w:numPr>
          <w:ilvl w:val="0"/>
          <w:numId w:val="0"/>
        </w:numPr>
        <w:spacing w:before="0"/>
        <w:jc w:val="both"/>
        <w:rPr>
          <w:rFonts w:asciiTheme="minorHAnsi" w:hAnsiTheme="minorHAnsi" w:cstheme="minorHAnsi"/>
        </w:rPr>
      </w:pPr>
      <w:r w:rsidRPr="00FB6622">
        <w:rPr>
          <w:rFonts w:asciiTheme="minorHAnsi" w:hAnsiTheme="minorHAnsi" w:cstheme="minorHAnsi"/>
        </w:rPr>
        <w:t xml:space="preserve">The Complaint Assessor will prepare a Complaint Report that will: </w:t>
      </w:r>
    </w:p>
    <w:p w14:paraId="2B58207F" w14:textId="77777777" w:rsidR="002D6926" w:rsidRPr="00FB6622" w:rsidRDefault="002D6926" w:rsidP="002A3889">
      <w:pPr>
        <w:pStyle w:val="Bulletbody"/>
        <w:numPr>
          <w:ilvl w:val="0"/>
          <w:numId w:val="473"/>
        </w:numPr>
        <w:jc w:val="both"/>
        <w:rPr>
          <w:rFonts w:asciiTheme="minorHAnsi" w:hAnsiTheme="minorHAnsi" w:cstheme="minorHAnsi"/>
        </w:rPr>
      </w:pPr>
      <w:r w:rsidRPr="00FB6622">
        <w:rPr>
          <w:rFonts w:asciiTheme="minorHAnsi" w:hAnsiTheme="minorHAnsi" w:cstheme="minorHAnsi"/>
        </w:rPr>
        <w:t xml:space="preserve">outline the process followed, including how the Respondent was provided with an opportunity to be </w:t>
      </w:r>
      <w:proofErr w:type="gramStart"/>
      <w:r w:rsidRPr="00FB6622">
        <w:rPr>
          <w:rFonts w:asciiTheme="minorHAnsi" w:hAnsiTheme="minorHAnsi" w:cstheme="minorHAnsi"/>
        </w:rPr>
        <w:t>heard;</w:t>
      </w:r>
      <w:proofErr w:type="gramEnd"/>
    </w:p>
    <w:p w14:paraId="6EE362E1" w14:textId="77777777" w:rsidR="002D6926" w:rsidRPr="00FB6622" w:rsidRDefault="002D6926" w:rsidP="002A3889">
      <w:pPr>
        <w:pStyle w:val="Bulletbody"/>
        <w:numPr>
          <w:ilvl w:val="0"/>
          <w:numId w:val="473"/>
        </w:numPr>
        <w:jc w:val="both"/>
        <w:rPr>
          <w:rFonts w:asciiTheme="minorHAnsi" w:hAnsiTheme="minorHAnsi" w:cstheme="minorHAnsi"/>
        </w:rPr>
      </w:pPr>
      <w:r w:rsidRPr="00FB6622">
        <w:rPr>
          <w:rFonts w:asciiTheme="minorHAnsi" w:hAnsiTheme="minorHAnsi" w:cstheme="minorHAnsi"/>
        </w:rPr>
        <w:t>include the Complaint Documents, the Response Documents and any relevant Local Government Records as attachments; and</w:t>
      </w:r>
    </w:p>
    <w:p w14:paraId="24553B2A" w14:textId="77777777" w:rsidR="002D6926" w:rsidRPr="00FB6622" w:rsidRDefault="002D6926" w:rsidP="002A3889">
      <w:pPr>
        <w:pStyle w:val="Bulletbody"/>
        <w:numPr>
          <w:ilvl w:val="0"/>
          <w:numId w:val="473"/>
        </w:numPr>
        <w:jc w:val="both"/>
        <w:rPr>
          <w:rFonts w:asciiTheme="minorHAnsi" w:hAnsiTheme="minorHAnsi" w:cstheme="minorHAnsi"/>
        </w:rPr>
      </w:pPr>
      <w:r w:rsidRPr="00FB6622">
        <w:rPr>
          <w:rFonts w:asciiTheme="minorHAnsi" w:hAnsiTheme="minorHAnsi" w:cstheme="minorHAnsi"/>
        </w:rPr>
        <w:t>include recommendations on each decision that may be made by the Complaints Committee; and</w:t>
      </w:r>
    </w:p>
    <w:p w14:paraId="74CB839C" w14:textId="77777777" w:rsidR="002D6926" w:rsidRDefault="002D6926" w:rsidP="002A3889">
      <w:pPr>
        <w:pStyle w:val="Bulletbody"/>
        <w:numPr>
          <w:ilvl w:val="0"/>
          <w:numId w:val="473"/>
        </w:numPr>
        <w:jc w:val="both"/>
        <w:rPr>
          <w:rFonts w:asciiTheme="minorHAnsi" w:hAnsiTheme="minorHAnsi" w:cstheme="minorHAnsi"/>
        </w:rPr>
      </w:pPr>
      <w:r w:rsidRPr="00FB6622">
        <w:rPr>
          <w:rFonts w:asciiTheme="minorHAnsi" w:hAnsiTheme="minorHAnsi" w:cstheme="minorHAnsi"/>
        </w:rPr>
        <w:t>include reasons for each recommendation, with reference to Part 4 of this Policy.</w:t>
      </w:r>
    </w:p>
    <w:p w14:paraId="3E84F135" w14:textId="57223823" w:rsidR="002D6926" w:rsidRPr="00FB6622" w:rsidRDefault="00057296" w:rsidP="002A3889">
      <w:pPr>
        <w:pStyle w:val="Bulletbody"/>
        <w:numPr>
          <w:ilvl w:val="0"/>
          <w:numId w:val="473"/>
        </w:numPr>
        <w:spacing w:before="0" w:after="120"/>
        <w:ind w:left="714" w:hanging="357"/>
        <w:contextualSpacing w:val="0"/>
        <w:jc w:val="both"/>
        <w:rPr>
          <w:rFonts w:asciiTheme="minorHAnsi" w:hAnsiTheme="minorHAnsi" w:cstheme="minorHAnsi"/>
        </w:rPr>
      </w:pPr>
      <w:r>
        <w:rPr>
          <w:rFonts w:asciiTheme="minorHAnsi" w:hAnsiTheme="minorHAnsi" w:cstheme="minorHAnsi"/>
        </w:rPr>
        <w:t>p</w:t>
      </w:r>
      <w:r w:rsidR="002D6926">
        <w:rPr>
          <w:rFonts w:asciiTheme="minorHAnsi" w:hAnsiTheme="minorHAnsi" w:cstheme="minorHAnsi"/>
        </w:rPr>
        <w:t xml:space="preserve">rovide the Respondent with a copy of the draft Complaint </w:t>
      </w:r>
      <w:proofErr w:type="gramStart"/>
      <w:r w:rsidR="002D6926">
        <w:rPr>
          <w:rFonts w:asciiTheme="minorHAnsi" w:hAnsiTheme="minorHAnsi" w:cstheme="minorHAnsi"/>
        </w:rPr>
        <w:t>Report, and</w:t>
      </w:r>
      <w:proofErr w:type="gramEnd"/>
      <w:r w:rsidR="002D6926">
        <w:rPr>
          <w:rFonts w:asciiTheme="minorHAnsi" w:hAnsiTheme="minorHAnsi" w:cstheme="minorHAnsi"/>
        </w:rPr>
        <w:t xml:space="preserve"> give them 7 days to make a submission before the report is finalised.</w:t>
      </w:r>
    </w:p>
    <w:p w14:paraId="10E67B39" w14:textId="77777777" w:rsidR="002D6926" w:rsidRPr="00FB6622" w:rsidRDefault="002D6926" w:rsidP="00A76BAC">
      <w:pPr>
        <w:pStyle w:val="Bulletbody"/>
        <w:numPr>
          <w:ilvl w:val="0"/>
          <w:numId w:val="0"/>
        </w:numPr>
        <w:spacing w:after="120"/>
        <w:contextualSpacing w:val="0"/>
        <w:jc w:val="both"/>
        <w:rPr>
          <w:rFonts w:asciiTheme="minorHAnsi" w:hAnsiTheme="minorHAnsi" w:cstheme="minorHAnsi"/>
        </w:rPr>
      </w:pPr>
      <w:r w:rsidRPr="00FB6622">
        <w:rPr>
          <w:rFonts w:asciiTheme="minorHAnsi" w:hAnsiTheme="minorHAnsi" w:cstheme="minorHAnsi"/>
        </w:rPr>
        <w:lastRenderedPageBreak/>
        <w:t>If the Complaint Report recommends that a Plan is prepared and implemented in accordance with clause 12(4)(b) of the Code of Conduct and Part 4.4 of this Policy, the Complaint Report must include a Proposed Plan.</w:t>
      </w:r>
    </w:p>
    <w:p w14:paraId="4F4B8D23" w14:textId="77777777" w:rsidR="002D6926" w:rsidRPr="00FB6622" w:rsidRDefault="002D6926" w:rsidP="002D6926">
      <w:pPr>
        <w:pStyle w:val="Bulletbody"/>
        <w:numPr>
          <w:ilvl w:val="0"/>
          <w:numId w:val="0"/>
        </w:numPr>
        <w:jc w:val="both"/>
        <w:rPr>
          <w:rFonts w:asciiTheme="minorHAnsi" w:hAnsiTheme="minorHAnsi" w:cstheme="minorHAnsi"/>
        </w:rPr>
      </w:pPr>
      <w:r w:rsidRPr="00FB6622">
        <w:rPr>
          <w:rFonts w:asciiTheme="minorHAnsi" w:hAnsiTheme="minorHAnsi" w:cstheme="minorHAnsi"/>
        </w:rPr>
        <w:t>The Complaint Assessor will liaise with the Behaviour Complaints Officer to include the Complaint Report in the Agenda for a meeting of the Complaints Committee. The Behaviour Complaints Officer will be responsible for preparation of an Officer Report with the Complaint Report provided as a confidential attachment. The recommendations of the Complaint Report will be provided as the Officer Recommendations.</w:t>
      </w:r>
    </w:p>
    <w:p w14:paraId="20725B72" w14:textId="77777777" w:rsidR="002D6926" w:rsidRPr="00057296" w:rsidRDefault="002D6926" w:rsidP="00057296">
      <w:pPr>
        <w:pStyle w:val="Heading2"/>
        <w:ind w:left="993" w:hanging="567"/>
        <w:rPr>
          <w:rFonts w:ascii="Arial" w:hAnsi="Arial" w:cs="Arial"/>
          <w:sz w:val="24"/>
          <w:szCs w:val="24"/>
        </w:rPr>
      </w:pPr>
      <w:bookmarkStart w:id="99" w:name="_Toc70594058"/>
      <w:r w:rsidRPr="00057296">
        <w:rPr>
          <w:rFonts w:ascii="Arial" w:hAnsi="Arial" w:cs="Arial"/>
          <w:sz w:val="24"/>
          <w:szCs w:val="24"/>
        </w:rPr>
        <w:t>3.12</w:t>
      </w:r>
      <w:r w:rsidRPr="00057296">
        <w:rPr>
          <w:rFonts w:ascii="Arial" w:hAnsi="Arial" w:cs="Arial"/>
          <w:sz w:val="24"/>
          <w:szCs w:val="24"/>
        </w:rPr>
        <w:tab/>
        <w:t>Complaints Committee Meeting</w:t>
      </w:r>
      <w:bookmarkEnd w:id="99"/>
    </w:p>
    <w:p w14:paraId="5E2AF52F" w14:textId="77777777" w:rsidR="002D6926" w:rsidRPr="004B18A9" w:rsidRDefault="002D6926" w:rsidP="00A76BAC">
      <w:pPr>
        <w:pStyle w:val="Bulletbody"/>
        <w:numPr>
          <w:ilvl w:val="0"/>
          <w:numId w:val="0"/>
        </w:numPr>
        <w:spacing w:before="0" w:after="120"/>
        <w:contextualSpacing w:val="0"/>
        <w:jc w:val="both"/>
        <w:rPr>
          <w:rFonts w:asciiTheme="minorHAnsi" w:hAnsiTheme="minorHAnsi" w:cstheme="minorHAnsi"/>
        </w:rPr>
      </w:pPr>
      <w:r w:rsidRPr="004B18A9">
        <w:rPr>
          <w:rFonts w:asciiTheme="minorHAnsi" w:hAnsiTheme="minorHAnsi" w:cstheme="minorHAnsi"/>
        </w:rPr>
        <w:t xml:space="preserve">The </w:t>
      </w:r>
      <w:proofErr w:type="gramStart"/>
      <w:r w:rsidRPr="004B18A9">
        <w:rPr>
          <w:rFonts w:asciiTheme="minorHAnsi" w:hAnsiTheme="minorHAnsi" w:cstheme="minorHAnsi"/>
        </w:rPr>
        <w:t>Agenda</w:t>
      </w:r>
      <w:proofErr w:type="gramEnd"/>
      <w:r w:rsidRPr="004B18A9">
        <w:rPr>
          <w:rFonts w:asciiTheme="minorHAnsi" w:hAnsiTheme="minorHAnsi" w:cstheme="minorHAnsi"/>
        </w:rPr>
        <w:t xml:space="preserve"> will be prepared on the basis that the part of the meeting that deals with the Complaint Report will be held behind closed doors in accordance with s.5.23(2) of the Act.</w:t>
      </w:r>
    </w:p>
    <w:p w14:paraId="5B831E23" w14:textId="253967C6" w:rsidR="002D6926" w:rsidRPr="004B18A9" w:rsidRDefault="002D6926" w:rsidP="00A76BAC">
      <w:pPr>
        <w:pStyle w:val="Bulletbody"/>
        <w:numPr>
          <w:ilvl w:val="0"/>
          <w:numId w:val="0"/>
        </w:numPr>
        <w:spacing w:before="0" w:after="120"/>
        <w:contextualSpacing w:val="0"/>
        <w:jc w:val="both"/>
        <w:rPr>
          <w:rFonts w:asciiTheme="minorHAnsi" w:hAnsiTheme="minorHAnsi" w:cstheme="minorHAnsi"/>
        </w:rPr>
      </w:pPr>
      <w:r w:rsidRPr="004B18A9">
        <w:rPr>
          <w:rFonts w:asciiTheme="minorHAnsi" w:hAnsiTheme="minorHAnsi" w:cstheme="minorHAnsi"/>
        </w:rPr>
        <w:t xml:space="preserve">The Behaviour Complaints Committee will consider the Complaint Report and attachments and give </w:t>
      </w:r>
      <w:r w:rsidR="00057296">
        <w:rPr>
          <w:rFonts w:asciiTheme="minorHAnsi" w:hAnsiTheme="minorHAnsi" w:cstheme="minorHAnsi"/>
        </w:rPr>
        <w:t>d</w:t>
      </w:r>
      <w:r w:rsidRPr="004B18A9">
        <w:rPr>
          <w:rFonts w:asciiTheme="minorHAnsi" w:hAnsiTheme="minorHAnsi" w:cstheme="minorHAnsi"/>
        </w:rPr>
        <w:t xml:space="preserve">ue regard to the recommendations. </w:t>
      </w:r>
    </w:p>
    <w:p w14:paraId="2C543D1E" w14:textId="77777777" w:rsidR="002D6926" w:rsidRPr="004B18A9" w:rsidRDefault="002D6926" w:rsidP="00A76BAC">
      <w:pPr>
        <w:pStyle w:val="Bulletbody"/>
        <w:numPr>
          <w:ilvl w:val="0"/>
          <w:numId w:val="0"/>
        </w:numPr>
        <w:spacing w:before="0" w:after="120"/>
        <w:contextualSpacing w:val="0"/>
        <w:jc w:val="both"/>
        <w:rPr>
          <w:rFonts w:asciiTheme="minorHAnsi" w:hAnsiTheme="minorHAnsi" w:cstheme="minorHAnsi"/>
        </w:rPr>
      </w:pPr>
      <w:r w:rsidRPr="004B18A9">
        <w:rPr>
          <w:rFonts w:asciiTheme="minorHAnsi" w:hAnsiTheme="minorHAnsi" w:cstheme="minorHAnsi"/>
        </w:rPr>
        <w:t xml:space="preserve">In accordance with Regulation 11(d)(a) of the </w:t>
      </w:r>
      <w:r w:rsidRPr="004B18A9">
        <w:rPr>
          <w:rFonts w:asciiTheme="minorHAnsi" w:hAnsiTheme="minorHAnsi" w:cstheme="minorHAnsi"/>
          <w:i/>
        </w:rPr>
        <w:t>Local Government (Administration) Regulations 1996</w:t>
      </w:r>
      <w:r w:rsidRPr="004B18A9">
        <w:rPr>
          <w:rFonts w:asciiTheme="minorHAnsi" w:hAnsiTheme="minorHAnsi" w:cstheme="minorHAnsi"/>
        </w:rPr>
        <w:t>, reasons for any decision that is significantly different from the Officer Recommendation must be recorded in the meeting minutes.</w:t>
      </w:r>
    </w:p>
    <w:p w14:paraId="0390D9E8" w14:textId="77777777" w:rsidR="002D6926" w:rsidRDefault="002D6926" w:rsidP="00057296">
      <w:pPr>
        <w:pStyle w:val="Bulletbody"/>
        <w:numPr>
          <w:ilvl w:val="0"/>
          <w:numId w:val="0"/>
        </w:numPr>
        <w:spacing w:after="120"/>
        <w:contextualSpacing w:val="0"/>
        <w:jc w:val="both"/>
        <w:rPr>
          <w:rFonts w:asciiTheme="minorHAnsi" w:hAnsiTheme="minorHAnsi" w:cstheme="minorHAnsi"/>
        </w:rPr>
      </w:pPr>
      <w:r w:rsidRPr="004B18A9">
        <w:rPr>
          <w:rFonts w:asciiTheme="minorHAnsi" w:hAnsiTheme="minorHAnsi" w:cstheme="minorHAnsi"/>
        </w:rPr>
        <w:t xml:space="preserve">If the behaviour that is the subject of the Complaint is alleged to have occurred at a Council or Committee Meeting, the Behaviour Complaints Committee will determine </w:t>
      </w:r>
      <w:proofErr w:type="gramStart"/>
      <w:r w:rsidRPr="004B18A9">
        <w:rPr>
          <w:rFonts w:asciiTheme="minorHAnsi" w:hAnsiTheme="minorHAnsi" w:cstheme="minorHAnsi"/>
        </w:rPr>
        <w:t>whether or not</w:t>
      </w:r>
      <w:proofErr w:type="gramEnd"/>
      <w:r w:rsidRPr="004B18A9">
        <w:rPr>
          <w:rFonts w:asciiTheme="minorHAnsi" w:hAnsiTheme="minorHAnsi" w:cstheme="minorHAnsi"/>
        </w:rPr>
        <w:t xml:space="preserve"> to dismiss the Complaint in accordance with Clause 13 of the Code of Conduct and Part 4.2 of this Policy.</w:t>
      </w:r>
    </w:p>
    <w:p w14:paraId="2D4BE5C4" w14:textId="77777777" w:rsidR="002D6926" w:rsidRDefault="002D6926" w:rsidP="00057296">
      <w:pPr>
        <w:spacing w:after="120"/>
        <w:jc w:val="both"/>
      </w:pPr>
      <w:r>
        <w:t>If the Behaviour Complaints Committee dismisses a Complaint, the Behaviour Complaints Officer must give the Complainant and the Respondent written notice of the decision and the reasons for the decision in accordance with clause 13(2) of the Code of Conduct. This concludes the process for this Complaint.</w:t>
      </w:r>
    </w:p>
    <w:p w14:paraId="53BA6CE3" w14:textId="77777777" w:rsidR="002D6926" w:rsidRDefault="002D6926" w:rsidP="00A76BAC">
      <w:pPr>
        <w:overflowPunct w:val="0"/>
        <w:autoSpaceDE w:val="0"/>
        <w:autoSpaceDN w:val="0"/>
        <w:adjustRightInd w:val="0"/>
        <w:spacing w:after="120" w:line="240" w:lineRule="auto"/>
        <w:jc w:val="both"/>
        <w:rPr>
          <w:rFonts w:cs="Arial"/>
          <w:szCs w:val="20"/>
        </w:rPr>
      </w:pPr>
      <w:r>
        <w:rPr>
          <w:rFonts w:cs="Arial"/>
          <w:szCs w:val="20"/>
        </w:rPr>
        <w:t>If the Complaint is not dismissed, the Behaviour Complaints Committee will consider the Complaint and make a Finding as to whether the alleged Breach that is the subject of the Complaint has or has not occurred, in accordance with clause 12 of the Code of Conduct and Part 4.3 of this Policy.</w:t>
      </w:r>
    </w:p>
    <w:p w14:paraId="6724A65B" w14:textId="77777777" w:rsidR="002D6926" w:rsidRDefault="002D6926" w:rsidP="00A76BAC">
      <w:pPr>
        <w:spacing w:after="120"/>
        <w:jc w:val="both"/>
      </w:pPr>
      <w:r>
        <w:t xml:space="preserve">If the </w:t>
      </w:r>
      <w:r>
        <w:rPr>
          <w:rFonts w:cs="Arial"/>
          <w:szCs w:val="20"/>
        </w:rPr>
        <w:t xml:space="preserve">Behaviour Complaints Committee finds that </w:t>
      </w:r>
      <w:r>
        <w:t xml:space="preserve">the alleged Breach </w:t>
      </w:r>
      <w:r w:rsidRPr="00EA4BA7">
        <w:rPr>
          <w:b/>
        </w:rPr>
        <w:t>did not</w:t>
      </w:r>
      <w:r>
        <w:t xml:space="preserve"> occur, the Behaviour Complaints Officer must give the Complainant and the Respondent written notice of the Finding and the reasons for the Finding in accordance with clause 12(7)(a) of the Code of Conduct. This concludes the process for this Complaint.</w:t>
      </w:r>
    </w:p>
    <w:p w14:paraId="040ECD86" w14:textId="77777777" w:rsidR="002D6926" w:rsidRDefault="002D6926" w:rsidP="00A76BAC">
      <w:pPr>
        <w:spacing w:after="120"/>
        <w:jc w:val="both"/>
      </w:pPr>
      <w:r>
        <w:t xml:space="preserve">If the </w:t>
      </w:r>
      <w:r>
        <w:rPr>
          <w:rFonts w:cs="Arial"/>
          <w:szCs w:val="20"/>
        </w:rPr>
        <w:t>Behaviour Complaints Committee</w:t>
      </w:r>
      <w:r>
        <w:t xml:space="preserve"> finds that the alleged breach </w:t>
      </w:r>
      <w:r w:rsidRPr="00EA4BA7">
        <w:rPr>
          <w:b/>
        </w:rPr>
        <w:t>did</w:t>
      </w:r>
      <w:r>
        <w:t xml:space="preserve"> occur, the Committee will decide whether to take no further action in accordance with clause 12(4)(a) of the Code of Conduct </w:t>
      </w:r>
      <w:r w:rsidRPr="00FC21D1">
        <w:rPr>
          <w:u w:val="single"/>
        </w:rPr>
        <w:t>or</w:t>
      </w:r>
      <w:r>
        <w:t xml:space="preserve"> prepare a plan to address the behaviour in accordance with clause 12(4)(b) of the Code of Conduct and Part 4.4 of this Policy.</w:t>
      </w:r>
    </w:p>
    <w:p w14:paraId="46EF46B3" w14:textId="77777777" w:rsidR="002D6926" w:rsidRDefault="002D6926" w:rsidP="00A76BAC">
      <w:pPr>
        <w:spacing w:after="120"/>
        <w:jc w:val="both"/>
      </w:pPr>
      <w:r>
        <w:t>If the Behaviour Complaints Committee decides to take no further action, the Behaviour Complaints Officer must give the Complainant and the Respondent written notice of this decision and the reasons for the Finding in accordance with clause 12(7)(a) of the Code of Conduct. This concludes the process for this Complaint.</w:t>
      </w:r>
    </w:p>
    <w:p w14:paraId="647823A2" w14:textId="77777777" w:rsidR="002D6926" w:rsidRDefault="002D6926" w:rsidP="002D6926">
      <w:pPr>
        <w:overflowPunct w:val="0"/>
        <w:autoSpaceDE w:val="0"/>
        <w:autoSpaceDN w:val="0"/>
        <w:adjustRightInd w:val="0"/>
        <w:spacing w:after="0" w:line="240" w:lineRule="auto"/>
        <w:contextualSpacing/>
        <w:jc w:val="both"/>
      </w:pPr>
      <w:r>
        <w:rPr>
          <w:rFonts w:cs="Arial"/>
          <w:szCs w:val="20"/>
        </w:rPr>
        <w:t>If the Behaviour Complaints Committee decides to prepare a Plan, the Committee will first consult with the Respondent in accordance with clause 12(</w:t>
      </w:r>
      <w:proofErr w:type="gramStart"/>
      <w:r>
        <w:rPr>
          <w:rFonts w:cs="Arial"/>
          <w:szCs w:val="20"/>
        </w:rPr>
        <w:t>5)*</w:t>
      </w:r>
      <w:proofErr w:type="gramEnd"/>
      <w:r>
        <w:rPr>
          <w:rFonts w:cs="Arial"/>
          <w:szCs w:val="20"/>
        </w:rPr>
        <w:t xml:space="preserve"> of the Code of Conduct. </w:t>
      </w:r>
      <w:r>
        <w:t>The Behaviour Complaints Committee will consider any submissions made by the Respondent before preparing and implementing a Plan.</w:t>
      </w:r>
    </w:p>
    <w:p w14:paraId="6FFBD930" w14:textId="77777777" w:rsidR="002D6926" w:rsidRDefault="002D6926" w:rsidP="002D6926">
      <w:pPr>
        <w:overflowPunct w:val="0"/>
        <w:autoSpaceDE w:val="0"/>
        <w:autoSpaceDN w:val="0"/>
        <w:adjustRightInd w:val="0"/>
        <w:spacing w:after="0" w:line="240" w:lineRule="auto"/>
        <w:contextualSpacing/>
        <w:jc w:val="both"/>
      </w:pPr>
    </w:p>
    <w:p w14:paraId="2BC7F063" w14:textId="77777777" w:rsidR="002D6926" w:rsidRPr="00A76BAC" w:rsidRDefault="002D6926" w:rsidP="00A76BAC">
      <w:pPr>
        <w:pStyle w:val="Heading2"/>
        <w:ind w:left="993" w:hanging="567"/>
        <w:rPr>
          <w:rFonts w:ascii="Arial" w:hAnsi="Arial" w:cs="Arial"/>
          <w:sz w:val="24"/>
          <w:szCs w:val="24"/>
        </w:rPr>
      </w:pPr>
      <w:bookmarkStart w:id="100" w:name="_Toc70594059"/>
      <w:r w:rsidRPr="00A76BAC">
        <w:rPr>
          <w:rFonts w:ascii="Arial" w:hAnsi="Arial" w:cs="Arial"/>
          <w:sz w:val="24"/>
          <w:szCs w:val="24"/>
        </w:rPr>
        <w:lastRenderedPageBreak/>
        <w:t>3.13</w:t>
      </w:r>
      <w:r w:rsidRPr="00A76BAC">
        <w:rPr>
          <w:rFonts w:ascii="Arial" w:hAnsi="Arial" w:cs="Arial"/>
          <w:sz w:val="24"/>
          <w:szCs w:val="24"/>
        </w:rPr>
        <w:tab/>
        <w:t>Compliance with Plan Requirement</w:t>
      </w:r>
      <w:bookmarkEnd w:id="100"/>
    </w:p>
    <w:p w14:paraId="305DD9D0" w14:textId="77777777" w:rsidR="002D6926" w:rsidRDefault="002D6926" w:rsidP="002D6926">
      <w:pPr>
        <w:jc w:val="both"/>
      </w:pPr>
      <w:r>
        <w:t xml:space="preserve">The Behaviour Complaints Officer will monitor the actions in timeframes set out in a Plan. </w:t>
      </w:r>
    </w:p>
    <w:p w14:paraId="1B79BDDB" w14:textId="77777777" w:rsidR="002D6926" w:rsidRDefault="002D6926" w:rsidP="002D6926">
      <w:pPr>
        <w:jc w:val="both"/>
      </w:pPr>
      <w:r>
        <w:t>Failure to comply with a requirement included in a Plan is a minor breach under section 5.105(1) of the Act and clause 23 of the Code of Conduct.</w:t>
      </w:r>
    </w:p>
    <w:p w14:paraId="2875445D" w14:textId="77777777" w:rsidR="002D6926" w:rsidRDefault="002D6926" w:rsidP="002D6926">
      <w:pPr>
        <w:jc w:val="both"/>
      </w:pPr>
      <w:r>
        <w:t xml:space="preserve">The Behaviour Complaints Officer must provide a report advising Council of any failure to comply with a requirement included in a Plan. </w:t>
      </w:r>
    </w:p>
    <w:p w14:paraId="35CC7A67" w14:textId="620455CC" w:rsidR="002D6926" w:rsidRPr="00A76BAC" w:rsidRDefault="002D6926" w:rsidP="00A76BAC">
      <w:pPr>
        <w:pStyle w:val="Heading1"/>
        <w:spacing w:before="360"/>
        <w:ind w:left="426" w:hanging="426"/>
        <w:rPr>
          <w:rFonts w:ascii="Arial" w:hAnsi="Arial" w:cs="Arial"/>
          <w:sz w:val="24"/>
          <w:szCs w:val="24"/>
        </w:rPr>
      </w:pPr>
      <w:bookmarkStart w:id="101" w:name="_Toc70594060"/>
      <w:r w:rsidRPr="00A76BAC">
        <w:rPr>
          <w:rFonts w:ascii="Arial" w:hAnsi="Arial" w:cs="Arial"/>
          <w:sz w:val="24"/>
          <w:szCs w:val="24"/>
        </w:rPr>
        <w:t xml:space="preserve">4. </w:t>
      </w:r>
      <w:r w:rsidR="00A76BAC">
        <w:rPr>
          <w:rFonts w:ascii="Arial" w:hAnsi="Arial" w:cs="Arial"/>
          <w:sz w:val="24"/>
          <w:szCs w:val="24"/>
        </w:rPr>
        <w:tab/>
      </w:r>
      <w:r w:rsidRPr="00A76BAC">
        <w:rPr>
          <w:rFonts w:ascii="Arial" w:hAnsi="Arial" w:cs="Arial"/>
          <w:sz w:val="24"/>
          <w:szCs w:val="24"/>
        </w:rPr>
        <w:t>Decision Making</w:t>
      </w:r>
      <w:bookmarkEnd w:id="101"/>
      <w:r w:rsidRPr="00A76BAC">
        <w:rPr>
          <w:rFonts w:ascii="Arial" w:hAnsi="Arial" w:cs="Arial"/>
          <w:sz w:val="24"/>
          <w:szCs w:val="24"/>
        </w:rPr>
        <w:t xml:space="preserve"> </w:t>
      </w:r>
    </w:p>
    <w:p w14:paraId="00809A5D" w14:textId="77777777" w:rsidR="002D6926" w:rsidRPr="00A76BAC" w:rsidRDefault="002D6926" w:rsidP="00A76BAC">
      <w:pPr>
        <w:pStyle w:val="Heading2"/>
        <w:ind w:left="993" w:hanging="567"/>
        <w:rPr>
          <w:rFonts w:ascii="Arial" w:hAnsi="Arial" w:cs="Arial"/>
          <w:sz w:val="24"/>
          <w:szCs w:val="24"/>
        </w:rPr>
      </w:pPr>
      <w:bookmarkStart w:id="102" w:name="_Toc70594061"/>
      <w:r w:rsidRPr="00A76BAC">
        <w:rPr>
          <w:rFonts w:ascii="Arial" w:hAnsi="Arial" w:cs="Arial"/>
          <w:sz w:val="24"/>
          <w:szCs w:val="24"/>
        </w:rPr>
        <w:t>4.1</w:t>
      </w:r>
      <w:r w:rsidRPr="00A76BAC">
        <w:rPr>
          <w:rFonts w:ascii="Arial" w:hAnsi="Arial" w:cs="Arial"/>
          <w:sz w:val="24"/>
          <w:szCs w:val="24"/>
        </w:rPr>
        <w:tab/>
        <w:t>Objective and Principles</w:t>
      </w:r>
      <w:bookmarkEnd w:id="102"/>
    </w:p>
    <w:p w14:paraId="60AE8633" w14:textId="77777777" w:rsidR="002D6926" w:rsidRPr="007365E4" w:rsidRDefault="002D6926" w:rsidP="002D6926">
      <w:pPr>
        <w:jc w:val="both"/>
      </w:pPr>
      <w:r>
        <w:t>All decisions made under this Policy will reflect the Policy Objectives and the Principles included in Part 1 of this Policy.</w:t>
      </w:r>
    </w:p>
    <w:p w14:paraId="225F3702" w14:textId="77777777" w:rsidR="002D6926" w:rsidRPr="00A76BAC" w:rsidRDefault="002D6926" w:rsidP="00A76BAC">
      <w:pPr>
        <w:pStyle w:val="Heading2"/>
        <w:ind w:left="993" w:hanging="567"/>
        <w:rPr>
          <w:rFonts w:ascii="Arial" w:hAnsi="Arial" w:cs="Arial"/>
          <w:sz w:val="24"/>
          <w:szCs w:val="24"/>
        </w:rPr>
      </w:pPr>
      <w:bookmarkStart w:id="103" w:name="_Toc70594062"/>
      <w:r w:rsidRPr="00A76BAC">
        <w:rPr>
          <w:rFonts w:ascii="Arial" w:hAnsi="Arial" w:cs="Arial"/>
          <w:sz w:val="24"/>
          <w:szCs w:val="24"/>
        </w:rPr>
        <w:t>4.2</w:t>
      </w:r>
      <w:r w:rsidRPr="00A76BAC">
        <w:rPr>
          <w:rFonts w:ascii="Arial" w:hAnsi="Arial" w:cs="Arial"/>
          <w:sz w:val="24"/>
          <w:szCs w:val="24"/>
        </w:rPr>
        <w:tab/>
        <w:t>Dismissal</w:t>
      </w:r>
      <w:bookmarkEnd w:id="103"/>
    </w:p>
    <w:p w14:paraId="39CE1CEC" w14:textId="77777777" w:rsidR="002D6926" w:rsidRPr="004B18A9" w:rsidRDefault="002D6926" w:rsidP="002D6926">
      <w:pPr>
        <w:spacing w:after="120"/>
        <w:jc w:val="both"/>
        <w:rPr>
          <w:rFonts w:cstheme="minorHAnsi"/>
        </w:rPr>
      </w:pPr>
      <w:r>
        <w:t xml:space="preserve">The Behaviour Complaints Committee must dismiss a Complaint in accordance with clause 13(1)(a) and (b) </w:t>
      </w:r>
      <w:r w:rsidRPr="004B18A9">
        <w:rPr>
          <w:rFonts w:cstheme="minorHAnsi"/>
        </w:rPr>
        <w:t xml:space="preserve">of the Code of Conduct if it is satisfied that -  </w:t>
      </w:r>
    </w:p>
    <w:p w14:paraId="3338515E" w14:textId="77777777" w:rsidR="002D6926" w:rsidRPr="004B18A9" w:rsidRDefault="002D6926" w:rsidP="002A3889">
      <w:pPr>
        <w:pStyle w:val="ListParagraph"/>
        <w:numPr>
          <w:ilvl w:val="0"/>
          <w:numId w:val="474"/>
        </w:numPr>
        <w:overflowPunct w:val="0"/>
        <w:autoSpaceDE w:val="0"/>
        <w:autoSpaceDN w:val="0"/>
        <w:adjustRightInd w:val="0"/>
        <w:spacing w:before="120" w:after="0" w:line="240" w:lineRule="auto"/>
        <w:jc w:val="both"/>
        <w:rPr>
          <w:rFonts w:cstheme="minorHAnsi"/>
        </w:rPr>
      </w:pPr>
      <w:r w:rsidRPr="004B18A9">
        <w:rPr>
          <w:rFonts w:cstheme="minorHAnsi"/>
        </w:rPr>
        <w:t>the behaviour to which the Complaint relates occurred at a Council or Committee Meeting; and</w:t>
      </w:r>
    </w:p>
    <w:p w14:paraId="12964F81" w14:textId="77777777" w:rsidR="002D6926" w:rsidRPr="004B18A9" w:rsidRDefault="002D6926" w:rsidP="002A3889">
      <w:pPr>
        <w:pStyle w:val="ListParagraph"/>
        <w:numPr>
          <w:ilvl w:val="0"/>
          <w:numId w:val="474"/>
        </w:numPr>
        <w:overflowPunct w:val="0"/>
        <w:autoSpaceDE w:val="0"/>
        <w:autoSpaceDN w:val="0"/>
        <w:adjustRightInd w:val="0"/>
        <w:spacing w:before="240" w:after="0" w:line="240" w:lineRule="auto"/>
        <w:jc w:val="both"/>
        <w:rPr>
          <w:rFonts w:cstheme="minorHAnsi"/>
        </w:rPr>
      </w:pPr>
      <w:r w:rsidRPr="004B18A9">
        <w:rPr>
          <w:rFonts w:cstheme="minorHAnsi"/>
        </w:rPr>
        <w:t xml:space="preserve">either — </w:t>
      </w:r>
    </w:p>
    <w:p w14:paraId="2B74BEDD" w14:textId="77777777" w:rsidR="002D6926" w:rsidRPr="004B18A9" w:rsidRDefault="002D6926" w:rsidP="002A3889">
      <w:pPr>
        <w:pStyle w:val="ListParagraph"/>
        <w:numPr>
          <w:ilvl w:val="0"/>
          <w:numId w:val="475"/>
        </w:numPr>
        <w:overflowPunct w:val="0"/>
        <w:autoSpaceDE w:val="0"/>
        <w:autoSpaceDN w:val="0"/>
        <w:adjustRightInd w:val="0"/>
        <w:spacing w:before="240" w:after="0" w:line="240" w:lineRule="auto"/>
        <w:jc w:val="both"/>
        <w:rPr>
          <w:rFonts w:cstheme="minorHAnsi"/>
        </w:rPr>
      </w:pPr>
      <w:r w:rsidRPr="004B18A9">
        <w:rPr>
          <w:rFonts w:cstheme="minorHAnsi"/>
        </w:rPr>
        <w:t>the behaviour was dealt with by the person presiding at the meeting; or</w:t>
      </w:r>
    </w:p>
    <w:p w14:paraId="38CAE433" w14:textId="77777777" w:rsidR="002D6926" w:rsidRPr="004B18A9" w:rsidRDefault="002D6926" w:rsidP="002A3889">
      <w:pPr>
        <w:pStyle w:val="ListParagraph"/>
        <w:numPr>
          <w:ilvl w:val="0"/>
          <w:numId w:val="475"/>
        </w:numPr>
        <w:overflowPunct w:val="0"/>
        <w:autoSpaceDE w:val="0"/>
        <w:autoSpaceDN w:val="0"/>
        <w:adjustRightInd w:val="0"/>
        <w:spacing w:before="240" w:after="0" w:line="240" w:lineRule="auto"/>
        <w:jc w:val="both"/>
        <w:rPr>
          <w:rFonts w:cstheme="minorHAnsi"/>
        </w:rPr>
      </w:pPr>
      <w:r w:rsidRPr="004B18A9">
        <w:rPr>
          <w:rFonts w:cstheme="minorHAnsi"/>
        </w:rPr>
        <w:t xml:space="preserve">the Respondent has taken remedial action in accordance with the </w:t>
      </w:r>
      <w:r>
        <w:rPr>
          <w:rFonts w:cstheme="minorHAnsi"/>
        </w:rPr>
        <w:t>Town of East Fremantle Meeting Procedures Local Law 2016</w:t>
      </w:r>
      <w:r w:rsidRPr="004B18A9">
        <w:rPr>
          <w:rFonts w:cstheme="minorHAnsi"/>
        </w:rPr>
        <w:t xml:space="preserve">.  </w:t>
      </w:r>
    </w:p>
    <w:p w14:paraId="5AA1500B" w14:textId="77777777" w:rsidR="002D6926" w:rsidRPr="00A76BAC" w:rsidRDefault="002D6926" w:rsidP="00A76BAC">
      <w:pPr>
        <w:pStyle w:val="Heading2"/>
        <w:ind w:left="993" w:hanging="567"/>
        <w:rPr>
          <w:rFonts w:ascii="Arial" w:hAnsi="Arial" w:cs="Arial"/>
          <w:sz w:val="24"/>
          <w:szCs w:val="24"/>
        </w:rPr>
      </w:pPr>
      <w:bookmarkStart w:id="104" w:name="_Toc70594063"/>
      <w:r w:rsidRPr="00A76BAC">
        <w:rPr>
          <w:rFonts w:ascii="Arial" w:hAnsi="Arial" w:cs="Arial"/>
          <w:sz w:val="24"/>
          <w:szCs w:val="24"/>
        </w:rPr>
        <w:t>4.3</w:t>
      </w:r>
      <w:r w:rsidRPr="00A76BAC">
        <w:rPr>
          <w:rFonts w:ascii="Arial" w:hAnsi="Arial" w:cs="Arial"/>
          <w:sz w:val="24"/>
          <w:szCs w:val="24"/>
        </w:rPr>
        <w:tab/>
        <w:t>Finding</w:t>
      </w:r>
      <w:bookmarkEnd w:id="104"/>
    </w:p>
    <w:p w14:paraId="798895D4" w14:textId="77777777" w:rsidR="002D6926" w:rsidRDefault="002D6926" w:rsidP="002D6926">
      <w:pPr>
        <w:spacing w:line="240" w:lineRule="auto"/>
        <w:jc w:val="both"/>
      </w:pPr>
      <w:r>
        <w:t xml:space="preserve">A Finding that the alleged breach has occurred must be based on evidence from which it may be concluded that it is more likely that the breach occurred than that it did not occur </w:t>
      </w:r>
      <w:r w:rsidRPr="00CF649C">
        <w:rPr>
          <w:rFonts w:cs="Arial"/>
          <w:i/>
        </w:rPr>
        <w:t>[</w:t>
      </w:r>
      <w:r w:rsidRPr="00CF649C">
        <w:rPr>
          <w:i/>
        </w:rPr>
        <w:t xml:space="preserve">clause </w:t>
      </w:r>
      <w:r>
        <w:rPr>
          <w:i/>
        </w:rPr>
        <w:t>12</w:t>
      </w:r>
      <w:r w:rsidRPr="00CF649C">
        <w:rPr>
          <w:i/>
        </w:rPr>
        <w:t>(</w:t>
      </w:r>
      <w:r>
        <w:rPr>
          <w:i/>
        </w:rPr>
        <w:t>3</w:t>
      </w:r>
      <w:r w:rsidRPr="00CF649C">
        <w:rPr>
          <w:i/>
        </w:rPr>
        <w:t>) of the Code of Conduct</w:t>
      </w:r>
      <w:r w:rsidRPr="00CF649C">
        <w:rPr>
          <w:rFonts w:cs="Arial"/>
          <w:i/>
        </w:rPr>
        <w:t>]</w:t>
      </w:r>
      <w:r>
        <w:t xml:space="preserve">. </w:t>
      </w:r>
    </w:p>
    <w:p w14:paraId="07E8CC12" w14:textId="77777777" w:rsidR="002D6926" w:rsidRDefault="002D6926" w:rsidP="002D6926">
      <w:pPr>
        <w:jc w:val="both"/>
      </w:pPr>
      <w:r>
        <w:t>This may involve first considering whether the behaviour occurred, on the balance of probabilities, and then whether that behaviour constituted a breach of a requirement of Division 3 of the Code of Conduct.</w:t>
      </w:r>
    </w:p>
    <w:p w14:paraId="08E9914E" w14:textId="77777777" w:rsidR="002D6926" w:rsidRPr="00A76BAC" w:rsidRDefault="002D6926" w:rsidP="00A76BAC">
      <w:pPr>
        <w:pStyle w:val="Heading2"/>
        <w:ind w:left="993" w:hanging="567"/>
        <w:rPr>
          <w:rFonts w:ascii="Arial" w:hAnsi="Arial" w:cs="Arial"/>
          <w:sz w:val="24"/>
          <w:szCs w:val="24"/>
        </w:rPr>
      </w:pPr>
      <w:bookmarkStart w:id="105" w:name="_Toc70594064"/>
      <w:r w:rsidRPr="00A76BAC">
        <w:rPr>
          <w:rFonts w:ascii="Arial" w:hAnsi="Arial" w:cs="Arial"/>
          <w:sz w:val="24"/>
          <w:szCs w:val="24"/>
        </w:rPr>
        <w:t>4.4</w:t>
      </w:r>
      <w:r w:rsidRPr="00A76BAC">
        <w:rPr>
          <w:rFonts w:ascii="Arial" w:hAnsi="Arial" w:cs="Arial"/>
          <w:sz w:val="24"/>
          <w:szCs w:val="24"/>
        </w:rPr>
        <w:tab/>
        <w:t>Action</w:t>
      </w:r>
      <w:bookmarkEnd w:id="105"/>
    </w:p>
    <w:p w14:paraId="03780ABF" w14:textId="77777777" w:rsidR="002D6926" w:rsidRPr="004B18A9" w:rsidRDefault="002D6926" w:rsidP="002D6926">
      <w:pPr>
        <w:spacing w:after="0"/>
        <w:jc w:val="both"/>
        <w:rPr>
          <w:rFonts w:cstheme="minorHAnsi"/>
        </w:rPr>
      </w:pPr>
      <w:r>
        <w:t xml:space="preserve">In deciding whether to take no further action, or prepare and implement a Plan, the Complaints </w:t>
      </w:r>
      <w:r w:rsidRPr="004B18A9">
        <w:rPr>
          <w:rFonts w:cstheme="minorHAnsi"/>
        </w:rPr>
        <w:t>Committee may consider:</w:t>
      </w:r>
    </w:p>
    <w:p w14:paraId="2F40F7B6" w14:textId="77777777" w:rsidR="002D6926" w:rsidRPr="004B18A9" w:rsidRDefault="002D6926" w:rsidP="002D6926">
      <w:pPr>
        <w:pStyle w:val="Bulletbody"/>
        <w:spacing w:before="120"/>
        <w:ind w:left="714" w:hanging="357"/>
        <w:contextualSpacing w:val="0"/>
        <w:jc w:val="both"/>
        <w:textAlignment w:val="auto"/>
        <w:rPr>
          <w:rFonts w:asciiTheme="minorHAnsi" w:hAnsiTheme="minorHAnsi" w:cstheme="minorHAnsi"/>
        </w:rPr>
      </w:pPr>
      <w:r w:rsidRPr="004B18A9">
        <w:rPr>
          <w:rFonts w:asciiTheme="minorHAnsi" w:hAnsiTheme="minorHAnsi" w:cstheme="minorHAnsi"/>
        </w:rPr>
        <w:t>the nature and seriousness of the breach(es</w:t>
      </w:r>
      <w:proofErr w:type="gramStart"/>
      <w:r w:rsidRPr="004B18A9">
        <w:rPr>
          <w:rFonts w:asciiTheme="minorHAnsi" w:hAnsiTheme="minorHAnsi" w:cstheme="minorHAnsi"/>
        </w:rPr>
        <w:t>);</w:t>
      </w:r>
      <w:proofErr w:type="gramEnd"/>
    </w:p>
    <w:p w14:paraId="6A6BCF0A"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 xml:space="preserve">the Respondent's submission in relation to the </w:t>
      </w:r>
      <w:proofErr w:type="gramStart"/>
      <w:r w:rsidRPr="004B18A9">
        <w:rPr>
          <w:rFonts w:asciiTheme="minorHAnsi" w:hAnsiTheme="minorHAnsi" w:cstheme="minorHAnsi"/>
        </w:rPr>
        <w:t>contravention;</w:t>
      </w:r>
      <w:proofErr w:type="gramEnd"/>
    </w:p>
    <w:p w14:paraId="44F2AF3D" w14:textId="77777777" w:rsidR="002D6926" w:rsidRPr="004B18A9" w:rsidRDefault="002D6926" w:rsidP="002D6926">
      <w:pPr>
        <w:pStyle w:val="Bulletbody"/>
        <w:textAlignment w:val="auto"/>
        <w:rPr>
          <w:rFonts w:asciiTheme="minorHAnsi" w:hAnsiTheme="minorHAnsi" w:cstheme="minorHAnsi"/>
        </w:rPr>
      </w:pPr>
      <w:r w:rsidRPr="004B18A9">
        <w:rPr>
          <w:rFonts w:asciiTheme="minorHAnsi" w:hAnsiTheme="minorHAnsi" w:cstheme="minorHAnsi"/>
        </w:rPr>
        <w:t xml:space="preserve">whether the Respondent has breached the Code of Conduct knowingly or </w:t>
      </w:r>
      <w:proofErr w:type="gramStart"/>
      <w:r w:rsidRPr="004B18A9">
        <w:rPr>
          <w:rFonts w:asciiTheme="minorHAnsi" w:hAnsiTheme="minorHAnsi" w:cstheme="minorHAnsi"/>
        </w:rPr>
        <w:t>carelessly;</w:t>
      </w:r>
      <w:proofErr w:type="gramEnd"/>
    </w:p>
    <w:p w14:paraId="2D3993A0"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 xml:space="preserve">whether the Respondent has breached the Code of Conduct on previous </w:t>
      </w:r>
      <w:proofErr w:type="gramStart"/>
      <w:r w:rsidRPr="004B18A9">
        <w:rPr>
          <w:rFonts w:asciiTheme="minorHAnsi" w:hAnsiTheme="minorHAnsi" w:cstheme="minorHAnsi"/>
        </w:rPr>
        <w:t>occasions;</w:t>
      </w:r>
      <w:proofErr w:type="gramEnd"/>
    </w:p>
    <w:p w14:paraId="14E11A26"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 xml:space="preserve">likelihood or not of the Respondent committing further breaches of the Code of </w:t>
      </w:r>
      <w:proofErr w:type="gramStart"/>
      <w:r w:rsidRPr="004B18A9">
        <w:rPr>
          <w:rFonts w:asciiTheme="minorHAnsi" w:hAnsiTheme="minorHAnsi" w:cstheme="minorHAnsi"/>
        </w:rPr>
        <w:t>Conduct;</w:t>
      </w:r>
      <w:proofErr w:type="gramEnd"/>
    </w:p>
    <w:p w14:paraId="1AB4E00D"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 xml:space="preserve">personal circumstances at the time of </w:t>
      </w:r>
      <w:proofErr w:type="gramStart"/>
      <w:r w:rsidRPr="004B18A9">
        <w:rPr>
          <w:rFonts w:asciiTheme="minorHAnsi" w:hAnsiTheme="minorHAnsi" w:cstheme="minorHAnsi"/>
        </w:rPr>
        <w:t>conduct;</w:t>
      </w:r>
      <w:proofErr w:type="gramEnd"/>
    </w:p>
    <w:p w14:paraId="280407B3"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need to protect the public through general deterrence and maintain public confidence in Local Government; and</w:t>
      </w:r>
    </w:p>
    <w:p w14:paraId="3DA8219D"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any other matters which may be regarded as contributing to or the conduct or mitigating its seriousness.</w:t>
      </w:r>
    </w:p>
    <w:p w14:paraId="761E57BA" w14:textId="77777777" w:rsidR="002D6926" w:rsidRPr="00A76BAC" w:rsidRDefault="002D6926" w:rsidP="00A76BAC">
      <w:pPr>
        <w:pStyle w:val="Heading2"/>
        <w:ind w:left="993" w:hanging="567"/>
        <w:rPr>
          <w:rFonts w:ascii="Arial" w:hAnsi="Arial" w:cs="Arial"/>
          <w:sz w:val="24"/>
          <w:szCs w:val="24"/>
        </w:rPr>
      </w:pPr>
      <w:bookmarkStart w:id="106" w:name="_Toc70594065"/>
      <w:r w:rsidRPr="00A76BAC">
        <w:rPr>
          <w:rFonts w:ascii="Arial" w:hAnsi="Arial" w:cs="Arial"/>
          <w:sz w:val="24"/>
          <w:szCs w:val="24"/>
        </w:rPr>
        <w:lastRenderedPageBreak/>
        <w:t>4.5</w:t>
      </w:r>
      <w:r w:rsidRPr="00A76BAC">
        <w:rPr>
          <w:rFonts w:ascii="Arial" w:hAnsi="Arial" w:cs="Arial"/>
          <w:sz w:val="24"/>
          <w:szCs w:val="24"/>
        </w:rPr>
        <w:tab/>
        <w:t>Plan Requirements</w:t>
      </w:r>
      <w:bookmarkEnd w:id="106"/>
    </w:p>
    <w:p w14:paraId="051876A8" w14:textId="77777777" w:rsidR="002D6926" w:rsidRPr="004B18A9" w:rsidRDefault="002D6926" w:rsidP="002D6926">
      <w:pPr>
        <w:pStyle w:val="Bulletbody"/>
        <w:numPr>
          <w:ilvl w:val="0"/>
          <w:numId w:val="0"/>
        </w:numPr>
        <w:spacing w:before="0"/>
        <w:jc w:val="both"/>
        <w:rPr>
          <w:rFonts w:asciiTheme="minorHAnsi" w:hAnsiTheme="minorHAnsi" w:cstheme="minorHAnsi"/>
        </w:rPr>
      </w:pPr>
      <w:r w:rsidRPr="004B18A9">
        <w:rPr>
          <w:rFonts w:asciiTheme="minorHAnsi" w:hAnsiTheme="minorHAnsi" w:cstheme="minorHAnsi"/>
        </w:rPr>
        <w:t>The Proposed Plan may include requirements for the Respondent to do one (1) or more of the following:</w:t>
      </w:r>
    </w:p>
    <w:p w14:paraId="168CB6B8"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 xml:space="preserve">engage in </w:t>
      </w:r>
      <w:proofErr w:type="gramStart"/>
      <w:r w:rsidRPr="004B18A9">
        <w:rPr>
          <w:rFonts w:asciiTheme="minorHAnsi" w:hAnsiTheme="minorHAnsi" w:cstheme="minorHAnsi"/>
        </w:rPr>
        <w:t>mediation;</w:t>
      </w:r>
      <w:proofErr w:type="gramEnd"/>
      <w:r w:rsidRPr="004B18A9">
        <w:rPr>
          <w:rFonts w:asciiTheme="minorHAnsi" w:hAnsiTheme="minorHAnsi" w:cstheme="minorHAnsi"/>
        </w:rPr>
        <w:t xml:space="preserve"> </w:t>
      </w:r>
    </w:p>
    <w:p w14:paraId="2F4A605A"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 xml:space="preserve">undertake </w:t>
      </w:r>
      <w:proofErr w:type="gramStart"/>
      <w:r w:rsidRPr="004B18A9">
        <w:rPr>
          <w:rFonts w:asciiTheme="minorHAnsi" w:hAnsiTheme="minorHAnsi" w:cstheme="minorHAnsi"/>
        </w:rPr>
        <w:t>counselling;</w:t>
      </w:r>
      <w:proofErr w:type="gramEnd"/>
      <w:r w:rsidRPr="004B18A9">
        <w:rPr>
          <w:rFonts w:asciiTheme="minorHAnsi" w:hAnsiTheme="minorHAnsi" w:cstheme="minorHAnsi"/>
        </w:rPr>
        <w:t xml:space="preserve"> </w:t>
      </w:r>
    </w:p>
    <w:p w14:paraId="535F1650"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 xml:space="preserve">undertake </w:t>
      </w:r>
      <w:proofErr w:type="gramStart"/>
      <w:r w:rsidRPr="004B18A9">
        <w:rPr>
          <w:rFonts w:asciiTheme="minorHAnsi" w:hAnsiTheme="minorHAnsi" w:cstheme="minorHAnsi"/>
        </w:rPr>
        <w:t>training;</w:t>
      </w:r>
      <w:proofErr w:type="gramEnd"/>
      <w:r w:rsidRPr="004B18A9">
        <w:rPr>
          <w:rFonts w:asciiTheme="minorHAnsi" w:hAnsiTheme="minorHAnsi" w:cstheme="minorHAnsi"/>
        </w:rPr>
        <w:t xml:space="preserve"> </w:t>
      </w:r>
    </w:p>
    <w:p w14:paraId="01E7EF0E"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take other action the Complaints Committee considers appropriate (e.g. an apology).</w:t>
      </w:r>
    </w:p>
    <w:p w14:paraId="39CAA675" w14:textId="77777777" w:rsidR="002D6926" w:rsidRPr="004B18A9" w:rsidRDefault="002D6926" w:rsidP="002D6926">
      <w:pPr>
        <w:pStyle w:val="Bulletbody"/>
        <w:numPr>
          <w:ilvl w:val="0"/>
          <w:numId w:val="0"/>
        </w:numPr>
        <w:jc w:val="both"/>
        <w:textAlignment w:val="auto"/>
        <w:rPr>
          <w:rFonts w:asciiTheme="minorHAnsi" w:hAnsiTheme="minorHAnsi" w:cstheme="minorHAnsi"/>
        </w:rPr>
      </w:pPr>
    </w:p>
    <w:p w14:paraId="2E609D17" w14:textId="77777777" w:rsidR="002D6926" w:rsidRPr="004B18A9" w:rsidRDefault="002D6926" w:rsidP="002D6926">
      <w:pPr>
        <w:pStyle w:val="Bulletbody"/>
        <w:numPr>
          <w:ilvl w:val="0"/>
          <w:numId w:val="0"/>
        </w:numPr>
        <w:jc w:val="both"/>
        <w:textAlignment w:val="auto"/>
        <w:rPr>
          <w:rFonts w:asciiTheme="minorHAnsi" w:hAnsiTheme="minorHAnsi" w:cstheme="minorHAnsi"/>
        </w:rPr>
      </w:pPr>
      <w:r w:rsidRPr="004B18A9">
        <w:rPr>
          <w:rFonts w:asciiTheme="minorHAnsi" w:hAnsiTheme="minorHAnsi" w:cstheme="minorHAnsi"/>
        </w:rPr>
        <w:t>The Proposed Plan should be designed to provide the Respondent with the opportunity and support to demonstrate the professional and ethical behaviour expected of elected representatives expressed in the Code of Conduct.</w:t>
      </w:r>
    </w:p>
    <w:p w14:paraId="4B7749E1" w14:textId="77777777" w:rsidR="002D6926" w:rsidRPr="004B18A9" w:rsidRDefault="002D6926" w:rsidP="002D6926">
      <w:pPr>
        <w:spacing w:after="0" w:line="240" w:lineRule="auto"/>
        <w:jc w:val="both"/>
        <w:rPr>
          <w:rFonts w:cstheme="minorHAnsi"/>
        </w:rPr>
      </w:pPr>
    </w:p>
    <w:p w14:paraId="3A5A245D" w14:textId="77777777" w:rsidR="002D6926" w:rsidRPr="004B18A9" w:rsidRDefault="002D6926" w:rsidP="002D6926">
      <w:pPr>
        <w:spacing w:after="0" w:line="240" w:lineRule="auto"/>
        <w:jc w:val="both"/>
        <w:rPr>
          <w:rFonts w:cstheme="minorHAnsi"/>
        </w:rPr>
      </w:pPr>
      <w:r w:rsidRPr="004B18A9">
        <w:rPr>
          <w:rFonts w:cstheme="minorHAnsi"/>
        </w:rPr>
        <w:t xml:space="preserve">The Proposed Plan may also outline: </w:t>
      </w:r>
    </w:p>
    <w:p w14:paraId="2F31E5A5" w14:textId="77777777" w:rsidR="002D6926" w:rsidRPr="004B18A9" w:rsidRDefault="002D6926" w:rsidP="002D6926">
      <w:pPr>
        <w:pStyle w:val="Bulletbody"/>
        <w:spacing w:before="0"/>
        <w:jc w:val="both"/>
        <w:textAlignment w:val="auto"/>
        <w:rPr>
          <w:rFonts w:asciiTheme="minorHAnsi" w:hAnsiTheme="minorHAnsi" w:cstheme="minorHAnsi"/>
        </w:rPr>
      </w:pPr>
      <w:r w:rsidRPr="004B18A9">
        <w:rPr>
          <w:rFonts w:asciiTheme="minorHAnsi" w:hAnsiTheme="minorHAnsi" w:cstheme="minorHAnsi"/>
        </w:rPr>
        <w:t>the actions to be taken to address the behaviour(s</w:t>
      </w:r>
      <w:proofErr w:type="gramStart"/>
      <w:r w:rsidRPr="004B18A9">
        <w:rPr>
          <w:rFonts w:asciiTheme="minorHAnsi" w:hAnsiTheme="minorHAnsi" w:cstheme="minorHAnsi"/>
        </w:rPr>
        <w:t>);</w:t>
      </w:r>
      <w:proofErr w:type="gramEnd"/>
      <w:r w:rsidRPr="004B18A9">
        <w:rPr>
          <w:rFonts w:asciiTheme="minorHAnsi" w:hAnsiTheme="minorHAnsi" w:cstheme="minorHAnsi"/>
        </w:rPr>
        <w:t xml:space="preserve"> </w:t>
      </w:r>
    </w:p>
    <w:p w14:paraId="2843A6F6"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 xml:space="preserve">who is responsible for the </w:t>
      </w:r>
      <w:proofErr w:type="gramStart"/>
      <w:r w:rsidRPr="004B18A9">
        <w:rPr>
          <w:rFonts w:asciiTheme="minorHAnsi" w:hAnsiTheme="minorHAnsi" w:cstheme="minorHAnsi"/>
        </w:rPr>
        <w:t>actions;</w:t>
      </w:r>
      <w:proofErr w:type="gramEnd"/>
      <w:r w:rsidRPr="004B18A9">
        <w:rPr>
          <w:rFonts w:asciiTheme="minorHAnsi" w:hAnsiTheme="minorHAnsi" w:cstheme="minorHAnsi"/>
        </w:rPr>
        <w:t xml:space="preserve"> </w:t>
      </w:r>
    </w:p>
    <w:p w14:paraId="4668F1CD" w14:textId="77777777" w:rsidR="002D6926" w:rsidRPr="004B18A9" w:rsidRDefault="002D6926" w:rsidP="002D6926">
      <w:pPr>
        <w:pStyle w:val="Bulletbody"/>
        <w:jc w:val="both"/>
        <w:textAlignment w:val="auto"/>
        <w:rPr>
          <w:rFonts w:asciiTheme="minorHAnsi" w:hAnsiTheme="minorHAnsi" w:cstheme="minorHAnsi"/>
        </w:rPr>
      </w:pPr>
      <w:r w:rsidRPr="004B18A9">
        <w:rPr>
          <w:rFonts w:asciiTheme="minorHAnsi" w:hAnsiTheme="minorHAnsi" w:cstheme="minorHAnsi"/>
        </w:rPr>
        <w:t xml:space="preserve">any assistance the Local Government will provide to assist achieve the intent of the Plan; and </w:t>
      </w:r>
    </w:p>
    <w:p w14:paraId="4311156C" w14:textId="77777777" w:rsidR="002D6926" w:rsidRPr="004B18A9" w:rsidRDefault="002D6926" w:rsidP="002D6926">
      <w:pPr>
        <w:pStyle w:val="Bulletbody"/>
        <w:jc w:val="both"/>
        <w:textAlignment w:val="auto"/>
        <w:rPr>
          <w:rFonts w:asciiTheme="minorHAnsi" w:hAnsiTheme="minorHAnsi" w:cstheme="minorHAnsi"/>
          <w:szCs w:val="22"/>
          <w:lang w:eastAsia="zh-CN"/>
        </w:rPr>
      </w:pPr>
      <w:r w:rsidRPr="004B18A9">
        <w:rPr>
          <w:rFonts w:asciiTheme="minorHAnsi" w:hAnsiTheme="minorHAnsi" w:cstheme="minorHAnsi"/>
        </w:rPr>
        <w:t xml:space="preserve">a reasonable timeframe for the Plan action(s) to be addressed by the Respondent. </w:t>
      </w:r>
    </w:p>
    <w:p w14:paraId="016FA2CF" w14:textId="77777777" w:rsidR="002D6926" w:rsidRDefault="002D6926" w:rsidP="002D6926">
      <w:pPr>
        <w:pStyle w:val="Bulletbody"/>
        <w:numPr>
          <w:ilvl w:val="0"/>
          <w:numId w:val="0"/>
        </w:numPr>
        <w:rPr>
          <w:rFonts w:asciiTheme="minorHAnsi" w:hAnsiTheme="minorHAnsi" w:cstheme="minorHAnsi"/>
        </w:rPr>
      </w:pPr>
    </w:p>
    <w:p w14:paraId="32C5991F" w14:textId="77777777" w:rsidR="002D6926" w:rsidRDefault="002D6926" w:rsidP="002D6926">
      <w:pPr>
        <w:pStyle w:val="Bulletbody"/>
        <w:numPr>
          <w:ilvl w:val="0"/>
          <w:numId w:val="0"/>
        </w:numPr>
        <w:rPr>
          <w:rFonts w:asciiTheme="minorHAnsi" w:hAnsiTheme="minorHAnsi" w:cstheme="minorHAnsi"/>
        </w:rPr>
      </w:pPr>
    </w:p>
    <w:p w14:paraId="618FFD66" w14:textId="77777777" w:rsidR="002D6926" w:rsidRDefault="002D6926" w:rsidP="002D6926">
      <w:pPr>
        <w:pStyle w:val="Bulletbody"/>
        <w:numPr>
          <w:ilvl w:val="0"/>
          <w:numId w:val="0"/>
        </w:numPr>
        <w:rPr>
          <w:rFonts w:asciiTheme="minorHAnsi" w:hAnsiTheme="minorHAnsi" w:cstheme="minorHAnsi"/>
        </w:rPr>
      </w:pPr>
    </w:p>
    <w:p w14:paraId="6BF90DCD" w14:textId="77777777" w:rsidR="002D6926" w:rsidRDefault="002D6926" w:rsidP="002D6926">
      <w:pPr>
        <w:pStyle w:val="Bulletbody"/>
        <w:numPr>
          <w:ilvl w:val="0"/>
          <w:numId w:val="0"/>
        </w:numPr>
        <w:rPr>
          <w:rFonts w:asciiTheme="minorHAnsi" w:hAnsiTheme="minorHAnsi" w:cstheme="minorHAnsi"/>
        </w:rPr>
      </w:pPr>
    </w:p>
    <w:p w14:paraId="4C936E9A" w14:textId="77777777" w:rsidR="002D6926" w:rsidRDefault="002D6926" w:rsidP="002D6926">
      <w:pPr>
        <w:pStyle w:val="Bulletbody"/>
        <w:numPr>
          <w:ilvl w:val="0"/>
          <w:numId w:val="0"/>
        </w:numPr>
        <w:rPr>
          <w:rFonts w:asciiTheme="minorHAnsi" w:hAnsiTheme="minorHAnsi" w:cstheme="minorHAnsi"/>
        </w:rPr>
      </w:pPr>
    </w:p>
    <w:p w14:paraId="4F06F0F9" w14:textId="77777777" w:rsidR="002D6926" w:rsidRDefault="002D6926" w:rsidP="002D6926">
      <w:pPr>
        <w:pStyle w:val="Bulletbody"/>
        <w:numPr>
          <w:ilvl w:val="0"/>
          <w:numId w:val="0"/>
        </w:numPr>
        <w:rPr>
          <w:rFonts w:asciiTheme="minorHAnsi" w:hAnsiTheme="minorHAnsi" w:cstheme="minorHAnsi"/>
        </w:rPr>
      </w:pPr>
    </w:p>
    <w:p w14:paraId="585750EE" w14:textId="77777777" w:rsidR="002D6926" w:rsidRPr="004D32E1" w:rsidRDefault="002D6926" w:rsidP="002D6926">
      <w:pPr>
        <w:spacing w:after="0"/>
        <w:rPr>
          <w:rFonts w:ascii="Arial" w:hAnsi="Arial" w:cs="Arial"/>
          <w:b/>
          <w:bCs/>
          <w:color w:val="365F91" w:themeColor="accent1" w:themeShade="BF"/>
          <w:sz w:val="24"/>
          <w:szCs w:val="24"/>
        </w:rPr>
      </w:pPr>
      <w:r w:rsidRPr="004D32E1">
        <w:rPr>
          <w:rFonts w:ascii="Arial" w:hAnsi="Arial" w:cs="Arial"/>
          <w:b/>
          <w:bCs/>
          <w:color w:val="365F91" w:themeColor="accent1" w:themeShade="BF"/>
          <w:sz w:val="24"/>
          <w:szCs w:val="24"/>
        </w:rPr>
        <w:t>Attachments</w:t>
      </w:r>
    </w:p>
    <w:p w14:paraId="28C89773" w14:textId="77777777" w:rsidR="002D6926" w:rsidRDefault="002D6926" w:rsidP="002D6926">
      <w:pPr>
        <w:pStyle w:val="Bulletbody"/>
        <w:numPr>
          <w:ilvl w:val="0"/>
          <w:numId w:val="0"/>
        </w:numPr>
        <w:spacing w:before="120"/>
        <w:ind w:left="709" w:hanging="709"/>
        <w:rPr>
          <w:rFonts w:asciiTheme="minorHAnsi" w:hAnsiTheme="minorHAnsi" w:cstheme="minorHAnsi"/>
        </w:rPr>
      </w:pPr>
      <w:r>
        <w:rPr>
          <w:rFonts w:asciiTheme="minorHAnsi" w:hAnsiTheme="minorHAnsi" w:cstheme="minorHAnsi"/>
        </w:rPr>
        <w:t>1.</w:t>
      </w:r>
      <w:r>
        <w:rPr>
          <w:rFonts w:asciiTheme="minorHAnsi" w:hAnsiTheme="minorHAnsi" w:cstheme="minorHAnsi"/>
        </w:rPr>
        <w:tab/>
        <w:t>Behaviour Complaints Committee Terms of Reference</w:t>
      </w:r>
    </w:p>
    <w:p w14:paraId="3266DA37" w14:textId="77777777" w:rsidR="002D6926" w:rsidRDefault="002D6926" w:rsidP="002D6926">
      <w:pPr>
        <w:pStyle w:val="Bulletbody"/>
        <w:numPr>
          <w:ilvl w:val="0"/>
          <w:numId w:val="0"/>
        </w:numPr>
        <w:ind w:left="709" w:hanging="709"/>
        <w:rPr>
          <w:rFonts w:asciiTheme="minorHAnsi" w:hAnsiTheme="minorHAnsi" w:cstheme="minorHAnsi"/>
        </w:rPr>
      </w:pPr>
      <w:r>
        <w:rPr>
          <w:rFonts w:asciiTheme="minorHAnsi" w:hAnsiTheme="minorHAnsi" w:cstheme="minorHAnsi"/>
        </w:rPr>
        <w:t>2.</w:t>
      </w:r>
      <w:r>
        <w:rPr>
          <w:rFonts w:asciiTheme="minorHAnsi" w:hAnsiTheme="minorHAnsi" w:cstheme="minorHAnsi"/>
        </w:rPr>
        <w:tab/>
        <w:t>Behaviour Complaint Form</w:t>
      </w:r>
    </w:p>
    <w:p w14:paraId="2ECE35BD" w14:textId="77777777" w:rsidR="002D6926" w:rsidRDefault="002D6926" w:rsidP="002D6926">
      <w:pPr>
        <w:pStyle w:val="Bulletbody"/>
        <w:numPr>
          <w:ilvl w:val="0"/>
          <w:numId w:val="0"/>
        </w:numPr>
        <w:ind w:left="709" w:hanging="709"/>
        <w:rPr>
          <w:rFonts w:asciiTheme="minorHAnsi" w:hAnsiTheme="minorHAnsi" w:cstheme="minorHAnsi"/>
        </w:rPr>
      </w:pPr>
    </w:p>
    <w:p w14:paraId="37F0719F" w14:textId="77777777" w:rsidR="002D6926" w:rsidRDefault="002D6926" w:rsidP="002D6926">
      <w:pPr>
        <w:pStyle w:val="Bulletbody"/>
        <w:numPr>
          <w:ilvl w:val="0"/>
          <w:numId w:val="0"/>
        </w:numPr>
        <w:rPr>
          <w:rFonts w:asciiTheme="minorHAnsi" w:hAnsiTheme="minorHAnsi" w:cstheme="minorHAnsi"/>
        </w:rPr>
      </w:pPr>
    </w:p>
    <w:p w14:paraId="1E43B210" w14:textId="77777777" w:rsidR="002D6926" w:rsidRDefault="002D6926" w:rsidP="002D6926">
      <w:pPr>
        <w:pStyle w:val="Bulletbody"/>
        <w:numPr>
          <w:ilvl w:val="0"/>
          <w:numId w:val="0"/>
        </w:numPr>
        <w:rPr>
          <w:rFonts w:asciiTheme="minorHAnsi" w:hAnsiTheme="minorHAnsi" w:cstheme="minorHAnsi"/>
        </w:rPr>
      </w:pPr>
    </w:p>
    <w:p w14:paraId="2612C65D" w14:textId="77777777" w:rsidR="002D6926" w:rsidRDefault="002D6926" w:rsidP="002D6926">
      <w:pPr>
        <w:pStyle w:val="Bulletbody"/>
        <w:numPr>
          <w:ilvl w:val="0"/>
          <w:numId w:val="0"/>
        </w:numPr>
        <w:rPr>
          <w:rFonts w:asciiTheme="minorHAnsi" w:hAnsiTheme="minorHAnsi" w:cstheme="minorHAnsi"/>
        </w:rPr>
      </w:pPr>
    </w:p>
    <w:p w14:paraId="39509A41" w14:textId="77777777" w:rsidR="002D6926" w:rsidRDefault="002D6926" w:rsidP="002D6926"/>
    <w:p w14:paraId="643A797E" w14:textId="77777777" w:rsidR="002D6926" w:rsidRPr="001F159B" w:rsidRDefault="002D6926" w:rsidP="002D6926">
      <w:pPr>
        <w:spacing w:after="0" w:line="240" w:lineRule="auto"/>
        <w:jc w:val="both"/>
        <w:rPr>
          <w:rFonts w:cstheme="minorHAnsi"/>
        </w:rPr>
      </w:pPr>
    </w:p>
    <w:tbl>
      <w:tblPr>
        <w:tblStyle w:val="TableGrid"/>
        <w:tblW w:w="0" w:type="auto"/>
        <w:tblLook w:val="04A0" w:firstRow="1" w:lastRow="0" w:firstColumn="1" w:lastColumn="0" w:noHBand="0" w:noVBand="1"/>
      </w:tblPr>
      <w:tblGrid>
        <w:gridCol w:w="3050"/>
        <w:gridCol w:w="5966"/>
      </w:tblGrid>
      <w:tr w:rsidR="002D6926" w:rsidRPr="001F159B" w14:paraId="02D1CFAE" w14:textId="77777777" w:rsidTr="00A47C26">
        <w:tc>
          <w:tcPr>
            <w:tcW w:w="3050" w:type="dxa"/>
          </w:tcPr>
          <w:p w14:paraId="3253B45C" w14:textId="77777777" w:rsidR="002D6926" w:rsidRPr="001F159B" w:rsidRDefault="002D6926" w:rsidP="00A47C26">
            <w:pPr>
              <w:jc w:val="both"/>
              <w:rPr>
                <w:rFonts w:cstheme="minorHAnsi"/>
                <w:b/>
                <w:lang w:val="en-US"/>
              </w:rPr>
            </w:pPr>
            <w:r w:rsidRPr="001F159B">
              <w:rPr>
                <w:rFonts w:cstheme="minorHAnsi"/>
                <w:b/>
                <w:lang w:val="en-US"/>
              </w:rPr>
              <w:t>Responsible Directorate:</w:t>
            </w:r>
          </w:p>
        </w:tc>
        <w:tc>
          <w:tcPr>
            <w:tcW w:w="5966" w:type="dxa"/>
          </w:tcPr>
          <w:p w14:paraId="503B023D" w14:textId="77777777" w:rsidR="002D6926" w:rsidRPr="001F159B" w:rsidRDefault="002D6926" w:rsidP="00A47C26">
            <w:pPr>
              <w:jc w:val="both"/>
              <w:rPr>
                <w:rFonts w:cstheme="minorHAnsi"/>
                <w:lang w:val="en-US"/>
              </w:rPr>
            </w:pPr>
            <w:r w:rsidRPr="001F159B">
              <w:rPr>
                <w:rFonts w:cstheme="minorHAnsi"/>
                <w:lang w:val="en-US"/>
              </w:rPr>
              <w:t>Office of the Chief Executive Officer</w:t>
            </w:r>
          </w:p>
        </w:tc>
      </w:tr>
      <w:tr w:rsidR="002D6926" w:rsidRPr="001F159B" w14:paraId="7638EAAD" w14:textId="77777777" w:rsidTr="00A47C26">
        <w:tc>
          <w:tcPr>
            <w:tcW w:w="3050" w:type="dxa"/>
          </w:tcPr>
          <w:p w14:paraId="461900CE" w14:textId="77777777" w:rsidR="002D6926" w:rsidRPr="001F159B" w:rsidRDefault="002D6926" w:rsidP="00A47C26">
            <w:pPr>
              <w:jc w:val="both"/>
              <w:rPr>
                <w:rFonts w:cstheme="minorHAnsi"/>
                <w:b/>
                <w:lang w:val="en-US"/>
              </w:rPr>
            </w:pPr>
            <w:r w:rsidRPr="001F159B">
              <w:rPr>
                <w:rFonts w:cstheme="minorHAnsi"/>
                <w:b/>
                <w:lang w:val="en-US"/>
              </w:rPr>
              <w:t>Reviewing Officer:</w:t>
            </w:r>
          </w:p>
        </w:tc>
        <w:tc>
          <w:tcPr>
            <w:tcW w:w="5966" w:type="dxa"/>
          </w:tcPr>
          <w:p w14:paraId="4840BA53" w14:textId="77777777" w:rsidR="002D6926" w:rsidRPr="001F159B" w:rsidRDefault="002D6926" w:rsidP="00A47C26">
            <w:pPr>
              <w:jc w:val="both"/>
              <w:rPr>
                <w:rFonts w:cstheme="minorHAnsi"/>
                <w:lang w:val="en-US"/>
              </w:rPr>
            </w:pPr>
            <w:r w:rsidRPr="001F159B">
              <w:rPr>
                <w:rFonts w:cstheme="minorHAnsi"/>
                <w:lang w:val="en-US"/>
              </w:rPr>
              <w:t>Chief Executive Officer</w:t>
            </w:r>
          </w:p>
        </w:tc>
      </w:tr>
      <w:tr w:rsidR="002D6926" w:rsidRPr="001F159B" w14:paraId="51F51F0C" w14:textId="77777777" w:rsidTr="00A47C26">
        <w:tc>
          <w:tcPr>
            <w:tcW w:w="3050" w:type="dxa"/>
          </w:tcPr>
          <w:p w14:paraId="008FD79A" w14:textId="77777777" w:rsidR="002D6926" w:rsidRPr="001F159B" w:rsidRDefault="002D6926" w:rsidP="00A47C26">
            <w:pPr>
              <w:jc w:val="both"/>
              <w:rPr>
                <w:rFonts w:cstheme="minorHAnsi"/>
                <w:b/>
                <w:lang w:val="en-US"/>
              </w:rPr>
            </w:pPr>
            <w:r w:rsidRPr="001F159B">
              <w:rPr>
                <w:rFonts w:cstheme="minorHAnsi"/>
                <w:b/>
                <w:lang w:val="en-US"/>
              </w:rPr>
              <w:t>Decision making Authority:</w:t>
            </w:r>
          </w:p>
        </w:tc>
        <w:tc>
          <w:tcPr>
            <w:tcW w:w="5966" w:type="dxa"/>
          </w:tcPr>
          <w:p w14:paraId="294EE006" w14:textId="77777777" w:rsidR="002D6926" w:rsidRPr="001F159B" w:rsidRDefault="002D6926" w:rsidP="00A47C26">
            <w:pPr>
              <w:jc w:val="both"/>
              <w:rPr>
                <w:rFonts w:cstheme="minorHAnsi"/>
                <w:lang w:val="en-US"/>
              </w:rPr>
            </w:pPr>
            <w:r w:rsidRPr="001F159B">
              <w:rPr>
                <w:rFonts w:cstheme="minorHAnsi"/>
                <w:lang w:val="en-US"/>
              </w:rPr>
              <w:t>Council</w:t>
            </w:r>
          </w:p>
        </w:tc>
      </w:tr>
      <w:tr w:rsidR="002D6926" w:rsidRPr="001F159B" w14:paraId="05739F38" w14:textId="77777777" w:rsidTr="00A47C26">
        <w:tc>
          <w:tcPr>
            <w:tcW w:w="3050" w:type="dxa"/>
          </w:tcPr>
          <w:p w14:paraId="43B4DEAC" w14:textId="77777777" w:rsidR="002D6926" w:rsidRPr="001F159B" w:rsidRDefault="002D6926" w:rsidP="00A47C26">
            <w:pPr>
              <w:jc w:val="both"/>
              <w:rPr>
                <w:rFonts w:cstheme="minorHAnsi"/>
                <w:b/>
                <w:lang w:val="en-US"/>
              </w:rPr>
            </w:pPr>
            <w:r w:rsidRPr="001F159B">
              <w:rPr>
                <w:rFonts w:cstheme="minorHAnsi"/>
                <w:b/>
                <w:lang w:val="en-US"/>
              </w:rPr>
              <w:t>Policy Adopted:</w:t>
            </w:r>
          </w:p>
        </w:tc>
        <w:tc>
          <w:tcPr>
            <w:tcW w:w="5966" w:type="dxa"/>
          </w:tcPr>
          <w:p w14:paraId="0CCF3D69" w14:textId="77777777" w:rsidR="002D6926" w:rsidRPr="001F159B" w:rsidRDefault="002D6926" w:rsidP="00A47C26">
            <w:pPr>
              <w:jc w:val="both"/>
              <w:rPr>
                <w:rFonts w:cstheme="minorHAnsi"/>
                <w:lang w:val="en-US"/>
              </w:rPr>
            </w:pPr>
            <w:r>
              <w:rPr>
                <w:rFonts w:cstheme="minorHAnsi"/>
                <w:lang w:val="en-US"/>
              </w:rPr>
              <w:t>18/5/21</w:t>
            </w:r>
          </w:p>
        </w:tc>
      </w:tr>
      <w:tr w:rsidR="002D6926" w:rsidRPr="001F159B" w14:paraId="21F4008D" w14:textId="77777777" w:rsidTr="00A47C26">
        <w:tc>
          <w:tcPr>
            <w:tcW w:w="3050" w:type="dxa"/>
          </w:tcPr>
          <w:p w14:paraId="3FAFD20E" w14:textId="77777777" w:rsidR="002D6926" w:rsidRPr="001F159B" w:rsidRDefault="002D6926" w:rsidP="00A47C26">
            <w:pPr>
              <w:jc w:val="both"/>
              <w:rPr>
                <w:rFonts w:cstheme="minorHAnsi"/>
                <w:b/>
                <w:lang w:val="en-US"/>
              </w:rPr>
            </w:pPr>
            <w:r>
              <w:rPr>
                <w:rFonts w:cstheme="minorHAnsi"/>
                <w:b/>
                <w:lang w:val="en-US"/>
              </w:rPr>
              <w:t>Policy Amended/Reviewed:</w:t>
            </w:r>
          </w:p>
        </w:tc>
        <w:tc>
          <w:tcPr>
            <w:tcW w:w="5966" w:type="dxa"/>
          </w:tcPr>
          <w:p w14:paraId="571A2B17" w14:textId="77777777" w:rsidR="002D6926" w:rsidRPr="001F159B" w:rsidRDefault="002D6926" w:rsidP="00A47C26">
            <w:pPr>
              <w:jc w:val="both"/>
              <w:rPr>
                <w:rFonts w:cstheme="minorHAnsi"/>
                <w:lang w:val="en-US"/>
              </w:rPr>
            </w:pPr>
          </w:p>
        </w:tc>
      </w:tr>
    </w:tbl>
    <w:p w14:paraId="28C5E9FB" w14:textId="46CE0CD5" w:rsidR="002D6926" w:rsidRDefault="002D6926" w:rsidP="002D6926">
      <w:pPr>
        <w:jc w:val="both"/>
        <w:rPr>
          <w:rFonts w:cstheme="minorHAnsi"/>
          <w:lang w:val="en-US"/>
        </w:rPr>
      </w:pPr>
    </w:p>
    <w:p w14:paraId="034067F5" w14:textId="77777777" w:rsidR="00210A41" w:rsidRDefault="00210A41" w:rsidP="002D6926">
      <w:pPr>
        <w:jc w:val="both"/>
        <w:rPr>
          <w:rFonts w:cstheme="minorHAnsi"/>
          <w:lang w:val="en-US"/>
        </w:rPr>
      </w:pPr>
    </w:p>
    <w:p w14:paraId="4BAE03F8" w14:textId="77777777" w:rsidR="002D6926" w:rsidRDefault="002D6926" w:rsidP="002D6926">
      <w:pPr>
        <w:pStyle w:val="Bulletbody"/>
        <w:numPr>
          <w:ilvl w:val="0"/>
          <w:numId w:val="0"/>
        </w:numPr>
        <w:rPr>
          <w:rFonts w:asciiTheme="minorHAnsi" w:hAnsiTheme="minorHAnsi" w:cstheme="minorHAnsi"/>
        </w:rPr>
        <w:sectPr w:rsidR="002D6926" w:rsidSect="009557C8">
          <w:footerReference w:type="default" r:id="rId33"/>
          <w:pgSz w:w="11906" w:h="16838"/>
          <w:pgMar w:top="1440" w:right="1440" w:bottom="1440" w:left="1440" w:header="708" w:footer="0" w:gutter="0"/>
          <w:pgNumType w:start="1"/>
          <w:cols w:space="708"/>
          <w:docGrid w:linePitch="360"/>
        </w:sectPr>
      </w:pPr>
    </w:p>
    <w:p w14:paraId="6DDB2D5D" w14:textId="77777777" w:rsidR="002D6926" w:rsidRDefault="002D6926" w:rsidP="002D6926">
      <w:pPr>
        <w:pStyle w:val="Heading1"/>
      </w:pPr>
      <w:bookmarkStart w:id="107" w:name="_Toc69287604"/>
      <w:r w:rsidRPr="00EE1DBE">
        <w:rPr>
          <w:noProof/>
        </w:rPr>
        <w:lastRenderedPageBreak/>
        <w:drawing>
          <wp:anchor distT="0" distB="0" distL="114300" distR="114300" simplePos="0" relativeHeight="251704320" behindDoc="0" locked="0" layoutInCell="1" allowOverlap="1" wp14:anchorId="5484568A" wp14:editId="73F8D6D4">
            <wp:simplePos x="0" y="0"/>
            <wp:positionH relativeFrom="column">
              <wp:posOffset>3453130</wp:posOffset>
            </wp:positionH>
            <wp:positionV relativeFrom="paragraph">
              <wp:posOffset>162560</wp:posOffset>
            </wp:positionV>
            <wp:extent cx="2240915" cy="900430"/>
            <wp:effectExtent l="0" t="0" r="6985" b="0"/>
            <wp:wrapSquare wrapText="bothSides"/>
            <wp:docPr id="255" name="Picture 255" descr="Y:\Office of CEO\ProjectCoordinator\FromDropbox\TofEF_alternate logo\colour\JPEG\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ProjectCoordinator\FromDropbox\TofEF_alternate logo\colour\JPEG\Town of East Fremantle_Logo_Landscape_Colour [HIGHRE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40915" cy="900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6834AF" w14:textId="77777777" w:rsidR="002D6926" w:rsidRPr="002D0E0B" w:rsidRDefault="002D6926" w:rsidP="002D6926">
      <w:pPr>
        <w:pStyle w:val="Heading1"/>
      </w:pPr>
    </w:p>
    <w:p w14:paraId="14B9E6A2" w14:textId="77777777" w:rsidR="002D6926" w:rsidRPr="002D0E0B" w:rsidRDefault="002D6926" w:rsidP="002D6926">
      <w:pPr>
        <w:pStyle w:val="Heading1"/>
      </w:pPr>
    </w:p>
    <w:p w14:paraId="3AD18C26" w14:textId="77777777" w:rsidR="002D6926" w:rsidRPr="00C92C87" w:rsidRDefault="002D6926" w:rsidP="002D6926">
      <w:pPr>
        <w:pStyle w:val="Heading01Yellow"/>
        <w:spacing w:after="360"/>
        <w:rPr>
          <w:sz w:val="32"/>
          <w:szCs w:val="32"/>
        </w:rPr>
      </w:pPr>
      <w:r w:rsidRPr="00C92C87">
        <w:rPr>
          <w:color w:val="365F91" w:themeColor="accent1" w:themeShade="BF"/>
          <w:sz w:val="32"/>
          <w:szCs w:val="32"/>
        </w:rPr>
        <w:t>Behaviour Complaints Committee Terms of Reference</w:t>
      </w:r>
    </w:p>
    <w:p w14:paraId="13FA6998" w14:textId="77777777" w:rsidR="002D6926" w:rsidRPr="00A76BAC" w:rsidRDefault="002D6926" w:rsidP="002D6926">
      <w:pPr>
        <w:pStyle w:val="Heading1"/>
        <w:rPr>
          <w:rFonts w:ascii="Arial" w:hAnsi="Arial" w:cs="Arial"/>
          <w:sz w:val="24"/>
          <w:szCs w:val="24"/>
        </w:rPr>
      </w:pPr>
      <w:r w:rsidRPr="00A76BAC">
        <w:rPr>
          <w:rFonts w:ascii="Arial" w:hAnsi="Arial" w:cs="Arial"/>
          <w:sz w:val="24"/>
          <w:szCs w:val="24"/>
        </w:rPr>
        <w:t>Objective</w:t>
      </w:r>
      <w:bookmarkEnd w:id="107"/>
    </w:p>
    <w:p w14:paraId="08B1B341" w14:textId="77777777" w:rsidR="002D6926" w:rsidRPr="005E6F7F" w:rsidRDefault="002D6926" w:rsidP="00A76BAC">
      <w:pPr>
        <w:spacing w:before="120" w:after="120"/>
        <w:jc w:val="both"/>
        <w:rPr>
          <w:rFonts w:cstheme="minorHAnsi"/>
        </w:rPr>
      </w:pPr>
      <w:r w:rsidRPr="005E6F7F">
        <w:rPr>
          <w:rFonts w:cstheme="minorHAnsi"/>
          <w:szCs w:val="18"/>
        </w:rPr>
        <w:t xml:space="preserve">To establish Terms of Reference for the Behaviour Complaints Committee of the </w:t>
      </w:r>
      <w:r>
        <w:rPr>
          <w:rFonts w:cstheme="minorHAnsi"/>
          <w:szCs w:val="18"/>
        </w:rPr>
        <w:t>Town of East Fremantle</w:t>
      </w:r>
      <w:r w:rsidRPr="005E6F7F">
        <w:rPr>
          <w:rFonts w:cstheme="minorHAnsi"/>
          <w:szCs w:val="18"/>
        </w:rPr>
        <w:t>.</w:t>
      </w:r>
    </w:p>
    <w:p w14:paraId="24367F95" w14:textId="77777777" w:rsidR="002D6926" w:rsidRPr="00A76BAC" w:rsidRDefault="002D6926" w:rsidP="00A76BAC">
      <w:pPr>
        <w:pStyle w:val="Heading1"/>
        <w:spacing w:before="240"/>
        <w:rPr>
          <w:rFonts w:ascii="Arial" w:hAnsi="Arial" w:cs="Arial"/>
          <w:sz w:val="24"/>
          <w:szCs w:val="24"/>
        </w:rPr>
      </w:pPr>
      <w:bookmarkStart w:id="108" w:name="_Toc69287605"/>
      <w:r w:rsidRPr="00A76BAC">
        <w:rPr>
          <w:rFonts w:ascii="Arial" w:hAnsi="Arial" w:cs="Arial"/>
          <w:sz w:val="24"/>
          <w:szCs w:val="24"/>
        </w:rPr>
        <w:t>Scope</w:t>
      </w:r>
      <w:bookmarkEnd w:id="108"/>
    </w:p>
    <w:p w14:paraId="59C94F18" w14:textId="77777777" w:rsidR="002D6926" w:rsidRPr="005E6F7F" w:rsidRDefault="002D6926" w:rsidP="002D6926">
      <w:pPr>
        <w:spacing w:before="120"/>
        <w:jc w:val="both"/>
        <w:rPr>
          <w:rFonts w:cstheme="minorHAnsi"/>
          <w:iCs/>
        </w:rPr>
      </w:pPr>
      <w:r w:rsidRPr="005E6F7F">
        <w:rPr>
          <w:rFonts w:cstheme="minorHAnsi"/>
          <w:iCs/>
        </w:rPr>
        <w:t>Th</w:t>
      </w:r>
      <w:r>
        <w:rPr>
          <w:rFonts w:cstheme="minorHAnsi"/>
          <w:iCs/>
        </w:rPr>
        <w:t>ese Terms of Reference</w:t>
      </w:r>
      <w:r w:rsidRPr="005E6F7F">
        <w:rPr>
          <w:rFonts w:cstheme="minorHAnsi"/>
          <w:iCs/>
        </w:rPr>
        <w:t xml:space="preserve"> appl</w:t>
      </w:r>
      <w:r>
        <w:rPr>
          <w:rFonts w:cstheme="minorHAnsi"/>
          <w:iCs/>
        </w:rPr>
        <w:t>y</w:t>
      </w:r>
      <w:r w:rsidRPr="005E6F7F">
        <w:rPr>
          <w:rFonts w:cstheme="minorHAnsi"/>
          <w:iCs/>
        </w:rPr>
        <w:t xml:space="preserve"> exclusively to the </w:t>
      </w:r>
      <w:r w:rsidRPr="005E6F7F">
        <w:rPr>
          <w:rFonts w:cstheme="minorHAnsi"/>
          <w:szCs w:val="18"/>
        </w:rPr>
        <w:t>Town of East Fremantle’s Behaviour Complaints Committee</w:t>
      </w:r>
      <w:r w:rsidRPr="005E6F7F">
        <w:rPr>
          <w:rFonts w:cstheme="minorHAnsi"/>
          <w:iCs/>
        </w:rPr>
        <w:t>.</w:t>
      </w:r>
    </w:p>
    <w:p w14:paraId="1AEC2F00" w14:textId="77777777" w:rsidR="002D6926" w:rsidRPr="00A76BAC" w:rsidRDefault="002D6926" w:rsidP="00A76BAC">
      <w:pPr>
        <w:pStyle w:val="Heading1"/>
        <w:spacing w:before="240"/>
        <w:rPr>
          <w:rFonts w:ascii="Arial" w:hAnsi="Arial" w:cs="Arial"/>
          <w:sz w:val="24"/>
          <w:szCs w:val="24"/>
        </w:rPr>
      </w:pPr>
      <w:r w:rsidRPr="00A76BAC">
        <w:rPr>
          <w:rFonts w:ascii="Arial" w:hAnsi="Arial" w:cs="Arial"/>
          <w:sz w:val="24"/>
          <w:szCs w:val="24"/>
        </w:rPr>
        <w:t>Committee Function</w:t>
      </w:r>
    </w:p>
    <w:p w14:paraId="71D3E053" w14:textId="77777777" w:rsidR="002D6926" w:rsidRPr="005E6F7F" w:rsidRDefault="002D6926" w:rsidP="002D6926">
      <w:pPr>
        <w:tabs>
          <w:tab w:val="right" w:pos="8931"/>
        </w:tabs>
        <w:spacing w:before="120"/>
        <w:jc w:val="both"/>
        <w:rPr>
          <w:rFonts w:cstheme="minorHAnsi"/>
          <w:szCs w:val="18"/>
        </w:rPr>
      </w:pPr>
      <w:r w:rsidRPr="005E6F7F">
        <w:rPr>
          <w:rFonts w:cstheme="minorHAnsi"/>
        </w:rPr>
        <w:t xml:space="preserve">The Behaviour Complaints Committee is a Committee of Council established in accordance with s.5.8 of the </w:t>
      </w:r>
      <w:r w:rsidRPr="005E6F7F">
        <w:rPr>
          <w:rFonts w:cstheme="minorHAnsi"/>
          <w:i/>
        </w:rPr>
        <w:t>Local Government Act 1995</w:t>
      </w:r>
      <w:r w:rsidRPr="005E6F7F">
        <w:rPr>
          <w:rFonts w:cstheme="minorHAnsi"/>
        </w:rPr>
        <w:t xml:space="preserve"> (the Act) for the purpose of dealing with Behaviour Complaints made under Division 3 of the </w:t>
      </w:r>
      <w:r>
        <w:rPr>
          <w:rFonts w:cstheme="minorHAnsi"/>
          <w:szCs w:val="18"/>
        </w:rPr>
        <w:t>Town of East Fremantle</w:t>
      </w:r>
      <w:r w:rsidRPr="005E6F7F">
        <w:rPr>
          <w:rFonts w:cstheme="minorHAnsi"/>
          <w:szCs w:val="18"/>
        </w:rPr>
        <w:t>’s Code of Conduct for Council Members, Committee Members and Candidates (Code of Conduct).</w:t>
      </w:r>
    </w:p>
    <w:p w14:paraId="6851BB5F" w14:textId="77777777" w:rsidR="002D6926" w:rsidRPr="005E6F7F" w:rsidRDefault="002D6926" w:rsidP="002D6926">
      <w:pPr>
        <w:tabs>
          <w:tab w:val="right" w:pos="8931"/>
        </w:tabs>
        <w:jc w:val="both"/>
        <w:rPr>
          <w:rFonts w:cstheme="minorHAnsi"/>
        </w:rPr>
      </w:pPr>
      <w:r w:rsidRPr="005E6F7F">
        <w:rPr>
          <w:rFonts w:cstheme="minorHAnsi"/>
          <w:szCs w:val="18"/>
        </w:rPr>
        <w:t>The</w:t>
      </w:r>
      <w:r w:rsidRPr="005E6F7F">
        <w:rPr>
          <w:rFonts w:cstheme="minorHAnsi"/>
        </w:rPr>
        <w:t xml:space="preserve"> extent of authority provided to the Behaviour Complaints Committee is specified in the relevant Delegated Authority, and includes:</w:t>
      </w:r>
    </w:p>
    <w:p w14:paraId="228E2905" w14:textId="77777777" w:rsidR="002D6926" w:rsidRPr="005E6F7F" w:rsidRDefault="002D6926" w:rsidP="002A3889">
      <w:pPr>
        <w:pStyle w:val="ListParagraph"/>
        <w:numPr>
          <w:ilvl w:val="0"/>
          <w:numId w:val="476"/>
        </w:numPr>
        <w:overflowPunct w:val="0"/>
        <w:autoSpaceDE w:val="0"/>
        <w:autoSpaceDN w:val="0"/>
        <w:adjustRightInd w:val="0"/>
        <w:spacing w:before="120" w:after="0" w:line="240" w:lineRule="auto"/>
        <w:ind w:hanging="357"/>
        <w:contextualSpacing w:val="0"/>
        <w:jc w:val="both"/>
        <w:textAlignment w:val="baseline"/>
        <w:rPr>
          <w:rFonts w:cstheme="minorHAnsi"/>
        </w:rPr>
      </w:pPr>
      <w:r w:rsidRPr="005E6F7F">
        <w:rPr>
          <w:rFonts w:cstheme="minorHAnsi"/>
        </w:rPr>
        <w:t>Dismissing a behaviour complaint in accordance with clause 13 of the Code of Conduct and providing reasons for any such dismissal.</w:t>
      </w:r>
    </w:p>
    <w:p w14:paraId="42C861CF" w14:textId="77777777" w:rsidR="002D6926" w:rsidRPr="005E6F7F" w:rsidRDefault="002D6926" w:rsidP="002A3889">
      <w:pPr>
        <w:pStyle w:val="ListParagraph"/>
        <w:numPr>
          <w:ilvl w:val="0"/>
          <w:numId w:val="476"/>
        </w:numPr>
        <w:overflowPunct w:val="0"/>
        <w:autoSpaceDE w:val="0"/>
        <w:autoSpaceDN w:val="0"/>
        <w:adjustRightInd w:val="0"/>
        <w:spacing w:before="120" w:after="0" w:line="240" w:lineRule="auto"/>
        <w:ind w:hanging="357"/>
        <w:contextualSpacing w:val="0"/>
        <w:jc w:val="both"/>
        <w:textAlignment w:val="baseline"/>
        <w:rPr>
          <w:rFonts w:cstheme="minorHAnsi"/>
        </w:rPr>
      </w:pPr>
      <w:r w:rsidRPr="005E6F7F">
        <w:rPr>
          <w:rFonts w:cstheme="minorHAnsi"/>
        </w:rPr>
        <w:t xml:space="preserve">Making a Finding as to whether an alleged complaint has or has not occurred, based upon evidence from which it may be concluded that it is more likely that the breach occurred than it did not occur </w:t>
      </w:r>
      <w:r w:rsidRPr="005E6F7F">
        <w:rPr>
          <w:rFonts w:cstheme="minorHAnsi"/>
          <w:i/>
        </w:rPr>
        <w:t>[clause 12(3) of the Code of Conduct]</w:t>
      </w:r>
      <w:r w:rsidRPr="005E6F7F">
        <w:rPr>
          <w:rFonts w:cstheme="minorHAnsi"/>
        </w:rPr>
        <w:t>.</w:t>
      </w:r>
    </w:p>
    <w:p w14:paraId="1C5D167F" w14:textId="77777777" w:rsidR="002D6926" w:rsidRPr="005E6F7F" w:rsidRDefault="002D6926" w:rsidP="002A3889">
      <w:pPr>
        <w:pStyle w:val="ListParagraph"/>
        <w:numPr>
          <w:ilvl w:val="0"/>
          <w:numId w:val="476"/>
        </w:numPr>
        <w:overflowPunct w:val="0"/>
        <w:autoSpaceDE w:val="0"/>
        <w:autoSpaceDN w:val="0"/>
        <w:adjustRightInd w:val="0"/>
        <w:spacing w:before="120" w:after="0" w:line="240" w:lineRule="auto"/>
        <w:ind w:hanging="357"/>
        <w:contextualSpacing w:val="0"/>
        <w:jc w:val="both"/>
        <w:textAlignment w:val="baseline"/>
        <w:rPr>
          <w:rFonts w:cstheme="minorHAnsi"/>
        </w:rPr>
      </w:pPr>
      <w:r w:rsidRPr="005E6F7F">
        <w:rPr>
          <w:rFonts w:cstheme="minorHAnsi"/>
        </w:rPr>
        <w:t>Determining reasons for such a Finding.</w:t>
      </w:r>
    </w:p>
    <w:p w14:paraId="3A34C6E0" w14:textId="77777777" w:rsidR="002D6926" w:rsidRPr="005E6F7F" w:rsidRDefault="002D6926" w:rsidP="002A3889">
      <w:pPr>
        <w:pStyle w:val="ListParagraph"/>
        <w:numPr>
          <w:ilvl w:val="0"/>
          <w:numId w:val="476"/>
        </w:numPr>
        <w:overflowPunct w:val="0"/>
        <w:autoSpaceDE w:val="0"/>
        <w:autoSpaceDN w:val="0"/>
        <w:adjustRightInd w:val="0"/>
        <w:spacing w:before="120" w:after="0" w:line="240" w:lineRule="auto"/>
        <w:ind w:hanging="357"/>
        <w:contextualSpacing w:val="0"/>
        <w:jc w:val="both"/>
        <w:textAlignment w:val="baseline"/>
        <w:rPr>
          <w:rFonts w:cstheme="minorHAnsi"/>
        </w:rPr>
      </w:pPr>
      <w:r w:rsidRPr="005E6F7F">
        <w:rPr>
          <w:rFonts w:cstheme="minorHAnsi"/>
        </w:rPr>
        <w:t>Where a Finding is made that a breach has occurred, determining:</w:t>
      </w:r>
    </w:p>
    <w:p w14:paraId="15BE56D2" w14:textId="77777777" w:rsidR="002D6926" w:rsidRPr="005E6F7F" w:rsidRDefault="002D6926" w:rsidP="002A3889">
      <w:pPr>
        <w:pStyle w:val="ListParagraph"/>
        <w:numPr>
          <w:ilvl w:val="1"/>
          <w:numId w:val="476"/>
        </w:numPr>
        <w:overflowPunct w:val="0"/>
        <w:autoSpaceDE w:val="0"/>
        <w:autoSpaceDN w:val="0"/>
        <w:adjustRightInd w:val="0"/>
        <w:spacing w:before="120" w:after="0" w:line="240" w:lineRule="auto"/>
        <w:ind w:hanging="357"/>
        <w:contextualSpacing w:val="0"/>
        <w:jc w:val="both"/>
        <w:textAlignment w:val="baseline"/>
        <w:rPr>
          <w:rFonts w:cstheme="minorHAnsi"/>
        </w:rPr>
      </w:pPr>
      <w:r w:rsidRPr="005E6F7F">
        <w:rPr>
          <w:rFonts w:cstheme="minorHAnsi"/>
        </w:rPr>
        <w:t>To take no further action; or</w:t>
      </w:r>
    </w:p>
    <w:p w14:paraId="421568CA" w14:textId="77777777" w:rsidR="002D6926" w:rsidRPr="005E6F7F" w:rsidRDefault="002D6926" w:rsidP="002A3889">
      <w:pPr>
        <w:pStyle w:val="ListParagraph"/>
        <w:numPr>
          <w:ilvl w:val="1"/>
          <w:numId w:val="476"/>
        </w:numPr>
        <w:overflowPunct w:val="0"/>
        <w:autoSpaceDE w:val="0"/>
        <w:autoSpaceDN w:val="0"/>
        <w:adjustRightInd w:val="0"/>
        <w:spacing w:before="120" w:after="0" w:line="240" w:lineRule="auto"/>
        <w:ind w:hanging="357"/>
        <w:contextualSpacing w:val="0"/>
        <w:jc w:val="both"/>
        <w:textAlignment w:val="baseline"/>
        <w:rPr>
          <w:rFonts w:cstheme="minorHAnsi"/>
        </w:rPr>
      </w:pPr>
      <w:r w:rsidRPr="005E6F7F">
        <w:rPr>
          <w:rFonts w:cstheme="minorHAnsi"/>
        </w:rPr>
        <w:t>Prepare and implement a plan to address the behaviour of the person to whom the complaint relates.</w:t>
      </w:r>
    </w:p>
    <w:p w14:paraId="4A61F78E" w14:textId="77777777" w:rsidR="002D6926" w:rsidRDefault="002D6926" w:rsidP="002D6926">
      <w:pPr>
        <w:spacing w:before="120"/>
        <w:jc w:val="both"/>
        <w:rPr>
          <w:rFonts w:cstheme="minorHAnsi"/>
        </w:rPr>
      </w:pPr>
      <w:r w:rsidRPr="005E6F7F">
        <w:rPr>
          <w:rFonts w:cstheme="minorHAnsi"/>
        </w:rPr>
        <w:t xml:space="preserve">The extent of authority of the Behaviour Complaints Committee is limited by Condition of the Delegated Authority. </w:t>
      </w:r>
    </w:p>
    <w:p w14:paraId="2B62EB30" w14:textId="77777777" w:rsidR="002D6926" w:rsidRPr="00A76BAC" w:rsidRDefault="002D6926" w:rsidP="00A76BAC">
      <w:pPr>
        <w:pStyle w:val="Heading1"/>
        <w:spacing w:before="240"/>
        <w:rPr>
          <w:rFonts w:ascii="Arial" w:hAnsi="Arial" w:cs="Arial"/>
          <w:sz w:val="24"/>
          <w:szCs w:val="24"/>
        </w:rPr>
      </w:pPr>
      <w:r w:rsidRPr="00A76BAC">
        <w:rPr>
          <w:rFonts w:ascii="Arial" w:hAnsi="Arial" w:cs="Arial"/>
          <w:sz w:val="24"/>
          <w:szCs w:val="24"/>
        </w:rPr>
        <w:t>Membership</w:t>
      </w:r>
    </w:p>
    <w:p w14:paraId="0CE559CC" w14:textId="77777777" w:rsidR="002D6926" w:rsidRPr="005E6F7F" w:rsidRDefault="002D6926" w:rsidP="002D6926">
      <w:pPr>
        <w:tabs>
          <w:tab w:val="right" w:pos="8931"/>
        </w:tabs>
        <w:spacing w:before="120"/>
        <w:jc w:val="both"/>
        <w:rPr>
          <w:rFonts w:cstheme="minorHAnsi"/>
        </w:rPr>
      </w:pPr>
      <w:r w:rsidRPr="005E6F7F">
        <w:rPr>
          <w:rFonts w:cstheme="minorHAnsi"/>
        </w:rPr>
        <w:t xml:space="preserve">The Complaints Committee is a Committee of Council Members only in accordance with s.5.9(2)(a) of the Act. </w:t>
      </w:r>
    </w:p>
    <w:p w14:paraId="55B293EA" w14:textId="77777777" w:rsidR="002D6926" w:rsidRPr="005E6F7F" w:rsidRDefault="002D6926" w:rsidP="002D6926">
      <w:pPr>
        <w:jc w:val="both"/>
        <w:rPr>
          <w:rFonts w:cstheme="minorHAnsi"/>
        </w:rPr>
      </w:pPr>
      <w:r w:rsidRPr="005E6F7F">
        <w:rPr>
          <w:rFonts w:cstheme="minorHAnsi"/>
        </w:rPr>
        <w:lastRenderedPageBreak/>
        <w:t xml:space="preserve">Membership of the Behaviour Complaints Committee will comprise of </w:t>
      </w:r>
      <w:r>
        <w:rPr>
          <w:rFonts w:cstheme="minorHAnsi"/>
        </w:rPr>
        <w:t xml:space="preserve">a minimum of three </w:t>
      </w:r>
      <w:r w:rsidRPr="005E6F7F">
        <w:rPr>
          <w:rFonts w:cstheme="minorHAnsi"/>
        </w:rPr>
        <w:t>Council Members, appointed by Council in accordance with s.5.10 of the Act.</w:t>
      </w:r>
    </w:p>
    <w:p w14:paraId="3EE169AD" w14:textId="77777777" w:rsidR="002D6926" w:rsidRPr="005E6F7F" w:rsidRDefault="002D6926" w:rsidP="002D6926">
      <w:pPr>
        <w:jc w:val="both"/>
        <w:rPr>
          <w:rFonts w:cstheme="minorHAnsi"/>
        </w:rPr>
      </w:pPr>
      <w:r w:rsidRPr="005E6F7F">
        <w:rPr>
          <w:rFonts w:cstheme="minorHAnsi"/>
        </w:rPr>
        <w:t xml:space="preserve">In addition, at least </w:t>
      </w:r>
      <w:r>
        <w:rPr>
          <w:rFonts w:cstheme="minorHAnsi"/>
        </w:rPr>
        <w:t>two</w:t>
      </w:r>
      <w:r w:rsidRPr="005E6F7F">
        <w:rPr>
          <w:rFonts w:cstheme="minorHAnsi"/>
        </w:rPr>
        <w:t xml:space="preserve"> Council Members will be appointed as Deputy Committee Members in accordance with s.5.11A of the Act.</w:t>
      </w:r>
    </w:p>
    <w:p w14:paraId="689FDA60" w14:textId="77777777" w:rsidR="002D6926" w:rsidRDefault="002D6926" w:rsidP="002D6926">
      <w:pPr>
        <w:jc w:val="both"/>
        <w:rPr>
          <w:rFonts w:cstheme="minorHAnsi"/>
        </w:rPr>
      </w:pPr>
      <w:r w:rsidRPr="005E6F7F">
        <w:rPr>
          <w:rFonts w:cstheme="minorHAnsi"/>
        </w:rPr>
        <w:t xml:space="preserve">The Delegated Authority Condition prescribes that if an appointed Committee Member is identified in the Complaint as either the Complainant or the Respondent, they are to recuse themselves from the Committee’s Function by providing an apology. They are to be replaced for the duration of the handling of the subject Complaint by a Deputy Committee Member, selected by the Presiding Member of the Committee. </w:t>
      </w:r>
    </w:p>
    <w:p w14:paraId="57898E7C" w14:textId="77777777" w:rsidR="002D6926" w:rsidRDefault="002D6926" w:rsidP="002D6926">
      <w:pPr>
        <w:jc w:val="both"/>
        <w:rPr>
          <w:rFonts w:cstheme="minorHAnsi"/>
        </w:rPr>
      </w:pPr>
      <w:r w:rsidRPr="00071476">
        <w:rPr>
          <w:rFonts w:cstheme="minorHAnsi"/>
        </w:rPr>
        <w:t>There is no external membership associated with this Group.</w:t>
      </w:r>
    </w:p>
    <w:p w14:paraId="532BFD51" w14:textId="77777777" w:rsidR="002D6926" w:rsidRPr="002D0E0B" w:rsidRDefault="002D6926" w:rsidP="002D6926">
      <w:pPr>
        <w:spacing w:before="240" w:after="120"/>
        <w:jc w:val="both"/>
        <w:rPr>
          <w:rFonts w:ascii="Arial" w:eastAsiaTheme="majorEastAsia" w:hAnsi="Arial" w:cs="Arial"/>
          <w:b/>
          <w:color w:val="1F497D"/>
          <w:sz w:val="24"/>
          <w:szCs w:val="24"/>
        </w:rPr>
      </w:pPr>
      <w:r w:rsidRPr="002D0E0B">
        <w:rPr>
          <w:rFonts w:ascii="Arial" w:eastAsiaTheme="majorEastAsia" w:hAnsi="Arial" w:cs="Arial"/>
          <w:b/>
          <w:color w:val="1F497D"/>
          <w:sz w:val="24"/>
          <w:szCs w:val="24"/>
        </w:rPr>
        <w:t xml:space="preserve">Term of membership </w:t>
      </w:r>
    </w:p>
    <w:p w14:paraId="59A1F733" w14:textId="77777777" w:rsidR="002D6926" w:rsidRDefault="002D6926" w:rsidP="002D6926">
      <w:pPr>
        <w:spacing w:before="120"/>
        <w:jc w:val="both"/>
        <w:rPr>
          <w:rFonts w:cstheme="minorHAnsi"/>
        </w:rPr>
      </w:pPr>
      <w:r>
        <w:rPr>
          <w:rFonts w:cstheme="minorHAnsi"/>
        </w:rPr>
        <w:t xml:space="preserve">Two (2) years in line with the local government election cycle.  </w:t>
      </w:r>
    </w:p>
    <w:p w14:paraId="35953326" w14:textId="77777777" w:rsidR="002D6926" w:rsidRPr="002D0E0B" w:rsidRDefault="002D6926" w:rsidP="002D6926">
      <w:pPr>
        <w:spacing w:before="240" w:after="120"/>
        <w:jc w:val="both"/>
        <w:rPr>
          <w:rFonts w:ascii="Arial" w:hAnsi="Arial" w:cs="Arial"/>
          <w:sz w:val="24"/>
          <w:szCs w:val="24"/>
        </w:rPr>
      </w:pPr>
      <w:r w:rsidRPr="002D0E0B">
        <w:rPr>
          <w:rFonts w:ascii="Arial" w:eastAsiaTheme="majorEastAsia" w:hAnsi="Arial" w:cs="Arial"/>
          <w:b/>
          <w:color w:val="1F497D"/>
          <w:sz w:val="24"/>
          <w:szCs w:val="24"/>
        </w:rPr>
        <w:t>Presiding Member/Chairperson</w:t>
      </w:r>
      <w:r w:rsidRPr="002D0E0B">
        <w:rPr>
          <w:rFonts w:ascii="Arial" w:hAnsi="Arial" w:cs="Arial"/>
          <w:sz w:val="24"/>
          <w:szCs w:val="24"/>
        </w:rPr>
        <w:t xml:space="preserve"> </w:t>
      </w:r>
    </w:p>
    <w:p w14:paraId="37D8078E" w14:textId="77777777" w:rsidR="002D6926" w:rsidRDefault="002D6926" w:rsidP="002D6926">
      <w:pPr>
        <w:spacing w:before="120"/>
        <w:jc w:val="both"/>
        <w:rPr>
          <w:rFonts w:cstheme="minorHAnsi"/>
        </w:rPr>
      </w:pPr>
      <w:r w:rsidRPr="00F21E22">
        <w:rPr>
          <w:rFonts w:cstheme="minorHAnsi"/>
        </w:rPr>
        <w:t>The members shall elect a meeting Chairperson from the Group membership as required.</w:t>
      </w:r>
    </w:p>
    <w:p w14:paraId="75A6A8C0" w14:textId="77777777" w:rsidR="002D6926" w:rsidRPr="00A76BAC" w:rsidRDefault="002D6926" w:rsidP="00A76BAC">
      <w:pPr>
        <w:pStyle w:val="Heading1"/>
        <w:spacing w:before="240"/>
        <w:rPr>
          <w:rFonts w:ascii="Arial" w:hAnsi="Arial" w:cs="Arial"/>
          <w:sz w:val="24"/>
          <w:szCs w:val="24"/>
        </w:rPr>
      </w:pPr>
      <w:r w:rsidRPr="00A76BAC">
        <w:rPr>
          <w:rFonts w:ascii="Arial" w:hAnsi="Arial" w:cs="Arial"/>
          <w:sz w:val="24"/>
          <w:szCs w:val="24"/>
        </w:rPr>
        <w:t>Meeting Schedule</w:t>
      </w:r>
    </w:p>
    <w:p w14:paraId="15A4C99C" w14:textId="77777777" w:rsidR="002D6926" w:rsidRPr="005E6F7F" w:rsidRDefault="002D6926" w:rsidP="002D6926">
      <w:pPr>
        <w:spacing w:before="120"/>
        <w:jc w:val="both"/>
        <w:rPr>
          <w:rFonts w:cstheme="minorHAnsi"/>
        </w:rPr>
      </w:pPr>
      <w:r w:rsidRPr="005E6F7F">
        <w:rPr>
          <w:rFonts w:cstheme="minorHAnsi"/>
        </w:rPr>
        <w:t>Meetings are to be scheduled as required by the CEO or Behaviour Complaints Officer in consultation with the Committee Presiding Member.</w:t>
      </w:r>
    </w:p>
    <w:p w14:paraId="6DD722E3" w14:textId="77777777" w:rsidR="002D6926" w:rsidRPr="00A76BAC" w:rsidRDefault="002D6926" w:rsidP="00A76BAC">
      <w:pPr>
        <w:pStyle w:val="Heading1"/>
        <w:spacing w:before="240"/>
        <w:rPr>
          <w:rFonts w:ascii="Arial" w:hAnsi="Arial" w:cs="Arial"/>
          <w:sz w:val="24"/>
          <w:szCs w:val="24"/>
        </w:rPr>
      </w:pPr>
      <w:r w:rsidRPr="00A76BAC">
        <w:rPr>
          <w:rFonts w:ascii="Arial" w:hAnsi="Arial" w:cs="Arial"/>
          <w:sz w:val="24"/>
          <w:szCs w:val="24"/>
        </w:rPr>
        <w:t xml:space="preserve">Delegated Authority </w:t>
      </w:r>
    </w:p>
    <w:p w14:paraId="716247A9" w14:textId="77777777" w:rsidR="002D6926" w:rsidRPr="005E6F7F" w:rsidRDefault="002D6926" w:rsidP="002D6926">
      <w:pPr>
        <w:tabs>
          <w:tab w:val="right" w:pos="8931"/>
        </w:tabs>
        <w:spacing w:before="120"/>
        <w:jc w:val="both"/>
        <w:rPr>
          <w:rFonts w:cstheme="minorHAnsi"/>
        </w:rPr>
      </w:pPr>
      <w:r w:rsidRPr="005E6F7F">
        <w:rPr>
          <w:rFonts w:cstheme="minorHAnsi"/>
        </w:rPr>
        <w:t xml:space="preserve">The Behaviour Complaints Committee will act under Delegated Authority in accordance with s.5.16 of the Act. The delegation is recorded in the </w:t>
      </w:r>
      <w:r>
        <w:rPr>
          <w:rFonts w:cstheme="minorHAnsi"/>
        </w:rPr>
        <w:t>Town of East Fremantle</w:t>
      </w:r>
      <w:r w:rsidRPr="005E6F7F">
        <w:rPr>
          <w:rFonts w:cstheme="minorHAnsi"/>
        </w:rPr>
        <w:t xml:space="preserve"> Register of Delegations.</w:t>
      </w:r>
    </w:p>
    <w:p w14:paraId="62641F7F" w14:textId="77777777" w:rsidR="002D6926" w:rsidRDefault="002D6926" w:rsidP="002D6926">
      <w:pPr>
        <w:jc w:val="both"/>
        <w:rPr>
          <w:rFonts w:cstheme="minorHAnsi"/>
        </w:rPr>
      </w:pPr>
      <w:r w:rsidRPr="005E6F7F">
        <w:rPr>
          <w:rFonts w:cstheme="minorHAnsi"/>
        </w:rPr>
        <w:t>It is a Condition of Delegated Authority that the Behaviour Complaints Committee will be unable to exercise delegated authority if the Complainant or Respondent attend as a Complaints Committee Member.</w:t>
      </w:r>
    </w:p>
    <w:p w14:paraId="361923C7" w14:textId="77777777" w:rsidR="002D6926" w:rsidRPr="00A76BAC" w:rsidRDefault="002D6926" w:rsidP="00A76BAC">
      <w:pPr>
        <w:pStyle w:val="Heading1"/>
        <w:spacing w:before="240"/>
        <w:rPr>
          <w:rFonts w:ascii="Arial" w:hAnsi="Arial" w:cs="Arial"/>
          <w:sz w:val="24"/>
          <w:szCs w:val="24"/>
        </w:rPr>
      </w:pPr>
      <w:r w:rsidRPr="00A76BAC">
        <w:rPr>
          <w:rFonts w:ascii="Arial" w:hAnsi="Arial" w:cs="Arial"/>
          <w:sz w:val="24"/>
          <w:szCs w:val="24"/>
        </w:rPr>
        <w:t xml:space="preserve">Committee Governance </w:t>
      </w:r>
    </w:p>
    <w:p w14:paraId="7D7E5E8F" w14:textId="77777777" w:rsidR="002D6926" w:rsidRPr="005E6F7F" w:rsidRDefault="002D6926" w:rsidP="002D6926">
      <w:pPr>
        <w:spacing w:before="120" w:after="0"/>
        <w:jc w:val="both"/>
        <w:rPr>
          <w:rFonts w:cstheme="minorHAnsi"/>
        </w:rPr>
      </w:pPr>
      <w:r w:rsidRPr="005E6F7F">
        <w:rPr>
          <w:rFonts w:cstheme="minorHAnsi"/>
        </w:rPr>
        <w:t>Complaints Behaviour Committee meetings are required to:</w:t>
      </w:r>
    </w:p>
    <w:p w14:paraId="73FE88E9" w14:textId="77777777" w:rsidR="002D6926" w:rsidRPr="005E6F7F" w:rsidRDefault="002D6926" w:rsidP="002A3889">
      <w:pPr>
        <w:pStyle w:val="ListParagraph"/>
        <w:numPr>
          <w:ilvl w:val="0"/>
          <w:numId w:val="477"/>
        </w:numPr>
        <w:overflowPunct w:val="0"/>
        <w:autoSpaceDE w:val="0"/>
        <w:autoSpaceDN w:val="0"/>
        <w:adjustRightInd w:val="0"/>
        <w:spacing w:before="120" w:after="0" w:line="240" w:lineRule="auto"/>
        <w:ind w:left="777" w:hanging="357"/>
        <w:contextualSpacing w:val="0"/>
        <w:jc w:val="both"/>
        <w:textAlignment w:val="baseline"/>
        <w:rPr>
          <w:rFonts w:cstheme="minorHAnsi"/>
        </w:rPr>
      </w:pPr>
      <w:r w:rsidRPr="005E6F7F">
        <w:rPr>
          <w:rFonts w:cstheme="minorHAnsi"/>
        </w:rPr>
        <w:t xml:space="preserve">be called and convened by the CEO, as required, in consultation with the Committee’s Presiding </w:t>
      </w:r>
      <w:proofErr w:type="gramStart"/>
      <w:r w:rsidRPr="005E6F7F">
        <w:rPr>
          <w:rFonts w:cstheme="minorHAnsi"/>
        </w:rPr>
        <w:t>Member;</w:t>
      </w:r>
      <w:proofErr w:type="gramEnd"/>
    </w:p>
    <w:p w14:paraId="06D74151" w14:textId="77777777" w:rsidR="002D6926" w:rsidRPr="005E6F7F" w:rsidRDefault="002D6926" w:rsidP="002A3889">
      <w:pPr>
        <w:pStyle w:val="ListParagraph"/>
        <w:numPr>
          <w:ilvl w:val="0"/>
          <w:numId w:val="477"/>
        </w:numPr>
        <w:overflowPunct w:val="0"/>
        <w:autoSpaceDE w:val="0"/>
        <w:autoSpaceDN w:val="0"/>
        <w:adjustRightInd w:val="0"/>
        <w:spacing w:before="240" w:after="0" w:line="240" w:lineRule="auto"/>
        <w:jc w:val="both"/>
        <w:textAlignment w:val="baseline"/>
        <w:rPr>
          <w:rFonts w:cstheme="minorHAnsi"/>
        </w:rPr>
      </w:pPr>
      <w:r w:rsidRPr="005E6F7F">
        <w:rPr>
          <w:rFonts w:cstheme="minorHAnsi"/>
        </w:rPr>
        <w:t xml:space="preserve">include public question time </w:t>
      </w:r>
      <w:r w:rsidRPr="005E6F7F">
        <w:rPr>
          <w:rFonts w:cstheme="minorHAnsi"/>
          <w:i/>
          <w:sz w:val="18"/>
        </w:rPr>
        <w:t>[Admin.r.5]</w:t>
      </w:r>
    </w:p>
    <w:p w14:paraId="0AF17ED8" w14:textId="77777777" w:rsidR="002D6926" w:rsidRPr="005E6F7F" w:rsidRDefault="002D6926" w:rsidP="002A3889">
      <w:pPr>
        <w:pStyle w:val="ListParagraph"/>
        <w:numPr>
          <w:ilvl w:val="0"/>
          <w:numId w:val="477"/>
        </w:numPr>
        <w:tabs>
          <w:tab w:val="right" w:pos="8931"/>
        </w:tabs>
        <w:overflowPunct w:val="0"/>
        <w:autoSpaceDE w:val="0"/>
        <w:autoSpaceDN w:val="0"/>
        <w:adjustRightInd w:val="0"/>
        <w:spacing w:before="240" w:after="0" w:line="240" w:lineRule="auto"/>
        <w:jc w:val="both"/>
        <w:textAlignment w:val="baseline"/>
        <w:rPr>
          <w:rFonts w:cstheme="minorHAnsi"/>
        </w:rPr>
      </w:pPr>
      <w:r w:rsidRPr="005E6F7F">
        <w:rPr>
          <w:rFonts w:cstheme="minorHAnsi"/>
        </w:rPr>
        <w:t xml:space="preserve">make the Committee Notice Papers and Agenda publicly available </w:t>
      </w:r>
      <w:r w:rsidRPr="005E6F7F">
        <w:rPr>
          <w:rFonts w:cstheme="minorHAnsi"/>
          <w:i/>
        </w:rPr>
        <w:t>[</w:t>
      </w:r>
      <w:r w:rsidRPr="005E6F7F">
        <w:rPr>
          <w:rFonts w:cstheme="minorHAnsi"/>
          <w:i/>
          <w:sz w:val="18"/>
        </w:rPr>
        <w:t>s.5.94(p), s.5.96A(f)]</w:t>
      </w:r>
      <w:r w:rsidRPr="005E6F7F">
        <w:rPr>
          <w:rFonts w:cstheme="minorHAnsi"/>
        </w:rPr>
        <w:t xml:space="preserve">, </w:t>
      </w:r>
      <w:proofErr w:type="gramStart"/>
      <w:r w:rsidRPr="005E6F7F">
        <w:rPr>
          <w:rFonts w:cstheme="minorHAnsi"/>
        </w:rPr>
        <w:t>with the exception of</w:t>
      </w:r>
      <w:proofErr w:type="gramEnd"/>
      <w:r w:rsidRPr="005E6F7F">
        <w:rPr>
          <w:rFonts w:cstheme="minorHAnsi"/>
        </w:rPr>
        <w:t xml:space="preserve"> agenda content that relates to that part of the meeting which will be closed to members of the public under s.5.23(2) </w:t>
      </w:r>
      <w:r w:rsidRPr="005E6F7F">
        <w:rPr>
          <w:rFonts w:cstheme="minorHAnsi"/>
          <w:i/>
          <w:sz w:val="18"/>
        </w:rPr>
        <w:t>[Admin.r.14]</w:t>
      </w:r>
      <w:r w:rsidRPr="005E6F7F">
        <w:rPr>
          <w:rFonts w:cstheme="minorHAnsi"/>
        </w:rPr>
        <w:t>; and</w:t>
      </w:r>
    </w:p>
    <w:p w14:paraId="6D9BE3B5" w14:textId="77777777" w:rsidR="002D6926" w:rsidRDefault="002D6926" w:rsidP="002A3889">
      <w:pPr>
        <w:pStyle w:val="ListParagraph"/>
        <w:numPr>
          <w:ilvl w:val="0"/>
          <w:numId w:val="477"/>
        </w:numPr>
        <w:tabs>
          <w:tab w:val="right" w:pos="8931"/>
        </w:tabs>
        <w:overflowPunct w:val="0"/>
        <w:autoSpaceDE w:val="0"/>
        <w:autoSpaceDN w:val="0"/>
        <w:adjustRightInd w:val="0"/>
        <w:spacing w:before="240" w:after="0" w:line="240" w:lineRule="auto"/>
        <w:jc w:val="both"/>
        <w:textAlignment w:val="baseline"/>
        <w:rPr>
          <w:rFonts w:cstheme="minorHAnsi"/>
        </w:rPr>
      </w:pPr>
      <w:r w:rsidRPr="005E6F7F">
        <w:rPr>
          <w:rFonts w:cstheme="minorHAnsi"/>
        </w:rPr>
        <w:t xml:space="preserve">make Committee minutes publicly available </w:t>
      </w:r>
      <w:r w:rsidRPr="005E6F7F">
        <w:rPr>
          <w:rFonts w:cstheme="minorHAnsi"/>
          <w:i/>
          <w:sz w:val="18"/>
        </w:rPr>
        <w:t>[s.5.94(n), s.5.96A(h)]</w:t>
      </w:r>
      <w:r w:rsidRPr="005E6F7F">
        <w:rPr>
          <w:rFonts w:cstheme="minorHAnsi"/>
        </w:rPr>
        <w:t xml:space="preserve">, </w:t>
      </w:r>
      <w:proofErr w:type="gramStart"/>
      <w:r w:rsidRPr="005E6F7F">
        <w:rPr>
          <w:rFonts w:cstheme="minorHAnsi"/>
        </w:rPr>
        <w:t>with the exception of</w:t>
      </w:r>
      <w:proofErr w:type="gramEnd"/>
      <w:r w:rsidRPr="005E6F7F">
        <w:rPr>
          <w:rFonts w:cstheme="minorHAnsi"/>
        </w:rPr>
        <w:t xml:space="preserve"> Minutes content that relates to that part of the meeting which was closed to the public or was determined as confidential under s.5.23(2).</w:t>
      </w:r>
    </w:p>
    <w:p w14:paraId="107B7C49" w14:textId="77777777" w:rsidR="002D6926" w:rsidRDefault="002D6926" w:rsidP="002D6926">
      <w:pPr>
        <w:rPr>
          <w:rFonts w:ascii="Arial" w:eastAsiaTheme="majorEastAsia" w:hAnsi="Arial" w:cs="Arial"/>
          <w:b/>
          <w:color w:val="1F497D"/>
          <w:sz w:val="24"/>
          <w:szCs w:val="24"/>
        </w:rPr>
      </w:pPr>
      <w:r>
        <w:rPr>
          <w:rFonts w:ascii="Arial" w:eastAsiaTheme="majorEastAsia" w:hAnsi="Arial" w:cs="Arial"/>
          <w:b/>
          <w:color w:val="1F497D"/>
          <w:sz w:val="24"/>
          <w:szCs w:val="24"/>
        </w:rPr>
        <w:br w:type="page"/>
      </w:r>
    </w:p>
    <w:p w14:paraId="6C5BB4CA" w14:textId="77777777" w:rsidR="002D6926" w:rsidRPr="002D0E0B" w:rsidRDefault="002D6926" w:rsidP="002D6926">
      <w:pPr>
        <w:tabs>
          <w:tab w:val="right" w:pos="8931"/>
        </w:tabs>
        <w:spacing w:before="120" w:after="120"/>
        <w:jc w:val="both"/>
        <w:rPr>
          <w:rFonts w:ascii="Arial" w:eastAsiaTheme="majorEastAsia" w:hAnsi="Arial" w:cs="Arial"/>
          <w:b/>
          <w:color w:val="1F497D"/>
          <w:sz w:val="24"/>
          <w:szCs w:val="24"/>
        </w:rPr>
      </w:pPr>
      <w:r w:rsidRPr="002D0E0B">
        <w:rPr>
          <w:rFonts w:ascii="Arial" w:eastAsiaTheme="majorEastAsia" w:hAnsi="Arial" w:cs="Arial"/>
          <w:b/>
          <w:color w:val="1F497D"/>
          <w:sz w:val="24"/>
          <w:szCs w:val="24"/>
        </w:rPr>
        <w:lastRenderedPageBreak/>
        <w:t xml:space="preserve">Administration </w:t>
      </w:r>
    </w:p>
    <w:p w14:paraId="15339309" w14:textId="77777777" w:rsidR="002D6926" w:rsidRPr="006041C7" w:rsidRDefault="002D6926" w:rsidP="002D6926">
      <w:pPr>
        <w:tabs>
          <w:tab w:val="right" w:pos="8931"/>
        </w:tabs>
        <w:spacing w:before="120" w:after="120"/>
        <w:jc w:val="both"/>
        <w:rPr>
          <w:rFonts w:eastAsiaTheme="majorEastAsia" w:cstheme="majorBidi"/>
          <w:b/>
          <w:color w:val="1F497D"/>
          <w:sz w:val="28"/>
          <w:szCs w:val="28"/>
        </w:rPr>
      </w:pPr>
      <w:r w:rsidRPr="006041C7">
        <w:rPr>
          <w:rFonts w:cstheme="minorHAnsi"/>
          <w:szCs w:val="20"/>
        </w:rPr>
        <w:t xml:space="preserve">Town officers will: </w:t>
      </w:r>
    </w:p>
    <w:p w14:paraId="769C783D" w14:textId="77777777" w:rsidR="002D6926" w:rsidRDefault="002D6926" w:rsidP="002A3889">
      <w:pPr>
        <w:pStyle w:val="ListParagraph"/>
        <w:numPr>
          <w:ilvl w:val="0"/>
          <w:numId w:val="477"/>
        </w:numPr>
        <w:tabs>
          <w:tab w:val="right" w:pos="8931"/>
        </w:tabs>
        <w:overflowPunct w:val="0"/>
        <w:autoSpaceDE w:val="0"/>
        <w:autoSpaceDN w:val="0"/>
        <w:adjustRightInd w:val="0"/>
        <w:spacing w:before="120" w:after="0" w:line="240" w:lineRule="auto"/>
        <w:jc w:val="both"/>
        <w:textAlignment w:val="baseline"/>
        <w:rPr>
          <w:rFonts w:cstheme="minorHAnsi"/>
        </w:rPr>
      </w:pPr>
      <w:r>
        <w:rPr>
          <w:rFonts w:cstheme="minorHAnsi"/>
        </w:rPr>
        <w:t>b</w:t>
      </w:r>
      <w:r w:rsidRPr="006041C7">
        <w:rPr>
          <w:rFonts w:cstheme="minorHAnsi"/>
        </w:rPr>
        <w:t xml:space="preserve">e responsible for coordinating </w:t>
      </w:r>
      <w:proofErr w:type="gramStart"/>
      <w:r w:rsidRPr="006041C7">
        <w:rPr>
          <w:rFonts w:cstheme="minorHAnsi"/>
        </w:rPr>
        <w:t>meetings;</w:t>
      </w:r>
      <w:proofErr w:type="gramEnd"/>
      <w:r w:rsidRPr="006041C7">
        <w:rPr>
          <w:rFonts w:cstheme="minorHAnsi"/>
        </w:rPr>
        <w:t xml:space="preserve"> </w:t>
      </w:r>
    </w:p>
    <w:p w14:paraId="6BBDB04C" w14:textId="77777777" w:rsidR="002D6926" w:rsidRDefault="002D6926" w:rsidP="002A3889">
      <w:pPr>
        <w:pStyle w:val="ListParagraph"/>
        <w:numPr>
          <w:ilvl w:val="0"/>
          <w:numId w:val="477"/>
        </w:numPr>
        <w:tabs>
          <w:tab w:val="right" w:pos="8931"/>
        </w:tabs>
        <w:overflowPunct w:val="0"/>
        <w:autoSpaceDE w:val="0"/>
        <w:autoSpaceDN w:val="0"/>
        <w:adjustRightInd w:val="0"/>
        <w:spacing w:before="240" w:after="0" w:line="240" w:lineRule="auto"/>
        <w:jc w:val="both"/>
        <w:textAlignment w:val="baseline"/>
        <w:rPr>
          <w:rFonts w:cstheme="minorHAnsi"/>
        </w:rPr>
      </w:pPr>
      <w:r>
        <w:rPr>
          <w:rFonts w:cstheme="minorHAnsi"/>
        </w:rPr>
        <w:t>c</w:t>
      </w:r>
      <w:r w:rsidRPr="006041C7">
        <w:rPr>
          <w:rFonts w:cstheme="minorHAnsi"/>
        </w:rPr>
        <w:t xml:space="preserve">irculate an agenda before each meeting to Committee </w:t>
      </w:r>
      <w:proofErr w:type="gramStart"/>
      <w:r w:rsidRPr="006041C7">
        <w:rPr>
          <w:rFonts w:cstheme="minorHAnsi"/>
        </w:rPr>
        <w:t>Members;</w:t>
      </w:r>
      <w:proofErr w:type="gramEnd"/>
      <w:r w:rsidRPr="006041C7">
        <w:rPr>
          <w:rFonts w:cstheme="minorHAnsi"/>
        </w:rPr>
        <w:t xml:space="preserve"> </w:t>
      </w:r>
    </w:p>
    <w:p w14:paraId="6721426D" w14:textId="77777777" w:rsidR="002D6926" w:rsidRPr="006041C7" w:rsidRDefault="002D6926" w:rsidP="002A3889">
      <w:pPr>
        <w:pStyle w:val="ListParagraph"/>
        <w:numPr>
          <w:ilvl w:val="0"/>
          <w:numId w:val="477"/>
        </w:numPr>
        <w:tabs>
          <w:tab w:val="right" w:pos="8931"/>
        </w:tabs>
        <w:overflowPunct w:val="0"/>
        <w:autoSpaceDE w:val="0"/>
        <w:autoSpaceDN w:val="0"/>
        <w:adjustRightInd w:val="0"/>
        <w:spacing w:before="240" w:after="0" w:line="240" w:lineRule="auto"/>
        <w:jc w:val="both"/>
        <w:textAlignment w:val="baseline"/>
        <w:rPr>
          <w:rFonts w:cstheme="minorHAnsi"/>
        </w:rPr>
      </w:pPr>
      <w:r>
        <w:rPr>
          <w:rFonts w:cstheme="minorHAnsi"/>
        </w:rPr>
        <w:t>t</w:t>
      </w:r>
      <w:r w:rsidRPr="006041C7">
        <w:rPr>
          <w:rFonts w:cstheme="minorHAnsi"/>
        </w:rPr>
        <w:t>ake Minutes of the meeting and register them in the City’s Document Management System.</w:t>
      </w:r>
    </w:p>
    <w:p w14:paraId="01FE4251" w14:textId="77777777" w:rsidR="002D6926" w:rsidRPr="002D0E0B" w:rsidRDefault="002D6926" w:rsidP="002D6926">
      <w:pPr>
        <w:pStyle w:val="ListParagraph"/>
        <w:tabs>
          <w:tab w:val="right" w:pos="8931"/>
        </w:tabs>
        <w:ind w:left="781"/>
        <w:jc w:val="both"/>
        <w:rPr>
          <w:rFonts w:cstheme="minorHAnsi"/>
        </w:rPr>
      </w:pPr>
    </w:p>
    <w:p w14:paraId="1242D46D" w14:textId="77777777" w:rsidR="002D6926" w:rsidRPr="002D0E0B" w:rsidRDefault="002D6926" w:rsidP="002D6926">
      <w:pPr>
        <w:pStyle w:val="ListParagraph"/>
        <w:tabs>
          <w:tab w:val="right" w:pos="8931"/>
        </w:tabs>
        <w:ind w:left="781"/>
        <w:jc w:val="both"/>
        <w:rPr>
          <w:rFonts w:cstheme="minorHAnsi"/>
        </w:rPr>
      </w:pPr>
    </w:p>
    <w:tbl>
      <w:tblPr>
        <w:tblW w:w="96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444"/>
        <w:gridCol w:w="3096"/>
        <w:gridCol w:w="2109"/>
        <w:gridCol w:w="2876"/>
      </w:tblGrid>
      <w:tr w:rsidR="002D6926" w:rsidRPr="002D0E0B" w14:paraId="1ECBA51D" w14:textId="77777777" w:rsidTr="00A47C26">
        <w:trPr>
          <w:trHeight w:val="325"/>
        </w:trPr>
        <w:tc>
          <w:tcPr>
            <w:tcW w:w="9659" w:type="dxa"/>
            <w:gridSpan w:val="5"/>
            <w:tcBorders>
              <w:top w:val="single" w:sz="12" w:space="0" w:color="808080"/>
              <w:left w:val="single" w:sz="12" w:space="0" w:color="808080"/>
              <w:bottom w:val="single" w:sz="12" w:space="0" w:color="808080"/>
              <w:right w:val="single" w:sz="12" w:space="0" w:color="808080"/>
            </w:tcBorders>
            <w:shd w:val="clear" w:color="auto" w:fill="D9D9D9"/>
            <w:vAlign w:val="center"/>
          </w:tcPr>
          <w:p w14:paraId="28DC1984" w14:textId="77777777" w:rsidR="002D6926" w:rsidRPr="002D0E0B" w:rsidRDefault="002D6926" w:rsidP="00A47C26">
            <w:pPr>
              <w:suppressAutoHyphens/>
              <w:spacing w:line="240" w:lineRule="auto"/>
              <w:contextualSpacing/>
              <w:jc w:val="both"/>
              <w:rPr>
                <w:rFonts w:cstheme="minorHAnsi"/>
                <w:b/>
                <w:color w:val="215868" w:themeColor="accent5" w:themeShade="80"/>
                <w:sz w:val="20"/>
                <w:szCs w:val="20"/>
                <w:lang w:bidi="he-IL"/>
              </w:rPr>
            </w:pPr>
            <w:bookmarkStart w:id="109" w:name="_Toc69287633"/>
            <w:r w:rsidRPr="002D0E0B">
              <w:rPr>
                <w:rFonts w:cstheme="minorHAnsi"/>
                <w:sz w:val="20"/>
                <w:szCs w:val="20"/>
              </w:rPr>
              <w:br w:type="page"/>
            </w:r>
            <w:r w:rsidRPr="002D0E0B">
              <w:rPr>
                <w:rFonts w:cstheme="minorHAnsi"/>
                <w:b/>
                <w:color w:val="215868" w:themeColor="accent5" w:themeShade="80"/>
                <w:sz w:val="20"/>
                <w:szCs w:val="20"/>
                <w:lang w:bidi="he-IL"/>
              </w:rPr>
              <w:t>Document Control Box</w:t>
            </w:r>
          </w:p>
        </w:tc>
      </w:tr>
      <w:tr w:rsidR="002D6926" w:rsidRPr="002D0E0B" w14:paraId="19465311" w14:textId="77777777" w:rsidTr="00A47C26">
        <w:trPr>
          <w:trHeight w:val="260"/>
        </w:trPr>
        <w:tc>
          <w:tcPr>
            <w:tcW w:w="9659" w:type="dxa"/>
            <w:gridSpan w:val="5"/>
            <w:tcBorders>
              <w:top w:val="single" w:sz="12" w:space="0" w:color="808080"/>
              <w:left w:val="single" w:sz="4" w:space="0" w:color="808080"/>
              <w:bottom w:val="single" w:sz="8" w:space="0" w:color="808080"/>
              <w:right w:val="single" w:sz="4" w:space="0" w:color="808080"/>
            </w:tcBorders>
            <w:shd w:val="clear" w:color="auto" w:fill="D9D9D9"/>
            <w:vAlign w:val="center"/>
          </w:tcPr>
          <w:p w14:paraId="0589F9F1" w14:textId="77777777" w:rsidR="002D6926" w:rsidRPr="002D0E0B" w:rsidRDefault="002D6926" w:rsidP="00A47C26">
            <w:pPr>
              <w:spacing w:line="240" w:lineRule="auto"/>
              <w:contextualSpacing/>
              <w:jc w:val="both"/>
              <w:rPr>
                <w:rFonts w:cstheme="minorHAnsi"/>
                <w:b/>
                <w:sz w:val="20"/>
                <w:szCs w:val="20"/>
              </w:rPr>
            </w:pPr>
            <w:r w:rsidRPr="002D0E0B">
              <w:rPr>
                <w:rFonts w:cstheme="minorHAnsi"/>
                <w:b/>
                <w:sz w:val="20"/>
                <w:szCs w:val="20"/>
              </w:rPr>
              <w:t>Document Responsibilities:</w:t>
            </w:r>
          </w:p>
        </w:tc>
      </w:tr>
      <w:tr w:rsidR="002D6926" w:rsidRPr="002D0E0B" w14:paraId="741B6734" w14:textId="77777777" w:rsidTr="00A47C26">
        <w:tc>
          <w:tcPr>
            <w:tcW w:w="1134" w:type="dxa"/>
            <w:tcBorders>
              <w:top w:val="single" w:sz="8" w:space="0" w:color="808080"/>
              <w:left w:val="single" w:sz="4" w:space="0" w:color="808080"/>
              <w:bottom w:val="single" w:sz="4" w:space="0" w:color="808080"/>
            </w:tcBorders>
            <w:shd w:val="clear" w:color="auto" w:fill="D9D9D9"/>
            <w:vAlign w:val="center"/>
          </w:tcPr>
          <w:p w14:paraId="39ED75B6" w14:textId="77777777" w:rsidR="002D6926" w:rsidRPr="002D0E0B" w:rsidRDefault="002D6926" w:rsidP="00A47C26">
            <w:pPr>
              <w:spacing w:line="240" w:lineRule="auto"/>
              <w:contextualSpacing/>
              <w:jc w:val="both"/>
              <w:rPr>
                <w:rFonts w:cstheme="minorHAnsi"/>
                <w:b/>
                <w:sz w:val="20"/>
                <w:szCs w:val="20"/>
              </w:rPr>
            </w:pPr>
            <w:r w:rsidRPr="002D0E0B">
              <w:rPr>
                <w:rFonts w:cstheme="minorHAnsi"/>
                <w:b/>
                <w:sz w:val="20"/>
                <w:szCs w:val="20"/>
              </w:rPr>
              <w:t>Owner:</w:t>
            </w:r>
          </w:p>
        </w:tc>
        <w:tc>
          <w:tcPr>
            <w:tcW w:w="3540" w:type="dxa"/>
            <w:gridSpan w:val="2"/>
            <w:tcBorders>
              <w:top w:val="single" w:sz="8" w:space="0" w:color="808080"/>
              <w:bottom w:val="single" w:sz="4" w:space="0" w:color="808080"/>
            </w:tcBorders>
            <w:shd w:val="clear" w:color="auto" w:fill="auto"/>
            <w:vAlign w:val="center"/>
          </w:tcPr>
          <w:p w14:paraId="65C9AC58" w14:textId="77777777" w:rsidR="002D6926" w:rsidRPr="002D0E0B" w:rsidRDefault="002D6926" w:rsidP="00A47C26">
            <w:pPr>
              <w:spacing w:line="240" w:lineRule="auto"/>
              <w:contextualSpacing/>
              <w:jc w:val="both"/>
              <w:rPr>
                <w:rFonts w:cstheme="minorHAnsi"/>
                <w:b/>
                <w:sz w:val="20"/>
                <w:szCs w:val="20"/>
              </w:rPr>
            </w:pPr>
            <w:r w:rsidRPr="002D0E0B">
              <w:rPr>
                <w:rFonts w:cstheme="minorHAnsi"/>
                <w:sz w:val="20"/>
                <w:szCs w:val="20"/>
              </w:rPr>
              <w:t>CEO</w:t>
            </w:r>
          </w:p>
        </w:tc>
        <w:tc>
          <w:tcPr>
            <w:tcW w:w="2109" w:type="dxa"/>
            <w:tcBorders>
              <w:top w:val="single" w:sz="8" w:space="0" w:color="808080"/>
              <w:bottom w:val="single" w:sz="4" w:space="0" w:color="808080"/>
            </w:tcBorders>
            <w:shd w:val="clear" w:color="auto" w:fill="D9D9D9"/>
            <w:vAlign w:val="center"/>
          </w:tcPr>
          <w:p w14:paraId="04E59506" w14:textId="77777777" w:rsidR="002D6926" w:rsidRPr="002D0E0B" w:rsidRDefault="002D6926" w:rsidP="00A47C26">
            <w:pPr>
              <w:spacing w:line="240" w:lineRule="auto"/>
              <w:contextualSpacing/>
              <w:jc w:val="both"/>
              <w:rPr>
                <w:rFonts w:cstheme="minorHAnsi"/>
                <w:b/>
                <w:sz w:val="20"/>
                <w:szCs w:val="20"/>
              </w:rPr>
            </w:pPr>
            <w:r w:rsidRPr="002D0E0B">
              <w:rPr>
                <w:rFonts w:cstheme="minorHAnsi"/>
                <w:b/>
                <w:sz w:val="20"/>
                <w:szCs w:val="20"/>
              </w:rPr>
              <w:t>Owner Business Unit:</w:t>
            </w:r>
          </w:p>
        </w:tc>
        <w:tc>
          <w:tcPr>
            <w:tcW w:w="2876" w:type="dxa"/>
            <w:tcBorders>
              <w:top w:val="single" w:sz="8" w:space="0" w:color="808080"/>
              <w:bottom w:val="single" w:sz="4" w:space="0" w:color="808080"/>
              <w:right w:val="single" w:sz="4" w:space="0" w:color="808080"/>
            </w:tcBorders>
            <w:shd w:val="clear" w:color="auto" w:fill="auto"/>
            <w:vAlign w:val="center"/>
          </w:tcPr>
          <w:p w14:paraId="7692AD9D" w14:textId="77777777" w:rsidR="002D6926" w:rsidRPr="002D0E0B" w:rsidRDefault="002D6926" w:rsidP="00A47C26">
            <w:pPr>
              <w:spacing w:line="240" w:lineRule="auto"/>
              <w:contextualSpacing/>
              <w:jc w:val="both"/>
              <w:rPr>
                <w:rFonts w:cstheme="minorHAnsi"/>
                <w:b/>
                <w:sz w:val="20"/>
                <w:szCs w:val="20"/>
              </w:rPr>
            </w:pPr>
            <w:r w:rsidRPr="002D0E0B">
              <w:rPr>
                <w:rFonts w:cstheme="minorHAnsi"/>
                <w:sz w:val="20"/>
                <w:szCs w:val="20"/>
              </w:rPr>
              <w:t>Office of the CEO</w:t>
            </w:r>
          </w:p>
        </w:tc>
      </w:tr>
      <w:tr w:rsidR="002D6926" w:rsidRPr="002D0E0B" w14:paraId="2C4977FB" w14:textId="77777777" w:rsidTr="00A47C26">
        <w:tc>
          <w:tcPr>
            <w:tcW w:w="1134" w:type="dxa"/>
            <w:tcBorders>
              <w:top w:val="single" w:sz="4" w:space="0" w:color="808080"/>
              <w:left w:val="single" w:sz="4" w:space="0" w:color="808080"/>
              <w:bottom w:val="single" w:sz="8" w:space="0" w:color="808080"/>
            </w:tcBorders>
            <w:shd w:val="clear" w:color="auto" w:fill="D9D9D9"/>
            <w:vAlign w:val="center"/>
          </w:tcPr>
          <w:p w14:paraId="5A5329CE" w14:textId="77777777" w:rsidR="002D6926" w:rsidRPr="002D0E0B" w:rsidRDefault="002D6926" w:rsidP="00A47C26">
            <w:pPr>
              <w:spacing w:line="240" w:lineRule="auto"/>
              <w:contextualSpacing/>
              <w:jc w:val="both"/>
              <w:rPr>
                <w:rFonts w:cstheme="minorHAnsi"/>
                <w:b/>
                <w:sz w:val="20"/>
                <w:szCs w:val="20"/>
              </w:rPr>
            </w:pPr>
            <w:r w:rsidRPr="002D0E0B">
              <w:rPr>
                <w:rFonts w:cstheme="minorHAnsi"/>
                <w:b/>
                <w:sz w:val="20"/>
                <w:szCs w:val="20"/>
              </w:rPr>
              <w:t>Reviewer:</w:t>
            </w:r>
          </w:p>
        </w:tc>
        <w:tc>
          <w:tcPr>
            <w:tcW w:w="3540" w:type="dxa"/>
            <w:gridSpan w:val="2"/>
            <w:tcBorders>
              <w:top w:val="single" w:sz="4" w:space="0" w:color="808080"/>
              <w:bottom w:val="single" w:sz="8" w:space="0" w:color="808080"/>
            </w:tcBorders>
            <w:shd w:val="clear" w:color="auto" w:fill="auto"/>
            <w:vAlign w:val="center"/>
          </w:tcPr>
          <w:p w14:paraId="43779DAD" w14:textId="77777777" w:rsidR="002D6926" w:rsidRPr="002D0E0B" w:rsidRDefault="002D6926" w:rsidP="00A47C26">
            <w:pPr>
              <w:spacing w:line="240" w:lineRule="auto"/>
              <w:contextualSpacing/>
              <w:jc w:val="both"/>
              <w:rPr>
                <w:rFonts w:cstheme="minorHAnsi"/>
                <w:b/>
                <w:sz w:val="20"/>
                <w:szCs w:val="20"/>
              </w:rPr>
            </w:pPr>
          </w:p>
        </w:tc>
        <w:tc>
          <w:tcPr>
            <w:tcW w:w="2109" w:type="dxa"/>
            <w:tcBorders>
              <w:top w:val="single" w:sz="4" w:space="0" w:color="808080"/>
              <w:bottom w:val="single" w:sz="8" w:space="0" w:color="808080"/>
            </w:tcBorders>
            <w:shd w:val="clear" w:color="auto" w:fill="D9D9D9"/>
            <w:vAlign w:val="center"/>
          </w:tcPr>
          <w:p w14:paraId="5EE8C785" w14:textId="77777777" w:rsidR="002D6926" w:rsidRPr="002D0E0B" w:rsidRDefault="002D6926" w:rsidP="00A47C26">
            <w:pPr>
              <w:spacing w:line="240" w:lineRule="auto"/>
              <w:contextualSpacing/>
              <w:jc w:val="both"/>
              <w:rPr>
                <w:rFonts w:cstheme="minorHAnsi"/>
                <w:b/>
                <w:sz w:val="20"/>
                <w:szCs w:val="20"/>
              </w:rPr>
            </w:pPr>
            <w:r w:rsidRPr="002D0E0B">
              <w:rPr>
                <w:rFonts w:cstheme="minorHAnsi"/>
                <w:b/>
                <w:sz w:val="20"/>
                <w:szCs w:val="20"/>
              </w:rPr>
              <w:t>Decision Maker:</w:t>
            </w:r>
          </w:p>
        </w:tc>
        <w:tc>
          <w:tcPr>
            <w:tcW w:w="2876" w:type="dxa"/>
            <w:tcBorders>
              <w:top w:val="single" w:sz="4" w:space="0" w:color="808080"/>
              <w:bottom w:val="single" w:sz="8" w:space="0" w:color="808080"/>
              <w:right w:val="single" w:sz="4" w:space="0" w:color="808080"/>
            </w:tcBorders>
            <w:shd w:val="clear" w:color="auto" w:fill="auto"/>
            <w:vAlign w:val="center"/>
          </w:tcPr>
          <w:p w14:paraId="233B12B5" w14:textId="77777777" w:rsidR="002D6926" w:rsidRPr="002D0E0B" w:rsidRDefault="002D6926" w:rsidP="00A47C26">
            <w:pPr>
              <w:spacing w:line="240" w:lineRule="auto"/>
              <w:contextualSpacing/>
              <w:jc w:val="both"/>
              <w:rPr>
                <w:rFonts w:cstheme="minorHAnsi"/>
                <w:b/>
                <w:sz w:val="20"/>
                <w:szCs w:val="20"/>
              </w:rPr>
            </w:pPr>
            <w:r w:rsidRPr="002D0E0B">
              <w:rPr>
                <w:rFonts w:cstheme="minorHAnsi"/>
                <w:sz w:val="20"/>
                <w:szCs w:val="20"/>
              </w:rPr>
              <w:t>Council</w:t>
            </w:r>
          </w:p>
        </w:tc>
      </w:tr>
      <w:tr w:rsidR="002D6926" w:rsidRPr="002D0E0B" w14:paraId="4379FA2A" w14:textId="77777777" w:rsidTr="00A47C26">
        <w:trPr>
          <w:trHeight w:val="150"/>
        </w:trPr>
        <w:tc>
          <w:tcPr>
            <w:tcW w:w="9659" w:type="dxa"/>
            <w:gridSpan w:val="5"/>
            <w:tcBorders>
              <w:top w:val="single" w:sz="8" w:space="0" w:color="808080"/>
              <w:left w:val="single" w:sz="8" w:space="0" w:color="808080"/>
              <w:bottom w:val="single" w:sz="8" w:space="0" w:color="808080"/>
              <w:right w:val="single" w:sz="8" w:space="0" w:color="808080"/>
            </w:tcBorders>
            <w:shd w:val="clear" w:color="auto" w:fill="D9D9D9"/>
            <w:vAlign w:val="center"/>
          </w:tcPr>
          <w:p w14:paraId="198CA3F0" w14:textId="77777777" w:rsidR="002D6926" w:rsidRPr="002D0E0B" w:rsidRDefault="002D6926" w:rsidP="00A47C26">
            <w:pPr>
              <w:spacing w:line="240" w:lineRule="auto"/>
              <w:contextualSpacing/>
              <w:jc w:val="both"/>
              <w:rPr>
                <w:rFonts w:cstheme="minorHAnsi"/>
                <w:b/>
                <w:sz w:val="20"/>
                <w:szCs w:val="20"/>
              </w:rPr>
            </w:pPr>
            <w:r w:rsidRPr="002D0E0B">
              <w:rPr>
                <w:rFonts w:cstheme="minorHAnsi"/>
                <w:b/>
                <w:sz w:val="20"/>
                <w:szCs w:val="20"/>
              </w:rPr>
              <w:t>Compliance Requirements:</w:t>
            </w:r>
          </w:p>
        </w:tc>
      </w:tr>
      <w:tr w:rsidR="002D6926" w:rsidRPr="002D0E0B" w14:paraId="5D162DCB" w14:textId="77777777" w:rsidTr="00A47C26">
        <w:tc>
          <w:tcPr>
            <w:tcW w:w="1578" w:type="dxa"/>
            <w:gridSpan w:val="2"/>
            <w:tcBorders>
              <w:top w:val="single" w:sz="8" w:space="0" w:color="808080"/>
              <w:left w:val="single" w:sz="4" w:space="0" w:color="808080"/>
              <w:bottom w:val="single" w:sz="4" w:space="0" w:color="808080"/>
            </w:tcBorders>
            <w:shd w:val="clear" w:color="auto" w:fill="D9D9D9"/>
          </w:tcPr>
          <w:p w14:paraId="397EFE24" w14:textId="77777777" w:rsidR="002D6926" w:rsidRPr="002D0E0B" w:rsidRDefault="002D6926" w:rsidP="00A47C26">
            <w:pPr>
              <w:spacing w:line="240" w:lineRule="auto"/>
              <w:contextualSpacing/>
              <w:jc w:val="both"/>
              <w:rPr>
                <w:rFonts w:cstheme="minorHAnsi"/>
                <w:b/>
                <w:sz w:val="20"/>
                <w:szCs w:val="20"/>
              </w:rPr>
            </w:pPr>
            <w:r w:rsidRPr="002D0E0B">
              <w:rPr>
                <w:rFonts w:cstheme="minorHAnsi"/>
                <w:b/>
                <w:sz w:val="20"/>
                <w:szCs w:val="20"/>
              </w:rPr>
              <w:t>Legislation:</w:t>
            </w:r>
          </w:p>
        </w:tc>
        <w:tc>
          <w:tcPr>
            <w:tcW w:w="8081" w:type="dxa"/>
            <w:gridSpan w:val="3"/>
            <w:tcBorders>
              <w:top w:val="single" w:sz="8" w:space="0" w:color="808080"/>
              <w:bottom w:val="single" w:sz="4" w:space="0" w:color="808080"/>
              <w:right w:val="single" w:sz="4" w:space="0" w:color="808080"/>
            </w:tcBorders>
            <w:shd w:val="clear" w:color="auto" w:fill="auto"/>
          </w:tcPr>
          <w:p w14:paraId="57E87F99" w14:textId="77777777" w:rsidR="002D6926" w:rsidRPr="002D0E0B" w:rsidRDefault="002D6926" w:rsidP="00A47C26">
            <w:pPr>
              <w:spacing w:line="240" w:lineRule="auto"/>
              <w:ind w:left="318" w:hanging="318"/>
              <w:contextualSpacing/>
              <w:jc w:val="both"/>
              <w:rPr>
                <w:rStyle w:val="Hyperlink"/>
                <w:rFonts w:cstheme="minorHAnsi"/>
                <w:sz w:val="20"/>
                <w:szCs w:val="20"/>
              </w:rPr>
            </w:pPr>
            <w:r w:rsidRPr="002D0E0B">
              <w:rPr>
                <w:rFonts w:cstheme="minorHAnsi"/>
                <w:sz w:val="20"/>
                <w:szCs w:val="20"/>
              </w:rPr>
              <w:fldChar w:fldCharType="begin"/>
            </w:r>
            <w:r w:rsidRPr="002D0E0B">
              <w:rPr>
                <w:rFonts w:cstheme="minorHAnsi"/>
                <w:sz w:val="20"/>
                <w:szCs w:val="20"/>
              </w:rPr>
              <w:instrText xml:space="preserve"> HYPERLINK "https://www.legislation.wa.gov.au/legislation/statutes.nsf/law_a465.html" </w:instrText>
            </w:r>
            <w:r w:rsidRPr="002D0E0B">
              <w:rPr>
                <w:rFonts w:cstheme="minorHAnsi"/>
                <w:sz w:val="20"/>
                <w:szCs w:val="20"/>
              </w:rPr>
            </w:r>
            <w:r w:rsidRPr="002D0E0B">
              <w:rPr>
                <w:rFonts w:cstheme="minorHAnsi"/>
                <w:sz w:val="20"/>
                <w:szCs w:val="20"/>
              </w:rPr>
              <w:fldChar w:fldCharType="separate"/>
            </w:r>
            <w:r w:rsidRPr="002D0E0B">
              <w:rPr>
                <w:rStyle w:val="Hyperlink"/>
                <w:rFonts w:cstheme="minorHAnsi"/>
                <w:sz w:val="20"/>
                <w:szCs w:val="20"/>
              </w:rPr>
              <w:t>Local Government Act 1995</w:t>
            </w:r>
          </w:p>
          <w:p w14:paraId="0D73E63A" w14:textId="77777777" w:rsidR="002D6926" w:rsidRPr="002D0E0B" w:rsidRDefault="002D6926" w:rsidP="00A47C26">
            <w:pPr>
              <w:spacing w:line="240" w:lineRule="auto"/>
              <w:ind w:left="318" w:hanging="318"/>
              <w:contextualSpacing/>
              <w:jc w:val="both"/>
              <w:rPr>
                <w:rFonts w:cstheme="minorHAnsi"/>
                <w:sz w:val="20"/>
                <w:szCs w:val="20"/>
              </w:rPr>
            </w:pPr>
            <w:r w:rsidRPr="002D0E0B">
              <w:rPr>
                <w:rFonts w:cstheme="minorHAnsi"/>
                <w:sz w:val="20"/>
                <w:szCs w:val="20"/>
              </w:rPr>
              <w:fldChar w:fldCharType="end"/>
            </w:r>
            <w:hyperlink r:id="rId35" w:history="1">
              <w:r w:rsidRPr="002D0E0B">
                <w:rPr>
                  <w:rStyle w:val="Hyperlink"/>
                  <w:rFonts w:cstheme="minorHAnsi"/>
                  <w:sz w:val="20"/>
                  <w:szCs w:val="20"/>
                </w:rPr>
                <w:t>Local Government (Model Code of Conduct) Regulations 2021</w:t>
              </w:r>
            </w:hyperlink>
          </w:p>
          <w:p w14:paraId="32540A26" w14:textId="77777777" w:rsidR="002D6926" w:rsidRPr="002D0E0B" w:rsidRDefault="002D6926" w:rsidP="00A47C26">
            <w:pPr>
              <w:spacing w:line="240" w:lineRule="auto"/>
              <w:contextualSpacing/>
              <w:jc w:val="both"/>
              <w:rPr>
                <w:rFonts w:cstheme="minorHAnsi"/>
                <w:sz w:val="20"/>
                <w:szCs w:val="20"/>
              </w:rPr>
            </w:pPr>
          </w:p>
        </w:tc>
      </w:tr>
      <w:tr w:rsidR="002D6926" w:rsidRPr="002D0E0B" w14:paraId="5CDCA83A" w14:textId="77777777" w:rsidTr="00A47C26">
        <w:tc>
          <w:tcPr>
            <w:tcW w:w="1578" w:type="dxa"/>
            <w:gridSpan w:val="2"/>
            <w:tcBorders>
              <w:top w:val="single" w:sz="4" w:space="0" w:color="808080"/>
              <w:left w:val="single" w:sz="4" w:space="0" w:color="808080"/>
              <w:bottom w:val="single" w:sz="4" w:space="0" w:color="808080"/>
            </w:tcBorders>
            <w:shd w:val="clear" w:color="auto" w:fill="D9D9D9"/>
          </w:tcPr>
          <w:p w14:paraId="36E7A45B" w14:textId="77777777" w:rsidR="002D6926" w:rsidRPr="002D0E0B" w:rsidRDefault="002D6926" w:rsidP="00A47C26">
            <w:pPr>
              <w:spacing w:line="240" w:lineRule="auto"/>
              <w:contextualSpacing/>
              <w:jc w:val="both"/>
              <w:rPr>
                <w:rFonts w:cstheme="minorHAnsi"/>
                <w:b/>
                <w:sz w:val="20"/>
                <w:szCs w:val="20"/>
              </w:rPr>
            </w:pPr>
            <w:r w:rsidRPr="002D0E0B">
              <w:rPr>
                <w:rFonts w:cstheme="minorHAnsi"/>
                <w:b/>
                <w:sz w:val="20"/>
                <w:szCs w:val="20"/>
              </w:rPr>
              <w:t>Other:</w:t>
            </w:r>
          </w:p>
        </w:tc>
        <w:tc>
          <w:tcPr>
            <w:tcW w:w="8081" w:type="dxa"/>
            <w:gridSpan w:val="3"/>
            <w:tcBorders>
              <w:top w:val="single" w:sz="4" w:space="0" w:color="808080"/>
              <w:bottom w:val="single" w:sz="4" w:space="0" w:color="808080"/>
              <w:right w:val="single" w:sz="4" w:space="0" w:color="808080"/>
            </w:tcBorders>
            <w:shd w:val="clear" w:color="auto" w:fill="auto"/>
          </w:tcPr>
          <w:p w14:paraId="6F990834" w14:textId="77777777" w:rsidR="002D6926" w:rsidRPr="002D0E0B" w:rsidRDefault="002D6926" w:rsidP="00A47C26">
            <w:pPr>
              <w:spacing w:line="240" w:lineRule="auto"/>
              <w:ind w:left="318" w:hanging="318"/>
              <w:contextualSpacing/>
              <w:jc w:val="both"/>
              <w:rPr>
                <w:rFonts w:cstheme="minorHAnsi"/>
                <w:sz w:val="20"/>
                <w:szCs w:val="20"/>
              </w:rPr>
            </w:pPr>
          </w:p>
        </w:tc>
      </w:tr>
      <w:tr w:rsidR="002D6926" w:rsidRPr="002D0E0B" w14:paraId="46D92B87" w14:textId="77777777" w:rsidTr="00A47C26">
        <w:tc>
          <w:tcPr>
            <w:tcW w:w="1578" w:type="dxa"/>
            <w:gridSpan w:val="2"/>
            <w:tcBorders>
              <w:top w:val="single" w:sz="4" w:space="0" w:color="808080"/>
              <w:left w:val="single" w:sz="4" w:space="0" w:color="808080"/>
              <w:bottom w:val="single" w:sz="8" w:space="0" w:color="808080"/>
            </w:tcBorders>
            <w:shd w:val="clear" w:color="auto" w:fill="D9D9D9"/>
          </w:tcPr>
          <w:p w14:paraId="182EA44C" w14:textId="77777777" w:rsidR="002D6926" w:rsidRPr="002D0E0B" w:rsidRDefault="002D6926" w:rsidP="00A47C26">
            <w:pPr>
              <w:spacing w:line="240" w:lineRule="auto"/>
              <w:contextualSpacing/>
              <w:jc w:val="both"/>
              <w:rPr>
                <w:rFonts w:cstheme="minorHAnsi"/>
                <w:b/>
                <w:sz w:val="20"/>
                <w:szCs w:val="20"/>
              </w:rPr>
            </w:pPr>
            <w:r w:rsidRPr="002D0E0B">
              <w:rPr>
                <w:rFonts w:cstheme="minorHAnsi"/>
                <w:b/>
                <w:sz w:val="20"/>
                <w:szCs w:val="20"/>
              </w:rPr>
              <w:t>Organisational:</w:t>
            </w:r>
          </w:p>
        </w:tc>
        <w:tc>
          <w:tcPr>
            <w:tcW w:w="8081" w:type="dxa"/>
            <w:gridSpan w:val="3"/>
            <w:tcBorders>
              <w:top w:val="single" w:sz="4" w:space="0" w:color="808080"/>
              <w:bottom w:val="single" w:sz="8" w:space="0" w:color="808080"/>
              <w:right w:val="single" w:sz="4" w:space="0" w:color="808080"/>
            </w:tcBorders>
            <w:shd w:val="clear" w:color="auto" w:fill="auto"/>
          </w:tcPr>
          <w:p w14:paraId="5061A850" w14:textId="77777777" w:rsidR="002D6926" w:rsidRPr="002D0E0B" w:rsidRDefault="002D6926" w:rsidP="00A47C26">
            <w:pPr>
              <w:spacing w:line="240" w:lineRule="auto"/>
              <w:contextualSpacing/>
              <w:jc w:val="both"/>
              <w:rPr>
                <w:rFonts w:cstheme="minorHAnsi"/>
                <w:sz w:val="20"/>
                <w:szCs w:val="20"/>
              </w:rPr>
            </w:pPr>
            <w:r w:rsidRPr="002D0E0B">
              <w:rPr>
                <w:rFonts w:cstheme="minorHAnsi"/>
                <w:sz w:val="20"/>
                <w:szCs w:val="20"/>
              </w:rPr>
              <w:t>Council Policy 1.1.10 Code of Conduct Behaviour Complaints Management</w:t>
            </w:r>
          </w:p>
          <w:p w14:paraId="4D82E173" w14:textId="77777777" w:rsidR="002D6926" w:rsidRPr="002D0E0B" w:rsidRDefault="002D6926" w:rsidP="00A47C26">
            <w:pPr>
              <w:spacing w:line="240" w:lineRule="auto"/>
              <w:contextualSpacing/>
              <w:jc w:val="both"/>
              <w:rPr>
                <w:rFonts w:cstheme="minorHAnsi"/>
                <w:sz w:val="20"/>
                <w:szCs w:val="20"/>
              </w:rPr>
            </w:pPr>
            <w:r w:rsidRPr="002D0E0B">
              <w:rPr>
                <w:rFonts w:cstheme="minorHAnsi"/>
                <w:sz w:val="20"/>
                <w:szCs w:val="20"/>
              </w:rPr>
              <w:t>Delegated Authority DA84 Behaviour Complaints Committee</w:t>
            </w:r>
          </w:p>
          <w:p w14:paraId="310FD132" w14:textId="77777777" w:rsidR="002D6926" w:rsidRPr="002D0E0B" w:rsidRDefault="002D6926" w:rsidP="00A47C26">
            <w:pPr>
              <w:spacing w:line="240" w:lineRule="auto"/>
              <w:contextualSpacing/>
              <w:jc w:val="both"/>
              <w:rPr>
                <w:rFonts w:cstheme="minorHAnsi"/>
                <w:sz w:val="20"/>
                <w:szCs w:val="20"/>
              </w:rPr>
            </w:pPr>
          </w:p>
        </w:tc>
      </w:tr>
      <w:bookmarkEnd w:id="109"/>
    </w:tbl>
    <w:p w14:paraId="1467B502" w14:textId="77777777" w:rsidR="002D6926" w:rsidRDefault="002D6926" w:rsidP="002D6926"/>
    <w:p w14:paraId="6997D4D5" w14:textId="77777777" w:rsidR="002D6926" w:rsidRDefault="002D6926" w:rsidP="002D6926">
      <w:pPr>
        <w:pStyle w:val="Bulletbody"/>
        <w:numPr>
          <w:ilvl w:val="0"/>
          <w:numId w:val="0"/>
        </w:numPr>
        <w:rPr>
          <w:rFonts w:asciiTheme="minorHAnsi" w:hAnsiTheme="minorHAnsi" w:cstheme="minorHAnsi"/>
        </w:rPr>
        <w:sectPr w:rsidR="002D6926" w:rsidSect="00D16A1E">
          <w:footerReference w:type="default" r:id="rId36"/>
          <w:footerReference w:type="first" r:id="rId37"/>
          <w:pgSz w:w="11906" w:h="16838"/>
          <w:pgMar w:top="709" w:right="1440" w:bottom="1418" w:left="1440" w:header="622" w:footer="0" w:gutter="0"/>
          <w:pgNumType w:start="1"/>
          <w:cols w:space="708"/>
          <w:titlePg/>
          <w:docGrid w:linePitch="360"/>
        </w:sectPr>
      </w:pPr>
    </w:p>
    <w:p w14:paraId="7762692F" w14:textId="77777777" w:rsidR="000C29DC" w:rsidRDefault="000C29DC" w:rsidP="000C29DC">
      <w:pPr>
        <w:pStyle w:val="Title"/>
        <w:pBdr>
          <w:bottom w:val="none" w:sz="0" w:space="0" w:color="auto"/>
        </w:pBdr>
      </w:pPr>
    </w:p>
    <w:p w14:paraId="7F7C5216" w14:textId="3A87C18A" w:rsidR="000C29DC" w:rsidRPr="005B06C1" w:rsidRDefault="000C29DC" w:rsidP="000C29DC">
      <w:pPr>
        <w:pStyle w:val="Title"/>
        <w:pBdr>
          <w:bottom w:val="none" w:sz="0" w:space="0" w:color="auto"/>
        </w:pBdr>
        <w:jc w:val="center"/>
        <w:rPr>
          <w:lang w:eastAsia="zh-CN"/>
        </w:rPr>
      </w:pPr>
      <w:r w:rsidRPr="00EE1DBE">
        <w:rPr>
          <w:noProof/>
          <w:lang w:eastAsia="en-AU"/>
        </w:rPr>
        <w:drawing>
          <wp:inline distT="0" distB="0" distL="0" distR="0" wp14:anchorId="18B133FA" wp14:editId="6123BFFB">
            <wp:extent cx="2217906" cy="845465"/>
            <wp:effectExtent l="0" t="0" r="0" b="0"/>
            <wp:docPr id="457" name="Picture 457" descr="Y:\Office of CEO\ProjectCoordinator\FromDropbox\TofEF_alternate logo\colour\JPEG\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ProjectCoordinator\FromDropbox\TofEF_alternate logo\colour\JPEG\Town of East Fremantle_Logo_Landscape_Colour [HIGHRE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32966" cy="851206"/>
                    </a:xfrm>
                    <a:prstGeom prst="rect">
                      <a:avLst/>
                    </a:prstGeom>
                    <a:noFill/>
                    <a:ln>
                      <a:noFill/>
                    </a:ln>
                  </pic:spPr>
                </pic:pic>
              </a:graphicData>
            </a:graphic>
          </wp:inline>
        </w:drawing>
      </w:r>
    </w:p>
    <w:p w14:paraId="6726F3AC" w14:textId="59CB50A0" w:rsidR="000C29DC" w:rsidRDefault="000C29DC" w:rsidP="000C29DC">
      <w:pPr>
        <w:rPr>
          <w:rFonts w:eastAsiaTheme="majorEastAsia"/>
          <w:lang w:eastAsia="zh-CN"/>
        </w:rPr>
      </w:pPr>
    </w:p>
    <w:p w14:paraId="67E0EA42" w14:textId="77777777" w:rsidR="000C29DC" w:rsidRPr="00051FDC" w:rsidRDefault="000C29DC" w:rsidP="000C29DC">
      <w:pPr>
        <w:rPr>
          <w:rFonts w:eastAsiaTheme="majorEastAsia"/>
          <w:lang w:eastAsia="zh-CN"/>
        </w:rPr>
      </w:pPr>
    </w:p>
    <w:p w14:paraId="5C5EFBED" w14:textId="77777777" w:rsidR="000C29DC" w:rsidRPr="00051FDC" w:rsidRDefault="000C29DC" w:rsidP="000C29DC">
      <w:pPr>
        <w:pStyle w:val="Title"/>
        <w:pBdr>
          <w:bottom w:val="none" w:sz="0" w:space="0" w:color="auto"/>
        </w:pBdr>
        <w:spacing w:after="120"/>
        <w:contextualSpacing w:val="0"/>
        <w:jc w:val="center"/>
        <w:rPr>
          <w:rStyle w:val="titlesubChar"/>
          <w:color w:val="365F91" w:themeColor="accent1" w:themeShade="BF"/>
        </w:rPr>
      </w:pPr>
      <w:r w:rsidRPr="00051FDC">
        <w:rPr>
          <w:rStyle w:val="titlesubChar"/>
          <w:color w:val="365F91" w:themeColor="accent1" w:themeShade="BF"/>
        </w:rPr>
        <w:t>Behaviour Complaint Form</w:t>
      </w:r>
    </w:p>
    <w:p w14:paraId="42F3A942" w14:textId="77777777" w:rsidR="000C29DC" w:rsidRPr="00BA6F00" w:rsidRDefault="000C29DC" w:rsidP="000C29DC">
      <w:pPr>
        <w:pStyle w:val="Title"/>
        <w:pBdr>
          <w:bottom w:val="none" w:sz="0" w:space="0" w:color="auto"/>
        </w:pBdr>
        <w:contextualSpacing w:val="0"/>
        <w:jc w:val="center"/>
        <w:rPr>
          <w:sz w:val="36"/>
          <w:szCs w:val="60"/>
        </w:rPr>
      </w:pPr>
      <w:r w:rsidRPr="00BA6F00">
        <w:rPr>
          <w:sz w:val="36"/>
          <w:szCs w:val="60"/>
        </w:rPr>
        <w:t>Division 3 of the Code of Conduct for Council Members, Committee Members and Candidates</w:t>
      </w:r>
    </w:p>
    <w:p w14:paraId="0CC5BA4E" w14:textId="77777777" w:rsidR="002D6926" w:rsidRPr="00AD601F" w:rsidRDefault="002D6926" w:rsidP="002D6926">
      <w:pPr>
        <w:rPr>
          <w:color w:val="FF0000"/>
          <w:lang w:eastAsia="zh-CN"/>
        </w:rPr>
      </w:pPr>
    </w:p>
    <w:p w14:paraId="1888EE9F" w14:textId="77777777" w:rsidR="002D6926" w:rsidRDefault="002D6926" w:rsidP="002D6926">
      <w:pPr>
        <w:rPr>
          <w:rFonts w:cs="Arial"/>
          <w:szCs w:val="24"/>
        </w:rPr>
      </w:pPr>
    </w:p>
    <w:p w14:paraId="58370AA6" w14:textId="77777777" w:rsidR="002D6926" w:rsidRDefault="002D6926" w:rsidP="002D6926">
      <w:pPr>
        <w:jc w:val="center"/>
        <w:rPr>
          <w:rFonts w:cs="Arial"/>
          <w:szCs w:val="24"/>
        </w:rPr>
        <w:sectPr w:rsidR="002D6926" w:rsidSect="006B46F0">
          <w:headerReference w:type="first" r:id="rId39"/>
          <w:pgSz w:w="11906" w:h="16838" w:code="9"/>
          <w:pgMar w:top="1440" w:right="991" w:bottom="851" w:left="1440" w:header="720" w:footer="720" w:gutter="0"/>
          <w:cols w:space="720"/>
        </w:sect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7580"/>
      </w:tblGrid>
      <w:tr w:rsidR="002D6926" w:rsidRPr="005B06C1" w14:paraId="65B32F9F" w14:textId="77777777" w:rsidTr="00A47C26">
        <w:tc>
          <w:tcPr>
            <w:tcW w:w="2059" w:type="dxa"/>
            <w:vAlign w:val="center"/>
          </w:tcPr>
          <w:p w14:paraId="52A067AF" w14:textId="77777777" w:rsidR="002D6926" w:rsidRPr="005B06C1" w:rsidRDefault="002D6926" w:rsidP="00A47C26">
            <w:pPr>
              <w:rPr>
                <w:rFonts w:cstheme="minorHAnsi"/>
                <w:b/>
                <w:color w:val="244061" w:themeColor="accent1" w:themeShade="80"/>
                <w:spacing w:val="20"/>
                <w:sz w:val="28"/>
                <w:szCs w:val="24"/>
              </w:rPr>
            </w:pPr>
            <w:r w:rsidRPr="005B06C1">
              <w:rPr>
                <w:rFonts w:cstheme="minorHAnsi"/>
                <w:b/>
                <w:color w:val="244061" w:themeColor="accent1" w:themeShade="80"/>
                <w:spacing w:val="20"/>
                <w:sz w:val="28"/>
                <w:szCs w:val="24"/>
              </w:rPr>
              <w:lastRenderedPageBreak/>
              <w:t>Instructions for:</w:t>
            </w:r>
          </w:p>
        </w:tc>
        <w:tc>
          <w:tcPr>
            <w:tcW w:w="7580" w:type="dxa"/>
          </w:tcPr>
          <w:p w14:paraId="6EB67532" w14:textId="77777777" w:rsidR="002D6926" w:rsidRPr="005B06C1" w:rsidRDefault="002D6926" w:rsidP="00A47C26">
            <w:pPr>
              <w:rPr>
                <w:rFonts w:cstheme="minorHAnsi"/>
                <w:b/>
                <w:color w:val="244061" w:themeColor="accent1" w:themeShade="80"/>
                <w:spacing w:val="20"/>
                <w:sz w:val="26"/>
                <w:szCs w:val="24"/>
              </w:rPr>
            </w:pPr>
          </w:p>
          <w:p w14:paraId="68BAEA16" w14:textId="77777777" w:rsidR="002D6926" w:rsidRPr="005B06C1" w:rsidRDefault="002D6926" w:rsidP="00A47C26">
            <w:pPr>
              <w:jc w:val="both"/>
              <w:rPr>
                <w:rFonts w:cstheme="minorHAnsi"/>
                <w:b/>
                <w:bCs/>
                <w:sz w:val="26"/>
                <w:szCs w:val="24"/>
              </w:rPr>
            </w:pPr>
            <w:r w:rsidRPr="005B06C1">
              <w:rPr>
                <w:rFonts w:cstheme="minorHAnsi"/>
                <w:b/>
                <w:color w:val="244061" w:themeColor="accent1" w:themeShade="80"/>
                <w:spacing w:val="20"/>
                <w:sz w:val="26"/>
                <w:szCs w:val="24"/>
              </w:rPr>
              <w:t>Making a complaint about an alleged breach of the Town of East Fremantle Code of Conduct for Council Members, Committee Members and Candidates</w:t>
            </w:r>
          </w:p>
        </w:tc>
      </w:tr>
    </w:tbl>
    <w:p w14:paraId="2636DA9A" w14:textId="77777777" w:rsidR="002D6926" w:rsidRPr="005B06C1" w:rsidRDefault="002D6926" w:rsidP="002D6926">
      <w:pPr>
        <w:rPr>
          <w:rFonts w:cstheme="minorHAnsi"/>
          <w:szCs w:val="24"/>
        </w:rPr>
      </w:pPr>
    </w:p>
    <w:p w14:paraId="216D18BE" w14:textId="77777777" w:rsidR="002D6926" w:rsidRPr="005B06C1" w:rsidRDefault="002D6926" w:rsidP="002D6926">
      <w:pPr>
        <w:spacing w:before="240" w:after="120"/>
        <w:jc w:val="both"/>
        <w:rPr>
          <w:rFonts w:cstheme="minorHAnsi"/>
          <w:b/>
          <w:color w:val="244061" w:themeColor="accent1" w:themeShade="80"/>
          <w:spacing w:val="20"/>
          <w:sz w:val="24"/>
          <w:szCs w:val="24"/>
        </w:rPr>
      </w:pPr>
      <w:r w:rsidRPr="005B06C1">
        <w:rPr>
          <w:rFonts w:cstheme="minorHAnsi"/>
          <w:b/>
          <w:color w:val="244061" w:themeColor="accent1" w:themeShade="80"/>
          <w:spacing w:val="20"/>
          <w:sz w:val="24"/>
          <w:szCs w:val="24"/>
        </w:rPr>
        <w:t>Behaviour Complaint</w:t>
      </w:r>
    </w:p>
    <w:p w14:paraId="715AFFD8" w14:textId="77777777" w:rsidR="002D6926" w:rsidRPr="005B06C1" w:rsidRDefault="002D6926" w:rsidP="002D6926">
      <w:pPr>
        <w:jc w:val="both"/>
        <w:rPr>
          <w:rFonts w:cstheme="minorHAnsi"/>
          <w:szCs w:val="24"/>
        </w:rPr>
      </w:pPr>
      <w:r w:rsidRPr="005B06C1">
        <w:rPr>
          <w:rFonts w:cstheme="minorHAnsi"/>
          <w:szCs w:val="24"/>
        </w:rPr>
        <w:t xml:space="preserve">Please read the Town of East Fremantle’s Code of Conduct Behaviour Complaints Policy on our website </w:t>
      </w:r>
      <w:hyperlink r:id="rId40" w:history="1">
        <w:r w:rsidRPr="005B06C1">
          <w:rPr>
            <w:rStyle w:val="Hyperlink"/>
            <w:rFonts w:cstheme="minorHAnsi"/>
            <w:szCs w:val="24"/>
          </w:rPr>
          <w:t>www.eastfremantle.wa.gov.au</w:t>
        </w:r>
      </w:hyperlink>
      <w:r w:rsidRPr="005B06C1">
        <w:rPr>
          <w:rFonts w:cstheme="minorHAnsi"/>
          <w:szCs w:val="24"/>
        </w:rPr>
        <w:t xml:space="preserve">  before submitting a complaint. This Policy details:</w:t>
      </w:r>
    </w:p>
    <w:p w14:paraId="4B1604F8" w14:textId="77777777" w:rsidR="002D6926" w:rsidRPr="005B06C1" w:rsidRDefault="002D6926" w:rsidP="002A3889">
      <w:pPr>
        <w:pStyle w:val="ListParagraph"/>
        <w:numPr>
          <w:ilvl w:val="0"/>
          <w:numId w:val="479"/>
        </w:numPr>
        <w:spacing w:before="120" w:after="0" w:line="240" w:lineRule="auto"/>
        <w:ind w:left="714" w:hanging="357"/>
        <w:jc w:val="both"/>
        <w:rPr>
          <w:rFonts w:cstheme="minorHAnsi"/>
          <w:szCs w:val="24"/>
        </w:rPr>
      </w:pPr>
      <w:r w:rsidRPr="005B06C1">
        <w:rPr>
          <w:rFonts w:cstheme="minorHAnsi"/>
          <w:szCs w:val="24"/>
        </w:rPr>
        <w:t>How the Town of East Fremantle will process and determine a Behaviour Complaint; and</w:t>
      </w:r>
    </w:p>
    <w:p w14:paraId="26C96F8B" w14:textId="77777777" w:rsidR="002D6926" w:rsidRPr="005B06C1" w:rsidRDefault="002D6926" w:rsidP="002A3889">
      <w:pPr>
        <w:pStyle w:val="ListParagraph"/>
        <w:numPr>
          <w:ilvl w:val="0"/>
          <w:numId w:val="479"/>
        </w:numPr>
        <w:spacing w:after="0" w:line="240" w:lineRule="auto"/>
        <w:jc w:val="both"/>
        <w:rPr>
          <w:rFonts w:cstheme="minorHAnsi"/>
          <w:szCs w:val="24"/>
        </w:rPr>
      </w:pPr>
      <w:r w:rsidRPr="005B06C1">
        <w:rPr>
          <w:rFonts w:cstheme="minorHAnsi"/>
          <w:szCs w:val="24"/>
        </w:rPr>
        <w:t>How confidentiality of the complaint will be handled.</w:t>
      </w:r>
    </w:p>
    <w:p w14:paraId="18C8EBFC" w14:textId="77777777" w:rsidR="002D6926" w:rsidRPr="005B06C1" w:rsidRDefault="002D6926" w:rsidP="002D6926">
      <w:pPr>
        <w:spacing w:after="0"/>
        <w:jc w:val="both"/>
        <w:rPr>
          <w:rFonts w:cstheme="minorHAnsi"/>
          <w:szCs w:val="24"/>
        </w:rPr>
      </w:pPr>
    </w:p>
    <w:p w14:paraId="6F11D6C5" w14:textId="77777777" w:rsidR="002D6926" w:rsidRPr="00816CD2" w:rsidRDefault="002D6926" w:rsidP="002D6926">
      <w:pPr>
        <w:jc w:val="both"/>
        <w:rPr>
          <w:rFonts w:cstheme="minorHAnsi"/>
          <w:szCs w:val="24"/>
        </w:rPr>
      </w:pPr>
      <w:r w:rsidRPr="005B06C1">
        <w:rPr>
          <w:rFonts w:cstheme="minorHAnsi"/>
          <w:szCs w:val="24"/>
        </w:rPr>
        <w:t xml:space="preserve">To make a valid </w:t>
      </w:r>
      <w:r w:rsidRPr="005B06C1">
        <w:rPr>
          <w:rFonts w:cstheme="minorHAnsi"/>
          <w:b/>
          <w:szCs w:val="24"/>
        </w:rPr>
        <w:t>Behaviour Complaint</w:t>
      </w:r>
      <w:r w:rsidRPr="005B06C1">
        <w:rPr>
          <w:rFonts w:cstheme="minorHAnsi"/>
          <w:szCs w:val="24"/>
        </w:rPr>
        <w:t>:</w:t>
      </w:r>
    </w:p>
    <w:tbl>
      <w:tblPr>
        <w:tblStyle w:val="TableGrid"/>
        <w:tblW w:w="9781" w:type="dxa"/>
        <w:tblBorders>
          <w:left w:val="none" w:sz="0" w:space="0" w:color="auto"/>
          <w:right w:val="none" w:sz="0" w:space="0" w:color="auto"/>
          <w:insideV w:val="none" w:sz="0" w:space="0" w:color="auto"/>
        </w:tblBorders>
        <w:tblLook w:val="04A0" w:firstRow="1" w:lastRow="0" w:firstColumn="1" w:lastColumn="0" w:noHBand="0" w:noVBand="1"/>
      </w:tblPr>
      <w:tblGrid>
        <w:gridCol w:w="436"/>
        <w:gridCol w:w="9345"/>
      </w:tblGrid>
      <w:tr w:rsidR="002D6926" w:rsidRPr="005B06C1" w14:paraId="40A83BBF" w14:textId="77777777" w:rsidTr="00A47C26">
        <w:sdt>
          <w:sdtPr>
            <w:rPr>
              <w:rFonts w:cstheme="minorHAnsi"/>
              <w:szCs w:val="24"/>
            </w:rPr>
            <w:id w:val="2037082324"/>
            <w14:checkbox>
              <w14:checked w14:val="0"/>
              <w14:checkedState w14:val="2612" w14:font="MS Gothic"/>
              <w14:uncheckedState w14:val="2610" w14:font="MS Gothic"/>
            </w14:checkbox>
          </w:sdtPr>
          <w:sdtEndPr/>
          <w:sdtContent>
            <w:tc>
              <w:tcPr>
                <w:tcW w:w="436" w:type="dxa"/>
                <w:vAlign w:val="center"/>
              </w:tcPr>
              <w:p w14:paraId="1A693490" w14:textId="77777777" w:rsidR="002D6926" w:rsidRPr="005B06C1" w:rsidRDefault="002D6926" w:rsidP="00A47C26">
                <w:pPr>
                  <w:jc w:val="both"/>
                  <w:rPr>
                    <w:rFonts w:cstheme="minorHAnsi"/>
                    <w:szCs w:val="24"/>
                  </w:rPr>
                </w:pPr>
                <w:r w:rsidRPr="005B06C1">
                  <w:rPr>
                    <w:rFonts w:ascii="Segoe UI Symbol" w:eastAsia="MS Gothic" w:hAnsi="Segoe UI Symbol" w:cs="Segoe UI Symbol"/>
                    <w:szCs w:val="24"/>
                  </w:rPr>
                  <w:t>☐</w:t>
                </w:r>
              </w:p>
            </w:tc>
          </w:sdtContent>
        </w:sdt>
        <w:tc>
          <w:tcPr>
            <w:tcW w:w="9345" w:type="dxa"/>
          </w:tcPr>
          <w:p w14:paraId="5112287E" w14:textId="77777777" w:rsidR="002D6926" w:rsidRPr="005B06C1" w:rsidRDefault="002D6926" w:rsidP="00A47C26">
            <w:pPr>
              <w:spacing w:before="60" w:after="60"/>
              <w:jc w:val="both"/>
              <w:rPr>
                <w:rFonts w:cstheme="minorHAnsi"/>
                <w:szCs w:val="24"/>
              </w:rPr>
            </w:pPr>
            <w:r w:rsidRPr="005B06C1">
              <w:rPr>
                <w:rFonts w:cstheme="minorHAnsi"/>
                <w:szCs w:val="24"/>
              </w:rPr>
              <w:t xml:space="preserve">The allegation must relate to a breach of the behaviour standards in </w:t>
            </w:r>
            <w:r w:rsidRPr="005B06C1">
              <w:rPr>
                <w:rFonts w:cstheme="minorHAnsi"/>
                <w:szCs w:val="24"/>
                <w:u w:val="single"/>
              </w:rPr>
              <w:t>Division 3</w:t>
            </w:r>
            <w:r w:rsidRPr="005B06C1">
              <w:rPr>
                <w:rFonts w:cstheme="minorHAnsi"/>
                <w:szCs w:val="24"/>
              </w:rPr>
              <w:t xml:space="preserve"> of the Town of East Fremantle’s Code of Conduct for Council Members, Committee Members and Candidates.</w:t>
            </w:r>
          </w:p>
        </w:tc>
      </w:tr>
      <w:tr w:rsidR="002D6926" w:rsidRPr="005B06C1" w14:paraId="4A635060" w14:textId="77777777" w:rsidTr="00A47C26">
        <w:sdt>
          <w:sdtPr>
            <w:rPr>
              <w:rFonts w:cstheme="minorHAnsi"/>
              <w:szCs w:val="24"/>
            </w:rPr>
            <w:id w:val="-280875075"/>
            <w14:checkbox>
              <w14:checked w14:val="0"/>
              <w14:checkedState w14:val="2612" w14:font="MS Gothic"/>
              <w14:uncheckedState w14:val="2610" w14:font="MS Gothic"/>
            </w14:checkbox>
          </w:sdtPr>
          <w:sdtEndPr/>
          <w:sdtContent>
            <w:tc>
              <w:tcPr>
                <w:tcW w:w="436" w:type="dxa"/>
                <w:vAlign w:val="center"/>
              </w:tcPr>
              <w:p w14:paraId="1108DD4A" w14:textId="77777777" w:rsidR="002D6926" w:rsidRPr="005B06C1" w:rsidRDefault="002D6926" w:rsidP="00A47C26">
                <w:pPr>
                  <w:jc w:val="both"/>
                  <w:rPr>
                    <w:rFonts w:cstheme="minorHAnsi"/>
                    <w:szCs w:val="24"/>
                  </w:rPr>
                </w:pPr>
                <w:r w:rsidRPr="005B06C1">
                  <w:rPr>
                    <w:rFonts w:ascii="Segoe UI Symbol" w:eastAsia="MS Gothic" w:hAnsi="Segoe UI Symbol" w:cs="Segoe UI Symbol"/>
                    <w:szCs w:val="24"/>
                  </w:rPr>
                  <w:t>☐</w:t>
                </w:r>
              </w:p>
            </w:tc>
          </w:sdtContent>
        </w:sdt>
        <w:tc>
          <w:tcPr>
            <w:tcW w:w="9345" w:type="dxa"/>
          </w:tcPr>
          <w:p w14:paraId="1C1E1DA0" w14:textId="77777777" w:rsidR="002D6926" w:rsidRPr="005B06C1" w:rsidRDefault="002D6926" w:rsidP="00A47C26">
            <w:pPr>
              <w:spacing w:before="60" w:after="60"/>
              <w:jc w:val="both"/>
              <w:rPr>
                <w:rFonts w:cstheme="minorHAnsi"/>
                <w:i/>
                <w:szCs w:val="24"/>
              </w:rPr>
            </w:pPr>
            <w:r w:rsidRPr="005B06C1">
              <w:rPr>
                <w:rFonts w:cstheme="minorHAnsi"/>
                <w:szCs w:val="24"/>
              </w:rPr>
              <w:t xml:space="preserve">Complete all sections of the Behaviour Complaint Form attached, including any additional information that will support assessment of the complaint. </w:t>
            </w:r>
            <w:r w:rsidRPr="005B06C1">
              <w:rPr>
                <w:rFonts w:cstheme="minorHAnsi"/>
                <w:i/>
                <w:szCs w:val="24"/>
              </w:rPr>
              <w:t>The Behaviour Complaints Officer may contact you to clarify or ask for more information.</w:t>
            </w:r>
          </w:p>
        </w:tc>
      </w:tr>
      <w:tr w:rsidR="002D6926" w:rsidRPr="005B06C1" w14:paraId="743F625B" w14:textId="77777777" w:rsidTr="00A47C26">
        <w:sdt>
          <w:sdtPr>
            <w:rPr>
              <w:rFonts w:cstheme="minorHAnsi"/>
              <w:szCs w:val="24"/>
            </w:rPr>
            <w:id w:val="1405256855"/>
            <w14:checkbox>
              <w14:checked w14:val="0"/>
              <w14:checkedState w14:val="2612" w14:font="MS Gothic"/>
              <w14:uncheckedState w14:val="2610" w14:font="MS Gothic"/>
            </w14:checkbox>
          </w:sdtPr>
          <w:sdtEndPr/>
          <w:sdtContent>
            <w:tc>
              <w:tcPr>
                <w:tcW w:w="436" w:type="dxa"/>
                <w:vAlign w:val="center"/>
              </w:tcPr>
              <w:p w14:paraId="5F0F5721" w14:textId="77777777" w:rsidR="002D6926" w:rsidRPr="005B06C1" w:rsidRDefault="002D6926" w:rsidP="00A47C26">
                <w:pPr>
                  <w:jc w:val="both"/>
                  <w:rPr>
                    <w:rFonts w:cstheme="minorHAnsi"/>
                    <w:szCs w:val="24"/>
                  </w:rPr>
                </w:pPr>
                <w:r w:rsidRPr="005B06C1">
                  <w:rPr>
                    <w:rFonts w:ascii="Segoe UI Symbol" w:eastAsia="MS Gothic" w:hAnsi="Segoe UI Symbol" w:cs="Segoe UI Symbol"/>
                    <w:szCs w:val="24"/>
                  </w:rPr>
                  <w:t>☐</w:t>
                </w:r>
              </w:p>
            </w:tc>
          </w:sdtContent>
        </w:sdt>
        <w:tc>
          <w:tcPr>
            <w:tcW w:w="9345" w:type="dxa"/>
          </w:tcPr>
          <w:p w14:paraId="6A8E682C" w14:textId="77777777" w:rsidR="002D6926" w:rsidRPr="005B06C1" w:rsidRDefault="002D6926" w:rsidP="00A47C26">
            <w:pPr>
              <w:spacing w:before="60" w:after="60"/>
              <w:jc w:val="both"/>
              <w:rPr>
                <w:rFonts w:cstheme="minorHAnsi"/>
                <w:szCs w:val="24"/>
              </w:rPr>
            </w:pPr>
            <w:r w:rsidRPr="005B06C1">
              <w:rPr>
                <w:rFonts w:cstheme="minorHAnsi"/>
                <w:szCs w:val="24"/>
              </w:rPr>
              <w:t xml:space="preserve">The completed Behaviour Complaint Form MUST be lodged with the Town of East Fremantle Behaviour Complaints Officer </w:t>
            </w:r>
            <w:r w:rsidRPr="005B06C1">
              <w:rPr>
                <w:rFonts w:cstheme="minorHAnsi"/>
                <w:szCs w:val="24"/>
                <w:u w:val="single"/>
              </w:rPr>
              <w:t>within one (1) month of the alleged behaviour breach</w:t>
            </w:r>
            <w:r w:rsidRPr="005B06C1">
              <w:rPr>
                <w:rFonts w:cstheme="minorHAnsi"/>
                <w:szCs w:val="24"/>
              </w:rPr>
              <w:t>.</w:t>
            </w:r>
          </w:p>
        </w:tc>
      </w:tr>
    </w:tbl>
    <w:p w14:paraId="3EAD3F5C" w14:textId="77777777" w:rsidR="002D6926" w:rsidRPr="005B06C1" w:rsidRDefault="002D6926" w:rsidP="002D6926">
      <w:pPr>
        <w:spacing w:before="240" w:after="120"/>
        <w:jc w:val="both"/>
        <w:rPr>
          <w:rFonts w:cstheme="minorHAnsi"/>
          <w:b/>
          <w:color w:val="244061" w:themeColor="accent1" w:themeShade="80"/>
          <w:spacing w:val="20"/>
          <w:sz w:val="24"/>
          <w:szCs w:val="24"/>
        </w:rPr>
      </w:pPr>
      <w:r w:rsidRPr="005B06C1">
        <w:rPr>
          <w:rFonts w:cstheme="minorHAnsi"/>
          <w:b/>
          <w:color w:val="244061" w:themeColor="accent1" w:themeShade="80"/>
          <w:spacing w:val="20"/>
          <w:sz w:val="24"/>
          <w:szCs w:val="24"/>
        </w:rPr>
        <w:t>Rules of Conduct Complaint</w:t>
      </w:r>
    </w:p>
    <w:p w14:paraId="17648178" w14:textId="77777777" w:rsidR="002D6926" w:rsidRPr="005B06C1" w:rsidRDefault="002D6926" w:rsidP="002D6926">
      <w:pPr>
        <w:jc w:val="both"/>
        <w:rPr>
          <w:rFonts w:cstheme="minorHAnsi"/>
          <w:szCs w:val="24"/>
        </w:rPr>
      </w:pPr>
      <w:r w:rsidRPr="005B06C1">
        <w:rPr>
          <w:rFonts w:cstheme="minorHAnsi"/>
          <w:szCs w:val="24"/>
        </w:rPr>
        <w:t xml:space="preserve">A </w:t>
      </w:r>
      <w:r w:rsidRPr="005B06C1">
        <w:rPr>
          <w:rFonts w:cstheme="minorHAnsi"/>
          <w:b/>
          <w:szCs w:val="24"/>
        </w:rPr>
        <w:t>Rules of Conduct Complaint</w:t>
      </w:r>
      <w:r w:rsidRPr="005B06C1">
        <w:rPr>
          <w:rFonts w:cstheme="minorHAnsi"/>
          <w:szCs w:val="24"/>
        </w:rPr>
        <w:t xml:space="preserve"> refers to a breach of the Rules of Conduct outlined in </w:t>
      </w:r>
      <w:r w:rsidRPr="005B06C1">
        <w:rPr>
          <w:rFonts w:cstheme="minorHAnsi"/>
          <w:szCs w:val="24"/>
          <w:u w:val="single"/>
        </w:rPr>
        <w:t>Division 4</w:t>
      </w:r>
      <w:r w:rsidRPr="005B06C1">
        <w:rPr>
          <w:rFonts w:cstheme="minorHAnsi"/>
          <w:szCs w:val="24"/>
        </w:rPr>
        <w:t xml:space="preserve"> of the Town of East Fremantle’s Code of Conduct for Council Members and Candidates, including Council Members when acting as a Committee Member. This type of complaint is determined by the Local Government Standards Panel, administered through the Department of Local Government, Sport and Cultural Industries. Further information about Rules of Conduct Complaints may be obtained from:</w:t>
      </w:r>
    </w:p>
    <w:p w14:paraId="05C7924B" w14:textId="77777777" w:rsidR="002D6926" w:rsidRPr="00816CD2" w:rsidRDefault="002D6926" w:rsidP="002A3889">
      <w:pPr>
        <w:pStyle w:val="ListParagraph"/>
        <w:numPr>
          <w:ilvl w:val="0"/>
          <w:numId w:val="478"/>
        </w:numPr>
        <w:spacing w:before="120" w:after="0" w:line="240" w:lineRule="auto"/>
        <w:ind w:left="714" w:hanging="357"/>
        <w:jc w:val="both"/>
        <w:rPr>
          <w:rFonts w:cstheme="minorHAnsi"/>
        </w:rPr>
      </w:pPr>
      <w:r w:rsidRPr="00816CD2">
        <w:rPr>
          <w:rFonts w:cstheme="minorHAnsi"/>
        </w:rPr>
        <w:t xml:space="preserve">Department of Local Government, Sport and Cultural Industries: (08) 6552 7300 or </w:t>
      </w:r>
      <w:hyperlink r:id="rId41" w:history="1">
        <w:r w:rsidRPr="00816CD2">
          <w:rPr>
            <w:rStyle w:val="Hyperlink"/>
            <w:rFonts w:cstheme="minorHAnsi"/>
          </w:rPr>
          <w:t>www.dlgsc.wa.gov.au</w:t>
        </w:r>
      </w:hyperlink>
      <w:r w:rsidRPr="00816CD2">
        <w:rPr>
          <w:rFonts w:cstheme="minorHAnsi"/>
        </w:rPr>
        <w:t>; OR</w:t>
      </w:r>
    </w:p>
    <w:p w14:paraId="5443F57A" w14:textId="77777777" w:rsidR="002D6926" w:rsidRPr="00816CD2" w:rsidRDefault="002D6926" w:rsidP="002A3889">
      <w:pPr>
        <w:pStyle w:val="ListParagraph"/>
        <w:numPr>
          <w:ilvl w:val="0"/>
          <w:numId w:val="478"/>
        </w:numPr>
        <w:spacing w:after="0" w:line="240" w:lineRule="auto"/>
        <w:jc w:val="both"/>
        <w:rPr>
          <w:rFonts w:cstheme="minorHAnsi"/>
        </w:rPr>
      </w:pPr>
      <w:r w:rsidRPr="00816CD2">
        <w:rPr>
          <w:rFonts w:cstheme="minorHAnsi"/>
        </w:rPr>
        <w:t xml:space="preserve">The Town of East Fremantle’s Rules of Conduct Complaints Officer: (08) 9339 9339 </w:t>
      </w:r>
      <w:hyperlink r:id="rId42" w:history="1">
        <w:r w:rsidRPr="00816CD2">
          <w:rPr>
            <w:rStyle w:val="Hyperlink"/>
            <w:rFonts w:cstheme="minorHAnsi"/>
          </w:rPr>
          <w:t>gtuffin@eastfremantle.wa.gov.au</w:t>
        </w:r>
      </w:hyperlink>
      <w:r w:rsidRPr="00816CD2">
        <w:rPr>
          <w:rFonts w:cstheme="minorHAnsi"/>
        </w:rPr>
        <w:t xml:space="preserve"> </w:t>
      </w:r>
    </w:p>
    <w:p w14:paraId="4E2D25EE" w14:textId="77777777" w:rsidR="002D6926" w:rsidRPr="005B06C1" w:rsidRDefault="002D6926" w:rsidP="002D6926">
      <w:pPr>
        <w:spacing w:before="240" w:after="120"/>
        <w:jc w:val="both"/>
        <w:rPr>
          <w:rFonts w:cstheme="minorHAnsi"/>
          <w:b/>
          <w:color w:val="244061" w:themeColor="accent1" w:themeShade="80"/>
          <w:spacing w:val="20"/>
          <w:sz w:val="24"/>
          <w:szCs w:val="24"/>
        </w:rPr>
      </w:pPr>
      <w:r w:rsidRPr="005B06C1">
        <w:rPr>
          <w:rFonts w:cstheme="minorHAnsi"/>
          <w:b/>
          <w:color w:val="244061" w:themeColor="accent1" w:themeShade="80"/>
          <w:spacing w:val="20"/>
          <w:sz w:val="24"/>
          <w:szCs w:val="24"/>
        </w:rPr>
        <w:t>Need Advice?</w:t>
      </w:r>
    </w:p>
    <w:p w14:paraId="351508C8" w14:textId="77777777" w:rsidR="002D6926" w:rsidRPr="005B06C1" w:rsidRDefault="002D6926" w:rsidP="002D6926">
      <w:pPr>
        <w:jc w:val="both"/>
        <w:rPr>
          <w:rFonts w:cstheme="minorHAnsi"/>
          <w:szCs w:val="24"/>
        </w:rPr>
      </w:pPr>
      <w:r w:rsidRPr="005B06C1">
        <w:rPr>
          <w:rFonts w:cstheme="minorHAnsi"/>
          <w:szCs w:val="24"/>
        </w:rPr>
        <w:t xml:space="preserve">If you require advice in making a Behaviour Complaint, please contact the Town of East Fremantle’s Behaviour Complaints Officer on (08) 9339 9339 by email </w:t>
      </w:r>
      <w:r w:rsidRPr="005B06C1">
        <w:rPr>
          <w:rFonts w:cstheme="minorHAnsi"/>
          <w:szCs w:val="24"/>
        </w:rPr>
        <w:br w:type="page"/>
      </w:r>
    </w:p>
    <w:p w14:paraId="02FEBB06" w14:textId="77777777" w:rsidR="002D6926" w:rsidRPr="00816CD2" w:rsidRDefault="002D6926" w:rsidP="002D6926">
      <w:pPr>
        <w:spacing w:after="0"/>
        <w:jc w:val="center"/>
        <w:rPr>
          <w:rFonts w:ascii="Arial" w:hAnsi="Arial" w:cs="Arial"/>
          <w:b/>
          <w:color w:val="244061" w:themeColor="accent1" w:themeShade="80"/>
          <w:spacing w:val="20"/>
          <w:sz w:val="32"/>
          <w:szCs w:val="24"/>
        </w:rPr>
      </w:pPr>
      <w:r w:rsidRPr="00816CD2">
        <w:rPr>
          <w:rFonts w:ascii="Arial" w:hAnsi="Arial" w:cs="Arial"/>
          <w:b/>
          <w:color w:val="244061" w:themeColor="accent1" w:themeShade="80"/>
          <w:spacing w:val="20"/>
          <w:sz w:val="32"/>
          <w:szCs w:val="24"/>
        </w:rPr>
        <w:lastRenderedPageBreak/>
        <w:t>Behaviour Complaint Form</w:t>
      </w:r>
    </w:p>
    <w:p w14:paraId="01598AE8" w14:textId="77777777" w:rsidR="002D6926" w:rsidRPr="00816CD2" w:rsidRDefault="002D6926" w:rsidP="002D6926">
      <w:pPr>
        <w:spacing w:after="0"/>
        <w:jc w:val="center"/>
        <w:rPr>
          <w:rFonts w:ascii="Arial" w:hAnsi="Arial" w:cs="Arial"/>
          <w:b/>
          <w:bCs/>
          <w:sz w:val="24"/>
          <w:szCs w:val="24"/>
        </w:rPr>
      </w:pPr>
      <w:r w:rsidRPr="00816CD2">
        <w:rPr>
          <w:rFonts w:ascii="Arial" w:hAnsi="Arial" w:cs="Arial"/>
          <w:b/>
          <w:bCs/>
          <w:sz w:val="24"/>
          <w:szCs w:val="24"/>
        </w:rPr>
        <w:t>Town of East Fremantle Code of Conduct for Council Members, Committee Members and Candidates</w:t>
      </w:r>
    </w:p>
    <w:p w14:paraId="6332A2D3" w14:textId="77777777" w:rsidR="002D6926" w:rsidRDefault="002D6926" w:rsidP="002D6926">
      <w:pPr>
        <w:spacing w:after="0"/>
        <w:jc w:val="center"/>
        <w:rPr>
          <w:rFonts w:cs="Arial"/>
          <w:b/>
          <w:bCs/>
          <w:sz w:val="24"/>
          <w:szCs w:val="24"/>
        </w:rPr>
      </w:pPr>
    </w:p>
    <w:p w14:paraId="289D6080" w14:textId="77777777" w:rsidR="002D6926" w:rsidRPr="00252D89" w:rsidRDefault="002D6926" w:rsidP="002D6926">
      <w:pPr>
        <w:spacing w:after="0"/>
        <w:rPr>
          <w:rFonts w:cs="Arial"/>
          <w:b/>
          <w:bCs/>
          <w:i/>
          <w:szCs w:val="24"/>
        </w:rPr>
      </w:pPr>
    </w:p>
    <w:tbl>
      <w:tblPr>
        <w:tblStyle w:val="TableGrid"/>
        <w:tblW w:w="9776" w:type="dxa"/>
        <w:tblLook w:val="04A0" w:firstRow="1" w:lastRow="0" w:firstColumn="1" w:lastColumn="0" w:noHBand="0" w:noVBand="1"/>
      </w:tblPr>
      <w:tblGrid>
        <w:gridCol w:w="2547"/>
        <w:gridCol w:w="1276"/>
        <w:gridCol w:w="2394"/>
        <w:gridCol w:w="1008"/>
        <w:gridCol w:w="2551"/>
      </w:tblGrid>
      <w:tr w:rsidR="002D6926" w14:paraId="6615F48C" w14:textId="77777777" w:rsidTr="00A47C26">
        <w:tc>
          <w:tcPr>
            <w:tcW w:w="9776" w:type="dxa"/>
            <w:gridSpan w:val="5"/>
            <w:shd w:val="clear" w:color="auto" w:fill="D9D9D9" w:themeFill="background1" w:themeFillShade="D9"/>
          </w:tcPr>
          <w:p w14:paraId="388BCBCB" w14:textId="77777777" w:rsidR="002D6926" w:rsidRPr="00816CD2" w:rsidRDefault="002D6926" w:rsidP="00A47C26">
            <w:pPr>
              <w:spacing w:before="60" w:after="60"/>
              <w:jc w:val="center"/>
              <w:rPr>
                <w:rFonts w:ascii="Arial" w:hAnsi="Arial" w:cs="Arial"/>
                <w:bCs/>
                <w:i/>
                <w:szCs w:val="24"/>
              </w:rPr>
            </w:pPr>
            <w:r w:rsidRPr="00816CD2">
              <w:rPr>
                <w:rFonts w:ascii="Arial" w:hAnsi="Arial" w:cs="Arial"/>
                <w:b/>
                <w:bCs/>
                <w:sz w:val="28"/>
                <w:szCs w:val="24"/>
              </w:rPr>
              <w:t>Name of Person Making the Complaint</w:t>
            </w:r>
          </w:p>
        </w:tc>
      </w:tr>
      <w:tr w:rsidR="002D6926" w:rsidRPr="00816CD2" w14:paraId="37753E11" w14:textId="77777777" w:rsidTr="00A47C26">
        <w:tc>
          <w:tcPr>
            <w:tcW w:w="2547" w:type="dxa"/>
            <w:shd w:val="clear" w:color="auto" w:fill="D9D9D9" w:themeFill="background1" w:themeFillShade="D9"/>
          </w:tcPr>
          <w:p w14:paraId="73539BD6" w14:textId="77777777" w:rsidR="002D6926" w:rsidRPr="00816CD2" w:rsidRDefault="002D6926" w:rsidP="00A47C26">
            <w:pPr>
              <w:spacing w:before="60" w:after="60"/>
              <w:rPr>
                <w:rFonts w:ascii="Arial" w:hAnsi="Arial" w:cs="Arial"/>
                <w:bCs/>
                <w:sz w:val="20"/>
                <w:szCs w:val="24"/>
              </w:rPr>
            </w:pPr>
            <w:r w:rsidRPr="00816CD2">
              <w:rPr>
                <w:rFonts w:ascii="Arial" w:hAnsi="Arial" w:cs="Arial"/>
                <w:b/>
                <w:bCs/>
                <w:szCs w:val="24"/>
              </w:rPr>
              <w:t>Complainant Name:</w:t>
            </w:r>
          </w:p>
          <w:p w14:paraId="698E600B" w14:textId="77777777" w:rsidR="002D6926" w:rsidRPr="00816CD2" w:rsidRDefault="002D6926" w:rsidP="00A47C26">
            <w:pPr>
              <w:spacing w:before="60" w:after="60"/>
              <w:rPr>
                <w:rFonts w:ascii="Arial" w:hAnsi="Arial" w:cs="Arial"/>
                <w:bCs/>
                <w:i/>
                <w:szCs w:val="24"/>
              </w:rPr>
            </w:pPr>
            <w:r w:rsidRPr="00816CD2">
              <w:rPr>
                <w:rFonts w:ascii="Arial" w:hAnsi="Arial" w:cs="Arial"/>
                <w:bCs/>
                <w:i/>
                <w:sz w:val="18"/>
                <w:szCs w:val="24"/>
              </w:rPr>
              <w:t>Given Name/s and Family Name</w:t>
            </w:r>
          </w:p>
        </w:tc>
        <w:tc>
          <w:tcPr>
            <w:tcW w:w="7229" w:type="dxa"/>
            <w:gridSpan w:val="4"/>
          </w:tcPr>
          <w:p w14:paraId="16077737" w14:textId="77777777" w:rsidR="002D6926" w:rsidRPr="00816CD2" w:rsidRDefault="002D6926" w:rsidP="00A47C26">
            <w:pPr>
              <w:spacing w:before="60" w:after="60"/>
              <w:rPr>
                <w:rFonts w:ascii="Arial" w:hAnsi="Arial" w:cs="Arial"/>
                <w:bCs/>
                <w:szCs w:val="24"/>
              </w:rPr>
            </w:pPr>
          </w:p>
        </w:tc>
      </w:tr>
      <w:tr w:rsidR="002D6926" w:rsidRPr="00816CD2" w14:paraId="11950A0C" w14:textId="77777777" w:rsidTr="00A47C26">
        <w:tc>
          <w:tcPr>
            <w:tcW w:w="9776" w:type="dxa"/>
            <w:gridSpan w:val="5"/>
            <w:shd w:val="clear" w:color="auto" w:fill="D9D9D9" w:themeFill="background1" w:themeFillShade="D9"/>
          </w:tcPr>
          <w:p w14:paraId="27DAD7C9" w14:textId="77777777" w:rsidR="002D6926" w:rsidRPr="00816CD2" w:rsidRDefault="002D6926" w:rsidP="00A47C26">
            <w:pPr>
              <w:spacing w:before="60" w:after="60"/>
              <w:jc w:val="center"/>
              <w:rPr>
                <w:rFonts w:ascii="Arial" w:hAnsi="Arial" w:cs="Arial"/>
                <w:bCs/>
                <w:szCs w:val="24"/>
              </w:rPr>
            </w:pPr>
            <w:r w:rsidRPr="00816CD2">
              <w:rPr>
                <w:rFonts w:ascii="Arial" w:hAnsi="Arial" w:cs="Arial"/>
                <w:b/>
                <w:bCs/>
                <w:sz w:val="28"/>
                <w:szCs w:val="24"/>
              </w:rPr>
              <w:t>Contact Details</w:t>
            </w:r>
          </w:p>
        </w:tc>
      </w:tr>
      <w:tr w:rsidR="002D6926" w:rsidRPr="00816CD2" w14:paraId="1B38D3F9" w14:textId="77777777" w:rsidTr="00A47C26">
        <w:tc>
          <w:tcPr>
            <w:tcW w:w="2547" w:type="dxa"/>
            <w:shd w:val="clear" w:color="auto" w:fill="D9D9D9" w:themeFill="background1" w:themeFillShade="D9"/>
          </w:tcPr>
          <w:p w14:paraId="1DAF218A" w14:textId="77777777" w:rsidR="002D6926" w:rsidRPr="00816CD2" w:rsidRDefault="002D6926" w:rsidP="00A47C26">
            <w:pPr>
              <w:spacing w:before="60" w:after="60"/>
              <w:rPr>
                <w:rFonts w:ascii="Arial" w:hAnsi="Arial" w:cs="Arial"/>
                <w:b/>
                <w:bCs/>
                <w:szCs w:val="24"/>
              </w:rPr>
            </w:pPr>
            <w:r w:rsidRPr="00816CD2">
              <w:rPr>
                <w:rFonts w:ascii="Arial" w:hAnsi="Arial" w:cs="Arial"/>
                <w:b/>
                <w:bCs/>
                <w:szCs w:val="24"/>
              </w:rPr>
              <w:t>Residential Address:</w:t>
            </w:r>
          </w:p>
          <w:p w14:paraId="62A660EE" w14:textId="77777777" w:rsidR="002D6926" w:rsidRPr="00816CD2" w:rsidRDefault="002D6926" w:rsidP="00A47C26">
            <w:pPr>
              <w:spacing w:before="60" w:after="60"/>
              <w:rPr>
                <w:rFonts w:ascii="Arial" w:hAnsi="Arial" w:cs="Arial"/>
                <w:b/>
                <w:bCs/>
                <w:szCs w:val="24"/>
              </w:rPr>
            </w:pPr>
          </w:p>
        </w:tc>
        <w:tc>
          <w:tcPr>
            <w:tcW w:w="7229" w:type="dxa"/>
            <w:gridSpan w:val="4"/>
          </w:tcPr>
          <w:p w14:paraId="23E17456" w14:textId="77777777" w:rsidR="002D6926" w:rsidRPr="00816CD2" w:rsidRDefault="002D6926" w:rsidP="00A47C26">
            <w:pPr>
              <w:spacing w:before="60" w:after="60"/>
              <w:rPr>
                <w:rFonts w:ascii="Arial" w:hAnsi="Arial" w:cs="Arial"/>
                <w:bCs/>
                <w:szCs w:val="24"/>
              </w:rPr>
            </w:pPr>
          </w:p>
        </w:tc>
      </w:tr>
      <w:tr w:rsidR="002D6926" w:rsidRPr="00816CD2" w14:paraId="59860A02" w14:textId="77777777" w:rsidTr="00A47C26">
        <w:tc>
          <w:tcPr>
            <w:tcW w:w="2547" w:type="dxa"/>
            <w:shd w:val="clear" w:color="auto" w:fill="D9D9D9" w:themeFill="background1" w:themeFillShade="D9"/>
          </w:tcPr>
          <w:p w14:paraId="6E28AAEE" w14:textId="77777777" w:rsidR="002D6926" w:rsidRPr="00816CD2" w:rsidRDefault="002D6926" w:rsidP="00A47C26">
            <w:pPr>
              <w:spacing w:before="60" w:after="60"/>
              <w:rPr>
                <w:rFonts w:ascii="Arial" w:hAnsi="Arial" w:cs="Arial"/>
                <w:b/>
                <w:bCs/>
                <w:szCs w:val="24"/>
              </w:rPr>
            </w:pPr>
            <w:r w:rsidRPr="00816CD2">
              <w:rPr>
                <w:rFonts w:ascii="Arial" w:hAnsi="Arial" w:cs="Arial"/>
                <w:b/>
                <w:bCs/>
                <w:szCs w:val="24"/>
              </w:rPr>
              <w:t>Postal Address:</w:t>
            </w:r>
          </w:p>
          <w:p w14:paraId="2932647F" w14:textId="77777777" w:rsidR="002D6926" w:rsidRPr="00816CD2" w:rsidRDefault="002D6926" w:rsidP="00A47C26">
            <w:pPr>
              <w:spacing w:before="60" w:after="60"/>
              <w:rPr>
                <w:rFonts w:ascii="Arial" w:hAnsi="Arial" w:cs="Arial"/>
                <w:b/>
                <w:bCs/>
                <w:szCs w:val="24"/>
              </w:rPr>
            </w:pPr>
          </w:p>
        </w:tc>
        <w:tc>
          <w:tcPr>
            <w:tcW w:w="7229" w:type="dxa"/>
            <w:gridSpan w:val="4"/>
          </w:tcPr>
          <w:p w14:paraId="0D4635AE" w14:textId="77777777" w:rsidR="002D6926" w:rsidRPr="00816CD2" w:rsidRDefault="002D6926" w:rsidP="00A47C26">
            <w:pPr>
              <w:spacing w:before="60" w:after="60"/>
              <w:rPr>
                <w:rFonts w:ascii="Arial" w:hAnsi="Arial" w:cs="Arial"/>
                <w:bCs/>
                <w:szCs w:val="24"/>
              </w:rPr>
            </w:pPr>
          </w:p>
        </w:tc>
      </w:tr>
      <w:tr w:rsidR="002D6926" w:rsidRPr="00816CD2" w14:paraId="761C0D38" w14:textId="77777777" w:rsidTr="00A47C26">
        <w:trPr>
          <w:trHeight w:val="462"/>
        </w:trPr>
        <w:tc>
          <w:tcPr>
            <w:tcW w:w="2547" w:type="dxa"/>
            <w:shd w:val="clear" w:color="auto" w:fill="D9D9D9" w:themeFill="background1" w:themeFillShade="D9"/>
          </w:tcPr>
          <w:p w14:paraId="063AD89B" w14:textId="77777777" w:rsidR="002D6926" w:rsidRPr="00816CD2" w:rsidRDefault="002D6926" w:rsidP="00A47C26">
            <w:pPr>
              <w:tabs>
                <w:tab w:val="right" w:leader="dot" w:pos="9072"/>
              </w:tabs>
              <w:suppressAutoHyphens/>
              <w:spacing w:before="60" w:after="60"/>
              <w:rPr>
                <w:rFonts w:ascii="Arial" w:hAnsi="Arial" w:cs="Arial"/>
                <w:b/>
                <w:spacing w:val="-2"/>
              </w:rPr>
            </w:pPr>
            <w:r w:rsidRPr="00816CD2">
              <w:rPr>
                <w:rFonts w:ascii="Arial" w:hAnsi="Arial" w:cs="Arial"/>
                <w:b/>
                <w:spacing w:val="-2"/>
              </w:rPr>
              <w:t>Phone:</w:t>
            </w:r>
          </w:p>
        </w:tc>
        <w:tc>
          <w:tcPr>
            <w:tcW w:w="1276" w:type="dxa"/>
            <w:shd w:val="clear" w:color="auto" w:fill="D9D9D9" w:themeFill="background1" w:themeFillShade="D9"/>
          </w:tcPr>
          <w:p w14:paraId="1A9458AD" w14:textId="77777777" w:rsidR="002D6926" w:rsidRPr="00816CD2" w:rsidRDefault="002D6926" w:rsidP="00A47C26">
            <w:pPr>
              <w:tabs>
                <w:tab w:val="right" w:leader="dot" w:pos="9072"/>
              </w:tabs>
              <w:suppressAutoHyphens/>
              <w:spacing w:before="60" w:after="60"/>
              <w:jc w:val="right"/>
              <w:rPr>
                <w:rFonts w:ascii="Arial" w:hAnsi="Arial" w:cs="Arial"/>
                <w:spacing w:val="-2"/>
              </w:rPr>
            </w:pPr>
            <w:proofErr w:type="gramStart"/>
            <w:r w:rsidRPr="00816CD2">
              <w:rPr>
                <w:rFonts w:ascii="Arial" w:hAnsi="Arial" w:cs="Arial"/>
                <w:spacing w:val="-2"/>
              </w:rPr>
              <w:t>Day-time</w:t>
            </w:r>
            <w:proofErr w:type="gramEnd"/>
            <w:r w:rsidRPr="00816CD2">
              <w:rPr>
                <w:rFonts w:ascii="Arial" w:hAnsi="Arial" w:cs="Arial"/>
                <w:spacing w:val="-2"/>
              </w:rPr>
              <w:t>:</w:t>
            </w:r>
          </w:p>
        </w:tc>
        <w:tc>
          <w:tcPr>
            <w:tcW w:w="2394" w:type="dxa"/>
          </w:tcPr>
          <w:p w14:paraId="481A9853" w14:textId="77777777" w:rsidR="002D6926" w:rsidRPr="00816CD2" w:rsidRDefault="002D6926" w:rsidP="00A47C26">
            <w:pPr>
              <w:tabs>
                <w:tab w:val="right" w:leader="dot" w:pos="9072"/>
              </w:tabs>
              <w:suppressAutoHyphens/>
              <w:spacing w:before="60" w:after="60"/>
              <w:rPr>
                <w:rFonts w:ascii="Arial" w:hAnsi="Arial" w:cs="Arial"/>
                <w:spacing w:val="-2"/>
              </w:rPr>
            </w:pPr>
          </w:p>
        </w:tc>
        <w:tc>
          <w:tcPr>
            <w:tcW w:w="1008" w:type="dxa"/>
            <w:shd w:val="clear" w:color="auto" w:fill="D9D9D9" w:themeFill="background1" w:themeFillShade="D9"/>
          </w:tcPr>
          <w:p w14:paraId="3F5279D3" w14:textId="77777777" w:rsidR="002D6926" w:rsidRPr="00816CD2" w:rsidRDefault="002D6926" w:rsidP="00A47C26">
            <w:pPr>
              <w:tabs>
                <w:tab w:val="right" w:leader="dot" w:pos="9072"/>
              </w:tabs>
              <w:suppressAutoHyphens/>
              <w:spacing w:before="60" w:after="60"/>
              <w:jc w:val="right"/>
              <w:rPr>
                <w:rFonts w:ascii="Arial" w:hAnsi="Arial" w:cs="Arial"/>
                <w:spacing w:val="-2"/>
              </w:rPr>
            </w:pPr>
            <w:r w:rsidRPr="00816CD2">
              <w:rPr>
                <w:rFonts w:ascii="Arial" w:hAnsi="Arial" w:cs="Arial"/>
                <w:spacing w:val="-2"/>
              </w:rPr>
              <w:t>Mobile:</w:t>
            </w:r>
          </w:p>
        </w:tc>
        <w:tc>
          <w:tcPr>
            <w:tcW w:w="2551" w:type="dxa"/>
          </w:tcPr>
          <w:p w14:paraId="5A186D0A" w14:textId="77777777" w:rsidR="002D6926" w:rsidRPr="00816CD2" w:rsidRDefault="002D6926" w:rsidP="00A47C26">
            <w:pPr>
              <w:tabs>
                <w:tab w:val="right" w:leader="dot" w:pos="9072"/>
              </w:tabs>
              <w:suppressAutoHyphens/>
              <w:spacing w:before="60" w:after="60"/>
              <w:rPr>
                <w:rFonts w:ascii="Arial" w:hAnsi="Arial" w:cs="Arial"/>
                <w:spacing w:val="-2"/>
              </w:rPr>
            </w:pPr>
          </w:p>
        </w:tc>
      </w:tr>
      <w:tr w:rsidR="002D6926" w:rsidRPr="00816CD2" w14:paraId="19513839" w14:textId="77777777" w:rsidTr="00A47C26">
        <w:trPr>
          <w:trHeight w:val="495"/>
        </w:trPr>
        <w:tc>
          <w:tcPr>
            <w:tcW w:w="2547" w:type="dxa"/>
            <w:shd w:val="clear" w:color="auto" w:fill="D9D9D9" w:themeFill="background1" w:themeFillShade="D9"/>
          </w:tcPr>
          <w:p w14:paraId="2D340F76" w14:textId="77777777" w:rsidR="002D6926" w:rsidRPr="00816CD2" w:rsidRDefault="002D6926" w:rsidP="00A47C26">
            <w:pPr>
              <w:tabs>
                <w:tab w:val="right" w:leader="dot" w:pos="9072"/>
              </w:tabs>
              <w:suppressAutoHyphens/>
              <w:spacing w:before="60" w:after="60"/>
              <w:rPr>
                <w:rFonts w:ascii="Arial" w:hAnsi="Arial" w:cs="Arial"/>
                <w:spacing w:val="-2"/>
              </w:rPr>
            </w:pPr>
            <w:r w:rsidRPr="00816CD2">
              <w:rPr>
                <w:rFonts w:ascii="Arial" w:hAnsi="Arial" w:cs="Arial"/>
                <w:b/>
                <w:spacing w:val="-2"/>
              </w:rPr>
              <w:t>Email</w:t>
            </w:r>
            <w:r w:rsidRPr="00816CD2">
              <w:rPr>
                <w:rFonts w:ascii="Arial" w:hAnsi="Arial" w:cs="Arial"/>
                <w:spacing w:val="-2"/>
              </w:rPr>
              <w:t>:</w:t>
            </w:r>
          </w:p>
        </w:tc>
        <w:tc>
          <w:tcPr>
            <w:tcW w:w="7229" w:type="dxa"/>
            <w:gridSpan w:val="4"/>
          </w:tcPr>
          <w:p w14:paraId="4141EDEB" w14:textId="77777777" w:rsidR="002D6926" w:rsidRPr="00816CD2" w:rsidRDefault="002D6926" w:rsidP="00A47C26">
            <w:pPr>
              <w:tabs>
                <w:tab w:val="right" w:leader="dot" w:pos="9072"/>
              </w:tabs>
              <w:suppressAutoHyphens/>
              <w:spacing w:before="60" w:after="60"/>
              <w:rPr>
                <w:rFonts w:ascii="Arial" w:hAnsi="Arial" w:cs="Arial"/>
                <w:spacing w:val="-2"/>
              </w:rPr>
            </w:pPr>
          </w:p>
        </w:tc>
      </w:tr>
    </w:tbl>
    <w:p w14:paraId="5BE6B31B" w14:textId="77777777" w:rsidR="002D6926" w:rsidRPr="00816CD2" w:rsidRDefault="002D6926" w:rsidP="002D6926">
      <w:pPr>
        <w:spacing w:after="0"/>
        <w:rPr>
          <w:rFonts w:ascii="Arial" w:hAnsi="Arial" w:cs="Arial"/>
          <w:bCs/>
          <w:sz w:val="16"/>
          <w:szCs w:val="24"/>
        </w:rPr>
      </w:pPr>
    </w:p>
    <w:p w14:paraId="3C71E8D4" w14:textId="77777777" w:rsidR="002D6926" w:rsidRPr="00816CD2" w:rsidRDefault="002D6926" w:rsidP="002D6926">
      <w:pPr>
        <w:spacing w:after="0"/>
        <w:rPr>
          <w:rFonts w:ascii="Arial" w:hAnsi="Arial" w:cs="Arial"/>
          <w:b/>
          <w:bCs/>
          <w:szCs w:val="24"/>
        </w:rPr>
      </w:pPr>
    </w:p>
    <w:p w14:paraId="78FDD492" w14:textId="77777777" w:rsidR="002D6926" w:rsidRPr="00816CD2" w:rsidRDefault="002D6926" w:rsidP="002D6926">
      <w:pPr>
        <w:spacing w:after="0"/>
        <w:rPr>
          <w:rFonts w:ascii="Arial" w:hAnsi="Arial" w:cs="Arial"/>
          <w:b/>
          <w:bCs/>
          <w:szCs w:val="24"/>
        </w:rPr>
      </w:pPr>
    </w:p>
    <w:tbl>
      <w:tblPr>
        <w:tblStyle w:val="TableGrid"/>
        <w:tblW w:w="9918" w:type="dxa"/>
        <w:tblLook w:val="04A0" w:firstRow="1" w:lastRow="0" w:firstColumn="1" w:lastColumn="0" w:noHBand="0" w:noVBand="1"/>
      </w:tblPr>
      <w:tblGrid>
        <w:gridCol w:w="421"/>
        <w:gridCol w:w="3685"/>
        <w:gridCol w:w="5670"/>
        <w:gridCol w:w="142"/>
      </w:tblGrid>
      <w:tr w:rsidR="002D6926" w:rsidRPr="00816CD2" w14:paraId="31E690A7" w14:textId="77777777" w:rsidTr="00A47C26">
        <w:trPr>
          <w:gridAfter w:val="1"/>
          <w:wAfter w:w="142" w:type="dxa"/>
        </w:trPr>
        <w:tc>
          <w:tcPr>
            <w:tcW w:w="9776" w:type="dxa"/>
            <w:gridSpan w:val="3"/>
            <w:shd w:val="clear" w:color="auto" w:fill="D9D9D9" w:themeFill="background1" w:themeFillShade="D9"/>
          </w:tcPr>
          <w:p w14:paraId="3CD0D0C9" w14:textId="77777777" w:rsidR="002D6926" w:rsidRPr="00816CD2" w:rsidRDefault="002D6926" w:rsidP="00A47C26">
            <w:pPr>
              <w:spacing w:before="60" w:after="60"/>
              <w:jc w:val="center"/>
              <w:rPr>
                <w:rFonts w:ascii="Arial" w:hAnsi="Arial" w:cs="Arial"/>
                <w:bCs/>
                <w:i/>
                <w:sz w:val="24"/>
                <w:szCs w:val="24"/>
              </w:rPr>
            </w:pPr>
            <w:r w:rsidRPr="00816CD2">
              <w:rPr>
                <w:rFonts w:ascii="Arial" w:hAnsi="Arial" w:cs="Arial"/>
                <w:b/>
                <w:bCs/>
                <w:sz w:val="28"/>
                <w:szCs w:val="24"/>
              </w:rPr>
              <w:t>Complaint Details:</w:t>
            </w:r>
          </w:p>
        </w:tc>
      </w:tr>
      <w:tr w:rsidR="002D6926" w:rsidRPr="00816CD2" w14:paraId="7974ECA0" w14:textId="77777777" w:rsidTr="00A47C26">
        <w:trPr>
          <w:trHeight w:val="766"/>
        </w:trPr>
        <w:tc>
          <w:tcPr>
            <w:tcW w:w="421" w:type="dxa"/>
            <w:shd w:val="clear" w:color="auto" w:fill="D9D9D9" w:themeFill="background1" w:themeFillShade="D9"/>
          </w:tcPr>
          <w:p w14:paraId="75482424" w14:textId="77777777" w:rsidR="002D6926" w:rsidRPr="00816CD2" w:rsidRDefault="002D6926" w:rsidP="00A47C26">
            <w:pPr>
              <w:spacing w:beforeLines="60" w:before="144" w:after="60"/>
              <w:rPr>
                <w:rFonts w:ascii="Arial" w:hAnsi="Arial" w:cs="Arial"/>
                <w:b/>
                <w:lang w:val="en-US"/>
              </w:rPr>
            </w:pPr>
            <w:r w:rsidRPr="00816CD2">
              <w:rPr>
                <w:rFonts w:ascii="Arial" w:hAnsi="Arial" w:cs="Arial"/>
                <w:b/>
                <w:lang w:val="en-US"/>
              </w:rPr>
              <w:t>1.</w:t>
            </w:r>
          </w:p>
        </w:tc>
        <w:tc>
          <w:tcPr>
            <w:tcW w:w="3685" w:type="dxa"/>
            <w:shd w:val="clear" w:color="auto" w:fill="D9D9D9" w:themeFill="background1" w:themeFillShade="D9"/>
          </w:tcPr>
          <w:p w14:paraId="6B9F723C" w14:textId="77777777" w:rsidR="002D6926" w:rsidRPr="00816CD2" w:rsidRDefault="002D6926" w:rsidP="00A47C26">
            <w:pPr>
              <w:spacing w:beforeLines="60" w:before="144" w:after="60"/>
              <w:ind w:left="41"/>
              <w:rPr>
                <w:rFonts w:ascii="Arial" w:hAnsi="Arial" w:cs="Arial"/>
                <w:b/>
                <w:lang w:val="en-US"/>
              </w:rPr>
            </w:pPr>
            <w:r w:rsidRPr="00816CD2">
              <w:rPr>
                <w:rFonts w:ascii="Arial" w:hAnsi="Arial" w:cs="Arial"/>
                <w:b/>
                <w:lang w:val="en-US"/>
              </w:rPr>
              <w:t>Insert Name of Person alleged to have committed a behavior breach:</w:t>
            </w:r>
          </w:p>
        </w:tc>
        <w:tc>
          <w:tcPr>
            <w:tcW w:w="5812" w:type="dxa"/>
            <w:gridSpan w:val="2"/>
          </w:tcPr>
          <w:p w14:paraId="5EEE5D0F" w14:textId="77777777" w:rsidR="002D6926" w:rsidRPr="00816CD2" w:rsidRDefault="002D6926" w:rsidP="00A47C26">
            <w:pPr>
              <w:spacing w:beforeLines="60" w:before="144" w:after="60"/>
              <w:rPr>
                <w:rFonts w:ascii="Arial" w:hAnsi="Arial" w:cs="Arial"/>
                <w:szCs w:val="24"/>
                <w:lang w:val="en-US"/>
              </w:rPr>
            </w:pPr>
          </w:p>
        </w:tc>
      </w:tr>
    </w:tbl>
    <w:p w14:paraId="15A6B0B6" w14:textId="77777777" w:rsidR="002D6926" w:rsidRPr="00816CD2" w:rsidRDefault="002D6926" w:rsidP="002D6926">
      <w:pPr>
        <w:spacing w:after="0"/>
        <w:rPr>
          <w:rFonts w:ascii="Arial" w:hAnsi="Arial" w:cs="Arial"/>
          <w:szCs w:val="24"/>
          <w:lang w:val="en-US"/>
        </w:rPr>
      </w:pPr>
    </w:p>
    <w:tbl>
      <w:tblPr>
        <w:tblStyle w:val="TableGrid"/>
        <w:tblW w:w="9918" w:type="dxa"/>
        <w:tblLook w:val="04A0" w:firstRow="1" w:lastRow="0" w:firstColumn="1" w:lastColumn="0" w:noHBand="0" w:noVBand="1"/>
      </w:tblPr>
      <w:tblGrid>
        <w:gridCol w:w="418"/>
        <w:gridCol w:w="3688"/>
        <w:gridCol w:w="5103"/>
        <w:gridCol w:w="709"/>
      </w:tblGrid>
      <w:tr w:rsidR="002D6926" w:rsidRPr="00816CD2" w14:paraId="61BAD6C9" w14:textId="77777777" w:rsidTr="00A47C26">
        <w:trPr>
          <w:trHeight w:val="491"/>
        </w:trPr>
        <w:tc>
          <w:tcPr>
            <w:tcW w:w="418" w:type="dxa"/>
            <w:vMerge w:val="restart"/>
            <w:shd w:val="clear" w:color="auto" w:fill="D9D9D9" w:themeFill="background1" w:themeFillShade="D9"/>
          </w:tcPr>
          <w:p w14:paraId="36D5EFE3" w14:textId="77777777" w:rsidR="002D6926" w:rsidRPr="00816CD2" w:rsidRDefault="002D6926" w:rsidP="00A47C26">
            <w:pPr>
              <w:spacing w:beforeLines="60" w:before="144" w:after="60"/>
              <w:rPr>
                <w:rFonts w:ascii="Arial" w:hAnsi="Arial" w:cs="Arial"/>
                <w:b/>
                <w:szCs w:val="24"/>
                <w:lang w:val="en-US"/>
              </w:rPr>
            </w:pPr>
            <w:r w:rsidRPr="00816CD2">
              <w:rPr>
                <w:rFonts w:ascii="Arial" w:hAnsi="Arial" w:cs="Arial"/>
                <w:b/>
                <w:szCs w:val="24"/>
                <w:lang w:val="en-US"/>
              </w:rPr>
              <w:t>2.</w:t>
            </w:r>
          </w:p>
        </w:tc>
        <w:tc>
          <w:tcPr>
            <w:tcW w:w="3688" w:type="dxa"/>
            <w:vMerge w:val="restart"/>
            <w:shd w:val="clear" w:color="auto" w:fill="D9D9D9" w:themeFill="background1" w:themeFillShade="D9"/>
          </w:tcPr>
          <w:p w14:paraId="4860B307" w14:textId="77777777" w:rsidR="002D6926" w:rsidRPr="00816CD2" w:rsidRDefault="002D6926" w:rsidP="00A47C26">
            <w:pPr>
              <w:spacing w:beforeLines="60" w:before="144" w:after="60"/>
              <w:ind w:left="41"/>
              <w:rPr>
                <w:rFonts w:ascii="Arial" w:hAnsi="Arial" w:cs="Arial"/>
                <w:szCs w:val="24"/>
                <w:lang w:val="en-US"/>
              </w:rPr>
            </w:pPr>
            <w:r w:rsidRPr="00816CD2">
              <w:rPr>
                <w:rFonts w:ascii="Arial" w:hAnsi="Arial" w:cs="Arial"/>
                <w:b/>
                <w:szCs w:val="24"/>
                <w:lang w:val="en-US"/>
              </w:rPr>
              <w:t xml:space="preserve">Select the position that the person was fulfilling at the time the person committed the alleged </w:t>
            </w:r>
            <w:proofErr w:type="spellStart"/>
            <w:r w:rsidRPr="00816CD2">
              <w:rPr>
                <w:rFonts w:ascii="Arial" w:hAnsi="Arial" w:cs="Arial"/>
                <w:b/>
                <w:szCs w:val="24"/>
                <w:lang w:val="en-US"/>
              </w:rPr>
              <w:t>behaviour</w:t>
            </w:r>
            <w:proofErr w:type="spellEnd"/>
            <w:r w:rsidRPr="00816CD2">
              <w:rPr>
                <w:rFonts w:ascii="Arial" w:hAnsi="Arial" w:cs="Arial"/>
                <w:b/>
                <w:szCs w:val="24"/>
                <w:lang w:val="en-US"/>
              </w:rPr>
              <w:t xml:space="preserve"> breach:</w:t>
            </w:r>
          </w:p>
        </w:tc>
        <w:tc>
          <w:tcPr>
            <w:tcW w:w="5103" w:type="dxa"/>
            <w:shd w:val="clear" w:color="auto" w:fill="D9D9D9" w:themeFill="background1" w:themeFillShade="D9"/>
            <w:vAlign w:val="center"/>
          </w:tcPr>
          <w:p w14:paraId="40C0EC09" w14:textId="77777777" w:rsidR="002D6926" w:rsidRPr="00816CD2" w:rsidRDefault="002D6926" w:rsidP="00A47C26">
            <w:pPr>
              <w:spacing w:beforeLines="60" w:before="144" w:after="60"/>
              <w:jc w:val="right"/>
              <w:rPr>
                <w:rFonts w:ascii="Arial" w:hAnsi="Arial" w:cs="Arial"/>
                <w:szCs w:val="24"/>
                <w:lang w:val="en-US"/>
              </w:rPr>
            </w:pPr>
            <w:r w:rsidRPr="00816CD2">
              <w:rPr>
                <w:rFonts w:ascii="Arial" w:hAnsi="Arial" w:cs="Arial"/>
                <w:szCs w:val="24"/>
                <w:lang w:val="en-US"/>
              </w:rPr>
              <w:t xml:space="preserve">Council Member of the </w:t>
            </w:r>
            <w:r w:rsidRPr="00816CD2">
              <w:rPr>
                <w:rFonts w:ascii="Arial" w:hAnsi="Arial" w:cs="Arial"/>
                <w:szCs w:val="24"/>
              </w:rPr>
              <w:t>Town of East Fremantle</w:t>
            </w:r>
            <w:r w:rsidRPr="00816CD2">
              <w:rPr>
                <w:rFonts w:ascii="Arial" w:hAnsi="Arial" w:cs="Arial"/>
                <w:szCs w:val="24"/>
                <w:highlight w:val="yellow"/>
              </w:rPr>
              <w:t xml:space="preserve"> </w:t>
            </w:r>
          </w:p>
        </w:tc>
        <w:sdt>
          <w:sdtPr>
            <w:rPr>
              <w:rFonts w:ascii="Arial" w:hAnsi="Arial" w:cs="Arial"/>
              <w:szCs w:val="24"/>
              <w:lang w:val="en-US"/>
            </w:rPr>
            <w:id w:val="-1279326694"/>
            <w14:checkbox>
              <w14:checked w14:val="0"/>
              <w14:checkedState w14:val="2612" w14:font="MS Gothic"/>
              <w14:uncheckedState w14:val="2610" w14:font="MS Gothic"/>
            </w14:checkbox>
          </w:sdtPr>
          <w:sdtEndPr/>
          <w:sdtContent>
            <w:tc>
              <w:tcPr>
                <w:tcW w:w="709" w:type="dxa"/>
                <w:shd w:val="clear" w:color="auto" w:fill="auto"/>
                <w:vAlign w:val="center"/>
              </w:tcPr>
              <w:p w14:paraId="442BDC9A" w14:textId="77777777" w:rsidR="002D6926" w:rsidRPr="00816CD2" w:rsidRDefault="002D6926" w:rsidP="00A47C26">
                <w:pPr>
                  <w:spacing w:beforeLines="60" w:before="144" w:after="60"/>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4EEABBD4" w14:textId="77777777" w:rsidTr="00A47C26">
        <w:trPr>
          <w:trHeight w:val="557"/>
        </w:trPr>
        <w:tc>
          <w:tcPr>
            <w:tcW w:w="418" w:type="dxa"/>
            <w:vMerge/>
            <w:shd w:val="clear" w:color="auto" w:fill="D9D9D9" w:themeFill="background1" w:themeFillShade="D9"/>
          </w:tcPr>
          <w:p w14:paraId="57CECADD" w14:textId="77777777" w:rsidR="002D6926" w:rsidRPr="00816CD2" w:rsidRDefault="002D6926" w:rsidP="00A47C26">
            <w:pPr>
              <w:spacing w:beforeLines="60" w:before="144" w:after="60"/>
              <w:rPr>
                <w:rFonts w:ascii="Arial" w:hAnsi="Arial" w:cs="Arial"/>
                <w:b/>
                <w:szCs w:val="24"/>
                <w:lang w:val="en-US"/>
              </w:rPr>
            </w:pPr>
          </w:p>
        </w:tc>
        <w:tc>
          <w:tcPr>
            <w:tcW w:w="3688" w:type="dxa"/>
            <w:vMerge/>
            <w:shd w:val="clear" w:color="auto" w:fill="D9D9D9" w:themeFill="background1" w:themeFillShade="D9"/>
          </w:tcPr>
          <w:p w14:paraId="33496511" w14:textId="77777777" w:rsidR="002D6926" w:rsidRPr="00816CD2" w:rsidRDefault="002D6926" w:rsidP="00A47C26">
            <w:pPr>
              <w:spacing w:beforeLines="60" w:before="144" w:after="60"/>
              <w:rPr>
                <w:rFonts w:ascii="Arial" w:hAnsi="Arial" w:cs="Arial"/>
                <w:szCs w:val="24"/>
                <w:lang w:val="en-US"/>
              </w:rPr>
            </w:pPr>
          </w:p>
        </w:tc>
        <w:tc>
          <w:tcPr>
            <w:tcW w:w="5103" w:type="dxa"/>
            <w:shd w:val="clear" w:color="auto" w:fill="D9D9D9" w:themeFill="background1" w:themeFillShade="D9"/>
            <w:vAlign w:val="center"/>
          </w:tcPr>
          <w:p w14:paraId="21B6FC6B" w14:textId="77777777" w:rsidR="002D6926" w:rsidRPr="00816CD2" w:rsidRDefault="002D6926" w:rsidP="00A47C26">
            <w:pPr>
              <w:spacing w:beforeLines="60" w:before="144" w:after="60"/>
              <w:jc w:val="right"/>
              <w:rPr>
                <w:rFonts w:ascii="Arial" w:hAnsi="Arial" w:cs="Arial"/>
                <w:szCs w:val="24"/>
                <w:lang w:val="en-US"/>
              </w:rPr>
            </w:pPr>
            <w:r w:rsidRPr="00816CD2">
              <w:rPr>
                <w:rFonts w:ascii="Arial" w:hAnsi="Arial" w:cs="Arial"/>
                <w:szCs w:val="24"/>
                <w:lang w:val="en-US"/>
              </w:rPr>
              <w:t xml:space="preserve">Member of a Committee of the </w:t>
            </w:r>
            <w:r w:rsidRPr="00816CD2">
              <w:rPr>
                <w:rFonts w:ascii="Arial" w:hAnsi="Arial" w:cs="Arial"/>
                <w:szCs w:val="24"/>
              </w:rPr>
              <w:t>Town of East Fremantle</w:t>
            </w:r>
            <w:r w:rsidRPr="00816CD2">
              <w:rPr>
                <w:rFonts w:ascii="Arial" w:hAnsi="Arial" w:cs="Arial"/>
                <w:szCs w:val="24"/>
                <w:lang w:val="en-US"/>
              </w:rPr>
              <w:t xml:space="preserve"> </w:t>
            </w:r>
          </w:p>
        </w:tc>
        <w:sdt>
          <w:sdtPr>
            <w:rPr>
              <w:rFonts w:ascii="Arial" w:hAnsi="Arial" w:cs="Arial"/>
              <w:szCs w:val="24"/>
              <w:lang w:val="en-US"/>
            </w:rPr>
            <w:id w:val="1447805641"/>
            <w14:checkbox>
              <w14:checked w14:val="0"/>
              <w14:checkedState w14:val="2612" w14:font="MS Gothic"/>
              <w14:uncheckedState w14:val="2610" w14:font="MS Gothic"/>
            </w14:checkbox>
          </w:sdtPr>
          <w:sdtEndPr/>
          <w:sdtContent>
            <w:tc>
              <w:tcPr>
                <w:tcW w:w="709" w:type="dxa"/>
                <w:shd w:val="clear" w:color="auto" w:fill="auto"/>
                <w:vAlign w:val="center"/>
              </w:tcPr>
              <w:p w14:paraId="03FE540A" w14:textId="77777777" w:rsidR="002D6926" w:rsidRPr="00816CD2" w:rsidRDefault="002D6926" w:rsidP="00A47C26">
                <w:pPr>
                  <w:spacing w:beforeLines="60" w:before="144" w:after="60"/>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2D528109" w14:textId="77777777" w:rsidTr="00A47C26">
        <w:trPr>
          <w:trHeight w:val="252"/>
        </w:trPr>
        <w:tc>
          <w:tcPr>
            <w:tcW w:w="418" w:type="dxa"/>
            <w:vMerge/>
            <w:shd w:val="clear" w:color="auto" w:fill="D9D9D9" w:themeFill="background1" w:themeFillShade="D9"/>
          </w:tcPr>
          <w:p w14:paraId="1E3496B3" w14:textId="77777777" w:rsidR="002D6926" w:rsidRPr="00816CD2" w:rsidRDefault="002D6926" w:rsidP="00A47C26">
            <w:pPr>
              <w:spacing w:beforeLines="60" w:before="144" w:after="60"/>
              <w:rPr>
                <w:rFonts w:ascii="Arial" w:hAnsi="Arial" w:cs="Arial"/>
                <w:b/>
                <w:szCs w:val="24"/>
                <w:lang w:val="en-US"/>
              </w:rPr>
            </w:pPr>
          </w:p>
        </w:tc>
        <w:tc>
          <w:tcPr>
            <w:tcW w:w="3688" w:type="dxa"/>
            <w:vMerge/>
            <w:shd w:val="clear" w:color="auto" w:fill="D9D9D9" w:themeFill="background1" w:themeFillShade="D9"/>
          </w:tcPr>
          <w:p w14:paraId="62860CF8" w14:textId="77777777" w:rsidR="002D6926" w:rsidRPr="00816CD2" w:rsidRDefault="002D6926" w:rsidP="00A47C26">
            <w:pPr>
              <w:spacing w:beforeLines="60" w:before="144" w:after="60"/>
              <w:rPr>
                <w:rFonts w:ascii="Arial" w:hAnsi="Arial" w:cs="Arial"/>
                <w:szCs w:val="24"/>
                <w:lang w:val="en-US"/>
              </w:rPr>
            </w:pPr>
          </w:p>
        </w:tc>
        <w:tc>
          <w:tcPr>
            <w:tcW w:w="5103" w:type="dxa"/>
            <w:shd w:val="clear" w:color="auto" w:fill="D9D9D9" w:themeFill="background1" w:themeFillShade="D9"/>
            <w:vAlign w:val="center"/>
          </w:tcPr>
          <w:p w14:paraId="4BAC6BEC" w14:textId="77777777" w:rsidR="002D6926" w:rsidRPr="00816CD2" w:rsidRDefault="002D6926" w:rsidP="00A47C26">
            <w:pPr>
              <w:spacing w:beforeLines="60" w:before="144" w:after="60"/>
              <w:jc w:val="right"/>
              <w:rPr>
                <w:rFonts w:ascii="Arial" w:hAnsi="Arial" w:cs="Arial"/>
                <w:szCs w:val="24"/>
                <w:lang w:val="en-US"/>
              </w:rPr>
            </w:pPr>
            <w:r w:rsidRPr="00816CD2">
              <w:rPr>
                <w:rFonts w:ascii="Arial" w:hAnsi="Arial" w:cs="Arial"/>
                <w:szCs w:val="24"/>
                <w:lang w:val="en-US"/>
              </w:rPr>
              <w:t xml:space="preserve">Candidate for election at the </w:t>
            </w:r>
            <w:r w:rsidRPr="00816CD2">
              <w:rPr>
                <w:rFonts w:ascii="Arial" w:hAnsi="Arial" w:cs="Arial"/>
                <w:szCs w:val="24"/>
              </w:rPr>
              <w:t>Town of East Fremantle</w:t>
            </w:r>
            <w:r w:rsidRPr="00816CD2">
              <w:rPr>
                <w:rFonts w:ascii="Arial" w:hAnsi="Arial" w:cs="Arial"/>
                <w:szCs w:val="24"/>
                <w:lang w:val="en-US"/>
              </w:rPr>
              <w:t xml:space="preserve"> </w:t>
            </w:r>
          </w:p>
        </w:tc>
        <w:sdt>
          <w:sdtPr>
            <w:rPr>
              <w:rFonts w:ascii="Arial" w:hAnsi="Arial" w:cs="Arial"/>
              <w:szCs w:val="24"/>
              <w:lang w:val="en-US"/>
            </w:rPr>
            <w:id w:val="1149165274"/>
            <w14:checkbox>
              <w14:checked w14:val="0"/>
              <w14:checkedState w14:val="2612" w14:font="MS Gothic"/>
              <w14:uncheckedState w14:val="2610" w14:font="MS Gothic"/>
            </w14:checkbox>
          </w:sdtPr>
          <w:sdtEndPr/>
          <w:sdtContent>
            <w:tc>
              <w:tcPr>
                <w:tcW w:w="709" w:type="dxa"/>
                <w:shd w:val="clear" w:color="auto" w:fill="auto"/>
                <w:vAlign w:val="center"/>
              </w:tcPr>
              <w:p w14:paraId="30B510CE" w14:textId="77777777" w:rsidR="002D6926" w:rsidRPr="00816CD2" w:rsidRDefault="002D6926" w:rsidP="00A47C26">
                <w:pPr>
                  <w:spacing w:beforeLines="60" w:before="144" w:after="60"/>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bl>
    <w:p w14:paraId="512CF3B6" w14:textId="77777777" w:rsidR="002D6926" w:rsidRPr="00816CD2" w:rsidRDefault="002D6926" w:rsidP="002D6926">
      <w:pPr>
        <w:spacing w:after="0"/>
        <w:rPr>
          <w:rFonts w:ascii="Arial" w:hAnsi="Arial" w:cs="Arial"/>
          <w:szCs w:val="24"/>
          <w:lang w:val="en-US"/>
        </w:rPr>
      </w:pPr>
    </w:p>
    <w:tbl>
      <w:tblPr>
        <w:tblStyle w:val="TableGrid"/>
        <w:tblW w:w="9918" w:type="dxa"/>
        <w:tblLook w:val="04A0" w:firstRow="1" w:lastRow="0" w:firstColumn="1" w:lastColumn="0" w:noHBand="0" w:noVBand="1"/>
      </w:tblPr>
      <w:tblGrid>
        <w:gridCol w:w="421"/>
        <w:gridCol w:w="4397"/>
        <w:gridCol w:w="5100"/>
      </w:tblGrid>
      <w:tr w:rsidR="002D6926" w:rsidRPr="00816CD2" w14:paraId="7B8B6162" w14:textId="77777777" w:rsidTr="00A47C26">
        <w:trPr>
          <w:trHeight w:val="79"/>
        </w:trPr>
        <w:tc>
          <w:tcPr>
            <w:tcW w:w="421" w:type="dxa"/>
            <w:shd w:val="clear" w:color="auto" w:fill="D9D9D9" w:themeFill="background1" w:themeFillShade="D9"/>
          </w:tcPr>
          <w:p w14:paraId="448E64DC" w14:textId="77777777" w:rsidR="002D6926" w:rsidRPr="00816CD2" w:rsidRDefault="002D6926" w:rsidP="00A47C26">
            <w:pPr>
              <w:spacing w:beforeLines="60" w:before="144" w:after="60"/>
              <w:jc w:val="center"/>
              <w:rPr>
                <w:rFonts w:ascii="Arial" w:hAnsi="Arial" w:cs="Arial"/>
                <w:b/>
                <w:sz w:val="24"/>
                <w:szCs w:val="24"/>
                <w:lang w:val="en-US"/>
              </w:rPr>
            </w:pPr>
            <w:r w:rsidRPr="00816CD2">
              <w:rPr>
                <w:rFonts w:ascii="Arial" w:hAnsi="Arial" w:cs="Arial"/>
                <w:b/>
                <w:sz w:val="24"/>
                <w:szCs w:val="24"/>
                <w:lang w:val="en-US"/>
              </w:rPr>
              <w:t>3.</w:t>
            </w:r>
          </w:p>
        </w:tc>
        <w:tc>
          <w:tcPr>
            <w:tcW w:w="4397" w:type="dxa"/>
            <w:shd w:val="clear" w:color="auto" w:fill="D9D9D9" w:themeFill="background1" w:themeFillShade="D9"/>
            <w:vAlign w:val="center"/>
          </w:tcPr>
          <w:p w14:paraId="25C01A4C" w14:textId="77777777" w:rsidR="002D6926" w:rsidRPr="00816CD2" w:rsidRDefault="002D6926" w:rsidP="00A47C26">
            <w:pPr>
              <w:spacing w:beforeLines="60" w:before="144" w:after="60"/>
              <w:ind w:left="41"/>
              <w:rPr>
                <w:rFonts w:ascii="Arial" w:hAnsi="Arial" w:cs="Arial"/>
                <w:b/>
                <w:szCs w:val="24"/>
                <w:lang w:val="en-US"/>
              </w:rPr>
            </w:pPr>
            <w:r w:rsidRPr="00816CD2">
              <w:rPr>
                <w:rFonts w:ascii="Arial" w:hAnsi="Arial" w:cs="Arial"/>
                <w:b/>
                <w:szCs w:val="24"/>
                <w:lang w:val="en-US"/>
              </w:rPr>
              <w:t xml:space="preserve">Date that the alleged </w:t>
            </w:r>
            <w:proofErr w:type="spellStart"/>
            <w:r w:rsidRPr="00816CD2">
              <w:rPr>
                <w:rFonts w:ascii="Arial" w:hAnsi="Arial" w:cs="Arial"/>
                <w:b/>
                <w:szCs w:val="24"/>
                <w:lang w:val="en-US"/>
              </w:rPr>
              <w:t>behaviour</w:t>
            </w:r>
            <w:proofErr w:type="spellEnd"/>
            <w:r w:rsidRPr="00816CD2">
              <w:rPr>
                <w:rFonts w:ascii="Arial" w:hAnsi="Arial" w:cs="Arial"/>
                <w:b/>
                <w:szCs w:val="24"/>
                <w:lang w:val="en-US"/>
              </w:rPr>
              <w:t xml:space="preserve"> breach occurred:</w:t>
            </w:r>
          </w:p>
          <w:p w14:paraId="55BDAF4C" w14:textId="77777777" w:rsidR="002D6926" w:rsidRPr="00816CD2" w:rsidRDefault="002D6926" w:rsidP="00A47C26">
            <w:pPr>
              <w:spacing w:after="60"/>
              <w:ind w:left="40"/>
              <w:rPr>
                <w:rFonts w:ascii="Arial" w:hAnsi="Arial" w:cs="Arial"/>
                <w:i/>
                <w:sz w:val="24"/>
                <w:szCs w:val="24"/>
                <w:lang w:val="en-US"/>
              </w:rPr>
            </w:pPr>
          </w:p>
        </w:tc>
        <w:tc>
          <w:tcPr>
            <w:tcW w:w="5100" w:type="dxa"/>
            <w:shd w:val="clear" w:color="auto" w:fill="auto"/>
          </w:tcPr>
          <w:p w14:paraId="68FAE0B5" w14:textId="77777777" w:rsidR="002D6926" w:rsidRPr="00816CD2" w:rsidRDefault="002D6926" w:rsidP="00A47C26">
            <w:pPr>
              <w:spacing w:beforeLines="60" w:before="144" w:after="60"/>
              <w:ind w:left="41"/>
              <w:rPr>
                <w:rFonts w:ascii="Arial" w:hAnsi="Arial" w:cs="Arial"/>
                <w:szCs w:val="24"/>
                <w:lang w:val="en-US"/>
              </w:rPr>
            </w:pPr>
          </w:p>
        </w:tc>
      </w:tr>
    </w:tbl>
    <w:p w14:paraId="2D23E071" w14:textId="77777777" w:rsidR="002D6926" w:rsidRPr="00816CD2" w:rsidRDefault="002D6926" w:rsidP="002D6926">
      <w:pPr>
        <w:spacing w:after="0"/>
        <w:rPr>
          <w:rFonts w:ascii="Arial" w:hAnsi="Arial" w:cs="Arial"/>
          <w:szCs w:val="24"/>
          <w:lang w:val="en-US"/>
        </w:rPr>
      </w:pPr>
    </w:p>
    <w:tbl>
      <w:tblPr>
        <w:tblStyle w:val="TableGrid"/>
        <w:tblW w:w="9918" w:type="dxa"/>
        <w:tblLook w:val="04A0" w:firstRow="1" w:lastRow="0" w:firstColumn="1" w:lastColumn="0" w:noHBand="0" w:noVBand="1"/>
      </w:tblPr>
      <w:tblGrid>
        <w:gridCol w:w="421"/>
        <w:gridCol w:w="4397"/>
        <w:gridCol w:w="5100"/>
      </w:tblGrid>
      <w:tr w:rsidR="002D6926" w:rsidRPr="00816CD2" w14:paraId="009D557A" w14:textId="77777777" w:rsidTr="00A47C26">
        <w:trPr>
          <w:trHeight w:val="79"/>
        </w:trPr>
        <w:tc>
          <w:tcPr>
            <w:tcW w:w="421" w:type="dxa"/>
            <w:shd w:val="clear" w:color="auto" w:fill="D9D9D9" w:themeFill="background1" w:themeFillShade="D9"/>
          </w:tcPr>
          <w:p w14:paraId="546621FF" w14:textId="77777777" w:rsidR="002D6926" w:rsidRPr="00816CD2" w:rsidRDefault="002D6926" w:rsidP="00A47C26">
            <w:pPr>
              <w:spacing w:beforeLines="60" w:before="144" w:after="60"/>
              <w:jc w:val="center"/>
              <w:rPr>
                <w:rFonts w:ascii="Arial" w:hAnsi="Arial" w:cs="Arial"/>
                <w:b/>
                <w:sz w:val="24"/>
                <w:szCs w:val="24"/>
                <w:lang w:val="en-US"/>
              </w:rPr>
            </w:pPr>
            <w:r w:rsidRPr="00816CD2">
              <w:rPr>
                <w:rFonts w:ascii="Arial" w:hAnsi="Arial" w:cs="Arial"/>
                <w:b/>
                <w:sz w:val="24"/>
                <w:szCs w:val="24"/>
                <w:lang w:val="en-US"/>
              </w:rPr>
              <w:t>4.</w:t>
            </w:r>
          </w:p>
        </w:tc>
        <w:tc>
          <w:tcPr>
            <w:tcW w:w="4397" w:type="dxa"/>
            <w:shd w:val="clear" w:color="auto" w:fill="D9D9D9" w:themeFill="background1" w:themeFillShade="D9"/>
          </w:tcPr>
          <w:p w14:paraId="6D331065" w14:textId="77777777" w:rsidR="002D6926" w:rsidRPr="00816CD2" w:rsidRDefault="002D6926" w:rsidP="00A47C26">
            <w:pPr>
              <w:spacing w:beforeLines="60" w:before="144" w:after="60"/>
              <w:ind w:left="41"/>
              <w:rPr>
                <w:rFonts w:ascii="Arial" w:hAnsi="Arial" w:cs="Arial"/>
                <w:b/>
                <w:szCs w:val="24"/>
                <w:lang w:val="en-US"/>
              </w:rPr>
            </w:pPr>
            <w:r w:rsidRPr="00816CD2">
              <w:rPr>
                <w:rFonts w:ascii="Arial" w:hAnsi="Arial" w:cs="Arial"/>
                <w:b/>
                <w:szCs w:val="24"/>
                <w:lang w:val="en-US"/>
              </w:rPr>
              <w:t xml:space="preserve">Location where the alleged </w:t>
            </w:r>
            <w:proofErr w:type="spellStart"/>
            <w:r w:rsidRPr="00816CD2">
              <w:rPr>
                <w:rFonts w:ascii="Arial" w:hAnsi="Arial" w:cs="Arial"/>
                <w:b/>
                <w:szCs w:val="24"/>
                <w:lang w:val="en-US"/>
              </w:rPr>
              <w:t>behaviour</w:t>
            </w:r>
            <w:proofErr w:type="spellEnd"/>
            <w:r w:rsidRPr="00816CD2">
              <w:rPr>
                <w:rFonts w:ascii="Arial" w:hAnsi="Arial" w:cs="Arial"/>
                <w:b/>
                <w:szCs w:val="24"/>
                <w:lang w:val="en-US"/>
              </w:rPr>
              <w:t xml:space="preserve"> breach occurred:</w:t>
            </w:r>
            <w:r w:rsidRPr="00816CD2">
              <w:rPr>
                <w:rFonts w:ascii="Arial" w:hAnsi="Arial" w:cs="Arial"/>
                <w:b/>
                <w:szCs w:val="24"/>
                <w:lang w:val="en-US"/>
              </w:rPr>
              <w:br/>
            </w:r>
          </w:p>
        </w:tc>
        <w:tc>
          <w:tcPr>
            <w:tcW w:w="5100" w:type="dxa"/>
            <w:shd w:val="clear" w:color="auto" w:fill="auto"/>
          </w:tcPr>
          <w:p w14:paraId="5B08EDF2" w14:textId="77777777" w:rsidR="002D6926" w:rsidRPr="00816CD2" w:rsidRDefault="002D6926" w:rsidP="00A47C26">
            <w:pPr>
              <w:spacing w:beforeLines="60" w:before="144" w:after="60"/>
              <w:ind w:left="41"/>
              <w:rPr>
                <w:rFonts w:ascii="Arial" w:hAnsi="Arial" w:cs="Arial"/>
                <w:szCs w:val="24"/>
                <w:lang w:val="en-US"/>
              </w:rPr>
            </w:pPr>
          </w:p>
        </w:tc>
      </w:tr>
    </w:tbl>
    <w:p w14:paraId="2EE4E6C3" w14:textId="77777777" w:rsidR="002D6926" w:rsidRPr="00816CD2" w:rsidRDefault="002D6926" w:rsidP="002D6926">
      <w:pPr>
        <w:rPr>
          <w:rFonts w:ascii="Arial" w:hAnsi="Arial" w:cs="Arial"/>
          <w:szCs w:val="24"/>
          <w:lang w:val="en-US"/>
        </w:rPr>
      </w:pPr>
      <w:r w:rsidRPr="00816CD2">
        <w:rPr>
          <w:rFonts w:ascii="Arial" w:hAnsi="Arial" w:cs="Arial"/>
          <w:szCs w:val="24"/>
          <w:lang w:val="en-US"/>
        </w:rPr>
        <w:br w:type="page"/>
      </w:r>
    </w:p>
    <w:tbl>
      <w:tblPr>
        <w:tblStyle w:val="TableGrid"/>
        <w:tblW w:w="9919" w:type="dxa"/>
        <w:tblLook w:val="04A0" w:firstRow="1" w:lastRow="0" w:firstColumn="1" w:lastColumn="0" w:noHBand="0" w:noVBand="1"/>
      </w:tblPr>
      <w:tblGrid>
        <w:gridCol w:w="421"/>
        <w:gridCol w:w="8788"/>
        <w:gridCol w:w="710"/>
      </w:tblGrid>
      <w:tr w:rsidR="002D6926" w:rsidRPr="00816CD2" w14:paraId="51A7D2B3" w14:textId="77777777" w:rsidTr="00A47C26">
        <w:trPr>
          <w:trHeight w:val="93"/>
        </w:trPr>
        <w:tc>
          <w:tcPr>
            <w:tcW w:w="421" w:type="dxa"/>
            <w:vMerge w:val="restart"/>
            <w:shd w:val="clear" w:color="auto" w:fill="D9D9D9" w:themeFill="background1" w:themeFillShade="D9"/>
          </w:tcPr>
          <w:p w14:paraId="1E759E96" w14:textId="77777777" w:rsidR="002D6926" w:rsidRPr="00816CD2" w:rsidRDefault="002D6926" w:rsidP="00A47C26">
            <w:pPr>
              <w:spacing w:beforeLines="60" w:before="144" w:after="60"/>
              <w:rPr>
                <w:rFonts w:ascii="Arial" w:hAnsi="Arial" w:cs="Arial"/>
                <w:b/>
                <w:szCs w:val="24"/>
                <w:lang w:val="en-US"/>
              </w:rPr>
            </w:pPr>
            <w:r w:rsidRPr="00816CD2">
              <w:rPr>
                <w:rFonts w:ascii="Arial" w:hAnsi="Arial" w:cs="Arial"/>
                <w:b/>
                <w:szCs w:val="24"/>
                <w:lang w:val="en-US"/>
              </w:rPr>
              <w:lastRenderedPageBreak/>
              <w:t>5.</w:t>
            </w:r>
          </w:p>
        </w:tc>
        <w:tc>
          <w:tcPr>
            <w:tcW w:w="9498" w:type="dxa"/>
            <w:gridSpan w:val="2"/>
            <w:shd w:val="clear" w:color="auto" w:fill="D9D9D9" w:themeFill="background1" w:themeFillShade="D9"/>
          </w:tcPr>
          <w:p w14:paraId="21519402" w14:textId="77777777" w:rsidR="002D6926" w:rsidRPr="00816CD2" w:rsidRDefault="002D6926" w:rsidP="00A47C26">
            <w:pPr>
              <w:spacing w:before="60" w:after="60"/>
              <w:rPr>
                <w:rFonts w:ascii="Arial" w:hAnsi="Arial" w:cs="Arial"/>
                <w:b/>
                <w:szCs w:val="24"/>
                <w:lang w:val="en-US"/>
              </w:rPr>
            </w:pPr>
            <w:r w:rsidRPr="00816CD2">
              <w:rPr>
                <w:rFonts w:ascii="Arial" w:hAnsi="Arial" w:cs="Arial"/>
                <w:b/>
                <w:szCs w:val="24"/>
                <w:lang w:val="en-US"/>
              </w:rPr>
              <w:t xml:space="preserve">Which of the </w:t>
            </w:r>
            <w:proofErr w:type="spellStart"/>
            <w:r w:rsidRPr="00816CD2">
              <w:rPr>
                <w:rFonts w:ascii="Arial" w:hAnsi="Arial" w:cs="Arial"/>
                <w:b/>
                <w:szCs w:val="24"/>
                <w:lang w:val="en-US"/>
              </w:rPr>
              <w:t>behaviours</w:t>
            </w:r>
            <w:proofErr w:type="spellEnd"/>
            <w:r w:rsidRPr="00816CD2">
              <w:rPr>
                <w:rFonts w:ascii="Arial" w:hAnsi="Arial" w:cs="Arial"/>
                <w:b/>
                <w:szCs w:val="24"/>
                <w:lang w:val="en-US"/>
              </w:rPr>
              <w:t xml:space="preserve"> prescribed in Division 3 of the Town of East Fremantle’s Code of Conduct do you allege this person has breached? </w:t>
            </w:r>
          </w:p>
        </w:tc>
      </w:tr>
      <w:tr w:rsidR="002D6926" w:rsidRPr="00816CD2" w14:paraId="162BFE1C" w14:textId="77777777" w:rsidTr="00A47C26">
        <w:trPr>
          <w:trHeight w:val="93"/>
        </w:trPr>
        <w:tc>
          <w:tcPr>
            <w:tcW w:w="421" w:type="dxa"/>
            <w:vMerge/>
            <w:shd w:val="clear" w:color="auto" w:fill="D9D9D9" w:themeFill="background1" w:themeFillShade="D9"/>
          </w:tcPr>
          <w:p w14:paraId="2E4B078A" w14:textId="77777777" w:rsidR="002D6926" w:rsidRPr="00816CD2" w:rsidRDefault="002D6926" w:rsidP="00A47C26">
            <w:pPr>
              <w:spacing w:beforeLines="60" w:before="144" w:after="60"/>
              <w:rPr>
                <w:rFonts w:ascii="Arial" w:hAnsi="Arial" w:cs="Arial"/>
                <w:b/>
                <w:szCs w:val="24"/>
                <w:lang w:val="en-US"/>
              </w:rPr>
            </w:pPr>
          </w:p>
        </w:tc>
        <w:tc>
          <w:tcPr>
            <w:tcW w:w="9498" w:type="dxa"/>
            <w:gridSpan w:val="2"/>
            <w:shd w:val="clear" w:color="auto" w:fill="D9D9D9" w:themeFill="background1" w:themeFillShade="D9"/>
            <w:vAlign w:val="center"/>
          </w:tcPr>
          <w:p w14:paraId="0F6D0783" w14:textId="77777777" w:rsidR="002D6926" w:rsidRPr="00816CD2" w:rsidRDefault="002D6926" w:rsidP="00A47C26">
            <w:pPr>
              <w:spacing w:beforeLines="60" w:before="144"/>
              <w:ind w:left="567" w:hanging="567"/>
              <w:rPr>
                <w:rFonts w:ascii="Arial" w:hAnsi="Arial" w:cs="Arial"/>
                <w:szCs w:val="24"/>
                <w:lang w:val="en-US"/>
              </w:rPr>
            </w:pPr>
            <w:r w:rsidRPr="00816CD2">
              <w:rPr>
                <w:rFonts w:ascii="Arial" w:hAnsi="Arial" w:cs="Arial"/>
                <w:b/>
                <w:szCs w:val="24"/>
                <w:lang w:val="en-US"/>
              </w:rPr>
              <w:t>Clause 8. Personal integrity</w:t>
            </w:r>
            <w:r w:rsidRPr="00816CD2">
              <w:rPr>
                <w:rFonts w:ascii="Arial" w:hAnsi="Arial" w:cs="Arial"/>
                <w:szCs w:val="24"/>
                <w:lang w:val="en-US"/>
              </w:rPr>
              <w:t xml:space="preserve"> </w:t>
            </w:r>
          </w:p>
          <w:p w14:paraId="64C5DFEA" w14:textId="77777777" w:rsidR="002D6926" w:rsidRPr="00816CD2" w:rsidRDefault="002D6926" w:rsidP="00A47C26">
            <w:pPr>
              <w:spacing w:after="60"/>
              <w:ind w:left="567" w:hanging="567"/>
              <w:rPr>
                <w:rFonts w:ascii="Arial" w:hAnsi="Arial" w:cs="Arial"/>
                <w:szCs w:val="24"/>
                <w:lang w:val="en-US"/>
              </w:rPr>
            </w:pPr>
            <w:r w:rsidRPr="00816CD2">
              <w:rPr>
                <w:rFonts w:ascii="Arial" w:hAnsi="Arial" w:cs="Arial"/>
                <w:szCs w:val="24"/>
                <w:lang w:val="en-US"/>
              </w:rPr>
              <w:t xml:space="preserve">(1) </w:t>
            </w:r>
            <w:r w:rsidRPr="00816CD2">
              <w:rPr>
                <w:rFonts w:ascii="Arial" w:hAnsi="Arial" w:cs="Arial"/>
                <w:szCs w:val="24"/>
                <w:lang w:val="en-US"/>
              </w:rPr>
              <w:tab/>
              <w:t>A council member, committee member or candidate —</w:t>
            </w:r>
          </w:p>
        </w:tc>
      </w:tr>
      <w:tr w:rsidR="002D6926" w:rsidRPr="00816CD2" w14:paraId="04DA5AEF" w14:textId="77777777" w:rsidTr="00A47C26">
        <w:trPr>
          <w:trHeight w:val="79"/>
        </w:trPr>
        <w:tc>
          <w:tcPr>
            <w:tcW w:w="421" w:type="dxa"/>
            <w:vMerge/>
            <w:shd w:val="clear" w:color="auto" w:fill="D9D9D9" w:themeFill="background1" w:themeFillShade="D9"/>
          </w:tcPr>
          <w:p w14:paraId="30C03371"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58824387"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(a) </w:t>
            </w:r>
            <w:r w:rsidRPr="00816CD2">
              <w:rPr>
                <w:rFonts w:ascii="Arial" w:hAnsi="Arial" w:cs="Arial"/>
                <w:szCs w:val="24"/>
                <w:lang w:val="en-US"/>
              </w:rPr>
              <w:tab/>
              <w:t>must ensure that their use of social media and other forms of communication complies with this code; and</w:t>
            </w:r>
          </w:p>
        </w:tc>
        <w:sdt>
          <w:sdtPr>
            <w:rPr>
              <w:rFonts w:ascii="Arial" w:hAnsi="Arial" w:cs="Arial"/>
              <w:szCs w:val="24"/>
              <w:lang w:val="en-US"/>
            </w:rPr>
            <w:id w:val="-1791422046"/>
            <w14:checkbox>
              <w14:checked w14:val="0"/>
              <w14:checkedState w14:val="2612" w14:font="MS Gothic"/>
              <w14:uncheckedState w14:val="2610" w14:font="MS Gothic"/>
            </w14:checkbox>
          </w:sdtPr>
          <w:sdtEndPr/>
          <w:sdtContent>
            <w:tc>
              <w:tcPr>
                <w:tcW w:w="709" w:type="dxa"/>
                <w:shd w:val="clear" w:color="auto" w:fill="auto"/>
                <w:vAlign w:val="center"/>
              </w:tcPr>
              <w:p w14:paraId="186564D7"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0E8A3C07" w14:textId="77777777" w:rsidTr="00A47C26">
        <w:trPr>
          <w:trHeight w:val="79"/>
        </w:trPr>
        <w:tc>
          <w:tcPr>
            <w:tcW w:w="421" w:type="dxa"/>
            <w:vMerge/>
            <w:shd w:val="clear" w:color="auto" w:fill="D9D9D9" w:themeFill="background1" w:themeFillShade="D9"/>
          </w:tcPr>
          <w:p w14:paraId="47DF3999"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59B173F4"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(b) </w:t>
            </w:r>
            <w:r w:rsidRPr="00816CD2">
              <w:rPr>
                <w:rFonts w:ascii="Arial" w:hAnsi="Arial" w:cs="Arial"/>
                <w:szCs w:val="24"/>
                <w:lang w:val="en-US"/>
              </w:rPr>
              <w:tab/>
              <w:t>must only publish material that is factually correct</w:t>
            </w:r>
          </w:p>
        </w:tc>
        <w:sdt>
          <w:sdtPr>
            <w:rPr>
              <w:rFonts w:ascii="Arial" w:hAnsi="Arial" w:cs="Arial"/>
              <w:szCs w:val="24"/>
              <w:lang w:val="en-US"/>
            </w:rPr>
            <w:id w:val="481347526"/>
            <w14:checkbox>
              <w14:checked w14:val="0"/>
              <w14:checkedState w14:val="2612" w14:font="MS Gothic"/>
              <w14:uncheckedState w14:val="2610" w14:font="MS Gothic"/>
            </w14:checkbox>
          </w:sdtPr>
          <w:sdtEndPr/>
          <w:sdtContent>
            <w:tc>
              <w:tcPr>
                <w:tcW w:w="709" w:type="dxa"/>
                <w:shd w:val="clear" w:color="auto" w:fill="auto"/>
                <w:vAlign w:val="center"/>
              </w:tcPr>
              <w:p w14:paraId="07BA3B86"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464FEC90" w14:textId="77777777" w:rsidTr="00A47C26">
        <w:trPr>
          <w:trHeight w:val="79"/>
        </w:trPr>
        <w:tc>
          <w:tcPr>
            <w:tcW w:w="421" w:type="dxa"/>
            <w:vMerge/>
            <w:shd w:val="clear" w:color="auto" w:fill="D9D9D9" w:themeFill="background1" w:themeFillShade="D9"/>
          </w:tcPr>
          <w:p w14:paraId="682DA2CB" w14:textId="77777777" w:rsidR="002D6926" w:rsidRPr="00816CD2" w:rsidRDefault="002D6926" w:rsidP="00A47C26">
            <w:pPr>
              <w:spacing w:beforeLines="60" w:before="144" w:after="60"/>
              <w:ind w:left="880" w:hanging="567"/>
              <w:rPr>
                <w:rFonts w:ascii="Arial" w:hAnsi="Arial" w:cs="Arial"/>
              </w:rPr>
            </w:pPr>
          </w:p>
        </w:tc>
        <w:tc>
          <w:tcPr>
            <w:tcW w:w="9498" w:type="dxa"/>
            <w:gridSpan w:val="2"/>
            <w:shd w:val="clear" w:color="auto" w:fill="D9D9D9" w:themeFill="background1" w:themeFillShade="D9"/>
            <w:vAlign w:val="center"/>
          </w:tcPr>
          <w:p w14:paraId="39CB462D" w14:textId="77777777" w:rsidR="002D6926" w:rsidRPr="00816CD2" w:rsidRDefault="002D6926" w:rsidP="00A47C26">
            <w:pPr>
              <w:spacing w:before="60" w:after="60"/>
              <w:ind w:left="567" w:hanging="567"/>
              <w:rPr>
                <w:rFonts w:ascii="Arial" w:hAnsi="Arial" w:cs="Arial"/>
                <w:szCs w:val="24"/>
                <w:lang w:val="en-US"/>
              </w:rPr>
            </w:pPr>
            <w:r w:rsidRPr="00816CD2">
              <w:rPr>
                <w:rFonts w:ascii="Arial" w:hAnsi="Arial" w:cs="Arial"/>
              </w:rPr>
              <w:t xml:space="preserve">(2) </w:t>
            </w:r>
            <w:r w:rsidRPr="00816CD2">
              <w:rPr>
                <w:rFonts w:ascii="Arial" w:hAnsi="Arial" w:cs="Arial"/>
              </w:rPr>
              <w:tab/>
              <w:t xml:space="preserve">A </w:t>
            </w:r>
            <w:r w:rsidRPr="00816CD2">
              <w:rPr>
                <w:rFonts w:ascii="Arial" w:hAnsi="Arial" w:cs="Arial"/>
                <w:szCs w:val="24"/>
                <w:lang w:val="en-US"/>
              </w:rPr>
              <w:t>council</w:t>
            </w:r>
            <w:r w:rsidRPr="00816CD2">
              <w:rPr>
                <w:rFonts w:ascii="Arial" w:hAnsi="Arial" w:cs="Arial"/>
              </w:rPr>
              <w:t xml:space="preserve"> member or committee member —</w:t>
            </w:r>
          </w:p>
        </w:tc>
      </w:tr>
      <w:tr w:rsidR="002D6926" w:rsidRPr="00816CD2" w14:paraId="3D470AB1" w14:textId="77777777" w:rsidTr="00A47C26">
        <w:trPr>
          <w:trHeight w:val="79"/>
        </w:trPr>
        <w:tc>
          <w:tcPr>
            <w:tcW w:w="421" w:type="dxa"/>
            <w:vMerge/>
            <w:shd w:val="clear" w:color="auto" w:fill="D9D9D9" w:themeFill="background1" w:themeFillShade="D9"/>
          </w:tcPr>
          <w:p w14:paraId="03331D58"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5AF961F4"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(a) </w:t>
            </w:r>
            <w:r w:rsidRPr="00816CD2">
              <w:rPr>
                <w:rFonts w:ascii="Arial" w:hAnsi="Arial" w:cs="Arial"/>
                <w:szCs w:val="24"/>
                <w:lang w:val="en-US"/>
              </w:rPr>
              <w:tab/>
              <w:t>must not be impaired by alcohol or drugs in the performance of their official duties; and</w:t>
            </w:r>
          </w:p>
        </w:tc>
        <w:sdt>
          <w:sdtPr>
            <w:rPr>
              <w:rFonts w:ascii="Arial" w:hAnsi="Arial" w:cs="Arial"/>
              <w:szCs w:val="24"/>
              <w:lang w:val="en-US"/>
            </w:rPr>
            <w:id w:val="-1349172360"/>
            <w14:checkbox>
              <w14:checked w14:val="0"/>
              <w14:checkedState w14:val="2612" w14:font="MS Gothic"/>
              <w14:uncheckedState w14:val="2610" w14:font="MS Gothic"/>
            </w14:checkbox>
          </w:sdtPr>
          <w:sdtEndPr/>
          <w:sdtContent>
            <w:tc>
              <w:tcPr>
                <w:tcW w:w="709" w:type="dxa"/>
                <w:shd w:val="clear" w:color="auto" w:fill="auto"/>
                <w:vAlign w:val="center"/>
              </w:tcPr>
              <w:p w14:paraId="2C2FB532"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090E700A" w14:textId="77777777" w:rsidTr="00A47C26">
        <w:trPr>
          <w:trHeight w:val="79"/>
        </w:trPr>
        <w:tc>
          <w:tcPr>
            <w:tcW w:w="421" w:type="dxa"/>
            <w:vMerge/>
            <w:shd w:val="clear" w:color="auto" w:fill="D9D9D9" w:themeFill="background1" w:themeFillShade="D9"/>
          </w:tcPr>
          <w:p w14:paraId="697205BC"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5652EA8B"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(b) </w:t>
            </w:r>
            <w:r w:rsidRPr="00816CD2">
              <w:rPr>
                <w:rFonts w:ascii="Arial" w:hAnsi="Arial" w:cs="Arial"/>
                <w:szCs w:val="24"/>
                <w:lang w:val="en-US"/>
              </w:rPr>
              <w:tab/>
              <w:t>must comply with all policies, procedures and resolutions of the local government.</w:t>
            </w:r>
          </w:p>
        </w:tc>
        <w:sdt>
          <w:sdtPr>
            <w:rPr>
              <w:rFonts w:ascii="Arial" w:hAnsi="Arial" w:cs="Arial"/>
              <w:szCs w:val="24"/>
              <w:lang w:val="en-US"/>
            </w:rPr>
            <w:id w:val="-1427419565"/>
            <w14:checkbox>
              <w14:checked w14:val="0"/>
              <w14:checkedState w14:val="2612" w14:font="MS Gothic"/>
              <w14:uncheckedState w14:val="2610" w14:font="MS Gothic"/>
            </w14:checkbox>
          </w:sdtPr>
          <w:sdtEndPr/>
          <w:sdtContent>
            <w:tc>
              <w:tcPr>
                <w:tcW w:w="709" w:type="dxa"/>
                <w:shd w:val="clear" w:color="auto" w:fill="auto"/>
                <w:vAlign w:val="center"/>
              </w:tcPr>
              <w:p w14:paraId="45FCA9E4"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7A4A852C" w14:textId="77777777" w:rsidTr="00A47C26">
        <w:trPr>
          <w:trHeight w:val="79"/>
        </w:trPr>
        <w:tc>
          <w:tcPr>
            <w:tcW w:w="421" w:type="dxa"/>
            <w:vMerge/>
            <w:shd w:val="clear" w:color="auto" w:fill="D9D9D9" w:themeFill="background1" w:themeFillShade="D9"/>
          </w:tcPr>
          <w:p w14:paraId="09ECEBCE" w14:textId="77777777" w:rsidR="002D6926" w:rsidRPr="00816CD2" w:rsidRDefault="002D6926" w:rsidP="00A47C26">
            <w:pPr>
              <w:spacing w:beforeLines="60" w:before="144" w:after="60"/>
              <w:rPr>
                <w:rFonts w:ascii="Arial" w:hAnsi="Arial" w:cs="Arial"/>
                <w:b/>
                <w:szCs w:val="24"/>
                <w:lang w:val="en-US"/>
              </w:rPr>
            </w:pPr>
          </w:p>
        </w:tc>
        <w:tc>
          <w:tcPr>
            <w:tcW w:w="9498" w:type="dxa"/>
            <w:gridSpan w:val="2"/>
            <w:shd w:val="clear" w:color="auto" w:fill="D9D9D9" w:themeFill="background1" w:themeFillShade="D9"/>
            <w:vAlign w:val="center"/>
          </w:tcPr>
          <w:p w14:paraId="611EEBD7" w14:textId="77777777" w:rsidR="002D6926" w:rsidRPr="00816CD2" w:rsidRDefault="002D6926" w:rsidP="00A47C26">
            <w:pPr>
              <w:spacing w:before="60" w:after="60"/>
              <w:rPr>
                <w:rFonts w:ascii="Arial" w:hAnsi="Arial" w:cs="Arial"/>
                <w:b/>
                <w:szCs w:val="24"/>
                <w:lang w:val="en-US"/>
              </w:rPr>
            </w:pPr>
            <w:r w:rsidRPr="00816CD2">
              <w:rPr>
                <w:rFonts w:ascii="Arial" w:hAnsi="Arial" w:cs="Arial"/>
                <w:b/>
                <w:szCs w:val="24"/>
                <w:lang w:val="en-US"/>
              </w:rPr>
              <w:t xml:space="preserve">Clause 9. Relationship with others </w:t>
            </w:r>
            <w:r w:rsidRPr="00816CD2">
              <w:rPr>
                <w:rFonts w:ascii="Arial" w:hAnsi="Arial" w:cs="Arial"/>
                <w:b/>
                <w:szCs w:val="24"/>
                <w:lang w:val="en-US"/>
              </w:rPr>
              <w:br/>
            </w:r>
            <w:r w:rsidRPr="00816CD2">
              <w:rPr>
                <w:rFonts w:ascii="Arial" w:hAnsi="Arial" w:cs="Arial"/>
                <w:szCs w:val="24"/>
                <w:lang w:val="en-US"/>
              </w:rPr>
              <w:t>A council member, committee member or candidate —</w:t>
            </w:r>
          </w:p>
        </w:tc>
      </w:tr>
      <w:tr w:rsidR="002D6926" w:rsidRPr="00816CD2" w14:paraId="2F6F07E6" w14:textId="77777777" w:rsidTr="00A47C26">
        <w:trPr>
          <w:trHeight w:val="79"/>
        </w:trPr>
        <w:tc>
          <w:tcPr>
            <w:tcW w:w="421" w:type="dxa"/>
            <w:vMerge/>
            <w:shd w:val="clear" w:color="auto" w:fill="D9D9D9" w:themeFill="background1" w:themeFillShade="D9"/>
          </w:tcPr>
          <w:p w14:paraId="17E3E2AC"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1C7B935D"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(a) </w:t>
            </w:r>
            <w:r w:rsidRPr="00816CD2">
              <w:rPr>
                <w:rFonts w:ascii="Arial" w:hAnsi="Arial" w:cs="Arial"/>
                <w:szCs w:val="24"/>
                <w:lang w:val="en-US"/>
              </w:rPr>
              <w:tab/>
              <w:t>must not bully or harass another person in any way; and</w:t>
            </w:r>
          </w:p>
        </w:tc>
        <w:sdt>
          <w:sdtPr>
            <w:rPr>
              <w:rFonts w:ascii="Arial" w:hAnsi="Arial" w:cs="Arial"/>
              <w:szCs w:val="24"/>
              <w:lang w:val="en-US"/>
            </w:rPr>
            <w:id w:val="-470293086"/>
            <w14:checkbox>
              <w14:checked w14:val="0"/>
              <w14:checkedState w14:val="2612" w14:font="MS Gothic"/>
              <w14:uncheckedState w14:val="2610" w14:font="MS Gothic"/>
            </w14:checkbox>
          </w:sdtPr>
          <w:sdtEndPr/>
          <w:sdtContent>
            <w:tc>
              <w:tcPr>
                <w:tcW w:w="709" w:type="dxa"/>
                <w:shd w:val="clear" w:color="auto" w:fill="auto"/>
                <w:vAlign w:val="center"/>
              </w:tcPr>
              <w:p w14:paraId="4BD11713"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6A445A2E" w14:textId="77777777" w:rsidTr="00A47C26">
        <w:trPr>
          <w:trHeight w:val="79"/>
        </w:trPr>
        <w:tc>
          <w:tcPr>
            <w:tcW w:w="421" w:type="dxa"/>
            <w:vMerge/>
            <w:shd w:val="clear" w:color="auto" w:fill="D9D9D9" w:themeFill="background1" w:themeFillShade="D9"/>
          </w:tcPr>
          <w:p w14:paraId="518ECDC8"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6E795994"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(b) </w:t>
            </w:r>
            <w:r w:rsidRPr="00816CD2">
              <w:rPr>
                <w:rFonts w:ascii="Arial" w:hAnsi="Arial" w:cs="Arial"/>
                <w:szCs w:val="24"/>
                <w:lang w:val="en-US"/>
              </w:rPr>
              <w:tab/>
              <w:t>must deal with the media in a positive and appropriate manner and in accordance with any relevant policy of the local government; and</w:t>
            </w:r>
          </w:p>
        </w:tc>
        <w:sdt>
          <w:sdtPr>
            <w:rPr>
              <w:rFonts w:ascii="Arial" w:hAnsi="Arial" w:cs="Arial"/>
              <w:szCs w:val="24"/>
              <w:lang w:val="en-US"/>
            </w:rPr>
            <w:id w:val="1369950949"/>
            <w14:checkbox>
              <w14:checked w14:val="0"/>
              <w14:checkedState w14:val="2612" w14:font="MS Gothic"/>
              <w14:uncheckedState w14:val="2610" w14:font="MS Gothic"/>
            </w14:checkbox>
          </w:sdtPr>
          <w:sdtEndPr/>
          <w:sdtContent>
            <w:tc>
              <w:tcPr>
                <w:tcW w:w="709" w:type="dxa"/>
                <w:shd w:val="clear" w:color="auto" w:fill="auto"/>
                <w:vAlign w:val="center"/>
              </w:tcPr>
              <w:p w14:paraId="406E807F"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607C636C" w14:textId="77777777" w:rsidTr="00A47C26">
        <w:trPr>
          <w:trHeight w:val="79"/>
        </w:trPr>
        <w:tc>
          <w:tcPr>
            <w:tcW w:w="421" w:type="dxa"/>
            <w:vMerge/>
            <w:shd w:val="clear" w:color="auto" w:fill="D9D9D9" w:themeFill="background1" w:themeFillShade="D9"/>
          </w:tcPr>
          <w:p w14:paraId="5B4492F1"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70C60788"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(c) </w:t>
            </w:r>
            <w:r w:rsidRPr="00816CD2">
              <w:rPr>
                <w:rFonts w:ascii="Arial" w:hAnsi="Arial" w:cs="Arial"/>
                <w:szCs w:val="24"/>
                <w:lang w:val="en-US"/>
              </w:rPr>
              <w:tab/>
              <w:t>must not use offensive or derogatory language when referring to another person; and</w:t>
            </w:r>
          </w:p>
        </w:tc>
        <w:sdt>
          <w:sdtPr>
            <w:rPr>
              <w:rFonts w:ascii="Arial" w:hAnsi="Arial" w:cs="Arial"/>
              <w:szCs w:val="24"/>
              <w:lang w:val="en-US"/>
            </w:rPr>
            <w:id w:val="-1447222487"/>
            <w14:checkbox>
              <w14:checked w14:val="0"/>
              <w14:checkedState w14:val="2612" w14:font="MS Gothic"/>
              <w14:uncheckedState w14:val="2610" w14:font="MS Gothic"/>
            </w14:checkbox>
          </w:sdtPr>
          <w:sdtEndPr/>
          <w:sdtContent>
            <w:tc>
              <w:tcPr>
                <w:tcW w:w="709" w:type="dxa"/>
                <w:shd w:val="clear" w:color="auto" w:fill="auto"/>
                <w:vAlign w:val="center"/>
              </w:tcPr>
              <w:p w14:paraId="781BE064"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693047E1" w14:textId="77777777" w:rsidTr="00A47C26">
        <w:trPr>
          <w:trHeight w:val="79"/>
        </w:trPr>
        <w:tc>
          <w:tcPr>
            <w:tcW w:w="421" w:type="dxa"/>
            <w:vMerge/>
            <w:shd w:val="clear" w:color="auto" w:fill="D9D9D9" w:themeFill="background1" w:themeFillShade="D9"/>
          </w:tcPr>
          <w:p w14:paraId="1EFF1342"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3A928978"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(d) </w:t>
            </w:r>
            <w:r w:rsidRPr="00816CD2">
              <w:rPr>
                <w:rFonts w:ascii="Arial" w:hAnsi="Arial" w:cs="Arial"/>
                <w:szCs w:val="24"/>
                <w:lang w:val="en-US"/>
              </w:rPr>
              <w:tab/>
              <w:t>must not disparage the character of another council member, committee member or candidate or a local government employee in connection with the performance of their official duties; and</w:t>
            </w:r>
          </w:p>
        </w:tc>
        <w:sdt>
          <w:sdtPr>
            <w:rPr>
              <w:rFonts w:ascii="Arial" w:hAnsi="Arial" w:cs="Arial"/>
              <w:szCs w:val="24"/>
              <w:lang w:val="en-US"/>
            </w:rPr>
            <w:id w:val="267437777"/>
            <w14:checkbox>
              <w14:checked w14:val="0"/>
              <w14:checkedState w14:val="2612" w14:font="MS Gothic"/>
              <w14:uncheckedState w14:val="2610" w14:font="MS Gothic"/>
            </w14:checkbox>
          </w:sdtPr>
          <w:sdtEndPr/>
          <w:sdtContent>
            <w:tc>
              <w:tcPr>
                <w:tcW w:w="709" w:type="dxa"/>
                <w:shd w:val="clear" w:color="auto" w:fill="auto"/>
                <w:vAlign w:val="center"/>
              </w:tcPr>
              <w:p w14:paraId="22B086CE"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3A13B805" w14:textId="77777777" w:rsidTr="00A47C26">
        <w:trPr>
          <w:trHeight w:val="79"/>
        </w:trPr>
        <w:tc>
          <w:tcPr>
            <w:tcW w:w="421" w:type="dxa"/>
            <w:vMerge/>
            <w:shd w:val="clear" w:color="auto" w:fill="D9D9D9" w:themeFill="background1" w:themeFillShade="D9"/>
          </w:tcPr>
          <w:p w14:paraId="7C4261AB"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19A9E2A5"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(e) </w:t>
            </w:r>
            <w:r w:rsidRPr="00816CD2">
              <w:rPr>
                <w:rFonts w:ascii="Arial" w:hAnsi="Arial" w:cs="Arial"/>
                <w:szCs w:val="24"/>
                <w:lang w:val="en-US"/>
              </w:rPr>
              <w:tab/>
              <w:t>must not impute dishonest or unethical motives to another council member, committee member or candidate or a local government employee in connection with the performance of their official duties.</w:t>
            </w:r>
          </w:p>
        </w:tc>
        <w:sdt>
          <w:sdtPr>
            <w:rPr>
              <w:rFonts w:ascii="Arial" w:hAnsi="Arial" w:cs="Arial"/>
              <w:szCs w:val="24"/>
              <w:lang w:val="en-US"/>
            </w:rPr>
            <w:id w:val="2082178336"/>
            <w14:checkbox>
              <w14:checked w14:val="0"/>
              <w14:checkedState w14:val="2612" w14:font="MS Gothic"/>
              <w14:uncheckedState w14:val="2610" w14:font="MS Gothic"/>
            </w14:checkbox>
          </w:sdtPr>
          <w:sdtEndPr/>
          <w:sdtContent>
            <w:tc>
              <w:tcPr>
                <w:tcW w:w="709" w:type="dxa"/>
                <w:shd w:val="clear" w:color="auto" w:fill="auto"/>
                <w:vAlign w:val="center"/>
              </w:tcPr>
              <w:p w14:paraId="2568A1CB"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012F0BF2" w14:textId="77777777" w:rsidTr="00A47C26">
        <w:trPr>
          <w:trHeight w:val="79"/>
        </w:trPr>
        <w:tc>
          <w:tcPr>
            <w:tcW w:w="421" w:type="dxa"/>
            <w:vMerge/>
            <w:shd w:val="clear" w:color="auto" w:fill="D9D9D9" w:themeFill="background1" w:themeFillShade="D9"/>
          </w:tcPr>
          <w:p w14:paraId="21877867" w14:textId="77777777" w:rsidR="002D6926" w:rsidRPr="00816CD2" w:rsidRDefault="002D6926" w:rsidP="00A47C26">
            <w:pPr>
              <w:spacing w:beforeLines="60" w:before="144" w:after="60"/>
              <w:rPr>
                <w:rFonts w:ascii="Arial" w:hAnsi="Arial" w:cs="Arial"/>
                <w:b/>
                <w:szCs w:val="24"/>
                <w:lang w:val="en-US"/>
              </w:rPr>
            </w:pPr>
          </w:p>
        </w:tc>
        <w:tc>
          <w:tcPr>
            <w:tcW w:w="9498" w:type="dxa"/>
            <w:gridSpan w:val="2"/>
            <w:shd w:val="clear" w:color="auto" w:fill="D9D9D9" w:themeFill="background1" w:themeFillShade="D9"/>
            <w:vAlign w:val="center"/>
          </w:tcPr>
          <w:p w14:paraId="6522C010" w14:textId="77777777" w:rsidR="002D6926" w:rsidRPr="00816CD2" w:rsidRDefault="002D6926" w:rsidP="00A47C26">
            <w:pPr>
              <w:spacing w:before="60" w:after="60"/>
              <w:rPr>
                <w:rFonts w:ascii="Arial" w:hAnsi="Arial" w:cs="Arial"/>
                <w:szCs w:val="24"/>
                <w:lang w:val="en-US"/>
              </w:rPr>
            </w:pPr>
            <w:r w:rsidRPr="00816CD2">
              <w:rPr>
                <w:rFonts w:ascii="Arial" w:hAnsi="Arial" w:cs="Arial"/>
                <w:b/>
                <w:szCs w:val="24"/>
                <w:lang w:val="en-US"/>
              </w:rPr>
              <w:t xml:space="preserve">Clause 10. Council or committee meetings </w:t>
            </w:r>
            <w:r w:rsidRPr="00816CD2">
              <w:rPr>
                <w:rFonts w:ascii="Arial" w:hAnsi="Arial" w:cs="Arial"/>
                <w:b/>
                <w:szCs w:val="24"/>
                <w:lang w:val="en-US"/>
              </w:rPr>
              <w:br/>
            </w:r>
            <w:r w:rsidRPr="00816CD2">
              <w:rPr>
                <w:rFonts w:ascii="Arial" w:hAnsi="Arial" w:cs="Arial"/>
                <w:szCs w:val="24"/>
                <w:lang w:val="en-US"/>
              </w:rPr>
              <w:t>When attending a council or committee meeting, a council member, committee member or candidate —</w:t>
            </w:r>
          </w:p>
        </w:tc>
      </w:tr>
      <w:tr w:rsidR="002D6926" w:rsidRPr="00816CD2" w14:paraId="31B23DB2" w14:textId="77777777" w:rsidTr="00A47C26">
        <w:trPr>
          <w:trHeight w:val="79"/>
        </w:trPr>
        <w:tc>
          <w:tcPr>
            <w:tcW w:w="421" w:type="dxa"/>
            <w:vMerge/>
            <w:shd w:val="clear" w:color="auto" w:fill="D9D9D9" w:themeFill="background1" w:themeFillShade="D9"/>
          </w:tcPr>
          <w:p w14:paraId="04E9E622"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1C2E6811"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(a) </w:t>
            </w:r>
            <w:r w:rsidRPr="00816CD2">
              <w:rPr>
                <w:rFonts w:ascii="Arial" w:hAnsi="Arial" w:cs="Arial"/>
                <w:szCs w:val="24"/>
                <w:lang w:val="en-US"/>
              </w:rPr>
              <w:tab/>
              <w:t>must not act in an abusive or threatening manner towards another person; and</w:t>
            </w:r>
          </w:p>
        </w:tc>
        <w:sdt>
          <w:sdtPr>
            <w:rPr>
              <w:rFonts w:ascii="Arial" w:hAnsi="Arial" w:cs="Arial"/>
              <w:szCs w:val="24"/>
              <w:lang w:val="en-US"/>
            </w:rPr>
            <w:id w:val="670993189"/>
            <w14:checkbox>
              <w14:checked w14:val="0"/>
              <w14:checkedState w14:val="2612" w14:font="MS Gothic"/>
              <w14:uncheckedState w14:val="2610" w14:font="MS Gothic"/>
            </w14:checkbox>
          </w:sdtPr>
          <w:sdtEndPr/>
          <w:sdtContent>
            <w:tc>
              <w:tcPr>
                <w:tcW w:w="709" w:type="dxa"/>
                <w:shd w:val="clear" w:color="auto" w:fill="auto"/>
                <w:vAlign w:val="center"/>
              </w:tcPr>
              <w:p w14:paraId="3B5B1E9D"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4F1364F9" w14:textId="77777777" w:rsidTr="00A47C26">
        <w:trPr>
          <w:trHeight w:val="79"/>
        </w:trPr>
        <w:tc>
          <w:tcPr>
            <w:tcW w:w="421" w:type="dxa"/>
            <w:vMerge/>
            <w:shd w:val="clear" w:color="auto" w:fill="D9D9D9" w:themeFill="background1" w:themeFillShade="D9"/>
          </w:tcPr>
          <w:p w14:paraId="1DF5B0EE"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75915713"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(b) </w:t>
            </w:r>
            <w:r w:rsidRPr="00816CD2">
              <w:rPr>
                <w:rFonts w:ascii="Arial" w:hAnsi="Arial" w:cs="Arial"/>
                <w:szCs w:val="24"/>
                <w:lang w:val="en-US"/>
              </w:rPr>
              <w:tab/>
              <w:t>must not make a statement that the member or candidate knows, or could reasonably be expected to know, is false or misleading; and</w:t>
            </w:r>
          </w:p>
        </w:tc>
        <w:sdt>
          <w:sdtPr>
            <w:rPr>
              <w:rFonts w:ascii="Arial" w:hAnsi="Arial" w:cs="Arial"/>
              <w:szCs w:val="24"/>
              <w:lang w:val="en-US"/>
            </w:rPr>
            <w:id w:val="-1544516118"/>
            <w14:checkbox>
              <w14:checked w14:val="0"/>
              <w14:checkedState w14:val="2612" w14:font="MS Gothic"/>
              <w14:uncheckedState w14:val="2610" w14:font="MS Gothic"/>
            </w14:checkbox>
          </w:sdtPr>
          <w:sdtEndPr/>
          <w:sdtContent>
            <w:tc>
              <w:tcPr>
                <w:tcW w:w="709" w:type="dxa"/>
                <w:shd w:val="clear" w:color="auto" w:fill="auto"/>
                <w:vAlign w:val="center"/>
              </w:tcPr>
              <w:p w14:paraId="63C67214"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1BEA3788" w14:textId="77777777" w:rsidTr="00A47C26">
        <w:trPr>
          <w:trHeight w:val="79"/>
        </w:trPr>
        <w:tc>
          <w:tcPr>
            <w:tcW w:w="421" w:type="dxa"/>
            <w:vMerge/>
            <w:shd w:val="clear" w:color="auto" w:fill="D9D9D9" w:themeFill="background1" w:themeFillShade="D9"/>
          </w:tcPr>
          <w:p w14:paraId="36157A07"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70F722A6"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(c) </w:t>
            </w:r>
            <w:r w:rsidRPr="00816CD2">
              <w:rPr>
                <w:rFonts w:ascii="Arial" w:hAnsi="Arial" w:cs="Arial"/>
                <w:szCs w:val="24"/>
                <w:lang w:val="en-US"/>
              </w:rPr>
              <w:tab/>
              <w:t>must not repeatedly disrupt the meeting; and</w:t>
            </w:r>
          </w:p>
        </w:tc>
        <w:sdt>
          <w:sdtPr>
            <w:rPr>
              <w:rFonts w:ascii="Arial" w:hAnsi="Arial" w:cs="Arial"/>
              <w:szCs w:val="24"/>
              <w:lang w:val="en-US"/>
            </w:rPr>
            <w:id w:val="1163510463"/>
            <w14:checkbox>
              <w14:checked w14:val="0"/>
              <w14:checkedState w14:val="2612" w14:font="MS Gothic"/>
              <w14:uncheckedState w14:val="2610" w14:font="MS Gothic"/>
            </w14:checkbox>
          </w:sdtPr>
          <w:sdtEndPr/>
          <w:sdtContent>
            <w:tc>
              <w:tcPr>
                <w:tcW w:w="709" w:type="dxa"/>
                <w:shd w:val="clear" w:color="auto" w:fill="auto"/>
                <w:vAlign w:val="center"/>
              </w:tcPr>
              <w:p w14:paraId="53F93EC7"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072F7D07" w14:textId="77777777" w:rsidTr="00A47C26">
        <w:trPr>
          <w:trHeight w:val="79"/>
        </w:trPr>
        <w:tc>
          <w:tcPr>
            <w:tcW w:w="421" w:type="dxa"/>
            <w:vMerge/>
            <w:shd w:val="clear" w:color="auto" w:fill="D9D9D9" w:themeFill="background1" w:themeFillShade="D9"/>
          </w:tcPr>
          <w:p w14:paraId="03610AB7"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3CE4CBB3"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(d) </w:t>
            </w:r>
            <w:r w:rsidRPr="00816CD2">
              <w:rPr>
                <w:rFonts w:ascii="Arial" w:hAnsi="Arial" w:cs="Arial"/>
                <w:szCs w:val="24"/>
                <w:lang w:val="en-US"/>
              </w:rPr>
              <w:tab/>
              <w:t>must comply with any requirements of a local law of the local government relating to the procedures and conduct of council or committee meetings; and</w:t>
            </w:r>
          </w:p>
        </w:tc>
        <w:sdt>
          <w:sdtPr>
            <w:rPr>
              <w:rFonts w:ascii="Arial" w:hAnsi="Arial" w:cs="Arial"/>
              <w:szCs w:val="24"/>
              <w:lang w:val="en-US"/>
            </w:rPr>
            <w:id w:val="1669218154"/>
            <w14:checkbox>
              <w14:checked w14:val="0"/>
              <w14:checkedState w14:val="2612" w14:font="MS Gothic"/>
              <w14:uncheckedState w14:val="2610" w14:font="MS Gothic"/>
            </w14:checkbox>
          </w:sdtPr>
          <w:sdtEndPr/>
          <w:sdtContent>
            <w:tc>
              <w:tcPr>
                <w:tcW w:w="709" w:type="dxa"/>
                <w:shd w:val="clear" w:color="auto" w:fill="auto"/>
                <w:vAlign w:val="center"/>
              </w:tcPr>
              <w:p w14:paraId="306754DD"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7C939D3F" w14:textId="77777777" w:rsidTr="00A47C26">
        <w:trPr>
          <w:trHeight w:val="79"/>
        </w:trPr>
        <w:tc>
          <w:tcPr>
            <w:tcW w:w="421" w:type="dxa"/>
            <w:vMerge/>
            <w:shd w:val="clear" w:color="auto" w:fill="D9D9D9" w:themeFill="background1" w:themeFillShade="D9"/>
          </w:tcPr>
          <w:p w14:paraId="43DC27BF"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6FED98AF"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(e) </w:t>
            </w:r>
            <w:r w:rsidRPr="00816CD2">
              <w:rPr>
                <w:rFonts w:ascii="Arial" w:hAnsi="Arial" w:cs="Arial"/>
                <w:szCs w:val="24"/>
                <w:lang w:val="en-US"/>
              </w:rPr>
              <w:tab/>
              <w:t>must comply with any direction given by the person presiding at the meeting; and</w:t>
            </w:r>
          </w:p>
        </w:tc>
        <w:sdt>
          <w:sdtPr>
            <w:rPr>
              <w:rFonts w:ascii="Arial" w:hAnsi="Arial" w:cs="Arial"/>
              <w:szCs w:val="24"/>
              <w:lang w:val="en-US"/>
            </w:rPr>
            <w:id w:val="2032523514"/>
            <w14:checkbox>
              <w14:checked w14:val="0"/>
              <w14:checkedState w14:val="2612" w14:font="MS Gothic"/>
              <w14:uncheckedState w14:val="2610" w14:font="MS Gothic"/>
            </w14:checkbox>
          </w:sdtPr>
          <w:sdtEndPr/>
          <w:sdtContent>
            <w:tc>
              <w:tcPr>
                <w:tcW w:w="709" w:type="dxa"/>
                <w:shd w:val="clear" w:color="auto" w:fill="auto"/>
                <w:vAlign w:val="center"/>
              </w:tcPr>
              <w:p w14:paraId="09076AA9"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r w:rsidR="002D6926" w:rsidRPr="00816CD2" w14:paraId="0BAA6DE8" w14:textId="77777777" w:rsidTr="00A47C26">
        <w:trPr>
          <w:trHeight w:val="79"/>
        </w:trPr>
        <w:tc>
          <w:tcPr>
            <w:tcW w:w="421" w:type="dxa"/>
            <w:vMerge/>
            <w:shd w:val="clear" w:color="auto" w:fill="D9D9D9" w:themeFill="background1" w:themeFillShade="D9"/>
          </w:tcPr>
          <w:p w14:paraId="46048182" w14:textId="77777777" w:rsidR="002D6926" w:rsidRPr="00816CD2" w:rsidRDefault="002D6926" w:rsidP="00A47C26">
            <w:pPr>
              <w:spacing w:beforeLines="60" w:before="144" w:after="60"/>
              <w:jc w:val="center"/>
              <w:rPr>
                <w:rFonts w:ascii="Arial" w:hAnsi="Arial" w:cs="Arial"/>
                <w:szCs w:val="24"/>
                <w:lang w:val="en-US"/>
              </w:rPr>
            </w:pPr>
          </w:p>
        </w:tc>
        <w:tc>
          <w:tcPr>
            <w:tcW w:w="8788" w:type="dxa"/>
            <w:shd w:val="clear" w:color="auto" w:fill="D9D9D9" w:themeFill="background1" w:themeFillShade="D9"/>
            <w:vAlign w:val="center"/>
          </w:tcPr>
          <w:p w14:paraId="35E92960" w14:textId="77777777" w:rsidR="002D6926" w:rsidRPr="00816CD2" w:rsidRDefault="002D6926" w:rsidP="00A47C26">
            <w:pPr>
              <w:spacing w:before="60" w:after="60"/>
              <w:ind w:left="465" w:hanging="465"/>
              <w:rPr>
                <w:rFonts w:ascii="Arial" w:hAnsi="Arial" w:cs="Arial"/>
                <w:szCs w:val="24"/>
                <w:lang w:val="en-US"/>
              </w:rPr>
            </w:pPr>
            <w:r w:rsidRPr="00816CD2">
              <w:rPr>
                <w:rFonts w:ascii="Arial" w:hAnsi="Arial" w:cs="Arial"/>
                <w:szCs w:val="24"/>
                <w:lang w:val="en-US"/>
              </w:rPr>
              <w:t xml:space="preserve">(f) </w:t>
            </w:r>
            <w:r w:rsidRPr="00816CD2">
              <w:rPr>
                <w:rFonts w:ascii="Arial" w:hAnsi="Arial" w:cs="Arial"/>
                <w:szCs w:val="24"/>
                <w:lang w:val="en-US"/>
              </w:rPr>
              <w:tab/>
              <w:t>must immediately cease to engage in any conduct that has been ruled out of order by the person presiding at the meeting.</w:t>
            </w:r>
          </w:p>
        </w:tc>
        <w:sdt>
          <w:sdtPr>
            <w:rPr>
              <w:rFonts w:ascii="Arial" w:hAnsi="Arial" w:cs="Arial"/>
              <w:szCs w:val="24"/>
              <w:lang w:val="en-US"/>
            </w:rPr>
            <w:id w:val="263579948"/>
            <w14:checkbox>
              <w14:checked w14:val="0"/>
              <w14:checkedState w14:val="2612" w14:font="MS Gothic"/>
              <w14:uncheckedState w14:val="2610" w14:font="MS Gothic"/>
            </w14:checkbox>
          </w:sdtPr>
          <w:sdtEndPr/>
          <w:sdtContent>
            <w:tc>
              <w:tcPr>
                <w:tcW w:w="709" w:type="dxa"/>
                <w:shd w:val="clear" w:color="auto" w:fill="auto"/>
                <w:vAlign w:val="center"/>
              </w:tcPr>
              <w:p w14:paraId="4CE516D9" w14:textId="77777777" w:rsidR="002D6926" w:rsidRPr="00816CD2" w:rsidRDefault="002D6926" w:rsidP="00A47C26">
                <w:pPr>
                  <w:spacing w:beforeLines="60" w:before="144" w:after="60"/>
                  <w:ind w:left="592" w:hanging="567"/>
                  <w:jc w:val="center"/>
                  <w:rPr>
                    <w:rFonts w:ascii="Arial" w:hAnsi="Arial" w:cs="Arial"/>
                    <w:szCs w:val="24"/>
                    <w:lang w:val="en-US"/>
                  </w:rPr>
                </w:pPr>
                <w:r w:rsidRPr="00816CD2">
                  <w:rPr>
                    <w:rFonts w:ascii="Segoe UI Symbol" w:eastAsia="MS Gothic" w:hAnsi="Segoe UI Symbol" w:cs="Segoe UI Symbol"/>
                    <w:szCs w:val="24"/>
                    <w:lang w:val="en-US"/>
                  </w:rPr>
                  <w:t>☐</w:t>
                </w:r>
              </w:p>
            </w:tc>
          </w:sdtContent>
        </w:sdt>
      </w:tr>
    </w:tbl>
    <w:p w14:paraId="2447266A" w14:textId="77777777" w:rsidR="002D6926" w:rsidRPr="00816CD2" w:rsidRDefault="002D6926" w:rsidP="002D6926">
      <w:pPr>
        <w:rPr>
          <w:rFonts w:ascii="Arial" w:hAnsi="Arial" w:cs="Arial"/>
          <w:szCs w:val="24"/>
          <w:lang w:val="en-US"/>
        </w:rPr>
      </w:pPr>
    </w:p>
    <w:p w14:paraId="58996EC6" w14:textId="77777777" w:rsidR="002D6926" w:rsidRPr="00816CD2" w:rsidRDefault="002D6926" w:rsidP="002D6926">
      <w:pPr>
        <w:rPr>
          <w:rFonts w:ascii="Arial" w:hAnsi="Arial" w:cs="Arial"/>
          <w:szCs w:val="24"/>
          <w:lang w:val="en-US"/>
        </w:rPr>
      </w:pPr>
      <w:r w:rsidRPr="00816CD2">
        <w:rPr>
          <w:rFonts w:ascii="Arial" w:hAnsi="Arial" w:cs="Arial"/>
          <w:szCs w:val="24"/>
          <w:lang w:val="en-US"/>
        </w:rPr>
        <w:br w:type="page"/>
      </w:r>
    </w:p>
    <w:tbl>
      <w:tblPr>
        <w:tblStyle w:val="TableGrid"/>
        <w:tblW w:w="9776" w:type="dxa"/>
        <w:tblLook w:val="04A0" w:firstRow="1" w:lastRow="0" w:firstColumn="1" w:lastColumn="0" w:noHBand="0" w:noVBand="1"/>
      </w:tblPr>
      <w:tblGrid>
        <w:gridCol w:w="421"/>
        <w:gridCol w:w="9355"/>
      </w:tblGrid>
      <w:tr w:rsidR="002D6926" w:rsidRPr="00816CD2" w14:paraId="7AEA2CB8" w14:textId="77777777" w:rsidTr="00A47C26">
        <w:trPr>
          <w:trHeight w:val="79"/>
        </w:trPr>
        <w:tc>
          <w:tcPr>
            <w:tcW w:w="421" w:type="dxa"/>
            <w:shd w:val="clear" w:color="auto" w:fill="D9D9D9" w:themeFill="background1" w:themeFillShade="D9"/>
          </w:tcPr>
          <w:p w14:paraId="113B7999" w14:textId="77777777" w:rsidR="002D6926" w:rsidRPr="00816CD2" w:rsidRDefault="002D6926" w:rsidP="00A47C26">
            <w:pPr>
              <w:spacing w:beforeLines="60" w:before="144" w:after="60"/>
              <w:jc w:val="center"/>
              <w:rPr>
                <w:rFonts w:ascii="Arial" w:hAnsi="Arial" w:cs="Arial"/>
                <w:b/>
                <w:szCs w:val="24"/>
                <w:lang w:val="en-US"/>
              </w:rPr>
            </w:pPr>
            <w:r w:rsidRPr="00816CD2">
              <w:rPr>
                <w:rFonts w:ascii="Arial" w:hAnsi="Arial" w:cs="Arial"/>
                <w:b/>
                <w:szCs w:val="24"/>
                <w:lang w:val="en-US"/>
              </w:rPr>
              <w:lastRenderedPageBreak/>
              <w:t>6.</w:t>
            </w:r>
          </w:p>
        </w:tc>
        <w:tc>
          <w:tcPr>
            <w:tcW w:w="9355" w:type="dxa"/>
            <w:shd w:val="clear" w:color="auto" w:fill="D9D9D9" w:themeFill="background1" w:themeFillShade="D9"/>
            <w:vAlign w:val="center"/>
          </w:tcPr>
          <w:p w14:paraId="31B4A9FD" w14:textId="77777777" w:rsidR="002D6926" w:rsidRPr="00816CD2" w:rsidRDefault="002D6926" w:rsidP="00A47C26">
            <w:pPr>
              <w:spacing w:beforeLines="60" w:before="144" w:after="60"/>
              <w:ind w:left="41"/>
              <w:rPr>
                <w:rFonts w:ascii="Arial" w:hAnsi="Arial" w:cs="Arial"/>
                <w:i/>
                <w:szCs w:val="24"/>
                <w:lang w:val="en-US"/>
              </w:rPr>
            </w:pPr>
            <w:r w:rsidRPr="00816CD2">
              <w:rPr>
                <w:rFonts w:ascii="Arial" w:hAnsi="Arial" w:cs="Arial"/>
                <w:b/>
                <w:szCs w:val="24"/>
                <w:lang w:val="en-US"/>
              </w:rPr>
              <w:t xml:space="preserve">State the full details of the alleged breach. </w:t>
            </w:r>
          </w:p>
        </w:tc>
      </w:tr>
      <w:tr w:rsidR="002D6926" w:rsidRPr="00816CD2" w14:paraId="4FC1C060" w14:textId="77777777" w:rsidTr="00A47C26">
        <w:trPr>
          <w:trHeight w:val="79"/>
        </w:trPr>
        <w:tc>
          <w:tcPr>
            <w:tcW w:w="9776" w:type="dxa"/>
            <w:gridSpan w:val="2"/>
            <w:shd w:val="clear" w:color="auto" w:fill="auto"/>
          </w:tcPr>
          <w:p w14:paraId="04C27892" w14:textId="77777777" w:rsidR="002D6926" w:rsidRPr="00816CD2" w:rsidRDefault="002D6926" w:rsidP="00A47C26">
            <w:pPr>
              <w:spacing w:beforeLines="60" w:before="144" w:after="60"/>
              <w:ind w:firstLine="25"/>
              <w:rPr>
                <w:rFonts w:ascii="Arial" w:hAnsi="Arial" w:cs="Arial"/>
                <w:szCs w:val="24"/>
                <w:lang w:val="en-US"/>
              </w:rPr>
            </w:pPr>
          </w:p>
          <w:p w14:paraId="339837E8" w14:textId="77777777" w:rsidR="002D6926" w:rsidRPr="00816CD2" w:rsidRDefault="002D6926" w:rsidP="00A47C26">
            <w:pPr>
              <w:spacing w:beforeLines="60" w:before="144" w:after="60"/>
              <w:ind w:firstLine="25"/>
              <w:rPr>
                <w:rFonts w:ascii="Arial" w:hAnsi="Arial" w:cs="Arial"/>
                <w:szCs w:val="24"/>
                <w:lang w:val="en-US"/>
              </w:rPr>
            </w:pPr>
          </w:p>
          <w:p w14:paraId="71A581F7" w14:textId="77777777" w:rsidR="002D6926" w:rsidRPr="00816CD2" w:rsidRDefault="002D6926" w:rsidP="00A47C26">
            <w:pPr>
              <w:spacing w:beforeLines="60" w:before="144" w:after="60"/>
              <w:ind w:firstLine="25"/>
              <w:rPr>
                <w:rFonts w:ascii="Arial" w:hAnsi="Arial" w:cs="Arial"/>
                <w:szCs w:val="24"/>
                <w:lang w:val="en-US"/>
              </w:rPr>
            </w:pPr>
          </w:p>
          <w:p w14:paraId="7577D3E4" w14:textId="77777777" w:rsidR="002D6926" w:rsidRPr="00816CD2" w:rsidRDefault="002D6926" w:rsidP="00A47C26">
            <w:pPr>
              <w:spacing w:beforeLines="60" w:before="144" w:after="60"/>
              <w:ind w:firstLine="25"/>
              <w:rPr>
                <w:rFonts w:ascii="Arial" w:hAnsi="Arial" w:cs="Arial"/>
                <w:szCs w:val="24"/>
                <w:lang w:val="en-US"/>
              </w:rPr>
            </w:pPr>
          </w:p>
          <w:p w14:paraId="1108D914" w14:textId="77777777" w:rsidR="002D6926" w:rsidRPr="00816CD2" w:rsidRDefault="002D6926" w:rsidP="00A47C26">
            <w:pPr>
              <w:spacing w:beforeLines="60" w:before="144" w:after="60"/>
              <w:ind w:firstLine="25"/>
              <w:rPr>
                <w:rFonts w:ascii="Arial" w:hAnsi="Arial" w:cs="Arial"/>
                <w:szCs w:val="24"/>
                <w:lang w:val="en-US"/>
              </w:rPr>
            </w:pPr>
          </w:p>
          <w:p w14:paraId="1B7C8280" w14:textId="77777777" w:rsidR="002D6926" w:rsidRPr="00816CD2" w:rsidRDefault="002D6926" w:rsidP="00A47C26">
            <w:pPr>
              <w:spacing w:beforeLines="60" w:before="144" w:after="60"/>
              <w:ind w:firstLine="25"/>
              <w:rPr>
                <w:rFonts w:ascii="Arial" w:hAnsi="Arial" w:cs="Arial"/>
                <w:szCs w:val="24"/>
                <w:lang w:val="en-US"/>
              </w:rPr>
            </w:pPr>
          </w:p>
          <w:p w14:paraId="12A71EC0" w14:textId="77777777" w:rsidR="002D6926" w:rsidRPr="00816CD2" w:rsidRDefault="002D6926" w:rsidP="00A47C26">
            <w:pPr>
              <w:spacing w:beforeLines="60" w:before="144" w:after="60"/>
              <w:ind w:firstLine="25"/>
              <w:rPr>
                <w:rFonts w:ascii="Arial" w:hAnsi="Arial" w:cs="Arial"/>
                <w:szCs w:val="24"/>
                <w:lang w:val="en-US"/>
              </w:rPr>
            </w:pPr>
          </w:p>
          <w:p w14:paraId="305372B5" w14:textId="77777777" w:rsidR="002D6926" w:rsidRPr="00816CD2" w:rsidRDefault="002D6926" w:rsidP="00A47C26">
            <w:pPr>
              <w:spacing w:beforeLines="60" w:before="144" w:after="60"/>
              <w:ind w:firstLine="25"/>
              <w:rPr>
                <w:rFonts w:ascii="Arial" w:hAnsi="Arial" w:cs="Arial"/>
                <w:szCs w:val="24"/>
                <w:lang w:val="en-US"/>
              </w:rPr>
            </w:pPr>
          </w:p>
          <w:p w14:paraId="0C64641F" w14:textId="77777777" w:rsidR="002D6926" w:rsidRPr="00816CD2" w:rsidRDefault="002D6926" w:rsidP="00A47C26">
            <w:pPr>
              <w:spacing w:beforeLines="60" w:before="144" w:after="60"/>
              <w:ind w:firstLine="25"/>
              <w:rPr>
                <w:rFonts w:ascii="Arial" w:hAnsi="Arial" w:cs="Arial"/>
                <w:szCs w:val="24"/>
                <w:lang w:val="en-US"/>
              </w:rPr>
            </w:pPr>
          </w:p>
          <w:p w14:paraId="0261AEFD" w14:textId="77777777" w:rsidR="002D6926" w:rsidRPr="00816CD2" w:rsidRDefault="002D6926" w:rsidP="00A47C26">
            <w:pPr>
              <w:spacing w:beforeLines="60" w:before="144" w:after="60"/>
              <w:ind w:firstLine="25"/>
              <w:rPr>
                <w:rFonts w:ascii="Arial" w:hAnsi="Arial" w:cs="Arial"/>
                <w:szCs w:val="24"/>
                <w:lang w:val="en-US"/>
              </w:rPr>
            </w:pPr>
          </w:p>
          <w:p w14:paraId="7882DC73" w14:textId="77777777" w:rsidR="002D6926" w:rsidRPr="00816CD2" w:rsidRDefault="002D6926" w:rsidP="00A47C26">
            <w:pPr>
              <w:spacing w:beforeLines="60" w:before="144" w:after="60"/>
              <w:ind w:firstLine="25"/>
              <w:rPr>
                <w:rFonts w:ascii="Arial" w:hAnsi="Arial" w:cs="Arial"/>
                <w:szCs w:val="24"/>
                <w:lang w:val="en-US"/>
              </w:rPr>
            </w:pPr>
          </w:p>
          <w:p w14:paraId="4F501EFD" w14:textId="77777777" w:rsidR="002D6926" w:rsidRPr="00816CD2" w:rsidRDefault="002D6926" w:rsidP="00A47C26">
            <w:pPr>
              <w:spacing w:beforeLines="60" w:before="144" w:after="60"/>
              <w:ind w:firstLine="25"/>
              <w:rPr>
                <w:rFonts w:ascii="Arial" w:hAnsi="Arial" w:cs="Arial"/>
                <w:b/>
                <w:sz w:val="24"/>
                <w:szCs w:val="24"/>
                <w:lang w:val="en-US"/>
              </w:rPr>
            </w:pPr>
          </w:p>
        </w:tc>
      </w:tr>
    </w:tbl>
    <w:p w14:paraId="56FE155D" w14:textId="77777777" w:rsidR="002D6926" w:rsidRPr="00816CD2" w:rsidRDefault="002D6926" w:rsidP="002D6926">
      <w:pPr>
        <w:spacing w:after="0"/>
        <w:rPr>
          <w:rFonts w:ascii="Arial" w:hAnsi="Arial" w:cs="Arial"/>
          <w:szCs w:val="24"/>
          <w:lang w:val="en-US"/>
        </w:rPr>
      </w:pPr>
    </w:p>
    <w:tbl>
      <w:tblPr>
        <w:tblStyle w:val="TableGrid"/>
        <w:tblW w:w="9776" w:type="dxa"/>
        <w:tblLook w:val="04A0" w:firstRow="1" w:lastRow="0" w:firstColumn="1" w:lastColumn="0" w:noHBand="0" w:noVBand="1"/>
      </w:tblPr>
      <w:tblGrid>
        <w:gridCol w:w="421"/>
        <w:gridCol w:w="9355"/>
      </w:tblGrid>
      <w:tr w:rsidR="002D6926" w:rsidRPr="00816CD2" w14:paraId="127A360A" w14:textId="77777777" w:rsidTr="00A47C26">
        <w:trPr>
          <w:trHeight w:val="858"/>
        </w:trPr>
        <w:tc>
          <w:tcPr>
            <w:tcW w:w="421" w:type="dxa"/>
            <w:shd w:val="clear" w:color="auto" w:fill="D9D9D9" w:themeFill="background1" w:themeFillShade="D9"/>
          </w:tcPr>
          <w:p w14:paraId="6C867F9A" w14:textId="77777777" w:rsidR="002D6926" w:rsidRPr="00816CD2" w:rsidRDefault="002D6926" w:rsidP="00A47C26">
            <w:pPr>
              <w:spacing w:beforeLines="60" w:before="144" w:after="60"/>
              <w:jc w:val="center"/>
              <w:rPr>
                <w:rFonts w:ascii="Arial" w:hAnsi="Arial" w:cs="Arial"/>
                <w:b/>
                <w:szCs w:val="24"/>
                <w:lang w:val="en-US"/>
              </w:rPr>
            </w:pPr>
            <w:r w:rsidRPr="00816CD2">
              <w:rPr>
                <w:rFonts w:ascii="Arial" w:hAnsi="Arial" w:cs="Arial"/>
                <w:b/>
                <w:szCs w:val="24"/>
                <w:lang w:val="en-US"/>
              </w:rPr>
              <w:t>7</w:t>
            </w:r>
          </w:p>
        </w:tc>
        <w:tc>
          <w:tcPr>
            <w:tcW w:w="9355" w:type="dxa"/>
            <w:shd w:val="clear" w:color="auto" w:fill="D9D9D9" w:themeFill="background1" w:themeFillShade="D9"/>
            <w:vAlign w:val="center"/>
          </w:tcPr>
          <w:p w14:paraId="7EDA2995" w14:textId="77777777" w:rsidR="002D6926" w:rsidRPr="00816CD2" w:rsidRDefault="002D6926" w:rsidP="00A47C26">
            <w:pPr>
              <w:spacing w:beforeLines="60" w:before="144" w:after="60"/>
              <w:ind w:firstLine="25"/>
              <w:rPr>
                <w:rFonts w:ascii="Arial" w:hAnsi="Arial" w:cs="Arial"/>
                <w:szCs w:val="24"/>
                <w:lang w:val="en-US"/>
              </w:rPr>
            </w:pPr>
            <w:r w:rsidRPr="00816CD2">
              <w:rPr>
                <w:rFonts w:ascii="Arial" w:hAnsi="Arial" w:cs="Arial"/>
                <w:b/>
                <w:lang w:val="en-US"/>
              </w:rPr>
              <w:t>List any additional information you have provided as part of this complaint:</w:t>
            </w:r>
            <w:r w:rsidRPr="00816CD2">
              <w:rPr>
                <w:rFonts w:ascii="Arial" w:hAnsi="Arial" w:cs="Arial"/>
                <w:b/>
                <w:lang w:val="en-US"/>
              </w:rPr>
              <w:br/>
            </w:r>
            <w:r w:rsidRPr="00816CD2">
              <w:rPr>
                <w:rFonts w:ascii="Arial" w:hAnsi="Arial" w:cs="Arial"/>
                <w:i/>
                <w:sz w:val="20"/>
                <w:lang w:val="en-US"/>
              </w:rPr>
              <w:t>Please ensure all information relevant to the alleged breach has been attached. This information will be the basis on which the complaint is considered.</w:t>
            </w:r>
          </w:p>
        </w:tc>
      </w:tr>
      <w:tr w:rsidR="002D6926" w:rsidRPr="00816CD2" w14:paraId="74EE8E0F" w14:textId="77777777" w:rsidTr="00A47C26">
        <w:trPr>
          <w:trHeight w:val="858"/>
        </w:trPr>
        <w:tc>
          <w:tcPr>
            <w:tcW w:w="9776" w:type="dxa"/>
            <w:gridSpan w:val="2"/>
            <w:shd w:val="clear" w:color="auto" w:fill="auto"/>
          </w:tcPr>
          <w:p w14:paraId="7577C950" w14:textId="77777777" w:rsidR="002D6926" w:rsidRPr="00816CD2" w:rsidRDefault="002D6926" w:rsidP="00A47C26">
            <w:pPr>
              <w:spacing w:beforeLines="60" w:before="144" w:after="60"/>
              <w:ind w:firstLine="25"/>
              <w:rPr>
                <w:rFonts w:ascii="Arial" w:hAnsi="Arial" w:cs="Arial"/>
                <w:szCs w:val="24"/>
                <w:lang w:val="en-US"/>
              </w:rPr>
            </w:pPr>
          </w:p>
          <w:p w14:paraId="0F72FE4C" w14:textId="77777777" w:rsidR="002D6926" w:rsidRPr="00816CD2" w:rsidRDefault="002D6926" w:rsidP="00A47C26">
            <w:pPr>
              <w:spacing w:beforeLines="60" w:before="144" w:after="60"/>
              <w:ind w:firstLine="25"/>
              <w:rPr>
                <w:rFonts w:ascii="Arial" w:hAnsi="Arial" w:cs="Arial"/>
                <w:szCs w:val="24"/>
                <w:lang w:val="en-US"/>
              </w:rPr>
            </w:pPr>
          </w:p>
          <w:p w14:paraId="49926361" w14:textId="77777777" w:rsidR="002D6926" w:rsidRPr="00816CD2" w:rsidRDefault="002D6926" w:rsidP="00A47C26">
            <w:pPr>
              <w:spacing w:beforeLines="60" w:before="144" w:after="60"/>
              <w:ind w:firstLine="25"/>
              <w:rPr>
                <w:rFonts w:ascii="Arial" w:hAnsi="Arial" w:cs="Arial"/>
                <w:szCs w:val="24"/>
                <w:lang w:val="en-US"/>
              </w:rPr>
            </w:pPr>
          </w:p>
          <w:p w14:paraId="0FFB5BCE" w14:textId="77777777" w:rsidR="002D6926" w:rsidRPr="00816CD2" w:rsidRDefault="002D6926" w:rsidP="00A47C26">
            <w:pPr>
              <w:spacing w:beforeLines="60" w:before="144" w:after="60"/>
              <w:ind w:firstLine="25"/>
              <w:rPr>
                <w:rFonts w:ascii="Arial" w:hAnsi="Arial" w:cs="Arial"/>
                <w:szCs w:val="24"/>
                <w:lang w:val="en-US"/>
              </w:rPr>
            </w:pPr>
          </w:p>
          <w:p w14:paraId="38FD9FF7" w14:textId="77777777" w:rsidR="002D6926" w:rsidRPr="00816CD2" w:rsidRDefault="002D6926" w:rsidP="00A47C26">
            <w:pPr>
              <w:spacing w:beforeLines="60" w:before="144" w:after="60"/>
              <w:ind w:firstLine="25"/>
              <w:rPr>
                <w:rFonts w:ascii="Arial" w:hAnsi="Arial" w:cs="Arial"/>
                <w:szCs w:val="24"/>
                <w:lang w:val="en-US"/>
              </w:rPr>
            </w:pPr>
          </w:p>
        </w:tc>
      </w:tr>
    </w:tbl>
    <w:p w14:paraId="7ECCD2A7" w14:textId="77777777" w:rsidR="002D6926" w:rsidRPr="00816CD2" w:rsidRDefault="002D6926" w:rsidP="002D6926">
      <w:pPr>
        <w:spacing w:after="0"/>
        <w:rPr>
          <w:rFonts w:ascii="Arial" w:hAnsi="Arial" w:cs="Arial"/>
          <w:szCs w:val="24"/>
          <w:lang w:val="en-US"/>
        </w:rPr>
      </w:pPr>
    </w:p>
    <w:tbl>
      <w:tblPr>
        <w:tblStyle w:val="TableGrid"/>
        <w:tblW w:w="0" w:type="auto"/>
        <w:tblLook w:val="04A0" w:firstRow="1" w:lastRow="0" w:firstColumn="1" w:lastColumn="0" w:noHBand="0" w:noVBand="1"/>
      </w:tblPr>
      <w:tblGrid>
        <w:gridCol w:w="421"/>
        <w:gridCol w:w="425"/>
        <w:gridCol w:w="709"/>
        <w:gridCol w:w="8181"/>
      </w:tblGrid>
      <w:tr w:rsidR="002D6926" w:rsidRPr="00816CD2" w14:paraId="2E19A184" w14:textId="77777777" w:rsidTr="00A47C26">
        <w:trPr>
          <w:trHeight w:val="497"/>
        </w:trPr>
        <w:tc>
          <w:tcPr>
            <w:tcW w:w="421" w:type="dxa"/>
            <w:shd w:val="clear" w:color="auto" w:fill="D9D9D9" w:themeFill="background1" w:themeFillShade="D9"/>
          </w:tcPr>
          <w:p w14:paraId="12BA3E97" w14:textId="77777777" w:rsidR="002D6926" w:rsidRPr="00816CD2" w:rsidRDefault="002D6926" w:rsidP="00A47C26">
            <w:pPr>
              <w:spacing w:beforeLines="60" w:before="144" w:after="60"/>
              <w:jc w:val="center"/>
              <w:rPr>
                <w:rFonts w:ascii="Arial" w:hAnsi="Arial" w:cs="Arial"/>
                <w:b/>
                <w:lang w:val="en-US"/>
              </w:rPr>
            </w:pPr>
            <w:r w:rsidRPr="00816CD2">
              <w:rPr>
                <w:rFonts w:ascii="Arial" w:hAnsi="Arial" w:cs="Arial"/>
                <w:b/>
                <w:lang w:val="en-US"/>
              </w:rPr>
              <w:t>9</w:t>
            </w:r>
          </w:p>
        </w:tc>
        <w:tc>
          <w:tcPr>
            <w:tcW w:w="9315" w:type="dxa"/>
            <w:gridSpan w:val="3"/>
            <w:shd w:val="clear" w:color="auto" w:fill="D9D9D9" w:themeFill="background1" w:themeFillShade="D9"/>
            <w:vAlign w:val="center"/>
          </w:tcPr>
          <w:p w14:paraId="0DFFEC51" w14:textId="77777777" w:rsidR="002D6926" w:rsidRPr="00816CD2" w:rsidRDefault="002D6926" w:rsidP="00A47C26">
            <w:pPr>
              <w:spacing w:before="120" w:after="120"/>
              <w:rPr>
                <w:rFonts w:ascii="Arial" w:hAnsi="Arial" w:cs="Arial"/>
                <w:i/>
                <w:lang w:val="en-US"/>
              </w:rPr>
            </w:pPr>
            <w:r w:rsidRPr="00816CD2">
              <w:rPr>
                <w:rFonts w:ascii="Arial" w:hAnsi="Arial" w:cs="Arial"/>
                <w:b/>
                <w:lang w:val="en-US"/>
              </w:rPr>
              <w:t>Have you made any efforts to resolve the complaint with the Respondent?</w:t>
            </w:r>
            <w:r w:rsidRPr="00816CD2">
              <w:rPr>
                <w:rFonts w:ascii="Arial" w:hAnsi="Arial" w:cs="Arial"/>
                <w:b/>
                <w:lang w:val="en-US"/>
              </w:rPr>
              <w:br/>
            </w:r>
            <w:r w:rsidRPr="00816CD2">
              <w:rPr>
                <w:rFonts w:ascii="Arial" w:hAnsi="Arial" w:cs="Arial"/>
                <w:i/>
                <w:sz w:val="20"/>
                <w:lang w:val="en-US"/>
              </w:rPr>
              <w:t xml:space="preserve">Please note, you MUST complete this section </w:t>
            </w:r>
          </w:p>
        </w:tc>
      </w:tr>
      <w:tr w:rsidR="002D6926" w:rsidRPr="00816CD2" w14:paraId="25CF3B5D" w14:textId="77777777" w:rsidTr="00A47C26">
        <w:trPr>
          <w:trHeight w:val="547"/>
        </w:trPr>
        <w:tc>
          <w:tcPr>
            <w:tcW w:w="846" w:type="dxa"/>
            <w:gridSpan w:val="2"/>
            <w:shd w:val="clear" w:color="auto" w:fill="D9D9D9" w:themeFill="background1" w:themeFillShade="D9"/>
          </w:tcPr>
          <w:p w14:paraId="2856005F" w14:textId="77777777" w:rsidR="002D6926" w:rsidRPr="00816CD2" w:rsidRDefault="002D6926" w:rsidP="00A47C26">
            <w:pPr>
              <w:spacing w:before="120" w:after="120"/>
              <w:rPr>
                <w:rFonts w:ascii="Arial" w:hAnsi="Arial" w:cs="Arial"/>
                <w:b/>
                <w:sz w:val="24"/>
                <w:szCs w:val="24"/>
                <w:lang w:val="en-US"/>
              </w:rPr>
            </w:pPr>
            <w:r w:rsidRPr="00816CD2">
              <w:rPr>
                <w:rFonts w:ascii="Arial" w:hAnsi="Arial" w:cs="Arial"/>
                <w:b/>
                <w:szCs w:val="24"/>
                <w:lang w:val="en-US"/>
              </w:rPr>
              <w:t>YES</w:t>
            </w:r>
          </w:p>
        </w:tc>
        <w:sdt>
          <w:sdtPr>
            <w:rPr>
              <w:rFonts w:ascii="Arial" w:eastAsia="MS Gothic" w:hAnsi="Arial" w:cs="Arial"/>
              <w:b/>
              <w:szCs w:val="24"/>
              <w:lang w:val="en-US"/>
            </w:rPr>
            <w:id w:val="29628067"/>
            <w14:checkbox>
              <w14:checked w14:val="0"/>
              <w14:checkedState w14:val="2612" w14:font="MS Gothic"/>
              <w14:uncheckedState w14:val="2610" w14:font="MS Gothic"/>
            </w14:checkbox>
          </w:sdtPr>
          <w:sdtEndPr/>
          <w:sdtContent>
            <w:tc>
              <w:tcPr>
                <w:tcW w:w="709" w:type="dxa"/>
              </w:tcPr>
              <w:p w14:paraId="065917EE" w14:textId="77777777" w:rsidR="002D6926" w:rsidRPr="00816CD2" w:rsidRDefault="002D6926" w:rsidP="00A47C26">
                <w:pPr>
                  <w:spacing w:before="120" w:after="120"/>
                  <w:jc w:val="center"/>
                  <w:rPr>
                    <w:rFonts w:ascii="Arial" w:eastAsia="MS Gothic" w:hAnsi="Arial" w:cs="Arial"/>
                    <w:b/>
                    <w:szCs w:val="24"/>
                    <w:lang w:val="en-US"/>
                  </w:rPr>
                </w:pPr>
                <w:r w:rsidRPr="00816CD2">
                  <w:rPr>
                    <w:rFonts w:ascii="Segoe UI Symbol" w:eastAsia="MS Gothic" w:hAnsi="Segoe UI Symbol" w:cs="Segoe UI Symbol"/>
                    <w:b/>
                    <w:szCs w:val="24"/>
                    <w:lang w:val="en-US"/>
                  </w:rPr>
                  <w:t>☐</w:t>
                </w:r>
              </w:p>
            </w:tc>
          </w:sdtContent>
        </w:sdt>
        <w:tc>
          <w:tcPr>
            <w:tcW w:w="8181" w:type="dxa"/>
            <w:vAlign w:val="center"/>
          </w:tcPr>
          <w:p w14:paraId="22F7A9A7" w14:textId="77777777" w:rsidR="002D6926" w:rsidRPr="00816CD2" w:rsidRDefault="002D6926" w:rsidP="00A47C26">
            <w:pPr>
              <w:spacing w:before="120" w:after="120"/>
              <w:rPr>
                <w:rFonts w:ascii="Arial" w:hAnsi="Arial" w:cs="Arial"/>
                <w:i/>
                <w:sz w:val="20"/>
                <w:szCs w:val="24"/>
                <w:lang w:val="en-US"/>
              </w:rPr>
            </w:pPr>
            <w:r w:rsidRPr="00816CD2">
              <w:rPr>
                <w:rFonts w:ascii="Arial" w:hAnsi="Arial" w:cs="Arial"/>
                <w:i/>
                <w:sz w:val="20"/>
                <w:szCs w:val="24"/>
                <w:lang w:val="en-US"/>
              </w:rPr>
              <w:t>If yes, please describe the efforts that you have made.</w:t>
            </w:r>
          </w:p>
          <w:p w14:paraId="12343B3F" w14:textId="77777777" w:rsidR="002D6926" w:rsidRPr="00816CD2" w:rsidRDefault="002D6926" w:rsidP="00A47C26">
            <w:pPr>
              <w:spacing w:before="120" w:after="120"/>
              <w:rPr>
                <w:rFonts w:ascii="Arial" w:hAnsi="Arial" w:cs="Arial"/>
                <w:szCs w:val="24"/>
                <w:lang w:val="en-US"/>
              </w:rPr>
            </w:pPr>
          </w:p>
          <w:p w14:paraId="78D18F9D" w14:textId="77777777" w:rsidR="002D6926" w:rsidRPr="00816CD2" w:rsidRDefault="002D6926" w:rsidP="00A47C26">
            <w:pPr>
              <w:spacing w:before="120" w:after="120"/>
              <w:rPr>
                <w:rFonts w:ascii="Arial" w:hAnsi="Arial" w:cs="Arial"/>
                <w:szCs w:val="24"/>
                <w:lang w:val="en-US"/>
              </w:rPr>
            </w:pPr>
          </w:p>
          <w:p w14:paraId="1A7F6EED" w14:textId="77777777" w:rsidR="002D6926" w:rsidRPr="00816CD2" w:rsidRDefault="002D6926" w:rsidP="00A47C26">
            <w:pPr>
              <w:spacing w:before="120" w:after="120"/>
              <w:rPr>
                <w:rFonts w:ascii="Arial" w:hAnsi="Arial" w:cs="Arial"/>
                <w:szCs w:val="24"/>
                <w:lang w:val="en-US"/>
              </w:rPr>
            </w:pPr>
          </w:p>
        </w:tc>
      </w:tr>
      <w:tr w:rsidR="002D6926" w:rsidRPr="00816CD2" w14:paraId="2AC39151" w14:textId="77777777" w:rsidTr="00A47C26">
        <w:trPr>
          <w:trHeight w:val="547"/>
        </w:trPr>
        <w:tc>
          <w:tcPr>
            <w:tcW w:w="846" w:type="dxa"/>
            <w:gridSpan w:val="2"/>
            <w:shd w:val="clear" w:color="auto" w:fill="D9D9D9" w:themeFill="background1" w:themeFillShade="D9"/>
          </w:tcPr>
          <w:p w14:paraId="1A251A48" w14:textId="77777777" w:rsidR="002D6926" w:rsidRPr="00816CD2" w:rsidRDefault="002D6926" w:rsidP="00A47C26">
            <w:pPr>
              <w:spacing w:before="120" w:after="120"/>
              <w:rPr>
                <w:rFonts w:ascii="Arial" w:hAnsi="Arial" w:cs="Arial"/>
                <w:b/>
                <w:sz w:val="24"/>
                <w:szCs w:val="24"/>
                <w:lang w:val="en-US"/>
              </w:rPr>
            </w:pPr>
            <w:r w:rsidRPr="00816CD2">
              <w:rPr>
                <w:rFonts w:ascii="Arial" w:hAnsi="Arial" w:cs="Arial"/>
                <w:b/>
                <w:szCs w:val="24"/>
                <w:lang w:val="en-US"/>
              </w:rPr>
              <w:t>NO</w:t>
            </w:r>
          </w:p>
        </w:tc>
        <w:sdt>
          <w:sdtPr>
            <w:rPr>
              <w:rFonts w:ascii="Arial" w:eastAsia="MS Gothic" w:hAnsi="Arial" w:cs="Arial"/>
              <w:b/>
              <w:szCs w:val="24"/>
              <w:lang w:val="en-US"/>
            </w:rPr>
            <w:id w:val="1104621575"/>
            <w14:checkbox>
              <w14:checked w14:val="0"/>
              <w14:checkedState w14:val="2612" w14:font="MS Gothic"/>
              <w14:uncheckedState w14:val="2610" w14:font="MS Gothic"/>
            </w14:checkbox>
          </w:sdtPr>
          <w:sdtEndPr/>
          <w:sdtContent>
            <w:tc>
              <w:tcPr>
                <w:tcW w:w="709" w:type="dxa"/>
              </w:tcPr>
              <w:p w14:paraId="1C6DF82D" w14:textId="77777777" w:rsidR="002D6926" w:rsidRPr="00816CD2" w:rsidRDefault="002D6926" w:rsidP="00A47C26">
                <w:pPr>
                  <w:spacing w:before="120" w:after="120"/>
                  <w:jc w:val="center"/>
                  <w:rPr>
                    <w:rFonts w:ascii="Arial" w:eastAsia="MS Gothic" w:hAnsi="Arial" w:cs="Arial"/>
                    <w:b/>
                    <w:szCs w:val="24"/>
                    <w:lang w:val="en-US"/>
                  </w:rPr>
                </w:pPr>
                <w:r w:rsidRPr="00816CD2">
                  <w:rPr>
                    <w:rFonts w:ascii="Segoe UI Symbol" w:eastAsia="MS Gothic" w:hAnsi="Segoe UI Symbol" w:cs="Segoe UI Symbol"/>
                    <w:b/>
                    <w:szCs w:val="24"/>
                    <w:lang w:val="en-US"/>
                  </w:rPr>
                  <w:t>☐</w:t>
                </w:r>
              </w:p>
            </w:tc>
          </w:sdtContent>
        </w:sdt>
        <w:tc>
          <w:tcPr>
            <w:tcW w:w="8181" w:type="dxa"/>
            <w:vAlign w:val="center"/>
          </w:tcPr>
          <w:p w14:paraId="41D69CC8" w14:textId="77777777" w:rsidR="002D6926" w:rsidRPr="00816CD2" w:rsidRDefault="002D6926" w:rsidP="00A47C26">
            <w:pPr>
              <w:spacing w:before="120" w:after="120"/>
              <w:rPr>
                <w:rFonts w:ascii="Arial" w:hAnsi="Arial" w:cs="Arial"/>
                <w:i/>
                <w:sz w:val="20"/>
                <w:szCs w:val="24"/>
                <w:lang w:val="en-US"/>
              </w:rPr>
            </w:pPr>
            <w:r w:rsidRPr="00816CD2">
              <w:rPr>
                <w:rFonts w:ascii="Arial" w:hAnsi="Arial" w:cs="Arial"/>
                <w:i/>
                <w:sz w:val="20"/>
                <w:szCs w:val="24"/>
                <w:lang w:val="en-US"/>
              </w:rPr>
              <w:t>If no, please include a brief statement explaining why you have not made any efforts to resolve the issue with the person complained about.</w:t>
            </w:r>
          </w:p>
          <w:p w14:paraId="6149749A" w14:textId="77777777" w:rsidR="002D6926" w:rsidRPr="00816CD2" w:rsidRDefault="002D6926" w:rsidP="00A47C26">
            <w:pPr>
              <w:spacing w:before="120" w:after="120"/>
              <w:rPr>
                <w:rFonts w:ascii="Arial" w:hAnsi="Arial" w:cs="Arial"/>
                <w:szCs w:val="24"/>
                <w:lang w:val="en-US"/>
              </w:rPr>
            </w:pPr>
          </w:p>
          <w:p w14:paraId="5A0B30E1" w14:textId="77777777" w:rsidR="002D6926" w:rsidRPr="00816CD2" w:rsidRDefault="002D6926" w:rsidP="00A47C26">
            <w:pPr>
              <w:spacing w:before="120" w:after="120"/>
              <w:rPr>
                <w:rFonts w:ascii="Arial" w:hAnsi="Arial" w:cs="Arial"/>
                <w:szCs w:val="24"/>
                <w:lang w:val="en-US"/>
              </w:rPr>
            </w:pPr>
          </w:p>
          <w:p w14:paraId="7A5F0805" w14:textId="77777777" w:rsidR="002D6926" w:rsidRPr="00816CD2" w:rsidRDefault="002D6926" w:rsidP="00A47C26">
            <w:pPr>
              <w:spacing w:before="120" w:after="120"/>
              <w:rPr>
                <w:rFonts w:ascii="Arial" w:hAnsi="Arial" w:cs="Arial"/>
                <w:szCs w:val="24"/>
                <w:lang w:val="en-US"/>
              </w:rPr>
            </w:pPr>
          </w:p>
        </w:tc>
      </w:tr>
    </w:tbl>
    <w:p w14:paraId="2BAAA0AD" w14:textId="77777777" w:rsidR="002D6926" w:rsidRPr="00816CD2" w:rsidRDefault="002D6926" w:rsidP="002D6926">
      <w:pPr>
        <w:rPr>
          <w:rFonts w:ascii="Arial" w:hAnsi="Arial" w:cs="Arial"/>
          <w:sz w:val="24"/>
          <w:szCs w:val="24"/>
          <w:lang w:val="en-US"/>
        </w:rPr>
      </w:pPr>
    </w:p>
    <w:tbl>
      <w:tblPr>
        <w:tblStyle w:val="TableGrid"/>
        <w:tblW w:w="9776" w:type="dxa"/>
        <w:tblLook w:val="04A0" w:firstRow="1" w:lastRow="0" w:firstColumn="1" w:lastColumn="0" w:noHBand="0" w:noVBand="1"/>
      </w:tblPr>
      <w:tblGrid>
        <w:gridCol w:w="461"/>
        <w:gridCol w:w="7618"/>
        <w:gridCol w:w="990"/>
        <w:gridCol w:w="707"/>
      </w:tblGrid>
      <w:tr w:rsidR="002D6926" w:rsidRPr="00816CD2" w14:paraId="6A7C11EE" w14:textId="77777777" w:rsidTr="00A47C26">
        <w:trPr>
          <w:trHeight w:val="1844"/>
        </w:trPr>
        <w:tc>
          <w:tcPr>
            <w:tcW w:w="461" w:type="dxa"/>
            <w:vMerge w:val="restart"/>
            <w:shd w:val="clear" w:color="auto" w:fill="D9D9D9" w:themeFill="background1" w:themeFillShade="D9"/>
          </w:tcPr>
          <w:p w14:paraId="4BE2D4EE" w14:textId="77777777" w:rsidR="002D6926" w:rsidRPr="00816CD2" w:rsidRDefault="002D6926" w:rsidP="00A47C26">
            <w:pPr>
              <w:spacing w:beforeLines="60" w:before="144" w:after="60"/>
              <w:jc w:val="center"/>
              <w:rPr>
                <w:rFonts w:ascii="Arial" w:hAnsi="Arial" w:cs="Arial"/>
                <w:b/>
                <w:lang w:val="en-US"/>
              </w:rPr>
            </w:pPr>
            <w:r w:rsidRPr="00816CD2">
              <w:rPr>
                <w:rFonts w:ascii="Arial" w:hAnsi="Arial" w:cs="Arial"/>
                <w:b/>
                <w:lang w:val="en-US"/>
              </w:rPr>
              <w:lastRenderedPageBreak/>
              <w:t>10</w:t>
            </w:r>
          </w:p>
        </w:tc>
        <w:tc>
          <w:tcPr>
            <w:tcW w:w="9315" w:type="dxa"/>
            <w:gridSpan w:val="3"/>
            <w:shd w:val="clear" w:color="auto" w:fill="D9D9D9" w:themeFill="background1" w:themeFillShade="D9"/>
            <w:vAlign w:val="center"/>
          </w:tcPr>
          <w:p w14:paraId="580F7E42" w14:textId="77777777" w:rsidR="002D6926" w:rsidRPr="00816CD2" w:rsidRDefault="002D6926" w:rsidP="00A47C26">
            <w:pPr>
              <w:spacing w:before="120" w:after="120"/>
              <w:rPr>
                <w:rFonts w:ascii="Arial" w:hAnsi="Arial" w:cs="Arial"/>
                <w:i/>
                <w:sz w:val="20"/>
                <w:lang w:val="en-US"/>
              </w:rPr>
            </w:pPr>
            <w:r w:rsidRPr="00816CD2">
              <w:rPr>
                <w:rFonts w:ascii="Arial" w:hAnsi="Arial" w:cs="Arial"/>
                <w:i/>
                <w:sz w:val="20"/>
                <w:lang w:val="en-US"/>
              </w:rPr>
              <w:t>The Town of East Fremantle</w:t>
            </w:r>
            <w:r w:rsidRPr="00816CD2">
              <w:rPr>
                <w:rFonts w:ascii="Arial" w:hAnsi="Arial" w:cs="Arial"/>
                <w:szCs w:val="24"/>
              </w:rPr>
              <w:t xml:space="preserve"> </w:t>
            </w:r>
            <w:r w:rsidRPr="00816CD2">
              <w:rPr>
                <w:rFonts w:ascii="Arial" w:hAnsi="Arial" w:cs="Arial"/>
                <w:i/>
                <w:sz w:val="20"/>
                <w:lang w:val="en-US"/>
              </w:rPr>
              <w:t xml:space="preserve">has a policy that the Complainant and the Respondent be offered the opportunity to participate in an Alternative Dispute Resolution process, that if agreed to by BOTH parties, will be undertaken before the complaint is dealt with.  </w:t>
            </w:r>
          </w:p>
          <w:p w14:paraId="656B94F9" w14:textId="77777777" w:rsidR="002D6926" w:rsidRPr="00816CD2" w:rsidRDefault="002D6926" w:rsidP="00A47C26">
            <w:pPr>
              <w:spacing w:before="120" w:after="120"/>
              <w:rPr>
                <w:rFonts w:ascii="Arial" w:hAnsi="Arial" w:cs="Arial"/>
                <w:i/>
                <w:sz w:val="20"/>
                <w:lang w:val="en-US"/>
              </w:rPr>
            </w:pPr>
            <w:r w:rsidRPr="00816CD2">
              <w:rPr>
                <w:rFonts w:ascii="Arial" w:hAnsi="Arial" w:cs="Arial"/>
                <w:i/>
                <w:sz w:val="20"/>
                <w:lang w:val="en-US"/>
              </w:rPr>
              <w:t>The objective is to support both parties to reach a mutually satisfactory outcome that resolves the issues and restores the relationship between them. An outcome may be that as the Complainant, you will have absolute discretion to withdraw or continue with this Complaint.</w:t>
            </w:r>
          </w:p>
          <w:p w14:paraId="6B3EFCFB" w14:textId="77777777" w:rsidR="002D6926" w:rsidRPr="00816CD2" w:rsidRDefault="002D6926" w:rsidP="00A47C26">
            <w:pPr>
              <w:spacing w:before="120" w:after="120"/>
              <w:rPr>
                <w:rFonts w:ascii="Arial" w:hAnsi="Arial" w:cs="Arial"/>
                <w:i/>
                <w:sz w:val="20"/>
                <w:lang w:val="en-US"/>
              </w:rPr>
            </w:pPr>
            <w:r w:rsidRPr="00816CD2">
              <w:rPr>
                <w:rFonts w:ascii="Arial" w:hAnsi="Arial" w:cs="Arial"/>
                <w:i/>
                <w:sz w:val="20"/>
                <w:lang w:val="en-US"/>
              </w:rPr>
              <w:t xml:space="preserve">Please contact the </w:t>
            </w:r>
            <w:proofErr w:type="spellStart"/>
            <w:r w:rsidRPr="00816CD2">
              <w:rPr>
                <w:rFonts w:ascii="Arial" w:hAnsi="Arial" w:cs="Arial"/>
                <w:i/>
                <w:sz w:val="20"/>
                <w:lang w:val="en-US"/>
              </w:rPr>
              <w:t>Behaviour</w:t>
            </w:r>
            <w:proofErr w:type="spellEnd"/>
            <w:r w:rsidRPr="00816CD2">
              <w:rPr>
                <w:rFonts w:ascii="Arial" w:hAnsi="Arial" w:cs="Arial"/>
                <w:i/>
                <w:sz w:val="20"/>
                <w:lang w:val="en-US"/>
              </w:rPr>
              <w:t xml:space="preserve"> Complaints Officer if you would like more information.</w:t>
            </w:r>
          </w:p>
        </w:tc>
      </w:tr>
      <w:tr w:rsidR="002D6926" w:rsidRPr="00816CD2" w14:paraId="6D36DAAD" w14:textId="77777777" w:rsidTr="00A47C26">
        <w:trPr>
          <w:trHeight w:val="547"/>
        </w:trPr>
        <w:tc>
          <w:tcPr>
            <w:tcW w:w="461" w:type="dxa"/>
            <w:vMerge/>
            <w:shd w:val="clear" w:color="auto" w:fill="D9D9D9" w:themeFill="background1" w:themeFillShade="D9"/>
          </w:tcPr>
          <w:p w14:paraId="34C8D544" w14:textId="77777777" w:rsidR="002D6926" w:rsidRPr="00816CD2" w:rsidRDefault="002D6926" w:rsidP="00A47C26">
            <w:pPr>
              <w:rPr>
                <w:rFonts w:ascii="Arial" w:hAnsi="Arial" w:cs="Arial"/>
                <w:b/>
                <w:lang w:val="en-US"/>
              </w:rPr>
            </w:pPr>
          </w:p>
        </w:tc>
        <w:tc>
          <w:tcPr>
            <w:tcW w:w="7618" w:type="dxa"/>
            <w:vMerge w:val="restart"/>
            <w:shd w:val="clear" w:color="auto" w:fill="D9D9D9" w:themeFill="background1" w:themeFillShade="D9"/>
            <w:vAlign w:val="center"/>
          </w:tcPr>
          <w:p w14:paraId="17AA6A92" w14:textId="77777777" w:rsidR="002D6926" w:rsidRPr="00816CD2" w:rsidRDefault="002D6926" w:rsidP="00A47C26">
            <w:pPr>
              <w:rPr>
                <w:rFonts w:ascii="Arial" w:hAnsi="Arial" w:cs="Arial"/>
                <w:b/>
                <w:lang w:val="en-US"/>
              </w:rPr>
            </w:pPr>
            <w:r w:rsidRPr="00816CD2">
              <w:rPr>
                <w:rFonts w:ascii="Arial" w:hAnsi="Arial" w:cs="Arial"/>
                <w:b/>
                <w:lang w:val="en-US"/>
              </w:rPr>
              <w:t>Would you agree to participate in an Alternative Dispute Resolution process?</w:t>
            </w:r>
          </w:p>
        </w:tc>
        <w:tc>
          <w:tcPr>
            <w:tcW w:w="990" w:type="dxa"/>
            <w:shd w:val="clear" w:color="auto" w:fill="D9D9D9" w:themeFill="background1" w:themeFillShade="D9"/>
            <w:vAlign w:val="center"/>
          </w:tcPr>
          <w:p w14:paraId="7FC726D8" w14:textId="77777777" w:rsidR="002D6926" w:rsidRPr="00816CD2" w:rsidRDefault="002D6926" w:rsidP="00A47C26">
            <w:pPr>
              <w:jc w:val="right"/>
              <w:rPr>
                <w:rFonts w:ascii="Arial" w:hAnsi="Arial" w:cs="Arial"/>
                <w:b/>
                <w:lang w:val="en-US"/>
              </w:rPr>
            </w:pPr>
            <w:r w:rsidRPr="00816CD2">
              <w:rPr>
                <w:rFonts w:ascii="Arial" w:hAnsi="Arial" w:cs="Arial"/>
                <w:b/>
                <w:lang w:val="en-US"/>
              </w:rPr>
              <w:t>YES</w:t>
            </w:r>
          </w:p>
        </w:tc>
        <w:sdt>
          <w:sdtPr>
            <w:rPr>
              <w:rFonts w:ascii="Arial" w:hAnsi="Arial" w:cs="Arial"/>
              <w:b/>
              <w:szCs w:val="24"/>
              <w:lang w:val="en-US"/>
            </w:rPr>
            <w:id w:val="854001923"/>
            <w14:checkbox>
              <w14:checked w14:val="0"/>
              <w14:checkedState w14:val="2612" w14:font="MS Gothic"/>
              <w14:uncheckedState w14:val="2610" w14:font="MS Gothic"/>
            </w14:checkbox>
          </w:sdtPr>
          <w:sdtEndPr/>
          <w:sdtContent>
            <w:tc>
              <w:tcPr>
                <w:tcW w:w="707" w:type="dxa"/>
                <w:vAlign w:val="center"/>
              </w:tcPr>
              <w:p w14:paraId="162A3B6F" w14:textId="77777777" w:rsidR="002D6926" w:rsidRPr="00816CD2" w:rsidRDefault="002D6926" w:rsidP="00A47C26">
                <w:pPr>
                  <w:rPr>
                    <w:rFonts w:ascii="Arial" w:hAnsi="Arial" w:cs="Arial"/>
                    <w:b/>
                    <w:szCs w:val="24"/>
                    <w:lang w:val="en-US"/>
                  </w:rPr>
                </w:pPr>
                <w:r w:rsidRPr="00816CD2">
                  <w:rPr>
                    <w:rFonts w:ascii="Segoe UI Symbol" w:eastAsia="MS Gothic" w:hAnsi="Segoe UI Symbol" w:cs="Segoe UI Symbol"/>
                    <w:b/>
                    <w:szCs w:val="24"/>
                    <w:lang w:val="en-US"/>
                  </w:rPr>
                  <w:t>☐</w:t>
                </w:r>
              </w:p>
            </w:tc>
          </w:sdtContent>
        </w:sdt>
      </w:tr>
      <w:tr w:rsidR="002D6926" w:rsidRPr="00816CD2" w14:paraId="0B700DC5" w14:textId="77777777" w:rsidTr="00A47C26">
        <w:trPr>
          <w:trHeight w:val="547"/>
        </w:trPr>
        <w:tc>
          <w:tcPr>
            <w:tcW w:w="461" w:type="dxa"/>
            <w:vMerge/>
            <w:shd w:val="clear" w:color="auto" w:fill="D9D9D9" w:themeFill="background1" w:themeFillShade="D9"/>
          </w:tcPr>
          <w:p w14:paraId="6C701861" w14:textId="77777777" w:rsidR="002D6926" w:rsidRPr="00816CD2" w:rsidRDefault="002D6926" w:rsidP="00A47C26">
            <w:pPr>
              <w:rPr>
                <w:rFonts w:ascii="Arial" w:hAnsi="Arial" w:cs="Arial"/>
                <w:b/>
                <w:lang w:val="en-US"/>
              </w:rPr>
            </w:pPr>
          </w:p>
        </w:tc>
        <w:tc>
          <w:tcPr>
            <w:tcW w:w="7618" w:type="dxa"/>
            <w:vMerge/>
            <w:shd w:val="clear" w:color="auto" w:fill="D9D9D9" w:themeFill="background1" w:themeFillShade="D9"/>
          </w:tcPr>
          <w:p w14:paraId="2364330E" w14:textId="77777777" w:rsidR="002D6926" w:rsidRPr="00816CD2" w:rsidRDefault="002D6926" w:rsidP="00A47C26">
            <w:pPr>
              <w:rPr>
                <w:rFonts w:ascii="Arial" w:hAnsi="Arial" w:cs="Arial"/>
                <w:b/>
                <w:lang w:val="en-US"/>
              </w:rPr>
            </w:pPr>
          </w:p>
        </w:tc>
        <w:tc>
          <w:tcPr>
            <w:tcW w:w="990" w:type="dxa"/>
            <w:shd w:val="clear" w:color="auto" w:fill="D9D9D9" w:themeFill="background1" w:themeFillShade="D9"/>
            <w:vAlign w:val="center"/>
          </w:tcPr>
          <w:p w14:paraId="560776A1" w14:textId="77777777" w:rsidR="002D6926" w:rsidRPr="00816CD2" w:rsidRDefault="002D6926" w:rsidP="00A47C26">
            <w:pPr>
              <w:jc w:val="right"/>
              <w:rPr>
                <w:rFonts w:ascii="Arial" w:hAnsi="Arial" w:cs="Arial"/>
                <w:b/>
                <w:lang w:val="en-US"/>
              </w:rPr>
            </w:pPr>
            <w:r w:rsidRPr="00816CD2">
              <w:rPr>
                <w:rFonts w:ascii="Arial" w:hAnsi="Arial" w:cs="Arial"/>
                <w:b/>
                <w:lang w:val="en-US"/>
              </w:rPr>
              <w:t>NO</w:t>
            </w:r>
          </w:p>
        </w:tc>
        <w:sdt>
          <w:sdtPr>
            <w:rPr>
              <w:rFonts w:ascii="Arial" w:hAnsi="Arial" w:cs="Arial"/>
              <w:b/>
              <w:szCs w:val="24"/>
              <w:lang w:val="en-US"/>
            </w:rPr>
            <w:id w:val="47111235"/>
            <w14:checkbox>
              <w14:checked w14:val="0"/>
              <w14:checkedState w14:val="2612" w14:font="MS Gothic"/>
              <w14:uncheckedState w14:val="2610" w14:font="MS Gothic"/>
            </w14:checkbox>
          </w:sdtPr>
          <w:sdtEndPr/>
          <w:sdtContent>
            <w:tc>
              <w:tcPr>
                <w:tcW w:w="707" w:type="dxa"/>
                <w:vAlign w:val="center"/>
              </w:tcPr>
              <w:p w14:paraId="775ED075" w14:textId="77777777" w:rsidR="002D6926" w:rsidRPr="00816CD2" w:rsidRDefault="002D6926" w:rsidP="00A47C26">
                <w:pPr>
                  <w:rPr>
                    <w:rFonts w:ascii="Arial" w:hAnsi="Arial" w:cs="Arial"/>
                    <w:b/>
                    <w:szCs w:val="24"/>
                    <w:lang w:val="en-US"/>
                  </w:rPr>
                </w:pPr>
                <w:r w:rsidRPr="00816CD2">
                  <w:rPr>
                    <w:rFonts w:ascii="Segoe UI Symbol" w:eastAsia="MS Gothic" w:hAnsi="Segoe UI Symbol" w:cs="Segoe UI Symbol"/>
                    <w:b/>
                    <w:szCs w:val="24"/>
                    <w:lang w:val="en-US"/>
                  </w:rPr>
                  <w:t>☐</w:t>
                </w:r>
              </w:p>
            </w:tc>
          </w:sdtContent>
        </w:sdt>
      </w:tr>
    </w:tbl>
    <w:p w14:paraId="64CCFC61" w14:textId="77777777" w:rsidR="002D6926" w:rsidRPr="00816CD2" w:rsidRDefault="002D6926" w:rsidP="002D6926">
      <w:pPr>
        <w:spacing w:after="0"/>
        <w:rPr>
          <w:rFonts w:ascii="Arial" w:hAnsi="Arial" w:cs="Arial"/>
          <w:sz w:val="24"/>
          <w:szCs w:val="24"/>
          <w:lang w:val="en-US"/>
        </w:rPr>
      </w:pPr>
    </w:p>
    <w:tbl>
      <w:tblPr>
        <w:tblStyle w:val="TableGrid"/>
        <w:tblW w:w="0" w:type="auto"/>
        <w:tblLook w:val="04A0" w:firstRow="1" w:lastRow="0" w:firstColumn="1" w:lastColumn="0" w:noHBand="0" w:noVBand="1"/>
      </w:tblPr>
      <w:tblGrid>
        <w:gridCol w:w="704"/>
        <w:gridCol w:w="9032"/>
      </w:tblGrid>
      <w:tr w:rsidR="002D6926" w:rsidRPr="00816CD2" w14:paraId="357AC9CC" w14:textId="77777777" w:rsidTr="00A47C26">
        <w:trPr>
          <w:trHeight w:val="497"/>
        </w:trPr>
        <w:tc>
          <w:tcPr>
            <w:tcW w:w="704" w:type="dxa"/>
            <w:shd w:val="clear" w:color="auto" w:fill="D9D9D9" w:themeFill="background1" w:themeFillShade="D9"/>
          </w:tcPr>
          <w:p w14:paraId="26FB0FD3" w14:textId="77777777" w:rsidR="002D6926" w:rsidRPr="00816CD2" w:rsidRDefault="002D6926" w:rsidP="00A47C26">
            <w:pPr>
              <w:spacing w:beforeLines="60" w:before="144" w:after="60"/>
              <w:jc w:val="center"/>
              <w:rPr>
                <w:rFonts w:ascii="Arial" w:hAnsi="Arial" w:cs="Arial"/>
                <w:b/>
                <w:sz w:val="24"/>
                <w:szCs w:val="24"/>
                <w:lang w:val="en-US"/>
              </w:rPr>
            </w:pPr>
            <w:r w:rsidRPr="00816CD2">
              <w:rPr>
                <w:rFonts w:ascii="Arial" w:hAnsi="Arial" w:cs="Arial"/>
                <w:b/>
                <w:sz w:val="24"/>
                <w:szCs w:val="24"/>
                <w:lang w:val="en-US"/>
              </w:rPr>
              <w:t>11</w:t>
            </w:r>
          </w:p>
        </w:tc>
        <w:tc>
          <w:tcPr>
            <w:tcW w:w="9032" w:type="dxa"/>
            <w:shd w:val="clear" w:color="auto" w:fill="D9D9D9" w:themeFill="background1" w:themeFillShade="D9"/>
            <w:vAlign w:val="center"/>
          </w:tcPr>
          <w:p w14:paraId="089ACB6D" w14:textId="77777777" w:rsidR="002D6926" w:rsidRPr="00816CD2" w:rsidRDefault="002D6926" w:rsidP="00A47C26">
            <w:pPr>
              <w:spacing w:before="120" w:after="120"/>
              <w:rPr>
                <w:rFonts w:ascii="Arial" w:hAnsi="Arial" w:cs="Arial"/>
                <w:i/>
                <w:szCs w:val="24"/>
                <w:lang w:val="en-US"/>
              </w:rPr>
            </w:pPr>
            <w:r w:rsidRPr="00816CD2">
              <w:rPr>
                <w:rFonts w:ascii="Arial" w:hAnsi="Arial" w:cs="Arial"/>
                <w:b/>
                <w:sz w:val="24"/>
                <w:szCs w:val="24"/>
                <w:lang w:val="en-US"/>
              </w:rPr>
              <w:t>Desired outcome of the Complaint</w:t>
            </w:r>
            <w:r w:rsidRPr="00816CD2">
              <w:rPr>
                <w:rFonts w:ascii="Arial" w:hAnsi="Arial" w:cs="Arial"/>
                <w:b/>
                <w:sz w:val="24"/>
                <w:szCs w:val="24"/>
                <w:lang w:val="en-US"/>
              </w:rPr>
              <w:br/>
            </w:r>
            <w:r w:rsidRPr="00816CD2">
              <w:rPr>
                <w:rFonts w:ascii="Arial" w:hAnsi="Arial" w:cs="Arial"/>
                <w:i/>
                <w:sz w:val="20"/>
                <w:szCs w:val="24"/>
                <w:lang w:val="en-US"/>
              </w:rPr>
              <w:t xml:space="preserve">Please explain what you would like to happen </w:t>
            </w:r>
            <w:proofErr w:type="gramStart"/>
            <w:r w:rsidRPr="00816CD2">
              <w:rPr>
                <w:rFonts w:ascii="Arial" w:hAnsi="Arial" w:cs="Arial"/>
                <w:i/>
                <w:sz w:val="20"/>
                <w:szCs w:val="24"/>
                <w:lang w:val="en-US"/>
              </w:rPr>
              <w:t>as a result of</w:t>
            </w:r>
            <w:proofErr w:type="gramEnd"/>
            <w:r w:rsidRPr="00816CD2">
              <w:rPr>
                <w:rFonts w:ascii="Arial" w:hAnsi="Arial" w:cs="Arial"/>
                <w:i/>
                <w:sz w:val="20"/>
                <w:szCs w:val="24"/>
                <w:lang w:val="en-US"/>
              </w:rPr>
              <w:t xml:space="preserve"> lodging this complaint, including the opportunity to participate in Alternative Dispute Resolution.</w:t>
            </w:r>
          </w:p>
        </w:tc>
      </w:tr>
      <w:tr w:rsidR="002D6926" w:rsidRPr="00816CD2" w14:paraId="73A8FD31" w14:textId="77777777" w:rsidTr="00A47C26">
        <w:trPr>
          <w:trHeight w:val="497"/>
        </w:trPr>
        <w:tc>
          <w:tcPr>
            <w:tcW w:w="9736" w:type="dxa"/>
            <w:gridSpan w:val="2"/>
            <w:shd w:val="clear" w:color="auto" w:fill="auto"/>
          </w:tcPr>
          <w:p w14:paraId="429C6F9A" w14:textId="77777777" w:rsidR="002D6926" w:rsidRPr="00816CD2" w:rsidRDefault="002D6926" w:rsidP="00A47C26">
            <w:pPr>
              <w:spacing w:before="80" w:after="80"/>
              <w:rPr>
                <w:rFonts w:ascii="Arial" w:hAnsi="Arial" w:cs="Arial"/>
                <w:b/>
                <w:sz w:val="24"/>
                <w:szCs w:val="24"/>
                <w:lang w:val="en-US"/>
              </w:rPr>
            </w:pPr>
          </w:p>
          <w:p w14:paraId="06722E48" w14:textId="77777777" w:rsidR="002D6926" w:rsidRPr="00816CD2" w:rsidRDefault="002D6926" w:rsidP="00A47C26">
            <w:pPr>
              <w:spacing w:before="80" w:after="80"/>
              <w:rPr>
                <w:rFonts w:ascii="Arial" w:hAnsi="Arial" w:cs="Arial"/>
                <w:b/>
                <w:sz w:val="24"/>
                <w:szCs w:val="24"/>
                <w:lang w:val="en-US"/>
              </w:rPr>
            </w:pPr>
          </w:p>
          <w:p w14:paraId="656630A2" w14:textId="77777777" w:rsidR="002D6926" w:rsidRPr="00816CD2" w:rsidRDefault="002D6926" w:rsidP="00A47C26">
            <w:pPr>
              <w:spacing w:before="80" w:after="80"/>
              <w:rPr>
                <w:rFonts w:ascii="Arial" w:hAnsi="Arial" w:cs="Arial"/>
                <w:b/>
                <w:sz w:val="24"/>
                <w:szCs w:val="24"/>
                <w:lang w:val="en-US"/>
              </w:rPr>
            </w:pPr>
          </w:p>
          <w:p w14:paraId="1C64A4B3" w14:textId="77777777" w:rsidR="002D6926" w:rsidRPr="00816CD2" w:rsidRDefault="002D6926" w:rsidP="00A47C26">
            <w:pPr>
              <w:spacing w:before="80" w:after="80"/>
              <w:rPr>
                <w:rFonts w:ascii="Arial" w:hAnsi="Arial" w:cs="Arial"/>
                <w:b/>
                <w:sz w:val="24"/>
                <w:szCs w:val="24"/>
                <w:lang w:val="en-US"/>
              </w:rPr>
            </w:pPr>
          </w:p>
          <w:p w14:paraId="5C0F2571" w14:textId="77777777" w:rsidR="002D6926" w:rsidRPr="00816CD2" w:rsidRDefault="002D6926" w:rsidP="00A47C26">
            <w:pPr>
              <w:spacing w:before="80" w:after="80"/>
              <w:rPr>
                <w:rFonts w:ascii="Arial" w:hAnsi="Arial" w:cs="Arial"/>
                <w:b/>
                <w:sz w:val="24"/>
                <w:szCs w:val="24"/>
                <w:lang w:val="en-US"/>
              </w:rPr>
            </w:pPr>
          </w:p>
          <w:p w14:paraId="4C1C45A7" w14:textId="77777777" w:rsidR="002D6926" w:rsidRPr="00816CD2" w:rsidRDefault="002D6926" w:rsidP="00A47C26">
            <w:pPr>
              <w:spacing w:before="80" w:after="80"/>
              <w:rPr>
                <w:rFonts w:ascii="Arial" w:hAnsi="Arial" w:cs="Arial"/>
                <w:b/>
                <w:sz w:val="24"/>
                <w:szCs w:val="24"/>
                <w:lang w:val="en-US"/>
              </w:rPr>
            </w:pPr>
          </w:p>
        </w:tc>
      </w:tr>
    </w:tbl>
    <w:p w14:paraId="350645B9" w14:textId="77777777" w:rsidR="002D6926" w:rsidRPr="00816CD2" w:rsidRDefault="002D6926" w:rsidP="002D6926">
      <w:pPr>
        <w:spacing w:after="0"/>
        <w:rPr>
          <w:rFonts w:ascii="Arial" w:hAnsi="Arial" w:cs="Arial"/>
          <w:sz w:val="24"/>
          <w:szCs w:val="24"/>
          <w:lang w:val="en-US"/>
        </w:rPr>
      </w:pPr>
    </w:p>
    <w:tbl>
      <w:tblPr>
        <w:tblStyle w:val="TableGrid"/>
        <w:tblW w:w="0" w:type="auto"/>
        <w:tblLook w:val="04A0" w:firstRow="1" w:lastRow="0" w:firstColumn="1" w:lastColumn="0" w:noHBand="0" w:noVBand="1"/>
      </w:tblPr>
      <w:tblGrid>
        <w:gridCol w:w="1838"/>
        <w:gridCol w:w="7898"/>
      </w:tblGrid>
      <w:tr w:rsidR="002D6926" w:rsidRPr="00816CD2" w14:paraId="3DD42283" w14:textId="77777777" w:rsidTr="00A47C26">
        <w:tc>
          <w:tcPr>
            <w:tcW w:w="9736" w:type="dxa"/>
            <w:gridSpan w:val="2"/>
            <w:shd w:val="clear" w:color="auto" w:fill="D9D9D9" w:themeFill="background1" w:themeFillShade="D9"/>
          </w:tcPr>
          <w:p w14:paraId="4CADAD09" w14:textId="77777777" w:rsidR="002D6926" w:rsidRPr="00816CD2" w:rsidRDefault="002D6926" w:rsidP="00A47C26">
            <w:pPr>
              <w:spacing w:before="120" w:after="120"/>
              <w:rPr>
                <w:rFonts w:ascii="Arial" w:hAnsi="Arial" w:cs="Arial"/>
                <w:sz w:val="24"/>
                <w:szCs w:val="24"/>
                <w:lang w:val="en-US"/>
              </w:rPr>
            </w:pPr>
            <w:proofErr w:type="gramStart"/>
            <w:r w:rsidRPr="00816CD2">
              <w:rPr>
                <w:rFonts w:ascii="Arial" w:hAnsi="Arial" w:cs="Arial"/>
                <w:b/>
                <w:sz w:val="24"/>
                <w:szCs w:val="24"/>
                <w:lang w:val="en-US"/>
              </w:rPr>
              <w:t>COMPLAINANT</w:t>
            </w:r>
            <w:proofErr w:type="gramEnd"/>
            <w:r w:rsidRPr="00816CD2">
              <w:rPr>
                <w:rFonts w:ascii="Arial" w:hAnsi="Arial" w:cs="Arial"/>
                <w:sz w:val="24"/>
                <w:szCs w:val="24"/>
                <w:lang w:val="en-US"/>
              </w:rPr>
              <w:t xml:space="preserve"> </w:t>
            </w:r>
            <w:r w:rsidRPr="00816CD2">
              <w:rPr>
                <w:rFonts w:ascii="Arial" w:hAnsi="Arial" w:cs="Arial"/>
                <w:i/>
                <w:szCs w:val="24"/>
                <w:lang w:val="en-US"/>
              </w:rPr>
              <w:t>please sign and date</w:t>
            </w:r>
          </w:p>
        </w:tc>
      </w:tr>
      <w:tr w:rsidR="002D6926" w:rsidRPr="00816CD2" w14:paraId="59FD04C6" w14:textId="77777777" w:rsidTr="00A47C26">
        <w:tc>
          <w:tcPr>
            <w:tcW w:w="1838" w:type="dxa"/>
            <w:shd w:val="clear" w:color="auto" w:fill="D9D9D9" w:themeFill="background1" w:themeFillShade="D9"/>
          </w:tcPr>
          <w:p w14:paraId="0E3CD92E" w14:textId="77777777" w:rsidR="002D6926" w:rsidRPr="00816CD2" w:rsidRDefault="002D6926" w:rsidP="00A47C26">
            <w:pPr>
              <w:spacing w:before="240" w:after="240"/>
              <w:rPr>
                <w:rFonts w:ascii="Arial" w:hAnsi="Arial" w:cs="Arial"/>
                <w:b/>
                <w:szCs w:val="24"/>
                <w:lang w:val="en-US"/>
              </w:rPr>
            </w:pPr>
            <w:r w:rsidRPr="00816CD2">
              <w:rPr>
                <w:rFonts w:ascii="Arial" w:hAnsi="Arial" w:cs="Arial"/>
                <w:b/>
                <w:szCs w:val="24"/>
                <w:lang w:val="en-US"/>
              </w:rPr>
              <w:t>Signature:</w:t>
            </w:r>
          </w:p>
        </w:tc>
        <w:tc>
          <w:tcPr>
            <w:tcW w:w="7898" w:type="dxa"/>
          </w:tcPr>
          <w:p w14:paraId="4F64682A" w14:textId="77777777" w:rsidR="002D6926" w:rsidRPr="00816CD2" w:rsidRDefault="002D6926" w:rsidP="00A47C26">
            <w:pPr>
              <w:rPr>
                <w:rFonts w:ascii="Arial" w:hAnsi="Arial" w:cs="Arial"/>
                <w:sz w:val="24"/>
                <w:szCs w:val="24"/>
                <w:lang w:val="en-US"/>
              </w:rPr>
            </w:pPr>
          </w:p>
        </w:tc>
      </w:tr>
      <w:tr w:rsidR="002D6926" w:rsidRPr="00816CD2" w14:paraId="5B276529" w14:textId="77777777" w:rsidTr="00A47C26">
        <w:tc>
          <w:tcPr>
            <w:tcW w:w="1838" w:type="dxa"/>
            <w:shd w:val="clear" w:color="auto" w:fill="D9D9D9" w:themeFill="background1" w:themeFillShade="D9"/>
          </w:tcPr>
          <w:p w14:paraId="5AAD00E3" w14:textId="77777777" w:rsidR="002D6926" w:rsidRPr="00816CD2" w:rsidRDefault="002D6926" w:rsidP="00A47C26">
            <w:pPr>
              <w:spacing w:before="240" w:after="240"/>
              <w:rPr>
                <w:rFonts w:ascii="Arial" w:hAnsi="Arial" w:cs="Arial"/>
                <w:b/>
                <w:szCs w:val="24"/>
                <w:lang w:val="en-US"/>
              </w:rPr>
            </w:pPr>
            <w:r w:rsidRPr="00816CD2">
              <w:rPr>
                <w:rFonts w:ascii="Arial" w:hAnsi="Arial" w:cs="Arial"/>
                <w:b/>
                <w:szCs w:val="24"/>
                <w:lang w:val="en-US"/>
              </w:rPr>
              <w:t>Date:</w:t>
            </w:r>
          </w:p>
        </w:tc>
        <w:tc>
          <w:tcPr>
            <w:tcW w:w="7898" w:type="dxa"/>
          </w:tcPr>
          <w:p w14:paraId="3A07DFF4" w14:textId="77777777" w:rsidR="002D6926" w:rsidRPr="00816CD2" w:rsidRDefault="002D6926" w:rsidP="00A47C26">
            <w:pPr>
              <w:rPr>
                <w:rFonts w:ascii="Arial" w:hAnsi="Arial" w:cs="Arial"/>
                <w:sz w:val="24"/>
                <w:szCs w:val="24"/>
                <w:lang w:val="en-US"/>
              </w:rPr>
            </w:pPr>
          </w:p>
        </w:tc>
      </w:tr>
    </w:tbl>
    <w:p w14:paraId="1160C7B7" w14:textId="77777777" w:rsidR="002D6926" w:rsidRPr="00816CD2" w:rsidRDefault="002D6926" w:rsidP="002D6926">
      <w:pPr>
        <w:spacing w:after="0"/>
        <w:rPr>
          <w:rFonts w:ascii="Arial" w:hAnsi="Arial" w:cs="Arial"/>
          <w:b/>
          <w:sz w:val="24"/>
          <w:szCs w:val="24"/>
          <w:lang w:val="en-US"/>
        </w:rPr>
      </w:pPr>
    </w:p>
    <w:p w14:paraId="48DA6796" w14:textId="77777777" w:rsidR="002D6926" w:rsidRPr="00816CD2" w:rsidRDefault="002D6926" w:rsidP="002D6926">
      <w:pPr>
        <w:shd w:val="clear" w:color="auto" w:fill="D9D9D9" w:themeFill="background1" w:themeFillShade="D9"/>
        <w:spacing w:after="0"/>
        <w:rPr>
          <w:rFonts w:ascii="Arial" w:hAnsi="Arial" w:cs="Arial"/>
          <w:b/>
          <w:sz w:val="24"/>
          <w:szCs w:val="24"/>
          <w:lang w:val="en-US"/>
        </w:rPr>
      </w:pPr>
      <w:r w:rsidRPr="00816CD2">
        <w:rPr>
          <w:rFonts w:ascii="Arial" w:hAnsi="Arial" w:cs="Arial"/>
          <w:b/>
          <w:sz w:val="24"/>
          <w:szCs w:val="24"/>
          <w:lang w:val="en-US"/>
        </w:rPr>
        <w:t xml:space="preserve">Please submit completed </w:t>
      </w:r>
      <w:proofErr w:type="spellStart"/>
      <w:r w:rsidRPr="00816CD2">
        <w:rPr>
          <w:rFonts w:ascii="Arial" w:hAnsi="Arial" w:cs="Arial"/>
          <w:b/>
          <w:sz w:val="24"/>
          <w:szCs w:val="24"/>
          <w:lang w:val="en-US"/>
        </w:rPr>
        <w:t>Behaviour</w:t>
      </w:r>
      <w:proofErr w:type="spellEnd"/>
      <w:r w:rsidRPr="00816CD2">
        <w:rPr>
          <w:rFonts w:ascii="Arial" w:hAnsi="Arial" w:cs="Arial"/>
          <w:b/>
          <w:sz w:val="24"/>
          <w:szCs w:val="24"/>
          <w:lang w:val="en-US"/>
        </w:rPr>
        <w:t xml:space="preserve"> Complaint to:</w:t>
      </w:r>
    </w:p>
    <w:p w14:paraId="7DC4B07E" w14:textId="77777777" w:rsidR="002D6926" w:rsidRPr="00816CD2" w:rsidRDefault="002D6926" w:rsidP="002D6926">
      <w:pPr>
        <w:spacing w:after="0"/>
        <w:rPr>
          <w:rFonts w:ascii="Arial" w:hAnsi="Arial" w:cs="Arial"/>
          <w:b/>
          <w:szCs w:val="24"/>
        </w:rPr>
      </w:pPr>
    </w:p>
    <w:p w14:paraId="7DB3CB27" w14:textId="77777777" w:rsidR="002D6926" w:rsidRPr="00816CD2" w:rsidRDefault="002D6926" w:rsidP="002D6926">
      <w:pPr>
        <w:spacing w:after="60" w:line="240" w:lineRule="auto"/>
        <w:rPr>
          <w:rFonts w:cs="Arial"/>
          <w:szCs w:val="24"/>
        </w:rPr>
      </w:pPr>
      <w:r w:rsidRPr="00816CD2">
        <w:rPr>
          <w:rFonts w:cs="Arial"/>
          <w:szCs w:val="24"/>
        </w:rPr>
        <w:t>The Town of East Fremantle’s Behaviour Complaints Officer:</w:t>
      </w:r>
    </w:p>
    <w:p w14:paraId="7585A142" w14:textId="77777777" w:rsidR="002D6926" w:rsidRPr="00816CD2" w:rsidRDefault="002D6926" w:rsidP="002D6926">
      <w:pPr>
        <w:tabs>
          <w:tab w:val="left" w:pos="2835"/>
        </w:tabs>
        <w:spacing w:after="0" w:line="240" w:lineRule="auto"/>
        <w:ind w:left="720"/>
        <w:rPr>
          <w:rFonts w:cs="Arial"/>
          <w:szCs w:val="24"/>
        </w:rPr>
      </w:pPr>
      <w:r w:rsidRPr="00816CD2">
        <w:rPr>
          <w:rFonts w:cs="Arial"/>
          <w:szCs w:val="24"/>
        </w:rPr>
        <w:t xml:space="preserve">Mailing Address: </w:t>
      </w:r>
      <w:r w:rsidRPr="00816CD2">
        <w:rPr>
          <w:rFonts w:cs="Arial"/>
          <w:szCs w:val="24"/>
        </w:rPr>
        <w:tab/>
      </w:r>
      <w:hyperlink r:id="rId43" w:history="1">
        <w:r w:rsidRPr="00816CD2">
          <w:rPr>
            <w:rStyle w:val="Hyperlink"/>
            <w:rFonts w:cs="Arial"/>
            <w:szCs w:val="24"/>
          </w:rPr>
          <w:t>gtuffin@eastfremantle.wa.gov.au</w:t>
        </w:r>
      </w:hyperlink>
      <w:r w:rsidRPr="00816CD2">
        <w:rPr>
          <w:rFonts w:cs="Arial"/>
          <w:szCs w:val="24"/>
        </w:rPr>
        <w:t xml:space="preserve"> </w:t>
      </w:r>
    </w:p>
    <w:p w14:paraId="22885831" w14:textId="77777777" w:rsidR="002D6926" w:rsidRPr="00816CD2" w:rsidRDefault="002D6926" w:rsidP="002D6926">
      <w:pPr>
        <w:tabs>
          <w:tab w:val="left" w:pos="2835"/>
        </w:tabs>
        <w:spacing w:after="0" w:line="240" w:lineRule="auto"/>
        <w:ind w:left="720"/>
        <w:rPr>
          <w:rFonts w:cs="Arial"/>
          <w:szCs w:val="24"/>
        </w:rPr>
      </w:pPr>
      <w:r w:rsidRPr="00816CD2">
        <w:rPr>
          <w:rFonts w:cs="Arial"/>
          <w:szCs w:val="24"/>
        </w:rPr>
        <w:t>In person:</w:t>
      </w:r>
      <w:r w:rsidRPr="00816CD2">
        <w:rPr>
          <w:rFonts w:cs="Arial"/>
          <w:szCs w:val="24"/>
        </w:rPr>
        <w:tab/>
        <w:t>135 Canning Highway, East Fremantle</w:t>
      </w:r>
    </w:p>
    <w:p w14:paraId="63AC02FA" w14:textId="77777777" w:rsidR="002D6926" w:rsidRPr="00816CD2" w:rsidRDefault="002D6926" w:rsidP="002D6926">
      <w:pPr>
        <w:spacing w:after="0" w:line="240" w:lineRule="auto"/>
        <w:rPr>
          <w:rFonts w:ascii="Arial" w:hAnsi="Arial" w:cs="Arial"/>
          <w:szCs w:val="24"/>
        </w:rPr>
      </w:pPr>
    </w:p>
    <w:tbl>
      <w:tblPr>
        <w:tblStyle w:val="TableGrid"/>
        <w:tblW w:w="9776" w:type="dxa"/>
        <w:tblLook w:val="04A0" w:firstRow="1" w:lastRow="0" w:firstColumn="1" w:lastColumn="0" w:noHBand="0" w:noVBand="1"/>
      </w:tblPr>
      <w:tblGrid>
        <w:gridCol w:w="2547"/>
        <w:gridCol w:w="7229"/>
      </w:tblGrid>
      <w:tr w:rsidR="002D6926" w:rsidRPr="00816CD2" w14:paraId="322DE30F" w14:textId="77777777" w:rsidTr="00A47C26">
        <w:tc>
          <w:tcPr>
            <w:tcW w:w="9776" w:type="dxa"/>
            <w:gridSpan w:val="2"/>
            <w:shd w:val="clear" w:color="auto" w:fill="auto"/>
          </w:tcPr>
          <w:p w14:paraId="58FB0CFB" w14:textId="77777777" w:rsidR="002D6926" w:rsidRPr="00816CD2" w:rsidRDefault="002D6926" w:rsidP="00A47C26">
            <w:pPr>
              <w:rPr>
                <w:rFonts w:ascii="Arial" w:hAnsi="Arial" w:cs="Arial"/>
                <w:b/>
                <w:i/>
                <w:color w:val="948A54" w:themeColor="background2" w:themeShade="80"/>
                <w:szCs w:val="24"/>
                <w:lang w:val="en-US"/>
              </w:rPr>
            </w:pPr>
            <w:r w:rsidRPr="00816CD2">
              <w:rPr>
                <w:rFonts w:ascii="Arial" w:hAnsi="Arial" w:cs="Arial"/>
                <w:b/>
                <w:color w:val="948A54" w:themeColor="background2" w:themeShade="80"/>
                <w:szCs w:val="24"/>
                <w:lang w:val="en-US"/>
              </w:rPr>
              <w:t xml:space="preserve">OFFICE USE ONLY:   </w:t>
            </w:r>
            <w:r w:rsidRPr="00816CD2">
              <w:rPr>
                <w:rFonts w:ascii="Arial" w:hAnsi="Arial" w:cs="Arial"/>
                <w:i/>
                <w:color w:val="948A54" w:themeColor="background2" w:themeShade="80"/>
                <w:sz w:val="20"/>
                <w:szCs w:val="24"/>
                <w:lang w:val="en-US"/>
              </w:rPr>
              <w:t xml:space="preserve">Received by the Council appointed </w:t>
            </w:r>
            <w:proofErr w:type="spellStart"/>
            <w:r w:rsidRPr="00816CD2">
              <w:rPr>
                <w:rFonts w:ascii="Arial" w:hAnsi="Arial" w:cs="Arial"/>
                <w:i/>
                <w:color w:val="948A54" w:themeColor="background2" w:themeShade="80"/>
                <w:sz w:val="20"/>
                <w:szCs w:val="24"/>
                <w:lang w:val="en-US"/>
              </w:rPr>
              <w:t>Behaviour</w:t>
            </w:r>
            <w:proofErr w:type="spellEnd"/>
            <w:r w:rsidRPr="00816CD2">
              <w:rPr>
                <w:rFonts w:ascii="Arial" w:hAnsi="Arial" w:cs="Arial"/>
                <w:i/>
                <w:color w:val="948A54" w:themeColor="background2" w:themeShade="80"/>
                <w:sz w:val="20"/>
                <w:szCs w:val="24"/>
                <w:lang w:val="en-US"/>
              </w:rPr>
              <w:t xml:space="preserve"> Complaints Officer </w:t>
            </w:r>
          </w:p>
        </w:tc>
      </w:tr>
      <w:tr w:rsidR="002D6926" w:rsidRPr="00816CD2" w14:paraId="15AC161D" w14:textId="77777777" w:rsidTr="00A47C26">
        <w:tc>
          <w:tcPr>
            <w:tcW w:w="2547" w:type="dxa"/>
            <w:shd w:val="clear" w:color="auto" w:fill="auto"/>
          </w:tcPr>
          <w:p w14:paraId="256C832E" w14:textId="77777777" w:rsidR="002D6926" w:rsidRPr="00816CD2" w:rsidRDefault="002D6926" w:rsidP="00A47C26">
            <w:pPr>
              <w:rPr>
                <w:rFonts w:ascii="Arial" w:hAnsi="Arial" w:cs="Arial"/>
                <w:b/>
                <w:bCs/>
                <w:color w:val="948A54" w:themeColor="background2" w:themeShade="80"/>
                <w:sz w:val="20"/>
                <w:szCs w:val="24"/>
              </w:rPr>
            </w:pPr>
            <w:r w:rsidRPr="00816CD2">
              <w:rPr>
                <w:rFonts w:ascii="Arial" w:hAnsi="Arial" w:cs="Arial"/>
                <w:b/>
                <w:bCs/>
                <w:color w:val="948A54" w:themeColor="background2" w:themeShade="80"/>
                <w:sz w:val="20"/>
                <w:szCs w:val="24"/>
              </w:rPr>
              <w:t>Authorised Officer’s Name:</w:t>
            </w:r>
          </w:p>
        </w:tc>
        <w:tc>
          <w:tcPr>
            <w:tcW w:w="7229" w:type="dxa"/>
          </w:tcPr>
          <w:p w14:paraId="4EF12F30" w14:textId="77777777" w:rsidR="002D6926" w:rsidRPr="00816CD2" w:rsidRDefault="002D6926" w:rsidP="00A47C26">
            <w:pPr>
              <w:rPr>
                <w:rFonts w:ascii="Arial" w:hAnsi="Arial" w:cs="Arial"/>
                <w:b/>
                <w:color w:val="948A54" w:themeColor="background2" w:themeShade="80"/>
                <w:szCs w:val="24"/>
                <w:lang w:val="en-US"/>
              </w:rPr>
            </w:pPr>
          </w:p>
        </w:tc>
      </w:tr>
      <w:tr w:rsidR="002D6926" w:rsidRPr="00816CD2" w14:paraId="1B3824E3" w14:textId="77777777" w:rsidTr="00A47C26">
        <w:tc>
          <w:tcPr>
            <w:tcW w:w="2547" w:type="dxa"/>
            <w:shd w:val="clear" w:color="auto" w:fill="auto"/>
          </w:tcPr>
          <w:p w14:paraId="05D90991" w14:textId="77777777" w:rsidR="002D6926" w:rsidRPr="00816CD2" w:rsidRDefault="002D6926" w:rsidP="00A47C26">
            <w:pPr>
              <w:rPr>
                <w:rFonts w:ascii="Arial" w:hAnsi="Arial" w:cs="Arial"/>
                <w:b/>
                <w:bCs/>
                <w:color w:val="948A54" w:themeColor="background2" w:themeShade="80"/>
                <w:sz w:val="20"/>
                <w:szCs w:val="24"/>
              </w:rPr>
            </w:pPr>
            <w:r w:rsidRPr="00816CD2">
              <w:rPr>
                <w:rFonts w:ascii="Arial" w:hAnsi="Arial" w:cs="Arial"/>
                <w:b/>
                <w:bCs/>
                <w:color w:val="948A54" w:themeColor="background2" w:themeShade="80"/>
                <w:sz w:val="20"/>
                <w:szCs w:val="24"/>
              </w:rPr>
              <w:t>Authorised Officer’s Signature:</w:t>
            </w:r>
          </w:p>
        </w:tc>
        <w:tc>
          <w:tcPr>
            <w:tcW w:w="7229" w:type="dxa"/>
          </w:tcPr>
          <w:p w14:paraId="7250A789" w14:textId="77777777" w:rsidR="002D6926" w:rsidRPr="00816CD2" w:rsidRDefault="002D6926" w:rsidP="00A47C26">
            <w:pPr>
              <w:rPr>
                <w:rFonts w:ascii="Arial" w:hAnsi="Arial" w:cs="Arial"/>
                <w:b/>
                <w:color w:val="948A54" w:themeColor="background2" w:themeShade="80"/>
                <w:szCs w:val="24"/>
                <w:lang w:val="en-US"/>
              </w:rPr>
            </w:pPr>
          </w:p>
        </w:tc>
      </w:tr>
      <w:tr w:rsidR="002D6926" w:rsidRPr="00816CD2" w14:paraId="4E8641D0" w14:textId="77777777" w:rsidTr="00A47C26">
        <w:tc>
          <w:tcPr>
            <w:tcW w:w="2547" w:type="dxa"/>
            <w:shd w:val="clear" w:color="auto" w:fill="auto"/>
          </w:tcPr>
          <w:p w14:paraId="53EBE484" w14:textId="77777777" w:rsidR="002D6926" w:rsidRDefault="002D6926" w:rsidP="00A47C26">
            <w:pPr>
              <w:rPr>
                <w:rFonts w:ascii="Arial" w:hAnsi="Arial" w:cs="Arial"/>
                <w:b/>
                <w:bCs/>
                <w:color w:val="948A54" w:themeColor="background2" w:themeShade="80"/>
                <w:sz w:val="20"/>
                <w:szCs w:val="24"/>
                <w:lang w:val="en-US"/>
              </w:rPr>
            </w:pPr>
            <w:r w:rsidRPr="00816CD2">
              <w:rPr>
                <w:rFonts w:ascii="Arial" w:hAnsi="Arial" w:cs="Arial"/>
                <w:b/>
                <w:bCs/>
                <w:color w:val="948A54" w:themeColor="background2" w:themeShade="80"/>
                <w:sz w:val="20"/>
                <w:szCs w:val="24"/>
                <w:lang w:val="en-US"/>
              </w:rPr>
              <w:t>Date received:</w:t>
            </w:r>
          </w:p>
          <w:p w14:paraId="1BAA83CE" w14:textId="77777777" w:rsidR="002D6926" w:rsidRPr="00816CD2" w:rsidRDefault="002D6926" w:rsidP="00A47C26">
            <w:pPr>
              <w:rPr>
                <w:rFonts w:ascii="Arial" w:hAnsi="Arial" w:cs="Arial"/>
                <w:b/>
                <w:bCs/>
                <w:color w:val="948A54" w:themeColor="background2" w:themeShade="80"/>
                <w:sz w:val="20"/>
                <w:szCs w:val="24"/>
                <w:lang w:val="en-US"/>
              </w:rPr>
            </w:pPr>
          </w:p>
        </w:tc>
        <w:tc>
          <w:tcPr>
            <w:tcW w:w="7229" w:type="dxa"/>
          </w:tcPr>
          <w:p w14:paraId="778F463B" w14:textId="77777777" w:rsidR="002D6926" w:rsidRPr="00816CD2" w:rsidRDefault="002D6926" w:rsidP="00A47C26">
            <w:pPr>
              <w:rPr>
                <w:rFonts w:ascii="Arial" w:hAnsi="Arial" w:cs="Arial"/>
                <w:b/>
                <w:color w:val="948A54" w:themeColor="background2" w:themeShade="80"/>
                <w:szCs w:val="24"/>
                <w:lang w:val="en-US"/>
              </w:rPr>
            </w:pPr>
          </w:p>
        </w:tc>
      </w:tr>
    </w:tbl>
    <w:p w14:paraId="0F97B67C" w14:textId="77777777" w:rsidR="002D6926" w:rsidRDefault="002D6926" w:rsidP="002D6926">
      <w:pPr>
        <w:pStyle w:val="Bulletbody"/>
        <w:numPr>
          <w:ilvl w:val="0"/>
          <w:numId w:val="0"/>
        </w:numPr>
        <w:rPr>
          <w:rFonts w:cs="Arial"/>
        </w:rPr>
        <w:sectPr w:rsidR="002D6926" w:rsidSect="006C5974">
          <w:headerReference w:type="default" r:id="rId44"/>
          <w:pgSz w:w="11906" w:h="16838" w:code="9"/>
          <w:pgMar w:top="1440" w:right="1080" w:bottom="1134" w:left="1080" w:header="720" w:footer="1134" w:gutter="0"/>
          <w:cols w:space="720"/>
          <w:docGrid w:linePitch="299"/>
        </w:sectPr>
      </w:pPr>
    </w:p>
    <w:p w14:paraId="2658F572" w14:textId="5186EE1D" w:rsidR="002D6926" w:rsidRDefault="002D6926" w:rsidP="002D6926">
      <w:pPr>
        <w:spacing w:after="0"/>
        <w:jc w:val="center"/>
        <w:rPr>
          <w:rFonts w:ascii="Arial Bold" w:hAnsi="Arial Bold" w:cs="Arial"/>
          <w:b/>
          <w:color w:val="244061" w:themeColor="accent1" w:themeShade="80"/>
          <w:spacing w:val="20"/>
          <w:sz w:val="28"/>
          <w:szCs w:val="24"/>
        </w:rPr>
      </w:pPr>
      <w:r w:rsidRPr="00EE1DBE">
        <w:rPr>
          <w:noProof/>
          <w:lang w:eastAsia="en-AU"/>
        </w:rPr>
        <w:lastRenderedPageBreak/>
        <w:drawing>
          <wp:inline distT="0" distB="0" distL="0" distR="0" wp14:anchorId="3303FEF5" wp14:editId="3B58D1E6">
            <wp:extent cx="1797071" cy="685043"/>
            <wp:effectExtent l="0" t="0" r="0" b="1270"/>
            <wp:docPr id="450" name="Picture 450" descr="Y:\Office of CEO\ProjectCoordinator\FromDropbox\TofEF_alternate logo\colour\JPEG\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ProjectCoordinator\FromDropbox\TofEF_alternate logo\colour\JPEG\Town of East Fremantle_Logo_Landscape_Colour [HIGHRE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2296" cy="709907"/>
                    </a:xfrm>
                    <a:prstGeom prst="rect">
                      <a:avLst/>
                    </a:prstGeom>
                    <a:noFill/>
                    <a:ln>
                      <a:noFill/>
                    </a:ln>
                  </pic:spPr>
                </pic:pic>
              </a:graphicData>
            </a:graphic>
          </wp:inline>
        </w:drawing>
      </w:r>
    </w:p>
    <w:p w14:paraId="3DCCD5F4" w14:textId="77777777" w:rsidR="002D6926" w:rsidRDefault="002D6926" w:rsidP="002D6926">
      <w:pPr>
        <w:jc w:val="center"/>
        <w:rPr>
          <w:rFonts w:ascii="Arial Bold" w:hAnsi="Arial Bold" w:cs="Arial"/>
          <w:b/>
          <w:color w:val="244061" w:themeColor="accent1" w:themeShade="80"/>
          <w:spacing w:val="20"/>
          <w:sz w:val="28"/>
          <w:szCs w:val="24"/>
        </w:rPr>
      </w:pPr>
      <w:r>
        <w:rPr>
          <w:rFonts w:ascii="Arial Bold" w:hAnsi="Arial Bold" w:cs="Arial"/>
          <w:b/>
          <w:color w:val="244061" w:themeColor="accent1" w:themeShade="80"/>
          <w:spacing w:val="20"/>
          <w:sz w:val="28"/>
          <w:szCs w:val="24"/>
        </w:rPr>
        <w:t>Code of Conduct for Council Members, Committee Members and Candidates</w:t>
      </w:r>
    </w:p>
    <w:p w14:paraId="7638CCAD" w14:textId="77777777" w:rsidR="002D6926" w:rsidRPr="00BB5E9F" w:rsidRDefault="002D6926" w:rsidP="002D6926">
      <w:pPr>
        <w:jc w:val="center"/>
        <w:rPr>
          <w:rFonts w:ascii="Arial Bold" w:hAnsi="Arial Bold" w:cs="Arial"/>
          <w:b/>
          <w:color w:val="244061" w:themeColor="accent1" w:themeShade="80"/>
          <w:spacing w:val="20"/>
          <w:sz w:val="28"/>
          <w:szCs w:val="24"/>
        </w:rPr>
      </w:pPr>
      <w:r w:rsidRPr="00BB5E9F">
        <w:rPr>
          <w:rFonts w:ascii="Arial Bold" w:hAnsi="Arial Bold" w:cs="Arial"/>
          <w:b/>
          <w:color w:val="244061" w:themeColor="accent1" w:themeShade="80"/>
          <w:spacing w:val="20"/>
          <w:sz w:val="28"/>
          <w:szCs w:val="24"/>
        </w:rPr>
        <w:t>Behaviour Complaint</w:t>
      </w:r>
    </w:p>
    <w:p w14:paraId="7C10FD48" w14:textId="77777777" w:rsidR="002D6926" w:rsidRPr="00BB5E9F" w:rsidRDefault="002D6926" w:rsidP="002D6926">
      <w:pPr>
        <w:spacing w:before="120" w:after="120"/>
        <w:jc w:val="center"/>
        <w:rPr>
          <w:rFonts w:ascii="Arial Bold" w:hAnsi="Arial Bold" w:cs="Arial"/>
          <w:b/>
          <w:color w:val="244061" w:themeColor="accent1" w:themeShade="80"/>
          <w:spacing w:val="20"/>
          <w:sz w:val="38"/>
          <w:szCs w:val="24"/>
        </w:rPr>
      </w:pPr>
      <w:r w:rsidRPr="00BB5E9F">
        <w:rPr>
          <w:rFonts w:ascii="Arial Bold" w:hAnsi="Arial Bold" w:cs="Arial"/>
          <w:b/>
          <w:color w:val="244061" w:themeColor="accent1" w:themeShade="80"/>
          <w:spacing w:val="20"/>
          <w:sz w:val="38"/>
          <w:szCs w:val="24"/>
        </w:rPr>
        <w:t>Statutory Declaration</w:t>
      </w:r>
    </w:p>
    <w:p w14:paraId="32D1BDDA" w14:textId="77777777" w:rsidR="002D6926" w:rsidRPr="00677BD6" w:rsidRDefault="002D6926" w:rsidP="002D6926">
      <w:pPr>
        <w:spacing w:after="0"/>
        <w:jc w:val="center"/>
        <w:rPr>
          <w:rFonts w:ascii="Arial" w:hAnsi="Arial" w:cs="Arial"/>
          <w:bCs/>
          <w:i/>
          <w:sz w:val="20"/>
          <w:szCs w:val="24"/>
        </w:rPr>
      </w:pPr>
      <w:r w:rsidRPr="00677BD6">
        <w:rPr>
          <w:rFonts w:ascii="Arial" w:hAnsi="Arial" w:cs="Arial"/>
          <w:bCs/>
          <w:i/>
          <w:sz w:val="20"/>
          <w:szCs w:val="24"/>
        </w:rPr>
        <w:t>Oaths, Affidavits and Statutory Declarations Act 2005</w:t>
      </w:r>
    </w:p>
    <w:p w14:paraId="336D1010" w14:textId="77777777" w:rsidR="002D6926" w:rsidRPr="000C29DC" w:rsidRDefault="002D6926" w:rsidP="002D6926">
      <w:pPr>
        <w:spacing w:after="0"/>
        <w:rPr>
          <w:rFonts w:cs="Arial"/>
          <w:b/>
          <w:sz w:val="18"/>
          <w:szCs w:val="18"/>
          <w:lang w:val="en-US"/>
        </w:rPr>
      </w:pPr>
    </w:p>
    <w:p w14:paraId="7A0E14AB" w14:textId="77777777" w:rsidR="002D6926" w:rsidRPr="00150521" w:rsidRDefault="002D6926" w:rsidP="002D6926">
      <w:pPr>
        <w:spacing w:after="0"/>
        <w:rPr>
          <w:rFonts w:ascii="Arial" w:hAnsi="Arial" w:cs="Arial"/>
          <w:i/>
          <w:lang w:val="en-US"/>
        </w:rPr>
      </w:pPr>
      <w:r w:rsidRPr="00150521">
        <w:rPr>
          <w:rFonts w:ascii="Arial" w:hAnsi="Arial" w:cs="Arial"/>
          <w:i/>
          <w:lang w:val="en-US"/>
        </w:rPr>
        <w:t xml:space="preserve">Must be completed and submitted with the completed </w:t>
      </w:r>
      <w:proofErr w:type="spellStart"/>
      <w:r w:rsidRPr="00150521">
        <w:rPr>
          <w:rFonts w:ascii="Arial" w:hAnsi="Arial" w:cs="Arial"/>
          <w:i/>
          <w:lang w:val="en-US"/>
        </w:rPr>
        <w:t>Behaviour</w:t>
      </w:r>
      <w:proofErr w:type="spellEnd"/>
      <w:r w:rsidRPr="00150521">
        <w:rPr>
          <w:rFonts w:ascii="Arial" w:hAnsi="Arial" w:cs="Arial"/>
          <w:i/>
          <w:lang w:val="en-US"/>
        </w:rPr>
        <w:t xml:space="preserve"> Complaint Form</w:t>
      </w:r>
    </w:p>
    <w:tbl>
      <w:tblPr>
        <w:tblStyle w:val="TableGrid"/>
        <w:tblW w:w="992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567"/>
        <w:gridCol w:w="279"/>
        <w:gridCol w:w="1280"/>
        <w:gridCol w:w="135"/>
        <w:gridCol w:w="992"/>
        <w:gridCol w:w="5110"/>
        <w:gridCol w:w="997"/>
        <w:gridCol w:w="130"/>
        <w:gridCol w:w="7"/>
      </w:tblGrid>
      <w:tr w:rsidR="002D6926" w:rsidRPr="00677BD6" w14:paraId="4C4EDF51" w14:textId="77777777" w:rsidTr="00A47C26">
        <w:trPr>
          <w:gridBefore w:val="1"/>
          <w:wBefore w:w="426" w:type="dxa"/>
          <w:trHeight w:val="680"/>
        </w:trPr>
        <w:tc>
          <w:tcPr>
            <w:tcW w:w="846" w:type="dxa"/>
            <w:gridSpan w:val="2"/>
            <w:vAlign w:val="center"/>
          </w:tcPr>
          <w:p w14:paraId="093BE2AE" w14:textId="77777777" w:rsidR="002D6926" w:rsidRPr="00677BD6" w:rsidRDefault="002D6926" w:rsidP="00A47C26">
            <w:pPr>
              <w:jc w:val="right"/>
              <w:rPr>
                <w:rFonts w:cs="Arial"/>
                <w:b/>
                <w:sz w:val="20"/>
                <w:szCs w:val="20"/>
                <w:lang w:val="en-US"/>
              </w:rPr>
            </w:pPr>
            <w:r w:rsidRPr="00677BD6">
              <w:rPr>
                <w:rFonts w:cs="Arial"/>
                <w:b/>
                <w:sz w:val="20"/>
                <w:szCs w:val="20"/>
                <w:lang w:val="en-US"/>
              </w:rPr>
              <w:t>I</w:t>
            </w:r>
          </w:p>
        </w:tc>
        <w:tc>
          <w:tcPr>
            <w:tcW w:w="8651" w:type="dxa"/>
            <w:gridSpan w:val="7"/>
            <w:tcBorders>
              <w:bottom w:val="single" w:sz="4" w:space="0" w:color="auto"/>
            </w:tcBorders>
          </w:tcPr>
          <w:p w14:paraId="5973D8BE" w14:textId="77777777" w:rsidR="002D6926" w:rsidRPr="00677BD6" w:rsidRDefault="002D6926" w:rsidP="00A47C26">
            <w:pPr>
              <w:rPr>
                <w:rFonts w:cs="Arial"/>
                <w:b/>
                <w:sz w:val="20"/>
                <w:szCs w:val="20"/>
                <w:lang w:val="en-US"/>
              </w:rPr>
            </w:pPr>
          </w:p>
        </w:tc>
      </w:tr>
      <w:tr w:rsidR="002D6926" w:rsidRPr="00531EEC" w14:paraId="76BC6145" w14:textId="77777777" w:rsidTr="00A47C26">
        <w:trPr>
          <w:gridBefore w:val="1"/>
          <w:gridAfter w:val="2"/>
          <w:wBefore w:w="426" w:type="dxa"/>
          <w:wAfter w:w="137" w:type="dxa"/>
        </w:trPr>
        <w:tc>
          <w:tcPr>
            <w:tcW w:w="567" w:type="dxa"/>
          </w:tcPr>
          <w:p w14:paraId="08DA0EA8" w14:textId="77777777" w:rsidR="002D6926" w:rsidRPr="00531EEC" w:rsidRDefault="002D6926" w:rsidP="00A47C26">
            <w:pPr>
              <w:rPr>
                <w:rFonts w:cs="Arial"/>
                <w:b/>
                <w:i/>
                <w:sz w:val="20"/>
                <w:lang w:val="en-US"/>
              </w:rPr>
            </w:pPr>
          </w:p>
        </w:tc>
        <w:tc>
          <w:tcPr>
            <w:tcW w:w="8793" w:type="dxa"/>
            <w:gridSpan w:val="6"/>
            <w:tcBorders>
              <w:top w:val="single" w:sz="4" w:space="0" w:color="auto"/>
            </w:tcBorders>
          </w:tcPr>
          <w:p w14:paraId="3070E98C" w14:textId="77777777" w:rsidR="002D6926" w:rsidRPr="00677BD6" w:rsidRDefault="002D6926" w:rsidP="00A47C26">
            <w:pPr>
              <w:rPr>
                <w:rFonts w:ascii="Arial" w:hAnsi="Arial" w:cs="Arial"/>
                <w:i/>
                <w:sz w:val="20"/>
                <w:szCs w:val="20"/>
                <w:lang w:val="en-US"/>
              </w:rPr>
            </w:pPr>
            <w:r w:rsidRPr="00677BD6">
              <w:rPr>
                <w:rFonts w:ascii="Arial" w:hAnsi="Arial" w:cs="Arial"/>
                <w:i/>
                <w:sz w:val="20"/>
                <w:szCs w:val="20"/>
                <w:lang w:val="en-US"/>
              </w:rPr>
              <w:t>Insert your name</w:t>
            </w:r>
          </w:p>
        </w:tc>
      </w:tr>
      <w:tr w:rsidR="002D6926" w14:paraId="664A51FE" w14:textId="77777777" w:rsidTr="00A47C26">
        <w:trPr>
          <w:gridBefore w:val="1"/>
          <w:gridAfter w:val="2"/>
          <w:wBefore w:w="426" w:type="dxa"/>
          <w:wAfter w:w="137" w:type="dxa"/>
          <w:trHeight w:val="567"/>
        </w:trPr>
        <w:tc>
          <w:tcPr>
            <w:tcW w:w="567" w:type="dxa"/>
          </w:tcPr>
          <w:p w14:paraId="33EC83DC" w14:textId="77777777" w:rsidR="002D6926" w:rsidRPr="00677BD6" w:rsidRDefault="002D6926" w:rsidP="00A47C26">
            <w:pPr>
              <w:rPr>
                <w:rFonts w:cs="Arial"/>
                <w:b/>
                <w:sz w:val="20"/>
                <w:szCs w:val="20"/>
                <w:lang w:val="en-US"/>
              </w:rPr>
            </w:pPr>
          </w:p>
        </w:tc>
        <w:tc>
          <w:tcPr>
            <w:tcW w:w="8793" w:type="dxa"/>
            <w:gridSpan w:val="6"/>
            <w:tcBorders>
              <w:bottom w:val="single" w:sz="4" w:space="0" w:color="auto"/>
            </w:tcBorders>
          </w:tcPr>
          <w:p w14:paraId="138B6910" w14:textId="77777777" w:rsidR="002D6926" w:rsidRPr="00677BD6" w:rsidRDefault="002D6926" w:rsidP="00A47C26">
            <w:pPr>
              <w:rPr>
                <w:rFonts w:cs="Arial"/>
                <w:b/>
                <w:sz w:val="20"/>
                <w:szCs w:val="20"/>
                <w:lang w:val="en-US"/>
              </w:rPr>
            </w:pPr>
          </w:p>
        </w:tc>
      </w:tr>
      <w:tr w:rsidR="002D6926" w:rsidRPr="00531EEC" w14:paraId="08AEA860" w14:textId="77777777" w:rsidTr="00A47C26">
        <w:trPr>
          <w:gridBefore w:val="1"/>
          <w:gridAfter w:val="2"/>
          <w:wBefore w:w="426" w:type="dxa"/>
          <w:wAfter w:w="137" w:type="dxa"/>
        </w:trPr>
        <w:tc>
          <w:tcPr>
            <w:tcW w:w="567" w:type="dxa"/>
          </w:tcPr>
          <w:p w14:paraId="4C386C8B" w14:textId="77777777" w:rsidR="002D6926" w:rsidRPr="00531EEC" w:rsidRDefault="002D6926" w:rsidP="00A47C26">
            <w:pPr>
              <w:rPr>
                <w:rFonts w:cs="Arial"/>
                <w:i/>
                <w:sz w:val="20"/>
                <w:lang w:val="en-US"/>
              </w:rPr>
            </w:pPr>
          </w:p>
        </w:tc>
        <w:tc>
          <w:tcPr>
            <w:tcW w:w="8793" w:type="dxa"/>
            <w:gridSpan w:val="6"/>
            <w:tcBorders>
              <w:top w:val="single" w:sz="4" w:space="0" w:color="auto"/>
            </w:tcBorders>
          </w:tcPr>
          <w:p w14:paraId="2BA8E039"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Insert your residential address</w:t>
            </w:r>
          </w:p>
        </w:tc>
      </w:tr>
      <w:tr w:rsidR="002D6926" w14:paraId="4272A618" w14:textId="77777777" w:rsidTr="00A47C26">
        <w:trPr>
          <w:gridBefore w:val="1"/>
          <w:gridAfter w:val="2"/>
          <w:wBefore w:w="426" w:type="dxa"/>
          <w:wAfter w:w="137" w:type="dxa"/>
          <w:trHeight w:val="567"/>
        </w:trPr>
        <w:tc>
          <w:tcPr>
            <w:tcW w:w="567" w:type="dxa"/>
          </w:tcPr>
          <w:p w14:paraId="2F7E3129" w14:textId="77777777" w:rsidR="002D6926" w:rsidRPr="00677BD6" w:rsidRDefault="002D6926" w:rsidP="00A47C26">
            <w:pPr>
              <w:rPr>
                <w:rFonts w:cs="Arial"/>
                <w:b/>
                <w:sz w:val="20"/>
                <w:szCs w:val="20"/>
                <w:lang w:val="en-US"/>
              </w:rPr>
            </w:pPr>
          </w:p>
        </w:tc>
        <w:tc>
          <w:tcPr>
            <w:tcW w:w="8793" w:type="dxa"/>
            <w:gridSpan w:val="6"/>
            <w:tcBorders>
              <w:bottom w:val="single" w:sz="4" w:space="0" w:color="auto"/>
            </w:tcBorders>
          </w:tcPr>
          <w:p w14:paraId="1730B3E9" w14:textId="77777777" w:rsidR="002D6926" w:rsidRPr="00677BD6" w:rsidRDefault="002D6926" w:rsidP="00A47C26">
            <w:pPr>
              <w:rPr>
                <w:rFonts w:ascii="Arial" w:hAnsi="Arial" w:cs="Arial"/>
                <w:b/>
                <w:sz w:val="20"/>
                <w:szCs w:val="20"/>
                <w:lang w:val="en-US"/>
              </w:rPr>
            </w:pPr>
          </w:p>
        </w:tc>
      </w:tr>
      <w:tr w:rsidR="002D6926" w:rsidRPr="00531EEC" w14:paraId="6AD7BFD7" w14:textId="77777777" w:rsidTr="00A47C26">
        <w:trPr>
          <w:gridBefore w:val="1"/>
          <w:gridAfter w:val="2"/>
          <w:wBefore w:w="426" w:type="dxa"/>
          <w:wAfter w:w="137" w:type="dxa"/>
        </w:trPr>
        <w:tc>
          <w:tcPr>
            <w:tcW w:w="567" w:type="dxa"/>
          </w:tcPr>
          <w:p w14:paraId="435AC641" w14:textId="77777777" w:rsidR="002D6926" w:rsidRPr="00531EEC" w:rsidRDefault="002D6926" w:rsidP="00A47C26">
            <w:pPr>
              <w:rPr>
                <w:rFonts w:cs="Arial"/>
                <w:i/>
                <w:sz w:val="20"/>
                <w:lang w:val="en-US"/>
              </w:rPr>
            </w:pPr>
          </w:p>
        </w:tc>
        <w:tc>
          <w:tcPr>
            <w:tcW w:w="8793" w:type="dxa"/>
            <w:gridSpan w:val="6"/>
            <w:tcBorders>
              <w:top w:val="single" w:sz="4" w:space="0" w:color="auto"/>
            </w:tcBorders>
          </w:tcPr>
          <w:p w14:paraId="0C7475CC"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Insert your occupation</w:t>
            </w:r>
          </w:p>
        </w:tc>
      </w:tr>
      <w:tr w:rsidR="002D6926" w14:paraId="0C571A5C" w14:textId="77777777" w:rsidTr="00A47C26">
        <w:trPr>
          <w:gridBefore w:val="1"/>
          <w:gridAfter w:val="2"/>
          <w:wBefore w:w="426" w:type="dxa"/>
          <w:wAfter w:w="137" w:type="dxa"/>
        </w:trPr>
        <w:tc>
          <w:tcPr>
            <w:tcW w:w="567" w:type="dxa"/>
          </w:tcPr>
          <w:p w14:paraId="71E785CD" w14:textId="77777777" w:rsidR="002D6926" w:rsidRDefault="002D6926" w:rsidP="00A47C26">
            <w:pPr>
              <w:rPr>
                <w:rFonts w:cs="Arial"/>
                <w:b/>
                <w:sz w:val="24"/>
                <w:szCs w:val="24"/>
                <w:lang w:val="en-US"/>
              </w:rPr>
            </w:pPr>
          </w:p>
        </w:tc>
        <w:tc>
          <w:tcPr>
            <w:tcW w:w="8793" w:type="dxa"/>
            <w:gridSpan w:val="6"/>
          </w:tcPr>
          <w:p w14:paraId="5A04FC7C" w14:textId="77777777" w:rsidR="002D6926" w:rsidRPr="00531EEC" w:rsidRDefault="002D6926" w:rsidP="00A47C26">
            <w:pPr>
              <w:rPr>
                <w:rFonts w:cs="Arial"/>
                <w:i/>
                <w:sz w:val="24"/>
                <w:szCs w:val="24"/>
                <w:lang w:val="en-US"/>
              </w:rPr>
            </w:pPr>
          </w:p>
        </w:tc>
      </w:tr>
      <w:tr w:rsidR="002D6926" w14:paraId="473BDA2F" w14:textId="77777777" w:rsidTr="00A47C26">
        <w:trPr>
          <w:gridAfter w:val="1"/>
          <w:wAfter w:w="7" w:type="dxa"/>
        </w:trPr>
        <w:tc>
          <w:tcPr>
            <w:tcW w:w="9916" w:type="dxa"/>
            <w:gridSpan w:val="9"/>
          </w:tcPr>
          <w:p w14:paraId="049AF1D3" w14:textId="77777777" w:rsidR="002D6926" w:rsidRPr="00150521" w:rsidRDefault="002D6926" w:rsidP="00A47C26">
            <w:pPr>
              <w:spacing w:before="120" w:after="120"/>
              <w:rPr>
                <w:rFonts w:ascii="Arial" w:hAnsi="Arial" w:cs="Arial"/>
                <w:i/>
                <w:lang w:val="en-US"/>
              </w:rPr>
            </w:pPr>
            <w:r w:rsidRPr="00150521">
              <w:rPr>
                <w:rFonts w:ascii="Arial" w:hAnsi="Arial" w:cs="Arial"/>
                <w:b/>
                <w:lang w:val="en-US"/>
              </w:rPr>
              <w:t xml:space="preserve">Sincerely declare that the information I have provided in the attached </w:t>
            </w:r>
            <w:proofErr w:type="spellStart"/>
            <w:r w:rsidRPr="00150521">
              <w:rPr>
                <w:rFonts w:ascii="Arial" w:hAnsi="Arial" w:cs="Arial"/>
                <w:b/>
                <w:lang w:val="en-US"/>
              </w:rPr>
              <w:t>Behaviour</w:t>
            </w:r>
            <w:proofErr w:type="spellEnd"/>
          </w:p>
        </w:tc>
      </w:tr>
      <w:tr w:rsidR="002D6926" w14:paraId="1B30B1DD" w14:textId="77777777" w:rsidTr="00A47C26">
        <w:trPr>
          <w:gridAfter w:val="3"/>
          <w:wAfter w:w="1134" w:type="dxa"/>
        </w:trPr>
        <w:tc>
          <w:tcPr>
            <w:tcW w:w="2552" w:type="dxa"/>
            <w:gridSpan w:val="4"/>
          </w:tcPr>
          <w:p w14:paraId="5E2E0F32" w14:textId="77777777" w:rsidR="002D6926" w:rsidRPr="00150521" w:rsidRDefault="002D6926" w:rsidP="00A47C26">
            <w:pPr>
              <w:spacing w:before="120" w:after="120"/>
              <w:rPr>
                <w:rFonts w:ascii="Arial" w:hAnsi="Arial" w:cs="Arial"/>
                <w:i/>
                <w:lang w:val="en-US"/>
              </w:rPr>
            </w:pPr>
            <w:r w:rsidRPr="00150521">
              <w:rPr>
                <w:rFonts w:ascii="Arial" w:hAnsi="Arial" w:cs="Arial"/>
                <w:b/>
                <w:lang w:val="en-US"/>
              </w:rPr>
              <w:t>Complaint dated</w:t>
            </w:r>
          </w:p>
        </w:tc>
        <w:tc>
          <w:tcPr>
            <w:tcW w:w="6237" w:type="dxa"/>
            <w:gridSpan w:val="3"/>
          </w:tcPr>
          <w:p w14:paraId="2809CE01" w14:textId="77777777" w:rsidR="002D6926" w:rsidRPr="00150521" w:rsidRDefault="002D6926" w:rsidP="00A47C26">
            <w:pPr>
              <w:spacing w:before="120" w:after="120"/>
              <w:rPr>
                <w:rFonts w:ascii="Arial" w:hAnsi="Arial" w:cs="Arial"/>
                <w:iCs/>
                <w:lang w:val="en-US"/>
              </w:rPr>
            </w:pPr>
            <w:r w:rsidRPr="00150521">
              <w:rPr>
                <w:rFonts w:ascii="Arial" w:hAnsi="Arial" w:cs="Arial"/>
                <w:iCs/>
                <w:lang w:val="en-US"/>
              </w:rPr>
              <w:t>_____________________</w:t>
            </w:r>
            <w:r w:rsidRPr="00150521">
              <w:rPr>
                <w:rFonts w:ascii="Arial" w:hAnsi="Arial" w:cs="Arial"/>
                <w:iCs/>
                <w:u w:val="single"/>
                <w:lang w:val="en-US"/>
              </w:rPr>
              <w:t xml:space="preserve">                </w:t>
            </w:r>
            <w:r w:rsidRPr="00150521">
              <w:rPr>
                <w:rFonts w:ascii="Arial" w:hAnsi="Arial" w:cs="Arial"/>
                <w:iCs/>
                <w:lang w:val="en-US"/>
              </w:rPr>
              <w:t>_</w:t>
            </w:r>
          </w:p>
        </w:tc>
      </w:tr>
      <w:tr w:rsidR="002D6926" w:rsidRPr="00531EEC" w14:paraId="42C21846" w14:textId="77777777" w:rsidTr="00A47C26">
        <w:trPr>
          <w:gridAfter w:val="1"/>
          <w:wAfter w:w="7" w:type="dxa"/>
        </w:trPr>
        <w:tc>
          <w:tcPr>
            <w:tcW w:w="3679" w:type="dxa"/>
            <w:gridSpan w:val="6"/>
          </w:tcPr>
          <w:p w14:paraId="36243949" w14:textId="77777777" w:rsidR="002D6926" w:rsidRPr="00677BD6" w:rsidRDefault="002D6926" w:rsidP="00A47C26">
            <w:pPr>
              <w:rPr>
                <w:rFonts w:ascii="Arial" w:hAnsi="Arial" w:cs="Arial"/>
                <w:i/>
                <w:sz w:val="20"/>
                <w:lang w:val="en-US"/>
              </w:rPr>
            </w:pPr>
          </w:p>
        </w:tc>
        <w:tc>
          <w:tcPr>
            <w:tcW w:w="6237" w:type="dxa"/>
            <w:gridSpan w:val="3"/>
          </w:tcPr>
          <w:p w14:paraId="26B682BB"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Insert date</w:t>
            </w:r>
          </w:p>
        </w:tc>
      </w:tr>
      <w:tr w:rsidR="002D6926" w14:paraId="087BB186" w14:textId="77777777" w:rsidTr="00A47C26">
        <w:trPr>
          <w:gridAfter w:val="1"/>
          <w:wAfter w:w="7" w:type="dxa"/>
        </w:trPr>
        <w:tc>
          <w:tcPr>
            <w:tcW w:w="9916" w:type="dxa"/>
            <w:gridSpan w:val="9"/>
          </w:tcPr>
          <w:p w14:paraId="2B2A1531" w14:textId="77777777" w:rsidR="002D6926" w:rsidRPr="00150521" w:rsidRDefault="002D6926" w:rsidP="00A47C26">
            <w:pPr>
              <w:spacing w:before="120" w:after="120"/>
              <w:rPr>
                <w:rFonts w:ascii="Arial" w:hAnsi="Arial" w:cs="Arial"/>
                <w:b/>
                <w:lang w:val="en-US"/>
              </w:rPr>
            </w:pPr>
            <w:r w:rsidRPr="00150521">
              <w:rPr>
                <w:rFonts w:ascii="Arial" w:hAnsi="Arial" w:cs="Arial"/>
                <w:b/>
                <w:lang w:val="en-US"/>
              </w:rPr>
              <w:t>is a true and accurate representation of the alleged behavior breach.</w:t>
            </w:r>
          </w:p>
        </w:tc>
      </w:tr>
      <w:tr w:rsidR="002D6926" w:rsidRPr="00531EEC" w14:paraId="60592FF7" w14:textId="77777777" w:rsidTr="00A47C26">
        <w:trPr>
          <w:gridAfter w:val="1"/>
          <w:wAfter w:w="7" w:type="dxa"/>
        </w:trPr>
        <w:tc>
          <w:tcPr>
            <w:tcW w:w="9916" w:type="dxa"/>
            <w:gridSpan w:val="9"/>
          </w:tcPr>
          <w:p w14:paraId="0C56286A" w14:textId="77777777" w:rsidR="002D6926" w:rsidRPr="00150521" w:rsidRDefault="002D6926" w:rsidP="00A47C26">
            <w:pPr>
              <w:rPr>
                <w:rFonts w:ascii="Arial" w:hAnsi="Arial" w:cs="Arial"/>
                <w:i/>
                <w:lang w:val="en-US"/>
              </w:rPr>
            </w:pPr>
          </w:p>
        </w:tc>
      </w:tr>
      <w:tr w:rsidR="002D6926" w14:paraId="73F7697D" w14:textId="77777777" w:rsidTr="00A47C26">
        <w:trPr>
          <w:gridAfter w:val="1"/>
          <w:wAfter w:w="7" w:type="dxa"/>
        </w:trPr>
        <w:tc>
          <w:tcPr>
            <w:tcW w:w="9916" w:type="dxa"/>
            <w:gridSpan w:val="9"/>
          </w:tcPr>
          <w:p w14:paraId="5891FF2E" w14:textId="77777777" w:rsidR="002D6926" w:rsidRPr="00150521" w:rsidRDefault="002D6926" w:rsidP="00A47C26">
            <w:pPr>
              <w:spacing w:line="288" w:lineRule="auto"/>
              <w:rPr>
                <w:rFonts w:ascii="Arial" w:hAnsi="Arial" w:cs="Arial"/>
                <w:i/>
                <w:lang w:val="en-US"/>
              </w:rPr>
            </w:pPr>
            <w:r w:rsidRPr="00150521">
              <w:rPr>
                <w:rFonts w:ascii="Arial" w:hAnsi="Arial" w:cs="Arial"/>
                <w:b/>
                <w:lang w:val="en-US"/>
              </w:rPr>
              <w:t xml:space="preserve">This declaration is </w:t>
            </w:r>
            <w:proofErr w:type="gramStart"/>
            <w:r w:rsidRPr="00150521">
              <w:rPr>
                <w:rFonts w:ascii="Arial" w:hAnsi="Arial" w:cs="Arial"/>
                <w:b/>
                <w:lang w:val="en-US"/>
              </w:rPr>
              <w:t>true</w:t>
            </w:r>
            <w:proofErr w:type="gramEnd"/>
            <w:r w:rsidRPr="00150521">
              <w:rPr>
                <w:rFonts w:ascii="Arial" w:hAnsi="Arial" w:cs="Arial"/>
                <w:b/>
                <w:lang w:val="en-US"/>
              </w:rPr>
              <w:t xml:space="preserve"> and I know that it is an offence to make a declaration knowing that it is false in a material particular.</w:t>
            </w:r>
          </w:p>
        </w:tc>
      </w:tr>
      <w:tr w:rsidR="002D6926" w:rsidRPr="005A7468" w14:paraId="387015FE" w14:textId="77777777" w:rsidTr="00A47C26">
        <w:trPr>
          <w:gridAfter w:val="1"/>
          <w:wAfter w:w="7" w:type="dxa"/>
        </w:trPr>
        <w:tc>
          <w:tcPr>
            <w:tcW w:w="9916" w:type="dxa"/>
            <w:gridSpan w:val="9"/>
          </w:tcPr>
          <w:p w14:paraId="7596E22F" w14:textId="77777777" w:rsidR="002D6926" w:rsidRPr="00150521" w:rsidRDefault="002D6926" w:rsidP="00A47C26">
            <w:pPr>
              <w:rPr>
                <w:rFonts w:ascii="Arial" w:hAnsi="Arial" w:cs="Arial"/>
                <w:i/>
                <w:lang w:val="en-US"/>
              </w:rPr>
            </w:pPr>
          </w:p>
        </w:tc>
      </w:tr>
      <w:tr w:rsidR="002D6926" w14:paraId="4446BACC" w14:textId="77777777" w:rsidTr="00A47C26">
        <w:trPr>
          <w:gridAfter w:val="1"/>
          <w:wAfter w:w="7" w:type="dxa"/>
        </w:trPr>
        <w:tc>
          <w:tcPr>
            <w:tcW w:w="9916" w:type="dxa"/>
            <w:gridSpan w:val="9"/>
          </w:tcPr>
          <w:p w14:paraId="3F0880EC" w14:textId="77777777" w:rsidR="002D6926" w:rsidRPr="00150521" w:rsidRDefault="002D6926" w:rsidP="00A47C26">
            <w:pPr>
              <w:spacing w:line="288" w:lineRule="auto"/>
              <w:rPr>
                <w:rFonts w:ascii="Arial" w:hAnsi="Arial" w:cs="Arial"/>
                <w:b/>
                <w:lang w:val="en-US"/>
              </w:rPr>
            </w:pPr>
            <w:r w:rsidRPr="00150521">
              <w:rPr>
                <w:rFonts w:ascii="Arial" w:hAnsi="Arial" w:cs="Arial"/>
                <w:b/>
                <w:lang w:val="en-US"/>
              </w:rPr>
              <w:t xml:space="preserve">This declaration is made under the </w:t>
            </w:r>
            <w:r w:rsidRPr="00150521">
              <w:rPr>
                <w:rFonts w:ascii="Arial" w:hAnsi="Arial" w:cs="Arial"/>
                <w:b/>
                <w:i/>
                <w:lang w:val="en-US"/>
              </w:rPr>
              <w:t>Oaths, Affidavits and Statutory Declarations</w:t>
            </w:r>
          </w:p>
        </w:tc>
      </w:tr>
      <w:tr w:rsidR="002D6926" w14:paraId="2AF42231" w14:textId="77777777" w:rsidTr="00A47C26">
        <w:tc>
          <w:tcPr>
            <w:tcW w:w="2552" w:type="dxa"/>
            <w:gridSpan w:val="4"/>
          </w:tcPr>
          <w:p w14:paraId="6878EE83" w14:textId="77777777" w:rsidR="002D6926" w:rsidRPr="00150521" w:rsidRDefault="002D6926" w:rsidP="00A47C26">
            <w:pPr>
              <w:tabs>
                <w:tab w:val="left" w:pos="2011"/>
              </w:tabs>
              <w:spacing w:line="288" w:lineRule="auto"/>
              <w:rPr>
                <w:rFonts w:ascii="Arial" w:hAnsi="Arial" w:cs="Arial"/>
                <w:b/>
                <w:lang w:val="en-US"/>
              </w:rPr>
            </w:pPr>
            <w:r w:rsidRPr="00150521">
              <w:rPr>
                <w:rFonts w:ascii="Arial" w:hAnsi="Arial" w:cs="Arial"/>
                <w:b/>
                <w:i/>
                <w:lang w:val="en-US"/>
              </w:rPr>
              <w:t>Act 2005</w:t>
            </w:r>
            <w:r w:rsidRPr="00150521">
              <w:rPr>
                <w:rFonts w:ascii="Arial" w:hAnsi="Arial" w:cs="Arial"/>
                <w:b/>
                <w:lang w:val="en-US"/>
              </w:rPr>
              <w:t xml:space="preserve"> </w:t>
            </w:r>
            <w:r w:rsidRPr="00150521">
              <w:rPr>
                <w:rFonts w:ascii="Arial" w:hAnsi="Arial" w:cs="Arial"/>
                <w:b/>
                <w:lang w:val="en-US"/>
              </w:rPr>
              <w:tab/>
              <w:t>At:</w:t>
            </w:r>
          </w:p>
        </w:tc>
        <w:tc>
          <w:tcPr>
            <w:tcW w:w="7371" w:type="dxa"/>
            <w:gridSpan w:val="6"/>
            <w:tcBorders>
              <w:bottom w:val="single" w:sz="4" w:space="0" w:color="auto"/>
            </w:tcBorders>
          </w:tcPr>
          <w:p w14:paraId="0262FF98" w14:textId="77777777" w:rsidR="002D6926" w:rsidRPr="00677BD6" w:rsidRDefault="002D6926" w:rsidP="00A47C26">
            <w:pPr>
              <w:spacing w:line="288" w:lineRule="auto"/>
              <w:rPr>
                <w:rFonts w:ascii="Arial" w:hAnsi="Arial" w:cs="Arial"/>
                <w:b/>
                <w:sz w:val="32"/>
                <w:szCs w:val="24"/>
                <w:lang w:val="en-US"/>
              </w:rPr>
            </w:pPr>
          </w:p>
        </w:tc>
      </w:tr>
      <w:tr w:rsidR="002D6926" w:rsidRPr="005A7468" w14:paraId="7F302489" w14:textId="77777777" w:rsidTr="00A47C26">
        <w:tc>
          <w:tcPr>
            <w:tcW w:w="2552" w:type="dxa"/>
            <w:gridSpan w:val="4"/>
          </w:tcPr>
          <w:p w14:paraId="72D07F93" w14:textId="77777777" w:rsidR="002D6926" w:rsidRPr="00677BD6" w:rsidRDefault="002D6926" w:rsidP="00A47C26">
            <w:pPr>
              <w:rPr>
                <w:rFonts w:ascii="Arial" w:hAnsi="Arial" w:cs="Arial"/>
                <w:i/>
                <w:sz w:val="20"/>
                <w:lang w:val="en-US"/>
              </w:rPr>
            </w:pPr>
          </w:p>
        </w:tc>
        <w:tc>
          <w:tcPr>
            <w:tcW w:w="7371" w:type="dxa"/>
            <w:gridSpan w:val="6"/>
            <w:tcBorders>
              <w:top w:val="single" w:sz="4" w:space="0" w:color="auto"/>
            </w:tcBorders>
          </w:tcPr>
          <w:p w14:paraId="43BB3013"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place</w:t>
            </w:r>
          </w:p>
        </w:tc>
      </w:tr>
      <w:tr w:rsidR="002D6926" w14:paraId="47099DFE" w14:textId="77777777" w:rsidTr="00A47C26">
        <w:tc>
          <w:tcPr>
            <w:tcW w:w="2552" w:type="dxa"/>
            <w:gridSpan w:val="4"/>
          </w:tcPr>
          <w:p w14:paraId="74F6A197" w14:textId="77777777" w:rsidR="002D6926" w:rsidRPr="00677BD6" w:rsidRDefault="002D6926" w:rsidP="00A47C26">
            <w:pPr>
              <w:spacing w:line="288" w:lineRule="auto"/>
              <w:jc w:val="right"/>
              <w:rPr>
                <w:rFonts w:ascii="Arial" w:hAnsi="Arial" w:cs="Arial"/>
                <w:b/>
                <w:sz w:val="20"/>
                <w:lang w:val="en-US"/>
              </w:rPr>
            </w:pPr>
            <w:r w:rsidRPr="00677BD6">
              <w:rPr>
                <w:rFonts w:ascii="Arial" w:hAnsi="Arial" w:cs="Arial"/>
                <w:b/>
                <w:sz w:val="20"/>
                <w:lang w:val="en-US"/>
              </w:rPr>
              <w:t>On:</w:t>
            </w:r>
          </w:p>
        </w:tc>
        <w:tc>
          <w:tcPr>
            <w:tcW w:w="7371" w:type="dxa"/>
            <w:gridSpan w:val="6"/>
            <w:tcBorders>
              <w:bottom w:val="single" w:sz="4" w:space="0" w:color="auto"/>
            </w:tcBorders>
          </w:tcPr>
          <w:p w14:paraId="34A20795" w14:textId="77777777" w:rsidR="002D6926" w:rsidRPr="00677BD6" w:rsidRDefault="002D6926" w:rsidP="00A47C26">
            <w:pPr>
              <w:spacing w:line="288" w:lineRule="auto"/>
              <w:rPr>
                <w:rFonts w:ascii="Arial" w:hAnsi="Arial" w:cs="Arial"/>
                <w:b/>
                <w:sz w:val="32"/>
                <w:szCs w:val="24"/>
                <w:lang w:val="en-US"/>
              </w:rPr>
            </w:pPr>
          </w:p>
        </w:tc>
      </w:tr>
      <w:tr w:rsidR="002D6926" w:rsidRPr="005A7468" w14:paraId="42F6CF73" w14:textId="77777777" w:rsidTr="00A47C26">
        <w:tc>
          <w:tcPr>
            <w:tcW w:w="2552" w:type="dxa"/>
            <w:gridSpan w:val="4"/>
          </w:tcPr>
          <w:p w14:paraId="56FF0252" w14:textId="77777777" w:rsidR="002D6926" w:rsidRPr="00677BD6" w:rsidRDefault="002D6926" w:rsidP="00A47C26">
            <w:pPr>
              <w:rPr>
                <w:rFonts w:ascii="Arial" w:hAnsi="Arial" w:cs="Arial"/>
                <w:i/>
                <w:sz w:val="20"/>
                <w:lang w:val="en-US"/>
              </w:rPr>
            </w:pPr>
          </w:p>
        </w:tc>
        <w:tc>
          <w:tcPr>
            <w:tcW w:w="7371" w:type="dxa"/>
            <w:gridSpan w:val="6"/>
            <w:tcBorders>
              <w:top w:val="single" w:sz="4" w:space="0" w:color="auto"/>
            </w:tcBorders>
          </w:tcPr>
          <w:p w14:paraId="1008F6F5"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date</w:t>
            </w:r>
          </w:p>
        </w:tc>
      </w:tr>
      <w:tr w:rsidR="002D6926" w14:paraId="25B960DD" w14:textId="77777777" w:rsidTr="00A47C26">
        <w:tc>
          <w:tcPr>
            <w:tcW w:w="2552" w:type="dxa"/>
            <w:gridSpan w:val="4"/>
          </w:tcPr>
          <w:p w14:paraId="11813C55" w14:textId="77777777" w:rsidR="002D6926" w:rsidRPr="00677BD6" w:rsidRDefault="002D6926" w:rsidP="00A47C26">
            <w:pPr>
              <w:spacing w:line="288" w:lineRule="auto"/>
              <w:jc w:val="right"/>
              <w:rPr>
                <w:rFonts w:ascii="Arial" w:hAnsi="Arial" w:cs="Arial"/>
                <w:b/>
                <w:sz w:val="20"/>
                <w:lang w:val="en-US"/>
              </w:rPr>
            </w:pPr>
            <w:r w:rsidRPr="00677BD6">
              <w:rPr>
                <w:rFonts w:ascii="Arial" w:hAnsi="Arial" w:cs="Arial"/>
                <w:b/>
                <w:sz w:val="20"/>
                <w:lang w:val="en-US"/>
              </w:rPr>
              <w:t>By:</w:t>
            </w:r>
          </w:p>
        </w:tc>
        <w:tc>
          <w:tcPr>
            <w:tcW w:w="7371" w:type="dxa"/>
            <w:gridSpan w:val="6"/>
            <w:tcBorders>
              <w:bottom w:val="single" w:sz="4" w:space="0" w:color="auto"/>
            </w:tcBorders>
          </w:tcPr>
          <w:p w14:paraId="25F43C48" w14:textId="77777777" w:rsidR="002D6926" w:rsidRPr="00677BD6" w:rsidRDefault="002D6926" w:rsidP="00A47C26">
            <w:pPr>
              <w:spacing w:line="288" w:lineRule="auto"/>
              <w:rPr>
                <w:rFonts w:ascii="Arial" w:hAnsi="Arial" w:cs="Arial"/>
                <w:b/>
                <w:sz w:val="32"/>
                <w:szCs w:val="24"/>
                <w:lang w:val="en-US"/>
              </w:rPr>
            </w:pPr>
          </w:p>
        </w:tc>
      </w:tr>
      <w:tr w:rsidR="002D6926" w:rsidRPr="005A7468" w14:paraId="1B415AA0" w14:textId="77777777" w:rsidTr="00A47C26">
        <w:tc>
          <w:tcPr>
            <w:tcW w:w="2552" w:type="dxa"/>
            <w:gridSpan w:val="4"/>
          </w:tcPr>
          <w:p w14:paraId="53C5B56E" w14:textId="77777777" w:rsidR="002D6926" w:rsidRPr="00677BD6" w:rsidRDefault="002D6926" w:rsidP="00A47C26">
            <w:pPr>
              <w:rPr>
                <w:rFonts w:ascii="Arial" w:hAnsi="Arial" w:cs="Arial"/>
                <w:i/>
                <w:sz w:val="20"/>
                <w:lang w:val="en-US"/>
              </w:rPr>
            </w:pPr>
          </w:p>
        </w:tc>
        <w:tc>
          <w:tcPr>
            <w:tcW w:w="7371" w:type="dxa"/>
            <w:gridSpan w:val="6"/>
            <w:tcBorders>
              <w:top w:val="single" w:sz="4" w:space="0" w:color="auto"/>
            </w:tcBorders>
          </w:tcPr>
          <w:p w14:paraId="62CE312C"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signature of the person making the declaration</w:t>
            </w:r>
          </w:p>
        </w:tc>
      </w:tr>
      <w:tr w:rsidR="002D6926" w:rsidRPr="005F5813" w14:paraId="4B0988F2" w14:textId="77777777" w:rsidTr="00A47C26">
        <w:tc>
          <w:tcPr>
            <w:tcW w:w="2687" w:type="dxa"/>
            <w:gridSpan w:val="5"/>
          </w:tcPr>
          <w:p w14:paraId="353E6658" w14:textId="77777777" w:rsidR="002D6926" w:rsidRPr="00677BD6" w:rsidRDefault="002D6926" w:rsidP="00A47C26">
            <w:pPr>
              <w:rPr>
                <w:rFonts w:ascii="Arial" w:hAnsi="Arial" w:cs="Arial"/>
                <w:i/>
                <w:sz w:val="20"/>
                <w:lang w:val="en-US"/>
              </w:rPr>
            </w:pPr>
          </w:p>
        </w:tc>
        <w:tc>
          <w:tcPr>
            <w:tcW w:w="7236" w:type="dxa"/>
            <w:gridSpan w:val="5"/>
          </w:tcPr>
          <w:p w14:paraId="35E91CFB" w14:textId="77777777" w:rsidR="002D6926" w:rsidRPr="00677BD6" w:rsidRDefault="002D6926" w:rsidP="00A47C26">
            <w:pPr>
              <w:rPr>
                <w:rFonts w:ascii="Arial" w:hAnsi="Arial" w:cs="Arial"/>
                <w:i/>
                <w:sz w:val="20"/>
                <w:lang w:val="en-US"/>
              </w:rPr>
            </w:pPr>
          </w:p>
        </w:tc>
      </w:tr>
      <w:tr w:rsidR="002D6926" w14:paraId="7EEF1427" w14:textId="77777777" w:rsidTr="00A47C26">
        <w:tc>
          <w:tcPr>
            <w:tcW w:w="2687" w:type="dxa"/>
            <w:gridSpan w:val="5"/>
          </w:tcPr>
          <w:p w14:paraId="47D79BDB" w14:textId="77777777" w:rsidR="002D6926" w:rsidRPr="00150521" w:rsidRDefault="002D6926" w:rsidP="00A47C26">
            <w:pPr>
              <w:spacing w:line="288" w:lineRule="auto"/>
              <w:rPr>
                <w:rFonts w:ascii="Arial" w:hAnsi="Arial" w:cs="Arial"/>
                <w:b/>
                <w:lang w:val="en-US"/>
              </w:rPr>
            </w:pPr>
            <w:r w:rsidRPr="00150521">
              <w:rPr>
                <w:rFonts w:ascii="Arial" w:hAnsi="Arial" w:cs="Arial"/>
                <w:b/>
                <w:lang w:val="en-US"/>
              </w:rPr>
              <w:t>In the presence of:</w:t>
            </w:r>
          </w:p>
        </w:tc>
        <w:tc>
          <w:tcPr>
            <w:tcW w:w="7236" w:type="dxa"/>
            <w:gridSpan w:val="5"/>
            <w:tcBorders>
              <w:bottom w:val="single" w:sz="4" w:space="0" w:color="auto"/>
            </w:tcBorders>
          </w:tcPr>
          <w:p w14:paraId="358308A3" w14:textId="77777777" w:rsidR="002D6926" w:rsidRPr="00677BD6" w:rsidRDefault="002D6926" w:rsidP="00A47C26">
            <w:pPr>
              <w:spacing w:line="288" w:lineRule="auto"/>
              <w:rPr>
                <w:rFonts w:ascii="Arial" w:hAnsi="Arial" w:cs="Arial"/>
                <w:b/>
                <w:sz w:val="32"/>
                <w:szCs w:val="24"/>
                <w:lang w:val="en-US"/>
              </w:rPr>
            </w:pPr>
          </w:p>
        </w:tc>
      </w:tr>
      <w:tr w:rsidR="002D6926" w:rsidRPr="005A7468" w14:paraId="7E247DF3" w14:textId="77777777" w:rsidTr="00A47C26">
        <w:tc>
          <w:tcPr>
            <w:tcW w:w="2552" w:type="dxa"/>
            <w:gridSpan w:val="4"/>
            <w:vMerge w:val="restart"/>
            <w:vAlign w:val="center"/>
          </w:tcPr>
          <w:p w14:paraId="34E50C30"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 xml:space="preserve">See over page for list of </w:t>
            </w:r>
            <w:proofErr w:type="spellStart"/>
            <w:r w:rsidRPr="00677BD6">
              <w:rPr>
                <w:rFonts w:ascii="Arial" w:hAnsi="Arial" w:cs="Arial"/>
                <w:i/>
                <w:sz w:val="20"/>
                <w:lang w:val="en-US"/>
              </w:rPr>
              <w:t>authorised</w:t>
            </w:r>
            <w:proofErr w:type="spellEnd"/>
            <w:r w:rsidRPr="00677BD6">
              <w:rPr>
                <w:rFonts w:ascii="Arial" w:hAnsi="Arial" w:cs="Arial"/>
                <w:i/>
                <w:sz w:val="20"/>
                <w:lang w:val="en-US"/>
              </w:rPr>
              <w:t xml:space="preserve"> witnesses prescribed in the Oaths, Affidavits and Statutory Declarations Act 2005</w:t>
            </w:r>
          </w:p>
        </w:tc>
        <w:tc>
          <w:tcPr>
            <w:tcW w:w="7371" w:type="dxa"/>
            <w:gridSpan w:val="6"/>
            <w:tcBorders>
              <w:top w:val="single" w:sz="4" w:space="0" w:color="auto"/>
            </w:tcBorders>
          </w:tcPr>
          <w:p w14:paraId="52115631"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 xml:space="preserve">signature of </w:t>
            </w:r>
            <w:proofErr w:type="spellStart"/>
            <w:r w:rsidRPr="00677BD6">
              <w:rPr>
                <w:rFonts w:ascii="Arial" w:hAnsi="Arial" w:cs="Arial"/>
                <w:i/>
                <w:sz w:val="20"/>
                <w:lang w:val="en-US"/>
              </w:rPr>
              <w:t>authorised</w:t>
            </w:r>
            <w:proofErr w:type="spellEnd"/>
            <w:r w:rsidRPr="00677BD6">
              <w:rPr>
                <w:rFonts w:ascii="Arial" w:hAnsi="Arial" w:cs="Arial"/>
                <w:i/>
                <w:sz w:val="20"/>
                <w:lang w:val="en-US"/>
              </w:rPr>
              <w:t xml:space="preserve"> witness</w:t>
            </w:r>
          </w:p>
        </w:tc>
      </w:tr>
      <w:tr w:rsidR="002D6926" w14:paraId="6E3A4066" w14:textId="77777777" w:rsidTr="00A47C26">
        <w:tc>
          <w:tcPr>
            <w:tcW w:w="2552" w:type="dxa"/>
            <w:gridSpan w:val="4"/>
            <w:vMerge/>
          </w:tcPr>
          <w:p w14:paraId="5900BF8C" w14:textId="77777777" w:rsidR="002D6926" w:rsidRPr="00677BD6" w:rsidRDefault="002D6926" w:rsidP="00A47C26">
            <w:pPr>
              <w:spacing w:line="288" w:lineRule="auto"/>
              <w:rPr>
                <w:rFonts w:ascii="Arial" w:hAnsi="Arial" w:cs="Arial"/>
                <w:b/>
                <w:sz w:val="24"/>
                <w:szCs w:val="24"/>
                <w:lang w:val="en-US"/>
              </w:rPr>
            </w:pPr>
          </w:p>
        </w:tc>
        <w:tc>
          <w:tcPr>
            <w:tcW w:w="7371" w:type="dxa"/>
            <w:gridSpan w:val="6"/>
            <w:tcBorders>
              <w:bottom w:val="single" w:sz="4" w:space="0" w:color="auto"/>
            </w:tcBorders>
          </w:tcPr>
          <w:p w14:paraId="0CC149D6" w14:textId="77777777" w:rsidR="002D6926" w:rsidRPr="00677BD6" w:rsidRDefault="002D6926" w:rsidP="00A47C26">
            <w:pPr>
              <w:spacing w:line="288" w:lineRule="auto"/>
              <w:rPr>
                <w:rFonts w:ascii="Arial" w:hAnsi="Arial" w:cs="Arial"/>
                <w:b/>
                <w:sz w:val="32"/>
                <w:szCs w:val="24"/>
                <w:lang w:val="en-US"/>
              </w:rPr>
            </w:pPr>
          </w:p>
        </w:tc>
      </w:tr>
      <w:tr w:rsidR="002D6926" w:rsidRPr="005F5813" w14:paraId="236A4401" w14:textId="77777777" w:rsidTr="00A47C26">
        <w:tc>
          <w:tcPr>
            <w:tcW w:w="2552" w:type="dxa"/>
            <w:gridSpan w:val="4"/>
            <w:vMerge/>
          </w:tcPr>
          <w:p w14:paraId="4BC588F5" w14:textId="77777777" w:rsidR="002D6926" w:rsidRPr="00677BD6" w:rsidRDefault="002D6926" w:rsidP="00A47C26">
            <w:pPr>
              <w:rPr>
                <w:rFonts w:ascii="Arial" w:hAnsi="Arial" w:cs="Arial"/>
                <w:i/>
                <w:sz w:val="20"/>
                <w:lang w:val="en-US"/>
              </w:rPr>
            </w:pPr>
          </w:p>
        </w:tc>
        <w:tc>
          <w:tcPr>
            <w:tcW w:w="7371" w:type="dxa"/>
            <w:gridSpan w:val="6"/>
            <w:tcBorders>
              <w:top w:val="single" w:sz="4" w:space="0" w:color="auto"/>
            </w:tcBorders>
          </w:tcPr>
          <w:p w14:paraId="7423FB3D"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 xml:space="preserve">print name </w:t>
            </w:r>
          </w:p>
        </w:tc>
      </w:tr>
      <w:tr w:rsidR="002D6926" w14:paraId="62791EA1" w14:textId="77777777" w:rsidTr="00A47C26">
        <w:tc>
          <w:tcPr>
            <w:tcW w:w="2552" w:type="dxa"/>
            <w:gridSpan w:val="4"/>
            <w:vMerge/>
          </w:tcPr>
          <w:p w14:paraId="3EBFA31E" w14:textId="77777777" w:rsidR="002D6926" w:rsidRPr="00677BD6" w:rsidRDefault="002D6926" w:rsidP="00A47C26">
            <w:pPr>
              <w:spacing w:line="288" w:lineRule="auto"/>
              <w:rPr>
                <w:rFonts w:ascii="Arial" w:hAnsi="Arial" w:cs="Arial"/>
                <w:b/>
                <w:sz w:val="24"/>
                <w:szCs w:val="24"/>
                <w:lang w:val="en-US"/>
              </w:rPr>
            </w:pPr>
          </w:p>
        </w:tc>
        <w:tc>
          <w:tcPr>
            <w:tcW w:w="7371" w:type="dxa"/>
            <w:gridSpan w:val="6"/>
            <w:tcBorders>
              <w:bottom w:val="single" w:sz="4" w:space="0" w:color="auto"/>
            </w:tcBorders>
          </w:tcPr>
          <w:p w14:paraId="58E19E0C" w14:textId="77777777" w:rsidR="002D6926" w:rsidRPr="00677BD6" w:rsidRDefault="002D6926" w:rsidP="00A47C26">
            <w:pPr>
              <w:spacing w:line="288" w:lineRule="auto"/>
              <w:rPr>
                <w:rFonts w:ascii="Arial" w:hAnsi="Arial" w:cs="Arial"/>
                <w:b/>
                <w:sz w:val="32"/>
                <w:szCs w:val="24"/>
                <w:lang w:val="en-US"/>
              </w:rPr>
            </w:pPr>
          </w:p>
        </w:tc>
      </w:tr>
      <w:tr w:rsidR="002D6926" w:rsidRPr="005F5813" w14:paraId="71706279" w14:textId="77777777" w:rsidTr="00A47C26">
        <w:tc>
          <w:tcPr>
            <w:tcW w:w="2552" w:type="dxa"/>
            <w:gridSpan w:val="4"/>
            <w:vMerge/>
          </w:tcPr>
          <w:p w14:paraId="5B98F262" w14:textId="77777777" w:rsidR="002D6926" w:rsidRPr="00677BD6" w:rsidRDefault="002D6926" w:rsidP="00A47C26">
            <w:pPr>
              <w:rPr>
                <w:rFonts w:ascii="Arial" w:hAnsi="Arial" w:cs="Arial"/>
                <w:i/>
                <w:sz w:val="20"/>
                <w:lang w:val="en-US"/>
              </w:rPr>
            </w:pPr>
          </w:p>
        </w:tc>
        <w:tc>
          <w:tcPr>
            <w:tcW w:w="7371" w:type="dxa"/>
            <w:gridSpan w:val="6"/>
            <w:tcBorders>
              <w:top w:val="single" w:sz="4" w:space="0" w:color="auto"/>
            </w:tcBorders>
          </w:tcPr>
          <w:p w14:paraId="15978906" w14:textId="77777777" w:rsidR="002D6926" w:rsidRPr="00677BD6" w:rsidRDefault="002D6926" w:rsidP="00A47C26">
            <w:pPr>
              <w:rPr>
                <w:rFonts w:ascii="Arial" w:hAnsi="Arial" w:cs="Arial"/>
                <w:i/>
                <w:sz w:val="20"/>
                <w:lang w:val="en-US"/>
              </w:rPr>
            </w:pPr>
            <w:r w:rsidRPr="00677BD6">
              <w:rPr>
                <w:rFonts w:ascii="Arial" w:hAnsi="Arial" w:cs="Arial"/>
                <w:i/>
                <w:sz w:val="20"/>
                <w:lang w:val="en-US"/>
              </w:rPr>
              <w:t>qualification as such a witness</w:t>
            </w:r>
          </w:p>
        </w:tc>
      </w:tr>
    </w:tbl>
    <w:p w14:paraId="7F7EBE1B" w14:textId="77777777" w:rsidR="002D6926" w:rsidRDefault="002D6926" w:rsidP="002D6926">
      <w:pPr>
        <w:jc w:val="center"/>
        <w:rPr>
          <w:rFonts w:cs="Arial"/>
          <w:b/>
          <w:szCs w:val="24"/>
          <w:lang w:val="en-US"/>
        </w:rPr>
      </w:pPr>
      <w:r>
        <w:rPr>
          <w:noProof/>
          <w:lang w:eastAsia="en-AU"/>
        </w:rPr>
        <w:drawing>
          <wp:inline distT="0" distB="0" distL="0" distR="0" wp14:anchorId="597936AD" wp14:editId="1A3367B0">
            <wp:extent cx="2492383" cy="3371663"/>
            <wp:effectExtent l="76200" t="114300" r="79375" b="11493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266" t="13506" b="2516"/>
                    <a:stretch/>
                  </pic:blipFill>
                  <pic:spPr bwMode="auto">
                    <a:xfrm>
                      <a:off x="0" y="0"/>
                      <a:ext cx="2508527" cy="3393503"/>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411D8070" wp14:editId="23D516B1">
            <wp:extent cx="2454910" cy="3429894"/>
            <wp:effectExtent l="76200" t="114300" r="78740" b="11366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3723"/>
                    <a:stretch/>
                  </pic:blipFill>
                  <pic:spPr bwMode="auto">
                    <a:xfrm>
                      <a:off x="0" y="0"/>
                      <a:ext cx="2481015" cy="3466367"/>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C4FFF48" w14:textId="77777777" w:rsidR="002D6926" w:rsidRDefault="002D6926" w:rsidP="002D6926">
      <w:pPr>
        <w:jc w:val="center"/>
        <w:rPr>
          <w:rFonts w:cs="Arial"/>
          <w:b/>
          <w:szCs w:val="24"/>
          <w:lang w:val="en-US"/>
        </w:rPr>
      </w:pPr>
      <w:r>
        <w:rPr>
          <w:noProof/>
          <w:lang w:eastAsia="en-AU"/>
        </w:rPr>
        <w:lastRenderedPageBreak/>
        <w:drawing>
          <wp:inline distT="0" distB="0" distL="0" distR="0" wp14:anchorId="40D43B26" wp14:editId="28EDF926">
            <wp:extent cx="2500300" cy="3501146"/>
            <wp:effectExtent l="76200" t="114300" r="71755" b="11874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1911"/>
                    <a:stretch/>
                  </pic:blipFill>
                  <pic:spPr bwMode="auto">
                    <a:xfrm>
                      <a:off x="0" y="0"/>
                      <a:ext cx="2517341" cy="3525008"/>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4C7BE033" wp14:editId="4754E39C">
            <wp:extent cx="2532282" cy="3526139"/>
            <wp:effectExtent l="76200" t="114300" r="78105" b="11303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3195"/>
                    <a:stretch/>
                  </pic:blipFill>
                  <pic:spPr bwMode="auto">
                    <a:xfrm>
                      <a:off x="0" y="0"/>
                      <a:ext cx="2552134" cy="3553783"/>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4012F2B" w14:textId="77777777" w:rsidR="002D6926" w:rsidRPr="0052316C" w:rsidRDefault="002D6926" w:rsidP="002D6926">
      <w:pPr>
        <w:jc w:val="center"/>
        <w:rPr>
          <w:rFonts w:cs="Arial"/>
          <w:b/>
          <w:szCs w:val="24"/>
          <w:lang w:val="en-US"/>
        </w:rPr>
      </w:pPr>
      <w:r>
        <w:rPr>
          <w:noProof/>
          <w:lang w:eastAsia="en-AU"/>
        </w:rPr>
        <w:drawing>
          <wp:inline distT="0" distB="0" distL="0" distR="0" wp14:anchorId="1EACC4C5" wp14:editId="65057F06">
            <wp:extent cx="2312364" cy="1799015"/>
            <wp:effectExtent l="76200" t="95250" r="69215" b="8699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20473"/>
                    <a:stretch/>
                  </pic:blipFill>
                  <pic:spPr bwMode="auto">
                    <a:xfrm>
                      <a:off x="0" y="0"/>
                      <a:ext cx="2327075" cy="181046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C7B5F70" w14:textId="58E0D361" w:rsidR="002D6926" w:rsidRDefault="002D6926" w:rsidP="002D6926">
      <w:pPr>
        <w:pStyle w:val="Bulletbody"/>
        <w:numPr>
          <w:ilvl w:val="0"/>
          <w:numId w:val="0"/>
        </w:numPr>
        <w:rPr>
          <w:rFonts w:cs="Arial"/>
        </w:rPr>
      </w:pPr>
    </w:p>
    <w:p w14:paraId="441A24FB" w14:textId="2145DB47" w:rsidR="00210A41" w:rsidRDefault="00210A41">
      <w:pPr>
        <w:rPr>
          <w:rFonts w:ascii="Arial" w:eastAsiaTheme="minorEastAsia" w:hAnsi="Arial" w:cs="Arial"/>
          <w:color w:val="000000" w:themeColor="text1"/>
          <w:szCs w:val="20"/>
        </w:rPr>
      </w:pPr>
      <w:r>
        <w:rPr>
          <w:rFonts w:cs="Arial"/>
        </w:rPr>
        <w:br w:type="page"/>
      </w:r>
    </w:p>
    <w:p w14:paraId="7CFFD9F0" w14:textId="77777777" w:rsidR="00210A41" w:rsidRDefault="00210A41" w:rsidP="00210A41">
      <w:pPr>
        <w:pStyle w:val="Title"/>
        <w:pBdr>
          <w:bottom w:val="none" w:sz="0" w:space="0" w:color="auto"/>
        </w:pBdr>
        <w:spacing w:after="240"/>
        <w:jc w:val="right"/>
        <w:rPr>
          <w:rFonts w:ascii="Arial" w:hAnsi="Arial" w:cs="Arial"/>
          <w:b/>
          <w:sz w:val="28"/>
          <w:szCs w:val="28"/>
          <w:lang w:val="en-US"/>
        </w:rPr>
      </w:pPr>
      <w:r>
        <w:rPr>
          <w:noProof/>
        </w:rPr>
        <w:lastRenderedPageBreak/>
        <w:drawing>
          <wp:inline distT="0" distB="0" distL="0" distR="0" wp14:anchorId="314F8D99" wp14:editId="53F805F7">
            <wp:extent cx="1571625" cy="676275"/>
            <wp:effectExtent l="0" t="0" r="9525" b="9525"/>
            <wp:docPr id="1" name="Picture 1"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with medium confidence"/>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1625" cy="676275"/>
                    </a:xfrm>
                    <a:prstGeom prst="rect">
                      <a:avLst/>
                    </a:prstGeom>
                    <a:noFill/>
                    <a:ln>
                      <a:noFill/>
                    </a:ln>
                  </pic:spPr>
                </pic:pic>
              </a:graphicData>
            </a:graphic>
          </wp:inline>
        </w:drawing>
      </w:r>
    </w:p>
    <w:p w14:paraId="7E58B502" w14:textId="77777777" w:rsidR="00210A41" w:rsidRPr="009579A8" w:rsidRDefault="00210A41" w:rsidP="00210A41">
      <w:pPr>
        <w:pStyle w:val="Title"/>
        <w:pBdr>
          <w:bottom w:val="none" w:sz="0" w:space="0" w:color="auto"/>
        </w:pBdr>
        <w:spacing w:after="0"/>
        <w:rPr>
          <w:rFonts w:ascii="Arial" w:hAnsi="Arial" w:cs="Arial"/>
          <w:b/>
          <w:sz w:val="18"/>
          <w:szCs w:val="28"/>
          <w:lang w:val="en-US"/>
        </w:rPr>
      </w:pPr>
    </w:p>
    <w:p w14:paraId="2C25126D" w14:textId="77777777" w:rsidR="00210A41" w:rsidRPr="002744D1" w:rsidRDefault="00210A41" w:rsidP="00210A41">
      <w:pPr>
        <w:pStyle w:val="Policy3"/>
      </w:pPr>
      <w:bookmarkStart w:id="110" w:name="_Toc216866656"/>
      <w:r>
        <w:t>1.1.11</w:t>
      </w:r>
      <w:r w:rsidRPr="002744D1">
        <w:tab/>
      </w:r>
      <w:r>
        <w:t>Elections – Caretaker Period</w:t>
      </w:r>
      <w:bookmarkEnd w:id="110"/>
      <w:r w:rsidRPr="002744D1">
        <w:t xml:space="preserve"> </w:t>
      </w:r>
    </w:p>
    <w:tbl>
      <w:tblPr>
        <w:tblStyle w:val="TableGrid"/>
        <w:tblW w:w="0" w:type="auto"/>
        <w:tblLook w:val="04A0" w:firstRow="1" w:lastRow="0" w:firstColumn="1" w:lastColumn="0" w:noHBand="0" w:noVBand="1"/>
      </w:tblPr>
      <w:tblGrid>
        <w:gridCol w:w="3024"/>
        <w:gridCol w:w="5992"/>
      </w:tblGrid>
      <w:tr w:rsidR="005F0BE5" w:rsidRPr="0096334F" w14:paraId="6CFCCB97" w14:textId="77777777" w:rsidTr="00880AC1">
        <w:tc>
          <w:tcPr>
            <w:tcW w:w="3024" w:type="dxa"/>
          </w:tcPr>
          <w:p w14:paraId="6595C617" w14:textId="77777777" w:rsidR="005F0BE5" w:rsidRPr="0096334F" w:rsidRDefault="005F0BE5" w:rsidP="00880AC1">
            <w:pPr>
              <w:rPr>
                <w:rFonts w:cstheme="minorHAnsi"/>
                <w:b/>
                <w:lang w:val="en-US"/>
              </w:rPr>
            </w:pPr>
            <w:r w:rsidRPr="0096334F">
              <w:rPr>
                <w:rFonts w:cstheme="minorHAnsi"/>
                <w:b/>
                <w:lang w:val="en-US"/>
              </w:rPr>
              <w:t>Type:</w:t>
            </w:r>
          </w:p>
        </w:tc>
        <w:tc>
          <w:tcPr>
            <w:tcW w:w="5992" w:type="dxa"/>
          </w:tcPr>
          <w:p w14:paraId="3DDD4715" w14:textId="77777777" w:rsidR="005F0BE5" w:rsidRPr="0096334F" w:rsidRDefault="005F0BE5" w:rsidP="00880AC1">
            <w:pPr>
              <w:rPr>
                <w:rFonts w:cstheme="minorHAnsi"/>
                <w:lang w:val="en-US"/>
              </w:rPr>
            </w:pPr>
            <w:r>
              <w:rPr>
                <w:rFonts w:cstheme="minorHAnsi"/>
                <w:lang w:val="en-US"/>
              </w:rPr>
              <w:t>Office of the CEO – Elected Members</w:t>
            </w:r>
          </w:p>
        </w:tc>
      </w:tr>
      <w:tr w:rsidR="005F0BE5" w:rsidRPr="0096334F" w14:paraId="6F7EF5BE" w14:textId="77777777" w:rsidTr="00880AC1">
        <w:tc>
          <w:tcPr>
            <w:tcW w:w="3024" w:type="dxa"/>
          </w:tcPr>
          <w:p w14:paraId="391B4D54" w14:textId="77777777" w:rsidR="005F0BE5" w:rsidRPr="0096334F" w:rsidRDefault="005F0BE5" w:rsidP="00880AC1">
            <w:pPr>
              <w:rPr>
                <w:rFonts w:cstheme="minorHAnsi"/>
                <w:b/>
                <w:lang w:val="en-US"/>
              </w:rPr>
            </w:pPr>
            <w:r w:rsidRPr="0096334F">
              <w:rPr>
                <w:rFonts w:cstheme="minorHAnsi"/>
                <w:b/>
                <w:lang w:val="en-US"/>
              </w:rPr>
              <w:t>Legislation:</w:t>
            </w:r>
          </w:p>
        </w:tc>
        <w:tc>
          <w:tcPr>
            <w:tcW w:w="5992" w:type="dxa"/>
          </w:tcPr>
          <w:p w14:paraId="67725186" w14:textId="77777777" w:rsidR="005F0BE5" w:rsidRDefault="005F0BE5" w:rsidP="00880AC1">
            <w:pPr>
              <w:autoSpaceDE w:val="0"/>
              <w:autoSpaceDN w:val="0"/>
              <w:adjustRightInd w:val="0"/>
              <w:rPr>
                <w:rFonts w:cstheme="minorHAnsi"/>
                <w:i/>
                <w:iCs/>
              </w:rPr>
            </w:pPr>
            <w:r w:rsidRPr="002A7A17">
              <w:rPr>
                <w:rFonts w:cstheme="minorHAnsi"/>
                <w:i/>
                <w:iCs/>
              </w:rPr>
              <w:t xml:space="preserve">Local Government Act 1995 </w:t>
            </w:r>
          </w:p>
          <w:p w14:paraId="27AE82DC" w14:textId="77777777" w:rsidR="005F0BE5" w:rsidRPr="002A7A17" w:rsidRDefault="005F0BE5" w:rsidP="00880AC1">
            <w:pPr>
              <w:autoSpaceDE w:val="0"/>
              <w:autoSpaceDN w:val="0"/>
              <w:adjustRightInd w:val="0"/>
              <w:rPr>
                <w:rFonts w:cstheme="minorHAnsi"/>
                <w:i/>
                <w:iCs/>
              </w:rPr>
            </w:pPr>
            <w:r w:rsidRPr="002A7A17">
              <w:rPr>
                <w:rFonts w:cstheme="minorHAnsi"/>
                <w:i/>
                <w:iCs/>
              </w:rPr>
              <w:t>Local Government</w:t>
            </w:r>
            <w:r>
              <w:rPr>
                <w:rFonts w:cstheme="minorHAnsi"/>
                <w:i/>
                <w:iCs/>
              </w:rPr>
              <w:t xml:space="preserve"> </w:t>
            </w:r>
            <w:r w:rsidRPr="002A7A17">
              <w:rPr>
                <w:rFonts w:cstheme="minorHAnsi"/>
                <w:i/>
                <w:iCs/>
              </w:rPr>
              <w:t>(</w:t>
            </w:r>
            <w:r>
              <w:rPr>
                <w:rFonts w:cstheme="minorHAnsi"/>
                <w:i/>
                <w:iCs/>
              </w:rPr>
              <w:t>Functions and General</w:t>
            </w:r>
            <w:r w:rsidRPr="002A7A17">
              <w:rPr>
                <w:rFonts w:cstheme="minorHAnsi"/>
                <w:i/>
                <w:iCs/>
              </w:rPr>
              <w:t>) Regulations 1996</w:t>
            </w:r>
          </w:p>
          <w:p w14:paraId="6CDEEB17" w14:textId="77777777" w:rsidR="005F0BE5" w:rsidRDefault="005F0BE5" w:rsidP="00880AC1">
            <w:pPr>
              <w:autoSpaceDE w:val="0"/>
              <w:autoSpaceDN w:val="0"/>
              <w:adjustRightInd w:val="0"/>
              <w:rPr>
                <w:rFonts w:cstheme="minorHAnsi"/>
              </w:rPr>
            </w:pPr>
            <w:r>
              <w:rPr>
                <w:rFonts w:cstheme="minorHAnsi"/>
              </w:rPr>
              <w:t xml:space="preserve">Town of East Fremantle </w:t>
            </w:r>
            <w:r w:rsidRPr="002A7A17">
              <w:rPr>
                <w:rFonts w:cstheme="minorHAnsi"/>
              </w:rPr>
              <w:t>Code of Conduct – Elected Members</w:t>
            </w:r>
            <w:r>
              <w:rPr>
                <w:rFonts w:cstheme="minorHAnsi"/>
              </w:rPr>
              <w:t>, Committee Members and Candidates</w:t>
            </w:r>
          </w:p>
          <w:p w14:paraId="3EEDC1E6" w14:textId="77777777" w:rsidR="005F0BE5" w:rsidRPr="00601C85" w:rsidRDefault="005F0BE5" w:rsidP="00880AC1">
            <w:pPr>
              <w:autoSpaceDE w:val="0"/>
              <w:autoSpaceDN w:val="0"/>
              <w:adjustRightInd w:val="0"/>
              <w:rPr>
                <w:rFonts w:cstheme="minorHAnsi"/>
                <w:i/>
                <w:iCs/>
              </w:rPr>
            </w:pPr>
            <w:r w:rsidRPr="00601C85">
              <w:rPr>
                <w:rFonts w:cstheme="minorHAnsi"/>
                <w:i/>
                <w:iCs/>
              </w:rPr>
              <w:t>Electoral Act 1907 (WA)</w:t>
            </w:r>
          </w:p>
          <w:p w14:paraId="423467CD" w14:textId="77777777" w:rsidR="005F0BE5" w:rsidRPr="00502F24" w:rsidRDefault="005F0BE5" w:rsidP="00880AC1">
            <w:pPr>
              <w:autoSpaceDE w:val="0"/>
              <w:autoSpaceDN w:val="0"/>
              <w:adjustRightInd w:val="0"/>
              <w:rPr>
                <w:rFonts w:cstheme="minorHAnsi"/>
              </w:rPr>
            </w:pPr>
            <w:r w:rsidRPr="00601C85">
              <w:rPr>
                <w:rFonts w:cstheme="minorHAnsi"/>
                <w:i/>
                <w:iCs/>
              </w:rPr>
              <w:t>Electoral Act 1918 (Commonwealth)</w:t>
            </w:r>
          </w:p>
        </w:tc>
      </w:tr>
      <w:tr w:rsidR="005F0BE5" w:rsidRPr="0096334F" w14:paraId="7565E9A0" w14:textId="77777777" w:rsidTr="00880AC1">
        <w:tc>
          <w:tcPr>
            <w:tcW w:w="3024" w:type="dxa"/>
          </w:tcPr>
          <w:p w14:paraId="74A664CB" w14:textId="77777777" w:rsidR="005F0BE5" w:rsidRPr="0096334F" w:rsidRDefault="005F0BE5" w:rsidP="00880AC1">
            <w:pPr>
              <w:rPr>
                <w:rFonts w:cstheme="minorHAnsi"/>
                <w:b/>
                <w:lang w:val="en-US"/>
              </w:rPr>
            </w:pPr>
            <w:r w:rsidRPr="0096334F">
              <w:rPr>
                <w:rFonts w:cstheme="minorHAnsi"/>
                <w:b/>
                <w:lang w:val="en-US"/>
              </w:rPr>
              <w:t>Delegation:</w:t>
            </w:r>
          </w:p>
        </w:tc>
        <w:tc>
          <w:tcPr>
            <w:tcW w:w="5992" w:type="dxa"/>
          </w:tcPr>
          <w:p w14:paraId="2E75B9CE" w14:textId="77777777" w:rsidR="005F0BE5" w:rsidRPr="0096334F" w:rsidRDefault="005F0BE5" w:rsidP="00880AC1">
            <w:pPr>
              <w:rPr>
                <w:rFonts w:cstheme="minorHAnsi"/>
                <w:lang w:val="en-US"/>
              </w:rPr>
            </w:pPr>
            <w:r w:rsidRPr="0096334F">
              <w:rPr>
                <w:rFonts w:cstheme="minorHAnsi"/>
                <w:lang w:val="en-US"/>
              </w:rPr>
              <w:t>N/A</w:t>
            </w:r>
          </w:p>
        </w:tc>
      </w:tr>
      <w:tr w:rsidR="005F0BE5" w:rsidRPr="0096334F" w14:paraId="12581D08" w14:textId="77777777" w:rsidTr="00880AC1">
        <w:tc>
          <w:tcPr>
            <w:tcW w:w="3024" w:type="dxa"/>
          </w:tcPr>
          <w:p w14:paraId="61C09E80" w14:textId="77777777" w:rsidR="005F0BE5" w:rsidRPr="0096334F" w:rsidRDefault="005F0BE5" w:rsidP="00880AC1">
            <w:pPr>
              <w:rPr>
                <w:rFonts w:cstheme="minorHAnsi"/>
                <w:b/>
                <w:lang w:val="en-US"/>
              </w:rPr>
            </w:pPr>
            <w:r w:rsidRPr="0096334F">
              <w:rPr>
                <w:rFonts w:cstheme="minorHAnsi"/>
                <w:b/>
                <w:lang w:val="en-US"/>
              </w:rPr>
              <w:t>Other Related Document:</w:t>
            </w:r>
          </w:p>
        </w:tc>
        <w:tc>
          <w:tcPr>
            <w:tcW w:w="5992" w:type="dxa"/>
          </w:tcPr>
          <w:p w14:paraId="358D8C9C" w14:textId="77777777" w:rsidR="005F0BE5" w:rsidRPr="0096334F" w:rsidRDefault="005F0BE5" w:rsidP="00880AC1">
            <w:pPr>
              <w:rPr>
                <w:rFonts w:cstheme="minorHAnsi"/>
                <w:lang w:val="en-US"/>
              </w:rPr>
            </w:pPr>
          </w:p>
        </w:tc>
      </w:tr>
    </w:tbl>
    <w:p w14:paraId="595E8602" w14:textId="77777777" w:rsidR="005F0BE5" w:rsidRPr="00F233ED" w:rsidRDefault="005F0BE5" w:rsidP="005F0BE5">
      <w:pPr>
        <w:spacing w:before="240" w:after="0"/>
        <w:rPr>
          <w:b/>
          <w:bCs/>
          <w:sz w:val="28"/>
          <w:szCs w:val="28"/>
          <w:lang w:val="en-US"/>
        </w:rPr>
      </w:pPr>
      <w:r w:rsidRPr="00F233ED">
        <w:rPr>
          <w:rFonts w:cstheme="minorHAnsi"/>
          <w:b/>
          <w:bCs/>
          <w:sz w:val="28"/>
          <w:szCs w:val="28"/>
        </w:rPr>
        <w:t>Purpose</w:t>
      </w:r>
    </w:p>
    <w:p w14:paraId="546445CC" w14:textId="77777777" w:rsidR="005F0BE5" w:rsidRDefault="005F0BE5" w:rsidP="005F0BE5">
      <w:pPr>
        <w:autoSpaceDE w:val="0"/>
        <w:autoSpaceDN w:val="0"/>
        <w:adjustRightInd w:val="0"/>
        <w:spacing w:after="0"/>
        <w:jc w:val="both"/>
        <w:rPr>
          <w:rFonts w:cstheme="minorHAnsi"/>
        </w:rPr>
      </w:pPr>
      <w:r w:rsidRPr="00E352EA">
        <w:rPr>
          <w:rFonts w:cstheme="minorHAnsi"/>
        </w:rPr>
        <w:t>Th</w:t>
      </w:r>
      <w:r>
        <w:rPr>
          <w:rFonts w:cstheme="minorHAnsi"/>
        </w:rPr>
        <w:t>is</w:t>
      </w:r>
      <w:r w:rsidRPr="00E352EA">
        <w:rPr>
          <w:rFonts w:cstheme="minorHAnsi"/>
        </w:rPr>
        <w:t xml:space="preserve"> </w:t>
      </w:r>
      <w:r>
        <w:rPr>
          <w:rFonts w:cstheme="minorHAnsi"/>
        </w:rPr>
        <w:t xml:space="preserve">policy supplements the caretaker provisions of the </w:t>
      </w:r>
      <w:r w:rsidRPr="005B0778">
        <w:rPr>
          <w:rFonts w:cstheme="minorHAnsi"/>
          <w:i/>
          <w:iCs/>
        </w:rPr>
        <w:t>Local Government Act 1995</w:t>
      </w:r>
      <w:r>
        <w:rPr>
          <w:rFonts w:cstheme="minorHAnsi"/>
        </w:rPr>
        <w:t xml:space="preserve"> to provide additional </w:t>
      </w:r>
      <w:r w:rsidRPr="00E352EA">
        <w:rPr>
          <w:rFonts w:cstheme="minorHAnsi"/>
        </w:rPr>
        <w:t xml:space="preserve">guidance in the lead up to </w:t>
      </w:r>
      <w:r>
        <w:rPr>
          <w:rFonts w:cstheme="minorHAnsi"/>
        </w:rPr>
        <w:t>e</w:t>
      </w:r>
      <w:r w:rsidRPr="00E352EA">
        <w:rPr>
          <w:rFonts w:cstheme="minorHAnsi"/>
        </w:rPr>
        <w:t xml:space="preserve">lection </w:t>
      </w:r>
      <w:r>
        <w:rPr>
          <w:rFonts w:cstheme="minorHAnsi"/>
        </w:rPr>
        <w:t>d</w:t>
      </w:r>
      <w:r w:rsidRPr="00E352EA">
        <w:rPr>
          <w:rFonts w:cstheme="minorHAnsi"/>
        </w:rPr>
        <w:t xml:space="preserve">ay, ensuring that </w:t>
      </w:r>
      <w:r>
        <w:rPr>
          <w:rFonts w:cstheme="minorHAnsi"/>
        </w:rPr>
        <w:t xml:space="preserve">major decisions </w:t>
      </w:r>
      <w:r w:rsidRPr="00E352EA">
        <w:rPr>
          <w:rFonts w:cstheme="minorHAnsi"/>
        </w:rPr>
        <w:t>which would bind an incoming Council are avoided where possible, preventing the use of public resources in ways that can be seen to be advantageous to, or promoting candidates</w:t>
      </w:r>
      <w:r>
        <w:rPr>
          <w:rFonts w:cstheme="minorHAnsi"/>
        </w:rPr>
        <w:t>,</w:t>
      </w:r>
      <w:r w:rsidRPr="00E352EA">
        <w:rPr>
          <w:rFonts w:cstheme="minorHAnsi"/>
        </w:rPr>
        <w:t xml:space="preserve"> and also ensuring </w:t>
      </w:r>
      <w:r>
        <w:rPr>
          <w:rFonts w:cstheme="minorHAnsi"/>
        </w:rPr>
        <w:t>employees</w:t>
      </w:r>
      <w:r w:rsidRPr="00E352EA">
        <w:rPr>
          <w:rFonts w:cstheme="minorHAnsi"/>
        </w:rPr>
        <w:t xml:space="preserve"> act impartially in relation to candidates.</w:t>
      </w:r>
    </w:p>
    <w:p w14:paraId="25D695C0" w14:textId="77777777" w:rsidR="005F0BE5" w:rsidRPr="00E352EA" w:rsidRDefault="005F0BE5" w:rsidP="005F0BE5">
      <w:pPr>
        <w:autoSpaceDE w:val="0"/>
        <w:autoSpaceDN w:val="0"/>
        <w:adjustRightInd w:val="0"/>
        <w:spacing w:after="0"/>
        <w:jc w:val="both"/>
        <w:rPr>
          <w:rFonts w:cstheme="minorHAnsi"/>
        </w:rPr>
      </w:pPr>
    </w:p>
    <w:p w14:paraId="343BBD25" w14:textId="77777777" w:rsidR="005F0BE5" w:rsidRPr="00E352EA" w:rsidRDefault="005F0BE5" w:rsidP="005F0BE5">
      <w:pPr>
        <w:autoSpaceDE w:val="0"/>
        <w:autoSpaceDN w:val="0"/>
        <w:adjustRightInd w:val="0"/>
        <w:spacing w:after="0"/>
        <w:jc w:val="both"/>
        <w:rPr>
          <w:rFonts w:cstheme="minorHAnsi"/>
        </w:rPr>
      </w:pPr>
      <w:r w:rsidRPr="00E352EA">
        <w:rPr>
          <w:rFonts w:cstheme="minorHAnsi"/>
        </w:rPr>
        <w:t xml:space="preserve">This </w:t>
      </w:r>
      <w:r>
        <w:rPr>
          <w:rFonts w:cstheme="minorHAnsi"/>
        </w:rPr>
        <w:t>po</w:t>
      </w:r>
      <w:r w:rsidRPr="00E352EA">
        <w:rPr>
          <w:rFonts w:cstheme="minorHAnsi"/>
        </w:rPr>
        <w:t xml:space="preserve">licy has implications for major decision making, public consultation, publications, publishing of information, the use of </w:t>
      </w:r>
      <w:r>
        <w:rPr>
          <w:rFonts w:cstheme="minorHAnsi"/>
        </w:rPr>
        <w:t>Town of East Fremantle</w:t>
      </w:r>
      <w:r w:rsidRPr="00E352EA">
        <w:rPr>
          <w:rFonts w:cstheme="minorHAnsi"/>
        </w:rPr>
        <w:t xml:space="preserve"> resources and access to information and advice.</w:t>
      </w:r>
    </w:p>
    <w:p w14:paraId="72D3F879" w14:textId="77777777" w:rsidR="005F0BE5" w:rsidRDefault="005F0BE5" w:rsidP="005F0BE5">
      <w:pPr>
        <w:autoSpaceDE w:val="0"/>
        <w:autoSpaceDN w:val="0"/>
        <w:adjustRightInd w:val="0"/>
        <w:spacing w:after="0"/>
        <w:jc w:val="both"/>
        <w:rPr>
          <w:rFonts w:cstheme="minorHAnsi"/>
        </w:rPr>
      </w:pPr>
    </w:p>
    <w:p w14:paraId="48F03776" w14:textId="77777777" w:rsidR="005F0BE5" w:rsidRDefault="005F0BE5" w:rsidP="005F0BE5">
      <w:pPr>
        <w:autoSpaceDE w:val="0"/>
        <w:autoSpaceDN w:val="0"/>
        <w:adjustRightInd w:val="0"/>
        <w:spacing w:after="0"/>
        <w:jc w:val="both"/>
        <w:rPr>
          <w:rFonts w:cstheme="minorHAnsi"/>
        </w:rPr>
      </w:pPr>
      <w:r w:rsidRPr="00E352EA">
        <w:rPr>
          <w:rFonts w:cstheme="minorHAnsi"/>
        </w:rPr>
        <w:t xml:space="preserve">This policy is to be applied in conjunction with all other relevant legislation, local laws, delegations, policies, procedures and processes of the </w:t>
      </w:r>
      <w:r>
        <w:rPr>
          <w:rFonts w:cstheme="minorHAnsi"/>
        </w:rPr>
        <w:t>Town</w:t>
      </w:r>
      <w:r w:rsidRPr="00E352EA">
        <w:rPr>
          <w:rFonts w:cstheme="minorHAnsi"/>
        </w:rPr>
        <w:t>, providing guidance to ensure the continuation of ordinary business.</w:t>
      </w:r>
    </w:p>
    <w:p w14:paraId="428C8D4C" w14:textId="77777777" w:rsidR="005F0BE5" w:rsidRDefault="005F0BE5" w:rsidP="005F0BE5">
      <w:pPr>
        <w:autoSpaceDE w:val="0"/>
        <w:autoSpaceDN w:val="0"/>
        <w:adjustRightInd w:val="0"/>
        <w:spacing w:after="0"/>
        <w:jc w:val="both"/>
        <w:rPr>
          <w:rFonts w:cstheme="minorHAnsi"/>
        </w:rPr>
      </w:pPr>
    </w:p>
    <w:p w14:paraId="251577E0" w14:textId="77777777" w:rsidR="005F0BE5" w:rsidRPr="00953CA1" w:rsidRDefault="005F0BE5" w:rsidP="005F0BE5">
      <w:pPr>
        <w:autoSpaceDE w:val="0"/>
        <w:autoSpaceDN w:val="0"/>
        <w:adjustRightInd w:val="0"/>
        <w:spacing w:after="0"/>
        <w:jc w:val="both"/>
        <w:rPr>
          <w:rFonts w:cstheme="minorHAnsi"/>
          <w:b/>
          <w:bCs/>
          <w:sz w:val="28"/>
          <w:szCs w:val="28"/>
        </w:rPr>
      </w:pPr>
      <w:r w:rsidRPr="00953CA1">
        <w:rPr>
          <w:rFonts w:cstheme="minorHAnsi"/>
          <w:b/>
          <w:bCs/>
          <w:sz w:val="28"/>
          <w:szCs w:val="28"/>
        </w:rPr>
        <w:t xml:space="preserve">Policy Statement </w:t>
      </w:r>
    </w:p>
    <w:p w14:paraId="1A285018" w14:textId="77777777" w:rsidR="005F0BE5" w:rsidRDefault="005F0BE5" w:rsidP="003E0F9C">
      <w:pPr>
        <w:autoSpaceDE w:val="0"/>
        <w:autoSpaceDN w:val="0"/>
        <w:adjustRightInd w:val="0"/>
        <w:spacing w:after="0"/>
        <w:jc w:val="both"/>
        <w:rPr>
          <w:rFonts w:cstheme="minorHAnsi"/>
        </w:rPr>
      </w:pPr>
      <w:r w:rsidRPr="0035356D">
        <w:rPr>
          <w:rFonts w:cstheme="minorHAnsi"/>
        </w:rPr>
        <w:t xml:space="preserve">1. </w:t>
      </w:r>
      <w:r>
        <w:rPr>
          <w:rFonts w:cstheme="minorHAnsi"/>
        </w:rPr>
        <w:tab/>
      </w:r>
      <w:r w:rsidRPr="008C29DE">
        <w:rPr>
          <w:rFonts w:cstheme="minorHAnsi"/>
          <w:b/>
          <w:bCs/>
        </w:rPr>
        <w:t>Legislation</w:t>
      </w:r>
      <w:r w:rsidRPr="0035356D">
        <w:rPr>
          <w:rFonts w:cstheme="minorHAnsi"/>
        </w:rPr>
        <w:t xml:space="preserve"> </w:t>
      </w:r>
    </w:p>
    <w:p w14:paraId="57524398" w14:textId="77777777" w:rsidR="005F0BE5" w:rsidRDefault="005F0BE5" w:rsidP="007B3B6F">
      <w:pPr>
        <w:pStyle w:val="ListParagraph"/>
        <w:numPr>
          <w:ilvl w:val="1"/>
          <w:numId w:val="562"/>
        </w:numPr>
        <w:autoSpaceDE w:val="0"/>
        <w:autoSpaceDN w:val="0"/>
        <w:adjustRightInd w:val="0"/>
        <w:spacing w:after="0"/>
        <w:jc w:val="both"/>
        <w:rPr>
          <w:rFonts w:cstheme="minorHAnsi"/>
        </w:rPr>
      </w:pPr>
      <w:r w:rsidRPr="0035356D">
        <w:rPr>
          <w:rFonts w:cstheme="minorHAnsi"/>
        </w:rPr>
        <w:t xml:space="preserve">This policy applies in addition to, and does not derogate from, the requirements of the </w:t>
      </w:r>
      <w:r w:rsidRPr="00B6185F">
        <w:rPr>
          <w:rFonts w:cstheme="minorHAnsi"/>
          <w:i/>
          <w:iCs/>
        </w:rPr>
        <w:t>Local Government 1995</w:t>
      </w:r>
      <w:r w:rsidRPr="0035356D">
        <w:rPr>
          <w:rFonts w:cstheme="minorHAnsi"/>
        </w:rPr>
        <w:t xml:space="preserve">, and the </w:t>
      </w:r>
      <w:r w:rsidRPr="00B6185F">
        <w:rPr>
          <w:rFonts w:cstheme="minorHAnsi"/>
          <w:i/>
          <w:iCs/>
        </w:rPr>
        <w:t>Local Government (Functions and General) Regulations 1996</w:t>
      </w:r>
      <w:r w:rsidRPr="0035356D">
        <w:rPr>
          <w:rFonts w:cstheme="minorHAnsi"/>
        </w:rPr>
        <w:t xml:space="preserve">. </w:t>
      </w:r>
    </w:p>
    <w:p w14:paraId="09F808B2" w14:textId="77777777" w:rsidR="005F0BE5" w:rsidRDefault="005F0BE5" w:rsidP="007B3B6F">
      <w:pPr>
        <w:pStyle w:val="ListParagraph"/>
        <w:numPr>
          <w:ilvl w:val="1"/>
          <w:numId w:val="562"/>
        </w:numPr>
        <w:autoSpaceDE w:val="0"/>
        <w:autoSpaceDN w:val="0"/>
        <w:adjustRightInd w:val="0"/>
        <w:spacing w:after="0"/>
        <w:jc w:val="both"/>
        <w:rPr>
          <w:rFonts w:cstheme="minorHAnsi"/>
        </w:rPr>
      </w:pPr>
      <w:r w:rsidRPr="0035356D">
        <w:rPr>
          <w:rFonts w:cstheme="minorHAnsi"/>
        </w:rPr>
        <w:t xml:space="preserve">In the event of any inconsistency the legislative provisions prevail. </w:t>
      </w:r>
    </w:p>
    <w:p w14:paraId="0B724C6A" w14:textId="77777777" w:rsidR="005F0BE5" w:rsidRPr="0035356D" w:rsidRDefault="005F0BE5" w:rsidP="007B3B6F">
      <w:pPr>
        <w:pStyle w:val="ListParagraph"/>
        <w:numPr>
          <w:ilvl w:val="1"/>
          <w:numId w:val="562"/>
        </w:numPr>
        <w:autoSpaceDE w:val="0"/>
        <w:autoSpaceDN w:val="0"/>
        <w:adjustRightInd w:val="0"/>
        <w:spacing w:after="0"/>
        <w:jc w:val="both"/>
        <w:rPr>
          <w:rFonts w:cstheme="minorHAnsi"/>
        </w:rPr>
      </w:pPr>
      <w:r w:rsidRPr="0035356D">
        <w:rPr>
          <w:rFonts w:cstheme="minorHAnsi"/>
        </w:rPr>
        <w:t xml:space="preserve">This policy is to be read in conjunction with all other relevant legislation, local laws, delegations, policies, procedures, and processes of the </w:t>
      </w:r>
      <w:r>
        <w:rPr>
          <w:rFonts w:cstheme="minorHAnsi"/>
        </w:rPr>
        <w:t>Town</w:t>
      </w:r>
      <w:r w:rsidRPr="0035356D">
        <w:rPr>
          <w:rFonts w:cstheme="minorHAnsi"/>
        </w:rPr>
        <w:t>, providing guidance to ensure the continuation of ordinary business</w:t>
      </w:r>
      <w:r>
        <w:rPr>
          <w:rFonts w:cstheme="minorHAnsi"/>
        </w:rPr>
        <w:t>.</w:t>
      </w:r>
    </w:p>
    <w:p w14:paraId="3AEA3761" w14:textId="77777777" w:rsidR="005F0BE5" w:rsidRDefault="005F0BE5" w:rsidP="005F0BE5">
      <w:pPr>
        <w:spacing w:after="160" w:line="259" w:lineRule="auto"/>
        <w:rPr>
          <w:b/>
          <w:lang w:val="en-US"/>
        </w:rPr>
      </w:pPr>
      <w:r>
        <w:rPr>
          <w:b/>
          <w:lang w:val="en-US"/>
        </w:rPr>
        <w:br w:type="page"/>
      </w:r>
    </w:p>
    <w:p w14:paraId="465B58E8" w14:textId="77777777" w:rsidR="005F0BE5" w:rsidRDefault="005F0BE5" w:rsidP="003E0F9C">
      <w:pPr>
        <w:autoSpaceDE w:val="0"/>
        <w:autoSpaceDN w:val="0"/>
        <w:adjustRightInd w:val="0"/>
        <w:spacing w:after="0"/>
        <w:jc w:val="both"/>
        <w:rPr>
          <w:rFonts w:cstheme="minorHAnsi"/>
        </w:rPr>
      </w:pPr>
      <w:r w:rsidRPr="00F56906">
        <w:rPr>
          <w:rFonts w:cstheme="minorHAnsi"/>
        </w:rPr>
        <w:lastRenderedPageBreak/>
        <w:t>2.</w:t>
      </w:r>
      <w:r w:rsidRPr="00F56906">
        <w:rPr>
          <w:rFonts w:cstheme="minorHAnsi"/>
        </w:rPr>
        <w:tab/>
      </w:r>
      <w:r w:rsidRPr="008C29DE">
        <w:rPr>
          <w:rFonts w:cstheme="minorHAnsi"/>
          <w:b/>
          <w:bCs/>
        </w:rPr>
        <w:t>Scope</w:t>
      </w:r>
    </w:p>
    <w:p w14:paraId="63F7A41F" w14:textId="77777777" w:rsidR="005F0BE5" w:rsidRDefault="005F0BE5" w:rsidP="005F0BE5">
      <w:pPr>
        <w:autoSpaceDE w:val="0"/>
        <w:autoSpaceDN w:val="0"/>
        <w:adjustRightInd w:val="0"/>
        <w:spacing w:after="0"/>
        <w:ind w:left="1440" w:hanging="720"/>
        <w:jc w:val="both"/>
        <w:rPr>
          <w:rFonts w:cstheme="minorHAnsi"/>
        </w:rPr>
      </w:pPr>
      <w:r>
        <w:rPr>
          <w:rFonts w:cstheme="minorHAnsi"/>
        </w:rPr>
        <w:t>2.</w:t>
      </w:r>
      <w:r w:rsidRPr="002A7A17">
        <w:rPr>
          <w:rFonts w:cstheme="minorHAnsi"/>
        </w:rPr>
        <w:t>1.</w:t>
      </w:r>
      <w:r>
        <w:rPr>
          <w:rFonts w:cstheme="minorHAnsi"/>
        </w:rPr>
        <w:tab/>
      </w:r>
      <w:r w:rsidRPr="002A7A17">
        <w:rPr>
          <w:rFonts w:cstheme="minorHAnsi"/>
        </w:rPr>
        <w:t xml:space="preserve">This Policy applies to </w:t>
      </w:r>
      <w:r>
        <w:rPr>
          <w:rFonts w:cstheme="minorHAnsi"/>
        </w:rPr>
        <w:t>council members</w:t>
      </w:r>
      <w:r w:rsidRPr="002A7A17">
        <w:rPr>
          <w:rFonts w:cstheme="minorHAnsi"/>
        </w:rPr>
        <w:t xml:space="preserve"> and </w:t>
      </w:r>
      <w:r>
        <w:rPr>
          <w:rFonts w:cstheme="minorHAnsi"/>
        </w:rPr>
        <w:t xml:space="preserve">Town </w:t>
      </w:r>
      <w:r w:rsidRPr="002A7A17">
        <w:rPr>
          <w:rFonts w:cstheme="minorHAnsi"/>
        </w:rPr>
        <w:t xml:space="preserve">employees during </w:t>
      </w:r>
      <w:r>
        <w:rPr>
          <w:rFonts w:cstheme="minorHAnsi"/>
        </w:rPr>
        <w:t>a</w:t>
      </w:r>
      <w:r w:rsidRPr="002A7A17">
        <w:rPr>
          <w:rFonts w:cstheme="minorHAnsi"/>
        </w:rPr>
        <w:t xml:space="preserve"> </w:t>
      </w:r>
      <w:r>
        <w:rPr>
          <w:rFonts w:cstheme="minorHAnsi"/>
        </w:rPr>
        <w:t>Caretaker</w:t>
      </w:r>
      <w:r w:rsidRPr="002A7A17">
        <w:rPr>
          <w:rFonts w:cstheme="minorHAnsi"/>
        </w:rPr>
        <w:t xml:space="preserve"> </w:t>
      </w:r>
      <w:r>
        <w:rPr>
          <w:rFonts w:cstheme="minorHAnsi"/>
        </w:rPr>
        <w:t xml:space="preserve">Period </w:t>
      </w:r>
      <w:r w:rsidRPr="002A7A17">
        <w:rPr>
          <w:rFonts w:cstheme="minorHAnsi"/>
        </w:rPr>
        <w:t>and covers:</w:t>
      </w:r>
    </w:p>
    <w:p w14:paraId="2E601400" w14:textId="77777777" w:rsidR="005F0BE5" w:rsidRPr="0082178F" w:rsidRDefault="005F0BE5" w:rsidP="007B3B6F">
      <w:pPr>
        <w:pStyle w:val="ListParagraph"/>
        <w:numPr>
          <w:ilvl w:val="2"/>
          <w:numId w:val="563"/>
        </w:numPr>
        <w:autoSpaceDE w:val="0"/>
        <w:autoSpaceDN w:val="0"/>
        <w:adjustRightInd w:val="0"/>
        <w:spacing w:after="0"/>
        <w:jc w:val="both"/>
        <w:rPr>
          <w:rFonts w:cstheme="minorHAnsi"/>
        </w:rPr>
      </w:pPr>
      <w:r w:rsidRPr="0082178F">
        <w:rPr>
          <w:rFonts w:cstheme="minorHAnsi"/>
        </w:rPr>
        <w:t xml:space="preserve">Notices of Motions submitted by council </w:t>
      </w:r>
      <w:proofErr w:type="gramStart"/>
      <w:r w:rsidRPr="0082178F">
        <w:rPr>
          <w:rFonts w:cstheme="minorHAnsi"/>
        </w:rPr>
        <w:t>members;</w:t>
      </w:r>
      <w:proofErr w:type="gramEnd"/>
    </w:p>
    <w:p w14:paraId="36EC1C91" w14:textId="77777777" w:rsidR="005F0BE5" w:rsidRPr="00655FA4" w:rsidRDefault="005F0BE5" w:rsidP="005F0BE5">
      <w:pPr>
        <w:autoSpaceDE w:val="0"/>
        <w:autoSpaceDN w:val="0"/>
        <w:adjustRightInd w:val="0"/>
        <w:spacing w:after="0"/>
        <w:jc w:val="both"/>
        <w:rPr>
          <w:rFonts w:cstheme="minorHAnsi"/>
        </w:rPr>
      </w:pPr>
    </w:p>
    <w:p w14:paraId="1B10B4FA" w14:textId="77777777" w:rsidR="005F0BE5" w:rsidRPr="0082178F" w:rsidRDefault="005F0BE5" w:rsidP="007B3B6F">
      <w:pPr>
        <w:pStyle w:val="ListParagraph"/>
        <w:numPr>
          <w:ilvl w:val="2"/>
          <w:numId w:val="563"/>
        </w:numPr>
        <w:autoSpaceDE w:val="0"/>
        <w:autoSpaceDN w:val="0"/>
        <w:adjustRightInd w:val="0"/>
        <w:spacing w:after="0"/>
        <w:jc w:val="both"/>
        <w:rPr>
          <w:rFonts w:cstheme="minorHAnsi"/>
        </w:rPr>
      </w:pPr>
      <w:r w:rsidRPr="0082178F">
        <w:rPr>
          <w:rFonts w:cstheme="minorHAnsi"/>
        </w:rPr>
        <w:t xml:space="preserve">Decisions made by </w:t>
      </w:r>
      <w:proofErr w:type="gramStart"/>
      <w:r w:rsidRPr="0082178F">
        <w:rPr>
          <w:rFonts w:cstheme="minorHAnsi"/>
        </w:rPr>
        <w:t>Council;</w:t>
      </w:r>
      <w:proofErr w:type="gramEnd"/>
    </w:p>
    <w:p w14:paraId="6AFBAD8A" w14:textId="77777777" w:rsidR="005F0BE5" w:rsidRPr="0082178F" w:rsidRDefault="005F0BE5" w:rsidP="007B3B6F">
      <w:pPr>
        <w:pStyle w:val="ListParagraph"/>
        <w:numPr>
          <w:ilvl w:val="2"/>
          <w:numId w:val="563"/>
        </w:numPr>
        <w:autoSpaceDE w:val="0"/>
        <w:autoSpaceDN w:val="0"/>
        <w:adjustRightInd w:val="0"/>
        <w:spacing w:after="0"/>
        <w:jc w:val="both"/>
        <w:rPr>
          <w:rFonts w:cstheme="minorHAnsi"/>
        </w:rPr>
      </w:pPr>
      <w:r w:rsidRPr="0082178F">
        <w:rPr>
          <w:rFonts w:cstheme="minorHAnsi"/>
        </w:rPr>
        <w:t xml:space="preserve">Information and material published by the </w:t>
      </w:r>
      <w:proofErr w:type="gramStart"/>
      <w:r w:rsidRPr="0082178F">
        <w:rPr>
          <w:rFonts w:cstheme="minorHAnsi"/>
        </w:rPr>
        <w:t>Town;</w:t>
      </w:r>
      <w:proofErr w:type="gramEnd"/>
    </w:p>
    <w:p w14:paraId="543D755A" w14:textId="77777777" w:rsidR="005F0BE5" w:rsidRDefault="005F0BE5" w:rsidP="007B3B6F">
      <w:pPr>
        <w:pStyle w:val="ListParagraph"/>
        <w:numPr>
          <w:ilvl w:val="2"/>
          <w:numId w:val="563"/>
        </w:numPr>
        <w:autoSpaceDE w:val="0"/>
        <w:autoSpaceDN w:val="0"/>
        <w:adjustRightInd w:val="0"/>
        <w:spacing w:after="0"/>
        <w:jc w:val="both"/>
        <w:rPr>
          <w:rFonts w:cstheme="minorHAnsi"/>
        </w:rPr>
      </w:pPr>
      <w:r w:rsidRPr="00CB5239">
        <w:rPr>
          <w:rFonts w:cstheme="minorHAnsi"/>
        </w:rPr>
        <w:t xml:space="preserve">Attendance at and participation in functions and </w:t>
      </w:r>
      <w:proofErr w:type="gramStart"/>
      <w:r w:rsidRPr="00CB5239">
        <w:rPr>
          <w:rFonts w:cstheme="minorHAnsi"/>
        </w:rPr>
        <w:t>events;</w:t>
      </w:r>
      <w:proofErr w:type="gramEnd"/>
    </w:p>
    <w:p w14:paraId="54CBDF07" w14:textId="77777777" w:rsidR="005F0BE5" w:rsidRDefault="005F0BE5" w:rsidP="007B3B6F">
      <w:pPr>
        <w:pStyle w:val="ListParagraph"/>
        <w:numPr>
          <w:ilvl w:val="2"/>
          <w:numId w:val="563"/>
        </w:numPr>
        <w:autoSpaceDE w:val="0"/>
        <w:autoSpaceDN w:val="0"/>
        <w:adjustRightInd w:val="0"/>
        <w:spacing w:after="0"/>
        <w:jc w:val="both"/>
        <w:rPr>
          <w:rFonts w:cstheme="minorHAnsi"/>
        </w:rPr>
      </w:pPr>
      <w:r w:rsidRPr="00CB5239">
        <w:rPr>
          <w:rFonts w:cstheme="minorHAnsi"/>
        </w:rPr>
        <w:t xml:space="preserve">Use of the Town’s resources; </w:t>
      </w:r>
      <w:r w:rsidRPr="00E74189">
        <w:rPr>
          <w:rFonts w:cstheme="minorHAnsi"/>
        </w:rPr>
        <w:t>Access to information held by the Town</w:t>
      </w:r>
      <w:r>
        <w:rPr>
          <w:rFonts w:cstheme="minorHAnsi"/>
        </w:rPr>
        <w:t>; and</w:t>
      </w:r>
    </w:p>
    <w:p w14:paraId="2C37E783" w14:textId="77777777" w:rsidR="005F0BE5" w:rsidRPr="00E74189" w:rsidRDefault="005F0BE5" w:rsidP="007B3B6F">
      <w:pPr>
        <w:pStyle w:val="ListParagraph"/>
        <w:numPr>
          <w:ilvl w:val="2"/>
          <w:numId w:val="563"/>
        </w:numPr>
        <w:autoSpaceDE w:val="0"/>
        <w:autoSpaceDN w:val="0"/>
        <w:adjustRightInd w:val="0"/>
        <w:spacing w:after="0"/>
        <w:jc w:val="both"/>
        <w:rPr>
          <w:rFonts w:cstheme="minorHAnsi"/>
        </w:rPr>
      </w:pPr>
      <w:r>
        <w:rPr>
          <w:rFonts w:cstheme="minorHAnsi"/>
        </w:rPr>
        <w:t>Employee</w:t>
      </w:r>
      <w:r w:rsidRPr="00E74189">
        <w:rPr>
          <w:rFonts w:cstheme="minorHAnsi"/>
        </w:rPr>
        <w:t xml:space="preserve"> engagement with candidates and/or </w:t>
      </w:r>
      <w:r>
        <w:rPr>
          <w:rFonts w:cstheme="minorHAnsi"/>
        </w:rPr>
        <w:t>council members</w:t>
      </w:r>
      <w:r w:rsidRPr="00E74189">
        <w:rPr>
          <w:rFonts w:cstheme="minorHAnsi"/>
        </w:rPr>
        <w:t>.</w:t>
      </w:r>
    </w:p>
    <w:p w14:paraId="77B94981" w14:textId="77777777" w:rsidR="005F0BE5" w:rsidRDefault="005F0BE5" w:rsidP="005F0BE5">
      <w:pPr>
        <w:spacing w:after="0"/>
        <w:ind w:left="851"/>
        <w:rPr>
          <w:rFonts w:cstheme="minorHAnsi"/>
        </w:rPr>
      </w:pPr>
    </w:p>
    <w:p w14:paraId="1A45CD8E" w14:textId="77777777" w:rsidR="005F0BE5" w:rsidRDefault="005F0BE5" w:rsidP="005F0BE5">
      <w:pPr>
        <w:autoSpaceDE w:val="0"/>
        <w:autoSpaceDN w:val="0"/>
        <w:adjustRightInd w:val="0"/>
        <w:spacing w:after="0"/>
        <w:ind w:left="1440" w:hanging="720"/>
        <w:jc w:val="both"/>
        <w:rPr>
          <w:rFonts w:cstheme="minorHAnsi"/>
        </w:rPr>
      </w:pPr>
      <w:r>
        <w:rPr>
          <w:rFonts w:cstheme="minorHAnsi"/>
        </w:rPr>
        <w:t>2.2</w:t>
      </w:r>
      <w:r>
        <w:rPr>
          <w:rFonts w:cstheme="minorHAnsi"/>
        </w:rPr>
        <w:tab/>
        <w:t>While candidates who are not sitting council members cannot be compelled to comply with a Council policy, such candidates will be made aware of this policy and encouraged to cooperate with its implementation. In addition, candidates will be informed of the “Code of Conduct for Council Members, Committee Members and Candidates”</w:t>
      </w:r>
      <w:r w:rsidDel="0064598B">
        <w:rPr>
          <w:rFonts w:cstheme="minorHAnsi"/>
        </w:rPr>
        <w:t xml:space="preserve"> </w:t>
      </w:r>
      <w:r>
        <w:rPr>
          <w:rFonts w:cstheme="minorHAnsi"/>
        </w:rPr>
        <w:t xml:space="preserve">and that a breach of the requirements of the Code of Conduct could result in a complaint being brought against the candidate should they be elected to Council (per section 5.104(6) of the Act and </w:t>
      </w:r>
      <w:r w:rsidRPr="00EE30A7">
        <w:rPr>
          <w:rFonts w:cstheme="minorHAnsi"/>
        </w:rPr>
        <w:t xml:space="preserve">clause </w:t>
      </w:r>
      <w:r w:rsidRPr="007C17AB">
        <w:rPr>
          <w:rFonts w:cstheme="minorHAnsi"/>
        </w:rPr>
        <w:t>11 of the Code of Conduct</w:t>
      </w:r>
      <w:r>
        <w:rPr>
          <w:rFonts w:cstheme="minorHAnsi"/>
        </w:rPr>
        <w:t>).]</w:t>
      </w:r>
    </w:p>
    <w:p w14:paraId="02EB8573" w14:textId="77777777" w:rsidR="005F0BE5" w:rsidRPr="002A7A17" w:rsidRDefault="005F0BE5" w:rsidP="005F0BE5">
      <w:pPr>
        <w:autoSpaceDE w:val="0"/>
        <w:autoSpaceDN w:val="0"/>
        <w:adjustRightInd w:val="0"/>
        <w:spacing w:after="0"/>
        <w:ind w:left="1440" w:hanging="720"/>
        <w:jc w:val="both"/>
        <w:rPr>
          <w:rFonts w:cstheme="minorHAnsi"/>
        </w:rPr>
      </w:pPr>
    </w:p>
    <w:p w14:paraId="206B3D7C" w14:textId="77777777" w:rsidR="005F0BE5" w:rsidRPr="00011A17" w:rsidRDefault="005F0BE5" w:rsidP="005F0BE5">
      <w:pPr>
        <w:autoSpaceDE w:val="0"/>
        <w:autoSpaceDN w:val="0"/>
        <w:adjustRightInd w:val="0"/>
        <w:spacing w:after="0"/>
        <w:ind w:left="1440" w:hanging="720"/>
        <w:jc w:val="both"/>
        <w:rPr>
          <w:rFonts w:cstheme="minorHAnsi"/>
        </w:rPr>
      </w:pPr>
      <w:r w:rsidRPr="005F349E">
        <w:rPr>
          <w:rFonts w:cstheme="minorHAnsi"/>
        </w:rPr>
        <w:t>2.</w:t>
      </w:r>
      <w:r>
        <w:rPr>
          <w:rFonts w:cstheme="minorHAnsi"/>
        </w:rPr>
        <w:t>3</w:t>
      </w:r>
      <w:r w:rsidRPr="005F349E">
        <w:rPr>
          <w:rFonts w:cstheme="minorHAnsi"/>
        </w:rPr>
        <w:t xml:space="preserve">. </w:t>
      </w:r>
      <w:r w:rsidRPr="005F349E">
        <w:rPr>
          <w:rFonts w:cstheme="minorHAnsi"/>
        </w:rPr>
        <w:tab/>
        <w:t xml:space="preserve">This policy only applies to decisions made during the </w:t>
      </w:r>
      <w:r>
        <w:rPr>
          <w:rFonts w:cstheme="minorHAnsi"/>
        </w:rPr>
        <w:t>Caretaker</w:t>
      </w:r>
      <w:r w:rsidRPr="005F349E">
        <w:rPr>
          <w:rFonts w:cstheme="minorHAnsi"/>
        </w:rPr>
        <w:t xml:space="preserve"> </w:t>
      </w:r>
      <w:r>
        <w:rPr>
          <w:rFonts w:cstheme="minorHAnsi"/>
        </w:rPr>
        <w:t>Period</w:t>
      </w:r>
      <w:r w:rsidRPr="005F349E">
        <w:rPr>
          <w:rFonts w:cstheme="minorHAnsi"/>
        </w:rPr>
        <w:t xml:space="preserve"> and not the announcement of decisions made prior to the </w:t>
      </w:r>
      <w:r>
        <w:rPr>
          <w:rFonts w:cstheme="minorHAnsi"/>
        </w:rPr>
        <w:t>Caretaker</w:t>
      </w:r>
      <w:r w:rsidRPr="005F349E">
        <w:rPr>
          <w:rFonts w:cstheme="minorHAnsi"/>
        </w:rPr>
        <w:t xml:space="preserve"> </w:t>
      </w:r>
      <w:r>
        <w:rPr>
          <w:rFonts w:cstheme="minorHAnsi"/>
        </w:rPr>
        <w:t>Period</w:t>
      </w:r>
      <w:r w:rsidRPr="005F349E">
        <w:rPr>
          <w:rFonts w:cstheme="minorHAnsi"/>
        </w:rPr>
        <w:t xml:space="preserve">, however, as far as practicable any such announcements should be made before the </w:t>
      </w:r>
      <w:r>
        <w:rPr>
          <w:rFonts w:cstheme="minorHAnsi"/>
        </w:rPr>
        <w:t>Caretaker</w:t>
      </w:r>
      <w:r w:rsidRPr="005F349E">
        <w:rPr>
          <w:rFonts w:cstheme="minorHAnsi"/>
        </w:rPr>
        <w:t xml:space="preserve"> </w:t>
      </w:r>
      <w:r>
        <w:rPr>
          <w:rFonts w:cstheme="minorHAnsi"/>
        </w:rPr>
        <w:t>Period</w:t>
      </w:r>
      <w:r w:rsidRPr="005F349E">
        <w:rPr>
          <w:rFonts w:cstheme="minorHAnsi"/>
        </w:rPr>
        <w:t xml:space="preserve"> begins.</w:t>
      </w:r>
    </w:p>
    <w:p w14:paraId="4D227412" w14:textId="77777777" w:rsidR="005F0BE5" w:rsidRPr="00011A17" w:rsidRDefault="005F0BE5" w:rsidP="005F0BE5">
      <w:pPr>
        <w:autoSpaceDE w:val="0"/>
        <w:autoSpaceDN w:val="0"/>
        <w:adjustRightInd w:val="0"/>
        <w:spacing w:after="0"/>
        <w:rPr>
          <w:rFonts w:cstheme="minorHAnsi"/>
        </w:rPr>
      </w:pPr>
    </w:p>
    <w:p w14:paraId="3DCBC5F5" w14:textId="77777777" w:rsidR="005F0BE5" w:rsidRPr="003C5976" w:rsidRDefault="005F0BE5" w:rsidP="00E270B4">
      <w:pPr>
        <w:autoSpaceDE w:val="0"/>
        <w:autoSpaceDN w:val="0"/>
        <w:adjustRightInd w:val="0"/>
        <w:spacing w:after="120"/>
        <w:jc w:val="both"/>
        <w:rPr>
          <w:rFonts w:cstheme="minorHAnsi"/>
        </w:rPr>
      </w:pPr>
      <w:r w:rsidRPr="003C5976">
        <w:rPr>
          <w:rFonts w:cstheme="minorHAnsi"/>
        </w:rPr>
        <w:t>3.</w:t>
      </w:r>
      <w:r w:rsidRPr="003C5976">
        <w:rPr>
          <w:rFonts w:cstheme="minorHAnsi"/>
        </w:rPr>
        <w:tab/>
      </w:r>
      <w:r w:rsidRPr="008C29DE">
        <w:rPr>
          <w:rFonts w:cstheme="minorHAnsi"/>
          <w:b/>
          <w:bCs/>
        </w:rPr>
        <w:t>Definitions</w:t>
      </w:r>
    </w:p>
    <w:p w14:paraId="488FC68B" w14:textId="77777777" w:rsidR="005F0BE5" w:rsidRDefault="005F0BE5" w:rsidP="005F0BE5">
      <w:pPr>
        <w:autoSpaceDE w:val="0"/>
        <w:autoSpaceDN w:val="0"/>
        <w:adjustRightInd w:val="0"/>
        <w:spacing w:after="0"/>
        <w:ind w:left="2268" w:hanging="2268"/>
        <w:jc w:val="both"/>
        <w:rPr>
          <w:rFonts w:cstheme="minorHAnsi"/>
          <w:i/>
          <w:iCs/>
        </w:rPr>
      </w:pPr>
      <w:r w:rsidRPr="00F56906">
        <w:rPr>
          <w:rFonts w:cstheme="minorHAnsi"/>
          <w:b/>
          <w:bCs/>
          <w:i/>
          <w:iCs/>
        </w:rPr>
        <w:t>Act</w:t>
      </w:r>
      <w:r>
        <w:rPr>
          <w:rFonts w:cstheme="minorHAnsi"/>
          <w:b/>
          <w:bCs/>
        </w:rPr>
        <w:tab/>
      </w:r>
      <w:r w:rsidRPr="00503072">
        <w:rPr>
          <w:rFonts w:cstheme="minorHAnsi"/>
        </w:rPr>
        <w:t>means the</w:t>
      </w:r>
      <w:r>
        <w:rPr>
          <w:rFonts w:cstheme="minorHAnsi"/>
        </w:rPr>
        <w:t xml:space="preserve"> </w:t>
      </w:r>
      <w:r>
        <w:rPr>
          <w:rFonts w:cstheme="minorHAnsi"/>
          <w:i/>
          <w:iCs/>
        </w:rPr>
        <w:t>Local Government Act 1995</w:t>
      </w:r>
    </w:p>
    <w:p w14:paraId="4EC0AFE4" w14:textId="77777777" w:rsidR="005F0BE5" w:rsidRDefault="005F0BE5" w:rsidP="005F0BE5">
      <w:pPr>
        <w:autoSpaceDE w:val="0"/>
        <w:autoSpaceDN w:val="0"/>
        <w:adjustRightInd w:val="0"/>
        <w:spacing w:after="0"/>
        <w:ind w:left="1134" w:hanging="1134"/>
        <w:jc w:val="both"/>
        <w:rPr>
          <w:rFonts w:cstheme="minorHAnsi"/>
          <w:i/>
          <w:iCs/>
        </w:rPr>
      </w:pPr>
    </w:p>
    <w:p w14:paraId="51289F29" w14:textId="77777777" w:rsidR="005F0BE5" w:rsidRDefault="005F0BE5" w:rsidP="005F0BE5">
      <w:pPr>
        <w:autoSpaceDE w:val="0"/>
        <w:autoSpaceDN w:val="0"/>
        <w:adjustRightInd w:val="0"/>
        <w:spacing w:after="0"/>
        <w:ind w:left="2268" w:hanging="2268"/>
        <w:jc w:val="both"/>
        <w:rPr>
          <w:rFonts w:cstheme="minorHAnsi"/>
        </w:rPr>
      </w:pPr>
      <w:r>
        <w:rPr>
          <w:rFonts w:cstheme="minorHAnsi"/>
          <w:b/>
          <w:bCs/>
          <w:i/>
          <w:iCs/>
        </w:rPr>
        <w:t>Caretaker</w:t>
      </w:r>
      <w:r w:rsidRPr="00F56906">
        <w:rPr>
          <w:rFonts w:cstheme="minorHAnsi"/>
          <w:b/>
          <w:bCs/>
          <w:i/>
          <w:iCs/>
        </w:rPr>
        <w:t xml:space="preserve"> </w:t>
      </w:r>
      <w:r>
        <w:rPr>
          <w:rFonts w:cstheme="minorHAnsi"/>
          <w:b/>
          <w:bCs/>
          <w:i/>
          <w:iCs/>
        </w:rPr>
        <w:t>Period</w:t>
      </w:r>
      <w:r>
        <w:rPr>
          <w:rFonts w:cstheme="minorHAnsi"/>
          <w:b/>
          <w:bCs/>
        </w:rPr>
        <w:tab/>
      </w:r>
      <w:r w:rsidRPr="00C217A3">
        <w:rPr>
          <w:rFonts w:cstheme="minorHAnsi"/>
        </w:rPr>
        <w:t>has the meaning defined in section 1.4A</w:t>
      </w:r>
      <w:r>
        <w:rPr>
          <w:rFonts w:cstheme="minorHAnsi"/>
        </w:rPr>
        <w:t>(1)</w:t>
      </w:r>
      <w:r w:rsidRPr="00C217A3">
        <w:rPr>
          <w:rFonts w:cstheme="minorHAnsi"/>
        </w:rPr>
        <w:t xml:space="preserve"> of the Act</w:t>
      </w:r>
      <w:r>
        <w:rPr>
          <w:rFonts w:cstheme="minorHAnsi"/>
        </w:rPr>
        <w:t xml:space="preserve">. </w:t>
      </w:r>
    </w:p>
    <w:p w14:paraId="1E6EBFDD" w14:textId="77777777" w:rsidR="005F0BE5" w:rsidRDefault="005F0BE5" w:rsidP="005F0BE5">
      <w:pPr>
        <w:autoSpaceDE w:val="0"/>
        <w:autoSpaceDN w:val="0"/>
        <w:adjustRightInd w:val="0"/>
        <w:spacing w:after="0"/>
        <w:ind w:left="2268" w:hanging="2268"/>
        <w:jc w:val="both"/>
        <w:rPr>
          <w:rFonts w:cstheme="minorHAnsi"/>
        </w:rPr>
      </w:pPr>
      <w:r>
        <w:rPr>
          <w:rFonts w:cstheme="minorHAnsi"/>
          <w:noProof/>
        </w:rPr>
        <w:lastRenderedPageBreak/>
        <mc:AlternateContent>
          <mc:Choice Requires="wps">
            <w:drawing>
              <wp:anchor distT="0" distB="0" distL="114300" distR="114300" simplePos="0" relativeHeight="251713536" behindDoc="0" locked="0" layoutInCell="1" allowOverlap="1" wp14:anchorId="7604B2BD" wp14:editId="2D49EFE7">
                <wp:simplePos x="0" y="0"/>
                <wp:positionH relativeFrom="margin">
                  <wp:align>left</wp:align>
                </wp:positionH>
                <wp:positionV relativeFrom="paragraph">
                  <wp:posOffset>124460</wp:posOffset>
                </wp:positionV>
                <wp:extent cx="5772150" cy="5667375"/>
                <wp:effectExtent l="0" t="0" r="19050" b="28575"/>
                <wp:wrapTopAndBottom/>
                <wp:docPr id="1813757606" name="Text Box 1"/>
                <wp:cNvGraphicFramePr/>
                <a:graphic xmlns:a="http://schemas.openxmlformats.org/drawingml/2006/main">
                  <a:graphicData uri="http://schemas.microsoft.com/office/word/2010/wordprocessingShape">
                    <wps:wsp>
                      <wps:cNvSpPr txBox="1"/>
                      <wps:spPr>
                        <a:xfrm>
                          <a:off x="0" y="0"/>
                          <a:ext cx="5772150" cy="5667375"/>
                        </a:xfrm>
                        <a:prstGeom prst="rect">
                          <a:avLst/>
                        </a:prstGeom>
                        <a:solidFill>
                          <a:schemeClr val="bg2"/>
                        </a:solidFill>
                        <a:ln w="6350">
                          <a:solidFill>
                            <a:prstClr val="black"/>
                          </a:solidFill>
                        </a:ln>
                      </wps:spPr>
                      <wps:txbx>
                        <w:txbxContent>
                          <w:p w14:paraId="794FB46A" w14:textId="77777777" w:rsidR="005F0BE5" w:rsidRPr="009B4821" w:rsidRDefault="005F0BE5" w:rsidP="005F0BE5">
                            <w:pPr>
                              <w:rPr>
                                <w:b/>
                                <w:bCs/>
                              </w:rPr>
                            </w:pPr>
                            <w:r w:rsidRPr="009B4821">
                              <w:rPr>
                                <w:b/>
                                <w:bCs/>
                              </w:rPr>
                              <w:t xml:space="preserve">1.4A. Caretaker period </w:t>
                            </w:r>
                          </w:p>
                          <w:p w14:paraId="01C93AE0" w14:textId="77777777" w:rsidR="005F0BE5" w:rsidRPr="009B4821" w:rsidRDefault="005F0BE5" w:rsidP="005F0BE5">
                            <w:pPr>
                              <w:ind w:firstLine="720"/>
                            </w:pPr>
                            <w:r w:rsidRPr="009B4821">
                              <w:t>(1)</w:t>
                            </w:r>
                            <w:r w:rsidRPr="009B4821">
                              <w:tab/>
                              <w:t>In this Act —</w:t>
                            </w:r>
                          </w:p>
                          <w:p w14:paraId="1FE45A4D" w14:textId="77777777" w:rsidR="005F0BE5" w:rsidRPr="009B4821" w:rsidRDefault="005F0BE5" w:rsidP="005F0BE5">
                            <w:pPr>
                              <w:ind w:left="720" w:firstLine="720"/>
                            </w:pPr>
                            <w:r w:rsidRPr="009B4821">
                              <w:rPr>
                                <w:b/>
                                <w:bCs/>
                                <w:i/>
                                <w:iCs/>
                              </w:rPr>
                              <w:t>caretaker period</w:t>
                            </w:r>
                            <w:r w:rsidRPr="009B4821">
                              <w:t xml:space="preserve">, in relation to a local government, means a period that — </w:t>
                            </w:r>
                          </w:p>
                          <w:p w14:paraId="1668F4EC" w14:textId="77777777" w:rsidR="005F0BE5" w:rsidRPr="009B4821" w:rsidRDefault="005F0BE5" w:rsidP="005F0BE5">
                            <w:pPr>
                              <w:ind w:left="2160" w:hanging="720"/>
                            </w:pPr>
                            <w:r w:rsidRPr="009B4821">
                              <w:t>(a)</w:t>
                            </w:r>
                            <w:r w:rsidRPr="009B4821">
                              <w:tab/>
                              <w:t xml:space="preserve">begins at the close of nominations (as defined in section 4.49(a)) for a relevant election for the local government; and </w:t>
                            </w:r>
                          </w:p>
                          <w:p w14:paraId="5388CE03" w14:textId="77777777" w:rsidR="005F0BE5" w:rsidRPr="009B4821" w:rsidRDefault="005F0BE5" w:rsidP="005F0BE5">
                            <w:pPr>
                              <w:ind w:left="1440"/>
                            </w:pPr>
                            <w:r w:rsidRPr="009B4821">
                              <w:t>(b)</w:t>
                            </w:r>
                            <w:r w:rsidRPr="009B4821">
                              <w:tab/>
                              <w:t xml:space="preserve">ends — </w:t>
                            </w:r>
                          </w:p>
                          <w:p w14:paraId="42541F7B" w14:textId="77777777" w:rsidR="005F0BE5" w:rsidRPr="009B4821" w:rsidRDefault="005F0BE5" w:rsidP="005F0BE5">
                            <w:pPr>
                              <w:ind w:left="2880" w:hanging="720"/>
                            </w:pPr>
                            <w:r w:rsidRPr="009B4821">
                              <w:t>(i)</w:t>
                            </w:r>
                            <w:r w:rsidRPr="009B4821">
                              <w:tab/>
                              <w:t xml:space="preserve">on the day after the day on which the returning officer declares the result of the relevant election under section 4.77; or </w:t>
                            </w:r>
                          </w:p>
                          <w:p w14:paraId="30489C15" w14:textId="77777777" w:rsidR="005F0BE5" w:rsidRPr="009B4821" w:rsidRDefault="005F0BE5" w:rsidP="005F0BE5">
                            <w:pPr>
                              <w:ind w:left="2880" w:hanging="720"/>
                            </w:pPr>
                            <w:r w:rsidRPr="009B4821">
                              <w:t>(ii)</w:t>
                            </w:r>
                            <w:r w:rsidRPr="009B4821">
                              <w:tab/>
                              <w:t xml:space="preserve">if section 4.57(1) applies to the relevant election — on the day after the day on which the close of nominations falls; or </w:t>
                            </w:r>
                          </w:p>
                          <w:p w14:paraId="6C98A8C5" w14:textId="77777777" w:rsidR="005F0BE5" w:rsidRPr="009B4821" w:rsidRDefault="005F0BE5" w:rsidP="005F0BE5">
                            <w:pPr>
                              <w:ind w:left="2880" w:hanging="720"/>
                            </w:pPr>
                            <w:r w:rsidRPr="009B4821">
                              <w:t>(iii)</w:t>
                            </w:r>
                            <w:r w:rsidRPr="009B4821">
                              <w:tab/>
                              <w:t>if section 4.58(1) applies to the relevant election — on the day after the day on which the candidate dies</w:t>
                            </w:r>
                          </w:p>
                          <w:p w14:paraId="378F70EC" w14:textId="77777777" w:rsidR="005F0BE5" w:rsidRPr="009B4821" w:rsidRDefault="005F0BE5" w:rsidP="005F0BE5">
                            <w:pPr>
                              <w:ind w:left="1440" w:hanging="720"/>
                            </w:pPr>
                            <w:r w:rsidRPr="009B4821">
                              <w:t>(2)</w:t>
                            </w:r>
                            <w:r w:rsidRPr="009B4821">
                              <w:tab/>
                              <w:t>In subsection (1) —</w:t>
                            </w:r>
                          </w:p>
                          <w:p w14:paraId="14EBE22E" w14:textId="77777777" w:rsidR="005F0BE5" w:rsidRPr="009B4821" w:rsidRDefault="005F0BE5" w:rsidP="005F0BE5">
                            <w:pPr>
                              <w:ind w:left="2880" w:hanging="720"/>
                            </w:pPr>
                            <w:r w:rsidRPr="009B4821">
                              <w:rPr>
                                <w:b/>
                                <w:bCs/>
                                <w:i/>
                                <w:iCs/>
                              </w:rPr>
                              <w:t>relevant election</w:t>
                            </w:r>
                            <w:r w:rsidRPr="009B4821">
                              <w:t xml:space="preserve"> means any of the following —</w:t>
                            </w:r>
                          </w:p>
                          <w:p w14:paraId="3850CD63" w14:textId="77777777" w:rsidR="005F0BE5" w:rsidRPr="009B4821" w:rsidRDefault="005F0BE5" w:rsidP="005F0BE5">
                            <w:pPr>
                              <w:ind w:left="2880" w:hanging="720"/>
                            </w:pPr>
                            <w:r w:rsidRPr="009B4821">
                              <w:t>(a)</w:t>
                            </w:r>
                            <w:r w:rsidRPr="009B4821">
                              <w:tab/>
                              <w:t>an ordinary election;</w:t>
                            </w:r>
                          </w:p>
                          <w:p w14:paraId="0EE41E2B" w14:textId="77777777" w:rsidR="005F0BE5" w:rsidRPr="009B4821" w:rsidRDefault="005F0BE5" w:rsidP="005F0BE5">
                            <w:pPr>
                              <w:ind w:left="2880" w:hanging="720"/>
                            </w:pPr>
                            <w:r w:rsidRPr="009B4821">
                              <w:t>(b)</w:t>
                            </w:r>
                            <w:r w:rsidRPr="009B4821">
                              <w:tab/>
                              <w:t>an inaugural election;</w:t>
                            </w:r>
                          </w:p>
                          <w:p w14:paraId="60660ADF" w14:textId="77777777" w:rsidR="005F0BE5" w:rsidRPr="009B4821" w:rsidRDefault="005F0BE5" w:rsidP="005F0BE5">
                            <w:pPr>
                              <w:ind w:left="2880" w:hanging="720"/>
                            </w:pPr>
                            <w:r w:rsidRPr="009B4821">
                              <w:t>(c)</w:t>
                            </w:r>
                            <w:r w:rsidRPr="009B4821">
                              <w:tab/>
                              <w:t>an election under section 4.11, 4.12, 4.13 or 4.14;</w:t>
                            </w:r>
                          </w:p>
                          <w:p w14:paraId="45BBF024" w14:textId="77777777" w:rsidR="005F0BE5" w:rsidRPr="009B4821" w:rsidRDefault="005F0BE5" w:rsidP="005F0BE5">
                            <w:pPr>
                              <w:ind w:left="2880" w:hanging="720"/>
                            </w:pPr>
                            <w:r w:rsidRPr="009B4821">
                              <w:t>(d)</w:t>
                            </w:r>
                            <w:r w:rsidRPr="009B4821">
                              <w:tab/>
                              <w:t>an election under section 4.15 after an election that is a relevant election under paragraph (a), (b) or (c) or this paragraph is declared invalid.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04B2BD" id="_x0000_t202" coordsize="21600,21600" o:spt="202" path="m,l,21600r21600,l21600,xe">
                <v:stroke joinstyle="miter"/>
                <v:path gradientshapeok="t" o:connecttype="rect"/>
              </v:shapetype>
              <v:shape id="Text Box 1" o:spid="_x0000_s1026" type="#_x0000_t202" style="position:absolute;left:0;text-align:left;margin-left:0;margin-top:9.8pt;width:454.5pt;height:446.2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" fillcolor="#eeece1 [3214]" strokeweight=".5pt">
                <v:textbox>
                  <w:txbxContent>
                    <w:p w14:paraId="794FB46A" w14:textId="77777777" w:rsidR="005F0BE5" w:rsidRPr="009B4821" w:rsidRDefault="005F0BE5" w:rsidP="005F0BE5">
                      <w:pPr>
                        <w:rPr>
                          <w:b/>
                          <w:bCs/>
                        </w:rPr>
                      </w:pPr>
                      <w:r w:rsidRPr="009B4821">
                        <w:rPr>
                          <w:b/>
                          <w:bCs/>
                        </w:rPr>
                        <w:t xml:space="preserve">1.4A. Caretaker period </w:t>
                      </w:r>
                    </w:p>
                    <w:p w14:paraId="01C93AE0" w14:textId="77777777" w:rsidR="005F0BE5" w:rsidRPr="009B4821" w:rsidRDefault="005F0BE5" w:rsidP="005F0BE5">
                      <w:pPr>
                        <w:ind w:firstLine="720"/>
                      </w:pPr>
                      <w:r w:rsidRPr="009B4821">
                        <w:t>(1)</w:t>
                      </w:r>
                      <w:r w:rsidRPr="009B4821">
                        <w:tab/>
                        <w:t>In this Act —</w:t>
                      </w:r>
                    </w:p>
                    <w:p w14:paraId="1FE45A4D" w14:textId="77777777" w:rsidR="005F0BE5" w:rsidRPr="009B4821" w:rsidRDefault="005F0BE5" w:rsidP="005F0BE5">
                      <w:pPr>
                        <w:ind w:left="720" w:firstLine="720"/>
                      </w:pPr>
                      <w:r w:rsidRPr="009B4821">
                        <w:rPr>
                          <w:b/>
                          <w:bCs/>
                          <w:i/>
                          <w:iCs/>
                        </w:rPr>
                        <w:t>caretaker period</w:t>
                      </w:r>
                      <w:r w:rsidRPr="009B4821">
                        <w:t xml:space="preserve">, in relation to a local government, means a period that — </w:t>
                      </w:r>
                    </w:p>
                    <w:p w14:paraId="1668F4EC" w14:textId="77777777" w:rsidR="005F0BE5" w:rsidRPr="009B4821" w:rsidRDefault="005F0BE5" w:rsidP="005F0BE5">
                      <w:pPr>
                        <w:ind w:left="2160" w:hanging="720"/>
                      </w:pPr>
                      <w:r w:rsidRPr="009B4821">
                        <w:t>(a)</w:t>
                      </w:r>
                      <w:r w:rsidRPr="009B4821">
                        <w:tab/>
                        <w:t xml:space="preserve">begins at the close of nominations (as defined in section 4.49(a)) for a relevant election for the local government; and </w:t>
                      </w:r>
                    </w:p>
                    <w:p w14:paraId="5388CE03" w14:textId="77777777" w:rsidR="005F0BE5" w:rsidRPr="009B4821" w:rsidRDefault="005F0BE5" w:rsidP="005F0BE5">
                      <w:pPr>
                        <w:ind w:left="1440"/>
                      </w:pPr>
                      <w:r w:rsidRPr="009B4821">
                        <w:t>(b)</w:t>
                      </w:r>
                      <w:r w:rsidRPr="009B4821">
                        <w:tab/>
                        <w:t xml:space="preserve">ends — </w:t>
                      </w:r>
                    </w:p>
                    <w:p w14:paraId="42541F7B" w14:textId="77777777" w:rsidR="005F0BE5" w:rsidRPr="009B4821" w:rsidRDefault="005F0BE5" w:rsidP="005F0BE5">
                      <w:pPr>
                        <w:ind w:left="2880" w:hanging="720"/>
                      </w:pPr>
                      <w:r w:rsidRPr="009B4821">
                        <w:t>(i)</w:t>
                      </w:r>
                      <w:r w:rsidRPr="009B4821">
                        <w:tab/>
                        <w:t xml:space="preserve">on the day after the day on which the returning officer declares the result of the relevant election under section 4.77; or </w:t>
                      </w:r>
                    </w:p>
                    <w:p w14:paraId="30489C15" w14:textId="77777777" w:rsidR="005F0BE5" w:rsidRPr="009B4821" w:rsidRDefault="005F0BE5" w:rsidP="005F0BE5">
                      <w:pPr>
                        <w:ind w:left="2880" w:hanging="720"/>
                      </w:pPr>
                      <w:r w:rsidRPr="009B4821">
                        <w:t>(ii)</w:t>
                      </w:r>
                      <w:r w:rsidRPr="009B4821">
                        <w:tab/>
                        <w:t xml:space="preserve">if section 4.57(1) applies to the relevant election — on the day after the day on which the close of nominations falls; or </w:t>
                      </w:r>
                    </w:p>
                    <w:p w14:paraId="6C98A8C5" w14:textId="77777777" w:rsidR="005F0BE5" w:rsidRPr="009B4821" w:rsidRDefault="005F0BE5" w:rsidP="005F0BE5">
                      <w:pPr>
                        <w:ind w:left="2880" w:hanging="720"/>
                      </w:pPr>
                      <w:r w:rsidRPr="009B4821">
                        <w:t>(iii)</w:t>
                      </w:r>
                      <w:r w:rsidRPr="009B4821">
                        <w:tab/>
                        <w:t>if section 4.58(1) applies to the relevant election — on the day after the day on which the candidate dies</w:t>
                      </w:r>
                    </w:p>
                    <w:p w14:paraId="378F70EC" w14:textId="77777777" w:rsidR="005F0BE5" w:rsidRPr="009B4821" w:rsidRDefault="005F0BE5" w:rsidP="005F0BE5">
                      <w:pPr>
                        <w:ind w:left="1440" w:hanging="720"/>
                      </w:pPr>
                      <w:r w:rsidRPr="009B4821">
                        <w:t>(2)</w:t>
                      </w:r>
                      <w:r w:rsidRPr="009B4821">
                        <w:tab/>
                        <w:t>In subsection (1) —</w:t>
                      </w:r>
                    </w:p>
                    <w:p w14:paraId="14EBE22E" w14:textId="77777777" w:rsidR="005F0BE5" w:rsidRPr="009B4821" w:rsidRDefault="005F0BE5" w:rsidP="005F0BE5">
                      <w:pPr>
                        <w:ind w:left="2880" w:hanging="720"/>
                      </w:pPr>
                      <w:r w:rsidRPr="009B4821">
                        <w:rPr>
                          <w:b/>
                          <w:bCs/>
                          <w:i/>
                          <w:iCs/>
                        </w:rPr>
                        <w:t>relevant election</w:t>
                      </w:r>
                      <w:r w:rsidRPr="009B4821">
                        <w:t xml:space="preserve"> means any of the following —</w:t>
                      </w:r>
                    </w:p>
                    <w:p w14:paraId="3850CD63" w14:textId="77777777" w:rsidR="005F0BE5" w:rsidRPr="009B4821" w:rsidRDefault="005F0BE5" w:rsidP="005F0BE5">
                      <w:pPr>
                        <w:ind w:left="2880" w:hanging="720"/>
                      </w:pPr>
                      <w:r w:rsidRPr="009B4821">
                        <w:t>(a)</w:t>
                      </w:r>
                      <w:r w:rsidRPr="009B4821">
                        <w:tab/>
                        <w:t>an ordinary election;</w:t>
                      </w:r>
                    </w:p>
                    <w:p w14:paraId="0EE41E2B" w14:textId="77777777" w:rsidR="005F0BE5" w:rsidRPr="009B4821" w:rsidRDefault="005F0BE5" w:rsidP="005F0BE5">
                      <w:pPr>
                        <w:ind w:left="2880" w:hanging="720"/>
                      </w:pPr>
                      <w:r w:rsidRPr="009B4821">
                        <w:t>(b)</w:t>
                      </w:r>
                      <w:r w:rsidRPr="009B4821">
                        <w:tab/>
                        <w:t>an inaugural election;</w:t>
                      </w:r>
                    </w:p>
                    <w:p w14:paraId="60660ADF" w14:textId="77777777" w:rsidR="005F0BE5" w:rsidRPr="009B4821" w:rsidRDefault="005F0BE5" w:rsidP="005F0BE5">
                      <w:pPr>
                        <w:ind w:left="2880" w:hanging="720"/>
                      </w:pPr>
                      <w:r w:rsidRPr="009B4821">
                        <w:t>(c)</w:t>
                      </w:r>
                      <w:r w:rsidRPr="009B4821">
                        <w:tab/>
                        <w:t>an election under section 4.11, 4.12, 4.13 or 4.14;</w:t>
                      </w:r>
                    </w:p>
                    <w:p w14:paraId="45BBF024" w14:textId="77777777" w:rsidR="005F0BE5" w:rsidRPr="009B4821" w:rsidRDefault="005F0BE5" w:rsidP="005F0BE5">
                      <w:pPr>
                        <w:ind w:left="2880" w:hanging="720"/>
                      </w:pPr>
                      <w:r w:rsidRPr="009B4821">
                        <w:t>(d)</w:t>
                      </w:r>
                      <w:r w:rsidRPr="009B4821">
                        <w:tab/>
                        <w:t>an election under section 4.15 after an election that is a relevant election under paragraph (a), (b) or (c) or this paragraph is declared invalid.</w:t>
                      </w:r>
                    </w:p>
                  </w:txbxContent>
                </v:textbox>
                <w10:wrap type="topAndBottom" anchorx="margin"/>
              </v:shape>
            </w:pict>
          </mc:Fallback>
        </mc:AlternateContent>
      </w:r>
    </w:p>
    <w:p w14:paraId="19C33E34" w14:textId="77777777" w:rsidR="005F0BE5" w:rsidRDefault="005F0BE5" w:rsidP="005F0BE5">
      <w:pPr>
        <w:autoSpaceDE w:val="0"/>
        <w:autoSpaceDN w:val="0"/>
        <w:adjustRightInd w:val="0"/>
        <w:spacing w:after="0"/>
        <w:ind w:left="2268" w:hanging="2268"/>
        <w:jc w:val="both"/>
        <w:rPr>
          <w:rFonts w:cstheme="minorHAnsi"/>
        </w:rPr>
      </w:pPr>
      <w:r w:rsidRPr="00B66ADC">
        <w:rPr>
          <w:rFonts w:cstheme="minorHAnsi"/>
          <w:b/>
          <w:bCs/>
          <w:i/>
          <w:iCs/>
        </w:rPr>
        <w:t>CEO</w:t>
      </w:r>
      <w:r>
        <w:rPr>
          <w:rFonts w:cstheme="minorHAnsi"/>
          <w:b/>
          <w:bCs/>
        </w:rPr>
        <w:tab/>
      </w:r>
      <w:r w:rsidRPr="00503072">
        <w:rPr>
          <w:rFonts w:cstheme="minorHAnsi"/>
        </w:rPr>
        <w:t>means the</w:t>
      </w:r>
      <w:r>
        <w:rPr>
          <w:rFonts w:cstheme="minorHAnsi"/>
        </w:rPr>
        <w:t xml:space="preserve"> Chief Executive Officer, who is the most senior employee in the organisation. The CEO is appointed by and directly accountable to the Council.</w:t>
      </w:r>
    </w:p>
    <w:p w14:paraId="72361E37" w14:textId="77777777" w:rsidR="005F0BE5" w:rsidRDefault="005F0BE5" w:rsidP="005F0BE5">
      <w:pPr>
        <w:autoSpaceDE w:val="0"/>
        <w:autoSpaceDN w:val="0"/>
        <w:adjustRightInd w:val="0"/>
        <w:spacing w:after="0"/>
        <w:ind w:left="2268" w:hanging="2268"/>
        <w:jc w:val="both"/>
        <w:rPr>
          <w:rFonts w:cstheme="minorHAnsi"/>
        </w:rPr>
      </w:pPr>
    </w:p>
    <w:p w14:paraId="21320F34" w14:textId="77777777" w:rsidR="005F0BE5" w:rsidRDefault="005F0BE5" w:rsidP="005F0BE5">
      <w:pPr>
        <w:autoSpaceDE w:val="0"/>
        <w:autoSpaceDN w:val="0"/>
        <w:adjustRightInd w:val="0"/>
        <w:spacing w:after="0"/>
        <w:ind w:left="2268" w:hanging="2268"/>
        <w:jc w:val="both"/>
        <w:rPr>
          <w:rFonts w:cstheme="minorHAnsi"/>
        </w:rPr>
      </w:pPr>
      <w:r w:rsidRPr="00B66ADC">
        <w:rPr>
          <w:rFonts w:cstheme="minorHAnsi"/>
          <w:b/>
          <w:bCs/>
          <w:i/>
          <w:iCs/>
        </w:rPr>
        <w:t>council member</w:t>
      </w:r>
      <w:r>
        <w:rPr>
          <w:rFonts w:cstheme="minorHAnsi"/>
          <w:b/>
          <w:bCs/>
        </w:rPr>
        <w:tab/>
      </w:r>
      <w:r w:rsidRPr="00503072">
        <w:rPr>
          <w:rFonts w:cstheme="minorHAnsi"/>
        </w:rPr>
        <w:t xml:space="preserve">means </w:t>
      </w:r>
      <w:r>
        <w:rPr>
          <w:rFonts w:cstheme="minorHAnsi"/>
        </w:rPr>
        <w:t>a person elected under the Act as a member of Council. The Town’s council members include the Mayor, Deputy Mayor and Councillors (as defined by the Act).</w:t>
      </w:r>
    </w:p>
    <w:p w14:paraId="187E1509" w14:textId="77777777" w:rsidR="005F0BE5" w:rsidRDefault="005F0BE5" w:rsidP="005F0BE5">
      <w:pPr>
        <w:autoSpaceDE w:val="0"/>
        <w:autoSpaceDN w:val="0"/>
        <w:adjustRightInd w:val="0"/>
        <w:spacing w:after="0"/>
        <w:ind w:left="2268" w:hanging="2268"/>
        <w:jc w:val="both"/>
        <w:rPr>
          <w:rFonts w:cstheme="minorHAnsi"/>
        </w:rPr>
      </w:pPr>
    </w:p>
    <w:p w14:paraId="37F9B743" w14:textId="77777777" w:rsidR="005F0BE5" w:rsidRDefault="005F0BE5" w:rsidP="005F0BE5">
      <w:pPr>
        <w:autoSpaceDE w:val="0"/>
        <w:autoSpaceDN w:val="0"/>
        <w:adjustRightInd w:val="0"/>
        <w:spacing w:after="0"/>
        <w:ind w:left="2268" w:hanging="2268"/>
        <w:jc w:val="both"/>
        <w:rPr>
          <w:rFonts w:cstheme="minorHAnsi"/>
        </w:rPr>
      </w:pPr>
      <w:r>
        <w:rPr>
          <w:rFonts w:cstheme="minorHAnsi"/>
          <w:b/>
          <w:bCs/>
          <w:i/>
          <w:iCs/>
        </w:rPr>
        <w:t>E</w:t>
      </w:r>
      <w:r w:rsidRPr="00B66ADC">
        <w:rPr>
          <w:rFonts w:cstheme="minorHAnsi"/>
          <w:b/>
          <w:bCs/>
          <w:i/>
          <w:iCs/>
        </w:rPr>
        <w:t xml:space="preserve">lection </w:t>
      </w:r>
      <w:r>
        <w:rPr>
          <w:rFonts w:cstheme="minorHAnsi"/>
          <w:b/>
          <w:bCs/>
          <w:i/>
          <w:iCs/>
        </w:rPr>
        <w:t>D</w:t>
      </w:r>
      <w:r w:rsidRPr="00B66ADC">
        <w:rPr>
          <w:rFonts w:cstheme="minorHAnsi"/>
          <w:b/>
          <w:bCs/>
          <w:i/>
          <w:iCs/>
        </w:rPr>
        <w:t>ay</w:t>
      </w:r>
      <w:r>
        <w:rPr>
          <w:rFonts w:cstheme="minorHAnsi"/>
          <w:b/>
          <w:bCs/>
        </w:rPr>
        <w:tab/>
      </w:r>
      <w:r w:rsidRPr="00503072">
        <w:rPr>
          <w:rFonts w:cstheme="minorHAnsi"/>
        </w:rPr>
        <w:t>means the</w:t>
      </w:r>
      <w:r>
        <w:rPr>
          <w:rFonts w:cstheme="minorHAnsi"/>
        </w:rPr>
        <w:t xml:space="preserve"> day fixed under the </w:t>
      </w:r>
      <w:r>
        <w:rPr>
          <w:rFonts w:cstheme="minorHAnsi"/>
          <w:i/>
          <w:iCs/>
        </w:rPr>
        <w:t xml:space="preserve">Local Government Act 1995 </w:t>
      </w:r>
      <w:r>
        <w:rPr>
          <w:rFonts w:cstheme="minorHAnsi"/>
        </w:rPr>
        <w:t>for the holding of any poll needed for an election. For the purposes of this policy, ‘Election Day’ generally excludes an Extraordinary Election Day unless otherwise specified in this policy.</w:t>
      </w:r>
    </w:p>
    <w:p w14:paraId="2F9382F4" w14:textId="77777777" w:rsidR="005F0BE5" w:rsidRDefault="005F0BE5" w:rsidP="005F0BE5">
      <w:pPr>
        <w:autoSpaceDE w:val="0"/>
        <w:autoSpaceDN w:val="0"/>
        <w:adjustRightInd w:val="0"/>
        <w:spacing w:after="0"/>
        <w:ind w:left="2268" w:hanging="2268"/>
        <w:jc w:val="both"/>
        <w:rPr>
          <w:rFonts w:cstheme="minorHAnsi"/>
        </w:rPr>
      </w:pPr>
      <w:r w:rsidRPr="00B66ADC">
        <w:rPr>
          <w:rFonts w:cstheme="minorHAnsi"/>
          <w:b/>
          <w:bCs/>
          <w:i/>
          <w:iCs/>
        </w:rPr>
        <w:lastRenderedPageBreak/>
        <w:t>electoral material</w:t>
      </w:r>
      <w:r>
        <w:rPr>
          <w:rFonts w:cstheme="minorHAnsi"/>
          <w:b/>
          <w:bCs/>
        </w:rPr>
        <w:tab/>
      </w:r>
      <w:r w:rsidRPr="00503072">
        <w:rPr>
          <w:rFonts w:cstheme="minorHAnsi"/>
        </w:rPr>
        <w:t xml:space="preserve">means </w:t>
      </w:r>
      <w:r>
        <w:rPr>
          <w:rFonts w:cstheme="minorHAnsi"/>
        </w:rPr>
        <w:t>any advertisement, handbill, pamphlet, notice, letter or article that is intended or calculated to affect the result in an election, but does not include any materials produced by the Town relating to the election process by way of information, education or publicity, or materials produced by or on behalf of the Returning Officer for the purposes of conducting an election.</w:t>
      </w:r>
    </w:p>
    <w:p w14:paraId="4913A216" w14:textId="77777777" w:rsidR="005F0BE5" w:rsidRDefault="005F0BE5" w:rsidP="005F0BE5">
      <w:pPr>
        <w:autoSpaceDE w:val="0"/>
        <w:autoSpaceDN w:val="0"/>
        <w:adjustRightInd w:val="0"/>
        <w:spacing w:after="0"/>
        <w:ind w:left="2268" w:hanging="2268"/>
        <w:jc w:val="both"/>
        <w:rPr>
          <w:rFonts w:cstheme="minorHAnsi"/>
        </w:rPr>
      </w:pPr>
    </w:p>
    <w:p w14:paraId="113DEF80" w14:textId="77777777" w:rsidR="005F0BE5" w:rsidRDefault="005F0BE5" w:rsidP="005F0BE5">
      <w:pPr>
        <w:autoSpaceDE w:val="0"/>
        <w:autoSpaceDN w:val="0"/>
        <w:adjustRightInd w:val="0"/>
        <w:spacing w:after="0"/>
        <w:ind w:left="2268" w:hanging="2268"/>
        <w:jc w:val="both"/>
        <w:rPr>
          <w:rFonts w:cstheme="minorHAnsi"/>
        </w:rPr>
      </w:pPr>
      <w:r>
        <w:rPr>
          <w:rFonts w:cstheme="minorHAnsi"/>
          <w:b/>
          <w:bCs/>
          <w:i/>
          <w:iCs/>
        </w:rPr>
        <w:t>e</w:t>
      </w:r>
      <w:r w:rsidRPr="00256CD1">
        <w:rPr>
          <w:rFonts w:cstheme="minorHAnsi"/>
          <w:b/>
          <w:bCs/>
          <w:i/>
          <w:iCs/>
        </w:rPr>
        <w:t xml:space="preserve">lectoral </w:t>
      </w:r>
      <w:r>
        <w:rPr>
          <w:rFonts w:cstheme="minorHAnsi"/>
          <w:b/>
          <w:bCs/>
          <w:i/>
          <w:iCs/>
        </w:rPr>
        <w:t>p</w:t>
      </w:r>
      <w:r w:rsidRPr="00256CD1">
        <w:rPr>
          <w:rFonts w:cstheme="minorHAnsi"/>
          <w:b/>
          <w:bCs/>
          <w:i/>
          <w:iCs/>
        </w:rPr>
        <w:t>urpose</w:t>
      </w:r>
      <w:r>
        <w:t xml:space="preserve"> </w:t>
      </w:r>
      <w:r>
        <w:tab/>
        <w:t xml:space="preserve">means the purpose of persuading electors to vote in a particular way at an election, referendum or other poll held under the </w:t>
      </w:r>
      <w:r w:rsidRPr="00C147BB">
        <w:rPr>
          <w:i/>
          <w:iCs/>
        </w:rPr>
        <w:t>Local Government Act 1995</w:t>
      </w:r>
      <w:r>
        <w:t xml:space="preserve">, the </w:t>
      </w:r>
      <w:r w:rsidRPr="00C147BB">
        <w:rPr>
          <w:i/>
          <w:iCs/>
        </w:rPr>
        <w:t>Electoral Act 1907</w:t>
      </w:r>
      <w:r>
        <w:t xml:space="preserve"> or the </w:t>
      </w:r>
      <w:r w:rsidRPr="00C147BB">
        <w:rPr>
          <w:i/>
          <w:iCs/>
        </w:rPr>
        <w:t>Commonwealth Electoral Act 1918</w:t>
      </w:r>
      <w:r>
        <w:t>.</w:t>
      </w:r>
    </w:p>
    <w:p w14:paraId="1019BC3F" w14:textId="77777777" w:rsidR="005F0BE5" w:rsidRDefault="005F0BE5" w:rsidP="005F0BE5">
      <w:pPr>
        <w:autoSpaceDE w:val="0"/>
        <w:autoSpaceDN w:val="0"/>
        <w:adjustRightInd w:val="0"/>
        <w:spacing w:after="0"/>
        <w:ind w:left="2268" w:hanging="2268"/>
        <w:jc w:val="both"/>
        <w:rPr>
          <w:rFonts w:cstheme="minorHAnsi"/>
        </w:rPr>
      </w:pPr>
    </w:p>
    <w:p w14:paraId="46577FF3" w14:textId="77777777" w:rsidR="005F0BE5" w:rsidRPr="00C37689" w:rsidRDefault="005F0BE5" w:rsidP="005F0BE5">
      <w:pPr>
        <w:autoSpaceDE w:val="0"/>
        <w:autoSpaceDN w:val="0"/>
        <w:adjustRightInd w:val="0"/>
        <w:spacing w:after="0"/>
        <w:ind w:left="2268" w:hanging="2268"/>
        <w:jc w:val="both"/>
        <w:rPr>
          <w:rFonts w:cstheme="minorHAnsi"/>
        </w:rPr>
      </w:pPr>
      <w:r w:rsidRPr="00C37689">
        <w:rPr>
          <w:rFonts w:cstheme="minorHAnsi"/>
          <w:b/>
          <w:bCs/>
          <w:i/>
          <w:iCs/>
        </w:rPr>
        <w:t>events and functions</w:t>
      </w:r>
      <w:r>
        <w:rPr>
          <w:rFonts w:cstheme="minorHAnsi"/>
        </w:rPr>
        <w:tab/>
      </w:r>
      <w:proofErr w:type="gramStart"/>
      <w:r>
        <w:rPr>
          <w:rFonts w:cstheme="minorHAnsi"/>
        </w:rPr>
        <w:t>means</w:t>
      </w:r>
      <w:proofErr w:type="gramEnd"/>
      <w:r>
        <w:rPr>
          <w:rFonts w:cstheme="minorHAnsi"/>
        </w:rPr>
        <w:t xml:space="preserve"> gatherings for the purpose of discussion, review, acknowledgement, communication, consultation, celebration or promotion of any matter relevant to the Town and/or its stakeholders and may take the form of conferences, workshops, forums, launches, promotional activities, social occasions such as dinners and receptions, including gatherings coordinated or facilitated by the Town or an external entity.</w:t>
      </w:r>
    </w:p>
    <w:p w14:paraId="25D4568F" w14:textId="77777777" w:rsidR="005F0BE5" w:rsidRDefault="005F0BE5" w:rsidP="005F0BE5">
      <w:pPr>
        <w:autoSpaceDE w:val="0"/>
        <w:autoSpaceDN w:val="0"/>
        <w:adjustRightInd w:val="0"/>
        <w:spacing w:after="0"/>
        <w:jc w:val="both"/>
        <w:rPr>
          <w:rFonts w:cstheme="minorHAnsi"/>
        </w:rPr>
      </w:pPr>
    </w:p>
    <w:p w14:paraId="5E097826" w14:textId="77777777" w:rsidR="005F0BE5" w:rsidRDefault="005F0BE5" w:rsidP="005F0BE5">
      <w:pPr>
        <w:tabs>
          <w:tab w:val="left" w:pos="2268"/>
        </w:tabs>
        <w:autoSpaceDE w:val="0"/>
        <w:autoSpaceDN w:val="0"/>
        <w:adjustRightInd w:val="0"/>
        <w:spacing w:after="0"/>
        <w:ind w:left="2268" w:hanging="2268"/>
        <w:jc w:val="both"/>
        <w:rPr>
          <w:rFonts w:cstheme="minorHAnsi"/>
        </w:rPr>
      </w:pPr>
      <w:r>
        <w:rPr>
          <w:rFonts w:cstheme="minorHAnsi"/>
          <w:b/>
          <w:bCs/>
          <w:i/>
          <w:iCs/>
        </w:rPr>
        <w:t>m</w:t>
      </w:r>
      <w:r w:rsidRPr="008416B9">
        <w:rPr>
          <w:rFonts w:cstheme="minorHAnsi"/>
          <w:b/>
          <w:bCs/>
          <w:i/>
          <w:iCs/>
        </w:rPr>
        <w:t xml:space="preserve">ajor </w:t>
      </w:r>
      <w:r>
        <w:rPr>
          <w:rFonts w:cstheme="minorHAnsi"/>
          <w:b/>
          <w:bCs/>
          <w:i/>
          <w:iCs/>
        </w:rPr>
        <w:t>p</w:t>
      </w:r>
      <w:r w:rsidRPr="008416B9">
        <w:rPr>
          <w:rFonts w:cstheme="minorHAnsi"/>
          <w:b/>
          <w:bCs/>
          <w:i/>
          <w:iCs/>
        </w:rPr>
        <w:t xml:space="preserve">olicy </w:t>
      </w:r>
      <w:r>
        <w:rPr>
          <w:rFonts w:cstheme="minorHAnsi"/>
          <w:b/>
          <w:bCs/>
          <w:i/>
          <w:iCs/>
        </w:rPr>
        <w:t>d</w:t>
      </w:r>
      <w:r w:rsidRPr="008416B9">
        <w:rPr>
          <w:rFonts w:cstheme="minorHAnsi"/>
          <w:b/>
          <w:bCs/>
          <w:i/>
          <w:iCs/>
        </w:rPr>
        <w:t>ecision</w:t>
      </w:r>
      <w:r>
        <w:rPr>
          <w:rFonts w:cstheme="minorHAnsi"/>
        </w:rPr>
        <w:tab/>
      </w:r>
      <w:r w:rsidRPr="008416B9">
        <w:rPr>
          <w:rFonts w:cstheme="minorHAnsi"/>
        </w:rPr>
        <w:t xml:space="preserve">excludes anything that constitutes a </w:t>
      </w:r>
      <w:r>
        <w:rPr>
          <w:rFonts w:cstheme="minorHAnsi"/>
        </w:rPr>
        <w:t>s</w:t>
      </w:r>
      <w:r w:rsidRPr="008416B9">
        <w:rPr>
          <w:rFonts w:cstheme="minorHAnsi"/>
        </w:rPr>
        <w:t xml:space="preserve">ignificant </w:t>
      </w:r>
      <w:r>
        <w:rPr>
          <w:rFonts w:cstheme="minorHAnsi"/>
        </w:rPr>
        <w:t>a</w:t>
      </w:r>
      <w:r w:rsidRPr="008416B9">
        <w:rPr>
          <w:rFonts w:cstheme="minorHAnsi"/>
        </w:rPr>
        <w:t xml:space="preserve">ct, means any: </w:t>
      </w:r>
    </w:p>
    <w:p w14:paraId="2C533F98" w14:textId="77777777" w:rsidR="005F0BE5" w:rsidRDefault="005F0BE5" w:rsidP="005F0BE5">
      <w:pPr>
        <w:tabs>
          <w:tab w:val="left" w:pos="2268"/>
        </w:tabs>
        <w:autoSpaceDE w:val="0"/>
        <w:autoSpaceDN w:val="0"/>
        <w:adjustRightInd w:val="0"/>
        <w:spacing w:after="0"/>
        <w:ind w:left="2880" w:hanging="2880"/>
        <w:jc w:val="both"/>
        <w:rPr>
          <w:rFonts w:cstheme="minorHAnsi"/>
        </w:rPr>
      </w:pPr>
      <w:r>
        <w:rPr>
          <w:rFonts w:cstheme="minorHAnsi"/>
          <w:b/>
          <w:bCs/>
          <w:i/>
          <w:iCs/>
        </w:rPr>
        <w:tab/>
      </w:r>
      <w:r w:rsidRPr="008416B9">
        <w:rPr>
          <w:rFonts w:cstheme="minorHAnsi"/>
        </w:rPr>
        <w:t>1.</w:t>
      </w:r>
      <w:r>
        <w:rPr>
          <w:rFonts w:cstheme="minorHAnsi"/>
        </w:rPr>
        <w:tab/>
      </w:r>
      <w:r w:rsidRPr="008416B9">
        <w:rPr>
          <w:rFonts w:cstheme="minorHAnsi"/>
        </w:rPr>
        <w:t xml:space="preserve">Decisions relating to the remuneration of the CEO or any other designated senior </w:t>
      </w:r>
      <w:proofErr w:type="gramStart"/>
      <w:r w:rsidRPr="008416B9">
        <w:rPr>
          <w:rFonts w:cstheme="minorHAnsi"/>
        </w:rPr>
        <w:t>officer;</w:t>
      </w:r>
      <w:proofErr w:type="gramEnd"/>
      <w:r w:rsidRPr="008416B9">
        <w:rPr>
          <w:rFonts w:cstheme="minorHAnsi"/>
        </w:rPr>
        <w:t xml:space="preserve"> </w:t>
      </w:r>
    </w:p>
    <w:p w14:paraId="10BB7261" w14:textId="77777777" w:rsidR="005F0BE5" w:rsidRDefault="005F0BE5" w:rsidP="005F0BE5">
      <w:pPr>
        <w:tabs>
          <w:tab w:val="left" w:pos="2268"/>
        </w:tabs>
        <w:autoSpaceDE w:val="0"/>
        <w:autoSpaceDN w:val="0"/>
        <w:adjustRightInd w:val="0"/>
        <w:spacing w:after="0"/>
        <w:ind w:left="2880" w:hanging="2880"/>
        <w:jc w:val="both"/>
        <w:rPr>
          <w:rFonts w:cstheme="minorHAnsi"/>
        </w:rPr>
      </w:pPr>
      <w:r>
        <w:rPr>
          <w:rFonts w:cstheme="minorHAnsi"/>
        </w:rPr>
        <w:tab/>
      </w:r>
      <w:r w:rsidRPr="008416B9">
        <w:rPr>
          <w:rFonts w:cstheme="minorHAnsi"/>
        </w:rPr>
        <w:t>2.</w:t>
      </w:r>
      <w:r>
        <w:rPr>
          <w:rFonts w:cstheme="minorHAnsi"/>
        </w:rPr>
        <w:tab/>
      </w:r>
      <w:r w:rsidRPr="008416B9">
        <w:rPr>
          <w:rFonts w:cstheme="minorHAnsi"/>
        </w:rPr>
        <w:t xml:space="preserve">Decisions relating to the </w:t>
      </w:r>
      <w:r>
        <w:rPr>
          <w:rFonts w:cstheme="minorHAnsi"/>
        </w:rPr>
        <w:t>Town</w:t>
      </w:r>
      <w:r w:rsidRPr="008416B9">
        <w:rPr>
          <w:rFonts w:cstheme="minorHAnsi"/>
        </w:rPr>
        <w:t xml:space="preserve"> entering into a sponsorship arrangement with </w:t>
      </w:r>
      <w:r>
        <w:rPr>
          <w:rFonts w:cstheme="minorHAnsi"/>
        </w:rPr>
        <w:t xml:space="preserve">Town </w:t>
      </w:r>
      <w:r w:rsidRPr="008416B9">
        <w:rPr>
          <w:rFonts w:cstheme="minorHAnsi"/>
        </w:rPr>
        <w:t xml:space="preserve">residents or community </w:t>
      </w:r>
      <w:proofErr w:type="gramStart"/>
      <w:r w:rsidRPr="008416B9">
        <w:rPr>
          <w:rFonts w:cstheme="minorHAnsi"/>
        </w:rPr>
        <w:t>organisations;</w:t>
      </w:r>
      <w:proofErr w:type="gramEnd"/>
      <w:r w:rsidRPr="008416B9">
        <w:rPr>
          <w:rFonts w:cstheme="minorHAnsi"/>
        </w:rPr>
        <w:t xml:space="preserve"> </w:t>
      </w:r>
    </w:p>
    <w:p w14:paraId="021FA3A5" w14:textId="77777777" w:rsidR="005F0BE5" w:rsidRDefault="005F0BE5" w:rsidP="005F0BE5">
      <w:pPr>
        <w:tabs>
          <w:tab w:val="left" w:pos="2268"/>
        </w:tabs>
        <w:autoSpaceDE w:val="0"/>
        <w:autoSpaceDN w:val="0"/>
        <w:adjustRightInd w:val="0"/>
        <w:spacing w:after="0"/>
        <w:ind w:left="2880" w:hanging="2880"/>
        <w:jc w:val="both"/>
        <w:rPr>
          <w:rFonts w:cstheme="minorHAnsi"/>
        </w:rPr>
      </w:pPr>
      <w:r>
        <w:rPr>
          <w:rFonts w:cstheme="minorHAnsi"/>
        </w:rPr>
        <w:tab/>
      </w:r>
      <w:r w:rsidRPr="008416B9">
        <w:rPr>
          <w:rFonts w:cstheme="minorHAnsi"/>
        </w:rPr>
        <w:t>3.</w:t>
      </w:r>
      <w:r>
        <w:rPr>
          <w:rFonts w:cstheme="minorHAnsi"/>
        </w:rPr>
        <w:tab/>
      </w:r>
      <w:r w:rsidRPr="008416B9">
        <w:rPr>
          <w:rFonts w:cstheme="minorHAnsi"/>
        </w:rPr>
        <w:t xml:space="preserve">Irrevocable decisions that commit the </w:t>
      </w:r>
      <w:r>
        <w:rPr>
          <w:rFonts w:cstheme="minorHAnsi"/>
        </w:rPr>
        <w:t>Town</w:t>
      </w:r>
      <w:r w:rsidRPr="008416B9">
        <w:rPr>
          <w:rFonts w:cstheme="minorHAnsi"/>
        </w:rPr>
        <w:t xml:space="preserve"> to substantial expenditure or significant unforeseen </w:t>
      </w:r>
      <w:proofErr w:type="gramStart"/>
      <w:r w:rsidRPr="008416B9">
        <w:rPr>
          <w:rFonts w:cstheme="minorHAnsi"/>
        </w:rPr>
        <w:t>action;</w:t>
      </w:r>
      <w:proofErr w:type="gramEnd"/>
      <w:r w:rsidRPr="008416B9">
        <w:rPr>
          <w:rFonts w:cstheme="minorHAnsi"/>
        </w:rPr>
        <w:t xml:space="preserve"> </w:t>
      </w:r>
    </w:p>
    <w:p w14:paraId="12D5B175" w14:textId="77777777" w:rsidR="005F0BE5" w:rsidRDefault="005F0BE5" w:rsidP="005F0BE5">
      <w:pPr>
        <w:tabs>
          <w:tab w:val="left" w:pos="2268"/>
        </w:tabs>
        <w:autoSpaceDE w:val="0"/>
        <w:autoSpaceDN w:val="0"/>
        <w:adjustRightInd w:val="0"/>
        <w:spacing w:after="0"/>
        <w:ind w:left="2880" w:hanging="2880"/>
        <w:jc w:val="both"/>
        <w:rPr>
          <w:rFonts w:cstheme="minorHAnsi"/>
        </w:rPr>
      </w:pPr>
      <w:r>
        <w:rPr>
          <w:rFonts w:cstheme="minorHAnsi"/>
        </w:rPr>
        <w:tab/>
      </w:r>
      <w:r w:rsidRPr="008416B9">
        <w:rPr>
          <w:rFonts w:cstheme="minorHAnsi"/>
        </w:rPr>
        <w:t>4.</w:t>
      </w:r>
      <w:r>
        <w:rPr>
          <w:rFonts w:cstheme="minorHAnsi"/>
        </w:rPr>
        <w:tab/>
      </w:r>
      <w:r w:rsidRPr="008416B9">
        <w:rPr>
          <w:rFonts w:cstheme="minorHAnsi"/>
        </w:rPr>
        <w:t xml:space="preserve">Irrevocable decisions that will have unforeseen significant impact on the </w:t>
      </w:r>
      <w:r>
        <w:rPr>
          <w:rFonts w:cstheme="minorHAnsi"/>
        </w:rPr>
        <w:t>Town</w:t>
      </w:r>
      <w:r w:rsidRPr="008416B9">
        <w:rPr>
          <w:rFonts w:cstheme="minorHAnsi"/>
        </w:rPr>
        <w:t xml:space="preserve"> or the </w:t>
      </w:r>
      <w:proofErr w:type="gramStart"/>
      <w:r w:rsidRPr="008416B9">
        <w:rPr>
          <w:rFonts w:cstheme="minorHAnsi"/>
        </w:rPr>
        <w:t>community;</w:t>
      </w:r>
      <w:proofErr w:type="gramEnd"/>
      <w:r w:rsidRPr="008416B9">
        <w:rPr>
          <w:rFonts w:cstheme="minorHAnsi"/>
        </w:rPr>
        <w:t xml:space="preserve"> </w:t>
      </w:r>
    </w:p>
    <w:p w14:paraId="2B05980B" w14:textId="77777777" w:rsidR="005F0BE5" w:rsidRDefault="005F0BE5" w:rsidP="005F0BE5">
      <w:pPr>
        <w:tabs>
          <w:tab w:val="left" w:pos="2268"/>
        </w:tabs>
        <w:autoSpaceDE w:val="0"/>
        <w:autoSpaceDN w:val="0"/>
        <w:adjustRightInd w:val="0"/>
        <w:spacing w:after="0"/>
        <w:ind w:left="2880" w:hanging="2880"/>
        <w:jc w:val="both"/>
        <w:rPr>
          <w:rFonts w:cstheme="minorHAnsi"/>
        </w:rPr>
      </w:pPr>
      <w:r>
        <w:rPr>
          <w:rFonts w:cstheme="minorHAnsi"/>
        </w:rPr>
        <w:tab/>
      </w:r>
      <w:r w:rsidRPr="008416B9">
        <w:rPr>
          <w:rFonts w:cstheme="minorHAnsi"/>
        </w:rPr>
        <w:t>5.</w:t>
      </w:r>
      <w:r>
        <w:rPr>
          <w:rFonts w:cstheme="minorHAnsi"/>
        </w:rPr>
        <w:tab/>
      </w:r>
      <w:r w:rsidRPr="008416B9">
        <w:rPr>
          <w:rFonts w:cstheme="minorHAnsi"/>
        </w:rPr>
        <w:t>Reports requested or initiated by a</w:t>
      </w:r>
      <w:r>
        <w:rPr>
          <w:rFonts w:cstheme="minorHAnsi"/>
        </w:rPr>
        <w:t xml:space="preserve"> council member</w:t>
      </w:r>
      <w:r w:rsidRPr="008416B9">
        <w:rPr>
          <w:rFonts w:cstheme="minorHAnsi"/>
        </w:rPr>
        <w:t xml:space="preserve">, </w:t>
      </w:r>
      <w:r>
        <w:rPr>
          <w:rFonts w:cstheme="minorHAnsi"/>
        </w:rPr>
        <w:t>c</w:t>
      </w:r>
      <w:r w:rsidRPr="008416B9">
        <w:rPr>
          <w:rFonts w:cstheme="minorHAnsi"/>
        </w:rPr>
        <w:t xml:space="preserve">andidate or member of the public that, in the CEO’s opinion, may be perceived within the general community as an issue that adversely reflects upon the Council’s </w:t>
      </w:r>
      <w:proofErr w:type="gramStart"/>
      <w:r w:rsidRPr="008416B9">
        <w:rPr>
          <w:rFonts w:cstheme="minorHAnsi"/>
        </w:rPr>
        <w:t>decision</w:t>
      </w:r>
      <w:r>
        <w:rPr>
          <w:rFonts w:cstheme="minorHAnsi"/>
        </w:rPr>
        <w:t xml:space="preserve"> </w:t>
      </w:r>
      <w:r w:rsidRPr="008416B9">
        <w:rPr>
          <w:rFonts w:cstheme="minorHAnsi"/>
        </w:rPr>
        <w:t>making</w:t>
      </w:r>
      <w:proofErr w:type="gramEnd"/>
      <w:r w:rsidRPr="008416B9">
        <w:rPr>
          <w:rFonts w:cstheme="minorHAnsi"/>
        </w:rPr>
        <w:t xml:space="preserve"> process and has the potential to call into question whether decisions are soundly based and in the best interests of the community.</w:t>
      </w:r>
    </w:p>
    <w:p w14:paraId="10A6B3DE" w14:textId="77777777" w:rsidR="005F0BE5" w:rsidRPr="00C37689" w:rsidRDefault="005F0BE5" w:rsidP="005F0BE5">
      <w:pPr>
        <w:autoSpaceDE w:val="0"/>
        <w:autoSpaceDN w:val="0"/>
        <w:adjustRightInd w:val="0"/>
        <w:spacing w:after="0"/>
        <w:jc w:val="both"/>
        <w:rPr>
          <w:rFonts w:cstheme="minorHAnsi"/>
        </w:rPr>
      </w:pPr>
    </w:p>
    <w:p w14:paraId="664F0544" w14:textId="77777777" w:rsidR="005F0BE5" w:rsidRPr="00C37689" w:rsidRDefault="005F0BE5" w:rsidP="005F0BE5">
      <w:pPr>
        <w:autoSpaceDE w:val="0"/>
        <w:autoSpaceDN w:val="0"/>
        <w:adjustRightInd w:val="0"/>
        <w:spacing w:after="0"/>
        <w:ind w:left="2268" w:hanging="2268"/>
        <w:jc w:val="both"/>
        <w:rPr>
          <w:rFonts w:cstheme="minorHAnsi"/>
        </w:rPr>
      </w:pPr>
      <w:r w:rsidRPr="000821E1">
        <w:rPr>
          <w:rFonts w:cstheme="minorHAnsi"/>
          <w:b/>
          <w:bCs/>
          <w:i/>
          <w:iCs/>
        </w:rPr>
        <w:t>public consultation</w:t>
      </w:r>
      <w:r w:rsidRPr="00C37689">
        <w:rPr>
          <w:rFonts w:cstheme="minorHAnsi"/>
          <w:b/>
          <w:bCs/>
        </w:rPr>
        <w:tab/>
      </w:r>
      <w:r w:rsidRPr="00503072">
        <w:rPr>
          <w:rFonts w:cstheme="minorHAnsi"/>
        </w:rPr>
        <w:t xml:space="preserve">means </w:t>
      </w:r>
      <w:r w:rsidRPr="00C37689">
        <w:rPr>
          <w:rFonts w:cstheme="minorHAnsi"/>
        </w:rPr>
        <w:t xml:space="preserve">a process which involves an invitation to individuals, groups, organisations or the community generally to comment on an issue, proposed action or proposed policy, but does not include consultation required to be undertaken </w:t>
      </w:r>
      <w:proofErr w:type="gramStart"/>
      <w:r w:rsidRPr="00C37689">
        <w:rPr>
          <w:rFonts w:cstheme="minorHAnsi"/>
        </w:rPr>
        <w:t>in order to</w:t>
      </w:r>
      <w:proofErr w:type="gramEnd"/>
      <w:r w:rsidRPr="00C37689">
        <w:rPr>
          <w:rFonts w:cstheme="minorHAnsi"/>
        </w:rPr>
        <w:t xml:space="preserve"> comply with a written law.</w:t>
      </w:r>
    </w:p>
    <w:p w14:paraId="0089F5B2" w14:textId="77777777" w:rsidR="005F0BE5" w:rsidRDefault="005F0BE5" w:rsidP="005F0BE5">
      <w:pPr>
        <w:tabs>
          <w:tab w:val="left" w:pos="2268"/>
        </w:tabs>
        <w:autoSpaceDE w:val="0"/>
        <w:autoSpaceDN w:val="0"/>
        <w:adjustRightInd w:val="0"/>
        <w:spacing w:after="0"/>
        <w:jc w:val="both"/>
        <w:rPr>
          <w:rFonts w:cstheme="minorHAnsi"/>
          <w:b/>
          <w:bCs/>
          <w:i/>
          <w:iCs/>
        </w:rPr>
      </w:pPr>
    </w:p>
    <w:p w14:paraId="47A36808" w14:textId="77777777" w:rsidR="005F0BE5" w:rsidRDefault="005F0BE5" w:rsidP="005F0BE5">
      <w:pPr>
        <w:tabs>
          <w:tab w:val="left" w:pos="2268"/>
        </w:tabs>
        <w:autoSpaceDE w:val="0"/>
        <w:autoSpaceDN w:val="0"/>
        <w:adjustRightInd w:val="0"/>
        <w:spacing w:after="0"/>
        <w:jc w:val="both"/>
        <w:rPr>
          <w:rFonts w:cstheme="minorHAnsi"/>
          <w:b/>
          <w:bCs/>
          <w:i/>
          <w:iCs/>
        </w:rPr>
      </w:pPr>
      <w:r>
        <w:rPr>
          <w:rFonts w:cstheme="minorHAnsi"/>
          <w:b/>
          <w:bCs/>
          <w:i/>
          <w:iCs/>
        </w:rPr>
        <w:t>Prevailing</w:t>
      </w:r>
      <w:r w:rsidRPr="005334FF">
        <w:rPr>
          <w:rFonts w:cstheme="minorHAnsi"/>
          <w:b/>
          <w:bCs/>
          <w:i/>
          <w:iCs/>
        </w:rPr>
        <w:t xml:space="preserve"> </w:t>
      </w:r>
      <w:r>
        <w:rPr>
          <w:rFonts w:cstheme="minorHAnsi"/>
          <w:b/>
          <w:bCs/>
          <w:i/>
          <w:iCs/>
        </w:rPr>
        <w:t xml:space="preserve">Circumstances </w:t>
      </w:r>
      <w:r>
        <w:rPr>
          <w:rFonts w:cstheme="minorHAnsi"/>
        </w:rPr>
        <w:t xml:space="preserve">is defined by clause 8 of this policy. </w:t>
      </w:r>
      <w:r w:rsidRPr="005334FF">
        <w:rPr>
          <w:rFonts w:cstheme="minorHAnsi"/>
          <w:b/>
          <w:bCs/>
          <w:i/>
          <w:iCs/>
        </w:rPr>
        <w:tab/>
      </w:r>
    </w:p>
    <w:p w14:paraId="62DAE7DA" w14:textId="77777777" w:rsidR="005F0BE5" w:rsidRPr="00C37689" w:rsidRDefault="005F0BE5" w:rsidP="005F0BE5">
      <w:pPr>
        <w:autoSpaceDE w:val="0"/>
        <w:autoSpaceDN w:val="0"/>
        <w:adjustRightInd w:val="0"/>
        <w:spacing w:after="0"/>
        <w:jc w:val="both"/>
        <w:rPr>
          <w:rFonts w:cstheme="minorHAnsi"/>
        </w:rPr>
      </w:pPr>
    </w:p>
    <w:p w14:paraId="02FD7F8C" w14:textId="77777777" w:rsidR="005F0BE5" w:rsidRDefault="005F0BE5" w:rsidP="005F0BE5">
      <w:pPr>
        <w:autoSpaceDE w:val="0"/>
        <w:autoSpaceDN w:val="0"/>
        <w:adjustRightInd w:val="0"/>
        <w:spacing w:after="0"/>
        <w:ind w:left="2268" w:hanging="2268"/>
        <w:jc w:val="both"/>
        <w:rPr>
          <w:rFonts w:cstheme="minorHAnsi"/>
        </w:rPr>
      </w:pPr>
      <w:r w:rsidRPr="000821E1">
        <w:rPr>
          <w:rFonts w:cstheme="minorHAnsi"/>
          <w:b/>
          <w:bCs/>
          <w:i/>
          <w:iCs/>
        </w:rPr>
        <w:t>significant act</w:t>
      </w:r>
      <w:r>
        <w:rPr>
          <w:rFonts w:cstheme="minorHAnsi"/>
        </w:rPr>
        <w:tab/>
        <w:t>has the meaning given in section 3.73 (1) of the Act.</w:t>
      </w:r>
    </w:p>
    <w:p w14:paraId="392EC850" w14:textId="77777777" w:rsidR="005F0BE5" w:rsidRDefault="005F0BE5" w:rsidP="005F0BE5">
      <w:pPr>
        <w:autoSpaceDE w:val="0"/>
        <w:autoSpaceDN w:val="0"/>
        <w:adjustRightInd w:val="0"/>
        <w:spacing w:after="0"/>
        <w:ind w:left="2552" w:hanging="2552"/>
        <w:jc w:val="both"/>
        <w:rPr>
          <w:rFonts w:cstheme="minorHAnsi"/>
        </w:rPr>
      </w:pPr>
      <w:r w:rsidRPr="000C14CA">
        <w:rPr>
          <w:rFonts w:cstheme="minorHAnsi"/>
          <w:noProof/>
        </w:rPr>
        <w:lastRenderedPageBreak/>
        <mc:AlternateContent>
          <mc:Choice Requires="wps">
            <w:drawing>
              <wp:anchor distT="45720" distB="45720" distL="114300" distR="114300" simplePos="0" relativeHeight="251712512" behindDoc="0" locked="0" layoutInCell="1" allowOverlap="1" wp14:anchorId="0885327C" wp14:editId="78EE700C">
                <wp:simplePos x="0" y="0"/>
                <wp:positionH relativeFrom="margin">
                  <wp:align>right</wp:align>
                </wp:positionH>
                <wp:positionV relativeFrom="paragraph">
                  <wp:posOffset>0</wp:posOffset>
                </wp:positionV>
                <wp:extent cx="6124575" cy="7781925"/>
                <wp:effectExtent l="0" t="0" r="28575" b="28575"/>
                <wp:wrapTopAndBottom/>
                <wp:docPr id="1375553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7781925"/>
                        </a:xfrm>
                        <a:prstGeom prst="rect">
                          <a:avLst/>
                        </a:prstGeom>
                        <a:solidFill>
                          <a:schemeClr val="bg2"/>
                        </a:solidFill>
                        <a:ln w="9525">
                          <a:solidFill>
                            <a:srgbClr val="000000"/>
                          </a:solidFill>
                          <a:miter lim="800000"/>
                          <a:headEnd/>
                          <a:tailEnd/>
                        </a:ln>
                      </wps:spPr>
                      <wps:txbx>
                        <w:txbxContent>
                          <w:p w14:paraId="388D0A7B" w14:textId="77777777" w:rsidR="005F0BE5" w:rsidRDefault="005F0BE5" w:rsidP="005F0BE5">
                            <w:pPr>
                              <w:tabs>
                                <w:tab w:val="left" w:pos="851"/>
                              </w:tabs>
                              <w:autoSpaceDE w:val="0"/>
                              <w:autoSpaceDN w:val="0"/>
                              <w:adjustRightInd w:val="0"/>
                              <w:spacing w:after="0"/>
                              <w:ind w:left="1215" w:hanging="1215"/>
                              <w:jc w:val="center"/>
                              <w:rPr>
                                <w:rFonts w:cstheme="minorHAnsi"/>
                                <w:b/>
                                <w:bCs/>
                              </w:rPr>
                            </w:pPr>
                            <w:r w:rsidRPr="006F5B0F">
                              <w:rPr>
                                <w:rFonts w:cstheme="minorHAnsi"/>
                                <w:b/>
                                <w:bCs/>
                              </w:rPr>
                              <w:t>Division 5 — Caretaker period</w:t>
                            </w:r>
                          </w:p>
                          <w:p w14:paraId="15D7E701" w14:textId="77777777" w:rsidR="005F0BE5" w:rsidRDefault="005F0BE5" w:rsidP="005F0BE5">
                            <w:pPr>
                              <w:tabs>
                                <w:tab w:val="left" w:pos="851"/>
                              </w:tabs>
                              <w:autoSpaceDE w:val="0"/>
                              <w:autoSpaceDN w:val="0"/>
                              <w:adjustRightInd w:val="0"/>
                              <w:spacing w:after="0"/>
                              <w:ind w:left="1215" w:hanging="1215"/>
                              <w:jc w:val="center"/>
                              <w:rPr>
                                <w:rFonts w:cstheme="minorHAnsi"/>
                                <w:b/>
                                <w:bCs/>
                              </w:rPr>
                            </w:pPr>
                          </w:p>
                          <w:p w14:paraId="16C5CE6F" w14:textId="77777777" w:rsidR="005F0BE5" w:rsidRPr="008617A2" w:rsidRDefault="005F0BE5" w:rsidP="005F0BE5">
                            <w:pPr>
                              <w:tabs>
                                <w:tab w:val="left" w:pos="851"/>
                              </w:tabs>
                              <w:autoSpaceDE w:val="0"/>
                              <w:autoSpaceDN w:val="0"/>
                              <w:adjustRightInd w:val="0"/>
                              <w:spacing w:after="0"/>
                              <w:ind w:left="1215" w:hanging="1215"/>
                              <w:jc w:val="both"/>
                              <w:rPr>
                                <w:rFonts w:cstheme="minorHAnsi"/>
                                <w:b/>
                                <w:bCs/>
                              </w:rPr>
                            </w:pPr>
                            <w:r w:rsidRPr="008617A2">
                              <w:rPr>
                                <w:rFonts w:cstheme="minorHAnsi"/>
                                <w:b/>
                                <w:bCs/>
                              </w:rPr>
                              <w:t>3.73 Restrictions on what local government may do during caretaker period</w:t>
                            </w:r>
                          </w:p>
                          <w:p w14:paraId="3D8D2D39" w14:textId="77777777" w:rsidR="005F0BE5" w:rsidRPr="008617A2" w:rsidRDefault="005F0BE5" w:rsidP="005F0BE5">
                            <w:pPr>
                              <w:tabs>
                                <w:tab w:val="left" w:pos="851"/>
                              </w:tabs>
                              <w:autoSpaceDE w:val="0"/>
                              <w:autoSpaceDN w:val="0"/>
                              <w:adjustRightInd w:val="0"/>
                              <w:spacing w:after="0"/>
                              <w:ind w:left="1215" w:hanging="855"/>
                              <w:jc w:val="both"/>
                            </w:pPr>
                          </w:p>
                          <w:p w14:paraId="6C0CC6AF" w14:textId="77777777" w:rsidR="005F0BE5" w:rsidRPr="008617A2" w:rsidRDefault="005F0BE5" w:rsidP="007B3B6F">
                            <w:pPr>
                              <w:pStyle w:val="ListParagraph"/>
                              <w:numPr>
                                <w:ilvl w:val="0"/>
                                <w:numId w:val="561"/>
                              </w:numPr>
                              <w:tabs>
                                <w:tab w:val="left" w:pos="851"/>
                              </w:tabs>
                              <w:autoSpaceDE w:val="0"/>
                              <w:autoSpaceDN w:val="0"/>
                              <w:adjustRightInd w:val="0"/>
                              <w:spacing w:after="0"/>
                              <w:jc w:val="both"/>
                              <w:rPr>
                                <w:rFonts w:cstheme="minorHAnsi"/>
                              </w:rPr>
                            </w:pPr>
                            <w:r w:rsidRPr="008617A2">
                              <w:rPr>
                                <w:rFonts w:cstheme="minorHAnsi"/>
                              </w:rPr>
                              <w:t xml:space="preserve">In this section – </w:t>
                            </w:r>
                          </w:p>
                          <w:p w14:paraId="412F25C1" w14:textId="77777777" w:rsidR="005F0BE5" w:rsidRPr="008617A2" w:rsidRDefault="005F0BE5" w:rsidP="005F0BE5">
                            <w:pPr>
                              <w:tabs>
                                <w:tab w:val="left" w:pos="2268"/>
                              </w:tabs>
                              <w:autoSpaceDE w:val="0"/>
                              <w:autoSpaceDN w:val="0"/>
                              <w:adjustRightInd w:val="0"/>
                              <w:spacing w:after="0"/>
                              <w:ind w:left="3119" w:hanging="3119"/>
                              <w:jc w:val="both"/>
                              <w:rPr>
                                <w:rFonts w:cstheme="minorHAnsi"/>
                                <w:b/>
                                <w:bCs/>
                                <w:highlight w:val="yellow"/>
                              </w:rPr>
                            </w:pPr>
                          </w:p>
                          <w:p w14:paraId="48C83275" w14:textId="77777777" w:rsidR="005F0BE5" w:rsidRPr="00CD581B" w:rsidRDefault="005F0BE5" w:rsidP="005F0BE5">
                            <w:pPr>
                              <w:autoSpaceDE w:val="0"/>
                              <w:autoSpaceDN w:val="0"/>
                              <w:adjustRightInd w:val="0"/>
                              <w:spacing w:after="0"/>
                              <w:ind w:left="2552" w:hanging="2126"/>
                              <w:jc w:val="both"/>
                              <w:rPr>
                                <w:rFonts w:cstheme="minorHAnsi"/>
                                <w:b/>
                                <w:bCs/>
                              </w:rPr>
                            </w:pPr>
                            <w:r w:rsidRPr="00CD581B">
                              <w:rPr>
                                <w:rFonts w:cstheme="minorHAnsi"/>
                                <w:b/>
                                <w:bCs/>
                                <w:i/>
                                <w:iCs/>
                              </w:rPr>
                              <w:t>emergency</w:t>
                            </w:r>
                            <w:r w:rsidRPr="00CD581B">
                              <w:rPr>
                                <w:rFonts w:cstheme="minorHAnsi"/>
                                <w:b/>
                                <w:bCs/>
                              </w:rPr>
                              <w:t xml:space="preserve"> </w:t>
                            </w:r>
                            <w:r w:rsidRPr="00CD581B">
                              <w:rPr>
                                <w:rFonts w:cstheme="minorHAnsi"/>
                              </w:rPr>
                              <w:t>means</w:t>
                            </w:r>
                            <w:r w:rsidRPr="00CD581B">
                              <w:rPr>
                                <w:rFonts w:cstheme="minorHAnsi"/>
                                <w:b/>
                                <w:bCs/>
                              </w:rPr>
                              <w:tab/>
                            </w:r>
                          </w:p>
                          <w:p w14:paraId="43448812" w14:textId="77777777" w:rsidR="005F0BE5" w:rsidRPr="00CD581B" w:rsidRDefault="005F0BE5" w:rsidP="005F0BE5">
                            <w:pPr>
                              <w:autoSpaceDE w:val="0"/>
                              <w:autoSpaceDN w:val="0"/>
                              <w:adjustRightInd w:val="0"/>
                              <w:spacing w:after="0"/>
                              <w:ind w:left="2552" w:hanging="2126"/>
                              <w:jc w:val="both"/>
                              <w:rPr>
                                <w:rFonts w:cstheme="minorHAnsi"/>
                              </w:rPr>
                            </w:pPr>
                          </w:p>
                          <w:p w14:paraId="37250503" w14:textId="77777777" w:rsidR="005F0BE5" w:rsidRPr="00CD581B" w:rsidRDefault="005F0BE5" w:rsidP="007B3B6F">
                            <w:pPr>
                              <w:pStyle w:val="ListParagraph"/>
                              <w:numPr>
                                <w:ilvl w:val="0"/>
                                <w:numId w:val="564"/>
                              </w:numPr>
                              <w:autoSpaceDE w:val="0"/>
                              <w:autoSpaceDN w:val="0"/>
                              <w:adjustRightInd w:val="0"/>
                              <w:spacing w:after="0"/>
                              <w:jc w:val="both"/>
                              <w:rPr>
                                <w:rFonts w:cstheme="minorHAnsi"/>
                              </w:rPr>
                            </w:pPr>
                            <w:r w:rsidRPr="00CD581B">
                              <w:rPr>
                                <w:rFonts w:cstheme="minorHAnsi"/>
                              </w:rPr>
                              <w:t xml:space="preserve">the occurrence, or imminent occurrence, of an event, situation or condition that is a hazard under the definition of that term in the </w:t>
                            </w:r>
                            <w:r w:rsidRPr="00CD581B">
                              <w:rPr>
                                <w:rFonts w:cstheme="minorHAnsi"/>
                                <w:i/>
                                <w:iCs/>
                              </w:rPr>
                              <w:t>Emergency Management Act 2005</w:t>
                            </w:r>
                            <w:r w:rsidRPr="00CD581B">
                              <w:rPr>
                                <w:rFonts w:cstheme="minorHAnsi"/>
                              </w:rPr>
                              <w:t xml:space="preserve"> section 3; or</w:t>
                            </w:r>
                          </w:p>
                          <w:p w14:paraId="223E2234" w14:textId="77777777" w:rsidR="005F0BE5" w:rsidRPr="00CD581B" w:rsidRDefault="005F0BE5" w:rsidP="007B3B6F">
                            <w:pPr>
                              <w:pStyle w:val="ListParagraph"/>
                              <w:numPr>
                                <w:ilvl w:val="0"/>
                                <w:numId w:val="564"/>
                              </w:numPr>
                              <w:autoSpaceDE w:val="0"/>
                              <w:autoSpaceDN w:val="0"/>
                              <w:adjustRightInd w:val="0"/>
                              <w:spacing w:after="0"/>
                              <w:jc w:val="both"/>
                              <w:rPr>
                                <w:rFonts w:cstheme="minorHAnsi"/>
                              </w:rPr>
                            </w:pPr>
                            <w:r w:rsidRPr="00CD581B">
                              <w:rPr>
                                <w:rFonts w:cstheme="minorHAnsi"/>
                              </w:rPr>
                              <w:t xml:space="preserve">a public health emergency as defined in the </w:t>
                            </w:r>
                            <w:r w:rsidRPr="00CD581B">
                              <w:rPr>
                                <w:rFonts w:cstheme="minorHAnsi"/>
                                <w:i/>
                                <w:iCs/>
                              </w:rPr>
                              <w:t>Public Health Act 2016</w:t>
                            </w:r>
                            <w:r w:rsidRPr="00CD581B">
                              <w:rPr>
                                <w:rFonts w:cstheme="minorHAnsi"/>
                              </w:rPr>
                              <w:t xml:space="preserve"> section 4(1)</w:t>
                            </w:r>
                          </w:p>
                          <w:p w14:paraId="44B2DDC3" w14:textId="77777777" w:rsidR="005F0BE5" w:rsidRPr="00CD581B" w:rsidRDefault="005F0BE5" w:rsidP="005F0BE5">
                            <w:pPr>
                              <w:autoSpaceDE w:val="0"/>
                              <w:autoSpaceDN w:val="0"/>
                              <w:adjustRightInd w:val="0"/>
                              <w:spacing w:after="0"/>
                              <w:ind w:left="2268" w:hanging="2268"/>
                              <w:jc w:val="both"/>
                              <w:rPr>
                                <w:rFonts w:cstheme="minorHAnsi"/>
                                <w:b/>
                                <w:bCs/>
                                <w:i/>
                                <w:iCs/>
                              </w:rPr>
                            </w:pPr>
                          </w:p>
                          <w:p w14:paraId="1CF25683" w14:textId="77777777" w:rsidR="005F0BE5" w:rsidRPr="00CD581B" w:rsidRDefault="005F0BE5" w:rsidP="005F0BE5">
                            <w:pPr>
                              <w:autoSpaceDE w:val="0"/>
                              <w:autoSpaceDN w:val="0"/>
                              <w:adjustRightInd w:val="0"/>
                              <w:spacing w:after="0"/>
                              <w:ind w:left="2268" w:hanging="1842"/>
                              <w:jc w:val="both"/>
                              <w:rPr>
                                <w:rFonts w:cstheme="minorHAnsi"/>
                              </w:rPr>
                            </w:pPr>
                            <w:r w:rsidRPr="00CD581B">
                              <w:rPr>
                                <w:rFonts w:cstheme="minorHAnsi"/>
                                <w:b/>
                                <w:bCs/>
                                <w:i/>
                                <w:iCs/>
                              </w:rPr>
                              <w:t>land transaction</w:t>
                            </w:r>
                            <w:r w:rsidRPr="00CD581B">
                              <w:rPr>
                                <w:rFonts w:cstheme="minorHAnsi"/>
                              </w:rPr>
                              <w:t xml:space="preserve"> has the meaning given in section 3.59(1)</w:t>
                            </w:r>
                          </w:p>
                          <w:p w14:paraId="17ED9CCF" w14:textId="77777777" w:rsidR="005F0BE5" w:rsidRPr="00CD581B" w:rsidRDefault="005F0BE5" w:rsidP="005F0BE5">
                            <w:pPr>
                              <w:autoSpaceDE w:val="0"/>
                              <w:autoSpaceDN w:val="0"/>
                              <w:adjustRightInd w:val="0"/>
                              <w:spacing w:after="0"/>
                              <w:jc w:val="both"/>
                              <w:rPr>
                                <w:rFonts w:cstheme="minorHAnsi"/>
                              </w:rPr>
                            </w:pPr>
                          </w:p>
                          <w:p w14:paraId="11A5740A" w14:textId="77777777" w:rsidR="005F0BE5" w:rsidRPr="00CD581B" w:rsidRDefault="005F0BE5" w:rsidP="005F0BE5">
                            <w:pPr>
                              <w:autoSpaceDE w:val="0"/>
                              <w:autoSpaceDN w:val="0"/>
                              <w:adjustRightInd w:val="0"/>
                              <w:spacing w:after="0"/>
                              <w:ind w:left="2268" w:hanging="1842"/>
                              <w:jc w:val="both"/>
                              <w:rPr>
                                <w:rFonts w:cstheme="minorHAnsi"/>
                              </w:rPr>
                            </w:pPr>
                            <w:r w:rsidRPr="00CD581B">
                              <w:rPr>
                                <w:rFonts w:cstheme="minorHAnsi"/>
                                <w:b/>
                                <w:bCs/>
                                <w:i/>
                                <w:iCs/>
                              </w:rPr>
                              <w:t>major land transaction</w:t>
                            </w:r>
                            <w:r w:rsidRPr="00CD581B">
                              <w:rPr>
                                <w:rFonts w:cstheme="minorHAnsi"/>
                              </w:rPr>
                              <w:t xml:space="preserve"> has the meaning given in section 3.59(1)</w:t>
                            </w:r>
                          </w:p>
                          <w:p w14:paraId="13615803" w14:textId="77777777" w:rsidR="005F0BE5" w:rsidRPr="00CD581B" w:rsidRDefault="005F0BE5" w:rsidP="005F0BE5">
                            <w:pPr>
                              <w:autoSpaceDE w:val="0"/>
                              <w:autoSpaceDN w:val="0"/>
                              <w:adjustRightInd w:val="0"/>
                              <w:spacing w:after="0"/>
                              <w:jc w:val="both"/>
                              <w:rPr>
                                <w:rFonts w:cstheme="minorHAnsi"/>
                              </w:rPr>
                            </w:pPr>
                          </w:p>
                          <w:p w14:paraId="187A1D4B" w14:textId="77777777" w:rsidR="005F0BE5" w:rsidRPr="008617A2" w:rsidRDefault="005F0BE5" w:rsidP="005F0BE5">
                            <w:pPr>
                              <w:autoSpaceDE w:val="0"/>
                              <w:autoSpaceDN w:val="0"/>
                              <w:adjustRightInd w:val="0"/>
                              <w:spacing w:after="0"/>
                              <w:ind w:firstLine="426"/>
                              <w:jc w:val="both"/>
                              <w:rPr>
                                <w:rFonts w:cstheme="minorHAnsi"/>
                              </w:rPr>
                            </w:pPr>
                            <w:r w:rsidRPr="00CD581B">
                              <w:rPr>
                                <w:rFonts w:cstheme="minorHAnsi"/>
                                <w:b/>
                                <w:bCs/>
                                <w:i/>
                                <w:iCs/>
                              </w:rPr>
                              <w:t>major trading undertaking</w:t>
                            </w:r>
                            <w:r w:rsidRPr="00CD581B">
                              <w:rPr>
                                <w:rFonts w:cstheme="minorHAnsi"/>
                              </w:rPr>
                              <w:tab/>
                              <w:t>has the meaning given in section 3.59(1</w:t>
                            </w:r>
                            <w:r>
                              <w:rPr>
                                <w:rFonts w:cstheme="minorHAnsi"/>
                              </w:rPr>
                              <w:t>)</w:t>
                            </w:r>
                            <w:r w:rsidRPr="00CD581B">
                              <w:rPr>
                                <w:rFonts w:cstheme="minorHAnsi"/>
                              </w:rPr>
                              <w:t xml:space="preserve"> </w:t>
                            </w:r>
                          </w:p>
                          <w:p w14:paraId="1FC2948C" w14:textId="77777777" w:rsidR="005F0BE5" w:rsidRPr="008617A2" w:rsidRDefault="005F0BE5" w:rsidP="005F0BE5">
                            <w:pPr>
                              <w:tabs>
                                <w:tab w:val="left" w:pos="851"/>
                              </w:tabs>
                              <w:autoSpaceDE w:val="0"/>
                              <w:autoSpaceDN w:val="0"/>
                              <w:adjustRightInd w:val="0"/>
                              <w:spacing w:after="0"/>
                              <w:ind w:left="360"/>
                              <w:jc w:val="both"/>
                              <w:rPr>
                                <w:rFonts w:cstheme="minorHAnsi"/>
                              </w:rPr>
                            </w:pPr>
                          </w:p>
                          <w:p w14:paraId="06C99196" w14:textId="77777777" w:rsidR="005F0BE5" w:rsidRPr="008617A2" w:rsidRDefault="005F0BE5" w:rsidP="005F0BE5">
                            <w:pPr>
                              <w:tabs>
                                <w:tab w:val="left" w:pos="851"/>
                              </w:tabs>
                              <w:autoSpaceDE w:val="0"/>
                              <w:autoSpaceDN w:val="0"/>
                              <w:adjustRightInd w:val="0"/>
                              <w:spacing w:after="0"/>
                              <w:ind w:left="360"/>
                              <w:jc w:val="both"/>
                              <w:rPr>
                                <w:rFonts w:cstheme="minorHAnsi"/>
                              </w:rPr>
                            </w:pPr>
                            <w:r w:rsidRPr="00F41627">
                              <w:rPr>
                                <w:rFonts w:cstheme="minorHAnsi"/>
                                <w:b/>
                                <w:bCs/>
                                <w:i/>
                                <w:iCs/>
                              </w:rPr>
                              <w:t>significant act</w:t>
                            </w:r>
                            <w:r w:rsidRPr="008617A2">
                              <w:rPr>
                                <w:rFonts w:cstheme="minorHAnsi"/>
                              </w:rPr>
                              <w:t xml:space="preserve"> means any of the following -</w:t>
                            </w:r>
                          </w:p>
                          <w:p w14:paraId="7DE2C8FB" w14:textId="77777777" w:rsidR="005F0BE5" w:rsidRPr="008617A2" w:rsidRDefault="005F0BE5" w:rsidP="005F0BE5">
                            <w:pPr>
                              <w:tabs>
                                <w:tab w:val="left" w:pos="851"/>
                              </w:tabs>
                              <w:autoSpaceDE w:val="0"/>
                              <w:autoSpaceDN w:val="0"/>
                              <w:adjustRightInd w:val="0"/>
                              <w:spacing w:after="0"/>
                              <w:ind w:left="360"/>
                              <w:jc w:val="both"/>
                              <w:rPr>
                                <w:rFonts w:cstheme="minorHAnsi"/>
                              </w:rPr>
                            </w:pPr>
                          </w:p>
                          <w:p w14:paraId="00454CCF"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(a) </w:t>
                            </w:r>
                            <w:r w:rsidRPr="008617A2">
                              <w:rPr>
                                <w:rFonts w:cstheme="minorHAnsi"/>
                              </w:rPr>
                              <w:tab/>
                              <w:t>making a local law (including making a local law to amend or repeal a local law);</w:t>
                            </w:r>
                          </w:p>
                          <w:p w14:paraId="7DA04BFB"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(b) </w:t>
                            </w:r>
                            <w:r w:rsidRPr="008617A2">
                              <w:rPr>
                                <w:rFonts w:cstheme="minorHAnsi"/>
                              </w:rPr>
                              <w:tab/>
                              <w:t>entering into, or renewing or terminating, the contract of employment of the CEO or of a senior employee;</w:t>
                            </w:r>
                          </w:p>
                          <w:p w14:paraId="098FD187"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(c) </w:t>
                            </w:r>
                            <w:r w:rsidRPr="008617A2">
                              <w:rPr>
                                <w:rFonts w:cstheme="minorHAnsi"/>
                              </w:rPr>
                              <w:tab/>
                              <w:t>entering into a major land transaction;</w:t>
                            </w:r>
                          </w:p>
                          <w:p w14:paraId="6D65D4C6"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(d) </w:t>
                            </w:r>
                            <w:r w:rsidRPr="008617A2">
                              <w:rPr>
                                <w:rFonts w:cstheme="minorHAnsi"/>
                              </w:rPr>
                              <w:tab/>
                              <w:t>entering into a land transaction that is preparatory to entry into a major land transaction;</w:t>
                            </w:r>
                          </w:p>
                          <w:p w14:paraId="76A09AA0"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(e) </w:t>
                            </w:r>
                            <w:r w:rsidRPr="008617A2">
                              <w:rPr>
                                <w:rFonts w:cstheme="minorHAnsi"/>
                              </w:rPr>
                              <w:tab/>
                              <w:t>commencing a major trading undertaking</w:t>
                            </w:r>
                          </w:p>
                          <w:p w14:paraId="0A58DF25"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(f)</w:t>
                            </w:r>
                            <w:r w:rsidRPr="008617A2">
                              <w:rPr>
                                <w:rFonts w:cstheme="minorHAnsi"/>
                              </w:rPr>
                              <w:tab/>
                              <w:t>entering into a contract, or other agreement or arrangement, in prescribed circumstances;</w:t>
                            </w:r>
                          </w:p>
                          <w:p w14:paraId="0E753B07"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(g)</w:t>
                            </w:r>
                            <w:r w:rsidRPr="008617A2">
                              <w:rPr>
                                <w:rFonts w:cstheme="minorHAnsi"/>
                              </w:rPr>
                              <w:tab/>
                              <w:t>inviting tenders in prescribed circumstances;</w:t>
                            </w:r>
                          </w:p>
                          <w:p w14:paraId="426631F1"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(h)</w:t>
                            </w:r>
                            <w:r w:rsidRPr="008617A2">
                              <w:rPr>
                                <w:rFonts w:cstheme="minorHAnsi"/>
                              </w:rPr>
                              <w:tab/>
                              <w:t>deciding to do anything referred to in paragraphs (a) to (g);</w:t>
                            </w:r>
                          </w:p>
                          <w:p w14:paraId="6596BF71"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(i)</w:t>
                            </w:r>
                            <w:r w:rsidRPr="008617A2">
                              <w:rPr>
                                <w:rFonts w:cstheme="minorHAnsi"/>
                              </w:rPr>
                              <w:tab/>
                              <w:t>an act done under a written law or otherwise that is a prescribed act.</w:t>
                            </w:r>
                          </w:p>
                          <w:p w14:paraId="633B4A89" w14:textId="77777777" w:rsidR="005F0BE5" w:rsidRDefault="005F0BE5" w:rsidP="005F0BE5"/>
                          <w:p w14:paraId="74A7469A" w14:textId="77777777" w:rsidR="005F0BE5" w:rsidRDefault="005F0BE5" w:rsidP="007B3B6F">
                            <w:pPr>
                              <w:pStyle w:val="ListParagraph"/>
                              <w:numPr>
                                <w:ilvl w:val="0"/>
                                <w:numId w:val="561"/>
                              </w:numPr>
                              <w:tabs>
                                <w:tab w:val="left" w:pos="851"/>
                              </w:tabs>
                              <w:autoSpaceDE w:val="0"/>
                              <w:autoSpaceDN w:val="0"/>
                              <w:adjustRightInd w:val="0"/>
                              <w:spacing w:after="0"/>
                              <w:jc w:val="both"/>
                              <w:rPr>
                                <w:rFonts w:cstheme="minorHAnsi"/>
                              </w:rPr>
                            </w:pPr>
                            <w:r w:rsidRPr="009A728E">
                              <w:rPr>
                                <w:rFonts w:cstheme="minorHAnsi"/>
                              </w:rPr>
                              <w:t xml:space="preserve">During a caretaker period, a local government must not do a significant act. </w:t>
                            </w:r>
                          </w:p>
                          <w:p w14:paraId="504C842C" w14:textId="77777777" w:rsidR="005F0BE5" w:rsidRDefault="005F0BE5" w:rsidP="005F0BE5">
                            <w:pPr>
                              <w:pStyle w:val="ListParagraph"/>
                              <w:tabs>
                                <w:tab w:val="left" w:pos="851"/>
                              </w:tabs>
                              <w:autoSpaceDE w:val="0"/>
                              <w:autoSpaceDN w:val="0"/>
                              <w:adjustRightInd w:val="0"/>
                              <w:spacing w:after="0"/>
                              <w:ind w:left="1215"/>
                              <w:jc w:val="both"/>
                              <w:rPr>
                                <w:rFonts w:cstheme="minorHAnsi"/>
                              </w:rPr>
                            </w:pPr>
                          </w:p>
                          <w:p w14:paraId="22775A23" w14:textId="77777777" w:rsidR="005F0BE5" w:rsidRDefault="005F0BE5" w:rsidP="007B3B6F">
                            <w:pPr>
                              <w:pStyle w:val="ListParagraph"/>
                              <w:numPr>
                                <w:ilvl w:val="0"/>
                                <w:numId w:val="561"/>
                              </w:numPr>
                              <w:tabs>
                                <w:tab w:val="left" w:pos="851"/>
                              </w:tabs>
                              <w:autoSpaceDE w:val="0"/>
                              <w:autoSpaceDN w:val="0"/>
                              <w:adjustRightInd w:val="0"/>
                              <w:spacing w:after="0"/>
                              <w:jc w:val="both"/>
                              <w:rPr>
                                <w:rFonts w:cstheme="minorHAnsi"/>
                              </w:rPr>
                            </w:pPr>
                            <w:r w:rsidRPr="009A728E">
                              <w:rPr>
                                <w:rFonts w:cstheme="minorHAnsi"/>
                              </w:rPr>
                              <w:t xml:space="preserve">Subsections (4) to (6) apply despite subsection (2).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5327C" id="Text Box 2" o:spid="_x0000_s1027" type="#_x0000_t202" style="position:absolute;left:0;text-align:left;margin-left:431.05pt;margin-top:0;width:482.25pt;height:612.75pt;z-index:251712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" fillcolor="#eeece1 [3214]">
                <v:textbox>
                  <w:txbxContent>
                    <w:p w14:paraId="388D0A7B" w14:textId="77777777" w:rsidR="005F0BE5" w:rsidRDefault="005F0BE5" w:rsidP="005F0BE5">
                      <w:pPr>
                        <w:tabs>
                          <w:tab w:val="left" w:pos="851"/>
                        </w:tabs>
                        <w:autoSpaceDE w:val="0"/>
                        <w:autoSpaceDN w:val="0"/>
                        <w:adjustRightInd w:val="0"/>
                        <w:spacing w:after="0"/>
                        <w:ind w:left="1215" w:hanging="1215"/>
                        <w:jc w:val="center"/>
                        <w:rPr>
                          <w:rFonts w:cstheme="minorHAnsi"/>
                          <w:b/>
                          <w:bCs/>
                        </w:rPr>
                      </w:pPr>
                      <w:r w:rsidRPr="006F5B0F">
                        <w:rPr>
                          <w:rFonts w:cstheme="minorHAnsi"/>
                          <w:b/>
                          <w:bCs/>
                        </w:rPr>
                        <w:t>Division 5 — Caretaker period</w:t>
                      </w:r>
                    </w:p>
                    <w:p w14:paraId="15D7E701" w14:textId="77777777" w:rsidR="005F0BE5" w:rsidRDefault="005F0BE5" w:rsidP="005F0BE5">
                      <w:pPr>
                        <w:tabs>
                          <w:tab w:val="left" w:pos="851"/>
                        </w:tabs>
                        <w:autoSpaceDE w:val="0"/>
                        <w:autoSpaceDN w:val="0"/>
                        <w:adjustRightInd w:val="0"/>
                        <w:spacing w:after="0"/>
                        <w:ind w:left="1215" w:hanging="1215"/>
                        <w:jc w:val="center"/>
                        <w:rPr>
                          <w:rFonts w:cstheme="minorHAnsi"/>
                          <w:b/>
                          <w:bCs/>
                        </w:rPr>
                      </w:pPr>
                    </w:p>
                    <w:p w14:paraId="16C5CE6F" w14:textId="77777777" w:rsidR="005F0BE5" w:rsidRPr="008617A2" w:rsidRDefault="005F0BE5" w:rsidP="005F0BE5">
                      <w:pPr>
                        <w:tabs>
                          <w:tab w:val="left" w:pos="851"/>
                        </w:tabs>
                        <w:autoSpaceDE w:val="0"/>
                        <w:autoSpaceDN w:val="0"/>
                        <w:adjustRightInd w:val="0"/>
                        <w:spacing w:after="0"/>
                        <w:ind w:left="1215" w:hanging="1215"/>
                        <w:jc w:val="both"/>
                        <w:rPr>
                          <w:rFonts w:cstheme="minorHAnsi"/>
                          <w:b/>
                          <w:bCs/>
                        </w:rPr>
                      </w:pPr>
                      <w:r w:rsidRPr="008617A2">
                        <w:rPr>
                          <w:rFonts w:cstheme="minorHAnsi"/>
                          <w:b/>
                          <w:bCs/>
                        </w:rPr>
                        <w:t>3.73 Restrictions on what local government may do during caretaker period</w:t>
                      </w:r>
                    </w:p>
                    <w:p w14:paraId="3D8D2D39" w14:textId="77777777" w:rsidR="005F0BE5" w:rsidRPr="008617A2" w:rsidRDefault="005F0BE5" w:rsidP="005F0BE5">
                      <w:pPr>
                        <w:tabs>
                          <w:tab w:val="left" w:pos="851"/>
                        </w:tabs>
                        <w:autoSpaceDE w:val="0"/>
                        <w:autoSpaceDN w:val="0"/>
                        <w:adjustRightInd w:val="0"/>
                        <w:spacing w:after="0"/>
                        <w:ind w:left="1215" w:hanging="855"/>
                        <w:jc w:val="both"/>
                      </w:pPr>
                    </w:p>
                    <w:p w14:paraId="6C0CC6AF" w14:textId="77777777" w:rsidR="005F0BE5" w:rsidRPr="008617A2" w:rsidRDefault="005F0BE5" w:rsidP="007B3B6F">
                      <w:pPr>
                        <w:pStyle w:val="ListParagraph"/>
                        <w:numPr>
                          <w:ilvl w:val="0"/>
                          <w:numId w:val="561"/>
                        </w:numPr>
                        <w:tabs>
                          <w:tab w:val="left" w:pos="851"/>
                        </w:tabs>
                        <w:autoSpaceDE w:val="0"/>
                        <w:autoSpaceDN w:val="0"/>
                        <w:adjustRightInd w:val="0"/>
                        <w:spacing w:after="0"/>
                        <w:jc w:val="both"/>
                        <w:rPr>
                          <w:rFonts w:cstheme="minorHAnsi"/>
                        </w:rPr>
                      </w:pPr>
                      <w:r w:rsidRPr="008617A2">
                        <w:rPr>
                          <w:rFonts w:cstheme="minorHAnsi"/>
                        </w:rPr>
                        <w:t xml:space="preserve">In this section – </w:t>
                      </w:r>
                    </w:p>
                    <w:p w14:paraId="412F25C1" w14:textId="77777777" w:rsidR="005F0BE5" w:rsidRPr="008617A2" w:rsidRDefault="005F0BE5" w:rsidP="005F0BE5">
                      <w:pPr>
                        <w:tabs>
                          <w:tab w:val="left" w:pos="2268"/>
                        </w:tabs>
                        <w:autoSpaceDE w:val="0"/>
                        <w:autoSpaceDN w:val="0"/>
                        <w:adjustRightInd w:val="0"/>
                        <w:spacing w:after="0"/>
                        <w:ind w:left="3119" w:hanging="3119"/>
                        <w:jc w:val="both"/>
                        <w:rPr>
                          <w:rFonts w:cstheme="minorHAnsi"/>
                          <w:b/>
                          <w:bCs/>
                          <w:highlight w:val="yellow"/>
                        </w:rPr>
                      </w:pPr>
                    </w:p>
                    <w:p w14:paraId="48C83275" w14:textId="77777777" w:rsidR="005F0BE5" w:rsidRPr="00CD581B" w:rsidRDefault="005F0BE5" w:rsidP="005F0BE5">
                      <w:pPr>
                        <w:autoSpaceDE w:val="0"/>
                        <w:autoSpaceDN w:val="0"/>
                        <w:adjustRightInd w:val="0"/>
                        <w:spacing w:after="0"/>
                        <w:ind w:left="2552" w:hanging="2126"/>
                        <w:jc w:val="both"/>
                        <w:rPr>
                          <w:rFonts w:cstheme="minorHAnsi"/>
                          <w:b/>
                          <w:bCs/>
                        </w:rPr>
                      </w:pPr>
                      <w:r w:rsidRPr="00CD581B">
                        <w:rPr>
                          <w:rFonts w:cstheme="minorHAnsi"/>
                          <w:b/>
                          <w:bCs/>
                          <w:i/>
                          <w:iCs/>
                        </w:rPr>
                        <w:t>emergency</w:t>
                      </w:r>
                      <w:r w:rsidRPr="00CD581B">
                        <w:rPr>
                          <w:rFonts w:cstheme="minorHAnsi"/>
                          <w:b/>
                          <w:bCs/>
                        </w:rPr>
                        <w:t xml:space="preserve"> </w:t>
                      </w:r>
                      <w:r w:rsidRPr="00CD581B">
                        <w:rPr>
                          <w:rFonts w:cstheme="minorHAnsi"/>
                        </w:rPr>
                        <w:t>means</w:t>
                      </w:r>
                      <w:r w:rsidRPr="00CD581B">
                        <w:rPr>
                          <w:rFonts w:cstheme="minorHAnsi"/>
                          <w:b/>
                          <w:bCs/>
                        </w:rPr>
                        <w:tab/>
                      </w:r>
                    </w:p>
                    <w:p w14:paraId="43448812" w14:textId="77777777" w:rsidR="005F0BE5" w:rsidRPr="00CD581B" w:rsidRDefault="005F0BE5" w:rsidP="005F0BE5">
                      <w:pPr>
                        <w:autoSpaceDE w:val="0"/>
                        <w:autoSpaceDN w:val="0"/>
                        <w:adjustRightInd w:val="0"/>
                        <w:spacing w:after="0"/>
                        <w:ind w:left="2552" w:hanging="2126"/>
                        <w:jc w:val="both"/>
                        <w:rPr>
                          <w:rFonts w:cstheme="minorHAnsi"/>
                        </w:rPr>
                      </w:pPr>
                    </w:p>
                    <w:p w14:paraId="37250503" w14:textId="77777777" w:rsidR="005F0BE5" w:rsidRPr="00CD581B" w:rsidRDefault="005F0BE5" w:rsidP="007B3B6F">
                      <w:pPr>
                        <w:pStyle w:val="ListParagraph"/>
                        <w:numPr>
                          <w:ilvl w:val="0"/>
                          <w:numId w:val="564"/>
                        </w:numPr>
                        <w:autoSpaceDE w:val="0"/>
                        <w:autoSpaceDN w:val="0"/>
                        <w:adjustRightInd w:val="0"/>
                        <w:spacing w:after="0"/>
                        <w:jc w:val="both"/>
                        <w:rPr>
                          <w:rFonts w:cstheme="minorHAnsi"/>
                        </w:rPr>
                      </w:pPr>
                      <w:r w:rsidRPr="00CD581B">
                        <w:rPr>
                          <w:rFonts w:cstheme="minorHAnsi"/>
                        </w:rPr>
                        <w:t xml:space="preserve">the occurrence, or imminent occurrence, of an event, situation or condition that is a hazard under the definition of that term in the </w:t>
                      </w:r>
                      <w:r w:rsidRPr="00CD581B">
                        <w:rPr>
                          <w:rFonts w:cstheme="minorHAnsi"/>
                          <w:i/>
                          <w:iCs/>
                        </w:rPr>
                        <w:t>Emergency Management Act 2005</w:t>
                      </w:r>
                      <w:r w:rsidRPr="00CD581B">
                        <w:rPr>
                          <w:rFonts w:cstheme="minorHAnsi"/>
                        </w:rPr>
                        <w:t xml:space="preserve"> section 3; or</w:t>
                      </w:r>
                    </w:p>
                    <w:p w14:paraId="223E2234" w14:textId="77777777" w:rsidR="005F0BE5" w:rsidRPr="00CD581B" w:rsidRDefault="005F0BE5" w:rsidP="007B3B6F">
                      <w:pPr>
                        <w:pStyle w:val="ListParagraph"/>
                        <w:numPr>
                          <w:ilvl w:val="0"/>
                          <w:numId w:val="564"/>
                        </w:numPr>
                        <w:autoSpaceDE w:val="0"/>
                        <w:autoSpaceDN w:val="0"/>
                        <w:adjustRightInd w:val="0"/>
                        <w:spacing w:after="0"/>
                        <w:jc w:val="both"/>
                        <w:rPr>
                          <w:rFonts w:cstheme="minorHAnsi"/>
                        </w:rPr>
                      </w:pPr>
                      <w:r w:rsidRPr="00CD581B">
                        <w:rPr>
                          <w:rFonts w:cstheme="minorHAnsi"/>
                        </w:rPr>
                        <w:t xml:space="preserve">a public health emergency as defined in the </w:t>
                      </w:r>
                      <w:r w:rsidRPr="00CD581B">
                        <w:rPr>
                          <w:rFonts w:cstheme="minorHAnsi"/>
                          <w:i/>
                          <w:iCs/>
                        </w:rPr>
                        <w:t>Public Health Act 2016</w:t>
                      </w:r>
                      <w:r w:rsidRPr="00CD581B">
                        <w:rPr>
                          <w:rFonts w:cstheme="minorHAnsi"/>
                        </w:rPr>
                        <w:t xml:space="preserve"> section 4(1)</w:t>
                      </w:r>
                    </w:p>
                    <w:p w14:paraId="44B2DDC3" w14:textId="77777777" w:rsidR="005F0BE5" w:rsidRPr="00CD581B" w:rsidRDefault="005F0BE5" w:rsidP="005F0BE5">
                      <w:pPr>
                        <w:autoSpaceDE w:val="0"/>
                        <w:autoSpaceDN w:val="0"/>
                        <w:adjustRightInd w:val="0"/>
                        <w:spacing w:after="0"/>
                        <w:ind w:left="2268" w:hanging="2268"/>
                        <w:jc w:val="both"/>
                        <w:rPr>
                          <w:rFonts w:cstheme="minorHAnsi"/>
                          <w:b/>
                          <w:bCs/>
                          <w:i/>
                          <w:iCs/>
                        </w:rPr>
                      </w:pPr>
                    </w:p>
                    <w:p w14:paraId="1CF25683" w14:textId="77777777" w:rsidR="005F0BE5" w:rsidRPr="00CD581B" w:rsidRDefault="005F0BE5" w:rsidP="005F0BE5">
                      <w:pPr>
                        <w:autoSpaceDE w:val="0"/>
                        <w:autoSpaceDN w:val="0"/>
                        <w:adjustRightInd w:val="0"/>
                        <w:spacing w:after="0"/>
                        <w:ind w:left="2268" w:hanging="1842"/>
                        <w:jc w:val="both"/>
                        <w:rPr>
                          <w:rFonts w:cstheme="minorHAnsi"/>
                        </w:rPr>
                      </w:pPr>
                      <w:r w:rsidRPr="00CD581B">
                        <w:rPr>
                          <w:rFonts w:cstheme="minorHAnsi"/>
                          <w:b/>
                          <w:bCs/>
                          <w:i/>
                          <w:iCs/>
                        </w:rPr>
                        <w:t>land transaction</w:t>
                      </w:r>
                      <w:r w:rsidRPr="00CD581B">
                        <w:rPr>
                          <w:rFonts w:cstheme="minorHAnsi"/>
                        </w:rPr>
                        <w:t xml:space="preserve"> has the meaning given in section 3.59(1)</w:t>
                      </w:r>
                    </w:p>
                    <w:p w14:paraId="17ED9CCF" w14:textId="77777777" w:rsidR="005F0BE5" w:rsidRPr="00CD581B" w:rsidRDefault="005F0BE5" w:rsidP="005F0BE5">
                      <w:pPr>
                        <w:autoSpaceDE w:val="0"/>
                        <w:autoSpaceDN w:val="0"/>
                        <w:adjustRightInd w:val="0"/>
                        <w:spacing w:after="0"/>
                        <w:jc w:val="both"/>
                        <w:rPr>
                          <w:rFonts w:cstheme="minorHAnsi"/>
                        </w:rPr>
                      </w:pPr>
                    </w:p>
                    <w:p w14:paraId="11A5740A" w14:textId="77777777" w:rsidR="005F0BE5" w:rsidRPr="00CD581B" w:rsidRDefault="005F0BE5" w:rsidP="005F0BE5">
                      <w:pPr>
                        <w:autoSpaceDE w:val="0"/>
                        <w:autoSpaceDN w:val="0"/>
                        <w:adjustRightInd w:val="0"/>
                        <w:spacing w:after="0"/>
                        <w:ind w:left="2268" w:hanging="1842"/>
                        <w:jc w:val="both"/>
                        <w:rPr>
                          <w:rFonts w:cstheme="minorHAnsi"/>
                        </w:rPr>
                      </w:pPr>
                      <w:r w:rsidRPr="00CD581B">
                        <w:rPr>
                          <w:rFonts w:cstheme="minorHAnsi"/>
                          <w:b/>
                          <w:bCs/>
                          <w:i/>
                          <w:iCs/>
                        </w:rPr>
                        <w:t>major land transaction</w:t>
                      </w:r>
                      <w:r w:rsidRPr="00CD581B">
                        <w:rPr>
                          <w:rFonts w:cstheme="minorHAnsi"/>
                        </w:rPr>
                        <w:t xml:space="preserve"> has the meaning given in section 3.59(1)</w:t>
                      </w:r>
                    </w:p>
                    <w:p w14:paraId="13615803" w14:textId="77777777" w:rsidR="005F0BE5" w:rsidRPr="00CD581B" w:rsidRDefault="005F0BE5" w:rsidP="005F0BE5">
                      <w:pPr>
                        <w:autoSpaceDE w:val="0"/>
                        <w:autoSpaceDN w:val="0"/>
                        <w:adjustRightInd w:val="0"/>
                        <w:spacing w:after="0"/>
                        <w:jc w:val="both"/>
                        <w:rPr>
                          <w:rFonts w:cstheme="minorHAnsi"/>
                        </w:rPr>
                      </w:pPr>
                    </w:p>
                    <w:p w14:paraId="187A1D4B" w14:textId="77777777" w:rsidR="005F0BE5" w:rsidRPr="008617A2" w:rsidRDefault="005F0BE5" w:rsidP="005F0BE5">
                      <w:pPr>
                        <w:autoSpaceDE w:val="0"/>
                        <w:autoSpaceDN w:val="0"/>
                        <w:adjustRightInd w:val="0"/>
                        <w:spacing w:after="0"/>
                        <w:ind w:firstLine="426"/>
                        <w:jc w:val="both"/>
                        <w:rPr>
                          <w:rFonts w:cstheme="minorHAnsi"/>
                        </w:rPr>
                      </w:pPr>
                      <w:r w:rsidRPr="00CD581B">
                        <w:rPr>
                          <w:rFonts w:cstheme="minorHAnsi"/>
                          <w:b/>
                          <w:bCs/>
                          <w:i/>
                          <w:iCs/>
                        </w:rPr>
                        <w:t>major trading undertaking</w:t>
                      </w:r>
                      <w:r w:rsidRPr="00CD581B">
                        <w:rPr>
                          <w:rFonts w:cstheme="minorHAnsi"/>
                        </w:rPr>
                        <w:tab/>
                        <w:t>has the meaning given in section 3.59(1</w:t>
                      </w:r>
                      <w:r>
                        <w:rPr>
                          <w:rFonts w:cstheme="minorHAnsi"/>
                        </w:rPr>
                        <w:t>)</w:t>
                      </w:r>
                      <w:r w:rsidRPr="00CD581B">
                        <w:rPr>
                          <w:rFonts w:cstheme="minorHAnsi"/>
                        </w:rPr>
                        <w:t xml:space="preserve"> </w:t>
                      </w:r>
                    </w:p>
                    <w:p w14:paraId="1FC2948C" w14:textId="77777777" w:rsidR="005F0BE5" w:rsidRPr="008617A2" w:rsidRDefault="005F0BE5" w:rsidP="005F0BE5">
                      <w:pPr>
                        <w:tabs>
                          <w:tab w:val="left" w:pos="851"/>
                        </w:tabs>
                        <w:autoSpaceDE w:val="0"/>
                        <w:autoSpaceDN w:val="0"/>
                        <w:adjustRightInd w:val="0"/>
                        <w:spacing w:after="0"/>
                        <w:ind w:left="360"/>
                        <w:jc w:val="both"/>
                        <w:rPr>
                          <w:rFonts w:cstheme="minorHAnsi"/>
                        </w:rPr>
                      </w:pPr>
                    </w:p>
                    <w:p w14:paraId="06C99196" w14:textId="77777777" w:rsidR="005F0BE5" w:rsidRPr="008617A2" w:rsidRDefault="005F0BE5" w:rsidP="005F0BE5">
                      <w:pPr>
                        <w:tabs>
                          <w:tab w:val="left" w:pos="851"/>
                        </w:tabs>
                        <w:autoSpaceDE w:val="0"/>
                        <w:autoSpaceDN w:val="0"/>
                        <w:adjustRightInd w:val="0"/>
                        <w:spacing w:after="0"/>
                        <w:ind w:left="360"/>
                        <w:jc w:val="both"/>
                        <w:rPr>
                          <w:rFonts w:cstheme="minorHAnsi"/>
                        </w:rPr>
                      </w:pPr>
                      <w:r w:rsidRPr="00F41627">
                        <w:rPr>
                          <w:rFonts w:cstheme="minorHAnsi"/>
                          <w:b/>
                          <w:bCs/>
                          <w:i/>
                          <w:iCs/>
                        </w:rPr>
                        <w:t>significant act</w:t>
                      </w:r>
                      <w:r w:rsidRPr="008617A2">
                        <w:rPr>
                          <w:rFonts w:cstheme="minorHAnsi"/>
                        </w:rPr>
                        <w:t xml:space="preserve"> means any of the following -</w:t>
                      </w:r>
                    </w:p>
                    <w:p w14:paraId="7DE2C8FB" w14:textId="77777777" w:rsidR="005F0BE5" w:rsidRPr="008617A2" w:rsidRDefault="005F0BE5" w:rsidP="005F0BE5">
                      <w:pPr>
                        <w:tabs>
                          <w:tab w:val="left" w:pos="851"/>
                        </w:tabs>
                        <w:autoSpaceDE w:val="0"/>
                        <w:autoSpaceDN w:val="0"/>
                        <w:adjustRightInd w:val="0"/>
                        <w:spacing w:after="0"/>
                        <w:ind w:left="360"/>
                        <w:jc w:val="both"/>
                        <w:rPr>
                          <w:rFonts w:cstheme="minorHAnsi"/>
                        </w:rPr>
                      </w:pPr>
                    </w:p>
                    <w:p w14:paraId="00454CCF"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(a) </w:t>
                      </w:r>
                      <w:r w:rsidRPr="008617A2">
                        <w:rPr>
                          <w:rFonts w:cstheme="minorHAnsi"/>
                        </w:rPr>
                        <w:tab/>
                        <w:t>making a local law (including making a local law to amend or repeal a local law);</w:t>
                      </w:r>
                    </w:p>
                    <w:p w14:paraId="7DA04BFB"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(b) </w:t>
                      </w:r>
                      <w:r w:rsidRPr="008617A2">
                        <w:rPr>
                          <w:rFonts w:cstheme="minorHAnsi"/>
                        </w:rPr>
                        <w:tab/>
                        <w:t>entering into, or renewing or terminating, the contract of employment of the CEO or of a senior employee;</w:t>
                      </w:r>
                    </w:p>
                    <w:p w14:paraId="098FD187"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(c) </w:t>
                      </w:r>
                      <w:r w:rsidRPr="008617A2">
                        <w:rPr>
                          <w:rFonts w:cstheme="minorHAnsi"/>
                        </w:rPr>
                        <w:tab/>
                        <w:t>entering into a major land transaction;</w:t>
                      </w:r>
                    </w:p>
                    <w:p w14:paraId="6D65D4C6"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(d) </w:t>
                      </w:r>
                      <w:r w:rsidRPr="008617A2">
                        <w:rPr>
                          <w:rFonts w:cstheme="minorHAnsi"/>
                        </w:rPr>
                        <w:tab/>
                        <w:t>entering into a land transaction that is preparatory to entry into a major land transaction;</w:t>
                      </w:r>
                    </w:p>
                    <w:p w14:paraId="76A09AA0"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 xml:space="preserve">(e) </w:t>
                      </w:r>
                      <w:r w:rsidRPr="008617A2">
                        <w:rPr>
                          <w:rFonts w:cstheme="minorHAnsi"/>
                        </w:rPr>
                        <w:tab/>
                        <w:t>commencing a major trading undertaking</w:t>
                      </w:r>
                    </w:p>
                    <w:p w14:paraId="0A58DF25"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(f)</w:t>
                      </w:r>
                      <w:r w:rsidRPr="008617A2">
                        <w:rPr>
                          <w:rFonts w:cstheme="minorHAnsi"/>
                        </w:rPr>
                        <w:tab/>
                        <w:t>entering into a contract, or other agreement or arrangement, in prescribed circumstances;</w:t>
                      </w:r>
                    </w:p>
                    <w:p w14:paraId="0E753B07"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(g)</w:t>
                      </w:r>
                      <w:r w:rsidRPr="008617A2">
                        <w:rPr>
                          <w:rFonts w:cstheme="minorHAnsi"/>
                        </w:rPr>
                        <w:tab/>
                        <w:t>inviting tenders in prescribed circumstances;</w:t>
                      </w:r>
                    </w:p>
                    <w:p w14:paraId="426631F1"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(h)</w:t>
                      </w:r>
                      <w:r w:rsidRPr="008617A2">
                        <w:rPr>
                          <w:rFonts w:cstheme="minorHAnsi"/>
                        </w:rPr>
                        <w:tab/>
                        <w:t>deciding to do anything referred to in paragraphs (a) to (g);</w:t>
                      </w:r>
                    </w:p>
                    <w:p w14:paraId="6596BF71" w14:textId="77777777" w:rsidR="005F0BE5" w:rsidRPr="008617A2" w:rsidRDefault="005F0BE5" w:rsidP="005F0BE5">
                      <w:pPr>
                        <w:autoSpaceDE w:val="0"/>
                        <w:autoSpaceDN w:val="0"/>
                        <w:adjustRightInd w:val="0"/>
                        <w:spacing w:after="0"/>
                        <w:ind w:left="1865" w:hanging="425"/>
                        <w:jc w:val="both"/>
                        <w:rPr>
                          <w:rFonts w:cstheme="minorHAnsi"/>
                        </w:rPr>
                      </w:pPr>
                      <w:r w:rsidRPr="008617A2">
                        <w:rPr>
                          <w:rFonts w:cstheme="minorHAnsi"/>
                        </w:rPr>
                        <w:t>(i)</w:t>
                      </w:r>
                      <w:r w:rsidRPr="008617A2">
                        <w:rPr>
                          <w:rFonts w:cstheme="minorHAnsi"/>
                        </w:rPr>
                        <w:tab/>
                        <w:t>an act done under a written law or otherwise that is a prescribed act.</w:t>
                      </w:r>
                    </w:p>
                    <w:p w14:paraId="633B4A89" w14:textId="77777777" w:rsidR="005F0BE5" w:rsidRDefault="005F0BE5" w:rsidP="005F0BE5"/>
                    <w:p w14:paraId="74A7469A" w14:textId="77777777" w:rsidR="005F0BE5" w:rsidRDefault="005F0BE5" w:rsidP="007B3B6F">
                      <w:pPr>
                        <w:pStyle w:val="ListParagraph"/>
                        <w:numPr>
                          <w:ilvl w:val="0"/>
                          <w:numId w:val="561"/>
                        </w:numPr>
                        <w:tabs>
                          <w:tab w:val="left" w:pos="851"/>
                        </w:tabs>
                        <w:autoSpaceDE w:val="0"/>
                        <w:autoSpaceDN w:val="0"/>
                        <w:adjustRightInd w:val="0"/>
                        <w:spacing w:after="0"/>
                        <w:jc w:val="both"/>
                        <w:rPr>
                          <w:rFonts w:cstheme="minorHAnsi"/>
                        </w:rPr>
                      </w:pPr>
                      <w:r w:rsidRPr="009A728E">
                        <w:rPr>
                          <w:rFonts w:cstheme="minorHAnsi"/>
                        </w:rPr>
                        <w:t xml:space="preserve">During a caretaker period, a local government must not do a significant act. </w:t>
                      </w:r>
                    </w:p>
                    <w:p w14:paraId="504C842C" w14:textId="77777777" w:rsidR="005F0BE5" w:rsidRDefault="005F0BE5" w:rsidP="005F0BE5">
                      <w:pPr>
                        <w:pStyle w:val="ListParagraph"/>
                        <w:tabs>
                          <w:tab w:val="left" w:pos="851"/>
                        </w:tabs>
                        <w:autoSpaceDE w:val="0"/>
                        <w:autoSpaceDN w:val="0"/>
                        <w:adjustRightInd w:val="0"/>
                        <w:spacing w:after="0"/>
                        <w:ind w:left="1215"/>
                        <w:jc w:val="both"/>
                        <w:rPr>
                          <w:rFonts w:cstheme="minorHAnsi"/>
                        </w:rPr>
                      </w:pPr>
                    </w:p>
                    <w:p w14:paraId="22775A23" w14:textId="77777777" w:rsidR="005F0BE5" w:rsidRDefault="005F0BE5" w:rsidP="007B3B6F">
                      <w:pPr>
                        <w:pStyle w:val="ListParagraph"/>
                        <w:numPr>
                          <w:ilvl w:val="0"/>
                          <w:numId w:val="561"/>
                        </w:numPr>
                        <w:tabs>
                          <w:tab w:val="left" w:pos="851"/>
                        </w:tabs>
                        <w:autoSpaceDE w:val="0"/>
                        <w:autoSpaceDN w:val="0"/>
                        <w:adjustRightInd w:val="0"/>
                        <w:spacing w:after="0"/>
                        <w:jc w:val="both"/>
                        <w:rPr>
                          <w:rFonts w:cstheme="minorHAnsi"/>
                        </w:rPr>
                      </w:pPr>
                      <w:r w:rsidRPr="009A728E">
                        <w:rPr>
                          <w:rFonts w:cstheme="minorHAnsi"/>
                        </w:rPr>
                        <w:t xml:space="preserve">Subsections (4) to (6) apply despite subsection (2). </w:t>
                      </w:r>
                    </w:p>
                  </w:txbxContent>
                </v:textbox>
                <w10:wrap type="topAndBottom" anchorx="margin"/>
              </v:shape>
            </w:pict>
          </mc:Fallback>
        </mc:AlternateContent>
      </w:r>
    </w:p>
    <w:p w14:paraId="52C764C0" w14:textId="77777777" w:rsidR="005F0BE5" w:rsidRDefault="005F0BE5" w:rsidP="005F0BE5">
      <w:pPr>
        <w:spacing w:after="160" w:line="259" w:lineRule="auto"/>
        <w:rPr>
          <w:rFonts w:cstheme="minorHAnsi"/>
        </w:rPr>
      </w:pPr>
    </w:p>
    <w:p w14:paraId="467102B9" w14:textId="77777777" w:rsidR="005F0BE5" w:rsidRDefault="005F0BE5" w:rsidP="005F0BE5">
      <w:pPr>
        <w:spacing w:after="160" w:line="259" w:lineRule="auto"/>
        <w:rPr>
          <w:rFonts w:cstheme="minorHAnsi"/>
        </w:rPr>
      </w:pPr>
      <w:r>
        <w:rPr>
          <w:rFonts w:cstheme="minorHAnsi"/>
          <w:noProof/>
        </w:rPr>
        <w:lastRenderedPageBreak/>
        <mc:AlternateContent>
          <mc:Choice Requires="wps">
            <w:drawing>
              <wp:anchor distT="0" distB="0" distL="114300" distR="114300" simplePos="0" relativeHeight="251714560" behindDoc="0" locked="0" layoutInCell="1" allowOverlap="1" wp14:anchorId="6E4D749E" wp14:editId="2C7FBFC5">
                <wp:simplePos x="0" y="0"/>
                <wp:positionH relativeFrom="margin">
                  <wp:align>right</wp:align>
                </wp:positionH>
                <wp:positionV relativeFrom="paragraph">
                  <wp:posOffset>-586105</wp:posOffset>
                </wp:positionV>
                <wp:extent cx="6096000" cy="4705350"/>
                <wp:effectExtent l="0" t="0" r="19050" b="19050"/>
                <wp:wrapTopAndBottom/>
                <wp:docPr id="1892862206" name="Text Box 2"/>
                <wp:cNvGraphicFramePr/>
                <a:graphic xmlns:a="http://schemas.openxmlformats.org/drawingml/2006/main">
                  <a:graphicData uri="http://schemas.microsoft.com/office/word/2010/wordprocessingShape">
                    <wps:wsp>
                      <wps:cNvSpPr txBox="1"/>
                      <wps:spPr>
                        <a:xfrm>
                          <a:off x="0" y="0"/>
                          <a:ext cx="6096000" cy="4705350"/>
                        </a:xfrm>
                        <a:prstGeom prst="rect">
                          <a:avLst/>
                        </a:prstGeom>
                        <a:solidFill>
                          <a:schemeClr val="bg2"/>
                        </a:solidFill>
                        <a:ln w="6350">
                          <a:solidFill>
                            <a:prstClr val="black"/>
                          </a:solidFill>
                        </a:ln>
                      </wps:spPr>
                      <wps:txbx>
                        <w:txbxContent>
                          <w:p w14:paraId="7044BF99" w14:textId="77777777" w:rsidR="005F0BE5" w:rsidRDefault="005F0BE5" w:rsidP="007B3B6F">
                            <w:pPr>
                              <w:pStyle w:val="ListParagraph"/>
                              <w:numPr>
                                <w:ilvl w:val="0"/>
                                <w:numId w:val="561"/>
                              </w:numPr>
                              <w:tabs>
                                <w:tab w:val="left" w:pos="851"/>
                              </w:tabs>
                              <w:autoSpaceDE w:val="0"/>
                              <w:autoSpaceDN w:val="0"/>
                              <w:adjustRightInd w:val="0"/>
                              <w:spacing w:after="0"/>
                              <w:jc w:val="both"/>
                              <w:rPr>
                                <w:rFonts w:cstheme="minorHAnsi"/>
                              </w:rPr>
                            </w:pPr>
                            <w:r w:rsidRPr="009A728E">
                              <w:rPr>
                                <w:rFonts w:cstheme="minorHAnsi"/>
                              </w:rPr>
                              <w:t xml:space="preserve">A local government may do a significant act during a caretaker period if — </w:t>
                            </w:r>
                          </w:p>
                          <w:p w14:paraId="18773118" w14:textId="77777777" w:rsidR="005F0BE5" w:rsidRDefault="005F0BE5" w:rsidP="005F0BE5">
                            <w:pPr>
                              <w:pStyle w:val="ListParagraph"/>
                              <w:tabs>
                                <w:tab w:val="left" w:pos="851"/>
                              </w:tabs>
                              <w:autoSpaceDE w:val="0"/>
                              <w:autoSpaceDN w:val="0"/>
                              <w:adjustRightInd w:val="0"/>
                              <w:spacing w:after="0"/>
                              <w:ind w:left="1215"/>
                              <w:jc w:val="both"/>
                              <w:rPr>
                                <w:rFonts w:cstheme="minorHAnsi"/>
                              </w:rPr>
                            </w:pPr>
                          </w:p>
                          <w:p w14:paraId="2FA31766" w14:textId="77777777" w:rsidR="005F0BE5" w:rsidRDefault="005F0BE5" w:rsidP="005F0BE5">
                            <w:pPr>
                              <w:ind w:left="2160" w:hanging="720"/>
                              <w:rPr>
                                <w:rFonts w:cstheme="minorHAnsi"/>
                              </w:rPr>
                            </w:pPr>
                            <w:r w:rsidRPr="009A728E">
                              <w:rPr>
                                <w:rFonts w:cstheme="minorHAnsi"/>
                              </w:rPr>
                              <w:t>(a)</w:t>
                            </w:r>
                            <w:r>
                              <w:rPr>
                                <w:rFonts w:cstheme="minorHAnsi"/>
                              </w:rPr>
                              <w:tab/>
                            </w:r>
                            <w:r w:rsidRPr="009A728E">
                              <w:rPr>
                                <w:rFonts w:cstheme="minorHAnsi"/>
                              </w:rPr>
                              <w:t xml:space="preserve">the local government’s decision to do the significant act was made before the caretaker period; and </w:t>
                            </w:r>
                          </w:p>
                          <w:p w14:paraId="1EC567F1" w14:textId="77777777" w:rsidR="005F0BE5" w:rsidRDefault="005F0BE5" w:rsidP="005F0BE5">
                            <w:pPr>
                              <w:ind w:left="720" w:firstLine="720"/>
                              <w:rPr>
                                <w:rFonts w:cstheme="minorHAnsi"/>
                              </w:rPr>
                            </w:pPr>
                            <w:r w:rsidRPr="009A728E">
                              <w:rPr>
                                <w:rFonts w:cstheme="minorHAnsi"/>
                              </w:rPr>
                              <w:t>(b)</w:t>
                            </w:r>
                            <w:r>
                              <w:rPr>
                                <w:rFonts w:cstheme="minorHAnsi"/>
                              </w:rPr>
                              <w:tab/>
                            </w:r>
                            <w:r w:rsidRPr="009A728E">
                              <w:rPr>
                                <w:rFonts w:cstheme="minorHAnsi"/>
                              </w:rPr>
                              <w:t xml:space="preserve">any prescribed requirements are met. </w:t>
                            </w:r>
                          </w:p>
                          <w:p w14:paraId="163151C2" w14:textId="77777777" w:rsidR="005F0BE5" w:rsidRDefault="005F0BE5" w:rsidP="007B3B6F">
                            <w:pPr>
                              <w:pStyle w:val="ListParagraph"/>
                              <w:numPr>
                                <w:ilvl w:val="0"/>
                                <w:numId w:val="561"/>
                              </w:numPr>
                              <w:tabs>
                                <w:tab w:val="left" w:pos="851"/>
                              </w:tabs>
                              <w:autoSpaceDE w:val="0"/>
                              <w:autoSpaceDN w:val="0"/>
                              <w:adjustRightInd w:val="0"/>
                              <w:spacing w:after="0"/>
                              <w:ind w:left="851" w:hanging="491"/>
                              <w:jc w:val="both"/>
                              <w:rPr>
                                <w:rFonts w:cstheme="minorHAnsi"/>
                              </w:rPr>
                            </w:pPr>
                            <w:r w:rsidRPr="009A728E">
                              <w:rPr>
                                <w:rFonts w:cstheme="minorHAnsi"/>
                              </w:rPr>
                              <w:t xml:space="preserve">A local government may do a significant act during a caretaker period if it is necessary for the local government to do the significant act during the caretaker period in order to comply with any of the following — </w:t>
                            </w:r>
                          </w:p>
                          <w:p w14:paraId="7D1A44B5" w14:textId="77777777" w:rsidR="005F0BE5" w:rsidRDefault="005F0BE5" w:rsidP="005F0BE5">
                            <w:pPr>
                              <w:pStyle w:val="ListParagraph"/>
                              <w:tabs>
                                <w:tab w:val="left" w:pos="851"/>
                              </w:tabs>
                              <w:autoSpaceDE w:val="0"/>
                              <w:autoSpaceDN w:val="0"/>
                              <w:adjustRightInd w:val="0"/>
                              <w:spacing w:after="0"/>
                              <w:ind w:left="1215"/>
                              <w:jc w:val="both"/>
                              <w:rPr>
                                <w:rFonts w:cstheme="minorHAnsi"/>
                              </w:rPr>
                            </w:pPr>
                          </w:p>
                          <w:p w14:paraId="73CACDA9" w14:textId="77777777" w:rsidR="005F0BE5" w:rsidRDefault="005F0BE5" w:rsidP="005F0BE5">
                            <w:pPr>
                              <w:ind w:left="720" w:firstLine="720"/>
                              <w:rPr>
                                <w:rFonts w:cstheme="minorHAnsi"/>
                              </w:rPr>
                            </w:pPr>
                            <w:r w:rsidRPr="009A728E">
                              <w:rPr>
                                <w:rFonts w:cstheme="minorHAnsi"/>
                              </w:rPr>
                              <w:t>(a)</w:t>
                            </w:r>
                            <w:r>
                              <w:rPr>
                                <w:rFonts w:cstheme="minorHAnsi"/>
                              </w:rPr>
                              <w:tab/>
                            </w:r>
                            <w:r w:rsidRPr="009A728E">
                              <w:rPr>
                                <w:rFonts w:cstheme="minorHAnsi"/>
                              </w:rPr>
                              <w:t xml:space="preserve">a written law; </w:t>
                            </w:r>
                          </w:p>
                          <w:p w14:paraId="4640BA9D" w14:textId="77777777" w:rsidR="005F0BE5" w:rsidRDefault="005F0BE5" w:rsidP="005F0BE5">
                            <w:pPr>
                              <w:ind w:left="720" w:firstLine="720"/>
                              <w:rPr>
                                <w:rFonts w:cstheme="minorHAnsi"/>
                              </w:rPr>
                            </w:pPr>
                            <w:r w:rsidRPr="009A728E">
                              <w:rPr>
                                <w:rFonts w:cstheme="minorHAnsi"/>
                              </w:rPr>
                              <w:t>(b)</w:t>
                            </w:r>
                            <w:r>
                              <w:rPr>
                                <w:rFonts w:cstheme="minorHAnsi"/>
                              </w:rPr>
                              <w:tab/>
                            </w:r>
                            <w:r w:rsidRPr="009A728E">
                              <w:rPr>
                                <w:rFonts w:cstheme="minorHAnsi"/>
                              </w:rPr>
                              <w:t xml:space="preserve">an order of a court or tribunal; </w:t>
                            </w:r>
                          </w:p>
                          <w:p w14:paraId="3C43FA5E" w14:textId="77777777" w:rsidR="005F0BE5" w:rsidRDefault="005F0BE5" w:rsidP="005F0BE5">
                            <w:pPr>
                              <w:ind w:left="2160" w:hanging="720"/>
                            </w:pPr>
                            <w:r w:rsidRPr="009A728E">
                              <w:rPr>
                                <w:rFonts w:cstheme="minorHAnsi"/>
                              </w:rPr>
                              <w:t>(c)</w:t>
                            </w:r>
                            <w:r>
                              <w:rPr>
                                <w:rFonts w:cstheme="minorHAnsi"/>
                              </w:rPr>
                              <w:tab/>
                            </w:r>
                            <w:r w:rsidRPr="009A728E">
                              <w:rPr>
                                <w:rFonts w:cstheme="minorHAnsi"/>
                              </w:rPr>
                              <w:t>a contractual obligation of the local government under a contract entered into by the local</w:t>
                            </w:r>
                            <w:r w:rsidRPr="009A728E">
                              <w:t xml:space="preserve"> government</w:t>
                            </w:r>
                            <w:r>
                              <w:t xml:space="preserve"> </w:t>
                            </w:r>
                            <w:r w:rsidRPr="009A728E">
                              <w:t xml:space="preserve">before the caretaker period. </w:t>
                            </w:r>
                          </w:p>
                          <w:p w14:paraId="16E8C01E" w14:textId="77777777" w:rsidR="005F0BE5" w:rsidRDefault="005F0BE5" w:rsidP="007B3B6F">
                            <w:pPr>
                              <w:pStyle w:val="ListParagraph"/>
                              <w:numPr>
                                <w:ilvl w:val="0"/>
                                <w:numId w:val="561"/>
                              </w:numPr>
                              <w:tabs>
                                <w:tab w:val="left" w:pos="851"/>
                              </w:tabs>
                              <w:autoSpaceDE w:val="0"/>
                              <w:autoSpaceDN w:val="0"/>
                              <w:adjustRightInd w:val="0"/>
                              <w:spacing w:after="0"/>
                              <w:ind w:left="851" w:hanging="491"/>
                              <w:jc w:val="both"/>
                              <w:rPr>
                                <w:rFonts w:cstheme="minorHAnsi"/>
                              </w:rPr>
                            </w:pPr>
                            <w:r w:rsidRPr="001C382F">
                              <w:rPr>
                                <w:rFonts w:cstheme="minorHAnsi"/>
                              </w:rPr>
                              <w:t xml:space="preserve">The Departmental CEO may authorise a local government to do a significant act during a caretaker period if the Departmental CEO is satisfied that it is necessary for the local government to do the significant act during the caretaker period — </w:t>
                            </w:r>
                          </w:p>
                          <w:p w14:paraId="7A1EFBD0" w14:textId="77777777" w:rsidR="005F0BE5" w:rsidRPr="001C382F" w:rsidRDefault="005F0BE5" w:rsidP="005F0BE5">
                            <w:pPr>
                              <w:pStyle w:val="ListParagraph"/>
                              <w:tabs>
                                <w:tab w:val="left" w:pos="851"/>
                              </w:tabs>
                              <w:autoSpaceDE w:val="0"/>
                              <w:autoSpaceDN w:val="0"/>
                              <w:adjustRightInd w:val="0"/>
                              <w:spacing w:after="0"/>
                              <w:ind w:left="851"/>
                              <w:jc w:val="both"/>
                              <w:rPr>
                                <w:rFonts w:cstheme="minorHAnsi"/>
                              </w:rPr>
                            </w:pPr>
                          </w:p>
                          <w:p w14:paraId="11AF4E41" w14:textId="77777777" w:rsidR="005F0BE5" w:rsidRDefault="005F0BE5" w:rsidP="005F0BE5">
                            <w:pPr>
                              <w:ind w:left="2160" w:hanging="720"/>
                            </w:pPr>
                            <w:r w:rsidRPr="000B1875">
                              <w:t>(a)</w:t>
                            </w:r>
                            <w:r>
                              <w:tab/>
                            </w:r>
                            <w:r w:rsidRPr="000B1875">
                              <w:t xml:space="preserve">because of an emergency; or </w:t>
                            </w:r>
                          </w:p>
                          <w:p w14:paraId="0D59D87A" w14:textId="77777777" w:rsidR="005F0BE5" w:rsidRDefault="005F0BE5" w:rsidP="005F0BE5">
                            <w:pPr>
                              <w:ind w:left="2160" w:hanging="720"/>
                            </w:pPr>
                            <w:r w:rsidRPr="000B1875">
                              <w:t>(b)</w:t>
                            </w:r>
                            <w:r>
                              <w:tab/>
                            </w:r>
                            <w:r w:rsidRPr="000B1875">
                              <w:t>to ensure the proper operation of the local government.</w:t>
                            </w:r>
                          </w:p>
                          <w:p w14:paraId="4AD27106" w14:textId="77777777" w:rsidR="005F0BE5" w:rsidRDefault="005F0BE5" w:rsidP="005F0B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D749E" id="_x0000_s1028" type="#_x0000_t202" style="position:absolute;margin-left:428.8pt;margin-top:-46.15pt;width:480pt;height:370.5pt;z-index:2517145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" fillcolor="#eeece1 [3214]" strokeweight=".5pt">
                <v:textbox>
                  <w:txbxContent>
                    <w:p w14:paraId="7044BF99" w14:textId="77777777" w:rsidR="005F0BE5" w:rsidRDefault="005F0BE5" w:rsidP="007B3B6F">
                      <w:pPr>
                        <w:pStyle w:val="ListParagraph"/>
                        <w:numPr>
                          <w:ilvl w:val="0"/>
                          <w:numId w:val="561"/>
                        </w:numPr>
                        <w:tabs>
                          <w:tab w:val="left" w:pos="851"/>
                        </w:tabs>
                        <w:autoSpaceDE w:val="0"/>
                        <w:autoSpaceDN w:val="0"/>
                        <w:adjustRightInd w:val="0"/>
                        <w:spacing w:after="0"/>
                        <w:jc w:val="both"/>
                        <w:rPr>
                          <w:rFonts w:cstheme="minorHAnsi"/>
                        </w:rPr>
                      </w:pPr>
                      <w:r w:rsidRPr="009A728E">
                        <w:rPr>
                          <w:rFonts w:cstheme="minorHAnsi"/>
                        </w:rPr>
                        <w:t xml:space="preserve">A local government may do a significant act during a caretaker period if — </w:t>
                      </w:r>
                    </w:p>
                    <w:p w14:paraId="18773118" w14:textId="77777777" w:rsidR="005F0BE5" w:rsidRDefault="005F0BE5" w:rsidP="005F0BE5">
                      <w:pPr>
                        <w:pStyle w:val="ListParagraph"/>
                        <w:tabs>
                          <w:tab w:val="left" w:pos="851"/>
                        </w:tabs>
                        <w:autoSpaceDE w:val="0"/>
                        <w:autoSpaceDN w:val="0"/>
                        <w:adjustRightInd w:val="0"/>
                        <w:spacing w:after="0"/>
                        <w:ind w:left="1215"/>
                        <w:jc w:val="both"/>
                        <w:rPr>
                          <w:rFonts w:cstheme="minorHAnsi"/>
                        </w:rPr>
                      </w:pPr>
                    </w:p>
                    <w:p w14:paraId="2FA31766" w14:textId="77777777" w:rsidR="005F0BE5" w:rsidRDefault="005F0BE5" w:rsidP="005F0BE5">
                      <w:pPr>
                        <w:ind w:left="2160" w:hanging="720"/>
                        <w:rPr>
                          <w:rFonts w:cstheme="minorHAnsi"/>
                        </w:rPr>
                      </w:pPr>
                      <w:r w:rsidRPr="009A728E">
                        <w:rPr>
                          <w:rFonts w:cstheme="minorHAnsi"/>
                        </w:rPr>
                        <w:t>(a)</w:t>
                      </w:r>
                      <w:r>
                        <w:rPr>
                          <w:rFonts w:cstheme="minorHAnsi"/>
                        </w:rPr>
                        <w:tab/>
                      </w:r>
                      <w:r w:rsidRPr="009A728E">
                        <w:rPr>
                          <w:rFonts w:cstheme="minorHAnsi"/>
                        </w:rPr>
                        <w:t xml:space="preserve">the local government’s decision to do the significant act was made before the caretaker period; and </w:t>
                      </w:r>
                    </w:p>
                    <w:p w14:paraId="1EC567F1" w14:textId="77777777" w:rsidR="005F0BE5" w:rsidRDefault="005F0BE5" w:rsidP="005F0BE5">
                      <w:pPr>
                        <w:ind w:left="720" w:firstLine="720"/>
                        <w:rPr>
                          <w:rFonts w:cstheme="minorHAnsi"/>
                        </w:rPr>
                      </w:pPr>
                      <w:r w:rsidRPr="009A728E">
                        <w:rPr>
                          <w:rFonts w:cstheme="minorHAnsi"/>
                        </w:rPr>
                        <w:t>(b)</w:t>
                      </w:r>
                      <w:r>
                        <w:rPr>
                          <w:rFonts w:cstheme="minorHAnsi"/>
                        </w:rPr>
                        <w:tab/>
                      </w:r>
                      <w:r w:rsidRPr="009A728E">
                        <w:rPr>
                          <w:rFonts w:cstheme="minorHAnsi"/>
                        </w:rPr>
                        <w:t xml:space="preserve">any prescribed requirements are met. </w:t>
                      </w:r>
                    </w:p>
                    <w:p w14:paraId="163151C2" w14:textId="77777777" w:rsidR="005F0BE5" w:rsidRDefault="005F0BE5" w:rsidP="007B3B6F">
                      <w:pPr>
                        <w:pStyle w:val="ListParagraph"/>
                        <w:numPr>
                          <w:ilvl w:val="0"/>
                          <w:numId w:val="561"/>
                        </w:numPr>
                        <w:tabs>
                          <w:tab w:val="left" w:pos="851"/>
                        </w:tabs>
                        <w:autoSpaceDE w:val="0"/>
                        <w:autoSpaceDN w:val="0"/>
                        <w:adjustRightInd w:val="0"/>
                        <w:spacing w:after="0"/>
                        <w:ind w:left="851" w:hanging="491"/>
                        <w:jc w:val="both"/>
                        <w:rPr>
                          <w:rFonts w:cstheme="minorHAnsi"/>
                        </w:rPr>
                      </w:pPr>
                      <w:r w:rsidRPr="009A728E">
                        <w:rPr>
                          <w:rFonts w:cstheme="minorHAnsi"/>
                        </w:rPr>
                        <w:t xml:space="preserve">A local government may do a significant act during a caretaker period if it is necessary for the local government to do the significant act during the caretaker period in order to comply with any of the following — </w:t>
                      </w:r>
                    </w:p>
                    <w:p w14:paraId="7D1A44B5" w14:textId="77777777" w:rsidR="005F0BE5" w:rsidRDefault="005F0BE5" w:rsidP="005F0BE5">
                      <w:pPr>
                        <w:pStyle w:val="ListParagraph"/>
                        <w:tabs>
                          <w:tab w:val="left" w:pos="851"/>
                        </w:tabs>
                        <w:autoSpaceDE w:val="0"/>
                        <w:autoSpaceDN w:val="0"/>
                        <w:adjustRightInd w:val="0"/>
                        <w:spacing w:after="0"/>
                        <w:ind w:left="1215"/>
                        <w:jc w:val="both"/>
                        <w:rPr>
                          <w:rFonts w:cstheme="minorHAnsi"/>
                        </w:rPr>
                      </w:pPr>
                    </w:p>
                    <w:p w14:paraId="73CACDA9" w14:textId="77777777" w:rsidR="005F0BE5" w:rsidRDefault="005F0BE5" w:rsidP="005F0BE5">
                      <w:pPr>
                        <w:ind w:left="720" w:firstLine="720"/>
                        <w:rPr>
                          <w:rFonts w:cstheme="minorHAnsi"/>
                        </w:rPr>
                      </w:pPr>
                      <w:r w:rsidRPr="009A728E">
                        <w:rPr>
                          <w:rFonts w:cstheme="minorHAnsi"/>
                        </w:rPr>
                        <w:t>(a)</w:t>
                      </w:r>
                      <w:r>
                        <w:rPr>
                          <w:rFonts w:cstheme="minorHAnsi"/>
                        </w:rPr>
                        <w:tab/>
                      </w:r>
                      <w:r w:rsidRPr="009A728E">
                        <w:rPr>
                          <w:rFonts w:cstheme="minorHAnsi"/>
                        </w:rPr>
                        <w:t xml:space="preserve">a written law; </w:t>
                      </w:r>
                    </w:p>
                    <w:p w14:paraId="4640BA9D" w14:textId="77777777" w:rsidR="005F0BE5" w:rsidRDefault="005F0BE5" w:rsidP="005F0BE5">
                      <w:pPr>
                        <w:ind w:left="720" w:firstLine="720"/>
                        <w:rPr>
                          <w:rFonts w:cstheme="minorHAnsi"/>
                        </w:rPr>
                      </w:pPr>
                      <w:r w:rsidRPr="009A728E">
                        <w:rPr>
                          <w:rFonts w:cstheme="minorHAnsi"/>
                        </w:rPr>
                        <w:t>(b)</w:t>
                      </w:r>
                      <w:r>
                        <w:rPr>
                          <w:rFonts w:cstheme="minorHAnsi"/>
                        </w:rPr>
                        <w:tab/>
                      </w:r>
                      <w:r w:rsidRPr="009A728E">
                        <w:rPr>
                          <w:rFonts w:cstheme="minorHAnsi"/>
                        </w:rPr>
                        <w:t xml:space="preserve">an order of a court or tribunal; </w:t>
                      </w:r>
                    </w:p>
                    <w:p w14:paraId="3C43FA5E" w14:textId="77777777" w:rsidR="005F0BE5" w:rsidRDefault="005F0BE5" w:rsidP="005F0BE5">
                      <w:pPr>
                        <w:ind w:left="2160" w:hanging="720"/>
                      </w:pPr>
                      <w:r w:rsidRPr="009A728E">
                        <w:rPr>
                          <w:rFonts w:cstheme="minorHAnsi"/>
                        </w:rPr>
                        <w:t>(c)</w:t>
                      </w:r>
                      <w:r>
                        <w:rPr>
                          <w:rFonts w:cstheme="minorHAnsi"/>
                        </w:rPr>
                        <w:tab/>
                      </w:r>
                      <w:r w:rsidRPr="009A728E">
                        <w:rPr>
                          <w:rFonts w:cstheme="minorHAnsi"/>
                        </w:rPr>
                        <w:t>a contractual obligation of the local government under a contract entered into by the local</w:t>
                      </w:r>
                      <w:r w:rsidRPr="009A728E">
                        <w:t xml:space="preserve"> government</w:t>
                      </w:r>
                      <w:r>
                        <w:t xml:space="preserve"> </w:t>
                      </w:r>
                      <w:r w:rsidRPr="009A728E">
                        <w:t xml:space="preserve">before the caretaker period. </w:t>
                      </w:r>
                    </w:p>
                    <w:p w14:paraId="16E8C01E" w14:textId="77777777" w:rsidR="005F0BE5" w:rsidRDefault="005F0BE5" w:rsidP="007B3B6F">
                      <w:pPr>
                        <w:pStyle w:val="ListParagraph"/>
                        <w:numPr>
                          <w:ilvl w:val="0"/>
                          <w:numId w:val="561"/>
                        </w:numPr>
                        <w:tabs>
                          <w:tab w:val="left" w:pos="851"/>
                        </w:tabs>
                        <w:autoSpaceDE w:val="0"/>
                        <w:autoSpaceDN w:val="0"/>
                        <w:adjustRightInd w:val="0"/>
                        <w:spacing w:after="0"/>
                        <w:ind w:left="851" w:hanging="491"/>
                        <w:jc w:val="both"/>
                        <w:rPr>
                          <w:rFonts w:cstheme="minorHAnsi"/>
                        </w:rPr>
                      </w:pPr>
                      <w:r w:rsidRPr="001C382F">
                        <w:rPr>
                          <w:rFonts w:cstheme="minorHAnsi"/>
                        </w:rPr>
                        <w:t xml:space="preserve">The Departmental CEO may authorise a local government to do a significant act during a caretaker period if the Departmental CEO is satisfied that it is necessary for the local government to do the significant act during the caretaker period — </w:t>
                      </w:r>
                    </w:p>
                    <w:p w14:paraId="7A1EFBD0" w14:textId="77777777" w:rsidR="005F0BE5" w:rsidRPr="001C382F" w:rsidRDefault="005F0BE5" w:rsidP="005F0BE5">
                      <w:pPr>
                        <w:pStyle w:val="ListParagraph"/>
                        <w:tabs>
                          <w:tab w:val="left" w:pos="851"/>
                        </w:tabs>
                        <w:autoSpaceDE w:val="0"/>
                        <w:autoSpaceDN w:val="0"/>
                        <w:adjustRightInd w:val="0"/>
                        <w:spacing w:after="0"/>
                        <w:ind w:left="851"/>
                        <w:jc w:val="both"/>
                        <w:rPr>
                          <w:rFonts w:cstheme="minorHAnsi"/>
                        </w:rPr>
                      </w:pPr>
                    </w:p>
                    <w:p w14:paraId="11AF4E41" w14:textId="77777777" w:rsidR="005F0BE5" w:rsidRDefault="005F0BE5" w:rsidP="005F0BE5">
                      <w:pPr>
                        <w:ind w:left="2160" w:hanging="720"/>
                      </w:pPr>
                      <w:r w:rsidRPr="000B1875">
                        <w:t>(a)</w:t>
                      </w:r>
                      <w:r>
                        <w:tab/>
                      </w:r>
                      <w:r w:rsidRPr="000B1875">
                        <w:t xml:space="preserve">because of an emergency; or </w:t>
                      </w:r>
                    </w:p>
                    <w:p w14:paraId="0D59D87A" w14:textId="77777777" w:rsidR="005F0BE5" w:rsidRDefault="005F0BE5" w:rsidP="005F0BE5">
                      <w:pPr>
                        <w:ind w:left="2160" w:hanging="720"/>
                      </w:pPr>
                      <w:r w:rsidRPr="000B1875">
                        <w:t>(b)</w:t>
                      </w:r>
                      <w:r>
                        <w:tab/>
                      </w:r>
                      <w:r w:rsidRPr="000B1875">
                        <w:t>to ensure the proper operation of the local government.</w:t>
                      </w:r>
                    </w:p>
                    <w:p w14:paraId="4AD27106" w14:textId="77777777" w:rsidR="005F0BE5" w:rsidRDefault="005F0BE5" w:rsidP="005F0BE5"/>
                  </w:txbxContent>
                </v:textbox>
                <w10:wrap type="topAndBottom" anchorx="margin"/>
              </v:shape>
            </w:pict>
          </mc:Fallback>
        </mc:AlternateContent>
      </w:r>
    </w:p>
    <w:p w14:paraId="78825F66" w14:textId="77777777" w:rsidR="005F0BE5" w:rsidRDefault="005F0BE5" w:rsidP="005F0BE5">
      <w:pPr>
        <w:autoSpaceDE w:val="0"/>
        <w:autoSpaceDN w:val="0"/>
        <w:adjustRightInd w:val="0"/>
        <w:spacing w:after="0"/>
        <w:jc w:val="both"/>
        <w:rPr>
          <w:rFonts w:cstheme="minorHAnsi"/>
        </w:rPr>
      </w:pPr>
      <w:r>
        <w:rPr>
          <w:rFonts w:cstheme="minorHAnsi"/>
        </w:rPr>
        <w:t>4</w:t>
      </w:r>
      <w:r w:rsidRPr="008D7870">
        <w:rPr>
          <w:rFonts w:cstheme="minorHAnsi"/>
        </w:rPr>
        <w:t>.</w:t>
      </w:r>
      <w:r>
        <w:rPr>
          <w:rFonts w:cstheme="minorHAnsi"/>
        </w:rPr>
        <w:tab/>
      </w:r>
      <w:r>
        <w:rPr>
          <w:rFonts w:cstheme="minorHAnsi"/>
          <w:b/>
          <w:bCs/>
        </w:rPr>
        <w:t>Caretaker</w:t>
      </w:r>
      <w:r w:rsidRPr="008C29DE">
        <w:rPr>
          <w:rFonts w:cstheme="minorHAnsi"/>
          <w:b/>
          <w:bCs/>
        </w:rPr>
        <w:t xml:space="preserve"> </w:t>
      </w:r>
      <w:r>
        <w:rPr>
          <w:rFonts w:cstheme="minorHAnsi"/>
          <w:b/>
          <w:bCs/>
        </w:rPr>
        <w:t>Period</w:t>
      </w:r>
      <w:r w:rsidRPr="008D7870">
        <w:rPr>
          <w:rFonts w:cstheme="minorHAnsi"/>
        </w:rPr>
        <w:t xml:space="preserve"> </w:t>
      </w:r>
    </w:p>
    <w:p w14:paraId="685C3E95" w14:textId="77777777" w:rsidR="005F0BE5" w:rsidRPr="002B6C6C" w:rsidRDefault="005F0BE5" w:rsidP="007B3B6F">
      <w:pPr>
        <w:pStyle w:val="ListParagraph"/>
        <w:numPr>
          <w:ilvl w:val="1"/>
          <w:numId w:val="565"/>
        </w:numPr>
        <w:autoSpaceDE w:val="0"/>
        <w:autoSpaceDN w:val="0"/>
        <w:adjustRightInd w:val="0"/>
        <w:spacing w:after="0"/>
        <w:jc w:val="both"/>
        <w:rPr>
          <w:rFonts w:cstheme="minorHAnsi"/>
        </w:rPr>
      </w:pPr>
      <w:r w:rsidRPr="002B6C6C">
        <w:rPr>
          <w:rFonts w:cstheme="minorHAnsi"/>
        </w:rPr>
        <w:t xml:space="preserve">The </w:t>
      </w:r>
      <w:r>
        <w:rPr>
          <w:rFonts w:cstheme="minorHAnsi"/>
        </w:rPr>
        <w:t>Caretaker</w:t>
      </w:r>
      <w:r w:rsidRPr="002B6C6C">
        <w:rPr>
          <w:rFonts w:cstheme="minorHAnsi"/>
        </w:rPr>
        <w:t xml:space="preserve"> </w:t>
      </w:r>
      <w:r>
        <w:rPr>
          <w:rFonts w:cstheme="minorHAnsi"/>
        </w:rPr>
        <w:t>Period</w:t>
      </w:r>
      <w:r w:rsidRPr="002B6C6C">
        <w:rPr>
          <w:rFonts w:cstheme="minorHAnsi"/>
        </w:rPr>
        <w:t xml:space="preserve"> is defined in the Act.</w:t>
      </w:r>
    </w:p>
    <w:p w14:paraId="35D9BE62" w14:textId="77777777" w:rsidR="005F0BE5" w:rsidRPr="002B6C6C" w:rsidRDefault="005F0BE5" w:rsidP="007B3B6F">
      <w:pPr>
        <w:pStyle w:val="ListParagraph"/>
        <w:numPr>
          <w:ilvl w:val="1"/>
          <w:numId w:val="565"/>
        </w:numPr>
        <w:autoSpaceDE w:val="0"/>
        <w:autoSpaceDN w:val="0"/>
        <w:adjustRightInd w:val="0"/>
        <w:spacing w:after="0"/>
        <w:jc w:val="both"/>
        <w:rPr>
          <w:rFonts w:cstheme="minorHAnsi"/>
        </w:rPr>
      </w:pPr>
      <w:r w:rsidRPr="002B6C6C">
        <w:rPr>
          <w:rFonts w:cstheme="minorHAnsi"/>
        </w:rPr>
        <w:t xml:space="preserve">The CEO will ensure as far as </w:t>
      </w:r>
      <w:r w:rsidRPr="002A7A17">
        <w:rPr>
          <w:rFonts w:cstheme="minorHAnsi"/>
        </w:rPr>
        <w:t xml:space="preserve">reasonably </w:t>
      </w:r>
      <w:r>
        <w:rPr>
          <w:rFonts w:cstheme="minorHAnsi"/>
        </w:rPr>
        <w:t>practicable</w:t>
      </w:r>
      <w:r w:rsidRPr="002B6C6C">
        <w:rPr>
          <w:rFonts w:cstheme="minorHAnsi"/>
        </w:rPr>
        <w:t xml:space="preserve"> that all council members and employees are aware of this policy at least 30 (thirty) days prior to the start of the </w:t>
      </w:r>
      <w:r>
        <w:rPr>
          <w:rFonts w:cstheme="minorHAnsi"/>
        </w:rPr>
        <w:t>Caretaker</w:t>
      </w:r>
      <w:r w:rsidRPr="002B6C6C">
        <w:rPr>
          <w:rFonts w:cstheme="minorHAnsi"/>
        </w:rPr>
        <w:t xml:space="preserve"> </w:t>
      </w:r>
      <w:r>
        <w:rPr>
          <w:rFonts w:cstheme="minorHAnsi"/>
        </w:rPr>
        <w:t>Period</w:t>
      </w:r>
      <w:r w:rsidRPr="002B6C6C">
        <w:rPr>
          <w:rFonts w:cstheme="minorHAnsi"/>
        </w:rPr>
        <w:t>.</w:t>
      </w:r>
    </w:p>
    <w:p w14:paraId="7D6990C9" w14:textId="77777777" w:rsidR="005F0BE5" w:rsidRPr="002B6C6C" w:rsidRDefault="005F0BE5" w:rsidP="005F0BE5">
      <w:pPr>
        <w:autoSpaceDE w:val="0"/>
        <w:autoSpaceDN w:val="0"/>
        <w:adjustRightInd w:val="0"/>
        <w:spacing w:after="0"/>
        <w:ind w:left="720"/>
        <w:jc w:val="both"/>
        <w:rPr>
          <w:rFonts w:cstheme="minorHAnsi"/>
        </w:rPr>
      </w:pPr>
    </w:p>
    <w:p w14:paraId="55E47165" w14:textId="77777777" w:rsidR="005F0BE5" w:rsidRPr="00D40663" w:rsidRDefault="005F0BE5" w:rsidP="005F0BE5">
      <w:pPr>
        <w:autoSpaceDE w:val="0"/>
        <w:autoSpaceDN w:val="0"/>
        <w:adjustRightInd w:val="0"/>
        <w:spacing w:after="0"/>
        <w:jc w:val="both"/>
        <w:rPr>
          <w:rFonts w:cstheme="minorHAnsi"/>
        </w:rPr>
      </w:pPr>
      <w:r>
        <w:rPr>
          <w:rFonts w:cstheme="minorHAnsi"/>
        </w:rPr>
        <w:t>5</w:t>
      </w:r>
      <w:r w:rsidRPr="00D40663">
        <w:rPr>
          <w:rFonts w:cstheme="minorHAnsi"/>
        </w:rPr>
        <w:t>.</w:t>
      </w:r>
      <w:r w:rsidRPr="00D40663">
        <w:rPr>
          <w:rFonts w:cstheme="minorHAnsi"/>
        </w:rPr>
        <w:tab/>
      </w:r>
      <w:r w:rsidRPr="00F261D6">
        <w:rPr>
          <w:rFonts w:cstheme="minorHAnsi"/>
          <w:b/>
          <w:bCs/>
        </w:rPr>
        <w:t>Significant Acts</w:t>
      </w:r>
    </w:p>
    <w:p w14:paraId="02CDF476" w14:textId="77777777" w:rsidR="005F0BE5" w:rsidRPr="002B6C6C" w:rsidRDefault="005F0BE5" w:rsidP="007B3B6F">
      <w:pPr>
        <w:pStyle w:val="ListParagraph"/>
        <w:numPr>
          <w:ilvl w:val="1"/>
          <w:numId w:val="566"/>
        </w:numPr>
        <w:autoSpaceDE w:val="0"/>
        <w:autoSpaceDN w:val="0"/>
        <w:adjustRightInd w:val="0"/>
        <w:spacing w:after="0"/>
        <w:jc w:val="both"/>
        <w:rPr>
          <w:rFonts w:cstheme="minorHAnsi"/>
        </w:rPr>
      </w:pPr>
      <w:r w:rsidRPr="002B6C6C">
        <w:rPr>
          <w:rFonts w:cstheme="minorHAnsi"/>
        </w:rPr>
        <w:t>Significant acts are dealt by the Act.</w:t>
      </w:r>
    </w:p>
    <w:p w14:paraId="32280598" w14:textId="77777777" w:rsidR="005F0BE5" w:rsidRPr="00D40663" w:rsidRDefault="005F0BE5" w:rsidP="007B3B6F">
      <w:pPr>
        <w:pStyle w:val="ListParagraph"/>
        <w:numPr>
          <w:ilvl w:val="1"/>
          <w:numId w:val="566"/>
        </w:numPr>
        <w:autoSpaceDE w:val="0"/>
        <w:autoSpaceDN w:val="0"/>
        <w:adjustRightInd w:val="0"/>
        <w:spacing w:after="0"/>
        <w:jc w:val="both"/>
        <w:rPr>
          <w:rFonts w:cstheme="minorHAnsi"/>
        </w:rPr>
      </w:pPr>
      <w:r w:rsidRPr="00D40663">
        <w:rPr>
          <w:rFonts w:cstheme="minorHAnsi"/>
        </w:rPr>
        <w:t xml:space="preserve">In accordance with Section 3.73(2) of the Act, a local government must not do a significant act during a </w:t>
      </w:r>
      <w:r>
        <w:rPr>
          <w:rFonts w:cstheme="minorHAnsi"/>
        </w:rPr>
        <w:t>Caretaker</w:t>
      </w:r>
      <w:r w:rsidRPr="00D40663">
        <w:rPr>
          <w:rFonts w:cstheme="minorHAnsi"/>
        </w:rPr>
        <w:t xml:space="preserve"> </w:t>
      </w:r>
      <w:r>
        <w:rPr>
          <w:rFonts w:cstheme="minorHAnsi"/>
        </w:rPr>
        <w:t>Period</w:t>
      </w:r>
      <w:r w:rsidRPr="00D40663">
        <w:rPr>
          <w:rFonts w:cstheme="minorHAnsi"/>
        </w:rPr>
        <w:t xml:space="preserve">. </w:t>
      </w:r>
    </w:p>
    <w:p w14:paraId="446B70F0" w14:textId="77777777" w:rsidR="005F0BE5" w:rsidRPr="00D40663" w:rsidRDefault="005F0BE5" w:rsidP="007B3B6F">
      <w:pPr>
        <w:pStyle w:val="ListParagraph"/>
        <w:numPr>
          <w:ilvl w:val="1"/>
          <w:numId w:val="566"/>
        </w:numPr>
        <w:autoSpaceDE w:val="0"/>
        <w:autoSpaceDN w:val="0"/>
        <w:adjustRightInd w:val="0"/>
        <w:spacing w:after="0"/>
        <w:jc w:val="both"/>
        <w:rPr>
          <w:rFonts w:cstheme="minorHAnsi"/>
        </w:rPr>
      </w:pPr>
      <w:r w:rsidRPr="00D40663">
        <w:rPr>
          <w:rFonts w:cstheme="minorHAnsi"/>
        </w:rPr>
        <w:t xml:space="preserve">This prohibition is subject only to the exceptions prescribed in the Act and is not subject to </w:t>
      </w:r>
      <w:r>
        <w:rPr>
          <w:rFonts w:cstheme="minorHAnsi"/>
        </w:rPr>
        <w:t>Prevailing</w:t>
      </w:r>
      <w:r w:rsidRPr="00D40663">
        <w:rPr>
          <w:rFonts w:cstheme="minorHAnsi"/>
        </w:rPr>
        <w:t xml:space="preserve"> </w:t>
      </w:r>
      <w:r>
        <w:rPr>
          <w:rFonts w:cstheme="minorHAnsi"/>
        </w:rPr>
        <w:t>Circumstances</w:t>
      </w:r>
      <w:r w:rsidRPr="00D40663">
        <w:rPr>
          <w:rFonts w:cstheme="minorHAnsi"/>
        </w:rPr>
        <w:t xml:space="preserve"> or other exceptions </w:t>
      </w:r>
      <w:r>
        <w:rPr>
          <w:rFonts w:cstheme="minorHAnsi"/>
        </w:rPr>
        <w:t xml:space="preserve">detailed </w:t>
      </w:r>
      <w:r w:rsidRPr="00D40663">
        <w:rPr>
          <w:rFonts w:cstheme="minorHAnsi"/>
        </w:rPr>
        <w:t xml:space="preserve">in this </w:t>
      </w:r>
      <w:r>
        <w:rPr>
          <w:rFonts w:cstheme="minorHAnsi"/>
        </w:rPr>
        <w:t>p</w:t>
      </w:r>
      <w:r w:rsidRPr="00D40663">
        <w:rPr>
          <w:rFonts w:cstheme="minorHAnsi"/>
        </w:rPr>
        <w:t>olicy.</w:t>
      </w:r>
    </w:p>
    <w:p w14:paraId="68D87410" w14:textId="77777777" w:rsidR="005F0BE5" w:rsidRPr="00196EA4" w:rsidRDefault="005F0BE5" w:rsidP="005F0BE5">
      <w:pPr>
        <w:autoSpaceDE w:val="0"/>
        <w:autoSpaceDN w:val="0"/>
        <w:adjustRightInd w:val="0"/>
        <w:spacing w:after="0"/>
        <w:jc w:val="both"/>
        <w:rPr>
          <w:rFonts w:cstheme="minorHAnsi"/>
          <w:highlight w:val="yellow"/>
        </w:rPr>
      </w:pPr>
    </w:p>
    <w:p w14:paraId="52E97196" w14:textId="77777777" w:rsidR="005F0BE5" w:rsidRPr="00196EA4" w:rsidRDefault="005F0BE5" w:rsidP="005F0BE5">
      <w:pPr>
        <w:autoSpaceDE w:val="0"/>
        <w:autoSpaceDN w:val="0"/>
        <w:adjustRightInd w:val="0"/>
        <w:spacing w:after="0"/>
        <w:jc w:val="both"/>
        <w:rPr>
          <w:rFonts w:cstheme="minorHAnsi"/>
        </w:rPr>
      </w:pPr>
      <w:r>
        <w:rPr>
          <w:rFonts w:cstheme="minorHAnsi"/>
        </w:rPr>
        <w:t>6</w:t>
      </w:r>
      <w:r w:rsidRPr="00196EA4">
        <w:rPr>
          <w:rFonts w:cstheme="minorHAnsi"/>
        </w:rPr>
        <w:t>.</w:t>
      </w:r>
      <w:r>
        <w:rPr>
          <w:rFonts w:cstheme="minorHAnsi"/>
        </w:rPr>
        <w:tab/>
      </w:r>
      <w:r w:rsidRPr="00FB4CBC">
        <w:rPr>
          <w:rFonts w:cstheme="minorHAnsi"/>
          <w:b/>
          <w:bCs/>
        </w:rPr>
        <w:t>Public Consultation</w:t>
      </w:r>
    </w:p>
    <w:p w14:paraId="796805A8" w14:textId="77777777" w:rsidR="005F0BE5" w:rsidRPr="008D7B08" w:rsidRDefault="005F0BE5" w:rsidP="007B3B6F">
      <w:pPr>
        <w:pStyle w:val="ListParagraph"/>
        <w:numPr>
          <w:ilvl w:val="1"/>
          <w:numId w:val="567"/>
        </w:numPr>
        <w:autoSpaceDE w:val="0"/>
        <w:autoSpaceDN w:val="0"/>
        <w:adjustRightInd w:val="0"/>
        <w:spacing w:after="0"/>
        <w:jc w:val="both"/>
        <w:rPr>
          <w:rFonts w:cstheme="minorHAnsi"/>
        </w:rPr>
      </w:pPr>
      <w:r w:rsidRPr="008D7B08">
        <w:rPr>
          <w:rFonts w:cstheme="minorHAnsi"/>
        </w:rPr>
        <w:t xml:space="preserve">It is prohibited under this policy for public consultation to be commenced during the </w:t>
      </w:r>
      <w:r>
        <w:rPr>
          <w:rFonts w:cstheme="minorHAnsi"/>
        </w:rPr>
        <w:t>Caretaker</w:t>
      </w:r>
      <w:r w:rsidRPr="008D7B08">
        <w:rPr>
          <w:rFonts w:cstheme="minorHAnsi"/>
        </w:rPr>
        <w:t xml:space="preserve"> </w:t>
      </w:r>
      <w:r>
        <w:rPr>
          <w:rFonts w:cstheme="minorHAnsi"/>
        </w:rPr>
        <w:t>Period</w:t>
      </w:r>
      <w:r w:rsidRPr="008D7B08">
        <w:rPr>
          <w:rFonts w:cstheme="minorHAnsi"/>
        </w:rPr>
        <w:t xml:space="preserve"> on an issue which is contentious.</w:t>
      </w:r>
    </w:p>
    <w:p w14:paraId="26ADEB94" w14:textId="77777777" w:rsidR="005F0BE5" w:rsidRPr="00196EA4" w:rsidRDefault="005F0BE5" w:rsidP="007B3B6F">
      <w:pPr>
        <w:pStyle w:val="ListParagraph"/>
        <w:numPr>
          <w:ilvl w:val="1"/>
          <w:numId w:val="567"/>
        </w:numPr>
        <w:autoSpaceDE w:val="0"/>
        <w:autoSpaceDN w:val="0"/>
        <w:adjustRightInd w:val="0"/>
        <w:spacing w:after="0"/>
        <w:jc w:val="both"/>
        <w:rPr>
          <w:rFonts w:cstheme="minorHAnsi"/>
        </w:rPr>
      </w:pPr>
      <w:r w:rsidRPr="00196EA4">
        <w:rPr>
          <w:rFonts w:cstheme="minorHAnsi"/>
        </w:rPr>
        <w:lastRenderedPageBreak/>
        <w:t xml:space="preserve">Despite subclause 4.1, public consultation may be commenced during a </w:t>
      </w:r>
      <w:r>
        <w:rPr>
          <w:rFonts w:cstheme="minorHAnsi"/>
        </w:rPr>
        <w:t>Caretaker</w:t>
      </w:r>
      <w:r w:rsidRPr="00196EA4">
        <w:rPr>
          <w:rFonts w:cstheme="minorHAnsi"/>
        </w:rPr>
        <w:t xml:space="preserve"> </w:t>
      </w:r>
      <w:r>
        <w:rPr>
          <w:rFonts w:cstheme="minorHAnsi"/>
        </w:rPr>
        <w:t>Period</w:t>
      </w:r>
      <w:r w:rsidRPr="00196EA4">
        <w:rPr>
          <w:rFonts w:cstheme="minorHAnsi"/>
        </w:rPr>
        <w:t xml:space="preserve"> if:</w:t>
      </w:r>
    </w:p>
    <w:p w14:paraId="793355D1" w14:textId="77777777" w:rsidR="005F0BE5" w:rsidRPr="00196EA4" w:rsidRDefault="005F0BE5" w:rsidP="005F0BE5">
      <w:pPr>
        <w:autoSpaceDE w:val="0"/>
        <w:autoSpaceDN w:val="0"/>
        <w:adjustRightInd w:val="0"/>
        <w:spacing w:after="0"/>
        <w:ind w:left="1080"/>
        <w:jc w:val="both"/>
        <w:rPr>
          <w:rFonts w:cstheme="minorHAnsi"/>
        </w:rPr>
      </w:pPr>
      <w:r>
        <w:rPr>
          <w:rFonts w:cstheme="minorHAnsi"/>
        </w:rPr>
        <w:t>6.2.1</w:t>
      </w:r>
      <w:r>
        <w:rPr>
          <w:rFonts w:cstheme="minorHAnsi"/>
        </w:rPr>
        <w:tab/>
      </w:r>
      <w:r w:rsidRPr="00196EA4">
        <w:rPr>
          <w:rFonts w:cstheme="minorHAnsi"/>
        </w:rPr>
        <w:t>the process has substantially commenced and/or approvals are in place; or</w:t>
      </w:r>
    </w:p>
    <w:p w14:paraId="417036F3" w14:textId="77777777" w:rsidR="005F0BE5" w:rsidRPr="007B40D7" w:rsidRDefault="005F0BE5" w:rsidP="005F0BE5">
      <w:pPr>
        <w:autoSpaceDE w:val="0"/>
        <w:autoSpaceDN w:val="0"/>
        <w:adjustRightInd w:val="0"/>
        <w:spacing w:after="0"/>
        <w:ind w:left="2160" w:hanging="1080"/>
        <w:jc w:val="both"/>
        <w:rPr>
          <w:rFonts w:cstheme="minorHAnsi"/>
        </w:rPr>
      </w:pPr>
      <w:r>
        <w:rPr>
          <w:rFonts w:cstheme="minorHAnsi"/>
        </w:rPr>
        <w:t>6</w:t>
      </w:r>
      <w:r w:rsidRPr="00196EA4">
        <w:rPr>
          <w:rFonts w:cstheme="minorHAnsi"/>
        </w:rPr>
        <w:t>.2.2</w:t>
      </w:r>
      <w:r w:rsidRPr="00196EA4">
        <w:rPr>
          <w:rFonts w:cstheme="minorHAnsi"/>
        </w:rPr>
        <w:tab/>
        <w:t>the consultation is a mandatory statutory process or required under existing policy</w:t>
      </w:r>
      <w:r w:rsidRPr="007B40D7">
        <w:rPr>
          <w:rFonts w:cstheme="minorHAnsi"/>
        </w:rPr>
        <w:t>.</w:t>
      </w:r>
    </w:p>
    <w:p w14:paraId="08F8E438" w14:textId="77777777" w:rsidR="005F0BE5" w:rsidRDefault="005F0BE5" w:rsidP="005F0BE5">
      <w:pPr>
        <w:autoSpaceDE w:val="0"/>
        <w:autoSpaceDN w:val="0"/>
        <w:adjustRightInd w:val="0"/>
        <w:spacing w:after="0"/>
        <w:jc w:val="both"/>
        <w:rPr>
          <w:rFonts w:cstheme="minorHAnsi"/>
        </w:rPr>
      </w:pPr>
    </w:p>
    <w:p w14:paraId="4F57E6F3" w14:textId="77777777" w:rsidR="005F0BE5" w:rsidRDefault="005F0BE5" w:rsidP="005F0BE5">
      <w:pPr>
        <w:autoSpaceDE w:val="0"/>
        <w:autoSpaceDN w:val="0"/>
        <w:adjustRightInd w:val="0"/>
        <w:spacing w:after="0"/>
        <w:jc w:val="both"/>
        <w:rPr>
          <w:rFonts w:cstheme="minorHAnsi"/>
        </w:rPr>
      </w:pPr>
      <w:r>
        <w:rPr>
          <w:rFonts w:cstheme="minorHAnsi"/>
        </w:rPr>
        <w:t>7.</w:t>
      </w:r>
      <w:r>
        <w:rPr>
          <w:rFonts w:cstheme="minorHAnsi"/>
        </w:rPr>
        <w:tab/>
      </w:r>
      <w:r w:rsidRPr="00462871">
        <w:rPr>
          <w:rFonts w:cstheme="minorHAnsi"/>
          <w:b/>
          <w:bCs/>
        </w:rPr>
        <w:t>Major Policy Decisions</w:t>
      </w:r>
    </w:p>
    <w:p w14:paraId="16C3DBDE" w14:textId="77777777" w:rsidR="005F0BE5" w:rsidRPr="002A7A17" w:rsidRDefault="005F0BE5" w:rsidP="005F0BE5">
      <w:pPr>
        <w:autoSpaceDE w:val="0"/>
        <w:autoSpaceDN w:val="0"/>
        <w:adjustRightInd w:val="0"/>
        <w:spacing w:after="0"/>
        <w:ind w:left="1440" w:hanging="720"/>
        <w:jc w:val="both"/>
        <w:rPr>
          <w:rFonts w:cstheme="minorHAnsi"/>
        </w:rPr>
      </w:pPr>
      <w:r>
        <w:rPr>
          <w:rFonts w:cstheme="minorHAnsi"/>
        </w:rPr>
        <w:t>7.1</w:t>
      </w:r>
      <w:r>
        <w:rPr>
          <w:rFonts w:cstheme="minorHAnsi"/>
        </w:rPr>
        <w:tab/>
      </w:r>
      <w:r w:rsidRPr="002A7A17">
        <w:rPr>
          <w:rFonts w:cstheme="minorHAnsi"/>
        </w:rPr>
        <w:t>As far as reasonably practicable, the Chief Executive Officer should avoid</w:t>
      </w:r>
      <w:r>
        <w:rPr>
          <w:rFonts w:cstheme="minorHAnsi"/>
        </w:rPr>
        <w:t xml:space="preserve"> </w:t>
      </w:r>
      <w:r w:rsidRPr="002A7A17">
        <w:rPr>
          <w:rFonts w:cstheme="minorHAnsi"/>
        </w:rPr>
        <w:t xml:space="preserve">scheduling </w:t>
      </w:r>
      <w:r>
        <w:rPr>
          <w:rFonts w:cstheme="minorHAnsi"/>
        </w:rPr>
        <w:t>major policy decisions</w:t>
      </w:r>
      <w:r w:rsidRPr="002A7A17">
        <w:rPr>
          <w:rFonts w:cstheme="minorHAnsi"/>
        </w:rPr>
        <w:t xml:space="preserve"> for consideration during a </w:t>
      </w:r>
      <w:r>
        <w:rPr>
          <w:rFonts w:cstheme="minorHAnsi"/>
        </w:rPr>
        <w:t>Caretaker</w:t>
      </w:r>
      <w:r w:rsidRPr="002A7A17">
        <w:rPr>
          <w:rFonts w:cstheme="minorHAnsi"/>
        </w:rPr>
        <w:t xml:space="preserve"> </w:t>
      </w:r>
      <w:r>
        <w:rPr>
          <w:rFonts w:cstheme="minorHAnsi"/>
        </w:rPr>
        <w:t>Period</w:t>
      </w:r>
      <w:r w:rsidRPr="002A7A17">
        <w:rPr>
          <w:rFonts w:cstheme="minorHAnsi"/>
        </w:rPr>
        <w:t xml:space="preserve"> and instead</w:t>
      </w:r>
      <w:r>
        <w:rPr>
          <w:rFonts w:cstheme="minorHAnsi"/>
        </w:rPr>
        <w:t xml:space="preserve"> </w:t>
      </w:r>
      <w:r w:rsidRPr="002A7A17">
        <w:rPr>
          <w:rFonts w:cstheme="minorHAnsi"/>
        </w:rPr>
        <w:t>should ensure that such decisions are either:</w:t>
      </w:r>
    </w:p>
    <w:p w14:paraId="72D68985" w14:textId="77777777" w:rsidR="005F0BE5" w:rsidRPr="002A7A17" w:rsidRDefault="005F0BE5" w:rsidP="005F0BE5">
      <w:pPr>
        <w:autoSpaceDE w:val="0"/>
        <w:autoSpaceDN w:val="0"/>
        <w:adjustRightInd w:val="0"/>
        <w:spacing w:after="0"/>
        <w:ind w:left="851" w:firstLine="589"/>
        <w:jc w:val="both"/>
        <w:rPr>
          <w:rFonts w:cstheme="minorHAnsi"/>
        </w:rPr>
      </w:pPr>
      <w:r>
        <w:rPr>
          <w:rFonts w:cstheme="minorHAnsi"/>
        </w:rPr>
        <w:t>7.1.1</w:t>
      </w:r>
      <w:r>
        <w:rPr>
          <w:rFonts w:cstheme="minorHAnsi"/>
        </w:rPr>
        <w:tab/>
      </w:r>
      <w:r w:rsidRPr="002A7A17">
        <w:rPr>
          <w:rFonts w:cstheme="minorHAnsi"/>
        </w:rPr>
        <w:t xml:space="preserve">Considered by the Council prior to the </w:t>
      </w:r>
      <w:r>
        <w:rPr>
          <w:rFonts w:cstheme="minorHAnsi"/>
        </w:rPr>
        <w:t>Caretaker Period</w:t>
      </w:r>
      <w:r w:rsidRPr="002A7A17">
        <w:rPr>
          <w:rFonts w:cstheme="minorHAnsi"/>
        </w:rPr>
        <w:t>; or</w:t>
      </w:r>
    </w:p>
    <w:p w14:paraId="2B66A429" w14:textId="77777777" w:rsidR="005F0BE5" w:rsidRPr="002A7A17" w:rsidRDefault="005F0BE5" w:rsidP="005F0BE5">
      <w:pPr>
        <w:autoSpaceDE w:val="0"/>
        <w:autoSpaceDN w:val="0"/>
        <w:adjustRightInd w:val="0"/>
        <w:spacing w:after="0"/>
        <w:ind w:left="851" w:firstLine="589"/>
        <w:jc w:val="both"/>
        <w:rPr>
          <w:rFonts w:cstheme="minorHAnsi"/>
        </w:rPr>
      </w:pPr>
      <w:r>
        <w:rPr>
          <w:rFonts w:cstheme="minorHAnsi"/>
        </w:rPr>
        <w:t>7.1.2</w:t>
      </w:r>
      <w:r>
        <w:rPr>
          <w:rFonts w:cstheme="minorHAnsi"/>
        </w:rPr>
        <w:tab/>
      </w:r>
      <w:r w:rsidRPr="002A7A17">
        <w:rPr>
          <w:rFonts w:cstheme="minorHAnsi"/>
        </w:rPr>
        <w:t>Scheduled for determination by the incoming Council.</w:t>
      </w:r>
    </w:p>
    <w:p w14:paraId="1BB481A7" w14:textId="77777777" w:rsidR="005F0BE5" w:rsidRDefault="005F0BE5" w:rsidP="005F0BE5">
      <w:pPr>
        <w:autoSpaceDE w:val="0"/>
        <w:autoSpaceDN w:val="0"/>
        <w:adjustRightInd w:val="0"/>
        <w:spacing w:after="0"/>
        <w:ind w:left="1440" w:hanging="720"/>
        <w:jc w:val="both"/>
        <w:rPr>
          <w:rFonts w:cstheme="minorHAnsi"/>
        </w:rPr>
      </w:pPr>
    </w:p>
    <w:p w14:paraId="76DEA574" w14:textId="77777777" w:rsidR="005F0BE5" w:rsidRDefault="005F0BE5" w:rsidP="005F0BE5">
      <w:pPr>
        <w:autoSpaceDE w:val="0"/>
        <w:autoSpaceDN w:val="0"/>
        <w:adjustRightInd w:val="0"/>
        <w:spacing w:after="0"/>
        <w:ind w:left="1440" w:hanging="720"/>
        <w:jc w:val="both"/>
        <w:rPr>
          <w:rFonts w:cstheme="minorHAnsi"/>
        </w:rPr>
      </w:pPr>
      <w:r w:rsidRPr="00E0327F">
        <w:rPr>
          <w:rFonts w:cstheme="minorHAnsi"/>
        </w:rPr>
        <w:t>7.</w:t>
      </w:r>
      <w:r>
        <w:rPr>
          <w:rFonts w:cstheme="minorHAnsi"/>
        </w:rPr>
        <w:t>2</w:t>
      </w:r>
      <w:r>
        <w:rPr>
          <w:rFonts w:cstheme="minorHAnsi"/>
        </w:rPr>
        <w:tab/>
      </w:r>
      <w:r w:rsidRPr="00E0327F">
        <w:rPr>
          <w:rFonts w:cstheme="minorHAnsi"/>
        </w:rPr>
        <w:t xml:space="preserve">Major </w:t>
      </w:r>
      <w:r>
        <w:rPr>
          <w:rFonts w:cstheme="minorHAnsi"/>
        </w:rPr>
        <w:t>p</w:t>
      </w:r>
      <w:r w:rsidRPr="00E0327F">
        <w:rPr>
          <w:rFonts w:cstheme="minorHAnsi"/>
        </w:rPr>
        <w:t xml:space="preserve">olicy </w:t>
      </w:r>
      <w:r>
        <w:rPr>
          <w:rFonts w:cstheme="minorHAnsi"/>
        </w:rPr>
        <w:t>d</w:t>
      </w:r>
      <w:r w:rsidRPr="00E0327F">
        <w:rPr>
          <w:rFonts w:cstheme="minorHAnsi"/>
        </w:rPr>
        <w:t xml:space="preserve">ecisions may be considered by Council if the CEO is satisfied that </w:t>
      </w:r>
      <w:r>
        <w:rPr>
          <w:rFonts w:cstheme="minorHAnsi"/>
        </w:rPr>
        <w:t>Prevailing</w:t>
      </w:r>
      <w:r w:rsidRPr="00E0327F">
        <w:rPr>
          <w:rFonts w:cstheme="minorHAnsi"/>
        </w:rPr>
        <w:t xml:space="preserve"> </w:t>
      </w:r>
      <w:r>
        <w:rPr>
          <w:rFonts w:cstheme="minorHAnsi"/>
        </w:rPr>
        <w:t>Circumstances</w:t>
      </w:r>
      <w:r w:rsidRPr="00E0327F">
        <w:rPr>
          <w:rFonts w:cstheme="minorHAnsi"/>
        </w:rPr>
        <w:t xml:space="preserve"> apply.</w:t>
      </w:r>
    </w:p>
    <w:p w14:paraId="567E3F69" w14:textId="77777777" w:rsidR="005F0BE5" w:rsidRDefault="005F0BE5" w:rsidP="005F0BE5">
      <w:pPr>
        <w:autoSpaceDE w:val="0"/>
        <w:autoSpaceDN w:val="0"/>
        <w:adjustRightInd w:val="0"/>
        <w:spacing w:after="0" w:line="240" w:lineRule="auto"/>
        <w:ind w:left="426"/>
        <w:rPr>
          <w:rFonts w:cstheme="minorHAnsi"/>
        </w:rPr>
      </w:pPr>
    </w:p>
    <w:p w14:paraId="44538B1E" w14:textId="77777777" w:rsidR="005F0BE5" w:rsidRDefault="005F0BE5" w:rsidP="005F0BE5">
      <w:pPr>
        <w:autoSpaceDE w:val="0"/>
        <w:autoSpaceDN w:val="0"/>
        <w:adjustRightInd w:val="0"/>
        <w:spacing w:after="0"/>
        <w:ind w:left="1440" w:hanging="720"/>
        <w:jc w:val="both"/>
        <w:rPr>
          <w:rFonts w:cstheme="minorHAnsi"/>
        </w:rPr>
      </w:pPr>
      <w:r>
        <w:rPr>
          <w:rFonts w:cstheme="minorHAnsi"/>
        </w:rPr>
        <w:t>7.3</w:t>
      </w:r>
      <w:r>
        <w:rPr>
          <w:rFonts w:cstheme="minorHAnsi"/>
        </w:rPr>
        <w:tab/>
      </w:r>
      <w:r w:rsidRPr="00843303">
        <w:rPr>
          <w:rFonts w:cstheme="minorHAnsi"/>
        </w:rPr>
        <w:t xml:space="preserve">As far as reasonably practicable, the Chief Executive Officer should avoid scheduling matters related to </w:t>
      </w:r>
      <w:r>
        <w:rPr>
          <w:rFonts w:cstheme="minorHAnsi"/>
        </w:rPr>
        <w:t>m</w:t>
      </w:r>
      <w:r w:rsidRPr="00843303">
        <w:rPr>
          <w:rFonts w:cstheme="minorHAnsi"/>
        </w:rPr>
        <w:t xml:space="preserve">ajor </w:t>
      </w:r>
      <w:r>
        <w:rPr>
          <w:rFonts w:cstheme="minorHAnsi"/>
        </w:rPr>
        <w:t>p</w:t>
      </w:r>
      <w:r w:rsidRPr="00843303">
        <w:rPr>
          <w:rFonts w:cstheme="minorHAnsi"/>
        </w:rPr>
        <w:t xml:space="preserve">olicy </w:t>
      </w:r>
      <w:r>
        <w:rPr>
          <w:rFonts w:cstheme="minorHAnsi"/>
        </w:rPr>
        <w:t>d</w:t>
      </w:r>
      <w:r w:rsidRPr="00843303">
        <w:rPr>
          <w:rFonts w:cstheme="minorHAnsi"/>
        </w:rPr>
        <w:t xml:space="preserve">ecisions for discussions at Council Forums, Workshops or Briefings during a </w:t>
      </w:r>
      <w:r>
        <w:rPr>
          <w:rFonts w:cstheme="minorHAnsi"/>
        </w:rPr>
        <w:t>Caretaker</w:t>
      </w:r>
      <w:r w:rsidRPr="00843303">
        <w:rPr>
          <w:rFonts w:cstheme="minorHAnsi"/>
        </w:rPr>
        <w:t xml:space="preserve"> </w:t>
      </w:r>
      <w:r>
        <w:rPr>
          <w:rFonts w:cstheme="minorHAnsi"/>
        </w:rPr>
        <w:t>Period</w:t>
      </w:r>
      <w:r w:rsidRPr="00843303">
        <w:rPr>
          <w:rFonts w:cstheme="minorHAnsi"/>
        </w:rPr>
        <w:t xml:space="preserve">. </w:t>
      </w:r>
    </w:p>
    <w:p w14:paraId="540CCDEC" w14:textId="77777777" w:rsidR="005F0BE5" w:rsidRDefault="005F0BE5" w:rsidP="005F0BE5">
      <w:pPr>
        <w:autoSpaceDE w:val="0"/>
        <w:autoSpaceDN w:val="0"/>
        <w:adjustRightInd w:val="0"/>
        <w:spacing w:after="0"/>
        <w:ind w:left="1440" w:hanging="720"/>
        <w:jc w:val="both"/>
        <w:rPr>
          <w:rFonts w:cstheme="minorHAnsi"/>
        </w:rPr>
      </w:pPr>
    </w:p>
    <w:p w14:paraId="0A44B047" w14:textId="77777777" w:rsidR="005F0BE5" w:rsidRDefault="005F0BE5" w:rsidP="005F0BE5">
      <w:pPr>
        <w:autoSpaceDE w:val="0"/>
        <w:autoSpaceDN w:val="0"/>
        <w:adjustRightInd w:val="0"/>
        <w:spacing w:after="0"/>
        <w:ind w:left="1440" w:hanging="720"/>
        <w:jc w:val="both"/>
        <w:rPr>
          <w:rFonts w:cstheme="minorHAnsi"/>
        </w:rPr>
      </w:pPr>
      <w:r>
        <w:rPr>
          <w:rFonts w:cstheme="minorHAnsi"/>
        </w:rPr>
        <w:t>7.4</w:t>
      </w:r>
      <w:r>
        <w:rPr>
          <w:rFonts w:cstheme="minorHAnsi"/>
        </w:rPr>
        <w:tab/>
      </w:r>
      <w:r w:rsidRPr="00843303">
        <w:rPr>
          <w:rFonts w:cstheme="minorHAnsi"/>
        </w:rPr>
        <w:t xml:space="preserve">Matters related to </w:t>
      </w:r>
      <w:r>
        <w:rPr>
          <w:rFonts w:cstheme="minorHAnsi"/>
        </w:rPr>
        <w:t>m</w:t>
      </w:r>
      <w:r w:rsidRPr="00843303">
        <w:rPr>
          <w:rFonts w:cstheme="minorHAnsi"/>
        </w:rPr>
        <w:t xml:space="preserve">ajor </w:t>
      </w:r>
      <w:r>
        <w:rPr>
          <w:rFonts w:cstheme="minorHAnsi"/>
        </w:rPr>
        <w:t>p</w:t>
      </w:r>
      <w:r w:rsidRPr="00843303">
        <w:rPr>
          <w:rFonts w:cstheme="minorHAnsi"/>
        </w:rPr>
        <w:t xml:space="preserve">olicy </w:t>
      </w:r>
      <w:r>
        <w:rPr>
          <w:rFonts w:cstheme="minorHAnsi"/>
        </w:rPr>
        <w:t>d</w:t>
      </w:r>
      <w:r w:rsidRPr="00843303">
        <w:rPr>
          <w:rFonts w:cstheme="minorHAnsi"/>
        </w:rPr>
        <w:t xml:space="preserve">ecisions may be scheduled for discussions at Council Forums, Workshops or Briefings during a </w:t>
      </w:r>
      <w:r>
        <w:rPr>
          <w:rFonts w:cstheme="minorHAnsi"/>
        </w:rPr>
        <w:t>Caretaker</w:t>
      </w:r>
      <w:r w:rsidRPr="00843303">
        <w:rPr>
          <w:rFonts w:cstheme="minorHAnsi"/>
        </w:rPr>
        <w:t xml:space="preserve"> </w:t>
      </w:r>
      <w:r>
        <w:rPr>
          <w:rFonts w:cstheme="minorHAnsi"/>
        </w:rPr>
        <w:t>Period</w:t>
      </w:r>
      <w:r w:rsidRPr="00843303">
        <w:rPr>
          <w:rFonts w:cstheme="minorHAnsi"/>
        </w:rPr>
        <w:t xml:space="preserve"> if the CEO is satisfied that </w:t>
      </w:r>
      <w:r>
        <w:rPr>
          <w:rFonts w:cstheme="minorHAnsi"/>
        </w:rPr>
        <w:t>Prevailing</w:t>
      </w:r>
      <w:r w:rsidRPr="00843303">
        <w:rPr>
          <w:rFonts w:cstheme="minorHAnsi"/>
        </w:rPr>
        <w:t xml:space="preserve"> </w:t>
      </w:r>
      <w:r>
        <w:rPr>
          <w:rFonts w:cstheme="minorHAnsi"/>
        </w:rPr>
        <w:t>Circumstances</w:t>
      </w:r>
      <w:r w:rsidRPr="00843303">
        <w:rPr>
          <w:rFonts w:cstheme="minorHAnsi"/>
        </w:rPr>
        <w:t xml:space="preserve"> apply</w:t>
      </w:r>
      <w:r>
        <w:rPr>
          <w:rFonts w:cstheme="minorHAnsi"/>
        </w:rPr>
        <w:t>.</w:t>
      </w:r>
    </w:p>
    <w:p w14:paraId="082B4998" w14:textId="77777777" w:rsidR="005F0BE5" w:rsidRDefault="005F0BE5" w:rsidP="005F0BE5">
      <w:pPr>
        <w:autoSpaceDE w:val="0"/>
        <w:autoSpaceDN w:val="0"/>
        <w:adjustRightInd w:val="0"/>
        <w:spacing w:after="0" w:line="240" w:lineRule="auto"/>
        <w:ind w:left="426"/>
        <w:rPr>
          <w:rFonts w:cstheme="minorHAnsi"/>
        </w:rPr>
      </w:pPr>
    </w:p>
    <w:p w14:paraId="7FB30FBA" w14:textId="77777777" w:rsidR="005F0BE5" w:rsidRPr="00866A05" w:rsidRDefault="005F0BE5" w:rsidP="005F0BE5">
      <w:pPr>
        <w:autoSpaceDE w:val="0"/>
        <w:autoSpaceDN w:val="0"/>
        <w:adjustRightInd w:val="0"/>
        <w:spacing w:after="0"/>
        <w:jc w:val="both"/>
        <w:rPr>
          <w:rFonts w:cstheme="minorHAnsi"/>
        </w:rPr>
      </w:pPr>
      <w:r w:rsidRPr="00866A05">
        <w:rPr>
          <w:rFonts w:cstheme="minorHAnsi"/>
        </w:rPr>
        <w:t xml:space="preserve">8. </w:t>
      </w:r>
      <w:r w:rsidRPr="00866A05">
        <w:rPr>
          <w:rFonts w:cstheme="minorHAnsi"/>
        </w:rPr>
        <w:tab/>
      </w:r>
      <w:r>
        <w:rPr>
          <w:rFonts w:cstheme="minorHAnsi"/>
          <w:b/>
          <w:bCs/>
        </w:rPr>
        <w:t>Prevailing</w:t>
      </w:r>
      <w:r w:rsidRPr="00866A05">
        <w:rPr>
          <w:rFonts w:cstheme="minorHAnsi"/>
          <w:b/>
          <w:bCs/>
        </w:rPr>
        <w:t xml:space="preserve"> </w:t>
      </w:r>
      <w:r>
        <w:rPr>
          <w:rFonts w:cstheme="minorHAnsi"/>
          <w:b/>
          <w:bCs/>
        </w:rPr>
        <w:t>Circumstances</w:t>
      </w:r>
    </w:p>
    <w:p w14:paraId="2ED03E3C" w14:textId="77777777" w:rsidR="005F0BE5" w:rsidRDefault="005F0BE5" w:rsidP="005F0BE5">
      <w:pPr>
        <w:autoSpaceDE w:val="0"/>
        <w:autoSpaceDN w:val="0"/>
        <w:adjustRightInd w:val="0"/>
        <w:spacing w:after="0"/>
        <w:ind w:left="1440" w:hanging="720"/>
        <w:jc w:val="both"/>
        <w:rPr>
          <w:rFonts w:cstheme="minorHAnsi"/>
        </w:rPr>
      </w:pPr>
      <w:r>
        <w:rPr>
          <w:rFonts w:cstheme="minorHAnsi"/>
        </w:rPr>
        <w:t>8</w:t>
      </w:r>
      <w:r w:rsidRPr="00116261">
        <w:rPr>
          <w:rFonts w:cstheme="minorHAnsi"/>
        </w:rPr>
        <w:t>.1.</w:t>
      </w:r>
      <w:r>
        <w:rPr>
          <w:rFonts w:cstheme="minorHAnsi"/>
        </w:rPr>
        <w:tab/>
      </w:r>
      <w:r w:rsidRPr="00116261">
        <w:rPr>
          <w:rFonts w:cstheme="minorHAnsi"/>
        </w:rPr>
        <w:t xml:space="preserve">When determining whether </w:t>
      </w:r>
      <w:r>
        <w:rPr>
          <w:rFonts w:cstheme="minorHAnsi"/>
        </w:rPr>
        <w:t>Prevailing</w:t>
      </w:r>
      <w:r w:rsidRPr="00116261">
        <w:rPr>
          <w:rFonts w:cstheme="minorHAnsi"/>
        </w:rPr>
        <w:t xml:space="preserve"> </w:t>
      </w:r>
      <w:r>
        <w:rPr>
          <w:rFonts w:cstheme="minorHAnsi"/>
        </w:rPr>
        <w:t>Circumstances</w:t>
      </w:r>
      <w:r w:rsidRPr="00116261">
        <w:rPr>
          <w:rFonts w:cstheme="minorHAnsi"/>
        </w:rPr>
        <w:t xml:space="preserve"> apply, the CEO is to have regard to </w:t>
      </w:r>
      <w:proofErr w:type="gramStart"/>
      <w:r w:rsidRPr="00116261">
        <w:rPr>
          <w:rFonts w:cstheme="minorHAnsi"/>
        </w:rPr>
        <w:t>a number of</w:t>
      </w:r>
      <w:proofErr w:type="gramEnd"/>
      <w:r w:rsidRPr="00116261">
        <w:rPr>
          <w:rFonts w:cstheme="minorHAnsi"/>
        </w:rPr>
        <w:t xml:space="preserve"> </w:t>
      </w:r>
      <w:r>
        <w:rPr>
          <w:rFonts w:cstheme="minorHAnsi"/>
        </w:rPr>
        <w:t>circumstances</w:t>
      </w:r>
      <w:r w:rsidRPr="00116261">
        <w:rPr>
          <w:rFonts w:cstheme="minorHAnsi"/>
        </w:rPr>
        <w:t xml:space="preserve"> including, but not limited to: </w:t>
      </w:r>
    </w:p>
    <w:p w14:paraId="700BB5FB" w14:textId="77777777" w:rsidR="005F0BE5" w:rsidRDefault="005F0BE5" w:rsidP="005F0BE5">
      <w:pPr>
        <w:autoSpaceDE w:val="0"/>
        <w:autoSpaceDN w:val="0"/>
        <w:adjustRightInd w:val="0"/>
        <w:spacing w:after="0"/>
        <w:ind w:left="1440"/>
        <w:jc w:val="both"/>
        <w:rPr>
          <w:rFonts w:cstheme="minorHAnsi"/>
        </w:rPr>
      </w:pPr>
      <w:r>
        <w:rPr>
          <w:rFonts w:cstheme="minorHAnsi"/>
        </w:rPr>
        <w:t>8</w:t>
      </w:r>
      <w:r w:rsidRPr="00116261">
        <w:rPr>
          <w:rFonts w:cstheme="minorHAnsi"/>
        </w:rPr>
        <w:t>.1.1</w:t>
      </w:r>
      <w:r>
        <w:rPr>
          <w:rFonts w:cstheme="minorHAnsi"/>
        </w:rPr>
        <w:tab/>
      </w:r>
      <w:r w:rsidRPr="00116261">
        <w:rPr>
          <w:rFonts w:cstheme="minorHAnsi"/>
        </w:rPr>
        <w:t>whether the decision is significant</w:t>
      </w:r>
      <w:r>
        <w:rPr>
          <w:rFonts w:cstheme="minorHAnsi"/>
        </w:rPr>
        <w:t>.</w:t>
      </w:r>
    </w:p>
    <w:p w14:paraId="0C5152C7" w14:textId="77777777" w:rsidR="005F0BE5" w:rsidRDefault="005F0BE5" w:rsidP="005F0BE5">
      <w:pPr>
        <w:autoSpaceDE w:val="0"/>
        <w:autoSpaceDN w:val="0"/>
        <w:adjustRightInd w:val="0"/>
        <w:spacing w:after="0"/>
        <w:ind w:left="1440"/>
        <w:jc w:val="both"/>
        <w:rPr>
          <w:rFonts w:cstheme="minorHAnsi"/>
        </w:rPr>
      </w:pPr>
      <w:r>
        <w:rPr>
          <w:rFonts w:cstheme="minorHAnsi"/>
        </w:rPr>
        <w:t>8</w:t>
      </w:r>
      <w:r w:rsidRPr="00116261">
        <w:rPr>
          <w:rFonts w:cstheme="minorHAnsi"/>
        </w:rPr>
        <w:t>.1.2</w:t>
      </w:r>
      <w:r>
        <w:rPr>
          <w:rFonts w:cstheme="minorHAnsi"/>
        </w:rPr>
        <w:tab/>
      </w:r>
      <w:r w:rsidRPr="00116261">
        <w:rPr>
          <w:rFonts w:cstheme="minorHAnsi"/>
        </w:rPr>
        <w:t>the urgency of the issue</w:t>
      </w:r>
      <w:r>
        <w:rPr>
          <w:rFonts w:cstheme="minorHAnsi"/>
        </w:rPr>
        <w:t>.</w:t>
      </w:r>
    </w:p>
    <w:p w14:paraId="26E141AF" w14:textId="77777777" w:rsidR="005F0BE5" w:rsidRDefault="005F0BE5" w:rsidP="005F0BE5">
      <w:pPr>
        <w:autoSpaceDE w:val="0"/>
        <w:autoSpaceDN w:val="0"/>
        <w:adjustRightInd w:val="0"/>
        <w:spacing w:after="0"/>
        <w:ind w:left="2160" w:hanging="720"/>
        <w:jc w:val="both"/>
        <w:rPr>
          <w:rFonts w:cstheme="minorHAnsi"/>
        </w:rPr>
      </w:pPr>
      <w:r>
        <w:rPr>
          <w:rFonts w:cstheme="minorHAnsi"/>
        </w:rPr>
        <w:t>8</w:t>
      </w:r>
      <w:r w:rsidRPr="00116261">
        <w:rPr>
          <w:rFonts w:cstheme="minorHAnsi"/>
        </w:rPr>
        <w:t>.1.3</w:t>
      </w:r>
      <w:r>
        <w:rPr>
          <w:rFonts w:cstheme="minorHAnsi"/>
        </w:rPr>
        <w:tab/>
      </w:r>
      <w:r w:rsidRPr="00116261">
        <w:rPr>
          <w:rFonts w:cstheme="minorHAnsi"/>
        </w:rPr>
        <w:t>whether the process has substantially commenced and/or approvals are in place</w:t>
      </w:r>
      <w:r>
        <w:rPr>
          <w:rFonts w:cstheme="minorHAnsi"/>
        </w:rPr>
        <w:t>.</w:t>
      </w:r>
    </w:p>
    <w:p w14:paraId="2AA1A28E" w14:textId="77777777" w:rsidR="005F0BE5" w:rsidRDefault="005F0BE5" w:rsidP="005F0BE5">
      <w:pPr>
        <w:autoSpaceDE w:val="0"/>
        <w:autoSpaceDN w:val="0"/>
        <w:adjustRightInd w:val="0"/>
        <w:spacing w:after="0"/>
        <w:ind w:left="1440"/>
        <w:jc w:val="both"/>
        <w:rPr>
          <w:rFonts w:cstheme="minorHAnsi"/>
        </w:rPr>
      </w:pPr>
      <w:r>
        <w:rPr>
          <w:rFonts w:cstheme="minorHAnsi"/>
        </w:rPr>
        <w:t>8</w:t>
      </w:r>
      <w:r w:rsidRPr="00116261">
        <w:rPr>
          <w:rFonts w:cstheme="minorHAnsi"/>
        </w:rPr>
        <w:t>.1.4</w:t>
      </w:r>
      <w:r>
        <w:rPr>
          <w:rFonts w:cstheme="minorHAnsi"/>
        </w:rPr>
        <w:tab/>
      </w:r>
      <w:r w:rsidRPr="00116261">
        <w:rPr>
          <w:rFonts w:cstheme="minorHAnsi"/>
        </w:rPr>
        <w:t>the possibility of legal and/or financial repercussions if it is deferred</w:t>
      </w:r>
      <w:r>
        <w:rPr>
          <w:rFonts w:cstheme="minorHAnsi"/>
        </w:rPr>
        <w:t>.</w:t>
      </w:r>
    </w:p>
    <w:p w14:paraId="15E5DC1C" w14:textId="77777777" w:rsidR="005F0BE5" w:rsidRDefault="005F0BE5" w:rsidP="005F0BE5">
      <w:pPr>
        <w:autoSpaceDE w:val="0"/>
        <w:autoSpaceDN w:val="0"/>
        <w:adjustRightInd w:val="0"/>
        <w:spacing w:after="0"/>
        <w:ind w:left="2160" w:hanging="720"/>
        <w:jc w:val="both"/>
        <w:rPr>
          <w:rFonts w:cstheme="minorHAnsi"/>
        </w:rPr>
      </w:pPr>
      <w:r>
        <w:rPr>
          <w:rFonts w:cstheme="minorHAnsi"/>
        </w:rPr>
        <w:t>8</w:t>
      </w:r>
      <w:r w:rsidRPr="00116261">
        <w:rPr>
          <w:rFonts w:cstheme="minorHAnsi"/>
        </w:rPr>
        <w:t>.1.5</w:t>
      </w:r>
      <w:r>
        <w:rPr>
          <w:rFonts w:cstheme="minorHAnsi"/>
        </w:rPr>
        <w:tab/>
        <w:t>whether</w:t>
      </w:r>
      <w:r w:rsidRPr="00116261">
        <w:rPr>
          <w:rFonts w:cstheme="minorHAnsi"/>
        </w:rPr>
        <w:t xml:space="preserve"> the consultation is a mandatory statutory process or required under existing policy</w:t>
      </w:r>
      <w:r>
        <w:rPr>
          <w:rFonts w:cstheme="minorHAnsi"/>
        </w:rPr>
        <w:t>.</w:t>
      </w:r>
    </w:p>
    <w:p w14:paraId="2E39CC54" w14:textId="77777777" w:rsidR="005F0BE5" w:rsidRDefault="005F0BE5" w:rsidP="005F0BE5">
      <w:pPr>
        <w:autoSpaceDE w:val="0"/>
        <w:autoSpaceDN w:val="0"/>
        <w:adjustRightInd w:val="0"/>
        <w:spacing w:after="0"/>
        <w:ind w:left="2160" w:hanging="720"/>
        <w:jc w:val="both"/>
        <w:rPr>
          <w:rFonts w:cstheme="minorHAnsi"/>
        </w:rPr>
      </w:pPr>
      <w:r>
        <w:rPr>
          <w:rFonts w:cstheme="minorHAnsi"/>
        </w:rPr>
        <w:t>8</w:t>
      </w:r>
      <w:r w:rsidRPr="00116261">
        <w:rPr>
          <w:rFonts w:cstheme="minorHAnsi"/>
        </w:rPr>
        <w:t>.1.6</w:t>
      </w:r>
      <w:r>
        <w:rPr>
          <w:rFonts w:cstheme="minorHAnsi"/>
        </w:rPr>
        <w:tab/>
      </w:r>
      <w:r w:rsidRPr="00116261">
        <w:rPr>
          <w:rFonts w:cstheme="minorHAnsi"/>
        </w:rPr>
        <w:t xml:space="preserve">whether the decision is likely to be controversial or contentious, and </w:t>
      </w:r>
      <w:r>
        <w:rPr>
          <w:rFonts w:cstheme="minorHAnsi"/>
        </w:rPr>
        <w:t xml:space="preserve">in </w:t>
      </w:r>
      <w:r w:rsidRPr="00116261">
        <w:rPr>
          <w:rFonts w:cstheme="minorHAnsi"/>
        </w:rPr>
        <w:t xml:space="preserve">the best interests of the </w:t>
      </w:r>
      <w:r>
        <w:rPr>
          <w:rFonts w:cstheme="minorHAnsi"/>
        </w:rPr>
        <w:t xml:space="preserve">Town. </w:t>
      </w:r>
    </w:p>
    <w:p w14:paraId="7A608828" w14:textId="77777777" w:rsidR="005F0BE5" w:rsidRDefault="005F0BE5" w:rsidP="005F0BE5">
      <w:pPr>
        <w:autoSpaceDE w:val="0"/>
        <w:autoSpaceDN w:val="0"/>
        <w:adjustRightInd w:val="0"/>
        <w:spacing w:after="0"/>
        <w:ind w:left="1440"/>
        <w:jc w:val="both"/>
        <w:rPr>
          <w:rFonts w:cstheme="minorHAnsi"/>
        </w:rPr>
      </w:pPr>
    </w:p>
    <w:p w14:paraId="645457F9" w14:textId="77777777" w:rsidR="005F0BE5" w:rsidRDefault="005F0BE5" w:rsidP="005F0BE5">
      <w:pPr>
        <w:autoSpaceDE w:val="0"/>
        <w:autoSpaceDN w:val="0"/>
        <w:adjustRightInd w:val="0"/>
        <w:spacing w:after="0"/>
        <w:ind w:left="1440" w:hanging="589"/>
        <w:jc w:val="both"/>
        <w:rPr>
          <w:rFonts w:cstheme="minorHAnsi"/>
        </w:rPr>
      </w:pPr>
      <w:r>
        <w:rPr>
          <w:rFonts w:cstheme="minorHAnsi"/>
        </w:rPr>
        <w:t>8</w:t>
      </w:r>
      <w:r w:rsidRPr="00116261">
        <w:rPr>
          <w:rFonts w:cstheme="minorHAnsi"/>
        </w:rPr>
        <w:t>.2</w:t>
      </w:r>
      <w:r>
        <w:rPr>
          <w:rFonts w:cstheme="minorHAnsi"/>
        </w:rPr>
        <w:tab/>
      </w:r>
      <w:r w:rsidRPr="00116261">
        <w:rPr>
          <w:rFonts w:cstheme="minorHAnsi"/>
        </w:rPr>
        <w:t xml:space="preserve">If the CEO is satisfied that </w:t>
      </w:r>
      <w:r>
        <w:rPr>
          <w:rFonts w:cstheme="minorHAnsi"/>
        </w:rPr>
        <w:t>Prevailing</w:t>
      </w:r>
      <w:r w:rsidRPr="00116261">
        <w:rPr>
          <w:rFonts w:cstheme="minorHAnsi"/>
        </w:rPr>
        <w:t xml:space="preserve"> </w:t>
      </w:r>
      <w:r>
        <w:rPr>
          <w:rFonts w:cstheme="minorHAnsi"/>
        </w:rPr>
        <w:t>Circumstances</w:t>
      </w:r>
      <w:r w:rsidRPr="00116261">
        <w:rPr>
          <w:rFonts w:cstheme="minorHAnsi"/>
        </w:rPr>
        <w:t xml:space="preserve"> apply, the CEO is required to provide </w:t>
      </w:r>
      <w:r>
        <w:rPr>
          <w:rFonts w:cstheme="minorHAnsi"/>
        </w:rPr>
        <w:t>council members</w:t>
      </w:r>
      <w:r w:rsidRPr="00116261">
        <w:rPr>
          <w:rFonts w:cstheme="minorHAnsi"/>
        </w:rPr>
        <w:t xml:space="preserve"> with advice setting out: </w:t>
      </w:r>
    </w:p>
    <w:p w14:paraId="620C45C3" w14:textId="77777777" w:rsidR="005F0BE5" w:rsidRDefault="005F0BE5" w:rsidP="005F0BE5">
      <w:pPr>
        <w:autoSpaceDE w:val="0"/>
        <w:autoSpaceDN w:val="0"/>
        <w:adjustRightInd w:val="0"/>
        <w:spacing w:after="0"/>
        <w:ind w:left="851" w:firstLine="589"/>
        <w:jc w:val="both"/>
        <w:rPr>
          <w:rFonts w:cstheme="minorHAnsi"/>
        </w:rPr>
      </w:pPr>
      <w:r>
        <w:rPr>
          <w:rFonts w:cstheme="minorHAnsi"/>
        </w:rPr>
        <w:t>8</w:t>
      </w:r>
      <w:r w:rsidRPr="00116261">
        <w:rPr>
          <w:rFonts w:cstheme="minorHAnsi"/>
        </w:rPr>
        <w:t>.2.1</w:t>
      </w:r>
      <w:r>
        <w:rPr>
          <w:rFonts w:cstheme="minorHAnsi"/>
        </w:rPr>
        <w:tab/>
      </w:r>
      <w:r w:rsidRPr="00116261">
        <w:rPr>
          <w:rFonts w:cstheme="minorHAnsi"/>
        </w:rPr>
        <w:t xml:space="preserve">the reasons why </w:t>
      </w:r>
      <w:r>
        <w:rPr>
          <w:rFonts w:cstheme="minorHAnsi"/>
        </w:rPr>
        <w:t>Prevailing</w:t>
      </w:r>
      <w:r w:rsidRPr="00116261">
        <w:rPr>
          <w:rFonts w:cstheme="minorHAnsi"/>
        </w:rPr>
        <w:t xml:space="preserve"> </w:t>
      </w:r>
      <w:r>
        <w:rPr>
          <w:rFonts w:cstheme="minorHAnsi"/>
        </w:rPr>
        <w:t>Circumstances</w:t>
      </w:r>
      <w:r w:rsidRPr="00116261">
        <w:rPr>
          <w:rFonts w:cstheme="minorHAnsi"/>
        </w:rPr>
        <w:t xml:space="preserve"> apply; and </w:t>
      </w:r>
    </w:p>
    <w:p w14:paraId="0BDD391D" w14:textId="77777777" w:rsidR="005F0BE5" w:rsidRDefault="005F0BE5" w:rsidP="005F0BE5">
      <w:pPr>
        <w:autoSpaceDE w:val="0"/>
        <w:autoSpaceDN w:val="0"/>
        <w:adjustRightInd w:val="0"/>
        <w:spacing w:after="0"/>
        <w:ind w:left="851" w:firstLine="589"/>
        <w:jc w:val="both"/>
        <w:rPr>
          <w:rFonts w:cstheme="minorHAnsi"/>
        </w:rPr>
      </w:pPr>
      <w:r>
        <w:rPr>
          <w:rFonts w:cstheme="minorHAnsi"/>
        </w:rPr>
        <w:t>8</w:t>
      </w:r>
      <w:r w:rsidRPr="00116261">
        <w:rPr>
          <w:rFonts w:cstheme="minorHAnsi"/>
        </w:rPr>
        <w:t>.2.2</w:t>
      </w:r>
      <w:r>
        <w:rPr>
          <w:rFonts w:cstheme="minorHAnsi"/>
        </w:rPr>
        <w:tab/>
      </w:r>
      <w:r w:rsidRPr="00116261">
        <w:rPr>
          <w:rFonts w:cstheme="minorHAnsi"/>
        </w:rPr>
        <w:t xml:space="preserve">how potential electoral impacts will be managed or mitigated. </w:t>
      </w:r>
    </w:p>
    <w:p w14:paraId="40E4B6E5" w14:textId="77777777" w:rsidR="005F0BE5" w:rsidRDefault="005F0BE5" w:rsidP="005F0BE5">
      <w:pPr>
        <w:autoSpaceDE w:val="0"/>
        <w:autoSpaceDN w:val="0"/>
        <w:adjustRightInd w:val="0"/>
        <w:spacing w:after="0"/>
        <w:ind w:left="851" w:firstLine="589"/>
        <w:jc w:val="both"/>
        <w:rPr>
          <w:rFonts w:cstheme="minorHAnsi"/>
        </w:rPr>
      </w:pPr>
    </w:p>
    <w:p w14:paraId="21495339" w14:textId="77777777" w:rsidR="005F0BE5" w:rsidRPr="00116261" w:rsidRDefault="005F0BE5" w:rsidP="005F0BE5">
      <w:pPr>
        <w:autoSpaceDE w:val="0"/>
        <w:autoSpaceDN w:val="0"/>
        <w:adjustRightInd w:val="0"/>
        <w:spacing w:after="0"/>
        <w:ind w:left="1440" w:hanging="589"/>
        <w:jc w:val="both"/>
        <w:rPr>
          <w:rFonts w:cstheme="minorHAnsi"/>
        </w:rPr>
      </w:pPr>
      <w:r>
        <w:rPr>
          <w:rFonts w:cstheme="minorHAnsi"/>
        </w:rPr>
        <w:lastRenderedPageBreak/>
        <w:t>8</w:t>
      </w:r>
      <w:r w:rsidRPr="00116261">
        <w:rPr>
          <w:rFonts w:cstheme="minorHAnsi"/>
        </w:rPr>
        <w:t>.3</w:t>
      </w:r>
      <w:r>
        <w:rPr>
          <w:rFonts w:cstheme="minorHAnsi"/>
        </w:rPr>
        <w:tab/>
      </w:r>
      <w:r w:rsidRPr="00116261">
        <w:rPr>
          <w:rFonts w:cstheme="minorHAnsi"/>
        </w:rPr>
        <w:t>Details of advice provided under this clause are to be retained, with the Forum, Workshop or Briefing notes, as a Local Government record.</w:t>
      </w:r>
    </w:p>
    <w:p w14:paraId="150A77FE" w14:textId="77777777" w:rsidR="005F0BE5" w:rsidRDefault="005F0BE5" w:rsidP="005F0BE5">
      <w:pPr>
        <w:spacing w:after="60" w:line="240" w:lineRule="auto"/>
        <w:ind w:left="851" w:right="-23" w:hanging="424"/>
        <w:rPr>
          <w:rFonts w:eastAsia="Arial" w:cstheme="minorHAnsi"/>
        </w:rPr>
      </w:pPr>
    </w:p>
    <w:p w14:paraId="4DAA0D49" w14:textId="77777777" w:rsidR="005F0BE5" w:rsidRDefault="005F0BE5" w:rsidP="005F0BE5">
      <w:pPr>
        <w:autoSpaceDE w:val="0"/>
        <w:autoSpaceDN w:val="0"/>
        <w:adjustRightInd w:val="0"/>
        <w:spacing w:after="0"/>
        <w:jc w:val="both"/>
        <w:rPr>
          <w:rFonts w:cstheme="minorHAnsi"/>
        </w:rPr>
      </w:pPr>
      <w:r w:rsidRPr="00E143F1">
        <w:rPr>
          <w:rFonts w:cstheme="minorHAnsi"/>
        </w:rPr>
        <w:t>9.</w:t>
      </w:r>
      <w:r w:rsidRPr="00E143F1">
        <w:rPr>
          <w:rFonts w:cstheme="minorHAnsi"/>
        </w:rPr>
        <w:tab/>
      </w:r>
      <w:r w:rsidRPr="004E5790">
        <w:rPr>
          <w:rFonts w:cstheme="minorHAnsi"/>
          <w:b/>
          <w:bCs/>
        </w:rPr>
        <w:t>Council Member Interactions</w:t>
      </w:r>
    </w:p>
    <w:p w14:paraId="33FD906A" w14:textId="77777777" w:rsidR="005F0BE5" w:rsidRDefault="005F0BE5" w:rsidP="005F0BE5">
      <w:pPr>
        <w:autoSpaceDE w:val="0"/>
        <w:autoSpaceDN w:val="0"/>
        <w:adjustRightInd w:val="0"/>
        <w:spacing w:after="0"/>
        <w:ind w:left="1440" w:hanging="720"/>
        <w:jc w:val="both"/>
        <w:rPr>
          <w:rFonts w:cstheme="minorHAnsi"/>
        </w:rPr>
      </w:pPr>
      <w:r>
        <w:rPr>
          <w:rFonts w:cstheme="minorHAnsi"/>
        </w:rPr>
        <w:t>9.1</w:t>
      </w:r>
      <w:r>
        <w:rPr>
          <w:rFonts w:cstheme="minorHAnsi"/>
        </w:rPr>
        <w:tab/>
      </w:r>
      <w:r w:rsidRPr="002A7A17">
        <w:rPr>
          <w:rFonts w:cstheme="minorHAnsi"/>
        </w:rPr>
        <w:t xml:space="preserve">During the </w:t>
      </w:r>
      <w:r>
        <w:rPr>
          <w:rFonts w:cstheme="minorHAnsi"/>
        </w:rPr>
        <w:t>Caretaker</w:t>
      </w:r>
      <w:r w:rsidRPr="002A7A17">
        <w:rPr>
          <w:rFonts w:cstheme="minorHAnsi"/>
        </w:rPr>
        <w:t xml:space="preserve"> </w:t>
      </w:r>
      <w:r>
        <w:rPr>
          <w:rFonts w:cstheme="minorHAnsi"/>
        </w:rPr>
        <w:t>Period</w:t>
      </w:r>
      <w:r w:rsidRPr="002A7A17">
        <w:rPr>
          <w:rFonts w:cstheme="minorHAnsi"/>
        </w:rPr>
        <w:t xml:space="preserve">, </w:t>
      </w:r>
      <w:r>
        <w:rPr>
          <w:rFonts w:cstheme="minorHAnsi"/>
        </w:rPr>
        <w:t>council members</w:t>
      </w:r>
      <w:r w:rsidRPr="002A7A17">
        <w:rPr>
          <w:rFonts w:cstheme="minorHAnsi"/>
        </w:rPr>
        <w:t xml:space="preserve"> should take particular care when:</w:t>
      </w:r>
    </w:p>
    <w:p w14:paraId="2B7FBF09" w14:textId="77777777" w:rsidR="005F0BE5" w:rsidRDefault="005F0BE5" w:rsidP="005F0BE5">
      <w:pPr>
        <w:autoSpaceDE w:val="0"/>
        <w:autoSpaceDN w:val="0"/>
        <w:adjustRightInd w:val="0"/>
        <w:spacing w:after="0"/>
        <w:ind w:left="2160" w:hanging="720"/>
        <w:jc w:val="both"/>
        <w:rPr>
          <w:rFonts w:cstheme="minorHAnsi"/>
        </w:rPr>
      </w:pPr>
      <w:r>
        <w:rPr>
          <w:rFonts w:cstheme="minorHAnsi"/>
        </w:rPr>
        <w:t>9.1.</w:t>
      </w:r>
      <w:r w:rsidRPr="002A7A17">
        <w:rPr>
          <w:rFonts w:cstheme="minorHAnsi"/>
        </w:rPr>
        <w:t>1</w:t>
      </w:r>
      <w:r>
        <w:rPr>
          <w:rFonts w:cstheme="minorHAnsi"/>
        </w:rPr>
        <w:tab/>
        <w:t>c</w:t>
      </w:r>
      <w:r w:rsidRPr="002A7A17">
        <w:rPr>
          <w:rFonts w:cstheme="minorHAnsi"/>
        </w:rPr>
        <w:t>onsidering planning matters before the Council in its role as a responsible</w:t>
      </w:r>
      <w:r>
        <w:rPr>
          <w:rFonts w:cstheme="minorHAnsi"/>
        </w:rPr>
        <w:t xml:space="preserve"> </w:t>
      </w:r>
      <w:r w:rsidRPr="002A7A17">
        <w:rPr>
          <w:rFonts w:cstheme="minorHAnsi"/>
        </w:rPr>
        <w:t xml:space="preserve">authority, under the </w:t>
      </w:r>
      <w:r w:rsidRPr="002A7A17">
        <w:rPr>
          <w:rFonts w:cstheme="minorHAnsi"/>
          <w:i/>
          <w:iCs/>
        </w:rPr>
        <w:t>Planning and Development Act 2005</w:t>
      </w:r>
      <w:r w:rsidRPr="002A7A17">
        <w:rPr>
          <w:rFonts w:cstheme="minorHAnsi"/>
        </w:rPr>
        <w:t xml:space="preserve">. </w:t>
      </w:r>
      <w:r>
        <w:rPr>
          <w:rFonts w:cstheme="minorHAnsi"/>
        </w:rPr>
        <w:t>[</w:t>
      </w:r>
      <w:r w:rsidRPr="002A7A17">
        <w:rPr>
          <w:rFonts w:cstheme="minorHAnsi"/>
        </w:rPr>
        <w:t>It should be</w:t>
      </w:r>
      <w:r>
        <w:rPr>
          <w:rFonts w:cstheme="minorHAnsi"/>
        </w:rPr>
        <w:t xml:space="preserve"> </w:t>
      </w:r>
      <w:r w:rsidRPr="002A7A17">
        <w:rPr>
          <w:rFonts w:cstheme="minorHAnsi"/>
        </w:rPr>
        <w:t>noted that items considered by the Joint Development Assessment Panel</w:t>
      </w:r>
      <w:r>
        <w:rPr>
          <w:rFonts w:cstheme="minorHAnsi"/>
        </w:rPr>
        <w:t xml:space="preserve"> </w:t>
      </w:r>
      <w:r w:rsidRPr="002A7A17">
        <w:rPr>
          <w:rFonts w:cstheme="minorHAnsi"/>
        </w:rPr>
        <w:t>are done so under an independent process and this policy does not apply</w:t>
      </w:r>
      <w:proofErr w:type="gramStart"/>
      <w:r>
        <w:rPr>
          <w:rFonts w:cstheme="minorHAnsi"/>
        </w:rPr>
        <w:t>]</w:t>
      </w:r>
      <w:r w:rsidRPr="002A7A17">
        <w:rPr>
          <w:rFonts w:cstheme="minorHAnsi"/>
        </w:rPr>
        <w:t>;</w:t>
      </w:r>
      <w:proofErr w:type="gramEnd"/>
    </w:p>
    <w:p w14:paraId="5ED0809A" w14:textId="77777777" w:rsidR="005F0BE5" w:rsidRDefault="005F0BE5" w:rsidP="005F0BE5">
      <w:pPr>
        <w:autoSpaceDE w:val="0"/>
        <w:autoSpaceDN w:val="0"/>
        <w:adjustRightInd w:val="0"/>
        <w:spacing w:after="0"/>
        <w:ind w:left="2160" w:hanging="720"/>
        <w:jc w:val="both"/>
        <w:rPr>
          <w:rFonts w:cstheme="minorHAnsi"/>
        </w:rPr>
      </w:pPr>
      <w:r>
        <w:rPr>
          <w:rFonts w:cstheme="minorHAnsi"/>
        </w:rPr>
        <w:t>9.1.2</w:t>
      </w:r>
      <w:r>
        <w:rPr>
          <w:rFonts w:cstheme="minorHAnsi"/>
        </w:rPr>
        <w:tab/>
        <w:t>u</w:t>
      </w:r>
      <w:r w:rsidRPr="002A7A17">
        <w:rPr>
          <w:rFonts w:cstheme="minorHAnsi"/>
        </w:rPr>
        <w:t>ndertaking a consultation or advocacy role on behalf of members of the</w:t>
      </w:r>
      <w:r>
        <w:rPr>
          <w:rFonts w:cstheme="minorHAnsi"/>
        </w:rPr>
        <w:t xml:space="preserve"> </w:t>
      </w:r>
      <w:r w:rsidRPr="002A7A17">
        <w:rPr>
          <w:rFonts w:cstheme="minorHAnsi"/>
        </w:rPr>
        <w:t>community;</w:t>
      </w:r>
      <w:r>
        <w:rPr>
          <w:rFonts w:cstheme="minorHAnsi"/>
        </w:rPr>
        <w:t xml:space="preserve"> and</w:t>
      </w:r>
    </w:p>
    <w:p w14:paraId="7FE286F5" w14:textId="77777777" w:rsidR="005F0BE5" w:rsidRPr="002A7A17" w:rsidRDefault="005F0BE5" w:rsidP="005F0BE5">
      <w:pPr>
        <w:autoSpaceDE w:val="0"/>
        <w:autoSpaceDN w:val="0"/>
        <w:adjustRightInd w:val="0"/>
        <w:spacing w:after="0"/>
        <w:ind w:left="2160" w:hanging="720"/>
        <w:jc w:val="both"/>
        <w:rPr>
          <w:rFonts w:cstheme="minorHAnsi"/>
        </w:rPr>
      </w:pPr>
      <w:r>
        <w:rPr>
          <w:rFonts w:cstheme="minorHAnsi"/>
        </w:rPr>
        <w:t>9.1.3</w:t>
      </w:r>
      <w:r>
        <w:rPr>
          <w:rFonts w:cstheme="minorHAnsi"/>
        </w:rPr>
        <w:tab/>
        <w:t>r</w:t>
      </w:r>
      <w:r w:rsidRPr="002A7A17">
        <w:rPr>
          <w:rFonts w:cstheme="minorHAnsi"/>
        </w:rPr>
        <w:t xml:space="preserve">epresenting the </w:t>
      </w:r>
      <w:r>
        <w:rPr>
          <w:rFonts w:cstheme="minorHAnsi"/>
        </w:rPr>
        <w:t>Town</w:t>
      </w:r>
      <w:r w:rsidRPr="002A7A17">
        <w:rPr>
          <w:rFonts w:cstheme="minorHAnsi"/>
        </w:rPr>
        <w:t>’s communications with State or Federal Government</w:t>
      </w:r>
      <w:r>
        <w:rPr>
          <w:rFonts w:cstheme="minorHAnsi"/>
        </w:rPr>
        <w:t xml:space="preserve"> </w:t>
      </w:r>
      <w:r w:rsidRPr="002A7A17">
        <w:rPr>
          <w:rFonts w:cstheme="minorHAnsi"/>
        </w:rPr>
        <w:t>entities</w:t>
      </w:r>
      <w:r>
        <w:rPr>
          <w:rFonts w:cstheme="minorHAnsi"/>
        </w:rPr>
        <w:t>.</w:t>
      </w:r>
    </w:p>
    <w:p w14:paraId="30605E3D" w14:textId="77777777" w:rsidR="005F0BE5" w:rsidRDefault="005F0BE5" w:rsidP="005F0BE5">
      <w:pPr>
        <w:spacing w:after="0" w:line="240" w:lineRule="auto"/>
        <w:ind w:left="425" w:right="-23" w:firstLine="1"/>
        <w:rPr>
          <w:rFonts w:eastAsia="Arial" w:cstheme="minorHAnsi"/>
          <w:b/>
          <w:bCs/>
        </w:rPr>
      </w:pPr>
    </w:p>
    <w:p w14:paraId="7C0C2019" w14:textId="77777777" w:rsidR="005F0BE5" w:rsidRPr="002A7A17" w:rsidRDefault="005F0BE5" w:rsidP="005F0BE5">
      <w:pPr>
        <w:autoSpaceDE w:val="0"/>
        <w:autoSpaceDN w:val="0"/>
        <w:adjustRightInd w:val="0"/>
        <w:spacing w:after="0"/>
        <w:jc w:val="both"/>
        <w:rPr>
          <w:rFonts w:cstheme="minorHAnsi"/>
        </w:rPr>
      </w:pPr>
      <w:r>
        <w:rPr>
          <w:rFonts w:cstheme="minorHAnsi"/>
        </w:rPr>
        <w:t>10.</w:t>
      </w:r>
      <w:r w:rsidRPr="00E143F1">
        <w:rPr>
          <w:rFonts w:cstheme="minorHAnsi"/>
        </w:rPr>
        <w:tab/>
      </w:r>
      <w:r w:rsidRPr="001D79A1">
        <w:rPr>
          <w:rFonts w:cstheme="minorHAnsi"/>
          <w:b/>
          <w:bCs/>
        </w:rPr>
        <w:t>Publishing Electoral Material</w:t>
      </w:r>
    </w:p>
    <w:p w14:paraId="27A34EB6"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10.1</w:t>
      </w:r>
      <w:r>
        <w:rPr>
          <w:rFonts w:cstheme="minorHAnsi"/>
        </w:rPr>
        <w:tab/>
      </w:r>
      <w:r w:rsidRPr="002A7A17">
        <w:rPr>
          <w:rFonts w:cstheme="minorHAnsi"/>
        </w:rPr>
        <w:t xml:space="preserve">The </w:t>
      </w:r>
      <w:r>
        <w:rPr>
          <w:rFonts w:cstheme="minorHAnsi"/>
        </w:rPr>
        <w:t>Town</w:t>
      </w:r>
      <w:r w:rsidRPr="002A7A17">
        <w:rPr>
          <w:rFonts w:cstheme="minorHAnsi"/>
        </w:rPr>
        <w:t xml:space="preserve"> will not print, publish or distribute, or authorise others to print,</w:t>
      </w:r>
      <w:r>
        <w:rPr>
          <w:rFonts w:cstheme="minorHAnsi"/>
        </w:rPr>
        <w:t xml:space="preserve"> </w:t>
      </w:r>
      <w:r w:rsidRPr="002A7A17">
        <w:rPr>
          <w:rFonts w:cstheme="minorHAnsi"/>
        </w:rPr>
        <w:t xml:space="preserve">publish or distribute on behalf of the </w:t>
      </w:r>
      <w:r>
        <w:rPr>
          <w:rFonts w:cstheme="minorHAnsi"/>
        </w:rPr>
        <w:t>Town</w:t>
      </w:r>
      <w:r w:rsidRPr="002A7A17">
        <w:rPr>
          <w:rFonts w:cstheme="minorHAnsi"/>
        </w:rPr>
        <w:t xml:space="preserve"> anything that contains ‘electoral</w:t>
      </w:r>
      <w:r>
        <w:rPr>
          <w:rFonts w:cstheme="minorHAnsi"/>
        </w:rPr>
        <w:t xml:space="preserve"> </w:t>
      </w:r>
      <w:r w:rsidRPr="002A7A17">
        <w:rPr>
          <w:rFonts w:cstheme="minorHAnsi"/>
        </w:rPr>
        <w:t xml:space="preserve">material’ during the </w:t>
      </w:r>
      <w:r>
        <w:rPr>
          <w:rFonts w:cstheme="minorHAnsi"/>
        </w:rPr>
        <w:t>Caretaker</w:t>
      </w:r>
      <w:r w:rsidRPr="002A7A17">
        <w:rPr>
          <w:rFonts w:cstheme="minorHAnsi"/>
        </w:rPr>
        <w:t xml:space="preserve"> </w:t>
      </w:r>
      <w:r>
        <w:rPr>
          <w:rFonts w:cstheme="minorHAnsi"/>
        </w:rPr>
        <w:t>Period</w:t>
      </w:r>
      <w:r w:rsidRPr="002A7A17">
        <w:rPr>
          <w:rFonts w:cstheme="minorHAnsi"/>
        </w:rPr>
        <w:t>, other than announcing the election,</w:t>
      </w:r>
      <w:r>
        <w:rPr>
          <w:rFonts w:cstheme="minorHAnsi"/>
        </w:rPr>
        <w:t xml:space="preserve"> </w:t>
      </w:r>
      <w:r w:rsidRPr="002A7A17">
        <w:rPr>
          <w:rFonts w:cstheme="minorHAnsi"/>
        </w:rPr>
        <w:t>encouraging residents to ensure they are enrolled on the Electoral Roll and</w:t>
      </w:r>
      <w:r>
        <w:rPr>
          <w:rFonts w:cstheme="minorHAnsi"/>
        </w:rPr>
        <w:t xml:space="preserve"> </w:t>
      </w:r>
      <w:r w:rsidRPr="002A7A17">
        <w:rPr>
          <w:rFonts w:cstheme="minorHAnsi"/>
        </w:rPr>
        <w:t xml:space="preserve">encouraging them to vote. </w:t>
      </w:r>
    </w:p>
    <w:p w14:paraId="3F0F64DF"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10.2</w:t>
      </w:r>
      <w:r>
        <w:rPr>
          <w:rFonts w:cstheme="minorHAnsi"/>
        </w:rPr>
        <w:tab/>
        <w:t>In accordance with section 5.42 of the Act t</w:t>
      </w:r>
      <w:r w:rsidRPr="002A7A17">
        <w:rPr>
          <w:rFonts w:cstheme="minorHAnsi"/>
        </w:rPr>
        <w:t xml:space="preserve">he </w:t>
      </w:r>
      <w:r>
        <w:rPr>
          <w:rFonts w:cstheme="minorHAnsi"/>
        </w:rPr>
        <w:t>Town</w:t>
      </w:r>
      <w:r w:rsidRPr="002A7A17">
        <w:rPr>
          <w:rFonts w:cstheme="minorHAnsi"/>
        </w:rPr>
        <w:t xml:space="preserve"> will publish the </w:t>
      </w:r>
      <w:r>
        <w:rPr>
          <w:rFonts w:cstheme="minorHAnsi"/>
        </w:rPr>
        <w:t>required information about all candidates on its website.</w:t>
      </w:r>
    </w:p>
    <w:p w14:paraId="4C9DA729"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10.3</w:t>
      </w:r>
      <w:r>
        <w:rPr>
          <w:rFonts w:cstheme="minorHAnsi"/>
        </w:rPr>
        <w:tab/>
        <w:t xml:space="preserve">Other than information published in accordance with the Act, during the Caretaker Period no additions or changes will be made to information on the Town’s website about </w:t>
      </w:r>
      <w:r w:rsidRPr="002A7A17">
        <w:rPr>
          <w:rFonts w:cstheme="minorHAnsi"/>
        </w:rPr>
        <w:t xml:space="preserve">current </w:t>
      </w:r>
      <w:r>
        <w:rPr>
          <w:rFonts w:cstheme="minorHAnsi"/>
        </w:rPr>
        <w:t>council members</w:t>
      </w:r>
      <w:r w:rsidRPr="002A7A17">
        <w:rPr>
          <w:rFonts w:cstheme="minorHAnsi"/>
        </w:rPr>
        <w:t xml:space="preserve"> who are</w:t>
      </w:r>
      <w:r>
        <w:rPr>
          <w:rFonts w:cstheme="minorHAnsi"/>
        </w:rPr>
        <w:t xml:space="preserve"> </w:t>
      </w:r>
      <w:r w:rsidRPr="002A7A17">
        <w:rPr>
          <w:rFonts w:cstheme="minorHAnsi"/>
        </w:rPr>
        <w:t>standing for re-election.</w:t>
      </w:r>
    </w:p>
    <w:p w14:paraId="5722BC2A" w14:textId="77777777" w:rsidR="005F0BE5" w:rsidRPr="002A7A17" w:rsidRDefault="005F0BE5" w:rsidP="005F0BE5">
      <w:pPr>
        <w:autoSpaceDE w:val="0"/>
        <w:autoSpaceDN w:val="0"/>
        <w:adjustRightInd w:val="0"/>
        <w:spacing w:after="0" w:line="240" w:lineRule="auto"/>
        <w:ind w:left="851"/>
        <w:rPr>
          <w:rFonts w:cstheme="minorHAnsi"/>
        </w:rPr>
      </w:pPr>
    </w:p>
    <w:p w14:paraId="6A998327" w14:textId="77777777" w:rsidR="005F0BE5" w:rsidRDefault="005F0BE5" w:rsidP="005F0BE5">
      <w:pPr>
        <w:autoSpaceDE w:val="0"/>
        <w:autoSpaceDN w:val="0"/>
        <w:adjustRightInd w:val="0"/>
        <w:spacing w:after="0"/>
        <w:jc w:val="both"/>
        <w:rPr>
          <w:rFonts w:cstheme="minorHAnsi"/>
        </w:rPr>
      </w:pPr>
      <w:r>
        <w:rPr>
          <w:rFonts w:cstheme="minorHAnsi"/>
        </w:rPr>
        <w:t>11</w:t>
      </w:r>
      <w:r w:rsidRPr="002A7A17">
        <w:rPr>
          <w:rFonts w:cstheme="minorHAnsi"/>
        </w:rPr>
        <w:t xml:space="preserve">. </w:t>
      </w:r>
      <w:r>
        <w:rPr>
          <w:rFonts w:cstheme="minorHAnsi"/>
        </w:rPr>
        <w:tab/>
      </w:r>
      <w:r w:rsidRPr="000C781C">
        <w:rPr>
          <w:rFonts w:cstheme="minorHAnsi"/>
          <w:b/>
          <w:bCs/>
        </w:rPr>
        <w:t xml:space="preserve">Candidate and/or </w:t>
      </w:r>
      <w:r>
        <w:rPr>
          <w:rFonts w:cstheme="minorHAnsi"/>
          <w:b/>
          <w:bCs/>
        </w:rPr>
        <w:t>Council</w:t>
      </w:r>
      <w:r w:rsidRPr="000C781C">
        <w:rPr>
          <w:rFonts w:cstheme="minorHAnsi"/>
          <w:b/>
          <w:bCs/>
        </w:rPr>
        <w:t xml:space="preserve"> Member Publications</w:t>
      </w:r>
    </w:p>
    <w:p w14:paraId="7FBE7E26"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11.1</w:t>
      </w:r>
      <w:r>
        <w:rPr>
          <w:rFonts w:cstheme="minorHAnsi"/>
        </w:rPr>
        <w:tab/>
      </w:r>
      <w:r w:rsidRPr="002A7A17">
        <w:rPr>
          <w:rFonts w:cstheme="minorHAnsi"/>
        </w:rPr>
        <w:t xml:space="preserve">Candidates and/or </w:t>
      </w:r>
      <w:r>
        <w:rPr>
          <w:rFonts w:cstheme="minorHAnsi"/>
        </w:rPr>
        <w:t>council members who publish electoral material must not claim or represent that the electoral material originates from or is authorised by the Town</w:t>
      </w:r>
      <w:r w:rsidRPr="002A7A17">
        <w:rPr>
          <w:rFonts w:cstheme="minorHAnsi"/>
        </w:rPr>
        <w:t xml:space="preserve">. </w:t>
      </w:r>
    </w:p>
    <w:p w14:paraId="49FA79F4"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11.2</w:t>
      </w:r>
      <w:r>
        <w:rPr>
          <w:rFonts w:cstheme="minorHAnsi"/>
        </w:rPr>
        <w:tab/>
        <w:t>T</w:t>
      </w:r>
      <w:r w:rsidRPr="002A7A17">
        <w:rPr>
          <w:rFonts w:cstheme="minorHAnsi"/>
        </w:rPr>
        <w:t xml:space="preserve">he </w:t>
      </w:r>
      <w:r>
        <w:rPr>
          <w:rFonts w:cstheme="minorHAnsi"/>
        </w:rPr>
        <w:t>Town of East Fremantle</w:t>
      </w:r>
      <w:r w:rsidRPr="002A7A17">
        <w:rPr>
          <w:rFonts w:cstheme="minorHAnsi"/>
        </w:rPr>
        <w:t xml:space="preserve"> logo or crest or anything resembling them </w:t>
      </w:r>
      <w:r>
        <w:rPr>
          <w:rFonts w:cstheme="minorHAnsi"/>
        </w:rPr>
        <w:t>must not be used in electoral material</w:t>
      </w:r>
      <w:r w:rsidRPr="002A7A17">
        <w:rPr>
          <w:rFonts w:cstheme="minorHAnsi"/>
        </w:rPr>
        <w:t>.</w:t>
      </w:r>
    </w:p>
    <w:p w14:paraId="2925731D" w14:textId="77777777" w:rsidR="005F0BE5" w:rsidRPr="002A7A17" w:rsidRDefault="005F0BE5" w:rsidP="005F0BE5">
      <w:pPr>
        <w:autoSpaceDE w:val="0"/>
        <w:autoSpaceDN w:val="0"/>
        <w:adjustRightInd w:val="0"/>
        <w:spacing w:after="0" w:line="240" w:lineRule="auto"/>
        <w:ind w:left="851"/>
        <w:rPr>
          <w:rFonts w:cstheme="minorHAnsi"/>
        </w:rPr>
      </w:pPr>
    </w:p>
    <w:p w14:paraId="1CBDE179" w14:textId="77777777" w:rsidR="005F0BE5" w:rsidRPr="002A7A17" w:rsidRDefault="005F0BE5" w:rsidP="005F0BE5">
      <w:pPr>
        <w:autoSpaceDE w:val="0"/>
        <w:autoSpaceDN w:val="0"/>
        <w:adjustRightInd w:val="0"/>
        <w:spacing w:after="0"/>
        <w:jc w:val="both"/>
        <w:rPr>
          <w:rFonts w:cstheme="minorHAnsi"/>
        </w:rPr>
      </w:pPr>
      <w:r>
        <w:rPr>
          <w:rFonts w:cstheme="minorHAnsi"/>
        </w:rPr>
        <w:t>12</w:t>
      </w:r>
      <w:r w:rsidRPr="002A7A17">
        <w:rPr>
          <w:rFonts w:cstheme="minorHAnsi"/>
        </w:rPr>
        <w:t xml:space="preserve">. </w:t>
      </w:r>
      <w:r>
        <w:rPr>
          <w:rFonts w:cstheme="minorHAnsi"/>
        </w:rPr>
        <w:tab/>
      </w:r>
      <w:r w:rsidRPr="00545A28">
        <w:rPr>
          <w:rFonts w:cstheme="minorHAnsi"/>
          <w:b/>
          <w:bCs/>
        </w:rPr>
        <w:t>Town of East Fremantle Publications</w:t>
      </w:r>
    </w:p>
    <w:p w14:paraId="2CFB4621" w14:textId="77777777" w:rsidR="005F0BE5" w:rsidRDefault="005F0BE5" w:rsidP="005F0BE5">
      <w:pPr>
        <w:autoSpaceDE w:val="0"/>
        <w:autoSpaceDN w:val="0"/>
        <w:adjustRightInd w:val="0"/>
        <w:spacing w:after="0" w:line="240" w:lineRule="auto"/>
        <w:ind w:left="1440" w:hanging="589"/>
        <w:jc w:val="both"/>
        <w:rPr>
          <w:rFonts w:cstheme="minorHAnsi"/>
        </w:rPr>
      </w:pPr>
      <w:r w:rsidRPr="00DD75E8">
        <w:rPr>
          <w:rFonts w:cstheme="minorHAnsi"/>
        </w:rPr>
        <w:t>12.1</w:t>
      </w:r>
      <w:r w:rsidRPr="00DD75E8">
        <w:rPr>
          <w:rFonts w:cstheme="minorHAnsi"/>
        </w:rPr>
        <w:tab/>
        <w:t xml:space="preserve">There will be no interviews with council members or images of any council member in the Town’s printed material during the </w:t>
      </w:r>
      <w:r>
        <w:rPr>
          <w:rFonts w:cstheme="minorHAnsi"/>
        </w:rPr>
        <w:t>Caretaker</w:t>
      </w:r>
      <w:r w:rsidRPr="00DD75E8">
        <w:rPr>
          <w:rFonts w:cstheme="minorHAnsi"/>
        </w:rPr>
        <w:t xml:space="preserve"> </w:t>
      </w:r>
      <w:r>
        <w:rPr>
          <w:rFonts w:cstheme="minorHAnsi"/>
        </w:rPr>
        <w:t>Period</w:t>
      </w:r>
      <w:r w:rsidRPr="00DD75E8">
        <w:rPr>
          <w:rFonts w:cstheme="minorHAnsi"/>
        </w:rPr>
        <w:t>.</w:t>
      </w:r>
    </w:p>
    <w:p w14:paraId="3EBE29CB" w14:textId="77777777" w:rsidR="005F0BE5" w:rsidRPr="002A7A17" w:rsidRDefault="005F0BE5" w:rsidP="005F0BE5">
      <w:pPr>
        <w:autoSpaceDE w:val="0"/>
        <w:autoSpaceDN w:val="0"/>
        <w:adjustRightInd w:val="0"/>
        <w:spacing w:after="0" w:line="240" w:lineRule="auto"/>
        <w:ind w:left="1440" w:hanging="589"/>
        <w:jc w:val="both"/>
        <w:rPr>
          <w:rFonts w:cstheme="minorHAnsi"/>
        </w:rPr>
      </w:pPr>
    </w:p>
    <w:p w14:paraId="2056275E"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12.2</w:t>
      </w:r>
      <w:r>
        <w:rPr>
          <w:rFonts w:cstheme="minorHAnsi"/>
        </w:rPr>
        <w:tab/>
      </w:r>
      <w:r w:rsidRPr="002A7A17">
        <w:rPr>
          <w:rFonts w:cstheme="minorHAnsi"/>
        </w:rPr>
        <w:t xml:space="preserve">This clause does not apply to information published prior to the </w:t>
      </w:r>
      <w:r>
        <w:rPr>
          <w:rFonts w:cstheme="minorHAnsi"/>
        </w:rPr>
        <w:t>Caretaker</w:t>
      </w:r>
      <w:r w:rsidRPr="002A7A17">
        <w:rPr>
          <w:rFonts w:cstheme="minorHAnsi"/>
        </w:rPr>
        <w:t xml:space="preserve"> </w:t>
      </w:r>
      <w:r>
        <w:rPr>
          <w:rFonts w:cstheme="minorHAnsi"/>
        </w:rPr>
        <w:t>Period</w:t>
      </w:r>
      <w:r w:rsidRPr="002A7A17">
        <w:rPr>
          <w:rFonts w:cstheme="minorHAnsi"/>
        </w:rPr>
        <w:t>.</w:t>
      </w:r>
    </w:p>
    <w:p w14:paraId="2430F3BA" w14:textId="77777777" w:rsidR="005F0BE5" w:rsidRPr="002A7A17" w:rsidRDefault="005F0BE5" w:rsidP="005F0BE5">
      <w:pPr>
        <w:spacing w:after="0"/>
        <w:ind w:left="851"/>
        <w:rPr>
          <w:rFonts w:cstheme="minorHAnsi"/>
        </w:rPr>
      </w:pPr>
    </w:p>
    <w:p w14:paraId="0502F15A" w14:textId="77777777" w:rsidR="005F0BE5" w:rsidRDefault="005F0BE5" w:rsidP="005F0BE5">
      <w:pPr>
        <w:autoSpaceDE w:val="0"/>
        <w:autoSpaceDN w:val="0"/>
        <w:adjustRightInd w:val="0"/>
        <w:spacing w:after="0"/>
        <w:jc w:val="both"/>
        <w:rPr>
          <w:rFonts w:cstheme="minorHAnsi"/>
          <w:b/>
          <w:bCs/>
        </w:rPr>
      </w:pPr>
      <w:r>
        <w:rPr>
          <w:rFonts w:cstheme="minorHAnsi"/>
        </w:rPr>
        <w:t>13</w:t>
      </w:r>
      <w:r w:rsidRPr="002A7A17">
        <w:rPr>
          <w:rFonts w:cstheme="minorHAnsi"/>
        </w:rPr>
        <w:t xml:space="preserve">. </w:t>
      </w:r>
      <w:r>
        <w:rPr>
          <w:rFonts w:cstheme="minorHAnsi"/>
        </w:rPr>
        <w:tab/>
      </w:r>
      <w:r w:rsidRPr="006118F9">
        <w:rPr>
          <w:rFonts w:cstheme="minorHAnsi"/>
          <w:b/>
          <w:bCs/>
        </w:rPr>
        <w:t>Media</w:t>
      </w:r>
    </w:p>
    <w:p w14:paraId="428B404B"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13.1</w:t>
      </w:r>
      <w:r w:rsidRPr="002A7A17">
        <w:rPr>
          <w:rFonts w:cstheme="minorHAnsi"/>
        </w:rPr>
        <w:t xml:space="preserve"> </w:t>
      </w:r>
      <w:r>
        <w:rPr>
          <w:rFonts w:cstheme="minorHAnsi"/>
        </w:rPr>
        <w:tab/>
        <w:t>Council members</w:t>
      </w:r>
      <w:r w:rsidRPr="002A7A17">
        <w:rPr>
          <w:rFonts w:cstheme="minorHAnsi"/>
        </w:rPr>
        <w:t xml:space="preserve"> will not use their position as an elected</w:t>
      </w:r>
      <w:r>
        <w:rPr>
          <w:rFonts w:cstheme="minorHAnsi"/>
        </w:rPr>
        <w:t xml:space="preserve"> </w:t>
      </w:r>
      <w:r w:rsidRPr="002A7A17">
        <w:rPr>
          <w:rFonts w:cstheme="minorHAnsi"/>
        </w:rPr>
        <w:t xml:space="preserve">representative or their access to </w:t>
      </w:r>
      <w:r>
        <w:rPr>
          <w:rFonts w:cstheme="minorHAnsi"/>
        </w:rPr>
        <w:t>Town</w:t>
      </w:r>
      <w:r w:rsidRPr="002A7A17">
        <w:rPr>
          <w:rFonts w:cstheme="minorHAnsi"/>
        </w:rPr>
        <w:t xml:space="preserve"> staff or resources to gain media</w:t>
      </w:r>
      <w:r>
        <w:rPr>
          <w:rFonts w:cstheme="minorHAnsi"/>
        </w:rPr>
        <w:t xml:space="preserve"> </w:t>
      </w:r>
      <w:r w:rsidRPr="002A7A17">
        <w:rPr>
          <w:rFonts w:cstheme="minorHAnsi"/>
        </w:rPr>
        <w:t>attention in support of their or any candidate’s election campaign.</w:t>
      </w:r>
    </w:p>
    <w:p w14:paraId="732E4CE4"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13.2</w:t>
      </w:r>
      <w:r w:rsidRPr="002A7A17">
        <w:rPr>
          <w:rFonts w:cstheme="minorHAnsi"/>
        </w:rPr>
        <w:t xml:space="preserve"> </w:t>
      </w:r>
      <w:r>
        <w:rPr>
          <w:rFonts w:cstheme="minorHAnsi"/>
        </w:rPr>
        <w:tab/>
      </w:r>
      <w:r w:rsidRPr="002A7A17">
        <w:rPr>
          <w:rFonts w:cstheme="minorHAnsi"/>
        </w:rPr>
        <w:t xml:space="preserve">During the </w:t>
      </w:r>
      <w:r>
        <w:rPr>
          <w:rFonts w:cstheme="minorHAnsi"/>
        </w:rPr>
        <w:t>Caretaker</w:t>
      </w:r>
      <w:r w:rsidRPr="002A7A17">
        <w:rPr>
          <w:rFonts w:cstheme="minorHAnsi"/>
        </w:rPr>
        <w:t xml:space="preserve"> </w:t>
      </w:r>
      <w:r>
        <w:rPr>
          <w:rFonts w:cstheme="minorHAnsi"/>
        </w:rPr>
        <w:t>Period</w:t>
      </w:r>
      <w:r w:rsidRPr="002A7A17">
        <w:rPr>
          <w:rFonts w:cstheme="minorHAnsi"/>
        </w:rPr>
        <w:t xml:space="preserve"> there will be no proactive publicity shots</w:t>
      </w:r>
      <w:r>
        <w:rPr>
          <w:rFonts w:cstheme="minorHAnsi"/>
        </w:rPr>
        <w:t xml:space="preserve"> </w:t>
      </w:r>
      <w:r w:rsidRPr="002A7A17">
        <w:rPr>
          <w:rFonts w:cstheme="minorHAnsi"/>
        </w:rPr>
        <w:t xml:space="preserve">used by the </w:t>
      </w:r>
      <w:r>
        <w:rPr>
          <w:rFonts w:cstheme="minorHAnsi"/>
        </w:rPr>
        <w:t>Town</w:t>
      </w:r>
      <w:r w:rsidRPr="002A7A17">
        <w:rPr>
          <w:rFonts w:cstheme="minorHAnsi"/>
        </w:rPr>
        <w:t xml:space="preserve"> in any form involving any </w:t>
      </w:r>
      <w:r>
        <w:rPr>
          <w:rFonts w:cstheme="minorHAnsi"/>
        </w:rPr>
        <w:t>council member</w:t>
      </w:r>
      <w:r w:rsidRPr="002A7A17">
        <w:rPr>
          <w:rFonts w:cstheme="minorHAnsi"/>
        </w:rPr>
        <w:t>, except</w:t>
      </w:r>
      <w:r>
        <w:rPr>
          <w:rFonts w:cstheme="minorHAnsi"/>
        </w:rPr>
        <w:t xml:space="preserve"> </w:t>
      </w:r>
      <w:r w:rsidRPr="002A7A17">
        <w:rPr>
          <w:rFonts w:cstheme="minorHAnsi"/>
        </w:rPr>
        <w:t xml:space="preserve">the </w:t>
      </w:r>
      <w:proofErr w:type="gramStart"/>
      <w:r w:rsidRPr="002A7A17">
        <w:rPr>
          <w:rFonts w:cstheme="minorHAnsi"/>
        </w:rPr>
        <w:t>Mayor</w:t>
      </w:r>
      <w:proofErr w:type="gramEnd"/>
      <w:r w:rsidRPr="002A7A17">
        <w:rPr>
          <w:rFonts w:cstheme="minorHAnsi"/>
        </w:rPr>
        <w:t>.</w:t>
      </w:r>
    </w:p>
    <w:p w14:paraId="5248CA40"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13.3</w:t>
      </w:r>
      <w:r w:rsidRPr="002A7A17">
        <w:rPr>
          <w:rFonts w:cstheme="minorHAnsi"/>
        </w:rPr>
        <w:t xml:space="preserve"> </w:t>
      </w:r>
      <w:r>
        <w:rPr>
          <w:rFonts w:cstheme="minorHAnsi"/>
        </w:rPr>
        <w:tab/>
      </w:r>
      <w:r w:rsidRPr="002A7A17">
        <w:rPr>
          <w:rFonts w:cstheme="minorHAnsi"/>
        </w:rPr>
        <w:t>The Mayor will still be quoted in media responses during the</w:t>
      </w:r>
      <w:r>
        <w:rPr>
          <w:rFonts w:cstheme="minorHAnsi"/>
        </w:rPr>
        <w:t xml:space="preserve"> Caretaker</w:t>
      </w:r>
      <w:r w:rsidRPr="002A7A17">
        <w:rPr>
          <w:rFonts w:cstheme="minorHAnsi"/>
        </w:rPr>
        <w:t xml:space="preserve"> </w:t>
      </w:r>
      <w:r>
        <w:rPr>
          <w:rFonts w:cstheme="minorHAnsi"/>
        </w:rPr>
        <w:t>Period</w:t>
      </w:r>
      <w:r w:rsidRPr="002A7A17">
        <w:rPr>
          <w:rFonts w:cstheme="minorHAnsi"/>
        </w:rPr>
        <w:t xml:space="preserve"> when providing information as spokesperson on</w:t>
      </w:r>
      <w:r>
        <w:rPr>
          <w:rFonts w:cstheme="minorHAnsi"/>
        </w:rPr>
        <w:t xml:space="preserve"> </w:t>
      </w:r>
      <w:r w:rsidRPr="002A7A17">
        <w:rPr>
          <w:rFonts w:cstheme="minorHAnsi"/>
        </w:rPr>
        <w:t xml:space="preserve">behalf of the </w:t>
      </w:r>
      <w:r>
        <w:rPr>
          <w:rFonts w:cstheme="minorHAnsi"/>
        </w:rPr>
        <w:t>Town</w:t>
      </w:r>
      <w:r w:rsidRPr="002A7A17">
        <w:rPr>
          <w:rFonts w:cstheme="minorHAnsi"/>
        </w:rPr>
        <w:t>.</w:t>
      </w:r>
    </w:p>
    <w:p w14:paraId="4D83EA2B"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lastRenderedPageBreak/>
        <w:t>13.4</w:t>
      </w:r>
      <w:r w:rsidRPr="002A7A17">
        <w:rPr>
          <w:rFonts w:cstheme="minorHAnsi"/>
        </w:rPr>
        <w:t xml:space="preserve"> </w:t>
      </w:r>
      <w:r>
        <w:rPr>
          <w:rFonts w:cstheme="minorHAnsi"/>
        </w:rPr>
        <w:tab/>
      </w:r>
      <w:r w:rsidRPr="002A7A17">
        <w:rPr>
          <w:rFonts w:cstheme="minorHAnsi"/>
        </w:rPr>
        <w:t>Proactive statements in the media will be monitored under the</w:t>
      </w:r>
      <w:r>
        <w:rPr>
          <w:rFonts w:cstheme="minorHAnsi"/>
        </w:rPr>
        <w:t xml:space="preserve"> </w:t>
      </w:r>
      <w:r w:rsidRPr="002A7A17">
        <w:rPr>
          <w:rFonts w:cstheme="minorHAnsi"/>
        </w:rPr>
        <w:t xml:space="preserve">direction of the CEO during the </w:t>
      </w:r>
      <w:r>
        <w:rPr>
          <w:rFonts w:cstheme="minorHAnsi"/>
        </w:rPr>
        <w:t>Caretaker</w:t>
      </w:r>
      <w:r w:rsidRPr="002A7A17">
        <w:rPr>
          <w:rFonts w:cstheme="minorHAnsi"/>
        </w:rPr>
        <w:t xml:space="preserve"> </w:t>
      </w:r>
      <w:r>
        <w:rPr>
          <w:rFonts w:cstheme="minorHAnsi"/>
        </w:rPr>
        <w:t>Period</w:t>
      </w:r>
      <w:r w:rsidRPr="002A7A17">
        <w:rPr>
          <w:rFonts w:cstheme="minorHAnsi"/>
        </w:rPr>
        <w:t xml:space="preserve"> to ensure</w:t>
      </w:r>
      <w:r>
        <w:rPr>
          <w:rFonts w:cstheme="minorHAnsi"/>
        </w:rPr>
        <w:t xml:space="preserve"> </w:t>
      </w:r>
      <w:r w:rsidRPr="002A7A17">
        <w:rPr>
          <w:rFonts w:cstheme="minorHAnsi"/>
        </w:rPr>
        <w:t>compliance with these provisions.</w:t>
      </w:r>
    </w:p>
    <w:p w14:paraId="58BB4332"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13.5</w:t>
      </w:r>
      <w:r w:rsidRPr="002A7A17">
        <w:rPr>
          <w:rFonts w:cstheme="minorHAnsi"/>
        </w:rPr>
        <w:t xml:space="preserve"> </w:t>
      </w:r>
      <w:r>
        <w:rPr>
          <w:rFonts w:cstheme="minorHAnsi"/>
        </w:rPr>
        <w:tab/>
      </w:r>
      <w:r w:rsidRPr="002A7A17">
        <w:rPr>
          <w:rFonts w:cstheme="minorHAnsi"/>
        </w:rPr>
        <w:t xml:space="preserve">Proactive media during the </w:t>
      </w:r>
      <w:r>
        <w:rPr>
          <w:rFonts w:cstheme="minorHAnsi"/>
        </w:rPr>
        <w:t>Caretaker</w:t>
      </w:r>
      <w:r w:rsidRPr="002A7A17">
        <w:rPr>
          <w:rFonts w:cstheme="minorHAnsi"/>
        </w:rPr>
        <w:t xml:space="preserve"> </w:t>
      </w:r>
      <w:r>
        <w:rPr>
          <w:rFonts w:cstheme="minorHAnsi"/>
        </w:rPr>
        <w:t>Period</w:t>
      </w:r>
      <w:r w:rsidRPr="002A7A17">
        <w:rPr>
          <w:rFonts w:cstheme="minorHAnsi"/>
        </w:rPr>
        <w:t xml:space="preserve"> will be restricted to</w:t>
      </w:r>
      <w:r>
        <w:rPr>
          <w:rFonts w:cstheme="minorHAnsi"/>
        </w:rPr>
        <w:t xml:space="preserve"> </w:t>
      </w:r>
      <w:r w:rsidRPr="002A7A17">
        <w:rPr>
          <w:rFonts w:cstheme="minorHAnsi"/>
        </w:rPr>
        <w:t>operational matters or issues already resolved by Council.</w:t>
      </w:r>
    </w:p>
    <w:p w14:paraId="230DAB42"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13.6</w:t>
      </w:r>
      <w:r w:rsidRPr="002A7A17">
        <w:rPr>
          <w:rFonts w:cstheme="minorHAnsi"/>
        </w:rPr>
        <w:t xml:space="preserve"> </w:t>
      </w:r>
      <w:r>
        <w:rPr>
          <w:rFonts w:cstheme="minorHAnsi"/>
        </w:rPr>
        <w:tab/>
      </w:r>
      <w:r w:rsidRPr="002A7A17">
        <w:rPr>
          <w:rFonts w:cstheme="minorHAnsi"/>
        </w:rPr>
        <w:t xml:space="preserve">Candidates may not use the </w:t>
      </w:r>
      <w:r>
        <w:rPr>
          <w:rFonts w:cstheme="minorHAnsi"/>
        </w:rPr>
        <w:t>Town</w:t>
      </w:r>
      <w:r w:rsidRPr="002A7A17">
        <w:rPr>
          <w:rFonts w:cstheme="minorHAnsi"/>
        </w:rPr>
        <w:t>’s social media accounts to profile</w:t>
      </w:r>
      <w:r>
        <w:rPr>
          <w:rFonts w:cstheme="minorHAnsi"/>
        </w:rPr>
        <w:t xml:space="preserve"> </w:t>
      </w:r>
      <w:r w:rsidRPr="002A7A17">
        <w:rPr>
          <w:rFonts w:cstheme="minorHAnsi"/>
        </w:rPr>
        <w:t>themselves, their campaign or provide any responses or comments</w:t>
      </w:r>
      <w:r>
        <w:rPr>
          <w:rFonts w:cstheme="minorHAnsi"/>
        </w:rPr>
        <w:t xml:space="preserve"> </w:t>
      </w:r>
      <w:r w:rsidRPr="002A7A17">
        <w:rPr>
          <w:rFonts w:cstheme="minorHAnsi"/>
        </w:rPr>
        <w:t xml:space="preserve">to questions or statements on the </w:t>
      </w:r>
      <w:r>
        <w:rPr>
          <w:rFonts w:cstheme="minorHAnsi"/>
        </w:rPr>
        <w:t>Town</w:t>
      </w:r>
      <w:r w:rsidRPr="002A7A17">
        <w:rPr>
          <w:rFonts w:cstheme="minorHAnsi"/>
        </w:rPr>
        <w:t>’s social media pages.</w:t>
      </w:r>
    </w:p>
    <w:p w14:paraId="5E6FD180" w14:textId="77777777" w:rsidR="005F0BE5" w:rsidRDefault="005F0BE5" w:rsidP="005F0BE5">
      <w:pPr>
        <w:spacing w:after="0" w:line="240" w:lineRule="auto"/>
        <w:ind w:left="1418" w:right="-23" w:hanging="567"/>
        <w:jc w:val="both"/>
        <w:rPr>
          <w:rFonts w:eastAsia="Arial" w:cstheme="minorHAnsi"/>
          <w:b/>
          <w:bCs/>
        </w:rPr>
      </w:pPr>
    </w:p>
    <w:p w14:paraId="02C50321" w14:textId="77777777" w:rsidR="005F0BE5" w:rsidRDefault="005F0BE5" w:rsidP="005F0BE5">
      <w:pPr>
        <w:autoSpaceDE w:val="0"/>
        <w:autoSpaceDN w:val="0"/>
        <w:adjustRightInd w:val="0"/>
        <w:spacing w:after="0"/>
        <w:jc w:val="both"/>
        <w:rPr>
          <w:rFonts w:cstheme="minorHAnsi"/>
          <w:b/>
          <w:bCs/>
        </w:rPr>
      </w:pPr>
      <w:r>
        <w:rPr>
          <w:rFonts w:cstheme="minorHAnsi"/>
        </w:rPr>
        <w:t>14</w:t>
      </w:r>
      <w:r w:rsidRPr="00E143F1">
        <w:rPr>
          <w:rFonts w:cstheme="minorHAnsi"/>
        </w:rPr>
        <w:t>.</w:t>
      </w:r>
      <w:r w:rsidRPr="00E143F1">
        <w:rPr>
          <w:rFonts w:cstheme="minorHAnsi"/>
        </w:rPr>
        <w:tab/>
      </w:r>
      <w:r w:rsidRPr="00030765">
        <w:rPr>
          <w:rFonts w:cstheme="minorHAnsi"/>
          <w:b/>
          <w:bCs/>
        </w:rPr>
        <w:t>Attendance and Participation at Events/Functions</w:t>
      </w:r>
    </w:p>
    <w:p w14:paraId="6D1F8510" w14:textId="77777777" w:rsidR="005F0BE5" w:rsidRPr="000D7668" w:rsidRDefault="005F0BE5" w:rsidP="005F0BE5">
      <w:pPr>
        <w:autoSpaceDE w:val="0"/>
        <w:autoSpaceDN w:val="0"/>
        <w:adjustRightInd w:val="0"/>
        <w:spacing w:after="0" w:line="240" w:lineRule="auto"/>
        <w:ind w:left="1440" w:hanging="589"/>
        <w:jc w:val="both"/>
        <w:rPr>
          <w:rFonts w:cstheme="minorHAnsi"/>
        </w:rPr>
      </w:pPr>
      <w:r>
        <w:rPr>
          <w:rFonts w:cstheme="minorHAnsi"/>
        </w:rPr>
        <w:t>14.</w:t>
      </w:r>
      <w:r w:rsidRPr="000D7668">
        <w:rPr>
          <w:rFonts w:cstheme="minorHAnsi"/>
        </w:rPr>
        <w:t>1</w:t>
      </w:r>
      <w:r w:rsidRPr="000D7668">
        <w:rPr>
          <w:rFonts w:cstheme="minorHAnsi"/>
        </w:rPr>
        <w:tab/>
        <w:t>Public Events Hosted by External Bodies</w:t>
      </w:r>
    </w:p>
    <w:p w14:paraId="6743DFFD" w14:textId="77777777" w:rsidR="005F0BE5" w:rsidRPr="000D7668" w:rsidRDefault="005F0BE5" w:rsidP="005F0BE5">
      <w:pPr>
        <w:autoSpaceDE w:val="0"/>
        <w:autoSpaceDN w:val="0"/>
        <w:adjustRightInd w:val="0"/>
        <w:spacing w:after="0" w:line="240" w:lineRule="auto"/>
        <w:ind w:left="2160" w:hanging="720"/>
        <w:jc w:val="both"/>
        <w:rPr>
          <w:rFonts w:cstheme="minorHAnsi"/>
        </w:rPr>
      </w:pPr>
      <w:r>
        <w:rPr>
          <w:rFonts w:cstheme="minorHAnsi"/>
        </w:rPr>
        <w:t>14.1.1</w:t>
      </w:r>
      <w:r>
        <w:rPr>
          <w:rFonts w:cstheme="minorHAnsi"/>
        </w:rPr>
        <w:tab/>
        <w:t>Council members</w:t>
      </w:r>
      <w:r w:rsidRPr="000D7668">
        <w:rPr>
          <w:rFonts w:cstheme="minorHAnsi"/>
        </w:rPr>
        <w:t xml:space="preserve"> may continue to attend events and functions hosted by external bodies during the </w:t>
      </w:r>
      <w:r>
        <w:rPr>
          <w:rFonts w:cstheme="minorHAnsi"/>
        </w:rPr>
        <w:t>Caretaker</w:t>
      </w:r>
      <w:r w:rsidRPr="000D7668">
        <w:rPr>
          <w:rFonts w:cstheme="minorHAnsi"/>
        </w:rPr>
        <w:t xml:space="preserve"> </w:t>
      </w:r>
      <w:r>
        <w:rPr>
          <w:rFonts w:cstheme="minorHAnsi"/>
        </w:rPr>
        <w:t>Period</w:t>
      </w:r>
      <w:r w:rsidRPr="000D7668">
        <w:rPr>
          <w:rFonts w:cstheme="minorHAnsi"/>
        </w:rPr>
        <w:t xml:space="preserve"> and may appear on externally managed social media pages.</w:t>
      </w:r>
    </w:p>
    <w:p w14:paraId="31F4EDB7" w14:textId="77777777" w:rsidR="005F0BE5" w:rsidRPr="000D7668" w:rsidRDefault="005F0BE5" w:rsidP="005F0BE5">
      <w:pPr>
        <w:autoSpaceDE w:val="0"/>
        <w:autoSpaceDN w:val="0"/>
        <w:adjustRightInd w:val="0"/>
        <w:spacing w:after="0" w:line="240" w:lineRule="auto"/>
        <w:ind w:left="1440" w:hanging="589"/>
        <w:jc w:val="both"/>
        <w:rPr>
          <w:rFonts w:cstheme="minorHAnsi"/>
        </w:rPr>
      </w:pPr>
    </w:p>
    <w:p w14:paraId="1C50422D"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14.2</w:t>
      </w:r>
      <w:r>
        <w:rPr>
          <w:rFonts w:cstheme="minorHAnsi"/>
        </w:rPr>
        <w:tab/>
      </w:r>
      <w:r w:rsidRPr="000D7668">
        <w:rPr>
          <w:rFonts w:cstheme="minorHAnsi"/>
        </w:rPr>
        <w:t>Town of East Fremantle organised Civic Events/Functions/Official Openings</w:t>
      </w:r>
    </w:p>
    <w:p w14:paraId="0E7E06CB" w14:textId="77777777" w:rsidR="005F0BE5" w:rsidRDefault="005F0BE5" w:rsidP="005F0BE5">
      <w:pPr>
        <w:autoSpaceDE w:val="0"/>
        <w:autoSpaceDN w:val="0"/>
        <w:adjustRightInd w:val="0"/>
        <w:spacing w:after="0" w:line="240" w:lineRule="auto"/>
        <w:ind w:left="2160" w:hanging="720"/>
        <w:jc w:val="both"/>
        <w:rPr>
          <w:rFonts w:cstheme="minorHAnsi"/>
        </w:rPr>
      </w:pPr>
      <w:r>
        <w:rPr>
          <w:rFonts w:cstheme="minorHAnsi"/>
        </w:rPr>
        <w:t>14.2.1</w:t>
      </w:r>
      <w:r>
        <w:rPr>
          <w:rFonts w:cstheme="minorHAnsi"/>
        </w:rPr>
        <w:tab/>
      </w:r>
      <w:r w:rsidRPr="002A7A17">
        <w:rPr>
          <w:rFonts w:cstheme="minorHAnsi"/>
        </w:rPr>
        <w:t xml:space="preserve">Events and/or functions organised by the </w:t>
      </w:r>
      <w:r>
        <w:rPr>
          <w:rFonts w:cstheme="minorHAnsi"/>
        </w:rPr>
        <w:t>Town</w:t>
      </w:r>
      <w:r w:rsidRPr="002A7A17">
        <w:rPr>
          <w:rFonts w:cstheme="minorHAnsi"/>
        </w:rPr>
        <w:t xml:space="preserve"> and held during the</w:t>
      </w:r>
      <w:r>
        <w:rPr>
          <w:rFonts w:cstheme="minorHAnsi"/>
        </w:rPr>
        <w:t xml:space="preserve"> Caretaker</w:t>
      </w:r>
      <w:r w:rsidRPr="002A7A17">
        <w:rPr>
          <w:rFonts w:cstheme="minorHAnsi"/>
        </w:rPr>
        <w:t xml:space="preserve"> </w:t>
      </w:r>
      <w:r>
        <w:rPr>
          <w:rFonts w:cstheme="minorHAnsi"/>
        </w:rPr>
        <w:t>Period</w:t>
      </w:r>
      <w:r w:rsidRPr="002A7A17">
        <w:rPr>
          <w:rFonts w:cstheme="minorHAnsi"/>
        </w:rPr>
        <w:t xml:space="preserve"> will be limited to only those that the </w:t>
      </w:r>
      <w:r>
        <w:rPr>
          <w:rFonts w:cstheme="minorHAnsi"/>
        </w:rPr>
        <w:t>CEO</w:t>
      </w:r>
      <w:r w:rsidRPr="002A7A17">
        <w:rPr>
          <w:rFonts w:cstheme="minorHAnsi"/>
        </w:rPr>
        <w:t xml:space="preserve">, in conjunction with the </w:t>
      </w:r>
      <w:proofErr w:type="gramStart"/>
      <w:r w:rsidRPr="002A7A17">
        <w:rPr>
          <w:rFonts w:cstheme="minorHAnsi"/>
        </w:rPr>
        <w:t>Mayor</w:t>
      </w:r>
      <w:proofErr w:type="gramEnd"/>
      <w:r w:rsidRPr="002A7A17">
        <w:rPr>
          <w:rFonts w:cstheme="minorHAnsi"/>
        </w:rPr>
        <w:t>, considers essential to the operation</w:t>
      </w:r>
      <w:r>
        <w:rPr>
          <w:rFonts w:cstheme="minorHAnsi"/>
        </w:rPr>
        <w:t xml:space="preserve"> </w:t>
      </w:r>
      <w:r w:rsidRPr="002A7A17">
        <w:rPr>
          <w:rFonts w:cstheme="minorHAnsi"/>
        </w:rPr>
        <w:t xml:space="preserve">of the </w:t>
      </w:r>
      <w:r>
        <w:rPr>
          <w:rFonts w:cstheme="minorHAnsi"/>
        </w:rPr>
        <w:t>Town</w:t>
      </w:r>
      <w:r w:rsidRPr="002A7A17">
        <w:rPr>
          <w:rFonts w:cstheme="minorHAnsi"/>
        </w:rPr>
        <w:t>.</w:t>
      </w:r>
    </w:p>
    <w:p w14:paraId="13D74954" w14:textId="77777777" w:rsidR="005F0BE5" w:rsidRDefault="005F0BE5" w:rsidP="005F0BE5">
      <w:pPr>
        <w:autoSpaceDE w:val="0"/>
        <w:autoSpaceDN w:val="0"/>
        <w:adjustRightInd w:val="0"/>
        <w:spacing w:after="0" w:line="240" w:lineRule="auto"/>
        <w:ind w:left="2160" w:hanging="720"/>
        <w:jc w:val="both"/>
        <w:rPr>
          <w:rFonts w:cstheme="minorHAnsi"/>
        </w:rPr>
      </w:pPr>
      <w:r>
        <w:rPr>
          <w:rFonts w:cstheme="minorHAnsi"/>
        </w:rPr>
        <w:t>14.2.2</w:t>
      </w:r>
      <w:r>
        <w:rPr>
          <w:rFonts w:cstheme="minorHAnsi"/>
        </w:rPr>
        <w:tab/>
        <w:t>Council members</w:t>
      </w:r>
      <w:r w:rsidRPr="002A7A17">
        <w:rPr>
          <w:rFonts w:cstheme="minorHAnsi"/>
        </w:rPr>
        <w:t xml:space="preserve"> nominating as a candidate for local, state or federal</w:t>
      </w:r>
      <w:r>
        <w:rPr>
          <w:rFonts w:cstheme="minorHAnsi"/>
        </w:rPr>
        <w:t xml:space="preserve"> </w:t>
      </w:r>
      <w:r w:rsidRPr="002A7A17">
        <w:rPr>
          <w:rFonts w:cstheme="minorHAnsi"/>
        </w:rPr>
        <w:t>government elections should not, where practicable, have any formal role at</w:t>
      </w:r>
      <w:r>
        <w:rPr>
          <w:rFonts w:cstheme="minorHAnsi"/>
        </w:rPr>
        <w:t xml:space="preserve"> </w:t>
      </w:r>
      <w:r w:rsidRPr="002A7A17">
        <w:rPr>
          <w:rFonts w:cstheme="minorHAnsi"/>
        </w:rPr>
        <w:t xml:space="preserve">events/functions organised or sponsored by the </w:t>
      </w:r>
      <w:r>
        <w:rPr>
          <w:rFonts w:cstheme="minorHAnsi"/>
        </w:rPr>
        <w:t xml:space="preserve">Town </w:t>
      </w:r>
      <w:r w:rsidRPr="002A7A17">
        <w:rPr>
          <w:rFonts w:cstheme="minorHAnsi"/>
        </w:rPr>
        <w:t xml:space="preserve">during the </w:t>
      </w:r>
      <w:r>
        <w:rPr>
          <w:rFonts w:cstheme="minorHAnsi"/>
        </w:rPr>
        <w:t>Caretaker Period</w:t>
      </w:r>
      <w:r w:rsidRPr="002A7A17">
        <w:rPr>
          <w:rFonts w:cstheme="minorHAnsi"/>
        </w:rPr>
        <w:t>, other than the provision of a short welcome, when appropriate. Any</w:t>
      </w:r>
      <w:r>
        <w:rPr>
          <w:rFonts w:cstheme="minorHAnsi"/>
        </w:rPr>
        <w:t xml:space="preserve"> </w:t>
      </w:r>
      <w:r w:rsidRPr="002A7A17">
        <w:rPr>
          <w:rFonts w:cstheme="minorHAnsi"/>
        </w:rPr>
        <w:t xml:space="preserve">determination of whether it is otherwise appropriate for a </w:t>
      </w:r>
      <w:r>
        <w:rPr>
          <w:rFonts w:cstheme="minorHAnsi"/>
        </w:rPr>
        <w:t>councillor</w:t>
      </w:r>
      <w:r w:rsidRPr="002A7A17">
        <w:rPr>
          <w:rFonts w:cstheme="minorHAnsi"/>
        </w:rPr>
        <w:t xml:space="preserve"> to</w:t>
      </w:r>
      <w:r>
        <w:rPr>
          <w:rFonts w:cstheme="minorHAnsi"/>
        </w:rPr>
        <w:t xml:space="preserve"> </w:t>
      </w:r>
      <w:r w:rsidRPr="002A7A17">
        <w:rPr>
          <w:rFonts w:cstheme="minorHAnsi"/>
        </w:rPr>
        <w:t xml:space="preserve">officiate at a </w:t>
      </w:r>
      <w:r>
        <w:rPr>
          <w:rFonts w:cstheme="minorHAnsi"/>
        </w:rPr>
        <w:t>Town</w:t>
      </w:r>
      <w:r w:rsidRPr="002A7A17">
        <w:rPr>
          <w:rFonts w:cstheme="minorHAnsi"/>
        </w:rPr>
        <w:t xml:space="preserve"> arranged event/function will be at the discretion of the</w:t>
      </w:r>
      <w:r>
        <w:rPr>
          <w:rFonts w:cstheme="minorHAnsi"/>
        </w:rPr>
        <w:t xml:space="preserve"> </w:t>
      </w:r>
      <w:r w:rsidRPr="002A7A17">
        <w:rPr>
          <w:rFonts w:cstheme="minorHAnsi"/>
        </w:rPr>
        <w:t xml:space="preserve">CEO, in conjunction with the </w:t>
      </w:r>
      <w:proofErr w:type="gramStart"/>
      <w:r w:rsidRPr="002A7A17">
        <w:rPr>
          <w:rFonts w:cstheme="minorHAnsi"/>
        </w:rPr>
        <w:t>Mayor</w:t>
      </w:r>
      <w:proofErr w:type="gramEnd"/>
      <w:r w:rsidRPr="002A7A17">
        <w:rPr>
          <w:rFonts w:cstheme="minorHAnsi"/>
        </w:rPr>
        <w:t>.</w:t>
      </w:r>
    </w:p>
    <w:p w14:paraId="4524DC1B" w14:textId="77777777" w:rsidR="005F0BE5" w:rsidRPr="002A7A17" w:rsidRDefault="005F0BE5" w:rsidP="005F0BE5">
      <w:pPr>
        <w:autoSpaceDE w:val="0"/>
        <w:autoSpaceDN w:val="0"/>
        <w:adjustRightInd w:val="0"/>
        <w:spacing w:after="0" w:line="240" w:lineRule="auto"/>
        <w:ind w:left="2160" w:hanging="720"/>
        <w:jc w:val="both"/>
        <w:rPr>
          <w:rFonts w:cstheme="minorHAnsi"/>
        </w:rPr>
      </w:pPr>
      <w:r>
        <w:rPr>
          <w:rFonts w:cstheme="minorHAnsi"/>
        </w:rPr>
        <w:t>14.2.3</w:t>
      </w:r>
      <w:r>
        <w:rPr>
          <w:rFonts w:cstheme="minorHAnsi"/>
        </w:rPr>
        <w:tab/>
        <w:t>Council members</w:t>
      </w:r>
      <w:r w:rsidRPr="002A7A17">
        <w:rPr>
          <w:rFonts w:cstheme="minorHAnsi"/>
        </w:rPr>
        <w:t xml:space="preserve"> must not distribute any campaign material or promote</w:t>
      </w:r>
      <w:r>
        <w:rPr>
          <w:rFonts w:cstheme="minorHAnsi"/>
        </w:rPr>
        <w:t xml:space="preserve"> </w:t>
      </w:r>
      <w:r w:rsidRPr="002A7A17">
        <w:rPr>
          <w:rFonts w:cstheme="minorHAnsi"/>
        </w:rPr>
        <w:t xml:space="preserve">their campaign at any </w:t>
      </w:r>
      <w:r>
        <w:rPr>
          <w:rFonts w:cstheme="minorHAnsi"/>
        </w:rPr>
        <w:t>Town of East Fremantle</w:t>
      </w:r>
      <w:r w:rsidRPr="002A7A17">
        <w:rPr>
          <w:rFonts w:cstheme="minorHAnsi"/>
        </w:rPr>
        <w:t xml:space="preserve"> organised </w:t>
      </w:r>
      <w:r>
        <w:rPr>
          <w:rFonts w:cstheme="minorHAnsi"/>
        </w:rPr>
        <w:t>c</w:t>
      </w:r>
      <w:r w:rsidRPr="002A7A17">
        <w:rPr>
          <w:rFonts w:cstheme="minorHAnsi"/>
        </w:rPr>
        <w:t>ivic</w:t>
      </w:r>
      <w:r>
        <w:rPr>
          <w:rFonts w:cstheme="minorHAnsi"/>
        </w:rPr>
        <w:t xml:space="preserve"> e</w:t>
      </w:r>
      <w:r w:rsidRPr="002A7A17">
        <w:rPr>
          <w:rFonts w:cstheme="minorHAnsi"/>
        </w:rPr>
        <w:t>vents</w:t>
      </w:r>
      <w:r>
        <w:rPr>
          <w:rFonts w:cstheme="minorHAnsi"/>
        </w:rPr>
        <w:t>, f</w:t>
      </w:r>
      <w:r w:rsidRPr="002A7A17">
        <w:rPr>
          <w:rFonts w:cstheme="minorHAnsi"/>
        </w:rPr>
        <w:t>unctions</w:t>
      </w:r>
      <w:r>
        <w:rPr>
          <w:rFonts w:cstheme="minorHAnsi"/>
        </w:rPr>
        <w:t>, o</w:t>
      </w:r>
      <w:r w:rsidRPr="002A7A17">
        <w:rPr>
          <w:rFonts w:cstheme="minorHAnsi"/>
        </w:rPr>
        <w:t xml:space="preserve">fficial </w:t>
      </w:r>
      <w:r>
        <w:rPr>
          <w:rFonts w:cstheme="minorHAnsi"/>
        </w:rPr>
        <w:t>o</w:t>
      </w:r>
      <w:r w:rsidRPr="002A7A17">
        <w:rPr>
          <w:rFonts w:cstheme="minorHAnsi"/>
        </w:rPr>
        <w:t>penings, or similar.</w:t>
      </w:r>
    </w:p>
    <w:p w14:paraId="321CC150" w14:textId="77777777" w:rsidR="005F0BE5" w:rsidRDefault="005F0BE5" w:rsidP="005F0BE5">
      <w:pPr>
        <w:spacing w:after="0"/>
        <w:ind w:left="850" w:right="-23" w:firstLine="1"/>
        <w:rPr>
          <w:rFonts w:eastAsia="Arial" w:cstheme="minorHAnsi"/>
        </w:rPr>
      </w:pPr>
    </w:p>
    <w:p w14:paraId="1430FB2C" w14:textId="77777777" w:rsidR="005F0BE5" w:rsidRPr="00B13F98" w:rsidRDefault="005F0BE5" w:rsidP="005F0BE5">
      <w:pPr>
        <w:autoSpaceDE w:val="0"/>
        <w:autoSpaceDN w:val="0"/>
        <w:adjustRightInd w:val="0"/>
        <w:spacing w:after="0" w:line="240" w:lineRule="auto"/>
        <w:ind w:left="1440" w:hanging="589"/>
        <w:jc w:val="both"/>
        <w:rPr>
          <w:rFonts w:cstheme="minorHAnsi"/>
        </w:rPr>
      </w:pPr>
      <w:r>
        <w:rPr>
          <w:rFonts w:cstheme="minorHAnsi"/>
        </w:rPr>
        <w:t>14.</w:t>
      </w:r>
      <w:r w:rsidRPr="00B13F98">
        <w:rPr>
          <w:rFonts w:cstheme="minorHAnsi"/>
        </w:rPr>
        <w:t>3.</w:t>
      </w:r>
      <w:r w:rsidRPr="00B13F98">
        <w:rPr>
          <w:rFonts w:cstheme="minorHAnsi"/>
        </w:rPr>
        <w:tab/>
        <w:t>Delegates to Community and Advisory Groups</w:t>
      </w:r>
    </w:p>
    <w:p w14:paraId="195CB7A4" w14:textId="77777777" w:rsidR="005F0BE5" w:rsidRPr="002A7A17" w:rsidRDefault="005F0BE5" w:rsidP="005F0BE5">
      <w:pPr>
        <w:autoSpaceDE w:val="0"/>
        <w:autoSpaceDN w:val="0"/>
        <w:adjustRightInd w:val="0"/>
        <w:spacing w:after="0" w:line="240" w:lineRule="auto"/>
        <w:ind w:left="2160" w:hanging="720"/>
        <w:jc w:val="both"/>
        <w:rPr>
          <w:rFonts w:cstheme="minorHAnsi"/>
        </w:rPr>
      </w:pPr>
      <w:r>
        <w:rPr>
          <w:rFonts w:cstheme="minorHAnsi"/>
        </w:rPr>
        <w:t>14.3.1</w:t>
      </w:r>
      <w:r>
        <w:rPr>
          <w:rFonts w:cstheme="minorHAnsi"/>
        </w:rPr>
        <w:tab/>
        <w:t>Council m</w:t>
      </w:r>
      <w:r w:rsidRPr="002A7A17">
        <w:rPr>
          <w:rFonts w:cstheme="minorHAnsi"/>
        </w:rPr>
        <w:t>embers appointed to community groups and other external</w:t>
      </w:r>
      <w:r>
        <w:rPr>
          <w:rFonts w:cstheme="minorHAnsi"/>
        </w:rPr>
        <w:t xml:space="preserve"> </w:t>
      </w:r>
      <w:r w:rsidRPr="002A7A17">
        <w:rPr>
          <w:rFonts w:cstheme="minorHAnsi"/>
        </w:rPr>
        <w:t xml:space="preserve">organisations as representatives of the </w:t>
      </w:r>
      <w:r>
        <w:rPr>
          <w:rFonts w:cstheme="minorHAnsi"/>
        </w:rPr>
        <w:t>Town</w:t>
      </w:r>
      <w:r w:rsidRPr="002A7A17">
        <w:rPr>
          <w:rFonts w:cstheme="minorHAnsi"/>
        </w:rPr>
        <w:t xml:space="preserve"> shall not use their attendance</w:t>
      </w:r>
      <w:r>
        <w:rPr>
          <w:rFonts w:cstheme="minorHAnsi"/>
        </w:rPr>
        <w:t xml:space="preserve"> </w:t>
      </w:r>
      <w:r w:rsidRPr="002A7A17">
        <w:rPr>
          <w:rFonts w:cstheme="minorHAnsi"/>
        </w:rPr>
        <w:t>at meetings of these groups to either recruit assistance with electoral</w:t>
      </w:r>
      <w:r>
        <w:rPr>
          <w:rFonts w:cstheme="minorHAnsi"/>
        </w:rPr>
        <w:t xml:space="preserve"> </w:t>
      </w:r>
      <w:r w:rsidRPr="002A7A17">
        <w:rPr>
          <w:rFonts w:cstheme="minorHAnsi"/>
        </w:rPr>
        <w:t>campaigning or to promote their personal or other candidate’s electoral</w:t>
      </w:r>
      <w:r>
        <w:rPr>
          <w:rFonts w:cstheme="minorHAnsi"/>
        </w:rPr>
        <w:t xml:space="preserve"> </w:t>
      </w:r>
      <w:r w:rsidRPr="002A7A17">
        <w:rPr>
          <w:rFonts w:cstheme="minorHAnsi"/>
        </w:rPr>
        <w:t>campaigns.</w:t>
      </w:r>
    </w:p>
    <w:p w14:paraId="14FDDAC8" w14:textId="77777777" w:rsidR="005F0BE5" w:rsidRDefault="005F0BE5" w:rsidP="005F0BE5">
      <w:pPr>
        <w:spacing w:after="0"/>
        <w:ind w:left="850" w:right="-23" w:firstLine="1"/>
        <w:jc w:val="both"/>
        <w:rPr>
          <w:rFonts w:eastAsia="Arial" w:cstheme="minorHAnsi"/>
        </w:rPr>
      </w:pPr>
    </w:p>
    <w:p w14:paraId="69BEFA14" w14:textId="77777777" w:rsidR="005F0BE5" w:rsidRDefault="005F0BE5" w:rsidP="005F0BE5">
      <w:pPr>
        <w:autoSpaceDE w:val="0"/>
        <w:autoSpaceDN w:val="0"/>
        <w:adjustRightInd w:val="0"/>
        <w:spacing w:after="0"/>
        <w:jc w:val="both"/>
        <w:rPr>
          <w:rFonts w:cstheme="minorHAnsi"/>
          <w:b/>
          <w:bCs/>
        </w:rPr>
      </w:pPr>
      <w:r>
        <w:rPr>
          <w:rFonts w:cstheme="minorHAnsi"/>
        </w:rPr>
        <w:t>15</w:t>
      </w:r>
      <w:r w:rsidRPr="00E143F1">
        <w:rPr>
          <w:rFonts w:cstheme="minorHAnsi"/>
        </w:rPr>
        <w:t>.</w:t>
      </w:r>
      <w:r w:rsidRPr="00E143F1">
        <w:rPr>
          <w:rFonts w:cstheme="minorHAnsi"/>
        </w:rPr>
        <w:tab/>
      </w:r>
      <w:r w:rsidRPr="006D243F">
        <w:rPr>
          <w:rFonts w:cstheme="minorHAnsi"/>
          <w:b/>
          <w:bCs/>
        </w:rPr>
        <w:t>Use of Town of East Fremantle Resources</w:t>
      </w:r>
    </w:p>
    <w:p w14:paraId="58A658C9"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15.</w:t>
      </w:r>
      <w:r w:rsidRPr="002A7A17">
        <w:rPr>
          <w:rFonts w:cstheme="minorHAnsi"/>
        </w:rPr>
        <w:t xml:space="preserve">1 </w:t>
      </w:r>
      <w:r>
        <w:rPr>
          <w:rFonts w:cstheme="minorHAnsi"/>
        </w:rPr>
        <w:tab/>
      </w:r>
      <w:r w:rsidRPr="002A7A17">
        <w:rPr>
          <w:rFonts w:cstheme="minorHAnsi"/>
        </w:rPr>
        <w:t xml:space="preserve">The </w:t>
      </w:r>
      <w:r>
        <w:rPr>
          <w:rFonts w:cstheme="minorHAnsi"/>
        </w:rPr>
        <w:t xml:space="preserve">Town of East Fremantle </w:t>
      </w:r>
      <w:r w:rsidRPr="002A7A17">
        <w:rPr>
          <w:rFonts w:cstheme="minorHAnsi"/>
        </w:rPr>
        <w:t>Code of Conduct – Elected Members</w:t>
      </w:r>
      <w:r>
        <w:rPr>
          <w:rFonts w:cstheme="minorHAnsi"/>
        </w:rPr>
        <w:t>, Committee Members and Candidates</w:t>
      </w:r>
      <w:r w:rsidRPr="002A7A17">
        <w:rPr>
          <w:rFonts w:cstheme="minorHAnsi"/>
        </w:rPr>
        <w:t xml:space="preserve"> </w:t>
      </w:r>
      <w:r>
        <w:rPr>
          <w:rFonts w:cstheme="minorHAnsi"/>
        </w:rPr>
        <w:t>prohibits the use of the Town’s resources for electoral purposes.</w:t>
      </w:r>
    </w:p>
    <w:p w14:paraId="00A8FDE6"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15.</w:t>
      </w:r>
      <w:r w:rsidRPr="002A7A17">
        <w:rPr>
          <w:rFonts w:cstheme="minorHAnsi"/>
        </w:rPr>
        <w:t xml:space="preserve">2 </w:t>
      </w:r>
      <w:r>
        <w:rPr>
          <w:rFonts w:cstheme="minorHAnsi"/>
        </w:rPr>
        <w:tab/>
      </w:r>
      <w:r w:rsidRPr="002A7A17">
        <w:rPr>
          <w:rFonts w:cstheme="minorHAnsi"/>
        </w:rPr>
        <w:t xml:space="preserve">The </w:t>
      </w:r>
      <w:r>
        <w:rPr>
          <w:rFonts w:cstheme="minorHAnsi"/>
        </w:rPr>
        <w:t>Town</w:t>
      </w:r>
      <w:r w:rsidRPr="002A7A17">
        <w:rPr>
          <w:rFonts w:cstheme="minorHAnsi"/>
        </w:rPr>
        <w:t>’s employees must not be asked to undertake any tasks connected</w:t>
      </w:r>
      <w:r>
        <w:rPr>
          <w:rFonts w:cstheme="minorHAnsi"/>
        </w:rPr>
        <w:t xml:space="preserve"> </w:t>
      </w:r>
      <w:r w:rsidRPr="002A7A17">
        <w:rPr>
          <w:rFonts w:cstheme="minorHAnsi"/>
        </w:rPr>
        <w:t>directly or indirectly with an election campaign.</w:t>
      </w:r>
    </w:p>
    <w:p w14:paraId="6E212317"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15.</w:t>
      </w:r>
      <w:r w:rsidRPr="002A7A17">
        <w:rPr>
          <w:rFonts w:cstheme="minorHAnsi"/>
        </w:rPr>
        <w:t xml:space="preserve">3 </w:t>
      </w:r>
      <w:r>
        <w:rPr>
          <w:rFonts w:cstheme="minorHAnsi"/>
        </w:rPr>
        <w:tab/>
      </w:r>
      <w:r w:rsidRPr="002A7A17">
        <w:rPr>
          <w:rFonts w:cstheme="minorHAnsi"/>
        </w:rPr>
        <w:t xml:space="preserve">In any </w:t>
      </w:r>
      <w:r>
        <w:rPr>
          <w:rFonts w:cstheme="minorHAnsi"/>
        </w:rPr>
        <w:t>circumstances</w:t>
      </w:r>
      <w:r w:rsidRPr="002A7A17">
        <w:rPr>
          <w:rFonts w:cstheme="minorHAnsi"/>
        </w:rPr>
        <w:t xml:space="preserve"> where the use of </w:t>
      </w:r>
      <w:r>
        <w:rPr>
          <w:rFonts w:cstheme="minorHAnsi"/>
        </w:rPr>
        <w:t>Town</w:t>
      </w:r>
      <w:r w:rsidRPr="002A7A17">
        <w:rPr>
          <w:rFonts w:cstheme="minorHAnsi"/>
        </w:rPr>
        <w:t xml:space="preserve"> resources might be construed as</w:t>
      </w:r>
      <w:r>
        <w:rPr>
          <w:rFonts w:cstheme="minorHAnsi"/>
        </w:rPr>
        <w:t xml:space="preserve"> </w:t>
      </w:r>
      <w:r w:rsidRPr="002A7A17">
        <w:rPr>
          <w:rFonts w:cstheme="minorHAnsi"/>
        </w:rPr>
        <w:t>being related to a candidate’s election campaign, advice is to be sought</w:t>
      </w:r>
      <w:r>
        <w:rPr>
          <w:rFonts w:cstheme="minorHAnsi"/>
        </w:rPr>
        <w:t xml:space="preserve"> </w:t>
      </w:r>
      <w:r w:rsidRPr="002A7A17">
        <w:rPr>
          <w:rFonts w:cstheme="minorHAnsi"/>
        </w:rPr>
        <w:t xml:space="preserve">through the </w:t>
      </w:r>
      <w:r>
        <w:rPr>
          <w:rFonts w:cstheme="minorHAnsi"/>
        </w:rPr>
        <w:t>CEO</w:t>
      </w:r>
      <w:r w:rsidRPr="002A7A17">
        <w:rPr>
          <w:rFonts w:cstheme="minorHAnsi"/>
        </w:rPr>
        <w:t>.</w:t>
      </w:r>
    </w:p>
    <w:p w14:paraId="084C0E97"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15.</w:t>
      </w:r>
      <w:r w:rsidRPr="002A7A17">
        <w:rPr>
          <w:rFonts w:cstheme="minorHAnsi"/>
        </w:rPr>
        <w:t xml:space="preserve">4 </w:t>
      </w:r>
      <w:r>
        <w:rPr>
          <w:rFonts w:cstheme="minorHAnsi"/>
        </w:rPr>
        <w:tab/>
      </w:r>
      <w:r w:rsidRPr="002A7A17">
        <w:rPr>
          <w:rFonts w:cstheme="minorHAnsi"/>
        </w:rPr>
        <w:t xml:space="preserve">Community groups who wish to hire </w:t>
      </w:r>
      <w:r>
        <w:rPr>
          <w:rFonts w:cstheme="minorHAnsi"/>
        </w:rPr>
        <w:t>Town</w:t>
      </w:r>
      <w:r w:rsidRPr="002A7A17">
        <w:rPr>
          <w:rFonts w:cstheme="minorHAnsi"/>
        </w:rPr>
        <w:t xml:space="preserve"> owned premises to interview or</w:t>
      </w:r>
      <w:r>
        <w:rPr>
          <w:rFonts w:cstheme="minorHAnsi"/>
        </w:rPr>
        <w:t xml:space="preserve"> </w:t>
      </w:r>
      <w:r w:rsidRPr="002A7A17">
        <w:rPr>
          <w:rFonts w:cstheme="minorHAnsi"/>
        </w:rPr>
        <w:t>record (audio visual) election candidates in a public forum may do so, subject</w:t>
      </w:r>
      <w:r>
        <w:rPr>
          <w:rFonts w:cstheme="minorHAnsi"/>
        </w:rPr>
        <w:t xml:space="preserve"> </w:t>
      </w:r>
      <w:r w:rsidRPr="002A7A17">
        <w:rPr>
          <w:rFonts w:cstheme="minorHAnsi"/>
        </w:rPr>
        <w:t xml:space="preserve">to the relevant venue hire charge being paid in accordance with the </w:t>
      </w:r>
      <w:r>
        <w:rPr>
          <w:rFonts w:cstheme="minorHAnsi"/>
        </w:rPr>
        <w:t>Town</w:t>
      </w:r>
      <w:r w:rsidRPr="002A7A17">
        <w:rPr>
          <w:rFonts w:cstheme="minorHAnsi"/>
        </w:rPr>
        <w:t>`s</w:t>
      </w:r>
      <w:r>
        <w:rPr>
          <w:rFonts w:cstheme="minorHAnsi"/>
        </w:rPr>
        <w:t xml:space="preserve"> </w:t>
      </w:r>
      <w:r w:rsidRPr="002A7A17">
        <w:rPr>
          <w:rFonts w:cstheme="minorHAnsi"/>
        </w:rPr>
        <w:t>normal practices.</w:t>
      </w:r>
    </w:p>
    <w:p w14:paraId="68D85ECA" w14:textId="77777777" w:rsidR="005F0BE5" w:rsidRDefault="005F0BE5" w:rsidP="005F0BE5">
      <w:pPr>
        <w:spacing w:after="0"/>
        <w:ind w:left="426" w:right="-23" w:firstLine="1"/>
        <w:rPr>
          <w:rFonts w:eastAsia="Arial" w:cstheme="minorHAnsi"/>
        </w:rPr>
      </w:pPr>
    </w:p>
    <w:p w14:paraId="4FB96477" w14:textId="77777777" w:rsidR="005F0BE5" w:rsidRDefault="005F0BE5" w:rsidP="005F0BE5">
      <w:pPr>
        <w:autoSpaceDE w:val="0"/>
        <w:autoSpaceDN w:val="0"/>
        <w:adjustRightInd w:val="0"/>
        <w:spacing w:after="0"/>
        <w:jc w:val="both"/>
        <w:rPr>
          <w:rFonts w:cstheme="minorHAnsi"/>
          <w:b/>
          <w:bCs/>
        </w:rPr>
      </w:pPr>
      <w:r>
        <w:rPr>
          <w:rFonts w:cstheme="minorHAnsi"/>
        </w:rPr>
        <w:lastRenderedPageBreak/>
        <w:t>16</w:t>
      </w:r>
      <w:r w:rsidRPr="00E143F1">
        <w:rPr>
          <w:rFonts w:cstheme="minorHAnsi"/>
        </w:rPr>
        <w:t>.</w:t>
      </w:r>
      <w:r w:rsidRPr="00E143F1">
        <w:rPr>
          <w:rFonts w:cstheme="minorHAnsi"/>
        </w:rPr>
        <w:tab/>
      </w:r>
      <w:r w:rsidRPr="00D7032E">
        <w:rPr>
          <w:rFonts w:cstheme="minorHAnsi"/>
          <w:b/>
          <w:bCs/>
        </w:rPr>
        <w:t>Access to Town Held Information</w:t>
      </w:r>
    </w:p>
    <w:p w14:paraId="19A07809"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16.</w:t>
      </w:r>
      <w:r w:rsidRPr="002A7A17">
        <w:rPr>
          <w:rFonts w:cstheme="minorHAnsi"/>
        </w:rPr>
        <w:t xml:space="preserve">1 </w:t>
      </w:r>
      <w:r>
        <w:rPr>
          <w:rFonts w:cstheme="minorHAnsi"/>
        </w:rPr>
        <w:tab/>
      </w:r>
      <w:r w:rsidRPr="002A7A17">
        <w:rPr>
          <w:rFonts w:cstheme="minorHAnsi"/>
        </w:rPr>
        <w:t>All candidates will have equal rights to access publicly available information</w:t>
      </w:r>
      <w:r>
        <w:rPr>
          <w:rFonts w:cstheme="minorHAnsi"/>
        </w:rPr>
        <w:t xml:space="preserve"> </w:t>
      </w:r>
      <w:r w:rsidRPr="002A7A17">
        <w:rPr>
          <w:rFonts w:cstheme="minorHAnsi"/>
        </w:rPr>
        <w:t xml:space="preserve">from the </w:t>
      </w:r>
      <w:r>
        <w:rPr>
          <w:rFonts w:cstheme="minorHAnsi"/>
        </w:rPr>
        <w:t>Town</w:t>
      </w:r>
      <w:r w:rsidRPr="002A7A17">
        <w:rPr>
          <w:rFonts w:cstheme="minorHAnsi"/>
        </w:rPr>
        <w:t>’s administration.</w:t>
      </w:r>
    </w:p>
    <w:p w14:paraId="3C29C244"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16.</w:t>
      </w:r>
      <w:r w:rsidRPr="002A7A17">
        <w:rPr>
          <w:rFonts w:cstheme="minorHAnsi"/>
        </w:rPr>
        <w:t xml:space="preserve">2 </w:t>
      </w:r>
      <w:r>
        <w:rPr>
          <w:rFonts w:cstheme="minorHAnsi"/>
        </w:rPr>
        <w:tab/>
      </w:r>
      <w:r w:rsidRPr="002A7A17">
        <w:rPr>
          <w:rFonts w:cstheme="minorHAnsi"/>
        </w:rPr>
        <w:t xml:space="preserve">Information, briefing material and advice prepared or secured by </w:t>
      </w:r>
      <w:r>
        <w:rPr>
          <w:rFonts w:cstheme="minorHAnsi"/>
        </w:rPr>
        <w:t>employees</w:t>
      </w:r>
      <w:r w:rsidRPr="002A7A17">
        <w:rPr>
          <w:rFonts w:cstheme="minorHAnsi"/>
        </w:rPr>
        <w:t xml:space="preserve"> for a</w:t>
      </w:r>
      <w:r>
        <w:rPr>
          <w:rFonts w:cstheme="minorHAnsi"/>
        </w:rPr>
        <w:t xml:space="preserve"> council member</w:t>
      </w:r>
      <w:r w:rsidRPr="002A7A17">
        <w:rPr>
          <w:rFonts w:cstheme="minorHAnsi"/>
        </w:rPr>
        <w:t xml:space="preserve"> must be necessary to the carrying out of the </w:t>
      </w:r>
      <w:r>
        <w:rPr>
          <w:rFonts w:cstheme="minorHAnsi"/>
        </w:rPr>
        <w:t>council member’s</w:t>
      </w:r>
      <w:r w:rsidRPr="002A7A17">
        <w:rPr>
          <w:rFonts w:cstheme="minorHAnsi"/>
        </w:rPr>
        <w:t xml:space="preserve"> role. </w:t>
      </w:r>
    </w:p>
    <w:p w14:paraId="290E921B"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16.3</w:t>
      </w:r>
      <w:r>
        <w:rPr>
          <w:rFonts w:cstheme="minorHAnsi"/>
        </w:rPr>
        <w:tab/>
      </w:r>
      <w:r w:rsidRPr="002E76DC">
        <w:rPr>
          <w:rFonts w:cstheme="minorHAnsi"/>
        </w:rPr>
        <w:t>Information received or accessed in the role of a</w:t>
      </w:r>
      <w:r>
        <w:rPr>
          <w:rFonts w:cstheme="minorHAnsi"/>
        </w:rPr>
        <w:t xml:space="preserve"> council m</w:t>
      </w:r>
      <w:r w:rsidRPr="002E76DC">
        <w:rPr>
          <w:rFonts w:cstheme="minorHAnsi"/>
        </w:rPr>
        <w:t xml:space="preserve">ember is not to be used for </w:t>
      </w:r>
      <w:r>
        <w:rPr>
          <w:rFonts w:cstheme="minorHAnsi"/>
        </w:rPr>
        <w:t>e</w:t>
      </w:r>
      <w:r w:rsidRPr="002E76DC">
        <w:rPr>
          <w:rFonts w:cstheme="minorHAnsi"/>
        </w:rPr>
        <w:t xml:space="preserve">lectoral </w:t>
      </w:r>
      <w:r>
        <w:rPr>
          <w:rFonts w:cstheme="minorHAnsi"/>
        </w:rPr>
        <w:t>p</w:t>
      </w:r>
      <w:r w:rsidRPr="002E76DC">
        <w:rPr>
          <w:rFonts w:cstheme="minorHAnsi"/>
        </w:rPr>
        <w:t>urposes. This includes claiming personal credit for previous Council decisions in marketing materia</w:t>
      </w:r>
      <w:r>
        <w:rPr>
          <w:rFonts w:cstheme="minorHAnsi"/>
        </w:rPr>
        <w:t>l.</w:t>
      </w:r>
    </w:p>
    <w:p w14:paraId="2F07E2C3" w14:textId="77777777" w:rsidR="005F0BE5" w:rsidRPr="002A7A17" w:rsidRDefault="005F0BE5" w:rsidP="005F0BE5">
      <w:pPr>
        <w:autoSpaceDE w:val="0"/>
        <w:autoSpaceDN w:val="0"/>
        <w:adjustRightInd w:val="0"/>
        <w:spacing w:after="0" w:line="240" w:lineRule="auto"/>
        <w:ind w:left="1440" w:hanging="589"/>
        <w:jc w:val="both"/>
        <w:rPr>
          <w:rFonts w:cstheme="minorHAnsi"/>
        </w:rPr>
      </w:pPr>
    </w:p>
    <w:p w14:paraId="5C931B38" w14:textId="77777777" w:rsidR="005F0BE5" w:rsidRPr="00F95B75" w:rsidRDefault="005F0BE5" w:rsidP="005F0BE5">
      <w:pPr>
        <w:autoSpaceDE w:val="0"/>
        <w:autoSpaceDN w:val="0"/>
        <w:adjustRightInd w:val="0"/>
        <w:spacing w:after="0"/>
        <w:jc w:val="both"/>
        <w:rPr>
          <w:rFonts w:cstheme="minorHAnsi"/>
        </w:rPr>
      </w:pPr>
      <w:r>
        <w:rPr>
          <w:rFonts w:cstheme="minorHAnsi"/>
        </w:rPr>
        <w:t>17</w:t>
      </w:r>
      <w:r w:rsidRPr="002A7A17">
        <w:rPr>
          <w:rFonts w:cstheme="minorHAnsi"/>
        </w:rPr>
        <w:t xml:space="preserve">. </w:t>
      </w:r>
      <w:r>
        <w:rPr>
          <w:rFonts w:cstheme="minorHAnsi"/>
        </w:rPr>
        <w:tab/>
      </w:r>
      <w:r w:rsidRPr="008C32CB">
        <w:rPr>
          <w:rFonts w:cstheme="minorHAnsi"/>
          <w:b/>
          <w:bCs/>
        </w:rPr>
        <w:t>Media Advice</w:t>
      </w:r>
    </w:p>
    <w:p w14:paraId="0B1AB6F8"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17.1</w:t>
      </w:r>
      <w:r>
        <w:rPr>
          <w:rFonts w:cstheme="minorHAnsi"/>
        </w:rPr>
        <w:tab/>
      </w:r>
      <w:r w:rsidRPr="002A7A17">
        <w:rPr>
          <w:rFonts w:cstheme="minorHAnsi"/>
        </w:rPr>
        <w:t xml:space="preserve">Any requests for media advice or assistance from </w:t>
      </w:r>
      <w:r>
        <w:rPr>
          <w:rFonts w:cstheme="minorHAnsi"/>
        </w:rPr>
        <w:t>council members</w:t>
      </w:r>
      <w:r w:rsidRPr="002A7A17">
        <w:rPr>
          <w:rFonts w:cstheme="minorHAnsi"/>
        </w:rPr>
        <w:t xml:space="preserve"> during</w:t>
      </w:r>
      <w:r>
        <w:rPr>
          <w:rFonts w:cstheme="minorHAnsi"/>
        </w:rPr>
        <w:t xml:space="preserve"> </w:t>
      </w:r>
      <w:r w:rsidRPr="002A7A17">
        <w:rPr>
          <w:rFonts w:cstheme="minorHAnsi"/>
        </w:rPr>
        <w:t xml:space="preserve">the </w:t>
      </w:r>
      <w:r>
        <w:rPr>
          <w:rFonts w:cstheme="minorHAnsi"/>
        </w:rPr>
        <w:t>Caretaker</w:t>
      </w:r>
      <w:r w:rsidRPr="002A7A17">
        <w:rPr>
          <w:rFonts w:cstheme="minorHAnsi"/>
        </w:rPr>
        <w:t xml:space="preserve"> </w:t>
      </w:r>
      <w:r>
        <w:rPr>
          <w:rFonts w:cstheme="minorHAnsi"/>
        </w:rPr>
        <w:t>Period</w:t>
      </w:r>
      <w:r w:rsidRPr="002A7A17">
        <w:rPr>
          <w:rFonts w:cstheme="minorHAnsi"/>
        </w:rPr>
        <w:t xml:space="preserve"> will be referred to the CEO. </w:t>
      </w:r>
    </w:p>
    <w:p w14:paraId="1AEA0BC2"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17.2</w:t>
      </w:r>
      <w:r>
        <w:rPr>
          <w:rFonts w:cstheme="minorHAnsi"/>
        </w:rPr>
        <w:tab/>
      </w:r>
      <w:r w:rsidRPr="002A7A17">
        <w:rPr>
          <w:rFonts w:cstheme="minorHAnsi"/>
        </w:rPr>
        <w:t>No media advice will be</w:t>
      </w:r>
      <w:r>
        <w:rPr>
          <w:rFonts w:cstheme="minorHAnsi"/>
        </w:rPr>
        <w:t xml:space="preserve"> </w:t>
      </w:r>
      <w:r w:rsidRPr="002A7A17">
        <w:rPr>
          <w:rFonts w:cstheme="minorHAnsi"/>
        </w:rPr>
        <w:t xml:space="preserve">provided in relation to election issues or </w:t>
      </w:r>
      <w:proofErr w:type="gramStart"/>
      <w:r w:rsidRPr="002A7A17">
        <w:rPr>
          <w:rFonts w:cstheme="minorHAnsi"/>
        </w:rPr>
        <w:t>in regard to</w:t>
      </w:r>
      <w:proofErr w:type="gramEnd"/>
      <w:r w:rsidRPr="002A7A17">
        <w:rPr>
          <w:rFonts w:cstheme="minorHAnsi"/>
        </w:rPr>
        <w:t xml:space="preserve"> publicity that involves</w:t>
      </w:r>
      <w:r>
        <w:rPr>
          <w:rFonts w:cstheme="minorHAnsi"/>
        </w:rPr>
        <w:t xml:space="preserve"> </w:t>
      </w:r>
      <w:r w:rsidRPr="002A7A17">
        <w:rPr>
          <w:rFonts w:cstheme="minorHAnsi"/>
        </w:rPr>
        <w:t xml:space="preserve">specific </w:t>
      </w:r>
      <w:r>
        <w:rPr>
          <w:rFonts w:cstheme="minorHAnsi"/>
        </w:rPr>
        <w:t>council members</w:t>
      </w:r>
      <w:r w:rsidRPr="002A7A17">
        <w:rPr>
          <w:rFonts w:cstheme="minorHAnsi"/>
        </w:rPr>
        <w:t xml:space="preserve"> participating in the relevant election. </w:t>
      </w:r>
    </w:p>
    <w:p w14:paraId="1FD1C5C7"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17.3</w:t>
      </w:r>
      <w:r>
        <w:rPr>
          <w:rFonts w:cstheme="minorHAnsi"/>
        </w:rPr>
        <w:tab/>
      </w:r>
      <w:r w:rsidRPr="002A7A17">
        <w:rPr>
          <w:rFonts w:cstheme="minorHAnsi"/>
        </w:rPr>
        <w:t>If satisfied</w:t>
      </w:r>
      <w:r>
        <w:rPr>
          <w:rFonts w:cstheme="minorHAnsi"/>
        </w:rPr>
        <w:t xml:space="preserve"> </w:t>
      </w:r>
      <w:r w:rsidRPr="002A7A17">
        <w:rPr>
          <w:rFonts w:cstheme="minorHAnsi"/>
        </w:rPr>
        <w:t>that advice sought by a</w:t>
      </w:r>
      <w:r>
        <w:rPr>
          <w:rFonts w:cstheme="minorHAnsi"/>
        </w:rPr>
        <w:t xml:space="preserve"> council member</w:t>
      </w:r>
      <w:r w:rsidRPr="002A7A17">
        <w:rPr>
          <w:rFonts w:cstheme="minorHAnsi"/>
        </w:rPr>
        <w:t xml:space="preserve"> during the </w:t>
      </w:r>
      <w:r>
        <w:rPr>
          <w:rFonts w:cstheme="minorHAnsi"/>
        </w:rPr>
        <w:t>Caretaker</w:t>
      </w:r>
      <w:r w:rsidRPr="002A7A17">
        <w:rPr>
          <w:rFonts w:cstheme="minorHAnsi"/>
        </w:rPr>
        <w:t xml:space="preserve"> </w:t>
      </w:r>
      <w:r>
        <w:rPr>
          <w:rFonts w:cstheme="minorHAnsi"/>
        </w:rPr>
        <w:t>Period</w:t>
      </w:r>
      <w:r w:rsidRPr="002A7A17">
        <w:rPr>
          <w:rFonts w:cstheme="minorHAnsi"/>
        </w:rPr>
        <w:t xml:space="preserve"> does</w:t>
      </w:r>
      <w:r>
        <w:rPr>
          <w:rFonts w:cstheme="minorHAnsi"/>
        </w:rPr>
        <w:t xml:space="preserve"> </w:t>
      </w:r>
      <w:r w:rsidRPr="002A7A17">
        <w:rPr>
          <w:rFonts w:cstheme="minorHAnsi"/>
        </w:rPr>
        <w:t xml:space="preserve">not relate to the election or publicity involving any specific </w:t>
      </w:r>
      <w:r>
        <w:rPr>
          <w:rFonts w:cstheme="minorHAnsi"/>
        </w:rPr>
        <w:t>council member</w:t>
      </w:r>
      <w:r w:rsidRPr="002A7A17">
        <w:rPr>
          <w:rFonts w:cstheme="minorHAnsi"/>
        </w:rPr>
        <w:t>,</w:t>
      </w:r>
      <w:r>
        <w:rPr>
          <w:rFonts w:cstheme="minorHAnsi"/>
        </w:rPr>
        <w:t xml:space="preserve"> </w:t>
      </w:r>
      <w:r w:rsidRPr="002A7A17">
        <w:rPr>
          <w:rFonts w:cstheme="minorHAnsi"/>
        </w:rPr>
        <w:t xml:space="preserve">the CEO may authorise the provision of a response to such a request. </w:t>
      </w:r>
    </w:p>
    <w:p w14:paraId="4D9D34E4"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17.4</w:t>
      </w:r>
      <w:r>
        <w:rPr>
          <w:rFonts w:cstheme="minorHAnsi"/>
        </w:rPr>
        <w:tab/>
        <w:t>The Town will not arrange a</w:t>
      </w:r>
      <w:r w:rsidRPr="002A7A17">
        <w:rPr>
          <w:rFonts w:cstheme="minorHAnsi"/>
        </w:rPr>
        <w:t>ny</w:t>
      </w:r>
      <w:r>
        <w:rPr>
          <w:rFonts w:cstheme="minorHAnsi"/>
        </w:rPr>
        <w:t xml:space="preserve"> </w:t>
      </w:r>
      <w:r w:rsidRPr="002A7A17">
        <w:rPr>
          <w:rFonts w:cstheme="minorHAnsi"/>
        </w:rPr>
        <w:t xml:space="preserve">media opportunities for </w:t>
      </w:r>
      <w:r>
        <w:rPr>
          <w:rFonts w:cstheme="minorHAnsi"/>
        </w:rPr>
        <w:t>council members</w:t>
      </w:r>
      <w:r w:rsidRPr="002A7A17">
        <w:rPr>
          <w:rFonts w:cstheme="minorHAnsi"/>
        </w:rPr>
        <w:t xml:space="preserve"> during the </w:t>
      </w:r>
      <w:r>
        <w:rPr>
          <w:rFonts w:cstheme="minorHAnsi"/>
        </w:rPr>
        <w:t>Caretaker</w:t>
      </w:r>
      <w:r w:rsidRPr="002A7A17">
        <w:rPr>
          <w:rFonts w:cstheme="minorHAnsi"/>
        </w:rPr>
        <w:t xml:space="preserve"> </w:t>
      </w:r>
      <w:r>
        <w:rPr>
          <w:rFonts w:cstheme="minorHAnsi"/>
        </w:rPr>
        <w:t>Period</w:t>
      </w:r>
      <w:r w:rsidRPr="002A7A17">
        <w:rPr>
          <w:rFonts w:cstheme="minorHAnsi"/>
        </w:rPr>
        <w:t>.</w:t>
      </w:r>
    </w:p>
    <w:p w14:paraId="2302E140" w14:textId="77777777" w:rsidR="005F0BE5" w:rsidRPr="002A7A17" w:rsidRDefault="005F0BE5" w:rsidP="005F0BE5">
      <w:pPr>
        <w:autoSpaceDE w:val="0"/>
        <w:autoSpaceDN w:val="0"/>
        <w:adjustRightInd w:val="0"/>
        <w:spacing w:after="0"/>
        <w:ind w:left="851"/>
        <w:jc w:val="both"/>
        <w:rPr>
          <w:rFonts w:cstheme="minorHAnsi"/>
        </w:rPr>
      </w:pPr>
    </w:p>
    <w:p w14:paraId="40882699" w14:textId="77777777" w:rsidR="005F0BE5" w:rsidRDefault="005F0BE5" w:rsidP="005F0BE5">
      <w:pPr>
        <w:autoSpaceDE w:val="0"/>
        <w:autoSpaceDN w:val="0"/>
        <w:adjustRightInd w:val="0"/>
        <w:spacing w:after="0"/>
        <w:jc w:val="both"/>
        <w:rPr>
          <w:rFonts w:cstheme="minorHAnsi"/>
          <w:b/>
          <w:bCs/>
        </w:rPr>
      </w:pPr>
      <w:r>
        <w:rPr>
          <w:rFonts w:cstheme="minorHAnsi"/>
        </w:rPr>
        <w:t>18</w:t>
      </w:r>
      <w:r w:rsidRPr="002A7A17">
        <w:rPr>
          <w:rFonts w:cstheme="minorHAnsi"/>
        </w:rPr>
        <w:t xml:space="preserve">. </w:t>
      </w:r>
      <w:r>
        <w:rPr>
          <w:rFonts w:cstheme="minorHAnsi"/>
        </w:rPr>
        <w:tab/>
      </w:r>
      <w:r w:rsidRPr="005C2D9F">
        <w:rPr>
          <w:rFonts w:cstheme="minorHAnsi"/>
          <w:b/>
          <w:bCs/>
        </w:rPr>
        <w:t>Town of East Fremantle Employees</w:t>
      </w:r>
    </w:p>
    <w:p w14:paraId="4D6F5ADE"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18.1</w:t>
      </w:r>
      <w:r w:rsidRPr="002A7A17">
        <w:rPr>
          <w:rFonts w:cstheme="minorHAnsi"/>
        </w:rPr>
        <w:t xml:space="preserve"> </w:t>
      </w:r>
      <w:r>
        <w:rPr>
          <w:rFonts w:cstheme="minorHAnsi"/>
        </w:rPr>
        <w:tab/>
      </w:r>
      <w:r w:rsidRPr="002A7A17">
        <w:rPr>
          <w:rFonts w:cstheme="minorHAnsi"/>
        </w:rPr>
        <w:t xml:space="preserve">During the </w:t>
      </w:r>
      <w:r>
        <w:rPr>
          <w:rFonts w:cstheme="minorHAnsi"/>
        </w:rPr>
        <w:t>Caretaker</w:t>
      </w:r>
      <w:r w:rsidRPr="002A7A17">
        <w:rPr>
          <w:rFonts w:cstheme="minorHAnsi"/>
        </w:rPr>
        <w:t xml:space="preserve"> </w:t>
      </w:r>
      <w:r>
        <w:rPr>
          <w:rFonts w:cstheme="minorHAnsi"/>
        </w:rPr>
        <w:t>Period</w:t>
      </w:r>
      <w:r w:rsidRPr="002A7A17">
        <w:rPr>
          <w:rFonts w:cstheme="minorHAnsi"/>
        </w:rPr>
        <w:t xml:space="preserve"> no </w:t>
      </w:r>
      <w:r>
        <w:rPr>
          <w:rFonts w:cstheme="minorHAnsi"/>
        </w:rPr>
        <w:t>Town</w:t>
      </w:r>
      <w:r w:rsidRPr="002A7A17">
        <w:rPr>
          <w:rFonts w:cstheme="minorHAnsi"/>
        </w:rPr>
        <w:t xml:space="preserve"> employee may make any</w:t>
      </w:r>
      <w:r>
        <w:rPr>
          <w:rFonts w:cstheme="minorHAnsi"/>
        </w:rPr>
        <w:t xml:space="preserve"> </w:t>
      </w:r>
      <w:r w:rsidRPr="002A7A17">
        <w:rPr>
          <w:rFonts w:cstheme="minorHAnsi"/>
        </w:rPr>
        <w:t>public statement that relates to an election issue.</w:t>
      </w:r>
      <w:r>
        <w:rPr>
          <w:rFonts w:cstheme="minorHAnsi"/>
        </w:rPr>
        <w:t xml:space="preserve"> </w:t>
      </w:r>
    </w:p>
    <w:p w14:paraId="43FDC5C6"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18.2</w:t>
      </w:r>
      <w:r>
        <w:rPr>
          <w:rFonts w:cstheme="minorHAnsi"/>
        </w:rPr>
        <w:tab/>
      </w:r>
      <w:r w:rsidRPr="002A7A17">
        <w:rPr>
          <w:rFonts w:cstheme="minorHAnsi"/>
        </w:rPr>
        <w:t xml:space="preserve">Employees must avoid assisting </w:t>
      </w:r>
      <w:r>
        <w:rPr>
          <w:rFonts w:cstheme="minorHAnsi"/>
        </w:rPr>
        <w:t>council members</w:t>
      </w:r>
      <w:r w:rsidRPr="002A7A17">
        <w:rPr>
          <w:rFonts w:cstheme="minorHAnsi"/>
        </w:rPr>
        <w:t xml:space="preserve"> in ways</w:t>
      </w:r>
      <w:r>
        <w:rPr>
          <w:rFonts w:cstheme="minorHAnsi"/>
        </w:rPr>
        <w:t xml:space="preserve"> </w:t>
      </w:r>
      <w:r w:rsidRPr="002A7A17">
        <w:rPr>
          <w:rFonts w:cstheme="minorHAnsi"/>
        </w:rPr>
        <w:t>that could create a perception of being used for electoral</w:t>
      </w:r>
      <w:r>
        <w:rPr>
          <w:rFonts w:cstheme="minorHAnsi"/>
        </w:rPr>
        <w:t xml:space="preserve"> </w:t>
      </w:r>
      <w:r w:rsidRPr="002A7A17">
        <w:rPr>
          <w:rFonts w:cstheme="minorHAnsi"/>
        </w:rPr>
        <w:t>purposes.</w:t>
      </w:r>
    </w:p>
    <w:p w14:paraId="79990F93"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18.3</w:t>
      </w:r>
      <w:r>
        <w:rPr>
          <w:rFonts w:cstheme="minorHAnsi"/>
        </w:rPr>
        <w:tab/>
      </w:r>
      <w:r w:rsidRPr="002A7A17">
        <w:rPr>
          <w:rFonts w:cstheme="minorHAnsi"/>
        </w:rPr>
        <w:t>Employees must not accept employment (voluntary or paid)</w:t>
      </w:r>
      <w:r>
        <w:rPr>
          <w:rFonts w:cstheme="minorHAnsi"/>
        </w:rPr>
        <w:t xml:space="preserve"> </w:t>
      </w:r>
      <w:r w:rsidRPr="002A7A17">
        <w:rPr>
          <w:rFonts w:cstheme="minorHAnsi"/>
        </w:rPr>
        <w:t>related to local elections for any candidate.</w:t>
      </w:r>
    </w:p>
    <w:p w14:paraId="7FF761A6"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18.4</w:t>
      </w:r>
      <w:r>
        <w:rPr>
          <w:rFonts w:cstheme="minorHAnsi"/>
        </w:rPr>
        <w:tab/>
      </w:r>
      <w:r w:rsidRPr="002A7A17">
        <w:rPr>
          <w:rFonts w:cstheme="minorHAnsi"/>
        </w:rPr>
        <w:t xml:space="preserve">Employees must not interact with </w:t>
      </w:r>
      <w:r>
        <w:rPr>
          <w:rFonts w:cstheme="minorHAnsi"/>
        </w:rPr>
        <w:t>council members</w:t>
      </w:r>
      <w:r w:rsidRPr="002A7A17">
        <w:rPr>
          <w:rFonts w:cstheme="minorHAnsi"/>
        </w:rPr>
        <w:t xml:space="preserve"> or candidates</w:t>
      </w:r>
      <w:r>
        <w:rPr>
          <w:rFonts w:cstheme="minorHAnsi"/>
        </w:rPr>
        <w:t xml:space="preserve"> </w:t>
      </w:r>
      <w:r w:rsidRPr="002A7A17">
        <w:rPr>
          <w:rFonts w:cstheme="minorHAnsi"/>
        </w:rPr>
        <w:t xml:space="preserve">on their social media pages during the </w:t>
      </w:r>
      <w:r>
        <w:rPr>
          <w:rFonts w:cstheme="minorHAnsi"/>
        </w:rPr>
        <w:t>Caretaker</w:t>
      </w:r>
      <w:r w:rsidRPr="002A7A17">
        <w:rPr>
          <w:rFonts w:cstheme="minorHAnsi"/>
        </w:rPr>
        <w:t xml:space="preserve"> </w:t>
      </w:r>
      <w:r>
        <w:rPr>
          <w:rFonts w:cstheme="minorHAnsi"/>
        </w:rPr>
        <w:t>Period</w:t>
      </w:r>
      <w:r w:rsidRPr="002A7A17">
        <w:rPr>
          <w:rFonts w:cstheme="minorHAnsi"/>
        </w:rPr>
        <w:t>.</w:t>
      </w:r>
    </w:p>
    <w:p w14:paraId="506A2932" w14:textId="77777777" w:rsidR="005F0BE5" w:rsidRDefault="005F0BE5" w:rsidP="005F0BE5">
      <w:pPr>
        <w:spacing w:after="0" w:line="240" w:lineRule="auto"/>
        <w:ind w:left="426" w:right="-23"/>
        <w:rPr>
          <w:rFonts w:eastAsia="Arial" w:cstheme="minorHAnsi"/>
          <w:b/>
          <w:bCs/>
        </w:rPr>
      </w:pPr>
    </w:p>
    <w:p w14:paraId="13BB41CD" w14:textId="77777777" w:rsidR="005F0BE5" w:rsidRDefault="005F0BE5" w:rsidP="005F0BE5">
      <w:pPr>
        <w:autoSpaceDE w:val="0"/>
        <w:autoSpaceDN w:val="0"/>
        <w:adjustRightInd w:val="0"/>
        <w:spacing w:after="0"/>
        <w:jc w:val="both"/>
        <w:rPr>
          <w:rFonts w:cstheme="minorHAnsi"/>
          <w:b/>
          <w:bCs/>
        </w:rPr>
      </w:pPr>
      <w:r>
        <w:rPr>
          <w:rFonts w:cstheme="minorHAnsi"/>
        </w:rPr>
        <w:t>1</w:t>
      </w:r>
      <w:r w:rsidRPr="00E143F1">
        <w:rPr>
          <w:rFonts w:cstheme="minorHAnsi"/>
        </w:rPr>
        <w:t>9.</w:t>
      </w:r>
      <w:r w:rsidRPr="00E143F1">
        <w:rPr>
          <w:rFonts w:cstheme="minorHAnsi"/>
        </w:rPr>
        <w:tab/>
      </w:r>
      <w:r w:rsidRPr="000B5B46">
        <w:rPr>
          <w:rFonts w:cstheme="minorHAnsi"/>
          <w:b/>
          <w:bCs/>
        </w:rPr>
        <w:t>Local Government Election Process Enquiries</w:t>
      </w:r>
    </w:p>
    <w:p w14:paraId="2A3AA8AA"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19.1</w:t>
      </w:r>
      <w:r>
        <w:rPr>
          <w:rFonts w:cstheme="minorHAnsi"/>
        </w:rPr>
        <w:tab/>
      </w:r>
      <w:r w:rsidRPr="002A7A17">
        <w:rPr>
          <w:rFonts w:cstheme="minorHAnsi"/>
        </w:rPr>
        <w:t xml:space="preserve">All election process enquiries from candidates, whether current </w:t>
      </w:r>
      <w:r>
        <w:rPr>
          <w:rFonts w:cstheme="minorHAnsi"/>
        </w:rPr>
        <w:t xml:space="preserve">council members </w:t>
      </w:r>
      <w:r w:rsidRPr="002A7A17">
        <w:rPr>
          <w:rFonts w:cstheme="minorHAnsi"/>
        </w:rPr>
        <w:t>or not, will initially be directed to the Returning Officer, or, where the</w:t>
      </w:r>
      <w:r>
        <w:rPr>
          <w:rFonts w:cstheme="minorHAnsi"/>
        </w:rPr>
        <w:t xml:space="preserve"> </w:t>
      </w:r>
      <w:r w:rsidRPr="002A7A17">
        <w:rPr>
          <w:rFonts w:cstheme="minorHAnsi"/>
        </w:rPr>
        <w:t>matter is outside the responsibility of the Returning Officer, to the CEO or</w:t>
      </w:r>
      <w:r>
        <w:rPr>
          <w:rFonts w:cstheme="minorHAnsi"/>
        </w:rPr>
        <w:t xml:space="preserve"> </w:t>
      </w:r>
      <w:r w:rsidRPr="002A7A17">
        <w:rPr>
          <w:rFonts w:cstheme="minorHAnsi"/>
        </w:rPr>
        <w:t>delegate.</w:t>
      </w:r>
    </w:p>
    <w:p w14:paraId="27654199" w14:textId="77777777" w:rsidR="005F0BE5" w:rsidRDefault="005F0BE5" w:rsidP="005F0BE5">
      <w:pPr>
        <w:spacing w:after="0" w:line="240" w:lineRule="auto"/>
        <w:ind w:left="709" w:right="-23" w:firstLine="1"/>
        <w:rPr>
          <w:rFonts w:eastAsia="Arial" w:cstheme="minorHAnsi"/>
        </w:rPr>
      </w:pPr>
    </w:p>
    <w:p w14:paraId="72925B21" w14:textId="77777777" w:rsidR="005F0BE5" w:rsidRDefault="005F0BE5" w:rsidP="005F0BE5">
      <w:pPr>
        <w:autoSpaceDE w:val="0"/>
        <w:autoSpaceDN w:val="0"/>
        <w:adjustRightInd w:val="0"/>
        <w:spacing w:after="0"/>
        <w:jc w:val="both"/>
        <w:rPr>
          <w:rFonts w:cstheme="minorHAnsi"/>
          <w:b/>
          <w:bCs/>
        </w:rPr>
      </w:pPr>
      <w:r>
        <w:rPr>
          <w:rFonts w:cstheme="minorHAnsi"/>
        </w:rPr>
        <w:t>20</w:t>
      </w:r>
      <w:r w:rsidRPr="00E143F1">
        <w:rPr>
          <w:rFonts w:cstheme="minorHAnsi"/>
        </w:rPr>
        <w:t>.</w:t>
      </w:r>
      <w:r w:rsidRPr="00E143F1">
        <w:rPr>
          <w:rFonts w:cstheme="minorHAnsi"/>
        </w:rPr>
        <w:tab/>
      </w:r>
      <w:r w:rsidRPr="000B5B46">
        <w:rPr>
          <w:rFonts w:cstheme="minorHAnsi"/>
          <w:b/>
          <w:bCs/>
        </w:rPr>
        <w:t>Electoral Signs</w:t>
      </w:r>
    </w:p>
    <w:p w14:paraId="7D61D760" w14:textId="77777777" w:rsidR="005F0BE5" w:rsidRDefault="005F0BE5" w:rsidP="005F0BE5">
      <w:pPr>
        <w:autoSpaceDE w:val="0"/>
        <w:autoSpaceDN w:val="0"/>
        <w:adjustRightInd w:val="0"/>
        <w:spacing w:after="0" w:line="240" w:lineRule="auto"/>
        <w:ind w:left="1440" w:hanging="589"/>
        <w:jc w:val="both"/>
        <w:rPr>
          <w:rFonts w:cstheme="minorHAnsi"/>
        </w:rPr>
      </w:pPr>
      <w:r>
        <w:rPr>
          <w:rFonts w:cstheme="minorHAnsi"/>
        </w:rPr>
        <w:t>20.</w:t>
      </w:r>
      <w:r w:rsidRPr="002A7A17">
        <w:rPr>
          <w:rFonts w:cstheme="minorHAnsi"/>
        </w:rPr>
        <w:t xml:space="preserve">1 </w:t>
      </w:r>
      <w:r>
        <w:rPr>
          <w:rFonts w:cstheme="minorHAnsi"/>
        </w:rPr>
        <w:tab/>
      </w:r>
      <w:r w:rsidRPr="002A7A17">
        <w:rPr>
          <w:rFonts w:cstheme="minorHAnsi"/>
        </w:rPr>
        <w:t>Electoral signage is not permitted within road reserves (this includes</w:t>
      </w:r>
      <w:r>
        <w:rPr>
          <w:rFonts w:cstheme="minorHAnsi"/>
        </w:rPr>
        <w:t xml:space="preserve"> </w:t>
      </w:r>
      <w:r w:rsidRPr="002A7A17">
        <w:rPr>
          <w:rFonts w:cstheme="minorHAnsi"/>
        </w:rPr>
        <w:t>Council verges outside private properties). This is based on a</w:t>
      </w:r>
      <w:r>
        <w:rPr>
          <w:rFonts w:cstheme="minorHAnsi"/>
        </w:rPr>
        <w:t xml:space="preserve"> </w:t>
      </w:r>
      <w:r w:rsidRPr="002A7A17">
        <w:rPr>
          <w:rFonts w:cstheme="minorHAnsi"/>
        </w:rPr>
        <w:t>requirement for:</w:t>
      </w:r>
    </w:p>
    <w:p w14:paraId="2D907862" w14:textId="77777777" w:rsidR="005F0BE5" w:rsidRPr="002A7A17" w:rsidRDefault="005F0BE5" w:rsidP="005F0BE5">
      <w:pPr>
        <w:autoSpaceDE w:val="0"/>
        <w:autoSpaceDN w:val="0"/>
        <w:adjustRightInd w:val="0"/>
        <w:spacing w:after="0" w:line="240" w:lineRule="auto"/>
        <w:ind w:left="2029" w:hanging="589"/>
        <w:jc w:val="both"/>
        <w:rPr>
          <w:rFonts w:cstheme="minorHAnsi"/>
        </w:rPr>
      </w:pPr>
      <w:r>
        <w:rPr>
          <w:rFonts w:cstheme="minorHAnsi"/>
        </w:rPr>
        <w:t>20.1.1</w:t>
      </w:r>
      <w:r w:rsidRPr="002A7A17">
        <w:rPr>
          <w:rFonts w:cstheme="minorHAnsi"/>
        </w:rPr>
        <w:t xml:space="preserve"> </w:t>
      </w:r>
      <w:r>
        <w:rPr>
          <w:rFonts w:cstheme="minorHAnsi"/>
        </w:rPr>
        <w:tab/>
      </w:r>
      <w:r w:rsidRPr="002A7A17">
        <w:rPr>
          <w:rFonts w:cstheme="minorHAnsi"/>
        </w:rPr>
        <w:t xml:space="preserve">Pedestrian </w:t>
      </w:r>
      <w:proofErr w:type="gramStart"/>
      <w:r w:rsidRPr="002A7A17">
        <w:rPr>
          <w:rFonts w:cstheme="minorHAnsi"/>
        </w:rPr>
        <w:t>safety;</w:t>
      </w:r>
      <w:proofErr w:type="gramEnd"/>
    </w:p>
    <w:p w14:paraId="1A6720D8" w14:textId="77777777" w:rsidR="005F0BE5" w:rsidRPr="002A7A17" w:rsidRDefault="005F0BE5" w:rsidP="005F0BE5">
      <w:pPr>
        <w:autoSpaceDE w:val="0"/>
        <w:autoSpaceDN w:val="0"/>
        <w:adjustRightInd w:val="0"/>
        <w:spacing w:after="0" w:line="240" w:lineRule="auto"/>
        <w:ind w:left="2029" w:hanging="589"/>
        <w:jc w:val="both"/>
        <w:rPr>
          <w:rFonts w:cstheme="minorHAnsi"/>
        </w:rPr>
      </w:pPr>
      <w:r>
        <w:rPr>
          <w:rFonts w:cstheme="minorHAnsi"/>
        </w:rPr>
        <w:t>20.1.2</w:t>
      </w:r>
      <w:r w:rsidRPr="002A7A17">
        <w:rPr>
          <w:rFonts w:cstheme="minorHAnsi"/>
        </w:rPr>
        <w:t xml:space="preserve"> </w:t>
      </w:r>
      <w:r>
        <w:rPr>
          <w:rFonts w:cstheme="minorHAnsi"/>
        </w:rPr>
        <w:tab/>
      </w:r>
      <w:r w:rsidRPr="002A7A17">
        <w:rPr>
          <w:rFonts w:cstheme="minorHAnsi"/>
        </w:rPr>
        <w:t xml:space="preserve">Risk aversion and exposed liability to the </w:t>
      </w:r>
      <w:r>
        <w:rPr>
          <w:rFonts w:cstheme="minorHAnsi"/>
        </w:rPr>
        <w:t>Town</w:t>
      </w:r>
      <w:r w:rsidRPr="002A7A17">
        <w:rPr>
          <w:rFonts w:cstheme="minorHAnsi"/>
        </w:rPr>
        <w:t xml:space="preserve"> for injuries or damage;</w:t>
      </w:r>
      <w:r>
        <w:rPr>
          <w:rFonts w:cstheme="minorHAnsi"/>
        </w:rPr>
        <w:t xml:space="preserve"> </w:t>
      </w:r>
      <w:r w:rsidRPr="002A7A17">
        <w:rPr>
          <w:rFonts w:cstheme="minorHAnsi"/>
        </w:rPr>
        <w:t>and</w:t>
      </w:r>
    </w:p>
    <w:p w14:paraId="0163BEC3" w14:textId="77777777" w:rsidR="005F0BE5" w:rsidRDefault="005F0BE5" w:rsidP="005F0BE5">
      <w:pPr>
        <w:autoSpaceDE w:val="0"/>
        <w:autoSpaceDN w:val="0"/>
        <w:adjustRightInd w:val="0"/>
        <w:spacing w:after="0" w:line="240" w:lineRule="auto"/>
        <w:ind w:left="2029" w:hanging="589"/>
        <w:jc w:val="both"/>
        <w:rPr>
          <w:rFonts w:cstheme="minorHAnsi"/>
        </w:rPr>
      </w:pPr>
      <w:r>
        <w:rPr>
          <w:rFonts w:cstheme="minorHAnsi"/>
        </w:rPr>
        <w:t>20.1.3</w:t>
      </w:r>
      <w:r w:rsidRPr="002A7A17">
        <w:rPr>
          <w:rFonts w:cstheme="minorHAnsi"/>
        </w:rPr>
        <w:t xml:space="preserve"> </w:t>
      </w:r>
      <w:r>
        <w:rPr>
          <w:rFonts w:cstheme="minorHAnsi"/>
        </w:rPr>
        <w:tab/>
      </w:r>
      <w:r w:rsidRPr="002A7A17">
        <w:rPr>
          <w:rFonts w:cstheme="minorHAnsi"/>
        </w:rPr>
        <w:t>Vehicle safety for manoeuvrability and sightlines.</w:t>
      </w:r>
    </w:p>
    <w:p w14:paraId="6A99EC78"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20.</w:t>
      </w:r>
      <w:r w:rsidRPr="002A7A17">
        <w:rPr>
          <w:rFonts w:cstheme="minorHAnsi"/>
        </w:rPr>
        <w:t xml:space="preserve">2 </w:t>
      </w:r>
      <w:r>
        <w:rPr>
          <w:rFonts w:cstheme="minorHAnsi"/>
        </w:rPr>
        <w:tab/>
      </w:r>
      <w:r w:rsidRPr="002A7A17">
        <w:rPr>
          <w:rFonts w:cstheme="minorHAnsi"/>
        </w:rPr>
        <w:t xml:space="preserve">Electoral signage is not permitted on </w:t>
      </w:r>
      <w:r>
        <w:rPr>
          <w:rFonts w:cstheme="minorHAnsi"/>
        </w:rPr>
        <w:t>Town</w:t>
      </w:r>
      <w:r w:rsidRPr="002A7A17">
        <w:rPr>
          <w:rFonts w:cstheme="minorHAnsi"/>
        </w:rPr>
        <w:t xml:space="preserve"> Reserves or </w:t>
      </w:r>
      <w:r>
        <w:rPr>
          <w:rFonts w:cstheme="minorHAnsi"/>
        </w:rPr>
        <w:t>Town</w:t>
      </w:r>
      <w:r w:rsidRPr="002A7A17">
        <w:rPr>
          <w:rFonts w:cstheme="minorHAnsi"/>
        </w:rPr>
        <w:t xml:space="preserve"> infrastructure.</w:t>
      </w:r>
      <w:r>
        <w:rPr>
          <w:rFonts w:cstheme="minorHAnsi"/>
        </w:rPr>
        <w:t xml:space="preserve"> </w:t>
      </w:r>
    </w:p>
    <w:p w14:paraId="2E11A930"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20.3</w:t>
      </w:r>
      <w:r w:rsidRPr="002A7A17">
        <w:rPr>
          <w:rFonts w:cstheme="minorHAnsi"/>
        </w:rPr>
        <w:t xml:space="preserve"> </w:t>
      </w:r>
      <w:r>
        <w:rPr>
          <w:rFonts w:cstheme="minorHAnsi"/>
        </w:rPr>
        <w:tab/>
      </w:r>
      <w:r w:rsidRPr="002A7A17">
        <w:rPr>
          <w:rFonts w:cstheme="minorHAnsi"/>
        </w:rPr>
        <w:t>The installation of signage on private property requires permission from the</w:t>
      </w:r>
      <w:r>
        <w:rPr>
          <w:rFonts w:cstheme="minorHAnsi"/>
        </w:rPr>
        <w:t xml:space="preserve"> </w:t>
      </w:r>
      <w:r w:rsidRPr="002A7A17">
        <w:rPr>
          <w:rFonts w:cstheme="minorHAnsi"/>
        </w:rPr>
        <w:t>owner.</w:t>
      </w:r>
    </w:p>
    <w:p w14:paraId="76946376" w14:textId="77777777" w:rsidR="005F0BE5" w:rsidRDefault="005F0BE5" w:rsidP="005F0BE5">
      <w:pPr>
        <w:spacing w:after="0" w:line="240" w:lineRule="auto"/>
        <w:ind w:left="426" w:right="-23" w:hanging="426"/>
        <w:rPr>
          <w:rFonts w:eastAsia="Arial" w:cstheme="minorHAnsi"/>
        </w:rPr>
      </w:pPr>
    </w:p>
    <w:p w14:paraId="35B89B95" w14:textId="77777777" w:rsidR="005F0BE5" w:rsidRDefault="005F0BE5" w:rsidP="005F0BE5">
      <w:pPr>
        <w:autoSpaceDE w:val="0"/>
        <w:autoSpaceDN w:val="0"/>
        <w:adjustRightInd w:val="0"/>
        <w:spacing w:after="0"/>
        <w:jc w:val="both"/>
        <w:rPr>
          <w:rFonts w:cstheme="minorHAnsi"/>
          <w:b/>
          <w:bCs/>
        </w:rPr>
      </w:pPr>
      <w:r>
        <w:rPr>
          <w:rFonts w:cstheme="minorHAnsi"/>
        </w:rPr>
        <w:t>2</w:t>
      </w:r>
      <w:r w:rsidRPr="00E143F1">
        <w:rPr>
          <w:rFonts w:cstheme="minorHAnsi"/>
        </w:rPr>
        <w:t>1.</w:t>
      </w:r>
      <w:r w:rsidRPr="00E143F1">
        <w:rPr>
          <w:rFonts w:cstheme="minorHAnsi"/>
        </w:rPr>
        <w:tab/>
      </w:r>
      <w:r w:rsidRPr="000A2105">
        <w:rPr>
          <w:rFonts w:cstheme="minorHAnsi"/>
          <w:b/>
          <w:bCs/>
        </w:rPr>
        <w:t xml:space="preserve">Implementation of </w:t>
      </w:r>
      <w:r>
        <w:rPr>
          <w:rFonts w:cstheme="minorHAnsi"/>
          <w:b/>
          <w:bCs/>
        </w:rPr>
        <w:t>Caretaker</w:t>
      </w:r>
      <w:r w:rsidRPr="000A2105">
        <w:rPr>
          <w:rFonts w:cstheme="minorHAnsi"/>
          <w:b/>
          <w:bCs/>
        </w:rPr>
        <w:t xml:space="preserve"> Practices during State and Federal Government Elections</w:t>
      </w:r>
    </w:p>
    <w:p w14:paraId="4959322F"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21.</w:t>
      </w:r>
      <w:r w:rsidRPr="002A7A17">
        <w:rPr>
          <w:rFonts w:cstheme="minorHAnsi"/>
        </w:rPr>
        <w:t xml:space="preserve">1 </w:t>
      </w:r>
      <w:r>
        <w:rPr>
          <w:rFonts w:cstheme="minorHAnsi"/>
        </w:rPr>
        <w:tab/>
        <w:t>Council members</w:t>
      </w:r>
      <w:r w:rsidRPr="002A7A17">
        <w:rPr>
          <w:rFonts w:cstheme="minorHAnsi"/>
        </w:rPr>
        <w:t xml:space="preserve"> who nominate or are pre-selected by a political party to</w:t>
      </w:r>
      <w:r>
        <w:rPr>
          <w:rFonts w:cstheme="minorHAnsi"/>
        </w:rPr>
        <w:t xml:space="preserve"> </w:t>
      </w:r>
      <w:r w:rsidRPr="002A7A17">
        <w:rPr>
          <w:rFonts w:cstheme="minorHAnsi"/>
        </w:rPr>
        <w:t>contest a state or federal election, should avoid any appearance that their</w:t>
      </w:r>
      <w:r>
        <w:rPr>
          <w:rFonts w:cstheme="minorHAnsi"/>
        </w:rPr>
        <w:t xml:space="preserve"> </w:t>
      </w:r>
      <w:r w:rsidRPr="002A7A17">
        <w:rPr>
          <w:rFonts w:cstheme="minorHAnsi"/>
        </w:rPr>
        <w:t xml:space="preserve">position on Council </w:t>
      </w:r>
      <w:r w:rsidRPr="002A7A17">
        <w:rPr>
          <w:rFonts w:cstheme="minorHAnsi"/>
        </w:rPr>
        <w:lastRenderedPageBreak/>
        <w:t>is being used as a platform for their state or federal</w:t>
      </w:r>
      <w:r>
        <w:rPr>
          <w:rFonts w:cstheme="minorHAnsi"/>
        </w:rPr>
        <w:t xml:space="preserve"> </w:t>
      </w:r>
      <w:r w:rsidRPr="002A7A17">
        <w:rPr>
          <w:rFonts w:cstheme="minorHAnsi"/>
        </w:rPr>
        <w:t xml:space="preserve">election campaign during the election </w:t>
      </w:r>
      <w:r>
        <w:rPr>
          <w:rFonts w:cstheme="minorHAnsi"/>
        </w:rPr>
        <w:t>period</w:t>
      </w:r>
      <w:r w:rsidRPr="002A7A17">
        <w:rPr>
          <w:rFonts w:cstheme="minorHAnsi"/>
        </w:rPr>
        <w:t>.</w:t>
      </w:r>
    </w:p>
    <w:p w14:paraId="7DE71774"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21.</w:t>
      </w:r>
      <w:r w:rsidRPr="002A7A17">
        <w:rPr>
          <w:rFonts w:cstheme="minorHAnsi"/>
        </w:rPr>
        <w:t xml:space="preserve">2 </w:t>
      </w:r>
      <w:r>
        <w:rPr>
          <w:rFonts w:cstheme="minorHAnsi"/>
        </w:rPr>
        <w:tab/>
      </w:r>
      <w:r w:rsidRPr="002A7A17">
        <w:rPr>
          <w:rFonts w:cstheme="minorHAnsi"/>
        </w:rPr>
        <w:t>A</w:t>
      </w:r>
      <w:r>
        <w:rPr>
          <w:rFonts w:cstheme="minorHAnsi"/>
        </w:rPr>
        <w:t xml:space="preserve"> council member</w:t>
      </w:r>
      <w:r w:rsidRPr="002A7A17">
        <w:rPr>
          <w:rFonts w:cstheme="minorHAnsi"/>
        </w:rPr>
        <w:t xml:space="preserve"> may choose to take leave of absence from the</w:t>
      </w:r>
      <w:r>
        <w:rPr>
          <w:rFonts w:cstheme="minorHAnsi"/>
        </w:rPr>
        <w:t xml:space="preserve"> </w:t>
      </w:r>
      <w:r w:rsidRPr="002A7A17">
        <w:rPr>
          <w:rFonts w:cstheme="minorHAnsi"/>
        </w:rPr>
        <w:t xml:space="preserve">Council for such </w:t>
      </w:r>
      <w:r>
        <w:rPr>
          <w:rFonts w:cstheme="minorHAnsi"/>
        </w:rPr>
        <w:t>period</w:t>
      </w:r>
      <w:r w:rsidRPr="002A7A17">
        <w:rPr>
          <w:rFonts w:cstheme="minorHAnsi"/>
        </w:rPr>
        <w:t xml:space="preserve"> as they see fit and should, as soon as practicable</w:t>
      </w:r>
      <w:r>
        <w:rPr>
          <w:rFonts w:cstheme="minorHAnsi"/>
        </w:rPr>
        <w:t xml:space="preserve"> </w:t>
      </w:r>
      <w:r w:rsidRPr="002A7A17">
        <w:rPr>
          <w:rFonts w:cstheme="minorHAnsi"/>
        </w:rPr>
        <w:t>after nominating or being pre-selected, notify the CEO in writing, who in</w:t>
      </w:r>
      <w:r>
        <w:rPr>
          <w:rFonts w:cstheme="minorHAnsi"/>
        </w:rPr>
        <w:t xml:space="preserve"> </w:t>
      </w:r>
      <w:r w:rsidRPr="002A7A17">
        <w:rPr>
          <w:rFonts w:cstheme="minorHAnsi"/>
        </w:rPr>
        <w:t xml:space="preserve">turn will advise the other </w:t>
      </w:r>
      <w:r>
        <w:rPr>
          <w:rFonts w:cstheme="minorHAnsi"/>
        </w:rPr>
        <w:t>council members.</w:t>
      </w:r>
    </w:p>
    <w:p w14:paraId="257BA9F0" w14:textId="77777777" w:rsidR="005F0BE5" w:rsidRPr="002A7A17" w:rsidRDefault="005F0BE5" w:rsidP="005F0BE5">
      <w:pPr>
        <w:autoSpaceDE w:val="0"/>
        <w:autoSpaceDN w:val="0"/>
        <w:adjustRightInd w:val="0"/>
        <w:spacing w:after="0" w:line="240" w:lineRule="auto"/>
        <w:ind w:left="1440" w:hanging="589"/>
        <w:jc w:val="both"/>
        <w:rPr>
          <w:rFonts w:cstheme="minorHAnsi"/>
        </w:rPr>
      </w:pPr>
      <w:r>
        <w:rPr>
          <w:rFonts w:cstheme="minorHAnsi"/>
        </w:rPr>
        <w:t>21.</w:t>
      </w:r>
      <w:r w:rsidRPr="002A7A17">
        <w:rPr>
          <w:rFonts w:cstheme="minorHAnsi"/>
        </w:rPr>
        <w:t xml:space="preserve">3 </w:t>
      </w:r>
      <w:r>
        <w:rPr>
          <w:rFonts w:cstheme="minorHAnsi"/>
        </w:rPr>
        <w:tab/>
      </w:r>
      <w:r w:rsidRPr="002A7A17">
        <w:rPr>
          <w:rFonts w:cstheme="minorHAnsi"/>
        </w:rPr>
        <w:t xml:space="preserve">For state or federal elections, the </w:t>
      </w:r>
      <w:r>
        <w:rPr>
          <w:rFonts w:cstheme="minorHAnsi"/>
        </w:rPr>
        <w:t>Caretaker</w:t>
      </w:r>
      <w:r w:rsidRPr="002A7A17">
        <w:rPr>
          <w:rFonts w:cstheme="minorHAnsi"/>
        </w:rPr>
        <w:t xml:space="preserve"> </w:t>
      </w:r>
      <w:r>
        <w:rPr>
          <w:rFonts w:cstheme="minorHAnsi"/>
        </w:rPr>
        <w:t>Period</w:t>
      </w:r>
      <w:r w:rsidRPr="002A7A17">
        <w:rPr>
          <w:rFonts w:cstheme="minorHAnsi"/>
        </w:rPr>
        <w:t xml:space="preserve"> commences from the</w:t>
      </w:r>
      <w:r>
        <w:rPr>
          <w:rFonts w:cstheme="minorHAnsi"/>
        </w:rPr>
        <w:t xml:space="preserve"> </w:t>
      </w:r>
      <w:r w:rsidRPr="002A7A17">
        <w:rPr>
          <w:rFonts w:cstheme="minorHAnsi"/>
        </w:rPr>
        <w:t>date of the election writ issued by the Governor or Governor General, as is</w:t>
      </w:r>
      <w:r>
        <w:rPr>
          <w:rFonts w:cstheme="minorHAnsi"/>
        </w:rPr>
        <w:t xml:space="preserve"> </w:t>
      </w:r>
      <w:r w:rsidRPr="002A7A17">
        <w:rPr>
          <w:rFonts w:cstheme="minorHAnsi"/>
        </w:rPr>
        <w:t>relevant.</w:t>
      </w:r>
    </w:p>
    <w:p w14:paraId="14332C24" w14:textId="77777777" w:rsidR="005F0BE5" w:rsidRPr="00585C2D" w:rsidRDefault="005F0BE5" w:rsidP="005F0BE5">
      <w:pPr>
        <w:spacing w:before="78" w:after="0" w:line="241" w:lineRule="auto"/>
        <w:ind w:right="1179"/>
        <w:rPr>
          <w:rFonts w:eastAsia="Arial" w:cstheme="minorHAnsi"/>
        </w:rPr>
      </w:pPr>
    </w:p>
    <w:tbl>
      <w:tblPr>
        <w:tblStyle w:val="TableGrid"/>
        <w:tblW w:w="0" w:type="auto"/>
        <w:tblLook w:val="04A0" w:firstRow="1" w:lastRow="0" w:firstColumn="1" w:lastColumn="0" w:noHBand="0" w:noVBand="1"/>
      </w:tblPr>
      <w:tblGrid>
        <w:gridCol w:w="3050"/>
        <w:gridCol w:w="5966"/>
      </w:tblGrid>
      <w:tr w:rsidR="005F0BE5" w:rsidRPr="0096334F" w14:paraId="65CE66F8" w14:textId="77777777" w:rsidTr="00880AC1">
        <w:tc>
          <w:tcPr>
            <w:tcW w:w="3050" w:type="dxa"/>
          </w:tcPr>
          <w:p w14:paraId="0A310D4A" w14:textId="77777777" w:rsidR="005F0BE5" w:rsidRPr="0096334F" w:rsidRDefault="005F0BE5" w:rsidP="00880AC1">
            <w:pPr>
              <w:jc w:val="both"/>
              <w:rPr>
                <w:rFonts w:cstheme="minorHAnsi"/>
                <w:b/>
                <w:lang w:val="en-US"/>
              </w:rPr>
            </w:pPr>
            <w:r w:rsidRPr="0096334F">
              <w:rPr>
                <w:rFonts w:cstheme="minorHAnsi"/>
                <w:b/>
                <w:lang w:val="en-US"/>
              </w:rPr>
              <w:t>Responsible Directorate:</w:t>
            </w:r>
          </w:p>
        </w:tc>
        <w:tc>
          <w:tcPr>
            <w:tcW w:w="5966" w:type="dxa"/>
          </w:tcPr>
          <w:p w14:paraId="16D789CE" w14:textId="77777777" w:rsidR="005F0BE5" w:rsidRPr="0096334F" w:rsidRDefault="005F0BE5" w:rsidP="00880AC1">
            <w:pPr>
              <w:jc w:val="both"/>
              <w:rPr>
                <w:rFonts w:cstheme="minorHAnsi"/>
                <w:lang w:val="en-US"/>
              </w:rPr>
            </w:pPr>
            <w:r w:rsidRPr="0096334F">
              <w:rPr>
                <w:rFonts w:cstheme="minorHAnsi"/>
                <w:lang w:val="en-US"/>
              </w:rPr>
              <w:t>Office of the CEO</w:t>
            </w:r>
          </w:p>
        </w:tc>
      </w:tr>
      <w:tr w:rsidR="005F0BE5" w:rsidRPr="0096334F" w14:paraId="6FA8EA8A" w14:textId="77777777" w:rsidTr="00880AC1">
        <w:tc>
          <w:tcPr>
            <w:tcW w:w="3050" w:type="dxa"/>
          </w:tcPr>
          <w:p w14:paraId="3A512EB5" w14:textId="77777777" w:rsidR="005F0BE5" w:rsidRPr="0096334F" w:rsidRDefault="005F0BE5" w:rsidP="00880AC1">
            <w:pPr>
              <w:jc w:val="both"/>
              <w:rPr>
                <w:rFonts w:cstheme="minorHAnsi"/>
                <w:b/>
                <w:lang w:val="en-US"/>
              </w:rPr>
            </w:pPr>
            <w:r w:rsidRPr="0096334F">
              <w:rPr>
                <w:rFonts w:cstheme="minorHAnsi"/>
                <w:b/>
                <w:lang w:val="en-US"/>
              </w:rPr>
              <w:t>Reviewing Officer:</w:t>
            </w:r>
          </w:p>
        </w:tc>
        <w:tc>
          <w:tcPr>
            <w:tcW w:w="5966" w:type="dxa"/>
          </w:tcPr>
          <w:p w14:paraId="57799DD5" w14:textId="77777777" w:rsidR="005F0BE5" w:rsidRPr="0096334F" w:rsidRDefault="005F0BE5" w:rsidP="00880AC1">
            <w:pPr>
              <w:jc w:val="both"/>
              <w:rPr>
                <w:rFonts w:cstheme="minorHAnsi"/>
                <w:lang w:val="en-US"/>
              </w:rPr>
            </w:pPr>
            <w:r w:rsidRPr="0096334F">
              <w:rPr>
                <w:rFonts w:cstheme="minorHAnsi"/>
                <w:lang w:val="en-US"/>
              </w:rPr>
              <w:t>Chief Executive Officer</w:t>
            </w:r>
          </w:p>
        </w:tc>
      </w:tr>
      <w:tr w:rsidR="005F0BE5" w:rsidRPr="0096334F" w14:paraId="5C6B6F57" w14:textId="77777777" w:rsidTr="00880AC1">
        <w:tc>
          <w:tcPr>
            <w:tcW w:w="3050" w:type="dxa"/>
          </w:tcPr>
          <w:p w14:paraId="3E3A9B21" w14:textId="77777777" w:rsidR="005F0BE5" w:rsidRPr="0096334F" w:rsidRDefault="005F0BE5" w:rsidP="00880AC1">
            <w:pPr>
              <w:jc w:val="both"/>
              <w:rPr>
                <w:rFonts w:cstheme="minorHAnsi"/>
                <w:b/>
                <w:lang w:val="en-US"/>
              </w:rPr>
            </w:pPr>
            <w:r w:rsidRPr="0096334F">
              <w:rPr>
                <w:rFonts w:cstheme="minorHAnsi"/>
                <w:b/>
                <w:lang w:val="en-US"/>
              </w:rPr>
              <w:t>Decision making Authority:</w:t>
            </w:r>
          </w:p>
        </w:tc>
        <w:tc>
          <w:tcPr>
            <w:tcW w:w="5966" w:type="dxa"/>
          </w:tcPr>
          <w:p w14:paraId="695E2983" w14:textId="77777777" w:rsidR="005F0BE5" w:rsidRPr="0096334F" w:rsidRDefault="005F0BE5" w:rsidP="00880AC1">
            <w:pPr>
              <w:jc w:val="both"/>
              <w:rPr>
                <w:rFonts w:cstheme="minorHAnsi"/>
                <w:lang w:val="en-US"/>
              </w:rPr>
            </w:pPr>
            <w:r w:rsidRPr="0096334F">
              <w:rPr>
                <w:rFonts w:cstheme="minorHAnsi"/>
                <w:lang w:val="en-US"/>
              </w:rPr>
              <w:t>Council</w:t>
            </w:r>
          </w:p>
        </w:tc>
      </w:tr>
      <w:tr w:rsidR="005F0BE5" w:rsidRPr="0096334F" w14:paraId="3A98661A" w14:textId="77777777" w:rsidTr="00880AC1">
        <w:tc>
          <w:tcPr>
            <w:tcW w:w="3050" w:type="dxa"/>
          </w:tcPr>
          <w:p w14:paraId="209B33E6" w14:textId="77777777" w:rsidR="005F0BE5" w:rsidRPr="0096334F" w:rsidRDefault="005F0BE5" w:rsidP="00880AC1">
            <w:pPr>
              <w:jc w:val="both"/>
              <w:rPr>
                <w:rFonts w:cstheme="minorHAnsi"/>
                <w:b/>
                <w:lang w:val="en-US"/>
              </w:rPr>
            </w:pPr>
            <w:r w:rsidRPr="0096334F">
              <w:rPr>
                <w:rFonts w:cstheme="minorHAnsi"/>
                <w:b/>
                <w:lang w:val="en-US"/>
              </w:rPr>
              <w:t>Policy Adopted:</w:t>
            </w:r>
          </w:p>
        </w:tc>
        <w:tc>
          <w:tcPr>
            <w:tcW w:w="5966" w:type="dxa"/>
          </w:tcPr>
          <w:p w14:paraId="7D22C97B" w14:textId="77777777" w:rsidR="005F0BE5" w:rsidRPr="0096334F" w:rsidRDefault="005F0BE5" w:rsidP="00880AC1">
            <w:pPr>
              <w:jc w:val="both"/>
              <w:rPr>
                <w:rFonts w:cstheme="minorHAnsi"/>
                <w:lang w:val="en-US"/>
              </w:rPr>
            </w:pPr>
            <w:r>
              <w:rPr>
                <w:rFonts w:cstheme="minorHAnsi"/>
                <w:lang w:val="en-US"/>
              </w:rPr>
              <w:t>21/9/21</w:t>
            </w:r>
          </w:p>
        </w:tc>
      </w:tr>
      <w:tr w:rsidR="005F0BE5" w:rsidRPr="0096334F" w14:paraId="4D369B9D" w14:textId="77777777" w:rsidTr="00880AC1">
        <w:tc>
          <w:tcPr>
            <w:tcW w:w="3050" w:type="dxa"/>
          </w:tcPr>
          <w:p w14:paraId="0391B503" w14:textId="77777777" w:rsidR="005F0BE5" w:rsidRPr="0096334F" w:rsidRDefault="005F0BE5" w:rsidP="00880AC1">
            <w:pPr>
              <w:jc w:val="both"/>
              <w:rPr>
                <w:rFonts w:cstheme="minorHAnsi"/>
                <w:b/>
                <w:lang w:val="en-US"/>
              </w:rPr>
            </w:pPr>
            <w:r w:rsidRPr="0096334F">
              <w:rPr>
                <w:rFonts w:cstheme="minorHAnsi"/>
                <w:b/>
                <w:lang w:val="en-US"/>
              </w:rPr>
              <w:t>Policy Amended/Reviewed:</w:t>
            </w:r>
          </w:p>
        </w:tc>
        <w:tc>
          <w:tcPr>
            <w:tcW w:w="5966" w:type="dxa"/>
          </w:tcPr>
          <w:p w14:paraId="07D9E519" w14:textId="77777777" w:rsidR="005F0BE5" w:rsidRPr="0096334F" w:rsidRDefault="005F0BE5" w:rsidP="00880AC1">
            <w:pPr>
              <w:jc w:val="both"/>
              <w:rPr>
                <w:rFonts w:cstheme="minorHAnsi"/>
                <w:lang w:val="en-US"/>
              </w:rPr>
            </w:pPr>
            <w:r>
              <w:rPr>
                <w:rFonts w:cstheme="minorHAnsi"/>
                <w:lang w:val="en-US"/>
              </w:rPr>
              <w:t>19/8/25</w:t>
            </w:r>
          </w:p>
        </w:tc>
      </w:tr>
    </w:tbl>
    <w:p w14:paraId="42FCC454" w14:textId="77777777" w:rsidR="005F0BE5" w:rsidRPr="0096334F" w:rsidRDefault="005F0BE5" w:rsidP="005F0BE5">
      <w:pPr>
        <w:jc w:val="both"/>
        <w:rPr>
          <w:rFonts w:cstheme="minorHAnsi"/>
          <w:lang w:val="en-US"/>
        </w:rPr>
      </w:pPr>
    </w:p>
    <w:p w14:paraId="71DFE3E1" w14:textId="77777777" w:rsidR="005F0BE5" w:rsidRDefault="005F0BE5">
      <w:pPr>
        <w:rPr>
          <w:b/>
          <w:bCs/>
          <w:color w:val="244061" w:themeColor="accent1" w:themeShade="80"/>
          <w:sz w:val="32"/>
          <w:szCs w:val="32"/>
        </w:rPr>
      </w:pPr>
      <w:r>
        <w:rPr>
          <w:b/>
          <w:bCs/>
          <w:color w:val="244061" w:themeColor="accent1" w:themeShade="80"/>
          <w:sz w:val="32"/>
          <w:szCs w:val="32"/>
        </w:rPr>
        <w:br w:type="page"/>
      </w:r>
    </w:p>
    <w:p w14:paraId="78378766" w14:textId="3C0A4AAF" w:rsidR="00D376C6" w:rsidRDefault="00D376C6" w:rsidP="00D376C6">
      <w:pPr>
        <w:jc w:val="right"/>
        <w:rPr>
          <w:b/>
          <w:bCs/>
          <w:color w:val="244061" w:themeColor="accent1" w:themeShade="80"/>
          <w:sz w:val="32"/>
          <w:szCs w:val="32"/>
        </w:rPr>
      </w:pPr>
      <w:r>
        <w:rPr>
          <w:noProof/>
        </w:rPr>
        <w:lastRenderedPageBreak/>
        <w:drawing>
          <wp:inline distT="0" distB="0" distL="0" distR="0" wp14:anchorId="057AE36A" wp14:editId="567317FF">
            <wp:extent cx="1874156" cy="753110"/>
            <wp:effectExtent l="0" t="0" r="0" b="8890"/>
            <wp:docPr id="2103314267" name="Picture 2103314267" descr="A logo for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ogo for a tow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88753" cy="758976"/>
                    </a:xfrm>
                    <a:prstGeom prst="rect">
                      <a:avLst/>
                    </a:prstGeom>
                    <a:noFill/>
                    <a:ln>
                      <a:noFill/>
                    </a:ln>
                  </pic:spPr>
                </pic:pic>
              </a:graphicData>
            </a:graphic>
          </wp:inline>
        </w:drawing>
      </w:r>
    </w:p>
    <w:p w14:paraId="05523CBC" w14:textId="77777777" w:rsidR="00D376C6" w:rsidRPr="00AA2483" w:rsidRDefault="00D376C6" w:rsidP="00D376C6">
      <w:pPr>
        <w:pStyle w:val="Policy3"/>
      </w:pPr>
      <w:bookmarkStart w:id="111" w:name="_Toc216866657"/>
      <w:r w:rsidRPr="004205B0">
        <w:t>1.1.12 Recordkeeping for Elected Members</w:t>
      </w:r>
      <w:bookmarkEnd w:id="111"/>
      <w:r w:rsidRPr="004205B0">
        <w:t xml:space="preserve"> </w:t>
      </w:r>
    </w:p>
    <w:tbl>
      <w:tblPr>
        <w:tblStyle w:val="TableGrid"/>
        <w:tblW w:w="0" w:type="auto"/>
        <w:tblLook w:val="04A0" w:firstRow="1" w:lastRow="0" w:firstColumn="1" w:lastColumn="0" w:noHBand="0" w:noVBand="1"/>
      </w:tblPr>
      <w:tblGrid>
        <w:gridCol w:w="2972"/>
        <w:gridCol w:w="6044"/>
      </w:tblGrid>
      <w:tr w:rsidR="00D376C6" w:rsidRPr="003713B2" w14:paraId="2FAE7B1D" w14:textId="77777777" w:rsidTr="00A47694">
        <w:tc>
          <w:tcPr>
            <w:tcW w:w="2972" w:type="dxa"/>
          </w:tcPr>
          <w:p w14:paraId="3EF0A255" w14:textId="77777777" w:rsidR="00D376C6" w:rsidRPr="003713B2" w:rsidRDefault="00D376C6" w:rsidP="00A47694">
            <w:pPr>
              <w:jc w:val="both"/>
            </w:pPr>
            <w:r w:rsidRPr="003713B2">
              <w:t>Type:</w:t>
            </w:r>
          </w:p>
        </w:tc>
        <w:tc>
          <w:tcPr>
            <w:tcW w:w="6044" w:type="dxa"/>
          </w:tcPr>
          <w:p w14:paraId="30906CE6" w14:textId="77777777" w:rsidR="00D376C6" w:rsidRPr="003713B2" w:rsidRDefault="00D376C6" w:rsidP="00A47694">
            <w:pPr>
              <w:jc w:val="both"/>
            </w:pPr>
            <w:r w:rsidRPr="003713B2">
              <w:t>Office of the CEO</w:t>
            </w:r>
            <w:r>
              <w:t xml:space="preserve"> </w:t>
            </w:r>
          </w:p>
        </w:tc>
      </w:tr>
      <w:tr w:rsidR="00D376C6" w:rsidRPr="003713B2" w14:paraId="448F7519" w14:textId="77777777" w:rsidTr="00A47694">
        <w:tc>
          <w:tcPr>
            <w:tcW w:w="2972" w:type="dxa"/>
          </w:tcPr>
          <w:p w14:paraId="53B5CCEB" w14:textId="77777777" w:rsidR="00D376C6" w:rsidRPr="003713B2" w:rsidRDefault="00D376C6" w:rsidP="00A47694">
            <w:pPr>
              <w:jc w:val="both"/>
            </w:pPr>
            <w:r w:rsidRPr="003713B2">
              <w:t>Legislation:</w:t>
            </w:r>
          </w:p>
        </w:tc>
        <w:tc>
          <w:tcPr>
            <w:tcW w:w="6044" w:type="dxa"/>
          </w:tcPr>
          <w:p w14:paraId="008334DB" w14:textId="77777777" w:rsidR="00D376C6" w:rsidRPr="003713B2" w:rsidRDefault="00D376C6" w:rsidP="00A47694">
            <w:pPr>
              <w:jc w:val="both"/>
            </w:pPr>
            <w:r>
              <w:t>State Records Act 2000</w:t>
            </w:r>
          </w:p>
        </w:tc>
      </w:tr>
      <w:tr w:rsidR="00D376C6" w:rsidRPr="003713B2" w14:paraId="4A2A8DA2" w14:textId="77777777" w:rsidTr="00A47694">
        <w:tc>
          <w:tcPr>
            <w:tcW w:w="2972" w:type="dxa"/>
          </w:tcPr>
          <w:p w14:paraId="4E8C1B1F" w14:textId="77777777" w:rsidR="00D376C6" w:rsidRPr="003713B2" w:rsidRDefault="00D376C6" w:rsidP="00A47694">
            <w:pPr>
              <w:jc w:val="both"/>
            </w:pPr>
            <w:r w:rsidRPr="003713B2">
              <w:t>Delegation:</w:t>
            </w:r>
          </w:p>
        </w:tc>
        <w:tc>
          <w:tcPr>
            <w:tcW w:w="6044" w:type="dxa"/>
          </w:tcPr>
          <w:p w14:paraId="6FF94DCC" w14:textId="77777777" w:rsidR="00D376C6" w:rsidRPr="003713B2" w:rsidRDefault="00D376C6" w:rsidP="00A47694">
            <w:pPr>
              <w:jc w:val="both"/>
            </w:pPr>
          </w:p>
        </w:tc>
      </w:tr>
      <w:tr w:rsidR="00D376C6" w:rsidRPr="003713B2" w14:paraId="5B92FE3A" w14:textId="77777777" w:rsidTr="00A47694">
        <w:tc>
          <w:tcPr>
            <w:tcW w:w="2972" w:type="dxa"/>
          </w:tcPr>
          <w:p w14:paraId="5D8869E0" w14:textId="77777777" w:rsidR="00D376C6" w:rsidRPr="003713B2" w:rsidRDefault="00D376C6" w:rsidP="00A47694">
            <w:pPr>
              <w:jc w:val="both"/>
            </w:pPr>
            <w:r w:rsidRPr="003713B2">
              <w:t>Other Related Document:</w:t>
            </w:r>
          </w:p>
        </w:tc>
        <w:tc>
          <w:tcPr>
            <w:tcW w:w="6044" w:type="dxa"/>
          </w:tcPr>
          <w:p w14:paraId="5552910A" w14:textId="77777777" w:rsidR="00D376C6" w:rsidRPr="003713B2" w:rsidRDefault="00D376C6" w:rsidP="00A47694">
            <w:pPr>
              <w:jc w:val="both"/>
            </w:pPr>
          </w:p>
        </w:tc>
      </w:tr>
    </w:tbl>
    <w:p w14:paraId="312FEFDB" w14:textId="77777777" w:rsidR="00D376C6" w:rsidRPr="00AA2483" w:rsidRDefault="00D376C6" w:rsidP="00D376C6">
      <w:pPr>
        <w:spacing w:after="0"/>
        <w:jc w:val="both"/>
        <w:rPr>
          <w:b/>
          <w:bCs/>
          <w:sz w:val="28"/>
          <w:szCs w:val="28"/>
        </w:rPr>
      </w:pPr>
      <w:r>
        <w:rPr>
          <w:b/>
          <w:bCs/>
          <w:sz w:val="28"/>
          <w:szCs w:val="28"/>
        </w:rPr>
        <w:br/>
      </w:r>
      <w:r w:rsidRPr="00AA2483">
        <w:rPr>
          <w:b/>
          <w:bCs/>
          <w:sz w:val="28"/>
          <w:szCs w:val="28"/>
        </w:rPr>
        <w:t>Objective</w:t>
      </w:r>
    </w:p>
    <w:p w14:paraId="171176E8" w14:textId="77777777" w:rsidR="00D376C6" w:rsidRPr="00AA2483" w:rsidRDefault="00D376C6" w:rsidP="00D376C6">
      <w:pPr>
        <w:spacing w:after="120"/>
        <w:jc w:val="both"/>
      </w:pPr>
      <w:r w:rsidRPr="00AA2483">
        <w:t>The State Records Act 2000 is the primary legislation that governs recordkeeping in Western Australia.</w:t>
      </w:r>
    </w:p>
    <w:p w14:paraId="140B6DAA" w14:textId="77777777" w:rsidR="00D376C6" w:rsidRPr="00AA2483" w:rsidRDefault="00D376C6" w:rsidP="00D376C6">
      <w:pPr>
        <w:spacing w:after="120"/>
        <w:jc w:val="both"/>
      </w:pPr>
      <w:r w:rsidRPr="00AA2483">
        <w:t>The State Records Commission was established under the terms of Part 8 of the State Records Act 2000.</w:t>
      </w:r>
    </w:p>
    <w:p w14:paraId="157ABBE5" w14:textId="77777777" w:rsidR="00D376C6" w:rsidRPr="00AA2483" w:rsidRDefault="00D376C6" w:rsidP="00D376C6">
      <w:pPr>
        <w:spacing w:after="120"/>
        <w:jc w:val="both"/>
      </w:pPr>
      <w:r w:rsidRPr="00AA2483">
        <w:t>The State Records Commission’s policy for Local Government Elected Members records is as follows:</w:t>
      </w:r>
    </w:p>
    <w:p w14:paraId="20870F51" w14:textId="77777777" w:rsidR="00D376C6" w:rsidRPr="00AA2483" w:rsidRDefault="00D376C6" w:rsidP="00D376C6">
      <w:pPr>
        <w:spacing w:after="120"/>
        <w:jc w:val="both"/>
      </w:pPr>
      <w:r w:rsidRPr="00AA2483">
        <w:t>“In relation to the recordkeeping requirements of local government elected members, records must be created and kept which properly and adequately record the performance of member functions arising from their participation in the decision-making processes of Council and Committees of Council.</w:t>
      </w:r>
    </w:p>
    <w:p w14:paraId="78636912" w14:textId="77777777" w:rsidR="00D376C6" w:rsidRPr="00AA2483" w:rsidRDefault="00D376C6" w:rsidP="00D376C6">
      <w:pPr>
        <w:spacing w:after="120"/>
        <w:jc w:val="both"/>
      </w:pPr>
      <w:r w:rsidRPr="00AA2483">
        <w:t>This requirement should be met through the creation and retention of records of meetings of Council and Committees of Council of local government and other communications and transactions of elected members which constitute evidence affecting the accountability of the Council and the discharge of its business.</w:t>
      </w:r>
    </w:p>
    <w:p w14:paraId="18C2BECB" w14:textId="77777777" w:rsidR="00D376C6" w:rsidRPr="00AA2483" w:rsidRDefault="00D376C6" w:rsidP="00D376C6">
      <w:pPr>
        <w:spacing w:after="120"/>
        <w:jc w:val="both"/>
      </w:pPr>
      <w:r w:rsidRPr="00AA2483">
        <w:t>Local governments must ensure that appropriate practices are established to facilitate the ease of capture and management of elected members’ records up to and including the decision-making processes of Council.”</w:t>
      </w:r>
    </w:p>
    <w:p w14:paraId="021E30EA" w14:textId="77777777" w:rsidR="00D376C6" w:rsidRPr="00AA2483" w:rsidRDefault="00D376C6" w:rsidP="00D376C6">
      <w:pPr>
        <w:jc w:val="both"/>
      </w:pPr>
      <w:r w:rsidRPr="00AA2483">
        <w:t>Th</w:t>
      </w:r>
      <w:r>
        <w:t xml:space="preserve">is policy </w:t>
      </w:r>
      <w:r w:rsidRPr="00AA2483">
        <w:t>ha</w:t>
      </w:r>
      <w:r>
        <w:t xml:space="preserve">s </w:t>
      </w:r>
      <w:r w:rsidRPr="00AA2483">
        <w:t>been prepared for Elected Members to assist them in meeting their recordkeeping requirements.</w:t>
      </w:r>
    </w:p>
    <w:p w14:paraId="5B473934" w14:textId="77777777" w:rsidR="00D376C6" w:rsidRPr="00AA2483" w:rsidRDefault="00D376C6" w:rsidP="00D376C6">
      <w:pPr>
        <w:spacing w:after="0"/>
        <w:jc w:val="both"/>
        <w:rPr>
          <w:b/>
          <w:bCs/>
          <w:sz w:val="28"/>
          <w:szCs w:val="28"/>
        </w:rPr>
      </w:pPr>
      <w:r w:rsidRPr="00AA2483">
        <w:rPr>
          <w:b/>
          <w:bCs/>
          <w:sz w:val="28"/>
          <w:szCs w:val="28"/>
        </w:rPr>
        <w:t>Policy Scope</w:t>
      </w:r>
    </w:p>
    <w:p w14:paraId="566A6293" w14:textId="77777777" w:rsidR="00D376C6" w:rsidRPr="00AA2483" w:rsidRDefault="00D376C6" w:rsidP="00D376C6">
      <w:pPr>
        <w:spacing w:after="120"/>
        <w:jc w:val="both"/>
      </w:pPr>
      <w:r w:rsidRPr="00AA2483">
        <w:t xml:space="preserve">The </w:t>
      </w:r>
      <w:r>
        <w:t>Town of East Fremantle</w:t>
      </w:r>
      <w:r w:rsidRPr="00AA2483">
        <w:t xml:space="preserve"> recognises that its records are an important information resource and that sound records management practices will contribute to the overall efficiency and effectiveness of the organisation.</w:t>
      </w:r>
    </w:p>
    <w:p w14:paraId="4A547459" w14:textId="77777777" w:rsidR="00D376C6" w:rsidRPr="00AA2483" w:rsidRDefault="00D376C6" w:rsidP="00D376C6">
      <w:pPr>
        <w:spacing w:after="120"/>
        <w:jc w:val="both"/>
      </w:pPr>
      <w:r w:rsidRPr="00AA2483">
        <w:t>Good records management practices also enable:</w:t>
      </w:r>
    </w:p>
    <w:p w14:paraId="25005718" w14:textId="77777777" w:rsidR="00D376C6" w:rsidRPr="00AA2483" w:rsidRDefault="00D376C6" w:rsidP="00D376C6">
      <w:pPr>
        <w:spacing w:after="0"/>
        <w:jc w:val="both"/>
      </w:pPr>
      <w:r w:rsidRPr="00AA2483">
        <w:t>•</w:t>
      </w:r>
      <w:r w:rsidRPr="00AA2483">
        <w:tab/>
        <w:t>Access to accurate information</w:t>
      </w:r>
    </w:p>
    <w:p w14:paraId="191A089D" w14:textId="77777777" w:rsidR="00D376C6" w:rsidRPr="00AA2483" w:rsidRDefault="00D376C6" w:rsidP="00D376C6">
      <w:pPr>
        <w:spacing w:after="0"/>
        <w:jc w:val="both"/>
      </w:pPr>
      <w:r w:rsidRPr="00AA2483">
        <w:t>•</w:t>
      </w:r>
      <w:r w:rsidRPr="00AA2483">
        <w:tab/>
        <w:t>Demonstration of accountability</w:t>
      </w:r>
    </w:p>
    <w:p w14:paraId="16C94129" w14:textId="77777777" w:rsidR="00D376C6" w:rsidRPr="00AA2483" w:rsidRDefault="00D376C6" w:rsidP="00D376C6">
      <w:pPr>
        <w:spacing w:after="0"/>
        <w:jc w:val="both"/>
      </w:pPr>
      <w:r w:rsidRPr="00AA2483">
        <w:t>•</w:t>
      </w:r>
      <w:r w:rsidRPr="00AA2483">
        <w:tab/>
        <w:t>Evidence of events and decisions</w:t>
      </w:r>
    </w:p>
    <w:p w14:paraId="41D5785E" w14:textId="77777777" w:rsidR="00D376C6" w:rsidRPr="00AA2483" w:rsidRDefault="00D376C6" w:rsidP="00D376C6">
      <w:pPr>
        <w:spacing w:after="0"/>
        <w:jc w:val="both"/>
      </w:pPr>
      <w:r w:rsidRPr="00AA2483">
        <w:t>•</w:t>
      </w:r>
      <w:r w:rsidRPr="00AA2483">
        <w:tab/>
        <w:t>Compliance with legislative requirements; and</w:t>
      </w:r>
    </w:p>
    <w:p w14:paraId="35778A03" w14:textId="77777777" w:rsidR="00D376C6" w:rsidRDefault="00D376C6" w:rsidP="00D376C6">
      <w:pPr>
        <w:jc w:val="both"/>
      </w:pPr>
      <w:r w:rsidRPr="00AA2483">
        <w:lastRenderedPageBreak/>
        <w:t>•</w:t>
      </w:r>
      <w:r w:rsidRPr="00AA2483">
        <w:tab/>
        <w:t>Provision of a historical record for the business and societ</w:t>
      </w:r>
      <w:r>
        <w:t>y</w:t>
      </w:r>
    </w:p>
    <w:p w14:paraId="45F66317" w14:textId="77777777" w:rsidR="00D376C6" w:rsidRPr="00AA2483" w:rsidRDefault="00D376C6" w:rsidP="00D376C6">
      <w:pPr>
        <w:jc w:val="both"/>
      </w:pPr>
      <w:r w:rsidRPr="00AA2483">
        <w:t xml:space="preserve">Complete and accurate records of all business decisions and transactions regardless of format are to be retained by all Elected Members. If requested by the </w:t>
      </w:r>
      <w:r>
        <w:t>Town of East Fremantle</w:t>
      </w:r>
      <w:r w:rsidRPr="00AA2483">
        <w:t xml:space="preserve">’s administration, these are to be provided to the Records </w:t>
      </w:r>
      <w:r>
        <w:t>Officer</w:t>
      </w:r>
      <w:r w:rsidRPr="00AA2483">
        <w:t xml:space="preserve"> to be recorded in the </w:t>
      </w:r>
      <w:r>
        <w:t>Town of East Fremantle’s</w:t>
      </w:r>
      <w:r w:rsidRPr="00AA2483">
        <w:t xml:space="preserve"> recordkeeping system and managed in accordance with legislative requirements, the </w:t>
      </w:r>
      <w:r>
        <w:t xml:space="preserve">Town of East Fremantle </w:t>
      </w:r>
      <w:r w:rsidRPr="00AA2483">
        <w:t>Recordkeeping Plan and Records Management Policies and Procedures.</w:t>
      </w:r>
    </w:p>
    <w:p w14:paraId="18444692" w14:textId="77777777" w:rsidR="00D376C6" w:rsidRPr="00AA2483" w:rsidRDefault="00D376C6" w:rsidP="00D376C6">
      <w:pPr>
        <w:spacing w:after="0"/>
        <w:jc w:val="both"/>
        <w:rPr>
          <w:b/>
          <w:bCs/>
          <w:sz w:val="28"/>
          <w:szCs w:val="28"/>
        </w:rPr>
      </w:pPr>
      <w:r w:rsidRPr="00AA2483">
        <w:rPr>
          <w:b/>
          <w:bCs/>
          <w:sz w:val="28"/>
          <w:szCs w:val="28"/>
        </w:rPr>
        <w:t>Policy</w:t>
      </w:r>
    </w:p>
    <w:p w14:paraId="0E540105" w14:textId="77777777" w:rsidR="00D376C6" w:rsidRPr="00AA2483" w:rsidRDefault="00D376C6" w:rsidP="00D376C6">
      <w:pPr>
        <w:spacing w:after="0"/>
        <w:jc w:val="both"/>
        <w:rPr>
          <w:b/>
          <w:bCs/>
        </w:rPr>
      </w:pPr>
      <w:r w:rsidRPr="00AA2483">
        <w:rPr>
          <w:b/>
          <w:bCs/>
        </w:rPr>
        <w:t>Creating and Keeping Records</w:t>
      </w:r>
    </w:p>
    <w:p w14:paraId="47B7D636" w14:textId="77777777" w:rsidR="00D376C6" w:rsidRPr="00AA2483" w:rsidRDefault="00D376C6" w:rsidP="00D376C6">
      <w:pPr>
        <w:spacing w:after="120"/>
        <w:jc w:val="both"/>
      </w:pPr>
      <w:r w:rsidRPr="00AA2483">
        <w:t xml:space="preserve">All Elected Members are to create and maintain records relating to their role as an Elected Member, which convey information relating to local government business or functions. These records can be forwarded to the Records </w:t>
      </w:r>
      <w:r>
        <w:t>Officer/Governance Officer</w:t>
      </w:r>
      <w:r w:rsidRPr="00AA2483">
        <w:t xml:space="preserve"> for capture into the </w:t>
      </w:r>
      <w:r>
        <w:t xml:space="preserve">Town of East Fremantle’s </w:t>
      </w:r>
      <w:r w:rsidRPr="00AA2483">
        <w:t>recordkeeping system.</w:t>
      </w:r>
    </w:p>
    <w:p w14:paraId="72A1B4B3" w14:textId="77777777" w:rsidR="00D376C6" w:rsidRPr="00AA2483" w:rsidRDefault="00D376C6" w:rsidP="00D376C6">
      <w:pPr>
        <w:spacing w:after="120"/>
        <w:jc w:val="both"/>
      </w:pPr>
      <w:r w:rsidRPr="00AA2483">
        <w:t>Elected Members must ensure that:</w:t>
      </w:r>
    </w:p>
    <w:p w14:paraId="409E2420" w14:textId="77777777" w:rsidR="00D376C6" w:rsidRPr="00AA2483" w:rsidRDefault="00D376C6" w:rsidP="00D376C6">
      <w:pPr>
        <w:spacing w:after="0"/>
        <w:ind w:left="851" w:hanging="567"/>
        <w:jc w:val="both"/>
      </w:pPr>
      <w:r w:rsidRPr="00AA2483">
        <w:t>•</w:t>
      </w:r>
      <w:r w:rsidRPr="00AA2483">
        <w:tab/>
        <w:t>Records relating to the business of the local government are distinguished from those that relate to their political responsibilities or any personal matters.</w:t>
      </w:r>
    </w:p>
    <w:p w14:paraId="0DDCA516" w14:textId="77777777" w:rsidR="00D376C6" w:rsidRPr="00AA2483" w:rsidRDefault="00D376C6" w:rsidP="00D376C6">
      <w:pPr>
        <w:spacing w:after="0"/>
        <w:ind w:left="851" w:hanging="567"/>
        <w:jc w:val="both"/>
      </w:pPr>
      <w:r w:rsidRPr="00AA2483">
        <w:t>•</w:t>
      </w:r>
      <w:r w:rsidRPr="00AA2483">
        <w:tab/>
        <w:t>Records in their possession are securely stored and protected from damage and unauthorised access.</w:t>
      </w:r>
    </w:p>
    <w:p w14:paraId="64B5FF14" w14:textId="77777777" w:rsidR="00D376C6" w:rsidRPr="00AA2483" w:rsidRDefault="00D376C6" w:rsidP="00D376C6">
      <w:pPr>
        <w:spacing w:after="0"/>
        <w:ind w:left="851" w:hanging="567"/>
        <w:jc w:val="both"/>
      </w:pPr>
      <w:r w:rsidRPr="00AA2483">
        <w:t>•</w:t>
      </w:r>
      <w:r w:rsidRPr="00AA2483">
        <w:tab/>
        <w:t>All records created are dated and the originator is identified.</w:t>
      </w:r>
    </w:p>
    <w:p w14:paraId="3507840C" w14:textId="77777777" w:rsidR="00D376C6" w:rsidRPr="00AA2483" w:rsidRDefault="00D376C6" w:rsidP="00D376C6">
      <w:pPr>
        <w:ind w:left="851" w:hanging="567"/>
        <w:jc w:val="both"/>
      </w:pPr>
      <w:r w:rsidRPr="00AA2483">
        <w:t>•</w:t>
      </w:r>
      <w:r w:rsidRPr="00AA2483">
        <w:tab/>
        <w:t>Records are factual and non-emotive as they could be subject to Freedom of Information application/s.</w:t>
      </w:r>
    </w:p>
    <w:p w14:paraId="7C619BC5" w14:textId="77777777" w:rsidR="00D376C6" w:rsidRPr="00AA2483" w:rsidRDefault="00D376C6" w:rsidP="00D376C6">
      <w:pPr>
        <w:spacing w:after="120"/>
        <w:jc w:val="both"/>
      </w:pPr>
      <w:r w:rsidRPr="00AA2483">
        <w:t xml:space="preserve">Refer to </w:t>
      </w:r>
      <w:r>
        <w:t>Appendix</w:t>
      </w:r>
      <w:r w:rsidRPr="00AA2483">
        <w:t xml:space="preserve"> 1 – Information Sheet produced by the State Records Office of WA “Local Government Elected Members Records: Which Records to Capture?” for examples of what should be captured into the </w:t>
      </w:r>
      <w:r>
        <w:t>Town of East Fremantle’s</w:t>
      </w:r>
      <w:r w:rsidRPr="00AA2483">
        <w:t xml:space="preserve"> recordkeeping system.</w:t>
      </w:r>
    </w:p>
    <w:p w14:paraId="47A1C57C" w14:textId="77777777" w:rsidR="00D376C6" w:rsidRPr="00AA2483" w:rsidRDefault="00D376C6" w:rsidP="00D376C6">
      <w:pPr>
        <w:spacing w:after="0"/>
        <w:jc w:val="both"/>
        <w:rPr>
          <w:b/>
          <w:bCs/>
        </w:rPr>
      </w:pPr>
      <w:r w:rsidRPr="00AA2483">
        <w:rPr>
          <w:b/>
          <w:bCs/>
        </w:rPr>
        <w:t>Disposal of Records</w:t>
      </w:r>
    </w:p>
    <w:p w14:paraId="2421F5B3" w14:textId="77777777" w:rsidR="00D376C6" w:rsidRPr="00AA2483" w:rsidRDefault="00D376C6" w:rsidP="00D376C6">
      <w:pPr>
        <w:spacing w:after="120"/>
        <w:jc w:val="both"/>
      </w:pPr>
      <w:r w:rsidRPr="00AA2483">
        <w:t>Disposal of records is by way of archiving (either with the State Records Office or within the local government as a state archive), permanent retention within the local government, or destruction.</w:t>
      </w:r>
    </w:p>
    <w:p w14:paraId="45DB8ABA" w14:textId="77777777" w:rsidR="00D376C6" w:rsidRPr="00AA2483" w:rsidRDefault="00D376C6" w:rsidP="00D376C6">
      <w:pPr>
        <w:spacing w:after="120"/>
        <w:jc w:val="both"/>
      </w:pPr>
      <w:r w:rsidRPr="00AA2483">
        <w:t>Elected Members must not personally undertake destruction of any records.</w:t>
      </w:r>
    </w:p>
    <w:p w14:paraId="1265CBFA" w14:textId="77777777" w:rsidR="00D376C6" w:rsidRPr="00AA2483" w:rsidRDefault="00D376C6" w:rsidP="00D376C6">
      <w:pPr>
        <w:spacing w:after="120"/>
        <w:jc w:val="both"/>
      </w:pPr>
      <w:r w:rsidRPr="00AA2483">
        <w:t xml:space="preserve">At the end of an Elected Member’s term in office, any original records in their possession must be retained by the Elected Member or, alternatively, returned to the </w:t>
      </w:r>
      <w:r>
        <w:t xml:space="preserve">Town of East Fremantle’s </w:t>
      </w:r>
      <w:r w:rsidRPr="00AA2483">
        <w:t>Records Management Services via the Personal Assistant to the Mayor.</w:t>
      </w:r>
    </w:p>
    <w:p w14:paraId="664EF775" w14:textId="77777777" w:rsidR="00D376C6" w:rsidRPr="00AA2483" w:rsidRDefault="00D376C6" w:rsidP="00D376C6">
      <w:pPr>
        <w:spacing w:after="120"/>
        <w:jc w:val="both"/>
      </w:pPr>
      <w:r w:rsidRPr="00AA2483">
        <w:t>Records Management Services will then arrange for the destruction or retention of the records in accordance with the General Disposal Authority for Local Government Records</w:t>
      </w:r>
      <w:r>
        <w:t>*</w:t>
      </w:r>
      <w:r w:rsidRPr="00AA2483">
        <w:t>.</w:t>
      </w:r>
    </w:p>
    <w:p w14:paraId="7E7821D6" w14:textId="77777777" w:rsidR="00D376C6" w:rsidRPr="00AA2483" w:rsidRDefault="00D376C6" w:rsidP="00D376C6">
      <w:pPr>
        <w:jc w:val="both"/>
      </w:pPr>
      <w:r w:rsidRPr="00AA2483">
        <w:t>Any copies of records held by an Elected Member can be destroyed by way of shredding at the end of their term in office. Alternatively, the copies (clearly marked as such) can be returned to the Personal Assistant to the Mayor who will arrange for them to be destroyed.</w:t>
      </w:r>
    </w:p>
    <w:p w14:paraId="61B702E1" w14:textId="77777777" w:rsidR="00D376C6" w:rsidRPr="0047428B" w:rsidRDefault="00D376C6" w:rsidP="00D376C6">
      <w:pPr>
        <w:spacing w:after="0"/>
        <w:jc w:val="both"/>
        <w:rPr>
          <w:b/>
          <w:bCs/>
          <w:sz w:val="28"/>
          <w:szCs w:val="28"/>
        </w:rPr>
      </w:pPr>
      <w:r w:rsidRPr="00AA2483">
        <w:rPr>
          <w:b/>
          <w:bCs/>
          <w:sz w:val="28"/>
          <w:szCs w:val="28"/>
        </w:rPr>
        <w:t>Procedures</w:t>
      </w:r>
    </w:p>
    <w:p w14:paraId="44F6608F" w14:textId="77777777" w:rsidR="00D376C6" w:rsidRPr="00AA2483" w:rsidRDefault="00D376C6" w:rsidP="00D376C6">
      <w:pPr>
        <w:spacing w:after="0"/>
        <w:jc w:val="both"/>
        <w:rPr>
          <w:b/>
          <w:bCs/>
        </w:rPr>
      </w:pPr>
      <w:r w:rsidRPr="00AA2483">
        <w:rPr>
          <w:b/>
          <w:bCs/>
        </w:rPr>
        <w:lastRenderedPageBreak/>
        <w:t>Incoming Correspondence</w:t>
      </w:r>
    </w:p>
    <w:p w14:paraId="3AE31A3A" w14:textId="77777777" w:rsidR="00D376C6" w:rsidRPr="00AA2483" w:rsidRDefault="00D376C6" w:rsidP="00D376C6">
      <w:pPr>
        <w:spacing w:after="120"/>
        <w:jc w:val="both"/>
      </w:pPr>
      <w:r w:rsidRPr="00AA2483">
        <w:t xml:space="preserve">All mail received by the </w:t>
      </w:r>
      <w:r>
        <w:t xml:space="preserve">Town of East Fremantle </w:t>
      </w:r>
      <w:r w:rsidRPr="00AA2483">
        <w:t xml:space="preserve">addressed to Elected Members, excluding that which is marked private, personal or confidential, will be opened by </w:t>
      </w:r>
      <w:r>
        <w:t xml:space="preserve">the </w:t>
      </w:r>
      <w:r w:rsidRPr="00AA2483">
        <w:t xml:space="preserve">Records </w:t>
      </w:r>
      <w:r>
        <w:t>Officer</w:t>
      </w:r>
      <w:r w:rsidRPr="00AA2483">
        <w:t xml:space="preserve"> and processed with the rest of the organisation’s incoming mail.</w:t>
      </w:r>
    </w:p>
    <w:p w14:paraId="3571F977" w14:textId="77777777" w:rsidR="00D376C6" w:rsidRPr="00AA2483" w:rsidRDefault="00D376C6" w:rsidP="00D376C6">
      <w:pPr>
        <w:spacing w:after="120"/>
        <w:jc w:val="both"/>
      </w:pPr>
      <w:r w:rsidRPr="00AA2483">
        <w:t xml:space="preserve">The hard copy documents will be retained within </w:t>
      </w:r>
      <w:r>
        <w:t xml:space="preserve">the </w:t>
      </w:r>
      <w:r w:rsidRPr="00AA2483">
        <w:t>Records</w:t>
      </w:r>
      <w:r>
        <w:t xml:space="preserve"> department and filed accordingly</w:t>
      </w:r>
      <w:r w:rsidRPr="00AA2483">
        <w:t>, in compliance with the General Disposal Authority for Local Government Records.</w:t>
      </w:r>
    </w:p>
    <w:p w14:paraId="707C0E43" w14:textId="77777777" w:rsidR="00D376C6" w:rsidRPr="00AA2483" w:rsidRDefault="00D376C6" w:rsidP="00D376C6">
      <w:pPr>
        <w:spacing w:after="120"/>
        <w:jc w:val="both"/>
      </w:pPr>
      <w:r w:rsidRPr="00AA2483">
        <w:t xml:space="preserve">Incoming mail for Elected Members that </w:t>
      </w:r>
      <w:proofErr w:type="gramStart"/>
      <w:r w:rsidRPr="00AA2483">
        <w:t>is considered to be</w:t>
      </w:r>
      <w:proofErr w:type="gramEnd"/>
      <w:r w:rsidRPr="00AA2483">
        <w:t xml:space="preserve"> ephemeral*, party political or personal will not be scanned into the recordkeeping system and instead will be given to the Personal Assistant to the Mayor who will arrange for it to be forwarded to the Elected Member.</w:t>
      </w:r>
    </w:p>
    <w:p w14:paraId="623C1DD8" w14:textId="77777777" w:rsidR="00D376C6" w:rsidRPr="00AA2483" w:rsidRDefault="00D376C6" w:rsidP="00D376C6">
      <w:pPr>
        <w:spacing w:after="120"/>
        <w:jc w:val="both"/>
      </w:pPr>
      <w:r w:rsidRPr="00AA2483">
        <w:t xml:space="preserve">Mail received directly by Elected Members at their personal address, that relates to local government business, should be forwarded to the </w:t>
      </w:r>
      <w:r>
        <w:t xml:space="preserve">Town of East Fremantle’s </w:t>
      </w:r>
      <w:r w:rsidRPr="00AA2483">
        <w:t xml:space="preserve">Records </w:t>
      </w:r>
      <w:r>
        <w:t xml:space="preserve">Officer </w:t>
      </w:r>
      <w:r w:rsidRPr="00AA2483">
        <w:t xml:space="preserve">via </w:t>
      </w:r>
      <w:r>
        <w:t>admin</w:t>
      </w:r>
      <w:r w:rsidRPr="00AA2483">
        <w:t>@</w:t>
      </w:r>
      <w:r>
        <w:t>eastfremantle</w:t>
      </w:r>
      <w:r w:rsidRPr="00AA2483">
        <w:t>.wa.gov.au for recording in the recordkeeping system and for appropriate storage and retention.</w:t>
      </w:r>
    </w:p>
    <w:p w14:paraId="3751CAE6" w14:textId="77777777" w:rsidR="00D376C6" w:rsidRPr="00AA2483" w:rsidRDefault="00D376C6" w:rsidP="00D376C6">
      <w:pPr>
        <w:spacing w:after="0"/>
        <w:jc w:val="both"/>
        <w:rPr>
          <w:b/>
          <w:bCs/>
        </w:rPr>
      </w:pPr>
      <w:r w:rsidRPr="00AA2483">
        <w:rPr>
          <w:b/>
          <w:bCs/>
        </w:rPr>
        <w:t>Elected Members Responses</w:t>
      </w:r>
    </w:p>
    <w:p w14:paraId="57E1B4D1" w14:textId="77777777" w:rsidR="00D376C6" w:rsidRPr="00AA2483" w:rsidRDefault="00D376C6" w:rsidP="00D376C6">
      <w:pPr>
        <w:spacing w:after="120"/>
        <w:jc w:val="both"/>
      </w:pPr>
      <w:r w:rsidRPr="00AA2483">
        <w:t xml:space="preserve">If an Elected Member responds directly to a ratepayer / customer (other than simply providing a routine reply or information), a copy of the response should be provided to the </w:t>
      </w:r>
      <w:r>
        <w:t>Town of East Fremantle</w:t>
      </w:r>
      <w:r w:rsidRPr="00AA2483">
        <w:t xml:space="preserve"> for capture into the recordkeeping system. This can be done by:</w:t>
      </w:r>
    </w:p>
    <w:p w14:paraId="08E298E9" w14:textId="77777777" w:rsidR="00D376C6" w:rsidRPr="00AF508A" w:rsidRDefault="00D376C6" w:rsidP="00303E96">
      <w:pPr>
        <w:pStyle w:val="ListParagraph"/>
        <w:numPr>
          <w:ilvl w:val="0"/>
          <w:numId w:val="524"/>
        </w:numPr>
        <w:spacing w:before="120" w:after="0" w:line="240" w:lineRule="auto"/>
        <w:ind w:left="1281" w:hanging="714"/>
        <w:contextualSpacing w:val="0"/>
        <w:jc w:val="both"/>
        <w:rPr>
          <w:rFonts w:cstheme="minorHAnsi"/>
        </w:rPr>
      </w:pPr>
      <w:r w:rsidRPr="00AF508A">
        <w:rPr>
          <w:rFonts w:cstheme="minorHAnsi"/>
        </w:rPr>
        <w:t>Cc’ing or forwarding a copy of the emailed response to the Records Officer/Governance Officer who will register the email in the recordkeeping system, or</w:t>
      </w:r>
    </w:p>
    <w:p w14:paraId="7810D418" w14:textId="77777777" w:rsidR="00D376C6" w:rsidRPr="00AF508A" w:rsidRDefault="00D376C6" w:rsidP="00303E96">
      <w:pPr>
        <w:pStyle w:val="ListParagraph"/>
        <w:numPr>
          <w:ilvl w:val="0"/>
          <w:numId w:val="524"/>
        </w:numPr>
        <w:spacing w:after="0" w:line="240" w:lineRule="auto"/>
        <w:ind w:left="1281" w:hanging="714"/>
        <w:contextualSpacing w:val="0"/>
        <w:jc w:val="both"/>
        <w:rPr>
          <w:rFonts w:cstheme="minorHAnsi"/>
        </w:rPr>
      </w:pPr>
      <w:r w:rsidRPr="00AF508A">
        <w:rPr>
          <w:rFonts w:cstheme="minorHAnsi"/>
        </w:rPr>
        <w:t>Scanning the response and emailing it to the Records Officer/Governance Officer who will register the response in the recordkeeping system, or</w:t>
      </w:r>
    </w:p>
    <w:p w14:paraId="38A5986D" w14:textId="77777777" w:rsidR="00D376C6" w:rsidRPr="00AF508A" w:rsidRDefault="00D376C6" w:rsidP="00303E96">
      <w:pPr>
        <w:pStyle w:val="ListParagraph"/>
        <w:numPr>
          <w:ilvl w:val="0"/>
          <w:numId w:val="524"/>
        </w:numPr>
        <w:spacing w:after="0" w:line="240" w:lineRule="auto"/>
        <w:ind w:left="1281" w:hanging="714"/>
        <w:contextualSpacing w:val="0"/>
        <w:jc w:val="both"/>
        <w:rPr>
          <w:rFonts w:cstheme="minorHAnsi"/>
        </w:rPr>
      </w:pPr>
      <w:r w:rsidRPr="00AF508A">
        <w:rPr>
          <w:rFonts w:cstheme="minorHAnsi"/>
        </w:rPr>
        <w:t>Sending a hard copy of the response to the Records Officer/Governance Officer who will scan and register the response in the recordkeeping system.</w:t>
      </w:r>
    </w:p>
    <w:p w14:paraId="43D5633E" w14:textId="77777777" w:rsidR="00D376C6" w:rsidRPr="00AA2483" w:rsidRDefault="00D376C6" w:rsidP="00303E96">
      <w:pPr>
        <w:pStyle w:val="ListParagraph"/>
        <w:numPr>
          <w:ilvl w:val="0"/>
          <w:numId w:val="524"/>
        </w:numPr>
        <w:spacing w:before="120" w:after="0" w:line="240" w:lineRule="auto"/>
        <w:ind w:hanging="714"/>
        <w:jc w:val="both"/>
      </w:pPr>
      <w:r w:rsidRPr="00AF508A">
        <w:rPr>
          <w:rFonts w:cstheme="minorHAnsi"/>
        </w:rPr>
        <w:t>Making a record of a verbal response in the form of a file note or record of conversation and sending a copy by email or in hard copy to the Records Officer/Governance Officer who will register it into the recordkeeping system</w:t>
      </w:r>
      <w:r w:rsidRPr="00AA2483">
        <w:t>.</w:t>
      </w:r>
    </w:p>
    <w:p w14:paraId="6C4D0C99" w14:textId="77777777" w:rsidR="00D376C6" w:rsidRPr="00AA2483" w:rsidRDefault="00D376C6" w:rsidP="00D376C6">
      <w:pPr>
        <w:spacing w:before="160" w:after="120"/>
        <w:jc w:val="both"/>
      </w:pPr>
      <w:r w:rsidRPr="00AA2483">
        <w:t xml:space="preserve">It is acknowledged that a lot of ratepayer / customer communication is done on an informal basis and where these discussions do not impact on the business outcomes of the </w:t>
      </w:r>
      <w:r>
        <w:t>Town of East Fremantle</w:t>
      </w:r>
      <w:r w:rsidRPr="00AA2483">
        <w:t xml:space="preserve">; a record does not need to be captured into the </w:t>
      </w:r>
      <w:r>
        <w:t>Town of East Fremantle’s</w:t>
      </w:r>
      <w:r w:rsidRPr="00AA2483">
        <w:t xml:space="preserve"> recordkeeping system.</w:t>
      </w:r>
    </w:p>
    <w:p w14:paraId="62E949EF" w14:textId="77777777" w:rsidR="00D376C6" w:rsidRPr="00AA2483" w:rsidRDefault="00D376C6" w:rsidP="00D376C6">
      <w:pPr>
        <w:spacing w:after="0"/>
        <w:jc w:val="both"/>
        <w:rPr>
          <w:b/>
          <w:bCs/>
        </w:rPr>
      </w:pPr>
      <w:r w:rsidRPr="00AA2483">
        <w:rPr>
          <w:b/>
          <w:bCs/>
        </w:rPr>
        <w:t>Emails</w:t>
      </w:r>
    </w:p>
    <w:p w14:paraId="2AC63582" w14:textId="77777777" w:rsidR="00D376C6" w:rsidRPr="00AA2483" w:rsidRDefault="00D376C6" w:rsidP="00D376C6">
      <w:pPr>
        <w:spacing w:after="120"/>
        <w:jc w:val="both"/>
      </w:pPr>
      <w:r w:rsidRPr="00AA2483">
        <w:t xml:space="preserve">All emails that are Records sent to, or by, the </w:t>
      </w:r>
      <w:proofErr w:type="gramStart"/>
      <w:r w:rsidRPr="00AA2483">
        <w:t>Mayor</w:t>
      </w:r>
      <w:proofErr w:type="gramEnd"/>
      <w:r w:rsidRPr="00AA2483">
        <w:t xml:space="preserve"> will be registered into the recordkeeping system by the Personal Assistant to the Mayor.</w:t>
      </w:r>
    </w:p>
    <w:p w14:paraId="10FF9458" w14:textId="77777777" w:rsidR="00D376C6" w:rsidRPr="00AA2483" w:rsidRDefault="00D376C6" w:rsidP="00D376C6">
      <w:pPr>
        <w:spacing w:after="120"/>
        <w:jc w:val="both"/>
      </w:pPr>
      <w:r w:rsidRPr="00AA2483">
        <w:t xml:space="preserve">Emails marked to the attention of an Elected Member/s (including those that are cc’d to an Elected Member or include an Elected Member in the To field) that are sent to the </w:t>
      </w:r>
      <w:r>
        <w:t>Town of East Fremantle’s</w:t>
      </w:r>
      <w:r w:rsidRPr="00AA2483">
        <w:t xml:space="preserve"> main email address </w:t>
      </w:r>
      <w:r>
        <w:t>admin@eastfremantle</w:t>
      </w:r>
      <w:r w:rsidRPr="00AA2483">
        <w:t xml:space="preserve">.wa.gov.au will be registered into the recordkeeping system by the Records </w:t>
      </w:r>
      <w:r>
        <w:t>Officer</w:t>
      </w:r>
      <w:r w:rsidRPr="00AA2483">
        <w:t>.</w:t>
      </w:r>
    </w:p>
    <w:p w14:paraId="37EABED3" w14:textId="77777777" w:rsidR="00D376C6" w:rsidRPr="00AA2483" w:rsidRDefault="00D376C6" w:rsidP="00D376C6">
      <w:pPr>
        <w:jc w:val="both"/>
      </w:pPr>
      <w:r w:rsidRPr="00AA2483">
        <w:t xml:space="preserve">If an Elected Member receives an email directly to their </w:t>
      </w:r>
      <w:r>
        <w:t>Town of East Fremantle</w:t>
      </w:r>
      <w:r w:rsidRPr="00AA2483">
        <w:t xml:space="preserve"> email address (or to any other personal email address) that relates to local government business; and has not been sent to or cc’d to </w:t>
      </w:r>
      <w:r>
        <w:t>admin@eastfremantle</w:t>
      </w:r>
      <w:r w:rsidRPr="00AA2483">
        <w:t xml:space="preserve">.wa.gov.au; a copy of the email (and any responses sent by the Elected </w:t>
      </w:r>
      <w:r w:rsidRPr="00AA2483">
        <w:lastRenderedPageBreak/>
        <w:t xml:space="preserve">Member) must be forwarded to the Records </w:t>
      </w:r>
      <w:r>
        <w:t>Officer/Governance Officer</w:t>
      </w:r>
      <w:r w:rsidRPr="00AA2483">
        <w:t xml:space="preserve"> who will register the email/s into the recordkeeping system.</w:t>
      </w:r>
    </w:p>
    <w:p w14:paraId="43A769BD" w14:textId="77777777" w:rsidR="00D376C6" w:rsidRPr="00AA2483" w:rsidRDefault="00D376C6" w:rsidP="00D376C6">
      <w:pPr>
        <w:spacing w:after="0"/>
        <w:jc w:val="both"/>
        <w:rPr>
          <w:b/>
          <w:bCs/>
          <w:sz w:val="28"/>
          <w:szCs w:val="28"/>
        </w:rPr>
      </w:pPr>
      <w:r w:rsidRPr="00AA2483">
        <w:rPr>
          <w:b/>
          <w:bCs/>
          <w:sz w:val="28"/>
          <w:szCs w:val="28"/>
        </w:rPr>
        <w:t>Definitions</w:t>
      </w:r>
    </w:p>
    <w:p w14:paraId="08903D46" w14:textId="77777777" w:rsidR="00D376C6" w:rsidRPr="00AA2483" w:rsidRDefault="00D376C6" w:rsidP="00D376C6">
      <w:pPr>
        <w:spacing w:after="0"/>
        <w:jc w:val="both"/>
        <w:rPr>
          <w:b/>
          <w:bCs/>
        </w:rPr>
      </w:pPr>
      <w:r w:rsidRPr="00AA2483">
        <w:rPr>
          <w:b/>
          <w:bCs/>
        </w:rPr>
        <w:t>Ephemeral Records</w:t>
      </w:r>
    </w:p>
    <w:p w14:paraId="208B5018" w14:textId="77777777" w:rsidR="00D376C6" w:rsidRPr="00AA2483" w:rsidRDefault="00D376C6" w:rsidP="00D376C6">
      <w:pPr>
        <w:spacing w:after="120"/>
        <w:jc w:val="both"/>
      </w:pPr>
      <w:r w:rsidRPr="00AA2483">
        <w:t xml:space="preserve">Ephemeral records </w:t>
      </w:r>
      <w:r>
        <w:t>include information that has a very short-term value and typically does not need to be captured into a business information system for the purposes of retention.</w:t>
      </w:r>
    </w:p>
    <w:p w14:paraId="1B8C5BE6" w14:textId="77777777" w:rsidR="00D376C6" w:rsidRPr="00AA2483" w:rsidRDefault="00D376C6" w:rsidP="00D376C6">
      <w:pPr>
        <w:spacing w:after="0"/>
        <w:jc w:val="both"/>
        <w:rPr>
          <w:b/>
          <w:bCs/>
        </w:rPr>
      </w:pPr>
      <w:r w:rsidRPr="00AA2483">
        <w:rPr>
          <w:b/>
          <w:bCs/>
        </w:rPr>
        <w:t>General Disposal Authority (GDA) for Local Government Records</w:t>
      </w:r>
    </w:p>
    <w:p w14:paraId="72AE3C5A" w14:textId="77777777" w:rsidR="00D376C6" w:rsidRPr="00AA2483" w:rsidRDefault="00D376C6" w:rsidP="00D376C6">
      <w:pPr>
        <w:spacing w:after="120"/>
        <w:jc w:val="both"/>
      </w:pPr>
      <w:r w:rsidRPr="00AA2483">
        <w:t>The General Disposal Authority for Local Government Records is approved by the State Records Commission and is designed to provide consistency throughout local government in disposal activities and decisions. It is the official and continuing authority for the disposal of local government records within Western Australia.</w:t>
      </w:r>
    </w:p>
    <w:p w14:paraId="214E3292" w14:textId="77777777" w:rsidR="00D376C6" w:rsidRPr="00AA2483" w:rsidRDefault="00D376C6" w:rsidP="00D376C6">
      <w:pPr>
        <w:spacing w:after="0"/>
        <w:jc w:val="both"/>
        <w:rPr>
          <w:b/>
          <w:bCs/>
        </w:rPr>
      </w:pPr>
      <w:r>
        <w:rPr>
          <w:b/>
          <w:bCs/>
        </w:rPr>
        <w:t xml:space="preserve">Business, Corporate or Government </w:t>
      </w:r>
      <w:r w:rsidRPr="00AA2483">
        <w:rPr>
          <w:b/>
          <w:bCs/>
        </w:rPr>
        <w:t>Record</w:t>
      </w:r>
      <w:r>
        <w:rPr>
          <w:b/>
          <w:bCs/>
        </w:rPr>
        <w:t>s</w:t>
      </w:r>
    </w:p>
    <w:p w14:paraId="4FF6D7D7" w14:textId="77777777" w:rsidR="00D376C6" w:rsidRPr="00AA2483" w:rsidRDefault="00D376C6" w:rsidP="00D376C6">
      <w:pPr>
        <w:jc w:val="both"/>
      </w:pPr>
      <w:r w:rsidRPr="00AA2483">
        <w:t xml:space="preserve">A </w:t>
      </w:r>
      <w:r>
        <w:t xml:space="preserve">business, corporate or government </w:t>
      </w:r>
      <w:r w:rsidRPr="00AA2483">
        <w:t>record is information recorded in any form that is created or received and maintained by an organisation in the transaction of business and kept as evidence of such activity.</w:t>
      </w:r>
    </w:p>
    <w:p w14:paraId="4BC333EA" w14:textId="77777777" w:rsidR="00D376C6" w:rsidRPr="00AA2483" w:rsidRDefault="00D376C6" w:rsidP="00D376C6">
      <w:pPr>
        <w:spacing w:after="0"/>
        <w:jc w:val="both"/>
        <w:rPr>
          <w:b/>
          <w:bCs/>
        </w:rPr>
      </w:pPr>
      <w:r w:rsidRPr="00AA2483">
        <w:rPr>
          <w:b/>
          <w:bCs/>
        </w:rPr>
        <w:t>Significant Records</w:t>
      </w:r>
    </w:p>
    <w:p w14:paraId="1AAB6590" w14:textId="77777777" w:rsidR="00D376C6" w:rsidRDefault="00D376C6" w:rsidP="00D376C6">
      <w:pPr>
        <w:spacing w:after="120"/>
        <w:jc w:val="both"/>
      </w:pPr>
      <w:r w:rsidRPr="00AA2483">
        <w:t xml:space="preserve">Significant records </w:t>
      </w:r>
      <w:r>
        <w:t xml:space="preserve">are records that are designated as State archives.  </w:t>
      </w:r>
    </w:p>
    <w:p w14:paraId="3C63F8B7" w14:textId="77777777" w:rsidR="00D376C6" w:rsidRPr="00AF33D5" w:rsidRDefault="00D376C6" w:rsidP="00D376C6">
      <w:pPr>
        <w:autoSpaceDE w:val="0"/>
        <w:autoSpaceDN w:val="0"/>
        <w:adjustRightInd w:val="0"/>
        <w:spacing w:after="120"/>
        <w:rPr>
          <w:rFonts w:ascii="Calibri" w:hAnsi="Calibri" w:cs="Calibri"/>
          <w:kern w:val="2"/>
        </w:rPr>
      </w:pPr>
      <w:r w:rsidRPr="00AF33D5">
        <w:rPr>
          <w:rFonts w:ascii="Calibri" w:hAnsi="Calibri" w:cs="Calibri"/>
          <w:kern w:val="2"/>
        </w:rPr>
        <w:t xml:space="preserve">If the activity has any of the following characteristics, it is deemed significant: </w:t>
      </w:r>
    </w:p>
    <w:p w14:paraId="62494F2F" w14:textId="77777777" w:rsidR="00D376C6" w:rsidRPr="00AF33D5" w:rsidRDefault="00D376C6" w:rsidP="00303E96">
      <w:pPr>
        <w:pStyle w:val="ListParagraph"/>
        <w:numPr>
          <w:ilvl w:val="0"/>
          <w:numId w:val="523"/>
        </w:numPr>
        <w:autoSpaceDE w:val="0"/>
        <w:autoSpaceDN w:val="0"/>
        <w:adjustRightInd w:val="0"/>
        <w:spacing w:after="0" w:line="240" w:lineRule="auto"/>
        <w:rPr>
          <w:rFonts w:ascii="Calibri" w:hAnsi="Calibri" w:cs="Calibri"/>
          <w:kern w:val="2"/>
        </w:rPr>
      </w:pPr>
      <w:r w:rsidRPr="00AF33D5">
        <w:rPr>
          <w:rFonts w:ascii="Calibri" w:hAnsi="Calibri" w:cs="Calibri"/>
          <w:kern w:val="2"/>
        </w:rPr>
        <w:t>substantially impacts the whole-of-local-government function</w:t>
      </w:r>
    </w:p>
    <w:p w14:paraId="316F9B96" w14:textId="77777777" w:rsidR="00D376C6" w:rsidRPr="00AF33D5" w:rsidRDefault="00D376C6" w:rsidP="00303E96">
      <w:pPr>
        <w:pStyle w:val="ListParagraph"/>
        <w:numPr>
          <w:ilvl w:val="0"/>
          <w:numId w:val="523"/>
        </w:numPr>
        <w:autoSpaceDE w:val="0"/>
        <w:autoSpaceDN w:val="0"/>
        <w:adjustRightInd w:val="0"/>
        <w:spacing w:after="0" w:line="240" w:lineRule="auto"/>
        <w:rPr>
          <w:rFonts w:ascii="Calibri" w:hAnsi="Calibri" w:cs="Calibri"/>
          <w:kern w:val="2"/>
        </w:rPr>
      </w:pPr>
      <w:r w:rsidRPr="00AF33D5">
        <w:rPr>
          <w:rFonts w:ascii="Calibri" w:hAnsi="Calibri" w:cs="Calibri"/>
          <w:kern w:val="2"/>
        </w:rPr>
        <w:t>substantially impacts the implementation or development of legislation, regulations or local government policy</w:t>
      </w:r>
    </w:p>
    <w:p w14:paraId="21B09758" w14:textId="77777777" w:rsidR="00D376C6" w:rsidRPr="00AF33D5" w:rsidRDefault="00D376C6" w:rsidP="00303E96">
      <w:pPr>
        <w:pStyle w:val="ListParagraph"/>
        <w:numPr>
          <w:ilvl w:val="0"/>
          <w:numId w:val="523"/>
        </w:numPr>
        <w:autoSpaceDE w:val="0"/>
        <w:autoSpaceDN w:val="0"/>
        <w:adjustRightInd w:val="0"/>
        <w:spacing w:after="0" w:line="240" w:lineRule="auto"/>
        <w:rPr>
          <w:rFonts w:ascii="Calibri" w:hAnsi="Calibri" w:cs="Calibri"/>
          <w:kern w:val="2"/>
        </w:rPr>
      </w:pPr>
      <w:r w:rsidRPr="00AF33D5">
        <w:rPr>
          <w:rFonts w:ascii="Calibri" w:hAnsi="Calibri" w:cs="Calibri"/>
          <w:kern w:val="2"/>
        </w:rPr>
        <w:t>substantially impacts the local government's business, structure or policy</w:t>
      </w:r>
    </w:p>
    <w:p w14:paraId="0EAADA3F" w14:textId="77777777" w:rsidR="00D376C6" w:rsidRPr="00AF33D5" w:rsidRDefault="00D376C6" w:rsidP="00303E96">
      <w:pPr>
        <w:pStyle w:val="ListParagraph"/>
        <w:numPr>
          <w:ilvl w:val="0"/>
          <w:numId w:val="523"/>
        </w:numPr>
        <w:autoSpaceDE w:val="0"/>
        <w:autoSpaceDN w:val="0"/>
        <w:adjustRightInd w:val="0"/>
        <w:spacing w:after="0" w:line="240" w:lineRule="auto"/>
        <w:rPr>
          <w:rFonts w:ascii="Calibri" w:hAnsi="Calibri" w:cs="Calibri"/>
          <w:kern w:val="2"/>
        </w:rPr>
      </w:pPr>
      <w:r w:rsidRPr="00AF33D5">
        <w:rPr>
          <w:rFonts w:ascii="Calibri" w:hAnsi="Calibri" w:cs="Calibri"/>
          <w:kern w:val="2"/>
        </w:rPr>
        <w:t>substantially impacts obligations, responsibilities or liabilities of local government or the State</w:t>
      </w:r>
    </w:p>
    <w:p w14:paraId="4B835D1B" w14:textId="77777777" w:rsidR="00D376C6" w:rsidRPr="00AF33D5" w:rsidRDefault="00D376C6" w:rsidP="00303E96">
      <w:pPr>
        <w:pStyle w:val="ListParagraph"/>
        <w:numPr>
          <w:ilvl w:val="0"/>
          <w:numId w:val="523"/>
        </w:numPr>
        <w:autoSpaceDE w:val="0"/>
        <w:autoSpaceDN w:val="0"/>
        <w:adjustRightInd w:val="0"/>
        <w:spacing w:after="0" w:line="240" w:lineRule="auto"/>
        <w:rPr>
          <w:rFonts w:ascii="Calibri" w:hAnsi="Calibri" w:cs="Calibri"/>
          <w:kern w:val="2"/>
        </w:rPr>
      </w:pPr>
      <w:r w:rsidRPr="00AF33D5">
        <w:rPr>
          <w:rFonts w:ascii="Calibri" w:hAnsi="Calibri" w:cs="Calibri"/>
          <w:kern w:val="2"/>
        </w:rPr>
        <w:t>sets a legal or substantive precedent</w:t>
      </w:r>
    </w:p>
    <w:p w14:paraId="0997B3D2" w14:textId="77777777" w:rsidR="00D376C6" w:rsidRPr="00AF33D5" w:rsidRDefault="00D376C6" w:rsidP="00303E96">
      <w:pPr>
        <w:pStyle w:val="ListParagraph"/>
        <w:numPr>
          <w:ilvl w:val="0"/>
          <w:numId w:val="523"/>
        </w:numPr>
        <w:autoSpaceDE w:val="0"/>
        <w:autoSpaceDN w:val="0"/>
        <w:adjustRightInd w:val="0"/>
        <w:spacing w:after="0" w:line="240" w:lineRule="auto"/>
        <w:rPr>
          <w:rFonts w:ascii="Calibri" w:hAnsi="Calibri" w:cs="Calibri"/>
          <w:kern w:val="2"/>
        </w:rPr>
      </w:pPr>
      <w:r w:rsidRPr="00AF33D5">
        <w:rPr>
          <w:rFonts w:ascii="Calibri" w:hAnsi="Calibri" w:cs="Calibri"/>
          <w:kern w:val="2"/>
        </w:rPr>
        <w:t>generates or involves substantial community or public interest, debate or controversy</w:t>
      </w:r>
    </w:p>
    <w:p w14:paraId="1BDA3F0E" w14:textId="77777777" w:rsidR="00D376C6" w:rsidRPr="00AF33D5" w:rsidRDefault="00D376C6" w:rsidP="00303E96">
      <w:pPr>
        <w:pStyle w:val="ListParagraph"/>
        <w:numPr>
          <w:ilvl w:val="0"/>
          <w:numId w:val="523"/>
        </w:numPr>
        <w:autoSpaceDE w:val="0"/>
        <w:autoSpaceDN w:val="0"/>
        <w:adjustRightInd w:val="0"/>
        <w:spacing w:after="0" w:line="240" w:lineRule="auto"/>
        <w:rPr>
          <w:rFonts w:ascii="Calibri" w:hAnsi="Calibri" w:cs="Calibri"/>
          <w:kern w:val="2"/>
        </w:rPr>
      </w:pPr>
      <w:r w:rsidRPr="00AF33D5">
        <w:rPr>
          <w:rFonts w:ascii="Calibri" w:hAnsi="Calibri" w:cs="Calibri"/>
          <w:kern w:val="2"/>
        </w:rPr>
        <w:t>involves innovative, unique or precedent-setting practices, techniques or methods</w:t>
      </w:r>
    </w:p>
    <w:p w14:paraId="1EB1C5AB" w14:textId="77777777" w:rsidR="00D376C6" w:rsidRDefault="00D376C6" w:rsidP="00D376C6">
      <w:pPr>
        <w:autoSpaceDE w:val="0"/>
        <w:autoSpaceDN w:val="0"/>
        <w:adjustRightInd w:val="0"/>
        <w:spacing w:before="160"/>
        <w:rPr>
          <w:rFonts w:ascii="Calibri" w:hAnsi="Calibri" w:cs="Calibri"/>
          <w:kern w:val="2"/>
        </w:rPr>
      </w:pPr>
      <w:r w:rsidRPr="00AF33D5">
        <w:rPr>
          <w:rFonts w:ascii="Calibri" w:hAnsi="Calibri" w:cs="Calibri"/>
          <w:kern w:val="2"/>
        </w:rPr>
        <w:t xml:space="preserve">Many functions/activities will have records that are Significant and records that are not hence the GRDA having </w:t>
      </w:r>
      <w:r w:rsidRPr="00AF33D5">
        <w:rPr>
          <w:rFonts w:ascii="Calibri" w:hAnsi="Calibri" w:cs="Calibri"/>
          <w:b/>
          <w:bCs/>
          <w:kern w:val="2"/>
        </w:rPr>
        <w:t>Significant</w:t>
      </w:r>
      <w:r w:rsidRPr="00AF33D5">
        <w:rPr>
          <w:rFonts w:ascii="Calibri" w:hAnsi="Calibri" w:cs="Calibri"/>
          <w:kern w:val="2"/>
        </w:rPr>
        <w:t xml:space="preserve"> and </w:t>
      </w:r>
      <w:r w:rsidRPr="00AF33D5">
        <w:rPr>
          <w:rFonts w:ascii="Calibri" w:hAnsi="Calibri" w:cs="Calibri"/>
          <w:b/>
          <w:bCs/>
          <w:kern w:val="2"/>
        </w:rPr>
        <w:t>Other</w:t>
      </w:r>
      <w:r w:rsidRPr="00AF33D5">
        <w:rPr>
          <w:rFonts w:ascii="Calibri" w:hAnsi="Calibri" w:cs="Calibri"/>
          <w:kern w:val="2"/>
        </w:rPr>
        <w:t xml:space="preserve"> at many entries in the GRDA, e.g.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1943"/>
        <w:gridCol w:w="3199"/>
        <w:gridCol w:w="1265"/>
        <w:gridCol w:w="1805"/>
      </w:tblGrid>
      <w:tr w:rsidR="00D376C6" w:rsidRPr="00F03D8D" w14:paraId="42D21044" w14:textId="77777777" w:rsidTr="00A47694">
        <w:tc>
          <w:tcPr>
            <w:tcW w:w="804" w:type="dxa"/>
            <w:tcBorders>
              <w:top w:val="single" w:sz="4" w:space="0" w:color="auto"/>
              <w:left w:val="single" w:sz="4" w:space="0" w:color="auto"/>
              <w:bottom w:val="single" w:sz="4" w:space="0" w:color="auto"/>
              <w:right w:val="single" w:sz="4" w:space="0" w:color="auto"/>
            </w:tcBorders>
            <w:shd w:val="clear" w:color="auto" w:fill="auto"/>
            <w:hideMark/>
          </w:tcPr>
          <w:p w14:paraId="24F8F2D6" w14:textId="77777777" w:rsidR="00D376C6" w:rsidRPr="00F03D8D" w:rsidRDefault="00D376C6" w:rsidP="00A47694">
            <w:pPr>
              <w:autoSpaceDE w:val="0"/>
              <w:autoSpaceDN w:val="0"/>
              <w:adjustRightInd w:val="0"/>
              <w:spacing w:before="60" w:after="60"/>
              <w:rPr>
                <w:rFonts w:ascii="Calibri" w:hAnsi="Calibri" w:cs="Calibri"/>
              </w:rPr>
            </w:pPr>
            <w:r>
              <w:rPr>
                <w:rFonts w:ascii="Calibri" w:hAnsi="Calibri" w:cs="Calibri"/>
                <w:kern w:val="2"/>
              </w:rPr>
              <w:br w:type="page"/>
            </w:r>
            <w:r w:rsidRPr="00F03D8D">
              <w:rPr>
                <w:rFonts w:ascii="Calibri" w:hAnsi="Calibri" w:cs="Calibri"/>
              </w:rPr>
              <w:t>No</w:t>
            </w:r>
          </w:p>
        </w:tc>
        <w:tc>
          <w:tcPr>
            <w:tcW w:w="1943" w:type="dxa"/>
            <w:tcBorders>
              <w:top w:val="single" w:sz="4" w:space="0" w:color="auto"/>
              <w:left w:val="single" w:sz="4" w:space="0" w:color="auto"/>
              <w:bottom w:val="single" w:sz="4" w:space="0" w:color="auto"/>
              <w:right w:val="single" w:sz="4" w:space="0" w:color="auto"/>
            </w:tcBorders>
            <w:shd w:val="clear" w:color="auto" w:fill="auto"/>
            <w:hideMark/>
          </w:tcPr>
          <w:p w14:paraId="7D88BAAE"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Function/Activity</w:t>
            </w:r>
          </w:p>
        </w:tc>
        <w:tc>
          <w:tcPr>
            <w:tcW w:w="3199" w:type="dxa"/>
            <w:tcBorders>
              <w:top w:val="single" w:sz="4" w:space="0" w:color="auto"/>
              <w:left w:val="single" w:sz="4" w:space="0" w:color="auto"/>
              <w:bottom w:val="single" w:sz="4" w:space="0" w:color="auto"/>
              <w:right w:val="single" w:sz="4" w:space="0" w:color="auto"/>
            </w:tcBorders>
            <w:shd w:val="clear" w:color="auto" w:fill="auto"/>
            <w:hideMark/>
          </w:tcPr>
          <w:p w14:paraId="016E953C"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Description</w:t>
            </w:r>
          </w:p>
        </w:tc>
        <w:tc>
          <w:tcPr>
            <w:tcW w:w="1265" w:type="dxa"/>
            <w:tcBorders>
              <w:top w:val="single" w:sz="4" w:space="0" w:color="auto"/>
              <w:left w:val="single" w:sz="4" w:space="0" w:color="auto"/>
              <w:bottom w:val="single" w:sz="4" w:space="0" w:color="auto"/>
              <w:right w:val="single" w:sz="4" w:space="0" w:color="auto"/>
            </w:tcBorders>
            <w:shd w:val="clear" w:color="auto" w:fill="auto"/>
            <w:hideMark/>
          </w:tcPr>
          <w:p w14:paraId="0A5FC131"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Disposal Action</w:t>
            </w:r>
          </w:p>
        </w:tc>
        <w:tc>
          <w:tcPr>
            <w:tcW w:w="1805" w:type="dxa"/>
            <w:tcBorders>
              <w:top w:val="single" w:sz="4" w:space="0" w:color="auto"/>
              <w:left w:val="single" w:sz="4" w:space="0" w:color="auto"/>
              <w:bottom w:val="single" w:sz="4" w:space="0" w:color="auto"/>
              <w:right w:val="single" w:sz="4" w:space="0" w:color="auto"/>
            </w:tcBorders>
            <w:shd w:val="clear" w:color="auto" w:fill="auto"/>
            <w:hideMark/>
          </w:tcPr>
          <w:p w14:paraId="16833698"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Custody</w:t>
            </w:r>
          </w:p>
        </w:tc>
      </w:tr>
      <w:tr w:rsidR="00D376C6" w:rsidRPr="00F03D8D" w14:paraId="78F33490" w14:textId="77777777" w:rsidTr="00A47694">
        <w:tc>
          <w:tcPr>
            <w:tcW w:w="804" w:type="dxa"/>
            <w:tcBorders>
              <w:top w:val="single" w:sz="4" w:space="0" w:color="auto"/>
              <w:left w:val="single" w:sz="4" w:space="0" w:color="auto"/>
              <w:bottom w:val="single" w:sz="4" w:space="0" w:color="auto"/>
              <w:right w:val="single" w:sz="4" w:space="0" w:color="auto"/>
            </w:tcBorders>
            <w:shd w:val="clear" w:color="auto" w:fill="auto"/>
            <w:hideMark/>
          </w:tcPr>
          <w:p w14:paraId="0FC6D4E3"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63</w:t>
            </w:r>
          </w:p>
        </w:tc>
        <w:tc>
          <w:tcPr>
            <w:tcW w:w="1943" w:type="dxa"/>
            <w:tcBorders>
              <w:top w:val="single" w:sz="4" w:space="0" w:color="auto"/>
              <w:left w:val="single" w:sz="4" w:space="0" w:color="auto"/>
              <w:bottom w:val="single" w:sz="4" w:space="0" w:color="auto"/>
              <w:right w:val="single" w:sz="4" w:space="0" w:color="auto"/>
            </w:tcBorders>
            <w:shd w:val="clear" w:color="auto" w:fill="auto"/>
            <w:hideMark/>
          </w:tcPr>
          <w:p w14:paraId="59E1D1E5" w14:textId="77777777" w:rsidR="00D376C6" w:rsidRPr="00F03D8D" w:rsidRDefault="00D376C6" w:rsidP="00A47694">
            <w:pPr>
              <w:autoSpaceDE w:val="0"/>
              <w:autoSpaceDN w:val="0"/>
              <w:adjustRightInd w:val="0"/>
              <w:spacing w:before="60" w:after="60"/>
              <w:rPr>
                <w:rFonts w:ascii="Calibri" w:hAnsi="Calibri" w:cs="Calibri"/>
                <w:b/>
                <w:bCs/>
              </w:rPr>
            </w:pPr>
            <w:r w:rsidRPr="00F03D8D">
              <w:rPr>
                <w:rFonts w:ascii="Calibri" w:hAnsi="Calibri" w:cs="Calibri"/>
                <w:b/>
                <w:bCs/>
              </w:rPr>
              <w:t>INSPECTIONS</w:t>
            </w:r>
          </w:p>
        </w:tc>
        <w:tc>
          <w:tcPr>
            <w:tcW w:w="3199" w:type="dxa"/>
            <w:tcBorders>
              <w:top w:val="single" w:sz="4" w:space="0" w:color="auto"/>
              <w:left w:val="single" w:sz="4" w:space="0" w:color="auto"/>
              <w:bottom w:val="single" w:sz="4" w:space="0" w:color="auto"/>
              <w:right w:val="single" w:sz="4" w:space="0" w:color="auto"/>
            </w:tcBorders>
            <w:shd w:val="clear" w:color="auto" w:fill="auto"/>
            <w:hideMark/>
          </w:tcPr>
          <w:p w14:paraId="473E1854"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Official examinations…</w:t>
            </w:r>
          </w:p>
        </w:tc>
        <w:tc>
          <w:tcPr>
            <w:tcW w:w="1265" w:type="dxa"/>
            <w:tcBorders>
              <w:top w:val="single" w:sz="4" w:space="0" w:color="auto"/>
              <w:left w:val="single" w:sz="4" w:space="0" w:color="auto"/>
              <w:bottom w:val="single" w:sz="4" w:space="0" w:color="auto"/>
              <w:right w:val="single" w:sz="4" w:space="0" w:color="auto"/>
            </w:tcBorders>
            <w:shd w:val="clear" w:color="auto" w:fill="auto"/>
          </w:tcPr>
          <w:p w14:paraId="34383C10" w14:textId="77777777" w:rsidR="00D376C6" w:rsidRPr="00F03D8D" w:rsidRDefault="00D376C6" w:rsidP="00A47694">
            <w:pPr>
              <w:autoSpaceDE w:val="0"/>
              <w:autoSpaceDN w:val="0"/>
              <w:adjustRightInd w:val="0"/>
              <w:spacing w:before="60" w:after="60"/>
              <w:rPr>
                <w:rFonts w:ascii="Calibri" w:hAnsi="Calibri" w:cs="Calibri"/>
              </w:rPr>
            </w:pPr>
          </w:p>
        </w:tc>
        <w:tc>
          <w:tcPr>
            <w:tcW w:w="1805" w:type="dxa"/>
            <w:tcBorders>
              <w:top w:val="single" w:sz="4" w:space="0" w:color="auto"/>
              <w:left w:val="single" w:sz="4" w:space="0" w:color="auto"/>
              <w:bottom w:val="single" w:sz="4" w:space="0" w:color="auto"/>
              <w:right w:val="single" w:sz="4" w:space="0" w:color="auto"/>
            </w:tcBorders>
            <w:shd w:val="clear" w:color="auto" w:fill="auto"/>
          </w:tcPr>
          <w:p w14:paraId="6C64FAB7" w14:textId="77777777" w:rsidR="00D376C6" w:rsidRPr="00F03D8D" w:rsidRDefault="00D376C6" w:rsidP="00A47694">
            <w:pPr>
              <w:autoSpaceDE w:val="0"/>
              <w:autoSpaceDN w:val="0"/>
              <w:adjustRightInd w:val="0"/>
              <w:spacing w:before="60" w:after="60"/>
              <w:rPr>
                <w:rFonts w:ascii="Calibri" w:hAnsi="Calibri" w:cs="Calibri"/>
              </w:rPr>
            </w:pPr>
          </w:p>
        </w:tc>
      </w:tr>
      <w:tr w:rsidR="00D376C6" w:rsidRPr="00F03D8D" w14:paraId="421CD9DA" w14:textId="77777777" w:rsidTr="00A47694">
        <w:tc>
          <w:tcPr>
            <w:tcW w:w="804" w:type="dxa"/>
            <w:tcBorders>
              <w:top w:val="single" w:sz="4" w:space="0" w:color="auto"/>
              <w:left w:val="single" w:sz="4" w:space="0" w:color="auto"/>
              <w:bottom w:val="single" w:sz="4" w:space="0" w:color="auto"/>
              <w:right w:val="single" w:sz="4" w:space="0" w:color="auto"/>
            </w:tcBorders>
            <w:shd w:val="clear" w:color="auto" w:fill="auto"/>
            <w:hideMark/>
          </w:tcPr>
          <w:p w14:paraId="253482B5"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63.1</w:t>
            </w:r>
          </w:p>
        </w:tc>
        <w:tc>
          <w:tcPr>
            <w:tcW w:w="1943" w:type="dxa"/>
            <w:tcBorders>
              <w:top w:val="single" w:sz="4" w:space="0" w:color="auto"/>
              <w:left w:val="single" w:sz="4" w:space="0" w:color="auto"/>
              <w:bottom w:val="single" w:sz="4" w:space="0" w:color="auto"/>
              <w:right w:val="single" w:sz="4" w:space="0" w:color="auto"/>
            </w:tcBorders>
            <w:shd w:val="clear" w:color="auto" w:fill="auto"/>
            <w:hideMark/>
          </w:tcPr>
          <w:p w14:paraId="6A87201C"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Significant</w:t>
            </w:r>
          </w:p>
        </w:tc>
        <w:tc>
          <w:tcPr>
            <w:tcW w:w="3199" w:type="dxa"/>
            <w:tcBorders>
              <w:top w:val="single" w:sz="4" w:space="0" w:color="auto"/>
              <w:left w:val="single" w:sz="4" w:space="0" w:color="auto"/>
              <w:bottom w:val="single" w:sz="4" w:space="0" w:color="auto"/>
              <w:right w:val="single" w:sz="4" w:space="0" w:color="auto"/>
            </w:tcBorders>
            <w:shd w:val="clear" w:color="auto" w:fill="auto"/>
            <w:hideMark/>
          </w:tcPr>
          <w:p w14:paraId="5CE7C184"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 xml:space="preserve">Significant inspections or tests, that may relate </w:t>
            </w:r>
            <w:proofErr w:type="gramStart"/>
            <w:r w:rsidRPr="00F03D8D">
              <w:rPr>
                <w:rFonts w:ascii="Calibri" w:hAnsi="Calibri" w:cs="Calibri"/>
              </w:rPr>
              <w:t>to:…</w:t>
            </w:r>
            <w:proofErr w:type="gramEnd"/>
          </w:p>
        </w:tc>
        <w:tc>
          <w:tcPr>
            <w:tcW w:w="1265" w:type="dxa"/>
            <w:tcBorders>
              <w:top w:val="single" w:sz="4" w:space="0" w:color="auto"/>
              <w:left w:val="single" w:sz="4" w:space="0" w:color="auto"/>
              <w:bottom w:val="single" w:sz="4" w:space="0" w:color="auto"/>
              <w:right w:val="single" w:sz="4" w:space="0" w:color="auto"/>
            </w:tcBorders>
            <w:shd w:val="clear" w:color="auto" w:fill="auto"/>
            <w:hideMark/>
          </w:tcPr>
          <w:p w14:paraId="41F7BBA5"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Archive</w:t>
            </w:r>
          </w:p>
        </w:tc>
        <w:tc>
          <w:tcPr>
            <w:tcW w:w="1805" w:type="dxa"/>
            <w:tcBorders>
              <w:top w:val="single" w:sz="4" w:space="0" w:color="auto"/>
              <w:left w:val="single" w:sz="4" w:space="0" w:color="auto"/>
              <w:bottom w:val="single" w:sz="4" w:space="0" w:color="auto"/>
              <w:right w:val="single" w:sz="4" w:space="0" w:color="auto"/>
            </w:tcBorders>
            <w:shd w:val="clear" w:color="auto" w:fill="auto"/>
            <w:hideMark/>
          </w:tcPr>
          <w:p w14:paraId="57E688D9"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Retain as State Archive</w:t>
            </w:r>
          </w:p>
        </w:tc>
      </w:tr>
      <w:tr w:rsidR="00D376C6" w:rsidRPr="00F03D8D" w14:paraId="0C76A2D8" w14:textId="77777777" w:rsidTr="00A47694">
        <w:tc>
          <w:tcPr>
            <w:tcW w:w="804" w:type="dxa"/>
            <w:tcBorders>
              <w:top w:val="single" w:sz="4" w:space="0" w:color="auto"/>
              <w:left w:val="single" w:sz="4" w:space="0" w:color="auto"/>
              <w:bottom w:val="single" w:sz="4" w:space="0" w:color="auto"/>
              <w:right w:val="single" w:sz="4" w:space="0" w:color="auto"/>
            </w:tcBorders>
            <w:shd w:val="clear" w:color="auto" w:fill="auto"/>
            <w:hideMark/>
          </w:tcPr>
          <w:p w14:paraId="67DE650C"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63.2</w:t>
            </w:r>
          </w:p>
        </w:tc>
        <w:tc>
          <w:tcPr>
            <w:tcW w:w="1943" w:type="dxa"/>
            <w:tcBorders>
              <w:top w:val="single" w:sz="4" w:space="0" w:color="auto"/>
              <w:left w:val="single" w:sz="4" w:space="0" w:color="auto"/>
              <w:bottom w:val="single" w:sz="4" w:space="0" w:color="auto"/>
              <w:right w:val="single" w:sz="4" w:space="0" w:color="auto"/>
            </w:tcBorders>
            <w:shd w:val="clear" w:color="auto" w:fill="auto"/>
            <w:hideMark/>
          </w:tcPr>
          <w:p w14:paraId="59D769EE"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Other</w:t>
            </w:r>
          </w:p>
        </w:tc>
        <w:tc>
          <w:tcPr>
            <w:tcW w:w="3199" w:type="dxa"/>
            <w:tcBorders>
              <w:top w:val="single" w:sz="4" w:space="0" w:color="auto"/>
              <w:left w:val="single" w:sz="4" w:space="0" w:color="auto"/>
              <w:bottom w:val="single" w:sz="4" w:space="0" w:color="auto"/>
              <w:right w:val="single" w:sz="4" w:space="0" w:color="auto"/>
            </w:tcBorders>
            <w:shd w:val="clear" w:color="auto" w:fill="auto"/>
            <w:hideMark/>
          </w:tcPr>
          <w:p w14:paraId="3807B0DE"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 xml:space="preserve">Other inspections, not included in previous section. </w:t>
            </w:r>
          </w:p>
          <w:p w14:paraId="1A191396"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Includes:</w:t>
            </w:r>
          </w:p>
          <w:p w14:paraId="4F111A4A"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lastRenderedPageBreak/>
              <w:t>• routine inspections relating to…</w:t>
            </w:r>
          </w:p>
        </w:tc>
        <w:tc>
          <w:tcPr>
            <w:tcW w:w="1265" w:type="dxa"/>
            <w:tcBorders>
              <w:top w:val="single" w:sz="4" w:space="0" w:color="auto"/>
              <w:left w:val="single" w:sz="4" w:space="0" w:color="auto"/>
              <w:bottom w:val="single" w:sz="4" w:space="0" w:color="auto"/>
              <w:right w:val="single" w:sz="4" w:space="0" w:color="auto"/>
            </w:tcBorders>
            <w:shd w:val="clear" w:color="auto" w:fill="auto"/>
            <w:hideMark/>
          </w:tcPr>
          <w:p w14:paraId="5E2A5695"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lastRenderedPageBreak/>
              <w:t>Destroy</w:t>
            </w:r>
          </w:p>
        </w:tc>
        <w:tc>
          <w:tcPr>
            <w:tcW w:w="1805" w:type="dxa"/>
            <w:tcBorders>
              <w:top w:val="single" w:sz="4" w:space="0" w:color="auto"/>
              <w:left w:val="single" w:sz="4" w:space="0" w:color="auto"/>
              <w:bottom w:val="single" w:sz="4" w:space="0" w:color="auto"/>
              <w:right w:val="single" w:sz="4" w:space="0" w:color="auto"/>
            </w:tcBorders>
            <w:shd w:val="clear" w:color="auto" w:fill="auto"/>
            <w:hideMark/>
          </w:tcPr>
          <w:p w14:paraId="194879D5" w14:textId="77777777" w:rsidR="00D376C6" w:rsidRPr="00F03D8D" w:rsidRDefault="00D376C6" w:rsidP="00A47694">
            <w:pPr>
              <w:autoSpaceDE w:val="0"/>
              <w:autoSpaceDN w:val="0"/>
              <w:adjustRightInd w:val="0"/>
              <w:spacing w:before="60" w:after="60"/>
              <w:rPr>
                <w:rFonts w:ascii="Calibri" w:hAnsi="Calibri" w:cs="Calibri"/>
              </w:rPr>
            </w:pPr>
            <w:r w:rsidRPr="00F03D8D">
              <w:rPr>
                <w:rFonts w:ascii="Calibri" w:hAnsi="Calibri" w:cs="Calibri"/>
              </w:rPr>
              <w:t xml:space="preserve">Retain 7 years after action </w:t>
            </w:r>
            <w:r w:rsidRPr="00F03D8D">
              <w:rPr>
                <w:rFonts w:ascii="Calibri" w:hAnsi="Calibri" w:cs="Calibri"/>
              </w:rPr>
              <w:lastRenderedPageBreak/>
              <w:t xml:space="preserve">completed, then </w:t>
            </w:r>
            <w:proofErr w:type="gramStart"/>
            <w:r w:rsidRPr="00F03D8D">
              <w:rPr>
                <w:rFonts w:ascii="Calibri" w:hAnsi="Calibri" w:cs="Calibri"/>
              </w:rPr>
              <w:t>Destroy</w:t>
            </w:r>
            <w:proofErr w:type="gramEnd"/>
          </w:p>
        </w:tc>
      </w:tr>
    </w:tbl>
    <w:p w14:paraId="3E51F05E" w14:textId="77777777" w:rsidR="00D376C6" w:rsidRPr="00AA2483" w:rsidRDefault="00D376C6" w:rsidP="00D376C6">
      <w:pPr>
        <w:spacing w:before="160" w:after="0"/>
        <w:jc w:val="both"/>
        <w:rPr>
          <w:b/>
          <w:bCs/>
        </w:rPr>
      </w:pPr>
      <w:r w:rsidRPr="00AA2483">
        <w:rPr>
          <w:b/>
          <w:bCs/>
        </w:rPr>
        <w:lastRenderedPageBreak/>
        <w:t>Vital Records</w:t>
      </w:r>
    </w:p>
    <w:p w14:paraId="687F0CF4" w14:textId="77777777" w:rsidR="00D376C6" w:rsidRPr="00AA2483" w:rsidRDefault="00D376C6" w:rsidP="00D376C6">
      <w:pPr>
        <w:jc w:val="both"/>
      </w:pPr>
      <w:r w:rsidRPr="00AA2483">
        <w:t xml:space="preserve">Vital Records are records </w:t>
      </w:r>
      <w:r>
        <w:t>that are required to operate the organisation during a disaster and/or required to re-establish the organisation after a disaster situation.</w:t>
      </w:r>
    </w:p>
    <w:tbl>
      <w:tblPr>
        <w:tblStyle w:val="TableGrid"/>
        <w:tblW w:w="0" w:type="auto"/>
        <w:tblLook w:val="04A0" w:firstRow="1" w:lastRow="0" w:firstColumn="1" w:lastColumn="0" w:noHBand="0" w:noVBand="1"/>
      </w:tblPr>
      <w:tblGrid>
        <w:gridCol w:w="2972"/>
        <w:gridCol w:w="6044"/>
      </w:tblGrid>
      <w:tr w:rsidR="00D376C6" w:rsidRPr="003713B2" w14:paraId="2575F01E" w14:textId="77777777" w:rsidTr="00A47694">
        <w:tc>
          <w:tcPr>
            <w:tcW w:w="2972" w:type="dxa"/>
          </w:tcPr>
          <w:p w14:paraId="6D20DF6E" w14:textId="77777777" w:rsidR="00D376C6" w:rsidRPr="003713B2" w:rsidRDefault="00D376C6" w:rsidP="00A47694">
            <w:pPr>
              <w:jc w:val="both"/>
            </w:pPr>
            <w:r w:rsidRPr="003713B2">
              <w:t>Responsible Directorate:</w:t>
            </w:r>
          </w:p>
        </w:tc>
        <w:tc>
          <w:tcPr>
            <w:tcW w:w="6044" w:type="dxa"/>
          </w:tcPr>
          <w:p w14:paraId="2128634B" w14:textId="77777777" w:rsidR="00D376C6" w:rsidRPr="003713B2" w:rsidRDefault="00D376C6" w:rsidP="00A47694">
            <w:pPr>
              <w:jc w:val="both"/>
            </w:pPr>
            <w:r w:rsidRPr="003713B2">
              <w:t>Office of the CEO</w:t>
            </w:r>
          </w:p>
        </w:tc>
      </w:tr>
      <w:tr w:rsidR="00D376C6" w:rsidRPr="003713B2" w14:paraId="496160EC" w14:textId="77777777" w:rsidTr="00A47694">
        <w:tc>
          <w:tcPr>
            <w:tcW w:w="2972" w:type="dxa"/>
          </w:tcPr>
          <w:p w14:paraId="38896765" w14:textId="77777777" w:rsidR="00D376C6" w:rsidRPr="003713B2" w:rsidRDefault="00D376C6" w:rsidP="00A47694">
            <w:pPr>
              <w:jc w:val="both"/>
            </w:pPr>
            <w:r w:rsidRPr="003713B2">
              <w:t>Reviewing Officer:</w:t>
            </w:r>
          </w:p>
        </w:tc>
        <w:tc>
          <w:tcPr>
            <w:tcW w:w="6044" w:type="dxa"/>
          </w:tcPr>
          <w:p w14:paraId="0A5065E3" w14:textId="77777777" w:rsidR="00D376C6" w:rsidRPr="003713B2" w:rsidRDefault="00D376C6" w:rsidP="00A47694">
            <w:pPr>
              <w:jc w:val="both"/>
            </w:pPr>
            <w:r w:rsidRPr="003713B2">
              <w:t>Chief Executive Officer</w:t>
            </w:r>
          </w:p>
        </w:tc>
      </w:tr>
      <w:tr w:rsidR="00D376C6" w:rsidRPr="003713B2" w14:paraId="48CE0A9C" w14:textId="77777777" w:rsidTr="00A47694">
        <w:tc>
          <w:tcPr>
            <w:tcW w:w="2972" w:type="dxa"/>
          </w:tcPr>
          <w:p w14:paraId="37D02510" w14:textId="77777777" w:rsidR="00D376C6" w:rsidRPr="003713B2" w:rsidRDefault="00D376C6" w:rsidP="00A47694">
            <w:pPr>
              <w:jc w:val="both"/>
            </w:pPr>
            <w:r w:rsidRPr="003713B2">
              <w:t>Decision Making Authority:</w:t>
            </w:r>
          </w:p>
        </w:tc>
        <w:tc>
          <w:tcPr>
            <w:tcW w:w="6044" w:type="dxa"/>
          </w:tcPr>
          <w:p w14:paraId="472A9CCC" w14:textId="77777777" w:rsidR="00D376C6" w:rsidRPr="003713B2" w:rsidRDefault="00D376C6" w:rsidP="00A47694">
            <w:pPr>
              <w:jc w:val="both"/>
            </w:pPr>
            <w:r w:rsidRPr="003713B2">
              <w:t xml:space="preserve">Council </w:t>
            </w:r>
          </w:p>
        </w:tc>
      </w:tr>
      <w:tr w:rsidR="00D376C6" w:rsidRPr="003713B2" w14:paraId="1B22C742" w14:textId="77777777" w:rsidTr="00A47694">
        <w:tc>
          <w:tcPr>
            <w:tcW w:w="2972" w:type="dxa"/>
          </w:tcPr>
          <w:p w14:paraId="2379EDF9" w14:textId="77777777" w:rsidR="00D376C6" w:rsidRPr="003713B2" w:rsidRDefault="00D376C6" w:rsidP="00A47694">
            <w:pPr>
              <w:jc w:val="both"/>
            </w:pPr>
            <w:r w:rsidRPr="003713B2">
              <w:t>Policy Adopted:</w:t>
            </w:r>
          </w:p>
        </w:tc>
        <w:tc>
          <w:tcPr>
            <w:tcW w:w="6044" w:type="dxa"/>
          </w:tcPr>
          <w:p w14:paraId="17AB2122" w14:textId="77777777" w:rsidR="00D376C6" w:rsidRPr="003713B2" w:rsidRDefault="00D376C6" w:rsidP="00A47694">
            <w:pPr>
              <w:jc w:val="both"/>
            </w:pPr>
            <w:r>
              <w:t>15/10/24</w:t>
            </w:r>
          </w:p>
        </w:tc>
      </w:tr>
      <w:tr w:rsidR="00D376C6" w:rsidRPr="003713B2" w14:paraId="3C3A337C" w14:textId="77777777" w:rsidTr="00A47694">
        <w:tc>
          <w:tcPr>
            <w:tcW w:w="2972" w:type="dxa"/>
          </w:tcPr>
          <w:p w14:paraId="2042E168" w14:textId="77777777" w:rsidR="00D376C6" w:rsidRPr="003713B2" w:rsidRDefault="00D376C6" w:rsidP="00A47694">
            <w:pPr>
              <w:jc w:val="both"/>
            </w:pPr>
            <w:r w:rsidRPr="003713B2">
              <w:t>Policy Amended Reviewed:</w:t>
            </w:r>
          </w:p>
        </w:tc>
        <w:tc>
          <w:tcPr>
            <w:tcW w:w="6044" w:type="dxa"/>
          </w:tcPr>
          <w:p w14:paraId="40CE0FA0" w14:textId="77777777" w:rsidR="00D376C6" w:rsidRPr="003713B2" w:rsidRDefault="00D376C6" w:rsidP="00A47694">
            <w:pPr>
              <w:jc w:val="both"/>
            </w:pPr>
          </w:p>
        </w:tc>
      </w:tr>
    </w:tbl>
    <w:p w14:paraId="293722D6" w14:textId="77777777" w:rsidR="00D376C6" w:rsidRDefault="00D376C6" w:rsidP="00D376C6">
      <w:pPr>
        <w:rPr>
          <w:b/>
          <w:bCs/>
          <w:sz w:val="28"/>
          <w:szCs w:val="28"/>
        </w:rPr>
      </w:pPr>
    </w:p>
    <w:p w14:paraId="10D7780A" w14:textId="77777777" w:rsidR="00D376C6" w:rsidRDefault="00D376C6">
      <w:pPr>
        <w:rPr>
          <w:b/>
          <w:bCs/>
          <w:sz w:val="28"/>
          <w:szCs w:val="28"/>
        </w:rPr>
      </w:pPr>
      <w:r>
        <w:rPr>
          <w:b/>
          <w:bCs/>
          <w:sz w:val="28"/>
          <w:szCs w:val="28"/>
        </w:rPr>
        <w:br w:type="page"/>
      </w:r>
    </w:p>
    <w:p w14:paraId="1FD5E508" w14:textId="43403253" w:rsidR="00D376C6" w:rsidRDefault="00D376C6" w:rsidP="00D376C6">
      <w:pPr>
        <w:rPr>
          <w:b/>
          <w:bCs/>
          <w:sz w:val="28"/>
          <w:szCs w:val="28"/>
        </w:rPr>
      </w:pPr>
      <w:r w:rsidRPr="00DF35FD">
        <w:rPr>
          <w:b/>
          <w:bCs/>
          <w:sz w:val="28"/>
          <w:szCs w:val="28"/>
        </w:rPr>
        <w:lastRenderedPageBreak/>
        <w:t xml:space="preserve">Appendix 1 </w:t>
      </w:r>
    </w:p>
    <w:p w14:paraId="6BC0143C" w14:textId="77777777" w:rsidR="00D376C6" w:rsidRDefault="00D376C6" w:rsidP="00D376C6">
      <w:pPr>
        <w:rPr>
          <w:b/>
          <w:bCs/>
          <w:sz w:val="28"/>
          <w:szCs w:val="28"/>
        </w:rPr>
      </w:pPr>
      <w:r>
        <w:rPr>
          <w:noProof/>
        </w:rPr>
        <w:drawing>
          <wp:inline distT="0" distB="0" distL="0" distR="0" wp14:anchorId="186C7E36" wp14:editId="153298AA">
            <wp:extent cx="5731510" cy="7357110"/>
            <wp:effectExtent l="0" t="0" r="2540" b="0"/>
            <wp:docPr id="286717730" name="Picture 2867177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51"/>
                    <a:stretch>
                      <a:fillRect/>
                    </a:stretch>
                  </pic:blipFill>
                  <pic:spPr>
                    <a:xfrm>
                      <a:off x="0" y="0"/>
                      <a:ext cx="5731510" cy="7357110"/>
                    </a:xfrm>
                    <a:prstGeom prst="rect">
                      <a:avLst/>
                    </a:prstGeom>
                  </pic:spPr>
                </pic:pic>
              </a:graphicData>
            </a:graphic>
          </wp:inline>
        </w:drawing>
      </w:r>
    </w:p>
    <w:p w14:paraId="68F52168" w14:textId="77777777" w:rsidR="00D75B37" w:rsidRDefault="00D376C6" w:rsidP="00D376C6">
      <w:pPr>
        <w:rPr>
          <w:noProof/>
        </w:rPr>
        <w:sectPr w:rsidR="00D75B37" w:rsidSect="0053186D">
          <w:pgSz w:w="11920" w:h="16850"/>
          <w:pgMar w:top="1338" w:right="1298" w:bottom="2359" w:left="1559" w:header="720" w:footer="720" w:gutter="0"/>
          <w:cols w:space="720"/>
        </w:sectPr>
      </w:pPr>
      <w:r>
        <w:rPr>
          <w:noProof/>
        </w:rPr>
        <w:lastRenderedPageBreak/>
        <w:drawing>
          <wp:inline distT="0" distB="0" distL="0" distR="0" wp14:anchorId="51176A54" wp14:editId="0A56F7AE">
            <wp:extent cx="5731510" cy="7432675"/>
            <wp:effectExtent l="0" t="0" r="2540" b="0"/>
            <wp:docPr id="1905652336" name="Picture 19056523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a:blip r:embed="rId52"/>
                    <a:stretch>
                      <a:fillRect/>
                    </a:stretch>
                  </pic:blipFill>
                  <pic:spPr>
                    <a:xfrm>
                      <a:off x="0" y="0"/>
                      <a:ext cx="5731510" cy="7432675"/>
                    </a:xfrm>
                    <a:prstGeom prst="rect">
                      <a:avLst/>
                    </a:prstGeom>
                  </pic:spPr>
                </pic:pic>
              </a:graphicData>
            </a:graphic>
          </wp:inline>
        </w:drawing>
      </w:r>
      <w:r w:rsidRPr="00DF35FD">
        <w:rPr>
          <w:noProof/>
        </w:rPr>
        <w:t xml:space="preserve"> </w:t>
      </w:r>
      <w:r>
        <w:rPr>
          <w:noProof/>
        </w:rPr>
        <w:lastRenderedPageBreak/>
        <w:drawing>
          <wp:inline distT="0" distB="0" distL="0" distR="0" wp14:anchorId="4568758C" wp14:editId="5372638F">
            <wp:extent cx="5731510" cy="7400290"/>
            <wp:effectExtent l="0" t="0" r="2540" b="0"/>
            <wp:docPr id="569744204" name="Picture 56974420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53"/>
                    <a:stretch>
                      <a:fillRect/>
                    </a:stretch>
                  </pic:blipFill>
                  <pic:spPr>
                    <a:xfrm>
                      <a:off x="0" y="0"/>
                      <a:ext cx="5731510" cy="7400290"/>
                    </a:xfrm>
                    <a:prstGeom prst="rect">
                      <a:avLst/>
                    </a:prstGeom>
                  </pic:spPr>
                </pic:pic>
              </a:graphicData>
            </a:graphic>
          </wp:inline>
        </w:drawing>
      </w:r>
    </w:p>
    <w:p w14:paraId="0F510FCB" w14:textId="77777777" w:rsidR="00007BC9" w:rsidRPr="007F4344" w:rsidRDefault="00007BC9" w:rsidP="00007BC9">
      <w:pPr>
        <w:jc w:val="right"/>
      </w:pPr>
      <w:r>
        <w:rPr>
          <w:noProof/>
        </w:rPr>
        <w:lastRenderedPageBreak/>
        <w:drawing>
          <wp:inline distT="0" distB="0" distL="0" distR="0" wp14:anchorId="7E2AA529" wp14:editId="5DB39A03">
            <wp:extent cx="1685925" cy="762635"/>
            <wp:effectExtent l="0" t="0" r="9525" b="0"/>
            <wp:docPr id="270564515" name="Picture 270564515" descr="A logo for a town&#10;&#10;AI-generated content may be incorrect."/>
            <wp:cNvGraphicFramePr/>
            <a:graphic xmlns:a="http://schemas.openxmlformats.org/drawingml/2006/main">
              <a:graphicData uri="http://schemas.openxmlformats.org/drawingml/2006/picture">
                <pic:pic xmlns:pic="http://schemas.openxmlformats.org/drawingml/2006/picture">
                  <pic:nvPicPr>
                    <pic:cNvPr id="270564515" name="Picture 270564515" descr="A logo for a town&#10;&#10;AI-generated content may be incorrect."/>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85925" cy="762635"/>
                    </a:xfrm>
                    <a:prstGeom prst="rect">
                      <a:avLst/>
                    </a:prstGeom>
                    <a:noFill/>
                    <a:ln>
                      <a:noFill/>
                    </a:ln>
                  </pic:spPr>
                </pic:pic>
              </a:graphicData>
            </a:graphic>
          </wp:inline>
        </w:drawing>
      </w:r>
    </w:p>
    <w:p w14:paraId="33D78962" w14:textId="77777777" w:rsidR="00007BC9" w:rsidRPr="00E80718" w:rsidRDefault="00007BC9" w:rsidP="00007BC9">
      <w:pPr>
        <w:pStyle w:val="Policy3"/>
      </w:pPr>
      <w:bookmarkStart w:id="112" w:name="_Toc14942617"/>
      <w:bookmarkStart w:id="113" w:name="_Toc216866658"/>
      <w:r w:rsidRPr="00E80718">
        <w:t>1.1.</w:t>
      </w:r>
      <w:r>
        <w:t>13</w:t>
      </w:r>
      <w:r w:rsidRPr="00E80718">
        <w:tab/>
      </w:r>
      <w:bookmarkEnd w:id="112"/>
      <w:r w:rsidRPr="00465FAB">
        <w:t>Recognition of Service - Council Members</w:t>
      </w:r>
      <w:bookmarkEnd w:id="113"/>
    </w:p>
    <w:tbl>
      <w:tblPr>
        <w:tblStyle w:val="TableGrid"/>
        <w:tblW w:w="0" w:type="auto"/>
        <w:tblLook w:val="04A0" w:firstRow="1" w:lastRow="0" w:firstColumn="1" w:lastColumn="0" w:noHBand="0" w:noVBand="1"/>
      </w:tblPr>
      <w:tblGrid>
        <w:gridCol w:w="3019"/>
        <w:gridCol w:w="5997"/>
      </w:tblGrid>
      <w:tr w:rsidR="00007BC9" w:rsidRPr="00956E52" w14:paraId="6F6DA6DC" w14:textId="77777777" w:rsidTr="003F3483">
        <w:tc>
          <w:tcPr>
            <w:tcW w:w="3019" w:type="dxa"/>
          </w:tcPr>
          <w:p w14:paraId="6EBE35A3" w14:textId="77777777" w:rsidR="00007BC9" w:rsidRPr="00956E52" w:rsidRDefault="00007BC9" w:rsidP="003F3483">
            <w:pPr>
              <w:rPr>
                <w:rFonts w:cstheme="minorHAnsi"/>
                <w:b/>
                <w:lang w:val="en-US"/>
              </w:rPr>
            </w:pPr>
            <w:r w:rsidRPr="00956E52">
              <w:rPr>
                <w:rFonts w:cstheme="minorHAnsi"/>
                <w:b/>
                <w:lang w:val="en-US"/>
              </w:rPr>
              <w:t>Type:</w:t>
            </w:r>
          </w:p>
        </w:tc>
        <w:tc>
          <w:tcPr>
            <w:tcW w:w="5997" w:type="dxa"/>
          </w:tcPr>
          <w:p w14:paraId="121CA188" w14:textId="77777777" w:rsidR="00007BC9" w:rsidRPr="00956E52" w:rsidRDefault="00007BC9" w:rsidP="003F3483">
            <w:pPr>
              <w:rPr>
                <w:rFonts w:cstheme="minorHAnsi"/>
                <w:lang w:val="en-US"/>
              </w:rPr>
            </w:pPr>
            <w:r>
              <w:rPr>
                <w:rFonts w:cstheme="minorHAnsi"/>
                <w:lang w:val="en-US"/>
              </w:rPr>
              <w:t>Office of the CEO – Council Members</w:t>
            </w:r>
          </w:p>
        </w:tc>
      </w:tr>
      <w:tr w:rsidR="00007BC9" w:rsidRPr="00956E52" w14:paraId="2832B94F" w14:textId="77777777" w:rsidTr="003F3483">
        <w:tc>
          <w:tcPr>
            <w:tcW w:w="3019" w:type="dxa"/>
          </w:tcPr>
          <w:p w14:paraId="5CA73890" w14:textId="77777777" w:rsidR="00007BC9" w:rsidRPr="00956E52" w:rsidRDefault="00007BC9" w:rsidP="003F3483">
            <w:pPr>
              <w:rPr>
                <w:rFonts w:cstheme="minorHAnsi"/>
                <w:b/>
                <w:lang w:val="en-US"/>
              </w:rPr>
            </w:pPr>
            <w:r w:rsidRPr="00956E52">
              <w:rPr>
                <w:rFonts w:cstheme="minorHAnsi"/>
                <w:b/>
                <w:lang w:val="en-US"/>
              </w:rPr>
              <w:t>Legislation:</w:t>
            </w:r>
          </w:p>
        </w:tc>
        <w:tc>
          <w:tcPr>
            <w:tcW w:w="5997" w:type="dxa"/>
          </w:tcPr>
          <w:p w14:paraId="1631C2DC" w14:textId="77777777" w:rsidR="00007BC9" w:rsidRPr="00F6175F" w:rsidRDefault="00007BC9" w:rsidP="00007BC9">
            <w:pPr>
              <w:numPr>
                <w:ilvl w:val="0"/>
                <w:numId w:val="571"/>
              </w:numPr>
              <w:spacing w:after="160" w:line="259" w:lineRule="auto"/>
            </w:pPr>
            <w:r w:rsidRPr="00F6175F">
              <w:rPr>
                <w:i/>
                <w:iCs/>
              </w:rPr>
              <w:t>Local Government Act 1995 (WA)</w:t>
            </w:r>
          </w:p>
          <w:p w14:paraId="0E0D1D89" w14:textId="77777777" w:rsidR="00007BC9" w:rsidRPr="0015790A" w:rsidRDefault="00007BC9" w:rsidP="00007BC9">
            <w:pPr>
              <w:numPr>
                <w:ilvl w:val="0"/>
                <w:numId w:val="571"/>
              </w:numPr>
              <w:spacing w:after="160" w:line="259" w:lineRule="auto"/>
            </w:pPr>
            <w:r w:rsidRPr="00F6175F">
              <w:rPr>
                <w:i/>
                <w:iCs/>
              </w:rPr>
              <w:t>Local Government (Administration) Regulations 1996 (WA)</w:t>
            </w:r>
            <w:r w:rsidRPr="00F6175F">
              <w:t>, Regulation 34AC (Gifts to retiring council members)</w:t>
            </w:r>
          </w:p>
        </w:tc>
      </w:tr>
      <w:tr w:rsidR="00007BC9" w:rsidRPr="00956E52" w14:paraId="1AE38B3B" w14:textId="77777777" w:rsidTr="003F3483">
        <w:tc>
          <w:tcPr>
            <w:tcW w:w="3019" w:type="dxa"/>
          </w:tcPr>
          <w:p w14:paraId="3CFBC971" w14:textId="77777777" w:rsidR="00007BC9" w:rsidRPr="00956E52" w:rsidRDefault="00007BC9" w:rsidP="003F3483">
            <w:pPr>
              <w:rPr>
                <w:rFonts w:cstheme="minorHAnsi"/>
                <w:b/>
                <w:lang w:val="en-US"/>
              </w:rPr>
            </w:pPr>
            <w:r w:rsidRPr="00956E52">
              <w:rPr>
                <w:rFonts w:cstheme="minorHAnsi"/>
                <w:b/>
                <w:lang w:val="en-US"/>
              </w:rPr>
              <w:t>Delegation:</w:t>
            </w:r>
          </w:p>
        </w:tc>
        <w:tc>
          <w:tcPr>
            <w:tcW w:w="5997" w:type="dxa"/>
          </w:tcPr>
          <w:p w14:paraId="226BC14E" w14:textId="77777777" w:rsidR="00007BC9" w:rsidRPr="00956E52" w:rsidRDefault="00007BC9" w:rsidP="003F3483">
            <w:pPr>
              <w:rPr>
                <w:rFonts w:cstheme="minorHAnsi"/>
                <w:lang w:val="en-US"/>
              </w:rPr>
            </w:pPr>
            <w:r>
              <w:rPr>
                <w:rFonts w:cstheme="minorHAnsi"/>
                <w:lang w:val="en-US"/>
              </w:rPr>
              <w:t>Nil</w:t>
            </w:r>
          </w:p>
        </w:tc>
      </w:tr>
      <w:tr w:rsidR="00007BC9" w:rsidRPr="00956E52" w14:paraId="4F20CBD9" w14:textId="77777777" w:rsidTr="003F3483">
        <w:tc>
          <w:tcPr>
            <w:tcW w:w="3019" w:type="dxa"/>
          </w:tcPr>
          <w:p w14:paraId="26610B43" w14:textId="77777777" w:rsidR="00007BC9" w:rsidRPr="00956E52" w:rsidRDefault="00007BC9" w:rsidP="003F3483">
            <w:pPr>
              <w:rPr>
                <w:rFonts w:cstheme="minorHAnsi"/>
                <w:b/>
                <w:lang w:val="en-US"/>
              </w:rPr>
            </w:pPr>
            <w:r w:rsidRPr="00956E52">
              <w:rPr>
                <w:rFonts w:cstheme="minorHAnsi"/>
                <w:b/>
                <w:lang w:val="en-US"/>
              </w:rPr>
              <w:t>Other Related Document:</w:t>
            </w:r>
          </w:p>
        </w:tc>
        <w:tc>
          <w:tcPr>
            <w:tcW w:w="5997" w:type="dxa"/>
          </w:tcPr>
          <w:p w14:paraId="73F9BEFC" w14:textId="77777777" w:rsidR="00007BC9" w:rsidRPr="00956E52" w:rsidRDefault="00007BC9" w:rsidP="003F3483">
            <w:pPr>
              <w:rPr>
                <w:rFonts w:cstheme="minorHAnsi"/>
                <w:lang w:val="en-US"/>
              </w:rPr>
            </w:pPr>
            <w:r>
              <w:rPr>
                <w:rFonts w:cstheme="minorHAnsi"/>
                <w:lang w:val="en-US"/>
              </w:rPr>
              <w:t>Nil</w:t>
            </w:r>
          </w:p>
        </w:tc>
      </w:tr>
    </w:tbl>
    <w:p w14:paraId="383918E0" w14:textId="77777777" w:rsidR="00007BC9" w:rsidRPr="00956E52" w:rsidRDefault="00007BC9" w:rsidP="00007BC9">
      <w:pPr>
        <w:spacing w:after="120"/>
        <w:rPr>
          <w:rFonts w:cstheme="minorHAnsi"/>
        </w:rPr>
      </w:pPr>
    </w:p>
    <w:p w14:paraId="017C2970" w14:textId="77777777" w:rsidR="00007BC9" w:rsidRPr="00D25B74" w:rsidRDefault="00007BC9" w:rsidP="00007BC9">
      <w:pPr>
        <w:pStyle w:val="ListParagraph"/>
        <w:numPr>
          <w:ilvl w:val="0"/>
          <w:numId w:val="574"/>
        </w:numPr>
        <w:spacing w:after="0" w:line="240" w:lineRule="auto"/>
        <w:ind w:left="0"/>
        <w:rPr>
          <w:rFonts w:cstheme="minorHAnsi"/>
          <w:b/>
          <w:sz w:val="28"/>
          <w:szCs w:val="28"/>
        </w:rPr>
      </w:pPr>
      <w:r w:rsidRPr="00D25B74">
        <w:rPr>
          <w:rFonts w:cstheme="minorHAnsi"/>
          <w:b/>
          <w:sz w:val="28"/>
          <w:szCs w:val="28"/>
        </w:rPr>
        <w:t>Objective</w:t>
      </w:r>
    </w:p>
    <w:p w14:paraId="134E5BEC" w14:textId="77777777" w:rsidR="00007BC9" w:rsidRPr="00F6175F" w:rsidRDefault="00007BC9" w:rsidP="00007BC9">
      <w:pPr>
        <w:spacing w:after="160" w:line="259" w:lineRule="auto"/>
      </w:pPr>
      <w:r>
        <w:t xml:space="preserve">This policy provides a framework for recognising the service of retiring Council Members in a fair, transparent and consistent manner, consistent with the </w:t>
      </w:r>
      <w:r w:rsidRPr="6EA926A3">
        <w:rPr>
          <w:i/>
          <w:iCs/>
        </w:rPr>
        <w:t>Local Government Act 1995 (WA)</w:t>
      </w:r>
      <w:r>
        <w:t xml:space="preserve"> and the </w:t>
      </w:r>
      <w:r w:rsidRPr="6EA926A3">
        <w:rPr>
          <w:i/>
          <w:iCs/>
        </w:rPr>
        <w:t>Local Government (Administration) Regulations 1996 (WA)</w:t>
      </w:r>
      <w:r>
        <w:t>.</w:t>
      </w:r>
    </w:p>
    <w:p w14:paraId="402922FC" w14:textId="77777777" w:rsidR="00007BC9" w:rsidRPr="00B47F10" w:rsidRDefault="00007BC9" w:rsidP="00007BC9">
      <w:pPr>
        <w:pStyle w:val="ListParagraph"/>
        <w:numPr>
          <w:ilvl w:val="0"/>
          <w:numId w:val="574"/>
        </w:numPr>
        <w:spacing w:after="0" w:line="240" w:lineRule="auto"/>
        <w:ind w:left="0"/>
        <w:rPr>
          <w:rFonts w:cstheme="minorHAnsi"/>
          <w:b/>
          <w:sz w:val="28"/>
          <w:szCs w:val="28"/>
        </w:rPr>
      </w:pPr>
      <w:r w:rsidRPr="00B47F10">
        <w:rPr>
          <w:rFonts w:cstheme="minorHAnsi"/>
          <w:b/>
          <w:sz w:val="28"/>
          <w:szCs w:val="28"/>
        </w:rPr>
        <w:t>Policy Scope</w:t>
      </w:r>
    </w:p>
    <w:p w14:paraId="052FF002" w14:textId="77777777" w:rsidR="00007BC9" w:rsidRDefault="00007BC9" w:rsidP="00007BC9">
      <w:pPr>
        <w:spacing w:after="160" w:line="259" w:lineRule="auto"/>
        <w:rPr>
          <w:sz w:val="28"/>
          <w:szCs w:val="28"/>
        </w:rPr>
      </w:pPr>
      <w:r>
        <w:t>This policy applies to all Council Members of the Town of East Fremantle who are retiring following the conclusion of a full term of office</w:t>
      </w:r>
      <w:r w:rsidRPr="6EA926A3">
        <w:rPr>
          <w:sz w:val="28"/>
          <w:szCs w:val="28"/>
        </w:rPr>
        <w:t>.</w:t>
      </w:r>
    </w:p>
    <w:p w14:paraId="1B173F6A" w14:textId="77777777" w:rsidR="00007BC9" w:rsidRPr="00F6175F" w:rsidRDefault="00007BC9" w:rsidP="00007BC9">
      <w:pPr>
        <w:pStyle w:val="ListParagraph"/>
        <w:numPr>
          <w:ilvl w:val="0"/>
          <w:numId w:val="574"/>
        </w:numPr>
        <w:spacing w:after="0" w:line="240" w:lineRule="auto"/>
        <w:ind w:left="0"/>
        <w:rPr>
          <w:rFonts w:cstheme="minorHAnsi"/>
          <w:b/>
          <w:sz w:val="28"/>
          <w:szCs w:val="28"/>
        </w:rPr>
      </w:pPr>
      <w:r w:rsidRPr="00F6175F">
        <w:rPr>
          <w:rFonts w:cstheme="minorHAnsi"/>
          <w:b/>
          <w:sz w:val="28"/>
          <w:szCs w:val="28"/>
        </w:rPr>
        <w:t>Definitions</w:t>
      </w:r>
    </w:p>
    <w:p w14:paraId="65E8924F" w14:textId="77777777" w:rsidR="00007BC9" w:rsidRDefault="00007BC9" w:rsidP="00007BC9">
      <w:pPr>
        <w:numPr>
          <w:ilvl w:val="0"/>
          <w:numId w:val="572"/>
        </w:numPr>
        <w:spacing w:after="160" w:line="259" w:lineRule="auto"/>
      </w:pPr>
      <w:r w:rsidRPr="6EA926A3">
        <w:rPr>
          <w:b/>
          <w:bCs/>
        </w:rPr>
        <w:t xml:space="preserve">Town – </w:t>
      </w:r>
      <w:r>
        <w:t>means the Town of East Fremantle</w:t>
      </w:r>
    </w:p>
    <w:p w14:paraId="2641C182" w14:textId="77777777" w:rsidR="00007BC9" w:rsidRDefault="00007BC9" w:rsidP="00007BC9">
      <w:pPr>
        <w:numPr>
          <w:ilvl w:val="0"/>
          <w:numId w:val="572"/>
        </w:numPr>
        <w:spacing w:after="160" w:line="259" w:lineRule="auto"/>
      </w:pPr>
      <w:r w:rsidRPr="6EA926A3">
        <w:rPr>
          <w:b/>
          <w:bCs/>
        </w:rPr>
        <w:t xml:space="preserve">Council Member </w:t>
      </w:r>
      <w:r>
        <w:t xml:space="preserve">- Means a person elected under the </w:t>
      </w:r>
      <w:r w:rsidRPr="6EA926A3">
        <w:rPr>
          <w:i/>
          <w:iCs/>
        </w:rPr>
        <w:t>Local Government Act 1995 (WA)</w:t>
      </w:r>
      <w:r>
        <w:t xml:space="preserve"> as a member of the council of the Town and includes the Mayor of the Town.</w:t>
      </w:r>
    </w:p>
    <w:p w14:paraId="43A965C7" w14:textId="77777777" w:rsidR="00007BC9" w:rsidRPr="00F6175F" w:rsidRDefault="00007BC9" w:rsidP="00007BC9">
      <w:pPr>
        <w:numPr>
          <w:ilvl w:val="0"/>
          <w:numId w:val="572"/>
        </w:numPr>
        <w:spacing w:after="160" w:line="259" w:lineRule="auto"/>
      </w:pPr>
      <w:r w:rsidRPr="6EA926A3">
        <w:rPr>
          <w:b/>
          <w:bCs/>
        </w:rPr>
        <w:t>Retirement</w:t>
      </w:r>
      <w:r>
        <w:t xml:space="preserve">: The conclusion of service following the expiry of a Council Member’s term where the Council Member either does not seek re-election or is not re-elected. </w:t>
      </w:r>
    </w:p>
    <w:p w14:paraId="54B25D0E" w14:textId="77777777" w:rsidR="00007BC9" w:rsidRDefault="00007BC9" w:rsidP="00007BC9">
      <w:pPr>
        <w:numPr>
          <w:ilvl w:val="0"/>
          <w:numId w:val="572"/>
        </w:numPr>
        <w:spacing w:after="160" w:line="259" w:lineRule="auto"/>
      </w:pPr>
      <w:r w:rsidRPr="00F6175F">
        <w:rPr>
          <w:b/>
          <w:bCs/>
        </w:rPr>
        <w:t>Gift</w:t>
      </w:r>
      <w:r w:rsidRPr="00F6175F">
        <w:t xml:space="preserve">: As defined under the </w:t>
      </w:r>
      <w:r w:rsidRPr="00F6175F">
        <w:rPr>
          <w:i/>
          <w:iCs/>
        </w:rPr>
        <w:t>Local Government Act 1995 (WA)</w:t>
      </w:r>
      <w:r w:rsidRPr="00F6175F">
        <w:t>, being a disposition of property or the conferral of a financial benefit without adequate consideration.</w:t>
      </w:r>
    </w:p>
    <w:p w14:paraId="59A8D327" w14:textId="77777777" w:rsidR="00007BC9" w:rsidRPr="00B47F10" w:rsidRDefault="00007BC9" w:rsidP="00007BC9">
      <w:pPr>
        <w:pStyle w:val="ListParagraph"/>
        <w:numPr>
          <w:ilvl w:val="0"/>
          <w:numId w:val="574"/>
        </w:numPr>
        <w:spacing w:after="0" w:line="240" w:lineRule="auto"/>
        <w:ind w:left="0"/>
        <w:rPr>
          <w:rFonts w:cstheme="minorHAnsi"/>
          <w:b/>
          <w:sz w:val="28"/>
          <w:szCs w:val="28"/>
        </w:rPr>
      </w:pPr>
      <w:r w:rsidRPr="7F71DB68">
        <w:rPr>
          <w:b/>
          <w:bCs/>
          <w:sz w:val="28"/>
          <w:szCs w:val="28"/>
        </w:rPr>
        <w:t>Policy Statement</w:t>
      </w:r>
    </w:p>
    <w:p w14:paraId="3CB95CAE" w14:textId="77777777" w:rsidR="00007BC9" w:rsidRPr="00990056" w:rsidRDefault="00007BC9" w:rsidP="00007BC9">
      <w:pPr>
        <w:pStyle w:val="ListParagraph"/>
        <w:numPr>
          <w:ilvl w:val="1"/>
          <w:numId w:val="575"/>
        </w:numPr>
        <w:spacing w:before="120" w:after="0" w:line="259" w:lineRule="auto"/>
        <w:ind w:left="618" w:hanging="437"/>
        <w:contextualSpacing w:val="0"/>
        <w:rPr>
          <w:b/>
          <w:bCs/>
        </w:rPr>
      </w:pPr>
      <w:r w:rsidRPr="00990056">
        <w:rPr>
          <w:b/>
          <w:bCs/>
        </w:rPr>
        <w:t xml:space="preserve">Eligibility </w:t>
      </w:r>
    </w:p>
    <w:p w14:paraId="2E254D10" w14:textId="77777777" w:rsidR="00007BC9" w:rsidRPr="00F6175F" w:rsidRDefault="00007BC9" w:rsidP="00007BC9">
      <w:pPr>
        <w:spacing w:after="160" w:line="259" w:lineRule="auto"/>
        <w:ind w:firstLine="360"/>
      </w:pPr>
      <w:r>
        <w:t>4.1.1</w:t>
      </w:r>
      <w:r>
        <w:tab/>
        <w:t>A retiring Council Member will receive a gift where:</w:t>
      </w:r>
    </w:p>
    <w:p w14:paraId="680A2E16" w14:textId="77777777" w:rsidR="00007BC9" w:rsidRPr="00F6175F" w:rsidRDefault="00007BC9" w:rsidP="00007BC9">
      <w:pPr>
        <w:numPr>
          <w:ilvl w:val="0"/>
          <w:numId w:val="573"/>
        </w:numPr>
        <w:tabs>
          <w:tab w:val="num" w:pos="720"/>
        </w:tabs>
        <w:spacing w:after="160" w:line="259" w:lineRule="auto"/>
      </w:pPr>
      <w:r w:rsidRPr="00F6175F">
        <w:t>They have completed at least one full four-year term; and</w:t>
      </w:r>
    </w:p>
    <w:p w14:paraId="6996E293" w14:textId="77777777" w:rsidR="00007BC9" w:rsidRDefault="00007BC9" w:rsidP="00007BC9">
      <w:pPr>
        <w:numPr>
          <w:ilvl w:val="0"/>
          <w:numId w:val="573"/>
        </w:numPr>
        <w:spacing w:after="160" w:line="259" w:lineRule="auto"/>
      </w:pPr>
      <w:r w:rsidRPr="00F6175F">
        <w:t>Their departure meets the definition of “retirement” under this policy.</w:t>
      </w:r>
    </w:p>
    <w:p w14:paraId="5C7F0069" w14:textId="77777777" w:rsidR="00007BC9" w:rsidRDefault="00007BC9" w:rsidP="00007BC9">
      <w:pPr>
        <w:pStyle w:val="ListParagraph"/>
        <w:numPr>
          <w:ilvl w:val="2"/>
          <w:numId w:val="576"/>
        </w:numPr>
        <w:spacing w:after="160" w:line="259" w:lineRule="auto"/>
      </w:pPr>
      <w:r>
        <w:t xml:space="preserve">A Council Member who has been disqualified from office in accordance with s2.22 of the </w:t>
      </w:r>
      <w:r w:rsidRPr="6EA926A3">
        <w:rPr>
          <w:i/>
          <w:iCs/>
        </w:rPr>
        <w:t>Local Government Act 1995 (WA)</w:t>
      </w:r>
      <w:r>
        <w:t xml:space="preserve"> will not be eligible for a gift.</w:t>
      </w:r>
    </w:p>
    <w:p w14:paraId="0F3FA246" w14:textId="77777777" w:rsidR="00007BC9" w:rsidRDefault="00007BC9" w:rsidP="00007BC9">
      <w:pPr>
        <w:pStyle w:val="ListParagraph"/>
        <w:spacing w:after="160" w:line="259" w:lineRule="auto"/>
        <w:ind w:left="1080"/>
      </w:pPr>
      <w:r>
        <w:lastRenderedPageBreak/>
        <w:t>[Note: s2.22 refers to Disqualification because of convictions.]</w:t>
      </w:r>
    </w:p>
    <w:p w14:paraId="17412103" w14:textId="77777777" w:rsidR="00007BC9" w:rsidRDefault="00007BC9" w:rsidP="00007BC9">
      <w:pPr>
        <w:pStyle w:val="ListParagraph"/>
        <w:spacing w:after="160" w:line="259" w:lineRule="auto"/>
        <w:ind w:left="1080"/>
      </w:pPr>
    </w:p>
    <w:p w14:paraId="389C31CE" w14:textId="77777777" w:rsidR="00007BC9" w:rsidRDefault="00007BC9" w:rsidP="00007BC9">
      <w:pPr>
        <w:pStyle w:val="ListParagraph"/>
        <w:numPr>
          <w:ilvl w:val="1"/>
          <w:numId w:val="576"/>
        </w:numPr>
        <w:spacing w:after="160" w:line="259" w:lineRule="auto"/>
        <w:rPr>
          <w:b/>
          <w:bCs/>
        </w:rPr>
      </w:pPr>
      <w:r w:rsidRPr="00342D41">
        <w:rPr>
          <w:b/>
          <w:bCs/>
        </w:rPr>
        <w:t>Value of Gifts</w:t>
      </w:r>
    </w:p>
    <w:p w14:paraId="5B2F6AC6" w14:textId="77777777" w:rsidR="00007BC9" w:rsidRPr="00F6175F" w:rsidRDefault="00007BC9" w:rsidP="00007BC9">
      <w:pPr>
        <w:pStyle w:val="ListParagraph"/>
        <w:numPr>
          <w:ilvl w:val="2"/>
          <w:numId w:val="577"/>
        </w:numPr>
        <w:spacing w:after="160" w:line="259" w:lineRule="auto"/>
      </w:pPr>
      <w:r>
        <w:t>A gift to the value of $100 per year of service, up to a maximum of $1,000, in accordance with Regulation 34AC.</w:t>
      </w:r>
    </w:p>
    <w:p w14:paraId="45201DF3" w14:textId="77777777" w:rsidR="00007BC9" w:rsidRDefault="00007BC9" w:rsidP="00007BC9">
      <w:pPr>
        <w:pStyle w:val="ListParagraph"/>
        <w:numPr>
          <w:ilvl w:val="2"/>
          <w:numId w:val="577"/>
        </w:numPr>
        <w:spacing w:after="160" w:line="259" w:lineRule="auto"/>
      </w:pPr>
      <w:r>
        <w:t>Any council-owned property retained by a Council Member must be valued at depreciated (residual) value and counted within the prescribed limit.</w:t>
      </w:r>
    </w:p>
    <w:p w14:paraId="7C29BBF4" w14:textId="77777777" w:rsidR="00007BC9" w:rsidRPr="00F6175F" w:rsidRDefault="00007BC9" w:rsidP="00007BC9">
      <w:pPr>
        <w:pStyle w:val="ListParagraph"/>
        <w:spacing w:after="160" w:line="259" w:lineRule="auto"/>
        <w:ind w:left="1080"/>
      </w:pPr>
    </w:p>
    <w:p w14:paraId="681C872F" w14:textId="77777777" w:rsidR="00007BC9" w:rsidRDefault="00007BC9" w:rsidP="00007BC9">
      <w:pPr>
        <w:pStyle w:val="ListParagraph"/>
        <w:numPr>
          <w:ilvl w:val="1"/>
          <w:numId w:val="578"/>
        </w:numPr>
        <w:spacing w:after="0" w:line="259" w:lineRule="auto"/>
        <w:rPr>
          <w:b/>
          <w:bCs/>
        </w:rPr>
      </w:pPr>
      <w:r w:rsidRPr="6EA926A3">
        <w:rPr>
          <w:b/>
          <w:bCs/>
        </w:rPr>
        <w:t>Roles and Responsibilities</w:t>
      </w:r>
    </w:p>
    <w:p w14:paraId="297B068B" w14:textId="77777777" w:rsidR="00007BC9" w:rsidRDefault="00007BC9" w:rsidP="00007BC9">
      <w:pPr>
        <w:spacing w:after="160" w:line="259" w:lineRule="auto"/>
        <w:ind w:left="615"/>
      </w:pPr>
      <w:r>
        <w:t xml:space="preserve">The CEO will – </w:t>
      </w:r>
    </w:p>
    <w:p w14:paraId="6FB6CE9F" w14:textId="77777777" w:rsidR="00007BC9" w:rsidRDefault="00007BC9" w:rsidP="00007BC9">
      <w:pPr>
        <w:pStyle w:val="ListParagraph"/>
        <w:numPr>
          <w:ilvl w:val="0"/>
          <w:numId w:val="570"/>
        </w:numPr>
        <w:spacing w:after="160" w:line="259" w:lineRule="auto"/>
      </w:pPr>
      <w:r>
        <w:t>Confirm eligibility when a Council Member is due to retire.</w:t>
      </w:r>
    </w:p>
    <w:p w14:paraId="53219894" w14:textId="77777777" w:rsidR="00007BC9" w:rsidRDefault="00007BC9" w:rsidP="00007BC9">
      <w:pPr>
        <w:pStyle w:val="ListParagraph"/>
        <w:numPr>
          <w:ilvl w:val="0"/>
          <w:numId w:val="570"/>
        </w:numPr>
        <w:spacing w:after="160" w:line="259" w:lineRule="auto"/>
      </w:pPr>
      <w:r w:rsidRPr="6EA926A3">
        <w:t xml:space="preserve">Monitor the terms of service of individual Council Members.  </w:t>
      </w:r>
    </w:p>
    <w:p w14:paraId="4AE7587B" w14:textId="77777777" w:rsidR="00007BC9" w:rsidRDefault="00007BC9" w:rsidP="00007BC9">
      <w:pPr>
        <w:pStyle w:val="ListParagraph"/>
        <w:numPr>
          <w:ilvl w:val="0"/>
          <w:numId w:val="570"/>
        </w:numPr>
        <w:spacing w:after="160" w:line="259" w:lineRule="auto"/>
      </w:pPr>
      <w:r w:rsidRPr="6EA926A3">
        <w:t xml:space="preserve">Arrange the item of memorabilia and gift. </w:t>
      </w:r>
    </w:p>
    <w:p w14:paraId="283A440C" w14:textId="77777777" w:rsidR="00007BC9" w:rsidRDefault="00007BC9" w:rsidP="00007BC9">
      <w:pPr>
        <w:pStyle w:val="ListParagraph"/>
        <w:spacing w:after="160" w:line="259" w:lineRule="auto"/>
        <w:ind w:left="1080"/>
      </w:pPr>
    </w:p>
    <w:p w14:paraId="5E514046" w14:textId="77777777" w:rsidR="00007BC9" w:rsidRDefault="00007BC9" w:rsidP="00007BC9">
      <w:pPr>
        <w:pStyle w:val="ListParagraph"/>
        <w:numPr>
          <w:ilvl w:val="1"/>
          <w:numId w:val="578"/>
        </w:numPr>
        <w:spacing w:after="160" w:line="259" w:lineRule="auto"/>
      </w:pPr>
      <w:r w:rsidRPr="6EA926A3">
        <w:rPr>
          <w:b/>
          <w:bCs/>
        </w:rPr>
        <w:t>Presentation</w:t>
      </w:r>
      <w:r>
        <w:t xml:space="preserve"> – </w:t>
      </w:r>
    </w:p>
    <w:p w14:paraId="6E1B94F2" w14:textId="77777777" w:rsidR="00007BC9" w:rsidRDefault="00007BC9" w:rsidP="00007BC9">
      <w:pPr>
        <w:pStyle w:val="ListParagraph"/>
        <w:numPr>
          <w:ilvl w:val="2"/>
          <w:numId w:val="578"/>
        </w:numPr>
        <w:spacing w:after="160" w:line="259" w:lineRule="auto"/>
      </w:pPr>
      <w:r>
        <w:t xml:space="preserve">The gift will be presented by the </w:t>
      </w:r>
      <w:proofErr w:type="gramStart"/>
      <w:r>
        <w:t>Mayor</w:t>
      </w:r>
      <w:proofErr w:type="gramEnd"/>
      <w:r>
        <w:t xml:space="preserve"> or nominee at an ordinary or special meeting of council, or an appropriate civic recognition event.</w:t>
      </w:r>
    </w:p>
    <w:p w14:paraId="332DE7C0" w14:textId="77777777" w:rsidR="00007BC9" w:rsidRDefault="00007BC9" w:rsidP="00007BC9">
      <w:pPr>
        <w:pStyle w:val="ListParagraph"/>
        <w:spacing w:after="160" w:line="259" w:lineRule="auto"/>
        <w:ind w:left="1080"/>
      </w:pPr>
    </w:p>
    <w:p w14:paraId="03207085" w14:textId="77777777" w:rsidR="00007BC9" w:rsidRDefault="00007BC9" w:rsidP="00007BC9">
      <w:pPr>
        <w:pStyle w:val="ListParagraph"/>
        <w:numPr>
          <w:ilvl w:val="2"/>
          <w:numId w:val="578"/>
        </w:numPr>
        <w:spacing w:after="160" w:line="259" w:lineRule="auto"/>
      </w:pPr>
      <w:r w:rsidRPr="6EA926A3">
        <w:t xml:space="preserve">In the event of the death of a </w:t>
      </w:r>
      <w:r>
        <w:t xml:space="preserve">Council Member </w:t>
      </w:r>
      <w:r w:rsidRPr="6EA926A3">
        <w:t xml:space="preserve">the Town will work respectfully with the family to ensure appropriate recognition is provided in the </w:t>
      </w:r>
      <w:r>
        <w:t>Council Member</w:t>
      </w:r>
      <w:r w:rsidRPr="6EA926A3">
        <w:t>’s memory.</w:t>
      </w:r>
    </w:p>
    <w:p w14:paraId="0E894189" w14:textId="77777777" w:rsidR="00007BC9" w:rsidRDefault="00007BC9" w:rsidP="00007BC9">
      <w:pPr>
        <w:pStyle w:val="ListParagraph"/>
        <w:spacing w:after="160" w:line="259" w:lineRule="auto"/>
        <w:ind w:left="1260"/>
      </w:pPr>
    </w:p>
    <w:p w14:paraId="42A3E67C" w14:textId="77777777" w:rsidR="00007BC9" w:rsidRDefault="00007BC9" w:rsidP="00007BC9">
      <w:pPr>
        <w:pStyle w:val="ListParagraph"/>
        <w:numPr>
          <w:ilvl w:val="1"/>
          <w:numId w:val="578"/>
        </w:numPr>
        <w:spacing w:after="160" w:line="259" w:lineRule="auto"/>
      </w:pPr>
      <w:r w:rsidRPr="6EA926A3">
        <w:rPr>
          <w:b/>
          <w:bCs/>
        </w:rPr>
        <w:t xml:space="preserve">Record-keeping – </w:t>
      </w:r>
      <w:r>
        <w:t>The gift will be noted in council minutes and, if applicable, in the gifts register.</w:t>
      </w:r>
    </w:p>
    <w:p w14:paraId="24CDF8FE" w14:textId="77777777" w:rsidR="00007BC9" w:rsidRPr="003C7A47" w:rsidRDefault="00007BC9" w:rsidP="00007BC9">
      <w:pPr>
        <w:pStyle w:val="ListParagraph"/>
        <w:spacing w:after="160" w:line="259" w:lineRule="auto"/>
        <w:ind w:left="1080"/>
      </w:pPr>
    </w:p>
    <w:p w14:paraId="0CD5E8DD" w14:textId="77777777" w:rsidR="00007BC9" w:rsidRPr="00F6175F" w:rsidRDefault="00007BC9" w:rsidP="00007BC9">
      <w:pPr>
        <w:pStyle w:val="ListParagraph"/>
        <w:numPr>
          <w:ilvl w:val="1"/>
          <w:numId w:val="578"/>
        </w:numPr>
        <w:spacing w:after="0" w:line="259" w:lineRule="auto"/>
        <w:rPr>
          <w:b/>
          <w:bCs/>
        </w:rPr>
      </w:pPr>
      <w:r w:rsidRPr="00F6175F">
        <w:rPr>
          <w:b/>
          <w:bCs/>
        </w:rPr>
        <w:t>Recognition Functions</w:t>
      </w:r>
    </w:p>
    <w:p w14:paraId="05532FCB" w14:textId="77777777" w:rsidR="00007BC9" w:rsidRDefault="00007BC9" w:rsidP="00007BC9">
      <w:pPr>
        <w:spacing w:after="0" w:line="259" w:lineRule="auto"/>
        <w:ind w:left="720"/>
      </w:pPr>
      <w:r>
        <w:t>Council may hold a civic event to recognise the contribution of retiring Council Members. Expenditure must be reasonable, budgeted, and consistent with community expectations.</w:t>
      </w:r>
    </w:p>
    <w:p w14:paraId="635D397D" w14:textId="77777777" w:rsidR="00007BC9" w:rsidRDefault="00007BC9" w:rsidP="00007BC9">
      <w:pPr>
        <w:pStyle w:val="ListParagraph"/>
        <w:spacing w:after="160" w:line="259" w:lineRule="auto"/>
        <w:ind w:left="1080"/>
      </w:pPr>
    </w:p>
    <w:p w14:paraId="0A7359D6" w14:textId="77777777" w:rsidR="00007BC9" w:rsidRPr="00F6175F" w:rsidRDefault="00007BC9" w:rsidP="00007BC9">
      <w:pPr>
        <w:pStyle w:val="ListParagraph"/>
        <w:numPr>
          <w:ilvl w:val="1"/>
          <w:numId w:val="578"/>
        </w:numPr>
        <w:spacing w:after="0" w:line="259" w:lineRule="auto"/>
        <w:rPr>
          <w:b/>
          <w:bCs/>
        </w:rPr>
      </w:pPr>
      <w:r w:rsidRPr="00F6175F">
        <w:rPr>
          <w:b/>
          <w:bCs/>
        </w:rPr>
        <w:t>Review</w:t>
      </w:r>
    </w:p>
    <w:p w14:paraId="064A3007" w14:textId="77777777" w:rsidR="00007BC9" w:rsidRDefault="00007BC9" w:rsidP="00007BC9">
      <w:pPr>
        <w:spacing w:after="160" w:line="259" w:lineRule="auto"/>
        <w:ind w:left="720"/>
      </w:pPr>
      <w:r>
        <w:t>This policy will be reviewed every four years in line with the local government election cycle, or earlier if legislative amendments require.</w:t>
      </w:r>
    </w:p>
    <w:p w14:paraId="67212261" w14:textId="77777777" w:rsidR="00007BC9" w:rsidRPr="00F6175F" w:rsidRDefault="00007BC9" w:rsidP="00007BC9">
      <w:pPr>
        <w:pStyle w:val="ListParagraph"/>
        <w:spacing w:after="0" w:line="259" w:lineRule="auto"/>
        <w:ind w:left="1080"/>
      </w:pPr>
    </w:p>
    <w:tbl>
      <w:tblPr>
        <w:tblStyle w:val="TableGrid"/>
        <w:tblW w:w="0" w:type="auto"/>
        <w:tblLook w:val="04A0" w:firstRow="1" w:lastRow="0" w:firstColumn="1" w:lastColumn="0" w:noHBand="0" w:noVBand="1"/>
      </w:tblPr>
      <w:tblGrid>
        <w:gridCol w:w="3050"/>
        <w:gridCol w:w="5966"/>
      </w:tblGrid>
      <w:tr w:rsidR="00007BC9" w:rsidRPr="00956E52" w14:paraId="3F350EDF" w14:textId="77777777" w:rsidTr="003F3483">
        <w:tc>
          <w:tcPr>
            <w:tcW w:w="3050" w:type="dxa"/>
            <w:tcBorders>
              <w:top w:val="single" w:sz="4" w:space="0" w:color="auto"/>
              <w:left w:val="single" w:sz="4" w:space="0" w:color="auto"/>
              <w:bottom w:val="single" w:sz="4" w:space="0" w:color="auto"/>
              <w:right w:val="single" w:sz="4" w:space="0" w:color="auto"/>
            </w:tcBorders>
          </w:tcPr>
          <w:p w14:paraId="7D30D906" w14:textId="77777777" w:rsidR="00007BC9" w:rsidRPr="00956E52" w:rsidRDefault="00007BC9" w:rsidP="003F3483">
            <w:pPr>
              <w:jc w:val="both"/>
              <w:rPr>
                <w:rFonts w:cstheme="minorHAnsi"/>
                <w:b/>
                <w:lang w:val="en-US"/>
              </w:rPr>
            </w:pPr>
            <w:r w:rsidRPr="00956E52">
              <w:rPr>
                <w:rFonts w:cstheme="minorHAnsi"/>
                <w:b/>
                <w:lang w:val="en-US"/>
              </w:rPr>
              <w:t>Responsible Directorate:</w:t>
            </w:r>
          </w:p>
        </w:tc>
        <w:tc>
          <w:tcPr>
            <w:tcW w:w="5966" w:type="dxa"/>
            <w:tcBorders>
              <w:top w:val="single" w:sz="4" w:space="0" w:color="auto"/>
              <w:left w:val="single" w:sz="4" w:space="0" w:color="auto"/>
              <w:bottom w:val="single" w:sz="4" w:space="0" w:color="auto"/>
              <w:right w:val="single" w:sz="4" w:space="0" w:color="auto"/>
            </w:tcBorders>
          </w:tcPr>
          <w:p w14:paraId="5602A9B3" w14:textId="77777777" w:rsidR="00007BC9" w:rsidRPr="00956E52" w:rsidRDefault="00007BC9" w:rsidP="003F3483">
            <w:pPr>
              <w:jc w:val="both"/>
              <w:rPr>
                <w:rFonts w:cstheme="minorHAnsi"/>
                <w:lang w:val="en-US"/>
              </w:rPr>
            </w:pPr>
            <w:r w:rsidRPr="00956E52">
              <w:rPr>
                <w:rFonts w:cstheme="minorHAnsi"/>
                <w:lang w:val="en-US"/>
              </w:rPr>
              <w:t>Office of the Chief Executive Officer</w:t>
            </w:r>
          </w:p>
        </w:tc>
      </w:tr>
      <w:tr w:rsidR="00007BC9" w:rsidRPr="00956E52" w14:paraId="26397CE7" w14:textId="77777777" w:rsidTr="003F3483">
        <w:tc>
          <w:tcPr>
            <w:tcW w:w="3050" w:type="dxa"/>
            <w:tcBorders>
              <w:top w:val="single" w:sz="4" w:space="0" w:color="auto"/>
            </w:tcBorders>
          </w:tcPr>
          <w:p w14:paraId="7188487E" w14:textId="77777777" w:rsidR="00007BC9" w:rsidRPr="00956E52" w:rsidRDefault="00007BC9" w:rsidP="003F3483">
            <w:pPr>
              <w:jc w:val="both"/>
              <w:rPr>
                <w:rFonts w:cstheme="minorHAnsi"/>
                <w:b/>
                <w:lang w:val="en-US"/>
              </w:rPr>
            </w:pPr>
            <w:r w:rsidRPr="00956E52">
              <w:rPr>
                <w:rFonts w:cstheme="minorHAnsi"/>
                <w:b/>
                <w:lang w:val="en-US"/>
              </w:rPr>
              <w:t>Reviewing Officer:</w:t>
            </w:r>
          </w:p>
        </w:tc>
        <w:tc>
          <w:tcPr>
            <w:tcW w:w="5966" w:type="dxa"/>
            <w:tcBorders>
              <w:top w:val="single" w:sz="4" w:space="0" w:color="auto"/>
            </w:tcBorders>
          </w:tcPr>
          <w:p w14:paraId="1451EE8E" w14:textId="77777777" w:rsidR="00007BC9" w:rsidRPr="00956E52" w:rsidRDefault="00007BC9" w:rsidP="003F3483">
            <w:pPr>
              <w:jc w:val="both"/>
              <w:rPr>
                <w:rFonts w:cstheme="minorHAnsi"/>
                <w:lang w:val="en-US"/>
              </w:rPr>
            </w:pPr>
            <w:r w:rsidRPr="00956E52">
              <w:rPr>
                <w:rFonts w:cstheme="minorHAnsi"/>
                <w:lang w:val="en-US"/>
              </w:rPr>
              <w:t>Chief Executive Officer</w:t>
            </w:r>
          </w:p>
        </w:tc>
      </w:tr>
      <w:tr w:rsidR="00007BC9" w:rsidRPr="00956E52" w14:paraId="6EEA70F2" w14:textId="77777777" w:rsidTr="003F3483">
        <w:tc>
          <w:tcPr>
            <w:tcW w:w="3050" w:type="dxa"/>
          </w:tcPr>
          <w:p w14:paraId="0679700E" w14:textId="77777777" w:rsidR="00007BC9" w:rsidRPr="00956E52" w:rsidRDefault="00007BC9" w:rsidP="003F3483">
            <w:pPr>
              <w:rPr>
                <w:rFonts w:cstheme="minorHAnsi"/>
                <w:b/>
                <w:lang w:val="en-US"/>
              </w:rPr>
            </w:pPr>
            <w:r w:rsidRPr="00956E52">
              <w:rPr>
                <w:rFonts w:cstheme="minorHAnsi"/>
                <w:b/>
                <w:lang w:val="en-US"/>
              </w:rPr>
              <w:t>Decision making Authority:</w:t>
            </w:r>
          </w:p>
        </w:tc>
        <w:tc>
          <w:tcPr>
            <w:tcW w:w="5966" w:type="dxa"/>
          </w:tcPr>
          <w:p w14:paraId="7BCC7D28" w14:textId="77777777" w:rsidR="00007BC9" w:rsidRPr="00956E52" w:rsidRDefault="00007BC9" w:rsidP="003F3483">
            <w:pPr>
              <w:jc w:val="both"/>
              <w:rPr>
                <w:rFonts w:cstheme="minorHAnsi"/>
                <w:lang w:val="en-US"/>
              </w:rPr>
            </w:pPr>
            <w:r w:rsidRPr="00956E52">
              <w:rPr>
                <w:rFonts w:cstheme="minorHAnsi"/>
                <w:lang w:val="en-US"/>
              </w:rPr>
              <w:t>Council</w:t>
            </w:r>
          </w:p>
        </w:tc>
      </w:tr>
    </w:tbl>
    <w:p w14:paraId="32FBF936" w14:textId="77777777" w:rsidR="00007BC9" w:rsidRDefault="00007BC9" w:rsidP="00007BC9">
      <w:pPr>
        <w:rPr>
          <w:rFonts w:cstheme="minorHAnsi"/>
        </w:rPr>
      </w:pPr>
    </w:p>
    <w:p w14:paraId="07946BDB" w14:textId="77777777" w:rsidR="00007BC9" w:rsidRPr="00F6175F" w:rsidRDefault="00007BC9" w:rsidP="00007BC9">
      <w:pPr>
        <w:spacing w:after="160" w:line="259" w:lineRule="auto"/>
        <w:rPr>
          <w:b/>
          <w:bCs/>
        </w:rPr>
      </w:pPr>
      <w:r w:rsidRPr="00F6175F">
        <w:rPr>
          <w:b/>
          <w:bCs/>
        </w:rPr>
        <w:t>Document Control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73"/>
        <w:gridCol w:w="1337"/>
        <w:gridCol w:w="1212"/>
        <w:gridCol w:w="1704"/>
        <w:gridCol w:w="1059"/>
      </w:tblGrid>
      <w:tr w:rsidR="00007BC9" w:rsidRPr="00F6175F" w14:paraId="112F24CC" w14:textId="77777777" w:rsidTr="003F3483">
        <w:trPr>
          <w:tblHeader/>
          <w:tblCellSpacing w:w="15" w:type="dxa"/>
        </w:trPr>
        <w:tc>
          <w:tcPr>
            <w:tcW w:w="0" w:type="auto"/>
            <w:vAlign w:val="center"/>
            <w:hideMark/>
          </w:tcPr>
          <w:p w14:paraId="63FA5EDD" w14:textId="77777777" w:rsidR="00007BC9" w:rsidRPr="00F6175F" w:rsidRDefault="00007BC9" w:rsidP="003F3483">
            <w:pPr>
              <w:spacing w:after="160" w:line="259" w:lineRule="auto"/>
              <w:rPr>
                <w:b/>
                <w:bCs/>
              </w:rPr>
            </w:pPr>
            <w:r w:rsidRPr="00F6175F">
              <w:rPr>
                <w:b/>
                <w:bCs/>
              </w:rPr>
              <w:t>Version</w:t>
            </w:r>
          </w:p>
        </w:tc>
        <w:tc>
          <w:tcPr>
            <w:tcW w:w="0" w:type="auto"/>
            <w:vAlign w:val="center"/>
            <w:hideMark/>
          </w:tcPr>
          <w:p w14:paraId="171627DE" w14:textId="77777777" w:rsidR="00007BC9" w:rsidRPr="00F6175F" w:rsidRDefault="00007BC9" w:rsidP="003F3483">
            <w:pPr>
              <w:spacing w:after="160" w:line="259" w:lineRule="auto"/>
              <w:rPr>
                <w:b/>
                <w:bCs/>
              </w:rPr>
            </w:pPr>
            <w:r w:rsidRPr="00F6175F">
              <w:rPr>
                <w:b/>
                <w:bCs/>
              </w:rPr>
              <w:t>Date Adopted</w:t>
            </w:r>
          </w:p>
        </w:tc>
        <w:tc>
          <w:tcPr>
            <w:tcW w:w="0" w:type="auto"/>
            <w:vAlign w:val="center"/>
            <w:hideMark/>
          </w:tcPr>
          <w:p w14:paraId="4804327C" w14:textId="77777777" w:rsidR="00007BC9" w:rsidRPr="00F6175F" w:rsidRDefault="00007BC9" w:rsidP="003F3483">
            <w:pPr>
              <w:spacing w:after="160" w:line="259" w:lineRule="auto"/>
              <w:rPr>
                <w:b/>
                <w:bCs/>
              </w:rPr>
            </w:pPr>
            <w:r w:rsidRPr="00F6175F">
              <w:rPr>
                <w:b/>
                <w:bCs/>
              </w:rPr>
              <w:t>Review Date</w:t>
            </w:r>
          </w:p>
        </w:tc>
        <w:tc>
          <w:tcPr>
            <w:tcW w:w="0" w:type="auto"/>
            <w:vAlign w:val="center"/>
            <w:hideMark/>
          </w:tcPr>
          <w:p w14:paraId="641199C8" w14:textId="77777777" w:rsidR="00007BC9" w:rsidRPr="00F6175F" w:rsidRDefault="00007BC9" w:rsidP="003F3483">
            <w:pPr>
              <w:spacing w:after="160" w:line="259" w:lineRule="auto"/>
              <w:rPr>
                <w:b/>
                <w:bCs/>
              </w:rPr>
            </w:pPr>
            <w:r w:rsidRPr="00F6175F">
              <w:rPr>
                <w:b/>
                <w:bCs/>
              </w:rPr>
              <w:t>Minute Reference</w:t>
            </w:r>
          </w:p>
        </w:tc>
        <w:tc>
          <w:tcPr>
            <w:tcW w:w="0" w:type="auto"/>
            <w:vAlign w:val="center"/>
            <w:hideMark/>
          </w:tcPr>
          <w:p w14:paraId="12458C96" w14:textId="77777777" w:rsidR="00007BC9" w:rsidRPr="00F6175F" w:rsidRDefault="00007BC9" w:rsidP="003F3483">
            <w:pPr>
              <w:spacing w:after="160" w:line="259" w:lineRule="auto"/>
              <w:rPr>
                <w:b/>
                <w:bCs/>
              </w:rPr>
            </w:pPr>
            <w:r w:rsidRPr="00F6175F">
              <w:rPr>
                <w:b/>
                <w:bCs/>
              </w:rPr>
              <w:t>Notes</w:t>
            </w:r>
          </w:p>
        </w:tc>
      </w:tr>
      <w:tr w:rsidR="00007BC9" w:rsidRPr="00F6175F" w14:paraId="7E6138C2" w14:textId="77777777" w:rsidTr="003F3483">
        <w:trPr>
          <w:tblCellSpacing w:w="15" w:type="dxa"/>
        </w:trPr>
        <w:tc>
          <w:tcPr>
            <w:tcW w:w="0" w:type="auto"/>
            <w:vAlign w:val="center"/>
            <w:hideMark/>
          </w:tcPr>
          <w:p w14:paraId="58A35277" w14:textId="77777777" w:rsidR="00007BC9" w:rsidRPr="00F6175F" w:rsidRDefault="00007BC9" w:rsidP="003F3483">
            <w:pPr>
              <w:spacing w:after="160" w:line="259" w:lineRule="auto"/>
            </w:pPr>
            <w:r w:rsidRPr="00F6175F">
              <w:t>1.0</w:t>
            </w:r>
          </w:p>
        </w:tc>
        <w:tc>
          <w:tcPr>
            <w:tcW w:w="0" w:type="auto"/>
            <w:vAlign w:val="center"/>
            <w:hideMark/>
          </w:tcPr>
          <w:p w14:paraId="0C9F8D74" w14:textId="77777777" w:rsidR="00007BC9" w:rsidRPr="00F6175F" w:rsidRDefault="00007BC9" w:rsidP="003F3483">
            <w:pPr>
              <w:spacing w:after="160" w:line="259" w:lineRule="auto"/>
            </w:pPr>
            <w:r>
              <w:t>18/11/25</w:t>
            </w:r>
          </w:p>
        </w:tc>
        <w:tc>
          <w:tcPr>
            <w:tcW w:w="0" w:type="auto"/>
            <w:vAlign w:val="center"/>
            <w:hideMark/>
          </w:tcPr>
          <w:p w14:paraId="60025608" w14:textId="77777777" w:rsidR="00007BC9" w:rsidRPr="00F6175F" w:rsidRDefault="00007BC9" w:rsidP="003F3483">
            <w:pPr>
              <w:spacing w:after="160" w:line="259" w:lineRule="auto"/>
            </w:pPr>
            <w:r w:rsidRPr="00F6175F">
              <w:t>[insert]</w:t>
            </w:r>
          </w:p>
        </w:tc>
        <w:tc>
          <w:tcPr>
            <w:tcW w:w="0" w:type="auto"/>
            <w:vAlign w:val="center"/>
            <w:hideMark/>
          </w:tcPr>
          <w:p w14:paraId="54AB6844" w14:textId="77777777" w:rsidR="00007BC9" w:rsidRPr="00F6175F" w:rsidRDefault="00007BC9" w:rsidP="003F3483">
            <w:pPr>
              <w:spacing w:after="160" w:line="259" w:lineRule="auto"/>
            </w:pPr>
            <w:r>
              <w:t>111811</w:t>
            </w:r>
          </w:p>
        </w:tc>
        <w:tc>
          <w:tcPr>
            <w:tcW w:w="0" w:type="auto"/>
            <w:vAlign w:val="center"/>
            <w:hideMark/>
          </w:tcPr>
          <w:p w14:paraId="4ECBE01B" w14:textId="77777777" w:rsidR="00007BC9" w:rsidRPr="00F6175F" w:rsidRDefault="00007BC9" w:rsidP="003F3483">
            <w:pPr>
              <w:spacing w:after="160" w:line="259" w:lineRule="auto"/>
            </w:pPr>
            <w:r w:rsidRPr="00F6175F">
              <w:t>New policy</w:t>
            </w:r>
          </w:p>
        </w:tc>
      </w:tr>
    </w:tbl>
    <w:p w14:paraId="100A2038" w14:textId="4897D73A" w:rsidR="00210A41" w:rsidRDefault="00210A41">
      <w:pPr>
        <w:rPr>
          <w:rFonts w:cstheme="minorHAnsi"/>
          <w:lang w:val="en-US"/>
        </w:rPr>
      </w:pPr>
      <w:r>
        <w:rPr>
          <w:rFonts w:cstheme="minorHAnsi"/>
          <w:lang w:val="en-US"/>
        </w:rPr>
        <w:br w:type="page"/>
      </w:r>
    </w:p>
    <w:p w14:paraId="749EC4FF" w14:textId="6F82C24F" w:rsidR="002D6926" w:rsidRDefault="002D6926">
      <w:pPr>
        <w:rPr>
          <w:rFonts w:ascii="Arial" w:eastAsiaTheme="majorEastAsia" w:hAnsi="Arial" w:cs="Arial"/>
          <w:b/>
          <w:color w:val="17365D" w:themeColor="text2" w:themeShade="BF"/>
          <w:spacing w:val="5"/>
          <w:kern w:val="28"/>
          <w:sz w:val="14"/>
          <w:szCs w:val="28"/>
          <w:lang w:val="en-US"/>
        </w:rPr>
      </w:pPr>
    </w:p>
    <w:p w14:paraId="09A5568E" w14:textId="0FD83610" w:rsidR="001F159B" w:rsidRPr="00111418" w:rsidRDefault="00837116" w:rsidP="001F159B">
      <w:pPr>
        <w:pStyle w:val="Title"/>
        <w:pBdr>
          <w:bottom w:val="none" w:sz="0" w:space="0" w:color="auto"/>
        </w:pBdr>
        <w:spacing w:after="240"/>
        <w:jc w:val="right"/>
        <w:rPr>
          <w:rFonts w:ascii="Arial" w:hAnsi="Arial" w:cs="Arial"/>
          <w:b/>
          <w:sz w:val="14"/>
          <w:szCs w:val="28"/>
          <w:lang w:val="en-US"/>
        </w:rPr>
      </w:pPr>
      <w:r>
        <w:rPr>
          <w:noProof/>
          <w:lang w:eastAsia="en-AU"/>
        </w:rPr>
        <w:drawing>
          <wp:anchor distT="0" distB="0" distL="114300" distR="114300" simplePos="0" relativeHeight="251667456" behindDoc="1" locked="0" layoutInCell="1" allowOverlap="1" wp14:anchorId="283A9C07" wp14:editId="5D8ABC5F">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26F63F5C" w14:textId="77777777" w:rsidR="001F159B" w:rsidRPr="00111418" w:rsidRDefault="001F159B" w:rsidP="001F159B">
      <w:pPr>
        <w:pStyle w:val="Title"/>
        <w:pBdr>
          <w:bottom w:val="none" w:sz="0" w:space="0" w:color="auto"/>
        </w:pBdr>
        <w:spacing w:before="240" w:after="240"/>
        <w:rPr>
          <w:rFonts w:ascii="Arial" w:hAnsi="Arial" w:cs="Arial"/>
          <w:b/>
          <w:sz w:val="10"/>
          <w:szCs w:val="28"/>
          <w:lang w:val="en-US"/>
        </w:rPr>
      </w:pPr>
    </w:p>
    <w:p w14:paraId="728FACCF" w14:textId="77777777" w:rsidR="00837116" w:rsidRDefault="00837116" w:rsidP="00111418">
      <w:pPr>
        <w:pStyle w:val="Policy2"/>
        <w:spacing w:after="0"/>
      </w:pPr>
    </w:p>
    <w:p w14:paraId="5ABC2882" w14:textId="77777777" w:rsidR="00837116" w:rsidRDefault="00837116" w:rsidP="00111418">
      <w:pPr>
        <w:pStyle w:val="Policy2"/>
        <w:spacing w:after="0"/>
      </w:pPr>
    </w:p>
    <w:p w14:paraId="4FE9619F" w14:textId="0CE57B69" w:rsidR="00111418" w:rsidRDefault="00111418" w:rsidP="00111418">
      <w:pPr>
        <w:pStyle w:val="Policy2"/>
        <w:spacing w:after="0"/>
      </w:pPr>
      <w:bookmarkStart w:id="114" w:name="_Toc216866659"/>
      <w:r>
        <w:t>1.2</w:t>
      </w:r>
      <w:r>
        <w:tab/>
        <w:t>HUMAN RESOURCES</w:t>
      </w:r>
      <w:bookmarkEnd w:id="114"/>
    </w:p>
    <w:p w14:paraId="4752E940" w14:textId="5AC45D3C" w:rsidR="009A574A" w:rsidRDefault="009A574A" w:rsidP="009A574A">
      <w:pPr>
        <w:pStyle w:val="Policy3"/>
        <w:spacing w:before="120"/>
        <w:rPr>
          <w:strike/>
        </w:rPr>
      </w:pPr>
      <w:bookmarkStart w:id="115" w:name="_Toc14942619"/>
      <w:bookmarkStart w:id="116" w:name="_Toc216866660"/>
      <w:r w:rsidRPr="00A76C77">
        <w:rPr>
          <w:strike/>
        </w:rPr>
        <w:t>1.2.1</w:t>
      </w:r>
      <w:r w:rsidRPr="00A76C77">
        <w:rPr>
          <w:strike/>
        </w:rPr>
        <w:tab/>
        <w:t xml:space="preserve">Code of Conduct for Council Members, Committee Members and </w:t>
      </w:r>
      <w:bookmarkEnd w:id="115"/>
      <w:r w:rsidRPr="00A76C77">
        <w:rPr>
          <w:strike/>
        </w:rPr>
        <w:t>Employees</w:t>
      </w:r>
      <w:bookmarkEnd w:id="116"/>
    </w:p>
    <w:p w14:paraId="3A39A8A7" w14:textId="5107F10C" w:rsidR="00A76C77" w:rsidRDefault="00A76C77" w:rsidP="009A574A">
      <w:pPr>
        <w:pStyle w:val="Policy3"/>
        <w:spacing w:before="120"/>
        <w:rPr>
          <w:strike/>
        </w:rPr>
      </w:pPr>
    </w:p>
    <w:p w14:paraId="38B74628" w14:textId="3B207617" w:rsidR="00A76C77" w:rsidRPr="00A76C77" w:rsidRDefault="00A76C77" w:rsidP="00A76C77">
      <w:pPr>
        <w:pStyle w:val="Policy3"/>
        <w:spacing w:before="120"/>
        <w:ind w:left="0" w:firstLine="0"/>
        <w:jc w:val="both"/>
        <w:rPr>
          <w:b w:val="0"/>
          <w:bCs/>
          <w:sz w:val="22"/>
        </w:rPr>
      </w:pPr>
      <w:bookmarkStart w:id="117" w:name="_Toc216866661"/>
      <w:r>
        <w:rPr>
          <w:b w:val="0"/>
          <w:bCs/>
          <w:sz w:val="22"/>
        </w:rPr>
        <w:t xml:space="preserve">This Policy has been replaced with Policy 1.1.9 Code of Conduct for Council Members, Committee Members and Candidates.  </w:t>
      </w:r>
      <w:r w:rsidR="0025254F">
        <w:rPr>
          <w:b w:val="0"/>
          <w:bCs/>
          <w:sz w:val="22"/>
        </w:rPr>
        <w:t>A separate</w:t>
      </w:r>
      <w:r>
        <w:rPr>
          <w:b w:val="0"/>
          <w:bCs/>
          <w:sz w:val="22"/>
        </w:rPr>
        <w:t xml:space="preserve"> </w:t>
      </w:r>
      <w:r w:rsidR="0025254F">
        <w:rPr>
          <w:b w:val="0"/>
          <w:bCs/>
          <w:sz w:val="22"/>
        </w:rPr>
        <w:t xml:space="preserve">internal </w:t>
      </w:r>
      <w:r>
        <w:rPr>
          <w:b w:val="0"/>
          <w:bCs/>
          <w:sz w:val="22"/>
        </w:rPr>
        <w:t xml:space="preserve">Code of Conduct for Employees </w:t>
      </w:r>
      <w:r w:rsidR="0025254F">
        <w:rPr>
          <w:b w:val="0"/>
          <w:bCs/>
          <w:sz w:val="22"/>
        </w:rPr>
        <w:t xml:space="preserve">&amp; Contractors has </w:t>
      </w:r>
      <w:r>
        <w:rPr>
          <w:b w:val="0"/>
          <w:bCs/>
          <w:sz w:val="22"/>
        </w:rPr>
        <w:t xml:space="preserve">being </w:t>
      </w:r>
      <w:proofErr w:type="gramStart"/>
      <w:r>
        <w:rPr>
          <w:b w:val="0"/>
          <w:bCs/>
          <w:sz w:val="22"/>
        </w:rPr>
        <w:t>developed</w:t>
      </w:r>
      <w:r w:rsidR="0025254F">
        <w:rPr>
          <w:b w:val="0"/>
          <w:bCs/>
          <w:sz w:val="22"/>
        </w:rPr>
        <w:t xml:space="preserve"> </w:t>
      </w:r>
      <w:r>
        <w:rPr>
          <w:b w:val="0"/>
          <w:bCs/>
          <w:sz w:val="22"/>
        </w:rPr>
        <w:t>.</w:t>
      </w:r>
      <w:bookmarkEnd w:id="117"/>
      <w:proofErr w:type="gramEnd"/>
    </w:p>
    <w:p w14:paraId="34B1E5C4" w14:textId="04538D6F" w:rsidR="002475E2" w:rsidRDefault="002475E2" w:rsidP="009A574A">
      <w:pPr>
        <w:rPr>
          <w:rFonts w:cstheme="minorHAnsi"/>
        </w:rPr>
      </w:pPr>
      <w:r>
        <w:rPr>
          <w:rFonts w:cstheme="minorHAnsi"/>
        </w:rPr>
        <w:br w:type="page"/>
      </w:r>
    </w:p>
    <w:p w14:paraId="27C87103" w14:textId="62489BFB" w:rsidR="002475E2" w:rsidRDefault="003369A9" w:rsidP="002475E2">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78720" behindDoc="1" locked="0" layoutInCell="1" allowOverlap="1" wp14:anchorId="73F21435" wp14:editId="5AD1C3F4">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86318F9" w14:textId="77777777" w:rsidR="003369A9" w:rsidRDefault="003369A9" w:rsidP="00D24C10">
      <w:pPr>
        <w:pStyle w:val="Policy3"/>
      </w:pPr>
    </w:p>
    <w:p w14:paraId="792C8013" w14:textId="77777777" w:rsidR="003369A9" w:rsidRDefault="003369A9" w:rsidP="00D24C10">
      <w:pPr>
        <w:pStyle w:val="Policy3"/>
      </w:pPr>
    </w:p>
    <w:p w14:paraId="4FA44DA4" w14:textId="3CC1FDA5" w:rsidR="002475E2" w:rsidRPr="00862911" w:rsidRDefault="002475E2" w:rsidP="00D24C10">
      <w:pPr>
        <w:pStyle w:val="Policy3"/>
      </w:pPr>
      <w:bookmarkStart w:id="118" w:name="_Toc216866662"/>
      <w:r w:rsidRPr="00862911">
        <w:t>1.2.2</w:t>
      </w:r>
      <w:r w:rsidRPr="00862911">
        <w:tab/>
        <w:t>CEO L</w:t>
      </w:r>
      <w:r w:rsidR="00D24C10">
        <w:t>eave Approval</w:t>
      </w:r>
      <w:bookmarkEnd w:id="118"/>
    </w:p>
    <w:tbl>
      <w:tblPr>
        <w:tblStyle w:val="TableGrid"/>
        <w:tblW w:w="0" w:type="auto"/>
        <w:tblLook w:val="04A0" w:firstRow="1" w:lastRow="0" w:firstColumn="1" w:lastColumn="0" w:noHBand="0" w:noVBand="1"/>
      </w:tblPr>
      <w:tblGrid>
        <w:gridCol w:w="3023"/>
        <w:gridCol w:w="5993"/>
      </w:tblGrid>
      <w:tr w:rsidR="002475E2" w:rsidRPr="005038DC" w14:paraId="74EB8C11" w14:textId="77777777" w:rsidTr="002475E2">
        <w:tc>
          <w:tcPr>
            <w:tcW w:w="3023" w:type="dxa"/>
          </w:tcPr>
          <w:p w14:paraId="6D436657" w14:textId="77777777" w:rsidR="002475E2" w:rsidRPr="005038DC" w:rsidRDefault="002475E2" w:rsidP="00D56721">
            <w:pPr>
              <w:rPr>
                <w:rFonts w:cstheme="minorHAnsi"/>
                <w:b/>
                <w:lang w:val="en-US"/>
              </w:rPr>
            </w:pPr>
            <w:r w:rsidRPr="005038DC">
              <w:rPr>
                <w:rFonts w:cstheme="minorHAnsi"/>
                <w:b/>
                <w:lang w:val="en-US"/>
              </w:rPr>
              <w:t>Type:</w:t>
            </w:r>
          </w:p>
        </w:tc>
        <w:tc>
          <w:tcPr>
            <w:tcW w:w="5993" w:type="dxa"/>
          </w:tcPr>
          <w:p w14:paraId="4DBA08AC" w14:textId="77777777" w:rsidR="002475E2" w:rsidRPr="005038DC" w:rsidRDefault="002475E2" w:rsidP="00D56721">
            <w:pPr>
              <w:rPr>
                <w:rFonts w:cstheme="minorHAnsi"/>
                <w:lang w:val="en-US"/>
              </w:rPr>
            </w:pPr>
            <w:r>
              <w:rPr>
                <w:rFonts w:cstheme="minorHAnsi"/>
                <w:lang w:val="en-US"/>
              </w:rPr>
              <w:t>Office of the CEO – Human Resources</w:t>
            </w:r>
          </w:p>
        </w:tc>
      </w:tr>
      <w:tr w:rsidR="002475E2" w:rsidRPr="005038DC" w14:paraId="0698675D" w14:textId="77777777" w:rsidTr="002475E2">
        <w:tc>
          <w:tcPr>
            <w:tcW w:w="3023" w:type="dxa"/>
          </w:tcPr>
          <w:p w14:paraId="0B69635D" w14:textId="77777777" w:rsidR="002475E2" w:rsidRPr="005038DC" w:rsidRDefault="002475E2" w:rsidP="00D56721">
            <w:pPr>
              <w:rPr>
                <w:rFonts w:cstheme="minorHAnsi"/>
                <w:b/>
                <w:lang w:val="en-US"/>
              </w:rPr>
            </w:pPr>
            <w:r w:rsidRPr="005038DC">
              <w:rPr>
                <w:rFonts w:cstheme="minorHAnsi"/>
                <w:b/>
                <w:lang w:val="en-US"/>
              </w:rPr>
              <w:t>Legislation:</w:t>
            </w:r>
          </w:p>
        </w:tc>
        <w:tc>
          <w:tcPr>
            <w:tcW w:w="5993" w:type="dxa"/>
          </w:tcPr>
          <w:p w14:paraId="65158B93" w14:textId="77777777" w:rsidR="002475E2" w:rsidRPr="005038DC" w:rsidRDefault="002475E2" w:rsidP="00D56721">
            <w:pPr>
              <w:rPr>
                <w:rFonts w:cstheme="minorHAnsi"/>
                <w:lang w:val="en-US"/>
              </w:rPr>
            </w:pPr>
            <w:r w:rsidRPr="005038DC">
              <w:rPr>
                <w:rFonts w:cstheme="minorHAnsi"/>
                <w:lang w:val="en-US"/>
              </w:rPr>
              <w:t xml:space="preserve">Local Government Act 1995 </w:t>
            </w:r>
          </w:p>
        </w:tc>
      </w:tr>
      <w:tr w:rsidR="002475E2" w:rsidRPr="005038DC" w14:paraId="76C35012" w14:textId="77777777" w:rsidTr="002475E2">
        <w:tc>
          <w:tcPr>
            <w:tcW w:w="3023" w:type="dxa"/>
          </w:tcPr>
          <w:p w14:paraId="1FC20FE9" w14:textId="77777777" w:rsidR="002475E2" w:rsidRPr="005038DC" w:rsidRDefault="002475E2" w:rsidP="00D56721">
            <w:pPr>
              <w:rPr>
                <w:rFonts w:cstheme="minorHAnsi"/>
                <w:b/>
                <w:lang w:val="en-US"/>
              </w:rPr>
            </w:pPr>
            <w:r w:rsidRPr="005038DC">
              <w:rPr>
                <w:rFonts w:cstheme="minorHAnsi"/>
                <w:b/>
                <w:lang w:val="en-US"/>
              </w:rPr>
              <w:t>Delegation:</w:t>
            </w:r>
          </w:p>
        </w:tc>
        <w:tc>
          <w:tcPr>
            <w:tcW w:w="5993" w:type="dxa"/>
          </w:tcPr>
          <w:p w14:paraId="72E92F2A" w14:textId="77777777" w:rsidR="002475E2" w:rsidRPr="005038DC" w:rsidRDefault="002475E2" w:rsidP="00D56721">
            <w:pPr>
              <w:rPr>
                <w:rFonts w:cstheme="minorHAnsi"/>
                <w:lang w:val="en-US"/>
              </w:rPr>
            </w:pPr>
            <w:r w:rsidRPr="005038DC">
              <w:rPr>
                <w:rFonts w:cstheme="minorHAnsi"/>
                <w:lang w:val="en-US"/>
              </w:rPr>
              <w:t>DA1</w:t>
            </w:r>
            <w:r>
              <w:rPr>
                <w:rFonts w:cstheme="minorHAnsi"/>
                <w:lang w:val="en-US"/>
              </w:rPr>
              <w:t xml:space="preserve"> Acting Chief Executive Officer</w:t>
            </w:r>
          </w:p>
        </w:tc>
      </w:tr>
      <w:tr w:rsidR="002475E2" w:rsidRPr="005038DC" w14:paraId="221966BD" w14:textId="77777777" w:rsidTr="002475E2">
        <w:tc>
          <w:tcPr>
            <w:tcW w:w="3023" w:type="dxa"/>
          </w:tcPr>
          <w:p w14:paraId="3DE3BF72" w14:textId="77777777" w:rsidR="002475E2" w:rsidRPr="005038DC" w:rsidRDefault="002475E2" w:rsidP="00D56721">
            <w:pPr>
              <w:rPr>
                <w:rFonts w:cstheme="minorHAnsi"/>
                <w:b/>
                <w:lang w:val="en-US"/>
              </w:rPr>
            </w:pPr>
            <w:r w:rsidRPr="005038DC">
              <w:rPr>
                <w:rFonts w:cstheme="minorHAnsi"/>
                <w:b/>
                <w:lang w:val="en-US"/>
              </w:rPr>
              <w:t>Other Related Document:</w:t>
            </w:r>
          </w:p>
        </w:tc>
        <w:tc>
          <w:tcPr>
            <w:tcW w:w="5993" w:type="dxa"/>
          </w:tcPr>
          <w:p w14:paraId="65344A75" w14:textId="77777777" w:rsidR="002475E2" w:rsidRPr="005038DC" w:rsidRDefault="002475E2" w:rsidP="00D56721">
            <w:pPr>
              <w:rPr>
                <w:rFonts w:cstheme="minorHAnsi"/>
                <w:lang w:val="en-US"/>
              </w:rPr>
            </w:pPr>
            <w:r w:rsidRPr="005038DC">
              <w:rPr>
                <w:rFonts w:cstheme="minorHAnsi"/>
                <w:lang w:val="en-US"/>
              </w:rPr>
              <w:t>Employment Contract</w:t>
            </w:r>
          </w:p>
        </w:tc>
      </w:tr>
    </w:tbl>
    <w:p w14:paraId="43871A48" w14:textId="77777777" w:rsidR="002475E2" w:rsidRPr="00862911" w:rsidRDefault="002475E2" w:rsidP="00D577CE">
      <w:pPr>
        <w:spacing w:before="240" w:after="0"/>
        <w:rPr>
          <w:b/>
          <w:sz w:val="28"/>
          <w:szCs w:val="28"/>
          <w:lang w:val="en-US"/>
        </w:rPr>
      </w:pPr>
      <w:r w:rsidRPr="00862911">
        <w:rPr>
          <w:b/>
          <w:sz w:val="28"/>
          <w:szCs w:val="28"/>
          <w:lang w:val="en-US"/>
        </w:rPr>
        <w:t>Objective</w:t>
      </w:r>
    </w:p>
    <w:p w14:paraId="310809C8" w14:textId="77777777" w:rsidR="002475E2" w:rsidRPr="005038DC" w:rsidRDefault="002475E2" w:rsidP="002475E2">
      <w:pPr>
        <w:rPr>
          <w:rFonts w:cstheme="minorHAnsi"/>
          <w:lang w:val="en-US"/>
        </w:rPr>
      </w:pPr>
      <w:r w:rsidRPr="005038DC">
        <w:rPr>
          <w:rFonts w:cstheme="minorHAnsi"/>
          <w:lang w:val="en-US"/>
        </w:rPr>
        <w:t>This policy is intended to provide guidance to the Chief Executive Officer about the taking of leave and the recording leave transactions.</w:t>
      </w:r>
    </w:p>
    <w:p w14:paraId="1C6C1E64" w14:textId="77777777" w:rsidR="002475E2" w:rsidRPr="00862911" w:rsidRDefault="002475E2" w:rsidP="00D577CE">
      <w:pPr>
        <w:spacing w:before="200" w:after="0"/>
        <w:rPr>
          <w:b/>
          <w:sz w:val="28"/>
          <w:szCs w:val="28"/>
          <w:lang w:val="en-US"/>
        </w:rPr>
      </w:pPr>
      <w:r w:rsidRPr="00862911">
        <w:rPr>
          <w:b/>
          <w:sz w:val="28"/>
          <w:szCs w:val="28"/>
          <w:lang w:val="en-US"/>
        </w:rPr>
        <w:t>Policy Scope</w:t>
      </w:r>
    </w:p>
    <w:p w14:paraId="7AD6A8E8" w14:textId="77777777" w:rsidR="002475E2" w:rsidRPr="005038DC" w:rsidRDefault="002475E2" w:rsidP="002475E2">
      <w:pPr>
        <w:rPr>
          <w:rFonts w:cstheme="minorHAnsi"/>
          <w:lang w:val="en-US"/>
        </w:rPr>
      </w:pPr>
      <w:r w:rsidRPr="005038DC">
        <w:rPr>
          <w:rFonts w:cstheme="minorHAnsi"/>
          <w:lang w:val="en-US"/>
        </w:rPr>
        <w:t>This policy will affect the Chief Executive Officer.</w:t>
      </w:r>
    </w:p>
    <w:p w14:paraId="181AD088" w14:textId="77777777" w:rsidR="002475E2" w:rsidRPr="00862911" w:rsidRDefault="002475E2" w:rsidP="00E80A20">
      <w:pPr>
        <w:spacing w:before="200" w:after="0"/>
        <w:rPr>
          <w:b/>
          <w:sz w:val="28"/>
          <w:szCs w:val="28"/>
          <w:lang w:val="en-US"/>
        </w:rPr>
      </w:pPr>
      <w:r w:rsidRPr="00862911">
        <w:rPr>
          <w:b/>
          <w:sz w:val="28"/>
          <w:szCs w:val="28"/>
          <w:lang w:val="en-US"/>
        </w:rPr>
        <w:t xml:space="preserve">Policy </w:t>
      </w:r>
    </w:p>
    <w:p w14:paraId="57BEBBCF" w14:textId="77777777" w:rsidR="002475E2" w:rsidRPr="00862911" w:rsidRDefault="002475E2" w:rsidP="00E80A20">
      <w:pPr>
        <w:spacing w:before="60" w:after="0"/>
        <w:rPr>
          <w:b/>
          <w:lang w:val="en-US"/>
        </w:rPr>
      </w:pPr>
      <w:r w:rsidRPr="00862911">
        <w:rPr>
          <w:b/>
          <w:lang w:val="en-US"/>
        </w:rPr>
        <w:t>Leave Applications</w:t>
      </w:r>
    </w:p>
    <w:p w14:paraId="4B37DC33" w14:textId="77777777" w:rsidR="002475E2" w:rsidRPr="005038DC" w:rsidRDefault="002475E2" w:rsidP="002475E2">
      <w:pPr>
        <w:jc w:val="both"/>
        <w:rPr>
          <w:rFonts w:cstheme="minorHAnsi"/>
          <w:lang w:val="en-US"/>
        </w:rPr>
      </w:pPr>
      <w:r w:rsidRPr="005038DC">
        <w:rPr>
          <w:rFonts w:cstheme="minorHAnsi"/>
          <w:lang w:val="en-US"/>
        </w:rPr>
        <w:t xml:space="preserve">The Chief Executive Officer shall liaise </w:t>
      </w:r>
      <w:proofErr w:type="gramStart"/>
      <w:r w:rsidRPr="005038DC">
        <w:rPr>
          <w:rFonts w:cstheme="minorHAnsi"/>
          <w:lang w:val="en-US"/>
        </w:rPr>
        <w:t>with, and</w:t>
      </w:r>
      <w:proofErr w:type="gramEnd"/>
      <w:r w:rsidRPr="005038DC">
        <w:rPr>
          <w:rFonts w:cstheme="minorHAnsi"/>
          <w:lang w:val="en-US"/>
        </w:rPr>
        <w:t xml:space="preserve"> obtain the approval of the Mayor prior to the taking of any form of leave accrued in accordance with the Chief Executive Officer’s contract of employment.</w:t>
      </w:r>
    </w:p>
    <w:p w14:paraId="39076EDD" w14:textId="77777777" w:rsidR="002475E2" w:rsidRPr="005038DC" w:rsidRDefault="002475E2" w:rsidP="002475E2">
      <w:pPr>
        <w:jc w:val="both"/>
        <w:rPr>
          <w:rFonts w:cstheme="minorHAnsi"/>
          <w:lang w:val="en-US"/>
        </w:rPr>
      </w:pPr>
      <w:r w:rsidRPr="005038DC">
        <w:rPr>
          <w:rFonts w:cstheme="minorHAnsi"/>
          <w:lang w:val="en-US"/>
        </w:rPr>
        <w:t xml:space="preserve">The Chief Executive Officer shall provide an appropriate leave form for the </w:t>
      </w:r>
      <w:proofErr w:type="gramStart"/>
      <w:r w:rsidRPr="005038DC">
        <w:rPr>
          <w:rFonts w:cstheme="minorHAnsi"/>
          <w:lang w:val="en-US"/>
        </w:rPr>
        <w:t>Mayor’s</w:t>
      </w:r>
      <w:proofErr w:type="gramEnd"/>
      <w:r w:rsidRPr="005038DC">
        <w:rPr>
          <w:rFonts w:cstheme="minorHAnsi"/>
          <w:lang w:val="en-US"/>
        </w:rPr>
        <w:t xml:space="preserve"> signature to substantiate the leave transactions recorded on the payroll system.</w:t>
      </w:r>
    </w:p>
    <w:p w14:paraId="6D34E20F" w14:textId="77777777" w:rsidR="002475E2" w:rsidRPr="005038DC" w:rsidRDefault="002475E2" w:rsidP="002475E2">
      <w:pPr>
        <w:jc w:val="both"/>
        <w:rPr>
          <w:rFonts w:cstheme="minorHAnsi"/>
          <w:lang w:val="en-US"/>
        </w:rPr>
      </w:pPr>
      <w:proofErr w:type="spellStart"/>
      <w:r w:rsidRPr="005038DC">
        <w:rPr>
          <w:rFonts w:cstheme="minorHAnsi"/>
          <w:lang w:val="en-US"/>
        </w:rPr>
        <w:t>Councillors</w:t>
      </w:r>
      <w:proofErr w:type="spellEnd"/>
      <w:r w:rsidRPr="005038DC">
        <w:rPr>
          <w:rFonts w:cstheme="minorHAnsi"/>
          <w:lang w:val="en-US"/>
        </w:rPr>
        <w:t xml:space="preserve"> will be advised when leave has been approved and the arrangements for an Acting Chief Executive Officer.</w:t>
      </w:r>
    </w:p>
    <w:p w14:paraId="20D1481F" w14:textId="77777777" w:rsidR="002475E2" w:rsidRPr="00862911" w:rsidRDefault="002475E2" w:rsidP="00E80A20">
      <w:pPr>
        <w:spacing w:after="0"/>
        <w:rPr>
          <w:b/>
          <w:lang w:val="en-US"/>
        </w:rPr>
      </w:pPr>
      <w:r w:rsidRPr="00862911">
        <w:rPr>
          <w:b/>
          <w:lang w:val="en-US"/>
        </w:rPr>
        <w:t>Leave Accruals</w:t>
      </w:r>
    </w:p>
    <w:p w14:paraId="17C88BAE" w14:textId="77777777" w:rsidR="002475E2" w:rsidRPr="005038DC" w:rsidRDefault="002475E2" w:rsidP="002475E2">
      <w:pPr>
        <w:jc w:val="both"/>
        <w:rPr>
          <w:rFonts w:cstheme="minorHAnsi"/>
          <w:lang w:val="en-US"/>
        </w:rPr>
      </w:pPr>
      <w:r w:rsidRPr="005038DC">
        <w:rPr>
          <w:rFonts w:cstheme="minorHAnsi"/>
          <w:lang w:val="en-US"/>
        </w:rPr>
        <w:t>Leave shall be taken regularly to promote wellbeing and to avoid leave balances accruing to excessive levels.</w:t>
      </w:r>
    </w:p>
    <w:p w14:paraId="03A35174" w14:textId="77777777" w:rsidR="002475E2" w:rsidRPr="005038DC" w:rsidRDefault="002475E2" w:rsidP="000A5B09">
      <w:pPr>
        <w:jc w:val="both"/>
        <w:rPr>
          <w:rFonts w:cstheme="minorHAnsi"/>
          <w:lang w:val="en-US"/>
        </w:rPr>
      </w:pPr>
      <w:r w:rsidRPr="005038DC">
        <w:rPr>
          <w:rFonts w:cstheme="minorHAnsi"/>
          <w:lang w:val="en-US"/>
        </w:rPr>
        <w:t>The Chief Executive Officer shall not accrue, with</w:t>
      </w:r>
      <w:r w:rsidR="000A5B09">
        <w:rPr>
          <w:rFonts w:cstheme="minorHAnsi"/>
          <w:lang w:val="en-US"/>
        </w:rPr>
        <w:t>out Council approval, more than 10 weeks annual leave.</w:t>
      </w:r>
    </w:p>
    <w:p w14:paraId="2B788E4F" w14:textId="77777777" w:rsidR="002475E2" w:rsidRPr="005038DC" w:rsidRDefault="002475E2" w:rsidP="002475E2">
      <w:pPr>
        <w:jc w:val="both"/>
        <w:rPr>
          <w:rFonts w:cstheme="minorHAnsi"/>
          <w:lang w:val="en-US"/>
        </w:rPr>
      </w:pPr>
      <w:r w:rsidRPr="005038DC">
        <w:rPr>
          <w:rFonts w:cstheme="minorHAnsi"/>
          <w:lang w:val="en-US"/>
        </w:rPr>
        <w:t>Long service leave must be taken within three years of the leave becoming due unless Council approves otherwise.</w:t>
      </w:r>
    </w:p>
    <w:p w14:paraId="4AF824E5" w14:textId="77777777" w:rsidR="002475E2" w:rsidRPr="005038DC" w:rsidRDefault="002475E2" w:rsidP="002475E2">
      <w:pPr>
        <w:jc w:val="both"/>
        <w:rPr>
          <w:rFonts w:cstheme="minorHAnsi"/>
          <w:lang w:val="en-US"/>
        </w:rPr>
      </w:pPr>
      <w:r w:rsidRPr="005038DC">
        <w:rPr>
          <w:rFonts w:cstheme="minorHAnsi"/>
          <w:lang w:val="en-US"/>
        </w:rPr>
        <w:t>Council will be advised of the leave balances annually after the anniversary of the contract of employment in conjunction with the CEO’s annual performance review.</w:t>
      </w:r>
    </w:p>
    <w:tbl>
      <w:tblPr>
        <w:tblStyle w:val="TableGrid"/>
        <w:tblW w:w="0" w:type="auto"/>
        <w:tblLook w:val="04A0" w:firstRow="1" w:lastRow="0" w:firstColumn="1" w:lastColumn="0" w:noHBand="0" w:noVBand="1"/>
      </w:tblPr>
      <w:tblGrid>
        <w:gridCol w:w="3050"/>
        <w:gridCol w:w="5966"/>
      </w:tblGrid>
      <w:tr w:rsidR="002475E2" w:rsidRPr="005038DC" w14:paraId="1707C142" w14:textId="77777777" w:rsidTr="002475E2">
        <w:tc>
          <w:tcPr>
            <w:tcW w:w="3050" w:type="dxa"/>
          </w:tcPr>
          <w:p w14:paraId="2CAC47E0" w14:textId="77777777" w:rsidR="002475E2" w:rsidRPr="005038DC" w:rsidRDefault="002475E2" w:rsidP="00D56721">
            <w:pPr>
              <w:jc w:val="both"/>
              <w:rPr>
                <w:rFonts w:cstheme="minorHAnsi"/>
                <w:b/>
                <w:lang w:val="en-US"/>
              </w:rPr>
            </w:pPr>
            <w:r w:rsidRPr="005038DC">
              <w:rPr>
                <w:rFonts w:cstheme="minorHAnsi"/>
                <w:b/>
                <w:lang w:val="en-US"/>
              </w:rPr>
              <w:t>Responsible Directorate:</w:t>
            </w:r>
          </w:p>
        </w:tc>
        <w:tc>
          <w:tcPr>
            <w:tcW w:w="5966" w:type="dxa"/>
          </w:tcPr>
          <w:p w14:paraId="684E1851" w14:textId="77777777" w:rsidR="002475E2" w:rsidRPr="005038DC" w:rsidRDefault="002475E2" w:rsidP="00D56721">
            <w:pPr>
              <w:jc w:val="both"/>
              <w:rPr>
                <w:rFonts w:cstheme="minorHAnsi"/>
                <w:lang w:val="en-US"/>
              </w:rPr>
            </w:pPr>
            <w:r w:rsidRPr="005038DC">
              <w:rPr>
                <w:rFonts w:cstheme="minorHAnsi"/>
                <w:lang w:val="en-US"/>
              </w:rPr>
              <w:t>Office of the Chief Executive Officer</w:t>
            </w:r>
          </w:p>
        </w:tc>
      </w:tr>
      <w:tr w:rsidR="002475E2" w:rsidRPr="005038DC" w14:paraId="75AF065E" w14:textId="77777777" w:rsidTr="002475E2">
        <w:tc>
          <w:tcPr>
            <w:tcW w:w="3050" w:type="dxa"/>
          </w:tcPr>
          <w:p w14:paraId="1F8DAEAF" w14:textId="77777777" w:rsidR="002475E2" w:rsidRPr="005038DC" w:rsidRDefault="002475E2" w:rsidP="00D56721">
            <w:pPr>
              <w:jc w:val="both"/>
              <w:rPr>
                <w:rFonts w:cstheme="minorHAnsi"/>
                <w:b/>
                <w:lang w:val="en-US"/>
              </w:rPr>
            </w:pPr>
            <w:r w:rsidRPr="005038DC">
              <w:rPr>
                <w:rFonts w:cstheme="minorHAnsi"/>
                <w:b/>
                <w:lang w:val="en-US"/>
              </w:rPr>
              <w:t>Reviewing Officer:</w:t>
            </w:r>
          </w:p>
        </w:tc>
        <w:tc>
          <w:tcPr>
            <w:tcW w:w="5966" w:type="dxa"/>
          </w:tcPr>
          <w:p w14:paraId="197341C6" w14:textId="77777777" w:rsidR="002475E2" w:rsidRPr="005038DC" w:rsidRDefault="002475E2" w:rsidP="00D56721">
            <w:pPr>
              <w:jc w:val="both"/>
              <w:rPr>
                <w:rFonts w:cstheme="minorHAnsi"/>
                <w:lang w:val="en-US"/>
              </w:rPr>
            </w:pPr>
            <w:r w:rsidRPr="005038DC">
              <w:rPr>
                <w:rFonts w:cstheme="minorHAnsi"/>
                <w:lang w:val="en-US"/>
              </w:rPr>
              <w:t>Chief Executive Officer</w:t>
            </w:r>
          </w:p>
        </w:tc>
      </w:tr>
      <w:tr w:rsidR="002475E2" w:rsidRPr="005038DC" w14:paraId="7829F478" w14:textId="77777777" w:rsidTr="002475E2">
        <w:tc>
          <w:tcPr>
            <w:tcW w:w="3050" w:type="dxa"/>
          </w:tcPr>
          <w:p w14:paraId="56944240" w14:textId="77777777" w:rsidR="002475E2" w:rsidRPr="005038DC" w:rsidRDefault="002475E2" w:rsidP="00D56721">
            <w:pPr>
              <w:jc w:val="both"/>
              <w:rPr>
                <w:rFonts w:cstheme="minorHAnsi"/>
                <w:b/>
                <w:lang w:val="en-US"/>
              </w:rPr>
            </w:pPr>
            <w:r w:rsidRPr="005038DC">
              <w:rPr>
                <w:rFonts w:cstheme="minorHAnsi"/>
                <w:b/>
                <w:lang w:val="en-US"/>
              </w:rPr>
              <w:t>Decision making Authority:</w:t>
            </w:r>
          </w:p>
        </w:tc>
        <w:tc>
          <w:tcPr>
            <w:tcW w:w="5966" w:type="dxa"/>
          </w:tcPr>
          <w:p w14:paraId="10BE8611" w14:textId="77777777" w:rsidR="002475E2" w:rsidRPr="005038DC" w:rsidRDefault="002475E2" w:rsidP="00D56721">
            <w:pPr>
              <w:jc w:val="both"/>
              <w:rPr>
                <w:rFonts w:cstheme="minorHAnsi"/>
                <w:lang w:val="en-US"/>
              </w:rPr>
            </w:pPr>
            <w:r w:rsidRPr="005038DC">
              <w:rPr>
                <w:rFonts w:cstheme="minorHAnsi"/>
                <w:lang w:val="en-US"/>
              </w:rPr>
              <w:t>Council</w:t>
            </w:r>
          </w:p>
        </w:tc>
      </w:tr>
      <w:tr w:rsidR="002475E2" w:rsidRPr="005038DC" w14:paraId="5171BA42" w14:textId="77777777" w:rsidTr="002475E2">
        <w:tc>
          <w:tcPr>
            <w:tcW w:w="3050" w:type="dxa"/>
          </w:tcPr>
          <w:p w14:paraId="7C948591" w14:textId="77777777" w:rsidR="002475E2" w:rsidRPr="005038DC" w:rsidRDefault="002475E2" w:rsidP="00D56721">
            <w:pPr>
              <w:jc w:val="both"/>
              <w:rPr>
                <w:rFonts w:cstheme="minorHAnsi"/>
                <w:b/>
                <w:lang w:val="en-US"/>
              </w:rPr>
            </w:pPr>
            <w:r w:rsidRPr="005038DC">
              <w:rPr>
                <w:rFonts w:cstheme="minorHAnsi"/>
                <w:b/>
                <w:lang w:val="en-US"/>
              </w:rPr>
              <w:lastRenderedPageBreak/>
              <w:t>Policy Adopted:</w:t>
            </w:r>
          </w:p>
        </w:tc>
        <w:tc>
          <w:tcPr>
            <w:tcW w:w="5966" w:type="dxa"/>
          </w:tcPr>
          <w:p w14:paraId="68D5141E" w14:textId="77777777" w:rsidR="002475E2" w:rsidRPr="005038DC" w:rsidRDefault="002475E2" w:rsidP="00D56721">
            <w:pPr>
              <w:jc w:val="both"/>
              <w:rPr>
                <w:rFonts w:cstheme="minorHAnsi"/>
                <w:lang w:val="en-US"/>
              </w:rPr>
            </w:pPr>
            <w:r w:rsidRPr="005038DC">
              <w:rPr>
                <w:rFonts w:cstheme="minorHAnsi"/>
                <w:lang w:val="en-US"/>
              </w:rPr>
              <w:t>18/08/15</w:t>
            </w:r>
          </w:p>
        </w:tc>
      </w:tr>
      <w:tr w:rsidR="002475E2" w:rsidRPr="005038DC" w14:paraId="4F13632E" w14:textId="77777777" w:rsidTr="002475E2">
        <w:tc>
          <w:tcPr>
            <w:tcW w:w="3050" w:type="dxa"/>
          </w:tcPr>
          <w:p w14:paraId="13035D61" w14:textId="77777777" w:rsidR="002475E2" w:rsidRPr="005038DC" w:rsidRDefault="002475E2" w:rsidP="00D56721">
            <w:pPr>
              <w:jc w:val="both"/>
              <w:rPr>
                <w:rFonts w:cstheme="minorHAnsi"/>
                <w:b/>
                <w:lang w:val="en-US"/>
              </w:rPr>
            </w:pPr>
            <w:r>
              <w:rPr>
                <w:rFonts w:cstheme="minorHAnsi"/>
                <w:b/>
                <w:lang w:val="en-US"/>
              </w:rPr>
              <w:t>Policy Amended/Reviewed:</w:t>
            </w:r>
          </w:p>
        </w:tc>
        <w:tc>
          <w:tcPr>
            <w:tcW w:w="5966" w:type="dxa"/>
          </w:tcPr>
          <w:p w14:paraId="03221F32" w14:textId="77777777" w:rsidR="002475E2" w:rsidRPr="005038DC" w:rsidRDefault="000A5B09" w:rsidP="00D56721">
            <w:pPr>
              <w:jc w:val="both"/>
              <w:rPr>
                <w:rFonts w:cstheme="minorHAnsi"/>
                <w:lang w:val="en-US"/>
              </w:rPr>
            </w:pPr>
            <w:r>
              <w:rPr>
                <w:rFonts w:cstheme="minorHAnsi"/>
                <w:lang w:val="en-US"/>
              </w:rPr>
              <w:t>17/09/19</w:t>
            </w:r>
          </w:p>
        </w:tc>
      </w:tr>
      <w:tr w:rsidR="002475E2" w:rsidRPr="005038DC" w14:paraId="6AD81BDA" w14:textId="77777777" w:rsidTr="002475E2">
        <w:tc>
          <w:tcPr>
            <w:tcW w:w="3050" w:type="dxa"/>
          </w:tcPr>
          <w:p w14:paraId="35D0C763" w14:textId="77777777" w:rsidR="002475E2" w:rsidRPr="005038DC" w:rsidRDefault="002475E2" w:rsidP="00D56721">
            <w:pPr>
              <w:jc w:val="both"/>
              <w:rPr>
                <w:rFonts w:cstheme="minorHAnsi"/>
                <w:b/>
                <w:lang w:val="en-US"/>
              </w:rPr>
            </w:pPr>
            <w:r>
              <w:rPr>
                <w:rFonts w:cstheme="minorHAnsi"/>
                <w:b/>
                <w:lang w:val="en-US"/>
              </w:rPr>
              <w:t>Former Policy No:</w:t>
            </w:r>
          </w:p>
        </w:tc>
        <w:tc>
          <w:tcPr>
            <w:tcW w:w="5966" w:type="dxa"/>
          </w:tcPr>
          <w:p w14:paraId="257DEC1F" w14:textId="77777777" w:rsidR="002475E2" w:rsidRPr="005038DC" w:rsidRDefault="002475E2" w:rsidP="00D56721">
            <w:pPr>
              <w:jc w:val="both"/>
              <w:rPr>
                <w:rFonts w:cstheme="minorHAnsi"/>
                <w:lang w:val="en-US"/>
              </w:rPr>
            </w:pPr>
            <w:r>
              <w:rPr>
                <w:rFonts w:cstheme="minorHAnsi"/>
                <w:lang w:val="en-US"/>
              </w:rPr>
              <w:t>4.1.1</w:t>
            </w:r>
          </w:p>
        </w:tc>
      </w:tr>
    </w:tbl>
    <w:p w14:paraId="7FB17C0B" w14:textId="33742F3F" w:rsidR="00446784" w:rsidRDefault="00446784" w:rsidP="002475E2">
      <w:pPr>
        <w:jc w:val="both"/>
        <w:rPr>
          <w:rFonts w:cstheme="minorHAnsi"/>
          <w:lang w:val="en-US"/>
        </w:rPr>
      </w:pPr>
    </w:p>
    <w:p w14:paraId="0B455530" w14:textId="77777777" w:rsidR="00446784" w:rsidRDefault="00446784">
      <w:pPr>
        <w:rPr>
          <w:rFonts w:cstheme="minorHAnsi"/>
          <w:lang w:val="en-US"/>
        </w:rPr>
      </w:pPr>
      <w:r>
        <w:rPr>
          <w:rFonts w:cstheme="minorHAnsi"/>
          <w:lang w:val="en-US"/>
        </w:rPr>
        <w:br w:type="page"/>
      </w:r>
    </w:p>
    <w:p w14:paraId="56F0A9F5" w14:textId="0F486D50" w:rsidR="00CE251E" w:rsidRPr="00D24C10" w:rsidRDefault="003369A9" w:rsidP="00CE251E">
      <w:pPr>
        <w:spacing w:after="240" w:line="240" w:lineRule="auto"/>
        <w:contextualSpacing/>
        <w:jc w:val="right"/>
        <w:rPr>
          <w:rFonts w:ascii="Arial" w:eastAsiaTheme="majorEastAsia" w:hAnsi="Arial" w:cs="Arial"/>
          <w:b/>
          <w:color w:val="17365D" w:themeColor="text2" w:themeShade="BF"/>
          <w:spacing w:val="5"/>
          <w:kern w:val="28"/>
          <w:sz w:val="10"/>
          <w:szCs w:val="28"/>
          <w:lang w:val="en-US"/>
        </w:rPr>
      </w:pPr>
      <w:r>
        <w:rPr>
          <w:noProof/>
          <w:lang w:eastAsia="en-AU"/>
        </w:rPr>
        <w:lastRenderedPageBreak/>
        <w:drawing>
          <wp:anchor distT="0" distB="0" distL="114300" distR="114300" simplePos="0" relativeHeight="251679744" behindDoc="1" locked="0" layoutInCell="1" allowOverlap="1" wp14:anchorId="4734613E" wp14:editId="747C3584">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BF6FD9E" w14:textId="77777777" w:rsidR="003369A9" w:rsidRDefault="003369A9" w:rsidP="00D24C10">
      <w:pPr>
        <w:pStyle w:val="Policy3"/>
      </w:pPr>
    </w:p>
    <w:p w14:paraId="46A168BC" w14:textId="77777777" w:rsidR="003369A9" w:rsidRDefault="003369A9" w:rsidP="00D24C10">
      <w:pPr>
        <w:pStyle w:val="Policy3"/>
      </w:pPr>
    </w:p>
    <w:p w14:paraId="45577249" w14:textId="77777777" w:rsidR="003369A9" w:rsidRDefault="003369A9" w:rsidP="00D24C10">
      <w:pPr>
        <w:pStyle w:val="Policy3"/>
      </w:pPr>
    </w:p>
    <w:p w14:paraId="69B4EE7F" w14:textId="393BC73E" w:rsidR="00CE251E" w:rsidRPr="00862911" w:rsidRDefault="00CE251E" w:rsidP="00D24C10">
      <w:pPr>
        <w:pStyle w:val="Policy3"/>
      </w:pPr>
      <w:bookmarkStart w:id="119" w:name="_Toc216866663"/>
      <w:r w:rsidRPr="00862911">
        <w:t>1.2.3</w:t>
      </w:r>
      <w:r w:rsidRPr="00862911">
        <w:tab/>
        <w:t>S</w:t>
      </w:r>
      <w:r w:rsidR="00D24C10">
        <w:t>taff Recruitment and Retention</w:t>
      </w:r>
      <w:bookmarkEnd w:id="119"/>
    </w:p>
    <w:tbl>
      <w:tblPr>
        <w:tblStyle w:val="TableGrid"/>
        <w:tblW w:w="0" w:type="auto"/>
        <w:tblLook w:val="04A0" w:firstRow="1" w:lastRow="0" w:firstColumn="1" w:lastColumn="0" w:noHBand="0" w:noVBand="1"/>
      </w:tblPr>
      <w:tblGrid>
        <w:gridCol w:w="3025"/>
        <w:gridCol w:w="5991"/>
      </w:tblGrid>
      <w:tr w:rsidR="00CE251E" w:rsidRPr="00CE6090" w14:paraId="449814F3" w14:textId="77777777" w:rsidTr="00D24C10">
        <w:tc>
          <w:tcPr>
            <w:tcW w:w="3025" w:type="dxa"/>
          </w:tcPr>
          <w:p w14:paraId="5D2E7DD0" w14:textId="77777777" w:rsidR="00CE251E" w:rsidRPr="00CE6090" w:rsidRDefault="00CE251E" w:rsidP="00D56721">
            <w:pPr>
              <w:rPr>
                <w:rFonts w:cstheme="minorHAnsi"/>
                <w:b/>
                <w:lang w:val="en-US"/>
              </w:rPr>
            </w:pPr>
            <w:r w:rsidRPr="00CE6090">
              <w:rPr>
                <w:rFonts w:cstheme="minorHAnsi"/>
                <w:b/>
                <w:lang w:val="en-US"/>
              </w:rPr>
              <w:t>Type:</w:t>
            </w:r>
          </w:p>
        </w:tc>
        <w:tc>
          <w:tcPr>
            <w:tcW w:w="5991" w:type="dxa"/>
          </w:tcPr>
          <w:p w14:paraId="5B9D822E" w14:textId="77777777" w:rsidR="00CE251E" w:rsidRPr="00CE6090" w:rsidRDefault="00CE251E" w:rsidP="00D56721">
            <w:pPr>
              <w:rPr>
                <w:rFonts w:cstheme="minorHAnsi"/>
                <w:lang w:val="en-US"/>
              </w:rPr>
            </w:pPr>
            <w:r>
              <w:rPr>
                <w:rFonts w:cstheme="minorHAnsi"/>
                <w:lang w:val="en-US"/>
              </w:rPr>
              <w:t>Office of the CEO – Human Resources</w:t>
            </w:r>
          </w:p>
        </w:tc>
      </w:tr>
      <w:tr w:rsidR="00CE251E" w:rsidRPr="00CE6090" w14:paraId="4184FB34" w14:textId="77777777" w:rsidTr="00D24C10">
        <w:tc>
          <w:tcPr>
            <w:tcW w:w="3025" w:type="dxa"/>
          </w:tcPr>
          <w:p w14:paraId="196879E2" w14:textId="77777777" w:rsidR="00CE251E" w:rsidRPr="00CE6090" w:rsidRDefault="00CE251E" w:rsidP="00D56721">
            <w:pPr>
              <w:rPr>
                <w:rFonts w:cstheme="minorHAnsi"/>
                <w:b/>
                <w:lang w:val="en-US"/>
              </w:rPr>
            </w:pPr>
            <w:r w:rsidRPr="00CE6090">
              <w:rPr>
                <w:rFonts w:cstheme="minorHAnsi"/>
                <w:b/>
                <w:lang w:val="en-US"/>
              </w:rPr>
              <w:t>Legislation:</w:t>
            </w:r>
          </w:p>
        </w:tc>
        <w:tc>
          <w:tcPr>
            <w:tcW w:w="5991" w:type="dxa"/>
          </w:tcPr>
          <w:p w14:paraId="58189124" w14:textId="77777777" w:rsidR="00CE251E" w:rsidRPr="00CE6090" w:rsidRDefault="00CE251E" w:rsidP="00D56721">
            <w:pPr>
              <w:rPr>
                <w:rFonts w:cstheme="minorHAnsi"/>
                <w:lang w:val="en-US"/>
              </w:rPr>
            </w:pPr>
          </w:p>
        </w:tc>
      </w:tr>
      <w:tr w:rsidR="00CE251E" w:rsidRPr="00CE6090" w14:paraId="0D96588F" w14:textId="77777777" w:rsidTr="00D24C10">
        <w:tc>
          <w:tcPr>
            <w:tcW w:w="3025" w:type="dxa"/>
          </w:tcPr>
          <w:p w14:paraId="25A5CDAA" w14:textId="77777777" w:rsidR="00CE251E" w:rsidRPr="00CE6090" w:rsidRDefault="00CE251E" w:rsidP="00D56721">
            <w:pPr>
              <w:rPr>
                <w:rFonts w:cstheme="minorHAnsi"/>
                <w:b/>
                <w:lang w:val="en-US"/>
              </w:rPr>
            </w:pPr>
            <w:r w:rsidRPr="00CE6090">
              <w:rPr>
                <w:rFonts w:cstheme="minorHAnsi"/>
                <w:b/>
                <w:lang w:val="en-US"/>
              </w:rPr>
              <w:t>Delegation:</w:t>
            </w:r>
          </w:p>
        </w:tc>
        <w:tc>
          <w:tcPr>
            <w:tcW w:w="5991" w:type="dxa"/>
          </w:tcPr>
          <w:p w14:paraId="64CFA914" w14:textId="77777777" w:rsidR="00CE251E" w:rsidRPr="00CE6090" w:rsidRDefault="00CE251E" w:rsidP="00D56721">
            <w:pPr>
              <w:rPr>
                <w:rFonts w:cstheme="minorHAnsi"/>
                <w:lang w:val="en-US"/>
              </w:rPr>
            </w:pPr>
          </w:p>
        </w:tc>
      </w:tr>
      <w:tr w:rsidR="00CE251E" w:rsidRPr="00CE6090" w14:paraId="7B1D21B3" w14:textId="77777777" w:rsidTr="00D24C10">
        <w:tc>
          <w:tcPr>
            <w:tcW w:w="3025" w:type="dxa"/>
          </w:tcPr>
          <w:p w14:paraId="5BD015D4" w14:textId="77777777" w:rsidR="00CE251E" w:rsidRPr="00CE6090" w:rsidRDefault="00CE251E" w:rsidP="00D56721">
            <w:pPr>
              <w:rPr>
                <w:rFonts w:cstheme="minorHAnsi"/>
                <w:b/>
                <w:lang w:val="en-US"/>
              </w:rPr>
            </w:pPr>
            <w:r w:rsidRPr="00CE6090">
              <w:rPr>
                <w:rFonts w:cstheme="minorHAnsi"/>
                <w:b/>
                <w:lang w:val="en-US"/>
              </w:rPr>
              <w:t>Other Related Document:</w:t>
            </w:r>
          </w:p>
        </w:tc>
        <w:tc>
          <w:tcPr>
            <w:tcW w:w="5991" w:type="dxa"/>
          </w:tcPr>
          <w:p w14:paraId="58E2427A" w14:textId="77777777" w:rsidR="00CE251E" w:rsidRPr="00CE6090" w:rsidRDefault="00CE251E" w:rsidP="00D56721">
            <w:pPr>
              <w:rPr>
                <w:rFonts w:cstheme="minorHAnsi"/>
                <w:lang w:val="en-US"/>
              </w:rPr>
            </w:pPr>
          </w:p>
        </w:tc>
      </w:tr>
    </w:tbl>
    <w:p w14:paraId="27A2D900" w14:textId="77777777" w:rsidR="00CE251E" w:rsidRPr="00862911" w:rsidRDefault="00CE251E" w:rsidP="00862911">
      <w:pPr>
        <w:spacing w:before="240" w:after="0"/>
        <w:rPr>
          <w:b/>
          <w:sz w:val="28"/>
          <w:szCs w:val="28"/>
          <w:lang w:val="en-US"/>
        </w:rPr>
      </w:pPr>
      <w:r w:rsidRPr="00862911">
        <w:rPr>
          <w:b/>
          <w:sz w:val="28"/>
          <w:szCs w:val="28"/>
          <w:lang w:val="en-US"/>
        </w:rPr>
        <w:t>Objective</w:t>
      </w:r>
    </w:p>
    <w:p w14:paraId="2D6B89FA" w14:textId="77777777" w:rsidR="00CE251E" w:rsidRPr="00CE6090" w:rsidRDefault="00CE251E" w:rsidP="00CE251E">
      <w:pPr>
        <w:jc w:val="both"/>
        <w:rPr>
          <w:rFonts w:cstheme="minorHAnsi"/>
        </w:rPr>
      </w:pPr>
      <w:r w:rsidRPr="00CE6090">
        <w:rPr>
          <w:rFonts w:cstheme="minorHAnsi"/>
        </w:rPr>
        <w:t>To establish attraction and retention strategies to ensure the Town is an ‘Employer of Choice’.</w:t>
      </w:r>
    </w:p>
    <w:p w14:paraId="1198FF69" w14:textId="77777777" w:rsidR="00CE251E" w:rsidRPr="00862911" w:rsidRDefault="00CE251E" w:rsidP="00862911">
      <w:pPr>
        <w:spacing w:after="0"/>
        <w:rPr>
          <w:b/>
          <w:sz w:val="28"/>
          <w:szCs w:val="28"/>
          <w:lang w:val="en-US"/>
        </w:rPr>
      </w:pPr>
      <w:r w:rsidRPr="00862911">
        <w:rPr>
          <w:b/>
          <w:sz w:val="28"/>
          <w:szCs w:val="28"/>
          <w:lang w:val="en-US"/>
        </w:rPr>
        <w:t>Policy Scope</w:t>
      </w:r>
    </w:p>
    <w:p w14:paraId="358B0C7A" w14:textId="77777777" w:rsidR="00CE251E" w:rsidRPr="00CE6090" w:rsidRDefault="00CE251E" w:rsidP="00CE251E">
      <w:pPr>
        <w:spacing w:after="0"/>
        <w:jc w:val="both"/>
        <w:rPr>
          <w:rFonts w:cstheme="minorHAnsi"/>
          <w:lang w:val="en-US"/>
        </w:rPr>
      </w:pPr>
      <w:r w:rsidRPr="00CE6090">
        <w:rPr>
          <w:rFonts w:cstheme="minorHAnsi"/>
          <w:lang w:val="en-US"/>
        </w:rPr>
        <w:t>This Policy will affect all employees with the Town.</w:t>
      </w:r>
    </w:p>
    <w:p w14:paraId="326A7A0A" w14:textId="77777777" w:rsidR="00CE251E" w:rsidRPr="00862911" w:rsidRDefault="00CE251E" w:rsidP="00862911">
      <w:pPr>
        <w:spacing w:before="200" w:after="0"/>
        <w:rPr>
          <w:b/>
          <w:sz w:val="28"/>
          <w:szCs w:val="28"/>
          <w:lang w:val="en-US"/>
        </w:rPr>
      </w:pPr>
      <w:r w:rsidRPr="00862911">
        <w:rPr>
          <w:b/>
          <w:sz w:val="28"/>
          <w:szCs w:val="28"/>
          <w:lang w:val="en-US"/>
        </w:rPr>
        <w:t xml:space="preserve">Policy </w:t>
      </w:r>
    </w:p>
    <w:p w14:paraId="39D8A3AE" w14:textId="77777777" w:rsidR="00CE251E" w:rsidRPr="00CE6090" w:rsidRDefault="00CE251E" w:rsidP="00CE251E">
      <w:pPr>
        <w:spacing w:after="240" w:line="240" w:lineRule="auto"/>
        <w:ind w:right="118"/>
        <w:jc w:val="both"/>
        <w:rPr>
          <w:rFonts w:eastAsia="Times New Roman" w:cstheme="minorHAnsi"/>
        </w:rPr>
      </w:pPr>
      <w:r w:rsidRPr="00CE6090">
        <w:rPr>
          <w:rFonts w:eastAsia="Times New Roman" w:cstheme="minorHAnsi"/>
        </w:rPr>
        <w:t xml:space="preserve">All employees are expected to work within the Town of East Fremantle’s values, Code of Conduct, policies and procedures and display the following behaviours: </w:t>
      </w:r>
    </w:p>
    <w:p w14:paraId="470C2014" w14:textId="77777777" w:rsidR="00CE251E" w:rsidRPr="00CE6090" w:rsidRDefault="00CE251E" w:rsidP="00CE251E">
      <w:pPr>
        <w:spacing w:after="240" w:line="240" w:lineRule="auto"/>
        <w:ind w:right="118"/>
        <w:jc w:val="both"/>
        <w:rPr>
          <w:rFonts w:eastAsia="Times New Roman" w:cstheme="minorHAnsi"/>
        </w:rPr>
      </w:pPr>
      <w:r w:rsidRPr="00862911">
        <w:rPr>
          <w:rFonts w:eastAsia="Times New Roman" w:cstheme="minorHAnsi"/>
          <w:b/>
          <w:bCs/>
          <w:i/>
        </w:rPr>
        <w:t>Honesty and integrity</w:t>
      </w:r>
      <w:r w:rsidRPr="00862911">
        <w:rPr>
          <w:rFonts w:eastAsia="Times New Roman" w:cstheme="minorHAnsi"/>
          <w:b/>
          <w:bCs/>
        </w:rPr>
        <w:t>:</w:t>
      </w:r>
      <w:r w:rsidRPr="00CE6090">
        <w:rPr>
          <w:rFonts w:eastAsia="Times New Roman" w:cstheme="minorHAnsi"/>
          <w:b/>
          <w:bCs/>
        </w:rPr>
        <w:t xml:space="preserve"> </w:t>
      </w:r>
      <w:r w:rsidRPr="00CE6090">
        <w:rPr>
          <w:rFonts w:eastAsia="Times New Roman" w:cstheme="minorHAnsi"/>
        </w:rPr>
        <w:t xml:space="preserve">treat others with respect, fairness, consistency, courtesy and honesty. </w:t>
      </w:r>
    </w:p>
    <w:p w14:paraId="37377F40" w14:textId="77777777" w:rsidR="00CE251E" w:rsidRPr="00CE6090" w:rsidRDefault="00CE251E" w:rsidP="00CE251E">
      <w:pPr>
        <w:spacing w:after="240" w:line="240" w:lineRule="auto"/>
        <w:ind w:right="118"/>
        <w:jc w:val="both"/>
        <w:rPr>
          <w:rFonts w:eastAsia="Times New Roman" w:cstheme="minorHAnsi"/>
        </w:rPr>
      </w:pPr>
      <w:r w:rsidRPr="00862911">
        <w:rPr>
          <w:rFonts w:eastAsia="Times New Roman" w:cstheme="minorHAnsi"/>
          <w:b/>
          <w:bCs/>
          <w:i/>
        </w:rPr>
        <w:t>Delivery of service</w:t>
      </w:r>
      <w:r w:rsidRPr="00CE251E">
        <w:rPr>
          <w:rFonts w:eastAsia="Times New Roman" w:cstheme="minorHAnsi"/>
          <w:bCs/>
          <w:i/>
        </w:rPr>
        <w:t>:</w:t>
      </w:r>
      <w:r w:rsidRPr="00CE6090">
        <w:rPr>
          <w:rFonts w:eastAsia="Times New Roman" w:cstheme="minorHAnsi"/>
          <w:b/>
          <w:bCs/>
        </w:rPr>
        <w:t xml:space="preserve"> </w:t>
      </w:r>
      <w:r w:rsidRPr="00CE6090">
        <w:rPr>
          <w:rFonts w:eastAsia="Times New Roman" w:cstheme="minorHAnsi"/>
        </w:rPr>
        <w:t xml:space="preserve">provide a high level of customer service. Strive to learn. Actively seek and evaluate new ways of doing things. Lead by example. </w:t>
      </w:r>
    </w:p>
    <w:p w14:paraId="671987E0" w14:textId="77777777" w:rsidR="00CE251E" w:rsidRPr="00CE6090" w:rsidRDefault="00CE251E" w:rsidP="00CE251E">
      <w:pPr>
        <w:spacing w:after="240" w:line="240" w:lineRule="auto"/>
        <w:ind w:right="118"/>
        <w:jc w:val="both"/>
        <w:rPr>
          <w:rFonts w:eastAsia="Times New Roman" w:cstheme="minorHAnsi"/>
        </w:rPr>
      </w:pPr>
      <w:r w:rsidRPr="00862911">
        <w:rPr>
          <w:rFonts w:eastAsia="Times New Roman" w:cstheme="minorHAnsi"/>
          <w:b/>
          <w:bCs/>
          <w:i/>
        </w:rPr>
        <w:t>Teamwork and commitment</w:t>
      </w:r>
      <w:r w:rsidRPr="00CE251E">
        <w:rPr>
          <w:rFonts w:eastAsia="Times New Roman" w:cstheme="minorHAnsi"/>
          <w:bCs/>
          <w:i/>
        </w:rPr>
        <w:t>:</w:t>
      </w:r>
      <w:r w:rsidRPr="00CE6090">
        <w:rPr>
          <w:rFonts w:eastAsia="Times New Roman" w:cstheme="minorHAnsi"/>
          <w:b/>
          <w:bCs/>
        </w:rPr>
        <w:t xml:space="preserve"> </w:t>
      </w:r>
      <w:r w:rsidRPr="00CE6090">
        <w:rPr>
          <w:rFonts w:eastAsia="Times New Roman" w:cstheme="minorHAnsi"/>
        </w:rPr>
        <w:t xml:space="preserve">work as a team and assist each other for the betterment of the Town, its residents and visitors. </w:t>
      </w:r>
    </w:p>
    <w:p w14:paraId="597E7D1B" w14:textId="77777777" w:rsidR="00CE251E" w:rsidRPr="00CE6090" w:rsidRDefault="00CE251E" w:rsidP="00CE251E">
      <w:pPr>
        <w:spacing w:after="240" w:line="240" w:lineRule="auto"/>
        <w:ind w:right="118"/>
        <w:jc w:val="both"/>
        <w:rPr>
          <w:rFonts w:eastAsia="Times New Roman" w:cstheme="minorHAnsi"/>
        </w:rPr>
      </w:pPr>
      <w:r w:rsidRPr="00862911">
        <w:rPr>
          <w:rFonts w:eastAsia="Times New Roman" w:cstheme="minorHAnsi"/>
          <w:b/>
          <w:bCs/>
          <w:i/>
        </w:rPr>
        <w:t xml:space="preserve">Caring and </w:t>
      </w:r>
      <w:proofErr w:type="gramStart"/>
      <w:r w:rsidRPr="00862911">
        <w:rPr>
          <w:rFonts w:eastAsia="Times New Roman" w:cstheme="minorHAnsi"/>
          <w:b/>
          <w:bCs/>
          <w:i/>
        </w:rPr>
        <w:t>empathy</w:t>
      </w:r>
      <w:r w:rsidRPr="00CE251E">
        <w:rPr>
          <w:rFonts w:eastAsia="Times New Roman" w:cstheme="minorHAnsi"/>
          <w:bCs/>
          <w:i/>
        </w:rPr>
        <w:t>:</w:t>
      </w:r>
      <w:proofErr w:type="gramEnd"/>
      <w:r w:rsidRPr="00CE6090">
        <w:rPr>
          <w:rFonts w:eastAsia="Times New Roman" w:cstheme="minorHAnsi"/>
          <w:b/>
          <w:bCs/>
        </w:rPr>
        <w:t xml:space="preserve"> </w:t>
      </w:r>
      <w:r w:rsidRPr="00CE6090">
        <w:rPr>
          <w:rFonts w:eastAsia="Times New Roman" w:cstheme="minorHAnsi"/>
        </w:rPr>
        <w:t>be considerate of other and believe in their ability. Encourage and acknowledge effort and initiative.</w:t>
      </w:r>
    </w:p>
    <w:p w14:paraId="649261C1" w14:textId="77777777" w:rsidR="00CE251E" w:rsidRPr="00CE6090" w:rsidRDefault="00CE251E" w:rsidP="00CE251E">
      <w:pPr>
        <w:spacing w:after="120" w:line="240" w:lineRule="auto"/>
        <w:ind w:right="119"/>
        <w:jc w:val="both"/>
        <w:rPr>
          <w:rFonts w:eastAsia="Times New Roman" w:cstheme="minorHAnsi"/>
        </w:rPr>
      </w:pPr>
      <w:r w:rsidRPr="00CE6090">
        <w:rPr>
          <w:rFonts w:eastAsia="Times New Roman" w:cstheme="minorHAnsi"/>
        </w:rPr>
        <w:t xml:space="preserve">The Town offers a varied range of benefits to its employees including: </w:t>
      </w:r>
    </w:p>
    <w:p w14:paraId="5EBD06FF"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Training and Professional Development opportunities. Individual Training and Professional Development Plans established and reviewed annually. </w:t>
      </w:r>
    </w:p>
    <w:p w14:paraId="14C25555"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Eighteen (18) weeks paid parental leave if the employee is the primary care giver (in accordance with the Federal Governments Parental Leave Pay) </w:t>
      </w:r>
    </w:p>
    <w:p w14:paraId="7E50588B"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Flexible working hours / one RDO per fortnight or month. </w:t>
      </w:r>
    </w:p>
    <w:p w14:paraId="6B61D550"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Generous superannuation scheme (the Town contributes up to 14.5%). </w:t>
      </w:r>
    </w:p>
    <w:p w14:paraId="234151FB"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Salary Sacrifice for additional superannuation contributions.</w:t>
      </w:r>
    </w:p>
    <w:p w14:paraId="1BF2BDA9"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Taking of annual leave in single day periods at a time or times agreed with supervisor / manager. </w:t>
      </w:r>
    </w:p>
    <w:p w14:paraId="4A62CE11"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Service recognition. </w:t>
      </w:r>
    </w:p>
    <w:p w14:paraId="4B883B91"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Free Employee Assistance Program (free counselling whether it is work related or personal – available to immediate family members also). </w:t>
      </w:r>
    </w:p>
    <w:p w14:paraId="4461F7E7"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lastRenderedPageBreak/>
        <w:t xml:space="preserve">Smoke free workplace. </w:t>
      </w:r>
    </w:p>
    <w:p w14:paraId="7D7024AB"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Promotion of health and wellbeing including: </w:t>
      </w:r>
    </w:p>
    <w:p w14:paraId="523BA676" w14:textId="77777777" w:rsidR="00CE251E" w:rsidRPr="00CE6090" w:rsidRDefault="00CE251E" w:rsidP="000C29DC">
      <w:pPr>
        <w:pStyle w:val="ListParagraph"/>
        <w:numPr>
          <w:ilvl w:val="0"/>
          <w:numId w:val="16"/>
        </w:numPr>
        <w:spacing w:after="60" w:line="240" w:lineRule="auto"/>
        <w:ind w:right="119" w:hanging="294"/>
        <w:contextualSpacing w:val="0"/>
        <w:jc w:val="both"/>
        <w:rPr>
          <w:rFonts w:eastAsia="Times New Roman" w:cstheme="minorHAnsi"/>
        </w:rPr>
      </w:pPr>
      <w:r w:rsidRPr="00CE6090">
        <w:rPr>
          <w:rFonts w:eastAsia="Times New Roman" w:cstheme="minorHAnsi"/>
        </w:rPr>
        <w:t xml:space="preserve">Free annual flu vaccinations </w:t>
      </w:r>
    </w:p>
    <w:p w14:paraId="556DDDE6" w14:textId="77777777" w:rsidR="00CE251E" w:rsidRPr="00CE6090" w:rsidRDefault="00CE251E" w:rsidP="000C29DC">
      <w:pPr>
        <w:pStyle w:val="ListParagraph"/>
        <w:numPr>
          <w:ilvl w:val="0"/>
          <w:numId w:val="16"/>
        </w:numPr>
        <w:spacing w:after="60" w:line="240" w:lineRule="auto"/>
        <w:ind w:right="119" w:hanging="294"/>
        <w:contextualSpacing w:val="0"/>
        <w:jc w:val="both"/>
        <w:rPr>
          <w:rFonts w:eastAsia="Times New Roman" w:cstheme="minorHAnsi"/>
        </w:rPr>
      </w:pPr>
      <w:r w:rsidRPr="00CE6090">
        <w:rPr>
          <w:rFonts w:eastAsia="Times New Roman" w:cstheme="minorHAnsi"/>
        </w:rPr>
        <w:t xml:space="preserve">Skin screenings (undertaken approximately every two years). </w:t>
      </w:r>
    </w:p>
    <w:p w14:paraId="72E6A302"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Uniform subsidy. </w:t>
      </w:r>
    </w:p>
    <w:p w14:paraId="1508777E" w14:textId="77777777" w:rsidR="00CE251E" w:rsidRPr="00CE6090" w:rsidRDefault="00CE251E" w:rsidP="000C29DC">
      <w:pPr>
        <w:pStyle w:val="ListParagraph"/>
        <w:numPr>
          <w:ilvl w:val="0"/>
          <w:numId w:val="13"/>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Unlimited tea and coffee supplies. </w:t>
      </w:r>
    </w:p>
    <w:p w14:paraId="00DCE8AE" w14:textId="77777777" w:rsidR="00CE251E" w:rsidRPr="00CE6090" w:rsidRDefault="00CE251E" w:rsidP="000C29DC">
      <w:pPr>
        <w:pStyle w:val="ListParagraph"/>
        <w:numPr>
          <w:ilvl w:val="0"/>
          <w:numId w:val="13"/>
        </w:numPr>
        <w:spacing w:line="240" w:lineRule="auto"/>
        <w:ind w:left="425" w:right="119" w:hanging="425"/>
        <w:contextualSpacing w:val="0"/>
        <w:jc w:val="both"/>
        <w:rPr>
          <w:rFonts w:eastAsia="Times New Roman" w:cstheme="minorHAnsi"/>
        </w:rPr>
      </w:pPr>
      <w:r w:rsidRPr="00CE6090">
        <w:rPr>
          <w:rFonts w:eastAsia="Times New Roman" w:cstheme="minorHAnsi"/>
        </w:rPr>
        <w:t xml:space="preserve">Free car parking. </w:t>
      </w:r>
    </w:p>
    <w:p w14:paraId="35D70EC3" w14:textId="77777777" w:rsidR="00CE251E" w:rsidRPr="00862911" w:rsidRDefault="00CE251E" w:rsidP="00CE251E">
      <w:pPr>
        <w:spacing w:after="0" w:line="240" w:lineRule="auto"/>
        <w:ind w:right="118"/>
        <w:jc w:val="both"/>
        <w:rPr>
          <w:rFonts w:eastAsia="Times New Roman" w:cstheme="minorHAnsi"/>
          <w:b/>
        </w:rPr>
      </w:pPr>
      <w:r w:rsidRPr="00862911">
        <w:rPr>
          <w:rFonts w:eastAsia="Times New Roman" w:cstheme="minorHAnsi"/>
          <w:b/>
          <w:bCs/>
        </w:rPr>
        <w:t xml:space="preserve">Safe working environment </w:t>
      </w:r>
    </w:p>
    <w:p w14:paraId="165E277C" w14:textId="77777777" w:rsidR="00CE251E" w:rsidRPr="00CE6090" w:rsidRDefault="00CE251E" w:rsidP="00CE251E">
      <w:pPr>
        <w:spacing w:after="240" w:line="240" w:lineRule="auto"/>
        <w:ind w:right="118"/>
        <w:jc w:val="both"/>
        <w:rPr>
          <w:rFonts w:eastAsia="Times New Roman" w:cstheme="minorHAnsi"/>
        </w:rPr>
      </w:pPr>
      <w:r w:rsidRPr="00CE6090">
        <w:rPr>
          <w:rFonts w:eastAsia="Times New Roman" w:cstheme="minorHAnsi"/>
        </w:rPr>
        <w:t xml:space="preserve">The Town is committed to achieving best practice in occupational safety and health by building a safety culture dedicated to minimising risk and preventing injuries and ill health to employees, contractors and the </w:t>
      </w:r>
      <w:proofErr w:type="gramStart"/>
      <w:r w:rsidRPr="00CE6090">
        <w:rPr>
          <w:rFonts w:eastAsia="Times New Roman" w:cstheme="minorHAnsi"/>
        </w:rPr>
        <w:t>general public</w:t>
      </w:r>
      <w:proofErr w:type="gramEnd"/>
      <w:r w:rsidRPr="00CE6090">
        <w:rPr>
          <w:rFonts w:eastAsia="Times New Roman" w:cstheme="minorHAnsi"/>
        </w:rPr>
        <w:t xml:space="preserve"> by ensuring all can operate in a safe and healthy environment whilst at their workplace. </w:t>
      </w:r>
    </w:p>
    <w:p w14:paraId="351D7A6B" w14:textId="77777777" w:rsidR="00CE251E" w:rsidRPr="00CE6090" w:rsidRDefault="00CE251E" w:rsidP="00CE251E">
      <w:pPr>
        <w:spacing w:after="240" w:line="240" w:lineRule="auto"/>
        <w:ind w:right="118"/>
        <w:jc w:val="both"/>
        <w:rPr>
          <w:rFonts w:eastAsia="Times New Roman" w:cstheme="minorHAnsi"/>
        </w:rPr>
      </w:pPr>
      <w:r w:rsidRPr="00CE6090">
        <w:rPr>
          <w:rFonts w:eastAsia="Times New Roman" w:cstheme="minorHAnsi"/>
        </w:rPr>
        <w:t>The Town has adopted an Occupational Safety and Health policy and associated procedures and has established an Occupational Safety and Health Committee.</w:t>
      </w:r>
    </w:p>
    <w:p w14:paraId="46EE2174" w14:textId="77777777" w:rsidR="00CE251E" w:rsidRPr="00862911" w:rsidRDefault="00CE251E" w:rsidP="00CE251E">
      <w:pPr>
        <w:spacing w:after="0" w:line="240" w:lineRule="auto"/>
        <w:ind w:right="118"/>
        <w:jc w:val="both"/>
        <w:rPr>
          <w:rFonts w:eastAsia="Times New Roman" w:cstheme="minorHAnsi"/>
          <w:b/>
        </w:rPr>
      </w:pPr>
      <w:r w:rsidRPr="00862911">
        <w:rPr>
          <w:rFonts w:eastAsia="Times New Roman" w:cstheme="minorHAnsi"/>
          <w:b/>
          <w:bCs/>
        </w:rPr>
        <w:t xml:space="preserve">Equal Opportunity </w:t>
      </w:r>
    </w:p>
    <w:p w14:paraId="38863D07" w14:textId="77777777" w:rsidR="00CE251E" w:rsidRPr="00CE6090" w:rsidRDefault="00CE251E" w:rsidP="00CE251E">
      <w:pPr>
        <w:spacing w:after="240" w:line="240" w:lineRule="auto"/>
        <w:ind w:right="118"/>
        <w:jc w:val="both"/>
        <w:rPr>
          <w:rFonts w:eastAsia="Times New Roman" w:cstheme="minorHAnsi"/>
        </w:rPr>
      </w:pPr>
      <w:r w:rsidRPr="00CE6090">
        <w:rPr>
          <w:rFonts w:eastAsia="Times New Roman" w:cstheme="minorHAnsi"/>
        </w:rPr>
        <w:t xml:space="preserve">The Town of East Fremantle is committed to a policy of equal employment opportunity, fair treatment and non-discrimination for all existing and future employees. </w:t>
      </w:r>
    </w:p>
    <w:p w14:paraId="10DFFFE0" w14:textId="77777777" w:rsidR="00CE251E" w:rsidRPr="00CE6090" w:rsidRDefault="00CE251E" w:rsidP="00CE251E">
      <w:pPr>
        <w:spacing w:after="120" w:line="240" w:lineRule="auto"/>
        <w:ind w:right="118"/>
        <w:jc w:val="both"/>
        <w:rPr>
          <w:rFonts w:eastAsia="Times New Roman" w:cstheme="minorHAnsi"/>
        </w:rPr>
      </w:pPr>
      <w:r w:rsidRPr="00CE6090">
        <w:rPr>
          <w:rFonts w:eastAsia="Times New Roman" w:cstheme="minorHAnsi"/>
        </w:rPr>
        <w:t xml:space="preserve">The Town has adopted an Equal Opportunity Policy and there are </w:t>
      </w:r>
      <w:proofErr w:type="gramStart"/>
      <w:r w:rsidRPr="00CE6090">
        <w:rPr>
          <w:rFonts w:eastAsia="Times New Roman" w:cstheme="minorHAnsi"/>
        </w:rPr>
        <w:t>Work Place</w:t>
      </w:r>
      <w:proofErr w:type="gramEnd"/>
      <w:r w:rsidRPr="00CE6090">
        <w:rPr>
          <w:rFonts w:eastAsia="Times New Roman" w:cstheme="minorHAnsi"/>
        </w:rPr>
        <w:t xml:space="preserve"> Behaviour procedures in place to ensure: </w:t>
      </w:r>
    </w:p>
    <w:p w14:paraId="7C67EF0A" w14:textId="77777777" w:rsidR="00CE251E" w:rsidRPr="00CE6090" w:rsidRDefault="00CE251E" w:rsidP="000C29DC">
      <w:pPr>
        <w:pStyle w:val="ListParagraph"/>
        <w:numPr>
          <w:ilvl w:val="0"/>
          <w:numId w:val="14"/>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Our workplace is accountable and free from harassment. </w:t>
      </w:r>
    </w:p>
    <w:p w14:paraId="3A4A5B74" w14:textId="77777777" w:rsidR="00CE251E" w:rsidRPr="00CE6090" w:rsidRDefault="00CE251E" w:rsidP="000C29DC">
      <w:pPr>
        <w:pStyle w:val="ListParagraph"/>
        <w:numPr>
          <w:ilvl w:val="0"/>
          <w:numId w:val="14"/>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Our workplace is free from unlawful discrimination. </w:t>
      </w:r>
    </w:p>
    <w:p w14:paraId="51A33EB1" w14:textId="77777777" w:rsidR="00CE251E" w:rsidRPr="00CE6090" w:rsidRDefault="00CE251E" w:rsidP="000C29DC">
      <w:pPr>
        <w:pStyle w:val="ListParagraph"/>
        <w:numPr>
          <w:ilvl w:val="0"/>
          <w:numId w:val="14"/>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Fair practice in the workplace. </w:t>
      </w:r>
    </w:p>
    <w:p w14:paraId="7EA8E610" w14:textId="77777777" w:rsidR="00CE251E" w:rsidRPr="00CE6090" w:rsidRDefault="00CE251E" w:rsidP="000C29DC">
      <w:pPr>
        <w:pStyle w:val="ListParagraph"/>
        <w:numPr>
          <w:ilvl w:val="0"/>
          <w:numId w:val="14"/>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Management decisions are made without bias. </w:t>
      </w:r>
    </w:p>
    <w:p w14:paraId="308EE4E1" w14:textId="77777777" w:rsidR="00CE251E" w:rsidRPr="00CE6090" w:rsidRDefault="00CE251E" w:rsidP="000C29DC">
      <w:pPr>
        <w:pStyle w:val="ListParagraph"/>
        <w:numPr>
          <w:ilvl w:val="0"/>
          <w:numId w:val="14"/>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Recognition of and respect for the social and cultural backgrounds of all staff, Members and customers. </w:t>
      </w:r>
    </w:p>
    <w:p w14:paraId="74EF6952" w14:textId="77777777" w:rsidR="00CE251E" w:rsidRPr="00CE6090" w:rsidRDefault="00CE251E" w:rsidP="000C29DC">
      <w:pPr>
        <w:pStyle w:val="ListParagraph"/>
        <w:numPr>
          <w:ilvl w:val="0"/>
          <w:numId w:val="14"/>
        </w:numPr>
        <w:spacing w:after="60" w:line="240" w:lineRule="auto"/>
        <w:ind w:left="426" w:right="119" w:hanging="426"/>
        <w:contextualSpacing w:val="0"/>
        <w:jc w:val="both"/>
        <w:rPr>
          <w:rFonts w:eastAsia="Times New Roman" w:cstheme="minorHAnsi"/>
        </w:rPr>
      </w:pPr>
      <w:r w:rsidRPr="00CE6090">
        <w:rPr>
          <w:rFonts w:eastAsia="Times New Roman" w:cstheme="minorHAnsi"/>
        </w:rPr>
        <w:t xml:space="preserve">Improving productivity by </w:t>
      </w:r>
      <w:proofErr w:type="gramStart"/>
      <w:r w:rsidRPr="00CE6090">
        <w:rPr>
          <w:rFonts w:eastAsia="Times New Roman" w:cstheme="minorHAnsi"/>
        </w:rPr>
        <w:t>ensuring:-</w:t>
      </w:r>
      <w:proofErr w:type="gramEnd"/>
      <w:r w:rsidRPr="00CE6090">
        <w:rPr>
          <w:rFonts w:eastAsia="Times New Roman" w:cstheme="minorHAnsi"/>
        </w:rPr>
        <w:t xml:space="preserve"> </w:t>
      </w:r>
    </w:p>
    <w:p w14:paraId="1FA869F9" w14:textId="77777777" w:rsidR="00CE251E" w:rsidRPr="00CE6090" w:rsidRDefault="00CE251E" w:rsidP="000C29DC">
      <w:pPr>
        <w:pStyle w:val="ListParagraph"/>
        <w:numPr>
          <w:ilvl w:val="0"/>
          <w:numId w:val="17"/>
        </w:numPr>
        <w:spacing w:after="60" w:line="240" w:lineRule="auto"/>
        <w:ind w:left="993" w:right="119" w:hanging="567"/>
        <w:contextualSpacing w:val="0"/>
        <w:jc w:val="both"/>
        <w:rPr>
          <w:rFonts w:eastAsia="Times New Roman" w:cstheme="minorHAnsi"/>
        </w:rPr>
      </w:pPr>
      <w:r w:rsidRPr="00CE6090">
        <w:rPr>
          <w:rFonts w:eastAsia="Times New Roman" w:cstheme="minorHAnsi"/>
        </w:rPr>
        <w:t xml:space="preserve">The best person is recruited and / or promoted </w:t>
      </w:r>
    </w:p>
    <w:p w14:paraId="1AF6409D" w14:textId="77777777" w:rsidR="00CE251E" w:rsidRPr="00CE6090" w:rsidRDefault="00CE251E" w:rsidP="000C29DC">
      <w:pPr>
        <w:pStyle w:val="ListParagraph"/>
        <w:numPr>
          <w:ilvl w:val="0"/>
          <w:numId w:val="17"/>
        </w:numPr>
        <w:spacing w:after="60" w:line="240" w:lineRule="auto"/>
        <w:ind w:left="993" w:right="119" w:hanging="567"/>
        <w:contextualSpacing w:val="0"/>
        <w:jc w:val="both"/>
        <w:rPr>
          <w:rFonts w:eastAsia="Times New Roman" w:cstheme="minorHAnsi"/>
        </w:rPr>
      </w:pPr>
      <w:r w:rsidRPr="00CE6090">
        <w:rPr>
          <w:rFonts w:eastAsia="Times New Roman" w:cstheme="minorHAnsi"/>
        </w:rPr>
        <w:t xml:space="preserve">Skilled staff are retained </w:t>
      </w:r>
    </w:p>
    <w:p w14:paraId="741981A0" w14:textId="77777777" w:rsidR="00CE251E" w:rsidRPr="00CE6090" w:rsidRDefault="00CE251E" w:rsidP="000C29DC">
      <w:pPr>
        <w:pStyle w:val="ListParagraph"/>
        <w:numPr>
          <w:ilvl w:val="0"/>
          <w:numId w:val="17"/>
        </w:numPr>
        <w:spacing w:after="60" w:line="240" w:lineRule="auto"/>
        <w:ind w:left="993" w:right="119" w:hanging="567"/>
        <w:contextualSpacing w:val="0"/>
        <w:jc w:val="both"/>
        <w:rPr>
          <w:rFonts w:eastAsia="Times New Roman" w:cstheme="minorHAnsi"/>
        </w:rPr>
      </w:pPr>
      <w:r w:rsidRPr="00CE6090">
        <w:rPr>
          <w:rFonts w:eastAsia="Times New Roman" w:cstheme="minorHAnsi"/>
        </w:rPr>
        <w:t xml:space="preserve">Training and development are linked to employee and the Town’s needs. </w:t>
      </w:r>
    </w:p>
    <w:p w14:paraId="118ED8FB" w14:textId="77777777" w:rsidR="00CE251E" w:rsidRPr="007D5C00" w:rsidRDefault="00CE251E" w:rsidP="000C29DC">
      <w:pPr>
        <w:pStyle w:val="ListParagraph"/>
        <w:numPr>
          <w:ilvl w:val="0"/>
          <w:numId w:val="17"/>
        </w:numPr>
        <w:spacing w:after="60" w:line="240" w:lineRule="auto"/>
        <w:ind w:left="993" w:right="119" w:hanging="567"/>
        <w:jc w:val="both"/>
        <w:rPr>
          <w:rFonts w:eastAsia="Times New Roman" w:cstheme="minorHAnsi"/>
        </w:rPr>
      </w:pPr>
      <w:r w:rsidRPr="007D5C00">
        <w:rPr>
          <w:rFonts w:eastAsia="Times New Roman" w:cstheme="minorHAnsi"/>
        </w:rPr>
        <w:t xml:space="preserve">Striving to ensure fair outcomes in areas of employment, including: </w:t>
      </w:r>
    </w:p>
    <w:p w14:paraId="3026C06B" w14:textId="77777777" w:rsidR="00CE251E" w:rsidRPr="00CE6090" w:rsidRDefault="00CE251E" w:rsidP="000C29DC">
      <w:pPr>
        <w:pStyle w:val="ListParagraph"/>
        <w:numPr>
          <w:ilvl w:val="0"/>
          <w:numId w:val="17"/>
        </w:numPr>
        <w:spacing w:after="60" w:line="240" w:lineRule="auto"/>
        <w:ind w:left="993" w:right="119" w:hanging="567"/>
        <w:contextualSpacing w:val="0"/>
        <w:jc w:val="both"/>
        <w:rPr>
          <w:rFonts w:eastAsia="Times New Roman" w:cstheme="minorHAnsi"/>
        </w:rPr>
      </w:pPr>
      <w:r w:rsidRPr="00CE6090">
        <w:rPr>
          <w:rFonts w:eastAsia="Times New Roman" w:cstheme="minorHAnsi"/>
        </w:rPr>
        <w:t xml:space="preserve">Recruitment </w:t>
      </w:r>
    </w:p>
    <w:p w14:paraId="59B09B4A" w14:textId="77777777" w:rsidR="00CE251E" w:rsidRPr="00CE6090" w:rsidRDefault="00CE251E" w:rsidP="000C29DC">
      <w:pPr>
        <w:pStyle w:val="ListParagraph"/>
        <w:numPr>
          <w:ilvl w:val="0"/>
          <w:numId w:val="17"/>
        </w:numPr>
        <w:spacing w:after="60" w:line="240" w:lineRule="auto"/>
        <w:ind w:left="993" w:right="119" w:hanging="567"/>
        <w:contextualSpacing w:val="0"/>
        <w:jc w:val="both"/>
        <w:rPr>
          <w:rFonts w:eastAsia="Times New Roman" w:cstheme="minorHAnsi"/>
        </w:rPr>
      </w:pPr>
      <w:r w:rsidRPr="00CE6090">
        <w:rPr>
          <w:rFonts w:eastAsia="Times New Roman" w:cstheme="minorHAnsi"/>
        </w:rPr>
        <w:t xml:space="preserve">Training and development </w:t>
      </w:r>
    </w:p>
    <w:p w14:paraId="67425E97" w14:textId="77777777" w:rsidR="00CE251E" w:rsidRPr="00CE6090" w:rsidRDefault="00CE251E" w:rsidP="000C29DC">
      <w:pPr>
        <w:pStyle w:val="ListParagraph"/>
        <w:numPr>
          <w:ilvl w:val="0"/>
          <w:numId w:val="17"/>
        </w:numPr>
        <w:spacing w:after="60" w:line="240" w:lineRule="auto"/>
        <w:ind w:left="993" w:right="119" w:hanging="567"/>
        <w:contextualSpacing w:val="0"/>
        <w:jc w:val="both"/>
        <w:rPr>
          <w:rFonts w:eastAsia="Times New Roman" w:cstheme="minorHAnsi"/>
        </w:rPr>
      </w:pPr>
      <w:r w:rsidRPr="00CE6090">
        <w:rPr>
          <w:rFonts w:eastAsia="Times New Roman" w:cstheme="minorHAnsi"/>
        </w:rPr>
        <w:t xml:space="preserve">Promotion and transfer </w:t>
      </w:r>
    </w:p>
    <w:p w14:paraId="7833B898" w14:textId="77777777" w:rsidR="00CE251E" w:rsidRPr="00CE6090" w:rsidRDefault="00CE251E" w:rsidP="000C29DC">
      <w:pPr>
        <w:pStyle w:val="ListParagraph"/>
        <w:numPr>
          <w:ilvl w:val="0"/>
          <w:numId w:val="17"/>
        </w:numPr>
        <w:spacing w:after="60" w:line="240" w:lineRule="auto"/>
        <w:ind w:left="993" w:right="119" w:hanging="567"/>
        <w:contextualSpacing w:val="0"/>
        <w:jc w:val="both"/>
        <w:rPr>
          <w:rFonts w:eastAsia="Times New Roman" w:cstheme="minorHAnsi"/>
        </w:rPr>
      </w:pPr>
      <w:r w:rsidRPr="00CE6090">
        <w:rPr>
          <w:rFonts w:eastAsia="Times New Roman" w:cstheme="minorHAnsi"/>
        </w:rPr>
        <w:t xml:space="preserve">Supervision and management of employees </w:t>
      </w:r>
    </w:p>
    <w:p w14:paraId="733D9514" w14:textId="77777777" w:rsidR="00CE251E" w:rsidRPr="00CE6090" w:rsidRDefault="00CE251E" w:rsidP="000C29DC">
      <w:pPr>
        <w:pStyle w:val="ListParagraph"/>
        <w:numPr>
          <w:ilvl w:val="0"/>
          <w:numId w:val="17"/>
        </w:numPr>
        <w:spacing w:after="60" w:line="240" w:lineRule="auto"/>
        <w:ind w:left="993" w:right="119" w:hanging="567"/>
        <w:contextualSpacing w:val="0"/>
        <w:jc w:val="both"/>
        <w:rPr>
          <w:rFonts w:eastAsia="Times New Roman" w:cstheme="minorHAnsi"/>
        </w:rPr>
      </w:pPr>
      <w:r w:rsidRPr="00CE6090">
        <w:rPr>
          <w:rFonts w:eastAsia="Times New Roman" w:cstheme="minorHAnsi"/>
        </w:rPr>
        <w:t xml:space="preserve">Access to information </w:t>
      </w:r>
    </w:p>
    <w:p w14:paraId="1C8D15D5" w14:textId="77777777" w:rsidR="00CE251E" w:rsidRPr="00CE6090" w:rsidRDefault="00CE251E" w:rsidP="000C29DC">
      <w:pPr>
        <w:pStyle w:val="ListParagraph"/>
        <w:numPr>
          <w:ilvl w:val="0"/>
          <w:numId w:val="17"/>
        </w:numPr>
        <w:spacing w:after="60" w:line="240" w:lineRule="auto"/>
        <w:ind w:left="993" w:right="119" w:hanging="567"/>
        <w:contextualSpacing w:val="0"/>
        <w:jc w:val="both"/>
        <w:rPr>
          <w:rFonts w:eastAsia="Times New Roman" w:cstheme="minorHAnsi"/>
        </w:rPr>
      </w:pPr>
      <w:r w:rsidRPr="00CE6090">
        <w:rPr>
          <w:rFonts w:eastAsia="Times New Roman" w:cstheme="minorHAnsi"/>
        </w:rPr>
        <w:t xml:space="preserve">Conditions of employment </w:t>
      </w:r>
    </w:p>
    <w:p w14:paraId="6B8B3FB4" w14:textId="77777777" w:rsidR="00CE251E" w:rsidRPr="00CE6090" w:rsidRDefault="00CE251E" w:rsidP="000C29DC">
      <w:pPr>
        <w:pStyle w:val="ListParagraph"/>
        <w:numPr>
          <w:ilvl w:val="0"/>
          <w:numId w:val="15"/>
        </w:numPr>
        <w:spacing w:after="240" w:line="240" w:lineRule="auto"/>
        <w:ind w:left="993" w:right="119" w:hanging="567"/>
        <w:contextualSpacing w:val="0"/>
        <w:jc w:val="both"/>
        <w:rPr>
          <w:rFonts w:eastAsia="Times New Roman" w:cstheme="minorHAnsi"/>
        </w:rPr>
      </w:pPr>
      <w:r w:rsidRPr="00CE6090">
        <w:rPr>
          <w:rFonts w:eastAsia="Times New Roman" w:cstheme="minorHAnsi"/>
        </w:rPr>
        <w:t xml:space="preserve">Access to Employee Assistance Program. </w:t>
      </w:r>
    </w:p>
    <w:p w14:paraId="5817C67D" w14:textId="77777777" w:rsidR="00CE251E" w:rsidRPr="00862911" w:rsidRDefault="00CE251E" w:rsidP="00CE251E">
      <w:pPr>
        <w:spacing w:after="0" w:line="240" w:lineRule="auto"/>
        <w:ind w:right="118"/>
        <w:jc w:val="both"/>
        <w:rPr>
          <w:rFonts w:eastAsia="Times New Roman" w:cstheme="minorHAnsi"/>
          <w:b/>
        </w:rPr>
      </w:pPr>
      <w:r w:rsidRPr="00862911">
        <w:rPr>
          <w:rFonts w:eastAsia="Times New Roman" w:cstheme="minorHAnsi"/>
          <w:b/>
          <w:bCs/>
        </w:rPr>
        <w:t xml:space="preserve">Training and Professional Development </w:t>
      </w:r>
    </w:p>
    <w:p w14:paraId="23268B0B" w14:textId="77777777" w:rsidR="00CE251E" w:rsidRPr="00CE6090" w:rsidRDefault="00CE251E" w:rsidP="00CE251E">
      <w:pPr>
        <w:spacing w:after="240" w:line="240" w:lineRule="auto"/>
        <w:ind w:right="118"/>
        <w:jc w:val="both"/>
        <w:rPr>
          <w:rFonts w:eastAsia="Times New Roman" w:cstheme="minorHAnsi"/>
        </w:rPr>
      </w:pPr>
      <w:r w:rsidRPr="00CE6090">
        <w:rPr>
          <w:rFonts w:eastAsia="Times New Roman" w:cstheme="minorHAnsi"/>
        </w:rPr>
        <w:lastRenderedPageBreak/>
        <w:t xml:space="preserve">The Town of East Fremantle recognises that continuing focus on the career development of its employees is a beneficial strategy in retaining staff and developing each employee’s potential. </w:t>
      </w:r>
    </w:p>
    <w:p w14:paraId="18B0F27A" w14:textId="77777777" w:rsidR="00CE251E" w:rsidRPr="00CE6090" w:rsidRDefault="00CE251E" w:rsidP="00CE251E">
      <w:pPr>
        <w:spacing w:after="240" w:line="240" w:lineRule="auto"/>
        <w:ind w:right="118"/>
        <w:jc w:val="both"/>
        <w:rPr>
          <w:rFonts w:eastAsia="Times New Roman" w:cstheme="minorHAnsi"/>
        </w:rPr>
      </w:pPr>
      <w:r w:rsidRPr="00CE6090">
        <w:rPr>
          <w:rFonts w:eastAsia="Times New Roman" w:cstheme="minorHAnsi"/>
        </w:rPr>
        <w:t xml:space="preserve">The Town supports the development and use of structured career path plans and will provide all employees with the opportunity to participate in training and development programs at the Town of East Fremantle’s expense where training / development complements the Town’s goals and strategies and is consistent with the skills identified during the performance appraisal process. </w:t>
      </w:r>
    </w:p>
    <w:p w14:paraId="5752DEC0" w14:textId="77777777" w:rsidR="00CE251E" w:rsidRPr="00812BA6" w:rsidRDefault="00CE251E" w:rsidP="00CE251E">
      <w:pPr>
        <w:spacing w:after="240" w:line="240" w:lineRule="auto"/>
        <w:ind w:right="118"/>
        <w:jc w:val="both"/>
        <w:rPr>
          <w:rFonts w:eastAsia="Times New Roman" w:cstheme="minorHAnsi"/>
          <w:i/>
          <w:u w:val="single"/>
        </w:rPr>
      </w:pPr>
      <w:r w:rsidRPr="00CE6090">
        <w:rPr>
          <w:rFonts w:eastAsia="Times New Roman" w:cstheme="minorHAnsi"/>
        </w:rPr>
        <w:t xml:space="preserve">Education, being general, tertiary and professional skills and qualifications is the responsibility of the individual employee, but the Town may support employees who endeavour to further their education (if it relates to their position), through the provision of a financial subsidy and / or time off for study which will be identified and included in the employees Training Plan by the employee’s </w:t>
      </w:r>
      <w:r w:rsidRPr="00812BA6">
        <w:rPr>
          <w:rFonts w:eastAsia="Times New Roman" w:cstheme="minorHAnsi"/>
        </w:rPr>
        <w:t>Manager and approved by the Chief Executive Officer.</w:t>
      </w:r>
    </w:p>
    <w:p w14:paraId="213860F1" w14:textId="77777777" w:rsidR="00CE251E" w:rsidRPr="00862911" w:rsidRDefault="00CE251E" w:rsidP="00CE251E">
      <w:pPr>
        <w:spacing w:after="0" w:line="240" w:lineRule="auto"/>
        <w:ind w:right="118"/>
        <w:jc w:val="both"/>
        <w:rPr>
          <w:rFonts w:eastAsia="Times New Roman" w:cstheme="minorHAnsi"/>
          <w:b/>
        </w:rPr>
      </w:pPr>
      <w:r w:rsidRPr="00862911">
        <w:rPr>
          <w:rFonts w:eastAsia="Times New Roman" w:cstheme="minorHAnsi"/>
          <w:b/>
        </w:rPr>
        <w:t>Recognition of Service</w:t>
      </w:r>
    </w:p>
    <w:p w14:paraId="0AEBB454" w14:textId="77777777" w:rsidR="00CE251E" w:rsidRPr="00CE6090" w:rsidRDefault="00CE251E" w:rsidP="00CE251E">
      <w:pPr>
        <w:spacing w:after="240" w:line="240" w:lineRule="auto"/>
        <w:ind w:right="118"/>
        <w:jc w:val="both"/>
        <w:rPr>
          <w:rFonts w:eastAsia="Times New Roman" w:cstheme="minorHAnsi"/>
        </w:rPr>
      </w:pPr>
      <w:r w:rsidRPr="00CE6090">
        <w:rPr>
          <w:rFonts w:eastAsia="Times New Roman" w:cstheme="minorHAnsi"/>
        </w:rPr>
        <w:t>The Town recognises the importance of rewarding staff for their commitment to the Town:</w:t>
      </w:r>
    </w:p>
    <w:p w14:paraId="0F71A587" w14:textId="77777777" w:rsidR="00CE251E" w:rsidRPr="00CE6090" w:rsidRDefault="00CE251E" w:rsidP="00CE251E">
      <w:pPr>
        <w:spacing w:after="240" w:line="240" w:lineRule="auto"/>
        <w:ind w:right="118"/>
        <w:jc w:val="both"/>
        <w:rPr>
          <w:rFonts w:eastAsia="Times New Roman" w:cstheme="minorHAnsi"/>
        </w:rPr>
      </w:pPr>
      <w:r w:rsidRPr="00812BA6">
        <w:rPr>
          <w:rFonts w:eastAsia="Times New Roman" w:cstheme="minorHAnsi"/>
          <w:i/>
        </w:rPr>
        <w:t>Staff attaining ten years of service</w:t>
      </w:r>
      <w:r w:rsidRPr="00CE6090">
        <w:rPr>
          <w:rFonts w:eastAsia="Times New Roman" w:cstheme="minorHAnsi"/>
          <w:b/>
        </w:rPr>
        <w:t xml:space="preserve">: </w:t>
      </w:r>
      <w:r w:rsidRPr="00CE6090">
        <w:rPr>
          <w:rFonts w:eastAsia="Times New Roman" w:cstheme="minorHAnsi"/>
        </w:rPr>
        <w:t>Presentation of a certificate and a gift voucher or equivalent to the value of two hundred dollars ($200).</w:t>
      </w:r>
    </w:p>
    <w:p w14:paraId="15E7E990" w14:textId="77777777" w:rsidR="00CE251E" w:rsidRPr="00CE6090" w:rsidRDefault="00CE251E" w:rsidP="00CE251E">
      <w:pPr>
        <w:spacing w:after="360" w:line="240" w:lineRule="auto"/>
        <w:ind w:right="118"/>
        <w:jc w:val="both"/>
        <w:rPr>
          <w:rFonts w:eastAsia="Times New Roman" w:cstheme="minorHAnsi"/>
        </w:rPr>
      </w:pPr>
      <w:r w:rsidRPr="00812BA6">
        <w:rPr>
          <w:rFonts w:eastAsia="Times New Roman" w:cstheme="minorHAnsi"/>
          <w:i/>
        </w:rPr>
        <w:t>Staff attaining twenty years of service</w:t>
      </w:r>
      <w:r w:rsidRPr="00CE6090">
        <w:rPr>
          <w:rFonts w:eastAsia="Times New Roman" w:cstheme="minorHAnsi"/>
        </w:rPr>
        <w:t>: The Town will acknowledge the contribution of employees who have completed twenty years of service with the Town by presenting a suitably engraved plaque at a function to be held at the employee’s workplace and a gift voucher or equivalent to the value of five hundred dollars ($500).</w:t>
      </w:r>
    </w:p>
    <w:tbl>
      <w:tblPr>
        <w:tblStyle w:val="TableGrid"/>
        <w:tblW w:w="0" w:type="auto"/>
        <w:tblLook w:val="04A0" w:firstRow="1" w:lastRow="0" w:firstColumn="1" w:lastColumn="0" w:noHBand="0" w:noVBand="1"/>
      </w:tblPr>
      <w:tblGrid>
        <w:gridCol w:w="3055"/>
        <w:gridCol w:w="5998"/>
      </w:tblGrid>
      <w:tr w:rsidR="00CE251E" w:rsidRPr="00CE6090" w14:paraId="1AE57C72" w14:textId="77777777" w:rsidTr="00D56721">
        <w:tc>
          <w:tcPr>
            <w:tcW w:w="3085" w:type="dxa"/>
          </w:tcPr>
          <w:p w14:paraId="7CF7F1A8" w14:textId="77777777" w:rsidR="00CE251E" w:rsidRPr="00CE6090" w:rsidRDefault="00CE251E" w:rsidP="00D56721">
            <w:pPr>
              <w:jc w:val="both"/>
              <w:rPr>
                <w:rFonts w:cstheme="minorHAnsi"/>
                <w:b/>
                <w:lang w:val="en-US"/>
              </w:rPr>
            </w:pPr>
            <w:r w:rsidRPr="00CE6090">
              <w:rPr>
                <w:rFonts w:cstheme="minorHAnsi"/>
                <w:b/>
                <w:lang w:val="en-US"/>
              </w:rPr>
              <w:t>Responsible Directorate:</w:t>
            </w:r>
          </w:p>
        </w:tc>
        <w:tc>
          <w:tcPr>
            <w:tcW w:w="6157" w:type="dxa"/>
          </w:tcPr>
          <w:p w14:paraId="4EFEAAA6" w14:textId="77777777" w:rsidR="00CE251E" w:rsidRPr="00CE6090" w:rsidRDefault="00CE251E" w:rsidP="00D56721">
            <w:pPr>
              <w:jc w:val="both"/>
              <w:rPr>
                <w:rFonts w:cstheme="minorHAnsi"/>
                <w:lang w:val="en-US"/>
              </w:rPr>
            </w:pPr>
            <w:r w:rsidRPr="00CE6090">
              <w:rPr>
                <w:rFonts w:cstheme="minorHAnsi"/>
                <w:lang w:val="en-US"/>
              </w:rPr>
              <w:t>Office of the Chief Executive Officer</w:t>
            </w:r>
          </w:p>
        </w:tc>
      </w:tr>
      <w:tr w:rsidR="00CE251E" w:rsidRPr="00CE6090" w14:paraId="4155D136" w14:textId="77777777" w:rsidTr="00D56721">
        <w:tc>
          <w:tcPr>
            <w:tcW w:w="3085" w:type="dxa"/>
          </w:tcPr>
          <w:p w14:paraId="70E3E898" w14:textId="77777777" w:rsidR="00CE251E" w:rsidRPr="00CE6090" w:rsidRDefault="00CE251E" w:rsidP="00D56721">
            <w:pPr>
              <w:jc w:val="both"/>
              <w:rPr>
                <w:rFonts w:cstheme="minorHAnsi"/>
                <w:b/>
                <w:lang w:val="en-US"/>
              </w:rPr>
            </w:pPr>
            <w:r w:rsidRPr="00CE6090">
              <w:rPr>
                <w:rFonts w:cstheme="minorHAnsi"/>
                <w:b/>
                <w:lang w:val="en-US"/>
              </w:rPr>
              <w:t>Reviewing Officer:</w:t>
            </w:r>
          </w:p>
        </w:tc>
        <w:tc>
          <w:tcPr>
            <w:tcW w:w="6157" w:type="dxa"/>
          </w:tcPr>
          <w:p w14:paraId="725EFE7C" w14:textId="77777777" w:rsidR="00CE251E" w:rsidRPr="00CE6090" w:rsidRDefault="00CE251E" w:rsidP="00D56721">
            <w:pPr>
              <w:jc w:val="both"/>
              <w:rPr>
                <w:rFonts w:cstheme="minorHAnsi"/>
                <w:lang w:val="en-US"/>
              </w:rPr>
            </w:pPr>
            <w:r w:rsidRPr="00CE6090">
              <w:rPr>
                <w:rFonts w:cstheme="minorHAnsi"/>
                <w:lang w:val="en-US"/>
              </w:rPr>
              <w:t>Human Resources Coordinator</w:t>
            </w:r>
          </w:p>
        </w:tc>
      </w:tr>
      <w:tr w:rsidR="00CE251E" w:rsidRPr="00CE6090" w14:paraId="1A38F293" w14:textId="77777777" w:rsidTr="00D56721">
        <w:tc>
          <w:tcPr>
            <w:tcW w:w="3085" w:type="dxa"/>
          </w:tcPr>
          <w:p w14:paraId="1447C954" w14:textId="77777777" w:rsidR="00CE251E" w:rsidRPr="00CE6090" w:rsidRDefault="00CE251E" w:rsidP="00D56721">
            <w:pPr>
              <w:rPr>
                <w:rFonts w:cstheme="minorHAnsi"/>
                <w:b/>
                <w:lang w:val="en-US"/>
              </w:rPr>
            </w:pPr>
            <w:r w:rsidRPr="00CE6090">
              <w:rPr>
                <w:rFonts w:cstheme="minorHAnsi"/>
                <w:b/>
                <w:lang w:val="en-US"/>
              </w:rPr>
              <w:t>Decision making Authority:</w:t>
            </w:r>
          </w:p>
        </w:tc>
        <w:tc>
          <w:tcPr>
            <w:tcW w:w="6157" w:type="dxa"/>
          </w:tcPr>
          <w:p w14:paraId="210364A6" w14:textId="77777777" w:rsidR="00CE251E" w:rsidRPr="00CE6090" w:rsidRDefault="00CE251E" w:rsidP="00D56721">
            <w:pPr>
              <w:jc w:val="both"/>
              <w:rPr>
                <w:rFonts w:cstheme="minorHAnsi"/>
                <w:lang w:val="en-US"/>
              </w:rPr>
            </w:pPr>
            <w:r w:rsidRPr="00CE6090">
              <w:rPr>
                <w:rFonts w:cstheme="minorHAnsi"/>
                <w:lang w:val="en-US"/>
              </w:rPr>
              <w:t>Council</w:t>
            </w:r>
          </w:p>
        </w:tc>
      </w:tr>
      <w:tr w:rsidR="00CE251E" w:rsidRPr="00CE6090" w14:paraId="13231FB5" w14:textId="77777777" w:rsidTr="00D56721">
        <w:tc>
          <w:tcPr>
            <w:tcW w:w="3085" w:type="dxa"/>
          </w:tcPr>
          <w:p w14:paraId="15BEA2B5" w14:textId="77777777" w:rsidR="00CE251E" w:rsidRPr="00CE6090" w:rsidRDefault="00CE251E" w:rsidP="00D56721">
            <w:pPr>
              <w:jc w:val="both"/>
              <w:rPr>
                <w:rFonts w:cstheme="minorHAnsi"/>
                <w:b/>
                <w:lang w:val="en-US"/>
              </w:rPr>
            </w:pPr>
            <w:r w:rsidRPr="00CE6090">
              <w:rPr>
                <w:rFonts w:cstheme="minorHAnsi"/>
                <w:b/>
                <w:lang w:val="en-US"/>
              </w:rPr>
              <w:t>Policy Adopted:</w:t>
            </w:r>
          </w:p>
        </w:tc>
        <w:tc>
          <w:tcPr>
            <w:tcW w:w="6157" w:type="dxa"/>
          </w:tcPr>
          <w:p w14:paraId="4D74C129" w14:textId="77777777" w:rsidR="00CE251E" w:rsidRPr="00CE6090" w:rsidRDefault="00CE251E" w:rsidP="00D56721">
            <w:pPr>
              <w:jc w:val="both"/>
              <w:rPr>
                <w:rFonts w:cstheme="minorHAnsi"/>
                <w:lang w:val="en-US"/>
              </w:rPr>
            </w:pPr>
            <w:r w:rsidRPr="00CE6090">
              <w:rPr>
                <w:rFonts w:cstheme="minorHAnsi"/>
                <w:lang w:val="en-US"/>
              </w:rPr>
              <w:t>21/3/17</w:t>
            </w:r>
          </w:p>
        </w:tc>
      </w:tr>
      <w:tr w:rsidR="00CE251E" w:rsidRPr="00CE6090" w14:paraId="7E484104" w14:textId="77777777" w:rsidTr="00D56721">
        <w:tc>
          <w:tcPr>
            <w:tcW w:w="3085" w:type="dxa"/>
          </w:tcPr>
          <w:p w14:paraId="4584261D" w14:textId="77777777" w:rsidR="00CE251E" w:rsidRPr="00CE6090" w:rsidRDefault="00CE251E" w:rsidP="00D56721">
            <w:pPr>
              <w:jc w:val="both"/>
              <w:rPr>
                <w:rFonts w:cstheme="minorHAnsi"/>
                <w:b/>
                <w:lang w:val="en-US"/>
              </w:rPr>
            </w:pPr>
            <w:r>
              <w:rPr>
                <w:rFonts w:cstheme="minorHAnsi"/>
                <w:b/>
                <w:lang w:val="en-US"/>
              </w:rPr>
              <w:t>Policy Amended/Reviewed:</w:t>
            </w:r>
          </w:p>
        </w:tc>
        <w:tc>
          <w:tcPr>
            <w:tcW w:w="6157" w:type="dxa"/>
          </w:tcPr>
          <w:p w14:paraId="79B70BAF" w14:textId="77777777" w:rsidR="00CE251E" w:rsidRPr="00CE6090" w:rsidRDefault="00204A62" w:rsidP="00204A62">
            <w:pPr>
              <w:jc w:val="both"/>
              <w:rPr>
                <w:rFonts w:cstheme="minorHAnsi"/>
                <w:lang w:val="en-US"/>
              </w:rPr>
            </w:pPr>
            <w:r>
              <w:rPr>
                <w:rFonts w:cstheme="minorHAnsi"/>
                <w:lang w:val="en-US"/>
              </w:rPr>
              <w:t>17/9/19</w:t>
            </w:r>
          </w:p>
        </w:tc>
      </w:tr>
      <w:tr w:rsidR="00CE251E" w:rsidRPr="00CE6090" w14:paraId="330A8F8E" w14:textId="77777777" w:rsidTr="00D56721">
        <w:tc>
          <w:tcPr>
            <w:tcW w:w="3085" w:type="dxa"/>
          </w:tcPr>
          <w:p w14:paraId="34F32DD1" w14:textId="77777777" w:rsidR="00CE251E" w:rsidRPr="00CE6090" w:rsidRDefault="00CE251E" w:rsidP="00D56721">
            <w:pPr>
              <w:jc w:val="both"/>
              <w:rPr>
                <w:rFonts w:cstheme="minorHAnsi"/>
                <w:b/>
                <w:lang w:val="en-US"/>
              </w:rPr>
            </w:pPr>
            <w:r>
              <w:rPr>
                <w:rFonts w:cstheme="minorHAnsi"/>
                <w:b/>
                <w:lang w:val="en-US"/>
              </w:rPr>
              <w:t>Former Policy No:</w:t>
            </w:r>
          </w:p>
        </w:tc>
        <w:tc>
          <w:tcPr>
            <w:tcW w:w="6157" w:type="dxa"/>
          </w:tcPr>
          <w:p w14:paraId="70316C09" w14:textId="77777777" w:rsidR="00CE251E" w:rsidRPr="00CE6090" w:rsidRDefault="00CE251E" w:rsidP="00D56721">
            <w:pPr>
              <w:jc w:val="both"/>
              <w:rPr>
                <w:rFonts w:cstheme="minorHAnsi"/>
                <w:lang w:val="en-US"/>
              </w:rPr>
            </w:pPr>
            <w:r>
              <w:rPr>
                <w:rFonts w:cstheme="minorHAnsi"/>
                <w:lang w:val="en-US"/>
              </w:rPr>
              <w:t>4.2.5</w:t>
            </w:r>
          </w:p>
        </w:tc>
      </w:tr>
    </w:tbl>
    <w:p w14:paraId="3731FED9" w14:textId="77777777" w:rsidR="00CE251E" w:rsidRPr="00CE6090" w:rsidRDefault="00CE251E" w:rsidP="00CE251E">
      <w:pPr>
        <w:spacing w:after="0" w:line="240" w:lineRule="auto"/>
        <w:ind w:right="118"/>
        <w:jc w:val="both"/>
        <w:rPr>
          <w:rFonts w:eastAsia="Times New Roman" w:cstheme="minorHAnsi"/>
        </w:rPr>
      </w:pPr>
    </w:p>
    <w:p w14:paraId="140A9085" w14:textId="77777777" w:rsidR="002475E2" w:rsidRDefault="002475E2" w:rsidP="002475E2">
      <w:pPr>
        <w:jc w:val="both"/>
        <w:rPr>
          <w:rFonts w:cstheme="minorHAnsi"/>
          <w:lang w:val="en-US"/>
        </w:rPr>
      </w:pPr>
    </w:p>
    <w:p w14:paraId="7456EEF1" w14:textId="77777777" w:rsidR="002475E2" w:rsidRDefault="002475E2" w:rsidP="002475E2">
      <w:pPr>
        <w:rPr>
          <w:lang w:val="en-US"/>
        </w:rPr>
      </w:pPr>
      <w:r>
        <w:rPr>
          <w:lang w:val="en-US"/>
        </w:rPr>
        <w:br w:type="page"/>
      </w:r>
    </w:p>
    <w:p w14:paraId="46198F55" w14:textId="3352BE5A" w:rsidR="0096673E" w:rsidRDefault="003369A9" w:rsidP="0096673E">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53120" behindDoc="1" locked="0" layoutInCell="1" allowOverlap="1" wp14:anchorId="08CFC7A2" wp14:editId="5D6373B6">
            <wp:simplePos x="0" y="0"/>
            <wp:positionH relativeFrom="column">
              <wp:posOffset>4010025</wp:posOffset>
            </wp:positionH>
            <wp:positionV relativeFrom="paragraph">
              <wp:posOffset>9525</wp:posOffset>
            </wp:positionV>
            <wp:extent cx="1744345" cy="699135"/>
            <wp:effectExtent l="0" t="0" r="8255" b="5715"/>
            <wp:wrapTight wrapText="bothSides">
              <wp:wrapPolygon edited="0">
                <wp:start x="0" y="0"/>
                <wp:lineTo x="0" y="21188"/>
                <wp:lineTo x="21466" y="21188"/>
                <wp:lineTo x="21466" y="0"/>
                <wp:lineTo x="0" y="0"/>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5D9C8C6A" w14:textId="77777777" w:rsidR="00D56721" w:rsidRPr="00862911" w:rsidRDefault="00D56721" w:rsidP="00D56721">
      <w:pPr>
        <w:pStyle w:val="Title"/>
        <w:pBdr>
          <w:bottom w:val="none" w:sz="0" w:space="0" w:color="auto"/>
        </w:pBdr>
        <w:spacing w:after="120"/>
        <w:ind w:left="1134" w:hanging="1134"/>
        <w:contextualSpacing w:val="0"/>
        <w:rPr>
          <w:rFonts w:asciiTheme="minorHAnsi" w:hAnsiTheme="minorHAnsi" w:cstheme="minorHAnsi"/>
          <w:b/>
          <w:sz w:val="28"/>
          <w:szCs w:val="28"/>
          <w:lang w:val="en-US"/>
        </w:rPr>
      </w:pPr>
    </w:p>
    <w:p w14:paraId="007A4808" w14:textId="77777777" w:rsidR="003369A9" w:rsidRDefault="003369A9" w:rsidP="00D24C10">
      <w:pPr>
        <w:pStyle w:val="Policy3"/>
      </w:pPr>
    </w:p>
    <w:p w14:paraId="5F3FCE38" w14:textId="77777777" w:rsidR="003369A9" w:rsidRDefault="003369A9" w:rsidP="00D24C10">
      <w:pPr>
        <w:pStyle w:val="Policy3"/>
      </w:pPr>
    </w:p>
    <w:p w14:paraId="59C3A4DC" w14:textId="3FC0AF8B" w:rsidR="0096673E" w:rsidRPr="00862911" w:rsidRDefault="008B638F" w:rsidP="00D24C10">
      <w:pPr>
        <w:pStyle w:val="Policy3"/>
      </w:pPr>
      <w:bookmarkStart w:id="120" w:name="_Toc216866664"/>
      <w:r>
        <w:t>1</w:t>
      </w:r>
      <w:r w:rsidR="0096673E" w:rsidRPr="00862911">
        <w:t>.2.4</w:t>
      </w:r>
      <w:r w:rsidR="0096673E" w:rsidRPr="00862911">
        <w:tab/>
        <w:t>G</w:t>
      </w:r>
      <w:r w:rsidR="00D24C10">
        <w:t>ratuity Payment</w:t>
      </w:r>
      <w:bookmarkEnd w:id="120"/>
    </w:p>
    <w:tbl>
      <w:tblPr>
        <w:tblStyle w:val="TableGrid"/>
        <w:tblW w:w="0" w:type="auto"/>
        <w:tblLook w:val="04A0" w:firstRow="1" w:lastRow="0" w:firstColumn="1" w:lastColumn="0" w:noHBand="0" w:noVBand="1"/>
      </w:tblPr>
      <w:tblGrid>
        <w:gridCol w:w="3026"/>
        <w:gridCol w:w="5990"/>
      </w:tblGrid>
      <w:tr w:rsidR="0096673E" w:rsidRPr="00D56721" w14:paraId="4A280F33" w14:textId="77777777" w:rsidTr="00D56721">
        <w:tc>
          <w:tcPr>
            <w:tcW w:w="3026" w:type="dxa"/>
          </w:tcPr>
          <w:p w14:paraId="41986A68" w14:textId="77777777" w:rsidR="0096673E" w:rsidRPr="00D56721" w:rsidRDefault="0096673E" w:rsidP="00D56721">
            <w:pPr>
              <w:rPr>
                <w:rFonts w:cstheme="minorHAnsi"/>
                <w:b/>
                <w:lang w:val="en-US"/>
              </w:rPr>
            </w:pPr>
            <w:r w:rsidRPr="00D56721">
              <w:rPr>
                <w:rFonts w:cstheme="minorHAnsi"/>
                <w:b/>
                <w:lang w:val="en-US"/>
              </w:rPr>
              <w:t>Type:</w:t>
            </w:r>
          </w:p>
        </w:tc>
        <w:tc>
          <w:tcPr>
            <w:tcW w:w="5990" w:type="dxa"/>
          </w:tcPr>
          <w:p w14:paraId="0F36F37F" w14:textId="77777777" w:rsidR="0096673E" w:rsidRPr="00D56721" w:rsidRDefault="00D56721" w:rsidP="00D56721">
            <w:pPr>
              <w:rPr>
                <w:rFonts w:cstheme="minorHAnsi"/>
                <w:lang w:val="en-US"/>
              </w:rPr>
            </w:pPr>
            <w:r>
              <w:rPr>
                <w:rFonts w:cstheme="minorHAnsi"/>
                <w:lang w:val="en-US"/>
              </w:rPr>
              <w:t>Office of the CEO – Human Resources</w:t>
            </w:r>
          </w:p>
        </w:tc>
      </w:tr>
      <w:tr w:rsidR="0096673E" w:rsidRPr="00D56721" w14:paraId="77BBD1CF" w14:textId="77777777" w:rsidTr="00D56721">
        <w:tc>
          <w:tcPr>
            <w:tcW w:w="3026" w:type="dxa"/>
          </w:tcPr>
          <w:p w14:paraId="7DDBFCFA" w14:textId="77777777" w:rsidR="0096673E" w:rsidRPr="00D56721" w:rsidRDefault="0096673E" w:rsidP="00D56721">
            <w:pPr>
              <w:rPr>
                <w:rFonts w:cstheme="minorHAnsi"/>
                <w:b/>
                <w:lang w:val="en-US"/>
              </w:rPr>
            </w:pPr>
            <w:r w:rsidRPr="00D56721">
              <w:rPr>
                <w:rFonts w:cstheme="minorHAnsi"/>
                <w:b/>
                <w:lang w:val="en-US"/>
              </w:rPr>
              <w:t>Legislation:</w:t>
            </w:r>
          </w:p>
        </w:tc>
        <w:tc>
          <w:tcPr>
            <w:tcW w:w="5990" w:type="dxa"/>
          </w:tcPr>
          <w:p w14:paraId="7B8500C5" w14:textId="77777777" w:rsidR="0096673E" w:rsidRPr="00D56721" w:rsidRDefault="0096673E" w:rsidP="00D56721">
            <w:pPr>
              <w:rPr>
                <w:rFonts w:cstheme="minorHAnsi"/>
                <w:lang w:val="en-US"/>
              </w:rPr>
            </w:pPr>
            <w:r w:rsidRPr="00D56721">
              <w:rPr>
                <w:rFonts w:cstheme="minorHAnsi"/>
                <w:lang w:val="en-US"/>
              </w:rPr>
              <w:t>Local Government Act 1995</w:t>
            </w:r>
          </w:p>
          <w:p w14:paraId="387B92CF" w14:textId="77777777" w:rsidR="0096673E" w:rsidRPr="00D56721" w:rsidRDefault="0096673E" w:rsidP="00D56721">
            <w:pPr>
              <w:rPr>
                <w:rFonts w:cstheme="minorHAnsi"/>
                <w:lang w:val="en-US"/>
              </w:rPr>
            </w:pPr>
            <w:r w:rsidRPr="00D56721">
              <w:rPr>
                <w:rFonts w:cstheme="minorHAnsi"/>
                <w:lang w:val="en-US"/>
              </w:rPr>
              <w:t>Local Government (Administration) Regulations 1996</w:t>
            </w:r>
          </w:p>
        </w:tc>
      </w:tr>
      <w:tr w:rsidR="0096673E" w:rsidRPr="00D56721" w14:paraId="07BD7A04" w14:textId="77777777" w:rsidTr="00D56721">
        <w:tc>
          <w:tcPr>
            <w:tcW w:w="3026" w:type="dxa"/>
          </w:tcPr>
          <w:p w14:paraId="7B6CDE64" w14:textId="77777777" w:rsidR="0096673E" w:rsidRPr="00D56721" w:rsidRDefault="0096673E" w:rsidP="00D56721">
            <w:pPr>
              <w:rPr>
                <w:rFonts w:cstheme="minorHAnsi"/>
                <w:b/>
                <w:lang w:val="en-US"/>
              </w:rPr>
            </w:pPr>
            <w:r w:rsidRPr="00D56721">
              <w:rPr>
                <w:rFonts w:cstheme="minorHAnsi"/>
                <w:b/>
                <w:lang w:val="en-US"/>
              </w:rPr>
              <w:t>Delegation:</w:t>
            </w:r>
          </w:p>
        </w:tc>
        <w:tc>
          <w:tcPr>
            <w:tcW w:w="5990" w:type="dxa"/>
          </w:tcPr>
          <w:p w14:paraId="1A9CAD9F" w14:textId="77777777" w:rsidR="0096673E" w:rsidRPr="00D56721" w:rsidRDefault="0096673E" w:rsidP="00D56721">
            <w:pPr>
              <w:rPr>
                <w:rFonts w:cstheme="minorHAnsi"/>
                <w:lang w:val="en-US"/>
              </w:rPr>
            </w:pPr>
            <w:r w:rsidRPr="00D56721">
              <w:rPr>
                <w:rFonts w:cstheme="minorHAnsi"/>
                <w:lang w:val="en-US"/>
              </w:rPr>
              <w:t xml:space="preserve">DA74 </w:t>
            </w:r>
            <w:r w:rsidR="00D56721">
              <w:rPr>
                <w:rFonts w:cstheme="minorHAnsi"/>
                <w:lang w:val="en-US"/>
              </w:rPr>
              <w:t xml:space="preserve">Authority to make </w:t>
            </w:r>
            <w:r w:rsidRPr="00D56721">
              <w:rPr>
                <w:rFonts w:cstheme="minorHAnsi"/>
                <w:lang w:val="en-US"/>
              </w:rPr>
              <w:t>Gratuity Payments</w:t>
            </w:r>
            <w:r w:rsidR="00D56721">
              <w:rPr>
                <w:rFonts w:cstheme="minorHAnsi"/>
                <w:lang w:val="en-US"/>
              </w:rPr>
              <w:t xml:space="preserve"> to Departing Staff</w:t>
            </w:r>
          </w:p>
        </w:tc>
      </w:tr>
      <w:tr w:rsidR="0096673E" w:rsidRPr="00D56721" w14:paraId="0CE28A8C" w14:textId="77777777" w:rsidTr="00D56721">
        <w:tc>
          <w:tcPr>
            <w:tcW w:w="3026" w:type="dxa"/>
          </w:tcPr>
          <w:p w14:paraId="0AFEA959" w14:textId="77777777" w:rsidR="0096673E" w:rsidRPr="00D56721" w:rsidRDefault="0096673E" w:rsidP="00D56721">
            <w:pPr>
              <w:rPr>
                <w:rFonts w:cstheme="minorHAnsi"/>
                <w:b/>
                <w:lang w:val="en-US"/>
              </w:rPr>
            </w:pPr>
            <w:r w:rsidRPr="00D56721">
              <w:rPr>
                <w:rFonts w:cstheme="minorHAnsi"/>
                <w:b/>
                <w:lang w:val="en-US"/>
              </w:rPr>
              <w:t>Other Related Document:</w:t>
            </w:r>
          </w:p>
        </w:tc>
        <w:tc>
          <w:tcPr>
            <w:tcW w:w="5990" w:type="dxa"/>
          </w:tcPr>
          <w:p w14:paraId="66B37028" w14:textId="77777777" w:rsidR="0096673E" w:rsidRPr="00D56721" w:rsidRDefault="00D56721" w:rsidP="00D56721">
            <w:pPr>
              <w:rPr>
                <w:rFonts w:cstheme="minorHAnsi"/>
                <w:lang w:val="en-US"/>
              </w:rPr>
            </w:pPr>
            <w:r>
              <w:rPr>
                <w:rFonts w:cstheme="minorHAnsi"/>
                <w:lang w:val="en-US"/>
              </w:rPr>
              <w:t>Nil</w:t>
            </w:r>
          </w:p>
        </w:tc>
      </w:tr>
    </w:tbl>
    <w:p w14:paraId="69E9D26E" w14:textId="77777777" w:rsidR="0096673E" w:rsidRPr="00862911" w:rsidRDefault="0096673E" w:rsidP="00862911">
      <w:pPr>
        <w:spacing w:before="240" w:after="0"/>
        <w:rPr>
          <w:b/>
          <w:sz w:val="28"/>
          <w:szCs w:val="28"/>
          <w:lang w:val="en-US"/>
        </w:rPr>
      </w:pPr>
      <w:r w:rsidRPr="00862911">
        <w:rPr>
          <w:b/>
          <w:sz w:val="28"/>
          <w:szCs w:val="28"/>
          <w:lang w:val="en-US"/>
        </w:rPr>
        <w:t>Policy Statement</w:t>
      </w:r>
    </w:p>
    <w:p w14:paraId="4A3AC14B" w14:textId="77777777" w:rsidR="0096673E" w:rsidRDefault="0096673E" w:rsidP="0096673E">
      <w:pPr>
        <w:tabs>
          <w:tab w:val="left" w:pos="9356"/>
          <w:tab w:val="left" w:pos="10206"/>
        </w:tabs>
        <w:spacing w:after="0" w:line="240" w:lineRule="auto"/>
        <w:ind w:right="284"/>
        <w:jc w:val="both"/>
        <w:rPr>
          <w:rFonts w:cstheme="minorHAnsi"/>
        </w:rPr>
      </w:pPr>
      <w:r w:rsidRPr="00D56721">
        <w:rPr>
          <w:rFonts w:cstheme="minorHAnsi"/>
        </w:rPr>
        <w:t xml:space="preserve">The Policy, which is </w:t>
      </w:r>
      <w:r w:rsidRPr="00D56721">
        <w:rPr>
          <w:rFonts w:cstheme="minorHAnsi"/>
          <w:b/>
        </w:rPr>
        <w:t>discretionary</w:t>
      </w:r>
      <w:r w:rsidRPr="00D56721">
        <w:rPr>
          <w:rFonts w:cstheme="minorHAnsi"/>
        </w:rPr>
        <w:t>, allows the CEO and Council to make a payment to recognise the loyal and dedicated service of employees to the Town of East Fremantle.</w:t>
      </w:r>
    </w:p>
    <w:p w14:paraId="4B163356" w14:textId="77777777" w:rsidR="00FC6FDE" w:rsidRPr="00D56721" w:rsidRDefault="00FC6FDE" w:rsidP="0096673E">
      <w:pPr>
        <w:tabs>
          <w:tab w:val="left" w:pos="9356"/>
          <w:tab w:val="left" w:pos="10206"/>
        </w:tabs>
        <w:spacing w:after="0" w:line="240" w:lineRule="auto"/>
        <w:ind w:right="284"/>
        <w:jc w:val="both"/>
        <w:rPr>
          <w:rFonts w:cstheme="minorHAnsi"/>
        </w:rPr>
      </w:pPr>
    </w:p>
    <w:p w14:paraId="2DBC42F5" w14:textId="77777777" w:rsidR="0096673E" w:rsidRPr="00D56721" w:rsidRDefault="0096673E" w:rsidP="00D56721">
      <w:pPr>
        <w:tabs>
          <w:tab w:val="left" w:pos="9356"/>
          <w:tab w:val="left" w:pos="10206"/>
        </w:tabs>
        <w:spacing w:line="240" w:lineRule="auto"/>
        <w:ind w:right="284"/>
        <w:jc w:val="both"/>
        <w:rPr>
          <w:rFonts w:cstheme="minorHAnsi"/>
          <w:b/>
        </w:rPr>
      </w:pPr>
      <w:r w:rsidRPr="00D56721">
        <w:rPr>
          <w:rFonts w:cstheme="minorHAnsi"/>
        </w:rPr>
        <w:t>When an employee leaves their employment or is made redundant, they may be given a good or service as a token of appreciation for their commitment and service to the Town of East Fremantle</w:t>
      </w:r>
      <w:r w:rsidRPr="00D56721">
        <w:rPr>
          <w:rFonts w:cstheme="minorHAnsi"/>
          <w:b/>
        </w:rPr>
        <w:t>.</w:t>
      </w:r>
    </w:p>
    <w:p w14:paraId="2A618D3E" w14:textId="77777777" w:rsidR="0096673E" w:rsidRPr="00862911" w:rsidRDefault="0096673E" w:rsidP="00812BA6">
      <w:pPr>
        <w:spacing w:before="200" w:after="0"/>
        <w:rPr>
          <w:b/>
          <w:sz w:val="28"/>
          <w:szCs w:val="28"/>
          <w:lang w:val="en-US"/>
        </w:rPr>
      </w:pPr>
      <w:r w:rsidRPr="00862911">
        <w:rPr>
          <w:b/>
          <w:sz w:val="28"/>
          <w:szCs w:val="28"/>
          <w:lang w:val="en-US"/>
        </w:rPr>
        <w:t>Policy Scope</w:t>
      </w:r>
    </w:p>
    <w:p w14:paraId="7B744E00" w14:textId="77777777" w:rsidR="0096673E" w:rsidRPr="00D56721" w:rsidRDefault="0096673E" w:rsidP="0096673E">
      <w:pPr>
        <w:spacing w:after="0" w:line="240" w:lineRule="auto"/>
        <w:jc w:val="both"/>
        <w:rPr>
          <w:rFonts w:cstheme="minorHAnsi"/>
        </w:rPr>
      </w:pPr>
      <w:r w:rsidRPr="00D56721">
        <w:rPr>
          <w:rFonts w:cstheme="minorHAnsi"/>
        </w:rPr>
        <w:t xml:space="preserve">This Gratuity Policy outlines the circumstances in which gratuity payments may be made to an employee. This policy should be read in conjunction with section 5.50 of the </w:t>
      </w:r>
      <w:r w:rsidRPr="00D56721">
        <w:rPr>
          <w:rFonts w:cstheme="minorHAnsi"/>
          <w:i/>
        </w:rPr>
        <w:t>Local Government Act 1995</w:t>
      </w:r>
      <w:r w:rsidRPr="00D56721">
        <w:rPr>
          <w:rFonts w:cstheme="minorHAnsi"/>
        </w:rPr>
        <w:t xml:space="preserve"> and </w:t>
      </w:r>
      <w:r w:rsidRPr="00D56721">
        <w:rPr>
          <w:rFonts w:cstheme="minorHAnsi"/>
          <w:i/>
        </w:rPr>
        <w:t>Local Government Administration Regulations 1996</w:t>
      </w:r>
      <w:r w:rsidRPr="00D56721">
        <w:rPr>
          <w:rFonts w:cstheme="minorHAnsi"/>
        </w:rPr>
        <w:t>, specifically regulation 19a. A gratuity payment is paid in addition to any amount which an employee is entitled to under a contract of employment or industrial instrument. This policy does not form a contractual entitlement for any employee of the Local Government.</w:t>
      </w:r>
    </w:p>
    <w:p w14:paraId="37E144F8" w14:textId="77777777" w:rsidR="0096673E" w:rsidRPr="00862911" w:rsidRDefault="0096673E" w:rsidP="00812BA6">
      <w:pPr>
        <w:spacing w:before="200" w:after="60"/>
        <w:rPr>
          <w:b/>
          <w:sz w:val="28"/>
          <w:szCs w:val="28"/>
          <w:lang w:val="en-US"/>
        </w:rPr>
      </w:pPr>
      <w:r w:rsidRPr="00862911">
        <w:rPr>
          <w:b/>
          <w:sz w:val="28"/>
          <w:szCs w:val="28"/>
          <w:lang w:val="en-US"/>
        </w:rPr>
        <w:t xml:space="preserve">Policy </w:t>
      </w:r>
    </w:p>
    <w:p w14:paraId="581FB862" w14:textId="77777777" w:rsidR="0096673E" w:rsidRPr="00862911" w:rsidRDefault="0096673E" w:rsidP="00D56721">
      <w:pPr>
        <w:tabs>
          <w:tab w:val="left" w:pos="9356"/>
          <w:tab w:val="left" w:pos="10206"/>
        </w:tabs>
        <w:spacing w:after="0" w:line="240" w:lineRule="auto"/>
        <w:ind w:right="284"/>
        <w:jc w:val="both"/>
        <w:rPr>
          <w:rFonts w:cstheme="minorHAnsi"/>
          <w:b/>
        </w:rPr>
      </w:pPr>
      <w:r w:rsidRPr="00862911">
        <w:rPr>
          <w:rFonts w:cstheme="minorHAnsi"/>
          <w:b/>
        </w:rPr>
        <w:t>Commitment</w:t>
      </w:r>
    </w:p>
    <w:p w14:paraId="53F15CB8" w14:textId="77777777" w:rsidR="0096673E" w:rsidRPr="00D56721" w:rsidRDefault="0096673E" w:rsidP="00D56721">
      <w:pPr>
        <w:tabs>
          <w:tab w:val="left" w:pos="9356"/>
          <w:tab w:val="left" w:pos="10206"/>
        </w:tabs>
        <w:spacing w:line="240" w:lineRule="auto"/>
        <w:ind w:right="284"/>
        <w:jc w:val="both"/>
        <w:rPr>
          <w:rFonts w:cstheme="minorHAnsi"/>
        </w:rPr>
      </w:pPr>
      <w:r w:rsidRPr="00D56721">
        <w:rPr>
          <w:rFonts w:cstheme="minorHAnsi"/>
        </w:rPr>
        <w:t xml:space="preserve">The Town of East Fremantle is committed to recognising long serving employees within the parameters set by the </w:t>
      </w:r>
      <w:r w:rsidRPr="00D56721">
        <w:rPr>
          <w:rFonts w:cstheme="minorHAnsi"/>
          <w:i/>
        </w:rPr>
        <w:t>Local Government Act 1995</w:t>
      </w:r>
      <w:r w:rsidRPr="00D56721">
        <w:rPr>
          <w:rFonts w:cstheme="minorHAnsi"/>
        </w:rPr>
        <w:t xml:space="preserve"> and the associated regulations.</w:t>
      </w:r>
    </w:p>
    <w:p w14:paraId="6D7EE5DE" w14:textId="77777777" w:rsidR="0096673E" w:rsidRPr="00862911" w:rsidRDefault="0096673E" w:rsidP="00D56721">
      <w:pPr>
        <w:tabs>
          <w:tab w:val="left" w:pos="9356"/>
          <w:tab w:val="left" w:pos="10206"/>
        </w:tabs>
        <w:spacing w:after="0" w:line="240" w:lineRule="auto"/>
        <w:ind w:right="284"/>
        <w:jc w:val="both"/>
        <w:rPr>
          <w:rFonts w:cstheme="minorHAnsi"/>
          <w:b/>
        </w:rPr>
      </w:pPr>
      <w:r w:rsidRPr="00862911">
        <w:rPr>
          <w:rFonts w:cstheme="minorHAnsi"/>
          <w:b/>
        </w:rPr>
        <w:t>Eligibility for Gratuity Payments</w:t>
      </w:r>
    </w:p>
    <w:p w14:paraId="38456C7C" w14:textId="77777777" w:rsidR="0096673E" w:rsidRPr="00D56721" w:rsidRDefault="0096673E" w:rsidP="0096673E">
      <w:pPr>
        <w:tabs>
          <w:tab w:val="left" w:pos="9356"/>
          <w:tab w:val="left" w:pos="10206"/>
        </w:tabs>
        <w:spacing w:after="120" w:line="240" w:lineRule="auto"/>
        <w:ind w:right="284"/>
        <w:jc w:val="both"/>
        <w:rPr>
          <w:rFonts w:cstheme="minorHAnsi"/>
        </w:rPr>
      </w:pPr>
      <w:r w:rsidRPr="00D56721">
        <w:rPr>
          <w:rFonts w:cstheme="minorHAnsi"/>
        </w:rPr>
        <w:t>An employee may be entitled to a gratuity payment as outlined within this policy based on the completed years of service when an employee’s services are ceasing with the Local Government for any of the reasons identified below:</w:t>
      </w:r>
    </w:p>
    <w:p w14:paraId="5A5FAE2E" w14:textId="77777777" w:rsidR="0096673E" w:rsidRPr="00D56721" w:rsidRDefault="0096673E" w:rsidP="000C29DC">
      <w:pPr>
        <w:numPr>
          <w:ilvl w:val="0"/>
          <w:numId w:val="18"/>
        </w:numPr>
        <w:tabs>
          <w:tab w:val="left" w:pos="9356"/>
          <w:tab w:val="left" w:pos="10206"/>
        </w:tabs>
        <w:spacing w:after="0" w:line="240" w:lineRule="auto"/>
        <w:ind w:left="567" w:right="284" w:hanging="425"/>
        <w:jc w:val="both"/>
        <w:rPr>
          <w:rFonts w:cstheme="minorHAnsi"/>
        </w:rPr>
      </w:pPr>
      <w:r w:rsidRPr="00D56721">
        <w:rPr>
          <w:rFonts w:cstheme="minorHAnsi"/>
        </w:rPr>
        <w:t>Resignation (not as a result of any performance management or investigation being conducted by the Local Government</w:t>
      </w:r>
      <w:proofErr w:type="gramStart"/>
      <w:r w:rsidRPr="00D56721">
        <w:rPr>
          <w:rFonts w:cstheme="minorHAnsi"/>
        </w:rPr>
        <w:t>);</w:t>
      </w:r>
      <w:proofErr w:type="gramEnd"/>
    </w:p>
    <w:p w14:paraId="23AA1273" w14:textId="77777777" w:rsidR="0096673E" w:rsidRPr="00D56721" w:rsidRDefault="0096673E" w:rsidP="000C29DC">
      <w:pPr>
        <w:numPr>
          <w:ilvl w:val="0"/>
          <w:numId w:val="18"/>
        </w:numPr>
        <w:tabs>
          <w:tab w:val="left" w:pos="9356"/>
          <w:tab w:val="left" w:pos="10206"/>
        </w:tabs>
        <w:spacing w:after="0" w:line="240" w:lineRule="auto"/>
        <w:ind w:left="567" w:right="284" w:hanging="425"/>
        <w:jc w:val="both"/>
        <w:rPr>
          <w:rFonts w:cstheme="minorHAnsi"/>
        </w:rPr>
      </w:pPr>
      <w:r w:rsidRPr="00D56721">
        <w:rPr>
          <w:rFonts w:cstheme="minorHAnsi"/>
        </w:rPr>
        <w:t>Retirement; or</w:t>
      </w:r>
    </w:p>
    <w:p w14:paraId="4E92834B" w14:textId="77777777" w:rsidR="0096673E" w:rsidRPr="00D56721" w:rsidRDefault="0096673E" w:rsidP="000C29DC">
      <w:pPr>
        <w:numPr>
          <w:ilvl w:val="0"/>
          <w:numId w:val="18"/>
        </w:numPr>
        <w:tabs>
          <w:tab w:val="left" w:pos="9356"/>
          <w:tab w:val="left" w:pos="10206"/>
        </w:tabs>
        <w:spacing w:after="0" w:line="240" w:lineRule="auto"/>
        <w:ind w:left="567" w:right="284" w:hanging="425"/>
        <w:jc w:val="both"/>
        <w:rPr>
          <w:rFonts w:cstheme="minorHAnsi"/>
        </w:rPr>
      </w:pPr>
      <w:r w:rsidRPr="00D56721">
        <w:rPr>
          <w:rFonts w:cstheme="minorHAnsi"/>
        </w:rPr>
        <w:t xml:space="preserve">Redundancy. </w:t>
      </w:r>
    </w:p>
    <w:p w14:paraId="65C3B2F4" w14:textId="77777777" w:rsidR="0096673E" w:rsidRPr="00D56721" w:rsidRDefault="0096673E" w:rsidP="0096673E">
      <w:pPr>
        <w:tabs>
          <w:tab w:val="left" w:pos="9356"/>
          <w:tab w:val="left" w:pos="10206"/>
        </w:tabs>
        <w:spacing w:after="0" w:line="240" w:lineRule="auto"/>
        <w:ind w:left="142" w:right="284"/>
        <w:jc w:val="both"/>
        <w:rPr>
          <w:rFonts w:cstheme="minorHAnsi"/>
        </w:rPr>
      </w:pPr>
    </w:p>
    <w:p w14:paraId="1FB52B43" w14:textId="77777777" w:rsidR="0096673E" w:rsidRPr="00D56721" w:rsidRDefault="0096673E" w:rsidP="00D56721">
      <w:pPr>
        <w:tabs>
          <w:tab w:val="left" w:pos="9356"/>
          <w:tab w:val="left" w:pos="10206"/>
        </w:tabs>
        <w:spacing w:line="240" w:lineRule="auto"/>
        <w:ind w:right="284"/>
        <w:jc w:val="both"/>
        <w:rPr>
          <w:rFonts w:cstheme="minorHAnsi"/>
        </w:rPr>
      </w:pPr>
      <w:r w:rsidRPr="00D56721">
        <w:rPr>
          <w:rFonts w:cstheme="minorHAnsi"/>
        </w:rPr>
        <w:t>An employee who has been dismissed by the Town of East Fremantle for any reason other than redundancy, will not be eligible to receive any Gratuity Payment under this policy</w:t>
      </w:r>
      <w:r w:rsidR="00D56721">
        <w:rPr>
          <w:rFonts w:cstheme="minorHAnsi"/>
        </w:rPr>
        <w:t>.</w:t>
      </w:r>
    </w:p>
    <w:p w14:paraId="04495D0B" w14:textId="77777777" w:rsidR="0096673E" w:rsidRPr="00D56721" w:rsidRDefault="0096673E" w:rsidP="0096673E">
      <w:pPr>
        <w:tabs>
          <w:tab w:val="left" w:pos="9356"/>
          <w:tab w:val="left" w:pos="10206"/>
        </w:tabs>
        <w:spacing w:after="0" w:line="240" w:lineRule="auto"/>
        <w:ind w:right="284"/>
        <w:jc w:val="both"/>
        <w:rPr>
          <w:rFonts w:cstheme="minorHAnsi"/>
        </w:rPr>
      </w:pPr>
      <w:r w:rsidRPr="00D56721">
        <w:rPr>
          <w:rFonts w:cstheme="minorHAnsi"/>
        </w:rPr>
        <w:lastRenderedPageBreak/>
        <w:t xml:space="preserve">Council delegates, in the case of any payment up to the value of </w:t>
      </w:r>
      <w:r w:rsidRPr="00D56721">
        <w:rPr>
          <w:rFonts w:cstheme="minorHAnsi"/>
          <w:b/>
        </w:rPr>
        <w:t>$1,000</w:t>
      </w:r>
      <w:r w:rsidRPr="00D56721">
        <w:rPr>
          <w:rFonts w:cstheme="minorHAnsi"/>
        </w:rPr>
        <w:t xml:space="preserve">, to the Chief Executive Officer, following consultation with the </w:t>
      </w:r>
      <w:proofErr w:type="gramStart"/>
      <w:r w:rsidRPr="00D56721">
        <w:rPr>
          <w:rFonts w:cstheme="minorHAnsi"/>
        </w:rPr>
        <w:t>Mayor</w:t>
      </w:r>
      <w:proofErr w:type="gramEnd"/>
      <w:r w:rsidRPr="00D56721">
        <w:rPr>
          <w:rFonts w:cstheme="minorHAnsi"/>
        </w:rPr>
        <w:t xml:space="preserve">. Any payment over the value of </w:t>
      </w:r>
      <w:r w:rsidRPr="00D56721">
        <w:rPr>
          <w:rFonts w:cstheme="minorHAnsi"/>
          <w:b/>
        </w:rPr>
        <w:t>$1,000</w:t>
      </w:r>
      <w:r w:rsidRPr="00D56721">
        <w:rPr>
          <w:rFonts w:cstheme="minorHAnsi"/>
        </w:rPr>
        <w:t>, will require the express approval of Council.</w:t>
      </w:r>
    </w:p>
    <w:p w14:paraId="7CB6F7A4" w14:textId="77777777" w:rsidR="0096673E" w:rsidRPr="00862911" w:rsidRDefault="0096673E" w:rsidP="00812BA6">
      <w:pPr>
        <w:tabs>
          <w:tab w:val="left" w:pos="9356"/>
          <w:tab w:val="left" w:pos="10206"/>
        </w:tabs>
        <w:spacing w:before="200" w:after="60" w:line="240" w:lineRule="auto"/>
        <w:ind w:right="284"/>
        <w:jc w:val="both"/>
        <w:rPr>
          <w:rFonts w:cstheme="minorHAnsi"/>
          <w:b/>
        </w:rPr>
      </w:pPr>
      <w:r w:rsidRPr="00862911">
        <w:rPr>
          <w:rFonts w:cstheme="minorHAnsi"/>
          <w:b/>
        </w:rPr>
        <w:t>Prescribed Amounts for Gratuity Payments</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9"/>
        <w:gridCol w:w="5245"/>
      </w:tblGrid>
      <w:tr w:rsidR="0096673E" w:rsidRPr="00D56721" w14:paraId="35B40715" w14:textId="77777777" w:rsidTr="00D56721">
        <w:tc>
          <w:tcPr>
            <w:tcW w:w="3969" w:type="dxa"/>
            <w:shd w:val="clear" w:color="auto" w:fill="DBE5F1" w:themeFill="accent1" w:themeFillTint="33"/>
          </w:tcPr>
          <w:p w14:paraId="1247444B" w14:textId="77777777" w:rsidR="0096673E" w:rsidRPr="00D56721" w:rsidRDefault="0096673E" w:rsidP="00D56721">
            <w:pPr>
              <w:pStyle w:val="FeatureCopy"/>
              <w:jc w:val="both"/>
              <w:rPr>
                <w:rFonts w:asciiTheme="minorHAnsi" w:hAnsiTheme="minorHAnsi" w:cstheme="minorHAnsi"/>
                <w:b/>
                <w:bCs/>
                <w:color w:val="000000"/>
                <w:spacing w:val="-2"/>
                <w:szCs w:val="22"/>
              </w:rPr>
            </w:pPr>
            <w:r w:rsidRPr="00D56721">
              <w:rPr>
                <w:rFonts w:asciiTheme="minorHAnsi" w:hAnsiTheme="minorHAnsi" w:cstheme="minorHAnsi"/>
                <w:b/>
                <w:bCs/>
                <w:color w:val="000000"/>
                <w:spacing w:val="-2"/>
                <w:szCs w:val="22"/>
              </w:rPr>
              <w:t>Number of Years’ Service</w:t>
            </w:r>
          </w:p>
        </w:tc>
        <w:tc>
          <w:tcPr>
            <w:tcW w:w="5245" w:type="dxa"/>
            <w:shd w:val="clear" w:color="auto" w:fill="DBE5F1" w:themeFill="accent1" w:themeFillTint="33"/>
          </w:tcPr>
          <w:p w14:paraId="5313B282" w14:textId="77777777" w:rsidR="0096673E" w:rsidRPr="00D56721" w:rsidRDefault="0096673E" w:rsidP="00D56721">
            <w:pPr>
              <w:pStyle w:val="FeatureCopy"/>
              <w:jc w:val="both"/>
              <w:rPr>
                <w:rFonts w:asciiTheme="minorHAnsi" w:hAnsiTheme="minorHAnsi" w:cstheme="minorHAnsi"/>
                <w:b/>
                <w:bCs/>
                <w:color w:val="000000"/>
                <w:spacing w:val="-2"/>
                <w:szCs w:val="22"/>
              </w:rPr>
            </w:pPr>
            <w:r w:rsidRPr="00D56721">
              <w:rPr>
                <w:rFonts w:asciiTheme="minorHAnsi" w:hAnsiTheme="minorHAnsi" w:cstheme="minorHAnsi"/>
                <w:b/>
                <w:bCs/>
                <w:color w:val="000000"/>
                <w:spacing w:val="-2"/>
                <w:szCs w:val="22"/>
              </w:rPr>
              <w:t>Amount of Gratuity</w:t>
            </w:r>
          </w:p>
        </w:tc>
      </w:tr>
      <w:tr w:rsidR="0096673E" w:rsidRPr="00D56721" w14:paraId="2BC16710" w14:textId="77777777" w:rsidTr="00D56721">
        <w:tc>
          <w:tcPr>
            <w:tcW w:w="3969" w:type="dxa"/>
            <w:shd w:val="clear" w:color="auto" w:fill="auto"/>
          </w:tcPr>
          <w:p w14:paraId="56809302" w14:textId="77777777" w:rsidR="0096673E" w:rsidRPr="00D56721" w:rsidRDefault="0096673E" w:rsidP="00D56721">
            <w:pPr>
              <w:pStyle w:val="FeatureCopy"/>
              <w:jc w:val="both"/>
              <w:rPr>
                <w:rFonts w:asciiTheme="minorHAnsi" w:hAnsiTheme="minorHAnsi" w:cstheme="minorHAnsi"/>
                <w:bCs/>
                <w:color w:val="000000"/>
                <w:spacing w:val="-2"/>
                <w:szCs w:val="22"/>
              </w:rPr>
            </w:pPr>
            <w:r w:rsidRPr="00D56721">
              <w:rPr>
                <w:rFonts w:asciiTheme="minorHAnsi" w:hAnsiTheme="minorHAnsi" w:cstheme="minorHAnsi"/>
                <w:bCs/>
                <w:color w:val="000000"/>
                <w:spacing w:val="-2"/>
                <w:szCs w:val="22"/>
              </w:rPr>
              <w:t>Continuous service 0 years and up to 10 years</w:t>
            </w:r>
          </w:p>
          <w:p w14:paraId="1D94A086" w14:textId="77777777" w:rsidR="0096673E" w:rsidRPr="00D56721" w:rsidRDefault="0096673E" w:rsidP="00D56721">
            <w:pPr>
              <w:pStyle w:val="FeatureCopy"/>
              <w:jc w:val="both"/>
              <w:rPr>
                <w:rFonts w:asciiTheme="minorHAnsi" w:hAnsiTheme="minorHAnsi" w:cstheme="minorHAnsi"/>
                <w:bCs/>
                <w:color w:val="000000"/>
                <w:spacing w:val="-2"/>
                <w:szCs w:val="22"/>
              </w:rPr>
            </w:pPr>
          </w:p>
        </w:tc>
        <w:tc>
          <w:tcPr>
            <w:tcW w:w="5245" w:type="dxa"/>
            <w:shd w:val="clear" w:color="auto" w:fill="auto"/>
          </w:tcPr>
          <w:p w14:paraId="69DF04A0" w14:textId="77777777" w:rsidR="0096673E" w:rsidRPr="00D56721" w:rsidRDefault="0096673E" w:rsidP="00D56721">
            <w:pPr>
              <w:pStyle w:val="FeatureCopy"/>
              <w:jc w:val="both"/>
              <w:rPr>
                <w:rFonts w:asciiTheme="minorHAnsi" w:hAnsiTheme="minorHAnsi" w:cstheme="minorHAnsi"/>
                <w:bCs/>
                <w:color w:val="000000"/>
                <w:spacing w:val="-2"/>
                <w:szCs w:val="22"/>
              </w:rPr>
            </w:pPr>
            <w:r w:rsidRPr="00D56721">
              <w:rPr>
                <w:rFonts w:asciiTheme="minorHAnsi" w:hAnsiTheme="minorHAnsi" w:cstheme="minorHAnsi"/>
                <w:bCs/>
                <w:color w:val="000000"/>
                <w:spacing w:val="-2"/>
                <w:szCs w:val="22"/>
              </w:rPr>
              <w:t>A Statement of Service and a gift, or contribution towards a gift, up to the value of $0</w:t>
            </w:r>
          </w:p>
        </w:tc>
      </w:tr>
      <w:tr w:rsidR="0096673E" w:rsidRPr="00D56721" w14:paraId="6E779F92" w14:textId="77777777" w:rsidTr="00D56721">
        <w:tc>
          <w:tcPr>
            <w:tcW w:w="3969" w:type="dxa"/>
            <w:shd w:val="clear" w:color="auto" w:fill="DBE5F1" w:themeFill="accent1" w:themeFillTint="33"/>
          </w:tcPr>
          <w:p w14:paraId="359B8ABC" w14:textId="77777777" w:rsidR="0096673E" w:rsidRPr="00D56721" w:rsidRDefault="0096673E" w:rsidP="00D56721">
            <w:pPr>
              <w:pStyle w:val="FeatureCopy"/>
              <w:jc w:val="both"/>
              <w:rPr>
                <w:rFonts w:asciiTheme="minorHAnsi" w:hAnsiTheme="minorHAnsi" w:cstheme="minorHAnsi"/>
                <w:bCs/>
                <w:color w:val="000000"/>
                <w:spacing w:val="-2"/>
                <w:szCs w:val="22"/>
              </w:rPr>
            </w:pPr>
            <w:r w:rsidRPr="00D56721">
              <w:rPr>
                <w:rFonts w:asciiTheme="minorHAnsi" w:hAnsiTheme="minorHAnsi" w:cstheme="minorHAnsi"/>
                <w:bCs/>
                <w:color w:val="000000"/>
                <w:spacing w:val="-2"/>
                <w:szCs w:val="22"/>
              </w:rPr>
              <w:t xml:space="preserve">CEO discretion </w:t>
            </w:r>
          </w:p>
        </w:tc>
        <w:tc>
          <w:tcPr>
            <w:tcW w:w="5245" w:type="dxa"/>
            <w:shd w:val="clear" w:color="auto" w:fill="DBE5F1" w:themeFill="accent1" w:themeFillTint="33"/>
          </w:tcPr>
          <w:p w14:paraId="2B26116F" w14:textId="77777777" w:rsidR="0096673E" w:rsidRPr="00D56721" w:rsidRDefault="0096673E" w:rsidP="00D56721">
            <w:pPr>
              <w:pStyle w:val="FeatureCopy"/>
              <w:jc w:val="both"/>
              <w:rPr>
                <w:rFonts w:asciiTheme="minorHAnsi" w:hAnsiTheme="minorHAnsi" w:cstheme="minorHAnsi"/>
                <w:bCs/>
                <w:color w:val="000000"/>
                <w:spacing w:val="-2"/>
                <w:szCs w:val="22"/>
              </w:rPr>
            </w:pPr>
          </w:p>
        </w:tc>
      </w:tr>
      <w:tr w:rsidR="0096673E" w:rsidRPr="00D56721" w14:paraId="2B795469" w14:textId="77777777" w:rsidTr="00D56721">
        <w:tc>
          <w:tcPr>
            <w:tcW w:w="3969" w:type="dxa"/>
            <w:shd w:val="clear" w:color="auto" w:fill="auto"/>
          </w:tcPr>
          <w:p w14:paraId="7E31927B" w14:textId="77777777" w:rsidR="0096673E" w:rsidRPr="00D56721" w:rsidRDefault="0096673E" w:rsidP="00D56721">
            <w:pPr>
              <w:pStyle w:val="FeatureCopy"/>
              <w:jc w:val="both"/>
              <w:rPr>
                <w:rFonts w:asciiTheme="minorHAnsi" w:hAnsiTheme="minorHAnsi" w:cstheme="minorHAnsi"/>
                <w:bCs/>
                <w:color w:val="000000"/>
                <w:spacing w:val="-2"/>
                <w:szCs w:val="22"/>
              </w:rPr>
            </w:pPr>
            <w:r w:rsidRPr="00D56721">
              <w:rPr>
                <w:rFonts w:asciiTheme="minorHAnsi" w:hAnsiTheme="minorHAnsi" w:cstheme="minorHAnsi"/>
                <w:bCs/>
                <w:color w:val="000000"/>
                <w:spacing w:val="-2"/>
                <w:szCs w:val="22"/>
              </w:rPr>
              <w:t xml:space="preserve">5 to a maximum of 10 Years Continuous Service </w:t>
            </w:r>
          </w:p>
        </w:tc>
        <w:tc>
          <w:tcPr>
            <w:tcW w:w="5245" w:type="dxa"/>
            <w:shd w:val="clear" w:color="auto" w:fill="auto"/>
          </w:tcPr>
          <w:p w14:paraId="4ECD6EFF" w14:textId="77777777" w:rsidR="0096673E" w:rsidRPr="00D56721" w:rsidRDefault="0096673E" w:rsidP="00D56721">
            <w:pPr>
              <w:pStyle w:val="FeatureCopy"/>
              <w:jc w:val="both"/>
              <w:rPr>
                <w:rFonts w:asciiTheme="minorHAnsi" w:hAnsiTheme="minorHAnsi" w:cstheme="minorHAnsi"/>
                <w:bCs/>
                <w:color w:val="000000"/>
                <w:spacing w:val="-2"/>
                <w:szCs w:val="22"/>
              </w:rPr>
            </w:pPr>
            <w:r w:rsidRPr="00D56721">
              <w:rPr>
                <w:rFonts w:asciiTheme="minorHAnsi" w:hAnsiTheme="minorHAnsi" w:cstheme="minorHAnsi"/>
                <w:bCs/>
                <w:color w:val="000000"/>
                <w:spacing w:val="-2"/>
                <w:szCs w:val="22"/>
              </w:rPr>
              <w:t>$100 per year for every completed year over 5 years of continuous service up to a maximum of $500</w:t>
            </w:r>
          </w:p>
          <w:p w14:paraId="3A27FF49" w14:textId="77777777" w:rsidR="0096673E" w:rsidRPr="00D56721" w:rsidRDefault="0096673E" w:rsidP="00D56721">
            <w:pPr>
              <w:pStyle w:val="FeatureCopy"/>
              <w:jc w:val="both"/>
              <w:rPr>
                <w:rFonts w:asciiTheme="minorHAnsi" w:hAnsiTheme="minorHAnsi" w:cstheme="minorHAnsi"/>
                <w:bCs/>
                <w:color w:val="000000"/>
                <w:spacing w:val="-2"/>
                <w:szCs w:val="22"/>
              </w:rPr>
            </w:pPr>
          </w:p>
        </w:tc>
      </w:tr>
      <w:tr w:rsidR="0096673E" w:rsidRPr="00D56721" w14:paraId="1A5782CC" w14:textId="77777777" w:rsidTr="00D56721">
        <w:tc>
          <w:tcPr>
            <w:tcW w:w="3969" w:type="dxa"/>
            <w:shd w:val="clear" w:color="auto" w:fill="auto"/>
          </w:tcPr>
          <w:p w14:paraId="68A7FF28" w14:textId="77777777" w:rsidR="0096673E" w:rsidRPr="00D56721" w:rsidRDefault="0096673E" w:rsidP="00D56721">
            <w:pPr>
              <w:pStyle w:val="FeatureCopy"/>
              <w:jc w:val="both"/>
              <w:rPr>
                <w:rFonts w:asciiTheme="minorHAnsi" w:hAnsiTheme="minorHAnsi" w:cstheme="minorHAnsi"/>
                <w:bCs/>
                <w:color w:val="000000"/>
                <w:spacing w:val="-2"/>
                <w:szCs w:val="22"/>
              </w:rPr>
            </w:pPr>
            <w:r w:rsidRPr="00D56721">
              <w:rPr>
                <w:rFonts w:asciiTheme="minorHAnsi" w:hAnsiTheme="minorHAnsi" w:cstheme="minorHAnsi"/>
                <w:bCs/>
                <w:color w:val="000000"/>
                <w:spacing w:val="-2"/>
                <w:szCs w:val="22"/>
              </w:rPr>
              <w:t>10 to a maximum of 20 Years Continuous Service</w:t>
            </w:r>
          </w:p>
        </w:tc>
        <w:tc>
          <w:tcPr>
            <w:tcW w:w="5245" w:type="dxa"/>
            <w:shd w:val="clear" w:color="auto" w:fill="auto"/>
          </w:tcPr>
          <w:p w14:paraId="0FF49885" w14:textId="77777777" w:rsidR="0096673E" w:rsidRPr="00D56721" w:rsidRDefault="0096673E" w:rsidP="00D56721">
            <w:pPr>
              <w:pStyle w:val="FeatureCopy"/>
              <w:jc w:val="both"/>
              <w:rPr>
                <w:rFonts w:asciiTheme="minorHAnsi" w:hAnsiTheme="minorHAnsi" w:cstheme="minorHAnsi"/>
                <w:bCs/>
                <w:color w:val="000000"/>
                <w:spacing w:val="-2"/>
                <w:szCs w:val="22"/>
              </w:rPr>
            </w:pPr>
            <w:r w:rsidRPr="00D56721">
              <w:rPr>
                <w:rFonts w:asciiTheme="minorHAnsi" w:hAnsiTheme="minorHAnsi" w:cstheme="minorHAnsi"/>
                <w:bCs/>
                <w:color w:val="000000"/>
                <w:spacing w:val="-2"/>
                <w:szCs w:val="22"/>
              </w:rPr>
              <w:t>$100 per year for every year over 10 years of continuous service up to a maximum of $1,000</w:t>
            </w:r>
          </w:p>
          <w:p w14:paraId="358BEAE0" w14:textId="77777777" w:rsidR="0096673E" w:rsidRPr="00D56721" w:rsidRDefault="0096673E" w:rsidP="00D56721">
            <w:pPr>
              <w:pStyle w:val="FeatureCopy"/>
              <w:jc w:val="both"/>
              <w:rPr>
                <w:rFonts w:asciiTheme="minorHAnsi" w:hAnsiTheme="minorHAnsi" w:cstheme="minorHAnsi"/>
                <w:bCs/>
                <w:color w:val="000000"/>
                <w:spacing w:val="-2"/>
                <w:szCs w:val="22"/>
              </w:rPr>
            </w:pPr>
          </w:p>
          <w:p w14:paraId="53BE74EE" w14:textId="77777777" w:rsidR="0096673E" w:rsidRPr="00D56721" w:rsidRDefault="0096673E" w:rsidP="00D56721">
            <w:pPr>
              <w:pStyle w:val="FeatureCopy"/>
              <w:jc w:val="both"/>
              <w:rPr>
                <w:rFonts w:asciiTheme="minorHAnsi" w:hAnsiTheme="minorHAnsi" w:cstheme="minorHAnsi"/>
                <w:bCs/>
                <w:color w:val="000000"/>
                <w:spacing w:val="-2"/>
                <w:szCs w:val="22"/>
              </w:rPr>
            </w:pPr>
            <w:r w:rsidRPr="00D56721">
              <w:rPr>
                <w:rFonts w:asciiTheme="minorHAnsi" w:hAnsiTheme="minorHAnsi" w:cstheme="minorHAnsi"/>
                <w:bCs/>
                <w:color w:val="000000"/>
                <w:spacing w:val="-2"/>
                <w:szCs w:val="22"/>
              </w:rPr>
              <w:t xml:space="preserve">Items are to be presented to the employee by the </w:t>
            </w:r>
            <w:proofErr w:type="gramStart"/>
            <w:r w:rsidRPr="00D56721">
              <w:rPr>
                <w:rFonts w:asciiTheme="minorHAnsi" w:hAnsiTheme="minorHAnsi" w:cstheme="minorHAnsi"/>
                <w:bCs/>
                <w:color w:val="000000"/>
                <w:spacing w:val="-2"/>
                <w:szCs w:val="22"/>
              </w:rPr>
              <w:t>Mayor</w:t>
            </w:r>
            <w:proofErr w:type="gramEnd"/>
            <w:r w:rsidRPr="00D56721">
              <w:rPr>
                <w:rFonts w:asciiTheme="minorHAnsi" w:hAnsiTheme="minorHAnsi" w:cstheme="minorHAnsi"/>
                <w:bCs/>
                <w:color w:val="000000"/>
                <w:spacing w:val="-2"/>
                <w:szCs w:val="22"/>
              </w:rPr>
              <w:t xml:space="preserve"> or nominated representative, at a function to be determined by the Chief Executive Officer.</w:t>
            </w:r>
          </w:p>
          <w:p w14:paraId="4C98BB55" w14:textId="77777777" w:rsidR="0096673E" w:rsidRPr="00D56721" w:rsidRDefault="0096673E" w:rsidP="00D56721">
            <w:pPr>
              <w:pStyle w:val="FeatureCopy"/>
              <w:jc w:val="both"/>
              <w:rPr>
                <w:rFonts w:asciiTheme="minorHAnsi" w:hAnsiTheme="minorHAnsi" w:cstheme="minorHAnsi"/>
                <w:bCs/>
                <w:color w:val="000000"/>
                <w:spacing w:val="-2"/>
                <w:szCs w:val="22"/>
              </w:rPr>
            </w:pPr>
          </w:p>
        </w:tc>
      </w:tr>
      <w:tr w:rsidR="0096673E" w:rsidRPr="00D56721" w14:paraId="1062604A" w14:textId="77777777" w:rsidTr="00D56721">
        <w:tc>
          <w:tcPr>
            <w:tcW w:w="3969" w:type="dxa"/>
            <w:shd w:val="clear" w:color="auto" w:fill="DBE5F1" w:themeFill="accent1" w:themeFillTint="33"/>
          </w:tcPr>
          <w:p w14:paraId="2A419A90" w14:textId="77777777" w:rsidR="0096673E" w:rsidRPr="00D56721" w:rsidRDefault="0096673E" w:rsidP="00D56721">
            <w:pPr>
              <w:pStyle w:val="FeatureCopy"/>
              <w:jc w:val="both"/>
              <w:rPr>
                <w:rFonts w:asciiTheme="minorHAnsi" w:hAnsiTheme="minorHAnsi" w:cstheme="minorHAnsi"/>
                <w:bCs/>
                <w:color w:val="000000"/>
                <w:spacing w:val="-2"/>
                <w:szCs w:val="22"/>
              </w:rPr>
            </w:pPr>
            <w:r w:rsidRPr="00D56721">
              <w:rPr>
                <w:rFonts w:asciiTheme="minorHAnsi" w:hAnsiTheme="minorHAnsi" w:cstheme="minorHAnsi"/>
                <w:bCs/>
                <w:color w:val="000000"/>
                <w:spacing w:val="-2"/>
                <w:szCs w:val="22"/>
              </w:rPr>
              <w:t xml:space="preserve">Council discretion </w:t>
            </w:r>
          </w:p>
        </w:tc>
        <w:tc>
          <w:tcPr>
            <w:tcW w:w="5245" w:type="dxa"/>
            <w:shd w:val="clear" w:color="auto" w:fill="DBE5F1" w:themeFill="accent1" w:themeFillTint="33"/>
          </w:tcPr>
          <w:p w14:paraId="31D3409C" w14:textId="77777777" w:rsidR="0096673E" w:rsidRPr="00D56721" w:rsidRDefault="0096673E" w:rsidP="00D56721">
            <w:pPr>
              <w:pStyle w:val="FeatureCopy"/>
              <w:jc w:val="both"/>
              <w:rPr>
                <w:rFonts w:asciiTheme="minorHAnsi" w:hAnsiTheme="minorHAnsi" w:cstheme="minorHAnsi"/>
                <w:bCs/>
                <w:color w:val="000000"/>
                <w:spacing w:val="-2"/>
                <w:szCs w:val="22"/>
              </w:rPr>
            </w:pPr>
          </w:p>
        </w:tc>
      </w:tr>
      <w:tr w:rsidR="0096673E" w:rsidRPr="00812BA6" w14:paraId="78E12B91" w14:textId="77777777" w:rsidTr="00D56721">
        <w:tc>
          <w:tcPr>
            <w:tcW w:w="3969" w:type="dxa"/>
            <w:shd w:val="clear" w:color="auto" w:fill="auto"/>
          </w:tcPr>
          <w:p w14:paraId="2914B287" w14:textId="77777777" w:rsidR="0096673E" w:rsidRPr="00812BA6" w:rsidRDefault="0096673E" w:rsidP="00D56721">
            <w:pPr>
              <w:pStyle w:val="FeatureCopy"/>
              <w:jc w:val="both"/>
              <w:rPr>
                <w:rFonts w:asciiTheme="minorHAnsi" w:hAnsiTheme="minorHAnsi" w:cstheme="minorHAnsi"/>
                <w:bCs/>
                <w:i/>
                <w:color w:val="000000"/>
                <w:spacing w:val="-2"/>
                <w:szCs w:val="22"/>
              </w:rPr>
            </w:pPr>
            <w:r w:rsidRPr="00812BA6">
              <w:rPr>
                <w:rFonts w:asciiTheme="minorHAnsi" w:hAnsiTheme="minorHAnsi" w:cstheme="minorHAnsi"/>
                <w:bCs/>
                <w:i/>
                <w:color w:val="000000"/>
                <w:spacing w:val="-2"/>
                <w:szCs w:val="22"/>
              </w:rPr>
              <w:t>20 Years Continuous Service and above</w:t>
            </w:r>
          </w:p>
        </w:tc>
        <w:tc>
          <w:tcPr>
            <w:tcW w:w="5245" w:type="dxa"/>
            <w:shd w:val="clear" w:color="auto" w:fill="auto"/>
          </w:tcPr>
          <w:p w14:paraId="1A11AF00" w14:textId="77777777" w:rsidR="0096673E" w:rsidRPr="00812BA6" w:rsidRDefault="0096673E" w:rsidP="00D56721">
            <w:pPr>
              <w:pStyle w:val="FeatureCopy"/>
              <w:jc w:val="both"/>
              <w:rPr>
                <w:rFonts w:asciiTheme="minorHAnsi" w:hAnsiTheme="minorHAnsi" w:cstheme="minorHAnsi"/>
                <w:bCs/>
                <w:i/>
                <w:color w:val="000000"/>
                <w:spacing w:val="-2"/>
                <w:szCs w:val="22"/>
              </w:rPr>
            </w:pPr>
            <w:r w:rsidRPr="00812BA6">
              <w:rPr>
                <w:rFonts w:asciiTheme="minorHAnsi" w:hAnsiTheme="minorHAnsi" w:cstheme="minorHAnsi"/>
                <w:bCs/>
                <w:i/>
                <w:color w:val="000000"/>
                <w:spacing w:val="-2"/>
                <w:szCs w:val="22"/>
              </w:rPr>
              <w:t>$150 per year of continuous service up to a maximum of $5,000</w:t>
            </w:r>
          </w:p>
          <w:p w14:paraId="33735131" w14:textId="77777777" w:rsidR="0096673E" w:rsidRPr="00812BA6" w:rsidRDefault="0096673E" w:rsidP="00D56721">
            <w:pPr>
              <w:pStyle w:val="FeatureCopy"/>
              <w:jc w:val="both"/>
              <w:rPr>
                <w:rFonts w:asciiTheme="minorHAnsi" w:hAnsiTheme="minorHAnsi" w:cstheme="minorHAnsi"/>
                <w:bCs/>
                <w:i/>
                <w:color w:val="000000"/>
                <w:spacing w:val="-2"/>
                <w:szCs w:val="22"/>
              </w:rPr>
            </w:pPr>
          </w:p>
          <w:p w14:paraId="69FE957F" w14:textId="77777777" w:rsidR="0096673E" w:rsidRPr="00812BA6" w:rsidRDefault="0096673E" w:rsidP="00D56721">
            <w:pPr>
              <w:pStyle w:val="FeatureCopy"/>
              <w:jc w:val="both"/>
              <w:rPr>
                <w:rFonts w:asciiTheme="minorHAnsi" w:hAnsiTheme="minorHAnsi" w:cstheme="minorHAnsi"/>
                <w:bCs/>
                <w:i/>
                <w:color w:val="000000"/>
                <w:spacing w:val="-2"/>
                <w:szCs w:val="22"/>
              </w:rPr>
            </w:pPr>
            <w:r w:rsidRPr="00812BA6">
              <w:rPr>
                <w:rFonts w:asciiTheme="minorHAnsi" w:hAnsiTheme="minorHAnsi" w:cstheme="minorHAnsi"/>
                <w:bCs/>
                <w:i/>
                <w:color w:val="000000"/>
                <w:spacing w:val="-2"/>
                <w:szCs w:val="22"/>
              </w:rPr>
              <w:t xml:space="preserve">A report is to be presented to Council for approval prior to payment. </w:t>
            </w:r>
          </w:p>
          <w:p w14:paraId="66BA1B07" w14:textId="77777777" w:rsidR="0096673E" w:rsidRPr="00812BA6" w:rsidRDefault="0096673E" w:rsidP="00D56721">
            <w:pPr>
              <w:pStyle w:val="FeatureCopy"/>
              <w:jc w:val="both"/>
              <w:rPr>
                <w:rFonts w:asciiTheme="minorHAnsi" w:hAnsiTheme="minorHAnsi" w:cstheme="minorHAnsi"/>
                <w:bCs/>
                <w:i/>
                <w:color w:val="000000"/>
                <w:spacing w:val="-2"/>
                <w:szCs w:val="22"/>
              </w:rPr>
            </w:pPr>
          </w:p>
          <w:p w14:paraId="0CABB8FB" w14:textId="77777777" w:rsidR="0096673E" w:rsidRPr="00812BA6" w:rsidRDefault="0096673E" w:rsidP="00D56721">
            <w:pPr>
              <w:pStyle w:val="FeatureCopy"/>
              <w:jc w:val="both"/>
              <w:rPr>
                <w:rFonts w:asciiTheme="minorHAnsi" w:hAnsiTheme="minorHAnsi" w:cstheme="minorHAnsi"/>
                <w:bCs/>
                <w:i/>
                <w:color w:val="000000"/>
                <w:spacing w:val="-2"/>
                <w:szCs w:val="22"/>
              </w:rPr>
            </w:pPr>
            <w:r w:rsidRPr="00812BA6">
              <w:rPr>
                <w:rFonts w:asciiTheme="minorHAnsi" w:hAnsiTheme="minorHAnsi" w:cstheme="minorHAnsi"/>
                <w:bCs/>
                <w:i/>
                <w:color w:val="000000"/>
                <w:spacing w:val="-2"/>
                <w:szCs w:val="22"/>
              </w:rPr>
              <w:t xml:space="preserve">Items are to be presented to the employee by the </w:t>
            </w:r>
            <w:proofErr w:type="gramStart"/>
            <w:r w:rsidRPr="00812BA6">
              <w:rPr>
                <w:rFonts w:asciiTheme="minorHAnsi" w:hAnsiTheme="minorHAnsi" w:cstheme="minorHAnsi"/>
                <w:bCs/>
                <w:i/>
                <w:color w:val="000000"/>
                <w:spacing w:val="-2"/>
                <w:szCs w:val="22"/>
              </w:rPr>
              <w:t>Mayor</w:t>
            </w:r>
            <w:proofErr w:type="gramEnd"/>
            <w:r w:rsidRPr="00812BA6">
              <w:rPr>
                <w:rFonts w:asciiTheme="minorHAnsi" w:hAnsiTheme="minorHAnsi" w:cstheme="minorHAnsi"/>
                <w:bCs/>
                <w:i/>
                <w:color w:val="000000"/>
                <w:spacing w:val="-2"/>
                <w:szCs w:val="22"/>
              </w:rPr>
              <w:t xml:space="preserve"> or nominated representative, at a function to be determined by the Chief Executive Officer.</w:t>
            </w:r>
          </w:p>
          <w:p w14:paraId="32E43C11" w14:textId="77777777" w:rsidR="0096673E" w:rsidRPr="00812BA6" w:rsidRDefault="0096673E" w:rsidP="00D56721">
            <w:pPr>
              <w:pStyle w:val="FeatureCopy"/>
              <w:jc w:val="both"/>
              <w:rPr>
                <w:rFonts w:asciiTheme="minorHAnsi" w:hAnsiTheme="minorHAnsi" w:cstheme="minorHAnsi"/>
                <w:bCs/>
                <w:i/>
                <w:color w:val="000000"/>
                <w:spacing w:val="-2"/>
                <w:szCs w:val="22"/>
              </w:rPr>
            </w:pPr>
          </w:p>
        </w:tc>
      </w:tr>
    </w:tbl>
    <w:p w14:paraId="7151603F" w14:textId="77777777" w:rsidR="0096673E" w:rsidRPr="00812BA6" w:rsidRDefault="0096673E" w:rsidP="0096673E">
      <w:pPr>
        <w:pStyle w:val="FeatureCopy"/>
        <w:jc w:val="both"/>
        <w:rPr>
          <w:rFonts w:asciiTheme="minorHAnsi" w:hAnsiTheme="minorHAnsi" w:cstheme="minorHAnsi"/>
          <w:bCs/>
          <w:i/>
          <w:color w:val="000000"/>
          <w:spacing w:val="-2"/>
          <w:szCs w:val="22"/>
        </w:rPr>
      </w:pPr>
    </w:p>
    <w:p w14:paraId="59E6336B" w14:textId="77777777" w:rsidR="0096673E" w:rsidRPr="00812BA6" w:rsidRDefault="0096673E" w:rsidP="0096673E">
      <w:pPr>
        <w:pStyle w:val="FeatureCopy"/>
        <w:jc w:val="both"/>
        <w:rPr>
          <w:rFonts w:asciiTheme="minorHAnsi" w:hAnsiTheme="minorHAnsi" w:cstheme="minorHAnsi"/>
          <w:bCs/>
          <w:color w:val="000000"/>
          <w:spacing w:val="-2"/>
          <w:szCs w:val="22"/>
        </w:rPr>
      </w:pPr>
      <w:r w:rsidRPr="00812BA6">
        <w:rPr>
          <w:rFonts w:asciiTheme="minorHAnsi" w:hAnsiTheme="minorHAnsi" w:cstheme="minorHAnsi"/>
          <w:bCs/>
          <w:color w:val="000000"/>
          <w:spacing w:val="-2"/>
          <w:szCs w:val="22"/>
        </w:rPr>
        <w:t xml:space="preserve">In deciding if a gratuity will be granted, the CEO or Council will take into consideration the service record of the employee.  Particular attention will be paid to the employee’s attitude (loyalty &amp; dedication) towards Council’s objectives and the willingness to contribute over their term of employment. </w:t>
      </w:r>
    </w:p>
    <w:p w14:paraId="6F4F6450" w14:textId="77777777" w:rsidR="0096673E" w:rsidRPr="00812BA6" w:rsidRDefault="0096673E" w:rsidP="00D56721">
      <w:pPr>
        <w:pStyle w:val="FeatureCopy"/>
        <w:spacing w:before="200"/>
        <w:jc w:val="both"/>
        <w:rPr>
          <w:rFonts w:asciiTheme="minorHAnsi" w:hAnsiTheme="minorHAnsi" w:cstheme="minorHAnsi"/>
          <w:color w:val="000000" w:themeColor="text1" w:themeShade="80"/>
          <w:szCs w:val="22"/>
        </w:rPr>
      </w:pPr>
      <w:r w:rsidRPr="00812BA6">
        <w:rPr>
          <w:rFonts w:asciiTheme="minorHAnsi" w:hAnsiTheme="minorHAnsi" w:cstheme="minorHAnsi"/>
          <w:color w:val="000000" w:themeColor="text1" w:themeShade="80"/>
          <w:szCs w:val="22"/>
        </w:rPr>
        <w:t xml:space="preserve">The </w:t>
      </w:r>
      <w:r w:rsidRPr="00812BA6">
        <w:rPr>
          <w:rFonts w:asciiTheme="minorHAnsi" w:hAnsiTheme="minorHAnsi" w:cstheme="minorHAnsi"/>
          <w:color w:val="1D1B11" w:themeColor="background2" w:themeShade="1A"/>
          <w:szCs w:val="22"/>
        </w:rPr>
        <w:t>Town of East Fremantle</w:t>
      </w:r>
      <w:r w:rsidRPr="00812BA6">
        <w:rPr>
          <w:rFonts w:asciiTheme="minorHAnsi" w:hAnsiTheme="minorHAnsi" w:cstheme="minorHAnsi"/>
          <w:b/>
          <w:color w:val="1D1B11" w:themeColor="background2" w:themeShade="1A"/>
          <w:szCs w:val="22"/>
        </w:rPr>
        <w:t xml:space="preserve"> </w:t>
      </w:r>
      <w:r w:rsidRPr="00812BA6">
        <w:rPr>
          <w:rFonts w:asciiTheme="minorHAnsi" w:hAnsiTheme="minorHAnsi" w:cstheme="minorHAnsi"/>
          <w:color w:val="000000" w:themeColor="text1" w:themeShade="80"/>
          <w:szCs w:val="22"/>
        </w:rPr>
        <w:t xml:space="preserve">acknowledges that at the time this policy was introduced, employees may be entitled to payments in addition to this policy </w:t>
      </w:r>
      <w:proofErr w:type="gramStart"/>
      <w:r w:rsidRPr="00812BA6">
        <w:rPr>
          <w:rFonts w:asciiTheme="minorHAnsi" w:hAnsiTheme="minorHAnsi" w:cstheme="minorHAnsi"/>
          <w:color w:val="000000" w:themeColor="text1" w:themeShade="80"/>
          <w:szCs w:val="22"/>
        </w:rPr>
        <w:t>as a result of</w:t>
      </w:r>
      <w:proofErr w:type="gramEnd"/>
      <w:r w:rsidRPr="00812BA6">
        <w:rPr>
          <w:rFonts w:asciiTheme="minorHAnsi" w:hAnsiTheme="minorHAnsi" w:cstheme="minorHAnsi"/>
          <w:color w:val="000000" w:themeColor="text1" w:themeShade="80"/>
          <w:szCs w:val="22"/>
        </w:rPr>
        <w:t xml:space="preserve"> accrued unused long service leave benefits, redundancy payments or notice periods as prescribed by, legislation or a relevant industrial instrument. The Town of East Fremantle</w:t>
      </w:r>
      <w:r w:rsidRPr="00812BA6">
        <w:rPr>
          <w:rFonts w:asciiTheme="minorHAnsi" w:hAnsiTheme="minorHAnsi" w:cstheme="minorHAnsi"/>
          <w:b/>
          <w:color w:val="000000" w:themeColor="text1" w:themeShade="80"/>
          <w:szCs w:val="22"/>
        </w:rPr>
        <w:t xml:space="preserve"> </w:t>
      </w:r>
      <w:r w:rsidRPr="00812BA6">
        <w:rPr>
          <w:rFonts w:asciiTheme="minorHAnsi" w:hAnsiTheme="minorHAnsi" w:cstheme="minorHAnsi"/>
          <w:color w:val="000000" w:themeColor="text1" w:themeShade="80"/>
          <w:szCs w:val="22"/>
        </w:rPr>
        <w:t>has considered these provisions when setting the prescribed amount of any gratuity payment in this policy.</w:t>
      </w:r>
    </w:p>
    <w:p w14:paraId="53C8461A" w14:textId="77777777" w:rsidR="0096673E" w:rsidRPr="00862911" w:rsidRDefault="0096673E" w:rsidP="00D56721">
      <w:pPr>
        <w:tabs>
          <w:tab w:val="left" w:pos="9356"/>
          <w:tab w:val="left" w:pos="10206"/>
        </w:tabs>
        <w:spacing w:before="200" w:after="0" w:line="240" w:lineRule="auto"/>
        <w:ind w:right="284"/>
        <w:jc w:val="both"/>
        <w:rPr>
          <w:rFonts w:cstheme="minorHAnsi"/>
          <w:b/>
        </w:rPr>
      </w:pPr>
      <w:r w:rsidRPr="00862911">
        <w:rPr>
          <w:rFonts w:cstheme="minorHAnsi"/>
          <w:b/>
        </w:rPr>
        <w:t>Determining Service</w:t>
      </w:r>
    </w:p>
    <w:p w14:paraId="453622CB" w14:textId="77777777" w:rsidR="0096673E" w:rsidRPr="00812BA6" w:rsidRDefault="0096673E" w:rsidP="00D56721">
      <w:pPr>
        <w:pStyle w:val="FeatureCopy"/>
        <w:jc w:val="both"/>
        <w:rPr>
          <w:rFonts w:asciiTheme="minorHAnsi" w:hAnsiTheme="minorHAnsi" w:cstheme="minorHAnsi"/>
          <w:bCs/>
          <w:color w:val="000000"/>
          <w:spacing w:val="-2"/>
          <w:szCs w:val="22"/>
          <w:lang w:val="en-GB"/>
        </w:rPr>
      </w:pPr>
      <w:proofErr w:type="gramStart"/>
      <w:r w:rsidRPr="00812BA6">
        <w:rPr>
          <w:rFonts w:asciiTheme="minorHAnsi" w:hAnsiTheme="minorHAnsi" w:cstheme="minorHAnsi"/>
          <w:bCs/>
          <w:color w:val="000000"/>
          <w:spacing w:val="-2"/>
          <w:szCs w:val="22"/>
        </w:rPr>
        <w:t>For the purpose of</w:t>
      </w:r>
      <w:proofErr w:type="gramEnd"/>
      <w:r w:rsidRPr="00812BA6">
        <w:rPr>
          <w:rFonts w:asciiTheme="minorHAnsi" w:hAnsiTheme="minorHAnsi" w:cstheme="minorHAnsi"/>
          <w:bCs/>
          <w:color w:val="000000"/>
          <w:spacing w:val="-2"/>
          <w:szCs w:val="22"/>
        </w:rPr>
        <w:t xml:space="preserve"> this policy, continuous service shall be deemed to include:</w:t>
      </w:r>
    </w:p>
    <w:p w14:paraId="48E1AD4C" w14:textId="77777777" w:rsidR="0096673E" w:rsidRPr="00812BA6" w:rsidRDefault="0096673E" w:rsidP="000C29DC">
      <w:pPr>
        <w:pStyle w:val="FeatureCopy"/>
        <w:numPr>
          <w:ilvl w:val="0"/>
          <w:numId w:val="19"/>
        </w:numPr>
        <w:spacing w:before="60" w:after="120"/>
        <w:ind w:left="567" w:hanging="425"/>
        <w:jc w:val="both"/>
        <w:rPr>
          <w:rFonts w:asciiTheme="minorHAnsi" w:hAnsiTheme="minorHAnsi" w:cstheme="minorHAnsi"/>
          <w:bCs/>
          <w:color w:val="000000"/>
          <w:spacing w:val="-2"/>
          <w:szCs w:val="22"/>
        </w:rPr>
      </w:pPr>
      <w:r w:rsidRPr="00812BA6">
        <w:rPr>
          <w:rFonts w:asciiTheme="minorHAnsi" w:hAnsiTheme="minorHAnsi" w:cstheme="minorHAnsi"/>
          <w:bCs/>
          <w:color w:val="000000"/>
          <w:spacing w:val="-2"/>
          <w:szCs w:val="22"/>
        </w:rPr>
        <w:t xml:space="preserve">any period of absence from duty on annual leave, long service leave, paid compassionate leave, accrued paid personal leave and public </w:t>
      </w:r>
      <w:proofErr w:type="gramStart"/>
      <w:r w:rsidRPr="00812BA6">
        <w:rPr>
          <w:rFonts w:asciiTheme="minorHAnsi" w:hAnsiTheme="minorHAnsi" w:cstheme="minorHAnsi"/>
          <w:bCs/>
          <w:color w:val="000000"/>
          <w:spacing w:val="-2"/>
          <w:szCs w:val="22"/>
        </w:rPr>
        <w:t>holidays;</w:t>
      </w:r>
      <w:proofErr w:type="gramEnd"/>
      <w:r w:rsidRPr="00812BA6">
        <w:rPr>
          <w:rFonts w:asciiTheme="minorHAnsi" w:hAnsiTheme="minorHAnsi" w:cstheme="minorHAnsi"/>
          <w:bCs/>
          <w:color w:val="000000"/>
          <w:spacing w:val="-2"/>
          <w:szCs w:val="22"/>
        </w:rPr>
        <w:t xml:space="preserve"> </w:t>
      </w:r>
    </w:p>
    <w:p w14:paraId="14C21780" w14:textId="77777777" w:rsidR="0096673E" w:rsidRPr="00812BA6" w:rsidRDefault="0096673E" w:rsidP="000C29DC">
      <w:pPr>
        <w:pStyle w:val="FeatureCopy"/>
        <w:numPr>
          <w:ilvl w:val="0"/>
          <w:numId w:val="19"/>
        </w:numPr>
        <w:spacing w:before="120" w:after="120"/>
        <w:ind w:left="567" w:hanging="425"/>
        <w:jc w:val="both"/>
        <w:rPr>
          <w:rFonts w:asciiTheme="minorHAnsi" w:hAnsiTheme="minorHAnsi" w:cstheme="minorHAnsi"/>
          <w:bCs/>
          <w:color w:val="000000"/>
          <w:spacing w:val="-2"/>
          <w:szCs w:val="22"/>
        </w:rPr>
      </w:pPr>
      <w:r w:rsidRPr="00812BA6">
        <w:rPr>
          <w:rFonts w:asciiTheme="minorHAnsi" w:hAnsiTheme="minorHAnsi" w:cstheme="minorHAnsi"/>
          <w:bCs/>
          <w:color w:val="000000"/>
          <w:spacing w:val="-2"/>
          <w:szCs w:val="22"/>
        </w:rPr>
        <w:lastRenderedPageBreak/>
        <w:t xml:space="preserve">any period of authorised paid absence from duty necessitated by sickness of or injury to the employee up to a maximum of three months in each calendar year, but not including leave without pay or parental leave; or </w:t>
      </w:r>
    </w:p>
    <w:p w14:paraId="750C49A3" w14:textId="77777777" w:rsidR="0096673E" w:rsidRPr="00812BA6" w:rsidRDefault="0096673E" w:rsidP="000C29DC">
      <w:pPr>
        <w:pStyle w:val="FeatureCopy"/>
        <w:numPr>
          <w:ilvl w:val="0"/>
          <w:numId w:val="19"/>
        </w:numPr>
        <w:spacing w:before="120" w:after="240"/>
        <w:ind w:left="567" w:hanging="425"/>
        <w:jc w:val="both"/>
        <w:rPr>
          <w:rFonts w:asciiTheme="minorHAnsi" w:hAnsiTheme="minorHAnsi" w:cstheme="minorHAnsi"/>
          <w:bCs/>
          <w:color w:val="000000"/>
          <w:spacing w:val="-2"/>
          <w:szCs w:val="22"/>
        </w:rPr>
      </w:pPr>
      <w:r w:rsidRPr="00812BA6">
        <w:rPr>
          <w:rFonts w:asciiTheme="minorHAnsi" w:hAnsiTheme="minorHAnsi" w:cstheme="minorHAnsi"/>
          <w:bCs/>
          <w:color w:val="000000"/>
          <w:spacing w:val="-2"/>
          <w:szCs w:val="22"/>
        </w:rPr>
        <w:t>any period of absence that has been supported by an approved workers compensation claim up to a maximum absence of 12 months.</w:t>
      </w:r>
    </w:p>
    <w:p w14:paraId="7371DEA2" w14:textId="77777777" w:rsidR="0096673E" w:rsidRPr="00812BA6" w:rsidRDefault="0096673E" w:rsidP="00D56721">
      <w:pPr>
        <w:pStyle w:val="FeatureCopy"/>
        <w:spacing w:before="240" w:after="60"/>
        <w:jc w:val="both"/>
        <w:rPr>
          <w:rFonts w:asciiTheme="minorHAnsi" w:hAnsiTheme="minorHAnsi" w:cstheme="minorHAnsi"/>
          <w:bCs/>
          <w:color w:val="000000"/>
          <w:spacing w:val="-2"/>
          <w:szCs w:val="22"/>
          <w:lang w:val="en-GB"/>
        </w:rPr>
      </w:pPr>
      <w:proofErr w:type="gramStart"/>
      <w:r w:rsidRPr="00812BA6">
        <w:rPr>
          <w:rFonts w:asciiTheme="minorHAnsi" w:hAnsiTheme="minorHAnsi" w:cstheme="minorHAnsi"/>
          <w:bCs/>
          <w:color w:val="000000"/>
          <w:spacing w:val="-2"/>
          <w:szCs w:val="22"/>
        </w:rPr>
        <w:t>For the purpose of</w:t>
      </w:r>
      <w:proofErr w:type="gramEnd"/>
      <w:r w:rsidRPr="00812BA6">
        <w:rPr>
          <w:rFonts w:asciiTheme="minorHAnsi" w:hAnsiTheme="minorHAnsi" w:cstheme="minorHAnsi"/>
          <w:bCs/>
          <w:color w:val="000000"/>
          <w:spacing w:val="-2"/>
          <w:szCs w:val="22"/>
        </w:rPr>
        <w:t xml:space="preserve"> this policy, continuous service shall not include:</w:t>
      </w:r>
    </w:p>
    <w:p w14:paraId="7276E6C2" w14:textId="77777777" w:rsidR="0096673E" w:rsidRPr="00812BA6" w:rsidRDefault="0096673E" w:rsidP="000C29DC">
      <w:pPr>
        <w:pStyle w:val="FeatureCopy"/>
        <w:numPr>
          <w:ilvl w:val="0"/>
          <w:numId w:val="20"/>
        </w:numPr>
        <w:spacing w:after="120"/>
        <w:ind w:left="567" w:hanging="567"/>
        <w:jc w:val="both"/>
        <w:rPr>
          <w:rFonts w:asciiTheme="minorHAnsi" w:hAnsiTheme="minorHAnsi" w:cstheme="minorHAnsi"/>
          <w:bCs/>
          <w:color w:val="000000"/>
          <w:spacing w:val="-2"/>
          <w:szCs w:val="22"/>
        </w:rPr>
      </w:pPr>
      <w:r w:rsidRPr="00812BA6">
        <w:rPr>
          <w:rFonts w:asciiTheme="minorHAnsi" w:hAnsiTheme="minorHAnsi" w:cstheme="minorHAnsi"/>
          <w:bCs/>
          <w:color w:val="000000"/>
          <w:spacing w:val="-2"/>
          <w:szCs w:val="22"/>
        </w:rPr>
        <w:t xml:space="preserve">any period of unauthorised absence from duty unless </w:t>
      </w:r>
      <w:r w:rsidRPr="00812BA6">
        <w:rPr>
          <w:rFonts w:asciiTheme="minorHAnsi" w:hAnsiTheme="minorHAnsi" w:cstheme="minorHAnsi"/>
          <w:color w:val="1D1B11" w:themeColor="background2" w:themeShade="1A"/>
          <w:szCs w:val="22"/>
        </w:rPr>
        <w:t xml:space="preserve">Town of East Fremantle </w:t>
      </w:r>
      <w:r w:rsidRPr="00812BA6">
        <w:rPr>
          <w:rFonts w:asciiTheme="minorHAnsi" w:hAnsiTheme="minorHAnsi" w:cstheme="minorHAnsi"/>
          <w:bCs/>
          <w:color w:val="000000"/>
          <w:spacing w:val="-2"/>
          <w:szCs w:val="22"/>
        </w:rPr>
        <w:t xml:space="preserve">determines </w:t>
      </w:r>
      <w:proofErr w:type="gramStart"/>
      <w:r w:rsidRPr="00812BA6">
        <w:rPr>
          <w:rFonts w:asciiTheme="minorHAnsi" w:hAnsiTheme="minorHAnsi" w:cstheme="minorHAnsi"/>
          <w:bCs/>
          <w:color w:val="000000"/>
          <w:spacing w:val="-2"/>
          <w:szCs w:val="22"/>
        </w:rPr>
        <w:t>otherwise;</w:t>
      </w:r>
      <w:proofErr w:type="gramEnd"/>
    </w:p>
    <w:p w14:paraId="567F8EB2" w14:textId="77777777" w:rsidR="0096673E" w:rsidRPr="00812BA6" w:rsidRDefault="0096673E" w:rsidP="000C29DC">
      <w:pPr>
        <w:pStyle w:val="FeatureCopy"/>
        <w:numPr>
          <w:ilvl w:val="0"/>
          <w:numId w:val="20"/>
        </w:numPr>
        <w:spacing w:after="120"/>
        <w:ind w:left="567" w:hanging="567"/>
        <w:jc w:val="both"/>
        <w:rPr>
          <w:rFonts w:asciiTheme="minorHAnsi" w:hAnsiTheme="minorHAnsi" w:cstheme="minorHAnsi"/>
          <w:bCs/>
          <w:color w:val="000000"/>
          <w:spacing w:val="-2"/>
          <w:szCs w:val="22"/>
        </w:rPr>
      </w:pPr>
      <w:r w:rsidRPr="00812BA6">
        <w:rPr>
          <w:rFonts w:asciiTheme="minorHAnsi" w:hAnsiTheme="minorHAnsi" w:cstheme="minorHAnsi"/>
          <w:bCs/>
          <w:color w:val="000000"/>
          <w:spacing w:val="-2"/>
          <w:szCs w:val="22"/>
        </w:rPr>
        <w:t xml:space="preserve">any period of unpaid leave unless the </w:t>
      </w:r>
      <w:r w:rsidRPr="00812BA6">
        <w:rPr>
          <w:rFonts w:asciiTheme="minorHAnsi" w:hAnsiTheme="minorHAnsi" w:cstheme="minorHAnsi"/>
          <w:color w:val="1D1B11" w:themeColor="background2" w:themeShade="1A"/>
          <w:szCs w:val="22"/>
        </w:rPr>
        <w:t xml:space="preserve">Town of East Fremantle </w:t>
      </w:r>
      <w:r w:rsidRPr="00812BA6">
        <w:rPr>
          <w:rFonts w:asciiTheme="minorHAnsi" w:hAnsiTheme="minorHAnsi" w:cstheme="minorHAnsi"/>
          <w:bCs/>
          <w:color w:val="000000"/>
          <w:spacing w:val="-2"/>
          <w:szCs w:val="22"/>
        </w:rPr>
        <w:t>determines otherwise; or</w:t>
      </w:r>
    </w:p>
    <w:p w14:paraId="769223FE" w14:textId="77777777" w:rsidR="0096673E" w:rsidRPr="00812BA6" w:rsidRDefault="0096673E" w:rsidP="000C29DC">
      <w:pPr>
        <w:pStyle w:val="FeatureCopy"/>
        <w:numPr>
          <w:ilvl w:val="0"/>
          <w:numId w:val="20"/>
        </w:numPr>
        <w:spacing w:after="120"/>
        <w:ind w:left="567" w:hanging="567"/>
        <w:jc w:val="both"/>
        <w:rPr>
          <w:rFonts w:asciiTheme="minorHAnsi" w:hAnsiTheme="minorHAnsi" w:cstheme="minorHAnsi"/>
          <w:bCs/>
          <w:color w:val="000000"/>
          <w:spacing w:val="-2"/>
          <w:szCs w:val="22"/>
        </w:rPr>
      </w:pPr>
      <w:r w:rsidRPr="00812BA6">
        <w:rPr>
          <w:rFonts w:asciiTheme="minorHAnsi" w:hAnsiTheme="minorHAnsi" w:cstheme="minorHAnsi"/>
          <w:bCs/>
          <w:color w:val="000000"/>
          <w:spacing w:val="-2"/>
          <w:szCs w:val="22"/>
        </w:rPr>
        <w:t>any period of absence from duty on parental leave unless the Town of East Fremantle</w:t>
      </w:r>
      <w:r w:rsidRPr="00812BA6">
        <w:rPr>
          <w:rFonts w:asciiTheme="minorHAnsi" w:hAnsiTheme="minorHAnsi" w:cstheme="minorHAnsi"/>
          <w:b/>
          <w:bCs/>
          <w:color w:val="000000"/>
          <w:spacing w:val="-2"/>
          <w:szCs w:val="22"/>
        </w:rPr>
        <w:t xml:space="preserve"> </w:t>
      </w:r>
      <w:r w:rsidRPr="00812BA6">
        <w:rPr>
          <w:rFonts w:asciiTheme="minorHAnsi" w:hAnsiTheme="minorHAnsi" w:cstheme="minorHAnsi"/>
          <w:bCs/>
          <w:color w:val="000000"/>
          <w:spacing w:val="-2"/>
          <w:szCs w:val="22"/>
        </w:rPr>
        <w:t>determines otherwise.</w:t>
      </w:r>
    </w:p>
    <w:p w14:paraId="5F7BC59A" w14:textId="77777777" w:rsidR="0096673E" w:rsidRPr="00862911" w:rsidRDefault="0096673E" w:rsidP="00D56721">
      <w:pPr>
        <w:tabs>
          <w:tab w:val="left" w:pos="9356"/>
          <w:tab w:val="left" w:pos="10206"/>
        </w:tabs>
        <w:spacing w:before="200" w:after="0" w:line="240" w:lineRule="auto"/>
        <w:ind w:right="284"/>
        <w:jc w:val="both"/>
        <w:rPr>
          <w:rFonts w:cstheme="minorHAnsi"/>
          <w:b/>
        </w:rPr>
      </w:pPr>
      <w:r w:rsidRPr="00862911">
        <w:rPr>
          <w:rFonts w:cstheme="minorHAnsi"/>
          <w:b/>
        </w:rPr>
        <w:t>Financial Liability for Taxation</w:t>
      </w:r>
    </w:p>
    <w:p w14:paraId="2A588860" w14:textId="77777777" w:rsidR="0096673E" w:rsidRPr="00812BA6" w:rsidRDefault="0096673E" w:rsidP="00D56721">
      <w:pPr>
        <w:pStyle w:val="FeatureCopy"/>
        <w:jc w:val="both"/>
        <w:rPr>
          <w:rFonts w:asciiTheme="minorHAnsi" w:hAnsiTheme="minorHAnsi" w:cstheme="minorHAnsi"/>
          <w:bCs/>
          <w:color w:val="000000"/>
          <w:spacing w:val="-2"/>
          <w:szCs w:val="22"/>
        </w:rPr>
      </w:pPr>
      <w:r w:rsidRPr="00812BA6">
        <w:rPr>
          <w:rFonts w:asciiTheme="minorHAnsi" w:hAnsiTheme="minorHAnsi" w:cstheme="minorHAnsi"/>
          <w:bCs/>
          <w:color w:val="000000"/>
          <w:spacing w:val="-2"/>
          <w:szCs w:val="22"/>
        </w:rPr>
        <w:t xml:space="preserve">The employee accepts full responsibility for any taxation payable on a gratuity </w:t>
      </w:r>
      <w:proofErr w:type="gramStart"/>
      <w:r w:rsidRPr="00812BA6">
        <w:rPr>
          <w:rFonts w:asciiTheme="minorHAnsi" w:hAnsiTheme="minorHAnsi" w:cstheme="minorHAnsi"/>
          <w:bCs/>
          <w:color w:val="000000"/>
          <w:spacing w:val="-2"/>
          <w:szCs w:val="22"/>
        </w:rPr>
        <w:t>payment, and</w:t>
      </w:r>
      <w:proofErr w:type="gramEnd"/>
      <w:r w:rsidRPr="00812BA6">
        <w:rPr>
          <w:rFonts w:asciiTheme="minorHAnsi" w:hAnsiTheme="minorHAnsi" w:cstheme="minorHAnsi"/>
          <w:bCs/>
          <w:color w:val="000000"/>
          <w:spacing w:val="-2"/>
          <w:szCs w:val="22"/>
        </w:rPr>
        <w:t xml:space="preserve"> agrees to fully indemnify the </w:t>
      </w:r>
      <w:r w:rsidRPr="00812BA6">
        <w:rPr>
          <w:rFonts w:asciiTheme="minorHAnsi" w:hAnsiTheme="minorHAnsi" w:cstheme="minorHAnsi"/>
          <w:color w:val="1D1B11" w:themeColor="background2" w:themeShade="1A"/>
          <w:szCs w:val="22"/>
        </w:rPr>
        <w:t xml:space="preserve">Town of East Fremantle </w:t>
      </w:r>
      <w:r w:rsidRPr="00812BA6">
        <w:rPr>
          <w:rFonts w:asciiTheme="minorHAnsi" w:hAnsiTheme="minorHAnsi" w:cstheme="minorHAnsi"/>
          <w:bCs/>
          <w:color w:val="000000"/>
          <w:spacing w:val="-2"/>
          <w:szCs w:val="22"/>
        </w:rPr>
        <w:t>in relation to any claims or liabilities for taxation in relation to the gratuity payment.</w:t>
      </w:r>
    </w:p>
    <w:p w14:paraId="2174A624" w14:textId="77777777" w:rsidR="0096673E" w:rsidRPr="00862911" w:rsidRDefault="0096673E" w:rsidP="00D56721">
      <w:pPr>
        <w:pStyle w:val="FeatureCopy"/>
        <w:spacing w:before="200"/>
        <w:jc w:val="both"/>
        <w:rPr>
          <w:rFonts w:asciiTheme="minorHAnsi" w:hAnsiTheme="minorHAnsi" w:cstheme="minorHAnsi"/>
          <w:b/>
          <w:color w:val="auto"/>
          <w:szCs w:val="22"/>
        </w:rPr>
      </w:pPr>
      <w:r w:rsidRPr="00862911">
        <w:rPr>
          <w:rFonts w:asciiTheme="minorHAnsi" w:hAnsiTheme="minorHAnsi" w:cstheme="minorHAnsi"/>
          <w:b/>
          <w:color w:val="auto"/>
          <w:szCs w:val="22"/>
        </w:rPr>
        <w:t>Payments in addition to this Policy</w:t>
      </w:r>
    </w:p>
    <w:p w14:paraId="13166FB3" w14:textId="77777777" w:rsidR="0096673E" w:rsidRPr="00812BA6" w:rsidRDefault="0096673E" w:rsidP="00D56721">
      <w:pPr>
        <w:pStyle w:val="FeatureCopy"/>
        <w:tabs>
          <w:tab w:val="left" w:pos="2227"/>
        </w:tabs>
        <w:jc w:val="both"/>
        <w:rPr>
          <w:rFonts w:asciiTheme="minorHAnsi" w:hAnsiTheme="minorHAnsi" w:cstheme="minorHAnsi"/>
          <w:bCs/>
          <w:color w:val="000000"/>
          <w:spacing w:val="-2"/>
          <w:szCs w:val="22"/>
          <w:lang w:val="en-GB"/>
        </w:rPr>
      </w:pPr>
      <w:r w:rsidRPr="00812BA6">
        <w:rPr>
          <w:rFonts w:asciiTheme="minorHAnsi" w:hAnsiTheme="minorHAnsi" w:cstheme="minorHAnsi"/>
          <w:bCs/>
          <w:color w:val="000000"/>
          <w:spacing w:val="-2"/>
          <w:szCs w:val="22"/>
        </w:rPr>
        <w:t xml:space="preserve">The </w:t>
      </w:r>
      <w:r w:rsidRPr="00812BA6">
        <w:rPr>
          <w:rFonts w:asciiTheme="minorHAnsi" w:hAnsiTheme="minorHAnsi" w:cstheme="minorHAnsi"/>
          <w:color w:val="1D1B11" w:themeColor="background2" w:themeShade="1A"/>
          <w:szCs w:val="22"/>
        </w:rPr>
        <w:t xml:space="preserve">Town of East Fremantle </w:t>
      </w:r>
      <w:r w:rsidRPr="00812BA6">
        <w:rPr>
          <w:rFonts w:asciiTheme="minorHAnsi" w:hAnsiTheme="minorHAnsi" w:cstheme="minorHAnsi"/>
          <w:bCs/>
          <w:color w:val="000000"/>
          <w:spacing w:val="-2"/>
          <w:szCs w:val="22"/>
        </w:rPr>
        <w:t xml:space="preserve">agrees not to make any gratuity payment in addition to that contained within this policy until the Policy has been amended to reflect the varied amount and the </w:t>
      </w:r>
      <w:r w:rsidRPr="00812BA6">
        <w:rPr>
          <w:rFonts w:asciiTheme="minorHAnsi" w:hAnsiTheme="minorHAnsi" w:cstheme="minorHAnsi"/>
          <w:color w:val="1D1B11" w:themeColor="background2" w:themeShade="1A"/>
          <w:szCs w:val="22"/>
        </w:rPr>
        <w:t xml:space="preserve">Town of East Fremantle </w:t>
      </w:r>
      <w:r w:rsidRPr="00812BA6">
        <w:rPr>
          <w:rFonts w:asciiTheme="minorHAnsi" w:hAnsiTheme="minorHAnsi" w:cstheme="minorHAnsi"/>
          <w:bCs/>
          <w:color w:val="000000"/>
          <w:spacing w:val="-2"/>
          <w:szCs w:val="22"/>
        </w:rPr>
        <w:t>has caused local public notification to be given in relation to the variation.</w:t>
      </w:r>
    </w:p>
    <w:p w14:paraId="5EC7D77A" w14:textId="77777777" w:rsidR="0096673E" w:rsidRPr="00862911" w:rsidRDefault="0096673E" w:rsidP="00D56721">
      <w:pPr>
        <w:pStyle w:val="FeatureCopy"/>
        <w:spacing w:before="200"/>
        <w:jc w:val="both"/>
        <w:rPr>
          <w:rFonts w:asciiTheme="minorHAnsi" w:hAnsiTheme="minorHAnsi" w:cstheme="minorHAnsi"/>
          <w:b/>
          <w:color w:val="auto"/>
          <w:szCs w:val="22"/>
        </w:rPr>
      </w:pPr>
      <w:r w:rsidRPr="00862911">
        <w:rPr>
          <w:rFonts w:asciiTheme="minorHAnsi" w:hAnsiTheme="minorHAnsi" w:cstheme="minorHAnsi"/>
          <w:b/>
          <w:color w:val="auto"/>
          <w:szCs w:val="22"/>
        </w:rPr>
        <w:t>Financial Implications</w:t>
      </w:r>
    </w:p>
    <w:p w14:paraId="33A25F07" w14:textId="77777777" w:rsidR="0096673E" w:rsidRPr="00812BA6" w:rsidRDefault="0096673E" w:rsidP="000C29DC">
      <w:pPr>
        <w:pStyle w:val="FeatureCopy"/>
        <w:numPr>
          <w:ilvl w:val="0"/>
          <w:numId w:val="20"/>
        </w:numPr>
        <w:spacing w:after="120"/>
        <w:ind w:left="567" w:hanging="425"/>
        <w:jc w:val="both"/>
        <w:rPr>
          <w:rFonts w:asciiTheme="minorHAnsi" w:hAnsiTheme="minorHAnsi" w:cstheme="minorHAnsi"/>
          <w:bCs/>
          <w:color w:val="000000"/>
          <w:spacing w:val="-2"/>
          <w:szCs w:val="22"/>
        </w:rPr>
      </w:pPr>
      <w:r w:rsidRPr="00812BA6">
        <w:rPr>
          <w:rFonts w:asciiTheme="minorHAnsi" w:hAnsiTheme="minorHAnsi" w:cstheme="minorHAnsi"/>
          <w:bCs/>
          <w:color w:val="000000"/>
          <w:spacing w:val="-2"/>
          <w:szCs w:val="22"/>
        </w:rPr>
        <w:t xml:space="preserve">The </w:t>
      </w:r>
      <w:r w:rsidRPr="00812BA6">
        <w:rPr>
          <w:rFonts w:asciiTheme="minorHAnsi" w:hAnsiTheme="minorHAnsi" w:cstheme="minorHAnsi"/>
          <w:color w:val="1D1B11" w:themeColor="background2" w:themeShade="1A"/>
          <w:szCs w:val="22"/>
        </w:rPr>
        <w:t xml:space="preserve">Town </w:t>
      </w:r>
      <w:r w:rsidRPr="00812BA6">
        <w:rPr>
          <w:rFonts w:asciiTheme="minorHAnsi" w:hAnsiTheme="minorHAnsi" w:cstheme="minorHAnsi"/>
          <w:bCs/>
          <w:color w:val="000000"/>
          <w:spacing w:val="-2"/>
          <w:szCs w:val="22"/>
        </w:rPr>
        <w:t>acknowledges that at the time the policy was introduced, the financial implications to the Town were understood and that these financial implications had been investigated based on the workforce position current at that time.</w:t>
      </w:r>
    </w:p>
    <w:p w14:paraId="7724651C" w14:textId="77777777" w:rsidR="0096673E" w:rsidRPr="00862911" w:rsidRDefault="0096673E" w:rsidP="000C29DC">
      <w:pPr>
        <w:pStyle w:val="FeatureCopy"/>
        <w:numPr>
          <w:ilvl w:val="0"/>
          <w:numId w:val="20"/>
        </w:numPr>
        <w:spacing w:before="120"/>
        <w:ind w:left="567" w:hanging="426"/>
        <w:jc w:val="both"/>
        <w:rPr>
          <w:rFonts w:asciiTheme="minorHAnsi" w:hAnsiTheme="minorHAnsi" w:cstheme="minorHAnsi"/>
          <w:b/>
          <w:bCs/>
          <w:color w:val="000000"/>
          <w:spacing w:val="-2"/>
          <w:szCs w:val="22"/>
          <w:u w:val="single"/>
        </w:rPr>
      </w:pPr>
      <w:r w:rsidRPr="00812BA6">
        <w:rPr>
          <w:rFonts w:asciiTheme="minorHAnsi" w:hAnsiTheme="minorHAnsi" w:cstheme="minorHAnsi"/>
          <w:bCs/>
          <w:color w:val="000000"/>
          <w:spacing w:val="-2"/>
          <w:szCs w:val="22"/>
        </w:rPr>
        <w:t xml:space="preserve">The </w:t>
      </w:r>
      <w:r w:rsidRPr="00812BA6">
        <w:rPr>
          <w:rFonts w:asciiTheme="minorHAnsi" w:hAnsiTheme="minorHAnsi" w:cstheme="minorHAnsi"/>
          <w:color w:val="1D1B11" w:themeColor="background2" w:themeShade="1A"/>
          <w:szCs w:val="22"/>
        </w:rPr>
        <w:t xml:space="preserve">Town </w:t>
      </w:r>
      <w:r w:rsidRPr="00812BA6">
        <w:rPr>
          <w:rFonts w:asciiTheme="minorHAnsi" w:hAnsiTheme="minorHAnsi" w:cstheme="minorHAnsi"/>
          <w:bCs/>
          <w:color w:val="000000"/>
          <w:spacing w:val="-2"/>
          <w:szCs w:val="22"/>
        </w:rPr>
        <w:t xml:space="preserve">will take reasonable steps to notify employees prior to the variation of this policy or the </w:t>
      </w:r>
      <w:r w:rsidRPr="00862911">
        <w:rPr>
          <w:rFonts w:asciiTheme="minorHAnsi" w:hAnsiTheme="minorHAnsi" w:cstheme="minorHAnsi"/>
          <w:bCs/>
          <w:color w:val="000000"/>
          <w:spacing w:val="-2"/>
          <w:szCs w:val="22"/>
        </w:rPr>
        <w:t>introduction of any new gratuity policy.</w:t>
      </w:r>
      <w:r w:rsidRPr="00862911">
        <w:rPr>
          <w:rFonts w:asciiTheme="minorHAnsi" w:hAnsiTheme="minorHAnsi" w:cstheme="minorHAnsi"/>
          <w:b/>
          <w:bCs/>
          <w:color w:val="000000"/>
          <w:spacing w:val="-2"/>
          <w:szCs w:val="22"/>
          <w:u w:val="single"/>
        </w:rPr>
        <w:t xml:space="preserve"> </w:t>
      </w:r>
    </w:p>
    <w:p w14:paraId="4A47CDA5" w14:textId="77777777" w:rsidR="0096673E" w:rsidRPr="00862911" w:rsidRDefault="0096673E" w:rsidP="00D56721">
      <w:pPr>
        <w:pStyle w:val="FeatureCopy"/>
        <w:spacing w:before="200" w:after="60"/>
        <w:jc w:val="both"/>
        <w:rPr>
          <w:rFonts w:asciiTheme="minorHAnsi" w:hAnsiTheme="minorHAnsi" w:cstheme="minorHAnsi"/>
          <w:b/>
          <w:color w:val="0070C0"/>
          <w:szCs w:val="22"/>
          <w:u w:val="single"/>
        </w:rPr>
      </w:pPr>
      <w:r w:rsidRPr="00862911">
        <w:rPr>
          <w:rFonts w:asciiTheme="minorHAnsi" w:hAnsiTheme="minorHAnsi" w:cstheme="minorHAnsi"/>
          <w:b/>
          <w:color w:val="auto"/>
          <w:szCs w:val="22"/>
          <w:u w:val="single"/>
        </w:rPr>
        <w:t>Consequences of Breaching this Policy</w:t>
      </w:r>
    </w:p>
    <w:p w14:paraId="3FA91120" w14:textId="77777777" w:rsidR="0096673E" w:rsidRPr="00D56721" w:rsidRDefault="0096673E" w:rsidP="00D56721">
      <w:pPr>
        <w:pStyle w:val="FeatureCopy"/>
        <w:jc w:val="both"/>
        <w:rPr>
          <w:rFonts w:asciiTheme="minorHAnsi" w:hAnsiTheme="minorHAnsi" w:cstheme="minorHAnsi"/>
          <w:bCs/>
          <w:color w:val="auto"/>
          <w:spacing w:val="-2"/>
          <w:szCs w:val="22"/>
        </w:rPr>
      </w:pPr>
      <w:r w:rsidRPr="00D56721">
        <w:rPr>
          <w:rFonts w:asciiTheme="minorHAnsi" w:hAnsiTheme="minorHAnsi" w:cstheme="minorHAnsi"/>
          <w:bCs/>
          <w:color w:val="000000"/>
          <w:spacing w:val="-2"/>
          <w:szCs w:val="22"/>
        </w:rPr>
        <w:t>The policy</w:t>
      </w:r>
      <w:r w:rsidRPr="00D56721">
        <w:rPr>
          <w:rFonts w:asciiTheme="minorHAnsi" w:hAnsiTheme="minorHAnsi" w:cstheme="minorHAnsi"/>
          <w:bCs/>
          <w:color w:val="000000"/>
          <w:spacing w:val="-2"/>
          <w:szCs w:val="22"/>
          <w:lang w:val="en-GB"/>
        </w:rPr>
        <w:t xml:space="preserve"> constitutes a lawful instruction to anyone involved in administering a gratuity payment. Any </w:t>
      </w:r>
      <w:r w:rsidRPr="00D56721">
        <w:rPr>
          <w:rFonts w:asciiTheme="minorHAnsi" w:hAnsiTheme="minorHAnsi" w:cstheme="minorHAnsi"/>
          <w:bCs/>
          <w:color w:val="auto"/>
          <w:spacing w:val="-2"/>
          <w:szCs w:val="22"/>
          <w:lang w:val="en-GB"/>
        </w:rPr>
        <w:t>breaches of the policy may lead to disciplinary action.</w:t>
      </w:r>
    </w:p>
    <w:p w14:paraId="5402DED4" w14:textId="77777777" w:rsidR="0096673E" w:rsidRPr="00862911" w:rsidRDefault="0096673E" w:rsidP="00812BA6">
      <w:pPr>
        <w:pStyle w:val="FeatureCopy"/>
        <w:tabs>
          <w:tab w:val="left" w:pos="10206"/>
        </w:tabs>
        <w:spacing w:before="200"/>
        <w:ind w:right="284"/>
        <w:jc w:val="both"/>
        <w:rPr>
          <w:rFonts w:asciiTheme="minorHAnsi" w:hAnsiTheme="minorHAnsi" w:cstheme="minorHAnsi"/>
          <w:b/>
          <w:color w:val="auto"/>
          <w:szCs w:val="22"/>
        </w:rPr>
      </w:pPr>
      <w:r w:rsidRPr="00862911">
        <w:rPr>
          <w:rFonts w:asciiTheme="minorHAnsi" w:hAnsiTheme="minorHAnsi" w:cstheme="minorHAnsi"/>
          <w:b/>
          <w:color w:val="auto"/>
          <w:szCs w:val="22"/>
        </w:rPr>
        <w:t>Variation to this Policy</w:t>
      </w:r>
    </w:p>
    <w:p w14:paraId="0D2B3B91" w14:textId="77777777" w:rsidR="0096673E" w:rsidRPr="00D56721" w:rsidRDefault="0096673E" w:rsidP="0096673E">
      <w:pPr>
        <w:tabs>
          <w:tab w:val="left" w:pos="851"/>
          <w:tab w:val="left" w:pos="1418"/>
        </w:tabs>
        <w:spacing w:line="240" w:lineRule="auto"/>
        <w:jc w:val="both"/>
        <w:rPr>
          <w:rFonts w:cstheme="minorHAnsi"/>
        </w:rPr>
      </w:pPr>
      <w:r w:rsidRPr="00D56721">
        <w:rPr>
          <w:rFonts w:cstheme="minorHAnsi"/>
          <w:color w:val="1D1B11" w:themeColor="background2" w:themeShade="1A"/>
          <w:lang w:val="en-GB"/>
        </w:rPr>
        <w:t xml:space="preserve">This policy may be cancelled or varied from time to time. All the organisation’s employees will be notified of any variation to this policy by the normal correspondence method. </w:t>
      </w:r>
    </w:p>
    <w:p w14:paraId="515AD2BC" w14:textId="77777777" w:rsidR="0096673E" w:rsidRPr="00D56721" w:rsidRDefault="0096673E" w:rsidP="0096673E">
      <w:pPr>
        <w:tabs>
          <w:tab w:val="left" w:pos="9356"/>
          <w:tab w:val="left" w:pos="10206"/>
        </w:tabs>
        <w:spacing w:after="0" w:line="240" w:lineRule="auto"/>
        <w:ind w:right="284"/>
        <w:jc w:val="both"/>
        <w:rPr>
          <w:rFonts w:cstheme="minorHAnsi"/>
          <w:lang w:val="en-US"/>
        </w:rPr>
      </w:pPr>
      <w:r w:rsidRPr="00D56721">
        <w:rPr>
          <w:rFonts w:cstheme="minorHAnsi"/>
        </w:rPr>
        <w:t xml:space="preserve"> </w:t>
      </w:r>
    </w:p>
    <w:tbl>
      <w:tblPr>
        <w:tblStyle w:val="TableGrid"/>
        <w:tblW w:w="0" w:type="auto"/>
        <w:tblLook w:val="04A0" w:firstRow="1" w:lastRow="0" w:firstColumn="1" w:lastColumn="0" w:noHBand="0" w:noVBand="1"/>
      </w:tblPr>
      <w:tblGrid>
        <w:gridCol w:w="3114"/>
        <w:gridCol w:w="5902"/>
      </w:tblGrid>
      <w:tr w:rsidR="0096673E" w:rsidRPr="00D56721" w14:paraId="48B89E7B" w14:textId="77777777" w:rsidTr="00D56721">
        <w:tc>
          <w:tcPr>
            <w:tcW w:w="3114" w:type="dxa"/>
          </w:tcPr>
          <w:p w14:paraId="245350BD" w14:textId="77777777" w:rsidR="0096673E" w:rsidRPr="00D56721" w:rsidRDefault="0096673E" w:rsidP="00D56721">
            <w:pPr>
              <w:jc w:val="both"/>
              <w:rPr>
                <w:rFonts w:cstheme="minorHAnsi"/>
                <w:b/>
                <w:lang w:val="en-US"/>
              </w:rPr>
            </w:pPr>
            <w:r w:rsidRPr="00D56721">
              <w:rPr>
                <w:rFonts w:cstheme="minorHAnsi"/>
                <w:b/>
                <w:lang w:val="en-US"/>
              </w:rPr>
              <w:t>Responsible Directorate:</w:t>
            </w:r>
          </w:p>
        </w:tc>
        <w:tc>
          <w:tcPr>
            <w:tcW w:w="5902" w:type="dxa"/>
          </w:tcPr>
          <w:p w14:paraId="2B4D1F5B" w14:textId="77777777" w:rsidR="0096673E" w:rsidRPr="00D56721" w:rsidRDefault="0096673E" w:rsidP="00D56721">
            <w:pPr>
              <w:jc w:val="both"/>
              <w:rPr>
                <w:rFonts w:cstheme="minorHAnsi"/>
                <w:lang w:val="en-US"/>
              </w:rPr>
            </w:pPr>
            <w:r w:rsidRPr="00D56721">
              <w:rPr>
                <w:rFonts w:cstheme="minorHAnsi"/>
                <w:lang w:val="en-US"/>
              </w:rPr>
              <w:t>Office of the CEO</w:t>
            </w:r>
          </w:p>
        </w:tc>
      </w:tr>
      <w:tr w:rsidR="0096673E" w:rsidRPr="00D56721" w14:paraId="4B52F0BC" w14:textId="77777777" w:rsidTr="00D56721">
        <w:tc>
          <w:tcPr>
            <w:tcW w:w="3114" w:type="dxa"/>
          </w:tcPr>
          <w:p w14:paraId="6DA4A5E7" w14:textId="77777777" w:rsidR="0096673E" w:rsidRPr="00D56721" w:rsidRDefault="0096673E" w:rsidP="00D56721">
            <w:pPr>
              <w:jc w:val="both"/>
              <w:rPr>
                <w:rFonts w:cstheme="minorHAnsi"/>
                <w:b/>
                <w:lang w:val="en-US"/>
              </w:rPr>
            </w:pPr>
            <w:r w:rsidRPr="00D56721">
              <w:rPr>
                <w:rFonts w:cstheme="minorHAnsi"/>
                <w:b/>
                <w:lang w:val="en-US"/>
              </w:rPr>
              <w:t>Reviewing Officer:</w:t>
            </w:r>
          </w:p>
        </w:tc>
        <w:tc>
          <w:tcPr>
            <w:tcW w:w="5902" w:type="dxa"/>
          </w:tcPr>
          <w:p w14:paraId="607D8B39" w14:textId="77777777" w:rsidR="0096673E" w:rsidRPr="00D56721" w:rsidRDefault="0096673E" w:rsidP="00D56721">
            <w:pPr>
              <w:jc w:val="both"/>
              <w:rPr>
                <w:rFonts w:cstheme="minorHAnsi"/>
                <w:lang w:val="en-US"/>
              </w:rPr>
            </w:pPr>
            <w:r w:rsidRPr="00D56721">
              <w:rPr>
                <w:rFonts w:cstheme="minorHAnsi"/>
                <w:lang w:val="en-US"/>
              </w:rPr>
              <w:t>CEO</w:t>
            </w:r>
          </w:p>
        </w:tc>
      </w:tr>
      <w:tr w:rsidR="0096673E" w:rsidRPr="00D56721" w14:paraId="716C3105" w14:textId="77777777" w:rsidTr="00D56721">
        <w:tc>
          <w:tcPr>
            <w:tcW w:w="3114" w:type="dxa"/>
          </w:tcPr>
          <w:p w14:paraId="47EA2CC5" w14:textId="77777777" w:rsidR="0096673E" w:rsidRPr="00D56721" w:rsidRDefault="0096673E" w:rsidP="00D56721">
            <w:pPr>
              <w:jc w:val="both"/>
              <w:rPr>
                <w:rFonts w:cstheme="minorHAnsi"/>
                <w:b/>
                <w:lang w:val="en-US"/>
              </w:rPr>
            </w:pPr>
            <w:r w:rsidRPr="00D56721">
              <w:rPr>
                <w:rFonts w:cstheme="minorHAnsi"/>
                <w:b/>
                <w:lang w:val="en-US"/>
              </w:rPr>
              <w:t>Decision making Authority:</w:t>
            </w:r>
          </w:p>
        </w:tc>
        <w:tc>
          <w:tcPr>
            <w:tcW w:w="5902" w:type="dxa"/>
          </w:tcPr>
          <w:p w14:paraId="7DC45E8D" w14:textId="77777777" w:rsidR="0096673E" w:rsidRPr="00D56721" w:rsidRDefault="0096673E" w:rsidP="00D56721">
            <w:pPr>
              <w:jc w:val="both"/>
              <w:rPr>
                <w:rFonts w:cstheme="minorHAnsi"/>
                <w:lang w:val="en-US"/>
              </w:rPr>
            </w:pPr>
            <w:r w:rsidRPr="00D56721">
              <w:rPr>
                <w:rFonts w:cstheme="minorHAnsi"/>
                <w:lang w:val="en-US"/>
              </w:rPr>
              <w:t>Council</w:t>
            </w:r>
          </w:p>
        </w:tc>
      </w:tr>
      <w:tr w:rsidR="0096673E" w:rsidRPr="00D56721" w14:paraId="45CFFBF9" w14:textId="77777777" w:rsidTr="00D56721">
        <w:tc>
          <w:tcPr>
            <w:tcW w:w="3114" w:type="dxa"/>
          </w:tcPr>
          <w:p w14:paraId="5EA178F0" w14:textId="77777777" w:rsidR="0096673E" w:rsidRPr="00D56721" w:rsidRDefault="0096673E" w:rsidP="00D56721">
            <w:pPr>
              <w:jc w:val="both"/>
              <w:rPr>
                <w:rFonts w:cstheme="minorHAnsi"/>
                <w:b/>
                <w:lang w:val="en-US"/>
              </w:rPr>
            </w:pPr>
            <w:r w:rsidRPr="00D56721">
              <w:rPr>
                <w:rFonts w:cstheme="minorHAnsi"/>
                <w:b/>
                <w:lang w:val="en-US"/>
              </w:rPr>
              <w:t>Policy Adopted:</w:t>
            </w:r>
          </w:p>
        </w:tc>
        <w:tc>
          <w:tcPr>
            <w:tcW w:w="5902" w:type="dxa"/>
          </w:tcPr>
          <w:p w14:paraId="73A96D38" w14:textId="77777777" w:rsidR="0096673E" w:rsidRPr="00D56721" w:rsidRDefault="0096673E" w:rsidP="00D56721">
            <w:pPr>
              <w:jc w:val="both"/>
              <w:rPr>
                <w:rFonts w:cstheme="minorHAnsi"/>
                <w:lang w:val="en-US"/>
              </w:rPr>
            </w:pPr>
            <w:r w:rsidRPr="00D56721">
              <w:rPr>
                <w:rFonts w:cstheme="minorHAnsi"/>
                <w:lang w:val="en-US"/>
              </w:rPr>
              <w:t>19/06/18</w:t>
            </w:r>
          </w:p>
        </w:tc>
      </w:tr>
      <w:tr w:rsidR="0096673E" w:rsidRPr="00D56721" w14:paraId="5300CEDB" w14:textId="77777777" w:rsidTr="00D56721">
        <w:tc>
          <w:tcPr>
            <w:tcW w:w="3114" w:type="dxa"/>
          </w:tcPr>
          <w:p w14:paraId="57025865" w14:textId="77777777" w:rsidR="0096673E" w:rsidRPr="00D56721" w:rsidRDefault="0096673E" w:rsidP="00D56721">
            <w:pPr>
              <w:jc w:val="both"/>
              <w:rPr>
                <w:rFonts w:cstheme="minorHAnsi"/>
                <w:b/>
                <w:lang w:val="en-US"/>
              </w:rPr>
            </w:pPr>
            <w:r w:rsidRPr="00D56721">
              <w:rPr>
                <w:rFonts w:cstheme="minorHAnsi"/>
                <w:b/>
                <w:lang w:val="en-US"/>
              </w:rPr>
              <w:t>Policy Amended</w:t>
            </w:r>
            <w:r w:rsidR="00D56721">
              <w:rPr>
                <w:rFonts w:cstheme="minorHAnsi"/>
                <w:b/>
                <w:lang w:val="en-US"/>
              </w:rPr>
              <w:t>/Reviewed</w:t>
            </w:r>
            <w:r w:rsidRPr="00D56721">
              <w:rPr>
                <w:rFonts w:cstheme="minorHAnsi"/>
                <w:b/>
                <w:lang w:val="en-US"/>
              </w:rPr>
              <w:t>:</w:t>
            </w:r>
          </w:p>
        </w:tc>
        <w:tc>
          <w:tcPr>
            <w:tcW w:w="5902" w:type="dxa"/>
          </w:tcPr>
          <w:p w14:paraId="10060BD6" w14:textId="77777777" w:rsidR="0096673E" w:rsidRPr="00D56721" w:rsidRDefault="00204A62" w:rsidP="00D56721">
            <w:pPr>
              <w:jc w:val="both"/>
              <w:rPr>
                <w:rFonts w:cstheme="minorHAnsi"/>
                <w:lang w:val="en-US"/>
              </w:rPr>
            </w:pPr>
            <w:r>
              <w:rPr>
                <w:rFonts w:cstheme="minorHAnsi"/>
                <w:lang w:val="en-US"/>
              </w:rPr>
              <w:t>17/9/19</w:t>
            </w:r>
          </w:p>
        </w:tc>
      </w:tr>
      <w:tr w:rsidR="0096673E" w:rsidRPr="00D56721" w14:paraId="3CF94D7D" w14:textId="77777777" w:rsidTr="00D56721">
        <w:tc>
          <w:tcPr>
            <w:tcW w:w="3114" w:type="dxa"/>
          </w:tcPr>
          <w:p w14:paraId="610C97A6" w14:textId="77777777" w:rsidR="0096673E" w:rsidRPr="00D56721" w:rsidRDefault="00D56721" w:rsidP="00D56721">
            <w:pPr>
              <w:jc w:val="both"/>
              <w:rPr>
                <w:rFonts w:cstheme="minorHAnsi"/>
                <w:b/>
                <w:lang w:val="en-US"/>
              </w:rPr>
            </w:pPr>
            <w:r>
              <w:rPr>
                <w:rFonts w:cstheme="minorHAnsi"/>
                <w:b/>
                <w:lang w:val="en-US"/>
              </w:rPr>
              <w:t>Former Policy No</w:t>
            </w:r>
            <w:r w:rsidR="0096673E" w:rsidRPr="00D56721">
              <w:rPr>
                <w:rFonts w:cstheme="minorHAnsi"/>
                <w:b/>
                <w:lang w:val="en-US"/>
              </w:rPr>
              <w:t>:</w:t>
            </w:r>
          </w:p>
        </w:tc>
        <w:tc>
          <w:tcPr>
            <w:tcW w:w="5902" w:type="dxa"/>
          </w:tcPr>
          <w:p w14:paraId="3B22B151" w14:textId="77777777" w:rsidR="0096673E" w:rsidRPr="00D56721" w:rsidRDefault="00D56721" w:rsidP="00D56721">
            <w:pPr>
              <w:jc w:val="both"/>
              <w:rPr>
                <w:rFonts w:cstheme="minorHAnsi"/>
                <w:lang w:val="en-US"/>
              </w:rPr>
            </w:pPr>
            <w:r>
              <w:rPr>
                <w:rFonts w:cstheme="minorHAnsi"/>
                <w:lang w:val="en-US"/>
              </w:rPr>
              <w:t>4.2.8</w:t>
            </w:r>
          </w:p>
        </w:tc>
      </w:tr>
    </w:tbl>
    <w:p w14:paraId="431E7ED0" w14:textId="1FF34B55" w:rsidR="00956CC0" w:rsidRDefault="00956CC0" w:rsidP="0096673E">
      <w:pPr>
        <w:jc w:val="both"/>
        <w:rPr>
          <w:rFonts w:cstheme="minorHAnsi"/>
          <w:lang w:val="en-US"/>
        </w:rPr>
      </w:pPr>
    </w:p>
    <w:p w14:paraId="3CEE47A6" w14:textId="58654B2C" w:rsidR="000F6FF8" w:rsidRDefault="003369A9" w:rsidP="00862911">
      <w:pPr>
        <w:pStyle w:val="Title"/>
        <w:pBdr>
          <w:bottom w:val="none" w:sz="0" w:space="0" w:color="auto"/>
        </w:pBdr>
        <w:spacing w:before="240" w:after="240"/>
        <w:jc w:val="right"/>
        <w:rPr>
          <w:rFonts w:ascii="Arial" w:hAnsi="Arial" w:cs="Arial"/>
          <w:b/>
          <w:sz w:val="28"/>
          <w:szCs w:val="28"/>
          <w:lang w:val="en-US"/>
        </w:rPr>
      </w:pPr>
      <w:r>
        <w:rPr>
          <w:noProof/>
          <w:lang w:eastAsia="en-AU"/>
        </w:rPr>
        <w:lastRenderedPageBreak/>
        <w:drawing>
          <wp:anchor distT="0" distB="0" distL="114300" distR="114300" simplePos="0" relativeHeight="251655168" behindDoc="1" locked="0" layoutInCell="1" allowOverlap="1" wp14:anchorId="339AADCB" wp14:editId="79671AAF">
            <wp:simplePos x="0" y="0"/>
            <wp:positionH relativeFrom="column">
              <wp:posOffset>4057650</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C3F7915" w14:textId="77777777" w:rsidR="00862911" w:rsidRPr="00862911" w:rsidRDefault="00862911" w:rsidP="000F6FF8">
      <w:pPr>
        <w:pStyle w:val="Title"/>
        <w:pBdr>
          <w:bottom w:val="none" w:sz="0" w:space="0" w:color="auto"/>
        </w:pBdr>
        <w:spacing w:before="240" w:after="240"/>
        <w:ind w:left="1134" w:hanging="1134"/>
        <w:rPr>
          <w:rFonts w:asciiTheme="minorHAnsi" w:hAnsiTheme="minorHAnsi" w:cstheme="minorHAnsi"/>
          <w:b/>
          <w:sz w:val="10"/>
          <w:szCs w:val="28"/>
          <w:lang w:val="en-US"/>
        </w:rPr>
      </w:pPr>
    </w:p>
    <w:p w14:paraId="7C6FF7B6" w14:textId="77777777" w:rsidR="003369A9" w:rsidRDefault="003369A9" w:rsidP="00D24C10">
      <w:pPr>
        <w:pStyle w:val="Policy3"/>
      </w:pPr>
    </w:p>
    <w:p w14:paraId="1ADDE778" w14:textId="77777777" w:rsidR="003369A9" w:rsidRDefault="003369A9" w:rsidP="00D24C10">
      <w:pPr>
        <w:pStyle w:val="Policy3"/>
      </w:pPr>
    </w:p>
    <w:p w14:paraId="4A14E2EF" w14:textId="6E7F0B35" w:rsidR="000F6FF8" w:rsidRPr="00862911" w:rsidRDefault="000F6FF8" w:rsidP="00D24C10">
      <w:pPr>
        <w:pStyle w:val="Policy3"/>
      </w:pPr>
      <w:bookmarkStart w:id="121" w:name="_Toc216866665"/>
      <w:r w:rsidRPr="00862911">
        <w:t>1.2.5</w:t>
      </w:r>
      <w:r w:rsidRPr="00862911">
        <w:tab/>
        <w:t>S</w:t>
      </w:r>
      <w:r w:rsidR="00D24C10">
        <w:t>taff Education and Study Leave</w:t>
      </w:r>
      <w:bookmarkEnd w:id="121"/>
      <w:r w:rsidRPr="00862911">
        <w:t xml:space="preserve"> </w:t>
      </w:r>
    </w:p>
    <w:tbl>
      <w:tblPr>
        <w:tblStyle w:val="TableGrid"/>
        <w:tblW w:w="0" w:type="auto"/>
        <w:tblLook w:val="04A0" w:firstRow="1" w:lastRow="0" w:firstColumn="1" w:lastColumn="0" w:noHBand="0" w:noVBand="1"/>
      </w:tblPr>
      <w:tblGrid>
        <w:gridCol w:w="3025"/>
        <w:gridCol w:w="5991"/>
      </w:tblGrid>
      <w:tr w:rsidR="000F6FF8" w:rsidRPr="000F6FF8" w14:paraId="42BA727F" w14:textId="77777777" w:rsidTr="000F6FF8">
        <w:tc>
          <w:tcPr>
            <w:tcW w:w="3025" w:type="dxa"/>
          </w:tcPr>
          <w:p w14:paraId="1E52CF88" w14:textId="77777777" w:rsidR="000F6FF8" w:rsidRPr="000F6FF8" w:rsidRDefault="000F6FF8" w:rsidP="00B4063E">
            <w:pPr>
              <w:rPr>
                <w:rFonts w:cstheme="minorHAnsi"/>
                <w:b/>
                <w:lang w:val="en-US"/>
              </w:rPr>
            </w:pPr>
            <w:r w:rsidRPr="000F6FF8">
              <w:rPr>
                <w:rFonts w:cstheme="minorHAnsi"/>
                <w:b/>
                <w:lang w:val="en-US"/>
              </w:rPr>
              <w:t>Type:</w:t>
            </w:r>
          </w:p>
        </w:tc>
        <w:tc>
          <w:tcPr>
            <w:tcW w:w="5991" w:type="dxa"/>
          </w:tcPr>
          <w:p w14:paraId="69F04CAD" w14:textId="77777777" w:rsidR="000F6FF8" w:rsidRPr="000F6FF8" w:rsidRDefault="000F6FF8" w:rsidP="00B4063E">
            <w:pPr>
              <w:rPr>
                <w:rFonts w:cstheme="minorHAnsi"/>
                <w:lang w:val="en-US"/>
              </w:rPr>
            </w:pPr>
            <w:r>
              <w:rPr>
                <w:rFonts w:cstheme="minorHAnsi"/>
                <w:lang w:val="en-US"/>
              </w:rPr>
              <w:t>Office of the CEO – Human Resources</w:t>
            </w:r>
          </w:p>
        </w:tc>
      </w:tr>
      <w:tr w:rsidR="000F6FF8" w:rsidRPr="000F6FF8" w14:paraId="0FE0C3D3" w14:textId="77777777" w:rsidTr="000F6FF8">
        <w:tc>
          <w:tcPr>
            <w:tcW w:w="3025" w:type="dxa"/>
          </w:tcPr>
          <w:p w14:paraId="05C75053" w14:textId="77777777" w:rsidR="000F6FF8" w:rsidRPr="000F6FF8" w:rsidRDefault="000F6FF8" w:rsidP="00B4063E">
            <w:pPr>
              <w:rPr>
                <w:rFonts w:cstheme="minorHAnsi"/>
                <w:b/>
                <w:lang w:val="en-US"/>
              </w:rPr>
            </w:pPr>
            <w:r w:rsidRPr="000F6FF8">
              <w:rPr>
                <w:rFonts w:cstheme="minorHAnsi"/>
                <w:b/>
                <w:lang w:val="en-US"/>
              </w:rPr>
              <w:t>Legislation:</w:t>
            </w:r>
          </w:p>
        </w:tc>
        <w:tc>
          <w:tcPr>
            <w:tcW w:w="5991" w:type="dxa"/>
          </w:tcPr>
          <w:p w14:paraId="4A613FFE" w14:textId="77777777" w:rsidR="000F6FF8" w:rsidRPr="000F6FF8" w:rsidRDefault="000F6FF8" w:rsidP="00B4063E">
            <w:pPr>
              <w:rPr>
                <w:rFonts w:cstheme="minorHAnsi"/>
                <w:lang w:val="en-US"/>
              </w:rPr>
            </w:pPr>
          </w:p>
        </w:tc>
      </w:tr>
      <w:tr w:rsidR="000F6FF8" w:rsidRPr="000F6FF8" w14:paraId="17C00C07" w14:textId="77777777" w:rsidTr="000F6FF8">
        <w:tc>
          <w:tcPr>
            <w:tcW w:w="3025" w:type="dxa"/>
          </w:tcPr>
          <w:p w14:paraId="3CC5333E" w14:textId="77777777" w:rsidR="000F6FF8" w:rsidRPr="000F6FF8" w:rsidRDefault="000F6FF8" w:rsidP="00B4063E">
            <w:pPr>
              <w:rPr>
                <w:rFonts w:cstheme="minorHAnsi"/>
                <w:b/>
                <w:lang w:val="en-US"/>
              </w:rPr>
            </w:pPr>
            <w:r w:rsidRPr="000F6FF8">
              <w:rPr>
                <w:rFonts w:cstheme="minorHAnsi"/>
                <w:b/>
                <w:lang w:val="en-US"/>
              </w:rPr>
              <w:t>Delegation:</w:t>
            </w:r>
          </w:p>
        </w:tc>
        <w:tc>
          <w:tcPr>
            <w:tcW w:w="5991" w:type="dxa"/>
          </w:tcPr>
          <w:p w14:paraId="744BB733" w14:textId="77777777" w:rsidR="000F6FF8" w:rsidRPr="000F6FF8" w:rsidRDefault="000F6FF8" w:rsidP="00B4063E">
            <w:pPr>
              <w:rPr>
                <w:rFonts w:cstheme="minorHAnsi"/>
                <w:lang w:val="en-US"/>
              </w:rPr>
            </w:pPr>
            <w:r w:rsidRPr="000F6FF8">
              <w:rPr>
                <w:rFonts w:cstheme="minorHAnsi"/>
                <w:lang w:val="en-US"/>
              </w:rPr>
              <w:t>N/A</w:t>
            </w:r>
          </w:p>
        </w:tc>
      </w:tr>
      <w:tr w:rsidR="000F6FF8" w:rsidRPr="000F6FF8" w14:paraId="6D728CEC" w14:textId="77777777" w:rsidTr="000F6FF8">
        <w:tc>
          <w:tcPr>
            <w:tcW w:w="3025" w:type="dxa"/>
          </w:tcPr>
          <w:p w14:paraId="3D9A1C9E" w14:textId="77777777" w:rsidR="000F6FF8" w:rsidRPr="000F6FF8" w:rsidRDefault="000F6FF8" w:rsidP="00B4063E">
            <w:pPr>
              <w:rPr>
                <w:rFonts w:cstheme="minorHAnsi"/>
                <w:b/>
                <w:lang w:val="en-US"/>
              </w:rPr>
            </w:pPr>
            <w:r w:rsidRPr="000F6FF8">
              <w:rPr>
                <w:rFonts w:cstheme="minorHAnsi"/>
                <w:b/>
                <w:lang w:val="en-US"/>
              </w:rPr>
              <w:t>Other Related Document:</w:t>
            </w:r>
          </w:p>
        </w:tc>
        <w:tc>
          <w:tcPr>
            <w:tcW w:w="5991" w:type="dxa"/>
          </w:tcPr>
          <w:p w14:paraId="5C48BC74" w14:textId="77777777" w:rsidR="000F6FF8" w:rsidRPr="000F6FF8" w:rsidRDefault="000F6FF8" w:rsidP="00B4063E">
            <w:pPr>
              <w:rPr>
                <w:rFonts w:cstheme="minorHAnsi"/>
                <w:lang w:val="en-US"/>
              </w:rPr>
            </w:pPr>
          </w:p>
        </w:tc>
      </w:tr>
    </w:tbl>
    <w:p w14:paraId="5E953152" w14:textId="77777777" w:rsidR="000F6FF8" w:rsidRPr="00862911" w:rsidRDefault="000F6FF8" w:rsidP="00812BA6">
      <w:pPr>
        <w:spacing w:before="240" w:after="0"/>
        <w:rPr>
          <w:b/>
          <w:sz w:val="28"/>
          <w:szCs w:val="28"/>
          <w:lang w:val="en-US"/>
        </w:rPr>
      </w:pPr>
      <w:r w:rsidRPr="00862911">
        <w:rPr>
          <w:b/>
          <w:sz w:val="28"/>
          <w:szCs w:val="28"/>
          <w:lang w:val="en-US"/>
        </w:rPr>
        <w:t>Objective</w:t>
      </w:r>
    </w:p>
    <w:p w14:paraId="1C91ECBC" w14:textId="77777777" w:rsidR="000F6FF8" w:rsidRPr="000F6FF8" w:rsidRDefault="000F6FF8" w:rsidP="000F6FF8">
      <w:pPr>
        <w:pStyle w:val="FeatureCopy"/>
        <w:tabs>
          <w:tab w:val="left" w:pos="10206"/>
        </w:tabs>
        <w:spacing w:after="200"/>
        <w:ind w:right="-45"/>
        <w:jc w:val="both"/>
        <w:rPr>
          <w:rFonts w:asciiTheme="minorHAnsi" w:hAnsiTheme="minorHAnsi" w:cstheme="minorHAnsi"/>
          <w:color w:val="auto"/>
          <w:szCs w:val="22"/>
        </w:rPr>
      </w:pPr>
      <w:r w:rsidRPr="000F6FF8">
        <w:rPr>
          <w:rFonts w:asciiTheme="minorHAnsi" w:hAnsiTheme="minorHAnsi" w:cstheme="minorHAnsi"/>
          <w:color w:val="auto"/>
          <w:szCs w:val="22"/>
        </w:rPr>
        <w:t xml:space="preserve">The Town of East Fremantle (The Town) is committed to their employee’s academic and personal development </w:t>
      </w:r>
      <w:proofErr w:type="gramStart"/>
      <w:r w:rsidRPr="000F6FF8">
        <w:rPr>
          <w:rFonts w:asciiTheme="minorHAnsi" w:hAnsiTheme="minorHAnsi" w:cstheme="minorHAnsi"/>
          <w:color w:val="auto"/>
          <w:szCs w:val="22"/>
        </w:rPr>
        <w:t>in order to</w:t>
      </w:r>
      <w:proofErr w:type="gramEnd"/>
      <w:r w:rsidRPr="000F6FF8">
        <w:rPr>
          <w:rFonts w:asciiTheme="minorHAnsi" w:hAnsiTheme="minorHAnsi" w:cstheme="minorHAnsi"/>
          <w:color w:val="auto"/>
          <w:szCs w:val="22"/>
        </w:rPr>
        <w:t xml:space="preserve"> maintain knowledgeable, efficient workforce as well as assisting with staff retention. </w:t>
      </w:r>
    </w:p>
    <w:p w14:paraId="2533A8E3" w14:textId="77777777" w:rsidR="000F6FF8" w:rsidRPr="000F6FF8" w:rsidRDefault="000F6FF8" w:rsidP="000F6FF8">
      <w:pPr>
        <w:pStyle w:val="FeatureCopy"/>
        <w:tabs>
          <w:tab w:val="left" w:pos="10206"/>
        </w:tabs>
        <w:ind w:right="-46"/>
        <w:jc w:val="both"/>
        <w:rPr>
          <w:rFonts w:asciiTheme="minorHAnsi" w:hAnsiTheme="minorHAnsi" w:cstheme="minorHAnsi"/>
          <w:color w:val="auto"/>
          <w:szCs w:val="22"/>
        </w:rPr>
      </w:pPr>
      <w:r w:rsidRPr="000F6FF8">
        <w:rPr>
          <w:rFonts w:asciiTheme="minorHAnsi" w:hAnsiTheme="minorHAnsi" w:cstheme="minorHAnsi"/>
          <w:color w:val="auto"/>
          <w:szCs w:val="22"/>
        </w:rPr>
        <w:t xml:space="preserve">This policy provides guidance in administering an employee’s request for further education and specifies what the Town will reimburse employees for expenses incurred as well as leave allocation while undertaking approved courses of study, as part of their career planning. </w:t>
      </w:r>
    </w:p>
    <w:p w14:paraId="49E2D5F8" w14:textId="77777777" w:rsidR="000F6FF8" w:rsidRPr="00862911" w:rsidRDefault="000F6FF8" w:rsidP="00812BA6">
      <w:pPr>
        <w:spacing w:before="200" w:after="0"/>
        <w:rPr>
          <w:b/>
          <w:sz w:val="28"/>
          <w:szCs w:val="28"/>
          <w:lang w:val="en-US"/>
        </w:rPr>
      </w:pPr>
      <w:r w:rsidRPr="00862911">
        <w:rPr>
          <w:b/>
          <w:sz w:val="28"/>
          <w:szCs w:val="28"/>
          <w:lang w:val="en-US"/>
        </w:rPr>
        <w:t xml:space="preserve">Policy </w:t>
      </w:r>
    </w:p>
    <w:p w14:paraId="1E376C34" w14:textId="77777777" w:rsidR="000F6FF8" w:rsidRPr="000F6FF8" w:rsidRDefault="000F6FF8" w:rsidP="000F6FF8">
      <w:pPr>
        <w:pStyle w:val="FeatureCopy"/>
        <w:spacing w:after="200"/>
        <w:jc w:val="both"/>
        <w:rPr>
          <w:rFonts w:asciiTheme="minorHAnsi" w:hAnsiTheme="minorHAnsi" w:cstheme="minorHAnsi"/>
          <w:color w:val="auto"/>
          <w:szCs w:val="22"/>
        </w:rPr>
      </w:pPr>
      <w:r w:rsidRPr="000F6FF8">
        <w:rPr>
          <w:rFonts w:asciiTheme="minorHAnsi" w:hAnsiTheme="minorHAnsi" w:cstheme="minorHAnsi"/>
          <w:color w:val="auto"/>
          <w:szCs w:val="22"/>
        </w:rPr>
        <w:t xml:space="preserve">Study assistance relates to any qualification gained through University/TAFE/College which has a national recognisable attainment. Any approved course of study offered by a recognised institution or organisation, </w:t>
      </w:r>
      <w:proofErr w:type="spellStart"/>
      <w:r w:rsidRPr="000F6FF8">
        <w:rPr>
          <w:rFonts w:asciiTheme="minorHAnsi" w:hAnsiTheme="minorHAnsi" w:cstheme="minorHAnsi"/>
          <w:color w:val="auto"/>
          <w:szCs w:val="22"/>
        </w:rPr>
        <w:t>eg</w:t>
      </w:r>
      <w:proofErr w:type="spellEnd"/>
      <w:r w:rsidRPr="000F6FF8">
        <w:rPr>
          <w:rFonts w:asciiTheme="minorHAnsi" w:hAnsiTheme="minorHAnsi" w:cstheme="minorHAnsi"/>
          <w:color w:val="auto"/>
          <w:szCs w:val="22"/>
        </w:rPr>
        <w:t xml:space="preserve"> Australian Institute of Management (AIM), and Western Australian Local Government Association (WALGA).</w:t>
      </w:r>
    </w:p>
    <w:p w14:paraId="4F3EC9F3" w14:textId="77777777" w:rsidR="000F6FF8" w:rsidRPr="000F6FF8" w:rsidRDefault="000F6FF8" w:rsidP="000F6FF8">
      <w:pPr>
        <w:pStyle w:val="FeatureCopy"/>
        <w:spacing w:after="200"/>
        <w:jc w:val="both"/>
        <w:rPr>
          <w:rFonts w:asciiTheme="minorHAnsi" w:hAnsiTheme="minorHAnsi" w:cstheme="minorHAnsi"/>
          <w:i/>
          <w:color w:val="auto"/>
          <w:szCs w:val="22"/>
        </w:rPr>
      </w:pPr>
      <w:r w:rsidRPr="000F6FF8">
        <w:rPr>
          <w:rFonts w:asciiTheme="minorHAnsi" w:hAnsiTheme="minorHAnsi" w:cstheme="minorHAnsi"/>
          <w:color w:val="auto"/>
          <w:szCs w:val="22"/>
        </w:rPr>
        <w:t xml:space="preserve">Permanent employees who have completed </w:t>
      </w:r>
      <w:r w:rsidR="00204A62">
        <w:rPr>
          <w:rFonts w:asciiTheme="minorHAnsi" w:hAnsiTheme="minorHAnsi" w:cstheme="minorHAnsi"/>
          <w:color w:val="auto"/>
          <w:szCs w:val="22"/>
        </w:rPr>
        <w:t xml:space="preserve">12 months service </w:t>
      </w:r>
      <w:r w:rsidRPr="000F6FF8">
        <w:rPr>
          <w:rFonts w:asciiTheme="minorHAnsi" w:hAnsiTheme="minorHAnsi" w:cstheme="minorHAnsi"/>
          <w:color w:val="auto"/>
          <w:szCs w:val="22"/>
        </w:rPr>
        <w:t>may be eligible for study assistance subject to the conditions of this Policy.</w:t>
      </w:r>
    </w:p>
    <w:p w14:paraId="36D65EEC" w14:textId="77777777" w:rsidR="000F6FF8" w:rsidRPr="000F6FF8" w:rsidRDefault="000F6FF8" w:rsidP="000F6FF8">
      <w:pPr>
        <w:pStyle w:val="FeatureCopy"/>
        <w:spacing w:after="200"/>
        <w:jc w:val="both"/>
        <w:rPr>
          <w:rFonts w:asciiTheme="minorHAnsi" w:hAnsiTheme="minorHAnsi" w:cstheme="minorHAnsi"/>
          <w:i/>
          <w:color w:val="auto"/>
          <w:szCs w:val="22"/>
        </w:rPr>
      </w:pPr>
      <w:r w:rsidRPr="000F6FF8">
        <w:rPr>
          <w:rFonts w:asciiTheme="minorHAnsi" w:hAnsiTheme="minorHAnsi" w:cstheme="minorHAnsi"/>
          <w:color w:val="auto"/>
          <w:szCs w:val="22"/>
        </w:rPr>
        <w:t xml:space="preserve">Approval may be granted only where there is clear relevance between current or prospective duties and the studies to be undertaken, subject to CEO approval. </w:t>
      </w:r>
    </w:p>
    <w:p w14:paraId="59044FEF" w14:textId="77777777" w:rsidR="000F6FF8" w:rsidRPr="000F6FF8" w:rsidRDefault="000F6FF8" w:rsidP="000F6FF8">
      <w:pPr>
        <w:pStyle w:val="FeatureCopy"/>
        <w:spacing w:after="200"/>
        <w:jc w:val="both"/>
        <w:rPr>
          <w:rFonts w:asciiTheme="minorHAnsi" w:hAnsiTheme="minorHAnsi" w:cstheme="minorHAnsi"/>
          <w:color w:val="auto"/>
          <w:szCs w:val="22"/>
        </w:rPr>
      </w:pPr>
      <w:r w:rsidRPr="000F6FF8">
        <w:rPr>
          <w:rFonts w:asciiTheme="minorHAnsi" w:hAnsiTheme="minorHAnsi" w:cstheme="minorHAnsi"/>
          <w:color w:val="auto"/>
          <w:szCs w:val="22"/>
        </w:rPr>
        <w:t>The Chief Executive Officer is authorised to approve Study Assistance based on advice from the relevant Manager/Executive Manager.</w:t>
      </w:r>
    </w:p>
    <w:p w14:paraId="157B799D" w14:textId="77777777" w:rsidR="000F6FF8" w:rsidRPr="000F6FF8" w:rsidRDefault="000F6FF8" w:rsidP="000F6FF8">
      <w:pPr>
        <w:pStyle w:val="FeatureCopy"/>
        <w:spacing w:after="200"/>
        <w:jc w:val="both"/>
        <w:rPr>
          <w:rFonts w:asciiTheme="minorHAnsi" w:hAnsiTheme="minorHAnsi" w:cstheme="minorHAnsi"/>
          <w:i/>
          <w:color w:val="auto"/>
          <w:szCs w:val="22"/>
        </w:rPr>
      </w:pPr>
      <w:r w:rsidRPr="000F6FF8">
        <w:rPr>
          <w:rFonts w:asciiTheme="minorHAnsi" w:hAnsiTheme="minorHAnsi" w:cstheme="minorHAnsi"/>
          <w:color w:val="auto"/>
          <w:szCs w:val="22"/>
        </w:rPr>
        <w:t>Applications from the CEO for recognised study programmes will be authorised by the Mayor &amp; Deputy Mayor.</w:t>
      </w:r>
    </w:p>
    <w:p w14:paraId="3CF54431" w14:textId="77777777" w:rsidR="000F6FF8" w:rsidRPr="000F6FF8" w:rsidRDefault="000F6FF8" w:rsidP="000F6FF8">
      <w:pPr>
        <w:pStyle w:val="FeatureCopy"/>
        <w:spacing w:after="200"/>
        <w:jc w:val="both"/>
        <w:rPr>
          <w:rFonts w:asciiTheme="minorHAnsi" w:hAnsiTheme="minorHAnsi" w:cstheme="minorHAnsi"/>
          <w:color w:val="auto"/>
          <w:szCs w:val="22"/>
        </w:rPr>
      </w:pPr>
      <w:r w:rsidRPr="000F6FF8">
        <w:rPr>
          <w:rFonts w:asciiTheme="minorHAnsi" w:hAnsiTheme="minorHAnsi" w:cstheme="minorHAnsi"/>
          <w:color w:val="auto"/>
          <w:szCs w:val="22"/>
        </w:rPr>
        <w:t xml:space="preserve">All requests for assistance from the Town should be made and approved within a financial year and not be carried into a second financial year. </w:t>
      </w:r>
    </w:p>
    <w:p w14:paraId="2845E292" w14:textId="77777777" w:rsidR="000F6FF8" w:rsidRPr="000F6FF8" w:rsidRDefault="000F6FF8" w:rsidP="000F6FF8">
      <w:pPr>
        <w:pStyle w:val="FeatureCopy"/>
        <w:spacing w:after="200"/>
        <w:jc w:val="both"/>
        <w:rPr>
          <w:rFonts w:asciiTheme="minorHAnsi" w:hAnsiTheme="minorHAnsi" w:cstheme="minorHAnsi"/>
          <w:color w:val="auto"/>
          <w:szCs w:val="22"/>
        </w:rPr>
      </w:pPr>
      <w:r w:rsidRPr="000F6FF8">
        <w:rPr>
          <w:rFonts w:asciiTheme="minorHAnsi" w:hAnsiTheme="minorHAnsi" w:cstheme="minorHAnsi"/>
          <w:color w:val="auto"/>
          <w:szCs w:val="22"/>
        </w:rPr>
        <w:t>Authorisation prior to commencement of the program is required, in order that the contents of the program can be assessed to ascertain the relevance to current (or prospective) work duties and responsibilities.</w:t>
      </w:r>
    </w:p>
    <w:p w14:paraId="1C11BB8E" w14:textId="77777777" w:rsidR="000F6FF8" w:rsidRPr="000F6FF8" w:rsidRDefault="000F6FF8" w:rsidP="000F6FF8">
      <w:pPr>
        <w:pStyle w:val="FeatureCopy"/>
        <w:spacing w:after="200"/>
        <w:jc w:val="both"/>
        <w:rPr>
          <w:rFonts w:asciiTheme="minorHAnsi" w:hAnsiTheme="minorHAnsi" w:cstheme="minorHAnsi"/>
          <w:color w:val="auto"/>
          <w:szCs w:val="22"/>
        </w:rPr>
      </w:pPr>
      <w:r w:rsidRPr="000F6FF8">
        <w:rPr>
          <w:rFonts w:asciiTheme="minorHAnsi" w:hAnsiTheme="minorHAnsi" w:cstheme="minorHAnsi"/>
          <w:color w:val="auto"/>
          <w:szCs w:val="22"/>
        </w:rPr>
        <w:t>The Town will allocate in the Annual Budget a sum to assist with the costs associated with employee study assistance.</w:t>
      </w:r>
    </w:p>
    <w:p w14:paraId="4CA7CFD7" w14:textId="77777777" w:rsidR="004614B6" w:rsidRDefault="004614B6">
      <w:pPr>
        <w:rPr>
          <w:rFonts w:cstheme="minorHAnsi"/>
          <w:b/>
        </w:rPr>
      </w:pPr>
      <w:r>
        <w:rPr>
          <w:rFonts w:cstheme="minorHAnsi"/>
          <w:b/>
        </w:rPr>
        <w:br w:type="page"/>
      </w:r>
    </w:p>
    <w:p w14:paraId="6F54F91F" w14:textId="7B5D7D96" w:rsidR="000F6FF8" w:rsidRPr="00862911" w:rsidRDefault="000F6FF8" w:rsidP="000F6FF8">
      <w:pPr>
        <w:pStyle w:val="FeatureCopy"/>
        <w:jc w:val="both"/>
        <w:rPr>
          <w:rFonts w:asciiTheme="minorHAnsi" w:hAnsiTheme="minorHAnsi" w:cstheme="minorHAnsi"/>
          <w:b/>
          <w:color w:val="auto"/>
          <w:szCs w:val="22"/>
        </w:rPr>
      </w:pPr>
      <w:r w:rsidRPr="00862911">
        <w:rPr>
          <w:rFonts w:asciiTheme="minorHAnsi" w:hAnsiTheme="minorHAnsi" w:cstheme="minorHAnsi"/>
          <w:b/>
          <w:color w:val="auto"/>
          <w:szCs w:val="22"/>
        </w:rPr>
        <w:lastRenderedPageBreak/>
        <w:t>Financial Assistance</w:t>
      </w:r>
    </w:p>
    <w:p w14:paraId="29E5FF7E" w14:textId="77777777" w:rsidR="000F6FF8" w:rsidRPr="000F6FF8" w:rsidRDefault="000F6FF8" w:rsidP="000F6FF8">
      <w:pPr>
        <w:pStyle w:val="FeatureCopy"/>
        <w:spacing w:after="200"/>
        <w:jc w:val="both"/>
        <w:rPr>
          <w:rFonts w:asciiTheme="minorHAnsi" w:hAnsiTheme="minorHAnsi" w:cstheme="minorHAnsi"/>
          <w:color w:val="auto"/>
          <w:szCs w:val="22"/>
        </w:rPr>
      </w:pPr>
      <w:r w:rsidRPr="000F6FF8">
        <w:rPr>
          <w:rFonts w:asciiTheme="minorHAnsi" w:hAnsiTheme="minorHAnsi" w:cstheme="minorHAnsi"/>
          <w:color w:val="auto"/>
          <w:szCs w:val="22"/>
        </w:rPr>
        <w:t xml:space="preserve">The Town will consider reimbursement </w:t>
      </w:r>
      <w:r w:rsidR="00204A62">
        <w:rPr>
          <w:rFonts w:asciiTheme="minorHAnsi" w:hAnsiTheme="minorHAnsi" w:cstheme="minorHAnsi"/>
          <w:color w:val="auto"/>
          <w:szCs w:val="22"/>
        </w:rPr>
        <w:t xml:space="preserve">up to $2,500 </w:t>
      </w:r>
      <w:r w:rsidRPr="000F6FF8">
        <w:rPr>
          <w:rFonts w:asciiTheme="minorHAnsi" w:hAnsiTheme="minorHAnsi" w:cstheme="minorHAnsi"/>
          <w:color w:val="auto"/>
          <w:szCs w:val="22"/>
        </w:rPr>
        <w:t>in any year for education through a recognised provider (i.e. TAFE or University), upon payment receipt and statement of results confirming the course/ unit has been successfully completed to the satisfaction of the Chief Executive Officer.</w:t>
      </w:r>
    </w:p>
    <w:p w14:paraId="77874788" w14:textId="77777777" w:rsidR="000F6FF8" w:rsidRPr="000F6FF8" w:rsidRDefault="000F6FF8" w:rsidP="000F6FF8">
      <w:pPr>
        <w:pStyle w:val="FeatureCopy"/>
        <w:spacing w:before="200" w:after="60"/>
        <w:jc w:val="both"/>
        <w:rPr>
          <w:rFonts w:asciiTheme="minorHAnsi" w:hAnsiTheme="minorHAnsi" w:cstheme="minorHAnsi"/>
          <w:color w:val="auto"/>
          <w:szCs w:val="22"/>
        </w:rPr>
      </w:pPr>
      <w:r w:rsidRPr="000F6FF8">
        <w:rPr>
          <w:rFonts w:asciiTheme="minorHAnsi" w:hAnsiTheme="minorHAnsi" w:cstheme="minorHAnsi"/>
          <w:color w:val="auto"/>
          <w:szCs w:val="22"/>
        </w:rPr>
        <w:t xml:space="preserve">When it is financially advantageous to do so, or at the discretion of the CEO, the Town will consider paying the fees incurred upfront providing a Deed of Agreement is entered into with the employee. The Deed of Agreement will include the following items: </w:t>
      </w:r>
    </w:p>
    <w:p w14:paraId="1BD0268B" w14:textId="77777777" w:rsidR="000F6FF8" w:rsidRPr="000F6FF8" w:rsidRDefault="000F6FF8" w:rsidP="000F6FF8">
      <w:pPr>
        <w:pStyle w:val="FeatureCopy"/>
        <w:spacing w:after="60"/>
        <w:ind w:left="426" w:hanging="426"/>
        <w:jc w:val="both"/>
        <w:rPr>
          <w:rFonts w:asciiTheme="minorHAnsi" w:hAnsiTheme="minorHAnsi" w:cstheme="minorHAnsi"/>
          <w:color w:val="auto"/>
          <w:szCs w:val="22"/>
        </w:rPr>
      </w:pPr>
      <w:r w:rsidRPr="000F6FF8">
        <w:rPr>
          <w:rFonts w:asciiTheme="minorHAnsi" w:hAnsiTheme="minorHAnsi" w:cstheme="minorHAnsi"/>
          <w:color w:val="auto"/>
          <w:szCs w:val="22"/>
        </w:rPr>
        <w:t xml:space="preserve">(a) </w:t>
      </w:r>
      <w:r w:rsidRPr="000F6FF8">
        <w:rPr>
          <w:rFonts w:asciiTheme="minorHAnsi" w:hAnsiTheme="minorHAnsi" w:cstheme="minorHAnsi"/>
          <w:color w:val="auto"/>
          <w:szCs w:val="22"/>
        </w:rPr>
        <w:tab/>
        <w:t xml:space="preserve">The Town may pay in advance for an employee who wishes to pay their fees up front </w:t>
      </w:r>
      <w:proofErr w:type="gramStart"/>
      <w:r w:rsidRPr="000F6FF8">
        <w:rPr>
          <w:rFonts w:asciiTheme="minorHAnsi" w:hAnsiTheme="minorHAnsi" w:cstheme="minorHAnsi"/>
          <w:color w:val="auto"/>
          <w:szCs w:val="22"/>
        </w:rPr>
        <w:t>in order to</w:t>
      </w:r>
      <w:proofErr w:type="gramEnd"/>
      <w:r w:rsidRPr="000F6FF8">
        <w:rPr>
          <w:rFonts w:asciiTheme="minorHAnsi" w:hAnsiTheme="minorHAnsi" w:cstheme="minorHAnsi"/>
          <w:color w:val="auto"/>
          <w:szCs w:val="22"/>
        </w:rPr>
        <w:t xml:space="preserve"> receive the discount offered by their respective Educational Institution. </w:t>
      </w:r>
    </w:p>
    <w:p w14:paraId="1B6358F9" w14:textId="77777777" w:rsidR="000F6FF8" w:rsidRPr="000F6FF8" w:rsidRDefault="000F6FF8" w:rsidP="000F6FF8">
      <w:pPr>
        <w:pStyle w:val="FeatureCopy"/>
        <w:spacing w:after="60"/>
        <w:ind w:left="426" w:hanging="426"/>
        <w:jc w:val="both"/>
        <w:rPr>
          <w:rFonts w:asciiTheme="minorHAnsi" w:hAnsiTheme="minorHAnsi" w:cstheme="minorHAnsi"/>
          <w:color w:val="auto"/>
          <w:szCs w:val="22"/>
        </w:rPr>
      </w:pPr>
      <w:r w:rsidRPr="000F6FF8">
        <w:rPr>
          <w:rFonts w:asciiTheme="minorHAnsi" w:hAnsiTheme="minorHAnsi" w:cstheme="minorHAnsi"/>
          <w:color w:val="auto"/>
          <w:szCs w:val="22"/>
        </w:rPr>
        <w:t xml:space="preserve">(b) </w:t>
      </w:r>
      <w:r w:rsidRPr="000F6FF8">
        <w:rPr>
          <w:rFonts w:asciiTheme="minorHAnsi" w:hAnsiTheme="minorHAnsi" w:cstheme="minorHAnsi"/>
          <w:color w:val="auto"/>
          <w:szCs w:val="22"/>
        </w:rPr>
        <w:tab/>
        <w:t xml:space="preserve">Employees who receive this assistance from the Town will be required to pay back 100% of the Town’s contribution should they leave the Town’s employment within 12 months service following the completion of each unit of study. </w:t>
      </w:r>
    </w:p>
    <w:p w14:paraId="4D58FDF5" w14:textId="77777777" w:rsidR="000F6FF8" w:rsidRPr="000F6FF8" w:rsidRDefault="000F6FF8" w:rsidP="000F6FF8">
      <w:pPr>
        <w:pStyle w:val="FeatureCopy"/>
        <w:spacing w:after="60"/>
        <w:ind w:left="426" w:hanging="426"/>
        <w:jc w:val="both"/>
        <w:rPr>
          <w:rFonts w:asciiTheme="minorHAnsi" w:hAnsiTheme="minorHAnsi" w:cstheme="minorHAnsi"/>
          <w:color w:val="auto"/>
          <w:szCs w:val="22"/>
        </w:rPr>
      </w:pPr>
      <w:r w:rsidRPr="000F6FF8">
        <w:rPr>
          <w:rFonts w:asciiTheme="minorHAnsi" w:hAnsiTheme="minorHAnsi" w:cstheme="minorHAnsi"/>
          <w:color w:val="auto"/>
          <w:szCs w:val="22"/>
        </w:rPr>
        <w:t xml:space="preserve">(c) </w:t>
      </w:r>
      <w:r w:rsidRPr="000F6FF8">
        <w:rPr>
          <w:rFonts w:asciiTheme="minorHAnsi" w:hAnsiTheme="minorHAnsi" w:cstheme="minorHAnsi"/>
          <w:color w:val="auto"/>
          <w:szCs w:val="22"/>
        </w:rPr>
        <w:tab/>
        <w:t>Should an employee leave the Town part way through completion of a unit(s) of study, the employee will be required to pay back the entirety of the Town’s contribution made available to the employee for that unit of study.</w:t>
      </w:r>
    </w:p>
    <w:p w14:paraId="6A136E01" w14:textId="77777777" w:rsidR="000F6FF8" w:rsidRPr="000F6FF8" w:rsidRDefault="000F6FF8" w:rsidP="000F6FF8">
      <w:pPr>
        <w:pStyle w:val="FeatureCopy"/>
        <w:spacing w:after="60"/>
        <w:ind w:left="426" w:hanging="426"/>
        <w:jc w:val="both"/>
        <w:rPr>
          <w:rFonts w:asciiTheme="minorHAnsi" w:hAnsiTheme="minorHAnsi" w:cstheme="minorHAnsi"/>
          <w:color w:val="auto"/>
          <w:szCs w:val="22"/>
        </w:rPr>
      </w:pPr>
      <w:r w:rsidRPr="000F6FF8">
        <w:rPr>
          <w:rFonts w:asciiTheme="minorHAnsi" w:hAnsiTheme="minorHAnsi" w:cstheme="minorHAnsi"/>
          <w:color w:val="auto"/>
          <w:szCs w:val="22"/>
        </w:rPr>
        <w:t xml:space="preserve">(d) </w:t>
      </w:r>
      <w:r w:rsidRPr="000F6FF8">
        <w:rPr>
          <w:rFonts w:asciiTheme="minorHAnsi" w:hAnsiTheme="minorHAnsi" w:cstheme="minorHAnsi"/>
          <w:color w:val="auto"/>
          <w:szCs w:val="22"/>
        </w:rPr>
        <w:tab/>
        <w:t xml:space="preserve">If </w:t>
      </w:r>
      <w:proofErr w:type="gramStart"/>
      <w:r w:rsidRPr="000F6FF8">
        <w:rPr>
          <w:rFonts w:asciiTheme="minorHAnsi" w:hAnsiTheme="minorHAnsi" w:cstheme="minorHAnsi"/>
          <w:color w:val="auto"/>
          <w:szCs w:val="22"/>
        </w:rPr>
        <w:t>necessary</w:t>
      </w:r>
      <w:proofErr w:type="gramEnd"/>
      <w:r w:rsidRPr="000F6FF8">
        <w:rPr>
          <w:rFonts w:asciiTheme="minorHAnsi" w:hAnsiTheme="minorHAnsi" w:cstheme="minorHAnsi"/>
          <w:color w:val="auto"/>
          <w:szCs w:val="22"/>
        </w:rPr>
        <w:t xml:space="preserve"> the Town will deduct 100% of the contribution from an employee’s termination pay, if they leave prior to 12 months service following the completion of each unit of study, and 100% for any incomplete unit of study. Any payments made by the Town for incomplete units of study will be recovered in </w:t>
      </w:r>
      <w:proofErr w:type="gramStart"/>
      <w:r w:rsidRPr="000F6FF8">
        <w:rPr>
          <w:rFonts w:asciiTheme="minorHAnsi" w:hAnsiTheme="minorHAnsi" w:cstheme="minorHAnsi"/>
          <w:color w:val="auto"/>
          <w:szCs w:val="22"/>
        </w:rPr>
        <w:t>full from</w:t>
      </w:r>
      <w:proofErr w:type="gramEnd"/>
      <w:r w:rsidRPr="000F6FF8">
        <w:rPr>
          <w:rFonts w:asciiTheme="minorHAnsi" w:hAnsiTheme="minorHAnsi" w:cstheme="minorHAnsi"/>
          <w:color w:val="auto"/>
          <w:szCs w:val="22"/>
        </w:rPr>
        <w:t xml:space="preserve"> the employee.</w:t>
      </w:r>
    </w:p>
    <w:p w14:paraId="066FF994" w14:textId="77777777" w:rsidR="000F6FF8" w:rsidRPr="000F6FF8" w:rsidRDefault="000F6FF8" w:rsidP="000F6FF8">
      <w:pPr>
        <w:pStyle w:val="FeatureCopy"/>
        <w:ind w:left="426" w:hanging="426"/>
        <w:jc w:val="both"/>
        <w:rPr>
          <w:rFonts w:asciiTheme="minorHAnsi" w:hAnsiTheme="minorHAnsi" w:cstheme="minorHAnsi"/>
          <w:color w:val="auto"/>
          <w:szCs w:val="22"/>
        </w:rPr>
      </w:pPr>
      <w:r w:rsidRPr="000F6FF8">
        <w:rPr>
          <w:rFonts w:asciiTheme="minorHAnsi" w:hAnsiTheme="minorHAnsi" w:cstheme="minorHAnsi"/>
          <w:color w:val="auto"/>
          <w:szCs w:val="22"/>
        </w:rPr>
        <w:t xml:space="preserve">(e) </w:t>
      </w:r>
      <w:r w:rsidRPr="000F6FF8">
        <w:rPr>
          <w:rFonts w:asciiTheme="minorHAnsi" w:hAnsiTheme="minorHAnsi" w:cstheme="minorHAnsi"/>
          <w:color w:val="FF0000"/>
          <w:szCs w:val="22"/>
        </w:rPr>
        <w:tab/>
      </w:r>
      <w:r w:rsidRPr="000F6FF8">
        <w:rPr>
          <w:rFonts w:asciiTheme="minorHAnsi" w:hAnsiTheme="minorHAnsi" w:cstheme="minorHAnsi"/>
          <w:color w:val="auto"/>
          <w:szCs w:val="22"/>
        </w:rPr>
        <w:t xml:space="preserve">If the course/unit is not completed, or not successfully passed, a determination will be made by the Chief Executive Officer as to whether the funds will need to be refunded to the Town.  </w:t>
      </w:r>
    </w:p>
    <w:p w14:paraId="10C654BF" w14:textId="77777777" w:rsidR="000F6FF8" w:rsidRPr="000F6FF8" w:rsidRDefault="000F6FF8" w:rsidP="000F6FF8">
      <w:pPr>
        <w:pStyle w:val="FeatureCopy"/>
        <w:spacing w:before="200" w:after="200"/>
        <w:jc w:val="both"/>
        <w:rPr>
          <w:rFonts w:asciiTheme="minorHAnsi" w:hAnsiTheme="minorHAnsi" w:cstheme="minorHAnsi"/>
          <w:color w:val="auto"/>
          <w:szCs w:val="22"/>
        </w:rPr>
      </w:pPr>
      <w:r w:rsidRPr="000F6FF8">
        <w:rPr>
          <w:rFonts w:asciiTheme="minorHAnsi" w:hAnsiTheme="minorHAnsi" w:cstheme="minorHAnsi"/>
          <w:color w:val="auto"/>
          <w:szCs w:val="22"/>
        </w:rPr>
        <w:t>The Town will not make any contribution towards the books, parking, campus fines, memberships, guild fees, travel costs or other costs associated with the course of study undertaken (</w:t>
      </w:r>
      <w:proofErr w:type="spellStart"/>
      <w:r w:rsidRPr="000F6FF8">
        <w:rPr>
          <w:rFonts w:asciiTheme="minorHAnsi" w:hAnsiTheme="minorHAnsi" w:cstheme="minorHAnsi"/>
          <w:color w:val="auto"/>
          <w:szCs w:val="22"/>
        </w:rPr>
        <w:t>ie</w:t>
      </w:r>
      <w:proofErr w:type="spellEnd"/>
      <w:r w:rsidRPr="000F6FF8">
        <w:rPr>
          <w:rFonts w:asciiTheme="minorHAnsi" w:hAnsiTheme="minorHAnsi" w:cstheme="minorHAnsi"/>
          <w:color w:val="auto"/>
          <w:szCs w:val="22"/>
        </w:rPr>
        <w:t xml:space="preserve"> no mileage will be paid). </w:t>
      </w:r>
    </w:p>
    <w:p w14:paraId="23ADDCC9" w14:textId="77777777" w:rsidR="000F6FF8" w:rsidRPr="00760D17" w:rsidRDefault="000F6FF8" w:rsidP="000F6FF8">
      <w:pPr>
        <w:pStyle w:val="FeatureCopy"/>
        <w:spacing w:after="200"/>
        <w:jc w:val="both"/>
        <w:rPr>
          <w:rFonts w:asciiTheme="minorHAnsi" w:hAnsiTheme="minorHAnsi" w:cstheme="minorHAnsi"/>
          <w:b/>
          <w:color w:val="auto"/>
          <w:szCs w:val="22"/>
        </w:rPr>
      </w:pPr>
      <w:r w:rsidRPr="000F6FF8">
        <w:rPr>
          <w:rFonts w:asciiTheme="minorHAnsi" w:hAnsiTheme="minorHAnsi" w:cstheme="minorHAnsi"/>
          <w:color w:val="auto"/>
          <w:szCs w:val="22"/>
        </w:rPr>
        <w:t xml:space="preserve">The need for an employee to repeat a unit/course shall be deemed to be unsatisfactory performance </w:t>
      </w:r>
      <w:r w:rsidRPr="00760D17">
        <w:rPr>
          <w:rFonts w:asciiTheme="minorHAnsi" w:hAnsiTheme="minorHAnsi" w:cstheme="minorHAnsi"/>
          <w:color w:val="auto"/>
          <w:szCs w:val="22"/>
        </w:rPr>
        <w:t xml:space="preserve">and the employee will not receive further assistance from the Town in relation to that </w:t>
      </w:r>
      <w:proofErr w:type="gramStart"/>
      <w:r w:rsidRPr="00760D17">
        <w:rPr>
          <w:rFonts w:asciiTheme="minorHAnsi" w:hAnsiTheme="minorHAnsi" w:cstheme="minorHAnsi"/>
          <w:color w:val="auto"/>
          <w:szCs w:val="22"/>
        </w:rPr>
        <w:t>particular unit/course</w:t>
      </w:r>
      <w:proofErr w:type="gramEnd"/>
      <w:r w:rsidRPr="00760D17">
        <w:rPr>
          <w:rFonts w:asciiTheme="minorHAnsi" w:hAnsiTheme="minorHAnsi" w:cstheme="minorHAnsi"/>
          <w:color w:val="auto"/>
          <w:szCs w:val="22"/>
        </w:rPr>
        <w:t>.</w:t>
      </w:r>
      <w:r w:rsidRPr="00760D17">
        <w:rPr>
          <w:rFonts w:asciiTheme="minorHAnsi" w:hAnsiTheme="minorHAnsi" w:cstheme="minorHAnsi"/>
          <w:b/>
          <w:color w:val="auto"/>
          <w:szCs w:val="22"/>
        </w:rPr>
        <w:t xml:space="preserve"> </w:t>
      </w:r>
    </w:p>
    <w:p w14:paraId="5FFBC3BD" w14:textId="77777777" w:rsidR="000F6FF8" w:rsidRPr="00760D17" w:rsidRDefault="000F6FF8" w:rsidP="000F6FF8">
      <w:pPr>
        <w:pStyle w:val="FeatureCopy"/>
        <w:jc w:val="both"/>
        <w:rPr>
          <w:rFonts w:asciiTheme="minorHAnsi" w:hAnsiTheme="minorHAnsi" w:cstheme="minorHAnsi"/>
          <w:b/>
          <w:color w:val="auto"/>
          <w:szCs w:val="22"/>
        </w:rPr>
      </w:pPr>
      <w:r w:rsidRPr="00760D17">
        <w:rPr>
          <w:rFonts w:asciiTheme="minorHAnsi" w:hAnsiTheme="minorHAnsi" w:cstheme="minorHAnsi"/>
          <w:b/>
          <w:color w:val="auto"/>
          <w:szCs w:val="22"/>
        </w:rPr>
        <w:t>Time off for Study</w:t>
      </w:r>
    </w:p>
    <w:p w14:paraId="589116C1" w14:textId="77777777" w:rsidR="000F6FF8" w:rsidRPr="000F6FF8" w:rsidRDefault="000F6FF8" w:rsidP="000F6FF8">
      <w:pPr>
        <w:pStyle w:val="FeatureCopy"/>
        <w:spacing w:after="60"/>
        <w:jc w:val="both"/>
        <w:rPr>
          <w:rFonts w:asciiTheme="minorHAnsi" w:hAnsiTheme="minorHAnsi" w:cstheme="minorHAnsi"/>
          <w:color w:val="auto"/>
          <w:szCs w:val="22"/>
        </w:rPr>
      </w:pPr>
      <w:r w:rsidRPr="000F6FF8">
        <w:rPr>
          <w:rFonts w:asciiTheme="minorHAnsi" w:hAnsiTheme="minorHAnsi" w:cstheme="minorHAnsi"/>
          <w:color w:val="auto"/>
          <w:szCs w:val="22"/>
        </w:rPr>
        <w:t>The Town will consider up to five (5) hours per week, subject to operational needs, paid time off for employees who wish to gain higher education through a recognised provider (</w:t>
      </w:r>
      <w:proofErr w:type="spellStart"/>
      <w:r w:rsidRPr="000F6FF8">
        <w:rPr>
          <w:rFonts w:asciiTheme="minorHAnsi" w:hAnsiTheme="minorHAnsi" w:cstheme="minorHAnsi"/>
          <w:color w:val="auto"/>
          <w:szCs w:val="22"/>
        </w:rPr>
        <w:t>ie</w:t>
      </w:r>
      <w:proofErr w:type="spellEnd"/>
      <w:r w:rsidRPr="000F6FF8">
        <w:rPr>
          <w:rFonts w:asciiTheme="minorHAnsi" w:hAnsiTheme="minorHAnsi" w:cstheme="minorHAnsi"/>
          <w:color w:val="auto"/>
          <w:szCs w:val="22"/>
        </w:rPr>
        <w:t xml:space="preserve"> University or TAFE).  For part-time employees the time off will be on a pro-rata basis.</w:t>
      </w:r>
    </w:p>
    <w:p w14:paraId="5122D5EF" w14:textId="77777777" w:rsidR="000F6FF8" w:rsidRPr="000F6FF8" w:rsidRDefault="000F6FF8" w:rsidP="000C29DC">
      <w:pPr>
        <w:pStyle w:val="FeatureCopy"/>
        <w:numPr>
          <w:ilvl w:val="0"/>
          <w:numId w:val="21"/>
        </w:numPr>
        <w:spacing w:after="60"/>
        <w:ind w:left="709" w:hanging="709"/>
        <w:jc w:val="both"/>
        <w:rPr>
          <w:rFonts w:asciiTheme="minorHAnsi" w:hAnsiTheme="minorHAnsi" w:cstheme="minorHAnsi"/>
          <w:color w:val="auto"/>
          <w:szCs w:val="22"/>
        </w:rPr>
      </w:pPr>
      <w:r w:rsidRPr="000F6FF8">
        <w:rPr>
          <w:rFonts w:asciiTheme="minorHAnsi" w:hAnsiTheme="minorHAnsi" w:cstheme="minorHAnsi"/>
          <w:color w:val="auto"/>
          <w:szCs w:val="22"/>
        </w:rPr>
        <w:t xml:space="preserve">For time off to study to be approved, employees must satisfy the Town that all endeavours have been made to study outside working hours, </w:t>
      </w:r>
      <w:proofErr w:type="spellStart"/>
      <w:r w:rsidRPr="000F6FF8">
        <w:rPr>
          <w:rFonts w:asciiTheme="minorHAnsi" w:hAnsiTheme="minorHAnsi" w:cstheme="minorHAnsi"/>
          <w:color w:val="auto"/>
          <w:szCs w:val="22"/>
        </w:rPr>
        <w:t>eg</w:t>
      </w:r>
      <w:proofErr w:type="spellEnd"/>
      <w:r w:rsidRPr="000F6FF8">
        <w:rPr>
          <w:rFonts w:asciiTheme="minorHAnsi" w:hAnsiTheme="minorHAnsi" w:cstheme="minorHAnsi"/>
          <w:color w:val="auto"/>
          <w:szCs w:val="22"/>
        </w:rPr>
        <w:t xml:space="preserve"> evening classes, correspondence, etc, and that rostered days off are being utilised (this may include a change to the rostered day off </w:t>
      </w:r>
      <w:proofErr w:type="gramStart"/>
      <w:r w:rsidRPr="000F6FF8">
        <w:rPr>
          <w:rFonts w:asciiTheme="minorHAnsi" w:hAnsiTheme="minorHAnsi" w:cstheme="minorHAnsi"/>
          <w:color w:val="auto"/>
          <w:szCs w:val="22"/>
        </w:rPr>
        <w:t>in order to</w:t>
      </w:r>
      <w:proofErr w:type="gramEnd"/>
      <w:r w:rsidRPr="000F6FF8">
        <w:rPr>
          <w:rFonts w:asciiTheme="minorHAnsi" w:hAnsiTheme="minorHAnsi" w:cstheme="minorHAnsi"/>
          <w:color w:val="auto"/>
          <w:szCs w:val="22"/>
        </w:rPr>
        <w:t xml:space="preserve"> accommodate study hours).</w:t>
      </w:r>
    </w:p>
    <w:p w14:paraId="40761A46" w14:textId="77777777" w:rsidR="000F6FF8" w:rsidRPr="000F6FF8" w:rsidRDefault="000F6FF8" w:rsidP="000C29DC">
      <w:pPr>
        <w:pStyle w:val="FeatureCopy"/>
        <w:numPr>
          <w:ilvl w:val="0"/>
          <w:numId w:val="21"/>
        </w:numPr>
        <w:spacing w:after="60"/>
        <w:ind w:left="709" w:hanging="709"/>
        <w:jc w:val="both"/>
        <w:rPr>
          <w:rFonts w:asciiTheme="minorHAnsi" w:hAnsiTheme="minorHAnsi" w:cstheme="minorHAnsi"/>
          <w:color w:val="auto"/>
          <w:szCs w:val="22"/>
        </w:rPr>
      </w:pPr>
      <w:r w:rsidRPr="000F6FF8">
        <w:rPr>
          <w:rFonts w:asciiTheme="minorHAnsi" w:hAnsiTheme="minorHAnsi" w:cstheme="minorHAnsi"/>
          <w:color w:val="auto"/>
          <w:szCs w:val="22"/>
        </w:rPr>
        <w:t>The five (5) hours per week shall include travel time to and from the place of study.</w:t>
      </w:r>
    </w:p>
    <w:p w14:paraId="0DDAD137" w14:textId="77777777" w:rsidR="000F6FF8" w:rsidRPr="000F6FF8" w:rsidRDefault="000F6FF8" w:rsidP="000C29DC">
      <w:pPr>
        <w:pStyle w:val="FeatureCopy"/>
        <w:numPr>
          <w:ilvl w:val="0"/>
          <w:numId w:val="21"/>
        </w:numPr>
        <w:spacing w:after="60"/>
        <w:ind w:left="709" w:hanging="709"/>
        <w:jc w:val="both"/>
        <w:rPr>
          <w:rFonts w:asciiTheme="minorHAnsi" w:hAnsiTheme="minorHAnsi" w:cstheme="minorHAnsi"/>
          <w:color w:val="auto"/>
          <w:szCs w:val="22"/>
        </w:rPr>
      </w:pPr>
      <w:r w:rsidRPr="000F6FF8">
        <w:rPr>
          <w:rFonts w:asciiTheme="minorHAnsi" w:hAnsiTheme="minorHAnsi" w:cstheme="minorHAnsi"/>
          <w:color w:val="auto"/>
          <w:szCs w:val="22"/>
        </w:rPr>
        <w:t xml:space="preserve">Reasonable time for examinations will be considered. </w:t>
      </w:r>
    </w:p>
    <w:p w14:paraId="1E98E008" w14:textId="77777777" w:rsidR="000F6FF8" w:rsidRPr="000F6FF8" w:rsidRDefault="000F6FF8" w:rsidP="000C29DC">
      <w:pPr>
        <w:pStyle w:val="FeatureCopy"/>
        <w:numPr>
          <w:ilvl w:val="0"/>
          <w:numId w:val="21"/>
        </w:numPr>
        <w:ind w:left="709" w:hanging="709"/>
        <w:jc w:val="both"/>
        <w:rPr>
          <w:rFonts w:asciiTheme="minorHAnsi" w:hAnsiTheme="minorHAnsi" w:cstheme="minorHAnsi"/>
          <w:color w:val="auto"/>
          <w:szCs w:val="22"/>
        </w:rPr>
      </w:pPr>
      <w:r w:rsidRPr="000F6FF8">
        <w:rPr>
          <w:rFonts w:asciiTheme="minorHAnsi" w:hAnsiTheme="minorHAnsi" w:cstheme="minorHAnsi"/>
          <w:color w:val="auto"/>
          <w:szCs w:val="22"/>
        </w:rPr>
        <w:t>A study assistance application form must be completed and approved prior to time off for study being commenced.</w:t>
      </w:r>
    </w:p>
    <w:p w14:paraId="69D75D75" w14:textId="77777777" w:rsidR="000F6FF8" w:rsidRPr="00862911" w:rsidRDefault="000F6FF8" w:rsidP="000F6FF8">
      <w:pPr>
        <w:pStyle w:val="FeatureCopy"/>
        <w:tabs>
          <w:tab w:val="left" w:pos="10206"/>
        </w:tabs>
        <w:ind w:left="142" w:right="284"/>
        <w:jc w:val="both"/>
        <w:rPr>
          <w:rFonts w:asciiTheme="minorHAnsi" w:hAnsiTheme="minorHAnsi" w:cstheme="minorHAnsi"/>
          <w:i/>
          <w:color w:val="auto"/>
          <w:szCs w:val="22"/>
        </w:rPr>
      </w:pPr>
    </w:p>
    <w:p w14:paraId="06294772" w14:textId="77777777" w:rsidR="000F6FF8" w:rsidRPr="00862911" w:rsidRDefault="000F6FF8" w:rsidP="000F6FF8">
      <w:pPr>
        <w:pStyle w:val="FeatureCopy"/>
        <w:tabs>
          <w:tab w:val="left" w:pos="10206"/>
        </w:tabs>
        <w:ind w:left="142" w:right="284"/>
        <w:jc w:val="both"/>
        <w:rPr>
          <w:rFonts w:asciiTheme="minorHAnsi" w:hAnsiTheme="minorHAnsi" w:cstheme="minorHAnsi"/>
          <w:b/>
          <w:color w:val="auto"/>
          <w:szCs w:val="22"/>
        </w:rPr>
      </w:pPr>
      <w:r w:rsidRPr="00862911">
        <w:rPr>
          <w:rFonts w:asciiTheme="minorHAnsi" w:hAnsiTheme="minorHAnsi" w:cstheme="minorHAnsi"/>
          <w:b/>
          <w:color w:val="auto"/>
          <w:szCs w:val="22"/>
        </w:rPr>
        <w:t>Variation to this Policy</w:t>
      </w:r>
    </w:p>
    <w:p w14:paraId="78A69024" w14:textId="77777777" w:rsidR="000F6FF8" w:rsidRPr="000F6FF8" w:rsidRDefault="000F6FF8" w:rsidP="000F6FF8">
      <w:pPr>
        <w:tabs>
          <w:tab w:val="left" w:pos="851"/>
          <w:tab w:val="left" w:pos="1418"/>
        </w:tabs>
        <w:spacing w:after="240" w:line="240" w:lineRule="auto"/>
        <w:ind w:left="142"/>
        <w:jc w:val="both"/>
        <w:rPr>
          <w:rFonts w:cstheme="minorHAnsi"/>
        </w:rPr>
      </w:pPr>
      <w:r w:rsidRPr="000F6FF8">
        <w:rPr>
          <w:rFonts w:cstheme="minorHAnsi"/>
          <w:color w:val="1D1B11" w:themeColor="background2" w:themeShade="1A"/>
          <w:lang w:val="en-GB"/>
        </w:rPr>
        <w:t xml:space="preserve">This policy may be cancelled or varied from time to time. All the organisation’s employees will be notified of any variation to this policy by the normal correspondence method. </w:t>
      </w:r>
    </w:p>
    <w:tbl>
      <w:tblPr>
        <w:tblStyle w:val="TableGrid"/>
        <w:tblW w:w="0" w:type="auto"/>
        <w:tblLook w:val="04A0" w:firstRow="1" w:lastRow="0" w:firstColumn="1" w:lastColumn="0" w:noHBand="0" w:noVBand="1"/>
      </w:tblPr>
      <w:tblGrid>
        <w:gridCol w:w="3114"/>
        <w:gridCol w:w="5902"/>
      </w:tblGrid>
      <w:tr w:rsidR="000F6FF8" w:rsidRPr="000F6FF8" w14:paraId="44FC94EA" w14:textId="77777777" w:rsidTr="00B4063E">
        <w:tc>
          <w:tcPr>
            <w:tcW w:w="3114" w:type="dxa"/>
          </w:tcPr>
          <w:p w14:paraId="28F4A9F8" w14:textId="77777777" w:rsidR="000F6FF8" w:rsidRPr="000F6FF8" w:rsidRDefault="000F6FF8" w:rsidP="00B4063E">
            <w:pPr>
              <w:jc w:val="both"/>
              <w:rPr>
                <w:rFonts w:cstheme="minorHAnsi"/>
                <w:b/>
                <w:lang w:val="en-US"/>
              </w:rPr>
            </w:pPr>
            <w:r w:rsidRPr="000F6FF8">
              <w:rPr>
                <w:rFonts w:cstheme="minorHAnsi"/>
                <w:b/>
                <w:lang w:val="en-US"/>
              </w:rPr>
              <w:lastRenderedPageBreak/>
              <w:t>Responsible Directorate:</w:t>
            </w:r>
          </w:p>
        </w:tc>
        <w:tc>
          <w:tcPr>
            <w:tcW w:w="5902" w:type="dxa"/>
          </w:tcPr>
          <w:p w14:paraId="4D29505B" w14:textId="77777777" w:rsidR="000F6FF8" w:rsidRPr="000F6FF8" w:rsidRDefault="000F6FF8" w:rsidP="00B4063E">
            <w:pPr>
              <w:jc w:val="both"/>
              <w:rPr>
                <w:rFonts w:cstheme="minorHAnsi"/>
                <w:lang w:val="en-US"/>
              </w:rPr>
            </w:pPr>
            <w:r w:rsidRPr="000F6FF8">
              <w:rPr>
                <w:rFonts w:cstheme="minorHAnsi"/>
                <w:lang w:val="en-US"/>
              </w:rPr>
              <w:t>Offic</w:t>
            </w:r>
            <w:r w:rsidR="00760D17">
              <w:rPr>
                <w:rFonts w:cstheme="minorHAnsi"/>
                <w:lang w:val="en-US"/>
              </w:rPr>
              <w:t>e of the CEO</w:t>
            </w:r>
          </w:p>
        </w:tc>
      </w:tr>
      <w:tr w:rsidR="000F6FF8" w:rsidRPr="000F6FF8" w14:paraId="47A731CA" w14:textId="77777777" w:rsidTr="00B4063E">
        <w:tc>
          <w:tcPr>
            <w:tcW w:w="3114" w:type="dxa"/>
          </w:tcPr>
          <w:p w14:paraId="28E9B764" w14:textId="77777777" w:rsidR="000F6FF8" w:rsidRPr="000F6FF8" w:rsidRDefault="000F6FF8" w:rsidP="00B4063E">
            <w:pPr>
              <w:jc w:val="both"/>
              <w:rPr>
                <w:rFonts w:cstheme="minorHAnsi"/>
                <w:b/>
                <w:lang w:val="en-US"/>
              </w:rPr>
            </w:pPr>
            <w:r w:rsidRPr="000F6FF8">
              <w:rPr>
                <w:rFonts w:cstheme="minorHAnsi"/>
                <w:b/>
                <w:lang w:val="en-US"/>
              </w:rPr>
              <w:t>Reviewing Officer:</w:t>
            </w:r>
          </w:p>
        </w:tc>
        <w:tc>
          <w:tcPr>
            <w:tcW w:w="5902" w:type="dxa"/>
          </w:tcPr>
          <w:p w14:paraId="292D3DC3" w14:textId="77777777" w:rsidR="000F6FF8" w:rsidRPr="000F6FF8" w:rsidRDefault="000F6FF8" w:rsidP="00B4063E">
            <w:pPr>
              <w:jc w:val="both"/>
              <w:rPr>
                <w:rFonts w:cstheme="minorHAnsi"/>
                <w:lang w:val="en-US"/>
              </w:rPr>
            </w:pPr>
            <w:r w:rsidRPr="000F6FF8">
              <w:rPr>
                <w:rFonts w:cstheme="minorHAnsi"/>
                <w:lang w:val="en-US"/>
              </w:rPr>
              <w:t>Chief Executive Officer</w:t>
            </w:r>
          </w:p>
        </w:tc>
      </w:tr>
      <w:tr w:rsidR="000F6FF8" w:rsidRPr="000F6FF8" w14:paraId="0821FB50" w14:textId="77777777" w:rsidTr="00B4063E">
        <w:tc>
          <w:tcPr>
            <w:tcW w:w="3114" w:type="dxa"/>
          </w:tcPr>
          <w:p w14:paraId="742DE4F3" w14:textId="77777777" w:rsidR="000F6FF8" w:rsidRPr="000F6FF8" w:rsidRDefault="000F6FF8" w:rsidP="00B4063E">
            <w:pPr>
              <w:jc w:val="both"/>
              <w:rPr>
                <w:rFonts w:cstheme="minorHAnsi"/>
                <w:b/>
                <w:lang w:val="en-US"/>
              </w:rPr>
            </w:pPr>
            <w:r w:rsidRPr="000F6FF8">
              <w:rPr>
                <w:rFonts w:cstheme="minorHAnsi"/>
                <w:b/>
                <w:lang w:val="en-US"/>
              </w:rPr>
              <w:t>Decision making Authority:</w:t>
            </w:r>
          </w:p>
        </w:tc>
        <w:tc>
          <w:tcPr>
            <w:tcW w:w="5902" w:type="dxa"/>
          </w:tcPr>
          <w:p w14:paraId="1FB544ED" w14:textId="77777777" w:rsidR="000F6FF8" w:rsidRPr="000F6FF8" w:rsidRDefault="000F6FF8" w:rsidP="00B4063E">
            <w:pPr>
              <w:jc w:val="both"/>
              <w:rPr>
                <w:rFonts w:cstheme="minorHAnsi"/>
                <w:lang w:val="en-US"/>
              </w:rPr>
            </w:pPr>
            <w:r w:rsidRPr="000F6FF8">
              <w:rPr>
                <w:rFonts w:cstheme="minorHAnsi"/>
                <w:lang w:val="en-US"/>
              </w:rPr>
              <w:t>Council</w:t>
            </w:r>
          </w:p>
        </w:tc>
      </w:tr>
      <w:tr w:rsidR="000F6FF8" w:rsidRPr="000F6FF8" w14:paraId="41A4780D" w14:textId="77777777" w:rsidTr="00B4063E">
        <w:tc>
          <w:tcPr>
            <w:tcW w:w="3114" w:type="dxa"/>
          </w:tcPr>
          <w:p w14:paraId="1AB2DCEB" w14:textId="77777777" w:rsidR="000F6FF8" w:rsidRPr="000F6FF8" w:rsidRDefault="000F6FF8" w:rsidP="00B4063E">
            <w:pPr>
              <w:jc w:val="both"/>
              <w:rPr>
                <w:rFonts w:cstheme="minorHAnsi"/>
                <w:b/>
                <w:lang w:val="en-US"/>
              </w:rPr>
            </w:pPr>
            <w:r w:rsidRPr="000F6FF8">
              <w:rPr>
                <w:rFonts w:cstheme="minorHAnsi"/>
                <w:b/>
                <w:lang w:val="en-US"/>
              </w:rPr>
              <w:t>Policy Adopted:</w:t>
            </w:r>
          </w:p>
        </w:tc>
        <w:tc>
          <w:tcPr>
            <w:tcW w:w="5902" w:type="dxa"/>
          </w:tcPr>
          <w:p w14:paraId="5AD1E754" w14:textId="77777777" w:rsidR="000F6FF8" w:rsidRPr="000F6FF8" w:rsidRDefault="000F6FF8" w:rsidP="00B4063E">
            <w:pPr>
              <w:jc w:val="both"/>
              <w:rPr>
                <w:rFonts w:cstheme="minorHAnsi"/>
                <w:lang w:val="en-US"/>
              </w:rPr>
            </w:pPr>
            <w:r w:rsidRPr="000F6FF8">
              <w:rPr>
                <w:rFonts w:cstheme="minorHAnsi"/>
                <w:lang w:val="en-US"/>
              </w:rPr>
              <w:t>18/9/2018</w:t>
            </w:r>
          </w:p>
        </w:tc>
      </w:tr>
      <w:tr w:rsidR="000F6FF8" w:rsidRPr="000F6FF8" w14:paraId="04EF1A0A" w14:textId="77777777" w:rsidTr="00B4063E">
        <w:tc>
          <w:tcPr>
            <w:tcW w:w="3114" w:type="dxa"/>
          </w:tcPr>
          <w:p w14:paraId="5D9E7232" w14:textId="77777777" w:rsidR="000F6FF8" w:rsidRPr="000F6FF8" w:rsidRDefault="000F6FF8" w:rsidP="00B4063E">
            <w:pPr>
              <w:jc w:val="both"/>
              <w:rPr>
                <w:rFonts w:cstheme="minorHAnsi"/>
                <w:b/>
                <w:lang w:val="en-US"/>
              </w:rPr>
            </w:pPr>
            <w:r w:rsidRPr="000F6FF8">
              <w:rPr>
                <w:rFonts w:cstheme="minorHAnsi"/>
                <w:b/>
                <w:lang w:val="en-US"/>
              </w:rPr>
              <w:t>Policy Amended</w:t>
            </w:r>
            <w:r>
              <w:rPr>
                <w:rFonts w:cstheme="minorHAnsi"/>
                <w:b/>
                <w:lang w:val="en-US"/>
              </w:rPr>
              <w:t>/Reviewed</w:t>
            </w:r>
            <w:r w:rsidRPr="000F6FF8">
              <w:rPr>
                <w:rFonts w:cstheme="minorHAnsi"/>
                <w:b/>
                <w:lang w:val="en-US"/>
              </w:rPr>
              <w:t>:</w:t>
            </w:r>
          </w:p>
        </w:tc>
        <w:tc>
          <w:tcPr>
            <w:tcW w:w="5902" w:type="dxa"/>
          </w:tcPr>
          <w:p w14:paraId="228FE273" w14:textId="77777777" w:rsidR="000F6FF8" w:rsidRPr="000F6FF8" w:rsidRDefault="00204A62" w:rsidP="00B4063E">
            <w:pPr>
              <w:jc w:val="both"/>
              <w:rPr>
                <w:rFonts w:cstheme="minorHAnsi"/>
                <w:lang w:val="en-US"/>
              </w:rPr>
            </w:pPr>
            <w:r>
              <w:rPr>
                <w:rFonts w:cstheme="minorHAnsi"/>
                <w:lang w:val="en-US"/>
              </w:rPr>
              <w:t>17/9/19</w:t>
            </w:r>
          </w:p>
        </w:tc>
      </w:tr>
      <w:tr w:rsidR="000F6FF8" w:rsidRPr="000F6FF8" w14:paraId="3D6C5F4A" w14:textId="77777777" w:rsidTr="00B4063E">
        <w:tc>
          <w:tcPr>
            <w:tcW w:w="3114" w:type="dxa"/>
          </w:tcPr>
          <w:p w14:paraId="63C6B750" w14:textId="77777777" w:rsidR="000F6FF8" w:rsidRPr="000F6FF8" w:rsidRDefault="000F6FF8" w:rsidP="00B4063E">
            <w:pPr>
              <w:jc w:val="both"/>
              <w:rPr>
                <w:rFonts w:cstheme="minorHAnsi"/>
                <w:b/>
                <w:lang w:val="en-US"/>
              </w:rPr>
            </w:pPr>
            <w:r>
              <w:rPr>
                <w:rFonts w:cstheme="minorHAnsi"/>
                <w:b/>
                <w:lang w:val="en-US"/>
              </w:rPr>
              <w:t>Former Policy No</w:t>
            </w:r>
            <w:r w:rsidRPr="000F6FF8">
              <w:rPr>
                <w:rFonts w:cstheme="minorHAnsi"/>
                <w:b/>
                <w:lang w:val="en-US"/>
              </w:rPr>
              <w:t>:</w:t>
            </w:r>
          </w:p>
        </w:tc>
        <w:tc>
          <w:tcPr>
            <w:tcW w:w="5902" w:type="dxa"/>
          </w:tcPr>
          <w:p w14:paraId="5973756B" w14:textId="77777777" w:rsidR="000F6FF8" w:rsidRPr="000F6FF8" w:rsidRDefault="000F6FF8" w:rsidP="00B4063E">
            <w:pPr>
              <w:jc w:val="both"/>
              <w:rPr>
                <w:rFonts w:cstheme="minorHAnsi"/>
                <w:lang w:val="en-US"/>
              </w:rPr>
            </w:pPr>
            <w:r>
              <w:rPr>
                <w:rFonts w:cstheme="minorHAnsi"/>
                <w:lang w:val="en-US"/>
              </w:rPr>
              <w:t>4.2.10</w:t>
            </w:r>
          </w:p>
        </w:tc>
      </w:tr>
    </w:tbl>
    <w:p w14:paraId="0190766C" w14:textId="77777777" w:rsidR="000F6FF8" w:rsidRPr="000F6FF8" w:rsidRDefault="000F6FF8" w:rsidP="000F6FF8">
      <w:pPr>
        <w:jc w:val="both"/>
        <w:rPr>
          <w:rFonts w:cstheme="minorHAnsi"/>
          <w:lang w:val="en-US"/>
        </w:rPr>
      </w:pPr>
    </w:p>
    <w:p w14:paraId="1E1BCD3A" w14:textId="77777777" w:rsidR="000F6FF8" w:rsidRDefault="000F6FF8">
      <w:pPr>
        <w:rPr>
          <w:rFonts w:cstheme="minorHAnsi"/>
          <w:lang w:val="en-US"/>
        </w:rPr>
      </w:pPr>
      <w:r>
        <w:rPr>
          <w:rFonts w:cstheme="minorHAnsi"/>
          <w:lang w:val="en-US"/>
        </w:rPr>
        <w:br w:type="page"/>
      </w:r>
    </w:p>
    <w:p w14:paraId="2B9CE232" w14:textId="5E53C40B" w:rsidR="00BF0E06" w:rsidRDefault="003369A9" w:rsidP="00BF0E06">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57216" behindDoc="1" locked="0" layoutInCell="1" allowOverlap="1" wp14:anchorId="47E8F6BA" wp14:editId="3EC57C8A">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3C9E5904" w14:textId="77777777" w:rsidR="00BF0E06" w:rsidRPr="00862911" w:rsidRDefault="00BF0E06" w:rsidP="00BF0E06">
      <w:pPr>
        <w:pStyle w:val="Title"/>
        <w:pBdr>
          <w:bottom w:val="none" w:sz="0" w:space="0" w:color="auto"/>
        </w:pBdr>
        <w:spacing w:before="240" w:after="240"/>
        <w:rPr>
          <w:rFonts w:asciiTheme="minorHAnsi" w:hAnsiTheme="minorHAnsi" w:cstheme="minorHAnsi"/>
          <w:b/>
          <w:sz w:val="28"/>
          <w:szCs w:val="28"/>
          <w:lang w:val="en-US"/>
        </w:rPr>
      </w:pPr>
    </w:p>
    <w:p w14:paraId="39B86AEF" w14:textId="77777777" w:rsidR="003369A9" w:rsidRDefault="003369A9" w:rsidP="00760D17">
      <w:pPr>
        <w:pStyle w:val="Policy3"/>
      </w:pPr>
    </w:p>
    <w:p w14:paraId="3FC4ADF8" w14:textId="77777777" w:rsidR="003369A9" w:rsidRDefault="003369A9" w:rsidP="00760D17">
      <w:pPr>
        <w:pStyle w:val="Policy3"/>
      </w:pPr>
    </w:p>
    <w:p w14:paraId="21C9BD2B" w14:textId="72EB1655" w:rsidR="00BF0E06" w:rsidRPr="00862911" w:rsidRDefault="00BF0E06" w:rsidP="00760D17">
      <w:pPr>
        <w:pStyle w:val="Policy3"/>
      </w:pPr>
      <w:bookmarkStart w:id="122" w:name="_Toc216866666"/>
      <w:r w:rsidRPr="00862911">
        <w:t>1.2.6</w:t>
      </w:r>
      <w:r w:rsidRPr="00862911">
        <w:tab/>
        <w:t>E</w:t>
      </w:r>
      <w:r w:rsidR="00760D17">
        <w:t>mployee Use of Council Equipment</w:t>
      </w:r>
      <w:bookmarkEnd w:id="122"/>
    </w:p>
    <w:tbl>
      <w:tblPr>
        <w:tblStyle w:val="TableGrid"/>
        <w:tblW w:w="0" w:type="auto"/>
        <w:tblLook w:val="04A0" w:firstRow="1" w:lastRow="0" w:firstColumn="1" w:lastColumn="0" w:noHBand="0" w:noVBand="1"/>
      </w:tblPr>
      <w:tblGrid>
        <w:gridCol w:w="3025"/>
        <w:gridCol w:w="5991"/>
      </w:tblGrid>
      <w:tr w:rsidR="00BF0E06" w:rsidRPr="005C667B" w14:paraId="4AC86BE6" w14:textId="77777777" w:rsidTr="00760D17">
        <w:tc>
          <w:tcPr>
            <w:tcW w:w="3025" w:type="dxa"/>
          </w:tcPr>
          <w:p w14:paraId="536ADA29" w14:textId="77777777" w:rsidR="00BF0E06" w:rsidRPr="005C667B" w:rsidRDefault="00BF0E06" w:rsidP="00B4063E">
            <w:pPr>
              <w:rPr>
                <w:rFonts w:cstheme="minorHAnsi"/>
                <w:b/>
                <w:lang w:val="en-US"/>
              </w:rPr>
            </w:pPr>
            <w:r w:rsidRPr="005C667B">
              <w:rPr>
                <w:rFonts w:cstheme="minorHAnsi"/>
                <w:b/>
                <w:lang w:val="en-US"/>
              </w:rPr>
              <w:t>Type:</w:t>
            </w:r>
          </w:p>
        </w:tc>
        <w:tc>
          <w:tcPr>
            <w:tcW w:w="5991" w:type="dxa"/>
          </w:tcPr>
          <w:p w14:paraId="454031EF" w14:textId="77777777" w:rsidR="00BF0E06" w:rsidRPr="005C667B" w:rsidRDefault="00BF0E06" w:rsidP="00B4063E">
            <w:pPr>
              <w:rPr>
                <w:rFonts w:cstheme="minorHAnsi"/>
                <w:lang w:val="en-US"/>
              </w:rPr>
            </w:pPr>
            <w:r>
              <w:rPr>
                <w:rFonts w:cstheme="minorHAnsi"/>
                <w:lang w:val="en-US"/>
              </w:rPr>
              <w:t>Office of the CEO – Human Resources</w:t>
            </w:r>
          </w:p>
        </w:tc>
      </w:tr>
      <w:tr w:rsidR="00BF0E06" w:rsidRPr="005C667B" w14:paraId="7CE53215" w14:textId="77777777" w:rsidTr="00760D17">
        <w:tc>
          <w:tcPr>
            <w:tcW w:w="3025" w:type="dxa"/>
          </w:tcPr>
          <w:p w14:paraId="05E03ABD" w14:textId="77777777" w:rsidR="00BF0E06" w:rsidRPr="005C667B" w:rsidRDefault="00BF0E06" w:rsidP="00B4063E">
            <w:pPr>
              <w:rPr>
                <w:rFonts w:cstheme="minorHAnsi"/>
                <w:b/>
                <w:lang w:val="en-US"/>
              </w:rPr>
            </w:pPr>
            <w:r w:rsidRPr="005C667B">
              <w:rPr>
                <w:rFonts w:cstheme="minorHAnsi"/>
                <w:b/>
                <w:lang w:val="en-US"/>
              </w:rPr>
              <w:t>Legislation:</w:t>
            </w:r>
          </w:p>
        </w:tc>
        <w:tc>
          <w:tcPr>
            <w:tcW w:w="5991" w:type="dxa"/>
          </w:tcPr>
          <w:p w14:paraId="063A1285" w14:textId="77777777" w:rsidR="00BF0E06" w:rsidRPr="005C667B" w:rsidRDefault="00BF0E06" w:rsidP="00B4063E">
            <w:pPr>
              <w:rPr>
                <w:rFonts w:cstheme="minorHAnsi"/>
                <w:lang w:val="en-US"/>
              </w:rPr>
            </w:pPr>
            <w:r w:rsidRPr="005C667B">
              <w:rPr>
                <w:rFonts w:cstheme="minorHAnsi"/>
                <w:lang w:val="en-US"/>
              </w:rPr>
              <w:t xml:space="preserve"> </w:t>
            </w:r>
          </w:p>
        </w:tc>
      </w:tr>
      <w:tr w:rsidR="00BF0E06" w:rsidRPr="005C667B" w14:paraId="023EBF6B" w14:textId="77777777" w:rsidTr="00760D17">
        <w:tc>
          <w:tcPr>
            <w:tcW w:w="3025" w:type="dxa"/>
          </w:tcPr>
          <w:p w14:paraId="7FBF518D" w14:textId="77777777" w:rsidR="00BF0E06" w:rsidRPr="005C667B" w:rsidRDefault="00BF0E06" w:rsidP="00B4063E">
            <w:pPr>
              <w:rPr>
                <w:rFonts w:cstheme="minorHAnsi"/>
                <w:b/>
                <w:lang w:val="en-US"/>
              </w:rPr>
            </w:pPr>
            <w:r w:rsidRPr="005C667B">
              <w:rPr>
                <w:rFonts w:cstheme="minorHAnsi"/>
                <w:b/>
                <w:lang w:val="en-US"/>
              </w:rPr>
              <w:t>Delegation:</w:t>
            </w:r>
          </w:p>
        </w:tc>
        <w:tc>
          <w:tcPr>
            <w:tcW w:w="5991" w:type="dxa"/>
          </w:tcPr>
          <w:p w14:paraId="69A88D39" w14:textId="77777777" w:rsidR="00BF0E06" w:rsidRPr="005C667B" w:rsidRDefault="00BF0E06" w:rsidP="00B4063E">
            <w:pPr>
              <w:rPr>
                <w:rFonts w:cstheme="minorHAnsi"/>
                <w:lang w:val="en-US"/>
              </w:rPr>
            </w:pPr>
          </w:p>
        </w:tc>
      </w:tr>
      <w:tr w:rsidR="00BF0E06" w:rsidRPr="005C667B" w14:paraId="099D61FE" w14:textId="77777777" w:rsidTr="00760D17">
        <w:tc>
          <w:tcPr>
            <w:tcW w:w="3025" w:type="dxa"/>
          </w:tcPr>
          <w:p w14:paraId="3C421B14" w14:textId="77777777" w:rsidR="00BF0E06" w:rsidRPr="005C667B" w:rsidRDefault="00BF0E06" w:rsidP="00B4063E">
            <w:pPr>
              <w:rPr>
                <w:rFonts w:cstheme="minorHAnsi"/>
                <w:b/>
                <w:lang w:val="en-US"/>
              </w:rPr>
            </w:pPr>
            <w:r w:rsidRPr="005C667B">
              <w:rPr>
                <w:rFonts w:cstheme="minorHAnsi"/>
                <w:b/>
                <w:lang w:val="en-US"/>
              </w:rPr>
              <w:t>Other Related Document:</w:t>
            </w:r>
          </w:p>
        </w:tc>
        <w:tc>
          <w:tcPr>
            <w:tcW w:w="5991" w:type="dxa"/>
          </w:tcPr>
          <w:p w14:paraId="4F159261" w14:textId="77777777" w:rsidR="00BF0E06" w:rsidRPr="005C667B" w:rsidRDefault="00BF0E06" w:rsidP="00B4063E">
            <w:pPr>
              <w:rPr>
                <w:rFonts w:cstheme="minorHAnsi"/>
                <w:lang w:val="en-US"/>
              </w:rPr>
            </w:pPr>
          </w:p>
        </w:tc>
      </w:tr>
    </w:tbl>
    <w:p w14:paraId="75C4FD13" w14:textId="77777777" w:rsidR="00BF0E06" w:rsidRPr="00862911" w:rsidRDefault="00BF0E06" w:rsidP="00812BA6">
      <w:pPr>
        <w:spacing w:before="240" w:after="0"/>
        <w:rPr>
          <w:b/>
          <w:sz w:val="28"/>
          <w:szCs w:val="28"/>
          <w:lang w:val="en-US"/>
        </w:rPr>
      </w:pPr>
      <w:r w:rsidRPr="00862911">
        <w:rPr>
          <w:b/>
          <w:sz w:val="28"/>
          <w:szCs w:val="28"/>
          <w:lang w:val="en-US"/>
        </w:rPr>
        <w:t>Objective</w:t>
      </w:r>
    </w:p>
    <w:p w14:paraId="212DBDC3" w14:textId="77777777" w:rsidR="00BF0E06" w:rsidRPr="00862911" w:rsidRDefault="00BF0E06" w:rsidP="00BF0E06">
      <w:pPr>
        <w:rPr>
          <w:rFonts w:cstheme="minorHAnsi"/>
          <w:lang w:val="en-US"/>
        </w:rPr>
      </w:pPr>
      <w:r w:rsidRPr="00862911">
        <w:rPr>
          <w:rFonts w:cstheme="minorHAnsi"/>
          <w:lang w:val="en-US"/>
        </w:rPr>
        <w:t>This policy is intended to advise staff of Council’s position on the private use of Council equipment.</w:t>
      </w:r>
    </w:p>
    <w:p w14:paraId="72D59F0E" w14:textId="77777777" w:rsidR="00BF0E06" w:rsidRPr="00862911" w:rsidRDefault="00BF0E06" w:rsidP="00812BA6">
      <w:pPr>
        <w:spacing w:before="200" w:after="0"/>
        <w:rPr>
          <w:b/>
          <w:sz w:val="28"/>
          <w:szCs w:val="28"/>
          <w:lang w:val="en-US"/>
        </w:rPr>
      </w:pPr>
      <w:r w:rsidRPr="00862911">
        <w:rPr>
          <w:b/>
          <w:sz w:val="28"/>
          <w:szCs w:val="28"/>
          <w:lang w:val="en-US"/>
        </w:rPr>
        <w:t>Policy Scope</w:t>
      </w:r>
    </w:p>
    <w:p w14:paraId="0843C54A" w14:textId="77777777" w:rsidR="00BF0E06" w:rsidRPr="005C667B" w:rsidRDefault="00BF0E06" w:rsidP="00BF0E06">
      <w:pPr>
        <w:rPr>
          <w:rFonts w:cstheme="minorHAnsi"/>
          <w:lang w:val="en-US"/>
        </w:rPr>
      </w:pPr>
      <w:r w:rsidRPr="005C667B">
        <w:rPr>
          <w:rFonts w:cstheme="minorHAnsi"/>
          <w:lang w:val="en-US"/>
        </w:rPr>
        <w:t>This policy will aff</w:t>
      </w:r>
      <w:r>
        <w:rPr>
          <w:rFonts w:cstheme="minorHAnsi"/>
          <w:lang w:val="en-US"/>
        </w:rPr>
        <w:t>ect all staff.</w:t>
      </w:r>
    </w:p>
    <w:p w14:paraId="2AF45C42" w14:textId="77777777" w:rsidR="00BF0E06" w:rsidRPr="00862911" w:rsidRDefault="00BF0E06" w:rsidP="00812BA6">
      <w:pPr>
        <w:spacing w:before="200" w:after="0"/>
        <w:rPr>
          <w:b/>
          <w:sz w:val="28"/>
          <w:szCs w:val="28"/>
          <w:lang w:val="en-US"/>
        </w:rPr>
      </w:pPr>
      <w:r w:rsidRPr="00862911">
        <w:rPr>
          <w:b/>
          <w:sz w:val="28"/>
          <w:szCs w:val="28"/>
          <w:lang w:val="en-US"/>
        </w:rPr>
        <w:t xml:space="preserve">Policy </w:t>
      </w:r>
    </w:p>
    <w:p w14:paraId="7B84288A" w14:textId="77777777" w:rsidR="00BF0E06" w:rsidRDefault="00BF0E06" w:rsidP="00BF0E06">
      <w:pPr>
        <w:spacing w:line="240" w:lineRule="auto"/>
        <w:jc w:val="both"/>
        <w:rPr>
          <w:rFonts w:cstheme="minorHAnsi"/>
        </w:rPr>
      </w:pPr>
      <w:r>
        <w:rPr>
          <w:rFonts w:cstheme="minorHAnsi"/>
        </w:rPr>
        <w:t xml:space="preserve">There is to be no private use of the Town’s equipment by employees in any circumstances, </w:t>
      </w:r>
      <w:proofErr w:type="spellStart"/>
      <w:r>
        <w:rPr>
          <w:rFonts w:cstheme="minorHAnsi"/>
        </w:rPr>
        <w:t>eg</w:t>
      </w:r>
      <w:proofErr w:type="spellEnd"/>
      <w:r>
        <w:rPr>
          <w:rFonts w:cstheme="minorHAnsi"/>
        </w:rPr>
        <w:t xml:space="preserve"> by employees in lieu of unpaid overtime.</w:t>
      </w:r>
    </w:p>
    <w:p w14:paraId="18142ACD" w14:textId="77777777" w:rsidR="00BF0E06" w:rsidRDefault="00BF0E06" w:rsidP="00BF0E06">
      <w:pPr>
        <w:spacing w:line="240" w:lineRule="auto"/>
        <w:jc w:val="both"/>
        <w:rPr>
          <w:rFonts w:cstheme="minorHAnsi"/>
        </w:rPr>
      </w:pPr>
      <w:r>
        <w:rPr>
          <w:rFonts w:cstheme="minorHAnsi"/>
        </w:rPr>
        <w:t>All Town equipment should be marked to clearly identify it as belonging to the Town.</w:t>
      </w:r>
    </w:p>
    <w:p w14:paraId="58BAA6E7" w14:textId="77777777" w:rsidR="00BF0E06" w:rsidRPr="005C667B" w:rsidRDefault="00BF0E06" w:rsidP="00BF0E06">
      <w:pPr>
        <w:spacing w:after="0" w:line="240" w:lineRule="auto"/>
        <w:jc w:val="both"/>
        <w:rPr>
          <w:rFonts w:cstheme="minorHAnsi"/>
        </w:rPr>
      </w:pPr>
      <w:r>
        <w:rPr>
          <w:rFonts w:cstheme="minorHAnsi"/>
        </w:rPr>
        <w:t>Any “private works” should be recorded in detail and those records archived and kept as official Council records.</w:t>
      </w:r>
    </w:p>
    <w:p w14:paraId="0BA1E11C" w14:textId="77777777" w:rsidR="00BF0E06" w:rsidRDefault="00BF0E06" w:rsidP="00BF0E06">
      <w:pPr>
        <w:jc w:val="both"/>
        <w:rPr>
          <w:rFonts w:cstheme="minorHAnsi"/>
          <w:lang w:val="en-US"/>
        </w:rPr>
      </w:pPr>
    </w:p>
    <w:p w14:paraId="5C45A5F1" w14:textId="77777777" w:rsidR="00BF0E06" w:rsidRPr="005C667B" w:rsidRDefault="00BF0E06" w:rsidP="00BF0E06">
      <w:pPr>
        <w:jc w:val="both"/>
        <w:rPr>
          <w:rFonts w:cstheme="minorHAnsi"/>
          <w:lang w:val="en-US"/>
        </w:rPr>
      </w:pPr>
    </w:p>
    <w:tbl>
      <w:tblPr>
        <w:tblStyle w:val="TableGrid"/>
        <w:tblW w:w="0" w:type="auto"/>
        <w:tblLook w:val="04A0" w:firstRow="1" w:lastRow="0" w:firstColumn="1" w:lastColumn="0" w:noHBand="0" w:noVBand="1"/>
      </w:tblPr>
      <w:tblGrid>
        <w:gridCol w:w="3054"/>
        <w:gridCol w:w="5999"/>
      </w:tblGrid>
      <w:tr w:rsidR="00BF0E06" w:rsidRPr="005C667B" w14:paraId="728AE1D6" w14:textId="77777777" w:rsidTr="00B4063E">
        <w:tc>
          <w:tcPr>
            <w:tcW w:w="3085" w:type="dxa"/>
          </w:tcPr>
          <w:p w14:paraId="76FC0648" w14:textId="77777777" w:rsidR="00BF0E06" w:rsidRPr="005C667B" w:rsidRDefault="00BF0E06" w:rsidP="00B4063E">
            <w:pPr>
              <w:jc w:val="both"/>
              <w:rPr>
                <w:rFonts w:cstheme="minorHAnsi"/>
                <w:b/>
                <w:lang w:val="en-US"/>
              </w:rPr>
            </w:pPr>
            <w:r w:rsidRPr="005C667B">
              <w:rPr>
                <w:rFonts w:cstheme="minorHAnsi"/>
                <w:b/>
                <w:lang w:val="en-US"/>
              </w:rPr>
              <w:t>Responsible Directorate:</w:t>
            </w:r>
          </w:p>
        </w:tc>
        <w:tc>
          <w:tcPr>
            <w:tcW w:w="6157" w:type="dxa"/>
          </w:tcPr>
          <w:p w14:paraId="3D8A0266" w14:textId="77777777" w:rsidR="00BF0E06" w:rsidRPr="005C667B" w:rsidRDefault="00BF0E06" w:rsidP="00B4063E">
            <w:pPr>
              <w:jc w:val="both"/>
              <w:rPr>
                <w:rFonts w:cstheme="minorHAnsi"/>
                <w:lang w:val="en-US"/>
              </w:rPr>
            </w:pPr>
            <w:r w:rsidRPr="005C667B">
              <w:rPr>
                <w:rFonts w:cstheme="minorHAnsi"/>
                <w:lang w:val="en-US"/>
              </w:rPr>
              <w:t>Offic</w:t>
            </w:r>
            <w:r w:rsidR="00760D17">
              <w:rPr>
                <w:rFonts w:cstheme="minorHAnsi"/>
                <w:lang w:val="en-US"/>
              </w:rPr>
              <w:t>e of the CEO</w:t>
            </w:r>
          </w:p>
        </w:tc>
      </w:tr>
      <w:tr w:rsidR="00BF0E06" w:rsidRPr="005C667B" w14:paraId="35E22175" w14:textId="77777777" w:rsidTr="00B4063E">
        <w:tc>
          <w:tcPr>
            <w:tcW w:w="3085" w:type="dxa"/>
          </w:tcPr>
          <w:p w14:paraId="5506C654" w14:textId="77777777" w:rsidR="00BF0E06" w:rsidRPr="005C667B" w:rsidRDefault="00BF0E06" w:rsidP="00B4063E">
            <w:pPr>
              <w:jc w:val="both"/>
              <w:rPr>
                <w:rFonts w:cstheme="minorHAnsi"/>
                <w:b/>
                <w:lang w:val="en-US"/>
              </w:rPr>
            </w:pPr>
            <w:r w:rsidRPr="005C667B">
              <w:rPr>
                <w:rFonts w:cstheme="minorHAnsi"/>
                <w:b/>
                <w:lang w:val="en-US"/>
              </w:rPr>
              <w:t>Reviewing Officer:</w:t>
            </w:r>
          </w:p>
        </w:tc>
        <w:tc>
          <w:tcPr>
            <w:tcW w:w="6157" w:type="dxa"/>
          </w:tcPr>
          <w:p w14:paraId="7FF35A74" w14:textId="77777777" w:rsidR="00BF0E06" w:rsidRPr="005C667B" w:rsidRDefault="00BF0E06" w:rsidP="00B4063E">
            <w:pPr>
              <w:jc w:val="both"/>
              <w:rPr>
                <w:rFonts w:cstheme="minorHAnsi"/>
                <w:lang w:val="en-US"/>
              </w:rPr>
            </w:pPr>
            <w:r w:rsidRPr="005C667B">
              <w:rPr>
                <w:rFonts w:cstheme="minorHAnsi"/>
                <w:lang w:val="en-US"/>
              </w:rPr>
              <w:t>Chief Executive Officer</w:t>
            </w:r>
          </w:p>
        </w:tc>
      </w:tr>
      <w:tr w:rsidR="00BF0E06" w:rsidRPr="005C667B" w14:paraId="05BC0897" w14:textId="77777777" w:rsidTr="00B4063E">
        <w:tc>
          <w:tcPr>
            <w:tcW w:w="3085" w:type="dxa"/>
          </w:tcPr>
          <w:p w14:paraId="3F2A4F29" w14:textId="77777777" w:rsidR="00BF0E06" w:rsidRPr="005C667B" w:rsidRDefault="00BF0E06" w:rsidP="00B4063E">
            <w:pPr>
              <w:jc w:val="both"/>
              <w:rPr>
                <w:rFonts w:cstheme="minorHAnsi"/>
                <w:b/>
                <w:lang w:val="en-US"/>
              </w:rPr>
            </w:pPr>
            <w:r w:rsidRPr="005C667B">
              <w:rPr>
                <w:rFonts w:cstheme="minorHAnsi"/>
                <w:b/>
                <w:lang w:val="en-US"/>
              </w:rPr>
              <w:t>Decision making Authority:</w:t>
            </w:r>
          </w:p>
        </w:tc>
        <w:tc>
          <w:tcPr>
            <w:tcW w:w="6157" w:type="dxa"/>
          </w:tcPr>
          <w:p w14:paraId="552BA093" w14:textId="77777777" w:rsidR="00BF0E06" w:rsidRPr="005C667B" w:rsidRDefault="00BF0E06" w:rsidP="00B4063E">
            <w:pPr>
              <w:jc w:val="both"/>
              <w:rPr>
                <w:rFonts w:cstheme="minorHAnsi"/>
                <w:lang w:val="en-US"/>
              </w:rPr>
            </w:pPr>
            <w:r w:rsidRPr="005C667B">
              <w:rPr>
                <w:rFonts w:cstheme="minorHAnsi"/>
                <w:lang w:val="en-US"/>
              </w:rPr>
              <w:t>Council</w:t>
            </w:r>
          </w:p>
        </w:tc>
      </w:tr>
      <w:tr w:rsidR="00BF0E06" w:rsidRPr="005C667B" w14:paraId="052265B0" w14:textId="77777777" w:rsidTr="00B4063E">
        <w:tc>
          <w:tcPr>
            <w:tcW w:w="3085" w:type="dxa"/>
          </w:tcPr>
          <w:p w14:paraId="19A22C86" w14:textId="77777777" w:rsidR="00BF0E06" w:rsidRPr="005C667B" w:rsidRDefault="00BF0E06" w:rsidP="00B4063E">
            <w:pPr>
              <w:jc w:val="both"/>
              <w:rPr>
                <w:rFonts w:cstheme="minorHAnsi"/>
                <w:b/>
                <w:lang w:val="en-US"/>
              </w:rPr>
            </w:pPr>
            <w:r w:rsidRPr="005C667B">
              <w:rPr>
                <w:rFonts w:cstheme="minorHAnsi"/>
                <w:b/>
                <w:lang w:val="en-US"/>
              </w:rPr>
              <w:t>Policy Adopted:</w:t>
            </w:r>
          </w:p>
        </w:tc>
        <w:tc>
          <w:tcPr>
            <w:tcW w:w="6157" w:type="dxa"/>
          </w:tcPr>
          <w:p w14:paraId="7D92D5D6" w14:textId="77777777" w:rsidR="00BF0E06" w:rsidRPr="005C667B" w:rsidRDefault="00BF0E06" w:rsidP="00B4063E">
            <w:pPr>
              <w:jc w:val="both"/>
              <w:rPr>
                <w:rFonts w:cstheme="minorHAnsi"/>
                <w:lang w:val="en-US"/>
              </w:rPr>
            </w:pPr>
            <w:r>
              <w:rPr>
                <w:rFonts w:cstheme="minorHAnsi"/>
                <w:lang w:val="en-US"/>
              </w:rPr>
              <w:t>17/02/1998</w:t>
            </w:r>
          </w:p>
        </w:tc>
      </w:tr>
      <w:tr w:rsidR="00BF0E06" w:rsidRPr="005C667B" w14:paraId="03E5EA39" w14:textId="77777777" w:rsidTr="00B4063E">
        <w:tc>
          <w:tcPr>
            <w:tcW w:w="3085" w:type="dxa"/>
          </w:tcPr>
          <w:p w14:paraId="13A3B6A1" w14:textId="77777777" w:rsidR="00BF0E06" w:rsidRPr="005C667B" w:rsidRDefault="00BF0E06" w:rsidP="00B4063E">
            <w:pPr>
              <w:jc w:val="both"/>
              <w:rPr>
                <w:rFonts w:cstheme="minorHAnsi"/>
                <w:b/>
                <w:lang w:val="en-US"/>
              </w:rPr>
            </w:pPr>
            <w:r>
              <w:rPr>
                <w:rFonts w:cstheme="minorHAnsi"/>
                <w:b/>
                <w:lang w:val="en-US"/>
              </w:rPr>
              <w:t>Policy Amended/Reviewed:</w:t>
            </w:r>
          </w:p>
        </w:tc>
        <w:tc>
          <w:tcPr>
            <w:tcW w:w="6157" w:type="dxa"/>
          </w:tcPr>
          <w:p w14:paraId="0AA1FFFB" w14:textId="77777777" w:rsidR="00BF0E06" w:rsidRPr="005C667B" w:rsidRDefault="00BF0E06" w:rsidP="00B4063E">
            <w:pPr>
              <w:jc w:val="both"/>
              <w:rPr>
                <w:rFonts w:cstheme="minorHAnsi"/>
                <w:lang w:val="en-US"/>
              </w:rPr>
            </w:pPr>
            <w:r>
              <w:rPr>
                <w:rFonts w:cstheme="minorHAnsi"/>
                <w:lang w:val="en-US"/>
              </w:rPr>
              <w:t>18/03/2008</w:t>
            </w:r>
            <w:r w:rsidR="00204A62">
              <w:rPr>
                <w:rFonts w:cstheme="minorHAnsi"/>
                <w:lang w:val="en-US"/>
              </w:rPr>
              <w:t>, 17/9/19</w:t>
            </w:r>
          </w:p>
        </w:tc>
      </w:tr>
      <w:tr w:rsidR="00BF0E06" w:rsidRPr="005C667B" w14:paraId="30C28C5B" w14:textId="77777777" w:rsidTr="00B4063E">
        <w:tc>
          <w:tcPr>
            <w:tcW w:w="3085" w:type="dxa"/>
          </w:tcPr>
          <w:p w14:paraId="26573C5D" w14:textId="77777777" w:rsidR="00BF0E06" w:rsidRPr="005C667B" w:rsidRDefault="00BF0E06" w:rsidP="00B4063E">
            <w:pPr>
              <w:jc w:val="both"/>
              <w:rPr>
                <w:rFonts w:cstheme="minorHAnsi"/>
                <w:b/>
                <w:lang w:val="en-US"/>
              </w:rPr>
            </w:pPr>
            <w:r>
              <w:rPr>
                <w:rFonts w:cstheme="minorHAnsi"/>
                <w:b/>
                <w:lang w:val="en-US"/>
              </w:rPr>
              <w:t>Former Policy No</w:t>
            </w:r>
            <w:r w:rsidRPr="005C667B">
              <w:rPr>
                <w:rFonts w:cstheme="minorHAnsi"/>
                <w:b/>
                <w:lang w:val="en-US"/>
              </w:rPr>
              <w:t>:</w:t>
            </w:r>
          </w:p>
        </w:tc>
        <w:tc>
          <w:tcPr>
            <w:tcW w:w="6157" w:type="dxa"/>
          </w:tcPr>
          <w:p w14:paraId="7BB38357" w14:textId="77777777" w:rsidR="00BF0E06" w:rsidRPr="005C667B" w:rsidRDefault="00BF0E06" w:rsidP="00B4063E">
            <w:pPr>
              <w:jc w:val="both"/>
              <w:rPr>
                <w:rFonts w:cstheme="minorHAnsi"/>
                <w:lang w:val="en-US"/>
              </w:rPr>
            </w:pPr>
            <w:r>
              <w:rPr>
                <w:rFonts w:cstheme="minorHAnsi"/>
                <w:lang w:val="en-US"/>
              </w:rPr>
              <w:t>F8.3</w:t>
            </w:r>
          </w:p>
        </w:tc>
      </w:tr>
    </w:tbl>
    <w:p w14:paraId="328F3A54" w14:textId="77777777" w:rsidR="00BF0E06" w:rsidRPr="005C667B" w:rsidRDefault="00BF0E06" w:rsidP="00BF0E06">
      <w:pPr>
        <w:jc w:val="both"/>
        <w:rPr>
          <w:rFonts w:cstheme="minorHAnsi"/>
          <w:lang w:val="en-US"/>
        </w:rPr>
      </w:pPr>
    </w:p>
    <w:p w14:paraId="3BBD75FE" w14:textId="77777777" w:rsidR="0048473F" w:rsidRDefault="0048473F">
      <w:pPr>
        <w:rPr>
          <w:rFonts w:cstheme="minorHAnsi"/>
          <w:lang w:val="en-US"/>
        </w:rPr>
      </w:pPr>
      <w:r>
        <w:rPr>
          <w:rFonts w:cstheme="minorHAnsi"/>
          <w:lang w:val="en-US"/>
        </w:rPr>
        <w:br w:type="page"/>
      </w:r>
    </w:p>
    <w:p w14:paraId="19428B2B" w14:textId="10D47916" w:rsidR="00A76A09" w:rsidRDefault="003369A9" w:rsidP="00A76A09">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59264" behindDoc="1" locked="0" layoutInCell="1" allowOverlap="1" wp14:anchorId="40F28E7F" wp14:editId="5757A392">
            <wp:simplePos x="0" y="0"/>
            <wp:positionH relativeFrom="column">
              <wp:posOffset>4067175</wp:posOffset>
            </wp:positionH>
            <wp:positionV relativeFrom="paragraph">
              <wp:posOffset>9525</wp:posOffset>
            </wp:positionV>
            <wp:extent cx="1744345" cy="699135"/>
            <wp:effectExtent l="0" t="0" r="8255" b="5715"/>
            <wp:wrapTight wrapText="bothSides">
              <wp:wrapPolygon edited="0">
                <wp:start x="0" y="0"/>
                <wp:lineTo x="0" y="21188"/>
                <wp:lineTo x="21466" y="21188"/>
                <wp:lineTo x="21466" y="0"/>
                <wp:lineTo x="0" y="0"/>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2EA7E676" w14:textId="77777777" w:rsidR="00A76A09" w:rsidRDefault="00A76A09" w:rsidP="00A76A09">
      <w:pPr>
        <w:pStyle w:val="Policy3"/>
      </w:pPr>
    </w:p>
    <w:p w14:paraId="28E1A91E" w14:textId="42360D45" w:rsidR="00A76A09" w:rsidRPr="00D94B6C" w:rsidRDefault="00A76A09" w:rsidP="00A76A09">
      <w:pPr>
        <w:pStyle w:val="Policy3"/>
      </w:pPr>
      <w:bookmarkStart w:id="123" w:name="_Toc216866667"/>
      <w:r>
        <w:t>1.2.7</w:t>
      </w:r>
      <w:r w:rsidRPr="00D94B6C">
        <w:tab/>
      </w:r>
      <w:r>
        <w:t>COVID-19 Leave</w:t>
      </w:r>
      <w:bookmarkEnd w:id="123"/>
      <w:r>
        <w:t xml:space="preserve"> </w:t>
      </w:r>
      <w:r w:rsidRPr="00D94B6C">
        <w:t xml:space="preserve"> </w:t>
      </w:r>
    </w:p>
    <w:tbl>
      <w:tblPr>
        <w:tblStyle w:val="TableGrid"/>
        <w:tblW w:w="0" w:type="auto"/>
        <w:tblLook w:val="04A0" w:firstRow="1" w:lastRow="0" w:firstColumn="1" w:lastColumn="0" w:noHBand="0" w:noVBand="1"/>
      </w:tblPr>
      <w:tblGrid>
        <w:gridCol w:w="3033"/>
        <w:gridCol w:w="6020"/>
      </w:tblGrid>
      <w:tr w:rsidR="00A76A09" w:rsidRPr="007B69AA" w14:paraId="345CF5AD" w14:textId="77777777" w:rsidTr="00140F6F">
        <w:tc>
          <w:tcPr>
            <w:tcW w:w="3085" w:type="dxa"/>
          </w:tcPr>
          <w:p w14:paraId="7421BC16" w14:textId="77777777" w:rsidR="00A76A09" w:rsidRPr="007B69AA" w:rsidRDefault="00A76A09" w:rsidP="00140F6F">
            <w:pPr>
              <w:rPr>
                <w:rFonts w:cstheme="minorHAnsi"/>
                <w:b/>
                <w:lang w:val="en-US"/>
              </w:rPr>
            </w:pPr>
            <w:r w:rsidRPr="007B69AA">
              <w:rPr>
                <w:rFonts w:cstheme="minorHAnsi"/>
                <w:b/>
                <w:lang w:val="en-US"/>
              </w:rPr>
              <w:t>Type:</w:t>
            </w:r>
          </w:p>
        </w:tc>
        <w:tc>
          <w:tcPr>
            <w:tcW w:w="6157" w:type="dxa"/>
          </w:tcPr>
          <w:p w14:paraId="4D39902D" w14:textId="77777777" w:rsidR="00A76A09" w:rsidRPr="007B69AA" w:rsidRDefault="00A76A09" w:rsidP="00140F6F">
            <w:pPr>
              <w:rPr>
                <w:rFonts w:cstheme="minorHAnsi"/>
                <w:lang w:val="en-US"/>
              </w:rPr>
            </w:pPr>
            <w:r>
              <w:rPr>
                <w:rFonts w:cstheme="minorHAnsi"/>
                <w:lang w:val="en-US"/>
              </w:rPr>
              <w:t>Office of the CEO – Human Resources</w:t>
            </w:r>
          </w:p>
        </w:tc>
      </w:tr>
      <w:tr w:rsidR="00A76A09" w:rsidRPr="007B69AA" w14:paraId="629BA91C" w14:textId="77777777" w:rsidTr="00140F6F">
        <w:tc>
          <w:tcPr>
            <w:tcW w:w="3085" w:type="dxa"/>
          </w:tcPr>
          <w:p w14:paraId="6D49B3D4" w14:textId="77777777" w:rsidR="00A76A09" w:rsidRPr="007B69AA" w:rsidRDefault="00A76A09" w:rsidP="00140F6F">
            <w:pPr>
              <w:rPr>
                <w:rFonts w:cstheme="minorHAnsi"/>
                <w:b/>
                <w:lang w:val="en-US"/>
              </w:rPr>
            </w:pPr>
            <w:r w:rsidRPr="007B69AA">
              <w:rPr>
                <w:rFonts w:cstheme="minorHAnsi"/>
                <w:b/>
                <w:lang w:val="en-US"/>
              </w:rPr>
              <w:t>Legislation:</w:t>
            </w:r>
          </w:p>
        </w:tc>
        <w:tc>
          <w:tcPr>
            <w:tcW w:w="6157" w:type="dxa"/>
          </w:tcPr>
          <w:p w14:paraId="3F84BEE2" w14:textId="77777777" w:rsidR="00A76A09" w:rsidRPr="007B69AA" w:rsidRDefault="00A76A09" w:rsidP="00140F6F">
            <w:pPr>
              <w:rPr>
                <w:rFonts w:cstheme="minorHAnsi"/>
                <w:lang w:val="en-US"/>
              </w:rPr>
            </w:pPr>
            <w:r>
              <w:rPr>
                <w:rFonts w:cstheme="minorHAnsi"/>
                <w:lang w:val="en-US"/>
              </w:rPr>
              <w:t>Local Government Industry Award 2010</w:t>
            </w:r>
          </w:p>
        </w:tc>
      </w:tr>
      <w:tr w:rsidR="00A76A09" w:rsidRPr="007B69AA" w14:paraId="346020F0" w14:textId="77777777" w:rsidTr="00140F6F">
        <w:tc>
          <w:tcPr>
            <w:tcW w:w="3085" w:type="dxa"/>
          </w:tcPr>
          <w:p w14:paraId="08B37C2E" w14:textId="77777777" w:rsidR="00A76A09" w:rsidRPr="007B69AA" w:rsidRDefault="00A76A09" w:rsidP="00140F6F">
            <w:pPr>
              <w:rPr>
                <w:rFonts w:cstheme="minorHAnsi"/>
                <w:b/>
                <w:lang w:val="en-US"/>
              </w:rPr>
            </w:pPr>
            <w:r w:rsidRPr="007B69AA">
              <w:rPr>
                <w:rFonts w:cstheme="minorHAnsi"/>
                <w:b/>
                <w:lang w:val="en-US"/>
              </w:rPr>
              <w:t>Delegation:</w:t>
            </w:r>
          </w:p>
        </w:tc>
        <w:tc>
          <w:tcPr>
            <w:tcW w:w="6157" w:type="dxa"/>
          </w:tcPr>
          <w:p w14:paraId="68AF9E7D" w14:textId="77777777" w:rsidR="00A76A09" w:rsidRPr="007B69AA" w:rsidRDefault="00A76A09" w:rsidP="00140F6F">
            <w:pPr>
              <w:rPr>
                <w:rFonts w:cstheme="minorHAnsi"/>
                <w:lang w:val="en-US"/>
              </w:rPr>
            </w:pPr>
          </w:p>
        </w:tc>
      </w:tr>
      <w:tr w:rsidR="00A76A09" w:rsidRPr="007B69AA" w14:paraId="6908B9D7" w14:textId="77777777" w:rsidTr="00140F6F">
        <w:tc>
          <w:tcPr>
            <w:tcW w:w="3085" w:type="dxa"/>
          </w:tcPr>
          <w:p w14:paraId="66DC76DE" w14:textId="77777777" w:rsidR="00A76A09" w:rsidRPr="007B69AA" w:rsidRDefault="00A76A09" w:rsidP="00140F6F">
            <w:pPr>
              <w:rPr>
                <w:rFonts w:cstheme="minorHAnsi"/>
                <w:b/>
                <w:lang w:val="en-US"/>
              </w:rPr>
            </w:pPr>
            <w:r w:rsidRPr="007B69AA">
              <w:rPr>
                <w:rFonts w:cstheme="minorHAnsi"/>
                <w:b/>
                <w:lang w:val="en-US"/>
              </w:rPr>
              <w:t>Other Related Document:</w:t>
            </w:r>
          </w:p>
        </w:tc>
        <w:tc>
          <w:tcPr>
            <w:tcW w:w="6157" w:type="dxa"/>
          </w:tcPr>
          <w:p w14:paraId="32C92121" w14:textId="77777777" w:rsidR="00A76A09" w:rsidRPr="007B69AA" w:rsidRDefault="00A76A09" w:rsidP="00140F6F">
            <w:pPr>
              <w:rPr>
                <w:rFonts w:cstheme="minorHAnsi"/>
                <w:lang w:val="en-US"/>
              </w:rPr>
            </w:pPr>
            <w:r>
              <w:rPr>
                <w:rFonts w:cstheme="minorHAnsi"/>
                <w:lang w:val="en-US"/>
              </w:rPr>
              <w:t>PRO1.2.7 COVID-19 Procedure</w:t>
            </w:r>
          </w:p>
        </w:tc>
      </w:tr>
    </w:tbl>
    <w:p w14:paraId="0ECE588E" w14:textId="77777777" w:rsidR="00A76A09" w:rsidRPr="00862911" w:rsidRDefault="00A76A09" w:rsidP="00A76A09">
      <w:pPr>
        <w:spacing w:before="240" w:after="0"/>
        <w:rPr>
          <w:b/>
          <w:sz w:val="28"/>
          <w:szCs w:val="28"/>
          <w:lang w:val="en-US"/>
        </w:rPr>
      </w:pPr>
      <w:r>
        <w:rPr>
          <w:b/>
          <w:sz w:val="28"/>
          <w:szCs w:val="28"/>
          <w:lang w:val="en-US"/>
        </w:rPr>
        <w:t>Objective</w:t>
      </w:r>
    </w:p>
    <w:p w14:paraId="1D280532" w14:textId="77777777" w:rsidR="00A76A09" w:rsidRPr="002D77F1" w:rsidRDefault="00A76A09" w:rsidP="00A76A09">
      <w:pPr>
        <w:spacing w:line="240" w:lineRule="auto"/>
        <w:ind w:left="-6" w:right="-6"/>
        <w:jc w:val="both"/>
        <w:rPr>
          <w:rFonts w:cstheme="minorHAnsi"/>
          <w:i/>
          <w:szCs w:val="24"/>
        </w:rPr>
      </w:pPr>
      <w:r w:rsidRPr="002D77F1">
        <w:rPr>
          <w:rFonts w:cstheme="minorHAnsi"/>
          <w:szCs w:val="24"/>
        </w:rPr>
        <w:t xml:space="preserve">The objective of this Policy is to outline the terms and conditions associated with leave related to the COVID-19 pandemic. This policy covers provisions that are in addition to other leave provisions prescribed by the National Employment Standards and the </w:t>
      </w:r>
      <w:r w:rsidRPr="002D77F1">
        <w:rPr>
          <w:rFonts w:cstheme="minorHAnsi"/>
          <w:i/>
          <w:szCs w:val="24"/>
        </w:rPr>
        <w:t>Local Government Industry Award 2010.</w:t>
      </w:r>
    </w:p>
    <w:p w14:paraId="235C1F31" w14:textId="77777777" w:rsidR="00A76A09" w:rsidRPr="00862911" w:rsidRDefault="00A76A09" w:rsidP="00A76A09">
      <w:pPr>
        <w:spacing w:before="200" w:after="0"/>
        <w:rPr>
          <w:b/>
          <w:sz w:val="28"/>
          <w:szCs w:val="28"/>
          <w:lang w:val="en-US"/>
        </w:rPr>
      </w:pPr>
      <w:r w:rsidRPr="00862911">
        <w:rPr>
          <w:b/>
          <w:sz w:val="28"/>
          <w:szCs w:val="28"/>
          <w:lang w:val="en-US"/>
        </w:rPr>
        <w:t>Policy Scope</w:t>
      </w:r>
    </w:p>
    <w:p w14:paraId="20254DFB" w14:textId="77777777" w:rsidR="00A76A09" w:rsidRPr="002D77F1" w:rsidRDefault="00A76A09" w:rsidP="00A76A09">
      <w:pPr>
        <w:spacing w:line="240" w:lineRule="auto"/>
        <w:jc w:val="both"/>
        <w:rPr>
          <w:rFonts w:cstheme="minorHAnsi"/>
          <w:i/>
          <w:szCs w:val="24"/>
        </w:rPr>
      </w:pPr>
      <w:r w:rsidRPr="002D77F1">
        <w:rPr>
          <w:rFonts w:cstheme="minorHAnsi"/>
          <w:szCs w:val="24"/>
        </w:rPr>
        <w:t xml:space="preserve">This Policy is intended to supplement employment conditions contained in awards, and legislation but not to override them.  To ascertain the rights and responsibilities of both the Town of East Fremantle (the Town) and employees, the parties should always refer to the primary documentation, e.g. </w:t>
      </w:r>
      <w:r w:rsidRPr="002D77F1">
        <w:rPr>
          <w:rFonts w:cstheme="minorHAnsi"/>
          <w:i/>
          <w:szCs w:val="24"/>
        </w:rPr>
        <w:t>Local Government Industry Award 2010.</w:t>
      </w:r>
    </w:p>
    <w:p w14:paraId="522D4BFB" w14:textId="77777777" w:rsidR="00A76A09" w:rsidRPr="00862911" w:rsidRDefault="00A76A09" w:rsidP="00A76A09">
      <w:pPr>
        <w:spacing w:before="200" w:after="0"/>
        <w:rPr>
          <w:b/>
          <w:sz w:val="28"/>
          <w:szCs w:val="28"/>
          <w:lang w:val="en-US"/>
        </w:rPr>
      </w:pPr>
      <w:r w:rsidRPr="00862911">
        <w:rPr>
          <w:b/>
          <w:sz w:val="28"/>
          <w:szCs w:val="28"/>
          <w:lang w:val="en-US"/>
        </w:rPr>
        <w:t xml:space="preserve">Policy </w:t>
      </w:r>
    </w:p>
    <w:p w14:paraId="2EC8C60F" w14:textId="77777777" w:rsidR="00A76A09" w:rsidRDefault="00A76A09" w:rsidP="00A76A09">
      <w:pPr>
        <w:pStyle w:val="BodyText"/>
        <w:ind w:left="0" w:right="-46"/>
        <w:jc w:val="both"/>
        <w:rPr>
          <w:rFonts w:asciiTheme="minorHAnsi" w:hAnsiTheme="minorHAnsi" w:cstheme="minorHAnsi"/>
        </w:rPr>
      </w:pPr>
      <w:r w:rsidRPr="002D77F1">
        <w:rPr>
          <w:rFonts w:asciiTheme="minorHAnsi" w:hAnsiTheme="minorHAnsi" w:cstheme="minorHAnsi"/>
        </w:rPr>
        <w:t xml:space="preserve">COVID-19 Leave </w:t>
      </w:r>
      <w:r>
        <w:rPr>
          <w:rFonts w:asciiTheme="minorHAnsi" w:hAnsiTheme="minorHAnsi" w:cstheme="minorHAnsi"/>
        </w:rPr>
        <w:t xml:space="preserve">has been </w:t>
      </w:r>
      <w:r w:rsidRPr="002D77F1">
        <w:rPr>
          <w:rFonts w:asciiTheme="minorHAnsi" w:hAnsiTheme="minorHAnsi" w:cstheme="minorHAnsi"/>
        </w:rPr>
        <w:t>introduced to provide an additional level of assistance for employees who are affected by the COVID-19 pandemic.</w:t>
      </w:r>
    </w:p>
    <w:p w14:paraId="6762FA2C" w14:textId="77777777" w:rsidR="00A76A09" w:rsidRPr="002D77F1" w:rsidRDefault="00A76A09" w:rsidP="00A76A09">
      <w:pPr>
        <w:pStyle w:val="BodyText"/>
        <w:ind w:left="0" w:right="-46"/>
        <w:jc w:val="both"/>
        <w:rPr>
          <w:rFonts w:asciiTheme="minorHAnsi" w:hAnsiTheme="minorHAnsi" w:cstheme="minorHAnsi"/>
        </w:rPr>
      </w:pPr>
      <w:r>
        <w:rPr>
          <w:rFonts w:asciiTheme="minorHAnsi" w:hAnsiTheme="minorHAnsi" w:cstheme="minorHAnsi"/>
        </w:rPr>
        <w:t xml:space="preserve">COVID-19 Leave is not accruable and is only available after paid personal leave has been exhausted.  The leave can only be accessed once in a </w:t>
      </w:r>
      <w:proofErr w:type="gramStart"/>
      <w:r>
        <w:rPr>
          <w:rFonts w:asciiTheme="minorHAnsi" w:hAnsiTheme="minorHAnsi" w:cstheme="minorHAnsi"/>
        </w:rPr>
        <w:t>12 month</w:t>
      </w:r>
      <w:proofErr w:type="gramEnd"/>
      <w:r>
        <w:rPr>
          <w:rFonts w:asciiTheme="minorHAnsi" w:hAnsiTheme="minorHAnsi" w:cstheme="minorHAnsi"/>
        </w:rPr>
        <w:t xml:space="preserve"> period.</w:t>
      </w:r>
    </w:p>
    <w:p w14:paraId="5B246A2F" w14:textId="77777777" w:rsidR="00A76A09" w:rsidRPr="002D77F1" w:rsidRDefault="00A76A09" w:rsidP="00A76A09">
      <w:pPr>
        <w:pStyle w:val="BodyText"/>
        <w:ind w:left="0" w:right="-46"/>
        <w:jc w:val="both"/>
        <w:rPr>
          <w:rFonts w:asciiTheme="minorHAnsi" w:hAnsiTheme="minorHAnsi" w:cstheme="minorHAnsi"/>
        </w:rPr>
      </w:pPr>
      <w:r w:rsidRPr="002D77F1">
        <w:rPr>
          <w:rFonts w:asciiTheme="minorHAnsi" w:hAnsiTheme="minorHAnsi" w:cstheme="minorHAnsi"/>
        </w:rPr>
        <w:t xml:space="preserve">With respect to workforce flexibilities available to the Town’s permanent and fixed term employees, the Town will adopt the </w:t>
      </w:r>
      <w:proofErr w:type="gramStart"/>
      <w:r w:rsidRPr="002D77F1">
        <w:rPr>
          <w:rFonts w:asciiTheme="minorHAnsi" w:hAnsiTheme="minorHAnsi" w:cstheme="minorHAnsi"/>
        </w:rPr>
        <w:t>following:-</w:t>
      </w:r>
      <w:proofErr w:type="gramEnd"/>
    </w:p>
    <w:p w14:paraId="1F0A851D" w14:textId="77777777" w:rsidR="00A76A09" w:rsidRPr="002D77F1" w:rsidRDefault="00A76A09" w:rsidP="00A76A09">
      <w:pPr>
        <w:pStyle w:val="BodyText"/>
        <w:spacing w:after="60"/>
        <w:ind w:left="0" w:right="38"/>
        <w:jc w:val="both"/>
        <w:rPr>
          <w:rFonts w:asciiTheme="minorHAnsi" w:hAnsiTheme="minorHAnsi" w:cstheme="minorHAnsi"/>
          <w:i/>
        </w:rPr>
      </w:pPr>
      <w:r w:rsidRPr="002D77F1">
        <w:rPr>
          <w:rFonts w:asciiTheme="minorHAnsi" w:hAnsiTheme="minorHAnsi" w:cstheme="minorHAnsi"/>
          <w:i/>
        </w:rPr>
        <w:t xml:space="preserve">The Town will grant up to two weeks (10 working days) pro-rata of paid COVID-19 Leave to permanent </w:t>
      </w:r>
      <w:r>
        <w:rPr>
          <w:rFonts w:asciiTheme="minorHAnsi" w:hAnsiTheme="minorHAnsi" w:cstheme="minorHAnsi"/>
          <w:i/>
        </w:rPr>
        <w:t xml:space="preserve">and fixed term </w:t>
      </w:r>
      <w:r w:rsidRPr="002D77F1">
        <w:rPr>
          <w:rFonts w:asciiTheme="minorHAnsi" w:hAnsiTheme="minorHAnsi" w:cstheme="minorHAnsi"/>
          <w:i/>
        </w:rPr>
        <w:t>employees who:</w:t>
      </w:r>
    </w:p>
    <w:p w14:paraId="71A15C8F" w14:textId="77777777" w:rsidR="00A76A09" w:rsidRPr="002D77F1" w:rsidRDefault="00A76A09" w:rsidP="00A76A09">
      <w:pPr>
        <w:pStyle w:val="BodyText"/>
        <w:spacing w:after="60"/>
        <w:ind w:left="426" w:right="38" w:hanging="426"/>
        <w:jc w:val="both"/>
        <w:rPr>
          <w:rFonts w:asciiTheme="minorHAnsi" w:hAnsiTheme="minorHAnsi" w:cstheme="minorHAnsi"/>
          <w:i/>
        </w:rPr>
      </w:pPr>
      <w:r w:rsidRPr="002D77F1">
        <w:rPr>
          <w:rFonts w:asciiTheme="minorHAnsi" w:hAnsiTheme="minorHAnsi" w:cstheme="minorHAnsi"/>
          <w:i/>
        </w:rPr>
        <w:t>1.</w:t>
      </w:r>
      <w:r w:rsidRPr="002D77F1">
        <w:rPr>
          <w:rFonts w:asciiTheme="minorHAnsi" w:hAnsiTheme="minorHAnsi" w:cstheme="minorHAnsi"/>
          <w:i/>
        </w:rPr>
        <w:tab/>
        <w:t>have exhausted all accrued personal/sick leave and who provide evidence that:</w:t>
      </w:r>
    </w:p>
    <w:p w14:paraId="5668CE89" w14:textId="77777777" w:rsidR="00A76A09" w:rsidRPr="002D77F1" w:rsidRDefault="00A76A09" w:rsidP="002A3889">
      <w:pPr>
        <w:pStyle w:val="ListParagraph"/>
        <w:widowControl w:val="0"/>
        <w:numPr>
          <w:ilvl w:val="1"/>
          <w:numId w:val="423"/>
        </w:numPr>
        <w:tabs>
          <w:tab w:val="left" w:pos="953"/>
        </w:tabs>
        <w:autoSpaceDE w:val="0"/>
        <w:autoSpaceDN w:val="0"/>
        <w:spacing w:after="60" w:line="240" w:lineRule="auto"/>
        <w:contextualSpacing w:val="0"/>
        <w:jc w:val="both"/>
        <w:rPr>
          <w:rFonts w:cstheme="minorHAnsi"/>
          <w:i/>
          <w:lang w:val="en-US"/>
        </w:rPr>
      </w:pPr>
      <w:r w:rsidRPr="002D77F1">
        <w:rPr>
          <w:rFonts w:cstheme="minorHAnsi"/>
          <w:i/>
          <w:lang w:val="en-US"/>
        </w:rPr>
        <w:t>they have tested positive to COVID-19; or</w:t>
      </w:r>
    </w:p>
    <w:p w14:paraId="0DC84FE4" w14:textId="77777777" w:rsidR="00A76A09" w:rsidRPr="002D77F1" w:rsidRDefault="00A76A09" w:rsidP="002A3889">
      <w:pPr>
        <w:pStyle w:val="ListParagraph"/>
        <w:widowControl w:val="0"/>
        <w:numPr>
          <w:ilvl w:val="1"/>
          <w:numId w:val="423"/>
        </w:numPr>
        <w:tabs>
          <w:tab w:val="left" w:pos="952"/>
          <w:tab w:val="left" w:pos="953"/>
        </w:tabs>
        <w:autoSpaceDE w:val="0"/>
        <w:autoSpaceDN w:val="0"/>
        <w:spacing w:before="19" w:after="60" w:line="240" w:lineRule="auto"/>
        <w:ind w:right="38"/>
        <w:contextualSpacing w:val="0"/>
        <w:jc w:val="both"/>
        <w:rPr>
          <w:rFonts w:cstheme="minorHAnsi"/>
          <w:i/>
          <w:lang w:val="en-US"/>
        </w:rPr>
      </w:pPr>
      <w:r w:rsidRPr="002D77F1">
        <w:rPr>
          <w:rFonts w:cstheme="minorHAnsi"/>
          <w:i/>
          <w:lang w:val="en-US"/>
        </w:rPr>
        <w:t>they are required to self-isolate based on an Australian Government or Health Department directive due to COVID-19; or</w:t>
      </w:r>
    </w:p>
    <w:p w14:paraId="58AD8371" w14:textId="77777777" w:rsidR="00A76A09" w:rsidRPr="002D77F1" w:rsidRDefault="00A76A09" w:rsidP="002A3889">
      <w:pPr>
        <w:pStyle w:val="ListParagraph"/>
        <w:widowControl w:val="0"/>
        <w:numPr>
          <w:ilvl w:val="1"/>
          <w:numId w:val="423"/>
        </w:numPr>
        <w:tabs>
          <w:tab w:val="left" w:pos="953"/>
        </w:tabs>
        <w:autoSpaceDE w:val="0"/>
        <w:autoSpaceDN w:val="0"/>
        <w:spacing w:before="16" w:after="60" w:line="240" w:lineRule="auto"/>
        <w:ind w:right="38"/>
        <w:contextualSpacing w:val="0"/>
        <w:jc w:val="both"/>
        <w:rPr>
          <w:rFonts w:cstheme="minorHAnsi"/>
          <w:i/>
          <w:lang w:val="en-US"/>
        </w:rPr>
      </w:pPr>
      <w:r w:rsidRPr="002D77F1">
        <w:rPr>
          <w:rFonts w:cstheme="minorHAnsi"/>
          <w:i/>
          <w:lang w:val="en-US"/>
        </w:rPr>
        <w:t xml:space="preserve">they are required to be the primary care giver (establishing the type of care giver role to be undertaken) for another person who has COVID-19 or is required to self-isolate and is a dependent of the </w:t>
      </w:r>
      <w:proofErr w:type="gramStart"/>
      <w:r w:rsidRPr="002D77F1">
        <w:rPr>
          <w:rFonts w:cstheme="minorHAnsi"/>
          <w:i/>
          <w:lang w:val="en-US"/>
        </w:rPr>
        <w:t>employee;</w:t>
      </w:r>
      <w:proofErr w:type="gramEnd"/>
    </w:p>
    <w:p w14:paraId="139866F0" w14:textId="77777777" w:rsidR="00A76A09" w:rsidRDefault="00A76A09" w:rsidP="002A3889">
      <w:pPr>
        <w:pStyle w:val="ListParagraph"/>
        <w:widowControl w:val="0"/>
        <w:numPr>
          <w:ilvl w:val="1"/>
          <w:numId w:val="423"/>
        </w:numPr>
        <w:tabs>
          <w:tab w:val="left" w:pos="953"/>
        </w:tabs>
        <w:autoSpaceDE w:val="0"/>
        <w:autoSpaceDN w:val="0"/>
        <w:spacing w:after="60" w:line="240" w:lineRule="auto"/>
        <w:contextualSpacing w:val="0"/>
        <w:jc w:val="both"/>
        <w:rPr>
          <w:rFonts w:cstheme="minorHAnsi"/>
          <w:i/>
        </w:rPr>
      </w:pPr>
      <w:r w:rsidRPr="002D77F1">
        <w:rPr>
          <w:rFonts w:cstheme="minorHAnsi"/>
          <w:i/>
          <w:lang w:val="en-US"/>
        </w:rPr>
        <w:t xml:space="preserve">cannot access school or other care </w:t>
      </w:r>
      <w:proofErr w:type="spellStart"/>
      <w:r w:rsidRPr="002D77F1">
        <w:rPr>
          <w:rFonts w:cstheme="minorHAnsi"/>
          <w:i/>
          <w:lang w:val="en-US"/>
        </w:rPr>
        <w:t>arra</w:t>
      </w:r>
      <w:r w:rsidRPr="002D77F1">
        <w:rPr>
          <w:rFonts w:cstheme="minorHAnsi"/>
          <w:i/>
        </w:rPr>
        <w:t>ngements</w:t>
      </w:r>
      <w:proofErr w:type="spellEnd"/>
      <w:r w:rsidRPr="002D77F1">
        <w:rPr>
          <w:rFonts w:cstheme="minorHAnsi"/>
          <w:i/>
        </w:rPr>
        <w:t xml:space="preserve"> because of COVID-19.</w:t>
      </w:r>
    </w:p>
    <w:p w14:paraId="58B1B358" w14:textId="77777777" w:rsidR="00A76A09" w:rsidRPr="002D77F1" w:rsidRDefault="00A76A09" w:rsidP="002A3889">
      <w:pPr>
        <w:pStyle w:val="ListParagraph"/>
        <w:widowControl w:val="0"/>
        <w:numPr>
          <w:ilvl w:val="1"/>
          <w:numId w:val="423"/>
        </w:numPr>
        <w:tabs>
          <w:tab w:val="left" w:pos="953"/>
        </w:tabs>
        <w:autoSpaceDE w:val="0"/>
        <w:autoSpaceDN w:val="0"/>
        <w:spacing w:after="60" w:line="240" w:lineRule="auto"/>
        <w:contextualSpacing w:val="0"/>
        <w:jc w:val="both"/>
        <w:rPr>
          <w:rFonts w:cstheme="minorHAnsi"/>
          <w:i/>
        </w:rPr>
      </w:pPr>
      <w:r>
        <w:rPr>
          <w:rFonts w:cstheme="minorHAnsi"/>
          <w:i/>
        </w:rPr>
        <w:t>have not accessed COVID-19 leave in the prior 12 months.</w:t>
      </w:r>
    </w:p>
    <w:p w14:paraId="343A0C9D" w14:textId="77777777" w:rsidR="00A76A09" w:rsidRPr="002D77F1" w:rsidRDefault="00A76A09" w:rsidP="00A76A09">
      <w:pPr>
        <w:widowControl w:val="0"/>
        <w:tabs>
          <w:tab w:val="left" w:pos="953"/>
        </w:tabs>
        <w:autoSpaceDE w:val="0"/>
        <w:autoSpaceDN w:val="0"/>
        <w:spacing w:line="240" w:lineRule="auto"/>
        <w:ind w:left="426" w:hanging="284"/>
        <w:jc w:val="both"/>
        <w:rPr>
          <w:rFonts w:cstheme="minorHAnsi"/>
          <w:i/>
        </w:rPr>
      </w:pPr>
      <w:r w:rsidRPr="002D77F1">
        <w:rPr>
          <w:rFonts w:cstheme="minorHAnsi"/>
          <w:i/>
        </w:rPr>
        <w:t>2.</w:t>
      </w:r>
      <w:r w:rsidRPr="002D77F1">
        <w:rPr>
          <w:rFonts w:cstheme="minorHAnsi"/>
          <w:i/>
        </w:rPr>
        <w:tab/>
        <w:t xml:space="preserve">are required to </w:t>
      </w:r>
      <w:proofErr w:type="spellStart"/>
      <w:r w:rsidRPr="002D77F1">
        <w:rPr>
          <w:rFonts w:cstheme="minorHAnsi"/>
          <w:i/>
        </w:rPr>
        <w:t>self isolate</w:t>
      </w:r>
      <w:proofErr w:type="spellEnd"/>
      <w:r w:rsidRPr="002D77F1">
        <w:rPr>
          <w:rFonts w:cstheme="minorHAnsi"/>
          <w:i/>
        </w:rPr>
        <w:t xml:space="preserve"> based on an Australian Government or Health Department directive, whilst awaiting results of a COVID-19 test. Should a positive test result be delivered, the employee is to exhaust all personal/sick leave prior to accessing further COVID-19 leave.</w:t>
      </w:r>
    </w:p>
    <w:p w14:paraId="3202AE1D" w14:textId="77777777" w:rsidR="00A76A09" w:rsidRPr="002D77F1" w:rsidRDefault="00A76A09" w:rsidP="00A76A09">
      <w:pPr>
        <w:spacing w:after="0" w:line="240" w:lineRule="auto"/>
        <w:jc w:val="both"/>
        <w:rPr>
          <w:rFonts w:cstheme="minorHAnsi"/>
          <w:lang w:val="en-US"/>
        </w:rPr>
      </w:pPr>
      <w:r w:rsidRPr="002D77F1">
        <w:rPr>
          <w:rFonts w:cstheme="minorHAnsi"/>
          <w:lang w:val="en-US"/>
        </w:rPr>
        <w:t>Th</w:t>
      </w:r>
      <w:r w:rsidRPr="002D77F1">
        <w:rPr>
          <w:rFonts w:cstheme="minorHAnsi"/>
        </w:rPr>
        <w:t xml:space="preserve">e above </w:t>
      </w:r>
      <w:r w:rsidRPr="002D77F1">
        <w:rPr>
          <w:rFonts w:cstheme="minorHAnsi"/>
          <w:lang w:val="en-US"/>
        </w:rPr>
        <w:t>would not apply to casual employees.</w:t>
      </w:r>
    </w:p>
    <w:p w14:paraId="0E5CBC4B" w14:textId="77777777" w:rsidR="00A76A09" w:rsidRPr="002D77F1" w:rsidRDefault="00A76A09" w:rsidP="00A76A09">
      <w:pPr>
        <w:widowControl w:val="0"/>
        <w:tabs>
          <w:tab w:val="left" w:pos="953"/>
        </w:tabs>
        <w:autoSpaceDE w:val="0"/>
        <w:autoSpaceDN w:val="0"/>
        <w:spacing w:after="0" w:line="240" w:lineRule="auto"/>
        <w:jc w:val="both"/>
        <w:rPr>
          <w:rFonts w:cstheme="minorHAnsi"/>
        </w:rPr>
      </w:pPr>
      <w:r w:rsidRPr="002D77F1">
        <w:rPr>
          <w:rFonts w:cstheme="minorHAnsi"/>
        </w:rPr>
        <w:lastRenderedPageBreak/>
        <w:t>The CEO has discretion to approve additional COVID-19 leave based on extenuating circumstances.</w:t>
      </w:r>
    </w:p>
    <w:p w14:paraId="16B03408" w14:textId="77777777" w:rsidR="00A76A09" w:rsidRPr="002D77F1" w:rsidRDefault="00A76A09" w:rsidP="00A76A09">
      <w:pPr>
        <w:pStyle w:val="BodyText"/>
        <w:ind w:left="0" w:right="95"/>
        <w:jc w:val="both"/>
        <w:rPr>
          <w:rFonts w:asciiTheme="minorHAnsi" w:hAnsiTheme="minorHAnsi" w:cstheme="minorHAnsi"/>
        </w:rPr>
      </w:pPr>
      <w:r w:rsidRPr="002D77F1">
        <w:rPr>
          <w:rFonts w:asciiTheme="minorHAnsi" w:hAnsiTheme="minorHAnsi" w:cstheme="minorHAnsi"/>
        </w:rPr>
        <w:t>The Town will take a pragmatic approach to evidence requirements informed by current information about health risks and the like.</w:t>
      </w:r>
    </w:p>
    <w:p w14:paraId="00C8E5E3" w14:textId="77777777" w:rsidR="00A76A09" w:rsidRPr="002D77F1" w:rsidRDefault="00A76A09" w:rsidP="00A76A09">
      <w:pPr>
        <w:pStyle w:val="BodyText"/>
        <w:ind w:left="0" w:right="95"/>
        <w:jc w:val="both"/>
        <w:rPr>
          <w:rFonts w:asciiTheme="minorHAnsi" w:hAnsiTheme="minorHAnsi" w:cstheme="minorHAnsi"/>
        </w:rPr>
      </w:pPr>
      <w:r w:rsidRPr="002D77F1">
        <w:rPr>
          <w:rFonts w:asciiTheme="minorHAnsi" w:hAnsiTheme="minorHAnsi" w:cstheme="minorHAnsi"/>
        </w:rPr>
        <w:t>Evidence to support a claim for COVID-19 Leave includes medical evidence and/or a Statutory Declaration confirming the requirements for COVID-19 Leave to be used.</w:t>
      </w:r>
    </w:p>
    <w:p w14:paraId="3627D3D0" w14:textId="77777777" w:rsidR="00A76A09" w:rsidRPr="002D77F1" w:rsidRDefault="00A76A09" w:rsidP="00A76A09">
      <w:pPr>
        <w:widowControl w:val="0"/>
        <w:tabs>
          <w:tab w:val="left" w:pos="953"/>
        </w:tabs>
        <w:autoSpaceDE w:val="0"/>
        <w:autoSpaceDN w:val="0"/>
        <w:spacing w:after="0" w:line="240" w:lineRule="auto"/>
        <w:jc w:val="both"/>
        <w:rPr>
          <w:rFonts w:cstheme="minorHAnsi"/>
        </w:rPr>
      </w:pPr>
      <w:r w:rsidRPr="002D77F1">
        <w:rPr>
          <w:rFonts w:cstheme="minorHAnsi"/>
        </w:rPr>
        <w:t>In situations concerned with being the primary care giver, employees may be asked to provide a documented explanation of the circumstances along with other evidence.</w:t>
      </w:r>
    </w:p>
    <w:p w14:paraId="30F59BB2" w14:textId="77777777" w:rsidR="00A76A09" w:rsidRPr="002D77F1" w:rsidRDefault="00A76A09" w:rsidP="00A76A09">
      <w:pPr>
        <w:spacing w:before="120" w:after="0" w:line="240" w:lineRule="auto"/>
        <w:jc w:val="both"/>
        <w:rPr>
          <w:rFonts w:cstheme="minorHAnsi"/>
        </w:rPr>
      </w:pPr>
      <w:r w:rsidRPr="002D77F1">
        <w:rPr>
          <w:rFonts w:cstheme="minorHAnsi"/>
        </w:rPr>
        <w:t>Employees may access a combination of existing leave provisions required during the pandemic, which include:</w:t>
      </w:r>
    </w:p>
    <w:p w14:paraId="5962C564" w14:textId="77777777" w:rsidR="00A76A09" w:rsidRPr="002D77F1" w:rsidRDefault="00A76A09" w:rsidP="002A3889">
      <w:pPr>
        <w:numPr>
          <w:ilvl w:val="2"/>
          <w:numId w:val="422"/>
        </w:numPr>
        <w:spacing w:after="0" w:line="240" w:lineRule="auto"/>
        <w:jc w:val="both"/>
        <w:rPr>
          <w:rFonts w:cstheme="minorHAnsi"/>
        </w:rPr>
      </w:pPr>
      <w:r w:rsidRPr="002D77F1">
        <w:rPr>
          <w:rFonts w:cstheme="minorHAnsi"/>
        </w:rPr>
        <w:t xml:space="preserve">Annual Leave </w:t>
      </w:r>
    </w:p>
    <w:p w14:paraId="3D3B8357" w14:textId="77777777" w:rsidR="00A76A09" w:rsidRPr="002D77F1" w:rsidRDefault="00A76A09" w:rsidP="002A3889">
      <w:pPr>
        <w:numPr>
          <w:ilvl w:val="2"/>
          <w:numId w:val="422"/>
        </w:numPr>
        <w:spacing w:after="0" w:line="240" w:lineRule="auto"/>
        <w:jc w:val="both"/>
        <w:rPr>
          <w:rFonts w:cstheme="minorHAnsi"/>
        </w:rPr>
      </w:pPr>
      <w:r w:rsidRPr="002D77F1">
        <w:rPr>
          <w:rFonts w:cstheme="minorHAnsi"/>
        </w:rPr>
        <w:t>Personal/Sick Leave</w:t>
      </w:r>
    </w:p>
    <w:p w14:paraId="2F2A7DAB" w14:textId="77777777" w:rsidR="00A76A09" w:rsidRPr="002D77F1" w:rsidRDefault="00A76A09" w:rsidP="002A3889">
      <w:pPr>
        <w:numPr>
          <w:ilvl w:val="2"/>
          <w:numId w:val="422"/>
        </w:numPr>
        <w:spacing w:after="0" w:line="240" w:lineRule="auto"/>
        <w:jc w:val="both"/>
        <w:rPr>
          <w:rFonts w:cstheme="minorHAnsi"/>
        </w:rPr>
      </w:pPr>
      <w:r w:rsidRPr="002D77F1">
        <w:rPr>
          <w:rFonts w:cstheme="minorHAnsi"/>
        </w:rPr>
        <w:t>Long Service Leave</w:t>
      </w:r>
    </w:p>
    <w:p w14:paraId="0C23D387" w14:textId="77777777" w:rsidR="00A76A09" w:rsidRPr="002D77F1" w:rsidRDefault="00A76A09" w:rsidP="002A3889">
      <w:pPr>
        <w:numPr>
          <w:ilvl w:val="2"/>
          <w:numId w:val="422"/>
        </w:numPr>
        <w:spacing w:after="0" w:line="240" w:lineRule="auto"/>
        <w:jc w:val="both"/>
        <w:rPr>
          <w:rFonts w:cstheme="minorHAnsi"/>
        </w:rPr>
      </w:pPr>
      <w:r w:rsidRPr="002D77F1">
        <w:rPr>
          <w:rFonts w:cstheme="minorHAnsi"/>
        </w:rPr>
        <w:t>Rostered Day Off accruals</w:t>
      </w:r>
    </w:p>
    <w:p w14:paraId="5576A3AE" w14:textId="77777777" w:rsidR="00A76A09" w:rsidRPr="002D77F1" w:rsidRDefault="00A76A09" w:rsidP="002A3889">
      <w:pPr>
        <w:numPr>
          <w:ilvl w:val="2"/>
          <w:numId w:val="422"/>
        </w:numPr>
        <w:spacing w:after="0" w:line="240" w:lineRule="auto"/>
        <w:jc w:val="both"/>
        <w:rPr>
          <w:rFonts w:cstheme="minorHAnsi"/>
        </w:rPr>
      </w:pPr>
      <w:r w:rsidRPr="002D77F1">
        <w:rPr>
          <w:rFonts w:cstheme="minorHAnsi"/>
        </w:rPr>
        <w:t>Compassionate Leave</w:t>
      </w:r>
    </w:p>
    <w:p w14:paraId="4372288C" w14:textId="77777777" w:rsidR="00A76A09" w:rsidRPr="002D77F1" w:rsidRDefault="00A76A09" w:rsidP="002A3889">
      <w:pPr>
        <w:numPr>
          <w:ilvl w:val="2"/>
          <w:numId w:val="422"/>
        </w:numPr>
        <w:spacing w:after="0" w:line="240" w:lineRule="auto"/>
        <w:jc w:val="both"/>
        <w:rPr>
          <w:rFonts w:cstheme="minorHAnsi"/>
        </w:rPr>
      </w:pPr>
      <w:r w:rsidRPr="002D77F1">
        <w:rPr>
          <w:rFonts w:cstheme="minorHAnsi"/>
        </w:rPr>
        <w:t>Public Service Holidays</w:t>
      </w:r>
    </w:p>
    <w:p w14:paraId="0D8A50A3" w14:textId="77777777" w:rsidR="00A76A09" w:rsidRPr="002D77F1" w:rsidRDefault="00A76A09" w:rsidP="002A3889">
      <w:pPr>
        <w:numPr>
          <w:ilvl w:val="2"/>
          <w:numId w:val="422"/>
        </w:numPr>
        <w:spacing w:after="0" w:line="240" w:lineRule="auto"/>
        <w:jc w:val="both"/>
        <w:rPr>
          <w:rFonts w:cstheme="minorHAnsi"/>
        </w:rPr>
      </w:pPr>
      <w:r w:rsidRPr="002D77F1">
        <w:rPr>
          <w:rFonts w:cstheme="minorHAnsi"/>
        </w:rPr>
        <w:t>Unpaid Leave.</w:t>
      </w:r>
    </w:p>
    <w:p w14:paraId="0E444586" w14:textId="77777777" w:rsidR="00A76A09" w:rsidRPr="002D77F1" w:rsidRDefault="00A76A09" w:rsidP="00A76A09">
      <w:pPr>
        <w:spacing w:after="0" w:line="240" w:lineRule="auto"/>
        <w:jc w:val="both"/>
        <w:rPr>
          <w:rFonts w:cstheme="minorHAnsi"/>
        </w:rPr>
      </w:pPr>
    </w:p>
    <w:p w14:paraId="6C2BE405" w14:textId="77777777" w:rsidR="00A76A09" w:rsidRPr="002D77F1" w:rsidRDefault="00A76A09" w:rsidP="00A76A09">
      <w:pPr>
        <w:spacing w:after="0" w:line="240" w:lineRule="auto"/>
        <w:jc w:val="both"/>
        <w:rPr>
          <w:rFonts w:cstheme="minorHAnsi"/>
        </w:rPr>
      </w:pPr>
      <w:r w:rsidRPr="002D77F1">
        <w:rPr>
          <w:rFonts w:cstheme="minorHAnsi"/>
        </w:rPr>
        <w:t xml:space="preserve">Employees who may be at higher risk than the general population in respect to COVID-19 are encouraged to continue to work, or work from home where possible. </w:t>
      </w:r>
    </w:p>
    <w:p w14:paraId="6AD77273" w14:textId="77777777" w:rsidR="00A76A09" w:rsidRPr="002D77F1" w:rsidRDefault="00A76A09" w:rsidP="00A76A09">
      <w:pPr>
        <w:spacing w:before="120" w:after="0" w:line="240" w:lineRule="auto"/>
        <w:jc w:val="both"/>
        <w:rPr>
          <w:rFonts w:cstheme="minorHAnsi"/>
        </w:rPr>
      </w:pPr>
      <w:r w:rsidRPr="002D77F1">
        <w:rPr>
          <w:rFonts w:cstheme="minorHAnsi"/>
        </w:rPr>
        <w:t>Nothing in this policy prevents the CEO from amending work arrangements of staff in line with the Town’s Business Continuity Plan and Commonwealth or State Government direction.</w:t>
      </w:r>
    </w:p>
    <w:p w14:paraId="664E8F80" w14:textId="77777777" w:rsidR="00A76A09" w:rsidRPr="002D77F1" w:rsidRDefault="00A76A09" w:rsidP="00A76A09">
      <w:pPr>
        <w:spacing w:before="120" w:after="0" w:line="240" w:lineRule="auto"/>
        <w:jc w:val="both"/>
        <w:rPr>
          <w:rFonts w:cstheme="minorHAnsi"/>
        </w:rPr>
      </w:pPr>
      <w:r w:rsidRPr="002D77F1">
        <w:rPr>
          <w:rFonts w:cstheme="minorHAnsi"/>
        </w:rPr>
        <w:t>COVID-19 Leave will be calculated based upon the employee’s contracted ordinary hours in a two week pay period in their substantive position, excluding any additional penalties, rates, allowances, overtime, etc.</w:t>
      </w:r>
    </w:p>
    <w:p w14:paraId="6EE406BA" w14:textId="77777777" w:rsidR="00A76A09" w:rsidRPr="002D77F1" w:rsidRDefault="00A76A09" w:rsidP="00A76A09">
      <w:pPr>
        <w:spacing w:after="0" w:line="240" w:lineRule="auto"/>
        <w:jc w:val="both"/>
        <w:rPr>
          <w:rFonts w:cstheme="minorHAnsi"/>
        </w:rPr>
      </w:pPr>
    </w:p>
    <w:p w14:paraId="3CE2F69F" w14:textId="77777777" w:rsidR="00A76A09" w:rsidRPr="002D77F1" w:rsidRDefault="00A76A09" w:rsidP="00A76A09">
      <w:pPr>
        <w:spacing w:after="0" w:line="240" w:lineRule="auto"/>
        <w:jc w:val="both"/>
        <w:rPr>
          <w:rFonts w:cstheme="minorHAnsi"/>
          <w:u w:val="single"/>
        </w:rPr>
      </w:pPr>
      <w:r w:rsidRPr="002D77F1">
        <w:rPr>
          <w:rFonts w:cstheme="minorHAnsi"/>
          <w:u w:val="single"/>
        </w:rPr>
        <w:t>National Lockdown</w:t>
      </w:r>
    </w:p>
    <w:p w14:paraId="6A1BFEB6" w14:textId="77777777" w:rsidR="00A76A09" w:rsidRPr="002D77F1" w:rsidRDefault="00A76A09" w:rsidP="00A76A09">
      <w:pPr>
        <w:spacing w:after="0" w:line="240" w:lineRule="auto"/>
        <w:jc w:val="both"/>
        <w:rPr>
          <w:rFonts w:cstheme="minorHAnsi"/>
        </w:rPr>
      </w:pPr>
      <w:r w:rsidRPr="002D77F1">
        <w:rPr>
          <w:rFonts w:cstheme="minorHAnsi"/>
        </w:rPr>
        <w:t>Should the Federal Government provide a directive that all activities are to stop (national lockdown), all permanent and part time staff (excluding casuals) that cannot work from home due to their duties (</w:t>
      </w:r>
      <w:proofErr w:type="spellStart"/>
      <w:r w:rsidRPr="002D77F1">
        <w:rPr>
          <w:rFonts w:cstheme="minorHAnsi"/>
        </w:rPr>
        <w:t>ie</w:t>
      </w:r>
      <w:proofErr w:type="spellEnd"/>
      <w:r w:rsidRPr="002D77F1">
        <w:rPr>
          <w:rFonts w:cstheme="minorHAnsi"/>
        </w:rPr>
        <w:t xml:space="preserve"> gardeners) will be stood down and paid at their ordinary rate (wage standard) for a period of up to </w:t>
      </w:r>
      <w:r>
        <w:rPr>
          <w:rFonts w:cstheme="minorHAnsi"/>
        </w:rPr>
        <w:t xml:space="preserve">two (2) </w:t>
      </w:r>
      <w:r w:rsidRPr="002D77F1">
        <w:rPr>
          <w:rFonts w:cstheme="minorHAnsi"/>
        </w:rPr>
        <w:t>weeks, after which time a review will be undertaken in relation to on–going payments.</w:t>
      </w:r>
    </w:p>
    <w:p w14:paraId="4F077ADC" w14:textId="77777777" w:rsidR="00A76A09" w:rsidRDefault="00A76A09" w:rsidP="00A76A09">
      <w:pPr>
        <w:pStyle w:val="Default"/>
        <w:jc w:val="both"/>
        <w:rPr>
          <w:rFonts w:asciiTheme="minorHAnsi" w:hAnsiTheme="minorHAnsi" w:cstheme="minorHAnsi"/>
          <w:sz w:val="22"/>
          <w:szCs w:val="22"/>
        </w:rPr>
      </w:pPr>
    </w:p>
    <w:p w14:paraId="6D013597" w14:textId="77777777" w:rsidR="00A76A09" w:rsidRPr="0033048F" w:rsidRDefault="00A76A09" w:rsidP="00A76A09">
      <w:pPr>
        <w:pStyle w:val="BodyText"/>
        <w:spacing w:after="0"/>
        <w:ind w:left="0"/>
        <w:jc w:val="both"/>
        <w:rPr>
          <w:rFonts w:asciiTheme="minorHAnsi" w:hAnsiTheme="minorHAnsi" w:cstheme="minorHAnsi"/>
          <w:u w:val="single"/>
        </w:rPr>
      </w:pPr>
      <w:r w:rsidRPr="0033048F">
        <w:rPr>
          <w:rFonts w:asciiTheme="minorHAnsi" w:hAnsiTheme="minorHAnsi" w:cstheme="minorHAnsi"/>
          <w:u w:val="single"/>
        </w:rPr>
        <w:t>General</w:t>
      </w:r>
    </w:p>
    <w:p w14:paraId="6271E2BB" w14:textId="77777777" w:rsidR="00A76A09" w:rsidRPr="002D77F1" w:rsidRDefault="00A76A09" w:rsidP="002A3889">
      <w:pPr>
        <w:pStyle w:val="BodyText"/>
        <w:numPr>
          <w:ilvl w:val="0"/>
          <w:numId w:val="424"/>
        </w:numPr>
        <w:spacing w:before="60" w:after="0"/>
        <w:ind w:left="426" w:hanging="426"/>
        <w:jc w:val="both"/>
        <w:rPr>
          <w:rFonts w:asciiTheme="minorHAnsi" w:hAnsiTheme="minorHAnsi" w:cstheme="minorHAnsi"/>
        </w:rPr>
      </w:pPr>
      <w:r w:rsidRPr="002D77F1">
        <w:rPr>
          <w:rFonts w:asciiTheme="minorHAnsi" w:hAnsiTheme="minorHAnsi" w:cstheme="minorHAnsi"/>
        </w:rPr>
        <w:t>COVID-19 Leave does not apply to casuals.</w:t>
      </w:r>
    </w:p>
    <w:p w14:paraId="461409F5" w14:textId="77777777" w:rsidR="00A76A09" w:rsidRPr="00C3751D" w:rsidRDefault="00A76A09" w:rsidP="002A3889">
      <w:pPr>
        <w:pStyle w:val="BodyText"/>
        <w:numPr>
          <w:ilvl w:val="0"/>
          <w:numId w:val="424"/>
        </w:numPr>
        <w:spacing w:after="0"/>
        <w:ind w:left="426" w:hanging="426"/>
        <w:jc w:val="both"/>
        <w:rPr>
          <w:rFonts w:asciiTheme="minorHAnsi" w:hAnsiTheme="minorHAnsi" w:cstheme="minorHAnsi"/>
        </w:rPr>
      </w:pPr>
      <w:r w:rsidRPr="002D77F1">
        <w:rPr>
          <w:rFonts w:asciiTheme="minorHAnsi" w:hAnsiTheme="minorHAnsi" w:cstheme="minorHAnsi"/>
        </w:rPr>
        <w:t xml:space="preserve">Employees who are sick </w:t>
      </w:r>
      <w:r>
        <w:rPr>
          <w:rFonts w:asciiTheme="minorHAnsi" w:hAnsiTheme="minorHAnsi" w:cstheme="minorHAnsi"/>
        </w:rPr>
        <w:t xml:space="preserve">(excluding COVID-19) </w:t>
      </w:r>
      <w:r w:rsidRPr="002D77F1">
        <w:rPr>
          <w:rFonts w:asciiTheme="minorHAnsi" w:hAnsiTheme="minorHAnsi" w:cstheme="minorHAnsi"/>
        </w:rPr>
        <w:t xml:space="preserve">can access existing personal or sick leave entitlements. </w:t>
      </w:r>
    </w:p>
    <w:p w14:paraId="09CED6AC" w14:textId="77777777" w:rsidR="00A76A09" w:rsidRPr="0033048F" w:rsidRDefault="00A76A09" w:rsidP="002A3889">
      <w:pPr>
        <w:pStyle w:val="ListParagraph"/>
        <w:widowControl w:val="0"/>
        <w:numPr>
          <w:ilvl w:val="0"/>
          <w:numId w:val="424"/>
        </w:numPr>
        <w:tabs>
          <w:tab w:val="left" w:pos="953"/>
        </w:tabs>
        <w:autoSpaceDE w:val="0"/>
        <w:autoSpaceDN w:val="0"/>
        <w:spacing w:after="0" w:line="240" w:lineRule="auto"/>
        <w:ind w:left="426" w:hanging="426"/>
        <w:jc w:val="both"/>
        <w:rPr>
          <w:rFonts w:cstheme="minorHAnsi"/>
        </w:rPr>
      </w:pPr>
      <w:r w:rsidRPr="0033048F">
        <w:rPr>
          <w:rFonts w:cstheme="minorHAnsi"/>
        </w:rPr>
        <w:t>Employees are expected to attend work or notify the employer of reasons for not attending. Employees not attending work without notification will be deemed to be on leave without pay.</w:t>
      </w:r>
    </w:p>
    <w:p w14:paraId="5F0E2FB7" w14:textId="77777777" w:rsidR="00A76A09" w:rsidRPr="002D77F1" w:rsidRDefault="00A76A09" w:rsidP="002A3889">
      <w:pPr>
        <w:pStyle w:val="BodyText"/>
        <w:numPr>
          <w:ilvl w:val="0"/>
          <w:numId w:val="424"/>
        </w:numPr>
        <w:spacing w:after="0"/>
        <w:ind w:left="426" w:right="113" w:hanging="426"/>
        <w:jc w:val="both"/>
        <w:rPr>
          <w:rFonts w:asciiTheme="minorHAnsi" w:hAnsiTheme="minorHAnsi" w:cstheme="minorHAnsi"/>
        </w:rPr>
      </w:pPr>
      <w:r w:rsidRPr="002D77F1">
        <w:rPr>
          <w:rFonts w:asciiTheme="minorHAnsi" w:hAnsiTheme="minorHAnsi" w:cstheme="minorHAnsi"/>
        </w:rPr>
        <w:t>Employees found to not have adhered to self-isolation or other requirements related to the pandemic situation may be excluded from accessing COVID-19 Leave, or be required to reimburse it to the Town if confirmed it was not used for its intended purpose</w:t>
      </w:r>
    </w:p>
    <w:p w14:paraId="3E497844" w14:textId="77777777" w:rsidR="00A76A09" w:rsidRPr="002D77F1" w:rsidRDefault="00A76A09" w:rsidP="002A3889">
      <w:pPr>
        <w:pStyle w:val="BodyText"/>
        <w:numPr>
          <w:ilvl w:val="0"/>
          <w:numId w:val="424"/>
        </w:numPr>
        <w:spacing w:after="0"/>
        <w:ind w:left="426" w:hanging="426"/>
        <w:jc w:val="both"/>
        <w:rPr>
          <w:rFonts w:asciiTheme="minorHAnsi" w:hAnsiTheme="minorHAnsi" w:cstheme="minorHAnsi"/>
        </w:rPr>
      </w:pPr>
      <w:r w:rsidRPr="002D77F1">
        <w:rPr>
          <w:rFonts w:asciiTheme="minorHAnsi" w:hAnsiTheme="minorHAnsi" w:cstheme="minorHAnsi"/>
        </w:rPr>
        <w:t>The CEO reserves the right to make the final decision on the application of the Policy.</w:t>
      </w:r>
    </w:p>
    <w:p w14:paraId="23979B0D" w14:textId="77777777" w:rsidR="00A76A09" w:rsidRDefault="00A76A09" w:rsidP="002A3889">
      <w:pPr>
        <w:pStyle w:val="BodyText"/>
        <w:numPr>
          <w:ilvl w:val="0"/>
          <w:numId w:val="424"/>
        </w:numPr>
        <w:spacing w:after="0"/>
        <w:ind w:left="426" w:right="119" w:hanging="426"/>
        <w:jc w:val="both"/>
        <w:rPr>
          <w:rFonts w:asciiTheme="minorHAnsi" w:hAnsiTheme="minorHAnsi" w:cstheme="minorHAnsi"/>
        </w:rPr>
      </w:pPr>
      <w:r w:rsidRPr="002D77F1">
        <w:rPr>
          <w:rFonts w:asciiTheme="minorHAnsi" w:hAnsiTheme="minorHAnsi" w:cstheme="minorHAnsi"/>
        </w:rPr>
        <w:t>This Policy remain in force until further notice and may be amended or ceased by the Town at any time.</w:t>
      </w:r>
    </w:p>
    <w:p w14:paraId="0A240D1B" w14:textId="489CAEEB" w:rsidR="004614B6" w:rsidRDefault="004614B6">
      <w:pPr>
        <w:rPr>
          <w:rFonts w:eastAsia="Times New Roman" w:cstheme="minorHAnsi"/>
          <w:szCs w:val="20"/>
          <w:lang w:val="en-US"/>
        </w:rPr>
      </w:pPr>
      <w:r>
        <w:rPr>
          <w:rFonts w:cstheme="minorHAnsi"/>
        </w:rPr>
        <w:br w:type="page"/>
      </w:r>
    </w:p>
    <w:p w14:paraId="3DEF5C1E" w14:textId="77777777" w:rsidR="00A76A09" w:rsidRPr="002D77F1" w:rsidRDefault="00A76A09" w:rsidP="00A76A09">
      <w:pPr>
        <w:pStyle w:val="BodyText"/>
        <w:spacing w:after="0"/>
        <w:ind w:left="0" w:right="119"/>
        <w:jc w:val="both"/>
        <w:rPr>
          <w:rFonts w:asciiTheme="minorHAnsi" w:hAnsiTheme="minorHAnsi" w:cstheme="minorHAnsi"/>
        </w:rPr>
      </w:pPr>
    </w:p>
    <w:tbl>
      <w:tblPr>
        <w:tblStyle w:val="TableGrid"/>
        <w:tblW w:w="0" w:type="auto"/>
        <w:tblInd w:w="108" w:type="dxa"/>
        <w:tblLook w:val="04A0" w:firstRow="1" w:lastRow="0" w:firstColumn="1" w:lastColumn="0" w:noHBand="0" w:noVBand="1"/>
      </w:tblPr>
      <w:tblGrid>
        <w:gridCol w:w="3082"/>
        <w:gridCol w:w="5826"/>
      </w:tblGrid>
      <w:tr w:rsidR="00A76A09" w:rsidRPr="007B69AA" w14:paraId="3991CE48" w14:textId="77777777" w:rsidTr="00140F6F">
        <w:tc>
          <w:tcPr>
            <w:tcW w:w="3082" w:type="dxa"/>
          </w:tcPr>
          <w:p w14:paraId="24176DF2" w14:textId="77777777" w:rsidR="00A76A09" w:rsidRPr="007B69AA" w:rsidRDefault="00A76A09" w:rsidP="00140F6F">
            <w:pPr>
              <w:jc w:val="both"/>
              <w:rPr>
                <w:rFonts w:cstheme="minorHAnsi"/>
                <w:b/>
                <w:lang w:val="en-US"/>
              </w:rPr>
            </w:pPr>
            <w:r w:rsidRPr="007B69AA">
              <w:rPr>
                <w:rFonts w:cstheme="minorHAnsi"/>
                <w:b/>
                <w:lang w:val="en-US"/>
              </w:rPr>
              <w:t>Responsible Directorate:</w:t>
            </w:r>
          </w:p>
        </w:tc>
        <w:tc>
          <w:tcPr>
            <w:tcW w:w="5826" w:type="dxa"/>
          </w:tcPr>
          <w:p w14:paraId="31E1AC0A" w14:textId="77777777" w:rsidR="00A76A09" w:rsidRPr="007B69AA" w:rsidRDefault="00A76A09" w:rsidP="00140F6F">
            <w:pPr>
              <w:jc w:val="both"/>
              <w:rPr>
                <w:rFonts w:cstheme="minorHAnsi"/>
                <w:lang w:val="en-US"/>
              </w:rPr>
            </w:pPr>
            <w:r>
              <w:rPr>
                <w:rFonts w:cstheme="minorHAnsi"/>
                <w:lang w:val="en-US"/>
              </w:rPr>
              <w:t>Office of the Chief Executive Officer</w:t>
            </w:r>
          </w:p>
        </w:tc>
      </w:tr>
      <w:tr w:rsidR="00A76A09" w:rsidRPr="007B69AA" w14:paraId="46E9DB7F" w14:textId="77777777" w:rsidTr="00140F6F">
        <w:tc>
          <w:tcPr>
            <w:tcW w:w="3082" w:type="dxa"/>
          </w:tcPr>
          <w:p w14:paraId="29A3610C" w14:textId="77777777" w:rsidR="00A76A09" w:rsidRPr="007B69AA" w:rsidRDefault="00A76A09" w:rsidP="00140F6F">
            <w:pPr>
              <w:jc w:val="both"/>
              <w:rPr>
                <w:rFonts w:cstheme="minorHAnsi"/>
                <w:b/>
                <w:lang w:val="en-US"/>
              </w:rPr>
            </w:pPr>
            <w:r w:rsidRPr="007B69AA">
              <w:rPr>
                <w:rFonts w:cstheme="minorHAnsi"/>
                <w:b/>
                <w:lang w:val="en-US"/>
              </w:rPr>
              <w:t>Reviewing Officer:</w:t>
            </w:r>
          </w:p>
        </w:tc>
        <w:tc>
          <w:tcPr>
            <w:tcW w:w="5826" w:type="dxa"/>
          </w:tcPr>
          <w:p w14:paraId="7BCEC85F" w14:textId="77777777" w:rsidR="00A76A09" w:rsidRPr="007B69AA" w:rsidRDefault="00A76A09" w:rsidP="00140F6F">
            <w:pPr>
              <w:jc w:val="both"/>
              <w:rPr>
                <w:rFonts w:cstheme="minorHAnsi"/>
                <w:lang w:val="en-US"/>
              </w:rPr>
            </w:pPr>
            <w:r>
              <w:rPr>
                <w:rFonts w:cstheme="minorHAnsi"/>
                <w:lang w:val="en-US"/>
              </w:rPr>
              <w:t>Chief Executive Officer</w:t>
            </w:r>
          </w:p>
        </w:tc>
      </w:tr>
      <w:tr w:rsidR="00A76A09" w:rsidRPr="007B69AA" w14:paraId="7498223B" w14:textId="77777777" w:rsidTr="00140F6F">
        <w:tc>
          <w:tcPr>
            <w:tcW w:w="3082" w:type="dxa"/>
          </w:tcPr>
          <w:p w14:paraId="14968210" w14:textId="77777777" w:rsidR="00A76A09" w:rsidRPr="007B69AA" w:rsidRDefault="00A76A09" w:rsidP="00140F6F">
            <w:pPr>
              <w:jc w:val="both"/>
              <w:rPr>
                <w:rFonts w:cstheme="minorHAnsi"/>
                <w:b/>
                <w:lang w:val="en-US"/>
              </w:rPr>
            </w:pPr>
            <w:r w:rsidRPr="007B69AA">
              <w:rPr>
                <w:rFonts w:cstheme="minorHAnsi"/>
                <w:b/>
                <w:lang w:val="en-US"/>
              </w:rPr>
              <w:t>Decision making Authority:</w:t>
            </w:r>
          </w:p>
        </w:tc>
        <w:tc>
          <w:tcPr>
            <w:tcW w:w="5826" w:type="dxa"/>
          </w:tcPr>
          <w:p w14:paraId="6D085B01" w14:textId="77777777" w:rsidR="00A76A09" w:rsidRPr="007B69AA" w:rsidRDefault="00A76A09" w:rsidP="00140F6F">
            <w:pPr>
              <w:jc w:val="both"/>
              <w:rPr>
                <w:rFonts w:cstheme="minorHAnsi"/>
                <w:lang w:val="en-US"/>
              </w:rPr>
            </w:pPr>
            <w:r w:rsidRPr="007B69AA">
              <w:rPr>
                <w:rFonts w:cstheme="minorHAnsi"/>
                <w:lang w:val="en-US"/>
              </w:rPr>
              <w:t>Council</w:t>
            </w:r>
          </w:p>
        </w:tc>
      </w:tr>
      <w:tr w:rsidR="00A76A09" w:rsidRPr="007B69AA" w14:paraId="14E304E2" w14:textId="77777777" w:rsidTr="00140F6F">
        <w:tc>
          <w:tcPr>
            <w:tcW w:w="3082" w:type="dxa"/>
          </w:tcPr>
          <w:p w14:paraId="0B662ECB" w14:textId="77777777" w:rsidR="00A76A09" w:rsidRPr="007B69AA" w:rsidRDefault="00A76A09" w:rsidP="00140F6F">
            <w:pPr>
              <w:jc w:val="both"/>
              <w:rPr>
                <w:rFonts w:cstheme="minorHAnsi"/>
                <w:b/>
                <w:lang w:val="en-US"/>
              </w:rPr>
            </w:pPr>
            <w:r w:rsidRPr="007B69AA">
              <w:rPr>
                <w:rFonts w:cstheme="minorHAnsi"/>
                <w:b/>
                <w:lang w:val="en-US"/>
              </w:rPr>
              <w:t>Policy Adopted:</w:t>
            </w:r>
          </w:p>
        </w:tc>
        <w:tc>
          <w:tcPr>
            <w:tcW w:w="5826" w:type="dxa"/>
          </w:tcPr>
          <w:p w14:paraId="6A1DD0E0" w14:textId="77777777" w:rsidR="00A76A09" w:rsidRPr="007B69AA" w:rsidRDefault="00A76A09" w:rsidP="00140F6F">
            <w:pPr>
              <w:jc w:val="both"/>
              <w:rPr>
                <w:rFonts w:cstheme="minorHAnsi"/>
                <w:lang w:val="en-US"/>
              </w:rPr>
            </w:pPr>
            <w:r>
              <w:rPr>
                <w:rFonts w:cstheme="minorHAnsi"/>
                <w:lang w:val="en-US"/>
              </w:rPr>
              <w:t>21/4/20</w:t>
            </w:r>
          </w:p>
        </w:tc>
      </w:tr>
      <w:tr w:rsidR="00A76A09" w:rsidRPr="007B69AA" w14:paraId="5EA885D4" w14:textId="77777777" w:rsidTr="00140F6F">
        <w:tc>
          <w:tcPr>
            <w:tcW w:w="3082" w:type="dxa"/>
          </w:tcPr>
          <w:p w14:paraId="643F0DF8" w14:textId="77777777" w:rsidR="00A76A09" w:rsidRPr="007B69AA" w:rsidRDefault="00A76A09" w:rsidP="00140F6F">
            <w:pPr>
              <w:jc w:val="both"/>
              <w:rPr>
                <w:rFonts w:cstheme="minorHAnsi"/>
                <w:b/>
                <w:lang w:val="en-US"/>
              </w:rPr>
            </w:pPr>
            <w:r w:rsidRPr="007B69AA">
              <w:rPr>
                <w:rFonts w:cstheme="minorHAnsi"/>
                <w:b/>
                <w:lang w:val="en-US"/>
              </w:rPr>
              <w:t>Policy Amended</w:t>
            </w:r>
            <w:r>
              <w:rPr>
                <w:rFonts w:cstheme="minorHAnsi"/>
                <w:b/>
                <w:lang w:val="en-US"/>
              </w:rPr>
              <w:t>/Reviewed</w:t>
            </w:r>
            <w:r w:rsidRPr="007B69AA">
              <w:rPr>
                <w:rFonts w:cstheme="minorHAnsi"/>
                <w:b/>
                <w:lang w:val="en-US"/>
              </w:rPr>
              <w:t>:</w:t>
            </w:r>
          </w:p>
        </w:tc>
        <w:tc>
          <w:tcPr>
            <w:tcW w:w="5826" w:type="dxa"/>
          </w:tcPr>
          <w:p w14:paraId="6207C1F4" w14:textId="77777777" w:rsidR="00A76A09" w:rsidRPr="007B69AA" w:rsidRDefault="00A76A09" w:rsidP="00140F6F">
            <w:pPr>
              <w:jc w:val="both"/>
              <w:rPr>
                <w:rFonts w:cstheme="minorHAnsi"/>
                <w:lang w:val="en-US"/>
              </w:rPr>
            </w:pPr>
            <w:r>
              <w:rPr>
                <w:rFonts w:cstheme="minorHAnsi"/>
                <w:lang w:val="en-US"/>
              </w:rPr>
              <w:t>17/8/21</w:t>
            </w:r>
          </w:p>
        </w:tc>
      </w:tr>
    </w:tbl>
    <w:p w14:paraId="02230E34" w14:textId="77777777" w:rsidR="00A76A09" w:rsidRDefault="00A76A09" w:rsidP="00A76A09">
      <w:pPr>
        <w:spacing w:after="0"/>
      </w:pPr>
    </w:p>
    <w:p w14:paraId="15E4A1DB" w14:textId="77777777" w:rsidR="00A76A09" w:rsidRDefault="00A76A09" w:rsidP="00A76A09">
      <w:pPr>
        <w:spacing w:after="0"/>
      </w:pPr>
      <w:r>
        <w:t>Attachment:</w:t>
      </w:r>
    </w:p>
    <w:p w14:paraId="7F22148A" w14:textId="77777777" w:rsidR="00A76A09" w:rsidRDefault="00A76A09" w:rsidP="00A76A09">
      <w:pPr>
        <w:spacing w:after="0"/>
      </w:pPr>
      <w:r>
        <w:t>COVID 19 Leave Procedures</w:t>
      </w:r>
    </w:p>
    <w:p w14:paraId="597AFC00" w14:textId="77777777" w:rsidR="00A76A09" w:rsidRDefault="00A76A09" w:rsidP="00A76A09">
      <w:pPr>
        <w:spacing w:after="160" w:line="259" w:lineRule="auto"/>
      </w:pPr>
      <w:r>
        <w:br w:type="page"/>
      </w:r>
    </w:p>
    <w:p w14:paraId="5E226E3B" w14:textId="77777777" w:rsidR="00A76A09" w:rsidRDefault="00A76A09" w:rsidP="00A76A09">
      <w:pPr>
        <w:pStyle w:val="BodyText"/>
        <w:ind w:left="7368"/>
        <w:rPr>
          <w:sz w:val="20"/>
        </w:rPr>
      </w:pPr>
      <w:r w:rsidRPr="002772F8">
        <w:rPr>
          <w:noProof/>
          <w:sz w:val="20"/>
        </w:rPr>
        <w:lastRenderedPageBreak/>
        <w:drawing>
          <wp:inline distT="0" distB="0" distL="0" distR="0" wp14:anchorId="6AFDE288" wp14:editId="28E86CC6">
            <wp:extent cx="1104900" cy="466725"/>
            <wp:effectExtent l="0" t="0" r="0" b="9525"/>
            <wp:docPr id="463" name="Picture 463"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descr="Y:\Office of CEO\CEO Admin\WORDDOCS\Logo\Town of East Fremantle_Logo_Landscape_Colour [HIGHRES].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04900" cy="466725"/>
                    </a:xfrm>
                    <a:prstGeom prst="rect">
                      <a:avLst/>
                    </a:prstGeom>
                    <a:noFill/>
                    <a:ln>
                      <a:noFill/>
                    </a:ln>
                  </pic:spPr>
                </pic:pic>
              </a:graphicData>
            </a:graphic>
          </wp:inline>
        </w:drawing>
      </w:r>
    </w:p>
    <w:p w14:paraId="69EBAC4A" w14:textId="77777777" w:rsidR="00A76A09" w:rsidRPr="002772F8" w:rsidRDefault="00A76A09" w:rsidP="00A76A09">
      <w:pPr>
        <w:spacing w:after="0"/>
        <w:jc w:val="center"/>
        <w:rPr>
          <w:rFonts w:cstheme="minorHAnsi"/>
          <w:b/>
          <w:bCs/>
        </w:rPr>
      </w:pPr>
      <w:r>
        <w:rPr>
          <w:rFonts w:cstheme="minorHAnsi"/>
          <w:b/>
          <w:bCs/>
        </w:rPr>
        <w:t>COVID 19 LEAVE</w:t>
      </w:r>
      <w:r w:rsidRPr="002772F8">
        <w:rPr>
          <w:rFonts w:cstheme="minorHAnsi"/>
          <w:b/>
          <w:bCs/>
          <w:spacing w:val="-6"/>
        </w:rPr>
        <w:t xml:space="preserve"> </w:t>
      </w:r>
      <w:r w:rsidRPr="002772F8">
        <w:rPr>
          <w:rFonts w:cstheme="minorHAnsi"/>
          <w:b/>
          <w:bCs/>
        </w:rPr>
        <w:t>PROCEDURES</w:t>
      </w:r>
      <w:r w:rsidRPr="002772F8">
        <w:rPr>
          <w:rFonts w:cstheme="minorHAnsi"/>
          <w:b/>
          <w:bCs/>
          <w:spacing w:val="-3"/>
        </w:rPr>
        <w:t xml:space="preserve"> </w:t>
      </w:r>
      <w:r w:rsidRPr="002772F8">
        <w:rPr>
          <w:rFonts w:cstheme="minorHAnsi"/>
          <w:b/>
          <w:bCs/>
        </w:rPr>
        <w:t>(PRO</w:t>
      </w:r>
      <w:r>
        <w:rPr>
          <w:rFonts w:cstheme="minorHAnsi"/>
          <w:b/>
          <w:bCs/>
        </w:rPr>
        <w:t>1.2</w:t>
      </w:r>
      <w:r w:rsidRPr="002772F8">
        <w:rPr>
          <w:rFonts w:cstheme="minorHAnsi"/>
          <w:b/>
          <w:bCs/>
        </w:rPr>
        <w:t>.</w:t>
      </w:r>
      <w:r>
        <w:rPr>
          <w:rFonts w:cstheme="minorHAnsi"/>
          <w:b/>
          <w:bCs/>
        </w:rPr>
        <w:t>7</w:t>
      </w:r>
      <w:r w:rsidRPr="002772F8">
        <w:rPr>
          <w:rFonts w:cstheme="minorHAnsi"/>
          <w:b/>
          <w:bCs/>
        </w:rPr>
        <w:t>)</w:t>
      </w:r>
    </w:p>
    <w:p w14:paraId="113D9171" w14:textId="77777777" w:rsidR="00A76A09" w:rsidRDefault="00A76A09" w:rsidP="00A76A09">
      <w:pPr>
        <w:pStyle w:val="BodyText"/>
        <w:spacing w:after="0"/>
        <w:ind w:left="0"/>
        <w:jc w:val="both"/>
        <w:rPr>
          <w:rFonts w:asciiTheme="minorHAnsi" w:hAnsiTheme="minorHAnsi"/>
          <w:szCs w:val="22"/>
        </w:rPr>
      </w:pPr>
    </w:p>
    <w:p w14:paraId="02014783" w14:textId="77777777" w:rsidR="00A76A09" w:rsidRPr="002772F8" w:rsidRDefault="00A76A09" w:rsidP="00A76A09">
      <w:pPr>
        <w:pStyle w:val="BodyText"/>
        <w:spacing w:after="0"/>
        <w:ind w:left="0"/>
        <w:jc w:val="both"/>
        <w:rPr>
          <w:rFonts w:asciiTheme="minorHAnsi" w:hAnsiTheme="minorHAnsi"/>
          <w:bCs/>
          <w:szCs w:val="22"/>
        </w:rPr>
      </w:pPr>
      <w:r w:rsidRPr="002772F8">
        <w:rPr>
          <w:rFonts w:asciiTheme="minorHAnsi" w:hAnsiTheme="minorHAnsi"/>
          <w:szCs w:val="22"/>
        </w:rPr>
        <w:t>This procedure outlines the process to be undertaken when applying for COVID-19 Leave in line with our policy.</w:t>
      </w:r>
    </w:p>
    <w:p w14:paraId="06212D8E" w14:textId="77777777" w:rsidR="00A76A09" w:rsidRPr="002772F8" w:rsidRDefault="00A76A09" w:rsidP="00A76A09">
      <w:pPr>
        <w:pStyle w:val="BodyText"/>
        <w:spacing w:after="0"/>
        <w:ind w:left="0"/>
        <w:jc w:val="both"/>
        <w:rPr>
          <w:rFonts w:asciiTheme="minorHAnsi" w:hAnsiTheme="minorHAnsi"/>
          <w:b/>
          <w:szCs w:val="22"/>
        </w:rPr>
      </w:pPr>
    </w:p>
    <w:p w14:paraId="41DD6692"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t xml:space="preserve">COVID-19 Leave is not accruable and is only available after an employee’s existing paid Personal Leave has been exhausted. </w:t>
      </w:r>
    </w:p>
    <w:p w14:paraId="65B4D288" w14:textId="77777777" w:rsidR="00A76A09" w:rsidRPr="002772F8" w:rsidRDefault="00A76A09" w:rsidP="00A76A09">
      <w:pPr>
        <w:pStyle w:val="Default"/>
        <w:jc w:val="both"/>
        <w:rPr>
          <w:rFonts w:asciiTheme="minorHAnsi" w:hAnsiTheme="minorHAnsi"/>
          <w:sz w:val="22"/>
          <w:szCs w:val="22"/>
        </w:rPr>
      </w:pPr>
    </w:p>
    <w:p w14:paraId="64FDA4B7"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t xml:space="preserve">The Town may grant up to two weeks of paid COVID-19 Leave to employees who provide evidence that: </w:t>
      </w:r>
    </w:p>
    <w:p w14:paraId="71A4DD3D" w14:textId="77777777" w:rsidR="00A76A09" w:rsidRPr="002772F8" w:rsidRDefault="00A76A09" w:rsidP="00303E96">
      <w:pPr>
        <w:pStyle w:val="Default"/>
        <w:numPr>
          <w:ilvl w:val="0"/>
          <w:numId w:val="481"/>
        </w:numPr>
        <w:jc w:val="both"/>
        <w:rPr>
          <w:rFonts w:asciiTheme="minorHAnsi" w:hAnsiTheme="minorHAnsi"/>
          <w:sz w:val="22"/>
          <w:szCs w:val="22"/>
        </w:rPr>
      </w:pPr>
      <w:r w:rsidRPr="002772F8">
        <w:rPr>
          <w:rFonts w:asciiTheme="minorHAnsi" w:hAnsiTheme="minorHAnsi"/>
          <w:sz w:val="22"/>
          <w:szCs w:val="22"/>
        </w:rPr>
        <w:t xml:space="preserve">they have tested positive to COVID-19; or </w:t>
      </w:r>
    </w:p>
    <w:p w14:paraId="5CC8686A" w14:textId="77777777" w:rsidR="00A76A09" w:rsidRPr="002772F8" w:rsidRDefault="00A76A09" w:rsidP="00303E96">
      <w:pPr>
        <w:pStyle w:val="Default"/>
        <w:numPr>
          <w:ilvl w:val="0"/>
          <w:numId w:val="481"/>
        </w:numPr>
        <w:jc w:val="both"/>
        <w:rPr>
          <w:rFonts w:asciiTheme="minorHAnsi" w:hAnsiTheme="minorHAnsi"/>
          <w:sz w:val="22"/>
          <w:szCs w:val="22"/>
        </w:rPr>
      </w:pPr>
      <w:r w:rsidRPr="002772F8">
        <w:rPr>
          <w:rFonts w:asciiTheme="minorHAnsi" w:hAnsiTheme="minorHAnsi"/>
          <w:sz w:val="22"/>
          <w:szCs w:val="22"/>
        </w:rPr>
        <w:t>they are required to self-isolate based on an Australian Government or Health Department directive due to COVID-</w:t>
      </w:r>
      <w:proofErr w:type="gramStart"/>
      <w:r w:rsidRPr="002772F8">
        <w:rPr>
          <w:rFonts w:asciiTheme="minorHAnsi" w:hAnsiTheme="minorHAnsi"/>
          <w:sz w:val="22"/>
          <w:szCs w:val="22"/>
        </w:rPr>
        <w:t>19;</w:t>
      </w:r>
      <w:proofErr w:type="gramEnd"/>
      <w:r w:rsidRPr="002772F8">
        <w:rPr>
          <w:rFonts w:asciiTheme="minorHAnsi" w:hAnsiTheme="minorHAnsi"/>
          <w:sz w:val="22"/>
          <w:szCs w:val="22"/>
        </w:rPr>
        <w:t xml:space="preserve"> </w:t>
      </w:r>
    </w:p>
    <w:p w14:paraId="0F5AA312" w14:textId="77777777" w:rsidR="00A76A09" w:rsidRPr="002772F8" w:rsidRDefault="00A76A09" w:rsidP="00303E96">
      <w:pPr>
        <w:pStyle w:val="Default"/>
        <w:numPr>
          <w:ilvl w:val="0"/>
          <w:numId w:val="481"/>
        </w:numPr>
        <w:jc w:val="both"/>
        <w:rPr>
          <w:rFonts w:asciiTheme="minorHAnsi" w:hAnsiTheme="minorHAnsi"/>
          <w:sz w:val="22"/>
          <w:szCs w:val="22"/>
        </w:rPr>
      </w:pPr>
      <w:r w:rsidRPr="002772F8">
        <w:rPr>
          <w:rFonts w:asciiTheme="minorHAnsi" w:hAnsiTheme="minorHAnsi"/>
          <w:sz w:val="22"/>
          <w:szCs w:val="22"/>
        </w:rPr>
        <w:t xml:space="preserve">or they are required to be the primary care giver (establishing the type of care giver role to be undertaken) for another person who has COVID-19 or is required to self-isolate and is a dependent of the </w:t>
      </w:r>
      <w:proofErr w:type="gramStart"/>
      <w:r w:rsidRPr="002772F8">
        <w:rPr>
          <w:rFonts w:asciiTheme="minorHAnsi" w:hAnsiTheme="minorHAnsi"/>
          <w:sz w:val="22"/>
          <w:szCs w:val="22"/>
        </w:rPr>
        <w:t>employee;</w:t>
      </w:r>
      <w:proofErr w:type="gramEnd"/>
      <w:r w:rsidRPr="002772F8">
        <w:rPr>
          <w:rFonts w:asciiTheme="minorHAnsi" w:hAnsiTheme="minorHAnsi"/>
          <w:sz w:val="22"/>
          <w:szCs w:val="22"/>
        </w:rPr>
        <w:t xml:space="preserve"> </w:t>
      </w:r>
    </w:p>
    <w:p w14:paraId="232EA6FB" w14:textId="77777777" w:rsidR="00A76A09" w:rsidRPr="002772F8" w:rsidRDefault="00A76A09" w:rsidP="00303E96">
      <w:pPr>
        <w:pStyle w:val="Default"/>
        <w:numPr>
          <w:ilvl w:val="0"/>
          <w:numId w:val="481"/>
        </w:numPr>
        <w:jc w:val="both"/>
        <w:rPr>
          <w:rFonts w:asciiTheme="minorHAnsi" w:hAnsiTheme="minorHAnsi"/>
          <w:sz w:val="22"/>
          <w:szCs w:val="22"/>
        </w:rPr>
      </w:pPr>
      <w:r w:rsidRPr="002772F8">
        <w:rPr>
          <w:rFonts w:asciiTheme="minorHAnsi" w:hAnsiTheme="minorHAnsi"/>
          <w:sz w:val="22"/>
          <w:szCs w:val="22"/>
        </w:rPr>
        <w:t xml:space="preserve">cannot access school or other care arrangements because of COVID-19; or </w:t>
      </w:r>
    </w:p>
    <w:p w14:paraId="4FC8C2ED" w14:textId="77777777" w:rsidR="00A76A09" w:rsidRPr="002772F8" w:rsidRDefault="00A76A09" w:rsidP="00303E96">
      <w:pPr>
        <w:pStyle w:val="Default"/>
        <w:numPr>
          <w:ilvl w:val="0"/>
          <w:numId w:val="481"/>
        </w:numPr>
        <w:jc w:val="both"/>
        <w:rPr>
          <w:rFonts w:asciiTheme="minorHAnsi" w:hAnsiTheme="minorHAnsi"/>
          <w:sz w:val="22"/>
          <w:szCs w:val="22"/>
        </w:rPr>
      </w:pPr>
      <w:r w:rsidRPr="002772F8">
        <w:rPr>
          <w:rFonts w:asciiTheme="minorHAnsi" w:hAnsiTheme="minorHAnsi"/>
          <w:sz w:val="22"/>
          <w:szCs w:val="22"/>
        </w:rPr>
        <w:t xml:space="preserve">as otherwise approved by the CEO based on extenuating circumstances. </w:t>
      </w:r>
    </w:p>
    <w:p w14:paraId="63EACC79" w14:textId="77777777" w:rsidR="00A76A09" w:rsidRPr="002772F8" w:rsidRDefault="00A76A09" w:rsidP="00A76A09">
      <w:pPr>
        <w:pStyle w:val="Default"/>
        <w:jc w:val="both"/>
        <w:rPr>
          <w:rFonts w:asciiTheme="minorHAnsi" w:hAnsiTheme="minorHAnsi"/>
          <w:sz w:val="22"/>
          <w:szCs w:val="22"/>
        </w:rPr>
      </w:pPr>
    </w:p>
    <w:p w14:paraId="41B317A5" w14:textId="77777777" w:rsidR="00A76A09" w:rsidRPr="002772F8" w:rsidRDefault="00A76A09" w:rsidP="00A76A09">
      <w:pPr>
        <w:pStyle w:val="BodyText"/>
        <w:spacing w:after="0"/>
        <w:ind w:left="0"/>
        <w:jc w:val="both"/>
        <w:rPr>
          <w:rFonts w:asciiTheme="minorHAnsi" w:hAnsiTheme="minorHAnsi"/>
          <w:b/>
          <w:szCs w:val="22"/>
        </w:rPr>
      </w:pPr>
      <w:r w:rsidRPr="002772F8">
        <w:rPr>
          <w:rFonts w:asciiTheme="minorHAnsi" w:hAnsiTheme="minorHAnsi"/>
          <w:szCs w:val="22"/>
        </w:rPr>
        <w:t xml:space="preserve">COVID-19 Leave may be taken in more than one period but cannot exceed two weeks paid in total in a </w:t>
      </w:r>
      <w:proofErr w:type="gramStart"/>
      <w:r w:rsidRPr="002772F8">
        <w:rPr>
          <w:rFonts w:asciiTheme="minorHAnsi" w:hAnsiTheme="minorHAnsi"/>
          <w:szCs w:val="22"/>
        </w:rPr>
        <w:t>12 month</w:t>
      </w:r>
      <w:proofErr w:type="gramEnd"/>
      <w:r w:rsidRPr="002772F8">
        <w:rPr>
          <w:rFonts w:asciiTheme="minorHAnsi" w:hAnsiTheme="minorHAnsi"/>
          <w:szCs w:val="22"/>
        </w:rPr>
        <w:t xml:space="preserve"> period.</w:t>
      </w:r>
    </w:p>
    <w:p w14:paraId="0E9EFF0B" w14:textId="77777777" w:rsidR="00A76A09" w:rsidRPr="002772F8" w:rsidRDefault="00A76A09" w:rsidP="00A76A09">
      <w:pPr>
        <w:pStyle w:val="BodyText"/>
        <w:spacing w:after="0"/>
        <w:ind w:left="0"/>
        <w:jc w:val="both"/>
        <w:rPr>
          <w:rFonts w:asciiTheme="minorHAnsi" w:hAnsiTheme="minorHAnsi"/>
          <w:b/>
          <w:szCs w:val="22"/>
        </w:rPr>
      </w:pPr>
    </w:p>
    <w:p w14:paraId="04AB0445" w14:textId="77777777" w:rsidR="00A76A09" w:rsidRPr="002772F8" w:rsidRDefault="00A76A09" w:rsidP="00A76A09">
      <w:pPr>
        <w:pStyle w:val="BodyText"/>
        <w:spacing w:after="0"/>
        <w:ind w:left="0"/>
        <w:jc w:val="both"/>
        <w:rPr>
          <w:rFonts w:asciiTheme="minorHAnsi" w:hAnsiTheme="minorHAnsi"/>
          <w:b/>
          <w:szCs w:val="22"/>
        </w:rPr>
      </w:pPr>
      <w:r w:rsidRPr="002772F8">
        <w:rPr>
          <w:rFonts w:asciiTheme="minorHAnsi" w:hAnsiTheme="minorHAnsi"/>
          <w:b/>
          <w:szCs w:val="22"/>
        </w:rPr>
        <w:t>CALCULATION FOR PAYMENT</w:t>
      </w:r>
    </w:p>
    <w:p w14:paraId="2FCF722E" w14:textId="77777777" w:rsidR="00A76A09" w:rsidRPr="002772F8" w:rsidRDefault="00A76A09" w:rsidP="00A76A09">
      <w:pPr>
        <w:pStyle w:val="BodyText"/>
        <w:spacing w:after="0"/>
        <w:ind w:left="0"/>
        <w:jc w:val="both"/>
        <w:rPr>
          <w:rFonts w:asciiTheme="minorHAnsi" w:hAnsiTheme="minorHAnsi"/>
          <w:szCs w:val="22"/>
        </w:rPr>
      </w:pPr>
      <w:r w:rsidRPr="002772F8">
        <w:rPr>
          <w:rFonts w:asciiTheme="minorHAnsi" w:hAnsiTheme="minorHAnsi"/>
          <w:szCs w:val="22"/>
        </w:rPr>
        <w:t>COVID-19 Leave will be calculated based upon the employees’ contracted ordinary hours in a two week pay period in their substantive position, excluding any additional penalties, rates, allowances, overtime, etc.</w:t>
      </w:r>
    </w:p>
    <w:p w14:paraId="445C2182" w14:textId="77777777" w:rsidR="00A76A09" w:rsidRPr="002772F8" w:rsidRDefault="00A76A09" w:rsidP="00A76A09">
      <w:pPr>
        <w:pStyle w:val="BodyText"/>
        <w:tabs>
          <w:tab w:val="num" w:pos="1400"/>
        </w:tabs>
        <w:spacing w:after="0"/>
        <w:ind w:left="0"/>
        <w:jc w:val="both"/>
        <w:rPr>
          <w:rFonts w:asciiTheme="minorHAnsi" w:hAnsiTheme="minorHAnsi"/>
          <w:szCs w:val="22"/>
        </w:rPr>
      </w:pPr>
    </w:p>
    <w:p w14:paraId="1D7E470E" w14:textId="77777777" w:rsidR="00A76A09" w:rsidRPr="002772F8" w:rsidRDefault="00A76A09" w:rsidP="00A76A09">
      <w:pPr>
        <w:pStyle w:val="BodyText"/>
        <w:spacing w:after="0"/>
        <w:ind w:left="0"/>
        <w:jc w:val="both"/>
        <w:rPr>
          <w:rFonts w:asciiTheme="minorHAnsi" w:hAnsiTheme="minorHAnsi"/>
          <w:b/>
          <w:szCs w:val="22"/>
        </w:rPr>
      </w:pPr>
      <w:r w:rsidRPr="002772F8">
        <w:rPr>
          <w:rFonts w:asciiTheme="minorHAnsi" w:hAnsiTheme="minorHAnsi"/>
          <w:b/>
          <w:szCs w:val="22"/>
        </w:rPr>
        <w:t>EVIDENCE TO SUPPORT CLAIM</w:t>
      </w:r>
    </w:p>
    <w:p w14:paraId="10789ADD"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t xml:space="preserve">Evidence to support a claim for COVID-19 Leave includes medical evidence and/or a Statutory Declaration confirming the requirements for COVID-19 Leave to be used. </w:t>
      </w:r>
    </w:p>
    <w:p w14:paraId="7DD9BB4A" w14:textId="77777777" w:rsidR="00A76A09" w:rsidRPr="002772F8" w:rsidRDefault="00A76A09" w:rsidP="00A76A09">
      <w:pPr>
        <w:pStyle w:val="BodyText"/>
        <w:spacing w:after="0"/>
        <w:jc w:val="both"/>
        <w:rPr>
          <w:rFonts w:asciiTheme="minorHAnsi" w:hAnsiTheme="minorHAnsi"/>
          <w:szCs w:val="22"/>
        </w:rPr>
      </w:pPr>
    </w:p>
    <w:p w14:paraId="24F31021" w14:textId="77777777" w:rsidR="00A76A09" w:rsidRPr="002772F8" w:rsidRDefault="00A76A09" w:rsidP="00A76A09">
      <w:pPr>
        <w:pStyle w:val="BodyText"/>
        <w:spacing w:after="0"/>
        <w:ind w:left="0"/>
        <w:jc w:val="both"/>
        <w:rPr>
          <w:rFonts w:asciiTheme="minorHAnsi" w:hAnsiTheme="minorHAnsi"/>
          <w:szCs w:val="22"/>
        </w:rPr>
      </w:pPr>
      <w:r w:rsidRPr="002772F8">
        <w:rPr>
          <w:rFonts w:asciiTheme="minorHAnsi" w:hAnsiTheme="minorHAnsi"/>
          <w:szCs w:val="22"/>
        </w:rPr>
        <w:t>In situations concerned with being the primary care giver, employees may be asked to provide a documented explanation of the circumstances along with other evidence.</w:t>
      </w:r>
    </w:p>
    <w:p w14:paraId="1BBE7A69" w14:textId="77777777" w:rsidR="00A76A09" w:rsidRPr="002772F8" w:rsidRDefault="00A76A09" w:rsidP="00A76A09">
      <w:pPr>
        <w:pStyle w:val="BodyText"/>
        <w:spacing w:after="0"/>
        <w:ind w:left="0"/>
        <w:jc w:val="both"/>
        <w:rPr>
          <w:rFonts w:asciiTheme="minorHAnsi" w:hAnsiTheme="minorHAnsi"/>
          <w:b/>
          <w:szCs w:val="22"/>
        </w:rPr>
      </w:pPr>
    </w:p>
    <w:p w14:paraId="756ADF5D" w14:textId="77777777" w:rsidR="00A76A09" w:rsidRPr="002772F8" w:rsidRDefault="00A76A09" w:rsidP="00A76A09">
      <w:pPr>
        <w:pStyle w:val="BodyText"/>
        <w:spacing w:after="0"/>
        <w:ind w:left="0"/>
        <w:jc w:val="both"/>
        <w:rPr>
          <w:rFonts w:asciiTheme="minorHAnsi" w:hAnsiTheme="minorHAnsi"/>
          <w:b/>
          <w:szCs w:val="22"/>
        </w:rPr>
      </w:pPr>
      <w:r w:rsidRPr="002772F8">
        <w:rPr>
          <w:rFonts w:asciiTheme="minorHAnsi" w:hAnsiTheme="minorHAnsi"/>
          <w:b/>
          <w:szCs w:val="22"/>
        </w:rPr>
        <w:t>HOW TO APPLY FOR COVID-19 LEAVE</w:t>
      </w:r>
    </w:p>
    <w:p w14:paraId="2007EF18" w14:textId="77777777" w:rsidR="00A76A09" w:rsidRPr="002772F8" w:rsidRDefault="00A76A09" w:rsidP="00A76A09">
      <w:pPr>
        <w:pStyle w:val="BodyText"/>
        <w:spacing w:after="0"/>
        <w:ind w:left="0"/>
        <w:jc w:val="both"/>
        <w:rPr>
          <w:rFonts w:asciiTheme="minorHAnsi" w:hAnsiTheme="minorHAnsi"/>
          <w:bCs/>
          <w:szCs w:val="22"/>
        </w:rPr>
      </w:pPr>
      <w:r w:rsidRPr="002772F8">
        <w:rPr>
          <w:rFonts w:asciiTheme="minorHAnsi" w:hAnsiTheme="minorHAnsi"/>
          <w:bCs/>
          <w:szCs w:val="22"/>
        </w:rPr>
        <w:t xml:space="preserve">Submit an application in </w:t>
      </w:r>
      <w:proofErr w:type="spellStart"/>
      <w:r w:rsidRPr="002772F8">
        <w:rPr>
          <w:rFonts w:asciiTheme="minorHAnsi" w:hAnsiTheme="minorHAnsi"/>
          <w:bCs/>
          <w:szCs w:val="22"/>
        </w:rPr>
        <w:t>Definitiv</w:t>
      </w:r>
      <w:proofErr w:type="spellEnd"/>
      <w:r w:rsidRPr="002772F8">
        <w:rPr>
          <w:rFonts w:asciiTheme="minorHAnsi" w:hAnsiTheme="minorHAnsi"/>
          <w:bCs/>
          <w:szCs w:val="22"/>
        </w:rPr>
        <w:t xml:space="preserve"> selecting “Other” as Leave Type, then under Leave Reason </w:t>
      </w:r>
      <w:proofErr w:type="gramStart"/>
      <w:r w:rsidRPr="002772F8">
        <w:rPr>
          <w:rFonts w:asciiTheme="minorHAnsi" w:hAnsiTheme="minorHAnsi"/>
          <w:bCs/>
          <w:szCs w:val="22"/>
        </w:rPr>
        <w:t>select  COVID</w:t>
      </w:r>
      <w:proofErr w:type="gramEnd"/>
      <w:r w:rsidRPr="002772F8">
        <w:rPr>
          <w:rFonts w:asciiTheme="minorHAnsi" w:hAnsiTheme="minorHAnsi"/>
          <w:bCs/>
          <w:szCs w:val="22"/>
        </w:rPr>
        <w:t xml:space="preserve"> Leave, upload evidence documents to support claim.</w:t>
      </w:r>
    </w:p>
    <w:p w14:paraId="6B6C2C61" w14:textId="77777777" w:rsidR="00A76A09" w:rsidRPr="002772F8" w:rsidRDefault="00A76A09" w:rsidP="00A76A09">
      <w:pPr>
        <w:pStyle w:val="BodyText"/>
        <w:spacing w:after="0"/>
        <w:ind w:left="0"/>
        <w:jc w:val="both"/>
        <w:rPr>
          <w:rFonts w:asciiTheme="minorHAnsi" w:hAnsiTheme="minorHAnsi"/>
          <w:szCs w:val="22"/>
        </w:rPr>
      </w:pPr>
    </w:p>
    <w:p w14:paraId="2FEF7C13" w14:textId="77777777" w:rsidR="00A76A09" w:rsidRPr="002772F8" w:rsidRDefault="00A76A09" w:rsidP="00A76A09">
      <w:pPr>
        <w:pStyle w:val="BodyText"/>
        <w:spacing w:after="0"/>
        <w:ind w:left="0"/>
        <w:jc w:val="both"/>
        <w:rPr>
          <w:rFonts w:asciiTheme="minorHAnsi" w:hAnsiTheme="minorHAnsi"/>
          <w:b/>
          <w:szCs w:val="22"/>
        </w:rPr>
      </w:pPr>
      <w:r w:rsidRPr="002772F8">
        <w:rPr>
          <w:rFonts w:asciiTheme="minorHAnsi" w:hAnsiTheme="minorHAnsi"/>
          <w:b/>
          <w:szCs w:val="22"/>
        </w:rPr>
        <w:t>EMPLOYEES WITH REASONABLE CONCERN ABOUT EXPOSURE</w:t>
      </w:r>
    </w:p>
    <w:p w14:paraId="1177C20B"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t xml:space="preserve">Employees may seek not to attend work because of reasonable concern about exposure to COVID-19, even though the employee is not required </w:t>
      </w:r>
      <w:proofErr w:type="gramStart"/>
      <w:r w:rsidRPr="002772F8">
        <w:rPr>
          <w:rFonts w:asciiTheme="minorHAnsi" w:hAnsiTheme="minorHAnsi"/>
          <w:sz w:val="22"/>
          <w:szCs w:val="22"/>
        </w:rPr>
        <w:t>to</w:t>
      </w:r>
      <w:proofErr w:type="gramEnd"/>
      <w:r w:rsidRPr="002772F8">
        <w:rPr>
          <w:rFonts w:asciiTheme="minorHAnsi" w:hAnsiTheme="minorHAnsi"/>
          <w:sz w:val="22"/>
          <w:szCs w:val="22"/>
        </w:rPr>
        <w:t xml:space="preserve"> self-isolate. They may apply for the applicable leave type for this purpose (i.e. personal leave if unwell otherwise annual, long service leave or unpaid leave). </w:t>
      </w:r>
    </w:p>
    <w:p w14:paraId="3A5BCB01" w14:textId="77777777" w:rsidR="00A76A09" w:rsidRPr="002772F8" w:rsidRDefault="00A76A09" w:rsidP="00A76A09">
      <w:pPr>
        <w:pStyle w:val="Default"/>
        <w:jc w:val="both"/>
        <w:rPr>
          <w:rFonts w:asciiTheme="minorHAnsi" w:hAnsiTheme="minorHAnsi"/>
          <w:sz w:val="22"/>
          <w:szCs w:val="22"/>
        </w:rPr>
      </w:pPr>
    </w:p>
    <w:p w14:paraId="6E87C93D"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t xml:space="preserve">The Town will take a pragmatic and precautionary approach to these circumstances, informed by current information about health risks. </w:t>
      </w:r>
    </w:p>
    <w:p w14:paraId="6A402E3B"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lastRenderedPageBreak/>
        <w:t xml:space="preserve">Any employee who believes they have a reasonable concern should raise that concern with their </w:t>
      </w:r>
      <w:proofErr w:type="gramStart"/>
      <w:r w:rsidRPr="002772F8">
        <w:rPr>
          <w:rFonts w:asciiTheme="minorHAnsi" w:hAnsiTheme="minorHAnsi"/>
          <w:sz w:val="22"/>
          <w:szCs w:val="22"/>
        </w:rPr>
        <w:t>Supervisor</w:t>
      </w:r>
      <w:proofErr w:type="gramEnd"/>
      <w:r w:rsidRPr="002772F8">
        <w:rPr>
          <w:rFonts w:asciiTheme="minorHAnsi" w:hAnsiTheme="minorHAnsi"/>
          <w:sz w:val="22"/>
          <w:szCs w:val="22"/>
        </w:rPr>
        <w:t xml:space="preserve">. The Supervisor in consultation with Human Resources / WHS will determine if a reasonable concern exists based upon a risk assessment (made using information and expert guidance available at the time). </w:t>
      </w:r>
    </w:p>
    <w:p w14:paraId="3B3A7E0D" w14:textId="77777777" w:rsidR="00A76A09" w:rsidRPr="002772F8" w:rsidRDefault="00A76A09" w:rsidP="00A76A09">
      <w:pPr>
        <w:pStyle w:val="Default"/>
        <w:jc w:val="both"/>
        <w:rPr>
          <w:rFonts w:asciiTheme="minorHAnsi" w:hAnsiTheme="minorHAnsi"/>
          <w:sz w:val="22"/>
          <w:szCs w:val="22"/>
        </w:rPr>
      </w:pPr>
    </w:p>
    <w:p w14:paraId="4E0292C9"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t xml:space="preserve">Following an individual assessment of risk, the Town may decide to: </w:t>
      </w:r>
    </w:p>
    <w:p w14:paraId="53C60F98" w14:textId="77777777" w:rsidR="00A76A09" w:rsidRPr="002772F8" w:rsidRDefault="00A76A09" w:rsidP="00303E96">
      <w:pPr>
        <w:pStyle w:val="Default"/>
        <w:numPr>
          <w:ilvl w:val="0"/>
          <w:numId w:val="482"/>
        </w:numPr>
        <w:jc w:val="both"/>
        <w:rPr>
          <w:rFonts w:asciiTheme="minorHAnsi" w:hAnsiTheme="minorHAnsi"/>
          <w:sz w:val="22"/>
          <w:szCs w:val="22"/>
        </w:rPr>
      </w:pPr>
      <w:r w:rsidRPr="002772F8">
        <w:rPr>
          <w:rFonts w:asciiTheme="minorHAnsi" w:hAnsiTheme="minorHAnsi"/>
          <w:sz w:val="22"/>
          <w:szCs w:val="22"/>
        </w:rPr>
        <w:t xml:space="preserve">accommodate the employee in a different workspace or work environment </w:t>
      </w:r>
    </w:p>
    <w:p w14:paraId="70512D9B" w14:textId="77777777" w:rsidR="00A76A09" w:rsidRPr="002772F8" w:rsidRDefault="00A76A09" w:rsidP="00303E96">
      <w:pPr>
        <w:pStyle w:val="Default"/>
        <w:numPr>
          <w:ilvl w:val="0"/>
          <w:numId w:val="482"/>
        </w:numPr>
        <w:jc w:val="both"/>
        <w:rPr>
          <w:rFonts w:asciiTheme="minorHAnsi" w:hAnsiTheme="minorHAnsi"/>
          <w:sz w:val="22"/>
          <w:szCs w:val="22"/>
        </w:rPr>
      </w:pPr>
      <w:r w:rsidRPr="002772F8">
        <w:rPr>
          <w:rFonts w:asciiTheme="minorHAnsi" w:hAnsiTheme="minorHAnsi"/>
          <w:sz w:val="22"/>
          <w:szCs w:val="22"/>
        </w:rPr>
        <w:t xml:space="preserve">accommodate working from home arrangements where </w:t>
      </w:r>
      <w:proofErr w:type="gramStart"/>
      <w:r w:rsidRPr="002772F8">
        <w:rPr>
          <w:rFonts w:asciiTheme="minorHAnsi" w:hAnsiTheme="minorHAnsi"/>
          <w:sz w:val="22"/>
          <w:szCs w:val="22"/>
        </w:rPr>
        <w:t>possible;</w:t>
      </w:r>
      <w:proofErr w:type="gramEnd"/>
      <w:r w:rsidRPr="002772F8">
        <w:rPr>
          <w:rFonts w:asciiTheme="minorHAnsi" w:hAnsiTheme="minorHAnsi"/>
          <w:sz w:val="22"/>
          <w:szCs w:val="22"/>
        </w:rPr>
        <w:t xml:space="preserve"> </w:t>
      </w:r>
    </w:p>
    <w:p w14:paraId="754F8905" w14:textId="77777777" w:rsidR="00A76A09" w:rsidRPr="002772F8" w:rsidRDefault="00A76A09" w:rsidP="00303E96">
      <w:pPr>
        <w:pStyle w:val="Default"/>
        <w:numPr>
          <w:ilvl w:val="0"/>
          <w:numId w:val="482"/>
        </w:numPr>
        <w:jc w:val="both"/>
        <w:rPr>
          <w:rFonts w:asciiTheme="minorHAnsi" w:hAnsiTheme="minorHAnsi"/>
          <w:sz w:val="22"/>
          <w:szCs w:val="22"/>
        </w:rPr>
      </w:pPr>
      <w:r w:rsidRPr="002772F8">
        <w:rPr>
          <w:rFonts w:asciiTheme="minorHAnsi" w:hAnsiTheme="minorHAnsi"/>
          <w:sz w:val="22"/>
          <w:szCs w:val="22"/>
        </w:rPr>
        <w:t xml:space="preserve">allow the employee to access available Leave or COVID-19 Leave or take leave without pay. </w:t>
      </w:r>
    </w:p>
    <w:p w14:paraId="07486C72" w14:textId="77777777" w:rsidR="00A76A09" w:rsidRPr="002772F8" w:rsidRDefault="00A76A09" w:rsidP="00A76A09">
      <w:pPr>
        <w:pStyle w:val="Default"/>
        <w:jc w:val="both"/>
        <w:rPr>
          <w:rFonts w:asciiTheme="minorHAnsi" w:hAnsiTheme="minorHAnsi"/>
          <w:sz w:val="22"/>
          <w:szCs w:val="22"/>
        </w:rPr>
      </w:pPr>
    </w:p>
    <w:p w14:paraId="00750CFC" w14:textId="77777777" w:rsidR="00A76A09" w:rsidRPr="002772F8" w:rsidRDefault="00A76A09" w:rsidP="00A76A09">
      <w:pPr>
        <w:pStyle w:val="BodyText"/>
        <w:spacing w:after="0"/>
        <w:ind w:left="0"/>
        <w:jc w:val="both"/>
        <w:rPr>
          <w:rFonts w:asciiTheme="minorHAnsi" w:hAnsiTheme="minorHAnsi"/>
          <w:b/>
          <w:szCs w:val="22"/>
        </w:rPr>
      </w:pPr>
      <w:r w:rsidRPr="002772F8">
        <w:rPr>
          <w:rFonts w:asciiTheme="minorHAnsi" w:hAnsiTheme="minorHAnsi"/>
          <w:szCs w:val="22"/>
        </w:rPr>
        <w:t>The same evidence requirements for accessing COVID-19 Leave apply.</w:t>
      </w:r>
    </w:p>
    <w:p w14:paraId="257FE289" w14:textId="77777777" w:rsidR="00A76A09" w:rsidRDefault="00A76A09" w:rsidP="00A76A09">
      <w:pPr>
        <w:pStyle w:val="BodyText"/>
        <w:spacing w:after="0"/>
        <w:ind w:left="0"/>
        <w:jc w:val="both"/>
        <w:rPr>
          <w:rFonts w:asciiTheme="minorHAnsi" w:hAnsiTheme="minorHAnsi"/>
          <w:b/>
          <w:szCs w:val="22"/>
        </w:rPr>
      </w:pPr>
    </w:p>
    <w:p w14:paraId="36226415" w14:textId="77777777" w:rsidR="00A76A09" w:rsidRPr="002772F8" w:rsidRDefault="00A76A09" w:rsidP="00A76A09">
      <w:pPr>
        <w:pStyle w:val="BodyText"/>
        <w:spacing w:after="0"/>
        <w:ind w:left="0"/>
        <w:jc w:val="both"/>
        <w:rPr>
          <w:rFonts w:asciiTheme="minorHAnsi" w:hAnsiTheme="minorHAnsi"/>
          <w:b/>
          <w:szCs w:val="22"/>
        </w:rPr>
      </w:pPr>
      <w:r w:rsidRPr="002772F8">
        <w:rPr>
          <w:rFonts w:asciiTheme="minorHAnsi" w:hAnsiTheme="minorHAnsi"/>
          <w:b/>
          <w:szCs w:val="22"/>
        </w:rPr>
        <w:t>GENERAL</w:t>
      </w:r>
    </w:p>
    <w:p w14:paraId="60665574"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t xml:space="preserve">COVID-19 Leave does not apply to casuals. </w:t>
      </w:r>
    </w:p>
    <w:p w14:paraId="50E920CD" w14:textId="77777777" w:rsidR="00A76A09" w:rsidRPr="002772F8" w:rsidRDefault="00A76A09" w:rsidP="00A76A09">
      <w:pPr>
        <w:pStyle w:val="Default"/>
        <w:jc w:val="both"/>
        <w:rPr>
          <w:rFonts w:asciiTheme="minorHAnsi" w:hAnsiTheme="minorHAnsi"/>
          <w:sz w:val="22"/>
          <w:szCs w:val="22"/>
        </w:rPr>
      </w:pPr>
    </w:p>
    <w:p w14:paraId="1A9C3443"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t xml:space="preserve">There is no requirement for COVID-19 Leave to be re-credited by an employee and it does not affect an employee’s Annual or Long Service Leave entitlements. </w:t>
      </w:r>
    </w:p>
    <w:p w14:paraId="758DB55E" w14:textId="77777777" w:rsidR="00A76A09" w:rsidRPr="002772F8" w:rsidRDefault="00A76A09" w:rsidP="00A76A09">
      <w:pPr>
        <w:pStyle w:val="Default"/>
        <w:jc w:val="both"/>
        <w:rPr>
          <w:rFonts w:asciiTheme="minorHAnsi" w:hAnsiTheme="minorHAnsi"/>
          <w:sz w:val="22"/>
          <w:szCs w:val="22"/>
        </w:rPr>
      </w:pPr>
    </w:p>
    <w:p w14:paraId="5873DED8" w14:textId="77777777" w:rsidR="00A76A09" w:rsidRPr="002772F8" w:rsidRDefault="00A76A09" w:rsidP="00A76A09">
      <w:pPr>
        <w:pStyle w:val="Default"/>
        <w:jc w:val="both"/>
        <w:rPr>
          <w:rFonts w:asciiTheme="minorHAnsi" w:hAnsiTheme="minorHAnsi"/>
          <w:sz w:val="22"/>
          <w:szCs w:val="22"/>
        </w:rPr>
      </w:pPr>
      <w:r w:rsidRPr="002772F8">
        <w:rPr>
          <w:rFonts w:asciiTheme="minorHAnsi" w:hAnsiTheme="minorHAnsi"/>
          <w:sz w:val="22"/>
          <w:szCs w:val="22"/>
        </w:rPr>
        <w:t xml:space="preserve">Employees found to not have adhered to self-isolation or other requirements related to the pandemic situation may be excluded from accessing COVID-19 </w:t>
      </w:r>
      <w:proofErr w:type="gramStart"/>
      <w:r w:rsidRPr="002772F8">
        <w:rPr>
          <w:rFonts w:asciiTheme="minorHAnsi" w:hAnsiTheme="minorHAnsi"/>
          <w:sz w:val="22"/>
          <w:szCs w:val="22"/>
        </w:rPr>
        <w:t>Leave, or</w:t>
      </w:r>
      <w:proofErr w:type="gramEnd"/>
      <w:r w:rsidRPr="002772F8">
        <w:rPr>
          <w:rFonts w:asciiTheme="minorHAnsi" w:hAnsiTheme="minorHAnsi"/>
          <w:sz w:val="22"/>
          <w:szCs w:val="22"/>
        </w:rPr>
        <w:t xml:space="preserve"> be required to reimburse it to the Town if confirmed it was not used for its intended purpose.</w:t>
      </w:r>
    </w:p>
    <w:p w14:paraId="7038DC82" w14:textId="77777777" w:rsidR="00A76A09" w:rsidRPr="002772F8" w:rsidRDefault="00A76A09" w:rsidP="00A76A09">
      <w:pPr>
        <w:pStyle w:val="Default"/>
        <w:jc w:val="both"/>
        <w:rPr>
          <w:rFonts w:asciiTheme="minorHAnsi" w:hAnsiTheme="minorHAnsi"/>
          <w:sz w:val="22"/>
          <w:szCs w:val="22"/>
        </w:rPr>
      </w:pPr>
    </w:p>
    <w:p w14:paraId="50705179" w14:textId="77777777" w:rsidR="00A76A09" w:rsidRDefault="00A76A09" w:rsidP="00A76A09">
      <w:pPr>
        <w:spacing w:after="0"/>
      </w:pPr>
    </w:p>
    <w:p w14:paraId="03B6FF8C" w14:textId="7FF27EAC" w:rsidR="00930CDF" w:rsidRDefault="00930CDF" w:rsidP="00A76A09">
      <w:pPr>
        <w:pStyle w:val="Title"/>
        <w:pBdr>
          <w:bottom w:val="none" w:sz="0" w:space="0" w:color="auto"/>
        </w:pBdr>
        <w:spacing w:after="240"/>
        <w:jc w:val="right"/>
        <w:rPr>
          <w:rFonts w:cstheme="minorHAnsi"/>
          <w:lang w:val="en-US"/>
        </w:rPr>
      </w:pPr>
      <w:r>
        <w:rPr>
          <w:rFonts w:cstheme="minorHAnsi"/>
          <w:lang w:val="en-US"/>
        </w:rPr>
        <w:br w:type="page"/>
      </w:r>
    </w:p>
    <w:p w14:paraId="1E76572F" w14:textId="77777777" w:rsidR="00930CDF" w:rsidRPr="0016753D" w:rsidRDefault="00930CDF" w:rsidP="00930CDF">
      <w:pPr>
        <w:pStyle w:val="Title"/>
        <w:pBdr>
          <w:bottom w:val="none" w:sz="0" w:space="0" w:color="auto"/>
        </w:pBdr>
        <w:spacing w:before="240" w:after="240"/>
        <w:rPr>
          <w:rFonts w:ascii="Arial" w:hAnsi="Arial" w:cs="Arial"/>
          <w:b/>
          <w:sz w:val="14"/>
          <w:szCs w:val="28"/>
          <w:lang w:val="en-US"/>
        </w:rPr>
      </w:pPr>
      <w:r>
        <w:rPr>
          <w:noProof/>
          <w:lang w:eastAsia="en-AU"/>
        </w:rPr>
        <w:lastRenderedPageBreak/>
        <w:drawing>
          <wp:anchor distT="0" distB="0" distL="114300" distR="114300" simplePos="0" relativeHeight="251650048" behindDoc="1" locked="0" layoutInCell="1" allowOverlap="1" wp14:anchorId="40F369F0" wp14:editId="55340550">
            <wp:simplePos x="0" y="0"/>
            <wp:positionH relativeFrom="margin">
              <wp:align>right</wp:align>
            </wp:positionH>
            <wp:positionV relativeFrom="paragraph">
              <wp:posOffset>15875</wp:posOffset>
            </wp:positionV>
            <wp:extent cx="1744345" cy="699135"/>
            <wp:effectExtent l="0" t="0" r="8255" b="5715"/>
            <wp:wrapTight wrapText="bothSides">
              <wp:wrapPolygon edited="0">
                <wp:start x="0" y="0"/>
                <wp:lineTo x="0" y="21188"/>
                <wp:lineTo x="21466" y="21188"/>
                <wp:lineTo x="21466" y="0"/>
                <wp:lineTo x="0" y="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3CFB57D4" w14:textId="77777777" w:rsidR="00930CDF" w:rsidRDefault="00930CDF" w:rsidP="00930CDF">
      <w:pPr>
        <w:pStyle w:val="Policy3"/>
      </w:pPr>
    </w:p>
    <w:p w14:paraId="11652ADF" w14:textId="77777777" w:rsidR="00930CDF" w:rsidRDefault="00930CDF" w:rsidP="00930CDF">
      <w:pPr>
        <w:pStyle w:val="Policy3"/>
      </w:pPr>
    </w:p>
    <w:p w14:paraId="712A7218" w14:textId="77777777" w:rsidR="00930CDF" w:rsidRDefault="00930CDF" w:rsidP="00930CDF">
      <w:pPr>
        <w:pStyle w:val="Policy3"/>
      </w:pPr>
    </w:p>
    <w:p w14:paraId="0467EEB2" w14:textId="77777777" w:rsidR="00930CDF" w:rsidRPr="003F200D" w:rsidRDefault="00930CDF" w:rsidP="00930CDF">
      <w:pPr>
        <w:pStyle w:val="Policy3"/>
      </w:pPr>
      <w:bookmarkStart w:id="124" w:name="_Toc216866668"/>
      <w:r>
        <w:t>1.2.8</w:t>
      </w:r>
      <w:r w:rsidRPr="003F200D">
        <w:tab/>
      </w:r>
      <w:r>
        <w:t>Whistleblower (Public Interest Disclosure)</w:t>
      </w:r>
      <w:bookmarkEnd w:id="124"/>
    </w:p>
    <w:tbl>
      <w:tblPr>
        <w:tblStyle w:val="TableGrid"/>
        <w:tblW w:w="0" w:type="auto"/>
        <w:tblLook w:val="04A0" w:firstRow="1" w:lastRow="0" w:firstColumn="1" w:lastColumn="0" w:noHBand="0" w:noVBand="1"/>
      </w:tblPr>
      <w:tblGrid>
        <w:gridCol w:w="3022"/>
        <w:gridCol w:w="5994"/>
      </w:tblGrid>
      <w:tr w:rsidR="00930CDF" w:rsidRPr="009F1EDC" w14:paraId="1ACB7D5B" w14:textId="77777777" w:rsidTr="00492C9F">
        <w:tc>
          <w:tcPr>
            <w:tcW w:w="3022" w:type="dxa"/>
          </w:tcPr>
          <w:p w14:paraId="223CCC67" w14:textId="77777777" w:rsidR="00930CDF" w:rsidRPr="009F1EDC" w:rsidRDefault="00930CDF" w:rsidP="00492C9F">
            <w:pPr>
              <w:rPr>
                <w:rFonts w:cs="Arial"/>
                <w:b/>
                <w:lang w:val="en-US"/>
              </w:rPr>
            </w:pPr>
            <w:r w:rsidRPr="009F1EDC">
              <w:rPr>
                <w:rFonts w:cs="Arial"/>
                <w:b/>
                <w:lang w:val="en-US"/>
              </w:rPr>
              <w:t>Type:</w:t>
            </w:r>
          </w:p>
        </w:tc>
        <w:tc>
          <w:tcPr>
            <w:tcW w:w="5994" w:type="dxa"/>
          </w:tcPr>
          <w:p w14:paraId="117A4591" w14:textId="77777777" w:rsidR="00930CDF" w:rsidRPr="009F1EDC" w:rsidRDefault="00930CDF" w:rsidP="00492C9F">
            <w:pPr>
              <w:rPr>
                <w:rFonts w:cs="Arial"/>
                <w:lang w:val="en-US"/>
              </w:rPr>
            </w:pPr>
            <w:r>
              <w:rPr>
                <w:rFonts w:cs="Arial"/>
                <w:lang w:val="en-US"/>
              </w:rPr>
              <w:t>Office of the CEO – Human Resources</w:t>
            </w:r>
          </w:p>
        </w:tc>
      </w:tr>
      <w:tr w:rsidR="00930CDF" w:rsidRPr="009F1EDC" w14:paraId="297AAA7F" w14:textId="77777777" w:rsidTr="00492C9F">
        <w:tc>
          <w:tcPr>
            <w:tcW w:w="3022" w:type="dxa"/>
          </w:tcPr>
          <w:p w14:paraId="0B94CFF2" w14:textId="77777777" w:rsidR="00930CDF" w:rsidRPr="009F1EDC" w:rsidRDefault="00930CDF" w:rsidP="00492C9F">
            <w:pPr>
              <w:rPr>
                <w:rFonts w:cs="Arial"/>
                <w:b/>
                <w:lang w:val="en-US"/>
              </w:rPr>
            </w:pPr>
            <w:r w:rsidRPr="009F1EDC">
              <w:rPr>
                <w:rFonts w:cs="Arial"/>
                <w:b/>
                <w:lang w:val="en-US"/>
              </w:rPr>
              <w:t>Legislation:</w:t>
            </w:r>
          </w:p>
        </w:tc>
        <w:tc>
          <w:tcPr>
            <w:tcW w:w="5994" w:type="dxa"/>
          </w:tcPr>
          <w:p w14:paraId="66FA401E" w14:textId="77777777" w:rsidR="00930CDF" w:rsidRPr="00D20E2F" w:rsidRDefault="00930CDF" w:rsidP="00492C9F">
            <w:pPr>
              <w:rPr>
                <w:rFonts w:cstheme="minorHAnsi"/>
                <w:i/>
                <w:color w:val="010202"/>
              </w:rPr>
            </w:pPr>
            <w:r w:rsidRPr="008C3BF4">
              <w:rPr>
                <w:rFonts w:cstheme="minorHAnsi"/>
                <w:i/>
                <w:color w:val="010202"/>
              </w:rPr>
              <w:t>Public Interest Disclosure Act 2003</w:t>
            </w:r>
          </w:p>
        </w:tc>
      </w:tr>
      <w:tr w:rsidR="00930CDF" w:rsidRPr="009F1EDC" w14:paraId="3A531F59" w14:textId="77777777" w:rsidTr="00492C9F">
        <w:tc>
          <w:tcPr>
            <w:tcW w:w="3022" w:type="dxa"/>
          </w:tcPr>
          <w:p w14:paraId="61EB9DAE" w14:textId="77777777" w:rsidR="00930CDF" w:rsidRPr="009F1EDC" w:rsidRDefault="00930CDF" w:rsidP="00492C9F">
            <w:pPr>
              <w:rPr>
                <w:rFonts w:cs="Arial"/>
                <w:b/>
                <w:lang w:val="en-US"/>
              </w:rPr>
            </w:pPr>
            <w:r w:rsidRPr="009F1EDC">
              <w:rPr>
                <w:rFonts w:cs="Arial"/>
                <w:b/>
                <w:lang w:val="en-US"/>
              </w:rPr>
              <w:t>Delegation:</w:t>
            </w:r>
          </w:p>
        </w:tc>
        <w:tc>
          <w:tcPr>
            <w:tcW w:w="5994" w:type="dxa"/>
          </w:tcPr>
          <w:p w14:paraId="270D0A5B" w14:textId="77777777" w:rsidR="00930CDF" w:rsidRPr="009F1EDC" w:rsidRDefault="00930CDF" w:rsidP="00492C9F">
            <w:pPr>
              <w:rPr>
                <w:rFonts w:cs="Arial"/>
                <w:lang w:val="en-US"/>
              </w:rPr>
            </w:pPr>
          </w:p>
        </w:tc>
      </w:tr>
      <w:tr w:rsidR="00930CDF" w:rsidRPr="009F1EDC" w14:paraId="37241EB0" w14:textId="77777777" w:rsidTr="00492C9F">
        <w:tc>
          <w:tcPr>
            <w:tcW w:w="3022" w:type="dxa"/>
          </w:tcPr>
          <w:p w14:paraId="21E66E74" w14:textId="77777777" w:rsidR="00930CDF" w:rsidRPr="009F1EDC" w:rsidRDefault="00930CDF" w:rsidP="00492C9F">
            <w:pPr>
              <w:rPr>
                <w:rFonts w:cs="Arial"/>
                <w:b/>
                <w:lang w:val="en-US"/>
              </w:rPr>
            </w:pPr>
            <w:r w:rsidRPr="009F1EDC">
              <w:rPr>
                <w:rFonts w:cs="Arial"/>
                <w:b/>
                <w:lang w:val="en-US"/>
              </w:rPr>
              <w:t>Other Related Document</w:t>
            </w:r>
            <w:r>
              <w:rPr>
                <w:rFonts w:cs="Arial"/>
                <w:b/>
                <w:lang w:val="en-US"/>
              </w:rPr>
              <w:t>s</w:t>
            </w:r>
            <w:r w:rsidRPr="009F1EDC">
              <w:rPr>
                <w:rFonts w:cs="Arial"/>
                <w:b/>
                <w:lang w:val="en-US"/>
              </w:rPr>
              <w:t>:</w:t>
            </w:r>
          </w:p>
        </w:tc>
        <w:tc>
          <w:tcPr>
            <w:tcW w:w="5994" w:type="dxa"/>
          </w:tcPr>
          <w:p w14:paraId="202818CE" w14:textId="77777777" w:rsidR="00930CDF" w:rsidRDefault="00930CDF" w:rsidP="00492C9F">
            <w:pPr>
              <w:pStyle w:val="TableParagraph"/>
              <w:ind w:left="-17" w:right="406"/>
              <w:rPr>
                <w:rFonts w:asciiTheme="minorHAnsi" w:hAnsiTheme="minorHAnsi" w:cstheme="minorHAnsi"/>
                <w:color w:val="010202"/>
              </w:rPr>
            </w:pPr>
            <w:r w:rsidRPr="008C3BF4">
              <w:rPr>
                <w:rFonts w:asciiTheme="minorHAnsi" w:hAnsiTheme="minorHAnsi" w:cstheme="minorHAnsi"/>
                <w:color w:val="010202"/>
              </w:rPr>
              <w:t>Code of Conduct</w:t>
            </w:r>
            <w:r>
              <w:rPr>
                <w:rFonts w:asciiTheme="minorHAnsi" w:hAnsiTheme="minorHAnsi" w:cstheme="minorHAnsi"/>
                <w:color w:val="010202"/>
              </w:rPr>
              <w:t xml:space="preserve"> (Policy No 1.2.1)</w:t>
            </w:r>
          </w:p>
          <w:p w14:paraId="3D4C674F" w14:textId="77777777" w:rsidR="00930CDF" w:rsidRPr="00D20E2F" w:rsidRDefault="00930CDF" w:rsidP="00492C9F">
            <w:pPr>
              <w:pStyle w:val="TableParagraph"/>
              <w:ind w:left="-17" w:right="406"/>
              <w:rPr>
                <w:rFonts w:asciiTheme="minorHAnsi" w:hAnsiTheme="minorHAnsi" w:cstheme="minorHAnsi"/>
                <w:color w:val="010202"/>
              </w:rPr>
            </w:pPr>
            <w:r>
              <w:rPr>
                <w:rFonts w:asciiTheme="minorHAnsi" w:hAnsiTheme="minorHAnsi" w:cstheme="minorHAnsi"/>
                <w:color w:val="010202"/>
              </w:rPr>
              <w:t>Public Interest Disclosure Procedures</w:t>
            </w:r>
          </w:p>
        </w:tc>
      </w:tr>
    </w:tbl>
    <w:p w14:paraId="7FBA095F" w14:textId="77777777" w:rsidR="00930CDF" w:rsidRPr="009F1EDC" w:rsidRDefault="00930CDF" w:rsidP="00930CDF">
      <w:pPr>
        <w:spacing w:before="240" w:after="0"/>
        <w:rPr>
          <w:b/>
          <w:sz w:val="28"/>
          <w:szCs w:val="28"/>
          <w:lang w:val="en-US"/>
        </w:rPr>
      </w:pPr>
      <w:r w:rsidRPr="009F1EDC">
        <w:rPr>
          <w:b/>
          <w:sz w:val="28"/>
          <w:szCs w:val="28"/>
          <w:lang w:val="en-US"/>
        </w:rPr>
        <w:t>Objective</w:t>
      </w:r>
    </w:p>
    <w:p w14:paraId="1F066DA3" w14:textId="77777777" w:rsidR="00930CDF" w:rsidRDefault="00930CDF" w:rsidP="00930CDF">
      <w:pPr>
        <w:tabs>
          <w:tab w:val="left" w:pos="1080"/>
        </w:tabs>
        <w:jc w:val="both"/>
      </w:pPr>
      <w:r>
        <w:t>To encourage employees, elected members, contractors and consultants to report unlawful unethical, or undesirable conduct (“Misconduct”) that they genuinely believe has been committed by a person or persons in breach of the Town of East Fremantle’s Code of Conduct, policies or the law.</w:t>
      </w:r>
    </w:p>
    <w:p w14:paraId="54A8BDE3" w14:textId="77777777" w:rsidR="00930CDF" w:rsidRDefault="00930CDF" w:rsidP="00930CDF">
      <w:pPr>
        <w:tabs>
          <w:tab w:val="left" w:pos="1080"/>
        </w:tabs>
        <w:jc w:val="both"/>
      </w:pPr>
      <w:r>
        <w:t>To demonstrate the Town’s commitment to a fair workplace and outline the process for managing matters of Misconduct.</w:t>
      </w:r>
    </w:p>
    <w:p w14:paraId="688985BA" w14:textId="77777777" w:rsidR="00930CDF" w:rsidRDefault="00930CDF" w:rsidP="00930CDF">
      <w:pPr>
        <w:tabs>
          <w:tab w:val="left" w:pos="1080"/>
        </w:tabs>
        <w:jc w:val="both"/>
      </w:pPr>
      <w:r>
        <w:t>To protect individuals who in good faith report conduct which they reasonably believe to be Misconduct, on a confidential basis, without fear of reprisal, dismissal or discriminatory treatment.</w:t>
      </w:r>
    </w:p>
    <w:p w14:paraId="7EDC2FB8" w14:textId="77777777" w:rsidR="00930CDF" w:rsidRDefault="00930CDF" w:rsidP="00930CDF">
      <w:pPr>
        <w:tabs>
          <w:tab w:val="left" w:pos="1080"/>
        </w:tabs>
        <w:jc w:val="both"/>
      </w:pPr>
      <w:r>
        <w:t>To assist in ensuring that matters of Misconduct and/or unethical behaviour are identified and dealt with appropriately.</w:t>
      </w:r>
    </w:p>
    <w:p w14:paraId="601FAF69" w14:textId="77777777" w:rsidR="00930CDF" w:rsidRDefault="00930CDF" w:rsidP="00930CDF">
      <w:pPr>
        <w:tabs>
          <w:tab w:val="left" w:pos="1080"/>
        </w:tabs>
        <w:jc w:val="both"/>
      </w:pPr>
      <w:r>
        <w:t xml:space="preserve">To state the Town of East Fremantle’s commitment to the aims and objectives of the </w:t>
      </w:r>
      <w:r w:rsidRPr="0083081B">
        <w:rPr>
          <w:i/>
        </w:rPr>
        <w:t>Public Interest Disclosure Act 2003</w:t>
      </w:r>
      <w:r>
        <w:t>, the purpose of which is to facilitate the disclosure of information in the public interest, and to provide protection to those who make a disclosure or who are the subject of a disclosure.</w:t>
      </w:r>
    </w:p>
    <w:p w14:paraId="3A993BDE" w14:textId="77777777" w:rsidR="00930CDF" w:rsidRPr="00B35B70" w:rsidRDefault="00930CDF" w:rsidP="00930CDF">
      <w:pPr>
        <w:spacing w:before="200" w:after="0"/>
        <w:rPr>
          <w:rFonts w:cstheme="minorHAnsi"/>
        </w:rPr>
      </w:pPr>
      <w:r w:rsidRPr="009F1EDC">
        <w:rPr>
          <w:b/>
          <w:sz w:val="28"/>
          <w:szCs w:val="28"/>
          <w:lang w:val="en-US"/>
        </w:rPr>
        <w:t xml:space="preserve">Policy </w:t>
      </w:r>
    </w:p>
    <w:p w14:paraId="239A7CA1" w14:textId="77777777" w:rsidR="00930CDF" w:rsidRDefault="00930CDF" w:rsidP="00930CDF">
      <w:pPr>
        <w:tabs>
          <w:tab w:val="left" w:pos="1080"/>
        </w:tabs>
        <w:jc w:val="both"/>
      </w:pPr>
      <w:r>
        <w:t xml:space="preserve">The Town of East Fremantle (“the Town”) is committed to the aims and objectives of the </w:t>
      </w:r>
      <w:r w:rsidRPr="0083081B">
        <w:rPr>
          <w:i/>
        </w:rPr>
        <w:t>Public Interest Disclosure Act 2003</w:t>
      </w:r>
      <w:r>
        <w:t>. It recognises the value and importance of employees and others to enhance administrative and management practices, and strongly supports disclosures being made as to alleged Misconduct.</w:t>
      </w:r>
    </w:p>
    <w:p w14:paraId="78AC032D" w14:textId="77777777" w:rsidR="00930CDF" w:rsidRPr="000F654C" w:rsidRDefault="00930CDF" w:rsidP="00930CDF">
      <w:pPr>
        <w:tabs>
          <w:tab w:val="left" w:pos="1080"/>
        </w:tabs>
        <w:jc w:val="both"/>
      </w:pPr>
      <w:r w:rsidRPr="000F654C">
        <w:t>The Town will not tolerate Misconduct and has developed its Whistleblower Policy and PID Procedures to assist elected members, employees, contractors, consultants and members of the public to raise concerns through a constructive and safe process.</w:t>
      </w:r>
    </w:p>
    <w:p w14:paraId="7A02DB9E" w14:textId="77777777" w:rsidR="00930CDF" w:rsidRPr="000F654C" w:rsidRDefault="00930CDF" w:rsidP="00930CDF">
      <w:pPr>
        <w:tabs>
          <w:tab w:val="left" w:pos="1080"/>
        </w:tabs>
        <w:jc w:val="both"/>
      </w:pPr>
      <w:r w:rsidRPr="000F654C">
        <w:t>The Town will achieve this through the creation of an open working environment in which elected members, employees (whether they are full-time, part-time or casual), contractors and consultants, as well as members of the public, are able to raise concerns regarding actual or suspected Misconduct.</w:t>
      </w:r>
    </w:p>
    <w:p w14:paraId="5AB0296B" w14:textId="77777777" w:rsidR="00930CDF" w:rsidRDefault="00930CDF" w:rsidP="00930CDF">
      <w:pPr>
        <w:tabs>
          <w:tab w:val="left" w:pos="1080"/>
        </w:tabs>
        <w:jc w:val="both"/>
      </w:pPr>
      <w:r w:rsidRPr="000F654C">
        <w:lastRenderedPageBreak/>
        <w:t xml:space="preserve">The Town recognises that any genuine commitment to detecting and preventing Misconduct must include a mechanism whereby employees and others can report their concerns freely and without fear of reprisal or intimidation. The Whistleblower Policy and PID Procedure provides such a </w:t>
      </w:r>
      <w:proofErr w:type="gramStart"/>
      <w:r w:rsidRPr="000F654C">
        <w:t>mechanism, and</w:t>
      </w:r>
      <w:proofErr w:type="gramEnd"/>
      <w:r w:rsidRPr="000F654C">
        <w:t xml:space="preserve"> encourages the</w:t>
      </w:r>
      <w:r>
        <w:t xml:space="preserve"> reporting of such conduct.</w:t>
      </w:r>
    </w:p>
    <w:p w14:paraId="3331D2CD" w14:textId="77777777" w:rsidR="00930CDF" w:rsidRDefault="00930CDF" w:rsidP="00930CDF">
      <w:pPr>
        <w:tabs>
          <w:tab w:val="left" w:pos="1080"/>
        </w:tabs>
        <w:jc w:val="both"/>
      </w:pPr>
      <w:r>
        <w:t>The Town will endeavour to provide protection to “Whistleblowers” from any detrimental action in reprisal for the making of a public interest disclosure.</w:t>
      </w:r>
    </w:p>
    <w:p w14:paraId="1970CFA7" w14:textId="77777777" w:rsidR="00930CDF" w:rsidRDefault="00930CDF" w:rsidP="00930CDF">
      <w:pPr>
        <w:tabs>
          <w:tab w:val="left" w:pos="1080"/>
        </w:tabs>
        <w:jc w:val="both"/>
      </w:pPr>
      <w:r>
        <w:t>The Town’s Code of Conduct (“the Code”) requires elected members and employees to observe high standards of business and personal ethics in the conduct of their duties and responsibilities. As elected members and employees and representatives of the Town, everyone has a responsibility to practice honesty and integrity in fulfilling their responsibilities and to comply with all applicable laws and regulations.</w:t>
      </w:r>
    </w:p>
    <w:p w14:paraId="17DAF098" w14:textId="77777777" w:rsidR="00930CDF" w:rsidRDefault="00930CDF" w:rsidP="00930CDF">
      <w:pPr>
        <w:tabs>
          <w:tab w:val="left" w:pos="1080"/>
        </w:tabs>
        <w:jc w:val="both"/>
      </w:pPr>
      <w:r>
        <w:t xml:space="preserve">All information, documents, records and reports relating to the investigation of reported Misconduct will be confidentially stored and retained in an appropriate and secure manner, in accordance with the </w:t>
      </w:r>
      <w:r w:rsidRPr="007C0065">
        <w:rPr>
          <w:i/>
        </w:rPr>
        <w:t>Public Disclosure Act 2003</w:t>
      </w:r>
      <w:r>
        <w:t>.</w:t>
      </w:r>
    </w:p>
    <w:p w14:paraId="454CB02A" w14:textId="77777777" w:rsidR="00930CDF" w:rsidRDefault="00930CDF" w:rsidP="00930CDF">
      <w:pPr>
        <w:pStyle w:val="BodyText"/>
        <w:ind w:left="0"/>
        <w:rPr>
          <w:sz w:val="20"/>
        </w:rPr>
      </w:pPr>
    </w:p>
    <w:tbl>
      <w:tblPr>
        <w:tblStyle w:val="TableGrid"/>
        <w:tblW w:w="0" w:type="auto"/>
        <w:tblLook w:val="04A0" w:firstRow="1" w:lastRow="0" w:firstColumn="1" w:lastColumn="0" w:noHBand="0" w:noVBand="1"/>
      </w:tblPr>
      <w:tblGrid>
        <w:gridCol w:w="3256"/>
        <w:gridCol w:w="5760"/>
      </w:tblGrid>
      <w:tr w:rsidR="00930CDF" w:rsidRPr="009F1EDC" w14:paraId="0F807FE2" w14:textId="77777777" w:rsidTr="00492C9F">
        <w:tc>
          <w:tcPr>
            <w:tcW w:w="3256" w:type="dxa"/>
          </w:tcPr>
          <w:p w14:paraId="2A0F16E6" w14:textId="77777777" w:rsidR="00930CDF" w:rsidRPr="009F1EDC" w:rsidRDefault="00930CDF" w:rsidP="00492C9F">
            <w:pPr>
              <w:jc w:val="both"/>
              <w:rPr>
                <w:rFonts w:cs="Arial"/>
                <w:b/>
                <w:lang w:val="en-US"/>
              </w:rPr>
            </w:pPr>
            <w:r w:rsidRPr="009F1EDC">
              <w:rPr>
                <w:rFonts w:cs="Arial"/>
                <w:b/>
                <w:lang w:val="en-US"/>
              </w:rPr>
              <w:t>Responsible Directorate:</w:t>
            </w:r>
          </w:p>
        </w:tc>
        <w:tc>
          <w:tcPr>
            <w:tcW w:w="5760" w:type="dxa"/>
          </w:tcPr>
          <w:p w14:paraId="1FEE2EA7" w14:textId="77777777" w:rsidR="00930CDF" w:rsidRPr="009F1EDC" w:rsidRDefault="00930CDF" w:rsidP="00492C9F">
            <w:pPr>
              <w:jc w:val="both"/>
              <w:rPr>
                <w:rFonts w:cs="Arial"/>
                <w:lang w:val="en-US"/>
              </w:rPr>
            </w:pPr>
            <w:r>
              <w:rPr>
                <w:rFonts w:cs="Arial"/>
                <w:lang w:val="en-US"/>
              </w:rPr>
              <w:t>Office of the CEO</w:t>
            </w:r>
          </w:p>
        </w:tc>
      </w:tr>
      <w:tr w:rsidR="00930CDF" w:rsidRPr="009F1EDC" w14:paraId="5A651EE7" w14:textId="77777777" w:rsidTr="00492C9F">
        <w:tc>
          <w:tcPr>
            <w:tcW w:w="3256" w:type="dxa"/>
          </w:tcPr>
          <w:p w14:paraId="4FB6B1F4" w14:textId="77777777" w:rsidR="00930CDF" w:rsidRPr="009F1EDC" w:rsidRDefault="00930CDF" w:rsidP="00492C9F">
            <w:pPr>
              <w:jc w:val="both"/>
              <w:rPr>
                <w:rFonts w:cs="Arial"/>
                <w:b/>
                <w:lang w:val="en-US"/>
              </w:rPr>
            </w:pPr>
            <w:r w:rsidRPr="009F1EDC">
              <w:rPr>
                <w:rFonts w:cs="Arial"/>
                <w:b/>
                <w:lang w:val="en-US"/>
              </w:rPr>
              <w:t>Reviewing Officer:</w:t>
            </w:r>
          </w:p>
        </w:tc>
        <w:tc>
          <w:tcPr>
            <w:tcW w:w="5760" w:type="dxa"/>
          </w:tcPr>
          <w:p w14:paraId="2ED5C7F7" w14:textId="77777777" w:rsidR="00930CDF" w:rsidRPr="009F1EDC" w:rsidRDefault="00930CDF" w:rsidP="00492C9F">
            <w:pPr>
              <w:jc w:val="both"/>
              <w:rPr>
                <w:rFonts w:cs="Arial"/>
                <w:lang w:val="en-US"/>
              </w:rPr>
            </w:pPr>
            <w:r>
              <w:rPr>
                <w:rFonts w:cs="Arial"/>
                <w:lang w:val="en-US"/>
              </w:rPr>
              <w:t>CEO</w:t>
            </w:r>
          </w:p>
        </w:tc>
      </w:tr>
      <w:tr w:rsidR="00930CDF" w:rsidRPr="009F1EDC" w14:paraId="40BAAC4C" w14:textId="77777777" w:rsidTr="00492C9F">
        <w:tc>
          <w:tcPr>
            <w:tcW w:w="3256" w:type="dxa"/>
          </w:tcPr>
          <w:p w14:paraId="745F6B64" w14:textId="77777777" w:rsidR="00930CDF" w:rsidRPr="009F1EDC" w:rsidRDefault="00930CDF" w:rsidP="00492C9F">
            <w:pPr>
              <w:jc w:val="both"/>
              <w:rPr>
                <w:rFonts w:cs="Arial"/>
                <w:b/>
                <w:lang w:val="en-US"/>
              </w:rPr>
            </w:pPr>
            <w:r w:rsidRPr="009F1EDC">
              <w:rPr>
                <w:rFonts w:cs="Arial"/>
                <w:b/>
                <w:lang w:val="en-US"/>
              </w:rPr>
              <w:t>Decision making Authority:</w:t>
            </w:r>
          </w:p>
        </w:tc>
        <w:tc>
          <w:tcPr>
            <w:tcW w:w="5760" w:type="dxa"/>
          </w:tcPr>
          <w:p w14:paraId="0BA7D59D" w14:textId="77777777" w:rsidR="00930CDF" w:rsidRPr="009F1EDC" w:rsidRDefault="00930CDF" w:rsidP="00492C9F">
            <w:pPr>
              <w:jc w:val="both"/>
              <w:rPr>
                <w:rFonts w:cs="Arial"/>
                <w:lang w:val="en-US"/>
              </w:rPr>
            </w:pPr>
            <w:r w:rsidRPr="009F1EDC">
              <w:rPr>
                <w:rFonts w:cs="Arial"/>
                <w:lang w:val="en-US"/>
              </w:rPr>
              <w:t>Council</w:t>
            </w:r>
          </w:p>
        </w:tc>
      </w:tr>
      <w:tr w:rsidR="00930CDF" w:rsidRPr="009F1EDC" w14:paraId="170FCA95" w14:textId="77777777" w:rsidTr="00492C9F">
        <w:tc>
          <w:tcPr>
            <w:tcW w:w="3256" w:type="dxa"/>
            <w:tcBorders>
              <w:bottom w:val="single" w:sz="4" w:space="0" w:color="auto"/>
            </w:tcBorders>
          </w:tcPr>
          <w:p w14:paraId="5470A54B" w14:textId="77777777" w:rsidR="00930CDF" w:rsidRPr="009F1EDC" w:rsidRDefault="00930CDF" w:rsidP="00492C9F">
            <w:pPr>
              <w:jc w:val="both"/>
              <w:rPr>
                <w:rFonts w:cs="Arial"/>
                <w:b/>
                <w:lang w:val="en-US"/>
              </w:rPr>
            </w:pPr>
            <w:r w:rsidRPr="009F1EDC">
              <w:rPr>
                <w:rFonts w:cs="Arial"/>
                <w:b/>
                <w:lang w:val="en-US"/>
              </w:rPr>
              <w:t>Policy Adopted:</w:t>
            </w:r>
          </w:p>
        </w:tc>
        <w:tc>
          <w:tcPr>
            <w:tcW w:w="5760" w:type="dxa"/>
            <w:tcBorders>
              <w:bottom w:val="single" w:sz="4" w:space="0" w:color="auto"/>
            </w:tcBorders>
          </w:tcPr>
          <w:p w14:paraId="0082053E" w14:textId="77777777" w:rsidR="00930CDF" w:rsidRPr="009F1EDC" w:rsidRDefault="00930CDF" w:rsidP="00492C9F">
            <w:pPr>
              <w:jc w:val="both"/>
              <w:rPr>
                <w:rFonts w:cs="Arial"/>
                <w:lang w:val="en-US"/>
              </w:rPr>
            </w:pPr>
            <w:r>
              <w:rPr>
                <w:rFonts w:cs="Arial"/>
                <w:lang w:val="en-US"/>
              </w:rPr>
              <w:t>15/9/20</w:t>
            </w:r>
          </w:p>
        </w:tc>
      </w:tr>
      <w:tr w:rsidR="00930CDF" w:rsidRPr="009F1EDC" w14:paraId="7F5706BF" w14:textId="77777777" w:rsidTr="00492C9F">
        <w:tc>
          <w:tcPr>
            <w:tcW w:w="3256" w:type="dxa"/>
            <w:tcBorders>
              <w:bottom w:val="single" w:sz="4" w:space="0" w:color="auto"/>
            </w:tcBorders>
          </w:tcPr>
          <w:p w14:paraId="53DB6C4D" w14:textId="77777777" w:rsidR="00930CDF" w:rsidRPr="009F1EDC" w:rsidRDefault="00930CDF" w:rsidP="00492C9F">
            <w:pPr>
              <w:jc w:val="both"/>
              <w:rPr>
                <w:rFonts w:cs="Arial"/>
                <w:b/>
                <w:lang w:val="en-US"/>
              </w:rPr>
            </w:pPr>
            <w:r>
              <w:rPr>
                <w:rFonts w:cs="Arial"/>
                <w:b/>
                <w:lang w:val="en-US"/>
              </w:rPr>
              <w:t>Policy Amended/Reviewed:</w:t>
            </w:r>
          </w:p>
        </w:tc>
        <w:tc>
          <w:tcPr>
            <w:tcW w:w="5760" w:type="dxa"/>
            <w:tcBorders>
              <w:bottom w:val="single" w:sz="4" w:space="0" w:color="auto"/>
            </w:tcBorders>
          </w:tcPr>
          <w:p w14:paraId="23D6B7D4" w14:textId="77777777" w:rsidR="00930CDF" w:rsidRPr="009F1EDC" w:rsidRDefault="00930CDF" w:rsidP="00492C9F">
            <w:pPr>
              <w:jc w:val="both"/>
              <w:rPr>
                <w:rFonts w:cs="Arial"/>
                <w:lang w:val="en-US"/>
              </w:rPr>
            </w:pPr>
          </w:p>
        </w:tc>
      </w:tr>
    </w:tbl>
    <w:p w14:paraId="48AAB935" w14:textId="77777777" w:rsidR="00930CDF" w:rsidRDefault="00930CDF" w:rsidP="00930CDF"/>
    <w:p w14:paraId="58900EC7" w14:textId="4576BFDC" w:rsidR="0033352E" w:rsidRDefault="0033352E">
      <w:pPr>
        <w:rPr>
          <w:rFonts w:cstheme="minorHAnsi"/>
          <w:lang w:val="en-US"/>
        </w:rPr>
      </w:pPr>
      <w:r>
        <w:rPr>
          <w:rFonts w:cstheme="minorHAnsi"/>
          <w:lang w:val="en-US"/>
        </w:rPr>
        <w:br w:type="page"/>
      </w:r>
    </w:p>
    <w:p w14:paraId="4EF766C1" w14:textId="77777777" w:rsidR="0033352E" w:rsidRDefault="0033352E" w:rsidP="0033352E">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66432" behindDoc="1" locked="0" layoutInCell="1" allowOverlap="1" wp14:anchorId="20140A61" wp14:editId="3BDF01A2">
            <wp:simplePos x="0" y="0"/>
            <wp:positionH relativeFrom="column">
              <wp:posOffset>4010025</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042DD7C7" w14:textId="77777777" w:rsidR="0033352E" w:rsidRPr="0016753D" w:rsidRDefault="0033352E" w:rsidP="0033352E">
      <w:pPr>
        <w:pStyle w:val="Title"/>
        <w:pBdr>
          <w:bottom w:val="none" w:sz="0" w:space="0" w:color="auto"/>
        </w:pBdr>
        <w:spacing w:before="240" w:after="240"/>
        <w:rPr>
          <w:rFonts w:ascii="Arial" w:hAnsi="Arial" w:cs="Arial"/>
          <w:b/>
          <w:sz w:val="14"/>
          <w:szCs w:val="28"/>
          <w:lang w:val="en-US"/>
        </w:rPr>
      </w:pPr>
    </w:p>
    <w:p w14:paraId="6DBBA2B7" w14:textId="77777777" w:rsidR="0033352E" w:rsidRDefault="0033352E" w:rsidP="0033352E">
      <w:pPr>
        <w:pStyle w:val="Policy3"/>
      </w:pPr>
    </w:p>
    <w:p w14:paraId="525E33E0" w14:textId="490DE5E1" w:rsidR="0033352E" w:rsidRPr="0033352E" w:rsidRDefault="0033352E" w:rsidP="0033352E">
      <w:pPr>
        <w:pStyle w:val="Policy3"/>
        <w:rPr>
          <w:sz w:val="16"/>
          <w:szCs w:val="10"/>
        </w:rPr>
      </w:pPr>
    </w:p>
    <w:p w14:paraId="3538C14E" w14:textId="77777777" w:rsidR="0033352E" w:rsidRPr="0033352E" w:rsidRDefault="0033352E" w:rsidP="0033352E">
      <w:pPr>
        <w:pStyle w:val="Policy3"/>
        <w:rPr>
          <w:sz w:val="14"/>
          <w:szCs w:val="8"/>
        </w:rPr>
      </w:pPr>
    </w:p>
    <w:p w14:paraId="02F8F9B6" w14:textId="77777777" w:rsidR="0033352E" w:rsidRPr="003F200D" w:rsidRDefault="0033352E" w:rsidP="0033352E">
      <w:pPr>
        <w:pStyle w:val="Policy3"/>
      </w:pPr>
      <w:bookmarkStart w:id="125" w:name="_Toc216866669"/>
      <w:r>
        <w:t>1.2.9</w:t>
      </w:r>
      <w:r w:rsidRPr="003F200D">
        <w:tab/>
      </w:r>
      <w:r>
        <w:t>Appointment of Acting Chief Executive Officer</w:t>
      </w:r>
      <w:bookmarkEnd w:id="125"/>
    </w:p>
    <w:tbl>
      <w:tblPr>
        <w:tblStyle w:val="TableGrid"/>
        <w:tblW w:w="0" w:type="auto"/>
        <w:tblLook w:val="04A0" w:firstRow="1" w:lastRow="0" w:firstColumn="1" w:lastColumn="0" w:noHBand="0" w:noVBand="1"/>
      </w:tblPr>
      <w:tblGrid>
        <w:gridCol w:w="3022"/>
        <w:gridCol w:w="5994"/>
      </w:tblGrid>
      <w:tr w:rsidR="0033352E" w:rsidRPr="009F1EDC" w14:paraId="636959F4" w14:textId="77777777" w:rsidTr="007E0F07">
        <w:tc>
          <w:tcPr>
            <w:tcW w:w="3022" w:type="dxa"/>
          </w:tcPr>
          <w:p w14:paraId="24906CB9" w14:textId="77777777" w:rsidR="0033352E" w:rsidRPr="009F1EDC" w:rsidRDefault="0033352E" w:rsidP="007E0F07">
            <w:pPr>
              <w:rPr>
                <w:rFonts w:cs="Arial"/>
                <w:b/>
                <w:lang w:val="en-US"/>
              </w:rPr>
            </w:pPr>
            <w:r w:rsidRPr="009F1EDC">
              <w:rPr>
                <w:rFonts w:cs="Arial"/>
                <w:b/>
                <w:lang w:val="en-US"/>
              </w:rPr>
              <w:t>Type:</w:t>
            </w:r>
          </w:p>
        </w:tc>
        <w:tc>
          <w:tcPr>
            <w:tcW w:w="5994" w:type="dxa"/>
          </w:tcPr>
          <w:p w14:paraId="53A7B220" w14:textId="77777777" w:rsidR="0033352E" w:rsidRPr="009F1EDC" w:rsidRDefault="0033352E" w:rsidP="007E0F07">
            <w:pPr>
              <w:rPr>
                <w:rFonts w:cs="Arial"/>
                <w:lang w:val="en-US"/>
              </w:rPr>
            </w:pPr>
            <w:r>
              <w:rPr>
                <w:rFonts w:cs="Arial"/>
                <w:lang w:val="en-US"/>
              </w:rPr>
              <w:t>Office of the CEO – Human Resources</w:t>
            </w:r>
          </w:p>
        </w:tc>
      </w:tr>
      <w:tr w:rsidR="0033352E" w:rsidRPr="009F1EDC" w14:paraId="6E219D4F" w14:textId="77777777" w:rsidTr="007E0F07">
        <w:tc>
          <w:tcPr>
            <w:tcW w:w="3022" w:type="dxa"/>
          </w:tcPr>
          <w:p w14:paraId="5BACC7CC" w14:textId="77777777" w:rsidR="0033352E" w:rsidRPr="009F1EDC" w:rsidRDefault="0033352E" w:rsidP="007E0F07">
            <w:pPr>
              <w:rPr>
                <w:rFonts w:cs="Arial"/>
                <w:b/>
                <w:lang w:val="en-US"/>
              </w:rPr>
            </w:pPr>
            <w:r w:rsidRPr="009F1EDC">
              <w:rPr>
                <w:rFonts w:cs="Arial"/>
                <w:b/>
                <w:lang w:val="en-US"/>
              </w:rPr>
              <w:t>Legislation:</w:t>
            </w:r>
          </w:p>
        </w:tc>
        <w:tc>
          <w:tcPr>
            <w:tcW w:w="5994" w:type="dxa"/>
          </w:tcPr>
          <w:p w14:paraId="0E79B501" w14:textId="77777777" w:rsidR="0033352E" w:rsidRPr="00D20E2F" w:rsidRDefault="0033352E" w:rsidP="007E0F07">
            <w:pPr>
              <w:rPr>
                <w:rFonts w:cstheme="minorHAnsi"/>
                <w:i/>
                <w:color w:val="010202"/>
              </w:rPr>
            </w:pPr>
            <w:r>
              <w:rPr>
                <w:rFonts w:cstheme="minorHAnsi"/>
                <w:i/>
                <w:color w:val="010202"/>
              </w:rPr>
              <w:t>Local Government Act 1995</w:t>
            </w:r>
          </w:p>
        </w:tc>
      </w:tr>
      <w:tr w:rsidR="0033352E" w:rsidRPr="009F1EDC" w14:paraId="5DDB705C" w14:textId="77777777" w:rsidTr="007E0F07">
        <w:tc>
          <w:tcPr>
            <w:tcW w:w="3022" w:type="dxa"/>
          </w:tcPr>
          <w:p w14:paraId="1A9CD783" w14:textId="77777777" w:rsidR="0033352E" w:rsidRPr="009F1EDC" w:rsidRDefault="0033352E" w:rsidP="007E0F07">
            <w:pPr>
              <w:rPr>
                <w:rFonts w:cs="Arial"/>
                <w:b/>
                <w:lang w:val="en-US"/>
              </w:rPr>
            </w:pPr>
            <w:r w:rsidRPr="009F1EDC">
              <w:rPr>
                <w:rFonts w:cs="Arial"/>
                <w:b/>
                <w:lang w:val="en-US"/>
              </w:rPr>
              <w:t>Delegation:</w:t>
            </w:r>
          </w:p>
        </w:tc>
        <w:tc>
          <w:tcPr>
            <w:tcW w:w="5994" w:type="dxa"/>
          </w:tcPr>
          <w:p w14:paraId="0E048127" w14:textId="77777777" w:rsidR="0033352E" w:rsidRPr="009F1EDC" w:rsidRDefault="0033352E" w:rsidP="007E0F07">
            <w:pPr>
              <w:rPr>
                <w:rFonts w:cs="Arial"/>
                <w:lang w:val="en-US"/>
              </w:rPr>
            </w:pPr>
            <w:r>
              <w:rPr>
                <w:rFonts w:cs="Arial"/>
                <w:lang w:val="en-US"/>
              </w:rPr>
              <w:t>DA1 Acting Chief Executive Officer</w:t>
            </w:r>
          </w:p>
        </w:tc>
      </w:tr>
      <w:tr w:rsidR="0033352E" w:rsidRPr="009F1EDC" w14:paraId="64EA73B5" w14:textId="77777777" w:rsidTr="007E0F07">
        <w:tc>
          <w:tcPr>
            <w:tcW w:w="3022" w:type="dxa"/>
          </w:tcPr>
          <w:p w14:paraId="4672664B" w14:textId="77777777" w:rsidR="0033352E" w:rsidRPr="009F1EDC" w:rsidRDefault="0033352E" w:rsidP="007E0F07">
            <w:pPr>
              <w:rPr>
                <w:rFonts w:cs="Arial"/>
                <w:b/>
                <w:lang w:val="en-US"/>
              </w:rPr>
            </w:pPr>
            <w:r w:rsidRPr="009F1EDC">
              <w:rPr>
                <w:rFonts w:cs="Arial"/>
                <w:b/>
                <w:lang w:val="en-US"/>
              </w:rPr>
              <w:t>Other Related Document</w:t>
            </w:r>
            <w:r>
              <w:rPr>
                <w:rFonts w:cs="Arial"/>
                <w:b/>
                <w:lang w:val="en-US"/>
              </w:rPr>
              <w:t>s</w:t>
            </w:r>
            <w:r w:rsidRPr="009F1EDC">
              <w:rPr>
                <w:rFonts w:cs="Arial"/>
                <w:b/>
                <w:lang w:val="en-US"/>
              </w:rPr>
              <w:t>:</w:t>
            </w:r>
          </w:p>
        </w:tc>
        <w:tc>
          <w:tcPr>
            <w:tcW w:w="5994" w:type="dxa"/>
          </w:tcPr>
          <w:p w14:paraId="2DCB222A" w14:textId="77777777" w:rsidR="0033352E" w:rsidRPr="00D20E2F" w:rsidRDefault="0033352E" w:rsidP="007E0F07">
            <w:pPr>
              <w:pStyle w:val="TableParagraph"/>
              <w:ind w:left="-17" w:right="406"/>
              <w:rPr>
                <w:rFonts w:asciiTheme="minorHAnsi" w:hAnsiTheme="minorHAnsi" w:cstheme="minorHAnsi"/>
                <w:color w:val="010202"/>
              </w:rPr>
            </w:pPr>
            <w:r>
              <w:rPr>
                <w:rFonts w:asciiTheme="minorHAnsi" w:hAnsiTheme="minorHAnsi" w:cstheme="minorHAnsi"/>
                <w:color w:val="010202"/>
              </w:rPr>
              <w:t>Policy 1.2.2 CEO Leave Approval</w:t>
            </w:r>
          </w:p>
        </w:tc>
      </w:tr>
    </w:tbl>
    <w:p w14:paraId="1165C76A" w14:textId="77777777" w:rsidR="0033352E" w:rsidRPr="009F1EDC" w:rsidRDefault="0033352E" w:rsidP="0033352E">
      <w:pPr>
        <w:spacing w:before="240" w:after="0"/>
        <w:rPr>
          <w:b/>
          <w:sz w:val="28"/>
          <w:szCs w:val="28"/>
          <w:lang w:val="en-US"/>
        </w:rPr>
      </w:pPr>
      <w:r w:rsidRPr="009F1EDC">
        <w:rPr>
          <w:b/>
          <w:sz w:val="28"/>
          <w:szCs w:val="28"/>
          <w:lang w:val="en-US"/>
        </w:rPr>
        <w:t>Objective</w:t>
      </w:r>
    </w:p>
    <w:p w14:paraId="089FED20" w14:textId="77777777" w:rsidR="0033352E" w:rsidRPr="00CA2B31" w:rsidRDefault="0033352E" w:rsidP="0033352E">
      <w:pPr>
        <w:spacing w:line="240" w:lineRule="auto"/>
        <w:ind w:right="96"/>
        <w:jc w:val="both"/>
        <w:rPr>
          <w:rFonts w:cstheme="minorHAnsi"/>
          <w:b/>
        </w:rPr>
      </w:pPr>
      <w:r w:rsidRPr="00CA2B31">
        <w:rPr>
          <w:rFonts w:cstheme="minorHAnsi"/>
          <w:bCs/>
        </w:rPr>
        <w:t xml:space="preserve">To ensure compliance with </w:t>
      </w:r>
      <w:r w:rsidRPr="00CA2B31">
        <w:rPr>
          <w:rFonts w:cstheme="minorHAnsi"/>
          <w:bCs/>
          <w:i/>
          <w:iCs/>
        </w:rPr>
        <w:t>Local Government Act 1995 s5.39C</w:t>
      </w:r>
      <w:r w:rsidRPr="00CA2B31">
        <w:rPr>
          <w:rFonts w:cstheme="minorHAnsi"/>
          <w:bCs/>
        </w:rPr>
        <w:t xml:space="preserve"> by having a policy regarding the employment of an acting Chief Executive Officer.</w:t>
      </w:r>
    </w:p>
    <w:p w14:paraId="7A58A044" w14:textId="77777777" w:rsidR="0033352E" w:rsidRPr="009F1EDC" w:rsidRDefault="0033352E" w:rsidP="0033352E">
      <w:pPr>
        <w:spacing w:before="240" w:after="0"/>
        <w:rPr>
          <w:b/>
          <w:sz w:val="28"/>
          <w:szCs w:val="28"/>
          <w:lang w:val="en-US"/>
        </w:rPr>
      </w:pPr>
      <w:r>
        <w:rPr>
          <w:b/>
          <w:sz w:val="28"/>
          <w:szCs w:val="28"/>
          <w:lang w:val="en-US"/>
        </w:rPr>
        <w:t>Scope</w:t>
      </w:r>
    </w:p>
    <w:p w14:paraId="35094106" w14:textId="77777777" w:rsidR="0033352E" w:rsidRPr="00CA2B31" w:rsidRDefault="0033352E" w:rsidP="0033352E">
      <w:pPr>
        <w:jc w:val="both"/>
        <w:rPr>
          <w:rFonts w:eastAsia="Times New Roman" w:cstheme="minorHAnsi"/>
          <w:b/>
        </w:rPr>
      </w:pPr>
      <w:r w:rsidRPr="00CA2B31">
        <w:rPr>
          <w:rFonts w:cstheme="minorHAnsi"/>
          <w:lang w:val="en-US"/>
        </w:rPr>
        <w:t>To provide a framework and guidelines for the employment of an acting CEO.</w:t>
      </w:r>
    </w:p>
    <w:p w14:paraId="3F104172" w14:textId="77777777" w:rsidR="0033352E" w:rsidRPr="00B35B70" w:rsidRDefault="0033352E" w:rsidP="0033352E">
      <w:pPr>
        <w:spacing w:before="200" w:after="0"/>
        <w:rPr>
          <w:rFonts w:cstheme="minorHAnsi"/>
        </w:rPr>
      </w:pPr>
      <w:r w:rsidRPr="009F1EDC">
        <w:rPr>
          <w:b/>
          <w:sz w:val="28"/>
          <w:szCs w:val="28"/>
          <w:lang w:val="en-US"/>
        </w:rPr>
        <w:t xml:space="preserve">Policy </w:t>
      </w:r>
    </w:p>
    <w:p w14:paraId="6DAB8A14" w14:textId="77777777" w:rsidR="0033352E" w:rsidRPr="00CA2B31" w:rsidRDefault="0033352E" w:rsidP="0033352E">
      <w:pPr>
        <w:spacing w:line="240" w:lineRule="auto"/>
        <w:jc w:val="both"/>
        <w:rPr>
          <w:rFonts w:eastAsia="Times New Roman" w:cstheme="minorHAnsi"/>
          <w:bCs/>
        </w:rPr>
      </w:pPr>
      <w:r w:rsidRPr="00CA2B31">
        <w:rPr>
          <w:rFonts w:eastAsia="Times New Roman" w:cstheme="minorHAnsi"/>
          <w:bCs/>
        </w:rPr>
        <w:t xml:space="preserve">Section 5.39C of the </w:t>
      </w:r>
      <w:r w:rsidRPr="00CA2B31">
        <w:rPr>
          <w:rFonts w:eastAsia="Times New Roman" w:cstheme="minorHAnsi"/>
          <w:bCs/>
          <w:i/>
          <w:iCs/>
        </w:rPr>
        <w:t>Local Government Act</w:t>
      </w:r>
      <w:r w:rsidRPr="00CA2B31">
        <w:rPr>
          <w:rFonts w:eastAsia="Times New Roman" w:cstheme="minorHAnsi"/>
          <w:bCs/>
        </w:rPr>
        <w:t xml:space="preserve"> requires the adoption of a policy regarding the employment of an acting Chief Executive Officer (CEO).</w:t>
      </w:r>
    </w:p>
    <w:p w14:paraId="68DD0F09" w14:textId="77777777" w:rsidR="0033352E" w:rsidRPr="00CA2B31" w:rsidRDefault="0033352E" w:rsidP="0033352E">
      <w:pPr>
        <w:widowControl w:val="0"/>
        <w:autoSpaceDE w:val="0"/>
        <w:autoSpaceDN w:val="0"/>
        <w:spacing w:after="60" w:line="240" w:lineRule="auto"/>
        <w:jc w:val="both"/>
        <w:rPr>
          <w:rFonts w:eastAsia="Times New Roman" w:cstheme="minorHAnsi"/>
          <w:lang w:eastAsia="en-AU" w:bidi="en-AU"/>
        </w:rPr>
      </w:pPr>
      <w:r w:rsidRPr="00CA2B31">
        <w:rPr>
          <w:rFonts w:eastAsia="Times New Roman" w:cstheme="minorHAnsi"/>
          <w:lang w:eastAsia="en-AU" w:bidi="en-AU"/>
        </w:rPr>
        <w:t>Council delegates (DA1) to the CEO, appointment of an internal employee higher duties Acting CEO subject to the following conditions:</w:t>
      </w:r>
    </w:p>
    <w:p w14:paraId="0396AA29" w14:textId="77777777" w:rsidR="0033352E" w:rsidRPr="00CA2B31" w:rsidRDefault="0033352E" w:rsidP="002A3889">
      <w:pPr>
        <w:pStyle w:val="ListParagraph"/>
        <w:numPr>
          <w:ilvl w:val="0"/>
          <w:numId w:val="468"/>
        </w:numPr>
        <w:spacing w:after="60" w:line="240" w:lineRule="auto"/>
        <w:ind w:left="567" w:hanging="567"/>
        <w:contextualSpacing w:val="0"/>
        <w:jc w:val="both"/>
        <w:rPr>
          <w:rFonts w:eastAsia="Times New Roman" w:cstheme="minorHAnsi"/>
          <w:bCs/>
        </w:rPr>
      </w:pPr>
      <w:r w:rsidRPr="00CA2B31">
        <w:rPr>
          <w:rFonts w:eastAsia="Times New Roman" w:cstheme="minorHAnsi"/>
          <w:bCs/>
        </w:rPr>
        <w:t xml:space="preserve">The relief appointment is for a period not exceeding 5 weeks. </w:t>
      </w:r>
    </w:p>
    <w:p w14:paraId="460A8ADC" w14:textId="77777777" w:rsidR="0033352E" w:rsidRPr="00CA2B31" w:rsidRDefault="0033352E" w:rsidP="002A3889">
      <w:pPr>
        <w:pStyle w:val="ListParagraph"/>
        <w:numPr>
          <w:ilvl w:val="0"/>
          <w:numId w:val="468"/>
        </w:numPr>
        <w:spacing w:line="240" w:lineRule="auto"/>
        <w:ind w:left="567" w:hanging="567"/>
        <w:contextualSpacing w:val="0"/>
        <w:jc w:val="both"/>
        <w:rPr>
          <w:rFonts w:eastAsia="Times New Roman" w:cstheme="minorHAnsi"/>
          <w:bCs/>
        </w:rPr>
      </w:pPr>
      <w:r w:rsidRPr="00CA2B31">
        <w:rPr>
          <w:rFonts w:eastAsia="Times New Roman" w:cstheme="minorHAnsi"/>
          <w:bCs/>
        </w:rPr>
        <w:t xml:space="preserve">Policy 1.2.2 CEO Leave Approval – requires the CEO to obtain approval from the </w:t>
      </w:r>
      <w:proofErr w:type="gramStart"/>
      <w:r w:rsidRPr="00CA2B31">
        <w:rPr>
          <w:rFonts w:eastAsia="Times New Roman" w:cstheme="minorHAnsi"/>
          <w:bCs/>
        </w:rPr>
        <w:t>Mayor</w:t>
      </w:r>
      <w:proofErr w:type="gramEnd"/>
      <w:r w:rsidRPr="00CA2B31">
        <w:rPr>
          <w:rFonts w:eastAsia="Times New Roman" w:cstheme="minorHAnsi"/>
          <w:bCs/>
        </w:rPr>
        <w:t xml:space="preserve"> prior to taking to leave. </w:t>
      </w:r>
    </w:p>
    <w:p w14:paraId="1D7DFAF5" w14:textId="77777777" w:rsidR="0033352E" w:rsidRPr="00CA2B31" w:rsidRDefault="0033352E" w:rsidP="0033352E">
      <w:pPr>
        <w:widowControl w:val="0"/>
        <w:autoSpaceDE w:val="0"/>
        <w:autoSpaceDN w:val="0"/>
        <w:spacing w:line="240" w:lineRule="auto"/>
        <w:jc w:val="both"/>
        <w:rPr>
          <w:rFonts w:cstheme="minorHAnsi"/>
          <w:lang w:eastAsia="en-AU"/>
        </w:rPr>
      </w:pPr>
      <w:r w:rsidRPr="00CA2B31">
        <w:rPr>
          <w:rFonts w:cstheme="minorHAnsi"/>
          <w:lang w:eastAsia="en-AU"/>
        </w:rPr>
        <w:t>The Chief Executive Officer must inform the elected members of all proposed Acting CEO arrangements.</w:t>
      </w:r>
    </w:p>
    <w:p w14:paraId="0511451A" w14:textId="77777777" w:rsidR="0033352E" w:rsidRPr="00CA2B31" w:rsidRDefault="0033352E" w:rsidP="0033352E">
      <w:pPr>
        <w:widowControl w:val="0"/>
        <w:autoSpaceDE w:val="0"/>
        <w:autoSpaceDN w:val="0"/>
        <w:spacing w:line="240" w:lineRule="auto"/>
        <w:jc w:val="both"/>
        <w:rPr>
          <w:rFonts w:eastAsia="Times New Roman" w:cstheme="minorHAnsi"/>
          <w:lang w:eastAsia="en-AU" w:bidi="en-AU"/>
        </w:rPr>
      </w:pPr>
      <w:r w:rsidRPr="00CA2B31">
        <w:rPr>
          <w:rFonts w:cstheme="minorHAnsi"/>
          <w:lang w:eastAsia="en-AU"/>
        </w:rPr>
        <w:t>For</w:t>
      </w:r>
      <w:r w:rsidRPr="00CA2B31">
        <w:rPr>
          <w:rFonts w:eastAsia="Times New Roman" w:cstheme="minorHAnsi"/>
          <w:lang w:eastAsia="en-AU" w:bidi="en-AU"/>
        </w:rPr>
        <w:t xml:space="preserve"> CEO vacancy periods over 5 weeks the appointment of the Acting CEO shall be determined by Council.  </w:t>
      </w:r>
    </w:p>
    <w:p w14:paraId="02949D7D" w14:textId="77777777" w:rsidR="0033352E" w:rsidRPr="00CA2B31" w:rsidRDefault="0033352E" w:rsidP="0033352E">
      <w:pPr>
        <w:widowControl w:val="0"/>
        <w:autoSpaceDE w:val="0"/>
        <w:autoSpaceDN w:val="0"/>
        <w:spacing w:line="240" w:lineRule="auto"/>
        <w:jc w:val="both"/>
        <w:rPr>
          <w:rFonts w:cstheme="minorHAnsi"/>
          <w:lang w:eastAsia="en-AU"/>
        </w:rPr>
      </w:pPr>
      <w:r w:rsidRPr="00CA2B31">
        <w:rPr>
          <w:rFonts w:eastAsia="Times New Roman" w:cstheme="minorHAnsi"/>
          <w:lang w:eastAsia="en-AU" w:bidi="en-AU"/>
        </w:rPr>
        <w:t>The CEO shall report to Council any proposal to fill an Acting CEO role over five weeks with as much advanced notice as possible. In this case the CEO may recommend a suitable internal candidate for higher duties</w:t>
      </w:r>
      <w:r w:rsidRPr="00CA2B31">
        <w:rPr>
          <w:rFonts w:cstheme="minorHAnsi"/>
          <w:lang w:eastAsia="en-AU"/>
        </w:rPr>
        <w:t>.</w:t>
      </w:r>
    </w:p>
    <w:p w14:paraId="1A6A69E0" w14:textId="77777777" w:rsidR="0033352E" w:rsidRPr="00CA2B31" w:rsidRDefault="0033352E" w:rsidP="0033352E">
      <w:pPr>
        <w:widowControl w:val="0"/>
        <w:autoSpaceDE w:val="0"/>
        <w:autoSpaceDN w:val="0"/>
        <w:spacing w:line="240" w:lineRule="auto"/>
        <w:jc w:val="both"/>
        <w:rPr>
          <w:rFonts w:eastAsia="Times New Roman" w:cstheme="minorHAnsi"/>
          <w:lang w:eastAsia="en-AU" w:bidi="en-AU"/>
        </w:rPr>
      </w:pPr>
      <w:r w:rsidRPr="00CA2B31">
        <w:rPr>
          <w:rFonts w:cstheme="minorHAnsi"/>
          <w:lang w:eastAsia="en-AU"/>
        </w:rPr>
        <w:t xml:space="preserve">If </w:t>
      </w:r>
      <w:r w:rsidRPr="00CA2B31">
        <w:rPr>
          <w:rFonts w:eastAsia="Times New Roman" w:cstheme="minorHAnsi"/>
          <w:lang w:eastAsia="en-AU" w:bidi="en-AU"/>
        </w:rPr>
        <w:t>the</w:t>
      </w:r>
      <w:r w:rsidRPr="00CA2B31">
        <w:rPr>
          <w:rFonts w:cstheme="minorHAnsi"/>
          <w:lang w:eastAsia="en-AU"/>
        </w:rPr>
        <w:t xml:space="preserve"> Chief Executive Officer’s position becomes vacant, all acting arrangements are to be determined by the Council.</w:t>
      </w:r>
      <w:r w:rsidRPr="00CA2B31">
        <w:rPr>
          <w:rFonts w:eastAsia="Times New Roman" w:cstheme="minorHAnsi"/>
          <w:lang w:eastAsia="en-AU" w:bidi="en-AU"/>
        </w:rPr>
        <w:t xml:space="preserve"> </w:t>
      </w:r>
    </w:p>
    <w:p w14:paraId="7F6C8952" w14:textId="4D29383A" w:rsidR="004614B6" w:rsidRDefault="0033352E" w:rsidP="0033352E">
      <w:pPr>
        <w:widowControl w:val="0"/>
        <w:autoSpaceDE w:val="0"/>
        <w:autoSpaceDN w:val="0"/>
        <w:spacing w:line="240" w:lineRule="auto"/>
        <w:jc w:val="both"/>
        <w:rPr>
          <w:rFonts w:eastAsia="Times New Roman" w:cstheme="minorHAnsi"/>
          <w:lang w:eastAsia="en-AU" w:bidi="en-AU"/>
        </w:rPr>
      </w:pPr>
      <w:r w:rsidRPr="00CA2B31">
        <w:rPr>
          <w:rFonts w:eastAsia="Times New Roman" w:cstheme="minorHAnsi"/>
          <w:lang w:eastAsia="en-AU" w:bidi="en-AU"/>
        </w:rPr>
        <w:t xml:space="preserve">Section 5.39C of the </w:t>
      </w:r>
      <w:r w:rsidRPr="00CA2B31">
        <w:rPr>
          <w:rFonts w:eastAsia="Times New Roman" w:cstheme="minorHAnsi"/>
          <w:i/>
          <w:iCs/>
          <w:lang w:eastAsia="en-AU" w:bidi="en-AU"/>
        </w:rPr>
        <w:t>Local Government Act 1995</w:t>
      </w:r>
      <w:r w:rsidRPr="00CA2B31">
        <w:rPr>
          <w:rFonts w:eastAsia="Times New Roman" w:cstheme="minorHAnsi"/>
          <w:lang w:eastAsia="en-AU" w:bidi="en-AU"/>
        </w:rPr>
        <w:t xml:space="preserve"> prevents the appointment of an Acting CEO for a period greater than 12 months. </w:t>
      </w:r>
    </w:p>
    <w:p w14:paraId="415EE3CF" w14:textId="77777777" w:rsidR="004614B6" w:rsidRDefault="004614B6">
      <w:pPr>
        <w:rPr>
          <w:rFonts w:eastAsia="Times New Roman" w:cstheme="minorHAnsi"/>
          <w:lang w:eastAsia="en-AU" w:bidi="en-AU"/>
        </w:rPr>
      </w:pPr>
      <w:r>
        <w:rPr>
          <w:rFonts w:eastAsia="Times New Roman" w:cstheme="minorHAnsi"/>
          <w:lang w:eastAsia="en-AU" w:bidi="en-AU"/>
        </w:rPr>
        <w:br w:type="page"/>
      </w:r>
    </w:p>
    <w:p w14:paraId="7C4DBBC4" w14:textId="77777777" w:rsidR="0033352E" w:rsidRPr="00CA2B31" w:rsidRDefault="0033352E" w:rsidP="0033352E">
      <w:pPr>
        <w:widowControl w:val="0"/>
        <w:autoSpaceDE w:val="0"/>
        <w:autoSpaceDN w:val="0"/>
        <w:spacing w:line="240" w:lineRule="auto"/>
        <w:jc w:val="both"/>
        <w:rPr>
          <w:rFonts w:eastAsia="Times New Roman" w:cstheme="minorHAnsi"/>
          <w:lang w:eastAsia="en-AU" w:bidi="en-AU"/>
        </w:rPr>
      </w:pPr>
    </w:p>
    <w:tbl>
      <w:tblPr>
        <w:tblStyle w:val="TableGrid"/>
        <w:tblW w:w="0" w:type="auto"/>
        <w:tblLook w:val="04A0" w:firstRow="1" w:lastRow="0" w:firstColumn="1" w:lastColumn="0" w:noHBand="0" w:noVBand="1"/>
      </w:tblPr>
      <w:tblGrid>
        <w:gridCol w:w="3256"/>
        <w:gridCol w:w="5760"/>
      </w:tblGrid>
      <w:tr w:rsidR="0033352E" w:rsidRPr="009F1EDC" w14:paraId="24530E54" w14:textId="77777777" w:rsidTr="007E0F07">
        <w:tc>
          <w:tcPr>
            <w:tcW w:w="3256" w:type="dxa"/>
          </w:tcPr>
          <w:p w14:paraId="01DD028F" w14:textId="77777777" w:rsidR="0033352E" w:rsidRPr="009F1EDC" w:rsidRDefault="0033352E" w:rsidP="007E0F07">
            <w:pPr>
              <w:jc w:val="both"/>
              <w:rPr>
                <w:rFonts w:cs="Arial"/>
                <w:b/>
                <w:lang w:val="en-US"/>
              </w:rPr>
            </w:pPr>
            <w:r w:rsidRPr="009F1EDC">
              <w:rPr>
                <w:rFonts w:cs="Arial"/>
                <w:b/>
                <w:lang w:val="en-US"/>
              </w:rPr>
              <w:t>Responsible Directorate:</w:t>
            </w:r>
          </w:p>
        </w:tc>
        <w:tc>
          <w:tcPr>
            <w:tcW w:w="5760" w:type="dxa"/>
          </w:tcPr>
          <w:p w14:paraId="16B7CD7E" w14:textId="77777777" w:rsidR="0033352E" w:rsidRPr="009F1EDC" w:rsidRDefault="0033352E" w:rsidP="007E0F07">
            <w:pPr>
              <w:jc w:val="both"/>
              <w:rPr>
                <w:rFonts w:cs="Arial"/>
                <w:lang w:val="en-US"/>
              </w:rPr>
            </w:pPr>
            <w:r>
              <w:rPr>
                <w:rFonts w:cs="Arial"/>
                <w:lang w:val="en-US"/>
              </w:rPr>
              <w:t>Office of the Chief Executive Officer</w:t>
            </w:r>
          </w:p>
        </w:tc>
      </w:tr>
      <w:tr w:rsidR="0033352E" w:rsidRPr="009F1EDC" w14:paraId="6F6BCF7C" w14:textId="77777777" w:rsidTr="007E0F07">
        <w:tc>
          <w:tcPr>
            <w:tcW w:w="3256" w:type="dxa"/>
          </w:tcPr>
          <w:p w14:paraId="215975CC" w14:textId="77777777" w:rsidR="0033352E" w:rsidRPr="009F1EDC" w:rsidRDefault="0033352E" w:rsidP="007E0F07">
            <w:pPr>
              <w:jc w:val="both"/>
              <w:rPr>
                <w:rFonts w:cs="Arial"/>
                <w:b/>
                <w:lang w:val="en-US"/>
              </w:rPr>
            </w:pPr>
            <w:r w:rsidRPr="009F1EDC">
              <w:rPr>
                <w:rFonts w:cs="Arial"/>
                <w:b/>
                <w:lang w:val="en-US"/>
              </w:rPr>
              <w:t>Reviewing Officer:</w:t>
            </w:r>
          </w:p>
        </w:tc>
        <w:tc>
          <w:tcPr>
            <w:tcW w:w="5760" w:type="dxa"/>
          </w:tcPr>
          <w:p w14:paraId="0008DF51" w14:textId="77777777" w:rsidR="0033352E" w:rsidRPr="009F1EDC" w:rsidRDefault="0033352E" w:rsidP="007E0F07">
            <w:pPr>
              <w:jc w:val="both"/>
              <w:rPr>
                <w:rFonts w:cs="Arial"/>
                <w:lang w:val="en-US"/>
              </w:rPr>
            </w:pPr>
            <w:r>
              <w:rPr>
                <w:rFonts w:cs="Arial"/>
                <w:lang w:val="en-US"/>
              </w:rPr>
              <w:t>Chief Executive Officer</w:t>
            </w:r>
          </w:p>
        </w:tc>
      </w:tr>
      <w:tr w:rsidR="0033352E" w:rsidRPr="009F1EDC" w14:paraId="6A887142" w14:textId="77777777" w:rsidTr="007E0F07">
        <w:tc>
          <w:tcPr>
            <w:tcW w:w="3256" w:type="dxa"/>
          </w:tcPr>
          <w:p w14:paraId="1603B692" w14:textId="77777777" w:rsidR="0033352E" w:rsidRPr="009F1EDC" w:rsidRDefault="0033352E" w:rsidP="007E0F07">
            <w:pPr>
              <w:jc w:val="both"/>
              <w:rPr>
                <w:rFonts w:cs="Arial"/>
                <w:b/>
                <w:lang w:val="en-US"/>
              </w:rPr>
            </w:pPr>
            <w:r w:rsidRPr="009F1EDC">
              <w:rPr>
                <w:rFonts w:cs="Arial"/>
                <w:b/>
                <w:lang w:val="en-US"/>
              </w:rPr>
              <w:t>Decision making Authority:</w:t>
            </w:r>
          </w:p>
        </w:tc>
        <w:tc>
          <w:tcPr>
            <w:tcW w:w="5760" w:type="dxa"/>
          </w:tcPr>
          <w:p w14:paraId="277FBD28" w14:textId="77777777" w:rsidR="0033352E" w:rsidRPr="009F1EDC" w:rsidRDefault="0033352E" w:rsidP="007E0F07">
            <w:pPr>
              <w:jc w:val="both"/>
              <w:rPr>
                <w:rFonts w:cs="Arial"/>
                <w:lang w:val="en-US"/>
              </w:rPr>
            </w:pPr>
            <w:r w:rsidRPr="009F1EDC">
              <w:rPr>
                <w:rFonts w:cs="Arial"/>
                <w:lang w:val="en-US"/>
              </w:rPr>
              <w:t>Council</w:t>
            </w:r>
          </w:p>
        </w:tc>
      </w:tr>
      <w:tr w:rsidR="0033352E" w:rsidRPr="009F1EDC" w14:paraId="601F9EDC" w14:textId="77777777" w:rsidTr="007E0F07">
        <w:tc>
          <w:tcPr>
            <w:tcW w:w="3256" w:type="dxa"/>
            <w:tcBorders>
              <w:bottom w:val="single" w:sz="4" w:space="0" w:color="auto"/>
            </w:tcBorders>
          </w:tcPr>
          <w:p w14:paraId="0F6DE6FE" w14:textId="77777777" w:rsidR="0033352E" w:rsidRPr="009F1EDC" w:rsidRDefault="0033352E" w:rsidP="007E0F07">
            <w:pPr>
              <w:jc w:val="both"/>
              <w:rPr>
                <w:rFonts w:cs="Arial"/>
                <w:b/>
                <w:lang w:val="en-US"/>
              </w:rPr>
            </w:pPr>
            <w:r w:rsidRPr="009F1EDC">
              <w:rPr>
                <w:rFonts w:cs="Arial"/>
                <w:b/>
                <w:lang w:val="en-US"/>
              </w:rPr>
              <w:t>Policy Adopted:</w:t>
            </w:r>
          </w:p>
        </w:tc>
        <w:tc>
          <w:tcPr>
            <w:tcW w:w="5760" w:type="dxa"/>
            <w:tcBorders>
              <w:bottom w:val="single" w:sz="4" w:space="0" w:color="auto"/>
            </w:tcBorders>
          </w:tcPr>
          <w:p w14:paraId="064354FA" w14:textId="77777777" w:rsidR="0033352E" w:rsidRPr="009F1EDC" w:rsidRDefault="0033352E" w:rsidP="007E0F07">
            <w:pPr>
              <w:jc w:val="both"/>
              <w:rPr>
                <w:rFonts w:cs="Arial"/>
                <w:lang w:val="en-US"/>
              </w:rPr>
            </w:pPr>
            <w:r>
              <w:rPr>
                <w:rFonts w:cs="Arial"/>
                <w:lang w:val="en-US"/>
              </w:rPr>
              <w:t>16/3/21</w:t>
            </w:r>
          </w:p>
        </w:tc>
      </w:tr>
      <w:tr w:rsidR="0033352E" w:rsidRPr="009F1EDC" w14:paraId="08327952" w14:textId="77777777" w:rsidTr="007E0F07">
        <w:tc>
          <w:tcPr>
            <w:tcW w:w="3256" w:type="dxa"/>
            <w:tcBorders>
              <w:bottom w:val="single" w:sz="4" w:space="0" w:color="auto"/>
            </w:tcBorders>
          </w:tcPr>
          <w:p w14:paraId="381E45EC" w14:textId="77777777" w:rsidR="0033352E" w:rsidRPr="009F1EDC" w:rsidRDefault="0033352E" w:rsidP="007E0F07">
            <w:pPr>
              <w:jc w:val="both"/>
              <w:rPr>
                <w:rFonts w:cs="Arial"/>
                <w:b/>
                <w:lang w:val="en-US"/>
              </w:rPr>
            </w:pPr>
            <w:r>
              <w:rPr>
                <w:rFonts w:cs="Arial"/>
                <w:b/>
                <w:lang w:val="en-US"/>
              </w:rPr>
              <w:t>Policy Amended/Reviewed:</w:t>
            </w:r>
          </w:p>
        </w:tc>
        <w:tc>
          <w:tcPr>
            <w:tcW w:w="5760" w:type="dxa"/>
            <w:tcBorders>
              <w:bottom w:val="single" w:sz="4" w:space="0" w:color="auto"/>
            </w:tcBorders>
          </w:tcPr>
          <w:p w14:paraId="7C6D4D11" w14:textId="77777777" w:rsidR="0033352E" w:rsidRPr="009F1EDC" w:rsidRDefault="0033352E" w:rsidP="007E0F07">
            <w:pPr>
              <w:jc w:val="both"/>
              <w:rPr>
                <w:rFonts w:cs="Arial"/>
                <w:lang w:val="en-US"/>
              </w:rPr>
            </w:pPr>
          </w:p>
        </w:tc>
      </w:tr>
    </w:tbl>
    <w:p w14:paraId="1364E0E2" w14:textId="117CD692" w:rsidR="0033352E" w:rsidRDefault="0033352E" w:rsidP="0033352E"/>
    <w:p w14:paraId="7D4048C5" w14:textId="79EEBA3F" w:rsidR="00A76A09" w:rsidRDefault="00A76A09">
      <w:r>
        <w:br w:type="page"/>
      </w:r>
    </w:p>
    <w:p w14:paraId="533BE3FF" w14:textId="657F201E" w:rsidR="000A458A" w:rsidRDefault="000A458A" w:rsidP="000A458A">
      <w:pPr>
        <w:pStyle w:val="Policy3"/>
        <w:jc w:val="right"/>
      </w:pPr>
      <w:bookmarkStart w:id="126" w:name="_Toc80268842"/>
      <w:bookmarkStart w:id="127" w:name="_Toc83368021"/>
      <w:bookmarkStart w:id="128" w:name="_Toc85793384"/>
      <w:bookmarkStart w:id="129" w:name="_Toc87531423"/>
      <w:bookmarkStart w:id="130" w:name="_Toc109732932"/>
      <w:bookmarkStart w:id="131" w:name="_Toc163201241"/>
      <w:bookmarkStart w:id="132" w:name="_Toc164255661"/>
      <w:bookmarkStart w:id="133" w:name="_Toc188616997"/>
      <w:bookmarkStart w:id="134" w:name="_Toc204612783"/>
      <w:bookmarkStart w:id="135" w:name="_Toc214980836"/>
      <w:bookmarkStart w:id="136" w:name="_Toc216866670"/>
      <w:r>
        <w:rPr>
          <w:noProof/>
        </w:rPr>
        <w:lastRenderedPageBreak/>
        <w:drawing>
          <wp:inline distT="0" distB="0" distL="0" distR="0" wp14:anchorId="590014C2" wp14:editId="73294BF6">
            <wp:extent cx="1569085" cy="63052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99821" cy="642871"/>
                    </a:xfrm>
                    <a:prstGeom prst="rect">
                      <a:avLst/>
                    </a:prstGeom>
                    <a:noFill/>
                    <a:ln>
                      <a:noFill/>
                    </a:ln>
                  </pic:spPr>
                </pic:pic>
              </a:graphicData>
            </a:graphic>
          </wp:inline>
        </w:drawing>
      </w:r>
      <w:bookmarkEnd w:id="126"/>
      <w:bookmarkEnd w:id="127"/>
      <w:bookmarkEnd w:id="128"/>
      <w:bookmarkEnd w:id="129"/>
      <w:bookmarkEnd w:id="130"/>
      <w:bookmarkEnd w:id="131"/>
      <w:bookmarkEnd w:id="132"/>
      <w:bookmarkEnd w:id="133"/>
      <w:bookmarkEnd w:id="134"/>
      <w:bookmarkEnd w:id="135"/>
      <w:bookmarkEnd w:id="136"/>
    </w:p>
    <w:p w14:paraId="15510FA1" w14:textId="77777777" w:rsidR="000A458A" w:rsidRDefault="000A458A" w:rsidP="000A458A">
      <w:pPr>
        <w:pStyle w:val="Policy3"/>
      </w:pPr>
    </w:p>
    <w:p w14:paraId="4F725153" w14:textId="33350D6E" w:rsidR="000A458A" w:rsidRPr="007F1231" w:rsidRDefault="000A458A" w:rsidP="000A458A">
      <w:pPr>
        <w:pStyle w:val="Policy3"/>
      </w:pPr>
      <w:bookmarkStart w:id="137" w:name="_Toc216866671"/>
      <w:r w:rsidRPr="007F1231">
        <w:t>1.2.10</w:t>
      </w:r>
      <w:r w:rsidRPr="007F1231">
        <w:tab/>
        <w:t>Employee Superannuation Co-Contribution</w:t>
      </w:r>
      <w:bookmarkEnd w:id="137"/>
      <w:r w:rsidRPr="007F1231">
        <w:t xml:space="preserve"> </w:t>
      </w:r>
    </w:p>
    <w:tbl>
      <w:tblPr>
        <w:tblStyle w:val="TableGrid"/>
        <w:tblW w:w="0" w:type="auto"/>
        <w:tblInd w:w="-5" w:type="dxa"/>
        <w:tblLook w:val="04A0" w:firstRow="1" w:lastRow="0" w:firstColumn="1" w:lastColumn="0" w:noHBand="0" w:noVBand="1"/>
      </w:tblPr>
      <w:tblGrid>
        <w:gridCol w:w="3029"/>
        <w:gridCol w:w="5992"/>
      </w:tblGrid>
      <w:tr w:rsidR="00A76A09" w:rsidRPr="00B47F10" w14:paraId="5DD481BE" w14:textId="77777777" w:rsidTr="00140F6F">
        <w:tc>
          <w:tcPr>
            <w:tcW w:w="3029" w:type="dxa"/>
          </w:tcPr>
          <w:p w14:paraId="030AB69A" w14:textId="77777777" w:rsidR="00A76A09" w:rsidRPr="00B47F10" w:rsidRDefault="00A76A09" w:rsidP="00140F6F">
            <w:pPr>
              <w:rPr>
                <w:rFonts w:cstheme="minorHAnsi"/>
                <w:b/>
                <w:lang w:val="en-US"/>
              </w:rPr>
            </w:pPr>
            <w:r w:rsidRPr="00B47F10">
              <w:rPr>
                <w:rFonts w:cstheme="minorHAnsi"/>
                <w:b/>
                <w:lang w:val="en-US"/>
              </w:rPr>
              <w:t>Type:</w:t>
            </w:r>
          </w:p>
        </w:tc>
        <w:tc>
          <w:tcPr>
            <w:tcW w:w="5992" w:type="dxa"/>
          </w:tcPr>
          <w:p w14:paraId="4D0BEEC9" w14:textId="77777777" w:rsidR="00A76A09" w:rsidRPr="00B47F10" w:rsidRDefault="00A76A09" w:rsidP="00140F6F">
            <w:pPr>
              <w:rPr>
                <w:rFonts w:cstheme="minorHAnsi"/>
                <w:lang w:val="en-US"/>
              </w:rPr>
            </w:pPr>
            <w:r>
              <w:rPr>
                <w:rFonts w:cstheme="minorHAnsi"/>
                <w:lang w:val="en-US"/>
              </w:rPr>
              <w:t>CEO</w:t>
            </w:r>
          </w:p>
        </w:tc>
      </w:tr>
      <w:tr w:rsidR="00A76A09" w:rsidRPr="00B47F10" w14:paraId="29844962" w14:textId="77777777" w:rsidTr="00140F6F">
        <w:tc>
          <w:tcPr>
            <w:tcW w:w="3029" w:type="dxa"/>
          </w:tcPr>
          <w:p w14:paraId="3C823602" w14:textId="77777777" w:rsidR="00A76A09" w:rsidRPr="00B47F10" w:rsidRDefault="00A76A09" w:rsidP="00140F6F">
            <w:pPr>
              <w:rPr>
                <w:rFonts w:cstheme="minorHAnsi"/>
                <w:b/>
                <w:lang w:val="en-US"/>
              </w:rPr>
            </w:pPr>
            <w:r w:rsidRPr="00B47F10">
              <w:rPr>
                <w:rFonts w:cstheme="minorHAnsi"/>
                <w:b/>
                <w:lang w:val="en-US"/>
              </w:rPr>
              <w:t>Legislation:</w:t>
            </w:r>
          </w:p>
        </w:tc>
        <w:tc>
          <w:tcPr>
            <w:tcW w:w="5992" w:type="dxa"/>
          </w:tcPr>
          <w:p w14:paraId="6A5EB85A" w14:textId="77777777" w:rsidR="00A76A09" w:rsidRDefault="00A76A09" w:rsidP="00140F6F">
            <w:pPr>
              <w:rPr>
                <w:rFonts w:cstheme="minorHAnsi"/>
                <w:lang w:val="en-US"/>
              </w:rPr>
            </w:pPr>
            <w:r>
              <w:rPr>
                <w:rFonts w:cstheme="minorHAnsi"/>
                <w:lang w:val="en-US"/>
              </w:rPr>
              <w:t>Fringe Benefits Assessment Act 1986</w:t>
            </w:r>
          </w:p>
          <w:p w14:paraId="4ED3356D" w14:textId="77777777" w:rsidR="00A76A09" w:rsidRDefault="00A76A09" w:rsidP="00140F6F">
            <w:pPr>
              <w:rPr>
                <w:rFonts w:cstheme="minorHAnsi"/>
                <w:lang w:val="en-US"/>
              </w:rPr>
            </w:pPr>
            <w:r>
              <w:rPr>
                <w:rFonts w:cstheme="minorHAnsi"/>
                <w:lang w:val="en-US"/>
              </w:rPr>
              <w:t>Superannuation Industry (Supervision) Act 1993</w:t>
            </w:r>
          </w:p>
          <w:p w14:paraId="17B5838C" w14:textId="77777777" w:rsidR="00A76A09" w:rsidRPr="00B47F10" w:rsidRDefault="00A76A09" w:rsidP="00140F6F">
            <w:pPr>
              <w:rPr>
                <w:rFonts w:cstheme="minorHAnsi"/>
                <w:lang w:val="en-US"/>
              </w:rPr>
            </w:pPr>
            <w:r>
              <w:rPr>
                <w:rFonts w:cstheme="minorHAnsi"/>
                <w:lang w:val="en-US"/>
              </w:rPr>
              <w:t>Superannuation Guarantee (Administration) Act 1992</w:t>
            </w:r>
          </w:p>
        </w:tc>
      </w:tr>
      <w:tr w:rsidR="00A76A09" w:rsidRPr="00B47F10" w14:paraId="5BE8B13A" w14:textId="77777777" w:rsidTr="00140F6F">
        <w:tc>
          <w:tcPr>
            <w:tcW w:w="3029" w:type="dxa"/>
          </w:tcPr>
          <w:p w14:paraId="52FFFEEE" w14:textId="77777777" w:rsidR="00A76A09" w:rsidRPr="00B47F10" w:rsidRDefault="00A76A09" w:rsidP="00140F6F">
            <w:pPr>
              <w:rPr>
                <w:rFonts w:cstheme="minorHAnsi"/>
                <w:b/>
                <w:lang w:val="en-US"/>
              </w:rPr>
            </w:pPr>
            <w:r w:rsidRPr="00B47F10">
              <w:rPr>
                <w:rFonts w:cstheme="minorHAnsi"/>
                <w:b/>
                <w:lang w:val="en-US"/>
              </w:rPr>
              <w:t>Delegation:</w:t>
            </w:r>
          </w:p>
        </w:tc>
        <w:tc>
          <w:tcPr>
            <w:tcW w:w="5992" w:type="dxa"/>
          </w:tcPr>
          <w:p w14:paraId="41E3D17E" w14:textId="77777777" w:rsidR="00A76A09" w:rsidRPr="00145E91" w:rsidRDefault="00A76A09" w:rsidP="00140F6F">
            <w:pPr>
              <w:rPr>
                <w:rFonts w:cstheme="minorHAnsi"/>
                <w:highlight w:val="yellow"/>
                <w:lang w:val="en-US"/>
              </w:rPr>
            </w:pPr>
            <w:r w:rsidRPr="00052390">
              <w:rPr>
                <w:rFonts w:cstheme="minorHAnsi"/>
                <w:lang w:val="en-US"/>
              </w:rPr>
              <w:t>Chief Executive Officer</w:t>
            </w:r>
          </w:p>
        </w:tc>
      </w:tr>
      <w:tr w:rsidR="00A76A09" w:rsidRPr="00B47F10" w14:paraId="362235FC" w14:textId="77777777" w:rsidTr="00140F6F">
        <w:tc>
          <w:tcPr>
            <w:tcW w:w="3029" w:type="dxa"/>
          </w:tcPr>
          <w:p w14:paraId="08E3F1D7" w14:textId="77777777" w:rsidR="00A76A09" w:rsidRPr="00B47F10" w:rsidRDefault="00A76A09" w:rsidP="00140F6F">
            <w:pPr>
              <w:rPr>
                <w:rFonts w:cstheme="minorHAnsi"/>
                <w:b/>
                <w:lang w:val="en-US"/>
              </w:rPr>
            </w:pPr>
            <w:r w:rsidRPr="00B47F10">
              <w:rPr>
                <w:rFonts w:cstheme="minorHAnsi"/>
                <w:b/>
                <w:lang w:val="en-US"/>
              </w:rPr>
              <w:t>Other Related Document:</w:t>
            </w:r>
          </w:p>
        </w:tc>
        <w:tc>
          <w:tcPr>
            <w:tcW w:w="5992" w:type="dxa"/>
          </w:tcPr>
          <w:p w14:paraId="2BC16A92" w14:textId="77777777" w:rsidR="00A76A09" w:rsidRPr="001E3F84" w:rsidRDefault="00A76A09" w:rsidP="00140F6F">
            <w:pPr>
              <w:jc w:val="both"/>
            </w:pPr>
            <w:r>
              <w:t>Nil</w:t>
            </w:r>
          </w:p>
        </w:tc>
      </w:tr>
    </w:tbl>
    <w:p w14:paraId="597DE14F" w14:textId="77777777" w:rsidR="00A76A09" w:rsidRPr="00145E91" w:rsidRDefault="00A76A09" w:rsidP="00A76A09">
      <w:pPr>
        <w:pStyle w:val="Heading1"/>
        <w:spacing w:before="200"/>
        <w:rPr>
          <w:rFonts w:asciiTheme="minorHAnsi" w:hAnsiTheme="minorHAnsi" w:cstheme="minorHAnsi"/>
          <w:color w:val="17365D" w:themeColor="text2" w:themeShade="BF"/>
        </w:rPr>
      </w:pPr>
      <w:r w:rsidRPr="00145E91">
        <w:rPr>
          <w:rFonts w:asciiTheme="minorHAnsi" w:hAnsiTheme="minorHAnsi" w:cstheme="minorHAnsi"/>
          <w:color w:val="17365D" w:themeColor="text2" w:themeShade="BF"/>
        </w:rPr>
        <w:t>Objective</w:t>
      </w:r>
    </w:p>
    <w:p w14:paraId="4D396898" w14:textId="77777777" w:rsidR="00A76A09" w:rsidRDefault="00A76A09" w:rsidP="00A76A09">
      <w:pPr>
        <w:spacing w:after="0" w:line="240" w:lineRule="auto"/>
      </w:pPr>
      <w:r w:rsidRPr="00E60D12">
        <w:rPr>
          <w:bCs/>
        </w:rPr>
        <w:t>The Town of East Fremantle</w:t>
      </w:r>
      <w:r>
        <w:t xml:space="preserve"> is committed to recruiting and retaining appropriately skilled and qualified</w:t>
      </w:r>
      <w:r>
        <w:rPr>
          <w:spacing w:val="-47"/>
        </w:rPr>
        <w:t xml:space="preserve">    </w:t>
      </w:r>
      <w:r>
        <w:t>employees to deliver the full range of services required of the local</w:t>
      </w:r>
      <w:r>
        <w:rPr>
          <w:spacing w:val="1"/>
        </w:rPr>
        <w:t xml:space="preserve"> </w:t>
      </w:r>
      <w:r>
        <w:t>government.</w:t>
      </w:r>
    </w:p>
    <w:p w14:paraId="2E6E6157" w14:textId="77777777" w:rsidR="00A76A09" w:rsidRDefault="00A76A09" w:rsidP="00A76A09">
      <w:pPr>
        <w:spacing w:before="120" w:after="0" w:line="240" w:lineRule="auto"/>
      </w:pPr>
      <w:r>
        <w:t>Employee benefits, including additional superannuation contributions, can assist in recruitment and</w:t>
      </w:r>
      <w:r>
        <w:rPr>
          <w:spacing w:val="-1"/>
        </w:rPr>
        <w:t xml:space="preserve"> </w:t>
      </w:r>
      <w:r>
        <w:t>retention</w:t>
      </w:r>
      <w:r>
        <w:rPr>
          <w:spacing w:val="-3"/>
        </w:rPr>
        <w:t xml:space="preserve"> </w:t>
      </w:r>
      <w:r>
        <w:t>of staff.</w:t>
      </w:r>
    </w:p>
    <w:p w14:paraId="5B992371" w14:textId="77777777" w:rsidR="00A76A09" w:rsidRPr="00145E91" w:rsidRDefault="00A76A09" w:rsidP="00A76A09">
      <w:pPr>
        <w:pStyle w:val="Heading1"/>
        <w:spacing w:before="200"/>
        <w:ind w:right="-42"/>
        <w:rPr>
          <w:rFonts w:asciiTheme="minorHAnsi" w:hAnsiTheme="minorHAnsi" w:cstheme="minorHAnsi"/>
          <w:color w:val="17365D" w:themeColor="text2" w:themeShade="BF"/>
        </w:rPr>
      </w:pPr>
      <w:r w:rsidRPr="00145E91">
        <w:rPr>
          <w:rFonts w:asciiTheme="minorHAnsi" w:hAnsiTheme="minorHAnsi" w:cstheme="minorHAnsi"/>
          <w:color w:val="17365D" w:themeColor="text2" w:themeShade="BF"/>
        </w:rPr>
        <w:t>Policy</w:t>
      </w:r>
      <w:r w:rsidRPr="00145E91">
        <w:rPr>
          <w:rFonts w:asciiTheme="minorHAnsi" w:hAnsiTheme="minorHAnsi" w:cstheme="minorHAnsi"/>
          <w:color w:val="17365D" w:themeColor="text2" w:themeShade="BF"/>
        </w:rPr>
        <w:tab/>
      </w:r>
    </w:p>
    <w:p w14:paraId="1CF181EA" w14:textId="77777777" w:rsidR="00A76A09" w:rsidRPr="00A76A09" w:rsidRDefault="00A76A09" w:rsidP="00A76A09">
      <w:pPr>
        <w:spacing w:after="120" w:line="240" w:lineRule="auto"/>
        <w:jc w:val="both"/>
        <w:rPr>
          <w:spacing w:val="1"/>
        </w:rPr>
      </w:pPr>
      <w:r w:rsidRPr="00A76A09">
        <w:rPr>
          <w:bCs/>
        </w:rPr>
        <w:t>The Town of East Fremantle</w:t>
      </w:r>
      <w:r w:rsidRPr="00A76A09">
        <w:rPr>
          <w:b/>
        </w:rPr>
        <w:t xml:space="preserve"> </w:t>
      </w:r>
      <w:r w:rsidRPr="00A76A09">
        <w:t xml:space="preserve">will co-contribute </w:t>
      </w:r>
      <w:r w:rsidRPr="00A76A09">
        <w:rPr>
          <w:b/>
          <w:bCs/>
        </w:rPr>
        <w:t>up to an additional 5%</w:t>
      </w:r>
      <w:r w:rsidRPr="00A76A09">
        <w:t xml:space="preserve"> of an employee’s fortnightly wage to a complying</w:t>
      </w:r>
      <w:r w:rsidRPr="00A76A09">
        <w:rPr>
          <w:spacing w:val="1"/>
        </w:rPr>
        <w:t xml:space="preserve"> </w:t>
      </w:r>
      <w:r w:rsidRPr="00A76A09">
        <w:t>superannuation fund (in accordance with the Superannuation Industry (</w:t>
      </w:r>
      <w:proofErr w:type="gramStart"/>
      <w:r w:rsidRPr="00A76A09">
        <w:t xml:space="preserve">Supervision) </w:t>
      </w:r>
      <w:r w:rsidRPr="00A76A09">
        <w:rPr>
          <w:spacing w:val="-47"/>
        </w:rPr>
        <w:t xml:space="preserve"> </w:t>
      </w:r>
      <w:r w:rsidRPr="00A76A09">
        <w:t>Act</w:t>
      </w:r>
      <w:proofErr w:type="gramEnd"/>
      <w:r w:rsidRPr="00A76A09">
        <w:rPr>
          <w:spacing w:val="-1"/>
        </w:rPr>
        <w:t xml:space="preserve"> </w:t>
      </w:r>
      <w:r w:rsidRPr="00A76A09">
        <w:t>1993)</w:t>
      </w:r>
      <w:r w:rsidRPr="00A76A09">
        <w:rPr>
          <w:spacing w:val="-1"/>
        </w:rPr>
        <w:t xml:space="preserve"> </w:t>
      </w:r>
      <w:r w:rsidRPr="00A76A09">
        <w:t>of</w:t>
      </w:r>
      <w:r w:rsidRPr="00A76A09">
        <w:rPr>
          <w:spacing w:val="-2"/>
        </w:rPr>
        <w:t xml:space="preserve"> </w:t>
      </w:r>
      <w:r w:rsidRPr="00A76A09">
        <w:t>the</w:t>
      </w:r>
      <w:r w:rsidRPr="00A76A09">
        <w:rPr>
          <w:spacing w:val="-2"/>
        </w:rPr>
        <w:t xml:space="preserve"> </w:t>
      </w:r>
      <w:r w:rsidRPr="00A76A09">
        <w:t>employee’s choice should an employee choose to salary sacrifice into their complying superannuation fund.</w:t>
      </w:r>
      <w:r w:rsidRPr="00A76A09">
        <w:rPr>
          <w:spacing w:val="1"/>
        </w:rPr>
        <w:t xml:space="preserve"> </w:t>
      </w:r>
    </w:p>
    <w:p w14:paraId="7811BC01" w14:textId="77777777" w:rsidR="00A76A09" w:rsidRPr="00A76A09" w:rsidRDefault="00A76A09" w:rsidP="00A76A09">
      <w:pPr>
        <w:spacing w:after="120" w:line="240" w:lineRule="auto"/>
        <w:jc w:val="both"/>
        <w:rPr>
          <w:spacing w:val="1"/>
        </w:rPr>
      </w:pPr>
      <w:r w:rsidRPr="00A76A09">
        <w:rPr>
          <w:spacing w:val="1"/>
        </w:rPr>
        <w:t>An employee can salary sacrifice between 1% and 5% of their salary which will be matched by a Council co-contribution of the same percentage.</w:t>
      </w:r>
    </w:p>
    <w:p w14:paraId="5B6675F0" w14:textId="77777777" w:rsidR="00A76A09" w:rsidRDefault="00A76A09" w:rsidP="00A76A09">
      <w:pPr>
        <w:spacing w:after="120" w:line="240" w:lineRule="auto"/>
        <w:jc w:val="both"/>
        <w:rPr>
          <w:lang w:val="en-US"/>
        </w:rPr>
      </w:pPr>
      <w:r>
        <w:rPr>
          <w:lang w:val="en-US"/>
        </w:rPr>
        <w:t xml:space="preserve">Employees can salary sacrifice over 5% but any amount over 5% will not be matched as a co-contribution.  </w:t>
      </w:r>
    </w:p>
    <w:p w14:paraId="04C75088" w14:textId="77777777" w:rsidR="00A76A09" w:rsidRPr="00A76A09" w:rsidRDefault="00A76A09" w:rsidP="00A76A09">
      <w:pPr>
        <w:spacing w:after="120" w:line="240" w:lineRule="auto"/>
        <w:jc w:val="both"/>
      </w:pPr>
      <w:r w:rsidRPr="00A76A09">
        <w:t>Employees are required to enter into an individual employment agreement prior to commencing salary sacrificing.</w:t>
      </w:r>
    </w:p>
    <w:p w14:paraId="6D692ACD" w14:textId="77777777" w:rsidR="00A76A09" w:rsidRPr="00A76A09" w:rsidRDefault="00A76A09" w:rsidP="00A76A09">
      <w:pPr>
        <w:spacing w:after="120" w:line="240" w:lineRule="auto"/>
        <w:jc w:val="both"/>
      </w:pPr>
      <w:r w:rsidRPr="00A76A09">
        <w:t>All employees will receive the compulsory superannuation contribution as per the Superannuation</w:t>
      </w:r>
      <w:r w:rsidRPr="00A76A09">
        <w:rPr>
          <w:spacing w:val="-2"/>
        </w:rPr>
        <w:t xml:space="preserve"> </w:t>
      </w:r>
      <w:r w:rsidRPr="00A76A09">
        <w:t>Guarantee (Administration) Act 1992.</w:t>
      </w:r>
    </w:p>
    <w:p w14:paraId="769BD98E" w14:textId="77777777" w:rsidR="00A76A09" w:rsidRDefault="00A76A09" w:rsidP="00A76A09">
      <w:pPr>
        <w:spacing w:after="120" w:line="240" w:lineRule="auto"/>
        <w:jc w:val="both"/>
        <w:rPr>
          <w:lang w:val="en-US"/>
        </w:rPr>
      </w:pPr>
      <w:r>
        <w:rPr>
          <w:lang w:val="en-US"/>
        </w:rPr>
        <w:t>Should the statutory superannuation guarantee charge percentage increase, the maximum Council co-contribution will decrease by the same percentage, with these two components amounting to a maximum of 16 per cent, noting that this can only be applied to new employees at the Town.</w:t>
      </w:r>
    </w:p>
    <w:p w14:paraId="53F609C1" w14:textId="77777777" w:rsidR="00A76A09" w:rsidRPr="00145E91" w:rsidRDefault="00A76A09" w:rsidP="00A76A09">
      <w:pPr>
        <w:spacing w:after="0" w:line="240" w:lineRule="auto"/>
        <w:jc w:val="both"/>
        <w:rPr>
          <w:bCs/>
          <w:u w:val="single"/>
        </w:rPr>
      </w:pPr>
      <w:r w:rsidRPr="00145E91">
        <w:rPr>
          <w:bCs/>
          <w:u w:val="single"/>
        </w:rPr>
        <w:t>Variation to this Policy</w:t>
      </w:r>
    </w:p>
    <w:p w14:paraId="20E123FB" w14:textId="77777777" w:rsidR="00A76A09" w:rsidRPr="00A76A09" w:rsidRDefault="00A76A09" w:rsidP="00A76A09">
      <w:pPr>
        <w:spacing w:after="120" w:line="240" w:lineRule="auto"/>
        <w:jc w:val="both"/>
      </w:pPr>
      <w:r w:rsidRPr="00A76A09">
        <w:t>This policy may be cancelled or varied from time to time. All the organisation’s employees will be notified of any variation to this Policy by the normal correspondence method.</w:t>
      </w:r>
    </w:p>
    <w:p w14:paraId="782E191D" w14:textId="77777777" w:rsidR="00A76A09" w:rsidRDefault="00A76A09" w:rsidP="00A76A09">
      <w:pPr>
        <w:pStyle w:val="BodyText"/>
        <w:spacing w:before="9"/>
        <w:rPr>
          <w:sz w:val="19"/>
        </w:rPr>
      </w:pPr>
    </w:p>
    <w:p w14:paraId="1B8671F0" w14:textId="705654C3" w:rsidR="004614B6" w:rsidRDefault="004614B6">
      <w:pPr>
        <w:rPr>
          <w:rFonts w:eastAsia="Times New Roman" w:cstheme="minorHAnsi"/>
          <w:sz w:val="19"/>
          <w:szCs w:val="20"/>
          <w:lang w:val="en-US"/>
        </w:rPr>
      </w:pPr>
      <w:r>
        <w:rPr>
          <w:rFonts w:cstheme="minorHAnsi"/>
          <w:sz w:val="19"/>
        </w:rPr>
        <w:br w:type="page"/>
      </w:r>
    </w:p>
    <w:tbl>
      <w:tblPr>
        <w:tblW w:w="914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1"/>
        <w:gridCol w:w="5903"/>
      </w:tblGrid>
      <w:tr w:rsidR="00A76A09" w:rsidRPr="00A76A09" w14:paraId="5B47FD89" w14:textId="77777777" w:rsidTr="00140F6F">
        <w:trPr>
          <w:trHeight w:val="266"/>
        </w:trPr>
        <w:tc>
          <w:tcPr>
            <w:tcW w:w="3241" w:type="dxa"/>
            <w:tcBorders>
              <w:bottom w:val="single" w:sz="6" w:space="0" w:color="000000"/>
            </w:tcBorders>
          </w:tcPr>
          <w:p w14:paraId="0FCDB62B" w14:textId="77777777" w:rsidR="00A76A09" w:rsidRPr="00A76A09" w:rsidRDefault="00A76A09" w:rsidP="00140F6F">
            <w:pPr>
              <w:pStyle w:val="TableParagraph"/>
              <w:spacing w:line="246" w:lineRule="exact"/>
              <w:ind w:left="142"/>
              <w:rPr>
                <w:rFonts w:asciiTheme="minorHAnsi" w:hAnsiTheme="minorHAnsi" w:cstheme="minorHAnsi"/>
                <w:b/>
              </w:rPr>
            </w:pPr>
            <w:r w:rsidRPr="00A76A09">
              <w:rPr>
                <w:rFonts w:asciiTheme="minorHAnsi" w:hAnsiTheme="minorHAnsi" w:cstheme="minorHAnsi"/>
                <w:b/>
              </w:rPr>
              <w:lastRenderedPageBreak/>
              <w:t>Responsible Directorate:</w:t>
            </w:r>
          </w:p>
        </w:tc>
        <w:tc>
          <w:tcPr>
            <w:tcW w:w="5903" w:type="dxa"/>
            <w:tcBorders>
              <w:bottom w:val="single" w:sz="6" w:space="0" w:color="000000"/>
            </w:tcBorders>
          </w:tcPr>
          <w:p w14:paraId="61D24904" w14:textId="77777777" w:rsidR="00A76A09" w:rsidRPr="00A76A09" w:rsidRDefault="00A76A09" w:rsidP="00140F6F">
            <w:pPr>
              <w:pStyle w:val="TableParagraph"/>
              <w:spacing w:line="246" w:lineRule="exact"/>
              <w:ind w:left="162"/>
              <w:rPr>
                <w:rFonts w:asciiTheme="minorHAnsi" w:hAnsiTheme="minorHAnsi" w:cstheme="minorHAnsi"/>
              </w:rPr>
            </w:pPr>
            <w:r w:rsidRPr="00A76A09">
              <w:rPr>
                <w:rFonts w:asciiTheme="minorHAnsi" w:hAnsiTheme="minorHAnsi" w:cstheme="minorHAnsi"/>
              </w:rPr>
              <w:t>CEO</w:t>
            </w:r>
          </w:p>
        </w:tc>
      </w:tr>
      <w:tr w:rsidR="00A76A09" w:rsidRPr="00A76A09" w14:paraId="693E9B55" w14:textId="77777777" w:rsidTr="00140F6F">
        <w:trPr>
          <w:trHeight w:val="266"/>
        </w:trPr>
        <w:tc>
          <w:tcPr>
            <w:tcW w:w="3241" w:type="dxa"/>
            <w:tcBorders>
              <w:top w:val="single" w:sz="6" w:space="0" w:color="000000"/>
            </w:tcBorders>
          </w:tcPr>
          <w:p w14:paraId="73D65DDD" w14:textId="77777777" w:rsidR="00A76A09" w:rsidRPr="00A76A09" w:rsidRDefault="00A76A09" w:rsidP="00140F6F">
            <w:pPr>
              <w:pStyle w:val="TableParagraph"/>
              <w:spacing w:line="246" w:lineRule="exact"/>
              <w:ind w:left="142"/>
              <w:rPr>
                <w:rFonts w:asciiTheme="minorHAnsi" w:hAnsiTheme="minorHAnsi" w:cstheme="minorHAnsi"/>
                <w:b/>
              </w:rPr>
            </w:pPr>
            <w:r w:rsidRPr="00A76A09">
              <w:rPr>
                <w:rFonts w:asciiTheme="minorHAnsi" w:hAnsiTheme="minorHAnsi" w:cstheme="minorHAnsi"/>
                <w:b/>
              </w:rPr>
              <w:t>Reviewing Officer:</w:t>
            </w:r>
          </w:p>
        </w:tc>
        <w:tc>
          <w:tcPr>
            <w:tcW w:w="5903" w:type="dxa"/>
            <w:tcBorders>
              <w:top w:val="single" w:sz="6" w:space="0" w:color="000000"/>
            </w:tcBorders>
          </w:tcPr>
          <w:p w14:paraId="01DBD31C" w14:textId="77777777" w:rsidR="00A76A09" w:rsidRPr="00A76A09" w:rsidRDefault="00A76A09" w:rsidP="00140F6F">
            <w:pPr>
              <w:pStyle w:val="TableParagraph"/>
              <w:spacing w:line="246" w:lineRule="exact"/>
              <w:ind w:left="162"/>
              <w:rPr>
                <w:rFonts w:asciiTheme="minorHAnsi" w:hAnsiTheme="minorHAnsi" w:cstheme="minorHAnsi"/>
              </w:rPr>
            </w:pPr>
            <w:r w:rsidRPr="00A76A09">
              <w:rPr>
                <w:rFonts w:asciiTheme="minorHAnsi" w:hAnsiTheme="minorHAnsi" w:cstheme="minorHAnsi"/>
              </w:rPr>
              <w:t>Chief Executive Officer</w:t>
            </w:r>
          </w:p>
        </w:tc>
      </w:tr>
      <w:tr w:rsidR="00A76A09" w:rsidRPr="00A76A09" w14:paraId="00F98AE3" w14:textId="77777777" w:rsidTr="00140F6F">
        <w:trPr>
          <w:trHeight w:val="268"/>
        </w:trPr>
        <w:tc>
          <w:tcPr>
            <w:tcW w:w="3241" w:type="dxa"/>
          </w:tcPr>
          <w:p w14:paraId="21D9F4A2" w14:textId="77777777" w:rsidR="00A76A09" w:rsidRPr="00A76A09" w:rsidRDefault="00A76A09" w:rsidP="00140F6F">
            <w:pPr>
              <w:pStyle w:val="TableParagraph"/>
              <w:spacing w:line="248" w:lineRule="exact"/>
              <w:ind w:left="142"/>
              <w:rPr>
                <w:rFonts w:asciiTheme="minorHAnsi" w:hAnsiTheme="minorHAnsi" w:cstheme="minorHAnsi"/>
                <w:b/>
              </w:rPr>
            </w:pPr>
            <w:r w:rsidRPr="00A76A09">
              <w:rPr>
                <w:rFonts w:asciiTheme="minorHAnsi" w:hAnsiTheme="minorHAnsi" w:cstheme="minorHAnsi"/>
                <w:b/>
              </w:rPr>
              <w:t>Decision making Authority:</w:t>
            </w:r>
          </w:p>
        </w:tc>
        <w:tc>
          <w:tcPr>
            <w:tcW w:w="5903" w:type="dxa"/>
          </w:tcPr>
          <w:p w14:paraId="418AB2C8" w14:textId="77777777" w:rsidR="00A76A09" w:rsidRPr="00A76A09" w:rsidRDefault="00A76A09" w:rsidP="00140F6F">
            <w:pPr>
              <w:pStyle w:val="TableParagraph"/>
              <w:spacing w:line="248" w:lineRule="exact"/>
              <w:ind w:left="162"/>
              <w:rPr>
                <w:rFonts w:asciiTheme="minorHAnsi" w:hAnsiTheme="minorHAnsi" w:cstheme="minorHAnsi"/>
              </w:rPr>
            </w:pPr>
            <w:r w:rsidRPr="00A76A09">
              <w:rPr>
                <w:rFonts w:asciiTheme="minorHAnsi" w:hAnsiTheme="minorHAnsi" w:cstheme="minorHAnsi"/>
              </w:rPr>
              <w:t>Council</w:t>
            </w:r>
          </w:p>
        </w:tc>
      </w:tr>
      <w:tr w:rsidR="00A76A09" w:rsidRPr="00A76A09" w14:paraId="4E391483" w14:textId="77777777" w:rsidTr="00140F6F">
        <w:trPr>
          <w:trHeight w:val="268"/>
        </w:trPr>
        <w:tc>
          <w:tcPr>
            <w:tcW w:w="3241" w:type="dxa"/>
          </w:tcPr>
          <w:p w14:paraId="0051CCFB" w14:textId="77777777" w:rsidR="00A76A09" w:rsidRPr="00A76A09" w:rsidRDefault="00A76A09" w:rsidP="00140F6F">
            <w:pPr>
              <w:pStyle w:val="TableParagraph"/>
              <w:spacing w:line="248" w:lineRule="exact"/>
              <w:ind w:left="142"/>
              <w:rPr>
                <w:rFonts w:asciiTheme="minorHAnsi" w:hAnsiTheme="minorHAnsi" w:cstheme="minorHAnsi"/>
                <w:b/>
              </w:rPr>
            </w:pPr>
            <w:r w:rsidRPr="00A76A09">
              <w:rPr>
                <w:rFonts w:asciiTheme="minorHAnsi" w:hAnsiTheme="minorHAnsi" w:cstheme="minorHAnsi"/>
                <w:b/>
              </w:rPr>
              <w:t>Policy Adopted:</w:t>
            </w:r>
          </w:p>
        </w:tc>
        <w:tc>
          <w:tcPr>
            <w:tcW w:w="5903" w:type="dxa"/>
          </w:tcPr>
          <w:p w14:paraId="5D317A99" w14:textId="77777777" w:rsidR="00A76A09" w:rsidRPr="00A76A09" w:rsidRDefault="00A76A09" w:rsidP="00140F6F">
            <w:pPr>
              <w:pStyle w:val="TableParagraph"/>
              <w:spacing w:line="248" w:lineRule="exact"/>
              <w:ind w:left="148"/>
              <w:rPr>
                <w:rFonts w:asciiTheme="minorHAnsi" w:hAnsiTheme="minorHAnsi" w:cstheme="minorHAnsi"/>
              </w:rPr>
            </w:pPr>
            <w:r w:rsidRPr="00A76A09">
              <w:rPr>
                <w:rFonts w:asciiTheme="minorHAnsi" w:hAnsiTheme="minorHAnsi" w:cstheme="minorHAnsi"/>
              </w:rPr>
              <w:t>17/8/21</w:t>
            </w:r>
          </w:p>
        </w:tc>
      </w:tr>
      <w:tr w:rsidR="00A76A09" w:rsidRPr="00A76A09" w14:paraId="3C4A85DC" w14:textId="77777777" w:rsidTr="00140F6F">
        <w:trPr>
          <w:trHeight w:val="268"/>
        </w:trPr>
        <w:tc>
          <w:tcPr>
            <w:tcW w:w="3241" w:type="dxa"/>
          </w:tcPr>
          <w:p w14:paraId="7ED4BA41" w14:textId="77777777" w:rsidR="00A76A09" w:rsidRPr="00A76A09" w:rsidRDefault="00A76A09" w:rsidP="00140F6F">
            <w:pPr>
              <w:pStyle w:val="TableParagraph"/>
              <w:spacing w:line="248" w:lineRule="exact"/>
              <w:ind w:left="142"/>
              <w:rPr>
                <w:rFonts w:asciiTheme="minorHAnsi" w:hAnsiTheme="minorHAnsi" w:cstheme="minorHAnsi"/>
                <w:b/>
              </w:rPr>
            </w:pPr>
            <w:r w:rsidRPr="00A76A09">
              <w:rPr>
                <w:rFonts w:asciiTheme="minorHAnsi" w:hAnsiTheme="minorHAnsi" w:cstheme="minorHAnsi"/>
                <w:b/>
              </w:rPr>
              <w:t>Policy Amended/Reviewed:</w:t>
            </w:r>
          </w:p>
        </w:tc>
        <w:tc>
          <w:tcPr>
            <w:tcW w:w="5903" w:type="dxa"/>
          </w:tcPr>
          <w:p w14:paraId="41FA598E" w14:textId="77777777" w:rsidR="00A76A09" w:rsidRPr="00A76A09" w:rsidRDefault="00A76A09" w:rsidP="00140F6F">
            <w:pPr>
              <w:pStyle w:val="TableParagraph"/>
              <w:rPr>
                <w:rFonts w:asciiTheme="minorHAnsi" w:hAnsiTheme="minorHAnsi" w:cstheme="minorHAnsi"/>
                <w:sz w:val="18"/>
              </w:rPr>
            </w:pPr>
          </w:p>
        </w:tc>
      </w:tr>
    </w:tbl>
    <w:p w14:paraId="3D22C510" w14:textId="77777777" w:rsidR="00A76A09" w:rsidRDefault="00A76A09" w:rsidP="0033352E"/>
    <w:p w14:paraId="75C66840" w14:textId="77777777" w:rsidR="0033352E" w:rsidRDefault="0033352E">
      <w:r>
        <w:br w:type="page"/>
      </w:r>
    </w:p>
    <w:p w14:paraId="4012EE9D" w14:textId="2114DF95" w:rsidR="004C4ADB" w:rsidRPr="00862911" w:rsidRDefault="003369A9" w:rsidP="003309BF">
      <w:pPr>
        <w:pStyle w:val="Title"/>
        <w:pBdr>
          <w:bottom w:val="none" w:sz="0" w:space="0" w:color="auto"/>
        </w:pBdr>
        <w:spacing w:after="240"/>
        <w:jc w:val="right"/>
        <w:rPr>
          <w:rFonts w:ascii="Arial" w:hAnsi="Arial" w:cs="Arial"/>
          <w:b/>
          <w:sz w:val="12"/>
          <w:szCs w:val="28"/>
          <w:lang w:val="en-US"/>
        </w:rPr>
      </w:pPr>
      <w:r>
        <w:rPr>
          <w:noProof/>
          <w:lang w:eastAsia="en-AU"/>
        </w:rPr>
        <w:lastRenderedPageBreak/>
        <w:drawing>
          <wp:anchor distT="0" distB="0" distL="114300" distR="114300" simplePos="0" relativeHeight="251661312" behindDoc="1" locked="0" layoutInCell="1" allowOverlap="1" wp14:anchorId="5D89C840" wp14:editId="107E566F">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DC61360" w14:textId="77777777" w:rsidR="003369A9" w:rsidRDefault="003369A9" w:rsidP="004C7530">
      <w:pPr>
        <w:pStyle w:val="Policy2"/>
        <w:spacing w:after="0"/>
      </w:pPr>
    </w:p>
    <w:p w14:paraId="44DABF2F" w14:textId="77777777" w:rsidR="003369A9" w:rsidRDefault="003369A9" w:rsidP="004C7530">
      <w:pPr>
        <w:pStyle w:val="Policy2"/>
        <w:spacing w:after="0"/>
      </w:pPr>
    </w:p>
    <w:p w14:paraId="3158E4E3" w14:textId="52E20B5D" w:rsidR="004C7530" w:rsidRDefault="004C7530" w:rsidP="004C7530">
      <w:pPr>
        <w:pStyle w:val="Policy2"/>
        <w:spacing w:after="0"/>
      </w:pPr>
      <w:bookmarkStart w:id="138" w:name="_Toc216866672"/>
      <w:r>
        <w:t>1.3</w:t>
      </w:r>
      <w:r>
        <w:tab/>
        <w:t>COMMUNICATIONS &amp; COMMUNITY ENGAGEMENT</w:t>
      </w:r>
      <w:bookmarkEnd w:id="138"/>
    </w:p>
    <w:p w14:paraId="3A51A8DD" w14:textId="77777777" w:rsidR="004C4ADB" w:rsidRPr="00862911" w:rsidRDefault="004C4ADB" w:rsidP="004C7530">
      <w:pPr>
        <w:pStyle w:val="Policy3"/>
        <w:spacing w:before="120"/>
      </w:pPr>
      <w:bookmarkStart w:id="139" w:name="_Toc216866673"/>
      <w:r w:rsidRPr="00862911">
        <w:t>1.3.1</w:t>
      </w:r>
      <w:r w:rsidRPr="00862911">
        <w:tab/>
        <w:t>S</w:t>
      </w:r>
      <w:r w:rsidR="00760D17">
        <w:t>ocial Media</w:t>
      </w:r>
      <w:bookmarkEnd w:id="139"/>
    </w:p>
    <w:tbl>
      <w:tblPr>
        <w:tblStyle w:val="TableGrid"/>
        <w:tblW w:w="0" w:type="auto"/>
        <w:tblLook w:val="04A0" w:firstRow="1" w:lastRow="0" w:firstColumn="1" w:lastColumn="0" w:noHBand="0" w:noVBand="1"/>
      </w:tblPr>
      <w:tblGrid>
        <w:gridCol w:w="3019"/>
        <w:gridCol w:w="5997"/>
      </w:tblGrid>
      <w:tr w:rsidR="004C4ADB" w:rsidRPr="004C4ADB" w14:paraId="4BCD2D93" w14:textId="77777777" w:rsidTr="004C4ADB">
        <w:tc>
          <w:tcPr>
            <w:tcW w:w="3019" w:type="dxa"/>
          </w:tcPr>
          <w:p w14:paraId="69C7FC4D" w14:textId="77777777" w:rsidR="004C4ADB" w:rsidRPr="004C4ADB" w:rsidRDefault="004C4ADB" w:rsidP="00B4063E">
            <w:pPr>
              <w:rPr>
                <w:rFonts w:cstheme="minorHAnsi"/>
                <w:b/>
                <w:lang w:val="en-US"/>
              </w:rPr>
            </w:pPr>
            <w:r w:rsidRPr="004C4ADB">
              <w:rPr>
                <w:rFonts w:cstheme="minorHAnsi"/>
                <w:b/>
                <w:lang w:val="en-US"/>
              </w:rPr>
              <w:t>Type:</w:t>
            </w:r>
          </w:p>
        </w:tc>
        <w:tc>
          <w:tcPr>
            <w:tcW w:w="5997" w:type="dxa"/>
          </w:tcPr>
          <w:p w14:paraId="382703E5" w14:textId="77777777" w:rsidR="004C4ADB" w:rsidRPr="004C4ADB" w:rsidRDefault="004C4ADB" w:rsidP="00B4063E">
            <w:pPr>
              <w:rPr>
                <w:rFonts w:cstheme="minorHAnsi"/>
                <w:lang w:val="en-US"/>
              </w:rPr>
            </w:pPr>
            <w:r>
              <w:rPr>
                <w:rFonts w:cstheme="minorHAnsi"/>
                <w:lang w:val="en-US"/>
              </w:rPr>
              <w:t>Office of the CEO – Communications &amp; Community Engagement</w:t>
            </w:r>
          </w:p>
        </w:tc>
      </w:tr>
      <w:tr w:rsidR="004C4ADB" w:rsidRPr="004C4ADB" w14:paraId="74FC3E66" w14:textId="77777777" w:rsidTr="004C4ADB">
        <w:tc>
          <w:tcPr>
            <w:tcW w:w="3019" w:type="dxa"/>
          </w:tcPr>
          <w:p w14:paraId="195A41E3" w14:textId="77777777" w:rsidR="004C4ADB" w:rsidRPr="004C4ADB" w:rsidRDefault="004C4ADB" w:rsidP="00B4063E">
            <w:pPr>
              <w:rPr>
                <w:rFonts w:cstheme="minorHAnsi"/>
                <w:b/>
                <w:lang w:val="en-US"/>
              </w:rPr>
            </w:pPr>
            <w:r w:rsidRPr="004C4ADB">
              <w:rPr>
                <w:rFonts w:cstheme="minorHAnsi"/>
                <w:b/>
                <w:lang w:val="en-US"/>
              </w:rPr>
              <w:t>Legislation:</w:t>
            </w:r>
          </w:p>
        </w:tc>
        <w:tc>
          <w:tcPr>
            <w:tcW w:w="5997" w:type="dxa"/>
          </w:tcPr>
          <w:p w14:paraId="369E6101" w14:textId="77777777" w:rsidR="004C4ADB" w:rsidRPr="004C4ADB" w:rsidRDefault="004C4ADB" w:rsidP="00B4063E">
            <w:pPr>
              <w:rPr>
                <w:rFonts w:cstheme="minorHAnsi"/>
                <w:lang w:val="en-US"/>
              </w:rPr>
            </w:pPr>
          </w:p>
        </w:tc>
      </w:tr>
      <w:tr w:rsidR="004C4ADB" w:rsidRPr="004C4ADB" w14:paraId="4591D09A" w14:textId="77777777" w:rsidTr="004C4ADB">
        <w:tc>
          <w:tcPr>
            <w:tcW w:w="3019" w:type="dxa"/>
          </w:tcPr>
          <w:p w14:paraId="0BF2C37F" w14:textId="77777777" w:rsidR="004C4ADB" w:rsidRPr="004C4ADB" w:rsidRDefault="004C4ADB" w:rsidP="00B4063E">
            <w:pPr>
              <w:rPr>
                <w:rFonts w:cstheme="minorHAnsi"/>
                <w:b/>
                <w:lang w:val="en-US"/>
              </w:rPr>
            </w:pPr>
            <w:r w:rsidRPr="004C4ADB">
              <w:rPr>
                <w:rFonts w:cstheme="minorHAnsi"/>
                <w:b/>
                <w:lang w:val="en-US"/>
              </w:rPr>
              <w:t>Delegation:</w:t>
            </w:r>
          </w:p>
        </w:tc>
        <w:tc>
          <w:tcPr>
            <w:tcW w:w="5997" w:type="dxa"/>
          </w:tcPr>
          <w:p w14:paraId="7B429D19" w14:textId="77777777" w:rsidR="004C4ADB" w:rsidRPr="004C4ADB" w:rsidRDefault="004C4ADB" w:rsidP="00B4063E">
            <w:pPr>
              <w:rPr>
                <w:rFonts w:cstheme="minorHAnsi"/>
                <w:lang w:val="en-US"/>
              </w:rPr>
            </w:pPr>
          </w:p>
        </w:tc>
      </w:tr>
      <w:tr w:rsidR="004C4ADB" w:rsidRPr="004C4ADB" w14:paraId="7FE433A8" w14:textId="77777777" w:rsidTr="004C4ADB">
        <w:tc>
          <w:tcPr>
            <w:tcW w:w="3019" w:type="dxa"/>
          </w:tcPr>
          <w:p w14:paraId="05FC7BFD" w14:textId="77777777" w:rsidR="004C4ADB" w:rsidRPr="004C4ADB" w:rsidRDefault="004C4ADB" w:rsidP="00B4063E">
            <w:pPr>
              <w:rPr>
                <w:rFonts w:cstheme="minorHAnsi"/>
                <w:b/>
                <w:lang w:val="en-US"/>
              </w:rPr>
            </w:pPr>
            <w:r w:rsidRPr="004C4ADB">
              <w:rPr>
                <w:rFonts w:cstheme="minorHAnsi"/>
                <w:b/>
                <w:lang w:val="en-US"/>
              </w:rPr>
              <w:t>Other Related Document:</w:t>
            </w:r>
          </w:p>
        </w:tc>
        <w:tc>
          <w:tcPr>
            <w:tcW w:w="5997" w:type="dxa"/>
          </w:tcPr>
          <w:p w14:paraId="422D5CCC" w14:textId="77777777" w:rsidR="004C4ADB" w:rsidRPr="004C4ADB" w:rsidRDefault="004C4ADB" w:rsidP="00B4063E">
            <w:pPr>
              <w:rPr>
                <w:rFonts w:cstheme="minorHAnsi"/>
                <w:lang w:val="en-US"/>
              </w:rPr>
            </w:pPr>
            <w:r w:rsidRPr="004C4ADB">
              <w:rPr>
                <w:rFonts w:cstheme="minorHAnsi"/>
                <w:lang w:val="en-US"/>
              </w:rPr>
              <w:t>Code of Conduct</w:t>
            </w:r>
            <w:r>
              <w:rPr>
                <w:rFonts w:cstheme="minorHAnsi"/>
                <w:lang w:val="en-US"/>
              </w:rPr>
              <w:t xml:space="preserve"> Policy (1.2.1</w:t>
            </w:r>
            <w:proofErr w:type="gramStart"/>
            <w:r>
              <w:rPr>
                <w:rFonts w:cstheme="minorHAnsi"/>
                <w:lang w:val="en-US"/>
              </w:rPr>
              <w:t>)</w:t>
            </w:r>
            <w:r w:rsidRPr="004C4ADB">
              <w:rPr>
                <w:rFonts w:cstheme="minorHAnsi"/>
                <w:lang w:val="en-US"/>
              </w:rPr>
              <w:t>;</w:t>
            </w:r>
            <w:proofErr w:type="gramEnd"/>
            <w:r w:rsidRPr="004C4ADB">
              <w:rPr>
                <w:rFonts w:cstheme="minorHAnsi"/>
                <w:lang w:val="en-US"/>
              </w:rPr>
              <w:t xml:space="preserve"> </w:t>
            </w:r>
          </w:p>
          <w:p w14:paraId="614DC750" w14:textId="77777777" w:rsidR="004C4ADB" w:rsidRPr="004C4ADB" w:rsidRDefault="004C4ADB" w:rsidP="00B4063E">
            <w:pPr>
              <w:rPr>
                <w:rFonts w:cstheme="minorHAnsi"/>
                <w:lang w:val="en-US"/>
              </w:rPr>
            </w:pPr>
            <w:r w:rsidRPr="004C4ADB">
              <w:rPr>
                <w:rFonts w:cstheme="minorHAnsi"/>
                <w:lang w:val="en-US"/>
              </w:rPr>
              <w:t xml:space="preserve">Workplace </w:t>
            </w:r>
            <w:proofErr w:type="spellStart"/>
            <w:r w:rsidRPr="004C4ADB">
              <w:rPr>
                <w:rFonts w:cstheme="minorHAnsi"/>
                <w:lang w:val="en-US"/>
              </w:rPr>
              <w:t>Behaviours</w:t>
            </w:r>
            <w:proofErr w:type="spellEnd"/>
          </w:p>
        </w:tc>
      </w:tr>
    </w:tbl>
    <w:p w14:paraId="709EADF0" w14:textId="77777777" w:rsidR="004C4ADB" w:rsidRPr="00862911" w:rsidRDefault="004C4ADB" w:rsidP="00B50AAC">
      <w:pPr>
        <w:spacing w:before="240" w:after="0"/>
        <w:rPr>
          <w:b/>
          <w:sz w:val="28"/>
          <w:szCs w:val="28"/>
          <w:lang w:val="en-US"/>
        </w:rPr>
      </w:pPr>
      <w:r w:rsidRPr="00862911">
        <w:rPr>
          <w:b/>
          <w:sz w:val="28"/>
          <w:szCs w:val="28"/>
          <w:lang w:val="en-US"/>
        </w:rPr>
        <w:t>Objective</w:t>
      </w:r>
    </w:p>
    <w:p w14:paraId="1283BE69" w14:textId="77777777" w:rsidR="004C4ADB" w:rsidRPr="004C4ADB" w:rsidRDefault="004C4ADB" w:rsidP="000A458A">
      <w:pPr>
        <w:spacing w:line="240" w:lineRule="auto"/>
        <w:jc w:val="both"/>
        <w:rPr>
          <w:rFonts w:cstheme="minorHAnsi"/>
        </w:rPr>
      </w:pPr>
      <w:r w:rsidRPr="004C4ADB">
        <w:rPr>
          <w:rFonts w:cstheme="minorHAnsi"/>
          <w:bCs/>
        </w:rPr>
        <w:t xml:space="preserve">To provide protocols for using social media to undertake official business and guidelines for </w:t>
      </w:r>
      <w:r w:rsidRPr="004C4ADB">
        <w:rPr>
          <w:rFonts w:cstheme="minorHAnsi"/>
        </w:rPr>
        <w:t xml:space="preserve">employees in their personal use of social media. </w:t>
      </w:r>
    </w:p>
    <w:p w14:paraId="632C7D1C" w14:textId="77777777" w:rsidR="004C4ADB" w:rsidRPr="004C4ADB" w:rsidRDefault="004C4ADB" w:rsidP="000A458A">
      <w:pPr>
        <w:spacing w:before="200" w:line="240" w:lineRule="auto"/>
        <w:jc w:val="both"/>
        <w:rPr>
          <w:rFonts w:cstheme="minorHAnsi"/>
          <w:b/>
          <w:bCs/>
        </w:rPr>
      </w:pPr>
      <w:proofErr w:type="gramStart"/>
      <w:r w:rsidRPr="004C4ADB">
        <w:rPr>
          <w:rFonts w:cstheme="minorHAnsi"/>
        </w:rPr>
        <w:t>For the purpose of</w:t>
      </w:r>
      <w:proofErr w:type="gramEnd"/>
      <w:r w:rsidRPr="004C4ADB">
        <w:rPr>
          <w:rFonts w:cstheme="minorHAnsi"/>
        </w:rPr>
        <w:t xml:space="preserve"> this Policy ‘employees’ denotes employees, volunteers, contractors and if applicable Elected Members.</w:t>
      </w:r>
    </w:p>
    <w:p w14:paraId="3CC89980" w14:textId="77777777" w:rsidR="004C4ADB" w:rsidRPr="00862911" w:rsidRDefault="00B50AAC" w:rsidP="00B50AAC">
      <w:pPr>
        <w:spacing w:before="200" w:after="0"/>
        <w:rPr>
          <w:b/>
          <w:sz w:val="28"/>
          <w:szCs w:val="28"/>
          <w:lang w:val="en-US"/>
        </w:rPr>
      </w:pPr>
      <w:r w:rsidRPr="00862911">
        <w:rPr>
          <w:b/>
          <w:sz w:val="28"/>
          <w:szCs w:val="28"/>
          <w:lang w:val="en-US"/>
        </w:rPr>
        <w:t xml:space="preserve">Policy </w:t>
      </w:r>
      <w:r w:rsidR="004C4ADB" w:rsidRPr="00862911">
        <w:rPr>
          <w:b/>
          <w:sz w:val="28"/>
          <w:szCs w:val="28"/>
          <w:lang w:val="en-US"/>
        </w:rPr>
        <w:t>Scope</w:t>
      </w:r>
    </w:p>
    <w:p w14:paraId="76B5A6C7" w14:textId="77777777" w:rsidR="004C4ADB" w:rsidRPr="004C4ADB" w:rsidRDefault="004C4ADB" w:rsidP="000A458A">
      <w:pPr>
        <w:spacing w:line="240" w:lineRule="auto"/>
        <w:jc w:val="both"/>
        <w:rPr>
          <w:rFonts w:cstheme="minorHAnsi"/>
        </w:rPr>
      </w:pPr>
      <w:r w:rsidRPr="004C4ADB">
        <w:rPr>
          <w:rFonts w:cstheme="minorHAnsi"/>
        </w:rPr>
        <w:t xml:space="preserve">The </w:t>
      </w:r>
      <w:proofErr w:type="gramStart"/>
      <w:r w:rsidRPr="004C4ADB">
        <w:rPr>
          <w:rFonts w:cstheme="minorHAnsi"/>
        </w:rPr>
        <w:t>Social Media Policy</w:t>
      </w:r>
      <w:proofErr w:type="gramEnd"/>
      <w:r w:rsidRPr="004C4ADB">
        <w:rPr>
          <w:rFonts w:cstheme="minorHAnsi"/>
        </w:rPr>
        <w:t xml:space="preserve"> outlines protocols for using social media to undertake official Town of East Fremantle Business and provides guidance for employees in their personal use of social media.</w:t>
      </w:r>
    </w:p>
    <w:p w14:paraId="31CC13FC" w14:textId="77777777" w:rsidR="004C4ADB" w:rsidRPr="004C4ADB" w:rsidRDefault="004C4ADB" w:rsidP="000A458A">
      <w:pPr>
        <w:spacing w:before="200" w:line="240" w:lineRule="auto"/>
        <w:jc w:val="both"/>
        <w:rPr>
          <w:rFonts w:cstheme="minorHAnsi"/>
        </w:rPr>
      </w:pPr>
      <w:r w:rsidRPr="004C4ADB">
        <w:rPr>
          <w:rFonts w:cstheme="minorHAnsi"/>
        </w:rPr>
        <w:t>This policy aims to inform employees how to use social media appropriately and has been developed to assist employees to use social media so they can participate in the use of social media while being mindful of their responsibilities.</w:t>
      </w:r>
    </w:p>
    <w:p w14:paraId="7D276F67" w14:textId="77777777" w:rsidR="004C4ADB" w:rsidRPr="004C4ADB" w:rsidRDefault="004C4ADB" w:rsidP="000A458A">
      <w:pPr>
        <w:spacing w:before="200" w:line="240" w:lineRule="auto"/>
        <w:jc w:val="both"/>
        <w:rPr>
          <w:rFonts w:cstheme="minorHAnsi"/>
        </w:rPr>
      </w:pPr>
      <w:r w:rsidRPr="004C4ADB">
        <w:rPr>
          <w:rFonts w:cstheme="minorHAnsi"/>
        </w:rPr>
        <w:t xml:space="preserve">The </w:t>
      </w:r>
      <w:proofErr w:type="gramStart"/>
      <w:r w:rsidRPr="004C4ADB">
        <w:rPr>
          <w:rFonts w:cstheme="minorHAnsi"/>
        </w:rPr>
        <w:t>Social Media Policy</w:t>
      </w:r>
      <w:proofErr w:type="gramEnd"/>
      <w:r w:rsidRPr="004C4ADB">
        <w:rPr>
          <w:rFonts w:cstheme="minorHAnsi"/>
        </w:rPr>
        <w:t xml:space="preserve"> applies to all Town of East Fremantle employees volunteers and managers should ensure their staff and volunteers are aware and understand this policy.</w:t>
      </w:r>
    </w:p>
    <w:p w14:paraId="6CE9BFD8" w14:textId="77777777" w:rsidR="004C4ADB" w:rsidRPr="004C4ADB" w:rsidRDefault="004C4ADB" w:rsidP="000A458A">
      <w:pPr>
        <w:spacing w:before="200" w:line="240" w:lineRule="auto"/>
        <w:jc w:val="both"/>
        <w:rPr>
          <w:rFonts w:cstheme="minorHAnsi"/>
          <w:lang w:val="en-US"/>
        </w:rPr>
      </w:pPr>
      <w:r w:rsidRPr="004C4ADB">
        <w:rPr>
          <w:rFonts w:cstheme="minorHAnsi"/>
        </w:rPr>
        <w:t xml:space="preserve">Reference should also be made to the Town of East Fremantle’s </w:t>
      </w:r>
      <w:r w:rsidRPr="004C4ADB">
        <w:rPr>
          <w:rFonts w:cstheme="minorHAnsi"/>
          <w:bCs/>
        </w:rPr>
        <w:t>Code of Conduct.</w:t>
      </w:r>
    </w:p>
    <w:p w14:paraId="5E71C45E" w14:textId="77777777" w:rsidR="004C4ADB" w:rsidRPr="00862911" w:rsidRDefault="004C4ADB" w:rsidP="00B50AAC">
      <w:pPr>
        <w:spacing w:before="200" w:after="0"/>
        <w:rPr>
          <w:b/>
          <w:sz w:val="28"/>
          <w:szCs w:val="28"/>
          <w:lang w:val="en-US"/>
        </w:rPr>
      </w:pPr>
      <w:r w:rsidRPr="00862911">
        <w:rPr>
          <w:b/>
          <w:sz w:val="28"/>
          <w:szCs w:val="28"/>
          <w:lang w:val="en-US"/>
        </w:rPr>
        <w:t>Policy</w:t>
      </w:r>
    </w:p>
    <w:p w14:paraId="4D873093" w14:textId="77777777" w:rsidR="004C4ADB" w:rsidRPr="004C4ADB" w:rsidRDefault="004C4ADB" w:rsidP="000A458A">
      <w:pPr>
        <w:tabs>
          <w:tab w:val="left" w:pos="567"/>
        </w:tabs>
        <w:spacing w:line="240" w:lineRule="auto"/>
        <w:jc w:val="both"/>
        <w:rPr>
          <w:rFonts w:cstheme="minorHAnsi"/>
          <w:bCs/>
        </w:rPr>
      </w:pPr>
      <w:r w:rsidRPr="004C4ADB">
        <w:rPr>
          <w:rFonts w:cstheme="minorHAnsi"/>
          <w:bCs/>
        </w:rPr>
        <w:t>This Policy applies to the official use of social media, where employees have been authorised by the Chief Executive Officer to use social media as a communication tool, to engage the community or to distribute content on behalf of the Town.</w:t>
      </w:r>
    </w:p>
    <w:p w14:paraId="565F5CDB" w14:textId="77777777" w:rsidR="004C4ADB" w:rsidRPr="004C4ADB" w:rsidRDefault="004C4ADB" w:rsidP="000A458A">
      <w:pPr>
        <w:tabs>
          <w:tab w:val="left" w:pos="567"/>
        </w:tabs>
        <w:spacing w:before="200" w:line="240" w:lineRule="auto"/>
        <w:jc w:val="both"/>
        <w:rPr>
          <w:rFonts w:cstheme="minorHAnsi"/>
          <w:bCs/>
        </w:rPr>
      </w:pPr>
      <w:r w:rsidRPr="004C4ADB">
        <w:rPr>
          <w:rFonts w:cstheme="minorHAnsi"/>
          <w:bCs/>
        </w:rPr>
        <w:t>This includes posting to the Town’s official social media account/s (</w:t>
      </w:r>
      <w:proofErr w:type="spellStart"/>
      <w:r w:rsidRPr="004C4ADB">
        <w:rPr>
          <w:rFonts w:cstheme="minorHAnsi"/>
          <w:bCs/>
        </w:rPr>
        <w:t>eg</w:t>
      </w:r>
      <w:proofErr w:type="spellEnd"/>
      <w:r w:rsidRPr="004C4ADB">
        <w:rPr>
          <w:rFonts w:cstheme="minorHAnsi"/>
          <w:bCs/>
        </w:rPr>
        <w:t xml:space="preserve"> Facebook) and participating as a representative on a third-party site (</w:t>
      </w:r>
      <w:proofErr w:type="spellStart"/>
      <w:r w:rsidRPr="004C4ADB">
        <w:rPr>
          <w:rFonts w:cstheme="minorHAnsi"/>
          <w:bCs/>
        </w:rPr>
        <w:t>eg</w:t>
      </w:r>
      <w:proofErr w:type="spellEnd"/>
      <w:r w:rsidRPr="004C4ADB">
        <w:rPr>
          <w:rFonts w:cstheme="minorHAnsi"/>
          <w:bCs/>
        </w:rPr>
        <w:t xml:space="preserve"> news comment, online forum).</w:t>
      </w:r>
    </w:p>
    <w:p w14:paraId="237A1527" w14:textId="77777777" w:rsidR="004C4ADB" w:rsidRPr="004C4ADB" w:rsidRDefault="004C4ADB" w:rsidP="000A458A">
      <w:pPr>
        <w:tabs>
          <w:tab w:val="left" w:pos="567"/>
        </w:tabs>
        <w:spacing w:before="200" w:line="240" w:lineRule="auto"/>
        <w:jc w:val="both"/>
        <w:rPr>
          <w:rFonts w:cstheme="minorHAnsi"/>
          <w:bCs/>
        </w:rPr>
      </w:pPr>
      <w:r w:rsidRPr="004C4ADB">
        <w:rPr>
          <w:rFonts w:cstheme="minorHAnsi"/>
          <w:bCs/>
        </w:rPr>
        <w:t>This policy also provides guidance to employees in their personal use of social media.  Employees are reminded of their responsibilities under the Town of East Fremantle’s Code of Conduct and other policies, procedures and processes.</w:t>
      </w:r>
    </w:p>
    <w:p w14:paraId="009571FE" w14:textId="77777777" w:rsidR="00AD7972" w:rsidRDefault="00AD7972">
      <w:pPr>
        <w:rPr>
          <w:b/>
          <w:lang w:val="en-US"/>
        </w:rPr>
      </w:pPr>
      <w:r>
        <w:rPr>
          <w:b/>
          <w:lang w:val="en-US"/>
        </w:rPr>
        <w:br w:type="page"/>
      </w:r>
    </w:p>
    <w:p w14:paraId="1D8A399C" w14:textId="4B546AE3" w:rsidR="004C4ADB" w:rsidRPr="00862911" w:rsidRDefault="004C4ADB" w:rsidP="000A458A">
      <w:pPr>
        <w:spacing w:before="200" w:after="0" w:line="240" w:lineRule="auto"/>
        <w:rPr>
          <w:b/>
          <w:lang w:val="en-US"/>
        </w:rPr>
      </w:pPr>
      <w:r w:rsidRPr="00862911">
        <w:rPr>
          <w:b/>
          <w:lang w:val="en-US"/>
        </w:rPr>
        <w:lastRenderedPageBreak/>
        <w:t>Official use of social media</w:t>
      </w:r>
    </w:p>
    <w:p w14:paraId="5AD0D13D" w14:textId="77777777" w:rsidR="004C4ADB" w:rsidRPr="004C4ADB" w:rsidRDefault="004C4ADB" w:rsidP="000A458A">
      <w:pPr>
        <w:tabs>
          <w:tab w:val="left" w:pos="567"/>
        </w:tabs>
        <w:spacing w:line="240" w:lineRule="auto"/>
        <w:jc w:val="both"/>
        <w:rPr>
          <w:rFonts w:cstheme="minorHAnsi"/>
          <w:bCs/>
        </w:rPr>
      </w:pPr>
      <w:r w:rsidRPr="004C4ADB">
        <w:rPr>
          <w:rFonts w:cstheme="minorHAnsi"/>
          <w:bCs/>
        </w:rPr>
        <w:t>The same high standards of conduct and behaviour expected of the Town staff also applies when participating online through social media.  Online participation should reflect and uphold the values, integrity and reputation of the Town of East Fremantle.</w:t>
      </w:r>
    </w:p>
    <w:p w14:paraId="17F7FA83" w14:textId="77777777" w:rsidR="004C4ADB" w:rsidRPr="004C4ADB" w:rsidRDefault="004C4ADB" w:rsidP="000A458A">
      <w:pPr>
        <w:tabs>
          <w:tab w:val="left" w:pos="567"/>
        </w:tabs>
        <w:spacing w:before="200" w:line="240" w:lineRule="auto"/>
        <w:jc w:val="both"/>
        <w:rPr>
          <w:rFonts w:cstheme="minorHAnsi"/>
          <w:bCs/>
        </w:rPr>
      </w:pPr>
      <w:r w:rsidRPr="004C4ADB">
        <w:rPr>
          <w:rFonts w:cstheme="minorHAnsi"/>
          <w:bCs/>
        </w:rPr>
        <w:t xml:space="preserve">Officers managing the Town of East Fremantle social media account/s are responsible for engaging online with the </w:t>
      </w:r>
      <w:proofErr w:type="gramStart"/>
      <w:r w:rsidRPr="004C4ADB">
        <w:rPr>
          <w:rFonts w:cstheme="minorHAnsi"/>
          <w:bCs/>
        </w:rPr>
        <w:t>general public</w:t>
      </w:r>
      <w:proofErr w:type="gramEnd"/>
      <w:r w:rsidRPr="004C4ADB">
        <w:rPr>
          <w:rFonts w:cstheme="minorHAnsi"/>
          <w:bCs/>
        </w:rPr>
        <w:t xml:space="preserve"> and other stakeholders in an official capacity.</w:t>
      </w:r>
    </w:p>
    <w:p w14:paraId="1F5235E7" w14:textId="77777777" w:rsidR="004C4ADB" w:rsidRPr="004C4ADB" w:rsidRDefault="004C4ADB" w:rsidP="000A458A">
      <w:pPr>
        <w:tabs>
          <w:tab w:val="left" w:pos="567"/>
        </w:tabs>
        <w:spacing w:before="200" w:after="60" w:line="240" w:lineRule="auto"/>
        <w:jc w:val="both"/>
        <w:rPr>
          <w:rFonts w:cstheme="minorHAnsi"/>
          <w:bCs/>
        </w:rPr>
      </w:pPr>
      <w:r w:rsidRPr="004C4ADB">
        <w:rPr>
          <w:rFonts w:cstheme="minorHAnsi"/>
          <w:bCs/>
        </w:rPr>
        <w:t>Statements / comments made from the Town’s social media account/s must not:</w:t>
      </w:r>
    </w:p>
    <w:p w14:paraId="2FEAAF3E" w14:textId="77777777" w:rsidR="004C4ADB" w:rsidRPr="004C4ADB" w:rsidRDefault="004C4ADB" w:rsidP="000A458A">
      <w:pPr>
        <w:pStyle w:val="ListParagraph"/>
        <w:numPr>
          <w:ilvl w:val="0"/>
          <w:numId w:val="22"/>
        </w:numPr>
        <w:tabs>
          <w:tab w:val="left" w:pos="567"/>
        </w:tabs>
        <w:spacing w:before="60" w:after="0" w:line="240" w:lineRule="auto"/>
        <w:ind w:left="567" w:hanging="567"/>
        <w:contextualSpacing w:val="0"/>
        <w:jc w:val="both"/>
        <w:rPr>
          <w:rFonts w:cstheme="minorHAnsi"/>
          <w:bCs/>
        </w:rPr>
      </w:pPr>
      <w:r>
        <w:rPr>
          <w:rFonts w:cstheme="minorHAnsi"/>
          <w:bCs/>
        </w:rPr>
        <w:t>e</w:t>
      </w:r>
      <w:r w:rsidRPr="004C4ADB">
        <w:rPr>
          <w:rFonts w:cstheme="minorHAnsi"/>
          <w:bCs/>
        </w:rPr>
        <w:t>ndorse or make judgements about specific individuals, groups, businesses, services or agencies.</w:t>
      </w:r>
    </w:p>
    <w:p w14:paraId="5951AC92" w14:textId="77777777" w:rsidR="004C4ADB" w:rsidRPr="004C4ADB" w:rsidRDefault="004C4ADB" w:rsidP="000A458A">
      <w:pPr>
        <w:pStyle w:val="ListParagraph"/>
        <w:numPr>
          <w:ilvl w:val="0"/>
          <w:numId w:val="22"/>
        </w:numPr>
        <w:tabs>
          <w:tab w:val="left" w:pos="567"/>
        </w:tabs>
        <w:spacing w:before="60" w:after="0" w:line="240" w:lineRule="auto"/>
        <w:ind w:left="567" w:hanging="567"/>
        <w:contextualSpacing w:val="0"/>
        <w:jc w:val="both"/>
        <w:rPr>
          <w:rFonts w:cstheme="minorHAnsi"/>
          <w:bCs/>
        </w:rPr>
      </w:pPr>
      <w:r>
        <w:rPr>
          <w:rFonts w:cstheme="minorHAnsi"/>
          <w:bCs/>
        </w:rPr>
        <w:t>d</w:t>
      </w:r>
      <w:r w:rsidRPr="004C4ADB">
        <w:rPr>
          <w:rFonts w:cstheme="minorHAnsi"/>
          <w:bCs/>
        </w:rPr>
        <w:t>iscuss circumstances surrounding the Town’s specific relationship with individuals, groups, businesses, services or agencies.</w:t>
      </w:r>
    </w:p>
    <w:p w14:paraId="2D564F15" w14:textId="77777777" w:rsidR="004C4ADB" w:rsidRPr="004C4ADB" w:rsidRDefault="004C4ADB" w:rsidP="000A458A">
      <w:pPr>
        <w:pStyle w:val="ListParagraph"/>
        <w:numPr>
          <w:ilvl w:val="0"/>
          <w:numId w:val="22"/>
        </w:numPr>
        <w:tabs>
          <w:tab w:val="left" w:pos="567"/>
        </w:tabs>
        <w:spacing w:before="60" w:after="0" w:line="240" w:lineRule="auto"/>
        <w:ind w:left="567" w:hanging="567"/>
        <w:contextualSpacing w:val="0"/>
        <w:jc w:val="both"/>
        <w:rPr>
          <w:rFonts w:cstheme="minorHAnsi"/>
          <w:bCs/>
        </w:rPr>
      </w:pPr>
      <w:r>
        <w:rPr>
          <w:rFonts w:cstheme="minorHAnsi"/>
          <w:bCs/>
        </w:rPr>
        <w:t>m</w:t>
      </w:r>
      <w:r w:rsidRPr="004C4ADB">
        <w:rPr>
          <w:rFonts w:cstheme="minorHAnsi"/>
          <w:bCs/>
        </w:rPr>
        <w:t>ake personal judgements about any matter pertaining to the Town of East Fremantle, including decisions of Council, management, staff, policy, procedure or process.</w:t>
      </w:r>
    </w:p>
    <w:p w14:paraId="63249DA3" w14:textId="77777777" w:rsidR="004C4ADB" w:rsidRPr="004C4ADB" w:rsidRDefault="004C4ADB" w:rsidP="000A458A">
      <w:pPr>
        <w:pStyle w:val="ListParagraph"/>
        <w:numPr>
          <w:ilvl w:val="0"/>
          <w:numId w:val="22"/>
        </w:numPr>
        <w:tabs>
          <w:tab w:val="left" w:pos="567"/>
        </w:tabs>
        <w:spacing w:before="60" w:after="0" w:line="240" w:lineRule="auto"/>
        <w:ind w:left="567" w:hanging="567"/>
        <w:contextualSpacing w:val="0"/>
        <w:jc w:val="both"/>
        <w:rPr>
          <w:rFonts w:cstheme="minorHAnsi"/>
          <w:bCs/>
        </w:rPr>
      </w:pPr>
      <w:r>
        <w:rPr>
          <w:rFonts w:cstheme="minorHAnsi"/>
          <w:bCs/>
        </w:rPr>
        <w:t>e</w:t>
      </w:r>
      <w:r w:rsidRPr="004C4ADB">
        <w:rPr>
          <w:rFonts w:cstheme="minorHAnsi"/>
          <w:bCs/>
        </w:rPr>
        <w:t>ngage in any on-line discussion involving specific individual circumstances or personal details.  If this occurs the employee should direct the person/s involved to an alternative medium (</w:t>
      </w:r>
      <w:proofErr w:type="spellStart"/>
      <w:r w:rsidRPr="004C4ADB">
        <w:rPr>
          <w:rFonts w:cstheme="minorHAnsi"/>
          <w:bCs/>
        </w:rPr>
        <w:t>eg</w:t>
      </w:r>
      <w:proofErr w:type="spellEnd"/>
      <w:r w:rsidRPr="004C4ADB">
        <w:rPr>
          <w:rFonts w:cstheme="minorHAnsi"/>
          <w:bCs/>
        </w:rPr>
        <w:t xml:space="preserve"> email, telephone, letter) as appropriate.</w:t>
      </w:r>
    </w:p>
    <w:p w14:paraId="0EC05B39" w14:textId="77777777" w:rsidR="004C4ADB" w:rsidRPr="00862911" w:rsidRDefault="004C4ADB" w:rsidP="000A458A">
      <w:pPr>
        <w:spacing w:before="200" w:after="0" w:line="240" w:lineRule="auto"/>
        <w:rPr>
          <w:b/>
          <w:lang w:val="en-US"/>
        </w:rPr>
      </w:pPr>
      <w:r w:rsidRPr="00862911">
        <w:rPr>
          <w:b/>
          <w:lang w:val="en-US"/>
        </w:rPr>
        <w:t>Principles for official use of social media</w:t>
      </w:r>
    </w:p>
    <w:p w14:paraId="0478477E" w14:textId="77777777" w:rsidR="004C4ADB" w:rsidRPr="004C4ADB" w:rsidRDefault="004C4ADB" w:rsidP="000A458A">
      <w:pPr>
        <w:tabs>
          <w:tab w:val="left" w:pos="567"/>
        </w:tabs>
        <w:spacing w:after="0" w:line="240" w:lineRule="auto"/>
        <w:jc w:val="both"/>
        <w:rPr>
          <w:rFonts w:cstheme="minorHAnsi"/>
          <w:bCs/>
        </w:rPr>
      </w:pPr>
      <w:r w:rsidRPr="004C4ADB">
        <w:rPr>
          <w:rFonts w:cstheme="minorHAnsi"/>
          <w:bCs/>
        </w:rPr>
        <w:t>All employees who are authorised to use or manage social media as an official communication tool need to be familiar with and apply the following principles:</w:t>
      </w:r>
    </w:p>
    <w:p w14:paraId="155B5F94"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The Town’s official social media account/s must be administered by an authorised officer/s.</w:t>
      </w:r>
    </w:p>
    <w:p w14:paraId="6D6E6A15"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 xml:space="preserve">Before commencing a social media </w:t>
      </w:r>
      <w:proofErr w:type="gramStart"/>
      <w:r w:rsidRPr="004C4ADB">
        <w:rPr>
          <w:rFonts w:cstheme="minorHAnsi"/>
          <w:bCs/>
        </w:rPr>
        <w:t>project</w:t>
      </w:r>
      <w:proofErr w:type="gramEnd"/>
      <w:r w:rsidRPr="004C4ADB">
        <w:rPr>
          <w:rFonts w:cstheme="minorHAnsi"/>
          <w:bCs/>
        </w:rPr>
        <w:t xml:space="preserve"> it must be approved by the executive manager of the relevant department and the Chief Executive Officer.</w:t>
      </w:r>
    </w:p>
    <w:p w14:paraId="3FE8A61C"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Always use authorised Town of East Fremantle contact details, not personal details, when posting to or responding from social media accounts.</w:t>
      </w:r>
    </w:p>
    <w:p w14:paraId="5B394B06"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Maintain confidentiality and only post publicly available information.  Under no circumstances should official or confidential information be disclosed.</w:t>
      </w:r>
    </w:p>
    <w:p w14:paraId="400010A1"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Do not make commitments or engage in activities on behalf of the Town unless you are authorised by the Chief Executive Officer to do so.</w:t>
      </w:r>
    </w:p>
    <w:p w14:paraId="5D8AB618"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Protect your own privacy and personal information and do not disclose private details of other employees</w:t>
      </w:r>
      <w:r w:rsidRPr="004C4ADB">
        <w:rPr>
          <w:rFonts w:cstheme="minorHAnsi"/>
          <w:bCs/>
          <w:color w:val="FF0000"/>
        </w:rPr>
        <w:t xml:space="preserve">.  </w:t>
      </w:r>
      <w:r w:rsidRPr="004C4ADB">
        <w:rPr>
          <w:rFonts w:cstheme="minorHAnsi"/>
          <w:bCs/>
        </w:rPr>
        <w:t>Do not disclose details of private conversations unless you have obtained explicit consent from all relevant parties.</w:t>
      </w:r>
    </w:p>
    <w:p w14:paraId="2D78AD1B"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Avoid statements that advocate or criticise decisions, policies, procedures and processes of the Town.</w:t>
      </w:r>
    </w:p>
    <w:p w14:paraId="0995BE5A"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Always be courteous, polite and respectful.  Be sensitive to diversity and avoid arguments or making personal attacks.  Do not post obscene, defamatory, threatening, harassing, discriminatory or hateful content.</w:t>
      </w:r>
    </w:p>
    <w:p w14:paraId="50B4387E"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 xml:space="preserve">Make sure the information you publish is correct as people may make decisions based on the information you post. </w:t>
      </w:r>
    </w:p>
    <w:p w14:paraId="2CE823A6"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Respect copyright.</w:t>
      </w:r>
    </w:p>
    <w:p w14:paraId="60AC6408"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t>Keep records of all posts you make in an official capacity as set out in the Town’s Record Keeping Procedures and Record Keeping Plan.</w:t>
      </w:r>
    </w:p>
    <w:p w14:paraId="508660BF" w14:textId="77777777" w:rsidR="004C4ADB" w:rsidRPr="004C4ADB" w:rsidRDefault="004C4ADB" w:rsidP="000A458A">
      <w:pPr>
        <w:pStyle w:val="ListParagraph"/>
        <w:numPr>
          <w:ilvl w:val="0"/>
          <w:numId w:val="25"/>
        </w:numPr>
        <w:tabs>
          <w:tab w:val="left" w:pos="567"/>
        </w:tabs>
        <w:spacing w:before="60" w:after="0" w:line="240" w:lineRule="auto"/>
        <w:ind w:left="567" w:hanging="567"/>
        <w:contextualSpacing w:val="0"/>
        <w:jc w:val="both"/>
        <w:rPr>
          <w:rFonts w:cstheme="minorHAnsi"/>
          <w:bCs/>
        </w:rPr>
      </w:pPr>
      <w:r w:rsidRPr="004C4ADB">
        <w:rPr>
          <w:rFonts w:cstheme="minorHAnsi"/>
          <w:bCs/>
        </w:rPr>
        <w:lastRenderedPageBreak/>
        <w:t>Review content before you post it and have another employee review the content before posting it.</w:t>
      </w:r>
    </w:p>
    <w:p w14:paraId="2E4485D7" w14:textId="77777777" w:rsidR="004C4ADB" w:rsidRPr="00862911" w:rsidRDefault="004C4ADB" w:rsidP="000A458A">
      <w:pPr>
        <w:spacing w:before="200" w:after="0" w:line="240" w:lineRule="auto"/>
        <w:rPr>
          <w:b/>
          <w:lang w:val="en-US"/>
        </w:rPr>
      </w:pPr>
      <w:r w:rsidRPr="00862911">
        <w:rPr>
          <w:b/>
          <w:lang w:val="en-US"/>
        </w:rPr>
        <w:t>Personal use of social media</w:t>
      </w:r>
    </w:p>
    <w:p w14:paraId="15CF5755" w14:textId="77777777" w:rsidR="004C4ADB" w:rsidRPr="004C4ADB" w:rsidRDefault="004C4ADB" w:rsidP="000A458A">
      <w:pPr>
        <w:tabs>
          <w:tab w:val="left" w:pos="567"/>
        </w:tabs>
        <w:spacing w:line="240" w:lineRule="auto"/>
        <w:jc w:val="both"/>
        <w:rPr>
          <w:rFonts w:cstheme="minorHAnsi"/>
          <w:bCs/>
        </w:rPr>
      </w:pPr>
      <w:r w:rsidRPr="004C4ADB">
        <w:rPr>
          <w:rFonts w:cstheme="minorHAnsi"/>
          <w:bCs/>
        </w:rPr>
        <w:t>Town of East Fremantle employees should be aware that content published on social media is, or may become, publicly available even from personal social media accounts.</w:t>
      </w:r>
    </w:p>
    <w:p w14:paraId="4E5623A2" w14:textId="77777777" w:rsidR="004C4ADB" w:rsidRPr="004C4ADB" w:rsidRDefault="004C4ADB" w:rsidP="000A458A">
      <w:pPr>
        <w:tabs>
          <w:tab w:val="left" w:pos="567"/>
        </w:tabs>
        <w:spacing w:after="60" w:line="240" w:lineRule="auto"/>
        <w:jc w:val="both"/>
        <w:rPr>
          <w:rFonts w:cstheme="minorHAnsi"/>
          <w:bCs/>
        </w:rPr>
      </w:pPr>
      <w:r w:rsidRPr="004C4ADB">
        <w:rPr>
          <w:rFonts w:cstheme="minorHAnsi"/>
          <w:bCs/>
        </w:rPr>
        <w:t>Employees must ensure they:</w:t>
      </w:r>
    </w:p>
    <w:p w14:paraId="59A1C9D4" w14:textId="77777777" w:rsidR="004C4ADB" w:rsidRPr="004C4ADB" w:rsidRDefault="004C4ADB" w:rsidP="000A458A">
      <w:pPr>
        <w:pStyle w:val="ListParagraph"/>
        <w:numPr>
          <w:ilvl w:val="0"/>
          <w:numId w:val="23"/>
        </w:numPr>
        <w:tabs>
          <w:tab w:val="left" w:pos="567"/>
        </w:tabs>
        <w:spacing w:after="60" w:line="240" w:lineRule="auto"/>
        <w:ind w:left="567" w:hanging="567"/>
        <w:contextualSpacing w:val="0"/>
        <w:jc w:val="both"/>
        <w:rPr>
          <w:rFonts w:cstheme="minorHAnsi"/>
          <w:bCs/>
        </w:rPr>
      </w:pPr>
      <w:r>
        <w:rPr>
          <w:rFonts w:cstheme="minorHAnsi"/>
          <w:bCs/>
        </w:rPr>
        <w:t>a</w:t>
      </w:r>
      <w:r w:rsidRPr="004C4ADB">
        <w:rPr>
          <w:rFonts w:cstheme="minorHAnsi"/>
          <w:bCs/>
        </w:rPr>
        <w:t xml:space="preserve">re mindful that their behaviour </w:t>
      </w:r>
      <w:proofErr w:type="gramStart"/>
      <w:r w:rsidRPr="004C4ADB">
        <w:rPr>
          <w:rFonts w:cstheme="minorHAnsi"/>
          <w:bCs/>
        </w:rPr>
        <w:t>at all times</w:t>
      </w:r>
      <w:proofErr w:type="gramEnd"/>
      <w:r w:rsidRPr="004C4ADB">
        <w:rPr>
          <w:rFonts w:cstheme="minorHAnsi"/>
          <w:bCs/>
        </w:rPr>
        <w:t xml:space="preserve"> is bound by the Town’s Code of Conduct, even outside work hours and when material is posted using an alias or pseudonym.</w:t>
      </w:r>
    </w:p>
    <w:p w14:paraId="2EC8AAE6" w14:textId="77777777" w:rsidR="004C4ADB" w:rsidRPr="004C4ADB" w:rsidRDefault="004C4ADB" w:rsidP="000A458A">
      <w:pPr>
        <w:pStyle w:val="ListParagraph"/>
        <w:numPr>
          <w:ilvl w:val="0"/>
          <w:numId w:val="23"/>
        </w:numPr>
        <w:tabs>
          <w:tab w:val="left" w:pos="567"/>
        </w:tabs>
        <w:spacing w:after="60" w:line="240" w:lineRule="auto"/>
        <w:ind w:left="567" w:hanging="567"/>
        <w:contextualSpacing w:val="0"/>
        <w:jc w:val="both"/>
        <w:rPr>
          <w:rFonts w:cstheme="minorHAnsi"/>
          <w:bCs/>
        </w:rPr>
      </w:pPr>
      <w:r>
        <w:rPr>
          <w:rFonts w:cstheme="minorHAnsi"/>
          <w:bCs/>
        </w:rPr>
        <w:t>m</w:t>
      </w:r>
      <w:r w:rsidRPr="004C4ADB">
        <w:rPr>
          <w:rFonts w:cstheme="minorHAnsi"/>
          <w:bCs/>
        </w:rPr>
        <w:t>ake clear that any views are expressed are their own and not those of the Town of East Fremantle.</w:t>
      </w:r>
    </w:p>
    <w:p w14:paraId="63510E12" w14:textId="77777777" w:rsidR="004C4ADB" w:rsidRPr="004C4ADB" w:rsidRDefault="004C4ADB" w:rsidP="000A458A">
      <w:pPr>
        <w:pStyle w:val="ListParagraph"/>
        <w:numPr>
          <w:ilvl w:val="0"/>
          <w:numId w:val="23"/>
        </w:numPr>
        <w:tabs>
          <w:tab w:val="left" w:pos="567"/>
        </w:tabs>
        <w:spacing w:after="60" w:line="240" w:lineRule="auto"/>
        <w:ind w:left="567" w:hanging="567"/>
        <w:contextualSpacing w:val="0"/>
        <w:jc w:val="both"/>
        <w:rPr>
          <w:rFonts w:cstheme="minorHAnsi"/>
          <w:bCs/>
        </w:rPr>
      </w:pPr>
      <w:r>
        <w:rPr>
          <w:rFonts w:cstheme="minorHAnsi"/>
          <w:bCs/>
        </w:rPr>
        <w:t>d</w:t>
      </w:r>
      <w:r w:rsidRPr="004C4ADB">
        <w:rPr>
          <w:rFonts w:cstheme="minorHAnsi"/>
          <w:bCs/>
        </w:rPr>
        <w:t>o not use a work email address to register personal social media accounts.</w:t>
      </w:r>
    </w:p>
    <w:p w14:paraId="3795C48C" w14:textId="77777777" w:rsidR="004C4ADB" w:rsidRPr="004C4ADB" w:rsidRDefault="004C4ADB" w:rsidP="000A458A">
      <w:pPr>
        <w:pStyle w:val="ListParagraph"/>
        <w:numPr>
          <w:ilvl w:val="0"/>
          <w:numId w:val="23"/>
        </w:numPr>
        <w:tabs>
          <w:tab w:val="left" w:pos="567"/>
        </w:tabs>
        <w:spacing w:after="60" w:line="240" w:lineRule="auto"/>
        <w:ind w:left="567" w:hanging="567"/>
        <w:contextualSpacing w:val="0"/>
        <w:jc w:val="both"/>
        <w:rPr>
          <w:rFonts w:cstheme="minorHAnsi"/>
          <w:bCs/>
        </w:rPr>
      </w:pPr>
      <w:r>
        <w:rPr>
          <w:rFonts w:cstheme="minorHAnsi"/>
          <w:bCs/>
        </w:rPr>
        <w:t>d</w:t>
      </w:r>
      <w:r w:rsidRPr="004C4ADB">
        <w:rPr>
          <w:rFonts w:cstheme="minorHAnsi"/>
          <w:bCs/>
        </w:rPr>
        <w:t>o not make comments that are obscene, defamatory, threatening, harassing, discriminatory or hateful to or about, work, colleagues or peers, Elected Members or the Town of East Fremantle.</w:t>
      </w:r>
    </w:p>
    <w:p w14:paraId="07A1F9F1" w14:textId="77777777" w:rsidR="004C4ADB" w:rsidRPr="004C4ADB" w:rsidRDefault="004C4ADB" w:rsidP="000A458A">
      <w:pPr>
        <w:pStyle w:val="ListParagraph"/>
        <w:numPr>
          <w:ilvl w:val="0"/>
          <w:numId w:val="23"/>
        </w:numPr>
        <w:tabs>
          <w:tab w:val="left" w:pos="567"/>
        </w:tabs>
        <w:spacing w:after="60" w:line="240" w:lineRule="auto"/>
        <w:ind w:left="567" w:hanging="567"/>
        <w:contextualSpacing w:val="0"/>
        <w:jc w:val="both"/>
        <w:rPr>
          <w:rFonts w:cstheme="minorHAnsi"/>
          <w:bCs/>
        </w:rPr>
      </w:pPr>
      <w:r>
        <w:rPr>
          <w:rFonts w:cstheme="minorHAnsi"/>
        </w:rPr>
        <w:t>d</w:t>
      </w:r>
      <w:r w:rsidRPr="004C4ADB">
        <w:rPr>
          <w:rFonts w:cstheme="minorHAnsi"/>
        </w:rPr>
        <w:t xml:space="preserve">o not to publish, post or release any information that is considered confidential, private or not public, including confidential information </w:t>
      </w:r>
      <w:proofErr w:type="gramStart"/>
      <w:r w:rsidRPr="004C4ADB">
        <w:rPr>
          <w:rFonts w:cstheme="minorHAnsi"/>
        </w:rPr>
        <w:t>in regards to</w:t>
      </w:r>
      <w:proofErr w:type="gramEnd"/>
      <w:r w:rsidRPr="004C4ADB">
        <w:rPr>
          <w:rFonts w:cstheme="minorHAnsi"/>
        </w:rPr>
        <w:t xml:space="preserve"> the Town of East Fremantle, personal information of employees, Elected Members and other individuals associated with the Town of East Fremantle.</w:t>
      </w:r>
    </w:p>
    <w:p w14:paraId="6BFE462D" w14:textId="77777777" w:rsidR="004C4ADB" w:rsidRPr="004C4ADB" w:rsidRDefault="004C4ADB" w:rsidP="000A458A">
      <w:pPr>
        <w:pStyle w:val="ListParagraph"/>
        <w:numPr>
          <w:ilvl w:val="0"/>
          <w:numId w:val="23"/>
        </w:numPr>
        <w:tabs>
          <w:tab w:val="left" w:pos="567"/>
        </w:tabs>
        <w:spacing w:after="60" w:line="240" w:lineRule="auto"/>
        <w:ind w:left="567" w:hanging="567"/>
        <w:contextualSpacing w:val="0"/>
        <w:jc w:val="both"/>
        <w:rPr>
          <w:rFonts w:cstheme="minorHAnsi"/>
          <w:bCs/>
        </w:rPr>
      </w:pPr>
      <w:r>
        <w:rPr>
          <w:rFonts w:cstheme="minorHAnsi"/>
          <w:bCs/>
        </w:rPr>
        <w:t>d</w:t>
      </w:r>
      <w:r w:rsidRPr="004C4ADB">
        <w:rPr>
          <w:rFonts w:cstheme="minorHAnsi"/>
          <w:bCs/>
        </w:rPr>
        <w:t>o not post comments or images that are or could be perceived to be:</w:t>
      </w:r>
    </w:p>
    <w:p w14:paraId="14D70BF6" w14:textId="77777777" w:rsidR="004C4ADB" w:rsidRPr="004C4ADB" w:rsidRDefault="004C4ADB" w:rsidP="000A458A">
      <w:pPr>
        <w:pStyle w:val="ListParagraph"/>
        <w:numPr>
          <w:ilvl w:val="0"/>
          <w:numId w:val="24"/>
        </w:numPr>
        <w:tabs>
          <w:tab w:val="left" w:pos="1134"/>
        </w:tabs>
        <w:spacing w:after="60" w:line="240" w:lineRule="auto"/>
        <w:ind w:left="1134" w:hanging="567"/>
        <w:contextualSpacing w:val="0"/>
        <w:jc w:val="both"/>
        <w:rPr>
          <w:rFonts w:cstheme="minorHAnsi"/>
          <w:bCs/>
        </w:rPr>
      </w:pPr>
      <w:r w:rsidRPr="004C4ADB">
        <w:rPr>
          <w:rFonts w:cstheme="minorHAnsi"/>
          <w:bCs/>
        </w:rPr>
        <w:t>made on behalf of the Town of East Fremantle.</w:t>
      </w:r>
    </w:p>
    <w:p w14:paraId="18F28727" w14:textId="77777777" w:rsidR="004C4ADB" w:rsidRPr="004C4ADB" w:rsidRDefault="004C4ADB" w:rsidP="000A458A">
      <w:pPr>
        <w:pStyle w:val="ListParagraph"/>
        <w:numPr>
          <w:ilvl w:val="0"/>
          <w:numId w:val="24"/>
        </w:numPr>
        <w:tabs>
          <w:tab w:val="left" w:pos="1134"/>
        </w:tabs>
        <w:spacing w:after="60" w:line="240" w:lineRule="auto"/>
        <w:ind w:left="1134" w:hanging="567"/>
        <w:contextualSpacing w:val="0"/>
        <w:jc w:val="both"/>
        <w:rPr>
          <w:rFonts w:cstheme="minorHAnsi"/>
          <w:bCs/>
        </w:rPr>
      </w:pPr>
      <w:r w:rsidRPr="004C4ADB">
        <w:rPr>
          <w:rFonts w:cstheme="minorHAnsi"/>
          <w:bCs/>
        </w:rPr>
        <w:t>compromising the capacity to fulfil duties as an employee of the Town in an impartial and unbiased manner (this applies particularly where comment is made about a decision of Council, management, staff, policy, procedure or process).</w:t>
      </w:r>
    </w:p>
    <w:p w14:paraId="2B37B225" w14:textId="77777777" w:rsidR="004C4ADB" w:rsidRPr="004C4ADB" w:rsidRDefault="004C4ADB" w:rsidP="000A458A">
      <w:pPr>
        <w:pStyle w:val="ListParagraph"/>
        <w:numPr>
          <w:ilvl w:val="0"/>
          <w:numId w:val="24"/>
        </w:numPr>
        <w:tabs>
          <w:tab w:val="left" w:pos="1134"/>
        </w:tabs>
        <w:spacing w:after="60" w:line="240" w:lineRule="auto"/>
        <w:ind w:left="1134" w:hanging="567"/>
        <w:contextualSpacing w:val="0"/>
        <w:jc w:val="both"/>
        <w:rPr>
          <w:rFonts w:cstheme="minorHAnsi"/>
          <w:bCs/>
        </w:rPr>
      </w:pPr>
      <w:r w:rsidRPr="004C4ADB">
        <w:rPr>
          <w:rFonts w:cstheme="minorHAnsi"/>
          <w:bCs/>
        </w:rPr>
        <w:t>unreasonable criticism about an individual, community group, or other stakeholders.</w:t>
      </w:r>
    </w:p>
    <w:p w14:paraId="12B9FA27" w14:textId="77777777" w:rsidR="004C4ADB" w:rsidRPr="004C4ADB" w:rsidRDefault="004C4ADB" w:rsidP="000A458A">
      <w:pPr>
        <w:pStyle w:val="ListParagraph"/>
        <w:numPr>
          <w:ilvl w:val="0"/>
          <w:numId w:val="24"/>
        </w:numPr>
        <w:tabs>
          <w:tab w:val="left" w:pos="1134"/>
        </w:tabs>
        <w:spacing w:after="60" w:line="240" w:lineRule="auto"/>
        <w:ind w:left="1134" w:hanging="567"/>
        <w:contextualSpacing w:val="0"/>
        <w:jc w:val="both"/>
        <w:rPr>
          <w:rFonts w:cstheme="minorHAnsi"/>
          <w:bCs/>
        </w:rPr>
      </w:pPr>
      <w:r w:rsidRPr="004C4ADB">
        <w:rPr>
          <w:rFonts w:cstheme="minorHAnsi"/>
          <w:bCs/>
        </w:rPr>
        <w:t>compromising public confidence in the Town.</w:t>
      </w:r>
    </w:p>
    <w:p w14:paraId="03BE734D" w14:textId="77777777" w:rsidR="004C4ADB" w:rsidRPr="004C4ADB" w:rsidRDefault="004C4ADB" w:rsidP="000A458A">
      <w:pPr>
        <w:pStyle w:val="ListParagraph"/>
        <w:numPr>
          <w:ilvl w:val="0"/>
          <w:numId w:val="23"/>
        </w:numPr>
        <w:tabs>
          <w:tab w:val="left" w:pos="567"/>
        </w:tabs>
        <w:spacing w:after="60" w:line="240" w:lineRule="auto"/>
        <w:ind w:left="567" w:hanging="567"/>
        <w:contextualSpacing w:val="0"/>
        <w:jc w:val="both"/>
        <w:rPr>
          <w:rFonts w:cstheme="minorHAnsi"/>
        </w:rPr>
      </w:pPr>
      <w:r>
        <w:rPr>
          <w:rFonts w:cstheme="minorHAnsi"/>
          <w:bCs/>
        </w:rPr>
        <w:t>r</w:t>
      </w:r>
      <w:r w:rsidRPr="004C4ADB">
        <w:rPr>
          <w:rFonts w:cstheme="minorHAnsi"/>
          <w:bCs/>
        </w:rPr>
        <w:t>emember the Internet is not anonymous and e</w:t>
      </w:r>
      <w:r w:rsidRPr="004C4ADB">
        <w:rPr>
          <w:rFonts w:cstheme="minorHAnsi"/>
        </w:rPr>
        <w:t>verything written on the Web can be traced back to its author one way or another.</w:t>
      </w:r>
    </w:p>
    <w:p w14:paraId="3C5A0F3D" w14:textId="77777777" w:rsidR="004C4ADB" w:rsidRPr="004C4ADB" w:rsidRDefault="004C4ADB" w:rsidP="000A458A">
      <w:pPr>
        <w:pStyle w:val="ListParagraph"/>
        <w:numPr>
          <w:ilvl w:val="0"/>
          <w:numId w:val="23"/>
        </w:numPr>
        <w:spacing w:after="60" w:line="240" w:lineRule="auto"/>
        <w:ind w:left="567" w:hanging="567"/>
        <w:contextualSpacing w:val="0"/>
        <w:jc w:val="both"/>
        <w:rPr>
          <w:rFonts w:cstheme="minorHAnsi"/>
        </w:rPr>
      </w:pPr>
      <w:r>
        <w:rPr>
          <w:rFonts w:cstheme="minorHAnsi"/>
          <w:bCs/>
        </w:rPr>
        <w:t>d</w:t>
      </w:r>
      <w:r w:rsidRPr="004C4ADB">
        <w:rPr>
          <w:rFonts w:cstheme="minorHAnsi"/>
          <w:bCs/>
        </w:rPr>
        <w:t>o not return fire, i</w:t>
      </w:r>
      <w:r w:rsidRPr="004C4ADB">
        <w:rPr>
          <w:rFonts w:cstheme="minorHAnsi"/>
        </w:rPr>
        <w:t xml:space="preserve">f a negative post or comment is found online about the Town of East Fremantle or one of its </w:t>
      </w:r>
      <w:proofErr w:type="gramStart"/>
      <w:r w:rsidRPr="004C4ADB">
        <w:rPr>
          <w:rFonts w:cstheme="minorHAnsi"/>
        </w:rPr>
        <w:t>representative</w:t>
      </w:r>
      <w:proofErr w:type="gramEnd"/>
      <w:r w:rsidRPr="004C4ADB">
        <w:rPr>
          <w:rFonts w:cstheme="minorHAnsi"/>
        </w:rPr>
        <w:t xml:space="preserve">, do not counter with another negative post.  </w:t>
      </w:r>
    </w:p>
    <w:p w14:paraId="66076ED3" w14:textId="77777777" w:rsidR="004C4ADB" w:rsidRPr="004C4ADB" w:rsidRDefault="004C4ADB" w:rsidP="000A458A">
      <w:pPr>
        <w:tabs>
          <w:tab w:val="left" w:pos="567"/>
        </w:tabs>
        <w:spacing w:before="200" w:after="0" w:line="240" w:lineRule="auto"/>
        <w:jc w:val="both"/>
        <w:rPr>
          <w:rFonts w:cstheme="minorHAnsi"/>
        </w:rPr>
      </w:pPr>
      <w:r w:rsidRPr="004C4ADB">
        <w:rPr>
          <w:rFonts w:cstheme="minorHAnsi"/>
        </w:rPr>
        <w:t>As a local government employee, t</w:t>
      </w:r>
      <w:r w:rsidRPr="004C4ADB">
        <w:rPr>
          <w:rFonts w:cstheme="minorHAnsi"/>
          <w:bCs/>
        </w:rPr>
        <w:t xml:space="preserve">here is no clear line between your work life and your personal life.  Always be honest and respectful in both capacities. </w:t>
      </w:r>
    </w:p>
    <w:p w14:paraId="4633826C" w14:textId="77777777" w:rsidR="004C4ADB" w:rsidRPr="004C4ADB" w:rsidRDefault="004C4ADB" w:rsidP="000A458A">
      <w:pPr>
        <w:spacing w:before="200" w:line="240" w:lineRule="auto"/>
        <w:jc w:val="both"/>
        <w:rPr>
          <w:rFonts w:cstheme="minorHAnsi"/>
        </w:rPr>
      </w:pPr>
      <w:r w:rsidRPr="004C4ADB">
        <w:rPr>
          <w:rFonts w:cstheme="minorHAnsi"/>
        </w:rPr>
        <w:t xml:space="preserve">Employees should be aware that the Town may observe content and information made available by employees through social media.  </w:t>
      </w:r>
    </w:p>
    <w:p w14:paraId="411F470B" w14:textId="77777777" w:rsidR="004C4ADB" w:rsidRPr="004C4ADB" w:rsidRDefault="004C4ADB" w:rsidP="000A458A">
      <w:pPr>
        <w:spacing w:before="200" w:line="240" w:lineRule="auto"/>
        <w:jc w:val="both"/>
        <w:rPr>
          <w:rFonts w:cstheme="minorHAnsi"/>
        </w:rPr>
      </w:pPr>
      <w:r w:rsidRPr="004C4ADB">
        <w:rPr>
          <w:rFonts w:cstheme="minorHAnsi"/>
        </w:rPr>
        <w:t xml:space="preserve">As comments made by staff on their personal Facebook account may not be considered private, employees should use their best judgement, when posting material, that it is neither inappropriate nor harmful to the Town of East Fremantle, its members of council, employees or residents.  </w:t>
      </w:r>
    </w:p>
    <w:p w14:paraId="67F55AB8" w14:textId="77777777" w:rsidR="004C4ADB" w:rsidRPr="004C4ADB" w:rsidRDefault="004C4ADB" w:rsidP="000A458A">
      <w:pPr>
        <w:spacing w:before="200" w:line="240" w:lineRule="auto"/>
        <w:jc w:val="both"/>
        <w:rPr>
          <w:rFonts w:cstheme="minorHAnsi"/>
          <w:b/>
          <w:i/>
        </w:rPr>
      </w:pPr>
      <w:r w:rsidRPr="004C4ADB">
        <w:rPr>
          <w:rFonts w:cstheme="minorHAnsi"/>
          <w:b/>
          <w:i/>
        </w:rPr>
        <w:t>It should also be noted that comments / postings made by staff on their personal Facebook Account pertaining to the Town that are or could be perceived to be in breach of the Town of East Fremantle Code of Conduct or any other Town policy, procedure or process will be dealt with seriously and this may impact on the employee’s employment with the Town.</w:t>
      </w:r>
    </w:p>
    <w:p w14:paraId="4AA629FF" w14:textId="77777777" w:rsidR="004C4ADB" w:rsidRPr="004C4ADB" w:rsidRDefault="004C4ADB" w:rsidP="000A458A">
      <w:pPr>
        <w:spacing w:after="0" w:line="240" w:lineRule="auto"/>
        <w:jc w:val="both"/>
        <w:rPr>
          <w:rFonts w:cstheme="minorHAnsi"/>
        </w:rPr>
      </w:pPr>
    </w:p>
    <w:p w14:paraId="63A5FDB7" w14:textId="77777777" w:rsidR="004C4ADB" w:rsidRPr="004C4ADB" w:rsidRDefault="004C4ADB" w:rsidP="004C4ADB">
      <w:pPr>
        <w:jc w:val="both"/>
        <w:rPr>
          <w:rFonts w:cstheme="minorHAnsi"/>
          <w:lang w:val="en-US"/>
        </w:rPr>
      </w:pPr>
    </w:p>
    <w:tbl>
      <w:tblPr>
        <w:tblStyle w:val="TableGrid"/>
        <w:tblW w:w="0" w:type="auto"/>
        <w:tblLook w:val="04A0" w:firstRow="1" w:lastRow="0" w:firstColumn="1" w:lastColumn="0" w:noHBand="0" w:noVBand="1"/>
      </w:tblPr>
      <w:tblGrid>
        <w:gridCol w:w="3055"/>
        <w:gridCol w:w="5998"/>
      </w:tblGrid>
      <w:tr w:rsidR="004C4ADB" w:rsidRPr="004C4ADB" w14:paraId="668ACD5C" w14:textId="77777777" w:rsidTr="00B4063E">
        <w:tc>
          <w:tcPr>
            <w:tcW w:w="3085" w:type="dxa"/>
          </w:tcPr>
          <w:p w14:paraId="72034CC3" w14:textId="77777777" w:rsidR="004C4ADB" w:rsidRPr="004C4ADB" w:rsidRDefault="004C4ADB" w:rsidP="00B4063E">
            <w:pPr>
              <w:rPr>
                <w:rFonts w:cstheme="minorHAnsi"/>
                <w:b/>
                <w:lang w:val="en-US"/>
              </w:rPr>
            </w:pPr>
            <w:r w:rsidRPr="004C4ADB">
              <w:rPr>
                <w:rFonts w:cstheme="minorHAnsi"/>
                <w:b/>
                <w:lang w:val="en-US"/>
              </w:rPr>
              <w:t>Responsible Directorate:</w:t>
            </w:r>
          </w:p>
        </w:tc>
        <w:tc>
          <w:tcPr>
            <w:tcW w:w="6157" w:type="dxa"/>
          </w:tcPr>
          <w:p w14:paraId="03A4DBA4" w14:textId="77777777" w:rsidR="004C4ADB" w:rsidRPr="004C4ADB" w:rsidRDefault="004C4ADB" w:rsidP="00B4063E">
            <w:pPr>
              <w:jc w:val="both"/>
              <w:rPr>
                <w:rFonts w:cstheme="minorHAnsi"/>
                <w:lang w:val="en-US"/>
              </w:rPr>
            </w:pPr>
            <w:r w:rsidRPr="004C4ADB">
              <w:rPr>
                <w:rFonts w:cstheme="minorHAnsi"/>
                <w:lang w:val="en-US"/>
              </w:rPr>
              <w:t>Offic</w:t>
            </w:r>
            <w:r w:rsidR="00760D17">
              <w:rPr>
                <w:rFonts w:cstheme="minorHAnsi"/>
                <w:lang w:val="en-US"/>
              </w:rPr>
              <w:t>e of the CEO</w:t>
            </w:r>
          </w:p>
        </w:tc>
      </w:tr>
      <w:tr w:rsidR="004C4ADB" w:rsidRPr="004C4ADB" w14:paraId="6514026D" w14:textId="77777777" w:rsidTr="00B4063E">
        <w:tc>
          <w:tcPr>
            <w:tcW w:w="3085" w:type="dxa"/>
          </w:tcPr>
          <w:p w14:paraId="75F537C2" w14:textId="77777777" w:rsidR="004C4ADB" w:rsidRPr="004C4ADB" w:rsidRDefault="004C4ADB" w:rsidP="00B4063E">
            <w:pPr>
              <w:rPr>
                <w:rFonts w:cstheme="minorHAnsi"/>
                <w:b/>
                <w:lang w:val="en-US"/>
              </w:rPr>
            </w:pPr>
            <w:r w:rsidRPr="004C4ADB">
              <w:rPr>
                <w:rFonts w:cstheme="minorHAnsi"/>
                <w:b/>
                <w:lang w:val="en-US"/>
              </w:rPr>
              <w:t>Reviewing Officer:</w:t>
            </w:r>
          </w:p>
        </w:tc>
        <w:tc>
          <w:tcPr>
            <w:tcW w:w="6157" w:type="dxa"/>
          </w:tcPr>
          <w:p w14:paraId="5B68F88C" w14:textId="77777777" w:rsidR="004C4ADB" w:rsidRPr="004C4ADB" w:rsidRDefault="004C4ADB" w:rsidP="00B4063E">
            <w:pPr>
              <w:jc w:val="both"/>
              <w:rPr>
                <w:rFonts w:cstheme="minorHAnsi"/>
                <w:lang w:val="en-US"/>
              </w:rPr>
            </w:pPr>
            <w:r w:rsidRPr="004C4ADB">
              <w:rPr>
                <w:rFonts w:cstheme="minorHAnsi"/>
                <w:lang w:val="en-US"/>
              </w:rPr>
              <w:t>Human Resources Coordinator</w:t>
            </w:r>
          </w:p>
        </w:tc>
      </w:tr>
      <w:tr w:rsidR="004C4ADB" w:rsidRPr="004C4ADB" w14:paraId="18788DE7" w14:textId="77777777" w:rsidTr="00B4063E">
        <w:tc>
          <w:tcPr>
            <w:tcW w:w="3085" w:type="dxa"/>
          </w:tcPr>
          <w:p w14:paraId="4BADFB32" w14:textId="77777777" w:rsidR="004C4ADB" w:rsidRPr="004C4ADB" w:rsidRDefault="004C4ADB" w:rsidP="00B4063E">
            <w:pPr>
              <w:rPr>
                <w:rFonts w:cstheme="minorHAnsi"/>
                <w:b/>
                <w:lang w:val="en-US"/>
              </w:rPr>
            </w:pPr>
            <w:r w:rsidRPr="004C4ADB">
              <w:rPr>
                <w:rFonts w:cstheme="minorHAnsi"/>
                <w:b/>
                <w:lang w:val="en-US"/>
              </w:rPr>
              <w:t>Decision making Authority:</w:t>
            </w:r>
          </w:p>
        </w:tc>
        <w:tc>
          <w:tcPr>
            <w:tcW w:w="6157" w:type="dxa"/>
          </w:tcPr>
          <w:p w14:paraId="6C8A80B5" w14:textId="77777777" w:rsidR="004C4ADB" w:rsidRPr="004C4ADB" w:rsidRDefault="004C4ADB" w:rsidP="00B4063E">
            <w:pPr>
              <w:jc w:val="both"/>
              <w:rPr>
                <w:rFonts w:cstheme="minorHAnsi"/>
                <w:lang w:val="en-US"/>
              </w:rPr>
            </w:pPr>
          </w:p>
        </w:tc>
      </w:tr>
      <w:tr w:rsidR="004C4ADB" w:rsidRPr="004C4ADB" w14:paraId="2224164D" w14:textId="77777777" w:rsidTr="00B4063E">
        <w:tc>
          <w:tcPr>
            <w:tcW w:w="3085" w:type="dxa"/>
          </w:tcPr>
          <w:p w14:paraId="63E88AFE" w14:textId="77777777" w:rsidR="004C4ADB" w:rsidRPr="004C4ADB" w:rsidRDefault="004C4ADB" w:rsidP="00B4063E">
            <w:pPr>
              <w:rPr>
                <w:rFonts w:cstheme="minorHAnsi"/>
                <w:b/>
                <w:lang w:val="en-US"/>
              </w:rPr>
            </w:pPr>
            <w:r w:rsidRPr="004C4ADB">
              <w:rPr>
                <w:rFonts w:cstheme="minorHAnsi"/>
                <w:b/>
                <w:lang w:val="en-US"/>
              </w:rPr>
              <w:t>Policy Adopted:</w:t>
            </w:r>
          </w:p>
        </w:tc>
        <w:tc>
          <w:tcPr>
            <w:tcW w:w="6157" w:type="dxa"/>
          </w:tcPr>
          <w:p w14:paraId="6B291554" w14:textId="77777777" w:rsidR="004C4ADB" w:rsidRPr="004C4ADB" w:rsidRDefault="004C4ADB" w:rsidP="00B4063E">
            <w:pPr>
              <w:jc w:val="both"/>
              <w:rPr>
                <w:rFonts w:cstheme="minorHAnsi"/>
                <w:lang w:val="en-US"/>
              </w:rPr>
            </w:pPr>
            <w:r w:rsidRPr="004C4ADB">
              <w:rPr>
                <w:rFonts w:cstheme="minorHAnsi"/>
                <w:lang w:val="en-US"/>
              </w:rPr>
              <w:t>21/3/17</w:t>
            </w:r>
          </w:p>
        </w:tc>
      </w:tr>
      <w:tr w:rsidR="004C4ADB" w:rsidRPr="004C4ADB" w14:paraId="0864C1A8" w14:textId="77777777" w:rsidTr="00B4063E">
        <w:tc>
          <w:tcPr>
            <w:tcW w:w="3085" w:type="dxa"/>
          </w:tcPr>
          <w:p w14:paraId="5D785945" w14:textId="77777777" w:rsidR="004C4ADB" w:rsidRPr="004C4ADB" w:rsidRDefault="004C4ADB" w:rsidP="00B4063E">
            <w:pPr>
              <w:rPr>
                <w:rFonts w:cstheme="minorHAnsi"/>
                <w:b/>
                <w:lang w:val="en-US"/>
              </w:rPr>
            </w:pPr>
            <w:r>
              <w:rPr>
                <w:rFonts w:cstheme="minorHAnsi"/>
                <w:b/>
                <w:lang w:val="en-US"/>
              </w:rPr>
              <w:t>Policy Amended/Reviewed:</w:t>
            </w:r>
          </w:p>
        </w:tc>
        <w:tc>
          <w:tcPr>
            <w:tcW w:w="6157" w:type="dxa"/>
          </w:tcPr>
          <w:p w14:paraId="6D0588FA" w14:textId="77777777" w:rsidR="004C4ADB" w:rsidRPr="004C4ADB" w:rsidRDefault="00204A62" w:rsidP="00B4063E">
            <w:pPr>
              <w:jc w:val="both"/>
              <w:rPr>
                <w:rFonts w:cstheme="minorHAnsi"/>
                <w:lang w:val="en-US"/>
              </w:rPr>
            </w:pPr>
            <w:r>
              <w:rPr>
                <w:rFonts w:cstheme="minorHAnsi"/>
                <w:lang w:val="en-US"/>
              </w:rPr>
              <w:t>17/9/19</w:t>
            </w:r>
          </w:p>
        </w:tc>
      </w:tr>
      <w:tr w:rsidR="004C4ADB" w:rsidRPr="004C4ADB" w14:paraId="49BFE120" w14:textId="77777777" w:rsidTr="00B4063E">
        <w:tc>
          <w:tcPr>
            <w:tcW w:w="3085" w:type="dxa"/>
          </w:tcPr>
          <w:p w14:paraId="1C65EDA0" w14:textId="77777777" w:rsidR="004C4ADB" w:rsidRPr="004C4ADB" w:rsidRDefault="004C4ADB" w:rsidP="00B4063E">
            <w:pPr>
              <w:rPr>
                <w:rFonts w:cstheme="minorHAnsi"/>
                <w:b/>
                <w:lang w:val="en-US"/>
              </w:rPr>
            </w:pPr>
            <w:r>
              <w:rPr>
                <w:rFonts w:cstheme="minorHAnsi"/>
                <w:b/>
                <w:lang w:val="en-US"/>
              </w:rPr>
              <w:t>Former Policy No</w:t>
            </w:r>
            <w:r w:rsidRPr="004C4ADB">
              <w:rPr>
                <w:rFonts w:cstheme="minorHAnsi"/>
                <w:b/>
                <w:lang w:val="en-US"/>
              </w:rPr>
              <w:t>:</w:t>
            </w:r>
          </w:p>
        </w:tc>
        <w:tc>
          <w:tcPr>
            <w:tcW w:w="6157" w:type="dxa"/>
          </w:tcPr>
          <w:p w14:paraId="0D59D152" w14:textId="77777777" w:rsidR="004C4ADB" w:rsidRPr="004C4ADB" w:rsidRDefault="004C4ADB" w:rsidP="00B4063E">
            <w:pPr>
              <w:jc w:val="both"/>
              <w:rPr>
                <w:rFonts w:cstheme="minorHAnsi"/>
                <w:lang w:val="en-US"/>
              </w:rPr>
            </w:pPr>
            <w:r>
              <w:rPr>
                <w:rFonts w:cstheme="minorHAnsi"/>
                <w:lang w:val="en-US"/>
              </w:rPr>
              <w:t>4.4.1</w:t>
            </w:r>
          </w:p>
        </w:tc>
      </w:tr>
    </w:tbl>
    <w:p w14:paraId="612C5427" w14:textId="77777777" w:rsidR="004C4ADB" w:rsidRPr="004C4ADB" w:rsidRDefault="004C4ADB" w:rsidP="004C4ADB">
      <w:pPr>
        <w:jc w:val="both"/>
        <w:rPr>
          <w:rFonts w:cstheme="minorHAnsi"/>
          <w:lang w:val="en-US"/>
        </w:rPr>
      </w:pPr>
    </w:p>
    <w:p w14:paraId="1C525E51" w14:textId="77777777" w:rsidR="00AD7972" w:rsidRDefault="00AD7972" w:rsidP="004C4ADB">
      <w:pPr>
        <w:jc w:val="both"/>
        <w:rPr>
          <w:rFonts w:cstheme="minorHAnsi"/>
          <w:lang w:val="en-US"/>
        </w:rPr>
        <w:sectPr w:rsidR="00AD7972" w:rsidSect="0053186D">
          <w:pgSz w:w="11920" w:h="16850"/>
          <w:pgMar w:top="1338" w:right="1298" w:bottom="2359" w:left="1559" w:header="720" w:footer="720" w:gutter="0"/>
          <w:cols w:space="720"/>
        </w:sectPr>
      </w:pPr>
    </w:p>
    <w:p w14:paraId="654AFB3B" w14:textId="77777777" w:rsidR="0060198F" w:rsidRDefault="0060198F" w:rsidP="0060198F">
      <w:pPr>
        <w:pStyle w:val="Title"/>
        <w:pBdr>
          <w:bottom w:val="none" w:sz="0" w:space="0" w:color="auto"/>
        </w:pBdr>
        <w:spacing w:after="240"/>
        <w:jc w:val="right"/>
        <w:rPr>
          <w:rFonts w:ascii="Arial" w:hAnsi="Arial" w:cs="Arial"/>
          <w:b/>
          <w:sz w:val="28"/>
          <w:szCs w:val="28"/>
          <w:lang w:val="en-US"/>
        </w:rPr>
      </w:pPr>
      <w:r>
        <w:rPr>
          <w:noProof/>
        </w:rPr>
        <w:lastRenderedPageBreak/>
        <w:drawing>
          <wp:inline distT="0" distB="0" distL="0" distR="0" wp14:anchorId="311039AD" wp14:editId="798E6E08">
            <wp:extent cx="1571625" cy="676275"/>
            <wp:effectExtent l="0" t="0" r="9525" b="9525"/>
            <wp:docPr id="1940870111" name="Picture 1940870111" descr="A logo for a town&#10;&#10;AI-generated content may be incorrect."/>
            <wp:cNvGraphicFramePr/>
            <a:graphic xmlns:a="http://schemas.openxmlformats.org/drawingml/2006/main">
              <a:graphicData uri="http://schemas.openxmlformats.org/drawingml/2006/picture">
                <pic:pic xmlns:pic="http://schemas.openxmlformats.org/drawingml/2006/picture">
                  <pic:nvPicPr>
                    <pic:cNvPr id="1940870111" name="Picture 1940870111" descr="A logo for a town&#10;&#10;AI-generated content may be incorrect."/>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1625" cy="676275"/>
                    </a:xfrm>
                    <a:prstGeom prst="rect">
                      <a:avLst/>
                    </a:prstGeom>
                    <a:noFill/>
                    <a:ln>
                      <a:noFill/>
                    </a:ln>
                  </pic:spPr>
                </pic:pic>
              </a:graphicData>
            </a:graphic>
          </wp:inline>
        </w:drawing>
      </w:r>
    </w:p>
    <w:p w14:paraId="0894F315" w14:textId="77777777" w:rsidR="0060198F" w:rsidRPr="009579A8" w:rsidRDefault="0060198F" w:rsidP="0060198F">
      <w:pPr>
        <w:pStyle w:val="Title"/>
        <w:pBdr>
          <w:bottom w:val="none" w:sz="0" w:space="0" w:color="auto"/>
        </w:pBdr>
        <w:spacing w:after="0"/>
        <w:rPr>
          <w:rFonts w:ascii="Arial" w:hAnsi="Arial" w:cs="Arial"/>
          <w:b/>
          <w:sz w:val="18"/>
          <w:szCs w:val="28"/>
          <w:lang w:val="en-US"/>
        </w:rPr>
      </w:pPr>
    </w:p>
    <w:p w14:paraId="553E2EA4" w14:textId="77777777" w:rsidR="0060198F" w:rsidRPr="002744D1" w:rsidRDefault="0060198F" w:rsidP="0060198F">
      <w:pPr>
        <w:pStyle w:val="Policy3"/>
      </w:pPr>
      <w:bookmarkStart w:id="140" w:name="_Toc216866674"/>
      <w:r>
        <w:t>1.3.2</w:t>
      </w:r>
      <w:r w:rsidRPr="002744D1">
        <w:tab/>
      </w:r>
      <w:r>
        <w:t>End of Year Office Closure</w:t>
      </w:r>
      <w:bookmarkEnd w:id="140"/>
      <w:r>
        <w:t xml:space="preserve"> </w:t>
      </w:r>
      <w:r w:rsidRPr="002744D1">
        <w:t xml:space="preserve"> </w:t>
      </w:r>
    </w:p>
    <w:tbl>
      <w:tblPr>
        <w:tblStyle w:val="TableGrid"/>
        <w:tblW w:w="0" w:type="auto"/>
        <w:tblLook w:val="04A0" w:firstRow="1" w:lastRow="0" w:firstColumn="1" w:lastColumn="0" w:noHBand="0" w:noVBand="1"/>
      </w:tblPr>
      <w:tblGrid>
        <w:gridCol w:w="3024"/>
        <w:gridCol w:w="5992"/>
      </w:tblGrid>
      <w:tr w:rsidR="0060198F" w:rsidRPr="0096334F" w14:paraId="438EBB77" w14:textId="77777777" w:rsidTr="00620F69">
        <w:tc>
          <w:tcPr>
            <w:tcW w:w="3024" w:type="dxa"/>
          </w:tcPr>
          <w:p w14:paraId="4D902464" w14:textId="77777777" w:rsidR="0060198F" w:rsidRPr="0096334F" w:rsidRDefault="0060198F" w:rsidP="00620F69">
            <w:pPr>
              <w:rPr>
                <w:rFonts w:cstheme="minorHAnsi"/>
                <w:b/>
                <w:lang w:val="en-US"/>
              </w:rPr>
            </w:pPr>
            <w:r w:rsidRPr="0096334F">
              <w:rPr>
                <w:rFonts w:cstheme="minorHAnsi"/>
                <w:b/>
                <w:lang w:val="en-US"/>
              </w:rPr>
              <w:t>Type:</w:t>
            </w:r>
          </w:p>
        </w:tc>
        <w:tc>
          <w:tcPr>
            <w:tcW w:w="5992" w:type="dxa"/>
          </w:tcPr>
          <w:p w14:paraId="2DD0EFDD" w14:textId="77777777" w:rsidR="0060198F" w:rsidRPr="0096334F" w:rsidRDefault="0060198F" w:rsidP="00620F69">
            <w:pPr>
              <w:rPr>
                <w:rFonts w:ascii="Calibri" w:eastAsia="Calibri" w:hAnsi="Calibri" w:cs="Calibri"/>
                <w:lang w:val="en-US"/>
              </w:rPr>
            </w:pPr>
            <w:r w:rsidRPr="0D478AC7">
              <w:rPr>
                <w:lang w:val="en-US"/>
              </w:rPr>
              <w:t>Office of the CE</w:t>
            </w:r>
            <w:r w:rsidRPr="0D478AC7">
              <w:rPr>
                <w:rFonts w:eastAsiaTheme="minorEastAsia"/>
                <w:lang w:val="en-US"/>
              </w:rPr>
              <w:t>O - Communication &amp; Community Engagement</w:t>
            </w:r>
          </w:p>
        </w:tc>
      </w:tr>
      <w:tr w:rsidR="0060198F" w:rsidRPr="0096334F" w14:paraId="46522FC7" w14:textId="77777777" w:rsidTr="00620F69">
        <w:tc>
          <w:tcPr>
            <w:tcW w:w="3024" w:type="dxa"/>
          </w:tcPr>
          <w:p w14:paraId="55BA9753" w14:textId="77777777" w:rsidR="0060198F" w:rsidRPr="0096334F" w:rsidRDefault="0060198F" w:rsidP="00620F69">
            <w:pPr>
              <w:rPr>
                <w:rFonts w:cstheme="minorHAnsi"/>
                <w:b/>
                <w:lang w:val="en-US"/>
              </w:rPr>
            </w:pPr>
            <w:r w:rsidRPr="0096334F">
              <w:rPr>
                <w:rFonts w:cstheme="minorHAnsi"/>
                <w:b/>
                <w:lang w:val="en-US"/>
              </w:rPr>
              <w:t>Legislation:</w:t>
            </w:r>
          </w:p>
        </w:tc>
        <w:tc>
          <w:tcPr>
            <w:tcW w:w="5992" w:type="dxa"/>
          </w:tcPr>
          <w:p w14:paraId="724C35D9" w14:textId="77777777" w:rsidR="0060198F" w:rsidRDefault="0060198F" w:rsidP="00620F69">
            <w:pPr>
              <w:autoSpaceDE w:val="0"/>
              <w:autoSpaceDN w:val="0"/>
              <w:adjustRightInd w:val="0"/>
              <w:rPr>
                <w:rFonts w:cstheme="minorHAnsi"/>
                <w:i/>
                <w:iCs/>
              </w:rPr>
            </w:pPr>
            <w:r>
              <w:rPr>
                <w:rFonts w:cstheme="minorHAnsi"/>
                <w:i/>
                <w:iCs/>
              </w:rPr>
              <w:t xml:space="preserve">Local Government Act 1995 </w:t>
            </w:r>
            <w:r w:rsidRPr="00CA1579">
              <w:rPr>
                <w:rFonts w:cstheme="minorHAnsi"/>
              </w:rPr>
              <w:t>section 1.7</w:t>
            </w:r>
          </w:p>
          <w:p w14:paraId="70BAB8D8" w14:textId="77777777" w:rsidR="0060198F" w:rsidRPr="00CA1579" w:rsidRDefault="0060198F" w:rsidP="00620F69">
            <w:pPr>
              <w:autoSpaceDE w:val="0"/>
              <w:autoSpaceDN w:val="0"/>
              <w:adjustRightInd w:val="0"/>
              <w:rPr>
                <w:rFonts w:cstheme="minorHAnsi"/>
              </w:rPr>
            </w:pPr>
            <w:r>
              <w:rPr>
                <w:rFonts w:cstheme="minorHAnsi"/>
                <w:i/>
                <w:iCs/>
              </w:rPr>
              <w:t xml:space="preserve">Local Government (Administration) Regulations 1996 </w:t>
            </w:r>
            <w:r>
              <w:rPr>
                <w:rFonts w:cstheme="minorHAnsi"/>
              </w:rPr>
              <w:t>Regulation 3A</w:t>
            </w:r>
          </w:p>
        </w:tc>
      </w:tr>
      <w:tr w:rsidR="0060198F" w:rsidRPr="0096334F" w14:paraId="4F1C4432" w14:textId="77777777" w:rsidTr="00620F69">
        <w:tc>
          <w:tcPr>
            <w:tcW w:w="3024" w:type="dxa"/>
          </w:tcPr>
          <w:p w14:paraId="59FFC221" w14:textId="77777777" w:rsidR="0060198F" w:rsidRPr="0096334F" w:rsidRDefault="0060198F" w:rsidP="00620F69">
            <w:pPr>
              <w:rPr>
                <w:rFonts w:cstheme="minorHAnsi"/>
                <w:b/>
                <w:lang w:val="en-US"/>
              </w:rPr>
            </w:pPr>
            <w:r w:rsidRPr="0096334F">
              <w:rPr>
                <w:rFonts w:cstheme="minorHAnsi"/>
                <w:b/>
                <w:lang w:val="en-US"/>
              </w:rPr>
              <w:t>Delegation:</w:t>
            </w:r>
          </w:p>
        </w:tc>
        <w:tc>
          <w:tcPr>
            <w:tcW w:w="5992" w:type="dxa"/>
          </w:tcPr>
          <w:p w14:paraId="43C747DA" w14:textId="77777777" w:rsidR="0060198F" w:rsidRPr="0096334F" w:rsidRDefault="0060198F" w:rsidP="00620F69">
            <w:pPr>
              <w:rPr>
                <w:rFonts w:cstheme="minorHAnsi"/>
                <w:lang w:val="en-US"/>
              </w:rPr>
            </w:pPr>
            <w:r w:rsidRPr="0096334F">
              <w:rPr>
                <w:rFonts w:cstheme="minorHAnsi"/>
                <w:lang w:val="en-US"/>
              </w:rPr>
              <w:t>N/A</w:t>
            </w:r>
          </w:p>
        </w:tc>
      </w:tr>
      <w:tr w:rsidR="0060198F" w:rsidRPr="0096334F" w14:paraId="5A9353BD" w14:textId="77777777" w:rsidTr="00620F69">
        <w:tc>
          <w:tcPr>
            <w:tcW w:w="3024" w:type="dxa"/>
          </w:tcPr>
          <w:p w14:paraId="0A710F61" w14:textId="77777777" w:rsidR="0060198F" w:rsidRPr="0096334F" w:rsidRDefault="0060198F" w:rsidP="00620F69">
            <w:pPr>
              <w:rPr>
                <w:rFonts w:cstheme="minorHAnsi"/>
                <w:b/>
                <w:lang w:val="en-US"/>
              </w:rPr>
            </w:pPr>
            <w:r w:rsidRPr="0096334F">
              <w:rPr>
                <w:rFonts w:cstheme="minorHAnsi"/>
                <w:b/>
                <w:lang w:val="en-US"/>
              </w:rPr>
              <w:t>Other Related Document:</w:t>
            </w:r>
          </w:p>
        </w:tc>
        <w:tc>
          <w:tcPr>
            <w:tcW w:w="5992" w:type="dxa"/>
          </w:tcPr>
          <w:p w14:paraId="2E67AE38" w14:textId="77777777" w:rsidR="0060198F" w:rsidRPr="0096334F" w:rsidRDefault="0060198F" w:rsidP="00620F69">
            <w:pPr>
              <w:rPr>
                <w:rFonts w:cstheme="minorHAnsi"/>
                <w:lang w:val="en-US"/>
              </w:rPr>
            </w:pPr>
          </w:p>
        </w:tc>
      </w:tr>
    </w:tbl>
    <w:p w14:paraId="610058BE" w14:textId="77777777" w:rsidR="0060198F" w:rsidRPr="00B47F10" w:rsidRDefault="0060198F" w:rsidP="0060198F">
      <w:pPr>
        <w:spacing w:before="240" w:after="0"/>
        <w:rPr>
          <w:b/>
          <w:sz w:val="28"/>
          <w:szCs w:val="28"/>
          <w:lang w:val="en-US"/>
        </w:rPr>
      </w:pPr>
      <w:r w:rsidRPr="00B47F10">
        <w:rPr>
          <w:b/>
          <w:sz w:val="28"/>
          <w:szCs w:val="28"/>
          <w:lang w:val="en-US"/>
        </w:rPr>
        <w:t>Objective</w:t>
      </w:r>
    </w:p>
    <w:p w14:paraId="65595E1E" w14:textId="77777777" w:rsidR="0060198F" w:rsidRPr="00E352EA" w:rsidRDefault="0060198F" w:rsidP="0060198F">
      <w:pPr>
        <w:autoSpaceDE w:val="0"/>
        <w:autoSpaceDN w:val="0"/>
        <w:adjustRightInd w:val="0"/>
        <w:spacing w:after="0"/>
        <w:jc w:val="both"/>
      </w:pPr>
      <w:r w:rsidRPr="0D478AC7">
        <w:t>To provide guidelines for the closure of Town buildings and facilities over the Christmas and New Year period.</w:t>
      </w:r>
    </w:p>
    <w:p w14:paraId="307C90B9" w14:textId="77777777" w:rsidR="0060198F" w:rsidRDefault="0060198F" w:rsidP="0060198F">
      <w:pPr>
        <w:spacing w:before="200" w:after="0"/>
        <w:jc w:val="both"/>
        <w:rPr>
          <w:b/>
          <w:sz w:val="28"/>
          <w:szCs w:val="28"/>
          <w:lang w:val="en-US"/>
        </w:rPr>
      </w:pPr>
      <w:r w:rsidRPr="00B47F10">
        <w:rPr>
          <w:b/>
          <w:sz w:val="28"/>
          <w:szCs w:val="28"/>
          <w:lang w:val="en-US"/>
        </w:rPr>
        <w:t xml:space="preserve">Policy </w:t>
      </w:r>
    </w:p>
    <w:p w14:paraId="35C8CB4B" w14:textId="77777777" w:rsidR="0060198F" w:rsidRPr="00437E3B" w:rsidRDefault="0060198F" w:rsidP="0060198F">
      <w:pPr>
        <w:spacing w:after="0"/>
        <w:jc w:val="both"/>
        <w:rPr>
          <w:b/>
          <w:sz w:val="16"/>
          <w:szCs w:val="16"/>
          <w:lang w:val="en-US"/>
        </w:rPr>
      </w:pPr>
    </w:p>
    <w:p w14:paraId="732BDE06" w14:textId="77777777" w:rsidR="0060198F" w:rsidRPr="00585C2D" w:rsidRDefault="0060198F" w:rsidP="0060198F">
      <w:pPr>
        <w:spacing w:after="60" w:line="240" w:lineRule="auto"/>
        <w:ind w:left="425" w:right="-23" w:hanging="425"/>
        <w:rPr>
          <w:rFonts w:eastAsia="Arial" w:cstheme="minorHAnsi"/>
        </w:rPr>
      </w:pPr>
      <w:r>
        <w:rPr>
          <w:rFonts w:eastAsia="Arial" w:cstheme="minorHAnsi"/>
          <w:b/>
          <w:bCs/>
          <w:spacing w:val="1"/>
        </w:rPr>
        <w:t>1.</w:t>
      </w:r>
      <w:r>
        <w:rPr>
          <w:rFonts w:eastAsia="Arial" w:cstheme="minorHAnsi"/>
          <w:b/>
          <w:bCs/>
          <w:spacing w:val="1"/>
        </w:rPr>
        <w:tab/>
        <w:t>Scope</w:t>
      </w:r>
    </w:p>
    <w:p w14:paraId="74F18DF4" w14:textId="77777777" w:rsidR="0060198F" w:rsidRDefault="0060198F" w:rsidP="0060198F">
      <w:pPr>
        <w:autoSpaceDE w:val="0"/>
        <w:autoSpaceDN w:val="0"/>
        <w:adjustRightInd w:val="0"/>
        <w:spacing w:after="0"/>
        <w:ind w:left="426"/>
        <w:jc w:val="both"/>
      </w:pPr>
      <w:r w:rsidRPr="0D478AC7">
        <w:t>This Policy applies to employees in the Administration office, Town depot (Technical Services) and Commonwealth Home Support Program (Neighbourhood Link) over the Christmas and New Year period.</w:t>
      </w:r>
    </w:p>
    <w:p w14:paraId="71DFBA8E" w14:textId="77777777" w:rsidR="0060198F" w:rsidRDefault="0060198F" w:rsidP="0060198F">
      <w:pPr>
        <w:autoSpaceDE w:val="0"/>
        <w:autoSpaceDN w:val="0"/>
        <w:adjustRightInd w:val="0"/>
        <w:spacing w:after="0"/>
        <w:jc w:val="both"/>
        <w:rPr>
          <w:rFonts w:cstheme="minorHAnsi"/>
        </w:rPr>
      </w:pPr>
    </w:p>
    <w:p w14:paraId="2F04CF99" w14:textId="77777777" w:rsidR="0060198F" w:rsidRDefault="0060198F" w:rsidP="0060198F">
      <w:pPr>
        <w:spacing w:after="60" w:line="240" w:lineRule="auto"/>
        <w:ind w:left="425" w:right="-23" w:hanging="425"/>
        <w:rPr>
          <w:rFonts w:eastAsia="Arial" w:cstheme="minorHAnsi"/>
          <w:b/>
          <w:bCs/>
        </w:rPr>
      </w:pPr>
      <w:r>
        <w:rPr>
          <w:rFonts w:eastAsia="Arial" w:cstheme="minorHAnsi"/>
          <w:b/>
          <w:bCs/>
        </w:rPr>
        <w:t>2.</w:t>
      </w:r>
      <w:r>
        <w:rPr>
          <w:rFonts w:eastAsia="Arial" w:cstheme="minorHAnsi"/>
          <w:b/>
          <w:bCs/>
        </w:rPr>
        <w:tab/>
        <w:t>Town Services</w:t>
      </w:r>
    </w:p>
    <w:p w14:paraId="669CFDB7" w14:textId="77777777" w:rsidR="0060198F" w:rsidRDefault="0060198F" w:rsidP="0060198F">
      <w:pPr>
        <w:autoSpaceDE w:val="0"/>
        <w:autoSpaceDN w:val="0"/>
        <w:adjustRightInd w:val="0"/>
        <w:spacing w:after="0"/>
        <w:ind w:left="426"/>
        <w:jc w:val="both"/>
      </w:pPr>
      <w:r w:rsidRPr="0D478AC7">
        <w:t xml:space="preserve">The Administration office will be closed for business from the end of the last working day prior to the Christmas Day public holiday and will reopen on the first working day following the New Year’s Day public holiday. </w:t>
      </w:r>
    </w:p>
    <w:p w14:paraId="2FBE4D38" w14:textId="77777777" w:rsidR="0060198F" w:rsidRDefault="0060198F" w:rsidP="0060198F">
      <w:pPr>
        <w:autoSpaceDE w:val="0"/>
        <w:autoSpaceDN w:val="0"/>
        <w:adjustRightInd w:val="0"/>
        <w:spacing w:after="0"/>
        <w:ind w:left="426"/>
        <w:jc w:val="both"/>
      </w:pPr>
    </w:p>
    <w:p w14:paraId="32A51ADC" w14:textId="77777777" w:rsidR="0060198F" w:rsidRDefault="0060198F" w:rsidP="0060198F">
      <w:pPr>
        <w:autoSpaceDE w:val="0"/>
        <w:autoSpaceDN w:val="0"/>
        <w:adjustRightInd w:val="0"/>
        <w:spacing w:after="0"/>
        <w:ind w:left="426"/>
        <w:jc w:val="both"/>
      </w:pPr>
      <w:r w:rsidRPr="0D478AC7">
        <w:t>The Town Depot will be closed on public holidays and will operate with a skeleton staff on working days during the Christmas and New Year period.</w:t>
      </w:r>
    </w:p>
    <w:p w14:paraId="030448A3" w14:textId="77777777" w:rsidR="0060198F" w:rsidRDefault="0060198F" w:rsidP="0060198F">
      <w:pPr>
        <w:autoSpaceDE w:val="0"/>
        <w:autoSpaceDN w:val="0"/>
        <w:adjustRightInd w:val="0"/>
        <w:spacing w:after="0"/>
        <w:ind w:left="426"/>
        <w:jc w:val="both"/>
        <w:rPr>
          <w:rFonts w:cstheme="minorHAnsi"/>
        </w:rPr>
      </w:pPr>
    </w:p>
    <w:p w14:paraId="5663391B" w14:textId="77777777" w:rsidR="0060198F" w:rsidRPr="002A7A17" w:rsidRDefault="0060198F" w:rsidP="0060198F">
      <w:pPr>
        <w:autoSpaceDE w:val="0"/>
        <w:autoSpaceDN w:val="0"/>
        <w:adjustRightInd w:val="0"/>
        <w:spacing w:after="0"/>
        <w:ind w:left="426"/>
        <w:jc w:val="both"/>
      </w:pPr>
      <w:r w:rsidRPr="0D478AC7">
        <w:t xml:space="preserve">The Commonwealth Home Support Program (Neighbourhood Link) will be closed for approximately three weeks including the Christmas and New Year period.  </w:t>
      </w:r>
    </w:p>
    <w:p w14:paraId="37929AE0" w14:textId="77777777" w:rsidR="0060198F" w:rsidRDefault="0060198F" w:rsidP="0060198F">
      <w:pPr>
        <w:autoSpaceDE w:val="0"/>
        <w:autoSpaceDN w:val="0"/>
        <w:adjustRightInd w:val="0"/>
        <w:spacing w:after="0" w:line="240" w:lineRule="auto"/>
        <w:ind w:left="426"/>
        <w:rPr>
          <w:rFonts w:cstheme="minorHAnsi"/>
        </w:rPr>
      </w:pPr>
    </w:p>
    <w:p w14:paraId="0E4C5A98" w14:textId="77777777" w:rsidR="0060198F" w:rsidRDefault="0060198F" w:rsidP="0060198F">
      <w:pPr>
        <w:spacing w:after="120"/>
        <w:ind w:left="426"/>
        <w:jc w:val="both"/>
      </w:pPr>
      <w:r w:rsidRPr="0D478AC7">
        <w:t>The Chief Executive Officer will have discretion to vary the times of closure so that the period may include up to one day prior to Christmas Day and up to two days after New Year’s Day.</w:t>
      </w:r>
    </w:p>
    <w:p w14:paraId="223C3D2E" w14:textId="77777777" w:rsidR="0060198F" w:rsidRDefault="0060198F" w:rsidP="0060198F">
      <w:pPr>
        <w:spacing w:after="0" w:line="240" w:lineRule="auto"/>
        <w:ind w:left="426"/>
      </w:pPr>
    </w:p>
    <w:p w14:paraId="7C03DDE2" w14:textId="77777777" w:rsidR="0060198F" w:rsidRPr="00D83786" w:rsidRDefault="0060198F" w:rsidP="0060198F">
      <w:pPr>
        <w:autoSpaceDE w:val="0"/>
        <w:autoSpaceDN w:val="0"/>
        <w:adjustRightInd w:val="0"/>
        <w:spacing w:after="0" w:line="240" w:lineRule="auto"/>
        <w:ind w:left="425" w:hanging="425"/>
        <w:rPr>
          <w:rFonts w:cstheme="minorHAnsi"/>
          <w:b/>
          <w:bCs/>
        </w:rPr>
      </w:pPr>
      <w:r w:rsidRPr="00D83786">
        <w:rPr>
          <w:rFonts w:cstheme="minorHAnsi"/>
          <w:b/>
          <w:bCs/>
        </w:rPr>
        <w:t xml:space="preserve">3. </w:t>
      </w:r>
      <w:r w:rsidRPr="00D83786">
        <w:rPr>
          <w:rFonts w:cstheme="minorHAnsi"/>
          <w:b/>
          <w:bCs/>
        </w:rPr>
        <w:tab/>
      </w:r>
      <w:r>
        <w:rPr>
          <w:rFonts w:cstheme="minorHAnsi"/>
          <w:b/>
          <w:bCs/>
        </w:rPr>
        <w:t>Advice to the Public</w:t>
      </w:r>
    </w:p>
    <w:p w14:paraId="3B640E94" w14:textId="77777777" w:rsidR="0060198F" w:rsidRDefault="0060198F" w:rsidP="0060198F">
      <w:pPr>
        <w:spacing w:after="0"/>
        <w:ind w:left="426" w:right="-23"/>
        <w:jc w:val="both"/>
        <w:rPr>
          <w:rFonts w:eastAsia="Arial"/>
        </w:rPr>
      </w:pPr>
      <w:r w:rsidRPr="0D478AC7">
        <w:rPr>
          <w:rFonts w:eastAsia="Arial"/>
        </w:rPr>
        <w:t xml:space="preserve">Members of the public will be advised of closure times and dates in keeping with the principles of local public notice as defined by the </w:t>
      </w:r>
      <w:r w:rsidRPr="0D478AC7">
        <w:rPr>
          <w:rFonts w:eastAsia="Arial"/>
          <w:i/>
          <w:iCs/>
        </w:rPr>
        <w:t xml:space="preserve">Local Government Act 1995 </w:t>
      </w:r>
      <w:r w:rsidRPr="0D478AC7">
        <w:rPr>
          <w:rFonts w:eastAsia="Arial"/>
        </w:rPr>
        <w:t xml:space="preserve">and </w:t>
      </w:r>
      <w:r w:rsidRPr="0D478AC7">
        <w:rPr>
          <w:rFonts w:eastAsia="Arial"/>
          <w:i/>
          <w:iCs/>
        </w:rPr>
        <w:t>Local Government (Administration) Regulations 1996.</w:t>
      </w:r>
      <w:r w:rsidRPr="0D478AC7">
        <w:rPr>
          <w:rFonts w:eastAsia="Arial"/>
        </w:rPr>
        <w:t xml:space="preserve"> This may include information being available on the Town’s </w:t>
      </w:r>
      <w:r w:rsidRPr="0D478AC7">
        <w:rPr>
          <w:rFonts w:eastAsia="Arial"/>
        </w:rPr>
        <w:lastRenderedPageBreak/>
        <w:t>website, public notice on the Town’s noticeboard, social media and advertisement in the local newspaper.</w:t>
      </w:r>
    </w:p>
    <w:p w14:paraId="089017C4" w14:textId="77777777" w:rsidR="0060198F" w:rsidRDefault="0060198F" w:rsidP="0060198F">
      <w:pPr>
        <w:spacing w:after="0"/>
        <w:ind w:left="426" w:right="-23"/>
        <w:jc w:val="both"/>
        <w:rPr>
          <w:rFonts w:eastAsia="Arial"/>
        </w:rPr>
      </w:pPr>
    </w:p>
    <w:p w14:paraId="1AEC5F12" w14:textId="77777777" w:rsidR="0060198F" w:rsidRDefault="0060198F" w:rsidP="0060198F">
      <w:pPr>
        <w:spacing w:after="0"/>
        <w:ind w:left="426" w:right="-23"/>
        <w:jc w:val="both"/>
      </w:pPr>
      <w:r w:rsidRPr="0D478AC7">
        <w:rPr>
          <w:rFonts w:eastAsia="Arial"/>
        </w:rPr>
        <w:t xml:space="preserve">Clients of the </w:t>
      </w:r>
      <w:r w:rsidRPr="0D478AC7">
        <w:t>Commonwealth Home Support Program will be directly advised of the dates of closure of that service.</w:t>
      </w:r>
    </w:p>
    <w:p w14:paraId="7907F719" w14:textId="77777777" w:rsidR="0060198F" w:rsidRPr="00CA1579" w:rsidRDefault="0060198F" w:rsidP="0060198F">
      <w:pPr>
        <w:spacing w:after="0"/>
        <w:ind w:left="426" w:right="-23"/>
        <w:jc w:val="both"/>
        <w:rPr>
          <w:rFonts w:eastAsia="Arial" w:cstheme="minorHAnsi"/>
        </w:rPr>
      </w:pPr>
    </w:p>
    <w:p w14:paraId="419F77D0" w14:textId="77777777" w:rsidR="0060198F" w:rsidRPr="00585C2D" w:rsidRDefault="0060198F" w:rsidP="0060198F">
      <w:pPr>
        <w:spacing w:before="78" w:after="0" w:line="241" w:lineRule="auto"/>
        <w:ind w:right="1179"/>
        <w:rPr>
          <w:rFonts w:eastAsia="Arial" w:cstheme="minorHAnsi"/>
        </w:rPr>
      </w:pPr>
    </w:p>
    <w:tbl>
      <w:tblPr>
        <w:tblStyle w:val="TableGrid"/>
        <w:tblW w:w="0" w:type="auto"/>
        <w:tblLook w:val="04A0" w:firstRow="1" w:lastRow="0" w:firstColumn="1" w:lastColumn="0" w:noHBand="0" w:noVBand="1"/>
      </w:tblPr>
      <w:tblGrid>
        <w:gridCol w:w="3050"/>
        <w:gridCol w:w="5966"/>
      </w:tblGrid>
      <w:tr w:rsidR="0060198F" w:rsidRPr="0096334F" w14:paraId="5BB5241D" w14:textId="77777777" w:rsidTr="00620F69">
        <w:tc>
          <w:tcPr>
            <w:tcW w:w="3050" w:type="dxa"/>
          </w:tcPr>
          <w:p w14:paraId="1DC4389D" w14:textId="77777777" w:rsidR="0060198F" w:rsidRPr="0096334F" w:rsidRDefault="0060198F" w:rsidP="00620F69">
            <w:pPr>
              <w:jc w:val="both"/>
              <w:rPr>
                <w:rFonts w:cstheme="minorHAnsi"/>
                <w:b/>
                <w:lang w:val="en-US"/>
              </w:rPr>
            </w:pPr>
            <w:r w:rsidRPr="0096334F">
              <w:rPr>
                <w:rFonts w:cstheme="minorHAnsi"/>
                <w:b/>
                <w:lang w:val="en-US"/>
              </w:rPr>
              <w:t>Responsible Directorate:</w:t>
            </w:r>
          </w:p>
        </w:tc>
        <w:tc>
          <w:tcPr>
            <w:tcW w:w="5966" w:type="dxa"/>
          </w:tcPr>
          <w:p w14:paraId="0BBC8E8B" w14:textId="77777777" w:rsidR="0060198F" w:rsidRPr="0096334F" w:rsidRDefault="0060198F" w:rsidP="00620F69">
            <w:pPr>
              <w:jc w:val="both"/>
              <w:rPr>
                <w:rFonts w:cstheme="minorHAnsi"/>
                <w:lang w:val="en-US"/>
              </w:rPr>
            </w:pPr>
            <w:r w:rsidRPr="0096334F">
              <w:rPr>
                <w:rFonts w:cstheme="minorHAnsi"/>
                <w:lang w:val="en-US"/>
              </w:rPr>
              <w:t>Office of the CEO</w:t>
            </w:r>
          </w:p>
        </w:tc>
      </w:tr>
      <w:tr w:rsidR="0060198F" w:rsidRPr="0096334F" w14:paraId="0ECE0A18" w14:textId="77777777" w:rsidTr="00620F69">
        <w:tc>
          <w:tcPr>
            <w:tcW w:w="3050" w:type="dxa"/>
          </w:tcPr>
          <w:p w14:paraId="4F376086" w14:textId="77777777" w:rsidR="0060198F" w:rsidRPr="0096334F" w:rsidRDefault="0060198F" w:rsidP="00620F69">
            <w:pPr>
              <w:jc w:val="both"/>
              <w:rPr>
                <w:rFonts w:cstheme="minorHAnsi"/>
                <w:b/>
                <w:lang w:val="en-US"/>
              </w:rPr>
            </w:pPr>
            <w:r w:rsidRPr="0096334F">
              <w:rPr>
                <w:rFonts w:cstheme="minorHAnsi"/>
                <w:b/>
                <w:lang w:val="en-US"/>
              </w:rPr>
              <w:t>Reviewing Officer:</w:t>
            </w:r>
          </w:p>
        </w:tc>
        <w:tc>
          <w:tcPr>
            <w:tcW w:w="5966" w:type="dxa"/>
          </w:tcPr>
          <w:p w14:paraId="1A7ED56A" w14:textId="77777777" w:rsidR="0060198F" w:rsidRPr="0096334F" w:rsidRDefault="0060198F" w:rsidP="00620F69">
            <w:pPr>
              <w:jc w:val="both"/>
              <w:rPr>
                <w:rFonts w:cstheme="minorHAnsi"/>
                <w:lang w:val="en-US"/>
              </w:rPr>
            </w:pPr>
            <w:r w:rsidRPr="0096334F">
              <w:rPr>
                <w:rFonts w:cstheme="minorHAnsi"/>
                <w:lang w:val="en-US"/>
              </w:rPr>
              <w:t>Chief Executive Officer</w:t>
            </w:r>
          </w:p>
        </w:tc>
      </w:tr>
      <w:tr w:rsidR="0060198F" w:rsidRPr="0096334F" w14:paraId="33DFD23B" w14:textId="77777777" w:rsidTr="00620F69">
        <w:tc>
          <w:tcPr>
            <w:tcW w:w="3050" w:type="dxa"/>
          </w:tcPr>
          <w:p w14:paraId="1165F23E" w14:textId="77777777" w:rsidR="0060198F" w:rsidRPr="0096334F" w:rsidRDefault="0060198F" w:rsidP="00620F69">
            <w:pPr>
              <w:jc w:val="both"/>
              <w:rPr>
                <w:rFonts w:cstheme="minorHAnsi"/>
                <w:b/>
                <w:lang w:val="en-US"/>
              </w:rPr>
            </w:pPr>
            <w:r w:rsidRPr="0096334F">
              <w:rPr>
                <w:rFonts w:cstheme="minorHAnsi"/>
                <w:b/>
                <w:lang w:val="en-US"/>
              </w:rPr>
              <w:t>Decision making Authority:</w:t>
            </w:r>
          </w:p>
        </w:tc>
        <w:tc>
          <w:tcPr>
            <w:tcW w:w="5966" w:type="dxa"/>
          </w:tcPr>
          <w:p w14:paraId="0F0AFEDB" w14:textId="77777777" w:rsidR="0060198F" w:rsidRPr="0096334F" w:rsidRDefault="0060198F" w:rsidP="00620F69">
            <w:pPr>
              <w:jc w:val="both"/>
              <w:rPr>
                <w:rFonts w:cstheme="minorHAnsi"/>
                <w:lang w:val="en-US"/>
              </w:rPr>
            </w:pPr>
            <w:r w:rsidRPr="0096334F">
              <w:rPr>
                <w:rFonts w:cstheme="minorHAnsi"/>
                <w:lang w:val="en-US"/>
              </w:rPr>
              <w:t>Council</w:t>
            </w:r>
          </w:p>
        </w:tc>
      </w:tr>
      <w:tr w:rsidR="0060198F" w:rsidRPr="0096334F" w14:paraId="31344E3E" w14:textId="77777777" w:rsidTr="00620F69">
        <w:tc>
          <w:tcPr>
            <w:tcW w:w="3050" w:type="dxa"/>
          </w:tcPr>
          <w:p w14:paraId="2C90DD87" w14:textId="77777777" w:rsidR="0060198F" w:rsidRPr="0096334F" w:rsidRDefault="0060198F" w:rsidP="00620F69">
            <w:pPr>
              <w:jc w:val="both"/>
              <w:rPr>
                <w:rFonts w:cstheme="minorHAnsi"/>
                <w:b/>
                <w:lang w:val="en-US"/>
              </w:rPr>
            </w:pPr>
            <w:r w:rsidRPr="0096334F">
              <w:rPr>
                <w:rFonts w:cstheme="minorHAnsi"/>
                <w:b/>
                <w:lang w:val="en-US"/>
              </w:rPr>
              <w:t>Policy Adopted:</w:t>
            </w:r>
          </w:p>
        </w:tc>
        <w:tc>
          <w:tcPr>
            <w:tcW w:w="5966" w:type="dxa"/>
          </w:tcPr>
          <w:p w14:paraId="4C8F5172" w14:textId="77777777" w:rsidR="0060198F" w:rsidRPr="0096334F" w:rsidRDefault="0060198F" w:rsidP="00620F69">
            <w:pPr>
              <w:jc w:val="both"/>
              <w:rPr>
                <w:rFonts w:cstheme="minorHAnsi"/>
                <w:lang w:val="en-US"/>
              </w:rPr>
            </w:pPr>
            <w:r>
              <w:rPr>
                <w:rFonts w:cstheme="minorHAnsi"/>
                <w:lang w:val="en-US"/>
              </w:rPr>
              <w:t>15/7/25</w:t>
            </w:r>
          </w:p>
        </w:tc>
      </w:tr>
      <w:tr w:rsidR="0060198F" w:rsidRPr="0096334F" w14:paraId="611A3AF3" w14:textId="77777777" w:rsidTr="00620F69">
        <w:tc>
          <w:tcPr>
            <w:tcW w:w="3050" w:type="dxa"/>
          </w:tcPr>
          <w:p w14:paraId="3EAA7378" w14:textId="77777777" w:rsidR="0060198F" w:rsidRPr="0096334F" w:rsidRDefault="0060198F" w:rsidP="00620F69">
            <w:pPr>
              <w:jc w:val="both"/>
              <w:rPr>
                <w:rFonts w:cstheme="minorHAnsi"/>
                <w:b/>
                <w:lang w:val="en-US"/>
              </w:rPr>
            </w:pPr>
            <w:r w:rsidRPr="0096334F">
              <w:rPr>
                <w:rFonts w:cstheme="minorHAnsi"/>
                <w:b/>
                <w:lang w:val="en-US"/>
              </w:rPr>
              <w:t>Policy Amended/Reviewed:</w:t>
            </w:r>
          </w:p>
        </w:tc>
        <w:tc>
          <w:tcPr>
            <w:tcW w:w="5966" w:type="dxa"/>
          </w:tcPr>
          <w:p w14:paraId="2C1C9F5B" w14:textId="77777777" w:rsidR="0060198F" w:rsidRPr="0096334F" w:rsidRDefault="0060198F" w:rsidP="00620F69">
            <w:pPr>
              <w:jc w:val="both"/>
              <w:rPr>
                <w:rFonts w:cstheme="minorHAnsi"/>
                <w:lang w:val="en-US"/>
              </w:rPr>
            </w:pPr>
          </w:p>
        </w:tc>
      </w:tr>
    </w:tbl>
    <w:p w14:paraId="465474C3" w14:textId="77777777" w:rsidR="0060198F" w:rsidRPr="0096334F" w:rsidRDefault="0060198F" w:rsidP="0060198F">
      <w:pPr>
        <w:jc w:val="both"/>
        <w:rPr>
          <w:rFonts w:cstheme="minorHAnsi"/>
          <w:lang w:val="en-US"/>
        </w:rPr>
      </w:pPr>
    </w:p>
    <w:p w14:paraId="7CA5399A" w14:textId="77777777" w:rsidR="004C4ADB" w:rsidRPr="004C4ADB" w:rsidRDefault="004C4ADB" w:rsidP="004C4ADB">
      <w:pPr>
        <w:jc w:val="both"/>
        <w:rPr>
          <w:rFonts w:cstheme="minorHAnsi"/>
          <w:lang w:val="en-US"/>
        </w:rPr>
      </w:pPr>
    </w:p>
    <w:p w14:paraId="699FB630" w14:textId="77777777" w:rsidR="004C4ADB" w:rsidRDefault="004C4ADB">
      <w:pPr>
        <w:rPr>
          <w:rFonts w:cstheme="minorHAnsi"/>
          <w:lang w:val="en-US"/>
        </w:rPr>
      </w:pPr>
      <w:r>
        <w:rPr>
          <w:rFonts w:cstheme="minorHAnsi"/>
          <w:lang w:val="en-US"/>
        </w:rPr>
        <w:br w:type="page"/>
      </w:r>
    </w:p>
    <w:p w14:paraId="2F1D4959" w14:textId="2BA8E057" w:rsidR="00662CF7" w:rsidRDefault="003369A9" w:rsidP="00662CF7">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63360" behindDoc="1" locked="0" layoutInCell="1" allowOverlap="1" wp14:anchorId="74721446" wp14:editId="1A0B232F">
            <wp:simplePos x="0" y="0"/>
            <wp:positionH relativeFrom="column">
              <wp:posOffset>3981450</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193A31E" w14:textId="77777777" w:rsidR="00662CF7" w:rsidRPr="00045DC5" w:rsidRDefault="00662CF7" w:rsidP="00662CF7">
      <w:pPr>
        <w:pStyle w:val="Title"/>
        <w:pBdr>
          <w:bottom w:val="none" w:sz="0" w:space="0" w:color="auto"/>
        </w:pBdr>
        <w:spacing w:before="240" w:after="240"/>
        <w:rPr>
          <w:rFonts w:ascii="Arial" w:hAnsi="Arial" w:cs="Arial"/>
          <w:b/>
          <w:sz w:val="18"/>
          <w:szCs w:val="28"/>
          <w:lang w:val="en-US"/>
        </w:rPr>
      </w:pPr>
    </w:p>
    <w:p w14:paraId="609F590A" w14:textId="77777777" w:rsidR="003369A9" w:rsidRDefault="003369A9" w:rsidP="00AD0E20">
      <w:pPr>
        <w:pStyle w:val="Policy1"/>
        <w:spacing w:after="120"/>
      </w:pPr>
    </w:p>
    <w:p w14:paraId="67E569D2" w14:textId="08B3465F" w:rsidR="00AD0E20" w:rsidRPr="00C0368D" w:rsidRDefault="00AD0E20" w:rsidP="00AD0E20">
      <w:pPr>
        <w:pStyle w:val="Policy1"/>
        <w:spacing w:after="120"/>
      </w:pPr>
      <w:bookmarkStart w:id="141" w:name="_Toc216866675"/>
      <w:r w:rsidRPr="00C0368D">
        <w:t>2.</w:t>
      </w:r>
      <w:r w:rsidRPr="00C0368D">
        <w:tab/>
        <w:t>CORPORATE SERVICES</w:t>
      </w:r>
      <w:bookmarkEnd w:id="141"/>
    </w:p>
    <w:p w14:paraId="671998C5" w14:textId="77777777" w:rsidR="00AD0E20" w:rsidRDefault="00707F63" w:rsidP="00AD0E20">
      <w:pPr>
        <w:pStyle w:val="Policy2"/>
        <w:spacing w:after="120"/>
      </w:pPr>
      <w:bookmarkStart w:id="142" w:name="_Toc216866676"/>
      <w:r>
        <w:t>2.1</w:t>
      </w:r>
      <w:r w:rsidR="00AD0E20">
        <w:tab/>
        <w:t>FINANCIAL MANAGEMENT</w:t>
      </w:r>
      <w:bookmarkEnd w:id="142"/>
    </w:p>
    <w:p w14:paraId="5C06A497" w14:textId="77777777" w:rsidR="00662CF7" w:rsidRPr="00862911" w:rsidRDefault="00662CF7" w:rsidP="00760D17">
      <w:pPr>
        <w:pStyle w:val="Policy3"/>
      </w:pPr>
      <w:bookmarkStart w:id="143" w:name="_Toc216866677"/>
      <w:r w:rsidRPr="00862911">
        <w:t>2.1.1</w:t>
      </w:r>
      <w:r w:rsidRPr="00862911">
        <w:tab/>
        <w:t>D</w:t>
      </w:r>
      <w:r w:rsidR="00760D17">
        <w:t>isposal of Surplus Property</w:t>
      </w:r>
      <w:bookmarkEnd w:id="143"/>
    </w:p>
    <w:tbl>
      <w:tblPr>
        <w:tblStyle w:val="TableGrid"/>
        <w:tblW w:w="0" w:type="auto"/>
        <w:tblLook w:val="04A0" w:firstRow="1" w:lastRow="0" w:firstColumn="1" w:lastColumn="0" w:noHBand="0" w:noVBand="1"/>
      </w:tblPr>
      <w:tblGrid>
        <w:gridCol w:w="3022"/>
        <w:gridCol w:w="5994"/>
      </w:tblGrid>
      <w:tr w:rsidR="00662CF7" w:rsidRPr="00662CF7" w14:paraId="37C69452" w14:textId="77777777" w:rsidTr="00662CF7">
        <w:tc>
          <w:tcPr>
            <w:tcW w:w="3022" w:type="dxa"/>
          </w:tcPr>
          <w:p w14:paraId="05E52BB2" w14:textId="77777777" w:rsidR="00662CF7" w:rsidRPr="00662CF7" w:rsidRDefault="00662CF7" w:rsidP="00B4063E">
            <w:pPr>
              <w:rPr>
                <w:rFonts w:cstheme="minorHAnsi"/>
                <w:b/>
                <w:lang w:val="en-US"/>
              </w:rPr>
            </w:pPr>
            <w:r w:rsidRPr="00662CF7">
              <w:rPr>
                <w:rFonts w:cstheme="minorHAnsi"/>
                <w:b/>
                <w:lang w:val="en-US"/>
              </w:rPr>
              <w:t>Type:</w:t>
            </w:r>
          </w:p>
        </w:tc>
        <w:tc>
          <w:tcPr>
            <w:tcW w:w="5994" w:type="dxa"/>
          </w:tcPr>
          <w:p w14:paraId="43CA0249" w14:textId="77777777" w:rsidR="00662CF7" w:rsidRPr="00662CF7" w:rsidRDefault="00662CF7" w:rsidP="00B4063E">
            <w:pPr>
              <w:rPr>
                <w:rFonts w:cstheme="minorHAnsi"/>
                <w:lang w:val="en-US"/>
              </w:rPr>
            </w:pPr>
            <w:r>
              <w:rPr>
                <w:rFonts w:cstheme="minorHAnsi"/>
                <w:lang w:val="en-US"/>
              </w:rPr>
              <w:t>Corporate Services – Financial Management</w:t>
            </w:r>
          </w:p>
        </w:tc>
      </w:tr>
      <w:tr w:rsidR="00662CF7" w:rsidRPr="00662CF7" w14:paraId="65FA937A" w14:textId="77777777" w:rsidTr="00662CF7">
        <w:tc>
          <w:tcPr>
            <w:tcW w:w="3022" w:type="dxa"/>
          </w:tcPr>
          <w:p w14:paraId="5834D38C" w14:textId="77777777" w:rsidR="00662CF7" w:rsidRPr="00662CF7" w:rsidRDefault="00662CF7" w:rsidP="00B4063E">
            <w:pPr>
              <w:rPr>
                <w:rFonts w:cstheme="minorHAnsi"/>
                <w:b/>
                <w:lang w:val="en-US"/>
              </w:rPr>
            </w:pPr>
            <w:r w:rsidRPr="00662CF7">
              <w:rPr>
                <w:rFonts w:cstheme="minorHAnsi"/>
                <w:b/>
                <w:lang w:val="en-US"/>
              </w:rPr>
              <w:t>Legislation:</w:t>
            </w:r>
          </w:p>
        </w:tc>
        <w:tc>
          <w:tcPr>
            <w:tcW w:w="5994" w:type="dxa"/>
          </w:tcPr>
          <w:p w14:paraId="7DA47FD1" w14:textId="77777777" w:rsidR="00662CF7" w:rsidRPr="00662CF7" w:rsidRDefault="00662CF7" w:rsidP="00B4063E">
            <w:pPr>
              <w:rPr>
                <w:rFonts w:cstheme="minorHAnsi"/>
                <w:lang w:val="en-US"/>
              </w:rPr>
            </w:pPr>
            <w:r w:rsidRPr="00662CF7">
              <w:rPr>
                <w:rFonts w:cstheme="minorHAnsi"/>
                <w:lang w:val="en-US"/>
              </w:rPr>
              <w:t xml:space="preserve">LGA 1995 s3.39 Power to remove and impound, </w:t>
            </w:r>
          </w:p>
          <w:p w14:paraId="2AC86C96" w14:textId="77777777" w:rsidR="00662CF7" w:rsidRPr="00662CF7" w:rsidRDefault="00662CF7" w:rsidP="00B4063E">
            <w:pPr>
              <w:rPr>
                <w:rFonts w:cstheme="minorHAnsi"/>
                <w:lang w:val="en-US"/>
              </w:rPr>
            </w:pPr>
            <w:r w:rsidRPr="00662CF7">
              <w:rPr>
                <w:rFonts w:cstheme="minorHAnsi"/>
                <w:lang w:val="en-US"/>
              </w:rPr>
              <w:t>s3.47 Disposal of confiscated or uncollected goods, s3.58(2</w:t>
            </w:r>
            <w:proofErr w:type="gramStart"/>
            <w:r w:rsidRPr="00662CF7">
              <w:rPr>
                <w:rFonts w:cstheme="minorHAnsi"/>
                <w:lang w:val="en-US"/>
              </w:rPr>
              <w:t>),(</w:t>
            </w:r>
            <w:proofErr w:type="gramEnd"/>
            <w:r w:rsidRPr="00662CF7">
              <w:rPr>
                <w:rFonts w:cstheme="minorHAnsi"/>
                <w:lang w:val="en-US"/>
              </w:rPr>
              <w:t>3) &amp; (5) Disposing of property</w:t>
            </w:r>
          </w:p>
        </w:tc>
      </w:tr>
      <w:tr w:rsidR="00662CF7" w:rsidRPr="00662CF7" w14:paraId="11689DC8" w14:textId="77777777" w:rsidTr="00662CF7">
        <w:tc>
          <w:tcPr>
            <w:tcW w:w="3022" w:type="dxa"/>
          </w:tcPr>
          <w:p w14:paraId="58F8991E" w14:textId="77777777" w:rsidR="00662CF7" w:rsidRPr="00662CF7" w:rsidRDefault="00662CF7" w:rsidP="00B4063E">
            <w:pPr>
              <w:rPr>
                <w:rFonts w:cstheme="minorHAnsi"/>
                <w:b/>
                <w:lang w:val="en-US"/>
              </w:rPr>
            </w:pPr>
            <w:r w:rsidRPr="00662CF7">
              <w:rPr>
                <w:rFonts w:cstheme="minorHAnsi"/>
                <w:b/>
                <w:lang w:val="en-US"/>
              </w:rPr>
              <w:t>Delegation:</w:t>
            </w:r>
          </w:p>
        </w:tc>
        <w:tc>
          <w:tcPr>
            <w:tcW w:w="5994" w:type="dxa"/>
          </w:tcPr>
          <w:p w14:paraId="54170005" w14:textId="77777777" w:rsidR="00662CF7" w:rsidRPr="00662CF7" w:rsidRDefault="00662CF7" w:rsidP="00B4063E">
            <w:pPr>
              <w:rPr>
                <w:rFonts w:cstheme="minorHAnsi"/>
                <w:lang w:val="en-US"/>
              </w:rPr>
            </w:pPr>
            <w:r w:rsidRPr="00662CF7">
              <w:rPr>
                <w:rFonts w:cstheme="minorHAnsi"/>
                <w:lang w:val="en-US"/>
              </w:rPr>
              <w:t>DA63</w:t>
            </w:r>
            <w:r>
              <w:rPr>
                <w:rFonts w:cstheme="minorHAnsi"/>
                <w:lang w:val="en-US"/>
              </w:rPr>
              <w:t xml:space="preserve"> Disposing of Property, Confiscated or Uncollected Goods</w:t>
            </w:r>
          </w:p>
        </w:tc>
      </w:tr>
      <w:tr w:rsidR="00662CF7" w:rsidRPr="00662CF7" w14:paraId="2020B709" w14:textId="77777777" w:rsidTr="00662CF7">
        <w:tc>
          <w:tcPr>
            <w:tcW w:w="3022" w:type="dxa"/>
          </w:tcPr>
          <w:p w14:paraId="7579AC96" w14:textId="77777777" w:rsidR="00662CF7" w:rsidRPr="00662CF7" w:rsidRDefault="00662CF7" w:rsidP="00B4063E">
            <w:pPr>
              <w:rPr>
                <w:rFonts w:cstheme="minorHAnsi"/>
                <w:b/>
                <w:lang w:val="en-US"/>
              </w:rPr>
            </w:pPr>
            <w:r w:rsidRPr="00662CF7">
              <w:rPr>
                <w:rFonts w:cstheme="minorHAnsi"/>
                <w:b/>
                <w:lang w:val="en-US"/>
              </w:rPr>
              <w:t>Other Related Document:</w:t>
            </w:r>
          </w:p>
        </w:tc>
        <w:tc>
          <w:tcPr>
            <w:tcW w:w="5994" w:type="dxa"/>
          </w:tcPr>
          <w:p w14:paraId="57DEF9C4" w14:textId="77777777" w:rsidR="00662CF7" w:rsidRPr="00662CF7" w:rsidRDefault="00662CF7" w:rsidP="00B4063E">
            <w:pPr>
              <w:rPr>
                <w:rFonts w:cstheme="minorHAnsi"/>
                <w:lang w:val="en-US"/>
              </w:rPr>
            </w:pPr>
          </w:p>
        </w:tc>
      </w:tr>
    </w:tbl>
    <w:p w14:paraId="221A9E27" w14:textId="77777777" w:rsidR="00662CF7" w:rsidRPr="00862911" w:rsidRDefault="00662CF7" w:rsidP="00045DC5">
      <w:pPr>
        <w:spacing w:before="240" w:after="0"/>
        <w:rPr>
          <w:b/>
          <w:sz w:val="28"/>
          <w:szCs w:val="28"/>
          <w:lang w:val="en-US"/>
        </w:rPr>
      </w:pPr>
      <w:r w:rsidRPr="00862911">
        <w:rPr>
          <w:b/>
          <w:sz w:val="28"/>
          <w:szCs w:val="28"/>
          <w:lang w:val="en-US"/>
        </w:rPr>
        <w:t>Objective</w:t>
      </w:r>
    </w:p>
    <w:p w14:paraId="7231F563" w14:textId="77777777" w:rsidR="00662CF7" w:rsidRPr="00662CF7" w:rsidRDefault="00662CF7" w:rsidP="00662CF7">
      <w:pPr>
        <w:jc w:val="both"/>
        <w:rPr>
          <w:rFonts w:cstheme="minorHAnsi"/>
          <w:lang w:val="en-US"/>
        </w:rPr>
      </w:pPr>
      <w:r w:rsidRPr="00662CF7">
        <w:rPr>
          <w:rFonts w:cstheme="minorHAnsi"/>
          <w:lang w:val="en-US"/>
        </w:rPr>
        <w:t>To provide public transparency and guidance to officers in the disposal of minor surplus goods, plant and equipment or confiscated or uncollected goods to achieve the best possible price.</w:t>
      </w:r>
    </w:p>
    <w:p w14:paraId="019FD227" w14:textId="77777777" w:rsidR="00662CF7" w:rsidRPr="00862911" w:rsidRDefault="00662CF7" w:rsidP="00045DC5">
      <w:pPr>
        <w:spacing w:before="200" w:after="0"/>
        <w:rPr>
          <w:b/>
          <w:sz w:val="28"/>
          <w:szCs w:val="28"/>
          <w:lang w:val="en-US"/>
        </w:rPr>
      </w:pPr>
      <w:r w:rsidRPr="00862911">
        <w:rPr>
          <w:b/>
          <w:sz w:val="28"/>
          <w:szCs w:val="28"/>
          <w:lang w:val="en-US"/>
        </w:rPr>
        <w:t>Policy Scope</w:t>
      </w:r>
    </w:p>
    <w:p w14:paraId="6B4DC6F5" w14:textId="77777777" w:rsidR="00662CF7" w:rsidRPr="00662CF7" w:rsidRDefault="00662CF7" w:rsidP="00662CF7">
      <w:pPr>
        <w:jc w:val="both"/>
        <w:rPr>
          <w:rFonts w:cstheme="minorHAnsi"/>
          <w:lang w:val="en-US"/>
        </w:rPr>
      </w:pPr>
      <w:r w:rsidRPr="00662CF7">
        <w:rPr>
          <w:rFonts w:cstheme="minorHAnsi"/>
          <w:lang w:val="en-US"/>
        </w:rPr>
        <w:t>This policy will affect the Chief Executive Officer exercising delegated authority in the disposal of surplus plant and equipment or confiscated goods.</w:t>
      </w:r>
    </w:p>
    <w:p w14:paraId="21D685F7" w14:textId="77777777" w:rsidR="00662CF7" w:rsidRPr="00862911" w:rsidRDefault="00662CF7" w:rsidP="00045DC5">
      <w:pPr>
        <w:spacing w:after="120"/>
        <w:rPr>
          <w:b/>
          <w:lang w:val="en-US"/>
        </w:rPr>
      </w:pPr>
      <w:r w:rsidRPr="00862911">
        <w:rPr>
          <w:b/>
          <w:lang w:val="en-US"/>
        </w:rPr>
        <w:t>Policy Classifications</w:t>
      </w:r>
    </w:p>
    <w:p w14:paraId="3DDE1565" w14:textId="77777777" w:rsidR="00662CF7" w:rsidRPr="00045DC5" w:rsidRDefault="00662CF7" w:rsidP="00662CF7">
      <w:pPr>
        <w:spacing w:after="0"/>
        <w:rPr>
          <w:i/>
          <w:lang w:val="en-US"/>
        </w:rPr>
      </w:pPr>
      <w:r w:rsidRPr="00045DC5">
        <w:rPr>
          <w:i/>
          <w:lang w:val="en-US"/>
        </w:rPr>
        <w:t xml:space="preserve">Surplus  </w:t>
      </w:r>
    </w:p>
    <w:p w14:paraId="0BE7942B" w14:textId="77777777" w:rsidR="00662CF7" w:rsidRPr="00662CF7" w:rsidRDefault="00662CF7" w:rsidP="00662CF7">
      <w:pPr>
        <w:rPr>
          <w:b/>
          <w:lang w:val="en-US"/>
        </w:rPr>
      </w:pPr>
      <w:r w:rsidRPr="00662CF7">
        <w:rPr>
          <w:lang w:val="en-US"/>
        </w:rPr>
        <w:t>The property has served its useful life and no longer provides a productive capacity.</w:t>
      </w:r>
    </w:p>
    <w:p w14:paraId="4E2BEC3E" w14:textId="77777777" w:rsidR="00662CF7" w:rsidRPr="00045DC5" w:rsidRDefault="00662CF7" w:rsidP="00662CF7">
      <w:pPr>
        <w:spacing w:after="0"/>
        <w:rPr>
          <w:rFonts w:cstheme="minorHAnsi"/>
          <w:i/>
          <w:lang w:val="en-US"/>
        </w:rPr>
      </w:pPr>
      <w:r w:rsidRPr="00045DC5">
        <w:rPr>
          <w:rFonts w:cstheme="minorHAnsi"/>
          <w:i/>
          <w:lang w:val="en-US"/>
        </w:rPr>
        <w:t>Confiscated</w:t>
      </w:r>
    </w:p>
    <w:p w14:paraId="0612F053" w14:textId="77777777" w:rsidR="00662CF7" w:rsidRPr="00662CF7" w:rsidRDefault="00662CF7" w:rsidP="00662CF7">
      <w:pPr>
        <w:spacing w:after="60"/>
        <w:rPr>
          <w:rFonts w:cstheme="minorHAnsi"/>
          <w:lang w:val="en-US"/>
        </w:rPr>
      </w:pPr>
      <w:r w:rsidRPr="00662CF7">
        <w:rPr>
          <w:rFonts w:cstheme="minorHAnsi"/>
          <w:lang w:val="en-US"/>
        </w:rPr>
        <w:t>Disposal or sale of goods that have been:</w:t>
      </w:r>
    </w:p>
    <w:p w14:paraId="1F9A65EA" w14:textId="77777777" w:rsidR="00662CF7" w:rsidRPr="00662CF7" w:rsidRDefault="00662CF7" w:rsidP="00EF1926">
      <w:pPr>
        <w:pStyle w:val="ListParagraph"/>
        <w:numPr>
          <w:ilvl w:val="0"/>
          <w:numId w:val="3"/>
        </w:numPr>
        <w:spacing w:before="60" w:after="60"/>
        <w:ind w:left="426" w:hanging="426"/>
        <w:rPr>
          <w:rFonts w:cstheme="minorHAnsi"/>
          <w:lang w:val="en-US"/>
        </w:rPr>
      </w:pPr>
      <w:r w:rsidRPr="00662CF7">
        <w:rPr>
          <w:rFonts w:cstheme="minorHAnsi"/>
          <w:lang w:val="en-US"/>
        </w:rPr>
        <w:t>ordered to be confiscated under Section 3.43</w:t>
      </w:r>
    </w:p>
    <w:p w14:paraId="0144799C" w14:textId="77777777" w:rsidR="00662CF7" w:rsidRPr="00662CF7" w:rsidRDefault="00662CF7" w:rsidP="00EF1926">
      <w:pPr>
        <w:pStyle w:val="ListParagraph"/>
        <w:numPr>
          <w:ilvl w:val="0"/>
          <w:numId w:val="3"/>
        </w:numPr>
        <w:ind w:left="426" w:hanging="426"/>
        <w:jc w:val="both"/>
        <w:rPr>
          <w:rFonts w:cstheme="minorHAnsi"/>
          <w:lang w:val="en-US"/>
        </w:rPr>
      </w:pPr>
      <w:r w:rsidRPr="00662CF7">
        <w:rPr>
          <w:rFonts w:cstheme="minorHAnsi"/>
          <w:lang w:val="en-US"/>
        </w:rPr>
        <w:t>impounded and have not been collected within the periods shown in LGA s3.47(2b).</w:t>
      </w:r>
    </w:p>
    <w:p w14:paraId="3AFA009B" w14:textId="77777777" w:rsidR="00662CF7" w:rsidRPr="00862911" w:rsidRDefault="00662CF7" w:rsidP="00662CF7">
      <w:pPr>
        <w:spacing w:after="0"/>
        <w:rPr>
          <w:rFonts w:cstheme="minorHAnsi"/>
          <w:b/>
          <w:sz w:val="28"/>
          <w:szCs w:val="28"/>
          <w:lang w:val="en-US"/>
        </w:rPr>
      </w:pPr>
      <w:r w:rsidRPr="00862911">
        <w:rPr>
          <w:rFonts w:cstheme="minorHAnsi"/>
          <w:b/>
          <w:sz w:val="28"/>
          <w:szCs w:val="28"/>
          <w:lang w:val="en-US"/>
        </w:rPr>
        <w:t xml:space="preserve">Policy </w:t>
      </w:r>
    </w:p>
    <w:p w14:paraId="23F61739" w14:textId="77777777" w:rsidR="00662CF7" w:rsidRPr="00662CF7" w:rsidRDefault="00662CF7" w:rsidP="00662CF7">
      <w:pPr>
        <w:jc w:val="both"/>
        <w:rPr>
          <w:rFonts w:cstheme="minorHAnsi"/>
          <w:lang w:val="en-US"/>
        </w:rPr>
      </w:pPr>
      <w:r w:rsidRPr="00662CF7">
        <w:rPr>
          <w:rFonts w:cstheme="minorHAnsi"/>
          <w:lang w:val="en-US"/>
        </w:rPr>
        <w:t xml:space="preserve">The Chief Executive Officer acting under delegated authority may dispose of goods, plant and equipment that are surplus to the requirements of the </w:t>
      </w:r>
      <w:proofErr w:type="gramStart"/>
      <w:r w:rsidRPr="00662CF7">
        <w:rPr>
          <w:rFonts w:cstheme="minorHAnsi"/>
          <w:lang w:val="en-US"/>
        </w:rPr>
        <w:t>Town, or</w:t>
      </w:r>
      <w:proofErr w:type="gramEnd"/>
      <w:r w:rsidRPr="00662CF7">
        <w:rPr>
          <w:rFonts w:cstheme="minorHAnsi"/>
          <w:lang w:val="en-US"/>
        </w:rPr>
        <w:t xml:space="preserve"> confiscated or uncollected goods where the market value of the property is less than $50,000.  Conditions governing the disposal of property are set out below:</w:t>
      </w:r>
    </w:p>
    <w:p w14:paraId="32E5ADA4" w14:textId="77777777" w:rsidR="00662CF7" w:rsidRPr="00662CF7" w:rsidRDefault="00662CF7" w:rsidP="00662CF7">
      <w:pPr>
        <w:jc w:val="both"/>
        <w:rPr>
          <w:rFonts w:cstheme="minorHAnsi"/>
          <w:lang w:val="en-US"/>
        </w:rPr>
      </w:pPr>
      <w:r w:rsidRPr="00662CF7">
        <w:rPr>
          <w:rFonts w:cstheme="minorHAnsi"/>
          <w:lang w:val="en-US"/>
        </w:rPr>
        <w:t>Equipment that is surplus to the requirements of the Town can be disposed of where the market value of the property is less than $50,000.</w:t>
      </w:r>
    </w:p>
    <w:p w14:paraId="30432E71" w14:textId="77777777" w:rsidR="00662CF7" w:rsidRPr="00662CF7" w:rsidRDefault="00662CF7" w:rsidP="00662CF7">
      <w:pPr>
        <w:spacing w:before="60" w:after="0"/>
        <w:rPr>
          <w:rFonts w:cstheme="minorHAnsi"/>
          <w:lang w:val="en-US"/>
        </w:rPr>
      </w:pPr>
      <w:r w:rsidRPr="00662CF7">
        <w:rPr>
          <w:rFonts w:cstheme="minorHAnsi"/>
          <w:lang w:val="en-US"/>
        </w:rPr>
        <w:t>All goods, plant and equipment with an estimated market value above $1,000 are to be:</w:t>
      </w:r>
    </w:p>
    <w:p w14:paraId="1C5971EE" w14:textId="77777777" w:rsidR="00662CF7" w:rsidRPr="00662CF7" w:rsidRDefault="00662CF7" w:rsidP="00EF1926">
      <w:pPr>
        <w:pStyle w:val="ListParagraph"/>
        <w:numPr>
          <w:ilvl w:val="0"/>
          <w:numId w:val="1"/>
        </w:numPr>
        <w:spacing w:after="60"/>
        <w:ind w:left="426" w:hanging="426"/>
        <w:rPr>
          <w:rFonts w:cstheme="minorHAnsi"/>
          <w:lang w:val="en-US"/>
        </w:rPr>
      </w:pPr>
      <w:r w:rsidRPr="00662CF7">
        <w:rPr>
          <w:rFonts w:cstheme="minorHAnsi"/>
          <w:lang w:val="en-US"/>
        </w:rPr>
        <w:t xml:space="preserve">advertised for sale in the local area; or </w:t>
      </w:r>
    </w:p>
    <w:p w14:paraId="2E7478E0" w14:textId="77777777" w:rsidR="00662CF7" w:rsidRPr="00662CF7" w:rsidRDefault="00662CF7" w:rsidP="00EF1926">
      <w:pPr>
        <w:pStyle w:val="ListParagraph"/>
        <w:numPr>
          <w:ilvl w:val="0"/>
          <w:numId w:val="1"/>
        </w:numPr>
        <w:spacing w:before="60" w:after="60"/>
        <w:ind w:left="426" w:hanging="426"/>
        <w:rPr>
          <w:rFonts w:cstheme="minorHAnsi"/>
          <w:lang w:val="en-US"/>
        </w:rPr>
      </w:pPr>
      <w:r w:rsidRPr="00662CF7">
        <w:rPr>
          <w:rFonts w:cstheme="minorHAnsi"/>
          <w:lang w:val="en-US"/>
        </w:rPr>
        <w:lastRenderedPageBreak/>
        <w:t>sold by public auction; or</w:t>
      </w:r>
    </w:p>
    <w:p w14:paraId="454DF2CE" w14:textId="77777777" w:rsidR="00662CF7" w:rsidRPr="00662CF7" w:rsidRDefault="00662CF7" w:rsidP="00EF1926">
      <w:pPr>
        <w:pStyle w:val="ListParagraph"/>
        <w:numPr>
          <w:ilvl w:val="0"/>
          <w:numId w:val="1"/>
        </w:numPr>
        <w:spacing w:before="60"/>
        <w:ind w:left="426" w:hanging="426"/>
        <w:rPr>
          <w:rFonts w:cstheme="minorHAnsi"/>
          <w:lang w:val="en-US"/>
        </w:rPr>
      </w:pPr>
      <w:r w:rsidRPr="00662CF7">
        <w:rPr>
          <w:rFonts w:cstheme="minorHAnsi"/>
          <w:lang w:val="en-US"/>
        </w:rPr>
        <w:t>offered for sale by public tender.</w:t>
      </w:r>
    </w:p>
    <w:p w14:paraId="5A68A2F9" w14:textId="77777777" w:rsidR="00662CF7" w:rsidRPr="00662CF7" w:rsidRDefault="00662CF7" w:rsidP="00662CF7">
      <w:pPr>
        <w:spacing w:after="60"/>
        <w:rPr>
          <w:rFonts w:cstheme="minorHAnsi"/>
          <w:lang w:val="en-US"/>
        </w:rPr>
      </w:pPr>
      <w:r w:rsidRPr="00662CF7">
        <w:rPr>
          <w:rFonts w:cstheme="minorHAnsi"/>
          <w:lang w:val="en-US"/>
        </w:rPr>
        <w:t>All goods, plant and equipment with an estimated market value of $1,000 or less are to be:</w:t>
      </w:r>
    </w:p>
    <w:p w14:paraId="7B411800" w14:textId="77777777" w:rsidR="00662CF7" w:rsidRPr="00662CF7" w:rsidRDefault="00662CF7" w:rsidP="00EF1926">
      <w:pPr>
        <w:pStyle w:val="ListParagraph"/>
        <w:numPr>
          <w:ilvl w:val="0"/>
          <w:numId w:val="2"/>
        </w:numPr>
        <w:spacing w:after="60"/>
        <w:ind w:left="426" w:hanging="426"/>
        <w:rPr>
          <w:rFonts w:cstheme="minorHAnsi"/>
          <w:lang w:val="en-US"/>
        </w:rPr>
      </w:pPr>
      <w:r w:rsidRPr="00662CF7">
        <w:rPr>
          <w:rFonts w:cstheme="minorHAnsi"/>
          <w:lang w:val="en-US"/>
        </w:rPr>
        <w:t>advertised for sale in the local area</w:t>
      </w:r>
    </w:p>
    <w:p w14:paraId="0B42A746" w14:textId="77777777" w:rsidR="00662CF7" w:rsidRPr="00662CF7" w:rsidRDefault="00662CF7" w:rsidP="00EF1926">
      <w:pPr>
        <w:pStyle w:val="ListParagraph"/>
        <w:numPr>
          <w:ilvl w:val="0"/>
          <w:numId w:val="2"/>
        </w:numPr>
        <w:spacing w:before="60"/>
        <w:ind w:left="426" w:hanging="426"/>
        <w:rPr>
          <w:rFonts w:cstheme="minorHAnsi"/>
          <w:lang w:val="en-US"/>
        </w:rPr>
      </w:pPr>
      <w:r w:rsidRPr="00662CF7">
        <w:rPr>
          <w:rFonts w:cstheme="minorHAnsi"/>
          <w:lang w:val="en-US"/>
        </w:rPr>
        <w:t>offered for sale in a transparent and accountable manner.</w:t>
      </w:r>
    </w:p>
    <w:p w14:paraId="1717D1DE" w14:textId="77777777" w:rsidR="00662CF7" w:rsidRPr="00662CF7" w:rsidRDefault="00662CF7" w:rsidP="00662CF7">
      <w:pPr>
        <w:rPr>
          <w:rFonts w:cstheme="minorHAnsi"/>
          <w:lang w:val="en-US"/>
        </w:rPr>
      </w:pPr>
      <w:r w:rsidRPr="00662CF7">
        <w:rPr>
          <w:rFonts w:cstheme="minorHAnsi"/>
          <w:lang w:val="en-US"/>
        </w:rPr>
        <w:t>The cost of selling surplus items is not to exceed the market value of those items.</w:t>
      </w:r>
    </w:p>
    <w:p w14:paraId="07DAF649" w14:textId="77777777" w:rsidR="00662CF7" w:rsidRPr="00662CF7" w:rsidRDefault="00662CF7" w:rsidP="00662CF7">
      <w:pPr>
        <w:spacing w:before="120"/>
        <w:jc w:val="both"/>
        <w:rPr>
          <w:rFonts w:cstheme="minorHAnsi"/>
          <w:lang w:val="en-US"/>
        </w:rPr>
      </w:pPr>
      <w:r w:rsidRPr="00662CF7">
        <w:rPr>
          <w:rFonts w:cstheme="minorHAnsi"/>
          <w:lang w:val="en-US"/>
        </w:rPr>
        <w:t>The CEO may either proceed with such a sale or if appropriate instead donate the property available for sale to suitable not for profit community groups or schools.</w:t>
      </w:r>
    </w:p>
    <w:p w14:paraId="762710AE" w14:textId="77777777" w:rsidR="00662CF7" w:rsidRPr="00662CF7" w:rsidRDefault="00662CF7" w:rsidP="00662CF7">
      <w:pPr>
        <w:spacing w:before="120" w:after="60"/>
        <w:jc w:val="both"/>
        <w:rPr>
          <w:rFonts w:cstheme="minorHAnsi"/>
          <w:lang w:val="en-US"/>
        </w:rPr>
      </w:pPr>
      <w:r w:rsidRPr="00662CF7">
        <w:rPr>
          <w:rFonts w:cstheme="minorHAnsi"/>
          <w:lang w:val="en-US"/>
        </w:rPr>
        <w:t>In the absence of any sale being made in accordance with the above, it is at the absolute discretion of the CEO to dispose of any surplus goods, plant and equipment in any manner thought fit by the CEO.</w:t>
      </w:r>
    </w:p>
    <w:p w14:paraId="53B7CBF6" w14:textId="77777777" w:rsidR="00662CF7" w:rsidRPr="00662CF7" w:rsidRDefault="00662CF7" w:rsidP="00662CF7">
      <w:pPr>
        <w:jc w:val="both"/>
        <w:rPr>
          <w:rFonts w:cstheme="minorHAnsi"/>
          <w:lang w:val="en-US"/>
        </w:rPr>
      </w:pPr>
    </w:p>
    <w:p w14:paraId="4D1873CF" w14:textId="77777777" w:rsidR="00662CF7" w:rsidRPr="00662CF7" w:rsidRDefault="00662CF7" w:rsidP="00662CF7">
      <w:pPr>
        <w:jc w:val="both"/>
        <w:rPr>
          <w:rFonts w:cstheme="minorHAnsi"/>
          <w:lang w:val="en-US"/>
        </w:rPr>
      </w:pPr>
    </w:p>
    <w:tbl>
      <w:tblPr>
        <w:tblStyle w:val="TableGrid"/>
        <w:tblW w:w="0" w:type="auto"/>
        <w:tblLook w:val="04A0" w:firstRow="1" w:lastRow="0" w:firstColumn="1" w:lastColumn="0" w:noHBand="0" w:noVBand="1"/>
      </w:tblPr>
      <w:tblGrid>
        <w:gridCol w:w="3056"/>
        <w:gridCol w:w="5997"/>
      </w:tblGrid>
      <w:tr w:rsidR="00662CF7" w:rsidRPr="00662CF7" w14:paraId="7425EC25" w14:textId="77777777" w:rsidTr="00B4063E">
        <w:tc>
          <w:tcPr>
            <w:tcW w:w="3085" w:type="dxa"/>
          </w:tcPr>
          <w:p w14:paraId="3E1FA511" w14:textId="77777777" w:rsidR="00662CF7" w:rsidRPr="00662CF7" w:rsidRDefault="00662CF7" w:rsidP="00B4063E">
            <w:pPr>
              <w:jc w:val="both"/>
              <w:rPr>
                <w:rFonts w:cstheme="minorHAnsi"/>
                <w:b/>
                <w:lang w:val="en-US"/>
              </w:rPr>
            </w:pPr>
            <w:r w:rsidRPr="00662CF7">
              <w:rPr>
                <w:rFonts w:cstheme="minorHAnsi"/>
                <w:b/>
                <w:lang w:val="en-US"/>
              </w:rPr>
              <w:t>Responsible Directorate:</w:t>
            </w:r>
          </w:p>
        </w:tc>
        <w:tc>
          <w:tcPr>
            <w:tcW w:w="6157" w:type="dxa"/>
          </w:tcPr>
          <w:p w14:paraId="5F0C40FC" w14:textId="77777777" w:rsidR="00662CF7" w:rsidRPr="00662CF7" w:rsidRDefault="00760D17" w:rsidP="00B4063E">
            <w:pPr>
              <w:jc w:val="both"/>
              <w:rPr>
                <w:rFonts w:cstheme="minorHAnsi"/>
                <w:lang w:val="en-US"/>
              </w:rPr>
            </w:pPr>
            <w:r>
              <w:rPr>
                <w:rFonts w:cstheme="minorHAnsi"/>
                <w:lang w:val="en-US"/>
              </w:rPr>
              <w:t>Corporate Services</w:t>
            </w:r>
          </w:p>
        </w:tc>
      </w:tr>
      <w:tr w:rsidR="00662CF7" w:rsidRPr="00662CF7" w14:paraId="56357E6C" w14:textId="77777777" w:rsidTr="00B4063E">
        <w:tc>
          <w:tcPr>
            <w:tcW w:w="3085" w:type="dxa"/>
          </w:tcPr>
          <w:p w14:paraId="6DE13728" w14:textId="77777777" w:rsidR="00662CF7" w:rsidRPr="00662CF7" w:rsidRDefault="00662CF7" w:rsidP="00B4063E">
            <w:pPr>
              <w:jc w:val="both"/>
              <w:rPr>
                <w:rFonts w:cstheme="minorHAnsi"/>
                <w:b/>
                <w:lang w:val="en-US"/>
              </w:rPr>
            </w:pPr>
            <w:r w:rsidRPr="00662CF7">
              <w:rPr>
                <w:rFonts w:cstheme="minorHAnsi"/>
                <w:b/>
                <w:lang w:val="en-US"/>
              </w:rPr>
              <w:t>Reviewing Officer:</w:t>
            </w:r>
          </w:p>
        </w:tc>
        <w:tc>
          <w:tcPr>
            <w:tcW w:w="6157" w:type="dxa"/>
          </w:tcPr>
          <w:p w14:paraId="740DF323" w14:textId="77777777" w:rsidR="00662CF7" w:rsidRPr="00662CF7" w:rsidRDefault="00760D17" w:rsidP="00760D17">
            <w:pPr>
              <w:jc w:val="both"/>
              <w:rPr>
                <w:rFonts w:cstheme="minorHAnsi"/>
                <w:lang w:val="en-US"/>
              </w:rPr>
            </w:pPr>
            <w:r>
              <w:rPr>
                <w:rFonts w:cstheme="minorHAnsi"/>
                <w:lang w:val="en-US"/>
              </w:rPr>
              <w:t xml:space="preserve">Executive </w:t>
            </w:r>
            <w:r w:rsidR="00662CF7" w:rsidRPr="00662CF7">
              <w:rPr>
                <w:rFonts w:cstheme="minorHAnsi"/>
                <w:lang w:val="en-US"/>
              </w:rPr>
              <w:t xml:space="preserve">Manager </w:t>
            </w:r>
            <w:r>
              <w:rPr>
                <w:rFonts w:cstheme="minorHAnsi"/>
                <w:lang w:val="en-US"/>
              </w:rPr>
              <w:t>Corporate Services</w:t>
            </w:r>
          </w:p>
        </w:tc>
      </w:tr>
      <w:tr w:rsidR="00662CF7" w:rsidRPr="00662CF7" w14:paraId="5F0086CD" w14:textId="77777777" w:rsidTr="00B4063E">
        <w:tc>
          <w:tcPr>
            <w:tcW w:w="3085" w:type="dxa"/>
          </w:tcPr>
          <w:p w14:paraId="5D3FE70D" w14:textId="77777777" w:rsidR="00662CF7" w:rsidRPr="00662CF7" w:rsidRDefault="00662CF7" w:rsidP="00B4063E">
            <w:pPr>
              <w:jc w:val="both"/>
              <w:rPr>
                <w:rFonts w:cstheme="minorHAnsi"/>
                <w:b/>
                <w:lang w:val="en-US"/>
              </w:rPr>
            </w:pPr>
            <w:r w:rsidRPr="00662CF7">
              <w:rPr>
                <w:rFonts w:cstheme="minorHAnsi"/>
                <w:b/>
                <w:lang w:val="en-US"/>
              </w:rPr>
              <w:t>Decision making Authority:</w:t>
            </w:r>
          </w:p>
        </w:tc>
        <w:tc>
          <w:tcPr>
            <w:tcW w:w="6157" w:type="dxa"/>
          </w:tcPr>
          <w:p w14:paraId="778FB430" w14:textId="77777777" w:rsidR="00662CF7" w:rsidRPr="00662CF7" w:rsidRDefault="00662CF7" w:rsidP="00B4063E">
            <w:pPr>
              <w:jc w:val="both"/>
              <w:rPr>
                <w:rFonts w:cstheme="minorHAnsi"/>
                <w:lang w:val="en-US"/>
              </w:rPr>
            </w:pPr>
            <w:r w:rsidRPr="00662CF7">
              <w:rPr>
                <w:rFonts w:cstheme="minorHAnsi"/>
                <w:lang w:val="en-US"/>
              </w:rPr>
              <w:t>Council</w:t>
            </w:r>
          </w:p>
        </w:tc>
      </w:tr>
      <w:tr w:rsidR="00662CF7" w:rsidRPr="00662CF7" w14:paraId="0D84A98D" w14:textId="77777777" w:rsidTr="00B4063E">
        <w:tc>
          <w:tcPr>
            <w:tcW w:w="3085" w:type="dxa"/>
          </w:tcPr>
          <w:p w14:paraId="32405FEF" w14:textId="77777777" w:rsidR="00662CF7" w:rsidRPr="00662CF7" w:rsidRDefault="00662CF7" w:rsidP="00B4063E">
            <w:pPr>
              <w:jc w:val="both"/>
              <w:rPr>
                <w:rFonts w:cstheme="minorHAnsi"/>
                <w:b/>
                <w:lang w:val="en-US"/>
              </w:rPr>
            </w:pPr>
            <w:r w:rsidRPr="00662CF7">
              <w:rPr>
                <w:rFonts w:cstheme="minorHAnsi"/>
                <w:b/>
                <w:lang w:val="en-US"/>
              </w:rPr>
              <w:t>Policy Adopted:</w:t>
            </w:r>
          </w:p>
        </w:tc>
        <w:tc>
          <w:tcPr>
            <w:tcW w:w="6157" w:type="dxa"/>
          </w:tcPr>
          <w:p w14:paraId="6AAD1828" w14:textId="77777777" w:rsidR="00662CF7" w:rsidRPr="00662CF7" w:rsidRDefault="00662CF7" w:rsidP="00B4063E">
            <w:pPr>
              <w:jc w:val="both"/>
              <w:rPr>
                <w:rFonts w:cstheme="minorHAnsi"/>
                <w:lang w:val="en-US"/>
              </w:rPr>
            </w:pPr>
            <w:r w:rsidRPr="00662CF7">
              <w:rPr>
                <w:rFonts w:cstheme="minorHAnsi"/>
                <w:lang w:val="en-US"/>
              </w:rPr>
              <w:t>15/9/15</w:t>
            </w:r>
          </w:p>
        </w:tc>
      </w:tr>
      <w:tr w:rsidR="00662CF7" w:rsidRPr="00662CF7" w14:paraId="71048995" w14:textId="77777777" w:rsidTr="00B4063E">
        <w:tc>
          <w:tcPr>
            <w:tcW w:w="3085" w:type="dxa"/>
          </w:tcPr>
          <w:p w14:paraId="356932BB" w14:textId="77777777" w:rsidR="00662CF7" w:rsidRPr="00662CF7" w:rsidRDefault="00662CF7" w:rsidP="00B4063E">
            <w:pPr>
              <w:jc w:val="both"/>
              <w:rPr>
                <w:rFonts w:cstheme="minorHAnsi"/>
                <w:b/>
                <w:lang w:val="en-US"/>
              </w:rPr>
            </w:pPr>
            <w:r>
              <w:rPr>
                <w:rFonts w:cstheme="minorHAnsi"/>
                <w:b/>
                <w:lang w:val="en-US"/>
              </w:rPr>
              <w:t>Policy Amended/Reviewed:</w:t>
            </w:r>
          </w:p>
        </w:tc>
        <w:tc>
          <w:tcPr>
            <w:tcW w:w="6157" w:type="dxa"/>
          </w:tcPr>
          <w:p w14:paraId="1FCC05BB" w14:textId="77777777" w:rsidR="00662CF7" w:rsidRPr="00662CF7" w:rsidRDefault="00204A62" w:rsidP="00B4063E">
            <w:pPr>
              <w:jc w:val="both"/>
              <w:rPr>
                <w:rFonts w:cstheme="minorHAnsi"/>
                <w:lang w:val="en-US"/>
              </w:rPr>
            </w:pPr>
            <w:r>
              <w:rPr>
                <w:rFonts w:cstheme="minorHAnsi"/>
                <w:lang w:val="en-US"/>
              </w:rPr>
              <w:t>17/9/19</w:t>
            </w:r>
          </w:p>
        </w:tc>
      </w:tr>
      <w:tr w:rsidR="00662CF7" w:rsidRPr="00662CF7" w14:paraId="73AC654A" w14:textId="77777777" w:rsidTr="00B4063E">
        <w:tc>
          <w:tcPr>
            <w:tcW w:w="3085" w:type="dxa"/>
          </w:tcPr>
          <w:p w14:paraId="561F113D" w14:textId="77777777" w:rsidR="00662CF7" w:rsidRPr="00662CF7" w:rsidRDefault="00662CF7" w:rsidP="00B4063E">
            <w:pPr>
              <w:jc w:val="both"/>
              <w:rPr>
                <w:rFonts w:cstheme="minorHAnsi"/>
                <w:b/>
                <w:lang w:val="en-US"/>
              </w:rPr>
            </w:pPr>
            <w:r>
              <w:rPr>
                <w:rFonts w:cstheme="minorHAnsi"/>
                <w:b/>
                <w:lang w:val="en-US"/>
              </w:rPr>
              <w:t>Former Policy No.</w:t>
            </w:r>
          </w:p>
        </w:tc>
        <w:tc>
          <w:tcPr>
            <w:tcW w:w="6157" w:type="dxa"/>
          </w:tcPr>
          <w:p w14:paraId="00E53199" w14:textId="77777777" w:rsidR="00662CF7" w:rsidRPr="00662CF7" w:rsidRDefault="00662CF7" w:rsidP="00B4063E">
            <w:pPr>
              <w:jc w:val="both"/>
              <w:rPr>
                <w:rFonts w:cstheme="minorHAnsi"/>
                <w:lang w:val="en-US"/>
              </w:rPr>
            </w:pPr>
            <w:r>
              <w:rPr>
                <w:rFonts w:cstheme="minorHAnsi"/>
                <w:lang w:val="en-US"/>
              </w:rPr>
              <w:t>4.2.1</w:t>
            </w:r>
          </w:p>
        </w:tc>
      </w:tr>
    </w:tbl>
    <w:p w14:paraId="37B6B641" w14:textId="77777777" w:rsidR="00662CF7" w:rsidRPr="00662CF7" w:rsidRDefault="00662CF7" w:rsidP="00662CF7">
      <w:pPr>
        <w:jc w:val="both"/>
        <w:rPr>
          <w:rFonts w:cstheme="minorHAnsi"/>
          <w:lang w:val="en-US"/>
        </w:rPr>
      </w:pPr>
    </w:p>
    <w:p w14:paraId="777AB00E" w14:textId="77777777" w:rsidR="00662CF7" w:rsidRPr="00662CF7" w:rsidRDefault="00662CF7" w:rsidP="00662CF7">
      <w:pPr>
        <w:jc w:val="both"/>
        <w:rPr>
          <w:rFonts w:cstheme="minorHAnsi"/>
          <w:lang w:val="en-US"/>
        </w:rPr>
      </w:pPr>
    </w:p>
    <w:p w14:paraId="38C0FE20" w14:textId="77777777" w:rsidR="00662CF7" w:rsidRPr="00662CF7" w:rsidRDefault="00662CF7" w:rsidP="00662CF7">
      <w:pPr>
        <w:jc w:val="both"/>
        <w:rPr>
          <w:rFonts w:cstheme="minorHAnsi"/>
          <w:lang w:val="en-US"/>
        </w:rPr>
      </w:pPr>
    </w:p>
    <w:p w14:paraId="5EE1E0F9" w14:textId="77777777" w:rsidR="002475E2" w:rsidRPr="004C4ADB" w:rsidRDefault="002475E2" w:rsidP="002475E2">
      <w:pPr>
        <w:jc w:val="both"/>
        <w:rPr>
          <w:rFonts w:cstheme="minorHAnsi"/>
          <w:lang w:val="en-US"/>
        </w:rPr>
      </w:pPr>
    </w:p>
    <w:p w14:paraId="1A809803" w14:textId="77777777" w:rsidR="008125FD" w:rsidRDefault="008125FD">
      <w:pPr>
        <w:rPr>
          <w:rFonts w:cstheme="minorHAnsi"/>
          <w:lang w:val="en-US"/>
        </w:rPr>
      </w:pPr>
      <w:r>
        <w:rPr>
          <w:rFonts w:cstheme="minorHAnsi"/>
          <w:lang w:val="en-US"/>
        </w:rPr>
        <w:br w:type="page"/>
      </w:r>
    </w:p>
    <w:p w14:paraId="66DDB03D" w14:textId="77777777" w:rsidR="009B4C1D" w:rsidRDefault="009B4C1D" w:rsidP="00D94B6C">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716608" behindDoc="1" locked="0" layoutInCell="1" allowOverlap="1" wp14:anchorId="3756E609" wp14:editId="1BC3C54F">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37" name="Picture 33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Logo&#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1BEF7D0" w14:textId="77777777" w:rsidR="009B4C1D" w:rsidRPr="00045DC5" w:rsidRDefault="009B4C1D" w:rsidP="00D94B6C">
      <w:pPr>
        <w:pStyle w:val="Title"/>
        <w:pBdr>
          <w:bottom w:val="none" w:sz="0" w:space="0" w:color="auto"/>
        </w:pBdr>
        <w:spacing w:before="240" w:after="240"/>
        <w:rPr>
          <w:rFonts w:ascii="Arial" w:hAnsi="Arial" w:cs="Arial"/>
          <w:b/>
          <w:sz w:val="16"/>
          <w:szCs w:val="28"/>
          <w:lang w:val="en-US"/>
        </w:rPr>
      </w:pPr>
    </w:p>
    <w:p w14:paraId="7635D6BA" w14:textId="77777777" w:rsidR="009B4C1D" w:rsidRDefault="009B4C1D" w:rsidP="00D94B6C">
      <w:pPr>
        <w:pStyle w:val="Policy3"/>
      </w:pPr>
    </w:p>
    <w:p w14:paraId="0A7B9A8E" w14:textId="77777777" w:rsidR="009B4C1D" w:rsidRPr="00D94B6C" w:rsidRDefault="009B4C1D" w:rsidP="00D94B6C">
      <w:pPr>
        <w:pStyle w:val="Policy3"/>
      </w:pPr>
      <w:bookmarkStart w:id="144" w:name="_Toc216866678"/>
      <w:r w:rsidRPr="00D94B6C">
        <w:t>2.1.2</w:t>
      </w:r>
      <w:r w:rsidRPr="00D94B6C">
        <w:tab/>
        <w:t>Investment of Surplus Funds</w:t>
      </w:r>
      <w:bookmarkEnd w:id="144"/>
      <w:r w:rsidRPr="00D94B6C">
        <w:t xml:space="preserve"> </w:t>
      </w:r>
    </w:p>
    <w:tbl>
      <w:tblPr>
        <w:tblStyle w:val="TableGrid"/>
        <w:tblW w:w="0" w:type="auto"/>
        <w:tblLook w:val="04A0" w:firstRow="1" w:lastRow="0" w:firstColumn="1" w:lastColumn="0" w:noHBand="0" w:noVBand="1"/>
      </w:tblPr>
      <w:tblGrid>
        <w:gridCol w:w="3032"/>
        <w:gridCol w:w="6021"/>
      </w:tblGrid>
      <w:tr w:rsidR="009B4C1D" w:rsidRPr="007B69AA" w14:paraId="623A87BF" w14:textId="77777777" w:rsidTr="003D0790">
        <w:tc>
          <w:tcPr>
            <w:tcW w:w="3085" w:type="dxa"/>
          </w:tcPr>
          <w:p w14:paraId="42E4EC2A" w14:textId="77777777" w:rsidR="009B4C1D" w:rsidRPr="007B69AA" w:rsidRDefault="009B4C1D" w:rsidP="00D94B6C">
            <w:pPr>
              <w:rPr>
                <w:rFonts w:cstheme="minorHAnsi"/>
                <w:b/>
                <w:lang w:val="en-US"/>
              </w:rPr>
            </w:pPr>
            <w:r w:rsidRPr="007B69AA">
              <w:rPr>
                <w:rFonts w:cstheme="minorHAnsi"/>
                <w:b/>
                <w:lang w:val="en-US"/>
              </w:rPr>
              <w:t>Type:</w:t>
            </w:r>
          </w:p>
        </w:tc>
        <w:tc>
          <w:tcPr>
            <w:tcW w:w="6157" w:type="dxa"/>
          </w:tcPr>
          <w:p w14:paraId="6344D209" w14:textId="77777777" w:rsidR="009B4C1D" w:rsidRPr="007B69AA" w:rsidRDefault="009B4C1D" w:rsidP="00D94B6C">
            <w:pPr>
              <w:rPr>
                <w:rFonts w:cstheme="minorHAnsi"/>
                <w:lang w:val="en-US"/>
              </w:rPr>
            </w:pPr>
            <w:r>
              <w:rPr>
                <w:rFonts w:cstheme="minorHAnsi"/>
                <w:lang w:val="en-US"/>
              </w:rPr>
              <w:t>Corporate Services – Financial Management</w:t>
            </w:r>
          </w:p>
        </w:tc>
      </w:tr>
      <w:tr w:rsidR="009B4C1D" w:rsidRPr="007B69AA" w14:paraId="7D69DE87" w14:textId="77777777" w:rsidTr="003D0790">
        <w:tc>
          <w:tcPr>
            <w:tcW w:w="3085" w:type="dxa"/>
          </w:tcPr>
          <w:p w14:paraId="7A769A7A" w14:textId="77777777" w:rsidR="009B4C1D" w:rsidRPr="007B69AA" w:rsidRDefault="009B4C1D" w:rsidP="00D94B6C">
            <w:pPr>
              <w:rPr>
                <w:rFonts w:cstheme="minorHAnsi"/>
                <w:b/>
                <w:lang w:val="en-US"/>
              </w:rPr>
            </w:pPr>
            <w:r w:rsidRPr="007B69AA">
              <w:rPr>
                <w:rFonts w:cstheme="minorHAnsi"/>
                <w:b/>
                <w:lang w:val="en-US"/>
              </w:rPr>
              <w:t>Legislation:</w:t>
            </w:r>
          </w:p>
        </w:tc>
        <w:tc>
          <w:tcPr>
            <w:tcW w:w="6157" w:type="dxa"/>
          </w:tcPr>
          <w:p w14:paraId="33113055" w14:textId="77777777" w:rsidR="009B4C1D" w:rsidRPr="007B69AA" w:rsidRDefault="009B4C1D" w:rsidP="00D94B6C">
            <w:pPr>
              <w:rPr>
                <w:rFonts w:cstheme="minorHAnsi"/>
                <w:i/>
                <w:lang w:val="en-US"/>
              </w:rPr>
            </w:pPr>
            <w:r w:rsidRPr="007B69AA">
              <w:rPr>
                <w:rFonts w:cstheme="minorHAnsi"/>
                <w:lang w:val="en-US"/>
              </w:rPr>
              <w:t xml:space="preserve">Section 6.14 of the </w:t>
            </w:r>
            <w:r w:rsidRPr="007B69AA">
              <w:rPr>
                <w:rFonts w:cstheme="minorHAnsi"/>
                <w:i/>
                <w:lang w:val="en-US"/>
              </w:rPr>
              <w:t>Local Government Act 1995</w:t>
            </w:r>
            <w:r w:rsidRPr="007B69AA">
              <w:rPr>
                <w:rFonts w:cstheme="minorHAnsi"/>
                <w:i/>
                <w:lang w:val="en-US"/>
              </w:rPr>
              <w:br/>
            </w:r>
            <w:r w:rsidRPr="007B69AA">
              <w:rPr>
                <w:rFonts w:cstheme="minorHAnsi"/>
                <w:lang w:val="en-US"/>
              </w:rPr>
              <w:t xml:space="preserve">Part 111 Investments of the </w:t>
            </w:r>
            <w:r w:rsidRPr="007B69AA">
              <w:rPr>
                <w:rFonts w:cstheme="minorHAnsi"/>
                <w:i/>
                <w:lang w:val="en-US"/>
              </w:rPr>
              <w:t xml:space="preserve">Trustees Act 1962 </w:t>
            </w:r>
          </w:p>
          <w:p w14:paraId="35780A04" w14:textId="77777777" w:rsidR="009B4C1D" w:rsidRPr="007B69AA" w:rsidRDefault="009B4C1D" w:rsidP="00D94B6C">
            <w:pPr>
              <w:rPr>
                <w:rFonts w:cstheme="minorHAnsi"/>
                <w:i/>
                <w:lang w:val="en-US"/>
              </w:rPr>
            </w:pPr>
            <w:r w:rsidRPr="007B69AA">
              <w:rPr>
                <w:rFonts w:cstheme="minorHAnsi"/>
                <w:lang w:val="en-US"/>
              </w:rPr>
              <w:t xml:space="preserve">Regulation 19, 19C, 28 &amp; 49 of the </w:t>
            </w:r>
            <w:r w:rsidRPr="007B69AA">
              <w:rPr>
                <w:rFonts w:cstheme="minorHAnsi"/>
                <w:i/>
                <w:lang w:val="en-US"/>
              </w:rPr>
              <w:t>Local Government (Financial Management) Regulations 1996</w:t>
            </w:r>
          </w:p>
          <w:p w14:paraId="59250CD3" w14:textId="77777777" w:rsidR="009B4C1D" w:rsidRPr="007B69AA" w:rsidRDefault="009B4C1D" w:rsidP="00D94B6C">
            <w:pPr>
              <w:rPr>
                <w:rFonts w:cstheme="minorHAnsi"/>
                <w:lang w:val="en-US"/>
              </w:rPr>
            </w:pPr>
            <w:r w:rsidRPr="007B69AA">
              <w:rPr>
                <w:rFonts w:cstheme="minorHAnsi"/>
                <w:i/>
                <w:lang w:val="en-US"/>
              </w:rPr>
              <w:t>Australian Accounting Standards</w:t>
            </w:r>
          </w:p>
        </w:tc>
      </w:tr>
      <w:tr w:rsidR="009B4C1D" w:rsidRPr="007B69AA" w14:paraId="3D0CCD3B" w14:textId="77777777" w:rsidTr="003D0790">
        <w:tc>
          <w:tcPr>
            <w:tcW w:w="3085" w:type="dxa"/>
          </w:tcPr>
          <w:p w14:paraId="618AE61D" w14:textId="77777777" w:rsidR="009B4C1D" w:rsidRPr="007B69AA" w:rsidRDefault="009B4C1D" w:rsidP="00D94B6C">
            <w:pPr>
              <w:rPr>
                <w:rFonts w:cstheme="minorHAnsi"/>
                <w:b/>
                <w:lang w:val="en-US"/>
              </w:rPr>
            </w:pPr>
            <w:r w:rsidRPr="007B69AA">
              <w:rPr>
                <w:rFonts w:cstheme="minorHAnsi"/>
                <w:b/>
                <w:lang w:val="en-US"/>
              </w:rPr>
              <w:t>Delegation:</w:t>
            </w:r>
          </w:p>
        </w:tc>
        <w:tc>
          <w:tcPr>
            <w:tcW w:w="6157" w:type="dxa"/>
          </w:tcPr>
          <w:p w14:paraId="28AAD727" w14:textId="77777777" w:rsidR="009B4C1D" w:rsidRPr="007B69AA" w:rsidRDefault="009B4C1D" w:rsidP="00D94B6C">
            <w:pPr>
              <w:rPr>
                <w:rFonts w:cstheme="minorHAnsi"/>
                <w:lang w:val="en-US"/>
              </w:rPr>
            </w:pPr>
            <w:r w:rsidRPr="007B69AA">
              <w:rPr>
                <w:rFonts w:cstheme="minorHAnsi"/>
                <w:lang w:val="en-US"/>
              </w:rPr>
              <w:t>DA6  Investment of Funds</w:t>
            </w:r>
          </w:p>
        </w:tc>
      </w:tr>
      <w:tr w:rsidR="009B4C1D" w:rsidRPr="007B69AA" w14:paraId="2221BD40" w14:textId="77777777" w:rsidTr="003D0790">
        <w:tc>
          <w:tcPr>
            <w:tcW w:w="3085" w:type="dxa"/>
          </w:tcPr>
          <w:p w14:paraId="2F2A3703" w14:textId="77777777" w:rsidR="009B4C1D" w:rsidRPr="007B69AA" w:rsidRDefault="009B4C1D" w:rsidP="00D94B6C">
            <w:pPr>
              <w:rPr>
                <w:rFonts w:cstheme="minorHAnsi"/>
                <w:b/>
                <w:lang w:val="en-US"/>
              </w:rPr>
            </w:pPr>
            <w:r w:rsidRPr="007B69AA">
              <w:rPr>
                <w:rFonts w:cstheme="minorHAnsi"/>
                <w:b/>
                <w:lang w:val="en-US"/>
              </w:rPr>
              <w:t>Other Related Document:</w:t>
            </w:r>
          </w:p>
        </w:tc>
        <w:tc>
          <w:tcPr>
            <w:tcW w:w="6157" w:type="dxa"/>
          </w:tcPr>
          <w:p w14:paraId="018D3B1F" w14:textId="77777777" w:rsidR="009B4C1D" w:rsidRPr="007B69AA" w:rsidRDefault="009B4C1D" w:rsidP="00D94B6C">
            <w:pPr>
              <w:rPr>
                <w:rFonts w:cstheme="minorHAnsi"/>
                <w:lang w:val="en-US"/>
              </w:rPr>
            </w:pPr>
          </w:p>
        </w:tc>
      </w:tr>
    </w:tbl>
    <w:p w14:paraId="03660171" w14:textId="77777777" w:rsidR="009B4C1D" w:rsidRPr="00862911" w:rsidRDefault="009B4C1D" w:rsidP="00D94B6C">
      <w:pPr>
        <w:spacing w:before="240" w:after="0"/>
        <w:rPr>
          <w:b/>
          <w:sz w:val="28"/>
          <w:szCs w:val="28"/>
          <w:lang w:val="en-US"/>
        </w:rPr>
      </w:pPr>
      <w:r w:rsidRPr="00862911">
        <w:rPr>
          <w:b/>
          <w:sz w:val="28"/>
          <w:szCs w:val="28"/>
          <w:lang w:val="en-US"/>
        </w:rPr>
        <w:t>Objectives</w:t>
      </w:r>
    </w:p>
    <w:p w14:paraId="7B520C13" w14:textId="77777777" w:rsidR="009B4C1D" w:rsidRPr="007B69AA" w:rsidRDefault="009B4C1D" w:rsidP="00D94B6C">
      <w:pPr>
        <w:spacing w:line="240" w:lineRule="auto"/>
        <w:jc w:val="both"/>
        <w:rPr>
          <w:rFonts w:cstheme="minorHAnsi"/>
          <w:lang w:val="en-GB"/>
        </w:rPr>
      </w:pPr>
      <w:r w:rsidRPr="007B69AA">
        <w:rPr>
          <w:rFonts w:cstheme="minorHAnsi"/>
          <w:lang w:val="en-GB"/>
        </w:rPr>
        <w:t>This policy provides guidelines on how to invest the local government’s surplus funds, with consideration of risk and at the most favourable rate of interest available to it at the time, while ensuring that its liquidity requirements are being met.</w:t>
      </w:r>
    </w:p>
    <w:p w14:paraId="15A62A0E" w14:textId="77777777" w:rsidR="009B4C1D" w:rsidRPr="007B69AA" w:rsidRDefault="009B4C1D" w:rsidP="00D94B6C">
      <w:pPr>
        <w:spacing w:after="60"/>
        <w:jc w:val="both"/>
        <w:rPr>
          <w:rFonts w:cstheme="minorHAnsi"/>
          <w:lang w:val="en-GB"/>
        </w:rPr>
      </w:pPr>
      <w:r w:rsidRPr="007B69AA">
        <w:rPr>
          <w:rFonts w:cstheme="minorHAnsi"/>
          <w:lang w:val="en-GB"/>
        </w:rPr>
        <w:t xml:space="preserve">While exercising the power to invest, consideration is to be given in preservation of capital, liquidity and the return of investment; </w:t>
      </w:r>
    </w:p>
    <w:p w14:paraId="22A82198" w14:textId="77777777" w:rsidR="009B4C1D" w:rsidRPr="007B69AA" w:rsidRDefault="009B4C1D" w:rsidP="009B4C1D">
      <w:pPr>
        <w:pStyle w:val="BodyText"/>
        <w:numPr>
          <w:ilvl w:val="0"/>
          <w:numId w:val="26"/>
        </w:numPr>
        <w:tabs>
          <w:tab w:val="clear" w:pos="1440"/>
        </w:tabs>
        <w:spacing w:after="60"/>
        <w:ind w:left="426" w:hanging="426"/>
        <w:jc w:val="both"/>
        <w:rPr>
          <w:rFonts w:asciiTheme="minorHAnsi" w:hAnsiTheme="minorHAnsi" w:cstheme="minorHAnsi"/>
          <w:szCs w:val="22"/>
        </w:rPr>
      </w:pPr>
      <w:r w:rsidRPr="007B69AA">
        <w:rPr>
          <w:rFonts w:asciiTheme="minorHAnsi" w:hAnsiTheme="minorHAnsi" w:cstheme="minorHAnsi"/>
          <w:szCs w:val="22"/>
        </w:rPr>
        <w:t xml:space="preserve">Preservation of capital is the principal objective of the investment portfolio. Investments are to be performed in a manner that seeks to ensure security and safeguarding the investment portfolio. </w:t>
      </w:r>
    </w:p>
    <w:p w14:paraId="271D9B23" w14:textId="77777777" w:rsidR="009B4C1D" w:rsidRPr="007B69AA" w:rsidRDefault="009B4C1D" w:rsidP="009B4C1D">
      <w:pPr>
        <w:pStyle w:val="BodyText"/>
        <w:numPr>
          <w:ilvl w:val="0"/>
          <w:numId w:val="26"/>
        </w:numPr>
        <w:tabs>
          <w:tab w:val="clear" w:pos="1440"/>
        </w:tabs>
        <w:spacing w:after="60"/>
        <w:ind w:left="426" w:hanging="426"/>
        <w:jc w:val="both"/>
        <w:rPr>
          <w:rFonts w:asciiTheme="minorHAnsi" w:hAnsiTheme="minorHAnsi" w:cstheme="minorHAnsi"/>
          <w:szCs w:val="22"/>
        </w:rPr>
      </w:pPr>
      <w:r w:rsidRPr="007B69AA">
        <w:rPr>
          <w:rFonts w:asciiTheme="minorHAnsi" w:hAnsiTheme="minorHAnsi" w:cstheme="minorHAnsi"/>
          <w:szCs w:val="22"/>
        </w:rPr>
        <w:t>The investment portfolio will ensure there is sufficient liquidity to meet all reasonably anticipated cash flow requirements, as an when they fall due, without incurring significant costs due to the unanticipated redemption of an investment.</w:t>
      </w:r>
    </w:p>
    <w:p w14:paraId="35D55C2A" w14:textId="77777777" w:rsidR="009B4C1D" w:rsidRPr="007B69AA" w:rsidRDefault="009B4C1D" w:rsidP="009B4C1D">
      <w:pPr>
        <w:pStyle w:val="BodyText"/>
        <w:numPr>
          <w:ilvl w:val="0"/>
          <w:numId w:val="26"/>
        </w:numPr>
        <w:tabs>
          <w:tab w:val="clear" w:pos="1440"/>
        </w:tabs>
        <w:ind w:left="426" w:hanging="426"/>
        <w:jc w:val="both"/>
        <w:rPr>
          <w:rFonts w:asciiTheme="minorHAnsi" w:hAnsiTheme="minorHAnsi" w:cstheme="minorHAnsi"/>
          <w:b/>
          <w:szCs w:val="22"/>
          <w:lang w:val="en-GB"/>
        </w:rPr>
      </w:pPr>
      <w:r w:rsidRPr="007B69AA">
        <w:rPr>
          <w:rFonts w:asciiTheme="minorHAnsi" w:hAnsiTheme="minorHAnsi" w:cstheme="minorHAnsi"/>
          <w:szCs w:val="22"/>
        </w:rPr>
        <w:t xml:space="preserve">The investment is expected to achieve a predetermined market average rate of return that takes into account the Council’s risk tolerance. Any additional return target set by Council will also consider the risk limitation and prudent investment principles. </w:t>
      </w:r>
    </w:p>
    <w:p w14:paraId="553D97EA" w14:textId="77777777" w:rsidR="009B4C1D" w:rsidRPr="00862911" w:rsidRDefault="009B4C1D" w:rsidP="00D94B6C">
      <w:pPr>
        <w:pStyle w:val="BodyText"/>
        <w:spacing w:after="0"/>
        <w:ind w:left="0"/>
        <w:jc w:val="both"/>
        <w:rPr>
          <w:rFonts w:asciiTheme="minorHAnsi" w:hAnsiTheme="minorHAnsi" w:cstheme="minorHAnsi"/>
          <w:b/>
          <w:szCs w:val="22"/>
          <w:lang w:val="en-GB"/>
        </w:rPr>
      </w:pPr>
      <w:r w:rsidRPr="00862911">
        <w:rPr>
          <w:rFonts w:asciiTheme="minorHAnsi" w:hAnsiTheme="minorHAnsi" w:cstheme="minorHAnsi"/>
          <w:b/>
          <w:szCs w:val="22"/>
          <w:lang w:val="en-GB"/>
        </w:rPr>
        <w:t>Fossil Fuel Free Investments</w:t>
      </w:r>
    </w:p>
    <w:p w14:paraId="36F9D1FC" w14:textId="77777777" w:rsidR="009B4C1D" w:rsidRPr="007B69AA" w:rsidRDefault="009B4C1D" w:rsidP="00D94B6C">
      <w:pPr>
        <w:pStyle w:val="BodyText"/>
        <w:ind w:left="0"/>
        <w:jc w:val="both"/>
        <w:rPr>
          <w:rFonts w:asciiTheme="minorHAnsi" w:hAnsiTheme="minorHAnsi" w:cstheme="minorHAnsi"/>
          <w:szCs w:val="22"/>
          <w:lang w:val="en-GB"/>
        </w:rPr>
      </w:pPr>
      <w:r w:rsidRPr="007B69AA">
        <w:rPr>
          <w:rFonts w:asciiTheme="minorHAnsi" w:hAnsiTheme="minorHAnsi" w:cstheme="minorHAnsi"/>
          <w:szCs w:val="22"/>
          <w:lang w:val="en-GB"/>
        </w:rPr>
        <w:t xml:space="preserve">Prior to placing investments, preference will be given to competitive quotations from financial institutions that are deemed not to invest in or finance the </w:t>
      </w:r>
      <w:r w:rsidRPr="007B69AA">
        <w:rPr>
          <w:rFonts w:asciiTheme="minorHAnsi" w:hAnsiTheme="minorHAnsi" w:cstheme="minorHAnsi"/>
          <w:b/>
          <w:szCs w:val="22"/>
          <w:u w:val="single"/>
          <w:lang w:val="en-GB"/>
        </w:rPr>
        <w:t>fossil fuel industry</w:t>
      </w:r>
      <w:r w:rsidRPr="007B69AA">
        <w:rPr>
          <w:rFonts w:asciiTheme="minorHAnsi" w:hAnsiTheme="minorHAnsi" w:cstheme="minorHAnsi"/>
          <w:b/>
          <w:szCs w:val="22"/>
          <w:lang w:val="en-GB"/>
        </w:rPr>
        <w:t xml:space="preserve"> </w:t>
      </w:r>
      <w:r w:rsidRPr="007B69AA">
        <w:rPr>
          <w:rFonts w:asciiTheme="minorHAnsi" w:hAnsiTheme="minorHAnsi" w:cstheme="minorHAnsi"/>
          <w:szCs w:val="22"/>
          <w:lang w:val="en-GB"/>
        </w:rPr>
        <w:t>where</w:t>
      </w:r>
      <w:r>
        <w:rPr>
          <w:rFonts w:asciiTheme="minorHAnsi" w:hAnsiTheme="minorHAnsi" w:cstheme="minorHAnsi"/>
          <w:szCs w:val="22"/>
          <w:lang w:val="en-GB"/>
        </w:rPr>
        <w:t>:</w:t>
      </w:r>
    </w:p>
    <w:p w14:paraId="28F9928E" w14:textId="77777777" w:rsidR="009B4C1D" w:rsidRPr="007B69AA" w:rsidRDefault="009B4C1D" w:rsidP="00D94B6C">
      <w:pPr>
        <w:pStyle w:val="BodyText"/>
        <w:ind w:left="567" w:hanging="567"/>
        <w:jc w:val="both"/>
        <w:rPr>
          <w:rFonts w:asciiTheme="minorHAnsi" w:hAnsiTheme="minorHAnsi" w:cstheme="minorHAnsi"/>
          <w:szCs w:val="22"/>
          <w:lang w:val="en-GB"/>
        </w:rPr>
      </w:pPr>
      <w:r w:rsidRPr="007B69AA">
        <w:rPr>
          <w:rFonts w:asciiTheme="minorHAnsi" w:hAnsiTheme="minorHAnsi" w:cstheme="minorHAnsi"/>
          <w:szCs w:val="22"/>
          <w:lang w:val="en-GB"/>
        </w:rPr>
        <w:t xml:space="preserve">a) </w:t>
      </w:r>
      <w:r>
        <w:rPr>
          <w:rFonts w:asciiTheme="minorHAnsi" w:hAnsiTheme="minorHAnsi" w:cstheme="minorHAnsi"/>
          <w:szCs w:val="22"/>
          <w:lang w:val="en-GB"/>
        </w:rPr>
        <w:tab/>
      </w:r>
      <w:r w:rsidRPr="007B69AA">
        <w:rPr>
          <w:rFonts w:asciiTheme="minorHAnsi" w:hAnsiTheme="minorHAnsi" w:cstheme="minorHAnsi"/>
          <w:szCs w:val="22"/>
          <w:lang w:val="en-GB"/>
        </w:rPr>
        <w:t xml:space="preserve">the investment is compliant with Council’s investment policy with regards to risk management guidelines, and </w:t>
      </w:r>
    </w:p>
    <w:p w14:paraId="09781B8B" w14:textId="77777777" w:rsidR="009B4C1D" w:rsidRDefault="009B4C1D" w:rsidP="00D94B6C">
      <w:pPr>
        <w:pStyle w:val="BodyText"/>
        <w:ind w:left="567" w:hanging="567"/>
        <w:jc w:val="both"/>
        <w:rPr>
          <w:rFonts w:asciiTheme="minorHAnsi" w:hAnsiTheme="minorHAnsi" w:cstheme="minorHAnsi"/>
          <w:szCs w:val="22"/>
          <w:lang w:val="en-GB"/>
        </w:rPr>
      </w:pPr>
      <w:r w:rsidRPr="007B69AA">
        <w:rPr>
          <w:rFonts w:asciiTheme="minorHAnsi" w:hAnsiTheme="minorHAnsi" w:cstheme="minorHAnsi"/>
          <w:szCs w:val="22"/>
          <w:lang w:val="en-GB"/>
        </w:rPr>
        <w:t xml:space="preserve">b) </w:t>
      </w:r>
      <w:r>
        <w:rPr>
          <w:rFonts w:asciiTheme="minorHAnsi" w:hAnsiTheme="minorHAnsi" w:cstheme="minorHAnsi"/>
          <w:szCs w:val="22"/>
          <w:lang w:val="en-GB"/>
        </w:rPr>
        <w:tab/>
        <w:t xml:space="preserve">a price preference </w:t>
      </w:r>
      <w:r w:rsidRPr="0001763A">
        <w:rPr>
          <w:rFonts w:asciiTheme="minorHAnsi" w:hAnsiTheme="minorHAnsi" w:cstheme="minorHAnsi"/>
          <w:szCs w:val="22"/>
          <w:lang w:val="en-GB"/>
        </w:rPr>
        <w:t>of 0.1% compared</w:t>
      </w:r>
      <w:r>
        <w:rPr>
          <w:rFonts w:asciiTheme="minorHAnsi" w:hAnsiTheme="minorHAnsi" w:cstheme="minorHAnsi"/>
          <w:szCs w:val="22"/>
          <w:lang w:val="en-GB"/>
        </w:rPr>
        <w:t xml:space="preserve"> to the most favourable investment quotation is to be provided to financial institutions that are deemed not to invest in or finance the fossil fuel industry.</w:t>
      </w:r>
    </w:p>
    <w:p w14:paraId="5FC561AF" w14:textId="77777777" w:rsidR="009B4C1D" w:rsidRDefault="009B4C1D" w:rsidP="00D94B6C">
      <w:pPr>
        <w:pStyle w:val="BodyText"/>
        <w:ind w:left="567" w:hanging="567"/>
        <w:jc w:val="both"/>
        <w:rPr>
          <w:rFonts w:asciiTheme="minorHAnsi" w:hAnsiTheme="minorHAnsi" w:cstheme="minorHAnsi"/>
          <w:szCs w:val="22"/>
          <w:lang w:val="en-GB"/>
        </w:rPr>
      </w:pPr>
      <w:r>
        <w:rPr>
          <w:rFonts w:asciiTheme="minorHAnsi" w:hAnsiTheme="minorHAnsi" w:cstheme="minorHAnsi"/>
          <w:szCs w:val="22"/>
          <w:lang w:val="en-GB"/>
        </w:rPr>
        <w:t>Examples of Fossil Fuel Free Investments include, but are not limited to the following:</w:t>
      </w:r>
    </w:p>
    <w:p w14:paraId="32416DA3" w14:textId="77777777" w:rsidR="009B4C1D" w:rsidRDefault="009B4C1D" w:rsidP="009B4C1D">
      <w:pPr>
        <w:pStyle w:val="BodyText"/>
        <w:numPr>
          <w:ilvl w:val="0"/>
          <w:numId w:val="487"/>
        </w:numPr>
        <w:ind w:left="567" w:hanging="567"/>
        <w:jc w:val="both"/>
        <w:rPr>
          <w:rFonts w:asciiTheme="minorHAnsi" w:hAnsiTheme="minorHAnsi" w:cstheme="minorHAnsi"/>
          <w:szCs w:val="22"/>
          <w:lang w:val="en-GB"/>
        </w:rPr>
      </w:pPr>
      <w:r>
        <w:rPr>
          <w:rFonts w:asciiTheme="minorHAnsi" w:hAnsiTheme="minorHAnsi" w:cstheme="minorHAnsi"/>
          <w:szCs w:val="22"/>
          <w:lang w:val="en-GB"/>
        </w:rPr>
        <w:t>Green Term Deposits – These term deposits mobilise capital towards assets, also known as Green Eligible Assets, that facilitate and support the transition to a low carbon economy – such as renewable energy products, green commercial buildings, green residential buildings, energy efficiency (low carbon initiatives), clean transportation and sustainable water and wastewater management and pollution prevention and control.</w:t>
      </w:r>
    </w:p>
    <w:p w14:paraId="1317D1BF" w14:textId="77777777" w:rsidR="009B4C1D" w:rsidRDefault="009B4C1D" w:rsidP="009B4C1D">
      <w:pPr>
        <w:pStyle w:val="BodyText"/>
        <w:numPr>
          <w:ilvl w:val="0"/>
          <w:numId w:val="487"/>
        </w:numPr>
        <w:ind w:left="567" w:hanging="567"/>
        <w:jc w:val="both"/>
        <w:rPr>
          <w:rFonts w:asciiTheme="minorHAnsi" w:hAnsiTheme="minorHAnsi" w:cstheme="minorHAnsi"/>
          <w:szCs w:val="22"/>
          <w:lang w:val="en-GB"/>
        </w:rPr>
      </w:pPr>
      <w:r>
        <w:rPr>
          <w:rFonts w:asciiTheme="minorHAnsi" w:hAnsiTheme="minorHAnsi" w:cstheme="minorHAnsi"/>
          <w:szCs w:val="22"/>
          <w:lang w:val="en-GB"/>
        </w:rPr>
        <w:lastRenderedPageBreak/>
        <w:t>Environmental, Social &amp; Governance (ESG) Term Deposits – Funds invested with this line of term deposits will be allocated towards Sustainability Linked Loans (SLLs). SLLs incentivise the borrower’s achievement against predetermined sustainability performance objectives.</w:t>
      </w:r>
    </w:p>
    <w:p w14:paraId="13D64376" w14:textId="77777777" w:rsidR="009B4C1D" w:rsidRDefault="009B4C1D" w:rsidP="009B4C1D">
      <w:pPr>
        <w:pStyle w:val="BodyText"/>
        <w:numPr>
          <w:ilvl w:val="0"/>
          <w:numId w:val="487"/>
        </w:numPr>
        <w:ind w:left="567" w:hanging="567"/>
        <w:jc w:val="both"/>
        <w:rPr>
          <w:rFonts w:asciiTheme="minorHAnsi" w:hAnsiTheme="minorHAnsi" w:cstheme="minorHAnsi"/>
          <w:szCs w:val="22"/>
          <w:lang w:val="en-GB"/>
        </w:rPr>
      </w:pPr>
      <w:r>
        <w:rPr>
          <w:rFonts w:asciiTheme="minorHAnsi" w:hAnsiTheme="minorHAnsi" w:cstheme="minorHAnsi"/>
          <w:szCs w:val="22"/>
          <w:lang w:val="en-GB"/>
        </w:rPr>
        <w:t xml:space="preserve">Availability of fossil fuel free investment products will be reviewed at least on an annual basis. </w:t>
      </w:r>
    </w:p>
    <w:p w14:paraId="1DE6CCC0" w14:textId="77777777" w:rsidR="009B4C1D" w:rsidRPr="00862911" w:rsidRDefault="009B4C1D" w:rsidP="00D94B6C">
      <w:pPr>
        <w:spacing w:before="200" w:after="0"/>
        <w:rPr>
          <w:b/>
          <w:sz w:val="28"/>
          <w:szCs w:val="28"/>
          <w:lang w:val="en-US"/>
        </w:rPr>
      </w:pPr>
      <w:r w:rsidRPr="00862911">
        <w:rPr>
          <w:b/>
          <w:sz w:val="28"/>
          <w:szCs w:val="28"/>
          <w:lang w:val="en-US"/>
        </w:rPr>
        <w:t>Policy Scope</w:t>
      </w:r>
    </w:p>
    <w:p w14:paraId="3A49B525" w14:textId="77777777" w:rsidR="009B4C1D" w:rsidRPr="007B69AA" w:rsidRDefault="009B4C1D" w:rsidP="00D94B6C">
      <w:pPr>
        <w:pStyle w:val="BodyText"/>
        <w:spacing w:after="200"/>
        <w:ind w:left="0"/>
        <w:jc w:val="both"/>
        <w:rPr>
          <w:rFonts w:asciiTheme="minorHAnsi" w:hAnsiTheme="minorHAnsi" w:cstheme="minorHAnsi"/>
          <w:szCs w:val="22"/>
        </w:rPr>
      </w:pPr>
      <w:r w:rsidRPr="007B69AA">
        <w:rPr>
          <w:rFonts w:asciiTheme="minorHAnsi" w:hAnsiTheme="minorHAnsi" w:cstheme="minorHAnsi"/>
          <w:szCs w:val="22"/>
        </w:rPr>
        <w:t>Officers shall refrain from personal activities that would conflict with the proper execution and management of Council’s investment portfolio. This policy requires officers to disclose any conflict of interest to the CEO.</w:t>
      </w:r>
    </w:p>
    <w:p w14:paraId="38B72CA6" w14:textId="77777777" w:rsidR="009B4C1D" w:rsidRPr="007B69AA" w:rsidRDefault="009B4C1D" w:rsidP="00D94B6C">
      <w:pPr>
        <w:pStyle w:val="BodyText"/>
        <w:spacing w:after="60"/>
        <w:ind w:left="0"/>
        <w:jc w:val="both"/>
        <w:rPr>
          <w:rFonts w:asciiTheme="minorHAnsi" w:hAnsiTheme="minorHAnsi" w:cstheme="minorHAnsi"/>
          <w:szCs w:val="22"/>
        </w:rPr>
      </w:pPr>
      <w:r w:rsidRPr="007B69AA">
        <w:rPr>
          <w:rFonts w:asciiTheme="minorHAnsi" w:hAnsiTheme="minorHAnsi" w:cstheme="minorHAnsi"/>
          <w:szCs w:val="22"/>
        </w:rPr>
        <w:t>This investment policy prohibits any investment carried out for speculative purposes including:</w:t>
      </w:r>
    </w:p>
    <w:p w14:paraId="6638BED5" w14:textId="77777777" w:rsidR="009B4C1D" w:rsidRPr="007B69AA" w:rsidRDefault="009B4C1D" w:rsidP="009B4C1D">
      <w:pPr>
        <w:pStyle w:val="BodyText"/>
        <w:numPr>
          <w:ilvl w:val="0"/>
          <w:numId w:val="27"/>
        </w:numPr>
        <w:spacing w:after="60"/>
        <w:ind w:left="426" w:hanging="426"/>
        <w:jc w:val="both"/>
        <w:rPr>
          <w:rFonts w:asciiTheme="minorHAnsi" w:hAnsiTheme="minorHAnsi" w:cstheme="minorHAnsi"/>
          <w:szCs w:val="22"/>
        </w:rPr>
      </w:pPr>
      <w:r w:rsidRPr="007B69AA">
        <w:rPr>
          <w:rFonts w:asciiTheme="minorHAnsi" w:hAnsiTheme="minorHAnsi" w:cstheme="minorHAnsi"/>
          <w:szCs w:val="22"/>
        </w:rPr>
        <w:t xml:space="preserve">Deposits with an institution that is not an </w:t>
      </w:r>
      <w:proofErr w:type="spellStart"/>
      <w:r w:rsidRPr="007B69AA">
        <w:rPr>
          <w:rFonts w:asciiTheme="minorHAnsi" w:hAnsiTheme="minorHAnsi" w:cstheme="minorHAnsi"/>
          <w:szCs w:val="22"/>
        </w:rPr>
        <w:t>authorised</w:t>
      </w:r>
      <w:proofErr w:type="spellEnd"/>
      <w:r w:rsidRPr="007B69AA">
        <w:rPr>
          <w:rFonts w:asciiTheme="minorHAnsi" w:hAnsiTheme="minorHAnsi" w:cstheme="minorHAnsi"/>
          <w:szCs w:val="22"/>
        </w:rPr>
        <w:t xml:space="preserve"> deposit-taking institution as defined in the </w:t>
      </w:r>
      <w:r w:rsidRPr="007B69AA">
        <w:rPr>
          <w:rFonts w:asciiTheme="minorHAnsi" w:hAnsiTheme="minorHAnsi" w:cstheme="minorHAnsi"/>
          <w:i/>
          <w:szCs w:val="22"/>
        </w:rPr>
        <w:t>Banking Act 1959</w:t>
      </w:r>
      <w:r w:rsidRPr="007B69AA">
        <w:rPr>
          <w:rFonts w:asciiTheme="minorHAnsi" w:hAnsiTheme="minorHAnsi" w:cstheme="minorHAnsi"/>
          <w:szCs w:val="22"/>
        </w:rPr>
        <w:t xml:space="preserve"> (Commonwealth) Section 5;</w:t>
      </w:r>
    </w:p>
    <w:p w14:paraId="29FDEC1D" w14:textId="77777777" w:rsidR="009B4C1D" w:rsidRPr="007B69AA" w:rsidRDefault="009B4C1D" w:rsidP="009B4C1D">
      <w:pPr>
        <w:pStyle w:val="BodyText"/>
        <w:numPr>
          <w:ilvl w:val="0"/>
          <w:numId w:val="27"/>
        </w:numPr>
        <w:spacing w:after="60"/>
        <w:ind w:left="426" w:hanging="426"/>
        <w:jc w:val="both"/>
        <w:rPr>
          <w:rFonts w:asciiTheme="minorHAnsi" w:hAnsiTheme="minorHAnsi" w:cstheme="minorHAnsi"/>
          <w:szCs w:val="22"/>
        </w:rPr>
      </w:pPr>
      <w:r w:rsidRPr="007B69AA">
        <w:rPr>
          <w:rFonts w:asciiTheme="minorHAnsi" w:hAnsiTheme="minorHAnsi" w:cstheme="minorHAnsi"/>
          <w:szCs w:val="22"/>
        </w:rPr>
        <w:t>The use of leveraging (borrowing to invest) of an investment;</w:t>
      </w:r>
    </w:p>
    <w:p w14:paraId="0D57DC3F" w14:textId="77777777" w:rsidR="009B4C1D" w:rsidRPr="007B69AA" w:rsidRDefault="009B4C1D" w:rsidP="009B4C1D">
      <w:pPr>
        <w:pStyle w:val="BodyText"/>
        <w:numPr>
          <w:ilvl w:val="0"/>
          <w:numId w:val="27"/>
        </w:numPr>
        <w:spacing w:after="60"/>
        <w:ind w:left="426" w:hanging="426"/>
        <w:jc w:val="both"/>
        <w:rPr>
          <w:rFonts w:asciiTheme="minorHAnsi" w:hAnsiTheme="minorHAnsi" w:cstheme="minorHAnsi"/>
          <w:szCs w:val="22"/>
        </w:rPr>
      </w:pPr>
      <w:r w:rsidRPr="007B69AA">
        <w:rPr>
          <w:rFonts w:asciiTheme="minorHAnsi" w:hAnsiTheme="minorHAnsi" w:cstheme="minorHAnsi"/>
          <w:szCs w:val="22"/>
        </w:rPr>
        <w:t xml:space="preserve">A state treasury that is not the Western Australian Treasury Corporation established by the </w:t>
      </w:r>
      <w:r w:rsidRPr="007B69AA">
        <w:rPr>
          <w:rFonts w:asciiTheme="minorHAnsi" w:hAnsiTheme="minorHAnsi" w:cstheme="minorHAnsi"/>
          <w:i/>
          <w:szCs w:val="22"/>
        </w:rPr>
        <w:t>Western Australian Treasury Corporation Act 1986;</w:t>
      </w:r>
    </w:p>
    <w:p w14:paraId="7EA909D7" w14:textId="77777777" w:rsidR="009B4C1D" w:rsidRPr="007B69AA" w:rsidRDefault="009B4C1D" w:rsidP="009B4C1D">
      <w:pPr>
        <w:pStyle w:val="BodyText"/>
        <w:numPr>
          <w:ilvl w:val="0"/>
          <w:numId w:val="27"/>
        </w:numPr>
        <w:spacing w:after="60"/>
        <w:ind w:left="426" w:hanging="426"/>
        <w:jc w:val="both"/>
        <w:rPr>
          <w:rFonts w:asciiTheme="minorHAnsi" w:hAnsiTheme="minorHAnsi" w:cstheme="minorHAnsi"/>
          <w:szCs w:val="22"/>
        </w:rPr>
      </w:pPr>
      <w:r w:rsidRPr="007B69AA">
        <w:rPr>
          <w:rFonts w:asciiTheme="minorHAnsi" w:hAnsiTheme="minorHAnsi" w:cstheme="minorHAnsi"/>
          <w:szCs w:val="22"/>
        </w:rPr>
        <w:t xml:space="preserve">Term deposits for a fixed term of more than 12 months; </w:t>
      </w:r>
    </w:p>
    <w:p w14:paraId="35EB7CB6" w14:textId="77777777" w:rsidR="009B4C1D" w:rsidRPr="007B69AA" w:rsidRDefault="009B4C1D" w:rsidP="009B4C1D">
      <w:pPr>
        <w:pStyle w:val="BodyText"/>
        <w:numPr>
          <w:ilvl w:val="0"/>
          <w:numId w:val="27"/>
        </w:numPr>
        <w:spacing w:after="60"/>
        <w:ind w:left="426" w:hanging="426"/>
        <w:jc w:val="both"/>
        <w:rPr>
          <w:rFonts w:asciiTheme="minorHAnsi" w:hAnsiTheme="minorHAnsi" w:cstheme="minorHAnsi"/>
          <w:szCs w:val="22"/>
        </w:rPr>
      </w:pPr>
      <w:r w:rsidRPr="007B69AA">
        <w:rPr>
          <w:rFonts w:asciiTheme="minorHAnsi" w:hAnsiTheme="minorHAnsi" w:cstheme="minorHAnsi"/>
          <w:szCs w:val="22"/>
        </w:rPr>
        <w:t>Invest in bonds that are not guaranteed by the Commonwealth government, or a State or Territory government;</w:t>
      </w:r>
    </w:p>
    <w:p w14:paraId="261C127C" w14:textId="77777777" w:rsidR="009B4C1D" w:rsidRPr="007B69AA" w:rsidRDefault="009B4C1D" w:rsidP="009B4C1D">
      <w:pPr>
        <w:pStyle w:val="BodyText"/>
        <w:numPr>
          <w:ilvl w:val="0"/>
          <w:numId w:val="27"/>
        </w:numPr>
        <w:spacing w:after="60"/>
        <w:ind w:left="426" w:hanging="426"/>
        <w:jc w:val="both"/>
        <w:rPr>
          <w:rFonts w:asciiTheme="minorHAnsi" w:hAnsiTheme="minorHAnsi" w:cstheme="minorHAnsi"/>
          <w:szCs w:val="22"/>
        </w:rPr>
      </w:pPr>
      <w:r w:rsidRPr="007B69AA">
        <w:rPr>
          <w:rFonts w:asciiTheme="minorHAnsi" w:hAnsiTheme="minorHAnsi" w:cstheme="minorHAnsi"/>
          <w:szCs w:val="22"/>
        </w:rPr>
        <w:t>Investment in bonds with a term to maturity of more than 3 years;</w:t>
      </w:r>
    </w:p>
    <w:p w14:paraId="1DFDD3A6" w14:textId="77777777" w:rsidR="009B4C1D" w:rsidRPr="007B69AA" w:rsidRDefault="009B4C1D" w:rsidP="009B4C1D">
      <w:pPr>
        <w:pStyle w:val="BodyText"/>
        <w:numPr>
          <w:ilvl w:val="0"/>
          <w:numId w:val="27"/>
        </w:numPr>
        <w:spacing w:after="60"/>
        <w:ind w:left="426" w:hanging="426"/>
        <w:jc w:val="both"/>
        <w:rPr>
          <w:rFonts w:asciiTheme="minorHAnsi" w:hAnsiTheme="minorHAnsi" w:cstheme="minorHAnsi"/>
          <w:szCs w:val="22"/>
        </w:rPr>
      </w:pPr>
      <w:r w:rsidRPr="007B69AA">
        <w:rPr>
          <w:rFonts w:asciiTheme="minorHAnsi" w:hAnsiTheme="minorHAnsi" w:cstheme="minorHAnsi"/>
          <w:szCs w:val="22"/>
        </w:rPr>
        <w:t>Investment in a foreign currency;</w:t>
      </w:r>
    </w:p>
    <w:p w14:paraId="2DAD4E6A" w14:textId="77777777" w:rsidR="009B4C1D" w:rsidRPr="007B69AA" w:rsidRDefault="009B4C1D" w:rsidP="009B4C1D">
      <w:pPr>
        <w:pStyle w:val="BodyText"/>
        <w:numPr>
          <w:ilvl w:val="0"/>
          <w:numId w:val="27"/>
        </w:numPr>
        <w:spacing w:after="60"/>
        <w:ind w:left="426" w:hanging="426"/>
        <w:jc w:val="both"/>
        <w:rPr>
          <w:rFonts w:asciiTheme="minorHAnsi" w:hAnsiTheme="minorHAnsi" w:cstheme="minorHAnsi"/>
          <w:szCs w:val="22"/>
        </w:rPr>
      </w:pPr>
      <w:r w:rsidRPr="007B69AA">
        <w:rPr>
          <w:rFonts w:asciiTheme="minorHAnsi" w:hAnsiTheme="minorHAnsi" w:cstheme="minorHAnsi"/>
          <w:szCs w:val="22"/>
        </w:rPr>
        <w:t>Derivative based instruments;</w:t>
      </w:r>
    </w:p>
    <w:p w14:paraId="6CA5FA71" w14:textId="77777777" w:rsidR="009B4C1D" w:rsidRPr="007B69AA" w:rsidRDefault="009B4C1D" w:rsidP="009B4C1D">
      <w:pPr>
        <w:pStyle w:val="BodyText"/>
        <w:numPr>
          <w:ilvl w:val="0"/>
          <w:numId w:val="27"/>
        </w:numPr>
        <w:spacing w:after="60"/>
        <w:ind w:left="426" w:hanging="426"/>
        <w:jc w:val="both"/>
        <w:rPr>
          <w:rFonts w:asciiTheme="minorHAnsi" w:hAnsiTheme="minorHAnsi" w:cstheme="minorHAnsi"/>
          <w:szCs w:val="22"/>
        </w:rPr>
      </w:pPr>
      <w:r w:rsidRPr="007B69AA">
        <w:rPr>
          <w:rFonts w:asciiTheme="minorHAnsi" w:hAnsiTheme="minorHAnsi" w:cstheme="minorHAnsi"/>
          <w:szCs w:val="22"/>
        </w:rPr>
        <w:t>Principal only investments or securities that provide potentially nil or negative cash flow;</w:t>
      </w:r>
    </w:p>
    <w:p w14:paraId="3685BB42" w14:textId="77777777" w:rsidR="009B4C1D" w:rsidRPr="007B69AA" w:rsidRDefault="009B4C1D" w:rsidP="009B4C1D">
      <w:pPr>
        <w:pStyle w:val="BodyText"/>
        <w:numPr>
          <w:ilvl w:val="0"/>
          <w:numId w:val="27"/>
        </w:numPr>
        <w:ind w:left="426" w:hanging="426"/>
        <w:jc w:val="both"/>
        <w:rPr>
          <w:rFonts w:asciiTheme="minorHAnsi" w:hAnsiTheme="minorHAnsi" w:cstheme="minorHAnsi"/>
          <w:szCs w:val="22"/>
        </w:rPr>
      </w:pPr>
      <w:proofErr w:type="spellStart"/>
      <w:r w:rsidRPr="007B69AA">
        <w:rPr>
          <w:rFonts w:asciiTheme="minorHAnsi" w:hAnsiTheme="minorHAnsi" w:cstheme="minorHAnsi"/>
          <w:szCs w:val="22"/>
        </w:rPr>
        <w:t>Stand alone</w:t>
      </w:r>
      <w:proofErr w:type="spellEnd"/>
      <w:r w:rsidRPr="007B69AA">
        <w:rPr>
          <w:rFonts w:asciiTheme="minorHAnsi" w:hAnsiTheme="minorHAnsi" w:cstheme="minorHAnsi"/>
          <w:szCs w:val="22"/>
        </w:rPr>
        <w:t xml:space="preserve"> securities issued that have underlying futures, options, forward contracts and swaps of any kind.</w:t>
      </w:r>
    </w:p>
    <w:p w14:paraId="436DB6B5" w14:textId="77777777" w:rsidR="009B4C1D" w:rsidRPr="007B69AA" w:rsidRDefault="009B4C1D" w:rsidP="00D94B6C">
      <w:pPr>
        <w:pStyle w:val="BodyText"/>
        <w:spacing w:before="240"/>
        <w:ind w:left="0"/>
        <w:rPr>
          <w:rFonts w:asciiTheme="minorHAnsi" w:hAnsiTheme="minorHAnsi" w:cstheme="minorHAnsi"/>
          <w:szCs w:val="22"/>
        </w:rPr>
      </w:pPr>
      <w:r w:rsidRPr="007B69AA">
        <w:rPr>
          <w:rFonts w:asciiTheme="minorHAnsi" w:hAnsiTheme="minorHAnsi" w:cstheme="minorHAnsi"/>
          <w:szCs w:val="22"/>
        </w:rPr>
        <w:t>Without approvals from Council, investments are limited to:</w:t>
      </w:r>
    </w:p>
    <w:p w14:paraId="63070E86" w14:textId="77777777" w:rsidR="009B4C1D" w:rsidRPr="007B69AA" w:rsidRDefault="009B4C1D" w:rsidP="009B4C1D">
      <w:pPr>
        <w:pStyle w:val="BodyText"/>
        <w:numPr>
          <w:ilvl w:val="0"/>
          <w:numId w:val="28"/>
        </w:numPr>
        <w:spacing w:after="60"/>
        <w:ind w:left="426" w:hanging="426"/>
        <w:rPr>
          <w:rFonts w:asciiTheme="minorHAnsi" w:hAnsiTheme="minorHAnsi" w:cstheme="minorHAnsi"/>
          <w:szCs w:val="22"/>
        </w:rPr>
      </w:pPr>
      <w:r w:rsidRPr="007B69AA">
        <w:rPr>
          <w:rFonts w:asciiTheme="minorHAnsi" w:hAnsiTheme="minorHAnsi" w:cstheme="minorHAnsi"/>
          <w:szCs w:val="22"/>
        </w:rPr>
        <w:t>State/Commonwealth Government Bonds;</w:t>
      </w:r>
    </w:p>
    <w:p w14:paraId="20C5238B" w14:textId="77777777" w:rsidR="009B4C1D" w:rsidRPr="007B69AA" w:rsidRDefault="009B4C1D" w:rsidP="009B4C1D">
      <w:pPr>
        <w:pStyle w:val="BodyText"/>
        <w:numPr>
          <w:ilvl w:val="0"/>
          <w:numId w:val="28"/>
        </w:numPr>
        <w:spacing w:after="60"/>
        <w:ind w:left="426" w:hanging="426"/>
        <w:rPr>
          <w:rFonts w:asciiTheme="minorHAnsi" w:hAnsiTheme="minorHAnsi" w:cstheme="minorHAnsi"/>
          <w:szCs w:val="22"/>
        </w:rPr>
      </w:pPr>
      <w:r w:rsidRPr="007B69AA">
        <w:rPr>
          <w:rFonts w:asciiTheme="minorHAnsi" w:hAnsiTheme="minorHAnsi" w:cstheme="minorHAnsi"/>
          <w:szCs w:val="22"/>
        </w:rPr>
        <w:t>Interest Bearing Deposits;</w:t>
      </w:r>
    </w:p>
    <w:p w14:paraId="45F13E73" w14:textId="77777777" w:rsidR="009B4C1D" w:rsidRPr="007B69AA" w:rsidRDefault="009B4C1D" w:rsidP="009B4C1D">
      <w:pPr>
        <w:pStyle w:val="BodyText"/>
        <w:numPr>
          <w:ilvl w:val="0"/>
          <w:numId w:val="28"/>
        </w:numPr>
        <w:spacing w:after="200"/>
        <w:ind w:left="426" w:hanging="426"/>
        <w:rPr>
          <w:rFonts w:asciiTheme="minorHAnsi" w:hAnsiTheme="minorHAnsi" w:cstheme="minorHAnsi"/>
          <w:szCs w:val="22"/>
        </w:rPr>
      </w:pPr>
      <w:r w:rsidRPr="007B69AA">
        <w:rPr>
          <w:rFonts w:asciiTheme="minorHAnsi" w:hAnsiTheme="minorHAnsi" w:cstheme="minorHAnsi"/>
          <w:szCs w:val="22"/>
        </w:rPr>
        <w:t>Bank accepted/endorsed bank bills.</w:t>
      </w:r>
    </w:p>
    <w:p w14:paraId="52F58909" w14:textId="77777777" w:rsidR="009B4C1D" w:rsidRPr="00862911" w:rsidRDefault="009B4C1D" w:rsidP="00D94B6C">
      <w:pPr>
        <w:spacing w:before="200" w:after="0"/>
        <w:rPr>
          <w:b/>
          <w:sz w:val="28"/>
          <w:szCs w:val="28"/>
          <w:lang w:val="en-US"/>
        </w:rPr>
      </w:pPr>
      <w:r w:rsidRPr="00862911">
        <w:rPr>
          <w:b/>
          <w:sz w:val="28"/>
          <w:szCs w:val="28"/>
          <w:lang w:val="en-US"/>
        </w:rPr>
        <w:t xml:space="preserve">Policy </w:t>
      </w:r>
    </w:p>
    <w:p w14:paraId="3096EE25" w14:textId="77777777" w:rsidR="009B4C1D" w:rsidRPr="007B69AA" w:rsidRDefault="009B4C1D" w:rsidP="00D94B6C">
      <w:pPr>
        <w:pStyle w:val="BodyText"/>
        <w:spacing w:after="200"/>
        <w:ind w:left="0"/>
        <w:jc w:val="both"/>
        <w:rPr>
          <w:rFonts w:asciiTheme="minorHAnsi" w:hAnsiTheme="minorHAnsi" w:cstheme="minorHAnsi"/>
          <w:szCs w:val="22"/>
        </w:rPr>
      </w:pPr>
      <w:r w:rsidRPr="007B69AA">
        <w:rPr>
          <w:rFonts w:asciiTheme="minorHAnsi" w:hAnsiTheme="minorHAnsi" w:cstheme="minorHAnsi"/>
          <w:szCs w:val="22"/>
        </w:rPr>
        <w:t xml:space="preserve">The investment will be managed with the care, diligence and skill that a prudent person would exercise. Officers are to manage the investment portfolios to safeguard the portfolios in accordance with the spirit of this Investment Policy, and not for speculative purposes. </w:t>
      </w:r>
    </w:p>
    <w:p w14:paraId="293ACD0C" w14:textId="77777777" w:rsidR="009B4C1D" w:rsidRPr="007B69AA" w:rsidRDefault="009B4C1D" w:rsidP="00D94B6C">
      <w:pPr>
        <w:pStyle w:val="BodyText"/>
        <w:spacing w:after="200"/>
        <w:ind w:left="0"/>
        <w:jc w:val="both"/>
        <w:rPr>
          <w:rFonts w:asciiTheme="minorHAnsi" w:hAnsiTheme="minorHAnsi" w:cstheme="minorHAnsi"/>
          <w:szCs w:val="22"/>
        </w:rPr>
      </w:pPr>
      <w:r w:rsidRPr="007B69AA">
        <w:rPr>
          <w:rFonts w:asciiTheme="minorHAnsi" w:hAnsiTheme="minorHAnsi" w:cstheme="minorHAnsi"/>
          <w:szCs w:val="22"/>
        </w:rPr>
        <w:t xml:space="preserve">Investments obtained are to comply with key criteria limiting </w:t>
      </w:r>
      <w:proofErr w:type="spellStart"/>
      <w:r w:rsidRPr="007B69AA">
        <w:rPr>
          <w:rFonts w:asciiTheme="minorHAnsi" w:hAnsiTheme="minorHAnsi" w:cstheme="minorHAnsi"/>
          <w:szCs w:val="22"/>
        </w:rPr>
        <w:t>i</w:t>
      </w:r>
      <w:proofErr w:type="spellEnd"/>
      <w:r w:rsidRPr="007B69AA">
        <w:rPr>
          <w:rFonts w:asciiTheme="minorHAnsi" w:hAnsiTheme="minorHAnsi" w:cstheme="minorHAnsi"/>
          <w:szCs w:val="22"/>
        </w:rPr>
        <w:t>) overall credit exposure of the portfolio and exposure to individual institutions, and ii) the term to maturity of securities.</w:t>
      </w:r>
    </w:p>
    <w:p w14:paraId="4FD90366" w14:textId="77777777" w:rsidR="009B4C1D" w:rsidRPr="00045DC5" w:rsidRDefault="009B4C1D" w:rsidP="00D94B6C">
      <w:pPr>
        <w:pStyle w:val="BodyText"/>
        <w:spacing w:after="0"/>
        <w:ind w:left="567" w:hanging="567"/>
        <w:jc w:val="both"/>
        <w:rPr>
          <w:rFonts w:asciiTheme="minorHAnsi" w:hAnsiTheme="minorHAnsi" w:cstheme="minorHAnsi"/>
          <w:szCs w:val="22"/>
          <w:u w:val="single"/>
        </w:rPr>
      </w:pPr>
      <w:r w:rsidRPr="00045DC5">
        <w:rPr>
          <w:rFonts w:asciiTheme="minorHAnsi" w:hAnsiTheme="minorHAnsi" w:cstheme="minorHAnsi"/>
          <w:szCs w:val="22"/>
        </w:rPr>
        <w:t>(</w:t>
      </w:r>
      <w:proofErr w:type="spellStart"/>
      <w:r w:rsidRPr="00045DC5">
        <w:rPr>
          <w:rFonts w:asciiTheme="minorHAnsi" w:hAnsiTheme="minorHAnsi" w:cstheme="minorHAnsi"/>
          <w:szCs w:val="22"/>
        </w:rPr>
        <w:t>i</w:t>
      </w:r>
      <w:proofErr w:type="spellEnd"/>
      <w:r w:rsidRPr="00045DC5">
        <w:rPr>
          <w:rFonts w:asciiTheme="minorHAnsi" w:hAnsiTheme="minorHAnsi" w:cstheme="minorHAnsi"/>
          <w:szCs w:val="22"/>
        </w:rPr>
        <w:t>)</w:t>
      </w:r>
      <w:r w:rsidRPr="00045DC5">
        <w:rPr>
          <w:rFonts w:asciiTheme="minorHAnsi" w:hAnsiTheme="minorHAnsi" w:cstheme="minorHAnsi"/>
          <w:szCs w:val="22"/>
        </w:rPr>
        <w:tab/>
      </w:r>
      <w:r w:rsidRPr="00862911">
        <w:rPr>
          <w:rFonts w:asciiTheme="minorHAnsi" w:hAnsiTheme="minorHAnsi" w:cstheme="minorHAnsi"/>
          <w:b/>
          <w:szCs w:val="22"/>
        </w:rPr>
        <w:t>Overall Portfolio and Individual Limits</w:t>
      </w:r>
    </w:p>
    <w:p w14:paraId="5364492E" w14:textId="77777777" w:rsidR="009B4C1D" w:rsidRPr="007B69AA" w:rsidRDefault="009B4C1D" w:rsidP="00D94B6C">
      <w:pPr>
        <w:pStyle w:val="BodyText"/>
        <w:ind w:left="567"/>
        <w:jc w:val="both"/>
        <w:rPr>
          <w:rFonts w:asciiTheme="minorHAnsi" w:hAnsiTheme="minorHAnsi" w:cstheme="minorHAnsi"/>
          <w:szCs w:val="22"/>
        </w:rPr>
      </w:pPr>
      <w:r w:rsidRPr="007B69AA">
        <w:rPr>
          <w:rFonts w:asciiTheme="minorHAnsi" w:hAnsiTheme="minorHAnsi" w:cstheme="minorHAnsi"/>
          <w:szCs w:val="22"/>
        </w:rPr>
        <w:t xml:space="preserve">To control the credit quality on the entire portfolio, the following credit framework limits the percentage of the portfolio exposed to any particular credit rating category. Exposure to an individual counterparty/institution will be restricted by its credit rating so that single entity exposure is limited, as detailed in the table below: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1984"/>
        <w:gridCol w:w="2127"/>
        <w:gridCol w:w="1984"/>
      </w:tblGrid>
      <w:tr w:rsidR="009B4C1D" w:rsidRPr="007B69AA" w14:paraId="131D57FC" w14:textId="77777777" w:rsidTr="003D0790">
        <w:trPr>
          <w:trHeight w:val="1265"/>
        </w:trPr>
        <w:tc>
          <w:tcPr>
            <w:tcW w:w="1985" w:type="dxa"/>
          </w:tcPr>
          <w:p w14:paraId="49583D7B" w14:textId="77777777" w:rsidR="009B4C1D" w:rsidRPr="007B69AA" w:rsidRDefault="009B4C1D" w:rsidP="003D0790">
            <w:pPr>
              <w:spacing w:before="60" w:after="60"/>
              <w:jc w:val="center"/>
              <w:rPr>
                <w:rFonts w:cstheme="minorHAnsi"/>
                <w:b/>
              </w:rPr>
            </w:pPr>
            <w:r w:rsidRPr="007B69AA">
              <w:rPr>
                <w:rFonts w:cstheme="minorHAnsi"/>
                <w:b/>
              </w:rPr>
              <w:lastRenderedPageBreak/>
              <w:t>Long Term Rating</w:t>
            </w:r>
          </w:p>
          <w:p w14:paraId="593B745E" w14:textId="77777777" w:rsidR="009B4C1D" w:rsidRPr="007B69AA" w:rsidRDefault="009B4C1D" w:rsidP="003D0790">
            <w:pPr>
              <w:spacing w:before="60" w:after="60"/>
              <w:jc w:val="center"/>
              <w:rPr>
                <w:rFonts w:cstheme="minorHAnsi"/>
                <w:b/>
              </w:rPr>
            </w:pPr>
          </w:p>
        </w:tc>
        <w:tc>
          <w:tcPr>
            <w:tcW w:w="1984" w:type="dxa"/>
          </w:tcPr>
          <w:p w14:paraId="58EC2E70" w14:textId="77777777" w:rsidR="009B4C1D" w:rsidRPr="007B69AA" w:rsidRDefault="009B4C1D" w:rsidP="003D0790">
            <w:pPr>
              <w:spacing w:before="60" w:after="60"/>
              <w:jc w:val="center"/>
              <w:rPr>
                <w:rFonts w:cstheme="minorHAnsi"/>
                <w:b/>
              </w:rPr>
            </w:pPr>
            <w:r w:rsidRPr="007B69AA">
              <w:rPr>
                <w:rFonts w:cstheme="minorHAnsi"/>
                <w:b/>
              </w:rPr>
              <w:t>Short Term Rating</w:t>
            </w:r>
          </w:p>
          <w:p w14:paraId="77BE54ED" w14:textId="77777777" w:rsidR="009B4C1D" w:rsidRPr="007B69AA" w:rsidRDefault="009B4C1D" w:rsidP="003D0790">
            <w:pPr>
              <w:spacing w:before="60" w:after="60"/>
              <w:jc w:val="center"/>
              <w:rPr>
                <w:rFonts w:cstheme="minorHAnsi"/>
                <w:b/>
              </w:rPr>
            </w:pPr>
          </w:p>
        </w:tc>
        <w:tc>
          <w:tcPr>
            <w:tcW w:w="2127" w:type="dxa"/>
          </w:tcPr>
          <w:p w14:paraId="5BCD0AEC" w14:textId="77777777" w:rsidR="009B4C1D" w:rsidRPr="007B69AA" w:rsidRDefault="009B4C1D" w:rsidP="003D0790">
            <w:pPr>
              <w:spacing w:before="60" w:after="60"/>
              <w:jc w:val="center"/>
              <w:rPr>
                <w:rFonts w:cstheme="minorHAnsi"/>
                <w:b/>
              </w:rPr>
            </w:pPr>
            <w:r w:rsidRPr="007B69AA">
              <w:rPr>
                <w:rFonts w:cstheme="minorHAnsi"/>
                <w:b/>
              </w:rPr>
              <w:t>Direct Investments</w:t>
            </w:r>
          </w:p>
          <w:p w14:paraId="6428DF44" w14:textId="77777777" w:rsidR="009B4C1D" w:rsidRPr="007B69AA" w:rsidRDefault="009B4C1D" w:rsidP="003D0790">
            <w:pPr>
              <w:spacing w:before="60" w:after="60"/>
              <w:jc w:val="center"/>
              <w:rPr>
                <w:rFonts w:cstheme="minorHAnsi"/>
                <w:b/>
              </w:rPr>
            </w:pPr>
            <w:r w:rsidRPr="007B69AA">
              <w:rPr>
                <w:rFonts w:cstheme="minorHAnsi"/>
                <w:b/>
              </w:rPr>
              <w:t>Maximum % with any one institution</w:t>
            </w:r>
          </w:p>
        </w:tc>
        <w:tc>
          <w:tcPr>
            <w:tcW w:w="1984" w:type="dxa"/>
          </w:tcPr>
          <w:p w14:paraId="0F0A2440" w14:textId="77777777" w:rsidR="009B4C1D" w:rsidRPr="007B69AA" w:rsidRDefault="009B4C1D" w:rsidP="003D0790">
            <w:pPr>
              <w:spacing w:before="60" w:after="60"/>
              <w:jc w:val="center"/>
              <w:rPr>
                <w:rFonts w:cstheme="minorHAnsi"/>
                <w:b/>
              </w:rPr>
            </w:pPr>
            <w:r w:rsidRPr="007B69AA">
              <w:rPr>
                <w:rFonts w:cstheme="minorHAnsi"/>
                <w:b/>
              </w:rPr>
              <w:t>Maximum % of Total Portfolio by Credit Rating</w:t>
            </w:r>
          </w:p>
        </w:tc>
      </w:tr>
      <w:tr w:rsidR="009B4C1D" w:rsidRPr="007B69AA" w14:paraId="4995B99F" w14:textId="77777777" w:rsidTr="003D0790">
        <w:trPr>
          <w:trHeight w:val="424"/>
        </w:trPr>
        <w:tc>
          <w:tcPr>
            <w:tcW w:w="1985" w:type="dxa"/>
          </w:tcPr>
          <w:p w14:paraId="67C522E1" w14:textId="77777777" w:rsidR="009B4C1D" w:rsidRPr="007B69AA" w:rsidRDefault="009B4C1D" w:rsidP="003D0790">
            <w:pPr>
              <w:spacing w:before="60" w:after="60"/>
              <w:jc w:val="center"/>
              <w:rPr>
                <w:rFonts w:cstheme="minorHAnsi"/>
              </w:rPr>
            </w:pPr>
            <w:r w:rsidRPr="007B69AA">
              <w:rPr>
                <w:rFonts w:cstheme="minorHAnsi"/>
              </w:rPr>
              <w:t xml:space="preserve">AAA </w:t>
            </w:r>
          </w:p>
        </w:tc>
        <w:tc>
          <w:tcPr>
            <w:tcW w:w="1984" w:type="dxa"/>
          </w:tcPr>
          <w:p w14:paraId="10D804C2" w14:textId="77777777" w:rsidR="009B4C1D" w:rsidRPr="007B69AA" w:rsidRDefault="009B4C1D" w:rsidP="003D0790">
            <w:pPr>
              <w:spacing w:before="60" w:after="60"/>
              <w:jc w:val="center"/>
              <w:rPr>
                <w:rFonts w:cstheme="minorHAnsi"/>
              </w:rPr>
            </w:pPr>
            <w:r w:rsidRPr="007B69AA">
              <w:rPr>
                <w:rFonts w:cstheme="minorHAnsi"/>
              </w:rPr>
              <w:t>A1+(F1+)</w:t>
            </w:r>
          </w:p>
        </w:tc>
        <w:tc>
          <w:tcPr>
            <w:tcW w:w="2127" w:type="dxa"/>
          </w:tcPr>
          <w:p w14:paraId="4A3B32FC" w14:textId="77777777" w:rsidR="009B4C1D" w:rsidRPr="007B69AA" w:rsidRDefault="009B4C1D" w:rsidP="003D0790">
            <w:pPr>
              <w:spacing w:before="60" w:after="60"/>
              <w:jc w:val="center"/>
              <w:rPr>
                <w:rFonts w:cstheme="minorHAnsi"/>
              </w:rPr>
            </w:pPr>
            <w:r>
              <w:rPr>
                <w:rFonts w:cstheme="minorHAnsi"/>
              </w:rPr>
              <w:t>100%</w:t>
            </w:r>
          </w:p>
        </w:tc>
        <w:tc>
          <w:tcPr>
            <w:tcW w:w="1984" w:type="dxa"/>
          </w:tcPr>
          <w:p w14:paraId="5C1FC357" w14:textId="77777777" w:rsidR="009B4C1D" w:rsidRPr="007B69AA" w:rsidRDefault="009B4C1D" w:rsidP="003D0790">
            <w:pPr>
              <w:spacing w:before="60" w:after="60"/>
              <w:jc w:val="center"/>
              <w:rPr>
                <w:rFonts w:cstheme="minorHAnsi"/>
              </w:rPr>
            </w:pPr>
            <w:r w:rsidRPr="007B69AA">
              <w:rPr>
                <w:rFonts w:cstheme="minorHAnsi"/>
              </w:rPr>
              <w:t>100%</w:t>
            </w:r>
          </w:p>
        </w:tc>
      </w:tr>
      <w:tr w:rsidR="009B4C1D" w:rsidRPr="007B69AA" w14:paraId="00FC6894" w14:textId="77777777" w:rsidTr="003D0790">
        <w:trPr>
          <w:trHeight w:val="349"/>
        </w:trPr>
        <w:tc>
          <w:tcPr>
            <w:tcW w:w="1985" w:type="dxa"/>
          </w:tcPr>
          <w:p w14:paraId="0FFEDA83" w14:textId="77777777" w:rsidR="009B4C1D" w:rsidRPr="007B69AA" w:rsidRDefault="009B4C1D" w:rsidP="003D0790">
            <w:pPr>
              <w:spacing w:before="60" w:after="60"/>
              <w:jc w:val="center"/>
              <w:rPr>
                <w:rFonts w:cstheme="minorHAnsi"/>
              </w:rPr>
            </w:pPr>
            <w:r w:rsidRPr="007B69AA">
              <w:rPr>
                <w:rFonts w:cstheme="minorHAnsi"/>
              </w:rPr>
              <w:t xml:space="preserve">AA </w:t>
            </w:r>
          </w:p>
        </w:tc>
        <w:tc>
          <w:tcPr>
            <w:tcW w:w="1984" w:type="dxa"/>
          </w:tcPr>
          <w:p w14:paraId="3F118D96" w14:textId="77777777" w:rsidR="009B4C1D" w:rsidRPr="007B69AA" w:rsidRDefault="009B4C1D" w:rsidP="003D0790">
            <w:pPr>
              <w:spacing w:before="60" w:after="60"/>
              <w:jc w:val="center"/>
              <w:rPr>
                <w:rFonts w:cstheme="minorHAnsi"/>
              </w:rPr>
            </w:pPr>
            <w:r w:rsidRPr="007B69AA">
              <w:rPr>
                <w:rFonts w:cstheme="minorHAnsi"/>
              </w:rPr>
              <w:t>A1(F1)</w:t>
            </w:r>
          </w:p>
        </w:tc>
        <w:tc>
          <w:tcPr>
            <w:tcW w:w="2127" w:type="dxa"/>
          </w:tcPr>
          <w:p w14:paraId="1F717D99" w14:textId="77777777" w:rsidR="009B4C1D" w:rsidRPr="007B69AA" w:rsidRDefault="009B4C1D" w:rsidP="003D0790">
            <w:pPr>
              <w:spacing w:before="60" w:after="60"/>
              <w:jc w:val="center"/>
              <w:rPr>
                <w:rFonts w:cstheme="minorHAnsi"/>
              </w:rPr>
            </w:pPr>
            <w:r>
              <w:rPr>
                <w:rFonts w:cstheme="minorHAnsi"/>
              </w:rPr>
              <w:t>100%</w:t>
            </w:r>
          </w:p>
        </w:tc>
        <w:tc>
          <w:tcPr>
            <w:tcW w:w="1984" w:type="dxa"/>
          </w:tcPr>
          <w:p w14:paraId="5FEC22B5" w14:textId="77777777" w:rsidR="009B4C1D" w:rsidRPr="007B69AA" w:rsidRDefault="009B4C1D" w:rsidP="003D0790">
            <w:pPr>
              <w:spacing w:before="60" w:after="60"/>
              <w:jc w:val="center"/>
              <w:rPr>
                <w:rFonts w:cstheme="minorHAnsi"/>
              </w:rPr>
            </w:pPr>
            <w:r w:rsidRPr="007B69AA">
              <w:rPr>
                <w:rFonts w:cstheme="minorHAnsi"/>
              </w:rPr>
              <w:t>100%</w:t>
            </w:r>
          </w:p>
        </w:tc>
      </w:tr>
      <w:tr w:rsidR="009B4C1D" w:rsidRPr="007B69AA" w14:paraId="72244394" w14:textId="77777777" w:rsidTr="003D0790">
        <w:trPr>
          <w:trHeight w:val="392"/>
        </w:trPr>
        <w:tc>
          <w:tcPr>
            <w:tcW w:w="1985" w:type="dxa"/>
          </w:tcPr>
          <w:p w14:paraId="6E449BAD" w14:textId="77777777" w:rsidR="009B4C1D" w:rsidRPr="007B69AA" w:rsidRDefault="009B4C1D" w:rsidP="003D0790">
            <w:pPr>
              <w:spacing w:before="60" w:after="60"/>
              <w:jc w:val="center"/>
              <w:rPr>
                <w:rFonts w:cstheme="minorHAnsi"/>
              </w:rPr>
            </w:pPr>
            <w:r w:rsidRPr="007B69AA">
              <w:rPr>
                <w:rFonts w:cstheme="minorHAnsi"/>
              </w:rPr>
              <w:t xml:space="preserve">A </w:t>
            </w:r>
          </w:p>
        </w:tc>
        <w:tc>
          <w:tcPr>
            <w:tcW w:w="1984" w:type="dxa"/>
          </w:tcPr>
          <w:p w14:paraId="5915389A" w14:textId="77777777" w:rsidR="009B4C1D" w:rsidRPr="007B69AA" w:rsidRDefault="009B4C1D" w:rsidP="003D0790">
            <w:pPr>
              <w:spacing w:before="60" w:after="60"/>
              <w:jc w:val="center"/>
              <w:rPr>
                <w:rFonts w:cstheme="minorHAnsi"/>
              </w:rPr>
            </w:pPr>
            <w:r w:rsidRPr="007B69AA">
              <w:rPr>
                <w:rFonts w:cstheme="minorHAnsi"/>
              </w:rPr>
              <w:t>A2(F2)</w:t>
            </w:r>
          </w:p>
        </w:tc>
        <w:tc>
          <w:tcPr>
            <w:tcW w:w="2127" w:type="dxa"/>
          </w:tcPr>
          <w:p w14:paraId="1E2961F6" w14:textId="77777777" w:rsidR="009B4C1D" w:rsidRPr="007B69AA" w:rsidRDefault="009B4C1D" w:rsidP="003D0790">
            <w:pPr>
              <w:spacing w:before="60" w:after="60"/>
              <w:jc w:val="center"/>
              <w:rPr>
                <w:rFonts w:cstheme="minorHAnsi"/>
              </w:rPr>
            </w:pPr>
            <w:r w:rsidRPr="007B69AA">
              <w:rPr>
                <w:rFonts w:cstheme="minorHAnsi"/>
              </w:rPr>
              <w:t>40%</w:t>
            </w:r>
          </w:p>
        </w:tc>
        <w:tc>
          <w:tcPr>
            <w:tcW w:w="1984" w:type="dxa"/>
          </w:tcPr>
          <w:p w14:paraId="349FD111" w14:textId="77777777" w:rsidR="009B4C1D" w:rsidRPr="007B69AA" w:rsidRDefault="009B4C1D" w:rsidP="003D0790">
            <w:pPr>
              <w:spacing w:before="60" w:after="60"/>
              <w:jc w:val="center"/>
              <w:rPr>
                <w:rFonts w:cstheme="minorHAnsi"/>
              </w:rPr>
            </w:pPr>
            <w:r w:rsidRPr="007B69AA">
              <w:rPr>
                <w:rFonts w:cstheme="minorHAnsi"/>
              </w:rPr>
              <w:t>80%</w:t>
            </w:r>
          </w:p>
        </w:tc>
      </w:tr>
    </w:tbl>
    <w:p w14:paraId="74416CC3" w14:textId="77777777" w:rsidR="009B4C1D" w:rsidRDefault="009B4C1D" w:rsidP="00D94B6C">
      <w:pPr>
        <w:pStyle w:val="BodyText"/>
        <w:spacing w:before="200" w:after="200"/>
        <w:ind w:left="567"/>
        <w:jc w:val="both"/>
        <w:rPr>
          <w:rFonts w:asciiTheme="minorHAnsi" w:hAnsiTheme="minorHAnsi" w:cstheme="minorHAnsi"/>
          <w:szCs w:val="22"/>
        </w:rPr>
      </w:pPr>
      <w:r w:rsidRPr="007B69AA">
        <w:rPr>
          <w:rFonts w:asciiTheme="minorHAnsi" w:hAnsiTheme="minorHAnsi" w:cstheme="minorHAnsi"/>
          <w:szCs w:val="22"/>
        </w:rPr>
        <w:t>The rating categories are the minimum requirement for both long term and short term ratings per institution that will determine individual and total portfolio exposure. Unless stated otherwise, rating categories include + and – variations.</w:t>
      </w:r>
    </w:p>
    <w:p w14:paraId="0CF6798B" w14:textId="77777777" w:rsidR="009B4C1D" w:rsidRPr="007B69AA" w:rsidRDefault="009B4C1D" w:rsidP="00D94B6C">
      <w:pPr>
        <w:pStyle w:val="BodyText"/>
        <w:spacing w:before="200" w:after="200"/>
        <w:ind w:left="567"/>
        <w:jc w:val="both"/>
        <w:rPr>
          <w:rFonts w:asciiTheme="minorHAnsi" w:hAnsiTheme="minorHAnsi" w:cstheme="minorHAnsi"/>
          <w:szCs w:val="22"/>
        </w:rPr>
      </w:pPr>
      <w:r>
        <w:rPr>
          <w:rFonts w:asciiTheme="minorHAnsi" w:hAnsiTheme="minorHAnsi" w:cstheme="minorHAnsi"/>
          <w:szCs w:val="22"/>
        </w:rPr>
        <w:t xml:space="preserve">The policy allows Town to hold the working capital and investment funds in one institution </w:t>
      </w:r>
      <w:proofErr w:type="gramStart"/>
      <w:r>
        <w:rPr>
          <w:rFonts w:asciiTheme="minorHAnsi" w:hAnsiTheme="minorHAnsi" w:cstheme="minorHAnsi"/>
          <w:szCs w:val="22"/>
        </w:rPr>
        <w:t>as long as</w:t>
      </w:r>
      <w:proofErr w:type="gramEnd"/>
      <w:r>
        <w:rPr>
          <w:rFonts w:asciiTheme="minorHAnsi" w:hAnsiTheme="minorHAnsi" w:cstheme="minorHAnsi"/>
          <w:szCs w:val="22"/>
        </w:rPr>
        <w:t xml:space="preserve"> the credit rating of the institution is AA or above. </w:t>
      </w:r>
    </w:p>
    <w:p w14:paraId="66A170FB" w14:textId="77777777" w:rsidR="009B4C1D" w:rsidRPr="007B69AA" w:rsidRDefault="009B4C1D" w:rsidP="00D94B6C">
      <w:pPr>
        <w:pStyle w:val="BodyText"/>
        <w:spacing w:after="0"/>
        <w:ind w:left="567" w:hanging="567"/>
        <w:rPr>
          <w:rFonts w:asciiTheme="minorHAnsi" w:hAnsiTheme="minorHAnsi" w:cstheme="minorHAnsi"/>
          <w:szCs w:val="22"/>
        </w:rPr>
      </w:pPr>
      <w:r w:rsidRPr="007B69AA">
        <w:rPr>
          <w:rFonts w:asciiTheme="minorHAnsi" w:hAnsiTheme="minorHAnsi" w:cstheme="minorHAnsi"/>
          <w:szCs w:val="22"/>
        </w:rPr>
        <w:t xml:space="preserve"> (ii)</w:t>
      </w:r>
      <w:r w:rsidRPr="007B69AA">
        <w:rPr>
          <w:rFonts w:asciiTheme="minorHAnsi" w:hAnsiTheme="minorHAnsi" w:cstheme="minorHAnsi"/>
          <w:szCs w:val="22"/>
        </w:rPr>
        <w:tab/>
      </w:r>
      <w:r w:rsidRPr="00862911">
        <w:rPr>
          <w:rFonts w:asciiTheme="minorHAnsi" w:hAnsiTheme="minorHAnsi" w:cstheme="minorHAnsi"/>
          <w:b/>
          <w:szCs w:val="22"/>
        </w:rPr>
        <w:t>Term to Maturity Framework</w:t>
      </w:r>
    </w:p>
    <w:p w14:paraId="5A7842D2" w14:textId="77777777" w:rsidR="009B4C1D" w:rsidRPr="007B69AA" w:rsidRDefault="009B4C1D" w:rsidP="00D94B6C">
      <w:pPr>
        <w:pStyle w:val="BodyText"/>
        <w:ind w:left="567"/>
        <w:rPr>
          <w:rFonts w:asciiTheme="minorHAnsi" w:hAnsiTheme="minorHAnsi" w:cstheme="minorHAnsi"/>
          <w:szCs w:val="22"/>
        </w:rPr>
      </w:pPr>
      <w:r w:rsidRPr="007B69AA">
        <w:rPr>
          <w:rFonts w:asciiTheme="minorHAnsi" w:hAnsiTheme="minorHAnsi" w:cstheme="minorHAnsi"/>
          <w:szCs w:val="22"/>
        </w:rPr>
        <w:t>The investment portfolio is to be invested within the following maturity constraints:</w:t>
      </w:r>
    </w:p>
    <w:p w14:paraId="52A852DF" w14:textId="77777777" w:rsidR="009B4C1D" w:rsidRPr="007B69AA" w:rsidRDefault="009B4C1D" w:rsidP="00D94B6C">
      <w:pPr>
        <w:pStyle w:val="BodyText"/>
        <w:ind w:left="567"/>
        <w:rPr>
          <w:rFonts w:asciiTheme="minorHAnsi" w:hAnsiTheme="minorHAnsi" w:cstheme="minorHAnsi"/>
          <w:szCs w:val="22"/>
        </w:rPr>
      </w:pPr>
      <w:r w:rsidRPr="007B69AA">
        <w:rPr>
          <w:rFonts w:asciiTheme="minorHAnsi" w:hAnsiTheme="minorHAnsi" w:cstheme="minorHAnsi"/>
          <w:szCs w:val="22"/>
        </w:rPr>
        <w:t>Portfolio %</w:t>
      </w:r>
      <w:r>
        <w:rPr>
          <w:rFonts w:asciiTheme="minorHAnsi" w:hAnsiTheme="minorHAnsi" w:cstheme="minorHAnsi"/>
          <w:szCs w:val="22"/>
        </w:rPr>
        <w:t>=</w:t>
      </w:r>
      <w:r w:rsidRPr="007B69AA">
        <w:rPr>
          <w:rFonts w:asciiTheme="minorHAnsi" w:hAnsiTheme="minorHAnsi" w:cstheme="minorHAnsi"/>
          <w:szCs w:val="22"/>
        </w:rPr>
        <w:t xml:space="preserve"> &lt;1 year</w:t>
      </w:r>
      <w:r w:rsidRPr="007B69AA">
        <w:rPr>
          <w:rFonts w:asciiTheme="minorHAnsi" w:hAnsiTheme="minorHAnsi" w:cstheme="minorHAnsi"/>
          <w:szCs w:val="22"/>
        </w:rPr>
        <w:tab/>
      </w:r>
      <w:r w:rsidRPr="007B69AA">
        <w:rPr>
          <w:rFonts w:asciiTheme="minorHAnsi" w:hAnsiTheme="minorHAnsi" w:cstheme="minorHAnsi"/>
          <w:szCs w:val="22"/>
        </w:rPr>
        <w:tab/>
      </w:r>
      <w:r w:rsidRPr="007B69AA">
        <w:rPr>
          <w:rFonts w:asciiTheme="minorHAnsi" w:hAnsiTheme="minorHAnsi" w:cstheme="minorHAnsi"/>
          <w:szCs w:val="22"/>
        </w:rPr>
        <w:tab/>
        <w:t>100% Max - 60% Min</w:t>
      </w:r>
    </w:p>
    <w:p w14:paraId="1E801406" w14:textId="77777777" w:rsidR="009B4C1D" w:rsidRPr="007B69AA" w:rsidRDefault="009B4C1D" w:rsidP="0042552C">
      <w:pPr>
        <w:pStyle w:val="BodyText"/>
        <w:spacing w:after="200"/>
        <w:ind w:left="4395" w:hanging="3828"/>
        <w:jc w:val="both"/>
        <w:rPr>
          <w:rFonts w:asciiTheme="minorHAnsi" w:hAnsiTheme="minorHAnsi" w:cstheme="minorHAnsi"/>
          <w:szCs w:val="22"/>
        </w:rPr>
      </w:pPr>
      <w:r w:rsidRPr="007B69AA">
        <w:rPr>
          <w:rFonts w:asciiTheme="minorHAnsi" w:hAnsiTheme="minorHAnsi" w:cstheme="minorHAnsi"/>
          <w:szCs w:val="22"/>
        </w:rPr>
        <w:t>Portfolio % &gt;1 year &lt;3 years</w:t>
      </w:r>
      <w:r w:rsidRPr="007B69AA">
        <w:rPr>
          <w:rFonts w:asciiTheme="minorHAnsi" w:hAnsiTheme="minorHAnsi" w:cstheme="minorHAnsi"/>
          <w:szCs w:val="22"/>
        </w:rPr>
        <w:tab/>
        <w:t>40% Max</w:t>
      </w:r>
      <w:r>
        <w:rPr>
          <w:rFonts w:asciiTheme="minorHAnsi" w:hAnsiTheme="minorHAnsi" w:cstheme="minorHAnsi"/>
          <w:szCs w:val="22"/>
        </w:rPr>
        <w:t xml:space="preserve"> </w:t>
      </w:r>
      <w:r w:rsidRPr="007B69AA">
        <w:rPr>
          <w:rFonts w:asciiTheme="minorHAnsi" w:hAnsiTheme="minorHAnsi" w:cstheme="minorHAnsi"/>
          <w:szCs w:val="22"/>
        </w:rPr>
        <w:t>Investment performance is benchmarked against the cash rate.</w:t>
      </w:r>
    </w:p>
    <w:p w14:paraId="328CE9F2" w14:textId="77777777" w:rsidR="009B4C1D" w:rsidRDefault="009B4C1D" w:rsidP="001F37F0">
      <w:pPr>
        <w:pStyle w:val="BodyText"/>
        <w:spacing w:after="0"/>
        <w:ind w:left="567" w:hanging="567"/>
        <w:jc w:val="both"/>
        <w:rPr>
          <w:rFonts w:asciiTheme="minorHAnsi" w:hAnsiTheme="minorHAnsi" w:cstheme="minorHAnsi"/>
          <w:b/>
          <w:bCs/>
          <w:szCs w:val="22"/>
        </w:rPr>
      </w:pPr>
      <w:r>
        <w:rPr>
          <w:rFonts w:asciiTheme="minorHAnsi" w:hAnsiTheme="minorHAnsi" w:cstheme="minorHAnsi"/>
          <w:szCs w:val="22"/>
        </w:rPr>
        <w:t>(iii)</w:t>
      </w:r>
      <w:r>
        <w:rPr>
          <w:rFonts w:asciiTheme="minorHAnsi" w:hAnsiTheme="minorHAnsi" w:cstheme="minorHAnsi"/>
          <w:szCs w:val="22"/>
        </w:rPr>
        <w:tab/>
      </w:r>
      <w:r>
        <w:rPr>
          <w:rFonts w:asciiTheme="minorHAnsi" w:hAnsiTheme="minorHAnsi" w:cstheme="minorHAnsi"/>
          <w:b/>
          <w:bCs/>
          <w:szCs w:val="22"/>
        </w:rPr>
        <w:t>Professional Advice</w:t>
      </w:r>
    </w:p>
    <w:p w14:paraId="62F7B27E" w14:textId="77777777" w:rsidR="009B4C1D" w:rsidRDefault="009B4C1D" w:rsidP="001F37F0">
      <w:pPr>
        <w:pStyle w:val="BodyText"/>
        <w:spacing w:after="200"/>
        <w:ind w:left="993" w:hanging="426"/>
        <w:jc w:val="both"/>
        <w:rPr>
          <w:rFonts w:asciiTheme="minorHAnsi" w:hAnsiTheme="minorHAnsi" w:cstheme="minorHAnsi"/>
          <w:szCs w:val="22"/>
        </w:rPr>
      </w:pPr>
      <w:r w:rsidRPr="001F37F0">
        <w:rPr>
          <w:rFonts w:asciiTheme="minorHAnsi" w:hAnsiTheme="minorHAnsi" w:cstheme="minorHAnsi"/>
          <w:szCs w:val="22"/>
        </w:rPr>
        <w:t xml:space="preserve">a) </w:t>
      </w:r>
      <w:r w:rsidRPr="001F37F0">
        <w:rPr>
          <w:rFonts w:asciiTheme="minorHAnsi" w:hAnsiTheme="minorHAnsi" w:cstheme="minorHAnsi"/>
          <w:szCs w:val="22"/>
        </w:rPr>
        <w:tab/>
      </w:r>
      <w:r>
        <w:rPr>
          <w:rFonts w:asciiTheme="minorHAnsi" w:hAnsiTheme="minorHAnsi" w:cstheme="minorHAnsi"/>
          <w:szCs w:val="22"/>
        </w:rPr>
        <w:t xml:space="preserve">The Town may from time to time engage the services of suitably qualified investment professionals to </w:t>
      </w:r>
      <w:proofErr w:type="gramStart"/>
      <w:r>
        <w:rPr>
          <w:rFonts w:asciiTheme="minorHAnsi" w:hAnsiTheme="minorHAnsi" w:cstheme="minorHAnsi"/>
          <w:szCs w:val="22"/>
        </w:rPr>
        <w:t>provide assistance</w:t>
      </w:r>
      <w:proofErr w:type="gramEnd"/>
      <w:r>
        <w:rPr>
          <w:rFonts w:asciiTheme="minorHAnsi" w:hAnsiTheme="minorHAnsi" w:cstheme="minorHAnsi"/>
          <w:szCs w:val="22"/>
        </w:rPr>
        <w:t xml:space="preserve"> in investment strategy formulation, portfolio implementation and monitoring.</w:t>
      </w:r>
    </w:p>
    <w:p w14:paraId="538773D9" w14:textId="77777777" w:rsidR="009B4C1D" w:rsidRDefault="009B4C1D" w:rsidP="001F37F0">
      <w:pPr>
        <w:pStyle w:val="BodyText"/>
        <w:spacing w:after="200"/>
        <w:ind w:left="993" w:hanging="426"/>
        <w:jc w:val="both"/>
        <w:rPr>
          <w:rFonts w:asciiTheme="minorHAnsi" w:hAnsiTheme="minorHAnsi" w:cstheme="minorHAnsi"/>
          <w:szCs w:val="22"/>
        </w:rPr>
      </w:pPr>
      <w:r>
        <w:rPr>
          <w:rFonts w:asciiTheme="minorHAnsi" w:hAnsiTheme="minorHAnsi" w:cstheme="minorHAnsi"/>
          <w:szCs w:val="22"/>
        </w:rPr>
        <w:t>b)</w:t>
      </w:r>
      <w:r>
        <w:rPr>
          <w:rFonts w:asciiTheme="minorHAnsi" w:hAnsiTheme="minorHAnsi" w:cstheme="minorHAnsi"/>
          <w:szCs w:val="22"/>
        </w:rPr>
        <w:tab/>
        <w:t>Any such advisor must be licensed by the Australian Securities and Investment Commission. The advisor must be an independent person who has no actual or potential conflict of interest in relation to investment products being recommended and is free to choose the most appropriate product within the terms and conditions of this Investment Policy.</w:t>
      </w:r>
    </w:p>
    <w:p w14:paraId="0E743123" w14:textId="77777777" w:rsidR="009B4C1D" w:rsidRPr="001F37F0" w:rsidRDefault="009B4C1D" w:rsidP="001F37F0">
      <w:pPr>
        <w:pStyle w:val="BodyText"/>
        <w:spacing w:after="200"/>
        <w:ind w:left="993" w:hanging="426"/>
        <w:jc w:val="both"/>
        <w:rPr>
          <w:rFonts w:asciiTheme="minorHAnsi" w:hAnsiTheme="minorHAnsi" w:cstheme="minorHAnsi"/>
          <w:szCs w:val="22"/>
        </w:rPr>
      </w:pPr>
      <w:r>
        <w:rPr>
          <w:rFonts w:asciiTheme="minorHAnsi" w:hAnsiTheme="minorHAnsi" w:cstheme="minorHAnsi"/>
          <w:szCs w:val="22"/>
        </w:rPr>
        <w:t>c)</w:t>
      </w:r>
      <w:r>
        <w:rPr>
          <w:rFonts w:asciiTheme="minorHAnsi" w:hAnsiTheme="minorHAnsi" w:cstheme="minorHAnsi"/>
          <w:szCs w:val="22"/>
        </w:rPr>
        <w:tab/>
        <w:t>Any independent advisor engaged by the Town is required to provide written confirmation that they do not have any actual or potential conflicts of interest in relation to the investments they are recommending or reviewing.</w:t>
      </w:r>
    </w:p>
    <w:p w14:paraId="1A8DD55F" w14:textId="77777777" w:rsidR="009B4C1D" w:rsidRPr="007B69AA" w:rsidRDefault="009B4C1D" w:rsidP="00D94B6C">
      <w:pPr>
        <w:pStyle w:val="BodyText"/>
        <w:spacing w:after="200"/>
        <w:ind w:left="0"/>
        <w:jc w:val="both"/>
        <w:rPr>
          <w:rFonts w:asciiTheme="minorHAnsi" w:hAnsiTheme="minorHAnsi" w:cstheme="minorHAnsi"/>
          <w:szCs w:val="22"/>
        </w:rPr>
      </w:pPr>
      <w:r w:rsidRPr="007B69AA">
        <w:rPr>
          <w:rFonts w:asciiTheme="minorHAnsi" w:hAnsiTheme="minorHAnsi" w:cstheme="minorHAnsi"/>
          <w:szCs w:val="22"/>
        </w:rPr>
        <w:t xml:space="preserve">A monthly report will be provided to Council, in support of the monthly financial activity statement, which will detail the investment portfolio in terms of divestment of </w:t>
      </w:r>
      <w:r w:rsidRPr="007B69AA">
        <w:rPr>
          <w:rFonts w:asciiTheme="minorHAnsi" w:hAnsiTheme="minorHAnsi" w:cstheme="minorHAnsi"/>
          <w:b/>
          <w:szCs w:val="22"/>
          <w:u w:val="single"/>
        </w:rPr>
        <w:t xml:space="preserve">fossil fuel </w:t>
      </w:r>
      <w:r w:rsidRPr="007B69AA">
        <w:rPr>
          <w:rFonts w:asciiTheme="minorHAnsi" w:hAnsiTheme="minorHAnsi" w:cstheme="minorHAnsi"/>
          <w:szCs w:val="22"/>
        </w:rPr>
        <w:t>industry supported investments, performance, percentage exposure of total portfolio by rating category and maturity date framework.</w:t>
      </w:r>
    </w:p>
    <w:p w14:paraId="4E3F6631" w14:textId="77777777" w:rsidR="009B4C1D" w:rsidRPr="007B69AA" w:rsidRDefault="009B4C1D" w:rsidP="00D94B6C">
      <w:pPr>
        <w:pStyle w:val="BodyText"/>
        <w:spacing w:after="200"/>
        <w:ind w:left="0"/>
        <w:jc w:val="both"/>
        <w:rPr>
          <w:rFonts w:asciiTheme="minorHAnsi" w:hAnsiTheme="minorHAnsi" w:cstheme="minorHAnsi"/>
          <w:szCs w:val="22"/>
        </w:rPr>
      </w:pPr>
      <w:r w:rsidRPr="007B69AA">
        <w:rPr>
          <w:rFonts w:asciiTheme="minorHAnsi" w:hAnsiTheme="minorHAnsi" w:cstheme="minorHAnsi"/>
          <w:szCs w:val="22"/>
        </w:rPr>
        <w:t xml:space="preserve">If any of the investments are downgraded such that they no longer fall within the risk management guidelines, they will be divested as soon as practicable. </w:t>
      </w:r>
    </w:p>
    <w:p w14:paraId="714046FB" w14:textId="77777777" w:rsidR="009B4C1D" w:rsidRPr="007B69AA" w:rsidRDefault="009B4C1D" w:rsidP="00D94B6C">
      <w:pPr>
        <w:pStyle w:val="BodyText"/>
        <w:spacing w:after="200"/>
        <w:ind w:left="0"/>
        <w:jc w:val="both"/>
        <w:rPr>
          <w:rFonts w:asciiTheme="minorHAnsi" w:hAnsiTheme="minorHAnsi" w:cstheme="minorHAnsi"/>
          <w:szCs w:val="22"/>
        </w:rPr>
      </w:pPr>
      <w:r w:rsidRPr="007B69AA">
        <w:rPr>
          <w:rFonts w:asciiTheme="minorHAnsi" w:hAnsiTheme="minorHAnsi" w:cstheme="minorHAnsi"/>
          <w:szCs w:val="22"/>
        </w:rPr>
        <w:t xml:space="preserve">The table below details two rating agencies’ credit ratings for short and long term investments. It includes a grade explanation for each credit rating, which can be substituted, if required, with similar categories of rating from other </w:t>
      </w:r>
      <w:proofErr w:type="spellStart"/>
      <w:r w:rsidRPr="007B69AA">
        <w:rPr>
          <w:rFonts w:asciiTheme="minorHAnsi" w:hAnsiTheme="minorHAnsi" w:cstheme="minorHAnsi"/>
          <w:szCs w:val="22"/>
        </w:rPr>
        <w:t>recognised</w:t>
      </w:r>
      <w:proofErr w:type="spellEnd"/>
      <w:r w:rsidRPr="007B69AA">
        <w:rPr>
          <w:rFonts w:asciiTheme="minorHAnsi" w:hAnsiTheme="minorHAnsi" w:cstheme="minorHAnsi"/>
          <w:szCs w:val="22"/>
        </w:rPr>
        <w:t xml:space="preserve"> ratings agencies.</w:t>
      </w:r>
    </w:p>
    <w:p w14:paraId="49EFFB93" w14:textId="77777777" w:rsidR="009B4C1D" w:rsidRPr="007B69AA" w:rsidRDefault="009B4C1D" w:rsidP="00D94B6C">
      <w:pPr>
        <w:pStyle w:val="BodyText"/>
        <w:ind w:left="0"/>
        <w:jc w:val="both"/>
        <w:rPr>
          <w:rFonts w:asciiTheme="minorHAnsi" w:hAnsiTheme="minorHAnsi" w:cstheme="minorHAnsi"/>
          <w:szCs w:val="22"/>
        </w:rPr>
      </w:pPr>
      <w:r w:rsidRPr="007B69AA">
        <w:rPr>
          <w:rFonts w:asciiTheme="minorHAnsi" w:hAnsiTheme="minorHAnsi" w:cstheme="minorHAnsi"/>
          <w:szCs w:val="22"/>
        </w:rPr>
        <w:lastRenderedPageBreak/>
        <w:t xml:space="preserve">The short term &lt;365 days rating as defined by Standard &amp; </w:t>
      </w:r>
      <w:proofErr w:type="spellStart"/>
      <w:r w:rsidRPr="007B69AA">
        <w:rPr>
          <w:rFonts w:asciiTheme="minorHAnsi" w:hAnsiTheme="minorHAnsi" w:cstheme="minorHAnsi"/>
          <w:szCs w:val="22"/>
        </w:rPr>
        <w:t>Poors</w:t>
      </w:r>
      <w:proofErr w:type="spellEnd"/>
      <w:r w:rsidRPr="007B69AA">
        <w:rPr>
          <w:rFonts w:asciiTheme="minorHAnsi" w:hAnsiTheme="minorHAnsi" w:cstheme="minorHAnsi"/>
          <w:szCs w:val="22"/>
        </w:rPr>
        <w:t xml:space="preserve"> (or Fitch) is: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0"/>
        <w:gridCol w:w="7195"/>
      </w:tblGrid>
      <w:tr w:rsidR="009B4C1D" w:rsidRPr="007B69AA" w14:paraId="1F75B1C1" w14:textId="77777777" w:rsidTr="003D0790">
        <w:tc>
          <w:tcPr>
            <w:tcW w:w="1770" w:type="dxa"/>
          </w:tcPr>
          <w:p w14:paraId="169321ED" w14:textId="77777777" w:rsidR="009B4C1D" w:rsidRPr="007B69AA" w:rsidRDefault="009B4C1D" w:rsidP="003D0790">
            <w:pPr>
              <w:pStyle w:val="BodyText"/>
              <w:ind w:left="34"/>
              <w:rPr>
                <w:rFonts w:asciiTheme="minorHAnsi" w:hAnsiTheme="minorHAnsi" w:cstheme="minorHAnsi"/>
                <w:b/>
                <w:szCs w:val="22"/>
              </w:rPr>
            </w:pPr>
            <w:r w:rsidRPr="007B69AA">
              <w:rPr>
                <w:rFonts w:asciiTheme="minorHAnsi" w:hAnsiTheme="minorHAnsi" w:cstheme="minorHAnsi"/>
                <w:b/>
                <w:szCs w:val="22"/>
              </w:rPr>
              <w:t>A1+(F1+)</w:t>
            </w:r>
          </w:p>
        </w:tc>
        <w:tc>
          <w:tcPr>
            <w:tcW w:w="7364" w:type="dxa"/>
          </w:tcPr>
          <w:p w14:paraId="25894DAD" w14:textId="77777777" w:rsidR="009B4C1D" w:rsidRPr="007B69AA" w:rsidRDefault="009B4C1D" w:rsidP="003D0790">
            <w:pPr>
              <w:pStyle w:val="BodyText"/>
              <w:ind w:left="107"/>
              <w:rPr>
                <w:rFonts w:asciiTheme="minorHAnsi" w:hAnsiTheme="minorHAnsi" w:cstheme="minorHAnsi"/>
                <w:szCs w:val="22"/>
              </w:rPr>
            </w:pPr>
            <w:r w:rsidRPr="007B69AA">
              <w:rPr>
                <w:rFonts w:asciiTheme="minorHAnsi" w:hAnsiTheme="minorHAnsi" w:cstheme="minorHAnsi"/>
                <w:szCs w:val="22"/>
              </w:rPr>
              <w:t>Superior, extremely strong degree of safety for timely payment</w:t>
            </w:r>
          </w:p>
        </w:tc>
      </w:tr>
      <w:tr w:rsidR="009B4C1D" w:rsidRPr="007B69AA" w14:paraId="49D93453" w14:textId="77777777" w:rsidTr="003D0790">
        <w:tc>
          <w:tcPr>
            <w:tcW w:w="1770" w:type="dxa"/>
          </w:tcPr>
          <w:p w14:paraId="0130ECAB" w14:textId="77777777" w:rsidR="009B4C1D" w:rsidRPr="007B69AA" w:rsidRDefault="009B4C1D" w:rsidP="003D0790">
            <w:pPr>
              <w:pStyle w:val="BodyText"/>
              <w:ind w:left="34"/>
              <w:rPr>
                <w:rFonts w:asciiTheme="minorHAnsi" w:hAnsiTheme="minorHAnsi" w:cstheme="minorHAnsi"/>
                <w:b/>
                <w:szCs w:val="22"/>
              </w:rPr>
            </w:pPr>
            <w:r w:rsidRPr="007B69AA">
              <w:rPr>
                <w:rFonts w:asciiTheme="minorHAnsi" w:hAnsiTheme="minorHAnsi" w:cstheme="minorHAnsi"/>
                <w:b/>
                <w:szCs w:val="22"/>
              </w:rPr>
              <w:t>A1 (F1)</w:t>
            </w:r>
          </w:p>
        </w:tc>
        <w:tc>
          <w:tcPr>
            <w:tcW w:w="7364" w:type="dxa"/>
          </w:tcPr>
          <w:p w14:paraId="4CF40E66" w14:textId="77777777" w:rsidR="009B4C1D" w:rsidRPr="007B69AA" w:rsidRDefault="009B4C1D" w:rsidP="003D0790">
            <w:pPr>
              <w:pStyle w:val="BodyText"/>
              <w:ind w:left="107"/>
              <w:rPr>
                <w:rFonts w:asciiTheme="minorHAnsi" w:hAnsiTheme="minorHAnsi" w:cstheme="minorHAnsi"/>
                <w:szCs w:val="22"/>
              </w:rPr>
            </w:pPr>
            <w:r w:rsidRPr="007B69AA">
              <w:rPr>
                <w:rFonts w:asciiTheme="minorHAnsi" w:hAnsiTheme="minorHAnsi" w:cstheme="minorHAnsi"/>
                <w:szCs w:val="22"/>
              </w:rPr>
              <w:t xml:space="preserve">Superior, a strong degree of safety for timely payment </w:t>
            </w:r>
          </w:p>
        </w:tc>
      </w:tr>
      <w:tr w:rsidR="009B4C1D" w:rsidRPr="007B69AA" w14:paraId="3B836CFA" w14:textId="77777777" w:rsidTr="003D0790">
        <w:tc>
          <w:tcPr>
            <w:tcW w:w="1770" w:type="dxa"/>
          </w:tcPr>
          <w:p w14:paraId="2CB92E38" w14:textId="77777777" w:rsidR="009B4C1D" w:rsidRPr="007B69AA" w:rsidRDefault="009B4C1D" w:rsidP="003D0790">
            <w:pPr>
              <w:pStyle w:val="BodyText"/>
              <w:ind w:left="34"/>
              <w:rPr>
                <w:rFonts w:asciiTheme="minorHAnsi" w:hAnsiTheme="minorHAnsi" w:cstheme="minorHAnsi"/>
                <w:b/>
                <w:szCs w:val="22"/>
              </w:rPr>
            </w:pPr>
            <w:r w:rsidRPr="007B69AA">
              <w:rPr>
                <w:rFonts w:asciiTheme="minorHAnsi" w:hAnsiTheme="minorHAnsi" w:cstheme="minorHAnsi"/>
                <w:b/>
                <w:szCs w:val="22"/>
              </w:rPr>
              <w:t>A2 (F2)</w:t>
            </w:r>
          </w:p>
        </w:tc>
        <w:tc>
          <w:tcPr>
            <w:tcW w:w="7364" w:type="dxa"/>
          </w:tcPr>
          <w:p w14:paraId="572EDA8E" w14:textId="77777777" w:rsidR="009B4C1D" w:rsidRPr="007B69AA" w:rsidRDefault="009B4C1D" w:rsidP="003D0790">
            <w:pPr>
              <w:pStyle w:val="BodyText"/>
              <w:ind w:left="107"/>
              <w:rPr>
                <w:rFonts w:asciiTheme="minorHAnsi" w:hAnsiTheme="minorHAnsi" w:cstheme="minorHAnsi"/>
                <w:szCs w:val="22"/>
              </w:rPr>
            </w:pPr>
            <w:r w:rsidRPr="007B69AA">
              <w:rPr>
                <w:rFonts w:asciiTheme="minorHAnsi" w:hAnsiTheme="minorHAnsi" w:cstheme="minorHAnsi"/>
                <w:szCs w:val="22"/>
              </w:rPr>
              <w:t xml:space="preserve">Strong, a satisfactory capacity for timely payment </w:t>
            </w:r>
          </w:p>
        </w:tc>
      </w:tr>
    </w:tbl>
    <w:p w14:paraId="3BF8822C" w14:textId="77777777" w:rsidR="009B4C1D" w:rsidRPr="007B69AA" w:rsidRDefault="009B4C1D" w:rsidP="00D94B6C">
      <w:pPr>
        <w:pStyle w:val="BodyText"/>
        <w:spacing w:before="240"/>
        <w:ind w:left="0"/>
        <w:rPr>
          <w:rFonts w:asciiTheme="minorHAnsi" w:hAnsiTheme="minorHAnsi" w:cstheme="minorHAnsi"/>
          <w:szCs w:val="22"/>
        </w:rPr>
      </w:pPr>
      <w:r w:rsidRPr="007B69AA">
        <w:rPr>
          <w:rFonts w:asciiTheme="minorHAnsi" w:hAnsiTheme="minorHAnsi" w:cstheme="minorHAnsi"/>
          <w:szCs w:val="22"/>
        </w:rPr>
        <w:t xml:space="preserve">The long term ratings as defined by Standard &amp; </w:t>
      </w:r>
      <w:proofErr w:type="spellStart"/>
      <w:r w:rsidRPr="007B69AA">
        <w:rPr>
          <w:rFonts w:asciiTheme="minorHAnsi" w:hAnsiTheme="minorHAnsi" w:cstheme="minorHAnsi"/>
          <w:szCs w:val="22"/>
        </w:rPr>
        <w:t>Poors</w:t>
      </w:r>
      <w:proofErr w:type="spellEnd"/>
      <w:r w:rsidRPr="007B69AA">
        <w:rPr>
          <w:rFonts w:asciiTheme="minorHAnsi" w:hAnsiTheme="minorHAnsi" w:cstheme="minorHAnsi"/>
          <w:szCs w:val="22"/>
        </w:rPr>
        <w:t xml:space="preserve"> and Fitch is: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2"/>
        <w:gridCol w:w="7123"/>
      </w:tblGrid>
      <w:tr w:rsidR="009B4C1D" w:rsidRPr="007B69AA" w14:paraId="3D7B2684" w14:textId="77777777" w:rsidTr="003D0790">
        <w:tc>
          <w:tcPr>
            <w:tcW w:w="1843" w:type="dxa"/>
          </w:tcPr>
          <w:p w14:paraId="47A6932C" w14:textId="77777777" w:rsidR="009B4C1D" w:rsidRPr="007B69AA" w:rsidRDefault="009B4C1D" w:rsidP="003D0790">
            <w:pPr>
              <w:spacing w:line="240" w:lineRule="auto"/>
              <w:jc w:val="both"/>
              <w:rPr>
                <w:rFonts w:cstheme="minorHAnsi"/>
                <w:b/>
              </w:rPr>
            </w:pPr>
            <w:r w:rsidRPr="007B69AA">
              <w:rPr>
                <w:rFonts w:cstheme="minorHAnsi"/>
                <w:b/>
              </w:rPr>
              <w:t xml:space="preserve">AAA </w:t>
            </w:r>
          </w:p>
        </w:tc>
        <w:tc>
          <w:tcPr>
            <w:tcW w:w="7229" w:type="dxa"/>
          </w:tcPr>
          <w:p w14:paraId="5C68D9DF" w14:textId="77777777" w:rsidR="009B4C1D" w:rsidRPr="007B69AA" w:rsidRDefault="009B4C1D" w:rsidP="003D0790">
            <w:pPr>
              <w:spacing w:after="0" w:line="240" w:lineRule="auto"/>
              <w:jc w:val="both"/>
              <w:rPr>
                <w:rFonts w:cstheme="minorHAnsi"/>
              </w:rPr>
            </w:pPr>
            <w:r w:rsidRPr="007B69AA">
              <w:rPr>
                <w:rFonts w:cstheme="minorHAnsi"/>
              </w:rPr>
              <w:t>Highest quality, an extremely strong capacity to repay</w:t>
            </w:r>
          </w:p>
        </w:tc>
      </w:tr>
      <w:tr w:rsidR="009B4C1D" w:rsidRPr="007B69AA" w14:paraId="69D5FF20" w14:textId="77777777" w:rsidTr="003D0790">
        <w:trPr>
          <w:trHeight w:val="354"/>
        </w:trPr>
        <w:tc>
          <w:tcPr>
            <w:tcW w:w="1843" w:type="dxa"/>
          </w:tcPr>
          <w:p w14:paraId="38815C03" w14:textId="77777777" w:rsidR="009B4C1D" w:rsidRPr="007B69AA" w:rsidRDefault="009B4C1D" w:rsidP="003D0790">
            <w:pPr>
              <w:spacing w:line="240" w:lineRule="auto"/>
              <w:jc w:val="both"/>
              <w:rPr>
                <w:rFonts w:cstheme="minorHAnsi"/>
                <w:b/>
              </w:rPr>
            </w:pPr>
            <w:r w:rsidRPr="007B69AA">
              <w:rPr>
                <w:rFonts w:cstheme="minorHAnsi"/>
                <w:b/>
              </w:rPr>
              <w:t>AA+ to AA-</w:t>
            </w:r>
          </w:p>
        </w:tc>
        <w:tc>
          <w:tcPr>
            <w:tcW w:w="7229" w:type="dxa"/>
          </w:tcPr>
          <w:p w14:paraId="55B3B28F" w14:textId="77777777" w:rsidR="009B4C1D" w:rsidRPr="007B69AA" w:rsidRDefault="009B4C1D" w:rsidP="003D0790">
            <w:pPr>
              <w:spacing w:after="0" w:line="240" w:lineRule="auto"/>
              <w:jc w:val="both"/>
              <w:rPr>
                <w:rFonts w:cstheme="minorHAnsi"/>
              </w:rPr>
            </w:pPr>
            <w:r w:rsidRPr="007B69AA">
              <w:rPr>
                <w:rFonts w:cstheme="minorHAnsi"/>
              </w:rPr>
              <w:t>High quality, a very strong capacity to repay</w:t>
            </w:r>
          </w:p>
        </w:tc>
      </w:tr>
      <w:tr w:rsidR="009B4C1D" w:rsidRPr="007B69AA" w14:paraId="18CE88A4" w14:textId="77777777" w:rsidTr="003D0790">
        <w:trPr>
          <w:trHeight w:val="319"/>
        </w:trPr>
        <w:tc>
          <w:tcPr>
            <w:tcW w:w="1843" w:type="dxa"/>
          </w:tcPr>
          <w:p w14:paraId="51A94D09" w14:textId="77777777" w:rsidR="009B4C1D" w:rsidRPr="007B69AA" w:rsidRDefault="009B4C1D" w:rsidP="003D0790">
            <w:pPr>
              <w:spacing w:line="240" w:lineRule="auto"/>
              <w:jc w:val="both"/>
              <w:rPr>
                <w:rFonts w:cstheme="minorHAnsi"/>
                <w:b/>
              </w:rPr>
            </w:pPr>
            <w:r w:rsidRPr="007B69AA">
              <w:rPr>
                <w:rFonts w:cstheme="minorHAnsi"/>
                <w:b/>
              </w:rPr>
              <w:t>A+ to A-</w:t>
            </w:r>
          </w:p>
        </w:tc>
        <w:tc>
          <w:tcPr>
            <w:tcW w:w="7229" w:type="dxa"/>
          </w:tcPr>
          <w:p w14:paraId="66FD2703" w14:textId="77777777" w:rsidR="009B4C1D" w:rsidRPr="007B69AA" w:rsidRDefault="009B4C1D" w:rsidP="003D0790">
            <w:pPr>
              <w:spacing w:after="0" w:line="240" w:lineRule="auto"/>
              <w:jc w:val="both"/>
              <w:rPr>
                <w:rFonts w:cstheme="minorHAnsi"/>
              </w:rPr>
            </w:pPr>
            <w:r w:rsidRPr="007B69AA">
              <w:rPr>
                <w:rFonts w:cstheme="minorHAnsi"/>
              </w:rPr>
              <w:t>Above average quality, a strong capacity to repay</w:t>
            </w:r>
          </w:p>
        </w:tc>
      </w:tr>
    </w:tbl>
    <w:p w14:paraId="465CBA4B" w14:textId="77777777" w:rsidR="009B4C1D" w:rsidRPr="007B69AA" w:rsidRDefault="009B4C1D" w:rsidP="00D94B6C">
      <w:pPr>
        <w:ind w:left="1080" w:hanging="720"/>
        <w:jc w:val="both"/>
        <w:rPr>
          <w:rFonts w:cstheme="minorHAnsi"/>
        </w:rPr>
      </w:pPr>
    </w:p>
    <w:p w14:paraId="6E63AA5B" w14:textId="77777777" w:rsidR="009B4C1D" w:rsidRPr="007B69AA" w:rsidRDefault="009B4C1D" w:rsidP="00D94B6C">
      <w:pPr>
        <w:pStyle w:val="Default"/>
        <w:spacing w:after="120"/>
        <w:jc w:val="both"/>
        <w:rPr>
          <w:rFonts w:asciiTheme="minorHAnsi" w:hAnsiTheme="minorHAnsi" w:cstheme="minorHAnsi"/>
          <w:sz w:val="22"/>
          <w:szCs w:val="22"/>
        </w:rPr>
      </w:pPr>
    </w:p>
    <w:p w14:paraId="008B6078" w14:textId="77777777" w:rsidR="009B4C1D" w:rsidRPr="007B69AA" w:rsidRDefault="009B4C1D" w:rsidP="00D94B6C">
      <w:pPr>
        <w:pStyle w:val="Default"/>
        <w:spacing w:after="120"/>
        <w:jc w:val="both"/>
        <w:rPr>
          <w:rFonts w:asciiTheme="minorHAnsi" w:hAnsiTheme="minorHAnsi" w:cstheme="minorHAnsi"/>
          <w:sz w:val="22"/>
          <w:szCs w:val="22"/>
        </w:rPr>
      </w:pPr>
    </w:p>
    <w:tbl>
      <w:tblPr>
        <w:tblStyle w:val="TableGrid"/>
        <w:tblW w:w="0" w:type="auto"/>
        <w:tblInd w:w="108" w:type="dxa"/>
        <w:tblLook w:val="04A0" w:firstRow="1" w:lastRow="0" w:firstColumn="1" w:lastColumn="0" w:noHBand="0" w:noVBand="1"/>
      </w:tblPr>
      <w:tblGrid>
        <w:gridCol w:w="3088"/>
        <w:gridCol w:w="5857"/>
      </w:tblGrid>
      <w:tr w:rsidR="009B4C1D" w:rsidRPr="007B69AA" w14:paraId="756DF65C" w14:textId="77777777" w:rsidTr="003D0790">
        <w:tc>
          <w:tcPr>
            <w:tcW w:w="3119" w:type="dxa"/>
          </w:tcPr>
          <w:p w14:paraId="7E00955C" w14:textId="77777777" w:rsidR="009B4C1D" w:rsidRPr="007B69AA" w:rsidRDefault="009B4C1D" w:rsidP="00D94B6C">
            <w:pPr>
              <w:jc w:val="both"/>
              <w:rPr>
                <w:rFonts w:cstheme="minorHAnsi"/>
                <w:b/>
                <w:lang w:val="en-US"/>
              </w:rPr>
            </w:pPr>
            <w:r w:rsidRPr="007B69AA">
              <w:rPr>
                <w:rFonts w:cstheme="minorHAnsi"/>
                <w:b/>
                <w:lang w:val="en-US"/>
              </w:rPr>
              <w:t>Responsible Directorate:</w:t>
            </w:r>
          </w:p>
        </w:tc>
        <w:tc>
          <w:tcPr>
            <w:tcW w:w="6015" w:type="dxa"/>
          </w:tcPr>
          <w:p w14:paraId="776EEC58" w14:textId="77777777" w:rsidR="009B4C1D" w:rsidRPr="007B69AA" w:rsidRDefault="009B4C1D" w:rsidP="00D94B6C">
            <w:pPr>
              <w:jc w:val="both"/>
              <w:rPr>
                <w:rFonts w:cstheme="minorHAnsi"/>
                <w:lang w:val="en-US"/>
              </w:rPr>
            </w:pPr>
            <w:r>
              <w:rPr>
                <w:rFonts w:cstheme="minorHAnsi"/>
                <w:lang w:val="en-US"/>
              </w:rPr>
              <w:t>Corporate Services</w:t>
            </w:r>
          </w:p>
        </w:tc>
      </w:tr>
      <w:tr w:rsidR="009B4C1D" w:rsidRPr="007B69AA" w14:paraId="68ED1DCB" w14:textId="77777777" w:rsidTr="003D0790">
        <w:tc>
          <w:tcPr>
            <w:tcW w:w="3119" w:type="dxa"/>
          </w:tcPr>
          <w:p w14:paraId="16911425" w14:textId="77777777" w:rsidR="009B4C1D" w:rsidRPr="007B69AA" w:rsidRDefault="009B4C1D" w:rsidP="00D94B6C">
            <w:pPr>
              <w:jc w:val="both"/>
              <w:rPr>
                <w:rFonts w:cstheme="minorHAnsi"/>
                <w:b/>
                <w:lang w:val="en-US"/>
              </w:rPr>
            </w:pPr>
            <w:r w:rsidRPr="007B69AA">
              <w:rPr>
                <w:rFonts w:cstheme="minorHAnsi"/>
                <w:b/>
                <w:lang w:val="en-US"/>
              </w:rPr>
              <w:t>Reviewing Officer:</w:t>
            </w:r>
          </w:p>
        </w:tc>
        <w:tc>
          <w:tcPr>
            <w:tcW w:w="6015" w:type="dxa"/>
          </w:tcPr>
          <w:p w14:paraId="56BE987F" w14:textId="77777777" w:rsidR="009B4C1D" w:rsidRPr="007B69AA" w:rsidRDefault="009B4C1D" w:rsidP="00D94B6C">
            <w:pPr>
              <w:jc w:val="both"/>
              <w:rPr>
                <w:rFonts w:cstheme="minorHAnsi"/>
                <w:lang w:val="en-US"/>
              </w:rPr>
            </w:pPr>
            <w:r>
              <w:rPr>
                <w:rFonts w:cstheme="minorHAnsi"/>
                <w:lang w:val="en-US"/>
              </w:rPr>
              <w:t>Executive Manager Corporate Services</w:t>
            </w:r>
          </w:p>
        </w:tc>
      </w:tr>
      <w:tr w:rsidR="009B4C1D" w:rsidRPr="007B69AA" w14:paraId="685C07D2" w14:textId="77777777" w:rsidTr="003D0790">
        <w:tc>
          <w:tcPr>
            <w:tcW w:w="3119" w:type="dxa"/>
          </w:tcPr>
          <w:p w14:paraId="6B9CF6E5" w14:textId="77777777" w:rsidR="009B4C1D" w:rsidRPr="007B69AA" w:rsidRDefault="009B4C1D" w:rsidP="00D94B6C">
            <w:pPr>
              <w:jc w:val="both"/>
              <w:rPr>
                <w:rFonts w:cstheme="minorHAnsi"/>
                <w:b/>
                <w:lang w:val="en-US"/>
              </w:rPr>
            </w:pPr>
            <w:r w:rsidRPr="007B69AA">
              <w:rPr>
                <w:rFonts w:cstheme="minorHAnsi"/>
                <w:b/>
                <w:lang w:val="en-US"/>
              </w:rPr>
              <w:t>Decision making Authority:</w:t>
            </w:r>
          </w:p>
        </w:tc>
        <w:tc>
          <w:tcPr>
            <w:tcW w:w="6015" w:type="dxa"/>
          </w:tcPr>
          <w:p w14:paraId="7FB89C95" w14:textId="77777777" w:rsidR="009B4C1D" w:rsidRPr="007B69AA" w:rsidRDefault="009B4C1D" w:rsidP="00D94B6C">
            <w:pPr>
              <w:jc w:val="both"/>
              <w:rPr>
                <w:rFonts w:cstheme="minorHAnsi"/>
                <w:lang w:val="en-US"/>
              </w:rPr>
            </w:pPr>
            <w:r w:rsidRPr="007B69AA">
              <w:rPr>
                <w:rFonts w:cstheme="minorHAnsi"/>
                <w:lang w:val="en-US"/>
              </w:rPr>
              <w:t>Council</w:t>
            </w:r>
          </w:p>
        </w:tc>
      </w:tr>
      <w:tr w:rsidR="009B4C1D" w:rsidRPr="007B69AA" w14:paraId="3A60636E" w14:textId="77777777" w:rsidTr="003D0790">
        <w:tc>
          <w:tcPr>
            <w:tcW w:w="3119" w:type="dxa"/>
          </w:tcPr>
          <w:p w14:paraId="2DA501B2" w14:textId="77777777" w:rsidR="009B4C1D" w:rsidRPr="007B69AA" w:rsidRDefault="009B4C1D" w:rsidP="00D94B6C">
            <w:pPr>
              <w:jc w:val="both"/>
              <w:rPr>
                <w:rFonts w:cstheme="minorHAnsi"/>
                <w:b/>
                <w:lang w:val="en-US"/>
              </w:rPr>
            </w:pPr>
            <w:r w:rsidRPr="007B69AA">
              <w:rPr>
                <w:rFonts w:cstheme="minorHAnsi"/>
                <w:b/>
                <w:lang w:val="en-US"/>
              </w:rPr>
              <w:t>Policy Adopted:</w:t>
            </w:r>
          </w:p>
        </w:tc>
        <w:tc>
          <w:tcPr>
            <w:tcW w:w="6015" w:type="dxa"/>
          </w:tcPr>
          <w:p w14:paraId="2E3ECD8D" w14:textId="77777777" w:rsidR="009B4C1D" w:rsidRPr="007B69AA" w:rsidRDefault="009B4C1D" w:rsidP="00D94B6C">
            <w:pPr>
              <w:jc w:val="both"/>
              <w:rPr>
                <w:rFonts w:cstheme="minorHAnsi"/>
                <w:lang w:val="en-US"/>
              </w:rPr>
            </w:pPr>
            <w:r w:rsidRPr="007B69AA">
              <w:rPr>
                <w:rFonts w:cstheme="minorHAnsi"/>
                <w:lang w:val="en-US"/>
              </w:rPr>
              <w:t>21</w:t>
            </w:r>
            <w:r>
              <w:rPr>
                <w:rFonts w:cstheme="minorHAnsi"/>
                <w:lang w:val="en-US"/>
              </w:rPr>
              <w:t>/06/16</w:t>
            </w:r>
          </w:p>
        </w:tc>
      </w:tr>
      <w:tr w:rsidR="009B4C1D" w:rsidRPr="007B69AA" w14:paraId="61BE72E6" w14:textId="77777777" w:rsidTr="003D0790">
        <w:tc>
          <w:tcPr>
            <w:tcW w:w="3119" w:type="dxa"/>
          </w:tcPr>
          <w:p w14:paraId="1ED33832" w14:textId="77777777" w:rsidR="009B4C1D" w:rsidRPr="007B69AA" w:rsidRDefault="009B4C1D" w:rsidP="00D94B6C">
            <w:pPr>
              <w:jc w:val="both"/>
              <w:rPr>
                <w:rFonts w:cstheme="minorHAnsi"/>
                <w:b/>
                <w:lang w:val="en-US"/>
              </w:rPr>
            </w:pPr>
            <w:r w:rsidRPr="007B69AA">
              <w:rPr>
                <w:rFonts w:cstheme="minorHAnsi"/>
                <w:b/>
                <w:lang w:val="en-US"/>
              </w:rPr>
              <w:t>Policy Amended</w:t>
            </w:r>
            <w:r>
              <w:rPr>
                <w:rFonts w:cstheme="minorHAnsi"/>
                <w:b/>
                <w:lang w:val="en-US"/>
              </w:rPr>
              <w:t>/Reviewed</w:t>
            </w:r>
            <w:r w:rsidRPr="007B69AA">
              <w:rPr>
                <w:rFonts w:cstheme="minorHAnsi"/>
                <w:b/>
                <w:lang w:val="en-US"/>
              </w:rPr>
              <w:t>:</w:t>
            </w:r>
          </w:p>
        </w:tc>
        <w:tc>
          <w:tcPr>
            <w:tcW w:w="6015" w:type="dxa"/>
          </w:tcPr>
          <w:p w14:paraId="281FA9B6" w14:textId="77777777" w:rsidR="009B4C1D" w:rsidRPr="007B69AA" w:rsidRDefault="009B4C1D" w:rsidP="00D94B6C">
            <w:pPr>
              <w:jc w:val="both"/>
              <w:rPr>
                <w:rFonts w:cstheme="minorHAnsi"/>
                <w:lang w:val="en-US"/>
              </w:rPr>
            </w:pPr>
            <w:r>
              <w:rPr>
                <w:rFonts w:cstheme="minorHAnsi"/>
                <w:lang w:val="en-US"/>
              </w:rPr>
              <w:t>17/9/19, 17/3/20, 15/3/22, 9/12/25</w:t>
            </w:r>
          </w:p>
        </w:tc>
      </w:tr>
      <w:tr w:rsidR="009B4C1D" w:rsidRPr="007B69AA" w14:paraId="0DDCBB86" w14:textId="77777777" w:rsidTr="003D0790">
        <w:tc>
          <w:tcPr>
            <w:tcW w:w="3119" w:type="dxa"/>
          </w:tcPr>
          <w:p w14:paraId="624ABBD7" w14:textId="77777777" w:rsidR="009B4C1D" w:rsidRPr="007B69AA" w:rsidRDefault="009B4C1D" w:rsidP="00D94B6C">
            <w:pPr>
              <w:jc w:val="both"/>
              <w:rPr>
                <w:rFonts w:cstheme="minorHAnsi"/>
                <w:b/>
                <w:lang w:val="en-US"/>
              </w:rPr>
            </w:pPr>
            <w:r>
              <w:rPr>
                <w:rFonts w:cstheme="minorHAnsi"/>
                <w:b/>
                <w:lang w:val="en-US"/>
              </w:rPr>
              <w:t>Former Policy No</w:t>
            </w:r>
            <w:r w:rsidRPr="007B69AA">
              <w:rPr>
                <w:rFonts w:cstheme="minorHAnsi"/>
                <w:b/>
                <w:lang w:val="en-US"/>
              </w:rPr>
              <w:t>:</w:t>
            </w:r>
          </w:p>
        </w:tc>
        <w:tc>
          <w:tcPr>
            <w:tcW w:w="6015" w:type="dxa"/>
          </w:tcPr>
          <w:p w14:paraId="68152296" w14:textId="77777777" w:rsidR="009B4C1D" w:rsidRPr="007B69AA" w:rsidRDefault="009B4C1D" w:rsidP="00D94B6C">
            <w:pPr>
              <w:jc w:val="both"/>
              <w:rPr>
                <w:rFonts w:cstheme="minorHAnsi"/>
                <w:lang w:val="en-US"/>
              </w:rPr>
            </w:pPr>
            <w:r>
              <w:rPr>
                <w:rFonts w:cstheme="minorHAnsi"/>
                <w:lang w:val="en-US"/>
              </w:rPr>
              <w:t>4.2.3</w:t>
            </w:r>
          </w:p>
        </w:tc>
      </w:tr>
    </w:tbl>
    <w:p w14:paraId="6812ADCA" w14:textId="77777777" w:rsidR="009B4C1D" w:rsidRPr="007B69AA" w:rsidRDefault="009B4C1D" w:rsidP="00D94B6C">
      <w:pPr>
        <w:jc w:val="both"/>
        <w:rPr>
          <w:rFonts w:cstheme="minorHAnsi"/>
          <w:lang w:val="en-US"/>
        </w:rPr>
      </w:pPr>
    </w:p>
    <w:p w14:paraId="2FA1FB5F" w14:textId="77777777" w:rsidR="009B4C1D" w:rsidRPr="00D56721" w:rsidRDefault="009B4C1D" w:rsidP="00D94B6C">
      <w:pPr>
        <w:jc w:val="both"/>
        <w:rPr>
          <w:rFonts w:cstheme="minorHAnsi"/>
          <w:lang w:val="en-US"/>
        </w:rPr>
      </w:pPr>
    </w:p>
    <w:p w14:paraId="74352EF2" w14:textId="77777777" w:rsidR="009B4C1D" w:rsidRDefault="009B4C1D"/>
    <w:p w14:paraId="09E4F08A" w14:textId="77777777" w:rsidR="00A60D11" w:rsidRPr="00045DC5" w:rsidRDefault="00A60D11" w:rsidP="00A60D11">
      <w:pPr>
        <w:pStyle w:val="Title"/>
        <w:pBdr>
          <w:bottom w:val="none" w:sz="0" w:space="0" w:color="auto"/>
        </w:pBdr>
        <w:spacing w:before="240" w:after="240"/>
        <w:rPr>
          <w:rFonts w:ascii="Arial" w:hAnsi="Arial" w:cs="Arial"/>
          <w:b/>
          <w:sz w:val="16"/>
          <w:szCs w:val="28"/>
          <w:lang w:val="en-US"/>
        </w:rPr>
      </w:pPr>
    </w:p>
    <w:p w14:paraId="3ED5C89F" w14:textId="77777777" w:rsidR="003369A9" w:rsidRDefault="003369A9" w:rsidP="00206BFD">
      <w:pPr>
        <w:pStyle w:val="Policy3"/>
      </w:pPr>
      <w:bookmarkStart w:id="145" w:name="_Toc14942630"/>
    </w:p>
    <w:bookmarkEnd w:id="145"/>
    <w:p w14:paraId="528ED589" w14:textId="77777777" w:rsidR="006B1124" w:rsidRDefault="006B1124">
      <w:pPr>
        <w:rPr>
          <w:rFonts w:cstheme="minorHAnsi"/>
          <w:lang w:val="en-US"/>
        </w:rPr>
      </w:pPr>
      <w:r>
        <w:rPr>
          <w:rFonts w:cstheme="minorHAnsi"/>
          <w:lang w:val="en-US"/>
        </w:rPr>
        <w:br w:type="page"/>
      </w:r>
    </w:p>
    <w:p w14:paraId="3812FD63" w14:textId="77777777" w:rsidR="00E237B8" w:rsidRDefault="00E237B8" w:rsidP="00E237B8">
      <w:pPr>
        <w:pStyle w:val="BodyText"/>
        <w:ind w:left="5920"/>
        <w:rPr>
          <w:rFonts w:ascii="Times New Roman"/>
          <w:sz w:val="20"/>
        </w:rPr>
      </w:pPr>
      <w:r>
        <w:rPr>
          <w:rFonts w:ascii="Times New Roman"/>
          <w:noProof/>
          <w:sz w:val="20"/>
        </w:rPr>
        <w:lastRenderedPageBreak/>
        <w:drawing>
          <wp:inline distT="0" distB="0" distL="0" distR="0" wp14:anchorId="459FAA79" wp14:editId="5E712CB4">
            <wp:extent cx="1655413" cy="603503"/>
            <wp:effectExtent l="0" t="0" r="0" b="0"/>
            <wp:docPr id="1411257692" name="Image 1" descr="A logo with text on i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1257692" name="Image 1" descr="A logo with text on it&#10;&#10;AI-generated content may be incorrect."/>
                    <pic:cNvPicPr/>
                  </pic:nvPicPr>
                  <pic:blipFill>
                    <a:blip r:embed="rId56" cstate="print"/>
                    <a:stretch>
                      <a:fillRect/>
                    </a:stretch>
                  </pic:blipFill>
                  <pic:spPr>
                    <a:xfrm>
                      <a:off x="0" y="0"/>
                      <a:ext cx="1655413" cy="603503"/>
                    </a:xfrm>
                    <a:prstGeom prst="rect">
                      <a:avLst/>
                    </a:prstGeom>
                  </pic:spPr>
                </pic:pic>
              </a:graphicData>
            </a:graphic>
          </wp:inline>
        </w:drawing>
      </w:r>
    </w:p>
    <w:p w14:paraId="4B8F8805" w14:textId="77777777" w:rsidR="00E237B8" w:rsidRDefault="00E237B8" w:rsidP="007B3B6F">
      <w:pPr>
        <w:pStyle w:val="ListParagraph"/>
        <w:widowControl w:val="0"/>
        <w:numPr>
          <w:ilvl w:val="2"/>
          <w:numId w:val="547"/>
        </w:numPr>
        <w:tabs>
          <w:tab w:val="left" w:pos="1113"/>
        </w:tabs>
        <w:autoSpaceDE w:val="0"/>
        <w:autoSpaceDN w:val="0"/>
        <w:spacing w:before="111" w:after="0" w:line="240" w:lineRule="auto"/>
        <w:ind w:hanging="991"/>
        <w:contextualSpacing w:val="0"/>
        <w:rPr>
          <w:b/>
          <w:sz w:val="28"/>
        </w:rPr>
      </w:pPr>
      <w:r>
        <w:rPr>
          <w:b/>
          <w:color w:val="17365D"/>
          <w:spacing w:val="-2"/>
          <w:sz w:val="28"/>
        </w:rPr>
        <w:t>Purchasing</w:t>
      </w:r>
    </w:p>
    <w:p w14:paraId="5C62057A" w14:textId="77777777" w:rsidR="00E237B8" w:rsidRDefault="00E237B8" w:rsidP="00E237B8">
      <w:pPr>
        <w:pStyle w:val="BodyText"/>
        <w:spacing w:before="10"/>
        <w:ind w:left="0"/>
        <w:rPr>
          <w:b/>
          <w:sz w:val="19"/>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2"/>
        <w:gridCol w:w="5999"/>
      </w:tblGrid>
      <w:tr w:rsidR="00E237B8" w:rsidRPr="00A2715C" w14:paraId="1B0E7E3A" w14:textId="77777777" w:rsidTr="009C0390">
        <w:trPr>
          <w:trHeight w:val="309"/>
        </w:trPr>
        <w:tc>
          <w:tcPr>
            <w:tcW w:w="3022" w:type="dxa"/>
          </w:tcPr>
          <w:p w14:paraId="3778F51C" w14:textId="77777777" w:rsidR="00E237B8" w:rsidRPr="00A2715C" w:rsidRDefault="00E237B8" w:rsidP="009C0390">
            <w:pPr>
              <w:pStyle w:val="TableParagraph"/>
              <w:spacing w:before="6"/>
              <w:ind w:left="156"/>
              <w:rPr>
                <w:rFonts w:asciiTheme="minorHAnsi" w:hAnsiTheme="minorHAnsi" w:cstheme="minorHAnsi"/>
                <w:b/>
              </w:rPr>
            </w:pPr>
            <w:r w:rsidRPr="00A2715C">
              <w:rPr>
                <w:rFonts w:asciiTheme="minorHAnsi" w:hAnsiTheme="minorHAnsi" w:cstheme="minorHAnsi"/>
                <w:b/>
                <w:spacing w:val="-2"/>
              </w:rPr>
              <w:t>Type:</w:t>
            </w:r>
          </w:p>
        </w:tc>
        <w:tc>
          <w:tcPr>
            <w:tcW w:w="5999" w:type="dxa"/>
          </w:tcPr>
          <w:p w14:paraId="365FFA34" w14:textId="77777777" w:rsidR="00E237B8" w:rsidRPr="00A2715C" w:rsidRDefault="00E237B8" w:rsidP="009C0390">
            <w:pPr>
              <w:pStyle w:val="TableParagraph"/>
              <w:spacing w:before="6"/>
              <w:ind w:left="117"/>
              <w:rPr>
                <w:rFonts w:asciiTheme="minorHAnsi" w:hAnsiTheme="minorHAnsi" w:cstheme="minorHAnsi"/>
              </w:rPr>
            </w:pPr>
            <w:r w:rsidRPr="00A2715C">
              <w:rPr>
                <w:rFonts w:asciiTheme="minorHAnsi" w:hAnsiTheme="minorHAnsi" w:cstheme="minorHAnsi"/>
              </w:rPr>
              <w:t>Corporate</w:t>
            </w:r>
            <w:r w:rsidRPr="00A2715C">
              <w:rPr>
                <w:rFonts w:asciiTheme="minorHAnsi" w:hAnsiTheme="minorHAnsi" w:cstheme="minorHAnsi"/>
                <w:spacing w:val="-6"/>
              </w:rPr>
              <w:t xml:space="preserve"> </w:t>
            </w:r>
            <w:r w:rsidRPr="00A2715C">
              <w:rPr>
                <w:rFonts w:asciiTheme="minorHAnsi" w:hAnsiTheme="minorHAnsi" w:cstheme="minorHAnsi"/>
              </w:rPr>
              <w:t>Services</w:t>
            </w:r>
            <w:r w:rsidRPr="00A2715C">
              <w:rPr>
                <w:rFonts w:asciiTheme="minorHAnsi" w:hAnsiTheme="minorHAnsi" w:cstheme="minorHAnsi"/>
                <w:spacing w:val="-8"/>
              </w:rPr>
              <w:t xml:space="preserve"> </w:t>
            </w:r>
            <w:r w:rsidRPr="00A2715C">
              <w:rPr>
                <w:rFonts w:asciiTheme="minorHAnsi" w:hAnsiTheme="minorHAnsi" w:cstheme="minorHAnsi"/>
              </w:rPr>
              <w:t>–</w:t>
            </w:r>
            <w:r w:rsidRPr="00A2715C">
              <w:rPr>
                <w:rFonts w:asciiTheme="minorHAnsi" w:hAnsiTheme="minorHAnsi" w:cstheme="minorHAnsi"/>
                <w:spacing w:val="-4"/>
              </w:rPr>
              <w:t xml:space="preserve"> </w:t>
            </w:r>
            <w:r w:rsidRPr="00A2715C">
              <w:rPr>
                <w:rFonts w:asciiTheme="minorHAnsi" w:hAnsiTheme="minorHAnsi" w:cstheme="minorHAnsi"/>
              </w:rPr>
              <w:t>Financial</w:t>
            </w:r>
            <w:r w:rsidRPr="00A2715C">
              <w:rPr>
                <w:rFonts w:asciiTheme="minorHAnsi" w:hAnsiTheme="minorHAnsi" w:cstheme="minorHAnsi"/>
                <w:spacing w:val="-7"/>
              </w:rPr>
              <w:t xml:space="preserve"> </w:t>
            </w:r>
            <w:r w:rsidRPr="00A2715C">
              <w:rPr>
                <w:rFonts w:asciiTheme="minorHAnsi" w:hAnsiTheme="minorHAnsi" w:cstheme="minorHAnsi"/>
                <w:spacing w:val="-2"/>
              </w:rPr>
              <w:t>Management</w:t>
            </w:r>
          </w:p>
        </w:tc>
      </w:tr>
      <w:tr w:rsidR="00E237B8" w:rsidRPr="00A2715C" w14:paraId="5C9C9B44" w14:textId="77777777" w:rsidTr="009C0390">
        <w:trPr>
          <w:trHeight w:val="613"/>
        </w:trPr>
        <w:tc>
          <w:tcPr>
            <w:tcW w:w="3022" w:type="dxa"/>
          </w:tcPr>
          <w:p w14:paraId="160D28AD" w14:textId="77777777" w:rsidR="00E237B8" w:rsidRPr="00A2715C" w:rsidRDefault="00E237B8" w:rsidP="009C0390">
            <w:pPr>
              <w:pStyle w:val="TableParagraph"/>
              <w:spacing w:before="4"/>
              <w:ind w:left="156"/>
              <w:rPr>
                <w:rFonts w:asciiTheme="minorHAnsi" w:hAnsiTheme="minorHAnsi" w:cstheme="minorHAnsi"/>
                <w:b/>
              </w:rPr>
            </w:pPr>
            <w:r w:rsidRPr="00A2715C">
              <w:rPr>
                <w:rFonts w:asciiTheme="minorHAnsi" w:hAnsiTheme="minorHAnsi" w:cstheme="minorHAnsi"/>
                <w:b/>
                <w:spacing w:val="-2"/>
              </w:rPr>
              <w:t>Legislation:</w:t>
            </w:r>
          </w:p>
        </w:tc>
        <w:tc>
          <w:tcPr>
            <w:tcW w:w="5999" w:type="dxa"/>
          </w:tcPr>
          <w:p w14:paraId="11DE31C4" w14:textId="77777777" w:rsidR="00E237B8" w:rsidRPr="00A2715C" w:rsidRDefault="00E237B8" w:rsidP="009C0390">
            <w:pPr>
              <w:pStyle w:val="TableParagraph"/>
              <w:spacing w:before="4"/>
              <w:ind w:left="117"/>
              <w:rPr>
                <w:rFonts w:asciiTheme="minorHAnsi" w:hAnsiTheme="minorHAnsi" w:cstheme="minorHAnsi"/>
              </w:rPr>
            </w:pPr>
            <w:r w:rsidRPr="00A2715C">
              <w:rPr>
                <w:rFonts w:asciiTheme="minorHAnsi" w:hAnsiTheme="minorHAnsi" w:cstheme="minorHAnsi"/>
              </w:rPr>
              <w:t>Local</w:t>
            </w:r>
            <w:r w:rsidRPr="00A2715C">
              <w:rPr>
                <w:rFonts w:asciiTheme="minorHAnsi" w:hAnsiTheme="minorHAnsi" w:cstheme="minorHAnsi"/>
                <w:spacing w:val="-12"/>
              </w:rPr>
              <w:t xml:space="preserve"> </w:t>
            </w:r>
            <w:r w:rsidRPr="00A2715C">
              <w:rPr>
                <w:rFonts w:asciiTheme="minorHAnsi" w:hAnsiTheme="minorHAnsi" w:cstheme="minorHAnsi"/>
              </w:rPr>
              <w:t>Government</w:t>
            </w:r>
            <w:r w:rsidRPr="00A2715C">
              <w:rPr>
                <w:rFonts w:asciiTheme="minorHAnsi" w:hAnsiTheme="minorHAnsi" w:cstheme="minorHAnsi"/>
                <w:spacing w:val="-5"/>
              </w:rPr>
              <w:t xml:space="preserve"> </w:t>
            </w:r>
            <w:r w:rsidRPr="00A2715C">
              <w:rPr>
                <w:rFonts w:asciiTheme="minorHAnsi" w:hAnsiTheme="minorHAnsi" w:cstheme="minorHAnsi"/>
              </w:rPr>
              <w:t>Act</w:t>
            </w:r>
            <w:r w:rsidRPr="00A2715C">
              <w:rPr>
                <w:rFonts w:asciiTheme="minorHAnsi" w:hAnsiTheme="minorHAnsi" w:cstheme="minorHAnsi"/>
                <w:spacing w:val="-5"/>
              </w:rPr>
              <w:t xml:space="preserve"> </w:t>
            </w:r>
            <w:r w:rsidRPr="00A2715C">
              <w:rPr>
                <w:rFonts w:asciiTheme="minorHAnsi" w:hAnsiTheme="minorHAnsi" w:cstheme="minorHAnsi"/>
                <w:spacing w:val="-4"/>
              </w:rPr>
              <w:t>1995</w:t>
            </w:r>
          </w:p>
          <w:p w14:paraId="1427F988" w14:textId="77777777" w:rsidR="00E237B8" w:rsidRPr="00A2715C" w:rsidRDefault="00E237B8" w:rsidP="009C0390">
            <w:pPr>
              <w:pStyle w:val="TableParagraph"/>
              <w:spacing w:before="33"/>
              <w:ind w:left="117"/>
              <w:rPr>
                <w:rFonts w:asciiTheme="minorHAnsi" w:hAnsiTheme="minorHAnsi" w:cstheme="minorHAnsi"/>
              </w:rPr>
            </w:pPr>
            <w:r w:rsidRPr="00A2715C">
              <w:rPr>
                <w:rFonts w:asciiTheme="minorHAnsi" w:hAnsiTheme="minorHAnsi" w:cstheme="minorHAnsi"/>
              </w:rPr>
              <w:t>Local</w:t>
            </w:r>
            <w:r w:rsidRPr="00A2715C">
              <w:rPr>
                <w:rFonts w:asciiTheme="minorHAnsi" w:hAnsiTheme="minorHAnsi" w:cstheme="minorHAnsi"/>
                <w:spacing w:val="-12"/>
              </w:rPr>
              <w:t xml:space="preserve"> </w:t>
            </w:r>
            <w:r w:rsidRPr="00A2715C">
              <w:rPr>
                <w:rFonts w:asciiTheme="minorHAnsi" w:hAnsiTheme="minorHAnsi" w:cstheme="minorHAnsi"/>
              </w:rPr>
              <w:t>Government</w:t>
            </w:r>
            <w:r w:rsidRPr="00A2715C">
              <w:rPr>
                <w:rFonts w:asciiTheme="minorHAnsi" w:hAnsiTheme="minorHAnsi" w:cstheme="minorHAnsi"/>
                <w:spacing w:val="-7"/>
              </w:rPr>
              <w:t xml:space="preserve"> </w:t>
            </w:r>
            <w:r w:rsidRPr="00A2715C">
              <w:rPr>
                <w:rFonts w:asciiTheme="minorHAnsi" w:hAnsiTheme="minorHAnsi" w:cstheme="minorHAnsi"/>
              </w:rPr>
              <w:t>(Functions</w:t>
            </w:r>
            <w:r w:rsidRPr="00A2715C">
              <w:rPr>
                <w:rFonts w:asciiTheme="minorHAnsi" w:hAnsiTheme="minorHAnsi" w:cstheme="minorHAnsi"/>
                <w:spacing w:val="-5"/>
              </w:rPr>
              <w:t xml:space="preserve"> </w:t>
            </w:r>
            <w:r w:rsidRPr="00A2715C">
              <w:rPr>
                <w:rFonts w:asciiTheme="minorHAnsi" w:hAnsiTheme="minorHAnsi" w:cstheme="minorHAnsi"/>
              </w:rPr>
              <w:t>and</w:t>
            </w:r>
            <w:r w:rsidRPr="00A2715C">
              <w:rPr>
                <w:rFonts w:asciiTheme="minorHAnsi" w:hAnsiTheme="minorHAnsi" w:cstheme="minorHAnsi"/>
                <w:spacing w:val="-8"/>
              </w:rPr>
              <w:t xml:space="preserve"> </w:t>
            </w:r>
            <w:r w:rsidRPr="00A2715C">
              <w:rPr>
                <w:rFonts w:asciiTheme="minorHAnsi" w:hAnsiTheme="minorHAnsi" w:cstheme="minorHAnsi"/>
              </w:rPr>
              <w:t>General)</w:t>
            </w:r>
            <w:r w:rsidRPr="00A2715C">
              <w:rPr>
                <w:rFonts w:asciiTheme="minorHAnsi" w:hAnsiTheme="minorHAnsi" w:cstheme="minorHAnsi"/>
                <w:spacing w:val="-8"/>
              </w:rPr>
              <w:t xml:space="preserve"> </w:t>
            </w:r>
            <w:r w:rsidRPr="00A2715C">
              <w:rPr>
                <w:rFonts w:asciiTheme="minorHAnsi" w:hAnsiTheme="minorHAnsi" w:cstheme="minorHAnsi"/>
              </w:rPr>
              <w:t>Regulations</w:t>
            </w:r>
            <w:r w:rsidRPr="00A2715C">
              <w:rPr>
                <w:rFonts w:asciiTheme="minorHAnsi" w:hAnsiTheme="minorHAnsi" w:cstheme="minorHAnsi"/>
                <w:spacing w:val="-5"/>
              </w:rPr>
              <w:t xml:space="preserve"> </w:t>
            </w:r>
            <w:r w:rsidRPr="00A2715C">
              <w:rPr>
                <w:rFonts w:asciiTheme="minorHAnsi" w:hAnsiTheme="minorHAnsi" w:cstheme="minorHAnsi"/>
                <w:spacing w:val="-4"/>
              </w:rPr>
              <w:t>1996</w:t>
            </w:r>
          </w:p>
        </w:tc>
      </w:tr>
      <w:tr w:rsidR="00E237B8" w:rsidRPr="00A2715C" w14:paraId="2B632C22" w14:textId="77777777" w:rsidTr="009C0390">
        <w:trPr>
          <w:trHeight w:val="270"/>
        </w:trPr>
        <w:tc>
          <w:tcPr>
            <w:tcW w:w="3022" w:type="dxa"/>
          </w:tcPr>
          <w:p w14:paraId="7EFD56C4" w14:textId="77777777" w:rsidR="00E237B8" w:rsidRPr="00A2715C" w:rsidRDefault="00E237B8" w:rsidP="009C0390">
            <w:pPr>
              <w:pStyle w:val="TableParagraph"/>
              <w:spacing w:before="1" w:line="249" w:lineRule="exact"/>
              <w:ind w:left="156"/>
              <w:rPr>
                <w:rFonts w:asciiTheme="minorHAnsi" w:hAnsiTheme="minorHAnsi" w:cstheme="minorHAnsi"/>
                <w:b/>
              </w:rPr>
            </w:pPr>
            <w:r w:rsidRPr="00A2715C">
              <w:rPr>
                <w:rFonts w:asciiTheme="minorHAnsi" w:hAnsiTheme="minorHAnsi" w:cstheme="minorHAnsi"/>
                <w:b/>
                <w:spacing w:val="-2"/>
              </w:rPr>
              <w:t>Delegation:</w:t>
            </w:r>
          </w:p>
        </w:tc>
        <w:tc>
          <w:tcPr>
            <w:tcW w:w="5999" w:type="dxa"/>
          </w:tcPr>
          <w:p w14:paraId="57F69FF4" w14:textId="77777777" w:rsidR="00E237B8" w:rsidRPr="00A2715C" w:rsidRDefault="00E237B8" w:rsidP="009C0390">
            <w:pPr>
              <w:pStyle w:val="TableParagraph"/>
              <w:spacing w:before="1" w:line="249" w:lineRule="exact"/>
              <w:ind w:left="117"/>
              <w:rPr>
                <w:rFonts w:asciiTheme="minorHAnsi" w:hAnsiTheme="minorHAnsi" w:cstheme="minorHAnsi"/>
              </w:rPr>
            </w:pPr>
            <w:r w:rsidRPr="00A2715C">
              <w:rPr>
                <w:rFonts w:asciiTheme="minorHAnsi" w:hAnsiTheme="minorHAnsi" w:cstheme="minorHAnsi"/>
              </w:rPr>
              <w:t>DA35</w:t>
            </w:r>
            <w:r w:rsidRPr="00A2715C">
              <w:rPr>
                <w:rFonts w:asciiTheme="minorHAnsi" w:hAnsiTheme="minorHAnsi" w:cstheme="minorHAnsi"/>
                <w:spacing w:val="-7"/>
              </w:rPr>
              <w:t xml:space="preserve"> </w:t>
            </w:r>
            <w:r w:rsidRPr="00A2715C">
              <w:rPr>
                <w:rFonts w:asciiTheme="minorHAnsi" w:hAnsiTheme="minorHAnsi" w:cstheme="minorHAnsi"/>
              </w:rPr>
              <w:t>Ordering</w:t>
            </w:r>
            <w:r w:rsidRPr="00A2715C">
              <w:rPr>
                <w:rFonts w:asciiTheme="minorHAnsi" w:hAnsiTheme="minorHAnsi" w:cstheme="minorHAnsi"/>
                <w:spacing w:val="-6"/>
              </w:rPr>
              <w:t xml:space="preserve"> </w:t>
            </w:r>
            <w:r w:rsidRPr="00A2715C">
              <w:rPr>
                <w:rFonts w:asciiTheme="minorHAnsi" w:hAnsiTheme="minorHAnsi" w:cstheme="minorHAnsi"/>
                <w:spacing w:val="-2"/>
              </w:rPr>
              <w:t>Thresholds</w:t>
            </w:r>
          </w:p>
        </w:tc>
      </w:tr>
      <w:tr w:rsidR="00E237B8" w:rsidRPr="00A2715C" w14:paraId="2FA8935B" w14:textId="77777777" w:rsidTr="009C0390">
        <w:trPr>
          <w:trHeight w:val="309"/>
        </w:trPr>
        <w:tc>
          <w:tcPr>
            <w:tcW w:w="3022" w:type="dxa"/>
          </w:tcPr>
          <w:p w14:paraId="16A0DBB0" w14:textId="77777777" w:rsidR="00E237B8" w:rsidRPr="00A2715C" w:rsidRDefault="00E237B8" w:rsidP="009C0390">
            <w:pPr>
              <w:pStyle w:val="TableParagraph"/>
              <w:spacing w:before="6"/>
              <w:ind w:left="156"/>
              <w:rPr>
                <w:rFonts w:asciiTheme="minorHAnsi" w:hAnsiTheme="minorHAnsi" w:cstheme="minorHAnsi"/>
                <w:b/>
              </w:rPr>
            </w:pPr>
            <w:r w:rsidRPr="00A2715C">
              <w:rPr>
                <w:rFonts w:asciiTheme="minorHAnsi" w:hAnsiTheme="minorHAnsi" w:cstheme="minorHAnsi"/>
                <w:b/>
              </w:rPr>
              <w:t>Other</w:t>
            </w:r>
            <w:r w:rsidRPr="00A2715C">
              <w:rPr>
                <w:rFonts w:asciiTheme="minorHAnsi" w:hAnsiTheme="minorHAnsi" w:cstheme="minorHAnsi"/>
                <w:b/>
                <w:spacing w:val="-4"/>
              </w:rPr>
              <w:t xml:space="preserve"> </w:t>
            </w:r>
            <w:r w:rsidRPr="00A2715C">
              <w:rPr>
                <w:rFonts w:asciiTheme="minorHAnsi" w:hAnsiTheme="minorHAnsi" w:cstheme="minorHAnsi"/>
                <w:b/>
              </w:rPr>
              <w:t>Related</w:t>
            </w:r>
            <w:r w:rsidRPr="00A2715C">
              <w:rPr>
                <w:rFonts w:asciiTheme="minorHAnsi" w:hAnsiTheme="minorHAnsi" w:cstheme="minorHAnsi"/>
                <w:b/>
                <w:spacing w:val="-10"/>
              </w:rPr>
              <w:t xml:space="preserve"> </w:t>
            </w:r>
            <w:r w:rsidRPr="00A2715C">
              <w:rPr>
                <w:rFonts w:asciiTheme="minorHAnsi" w:hAnsiTheme="minorHAnsi" w:cstheme="minorHAnsi"/>
                <w:b/>
                <w:spacing w:val="-2"/>
              </w:rPr>
              <w:t>Document:</w:t>
            </w:r>
          </w:p>
        </w:tc>
        <w:tc>
          <w:tcPr>
            <w:tcW w:w="5999" w:type="dxa"/>
          </w:tcPr>
          <w:p w14:paraId="34189F6B" w14:textId="77777777" w:rsidR="00E237B8" w:rsidRPr="00A2715C" w:rsidRDefault="00E237B8" w:rsidP="009C0390">
            <w:pPr>
              <w:pStyle w:val="TableParagraph"/>
              <w:spacing w:before="6"/>
              <w:ind w:left="117"/>
              <w:rPr>
                <w:rFonts w:asciiTheme="minorHAnsi" w:hAnsiTheme="minorHAnsi" w:cstheme="minorHAnsi"/>
              </w:rPr>
            </w:pPr>
            <w:r w:rsidRPr="00A2715C">
              <w:rPr>
                <w:rFonts w:asciiTheme="minorHAnsi" w:hAnsiTheme="minorHAnsi" w:cstheme="minorHAnsi"/>
                <w:spacing w:val="-2"/>
              </w:rPr>
              <w:t>Purchasing</w:t>
            </w:r>
            <w:r w:rsidRPr="00A2715C">
              <w:rPr>
                <w:rFonts w:asciiTheme="minorHAnsi" w:hAnsiTheme="minorHAnsi" w:cstheme="minorHAnsi"/>
                <w:spacing w:val="5"/>
              </w:rPr>
              <w:t xml:space="preserve"> </w:t>
            </w:r>
            <w:r w:rsidRPr="00A2715C">
              <w:rPr>
                <w:rFonts w:asciiTheme="minorHAnsi" w:hAnsiTheme="minorHAnsi" w:cstheme="minorHAnsi"/>
                <w:spacing w:val="-2"/>
              </w:rPr>
              <w:t>Procedures</w:t>
            </w:r>
            <w:r w:rsidRPr="00A2715C">
              <w:rPr>
                <w:rFonts w:asciiTheme="minorHAnsi" w:hAnsiTheme="minorHAnsi" w:cstheme="minorHAnsi"/>
                <w:spacing w:val="8"/>
              </w:rPr>
              <w:t xml:space="preserve"> </w:t>
            </w:r>
            <w:r w:rsidRPr="00A2715C">
              <w:rPr>
                <w:rFonts w:asciiTheme="minorHAnsi" w:hAnsiTheme="minorHAnsi" w:cstheme="minorHAnsi"/>
                <w:spacing w:val="-2"/>
              </w:rPr>
              <w:t>PRO2.1.3</w:t>
            </w:r>
          </w:p>
        </w:tc>
      </w:tr>
    </w:tbl>
    <w:p w14:paraId="7129C879" w14:textId="77777777" w:rsidR="00E237B8" w:rsidRPr="00A2715C" w:rsidRDefault="00E237B8" w:rsidP="00B418B0">
      <w:pPr>
        <w:spacing w:before="202" w:after="0"/>
        <w:ind w:left="100"/>
        <w:rPr>
          <w:rFonts w:cstheme="minorHAnsi"/>
          <w:b/>
          <w:sz w:val="28"/>
        </w:rPr>
      </w:pPr>
      <w:r w:rsidRPr="00A2715C">
        <w:rPr>
          <w:rFonts w:cstheme="minorHAnsi"/>
          <w:b/>
          <w:spacing w:val="-2"/>
          <w:sz w:val="28"/>
        </w:rPr>
        <w:t>Policy</w:t>
      </w:r>
    </w:p>
    <w:p w14:paraId="6AFCAF8F" w14:textId="77777777" w:rsidR="00E237B8" w:rsidRPr="00A2715C" w:rsidRDefault="00E237B8" w:rsidP="00B418B0">
      <w:pPr>
        <w:pStyle w:val="BodyText"/>
        <w:ind w:left="142" w:right="386"/>
        <w:jc w:val="both"/>
        <w:rPr>
          <w:rFonts w:asciiTheme="minorHAnsi" w:hAnsiTheme="minorHAnsi" w:cstheme="minorHAnsi"/>
        </w:rPr>
      </w:pPr>
      <w:r w:rsidRPr="00A2715C">
        <w:rPr>
          <w:rFonts w:asciiTheme="minorHAnsi" w:hAnsiTheme="minorHAnsi" w:cstheme="minorHAnsi"/>
        </w:rPr>
        <w:t>The</w:t>
      </w:r>
      <w:r w:rsidRPr="00A2715C">
        <w:rPr>
          <w:rFonts w:asciiTheme="minorHAnsi" w:hAnsiTheme="minorHAnsi" w:cstheme="minorHAnsi"/>
          <w:spacing w:val="-5"/>
        </w:rPr>
        <w:t xml:space="preserve"> </w:t>
      </w:r>
      <w:r w:rsidRPr="00A2715C">
        <w:rPr>
          <w:rFonts w:asciiTheme="minorHAnsi" w:hAnsiTheme="minorHAnsi" w:cstheme="minorHAnsi"/>
        </w:rPr>
        <w:t>Town</w:t>
      </w:r>
      <w:r w:rsidRPr="00A2715C">
        <w:rPr>
          <w:rFonts w:asciiTheme="minorHAnsi" w:hAnsiTheme="minorHAnsi" w:cstheme="minorHAnsi"/>
          <w:spacing w:val="-6"/>
        </w:rPr>
        <w:t xml:space="preserve"> </w:t>
      </w:r>
      <w:r w:rsidRPr="00A2715C">
        <w:rPr>
          <w:rFonts w:asciiTheme="minorHAnsi" w:hAnsiTheme="minorHAnsi" w:cstheme="minorHAnsi"/>
        </w:rPr>
        <w:t>of</w:t>
      </w:r>
      <w:r w:rsidRPr="00A2715C">
        <w:rPr>
          <w:rFonts w:asciiTheme="minorHAnsi" w:hAnsiTheme="minorHAnsi" w:cstheme="minorHAnsi"/>
          <w:spacing w:val="-6"/>
        </w:rPr>
        <w:t xml:space="preserve"> </w:t>
      </w:r>
      <w:r w:rsidRPr="00A2715C">
        <w:rPr>
          <w:rFonts w:asciiTheme="minorHAnsi" w:hAnsiTheme="minorHAnsi" w:cstheme="minorHAnsi"/>
        </w:rPr>
        <w:t>East</w:t>
      </w:r>
      <w:r w:rsidRPr="00A2715C">
        <w:rPr>
          <w:rFonts w:asciiTheme="minorHAnsi" w:hAnsiTheme="minorHAnsi" w:cstheme="minorHAnsi"/>
          <w:spacing w:val="-5"/>
        </w:rPr>
        <w:t xml:space="preserve"> </w:t>
      </w:r>
      <w:r w:rsidRPr="00A2715C">
        <w:rPr>
          <w:rFonts w:asciiTheme="minorHAnsi" w:hAnsiTheme="minorHAnsi" w:cstheme="minorHAnsi"/>
        </w:rPr>
        <w:t>Fremantle</w:t>
      </w:r>
      <w:r w:rsidRPr="00A2715C">
        <w:rPr>
          <w:rFonts w:asciiTheme="minorHAnsi" w:hAnsiTheme="minorHAnsi" w:cstheme="minorHAnsi"/>
          <w:spacing w:val="-3"/>
        </w:rPr>
        <w:t xml:space="preserve"> </w:t>
      </w:r>
      <w:r w:rsidRPr="00A2715C">
        <w:rPr>
          <w:rFonts w:asciiTheme="minorHAnsi" w:hAnsiTheme="minorHAnsi" w:cstheme="minorHAnsi"/>
        </w:rPr>
        <w:t>(the</w:t>
      </w:r>
      <w:r w:rsidRPr="00A2715C">
        <w:rPr>
          <w:rFonts w:asciiTheme="minorHAnsi" w:hAnsiTheme="minorHAnsi" w:cstheme="minorHAnsi"/>
          <w:spacing w:val="-5"/>
        </w:rPr>
        <w:t xml:space="preserve"> </w:t>
      </w:r>
      <w:r w:rsidRPr="00A2715C">
        <w:rPr>
          <w:rFonts w:asciiTheme="minorHAnsi" w:hAnsiTheme="minorHAnsi" w:cstheme="minorHAnsi"/>
        </w:rPr>
        <w:t>“Town”)</w:t>
      </w:r>
      <w:r w:rsidRPr="00A2715C">
        <w:rPr>
          <w:rFonts w:asciiTheme="minorHAnsi" w:hAnsiTheme="minorHAnsi" w:cstheme="minorHAnsi"/>
          <w:spacing w:val="-6"/>
        </w:rPr>
        <w:t xml:space="preserve"> </w:t>
      </w:r>
      <w:r w:rsidRPr="00A2715C">
        <w:rPr>
          <w:rFonts w:asciiTheme="minorHAnsi" w:hAnsiTheme="minorHAnsi" w:cstheme="minorHAnsi"/>
        </w:rPr>
        <w:t>is</w:t>
      </w:r>
      <w:r w:rsidRPr="00A2715C">
        <w:rPr>
          <w:rFonts w:asciiTheme="minorHAnsi" w:hAnsiTheme="minorHAnsi" w:cstheme="minorHAnsi"/>
          <w:spacing w:val="-6"/>
        </w:rPr>
        <w:t xml:space="preserve"> </w:t>
      </w:r>
      <w:r w:rsidRPr="00A2715C">
        <w:rPr>
          <w:rFonts w:asciiTheme="minorHAnsi" w:hAnsiTheme="minorHAnsi" w:cstheme="minorHAnsi"/>
        </w:rPr>
        <w:t>committed</w:t>
      </w:r>
      <w:r w:rsidRPr="00A2715C">
        <w:rPr>
          <w:rFonts w:asciiTheme="minorHAnsi" w:hAnsiTheme="minorHAnsi" w:cstheme="minorHAnsi"/>
          <w:spacing w:val="-4"/>
        </w:rPr>
        <w:t xml:space="preserve"> </w:t>
      </w:r>
      <w:r w:rsidRPr="00A2715C">
        <w:rPr>
          <w:rFonts w:asciiTheme="minorHAnsi" w:hAnsiTheme="minorHAnsi" w:cstheme="minorHAnsi"/>
        </w:rPr>
        <w:t>to</w:t>
      </w:r>
      <w:r w:rsidRPr="00A2715C">
        <w:rPr>
          <w:rFonts w:asciiTheme="minorHAnsi" w:hAnsiTheme="minorHAnsi" w:cstheme="minorHAnsi"/>
          <w:spacing w:val="-4"/>
        </w:rPr>
        <w:t xml:space="preserve"> </w:t>
      </w:r>
      <w:r w:rsidRPr="00A2715C">
        <w:rPr>
          <w:rFonts w:asciiTheme="minorHAnsi" w:hAnsiTheme="minorHAnsi" w:cstheme="minorHAnsi"/>
        </w:rPr>
        <w:t>delivering</w:t>
      </w:r>
      <w:r w:rsidRPr="00A2715C">
        <w:rPr>
          <w:rFonts w:asciiTheme="minorHAnsi" w:hAnsiTheme="minorHAnsi" w:cstheme="minorHAnsi"/>
          <w:spacing w:val="-6"/>
        </w:rPr>
        <w:t xml:space="preserve"> </w:t>
      </w:r>
      <w:r w:rsidRPr="00A2715C">
        <w:rPr>
          <w:rFonts w:asciiTheme="minorHAnsi" w:hAnsiTheme="minorHAnsi" w:cstheme="minorHAnsi"/>
        </w:rPr>
        <w:t>best</w:t>
      </w:r>
      <w:r w:rsidRPr="00A2715C">
        <w:rPr>
          <w:rFonts w:asciiTheme="minorHAnsi" w:hAnsiTheme="minorHAnsi" w:cstheme="minorHAnsi"/>
          <w:spacing w:val="-5"/>
        </w:rPr>
        <w:t xml:space="preserve"> </w:t>
      </w:r>
      <w:r w:rsidRPr="00A2715C">
        <w:rPr>
          <w:rFonts w:asciiTheme="minorHAnsi" w:hAnsiTheme="minorHAnsi" w:cstheme="minorHAnsi"/>
        </w:rPr>
        <w:t>practice</w:t>
      </w:r>
      <w:r w:rsidRPr="00A2715C">
        <w:rPr>
          <w:rFonts w:asciiTheme="minorHAnsi" w:hAnsiTheme="minorHAnsi" w:cstheme="minorHAnsi"/>
          <w:spacing w:val="-3"/>
        </w:rPr>
        <w:t xml:space="preserve"> </w:t>
      </w:r>
      <w:r w:rsidRPr="00A2715C">
        <w:rPr>
          <w:rFonts w:asciiTheme="minorHAnsi" w:hAnsiTheme="minorHAnsi" w:cstheme="minorHAnsi"/>
        </w:rPr>
        <w:t>in</w:t>
      </w:r>
      <w:r w:rsidRPr="00A2715C">
        <w:rPr>
          <w:rFonts w:asciiTheme="minorHAnsi" w:hAnsiTheme="minorHAnsi" w:cstheme="minorHAnsi"/>
          <w:spacing w:val="-7"/>
        </w:rPr>
        <w:t xml:space="preserve"> </w:t>
      </w:r>
      <w:r w:rsidRPr="00A2715C">
        <w:rPr>
          <w:rFonts w:asciiTheme="minorHAnsi" w:hAnsiTheme="minorHAnsi" w:cstheme="minorHAnsi"/>
        </w:rPr>
        <w:t>the</w:t>
      </w:r>
      <w:r w:rsidRPr="00A2715C">
        <w:rPr>
          <w:rFonts w:asciiTheme="minorHAnsi" w:hAnsiTheme="minorHAnsi" w:cstheme="minorHAnsi"/>
          <w:spacing w:val="-5"/>
        </w:rPr>
        <w:t xml:space="preserve"> </w:t>
      </w:r>
      <w:r w:rsidRPr="00A2715C">
        <w:rPr>
          <w:rFonts w:asciiTheme="minorHAnsi" w:hAnsiTheme="minorHAnsi" w:cstheme="minorHAnsi"/>
        </w:rPr>
        <w:t>purchasing of goods,</w:t>
      </w:r>
      <w:r w:rsidRPr="00A2715C">
        <w:rPr>
          <w:rFonts w:asciiTheme="minorHAnsi" w:hAnsiTheme="minorHAnsi" w:cstheme="minorHAnsi"/>
          <w:spacing w:val="-4"/>
        </w:rPr>
        <w:t xml:space="preserve"> </w:t>
      </w:r>
      <w:r w:rsidRPr="00A2715C">
        <w:rPr>
          <w:rFonts w:asciiTheme="minorHAnsi" w:hAnsiTheme="minorHAnsi" w:cstheme="minorHAnsi"/>
        </w:rPr>
        <w:t>services</w:t>
      </w:r>
      <w:r w:rsidRPr="00A2715C">
        <w:rPr>
          <w:rFonts w:asciiTheme="minorHAnsi" w:hAnsiTheme="minorHAnsi" w:cstheme="minorHAnsi"/>
          <w:spacing w:val="-5"/>
        </w:rPr>
        <w:t xml:space="preserve"> </w:t>
      </w:r>
      <w:r w:rsidRPr="00A2715C">
        <w:rPr>
          <w:rFonts w:asciiTheme="minorHAnsi" w:hAnsiTheme="minorHAnsi" w:cstheme="minorHAnsi"/>
        </w:rPr>
        <w:t>and</w:t>
      </w:r>
      <w:r w:rsidRPr="00A2715C">
        <w:rPr>
          <w:rFonts w:asciiTheme="minorHAnsi" w:hAnsiTheme="minorHAnsi" w:cstheme="minorHAnsi"/>
          <w:spacing w:val="-5"/>
        </w:rPr>
        <w:t xml:space="preserve"> </w:t>
      </w:r>
      <w:r w:rsidRPr="00A2715C">
        <w:rPr>
          <w:rFonts w:asciiTheme="minorHAnsi" w:hAnsiTheme="minorHAnsi" w:cstheme="minorHAnsi"/>
        </w:rPr>
        <w:t>works</w:t>
      </w:r>
      <w:r w:rsidRPr="00A2715C">
        <w:rPr>
          <w:rFonts w:asciiTheme="minorHAnsi" w:hAnsiTheme="minorHAnsi" w:cstheme="minorHAnsi"/>
          <w:spacing w:val="-3"/>
        </w:rPr>
        <w:t xml:space="preserve"> </w:t>
      </w:r>
      <w:r w:rsidRPr="00A2715C">
        <w:rPr>
          <w:rFonts w:asciiTheme="minorHAnsi" w:hAnsiTheme="minorHAnsi" w:cstheme="minorHAnsi"/>
        </w:rPr>
        <w:t>that</w:t>
      </w:r>
      <w:r w:rsidRPr="00A2715C">
        <w:rPr>
          <w:rFonts w:asciiTheme="minorHAnsi" w:hAnsiTheme="minorHAnsi" w:cstheme="minorHAnsi"/>
          <w:spacing w:val="-4"/>
        </w:rPr>
        <w:t xml:space="preserve"> </w:t>
      </w:r>
      <w:r w:rsidRPr="00A2715C">
        <w:rPr>
          <w:rFonts w:asciiTheme="minorHAnsi" w:hAnsiTheme="minorHAnsi" w:cstheme="minorHAnsi"/>
        </w:rPr>
        <w:t>align</w:t>
      </w:r>
      <w:r w:rsidRPr="00A2715C">
        <w:rPr>
          <w:rFonts w:asciiTheme="minorHAnsi" w:hAnsiTheme="minorHAnsi" w:cstheme="minorHAnsi"/>
          <w:spacing w:val="-6"/>
        </w:rPr>
        <w:t xml:space="preserve"> </w:t>
      </w:r>
      <w:r w:rsidRPr="00A2715C">
        <w:rPr>
          <w:rFonts w:asciiTheme="minorHAnsi" w:hAnsiTheme="minorHAnsi" w:cstheme="minorHAnsi"/>
        </w:rPr>
        <w:t>with</w:t>
      </w:r>
      <w:r w:rsidRPr="00A2715C">
        <w:rPr>
          <w:rFonts w:asciiTheme="minorHAnsi" w:hAnsiTheme="minorHAnsi" w:cstheme="minorHAnsi"/>
          <w:spacing w:val="-4"/>
        </w:rPr>
        <w:t xml:space="preserve"> </w:t>
      </w:r>
      <w:r w:rsidRPr="00A2715C">
        <w:rPr>
          <w:rFonts w:asciiTheme="minorHAnsi" w:hAnsiTheme="minorHAnsi" w:cstheme="minorHAnsi"/>
        </w:rPr>
        <w:t>the</w:t>
      </w:r>
      <w:r w:rsidRPr="00A2715C">
        <w:rPr>
          <w:rFonts w:asciiTheme="minorHAnsi" w:hAnsiTheme="minorHAnsi" w:cstheme="minorHAnsi"/>
          <w:spacing w:val="-5"/>
        </w:rPr>
        <w:t xml:space="preserve"> </w:t>
      </w:r>
      <w:r w:rsidRPr="00A2715C">
        <w:rPr>
          <w:rFonts w:asciiTheme="minorHAnsi" w:hAnsiTheme="minorHAnsi" w:cstheme="minorHAnsi"/>
        </w:rPr>
        <w:t>principles</w:t>
      </w:r>
      <w:r w:rsidRPr="00A2715C">
        <w:rPr>
          <w:rFonts w:asciiTheme="minorHAnsi" w:hAnsiTheme="minorHAnsi" w:cstheme="minorHAnsi"/>
          <w:spacing w:val="-4"/>
        </w:rPr>
        <w:t xml:space="preserve"> </w:t>
      </w:r>
      <w:r w:rsidRPr="00A2715C">
        <w:rPr>
          <w:rFonts w:asciiTheme="minorHAnsi" w:hAnsiTheme="minorHAnsi" w:cstheme="minorHAnsi"/>
        </w:rPr>
        <w:t>of</w:t>
      </w:r>
      <w:r w:rsidRPr="00A2715C">
        <w:rPr>
          <w:rFonts w:asciiTheme="minorHAnsi" w:hAnsiTheme="minorHAnsi" w:cstheme="minorHAnsi"/>
          <w:spacing w:val="-5"/>
        </w:rPr>
        <w:t xml:space="preserve"> </w:t>
      </w:r>
      <w:r w:rsidRPr="00A2715C">
        <w:rPr>
          <w:rFonts w:asciiTheme="minorHAnsi" w:hAnsiTheme="minorHAnsi" w:cstheme="minorHAnsi"/>
        </w:rPr>
        <w:t>transparency,</w:t>
      </w:r>
      <w:r w:rsidRPr="00A2715C">
        <w:rPr>
          <w:rFonts w:asciiTheme="minorHAnsi" w:hAnsiTheme="minorHAnsi" w:cstheme="minorHAnsi"/>
          <w:spacing w:val="-4"/>
        </w:rPr>
        <w:t xml:space="preserve"> </w:t>
      </w:r>
      <w:r w:rsidRPr="00A2715C">
        <w:rPr>
          <w:rFonts w:asciiTheme="minorHAnsi" w:hAnsiTheme="minorHAnsi" w:cstheme="minorHAnsi"/>
        </w:rPr>
        <w:t>probity</w:t>
      </w:r>
      <w:r w:rsidRPr="00A2715C">
        <w:rPr>
          <w:rFonts w:asciiTheme="minorHAnsi" w:hAnsiTheme="minorHAnsi" w:cstheme="minorHAnsi"/>
          <w:spacing w:val="-3"/>
        </w:rPr>
        <w:t xml:space="preserve"> </w:t>
      </w:r>
      <w:r w:rsidRPr="00A2715C">
        <w:rPr>
          <w:rFonts w:asciiTheme="minorHAnsi" w:hAnsiTheme="minorHAnsi" w:cstheme="minorHAnsi"/>
        </w:rPr>
        <w:t>and</w:t>
      </w:r>
      <w:r w:rsidRPr="00A2715C">
        <w:rPr>
          <w:rFonts w:asciiTheme="minorHAnsi" w:hAnsiTheme="minorHAnsi" w:cstheme="minorHAnsi"/>
          <w:spacing w:val="-5"/>
        </w:rPr>
        <w:t xml:space="preserve"> </w:t>
      </w:r>
      <w:r w:rsidRPr="00A2715C">
        <w:rPr>
          <w:rFonts w:asciiTheme="minorHAnsi" w:hAnsiTheme="minorHAnsi" w:cstheme="minorHAnsi"/>
        </w:rPr>
        <w:t>good</w:t>
      </w:r>
      <w:r w:rsidRPr="00A2715C">
        <w:rPr>
          <w:rFonts w:asciiTheme="minorHAnsi" w:hAnsiTheme="minorHAnsi" w:cstheme="minorHAnsi"/>
          <w:spacing w:val="-5"/>
        </w:rPr>
        <w:t xml:space="preserve"> </w:t>
      </w:r>
      <w:r w:rsidRPr="00A2715C">
        <w:rPr>
          <w:rFonts w:asciiTheme="minorHAnsi" w:hAnsiTheme="minorHAnsi" w:cstheme="minorHAnsi"/>
        </w:rPr>
        <w:t xml:space="preserve">governance and complies with the </w:t>
      </w:r>
      <w:r w:rsidRPr="00A2715C">
        <w:rPr>
          <w:rFonts w:asciiTheme="minorHAnsi" w:hAnsiTheme="minorHAnsi" w:cstheme="minorHAnsi"/>
          <w:i/>
          <w:iCs/>
        </w:rPr>
        <w:t>Local Government Act 1995</w:t>
      </w:r>
      <w:r w:rsidRPr="00A2715C">
        <w:rPr>
          <w:rFonts w:asciiTheme="minorHAnsi" w:hAnsiTheme="minorHAnsi" w:cstheme="minorHAnsi"/>
        </w:rPr>
        <w:t xml:space="preserve"> (the “Act”) and Part 4 of the </w:t>
      </w:r>
      <w:r w:rsidRPr="00A2715C">
        <w:rPr>
          <w:rFonts w:asciiTheme="minorHAnsi" w:hAnsiTheme="minorHAnsi" w:cstheme="minorHAnsi"/>
          <w:i/>
          <w:iCs/>
        </w:rPr>
        <w:t>Local Government (Functions and General) Regulations 1996</w:t>
      </w:r>
      <w:r w:rsidRPr="00A2715C">
        <w:rPr>
          <w:rFonts w:asciiTheme="minorHAnsi" w:hAnsiTheme="minorHAnsi" w:cstheme="minorHAnsi"/>
        </w:rPr>
        <w:t>, (the “Regulations”). Procurement processes and practices to</w:t>
      </w:r>
      <w:r w:rsidRPr="00A2715C">
        <w:rPr>
          <w:rFonts w:asciiTheme="minorHAnsi" w:hAnsiTheme="minorHAnsi" w:cstheme="minorHAnsi"/>
          <w:spacing w:val="-9"/>
        </w:rPr>
        <w:t xml:space="preserve"> </w:t>
      </w:r>
      <w:r w:rsidRPr="00A2715C">
        <w:rPr>
          <w:rFonts w:asciiTheme="minorHAnsi" w:hAnsiTheme="minorHAnsi" w:cstheme="minorHAnsi"/>
        </w:rPr>
        <w:t>be</w:t>
      </w:r>
      <w:r w:rsidRPr="00A2715C">
        <w:rPr>
          <w:rFonts w:asciiTheme="minorHAnsi" w:hAnsiTheme="minorHAnsi" w:cstheme="minorHAnsi"/>
          <w:spacing w:val="-10"/>
        </w:rPr>
        <w:t xml:space="preserve"> </w:t>
      </w:r>
      <w:r w:rsidRPr="00A2715C">
        <w:rPr>
          <w:rFonts w:asciiTheme="minorHAnsi" w:hAnsiTheme="minorHAnsi" w:cstheme="minorHAnsi"/>
        </w:rPr>
        <w:t>complied</w:t>
      </w:r>
      <w:r w:rsidRPr="00A2715C">
        <w:rPr>
          <w:rFonts w:asciiTheme="minorHAnsi" w:hAnsiTheme="minorHAnsi" w:cstheme="minorHAnsi"/>
          <w:spacing w:val="-11"/>
        </w:rPr>
        <w:t xml:space="preserve"> </w:t>
      </w:r>
      <w:r w:rsidRPr="00A2715C">
        <w:rPr>
          <w:rFonts w:asciiTheme="minorHAnsi" w:hAnsiTheme="minorHAnsi" w:cstheme="minorHAnsi"/>
        </w:rPr>
        <w:t>with</w:t>
      </w:r>
      <w:r w:rsidRPr="00A2715C">
        <w:rPr>
          <w:rFonts w:asciiTheme="minorHAnsi" w:hAnsiTheme="minorHAnsi" w:cstheme="minorHAnsi"/>
          <w:spacing w:val="-10"/>
        </w:rPr>
        <w:t xml:space="preserve"> </w:t>
      </w:r>
      <w:r w:rsidRPr="00A2715C">
        <w:rPr>
          <w:rFonts w:asciiTheme="minorHAnsi" w:hAnsiTheme="minorHAnsi" w:cstheme="minorHAnsi"/>
        </w:rPr>
        <w:t>are</w:t>
      </w:r>
      <w:r w:rsidRPr="00A2715C">
        <w:rPr>
          <w:rFonts w:asciiTheme="minorHAnsi" w:hAnsiTheme="minorHAnsi" w:cstheme="minorHAnsi"/>
          <w:spacing w:val="-10"/>
        </w:rPr>
        <w:t xml:space="preserve"> </w:t>
      </w:r>
      <w:r w:rsidRPr="00A2715C">
        <w:rPr>
          <w:rFonts w:asciiTheme="minorHAnsi" w:hAnsiTheme="minorHAnsi" w:cstheme="minorHAnsi"/>
        </w:rPr>
        <w:t>defined</w:t>
      </w:r>
      <w:r w:rsidRPr="00A2715C">
        <w:rPr>
          <w:rFonts w:asciiTheme="minorHAnsi" w:hAnsiTheme="minorHAnsi" w:cstheme="minorHAnsi"/>
          <w:spacing w:val="-10"/>
        </w:rPr>
        <w:t xml:space="preserve"> </w:t>
      </w:r>
      <w:r w:rsidRPr="00A2715C">
        <w:rPr>
          <w:rFonts w:asciiTheme="minorHAnsi" w:hAnsiTheme="minorHAnsi" w:cstheme="minorHAnsi"/>
        </w:rPr>
        <w:t>within</w:t>
      </w:r>
      <w:r w:rsidRPr="00A2715C">
        <w:rPr>
          <w:rFonts w:asciiTheme="minorHAnsi" w:hAnsiTheme="minorHAnsi" w:cstheme="minorHAnsi"/>
          <w:spacing w:val="-11"/>
        </w:rPr>
        <w:t xml:space="preserve"> </w:t>
      </w:r>
      <w:r w:rsidRPr="00A2715C">
        <w:rPr>
          <w:rFonts w:asciiTheme="minorHAnsi" w:hAnsiTheme="minorHAnsi" w:cstheme="minorHAnsi"/>
        </w:rPr>
        <w:t>this</w:t>
      </w:r>
      <w:r w:rsidRPr="00A2715C">
        <w:rPr>
          <w:rFonts w:asciiTheme="minorHAnsi" w:hAnsiTheme="minorHAnsi" w:cstheme="minorHAnsi"/>
          <w:spacing w:val="-11"/>
        </w:rPr>
        <w:t xml:space="preserve"> </w:t>
      </w:r>
      <w:r w:rsidRPr="00A2715C">
        <w:rPr>
          <w:rFonts w:asciiTheme="minorHAnsi" w:hAnsiTheme="minorHAnsi" w:cstheme="minorHAnsi"/>
        </w:rPr>
        <w:t>Policy</w:t>
      </w:r>
      <w:r w:rsidRPr="00A2715C">
        <w:rPr>
          <w:rFonts w:asciiTheme="minorHAnsi" w:hAnsiTheme="minorHAnsi" w:cstheme="minorHAnsi"/>
          <w:spacing w:val="-9"/>
        </w:rPr>
        <w:t xml:space="preserve"> </w:t>
      </w:r>
      <w:r w:rsidRPr="00A2715C">
        <w:rPr>
          <w:rFonts w:asciiTheme="minorHAnsi" w:hAnsiTheme="minorHAnsi" w:cstheme="minorHAnsi"/>
        </w:rPr>
        <w:t>and</w:t>
      </w:r>
      <w:r w:rsidRPr="00A2715C">
        <w:rPr>
          <w:rFonts w:asciiTheme="minorHAnsi" w:hAnsiTheme="minorHAnsi" w:cstheme="minorHAnsi"/>
          <w:spacing w:val="-11"/>
        </w:rPr>
        <w:t xml:space="preserve"> </w:t>
      </w:r>
      <w:r w:rsidRPr="00A2715C">
        <w:rPr>
          <w:rFonts w:asciiTheme="minorHAnsi" w:hAnsiTheme="minorHAnsi" w:cstheme="minorHAnsi"/>
        </w:rPr>
        <w:t>the</w:t>
      </w:r>
      <w:r w:rsidRPr="00A2715C">
        <w:rPr>
          <w:rFonts w:asciiTheme="minorHAnsi" w:hAnsiTheme="minorHAnsi" w:cstheme="minorHAnsi"/>
          <w:spacing w:val="-10"/>
        </w:rPr>
        <w:t xml:space="preserve"> </w:t>
      </w:r>
      <w:r w:rsidRPr="00A2715C">
        <w:rPr>
          <w:rFonts w:asciiTheme="minorHAnsi" w:hAnsiTheme="minorHAnsi" w:cstheme="minorHAnsi"/>
        </w:rPr>
        <w:t>Town’s</w:t>
      </w:r>
      <w:r w:rsidRPr="00A2715C">
        <w:rPr>
          <w:rFonts w:asciiTheme="minorHAnsi" w:hAnsiTheme="minorHAnsi" w:cstheme="minorHAnsi"/>
          <w:spacing w:val="-10"/>
        </w:rPr>
        <w:t xml:space="preserve"> </w:t>
      </w:r>
      <w:r w:rsidRPr="00A2715C">
        <w:rPr>
          <w:rFonts w:asciiTheme="minorHAnsi" w:hAnsiTheme="minorHAnsi" w:cstheme="minorHAnsi"/>
        </w:rPr>
        <w:t>prescribed</w:t>
      </w:r>
      <w:r w:rsidRPr="00A2715C">
        <w:rPr>
          <w:rFonts w:asciiTheme="minorHAnsi" w:hAnsiTheme="minorHAnsi" w:cstheme="minorHAnsi"/>
          <w:spacing w:val="-9"/>
        </w:rPr>
        <w:t xml:space="preserve"> </w:t>
      </w:r>
      <w:r w:rsidRPr="00A2715C">
        <w:rPr>
          <w:rFonts w:asciiTheme="minorHAnsi" w:hAnsiTheme="minorHAnsi" w:cstheme="minorHAnsi"/>
        </w:rPr>
        <w:t>procurement</w:t>
      </w:r>
      <w:r w:rsidRPr="00A2715C">
        <w:rPr>
          <w:rFonts w:asciiTheme="minorHAnsi" w:hAnsiTheme="minorHAnsi" w:cstheme="minorHAnsi"/>
          <w:spacing w:val="-12"/>
        </w:rPr>
        <w:t xml:space="preserve"> </w:t>
      </w:r>
      <w:r w:rsidRPr="00A2715C">
        <w:rPr>
          <w:rFonts w:asciiTheme="minorHAnsi" w:hAnsiTheme="minorHAnsi" w:cstheme="minorHAnsi"/>
        </w:rPr>
        <w:t>procedures.</w:t>
      </w:r>
    </w:p>
    <w:p w14:paraId="7AE7E679" w14:textId="77777777" w:rsidR="00E237B8" w:rsidRPr="00A2715C" w:rsidRDefault="00E237B8" w:rsidP="00B418B0">
      <w:pPr>
        <w:pStyle w:val="BodyText"/>
        <w:spacing w:before="47"/>
        <w:ind w:left="142" w:right="386"/>
        <w:jc w:val="both"/>
        <w:rPr>
          <w:rFonts w:asciiTheme="minorHAnsi" w:hAnsiTheme="minorHAnsi" w:cstheme="minorHAnsi"/>
        </w:rPr>
      </w:pPr>
    </w:p>
    <w:p w14:paraId="2D81B4F5" w14:textId="77777777" w:rsidR="00E237B8" w:rsidRPr="00A2715C" w:rsidRDefault="00E237B8" w:rsidP="00BB762C">
      <w:pPr>
        <w:pStyle w:val="BodyText"/>
        <w:spacing w:before="47" w:after="0"/>
        <w:ind w:left="142" w:right="386"/>
        <w:jc w:val="both"/>
        <w:rPr>
          <w:rFonts w:asciiTheme="minorHAnsi" w:hAnsiTheme="minorHAnsi" w:cstheme="minorHAnsi"/>
        </w:rPr>
      </w:pPr>
      <w:r w:rsidRPr="00A2715C">
        <w:rPr>
          <w:rFonts w:asciiTheme="minorHAnsi" w:hAnsiTheme="minorHAnsi" w:cstheme="minorHAnsi"/>
        </w:rPr>
        <w:t>This Policy aims to ensure all procurement decisions are made in a consistent manner using an equitable process that will help to mitigate risk, demonstrate value and achieve the most advantageous outcome for the Town.</w:t>
      </w:r>
    </w:p>
    <w:p w14:paraId="6407DE5D" w14:textId="77777777" w:rsidR="00E237B8" w:rsidRPr="00A2715C" w:rsidRDefault="00E237B8" w:rsidP="00367513">
      <w:pPr>
        <w:spacing w:before="202" w:after="0"/>
        <w:ind w:left="100"/>
        <w:rPr>
          <w:rFonts w:cstheme="minorHAnsi"/>
          <w:b/>
          <w:sz w:val="28"/>
        </w:rPr>
      </w:pPr>
      <w:r w:rsidRPr="00A2715C">
        <w:rPr>
          <w:rFonts w:cstheme="minorHAnsi"/>
          <w:b/>
          <w:spacing w:val="-2"/>
          <w:sz w:val="28"/>
        </w:rPr>
        <w:t>Policy Statement</w:t>
      </w:r>
    </w:p>
    <w:p w14:paraId="1CEA7AF1" w14:textId="77777777" w:rsidR="00E237B8" w:rsidRPr="00A2715C" w:rsidRDefault="00E237B8" w:rsidP="00367513">
      <w:pPr>
        <w:pStyle w:val="BodyText"/>
        <w:spacing w:after="0"/>
        <w:ind w:left="142" w:right="386"/>
        <w:jc w:val="both"/>
        <w:rPr>
          <w:rFonts w:asciiTheme="minorHAnsi" w:hAnsiTheme="minorHAnsi" w:cstheme="minorHAnsi"/>
        </w:rPr>
      </w:pPr>
      <w:r w:rsidRPr="00A2715C">
        <w:rPr>
          <w:rFonts w:asciiTheme="minorHAnsi" w:hAnsiTheme="minorHAnsi" w:cstheme="minorHAnsi"/>
        </w:rPr>
        <w:t>Procurement decisions will be made using the following principles:</w:t>
      </w:r>
    </w:p>
    <w:p w14:paraId="6A7B2B44" w14:textId="77777777" w:rsidR="00E237B8" w:rsidRPr="00A2715C" w:rsidRDefault="00E237B8" w:rsidP="00367513">
      <w:pPr>
        <w:pStyle w:val="BodyText"/>
        <w:ind w:right="386"/>
        <w:jc w:val="both"/>
        <w:rPr>
          <w:rFonts w:asciiTheme="minorHAnsi" w:hAnsiTheme="minorHAnsi" w:cstheme="minorHAnsi"/>
        </w:rPr>
      </w:pPr>
    </w:p>
    <w:p w14:paraId="1237C6FE" w14:textId="77777777" w:rsidR="00E237B8" w:rsidRPr="00367513" w:rsidRDefault="00E237B8" w:rsidP="007B3B6F">
      <w:pPr>
        <w:pStyle w:val="ListParagraph"/>
        <w:numPr>
          <w:ilvl w:val="0"/>
          <w:numId w:val="548"/>
        </w:numPr>
        <w:tabs>
          <w:tab w:val="left" w:pos="9026"/>
        </w:tabs>
        <w:spacing w:after="0" w:line="240" w:lineRule="auto"/>
        <w:ind w:left="709" w:right="-45" w:hanging="567"/>
        <w:contextualSpacing w:val="0"/>
        <w:jc w:val="both"/>
        <w:rPr>
          <w:rFonts w:cstheme="minorHAnsi"/>
        </w:rPr>
      </w:pPr>
      <w:r w:rsidRPr="00367513">
        <w:rPr>
          <w:rFonts w:cstheme="minorHAnsi"/>
        </w:rPr>
        <w:t>Ethical Behaviour and Fair Dealing</w:t>
      </w:r>
    </w:p>
    <w:p w14:paraId="00D9B859" w14:textId="77777777" w:rsidR="00E237B8" w:rsidRPr="00367513" w:rsidRDefault="00E237B8" w:rsidP="00B36C5A">
      <w:pPr>
        <w:tabs>
          <w:tab w:val="left" w:pos="9026"/>
        </w:tabs>
        <w:spacing w:after="240" w:line="240" w:lineRule="auto"/>
        <w:ind w:left="709" w:right="-46"/>
        <w:rPr>
          <w:rFonts w:cstheme="minorHAnsi"/>
        </w:rPr>
      </w:pPr>
      <w:r w:rsidRPr="00367513">
        <w:rPr>
          <w:rFonts w:cstheme="minorHAnsi"/>
        </w:rPr>
        <w:t>Employees of the Town must conduct all procurement and business relationships with honesty, integrity, fairness, diligence and a high degree of care, ensuring processes are appropriate and compliant. Procurement processes must be transparent and free from bias and will be supported by Employee Code of Conduct and a Statement of Business Ethics, approved by the CEO outlining the behavioural standards expected by the Town from its employees, suppliers and contractors in conducting its business. Any canvassing of the Town’s Elected Members or staff is strictly prohibited on current procurement activity.</w:t>
      </w:r>
    </w:p>
    <w:p w14:paraId="3B81D90B" w14:textId="77777777" w:rsidR="00E237B8" w:rsidRPr="00367513" w:rsidRDefault="00E237B8" w:rsidP="007B3B6F">
      <w:pPr>
        <w:pStyle w:val="ListParagraph"/>
        <w:numPr>
          <w:ilvl w:val="0"/>
          <w:numId w:val="548"/>
        </w:numPr>
        <w:tabs>
          <w:tab w:val="left" w:pos="9026"/>
        </w:tabs>
        <w:spacing w:after="0" w:line="240" w:lineRule="auto"/>
        <w:ind w:left="709" w:right="-45" w:hanging="567"/>
        <w:jc w:val="both"/>
        <w:rPr>
          <w:rFonts w:cstheme="minorHAnsi"/>
        </w:rPr>
      </w:pPr>
      <w:r w:rsidRPr="00367513">
        <w:rPr>
          <w:rFonts w:cstheme="minorHAnsi"/>
        </w:rPr>
        <w:t>Value for Money (VFM)</w:t>
      </w:r>
    </w:p>
    <w:p w14:paraId="7F704300" w14:textId="77777777" w:rsidR="00E237B8" w:rsidRPr="00367513" w:rsidRDefault="00E237B8" w:rsidP="00B36C5A">
      <w:pPr>
        <w:tabs>
          <w:tab w:val="left" w:pos="9026"/>
        </w:tabs>
        <w:spacing w:after="240" w:line="240" w:lineRule="auto"/>
        <w:ind w:left="709" w:right="-46"/>
        <w:rPr>
          <w:rFonts w:cstheme="minorHAnsi"/>
        </w:rPr>
      </w:pPr>
      <w:r w:rsidRPr="00367513">
        <w:rPr>
          <w:rFonts w:cstheme="minorHAnsi"/>
        </w:rPr>
        <w:t xml:space="preserve">Achieving value for money reflects the best possible outcome by considering cost and non-cost factors in procurement decisions. Non-cost factors are important in reducing risk and determining whole of life outcomes that do not adversely impact the community or environment. </w:t>
      </w:r>
    </w:p>
    <w:p w14:paraId="10C751A9" w14:textId="77777777" w:rsidR="00E237B8" w:rsidRPr="00367513" w:rsidRDefault="00E237B8" w:rsidP="00B36C5A">
      <w:pPr>
        <w:tabs>
          <w:tab w:val="left" w:pos="9026"/>
        </w:tabs>
        <w:spacing w:after="240" w:line="240" w:lineRule="auto"/>
        <w:ind w:left="709" w:right="-46"/>
        <w:rPr>
          <w:rFonts w:cstheme="minorHAnsi"/>
        </w:rPr>
      </w:pPr>
      <w:r w:rsidRPr="00367513">
        <w:rPr>
          <w:rFonts w:cstheme="minorHAnsi"/>
        </w:rPr>
        <w:t xml:space="preserve">These include safety and quality considerations, fit for purpose (specification), timeliness, sustainability (social and environment – circular supply), economic (local &amp; regional) and relevant service benchmarks. Where a higher cost conforming offer is recommended, there </w:t>
      </w:r>
      <w:r w:rsidRPr="00367513">
        <w:rPr>
          <w:rFonts w:cstheme="minorHAnsi"/>
        </w:rPr>
        <w:lastRenderedPageBreak/>
        <w:t>should be clear and demonstrable benefits over and above the lowest total priced conforming offer.</w:t>
      </w:r>
    </w:p>
    <w:p w14:paraId="49948135" w14:textId="77777777" w:rsidR="00E237B8" w:rsidRPr="00367513" w:rsidRDefault="00E237B8" w:rsidP="00B36C5A">
      <w:pPr>
        <w:tabs>
          <w:tab w:val="left" w:pos="9026"/>
        </w:tabs>
        <w:spacing w:after="240" w:line="240" w:lineRule="auto"/>
        <w:ind w:left="709" w:right="-46"/>
        <w:rPr>
          <w:rFonts w:cstheme="minorHAnsi"/>
        </w:rPr>
      </w:pPr>
      <w:bookmarkStart w:id="146" w:name="_Hlk149565440"/>
      <w:r w:rsidRPr="00367513">
        <w:rPr>
          <w:rFonts w:cstheme="minorHAnsi"/>
        </w:rPr>
        <w:t>The Town recognises that in achieving long term value for money, appropriate strategic business partners may be developed with suppliers for specific supply categories. All strategic procurement partners will be reviewed on a periodic basis as per their associated arrangement, to a minimum period of every three (3) years from the commencement of the partnership. The acceptance of higher priced submissions must always be supported by justification, presenting demonstrable benefits proportionate to the level of activity.</w:t>
      </w:r>
    </w:p>
    <w:p w14:paraId="612DACA9" w14:textId="77777777" w:rsidR="00E237B8" w:rsidRPr="00367513" w:rsidRDefault="00E237B8" w:rsidP="00B36C5A">
      <w:pPr>
        <w:tabs>
          <w:tab w:val="left" w:pos="9026"/>
        </w:tabs>
        <w:spacing w:after="240" w:line="240" w:lineRule="auto"/>
        <w:ind w:left="709" w:right="-46"/>
        <w:rPr>
          <w:rFonts w:cstheme="minorHAnsi"/>
        </w:rPr>
      </w:pPr>
      <w:r w:rsidRPr="00367513">
        <w:rPr>
          <w:rFonts w:cstheme="minorHAnsi"/>
        </w:rPr>
        <w:t>All pre-qualified, approved, and strategic business partnership suppliers will be systematically reviewed in line with contract terms and performance criteria (at least three yearly or as required). This requirement will assess whether VFM continues to be achieved by the Town with any renewal or extension of contract arrangements.</w:t>
      </w:r>
    </w:p>
    <w:bookmarkEnd w:id="146"/>
    <w:p w14:paraId="3045CA81" w14:textId="77777777" w:rsidR="00E237B8" w:rsidRPr="00367513" w:rsidRDefault="00E237B8" w:rsidP="007B3B6F">
      <w:pPr>
        <w:pStyle w:val="ListParagraph"/>
        <w:numPr>
          <w:ilvl w:val="0"/>
          <w:numId w:val="548"/>
        </w:numPr>
        <w:tabs>
          <w:tab w:val="left" w:pos="9026"/>
        </w:tabs>
        <w:spacing w:after="0" w:line="240" w:lineRule="auto"/>
        <w:ind w:left="709" w:right="-45" w:hanging="567"/>
        <w:contextualSpacing w:val="0"/>
        <w:jc w:val="both"/>
        <w:rPr>
          <w:rFonts w:cstheme="minorHAnsi"/>
        </w:rPr>
      </w:pPr>
      <w:r w:rsidRPr="00367513">
        <w:rPr>
          <w:rFonts w:cstheme="minorHAnsi"/>
        </w:rPr>
        <w:t>Open and Effective Competition</w:t>
      </w:r>
    </w:p>
    <w:p w14:paraId="00767B0D" w14:textId="77777777" w:rsidR="00E237B8" w:rsidRPr="00367513" w:rsidRDefault="00E237B8" w:rsidP="00B36C5A">
      <w:pPr>
        <w:tabs>
          <w:tab w:val="left" w:pos="9026"/>
        </w:tabs>
        <w:spacing w:after="240" w:line="240" w:lineRule="auto"/>
        <w:ind w:left="709" w:right="-46"/>
        <w:rPr>
          <w:rFonts w:cstheme="minorHAnsi"/>
        </w:rPr>
      </w:pPr>
      <w:r w:rsidRPr="00367513">
        <w:rPr>
          <w:rFonts w:cstheme="minorHAnsi"/>
        </w:rPr>
        <w:t>Competition is encouraged through the sourcing requirements of the procurement thresholds (below) and any allowable exemptions as outlined within this Policy.</w:t>
      </w:r>
    </w:p>
    <w:p w14:paraId="5C5B6070" w14:textId="77777777" w:rsidR="00E237B8" w:rsidRPr="00367513" w:rsidRDefault="00E237B8" w:rsidP="00B36C5A">
      <w:pPr>
        <w:tabs>
          <w:tab w:val="left" w:pos="9026"/>
        </w:tabs>
        <w:spacing w:after="0" w:line="240" w:lineRule="auto"/>
        <w:ind w:left="709" w:right="-45"/>
        <w:rPr>
          <w:rFonts w:cstheme="minorHAnsi"/>
        </w:rPr>
      </w:pPr>
      <w:r w:rsidRPr="00367513">
        <w:rPr>
          <w:rFonts w:cstheme="minorHAnsi"/>
        </w:rPr>
        <w:t>The expected level of effective competition will depend on the pre-determined market engagement strategy (public, selective, pre-qualified) as identified in the procurement plan and the assessed level of procurement risk to the Town. Town employees are to source across a range of diverse suppliers, to ensure market opportunities are considered.</w:t>
      </w:r>
    </w:p>
    <w:p w14:paraId="388F83CD" w14:textId="77777777" w:rsidR="00E237B8" w:rsidRPr="00367513" w:rsidRDefault="00E237B8" w:rsidP="00B36C5A">
      <w:pPr>
        <w:pStyle w:val="BodyText"/>
        <w:spacing w:before="47"/>
        <w:ind w:right="386"/>
        <w:jc w:val="both"/>
        <w:rPr>
          <w:rFonts w:asciiTheme="minorHAnsi" w:hAnsiTheme="minorHAnsi" w:cstheme="minorHAnsi"/>
          <w:szCs w:val="22"/>
        </w:rPr>
      </w:pPr>
    </w:p>
    <w:p w14:paraId="74C02FFA" w14:textId="77777777" w:rsidR="00E237B8" w:rsidRPr="00367513" w:rsidRDefault="00E237B8" w:rsidP="00B36C5A">
      <w:pPr>
        <w:spacing w:before="31" w:after="0" w:line="240" w:lineRule="auto"/>
        <w:ind w:left="100"/>
        <w:jc w:val="both"/>
        <w:rPr>
          <w:rFonts w:cstheme="minorHAnsi"/>
          <w:i/>
        </w:rPr>
      </w:pPr>
      <w:r w:rsidRPr="00367513">
        <w:rPr>
          <w:rFonts w:cstheme="minorHAnsi"/>
          <w:i/>
        </w:rPr>
        <w:t>Purchasing</w:t>
      </w:r>
      <w:r w:rsidRPr="00367513">
        <w:rPr>
          <w:rFonts w:cstheme="minorHAnsi"/>
          <w:i/>
          <w:spacing w:val="-13"/>
        </w:rPr>
        <w:t xml:space="preserve"> </w:t>
      </w:r>
      <w:r w:rsidRPr="00367513">
        <w:rPr>
          <w:rFonts w:cstheme="minorHAnsi"/>
          <w:i/>
        </w:rPr>
        <w:t>Value</w:t>
      </w:r>
      <w:r w:rsidRPr="00367513">
        <w:rPr>
          <w:rFonts w:cstheme="minorHAnsi"/>
          <w:i/>
          <w:spacing w:val="-11"/>
        </w:rPr>
        <w:t xml:space="preserve"> </w:t>
      </w:r>
      <w:r w:rsidRPr="00367513">
        <w:rPr>
          <w:rFonts w:cstheme="minorHAnsi"/>
          <w:i/>
          <w:spacing w:val="-2"/>
        </w:rPr>
        <w:t>Definition</w:t>
      </w:r>
    </w:p>
    <w:p w14:paraId="0BFD883A" w14:textId="77777777" w:rsidR="00E237B8" w:rsidRPr="00367513" w:rsidRDefault="00E237B8" w:rsidP="00B36C5A">
      <w:pPr>
        <w:pStyle w:val="BodyText"/>
        <w:ind w:left="142"/>
        <w:jc w:val="both"/>
        <w:rPr>
          <w:rFonts w:asciiTheme="minorHAnsi" w:hAnsiTheme="minorHAnsi" w:cstheme="minorHAnsi"/>
          <w:szCs w:val="22"/>
        </w:rPr>
      </w:pPr>
      <w:r w:rsidRPr="00367513">
        <w:rPr>
          <w:rFonts w:asciiTheme="minorHAnsi" w:hAnsiTheme="minorHAnsi" w:cstheme="minorHAnsi"/>
          <w:szCs w:val="22"/>
        </w:rPr>
        <w:t>Determining</w:t>
      </w:r>
      <w:r w:rsidRPr="00367513">
        <w:rPr>
          <w:rFonts w:asciiTheme="minorHAnsi" w:hAnsiTheme="minorHAnsi" w:cstheme="minorHAnsi"/>
          <w:spacing w:val="-8"/>
          <w:szCs w:val="22"/>
        </w:rPr>
        <w:t xml:space="preserve"> </w:t>
      </w:r>
      <w:r w:rsidRPr="00367513">
        <w:rPr>
          <w:rFonts w:asciiTheme="minorHAnsi" w:hAnsiTheme="minorHAnsi" w:cstheme="minorHAnsi"/>
          <w:szCs w:val="22"/>
        </w:rPr>
        <w:t>purchasing</w:t>
      </w:r>
      <w:r w:rsidRPr="00367513">
        <w:rPr>
          <w:rFonts w:asciiTheme="minorHAnsi" w:hAnsiTheme="minorHAnsi" w:cstheme="minorHAnsi"/>
          <w:spacing w:val="-8"/>
          <w:szCs w:val="22"/>
        </w:rPr>
        <w:t xml:space="preserve"> </w:t>
      </w:r>
      <w:r w:rsidRPr="00367513">
        <w:rPr>
          <w:rFonts w:asciiTheme="minorHAnsi" w:hAnsiTheme="minorHAnsi" w:cstheme="minorHAnsi"/>
          <w:szCs w:val="22"/>
        </w:rPr>
        <w:t>value</w:t>
      </w:r>
      <w:r w:rsidRPr="00367513">
        <w:rPr>
          <w:rFonts w:asciiTheme="minorHAnsi" w:hAnsiTheme="minorHAnsi" w:cstheme="minorHAnsi"/>
          <w:spacing w:val="-3"/>
          <w:szCs w:val="22"/>
        </w:rPr>
        <w:t xml:space="preserve"> </w:t>
      </w:r>
      <w:r w:rsidRPr="00367513">
        <w:rPr>
          <w:rFonts w:asciiTheme="minorHAnsi" w:hAnsiTheme="minorHAnsi" w:cstheme="minorHAnsi"/>
          <w:szCs w:val="22"/>
        </w:rPr>
        <w:t>is</w:t>
      </w:r>
      <w:r w:rsidRPr="00367513">
        <w:rPr>
          <w:rFonts w:asciiTheme="minorHAnsi" w:hAnsiTheme="minorHAnsi" w:cstheme="minorHAnsi"/>
          <w:spacing w:val="-5"/>
          <w:szCs w:val="22"/>
        </w:rPr>
        <w:t xml:space="preserve"> </w:t>
      </w:r>
      <w:r w:rsidRPr="00367513">
        <w:rPr>
          <w:rFonts w:asciiTheme="minorHAnsi" w:hAnsiTheme="minorHAnsi" w:cstheme="minorHAnsi"/>
          <w:szCs w:val="22"/>
        </w:rPr>
        <w:t>to</w:t>
      </w:r>
      <w:r w:rsidRPr="00367513">
        <w:rPr>
          <w:rFonts w:asciiTheme="minorHAnsi" w:hAnsiTheme="minorHAnsi" w:cstheme="minorHAnsi"/>
          <w:spacing w:val="-4"/>
          <w:szCs w:val="22"/>
        </w:rPr>
        <w:t xml:space="preserve"> </w:t>
      </w:r>
      <w:r w:rsidRPr="00367513">
        <w:rPr>
          <w:rFonts w:asciiTheme="minorHAnsi" w:hAnsiTheme="minorHAnsi" w:cstheme="minorHAnsi"/>
          <w:szCs w:val="22"/>
        </w:rPr>
        <w:t>be</w:t>
      </w:r>
      <w:r w:rsidRPr="00367513">
        <w:rPr>
          <w:rFonts w:asciiTheme="minorHAnsi" w:hAnsiTheme="minorHAnsi" w:cstheme="minorHAnsi"/>
          <w:spacing w:val="-7"/>
          <w:szCs w:val="22"/>
        </w:rPr>
        <w:t xml:space="preserve"> </w:t>
      </w:r>
      <w:r w:rsidRPr="00367513">
        <w:rPr>
          <w:rFonts w:asciiTheme="minorHAnsi" w:hAnsiTheme="minorHAnsi" w:cstheme="minorHAnsi"/>
          <w:szCs w:val="22"/>
        </w:rPr>
        <w:t>based</w:t>
      </w:r>
      <w:r w:rsidRPr="00367513">
        <w:rPr>
          <w:rFonts w:asciiTheme="minorHAnsi" w:hAnsiTheme="minorHAnsi" w:cstheme="minorHAnsi"/>
          <w:spacing w:val="-10"/>
          <w:szCs w:val="22"/>
        </w:rPr>
        <w:t xml:space="preserve"> </w:t>
      </w:r>
      <w:r w:rsidRPr="00367513">
        <w:rPr>
          <w:rFonts w:asciiTheme="minorHAnsi" w:hAnsiTheme="minorHAnsi" w:cstheme="minorHAnsi"/>
          <w:szCs w:val="22"/>
        </w:rPr>
        <w:t>on</w:t>
      </w:r>
      <w:r w:rsidRPr="00367513">
        <w:rPr>
          <w:rFonts w:asciiTheme="minorHAnsi" w:hAnsiTheme="minorHAnsi" w:cstheme="minorHAnsi"/>
          <w:spacing w:val="-6"/>
          <w:szCs w:val="22"/>
        </w:rPr>
        <w:t xml:space="preserve"> </w:t>
      </w:r>
      <w:r w:rsidRPr="00367513">
        <w:rPr>
          <w:rFonts w:asciiTheme="minorHAnsi" w:hAnsiTheme="minorHAnsi" w:cstheme="minorHAnsi"/>
          <w:szCs w:val="22"/>
        </w:rPr>
        <w:t>the</w:t>
      </w:r>
      <w:r w:rsidRPr="00367513">
        <w:rPr>
          <w:rFonts w:asciiTheme="minorHAnsi" w:hAnsiTheme="minorHAnsi" w:cstheme="minorHAnsi"/>
          <w:spacing w:val="-7"/>
          <w:szCs w:val="22"/>
        </w:rPr>
        <w:t xml:space="preserve"> </w:t>
      </w:r>
      <w:r w:rsidRPr="00367513">
        <w:rPr>
          <w:rFonts w:asciiTheme="minorHAnsi" w:hAnsiTheme="minorHAnsi" w:cstheme="minorHAnsi"/>
          <w:szCs w:val="22"/>
        </w:rPr>
        <w:t>following</w:t>
      </w:r>
      <w:r w:rsidRPr="00367513">
        <w:rPr>
          <w:rFonts w:asciiTheme="minorHAnsi" w:hAnsiTheme="minorHAnsi" w:cstheme="minorHAnsi"/>
          <w:spacing w:val="-6"/>
          <w:szCs w:val="22"/>
        </w:rPr>
        <w:t xml:space="preserve"> </w:t>
      </w:r>
      <w:r w:rsidRPr="00367513">
        <w:rPr>
          <w:rFonts w:asciiTheme="minorHAnsi" w:hAnsiTheme="minorHAnsi" w:cstheme="minorHAnsi"/>
          <w:spacing w:val="-2"/>
          <w:szCs w:val="22"/>
        </w:rPr>
        <w:t>considerations:</w:t>
      </w:r>
    </w:p>
    <w:p w14:paraId="185FDD08" w14:textId="77777777" w:rsidR="00E237B8" w:rsidRPr="00367513" w:rsidRDefault="00E237B8" w:rsidP="007B3B6F">
      <w:pPr>
        <w:pStyle w:val="ListParagraph"/>
        <w:widowControl w:val="0"/>
        <w:numPr>
          <w:ilvl w:val="0"/>
          <w:numId w:val="546"/>
        </w:numPr>
        <w:autoSpaceDE w:val="0"/>
        <w:autoSpaceDN w:val="0"/>
        <w:spacing w:before="121" w:after="0" w:line="240" w:lineRule="auto"/>
        <w:ind w:left="709" w:hanging="609"/>
        <w:contextualSpacing w:val="0"/>
        <w:jc w:val="both"/>
        <w:rPr>
          <w:rFonts w:cstheme="minorHAnsi"/>
        </w:rPr>
      </w:pPr>
      <w:r w:rsidRPr="00367513">
        <w:rPr>
          <w:rFonts w:cstheme="minorHAnsi"/>
        </w:rPr>
        <w:t>Exclusive</w:t>
      </w:r>
      <w:r w:rsidRPr="00367513">
        <w:rPr>
          <w:rFonts w:cstheme="minorHAnsi"/>
          <w:spacing w:val="-7"/>
        </w:rPr>
        <w:t xml:space="preserve"> </w:t>
      </w:r>
      <w:r w:rsidRPr="00367513">
        <w:rPr>
          <w:rFonts w:cstheme="minorHAnsi"/>
        </w:rPr>
        <w:t>of</w:t>
      </w:r>
      <w:r w:rsidRPr="00367513">
        <w:rPr>
          <w:rFonts w:cstheme="minorHAnsi"/>
          <w:spacing w:val="-5"/>
        </w:rPr>
        <w:t xml:space="preserve"> </w:t>
      </w:r>
      <w:r w:rsidRPr="00367513">
        <w:rPr>
          <w:rFonts w:cstheme="minorHAnsi"/>
        </w:rPr>
        <w:t>Goods</w:t>
      </w:r>
      <w:r w:rsidRPr="00367513">
        <w:rPr>
          <w:rFonts w:cstheme="minorHAnsi"/>
          <w:spacing w:val="-7"/>
        </w:rPr>
        <w:t xml:space="preserve"> </w:t>
      </w:r>
      <w:r w:rsidRPr="00367513">
        <w:rPr>
          <w:rFonts w:cstheme="minorHAnsi"/>
        </w:rPr>
        <w:t>and</w:t>
      </w:r>
      <w:r w:rsidRPr="00367513">
        <w:rPr>
          <w:rFonts w:cstheme="minorHAnsi"/>
          <w:spacing w:val="-5"/>
        </w:rPr>
        <w:t xml:space="preserve"> </w:t>
      </w:r>
      <w:r w:rsidRPr="00367513">
        <w:rPr>
          <w:rFonts w:cstheme="minorHAnsi"/>
        </w:rPr>
        <w:t>Services</w:t>
      </w:r>
      <w:r w:rsidRPr="00367513">
        <w:rPr>
          <w:rFonts w:cstheme="minorHAnsi"/>
          <w:spacing w:val="-7"/>
        </w:rPr>
        <w:t xml:space="preserve"> </w:t>
      </w:r>
      <w:r w:rsidRPr="00367513">
        <w:rPr>
          <w:rFonts w:cstheme="minorHAnsi"/>
        </w:rPr>
        <w:t>Tax</w:t>
      </w:r>
      <w:r w:rsidRPr="00367513">
        <w:rPr>
          <w:rFonts w:cstheme="minorHAnsi"/>
          <w:spacing w:val="-6"/>
        </w:rPr>
        <w:t xml:space="preserve"> </w:t>
      </w:r>
      <w:r w:rsidRPr="00367513">
        <w:rPr>
          <w:rFonts w:cstheme="minorHAnsi"/>
          <w:spacing w:val="-2"/>
        </w:rPr>
        <w:t>(GST</w:t>
      </w:r>
      <w:proofErr w:type="gramStart"/>
      <w:r w:rsidRPr="00367513">
        <w:rPr>
          <w:rFonts w:cstheme="minorHAnsi"/>
          <w:spacing w:val="-2"/>
        </w:rPr>
        <w:t>);</w:t>
      </w:r>
      <w:proofErr w:type="gramEnd"/>
    </w:p>
    <w:p w14:paraId="30AF4C15" w14:textId="77777777" w:rsidR="00E237B8" w:rsidRPr="00367513" w:rsidRDefault="00E237B8" w:rsidP="007B3B6F">
      <w:pPr>
        <w:pStyle w:val="ListParagraph"/>
        <w:widowControl w:val="0"/>
        <w:numPr>
          <w:ilvl w:val="0"/>
          <w:numId w:val="546"/>
        </w:numPr>
        <w:autoSpaceDE w:val="0"/>
        <w:autoSpaceDN w:val="0"/>
        <w:spacing w:before="60" w:after="0" w:line="240" w:lineRule="auto"/>
        <w:ind w:left="709" w:right="385" w:hanging="609"/>
        <w:contextualSpacing w:val="0"/>
        <w:jc w:val="both"/>
        <w:rPr>
          <w:rFonts w:cstheme="minorHAnsi"/>
        </w:rPr>
      </w:pPr>
      <w:r w:rsidRPr="00367513">
        <w:rPr>
          <w:rFonts w:cstheme="minorHAnsi"/>
        </w:rPr>
        <w:t>The actual or expected value of a contract over the full contract period, including all options to extend; or the extent to which it could be reasonably expected that the Town will continue to purchase a particular category of goods, services or works and what total value is or could be reasonably</w:t>
      </w:r>
      <w:r w:rsidRPr="00367513">
        <w:rPr>
          <w:rFonts w:cstheme="minorHAnsi"/>
          <w:spacing w:val="-3"/>
        </w:rPr>
        <w:t xml:space="preserve"> </w:t>
      </w:r>
      <w:r w:rsidRPr="00367513">
        <w:rPr>
          <w:rFonts w:cstheme="minorHAnsi"/>
        </w:rPr>
        <w:t>expected</w:t>
      </w:r>
      <w:r w:rsidRPr="00367513">
        <w:rPr>
          <w:rFonts w:cstheme="minorHAnsi"/>
          <w:spacing w:val="-4"/>
        </w:rPr>
        <w:t xml:space="preserve"> </w:t>
      </w:r>
      <w:r w:rsidRPr="00367513">
        <w:rPr>
          <w:rFonts w:cstheme="minorHAnsi"/>
        </w:rPr>
        <w:t>to</w:t>
      </w:r>
      <w:r w:rsidRPr="00367513">
        <w:rPr>
          <w:rFonts w:cstheme="minorHAnsi"/>
          <w:spacing w:val="-3"/>
        </w:rPr>
        <w:t xml:space="preserve"> </w:t>
      </w:r>
      <w:r w:rsidRPr="00367513">
        <w:rPr>
          <w:rFonts w:cstheme="minorHAnsi"/>
        </w:rPr>
        <w:t>be</w:t>
      </w:r>
      <w:r w:rsidRPr="00367513">
        <w:rPr>
          <w:rFonts w:cstheme="minorHAnsi"/>
          <w:spacing w:val="-9"/>
        </w:rPr>
        <w:t xml:space="preserve"> </w:t>
      </w:r>
      <w:r w:rsidRPr="00367513">
        <w:rPr>
          <w:rFonts w:cstheme="minorHAnsi"/>
        </w:rPr>
        <w:t>purchased.</w:t>
      </w:r>
      <w:r w:rsidRPr="00367513">
        <w:rPr>
          <w:rFonts w:cstheme="minorHAnsi"/>
          <w:spacing w:val="40"/>
        </w:rPr>
        <w:t xml:space="preserve"> </w:t>
      </w:r>
      <w:r w:rsidRPr="00367513">
        <w:rPr>
          <w:rFonts w:cstheme="minorHAnsi"/>
        </w:rPr>
        <w:t>A</w:t>
      </w:r>
      <w:r w:rsidRPr="00367513">
        <w:rPr>
          <w:rFonts w:cstheme="minorHAnsi"/>
          <w:spacing w:val="-7"/>
        </w:rPr>
        <w:t xml:space="preserve"> </w:t>
      </w:r>
      <w:r w:rsidRPr="00367513">
        <w:rPr>
          <w:rFonts w:cstheme="minorHAnsi"/>
        </w:rPr>
        <w:t>best</w:t>
      </w:r>
      <w:r w:rsidRPr="00367513">
        <w:rPr>
          <w:rFonts w:cstheme="minorHAnsi"/>
          <w:spacing w:val="-3"/>
        </w:rPr>
        <w:t xml:space="preserve"> </w:t>
      </w:r>
      <w:r w:rsidRPr="00367513">
        <w:rPr>
          <w:rFonts w:cstheme="minorHAnsi"/>
        </w:rPr>
        <w:t>practice</w:t>
      </w:r>
      <w:r w:rsidRPr="00367513">
        <w:rPr>
          <w:rFonts w:cstheme="minorHAnsi"/>
          <w:spacing w:val="-11"/>
        </w:rPr>
        <w:t xml:space="preserve"> </w:t>
      </w:r>
      <w:r w:rsidRPr="00367513">
        <w:rPr>
          <w:rFonts w:cstheme="minorHAnsi"/>
        </w:rPr>
        <w:t>suggestion</w:t>
      </w:r>
      <w:r w:rsidRPr="00367513">
        <w:rPr>
          <w:rFonts w:cstheme="minorHAnsi"/>
          <w:spacing w:val="-7"/>
        </w:rPr>
        <w:t xml:space="preserve"> </w:t>
      </w:r>
      <w:r w:rsidRPr="00367513">
        <w:rPr>
          <w:rFonts w:cstheme="minorHAnsi"/>
        </w:rPr>
        <w:t>is</w:t>
      </w:r>
      <w:r w:rsidRPr="00367513">
        <w:rPr>
          <w:rFonts w:cstheme="minorHAnsi"/>
          <w:spacing w:val="-9"/>
        </w:rPr>
        <w:t xml:space="preserve"> </w:t>
      </w:r>
      <w:r w:rsidRPr="00367513">
        <w:rPr>
          <w:rFonts w:cstheme="minorHAnsi"/>
        </w:rPr>
        <w:t>that</w:t>
      </w:r>
      <w:r w:rsidRPr="00367513">
        <w:rPr>
          <w:rFonts w:cstheme="minorHAnsi"/>
          <w:spacing w:val="-6"/>
        </w:rPr>
        <w:t xml:space="preserve"> </w:t>
      </w:r>
      <w:r w:rsidRPr="00367513">
        <w:rPr>
          <w:rFonts w:cstheme="minorHAnsi"/>
        </w:rPr>
        <w:t>if</w:t>
      </w:r>
      <w:r w:rsidRPr="00367513">
        <w:rPr>
          <w:rFonts w:cstheme="minorHAnsi"/>
          <w:spacing w:val="-7"/>
        </w:rPr>
        <w:t xml:space="preserve"> </w:t>
      </w:r>
      <w:r w:rsidRPr="00367513">
        <w:rPr>
          <w:rFonts w:cstheme="minorHAnsi"/>
        </w:rPr>
        <w:t>a</w:t>
      </w:r>
      <w:r w:rsidRPr="00367513">
        <w:rPr>
          <w:rFonts w:cstheme="minorHAnsi"/>
          <w:spacing w:val="-7"/>
        </w:rPr>
        <w:t xml:space="preserve"> </w:t>
      </w:r>
      <w:r w:rsidRPr="00367513">
        <w:rPr>
          <w:rFonts w:cstheme="minorHAnsi"/>
        </w:rPr>
        <w:t>purchasing</w:t>
      </w:r>
      <w:r w:rsidRPr="00367513">
        <w:rPr>
          <w:rFonts w:cstheme="minorHAnsi"/>
          <w:spacing w:val="-5"/>
        </w:rPr>
        <w:t xml:space="preserve"> </w:t>
      </w:r>
      <w:r w:rsidRPr="00367513">
        <w:rPr>
          <w:rFonts w:cstheme="minorHAnsi"/>
        </w:rPr>
        <w:t>threshold is reached within three years for a particular category of goods, services or works, then the purchasing</w:t>
      </w:r>
      <w:r w:rsidRPr="00367513">
        <w:rPr>
          <w:rFonts w:cstheme="minorHAnsi"/>
          <w:spacing w:val="-13"/>
        </w:rPr>
        <w:t xml:space="preserve"> </w:t>
      </w:r>
      <w:r w:rsidRPr="00367513">
        <w:rPr>
          <w:rFonts w:cstheme="minorHAnsi"/>
        </w:rPr>
        <w:t>requirement</w:t>
      </w:r>
      <w:r w:rsidRPr="00367513">
        <w:rPr>
          <w:rFonts w:cstheme="minorHAnsi"/>
          <w:spacing w:val="-13"/>
        </w:rPr>
        <w:t xml:space="preserve"> </w:t>
      </w:r>
      <w:r w:rsidRPr="00367513">
        <w:rPr>
          <w:rFonts w:cstheme="minorHAnsi"/>
        </w:rPr>
        <w:t>under</w:t>
      </w:r>
      <w:r w:rsidRPr="00367513">
        <w:rPr>
          <w:rFonts w:cstheme="minorHAnsi"/>
          <w:spacing w:val="-12"/>
        </w:rPr>
        <w:t xml:space="preserve"> </w:t>
      </w:r>
      <w:r w:rsidRPr="00367513">
        <w:rPr>
          <w:rFonts w:cstheme="minorHAnsi"/>
        </w:rPr>
        <w:t>the</w:t>
      </w:r>
      <w:r w:rsidRPr="00367513">
        <w:rPr>
          <w:rFonts w:cstheme="minorHAnsi"/>
          <w:spacing w:val="-13"/>
        </w:rPr>
        <w:t xml:space="preserve"> </w:t>
      </w:r>
      <w:r w:rsidRPr="00367513">
        <w:rPr>
          <w:rFonts w:cstheme="minorHAnsi"/>
        </w:rPr>
        <w:t>relevant</w:t>
      </w:r>
      <w:r w:rsidRPr="00367513">
        <w:rPr>
          <w:rFonts w:cstheme="minorHAnsi"/>
          <w:spacing w:val="-12"/>
        </w:rPr>
        <w:t xml:space="preserve"> </w:t>
      </w:r>
      <w:r w:rsidRPr="00367513">
        <w:rPr>
          <w:rFonts w:cstheme="minorHAnsi"/>
        </w:rPr>
        <w:t>threshold</w:t>
      </w:r>
      <w:r w:rsidRPr="00367513">
        <w:rPr>
          <w:rFonts w:cstheme="minorHAnsi"/>
          <w:spacing w:val="-13"/>
        </w:rPr>
        <w:t xml:space="preserve"> </w:t>
      </w:r>
      <w:r w:rsidRPr="00367513">
        <w:rPr>
          <w:rFonts w:cstheme="minorHAnsi"/>
        </w:rPr>
        <w:t>(including</w:t>
      </w:r>
      <w:r w:rsidRPr="00367513">
        <w:rPr>
          <w:rFonts w:cstheme="minorHAnsi"/>
          <w:spacing w:val="-13"/>
        </w:rPr>
        <w:t xml:space="preserve"> </w:t>
      </w:r>
      <w:r w:rsidRPr="00367513">
        <w:rPr>
          <w:rFonts w:cstheme="minorHAnsi"/>
        </w:rPr>
        <w:t>the</w:t>
      </w:r>
      <w:r w:rsidRPr="00367513">
        <w:rPr>
          <w:rFonts w:cstheme="minorHAnsi"/>
          <w:spacing w:val="-12"/>
        </w:rPr>
        <w:t xml:space="preserve"> </w:t>
      </w:r>
      <w:r w:rsidRPr="00367513">
        <w:rPr>
          <w:rFonts w:cstheme="minorHAnsi"/>
        </w:rPr>
        <w:t>tender</w:t>
      </w:r>
      <w:r w:rsidRPr="00367513">
        <w:rPr>
          <w:rFonts w:cstheme="minorHAnsi"/>
          <w:spacing w:val="-13"/>
        </w:rPr>
        <w:t xml:space="preserve"> </w:t>
      </w:r>
      <w:r w:rsidRPr="00367513">
        <w:rPr>
          <w:rFonts w:cstheme="minorHAnsi"/>
        </w:rPr>
        <w:t>threshold)</w:t>
      </w:r>
      <w:r w:rsidRPr="00367513">
        <w:rPr>
          <w:rFonts w:cstheme="minorHAnsi"/>
          <w:spacing w:val="-14"/>
        </w:rPr>
        <w:t xml:space="preserve"> </w:t>
      </w:r>
      <w:r w:rsidRPr="00367513">
        <w:rPr>
          <w:rFonts w:cstheme="minorHAnsi"/>
        </w:rPr>
        <w:t>must</w:t>
      </w:r>
      <w:r w:rsidRPr="00367513">
        <w:rPr>
          <w:rFonts w:cstheme="minorHAnsi"/>
          <w:spacing w:val="-12"/>
        </w:rPr>
        <w:t xml:space="preserve"> </w:t>
      </w:r>
      <w:r w:rsidRPr="00367513">
        <w:rPr>
          <w:rFonts w:cstheme="minorHAnsi"/>
        </w:rPr>
        <w:t>apply.</w:t>
      </w:r>
    </w:p>
    <w:p w14:paraId="500682BE" w14:textId="77777777" w:rsidR="00E237B8" w:rsidRPr="00367513" w:rsidRDefault="00E237B8" w:rsidP="007B3B6F">
      <w:pPr>
        <w:pStyle w:val="ListParagraph"/>
        <w:widowControl w:val="0"/>
        <w:numPr>
          <w:ilvl w:val="0"/>
          <w:numId w:val="546"/>
        </w:numPr>
        <w:autoSpaceDE w:val="0"/>
        <w:autoSpaceDN w:val="0"/>
        <w:spacing w:before="61" w:after="0" w:line="240" w:lineRule="auto"/>
        <w:ind w:left="709" w:right="390" w:hanging="609"/>
        <w:contextualSpacing w:val="0"/>
        <w:jc w:val="both"/>
        <w:rPr>
          <w:rFonts w:cstheme="minorHAnsi"/>
        </w:rPr>
      </w:pPr>
      <w:r w:rsidRPr="00367513">
        <w:rPr>
          <w:rFonts w:cstheme="minorHAnsi"/>
        </w:rPr>
        <w:t>Must</w:t>
      </w:r>
      <w:r w:rsidRPr="00367513">
        <w:rPr>
          <w:rFonts w:cstheme="minorHAnsi"/>
          <w:spacing w:val="-3"/>
        </w:rPr>
        <w:t xml:space="preserve"> </w:t>
      </w:r>
      <w:r w:rsidRPr="00367513">
        <w:rPr>
          <w:rFonts w:cstheme="minorHAnsi"/>
        </w:rPr>
        <w:t>incorporate</w:t>
      </w:r>
      <w:r w:rsidRPr="00367513">
        <w:rPr>
          <w:rFonts w:cstheme="minorHAnsi"/>
          <w:spacing w:val="-1"/>
        </w:rPr>
        <w:t xml:space="preserve"> </w:t>
      </w:r>
      <w:r w:rsidRPr="00367513">
        <w:rPr>
          <w:rFonts w:cstheme="minorHAnsi"/>
        </w:rPr>
        <w:t>any</w:t>
      </w:r>
      <w:r w:rsidRPr="00367513">
        <w:rPr>
          <w:rFonts w:cstheme="minorHAnsi"/>
          <w:spacing w:val="-2"/>
        </w:rPr>
        <w:t xml:space="preserve"> </w:t>
      </w:r>
      <w:r w:rsidRPr="00367513">
        <w:rPr>
          <w:rFonts w:cstheme="minorHAnsi"/>
        </w:rPr>
        <w:t>variation</w:t>
      </w:r>
      <w:r w:rsidRPr="00367513">
        <w:rPr>
          <w:rFonts w:cstheme="minorHAnsi"/>
          <w:spacing w:val="-3"/>
        </w:rPr>
        <w:t xml:space="preserve"> </w:t>
      </w:r>
      <w:r w:rsidRPr="00367513">
        <w:rPr>
          <w:rFonts w:cstheme="minorHAnsi"/>
        </w:rPr>
        <w:t>to</w:t>
      </w:r>
      <w:r w:rsidRPr="00367513">
        <w:rPr>
          <w:rFonts w:cstheme="minorHAnsi"/>
          <w:spacing w:val="-2"/>
        </w:rPr>
        <w:t xml:space="preserve"> </w:t>
      </w:r>
      <w:r w:rsidRPr="00367513">
        <w:rPr>
          <w:rFonts w:cstheme="minorHAnsi"/>
        </w:rPr>
        <w:t>the</w:t>
      </w:r>
      <w:r w:rsidRPr="00367513">
        <w:rPr>
          <w:rFonts w:cstheme="minorHAnsi"/>
          <w:spacing w:val="-6"/>
        </w:rPr>
        <w:t xml:space="preserve"> </w:t>
      </w:r>
      <w:r w:rsidRPr="00367513">
        <w:rPr>
          <w:rFonts w:cstheme="minorHAnsi"/>
        </w:rPr>
        <w:t>scope</w:t>
      </w:r>
      <w:r w:rsidRPr="00367513">
        <w:rPr>
          <w:rFonts w:cstheme="minorHAnsi"/>
          <w:spacing w:val="-5"/>
        </w:rPr>
        <w:t xml:space="preserve"> </w:t>
      </w:r>
      <w:r w:rsidRPr="00367513">
        <w:rPr>
          <w:rFonts w:cstheme="minorHAnsi"/>
        </w:rPr>
        <w:t>of</w:t>
      </w:r>
      <w:r w:rsidRPr="00367513">
        <w:rPr>
          <w:rFonts w:cstheme="minorHAnsi"/>
          <w:spacing w:val="-3"/>
        </w:rPr>
        <w:t xml:space="preserve"> </w:t>
      </w:r>
      <w:r w:rsidRPr="00367513">
        <w:rPr>
          <w:rFonts w:cstheme="minorHAnsi"/>
        </w:rPr>
        <w:t>the</w:t>
      </w:r>
      <w:r w:rsidRPr="00367513">
        <w:rPr>
          <w:rFonts w:cstheme="minorHAnsi"/>
          <w:spacing w:val="-3"/>
        </w:rPr>
        <w:t xml:space="preserve"> </w:t>
      </w:r>
      <w:r w:rsidRPr="00367513">
        <w:rPr>
          <w:rFonts w:cstheme="minorHAnsi"/>
        </w:rPr>
        <w:t>purchase</w:t>
      </w:r>
      <w:r w:rsidRPr="00367513">
        <w:rPr>
          <w:rFonts w:cstheme="minorHAnsi"/>
          <w:spacing w:val="-1"/>
        </w:rPr>
        <w:t xml:space="preserve"> </w:t>
      </w:r>
      <w:r w:rsidRPr="00367513">
        <w:rPr>
          <w:rFonts w:cstheme="minorHAnsi"/>
        </w:rPr>
        <w:t>and</w:t>
      </w:r>
      <w:r w:rsidRPr="00367513">
        <w:rPr>
          <w:rFonts w:cstheme="minorHAnsi"/>
          <w:spacing w:val="-4"/>
        </w:rPr>
        <w:t xml:space="preserve"> </w:t>
      </w:r>
      <w:r w:rsidRPr="00367513">
        <w:rPr>
          <w:rFonts w:cstheme="minorHAnsi"/>
        </w:rPr>
        <w:t>be</w:t>
      </w:r>
      <w:r w:rsidRPr="00367513">
        <w:rPr>
          <w:rFonts w:cstheme="minorHAnsi"/>
          <w:spacing w:val="-3"/>
        </w:rPr>
        <w:t xml:space="preserve"> </w:t>
      </w:r>
      <w:r w:rsidRPr="00367513">
        <w:rPr>
          <w:rFonts w:cstheme="minorHAnsi"/>
        </w:rPr>
        <w:t>limited</w:t>
      </w:r>
      <w:r w:rsidRPr="00367513">
        <w:rPr>
          <w:rFonts w:cstheme="minorHAnsi"/>
          <w:spacing w:val="-5"/>
        </w:rPr>
        <w:t xml:space="preserve"> </w:t>
      </w:r>
      <w:r w:rsidRPr="00367513">
        <w:rPr>
          <w:rFonts w:cstheme="minorHAnsi"/>
        </w:rPr>
        <w:t>to</w:t>
      </w:r>
      <w:r w:rsidRPr="00367513">
        <w:rPr>
          <w:rFonts w:cstheme="minorHAnsi"/>
          <w:spacing w:val="-1"/>
        </w:rPr>
        <w:t xml:space="preserve"> </w:t>
      </w:r>
      <w:r w:rsidRPr="00367513">
        <w:rPr>
          <w:rFonts w:cstheme="minorHAnsi"/>
        </w:rPr>
        <w:t>a</w:t>
      </w:r>
      <w:r w:rsidRPr="00367513">
        <w:rPr>
          <w:rFonts w:cstheme="minorHAnsi"/>
          <w:spacing w:val="-6"/>
        </w:rPr>
        <w:t xml:space="preserve"> </w:t>
      </w:r>
      <w:r w:rsidRPr="00367513">
        <w:rPr>
          <w:rFonts w:cstheme="minorHAnsi"/>
        </w:rPr>
        <w:t>10%</w:t>
      </w:r>
      <w:r w:rsidRPr="00367513">
        <w:rPr>
          <w:rFonts w:cstheme="minorHAnsi"/>
          <w:spacing w:val="-2"/>
        </w:rPr>
        <w:t xml:space="preserve"> </w:t>
      </w:r>
      <w:r w:rsidRPr="00367513">
        <w:rPr>
          <w:rFonts w:cstheme="minorHAnsi"/>
        </w:rPr>
        <w:t>tolerance</w:t>
      </w:r>
      <w:r w:rsidRPr="00367513">
        <w:rPr>
          <w:rFonts w:cstheme="minorHAnsi"/>
          <w:spacing w:val="-4"/>
        </w:rPr>
        <w:t xml:space="preserve"> </w:t>
      </w:r>
      <w:r w:rsidRPr="00367513">
        <w:rPr>
          <w:rFonts w:cstheme="minorHAnsi"/>
        </w:rPr>
        <w:t>of the original purchasing value.</w:t>
      </w:r>
    </w:p>
    <w:p w14:paraId="24D286F2" w14:textId="77777777" w:rsidR="00E237B8" w:rsidRPr="00B36C5A" w:rsidRDefault="00E237B8" w:rsidP="00B36C5A">
      <w:pPr>
        <w:pStyle w:val="Heading1"/>
        <w:spacing w:before="201" w:line="240" w:lineRule="auto"/>
        <w:ind w:left="142"/>
        <w:rPr>
          <w:rFonts w:asciiTheme="minorHAnsi" w:hAnsiTheme="minorHAnsi" w:cstheme="minorHAnsi"/>
          <w:color w:val="auto"/>
          <w:sz w:val="22"/>
          <w:szCs w:val="22"/>
          <w:u w:val="single"/>
        </w:rPr>
      </w:pPr>
      <w:r w:rsidRPr="00B36C5A">
        <w:rPr>
          <w:rFonts w:asciiTheme="minorHAnsi" w:hAnsiTheme="minorHAnsi" w:cstheme="minorHAnsi"/>
          <w:color w:val="auto"/>
          <w:sz w:val="22"/>
          <w:szCs w:val="22"/>
          <w:u w:val="single"/>
        </w:rPr>
        <w:t>Purchasing</w:t>
      </w:r>
      <w:r w:rsidRPr="00B36C5A">
        <w:rPr>
          <w:rFonts w:asciiTheme="minorHAnsi" w:hAnsiTheme="minorHAnsi" w:cstheme="minorHAnsi"/>
          <w:color w:val="auto"/>
          <w:spacing w:val="-9"/>
          <w:sz w:val="22"/>
          <w:szCs w:val="22"/>
          <w:u w:val="single"/>
        </w:rPr>
        <w:t xml:space="preserve"> </w:t>
      </w:r>
      <w:r w:rsidRPr="00B36C5A">
        <w:rPr>
          <w:rFonts w:asciiTheme="minorHAnsi" w:hAnsiTheme="minorHAnsi" w:cstheme="minorHAnsi"/>
          <w:color w:val="auto"/>
          <w:spacing w:val="-2"/>
          <w:sz w:val="22"/>
          <w:szCs w:val="22"/>
          <w:u w:val="single"/>
        </w:rPr>
        <w:t>Thresholds</w:t>
      </w:r>
    </w:p>
    <w:p w14:paraId="3B8FB62D" w14:textId="77777777" w:rsidR="00E237B8" w:rsidRPr="00367513" w:rsidRDefault="00E237B8" w:rsidP="00B36C5A">
      <w:pPr>
        <w:pStyle w:val="BodyText"/>
        <w:spacing w:before="41"/>
        <w:ind w:left="142" w:right="393"/>
        <w:jc w:val="both"/>
        <w:rPr>
          <w:rFonts w:asciiTheme="minorHAnsi" w:hAnsiTheme="minorHAnsi" w:cstheme="minorHAnsi"/>
          <w:spacing w:val="-2"/>
          <w:szCs w:val="22"/>
        </w:rPr>
      </w:pPr>
      <w:r w:rsidRPr="00367513">
        <w:rPr>
          <w:rFonts w:asciiTheme="minorHAnsi" w:hAnsiTheme="minorHAnsi" w:cstheme="minorHAnsi"/>
          <w:szCs w:val="22"/>
        </w:rPr>
        <w:t>The table below</w:t>
      </w:r>
      <w:r w:rsidRPr="00367513">
        <w:rPr>
          <w:rFonts w:asciiTheme="minorHAnsi" w:hAnsiTheme="minorHAnsi" w:cstheme="minorHAnsi"/>
          <w:spacing w:val="-4"/>
          <w:szCs w:val="22"/>
        </w:rPr>
        <w:t xml:space="preserve"> </w:t>
      </w:r>
      <w:r w:rsidRPr="00367513">
        <w:rPr>
          <w:rFonts w:asciiTheme="minorHAnsi" w:hAnsiTheme="minorHAnsi" w:cstheme="minorHAnsi"/>
          <w:szCs w:val="22"/>
        </w:rPr>
        <w:t>prescribes</w:t>
      </w:r>
      <w:r w:rsidRPr="00367513">
        <w:rPr>
          <w:rFonts w:asciiTheme="minorHAnsi" w:hAnsiTheme="minorHAnsi" w:cstheme="minorHAnsi"/>
          <w:spacing w:val="-3"/>
          <w:szCs w:val="22"/>
        </w:rPr>
        <w:t xml:space="preserve"> </w:t>
      </w:r>
      <w:r w:rsidRPr="00367513">
        <w:rPr>
          <w:rFonts w:asciiTheme="minorHAnsi" w:hAnsiTheme="minorHAnsi" w:cstheme="minorHAnsi"/>
          <w:szCs w:val="22"/>
        </w:rPr>
        <w:t>the purchasing</w:t>
      </w:r>
      <w:r w:rsidRPr="00367513">
        <w:rPr>
          <w:rFonts w:asciiTheme="minorHAnsi" w:hAnsiTheme="minorHAnsi" w:cstheme="minorHAnsi"/>
          <w:spacing w:val="-2"/>
          <w:szCs w:val="22"/>
        </w:rPr>
        <w:t xml:space="preserve"> </w:t>
      </w:r>
      <w:r w:rsidRPr="00367513">
        <w:rPr>
          <w:rFonts w:asciiTheme="minorHAnsi" w:hAnsiTheme="minorHAnsi" w:cstheme="minorHAnsi"/>
          <w:szCs w:val="22"/>
        </w:rPr>
        <w:t>process</w:t>
      </w:r>
      <w:r w:rsidRPr="00367513">
        <w:rPr>
          <w:rFonts w:asciiTheme="minorHAnsi" w:hAnsiTheme="minorHAnsi" w:cstheme="minorHAnsi"/>
          <w:spacing w:val="-1"/>
          <w:szCs w:val="22"/>
        </w:rPr>
        <w:t xml:space="preserve"> </w:t>
      </w:r>
      <w:r w:rsidRPr="00367513">
        <w:rPr>
          <w:rFonts w:asciiTheme="minorHAnsi" w:hAnsiTheme="minorHAnsi" w:cstheme="minorHAnsi"/>
          <w:szCs w:val="22"/>
        </w:rPr>
        <w:t>that the</w:t>
      </w:r>
      <w:r w:rsidRPr="00367513">
        <w:rPr>
          <w:rFonts w:asciiTheme="minorHAnsi" w:hAnsiTheme="minorHAnsi" w:cstheme="minorHAnsi"/>
          <w:spacing w:val="-7"/>
          <w:szCs w:val="22"/>
        </w:rPr>
        <w:t xml:space="preserve"> </w:t>
      </w:r>
      <w:r w:rsidRPr="00367513">
        <w:rPr>
          <w:rFonts w:asciiTheme="minorHAnsi" w:hAnsiTheme="minorHAnsi" w:cstheme="minorHAnsi"/>
          <w:szCs w:val="22"/>
        </w:rPr>
        <w:t>Town</w:t>
      </w:r>
      <w:r w:rsidRPr="00367513">
        <w:rPr>
          <w:rFonts w:asciiTheme="minorHAnsi" w:hAnsiTheme="minorHAnsi" w:cstheme="minorHAnsi"/>
          <w:spacing w:val="-4"/>
          <w:szCs w:val="22"/>
        </w:rPr>
        <w:t xml:space="preserve"> </w:t>
      </w:r>
      <w:r w:rsidRPr="00367513">
        <w:rPr>
          <w:rFonts w:asciiTheme="minorHAnsi" w:hAnsiTheme="minorHAnsi" w:cstheme="minorHAnsi"/>
          <w:szCs w:val="22"/>
        </w:rPr>
        <w:t>must</w:t>
      </w:r>
      <w:r w:rsidRPr="00367513">
        <w:rPr>
          <w:rFonts w:asciiTheme="minorHAnsi" w:hAnsiTheme="minorHAnsi" w:cstheme="minorHAnsi"/>
          <w:spacing w:val="-1"/>
          <w:szCs w:val="22"/>
        </w:rPr>
        <w:t xml:space="preserve"> </w:t>
      </w:r>
      <w:r w:rsidRPr="00367513">
        <w:rPr>
          <w:rFonts w:asciiTheme="minorHAnsi" w:hAnsiTheme="minorHAnsi" w:cstheme="minorHAnsi"/>
          <w:szCs w:val="22"/>
        </w:rPr>
        <w:t>follow, based</w:t>
      </w:r>
      <w:r w:rsidRPr="00367513">
        <w:rPr>
          <w:rFonts w:asciiTheme="minorHAnsi" w:hAnsiTheme="minorHAnsi" w:cstheme="minorHAnsi"/>
          <w:spacing w:val="-2"/>
          <w:szCs w:val="22"/>
        </w:rPr>
        <w:t xml:space="preserve"> </w:t>
      </w:r>
      <w:r w:rsidRPr="00367513">
        <w:rPr>
          <w:rFonts w:asciiTheme="minorHAnsi" w:hAnsiTheme="minorHAnsi" w:cstheme="minorHAnsi"/>
          <w:szCs w:val="22"/>
        </w:rPr>
        <w:t>on</w:t>
      </w:r>
      <w:r w:rsidRPr="00367513">
        <w:rPr>
          <w:rFonts w:asciiTheme="minorHAnsi" w:hAnsiTheme="minorHAnsi" w:cstheme="minorHAnsi"/>
          <w:spacing w:val="-5"/>
          <w:szCs w:val="22"/>
        </w:rPr>
        <w:t xml:space="preserve"> </w:t>
      </w:r>
      <w:r w:rsidRPr="00367513">
        <w:rPr>
          <w:rFonts w:asciiTheme="minorHAnsi" w:hAnsiTheme="minorHAnsi" w:cstheme="minorHAnsi"/>
          <w:szCs w:val="22"/>
        </w:rPr>
        <w:t>the</w:t>
      </w:r>
      <w:r w:rsidRPr="00367513">
        <w:rPr>
          <w:rFonts w:asciiTheme="minorHAnsi" w:hAnsiTheme="minorHAnsi" w:cstheme="minorHAnsi"/>
          <w:spacing w:val="-4"/>
          <w:szCs w:val="22"/>
        </w:rPr>
        <w:t xml:space="preserve"> </w:t>
      </w:r>
      <w:r w:rsidRPr="00367513">
        <w:rPr>
          <w:rFonts w:asciiTheme="minorHAnsi" w:hAnsiTheme="minorHAnsi" w:cstheme="minorHAnsi"/>
          <w:szCs w:val="22"/>
        </w:rPr>
        <w:t xml:space="preserve">purchase </w:t>
      </w:r>
      <w:r w:rsidRPr="00367513">
        <w:rPr>
          <w:rFonts w:asciiTheme="minorHAnsi" w:hAnsiTheme="minorHAnsi" w:cstheme="minorHAnsi"/>
          <w:spacing w:val="-2"/>
          <w:szCs w:val="22"/>
        </w:rPr>
        <w:t>value:</w:t>
      </w:r>
    </w:p>
    <w:p w14:paraId="134CA209" w14:textId="77777777" w:rsidR="00E237B8" w:rsidRDefault="00E237B8" w:rsidP="00E237B8">
      <w:pPr>
        <w:rPr>
          <w:spacing w:val="-2"/>
        </w:rPr>
      </w:pPr>
      <w:r>
        <w:rPr>
          <w:spacing w:val="-2"/>
        </w:rPr>
        <w:br w:type="page"/>
      </w:r>
    </w:p>
    <w:p w14:paraId="7DF0E3E5" w14:textId="77777777" w:rsidR="00E237B8" w:rsidRDefault="00E237B8" w:rsidP="00E237B8">
      <w:pPr>
        <w:pStyle w:val="BodyText"/>
        <w:spacing w:before="1"/>
        <w:ind w:left="0"/>
        <w:rPr>
          <w:sz w:val="10"/>
        </w:rPr>
      </w:pPr>
    </w:p>
    <w:tbl>
      <w:tblPr>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0"/>
        <w:gridCol w:w="6606"/>
      </w:tblGrid>
      <w:tr w:rsidR="00E237B8" w14:paraId="26400DA1" w14:textId="77777777" w:rsidTr="009C0390">
        <w:trPr>
          <w:trHeight w:val="777"/>
        </w:trPr>
        <w:tc>
          <w:tcPr>
            <w:tcW w:w="2470" w:type="dxa"/>
            <w:shd w:val="clear" w:color="auto" w:fill="DAECF3"/>
          </w:tcPr>
          <w:p w14:paraId="1D63C3FA" w14:textId="77777777" w:rsidR="00E237B8" w:rsidRPr="00B36C5A" w:rsidRDefault="00E237B8" w:rsidP="009C0390">
            <w:pPr>
              <w:pStyle w:val="TableParagraph"/>
              <w:spacing w:before="116"/>
              <w:ind w:left="794" w:right="528" w:hanging="240"/>
              <w:rPr>
                <w:rFonts w:asciiTheme="minorHAnsi" w:hAnsiTheme="minorHAnsi" w:cstheme="minorHAnsi"/>
              </w:rPr>
            </w:pPr>
            <w:r w:rsidRPr="00B36C5A">
              <w:rPr>
                <w:rFonts w:asciiTheme="minorHAnsi" w:hAnsiTheme="minorHAnsi" w:cstheme="minorHAnsi"/>
              </w:rPr>
              <w:t>Purchase</w:t>
            </w:r>
            <w:r w:rsidRPr="00B36C5A">
              <w:rPr>
                <w:rFonts w:asciiTheme="minorHAnsi" w:hAnsiTheme="minorHAnsi" w:cstheme="minorHAnsi"/>
                <w:spacing w:val="-13"/>
              </w:rPr>
              <w:t xml:space="preserve"> </w:t>
            </w:r>
            <w:r w:rsidRPr="00B36C5A">
              <w:rPr>
                <w:rFonts w:asciiTheme="minorHAnsi" w:hAnsiTheme="minorHAnsi" w:cstheme="minorHAnsi"/>
              </w:rPr>
              <w:t xml:space="preserve">Value </w:t>
            </w:r>
            <w:r w:rsidRPr="00B36C5A">
              <w:rPr>
                <w:rFonts w:asciiTheme="minorHAnsi" w:hAnsiTheme="minorHAnsi" w:cstheme="minorHAnsi"/>
                <w:spacing w:val="-2"/>
              </w:rPr>
              <w:t>Threshold</w:t>
            </w:r>
          </w:p>
        </w:tc>
        <w:tc>
          <w:tcPr>
            <w:tcW w:w="6606" w:type="dxa"/>
            <w:shd w:val="clear" w:color="auto" w:fill="DAECF3"/>
          </w:tcPr>
          <w:p w14:paraId="176203FF" w14:textId="77777777" w:rsidR="00E237B8" w:rsidRPr="00B36C5A" w:rsidRDefault="00E237B8" w:rsidP="009C0390">
            <w:pPr>
              <w:pStyle w:val="TableParagraph"/>
              <w:spacing w:before="116"/>
              <w:ind w:left="21"/>
              <w:jc w:val="center"/>
              <w:rPr>
                <w:rFonts w:asciiTheme="minorHAnsi" w:hAnsiTheme="minorHAnsi" w:cstheme="minorHAnsi"/>
              </w:rPr>
            </w:pPr>
            <w:r w:rsidRPr="00B36C5A">
              <w:rPr>
                <w:rFonts w:asciiTheme="minorHAnsi" w:hAnsiTheme="minorHAnsi" w:cstheme="minorHAnsi"/>
              </w:rPr>
              <w:t>Purchasing</w:t>
            </w:r>
            <w:r w:rsidRPr="00B36C5A">
              <w:rPr>
                <w:rFonts w:asciiTheme="minorHAnsi" w:hAnsiTheme="minorHAnsi" w:cstheme="minorHAnsi"/>
                <w:spacing w:val="-11"/>
              </w:rPr>
              <w:t xml:space="preserve"> </w:t>
            </w:r>
            <w:r w:rsidRPr="00B36C5A">
              <w:rPr>
                <w:rFonts w:asciiTheme="minorHAnsi" w:hAnsiTheme="minorHAnsi" w:cstheme="minorHAnsi"/>
                <w:spacing w:val="-2"/>
              </w:rPr>
              <w:t>Requirement</w:t>
            </w:r>
          </w:p>
        </w:tc>
      </w:tr>
      <w:tr w:rsidR="00E237B8" w14:paraId="5CC63431" w14:textId="77777777" w:rsidTr="009C0390">
        <w:trPr>
          <w:trHeight w:val="3152"/>
        </w:trPr>
        <w:tc>
          <w:tcPr>
            <w:tcW w:w="2470" w:type="dxa"/>
          </w:tcPr>
          <w:p w14:paraId="0257919D" w14:textId="77777777" w:rsidR="00E237B8" w:rsidRPr="00B36C5A" w:rsidRDefault="00E237B8" w:rsidP="009C0390">
            <w:pPr>
              <w:pStyle w:val="TableParagraph"/>
              <w:spacing w:before="116"/>
              <w:ind w:right="638" w:hanging="164"/>
              <w:rPr>
                <w:rFonts w:asciiTheme="minorHAnsi" w:hAnsiTheme="minorHAnsi" w:cstheme="minorHAnsi"/>
              </w:rPr>
            </w:pPr>
            <w:r w:rsidRPr="00B36C5A">
              <w:rPr>
                <w:rFonts w:asciiTheme="minorHAnsi" w:hAnsiTheme="minorHAnsi" w:cstheme="minorHAnsi"/>
              </w:rPr>
              <w:t>Up</w:t>
            </w:r>
            <w:r w:rsidRPr="00B36C5A">
              <w:rPr>
                <w:rFonts w:asciiTheme="minorHAnsi" w:hAnsiTheme="minorHAnsi" w:cstheme="minorHAnsi"/>
                <w:spacing w:val="-13"/>
              </w:rPr>
              <w:t xml:space="preserve"> </w:t>
            </w:r>
            <w:r w:rsidRPr="00B36C5A">
              <w:rPr>
                <w:rFonts w:asciiTheme="minorHAnsi" w:hAnsiTheme="minorHAnsi" w:cstheme="minorHAnsi"/>
              </w:rPr>
              <w:t>to</w:t>
            </w:r>
            <w:r w:rsidRPr="00B36C5A">
              <w:rPr>
                <w:rFonts w:asciiTheme="minorHAnsi" w:hAnsiTheme="minorHAnsi" w:cstheme="minorHAnsi"/>
                <w:spacing w:val="-12"/>
              </w:rPr>
              <w:t xml:space="preserve"> </w:t>
            </w:r>
            <w:r w:rsidRPr="00B36C5A">
              <w:rPr>
                <w:rFonts w:asciiTheme="minorHAnsi" w:hAnsiTheme="minorHAnsi" w:cstheme="minorHAnsi"/>
              </w:rPr>
              <w:t>$5,000 (</w:t>
            </w:r>
            <w:proofErr w:type="spellStart"/>
            <w:r w:rsidRPr="00B36C5A">
              <w:rPr>
                <w:rFonts w:asciiTheme="minorHAnsi" w:hAnsiTheme="minorHAnsi" w:cstheme="minorHAnsi"/>
              </w:rPr>
              <w:t>exc</w:t>
            </w:r>
            <w:proofErr w:type="spellEnd"/>
            <w:r w:rsidRPr="00B36C5A">
              <w:rPr>
                <w:rFonts w:asciiTheme="minorHAnsi" w:hAnsiTheme="minorHAnsi" w:cstheme="minorHAnsi"/>
              </w:rPr>
              <w:t xml:space="preserve"> GST)</w:t>
            </w:r>
          </w:p>
        </w:tc>
        <w:tc>
          <w:tcPr>
            <w:tcW w:w="6606" w:type="dxa"/>
          </w:tcPr>
          <w:p w14:paraId="7479E962" w14:textId="77777777" w:rsidR="00E237B8" w:rsidRPr="00B36C5A" w:rsidRDefault="00E237B8" w:rsidP="009C0390">
            <w:pPr>
              <w:pStyle w:val="TableParagraph"/>
              <w:spacing w:before="116"/>
              <w:ind w:left="268" w:right="234"/>
              <w:jc w:val="both"/>
              <w:rPr>
                <w:rFonts w:asciiTheme="minorHAnsi" w:hAnsiTheme="minorHAnsi" w:cstheme="minorHAnsi"/>
              </w:rPr>
            </w:pPr>
            <w:r w:rsidRPr="00B36C5A">
              <w:rPr>
                <w:rFonts w:asciiTheme="minorHAnsi" w:hAnsiTheme="minorHAnsi" w:cstheme="minorHAnsi"/>
              </w:rPr>
              <w:t>Purchase directly from a supplier using a Purchasing or Corporate Credit Card issued by the Town, or obtain at least one (1) oral or written quotation from a suitable supplier, either from:</w:t>
            </w:r>
          </w:p>
          <w:p w14:paraId="03FB3B09" w14:textId="77777777" w:rsidR="00E237B8" w:rsidRPr="00B36C5A" w:rsidRDefault="00E237B8" w:rsidP="007B3B6F">
            <w:pPr>
              <w:pStyle w:val="TableParagraph"/>
              <w:numPr>
                <w:ilvl w:val="0"/>
                <w:numId w:val="545"/>
              </w:numPr>
              <w:tabs>
                <w:tab w:val="left" w:pos="515"/>
              </w:tabs>
              <w:spacing w:before="122"/>
              <w:ind w:right="233"/>
              <w:jc w:val="both"/>
              <w:rPr>
                <w:rFonts w:asciiTheme="minorHAnsi" w:hAnsiTheme="minorHAnsi" w:cstheme="minorHAnsi"/>
              </w:rPr>
            </w:pPr>
            <w:r w:rsidRPr="00B36C5A">
              <w:rPr>
                <w:rFonts w:asciiTheme="minorHAnsi" w:hAnsiTheme="minorHAnsi" w:cstheme="minorHAnsi"/>
              </w:rPr>
              <w:t>an existing panel of pre-qualified suppliers administered by the Town; or</w:t>
            </w:r>
          </w:p>
          <w:p w14:paraId="581477FF" w14:textId="77777777" w:rsidR="00E237B8" w:rsidRPr="00B36C5A" w:rsidRDefault="00E237B8" w:rsidP="007B3B6F">
            <w:pPr>
              <w:pStyle w:val="TableParagraph"/>
              <w:numPr>
                <w:ilvl w:val="0"/>
                <w:numId w:val="545"/>
              </w:numPr>
              <w:tabs>
                <w:tab w:val="left" w:pos="515"/>
              </w:tabs>
              <w:spacing w:before="5" w:line="237" w:lineRule="auto"/>
              <w:ind w:right="233"/>
              <w:jc w:val="both"/>
              <w:rPr>
                <w:rFonts w:asciiTheme="minorHAnsi" w:hAnsiTheme="minorHAnsi" w:cstheme="minorHAnsi"/>
              </w:rPr>
            </w:pPr>
            <w:r w:rsidRPr="00B36C5A">
              <w:rPr>
                <w:rFonts w:asciiTheme="minorHAnsi" w:hAnsiTheme="minorHAnsi" w:cstheme="minorHAnsi"/>
              </w:rPr>
              <w:t>a</w:t>
            </w:r>
            <w:r w:rsidRPr="00B36C5A">
              <w:rPr>
                <w:rFonts w:asciiTheme="minorHAnsi" w:hAnsiTheme="minorHAnsi" w:cstheme="minorHAnsi"/>
                <w:spacing w:val="-2"/>
              </w:rPr>
              <w:t xml:space="preserve"> </w:t>
            </w:r>
            <w:r w:rsidRPr="00B36C5A">
              <w:rPr>
                <w:rFonts w:asciiTheme="minorHAnsi" w:hAnsiTheme="minorHAnsi" w:cstheme="minorHAnsi"/>
              </w:rPr>
              <w:t>pre-qualified</w:t>
            </w:r>
            <w:r w:rsidRPr="00B36C5A">
              <w:rPr>
                <w:rFonts w:asciiTheme="minorHAnsi" w:hAnsiTheme="minorHAnsi" w:cstheme="minorHAnsi"/>
                <w:spacing w:val="-2"/>
              </w:rPr>
              <w:t xml:space="preserve"> </w:t>
            </w:r>
            <w:r w:rsidRPr="00B36C5A">
              <w:rPr>
                <w:rFonts w:asciiTheme="minorHAnsi" w:hAnsiTheme="minorHAnsi" w:cstheme="minorHAnsi"/>
              </w:rPr>
              <w:t>supplier on the WALGA</w:t>
            </w:r>
            <w:r w:rsidRPr="00B36C5A">
              <w:rPr>
                <w:rFonts w:asciiTheme="minorHAnsi" w:hAnsiTheme="minorHAnsi" w:cstheme="minorHAnsi"/>
                <w:spacing w:val="-2"/>
              </w:rPr>
              <w:t xml:space="preserve"> </w:t>
            </w:r>
            <w:r w:rsidRPr="00B36C5A">
              <w:rPr>
                <w:rFonts w:asciiTheme="minorHAnsi" w:hAnsiTheme="minorHAnsi" w:cstheme="minorHAnsi"/>
              </w:rPr>
              <w:t xml:space="preserve">Preferred Supply Program (e-Quotes) or State Government Common Use Arrangement </w:t>
            </w:r>
            <w:r w:rsidRPr="00B36C5A">
              <w:rPr>
                <w:rFonts w:asciiTheme="minorHAnsi" w:hAnsiTheme="minorHAnsi" w:cstheme="minorHAnsi"/>
                <w:spacing w:val="-2"/>
              </w:rPr>
              <w:t>(CUA</w:t>
            </w:r>
            <w:proofErr w:type="gramStart"/>
            <w:r w:rsidRPr="00B36C5A">
              <w:rPr>
                <w:rFonts w:asciiTheme="minorHAnsi" w:hAnsiTheme="minorHAnsi" w:cstheme="minorHAnsi"/>
                <w:spacing w:val="-2"/>
              </w:rPr>
              <w:t>);</w:t>
            </w:r>
            <w:proofErr w:type="gramEnd"/>
          </w:p>
          <w:p w14:paraId="244C6687" w14:textId="77777777" w:rsidR="00E237B8" w:rsidRPr="00B36C5A" w:rsidRDefault="00E237B8" w:rsidP="009C0390">
            <w:pPr>
              <w:pStyle w:val="TableParagraph"/>
              <w:spacing w:line="258" w:lineRule="exact"/>
              <w:rPr>
                <w:rFonts w:asciiTheme="minorHAnsi" w:hAnsiTheme="minorHAnsi" w:cstheme="minorHAnsi"/>
              </w:rPr>
            </w:pPr>
            <w:r w:rsidRPr="00B36C5A">
              <w:rPr>
                <w:rFonts w:asciiTheme="minorHAnsi" w:hAnsiTheme="minorHAnsi" w:cstheme="minorHAnsi"/>
                <w:spacing w:val="-5"/>
              </w:rPr>
              <w:t>or</w:t>
            </w:r>
          </w:p>
          <w:p w14:paraId="22060A4F" w14:textId="77777777" w:rsidR="00E237B8" w:rsidRPr="00B36C5A" w:rsidRDefault="00E237B8" w:rsidP="007B3B6F">
            <w:pPr>
              <w:pStyle w:val="TableParagraph"/>
              <w:numPr>
                <w:ilvl w:val="0"/>
                <w:numId w:val="545"/>
              </w:numPr>
              <w:tabs>
                <w:tab w:val="left" w:pos="515"/>
              </w:tabs>
              <w:spacing w:line="277" w:lineRule="exact"/>
              <w:ind w:hanging="285"/>
              <w:rPr>
                <w:rFonts w:asciiTheme="minorHAnsi" w:hAnsiTheme="minorHAnsi" w:cstheme="minorHAnsi"/>
              </w:rPr>
            </w:pPr>
            <w:r w:rsidRPr="00B36C5A">
              <w:rPr>
                <w:rFonts w:asciiTheme="minorHAnsi" w:hAnsiTheme="minorHAnsi" w:cstheme="minorHAnsi"/>
              </w:rPr>
              <w:t>from</w:t>
            </w:r>
            <w:r w:rsidRPr="00B36C5A">
              <w:rPr>
                <w:rFonts w:asciiTheme="minorHAnsi" w:hAnsiTheme="minorHAnsi" w:cstheme="minorHAnsi"/>
                <w:spacing w:val="-5"/>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open</w:t>
            </w:r>
            <w:r w:rsidRPr="00B36C5A">
              <w:rPr>
                <w:rFonts w:asciiTheme="minorHAnsi" w:hAnsiTheme="minorHAnsi" w:cstheme="minorHAnsi"/>
                <w:spacing w:val="-5"/>
              </w:rPr>
              <w:t xml:space="preserve"> </w:t>
            </w:r>
            <w:r w:rsidRPr="00B36C5A">
              <w:rPr>
                <w:rFonts w:asciiTheme="minorHAnsi" w:hAnsiTheme="minorHAnsi" w:cstheme="minorHAnsi"/>
                <w:spacing w:val="-2"/>
              </w:rPr>
              <w:t>market.</w:t>
            </w:r>
          </w:p>
        </w:tc>
      </w:tr>
      <w:tr w:rsidR="00E237B8" w14:paraId="655BC4AE" w14:textId="77777777" w:rsidTr="009C0390">
        <w:trPr>
          <w:trHeight w:val="3960"/>
        </w:trPr>
        <w:tc>
          <w:tcPr>
            <w:tcW w:w="2470" w:type="dxa"/>
          </w:tcPr>
          <w:p w14:paraId="3ACD1E2F" w14:textId="77777777" w:rsidR="00E237B8" w:rsidRPr="00B36C5A" w:rsidRDefault="00E237B8" w:rsidP="009C0390">
            <w:pPr>
              <w:pStyle w:val="TableParagraph"/>
              <w:spacing w:before="119"/>
              <w:ind w:left="21" w:right="6"/>
              <w:jc w:val="center"/>
              <w:rPr>
                <w:rFonts w:asciiTheme="minorHAnsi" w:hAnsiTheme="minorHAnsi" w:cstheme="minorHAnsi"/>
              </w:rPr>
            </w:pPr>
            <w:r w:rsidRPr="00B36C5A">
              <w:rPr>
                <w:rFonts w:asciiTheme="minorHAnsi" w:hAnsiTheme="minorHAnsi" w:cstheme="minorHAnsi"/>
              </w:rPr>
              <w:t>Over</w:t>
            </w:r>
            <w:r w:rsidRPr="00B36C5A">
              <w:rPr>
                <w:rFonts w:asciiTheme="minorHAnsi" w:hAnsiTheme="minorHAnsi" w:cstheme="minorHAnsi"/>
                <w:spacing w:val="-7"/>
              </w:rPr>
              <w:t xml:space="preserve"> </w:t>
            </w:r>
            <w:r w:rsidRPr="00B36C5A">
              <w:rPr>
                <w:rFonts w:asciiTheme="minorHAnsi" w:hAnsiTheme="minorHAnsi" w:cstheme="minorHAnsi"/>
              </w:rPr>
              <w:t>$5,001</w:t>
            </w:r>
            <w:r w:rsidRPr="00B36C5A">
              <w:rPr>
                <w:rFonts w:asciiTheme="minorHAnsi" w:hAnsiTheme="minorHAnsi" w:cstheme="minorHAnsi"/>
                <w:spacing w:val="-3"/>
              </w:rPr>
              <w:t xml:space="preserve"> </w:t>
            </w:r>
            <w:r w:rsidRPr="00B36C5A">
              <w:rPr>
                <w:rFonts w:asciiTheme="minorHAnsi" w:hAnsiTheme="minorHAnsi" w:cstheme="minorHAnsi"/>
              </w:rPr>
              <w:t>and</w:t>
            </w:r>
            <w:r w:rsidRPr="00B36C5A">
              <w:rPr>
                <w:rFonts w:asciiTheme="minorHAnsi" w:hAnsiTheme="minorHAnsi" w:cstheme="minorHAnsi"/>
                <w:spacing w:val="-3"/>
              </w:rPr>
              <w:t xml:space="preserve"> </w:t>
            </w:r>
            <w:r w:rsidRPr="00B36C5A">
              <w:rPr>
                <w:rFonts w:asciiTheme="minorHAnsi" w:hAnsiTheme="minorHAnsi" w:cstheme="minorHAnsi"/>
              </w:rPr>
              <w:t>up</w:t>
            </w:r>
            <w:r w:rsidRPr="00B36C5A">
              <w:rPr>
                <w:rFonts w:asciiTheme="minorHAnsi" w:hAnsiTheme="minorHAnsi" w:cstheme="minorHAnsi"/>
                <w:spacing w:val="-5"/>
              </w:rPr>
              <w:t xml:space="preserve"> to</w:t>
            </w:r>
          </w:p>
          <w:p w14:paraId="6A0BB781" w14:textId="77777777" w:rsidR="00E237B8" w:rsidRPr="00B36C5A" w:rsidRDefault="00E237B8" w:rsidP="009C0390">
            <w:pPr>
              <w:pStyle w:val="TableParagraph"/>
              <w:ind w:left="21"/>
              <w:jc w:val="center"/>
              <w:rPr>
                <w:rFonts w:asciiTheme="minorHAnsi" w:hAnsiTheme="minorHAnsi" w:cstheme="minorHAnsi"/>
              </w:rPr>
            </w:pPr>
            <w:r w:rsidRPr="00B36C5A">
              <w:rPr>
                <w:rFonts w:asciiTheme="minorHAnsi" w:hAnsiTheme="minorHAnsi" w:cstheme="minorHAnsi"/>
                <w:spacing w:val="-2"/>
              </w:rPr>
              <w:t>$20,000</w:t>
            </w:r>
          </w:p>
          <w:p w14:paraId="5E8BC62C" w14:textId="77777777" w:rsidR="00E237B8" w:rsidRPr="00B36C5A" w:rsidRDefault="00E237B8" w:rsidP="009C0390">
            <w:pPr>
              <w:pStyle w:val="TableParagraph"/>
              <w:spacing w:before="1"/>
              <w:ind w:left="21" w:right="4"/>
              <w:jc w:val="center"/>
              <w:rPr>
                <w:rFonts w:asciiTheme="minorHAnsi" w:hAnsiTheme="minorHAnsi" w:cstheme="minorHAnsi"/>
              </w:rPr>
            </w:pPr>
            <w:r w:rsidRPr="00B36C5A">
              <w:rPr>
                <w:rFonts w:asciiTheme="minorHAnsi" w:hAnsiTheme="minorHAnsi" w:cstheme="minorHAnsi"/>
              </w:rPr>
              <w:t>(</w:t>
            </w:r>
            <w:proofErr w:type="spellStart"/>
            <w:r w:rsidRPr="00B36C5A">
              <w:rPr>
                <w:rFonts w:asciiTheme="minorHAnsi" w:hAnsiTheme="minorHAnsi" w:cstheme="minorHAnsi"/>
              </w:rPr>
              <w:t>exc</w:t>
            </w:r>
            <w:proofErr w:type="spellEnd"/>
            <w:r w:rsidRPr="00B36C5A">
              <w:rPr>
                <w:rFonts w:asciiTheme="minorHAnsi" w:hAnsiTheme="minorHAnsi" w:cstheme="minorHAnsi"/>
                <w:spacing w:val="-4"/>
              </w:rPr>
              <w:t xml:space="preserve"> GST)</w:t>
            </w:r>
          </w:p>
        </w:tc>
        <w:tc>
          <w:tcPr>
            <w:tcW w:w="6606" w:type="dxa"/>
          </w:tcPr>
          <w:p w14:paraId="333E7EEB" w14:textId="77777777" w:rsidR="00E237B8" w:rsidRPr="00B36C5A" w:rsidRDefault="00E237B8" w:rsidP="009C0390">
            <w:pPr>
              <w:pStyle w:val="TableParagraph"/>
              <w:spacing w:before="119"/>
              <w:ind w:left="268"/>
              <w:rPr>
                <w:rFonts w:asciiTheme="minorHAnsi" w:hAnsiTheme="minorHAnsi" w:cstheme="minorHAnsi"/>
              </w:rPr>
            </w:pPr>
            <w:r w:rsidRPr="00B36C5A">
              <w:rPr>
                <w:rFonts w:asciiTheme="minorHAnsi" w:hAnsiTheme="minorHAnsi" w:cstheme="minorHAnsi"/>
              </w:rPr>
              <w:t>Request</w:t>
            </w:r>
            <w:r w:rsidRPr="00B36C5A">
              <w:rPr>
                <w:rFonts w:asciiTheme="minorHAnsi" w:hAnsiTheme="minorHAnsi" w:cstheme="minorHAnsi"/>
                <w:spacing w:val="-1"/>
              </w:rPr>
              <w:t xml:space="preserve"> </w:t>
            </w:r>
            <w:r w:rsidRPr="00B36C5A">
              <w:rPr>
                <w:rFonts w:asciiTheme="minorHAnsi" w:hAnsiTheme="minorHAnsi" w:cstheme="minorHAnsi"/>
              </w:rPr>
              <w:t>at</w:t>
            </w:r>
            <w:r w:rsidRPr="00B36C5A">
              <w:rPr>
                <w:rFonts w:asciiTheme="minorHAnsi" w:hAnsiTheme="minorHAnsi" w:cstheme="minorHAnsi"/>
                <w:spacing w:val="-1"/>
              </w:rPr>
              <w:t xml:space="preserve"> </w:t>
            </w:r>
            <w:r w:rsidRPr="00B36C5A">
              <w:rPr>
                <w:rFonts w:asciiTheme="minorHAnsi" w:hAnsiTheme="minorHAnsi" w:cstheme="minorHAnsi"/>
              </w:rPr>
              <w:t>least</w:t>
            </w:r>
            <w:r w:rsidRPr="00B36C5A">
              <w:rPr>
                <w:rFonts w:asciiTheme="minorHAnsi" w:hAnsiTheme="minorHAnsi" w:cstheme="minorHAnsi"/>
                <w:spacing w:val="-2"/>
              </w:rPr>
              <w:t xml:space="preserve"> </w:t>
            </w:r>
            <w:r w:rsidRPr="00B36C5A">
              <w:rPr>
                <w:rFonts w:asciiTheme="minorHAnsi" w:hAnsiTheme="minorHAnsi" w:cstheme="minorHAnsi"/>
              </w:rPr>
              <w:t>two (2)</w:t>
            </w:r>
            <w:r w:rsidRPr="00B36C5A">
              <w:rPr>
                <w:rFonts w:asciiTheme="minorHAnsi" w:hAnsiTheme="minorHAnsi" w:cstheme="minorHAnsi"/>
                <w:spacing w:val="-3"/>
              </w:rPr>
              <w:t xml:space="preserve"> </w:t>
            </w:r>
            <w:r w:rsidRPr="00B36C5A">
              <w:rPr>
                <w:rFonts w:asciiTheme="minorHAnsi" w:hAnsiTheme="minorHAnsi" w:cstheme="minorHAnsi"/>
              </w:rPr>
              <w:t>written</w:t>
            </w:r>
            <w:r w:rsidRPr="00B36C5A">
              <w:rPr>
                <w:rFonts w:asciiTheme="minorHAnsi" w:hAnsiTheme="minorHAnsi" w:cstheme="minorHAnsi"/>
                <w:spacing w:val="-2"/>
              </w:rPr>
              <w:t xml:space="preserve"> </w:t>
            </w:r>
            <w:r w:rsidRPr="00B36C5A">
              <w:rPr>
                <w:rFonts w:asciiTheme="minorHAnsi" w:hAnsiTheme="minorHAnsi" w:cstheme="minorHAnsi"/>
              </w:rPr>
              <w:t>quotations</w:t>
            </w:r>
            <w:r w:rsidRPr="00B36C5A">
              <w:rPr>
                <w:rFonts w:asciiTheme="minorHAnsi" w:hAnsiTheme="minorHAnsi" w:cstheme="minorHAnsi"/>
                <w:spacing w:val="-3"/>
              </w:rPr>
              <w:t xml:space="preserve"> </w:t>
            </w:r>
            <w:r w:rsidRPr="00B36C5A">
              <w:rPr>
                <w:rFonts w:asciiTheme="minorHAnsi" w:hAnsiTheme="minorHAnsi" w:cstheme="minorHAnsi"/>
              </w:rPr>
              <w:t>from</w:t>
            </w:r>
            <w:r w:rsidRPr="00B36C5A">
              <w:rPr>
                <w:rFonts w:asciiTheme="minorHAnsi" w:hAnsiTheme="minorHAnsi" w:cstheme="minorHAnsi"/>
                <w:spacing w:val="-3"/>
              </w:rPr>
              <w:t xml:space="preserve"> </w:t>
            </w:r>
            <w:r w:rsidRPr="00B36C5A">
              <w:rPr>
                <w:rFonts w:asciiTheme="minorHAnsi" w:hAnsiTheme="minorHAnsi" w:cstheme="minorHAnsi"/>
              </w:rPr>
              <w:t>suppliers</w:t>
            </w:r>
            <w:r w:rsidRPr="00B36C5A">
              <w:rPr>
                <w:rFonts w:asciiTheme="minorHAnsi" w:hAnsiTheme="minorHAnsi" w:cstheme="minorHAnsi"/>
                <w:spacing w:val="-1"/>
              </w:rPr>
              <w:t xml:space="preserve"> </w:t>
            </w:r>
            <w:r w:rsidRPr="00B36C5A">
              <w:rPr>
                <w:rFonts w:asciiTheme="minorHAnsi" w:hAnsiTheme="minorHAnsi" w:cstheme="minorHAnsi"/>
              </w:rPr>
              <w:t>following a brief outlining the specified requirement, either from:</w:t>
            </w:r>
          </w:p>
          <w:p w14:paraId="7F97DDA7" w14:textId="77777777" w:rsidR="00E237B8" w:rsidRPr="00B36C5A" w:rsidRDefault="00E237B8" w:rsidP="007B3B6F">
            <w:pPr>
              <w:pStyle w:val="TableParagraph"/>
              <w:numPr>
                <w:ilvl w:val="0"/>
                <w:numId w:val="544"/>
              </w:numPr>
              <w:tabs>
                <w:tab w:val="left" w:pos="515"/>
              </w:tabs>
              <w:spacing w:before="121"/>
              <w:ind w:right="233"/>
              <w:rPr>
                <w:rFonts w:asciiTheme="minorHAnsi" w:hAnsiTheme="minorHAnsi" w:cstheme="minorHAnsi"/>
              </w:rPr>
            </w:pPr>
            <w:r w:rsidRPr="00B36C5A">
              <w:rPr>
                <w:rFonts w:asciiTheme="minorHAnsi" w:hAnsiTheme="minorHAnsi" w:cstheme="minorHAnsi"/>
              </w:rPr>
              <w:t>an existing panel of pre-qualified suppliers</w:t>
            </w:r>
            <w:r w:rsidRPr="00B36C5A">
              <w:rPr>
                <w:rFonts w:asciiTheme="minorHAnsi" w:hAnsiTheme="minorHAnsi" w:cstheme="minorHAnsi"/>
                <w:spacing w:val="23"/>
              </w:rPr>
              <w:t xml:space="preserve"> </w:t>
            </w:r>
            <w:r w:rsidRPr="00B36C5A">
              <w:rPr>
                <w:rFonts w:asciiTheme="minorHAnsi" w:hAnsiTheme="minorHAnsi" w:cstheme="minorHAnsi"/>
              </w:rPr>
              <w:t>administered</w:t>
            </w:r>
            <w:r w:rsidRPr="00B36C5A">
              <w:rPr>
                <w:rFonts w:asciiTheme="minorHAnsi" w:hAnsiTheme="minorHAnsi" w:cstheme="minorHAnsi"/>
                <w:spacing w:val="23"/>
              </w:rPr>
              <w:t xml:space="preserve"> </w:t>
            </w:r>
            <w:r w:rsidRPr="00B36C5A">
              <w:rPr>
                <w:rFonts w:asciiTheme="minorHAnsi" w:hAnsiTheme="minorHAnsi" w:cstheme="minorHAnsi"/>
              </w:rPr>
              <w:t>by the Town; or</w:t>
            </w:r>
          </w:p>
          <w:p w14:paraId="001F392C" w14:textId="77777777" w:rsidR="00E237B8" w:rsidRPr="00B36C5A" w:rsidRDefault="00E237B8" w:rsidP="007B3B6F">
            <w:pPr>
              <w:pStyle w:val="TableParagraph"/>
              <w:numPr>
                <w:ilvl w:val="0"/>
                <w:numId w:val="544"/>
              </w:numPr>
              <w:tabs>
                <w:tab w:val="left" w:pos="515"/>
              </w:tabs>
              <w:spacing w:before="1"/>
              <w:ind w:right="234"/>
              <w:rPr>
                <w:rFonts w:asciiTheme="minorHAnsi" w:hAnsiTheme="minorHAnsi" w:cstheme="minorHAnsi"/>
              </w:rPr>
            </w:pPr>
            <w:r w:rsidRPr="00B36C5A">
              <w:rPr>
                <w:rFonts w:asciiTheme="minorHAnsi" w:hAnsiTheme="minorHAnsi" w:cstheme="minorHAnsi"/>
              </w:rPr>
              <w:t>a</w:t>
            </w:r>
            <w:r w:rsidRPr="00B36C5A">
              <w:rPr>
                <w:rFonts w:asciiTheme="minorHAnsi" w:hAnsiTheme="minorHAnsi" w:cstheme="minorHAnsi"/>
                <w:spacing w:val="-2"/>
              </w:rPr>
              <w:t xml:space="preserve"> </w:t>
            </w:r>
            <w:r w:rsidRPr="00B36C5A">
              <w:rPr>
                <w:rFonts w:asciiTheme="minorHAnsi" w:hAnsiTheme="minorHAnsi" w:cstheme="minorHAnsi"/>
              </w:rPr>
              <w:t>pre-qualified</w:t>
            </w:r>
            <w:r w:rsidRPr="00B36C5A">
              <w:rPr>
                <w:rFonts w:asciiTheme="minorHAnsi" w:hAnsiTheme="minorHAnsi" w:cstheme="minorHAnsi"/>
                <w:spacing w:val="-2"/>
              </w:rPr>
              <w:t xml:space="preserve"> </w:t>
            </w:r>
            <w:r w:rsidRPr="00B36C5A">
              <w:rPr>
                <w:rFonts w:asciiTheme="minorHAnsi" w:hAnsiTheme="minorHAnsi" w:cstheme="minorHAnsi"/>
              </w:rPr>
              <w:t>supplier on the WALGA</w:t>
            </w:r>
            <w:r w:rsidRPr="00B36C5A">
              <w:rPr>
                <w:rFonts w:asciiTheme="minorHAnsi" w:hAnsiTheme="minorHAnsi" w:cstheme="minorHAnsi"/>
                <w:spacing w:val="-2"/>
              </w:rPr>
              <w:t xml:space="preserve"> </w:t>
            </w:r>
            <w:r w:rsidRPr="00B36C5A">
              <w:rPr>
                <w:rFonts w:asciiTheme="minorHAnsi" w:hAnsiTheme="minorHAnsi" w:cstheme="minorHAnsi"/>
              </w:rPr>
              <w:t>Preferred Supply Program (e-Quotes) or State Government CUA; or</w:t>
            </w:r>
          </w:p>
          <w:p w14:paraId="48E0F6DE" w14:textId="77777777" w:rsidR="00E237B8" w:rsidRPr="00B36C5A" w:rsidRDefault="00E237B8" w:rsidP="007B3B6F">
            <w:pPr>
              <w:pStyle w:val="TableParagraph"/>
              <w:numPr>
                <w:ilvl w:val="0"/>
                <w:numId w:val="544"/>
              </w:numPr>
              <w:tabs>
                <w:tab w:val="left" w:pos="515"/>
              </w:tabs>
              <w:spacing w:before="1"/>
              <w:ind w:hanging="285"/>
              <w:rPr>
                <w:rFonts w:asciiTheme="minorHAnsi" w:hAnsiTheme="minorHAnsi" w:cstheme="minorHAnsi"/>
              </w:rPr>
            </w:pPr>
            <w:r w:rsidRPr="00B36C5A">
              <w:rPr>
                <w:rFonts w:asciiTheme="minorHAnsi" w:hAnsiTheme="minorHAnsi" w:cstheme="minorHAnsi"/>
              </w:rPr>
              <w:t>from</w:t>
            </w:r>
            <w:r w:rsidRPr="00B36C5A">
              <w:rPr>
                <w:rFonts w:asciiTheme="minorHAnsi" w:hAnsiTheme="minorHAnsi" w:cstheme="minorHAnsi"/>
                <w:spacing w:val="-5"/>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open</w:t>
            </w:r>
            <w:r w:rsidRPr="00B36C5A">
              <w:rPr>
                <w:rFonts w:asciiTheme="minorHAnsi" w:hAnsiTheme="minorHAnsi" w:cstheme="minorHAnsi"/>
                <w:spacing w:val="-5"/>
              </w:rPr>
              <w:t xml:space="preserve"> </w:t>
            </w:r>
            <w:r w:rsidRPr="00B36C5A">
              <w:rPr>
                <w:rFonts w:asciiTheme="minorHAnsi" w:hAnsiTheme="minorHAnsi" w:cstheme="minorHAnsi"/>
                <w:spacing w:val="-2"/>
              </w:rPr>
              <w:t>market.</w:t>
            </w:r>
          </w:p>
          <w:p w14:paraId="796B9117" w14:textId="77777777" w:rsidR="00E237B8" w:rsidRPr="00B36C5A" w:rsidRDefault="00E237B8" w:rsidP="009C0390">
            <w:pPr>
              <w:pStyle w:val="TableParagraph"/>
              <w:spacing w:before="117"/>
              <w:ind w:left="268"/>
              <w:rPr>
                <w:rFonts w:asciiTheme="minorHAnsi" w:hAnsiTheme="minorHAnsi" w:cstheme="minorHAnsi"/>
              </w:rPr>
            </w:pPr>
            <w:r w:rsidRPr="00B36C5A">
              <w:rPr>
                <w:rFonts w:asciiTheme="minorHAnsi" w:hAnsiTheme="minorHAnsi" w:cstheme="minorHAnsi"/>
              </w:rPr>
              <w:t>The</w:t>
            </w:r>
            <w:r w:rsidRPr="00B36C5A">
              <w:rPr>
                <w:rFonts w:asciiTheme="minorHAnsi" w:hAnsiTheme="minorHAnsi" w:cstheme="minorHAnsi"/>
                <w:spacing w:val="40"/>
              </w:rPr>
              <w:t xml:space="preserve"> </w:t>
            </w:r>
            <w:r w:rsidRPr="00B36C5A">
              <w:rPr>
                <w:rFonts w:asciiTheme="minorHAnsi" w:hAnsiTheme="minorHAnsi" w:cstheme="minorHAnsi"/>
              </w:rPr>
              <w:t>purchasing</w:t>
            </w:r>
            <w:r w:rsidRPr="00B36C5A">
              <w:rPr>
                <w:rFonts w:asciiTheme="minorHAnsi" w:hAnsiTheme="minorHAnsi" w:cstheme="minorHAnsi"/>
                <w:spacing w:val="40"/>
              </w:rPr>
              <w:t xml:space="preserve"> </w:t>
            </w:r>
            <w:r w:rsidRPr="00B36C5A">
              <w:rPr>
                <w:rFonts w:asciiTheme="minorHAnsi" w:hAnsiTheme="minorHAnsi" w:cstheme="minorHAnsi"/>
              </w:rPr>
              <w:t>decision</w:t>
            </w:r>
            <w:r w:rsidRPr="00B36C5A">
              <w:rPr>
                <w:rFonts w:asciiTheme="minorHAnsi" w:hAnsiTheme="minorHAnsi" w:cstheme="minorHAnsi"/>
                <w:spacing w:val="40"/>
              </w:rPr>
              <w:t xml:space="preserve"> </w:t>
            </w:r>
            <w:r w:rsidRPr="00B36C5A">
              <w:rPr>
                <w:rFonts w:asciiTheme="minorHAnsi" w:hAnsiTheme="minorHAnsi" w:cstheme="minorHAnsi"/>
              </w:rPr>
              <w:t>is</w:t>
            </w:r>
            <w:r w:rsidRPr="00B36C5A">
              <w:rPr>
                <w:rFonts w:asciiTheme="minorHAnsi" w:hAnsiTheme="minorHAnsi" w:cstheme="minorHAnsi"/>
                <w:spacing w:val="40"/>
              </w:rPr>
              <w:t xml:space="preserve"> </w:t>
            </w:r>
            <w:r w:rsidRPr="00B36C5A">
              <w:rPr>
                <w:rFonts w:asciiTheme="minorHAnsi" w:hAnsiTheme="minorHAnsi" w:cstheme="minorHAnsi"/>
              </w:rPr>
              <w:t>to</w:t>
            </w:r>
            <w:r w:rsidRPr="00B36C5A">
              <w:rPr>
                <w:rFonts w:asciiTheme="minorHAnsi" w:hAnsiTheme="minorHAnsi" w:cstheme="minorHAnsi"/>
                <w:spacing w:val="40"/>
              </w:rPr>
              <w:t xml:space="preserve"> </w:t>
            </w:r>
            <w:r w:rsidRPr="00B36C5A">
              <w:rPr>
                <w:rFonts w:asciiTheme="minorHAnsi" w:hAnsiTheme="minorHAnsi" w:cstheme="minorHAnsi"/>
              </w:rPr>
              <w:t>be</w:t>
            </w:r>
            <w:r w:rsidRPr="00B36C5A">
              <w:rPr>
                <w:rFonts w:asciiTheme="minorHAnsi" w:hAnsiTheme="minorHAnsi" w:cstheme="minorHAnsi"/>
                <w:spacing w:val="40"/>
              </w:rPr>
              <w:t xml:space="preserve"> </w:t>
            </w:r>
            <w:r w:rsidRPr="00B36C5A">
              <w:rPr>
                <w:rFonts w:asciiTheme="minorHAnsi" w:hAnsiTheme="minorHAnsi" w:cstheme="minorHAnsi"/>
              </w:rPr>
              <w:t>based</w:t>
            </w:r>
            <w:r w:rsidRPr="00B36C5A">
              <w:rPr>
                <w:rFonts w:asciiTheme="minorHAnsi" w:hAnsiTheme="minorHAnsi" w:cstheme="minorHAnsi"/>
                <w:spacing w:val="40"/>
              </w:rPr>
              <w:t xml:space="preserve"> </w:t>
            </w:r>
            <w:r w:rsidRPr="00B36C5A">
              <w:rPr>
                <w:rFonts w:asciiTheme="minorHAnsi" w:hAnsiTheme="minorHAnsi" w:cstheme="minorHAnsi"/>
              </w:rPr>
              <w:t>upon</w:t>
            </w:r>
            <w:r w:rsidRPr="00B36C5A">
              <w:rPr>
                <w:rFonts w:asciiTheme="minorHAnsi" w:hAnsiTheme="minorHAnsi" w:cstheme="minorHAnsi"/>
                <w:spacing w:val="40"/>
              </w:rPr>
              <w:t xml:space="preserve"> </w:t>
            </w:r>
            <w:r w:rsidRPr="00B36C5A">
              <w:rPr>
                <w:rFonts w:asciiTheme="minorHAnsi" w:hAnsiTheme="minorHAnsi" w:cstheme="minorHAnsi"/>
              </w:rPr>
              <w:t>assessment</w:t>
            </w:r>
            <w:r w:rsidRPr="00B36C5A">
              <w:rPr>
                <w:rFonts w:asciiTheme="minorHAnsi" w:hAnsiTheme="minorHAnsi" w:cstheme="minorHAnsi"/>
                <w:spacing w:val="40"/>
              </w:rPr>
              <w:t xml:space="preserve"> </w:t>
            </w:r>
            <w:r w:rsidRPr="00B36C5A">
              <w:rPr>
                <w:rFonts w:asciiTheme="minorHAnsi" w:hAnsiTheme="minorHAnsi" w:cstheme="minorHAnsi"/>
              </w:rPr>
              <w:t>of</w:t>
            </w:r>
            <w:r w:rsidRPr="00B36C5A">
              <w:rPr>
                <w:rFonts w:asciiTheme="minorHAnsi" w:hAnsiTheme="minorHAnsi" w:cstheme="minorHAnsi"/>
                <w:spacing w:val="40"/>
              </w:rPr>
              <w:t xml:space="preserve"> </w:t>
            </w:r>
            <w:r w:rsidRPr="00B36C5A">
              <w:rPr>
                <w:rFonts w:asciiTheme="minorHAnsi" w:hAnsiTheme="minorHAnsi" w:cstheme="minorHAnsi"/>
              </w:rPr>
              <w:t>the supplier’s response to:</w:t>
            </w:r>
          </w:p>
          <w:p w14:paraId="2EAA23E8" w14:textId="77777777" w:rsidR="00E237B8" w:rsidRPr="00B36C5A" w:rsidRDefault="00E237B8" w:rsidP="007B3B6F">
            <w:pPr>
              <w:pStyle w:val="TableParagraph"/>
              <w:numPr>
                <w:ilvl w:val="0"/>
                <w:numId w:val="544"/>
              </w:numPr>
              <w:tabs>
                <w:tab w:val="left" w:pos="515"/>
              </w:tabs>
              <w:spacing w:before="126" w:line="237" w:lineRule="auto"/>
              <w:ind w:right="234"/>
              <w:rPr>
                <w:rFonts w:asciiTheme="minorHAnsi" w:hAnsiTheme="minorHAnsi" w:cstheme="minorHAnsi"/>
              </w:rPr>
            </w:pPr>
            <w:r w:rsidRPr="00B36C5A">
              <w:rPr>
                <w:rFonts w:asciiTheme="minorHAnsi" w:hAnsiTheme="minorHAnsi" w:cstheme="minorHAnsi"/>
              </w:rPr>
              <w:t>a</w:t>
            </w:r>
            <w:r w:rsidRPr="00B36C5A">
              <w:rPr>
                <w:rFonts w:asciiTheme="minorHAnsi" w:hAnsiTheme="minorHAnsi" w:cstheme="minorHAnsi"/>
                <w:spacing w:val="-6"/>
              </w:rPr>
              <w:t xml:space="preserve"> </w:t>
            </w:r>
            <w:r w:rsidRPr="00B36C5A">
              <w:rPr>
                <w:rFonts w:asciiTheme="minorHAnsi" w:hAnsiTheme="minorHAnsi" w:cstheme="minorHAnsi"/>
              </w:rPr>
              <w:t>written</w:t>
            </w:r>
            <w:r w:rsidRPr="00B36C5A">
              <w:rPr>
                <w:rFonts w:asciiTheme="minorHAnsi" w:hAnsiTheme="minorHAnsi" w:cstheme="minorHAnsi"/>
                <w:spacing w:val="-7"/>
              </w:rPr>
              <w:t xml:space="preserve"> </w:t>
            </w:r>
            <w:r w:rsidRPr="00B36C5A">
              <w:rPr>
                <w:rFonts w:asciiTheme="minorHAnsi" w:hAnsiTheme="minorHAnsi" w:cstheme="minorHAnsi"/>
              </w:rPr>
              <w:t>brief</w:t>
            </w:r>
            <w:r w:rsidRPr="00B36C5A">
              <w:rPr>
                <w:rFonts w:asciiTheme="minorHAnsi" w:hAnsiTheme="minorHAnsi" w:cstheme="minorHAnsi"/>
                <w:spacing w:val="-8"/>
              </w:rPr>
              <w:t xml:space="preserve"> </w:t>
            </w:r>
            <w:r w:rsidRPr="00B36C5A">
              <w:rPr>
                <w:rFonts w:asciiTheme="minorHAnsi" w:hAnsiTheme="minorHAnsi" w:cstheme="minorHAnsi"/>
              </w:rPr>
              <w:t>outline</w:t>
            </w:r>
            <w:r w:rsidRPr="00B36C5A">
              <w:rPr>
                <w:rFonts w:asciiTheme="minorHAnsi" w:hAnsiTheme="minorHAnsi" w:cstheme="minorHAnsi"/>
                <w:spacing w:val="-7"/>
              </w:rPr>
              <w:t xml:space="preserve"> </w:t>
            </w:r>
            <w:r w:rsidRPr="00B36C5A">
              <w:rPr>
                <w:rFonts w:asciiTheme="minorHAnsi" w:hAnsiTheme="minorHAnsi" w:cstheme="minorHAnsi"/>
              </w:rPr>
              <w:t>of</w:t>
            </w:r>
            <w:r w:rsidRPr="00B36C5A">
              <w:rPr>
                <w:rFonts w:asciiTheme="minorHAnsi" w:hAnsiTheme="minorHAnsi" w:cstheme="minorHAnsi"/>
                <w:spacing w:val="-11"/>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specified</w:t>
            </w:r>
            <w:r w:rsidRPr="00B36C5A">
              <w:rPr>
                <w:rFonts w:asciiTheme="minorHAnsi" w:hAnsiTheme="minorHAnsi" w:cstheme="minorHAnsi"/>
                <w:spacing w:val="-7"/>
              </w:rPr>
              <w:t xml:space="preserve"> </w:t>
            </w:r>
            <w:r w:rsidRPr="00B36C5A">
              <w:rPr>
                <w:rFonts w:asciiTheme="minorHAnsi" w:hAnsiTheme="minorHAnsi" w:cstheme="minorHAnsi"/>
              </w:rPr>
              <w:t>requirement</w:t>
            </w:r>
            <w:r w:rsidRPr="00B36C5A">
              <w:rPr>
                <w:rFonts w:asciiTheme="minorHAnsi" w:hAnsiTheme="minorHAnsi" w:cstheme="minorHAnsi"/>
                <w:spacing w:val="-5"/>
              </w:rPr>
              <w:t xml:space="preserve"> </w:t>
            </w:r>
            <w:r w:rsidRPr="00B36C5A">
              <w:rPr>
                <w:rFonts w:asciiTheme="minorHAnsi" w:hAnsiTheme="minorHAnsi" w:cstheme="minorHAnsi"/>
              </w:rPr>
              <w:t>for</w:t>
            </w:r>
            <w:r w:rsidRPr="00B36C5A">
              <w:rPr>
                <w:rFonts w:asciiTheme="minorHAnsi" w:hAnsiTheme="minorHAnsi" w:cstheme="minorHAnsi"/>
                <w:spacing w:val="-9"/>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goods; services or works required; and</w:t>
            </w:r>
          </w:p>
          <w:p w14:paraId="50303B32" w14:textId="77777777" w:rsidR="00E237B8" w:rsidRPr="00B36C5A" w:rsidRDefault="00E237B8" w:rsidP="007B3B6F">
            <w:pPr>
              <w:pStyle w:val="TableParagraph"/>
              <w:numPr>
                <w:ilvl w:val="0"/>
                <w:numId w:val="544"/>
              </w:numPr>
              <w:tabs>
                <w:tab w:val="left" w:pos="515"/>
              </w:tabs>
              <w:spacing w:line="280" w:lineRule="exact"/>
              <w:ind w:hanging="285"/>
              <w:rPr>
                <w:rFonts w:asciiTheme="minorHAnsi" w:hAnsiTheme="minorHAnsi" w:cstheme="minorHAnsi"/>
              </w:rPr>
            </w:pPr>
            <w:r w:rsidRPr="00B36C5A">
              <w:rPr>
                <w:rFonts w:asciiTheme="minorHAnsi" w:hAnsiTheme="minorHAnsi" w:cstheme="minorHAnsi"/>
              </w:rPr>
              <w:t>value</w:t>
            </w:r>
            <w:r w:rsidRPr="00B36C5A">
              <w:rPr>
                <w:rFonts w:asciiTheme="minorHAnsi" w:hAnsiTheme="minorHAnsi" w:cstheme="minorHAnsi"/>
                <w:spacing w:val="-6"/>
              </w:rPr>
              <w:t xml:space="preserve"> </w:t>
            </w:r>
            <w:r w:rsidRPr="00B36C5A">
              <w:rPr>
                <w:rFonts w:asciiTheme="minorHAnsi" w:hAnsiTheme="minorHAnsi" w:cstheme="minorHAnsi"/>
              </w:rPr>
              <w:t>for</w:t>
            </w:r>
            <w:r w:rsidRPr="00B36C5A">
              <w:rPr>
                <w:rFonts w:asciiTheme="minorHAnsi" w:hAnsiTheme="minorHAnsi" w:cstheme="minorHAnsi"/>
                <w:spacing w:val="-10"/>
              </w:rPr>
              <w:t xml:space="preserve"> </w:t>
            </w:r>
            <w:r w:rsidRPr="00B36C5A">
              <w:rPr>
                <w:rFonts w:asciiTheme="minorHAnsi" w:hAnsiTheme="minorHAnsi" w:cstheme="minorHAnsi"/>
              </w:rPr>
              <w:t>money</w:t>
            </w:r>
            <w:r w:rsidRPr="00B36C5A">
              <w:rPr>
                <w:rFonts w:asciiTheme="minorHAnsi" w:hAnsiTheme="minorHAnsi" w:cstheme="minorHAnsi"/>
                <w:spacing w:val="-6"/>
              </w:rPr>
              <w:t xml:space="preserve"> </w:t>
            </w:r>
            <w:r w:rsidRPr="00B36C5A">
              <w:rPr>
                <w:rFonts w:asciiTheme="minorHAnsi" w:hAnsiTheme="minorHAnsi" w:cstheme="minorHAnsi"/>
              </w:rPr>
              <w:t>criteria,</w:t>
            </w:r>
            <w:r w:rsidRPr="00B36C5A">
              <w:rPr>
                <w:rFonts w:asciiTheme="minorHAnsi" w:hAnsiTheme="minorHAnsi" w:cstheme="minorHAnsi"/>
                <w:spacing w:val="-5"/>
              </w:rPr>
              <w:t xml:space="preserve"> </w:t>
            </w:r>
            <w:r w:rsidRPr="00B36C5A">
              <w:rPr>
                <w:rFonts w:asciiTheme="minorHAnsi" w:hAnsiTheme="minorHAnsi" w:cstheme="minorHAnsi"/>
              </w:rPr>
              <w:t>not</w:t>
            </w:r>
            <w:r w:rsidRPr="00B36C5A">
              <w:rPr>
                <w:rFonts w:asciiTheme="minorHAnsi" w:hAnsiTheme="minorHAnsi" w:cstheme="minorHAnsi"/>
                <w:spacing w:val="-5"/>
              </w:rPr>
              <w:t xml:space="preserve"> </w:t>
            </w:r>
            <w:r w:rsidRPr="00B36C5A">
              <w:rPr>
                <w:rFonts w:asciiTheme="minorHAnsi" w:hAnsiTheme="minorHAnsi" w:cstheme="minorHAnsi"/>
              </w:rPr>
              <w:t>necessarily</w:t>
            </w:r>
            <w:r w:rsidRPr="00B36C5A">
              <w:rPr>
                <w:rFonts w:asciiTheme="minorHAnsi" w:hAnsiTheme="minorHAnsi" w:cstheme="minorHAnsi"/>
                <w:spacing w:val="-7"/>
              </w:rPr>
              <w:t xml:space="preserve"> </w:t>
            </w:r>
            <w:r w:rsidRPr="00B36C5A">
              <w:rPr>
                <w:rFonts w:asciiTheme="minorHAnsi" w:hAnsiTheme="minorHAnsi" w:cstheme="minorHAnsi"/>
              </w:rPr>
              <w:t>the</w:t>
            </w:r>
            <w:r w:rsidRPr="00B36C5A">
              <w:rPr>
                <w:rFonts w:asciiTheme="minorHAnsi" w:hAnsiTheme="minorHAnsi" w:cstheme="minorHAnsi"/>
                <w:spacing w:val="-5"/>
              </w:rPr>
              <w:t xml:space="preserve"> </w:t>
            </w:r>
            <w:r w:rsidRPr="00B36C5A">
              <w:rPr>
                <w:rFonts w:asciiTheme="minorHAnsi" w:hAnsiTheme="minorHAnsi" w:cstheme="minorHAnsi"/>
              </w:rPr>
              <w:t>lowest</w:t>
            </w:r>
            <w:r w:rsidRPr="00B36C5A">
              <w:rPr>
                <w:rFonts w:asciiTheme="minorHAnsi" w:hAnsiTheme="minorHAnsi" w:cstheme="minorHAnsi"/>
                <w:spacing w:val="-2"/>
              </w:rPr>
              <w:t xml:space="preserve"> price.</w:t>
            </w:r>
          </w:p>
        </w:tc>
      </w:tr>
      <w:tr w:rsidR="00E237B8" w14:paraId="0DEFE3FA" w14:textId="77777777" w:rsidTr="009C0390">
        <w:trPr>
          <w:trHeight w:val="4420"/>
        </w:trPr>
        <w:tc>
          <w:tcPr>
            <w:tcW w:w="2470" w:type="dxa"/>
          </w:tcPr>
          <w:p w14:paraId="0C95270C" w14:textId="77777777" w:rsidR="00E237B8" w:rsidRPr="00B36C5A" w:rsidRDefault="00E237B8" w:rsidP="009C0390">
            <w:pPr>
              <w:pStyle w:val="TableParagraph"/>
              <w:spacing w:before="119"/>
              <w:ind w:left="21" w:right="8"/>
              <w:jc w:val="center"/>
              <w:rPr>
                <w:rFonts w:asciiTheme="minorHAnsi" w:hAnsiTheme="minorHAnsi" w:cstheme="minorHAnsi"/>
              </w:rPr>
            </w:pPr>
            <w:r w:rsidRPr="00B36C5A">
              <w:rPr>
                <w:rFonts w:asciiTheme="minorHAnsi" w:hAnsiTheme="minorHAnsi" w:cstheme="minorHAnsi"/>
              </w:rPr>
              <w:t>Over</w:t>
            </w:r>
            <w:r w:rsidRPr="00B36C5A">
              <w:rPr>
                <w:rFonts w:asciiTheme="minorHAnsi" w:hAnsiTheme="minorHAnsi" w:cstheme="minorHAnsi"/>
                <w:spacing w:val="-6"/>
              </w:rPr>
              <w:t xml:space="preserve"> </w:t>
            </w:r>
            <w:r w:rsidRPr="00B36C5A">
              <w:rPr>
                <w:rFonts w:asciiTheme="minorHAnsi" w:hAnsiTheme="minorHAnsi" w:cstheme="minorHAnsi"/>
              </w:rPr>
              <w:t>$20,001</w:t>
            </w:r>
            <w:r w:rsidRPr="00B36C5A">
              <w:rPr>
                <w:rFonts w:asciiTheme="minorHAnsi" w:hAnsiTheme="minorHAnsi" w:cstheme="minorHAnsi"/>
                <w:spacing w:val="-3"/>
              </w:rPr>
              <w:t xml:space="preserve"> </w:t>
            </w:r>
            <w:r w:rsidRPr="00B36C5A">
              <w:rPr>
                <w:rFonts w:asciiTheme="minorHAnsi" w:hAnsiTheme="minorHAnsi" w:cstheme="minorHAnsi"/>
              </w:rPr>
              <w:t>and</w:t>
            </w:r>
            <w:r w:rsidRPr="00B36C5A">
              <w:rPr>
                <w:rFonts w:asciiTheme="minorHAnsi" w:hAnsiTheme="minorHAnsi" w:cstheme="minorHAnsi"/>
                <w:spacing w:val="-4"/>
              </w:rPr>
              <w:t xml:space="preserve"> </w:t>
            </w:r>
            <w:r w:rsidRPr="00B36C5A">
              <w:rPr>
                <w:rFonts w:asciiTheme="minorHAnsi" w:hAnsiTheme="minorHAnsi" w:cstheme="minorHAnsi"/>
              </w:rPr>
              <w:t>up</w:t>
            </w:r>
            <w:r w:rsidRPr="00B36C5A">
              <w:rPr>
                <w:rFonts w:asciiTheme="minorHAnsi" w:hAnsiTheme="minorHAnsi" w:cstheme="minorHAnsi"/>
                <w:spacing w:val="-4"/>
              </w:rPr>
              <w:t xml:space="preserve"> </w:t>
            </w:r>
            <w:r w:rsidRPr="00B36C5A">
              <w:rPr>
                <w:rFonts w:asciiTheme="minorHAnsi" w:hAnsiTheme="minorHAnsi" w:cstheme="minorHAnsi"/>
                <w:spacing w:val="-5"/>
              </w:rPr>
              <w:t>to</w:t>
            </w:r>
          </w:p>
          <w:p w14:paraId="5107B70C" w14:textId="77777777" w:rsidR="00E237B8" w:rsidRPr="00B36C5A" w:rsidRDefault="00E237B8" w:rsidP="009C0390">
            <w:pPr>
              <w:pStyle w:val="TableParagraph"/>
              <w:ind w:left="21"/>
              <w:jc w:val="center"/>
              <w:rPr>
                <w:rFonts w:asciiTheme="minorHAnsi" w:hAnsiTheme="minorHAnsi" w:cstheme="minorHAnsi"/>
              </w:rPr>
            </w:pPr>
            <w:r w:rsidRPr="00B36C5A">
              <w:rPr>
                <w:rFonts w:asciiTheme="minorHAnsi" w:hAnsiTheme="minorHAnsi" w:cstheme="minorHAnsi"/>
                <w:spacing w:val="-2"/>
              </w:rPr>
              <w:t>$50,000</w:t>
            </w:r>
          </w:p>
        </w:tc>
        <w:tc>
          <w:tcPr>
            <w:tcW w:w="6606" w:type="dxa"/>
          </w:tcPr>
          <w:p w14:paraId="30063056" w14:textId="77777777" w:rsidR="00E237B8" w:rsidRPr="00B36C5A" w:rsidRDefault="00E237B8" w:rsidP="009C0390">
            <w:pPr>
              <w:pStyle w:val="TableParagraph"/>
              <w:spacing w:before="119"/>
              <w:ind w:left="124" w:firstLine="9"/>
              <w:rPr>
                <w:rFonts w:asciiTheme="minorHAnsi" w:hAnsiTheme="minorHAnsi" w:cstheme="minorHAnsi"/>
              </w:rPr>
            </w:pPr>
            <w:r w:rsidRPr="00B36C5A">
              <w:rPr>
                <w:rFonts w:asciiTheme="minorHAnsi" w:hAnsiTheme="minorHAnsi" w:cstheme="minorHAnsi"/>
              </w:rPr>
              <w:t>Request</w:t>
            </w:r>
            <w:r w:rsidRPr="00B36C5A">
              <w:rPr>
                <w:rFonts w:asciiTheme="minorHAnsi" w:hAnsiTheme="minorHAnsi" w:cstheme="minorHAnsi"/>
                <w:spacing w:val="-5"/>
              </w:rPr>
              <w:t xml:space="preserve"> </w:t>
            </w:r>
            <w:r w:rsidRPr="00B36C5A">
              <w:rPr>
                <w:rFonts w:asciiTheme="minorHAnsi" w:hAnsiTheme="minorHAnsi" w:cstheme="minorHAnsi"/>
              </w:rPr>
              <w:t>at</w:t>
            </w:r>
            <w:r w:rsidRPr="00B36C5A">
              <w:rPr>
                <w:rFonts w:asciiTheme="minorHAnsi" w:hAnsiTheme="minorHAnsi" w:cstheme="minorHAnsi"/>
                <w:spacing w:val="-1"/>
              </w:rPr>
              <w:t xml:space="preserve"> </w:t>
            </w:r>
            <w:r w:rsidRPr="00B36C5A">
              <w:rPr>
                <w:rFonts w:asciiTheme="minorHAnsi" w:hAnsiTheme="minorHAnsi" w:cstheme="minorHAnsi"/>
              </w:rPr>
              <w:t>least</w:t>
            </w:r>
            <w:r w:rsidRPr="00B36C5A">
              <w:rPr>
                <w:rFonts w:asciiTheme="minorHAnsi" w:hAnsiTheme="minorHAnsi" w:cstheme="minorHAnsi"/>
                <w:spacing w:val="-1"/>
              </w:rPr>
              <w:t xml:space="preserve"> </w:t>
            </w:r>
            <w:r w:rsidRPr="00B36C5A">
              <w:rPr>
                <w:rFonts w:asciiTheme="minorHAnsi" w:hAnsiTheme="minorHAnsi" w:cstheme="minorHAnsi"/>
              </w:rPr>
              <w:t>three</w:t>
            </w:r>
            <w:r w:rsidRPr="00B36C5A">
              <w:rPr>
                <w:rFonts w:asciiTheme="minorHAnsi" w:hAnsiTheme="minorHAnsi" w:cstheme="minorHAnsi"/>
                <w:spacing w:val="-3"/>
              </w:rPr>
              <w:t xml:space="preserve"> </w:t>
            </w:r>
            <w:r w:rsidRPr="00B36C5A">
              <w:rPr>
                <w:rFonts w:asciiTheme="minorHAnsi" w:hAnsiTheme="minorHAnsi" w:cstheme="minorHAnsi"/>
              </w:rPr>
              <w:t>(3)</w:t>
            </w:r>
            <w:r w:rsidRPr="00B36C5A">
              <w:rPr>
                <w:rFonts w:asciiTheme="minorHAnsi" w:hAnsiTheme="minorHAnsi" w:cstheme="minorHAnsi"/>
                <w:spacing w:val="-6"/>
              </w:rPr>
              <w:t xml:space="preserve"> </w:t>
            </w:r>
            <w:r w:rsidRPr="00B36C5A">
              <w:rPr>
                <w:rFonts w:asciiTheme="minorHAnsi" w:hAnsiTheme="minorHAnsi" w:cstheme="minorHAnsi"/>
              </w:rPr>
              <w:t>written</w:t>
            </w:r>
            <w:r w:rsidRPr="00B36C5A">
              <w:rPr>
                <w:rFonts w:asciiTheme="minorHAnsi" w:hAnsiTheme="minorHAnsi" w:cstheme="minorHAnsi"/>
                <w:spacing w:val="-1"/>
              </w:rPr>
              <w:t xml:space="preserve"> </w:t>
            </w:r>
            <w:r w:rsidRPr="00B36C5A">
              <w:rPr>
                <w:rFonts w:asciiTheme="minorHAnsi" w:hAnsiTheme="minorHAnsi" w:cstheme="minorHAnsi"/>
              </w:rPr>
              <w:t>quotations</w:t>
            </w:r>
            <w:r w:rsidRPr="00B36C5A">
              <w:rPr>
                <w:rFonts w:asciiTheme="minorHAnsi" w:hAnsiTheme="minorHAnsi" w:cstheme="minorHAnsi"/>
                <w:spacing w:val="-3"/>
              </w:rPr>
              <w:t xml:space="preserve"> </w:t>
            </w:r>
            <w:r w:rsidRPr="00B36C5A">
              <w:rPr>
                <w:rFonts w:asciiTheme="minorHAnsi" w:hAnsiTheme="minorHAnsi" w:cstheme="minorHAnsi"/>
              </w:rPr>
              <w:t>from suppliers</w:t>
            </w:r>
            <w:r w:rsidRPr="00B36C5A">
              <w:rPr>
                <w:rFonts w:asciiTheme="minorHAnsi" w:hAnsiTheme="minorHAnsi" w:cstheme="minorHAnsi"/>
                <w:spacing w:val="-1"/>
              </w:rPr>
              <w:t xml:space="preserve"> </w:t>
            </w:r>
            <w:r w:rsidRPr="00B36C5A">
              <w:rPr>
                <w:rFonts w:asciiTheme="minorHAnsi" w:hAnsiTheme="minorHAnsi" w:cstheme="minorHAnsi"/>
              </w:rPr>
              <w:t>following a brief outlining the specified requirement, either from:</w:t>
            </w:r>
          </w:p>
          <w:p w14:paraId="78791912" w14:textId="77777777" w:rsidR="00E237B8" w:rsidRPr="00B36C5A" w:rsidRDefault="00E237B8" w:rsidP="007B3B6F">
            <w:pPr>
              <w:pStyle w:val="TableParagraph"/>
              <w:numPr>
                <w:ilvl w:val="0"/>
                <w:numId w:val="543"/>
              </w:numPr>
              <w:tabs>
                <w:tab w:val="left" w:pos="515"/>
              </w:tabs>
              <w:spacing w:before="121"/>
              <w:ind w:right="233"/>
              <w:rPr>
                <w:rFonts w:asciiTheme="minorHAnsi" w:hAnsiTheme="minorHAnsi" w:cstheme="minorHAnsi"/>
              </w:rPr>
            </w:pPr>
            <w:r w:rsidRPr="00B36C5A">
              <w:rPr>
                <w:rFonts w:asciiTheme="minorHAnsi" w:hAnsiTheme="minorHAnsi" w:cstheme="minorHAnsi"/>
              </w:rPr>
              <w:t>an existing panel of pre-qualified suppliers</w:t>
            </w:r>
            <w:r w:rsidRPr="00B36C5A">
              <w:rPr>
                <w:rFonts w:asciiTheme="minorHAnsi" w:hAnsiTheme="minorHAnsi" w:cstheme="minorHAnsi"/>
                <w:spacing w:val="23"/>
              </w:rPr>
              <w:t xml:space="preserve"> </w:t>
            </w:r>
            <w:r w:rsidRPr="00B36C5A">
              <w:rPr>
                <w:rFonts w:asciiTheme="minorHAnsi" w:hAnsiTheme="minorHAnsi" w:cstheme="minorHAnsi"/>
              </w:rPr>
              <w:t>administered</w:t>
            </w:r>
            <w:r w:rsidRPr="00B36C5A">
              <w:rPr>
                <w:rFonts w:asciiTheme="minorHAnsi" w:hAnsiTheme="minorHAnsi" w:cstheme="minorHAnsi"/>
                <w:spacing w:val="23"/>
              </w:rPr>
              <w:t xml:space="preserve"> </w:t>
            </w:r>
            <w:r w:rsidRPr="00B36C5A">
              <w:rPr>
                <w:rFonts w:asciiTheme="minorHAnsi" w:hAnsiTheme="minorHAnsi" w:cstheme="minorHAnsi"/>
              </w:rPr>
              <w:t>by the Town; or</w:t>
            </w:r>
          </w:p>
          <w:p w14:paraId="58C3D2D4" w14:textId="77777777" w:rsidR="00E237B8" w:rsidRPr="00B36C5A" w:rsidRDefault="00E237B8" w:rsidP="007B3B6F">
            <w:pPr>
              <w:pStyle w:val="TableParagraph"/>
              <w:numPr>
                <w:ilvl w:val="0"/>
                <w:numId w:val="543"/>
              </w:numPr>
              <w:tabs>
                <w:tab w:val="left" w:pos="515"/>
              </w:tabs>
              <w:ind w:right="235"/>
              <w:rPr>
                <w:rFonts w:asciiTheme="minorHAnsi" w:hAnsiTheme="minorHAnsi" w:cstheme="minorHAnsi"/>
              </w:rPr>
            </w:pPr>
            <w:r w:rsidRPr="00B36C5A">
              <w:rPr>
                <w:rFonts w:asciiTheme="minorHAnsi" w:hAnsiTheme="minorHAnsi" w:cstheme="minorHAnsi"/>
              </w:rPr>
              <w:t>a</w:t>
            </w:r>
            <w:r w:rsidRPr="00B36C5A">
              <w:rPr>
                <w:rFonts w:asciiTheme="minorHAnsi" w:hAnsiTheme="minorHAnsi" w:cstheme="minorHAnsi"/>
                <w:spacing w:val="-2"/>
              </w:rPr>
              <w:t xml:space="preserve"> </w:t>
            </w:r>
            <w:r w:rsidRPr="00B36C5A">
              <w:rPr>
                <w:rFonts w:asciiTheme="minorHAnsi" w:hAnsiTheme="minorHAnsi" w:cstheme="minorHAnsi"/>
              </w:rPr>
              <w:t>pre-qualified</w:t>
            </w:r>
            <w:r w:rsidRPr="00B36C5A">
              <w:rPr>
                <w:rFonts w:asciiTheme="minorHAnsi" w:hAnsiTheme="minorHAnsi" w:cstheme="minorHAnsi"/>
                <w:spacing w:val="-2"/>
              </w:rPr>
              <w:t xml:space="preserve"> </w:t>
            </w:r>
            <w:r w:rsidRPr="00B36C5A">
              <w:rPr>
                <w:rFonts w:asciiTheme="minorHAnsi" w:hAnsiTheme="minorHAnsi" w:cstheme="minorHAnsi"/>
              </w:rPr>
              <w:t>supplier on</w:t>
            </w:r>
            <w:r w:rsidRPr="00B36C5A">
              <w:rPr>
                <w:rFonts w:asciiTheme="minorHAnsi" w:hAnsiTheme="minorHAnsi" w:cstheme="minorHAnsi"/>
                <w:spacing w:val="-5"/>
              </w:rPr>
              <w:t xml:space="preserve"> </w:t>
            </w:r>
            <w:r w:rsidRPr="00B36C5A">
              <w:rPr>
                <w:rFonts w:asciiTheme="minorHAnsi" w:hAnsiTheme="minorHAnsi" w:cstheme="minorHAnsi"/>
              </w:rPr>
              <w:t>the WALGA</w:t>
            </w:r>
            <w:r w:rsidRPr="00B36C5A">
              <w:rPr>
                <w:rFonts w:asciiTheme="minorHAnsi" w:hAnsiTheme="minorHAnsi" w:cstheme="minorHAnsi"/>
                <w:spacing w:val="-2"/>
              </w:rPr>
              <w:t xml:space="preserve"> </w:t>
            </w:r>
            <w:r w:rsidRPr="00B36C5A">
              <w:rPr>
                <w:rFonts w:asciiTheme="minorHAnsi" w:hAnsiTheme="minorHAnsi" w:cstheme="minorHAnsi"/>
              </w:rPr>
              <w:t>Preferred Supply Program or State Government CUA; or</w:t>
            </w:r>
          </w:p>
          <w:p w14:paraId="6B7C02A1" w14:textId="77777777" w:rsidR="00E237B8" w:rsidRPr="00B36C5A" w:rsidRDefault="00E237B8" w:rsidP="007B3B6F">
            <w:pPr>
              <w:pStyle w:val="TableParagraph"/>
              <w:numPr>
                <w:ilvl w:val="0"/>
                <w:numId w:val="543"/>
              </w:numPr>
              <w:tabs>
                <w:tab w:val="left" w:pos="515"/>
              </w:tabs>
              <w:spacing w:before="1"/>
              <w:ind w:hanging="285"/>
              <w:rPr>
                <w:rFonts w:asciiTheme="minorHAnsi" w:hAnsiTheme="minorHAnsi" w:cstheme="minorHAnsi"/>
              </w:rPr>
            </w:pPr>
            <w:r w:rsidRPr="00B36C5A">
              <w:rPr>
                <w:rFonts w:asciiTheme="minorHAnsi" w:hAnsiTheme="minorHAnsi" w:cstheme="minorHAnsi"/>
              </w:rPr>
              <w:t>from</w:t>
            </w:r>
            <w:r w:rsidRPr="00B36C5A">
              <w:rPr>
                <w:rFonts w:asciiTheme="minorHAnsi" w:hAnsiTheme="minorHAnsi" w:cstheme="minorHAnsi"/>
                <w:spacing w:val="-5"/>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open</w:t>
            </w:r>
            <w:r w:rsidRPr="00B36C5A">
              <w:rPr>
                <w:rFonts w:asciiTheme="minorHAnsi" w:hAnsiTheme="minorHAnsi" w:cstheme="minorHAnsi"/>
                <w:spacing w:val="-5"/>
              </w:rPr>
              <w:t xml:space="preserve"> </w:t>
            </w:r>
            <w:r w:rsidRPr="00B36C5A">
              <w:rPr>
                <w:rFonts w:asciiTheme="minorHAnsi" w:hAnsiTheme="minorHAnsi" w:cstheme="minorHAnsi"/>
                <w:spacing w:val="-2"/>
              </w:rPr>
              <w:t>market.</w:t>
            </w:r>
          </w:p>
          <w:p w14:paraId="0F7DBEBF" w14:textId="77777777" w:rsidR="00E237B8" w:rsidRPr="00B36C5A" w:rsidRDefault="00E237B8" w:rsidP="009C0390">
            <w:pPr>
              <w:pStyle w:val="TableParagraph"/>
              <w:spacing w:before="118"/>
              <w:ind w:left="124"/>
              <w:rPr>
                <w:rFonts w:asciiTheme="minorHAnsi" w:hAnsiTheme="minorHAnsi" w:cstheme="minorHAnsi"/>
              </w:rPr>
            </w:pPr>
            <w:r w:rsidRPr="00B36C5A">
              <w:rPr>
                <w:rFonts w:asciiTheme="minorHAnsi" w:hAnsiTheme="minorHAnsi" w:cstheme="minorHAnsi"/>
              </w:rPr>
              <w:t>The</w:t>
            </w:r>
            <w:r w:rsidRPr="00B36C5A">
              <w:rPr>
                <w:rFonts w:asciiTheme="minorHAnsi" w:hAnsiTheme="minorHAnsi" w:cstheme="minorHAnsi"/>
                <w:spacing w:val="40"/>
              </w:rPr>
              <w:t xml:space="preserve"> </w:t>
            </w:r>
            <w:r w:rsidRPr="00B36C5A">
              <w:rPr>
                <w:rFonts w:asciiTheme="minorHAnsi" w:hAnsiTheme="minorHAnsi" w:cstheme="minorHAnsi"/>
              </w:rPr>
              <w:t>purchasing</w:t>
            </w:r>
            <w:r w:rsidRPr="00B36C5A">
              <w:rPr>
                <w:rFonts w:asciiTheme="minorHAnsi" w:hAnsiTheme="minorHAnsi" w:cstheme="minorHAnsi"/>
                <w:spacing w:val="40"/>
              </w:rPr>
              <w:t xml:space="preserve"> </w:t>
            </w:r>
            <w:r w:rsidRPr="00B36C5A">
              <w:rPr>
                <w:rFonts w:asciiTheme="minorHAnsi" w:hAnsiTheme="minorHAnsi" w:cstheme="minorHAnsi"/>
              </w:rPr>
              <w:t>decision</w:t>
            </w:r>
            <w:r w:rsidRPr="00B36C5A">
              <w:rPr>
                <w:rFonts w:asciiTheme="minorHAnsi" w:hAnsiTheme="minorHAnsi" w:cstheme="minorHAnsi"/>
                <w:spacing w:val="40"/>
              </w:rPr>
              <w:t xml:space="preserve"> </w:t>
            </w:r>
            <w:r w:rsidRPr="00B36C5A">
              <w:rPr>
                <w:rFonts w:asciiTheme="minorHAnsi" w:hAnsiTheme="minorHAnsi" w:cstheme="minorHAnsi"/>
              </w:rPr>
              <w:t>is</w:t>
            </w:r>
            <w:r w:rsidRPr="00B36C5A">
              <w:rPr>
                <w:rFonts w:asciiTheme="minorHAnsi" w:hAnsiTheme="minorHAnsi" w:cstheme="minorHAnsi"/>
                <w:spacing w:val="40"/>
              </w:rPr>
              <w:t xml:space="preserve"> </w:t>
            </w:r>
            <w:r w:rsidRPr="00B36C5A">
              <w:rPr>
                <w:rFonts w:asciiTheme="minorHAnsi" w:hAnsiTheme="minorHAnsi" w:cstheme="minorHAnsi"/>
              </w:rPr>
              <w:t>to</w:t>
            </w:r>
            <w:r w:rsidRPr="00B36C5A">
              <w:rPr>
                <w:rFonts w:asciiTheme="minorHAnsi" w:hAnsiTheme="minorHAnsi" w:cstheme="minorHAnsi"/>
                <w:spacing w:val="40"/>
              </w:rPr>
              <w:t xml:space="preserve"> </w:t>
            </w:r>
            <w:r w:rsidRPr="00B36C5A">
              <w:rPr>
                <w:rFonts w:asciiTheme="minorHAnsi" w:hAnsiTheme="minorHAnsi" w:cstheme="minorHAnsi"/>
              </w:rPr>
              <w:t>be</w:t>
            </w:r>
            <w:r w:rsidRPr="00B36C5A">
              <w:rPr>
                <w:rFonts w:asciiTheme="minorHAnsi" w:hAnsiTheme="minorHAnsi" w:cstheme="minorHAnsi"/>
                <w:spacing w:val="40"/>
              </w:rPr>
              <w:t xml:space="preserve"> </w:t>
            </w:r>
            <w:r w:rsidRPr="00B36C5A">
              <w:rPr>
                <w:rFonts w:asciiTheme="minorHAnsi" w:hAnsiTheme="minorHAnsi" w:cstheme="minorHAnsi"/>
              </w:rPr>
              <w:t>based</w:t>
            </w:r>
            <w:r w:rsidRPr="00B36C5A">
              <w:rPr>
                <w:rFonts w:asciiTheme="minorHAnsi" w:hAnsiTheme="minorHAnsi" w:cstheme="minorHAnsi"/>
                <w:spacing w:val="40"/>
              </w:rPr>
              <w:t xml:space="preserve"> </w:t>
            </w:r>
            <w:r w:rsidRPr="00B36C5A">
              <w:rPr>
                <w:rFonts w:asciiTheme="minorHAnsi" w:hAnsiTheme="minorHAnsi" w:cstheme="minorHAnsi"/>
              </w:rPr>
              <w:t>upon</w:t>
            </w:r>
            <w:r w:rsidRPr="00B36C5A">
              <w:rPr>
                <w:rFonts w:asciiTheme="minorHAnsi" w:hAnsiTheme="minorHAnsi" w:cstheme="minorHAnsi"/>
                <w:spacing w:val="40"/>
              </w:rPr>
              <w:t xml:space="preserve"> </w:t>
            </w:r>
            <w:r w:rsidRPr="00B36C5A">
              <w:rPr>
                <w:rFonts w:asciiTheme="minorHAnsi" w:hAnsiTheme="minorHAnsi" w:cstheme="minorHAnsi"/>
              </w:rPr>
              <w:t>assessment</w:t>
            </w:r>
            <w:r w:rsidRPr="00B36C5A">
              <w:rPr>
                <w:rFonts w:asciiTheme="minorHAnsi" w:hAnsiTheme="minorHAnsi" w:cstheme="minorHAnsi"/>
                <w:spacing w:val="40"/>
              </w:rPr>
              <w:t xml:space="preserve"> </w:t>
            </w:r>
            <w:r w:rsidRPr="00B36C5A">
              <w:rPr>
                <w:rFonts w:asciiTheme="minorHAnsi" w:hAnsiTheme="minorHAnsi" w:cstheme="minorHAnsi"/>
              </w:rPr>
              <w:t>of</w:t>
            </w:r>
            <w:r w:rsidRPr="00B36C5A">
              <w:rPr>
                <w:rFonts w:asciiTheme="minorHAnsi" w:hAnsiTheme="minorHAnsi" w:cstheme="minorHAnsi"/>
                <w:spacing w:val="40"/>
              </w:rPr>
              <w:t xml:space="preserve"> </w:t>
            </w:r>
            <w:r w:rsidRPr="00B36C5A">
              <w:rPr>
                <w:rFonts w:asciiTheme="minorHAnsi" w:hAnsiTheme="minorHAnsi" w:cstheme="minorHAnsi"/>
              </w:rPr>
              <w:t>the supplier’s response to:</w:t>
            </w:r>
          </w:p>
          <w:p w14:paraId="660B5A5C" w14:textId="77777777" w:rsidR="00E237B8" w:rsidRPr="00B36C5A" w:rsidRDefault="00E237B8" w:rsidP="007B3B6F">
            <w:pPr>
              <w:pStyle w:val="TableParagraph"/>
              <w:numPr>
                <w:ilvl w:val="0"/>
                <w:numId w:val="543"/>
              </w:numPr>
              <w:tabs>
                <w:tab w:val="left" w:pos="515"/>
              </w:tabs>
              <w:spacing w:before="121"/>
              <w:ind w:right="234"/>
              <w:rPr>
                <w:rFonts w:asciiTheme="minorHAnsi" w:hAnsiTheme="minorHAnsi" w:cstheme="minorHAnsi"/>
              </w:rPr>
            </w:pPr>
            <w:r w:rsidRPr="00B36C5A">
              <w:rPr>
                <w:rFonts w:asciiTheme="minorHAnsi" w:hAnsiTheme="minorHAnsi" w:cstheme="minorHAnsi"/>
              </w:rPr>
              <w:t>a</w:t>
            </w:r>
            <w:r w:rsidRPr="00B36C5A">
              <w:rPr>
                <w:rFonts w:asciiTheme="minorHAnsi" w:hAnsiTheme="minorHAnsi" w:cstheme="minorHAnsi"/>
                <w:spacing w:val="-6"/>
              </w:rPr>
              <w:t xml:space="preserve"> </w:t>
            </w:r>
            <w:r w:rsidRPr="00B36C5A">
              <w:rPr>
                <w:rFonts w:asciiTheme="minorHAnsi" w:hAnsiTheme="minorHAnsi" w:cstheme="minorHAnsi"/>
              </w:rPr>
              <w:t>written</w:t>
            </w:r>
            <w:r w:rsidRPr="00B36C5A">
              <w:rPr>
                <w:rFonts w:asciiTheme="minorHAnsi" w:hAnsiTheme="minorHAnsi" w:cstheme="minorHAnsi"/>
                <w:spacing w:val="-7"/>
              </w:rPr>
              <w:t xml:space="preserve"> </w:t>
            </w:r>
            <w:r w:rsidRPr="00B36C5A">
              <w:rPr>
                <w:rFonts w:asciiTheme="minorHAnsi" w:hAnsiTheme="minorHAnsi" w:cstheme="minorHAnsi"/>
              </w:rPr>
              <w:t>brief</w:t>
            </w:r>
            <w:r w:rsidRPr="00B36C5A">
              <w:rPr>
                <w:rFonts w:asciiTheme="minorHAnsi" w:hAnsiTheme="minorHAnsi" w:cstheme="minorHAnsi"/>
                <w:spacing w:val="-8"/>
              </w:rPr>
              <w:t xml:space="preserve"> </w:t>
            </w:r>
            <w:r w:rsidRPr="00B36C5A">
              <w:rPr>
                <w:rFonts w:asciiTheme="minorHAnsi" w:hAnsiTheme="minorHAnsi" w:cstheme="minorHAnsi"/>
              </w:rPr>
              <w:t>outline</w:t>
            </w:r>
            <w:r w:rsidRPr="00B36C5A">
              <w:rPr>
                <w:rFonts w:asciiTheme="minorHAnsi" w:hAnsiTheme="minorHAnsi" w:cstheme="minorHAnsi"/>
                <w:spacing w:val="-7"/>
              </w:rPr>
              <w:t xml:space="preserve"> </w:t>
            </w:r>
            <w:r w:rsidRPr="00B36C5A">
              <w:rPr>
                <w:rFonts w:asciiTheme="minorHAnsi" w:hAnsiTheme="minorHAnsi" w:cstheme="minorHAnsi"/>
              </w:rPr>
              <w:t>of</w:t>
            </w:r>
            <w:r w:rsidRPr="00B36C5A">
              <w:rPr>
                <w:rFonts w:asciiTheme="minorHAnsi" w:hAnsiTheme="minorHAnsi" w:cstheme="minorHAnsi"/>
                <w:spacing w:val="-11"/>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specified</w:t>
            </w:r>
            <w:r w:rsidRPr="00B36C5A">
              <w:rPr>
                <w:rFonts w:asciiTheme="minorHAnsi" w:hAnsiTheme="minorHAnsi" w:cstheme="minorHAnsi"/>
                <w:spacing w:val="-7"/>
              </w:rPr>
              <w:t xml:space="preserve"> </w:t>
            </w:r>
            <w:r w:rsidRPr="00B36C5A">
              <w:rPr>
                <w:rFonts w:asciiTheme="minorHAnsi" w:hAnsiTheme="minorHAnsi" w:cstheme="minorHAnsi"/>
              </w:rPr>
              <w:t>requirement</w:t>
            </w:r>
            <w:r w:rsidRPr="00B36C5A">
              <w:rPr>
                <w:rFonts w:asciiTheme="minorHAnsi" w:hAnsiTheme="minorHAnsi" w:cstheme="minorHAnsi"/>
                <w:spacing w:val="-5"/>
              </w:rPr>
              <w:t xml:space="preserve"> </w:t>
            </w:r>
            <w:r w:rsidRPr="00B36C5A">
              <w:rPr>
                <w:rFonts w:asciiTheme="minorHAnsi" w:hAnsiTheme="minorHAnsi" w:cstheme="minorHAnsi"/>
              </w:rPr>
              <w:t>for</w:t>
            </w:r>
            <w:r w:rsidRPr="00B36C5A">
              <w:rPr>
                <w:rFonts w:asciiTheme="minorHAnsi" w:hAnsiTheme="minorHAnsi" w:cstheme="minorHAnsi"/>
                <w:spacing w:val="-9"/>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goods; services or works required; and</w:t>
            </w:r>
          </w:p>
          <w:p w14:paraId="5C96655E" w14:textId="77777777" w:rsidR="00E237B8" w:rsidRPr="00B36C5A" w:rsidRDefault="00E237B8" w:rsidP="007B3B6F">
            <w:pPr>
              <w:pStyle w:val="TableParagraph"/>
              <w:numPr>
                <w:ilvl w:val="0"/>
                <w:numId w:val="543"/>
              </w:numPr>
              <w:tabs>
                <w:tab w:val="left" w:pos="515"/>
              </w:tabs>
              <w:spacing w:before="3"/>
              <w:ind w:hanging="285"/>
              <w:rPr>
                <w:rFonts w:asciiTheme="minorHAnsi" w:hAnsiTheme="minorHAnsi" w:cstheme="minorHAnsi"/>
              </w:rPr>
            </w:pPr>
            <w:r w:rsidRPr="00B36C5A">
              <w:rPr>
                <w:rFonts w:asciiTheme="minorHAnsi" w:hAnsiTheme="minorHAnsi" w:cstheme="minorHAnsi"/>
              </w:rPr>
              <w:t>value</w:t>
            </w:r>
            <w:r w:rsidRPr="00B36C5A">
              <w:rPr>
                <w:rFonts w:asciiTheme="minorHAnsi" w:hAnsiTheme="minorHAnsi" w:cstheme="minorHAnsi"/>
                <w:spacing w:val="-7"/>
              </w:rPr>
              <w:t xml:space="preserve"> </w:t>
            </w:r>
            <w:r w:rsidRPr="00B36C5A">
              <w:rPr>
                <w:rFonts w:asciiTheme="minorHAnsi" w:hAnsiTheme="minorHAnsi" w:cstheme="minorHAnsi"/>
              </w:rPr>
              <w:t>for</w:t>
            </w:r>
            <w:r w:rsidRPr="00B36C5A">
              <w:rPr>
                <w:rFonts w:asciiTheme="minorHAnsi" w:hAnsiTheme="minorHAnsi" w:cstheme="minorHAnsi"/>
                <w:spacing w:val="-10"/>
              </w:rPr>
              <w:t xml:space="preserve"> </w:t>
            </w:r>
            <w:r w:rsidRPr="00B36C5A">
              <w:rPr>
                <w:rFonts w:asciiTheme="minorHAnsi" w:hAnsiTheme="minorHAnsi" w:cstheme="minorHAnsi"/>
              </w:rPr>
              <w:t>money</w:t>
            </w:r>
            <w:r w:rsidRPr="00B36C5A">
              <w:rPr>
                <w:rFonts w:asciiTheme="minorHAnsi" w:hAnsiTheme="minorHAnsi" w:cstheme="minorHAnsi"/>
                <w:spacing w:val="-6"/>
              </w:rPr>
              <w:t xml:space="preserve"> </w:t>
            </w:r>
            <w:r w:rsidRPr="00B36C5A">
              <w:rPr>
                <w:rFonts w:asciiTheme="minorHAnsi" w:hAnsiTheme="minorHAnsi" w:cstheme="minorHAnsi"/>
              </w:rPr>
              <w:t>criteria,</w:t>
            </w:r>
            <w:r w:rsidRPr="00B36C5A">
              <w:rPr>
                <w:rFonts w:asciiTheme="minorHAnsi" w:hAnsiTheme="minorHAnsi" w:cstheme="minorHAnsi"/>
                <w:spacing w:val="-5"/>
              </w:rPr>
              <w:t xml:space="preserve"> </w:t>
            </w:r>
            <w:r w:rsidRPr="00B36C5A">
              <w:rPr>
                <w:rFonts w:asciiTheme="minorHAnsi" w:hAnsiTheme="minorHAnsi" w:cstheme="minorHAnsi"/>
              </w:rPr>
              <w:t>not</w:t>
            </w:r>
            <w:r w:rsidRPr="00B36C5A">
              <w:rPr>
                <w:rFonts w:asciiTheme="minorHAnsi" w:hAnsiTheme="minorHAnsi" w:cstheme="minorHAnsi"/>
                <w:spacing w:val="-6"/>
              </w:rPr>
              <w:t xml:space="preserve"> </w:t>
            </w:r>
            <w:r w:rsidRPr="00B36C5A">
              <w:rPr>
                <w:rFonts w:asciiTheme="minorHAnsi" w:hAnsiTheme="minorHAnsi" w:cstheme="minorHAnsi"/>
              </w:rPr>
              <w:t>necessarily</w:t>
            </w:r>
            <w:r w:rsidRPr="00B36C5A">
              <w:rPr>
                <w:rFonts w:asciiTheme="minorHAnsi" w:hAnsiTheme="minorHAnsi" w:cstheme="minorHAnsi"/>
                <w:spacing w:val="-4"/>
              </w:rPr>
              <w:t xml:space="preserve"> </w:t>
            </w:r>
            <w:r w:rsidRPr="00B36C5A">
              <w:rPr>
                <w:rFonts w:asciiTheme="minorHAnsi" w:hAnsiTheme="minorHAnsi" w:cstheme="minorHAnsi"/>
              </w:rPr>
              <w:t>the</w:t>
            </w:r>
            <w:r w:rsidRPr="00B36C5A">
              <w:rPr>
                <w:rFonts w:asciiTheme="minorHAnsi" w:hAnsiTheme="minorHAnsi" w:cstheme="minorHAnsi"/>
                <w:spacing w:val="-5"/>
              </w:rPr>
              <w:t xml:space="preserve"> </w:t>
            </w:r>
            <w:r w:rsidRPr="00B36C5A">
              <w:rPr>
                <w:rFonts w:asciiTheme="minorHAnsi" w:hAnsiTheme="minorHAnsi" w:cstheme="minorHAnsi"/>
              </w:rPr>
              <w:t>lowest</w:t>
            </w:r>
            <w:r w:rsidRPr="00B36C5A">
              <w:rPr>
                <w:rFonts w:asciiTheme="minorHAnsi" w:hAnsiTheme="minorHAnsi" w:cstheme="minorHAnsi"/>
                <w:spacing w:val="-4"/>
              </w:rPr>
              <w:t xml:space="preserve"> </w:t>
            </w:r>
            <w:r w:rsidRPr="00B36C5A">
              <w:rPr>
                <w:rFonts w:asciiTheme="minorHAnsi" w:hAnsiTheme="minorHAnsi" w:cstheme="minorHAnsi"/>
                <w:spacing w:val="-2"/>
              </w:rPr>
              <w:t>price.</w:t>
            </w:r>
          </w:p>
          <w:p w14:paraId="10BBC136" w14:textId="77777777" w:rsidR="00E237B8" w:rsidRPr="00B36C5A" w:rsidRDefault="00E237B8" w:rsidP="009C0390">
            <w:pPr>
              <w:pStyle w:val="TableParagraph"/>
              <w:spacing w:before="95" w:line="270" w:lineRule="atLeast"/>
              <w:ind w:left="266"/>
              <w:rPr>
                <w:rFonts w:asciiTheme="minorHAnsi" w:hAnsiTheme="minorHAnsi" w:cstheme="minorHAnsi"/>
              </w:rPr>
            </w:pPr>
            <w:r w:rsidRPr="00B36C5A">
              <w:rPr>
                <w:rFonts w:asciiTheme="minorHAnsi" w:hAnsiTheme="minorHAnsi" w:cstheme="minorHAnsi"/>
              </w:rPr>
              <w:t>The</w:t>
            </w:r>
            <w:r w:rsidRPr="00B36C5A">
              <w:rPr>
                <w:rFonts w:asciiTheme="minorHAnsi" w:hAnsiTheme="minorHAnsi" w:cstheme="minorHAnsi"/>
                <w:spacing w:val="40"/>
              </w:rPr>
              <w:t xml:space="preserve"> </w:t>
            </w:r>
            <w:r w:rsidRPr="00B36C5A">
              <w:rPr>
                <w:rFonts w:asciiTheme="minorHAnsi" w:hAnsiTheme="minorHAnsi" w:cstheme="minorHAnsi"/>
              </w:rPr>
              <w:t>procurement</w:t>
            </w:r>
            <w:r w:rsidRPr="00B36C5A">
              <w:rPr>
                <w:rFonts w:asciiTheme="minorHAnsi" w:hAnsiTheme="minorHAnsi" w:cstheme="minorHAnsi"/>
                <w:spacing w:val="40"/>
              </w:rPr>
              <w:t xml:space="preserve"> </w:t>
            </w:r>
            <w:r w:rsidRPr="00B36C5A">
              <w:rPr>
                <w:rFonts w:asciiTheme="minorHAnsi" w:hAnsiTheme="minorHAnsi" w:cstheme="minorHAnsi"/>
              </w:rPr>
              <w:t>decision</w:t>
            </w:r>
            <w:r w:rsidRPr="00B36C5A">
              <w:rPr>
                <w:rFonts w:asciiTheme="minorHAnsi" w:hAnsiTheme="minorHAnsi" w:cstheme="minorHAnsi"/>
                <w:spacing w:val="40"/>
              </w:rPr>
              <w:t xml:space="preserve"> </w:t>
            </w:r>
            <w:r w:rsidRPr="00B36C5A">
              <w:rPr>
                <w:rFonts w:asciiTheme="minorHAnsi" w:hAnsiTheme="minorHAnsi" w:cstheme="minorHAnsi"/>
              </w:rPr>
              <w:t>is</w:t>
            </w:r>
            <w:r w:rsidRPr="00B36C5A">
              <w:rPr>
                <w:rFonts w:asciiTheme="minorHAnsi" w:hAnsiTheme="minorHAnsi" w:cstheme="minorHAnsi"/>
                <w:spacing w:val="40"/>
              </w:rPr>
              <w:t xml:space="preserve"> </w:t>
            </w:r>
            <w:r w:rsidRPr="00B36C5A">
              <w:rPr>
                <w:rFonts w:asciiTheme="minorHAnsi" w:hAnsiTheme="minorHAnsi" w:cstheme="minorHAnsi"/>
              </w:rPr>
              <w:t>to</w:t>
            </w:r>
            <w:r w:rsidRPr="00B36C5A">
              <w:rPr>
                <w:rFonts w:asciiTheme="minorHAnsi" w:hAnsiTheme="minorHAnsi" w:cstheme="minorHAnsi"/>
                <w:spacing w:val="40"/>
              </w:rPr>
              <w:t xml:space="preserve"> </w:t>
            </w:r>
            <w:r w:rsidRPr="00B36C5A">
              <w:rPr>
                <w:rFonts w:asciiTheme="minorHAnsi" w:hAnsiTheme="minorHAnsi" w:cstheme="minorHAnsi"/>
              </w:rPr>
              <w:t>be</w:t>
            </w:r>
            <w:r w:rsidRPr="00B36C5A">
              <w:rPr>
                <w:rFonts w:asciiTheme="minorHAnsi" w:hAnsiTheme="minorHAnsi" w:cstheme="minorHAnsi"/>
                <w:spacing w:val="40"/>
              </w:rPr>
              <w:t xml:space="preserve"> </w:t>
            </w:r>
            <w:r w:rsidRPr="00B36C5A">
              <w:rPr>
                <w:rFonts w:asciiTheme="minorHAnsi" w:hAnsiTheme="minorHAnsi" w:cstheme="minorHAnsi"/>
              </w:rPr>
              <w:t>represented</w:t>
            </w:r>
            <w:r w:rsidRPr="00B36C5A">
              <w:rPr>
                <w:rFonts w:asciiTheme="minorHAnsi" w:hAnsiTheme="minorHAnsi" w:cstheme="minorHAnsi"/>
                <w:spacing w:val="40"/>
              </w:rPr>
              <w:t xml:space="preserve"> </w:t>
            </w:r>
            <w:r w:rsidRPr="00B36C5A">
              <w:rPr>
                <w:rFonts w:asciiTheme="minorHAnsi" w:hAnsiTheme="minorHAnsi" w:cstheme="minorHAnsi"/>
              </w:rPr>
              <w:t>using</w:t>
            </w:r>
            <w:r w:rsidRPr="00B36C5A">
              <w:rPr>
                <w:rFonts w:asciiTheme="minorHAnsi" w:hAnsiTheme="minorHAnsi" w:cstheme="minorHAnsi"/>
                <w:spacing w:val="40"/>
              </w:rPr>
              <w:t xml:space="preserve"> </w:t>
            </w:r>
            <w:r w:rsidRPr="00B36C5A">
              <w:rPr>
                <w:rFonts w:asciiTheme="minorHAnsi" w:hAnsiTheme="minorHAnsi" w:cstheme="minorHAnsi"/>
              </w:rPr>
              <w:t>the</w:t>
            </w:r>
            <w:r w:rsidRPr="00B36C5A">
              <w:rPr>
                <w:rFonts w:asciiTheme="minorHAnsi" w:hAnsiTheme="minorHAnsi" w:cstheme="minorHAnsi"/>
                <w:spacing w:val="40"/>
              </w:rPr>
              <w:t xml:space="preserve"> </w:t>
            </w:r>
            <w:r w:rsidRPr="00B36C5A">
              <w:rPr>
                <w:rFonts w:asciiTheme="minorHAnsi" w:hAnsiTheme="minorHAnsi" w:cstheme="minorHAnsi"/>
              </w:rPr>
              <w:t>Brief Evaluation Report Template.</w:t>
            </w:r>
          </w:p>
        </w:tc>
      </w:tr>
    </w:tbl>
    <w:p w14:paraId="47099981" w14:textId="77777777" w:rsidR="00E237B8" w:rsidRDefault="00E237B8" w:rsidP="00E237B8">
      <w:pPr>
        <w:spacing w:line="270" w:lineRule="atLeast"/>
        <w:sectPr w:rsidR="00E237B8" w:rsidSect="00E237B8">
          <w:pgSz w:w="11920" w:h="16850"/>
          <w:pgMar w:top="1338" w:right="1298" w:bottom="2359" w:left="1559" w:header="720" w:footer="720" w:gutter="0"/>
          <w:cols w:space="720"/>
        </w:sectPr>
      </w:pPr>
    </w:p>
    <w:tbl>
      <w:tblPr>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0"/>
        <w:gridCol w:w="6606"/>
      </w:tblGrid>
      <w:tr w:rsidR="00E237B8" w14:paraId="51A17659" w14:textId="77777777" w:rsidTr="009C0390">
        <w:trPr>
          <w:trHeight w:val="7630"/>
        </w:trPr>
        <w:tc>
          <w:tcPr>
            <w:tcW w:w="2470" w:type="dxa"/>
          </w:tcPr>
          <w:p w14:paraId="5652BFBB" w14:textId="77777777" w:rsidR="00E237B8" w:rsidRPr="00B36C5A" w:rsidRDefault="00E237B8" w:rsidP="009C0390">
            <w:pPr>
              <w:pStyle w:val="TableParagraph"/>
              <w:spacing w:before="119"/>
              <w:ind w:left="21" w:right="8"/>
              <w:jc w:val="center"/>
              <w:rPr>
                <w:rFonts w:asciiTheme="minorHAnsi" w:hAnsiTheme="minorHAnsi" w:cstheme="minorHAnsi"/>
              </w:rPr>
            </w:pPr>
            <w:r w:rsidRPr="00B36C5A">
              <w:rPr>
                <w:rFonts w:asciiTheme="minorHAnsi" w:hAnsiTheme="minorHAnsi" w:cstheme="minorHAnsi"/>
              </w:rPr>
              <w:lastRenderedPageBreak/>
              <w:t>Over</w:t>
            </w:r>
            <w:r w:rsidRPr="00B36C5A">
              <w:rPr>
                <w:rFonts w:asciiTheme="minorHAnsi" w:hAnsiTheme="minorHAnsi" w:cstheme="minorHAnsi"/>
                <w:spacing w:val="-6"/>
              </w:rPr>
              <w:t xml:space="preserve"> </w:t>
            </w:r>
            <w:r w:rsidRPr="00B36C5A">
              <w:rPr>
                <w:rFonts w:asciiTheme="minorHAnsi" w:hAnsiTheme="minorHAnsi" w:cstheme="minorHAnsi"/>
              </w:rPr>
              <w:t>$50,001</w:t>
            </w:r>
            <w:r w:rsidRPr="00B36C5A">
              <w:rPr>
                <w:rFonts w:asciiTheme="minorHAnsi" w:hAnsiTheme="minorHAnsi" w:cstheme="minorHAnsi"/>
                <w:spacing w:val="-3"/>
              </w:rPr>
              <w:t xml:space="preserve"> </w:t>
            </w:r>
            <w:r w:rsidRPr="00B36C5A">
              <w:rPr>
                <w:rFonts w:asciiTheme="minorHAnsi" w:hAnsiTheme="minorHAnsi" w:cstheme="minorHAnsi"/>
              </w:rPr>
              <w:t>and</w:t>
            </w:r>
            <w:r w:rsidRPr="00B36C5A">
              <w:rPr>
                <w:rFonts w:asciiTheme="minorHAnsi" w:hAnsiTheme="minorHAnsi" w:cstheme="minorHAnsi"/>
                <w:spacing w:val="-4"/>
              </w:rPr>
              <w:t xml:space="preserve"> </w:t>
            </w:r>
            <w:r w:rsidRPr="00B36C5A">
              <w:rPr>
                <w:rFonts w:asciiTheme="minorHAnsi" w:hAnsiTheme="minorHAnsi" w:cstheme="minorHAnsi"/>
              </w:rPr>
              <w:t>up</w:t>
            </w:r>
            <w:r w:rsidRPr="00B36C5A">
              <w:rPr>
                <w:rFonts w:asciiTheme="minorHAnsi" w:hAnsiTheme="minorHAnsi" w:cstheme="minorHAnsi"/>
                <w:spacing w:val="-4"/>
              </w:rPr>
              <w:t xml:space="preserve"> </w:t>
            </w:r>
            <w:r w:rsidRPr="00B36C5A">
              <w:rPr>
                <w:rFonts w:asciiTheme="minorHAnsi" w:hAnsiTheme="minorHAnsi" w:cstheme="minorHAnsi"/>
                <w:spacing w:val="-5"/>
              </w:rPr>
              <w:t>to</w:t>
            </w:r>
          </w:p>
          <w:p w14:paraId="3F9248EB" w14:textId="77777777" w:rsidR="00E237B8" w:rsidRPr="00B36C5A" w:rsidRDefault="00E237B8" w:rsidP="009C0390">
            <w:pPr>
              <w:pStyle w:val="TableParagraph"/>
              <w:ind w:left="21"/>
              <w:jc w:val="center"/>
              <w:rPr>
                <w:rFonts w:asciiTheme="minorHAnsi" w:hAnsiTheme="minorHAnsi" w:cstheme="minorHAnsi"/>
              </w:rPr>
            </w:pPr>
            <w:r w:rsidRPr="00B36C5A">
              <w:rPr>
                <w:rFonts w:asciiTheme="minorHAnsi" w:hAnsiTheme="minorHAnsi" w:cstheme="minorHAnsi"/>
                <w:spacing w:val="-2"/>
              </w:rPr>
              <w:t>$250,000</w:t>
            </w:r>
          </w:p>
          <w:p w14:paraId="6A042CFF" w14:textId="77777777" w:rsidR="00E237B8" w:rsidRPr="00B36C5A" w:rsidRDefault="00E237B8" w:rsidP="009C0390">
            <w:pPr>
              <w:pStyle w:val="TableParagraph"/>
              <w:spacing w:before="1"/>
              <w:ind w:left="21" w:right="6"/>
              <w:jc w:val="center"/>
              <w:rPr>
                <w:rFonts w:asciiTheme="minorHAnsi" w:hAnsiTheme="minorHAnsi" w:cstheme="minorHAnsi"/>
              </w:rPr>
            </w:pPr>
            <w:r w:rsidRPr="00B36C5A">
              <w:rPr>
                <w:rFonts w:asciiTheme="minorHAnsi" w:hAnsiTheme="minorHAnsi" w:cstheme="minorHAnsi"/>
              </w:rPr>
              <w:t>(</w:t>
            </w:r>
            <w:proofErr w:type="spellStart"/>
            <w:r w:rsidRPr="00B36C5A">
              <w:rPr>
                <w:rFonts w:asciiTheme="minorHAnsi" w:hAnsiTheme="minorHAnsi" w:cstheme="minorHAnsi"/>
              </w:rPr>
              <w:t>exc</w:t>
            </w:r>
            <w:proofErr w:type="spellEnd"/>
            <w:r w:rsidRPr="00B36C5A">
              <w:rPr>
                <w:rFonts w:asciiTheme="minorHAnsi" w:hAnsiTheme="minorHAnsi" w:cstheme="minorHAnsi"/>
                <w:spacing w:val="-7"/>
              </w:rPr>
              <w:t xml:space="preserve"> </w:t>
            </w:r>
            <w:r w:rsidRPr="00B36C5A">
              <w:rPr>
                <w:rFonts w:asciiTheme="minorHAnsi" w:hAnsiTheme="minorHAnsi" w:cstheme="minorHAnsi"/>
                <w:spacing w:val="-4"/>
              </w:rPr>
              <w:t>GST)</w:t>
            </w:r>
          </w:p>
        </w:tc>
        <w:tc>
          <w:tcPr>
            <w:tcW w:w="6606" w:type="dxa"/>
          </w:tcPr>
          <w:p w14:paraId="3D3F135F" w14:textId="77777777" w:rsidR="00E237B8" w:rsidRPr="00B36C5A" w:rsidRDefault="00E237B8" w:rsidP="009C0390">
            <w:pPr>
              <w:pStyle w:val="TableParagraph"/>
              <w:spacing w:before="119"/>
              <w:ind w:left="268" w:right="235"/>
              <w:jc w:val="both"/>
              <w:rPr>
                <w:rFonts w:asciiTheme="minorHAnsi" w:hAnsiTheme="minorHAnsi" w:cstheme="minorHAnsi"/>
              </w:rPr>
            </w:pPr>
            <w:r w:rsidRPr="00B36C5A">
              <w:rPr>
                <w:rFonts w:asciiTheme="minorHAnsi" w:hAnsiTheme="minorHAnsi" w:cstheme="minorHAnsi"/>
              </w:rPr>
              <w:t>Request at least three (3) written quotations from suppliers by formal invitation under a Request for Quotation, containing price and detailed specification of goods and services required. The procurement decision is to be based on pre-determined evaluation criteria that assesses all value for money considerations in accordance with the definition stated within this Policy.</w:t>
            </w:r>
          </w:p>
          <w:p w14:paraId="37D6EA18" w14:textId="77777777" w:rsidR="00E237B8" w:rsidRPr="00B36C5A" w:rsidRDefault="00E237B8" w:rsidP="009C0390">
            <w:pPr>
              <w:pStyle w:val="TableParagraph"/>
              <w:spacing w:before="122"/>
              <w:ind w:left="268"/>
              <w:jc w:val="both"/>
              <w:rPr>
                <w:rFonts w:asciiTheme="minorHAnsi" w:hAnsiTheme="minorHAnsi" w:cstheme="minorHAnsi"/>
              </w:rPr>
            </w:pPr>
            <w:r w:rsidRPr="00B36C5A">
              <w:rPr>
                <w:rFonts w:asciiTheme="minorHAnsi" w:hAnsiTheme="minorHAnsi" w:cstheme="minorHAnsi"/>
              </w:rPr>
              <w:t>Quotations</w:t>
            </w:r>
            <w:r w:rsidRPr="00B36C5A">
              <w:rPr>
                <w:rFonts w:asciiTheme="minorHAnsi" w:hAnsiTheme="minorHAnsi" w:cstheme="minorHAnsi"/>
                <w:spacing w:val="-8"/>
              </w:rPr>
              <w:t xml:space="preserve"> </w:t>
            </w:r>
            <w:r w:rsidRPr="00B36C5A">
              <w:rPr>
                <w:rFonts w:asciiTheme="minorHAnsi" w:hAnsiTheme="minorHAnsi" w:cstheme="minorHAnsi"/>
              </w:rPr>
              <w:t>within</w:t>
            </w:r>
            <w:r w:rsidRPr="00B36C5A">
              <w:rPr>
                <w:rFonts w:asciiTheme="minorHAnsi" w:hAnsiTheme="minorHAnsi" w:cstheme="minorHAnsi"/>
                <w:spacing w:val="-6"/>
              </w:rPr>
              <w:t xml:space="preserve"> </w:t>
            </w:r>
            <w:r w:rsidRPr="00B36C5A">
              <w:rPr>
                <w:rFonts w:asciiTheme="minorHAnsi" w:hAnsiTheme="minorHAnsi" w:cstheme="minorHAnsi"/>
              </w:rPr>
              <w:t>this</w:t>
            </w:r>
            <w:r w:rsidRPr="00B36C5A">
              <w:rPr>
                <w:rFonts w:asciiTheme="minorHAnsi" w:hAnsiTheme="minorHAnsi" w:cstheme="minorHAnsi"/>
                <w:spacing w:val="-8"/>
              </w:rPr>
              <w:t xml:space="preserve"> </w:t>
            </w:r>
            <w:r w:rsidRPr="00B36C5A">
              <w:rPr>
                <w:rFonts w:asciiTheme="minorHAnsi" w:hAnsiTheme="minorHAnsi" w:cstheme="minorHAnsi"/>
              </w:rPr>
              <w:t>threshold</w:t>
            </w:r>
            <w:r w:rsidRPr="00B36C5A">
              <w:rPr>
                <w:rFonts w:asciiTheme="minorHAnsi" w:hAnsiTheme="minorHAnsi" w:cstheme="minorHAnsi"/>
                <w:spacing w:val="-7"/>
              </w:rPr>
              <w:t xml:space="preserve"> </w:t>
            </w:r>
            <w:r w:rsidRPr="00B36C5A">
              <w:rPr>
                <w:rFonts w:asciiTheme="minorHAnsi" w:hAnsiTheme="minorHAnsi" w:cstheme="minorHAnsi"/>
              </w:rPr>
              <w:t>may</w:t>
            </w:r>
            <w:r w:rsidRPr="00B36C5A">
              <w:rPr>
                <w:rFonts w:asciiTheme="minorHAnsi" w:hAnsiTheme="minorHAnsi" w:cstheme="minorHAnsi"/>
                <w:spacing w:val="-5"/>
              </w:rPr>
              <w:t xml:space="preserve"> </w:t>
            </w:r>
            <w:r w:rsidRPr="00B36C5A">
              <w:rPr>
                <w:rFonts w:asciiTheme="minorHAnsi" w:hAnsiTheme="minorHAnsi" w:cstheme="minorHAnsi"/>
              </w:rPr>
              <w:t>be</w:t>
            </w:r>
            <w:r w:rsidRPr="00B36C5A">
              <w:rPr>
                <w:rFonts w:asciiTheme="minorHAnsi" w:hAnsiTheme="minorHAnsi" w:cstheme="minorHAnsi"/>
                <w:spacing w:val="-6"/>
              </w:rPr>
              <w:t xml:space="preserve"> </w:t>
            </w:r>
            <w:r w:rsidRPr="00B36C5A">
              <w:rPr>
                <w:rFonts w:asciiTheme="minorHAnsi" w:hAnsiTheme="minorHAnsi" w:cstheme="minorHAnsi"/>
              </w:rPr>
              <w:t>obtained</w:t>
            </w:r>
            <w:r w:rsidRPr="00B36C5A">
              <w:rPr>
                <w:rFonts w:asciiTheme="minorHAnsi" w:hAnsiTheme="minorHAnsi" w:cstheme="minorHAnsi"/>
                <w:spacing w:val="-2"/>
              </w:rPr>
              <w:t xml:space="preserve"> from:</w:t>
            </w:r>
          </w:p>
          <w:p w14:paraId="4ADF789B" w14:textId="77777777" w:rsidR="00E237B8" w:rsidRPr="00B36C5A" w:rsidRDefault="00E237B8" w:rsidP="007B3B6F">
            <w:pPr>
              <w:pStyle w:val="TableParagraph"/>
              <w:numPr>
                <w:ilvl w:val="0"/>
                <w:numId w:val="542"/>
              </w:numPr>
              <w:tabs>
                <w:tab w:val="left" w:pos="693"/>
              </w:tabs>
              <w:ind w:right="233"/>
              <w:rPr>
                <w:rFonts w:asciiTheme="minorHAnsi" w:hAnsiTheme="minorHAnsi" w:cstheme="minorHAnsi"/>
              </w:rPr>
            </w:pPr>
            <w:r w:rsidRPr="00B36C5A">
              <w:rPr>
                <w:rFonts w:asciiTheme="minorHAnsi" w:hAnsiTheme="minorHAnsi" w:cstheme="minorHAnsi"/>
              </w:rPr>
              <w:t>an</w:t>
            </w:r>
            <w:r w:rsidRPr="00B36C5A">
              <w:rPr>
                <w:rFonts w:asciiTheme="minorHAnsi" w:hAnsiTheme="minorHAnsi" w:cstheme="minorHAnsi"/>
                <w:spacing w:val="-2"/>
              </w:rPr>
              <w:t xml:space="preserve"> </w:t>
            </w:r>
            <w:r w:rsidRPr="00B36C5A">
              <w:rPr>
                <w:rFonts w:asciiTheme="minorHAnsi" w:hAnsiTheme="minorHAnsi" w:cstheme="minorHAnsi"/>
              </w:rPr>
              <w:t>existing</w:t>
            </w:r>
            <w:r w:rsidRPr="00B36C5A">
              <w:rPr>
                <w:rFonts w:asciiTheme="minorHAnsi" w:hAnsiTheme="minorHAnsi" w:cstheme="minorHAnsi"/>
                <w:spacing w:val="-1"/>
              </w:rPr>
              <w:t xml:space="preserve"> </w:t>
            </w:r>
            <w:r w:rsidRPr="00B36C5A">
              <w:rPr>
                <w:rFonts w:asciiTheme="minorHAnsi" w:hAnsiTheme="minorHAnsi" w:cstheme="minorHAnsi"/>
              </w:rPr>
              <w:t>panel</w:t>
            </w:r>
            <w:r w:rsidRPr="00B36C5A">
              <w:rPr>
                <w:rFonts w:asciiTheme="minorHAnsi" w:hAnsiTheme="minorHAnsi" w:cstheme="minorHAnsi"/>
                <w:spacing w:val="-1"/>
              </w:rPr>
              <w:t xml:space="preserve"> </w:t>
            </w:r>
            <w:r w:rsidRPr="00B36C5A">
              <w:rPr>
                <w:rFonts w:asciiTheme="minorHAnsi" w:hAnsiTheme="minorHAnsi" w:cstheme="minorHAnsi"/>
              </w:rPr>
              <w:t>of</w:t>
            </w:r>
            <w:r w:rsidRPr="00B36C5A">
              <w:rPr>
                <w:rFonts w:asciiTheme="minorHAnsi" w:hAnsiTheme="minorHAnsi" w:cstheme="minorHAnsi"/>
                <w:spacing w:val="-2"/>
              </w:rPr>
              <w:t xml:space="preserve"> </w:t>
            </w:r>
            <w:r w:rsidRPr="00B36C5A">
              <w:rPr>
                <w:rFonts w:asciiTheme="minorHAnsi" w:hAnsiTheme="minorHAnsi" w:cstheme="minorHAnsi"/>
              </w:rPr>
              <w:t>pre-qualified</w:t>
            </w:r>
            <w:r w:rsidRPr="00B36C5A">
              <w:rPr>
                <w:rFonts w:asciiTheme="minorHAnsi" w:hAnsiTheme="minorHAnsi" w:cstheme="minorHAnsi"/>
                <w:spacing w:val="-2"/>
              </w:rPr>
              <w:t xml:space="preserve"> </w:t>
            </w:r>
            <w:r w:rsidRPr="00B36C5A">
              <w:rPr>
                <w:rFonts w:asciiTheme="minorHAnsi" w:hAnsiTheme="minorHAnsi" w:cstheme="minorHAnsi"/>
              </w:rPr>
              <w:t>suppliers</w:t>
            </w:r>
            <w:r w:rsidRPr="00B36C5A">
              <w:rPr>
                <w:rFonts w:asciiTheme="minorHAnsi" w:hAnsiTheme="minorHAnsi" w:cstheme="minorHAnsi"/>
                <w:spacing w:val="-1"/>
              </w:rPr>
              <w:t xml:space="preserve"> </w:t>
            </w:r>
            <w:r w:rsidRPr="00B36C5A">
              <w:rPr>
                <w:rFonts w:asciiTheme="minorHAnsi" w:hAnsiTheme="minorHAnsi" w:cstheme="minorHAnsi"/>
              </w:rPr>
              <w:t>administered</w:t>
            </w:r>
            <w:r w:rsidRPr="00B36C5A">
              <w:rPr>
                <w:rFonts w:asciiTheme="minorHAnsi" w:hAnsiTheme="minorHAnsi" w:cstheme="minorHAnsi"/>
                <w:spacing w:val="-1"/>
              </w:rPr>
              <w:t xml:space="preserve"> </w:t>
            </w:r>
            <w:r w:rsidRPr="00B36C5A">
              <w:rPr>
                <w:rFonts w:asciiTheme="minorHAnsi" w:hAnsiTheme="minorHAnsi" w:cstheme="minorHAnsi"/>
              </w:rPr>
              <w:t>by the Town; or</w:t>
            </w:r>
          </w:p>
          <w:p w14:paraId="7A229CA2" w14:textId="77777777" w:rsidR="00E237B8" w:rsidRPr="00B36C5A" w:rsidRDefault="00E237B8" w:rsidP="007B3B6F">
            <w:pPr>
              <w:pStyle w:val="TableParagraph"/>
              <w:numPr>
                <w:ilvl w:val="0"/>
                <w:numId w:val="542"/>
              </w:numPr>
              <w:tabs>
                <w:tab w:val="left" w:pos="693"/>
              </w:tabs>
              <w:spacing w:before="1"/>
              <w:ind w:right="238"/>
              <w:rPr>
                <w:rFonts w:asciiTheme="minorHAnsi" w:hAnsiTheme="minorHAnsi" w:cstheme="minorHAnsi"/>
              </w:rPr>
            </w:pPr>
            <w:r w:rsidRPr="00B36C5A">
              <w:rPr>
                <w:rFonts w:asciiTheme="minorHAnsi" w:hAnsiTheme="minorHAnsi" w:cstheme="minorHAnsi"/>
              </w:rPr>
              <w:t>a</w:t>
            </w:r>
            <w:r w:rsidRPr="00B36C5A">
              <w:rPr>
                <w:rFonts w:asciiTheme="minorHAnsi" w:hAnsiTheme="minorHAnsi" w:cstheme="minorHAnsi"/>
                <w:spacing w:val="80"/>
              </w:rPr>
              <w:t xml:space="preserve"> </w:t>
            </w:r>
            <w:r w:rsidRPr="00B36C5A">
              <w:rPr>
                <w:rFonts w:asciiTheme="minorHAnsi" w:hAnsiTheme="minorHAnsi" w:cstheme="minorHAnsi"/>
              </w:rPr>
              <w:t>pre-qualified</w:t>
            </w:r>
            <w:r w:rsidRPr="00B36C5A">
              <w:rPr>
                <w:rFonts w:asciiTheme="minorHAnsi" w:hAnsiTheme="minorHAnsi" w:cstheme="minorHAnsi"/>
                <w:spacing w:val="80"/>
              </w:rPr>
              <w:t xml:space="preserve"> </w:t>
            </w:r>
            <w:r w:rsidRPr="00B36C5A">
              <w:rPr>
                <w:rFonts w:asciiTheme="minorHAnsi" w:hAnsiTheme="minorHAnsi" w:cstheme="minorHAnsi"/>
              </w:rPr>
              <w:t>supplier</w:t>
            </w:r>
            <w:r w:rsidRPr="00B36C5A">
              <w:rPr>
                <w:rFonts w:asciiTheme="minorHAnsi" w:hAnsiTheme="minorHAnsi" w:cstheme="minorHAnsi"/>
                <w:spacing w:val="80"/>
              </w:rPr>
              <w:t xml:space="preserve"> </w:t>
            </w:r>
            <w:r w:rsidRPr="00B36C5A">
              <w:rPr>
                <w:rFonts w:asciiTheme="minorHAnsi" w:hAnsiTheme="minorHAnsi" w:cstheme="minorHAnsi"/>
              </w:rPr>
              <w:t>on</w:t>
            </w:r>
            <w:r w:rsidRPr="00B36C5A">
              <w:rPr>
                <w:rFonts w:asciiTheme="minorHAnsi" w:hAnsiTheme="minorHAnsi" w:cstheme="minorHAnsi"/>
                <w:spacing w:val="80"/>
              </w:rPr>
              <w:t xml:space="preserve"> </w:t>
            </w:r>
            <w:r w:rsidRPr="00B36C5A">
              <w:rPr>
                <w:rFonts w:asciiTheme="minorHAnsi" w:hAnsiTheme="minorHAnsi" w:cstheme="minorHAnsi"/>
              </w:rPr>
              <w:t>the</w:t>
            </w:r>
            <w:r w:rsidRPr="00B36C5A">
              <w:rPr>
                <w:rFonts w:asciiTheme="minorHAnsi" w:hAnsiTheme="minorHAnsi" w:cstheme="minorHAnsi"/>
                <w:spacing w:val="80"/>
              </w:rPr>
              <w:t xml:space="preserve"> </w:t>
            </w:r>
            <w:r w:rsidRPr="00B36C5A">
              <w:rPr>
                <w:rFonts w:asciiTheme="minorHAnsi" w:hAnsiTheme="minorHAnsi" w:cstheme="minorHAnsi"/>
              </w:rPr>
              <w:t>WALGA</w:t>
            </w:r>
            <w:r w:rsidRPr="00B36C5A">
              <w:rPr>
                <w:rFonts w:asciiTheme="minorHAnsi" w:hAnsiTheme="minorHAnsi" w:cstheme="minorHAnsi"/>
                <w:spacing w:val="80"/>
              </w:rPr>
              <w:t xml:space="preserve"> </w:t>
            </w:r>
            <w:r w:rsidRPr="00B36C5A">
              <w:rPr>
                <w:rFonts w:asciiTheme="minorHAnsi" w:hAnsiTheme="minorHAnsi" w:cstheme="minorHAnsi"/>
              </w:rPr>
              <w:t>Preferred</w:t>
            </w:r>
            <w:r w:rsidRPr="00B36C5A">
              <w:rPr>
                <w:rFonts w:asciiTheme="minorHAnsi" w:hAnsiTheme="minorHAnsi" w:cstheme="minorHAnsi"/>
                <w:spacing w:val="80"/>
              </w:rPr>
              <w:t xml:space="preserve"> </w:t>
            </w:r>
            <w:r w:rsidRPr="00B36C5A">
              <w:rPr>
                <w:rFonts w:asciiTheme="minorHAnsi" w:hAnsiTheme="minorHAnsi" w:cstheme="minorHAnsi"/>
              </w:rPr>
              <w:t>Supply Program (e-Quotes) or State Government CUA; or</w:t>
            </w:r>
          </w:p>
          <w:p w14:paraId="1CDFFA40" w14:textId="77777777" w:rsidR="00E237B8" w:rsidRPr="00B36C5A" w:rsidRDefault="00E237B8" w:rsidP="007B3B6F">
            <w:pPr>
              <w:pStyle w:val="TableParagraph"/>
              <w:numPr>
                <w:ilvl w:val="0"/>
                <w:numId w:val="542"/>
              </w:numPr>
              <w:tabs>
                <w:tab w:val="left" w:pos="693"/>
              </w:tabs>
              <w:spacing w:line="279" w:lineRule="exact"/>
              <w:rPr>
                <w:rFonts w:asciiTheme="minorHAnsi" w:hAnsiTheme="minorHAnsi" w:cstheme="minorHAnsi"/>
              </w:rPr>
            </w:pPr>
            <w:r w:rsidRPr="00B36C5A">
              <w:rPr>
                <w:rFonts w:asciiTheme="minorHAnsi" w:hAnsiTheme="minorHAnsi" w:cstheme="minorHAnsi"/>
              </w:rPr>
              <w:t>from</w:t>
            </w:r>
            <w:r w:rsidRPr="00B36C5A">
              <w:rPr>
                <w:rFonts w:asciiTheme="minorHAnsi" w:hAnsiTheme="minorHAnsi" w:cstheme="minorHAnsi"/>
                <w:spacing w:val="-5"/>
              </w:rPr>
              <w:t xml:space="preserve"> </w:t>
            </w:r>
            <w:r w:rsidRPr="00B36C5A">
              <w:rPr>
                <w:rFonts w:asciiTheme="minorHAnsi" w:hAnsiTheme="minorHAnsi" w:cstheme="minorHAnsi"/>
              </w:rPr>
              <w:t>the</w:t>
            </w:r>
            <w:r w:rsidRPr="00B36C5A">
              <w:rPr>
                <w:rFonts w:asciiTheme="minorHAnsi" w:hAnsiTheme="minorHAnsi" w:cstheme="minorHAnsi"/>
                <w:spacing w:val="-5"/>
              </w:rPr>
              <w:t xml:space="preserve"> </w:t>
            </w:r>
            <w:r w:rsidRPr="00B36C5A">
              <w:rPr>
                <w:rFonts w:asciiTheme="minorHAnsi" w:hAnsiTheme="minorHAnsi" w:cstheme="minorHAnsi"/>
              </w:rPr>
              <w:t>open</w:t>
            </w:r>
            <w:r w:rsidRPr="00B36C5A">
              <w:rPr>
                <w:rFonts w:asciiTheme="minorHAnsi" w:hAnsiTheme="minorHAnsi" w:cstheme="minorHAnsi"/>
                <w:spacing w:val="-5"/>
              </w:rPr>
              <w:t xml:space="preserve"> </w:t>
            </w:r>
            <w:r w:rsidRPr="00B36C5A">
              <w:rPr>
                <w:rFonts w:asciiTheme="minorHAnsi" w:hAnsiTheme="minorHAnsi" w:cstheme="minorHAnsi"/>
                <w:spacing w:val="-2"/>
              </w:rPr>
              <w:t>market.</w:t>
            </w:r>
          </w:p>
          <w:p w14:paraId="5790256B" w14:textId="77777777" w:rsidR="00E237B8" w:rsidRPr="00B36C5A" w:rsidRDefault="00E237B8" w:rsidP="009C0390">
            <w:pPr>
              <w:pStyle w:val="TableParagraph"/>
              <w:spacing w:before="118"/>
              <w:ind w:left="268" w:right="233"/>
              <w:jc w:val="both"/>
              <w:rPr>
                <w:rFonts w:asciiTheme="minorHAnsi" w:hAnsiTheme="minorHAnsi" w:cstheme="minorHAnsi"/>
              </w:rPr>
            </w:pPr>
            <w:r w:rsidRPr="00B36C5A">
              <w:rPr>
                <w:rFonts w:asciiTheme="minorHAnsi" w:hAnsiTheme="minorHAnsi" w:cstheme="minorHAnsi"/>
              </w:rPr>
              <w:t>Requests for quotation from a pre-qualified panel of suppliers (whether administered by the Town through the WALGA preferred supply program or State Government CUA) are not required to be invited using a Request for Quotation form, however at least three written quotes are still required to be obtained.</w:t>
            </w:r>
          </w:p>
          <w:p w14:paraId="4FF84E3D" w14:textId="77777777" w:rsidR="00E237B8" w:rsidRPr="00B36C5A" w:rsidRDefault="00E237B8" w:rsidP="009C0390">
            <w:pPr>
              <w:pStyle w:val="TableParagraph"/>
              <w:spacing w:before="122"/>
              <w:ind w:left="268" w:right="232"/>
              <w:jc w:val="both"/>
              <w:rPr>
                <w:rFonts w:asciiTheme="minorHAnsi" w:hAnsiTheme="minorHAnsi" w:cstheme="minorHAnsi"/>
              </w:rPr>
            </w:pPr>
            <w:r w:rsidRPr="00B36C5A">
              <w:rPr>
                <w:rFonts w:asciiTheme="minorHAnsi" w:hAnsiTheme="minorHAnsi" w:cstheme="minorHAnsi"/>
              </w:rPr>
              <w:t>The purchasing decision is to be based upon assessment of the supplier’s response to:</w:t>
            </w:r>
          </w:p>
          <w:p w14:paraId="03DE683C" w14:textId="77777777" w:rsidR="00E237B8" w:rsidRPr="00B36C5A" w:rsidRDefault="00E237B8" w:rsidP="007B3B6F">
            <w:pPr>
              <w:pStyle w:val="TableParagraph"/>
              <w:numPr>
                <w:ilvl w:val="0"/>
                <w:numId w:val="542"/>
              </w:numPr>
              <w:tabs>
                <w:tab w:val="left" w:pos="515"/>
              </w:tabs>
              <w:spacing w:before="118" w:line="242" w:lineRule="auto"/>
              <w:ind w:left="515" w:right="238" w:hanging="286"/>
              <w:jc w:val="both"/>
              <w:rPr>
                <w:rFonts w:asciiTheme="minorHAnsi" w:hAnsiTheme="minorHAnsi" w:cstheme="minorHAnsi"/>
              </w:rPr>
            </w:pPr>
            <w:r w:rsidRPr="00B36C5A">
              <w:rPr>
                <w:rFonts w:asciiTheme="minorHAnsi" w:hAnsiTheme="minorHAnsi" w:cstheme="minorHAnsi"/>
              </w:rPr>
              <w:t>a detailed written specification for the goods, services or works required and</w:t>
            </w:r>
          </w:p>
          <w:p w14:paraId="065172C2" w14:textId="77777777" w:rsidR="00E237B8" w:rsidRPr="00B36C5A" w:rsidRDefault="00E237B8" w:rsidP="007B3B6F">
            <w:pPr>
              <w:pStyle w:val="TableParagraph"/>
              <w:numPr>
                <w:ilvl w:val="0"/>
                <w:numId w:val="542"/>
              </w:numPr>
              <w:tabs>
                <w:tab w:val="left" w:pos="515"/>
              </w:tabs>
              <w:ind w:left="515" w:right="234" w:hanging="286"/>
              <w:jc w:val="both"/>
              <w:rPr>
                <w:rFonts w:asciiTheme="minorHAnsi" w:hAnsiTheme="minorHAnsi" w:cstheme="minorHAnsi"/>
              </w:rPr>
            </w:pPr>
            <w:r w:rsidRPr="00B36C5A">
              <w:rPr>
                <w:rFonts w:asciiTheme="minorHAnsi" w:hAnsiTheme="minorHAnsi" w:cstheme="minorHAnsi"/>
              </w:rPr>
              <w:t xml:space="preserve">pre-determined evaluation criteria that </w:t>
            </w:r>
            <w:proofErr w:type="gramStart"/>
            <w:r w:rsidRPr="00B36C5A">
              <w:rPr>
                <w:rFonts w:asciiTheme="minorHAnsi" w:hAnsiTheme="minorHAnsi" w:cstheme="minorHAnsi"/>
              </w:rPr>
              <w:t>assesses</w:t>
            </w:r>
            <w:proofErr w:type="gramEnd"/>
            <w:r w:rsidRPr="00B36C5A">
              <w:rPr>
                <w:rFonts w:asciiTheme="minorHAnsi" w:hAnsiTheme="minorHAnsi" w:cstheme="minorHAnsi"/>
              </w:rPr>
              <w:t xml:space="preserve"> all best and sustainable value considerations.</w:t>
            </w:r>
          </w:p>
          <w:p w14:paraId="7DAC2F59" w14:textId="77777777" w:rsidR="00E237B8" w:rsidRPr="00B36C5A" w:rsidRDefault="00E237B8" w:rsidP="009C0390">
            <w:pPr>
              <w:pStyle w:val="TableParagraph"/>
              <w:spacing w:before="118"/>
              <w:ind w:left="268" w:right="236"/>
              <w:jc w:val="both"/>
              <w:rPr>
                <w:rFonts w:asciiTheme="minorHAnsi" w:hAnsiTheme="minorHAnsi" w:cstheme="minorHAnsi"/>
              </w:rPr>
            </w:pPr>
            <w:r w:rsidRPr="00B36C5A">
              <w:rPr>
                <w:rFonts w:asciiTheme="minorHAnsi" w:hAnsiTheme="minorHAnsi" w:cstheme="minorHAnsi"/>
              </w:rPr>
              <w:t>The procurement</w:t>
            </w:r>
            <w:r w:rsidRPr="00B36C5A">
              <w:rPr>
                <w:rFonts w:asciiTheme="minorHAnsi" w:hAnsiTheme="minorHAnsi" w:cstheme="minorHAnsi"/>
                <w:spacing w:val="-1"/>
              </w:rPr>
              <w:t xml:space="preserve"> </w:t>
            </w:r>
            <w:r w:rsidRPr="00B36C5A">
              <w:rPr>
                <w:rFonts w:asciiTheme="minorHAnsi" w:hAnsiTheme="minorHAnsi" w:cstheme="minorHAnsi"/>
              </w:rPr>
              <w:t>decision</w:t>
            </w:r>
            <w:r w:rsidRPr="00B36C5A">
              <w:rPr>
                <w:rFonts w:asciiTheme="minorHAnsi" w:hAnsiTheme="minorHAnsi" w:cstheme="minorHAnsi"/>
                <w:spacing w:val="-5"/>
              </w:rPr>
              <w:t xml:space="preserve"> </w:t>
            </w:r>
            <w:r w:rsidRPr="00B36C5A">
              <w:rPr>
                <w:rFonts w:asciiTheme="minorHAnsi" w:hAnsiTheme="minorHAnsi" w:cstheme="minorHAnsi"/>
              </w:rPr>
              <w:t>is to be</w:t>
            </w:r>
            <w:r w:rsidRPr="00B36C5A">
              <w:rPr>
                <w:rFonts w:asciiTheme="minorHAnsi" w:hAnsiTheme="minorHAnsi" w:cstheme="minorHAnsi"/>
                <w:spacing w:val="-1"/>
              </w:rPr>
              <w:t xml:space="preserve"> </w:t>
            </w:r>
            <w:r w:rsidRPr="00B36C5A">
              <w:rPr>
                <w:rFonts w:asciiTheme="minorHAnsi" w:hAnsiTheme="minorHAnsi" w:cstheme="minorHAnsi"/>
              </w:rPr>
              <w:t>represented using</w:t>
            </w:r>
            <w:r w:rsidRPr="00B36C5A">
              <w:rPr>
                <w:rFonts w:asciiTheme="minorHAnsi" w:hAnsiTheme="minorHAnsi" w:cstheme="minorHAnsi"/>
                <w:spacing w:val="-2"/>
              </w:rPr>
              <w:t xml:space="preserve"> </w:t>
            </w:r>
            <w:r w:rsidRPr="00B36C5A">
              <w:rPr>
                <w:rFonts w:asciiTheme="minorHAnsi" w:hAnsiTheme="minorHAnsi" w:cstheme="minorHAnsi"/>
              </w:rPr>
              <w:t>the Evaluation Report template.</w:t>
            </w:r>
          </w:p>
        </w:tc>
      </w:tr>
      <w:tr w:rsidR="00E237B8" w14:paraId="2C9EAAC2" w14:textId="77777777" w:rsidTr="009C0390">
        <w:trPr>
          <w:trHeight w:val="5069"/>
        </w:trPr>
        <w:tc>
          <w:tcPr>
            <w:tcW w:w="2470" w:type="dxa"/>
          </w:tcPr>
          <w:p w14:paraId="3A46087A" w14:textId="77777777" w:rsidR="00E237B8" w:rsidRPr="00B36C5A" w:rsidRDefault="00E237B8" w:rsidP="009C0390">
            <w:pPr>
              <w:pStyle w:val="TableParagraph"/>
              <w:spacing w:before="117" w:line="242" w:lineRule="auto"/>
              <w:ind w:right="581" w:hanging="267"/>
              <w:rPr>
                <w:rFonts w:asciiTheme="minorHAnsi" w:hAnsiTheme="minorHAnsi" w:cstheme="minorHAnsi"/>
              </w:rPr>
            </w:pPr>
            <w:r w:rsidRPr="00B36C5A">
              <w:rPr>
                <w:rFonts w:asciiTheme="minorHAnsi" w:hAnsiTheme="minorHAnsi" w:cstheme="minorHAnsi"/>
              </w:rPr>
              <w:t>Over</w:t>
            </w:r>
            <w:r w:rsidRPr="00B36C5A">
              <w:rPr>
                <w:rFonts w:asciiTheme="minorHAnsi" w:hAnsiTheme="minorHAnsi" w:cstheme="minorHAnsi"/>
                <w:spacing w:val="-13"/>
              </w:rPr>
              <w:t xml:space="preserve"> </w:t>
            </w:r>
            <w:r w:rsidRPr="00B36C5A">
              <w:rPr>
                <w:rFonts w:asciiTheme="minorHAnsi" w:hAnsiTheme="minorHAnsi" w:cstheme="minorHAnsi"/>
              </w:rPr>
              <w:t>$250,000 (</w:t>
            </w:r>
            <w:proofErr w:type="spellStart"/>
            <w:r w:rsidRPr="00B36C5A">
              <w:rPr>
                <w:rFonts w:asciiTheme="minorHAnsi" w:hAnsiTheme="minorHAnsi" w:cstheme="minorHAnsi"/>
              </w:rPr>
              <w:t>exc</w:t>
            </w:r>
            <w:proofErr w:type="spellEnd"/>
            <w:r w:rsidRPr="00B36C5A">
              <w:rPr>
                <w:rFonts w:asciiTheme="minorHAnsi" w:hAnsiTheme="minorHAnsi" w:cstheme="minorHAnsi"/>
              </w:rPr>
              <w:t xml:space="preserve"> GST)</w:t>
            </w:r>
          </w:p>
        </w:tc>
        <w:tc>
          <w:tcPr>
            <w:tcW w:w="6606" w:type="dxa"/>
          </w:tcPr>
          <w:p w14:paraId="2BC0097D" w14:textId="77777777" w:rsidR="00E237B8" w:rsidRPr="00B36C5A" w:rsidRDefault="00E237B8" w:rsidP="009C0390">
            <w:pPr>
              <w:pStyle w:val="TableParagraph"/>
              <w:spacing w:before="117"/>
              <w:ind w:left="268" w:right="232"/>
              <w:jc w:val="both"/>
              <w:rPr>
                <w:rFonts w:asciiTheme="minorHAnsi" w:hAnsiTheme="minorHAnsi" w:cstheme="minorHAnsi"/>
              </w:rPr>
            </w:pPr>
            <w:r w:rsidRPr="00B36C5A">
              <w:rPr>
                <w:rFonts w:asciiTheme="minorHAnsi" w:hAnsiTheme="minorHAnsi" w:cstheme="minorHAnsi"/>
              </w:rPr>
              <w:t>Where</w:t>
            </w:r>
            <w:r w:rsidRPr="00B36C5A">
              <w:rPr>
                <w:rFonts w:asciiTheme="minorHAnsi" w:hAnsiTheme="minorHAnsi" w:cstheme="minorHAnsi"/>
                <w:spacing w:val="-10"/>
              </w:rPr>
              <w:t xml:space="preserve"> </w:t>
            </w:r>
            <w:r w:rsidRPr="00B36C5A">
              <w:rPr>
                <w:rFonts w:asciiTheme="minorHAnsi" w:hAnsiTheme="minorHAnsi" w:cstheme="minorHAnsi"/>
              </w:rPr>
              <w:t>the</w:t>
            </w:r>
            <w:r w:rsidRPr="00B36C5A">
              <w:rPr>
                <w:rFonts w:asciiTheme="minorHAnsi" w:hAnsiTheme="minorHAnsi" w:cstheme="minorHAnsi"/>
                <w:spacing w:val="-10"/>
              </w:rPr>
              <w:t xml:space="preserve"> </w:t>
            </w:r>
            <w:r w:rsidRPr="00B36C5A">
              <w:rPr>
                <w:rFonts w:asciiTheme="minorHAnsi" w:hAnsiTheme="minorHAnsi" w:cstheme="minorHAnsi"/>
              </w:rPr>
              <w:t>purchasing</w:t>
            </w:r>
            <w:r w:rsidRPr="00B36C5A">
              <w:rPr>
                <w:rFonts w:asciiTheme="minorHAnsi" w:hAnsiTheme="minorHAnsi" w:cstheme="minorHAnsi"/>
                <w:spacing w:val="-11"/>
              </w:rPr>
              <w:t xml:space="preserve"> </w:t>
            </w:r>
            <w:r w:rsidRPr="00B36C5A">
              <w:rPr>
                <w:rFonts w:asciiTheme="minorHAnsi" w:hAnsiTheme="minorHAnsi" w:cstheme="minorHAnsi"/>
              </w:rPr>
              <w:t>requirement</w:t>
            </w:r>
            <w:r w:rsidRPr="00B36C5A">
              <w:rPr>
                <w:rFonts w:asciiTheme="minorHAnsi" w:hAnsiTheme="minorHAnsi" w:cstheme="minorHAnsi"/>
                <w:spacing w:val="-9"/>
              </w:rPr>
              <w:t xml:space="preserve"> </w:t>
            </w:r>
            <w:r w:rsidRPr="00B36C5A">
              <w:rPr>
                <w:rFonts w:asciiTheme="minorHAnsi" w:hAnsiTheme="minorHAnsi" w:cstheme="minorHAnsi"/>
              </w:rPr>
              <w:t>is</w:t>
            </w:r>
            <w:r w:rsidRPr="00B36C5A">
              <w:rPr>
                <w:rFonts w:asciiTheme="minorHAnsi" w:hAnsiTheme="minorHAnsi" w:cstheme="minorHAnsi"/>
                <w:spacing w:val="-9"/>
              </w:rPr>
              <w:t xml:space="preserve"> </w:t>
            </w:r>
            <w:r w:rsidRPr="00B36C5A">
              <w:rPr>
                <w:rFonts w:asciiTheme="minorHAnsi" w:hAnsiTheme="minorHAnsi" w:cstheme="minorHAnsi"/>
              </w:rPr>
              <w:t>not</w:t>
            </w:r>
            <w:r w:rsidRPr="00B36C5A">
              <w:rPr>
                <w:rFonts w:asciiTheme="minorHAnsi" w:hAnsiTheme="minorHAnsi" w:cstheme="minorHAnsi"/>
                <w:spacing w:val="-10"/>
              </w:rPr>
              <w:t xml:space="preserve"> </w:t>
            </w:r>
            <w:r w:rsidRPr="00B36C5A">
              <w:rPr>
                <w:rFonts w:asciiTheme="minorHAnsi" w:hAnsiTheme="minorHAnsi" w:cstheme="minorHAnsi"/>
              </w:rPr>
              <w:t>suitable</w:t>
            </w:r>
            <w:r w:rsidRPr="00B36C5A">
              <w:rPr>
                <w:rFonts w:asciiTheme="minorHAnsi" w:hAnsiTheme="minorHAnsi" w:cstheme="minorHAnsi"/>
                <w:spacing w:val="-10"/>
              </w:rPr>
              <w:t xml:space="preserve"> </w:t>
            </w:r>
            <w:r w:rsidRPr="00B36C5A">
              <w:rPr>
                <w:rFonts w:asciiTheme="minorHAnsi" w:hAnsiTheme="minorHAnsi" w:cstheme="minorHAnsi"/>
              </w:rPr>
              <w:t>to</w:t>
            </w:r>
            <w:r w:rsidRPr="00B36C5A">
              <w:rPr>
                <w:rFonts w:asciiTheme="minorHAnsi" w:hAnsiTheme="minorHAnsi" w:cstheme="minorHAnsi"/>
                <w:spacing w:val="-10"/>
              </w:rPr>
              <w:t xml:space="preserve"> </w:t>
            </w:r>
            <w:r w:rsidRPr="00B36C5A">
              <w:rPr>
                <w:rFonts w:asciiTheme="minorHAnsi" w:hAnsiTheme="minorHAnsi" w:cstheme="minorHAnsi"/>
              </w:rPr>
              <w:t>be</w:t>
            </w:r>
            <w:r w:rsidRPr="00B36C5A">
              <w:rPr>
                <w:rFonts w:asciiTheme="minorHAnsi" w:hAnsiTheme="minorHAnsi" w:cstheme="minorHAnsi"/>
                <w:spacing w:val="-10"/>
              </w:rPr>
              <w:t xml:space="preserve"> </w:t>
            </w:r>
            <w:r w:rsidRPr="00B36C5A">
              <w:rPr>
                <w:rFonts w:asciiTheme="minorHAnsi" w:hAnsiTheme="minorHAnsi" w:cstheme="minorHAnsi"/>
              </w:rPr>
              <w:t>met</w:t>
            </w:r>
            <w:r w:rsidRPr="00B36C5A">
              <w:rPr>
                <w:rFonts w:asciiTheme="minorHAnsi" w:hAnsiTheme="minorHAnsi" w:cstheme="minorHAnsi"/>
                <w:spacing w:val="-10"/>
              </w:rPr>
              <w:t xml:space="preserve"> </w:t>
            </w:r>
            <w:r w:rsidRPr="00B36C5A">
              <w:rPr>
                <w:rFonts w:asciiTheme="minorHAnsi" w:hAnsiTheme="minorHAnsi" w:cstheme="minorHAnsi"/>
              </w:rPr>
              <w:t>through a panel of pre-qualified suppliers, or any other tender-exempt arrangement</w:t>
            </w:r>
            <w:r w:rsidRPr="00B36C5A">
              <w:rPr>
                <w:rFonts w:asciiTheme="minorHAnsi" w:hAnsiTheme="minorHAnsi" w:cstheme="minorHAnsi"/>
                <w:spacing w:val="-7"/>
              </w:rPr>
              <w:t xml:space="preserve"> </w:t>
            </w:r>
            <w:r w:rsidRPr="00B36C5A">
              <w:rPr>
                <w:rFonts w:asciiTheme="minorHAnsi" w:hAnsiTheme="minorHAnsi" w:cstheme="minorHAnsi"/>
              </w:rPr>
              <w:t>as</w:t>
            </w:r>
            <w:r w:rsidRPr="00B36C5A">
              <w:rPr>
                <w:rFonts w:asciiTheme="minorHAnsi" w:hAnsiTheme="minorHAnsi" w:cstheme="minorHAnsi"/>
                <w:spacing w:val="-8"/>
              </w:rPr>
              <w:t xml:space="preserve"> </w:t>
            </w:r>
            <w:r w:rsidRPr="00B36C5A">
              <w:rPr>
                <w:rFonts w:asciiTheme="minorHAnsi" w:hAnsiTheme="minorHAnsi" w:cstheme="minorHAnsi"/>
              </w:rPr>
              <w:t>listed</w:t>
            </w:r>
            <w:r w:rsidRPr="00B36C5A">
              <w:rPr>
                <w:rFonts w:asciiTheme="minorHAnsi" w:hAnsiTheme="minorHAnsi" w:cstheme="minorHAnsi"/>
                <w:spacing w:val="-8"/>
              </w:rPr>
              <w:t xml:space="preserve"> </w:t>
            </w:r>
            <w:r w:rsidRPr="00B36C5A">
              <w:rPr>
                <w:rFonts w:asciiTheme="minorHAnsi" w:hAnsiTheme="minorHAnsi" w:cstheme="minorHAnsi"/>
              </w:rPr>
              <w:t>under</w:t>
            </w:r>
            <w:r w:rsidRPr="00B36C5A">
              <w:rPr>
                <w:rFonts w:asciiTheme="minorHAnsi" w:hAnsiTheme="minorHAnsi" w:cstheme="minorHAnsi"/>
                <w:spacing w:val="-7"/>
              </w:rPr>
              <w:t xml:space="preserve"> </w:t>
            </w:r>
            <w:r w:rsidRPr="00B36C5A">
              <w:rPr>
                <w:rFonts w:asciiTheme="minorHAnsi" w:hAnsiTheme="minorHAnsi" w:cstheme="minorHAnsi"/>
              </w:rPr>
              <w:t>section</w:t>
            </w:r>
            <w:r w:rsidRPr="00B36C5A">
              <w:rPr>
                <w:rFonts w:asciiTheme="minorHAnsi" w:hAnsiTheme="minorHAnsi" w:cstheme="minorHAnsi"/>
                <w:spacing w:val="-8"/>
              </w:rPr>
              <w:t xml:space="preserve"> </w:t>
            </w:r>
            <w:r w:rsidRPr="00B36C5A">
              <w:rPr>
                <w:rFonts w:asciiTheme="minorHAnsi" w:hAnsiTheme="minorHAnsi" w:cstheme="minorHAnsi"/>
              </w:rPr>
              <w:t>8</w:t>
            </w:r>
            <w:r w:rsidRPr="00B36C5A">
              <w:rPr>
                <w:rFonts w:asciiTheme="minorHAnsi" w:hAnsiTheme="minorHAnsi" w:cstheme="minorHAnsi"/>
                <w:spacing w:val="-9"/>
              </w:rPr>
              <w:t xml:space="preserve"> </w:t>
            </w:r>
            <w:r w:rsidRPr="00B36C5A">
              <w:rPr>
                <w:rFonts w:asciiTheme="minorHAnsi" w:hAnsiTheme="minorHAnsi" w:cstheme="minorHAnsi"/>
              </w:rPr>
              <w:t>of</w:t>
            </w:r>
            <w:r w:rsidRPr="00B36C5A">
              <w:rPr>
                <w:rFonts w:asciiTheme="minorHAnsi" w:hAnsiTheme="minorHAnsi" w:cstheme="minorHAnsi"/>
                <w:spacing w:val="-8"/>
              </w:rPr>
              <w:t xml:space="preserve"> </w:t>
            </w:r>
            <w:r w:rsidRPr="00B36C5A">
              <w:rPr>
                <w:rFonts w:asciiTheme="minorHAnsi" w:hAnsiTheme="minorHAnsi" w:cstheme="minorHAnsi"/>
              </w:rPr>
              <w:t>this</w:t>
            </w:r>
            <w:r w:rsidRPr="00B36C5A">
              <w:rPr>
                <w:rFonts w:asciiTheme="minorHAnsi" w:hAnsiTheme="minorHAnsi" w:cstheme="minorHAnsi"/>
                <w:spacing w:val="-10"/>
              </w:rPr>
              <w:t xml:space="preserve"> </w:t>
            </w:r>
            <w:r w:rsidRPr="00B36C5A">
              <w:rPr>
                <w:rFonts w:asciiTheme="minorHAnsi" w:hAnsiTheme="minorHAnsi" w:cstheme="minorHAnsi"/>
              </w:rPr>
              <w:t>Policy,</w:t>
            </w:r>
            <w:r w:rsidRPr="00B36C5A">
              <w:rPr>
                <w:rFonts w:asciiTheme="minorHAnsi" w:hAnsiTheme="minorHAnsi" w:cstheme="minorHAnsi"/>
                <w:spacing w:val="-10"/>
              </w:rPr>
              <w:t xml:space="preserve"> </w:t>
            </w:r>
            <w:r w:rsidRPr="00B36C5A">
              <w:rPr>
                <w:rFonts w:asciiTheme="minorHAnsi" w:hAnsiTheme="minorHAnsi" w:cstheme="minorHAnsi"/>
              </w:rPr>
              <w:t>conduct</w:t>
            </w:r>
            <w:r w:rsidRPr="00B36C5A">
              <w:rPr>
                <w:rFonts w:asciiTheme="minorHAnsi" w:hAnsiTheme="minorHAnsi" w:cstheme="minorHAnsi"/>
                <w:spacing w:val="-7"/>
              </w:rPr>
              <w:t xml:space="preserve"> </w:t>
            </w:r>
            <w:r w:rsidRPr="00B36C5A">
              <w:rPr>
                <w:rFonts w:asciiTheme="minorHAnsi" w:hAnsiTheme="minorHAnsi" w:cstheme="minorHAnsi"/>
              </w:rPr>
              <w:t>a</w:t>
            </w:r>
            <w:r w:rsidRPr="00B36C5A">
              <w:rPr>
                <w:rFonts w:asciiTheme="minorHAnsi" w:hAnsiTheme="minorHAnsi" w:cstheme="minorHAnsi"/>
                <w:spacing w:val="-8"/>
              </w:rPr>
              <w:t xml:space="preserve"> </w:t>
            </w:r>
            <w:r w:rsidRPr="00B36C5A">
              <w:rPr>
                <w:rFonts w:asciiTheme="minorHAnsi" w:hAnsiTheme="minorHAnsi" w:cstheme="minorHAnsi"/>
              </w:rPr>
              <w:t>public Request for</w:t>
            </w:r>
            <w:r w:rsidRPr="00B36C5A">
              <w:rPr>
                <w:rFonts w:asciiTheme="minorHAnsi" w:hAnsiTheme="minorHAnsi" w:cstheme="minorHAnsi"/>
                <w:spacing w:val="-3"/>
              </w:rPr>
              <w:t xml:space="preserve"> </w:t>
            </w:r>
            <w:r w:rsidRPr="00B36C5A">
              <w:rPr>
                <w:rFonts w:asciiTheme="minorHAnsi" w:hAnsiTheme="minorHAnsi" w:cstheme="minorHAnsi"/>
              </w:rPr>
              <w:t>Tender process</w:t>
            </w:r>
            <w:r w:rsidRPr="00B36C5A">
              <w:rPr>
                <w:rFonts w:asciiTheme="minorHAnsi" w:hAnsiTheme="minorHAnsi" w:cstheme="minorHAnsi"/>
                <w:spacing w:val="-1"/>
              </w:rPr>
              <w:t xml:space="preserve"> </w:t>
            </w:r>
            <w:r w:rsidRPr="00B36C5A">
              <w:rPr>
                <w:rFonts w:asciiTheme="minorHAnsi" w:hAnsiTheme="minorHAnsi" w:cstheme="minorHAnsi"/>
              </w:rPr>
              <w:t>in</w:t>
            </w:r>
            <w:r w:rsidRPr="00B36C5A">
              <w:rPr>
                <w:rFonts w:asciiTheme="minorHAnsi" w:hAnsiTheme="minorHAnsi" w:cstheme="minorHAnsi"/>
                <w:spacing w:val="-2"/>
              </w:rPr>
              <w:t xml:space="preserve"> </w:t>
            </w:r>
            <w:r w:rsidRPr="00B36C5A">
              <w:rPr>
                <w:rFonts w:asciiTheme="minorHAnsi" w:hAnsiTheme="minorHAnsi" w:cstheme="minorHAnsi"/>
              </w:rPr>
              <w:t>accordance</w:t>
            </w:r>
            <w:r w:rsidRPr="00B36C5A">
              <w:rPr>
                <w:rFonts w:asciiTheme="minorHAnsi" w:hAnsiTheme="minorHAnsi" w:cstheme="minorHAnsi"/>
                <w:spacing w:val="-2"/>
              </w:rPr>
              <w:t xml:space="preserve"> </w:t>
            </w:r>
            <w:r w:rsidRPr="00B36C5A">
              <w:rPr>
                <w:rFonts w:asciiTheme="minorHAnsi" w:hAnsiTheme="minorHAnsi" w:cstheme="minorHAnsi"/>
              </w:rPr>
              <w:t>with the</w:t>
            </w:r>
            <w:r w:rsidRPr="00B36C5A">
              <w:rPr>
                <w:rFonts w:asciiTheme="minorHAnsi" w:hAnsiTheme="minorHAnsi" w:cstheme="minorHAnsi"/>
                <w:spacing w:val="-3"/>
              </w:rPr>
              <w:t xml:space="preserve"> </w:t>
            </w:r>
            <w:r w:rsidRPr="00B36C5A">
              <w:rPr>
                <w:rFonts w:asciiTheme="minorHAnsi" w:hAnsiTheme="minorHAnsi" w:cstheme="minorHAnsi"/>
              </w:rPr>
              <w:t>Regulations,</w:t>
            </w:r>
            <w:r w:rsidRPr="00B36C5A">
              <w:rPr>
                <w:rFonts w:asciiTheme="minorHAnsi" w:hAnsiTheme="minorHAnsi" w:cstheme="minorHAnsi"/>
                <w:spacing w:val="-3"/>
              </w:rPr>
              <w:t xml:space="preserve"> </w:t>
            </w:r>
            <w:r w:rsidRPr="00B36C5A">
              <w:rPr>
                <w:rFonts w:asciiTheme="minorHAnsi" w:hAnsiTheme="minorHAnsi" w:cstheme="minorHAnsi"/>
              </w:rPr>
              <w:t>this policy</w:t>
            </w:r>
            <w:r w:rsidRPr="00B36C5A">
              <w:rPr>
                <w:rFonts w:asciiTheme="minorHAnsi" w:hAnsiTheme="minorHAnsi" w:cstheme="minorHAnsi"/>
                <w:spacing w:val="-8"/>
              </w:rPr>
              <w:t xml:space="preserve"> </w:t>
            </w:r>
            <w:r w:rsidRPr="00B36C5A">
              <w:rPr>
                <w:rFonts w:asciiTheme="minorHAnsi" w:hAnsiTheme="minorHAnsi" w:cstheme="minorHAnsi"/>
              </w:rPr>
              <w:t>and</w:t>
            </w:r>
            <w:r w:rsidRPr="00B36C5A">
              <w:rPr>
                <w:rFonts w:asciiTheme="minorHAnsi" w:hAnsiTheme="minorHAnsi" w:cstheme="minorHAnsi"/>
                <w:spacing w:val="-7"/>
              </w:rPr>
              <w:t xml:space="preserve"> </w:t>
            </w:r>
            <w:r w:rsidRPr="00B36C5A">
              <w:rPr>
                <w:rFonts w:asciiTheme="minorHAnsi" w:hAnsiTheme="minorHAnsi" w:cstheme="minorHAnsi"/>
              </w:rPr>
              <w:t>the</w:t>
            </w:r>
            <w:r w:rsidRPr="00B36C5A">
              <w:rPr>
                <w:rFonts w:asciiTheme="minorHAnsi" w:hAnsiTheme="minorHAnsi" w:cstheme="minorHAnsi"/>
                <w:spacing w:val="-8"/>
              </w:rPr>
              <w:t xml:space="preserve"> </w:t>
            </w:r>
            <w:r w:rsidRPr="00B36C5A">
              <w:rPr>
                <w:rFonts w:asciiTheme="minorHAnsi" w:hAnsiTheme="minorHAnsi" w:cstheme="minorHAnsi"/>
              </w:rPr>
              <w:t>Town’s</w:t>
            </w:r>
            <w:r w:rsidRPr="00B36C5A">
              <w:rPr>
                <w:rFonts w:asciiTheme="minorHAnsi" w:hAnsiTheme="minorHAnsi" w:cstheme="minorHAnsi"/>
                <w:spacing w:val="-6"/>
              </w:rPr>
              <w:t xml:space="preserve"> </w:t>
            </w:r>
            <w:r w:rsidRPr="00B36C5A">
              <w:rPr>
                <w:rFonts w:asciiTheme="minorHAnsi" w:hAnsiTheme="minorHAnsi" w:cstheme="minorHAnsi"/>
              </w:rPr>
              <w:t>tender</w:t>
            </w:r>
            <w:r w:rsidRPr="00B36C5A">
              <w:rPr>
                <w:rFonts w:asciiTheme="minorHAnsi" w:hAnsiTheme="minorHAnsi" w:cstheme="minorHAnsi"/>
                <w:spacing w:val="-6"/>
              </w:rPr>
              <w:t xml:space="preserve"> </w:t>
            </w:r>
            <w:r w:rsidRPr="00B36C5A">
              <w:rPr>
                <w:rFonts w:asciiTheme="minorHAnsi" w:hAnsiTheme="minorHAnsi" w:cstheme="minorHAnsi"/>
              </w:rPr>
              <w:t>procedures.</w:t>
            </w:r>
            <w:r w:rsidRPr="00B36C5A">
              <w:rPr>
                <w:rFonts w:asciiTheme="minorHAnsi" w:hAnsiTheme="minorHAnsi" w:cstheme="minorHAnsi"/>
                <w:spacing w:val="-8"/>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procurement</w:t>
            </w:r>
            <w:r w:rsidRPr="00B36C5A">
              <w:rPr>
                <w:rFonts w:asciiTheme="minorHAnsi" w:hAnsiTheme="minorHAnsi" w:cstheme="minorHAnsi"/>
                <w:spacing w:val="-9"/>
              </w:rPr>
              <w:t xml:space="preserve"> </w:t>
            </w:r>
            <w:r w:rsidRPr="00B36C5A">
              <w:rPr>
                <w:rFonts w:asciiTheme="minorHAnsi" w:hAnsiTheme="minorHAnsi" w:cstheme="minorHAnsi"/>
              </w:rPr>
              <w:t>decision is to be</w:t>
            </w:r>
            <w:r w:rsidRPr="00B36C5A">
              <w:rPr>
                <w:rFonts w:asciiTheme="minorHAnsi" w:hAnsiTheme="minorHAnsi" w:cstheme="minorHAnsi"/>
                <w:spacing w:val="-5"/>
              </w:rPr>
              <w:t xml:space="preserve"> </w:t>
            </w:r>
            <w:r w:rsidRPr="00B36C5A">
              <w:rPr>
                <w:rFonts w:asciiTheme="minorHAnsi" w:hAnsiTheme="minorHAnsi" w:cstheme="minorHAnsi"/>
              </w:rPr>
              <w:t>based</w:t>
            </w:r>
            <w:r w:rsidRPr="00B36C5A">
              <w:rPr>
                <w:rFonts w:asciiTheme="minorHAnsi" w:hAnsiTheme="minorHAnsi" w:cstheme="minorHAnsi"/>
                <w:spacing w:val="-8"/>
              </w:rPr>
              <w:t xml:space="preserve"> </w:t>
            </w:r>
            <w:r w:rsidRPr="00B36C5A">
              <w:rPr>
                <w:rFonts w:asciiTheme="minorHAnsi" w:hAnsiTheme="minorHAnsi" w:cstheme="minorHAnsi"/>
              </w:rPr>
              <w:t>on</w:t>
            </w:r>
            <w:r w:rsidRPr="00B36C5A">
              <w:rPr>
                <w:rFonts w:asciiTheme="minorHAnsi" w:hAnsiTheme="minorHAnsi" w:cstheme="minorHAnsi"/>
                <w:spacing w:val="-4"/>
              </w:rPr>
              <w:t xml:space="preserve"> </w:t>
            </w:r>
            <w:r w:rsidRPr="00B36C5A">
              <w:rPr>
                <w:rFonts w:asciiTheme="minorHAnsi" w:hAnsiTheme="minorHAnsi" w:cstheme="minorHAnsi"/>
              </w:rPr>
              <w:t>pre-determined</w:t>
            </w:r>
            <w:r w:rsidRPr="00B36C5A">
              <w:rPr>
                <w:rFonts w:asciiTheme="minorHAnsi" w:hAnsiTheme="minorHAnsi" w:cstheme="minorHAnsi"/>
                <w:spacing w:val="-2"/>
              </w:rPr>
              <w:t xml:space="preserve"> </w:t>
            </w:r>
            <w:r w:rsidRPr="00B36C5A">
              <w:rPr>
                <w:rFonts w:asciiTheme="minorHAnsi" w:hAnsiTheme="minorHAnsi" w:cstheme="minorHAnsi"/>
              </w:rPr>
              <w:t>evaluation</w:t>
            </w:r>
            <w:r w:rsidRPr="00B36C5A">
              <w:rPr>
                <w:rFonts w:asciiTheme="minorHAnsi" w:hAnsiTheme="minorHAnsi" w:cstheme="minorHAnsi"/>
                <w:spacing w:val="-4"/>
              </w:rPr>
              <w:t xml:space="preserve"> </w:t>
            </w:r>
            <w:r w:rsidRPr="00B36C5A">
              <w:rPr>
                <w:rFonts w:asciiTheme="minorHAnsi" w:hAnsiTheme="minorHAnsi" w:cstheme="minorHAnsi"/>
              </w:rPr>
              <w:t>criteria</w:t>
            </w:r>
            <w:r w:rsidRPr="00B36C5A">
              <w:rPr>
                <w:rFonts w:asciiTheme="minorHAnsi" w:hAnsiTheme="minorHAnsi" w:cstheme="minorHAnsi"/>
                <w:spacing w:val="-7"/>
              </w:rPr>
              <w:t xml:space="preserve"> </w:t>
            </w:r>
            <w:r w:rsidRPr="00B36C5A">
              <w:rPr>
                <w:rFonts w:asciiTheme="minorHAnsi" w:hAnsiTheme="minorHAnsi" w:cstheme="minorHAnsi"/>
              </w:rPr>
              <w:t>that</w:t>
            </w:r>
            <w:r w:rsidRPr="00B36C5A">
              <w:rPr>
                <w:rFonts w:asciiTheme="minorHAnsi" w:hAnsiTheme="minorHAnsi" w:cstheme="minorHAnsi"/>
                <w:spacing w:val="-5"/>
              </w:rPr>
              <w:t xml:space="preserve"> </w:t>
            </w:r>
            <w:r w:rsidRPr="00B36C5A">
              <w:rPr>
                <w:rFonts w:asciiTheme="minorHAnsi" w:hAnsiTheme="minorHAnsi" w:cstheme="minorHAnsi"/>
              </w:rPr>
              <w:t>assesses</w:t>
            </w:r>
            <w:r w:rsidRPr="00B36C5A">
              <w:rPr>
                <w:rFonts w:asciiTheme="minorHAnsi" w:hAnsiTheme="minorHAnsi" w:cstheme="minorHAnsi"/>
                <w:spacing w:val="-2"/>
              </w:rPr>
              <w:t xml:space="preserve"> </w:t>
            </w:r>
            <w:r w:rsidRPr="00B36C5A">
              <w:rPr>
                <w:rFonts w:asciiTheme="minorHAnsi" w:hAnsiTheme="minorHAnsi" w:cstheme="minorHAnsi"/>
              </w:rPr>
              <w:t>all value</w:t>
            </w:r>
            <w:r w:rsidRPr="00B36C5A">
              <w:rPr>
                <w:rFonts w:asciiTheme="minorHAnsi" w:hAnsiTheme="minorHAnsi" w:cstheme="minorHAnsi"/>
                <w:spacing w:val="-13"/>
              </w:rPr>
              <w:t xml:space="preserve"> </w:t>
            </w:r>
            <w:r w:rsidRPr="00B36C5A">
              <w:rPr>
                <w:rFonts w:asciiTheme="minorHAnsi" w:hAnsiTheme="minorHAnsi" w:cstheme="minorHAnsi"/>
              </w:rPr>
              <w:t>for money considerations in accordance with the definition stated within this Policy.</w:t>
            </w:r>
          </w:p>
          <w:p w14:paraId="0138B9BC" w14:textId="77777777" w:rsidR="00E237B8" w:rsidRPr="00B36C5A" w:rsidRDefault="00E237B8" w:rsidP="009C0390">
            <w:pPr>
              <w:pStyle w:val="TableParagraph"/>
              <w:spacing w:before="122"/>
              <w:ind w:left="268" w:right="234"/>
              <w:jc w:val="both"/>
              <w:rPr>
                <w:rFonts w:asciiTheme="minorHAnsi" w:hAnsiTheme="minorHAnsi" w:cstheme="minorHAnsi"/>
              </w:rPr>
            </w:pPr>
            <w:r w:rsidRPr="00B36C5A">
              <w:rPr>
                <w:rFonts w:asciiTheme="minorHAnsi" w:hAnsiTheme="minorHAnsi" w:cstheme="minorHAnsi"/>
              </w:rPr>
              <w:t xml:space="preserve">The purchasing decision is to be based upon the supplier’s response </w:t>
            </w:r>
            <w:r w:rsidRPr="00B36C5A">
              <w:rPr>
                <w:rFonts w:asciiTheme="minorHAnsi" w:hAnsiTheme="minorHAnsi" w:cstheme="minorHAnsi"/>
                <w:spacing w:val="-4"/>
              </w:rPr>
              <w:t>to:</w:t>
            </w:r>
          </w:p>
          <w:p w14:paraId="783A130C" w14:textId="77777777" w:rsidR="00E237B8" w:rsidRPr="00B36C5A" w:rsidRDefault="00E237B8" w:rsidP="007B3B6F">
            <w:pPr>
              <w:pStyle w:val="TableParagraph"/>
              <w:numPr>
                <w:ilvl w:val="0"/>
                <w:numId w:val="541"/>
              </w:numPr>
              <w:tabs>
                <w:tab w:val="left" w:pos="515"/>
              </w:tabs>
              <w:spacing w:before="121"/>
              <w:ind w:right="233"/>
              <w:jc w:val="both"/>
              <w:rPr>
                <w:rFonts w:asciiTheme="minorHAnsi" w:hAnsiTheme="minorHAnsi" w:cstheme="minorHAnsi"/>
              </w:rPr>
            </w:pPr>
            <w:r w:rsidRPr="00B36C5A">
              <w:rPr>
                <w:rFonts w:asciiTheme="minorHAnsi" w:hAnsiTheme="minorHAnsi" w:cstheme="minorHAnsi"/>
                <w:spacing w:val="-2"/>
              </w:rPr>
              <w:t>a</w:t>
            </w:r>
            <w:r w:rsidRPr="00B36C5A">
              <w:rPr>
                <w:rFonts w:asciiTheme="minorHAnsi" w:hAnsiTheme="minorHAnsi" w:cstheme="minorHAnsi"/>
                <w:spacing w:val="-10"/>
              </w:rPr>
              <w:t xml:space="preserve"> </w:t>
            </w:r>
            <w:r w:rsidRPr="00B36C5A">
              <w:rPr>
                <w:rFonts w:asciiTheme="minorHAnsi" w:hAnsiTheme="minorHAnsi" w:cstheme="minorHAnsi"/>
                <w:spacing w:val="-2"/>
              </w:rPr>
              <w:t>specification</w:t>
            </w:r>
            <w:r w:rsidRPr="00B36C5A">
              <w:rPr>
                <w:rFonts w:asciiTheme="minorHAnsi" w:hAnsiTheme="minorHAnsi" w:cstheme="minorHAnsi"/>
                <w:spacing w:val="-9"/>
              </w:rPr>
              <w:t xml:space="preserve"> </w:t>
            </w:r>
            <w:r w:rsidRPr="00B36C5A">
              <w:rPr>
                <w:rFonts w:asciiTheme="minorHAnsi" w:hAnsiTheme="minorHAnsi" w:cstheme="minorHAnsi"/>
                <w:spacing w:val="-2"/>
              </w:rPr>
              <w:t>of</w:t>
            </w:r>
            <w:r w:rsidRPr="00B36C5A">
              <w:rPr>
                <w:rFonts w:asciiTheme="minorHAnsi" w:hAnsiTheme="minorHAnsi" w:cstheme="minorHAnsi"/>
                <w:spacing w:val="-8"/>
              </w:rPr>
              <w:t xml:space="preserve"> </w:t>
            </w:r>
            <w:r w:rsidRPr="00B36C5A">
              <w:rPr>
                <w:rFonts w:asciiTheme="minorHAnsi" w:hAnsiTheme="minorHAnsi" w:cstheme="minorHAnsi"/>
                <w:spacing w:val="-2"/>
              </w:rPr>
              <w:t>the</w:t>
            </w:r>
            <w:r w:rsidRPr="00B36C5A">
              <w:rPr>
                <w:rFonts w:asciiTheme="minorHAnsi" w:hAnsiTheme="minorHAnsi" w:cstheme="minorHAnsi"/>
                <w:spacing w:val="-5"/>
              </w:rPr>
              <w:t xml:space="preserve"> </w:t>
            </w:r>
            <w:r w:rsidRPr="00B36C5A">
              <w:rPr>
                <w:rFonts w:asciiTheme="minorHAnsi" w:hAnsiTheme="minorHAnsi" w:cstheme="minorHAnsi"/>
                <w:spacing w:val="-2"/>
              </w:rPr>
              <w:t>goods,</w:t>
            </w:r>
            <w:r w:rsidRPr="00B36C5A">
              <w:rPr>
                <w:rFonts w:asciiTheme="minorHAnsi" w:hAnsiTheme="minorHAnsi" w:cstheme="minorHAnsi"/>
                <w:spacing w:val="-11"/>
              </w:rPr>
              <w:t xml:space="preserve"> </w:t>
            </w:r>
            <w:r w:rsidRPr="00B36C5A">
              <w:rPr>
                <w:rFonts w:asciiTheme="minorHAnsi" w:hAnsiTheme="minorHAnsi" w:cstheme="minorHAnsi"/>
                <w:spacing w:val="-2"/>
              </w:rPr>
              <w:t>services</w:t>
            </w:r>
            <w:r w:rsidRPr="00B36C5A">
              <w:rPr>
                <w:rFonts w:asciiTheme="minorHAnsi" w:hAnsiTheme="minorHAnsi" w:cstheme="minorHAnsi"/>
                <w:spacing w:val="-10"/>
              </w:rPr>
              <w:t xml:space="preserve"> </w:t>
            </w:r>
            <w:r w:rsidRPr="00B36C5A">
              <w:rPr>
                <w:rFonts w:asciiTheme="minorHAnsi" w:hAnsiTheme="minorHAnsi" w:cstheme="minorHAnsi"/>
                <w:spacing w:val="-2"/>
              </w:rPr>
              <w:t>or</w:t>
            </w:r>
            <w:r w:rsidRPr="00B36C5A">
              <w:rPr>
                <w:rFonts w:asciiTheme="minorHAnsi" w:hAnsiTheme="minorHAnsi" w:cstheme="minorHAnsi"/>
                <w:spacing w:val="-9"/>
              </w:rPr>
              <w:t xml:space="preserve"> </w:t>
            </w:r>
            <w:r w:rsidRPr="00B36C5A">
              <w:rPr>
                <w:rFonts w:asciiTheme="minorHAnsi" w:hAnsiTheme="minorHAnsi" w:cstheme="minorHAnsi"/>
                <w:spacing w:val="-2"/>
              </w:rPr>
              <w:t>works</w:t>
            </w:r>
            <w:r w:rsidRPr="00B36C5A">
              <w:rPr>
                <w:rFonts w:asciiTheme="minorHAnsi" w:hAnsiTheme="minorHAnsi" w:cstheme="minorHAnsi"/>
                <w:spacing w:val="-4"/>
              </w:rPr>
              <w:t xml:space="preserve"> </w:t>
            </w:r>
            <w:r w:rsidRPr="00B36C5A">
              <w:rPr>
                <w:rFonts w:asciiTheme="minorHAnsi" w:hAnsiTheme="minorHAnsi" w:cstheme="minorHAnsi"/>
                <w:spacing w:val="-2"/>
              </w:rPr>
              <w:t>(for</w:t>
            </w:r>
            <w:r w:rsidRPr="00B36C5A">
              <w:rPr>
                <w:rFonts w:asciiTheme="minorHAnsi" w:hAnsiTheme="minorHAnsi" w:cstheme="minorHAnsi"/>
                <w:spacing w:val="-5"/>
              </w:rPr>
              <w:t xml:space="preserve"> </w:t>
            </w:r>
            <w:r w:rsidRPr="00B36C5A">
              <w:rPr>
                <w:rFonts w:asciiTheme="minorHAnsi" w:hAnsiTheme="minorHAnsi" w:cstheme="minorHAnsi"/>
                <w:spacing w:val="-2"/>
              </w:rPr>
              <w:t>a</w:t>
            </w:r>
            <w:r w:rsidRPr="00B36C5A">
              <w:rPr>
                <w:rFonts w:asciiTheme="minorHAnsi" w:hAnsiTheme="minorHAnsi" w:cstheme="minorHAnsi"/>
                <w:spacing w:val="-9"/>
              </w:rPr>
              <w:t xml:space="preserve"> </w:t>
            </w:r>
            <w:r w:rsidRPr="00B36C5A">
              <w:rPr>
                <w:rFonts w:asciiTheme="minorHAnsi" w:hAnsiTheme="minorHAnsi" w:cstheme="minorHAnsi"/>
                <w:spacing w:val="-2"/>
              </w:rPr>
              <w:t>tender</w:t>
            </w:r>
            <w:r w:rsidRPr="00B36C5A">
              <w:rPr>
                <w:rFonts w:asciiTheme="minorHAnsi" w:hAnsiTheme="minorHAnsi" w:cstheme="minorHAnsi"/>
                <w:spacing w:val="-5"/>
              </w:rPr>
              <w:t xml:space="preserve"> </w:t>
            </w:r>
            <w:r w:rsidRPr="00B36C5A">
              <w:rPr>
                <w:rFonts w:asciiTheme="minorHAnsi" w:hAnsiTheme="minorHAnsi" w:cstheme="minorHAnsi"/>
                <w:spacing w:val="-2"/>
              </w:rPr>
              <w:t xml:space="preserve">exempt </w:t>
            </w:r>
            <w:r w:rsidRPr="00B36C5A">
              <w:rPr>
                <w:rFonts w:asciiTheme="minorHAnsi" w:hAnsiTheme="minorHAnsi" w:cstheme="minorHAnsi"/>
              </w:rPr>
              <w:t>process</w:t>
            </w:r>
            <w:r w:rsidRPr="00B36C5A">
              <w:rPr>
                <w:rFonts w:asciiTheme="minorHAnsi" w:hAnsiTheme="minorHAnsi" w:cstheme="minorHAnsi"/>
                <w:spacing w:val="-13"/>
              </w:rPr>
              <w:t xml:space="preserve"> </w:t>
            </w:r>
            <w:r w:rsidRPr="00B36C5A">
              <w:rPr>
                <w:rFonts w:asciiTheme="minorHAnsi" w:hAnsiTheme="minorHAnsi" w:cstheme="minorHAnsi"/>
              </w:rPr>
              <w:t>including</w:t>
            </w:r>
            <w:r w:rsidRPr="00B36C5A">
              <w:rPr>
                <w:rFonts w:asciiTheme="minorHAnsi" w:hAnsiTheme="minorHAnsi" w:cstheme="minorHAnsi"/>
                <w:spacing w:val="-12"/>
              </w:rPr>
              <w:t xml:space="preserve"> </w:t>
            </w:r>
            <w:r w:rsidRPr="00B36C5A">
              <w:rPr>
                <w:rFonts w:asciiTheme="minorHAnsi" w:hAnsiTheme="minorHAnsi" w:cstheme="minorHAnsi"/>
              </w:rPr>
              <w:t>the</w:t>
            </w:r>
            <w:r w:rsidRPr="00B36C5A">
              <w:rPr>
                <w:rFonts w:asciiTheme="minorHAnsi" w:hAnsiTheme="minorHAnsi" w:cstheme="minorHAnsi"/>
                <w:spacing w:val="-13"/>
              </w:rPr>
              <w:t xml:space="preserve"> </w:t>
            </w:r>
            <w:r w:rsidRPr="00B36C5A">
              <w:rPr>
                <w:rFonts w:asciiTheme="minorHAnsi" w:hAnsiTheme="minorHAnsi" w:cstheme="minorHAnsi"/>
              </w:rPr>
              <w:t>WALGA</w:t>
            </w:r>
            <w:r w:rsidRPr="00B36C5A">
              <w:rPr>
                <w:rFonts w:asciiTheme="minorHAnsi" w:hAnsiTheme="minorHAnsi" w:cstheme="minorHAnsi"/>
                <w:spacing w:val="-12"/>
              </w:rPr>
              <w:t xml:space="preserve"> </w:t>
            </w:r>
            <w:r w:rsidRPr="00B36C5A">
              <w:rPr>
                <w:rFonts w:asciiTheme="minorHAnsi" w:hAnsiTheme="minorHAnsi" w:cstheme="minorHAnsi"/>
              </w:rPr>
              <w:t>Preferred</w:t>
            </w:r>
            <w:r w:rsidRPr="00B36C5A">
              <w:rPr>
                <w:rFonts w:asciiTheme="minorHAnsi" w:hAnsiTheme="minorHAnsi" w:cstheme="minorHAnsi"/>
                <w:spacing w:val="-13"/>
              </w:rPr>
              <w:t xml:space="preserve"> </w:t>
            </w:r>
            <w:r w:rsidRPr="00B36C5A">
              <w:rPr>
                <w:rFonts w:asciiTheme="minorHAnsi" w:hAnsiTheme="minorHAnsi" w:cstheme="minorHAnsi"/>
              </w:rPr>
              <w:t>Supplier</w:t>
            </w:r>
            <w:r w:rsidRPr="00B36C5A">
              <w:rPr>
                <w:rFonts w:asciiTheme="minorHAnsi" w:hAnsiTheme="minorHAnsi" w:cstheme="minorHAnsi"/>
                <w:spacing w:val="-12"/>
              </w:rPr>
              <w:t xml:space="preserve"> </w:t>
            </w:r>
            <w:r w:rsidRPr="00B36C5A">
              <w:rPr>
                <w:rFonts w:asciiTheme="minorHAnsi" w:hAnsiTheme="minorHAnsi" w:cstheme="minorHAnsi"/>
              </w:rPr>
              <w:t>Arrangement);</w:t>
            </w:r>
            <w:r w:rsidRPr="00B36C5A">
              <w:rPr>
                <w:rFonts w:asciiTheme="minorHAnsi" w:hAnsiTheme="minorHAnsi" w:cstheme="minorHAnsi"/>
                <w:spacing w:val="-13"/>
              </w:rPr>
              <w:t xml:space="preserve"> </w:t>
            </w:r>
            <w:r w:rsidRPr="00B36C5A">
              <w:rPr>
                <w:rFonts w:asciiTheme="minorHAnsi" w:hAnsiTheme="minorHAnsi" w:cstheme="minorHAnsi"/>
              </w:rPr>
              <w:t>or a detailed specification for the open tender process; and</w:t>
            </w:r>
          </w:p>
          <w:p w14:paraId="66F9A493" w14:textId="77777777" w:rsidR="00E237B8" w:rsidRPr="00B36C5A" w:rsidRDefault="00E237B8" w:rsidP="007B3B6F">
            <w:pPr>
              <w:pStyle w:val="TableParagraph"/>
              <w:numPr>
                <w:ilvl w:val="0"/>
                <w:numId w:val="541"/>
              </w:numPr>
              <w:tabs>
                <w:tab w:val="left" w:pos="515"/>
              </w:tabs>
              <w:ind w:right="234"/>
              <w:jc w:val="both"/>
              <w:rPr>
                <w:rFonts w:asciiTheme="minorHAnsi" w:hAnsiTheme="minorHAnsi" w:cstheme="minorHAnsi"/>
              </w:rPr>
            </w:pPr>
            <w:r w:rsidRPr="00B36C5A">
              <w:rPr>
                <w:rFonts w:asciiTheme="minorHAnsi" w:hAnsiTheme="minorHAnsi" w:cstheme="minorHAnsi"/>
              </w:rPr>
              <w:t xml:space="preserve">pre-determined evaluation criteria that </w:t>
            </w:r>
            <w:proofErr w:type="gramStart"/>
            <w:r w:rsidRPr="00B36C5A">
              <w:rPr>
                <w:rFonts w:asciiTheme="minorHAnsi" w:hAnsiTheme="minorHAnsi" w:cstheme="minorHAnsi"/>
              </w:rPr>
              <w:t>assesses</w:t>
            </w:r>
            <w:proofErr w:type="gramEnd"/>
            <w:r w:rsidRPr="00B36C5A">
              <w:rPr>
                <w:rFonts w:asciiTheme="minorHAnsi" w:hAnsiTheme="minorHAnsi" w:cstheme="minorHAnsi"/>
              </w:rPr>
              <w:t xml:space="preserve"> all best and sustainable value considerations.</w:t>
            </w:r>
          </w:p>
          <w:p w14:paraId="122B9277" w14:textId="77777777" w:rsidR="00E237B8" w:rsidRPr="00B36C5A" w:rsidRDefault="00E237B8" w:rsidP="009C0390">
            <w:pPr>
              <w:pStyle w:val="TableParagraph"/>
              <w:spacing w:before="97" w:line="270" w:lineRule="atLeast"/>
              <w:ind w:left="268" w:right="236"/>
              <w:jc w:val="both"/>
              <w:rPr>
                <w:rFonts w:asciiTheme="minorHAnsi" w:hAnsiTheme="minorHAnsi" w:cstheme="minorHAnsi"/>
              </w:rPr>
            </w:pPr>
            <w:r w:rsidRPr="00B36C5A">
              <w:rPr>
                <w:rFonts w:asciiTheme="minorHAnsi" w:hAnsiTheme="minorHAnsi" w:cstheme="minorHAnsi"/>
              </w:rPr>
              <w:t>The procurement</w:t>
            </w:r>
            <w:r w:rsidRPr="00B36C5A">
              <w:rPr>
                <w:rFonts w:asciiTheme="minorHAnsi" w:hAnsiTheme="minorHAnsi" w:cstheme="minorHAnsi"/>
                <w:spacing w:val="-1"/>
              </w:rPr>
              <w:t xml:space="preserve"> </w:t>
            </w:r>
            <w:r w:rsidRPr="00B36C5A">
              <w:rPr>
                <w:rFonts w:asciiTheme="minorHAnsi" w:hAnsiTheme="minorHAnsi" w:cstheme="minorHAnsi"/>
              </w:rPr>
              <w:t>decision</w:t>
            </w:r>
            <w:r w:rsidRPr="00B36C5A">
              <w:rPr>
                <w:rFonts w:asciiTheme="minorHAnsi" w:hAnsiTheme="minorHAnsi" w:cstheme="minorHAnsi"/>
                <w:spacing w:val="-5"/>
              </w:rPr>
              <w:t xml:space="preserve"> </w:t>
            </w:r>
            <w:r w:rsidRPr="00B36C5A">
              <w:rPr>
                <w:rFonts w:asciiTheme="minorHAnsi" w:hAnsiTheme="minorHAnsi" w:cstheme="minorHAnsi"/>
              </w:rPr>
              <w:t>is to be</w:t>
            </w:r>
            <w:r w:rsidRPr="00B36C5A">
              <w:rPr>
                <w:rFonts w:asciiTheme="minorHAnsi" w:hAnsiTheme="minorHAnsi" w:cstheme="minorHAnsi"/>
                <w:spacing w:val="-1"/>
              </w:rPr>
              <w:t xml:space="preserve"> </w:t>
            </w:r>
            <w:r w:rsidRPr="00B36C5A">
              <w:rPr>
                <w:rFonts w:asciiTheme="minorHAnsi" w:hAnsiTheme="minorHAnsi" w:cstheme="minorHAnsi"/>
              </w:rPr>
              <w:t>represented using</w:t>
            </w:r>
            <w:r w:rsidRPr="00B36C5A">
              <w:rPr>
                <w:rFonts w:asciiTheme="minorHAnsi" w:hAnsiTheme="minorHAnsi" w:cstheme="minorHAnsi"/>
                <w:spacing w:val="-2"/>
              </w:rPr>
              <w:t xml:space="preserve"> </w:t>
            </w:r>
            <w:r w:rsidRPr="00B36C5A">
              <w:rPr>
                <w:rFonts w:asciiTheme="minorHAnsi" w:hAnsiTheme="minorHAnsi" w:cstheme="minorHAnsi"/>
              </w:rPr>
              <w:t>the Evaluation Report template.</w:t>
            </w:r>
          </w:p>
        </w:tc>
      </w:tr>
    </w:tbl>
    <w:p w14:paraId="5E09B1E9" w14:textId="77777777" w:rsidR="00E237B8" w:rsidRDefault="00E237B8" w:rsidP="00E237B8">
      <w:pPr>
        <w:pStyle w:val="BodyText"/>
        <w:spacing w:before="41"/>
        <w:ind w:right="395"/>
        <w:jc w:val="both"/>
      </w:pPr>
    </w:p>
    <w:p w14:paraId="34FB24E4" w14:textId="77777777" w:rsidR="00E237B8" w:rsidRPr="00B36C5A" w:rsidRDefault="00E237B8" w:rsidP="00B36C5A">
      <w:pPr>
        <w:pStyle w:val="BodyText"/>
        <w:spacing w:before="41"/>
        <w:ind w:left="142" w:right="395"/>
        <w:jc w:val="both"/>
        <w:rPr>
          <w:rFonts w:asciiTheme="minorHAnsi" w:hAnsiTheme="minorHAnsi" w:cstheme="minorHAnsi"/>
        </w:rPr>
      </w:pPr>
      <w:r w:rsidRPr="00B36C5A">
        <w:rPr>
          <w:rFonts w:asciiTheme="minorHAnsi" w:hAnsiTheme="minorHAnsi" w:cstheme="minorHAnsi"/>
        </w:rPr>
        <w:lastRenderedPageBreak/>
        <w:t>Unless otherwise approved in writing by the Chief Executive Officer, the Town will maintain a principal period of three (3) years for all initial procurement activities and contracts.</w:t>
      </w:r>
      <w:r w:rsidRPr="00B36C5A">
        <w:rPr>
          <w:rFonts w:asciiTheme="minorHAnsi" w:hAnsiTheme="minorHAnsi" w:cstheme="minorHAnsi"/>
          <w:b/>
          <w:bCs/>
        </w:rPr>
        <w:t xml:space="preserve"> </w:t>
      </w:r>
      <w:r w:rsidRPr="00B36C5A">
        <w:rPr>
          <w:rFonts w:asciiTheme="minorHAnsi" w:hAnsiTheme="minorHAnsi" w:cstheme="minorHAnsi"/>
        </w:rPr>
        <w:t xml:space="preserve">The Town will periodically review recent past purchasing activity across its operations to identify categories of supply for which the Town will have continuing need, and which can be aggregated into single contract arrangements </w:t>
      </w:r>
      <w:proofErr w:type="gramStart"/>
      <w:r w:rsidRPr="00B36C5A">
        <w:rPr>
          <w:rFonts w:asciiTheme="minorHAnsi" w:hAnsiTheme="minorHAnsi" w:cstheme="minorHAnsi"/>
        </w:rPr>
        <w:t>in order to</w:t>
      </w:r>
      <w:proofErr w:type="gramEnd"/>
      <w:r w:rsidRPr="00B36C5A">
        <w:rPr>
          <w:rFonts w:asciiTheme="minorHAnsi" w:hAnsiTheme="minorHAnsi" w:cstheme="minorHAnsi"/>
        </w:rPr>
        <w:t xml:space="preserve"> achieve best value for money and efficiency in future purchasing activity.</w:t>
      </w:r>
    </w:p>
    <w:p w14:paraId="21C3123A" w14:textId="77777777" w:rsidR="00E237B8" w:rsidRPr="00B36C5A" w:rsidRDefault="00E237B8" w:rsidP="00B36C5A">
      <w:pPr>
        <w:pStyle w:val="BodyText"/>
        <w:spacing w:before="201" w:after="240"/>
        <w:ind w:left="142" w:right="390"/>
        <w:jc w:val="both"/>
        <w:rPr>
          <w:rFonts w:asciiTheme="minorHAnsi" w:hAnsiTheme="minorHAnsi" w:cstheme="minorHAnsi"/>
        </w:rPr>
      </w:pPr>
      <w:r w:rsidRPr="00B36C5A">
        <w:rPr>
          <w:rFonts w:asciiTheme="minorHAnsi" w:hAnsiTheme="minorHAnsi" w:cstheme="minorHAnsi"/>
        </w:rPr>
        <w:t>The</w:t>
      </w:r>
      <w:r w:rsidRPr="00B36C5A">
        <w:rPr>
          <w:rFonts w:asciiTheme="minorHAnsi" w:hAnsiTheme="minorHAnsi" w:cstheme="minorHAnsi"/>
          <w:spacing w:val="-1"/>
        </w:rPr>
        <w:t xml:space="preserve"> </w:t>
      </w:r>
      <w:r w:rsidRPr="00B36C5A">
        <w:rPr>
          <w:rFonts w:asciiTheme="minorHAnsi" w:hAnsiTheme="minorHAnsi" w:cstheme="minorHAnsi"/>
        </w:rPr>
        <w:t>assessment of</w:t>
      </w:r>
      <w:r w:rsidRPr="00B36C5A">
        <w:rPr>
          <w:rFonts w:asciiTheme="minorHAnsi" w:hAnsiTheme="minorHAnsi" w:cstheme="minorHAnsi"/>
          <w:spacing w:val="-3"/>
        </w:rPr>
        <w:t xml:space="preserve"> </w:t>
      </w:r>
      <w:r w:rsidRPr="00B36C5A">
        <w:rPr>
          <w:rFonts w:asciiTheme="minorHAnsi" w:hAnsiTheme="minorHAnsi" w:cstheme="minorHAnsi"/>
        </w:rPr>
        <w:t>aggregated</w:t>
      </w:r>
      <w:r w:rsidRPr="00B36C5A">
        <w:rPr>
          <w:rFonts w:asciiTheme="minorHAnsi" w:hAnsiTheme="minorHAnsi" w:cstheme="minorHAnsi"/>
          <w:spacing w:val="-1"/>
        </w:rPr>
        <w:t xml:space="preserve"> </w:t>
      </w:r>
      <w:r w:rsidRPr="00B36C5A">
        <w:rPr>
          <w:rFonts w:asciiTheme="minorHAnsi" w:hAnsiTheme="minorHAnsi" w:cstheme="minorHAnsi"/>
        </w:rPr>
        <w:t>expenditure for</w:t>
      </w:r>
      <w:r w:rsidRPr="00B36C5A">
        <w:rPr>
          <w:rFonts w:asciiTheme="minorHAnsi" w:hAnsiTheme="minorHAnsi" w:cstheme="minorHAnsi"/>
          <w:spacing w:val="-1"/>
        </w:rPr>
        <w:t xml:space="preserve"> </w:t>
      </w:r>
      <w:r w:rsidRPr="00B36C5A">
        <w:rPr>
          <w:rFonts w:asciiTheme="minorHAnsi" w:hAnsiTheme="minorHAnsi" w:cstheme="minorHAnsi"/>
        </w:rPr>
        <w:t>the same category</w:t>
      </w:r>
      <w:r w:rsidRPr="00B36C5A">
        <w:rPr>
          <w:rFonts w:asciiTheme="minorHAnsi" w:hAnsiTheme="minorHAnsi" w:cstheme="minorHAnsi"/>
          <w:spacing w:val="-3"/>
        </w:rPr>
        <w:t xml:space="preserve"> </w:t>
      </w:r>
      <w:r w:rsidRPr="00B36C5A">
        <w:rPr>
          <w:rFonts w:asciiTheme="minorHAnsi" w:hAnsiTheme="minorHAnsi" w:cstheme="minorHAnsi"/>
        </w:rPr>
        <w:t>of supply capable of being</w:t>
      </w:r>
      <w:r w:rsidRPr="00B36C5A">
        <w:rPr>
          <w:rFonts w:asciiTheme="minorHAnsi" w:hAnsiTheme="minorHAnsi" w:cstheme="minorHAnsi"/>
          <w:spacing w:val="-1"/>
        </w:rPr>
        <w:t xml:space="preserve"> </w:t>
      </w:r>
      <w:r w:rsidRPr="00B36C5A">
        <w:rPr>
          <w:rFonts w:asciiTheme="minorHAnsi" w:hAnsiTheme="minorHAnsi" w:cstheme="minorHAnsi"/>
        </w:rPr>
        <w:t xml:space="preserve">supplied by a single supplier will determine the Purchasing Value threshold applicable to future purchasing </w:t>
      </w:r>
      <w:r w:rsidRPr="00B36C5A">
        <w:rPr>
          <w:rFonts w:asciiTheme="minorHAnsi" w:hAnsiTheme="minorHAnsi" w:cstheme="minorHAnsi"/>
          <w:spacing w:val="-2"/>
        </w:rPr>
        <w:t>activity.</w:t>
      </w:r>
    </w:p>
    <w:p w14:paraId="539EF4EA" w14:textId="77777777" w:rsidR="00E237B8" w:rsidRPr="00B36C5A" w:rsidRDefault="00E237B8" w:rsidP="00B36C5A">
      <w:pPr>
        <w:spacing w:after="0"/>
        <w:ind w:left="142"/>
        <w:rPr>
          <w:b/>
          <w:bCs/>
          <w:u w:val="single"/>
        </w:rPr>
      </w:pPr>
      <w:r w:rsidRPr="00B36C5A">
        <w:rPr>
          <w:b/>
          <w:bCs/>
          <w:u w:val="single"/>
        </w:rPr>
        <w:t>Waiver</w:t>
      </w:r>
      <w:r w:rsidRPr="00B36C5A">
        <w:rPr>
          <w:b/>
          <w:bCs/>
          <w:spacing w:val="-8"/>
          <w:u w:val="single"/>
        </w:rPr>
        <w:t xml:space="preserve"> </w:t>
      </w:r>
      <w:r w:rsidRPr="00B36C5A">
        <w:rPr>
          <w:b/>
          <w:bCs/>
          <w:u w:val="single"/>
        </w:rPr>
        <w:t>of</w:t>
      </w:r>
      <w:r w:rsidRPr="00B36C5A">
        <w:rPr>
          <w:b/>
          <w:bCs/>
          <w:spacing w:val="-8"/>
          <w:u w:val="single"/>
        </w:rPr>
        <w:t xml:space="preserve"> </w:t>
      </w:r>
      <w:r w:rsidRPr="00B36C5A">
        <w:rPr>
          <w:b/>
          <w:bCs/>
          <w:spacing w:val="-2"/>
          <w:u w:val="single"/>
        </w:rPr>
        <w:t>Quotation</w:t>
      </w:r>
    </w:p>
    <w:p w14:paraId="1426978B" w14:textId="77777777" w:rsidR="00E237B8" w:rsidRPr="00B36C5A" w:rsidRDefault="00E237B8" w:rsidP="00B36C5A">
      <w:pPr>
        <w:pStyle w:val="BodyText"/>
        <w:spacing w:before="41"/>
        <w:ind w:left="142" w:right="400"/>
        <w:jc w:val="both"/>
        <w:rPr>
          <w:rFonts w:asciiTheme="minorHAnsi" w:hAnsiTheme="minorHAnsi" w:cstheme="minorHAnsi"/>
        </w:rPr>
      </w:pPr>
      <w:r w:rsidRPr="00B36C5A">
        <w:rPr>
          <w:rFonts w:asciiTheme="minorHAnsi" w:hAnsiTheme="minorHAnsi" w:cstheme="minorHAnsi"/>
        </w:rPr>
        <w:t xml:space="preserve">Where this policy requires a certain number of quotations to be obtained, but it is not possible to obtain that number of quotations, then best endeavors must be used to obtain as many quotes as </w:t>
      </w:r>
      <w:r w:rsidRPr="00B36C5A">
        <w:rPr>
          <w:rFonts w:asciiTheme="minorHAnsi" w:hAnsiTheme="minorHAnsi" w:cstheme="minorHAnsi"/>
          <w:spacing w:val="-2"/>
        </w:rPr>
        <w:t>possible.</w:t>
      </w:r>
    </w:p>
    <w:p w14:paraId="27905D81" w14:textId="77777777" w:rsidR="00E237B8" w:rsidRPr="00B36C5A" w:rsidRDefault="00E237B8" w:rsidP="00B36C5A">
      <w:pPr>
        <w:pStyle w:val="BodyText"/>
        <w:spacing w:before="201"/>
        <w:ind w:left="142"/>
        <w:jc w:val="both"/>
        <w:rPr>
          <w:rFonts w:asciiTheme="minorHAnsi" w:hAnsiTheme="minorHAnsi" w:cstheme="minorHAnsi"/>
        </w:rPr>
      </w:pPr>
      <w:r w:rsidRPr="00B36C5A">
        <w:rPr>
          <w:rFonts w:asciiTheme="minorHAnsi" w:hAnsiTheme="minorHAnsi" w:cstheme="minorHAnsi"/>
        </w:rPr>
        <w:t>If</w:t>
      </w:r>
      <w:r w:rsidRPr="00B36C5A">
        <w:rPr>
          <w:rFonts w:asciiTheme="minorHAnsi" w:hAnsiTheme="minorHAnsi" w:cstheme="minorHAnsi"/>
          <w:spacing w:val="-4"/>
        </w:rPr>
        <w:t xml:space="preserve"> </w:t>
      </w:r>
      <w:r w:rsidRPr="00B36C5A">
        <w:rPr>
          <w:rFonts w:asciiTheme="minorHAnsi" w:hAnsiTheme="minorHAnsi" w:cstheme="minorHAnsi"/>
        </w:rPr>
        <w:t>it</w:t>
      </w:r>
      <w:r w:rsidRPr="00B36C5A">
        <w:rPr>
          <w:rFonts w:asciiTheme="minorHAnsi" w:hAnsiTheme="minorHAnsi" w:cstheme="minorHAnsi"/>
          <w:spacing w:val="-5"/>
        </w:rPr>
        <w:t xml:space="preserve"> </w:t>
      </w:r>
      <w:r w:rsidRPr="00B36C5A">
        <w:rPr>
          <w:rFonts w:asciiTheme="minorHAnsi" w:hAnsiTheme="minorHAnsi" w:cstheme="minorHAnsi"/>
        </w:rPr>
        <w:t>is</w:t>
      </w:r>
      <w:r w:rsidRPr="00B36C5A">
        <w:rPr>
          <w:rFonts w:asciiTheme="minorHAnsi" w:hAnsiTheme="minorHAnsi" w:cstheme="minorHAnsi"/>
          <w:spacing w:val="-3"/>
        </w:rPr>
        <w:t xml:space="preserve"> </w:t>
      </w:r>
      <w:r w:rsidRPr="00B36C5A">
        <w:rPr>
          <w:rFonts w:asciiTheme="minorHAnsi" w:hAnsiTheme="minorHAnsi" w:cstheme="minorHAnsi"/>
        </w:rPr>
        <w:t>not</w:t>
      </w:r>
      <w:r w:rsidRPr="00B36C5A">
        <w:rPr>
          <w:rFonts w:asciiTheme="minorHAnsi" w:hAnsiTheme="minorHAnsi" w:cstheme="minorHAnsi"/>
          <w:spacing w:val="-3"/>
        </w:rPr>
        <w:t xml:space="preserve"> </w:t>
      </w:r>
      <w:r w:rsidRPr="00B36C5A">
        <w:rPr>
          <w:rFonts w:asciiTheme="minorHAnsi" w:hAnsiTheme="minorHAnsi" w:cstheme="minorHAnsi"/>
        </w:rPr>
        <w:t>possible</w:t>
      </w:r>
      <w:r w:rsidRPr="00B36C5A">
        <w:rPr>
          <w:rFonts w:asciiTheme="minorHAnsi" w:hAnsiTheme="minorHAnsi" w:cstheme="minorHAnsi"/>
          <w:spacing w:val="-7"/>
        </w:rPr>
        <w:t xml:space="preserve"> </w:t>
      </w:r>
      <w:r w:rsidRPr="00B36C5A">
        <w:rPr>
          <w:rFonts w:asciiTheme="minorHAnsi" w:hAnsiTheme="minorHAnsi" w:cstheme="minorHAnsi"/>
        </w:rPr>
        <w:t>to</w:t>
      </w:r>
      <w:r w:rsidRPr="00B36C5A">
        <w:rPr>
          <w:rFonts w:asciiTheme="minorHAnsi" w:hAnsiTheme="minorHAnsi" w:cstheme="minorHAnsi"/>
          <w:spacing w:val="-6"/>
        </w:rPr>
        <w:t xml:space="preserve"> </w:t>
      </w:r>
      <w:r w:rsidRPr="00B36C5A">
        <w:rPr>
          <w:rFonts w:asciiTheme="minorHAnsi" w:hAnsiTheme="minorHAnsi" w:cstheme="minorHAnsi"/>
        </w:rPr>
        <w:t>obtain</w:t>
      </w:r>
      <w:r w:rsidRPr="00B36C5A">
        <w:rPr>
          <w:rFonts w:asciiTheme="minorHAnsi" w:hAnsiTheme="minorHAnsi" w:cstheme="minorHAnsi"/>
          <w:spacing w:val="-3"/>
        </w:rPr>
        <w:t xml:space="preserve"> </w:t>
      </w:r>
      <w:r w:rsidRPr="00B36C5A">
        <w:rPr>
          <w:rFonts w:asciiTheme="minorHAnsi" w:hAnsiTheme="minorHAnsi" w:cstheme="minorHAnsi"/>
        </w:rPr>
        <w:t>the</w:t>
      </w:r>
      <w:r w:rsidRPr="00B36C5A">
        <w:rPr>
          <w:rFonts w:asciiTheme="minorHAnsi" w:hAnsiTheme="minorHAnsi" w:cstheme="minorHAnsi"/>
          <w:spacing w:val="-3"/>
        </w:rPr>
        <w:t xml:space="preserve"> </w:t>
      </w:r>
      <w:r w:rsidRPr="00B36C5A">
        <w:rPr>
          <w:rFonts w:asciiTheme="minorHAnsi" w:hAnsiTheme="minorHAnsi" w:cstheme="minorHAnsi"/>
        </w:rPr>
        <w:t>required</w:t>
      </w:r>
      <w:r w:rsidRPr="00B36C5A">
        <w:rPr>
          <w:rFonts w:asciiTheme="minorHAnsi" w:hAnsiTheme="minorHAnsi" w:cstheme="minorHAnsi"/>
          <w:spacing w:val="-6"/>
        </w:rPr>
        <w:t xml:space="preserve"> </w:t>
      </w:r>
      <w:r w:rsidRPr="00B36C5A">
        <w:rPr>
          <w:rFonts w:asciiTheme="minorHAnsi" w:hAnsiTheme="minorHAnsi" w:cstheme="minorHAnsi"/>
        </w:rPr>
        <w:t>number</w:t>
      </w:r>
      <w:r w:rsidRPr="00B36C5A">
        <w:rPr>
          <w:rFonts w:asciiTheme="minorHAnsi" w:hAnsiTheme="minorHAnsi" w:cstheme="minorHAnsi"/>
          <w:spacing w:val="-9"/>
        </w:rPr>
        <w:t xml:space="preserve"> </w:t>
      </w:r>
      <w:r w:rsidRPr="00B36C5A">
        <w:rPr>
          <w:rFonts w:asciiTheme="minorHAnsi" w:hAnsiTheme="minorHAnsi" w:cstheme="minorHAnsi"/>
        </w:rPr>
        <w:t>of</w:t>
      </w:r>
      <w:r w:rsidRPr="00B36C5A">
        <w:rPr>
          <w:rFonts w:asciiTheme="minorHAnsi" w:hAnsiTheme="minorHAnsi" w:cstheme="minorHAnsi"/>
          <w:spacing w:val="-3"/>
        </w:rPr>
        <w:t xml:space="preserve"> </w:t>
      </w:r>
      <w:proofErr w:type="gramStart"/>
      <w:r w:rsidRPr="00B36C5A">
        <w:rPr>
          <w:rFonts w:asciiTheme="minorHAnsi" w:hAnsiTheme="minorHAnsi" w:cstheme="minorHAnsi"/>
        </w:rPr>
        <w:t>quotations</w:t>
      </w:r>
      <w:proofErr w:type="gramEnd"/>
      <w:r w:rsidRPr="00B36C5A">
        <w:rPr>
          <w:rFonts w:asciiTheme="minorHAnsi" w:hAnsiTheme="minorHAnsi" w:cstheme="minorHAnsi"/>
          <w:spacing w:val="-4"/>
        </w:rPr>
        <w:t xml:space="preserve"> </w:t>
      </w:r>
      <w:r w:rsidRPr="00B36C5A">
        <w:rPr>
          <w:rFonts w:asciiTheme="minorHAnsi" w:hAnsiTheme="minorHAnsi" w:cstheme="minorHAnsi"/>
          <w:spacing w:val="-2"/>
        </w:rPr>
        <w:t>then:</w:t>
      </w:r>
    </w:p>
    <w:p w14:paraId="685FE591" w14:textId="77777777" w:rsidR="00E237B8" w:rsidRPr="00B36C5A" w:rsidRDefault="00E237B8" w:rsidP="007B3B6F">
      <w:pPr>
        <w:pStyle w:val="ListParagraph"/>
        <w:widowControl w:val="0"/>
        <w:numPr>
          <w:ilvl w:val="0"/>
          <w:numId w:val="540"/>
        </w:numPr>
        <w:autoSpaceDE w:val="0"/>
        <w:autoSpaceDN w:val="0"/>
        <w:spacing w:before="199" w:after="0" w:line="240" w:lineRule="auto"/>
        <w:ind w:left="567" w:right="387" w:hanging="425"/>
        <w:contextualSpacing w:val="0"/>
        <w:jc w:val="both"/>
        <w:rPr>
          <w:rFonts w:cstheme="minorHAnsi"/>
        </w:rPr>
      </w:pPr>
      <w:r w:rsidRPr="00B36C5A">
        <w:rPr>
          <w:rFonts w:cstheme="minorHAnsi"/>
        </w:rPr>
        <w:t xml:space="preserve">the requirement to obtain that number of quotations may be waived by the Chief Executive Officer or Executive Manager Corporate Services if the purchase is below </w:t>
      </w:r>
      <w:r w:rsidRPr="00B36C5A">
        <w:rPr>
          <w:rFonts w:cstheme="minorHAnsi"/>
          <w:color w:val="FF0000"/>
        </w:rPr>
        <w:t xml:space="preserve">$20,000 </w:t>
      </w:r>
      <w:r w:rsidRPr="00B36C5A">
        <w:rPr>
          <w:rFonts w:cstheme="minorHAnsi"/>
        </w:rPr>
        <w:t>and justification has been provided by an officer with appropriate authority to incur the liability. The following are examples of where an exemption may be approved:</w:t>
      </w:r>
    </w:p>
    <w:p w14:paraId="41F6E55C" w14:textId="77777777" w:rsidR="00E237B8" w:rsidRPr="00B36C5A" w:rsidRDefault="00E237B8" w:rsidP="007B3B6F">
      <w:pPr>
        <w:pStyle w:val="ListParagraph"/>
        <w:widowControl w:val="0"/>
        <w:numPr>
          <w:ilvl w:val="1"/>
          <w:numId w:val="540"/>
        </w:numPr>
        <w:autoSpaceDE w:val="0"/>
        <w:autoSpaceDN w:val="0"/>
        <w:spacing w:before="121" w:after="0" w:line="240" w:lineRule="auto"/>
        <w:ind w:left="1134" w:hanging="425"/>
        <w:contextualSpacing w:val="0"/>
        <w:rPr>
          <w:rFonts w:cstheme="minorHAnsi"/>
        </w:rPr>
      </w:pPr>
      <w:r w:rsidRPr="00B36C5A">
        <w:rPr>
          <w:rFonts w:cstheme="minorHAnsi"/>
        </w:rPr>
        <w:t>Supplier</w:t>
      </w:r>
      <w:r w:rsidRPr="00B36C5A">
        <w:rPr>
          <w:rFonts w:cstheme="minorHAnsi"/>
          <w:spacing w:val="-5"/>
        </w:rPr>
        <w:t xml:space="preserve"> </w:t>
      </w:r>
      <w:r w:rsidRPr="00B36C5A">
        <w:rPr>
          <w:rFonts w:cstheme="minorHAnsi"/>
        </w:rPr>
        <w:t>is</w:t>
      </w:r>
      <w:r w:rsidRPr="00B36C5A">
        <w:rPr>
          <w:rFonts w:cstheme="minorHAnsi"/>
          <w:spacing w:val="-2"/>
        </w:rPr>
        <w:t xml:space="preserve"> </w:t>
      </w:r>
      <w:r w:rsidRPr="00B36C5A">
        <w:rPr>
          <w:rFonts w:cstheme="minorHAnsi"/>
        </w:rPr>
        <w:t>a</w:t>
      </w:r>
      <w:r w:rsidRPr="00B36C5A">
        <w:rPr>
          <w:rFonts w:cstheme="minorHAnsi"/>
          <w:spacing w:val="-4"/>
        </w:rPr>
        <w:t xml:space="preserve"> </w:t>
      </w:r>
      <w:r w:rsidRPr="00B36C5A">
        <w:rPr>
          <w:rFonts w:cstheme="minorHAnsi"/>
        </w:rPr>
        <w:t>sole</w:t>
      </w:r>
      <w:r w:rsidRPr="00B36C5A">
        <w:rPr>
          <w:rFonts w:cstheme="minorHAnsi"/>
          <w:spacing w:val="-5"/>
        </w:rPr>
        <w:t xml:space="preserve"> </w:t>
      </w:r>
      <w:r w:rsidRPr="00B36C5A">
        <w:rPr>
          <w:rFonts w:cstheme="minorHAnsi"/>
        </w:rPr>
        <w:t>provider</w:t>
      </w:r>
      <w:r w:rsidRPr="00B36C5A">
        <w:rPr>
          <w:rFonts w:cstheme="minorHAnsi"/>
          <w:spacing w:val="-5"/>
        </w:rPr>
        <w:t xml:space="preserve"> </w:t>
      </w:r>
      <w:r w:rsidRPr="00B36C5A">
        <w:rPr>
          <w:rFonts w:cstheme="minorHAnsi"/>
        </w:rPr>
        <w:t>registered</w:t>
      </w:r>
      <w:r w:rsidRPr="00B36C5A">
        <w:rPr>
          <w:rFonts w:cstheme="minorHAnsi"/>
          <w:spacing w:val="-7"/>
        </w:rPr>
        <w:t xml:space="preserve"> </w:t>
      </w:r>
      <w:r w:rsidRPr="00B36C5A">
        <w:rPr>
          <w:rFonts w:cstheme="minorHAnsi"/>
        </w:rPr>
        <w:t>in</w:t>
      </w:r>
      <w:r w:rsidRPr="00B36C5A">
        <w:rPr>
          <w:rFonts w:cstheme="minorHAnsi"/>
          <w:spacing w:val="-5"/>
        </w:rPr>
        <w:t xml:space="preserve"> </w:t>
      </w:r>
      <w:r w:rsidRPr="00B36C5A">
        <w:rPr>
          <w:rFonts w:cstheme="minorHAnsi"/>
        </w:rPr>
        <w:t>the</w:t>
      </w:r>
      <w:r w:rsidRPr="00B36C5A">
        <w:rPr>
          <w:rFonts w:cstheme="minorHAnsi"/>
          <w:spacing w:val="-8"/>
        </w:rPr>
        <w:t xml:space="preserve"> </w:t>
      </w:r>
      <w:r w:rsidRPr="00B36C5A">
        <w:rPr>
          <w:rFonts w:cstheme="minorHAnsi"/>
        </w:rPr>
        <w:t>Town</w:t>
      </w:r>
      <w:r w:rsidRPr="00B36C5A">
        <w:rPr>
          <w:rFonts w:cstheme="minorHAnsi"/>
          <w:spacing w:val="-7"/>
        </w:rPr>
        <w:t xml:space="preserve"> </w:t>
      </w:r>
      <w:r w:rsidRPr="00B36C5A">
        <w:rPr>
          <w:rFonts w:cstheme="minorHAnsi"/>
        </w:rPr>
        <w:t>of</w:t>
      </w:r>
      <w:r w:rsidRPr="00B36C5A">
        <w:rPr>
          <w:rFonts w:cstheme="minorHAnsi"/>
          <w:spacing w:val="-5"/>
        </w:rPr>
        <w:t xml:space="preserve"> </w:t>
      </w:r>
      <w:r w:rsidRPr="00B36C5A">
        <w:rPr>
          <w:rFonts w:cstheme="minorHAnsi"/>
        </w:rPr>
        <w:t>East</w:t>
      </w:r>
      <w:r w:rsidRPr="00B36C5A">
        <w:rPr>
          <w:rFonts w:cstheme="minorHAnsi"/>
          <w:spacing w:val="-2"/>
        </w:rPr>
        <w:t xml:space="preserve"> Fremantle</w:t>
      </w:r>
    </w:p>
    <w:p w14:paraId="37C9D3AA" w14:textId="77777777" w:rsidR="00E237B8" w:rsidRPr="00B36C5A" w:rsidRDefault="00E237B8" w:rsidP="007B3B6F">
      <w:pPr>
        <w:pStyle w:val="ListParagraph"/>
        <w:widowControl w:val="0"/>
        <w:numPr>
          <w:ilvl w:val="1"/>
          <w:numId w:val="540"/>
        </w:numPr>
        <w:autoSpaceDE w:val="0"/>
        <w:autoSpaceDN w:val="0"/>
        <w:spacing w:before="39" w:after="0" w:line="240" w:lineRule="auto"/>
        <w:ind w:left="1134" w:hanging="425"/>
        <w:contextualSpacing w:val="0"/>
        <w:rPr>
          <w:rFonts w:cstheme="minorHAnsi"/>
        </w:rPr>
      </w:pPr>
      <w:r w:rsidRPr="00B36C5A">
        <w:rPr>
          <w:rFonts w:cstheme="minorHAnsi"/>
        </w:rPr>
        <w:t>Supplier</w:t>
      </w:r>
      <w:r w:rsidRPr="00B36C5A">
        <w:rPr>
          <w:rFonts w:cstheme="minorHAnsi"/>
          <w:spacing w:val="-6"/>
        </w:rPr>
        <w:t xml:space="preserve"> </w:t>
      </w:r>
      <w:r w:rsidRPr="00B36C5A">
        <w:rPr>
          <w:rFonts w:cstheme="minorHAnsi"/>
        </w:rPr>
        <w:t>is</w:t>
      </w:r>
      <w:r w:rsidRPr="00B36C5A">
        <w:rPr>
          <w:rFonts w:cstheme="minorHAnsi"/>
          <w:spacing w:val="-3"/>
        </w:rPr>
        <w:t xml:space="preserve"> </w:t>
      </w:r>
      <w:r w:rsidRPr="00B36C5A">
        <w:rPr>
          <w:rFonts w:cstheme="minorHAnsi"/>
        </w:rPr>
        <w:t>an</w:t>
      </w:r>
      <w:r w:rsidRPr="00B36C5A">
        <w:rPr>
          <w:rFonts w:cstheme="minorHAnsi"/>
          <w:spacing w:val="-7"/>
        </w:rPr>
        <w:t xml:space="preserve"> </w:t>
      </w:r>
      <w:r w:rsidRPr="00B36C5A">
        <w:rPr>
          <w:rFonts w:cstheme="minorHAnsi"/>
        </w:rPr>
        <w:t>Aboriginal</w:t>
      </w:r>
      <w:r w:rsidRPr="00B36C5A">
        <w:rPr>
          <w:rFonts w:cstheme="minorHAnsi"/>
          <w:spacing w:val="-5"/>
        </w:rPr>
        <w:t xml:space="preserve"> </w:t>
      </w:r>
      <w:r w:rsidRPr="00B36C5A">
        <w:rPr>
          <w:rFonts w:cstheme="minorHAnsi"/>
          <w:spacing w:val="-2"/>
        </w:rPr>
        <w:t>Business</w:t>
      </w:r>
    </w:p>
    <w:p w14:paraId="54C9E10C" w14:textId="77777777" w:rsidR="00E237B8" w:rsidRPr="00B36C5A" w:rsidRDefault="00E237B8" w:rsidP="007B3B6F">
      <w:pPr>
        <w:pStyle w:val="ListParagraph"/>
        <w:widowControl w:val="0"/>
        <w:numPr>
          <w:ilvl w:val="1"/>
          <w:numId w:val="540"/>
        </w:numPr>
        <w:autoSpaceDE w:val="0"/>
        <w:autoSpaceDN w:val="0"/>
        <w:spacing w:before="39" w:after="0" w:line="240" w:lineRule="auto"/>
        <w:ind w:left="1134" w:hanging="425"/>
        <w:contextualSpacing w:val="0"/>
        <w:rPr>
          <w:rFonts w:cstheme="minorHAnsi"/>
        </w:rPr>
      </w:pPr>
      <w:r w:rsidRPr="00B36C5A">
        <w:rPr>
          <w:rFonts w:cstheme="minorHAnsi"/>
        </w:rPr>
        <w:t>Supplier</w:t>
      </w:r>
      <w:r w:rsidRPr="00B36C5A">
        <w:rPr>
          <w:rFonts w:cstheme="minorHAnsi"/>
          <w:spacing w:val="-7"/>
        </w:rPr>
        <w:t xml:space="preserve"> </w:t>
      </w:r>
      <w:r w:rsidRPr="00B36C5A">
        <w:rPr>
          <w:rFonts w:cstheme="minorHAnsi"/>
        </w:rPr>
        <w:t>is</w:t>
      </w:r>
      <w:r w:rsidRPr="00B36C5A">
        <w:rPr>
          <w:rFonts w:cstheme="minorHAnsi"/>
          <w:spacing w:val="-5"/>
        </w:rPr>
        <w:t xml:space="preserve"> </w:t>
      </w:r>
      <w:r w:rsidRPr="00B36C5A">
        <w:rPr>
          <w:rFonts w:cstheme="minorHAnsi"/>
        </w:rPr>
        <w:t>Disability</w:t>
      </w:r>
      <w:r w:rsidRPr="00B36C5A">
        <w:rPr>
          <w:rFonts w:cstheme="minorHAnsi"/>
          <w:spacing w:val="-7"/>
        </w:rPr>
        <w:t xml:space="preserve"> </w:t>
      </w:r>
      <w:r w:rsidRPr="00B36C5A">
        <w:rPr>
          <w:rFonts w:cstheme="minorHAnsi"/>
          <w:spacing w:val="-2"/>
        </w:rPr>
        <w:t>Enterprise</w:t>
      </w:r>
    </w:p>
    <w:p w14:paraId="5FCB5D5A" w14:textId="77777777" w:rsidR="00E237B8" w:rsidRPr="00B36C5A" w:rsidRDefault="00E237B8" w:rsidP="007B3B6F">
      <w:pPr>
        <w:pStyle w:val="ListParagraph"/>
        <w:widowControl w:val="0"/>
        <w:numPr>
          <w:ilvl w:val="1"/>
          <w:numId w:val="540"/>
        </w:numPr>
        <w:autoSpaceDE w:val="0"/>
        <w:autoSpaceDN w:val="0"/>
        <w:spacing w:before="42" w:after="0" w:line="240" w:lineRule="auto"/>
        <w:ind w:left="1134" w:hanging="425"/>
        <w:contextualSpacing w:val="0"/>
        <w:rPr>
          <w:rFonts w:cstheme="minorHAnsi"/>
        </w:rPr>
      </w:pPr>
      <w:r w:rsidRPr="00B36C5A">
        <w:rPr>
          <w:rFonts w:cstheme="minorHAnsi"/>
        </w:rPr>
        <w:t>Delivery</w:t>
      </w:r>
      <w:r w:rsidRPr="00B36C5A">
        <w:rPr>
          <w:rFonts w:cstheme="minorHAnsi"/>
          <w:spacing w:val="-9"/>
        </w:rPr>
        <w:t xml:space="preserve"> </w:t>
      </w:r>
      <w:r w:rsidRPr="00B36C5A">
        <w:rPr>
          <w:rFonts w:cstheme="minorHAnsi"/>
        </w:rPr>
        <w:t>of</w:t>
      </w:r>
      <w:r w:rsidRPr="00B36C5A">
        <w:rPr>
          <w:rFonts w:cstheme="minorHAnsi"/>
          <w:spacing w:val="-5"/>
        </w:rPr>
        <w:t xml:space="preserve"> </w:t>
      </w:r>
      <w:r w:rsidRPr="00B36C5A">
        <w:rPr>
          <w:rFonts w:cstheme="minorHAnsi"/>
        </w:rPr>
        <w:t>goods</w:t>
      </w:r>
      <w:r w:rsidRPr="00B36C5A">
        <w:rPr>
          <w:rFonts w:cstheme="minorHAnsi"/>
          <w:spacing w:val="-7"/>
        </w:rPr>
        <w:t xml:space="preserve"> </w:t>
      </w:r>
      <w:r w:rsidRPr="00B36C5A">
        <w:rPr>
          <w:rFonts w:cstheme="minorHAnsi"/>
        </w:rPr>
        <w:t>or</w:t>
      </w:r>
      <w:r w:rsidRPr="00B36C5A">
        <w:rPr>
          <w:rFonts w:cstheme="minorHAnsi"/>
          <w:spacing w:val="-3"/>
        </w:rPr>
        <w:t xml:space="preserve"> </w:t>
      </w:r>
      <w:r w:rsidRPr="00B36C5A">
        <w:rPr>
          <w:rFonts w:cstheme="minorHAnsi"/>
        </w:rPr>
        <w:t>services</w:t>
      </w:r>
      <w:r w:rsidRPr="00B36C5A">
        <w:rPr>
          <w:rFonts w:cstheme="minorHAnsi"/>
          <w:spacing w:val="-2"/>
        </w:rPr>
        <w:t xml:space="preserve"> </w:t>
      </w:r>
      <w:r w:rsidRPr="00B36C5A">
        <w:rPr>
          <w:rFonts w:cstheme="minorHAnsi"/>
        </w:rPr>
        <w:t>is</w:t>
      </w:r>
      <w:r w:rsidRPr="00B36C5A">
        <w:rPr>
          <w:rFonts w:cstheme="minorHAnsi"/>
          <w:spacing w:val="-3"/>
        </w:rPr>
        <w:t xml:space="preserve"> </w:t>
      </w:r>
      <w:r w:rsidRPr="00B36C5A">
        <w:rPr>
          <w:rFonts w:cstheme="minorHAnsi"/>
        </w:rPr>
        <w:t>time</w:t>
      </w:r>
      <w:r w:rsidRPr="00B36C5A">
        <w:rPr>
          <w:rFonts w:cstheme="minorHAnsi"/>
          <w:spacing w:val="-2"/>
        </w:rPr>
        <w:t xml:space="preserve"> critical</w:t>
      </w:r>
    </w:p>
    <w:p w14:paraId="17C9374A" w14:textId="77777777" w:rsidR="00E237B8" w:rsidRPr="00B36C5A" w:rsidRDefault="00E237B8" w:rsidP="007B3B6F">
      <w:pPr>
        <w:pStyle w:val="ListParagraph"/>
        <w:widowControl w:val="0"/>
        <w:numPr>
          <w:ilvl w:val="1"/>
          <w:numId w:val="540"/>
        </w:numPr>
        <w:autoSpaceDE w:val="0"/>
        <w:autoSpaceDN w:val="0"/>
        <w:spacing w:before="42" w:after="0" w:line="240" w:lineRule="auto"/>
        <w:ind w:left="1134" w:hanging="425"/>
        <w:contextualSpacing w:val="0"/>
        <w:rPr>
          <w:rFonts w:cstheme="minorHAnsi"/>
        </w:rPr>
      </w:pPr>
      <w:r w:rsidRPr="00B36C5A">
        <w:rPr>
          <w:rFonts w:cstheme="minorHAnsi"/>
        </w:rPr>
        <w:t>The local government has good reason to believe that, because of the unique nature of the goods or services required or for any other reason, it is unlikely that there is more than one potential supplier</w:t>
      </w:r>
    </w:p>
    <w:p w14:paraId="1D5AD373" w14:textId="77777777" w:rsidR="00E237B8" w:rsidRPr="00B36C5A" w:rsidRDefault="00E237B8" w:rsidP="007B3B6F">
      <w:pPr>
        <w:pStyle w:val="ListParagraph"/>
        <w:widowControl w:val="0"/>
        <w:numPr>
          <w:ilvl w:val="0"/>
          <w:numId w:val="540"/>
        </w:numPr>
        <w:autoSpaceDE w:val="0"/>
        <w:autoSpaceDN w:val="0"/>
        <w:spacing w:before="38" w:after="0" w:line="240" w:lineRule="auto"/>
        <w:ind w:left="567" w:hanging="425"/>
        <w:contextualSpacing w:val="0"/>
        <w:rPr>
          <w:rFonts w:cstheme="minorHAnsi"/>
        </w:rPr>
      </w:pPr>
      <w:r w:rsidRPr="00B36C5A">
        <w:rPr>
          <w:rFonts w:cstheme="minorHAnsi"/>
        </w:rPr>
        <w:t>all</w:t>
      </w:r>
      <w:r w:rsidRPr="00B36C5A">
        <w:rPr>
          <w:rFonts w:cstheme="minorHAnsi"/>
          <w:spacing w:val="-4"/>
        </w:rPr>
        <w:t xml:space="preserve"> </w:t>
      </w:r>
      <w:r w:rsidRPr="00B36C5A">
        <w:rPr>
          <w:rFonts w:cstheme="minorHAnsi"/>
        </w:rPr>
        <w:t>other</w:t>
      </w:r>
      <w:r w:rsidRPr="00B36C5A">
        <w:rPr>
          <w:rFonts w:cstheme="minorHAnsi"/>
          <w:spacing w:val="-6"/>
        </w:rPr>
        <w:t xml:space="preserve"> </w:t>
      </w:r>
      <w:r w:rsidRPr="00B36C5A">
        <w:rPr>
          <w:rFonts w:cstheme="minorHAnsi"/>
        </w:rPr>
        <w:t>requirements</w:t>
      </w:r>
      <w:r w:rsidRPr="00B36C5A">
        <w:rPr>
          <w:rFonts w:cstheme="minorHAnsi"/>
          <w:spacing w:val="-6"/>
        </w:rPr>
        <w:t xml:space="preserve"> </w:t>
      </w:r>
      <w:r w:rsidRPr="00B36C5A">
        <w:rPr>
          <w:rFonts w:cstheme="minorHAnsi"/>
        </w:rPr>
        <w:t>of</w:t>
      </w:r>
      <w:r w:rsidRPr="00B36C5A">
        <w:rPr>
          <w:rFonts w:cstheme="minorHAnsi"/>
          <w:spacing w:val="-3"/>
        </w:rPr>
        <w:t xml:space="preserve"> </w:t>
      </w:r>
      <w:r w:rsidRPr="00B36C5A">
        <w:rPr>
          <w:rFonts w:cstheme="minorHAnsi"/>
        </w:rPr>
        <w:t>this</w:t>
      </w:r>
      <w:r w:rsidRPr="00B36C5A">
        <w:rPr>
          <w:rFonts w:cstheme="minorHAnsi"/>
          <w:spacing w:val="-3"/>
        </w:rPr>
        <w:t xml:space="preserve"> </w:t>
      </w:r>
      <w:r w:rsidRPr="00B36C5A">
        <w:rPr>
          <w:rFonts w:cstheme="minorHAnsi"/>
        </w:rPr>
        <w:t>policy</w:t>
      </w:r>
      <w:r w:rsidRPr="00B36C5A">
        <w:rPr>
          <w:rFonts w:cstheme="minorHAnsi"/>
          <w:spacing w:val="-4"/>
        </w:rPr>
        <w:t xml:space="preserve"> </w:t>
      </w:r>
      <w:r w:rsidRPr="00B36C5A">
        <w:rPr>
          <w:rFonts w:cstheme="minorHAnsi"/>
        </w:rPr>
        <w:t>applicable</w:t>
      </w:r>
      <w:r w:rsidRPr="00B36C5A">
        <w:rPr>
          <w:rFonts w:cstheme="minorHAnsi"/>
          <w:spacing w:val="-2"/>
        </w:rPr>
        <w:t xml:space="preserve"> </w:t>
      </w:r>
      <w:r w:rsidRPr="00B36C5A">
        <w:rPr>
          <w:rFonts w:cstheme="minorHAnsi"/>
        </w:rPr>
        <w:t>to</w:t>
      </w:r>
      <w:r w:rsidRPr="00B36C5A">
        <w:rPr>
          <w:rFonts w:cstheme="minorHAnsi"/>
          <w:spacing w:val="-4"/>
        </w:rPr>
        <w:t xml:space="preserve"> </w:t>
      </w:r>
      <w:r w:rsidRPr="00B36C5A">
        <w:rPr>
          <w:rFonts w:cstheme="minorHAnsi"/>
        </w:rPr>
        <w:t>that</w:t>
      </w:r>
      <w:r w:rsidRPr="00B36C5A">
        <w:rPr>
          <w:rFonts w:cstheme="minorHAnsi"/>
          <w:spacing w:val="-8"/>
        </w:rPr>
        <w:t xml:space="preserve"> </w:t>
      </w:r>
      <w:r w:rsidRPr="00B36C5A">
        <w:rPr>
          <w:rFonts w:cstheme="minorHAnsi"/>
        </w:rPr>
        <w:t>type</w:t>
      </w:r>
      <w:r w:rsidRPr="00B36C5A">
        <w:rPr>
          <w:rFonts w:cstheme="minorHAnsi"/>
          <w:spacing w:val="-4"/>
        </w:rPr>
        <w:t xml:space="preserve"> </w:t>
      </w:r>
      <w:r w:rsidRPr="00B36C5A">
        <w:rPr>
          <w:rFonts w:cstheme="minorHAnsi"/>
        </w:rPr>
        <w:t>or</w:t>
      </w:r>
      <w:r w:rsidRPr="00B36C5A">
        <w:rPr>
          <w:rFonts w:cstheme="minorHAnsi"/>
          <w:spacing w:val="-7"/>
        </w:rPr>
        <w:t xml:space="preserve"> </w:t>
      </w:r>
      <w:r w:rsidRPr="00B36C5A">
        <w:rPr>
          <w:rFonts w:cstheme="minorHAnsi"/>
        </w:rPr>
        <w:t>value</w:t>
      </w:r>
      <w:r w:rsidRPr="00B36C5A">
        <w:rPr>
          <w:rFonts w:cstheme="minorHAnsi"/>
          <w:spacing w:val="-6"/>
        </w:rPr>
        <w:t xml:space="preserve"> </w:t>
      </w:r>
      <w:r w:rsidRPr="00B36C5A">
        <w:rPr>
          <w:rFonts w:cstheme="minorHAnsi"/>
        </w:rPr>
        <w:t>of</w:t>
      </w:r>
      <w:r w:rsidRPr="00B36C5A">
        <w:rPr>
          <w:rFonts w:cstheme="minorHAnsi"/>
          <w:spacing w:val="-8"/>
        </w:rPr>
        <w:t xml:space="preserve"> </w:t>
      </w:r>
      <w:r w:rsidRPr="00B36C5A">
        <w:rPr>
          <w:rFonts w:cstheme="minorHAnsi"/>
        </w:rPr>
        <w:t>purchase</w:t>
      </w:r>
      <w:r w:rsidRPr="00B36C5A">
        <w:rPr>
          <w:rFonts w:cstheme="minorHAnsi"/>
          <w:spacing w:val="-6"/>
        </w:rPr>
        <w:t xml:space="preserve"> </w:t>
      </w:r>
      <w:r w:rsidRPr="00B36C5A">
        <w:rPr>
          <w:rFonts w:cstheme="minorHAnsi"/>
          <w:spacing w:val="-2"/>
        </w:rPr>
        <w:t>apply.</w:t>
      </w:r>
    </w:p>
    <w:p w14:paraId="406E93C8" w14:textId="77777777" w:rsidR="00E237B8" w:rsidRPr="00B36C5A" w:rsidRDefault="00E237B8" w:rsidP="00B36C5A">
      <w:pPr>
        <w:tabs>
          <w:tab w:val="left" w:pos="818"/>
        </w:tabs>
        <w:spacing w:before="38" w:after="0"/>
        <w:rPr>
          <w:rFonts w:cstheme="minorHAnsi"/>
        </w:rPr>
      </w:pPr>
    </w:p>
    <w:p w14:paraId="6D28318D" w14:textId="77777777" w:rsidR="00E237B8" w:rsidRPr="00B36C5A" w:rsidRDefault="00E237B8" w:rsidP="00B36C5A">
      <w:pPr>
        <w:tabs>
          <w:tab w:val="left" w:pos="818"/>
        </w:tabs>
        <w:spacing w:before="38"/>
        <w:ind w:left="142"/>
        <w:rPr>
          <w:rFonts w:cstheme="minorHAnsi"/>
        </w:rPr>
      </w:pPr>
      <w:r w:rsidRPr="00B36C5A">
        <w:rPr>
          <w:rFonts w:cstheme="minorHAnsi"/>
        </w:rPr>
        <w:t>The following supply categories are also exempt from quotation requirements, provided that the total value of Procurement does not exceed $250,000 ex GST over a three-year period.</w:t>
      </w:r>
    </w:p>
    <w:p w14:paraId="3A01DC85" w14:textId="492065B8" w:rsidR="00E237B8" w:rsidRPr="00B36C5A" w:rsidRDefault="00B36C5A" w:rsidP="00B36C5A">
      <w:pPr>
        <w:spacing w:after="0"/>
        <w:ind w:left="567" w:hanging="425"/>
        <w:rPr>
          <w:b/>
          <w:bCs/>
        </w:rPr>
      </w:pPr>
      <w:r w:rsidRPr="00B36C5A">
        <w:rPr>
          <w:b/>
          <w:bCs/>
        </w:rPr>
        <w:t>1.</w:t>
      </w:r>
      <w:r w:rsidRPr="00B36C5A">
        <w:rPr>
          <w:b/>
          <w:bCs/>
        </w:rPr>
        <w:tab/>
      </w:r>
      <w:r w:rsidR="00E237B8" w:rsidRPr="00B36C5A">
        <w:rPr>
          <w:b/>
          <w:bCs/>
        </w:rPr>
        <w:t>Purchasing</w:t>
      </w:r>
      <w:r w:rsidR="00E237B8" w:rsidRPr="00B36C5A">
        <w:rPr>
          <w:b/>
          <w:bCs/>
          <w:spacing w:val="-8"/>
        </w:rPr>
        <w:t xml:space="preserve"> </w:t>
      </w:r>
      <w:r w:rsidR="00E237B8" w:rsidRPr="00B36C5A">
        <w:rPr>
          <w:b/>
          <w:bCs/>
        </w:rPr>
        <w:t>from</w:t>
      </w:r>
      <w:r w:rsidR="00E237B8" w:rsidRPr="00B36C5A">
        <w:rPr>
          <w:b/>
          <w:bCs/>
          <w:spacing w:val="-10"/>
        </w:rPr>
        <w:t xml:space="preserve"> </w:t>
      </w:r>
      <w:r w:rsidR="00E237B8" w:rsidRPr="00B36C5A">
        <w:rPr>
          <w:b/>
          <w:bCs/>
        </w:rPr>
        <w:t>Legal</w:t>
      </w:r>
      <w:r w:rsidR="00E237B8" w:rsidRPr="00B36C5A">
        <w:rPr>
          <w:b/>
          <w:bCs/>
          <w:spacing w:val="-11"/>
        </w:rPr>
        <w:t xml:space="preserve"> </w:t>
      </w:r>
      <w:r w:rsidR="00E237B8" w:rsidRPr="00B36C5A">
        <w:rPr>
          <w:b/>
          <w:bCs/>
        </w:rPr>
        <w:t>Service</w:t>
      </w:r>
      <w:r w:rsidR="00E237B8" w:rsidRPr="00B36C5A">
        <w:rPr>
          <w:b/>
          <w:bCs/>
          <w:spacing w:val="-8"/>
        </w:rPr>
        <w:t xml:space="preserve"> </w:t>
      </w:r>
      <w:r w:rsidR="00E237B8" w:rsidRPr="00B36C5A">
        <w:rPr>
          <w:b/>
          <w:bCs/>
          <w:spacing w:val="-2"/>
        </w:rPr>
        <w:t>Providers</w:t>
      </w:r>
    </w:p>
    <w:p w14:paraId="74759C2D" w14:textId="77777777" w:rsidR="00E237B8" w:rsidRPr="00B36C5A" w:rsidRDefault="00E237B8" w:rsidP="00B36C5A">
      <w:pPr>
        <w:pStyle w:val="BodyText"/>
        <w:spacing w:after="240"/>
        <w:ind w:left="142" w:right="390"/>
        <w:jc w:val="both"/>
        <w:rPr>
          <w:rFonts w:asciiTheme="minorHAnsi" w:hAnsiTheme="minorHAnsi" w:cstheme="minorHAnsi"/>
        </w:rPr>
      </w:pPr>
      <w:r w:rsidRPr="00B36C5A">
        <w:rPr>
          <w:rFonts w:asciiTheme="minorHAnsi" w:hAnsiTheme="minorHAnsi" w:cstheme="minorHAnsi"/>
        </w:rPr>
        <w:t xml:space="preserve">The Town of East Fremantle will </w:t>
      </w:r>
      <w:proofErr w:type="spellStart"/>
      <w:r w:rsidRPr="00B36C5A">
        <w:rPr>
          <w:rFonts w:asciiTheme="minorHAnsi" w:hAnsiTheme="minorHAnsi" w:cstheme="minorHAnsi"/>
        </w:rPr>
        <w:t>utilise</w:t>
      </w:r>
      <w:proofErr w:type="spellEnd"/>
      <w:r w:rsidRPr="00B36C5A">
        <w:rPr>
          <w:rFonts w:asciiTheme="minorHAnsi" w:hAnsiTheme="minorHAnsi" w:cstheme="minorHAnsi"/>
        </w:rPr>
        <w:t xml:space="preserve"> the WALGA preferred supplier contract for legal services. The selection</w:t>
      </w:r>
      <w:r w:rsidRPr="00B36C5A">
        <w:rPr>
          <w:rFonts w:asciiTheme="minorHAnsi" w:hAnsiTheme="minorHAnsi" w:cstheme="minorHAnsi"/>
          <w:spacing w:val="-13"/>
        </w:rPr>
        <w:t xml:space="preserve"> </w:t>
      </w:r>
      <w:r w:rsidRPr="00B36C5A">
        <w:rPr>
          <w:rFonts w:asciiTheme="minorHAnsi" w:hAnsiTheme="minorHAnsi" w:cstheme="minorHAnsi"/>
        </w:rPr>
        <w:t>of</w:t>
      </w:r>
      <w:r w:rsidRPr="00B36C5A">
        <w:rPr>
          <w:rFonts w:asciiTheme="minorHAnsi" w:hAnsiTheme="minorHAnsi" w:cstheme="minorHAnsi"/>
          <w:spacing w:val="-12"/>
        </w:rPr>
        <w:t xml:space="preserve"> </w:t>
      </w:r>
      <w:r w:rsidRPr="00B36C5A">
        <w:rPr>
          <w:rFonts w:asciiTheme="minorHAnsi" w:hAnsiTheme="minorHAnsi" w:cstheme="minorHAnsi"/>
        </w:rPr>
        <w:t>the</w:t>
      </w:r>
      <w:r w:rsidRPr="00B36C5A">
        <w:rPr>
          <w:rFonts w:asciiTheme="minorHAnsi" w:hAnsiTheme="minorHAnsi" w:cstheme="minorHAnsi"/>
          <w:spacing w:val="-13"/>
        </w:rPr>
        <w:t xml:space="preserve"> </w:t>
      </w:r>
      <w:r w:rsidRPr="00B36C5A">
        <w:rPr>
          <w:rFonts w:asciiTheme="minorHAnsi" w:hAnsiTheme="minorHAnsi" w:cstheme="minorHAnsi"/>
        </w:rPr>
        <w:t>service</w:t>
      </w:r>
      <w:r w:rsidRPr="00B36C5A">
        <w:rPr>
          <w:rFonts w:asciiTheme="minorHAnsi" w:hAnsiTheme="minorHAnsi" w:cstheme="minorHAnsi"/>
          <w:spacing w:val="-12"/>
        </w:rPr>
        <w:t xml:space="preserve"> </w:t>
      </w:r>
      <w:r w:rsidRPr="00B36C5A">
        <w:rPr>
          <w:rFonts w:asciiTheme="minorHAnsi" w:hAnsiTheme="minorHAnsi" w:cstheme="minorHAnsi"/>
        </w:rPr>
        <w:t>provider</w:t>
      </w:r>
      <w:r w:rsidRPr="00B36C5A">
        <w:rPr>
          <w:rFonts w:asciiTheme="minorHAnsi" w:hAnsiTheme="minorHAnsi" w:cstheme="minorHAnsi"/>
          <w:spacing w:val="-10"/>
        </w:rPr>
        <w:t xml:space="preserve"> </w:t>
      </w:r>
      <w:r w:rsidRPr="00B36C5A">
        <w:rPr>
          <w:rFonts w:asciiTheme="minorHAnsi" w:hAnsiTheme="minorHAnsi" w:cstheme="minorHAnsi"/>
        </w:rPr>
        <w:t>will</w:t>
      </w:r>
      <w:r w:rsidRPr="00B36C5A">
        <w:rPr>
          <w:rFonts w:asciiTheme="minorHAnsi" w:hAnsiTheme="minorHAnsi" w:cstheme="minorHAnsi"/>
          <w:spacing w:val="-11"/>
        </w:rPr>
        <w:t xml:space="preserve"> </w:t>
      </w:r>
      <w:r w:rsidRPr="00B36C5A">
        <w:rPr>
          <w:rFonts w:asciiTheme="minorHAnsi" w:hAnsiTheme="minorHAnsi" w:cstheme="minorHAnsi"/>
        </w:rPr>
        <w:t>be</w:t>
      </w:r>
      <w:r w:rsidRPr="00B36C5A">
        <w:rPr>
          <w:rFonts w:asciiTheme="minorHAnsi" w:hAnsiTheme="minorHAnsi" w:cstheme="minorHAnsi"/>
          <w:spacing w:val="-10"/>
        </w:rPr>
        <w:t xml:space="preserve"> </w:t>
      </w:r>
      <w:r w:rsidRPr="00B36C5A">
        <w:rPr>
          <w:rFonts w:asciiTheme="minorHAnsi" w:hAnsiTheme="minorHAnsi" w:cstheme="minorHAnsi"/>
        </w:rPr>
        <w:t>undertaken</w:t>
      </w:r>
      <w:r w:rsidRPr="00B36C5A">
        <w:rPr>
          <w:rFonts w:asciiTheme="minorHAnsi" w:hAnsiTheme="minorHAnsi" w:cstheme="minorHAnsi"/>
          <w:spacing w:val="-11"/>
        </w:rPr>
        <w:t xml:space="preserve"> </w:t>
      </w:r>
      <w:r w:rsidRPr="00B36C5A">
        <w:rPr>
          <w:rFonts w:asciiTheme="minorHAnsi" w:hAnsiTheme="minorHAnsi" w:cstheme="minorHAnsi"/>
        </w:rPr>
        <w:t>by</w:t>
      </w:r>
      <w:r w:rsidRPr="00B36C5A">
        <w:rPr>
          <w:rFonts w:asciiTheme="minorHAnsi" w:hAnsiTheme="minorHAnsi" w:cstheme="minorHAnsi"/>
          <w:spacing w:val="-13"/>
        </w:rPr>
        <w:t xml:space="preserve"> </w:t>
      </w:r>
      <w:r w:rsidRPr="00B36C5A">
        <w:rPr>
          <w:rFonts w:asciiTheme="minorHAnsi" w:hAnsiTheme="minorHAnsi" w:cstheme="minorHAnsi"/>
        </w:rPr>
        <w:t>the</w:t>
      </w:r>
      <w:r w:rsidRPr="00B36C5A">
        <w:rPr>
          <w:rFonts w:asciiTheme="minorHAnsi" w:hAnsiTheme="minorHAnsi" w:cstheme="minorHAnsi"/>
          <w:spacing w:val="-9"/>
        </w:rPr>
        <w:t xml:space="preserve"> </w:t>
      </w:r>
      <w:r w:rsidRPr="00B36C5A">
        <w:rPr>
          <w:rFonts w:asciiTheme="minorHAnsi" w:hAnsiTheme="minorHAnsi" w:cstheme="minorHAnsi"/>
        </w:rPr>
        <w:t>Chief</w:t>
      </w:r>
      <w:r w:rsidRPr="00B36C5A">
        <w:rPr>
          <w:rFonts w:asciiTheme="minorHAnsi" w:hAnsiTheme="minorHAnsi" w:cstheme="minorHAnsi"/>
          <w:spacing w:val="-10"/>
        </w:rPr>
        <w:t xml:space="preserve"> </w:t>
      </w:r>
      <w:r w:rsidRPr="00B36C5A">
        <w:rPr>
          <w:rFonts w:asciiTheme="minorHAnsi" w:hAnsiTheme="minorHAnsi" w:cstheme="minorHAnsi"/>
        </w:rPr>
        <w:t>Executive</w:t>
      </w:r>
      <w:r w:rsidRPr="00B36C5A">
        <w:rPr>
          <w:rFonts w:asciiTheme="minorHAnsi" w:hAnsiTheme="minorHAnsi" w:cstheme="minorHAnsi"/>
          <w:spacing w:val="-12"/>
        </w:rPr>
        <w:t xml:space="preserve"> </w:t>
      </w:r>
      <w:r w:rsidRPr="00B36C5A">
        <w:rPr>
          <w:rFonts w:asciiTheme="minorHAnsi" w:hAnsiTheme="minorHAnsi" w:cstheme="minorHAnsi"/>
        </w:rPr>
        <w:t>Officer</w:t>
      </w:r>
      <w:r w:rsidRPr="00B36C5A">
        <w:rPr>
          <w:rFonts w:asciiTheme="minorHAnsi" w:hAnsiTheme="minorHAnsi" w:cstheme="minorHAnsi"/>
          <w:spacing w:val="-13"/>
        </w:rPr>
        <w:t xml:space="preserve"> </w:t>
      </w:r>
      <w:r w:rsidRPr="00B36C5A">
        <w:rPr>
          <w:rFonts w:asciiTheme="minorHAnsi" w:hAnsiTheme="minorHAnsi" w:cstheme="minorHAnsi"/>
        </w:rPr>
        <w:t>or</w:t>
      </w:r>
      <w:r w:rsidRPr="00B36C5A">
        <w:rPr>
          <w:rFonts w:asciiTheme="minorHAnsi" w:hAnsiTheme="minorHAnsi" w:cstheme="minorHAnsi"/>
          <w:spacing w:val="-9"/>
        </w:rPr>
        <w:t xml:space="preserve"> </w:t>
      </w:r>
      <w:r w:rsidRPr="00B36C5A">
        <w:rPr>
          <w:rFonts w:asciiTheme="minorHAnsi" w:hAnsiTheme="minorHAnsi" w:cstheme="minorHAnsi"/>
        </w:rPr>
        <w:t>relevant</w:t>
      </w:r>
      <w:r w:rsidRPr="00B36C5A">
        <w:rPr>
          <w:rFonts w:asciiTheme="minorHAnsi" w:hAnsiTheme="minorHAnsi" w:cstheme="minorHAnsi"/>
          <w:spacing w:val="-9"/>
        </w:rPr>
        <w:t xml:space="preserve"> </w:t>
      </w:r>
      <w:r w:rsidRPr="00B36C5A">
        <w:rPr>
          <w:rFonts w:asciiTheme="minorHAnsi" w:hAnsiTheme="minorHAnsi" w:cstheme="minorHAnsi"/>
        </w:rPr>
        <w:t>Executive Manager</w:t>
      </w:r>
      <w:r w:rsidRPr="00B36C5A">
        <w:rPr>
          <w:rFonts w:asciiTheme="minorHAnsi" w:hAnsiTheme="minorHAnsi" w:cstheme="minorHAnsi"/>
          <w:spacing w:val="-13"/>
        </w:rPr>
        <w:t xml:space="preserve"> </w:t>
      </w:r>
      <w:r w:rsidRPr="00B36C5A">
        <w:rPr>
          <w:rFonts w:asciiTheme="minorHAnsi" w:hAnsiTheme="minorHAnsi" w:cstheme="minorHAnsi"/>
        </w:rPr>
        <w:t>(under</w:t>
      </w:r>
      <w:r w:rsidRPr="00B36C5A">
        <w:rPr>
          <w:rFonts w:asciiTheme="minorHAnsi" w:hAnsiTheme="minorHAnsi" w:cstheme="minorHAnsi"/>
          <w:spacing w:val="-12"/>
        </w:rPr>
        <w:t xml:space="preserve"> </w:t>
      </w:r>
      <w:r w:rsidRPr="00B36C5A">
        <w:rPr>
          <w:rFonts w:asciiTheme="minorHAnsi" w:hAnsiTheme="minorHAnsi" w:cstheme="minorHAnsi"/>
        </w:rPr>
        <w:t>delegated</w:t>
      </w:r>
      <w:r w:rsidRPr="00B36C5A">
        <w:rPr>
          <w:rFonts w:asciiTheme="minorHAnsi" w:hAnsiTheme="minorHAnsi" w:cstheme="minorHAnsi"/>
          <w:spacing w:val="-13"/>
        </w:rPr>
        <w:t xml:space="preserve"> </w:t>
      </w:r>
      <w:r w:rsidRPr="00B36C5A">
        <w:rPr>
          <w:rFonts w:asciiTheme="minorHAnsi" w:hAnsiTheme="minorHAnsi" w:cstheme="minorHAnsi"/>
        </w:rPr>
        <w:t>authority)</w:t>
      </w:r>
      <w:r w:rsidRPr="00B36C5A">
        <w:rPr>
          <w:rFonts w:asciiTheme="minorHAnsi" w:hAnsiTheme="minorHAnsi" w:cstheme="minorHAnsi"/>
          <w:spacing w:val="-12"/>
        </w:rPr>
        <w:t xml:space="preserve"> </w:t>
      </w:r>
      <w:r w:rsidRPr="00B36C5A">
        <w:rPr>
          <w:rFonts w:asciiTheme="minorHAnsi" w:hAnsiTheme="minorHAnsi" w:cstheme="minorHAnsi"/>
        </w:rPr>
        <w:t>based</w:t>
      </w:r>
      <w:r w:rsidRPr="00B36C5A">
        <w:rPr>
          <w:rFonts w:asciiTheme="minorHAnsi" w:hAnsiTheme="minorHAnsi" w:cstheme="minorHAnsi"/>
          <w:spacing w:val="-13"/>
        </w:rPr>
        <w:t xml:space="preserve"> </w:t>
      </w:r>
      <w:r w:rsidRPr="00B36C5A">
        <w:rPr>
          <w:rFonts w:asciiTheme="minorHAnsi" w:hAnsiTheme="minorHAnsi" w:cstheme="minorHAnsi"/>
        </w:rPr>
        <w:t>on</w:t>
      </w:r>
      <w:r w:rsidRPr="00B36C5A">
        <w:rPr>
          <w:rFonts w:asciiTheme="minorHAnsi" w:hAnsiTheme="minorHAnsi" w:cstheme="minorHAnsi"/>
          <w:spacing w:val="-12"/>
        </w:rPr>
        <w:t xml:space="preserve"> </w:t>
      </w:r>
      <w:r w:rsidRPr="00B36C5A">
        <w:rPr>
          <w:rFonts w:asciiTheme="minorHAnsi" w:hAnsiTheme="minorHAnsi" w:cstheme="minorHAnsi"/>
        </w:rPr>
        <w:t>factors</w:t>
      </w:r>
      <w:r w:rsidRPr="00B36C5A">
        <w:rPr>
          <w:rFonts w:asciiTheme="minorHAnsi" w:hAnsiTheme="minorHAnsi" w:cstheme="minorHAnsi"/>
          <w:spacing w:val="-13"/>
        </w:rPr>
        <w:t xml:space="preserve"> </w:t>
      </w:r>
      <w:r w:rsidRPr="00B36C5A">
        <w:rPr>
          <w:rFonts w:asciiTheme="minorHAnsi" w:hAnsiTheme="minorHAnsi" w:cstheme="minorHAnsi"/>
        </w:rPr>
        <w:t>including</w:t>
      </w:r>
      <w:r w:rsidRPr="00B36C5A">
        <w:rPr>
          <w:rFonts w:asciiTheme="minorHAnsi" w:hAnsiTheme="minorHAnsi" w:cstheme="minorHAnsi"/>
          <w:spacing w:val="-12"/>
        </w:rPr>
        <w:t xml:space="preserve"> </w:t>
      </w:r>
      <w:r w:rsidRPr="00B36C5A">
        <w:rPr>
          <w:rFonts w:asciiTheme="minorHAnsi" w:hAnsiTheme="minorHAnsi" w:cstheme="minorHAnsi"/>
        </w:rPr>
        <w:t>the</w:t>
      </w:r>
      <w:r w:rsidRPr="00B36C5A">
        <w:rPr>
          <w:rFonts w:asciiTheme="minorHAnsi" w:hAnsiTheme="minorHAnsi" w:cstheme="minorHAnsi"/>
          <w:spacing w:val="-12"/>
        </w:rPr>
        <w:t xml:space="preserve"> </w:t>
      </w:r>
      <w:r w:rsidRPr="00B36C5A">
        <w:rPr>
          <w:rFonts w:asciiTheme="minorHAnsi" w:hAnsiTheme="minorHAnsi" w:cstheme="minorHAnsi"/>
        </w:rPr>
        <w:t>panel</w:t>
      </w:r>
      <w:r w:rsidRPr="00B36C5A">
        <w:rPr>
          <w:rFonts w:asciiTheme="minorHAnsi" w:hAnsiTheme="minorHAnsi" w:cstheme="minorHAnsi"/>
          <w:spacing w:val="-13"/>
        </w:rPr>
        <w:t xml:space="preserve"> </w:t>
      </w:r>
      <w:r w:rsidRPr="00B36C5A">
        <w:rPr>
          <w:rFonts w:asciiTheme="minorHAnsi" w:hAnsiTheme="minorHAnsi" w:cstheme="minorHAnsi"/>
        </w:rPr>
        <w:t>provider</w:t>
      </w:r>
      <w:r w:rsidRPr="00B36C5A">
        <w:rPr>
          <w:rFonts w:asciiTheme="minorHAnsi" w:hAnsiTheme="minorHAnsi" w:cstheme="minorHAnsi"/>
          <w:spacing w:val="-12"/>
        </w:rPr>
        <w:t xml:space="preserve"> </w:t>
      </w:r>
      <w:r w:rsidRPr="00B36C5A">
        <w:rPr>
          <w:rFonts w:asciiTheme="minorHAnsi" w:hAnsiTheme="minorHAnsi" w:cstheme="minorHAnsi"/>
        </w:rPr>
        <w:t>undertaking</w:t>
      </w:r>
      <w:r w:rsidRPr="00B36C5A">
        <w:rPr>
          <w:rFonts w:asciiTheme="minorHAnsi" w:hAnsiTheme="minorHAnsi" w:cstheme="minorHAnsi"/>
          <w:spacing w:val="-13"/>
        </w:rPr>
        <w:t xml:space="preserve"> </w:t>
      </w:r>
      <w:r w:rsidRPr="00B36C5A">
        <w:rPr>
          <w:rFonts w:asciiTheme="minorHAnsi" w:hAnsiTheme="minorHAnsi" w:cstheme="minorHAnsi"/>
        </w:rPr>
        <w:t>similar work on behalf of the Town, specialist expertise as well as being based on standard contract performance. This supply category is exempt from the minimum quotation requirements.</w:t>
      </w:r>
    </w:p>
    <w:p w14:paraId="5EF55D96" w14:textId="6D88B648" w:rsidR="00E237B8" w:rsidRPr="00B36C5A" w:rsidRDefault="00B36C5A" w:rsidP="00B36C5A">
      <w:pPr>
        <w:spacing w:after="0"/>
        <w:ind w:left="567" w:hanging="425"/>
        <w:rPr>
          <w:b/>
          <w:bCs/>
        </w:rPr>
      </w:pPr>
      <w:r w:rsidRPr="00B36C5A">
        <w:rPr>
          <w:b/>
          <w:bCs/>
        </w:rPr>
        <w:t>2.</w:t>
      </w:r>
      <w:r w:rsidRPr="00B36C5A">
        <w:rPr>
          <w:b/>
          <w:bCs/>
        </w:rPr>
        <w:tab/>
      </w:r>
      <w:r w:rsidR="00E237B8" w:rsidRPr="00B36C5A">
        <w:rPr>
          <w:b/>
          <w:bCs/>
        </w:rPr>
        <w:t>Procurement</w:t>
      </w:r>
      <w:r w:rsidR="00E237B8" w:rsidRPr="00B36C5A">
        <w:rPr>
          <w:b/>
          <w:bCs/>
          <w:spacing w:val="-7"/>
        </w:rPr>
        <w:t xml:space="preserve"> </w:t>
      </w:r>
      <w:r w:rsidR="00E237B8" w:rsidRPr="00B36C5A">
        <w:rPr>
          <w:b/>
          <w:bCs/>
        </w:rPr>
        <w:t>of</w:t>
      </w:r>
      <w:r w:rsidR="00E237B8" w:rsidRPr="00B36C5A">
        <w:rPr>
          <w:b/>
          <w:bCs/>
          <w:spacing w:val="-4"/>
        </w:rPr>
        <w:t xml:space="preserve"> </w:t>
      </w:r>
      <w:r w:rsidR="00E237B8" w:rsidRPr="00B36C5A">
        <w:rPr>
          <w:b/>
          <w:bCs/>
        </w:rPr>
        <w:t>labour</w:t>
      </w:r>
      <w:r w:rsidR="00E237B8" w:rsidRPr="00B36C5A">
        <w:rPr>
          <w:b/>
          <w:bCs/>
          <w:spacing w:val="-4"/>
        </w:rPr>
        <w:t xml:space="preserve"> hire</w:t>
      </w:r>
    </w:p>
    <w:p w14:paraId="06142B6C" w14:textId="77777777" w:rsidR="00E237B8" w:rsidRPr="00B36C5A" w:rsidRDefault="00E237B8" w:rsidP="00B36C5A">
      <w:pPr>
        <w:pStyle w:val="BodyText"/>
        <w:ind w:left="122" w:right="394"/>
        <w:jc w:val="both"/>
        <w:rPr>
          <w:rFonts w:asciiTheme="minorHAnsi" w:hAnsiTheme="minorHAnsi" w:cstheme="minorHAnsi"/>
        </w:rPr>
      </w:pPr>
      <w:r w:rsidRPr="00B36C5A">
        <w:rPr>
          <w:rFonts w:asciiTheme="minorHAnsi" w:hAnsiTheme="minorHAnsi" w:cstheme="minorHAnsi"/>
        </w:rPr>
        <w:t xml:space="preserve">The Town of East Fremantle will ensure due diligence is carried out when procuring </w:t>
      </w:r>
      <w:proofErr w:type="spellStart"/>
      <w:r w:rsidRPr="00B36C5A">
        <w:rPr>
          <w:rFonts w:asciiTheme="minorHAnsi" w:hAnsiTheme="minorHAnsi" w:cstheme="minorHAnsi"/>
        </w:rPr>
        <w:t>labour</w:t>
      </w:r>
      <w:proofErr w:type="spellEnd"/>
      <w:r w:rsidRPr="00B36C5A">
        <w:rPr>
          <w:rFonts w:asciiTheme="minorHAnsi" w:hAnsiTheme="minorHAnsi" w:cstheme="minorHAnsi"/>
        </w:rPr>
        <w:t xml:space="preserve"> hire from </w:t>
      </w:r>
      <w:proofErr w:type="spellStart"/>
      <w:r w:rsidRPr="00B36C5A">
        <w:rPr>
          <w:rFonts w:asciiTheme="minorHAnsi" w:hAnsiTheme="minorHAnsi" w:cstheme="minorHAnsi"/>
        </w:rPr>
        <w:t>recognised</w:t>
      </w:r>
      <w:proofErr w:type="spellEnd"/>
      <w:r w:rsidRPr="00B36C5A">
        <w:rPr>
          <w:rFonts w:asciiTheme="minorHAnsi" w:hAnsiTheme="minorHAnsi" w:cstheme="minorHAnsi"/>
          <w:spacing w:val="-1"/>
        </w:rPr>
        <w:t xml:space="preserve"> </w:t>
      </w:r>
      <w:r w:rsidRPr="00B36C5A">
        <w:rPr>
          <w:rFonts w:asciiTheme="minorHAnsi" w:hAnsiTheme="minorHAnsi" w:cstheme="minorHAnsi"/>
        </w:rPr>
        <w:t>personnel</w:t>
      </w:r>
      <w:r w:rsidRPr="00B36C5A">
        <w:rPr>
          <w:rFonts w:asciiTheme="minorHAnsi" w:hAnsiTheme="minorHAnsi" w:cstheme="minorHAnsi"/>
          <w:spacing w:val="-1"/>
        </w:rPr>
        <w:t xml:space="preserve"> </w:t>
      </w:r>
      <w:r w:rsidRPr="00B36C5A">
        <w:rPr>
          <w:rFonts w:asciiTheme="minorHAnsi" w:hAnsiTheme="minorHAnsi" w:cstheme="minorHAnsi"/>
        </w:rPr>
        <w:t>providers</w:t>
      </w:r>
      <w:r w:rsidRPr="00B36C5A">
        <w:rPr>
          <w:rFonts w:asciiTheme="minorHAnsi" w:hAnsiTheme="minorHAnsi" w:cstheme="minorHAnsi"/>
          <w:spacing w:val="-1"/>
        </w:rPr>
        <w:t xml:space="preserve"> </w:t>
      </w:r>
      <w:r w:rsidRPr="00B36C5A">
        <w:rPr>
          <w:rFonts w:asciiTheme="minorHAnsi" w:hAnsiTheme="minorHAnsi" w:cstheme="minorHAnsi"/>
        </w:rPr>
        <w:t>in</w:t>
      </w:r>
      <w:r w:rsidRPr="00B36C5A">
        <w:rPr>
          <w:rFonts w:asciiTheme="minorHAnsi" w:hAnsiTheme="minorHAnsi" w:cstheme="minorHAnsi"/>
          <w:spacing w:val="-3"/>
        </w:rPr>
        <w:t xml:space="preserve"> </w:t>
      </w:r>
      <w:r w:rsidRPr="00B36C5A">
        <w:rPr>
          <w:rFonts w:asciiTheme="minorHAnsi" w:hAnsiTheme="minorHAnsi" w:cstheme="minorHAnsi"/>
        </w:rPr>
        <w:t>the</w:t>
      </w:r>
      <w:r w:rsidRPr="00B36C5A">
        <w:rPr>
          <w:rFonts w:asciiTheme="minorHAnsi" w:hAnsiTheme="minorHAnsi" w:cstheme="minorHAnsi"/>
          <w:spacing w:val="-1"/>
        </w:rPr>
        <w:t xml:space="preserve"> </w:t>
      </w:r>
      <w:r w:rsidRPr="00B36C5A">
        <w:rPr>
          <w:rFonts w:asciiTheme="minorHAnsi" w:hAnsiTheme="minorHAnsi" w:cstheme="minorHAnsi"/>
        </w:rPr>
        <w:t>market,</w:t>
      </w:r>
      <w:r w:rsidRPr="00B36C5A">
        <w:rPr>
          <w:rFonts w:asciiTheme="minorHAnsi" w:hAnsiTheme="minorHAnsi" w:cstheme="minorHAnsi"/>
          <w:spacing w:val="-1"/>
        </w:rPr>
        <w:t xml:space="preserve"> </w:t>
      </w:r>
      <w:r w:rsidRPr="00B36C5A">
        <w:rPr>
          <w:rFonts w:asciiTheme="minorHAnsi" w:hAnsiTheme="minorHAnsi" w:cstheme="minorHAnsi"/>
        </w:rPr>
        <w:t>with</w:t>
      </w:r>
      <w:r w:rsidRPr="00B36C5A">
        <w:rPr>
          <w:rFonts w:asciiTheme="minorHAnsi" w:hAnsiTheme="minorHAnsi" w:cstheme="minorHAnsi"/>
          <w:spacing w:val="-1"/>
        </w:rPr>
        <w:t xml:space="preserve"> </w:t>
      </w:r>
      <w:r w:rsidRPr="00B36C5A">
        <w:rPr>
          <w:rFonts w:asciiTheme="minorHAnsi" w:hAnsiTheme="minorHAnsi" w:cstheme="minorHAnsi"/>
        </w:rPr>
        <w:t>suppliers</w:t>
      </w:r>
      <w:r w:rsidRPr="00B36C5A">
        <w:rPr>
          <w:rFonts w:asciiTheme="minorHAnsi" w:hAnsiTheme="minorHAnsi" w:cstheme="minorHAnsi"/>
          <w:spacing w:val="-1"/>
        </w:rPr>
        <w:t xml:space="preserve"> </w:t>
      </w:r>
      <w:r w:rsidRPr="00B36C5A">
        <w:rPr>
          <w:rFonts w:asciiTheme="minorHAnsi" w:hAnsiTheme="minorHAnsi" w:cstheme="minorHAnsi"/>
        </w:rPr>
        <w:t>to be</w:t>
      </w:r>
      <w:r w:rsidRPr="00B36C5A">
        <w:rPr>
          <w:rFonts w:asciiTheme="minorHAnsi" w:hAnsiTheme="minorHAnsi" w:cstheme="minorHAnsi"/>
          <w:spacing w:val="-1"/>
        </w:rPr>
        <w:t xml:space="preserve"> </w:t>
      </w:r>
      <w:r w:rsidRPr="00B36C5A">
        <w:rPr>
          <w:rFonts w:asciiTheme="minorHAnsi" w:hAnsiTheme="minorHAnsi" w:cstheme="minorHAnsi"/>
        </w:rPr>
        <w:t>registered</w:t>
      </w:r>
      <w:r w:rsidRPr="00B36C5A">
        <w:rPr>
          <w:rFonts w:asciiTheme="minorHAnsi" w:hAnsiTheme="minorHAnsi" w:cstheme="minorHAnsi"/>
          <w:spacing w:val="-1"/>
        </w:rPr>
        <w:t xml:space="preserve"> </w:t>
      </w:r>
      <w:r w:rsidRPr="00B36C5A">
        <w:rPr>
          <w:rFonts w:asciiTheme="minorHAnsi" w:hAnsiTheme="minorHAnsi" w:cstheme="minorHAnsi"/>
        </w:rPr>
        <w:t>with</w:t>
      </w:r>
      <w:r w:rsidRPr="00B36C5A">
        <w:rPr>
          <w:rFonts w:asciiTheme="minorHAnsi" w:hAnsiTheme="minorHAnsi" w:cstheme="minorHAnsi"/>
          <w:spacing w:val="-2"/>
        </w:rPr>
        <w:t xml:space="preserve"> </w:t>
      </w:r>
      <w:r w:rsidRPr="00B36C5A">
        <w:rPr>
          <w:rFonts w:asciiTheme="minorHAnsi" w:hAnsiTheme="minorHAnsi" w:cstheme="minorHAnsi"/>
        </w:rPr>
        <w:t>WALGA.</w:t>
      </w:r>
      <w:r w:rsidRPr="00B36C5A">
        <w:rPr>
          <w:rFonts w:asciiTheme="minorHAnsi" w:hAnsiTheme="minorHAnsi" w:cstheme="minorHAnsi"/>
          <w:spacing w:val="-2"/>
        </w:rPr>
        <w:t xml:space="preserve"> </w:t>
      </w:r>
      <w:r w:rsidRPr="00B36C5A">
        <w:rPr>
          <w:rFonts w:asciiTheme="minorHAnsi" w:hAnsiTheme="minorHAnsi" w:cstheme="minorHAnsi"/>
        </w:rPr>
        <w:t>The</w:t>
      </w:r>
      <w:r w:rsidRPr="00B36C5A">
        <w:rPr>
          <w:rFonts w:asciiTheme="minorHAnsi" w:hAnsiTheme="minorHAnsi" w:cstheme="minorHAnsi"/>
          <w:spacing w:val="-3"/>
        </w:rPr>
        <w:t xml:space="preserve"> </w:t>
      </w:r>
      <w:r w:rsidRPr="00B36C5A">
        <w:rPr>
          <w:rFonts w:asciiTheme="minorHAnsi" w:hAnsiTheme="minorHAnsi" w:cstheme="minorHAnsi"/>
        </w:rPr>
        <w:t>Town will undertake to ensure the most qualified and</w:t>
      </w:r>
      <w:r>
        <w:t xml:space="preserve"> suitable person is hired under an arrangement with the</w:t>
      </w:r>
      <w:r>
        <w:rPr>
          <w:spacing w:val="-4"/>
        </w:rPr>
        <w:t xml:space="preserve"> </w:t>
      </w:r>
      <w:proofErr w:type="spellStart"/>
      <w:r>
        <w:t>labour</w:t>
      </w:r>
      <w:proofErr w:type="spellEnd"/>
      <w:r>
        <w:rPr>
          <w:spacing w:val="-4"/>
        </w:rPr>
        <w:t xml:space="preserve"> </w:t>
      </w:r>
      <w:r>
        <w:t>hire</w:t>
      </w:r>
      <w:r>
        <w:rPr>
          <w:spacing w:val="-4"/>
        </w:rPr>
        <w:t xml:space="preserve"> </w:t>
      </w:r>
      <w:r>
        <w:t>provider.</w:t>
      </w:r>
      <w:r>
        <w:rPr>
          <w:spacing w:val="-7"/>
        </w:rPr>
        <w:t xml:space="preserve"> </w:t>
      </w:r>
      <w:r>
        <w:t>Whilst</w:t>
      </w:r>
      <w:r>
        <w:rPr>
          <w:spacing w:val="-4"/>
        </w:rPr>
        <w:t xml:space="preserve"> </w:t>
      </w:r>
      <w:r>
        <w:t>cost</w:t>
      </w:r>
      <w:r>
        <w:rPr>
          <w:spacing w:val="-6"/>
        </w:rPr>
        <w:t xml:space="preserve"> </w:t>
      </w:r>
      <w:r>
        <w:t>will</w:t>
      </w:r>
      <w:r>
        <w:rPr>
          <w:spacing w:val="-7"/>
        </w:rPr>
        <w:t xml:space="preserve"> </w:t>
      </w:r>
      <w:r>
        <w:t>be</w:t>
      </w:r>
      <w:r>
        <w:rPr>
          <w:spacing w:val="-6"/>
        </w:rPr>
        <w:t xml:space="preserve"> </w:t>
      </w:r>
      <w:r>
        <w:t>considered</w:t>
      </w:r>
      <w:r>
        <w:rPr>
          <w:spacing w:val="-5"/>
        </w:rPr>
        <w:t xml:space="preserve"> </w:t>
      </w:r>
      <w:r>
        <w:t>as</w:t>
      </w:r>
      <w:r>
        <w:rPr>
          <w:spacing w:val="-7"/>
        </w:rPr>
        <w:t xml:space="preserve"> </w:t>
      </w:r>
      <w:r>
        <w:t>part</w:t>
      </w:r>
      <w:r>
        <w:rPr>
          <w:spacing w:val="-7"/>
        </w:rPr>
        <w:t xml:space="preserve"> </w:t>
      </w:r>
      <w:r>
        <w:t>of</w:t>
      </w:r>
      <w:r>
        <w:rPr>
          <w:spacing w:val="-7"/>
        </w:rPr>
        <w:t xml:space="preserve"> </w:t>
      </w:r>
      <w:r>
        <w:t>the</w:t>
      </w:r>
      <w:r>
        <w:rPr>
          <w:spacing w:val="-6"/>
        </w:rPr>
        <w:t xml:space="preserve"> </w:t>
      </w:r>
      <w:r w:rsidRPr="00B36C5A">
        <w:rPr>
          <w:rFonts w:asciiTheme="minorHAnsi" w:hAnsiTheme="minorHAnsi" w:cstheme="minorHAnsi"/>
        </w:rPr>
        <w:lastRenderedPageBreak/>
        <w:t>evaluation</w:t>
      </w:r>
      <w:r w:rsidRPr="00B36C5A">
        <w:rPr>
          <w:rFonts w:asciiTheme="minorHAnsi" w:hAnsiTheme="minorHAnsi" w:cstheme="minorHAnsi"/>
          <w:spacing w:val="-7"/>
        </w:rPr>
        <w:t xml:space="preserve"> </w:t>
      </w:r>
      <w:r w:rsidRPr="00B36C5A">
        <w:rPr>
          <w:rFonts w:asciiTheme="minorHAnsi" w:hAnsiTheme="minorHAnsi" w:cstheme="minorHAnsi"/>
        </w:rPr>
        <w:t>of</w:t>
      </w:r>
      <w:r w:rsidRPr="00B36C5A">
        <w:rPr>
          <w:rFonts w:asciiTheme="minorHAnsi" w:hAnsiTheme="minorHAnsi" w:cstheme="minorHAnsi"/>
          <w:spacing w:val="-7"/>
        </w:rPr>
        <w:t xml:space="preserve"> </w:t>
      </w:r>
      <w:r w:rsidRPr="00B36C5A">
        <w:rPr>
          <w:rFonts w:asciiTheme="minorHAnsi" w:hAnsiTheme="minorHAnsi" w:cstheme="minorHAnsi"/>
        </w:rPr>
        <w:t>suppliers,</w:t>
      </w:r>
      <w:r w:rsidRPr="00B36C5A">
        <w:rPr>
          <w:rFonts w:asciiTheme="minorHAnsi" w:hAnsiTheme="minorHAnsi" w:cstheme="minorHAnsi"/>
          <w:spacing w:val="-6"/>
        </w:rPr>
        <w:t xml:space="preserve"> </w:t>
      </w:r>
      <w:r w:rsidRPr="00B36C5A">
        <w:rPr>
          <w:rFonts w:asciiTheme="minorHAnsi" w:hAnsiTheme="minorHAnsi" w:cstheme="minorHAnsi"/>
        </w:rPr>
        <w:t>the</w:t>
      </w:r>
      <w:r w:rsidRPr="00B36C5A">
        <w:rPr>
          <w:rFonts w:asciiTheme="minorHAnsi" w:hAnsiTheme="minorHAnsi" w:cstheme="minorHAnsi"/>
          <w:spacing w:val="-9"/>
        </w:rPr>
        <w:t xml:space="preserve"> </w:t>
      </w:r>
      <w:r w:rsidRPr="00B36C5A">
        <w:rPr>
          <w:rFonts w:asciiTheme="minorHAnsi" w:hAnsiTheme="minorHAnsi" w:cstheme="minorHAnsi"/>
        </w:rPr>
        <w:t>most important</w:t>
      </w:r>
      <w:r w:rsidRPr="00B36C5A">
        <w:rPr>
          <w:rFonts w:asciiTheme="minorHAnsi" w:hAnsiTheme="minorHAnsi" w:cstheme="minorHAnsi"/>
          <w:spacing w:val="-7"/>
        </w:rPr>
        <w:t xml:space="preserve"> </w:t>
      </w:r>
      <w:r w:rsidRPr="00B36C5A">
        <w:rPr>
          <w:rFonts w:asciiTheme="minorHAnsi" w:hAnsiTheme="minorHAnsi" w:cstheme="minorHAnsi"/>
        </w:rPr>
        <w:t>criteria</w:t>
      </w:r>
      <w:r w:rsidRPr="00B36C5A">
        <w:rPr>
          <w:rFonts w:asciiTheme="minorHAnsi" w:hAnsiTheme="minorHAnsi" w:cstheme="minorHAnsi"/>
          <w:spacing w:val="-7"/>
        </w:rPr>
        <w:t xml:space="preserve"> </w:t>
      </w:r>
      <w:r w:rsidRPr="00B36C5A">
        <w:rPr>
          <w:rFonts w:asciiTheme="minorHAnsi" w:hAnsiTheme="minorHAnsi" w:cstheme="minorHAnsi"/>
        </w:rPr>
        <w:t>will</w:t>
      </w:r>
      <w:r w:rsidRPr="00B36C5A">
        <w:rPr>
          <w:rFonts w:asciiTheme="minorHAnsi" w:hAnsiTheme="minorHAnsi" w:cstheme="minorHAnsi"/>
          <w:spacing w:val="-7"/>
        </w:rPr>
        <w:t xml:space="preserve"> </w:t>
      </w:r>
      <w:r w:rsidRPr="00B36C5A">
        <w:rPr>
          <w:rFonts w:asciiTheme="minorHAnsi" w:hAnsiTheme="minorHAnsi" w:cstheme="minorHAnsi"/>
        </w:rPr>
        <w:t>be</w:t>
      </w:r>
      <w:r w:rsidRPr="00B36C5A">
        <w:rPr>
          <w:rFonts w:asciiTheme="minorHAnsi" w:hAnsiTheme="minorHAnsi" w:cstheme="minorHAnsi"/>
          <w:spacing w:val="-6"/>
        </w:rPr>
        <w:t xml:space="preserve"> </w:t>
      </w:r>
      <w:r w:rsidRPr="00B36C5A">
        <w:rPr>
          <w:rFonts w:asciiTheme="minorHAnsi" w:hAnsiTheme="minorHAnsi" w:cstheme="minorHAnsi"/>
        </w:rPr>
        <w:t>that</w:t>
      </w:r>
      <w:r w:rsidRPr="00B36C5A">
        <w:rPr>
          <w:rFonts w:asciiTheme="minorHAnsi" w:hAnsiTheme="minorHAnsi" w:cstheme="minorHAnsi"/>
          <w:spacing w:val="-6"/>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hired</w:t>
      </w:r>
      <w:r w:rsidRPr="00B36C5A">
        <w:rPr>
          <w:rFonts w:asciiTheme="minorHAnsi" w:hAnsiTheme="minorHAnsi" w:cstheme="minorHAnsi"/>
          <w:spacing w:val="-7"/>
        </w:rPr>
        <w:t xml:space="preserve"> </w:t>
      </w:r>
      <w:r w:rsidRPr="00B36C5A">
        <w:rPr>
          <w:rFonts w:asciiTheme="minorHAnsi" w:hAnsiTheme="minorHAnsi" w:cstheme="minorHAnsi"/>
        </w:rPr>
        <w:t>person</w:t>
      </w:r>
      <w:r w:rsidRPr="00B36C5A">
        <w:rPr>
          <w:rFonts w:asciiTheme="minorHAnsi" w:hAnsiTheme="minorHAnsi" w:cstheme="minorHAnsi"/>
          <w:spacing w:val="-7"/>
        </w:rPr>
        <w:t xml:space="preserve"> </w:t>
      </w:r>
      <w:r w:rsidRPr="00B36C5A">
        <w:rPr>
          <w:rFonts w:asciiTheme="minorHAnsi" w:hAnsiTheme="minorHAnsi" w:cstheme="minorHAnsi"/>
        </w:rPr>
        <w:t>is</w:t>
      </w:r>
      <w:r w:rsidRPr="00B36C5A">
        <w:rPr>
          <w:rFonts w:asciiTheme="minorHAnsi" w:hAnsiTheme="minorHAnsi" w:cstheme="minorHAnsi"/>
          <w:spacing w:val="-7"/>
        </w:rPr>
        <w:t xml:space="preserve"> </w:t>
      </w:r>
      <w:r w:rsidRPr="00B36C5A">
        <w:rPr>
          <w:rFonts w:asciiTheme="minorHAnsi" w:hAnsiTheme="minorHAnsi" w:cstheme="minorHAnsi"/>
        </w:rPr>
        <w:t>best</w:t>
      </w:r>
      <w:r w:rsidRPr="00B36C5A">
        <w:rPr>
          <w:rFonts w:asciiTheme="minorHAnsi" w:hAnsiTheme="minorHAnsi" w:cstheme="minorHAnsi"/>
          <w:spacing w:val="-6"/>
        </w:rPr>
        <w:t xml:space="preserve"> </w:t>
      </w:r>
      <w:r w:rsidRPr="00B36C5A">
        <w:rPr>
          <w:rFonts w:asciiTheme="minorHAnsi" w:hAnsiTheme="minorHAnsi" w:cstheme="minorHAnsi"/>
        </w:rPr>
        <w:t>fit</w:t>
      </w:r>
      <w:r w:rsidRPr="00B36C5A">
        <w:rPr>
          <w:rFonts w:asciiTheme="minorHAnsi" w:hAnsiTheme="minorHAnsi" w:cstheme="minorHAnsi"/>
          <w:spacing w:val="-7"/>
        </w:rPr>
        <w:t xml:space="preserve"> </w:t>
      </w:r>
      <w:r w:rsidRPr="00B36C5A">
        <w:rPr>
          <w:rFonts w:asciiTheme="minorHAnsi" w:hAnsiTheme="minorHAnsi" w:cstheme="minorHAnsi"/>
        </w:rPr>
        <w:t>for</w:t>
      </w:r>
      <w:r w:rsidRPr="00B36C5A">
        <w:rPr>
          <w:rFonts w:asciiTheme="minorHAnsi" w:hAnsiTheme="minorHAnsi" w:cstheme="minorHAnsi"/>
          <w:spacing w:val="-7"/>
        </w:rPr>
        <w:t xml:space="preserve"> </w:t>
      </w:r>
      <w:r w:rsidRPr="00B36C5A">
        <w:rPr>
          <w:rFonts w:asciiTheme="minorHAnsi" w:hAnsiTheme="minorHAnsi" w:cstheme="minorHAnsi"/>
        </w:rPr>
        <w:t>the</w:t>
      </w:r>
      <w:r w:rsidRPr="00B36C5A">
        <w:rPr>
          <w:rFonts w:asciiTheme="minorHAnsi" w:hAnsiTheme="minorHAnsi" w:cstheme="minorHAnsi"/>
          <w:spacing w:val="-6"/>
        </w:rPr>
        <w:t xml:space="preserve"> </w:t>
      </w:r>
      <w:r w:rsidRPr="00B36C5A">
        <w:rPr>
          <w:rFonts w:asciiTheme="minorHAnsi" w:hAnsiTheme="minorHAnsi" w:cstheme="minorHAnsi"/>
        </w:rPr>
        <w:t>Town</w:t>
      </w:r>
      <w:r w:rsidRPr="00B36C5A">
        <w:rPr>
          <w:rFonts w:asciiTheme="minorHAnsi" w:hAnsiTheme="minorHAnsi" w:cstheme="minorHAnsi"/>
          <w:spacing w:val="-7"/>
        </w:rPr>
        <w:t xml:space="preserve"> </w:t>
      </w:r>
      <w:r w:rsidRPr="00B36C5A">
        <w:rPr>
          <w:rFonts w:asciiTheme="minorHAnsi" w:hAnsiTheme="minorHAnsi" w:cstheme="minorHAnsi"/>
        </w:rPr>
        <w:t>and</w:t>
      </w:r>
      <w:r w:rsidRPr="00B36C5A">
        <w:rPr>
          <w:rFonts w:asciiTheme="minorHAnsi" w:hAnsiTheme="minorHAnsi" w:cstheme="minorHAnsi"/>
          <w:spacing w:val="-7"/>
        </w:rPr>
        <w:t xml:space="preserve"> </w:t>
      </w:r>
      <w:r w:rsidRPr="00B36C5A">
        <w:rPr>
          <w:rFonts w:asciiTheme="minorHAnsi" w:hAnsiTheme="minorHAnsi" w:cstheme="minorHAnsi"/>
        </w:rPr>
        <w:t>someone</w:t>
      </w:r>
      <w:r w:rsidRPr="00B36C5A">
        <w:rPr>
          <w:rFonts w:asciiTheme="minorHAnsi" w:hAnsiTheme="minorHAnsi" w:cstheme="minorHAnsi"/>
          <w:spacing w:val="-6"/>
        </w:rPr>
        <w:t xml:space="preserve"> </w:t>
      </w:r>
      <w:r w:rsidRPr="00B36C5A">
        <w:rPr>
          <w:rFonts w:asciiTheme="minorHAnsi" w:hAnsiTheme="minorHAnsi" w:cstheme="minorHAnsi"/>
        </w:rPr>
        <w:t>who</w:t>
      </w:r>
      <w:r w:rsidRPr="00B36C5A">
        <w:rPr>
          <w:rFonts w:asciiTheme="minorHAnsi" w:hAnsiTheme="minorHAnsi" w:cstheme="minorHAnsi"/>
          <w:spacing w:val="-8"/>
        </w:rPr>
        <w:t xml:space="preserve"> </w:t>
      </w:r>
      <w:r w:rsidRPr="00B36C5A">
        <w:rPr>
          <w:rFonts w:asciiTheme="minorHAnsi" w:hAnsiTheme="minorHAnsi" w:cstheme="minorHAnsi"/>
        </w:rPr>
        <w:t>will</w:t>
      </w:r>
      <w:r w:rsidRPr="00B36C5A">
        <w:rPr>
          <w:rFonts w:asciiTheme="minorHAnsi" w:hAnsiTheme="minorHAnsi" w:cstheme="minorHAnsi"/>
          <w:spacing w:val="-7"/>
        </w:rPr>
        <w:t xml:space="preserve"> </w:t>
      </w:r>
      <w:r w:rsidRPr="00B36C5A">
        <w:rPr>
          <w:rFonts w:asciiTheme="minorHAnsi" w:hAnsiTheme="minorHAnsi" w:cstheme="minorHAnsi"/>
        </w:rPr>
        <w:t>carry</w:t>
      </w:r>
      <w:r w:rsidRPr="00B36C5A">
        <w:rPr>
          <w:rFonts w:asciiTheme="minorHAnsi" w:hAnsiTheme="minorHAnsi" w:cstheme="minorHAnsi"/>
          <w:spacing w:val="-8"/>
        </w:rPr>
        <w:t xml:space="preserve"> </w:t>
      </w:r>
      <w:r w:rsidRPr="00B36C5A">
        <w:rPr>
          <w:rFonts w:asciiTheme="minorHAnsi" w:hAnsiTheme="minorHAnsi" w:cstheme="minorHAnsi"/>
        </w:rPr>
        <w:t>out their duties and responsibilities in-line with the Town’s ethos. This does not preclude the value for money section of the Town’s purchasing policy.</w:t>
      </w:r>
      <w:r w:rsidRPr="00B36C5A">
        <w:rPr>
          <w:rFonts w:asciiTheme="minorHAnsi" w:hAnsiTheme="minorHAnsi" w:cstheme="minorHAnsi"/>
          <w:spacing w:val="40"/>
        </w:rPr>
        <w:t xml:space="preserve"> </w:t>
      </w:r>
      <w:r w:rsidRPr="00B36C5A">
        <w:rPr>
          <w:rFonts w:asciiTheme="minorHAnsi" w:hAnsiTheme="minorHAnsi" w:cstheme="minorHAnsi"/>
        </w:rPr>
        <w:t>This supply category is exempt from the minimum quotation requirements.</w:t>
      </w:r>
    </w:p>
    <w:p w14:paraId="4ED27F3D" w14:textId="2C39DF92" w:rsidR="00E237B8" w:rsidRPr="00AD56A7" w:rsidRDefault="00AD56A7" w:rsidP="00AD56A7">
      <w:pPr>
        <w:spacing w:before="200" w:after="0"/>
        <w:ind w:left="567" w:hanging="425"/>
        <w:rPr>
          <w:b/>
          <w:bCs/>
        </w:rPr>
      </w:pPr>
      <w:r w:rsidRPr="00AD56A7">
        <w:rPr>
          <w:b/>
          <w:bCs/>
        </w:rPr>
        <w:t>3.</w:t>
      </w:r>
      <w:r w:rsidRPr="00AD56A7">
        <w:rPr>
          <w:b/>
          <w:bCs/>
        </w:rPr>
        <w:tab/>
      </w:r>
      <w:r w:rsidR="00E237B8" w:rsidRPr="00AD56A7">
        <w:rPr>
          <w:b/>
          <w:bCs/>
        </w:rPr>
        <w:t>Purchasing</w:t>
      </w:r>
      <w:r w:rsidR="00E237B8" w:rsidRPr="00AD56A7">
        <w:rPr>
          <w:b/>
          <w:bCs/>
          <w:spacing w:val="-6"/>
        </w:rPr>
        <w:t xml:space="preserve"> </w:t>
      </w:r>
      <w:r w:rsidR="00E237B8" w:rsidRPr="00AD56A7">
        <w:rPr>
          <w:b/>
          <w:bCs/>
        </w:rPr>
        <w:t>from</w:t>
      </w:r>
      <w:r w:rsidR="00E237B8" w:rsidRPr="00AD56A7">
        <w:rPr>
          <w:b/>
          <w:bCs/>
          <w:spacing w:val="-6"/>
        </w:rPr>
        <w:t xml:space="preserve"> </w:t>
      </w:r>
      <w:r w:rsidR="00E237B8" w:rsidRPr="00AD56A7">
        <w:rPr>
          <w:b/>
          <w:bCs/>
        </w:rPr>
        <w:t>Uniform</w:t>
      </w:r>
      <w:r w:rsidR="00E237B8" w:rsidRPr="00AD56A7">
        <w:rPr>
          <w:b/>
          <w:bCs/>
          <w:spacing w:val="-7"/>
        </w:rPr>
        <w:t xml:space="preserve"> </w:t>
      </w:r>
      <w:r w:rsidR="00E237B8" w:rsidRPr="00AD56A7">
        <w:rPr>
          <w:b/>
          <w:bCs/>
          <w:spacing w:val="-2"/>
        </w:rPr>
        <w:t>Providers</w:t>
      </w:r>
    </w:p>
    <w:p w14:paraId="7C68190E" w14:textId="77777777" w:rsidR="00E237B8" w:rsidRPr="00B36C5A" w:rsidRDefault="00E237B8" w:rsidP="00AD56A7">
      <w:pPr>
        <w:pStyle w:val="BodyText"/>
        <w:ind w:left="122" w:right="394"/>
        <w:jc w:val="both"/>
        <w:rPr>
          <w:rFonts w:asciiTheme="minorHAnsi" w:hAnsiTheme="minorHAnsi" w:cstheme="minorHAnsi"/>
        </w:rPr>
      </w:pPr>
      <w:r w:rsidRPr="00B36C5A">
        <w:rPr>
          <w:rFonts w:asciiTheme="minorHAnsi" w:hAnsiTheme="minorHAnsi" w:cstheme="minorHAnsi"/>
        </w:rPr>
        <w:t xml:space="preserve">The Town of East Fremantle will </w:t>
      </w:r>
      <w:proofErr w:type="spellStart"/>
      <w:r w:rsidRPr="00B36C5A">
        <w:rPr>
          <w:rFonts w:asciiTheme="minorHAnsi" w:hAnsiTheme="minorHAnsi" w:cstheme="minorHAnsi"/>
        </w:rPr>
        <w:t>utilise</w:t>
      </w:r>
      <w:proofErr w:type="spellEnd"/>
      <w:r w:rsidRPr="00B36C5A">
        <w:rPr>
          <w:rFonts w:asciiTheme="minorHAnsi" w:hAnsiTheme="minorHAnsi" w:cstheme="minorHAnsi"/>
        </w:rPr>
        <w:t xml:space="preserve"> the</w:t>
      </w:r>
      <w:r w:rsidRPr="00B36C5A">
        <w:rPr>
          <w:rFonts w:asciiTheme="minorHAnsi" w:hAnsiTheme="minorHAnsi" w:cstheme="minorHAnsi"/>
          <w:spacing w:val="-1"/>
        </w:rPr>
        <w:t xml:space="preserve"> </w:t>
      </w:r>
      <w:r w:rsidRPr="00B36C5A">
        <w:rPr>
          <w:rFonts w:asciiTheme="minorHAnsi" w:hAnsiTheme="minorHAnsi" w:cstheme="minorHAnsi"/>
        </w:rPr>
        <w:t>WALGA</w:t>
      </w:r>
      <w:r w:rsidRPr="00B36C5A">
        <w:rPr>
          <w:rFonts w:asciiTheme="minorHAnsi" w:hAnsiTheme="minorHAnsi" w:cstheme="minorHAnsi"/>
          <w:spacing w:val="-1"/>
        </w:rPr>
        <w:t xml:space="preserve"> </w:t>
      </w:r>
      <w:r w:rsidRPr="00B36C5A">
        <w:rPr>
          <w:rFonts w:asciiTheme="minorHAnsi" w:hAnsiTheme="minorHAnsi" w:cstheme="minorHAnsi"/>
        </w:rPr>
        <w:t>Preferred</w:t>
      </w:r>
      <w:r w:rsidRPr="00B36C5A">
        <w:rPr>
          <w:rFonts w:asciiTheme="minorHAnsi" w:hAnsiTheme="minorHAnsi" w:cstheme="minorHAnsi"/>
          <w:spacing w:val="-2"/>
        </w:rPr>
        <w:t xml:space="preserve"> </w:t>
      </w:r>
      <w:r w:rsidRPr="00B36C5A">
        <w:rPr>
          <w:rFonts w:asciiTheme="minorHAnsi" w:hAnsiTheme="minorHAnsi" w:cstheme="minorHAnsi"/>
        </w:rPr>
        <w:t xml:space="preserve">Panel for the procurement of uniforms. Purchasing for Corporate Uniforms and Protective Clothing is exempt from the general requirements of this </w:t>
      </w:r>
      <w:proofErr w:type="gramStart"/>
      <w:r w:rsidRPr="00B36C5A">
        <w:rPr>
          <w:rFonts w:asciiTheme="minorHAnsi" w:hAnsiTheme="minorHAnsi" w:cstheme="minorHAnsi"/>
        </w:rPr>
        <w:t>Policy, and</w:t>
      </w:r>
      <w:proofErr w:type="gramEnd"/>
      <w:r w:rsidRPr="00B36C5A">
        <w:rPr>
          <w:rFonts w:asciiTheme="minorHAnsi" w:hAnsiTheme="minorHAnsi" w:cstheme="minorHAnsi"/>
        </w:rPr>
        <w:t xml:space="preserve"> only requires one quote to be obtained. All purchases are still subject to a value for money judgement prior to issuing a Purchase Order.</w:t>
      </w:r>
    </w:p>
    <w:p w14:paraId="40961C61" w14:textId="7F5D362C" w:rsidR="00E237B8" w:rsidRPr="00AD56A7" w:rsidRDefault="00AD56A7" w:rsidP="00AD56A7">
      <w:pPr>
        <w:spacing w:before="200" w:after="0"/>
        <w:ind w:left="567" w:hanging="425"/>
        <w:rPr>
          <w:b/>
          <w:bCs/>
        </w:rPr>
      </w:pPr>
      <w:r w:rsidRPr="00AD56A7">
        <w:rPr>
          <w:b/>
          <w:bCs/>
        </w:rPr>
        <w:t>4.</w:t>
      </w:r>
      <w:r w:rsidRPr="00AD56A7">
        <w:rPr>
          <w:b/>
          <w:bCs/>
        </w:rPr>
        <w:tab/>
      </w:r>
      <w:r w:rsidR="00E237B8" w:rsidRPr="00AD56A7">
        <w:rPr>
          <w:b/>
          <w:bCs/>
        </w:rPr>
        <w:t>Purchasing</w:t>
      </w:r>
      <w:r w:rsidR="00E237B8" w:rsidRPr="00AD56A7">
        <w:rPr>
          <w:b/>
          <w:bCs/>
          <w:spacing w:val="-7"/>
        </w:rPr>
        <w:t xml:space="preserve"> </w:t>
      </w:r>
      <w:r w:rsidR="00E237B8" w:rsidRPr="00AD56A7">
        <w:rPr>
          <w:b/>
          <w:bCs/>
        </w:rPr>
        <w:t>from</w:t>
      </w:r>
      <w:r w:rsidR="00E237B8" w:rsidRPr="00AD56A7">
        <w:rPr>
          <w:b/>
          <w:bCs/>
          <w:spacing w:val="-8"/>
        </w:rPr>
        <w:t xml:space="preserve"> </w:t>
      </w:r>
      <w:r w:rsidR="00E237B8" w:rsidRPr="00AD56A7">
        <w:rPr>
          <w:b/>
          <w:bCs/>
        </w:rPr>
        <w:t>Stationery</w:t>
      </w:r>
      <w:r w:rsidR="00E237B8" w:rsidRPr="00AD56A7">
        <w:rPr>
          <w:b/>
          <w:bCs/>
          <w:spacing w:val="-7"/>
        </w:rPr>
        <w:t xml:space="preserve"> </w:t>
      </w:r>
      <w:r w:rsidR="00E237B8" w:rsidRPr="00AD56A7">
        <w:rPr>
          <w:b/>
          <w:bCs/>
          <w:spacing w:val="-2"/>
        </w:rPr>
        <w:t>Suppliers</w:t>
      </w:r>
    </w:p>
    <w:p w14:paraId="59CB9D76" w14:textId="39387BFF" w:rsidR="00E237B8" w:rsidRPr="00B36C5A" w:rsidRDefault="00E237B8" w:rsidP="00AD56A7">
      <w:pPr>
        <w:pStyle w:val="BodyText"/>
        <w:spacing w:after="0"/>
        <w:ind w:left="142" w:right="391"/>
        <w:jc w:val="both"/>
        <w:rPr>
          <w:rFonts w:asciiTheme="minorHAnsi" w:hAnsiTheme="minorHAnsi" w:cstheme="minorHAnsi"/>
        </w:rPr>
      </w:pPr>
      <w:r w:rsidRPr="00B36C5A">
        <w:rPr>
          <w:rFonts w:asciiTheme="minorHAnsi" w:hAnsiTheme="minorHAnsi" w:cstheme="minorHAnsi"/>
        </w:rPr>
        <w:t xml:space="preserve">The Town of East Fremantle will </w:t>
      </w:r>
      <w:proofErr w:type="spellStart"/>
      <w:r w:rsidRPr="00B36C5A">
        <w:rPr>
          <w:rFonts w:asciiTheme="minorHAnsi" w:hAnsiTheme="minorHAnsi" w:cstheme="minorHAnsi"/>
        </w:rPr>
        <w:t>utilise</w:t>
      </w:r>
      <w:proofErr w:type="spellEnd"/>
      <w:r w:rsidRPr="00B36C5A">
        <w:rPr>
          <w:rFonts w:asciiTheme="minorHAnsi" w:hAnsiTheme="minorHAnsi" w:cstheme="minorHAnsi"/>
        </w:rPr>
        <w:t xml:space="preserve"> either the WALGA preferred supplier contract or Social Enterprises</w:t>
      </w:r>
      <w:r w:rsidRPr="00B36C5A">
        <w:rPr>
          <w:rFonts w:asciiTheme="minorHAnsi" w:hAnsiTheme="minorHAnsi" w:cstheme="minorHAnsi"/>
          <w:spacing w:val="-13"/>
        </w:rPr>
        <w:t xml:space="preserve"> </w:t>
      </w:r>
      <w:r w:rsidRPr="00B36C5A">
        <w:rPr>
          <w:rFonts w:asciiTheme="minorHAnsi" w:hAnsiTheme="minorHAnsi" w:cstheme="minorHAnsi"/>
        </w:rPr>
        <w:t>(Disability</w:t>
      </w:r>
      <w:r w:rsidRPr="00B36C5A">
        <w:rPr>
          <w:rFonts w:asciiTheme="minorHAnsi" w:hAnsiTheme="minorHAnsi" w:cstheme="minorHAnsi"/>
          <w:spacing w:val="-12"/>
        </w:rPr>
        <w:t xml:space="preserve"> </w:t>
      </w:r>
      <w:r w:rsidRPr="00B36C5A">
        <w:rPr>
          <w:rFonts w:asciiTheme="minorHAnsi" w:hAnsiTheme="minorHAnsi" w:cstheme="minorHAnsi"/>
        </w:rPr>
        <w:t>and</w:t>
      </w:r>
      <w:r w:rsidRPr="00B36C5A">
        <w:rPr>
          <w:rFonts w:asciiTheme="minorHAnsi" w:hAnsiTheme="minorHAnsi" w:cstheme="minorHAnsi"/>
          <w:spacing w:val="-13"/>
        </w:rPr>
        <w:t xml:space="preserve"> </w:t>
      </w:r>
      <w:r w:rsidRPr="00B36C5A">
        <w:rPr>
          <w:rFonts w:asciiTheme="minorHAnsi" w:hAnsiTheme="minorHAnsi" w:cstheme="minorHAnsi"/>
        </w:rPr>
        <w:t>Aboriginal</w:t>
      </w:r>
      <w:r w:rsidRPr="00B36C5A">
        <w:rPr>
          <w:rFonts w:asciiTheme="minorHAnsi" w:hAnsiTheme="minorHAnsi" w:cstheme="minorHAnsi"/>
          <w:spacing w:val="-12"/>
        </w:rPr>
        <w:t xml:space="preserve"> </w:t>
      </w:r>
      <w:r w:rsidRPr="00B36C5A">
        <w:rPr>
          <w:rFonts w:asciiTheme="minorHAnsi" w:hAnsiTheme="minorHAnsi" w:cstheme="minorHAnsi"/>
        </w:rPr>
        <w:t>Corporations)</w:t>
      </w:r>
      <w:r w:rsidRPr="00B36C5A">
        <w:rPr>
          <w:rFonts w:asciiTheme="minorHAnsi" w:hAnsiTheme="minorHAnsi" w:cstheme="minorHAnsi"/>
          <w:spacing w:val="-13"/>
        </w:rPr>
        <w:t xml:space="preserve"> </w:t>
      </w:r>
      <w:r w:rsidRPr="00B36C5A">
        <w:rPr>
          <w:rFonts w:asciiTheme="minorHAnsi" w:hAnsiTheme="minorHAnsi" w:cstheme="minorHAnsi"/>
        </w:rPr>
        <w:t>for</w:t>
      </w:r>
      <w:r w:rsidRPr="00B36C5A">
        <w:rPr>
          <w:rFonts w:asciiTheme="minorHAnsi" w:hAnsiTheme="minorHAnsi" w:cstheme="minorHAnsi"/>
          <w:spacing w:val="-12"/>
        </w:rPr>
        <w:t xml:space="preserve"> </w:t>
      </w:r>
      <w:r w:rsidRPr="00B36C5A">
        <w:rPr>
          <w:rFonts w:asciiTheme="minorHAnsi" w:hAnsiTheme="minorHAnsi" w:cstheme="minorHAnsi"/>
        </w:rPr>
        <w:t>stationery</w:t>
      </w:r>
      <w:r w:rsidRPr="00B36C5A">
        <w:rPr>
          <w:rFonts w:asciiTheme="minorHAnsi" w:hAnsiTheme="minorHAnsi" w:cstheme="minorHAnsi"/>
          <w:spacing w:val="-11"/>
        </w:rPr>
        <w:t xml:space="preserve"> </w:t>
      </w:r>
      <w:r w:rsidRPr="00B36C5A">
        <w:rPr>
          <w:rFonts w:asciiTheme="minorHAnsi" w:hAnsiTheme="minorHAnsi" w:cstheme="minorHAnsi"/>
        </w:rPr>
        <w:t>purchases.</w:t>
      </w:r>
      <w:r w:rsidRPr="00B36C5A">
        <w:rPr>
          <w:rFonts w:asciiTheme="minorHAnsi" w:hAnsiTheme="minorHAnsi" w:cstheme="minorHAnsi"/>
          <w:spacing w:val="25"/>
        </w:rPr>
        <w:t xml:space="preserve"> </w:t>
      </w:r>
      <w:r w:rsidRPr="00B36C5A">
        <w:rPr>
          <w:rFonts w:asciiTheme="minorHAnsi" w:hAnsiTheme="minorHAnsi" w:cstheme="minorHAnsi"/>
        </w:rPr>
        <w:t>The</w:t>
      </w:r>
      <w:r w:rsidRPr="00B36C5A">
        <w:rPr>
          <w:rFonts w:asciiTheme="minorHAnsi" w:hAnsiTheme="minorHAnsi" w:cstheme="minorHAnsi"/>
          <w:spacing w:val="-13"/>
        </w:rPr>
        <w:t xml:space="preserve"> </w:t>
      </w:r>
      <w:r w:rsidRPr="00B36C5A">
        <w:rPr>
          <w:rFonts w:asciiTheme="minorHAnsi" w:hAnsiTheme="minorHAnsi" w:cstheme="minorHAnsi"/>
        </w:rPr>
        <w:t>Town</w:t>
      </w:r>
      <w:r w:rsidRPr="00B36C5A">
        <w:rPr>
          <w:rFonts w:asciiTheme="minorHAnsi" w:hAnsiTheme="minorHAnsi" w:cstheme="minorHAnsi"/>
          <w:spacing w:val="-12"/>
        </w:rPr>
        <w:t xml:space="preserve"> </w:t>
      </w:r>
      <w:r w:rsidRPr="00B36C5A">
        <w:rPr>
          <w:rFonts w:asciiTheme="minorHAnsi" w:hAnsiTheme="minorHAnsi" w:cstheme="minorHAnsi"/>
        </w:rPr>
        <w:t>will</w:t>
      </w:r>
      <w:r w:rsidRPr="00B36C5A">
        <w:rPr>
          <w:rFonts w:asciiTheme="minorHAnsi" w:hAnsiTheme="minorHAnsi" w:cstheme="minorHAnsi"/>
          <w:spacing w:val="-12"/>
        </w:rPr>
        <w:t xml:space="preserve"> </w:t>
      </w:r>
      <w:proofErr w:type="spellStart"/>
      <w:r w:rsidRPr="00B36C5A">
        <w:rPr>
          <w:rFonts w:asciiTheme="minorHAnsi" w:hAnsiTheme="minorHAnsi" w:cstheme="minorHAnsi"/>
        </w:rPr>
        <w:t>endeavour</w:t>
      </w:r>
      <w:proofErr w:type="spellEnd"/>
      <w:r w:rsidRPr="00B36C5A">
        <w:rPr>
          <w:rFonts w:asciiTheme="minorHAnsi" w:hAnsiTheme="minorHAnsi" w:cstheme="minorHAnsi"/>
        </w:rPr>
        <w:t xml:space="preserve"> to</w:t>
      </w:r>
      <w:r w:rsidRPr="00B36C5A">
        <w:rPr>
          <w:rFonts w:asciiTheme="minorHAnsi" w:hAnsiTheme="minorHAnsi" w:cstheme="minorHAnsi"/>
          <w:spacing w:val="-2"/>
        </w:rPr>
        <w:t xml:space="preserve"> </w:t>
      </w:r>
      <w:r w:rsidRPr="00B36C5A">
        <w:rPr>
          <w:rFonts w:asciiTheme="minorHAnsi" w:hAnsiTheme="minorHAnsi" w:cstheme="minorHAnsi"/>
        </w:rPr>
        <w:t>ensure</w:t>
      </w:r>
      <w:r w:rsidRPr="00B36C5A">
        <w:rPr>
          <w:rFonts w:asciiTheme="minorHAnsi" w:hAnsiTheme="minorHAnsi" w:cstheme="minorHAnsi"/>
          <w:spacing w:val="-3"/>
        </w:rPr>
        <w:t xml:space="preserve"> </w:t>
      </w:r>
      <w:r w:rsidRPr="00B36C5A">
        <w:rPr>
          <w:rFonts w:asciiTheme="minorHAnsi" w:hAnsiTheme="minorHAnsi" w:cstheme="minorHAnsi"/>
        </w:rPr>
        <w:t>value</w:t>
      </w:r>
      <w:r w:rsidRPr="00B36C5A">
        <w:rPr>
          <w:rFonts w:asciiTheme="minorHAnsi" w:hAnsiTheme="minorHAnsi" w:cstheme="minorHAnsi"/>
          <w:spacing w:val="-1"/>
        </w:rPr>
        <w:t xml:space="preserve"> </w:t>
      </w:r>
      <w:r w:rsidRPr="00B36C5A">
        <w:rPr>
          <w:rFonts w:asciiTheme="minorHAnsi" w:hAnsiTheme="minorHAnsi" w:cstheme="minorHAnsi"/>
        </w:rPr>
        <w:t>for</w:t>
      </w:r>
      <w:r w:rsidRPr="00B36C5A">
        <w:rPr>
          <w:rFonts w:asciiTheme="minorHAnsi" w:hAnsiTheme="minorHAnsi" w:cstheme="minorHAnsi"/>
          <w:spacing w:val="-3"/>
        </w:rPr>
        <w:t xml:space="preserve"> </w:t>
      </w:r>
      <w:r w:rsidRPr="00B36C5A">
        <w:rPr>
          <w:rFonts w:asciiTheme="minorHAnsi" w:hAnsiTheme="minorHAnsi" w:cstheme="minorHAnsi"/>
        </w:rPr>
        <w:t>money</w:t>
      </w:r>
      <w:r w:rsidRPr="00B36C5A">
        <w:rPr>
          <w:rFonts w:asciiTheme="minorHAnsi" w:hAnsiTheme="minorHAnsi" w:cstheme="minorHAnsi"/>
          <w:spacing w:val="-2"/>
        </w:rPr>
        <w:t xml:space="preserve"> </w:t>
      </w:r>
      <w:r w:rsidRPr="00B36C5A">
        <w:rPr>
          <w:rFonts w:asciiTheme="minorHAnsi" w:hAnsiTheme="minorHAnsi" w:cstheme="minorHAnsi"/>
        </w:rPr>
        <w:t>is</w:t>
      </w:r>
      <w:r w:rsidR="00C55185">
        <w:rPr>
          <w:rFonts w:asciiTheme="minorHAnsi" w:hAnsiTheme="minorHAnsi" w:cstheme="minorHAnsi"/>
          <w:spacing w:val="-1"/>
        </w:rPr>
        <w:t xml:space="preserve"> </w:t>
      </w:r>
      <w:proofErr w:type="spellStart"/>
      <w:r w:rsidR="0063107B">
        <w:rPr>
          <w:rFonts w:asciiTheme="minorHAnsi" w:hAnsiTheme="minorHAnsi" w:cstheme="minorHAnsi"/>
          <w:spacing w:val="-1"/>
        </w:rPr>
        <w:t>realised</w:t>
      </w:r>
      <w:proofErr w:type="spellEnd"/>
      <w:r w:rsidR="0063107B">
        <w:rPr>
          <w:rFonts w:asciiTheme="minorHAnsi" w:hAnsiTheme="minorHAnsi" w:cstheme="minorHAnsi"/>
          <w:spacing w:val="-1"/>
        </w:rPr>
        <w:t xml:space="preserve"> as well as pur</w:t>
      </w:r>
      <w:r w:rsidRPr="00B36C5A">
        <w:rPr>
          <w:rFonts w:asciiTheme="minorHAnsi" w:hAnsiTheme="minorHAnsi" w:cstheme="minorHAnsi"/>
        </w:rPr>
        <w:t>chasing</w:t>
      </w:r>
      <w:r w:rsidRPr="00B36C5A">
        <w:rPr>
          <w:rFonts w:asciiTheme="minorHAnsi" w:hAnsiTheme="minorHAnsi" w:cstheme="minorHAnsi"/>
          <w:spacing w:val="-2"/>
        </w:rPr>
        <w:t xml:space="preserve"> </w:t>
      </w:r>
      <w:r w:rsidRPr="00B36C5A">
        <w:rPr>
          <w:rFonts w:asciiTheme="minorHAnsi" w:hAnsiTheme="minorHAnsi" w:cstheme="minorHAnsi"/>
        </w:rPr>
        <w:t>sustainable</w:t>
      </w:r>
      <w:r w:rsidRPr="00B36C5A">
        <w:rPr>
          <w:rFonts w:asciiTheme="minorHAnsi" w:hAnsiTheme="minorHAnsi" w:cstheme="minorHAnsi"/>
          <w:spacing w:val="-3"/>
        </w:rPr>
        <w:t xml:space="preserve"> </w:t>
      </w:r>
      <w:r w:rsidRPr="00B36C5A">
        <w:rPr>
          <w:rFonts w:asciiTheme="minorHAnsi" w:hAnsiTheme="minorHAnsi" w:cstheme="minorHAnsi"/>
        </w:rPr>
        <w:t>office</w:t>
      </w:r>
      <w:r w:rsidRPr="00B36C5A">
        <w:rPr>
          <w:rFonts w:asciiTheme="minorHAnsi" w:hAnsiTheme="minorHAnsi" w:cstheme="minorHAnsi"/>
          <w:spacing w:val="-3"/>
        </w:rPr>
        <w:t xml:space="preserve"> </w:t>
      </w:r>
      <w:r w:rsidRPr="00B36C5A">
        <w:rPr>
          <w:rFonts w:asciiTheme="minorHAnsi" w:hAnsiTheme="minorHAnsi" w:cstheme="minorHAnsi"/>
        </w:rPr>
        <w:t>supplies where</w:t>
      </w:r>
      <w:r w:rsidRPr="00B36C5A">
        <w:rPr>
          <w:rFonts w:asciiTheme="minorHAnsi" w:hAnsiTheme="minorHAnsi" w:cstheme="minorHAnsi"/>
          <w:spacing w:val="-1"/>
        </w:rPr>
        <w:t xml:space="preserve"> </w:t>
      </w:r>
      <w:r w:rsidRPr="00B36C5A">
        <w:rPr>
          <w:rFonts w:asciiTheme="minorHAnsi" w:hAnsiTheme="minorHAnsi" w:cstheme="minorHAnsi"/>
        </w:rPr>
        <w:t>possible. This supply category is exempt from the minimum quotation requirements.</w:t>
      </w:r>
    </w:p>
    <w:p w14:paraId="7364AB1B" w14:textId="23D02B94" w:rsidR="00E237B8" w:rsidRPr="00AD56A7" w:rsidRDefault="00AD56A7" w:rsidP="00AD56A7">
      <w:pPr>
        <w:spacing w:before="200" w:after="0"/>
        <w:ind w:left="567" w:hanging="425"/>
        <w:rPr>
          <w:b/>
          <w:bCs/>
        </w:rPr>
      </w:pPr>
      <w:r w:rsidRPr="00AD56A7">
        <w:rPr>
          <w:b/>
          <w:bCs/>
        </w:rPr>
        <w:t>5.</w:t>
      </w:r>
      <w:r w:rsidRPr="00AD56A7">
        <w:rPr>
          <w:b/>
          <w:bCs/>
        </w:rPr>
        <w:tab/>
      </w:r>
      <w:r w:rsidR="00E237B8" w:rsidRPr="00AD56A7">
        <w:rPr>
          <w:b/>
          <w:bCs/>
        </w:rPr>
        <w:t>Purchasing</w:t>
      </w:r>
      <w:r w:rsidR="00E237B8" w:rsidRPr="00AD56A7">
        <w:rPr>
          <w:b/>
          <w:bCs/>
          <w:spacing w:val="-6"/>
        </w:rPr>
        <w:t xml:space="preserve"> </w:t>
      </w:r>
      <w:r w:rsidR="00E237B8" w:rsidRPr="00AD56A7">
        <w:rPr>
          <w:b/>
          <w:bCs/>
        </w:rPr>
        <w:t>of</w:t>
      </w:r>
      <w:r w:rsidR="00E237B8" w:rsidRPr="00AD56A7">
        <w:rPr>
          <w:b/>
          <w:bCs/>
          <w:spacing w:val="-7"/>
        </w:rPr>
        <w:t xml:space="preserve"> </w:t>
      </w:r>
      <w:r w:rsidR="00E237B8" w:rsidRPr="00AD56A7">
        <w:rPr>
          <w:b/>
          <w:bCs/>
        </w:rPr>
        <w:t>Accounting</w:t>
      </w:r>
      <w:r w:rsidR="00E237B8" w:rsidRPr="00AD56A7">
        <w:rPr>
          <w:b/>
          <w:bCs/>
          <w:spacing w:val="-9"/>
        </w:rPr>
        <w:t xml:space="preserve"> </w:t>
      </w:r>
      <w:r w:rsidR="00E237B8" w:rsidRPr="00AD56A7">
        <w:rPr>
          <w:b/>
          <w:bCs/>
        </w:rPr>
        <w:t>and</w:t>
      </w:r>
      <w:r w:rsidR="00E237B8" w:rsidRPr="00AD56A7">
        <w:rPr>
          <w:b/>
          <w:bCs/>
          <w:spacing w:val="-7"/>
        </w:rPr>
        <w:t xml:space="preserve"> </w:t>
      </w:r>
      <w:r w:rsidR="00E237B8" w:rsidRPr="00AD56A7">
        <w:rPr>
          <w:b/>
          <w:bCs/>
        </w:rPr>
        <w:t>Strategic</w:t>
      </w:r>
      <w:r w:rsidR="00E237B8" w:rsidRPr="00AD56A7">
        <w:rPr>
          <w:b/>
          <w:bCs/>
          <w:spacing w:val="-7"/>
        </w:rPr>
        <w:t xml:space="preserve"> </w:t>
      </w:r>
      <w:r w:rsidR="00E237B8" w:rsidRPr="00AD56A7">
        <w:rPr>
          <w:b/>
          <w:bCs/>
        </w:rPr>
        <w:t>Financial</w:t>
      </w:r>
      <w:r w:rsidR="00E237B8" w:rsidRPr="00AD56A7">
        <w:rPr>
          <w:b/>
          <w:bCs/>
          <w:spacing w:val="-7"/>
        </w:rPr>
        <w:t xml:space="preserve"> </w:t>
      </w:r>
      <w:r w:rsidR="00E237B8" w:rsidRPr="00AD56A7">
        <w:rPr>
          <w:b/>
          <w:bCs/>
          <w:spacing w:val="-2"/>
        </w:rPr>
        <w:t>Services</w:t>
      </w:r>
    </w:p>
    <w:p w14:paraId="78051295" w14:textId="13C57B6E" w:rsidR="00E237B8" w:rsidRPr="00B36C5A" w:rsidRDefault="00E237B8" w:rsidP="00AD56A7">
      <w:pPr>
        <w:pStyle w:val="BodyText"/>
        <w:spacing w:after="0"/>
        <w:ind w:left="142" w:right="390"/>
        <w:jc w:val="both"/>
        <w:rPr>
          <w:rFonts w:asciiTheme="minorHAnsi" w:hAnsiTheme="minorHAnsi" w:cstheme="minorHAnsi"/>
          <w:spacing w:val="-2"/>
        </w:rPr>
      </w:pPr>
      <w:r w:rsidRPr="00B36C5A">
        <w:rPr>
          <w:rFonts w:asciiTheme="minorHAnsi" w:hAnsiTheme="minorHAnsi" w:cstheme="minorHAnsi"/>
        </w:rPr>
        <w:t xml:space="preserve">The Town of East Fremantle will </w:t>
      </w:r>
      <w:r w:rsidR="00AD56A7">
        <w:rPr>
          <w:rFonts w:asciiTheme="minorHAnsi" w:hAnsiTheme="minorHAnsi" w:cstheme="minorHAnsi"/>
        </w:rPr>
        <w:pgNum/>
      </w:r>
      <w:proofErr w:type="spellStart"/>
      <w:r w:rsidR="00AD56A7">
        <w:rPr>
          <w:rFonts w:asciiTheme="minorHAnsi" w:hAnsiTheme="minorHAnsi" w:cstheme="minorHAnsi"/>
        </w:rPr>
        <w:t>tilize</w:t>
      </w:r>
      <w:proofErr w:type="spellEnd"/>
      <w:r w:rsidRPr="00B36C5A">
        <w:rPr>
          <w:rFonts w:asciiTheme="minorHAnsi" w:hAnsiTheme="minorHAnsi" w:cstheme="minorHAnsi"/>
        </w:rPr>
        <w:t xml:space="preserve"> the WALGA preferred supplier contract for Accounting and Strategic Financial Services. The selection of the service provider will be undertaken by the Chief Executive</w:t>
      </w:r>
      <w:r w:rsidRPr="00B36C5A">
        <w:rPr>
          <w:rFonts w:asciiTheme="minorHAnsi" w:hAnsiTheme="minorHAnsi" w:cstheme="minorHAnsi"/>
          <w:spacing w:val="-13"/>
        </w:rPr>
        <w:t xml:space="preserve"> </w:t>
      </w:r>
      <w:r w:rsidRPr="00B36C5A">
        <w:rPr>
          <w:rFonts w:asciiTheme="minorHAnsi" w:hAnsiTheme="minorHAnsi" w:cstheme="minorHAnsi"/>
        </w:rPr>
        <w:t>Officer</w:t>
      </w:r>
      <w:r w:rsidRPr="00B36C5A">
        <w:rPr>
          <w:rFonts w:asciiTheme="minorHAnsi" w:hAnsiTheme="minorHAnsi" w:cstheme="minorHAnsi"/>
          <w:spacing w:val="-12"/>
        </w:rPr>
        <w:t xml:space="preserve"> </w:t>
      </w:r>
      <w:r w:rsidRPr="00B36C5A">
        <w:rPr>
          <w:rFonts w:asciiTheme="minorHAnsi" w:hAnsiTheme="minorHAnsi" w:cstheme="minorHAnsi"/>
        </w:rPr>
        <w:t>or</w:t>
      </w:r>
      <w:r w:rsidRPr="00B36C5A">
        <w:rPr>
          <w:rFonts w:asciiTheme="minorHAnsi" w:hAnsiTheme="minorHAnsi" w:cstheme="minorHAnsi"/>
          <w:spacing w:val="-13"/>
        </w:rPr>
        <w:t xml:space="preserve"> </w:t>
      </w:r>
      <w:r w:rsidRPr="00B36C5A">
        <w:rPr>
          <w:rFonts w:asciiTheme="minorHAnsi" w:hAnsiTheme="minorHAnsi" w:cstheme="minorHAnsi"/>
        </w:rPr>
        <w:t>relevant</w:t>
      </w:r>
      <w:r w:rsidRPr="00B36C5A">
        <w:rPr>
          <w:rFonts w:asciiTheme="minorHAnsi" w:hAnsiTheme="minorHAnsi" w:cstheme="minorHAnsi"/>
          <w:spacing w:val="-12"/>
        </w:rPr>
        <w:t xml:space="preserve"> </w:t>
      </w:r>
      <w:r w:rsidRPr="00B36C5A">
        <w:rPr>
          <w:rFonts w:asciiTheme="minorHAnsi" w:hAnsiTheme="minorHAnsi" w:cstheme="minorHAnsi"/>
        </w:rPr>
        <w:t>Executive Manager</w:t>
      </w:r>
      <w:r w:rsidRPr="00B36C5A">
        <w:rPr>
          <w:rFonts w:asciiTheme="minorHAnsi" w:hAnsiTheme="minorHAnsi" w:cstheme="minorHAnsi"/>
          <w:spacing w:val="-13"/>
        </w:rPr>
        <w:t xml:space="preserve"> </w:t>
      </w:r>
      <w:r w:rsidRPr="00B36C5A">
        <w:rPr>
          <w:rFonts w:asciiTheme="minorHAnsi" w:hAnsiTheme="minorHAnsi" w:cstheme="minorHAnsi"/>
        </w:rPr>
        <w:t>(under</w:t>
      </w:r>
      <w:r w:rsidRPr="00B36C5A">
        <w:rPr>
          <w:rFonts w:asciiTheme="minorHAnsi" w:hAnsiTheme="minorHAnsi" w:cstheme="minorHAnsi"/>
          <w:spacing w:val="-12"/>
        </w:rPr>
        <w:t xml:space="preserve"> </w:t>
      </w:r>
      <w:r w:rsidRPr="00B36C5A">
        <w:rPr>
          <w:rFonts w:asciiTheme="minorHAnsi" w:hAnsiTheme="minorHAnsi" w:cstheme="minorHAnsi"/>
        </w:rPr>
        <w:t>delegated</w:t>
      </w:r>
      <w:r w:rsidRPr="00B36C5A">
        <w:rPr>
          <w:rFonts w:asciiTheme="minorHAnsi" w:hAnsiTheme="minorHAnsi" w:cstheme="minorHAnsi"/>
          <w:spacing w:val="-13"/>
        </w:rPr>
        <w:t xml:space="preserve"> </w:t>
      </w:r>
      <w:r w:rsidRPr="00B36C5A">
        <w:rPr>
          <w:rFonts w:asciiTheme="minorHAnsi" w:hAnsiTheme="minorHAnsi" w:cstheme="minorHAnsi"/>
        </w:rPr>
        <w:t>authority)</w:t>
      </w:r>
      <w:r w:rsidRPr="00B36C5A">
        <w:rPr>
          <w:rFonts w:asciiTheme="minorHAnsi" w:hAnsiTheme="minorHAnsi" w:cstheme="minorHAnsi"/>
          <w:spacing w:val="-12"/>
        </w:rPr>
        <w:t xml:space="preserve"> </w:t>
      </w:r>
      <w:r w:rsidRPr="00B36C5A">
        <w:rPr>
          <w:rFonts w:asciiTheme="minorHAnsi" w:hAnsiTheme="minorHAnsi" w:cstheme="minorHAnsi"/>
        </w:rPr>
        <w:t>based</w:t>
      </w:r>
      <w:r w:rsidRPr="00B36C5A">
        <w:rPr>
          <w:rFonts w:asciiTheme="minorHAnsi" w:hAnsiTheme="minorHAnsi" w:cstheme="minorHAnsi"/>
          <w:spacing w:val="-12"/>
        </w:rPr>
        <w:t xml:space="preserve"> </w:t>
      </w:r>
      <w:r w:rsidRPr="00B36C5A">
        <w:rPr>
          <w:rFonts w:asciiTheme="minorHAnsi" w:hAnsiTheme="minorHAnsi" w:cstheme="minorHAnsi"/>
        </w:rPr>
        <w:t>on</w:t>
      </w:r>
      <w:r w:rsidRPr="00B36C5A">
        <w:rPr>
          <w:rFonts w:asciiTheme="minorHAnsi" w:hAnsiTheme="minorHAnsi" w:cstheme="minorHAnsi"/>
          <w:spacing w:val="-10"/>
        </w:rPr>
        <w:t xml:space="preserve"> </w:t>
      </w:r>
      <w:r w:rsidRPr="00B36C5A">
        <w:rPr>
          <w:rFonts w:asciiTheme="minorHAnsi" w:hAnsiTheme="minorHAnsi" w:cstheme="minorHAnsi"/>
        </w:rPr>
        <w:t>factors</w:t>
      </w:r>
      <w:r w:rsidRPr="00B36C5A">
        <w:rPr>
          <w:rFonts w:asciiTheme="minorHAnsi" w:hAnsiTheme="minorHAnsi" w:cstheme="minorHAnsi"/>
          <w:spacing w:val="-8"/>
        </w:rPr>
        <w:t xml:space="preserve"> </w:t>
      </w:r>
      <w:r w:rsidRPr="00B36C5A">
        <w:rPr>
          <w:rFonts w:asciiTheme="minorHAnsi" w:hAnsiTheme="minorHAnsi" w:cstheme="minorHAnsi"/>
        </w:rPr>
        <w:t>including the</w:t>
      </w:r>
      <w:r w:rsidRPr="00B36C5A">
        <w:rPr>
          <w:rFonts w:asciiTheme="minorHAnsi" w:hAnsiTheme="minorHAnsi" w:cstheme="minorHAnsi"/>
          <w:spacing w:val="-9"/>
        </w:rPr>
        <w:t xml:space="preserve"> </w:t>
      </w:r>
      <w:r w:rsidRPr="00B36C5A">
        <w:rPr>
          <w:rFonts w:asciiTheme="minorHAnsi" w:hAnsiTheme="minorHAnsi" w:cstheme="minorHAnsi"/>
        </w:rPr>
        <w:t>panel</w:t>
      </w:r>
      <w:r w:rsidRPr="00B36C5A">
        <w:rPr>
          <w:rFonts w:asciiTheme="minorHAnsi" w:hAnsiTheme="minorHAnsi" w:cstheme="minorHAnsi"/>
          <w:spacing w:val="-11"/>
        </w:rPr>
        <w:t xml:space="preserve"> </w:t>
      </w:r>
      <w:r w:rsidRPr="00B36C5A">
        <w:rPr>
          <w:rFonts w:asciiTheme="minorHAnsi" w:hAnsiTheme="minorHAnsi" w:cstheme="minorHAnsi"/>
        </w:rPr>
        <w:t>provider</w:t>
      </w:r>
      <w:r w:rsidRPr="00B36C5A">
        <w:rPr>
          <w:rFonts w:asciiTheme="minorHAnsi" w:hAnsiTheme="minorHAnsi" w:cstheme="minorHAnsi"/>
          <w:spacing w:val="-9"/>
        </w:rPr>
        <w:t xml:space="preserve"> </w:t>
      </w:r>
      <w:r w:rsidRPr="00B36C5A">
        <w:rPr>
          <w:rFonts w:asciiTheme="minorHAnsi" w:hAnsiTheme="minorHAnsi" w:cstheme="minorHAnsi"/>
        </w:rPr>
        <w:t>undertaking</w:t>
      </w:r>
      <w:r w:rsidRPr="00B36C5A">
        <w:rPr>
          <w:rFonts w:asciiTheme="minorHAnsi" w:hAnsiTheme="minorHAnsi" w:cstheme="minorHAnsi"/>
          <w:spacing w:val="-9"/>
        </w:rPr>
        <w:t xml:space="preserve"> </w:t>
      </w:r>
      <w:r w:rsidRPr="00B36C5A">
        <w:rPr>
          <w:rFonts w:asciiTheme="minorHAnsi" w:hAnsiTheme="minorHAnsi" w:cstheme="minorHAnsi"/>
        </w:rPr>
        <w:t>similar</w:t>
      </w:r>
      <w:r w:rsidRPr="00B36C5A">
        <w:rPr>
          <w:rFonts w:asciiTheme="minorHAnsi" w:hAnsiTheme="minorHAnsi" w:cstheme="minorHAnsi"/>
          <w:spacing w:val="-12"/>
        </w:rPr>
        <w:t xml:space="preserve"> </w:t>
      </w:r>
      <w:r w:rsidRPr="00B36C5A">
        <w:rPr>
          <w:rFonts w:asciiTheme="minorHAnsi" w:hAnsiTheme="minorHAnsi" w:cstheme="minorHAnsi"/>
        </w:rPr>
        <w:t>work</w:t>
      </w:r>
      <w:r w:rsidRPr="00B36C5A">
        <w:rPr>
          <w:rFonts w:asciiTheme="minorHAnsi" w:hAnsiTheme="minorHAnsi" w:cstheme="minorHAnsi"/>
          <w:spacing w:val="-11"/>
        </w:rPr>
        <w:t xml:space="preserve"> </w:t>
      </w:r>
      <w:r w:rsidRPr="00B36C5A">
        <w:rPr>
          <w:rFonts w:asciiTheme="minorHAnsi" w:hAnsiTheme="minorHAnsi" w:cstheme="minorHAnsi"/>
        </w:rPr>
        <w:t>on</w:t>
      </w:r>
      <w:r w:rsidRPr="00B36C5A">
        <w:rPr>
          <w:rFonts w:asciiTheme="minorHAnsi" w:hAnsiTheme="minorHAnsi" w:cstheme="minorHAnsi"/>
          <w:spacing w:val="-12"/>
        </w:rPr>
        <w:t xml:space="preserve"> </w:t>
      </w:r>
      <w:r w:rsidRPr="00B36C5A">
        <w:rPr>
          <w:rFonts w:asciiTheme="minorHAnsi" w:hAnsiTheme="minorHAnsi" w:cstheme="minorHAnsi"/>
        </w:rPr>
        <w:t>behalf</w:t>
      </w:r>
      <w:r w:rsidRPr="00B36C5A">
        <w:rPr>
          <w:rFonts w:asciiTheme="minorHAnsi" w:hAnsiTheme="minorHAnsi" w:cstheme="minorHAnsi"/>
          <w:spacing w:val="-12"/>
        </w:rPr>
        <w:t xml:space="preserve"> </w:t>
      </w:r>
      <w:r w:rsidRPr="00B36C5A">
        <w:rPr>
          <w:rFonts w:asciiTheme="minorHAnsi" w:hAnsiTheme="minorHAnsi" w:cstheme="minorHAnsi"/>
        </w:rPr>
        <w:t>of</w:t>
      </w:r>
      <w:r w:rsidRPr="00B36C5A">
        <w:rPr>
          <w:rFonts w:asciiTheme="minorHAnsi" w:hAnsiTheme="minorHAnsi" w:cstheme="minorHAnsi"/>
          <w:spacing w:val="-9"/>
        </w:rPr>
        <w:t xml:space="preserve"> </w:t>
      </w:r>
      <w:r w:rsidRPr="00B36C5A">
        <w:rPr>
          <w:rFonts w:asciiTheme="minorHAnsi" w:hAnsiTheme="minorHAnsi" w:cstheme="minorHAnsi"/>
        </w:rPr>
        <w:t>the</w:t>
      </w:r>
      <w:r w:rsidRPr="00B36C5A">
        <w:rPr>
          <w:rFonts w:asciiTheme="minorHAnsi" w:hAnsiTheme="minorHAnsi" w:cstheme="minorHAnsi"/>
          <w:spacing w:val="-11"/>
        </w:rPr>
        <w:t xml:space="preserve"> </w:t>
      </w:r>
      <w:r w:rsidRPr="00B36C5A">
        <w:rPr>
          <w:rFonts w:asciiTheme="minorHAnsi" w:hAnsiTheme="minorHAnsi" w:cstheme="minorHAnsi"/>
        </w:rPr>
        <w:t>Town,</w:t>
      </w:r>
      <w:r w:rsidRPr="00B36C5A">
        <w:rPr>
          <w:rFonts w:asciiTheme="minorHAnsi" w:hAnsiTheme="minorHAnsi" w:cstheme="minorHAnsi"/>
          <w:spacing w:val="-9"/>
        </w:rPr>
        <w:t xml:space="preserve"> </w:t>
      </w:r>
      <w:r w:rsidRPr="00B36C5A">
        <w:rPr>
          <w:rFonts w:asciiTheme="minorHAnsi" w:hAnsiTheme="minorHAnsi" w:cstheme="minorHAnsi"/>
        </w:rPr>
        <w:t>specialist</w:t>
      </w:r>
      <w:r w:rsidRPr="00B36C5A">
        <w:rPr>
          <w:rFonts w:asciiTheme="minorHAnsi" w:hAnsiTheme="minorHAnsi" w:cstheme="minorHAnsi"/>
          <w:spacing w:val="-11"/>
        </w:rPr>
        <w:t xml:space="preserve"> </w:t>
      </w:r>
      <w:r w:rsidRPr="00B36C5A">
        <w:rPr>
          <w:rFonts w:asciiTheme="minorHAnsi" w:hAnsiTheme="minorHAnsi" w:cstheme="minorHAnsi"/>
        </w:rPr>
        <w:t>expertise</w:t>
      </w:r>
      <w:r w:rsidRPr="00B36C5A">
        <w:rPr>
          <w:rFonts w:asciiTheme="minorHAnsi" w:hAnsiTheme="minorHAnsi" w:cstheme="minorHAnsi"/>
          <w:spacing w:val="-9"/>
        </w:rPr>
        <w:t xml:space="preserve"> </w:t>
      </w:r>
      <w:r w:rsidRPr="00B36C5A">
        <w:rPr>
          <w:rFonts w:asciiTheme="minorHAnsi" w:hAnsiTheme="minorHAnsi" w:cstheme="minorHAnsi"/>
        </w:rPr>
        <w:t>as</w:t>
      </w:r>
      <w:r w:rsidRPr="00B36C5A">
        <w:rPr>
          <w:rFonts w:asciiTheme="minorHAnsi" w:hAnsiTheme="minorHAnsi" w:cstheme="minorHAnsi"/>
          <w:spacing w:val="-11"/>
        </w:rPr>
        <w:t xml:space="preserve"> </w:t>
      </w:r>
      <w:r w:rsidRPr="00B36C5A">
        <w:rPr>
          <w:rFonts w:asciiTheme="minorHAnsi" w:hAnsiTheme="minorHAnsi" w:cstheme="minorHAnsi"/>
        </w:rPr>
        <w:t>well</w:t>
      </w:r>
      <w:r w:rsidRPr="00B36C5A">
        <w:rPr>
          <w:rFonts w:asciiTheme="minorHAnsi" w:hAnsiTheme="minorHAnsi" w:cstheme="minorHAnsi"/>
          <w:spacing w:val="-9"/>
        </w:rPr>
        <w:t xml:space="preserve"> </w:t>
      </w:r>
      <w:r w:rsidRPr="00B36C5A">
        <w:rPr>
          <w:rFonts w:asciiTheme="minorHAnsi" w:hAnsiTheme="minorHAnsi" w:cstheme="minorHAnsi"/>
        </w:rPr>
        <w:t>as</w:t>
      </w:r>
      <w:r w:rsidRPr="00B36C5A">
        <w:rPr>
          <w:rFonts w:asciiTheme="minorHAnsi" w:hAnsiTheme="minorHAnsi" w:cstheme="minorHAnsi"/>
          <w:spacing w:val="-9"/>
        </w:rPr>
        <w:t xml:space="preserve"> </w:t>
      </w:r>
      <w:r w:rsidRPr="00B36C5A">
        <w:rPr>
          <w:rFonts w:asciiTheme="minorHAnsi" w:hAnsiTheme="minorHAnsi" w:cstheme="minorHAnsi"/>
        </w:rPr>
        <w:t>being based</w:t>
      </w:r>
      <w:r w:rsidRPr="00B36C5A">
        <w:rPr>
          <w:rFonts w:asciiTheme="minorHAnsi" w:hAnsiTheme="minorHAnsi" w:cstheme="minorHAnsi"/>
          <w:spacing w:val="-12"/>
        </w:rPr>
        <w:t xml:space="preserve"> </w:t>
      </w:r>
      <w:r w:rsidRPr="00B36C5A">
        <w:rPr>
          <w:rFonts w:asciiTheme="minorHAnsi" w:hAnsiTheme="minorHAnsi" w:cstheme="minorHAnsi"/>
        </w:rPr>
        <w:t>on</w:t>
      </w:r>
      <w:r w:rsidRPr="00B36C5A">
        <w:rPr>
          <w:rFonts w:asciiTheme="minorHAnsi" w:hAnsiTheme="minorHAnsi" w:cstheme="minorHAnsi"/>
          <w:spacing w:val="-10"/>
        </w:rPr>
        <w:t xml:space="preserve"> </w:t>
      </w:r>
      <w:r w:rsidRPr="00B36C5A">
        <w:rPr>
          <w:rFonts w:asciiTheme="minorHAnsi" w:hAnsiTheme="minorHAnsi" w:cstheme="minorHAnsi"/>
        </w:rPr>
        <w:t>standard</w:t>
      </w:r>
      <w:r w:rsidRPr="00B36C5A">
        <w:rPr>
          <w:rFonts w:asciiTheme="minorHAnsi" w:hAnsiTheme="minorHAnsi" w:cstheme="minorHAnsi"/>
          <w:spacing w:val="-10"/>
        </w:rPr>
        <w:t xml:space="preserve"> </w:t>
      </w:r>
      <w:r w:rsidRPr="00B36C5A">
        <w:rPr>
          <w:rFonts w:asciiTheme="minorHAnsi" w:hAnsiTheme="minorHAnsi" w:cstheme="minorHAnsi"/>
        </w:rPr>
        <w:t>contract</w:t>
      </w:r>
      <w:r w:rsidRPr="00B36C5A">
        <w:rPr>
          <w:rFonts w:asciiTheme="minorHAnsi" w:hAnsiTheme="minorHAnsi" w:cstheme="minorHAnsi"/>
          <w:spacing w:val="-10"/>
        </w:rPr>
        <w:t xml:space="preserve"> </w:t>
      </w:r>
      <w:r w:rsidRPr="00B36C5A">
        <w:rPr>
          <w:rFonts w:asciiTheme="minorHAnsi" w:hAnsiTheme="minorHAnsi" w:cstheme="minorHAnsi"/>
        </w:rPr>
        <w:t>performance.</w:t>
      </w:r>
      <w:r w:rsidRPr="00B36C5A">
        <w:rPr>
          <w:rFonts w:asciiTheme="minorHAnsi" w:hAnsiTheme="minorHAnsi" w:cstheme="minorHAnsi"/>
          <w:spacing w:val="-9"/>
        </w:rPr>
        <w:t xml:space="preserve"> </w:t>
      </w:r>
      <w:r w:rsidRPr="00B36C5A">
        <w:rPr>
          <w:rFonts w:asciiTheme="minorHAnsi" w:hAnsiTheme="minorHAnsi" w:cstheme="minorHAnsi"/>
        </w:rPr>
        <w:t>This</w:t>
      </w:r>
      <w:r w:rsidRPr="00B36C5A">
        <w:rPr>
          <w:rFonts w:asciiTheme="minorHAnsi" w:hAnsiTheme="minorHAnsi" w:cstheme="minorHAnsi"/>
          <w:spacing w:val="-12"/>
        </w:rPr>
        <w:t xml:space="preserve"> </w:t>
      </w:r>
      <w:r w:rsidRPr="00B36C5A">
        <w:rPr>
          <w:rFonts w:asciiTheme="minorHAnsi" w:hAnsiTheme="minorHAnsi" w:cstheme="minorHAnsi"/>
        </w:rPr>
        <w:t>supply</w:t>
      </w:r>
      <w:r w:rsidRPr="00B36C5A">
        <w:rPr>
          <w:rFonts w:asciiTheme="minorHAnsi" w:hAnsiTheme="minorHAnsi" w:cstheme="minorHAnsi"/>
          <w:spacing w:val="-11"/>
        </w:rPr>
        <w:t xml:space="preserve"> </w:t>
      </w:r>
      <w:r w:rsidRPr="00B36C5A">
        <w:rPr>
          <w:rFonts w:asciiTheme="minorHAnsi" w:hAnsiTheme="minorHAnsi" w:cstheme="minorHAnsi"/>
        </w:rPr>
        <w:t>category</w:t>
      </w:r>
      <w:r w:rsidRPr="00B36C5A">
        <w:rPr>
          <w:rFonts w:asciiTheme="minorHAnsi" w:hAnsiTheme="minorHAnsi" w:cstheme="minorHAnsi"/>
          <w:spacing w:val="-8"/>
        </w:rPr>
        <w:t xml:space="preserve"> </w:t>
      </w:r>
      <w:r w:rsidRPr="00B36C5A">
        <w:rPr>
          <w:rFonts w:asciiTheme="minorHAnsi" w:hAnsiTheme="minorHAnsi" w:cstheme="minorHAnsi"/>
        </w:rPr>
        <w:t>is</w:t>
      </w:r>
      <w:r w:rsidRPr="00B36C5A">
        <w:rPr>
          <w:rFonts w:asciiTheme="minorHAnsi" w:hAnsiTheme="minorHAnsi" w:cstheme="minorHAnsi"/>
          <w:spacing w:val="-11"/>
        </w:rPr>
        <w:t xml:space="preserve"> </w:t>
      </w:r>
      <w:r w:rsidRPr="00B36C5A">
        <w:rPr>
          <w:rFonts w:asciiTheme="minorHAnsi" w:hAnsiTheme="minorHAnsi" w:cstheme="minorHAnsi"/>
        </w:rPr>
        <w:t>exempt</w:t>
      </w:r>
      <w:r w:rsidRPr="00B36C5A">
        <w:rPr>
          <w:rFonts w:asciiTheme="minorHAnsi" w:hAnsiTheme="minorHAnsi" w:cstheme="minorHAnsi"/>
          <w:spacing w:val="-11"/>
        </w:rPr>
        <w:t xml:space="preserve"> </w:t>
      </w:r>
      <w:r w:rsidRPr="00B36C5A">
        <w:rPr>
          <w:rFonts w:asciiTheme="minorHAnsi" w:hAnsiTheme="minorHAnsi" w:cstheme="minorHAnsi"/>
        </w:rPr>
        <w:t>from</w:t>
      </w:r>
      <w:r w:rsidRPr="00B36C5A">
        <w:rPr>
          <w:rFonts w:asciiTheme="minorHAnsi" w:hAnsiTheme="minorHAnsi" w:cstheme="minorHAnsi"/>
          <w:spacing w:val="-10"/>
        </w:rPr>
        <w:t xml:space="preserve"> </w:t>
      </w:r>
      <w:r w:rsidRPr="00B36C5A">
        <w:rPr>
          <w:rFonts w:asciiTheme="minorHAnsi" w:hAnsiTheme="minorHAnsi" w:cstheme="minorHAnsi"/>
        </w:rPr>
        <w:t>the</w:t>
      </w:r>
      <w:r w:rsidRPr="00B36C5A">
        <w:rPr>
          <w:rFonts w:asciiTheme="minorHAnsi" w:hAnsiTheme="minorHAnsi" w:cstheme="minorHAnsi"/>
          <w:spacing w:val="-13"/>
        </w:rPr>
        <w:t xml:space="preserve"> </w:t>
      </w:r>
      <w:r w:rsidRPr="00B36C5A">
        <w:rPr>
          <w:rFonts w:asciiTheme="minorHAnsi" w:hAnsiTheme="minorHAnsi" w:cstheme="minorHAnsi"/>
        </w:rPr>
        <w:t>minimum</w:t>
      </w:r>
      <w:r w:rsidRPr="00B36C5A">
        <w:rPr>
          <w:rFonts w:asciiTheme="minorHAnsi" w:hAnsiTheme="minorHAnsi" w:cstheme="minorHAnsi"/>
          <w:spacing w:val="-9"/>
        </w:rPr>
        <w:t xml:space="preserve"> </w:t>
      </w:r>
      <w:r w:rsidRPr="00B36C5A">
        <w:rPr>
          <w:rFonts w:asciiTheme="minorHAnsi" w:hAnsiTheme="minorHAnsi" w:cstheme="minorHAnsi"/>
        </w:rPr>
        <w:t xml:space="preserve">quotation </w:t>
      </w:r>
      <w:r w:rsidRPr="00B36C5A">
        <w:rPr>
          <w:rFonts w:asciiTheme="minorHAnsi" w:hAnsiTheme="minorHAnsi" w:cstheme="minorHAnsi"/>
          <w:spacing w:val="-2"/>
        </w:rPr>
        <w:t>requirements.</w:t>
      </w:r>
    </w:p>
    <w:p w14:paraId="1B3990D2" w14:textId="395CDC98" w:rsidR="00E237B8" w:rsidRPr="00B36C5A" w:rsidRDefault="00AD56A7" w:rsidP="00AD56A7">
      <w:pPr>
        <w:pStyle w:val="BodyText"/>
        <w:widowControl w:val="0"/>
        <w:autoSpaceDE w:val="0"/>
        <w:autoSpaceDN w:val="0"/>
        <w:spacing w:before="202" w:after="0"/>
        <w:ind w:left="709" w:right="390" w:hanging="587"/>
        <w:jc w:val="both"/>
        <w:rPr>
          <w:rFonts w:asciiTheme="minorHAnsi" w:hAnsiTheme="minorHAnsi" w:cstheme="minorHAnsi"/>
          <w:b/>
          <w:bCs/>
          <w:spacing w:val="-2"/>
        </w:rPr>
      </w:pPr>
      <w:r>
        <w:rPr>
          <w:rFonts w:asciiTheme="minorHAnsi" w:hAnsiTheme="minorHAnsi" w:cstheme="minorHAnsi"/>
          <w:b/>
          <w:bCs/>
          <w:spacing w:val="-2"/>
        </w:rPr>
        <w:t>6.</w:t>
      </w:r>
      <w:r>
        <w:rPr>
          <w:rFonts w:asciiTheme="minorHAnsi" w:hAnsiTheme="minorHAnsi" w:cstheme="minorHAnsi"/>
          <w:b/>
          <w:bCs/>
          <w:spacing w:val="-2"/>
        </w:rPr>
        <w:tab/>
      </w:r>
      <w:r w:rsidR="00E237B8" w:rsidRPr="00B36C5A">
        <w:rPr>
          <w:rFonts w:asciiTheme="minorHAnsi" w:hAnsiTheme="minorHAnsi" w:cstheme="minorHAnsi"/>
          <w:b/>
          <w:bCs/>
          <w:spacing w:val="-2"/>
        </w:rPr>
        <w:t xml:space="preserve">Specific </w:t>
      </w:r>
      <w:proofErr w:type="spellStart"/>
      <w:r w:rsidR="00E237B8" w:rsidRPr="00B36C5A">
        <w:rPr>
          <w:rFonts w:asciiTheme="minorHAnsi" w:hAnsiTheme="minorHAnsi" w:cstheme="minorHAnsi"/>
          <w:b/>
          <w:bCs/>
          <w:spacing w:val="-2"/>
        </w:rPr>
        <w:t>Organisational</w:t>
      </w:r>
      <w:proofErr w:type="spellEnd"/>
      <w:r w:rsidR="00E237B8" w:rsidRPr="00B36C5A">
        <w:rPr>
          <w:rFonts w:asciiTheme="minorHAnsi" w:hAnsiTheme="minorHAnsi" w:cstheme="minorHAnsi"/>
          <w:b/>
          <w:bCs/>
          <w:spacing w:val="-2"/>
        </w:rPr>
        <w:t xml:space="preserve"> Expertise</w:t>
      </w:r>
    </w:p>
    <w:p w14:paraId="0A759266" w14:textId="77777777" w:rsidR="00E237B8" w:rsidRPr="00B36C5A" w:rsidRDefault="00E237B8" w:rsidP="00AD56A7">
      <w:pPr>
        <w:pStyle w:val="BodyText"/>
        <w:spacing w:after="0"/>
        <w:ind w:left="102" w:right="391"/>
        <w:jc w:val="both"/>
        <w:rPr>
          <w:rFonts w:asciiTheme="minorHAnsi" w:hAnsiTheme="minorHAnsi" w:cstheme="minorHAnsi"/>
          <w:spacing w:val="-2"/>
        </w:rPr>
      </w:pPr>
      <w:r w:rsidRPr="00B36C5A">
        <w:rPr>
          <w:rFonts w:asciiTheme="minorHAnsi" w:hAnsiTheme="minorHAnsi" w:cstheme="minorHAnsi"/>
          <w:spacing w:val="-2"/>
        </w:rPr>
        <w:t xml:space="preserve">The Town of East Fremantle acknowledges that on occasion, contractors may have a unique understanding of Council procedures and/or software obtained through previous experience with the Town.  </w:t>
      </w:r>
    </w:p>
    <w:p w14:paraId="5B7DF8D1" w14:textId="77777777" w:rsidR="00E237B8" w:rsidRPr="00B36C5A" w:rsidRDefault="00E237B8" w:rsidP="00AD56A7">
      <w:pPr>
        <w:pStyle w:val="BodyText"/>
        <w:spacing w:after="0"/>
        <w:ind w:left="102" w:right="391"/>
        <w:jc w:val="both"/>
        <w:rPr>
          <w:rFonts w:asciiTheme="minorHAnsi" w:hAnsiTheme="minorHAnsi" w:cstheme="minorHAnsi"/>
        </w:rPr>
      </w:pPr>
    </w:p>
    <w:p w14:paraId="0ABF58C0" w14:textId="77777777" w:rsidR="00E237B8" w:rsidRPr="00B36C5A" w:rsidRDefault="00E237B8" w:rsidP="00E237B8">
      <w:pPr>
        <w:pStyle w:val="BodyText"/>
        <w:ind w:left="102" w:right="391"/>
        <w:jc w:val="both"/>
        <w:rPr>
          <w:rFonts w:asciiTheme="minorHAnsi" w:hAnsiTheme="minorHAnsi" w:cstheme="minorHAnsi"/>
          <w:spacing w:val="-2"/>
        </w:rPr>
      </w:pPr>
      <w:r w:rsidRPr="00B36C5A">
        <w:rPr>
          <w:rFonts w:asciiTheme="minorHAnsi" w:hAnsiTheme="minorHAnsi" w:cstheme="minorHAnsi"/>
        </w:rPr>
        <w:t xml:space="preserve">In cases where this specific expertise or knowledge of the Council is demonstrated to be beneficial to the Town or provides significant cost savings, purchases may be made from these contractors without obtaining the minimum number of quotations required.  This exception </w:t>
      </w:r>
      <w:proofErr w:type="spellStart"/>
      <w:r w:rsidRPr="00B36C5A">
        <w:rPr>
          <w:rFonts w:asciiTheme="minorHAnsi" w:hAnsiTheme="minorHAnsi" w:cstheme="minorHAnsi"/>
        </w:rPr>
        <w:t>recognises</w:t>
      </w:r>
      <w:proofErr w:type="spellEnd"/>
      <w:r w:rsidRPr="00B36C5A">
        <w:rPr>
          <w:rFonts w:asciiTheme="minorHAnsi" w:hAnsiTheme="minorHAnsi" w:cstheme="minorHAnsi"/>
        </w:rPr>
        <w:t xml:space="preserve"> that such </w:t>
      </w:r>
      <w:proofErr w:type="spellStart"/>
      <w:r w:rsidRPr="00B36C5A">
        <w:rPr>
          <w:rFonts w:asciiTheme="minorHAnsi" w:hAnsiTheme="minorHAnsi" w:cstheme="minorHAnsi"/>
        </w:rPr>
        <w:t>specialised</w:t>
      </w:r>
      <w:proofErr w:type="spellEnd"/>
      <w:r w:rsidRPr="00B36C5A">
        <w:rPr>
          <w:rFonts w:asciiTheme="minorHAnsi" w:hAnsiTheme="minorHAnsi" w:cstheme="minorHAnsi"/>
        </w:rPr>
        <w:t xml:space="preserve"> knowledge and experience may lead to enhanced efficiency, reduced risk, and cost and time savings.  This</w:t>
      </w:r>
      <w:r w:rsidRPr="00B36C5A">
        <w:rPr>
          <w:rFonts w:asciiTheme="minorHAnsi" w:hAnsiTheme="minorHAnsi" w:cstheme="minorHAnsi"/>
          <w:spacing w:val="-12"/>
        </w:rPr>
        <w:t xml:space="preserve"> </w:t>
      </w:r>
      <w:r w:rsidRPr="00B36C5A">
        <w:rPr>
          <w:rFonts w:asciiTheme="minorHAnsi" w:hAnsiTheme="minorHAnsi" w:cstheme="minorHAnsi"/>
        </w:rPr>
        <w:t>supply</w:t>
      </w:r>
      <w:r w:rsidRPr="00B36C5A">
        <w:rPr>
          <w:rFonts w:asciiTheme="minorHAnsi" w:hAnsiTheme="minorHAnsi" w:cstheme="minorHAnsi"/>
          <w:spacing w:val="-11"/>
        </w:rPr>
        <w:t xml:space="preserve"> </w:t>
      </w:r>
      <w:r w:rsidRPr="00B36C5A">
        <w:rPr>
          <w:rFonts w:asciiTheme="minorHAnsi" w:hAnsiTheme="minorHAnsi" w:cstheme="minorHAnsi"/>
        </w:rPr>
        <w:t>category</w:t>
      </w:r>
      <w:r w:rsidRPr="00B36C5A">
        <w:rPr>
          <w:rFonts w:asciiTheme="minorHAnsi" w:hAnsiTheme="minorHAnsi" w:cstheme="minorHAnsi"/>
          <w:spacing w:val="-8"/>
        </w:rPr>
        <w:t xml:space="preserve"> </w:t>
      </w:r>
      <w:r w:rsidRPr="00B36C5A">
        <w:rPr>
          <w:rFonts w:asciiTheme="minorHAnsi" w:hAnsiTheme="minorHAnsi" w:cstheme="minorHAnsi"/>
        </w:rPr>
        <w:t>is</w:t>
      </w:r>
      <w:r w:rsidRPr="00B36C5A">
        <w:rPr>
          <w:rFonts w:asciiTheme="minorHAnsi" w:hAnsiTheme="minorHAnsi" w:cstheme="minorHAnsi"/>
          <w:spacing w:val="-11"/>
        </w:rPr>
        <w:t xml:space="preserve"> </w:t>
      </w:r>
      <w:r w:rsidRPr="00B36C5A">
        <w:rPr>
          <w:rFonts w:asciiTheme="minorHAnsi" w:hAnsiTheme="minorHAnsi" w:cstheme="minorHAnsi"/>
        </w:rPr>
        <w:t>exempt</w:t>
      </w:r>
      <w:r w:rsidRPr="00B36C5A">
        <w:rPr>
          <w:rFonts w:asciiTheme="minorHAnsi" w:hAnsiTheme="minorHAnsi" w:cstheme="minorHAnsi"/>
          <w:spacing w:val="-11"/>
        </w:rPr>
        <w:t xml:space="preserve"> </w:t>
      </w:r>
      <w:r w:rsidRPr="00B36C5A">
        <w:rPr>
          <w:rFonts w:asciiTheme="minorHAnsi" w:hAnsiTheme="minorHAnsi" w:cstheme="minorHAnsi"/>
        </w:rPr>
        <w:t>from</w:t>
      </w:r>
      <w:r w:rsidRPr="00B36C5A">
        <w:rPr>
          <w:rFonts w:asciiTheme="minorHAnsi" w:hAnsiTheme="minorHAnsi" w:cstheme="minorHAnsi"/>
          <w:spacing w:val="-10"/>
        </w:rPr>
        <w:t xml:space="preserve"> </w:t>
      </w:r>
      <w:r w:rsidRPr="00B36C5A">
        <w:rPr>
          <w:rFonts w:asciiTheme="minorHAnsi" w:hAnsiTheme="minorHAnsi" w:cstheme="minorHAnsi"/>
        </w:rPr>
        <w:t>the</w:t>
      </w:r>
      <w:r w:rsidRPr="00B36C5A">
        <w:rPr>
          <w:rFonts w:asciiTheme="minorHAnsi" w:hAnsiTheme="minorHAnsi" w:cstheme="minorHAnsi"/>
          <w:spacing w:val="-13"/>
        </w:rPr>
        <w:t xml:space="preserve"> </w:t>
      </w:r>
      <w:r w:rsidRPr="00B36C5A">
        <w:rPr>
          <w:rFonts w:asciiTheme="minorHAnsi" w:hAnsiTheme="minorHAnsi" w:cstheme="minorHAnsi"/>
        </w:rPr>
        <w:t>minimum</w:t>
      </w:r>
      <w:r w:rsidRPr="00B36C5A">
        <w:rPr>
          <w:rFonts w:asciiTheme="minorHAnsi" w:hAnsiTheme="minorHAnsi" w:cstheme="minorHAnsi"/>
          <w:spacing w:val="-9"/>
        </w:rPr>
        <w:t xml:space="preserve"> </w:t>
      </w:r>
      <w:r w:rsidRPr="00B36C5A">
        <w:rPr>
          <w:rFonts w:asciiTheme="minorHAnsi" w:hAnsiTheme="minorHAnsi" w:cstheme="minorHAnsi"/>
        </w:rPr>
        <w:t xml:space="preserve">quotation </w:t>
      </w:r>
      <w:r w:rsidRPr="00B36C5A">
        <w:rPr>
          <w:rFonts w:asciiTheme="minorHAnsi" w:hAnsiTheme="minorHAnsi" w:cstheme="minorHAnsi"/>
          <w:spacing w:val="-2"/>
        </w:rPr>
        <w:t>requirements.</w:t>
      </w:r>
    </w:p>
    <w:p w14:paraId="7B484726" w14:textId="3E9F665B" w:rsidR="00E237B8" w:rsidRPr="00B36C5A" w:rsidRDefault="00AD56A7" w:rsidP="00AD56A7">
      <w:pPr>
        <w:pStyle w:val="BodyText"/>
        <w:widowControl w:val="0"/>
        <w:autoSpaceDE w:val="0"/>
        <w:autoSpaceDN w:val="0"/>
        <w:spacing w:before="202" w:after="0"/>
        <w:ind w:left="709" w:right="390" w:hanging="587"/>
        <w:jc w:val="both"/>
        <w:rPr>
          <w:rFonts w:asciiTheme="minorHAnsi" w:hAnsiTheme="minorHAnsi" w:cstheme="minorHAnsi"/>
          <w:b/>
          <w:bCs/>
        </w:rPr>
      </w:pPr>
      <w:r>
        <w:rPr>
          <w:rFonts w:asciiTheme="minorHAnsi" w:hAnsiTheme="minorHAnsi" w:cstheme="minorHAnsi"/>
          <w:b/>
          <w:bCs/>
        </w:rPr>
        <w:t>7.</w:t>
      </w:r>
      <w:r>
        <w:rPr>
          <w:rFonts w:asciiTheme="minorHAnsi" w:hAnsiTheme="minorHAnsi" w:cstheme="minorHAnsi"/>
          <w:b/>
          <w:bCs/>
        </w:rPr>
        <w:tab/>
      </w:r>
      <w:r w:rsidR="00E237B8" w:rsidRPr="00B36C5A">
        <w:rPr>
          <w:rFonts w:asciiTheme="minorHAnsi" w:hAnsiTheme="minorHAnsi" w:cstheme="minorHAnsi"/>
          <w:b/>
          <w:bCs/>
        </w:rPr>
        <w:t>Other Exemptions</w:t>
      </w:r>
    </w:p>
    <w:p w14:paraId="1EDE6735" w14:textId="77777777" w:rsidR="00E237B8" w:rsidRPr="00B36C5A" w:rsidRDefault="00E237B8" w:rsidP="00E237B8">
      <w:pPr>
        <w:pStyle w:val="BodyText"/>
        <w:spacing w:before="41"/>
        <w:ind w:left="122" w:right="390"/>
        <w:jc w:val="both"/>
        <w:rPr>
          <w:rFonts w:asciiTheme="minorHAnsi" w:hAnsiTheme="minorHAnsi" w:cstheme="minorHAnsi"/>
        </w:rPr>
      </w:pPr>
      <w:r w:rsidRPr="00B36C5A">
        <w:rPr>
          <w:rFonts w:asciiTheme="minorHAnsi" w:hAnsiTheme="minorHAnsi" w:cstheme="minorHAnsi"/>
        </w:rPr>
        <w:t>The Town is also not required to undertake a competitive procurement process for the following where the total value of Procurement does not exceed $250,000 ex GST over a three-year period:</w:t>
      </w:r>
    </w:p>
    <w:p w14:paraId="4942CF43" w14:textId="77777777" w:rsidR="00E237B8" w:rsidRPr="00B36C5A" w:rsidRDefault="00E237B8" w:rsidP="007B3B6F">
      <w:pPr>
        <w:pStyle w:val="BodyText"/>
        <w:widowControl w:val="0"/>
        <w:numPr>
          <w:ilvl w:val="0"/>
          <w:numId w:val="549"/>
        </w:numPr>
        <w:autoSpaceDE w:val="0"/>
        <w:autoSpaceDN w:val="0"/>
        <w:spacing w:before="41" w:after="0"/>
        <w:ind w:left="567" w:right="390" w:hanging="425"/>
        <w:jc w:val="both"/>
        <w:rPr>
          <w:rFonts w:asciiTheme="minorHAnsi" w:hAnsiTheme="minorHAnsi" w:cstheme="minorHAnsi"/>
        </w:rPr>
      </w:pPr>
      <w:r w:rsidRPr="00B36C5A">
        <w:rPr>
          <w:rFonts w:asciiTheme="minorHAnsi" w:hAnsiTheme="minorHAnsi" w:cstheme="minorHAnsi"/>
        </w:rPr>
        <w:t>annual renewals for software maintenance, support and licensing fees,</w:t>
      </w:r>
    </w:p>
    <w:p w14:paraId="231611A3" w14:textId="77777777" w:rsidR="00E237B8" w:rsidRPr="00B36C5A" w:rsidRDefault="00E237B8" w:rsidP="007B3B6F">
      <w:pPr>
        <w:pStyle w:val="BodyText"/>
        <w:widowControl w:val="0"/>
        <w:numPr>
          <w:ilvl w:val="0"/>
          <w:numId w:val="549"/>
        </w:numPr>
        <w:autoSpaceDE w:val="0"/>
        <w:autoSpaceDN w:val="0"/>
        <w:spacing w:before="41" w:after="0"/>
        <w:ind w:left="567" w:right="390" w:hanging="425"/>
        <w:jc w:val="both"/>
        <w:rPr>
          <w:rFonts w:asciiTheme="minorHAnsi" w:hAnsiTheme="minorHAnsi" w:cstheme="minorHAnsi"/>
        </w:rPr>
      </w:pPr>
      <w:r w:rsidRPr="00B36C5A">
        <w:rPr>
          <w:rFonts w:asciiTheme="minorHAnsi" w:hAnsiTheme="minorHAnsi" w:cstheme="minorHAnsi"/>
        </w:rPr>
        <w:t>engagement of artists or performers,</w:t>
      </w:r>
    </w:p>
    <w:p w14:paraId="20AF5AF5" w14:textId="77777777" w:rsidR="00E237B8" w:rsidRPr="00B36C5A" w:rsidRDefault="00E237B8" w:rsidP="007B3B6F">
      <w:pPr>
        <w:pStyle w:val="BodyText"/>
        <w:widowControl w:val="0"/>
        <w:numPr>
          <w:ilvl w:val="0"/>
          <w:numId w:val="549"/>
        </w:numPr>
        <w:autoSpaceDE w:val="0"/>
        <w:autoSpaceDN w:val="0"/>
        <w:spacing w:before="41" w:after="0"/>
        <w:ind w:left="567" w:right="390" w:hanging="425"/>
        <w:jc w:val="both"/>
        <w:rPr>
          <w:rFonts w:asciiTheme="minorHAnsi" w:hAnsiTheme="minorHAnsi" w:cstheme="minorHAnsi"/>
        </w:rPr>
      </w:pPr>
      <w:r w:rsidRPr="00B36C5A">
        <w:rPr>
          <w:rFonts w:asciiTheme="minorHAnsi" w:hAnsiTheme="minorHAnsi" w:cstheme="minorHAnsi"/>
        </w:rPr>
        <w:t>memberships and subscriptions,</w:t>
      </w:r>
    </w:p>
    <w:p w14:paraId="02411A16" w14:textId="77777777" w:rsidR="00E237B8" w:rsidRPr="00B36C5A" w:rsidRDefault="00E237B8" w:rsidP="007B3B6F">
      <w:pPr>
        <w:pStyle w:val="BodyText"/>
        <w:widowControl w:val="0"/>
        <w:numPr>
          <w:ilvl w:val="0"/>
          <w:numId w:val="549"/>
        </w:numPr>
        <w:autoSpaceDE w:val="0"/>
        <w:autoSpaceDN w:val="0"/>
        <w:spacing w:before="41" w:after="0"/>
        <w:ind w:left="567" w:right="390" w:hanging="425"/>
        <w:jc w:val="both"/>
        <w:rPr>
          <w:rFonts w:asciiTheme="minorHAnsi" w:hAnsiTheme="minorHAnsi" w:cstheme="minorHAnsi"/>
        </w:rPr>
      </w:pPr>
      <w:r w:rsidRPr="00B36C5A">
        <w:rPr>
          <w:rFonts w:asciiTheme="minorHAnsi" w:hAnsiTheme="minorHAnsi" w:cstheme="minorHAnsi"/>
        </w:rPr>
        <w:t>provision of advertising services,</w:t>
      </w:r>
    </w:p>
    <w:p w14:paraId="1692707F" w14:textId="77777777" w:rsidR="00E237B8" w:rsidRPr="00B36C5A" w:rsidRDefault="00E237B8" w:rsidP="007B3B6F">
      <w:pPr>
        <w:pStyle w:val="BodyText"/>
        <w:widowControl w:val="0"/>
        <w:numPr>
          <w:ilvl w:val="0"/>
          <w:numId w:val="549"/>
        </w:numPr>
        <w:autoSpaceDE w:val="0"/>
        <w:autoSpaceDN w:val="0"/>
        <w:spacing w:before="41" w:after="0"/>
        <w:ind w:left="567" w:right="390" w:hanging="425"/>
        <w:jc w:val="both"/>
        <w:rPr>
          <w:rFonts w:asciiTheme="minorHAnsi" w:hAnsiTheme="minorHAnsi" w:cstheme="minorHAnsi"/>
        </w:rPr>
      </w:pPr>
      <w:r w:rsidRPr="00B36C5A">
        <w:rPr>
          <w:rFonts w:asciiTheme="minorHAnsi" w:hAnsiTheme="minorHAnsi" w:cstheme="minorHAnsi"/>
        </w:rPr>
        <w:t>provision of utility services,</w:t>
      </w:r>
    </w:p>
    <w:p w14:paraId="0AF27BF4" w14:textId="77777777" w:rsidR="00E237B8" w:rsidRPr="00B36C5A" w:rsidRDefault="00E237B8" w:rsidP="007B3B6F">
      <w:pPr>
        <w:pStyle w:val="BodyText"/>
        <w:widowControl w:val="0"/>
        <w:numPr>
          <w:ilvl w:val="0"/>
          <w:numId w:val="549"/>
        </w:numPr>
        <w:autoSpaceDE w:val="0"/>
        <w:autoSpaceDN w:val="0"/>
        <w:spacing w:before="41" w:after="0"/>
        <w:ind w:left="567" w:right="390" w:hanging="425"/>
        <w:jc w:val="both"/>
        <w:rPr>
          <w:rFonts w:asciiTheme="minorHAnsi" w:hAnsiTheme="minorHAnsi" w:cstheme="minorHAnsi"/>
        </w:rPr>
      </w:pPr>
      <w:r w:rsidRPr="00B36C5A">
        <w:rPr>
          <w:rFonts w:asciiTheme="minorHAnsi" w:hAnsiTheme="minorHAnsi" w:cstheme="minorHAnsi"/>
        </w:rPr>
        <w:t>provision of software and support by a third-party provider from a software developer that is known to the Town, that demonstrates value for money.</w:t>
      </w:r>
    </w:p>
    <w:p w14:paraId="1389F285" w14:textId="36551FEE" w:rsidR="00E237B8" w:rsidRPr="00C55185" w:rsidRDefault="00E237B8" w:rsidP="00C55185">
      <w:pPr>
        <w:spacing w:before="200" w:after="0"/>
        <w:ind w:left="426" w:hanging="284"/>
        <w:rPr>
          <w:b/>
          <w:bCs/>
          <w:u w:val="single"/>
        </w:rPr>
      </w:pPr>
      <w:r w:rsidRPr="00C55185">
        <w:rPr>
          <w:b/>
          <w:bCs/>
          <w:u w:val="single"/>
        </w:rPr>
        <w:lastRenderedPageBreak/>
        <w:t>Sustainable</w:t>
      </w:r>
      <w:r w:rsidRPr="00C55185">
        <w:rPr>
          <w:b/>
          <w:bCs/>
          <w:spacing w:val="-15"/>
          <w:u w:val="single"/>
        </w:rPr>
        <w:t xml:space="preserve"> </w:t>
      </w:r>
      <w:r w:rsidRPr="00C55185">
        <w:rPr>
          <w:b/>
          <w:bCs/>
          <w:u w:val="single"/>
        </w:rPr>
        <w:t>Procurement</w:t>
      </w:r>
      <w:r w:rsidRPr="00C55185">
        <w:rPr>
          <w:b/>
          <w:bCs/>
          <w:spacing w:val="-12"/>
          <w:u w:val="single"/>
        </w:rPr>
        <w:t xml:space="preserve"> </w:t>
      </w:r>
      <w:r w:rsidRPr="00C55185">
        <w:rPr>
          <w:b/>
          <w:bCs/>
          <w:u w:val="single"/>
        </w:rPr>
        <w:t>and</w:t>
      </w:r>
      <w:r w:rsidRPr="00C55185">
        <w:rPr>
          <w:b/>
          <w:bCs/>
          <w:spacing w:val="-13"/>
          <w:u w:val="single"/>
        </w:rPr>
        <w:t xml:space="preserve"> </w:t>
      </w:r>
      <w:r w:rsidRPr="00C55185">
        <w:rPr>
          <w:b/>
          <w:bCs/>
          <w:u w:val="single"/>
        </w:rPr>
        <w:t>Corporate</w:t>
      </w:r>
      <w:r w:rsidRPr="00C55185">
        <w:rPr>
          <w:b/>
          <w:bCs/>
          <w:spacing w:val="-12"/>
          <w:u w:val="single"/>
        </w:rPr>
        <w:t xml:space="preserve"> </w:t>
      </w:r>
      <w:r w:rsidRPr="00C55185">
        <w:rPr>
          <w:b/>
          <w:bCs/>
          <w:u w:val="single"/>
        </w:rPr>
        <w:t>Social</w:t>
      </w:r>
      <w:r w:rsidRPr="00C55185">
        <w:rPr>
          <w:b/>
          <w:bCs/>
          <w:spacing w:val="-10"/>
          <w:u w:val="single"/>
        </w:rPr>
        <w:t xml:space="preserve"> </w:t>
      </w:r>
      <w:r w:rsidRPr="00C55185">
        <w:rPr>
          <w:b/>
          <w:bCs/>
          <w:spacing w:val="-2"/>
          <w:u w:val="single"/>
        </w:rPr>
        <w:t>Responsibility</w:t>
      </w:r>
    </w:p>
    <w:p w14:paraId="2E29989B" w14:textId="77777777" w:rsidR="00E237B8" w:rsidRPr="00B36C5A" w:rsidRDefault="00E237B8" w:rsidP="00C55185">
      <w:pPr>
        <w:pStyle w:val="BodyText"/>
        <w:spacing w:before="41"/>
        <w:ind w:left="142" w:right="387"/>
        <w:jc w:val="both"/>
        <w:rPr>
          <w:rFonts w:asciiTheme="minorHAnsi" w:hAnsiTheme="minorHAnsi" w:cstheme="minorHAnsi"/>
        </w:rPr>
      </w:pPr>
      <w:r w:rsidRPr="00B36C5A">
        <w:rPr>
          <w:rFonts w:asciiTheme="minorHAnsi" w:hAnsiTheme="minorHAnsi" w:cstheme="minorHAnsi"/>
        </w:rPr>
        <w:t xml:space="preserve">The Town is committed to providing a preference to suppliers that demonstrate sustainable business practices and high levels of corporate social responsibility (CSR). Where appropriate, the Town shall </w:t>
      </w:r>
      <w:proofErr w:type="spellStart"/>
      <w:r w:rsidRPr="00B36C5A">
        <w:rPr>
          <w:rFonts w:asciiTheme="minorHAnsi" w:hAnsiTheme="minorHAnsi" w:cstheme="minorHAnsi"/>
        </w:rPr>
        <w:t>endeavour</w:t>
      </w:r>
      <w:proofErr w:type="spellEnd"/>
      <w:r w:rsidRPr="00B36C5A">
        <w:rPr>
          <w:rFonts w:asciiTheme="minorHAnsi" w:hAnsiTheme="minorHAnsi" w:cstheme="minorHAnsi"/>
          <w:spacing w:val="-8"/>
        </w:rPr>
        <w:t xml:space="preserve"> </w:t>
      </w:r>
      <w:r w:rsidRPr="00B36C5A">
        <w:rPr>
          <w:rFonts w:asciiTheme="minorHAnsi" w:hAnsiTheme="minorHAnsi" w:cstheme="minorHAnsi"/>
        </w:rPr>
        <w:t>to</w:t>
      </w:r>
      <w:r w:rsidRPr="00B36C5A">
        <w:rPr>
          <w:rFonts w:asciiTheme="minorHAnsi" w:hAnsiTheme="minorHAnsi" w:cstheme="minorHAnsi"/>
          <w:spacing w:val="-4"/>
        </w:rPr>
        <w:t xml:space="preserve"> </w:t>
      </w:r>
      <w:r w:rsidRPr="00B36C5A">
        <w:rPr>
          <w:rFonts w:asciiTheme="minorHAnsi" w:hAnsiTheme="minorHAnsi" w:cstheme="minorHAnsi"/>
        </w:rPr>
        <w:t>provide</w:t>
      </w:r>
      <w:r w:rsidRPr="00B36C5A">
        <w:rPr>
          <w:rFonts w:asciiTheme="minorHAnsi" w:hAnsiTheme="minorHAnsi" w:cstheme="minorHAnsi"/>
          <w:spacing w:val="-6"/>
        </w:rPr>
        <w:t xml:space="preserve"> </w:t>
      </w:r>
      <w:r w:rsidRPr="00B36C5A">
        <w:rPr>
          <w:rFonts w:asciiTheme="minorHAnsi" w:hAnsiTheme="minorHAnsi" w:cstheme="minorHAnsi"/>
        </w:rPr>
        <w:t>an</w:t>
      </w:r>
      <w:r w:rsidRPr="00B36C5A">
        <w:rPr>
          <w:rFonts w:asciiTheme="minorHAnsi" w:hAnsiTheme="minorHAnsi" w:cstheme="minorHAnsi"/>
          <w:spacing w:val="-7"/>
        </w:rPr>
        <w:t xml:space="preserve"> </w:t>
      </w:r>
      <w:r w:rsidRPr="00B36C5A">
        <w:rPr>
          <w:rFonts w:asciiTheme="minorHAnsi" w:hAnsiTheme="minorHAnsi" w:cstheme="minorHAnsi"/>
        </w:rPr>
        <w:t>advantage</w:t>
      </w:r>
      <w:r w:rsidRPr="00B36C5A">
        <w:rPr>
          <w:rFonts w:asciiTheme="minorHAnsi" w:hAnsiTheme="minorHAnsi" w:cstheme="minorHAnsi"/>
          <w:spacing w:val="-8"/>
        </w:rPr>
        <w:t xml:space="preserve"> </w:t>
      </w:r>
      <w:r w:rsidRPr="00B36C5A">
        <w:rPr>
          <w:rFonts w:asciiTheme="minorHAnsi" w:hAnsiTheme="minorHAnsi" w:cstheme="minorHAnsi"/>
        </w:rPr>
        <w:t>to</w:t>
      </w:r>
      <w:r w:rsidRPr="00B36C5A">
        <w:rPr>
          <w:rFonts w:asciiTheme="minorHAnsi" w:hAnsiTheme="minorHAnsi" w:cstheme="minorHAnsi"/>
          <w:spacing w:val="-6"/>
        </w:rPr>
        <w:t xml:space="preserve"> </w:t>
      </w:r>
      <w:r w:rsidRPr="00B36C5A">
        <w:rPr>
          <w:rFonts w:asciiTheme="minorHAnsi" w:hAnsiTheme="minorHAnsi" w:cstheme="minorHAnsi"/>
        </w:rPr>
        <w:t>suppliers</w:t>
      </w:r>
      <w:r w:rsidRPr="00B36C5A">
        <w:rPr>
          <w:rFonts w:asciiTheme="minorHAnsi" w:hAnsiTheme="minorHAnsi" w:cstheme="minorHAnsi"/>
          <w:spacing w:val="-6"/>
        </w:rPr>
        <w:t xml:space="preserve"> </w:t>
      </w:r>
      <w:r w:rsidRPr="00B36C5A">
        <w:rPr>
          <w:rFonts w:asciiTheme="minorHAnsi" w:hAnsiTheme="minorHAnsi" w:cstheme="minorHAnsi"/>
        </w:rPr>
        <w:t>demonstrating</w:t>
      </w:r>
      <w:r w:rsidRPr="00B36C5A">
        <w:rPr>
          <w:rFonts w:asciiTheme="minorHAnsi" w:hAnsiTheme="minorHAnsi" w:cstheme="minorHAnsi"/>
          <w:spacing w:val="-13"/>
        </w:rPr>
        <w:t xml:space="preserve"> </w:t>
      </w:r>
      <w:r w:rsidRPr="00B36C5A">
        <w:rPr>
          <w:rFonts w:asciiTheme="minorHAnsi" w:hAnsiTheme="minorHAnsi" w:cstheme="minorHAnsi"/>
        </w:rPr>
        <w:t>that</w:t>
      </w:r>
      <w:r w:rsidRPr="00B36C5A">
        <w:rPr>
          <w:rFonts w:asciiTheme="minorHAnsi" w:hAnsiTheme="minorHAnsi" w:cstheme="minorHAnsi"/>
          <w:spacing w:val="-7"/>
        </w:rPr>
        <w:t xml:space="preserve"> </w:t>
      </w:r>
      <w:r w:rsidRPr="00B36C5A">
        <w:rPr>
          <w:rFonts w:asciiTheme="minorHAnsi" w:hAnsiTheme="minorHAnsi" w:cstheme="minorHAnsi"/>
        </w:rPr>
        <w:t>they</w:t>
      </w:r>
      <w:r w:rsidRPr="00B36C5A">
        <w:rPr>
          <w:rFonts w:asciiTheme="minorHAnsi" w:hAnsiTheme="minorHAnsi" w:cstheme="minorHAnsi"/>
          <w:spacing w:val="-6"/>
        </w:rPr>
        <w:t xml:space="preserve"> </w:t>
      </w:r>
      <w:proofErr w:type="spellStart"/>
      <w:r w:rsidRPr="00B36C5A">
        <w:rPr>
          <w:rFonts w:asciiTheme="minorHAnsi" w:hAnsiTheme="minorHAnsi" w:cstheme="minorHAnsi"/>
        </w:rPr>
        <w:t>minimise</w:t>
      </w:r>
      <w:proofErr w:type="spellEnd"/>
      <w:r w:rsidRPr="00B36C5A">
        <w:rPr>
          <w:rFonts w:asciiTheme="minorHAnsi" w:hAnsiTheme="minorHAnsi" w:cstheme="minorHAnsi"/>
          <w:spacing w:val="-6"/>
        </w:rPr>
        <w:t xml:space="preserve"> </w:t>
      </w:r>
      <w:r w:rsidRPr="00B36C5A">
        <w:rPr>
          <w:rFonts w:asciiTheme="minorHAnsi" w:hAnsiTheme="minorHAnsi" w:cstheme="minorHAnsi"/>
        </w:rPr>
        <w:t>environmental</w:t>
      </w:r>
      <w:r w:rsidRPr="00B36C5A">
        <w:rPr>
          <w:rFonts w:asciiTheme="minorHAnsi" w:hAnsiTheme="minorHAnsi" w:cstheme="minorHAnsi"/>
          <w:spacing w:val="-6"/>
        </w:rPr>
        <w:t xml:space="preserve"> </w:t>
      </w:r>
      <w:r w:rsidRPr="00B36C5A">
        <w:rPr>
          <w:rFonts w:asciiTheme="minorHAnsi" w:hAnsiTheme="minorHAnsi" w:cstheme="minorHAnsi"/>
        </w:rPr>
        <w:t>and negative social impacts and embrace CSR. Sustainable and CSR considerations must be balanced against value for money outcomes in accordance with the Town’s sustainability objectives.</w:t>
      </w:r>
    </w:p>
    <w:p w14:paraId="0CD0464F" w14:textId="77777777" w:rsidR="00E237B8" w:rsidRPr="00B36C5A" w:rsidRDefault="00E237B8" w:rsidP="00C55185">
      <w:pPr>
        <w:pStyle w:val="BodyText"/>
        <w:spacing w:before="201"/>
        <w:ind w:left="142" w:right="485"/>
        <w:jc w:val="both"/>
        <w:rPr>
          <w:rFonts w:asciiTheme="minorHAnsi" w:hAnsiTheme="minorHAnsi" w:cstheme="minorHAnsi"/>
        </w:rPr>
      </w:pPr>
      <w:r w:rsidRPr="00B36C5A">
        <w:rPr>
          <w:rFonts w:asciiTheme="minorHAnsi" w:hAnsiTheme="minorHAnsi" w:cstheme="minorHAnsi"/>
        </w:rPr>
        <w:t>For formal procurement decisions, the Town may weight sustainability up to a total of 20%, with a maximum of 10% able to be assigned for any one of the following elements:</w:t>
      </w:r>
    </w:p>
    <w:p w14:paraId="2D25E991" w14:textId="77777777" w:rsidR="00E237B8" w:rsidRPr="00B36C5A" w:rsidRDefault="00E237B8" w:rsidP="007B3B6F">
      <w:pPr>
        <w:pStyle w:val="ListParagraph"/>
        <w:widowControl w:val="0"/>
        <w:numPr>
          <w:ilvl w:val="0"/>
          <w:numId w:val="538"/>
        </w:numPr>
        <w:tabs>
          <w:tab w:val="left" w:pos="818"/>
        </w:tabs>
        <w:autoSpaceDE w:val="0"/>
        <w:autoSpaceDN w:val="0"/>
        <w:spacing w:before="202" w:after="0" w:line="240" w:lineRule="auto"/>
        <w:ind w:left="818" w:hanging="358"/>
        <w:contextualSpacing w:val="0"/>
        <w:rPr>
          <w:rFonts w:cstheme="minorHAnsi"/>
          <w:b/>
          <w:bCs/>
        </w:rPr>
      </w:pPr>
      <w:r w:rsidRPr="00B36C5A">
        <w:rPr>
          <w:rFonts w:cstheme="minorHAnsi"/>
          <w:b/>
          <w:bCs/>
          <w:spacing w:val="-2"/>
        </w:rPr>
        <w:t>Environmental</w:t>
      </w:r>
    </w:p>
    <w:p w14:paraId="227E213D" w14:textId="77777777" w:rsidR="00E237B8" w:rsidRPr="00B36C5A" w:rsidRDefault="00E237B8" w:rsidP="00E237B8">
      <w:pPr>
        <w:pStyle w:val="BodyText"/>
        <w:spacing w:before="41"/>
        <w:ind w:left="820" w:right="386"/>
        <w:jc w:val="both"/>
        <w:rPr>
          <w:rFonts w:asciiTheme="minorHAnsi" w:hAnsiTheme="minorHAnsi" w:cstheme="minorHAnsi"/>
        </w:rPr>
      </w:pPr>
      <w:r w:rsidRPr="00B36C5A">
        <w:rPr>
          <w:rFonts w:asciiTheme="minorHAnsi" w:hAnsiTheme="minorHAnsi" w:cstheme="minorHAnsi"/>
        </w:rPr>
        <w:t>Procurement</w:t>
      </w:r>
      <w:r w:rsidRPr="00B36C5A">
        <w:rPr>
          <w:rFonts w:asciiTheme="minorHAnsi" w:hAnsiTheme="minorHAnsi" w:cstheme="minorHAnsi"/>
          <w:spacing w:val="-7"/>
        </w:rPr>
        <w:t xml:space="preserve"> </w:t>
      </w:r>
      <w:r w:rsidRPr="00B36C5A">
        <w:rPr>
          <w:rFonts w:asciiTheme="minorHAnsi" w:hAnsiTheme="minorHAnsi" w:cstheme="minorHAnsi"/>
        </w:rPr>
        <w:t>that</w:t>
      </w:r>
      <w:r w:rsidRPr="00B36C5A">
        <w:rPr>
          <w:rFonts w:asciiTheme="minorHAnsi" w:hAnsiTheme="minorHAnsi" w:cstheme="minorHAnsi"/>
          <w:spacing w:val="-7"/>
        </w:rPr>
        <w:t xml:space="preserve"> </w:t>
      </w:r>
      <w:proofErr w:type="spellStart"/>
      <w:r w:rsidRPr="00B36C5A">
        <w:rPr>
          <w:rFonts w:asciiTheme="minorHAnsi" w:hAnsiTheme="minorHAnsi" w:cstheme="minorHAnsi"/>
        </w:rPr>
        <w:t>minimises</w:t>
      </w:r>
      <w:proofErr w:type="spellEnd"/>
      <w:r w:rsidRPr="00B36C5A">
        <w:rPr>
          <w:rFonts w:asciiTheme="minorHAnsi" w:hAnsiTheme="minorHAnsi" w:cstheme="minorHAnsi"/>
          <w:spacing w:val="-2"/>
        </w:rPr>
        <w:t xml:space="preserve"> </w:t>
      </w:r>
      <w:r w:rsidRPr="00B36C5A">
        <w:rPr>
          <w:rFonts w:asciiTheme="minorHAnsi" w:hAnsiTheme="minorHAnsi" w:cstheme="minorHAnsi"/>
        </w:rPr>
        <w:t>unnecessary resource</w:t>
      </w:r>
      <w:r w:rsidRPr="00B36C5A">
        <w:rPr>
          <w:rFonts w:asciiTheme="minorHAnsi" w:hAnsiTheme="minorHAnsi" w:cstheme="minorHAnsi"/>
          <w:spacing w:val="-4"/>
        </w:rPr>
        <w:t xml:space="preserve"> </w:t>
      </w:r>
      <w:r w:rsidRPr="00B36C5A">
        <w:rPr>
          <w:rFonts w:asciiTheme="minorHAnsi" w:hAnsiTheme="minorHAnsi" w:cstheme="minorHAnsi"/>
        </w:rPr>
        <w:t>consumption,</w:t>
      </w:r>
      <w:r w:rsidRPr="00B36C5A">
        <w:rPr>
          <w:rFonts w:asciiTheme="minorHAnsi" w:hAnsiTheme="minorHAnsi" w:cstheme="minorHAnsi"/>
          <w:spacing w:val="-7"/>
        </w:rPr>
        <w:t xml:space="preserve"> </w:t>
      </w:r>
      <w:r w:rsidRPr="00B36C5A">
        <w:rPr>
          <w:rFonts w:asciiTheme="minorHAnsi" w:hAnsiTheme="minorHAnsi" w:cstheme="minorHAnsi"/>
        </w:rPr>
        <w:t>considers</w:t>
      </w:r>
      <w:r w:rsidRPr="00B36C5A">
        <w:rPr>
          <w:rFonts w:asciiTheme="minorHAnsi" w:hAnsiTheme="minorHAnsi" w:cstheme="minorHAnsi"/>
          <w:spacing w:val="-6"/>
        </w:rPr>
        <w:t xml:space="preserve"> </w:t>
      </w:r>
      <w:r w:rsidRPr="00B36C5A">
        <w:rPr>
          <w:rFonts w:asciiTheme="minorHAnsi" w:hAnsiTheme="minorHAnsi" w:cstheme="minorHAnsi"/>
        </w:rPr>
        <w:t>whole</w:t>
      </w:r>
      <w:r w:rsidRPr="00B36C5A">
        <w:rPr>
          <w:rFonts w:asciiTheme="minorHAnsi" w:hAnsiTheme="minorHAnsi" w:cstheme="minorHAnsi"/>
          <w:spacing w:val="-9"/>
        </w:rPr>
        <w:t xml:space="preserve"> </w:t>
      </w:r>
      <w:r w:rsidRPr="00B36C5A">
        <w:rPr>
          <w:rFonts w:asciiTheme="minorHAnsi" w:hAnsiTheme="minorHAnsi" w:cstheme="minorHAnsi"/>
        </w:rPr>
        <w:t>of</w:t>
      </w:r>
      <w:r w:rsidRPr="00B36C5A">
        <w:rPr>
          <w:rFonts w:asciiTheme="minorHAnsi" w:hAnsiTheme="minorHAnsi" w:cstheme="minorHAnsi"/>
          <w:spacing w:val="-3"/>
        </w:rPr>
        <w:t xml:space="preserve"> </w:t>
      </w:r>
      <w:r w:rsidRPr="00B36C5A">
        <w:rPr>
          <w:rFonts w:asciiTheme="minorHAnsi" w:hAnsiTheme="minorHAnsi" w:cstheme="minorHAnsi"/>
        </w:rPr>
        <w:t>life</w:t>
      </w:r>
      <w:r w:rsidRPr="00B36C5A">
        <w:rPr>
          <w:rFonts w:asciiTheme="minorHAnsi" w:hAnsiTheme="minorHAnsi" w:cstheme="minorHAnsi"/>
          <w:spacing w:val="-7"/>
        </w:rPr>
        <w:t xml:space="preserve"> </w:t>
      </w:r>
      <w:r w:rsidRPr="00B36C5A">
        <w:rPr>
          <w:rFonts w:asciiTheme="minorHAnsi" w:hAnsiTheme="minorHAnsi" w:cstheme="minorHAnsi"/>
        </w:rPr>
        <w:t>costs and delivers beneficial environmental economic outcomes is encouraged.</w:t>
      </w:r>
    </w:p>
    <w:p w14:paraId="5BCDF886" w14:textId="77777777" w:rsidR="00E237B8" w:rsidRPr="00B36C5A" w:rsidRDefault="00E237B8" w:rsidP="00E237B8">
      <w:pPr>
        <w:pStyle w:val="BodyText"/>
        <w:spacing w:before="200"/>
        <w:ind w:left="820" w:right="393"/>
        <w:jc w:val="both"/>
        <w:rPr>
          <w:rFonts w:asciiTheme="minorHAnsi" w:hAnsiTheme="minorHAnsi" w:cstheme="minorHAnsi"/>
        </w:rPr>
      </w:pPr>
      <w:r w:rsidRPr="00B36C5A">
        <w:rPr>
          <w:rFonts w:asciiTheme="minorHAnsi" w:hAnsiTheme="minorHAnsi" w:cstheme="minorHAnsi"/>
        </w:rPr>
        <w:t>The Town will support the purchasing of recycled and environmentally sustainable products whenever a value for money assessment demonstrates benefit toward achieving the Town’s strategic and operational objectives.</w:t>
      </w:r>
    </w:p>
    <w:p w14:paraId="07C424F1" w14:textId="77777777" w:rsidR="00E237B8" w:rsidRPr="00B36C5A" w:rsidRDefault="00E237B8" w:rsidP="00E237B8">
      <w:pPr>
        <w:pStyle w:val="BodyText"/>
        <w:spacing w:before="200"/>
        <w:ind w:left="820"/>
        <w:rPr>
          <w:rFonts w:asciiTheme="minorHAnsi" w:hAnsiTheme="minorHAnsi" w:cstheme="minorHAnsi"/>
        </w:rPr>
      </w:pPr>
      <w:r w:rsidRPr="00B36C5A">
        <w:rPr>
          <w:rFonts w:asciiTheme="minorHAnsi" w:hAnsiTheme="minorHAnsi" w:cstheme="minorHAnsi"/>
        </w:rPr>
        <w:t>Qualitative</w:t>
      </w:r>
      <w:r w:rsidRPr="00B36C5A">
        <w:rPr>
          <w:rFonts w:asciiTheme="minorHAnsi" w:hAnsiTheme="minorHAnsi" w:cstheme="minorHAnsi"/>
          <w:spacing w:val="-11"/>
        </w:rPr>
        <w:t xml:space="preserve"> </w:t>
      </w:r>
      <w:r w:rsidRPr="00B36C5A">
        <w:rPr>
          <w:rFonts w:asciiTheme="minorHAnsi" w:hAnsiTheme="minorHAnsi" w:cstheme="minorHAnsi"/>
        </w:rPr>
        <w:t>weighted</w:t>
      </w:r>
      <w:r w:rsidRPr="00B36C5A">
        <w:rPr>
          <w:rFonts w:asciiTheme="minorHAnsi" w:hAnsiTheme="minorHAnsi" w:cstheme="minorHAnsi"/>
          <w:spacing w:val="-11"/>
        </w:rPr>
        <w:t xml:space="preserve"> </w:t>
      </w:r>
      <w:r w:rsidRPr="00B36C5A">
        <w:rPr>
          <w:rFonts w:asciiTheme="minorHAnsi" w:hAnsiTheme="minorHAnsi" w:cstheme="minorHAnsi"/>
        </w:rPr>
        <w:t>selection</w:t>
      </w:r>
      <w:r w:rsidRPr="00B36C5A">
        <w:rPr>
          <w:rFonts w:asciiTheme="minorHAnsi" w:hAnsiTheme="minorHAnsi" w:cstheme="minorHAnsi"/>
          <w:spacing w:val="-11"/>
        </w:rPr>
        <w:t xml:space="preserve"> </w:t>
      </w:r>
      <w:r w:rsidRPr="00B36C5A">
        <w:rPr>
          <w:rFonts w:asciiTheme="minorHAnsi" w:hAnsiTheme="minorHAnsi" w:cstheme="minorHAnsi"/>
        </w:rPr>
        <w:t>criteria</w:t>
      </w:r>
      <w:r w:rsidRPr="00B36C5A">
        <w:rPr>
          <w:rFonts w:asciiTheme="minorHAnsi" w:hAnsiTheme="minorHAnsi" w:cstheme="minorHAnsi"/>
          <w:spacing w:val="-13"/>
        </w:rPr>
        <w:t xml:space="preserve"> </w:t>
      </w:r>
      <w:r w:rsidRPr="00B36C5A">
        <w:rPr>
          <w:rFonts w:asciiTheme="minorHAnsi" w:hAnsiTheme="minorHAnsi" w:cstheme="minorHAnsi"/>
        </w:rPr>
        <w:t>will</w:t>
      </w:r>
      <w:r w:rsidRPr="00B36C5A">
        <w:rPr>
          <w:rFonts w:asciiTheme="minorHAnsi" w:hAnsiTheme="minorHAnsi" w:cstheme="minorHAnsi"/>
          <w:spacing w:val="-11"/>
        </w:rPr>
        <w:t xml:space="preserve"> </w:t>
      </w:r>
      <w:r w:rsidRPr="00B36C5A">
        <w:rPr>
          <w:rFonts w:asciiTheme="minorHAnsi" w:hAnsiTheme="minorHAnsi" w:cstheme="minorHAnsi"/>
        </w:rPr>
        <w:t>be</w:t>
      </w:r>
      <w:r w:rsidRPr="00B36C5A">
        <w:rPr>
          <w:rFonts w:asciiTheme="minorHAnsi" w:hAnsiTheme="minorHAnsi" w:cstheme="minorHAnsi"/>
          <w:spacing w:val="-10"/>
        </w:rPr>
        <w:t xml:space="preserve"> </w:t>
      </w:r>
      <w:r w:rsidRPr="00B36C5A">
        <w:rPr>
          <w:rFonts w:asciiTheme="minorHAnsi" w:hAnsiTheme="minorHAnsi" w:cstheme="minorHAnsi"/>
        </w:rPr>
        <w:t>used</w:t>
      </w:r>
      <w:r w:rsidRPr="00B36C5A">
        <w:rPr>
          <w:rFonts w:asciiTheme="minorHAnsi" w:hAnsiTheme="minorHAnsi" w:cstheme="minorHAnsi"/>
          <w:spacing w:val="-11"/>
        </w:rPr>
        <w:t xml:space="preserve"> </w:t>
      </w:r>
      <w:r w:rsidRPr="00B36C5A">
        <w:rPr>
          <w:rFonts w:asciiTheme="minorHAnsi" w:hAnsiTheme="minorHAnsi" w:cstheme="minorHAnsi"/>
        </w:rPr>
        <w:t>in</w:t>
      </w:r>
      <w:r w:rsidRPr="00B36C5A">
        <w:rPr>
          <w:rFonts w:asciiTheme="minorHAnsi" w:hAnsiTheme="minorHAnsi" w:cstheme="minorHAnsi"/>
          <w:spacing w:val="-12"/>
        </w:rPr>
        <w:t xml:space="preserve"> </w:t>
      </w:r>
      <w:r w:rsidRPr="00B36C5A">
        <w:rPr>
          <w:rFonts w:asciiTheme="minorHAnsi" w:hAnsiTheme="minorHAnsi" w:cstheme="minorHAnsi"/>
        </w:rPr>
        <w:t>the</w:t>
      </w:r>
      <w:r w:rsidRPr="00B36C5A">
        <w:rPr>
          <w:rFonts w:asciiTheme="minorHAnsi" w:hAnsiTheme="minorHAnsi" w:cstheme="minorHAnsi"/>
          <w:spacing w:val="-10"/>
        </w:rPr>
        <w:t xml:space="preserve"> </w:t>
      </w:r>
      <w:r w:rsidRPr="00B36C5A">
        <w:rPr>
          <w:rFonts w:asciiTheme="minorHAnsi" w:hAnsiTheme="minorHAnsi" w:cstheme="minorHAnsi"/>
        </w:rPr>
        <w:t>evaluation</w:t>
      </w:r>
      <w:r w:rsidRPr="00B36C5A">
        <w:rPr>
          <w:rFonts w:asciiTheme="minorHAnsi" w:hAnsiTheme="minorHAnsi" w:cstheme="minorHAnsi"/>
          <w:spacing w:val="-11"/>
        </w:rPr>
        <w:t xml:space="preserve"> </w:t>
      </w:r>
      <w:r w:rsidRPr="00B36C5A">
        <w:rPr>
          <w:rFonts w:asciiTheme="minorHAnsi" w:hAnsiTheme="minorHAnsi" w:cstheme="minorHAnsi"/>
        </w:rPr>
        <w:t>of</w:t>
      </w:r>
      <w:r w:rsidRPr="00B36C5A">
        <w:rPr>
          <w:rFonts w:asciiTheme="minorHAnsi" w:hAnsiTheme="minorHAnsi" w:cstheme="minorHAnsi"/>
          <w:spacing w:val="-11"/>
        </w:rPr>
        <w:t xml:space="preserve"> </w:t>
      </w:r>
      <w:r w:rsidRPr="00B36C5A">
        <w:rPr>
          <w:rFonts w:asciiTheme="minorHAnsi" w:hAnsiTheme="minorHAnsi" w:cstheme="minorHAnsi"/>
        </w:rPr>
        <w:t>Requests</w:t>
      </w:r>
      <w:r w:rsidRPr="00B36C5A">
        <w:rPr>
          <w:rFonts w:asciiTheme="minorHAnsi" w:hAnsiTheme="minorHAnsi" w:cstheme="minorHAnsi"/>
          <w:spacing w:val="-10"/>
        </w:rPr>
        <w:t xml:space="preserve"> </w:t>
      </w:r>
      <w:r w:rsidRPr="00B36C5A">
        <w:rPr>
          <w:rFonts w:asciiTheme="minorHAnsi" w:hAnsiTheme="minorHAnsi" w:cstheme="minorHAnsi"/>
        </w:rPr>
        <w:t>for</w:t>
      </w:r>
      <w:r w:rsidRPr="00B36C5A">
        <w:rPr>
          <w:rFonts w:asciiTheme="minorHAnsi" w:hAnsiTheme="minorHAnsi" w:cstheme="minorHAnsi"/>
          <w:spacing w:val="-11"/>
        </w:rPr>
        <w:t xml:space="preserve"> </w:t>
      </w:r>
      <w:r w:rsidRPr="00B36C5A">
        <w:rPr>
          <w:rFonts w:asciiTheme="minorHAnsi" w:hAnsiTheme="minorHAnsi" w:cstheme="minorHAnsi"/>
        </w:rPr>
        <w:t>Quote</w:t>
      </w:r>
      <w:r w:rsidRPr="00B36C5A">
        <w:rPr>
          <w:rFonts w:asciiTheme="minorHAnsi" w:hAnsiTheme="minorHAnsi" w:cstheme="minorHAnsi"/>
          <w:spacing w:val="-6"/>
        </w:rPr>
        <w:t xml:space="preserve"> </w:t>
      </w:r>
      <w:r w:rsidRPr="00B36C5A">
        <w:rPr>
          <w:rFonts w:asciiTheme="minorHAnsi" w:hAnsiTheme="minorHAnsi" w:cstheme="minorHAnsi"/>
        </w:rPr>
        <w:t>and Tenders to provide advantages to suppliers which:</w:t>
      </w:r>
    </w:p>
    <w:p w14:paraId="0AC9F97C" w14:textId="77777777" w:rsidR="00E237B8" w:rsidRDefault="00E237B8" w:rsidP="007B3B6F">
      <w:pPr>
        <w:pStyle w:val="ListParagraph"/>
        <w:widowControl w:val="0"/>
        <w:numPr>
          <w:ilvl w:val="1"/>
          <w:numId w:val="538"/>
        </w:numPr>
        <w:tabs>
          <w:tab w:val="left" w:pos="1178"/>
          <w:tab w:val="left" w:pos="1180"/>
        </w:tabs>
        <w:autoSpaceDE w:val="0"/>
        <w:autoSpaceDN w:val="0"/>
        <w:spacing w:before="120" w:after="0" w:line="271" w:lineRule="auto"/>
        <w:ind w:right="484"/>
        <w:contextualSpacing w:val="0"/>
      </w:pPr>
      <w:r>
        <w:t xml:space="preserve">demonstrate policies and practices that have been implemented by the business as part of its </w:t>
      </w:r>
      <w:proofErr w:type="gramStart"/>
      <w:r>
        <w:t>operations;</w:t>
      </w:r>
      <w:proofErr w:type="gramEnd"/>
    </w:p>
    <w:p w14:paraId="0174CBEA" w14:textId="77777777" w:rsidR="00E237B8" w:rsidRDefault="00E237B8" w:rsidP="007B3B6F">
      <w:pPr>
        <w:pStyle w:val="ListParagraph"/>
        <w:widowControl w:val="0"/>
        <w:numPr>
          <w:ilvl w:val="1"/>
          <w:numId w:val="538"/>
        </w:numPr>
        <w:tabs>
          <w:tab w:val="left" w:pos="1177"/>
          <w:tab w:val="left" w:pos="1180"/>
        </w:tabs>
        <w:autoSpaceDE w:val="0"/>
        <w:autoSpaceDN w:val="0"/>
        <w:spacing w:before="8" w:after="0"/>
        <w:ind w:right="390"/>
        <w:contextualSpacing w:val="0"/>
      </w:pPr>
      <w:r>
        <w:t>generate</w:t>
      </w:r>
      <w:r>
        <w:rPr>
          <w:spacing w:val="28"/>
        </w:rPr>
        <w:t xml:space="preserve"> </w:t>
      </w:r>
      <w:r>
        <w:t>less</w:t>
      </w:r>
      <w:r>
        <w:rPr>
          <w:spacing w:val="26"/>
        </w:rPr>
        <w:t xml:space="preserve"> </w:t>
      </w:r>
      <w:r>
        <w:t>waste</w:t>
      </w:r>
      <w:r>
        <w:rPr>
          <w:spacing w:val="26"/>
        </w:rPr>
        <w:t xml:space="preserve"> </w:t>
      </w:r>
      <w:r>
        <w:t>material</w:t>
      </w:r>
      <w:r>
        <w:rPr>
          <w:spacing w:val="27"/>
        </w:rPr>
        <w:t xml:space="preserve"> </w:t>
      </w:r>
      <w:r>
        <w:t>by</w:t>
      </w:r>
      <w:r>
        <w:rPr>
          <w:spacing w:val="29"/>
        </w:rPr>
        <w:t xml:space="preserve"> </w:t>
      </w:r>
      <w:r>
        <w:t>reviewing</w:t>
      </w:r>
      <w:r>
        <w:rPr>
          <w:spacing w:val="26"/>
        </w:rPr>
        <w:t xml:space="preserve"> </w:t>
      </w:r>
      <w:r>
        <w:t>how</w:t>
      </w:r>
      <w:r>
        <w:rPr>
          <w:spacing w:val="29"/>
        </w:rPr>
        <w:t xml:space="preserve"> </w:t>
      </w:r>
      <w:r>
        <w:t>supplies,</w:t>
      </w:r>
      <w:r>
        <w:rPr>
          <w:spacing w:val="29"/>
        </w:rPr>
        <w:t xml:space="preserve"> </w:t>
      </w:r>
      <w:r>
        <w:t>materials</w:t>
      </w:r>
      <w:r>
        <w:rPr>
          <w:spacing w:val="28"/>
        </w:rPr>
        <w:t xml:space="preserve"> </w:t>
      </w:r>
      <w:r>
        <w:t>and</w:t>
      </w:r>
      <w:r>
        <w:rPr>
          <w:spacing w:val="27"/>
        </w:rPr>
        <w:t xml:space="preserve"> </w:t>
      </w:r>
      <w:r>
        <w:t>equipment</w:t>
      </w:r>
      <w:r>
        <w:rPr>
          <w:spacing w:val="29"/>
        </w:rPr>
        <w:t xml:space="preserve"> </w:t>
      </w:r>
      <w:r>
        <w:t>are manufactured, purchased, packaged, delivered, used and disposed; and</w:t>
      </w:r>
    </w:p>
    <w:p w14:paraId="78BF7685" w14:textId="77777777" w:rsidR="00E237B8" w:rsidRDefault="00E237B8" w:rsidP="007B3B6F">
      <w:pPr>
        <w:pStyle w:val="ListParagraph"/>
        <w:widowControl w:val="0"/>
        <w:numPr>
          <w:ilvl w:val="1"/>
          <w:numId w:val="538"/>
        </w:numPr>
        <w:tabs>
          <w:tab w:val="left" w:pos="1173"/>
          <w:tab w:val="left" w:pos="1175"/>
          <w:tab w:val="left" w:pos="2367"/>
          <w:tab w:val="left" w:pos="3147"/>
          <w:tab w:val="left" w:pos="4430"/>
          <w:tab w:val="left" w:pos="5519"/>
          <w:tab w:val="left" w:pos="6409"/>
          <w:tab w:val="left" w:pos="7846"/>
          <w:tab w:val="left" w:pos="8426"/>
          <w:tab w:val="left" w:pos="8986"/>
        </w:tabs>
        <w:autoSpaceDE w:val="0"/>
        <w:autoSpaceDN w:val="0"/>
        <w:spacing w:before="2" w:after="0" w:line="273" w:lineRule="auto"/>
        <w:ind w:left="1175" w:right="398" w:hanging="356"/>
        <w:contextualSpacing w:val="0"/>
      </w:pPr>
      <w:r>
        <w:rPr>
          <w:spacing w:val="-2"/>
        </w:rPr>
        <w:t xml:space="preserve">encourage </w:t>
      </w:r>
      <w:r>
        <w:rPr>
          <w:spacing w:val="-4"/>
        </w:rPr>
        <w:t xml:space="preserve">waste </w:t>
      </w:r>
      <w:r>
        <w:rPr>
          <w:spacing w:val="-2"/>
        </w:rPr>
        <w:t xml:space="preserve">prevention, recycling, market development </w:t>
      </w:r>
      <w:r>
        <w:rPr>
          <w:spacing w:val="-4"/>
        </w:rPr>
        <w:t xml:space="preserve">and use </w:t>
      </w:r>
      <w:r>
        <w:rPr>
          <w:spacing w:val="-6"/>
        </w:rPr>
        <w:t xml:space="preserve">of </w:t>
      </w:r>
      <w:r>
        <w:t>recycled/recyclable materials.</w:t>
      </w:r>
    </w:p>
    <w:p w14:paraId="6432B417" w14:textId="77777777" w:rsidR="00E237B8" w:rsidRPr="003E411D" w:rsidRDefault="00E237B8" w:rsidP="007B3B6F">
      <w:pPr>
        <w:pStyle w:val="ListParagraph"/>
        <w:widowControl w:val="0"/>
        <w:numPr>
          <w:ilvl w:val="0"/>
          <w:numId w:val="538"/>
        </w:numPr>
        <w:tabs>
          <w:tab w:val="left" w:pos="818"/>
        </w:tabs>
        <w:autoSpaceDE w:val="0"/>
        <w:autoSpaceDN w:val="0"/>
        <w:spacing w:before="204" w:after="0" w:line="240" w:lineRule="auto"/>
        <w:ind w:left="818" w:hanging="358"/>
        <w:contextualSpacing w:val="0"/>
        <w:rPr>
          <w:b/>
          <w:bCs/>
        </w:rPr>
      </w:pPr>
      <w:r w:rsidRPr="003E411D">
        <w:rPr>
          <w:b/>
          <w:bCs/>
          <w:spacing w:val="-2"/>
        </w:rPr>
        <w:t>Social</w:t>
      </w:r>
    </w:p>
    <w:p w14:paraId="0833D1C4" w14:textId="77777777" w:rsidR="00E237B8" w:rsidRPr="0063107B" w:rsidRDefault="00E237B8" w:rsidP="0063107B">
      <w:pPr>
        <w:pStyle w:val="BodyText"/>
        <w:spacing w:after="0"/>
        <w:ind w:left="820"/>
        <w:rPr>
          <w:rFonts w:asciiTheme="minorHAnsi" w:hAnsiTheme="minorHAnsi" w:cstheme="minorHAnsi"/>
        </w:rPr>
      </w:pPr>
      <w:r w:rsidRPr="0063107B">
        <w:rPr>
          <w:rFonts w:asciiTheme="minorHAnsi" w:hAnsiTheme="minorHAnsi" w:cstheme="minorHAnsi"/>
        </w:rPr>
        <w:t>Procurement</w:t>
      </w:r>
      <w:r w:rsidRPr="0063107B">
        <w:rPr>
          <w:rFonts w:asciiTheme="minorHAnsi" w:hAnsiTheme="minorHAnsi" w:cstheme="minorHAnsi"/>
          <w:spacing w:val="80"/>
        </w:rPr>
        <w:t xml:space="preserve"> </w:t>
      </w:r>
      <w:r w:rsidRPr="0063107B">
        <w:rPr>
          <w:rFonts w:asciiTheme="minorHAnsi" w:hAnsiTheme="minorHAnsi" w:cstheme="minorHAnsi"/>
        </w:rPr>
        <w:t>from</w:t>
      </w:r>
      <w:r w:rsidRPr="0063107B">
        <w:rPr>
          <w:rFonts w:asciiTheme="minorHAnsi" w:hAnsiTheme="minorHAnsi" w:cstheme="minorHAnsi"/>
          <w:spacing w:val="80"/>
        </w:rPr>
        <w:t xml:space="preserve"> </w:t>
      </w:r>
      <w:proofErr w:type="spellStart"/>
      <w:r w:rsidRPr="0063107B">
        <w:rPr>
          <w:rFonts w:asciiTheme="minorHAnsi" w:hAnsiTheme="minorHAnsi" w:cstheme="minorHAnsi"/>
        </w:rPr>
        <w:t>organisations</w:t>
      </w:r>
      <w:proofErr w:type="spellEnd"/>
      <w:r w:rsidRPr="0063107B">
        <w:rPr>
          <w:rFonts w:asciiTheme="minorHAnsi" w:hAnsiTheme="minorHAnsi" w:cstheme="minorHAnsi"/>
          <w:spacing w:val="80"/>
        </w:rPr>
        <w:t xml:space="preserve"> </w:t>
      </w:r>
      <w:r w:rsidRPr="0063107B">
        <w:rPr>
          <w:rFonts w:asciiTheme="minorHAnsi" w:hAnsiTheme="minorHAnsi" w:cstheme="minorHAnsi"/>
        </w:rPr>
        <w:t>such</w:t>
      </w:r>
      <w:r w:rsidRPr="0063107B">
        <w:rPr>
          <w:rFonts w:asciiTheme="minorHAnsi" w:hAnsiTheme="minorHAnsi" w:cstheme="minorHAnsi"/>
          <w:spacing w:val="80"/>
        </w:rPr>
        <w:t xml:space="preserve"> </w:t>
      </w:r>
      <w:r w:rsidRPr="0063107B">
        <w:rPr>
          <w:rFonts w:asciiTheme="minorHAnsi" w:hAnsiTheme="minorHAnsi" w:cstheme="minorHAnsi"/>
        </w:rPr>
        <w:t>as</w:t>
      </w:r>
      <w:r w:rsidRPr="0063107B">
        <w:rPr>
          <w:rFonts w:asciiTheme="minorHAnsi" w:hAnsiTheme="minorHAnsi" w:cstheme="minorHAnsi"/>
          <w:spacing w:val="80"/>
        </w:rPr>
        <w:t xml:space="preserve"> </w:t>
      </w:r>
      <w:r w:rsidRPr="0063107B">
        <w:rPr>
          <w:rFonts w:asciiTheme="minorHAnsi" w:hAnsiTheme="minorHAnsi" w:cstheme="minorHAnsi"/>
        </w:rPr>
        <w:t>Aboriginal</w:t>
      </w:r>
      <w:r w:rsidRPr="0063107B">
        <w:rPr>
          <w:rFonts w:asciiTheme="minorHAnsi" w:hAnsiTheme="minorHAnsi" w:cstheme="minorHAnsi"/>
          <w:spacing w:val="80"/>
        </w:rPr>
        <w:t xml:space="preserve"> </w:t>
      </w:r>
      <w:r w:rsidRPr="0063107B">
        <w:rPr>
          <w:rFonts w:asciiTheme="minorHAnsi" w:hAnsiTheme="minorHAnsi" w:cstheme="minorHAnsi"/>
        </w:rPr>
        <w:t>controlled</w:t>
      </w:r>
      <w:r w:rsidRPr="0063107B">
        <w:rPr>
          <w:rFonts w:asciiTheme="minorHAnsi" w:hAnsiTheme="minorHAnsi" w:cstheme="minorHAnsi"/>
          <w:spacing w:val="80"/>
        </w:rPr>
        <w:t xml:space="preserve"> </w:t>
      </w:r>
      <w:r w:rsidRPr="0063107B">
        <w:rPr>
          <w:rFonts w:asciiTheme="minorHAnsi" w:hAnsiTheme="minorHAnsi" w:cstheme="minorHAnsi"/>
        </w:rPr>
        <w:t>businesses</w:t>
      </w:r>
      <w:r w:rsidRPr="0063107B">
        <w:rPr>
          <w:rFonts w:asciiTheme="minorHAnsi" w:hAnsiTheme="minorHAnsi" w:cstheme="minorHAnsi"/>
          <w:spacing w:val="80"/>
        </w:rPr>
        <w:t xml:space="preserve"> </w:t>
      </w:r>
      <w:r w:rsidRPr="0063107B">
        <w:rPr>
          <w:rFonts w:asciiTheme="minorHAnsi" w:hAnsiTheme="minorHAnsi" w:cstheme="minorHAnsi"/>
        </w:rPr>
        <w:t>and</w:t>
      </w:r>
      <w:r w:rsidRPr="0063107B">
        <w:rPr>
          <w:rFonts w:asciiTheme="minorHAnsi" w:hAnsiTheme="minorHAnsi" w:cstheme="minorHAnsi"/>
          <w:spacing w:val="80"/>
        </w:rPr>
        <w:t xml:space="preserve"> </w:t>
      </w:r>
      <w:r w:rsidRPr="0063107B">
        <w:rPr>
          <w:rFonts w:asciiTheme="minorHAnsi" w:hAnsiTheme="minorHAnsi" w:cstheme="minorHAnsi"/>
        </w:rPr>
        <w:t>social enterprises including Australian Disability Enterprises is encouraged.</w:t>
      </w:r>
    </w:p>
    <w:p w14:paraId="470305E6" w14:textId="77777777" w:rsidR="00E237B8" w:rsidRPr="0063107B" w:rsidRDefault="00E237B8" w:rsidP="0063107B">
      <w:pPr>
        <w:pStyle w:val="BodyText"/>
        <w:spacing w:after="0"/>
        <w:ind w:left="820"/>
        <w:rPr>
          <w:rFonts w:asciiTheme="minorHAnsi" w:hAnsiTheme="minorHAnsi" w:cstheme="minorHAnsi"/>
        </w:rPr>
      </w:pPr>
    </w:p>
    <w:p w14:paraId="5A061D26" w14:textId="77777777" w:rsidR="00E237B8" w:rsidRPr="0063107B" w:rsidRDefault="00E237B8" w:rsidP="00E237B8">
      <w:pPr>
        <w:pStyle w:val="BodyText"/>
        <w:spacing w:before="41"/>
        <w:ind w:left="820"/>
        <w:rPr>
          <w:rFonts w:asciiTheme="minorHAnsi" w:hAnsiTheme="minorHAnsi" w:cstheme="minorHAnsi"/>
        </w:rPr>
      </w:pPr>
      <w:r w:rsidRPr="0063107B">
        <w:rPr>
          <w:rFonts w:asciiTheme="minorHAnsi" w:hAnsiTheme="minorHAnsi" w:cstheme="minorHAnsi"/>
        </w:rPr>
        <w:t>Where possible, Australian Disability Enterprises and Aboriginal businesses are to be invited to quote for supplying goods and services under the tender threshold. A qualitative weighting may be afforded in the evaluation of quotes and tenders</w:t>
      </w:r>
      <w:r w:rsidRPr="0063107B">
        <w:rPr>
          <w:rFonts w:asciiTheme="minorHAnsi" w:hAnsiTheme="minorHAnsi" w:cstheme="minorHAnsi"/>
          <w:spacing w:val="-9"/>
        </w:rPr>
        <w:t xml:space="preserve"> </w:t>
      </w:r>
      <w:r w:rsidRPr="0063107B">
        <w:rPr>
          <w:rFonts w:asciiTheme="minorHAnsi" w:hAnsiTheme="minorHAnsi" w:cstheme="minorHAnsi"/>
        </w:rPr>
        <w:t>to</w:t>
      </w:r>
      <w:r w:rsidRPr="0063107B">
        <w:rPr>
          <w:rFonts w:asciiTheme="minorHAnsi" w:hAnsiTheme="minorHAnsi" w:cstheme="minorHAnsi"/>
          <w:spacing w:val="-5"/>
        </w:rPr>
        <w:t xml:space="preserve"> </w:t>
      </w:r>
      <w:r w:rsidRPr="0063107B">
        <w:rPr>
          <w:rFonts w:asciiTheme="minorHAnsi" w:hAnsiTheme="minorHAnsi" w:cstheme="minorHAnsi"/>
        </w:rPr>
        <w:t>provide</w:t>
      </w:r>
      <w:r w:rsidRPr="0063107B">
        <w:rPr>
          <w:rFonts w:asciiTheme="minorHAnsi" w:hAnsiTheme="minorHAnsi" w:cstheme="minorHAnsi"/>
          <w:spacing w:val="-8"/>
        </w:rPr>
        <w:t xml:space="preserve"> </w:t>
      </w:r>
      <w:r w:rsidRPr="0063107B">
        <w:rPr>
          <w:rFonts w:asciiTheme="minorHAnsi" w:hAnsiTheme="minorHAnsi" w:cstheme="minorHAnsi"/>
        </w:rPr>
        <w:t>advantages to</w:t>
      </w:r>
      <w:r w:rsidRPr="0063107B">
        <w:rPr>
          <w:rFonts w:asciiTheme="minorHAnsi" w:hAnsiTheme="minorHAnsi" w:cstheme="minorHAnsi"/>
          <w:spacing w:val="-3"/>
        </w:rPr>
        <w:t xml:space="preserve"> </w:t>
      </w:r>
      <w:r w:rsidRPr="0063107B">
        <w:rPr>
          <w:rFonts w:asciiTheme="minorHAnsi" w:hAnsiTheme="minorHAnsi" w:cstheme="minorHAnsi"/>
        </w:rPr>
        <w:t>these</w:t>
      </w:r>
      <w:r w:rsidRPr="0063107B">
        <w:rPr>
          <w:rFonts w:asciiTheme="minorHAnsi" w:hAnsiTheme="minorHAnsi" w:cstheme="minorHAnsi"/>
          <w:spacing w:val="-4"/>
        </w:rPr>
        <w:t xml:space="preserve"> </w:t>
      </w:r>
      <w:r w:rsidRPr="0063107B">
        <w:rPr>
          <w:rFonts w:asciiTheme="minorHAnsi" w:hAnsiTheme="minorHAnsi" w:cstheme="minorHAnsi"/>
        </w:rPr>
        <w:t>businesses,</w:t>
      </w:r>
      <w:r w:rsidRPr="0063107B">
        <w:rPr>
          <w:rFonts w:asciiTheme="minorHAnsi" w:hAnsiTheme="minorHAnsi" w:cstheme="minorHAnsi"/>
          <w:spacing w:val="-9"/>
        </w:rPr>
        <w:t xml:space="preserve"> </w:t>
      </w:r>
      <w:r w:rsidRPr="0063107B">
        <w:rPr>
          <w:rFonts w:asciiTheme="minorHAnsi" w:hAnsiTheme="minorHAnsi" w:cstheme="minorHAnsi"/>
        </w:rPr>
        <w:t>or</w:t>
      </w:r>
      <w:r w:rsidRPr="0063107B">
        <w:rPr>
          <w:rFonts w:asciiTheme="minorHAnsi" w:hAnsiTheme="minorHAnsi" w:cstheme="minorHAnsi"/>
          <w:spacing w:val="-9"/>
        </w:rPr>
        <w:t xml:space="preserve"> </w:t>
      </w:r>
      <w:r w:rsidRPr="0063107B">
        <w:rPr>
          <w:rFonts w:asciiTheme="minorHAnsi" w:hAnsiTheme="minorHAnsi" w:cstheme="minorHAnsi"/>
        </w:rPr>
        <w:t>businesses</w:t>
      </w:r>
      <w:r w:rsidRPr="0063107B">
        <w:rPr>
          <w:rFonts w:asciiTheme="minorHAnsi" w:hAnsiTheme="minorHAnsi" w:cstheme="minorHAnsi"/>
          <w:spacing w:val="-3"/>
        </w:rPr>
        <w:t xml:space="preserve"> </w:t>
      </w:r>
      <w:r w:rsidRPr="0063107B">
        <w:rPr>
          <w:rFonts w:asciiTheme="minorHAnsi" w:hAnsiTheme="minorHAnsi" w:cstheme="minorHAnsi"/>
        </w:rPr>
        <w:t>that</w:t>
      </w:r>
      <w:r w:rsidRPr="0063107B">
        <w:rPr>
          <w:rFonts w:asciiTheme="minorHAnsi" w:hAnsiTheme="minorHAnsi" w:cstheme="minorHAnsi"/>
          <w:spacing w:val="-9"/>
        </w:rPr>
        <w:t xml:space="preserve"> </w:t>
      </w:r>
      <w:r w:rsidRPr="0063107B">
        <w:rPr>
          <w:rFonts w:asciiTheme="minorHAnsi" w:hAnsiTheme="minorHAnsi" w:cstheme="minorHAnsi"/>
        </w:rPr>
        <w:t>demonstrate</w:t>
      </w:r>
      <w:r w:rsidRPr="0063107B">
        <w:rPr>
          <w:rFonts w:asciiTheme="minorHAnsi" w:hAnsiTheme="minorHAnsi" w:cstheme="minorHAnsi"/>
          <w:spacing w:val="-6"/>
        </w:rPr>
        <w:t xml:space="preserve"> </w:t>
      </w:r>
      <w:r w:rsidRPr="0063107B">
        <w:rPr>
          <w:rFonts w:asciiTheme="minorHAnsi" w:hAnsiTheme="minorHAnsi" w:cstheme="minorHAnsi"/>
        </w:rPr>
        <w:t>a</w:t>
      </w:r>
      <w:r w:rsidRPr="0063107B">
        <w:rPr>
          <w:rFonts w:asciiTheme="minorHAnsi" w:hAnsiTheme="minorHAnsi" w:cstheme="minorHAnsi"/>
          <w:spacing w:val="-7"/>
        </w:rPr>
        <w:t xml:space="preserve"> </w:t>
      </w:r>
      <w:r w:rsidRPr="0063107B">
        <w:rPr>
          <w:rFonts w:asciiTheme="minorHAnsi" w:hAnsiTheme="minorHAnsi" w:cstheme="minorHAnsi"/>
        </w:rPr>
        <w:t>high level of employment diversity.</w:t>
      </w:r>
    </w:p>
    <w:p w14:paraId="3799176B" w14:textId="77777777" w:rsidR="00E237B8" w:rsidRPr="0063107B" w:rsidRDefault="00E237B8" w:rsidP="007B3B6F">
      <w:pPr>
        <w:pStyle w:val="ListParagraph"/>
        <w:widowControl w:val="0"/>
        <w:numPr>
          <w:ilvl w:val="0"/>
          <w:numId w:val="538"/>
        </w:numPr>
        <w:tabs>
          <w:tab w:val="left" w:pos="818"/>
        </w:tabs>
        <w:autoSpaceDE w:val="0"/>
        <w:autoSpaceDN w:val="0"/>
        <w:spacing w:before="204" w:after="0" w:line="240" w:lineRule="auto"/>
        <w:ind w:left="818" w:hanging="358"/>
        <w:contextualSpacing w:val="0"/>
        <w:jc w:val="both"/>
        <w:rPr>
          <w:rFonts w:cstheme="minorHAnsi"/>
          <w:b/>
          <w:bCs/>
        </w:rPr>
      </w:pPr>
      <w:r w:rsidRPr="0063107B">
        <w:rPr>
          <w:rFonts w:cstheme="minorHAnsi"/>
          <w:b/>
          <w:bCs/>
        </w:rPr>
        <w:t>Local</w:t>
      </w:r>
      <w:r w:rsidRPr="0063107B">
        <w:rPr>
          <w:rFonts w:cstheme="minorHAnsi"/>
          <w:b/>
          <w:bCs/>
          <w:spacing w:val="-10"/>
        </w:rPr>
        <w:t xml:space="preserve"> </w:t>
      </w:r>
      <w:r w:rsidRPr="0063107B">
        <w:rPr>
          <w:rFonts w:cstheme="minorHAnsi"/>
          <w:b/>
          <w:bCs/>
        </w:rPr>
        <w:t>Economy</w:t>
      </w:r>
      <w:r w:rsidRPr="0063107B">
        <w:rPr>
          <w:rFonts w:cstheme="minorHAnsi"/>
          <w:b/>
          <w:bCs/>
          <w:spacing w:val="-3"/>
        </w:rPr>
        <w:t xml:space="preserve"> </w:t>
      </w:r>
      <w:r w:rsidRPr="0063107B">
        <w:rPr>
          <w:rFonts w:cstheme="minorHAnsi"/>
          <w:b/>
          <w:bCs/>
        </w:rPr>
        <w:t>(with</w:t>
      </w:r>
      <w:r w:rsidRPr="0063107B">
        <w:rPr>
          <w:rFonts w:cstheme="minorHAnsi"/>
          <w:b/>
          <w:bCs/>
          <w:spacing w:val="-5"/>
        </w:rPr>
        <w:t xml:space="preserve"> </w:t>
      </w:r>
      <w:r w:rsidRPr="0063107B">
        <w:rPr>
          <w:rFonts w:cstheme="minorHAnsi"/>
          <w:b/>
          <w:bCs/>
        </w:rPr>
        <w:t>boundaries</w:t>
      </w:r>
      <w:r w:rsidRPr="0063107B">
        <w:rPr>
          <w:rFonts w:cstheme="minorHAnsi"/>
          <w:b/>
          <w:bCs/>
          <w:spacing w:val="-2"/>
        </w:rPr>
        <w:t xml:space="preserve"> </w:t>
      </w:r>
      <w:r w:rsidRPr="0063107B">
        <w:rPr>
          <w:rFonts w:cstheme="minorHAnsi"/>
          <w:b/>
          <w:bCs/>
        </w:rPr>
        <w:t>of</w:t>
      </w:r>
      <w:r w:rsidRPr="0063107B">
        <w:rPr>
          <w:rFonts w:cstheme="minorHAnsi"/>
          <w:b/>
          <w:bCs/>
          <w:spacing w:val="-9"/>
        </w:rPr>
        <w:t xml:space="preserve"> </w:t>
      </w:r>
      <w:r w:rsidRPr="0063107B">
        <w:rPr>
          <w:rFonts w:cstheme="minorHAnsi"/>
          <w:b/>
          <w:bCs/>
        </w:rPr>
        <w:t>the</w:t>
      </w:r>
      <w:r w:rsidRPr="0063107B">
        <w:rPr>
          <w:rFonts w:cstheme="minorHAnsi"/>
          <w:b/>
          <w:bCs/>
          <w:spacing w:val="-4"/>
        </w:rPr>
        <w:t xml:space="preserve"> </w:t>
      </w:r>
      <w:r w:rsidRPr="0063107B">
        <w:rPr>
          <w:rFonts w:cstheme="minorHAnsi"/>
          <w:b/>
          <w:bCs/>
        </w:rPr>
        <w:t>South</w:t>
      </w:r>
      <w:r w:rsidRPr="0063107B">
        <w:rPr>
          <w:rFonts w:cstheme="minorHAnsi"/>
          <w:b/>
          <w:bCs/>
          <w:spacing w:val="-7"/>
        </w:rPr>
        <w:t>west</w:t>
      </w:r>
      <w:r w:rsidRPr="0063107B">
        <w:rPr>
          <w:rFonts w:cstheme="minorHAnsi"/>
          <w:b/>
          <w:bCs/>
          <w:spacing w:val="-3"/>
        </w:rPr>
        <w:t xml:space="preserve"> </w:t>
      </w:r>
      <w:r w:rsidRPr="0063107B">
        <w:rPr>
          <w:rFonts w:cstheme="minorHAnsi"/>
          <w:b/>
          <w:bCs/>
          <w:spacing w:val="-2"/>
        </w:rPr>
        <w:t>Group)</w:t>
      </w:r>
    </w:p>
    <w:p w14:paraId="07242AD5" w14:textId="77777777" w:rsidR="00E237B8" w:rsidRPr="0063107B" w:rsidRDefault="00E237B8" w:rsidP="00E237B8">
      <w:pPr>
        <w:pStyle w:val="BodyText"/>
        <w:spacing w:before="41"/>
        <w:ind w:left="820" w:right="387"/>
        <w:jc w:val="both"/>
        <w:rPr>
          <w:rFonts w:asciiTheme="minorHAnsi" w:hAnsiTheme="minorHAnsi" w:cstheme="minorHAnsi"/>
        </w:rPr>
      </w:pPr>
      <w:r w:rsidRPr="0063107B">
        <w:rPr>
          <w:rFonts w:asciiTheme="minorHAnsi" w:hAnsiTheme="minorHAnsi" w:cstheme="minorHAnsi"/>
        </w:rPr>
        <w:t xml:space="preserve">The Town will provide supply opportunities for local </w:t>
      </w:r>
      <w:proofErr w:type="spellStart"/>
      <w:r w:rsidRPr="0063107B">
        <w:rPr>
          <w:rFonts w:asciiTheme="minorHAnsi" w:hAnsiTheme="minorHAnsi" w:cstheme="minorHAnsi"/>
        </w:rPr>
        <w:t>organisations</w:t>
      </w:r>
      <w:proofErr w:type="spellEnd"/>
      <w:r w:rsidRPr="0063107B">
        <w:rPr>
          <w:rFonts w:asciiTheme="minorHAnsi" w:hAnsiTheme="minorHAnsi" w:cstheme="minorHAnsi"/>
        </w:rPr>
        <w:t xml:space="preserve"> that can demonstrate economic benefits, either through being a local business, the use of local sub-contractors or local employees. This will be dependent on the extent to which the local business can demonstrate a contribution to the local economy but does not include any </w:t>
      </w:r>
      <w:proofErr w:type="gramStart"/>
      <w:r w:rsidRPr="0063107B">
        <w:rPr>
          <w:rFonts w:asciiTheme="minorHAnsi" w:hAnsiTheme="minorHAnsi" w:cstheme="minorHAnsi"/>
        </w:rPr>
        <w:t>preferential;</w:t>
      </w:r>
      <w:proofErr w:type="gramEnd"/>
      <w:r w:rsidRPr="0063107B">
        <w:rPr>
          <w:rFonts w:asciiTheme="minorHAnsi" w:hAnsiTheme="minorHAnsi" w:cstheme="minorHAnsi"/>
        </w:rPr>
        <w:t xml:space="preserve"> treatment of pricing in the evaluation process.</w:t>
      </w:r>
    </w:p>
    <w:p w14:paraId="118BE162" w14:textId="77777777" w:rsidR="00E237B8" w:rsidRPr="0063107B" w:rsidRDefault="00E237B8" w:rsidP="00E237B8">
      <w:pPr>
        <w:pStyle w:val="BodyText"/>
        <w:spacing w:before="201"/>
        <w:ind w:left="820" w:right="390"/>
        <w:jc w:val="both"/>
        <w:rPr>
          <w:rFonts w:asciiTheme="minorHAnsi" w:hAnsiTheme="minorHAnsi" w:cstheme="minorHAnsi"/>
        </w:rPr>
      </w:pPr>
      <w:r w:rsidRPr="0063107B">
        <w:rPr>
          <w:rFonts w:asciiTheme="minorHAnsi" w:hAnsiTheme="minorHAnsi" w:cstheme="minorHAnsi"/>
        </w:rPr>
        <w:t>Requests</w:t>
      </w:r>
      <w:r w:rsidRPr="0063107B">
        <w:rPr>
          <w:rFonts w:asciiTheme="minorHAnsi" w:hAnsiTheme="minorHAnsi" w:cstheme="minorHAnsi"/>
          <w:spacing w:val="-10"/>
        </w:rPr>
        <w:t xml:space="preserve"> </w:t>
      </w:r>
      <w:r w:rsidRPr="0063107B">
        <w:rPr>
          <w:rFonts w:asciiTheme="minorHAnsi" w:hAnsiTheme="minorHAnsi" w:cstheme="minorHAnsi"/>
        </w:rPr>
        <w:t>for</w:t>
      </w:r>
      <w:r w:rsidRPr="0063107B">
        <w:rPr>
          <w:rFonts w:asciiTheme="minorHAnsi" w:hAnsiTheme="minorHAnsi" w:cstheme="minorHAnsi"/>
          <w:spacing w:val="-12"/>
        </w:rPr>
        <w:t xml:space="preserve"> </w:t>
      </w:r>
      <w:r w:rsidRPr="0063107B">
        <w:rPr>
          <w:rFonts w:asciiTheme="minorHAnsi" w:hAnsiTheme="minorHAnsi" w:cstheme="minorHAnsi"/>
        </w:rPr>
        <w:t>Quotation</w:t>
      </w:r>
      <w:r w:rsidRPr="0063107B">
        <w:rPr>
          <w:rFonts w:asciiTheme="minorHAnsi" w:hAnsiTheme="minorHAnsi" w:cstheme="minorHAnsi"/>
          <w:spacing w:val="-10"/>
        </w:rPr>
        <w:t xml:space="preserve"> </w:t>
      </w:r>
      <w:r w:rsidRPr="0063107B">
        <w:rPr>
          <w:rFonts w:asciiTheme="minorHAnsi" w:hAnsiTheme="minorHAnsi" w:cstheme="minorHAnsi"/>
        </w:rPr>
        <w:t>and</w:t>
      </w:r>
      <w:r w:rsidRPr="0063107B">
        <w:rPr>
          <w:rFonts w:asciiTheme="minorHAnsi" w:hAnsiTheme="minorHAnsi" w:cstheme="minorHAnsi"/>
          <w:spacing w:val="-12"/>
        </w:rPr>
        <w:t xml:space="preserve"> </w:t>
      </w:r>
      <w:r w:rsidRPr="0063107B">
        <w:rPr>
          <w:rFonts w:asciiTheme="minorHAnsi" w:hAnsiTheme="minorHAnsi" w:cstheme="minorHAnsi"/>
        </w:rPr>
        <w:t>Tenders</w:t>
      </w:r>
      <w:r w:rsidRPr="0063107B">
        <w:rPr>
          <w:rFonts w:asciiTheme="minorHAnsi" w:hAnsiTheme="minorHAnsi" w:cstheme="minorHAnsi"/>
          <w:spacing w:val="-13"/>
        </w:rPr>
        <w:t xml:space="preserve"> </w:t>
      </w:r>
      <w:r w:rsidRPr="0063107B">
        <w:rPr>
          <w:rFonts w:asciiTheme="minorHAnsi" w:hAnsiTheme="minorHAnsi" w:cstheme="minorHAnsi"/>
        </w:rPr>
        <w:t>will</w:t>
      </w:r>
      <w:r w:rsidRPr="0063107B">
        <w:rPr>
          <w:rFonts w:asciiTheme="minorHAnsi" w:hAnsiTheme="minorHAnsi" w:cstheme="minorHAnsi"/>
          <w:spacing w:val="-10"/>
        </w:rPr>
        <w:t xml:space="preserve"> </w:t>
      </w:r>
      <w:r w:rsidRPr="0063107B">
        <w:rPr>
          <w:rFonts w:asciiTheme="minorHAnsi" w:hAnsiTheme="minorHAnsi" w:cstheme="minorHAnsi"/>
        </w:rPr>
        <w:t>include</w:t>
      </w:r>
      <w:r w:rsidRPr="0063107B">
        <w:rPr>
          <w:rFonts w:asciiTheme="minorHAnsi" w:hAnsiTheme="minorHAnsi" w:cstheme="minorHAnsi"/>
          <w:spacing w:val="-9"/>
        </w:rPr>
        <w:t xml:space="preserve"> </w:t>
      </w:r>
      <w:r w:rsidRPr="0063107B">
        <w:rPr>
          <w:rFonts w:asciiTheme="minorHAnsi" w:hAnsiTheme="minorHAnsi" w:cstheme="minorHAnsi"/>
        </w:rPr>
        <w:t>a</w:t>
      </w:r>
      <w:r w:rsidRPr="0063107B">
        <w:rPr>
          <w:rFonts w:asciiTheme="minorHAnsi" w:hAnsiTheme="minorHAnsi" w:cstheme="minorHAnsi"/>
          <w:spacing w:val="-12"/>
        </w:rPr>
        <w:t xml:space="preserve"> </w:t>
      </w:r>
      <w:r w:rsidRPr="0063107B">
        <w:rPr>
          <w:rFonts w:asciiTheme="minorHAnsi" w:hAnsiTheme="minorHAnsi" w:cstheme="minorHAnsi"/>
        </w:rPr>
        <w:t>request</w:t>
      </w:r>
      <w:r w:rsidRPr="0063107B">
        <w:rPr>
          <w:rFonts w:asciiTheme="minorHAnsi" w:hAnsiTheme="minorHAnsi" w:cstheme="minorHAnsi"/>
          <w:spacing w:val="-9"/>
        </w:rPr>
        <w:t xml:space="preserve"> </w:t>
      </w:r>
      <w:r w:rsidRPr="0063107B">
        <w:rPr>
          <w:rFonts w:asciiTheme="minorHAnsi" w:hAnsiTheme="minorHAnsi" w:cstheme="minorHAnsi"/>
        </w:rPr>
        <w:t>for</w:t>
      </w:r>
      <w:r w:rsidRPr="0063107B">
        <w:rPr>
          <w:rFonts w:asciiTheme="minorHAnsi" w:hAnsiTheme="minorHAnsi" w:cstheme="minorHAnsi"/>
          <w:spacing w:val="-10"/>
        </w:rPr>
        <w:t xml:space="preserve"> </w:t>
      </w:r>
      <w:r w:rsidRPr="0063107B">
        <w:rPr>
          <w:rFonts w:asciiTheme="minorHAnsi" w:hAnsiTheme="minorHAnsi" w:cstheme="minorHAnsi"/>
        </w:rPr>
        <w:t>Suppliers</w:t>
      </w:r>
      <w:r w:rsidRPr="0063107B">
        <w:rPr>
          <w:rFonts w:asciiTheme="minorHAnsi" w:hAnsiTheme="minorHAnsi" w:cstheme="minorHAnsi"/>
          <w:spacing w:val="-9"/>
        </w:rPr>
        <w:t xml:space="preserve"> </w:t>
      </w:r>
      <w:r w:rsidRPr="0063107B">
        <w:rPr>
          <w:rFonts w:asciiTheme="minorHAnsi" w:hAnsiTheme="minorHAnsi" w:cstheme="minorHAnsi"/>
        </w:rPr>
        <w:t>to</w:t>
      </w:r>
      <w:r w:rsidRPr="0063107B">
        <w:rPr>
          <w:rFonts w:asciiTheme="minorHAnsi" w:hAnsiTheme="minorHAnsi" w:cstheme="minorHAnsi"/>
          <w:spacing w:val="-9"/>
        </w:rPr>
        <w:t xml:space="preserve"> </w:t>
      </w:r>
      <w:r w:rsidRPr="0063107B">
        <w:rPr>
          <w:rFonts w:asciiTheme="minorHAnsi" w:hAnsiTheme="minorHAnsi" w:cstheme="minorHAnsi"/>
        </w:rPr>
        <w:t>provide</w:t>
      </w:r>
      <w:r w:rsidRPr="0063107B">
        <w:rPr>
          <w:rFonts w:asciiTheme="minorHAnsi" w:hAnsiTheme="minorHAnsi" w:cstheme="minorHAnsi"/>
          <w:spacing w:val="-13"/>
        </w:rPr>
        <w:t xml:space="preserve"> </w:t>
      </w:r>
      <w:r w:rsidRPr="0063107B">
        <w:rPr>
          <w:rFonts w:asciiTheme="minorHAnsi" w:hAnsiTheme="minorHAnsi" w:cstheme="minorHAnsi"/>
        </w:rPr>
        <w:t>information regarding their sustainable practices and/or demonstrate that their product or service offers enhanced sustainable benefits.</w:t>
      </w:r>
    </w:p>
    <w:p w14:paraId="3E522253" w14:textId="77777777" w:rsidR="00E237B8" w:rsidRPr="0063107B" w:rsidRDefault="00E237B8" w:rsidP="0063107B">
      <w:pPr>
        <w:pStyle w:val="BodyText"/>
        <w:spacing w:before="203"/>
        <w:ind w:left="851"/>
        <w:jc w:val="both"/>
        <w:rPr>
          <w:rFonts w:asciiTheme="minorHAnsi" w:hAnsiTheme="minorHAnsi" w:cstheme="minorHAnsi"/>
        </w:rPr>
      </w:pPr>
      <w:r w:rsidRPr="0063107B">
        <w:rPr>
          <w:rFonts w:asciiTheme="minorHAnsi" w:hAnsiTheme="minorHAnsi" w:cstheme="minorHAnsi"/>
        </w:rPr>
        <w:lastRenderedPageBreak/>
        <w:t>Examples</w:t>
      </w:r>
      <w:r w:rsidRPr="0063107B">
        <w:rPr>
          <w:rFonts w:asciiTheme="minorHAnsi" w:hAnsiTheme="minorHAnsi" w:cstheme="minorHAnsi"/>
          <w:spacing w:val="-6"/>
        </w:rPr>
        <w:t xml:space="preserve"> </w:t>
      </w:r>
      <w:r w:rsidRPr="0063107B">
        <w:rPr>
          <w:rFonts w:asciiTheme="minorHAnsi" w:hAnsiTheme="minorHAnsi" w:cstheme="minorHAnsi"/>
        </w:rPr>
        <w:t>of</w:t>
      </w:r>
      <w:r w:rsidRPr="0063107B">
        <w:rPr>
          <w:rFonts w:asciiTheme="minorHAnsi" w:hAnsiTheme="minorHAnsi" w:cstheme="minorHAnsi"/>
          <w:spacing w:val="-4"/>
        </w:rPr>
        <w:t xml:space="preserve"> </w:t>
      </w:r>
      <w:r w:rsidRPr="0063107B">
        <w:rPr>
          <w:rFonts w:asciiTheme="minorHAnsi" w:hAnsiTheme="minorHAnsi" w:cstheme="minorHAnsi"/>
        </w:rPr>
        <w:t>criteria</w:t>
      </w:r>
      <w:r w:rsidRPr="0063107B">
        <w:rPr>
          <w:rFonts w:asciiTheme="minorHAnsi" w:hAnsiTheme="minorHAnsi" w:cstheme="minorHAnsi"/>
          <w:spacing w:val="-6"/>
        </w:rPr>
        <w:t xml:space="preserve"> </w:t>
      </w:r>
      <w:r w:rsidRPr="0063107B">
        <w:rPr>
          <w:rFonts w:asciiTheme="minorHAnsi" w:hAnsiTheme="minorHAnsi" w:cstheme="minorHAnsi"/>
        </w:rPr>
        <w:t>include</w:t>
      </w:r>
      <w:r w:rsidRPr="0063107B">
        <w:rPr>
          <w:rFonts w:asciiTheme="minorHAnsi" w:hAnsiTheme="minorHAnsi" w:cstheme="minorHAnsi"/>
          <w:spacing w:val="-4"/>
        </w:rPr>
        <w:t xml:space="preserve"> </w:t>
      </w:r>
      <w:r w:rsidRPr="0063107B">
        <w:rPr>
          <w:rFonts w:asciiTheme="minorHAnsi" w:hAnsiTheme="minorHAnsi" w:cstheme="minorHAnsi"/>
        </w:rPr>
        <w:t>the</w:t>
      </w:r>
      <w:r w:rsidRPr="0063107B">
        <w:rPr>
          <w:rFonts w:asciiTheme="minorHAnsi" w:hAnsiTheme="minorHAnsi" w:cstheme="minorHAnsi"/>
          <w:spacing w:val="-5"/>
        </w:rPr>
        <w:t xml:space="preserve"> </w:t>
      </w:r>
      <w:r w:rsidRPr="0063107B">
        <w:rPr>
          <w:rFonts w:asciiTheme="minorHAnsi" w:hAnsiTheme="minorHAnsi" w:cstheme="minorHAnsi"/>
          <w:spacing w:val="-2"/>
        </w:rPr>
        <w:t>following:</w:t>
      </w:r>
    </w:p>
    <w:p w14:paraId="6FFBAD0E" w14:textId="77777777" w:rsidR="00E237B8" w:rsidRPr="0063107B" w:rsidRDefault="00E237B8" w:rsidP="007B3B6F">
      <w:pPr>
        <w:pStyle w:val="ListParagraph"/>
        <w:widowControl w:val="0"/>
        <w:numPr>
          <w:ilvl w:val="0"/>
          <w:numId w:val="537"/>
        </w:numPr>
        <w:tabs>
          <w:tab w:val="left" w:pos="1178"/>
          <w:tab w:val="left" w:pos="1180"/>
        </w:tabs>
        <w:autoSpaceDE w:val="0"/>
        <w:autoSpaceDN w:val="0"/>
        <w:spacing w:before="117" w:after="0" w:line="240" w:lineRule="auto"/>
        <w:ind w:right="399"/>
        <w:contextualSpacing w:val="0"/>
        <w:jc w:val="both"/>
        <w:rPr>
          <w:rFonts w:cstheme="minorHAnsi"/>
        </w:rPr>
      </w:pPr>
      <w:r w:rsidRPr="0063107B">
        <w:rPr>
          <w:rFonts w:cstheme="minorHAnsi"/>
        </w:rPr>
        <w:t>The Tenderer must provide details of the benefits to the local community from their involvement in this contract. Examples may include, but should not be limited to things such as:</w:t>
      </w:r>
    </w:p>
    <w:p w14:paraId="252AE94C" w14:textId="77777777" w:rsidR="00E237B8" w:rsidRPr="0063107B" w:rsidRDefault="00E237B8" w:rsidP="007B3B6F">
      <w:pPr>
        <w:pStyle w:val="ListParagraph"/>
        <w:widowControl w:val="0"/>
        <w:numPr>
          <w:ilvl w:val="1"/>
          <w:numId w:val="537"/>
        </w:numPr>
        <w:tabs>
          <w:tab w:val="left" w:pos="1540"/>
        </w:tabs>
        <w:autoSpaceDE w:val="0"/>
        <w:autoSpaceDN w:val="0"/>
        <w:spacing w:before="31" w:after="0" w:line="240" w:lineRule="auto"/>
        <w:contextualSpacing w:val="0"/>
        <w:rPr>
          <w:rFonts w:cstheme="minorHAnsi"/>
        </w:rPr>
      </w:pPr>
      <w:r w:rsidRPr="0063107B">
        <w:rPr>
          <w:rFonts w:cstheme="minorHAnsi"/>
        </w:rPr>
        <w:t>Local</w:t>
      </w:r>
      <w:r w:rsidRPr="0063107B">
        <w:rPr>
          <w:rFonts w:cstheme="minorHAnsi"/>
          <w:spacing w:val="-6"/>
        </w:rPr>
        <w:t xml:space="preserve"> </w:t>
      </w:r>
      <w:r w:rsidRPr="0063107B">
        <w:rPr>
          <w:rFonts w:cstheme="minorHAnsi"/>
          <w:spacing w:val="-2"/>
        </w:rPr>
        <w:t>employment</w:t>
      </w:r>
    </w:p>
    <w:p w14:paraId="7A44E225" w14:textId="77777777" w:rsidR="00E237B8" w:rsidRPr="0063107B" w:rsidRDefault="00E237B8" w:rsidP="007B3B6F">
      <w:pPr>
        <w:pStyle w:val="ListParagraph"/>
        <w:widowControl w:val="0"/>
        <w:numPr>
          <w:ilvl w:val="1"/>
          <w:numId w:val="537"/>
        </w:numPr>
        <w:tabs>
          <w:tab w:val="left" w:pos="1540"/>
        </w:tabs>
        <w:autoSpaceDE w:val="0"/>
        <w:autoSpaceDN w:val="0"/>
        <w:spacing w:before="41" w:after="0" w:line="240" w:lineRule="auto"/>
        <w:contextualSpacing w:val="0"/>
        <w:rPr>
          <w:rFonts w:cstheme="minorHAnsi"/>
        </w:rPr>
      </w:pPr>
      <w:r w:rsidRPr="0063107B">
        <w:rPr>
          <w:rFonts w:cstheme="minorHAnsi"/>
        </w:rPr>
        <w:t>Use</w:t>
      </w:r>
      <w:r w:rsidRPr="0063107B">
        <w:rPr>
          <w:rFonts w:cstheme="minorHAnsi"/>
          <w:spacing w:val="-7"/>
        </w:rPr>
        <w:t xml:space="preserve"> </w:t>
      </w:r>
      <w:r w:rsidRPr="0063107B">
        <w:rPr>
          <w:rFonts w:cstheme="minorHAnsi"/>
        </w:rPr>
        <w:t>of</w:t>
      </w:r>
      <w:r w:rsidRPr="0063107B">
        <w:rPr>
          <w:rFonts w:cstheme="minorHAnsi"/>
          <w:spacing w:val="-4"/>
        </w:rPr>
        <w:t xml:space="preserve"> </w:t>
      </w:r>
      <w:r w:rsidRPr="0063107B">
        <w:rPr>
          <w:rFonts w:cstheme="minorHAnsi"/>
        </w:rPr>
        <w:t>local</w:t>
      </w:r>
      <w:r w:rsidRPr="0063107B">
        <w:rPr>
          <w:rFonts w:cstheme="minorHAnsi"/>
          <w:spacing w:val="-1"/>
        </w:rPr>
        <w:t xml:space="preserve"> </w:t>
      </w:r>
      <w:r w:rsidRPr="0063107B">
        <w:rPr>
          <w:rFonts w:cstheme="minorHAnsi"/>
        </w:rPr>
        <w:t>service</w:t>
      </w:r>
      <w:r w:rsidRPr="0063107B">
        <w:rPr>
          <w:rFonts w:cstheme="minorHAnsi"/>
          <w:spacing w:val="-1"/>
        </w:rPr>
        <w:t xml:space="preserve"> </w:t>
      </w:r>
      <w:r w:rsidRPr="0063107B">
        <w:rPr>
          <w:rFonts w:cstheme="minorHAnsi"/>
          <w:spacing w:val="-2"/>
        </w:rPr>
        <w:t>providers</w:t>
      </w:r>
    </w:p>
    <w:p w14:paraId="3FA4A7F8" w14:textId="77777777" w:rsidR="00E237B8" w:rsidRPr="0063107B" w:rsidRDefault="00E237B8" w:rsidP="007B3B6F">
      <w:pPr>
        <w:pStyle w:val="ListParagraph"/>
        <w:widowControl w:val="0"/>
        <w:numPr>
          <w:ilvl w:val="1"/>
          <w:numId w:val="537"/>
        </w:numPr>
        <w:tabs>
          <w:tab w:val="left" w:pos="1540"/>
        </w:tabs>
        <w:autoSpaceDE w:val="0"/>
        <w:autoSpaceDN w:val="0"/>
        <w:spacing w:before="39" w:after="0" w:line="240" w:lineRule="auto"/>
        <w:contextualSpacing w:val="0"/>
        <w:rPr>
          <w:rFonts w:cstheme="minorHAnsi"/>
        </w:rPr>
      </w:pPr>
      <w:r w:rsidRPr="0063107B">
        <w:rPr>
          <w:rFonts w:cstheme="minorHAnsi"/>
        </w:rPr>
        <w:t>Use</w:t>
      </w:r>
      <w:r w:rsidRPr="0063107B">
        <w:rPr>
          <w:rFonts w:cstheme="minorHAnsi"/>
          <w:spacing w:val="-7"/>
        </w:rPr>
        <w:t xml:space="preserve"> </w:t>
      </w:r>
      <w:r w:rsidRPr="0063107B">
        <w:rPr>
          <w:rFonts w:cstheme="minorHAnsi"/>
        </w:rPr>
        <w:t>of</w:t>
      </w:r>
      <w:r w:rsidRPr="0063107B">
        <w:rPr>
          <w:rFonts w:cstheme="minorHAnsi"/>
          <w:spacing w:val="-2"/>
        </w:rPr>
        <w:t xml:space="preserve"> </w:t>
      </w:r>
      <w:r w:rsidRPr="0063107B">
        <w:rPr>
          <w:rFonts w:cstheme="minorHAnsi"/>
        </w:rPr>
        <w:t>local</w:t>
      </w:r>
      <w:r w:rsidRPr="0063107B">
        <w:rPr>
          <w:rFonts w:cstheme="minorHAnsi"/>
          <w:spacing w:val="-2"/>
        </w:rPr>
        <w:t xml:space="preserve"> </w:t>
      </w:r>
      <w:r w:rsidRPr="0063107B">
        <w:rPr>
          <w:rFonts w:cstheme="minorHAnsi"/>
        </w:rPr>
        <w:t>food</w:t>
      </w:r>
      <w:r w:rsidRPr="0063107B">
        <w:rPr>
          <w:rFonts w:cstheme="minorHAnsi"/>
          <w:spacing w:val="-7"/>
        </w:rPr>
        <w:t xml:space="preserve"> </w:t>
      </w:r>
      <w:r w:rsidRPr="0063107B">
        <w:rPr>
          <w:rFonts w:cstheme="minorHAnsi"/>
        </w:rPr>
        <w:t>and</w:t>
      </w:r>
      <w:r w:rsidRPr="0063107B">
        <w:rPr>
          <w:rFonts w:cstheme="minorHAnsi"/>
          <w:spacing w:val="-5"/>
        </w:rPr>
        <w:t xml:space="preserve"> </w:t>
      </w:r>
      <w:r w:rsidRPr="0063107B">
        <w:rPr>
          <w:rFonts w:cstheme="minorHAnsi"/>
        </w:rPr>
        <w:t>beverage</w:t>
      </w:r>
      <w:r w:rsidRPr="0063107B">
        <w:rPr>
          <w:rFonts w:cstheme="minorHAnsi"/>
          <w:spacing w:val="-2"/>
        </w:rPr>
        <w:t xml:space="preserve"> providers</w:t>
      </w:r>
    </w:p>
    <w:p w14:paraId="2ACC98C1" w14:textId="77777777" w:rsidR="00E237B8" w:rsidRPr="0063107B" w:rsidRDefault="00E237B8" w:rsidP="007B3B6F">
      <w:pPr>
        <w:pStyle w:val="ListParagraph"/>
        <w:widowControl w:val="0"/>
        <w:numPr>
          <w:ilvl w:val="1"/>
          <w:numId w:val="537"/>
        </w:numPr>
        <w:tabs>
          <w:tab w:val="left" w:pos="1540"/>
        </w:tabs>
        <w:autoSpaceDE w:val="0"/>
        <w:autoSpaceDN w:val="0"/>
        <w:spacing w:before="44" w:after="0" w:line="240" w:lineRule="auto"/>
        <w:contextualSpacing w:val="0"/>
        <w:rPr>
          <w:rFonts w:cstheme="minorHAnsi"/>
        </w:rPr>
      </w:pPr>
      <w:r w:rsidRPr="0063107B">
        <w:rPr>
          <w:rFonts w:cstheme="minorHAnsi"/>
        </w:rPr>
        <w:t>Sourcing</w:t>
      </w:r>
      <w:r w:rsidRPr="0063107B">
        <w:rPr>
          <w:rFonts w:cstheme="minorHAnsi"/>
          <w:spacing w:val="-6"/>
        </w:rPr>
        <w:t xml:space="preserve"> </w:t>
      </w:r>
      <w:r w:rsidRPr="0063107B">
        <w:rPr>
          <w:rFonts w:cstheme="minorHAnsi"/>
        </w:rPr>
        <w:t>of</w:t>
      </w:r>
      <w:r w:rsidRPr="0063107B">
        <w:rPr>
          <w:rFonts w:cstheme="minorHAnsi"/>
          <w:spacing w:val="-11"/>
        </w:rPr>
        <w:t xml:space="preserve"> </w:t>
      </w:r>
      <w:r w:rsidRPr="0063107B">
        <w:rPr>
          <w:rFonts w:cstheme="minorHAnsi"/>
        </w:rPr>
        <w:t>materials</w:t>
      </w:r>
      <w:r w:rsidRPr="0063107B">
        <w:rPr>
          <w:rFonts w:cstheme="minorHAnsi"/>
          <w:spacing w:val="-8"/>
        </w:rPr>
        <w:t xml:space="preserve"> </w:t>
      </w:r>
      <w:r w:rsidRPr="0063107B">
        <w:rPr>
          <w:rFonts w:cstheme="minorHAnsi"/>
        </w:rPr>
        <w:t>and</w:t>
      </w:r>
      <w:r w:rsidRPr="0063107B">
        <w:rPr>
          <w:rFonts w:cstheme="minorHAnsi"/>
          <w:spacing w:val="-6"/>
        </w:rPr>
        <w:t xml:space="preserve"> </w:t>
      </w:r>
      <w:r w:rsidRPr="0063107B">
        <w:rPr>
          <w:rFonts w:cstheme="minorHAnsi"/>
        </w:rPr>
        <w:t>consumables</w:t>
      </w:r>
      <w:r w:rsidRPr="0063107B">
        <w:rPr>
          <w:rFonts w:cstheme="minorHAnsi"/>
          <w:spacing w:val="-3"/>
        </w:rPr>
        <w:t xml:space="preserve"> </w:t>
      </w:r>
      <w:r w:rsidRPr="0063107B">
        <w:rPr>
          <w:rFonts w:cstheme="minorHAnsi"/>
          <w:spacing w:val="-2"/>
        </w:rPr>
        <w:t>locally</w:t>
      </w:r>
    </w:p>
    <w:p w14:paraId="060CFEC8" w14:textId="77777777" w:rsidR="00E237B8" w:rsidRPr="0063107B" w:rsidRDefault="00E237B8" w:rsidP="007B3B6F">
      <w:pPr>
        <w:pStyle w:val="ListParagraph"/>
        <w:widowControl w:val="0"/>
        <w:numPr>
          <w:ilvl w:val="0"/>
          <w:numId w:val="537"/>
        </w:numPr>
        <w:tabs>
          <w:tab w:val="left" w:pos="1172"/>
          <w:tab w:val="left" w:pos="1175"/>
        </w:tabs>
        <w:autoSpaceDE w:val="0"/>
        <w:autoSpaceDN w:val="0"/>
        <w:spacing w:before="31" w:after="0" w:line="240" w:lineRule="auto"/>
        <w:ind w:left="1175" w:right="386" w:hanging="356"/>
        <w:contextualSpacing w:val="0"/>
        <w:jc w:val="both"/>
        <w:rPr>
          <w:rFonts w:cstheme="minorHAnsi"/>
          <w:u w:val="single"/>
        </w:rPr>
      </w:pPr>
      <w:r w:rsidRPr="0063107B">
        <w:rPr>
          <w:rFonts w:cstheme="minorHAnsi"/>
        </w:rPr>
        <w:t>Community Participation and Benefits – provide commentary on initiatives to support Aboriginal business and indigenous community, local trade support, Australian manufacturing, and community benefit (i.e. corporate philanthropy or employment development programs for</w:t>
      </w:r>
      <w:r w:rsidRPr="0063107B">
        <w:rPr>
          <w:rFonts w:cstheme="minorHAnsi"/>
          <w:spacing w:val="-3"/>
        </w:rPr>
        <w:t xml:space="preserve"> </w:t>
      </w:r>
      <w:r w:rsidRPr="0063107B">
        <w:rPr>
          <w:rFonts w:cstheme="minorHAnsi"/>
        </w:rPr>
        <w:t>Corporate Social</w:t>
      </w:r>
      <w:r w:rsidRPr="0063107B">
        <w:rPr>
          <w:rFonts w:cstheme="minorHAnsi"/>
          <w:spacing w:val="-1"/>
        </w:rPr>
        <w:t xml:space="preserve"> </w:t>
      </w:r>
      <w:r w:rsidRPr="0063107B">
        <w:rPr>
          <w:rFonts w:cstheme="minorHAnsi"/>
        </w:rPr>
        <w:t>Responsibility such as</w:t>
      </w:r>
      <w:r w:rsidRPr="0063107B">
        <w:rPr>
          <w:rFonts w:cstheme="minorHAnsi"/>
          <w:spacing w:val="-1"/>
        </w:rPr>
        <w:t xml:space="preserve"> </w:t>
      </w:r>
      <w:r w:rsidRPr="0063107B">
        <w:rPr>
          <w:rFonts w:cstheme="minorHAnsi"/>
        </w:rPr>
        <w:t>disability enterprise</w:t>
      </w:r>
      <w:r w:rsidRPr="0063107B">
        <w:rPr>
          <w:rFonts w:cstheme="minorHAnsi"/>
          <w:spacing w:val="-1"/>
        </w:rPr>
        <w:t xml:space="preserve"> </w:t>
      </w:r>
      <w:r w:rsidRPr="0063107B">
        <w:rPr>
          <w:rFonts w:cstheme="minorHAnsi"/>
        </w:rPr>
        <w:t>or special needs).</w:t>
      </w:r>
    </w:p>
    <w:p w14:paraId="3B96E9E4" w14:textId="77777777" w:rsidR="00E237B8" w:rsidRPr="0063107B" w:rsidRDefault="00E237B8" w:rsidP="003E3A67">
      <w:pPr>
        <w:tabs>
          <w:tab w:val="left" w:pos="1172"/>
          <w:tab w:val="left" w:pos="1175"/>
        </w:tabs>
        <w:spacing w:before="31" w:after="0"/>
        <w:ind w:left="819" w:right="386"/>
        <w:jc w:val="both"/>
        <w:rPr>
          <w:rFonts w:cstheme="minorHAnsi"/>
          <w:u w:val="single"/>
        </w:rPr>
      </w:pPr>
    </w:p>
    <w:p w14:paraId="2797A240" w14:textId="77777777" w:rsidR="00E237B8" w:rsidRPr="0063107B" w:rsidRDefault="00E237B8" w:rsidP="003E3A67">
      <w:pPr>
        <w:tabs>
          <w:tab w:val="left" w:pos="1172"/>
          <w:tab w:val="left" w:pos="1175"/>
        </w:tabs>
        <w:spacing w:before="31" w:after="0"/>
        <w:ind w:left="142" w:right="386"/>
        <w:jc w:val="both"/>
        <w:rPr>
          <w:rFonts w:cstheme="minorHAnsi"/>
          <w:b/>
          <w:bCs/>
          <w:u w:val="single"/>
        </w:rPr>
      </w:pPr>
      <w:r w:rsidRPr="0063107B">
        <w:rPr>
          <w:rFonts w:cstheme="minorHAnsi"/>
          <w:b/>
          <w:bCs/>
          <w:u w:val="single"/>
        </w:rPr>
        <w:t>Authorisation</w:t>
      </w:r>
      <w:r w:rsidRPr="0063107B">
        <w:rPr>
          <w:rFonts w:cstheme="minorHAnsi"/>
          <w:b/>
          <w:bCs/>
          <w:spacing w:val="-12"/>
          <w:u w:val="single"/>
        </w:rPr>
        <w:t xml:space="preserve"> </w:t>
      </w:r>
      <w:r w:rsidRPr="0063107B">
        <w:rPr>
          <w:rFonts w:cstheme="minorHAnsi"/>
          <w:b/>
          <w:bCs/>
          <w:u w:val="single"/>
        </w:rPr>
        <w:t>of</w:t>
      </w:r>
      <w:r w:rsidRPr="0063107B">
        <w:rPr>
          <w:rFonts w:cstheme="minorHAnsi"/>
          <w:b/>
          <w:bCs/>
          <w:spacing w:val="-11"/>
          <w:u w:val="single"/>
        </w:rPr>
        <w:t xml:space="preserve"> </w:t>
      </w:r>
      <w:r w:rsidRPr="0063107B">
        <w:rPr>
          <w:rFonts w:cstheme="minorHAnsi"/>
          <w:b/>
          <w:bCs/>
          <w:spacing w:val="-2"/>
          <w:u w:val="single"/>
        </w:rPr>
        <w:t>Expenditure</w:t>
      </w:r>
    </w:p>
    <w:p w14:paraId="7F384398" w14:textId="77777777" w:rsidR="00E237B8" w:rsidRPr="0063107B" w:rsidRDefault="00E237B8" w:rsidP="003E3A67">
      <w:pPr>
        <w:pStyle w:val="BodyText"/>
        <w:spacing w:line="242" w:lineRule="auto"/>
        <w:ind w:left="142" w:right="391"/>
        <w:jc w:val="both"/>
        <w:rPr>
          <w:rFonts w:asciiTheme="minorHAnsi" w:hAnsiTheme="minorHAnsi" w:cstheme="minorHAnsi"/>
        </w:rPr>
      </w:pPr>
      <w:r w:rsidRPr="0063107B">
        <w:rPr>
          <w:rFonts w:asciiTheme="minorHAnsi" w:hAnsiTheme="minorHAnsi" w:cstheme="minorHAnsi"/>
        </w:rPr>
        <w:t xml:space="preserve">Acceptance of tenders and quotations and the </w:t>
      </w:r>
      <w:proofErr w:type="spellStart"/>
      <w:r w:rsidRPr="0063107B">
        <w:rPr>
          <w:rFonts w:asciiTheme="minorHAnsi" w:hAnsiTheme="minorHAnsi" w:cstheme="minorHAnsi"/>
        </w:rPr>
        <w:t>authorisation</w:t>
      </w:r>
      <w:proofErr w:type="spellEnd"/>
      <w:r w:rsidRPr="0063107B">
        <w:rPr>
          <w:rFonts w:asciiTheme="minorHAnsi" w:hAnsiTheme="minorHAnsi" w:cstheme="minorHAnsi"/>
        </w:rPr>
        <w:t xml:space="preserve"> of expenditure is to comply with the Town’s purchasing requirements, associated policies and procedures and within the relevant delegation or limit of authority.</w:t>
      </w:r>
    </w:p>
    <w:p w14:paraId="2C860FF6" w14:textId="77777777" w:rsidR="00E237B8" w:rsidRPr="0063107B" w:rsidRDefault="00E237B8" w:rsidP="003E3A67">
      <w:pPr>
        <w:pStyle w:val="BodyText"/>
        <w:spacing w:before="195"/>
        <w:ind w:left="142" w:right="393"/>
        <w:jc w:val="both"/>
        <w:rPr>
          <w:rFonts w:asciiTheme="minorHAnsi" w:hAnsiTheme="minorHAnsi" w:cstheme="minorHAnsi"/>
        </w:rPr>
      </w:pPr>
      <w:r w:rsidRPr="0063107B">
        <w:rPr>
          <w:rFonts w:asciiTheme="minorHAnsi" w:hAnsiTheme="minorHAnsi" w:cstheme="minorHAnsi"/>
        </w:rPr>
        <w:t>All purchases</w:t>
      </w:r>
      <w:r w:rsidRPr="0063107B">
        <w:rPr>
          <w:rFonts w:asciiTheme="minorHAnsi" w:hAnsiTheme="minorHAnsi" w:cstheme="minorHAnsi"/>
          <w:spacing w:val="-1"/>
        </w:rPr>
        <w:t xml:space="preserve"> </w:t>
      </w:r>
      <w:r w:rsidRPr="0063107B">
        <w:rPr>
          <w:rFonts w:asciiTheme="minorHAnsi" w:hAnsiTheme="minorHAnsi" w:cstheme="minorHAnsi"/>
        </w:rPr>
        <w:t>of</w:t>
      </w:r>
      <w:r w:rsidRPr="0063107B">
        <w:rPr>
          <w:rFonts w:asciiTheme="minorHAnsi" w:hAnsiTheme="minorHAnsi" w:cstheme="minorHAnsi"/>
          <w:spacing w:val="-2"/>
        </w:rPr>
        <w:t xml:space="preserve"> </w:t>
      </w:r>
      <w:r w:rsidRPr="0063107B">
        <w:rPr>
          <w:rFonts w:asciiTheme="minorHAnsi" w:hAnsiTheme="minorHAnsi" w:cstheme="minorHAnsi"/>
        </w:rPr>
        <w:t>goods</w:t>
      </w:r>
      <w:r w:rsidRPr="0063107B">
        <w:rPr>
          <w:rFonts w:asciiTheme="minorHAnsi" w:hAnsiTheme="minorHAnsi" w:cstheme="minorHAnsi"/>
          <w:spacing w:val="-2"/>
        </w:rPr>
        <w:t xml:space="preserve"> </w:t>
      </w:r>
      <w:r w:rsidRPr="0063107B">
        <w:rPr>
          <w:rFonts w:asciiTheme="minorHAnsi" w:hAnsiTheme="minorHAnsi" w:cstheme="minorHAnsi"/>
        </w:rPr>
        <w:t>or</w:t>
      </w:r>
      <w:r w:rsidRPr="0063107B">
        <w:rPr>
          <w:rFonts w:asciiTheme="minorHAnsi" w:hAnsiTheme="minorHAnsi" w:cstheme="minorHAnsi"/>
          <w:spacing w:val="-2"/>
        </w:rPr>
        <w:t xml:space="preserve"> </w:t>
      </w:r>
      <w:r w:rsidRPr="0063107B">
        <w:rPr>
          <w:rFonts w:asciiTheme="minorHAnsi" w:hAnsiTheme="minorHAnsi" w:cstheme="minorHAnsi"/>
        </w:rPr>
        <w:t>services other than</w:t>
      </w:r>
      <w:r w:rsidRPr="0063107B">
        <w:rPr>
          <w:rFonts w:asciiTheme="minorHAnsi" w:hAnsiTheme="minorHAnsi" w:cstheme="minorHAnsi"/>
          <w:spacing w:val="-4"/>
        </w:rPr>
        <w:t xml:space="preserve"> </w:t>
      </w:r>
      <w:r w:rsidRPr="0063107B">
        <w:rPr>
          <w:rFonts w:asciiTheme="minorHAnsi" w:hAnsiTheme="minorHAnsi" w:cstheme="minorHAnsi"/>
        </w:rPr>
        <w:t>those goods</w:t>
      </w:r>
      <w:r w:rsidRPr="0063107B">
        <w:rPr>
          <w:rFonts w:asciiTheme="minorHAnsi" w:hAnsiTheme="minorHAnsi" w:cstheme="minorHAnsi"/>
          <w:spacing w:val="-4"/>
        </w:rPr>
        <w:t xml:space="preserve"> </w:t>
      </w:r>
      <w:r w:rsidRPr="0063107B">
        <w:rPr>
          <w:rFonts w:asciiTheme="minorHAnsi" w:hAnsiTheme="minorHAnsi" w:cstheme="minorHAnsi"/>
        </w:rPr>
        <w:t>or services deemed an emergency</w:t>
      </w:r>
      <w:r w:rsidRPr="0063107B">
        <w:rPr>
          <w:rFonts w:asciiTheme="minorHAnsi" w:hAnsiTheme="minorHAnsi" w:cstheme="minorHAnsi"/>
          <w:spacing w:val="-2"/>
        </w:rPr>
        <w:t xml:space="preserve"> </w:t>
      </w:r>
      <w:r w:rsidRPr="0063107B">
        <w:rPr>
          <w:rFonts w:asciiTheme="minorHAnsi" w:hAnsiTheme="minorHAnsi" w:cstheme="minorHAnsi"/>
        </w:rPr>
        <w:t>or those outside of normal business hours are only to be purchases after the approval of an appropriate purchase requisition and the receipt of a relevant purchase order.</w:t>
      </w:r>
    </w:p>
    <w:p w14:paraId="2E1F2004" w14:textId="77777777" w:rsidR="00E237B8" w:rsidRPr="0063107B" w:rsidRDefault="00E237B8" w:rsidP="003E3A67">
      <w:pPr>
        <w:pStyle w:val="BodyText"/>
        <w:spacing w:before="200"/>
        <w:ind w:left="142" w:right="400"/>
        <w:jc w:val="both"/>
        <w:rPr>
          <w:rFonts w:asciiTheme="minorHAnsi" w:hAnsiTheme="minorHAnsi" w:cstheme="minorHAnsi"/>
        </w:rPr>
      </w:pPr>
      <w:r w:rsidRPr="0063107B">
        <w:rPr>
          <w:rFonts w:asciiTheme="minorHAnsi" w:hAnsiTheme="minorHAnsi" w:cstheme="minorHAnsi"/>
        </w:rPr>
        <w:t xml:space="preserve">The confirmation of any purchase after the completion of a quotation / tender process must be </w:t>
      </w:r>
      <w:proofErr w:type="spellStart"/>
      <w:r w:rsidRPr="0063107B">
        <w:rPr>
          <w:rFonts w:asciiTheme="minorHAnsi" w:hAnsiTheme="minorHAnsi" w:cstheme="minorHAnsi"/>
        </w:rPr>
        <w:t>authorised</w:t>
      </w:r>
      <w:proofErr w:type="spellEnd"/>
      <w:r w:rsidRPr="0063107B">
        <w:rPr>
          <w:rFonts w:asciiTheme="minorHAnsi" w:hAnsiTheme="minorHAnsi" w:cstheme="minorHAnsi"/>
        </w:rPr>
        <w:t xml:space="preserve"> by an officer to whom authority to incur a liability has been delegated ensuring that sufficient funds have been provided for in the Town’s annual budget.</w:t>
      </w:r>
    </w:p>
    <w:p w14:paraId="7B1C1683" w14:textId="77777777" w:rsidR="00E237B8" w:rsidRPr="003E3A67" w:rsidRDefault="00E237B8" w:rsidP="003E3A67">
      <w:pPr>
        <w:spacing w:before="200" w:after="0"/>
        <w:ind w:left="142"/>
        <w:rPr>
          <w:b/>
          <w:bCs/>
          <w:u w:val="single"/>
        </w:rPr>
      </w:pPr>
      <w:r w:rsidRPr="003E3A67">
        <w:rPr>
          <w:b/>
          <w:bCs/>
          <w:u w:val="single"/>
        </w:rPr>
        <w:t>Record</w:t>
      </w:r>
      <w:r w:rsidRPr="003E3A67">
        <w:rPr>
          <w:b/>
          <w:bCs/>
          <w:spacing w:val="-9"/>
          <w:u w:val="single"/>
        </w:rPr>
        <w:t xml:space="preserve"> </w:t>
      </w:r>
      <w:r w:rsidRPr="003E3A67">
        <w:rPr>
          <w:b/>
          <w:bCs/>
          <w:u w:val="single"/>
        </w:rPr>
        <w:t>Management</w:t>
      </w:r>
    </w:p>
    <w:p w14:paraId="7F98905A" w14:textId="77777777" w:rsidR="00E237B8" w:rsidRPr="0063107B" w:rsidRDefault="00E237B8" w:rsidP="003E3A67">
      <w:pPr>
        <w:pStyle w:val="BodyText"/>
        <w:spacing w:before="22"/>
        <w:ind w:left="142"/>
        <w:rPr>
          <w:rFonts w:asciiTheme="minorHAnsi" w:hAnsiTheme="minorHAnsi" w:cstheme="minorHAnsi"/>
        </w:rPr>
      </w:pPr>
      <w:r w:rsidRPr="0063107B">
        <w:rPr>
          <w:rFonts w:asciiTheme="minorHAnsi" w:hAnsiTheme="minorHAnsi" w:cstheme="minorHAnsi"/>
        </w:rPr>
        <w:t>Records</w:t>
      </w:r>
      <w:r w:rsidRPr="0063107B">
        <w:rPr>
          <w:rFonts w:asciiTheme="minorHAnsi" w:hAnsiTheme="minorHAnsi" w:cstheme="minorHAnsi"/>
          <w:spacing w:val="20"/>
        </w:rPr>
        <w:t xml:space="preserve"> </w:t>
      </w:r>
      <w:r w:rsidRPr="0063107B">
        <w:rPr>
          <w:rFonts w:asciiTheme="minorHAnsi" w:hAnsiTheme="minorHAnsi" w:cstheme="minorHAnsi"/>
        </w:rPr>
        <w:t>of</w:t>
      </w:r>
      <w:r w:rsidRPr="0063107B">
        <w:rPr>
          <w:rFonts w:asciiTheme="minorHAnsi" w:hAnsiTheme="minorHAnsi" w:cstheme="minorHAnsi"/>
          <w:spacing w:val="22"/>
        </w:rPr>
        <w:t xml:space="preserve"> </w:t>
      </w:r>
      <w:r w:rsidRPr="0063107B">
        <w:rPr>
          <w:rFonts w:asciiTheme="minorHAnsi" w:hAnsiTheme="minorHAnsi" w:cstheme="minorHAnsi"/>
        </w:rPr>
        <w:t>all</w:t>
      </w:r>
      <w:r w:rsidRPr="0063107B">
        <w:rPr>
          <w:rFonts w:asciiTheme="minorHAnsi" w:hAnsiTheme="minorHAnsi" w:cstheme="minorHAnsi"/>
          <w:spacing w:val="21"/>
        </w:rPr>
        <w:t xml:space="preserve"> </w:t>
      </w:r>
      <w:r w:rsidRPr="0063107B">
        <w:rPr>
          <w:rFonts w:asciiTheme="minorHAnsi" w:hAnsiTheme="minorHAnsi" w:cstheme="minorHAnsi"/>
        </w:rPr>
        <w:t>purchasing activity</w:t>
      </w:r>
      <w:r w:rsidRPr="0063107B">
        <w:rPr>
          <w:rFonts w:asciiTheme="minorHAnsi" w:hAnsiTheme="minorHAnsi" w:cstheme="minorHAnsi"/>
          <w:spacing w:val="20"/>
        </w:rPr>
        <w:t xml:space="preserve"> </w:t>
      </w:r>
      <w:r w:rsidRPr="0063107B">
        <w:rPr>
          <w:rFonts w:asciiTheme="minorHAnsi" w:hAnsiTheme="minorHAnsi" w:cstheme="minorHAnsi"/>
        </w:rPr>
        <w:t>must</w:t>
      </w:r>
      <w:r w:rsidRPr="0063107B">
        <w:rPr>
          <w:rFonts w:asciiTheme="minorHAnsi" w:hAnsiTheme="minorHAnsi" w:cstheme="minorHAnsi"/>
          <w:spacing w:val="20"/>
        </w:rPr>
        <w:t xml:space="preserve"> </w:t>
      </w:r>
      <w:r w:rsidRPr="0063107B">
        <w:rPr>
          <w:rFonts w:asciiTheme="minorHAnsi" w:hAnsiTheme="minorHAnsi" w:cstheme="minorHAnsi"/>
        </w:rPr>
        <w:t>be</w:t>
      </w:r>
      <w:r w:rsidRPr="0063107B">
        <w:rPr>
          <w:rFonts w:asciiTheme="minorHAnsi" w:hAnsiTheme="minorHAnsi" w:cstheme="minorHAnsi"/>
          <w:spacing w:val="22"/>
        </w:rPr>
        <w:t xml:space="preserve"> </w:t>
      </w:r>
      <w:r w:rsidRPr="0063107B">
        <w:rPr>
          <w:rFonts w:asciiTheme="minorHAnsi" w:hAnsiTheme="minorHAnsi" w:cstheme="minorHAnsi"/>
        </w:rPr>
        <w:t>retained</w:t>
      </w:r>
      <w:r w:rsidRPr="0063107B">
        <w:rPr>
          <w:rFonts w:asciiTheme="minorHAnsi" w:hAnsiTheme="minorHAnsi" w:cstheme="minorHAnsi"/>
          <w:spacing w:val="22"/>
        </w:rPr>
        <w:t xml:space="preserve"> </w:t>
      </w:r>
      <w:r w:rsidRPr="0063107B">
        <w:rPr>
          <w:rFonts w:asciiTheme="minorHAnsi" w:hAnsiTheme="minorHAnsi" w:cstheme="minorHAnsi"/>
        </w:rPr>
        <w:t>in</w:t>
      </w:r>
      <w:r w:rsidRPr="0063107B">
        <w:rPr>
          <w:rFonts w:asciiTheme="minorHAnsi" w:hAnsiTheme="minorHAnsi" w:cstheme="minorHAnsi"/>
          <w:spacing w:val="21"/>
        </w:rPr>
        <w:t xml:space="preserve"> </w:t>
      </w:r>
      <w:r w:rsidRPr="0063107B">
        <w:rPr>
          <w:rFonts w:asciiTheme="minorHAnsi" w:hAnsiTheme="minorHAnsi" w:cstheme="minorHAnsi"/>
        </w:rPr>
        <w:t>compliance</w:t>
      </w:r>
      <w:r w:rsidRPr="0063107B">
        <w:rPr>
          <w:rFonts w:asciiTheme="minorHAnsi" w:hAnsiTheme="minorHAnsi" w:cstheme="minorHAnsi"/>
          <w:spacing w:val="20"/>
        </w:rPr>
        <w:t xml:space="preserve"> </w:t>
      </w:r>
      <w:r w:rsidRPr="0063107B">
        <w:rPr>
          <w:rFonts w:asciiTheme="minorHAnsi" w:hAnsiTheme="minorHAnsi" w:cstheme="minorHAnsi"/>
        </w:rPr>
        <w:t>with the</w:t>
      </w:r>
      <w:r w:rsidRPr="0063107B">
        <w:rPr>
          <w:rFonts w:asciiTheme="minorHAnsi" w:hAnsiTheme="minorHAnsi" w:cstheme="minorHAnsi"/>
          <w:spacing w:val="22"/>
        </w:rPr>
        <w:t xml:space="preserve"> </w:t>
      </w:r>
      <w:r w:rsidRPr="0063107B">
        <w:rPr>
          <w:rFonts w:asciiTheme="minorHAnsi" w:hAnsiTheme="minorHAnsi" w:cstheme="minorHAnsi"/>
          <w:i/>
          <w:iCs/>
        </w:rPr>
        <w:t>State</w:t>
      </w:r>
      <w:r w:rsidRPr="0063107B">
        <w:rPr>
          <w:rFonts w:asciiTheme="minorHAnsi" w:hAnsiTheme="minorHAnsi" w:cstheme="minorHAnsi"/>
          <w:i/>
          <w:iCs/>
          <w:spacing w:val="22"/>
        </w:rPr>
        <w:t xml:space="preserve"> </w:t>
      </w:r>
      <w:r w:rsidRPr="0063107B">
        <w:rPr>
          <w:rFonts w:asciiTheme="minorHAnsi" w:hAnsiTheme="minorHAnsi" w:cstheme="minorHAnsi"/>
          <w:i/>
          <w:iCs/>
        </w:rPr>
        <w:t>Records</w:t>
      </w:r>
      <w:r w:rsidRPr="0063107B">
        <w:rPr>
          <w:rFonts w:asciiTheme="minorHAnsi" w:hAnsiTheme="minorHAnsi" w:cstheme="minorHAnsi"/>
          <w:i/>
          <w:iCs/>
          <w:spacing w:val="22"/>
        </w:rPr>
        <w:t xml:space="preserve"> </w:t>
      </w:r>
      <w:r w:rsidRPr="0063107B">
        <w:rPr>
          <w:rFonts w:asciiTheme="minorHAnsi" w:hAnsiTheme="minorHAnsi" w:cstheme="minorHAnsi"/>
          <w:i/>
          <w:iCs/>
        </w:rPr>
        <w:t>Act</w:t>
      </w:r>
      <w:r w:rsidRPr="0063107B">
        <w:rPr>
          <w:rFonts w:asciiTheme="minorHAnsi" w:hAnsiTheme="minorHAnsi" w:cstheme="minorHAnsi"/>
          <w:i/>
          <w:iCs/>
          <w:spacing w:val="20"/>
        </w:rPr>
        <w:t xml:space="preserve"> </w:t>
      </w:r>
      <w:r w:rsidRPr="0063107B">
        <w:rPr>
          <w:rFonts w:asciiTheme="minorHAnsi" w:hAnsiTheme="minorHAnsi" w:cstheme="minorHAnsi"/>
          <w:i/>
          <w:iCs/>
        </w:rPr>
        <w:t>2000</w:t>
      </w:r>
      <w:r w:rsidRPr="0063107B">
        <w:rPr>
          <w:rFonts w:asciiTheme="minorHAnsi" w:hAnsiTheme="minorHAnsi" w:cstheme="minorHAnsi"/>
        </w:rPr>
        <w:t xml:space="preserve"> (WA); the Town’s Records Keeping Plan and associated procurement procedures.</w:t>
      </w:r>
    </w:p>
    <w:p w14:paraId="1AE6DB23" w14:textId="77777777" w:rsidR="00E237B8" w:rsidRPr="0063107B" w:rsidRDefault="00E237B8" w:rsidP="003E3A67">
      <w:pPr>
        <w:pStyle w:val="BodyText"/>
        <w:spacing w:before="200"/>
        <w:ind w:left="142"/>
        <w:rPr>
          <w:rFonts w:asciiTheme="minorHAnsi" w:hAnsiTheme="minorHAnsi" w:cstheme="minorHAnsi"/>
        </w:rPr>
      </w:pPr>
      <w:r w:rsidRPr="0063107B">
        <w:rPr>
          <w:rFonts w:asciiTheme="minorHAnsi" w:hAnsiTheme="minorHAnsi" w:cstheme="minorHAnsi"/>
        </w:rPr>
        <w:t>For</w:t>
      </w:r>
      <w:r w:rsidRPr="0063107B">
        <w:rPr>
          <w:rFonts w:asciiTheme="minorHAnsi" w:hAnsiTheme="minorHAnsi" w:cstheme="minorHAnsi"/>
          <w:spacing w:val="-9"/>
        </w:rPr>
        <w:t xml:space="preserve"> </w:t>
      </w:r>
      <w:r w:rsidRPr="0063107B">
        <w:rPr>
          <w:rFonts w:asciiTheme="minorHAnsi" w:hAnsiTheme="minorHAnsi" w:cstheme="minorHAnsi"/>
        </w:rPr>
        <w:t>each</w:t>
      </w:r>
      <w:r w:rsidRPr="0063107B">
        <w:rPr>
          <w:rFonts w:asciiTheme="minorHAnsi" w:hAnsiTheme="minorHAnsi" w:cstheme="minorHAnsi"/>
          <w:spacing w:val="-7"/>
        </w:rPr>
        <w:t xml:space="preserve"> </w:t>
      </w:r>
      <w:r w:rsidRPr="0063107B">
        <w:rPr>
          <w:rFonts w:asciiTheme="minorHAnsi" w:hAnsiTheme="minorHAnsi" w:cstheme="minorHAnsi"/>
        </w:rPr>
        <w:t>procurement</w:t>
      </w:r>
      <w:r w:rsidRPr="0063107B">
        <w:rPr>
          <w:rFonts w:asciiTheme="minorHAnsi" w:hAnsiTheme="minorHAnsi" w:cstheme="minorHAnsi"/>
          <w:spacing w:val="-6"/>
        </w:rPr>
        <w:t xml:space="preserve"> </w:t>
      </w:r>
      <w:r w:rsidRPr="0063107B">
        <w:rPr>
          <w:rFonts w:asciiTheme="minorHAnsi" w:hAnsiTheme="minorHAnsi" w:cstheme="minorHAnsi"/>
        </w:rPr>
        <w:t>activity,</w:t>
      </w:r>
      <w:r w:rsidRPr="0063107B">
        <w:rPr>
          <w:rFonts w:asciiTheme="minorHAnsi" w:hAnsiTheme="minorHAnsi" w:cstheme="minorHAnsi"/>
          <w:spacing w:val="-10"/>
        </w:rPr>
        <w:t xml:space="preserve"> </w:t>
      </w:r>
      <w:r w:rsidRPr="0063107B">
        <w:rPr>
          <w:rFonts w:asciiTheme="minorHAnsi" w:hAnsiTheme="minorHAnsi" w:cstheme="minorHAnsi"/>
        </w:rPr>
        <w:t>such</w:t>
      </w:r>
      <w:r w:rsidRPr="0063107B">
        <w:rPr>
          <w:rFonts w:asciiTheme="minorHAnsi" w:hAnsiTheme="minorHAnsi" w:cstheme="minorHAnsi"/>
          <w:spacing w:val="-8"/>
        </w:rPr>
        <w:t xml:space="preserve"> </w:t>
      </w:r>
      <w:r w:rsidRPr="0063107B">
        <w:rPr>
          <w:rFonts w:asciiTheme="minorHAnsi" w:hAnsiTheme="minorHAnsi" w:cstheme="minorHAnsi"/>
        </w:rPr>
        <w:t>documents</w:t>
      </w:r>
      <w:r w:rsidRPr="0063107B">
        <w:rPr>
          <w:rFonts w:asciiTheme="minorHAnsi" w:hAnsiTheme="minorHAnsi" w:cstheme="minorHAnsi"/>
          <w:spacing w:val="-9"/>
        </w:rPr>
        <w:t xml:space="preserve"> </w:t>
      </w:r>
      <w:r w:rsidRPr="0063107B">
        <w:rPr>
          <w:rFonts w:asciiTheme="minorHAnsi" w:hAnsiTheme="minorHAnsi" w:cstheme="minorHAnsi"/>
        </w:rPr>
        <w:t>may</w:t>
      </w:r>
      <w:r w:rsidRPr="0063107B">
        <w:rPr>
          <w:rFonts w:asciiTheme="minorHAnsi" w:hAnsiTheme="minorHAnsi" w:cstheme="minorHAnsi"/>
          <w:spacing w:val="-5"/>
        </w:rPr>
        <w:t xml:space="preserve"> </w:t>
      </w:r>
      <w:r w:rsidRPr="0063107B">
        <w:rPr>
          <w:rFonts w:asciiTheme="minorHAnsi" w:hAnsiTheme="minorHAnsi" w:cstheme="minorHAnsi"/>
          <w:spacing w:val="-2"/>
        </w:rPr>
        <w:t>include:</w:t>
      </w:r>
    </w:p>
    <w:p w14:paraId="25718CBB" w14:textId="77777777" w:rsidR="00E237B8" w:rsidRPr="0063107B" w:rsidRDefault="00E237B8" w:rsidP="007B3B6F">
      <w:pPr>
        <w:pStyle w:val="ListParagraph"/>
        <w:widowControl w:val="0"/>
        <w:numPr>
          <w:ilvl w:val="0"/>
          <w:numId w:val="539"/>
        </w:numPr>
        <w:tabs>
          <w:tab w:val="left" w:pos="666"/>
        </w:tabs>
        <w:autoSpaceDE w:val="0"/>
        <w:autoSpaceDN w:val="0"/>
        <w:spacing w:before="123" w:after="0" w:line="237" w:lineRule="auto"/>
        <w:ind w:left="666" w:right="392" w:hanging="524"/>
        <w:contextualSpacing w:val="0"/>
        <w:rPr>
          <w:rFonts w:cstheme="minorHAnsi"/>
        </w:rPr>
      </w:pPr>
      <w:r w:rsidRPr="0063107B">
        <w:rPr>
          <w:rFonts w:cstheme="minorHAnsi"/>
        </w:rPr>
        <w:t>the Procurement initiation document such as a procurement business case which justifies the need for a contract to be created (where applicable</w:t>
      </w:r>
      <w:proofErr w:type="gramStart"/>
      <w:r w:rsidRPr="0063107B">
        <w:rPr>
          <w:rFonts w:cstheme="minorHAnsi"/>
        </w:rPr>
        <w:t>);</w:t>
      </w:r>
      <w:proofErr w:type="gramEnd"/>
    </w:p>
    <w:p w14:paraId="1030B28F" w14:textId="77777777" w:rsidR="00E237B8" w:rsidRPr="0063107B" w:rsidRDefault="00E237B8" w:rsidP="007B3B6F">
      <w:pPr>
        <w:pStyle w:val="ListParagraph"/>
        <w:widowControl w:val="0"/>
        <w:numPr>
          <w:ilvl w:val="0"/>
          <w:numId w:val="539"/>
        </w:numPr>
        <w:tabs>
          <w:tab w:val="left" w:pos="666"/>
        </w:tabs>
        <w:autoSpaceDE w:val="0"/>
        <w:autoSpaceDN w:val="0"/>
        <w:spacing w:before="4" w:after="0" w:line="240" w:lineRule="auto"/>
        <w:ind w:left="666" w:right="390" w:hanging="524"/>
        <w:contextualSpacing w:val="0"/>
        <w:rPr>
          <w:rFonts w:cstheme="minorHAnsi"/>
        </w:rPr>
      </w:pPr>
      <w:r w:rsidRPr="0063107B">
        <w:rPr>
          <w:rFonts w:cstheme="minorHAnsi"/>
        </w:rPr>
        <w:t>procurement Planning and approval documentation which describes how the procurement is</w:t>
      </w:r>
      <w:r w:rsidRPr="0063107B">
        <w:rPr>
          <w:rFonts w:cstheme="minorHAnsi"/>
          <w:spacing w:val="40"/>
        </w:rPr>
        <w:t xml:space="preserve"> </w:t>
      </w:r>
      <w:r w:rsidRPr="0063107B">
        <w:rPr>
          <w:rFonts w:cstheme="minorHAnsi"/>
        </w:rPr>
        <w:t xml:space="preserve">to be undertaken to create and manage the </w:t>
      </w:r>
      <w:proofErr w:type="gramStart"/>
      <w:r w:rsidRPr="0063107B">
        <w:rPr>
          <w:rFonts w:cstheme="minorHAnsi"/>
        </w:rPr>
        <w:t>contract;</w:t>
      </w:r>
      <w:proofErr w:type="gramEnd"/>
    </w:p>
    <w:p w14:paraId="373EDC82" w14:textId="77777777" w:rsidR="00E237B8" w:rsidRPr="0063107B" w:rsidRDefault="00E237B8" w:rsidP="007B3B6F">
      <w:pPr>
        <w:pStyle w:val="ListParagraph"/>
        <w:widowControl w:val="0"/>
        <w:numPr>
          <w:ilvl w:val="0"/>
          <w:numId w:val="539"/>
        </w:numPr>
        <w:tabs>
          <w:tab w:val="left" w:pos="666"/>
        </w:tabs>
        <w:autoSpaceDE w:val="0"/>
        <w:autoSpaceDN w:val="0"/>
        <w:spacing w:before="3" w:after="0" w:line="278" w:lineRule="exact"/>
        <w:ind w:left="666" w:hanging="524"/>
        <w:contextualSpacing w:val="0"/>
        <w:rPr>
          <w:rFonts w:cstheme="minorHAnsi"/>
        </w:rPr>
      </w:pPr>
      <w:r w:rsidRPr="0063107B">
        <w:rPr>
          <w:rFonts w:cstheme="minorHAnsi"/>
        </w:rPr>
        <w:t>request</w:t>
      </w:r>
      <w:r w:rsidRPr="0063107B">
        <w:rPr>
          <w:rFonts w:cstheme="minorHAnsi"/>
          <w:spacing w:val="-9"/>
        </w:rPr>
        <w:t xml:space="preserve"> </w:t>
      </w:r>
      <w:r w:rsidRPr="0063107B">
        <w:rPr>
          <w:rFonts w:cstheme="minorHAnsi"/>
        </w:rPr>
        <w:t>for</w:t>
      </w:r>
      <w:r w:rsidRPr="0063107B">
        <w:rPr>
          <w:rFonts w:cstheme="minorHAnsi"/>
          <w:spacing w:val="-13"/>
        </w:rPr>
        <w:t xml:space="preserve"> </w:t>
      </w:r>
      <w:r w:rsidRPr="0063107B">
        <w:rPr>
          <w:rFonts w:cstheme="minorHAnsi"/>
        </w:rPr>
        <w:t>Quotation/Tender</w:t>
      </w:r>
      <w:r w:rsidRPr="0063107B">
        <w:rPr>
          <w:rFonts w:cstheme="minorHAnsi"/>
          <w:spacing w:val="-7"/>
        </w:rPr>
        <w:t xml:space="preserve"> </w:t>
      </w:r>
      <w:proofErr w:type="gramStart"/>
      <w:r w:rsidRPr="0063107B">
        <w:rPr>
          <w:rFonts w:cstheme="minorHAnsi"/>
          <w:spacing w:val="-2"/>
        </w:rPr>
        <w:t>documentation;</w:t>
      </w:r>
      <w:proofErr w:type="gramEnd"/>
    </w:p>
    <w:p w14:paraId="019E48CA" w14:textId="77777777" w:rsidR="00E237B8" w:rsidRPr="0063107B" w:rsidRDefault="00E237B8" w:rsidP="007B3B6F">
      <w:pPr>
        <w:pStyle w:val="ListParagraph"/>
        <w:widowControl w:val="0"/>
        <w:numPr>
          <w:ilvl w:val="0"/>
          <w:numId w:val="539"/>
        </w:numPr>
        <w:tabs>
          <w:tab w:val="left" w:pos="666"/>
        </w:tabs>
        <w:autoSpaceDE w:val="0"/>
        <w:autoSpaceDN w:val="0"/>
        <w:spacing w:after="0" w:line="240" w:lineRule="auto"/>
        <w:ind w:left="666" w:right="393" w:hanging="524"/>
        <w:contextualSpacing w:val="0"/>
        <w:rPr>
          <w:rFonts w:cstheme="minorHAnsi"/>
        </w:rPr>
      </w:pPr>
      <w:r w:rsidRPr="0063107B">
        <w:rPr>
          <w:rFonts w:cstheme="minorHAnsi"/>
        </w:rPr>
        <w:t xml:space="preserve">copy of public advertisement inviting tenders, or the notice of private invitation (whichever is </w:t>
      </w:r>
      <w:r w:rsidRPr="0063107B">
        <w:rPr>
          <w:rFonts w:cstheme="minorHAnsi"/>
          <w:spacing w:val="-2"/>
        </w:rPr>
        <w:t>applicable</w:t>
      </w:r>
      <w:proofErr w:type="gramStart"/>
      <w:r w:rsidRPr="0063107B">
        <w:rPr>
          <w:rFonts w:cstheme="minorHAnsi"/>
          <w:spacing w:val="-2"/>
        </w:rPr>
        <w:t>);</w:t>
      </w:r>
      <w:proofErr w:type="gramEnd"/>
    </w:p>
    <w:p w14:paraId="305B0D87" w14:textId="77777777" w:rsidR="00E237B8" w:rsidRPr="0063107B" w:rsidRDefault="00E237B8" w:rsidP="007B3B6F">
      <w:pPr>
        <w:pStyle w:val="ListParagraph"/>
        <w:widowControl w:val="0"/>
        <w:numPr>
          <w:ilvl w:val="0"/>
          <w:numId w:val="539"/>
        </w:numPr>
        <w:tabs>
          <w:tab w:val="left" w:pos="666"/>
        </w:tabs>
        <w:autoSpaceDE w:val="0"/>
        <w:autoSpaceDN w:val="0"/>
        <w:spacing w:after="0" w:line="240" w:lineRule="auto"/>
        <w:ind w:left="666" w:hanging="524"/>
        <w:contextualSpacing w:val="0"/>
        <w:rPr>
          <w:rFonts w:cstheme="minorHAnsi"/>
        </w:rPr>
      </w:pPr>
      <w:r w:rsidRPr="0063107B">
        <w:rPr>
          <w:rFonts w:cstheme="minorHAnsi"/>
        </w:rPr>
        <w:t>copies</w:t>
      </w:r>
      <w:r w:rsidRPr="0063107B">
        <w:rPr>
          <w:rFonts w:cstheme="minorHAnsi"/>
          <w:spacing w:val="-10"/>
        </w:rPr>
        <w:t xml:space="preserve"> </w:t>
      </w:r>
      <w:r w:rsidRPr="0063107B">
        <w:rPr>
          <w:rFonts w:cstheme="minorHAnsi"/>
        </w:rPr>
        <w:t>of</w:t>
      </w:r>
      <w:r w:rsidRPr="0063107B">
        <w:rPr>
          <w:rFonts w:cstheme="minorHAnsi"/>
          <w:spacing w:val="-8"/>
        </w:rPr>
        <w:t xml:space="preserve"> </w:t>
      </w:r>
      <w:r w:rsidRPr="0063107B">
        <w:rPr>
          <w:rFonts w:cstheme="minorHAnsi"/>
        </w:rPr>
        <w:t>quotes/tenders</w:t>
      </w:r>
      <w:r w:rsidRPr="0063107B">
        <w:rPr>
          <w:rFonts w:cstheme="minorHAnsi"/>
          <w:spacing w:val="-6"/>
        </w:rPr>
        <w:t xml:space="preserve"> </w:t>
      </w:r>
      <w:proofErr w:type="gramStart"/>
      <w:r w:rsidRPr="0063107B">
        <w:rPr>
          <w:rFonts w:cstheme="minorHAnsi"/>
          <w:spacing w:val="-2"/>
        </w:rPr>
        <w:t>received;</w:t>
      </w:r>
      <w:proofErr w:type="gramEnd"/>
    </w:p>
    <w:p w14:paraId="3022CAF6" w14:textId="77777777" w:rsidR="00E237B8" w:rsidRPr="0063107B" w:rsidRDefault="00E237B8" w:rsidP="007B3B6F">
      <w:pPr>
        <w:pStyle w:val="ListParagraph"/>
        <w:widowControl w:val="0"/>
        <w:numPr>
          <w:ilvl w:val="0"/>
          <w:numId w:val="539"/>
        </w:numPr>
        <w:tabs>
          <w:tab w:val="left" w:pos="666"/>
        </w:tabs>
        <w:autoSpaceDE w:val="0"/>
        <w:autoSpaceDN w:val="0"/>
        <w:spacing w:before="76" w:after="0" w:line="279" w:lineRule="exact"/>
        <w:ind w:left="666" w:hanging="524"/>
        <w:contextualSpacing w:val="0"/>
        <w:rPr>
          <w:rFonts w:cstheme="minorHAnsi"/>
        </w:rPr>
      </w:pPr>
      <w:r w:rsidRPr="0063107B">
        <w:rPr>
          <w:rFonts w:cstheme="minorHAnsi"/>
        </w:rPr>
        <w:t>evaluation</w:t>
      </w:r>
      <w:r w:rsidRPr="0063107B">
        <w:rPr>
          <w:rFonts w:cstheme="minorHAnsi"/>
          <w:spacing w:val="-12"/>
        </w:rPr>
        <w:t xml:space="preserve"> </w:t>
      </w:r>
      <w:r w:rsidRPr="0063107B">
        <w:rPr>
          <w:rFonts w:cstheme="minorHAnsi"/>
        </w:rPr>
        <w:t>documentation,</w:t>
      </w:r>
      <w:r w:rsidRPr="0063107B">
        <w:rPr>
          <w:rFonts w:cstheme="minorHAnsi"/>
          <w:spacing w:val="-12"/>
        </w:rPr>
        <w:t xml:space="preserve"> </w:t>
      </w:r>
      <w:r w:rsidRPr="0063107B">
        <w:rPr>
          <w:rFonts w:cstheme="minorHAnsi"/>
        </w:rPr>
        <w:t>including</w:t>
      </w:r>
      <w:r w:rsidRPr="0063107B">
        <w:rPr>
          <w:rFonts w:cstheme="minorHAnsi"/>
          <w:spacing w:val="-8"/>
        </w:rPr>
        <w:t xml:space="preserve"> </w:t>
      </w:r>
      <w:r w:rsidRPr="0063107B">
        <w:rPr>
          <w:rFonts w:cstheme="minorHAnsi"/>
        </w:rPr>
        <w:t>individual</w:t>
      </w:r>
      <w:r w:rsidRPr="0063107B">
        <w:rPr>
          <w:rFonts w:cstheme="minorHAnsi"/>
          <w:spacing w:val="-7"/>
        </w:rPr>
        <w:t xml:space="preserve"> </w:t>
      </w:r>
      <w:r w:rsidRPr="0063107B">
        <w:rPr>
          <w:rFonts w:cstheme="minorHAnsi"/>
        </w:rPr>
        <w:t>evaluators</w:t>
      </w:r>
      <w:r w:rsidRPr="0063107B">
        <w:rPr>
          <w:rFonts w:cstheme="minorHAnsi"/>
          <w:spacing w:val="-6"/>
        </w:rPr>
        <w:t xml:space="preserve"> </w:t>
      </w:r>
      <w:r w:rsidRPr="0063107B">
        <w:rPr>
          <w:rFonts w:cstheme="minorHAnsi"/>
        </w:rPr>
        <w:t>note</w:t>
      </w:r>
      <w:r w:rsidRPr="0063107B">
        <w:rPr>
          <w:rFonts w:cstheme="minorHAnsi"/>
          <w:spacing w:val="-7"/>
        </w:rPr>
        <w:t xml:space="preserve"> </w:t>
      </w:r>
      <w:r w:rsidRPr="0063107B">
        <w:rPr>
          <w:rFonts w:cstheme="minorHAnsi"/>
        </w:rPr>
        <w:t>and</w:t>
      </w:r>
      <w:r w:rsidRPr="0063107B">
        <w:rPr>
          <w:rFonts w:cstheme="minorHAnsi"/>
          <w:spacing w:val="-9"/>
        </w:rPr>
        <w:t xml:space="preserve"> </w:t>
      </w:r>
      <w:r w:rsidRPr="0063107B">
        <w:rPr>
          <w:rFonts w:cstheme="minorHAnsi"/>
        </w:rPr>
        <w:t>clarifications</w:t>
      </w:r>
      <w:r w:rsidRPr="0063107B">
        <w:rPr>
          <w:rFonts w:cstheme="minorHAnsi"/>
          <w:spacing w:val="-12"/>
        </w:rPr>
        <w:t xml:space="preserve"> </w:t>
      </w:r>
      <w:proofErr w:type="gramStart"/>
      <w:r w:rsidRPr="0063107B">
        <w:rPr>
          <w:rFonts w:cstheme="minorHAnsi"/>
          <w:spacing w:val="-2"/>
        </w:rPr>
        <w:t>sought;</w:t>
      </w:r>
      <w:proofErr w:type="gramEnd"/>
    </w:p>
    <w:p w14:paraId="41D11952" w14:textId="77777777" w:rsidR="00E237B8" w:rsidRPr="0063107B" w:rsidRDefault="00E237B8" w:rsidP="007B3B6F">
      <w:pPr>
        <w:pStyle w:val="ListParagraph"/>
        <w:widowControl w:val="0"/>
        <w:numPr>
          <w:ilvl w:val="0"/>
          <w:numId w:val="539"/>
        </w:numPr>
        <w:tabs>
          <w:tab w:val="left" w:pos="666"/>
        </w:tabs>
        <w:autoSpaceDE w:val="0"/>
        <w:autoSpaceDN w:val="0"/>
        <w:spacing w:after="0" w:line="278" w:lineRule="exact"/>
        <w:ind w:left="666" w:hanging="524"/>
        <w:contextualSpacing w:val="0"/>
        <w:rPr>
          <w:rFonts w:cstheme="minorHAnsi"/>
        </w:rPr>
      </w:pPr>
      <w:r w:rsidRPr="0063107B">
        <w:rPr>
          <w:rFonts w:cstheme="minorHAnsi"/>
        </w:rPr>
        <w:t>approval</w:t>
      </w:r>
      <w:r w:rsidRPr="0063107B">
        <w:rPr>
          <w:rFonts w:cstheme="minorHAnsi"/>
          <w:spacing w:val="-10"/>
        </w:rPr>
        <w:t xml:space="preserve"> </w:t>
      </w:r>
      <w:r w:rsidRPr="0063107B">
        <w:rPr>
          <w:rFonts w:cstheme="minorHAnsi"/>
        </w:rPr>
        <w:t>of</w:t>
      </w:r>
      <w:r w:rsidRPr="0063107B">
        <w:rPr>
          <w:rFonts w:cstheme="minorHAnsi"/>
          <w:spacing w:val="-3"/>
        </w:rPr>
        <w:t xml:space="preserve"> </w:t>
      </w:r>
      <w:r w:rsidRPr="0063107B">
        <w:rPr>
          <w:rFonts w:cstheme="minorHAnsi"/>
        </w:rPr>
        <w:t>award</w:t>
      </w:r>
      <w:r w:rsidRPr="0063107B">
        <w:rPr>
          <w:rFonts w:cstheme="minorHAnsi"/>
          <w:spacing w:val="-3"/>
        </w:rPr>
        <w:t xml:space="preserve"> </w:t>
      </w:r>
      <w:proofErr w:type="gramStart"/>
      <w:r w:rsidRPr="0063107B">
        <w:rPr>
          <w:rFonts w:cstheme="minorHAnsi"/>
          <w:spacing w:val="-2"/>
        </w:rPr>
        <w:t>documentation;</w:t>
      </w:r>
      <w:proofErr w:type="gramEnd"/>
    </w:p>
    <w:p w14:paraId="0DC527BC" w14:textId="77777777" w:rsidR="00E237B8" w:rsidRPr="0063107B" w:rsidRDefault="00E237B8" w:rsidP="007B3B6F">
      <w:pPr>
        <w:pStyle w:val="ListParagraph"/>
        <w:widowControl w:val="0"/>
        <w:numPr>
          <w:ilvl w:val="0"/>
          <w:numId w:val="539"/>
        </w:numPr>
        <w:tabs>
          <w:tab w:val="left" w:pos="666"/>
        </w:tabs>
        <w:autoSpaceDE w:val="0"/>
        <w:autoSpaceDN w:val="0"/>
        <w:spacing w:before="1" w:after="0" w:line="240" w:lineRule="auto"/>
        <w:ind w:left="666" w:hanging="524"/>
        <w:contextualSpacing w:val="0"/>
        <w:rPr>
          <w:rFonts w:cstheme="minorHAnsi"/>
        </w:rPr>
      </w:pPr>
      <w:r w:rsidRPr="0063107B">
        <w:rPr>
          <w:rFonts w:cstheme="minorHAnsi"/>
        </w:rPr>
        <w:t>all</w:t>
      </w:r>
      <w:r w:rsidRPr="0063107B">
        <w:rPr>
          <w:rFonts w:cstheme="minorHAnsi"/>
          <w:spacing w:val="-9"/>
        </w:rPr>
        <w:t xml:space="preserve"> </w:t>
      </w:r>
      <w:r w:rsidRPr="0063107B">
        <w:rPr>
          <w:rFonts w:cstheme="minorHAnsi"/>
        </w:rPr>
        <w:t>correspondence</w:t>
      </w:r>
      <w:r w:rsidRPr="0063107B">
        <w:rPr>
          <w:rFonts w:cstheme="minorHAnsi"/>
          <w:spacing w:val="-4"/>
        </w:rPr>
        <w:t xml:space="preserve"> </w:t>
      </w:r>
      <w:r w:rsidRPr="0063107B">
        <w:rPr>
          <w:rFonts w:cstheme="minorHAnsi"/>
        </w:rPr>
        <w:t>to</w:t>
      </w:r>
      <w:r w:rsidRPr="0063107B">
        <w:rPr>
          <w:rFonts w:cstheme="minorHAnsi"/>
          <w:spacing w:val="-2"/>
        </w:rPr>
        <w:t xml:space="preserve"> </w:t>
      </w:r>
      <w:r w:rsidRPr="0063107B">
        <w:rPr>
          <w:rFonts w:cstheme="minorHAnsi"/>
        </w:rPr>
        <w:t>respondents</w:t>
      </w:r>
      <w:r w:rsidRPr="0063107B">
        <w:rPr>
          <w:rFonts w:cstheme="minorHAnsi"/>
          <w:spacing w:val="-4"/>
        </w:rPr>
        <w:t xml:space="preserve"> </w:t>
      </w:r>
      <w:r w:rsidRPr="0063107B">
        <w:rPr>
          <w:rFonts w:cstheme="minorHAnsi"/>
        </w:rPr>
        <w:t>notifying</w:t>
      </w:r>
      <w:r w:rsidRPr="0063107B">
        <w:rPr>
          <w:rFonts w:cstheme="minorHAnsi"/>
          <w:spacing w:val="-6"/>
        </w:rPr>
        <w:t xml:space="preserve"> </w:t>
      </w:r>
      <w:r w:rsidRPr="0063107B">
        <w:rPr>
          <w:rFonts w:cstheme="minorHAnsi"/>
        </w:rPr>
        <w:t>of</w:t>
      </w:r>
      <w:r w:rsidRPr="0063107B">
        <w:rPr>
          <w:rFonts w:cstheme="minorHAnsi"/>
          <w:spacing w:val="-8"/>
        </w:rPr>
        <w:t xml:space="preserve"> </w:t>
      </w:r>
      <w:r w:rsidRPr="0063107B">
        <w:rPr>
          <w:rFonts w:cstheme="minorHAnsi"/>
        </w:rPr>
        <w:t>the</w:t>
      </w:r>
      <w:r w:rsidRPr="0063107B">
        <w:rPr>
          <w:rFonts w:cstheme="minorHAnsi"/>
          <w:spacing w:val="-10"/>
        </w:rPr>
        <w:t xml:space="preserve"> </w:t>
      </w:r>
      <w:r w:rsidRPr="0063107B">
        <w:rPr>
          <w:rFonts w:cstheme="minorHAnsi"/>
        </w:rPr>
        <w:t>outcome</w:t>
      </w:r>
      <w:r w:rsidRPr="0063107B">
        <w:rPr>
          <w:rFonts w:cstheme="minorHAnsi"/>
          <w:spacing w:val="-8"/>
        </w:rPr>
        <w:t xml:space="preserve"> </w:t>
      </w:r>
      <w:r w:rsidRPr="0063107B">
        <w:rPr>
          <w:rFonts w:cstheme="minorHAnsi"/>
        </w:rPr>
        <w:t>to</w:t>
      </w:r>
      <w:r w:rsidRPr="0063107B">
        <w:rPr>
          <w:rFonts w:cstheme="minorHAnsi"/>
          <w:spacing w:val="-2"/>
        </w:rPr>
        <w:t xml:space="preserve"> </w:t>
      </w:r>
      <w:r w:rsidRPr="0063107B">
        <w:rPr>
          <w:rFonts w:cstheme="minorHAnsi"/>
        </w:rPr>
        <w:t>award</w:t>
      </w:r>
      <w:r w:rsidRPr="0063107B">
        <w:rPr>
          <w:rFonts w:cstheme="minorHAnsi"/>
          <w:spacing w:val="-6"/>
        </w:rPr>
        <w:t xml:space="preserve"> </w:t>
      </w:r>
      <w:r w:rsidRPr="0063107B">
        <w:rPr>
          <w:rFonts w:cstheme="minorHAnsi"/>
        </w:rPr>
        <w:t>a</w:t>
      </w:r>
      <w:r w:rsidRPr="0063107B">
        <w:rPr>
          <w:rFonts w:cstheme="minorHAnsi"/>
          <w:spacing w:val="-5"/>
        </w:rPr>
        <w:t xml:space="preserve"> </w:t>
      </w:r>
      <w:proofErr w:type="gramStart"/>
      <w:r w:rsidRPr="0063107B">
        <w:rPr>
          <w:rFonts w:cstheme="minorHAnsi"/>
          <w:spacing w:val="-2"/>
        </w:rPr>
        <w:t>contract;</w:t>
      </w:r>
      <w:proofErr w:type="gramEnd"/>
    </w:p>
    <w:p w14:paraId="5F921749" w14:textId="77777777" w:rsidR="00E237B8" w:rsidRPr="0063107B" w:rsidRDefault="00E237B8" w:rsidP="007B3B6F">
      <w:pPr>
        <w:pStyle w:val="ListParagraph"/>
        <w:widowControl w:val="0"/>
        <w:numPr>
          <w:ilvl w:val="0"/>
          <w:numId w:val="539"/>
        </w:numPr>
        <w:tabs>
          <w:tab w:val="left" w:pos="666"/>
        </w:tabs>
        <w:autoSpaceDE w:val="0"/>
        <w:autoSpaceDN w:val="0"/>
        <w:spacing w:after="0" w:line="240" w:lineRule="auto"/>
        <w:ind w:left="666" w:hanging="524"/>
        <w:contextualSpacing w:val="0"/>
        <w:rPr>
          <w:rFonts w:cstheme="minorHAnsi"/>
        </w:rPr>
      </w:pPr>
      <w:r w:rsidRPr="0063107B">
        <w:rPr>
          <w:rFonts w:cstheme="minorHAnsi"/>
        </w:rPr>
        <w:t>contract</w:t>
      </w:r>
      <w:r w:rsidRPr="0063107B">
        <w:rPr>
          <w:rFonts w:cstheme="minorHAnsi"/>
          <w:spacing w:val="-8"/>
        </w:rPr>
        <w:t xml:space="preserve"> </w:t>
      </w:r>
      <w:r w:rsidRPr="0063107B">
        <w:rPr>
          <w:rFonts w:cstheme="minorHAnsi"/>
        </w:rPr>
        <w:t>Management</w:t>
      </w:r>
      <w:r w:rsidRPr="0063107B">
        <w:rPr>
          <w:rFonts w:cstheme="minorHAnsi"/>
          <w:spacing w:val="-7"/>
        </w:rPr>
        <w:t xml:space="preserve"> </w:t>
      </w:r>
      <w:r w:rsidRPr="0063107B">
        <w:rPr>
          <w:rFonts w:cstheme="minorHAnsi"/>
        </w:rPr>
        <w:t>Plans</w:t>
      </w:r>
      <w:r w:rsidRPr="0063107B">
        <w:rPr>
          <w:rFonts w:cstheme="minorHAnsi"/>
          <w:spacing w:val="-3"/>
        </w:rPr>
        <w:t xml:space="preserve"> </w:t>
      </w:r>
      <w:r w:rsidRPr="0063107B">
        <w:rPr>
          <w:rFonts w:cstheme="minorHAnsi"/>
        </w:rPr>
        <w:t>which</w:t>
      </w:r>
      <w:r w:rsidRPr="0063107B">
        <w:rPr>
          <w:rFonts w:cstheme="minorHAnsi"/>
          <w:spacing w:val="-6"/>
        </w:rPr>
        <w:t xml:space="preserve"> </w:t>
      </w:r>
      <w:proofErr w:type="gramStart"/>
      <w:r w:rsidRPr="0063107B">
        <w:rPr>
          <w:rFonts w:cstheme="minorHAnsi"/>
        </w:rPr>
        <w:t>describes</w:t>
      </w:r>
      <w:proofErr w:type="gramEnd"/>
      <w:r w:rsidRPr="0063107B">
        <w:rPr>
          <w:rFonts w:cstheme="minorHAnsi"/>
          <w:spacing w:val="-2"/>
        </w:rPr>
        <w:t xml:space="preserve"> </w:t>
      </w:r>
      <w:r w:rsidRPr="0063107B">
        <w:rPr>
          <w:rFonts w:cstheme="minorHAnsi"/>
        </w:rPr>
        <w:t>how</w:t>
      </w:r>
      <w:r w:rsidRPr="0063107B">
        <w:rPr>
          <w:rFonts w:cstheme="minorHAnsi"/>
          <w:spacing w:val="-6"/>
        </w:rPr>
        <w:t xml:space="preserve"> </w:t>
      </w:r>
      <w:r w:rsidRPr="0063107B">
        <w:rPr>
          <w:rFonts w:cstheme="minorHAnsi"/>
        </w:rPr>
        <w:t>the</w:t>
      </w:r>
      <w:r w:rsidRPr="0063107B">
        <w:rPr>
          <w:rFonts w:cstheme="minorHAnsi"/>
          <w:spacing w:val="-8"/>
        </w:rPr>
        <w:t xml:space="preserve"> </w:t>
      </w:r>
      <w:r w:rsidRPr="0063107B">
        <w:rPr>
          <w:rFonts w:cstheme="minorHAnsi"/>
        </w:rPr>
        <w:t>contract</w:t>
      </w:r>
      <w:r w:rsidRPr="0063107B">
        <w:rPr>
          <w:rFonts w:cstheme="minorHAnsi"/>
          <w:spacing w:val="-6"/>
        </w:rPr>
        <w:t xml:space="preserve"> </w:t>
      </w:r>
      <w:r w:rsidRPr="0063107B">
        <w:rPr>
          <w:rFonts w:cstheme="minorHAnsi"/>
        </w:rPr>
        <w:t>will</w:t>
      </w:r>
      <w:r w:rsidRPr="0063107B">
        <w:rPr>
          <w:rFonts w:cstheme="minorHAnsi"/>
          <w:spacing w:val="-7"/>
        </w:rPr>
        <w:t xml:space="preserve"> </w:t>
      </w:r>
      <w:r w:rsidRPr="0063107B">
        <w:rPr>
          <w:rFonts w:cstheme="minorHAnsi"/>
        </w:rPr>
        <w:t>be</w:t>
      </w:r>
      <w:r w:rsidRPr="0063107B">
        <w:rPr>
          <w:rFonts w:cstheme="minorHAnsi"/>
          <w:spacing w:val="-7"/>
        </w:rPr>
        <w:t xml:space="preserve"> </w:t>
      </w:r>
      <w:r w:rsidRPr="0063107B">
        <w:rPr>
          <w:rFonts w:cstheme="minorHAnsi"/>
        </w:rPr>
        <w:t>managed;</w:t>
      </w:r>
      <w:r w:rsidRPr="0063107B">
        <w:rPr>
          <w:rFonts w:cstheme="minorHAnsi"/>
          <w:spacing w:val="-9"/>
        </w:rPr>
        <w:t xml:space="preserve"> </w:t>
      </w:r>
      <w:r w:rsidRPr="0063107B">
        <w:rPr>
          <w:rFonts w:cstheme="minorHAnsi"/>
          <w:spacing w:val="-5"/>
        </w:rPr>
        <w:t>and</w:t>
      </w:r>
    </w:p>
    <w:p w14:paraId="02942A02" w14:textId="77777777" w:rsidR="00E237B8" w:rsidRPr="0063107B" w:rsidRDefault="00E237B8" w:rsidP="007B3B6F">
      <w:pPr>
        <w:pStyle w:val="ListParagraph"/>
        <w:widowControl w:val="0"/>
        <w:numPr>
          <w:ilvl w:val="0"/>
          <w:numId w:val="539"/>
        </w:numPr>
        <w:tabs>
          <w:tab w:val="left" w:pos="666"/>
        </w:tabs>
        <w:autoSpaceDE w:val="0"/>
        <w:autoSpaceDN w:val="0"/>
        <w:spacing w:before="1" w:after="0" w:line="240" w:lineRule="auto"/>
        <w:ind w:left="666" w:hanging="524"/>
        <w:contextualSpacing w:val="0"/>
        <w:rPr>
          <w:rFonts w:cstheme="minorHAnsi"/>
        </w:rPr>
      </w:pPr>
      <w:r w:rsidRPr="0063107B">
        <w:rPr>
          <w:rFonts w:cstheme="minorHAnsi"/>
        </w:rPr>
        <w:t>copies</w:t>
      </w:r>
      <w:r w:rsidRPr="0063107B">
        <w:rPr>
          <w:rFonts w:cstheme="minorHAnsi"/>
          <w:spacing w:val="-11"/>
        </w:rPr>
        <w:t xml:space="preserve"> </w:t>
      </w:r>
      <w:r w:rsidRPr="0063107B">
        <w:rPr>
          <w:rFonts w:cstheme="minorHAnsi"/>
        </w:rPr>
        <w:t>of</w:t>
      </w:r>
      <w:r w:rsidRPr="0063107B">
        <w:rPr>
          <w:rFonts w:cstheme="minorHAnsi"/>
          <w:spacing w:val="-10"/>
        </w:rPr>
        <w:t xml:space="preserve"> </w:t>
      </w:r>
      <w:r w:rsidRPr="0063107B">
        <w:rPr>
          <w:rFonts w:cstheme="minorHAnsi"/>
        </w:rPr>
        <w:t>contract(s)</w:t>
      </w:r>
      <w:r w:rsidRPr="0063107B">
        <w:rPr>
          <w:rFonts w:cstheme="minorHAnsi"/>
          <w:spacing w:val="-6"/>
        </w:rPr>
        <w:t xml:space="preserve"> </w:t>
      </w:r>
      <w:r w:rsidRPr="0063107B">
        <w:rPr>
          <w:rFonts w:cstheme="minorHAnsi"/>
        </w:rPr>
        <w:t>with</w:t>
      </w:r>
      <w:r w:rsidRPr="0063107B">
        <w:rPr>
          <w:rFonts w:cstheme="minorHAnsi"/>
          <w:spacing w:val="-5"/>
        </w:rPr>
        <w:t xml:space="preserve"> </w:t>
      </w:r>
      <w:r w:rsidRPr="0063107B">
        <w:rPr>
          <w:rFonts w:cstheme="minorHAnsi"/>
        </w:rPr>
        <w:t>supplier(s)</w:t>
      </w:r>
      <w:r w:rsidRPr="0063107B">
        <w:rPr>
          <w:rFonts w:cstheme="minorHAnsi"/>
          <w:spacing w:val="-4"/>
        </w:rPr>
        <w:t xml:space="preserve"> </w:t>
      </w:r>
      <w:r w:rsidRPr="0063107B">
        <w:rPr>
          <w:rFonts w:cstheme="minorHAnsi"/>
        </w:rPr>
        <w:t>formed</w:t>
      </w:r>
      <w:r w:rsidRPr="0063107B">
        <w:rPr>
          <w:rFonts w:cstheme="minorHAnsi"/>
          <w:spacing w:val="-6"/>
        </w:rPr>
        <w:t xml:space="preserve"> </w:t>
      </w:r>
      <w:r w:rsidRPr="0063107B">
        <w:rPr>
          <w:rFonts w:cstheme="minorHAnsi"/>
        </w:rPr>
        <w:t>from</w:t>
      </w:r>
      <w:r w:rsidRPr="0063107B">
        <w:rPr>
          <w:rFonts w:cstheme="minorHAnsi"/>
          <w:spacing w:val="-6"/>
        </w:rPr>
        <w:t xml:space="preserve"> </w:t>
      </w:r>
      <w:r w:rsidRPr="0063107B">
        <w:rPr>
          <w:rFonts w:cstheme="minorHAnsi"/>
        </w:rPr>
        <w:t>the</w:t>
      </w:r>
      <w:r w:rsidRPr="0063107B">
        <w:rPr>
          <w:rFonts w:cstheme="minorHAnsi"/>
          <w:spacing w:val="-9"/>
        </w:rPr>
        <w:t xml:space="preserve"> </w:t>
      </w:r>
      <w:r w:rsidRPr="0063107B">
        <w:rPr>
          <w:rFonts w:cstheme="minorHAnsi"/>
        </w:rPr>
        <w:t>procurement</w:t>
      </w:r>
      <w:r w:rsidRPr="0063107B">
        <w:rPr>
          <w:rFonts w:cstheme="minorHAnsi"/>
          <w:spacing w:val="-8"/>
        </w:rPr>
        <w:t xml:space="preserve"> </w:t>
      </w:r>
      <w:r w:rsidRPr="0063107B">
        <w:rPr>
          <w:rFonts w:cstheme="minorHAnsi"/>
          <w:spacing w:val="-2"/>
        </w:rPr>
        <w:t>process.</w:t>
      </w:r>
    </w:p>
    <w:p w14:paraId="091C4414" w14:textId="77777777" w:rsidR="00E237B8" w:rsidRPr="0063107B" w:rsidRDefault="00E237B8" w:rsidP="00E237B8">
      <w:pPr>
        <w:pStyle w:val="BodyText"/>
        <w:spacing w:before="200"/>
        <w:ind w:right="400"/>
        <w:jc w:val="both"/>
        <w:rPr>
          <w:rFonts w:asciiTheme="minorHAnsi" w:hAnsiTheme="minorHAnsi" w:cstheme="minorHAnsi"/>
        </w:rPr>
      </w:pPr>
    </w:p>
    <w:p w14:paraId="1C6C7356" w14:textId="77777777" w:rsidR="00E237B8" w:rsidRPr="0063107B" w:rsidRDefault="00E237B8" w:rsidP="00E237B8">
      <w:pPr>
        <w:pStyle w:val="BodyText"/>
        <w:ind w:left="0"/>
        <w:rPr>
          <w:rFonts w:asciiTheme="minorHAnsi" w:hAnsiTheme="minorHAnsi" w:cstheme="minorHAnsi"/>
          <w:sz w:val="20"/>
        </w:rPr>
      </w:pPr>
    </w:p>
    <w:p w14:paraId="079159F7" w14:textId="77777777" w:rsidR="00E237B8" w:rsidRPr="0063107B" w:rsidRDefault="00E237B8" w:rsidP="00E237B8">
      <w:pPr>
        <w:pStyle w:val="BodyText"/>
        <w:spacing w:before="75"/>
        <w:ind w:left="0"/>
        <w:rPr>
          <w:rFonts w:asciiTheme="minorHAnsi" w:hAnsiTheme="minorHAnsi" w:cstheme="minorHAnsi"/>
          <w:sz w:val="20"/>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7"/>
        <w:gridCol w:w="5763"/>
      </w:tblGrid>
      <w:tr w:rsidR="00E237B8" w:rsidRPr="0063107B" w14:paraId="045B694F" w14:textId="77777777" w:rsidTr="009C0390">
        <w:trPr>
          <w:trHeight w:val="306"/>
        </w:trPr>
        <w:tc>
          <w:tcPr>
            <w:tcW w:w="3257" w:type="dxa"/>
          </w:tcPr>
          <w:p w14:paraId="6E351801" w14:textId="77777777" w:rsidR="00E237B8" w:rsidRPr="0063107B" w:rsidRDefault="00E237B8" w:rsidP="009C0390">
            <w:pPr>
              <w:pStyle w:val="TableParagraph"/>
              <w:spacing w:before="4"/>
              <w:ind w:left="156"/>
              <w:rPr>
                <w:rFonts w:asciiTheme="minorHAnsi" w:hAnsiTheme="minorHAnsi" w:cstheme="minorHAnsi"/>
                <w:b/>
              </w:rPr>
            </w:pPr>
            <w:r w:rsidRPr="0063107B">
              <w:rPr>
                <w:rFonts w:asciiTheme="minorHAnsi" w:hAnsiTheme="minorHAnsi" w:cstheme="minorHAnsi"/>
                <w:b/>
              </w:rPr>
              <w:t>Responsible</w:t>
            </w:r>
            <w:r w:rsidRPr="0063107B">
              <w:rPr>
                <w:rFonts w:asciiTheme="minorHAnsi" w:hAnsiTheme="minorHAnsi" w:cstheme="minorHAnsi"/>
                <w:b/>
                <w:spacing w:val="-12"/>
              </w:rPr>
              <w:t xml:space="preserve"> </w:t>
            </w:r>
            <w:r w:rsidRPr="0063107B">
              <w:rPr>
                <w:rFonts w:asciiTheme="minorHAnsi" w:hAnsiTheme="minorHAnsi" w:cstheme="minorHAnsi"/>
                <w:b/>
                <w:spacing w:val="-2"/>
              </w:rPr>
              <w:t>Directorate:</w:t>
            </w:r>
          </w:p>
        </w:tc>
        <w:tc>
          <w:tcPr>
            <w:tcW w:w="5763" w:type="dxa"/>
          </w:tcPr>
          <w:p w14:paraId="05E6DA90" w14:textId="77777777" w:rsidR="00E237B8" w:rsidRPr="0063107B" w:rsidRDefault="00E237B8" w:rsidP="009C0390">
            <w:pPr>
              <w:pStyle w:val="TableParagraph"/>
              <w:spacing w:before="4"/>
              <w:ind w:left="161"/>
              <w:rPr>
                <w:rFonts w:asciiTheme="minorHAnsi" w:hAnsiTheme="minorHAnsi" w:cstheme="minorHAnsi"/>
              </w:rPr>
            </w:pPr>
            <w:r w:rsidRPr="0063107B">
              <w:rPr>
                <w:rFonts w:asciiTheme="minorHAnsi" w:hAnsiTheme="minorHAnsi" w:cstheme="minorHAnsi"/>
              </w:rPr>
              <w:t>Corporate</w:t>
            </w:r>
            <w:r w:rsidRPr="0063107B">
              <w:rPr>
                <w:rFonts w:asciiTheme="minorHAnsi" w:hAnsiTheme="minorHAnsi" w:cstheme="minorHAnsi"/>
                <w:spacing w:val="-6"/>
              </w:rPr>
              <w:t xml:space="preserve"> </w:t>
            </w:r>
            <w:r w:rsidRPr="0063107B">
              <w:rPr>
                <w:rFonts w:asciiTheme="minorHAnsi" w:hAnsiTheme="minorHAnsi" w:cstheme="minorHAnsi"/>
                <w:spacing w:val="-2"/>
              </w:rPr>
              <w:t>Services</w:t>
            </w:r>
          </w:p>
        </w:tc>
      </w:tr>
      <w:tr w:rsidR="00E237B8" w:rsidRPr="0063107B" w14:paraId="67057FEF" w14:textId="77777777" w:rsidTr="009C0390">
        <w:trPr>
          <w:trHeight w:val="306"/>
        </w:trPr>
        <w:tc>
          <w:tcPr>
            <w:tcW w:w="3257" w:type="dxa"/>
          </w:tcPr>
          <w:p w14:paraId="41E3A882" w14:textId="77777777" w:rsidR="00E237B8" w:rsidRPr="0063107B" w:rsidRDefault="00E237B8" w:rsidP="009C0390">
            <w:pPr>
              <w:pStyle w:val="TableParagraph"/>
              <w:spacing w:before="6"/>
              <w:ind w:left="156"/>
              <w:rPr>
                <w:rFonts w:asciiTheme="minorHAnsi" w:hAnsiTheme="minorHAnsi" w:cstheme="minorHAnsi"/>
                <w:b/>
              </w:rPr>
            </w:pPr>
            <w:r w:rsidRPr="0063107B">
              <w:rPr>
                <w:rFonts w:asciiTheme="minorHAnsi" w:hAnsiTheme="minorHAnsi" w:cstheme="minorHAnsi"/>
                <w:b/>
              </w:rPr>
              <w:t>Reviewing</w:t>
            </w:r>
            <w:r w:rsidRPr="0063107B">
              <w:rPr>
                <w:rFonts w:asciiTheme="minorHAnsi" w:hAnsiTheme="minorHAnsi" w:cstheme="minorHAnsi"/>
                <w:b/>
                <w:spacing w:val="-10"/>
              </w:rPr>
              <w:t xml:space="preserve"> </w:t>
            </w:r>
            <w:r w:rsidRPr="0063107B">
              <w:rPr>
                <w:rFonts w:asciiTheme="minorHAnsi" w:hAnsiTheme="minorHAnsi" w:cstheme="minorHAnsi"/>
                <w:b/>
                <w:spacing w:val="-2"/>
              </w:rPr>
              <w:t>Officer:</w:t>
            </w:r>
          </w:p>
        </w:tc>
        <w:tc>
          <w:tcPr>
            <w:tcW w:w="5763" w:type="dxa"/>
          </w:tcPr>
          <w:p w14:paraId="55C44E87" w14:textId="77777777" w:rsidR="00E237B8" w:rsidRPr="0063107B" w:rsidRDefault="00E237B8" w:rsidP="009C0390">
            <w:pPr>
              <w:pStyle w:val="TableParagraph"/>
              <w:spacing w:before="6"/>
              <w:ind w:left="161"/>
              <w:rPr>
                <w:rFonts w:asciiTheme="minorHAnsi" w:hAnsiTheme="minorHAnsi" w:cstheme="minorHAnsi"/>
              </w:rPr>
            </w:pPr>
            <w:r w:rsidRPr="0063107B">
              <w:rPr>
                <w:rFonts w:asciiTheme="minorHAnsi" w:hAnsiTheme="minorHAnsi" w:cstheme="minorHAnsi"/>
              </w:rPr>
              <w:t>Chief</w:t>
            </w:r>
            <w:r w:rsidRPr="0063107B">
              <w:rPr>
                <w:rFonts w:asciiTheme="minorHAnsi" w:hAnsiTheme="minorHAnsi" w:cstheme="minorHAnsi"/>
                <w:spacing w:val="-6"/>
              </w:rPr>
              <w:t xml:space="preserve"> </w:t>
            </w:r>
            <w:r w:rsidRPr="0063107B">
              <w:rPr>
                <w:rFonts w:asciiTheme="minorHAnsi" w:hAnsiTheme="minorHAnsi" w:cstheme="minorHAnsi"/>
              </w:rPr>
              <w:t>Executive</w:t>
            </w:r>
            <w:r w:rsidRPr="0063107B">
              <w:rPr>
                <w:rFonts w:asciiTheme="minorHAnsi" w:hAnsiTheme="minorHAnsi" w:cstheme="minorHAnsi"/>
                <w:spacing w:val="-6"/>
              </w:rPr>
              <w:t xml:space="preserve"> </w:t>
            </w:r>
            <w:r w:rsidRPr="0063107B">
              <w:rPr>
                <w:rFonts w:asciiTheme="minorHAnsi" w:hAnsiTheme="minorHAnsi" w:cstheme="minorHAnsi"/>
                <w:spacing w:val="-2"/>
              </w:rPr>
              <w:t>Officer</w:t>
            </w:r>
          </w:p>
        </w:tc>
      </w:tr>
      <w:tr w:rsidR="00E237B8" w:rsidRPr="0063107B" w14:paraId="63D2EAFD" w14:textId="77777777" w:rsidTr="009C0390">
        <w:trPr>
          <w:trHeight w:val="309"/>
        </w:trPr>
        <w:tc>
          <w:tcPr>
            <w:tcW w:w="3257" w:type="dxa"/>
          </w:tcPr>
          <w:p w14:paraId="5909ED6E" w14:textId="77777777" w:rsidR="00E237B8" w:rsidRPr="0063107B" w:rsidRDefault="00E237B8" w:rsidP="009C0390">
            <w:pPr>
              <w:pStyle w:val="TableParagraph"/>
              <w:spacing w:line="268" w:lineRule="exact"/>
              <w:ind w:left="156"/>
              <w:rPr>
                <w:rFonts w:asciiTheme="minorHAnsi" w:hAnsiTheme="minorHAnsi" w:cstheme="minorHAnsi"/>
                <w:b/>
              </w:rPr>
            </w:pPr>
            <w:r w:rsidRPr="0063107B">
              <w:rPr>
                <w:rFonts w:asciiTheme="minorHAnsi" w:hAnsiTheme="minorHAnsi" w:cstheme="minorHAnsi"/>
                <w:b/>
              </w:rPr>
              <w:t>Decision</w:t>
            </w:r>
            <w:r w:rsidRPr="0063107B">
              <w:rPr>
                <w:rFonts w:asciiTheme="minorHAnsi" w:hAnsiTheme="minorHAnsi" w:cstheme="minorHAnsi"/>
                <w:b/>
                <w:spacing w:val="-11"/>
              </w:rPr>
              <w:t xml:space="preserve"> </w:t>
            </w:r>
            <w:r w:rsidRPr="0063107B">
              <w:rPr>
                <w:rFonts w:asciiTheme="minorHAnsi" w:hAnsiTheme="minorHAnsi" w:cstheme="minorHAnsi"/>
                <w:b/>
              </w:rPr>
              <w:t>making</w:t>
            </w:r>
            <w:r w:rsidRPr="0063107B">
              <w:rPr>
                <w:rFonts w:asciiTheme="minorHAnsi" w:hAnsiTheme="minorHAnsi" w:cstheme="minorHAnsi"/>
                <w:b/>
                <w:spacing w:val="-6"/>
              </w:rPr>
              <w:t xml:space="preserve"> </w:t>
            </w:r>
            <w:r w:rsidRPr="0063107B">
              <w:rPr>
                <w:rFonts w:asciiTheme="minorHAnsi" w:hAnsiTheme="minorHAnsi" w:cstheme="minorHAnsi"/>
                <w:b/>
                <w:spacing w:val="-2"/>
              </w:rPr>
              <w:t>Authority:</w:t>
            </w:r>
          </w:p>
        </w:tc>
        <w:tc>
          <w:tcPr>
            <w:tcW w:w="5763" w:type="dxa"/>
          </w:tcPr>
          <w:p w14:paraId="6CE68D98" w14:textId="77777777" w:rsidR="00E237B8" w:rsidRPr="0063107B" w:rsidRDefault="00E237B8" w:rsidP="009C0390">
            <w:pPr>
              <w:pStyle w:val="TableParagraph"/>
              <w:spacing w:line="268" w:lineRule="exact"/>
              <w:ind w:left="161"/>
              <w:rPr>
                <w:rFonts w:asciiTheme="minorHAnsi" w:hAnsiTheme="minorHAnsi" w:cstheme="minorHAnsi"/>
              </w:rPr>
            </w:pPr>
            <w:r w:rsidRPr="0063107B">
              <w:rPr>
                <w:rFonts w:asciiTheme="minorHAnsi" w:hAnsiTheme="minorHAnsi" w:cstheme="minorHAnsi"/>
                <w:spacing w:val="-2"/>
              </w:rPr>
              <w:t>Council</w:t>
            </w:r>
          </w:p>
        </w:tc>
      </w:tr>
      <w:tr w:rsidR="00E237B8" w:rsidRPr="0063107B" w14:paraId="49A96D9C" w14:textId="77777777" w:rsidTr="009C0390">
        <w:trPr>
          <w:trHeight w:val="309"/>
        </w:trPr>
        <w:tc>
          <w:tcPr>
            <w:tcW w:w="3257" w:type="dxa"/>
          </w:tcPr>
          <w:p w14:paraId="2D8DE5F8" w14:textId="77777777" w:rsidR="00E237B8" w:rsidRPr="0063107B" w:rsidRDefault="00E237B8" w:rsidP="009C0390">
            <w:pPr>
              <w:pStyle w:val="TableParagraph"/>
              <w:spacing w:before="6"/>
              <w:ind w:left="156"/>
              <w:rPr>
                <w:rFonts w:asciiTheme="minorHAnsi" w:hAnsiTheme="minorHAnsi" w:cstheme="minorHAnsi"/>
                <w:b/>
              </w:rPr>
            </w:pPr>
            <w:r w:rsidRPr="0063107B">
              <w:rPr>
                <w:rFonts w:asciiTheme="minorHAnsi" w:hAnsiTheme="minorHAnsi" w:cstheme="minorHAnsi"/>
                <w:b/>
              </w:rPr>
              <w:t>Policy</w:t>
            </w:r>
            <w:r w:rsidRPr="0063107B">
              <w:rPr>
                <w:rFonts w:asciiTheme="minorHAnsi" w:hAnsiTheme="minorHAnsi" w:cstheme="minorHAnsi"/>
                <w:b/>
                <w:spacing w:val="-6"/>
              </w:rPr>
              <w:t xml:space="preserve"> </w:t>
            </w:r>
            <w:r w:rsidRPr="0063107B">
              <w:rPr>
                <w:rFonts w:asciiTheme="minorHAnsi" w:hAnsiTheme="minorHAnsi" w:cstheme="minorHAnsi"/>
                <w:b/>
                <w:spacing w:val="-2"/>
              </w:rPr>
              <w:t>Adopted:</w:t>
            </w:r>
          </w:p>
        </w:tc>
        <w:tc>
          <w:tcPr>
            <w:tcW w:w="5763" w:type="dxa"/>
          </w:tcPr>
          <w:p w14:paraId="37BC30D0" w14:textId="77777777" w:rsidR="00E237B8" w:rsidRPr="0063107B" w:rsidRDefault="00E237B8" w:rsidP="009C0390">
            <w:pPr>
              <w:pStyle w:val="TableParagraph"/>
              <w:spacing w:before="6"/>
              <w:ind w:left="161"/>
              <w:rPr>
                <w:rFonts w:asciiTheme="minorHAnsi" w:hAnsiTheme="minorHAnsi" w:cstheme="minorHAnsi"/>
              </w:rPr>
            </w:pPr>
            <w:r w:rsidRPr="0063107B">
              <w:rPr>
                <w:rFonts w:asciiTheme="minorHAnsi" w:hAnsiTheme="minorHAnsi" w:cstheme="minorHAnsi"/>
                <w:spacing w:val="-2"/>
              </w:rPr>
              <w:t>16/8/16</w:t>
            </w:r>
          </w:p>
        </w:tc>
      </w:tr>
      <w:tr w:rsidR="00E237B8" w:rsidRPr="0063107B" w14:paraId="48F21A69" w14:textId="77777777" w:rsidTr="009C0390">
        <w:trPr>
          <w:trHeight w:val="618"/>
        </w:trPr>
        <w:tc>
          <w:tcPr>
            <w:tcW w:w="3257" w:type="dxa"/>
          </w:tcPr>
          <w:p w14:paraId="03DECF8B" w14:textId="77777777" w:rsidR="00E237B8" w:rsidRPr="0063107B" w:rsidRDefault="00E237B8" w:rsidP="009C0390">
            <w:pPr>
              <w:pStyle w:val="TableParagraph"/>
              <w:spacing w:before="6"/>
              <w:ind w:left="156"/>
              <w:rPr>
                <w:rFonts w:asciiTheme="minorHAnsi" w:hAnsiTheme="minorHAnsi" w:cstheme="minorHAnsi"/>
                <w:b/>
              </w:rPr>
            </w:pPr>
            <w:r w:rsidRPr="0063107B">
              <w:rPr>
                <w:rFonts w:asciiTheme="minorHAnsi" w:hAnsiTheme="minorHAnsi" w:cstheme="minorHAnsi"/>
                <w:b/>
              </w:rPr>
              <w:t>Policy</w:t>
            </w:r>
            <w:r w:rsidRPr="0063107B">
              <w:rPr>
                <w:rFonts w:asciiTheme="minorHAnsi" w:hAnsiTheme="minorHAnsi" w:cstheme="minorHAnsi"/>
                <w:b/>
                <w:spacing w:val="-9"/>
              </w:rPr>
              <w:t xml:space="preserve"> </w:t>
            </w:r>
            <w:r w:rsidRPr="0063107B">
              <w:rPr>
                <w:rFonts w:asciiTheme="minorHAnsi" w:hAnsiTheme="minorHAnsi" w:cstheme="minorHAnsi"/>
                <w:b/>
                <w:spacing w:val="-2"/>
              </w:rPr>
              <w:t>Amended/Reviewed:</w:t>
            </w:r>
          </w:p>
        </w:tc>
        <w:tc>
          <w:tcPr>
            <w:tcW w:w="5763" w:type="dxa"/>
          </w:tcPr>
          <w:p w14:paraId="15CCC11E" w14:textId="77777777" w:rsidR="00E237B8" w:rsidRPr="0063107B" w:rsidRDefault="00E237B8" w:rsidP="009C0390">
            <w:pPr>
              <w:pStyle w:val="TableParagraph"/>
              <w:spacing w:before="6" w:line="267" w:lineRule="exact"/>
              <w:ind w:left="161"/>
              <w:rPr>
                <w:rFonts w:asciiTheme="minorHAnsi" w:hAnsiTheme="minorHAnsi" w:cstheme="minorHAnsi"/>
              </w:rPr>
            </w:pPr>
            <w:r w:rsidRPr="0063107B">
              <w:rPr>
                <w:rFonts w:asciiTheme="minorHAnsi" w:hAnsiTheme="minorHAnsi" w:cstheme="minorHAnsi"/>
              </w:rPr>
              <w:t>19/6/18,</w:t>
            </w:r>
            <w:r w:rsidRPr="0063107B">
              <w:rPr>
                <w:rFonts w:asciiTheme="minorHAnsi" w:hAnsiTheme="minorHAnsi" w:cstheme="minorHAnsi"/>
                <w:spacing w:val="15"/>
              </w:rPr>
              <w:t xml:space="preserve"> </w:t>
            </w:r>
            <w:r w:rsidRPr="0063107B">
              <w:rPr>
                <w:rFonts w:asciiTheme="minorHAnsi" w:hAnsiTheme="minorHAnsi" w:cstheme="minorHAnsi"/>
              </w:rPr>
              <w:t>17/9/19,</w:t>
            </w:r>
            <w:r w:rsidRPr="0063107B">
              <w:rPr>
                <w:rFonts w:asciiTheme="minorHAnsi" w:hAnsiTheme="minorHAnsi" w:cstheme="minorHAnsi"/>
                <w:spacing w:val="63"/>
              </w:rPr>
              <w:t xml:space="preserve"> </w:t>
            </w:r>
            <w:r w:rsidRPr="0063107B">
              <w:rPr>
                <w:rFonts w:asciiTheme="minorHAnsi" w:hAnsiTheme="minorHAnsi" w:cstheme="minorHAnsi"/>
              </w:rPr>
              <w:t>19/11/19,</w:t>
            </w:r>
            <w:r w:rsidRPr="0063107B">
              <w:rPr>
                <w:rFonts w:asciiTheme="minorHAnsi" w:hAnsiTheme="minorHAnsi" w:cstheme="minorHAnsi"/>
                <w:spacing w:val="62"/>
              </w:rPr>
              <w:t xml:space="preserve"> </w:t>
            </w:r>
            <w:r w:rsidRPr="0063107B">
              <w:rPr>
                <w:rFonts w:asciiTheme="minorHAnsi" w:hAnsiTheme="minorHAnsi" w:cstheme="minorHAnsi"/>
              </w:rPr>
              <w:t>10/12/19,</w:t>
            </w:r>
            <w:r w:rsidRPr="0063107B">
              <w:rPr>
                <w:rFonts w:asciiTheme="minorHAnsi" w:hAnsiTheme="minorHAnsi" w:cstheme="minorHAnsi"/>
                <w:spacing w:val="60"/>
              </w:rPr>
              <w:t xml:space="preserve"> </w:t>
            </w:r>
            <w:r w:rsidRPr="0063107B">
              <w:rPr>
                <w:rFonts w:asciiTheme="minorHAnsi" w:hAnsiTheme="minorHAnsi" w:cstheme="minorHAnsi"/>
              </w:rPr>
              <w:t>19/5/20,</w:t>
            </w:r>
            <w:r w:rsidRPr="0063107B">
              <w:rPr>
                <w:rFonts w:asciiTheme="minorHAnsi" w:hAnsiTheme="minorHAnsi" w:cstheme="minorHAnsi"/>
                <w:spacing w:val="61"/>
              </w:rPr>
              <w:t xml:space="preserve"> </w:t>
            </w:r>
            <w:r w:rsidRPr="0063107B">
              <w:rPr>
                <w:rFonts w:asciiTheme="minorHAnsi" w:hAnsiTheme="minorHAnsi" w:cstheme="minorHAnsi"/>
                <w:spacing w:val="-2"/>
              </w:rPr>
              <w:t>15/9/20,</w:t>
            </w:r>
          </w:p>
          <w:p w14:paraId="6B196986" w14:textId="77777777" w:rsidR="00E237B8" w:rsidRPr="0063107B" w:rsidRDefault="00E237B8" w:rsidP="009C0390">
            <w:pPr>
              <w:pStyle w:val="TableParagraph"/>
              <w:spacing w:line="267" w:lineRule="exact"/>
              <w:ind w:left="161"/>
              <w:rPr>
                <w:rFonts w:asciiTheme="minorHAnsi" w:hAnsiTheme="minorHAnsi" w:cstheme="minorHAnsi"/>
              </w:rPr>
            </w:pPr>
            <w:r w:rsidRPr="0063107B">
              <w:rPr>
                <w:rFonts w:asciiTheme="minorHAnsi" w:hAnsiTheme="minorHAnsi" w:cstheme="minorHAnsi"/>
              </w:rPr>
              <w:t>8/12/20,</w:t>
            </w:r>
            <w:r w:rsidRPr="0063107B">
              <w:rPr>
                <w:rFonts w:asciiTheme="minorHAnsi" w:hAnsiTheme="minorHAnsi" w:cstheme="minorHAnsi"/>
                <w:spacing w:val="-8"/>
              </w:rPr>
              <w:t xml:space="preserve"> </w:t>
            </w:r>
            <w:r w:rsidRPr="0063107B">
              <w:rPr>
                <w:rFonts w:asciiTheme="minorHAnsi" w:hAnsiTheme="minorHAnsi" w:cstheme="minorHAnsi"/>
                <w:spacing w:val="-2"/>
              </w:rPr>
              <w:t>20/7/21, 18/3/25, 19/9/25</w:t>
            </w:r>
          </w:p>
        </w:tc>
      </w:tr>
      <w:tr w:rsidR="00E237B8" w:rsidRPr="0063107B" w14:paraId="5279C1BE" w14:textId="77777777" w:rsidTr="009C0390">
        <w:trPr>
          <w:trHeight w:val="309"/>
        </w:trPr>
        <w:tc>
          <w:tcPr>
            <w:tcW w:w="3257" w:type="dxa"/>
          </w:tcPr>
          <w:p w14:paraId="0AEC1B2B" w14:textId="77777777" w:rsidR="00E237B8" w:rsidRPr="0063107B" w:rsidRDefault="00E237B8" w:rsidP="009C0390">
            <w:pPr>
              <w:pStyle w:val="TableParagraph"/>
              <w:spacing w:before="6"/>
              <w:ind w:left="156"/>
              <w:rPr>
                <w:rFonts w:asciiTheme="minorHAnsi" w:hAnsiTheme="minorHAnsi" w:cstheme="minorHAnsi"/>
                <w:b/>
              </w:rPr>
            </w:pPr>
            <w:r w:rsidRPr="0063107B">
              <w:rPr>
                <w:rFonts w:asciiTheme="minorHAnsi" w:hAnsiTheme="minorHAnsi" w:cstheme="minorHAnsi"/>
                <w:b/>
              </w:rPr>
              <w:t>Former</w:t>
            </w:r>
            <w:r w:rsidRPr="0063107B">
              <w:rPr>
                <w:rFonts w:asciiTheme="minorHAnsi" w:hAnsiTheme="minorHAnsi" w:cstheme="minorHAnsi"/>
                <w:b/>
                <w:spacing w:val="-7"/>
              </w:rPr>
              <w:t xml:space="preserve"> </w:t>
            </w:r>
            <w:r w:rsidRPr="0063107B">
              <w:rPr>
                <w:rFonts w:asciiTheme="minorHAnsi" w:hAnsiTheme="minorHAnsi" w:cstheme="minorHAnsi"/>
                <w:b/>
              </w:rPr>
              <w:t>Policy</w:t>
            </w:r>
            <w:r w:rsidRPr="0063107B">
              <w:rPr>
                <w:rFonts w:asciiTheme="minorHAnsi" w:hAnsiTheme="minorHAnsi" w:cstheme="minorHAnsi"/>
                <w:b/>
                <w:spacing w:val="-6"/>
              </w:rPr>
              <w:t xml:space="preserve"> </w:t>
            </w:r>
            <w:r w:rsidRPr="0063107B">
              <w:rPr>
                <w:rFonts w:asciiTheme="minorHAnsi" w:hAnsiTheme="minorHAnsi" w:cstheme="minorHAnsi"/>
                <w:b/>
                <w:spacing w:val="-5"/>
              </w:rPr>
              <w:t>No:</w:t>
            </w:r>
          </w:p>
        </w:tc>
        <w:tc>
          <w:tcPr>
            <w:tcW w:w="5763" w:type="dxa"/>
          </w:tcPr>
          <w:p w14:paraId="1EDAFF1D" w14:textId="77777777" w:rsidR="00E237B8" w:rsidRPr="0063107B" w:rsidRDefault="00E237B8" w:rsidP="009C0390">
            <w:pPr>
              <w:pStyle w:val="TableParagraph"/>
              <w:spacing w:before="6"/>
              <w:ind w:left="161"/>
              <w:rPr>
                <w:rFonts w:asciiTheme="minorHAnsi" w:hAnsiTheme="minorHAnsi" w:cstheme="minorHAnsi"/>
              </w:rPr>
            </w:pPr>
            <w:r w:rsidRPr="0063107B">
              <w:rPr>
                <w:rFonts w:asciiTheme="minorHAnsi" w:hAnsiTheme="minorHAnsi" w:cstheme="minorHAnsi"/>
                <w:spacing w:val="-2"/>
              </w:rPr>
              <w:t>4.2.4</w:t>
            </w:r>
          </w:p>
        </w:tc>
      </w:tr>
    </w:tbl>
    <w:p w14:paraId="240A776F" w14:textId="77777777" w:rsidR="00E237B8" w:rsidRPr="0063107B" w:rsidRDefault="00E237B8" w:rsidP="00E237B8">
      <w:pPr>
        <w:pStyle w:val="BodyText"/>
        <w:ind w:left="0"/>
        <w:rPr>
          <w:rFonts w:asciiTheme="minorHAnsi" w:hAnsiTheme="minorHAnsi" w:cstheme="minorHAnsi"/>
        </w:rPr>
      </w:pPr>
    </w:p>
    <w:p w14:paraId="409495E5" w14:textId="77777777" w:rsidR="00E237B8" w:rsidRPr="0063107B" w:rsidRDefault="00E237B8" w:rsidP="00E237B8">
      <w:pPr>
        <w:pStyle w:val="BodyText"/>
        <w:ind w:left="0"/>
        <w:rPr>
          <w:rFonts w:asciiTheme="minorHAnsi" w:hAnsiTheme="minorHAnsi" w:cstheme="minorHAnsi"/>
        </w:rPr>
      </w:pPr>
    </w:p>
    <w:p w14:paraId="0AA6378B" w14:textId="77777777" w:rsidR="00E237B8" w:rsidRDefault="00E237B8" w:rsidP="00E237B8">
      <w:pPr>
        <w:pStyle w:val="BodyText"/>
        <w:spacing w:before="156"/>
        <w:ind w:left="0"/>
      </w:pPr>
    </w:p>
    <w:p w14:paraId="25AD80A7" w14:textId="77777777" w:rsidR="00E237B8" w:rsidRDefault="00E237B8" w:rsidP="00E237B8">
      <w:pPr>
        <w:pStyle w:val="BodyText"/>
        <w:spacing w:line="273" w:lineRule="auto"/>
        <w:ind w:left="0" w:right="7439"/>
        <w:sectPr w:rsidR="00E237B8" w:rsidSect="00E237B8">
          <w:pgSz w:w="11920" w:h="16850"/>
          <w:pgMar w:top="1338" w:right="1298" w:bottom="2359" w:left="1559" w:header="720" w:footer="720" w:gutter="0"/>
          <w:cols w:space="720"/>
        </w:sectPr>
      </w:pPr>
    </w:p>
    <w:p w14:paraId="0C2D4024" w14:textId="77777777" w:rsidR="00E237B8" w:rsidRDefault="00E237B8" w:rsidP="00E237B8">
      <w:pPr>
        <w:pStyle w:val="BodyText"/>
        <w:ind w:left="7368"/>
        <w:rPr>
          <w:sz w:val="20"/>
        </w:rPr>
      </w:pPr>
      <w:r>
        <w:rPr>
          <w:noProof/>
          <w:sz w:val="20"/>
        </w:rPr>
        <w:lastRenderedPageBreak/>
        <w:drawing>
          <wp:inline distT="0" distB="0" distL="0" distR="0" wp14:anchorId="6FEEC862" wp14:editId="36CCDC31">
            <wp:extent cx="1101447" cy="469392"/>
            <wp:effectExtent l="0" t="0" r="0" b="0"/>
            <wp:docPr id="666126090" name="Image 2" descr="A logo for a tow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126090" name="Image 2" descr="A logo for a town&#10;&#10;AI-generated content may be incorrect."/>
                    <pic:cNvPicPr/>
                  </pic:nvPicPr>
                  <pic:blipFill>
                    <a:blip r:embed="rId57" cstate="print"/>
                    <a:stretch>
                      <a:fillRect/>
                    </a:stretch>
                  </pic:blipFill>
                  <pic:spPr>
                    <a:xfrm>
                      <a:off x="0" y="0"/>
                      <a:ext cx="1101447" cy="469392"/>
                    </a:xfrm>
                    <a:prstGeom prst="rect">
                      <a:avLst/>
                    </a:prstGeom>
                  </pic:spPr>
                </pic:pic>
              </a:graphicData>
            </a:graphic>
          </wp:inline>
        </w:drawing>
      </w:r>
    </w:p>
    <w:p w14:paraId="3F0264C4" w14:textId="77777777" w:rsidR="00E237B8" w:rsidRDefault="00E237B8" w:rsidP="00E237B8">
      <w:pPr>
        <w:pStyle w:val="BodyText"/>
        <w:spacing w:before="132"/>
        <w:ind w:left="0"/>
      </w:pPr>
    </w:p>
    <w:p w14:paraId="59E09C2D" w14:textId="77777777" w:rsidR="00E237B8" w:rsidRPr="007A0E62" w:rsidRDefault="00E237B8" w:rsidP="00E6562C">
      <w:pPr>
        <w:jc w:val="center"/>
        <w:rPr>
          <w:rFonts w:cstheme="minorHAnsi"/>
          <w:b/>
          <w:bCs/>
          <w:sz w:val="24"/>
          <w:szCs w:val="24"/>
        </w:rPr>
      </w:pPr>
      <w:r w:rsidRPr="007A0E62">
        <w:rPr>
          <w:rFonts w:cstheme="minorHAnsi"/>
          <w:b/>
          <w:bCs/>
          <w:sz w:val="24"/>
          <w:szCs w:val="24"/>
        </w:rPr>
        <w:t>PURCHASING</w:t>
      </w:r>
      <w:r w:rsidRPr="007A0E62">
        <w:rPr>
          <w:rFonts w:cstheme="minorHAnsi"/>
          <w:b/>
          <w:bCs/>
          <w:spacing w:val="5"/>
          <w:sz w:val="24"/>
          <w:szCs w:val="24"/>
        </w:rPr>
        <w:t xml:space="preserve"> </w:t>
      </w:r>
      <w:r w:rsidRPr="007A0E62">
        <w:rPr>
          <w:rFonts w:cstheme="minorHAnsi"/>
          <w:b/>
          <w:bCs/>
          <w:sz w:val="24"/>
          <w:szCs w:val="24"/>
        </w:rPr>
        <w:t>PROCEDURES</w:t>
      </w:r>
      <w:r w:rsidRPr="007A0E62">
        <w:rPr>
          <w:rFonts w:cstheme="minorHAnsi"/>
          <w:b/>
          <w:bCs/>
          <w:spacing w:val="8"/>
          <w:sz w:val="24"/>
          <w:szCs w:val="24"/>
        </w:rPr>
        <w:t xml:space="preserve"> </w:t>
      </w:r>
      <w:r w:rsidRPr="007A0E62">
        <w:rPr>
          <w:rFonts w:cstheme="minorHAnsi"/>
          <w:b/>
          <w:bCs/>
          <w:sz w:val="24"/>
          <w:szCs w:val="24"/>
        </w:rPr>
        <w:t>(PRO2.1.3)</w:t>
      </w:r>
    </w:p>
    <w:p w14:paraId="18D4568C" w14:textId="77777777" w:rsidR="00E237B8" w:rsidRPr="00CA03D5" w:rsidRDefault="00E237B8" w:rsidP="007B3B6F">
      <w:pPr>
        <w:pStyle w:val="ListParagraph"/>
        <w:widowControl w:val="0"/>
        <w:numPr>
          <w:ilvl w:val="0"/>
          <w:numId w:val="536"/>
        </w:numPr>
        <w:tabs>
          <w:tab w:val="left" w:pos="686"/>
        </w:tabs>
        <w:autoSpaceDE w:val="0"/>
        <w:autoSpaceDN w:val="0"/>
        <w:spacing w:before="241" w:after="0" w:line="240" w:lineRule="auto"/>
        <w:ind w:hanging="568"/>
        <w:contextualSpacing w:val="0"/>
      </w:pPr>
      <w:r w:rsidRPr="00CA03D5">
        <w:t>Council</w:t>
      </w:r>
      <w:r w:rsidRPr="00CA03D5">
        <w:rPr>
          <w:spacing w:val="-7"/>
        </w:rPr>
        <w:t xml:space="preserve"> </w:t>
      </w:r>
      <w:r w:rsidRPr="00CA03D5">
        <w:t>purchase</w:t>
      </w:r>
      <w:r w:rsidRPr="00CA03D5">
        <w:rPr>
          <w:spacing w:val="-5"/>
        </w:rPr>
        <w:t xml:space="preserve"> </w:t>
      </w:r>
      <w:r w:rsidRPr="00CA03D5">
        <w:t>orders</w:t>
      </w:r>
      <w:r w:rsidRPr="00CA03D5">
        <w:rPr>
          <w:spacing w:val="-7"/>
        </w:rPr>
        <w:t xml:space="preserve"> </w:t>
      </w:r>
      <w:r w:rsidRPr="00CA03D5">
        <w:t>are</w:t>
      </w:r>
      <w:r w:rsidRPr="00CA03D5">
        <w:rPr>
          <w:spacing w:val="-1"/>
        </w:rPr>
        <w:t xml:space="preserve"> </w:t>
      </w:r>
      <w:r w:rsidRPr="00CA03D5">
        <w:t>to</w:t>
      </w:r>
      <w:r w:rsidRPr="00CA03D5">
        <w:rPr>
          <w:spacing w:val="-2"/>
        </w:rPr>
        <w:t xml:space="preserve"> </w:t>
      </w:r>
      <w:r w:rsidRPr="00CA03D5">
        <w:t>be</w:t>
      </w:r>
      <w:r w:rsidRPr="00CA03D5">
        <w:rPr>
          <w:spacing w:val="-8"/>
        </w:rPr>
        <w:t xml:space="preserve"> </w:t>
      </w:r>
      <w:r w:rsidRPr="00CA03D5">
        <w:t>signed</w:t>
      </w:r>
      <w:r w:rsidRPr="00CA03D5">
        <w:rPr>
          <w:spacing w:val="-8"/>
        </w:rPr>
        <w:t xml:space="preserve"> </w:t>
      </w:r>
      <w:r w:rsidRPr="00CA03D5">
        <w:t>only</w:t>
      </w:r>
      <w:r w:rsidRPr="00CA03D5">
        <w:rPr>
          <w:spacing w:val="-3"/>
        </w:rPr>
        <w:t xml:space="preserve"> </w:t>
      </w:r>
      <w:r w:rsidRPr="00CA03D5">
        <w:t>by</w:t>
      </w:r>
      <w:r w:rsidRPr="00CA03D5">
        <w:rPr>
          <w:spacing w:val="-6"/>
        </w:rPr>
        <w:t xml:space="preserve"> </w:t>
      </w:r>
      <w:r w:rsidRPr="00CA03D5">
        <w:t>Officers</w:t>
      </w:r>
      <w:r w:rsidRPr="00CA03D5">
        <w:rPr>
          <w:spacing w:val="-4"/>
        </w:rPr>
        <w:t xml:space="preserve"> </w:t>
      </w:r>
      <w:r w:rsidRPr="00CA03D5">
        <w:t>authorised</w:t>
      </w:r>
      <w:r w:rsidRPr="00CA03D5">
        <w:rPr>
          <w:spacing w:val="41"/>
        </w:rPr>
        <w:t xml:space="preserve"> </w:t>
      </w:r>
      <w:r w:rsidRPr="00CA03D5">
        <w:t>by</w:t>
      </w:r>
      <w:r w:rsidRPr="00CA03D5">
        <w:rPr>
          <w:spacing w:val="-5"/>
        </w:rPr>
        <w:t xml:space="preserve"> </w:t>
      </w:r>
      <w:r w:rsidRPr="00CA03D5">
        <w:t>Council,</w:t>
      </w:r>
      <w:r w:rsidRPr="00CA03D5">
        <w:rPr>
          <w:spacing w:val="-10"/>
        </w:rPr>
        <w:t xml:space="preserve"> </w:t>
      </w:r>
      <w:r w:rsidRPr="00CA03D5">
        <w:t>namely</w:t>
      </w:r>
      <w:r w:rsidRPr="00CA03D5">
        <w:rPr>
          <w:spacing w:val="-3"/>
        </w:rPr>
        <w:t xml:space="preserve"> </w:t>
      </w:r>
      <w:r w:rsidRPr="00CA03D5">
        <w:rPr>
          <w:spacing w:val="-4"/>
        </w:rPr>
        <w:t>the:</w:t>
      </w:r>
    </w:p>
    <w:p w14:paraId="2508F76D" w14:textId="77777777" w:rsidR="00E237B8" w:rsidRPr="00CA03D5" w:rsidRDefault="00E237B8" w:rsidP="00E237B8">
      <w:pPr>
        <w:pStyle w:val="ListParagraph"/>
        <w:widowControl w:val="0"/>
        <w:numPr>
          <w:ilvl w:val="0"/>
          <w:numId w:val="535"/>
        </w:numPr>
        <w:tabs>
          <w:tab w:val="left" w:pos="1111"/>
        </w:tabs>
        <w:autoSpaceDE w:val="0"/>
        <w:autoSpaceDN w:val="0"/>
        <w:spacing w:before="60" w:after="0" w:line="240" w:lineRule="auto"/>
        <w:ind w:left="1111" w:hanging="441"/>
        <w:contextualSpacing w:val="0"/>
      </w:pPr>
      <w:r w:rsidRPr="00CA03D5">
        <w:t>Chief</w:t>
      </w:r>
      <w:r w:rsidRPr="00CA03D5">
        <w:rPr>
          <w:spacing w:val="-9"/>
        </w:rPr>
        <w:t xml:space="preserve"> </w:t>
      </w:r>
      <w:r w:rsidRPr="00CA03D5">
        <w:t>Executive</w:t>
      </w:r>
      <w:r w:rsidRPr="00CA03D5">
        <w:rPr>
          <w:spacing w:val="-8"/>
        </w:rPr>
        <w:t xml:space="preserve"> </w:t>
      </w:r>
      <w:r w:rsidRPr="00CA03D5">
        <w:t>Officer;</w:t>
      </w:r>
      <w:r w:rsidRPr="00CA03D5">
        <w:rPr>
          <w:spacing w:val="-5"/>
        </w:rPr>
        <w:t xml:space="preserve"> </w:t>
      </w:r>
      <w:r w:rsidRPr="00CA03D5">
        <w:rPr>
          <w:spacing w:val="-2"/>
        </w:rPr>
        <w:t>(unlimited)</w:t>
      </w:r>
    </w:p>
    <w:p w14:paraId="6408DDC6" w14:textId="77777777" w:rsidR="00E237B8" w:rsidRPr="00EC3120" w:rsidRDefault="00E237B8" w:rsidP="00E237B8">
      <w:pPr>
        <w:pStyle w:val="ListParagraph"/>
        <w:widowControl w:val="0"/>
        <w:numPr>
          <w:ilvl w:val="0"/>
          <w:numId w:val="535"/>
        </w:numPr>
        <w:tabs>
          <w:tab w:val="left" w:pos="1111"/>
        </w:tabs>
        <w:autoSpaceDE w:val="0"/>
        <w:autoSpaceDN w:val="0"/>
        <w:spacing w:before="1" w:after="0" w:line="240" w:lineRule="auto"/>
        <w:ind w:left="1111" w:hanging="441"/>
        <w:contextualSpacing w:val="0"/>
      </w:pPr>
      <w:r w:rsidRPr="00BE10AB">
        <w:t>Executive</w:t>
      </w:r>
      <w:r w:rsidRPr="00BE10AB">
        <w:rPr>
          <w:spacing w:val="18"/>
        </w:rPr>
        <w:t xml:space="preserve"> </w:t>
      </w:r>
      <w:r w:rsidRPr="00BE10AB">
        <w:t>Manager</w:t>
      </w:r>
      <w:r w:rsidRPr="00BE10AB">
        <w:rPr>
          <w:spacing w:val="67"/>
        </w:rPr>
        <w:t xml:space="preserve"> </w:t>
      </w:r>
      <w:r w:rsidRPr="00BE10AB">
        <w:t>Corporate</w:t>
      </w:r>
      <w:r w:rsidRPr="00BE10AB">
        <w:rPr>
          <w:spacing w:val="70"/>
        </w:rPr>
        <w:t xml:space="preserve"> </w:t>
      </w:r>
      <w:r w:rsidRPr="00BE10AB">
        <w:t>Services;</w:t>
      </w:r>
      <w:r w:rsidRPr="00BE10AB">
        <w:rPr>
          <w:spacing w:val="71"/>
        </w:rPr>
        <w:t xml:space="preserve"> </w:t>
      </w:r>
      <w:r w:rsidRPr="00BE10AB">
        <w:t>Limit</w:t>
      </w:r>
      <w:r w:rsidRPr="00BE10AB">
        <w:rPr>
          <w:spacing w:val="62"/>
        </w:rPr>
        <w:t xml:space="preserve"> </w:t>
      </w:r>
      <w:r w:rsidRPr="00BE10AB">
        <w:rPr>
          <w:b/>
          <w:bCs/>
          <w:spacing w:val="-2"/>
          <w:u w:val="single"/>
        </w:rPr>
        <w:t>$50,</w:t>
      </w:r>
      <w:r w:rsidRPr="003B5D52">
        <w:rPr>
          <w:b/>
          <w:bCs/>
          <w:spacing w:val="-2"/>
          <w:u w:val="single"/>
        </w:rPr>
        <w:t>000</w:t>
      </w:r>
      <w:r w:rsidRPr="003B5D52">
        <w:rPr>
          <w:spacing w:val="-2"/>
        </w:rPr>
        <w:t xml:space="preserve"> </w:t>
      </w:r>
      <w:r w:rsidRPr="00EC3120">
        <w:rPr>
          <w:i/>
          <w:iCs/>
          <w:spacing w:val="-2"/>
          <w:u w:val="single"/>
        </w:rPr>
        <w:t>(With exceptions for below Liability Payments):</w:t>
      </w:r>
    </w:p>
    <w:p w14:paraId="4330D237" w14:textId="77777777" w:rsidR="00E237B8" w:rsidRPr="00EC3120" w:rsidRDefault="00E237B8" w:rsidP="007B3B6F">
      <w:pPr>
        <w:pStyle w:val="ListParagraph"/>
        <w:widowControl w:val="0"/>
        <w:numPr>
          <w:ilvl w:val="0"/>
          <w:numId w:val="568"/>
        </w:numPr>
        <w:tabs>
          <w:tab w:val="left" w:pos="1111"/>
        </w:tabs>
        <w:autoSpaceDE w:val="0"/>
        <w:autoSpaceDN w:val="0"/>
        <w:spacing w:before="1" w:after="0" w:line="240" w:lineRule="auto"/>
        <w:contextualSpacing w:val="0"/>
      </w:pPr>
      <w:r w:rsidRPr="00EC3120">
        <w:t>Loan Repayments - ($</w:t>
      </w:r>
      <w:r>
        <w:t>2</w:t>
      </w:r>
      <w:r w:rsidRPr="00EC3120">
        <w:t>00,000.00)</w:t>
      </w:r>
    </w:p>
    <w:p w14:paraId="42FD674A" w14:textId="77777777" w:rsidR="00E237B8" w:rsidRPr="00EC3120" w:rsidRDefault="00E237B8" w:rsidP="007B3B6F">
      <w:pPr>
        <w:pStyle w:val="ListParagraph"/>
        <w:widowControl w:val="0"/>
        <w:numPr>
          <w:ilvl w:val="0"/>
          <w:numId w:val="568"/>
        </w:numPr>
        <w:tabs>
          <w:tab w:val="left" w:pos="1111"/>
        </w:tabs>
        <w:autoSpaceDE w:val="0"/>
        <w:autoSpaceDN w:val="0"/>
        <w:spacing w:before="1" w:after="0" w:line="240" w:lineRule="auto"/>
        <w:contextualSpacing w:val="0"/>
      </w:pPr>
      <w:r w:rsidRPr="00EC3120">
        <w:t>DFES</w:t>
      </w:r>
      <w:r>
        <w:t xml:space="preserve"> ESL</w:t>
      </w:r>
      <w:r w:rsidRPr="00EC3120">
        <w:t xml:space="preserve"> </w:t>
      </w:r>
      <w:r>
        <w:t>Payments</w:t>
      </w:r>
      <w:r w:rsidRPr="00EC3120">
        <w:t xml:space="preserve"> </w:t>
      </w:r>
      <w:r>
        <w:t>– As required based on ESL payment schedule</w:t>
      </w:r>
    </w:p>
    <w:p w14:paraId="0E705D86" w14:textId="77777777" w:rsidR="00E237B8" w:rsidRPr="00EC3120" w:rsidRDefault="00E237B8" w:rsidP="007B3B6F">
      <w:pPr>
        <w:pStyle w:val="ListParagraph"/>
        <w:widowControl w:val="0"/>
        <w:numPr>
          <w:ilvl w:val="0"/>
          <w:numId w:val="568"/>
        </w:numPr>
        <w:tabs>
          <w:tab w:val="left" w:pos="1111"/>
        </w:tabs>
        <w:autoSpaceDE w:val="0"/>
        <w:autoSpaceDN w:val="0"/>
        <w:spacing w:before="1" w:after="0" w:line="240" w:lineRule="auto"/>
        <w:contextualSpacing w:val="0"/>
      </w:pPr>
      <w:r w:rsidRPr="00EC3120">
        <w:t>Insurance Invoices - ($</w:t>
      </w:r>
      <w:r>
        <w:t>2</w:t>
      </w:r>
      <w:r w:rsidRPr="00EC3120">
        <w:t>50,000.00)</w:t>
      </w:r>
    </w:p>
    <w:p w14:paraId="07C096C7" w14:textId="77777777" w:rsidR="00E237B8" w:rsidRPr="00EC3120" w:rsidRDefault="00E237B8" w:rsidP="007B3B6F">
      <w:pPr>
        <w:pStyle w:val="ListParagraph"/>
        <w:widowControl w:val="0"/>
        <w:numPr>
          <w:ilvl w:val="0"/>
          <w:numId w:val="568"/>
        </w:numPr>
        <w:tabs>
          <w:tab w:val="left" w:pos="1111"/>
        </w:tabs>
        <w:autoSpaceDE w:val="0"/>
        <w:autoSpaceDN w:val="0"/>
        <w:spacing w:before="1" w:after="0" w:line="240" w:lineRule="auto"/>
        <w:contextualSpacing w:val="0"/>
      </w:pPr>
      <w:r w:rsidRPr="00EC3120">
        <w:t>ATO Payments (PAYG, GST Payable, &amp; FBT Payable) – ($</w:t>
      </w:r>
      <w:r>
        <w:t>15</w:t>
      </w:r>
      <w:r w:rsidRPr="00EC3120">
        <w:t>0,000.00)</w:t>
      </w:r>
    </w:p>
    <w:p w14:paraId="02651382" w14:textId="77777777" w:rsidR="00E237B8" w:rsidRDefault="00E237B8" w:rsidP="007B3B6F">
      <w:pPr>
        <w:pStyle w:val="ListParagraph"/>
        <w:widowControl w:val="0"/>
        <w:numPr>
          <w:ilvl w:val="0"/>
          <w:numId w:val="568"/>
        </w:numPr>
        <w:tabs>
          <w:tab w:val="left" w:pos="1111"/>
        </w:tabs>
        <w:autoSpaceDE w:val="0"/>
        <w:autoSpaceDN w:val="0"/>
        <w:spacing w:before="1" w:after="0" w:line="240" w:lineRule="auto"/>
        <w:contextualSpacing w:val="0"/>
      </w:pPr>
      <w:r w:rsidRPr="00EC3120">
        <w:t xml:space="preserve">Superannuation Liability Payments – </w:t>
      </w:r>
      <w:r>
        <w:t>as required to meet statutory requirements</w:t>
      </w:r>
    </w:p>
    <w:p w14:paraId="7AAA1314" w14:textId="77777777" w:rsidR="00E237B8" w:rsidRPr="003B5D52" w:rsidRDefault="00E237B8" w:rsidP="007B3B6F">
      <w:pPr>
        <w:pStyle w:val="ListParagraph"/>
        <w:widowControl w:val="0"/>
        <w:numPr>
          <w:ilvl w:val="0"/>
          <w:numId w:val="568"/>
        </w:numPr>
        <w:tabs>
          <w:tab w:val="left" w:pos="1111"/>
        </w:tabs>
        <w:autoSpaceDE w:val="0"/>
        <w:autoSpaceDN w:val="0"/>
        <w:spacing w:before="1" w:after="0" w:line="240" w:lineRule="auto"/>
        <w:contextualSpacing w:val="0"/>
      </w:pPr>
      <w:r>
        <w:t xml:space="preserve">Payment of wages – As required </w:t>
      </w:r>
    </w:p>
    <w:p w14:paraId="69AAD097" w14:textId="77777777" w:rsidR="00E237B8" w:rsidRPr="00CA03D5" w:rsidRDefault="00E237B8" w:rsidP="00E237B8">
      <w:pPr>
        <w:pStyle w:val="ListParagraph"/>
        <w:widowControl w:val="0"/>
        <w:numPr>
          <w:ilvl w:val="0"/>
          <w:numId w:val="535"/>
        </w:numPr>
        <w:tabs>
          <w:tab w:val="left" w:pos="1111"/>
        </w:tabs>
        <w:autoSpaceDE w:val="0"/>
        <w:autoSpaceDN w:val="0"/>
        <w:spacing w:before="3" w:after="0" w:line="240" w:lineRule="auto"/>
        <w:ind w:left="1111" w:hanging="441"/>
        <w:contextualSpacing w:val="0"/>
      </w:pPr>
      <w:r w:rsidRPr="00CA03D5">
        <w:t>Executive</w:t>
      </w:r>
      <w:r w:rsidRPr="00CA03D5">
        <w:rPr>
          <w:spacing w:val="17"/>
        </w:rPr>
        <w:t xml:space="preserve"> </w:t>
      </w:r>
      <w:r w:rsidRPr="00CA03D5">
        <w:t>Manager</w:t>
      </w:r>
      <w:r w:rsidRPr="00CA03D5">
        <w:rPr>
          <w:spacing w:val="65"/>
        </w:rPr>
        <w:t xml:space="preserve"> </w:t>
      </w:r>
      <w:r w:rsidRPr="00CA03D5">
        <w:t>Regulatory</w:t>
      </w:r>
      <w:r w:rsidRPr="00CA03D5">
        <w:rPr>
          <w:spacing w:val="-3"/>
        </w:rPr>
        <w:t xml:space="preserve"> </w:t>
      </w:r>
      <w:r w:rsidRPr="00CA03D5">
        <w:t>Services;</w:t>
      </w:r>
      <w:r w:rsidRPr="00CA03D5">
        <w:rPr>
          <w:spacing w:val="-7"/>
        </w:rPr>
        <w:t xml:space="preserve"> </w:t>
      </w:r>
      <w:r w:rsidRPr="00CA03D5">
        <w:t>Limit</w:t>
      </w:r>
      <w:r w:rsidRPr="00CA03D5">
        <w:rPr>
          <w:spacing w:val="-5"/>
        </w:rPr>
        <w:t xml:space="preserve"> </w:t>
      </w:r>
      <w:r w:rsidRPr="00CA03D5">
        <w:rPr>
          <w:spacing w:val="-2"/>
        </w:rPr>
        <w:t>$50,000</w:t>
      </w:r>
    </w:p>
    <w:p w14:paraId="59111808" w14:textId="77777777" w:rsidR="00E237B8" w:rsidRPr="00CA03D5" w:rsidRDefault="00E237B8" w:rsidP="00E237B8">
      <w:pPr>
        <w:pStyle w:val="ListParagraph"/>
        <w:widowControl w:val="0"/>
        <w:numPr>
          <w:ilvl w:val="0"/>
          <w:numId w:val="535"/>
        </w:numPr>
        <w:tabs>
          <w:tab w:val="left" w:pos="1111"/>
        </w:tabs>
        <w:autoSpaceDE w:val="0"/>
        <w:autoSpaceDN w:val="0"/>
        <w:spacing w:after="0" w:line="240" w:lineRule="auto"/>
        <w:ind w:left="1111" w:hanging="441"/>
        <w:contextualSpacing w:val="0"/>
      </w:pPr>
      <w:r w:rsidRPr="00CA03D5">
        <w:t>Executive</w:t>
      </w:r>
      <w:r w:rsidRPr="00CA03D5">
        <w:rPr>
          <w:spacing w:val="-8"/>
        </w:rPr>
        <w:t xml:space="preserve"> </w:t>
      </w:r>
      <w:r w:rsidRPr="00CA03D5">
        <w:t>Manager</w:t>
      </w:r>
      <w:r w:rsidRPr="00CA03D5">
        <w:rPr>
          <w:spacing w:val="-8"/>
        </w:rPr>
        <w:t xml:space="preserve"> </w:t>
      </w:r>
      <w:r w:rsidRPr="00CA03D5">
        <w:t>Technical</w:t>
      </w:r>
      <w:r w:rsidRPr="00CA03D5">
        <w:rPr>
          <w:spacing w:val="-5"/>
        </w:rPr>
        <w:t xml:space="preserve"> </w:t>
      </w:r>
      <w:r w:rsidRPr="00CA03D5">
        <w:t>Services;</w:t>
      </w:r>
      <w:r w:rsidRPr="00CA03D5">
        <w:rPr>
          <w:spacing w:val="-7"/>
        </w:rPr>
        <w:t xml:space="preserve"> </w:t>
      </w:r>
      <w:r w:rsidRPr="00CA03D5">
        <w:t>Limit</w:t>
      </w:r>
      <w:r w:rsidRPr="00CA03D5">
        <w:rPr>
          <w:spacing w:val="-9"/>
        </w:rPr>
        <w:t xml:space="preserve"> </w:t>
      </w:r>
      <w:r w:rsidRPr="00CA03D5">
        <w:rPr>
          <w:spacing w:val="-2"/>
        </w:rPr>
        <w:t>$50,000</w:t>
      </w:r>
    </w:p>
    <w:p w14:paraId="7FD3C950" w14:textId="77777777" w:rsidR="00E237B8" w:rsidRPr="00CA03D5" w:rsidRDefault="00E237B8" w:rsidP="00E237B8">
      <w:pPr>
        <w:pStyle w:val="ListParagraph"/>
        <w:widowControl w:val="0"/>
        <w:numPr>
          <w:ilvl w:val="0"/>
          <w:numId w:val="535"/>
        </w:numPr>
        <w:tabs>
          <w:tab w:val="left" w:pos="1111"/>
        </w:tabs>
        <w:autoSpaceDE w:val="0"/>
        <w:autoSpaceDN w:val="0"/>
        <w:spacing w:before="1" w:after="0" w:line="240" w:lineRule="auto"/>
        <w:ind w:left="1111" w:hanging="441"/>
        <w:contextualSpacing w:val="0"/>
      </w:pPr>
      <w:r w:rsidRPr="00CA03D5">
        <w:t>Operations</w:t>
      </w:r>
      <w:r w:rsidRPr="00CA03D5">
        <w:rPr>
          <w:spacing w:val="-9"/>
        </w:rPr>
        <w:t xml:space="preserve"> </w:t>
      </w:r>
      <w:r w:rsidRPr="00CA03D5">
        <w:t>Supervisor;</w:t>
      </w:r>
      <w:r w:rsidRPr="00CA03D5">
        <w:rPr>
          <w:spacing w:val="-8"/>
        </w:rPr>
        <w:t xml:space="preserve"> </w:t>
      </w:r>
      <w:r w:rsidRPr="00CA03D5">
        <w:t>Limit</w:t>
      </w:r>
      <w:r w:rsidRPr="00CA03D5">
        <w:rPr>
          <w:spacing w:val="-5"/>
        </w:rPr>
        <w:t xml:space="preserve"> </w:t>
      </w:r>
      <w:r w:rsidRPr="00CA03D5">
        <w:rPr>
          <w:spacing w:val="-2"/>
        </w:rPr>
        <w:t>$15,000</w:t>
      </w:r>
    </w:p>
    <w:p w14:paraId="7ADEFD2B" w14:textId="77777777" w:rsidR="00E237B8" w:rsidRPr="00CA03D5" w:rsidRDefault="00E237B8" w:rsidP="00E237B8">
      <w:pPr>
        <w:pStyle w:val="ListParagraph"/>
        <w:widowControl w:val="0"/>
        <w:numPr>
          <w:ilvl w:val="0"/>
          <w:numId w:val="535"/>
        </w:numPr>
        <w:tabs>
          <w:tab w:val="left" w:pos="1111"/>
        </w:tabs>
        <w:autoSpaceDE w:val="0"/>
        <w:autoSpaceDN w:val="0"/>
        <w:spacing w:after="0" w:line="240" w:lineRule="auto"/>
        <w:ind w:left="1111" w:hanging="441"/>
        <w:contextualSpacing w:val="0"/>
      </w:pPr>
      <w:r w:rsidRPr="00CA03D5">
        <w:t>Supervisor</w:t>
      </w:r>
      <w:r w:rsidRPr="00CA03D5">
        <w:rPr>
          <w:spacing w:val="-8"/>
        </w:rPr>
        <w:t xml:space="preserve"> </w:t>
      </w:r>
      <w:r w:rsidRPr="00CA03D5">
        <w:t>Infrastructure</w:t>
      </w:r>
      <w:r w:rsidRPr="00CA03D5">
        <w:rPr>
          <w:spacing w:val="-6"/>
        </w:rPr>
        <w:t xml:space="preserve"> </w:t>
      </w:r>
      <w:r w:rsidRPr="00CA03D5">
        <w:t>and</w:t>
      </w:r>
      <w:r w:rsidRPr="00CA03D5">
        <w:rPr>
          <w:spacing w:val="-6"/>
        </w:rPr>
        <w:t xml:space="preserve"> </w:t>
      </w:r>
      <w:r w:rsidRPr="00CA03D5">
        <w:t>Assets,</w:t>
      </w:r>
      <w:r w:rsidRPr="00CA03D5">
        <w:rPr>
          <w:spacing w:val="-7"/>
        </w:rPr>
        <w:t xml:space="preserve"> </w:t>
      </w:r>
      <w:r w:rsidRPr="00CA03D5">
        <w:t>Limit</w:t>
      </w:r>
      <w:r w:rsidRPr="00CA03D5">
        <w:rPr>
          <w:spacing w:val="-4"/>
        </w:rPr>
        <w:t xml:space="preserve"> </w:t>
      </w:r>
      <w:r w:rsidRPr="00CA03D5">
        <w:rPr>
          <w:spacing w:val="-2"/>
        </w:rPr>
        <w:t>$15,000</w:t>
      </w:r>
    </w:p>
    <w:p w14:paraId="57A3453E" w14:textId="77777777" w:rsidR="00E237B8" w:rsidRPr="003E411D" w:rsidRDefault="00E237B8" w:rsidP="00E237B8">
      <w:pPr>
        <w:pStyle w:val="ListParagraph"/>
        <w:widowControl w:val="0"/>
        <w:numPr>
          <w:ilvl w:val="0"/>
          <w:numId w:val="535"/>
        </w:numPr>
        <w:tabs>
          <w:tab w:val="left" w:pos="1111"/>
        </w:tabs>
        <w:autoSpaceDE w:val="0"/>
        <w:autoSpaceDN w:val="0"/>
        <w:spacing w:before="3" w:after="0" w:line="279" w:lineRule="exact"/>
        <w:ind w:left="1111" w:hanging="441"/>
        <w:contextualSpacing w:val="0"/>
      </w:pPr>
      <w:r w:rsidRPr="003E411D">
        <w:t>Finance Manager,</w:t>
      </w:r>
      <w:r w:rsidRPr="003E411D">
        <w:rPr>
          <w:spacing w:val="-2"/>
        </w:rPr>
        <w:t xml:space="preserve"> </w:t>
      </w:r>
      <w:r w:rsidRPr="003E411D">
        <w:t>Limit</w:t>
      </w:r>
      <w:r w:rsidRPr="003E411D">
        <w:rPr>
          <w:spacing w:val="-8"/>
        </w:rPr>
        <w:t xml:space="preserve"> </w:t>
      </w:r>
      <w:r w:rsidRPr="003E411D">
        <w:rPr>
          <w:spacing w:val="-2"/>
        </w:rPr>
        <w:t>$15,000</w:t>
      </w:r>
    </w:p>
    <w:p w14:paraId="2DA447A5" w14:textId="77777777" w:rsidR="00E237B8" w:rsidRPr="003E411D" w:rsidRDefault="00E237B8" w:rsidP="00E237B8">
      <w:pPr>
        <w:pStyle w:val="ListParagraph"/>
        <w:widowControl w:val="0"/>
        <w:numPr>
          <w:ilvl w:val="0"/>
          <w:numId w:val="535"/>
        </w:numPr>
        <w:tabs>
          <w:tab w:val="left" w:pos="1111"/>
        </w:tabs>
        <w:autoSpaceDE w:val="0"/>
        <w:autoSpaceDN w:val="0"/>
        <w:spacing w:after="0" w:line="279" w:lineRule="exact"/>
        <w:ind w:left="1111" w:hanging="441"/>
        <w:contextualSpacing w:val="0"/>
      </w:pPr>
      <w:r w:rsidRPr="003E411D">
        <w:t>Manager People and Culture;</w:t>
      </w:r>
      <w:r w:rsidRPr="003E411D">
        <w:rPr>
          <w:spacing w:val="-7"/>
        </w:rPr>
        <w:t xml:space="preserve"> </w:t>
      </w:r>
      <w:r w:rsidRPr="003E411D">
        <w:t>Limit</w:t>
      </w:r>
      <w:r w:rsidRPr="003E411D">
        <w:rPr>
          <w:spacing w:val="-8"/>
        </w:rPr>
        <w:t xml:space="preserve"> </w:t>
      </w:r>
      <w:r w:rsidRPr="003E411D">
        <w:rPr>
          <w:spacing w:val="-2"/>
        </w:rPr>
        <w:t>$5,000</w:t>
      </w:r>
    </w:p>
    <w:p w14:paraId="125D62E8" w14:textId="77777777" w:rsidR="00E237B8" w:rsidRPr="00CA03D5" w:rsidRDefault="00E237B8" w:rsidP="00E237B8">
      <w:pPr>
        <w:pStyle w:val="ListParagraph"/>
        <w:widowControl w:val="0"/>
        <w:numPr>
          <w:ilvl w:val="0"/>
          <w:numId w:val="535"/>
        </w:numPr>
        <w:tabs>
          <w:tab w:val="left" w:pos="1111"/>
        </w:tabs>
        <w:autoSpaceDE w:val="0"/>
        <w:autoSpaceDN w:val="0"/>
        <w:spacing w:before="3" w:after="0" w:line="278" w:lineRule="exact"/>
        <w:ind w:left="1111" w:hanging="441"/>
        <w:contextualSpacing w:val="0"/>
      </w:pPr>
      <w:r w:rsidRPr="00CA03D5">
        <w:t>Coordinator</w:t>
      </w:r>
      <w:r w:rsidRPr="00CA03D5">
        <w:rPr>
          <w:spacing w:val="-11"/>
        </w:rPr>
        <w:t xml:space="preserve"> </w:t>
      </w:r>
      <w:r w:rsidRPr="00CA03D5">
        <w:t>Corporate</w:t>
      </w:r>
      <w:r w:rsidRPr="00CA03D5">
        <w:rPr>
          <w:spacing w:val="-9"/>
        </w:rPr>
        <w:t xml:space="preserve"> </w:t>
      </w:r>
      <w:r w:rsidRPr="00CA03D5">
        <w:t>Services;</w:t>
      </w:r>
      <w:r w:rsidRPr="00CA03D5">
        <w:rPr>
          <w:spacing w:val="-8"/>
        </w:rPr>
        <w:t xml:space="preserve"> </w:t>
      </w:r>
      <w:r w:rsidRPr="00CA03D5">
        <w:t>Limit</w:t>
      </w:r>
      <w:r w:rsidRPr="00CA03D5">
        <w:rPr>
          <w:spacing w:val="-11"/>
        </w:rPr>
        <w:t xml:space="preserve"> </w:t>
      </w:r>
      <w:r w:rsidRPr="00CA03D5">
        <w:rPr>
          <w:spacing w:val="-2"/>
        </w:rPr>
        <w:t>$5,000</w:t>
      </w:r>
    </w:p>
    <w:p w14:paraId="23A80938" w14:textId="77777777" w:rsidR="00E237B8" w:rsidRPr="003E411D" w:rsidRDefault="00E237B8" w:rsidP="00E237B8">
      <w:pPr>
        <w:pStyle w:val="ListParagraph"/>
        <w:widowControl w:val="0"/>
        <w:numPr>
          <w:ilvl w:val="0"/>
          <w:numId w:val="535"/>
        </w:numPr>
        <w:tabs>
          <w:tab w:val="left" w:pos="1111"/>
        </w:tabs>
        <w:autoSpaceDE w:val="0"/>
        <w:autoSpaceDN w:val="0"/>
        <w:spacing w:after="0" w:line="278" w:lineRule="exact"/>
        <w:ind w:left="1111" w:hanging="441"/>
        <w:contextualSpacing w:val="0"/>
      </w:pPr>
      <w:r w:rsidRPr="003E411D">
        <w:t>Executive Assistant/Governance Coordinator;</w:t>
      </w:r>
      <w:r w:rsidRPr="003E411D">
        <w:rPr>
          <w:spacing w:val="-8"/>
        </w:rPr>
        <w:t xml:space="preserve"> </w:t>
      </w:r>
      <w:r w:rsidRPr="003E411D">
        <w:t>Limit</w:t>
      </w:r>
      <w:r w:rsidRPr="003E411D">
        <w:rPr>
          <w:spacing w:val="-5"/>
        </w:rPr>
        <w:t xml:space="preserve"> </w:t>
      </w:r>
      <w:r w:rsidRPr="003E411D">
        <w:rPr>
          <w:spacing w:val="-2"/>
        </w:rPr>
        <w:t>$5,000</w:t>
      </w:r>
    </w:p>
    <w:p w14:paraId="00765FE5" w14:textId="77777777" w:rsidR="00E237B8" w:rsidRPr="00CA03D5" w:rsidRDefault="00E237B8" w:rsidP="00E237B8">
      <w:pPr>
        <w:pStyle w:val="ListParagraph"/>
        <w:widowControl w:val="0"/>
        <w:numPr>
          <w:ilvl w:val="0"/>
          <w:numId w:val="535"/>
        </w:numPr>
        <w:tabs>
          <w:tab w:val="left" w:pos="1111"/>
        </w:tabs>
        <w:autoSpaceDE w:val="0"/>
        <w:autoSpaceDN w:val="0"/>
        <w:spacing w:before="1" w:after="0" w:line="240" w:lineRule="auto"/>
        <w:ind w:left="1111" w:hanging="441"/>
        <w:contextualSpacing w:val="0"/>
      </w:pPr>
      <w:r w:rsidRPr="00CA03D5">
        <w:rPr>
          <w:spacing w:val="-2"/>
        </w:rPr>
        <w:t>Coordinator</w:t>
      </w:r>
      <w:r w:rsidRPr="00CA03D5">
        <w:rPr>
          <w:spacing w:val="2"/>
        </w:rPr>
        <w:t xml:space="preserve"> </w:t>
      </w:r>
      <w:r w:rsidRPr="00CA03D5">
        <w:rPr>
          <w:spacing w:val="-2"/>
        </w:rPr>
        <w:t>Regulatory Services;</w:t>
      </w:r>
      <w:r w:rsidRPr="00CA03D5">
        <w:rPr>
          <w:spacing w:val="1"/>
        </w:rPr>
        <w:t xml:space="preserve"> </w:t>
      </w:r>
      <w:r w:rsidRPr="00CA03D5">
        <w:rPr>
          <w:spacing w:val="-2"/>
        </w:rPr>
        <w:t>Limit</w:t>
      </w:r>
      <w:r w:rsidRPr="00CA03D5">
        <w:rPr>
          <w:spacing w:val="3"/>
        </w:rPr>
        <w:t xml:space="preserve"> </w:t>
      </w:r>
      <w:r w:rsidRPr="00CA03D5">
        <w:rPr>
          <w:spacing w:val="-2"/>
        </w:rPr>
        <w:t>$5,000</w:t>
      </w:r>
    </w:p>
    <w:p w14:paraId="584990A8" w14:textId="77777777" w:rsidR="00E237B8" w:rsidRPr="00CA03D5" w:rsidRDefault="00E237B8" w:rsidP="00E237B8">
      <w:pPr>
        <w:pStyle w:val="ListParagraph"/>
        <w:widowControl w:val="0"/>
        <w:numPr>
          <w:ilvl w:val="0"/>
          <w:numId w:val="535"/>
        </w:numPr>
        <w:tabs>
          <w:tab w:val="left" w:pos="1111"/>
        </w:tabs>
        <w:autoSpaceDE w:val="0"/>
        <w:autoSpaceDN w:val="0"/>
        <w:spacing w:before="48" w:after="0" w:line="240" w:lineRule="auto"/>
        <w:ind w:left="1111" w:hanging="441"/>
        <w:contextualSpacing w:val="0"/>
      </w:pPr>
      <w:r w:rsidRPr="00CA03D5">
        <w:t>Coordinator</w:t>
      </w:r>
      <w:r w:rsidRPr="00CA03D5">
        <w:rPr>
          <w:spacing w:val="-5"/>
        </w:rPr>
        <w:t xml:space="preserve"> </w:t>
      </w:r>
      <w:r w:rsidRPr="00CA03D5">
        <w:t>–</w:t>
      </w:r>
      <w:r w:rsidRPr="00CA03D5">
        <w:rPr>
          <w:spacing w:val="-3"/>
        </w:rPr>
        <w:t xml:space="preserve"> </w:t>
      </w:r>
      <w:r w:rsidRPr="00CA03D5">
        <w:t>Operations;</w:t>
      </w:r>
      <w:r w:rsidRPr="00CA03D5">
        <w:rPr>
          <w:spacing w:val="-5"/>
        </w:rPr>
        <w:t xml:space="preserve"> </w:t>
      </w:r>
      <w:r w:rsidRPr="00CA03D5">
        <w:t>Limit</w:t>
      </w:r>
      <w:r w:rsidRPr="00CA03D5">
        <w:rPr>
          <w:spacing w:val="-5"/>
        </w:rPr>
        <w:t xml:space="preserve"> </w:t>
      </w:r>
      <w:r w:rsidRPr="00CA03D5">
        <w:rPr>
          <w:spacing w:val="-2"/>
        </w:rPr>
        <w:t>$5,000</w:t>
      </w:r>
    </w:p>
    <w:p w14:paraId="193F6D47" w14:textId="77777777" w:rsidR="00E237B8" w:rsidRPr="00CA03D5" w:rsidRDefault="00E237B8" w:rsidP="00E237B8">
      <w:pPr>
        <w:pStyle w:val="ListParagraph"/>
        <w:widowControl w:val="0"/>
        <w:numPr>
          <w:ilvl w:val="0"/>
          <w:numId w:val="535"/>
        </w:numPr>
        <w:tabs>
          <w:tab w:val="left" w:pos="1111"/>
        </w:tabs>
        <w:autoSpaceDE w:val="0"/>
        <w:autoSpaceDN w:val="0"/>
        <w:spacing w:before="56" w:after="0" w:line="240" w:lineRule="auto"/>
        <w:ind w:left="1111" w:hanging="441"/>
        <w:contextualSpacing w:val="0"/>
      </w:pPr>
      <w:r w:rsidRPr="00CA03D5">
        <w:t>Manager CHSP</w:t>
      </w:r>
      <w:r w:rsidRPr="00CA03D5">
        <w:rPr>
          <w:spacing w:val="-7"/>
        </w:rPr>
        <w:t xml:space="preserve"> </w:t>
      </w:r>
      <w:r w:rsidRPr="00CA03D5">
        <w:t>(CHSP</w:t>
      </w:r>
      <w:r w:rsidRPr="00CA03D5">
        <w:rPr>
          <w:spacing w:val="-6"/>
        </w:rPr>
        <w:t xml:space="preserve"> </w:t>
      </w:r>
      <w:r w:rsidRPr="00CA03D5">
        <w:t>related</w:t>
      </w:r>
      <w:r w:rsidRPr="00CA03D5">
        <w:rPr>
          <w:spacing w:val="-8"/>
        </w:rPr>
        <w:t xml:space="preserve"> </w:t>
      </w:r>
      <w:r w:rsidRPr="00CA03D5">
        <w:t>purchases</w:t>
      </w:r>
      <w:r w:rsidRPr="00CA03D5">
        <w:rPr>
          <w:spacing w:val="-8"/>
        </w:rPr>
        <w:t xml:space="preserve"> </w:t>
      </w:r>
      <w:r w:rsidRPr="00CA03D5">
        <w:t>only);</w:t>
      </w:r>
      <w:r w:rsidRPr="00CA03D5">
        <w:rPr>
          <w:spacing w:val="-9"/>
        </w:rPr>
        <w:t xml:space="preserve"> </w:t>
      </w:r>
      <w:r w:rsidRPr="00CA03D5">
        <w:t>Limit</w:t>
      </w:r>
      <w:r w:rsidRPr="00CA03D5">
        <w:rPr>
          <w:spacing w:val="-6"/>
        </w:rPr>
        <w:t xml:space="preserve"> </w:t>
      </w:r>
      <w:r w:rsidRPr="00CA03D5">
        <w:rPr>
          <w:spacing w:val="-2"/>
        </w:rPr>
        <w:t>$5,000</w:t>
      </w:r>
    </w:p>
    <w:p w14:paraId="314FFF7B" w14:textId="77777777" w:rsidR="00E237B8" w:rsidRPr="003E411D" w:rsidRDefault="00E237B8" w:rsidP="00E237B8">
      <w:pPr>
        <w:pStyle w:val="ListParagraph"/>
        <w:widowControl w:val="0"/>
        <w:numPr>
          <w:ilvl w:val="0"/>
          <w:numId w:val="535"/>
        </w:numPr>
        <w:tabs>
          <w:tab w:val="left" w:pos="1111"/>
        </w:tabs>
        <w:autoSpaceDE w:val="0"/>
        <w:autoSpaceDN w:val="0"/>
        <w:spacing w:before="3" w:after="0" w:line="279" w:lineRule="exact"/>
        <w:ind w:left="1111" w:hanging="441"/>
        <w:contextualSpacing w:val="0"/>
      </w:pPr>
      <w:r w:rsidRPr="003E411D">
        <w:rPr>
          <w:spacing w:val="-2"/>
        </w:rPr>
        <w:t>Manager Community Engagement and Communication</w:t>
      </w:r>
      <w:r w:rsidRPr="003E411D">
        <w:t>;</w:t>
      </w:r>
      <w:r w:rsidRPr="003E411D">
        <w:rPr>
          <w:spacing w:val="-8"/>
        </w:rPr>
        <w:t xml:space="preserve"> </w:t>
      </w:r>
      <w:r w:rsidRPr="003E411D">
        <w:rPr>
          <w:spacing w:val="-2"/>
        </w:rPr>
        <w:t>$5,000</w:t>
      </w:r>
    </w:p>
    <w:p w14:paraId="6508DE7C" w14:textId="77777777" w:rsidR="00E237B8" w:rsidRPr="003E411D" w:rsidRDefault="00E237B8" w:rsidP="00E237B8">
      <w:pPr>
        <w:pStyle w:val="ListParagraph"/>
        <w:widowControl w:val="0"/>
        <w:numPr>
          <w:ilvl w:val="0"/>
          <w:numId w:val="535"/>
        </w:numPr>
        <w:tabs>
          <w:tab w:val="left" w:pos="1111"/>
        </w:tabs>
        <w:autoSpaceDE w:val="0"/>
        <w:autoSpaceDN w:val="0"/>
        <w:spacing w:after="0" w:line="279" w:lineRule="exact"/>
        <w:ind w:left="1111" w:hanging="441"/>
        <w:contextualSpacing w:val="0"/>
      </w:pPr>
      <w:r w:rsidRPr="003E411D">
        <w:t>Senior</w:t>
      </w:r>
      <w:r w:rsidRPr="003E411D">
        <w:rPr>
          <w:spacing w:val="-7"/>
        </w:rPr>
        <w:t xml:space="preserve"> </w:t>
      </w:r>
      <w:r w:rsidRPr="003E411D">
        <w:t>Ranger;</w:t>
      </w:r>
      <w:r w:rsidRPr="003E411D">
        <w:rPr>
          <w:spacing w:val="-5"/>
        </w:rPr>
        <w:t xml:space="preserve"> </w:t>
      </w:r>
      <w:r w:rsidRPr="003E411D">
        <w:t>Limit</w:t>
      </w:r>
      <w:r w:rsidRPr="003E411D">
        <w:rPr>
          <w:spacing w:val="-6"/>
        </w:rPr>
        <w:t xml:space="preserve"> </w:t>
      </w:r>
      <w:r w:rsidRPr="003E411D">
        <w:rPr>
          <w:spacing w:val="-2"/>
        </w:rPr>
        <w:t>$2,000</w:t>
      </w:r>
    </w:p>
    <w:p w14:paraId="204C1BDB" w14:textId="77777777" w:rsidR="00E237B8" w:rsidRPr="00CA03D5" w:rsidRDefault="00E237B8" w:rsidP="00E237B8">
      <w:pPr>
        <w:pStyle w:val="ListParagraph"/>
        <w:widowControl w:val="0"/>
        <w:numPr>
          <w:ilvl w:val="0"/>
          <w:numId w:val="535"/>
        </w:numPr>
        <w:tabs>
          <w:tab w:val="left" w:pos="1111"/>
        </w:tabs>
        <w:autoSpaceDE w:val="0"/>
        <w:autoSpaceDN w:val="0"/>
        <w:spacing w:after="0" w:line="240" w:lineRule="auto"/>
        <w:ind w:left="1111" w:hanging="441"/>
        <w:contextualSpacing w:val="0"/>
      </w:pPr>
      <w:r w:rsidRPr="00CA03D5">
        <w:t>Principal</w:t>
      </w:r>
      <w:r w:rsidRPr="00CA03D5">
        <w:rPr>
          <w:spacing w:val="-8"/>
        </w:rPr>
        <w:t xml:space="preserve"> </w:t>
      </w:r>
      <w:r w:rsidRPr="00CA03D5">
        <w:t>Environmental</w:t>
      </w:r>
      <w:r w:rsidRPr="00CA03D5">
        <w:rPr>
          <w:spacing w:val="-11"/>
        </w:rPr>
        <w:t xml:space="preserve"> </w:t>
      </w:r>
      <w:r w:rsidRPr="00CA03D5">
        <w:t>Health</w:t>
      </w:r>
      <w:r w:rsidRPr="00CA03D5">
        <w:rPr>
          <w:spacing w:val="-8"/>
        </w:rPr>
        <w:t xml:space="preserve"> </w:t>
      </w:r>
      <w:r w:rsidRPr="00CA03D5">
        <w:t>Officer;</w:t>
      </w:r>
      <w:r w:rsidRPr="00CA03D5">
        <w:rPr>
          <w:spacing w:val="-9"/>
        </w:rPr>
        <w:t xml:space="preserve"> </w:t>
      </w:r>
      <w:r w:rsidRPr="00CA03D5">
        <w:t>Limit</w:t>
      </w:r>
      <w:r w:rsidRPr="00CA03D5">
        <w:rPr>
          <w:spacing w:val="-8"/>
        </w:rPr>
        <w:t xml:space="preserve"> </w:t>
      </w:r>
      <w:r w:rsidRPr="00CA03D5">
        <w:rPr>
          <w:spacing w:val="-2"/>
        </w:rPr>
        <w:t>$1,500</w:t>
      </w:r>
    </w:p>
    <w:p w14:paraId="22D56E1D" w14:textId="77777777" w:rsidR="00E237B8" w:rsidRDefault="00E237B8" w:rsidP="00E237B8">
      <w:pPr>
        <w:pStyle w:val="ListParagraph"/>
        <w:tabs>
          <w:tab w:val="left" w:pos="1111"/>
        </w:tabs>
        <w:spacing w:before="3" w:line="259" w:lineRule="auto"/>
        <w:ind w:left="670" w:right="3851"/>
        <w:rPr>
          <w:spacing w:val="-2"/>
        </w:rPr>
      </w:pPr>
      <w:r>
        <w:t>or</w:t>
      </w:r>
      <w:r>
        <w:rPr>
          <w:spacing w:val="-7"/>
        </w:rPr>
        <w:t xml:space="preserve"> </w:t>
      </w:r>
      <w:r>
        <w:t>those</w:t>
      </w:r>
      <w:r>
        <w:rPr>
          <w:spacing w:val="-5"/>
        </w:rPr>
        <w:t xml:space="preserve"> </w:t>
      </w:r>
      <w:r>
        <w:t>Officers</w:t>
      </w:r>
      <w:r>
        <w:rPr>
          <w:spacing w:val="-6"/>
        </w:rPr>
        <w:t xml:space="preserve"> </w:t>
      </w:r>
      <w:r>
        <w:t>acting</w:t>
      </w:r>
      <w:r>
        <w:rPr>
          <w:spacing w:val="-4"/>
        </w:rPr>
        <w:t xml:space="preserve"> </w:t>
      </w:r>
      <w:r>
        <w:t>in</w:t>
      </w:r>
      <w:r>
        <w:rPr>
          <w:spacing w:val="-6"/>
        </w:rPr>
        <w:t xml:space="preserve"> </w:t>
      </w:r>
      <w:r>
        <w:t>the</w:t>
      </w:r>
      <w:r>
        <w:rPr>
          <w:spacing w:val="-4"/>
        </w:rPr>
        <w:t xml:space="preserve"> </w:t>
      </w:r>
      <w:r>
        <w:t>positions</w:t>
      </w:r>
      <w:r>
        <w:rPr>
          <w:spacing w:val="-4"/>
        </w:rPr>
        <w:t xml:space="preserve"> </w:t>
      </w:r>
    </w:p>
    <w:p w14:paraId="70EE01EF" w14:textId="77777777" w:rsidR="00E237B8" w:rsidRDefault="00E237B8" w:rsidP="00E237B8">
      <w:pPr>
        <w:pStyle w:val="ListParagraph"/>
        <w:tabs>
          <w:tab w:val="left" w:pos="1111"/>
        </w:tabs>
        <w:spacing w:before="3" w:line="259" w:lineRule="auto"/>
        <w:ind w:left="670" w:right="3851"/>
        <w:rPr>
          <w:spacing w:val="-2"/>
        </w:rPr>
      </w:pPr>
      <w:proofErr w:type="gramStart"/>
      <w:r>
        <w:rPr>
          <w:spacing w:val="-2"/>
        </w:rPr>
        <w:t>All of</w:t>
      </w:r>
      <w:proofErr w:type="gramEnd"/>
      <w:r>
        <w:rPr>
          <w:spacing w:val="-2"/>
        </w:rPr>
        <w:t xml:space="preserve"> the above thresholds are GST exclusive.</w:t>
      </w:r>
    </w:p>
    <w:p w14:paraId="278D7A1B" w14:textId="77777777" w:rsidR="00F1515F" w:rsidRDefault="00F1515F" w:rsidP="00E237B8">
      <w:pPr>
        <w:pStyle w:val="ListParagraph"/>
        <w:tabs>
          <w:tab w:val="left" w:pos="1111"/>
        </w:tabs>
        <w:spacing w:before="3" w:line="259" w:lineRule="auto"/>
        <w:ind w:left="670" w:right="3851"/>
      </w:pPr>
    </w:p>
    <w:p w14:paraId="75CD1EE3" w14:textId="77777777" w:rsidR="00E237B8" w:rsidRDefault="00E237B8" w:rsidP="007B3B6F">
      <w:pPr>
        <w:pStyle w:val="ListParagraph"/>
        <w:widowControl w:val="0"/>
        <w:numPr>
          <w:ilvl w:val="0"/>
          <w:numId w:val="536"/>
        </w:numPr>
        <w:tabs>
          <w:tab w:val="left" w:pos="684"/>
          <w:tab w:val="left" w:pos="686"/>
        </w:tabs>
        <w:autoSpaceDE w:val="0"/>
        <w:autoSpaceDN w:val="0"/>
        <w:spacing w:before="167" w:after="0" w:line="240" w:lineRule="auto"/>
        <w:ind w:right="409"/>
        <w:contextualSpacing w:val="0"/>
        <w:jc w:val="both"/>
      </w:pPr>
      <w:r>
        <w:t>Authority</w:t>
      </w:r>
      <w:r>
        <w:rPr>
          <w:spacing w:val="-13"/>
        </w:rPr>
        <w:t xml:space="preserve"> </w:t>
      </w:r>
      <w:r>
        <w:t>limitations</w:t>
      </w:r>
      <w:r>
        <w:rPr>
          <w:spacing w:val="-12"/>
        </w:rPr>
        <w:t xml:space="preserve"> </w:t>
      </w:r>
      <w:r>
        <w:t>apply</w:t>
      </w:r>
      <w:r>
        <w:rPr>
          <w:spacing w:val="-13"/>
        </w:rPr>
        <w:t xml:space="preserve"> </w:t>
      </w:r>
      <w:r>
        <w:t>to</w:t>
      </w:r>
      <w:r>
        <w:rPr>
          <w:spacing w:val="-12"/>
        </w:rPr>
        <w:t xml:space="preserve"> </w:t>
      </w:r>
      <w:r>
        <w:t>any</w:t>
      </w:r>
      <w:r>
        <w:rPr>
          <w:spacing w:val="-13"/>
        </w:rPr>
        <w:t xml:space="preserve"> </w:t>
      </w:r>
      <w:r>
        <w:t>purchase</w:t>
      </w:r>
      <w:r>
        <w:rPr>
          <w:spacing w:val="-12"/>
        </w:rPr>
        <w:t xml:space="preserve"> </w:t>
      </w:r>
      <w:r>
        <w:t>including</w:t>
      </w:r>
      <w:r>
        <w:rPr>
          <w:spacing w:val="-13"/>
        </w:rPr>
        <w:t xml:space="preserve"> </w:t>
      </w:r>
      <w:r>
        <w:t>signing</w:t>
      </w:r>
      <w:r>
        <w:rPr>
          <w:spacing w:val="-12"/>
        </w:rPr>
        <w:t xml:space="preserve"> </w:t>
      </w:r>
      <w:r>
        <w:t>contracts</w:t>
      </w:r>
      <w:r>
        <w:rPr>
          <w:spacing w:val="-13"/>
        </w:rPr>
        <w:t xml:space="preserve"> </w:t>
      </w:r>
      <w:r>
        <w:t>in</w:t>
      </w:r>
      <w:r>
        <w:rPr>
          <w:spacing w:val="-12"/>
        </w:rPr>
        <w:t xml:space="preserve"> </w:t>
      </w:r>
      <w:r>
        <w:t>accordance</w:t>
      </w:r>
      <w:r>
        <w:rPr>
          <w:spacing w:val="-13"/>
        </w:rPr>
        <w:t xml:space="preserve"> </w:t>
      </w:r>
      <w:r>
        <w:t xml:space="preserve">with Delegation DA8 and </w:t>
      </w:r>
      <w:proofErr w:type="gramStart"/>
      <w:r>
        <w:t>DA9;</w:t>
      </w:r>
      <w:proofErr w:type="gramEnd"/>
    </w:p>
    <w:p w14:paraId="5926EE6A" w14:textId="77777777" w:rsidR="00E237B8" w:rsidRPr="003E3A67" w:rsidRDefault="00E237B8" w:rsidP="001451B0">
      <w:pPr>
        <w:pStyle w:val="BodyText"/>
        <w:spacing w:after="0"/>
        <w:ind w:left="0"/>
        <w:rPr>
          <w:rFonts w:asciiTheme="minorHAnsi" w:hAnsiTheme="minorHAnsi" w:cstheme="minorHAnsi"/>
        </w:rPr>
      </w:pPr>
    </w:p>
    <w:p w14:paraId="45952D67" w14:textId="77777777" w:rsidR="00E237B8" w:rsidRPr="003E3A67" w:rsidRDefault="00E237B8" w:rsidP="007B3B6F">
      <w:pPr>
        <w:pStyle w:val="ListParagraph"/>
        <w:widowControl w:val="0"/>
        <w:numPr>
          <w:ilvl w:val="0"/>
          <w:numId w:val="536"/>
        </w:numPr>
        <w:tabs>
          <w:tab w:val="left" w:pos="686"/>
        </w:tabs>
        <w:autoSpaceDE w:val="0"/>
        <w:autoSpaceDN w:val="0"/>
        <w:spacing w:after="0" w:line="240" w:lineRule="auto"/>
        <w:ind w:hanging="568"/>
        <w:contextualSpacing w:val="0"/>
        <w:rPr>
          <w:rFonts w:cstheme="minorHAnsi"/>
        </w:rPr>
      </w:pPr>
      <w:r w:rsidRPr="003E3A67">
        <w:rPr>
          <w:rFonts w:cstheme="minorHAnsi"/>
        </w:rPr>
        <w:t>An</w:t>
      </w:r>
      <w:r w:rsidRPr="003E3A67">
        <w:rPr>
          <w:rFonts w:cstheme="minorHAnsi"/>
          <w:spacing w:val="11"/>
        </w:rPr>
        <w:t xml:space="preserve"> </w:t>
      </w:r>
      <w:r w:rsidRPr="003E3A67">
        <w:rPr>
          <w:rFonts w:cstheme="minorHAnsi"/>
        </w:rPr>
        <w:t>official</w:t>
      </w:r>
      <w:r w:rsidRPr="003E3A67">
        <w:rPr>
          <w:rFonts w:cstheme="minorHAnsi"/>
          <w:spacing w:val="11"/>
        </w:rPr>
        <w:t xml:space="preserve"> </w:t>
      </w:r>
      <w:r w:rsidRPr="003E3A67">
        <w:rPr>
          <w:rFonts w:cstheme="minorHAnsi"/>
        </w:rPr>
        <w:t>purchase</w:t>
      </w:r>
      <w:r w:rsidRPr="003E3A67">
        <w:rPr>
          <w:rFonts w:cstheme="minorHAnsi"/>
          <w:spacing w:val="10"/>
        </w:rPr>
        <w:t xml:space="preserve"> </w:t>
      </w:r>
      <w:r w:rsidRPr="003E3A67">
        <w:rPr>
          <w:rFonts w:cstheme="minorHAnsi"/>
        </w:rPr>
        <w:t>order</w:t>
      </w:r>
      <w:r w:rsidRPr="003E3A67">
        <w:rPr>
          <w:rFonts w:cstheme="minorHAnsi"/>
          <w:spacing w:val="12"/>
        </w:rPr>
        <w:t xml:space="preserve"> </w:t>
      </w:r>
      <w:r w:rsidRPr="003E3A67">
        <w:rPr>
          <w:rFonts w:cstheme="minorHAnsi"/>
        </w:rPr>
        <w:t>must</w:t>
      </w:r>
      <w:r w:rsidRPr="003E3A67">
        <w:rPr>
          <w:rFonts w:cstheme="minorHAnsi"/>
          <w:spacing w:val="15"/>
        </w:rPr>
        <w:t xml:space="preserve"> </w:t>
      </w:r>
      <w:r w:rsidRPr="003E3A67">
        <w:rPr>
          <w:rFonts w:cstheme="minorHAnsi"/>
        </w:rPr>
        <w:t>be</w:t>
      </w:r>
      <w:r w:rsidRPr="003E3A67">
        <w:rPr>
          <w:rFonts w:cstheme="minorHAnsi"/>
          <w:spacing w:val="12"/>
        </w:rPr>
        <w:t xml:space="preserve"> </w:t>
      </w:r>
      <w:r w:rsidRPr="003E3A67">
        <w:rPr>
          <w:rFonts w:cstheme="minorHAnsi"/>
        </w:rPr>
        <w:t>placed</w:t>
      </w:r>
      <w:r w:rsidRPr="003E3A67">
        <w:rPr>
          <w:rFonts w:cstheme="minorHAnsi"/>
          <w:spacing w:val="11"/>
        </w:rPr>
        <w:t xml:space="preserve"> </w:t>
      </w:r>
      <w:r w:rsidRPr="003E3A67">
        <w:rPr>
          <w:rFonts w:cstheme="minorHAnsi"/>
        </w:rPr>
        <w:t>for</w:t>
      </w:r>
      <w:r w:rsidRPr="003E3A67">
        <w:rPr>
          <w:rFonts w:cstheme="minorHAnsi"/>
          <w:spacing w:val="12"/>
        </w:rPr>
        <w:t xml:space="preserve"> </w:t>
      </w:r>
      <w:r w:rsidRPr="003E3A67">
        <w:rPr>
          <w:rFonts w:cstheme="minorHAnsi"/>
        </w:rPr>
        <w:t>all</w:t>
      </w:r>
      <w:r w:rsidRPr="003E3A67">
        <w:rPr>
          <w:rFonts w:cstheme="minorHAnsi"/>
          <w:spacing w:val="11"/>
        </w:rPr>
        <w:t xml:space="preserve"> </w:t>
      </w:r>
      <w:r w:rsidRPr="003E3A67">
        <w:rPr>
          <w:rFonts w:cstheme="minorHAnsi"/>
        </w:rPr>
        <w:t>goods</w:t>
      </w:r>
      <w:r w:rsidRPr="003E3A67">
        <w:rPr>
          <w:rFonts w:cstheme="minorHAnsi"/>
          <w:spacing w:val="14"/>
        </w:rPr>
        <w:t xml:space="preserve"> </w:t>
      </w:r>
      <w:r w:rsidRPr="003E3A67">
        <w:rPr>
          <w:rFonts w:cstheme="minorHAnsi"/>
        </w:rPr>
        <w:t>or</w:t>
      </w:r>
      <w:r w:rsidRPr="003E3A67">
        <w:rPr>
          <w:rFonts w:cstheme="minorHAnsi"/>
          <w:spacing w:val="14"/>
        </w:rPr>
        <w:t xml:space="preserve"> </w:t>
      </w:r>
      <w:r w:rsidRPr="003E3A67">
        <w:rPr>
          <w:rFonts w:cstheme="minorHAnsi"/>
        </w:rPr>
        <w:t>services</w:t>
      </w:r>
      <w:r w:rsidRPr="003E3A67">
        <w:rPr>
          <w:rFonts w:cstheme="minorHAnsi"/>
          <w:spacing w:val="13"/>
        </w:rPr>
        <w:t xml:space="preserve"> </w:t>
      </w:r>
      <w:r w:rsidRPr="003E3A67">
        <w:rPr>
          <w:rFonts w:cstheme="minorHAnsi"/>
        </w:rPr>
        <w:t>(including</w:t>
      </w:r>
      <w:r w:rsidRPr="003E3A67">
        <w:rPr>
          <w:rFonts w:cstheme="minorHAnsi"/>
          <w:spacing w:val="15"/>
        </w:rPr>
        <w:t xml:space="preserve"> </w:t>
      </w:r>
      <w:r w:rsidRPr="003E3A67">
        <w:rPr>
          <w:rFonts w:cstheme="minorHAnsi"/>
          <w:spacing w:val="-2"/>
        </w:rPr>
        <w:t>consultants’</w:t>
      </w:r>
    </w:p>
    <w:p w14:paraId="06FB9A8B" w14:textId="77777777" w:rsidR="00E237B8" w:rsidRPr="003E3A67" w:rsidRDefault="00E237B8" w:rsidP="00121E13">
      <w:pPr>
        <w:pStyle w:val="BodyText"/>
        <w:spacing w:after="0"/>
        <w:ind w:left="686"/>
        <w:rPr>
          <w:rFonts w:asciiTheme="minorHAnsi" w:hAnsiTheme="minorHAnsi" w:cstheme="minorHAnsi"/>
        </w:rPr>
      </w:pPr>
      <w:r w:rsidRPr="003E3A67">
        <w:rPr>
          <w:rFonts w:asciiTheme="minorHAnsi" w:hAnsiTheme="minorHAnsi" w:cstheme="minorHAnsi"/>
        </w:rPr>
        <w:t>opinions,</w:t>
      </w:r>
      <w:r w:rsidRPr="003E3A67">
        <w:rPr>
          <w:rFonts w:asciiTheme="minorHAnsi" w:hAnsiTheme="minorHAnsi" w:cstheme="minorHAnsi"/>
          <w:spacing w:val="-9"/>
        </w:rPr>
        <w:t xml:space="preserve"> </w:t>
      </w:r>
      <w:r w:rsidRPr="003E3A67">
        <w:rPr>
          <w:rFonts w:asciiTheme="minorHAnsi" w:hAnsiTheme="minorHAnsi" w:cstheme="minorHAnsi"/>
        </w:rPr>
        <w:t>e.g.</w:t>
      </w:r>
      <w:r w:rsidRPr="003E3A67">
        <w:rPr>
          <w:rFonts w:asciiTheme="minorHAnsi" w:hAnsiTheme="minorHAnsi" w:cstheme="minorHAnsi"/>
          <w:spacing w:val="-7"/>
        </w:rPr>
        <w:t xml:space="preserve"> </w:t>
      </w:r>
      <w:r w:rsidRPr="003E3A67">
        <w:rPr>
          <w:rFonts w:asciiTheme="minorHAnsi" w:hAnsiTheme="minorHAnsi" w:cstheme="minorHAnsi"/>
        </w:rPr>
        <w:t>legal,</w:t>
      </w:r>
      <w:r w:rsidRPr="003E3A67">
        <w:rPr>
          <w:rFonts w:asciiTheme="minorHAnsi" w:hAnsiTheme="minorHAnsi" w:cstheme="minorHAnsi"/>
          <w:spacing w:val="-9"/>
        </w:rPr>
        <w:t xml:space="preserve"> </w:t>
      </w:r>
      <w:r w:rsidRPr="003E3A67">
        <w:rPr>
          <w:rFonts w:asciiTheme="minorHAnsi" w:hAnsiTheme="minorHAnsi" w:cstheme="minorHAnsi"/>
        </w:rPr>
        <w:t>engineering,</w:t>
      </w:r>
      <w:r w:rsidRPr="003E3A67">
        <w:rPr>
          <w:rFonts w:asciiTheme="minorHAnsi" w:hAnsiTheme="minorHAnsi" w:cstheme="minorHAnsi"/>
          <w:spacing w:val="-5"/>
        </w:rPr>
        <w:t xml:space="preserve"> </w:t>
      </w:r>
      <w:r w:rsidRPr="003E3A67">
        <w:rPr>
          <w:rFonts w:asciiTheme="minorHAnsi" w:hAnsiTheme="minorHAnsi" w:cstheme="minorHAnsi"/>
        </w:rPr>
        <w:t>town</w:t>
      </w:r>
      <w:r w:rsidRPr="003E3A67">
        <w:rPr>
          <w:rFonts w:asciiTheme="minorHAnsi" w:hAnsiTheme="minorHAnsi" w:cstheme="minorHAnsi"/>
          <w:spacing w:val="-11"/>
        </w:rPr>
        <w:t xml:space="preserve"> </w:t>
      </w:r>
      <w:r w:rsidRPr="003E3A67">
        <w:rPr>
          <w:rFonts w:asciiTheme="minorHAnsi" w:hAnsiTheme="minorHAnsi" w:cstheme="minorHAnsi"/>
        </w:rPr>
        <w:t>planning,</w:t>
      </w:r>
      <w:r w:rsidRPr="003E3A67">
        <w:rPr>
          <w:rFonts w:asciiTheme="minorHAnsi" w:hAnsiTheme="minorHAnsi" w:cstheme="minorHAnsi"/>
          <w:spacing w:val="-7"/>
        </w:rPr>
        <w:t xml:space="preserve"> </w:t>
      </w:r>
      <w:r w:rsidRPr="003E3A67">
        <w:rPr>
          <w:rFonts w:asciiTheme="minorHAnsi" w:hAnsiTheme="minorHAnsi" w:cstheme="minorHAnsi"/>
        </w:rPr>
        <w:t>etc.)</w:t>
      </w:r>
      <w:r w:rsidRPr="003E3A67">
        <w:rPr>
          <w:rFonts w:asciiTheme="minorHAnsi" w:hAnsiTheme="minorHAnsi" w:cstheme="minorHAnsi"/>
          <w:spacing w:val="-6"/>
        </w:rPr>
        <w:t xml:space="preserve"> </w:t>
      </w:r>
      <w:r w:rsidRPr="003E3A67">
        <w:rPr>
          <w:rFonts w:asciiTheme="minorHAnsi" w:hAnsiTheme="minorHAnsi" w:cstheme="minorHAnsi"/>
          <w:spacing w:val="-2"/>
        </w:rPr>
        <w:t xml:space="preserve">ordered, prior to an invoice being received by the Town.  Should an invoice be received without a purchase order having been created, a Creditor Request Form must be completed and </w:t>
      </w:r>
      <w:proofErr w:type="spellStart"/>
      <w:r w:rsidRPr="003E3A67">
        <w:rPr>
          <w:rFonts w:asciiTheme="minorHAnsi" w:hAnsiTheme="minorHAnsi" w:cstheme="minorHAnsi"/>
          <w:spacing w:val="-2"/>
        </w:rPr>
        <w:t>authorised</w:t>
      </w:r>
      <w:proofErr w:type="spellEnd"/>
      <w:r w:rsidRPr="003E3A67">
        <w:rPr>
          <w:rFonts w:asciiTheme="minorHAnsi" w:hAnsiTheme="minorHAnsi" w:cstheme="minorHAnsi"/>
          <w:spacing w:val="-2"/>
        </w:rPr>
        <w:t xml:space="preserve"> prior to payment of the </w:t>
      </w:r>
      <w:proofErr w:type="gramStart"/>
      <w:r w:rsidRPr="003E3A67">
        <w:rPr>
          <w:rFonts w:asciiTheme="minorHAnsi" w:hAnsiTheme="minorHAnsi" w:cstheme="minorHAnsi"/>
          <w:spacing w:val="-2"/>
        </w:rPr>
        <w:t>invoice;</w:t>
      </w:r>
      <w:proofErr w:type="gramEnd"/>
    </w:p>
    <w:p w14:paraId="7D647CF7" w14:textId="77777777" w:rsidR="00E237B8" w:rsidRPr="003E3A67" w:rsidRDefault="00E237B8" w:rsidP="001451B0">
      <w:pPr>
        <w:pStyle w:val="BodyText"/>
        <w:spacing w:after="0"/>
        <w:ind w:left="0"/>
        <w:rPr>
          <w:rFonts w:asciiTheme="minorHAnsi" w:hAnsiTheme="minorHAnsi" w:cstheme="minorHAnsi"/>
        </w:rPr>
      </w:pPr>
    </w:p>
    <w:p w14:paraId="131B11F5" w14:textId="77777777" w:rsidR="00E237B8" w:rsidRDefault="00E237B8" w:rsidP="007B3B6F">
      <w:pPr>
        <w:pStyle w:val="ListParagraph"/>
        <w:widowControl w:val="0"/>
        <w:numPr>
          <w:ilvl w:val="0"/>
          <w:numId w:val="536"/>
        </w:numPr>
        <w:tabs>
          <w:tab w:val="left" w:pos="684"/>
          <w:tab w:val="left" w:pos="686"/>
        </w:tabs>
        <w:autoSpaceDE w:val="0"/>
        <w:autoSpaceDN w:val="0"/>
        <w:spacing w:after="0" w:line="240" w:lineRule="auto"/>
        <w:ind w:right="404"/>
        <w:contextualSpacing w:val="0"/>
        <w:jc w:val="both"/>
        <w:rPr>
          <w:rFonts w:cstheme="minorHAnsi"/>
        </w:rPr>
      </w:pPr>
      <w:r w:rsidRPr="003E3A67">
        <w:rPr>
          <w:rFonts w:cstheme="minorHAnsi"/>
        </w:rPr>
        <w:t>Standing Purchase Order – these are commitments made against a particular supplier for goods or services that are regularly procured over a specified period, usually one financial year.</w:t>
      </w:r>
      <w:r w:rsidRPr="003E3A67">
        <w:rPr>
          <w:rFonts w:cstheme="minorHAnsi"/>
          <w:spacing w:val="-9"/>
        </w:rPr>
        <w:t xml:space="preserve"> </w:t>
      </w:r>
      <w:r w:rsidRPr="003E3A67">
        <w:rPr>
          <w:rFonts w:cstheme="minorHAnsi"/>
        </w:rPr>
        <w:t>The</w:t>
      </w:r>
      <w:r w:rsidRPr="003E3A67">
        <w:rPr>
          <w:rFonts w:cstheme="minorHAnsi"/>
          <w:spacing w:val="-9"/>
        </w:rPr>
        <w:t xml:space="preserve"> </w:t>
      </w:r>
      <w:r w:rsidRPr="003E3A67">
        <w:rPr>
          <w:rFonts w:cstheme="minorHAnsi"/>
        </w:rPr>
        <w:t>full</w:t>
      </w:r>
      <w:r w:rsidRPr="003E3A67">
        <w:rPr>
          <w:rFonts w:cstheme="minorHAnsi"/>
          <w:spacing w:val="-5"/>
        </w:rPr>
        <w:t xml:space="preserve"> </w:t>
      </w:r>
      <w:r w:rsidRPr="003E3A67">
        <w:rPr>
          <w:rFonts w:cstheme="minorHAnsi"/>
        </w:rPr>
        <w:t>value</w:t>
      </w:r>
      <w:r w:rsidRPr="003E3A67">
        <w:rPr>
          <w:rFonts w:cstheme="minorHAnsi"/>
          <w:spacing w:val="-5"/>
        </w:rPr>
        <w:t xml:space="preserve"> </w:t>
      </w:r>
      <w:r w:rsidRPr="003E3A67">
        <w:rPr>
          <w:rFonts w:cstheme="minorHAnsi"/>
        </w:rPr>
        <w:t>of</w:t>
      </w:r>
      <w:r w:rsidRPr="003E3A67">
        <w:rPr>
          <w:rFonts w:cstheme="minorHAnsi"/>
          <w:spacing w:val="-4"/>
        </w:rPr>
        <w:t xml:space="preserve"> </w:t>
      </w:r>
      <w:r w:rsidRPr="003E3A67">
        <w:rPr>
          <w:rFonts w:cstheme="minorHAnsi"/>
        </w:rPr>
        <w:t>the</w:t>
      </w:r>
      <w:r w:rsidRPr="003E3A67">
        <w:rPr>
          <w:rFonts w:cstheme="minorHAnsi"/>
          <w:spacing w:val="-4"/>
        </w:rPr>
        <w:t xml:space="preserve"> </w:t>
      </w:r>
      <w:r w:rsidRPr="003E3A67">
        <w:rPr>
          <w:rFonts w:cstheme="minorHAnsi"/>
        </w:rPr>
        <w:t>commitment</w:t>
      </w:r>
      <w:r w:rsidRPr="003E3A67">
        <w:rPr>
          <w:rFonts w:cstheme="minorHAnsi"/>
          <w:spacing w:val="-1"/>
        </w:rPr>
        <w:t xml:space="preserve"> </w:t>
      </w:r>
      <w:r w:rsidRPr="003E3A67">
        <w:rPr>
          <w:rFonts w:cstheme="minorHAnsi"/>
        </w:rPr>
        <w:t>is</w:t>
      </w:r>
      <w:r w:rsidRPr="003E3A67">
        <w:rPr>
          <w:rFonts w:cstheme="minorHAnsi"/>
          <w:spacing w:val="-2"/>
        </w:rPr>
        <w:t xml:space="preserve"> </w:t>
      </w:r>
      <w:r w:rsidRPr="003E3A67">
        <w:rPr>
          <w:rFonts w:cstheme="minorHAnsi"/>
        </w:rPr>
        <w:t>restricted</w:t>
      </w:r>
      <w:r w:rsidRPr="003E3A67">
        <w:rPr>
          <w:rFonts w:cstheme="minorHAnsi"/>
          <w:spacing w:val="-4"/>
        </w:rPr>
        <w:t xml:space="preserve"> </w:t>
      </w:r>
      <w:r w:rsidRPr="003E3A67">
        <w:rPr>
          <w:rFonts w:cstheme="minorHAnsi"/>
        </w:rPr>
        <w:t>to</w:t>
      </w:r>
      <w:r w:rsidRPr="003E3A67">
        <w:rPr>
          <w:rFonts w:cstheme="minorHAnsi"/>
          <w:spacing w:val="-3"/>
        </w:rPr>
        <w:t xml:space="preserve"> </w:t>
      </w:r>
      <w:r w:rsidRPr="003E3A67">
        <w:rPr>
          <w:rFonts w:cstheme="minorHAnsi"/>
        </w:rPr>
        <w:t>the</w:t>
      </w:r>
      <w:r w:rsidRPr="003E3A67">
        <w:rPr>
          <w:rFonts w:cstheme="minorHAnsi"/>
          <w:spacing w:val="-2"/>
        </w:rPr>
        <w:t xml:space="preserve"> </w:t>
      </w:r>
      <w:r w:rsidRPr="003E3A67">
        <w:rPr>
          <w:rFonts w:cstheme="minorHAnsi"/>
        </w:rPr>
        <w:t>amount in</w:t>
      </w:r>
      <w:r w:rsidRPr="003E3A67">
        <w:rPr>
          <w:rFonts w:cstheme="minorHAnsi"/>
          <w:spacing w:val="-5"/>
        </w:rPr>
        <w:t xml:space="preserve"> </w:t>
      </w:r>
      <w:r w:rsidRPr="003E3A67">
        <w:rPr>
          <w:rFonts w:cstheme="minorHAnsi"/>
        </w:rPr>
        <w:t>the</w:t>
      </w:r>
      <w:r w:rsidRPr="003E3A67">
        <w:rPr>
          <w:rFonts w:cstheme="minorHAnsi"/>
          <w:spacing w:val="-4"/>
        </w:rPr>
        <w:t xml:space="preserve"> </w:t>
      </w:r>
      <w:r w:rsidRPr="003E3A67">
        <w:rPr>
          <w:rFonts w:cstheme="minorHAnsi"/>
        </w:rPr>
        <w:t>approved</w:t>
      </w:r>
      <w:r w:rsidRPr="003E3A67">
        <w:rPr>
          <w:rFonts w:cstheme="minorHAnsi"/>
          <w:spacing w:val="-2"/>
        </w:rPr>
        <w:t xml:space="preserve"> </w:t>
      </w:r>
      <w:r w:rsidRPr="003E3A67">
        <w:rPr>
          <w:rFonts w:cstheme="minorHAnsi"/>
        </w:rPr>
        <w:t>budget, allowing for a</w:t>
      </w:r>
      <w:r w:rsidRPr="003E3A67">
        <w:rPr>
          <w:rFonts w:cstheme="minorHAnsi"/>
          <w:spacing w:val="-1"/>
        </w:rPr>
        <w:t xml:space="preserve"> </w:t>
      </w:r>
      <w:r w:rsidRPr="003E3A67">
        <w:rPr>
          <w:rFonts w:cstheme="minorHAnsi"/>
        </w:rPr>
        <w:t>spread</w:t>
      </w:r>
      <w:r w:rsidRPr="003E3A67">
        <w:rPr>
          <w:rFonts w:cstheme="minorHAnsi"/>
          <w:spacing w:val="-1"/>
        </w:rPr>
        <w:t xml:space="preserve"> </w:t>
      </w:r>
      <w:r w:rsidRPr="003E3A67">
        <w:rPr>
          <w:rFonts w:cstheme="minorHAnsi"/>
        </w:rPr>
        <w:t>over</w:t>
      </w:r>
      <w:r w:rsidRPr="003E3A67">
        <w:rPr>
          <w:rFonts w:cstheme="minorHAnsi"/>
          <w:spacing w:val="-1"/>
        </w:rPr>
        <w:t xml:space="preserve"> </w:t>
      </w:r>
      <w:r w:rsidRPr="003E3A67">
        <w:rPr>
          <w:rFonts w:cstheme="minorHAnsi"/>
        </w:rPr>
        <w:t>more</w:t>
      </w:r>
      <w:r w:rsidRPr="003E3A67">
        <w:rPr>
          <w:rFonts w:cstheme="minorHAnsi"/>
          <w:spacing w:val="-1"/>
        </w:rPr>
        <w:t xml:space="preserve"> </w:t>
      </w:r>
      <w:r w:rsidRPr="003E3A67">
        <w:rPr>
          <w:rFonts w:cstheme="minorHAnsi"/>
        </w:rPr>
        <w:t>than one supplier. Standing order numbers</w:t>
      </w:r>
      <w:r w:rsidRPr="003E3A67">
        <w:rPr>
          <w:rFonts w:cstheme="minorHAnsi"/>
          <w:spacing w:val="-1"/>
        </w:rPr>
        <w:t xml:space="preserve"> </w:t>
      </w:r>
      <w:r w:rsidRPr="003E3A67">
        <w:rPr>
          <w:rFonts w:cstheme="minorHAnsi"/>
        </w:rPr>
        <w:t>will</w:t>
      </w:r>
      <w:r w:rsidRPr="003E3A67">
        <w:rPr>
          <w:rFonts w:cstheme="minorHAnsi"/>
          <w:spacing w:val="-1"/>
        </w:rPr>
        <w:t xml:space="preserve"> </w:t>
      </w:r>
      <w:r w:rsidRPr="003E3A67">
        <w:rPr>
          <w:rFonts w:cstheme="minorHAnsi"/>
        </w:rPr>
        <w:t>need to be quoted to the supplier for inclusion in their invoice. Standing orders will be expedited by Finance at the end of each financial year and</w:t>
      </w:r>
      <w:r w:rsidRPr="003E3A67">
        <w:rPr>
          <w:rFonts w:cstheme="minorHAnsi"/>
          <w:spacing w:val="-2"/>
        </w:rPr>
        <w:t xml:space="preserve"> </w:t>
      </w:r>
      <w:r w:rsidRPr="003E3A67">
        <w:rPr>
          <w:rFonts w:cstheme="minorHAnsi"/>
        </w:rPr>
        <w:t>will need to be re-established in the new financial year.</w:t>
      </w:r>
    </w:p>
    <w:p w14:paraId="7162E2E5" w14:textId="77777777" w:rsidR="00183E47" w:rsidRDefault="00183E47" w:rsidP="00183E47">
      <w:pPr>
        <w:widowControl w:val="0"/>
        <w:tabs>
          <w:tab w:val="left" w:pos="684"/>
          <w:tab w:val="left" w:pos="686"/>
        </w:tabs>
        <w:autoSpaceDE w:val="0"/>
        <w:autoSpaceDN w:val="0"/>
        <w:spacing w:after="0" w:line="240" w:lineRule="auto"/>
        <w:ind w:right="404"/>
        <w:jc w:val="both"/>
        <w:rPr>
          <w:rFonts w:cstheme="minorHAnsi"/>
        </w:rPr>
      </w:pPr>
    </w:p>
    <w:p w14:paraId="010A5776" w14:textId="3B62E5E8" w:rsidR="00183E47" w:rsidRDefault="00FF6714" w:rsidP="001451B0">
      <w:pPr>
        <w:widowControl w:val="0"/>
        <w:tabs>
          <w:tab w:val="left" w:pos="684"/>
          <w:tab w:val="left" w:pos="686"/>
        </w:tabs>
        <w:autoSpaceDE w:val="0"/>
        <w:autoSpaceDN w:val="0"/>
        <w:spacing w:after="80" w:line="240" w:lineRule="auto"/>
        <w:ind w:left="567" w:right="403" w:hanging="567"/>
        <w:jc w:val="both"/>
        <w:rPr>
          <w:rFonts w:cstheme="minorHAnsi"/>
        </w:rPr>
      </w:pPr>
      <w:r>
        <w:rPr>
          <w:rFonts w:cstheme="minorHAnsi"/>
        </w:rPr>
        <w:t>5.</w:t>
      </w:r>
      <w:r>
        <w:rPr>
          <w:rFonts w:cstheme="minorHAnsi"/>
        </w:rPr>
        <w:tab/>
        <w:t xml:space="preserve">Emergency Order – emergency orders can only be processed outside the procurement </w:t>
      </w:r>
      <w:r>
        <w:rPr>
          <w:rFonts w:cstheme="minorHAnsi"/>
        </w:rPr>
        <w:lastRenderedPageBreak/>
        <w:t>process when any of the following events are likely to occur:</w:t>
      </w:r>
    </w:p>
    <w:p w14:paraId="7E78E970" w14:textId="3128EC83" w:rsidR="00850EBF" w:rsidRPr="001451B0" w:rsidRDefault="00850EBF" w:rsidP="007B3B6F">
      <w:pPr>
        <w:pStyle w:val="ListParagraph"/>
        <w:widowControl w:val="0"/>
        <w:numPr>
          <w:ilvl w:val="0"/>
          <w:numId w:val="569"/>
        </w:numPr>
        <w:autoSpaceDE w:val="0"/>
        <w:autoSpaceDN w:val="0"/>
        <w:spacing w:after="0" w:line="240" w:lineRule="auto"/>
        <w:ind w:left="993" w:right="404" w:hanging="426"/>
        <w:jc w:val="both"/>
        <w:rPr>
          <w:rFonts w:cstheme="minorHAnsi"/>
        </w:rPr>
      </w:pPr>
      <w:r w:rsidRPr="001451B0">
        <w:rPr>
          <w:rFonts w:cstheme="minorHAnsi"/>
        </w:rPr>
        <w:t>Possible cause of injury or loss of life</w:t>
      </w:r>
    </w:p>
    <w:p w14:paraId="2A305827" w14:textId="7C40C7DB" w:rsidR="00850EBF" w:rsidRPr="001451B0" w:rsidRDefault="00850EBF" w:rsidP="007B3B6F">
      <w:pPr>
        <w:pStyle w:val="ListParagraph"/>
        <w:widowControl w:val="0"/>
        <w:numPr>
          <w:ilvl w:val="0"/>
          <w:numId w:val="569"/>
        </w:numPr>
        <w:autoSpaceDE w:val="0"/>
        <w:autoSpaceDN w:val="0"/>
        <w:spacing w:after="0" w:line="240" w:lineRule="auto"/>
        <w:ind w:left="993" w:right="404" w:hanging="426"/>
        <w:jc w:val="both"/>
        <w:rPr>
          <w:rFonts w:cstheme="minorHAnsi"/>
        </w:rPr>
      </w:pPr>
      <w:r w:rsidRPr="001451B0">
        <w:rPr>
          <w:rFonts w:cstheme="minorHAnsi"/>
        </w:rPr>
        <w:t>Potential to result in destruction of property</w:t>
      </w:r>
    </w:p>
    <w:p w14:paraId="2370ED05" w14:textId="07F2C7B6" w:rsidR="00850EBF" w:rsidRPr="001451B0" w:rsidRDefault="00850EBF" w:rsidP="007B3B6F">
      <w:pPr>
        <w:pStyle w:val="ListParagraph"/>
        <w:widowControl w:val="0"/>
        <w:numPr>
          <w:ilvl w:val="0"/>
          <w:numId w:val="569"/>
        </w:numPr>
        <w:autoSpaceDE w:val="0"/>
        <w:autoSpaceDN w:val="0"/>
        <w:spacing w:after="0" w:line="240" w:lineRule="auto"/>
        <w:ind w:left="993" w:right="404" w:hanging="426"/>
        <w:jc w:val="both"/>
        <w:rPr>
          <w:rFonts w:cstheme="minorHAnsi"/>
        </w:rPr>
      </w:pPr>
      <w:r w:rsidRPr="001451B0">
        <w:rPr>
          <w:rFonts w:cstheme="minorHAnsi"/>
        </w:rPr>
        <w:t>Possible loss or disruption to the Town’s stakeholders or core functions</w:t>
      </w:r>
    </w:p>
    <w:p w14:paraId="5A819464" w14:textId="367D465D" w:rsidR="00850EBF" w:rsidRPr="001451B0" w:rsidRDefault="00850EBF" w:rsidP="007B3B6F">
      <w:pPr>
        <w:pStyle w:val="ListParagraph"/>
        <w:widowControl w:val="0"/>
        <w:numPr>
          <w:ilvl w:val="0"/>
          <w:numId w:val="569"/>
        </w:numPr>
        <w:autoSpaceDE w:val="0"/>
        <w:autoSpaceDN w:val="0"/>
        <w:spacing w:after="0" w:line="240" w:lineRule="auto"/>
        <w:ind w:left="993" w:right="404" w:hanging="426"/>
        <w:jc w:val="both"/>
        <w:rPr>
          <w:rFonts w:cstheme="minorHAnsi"/>
        </w:rPr>
      </w:pPr>
      <w:r w:rsidRPr="001451B0">
        <w:rPr>
          <w:rFonts w:cstheme="minorHAnsi"/>
        </w:rPr>
        <w:t>Will seriously impair the reputation of the Town in the local or wider community</w:t>
      </w:r>
      <w:r w:rsidR="00612DB8" w:rsidRPr="001451B0">
        <w:rPr>
          <w:rFonts w:cstheme="minorHAnsi"/>
        </w:rPr>
        <w:t>.</w:t>
      </w:r>
    </w:p>
    <w:p w14:paraId="53A16F4C" w14:textId="77777777" w:rsidR="00183E47" w:rsidRDefault="00183E47" w:rsidP="00183E47">
      <w:pPr>
        <w:widowControl w:val="0"/>
        <w:tabs>
          <w:tab w:val="left" w:pos="684"/>
          <w:tab w:val="left" w:pos="686"/>
        </w:tabs>
        <w:autoSpaceDE w:val="0"/>
        <w:autoSpaceDN w:val="0"/>
        <w:spacing w:after="0" w:line="240" w:lineRule="auto"/>
        <w:ind w:right="404"/>
        <w:jc w:val="both"/>
        <w:rPr>
          <w:rFonts w:cstheme="minorHAnsi"/>
        </w:rPr>
      </w:pPr>
    </w:p>
    <w:p w14:paraId="6D7D7E42" w14:textId="5B817C1B" w:rsidR="00612DB8" w:rsidRDefault="00612DB8" w:rsidP="001451B0">
      <w:pPr>
        <w:widowControl w:val="0"/>
        <w:tabs>
          <w:tab w:val="left" w:pos="684"/>
          <w:tab w:val="left" w:pos="686"/>
        </w:tabs>
        <w:autoSpaceDE w:val="0"/>
        <w:autoSpaceDN w:val="0"/>
        <w:spacing w:after="0" w:line="240" w:lineRule="auto"/>
        <w:ind w:left="567" w:right="404"/>
        <w:jc w:val="both"/>
        <w:rPr>
          <w:rFonts w:cstheme="minorHAnsi"/>
        </w:rPr>
      </w:pPr>
      <w:r>
        <w:rPr>
          <w:rFonts w:cstheme="minorHAnsi"/>
        </w:rPr>
        <w:t xml:space="preserve">In such cases, the purchaser will initially make a purchase commitment with a third party without following </w:t>
      </w:r>
      <w:proofErr w:type="gramStart"/>
      <w:r>
        <w:rPr>
          <w:rFonts w:cstheme="minorHAnsi"/>
        </w:rPr>
        <w:t>all of</w:t>
      </w:r>
      <w:proofErr w:type="gramEnd"/>
      <w:r>
        <w:rPr>
          <w:rFonts w:cstheme="minorHAnsi"/>
        </w:rPr>
        <w:t xml:space="preserve"> the processes in this procedure</w:t>
      </w:r>
      <w:r w:rsidR="001451B0">
        <w:rPr>
          <w:rFonts w:cstheme="minorHAnsi"/>
        </w:rPr>
        <w:t>. The purchase order is to be raised as soon as possible following the initial commitment and prior to the invoice being received.</w:t>
      </w:r>
    </w:p>
    <w:p w14:paraId="6A1DE0B6" w14:textId="77777777" w:rsidR="001451B0" w:rsidRDefault="001451B0" w:rsidP="001451B0">
      <w:pPr>
        <w:widowControl w:val="0"/>
        <w:tabs>
          <w:tab w:val="left" w:pos="684"/>
          <w:tab w:val="left" w:pos="686"/>
        </w:tabs>
        <w:autoSpaceDE w:val="0"/>
        <w:autoSpaceDN w:val="0"/>
        <w:spacing w:after="0" w:line="240" w:lineRule="auto"/>
        <w:ind w:right="403"/>
        <w:jc w:val="both"/>
        <w:rPr>
          <w:rFonts w:cstheme="minorHAnsi"/>
        </w:rPr>
      </w:pPr>
    </w:p>
    <w:p w14:paraId="43DEBC0A" w14:textId="279F3EAB" w:rsidR="001451B0" w:rsidRPr="001451B0" w:rsidRDefault="001451B0" w:rsidP="001451B0">
      <w:pPr>
        <w:widowControl w:val="0"/>
        <w:tabs>
          <w:tab w:val="left" w:pos="684"/>
          <w:tab w:val="left" w:pos="686"/>
        </w:tabs>
        <w:autoSpaceDE w:val="0"/>
        <w:autoSpaceDN w:val="0"/>
        <w:spacing w:after="0" w:line="240" w:lineRule="auto"/>
        <w:ind w:left="567" w:right="426" w:hanging="448"/>
        <w:jc w:val="both"/>
        <w:rPr>
          <w:rFonts w:cstheme="minorHAnsi"/>
        </w:rPr>
      </w:pPr>
      <w:r>
        <w:t>6.</w:t>
      </w:r>
      <w:r>
        <w:tab/>
      </w:r>
      <w:r w:rsidRPr="00183E47">
        <w:t>When ordering by telephone a purchase order number must be quoted and the original</w:t>
      </w:r>
      <w:r w:rsidRPr="001451B0">
        <w:rPr>
          <w:rFonts w:cstheme="minorHAnsi"/>
          <w:spacing w:val="-2"/>
        </w:rPr>
        <w:t xml:space="preserve"> </w:t>
      </w:r>
      <w:r w:rsidRPr="001451B0">
        <w:rPr>
          <w:rFonts w:cstheme="minorHAnsi"/>
        </w:rPr>
        <w:t xml:space="preserve">of the order to be forwarded to the supplier endorsed “Confirmation of Telephone Order on </w:t>
      </w:r>
      <w:r w:rsidRPr="001451B0">
        <w:rPr>
          <w:rFonts w:cstheme="minorHAnsi"/>
          <w:spacing w:val="-2"/>
        </w:rPr>
        <w:t>“(date)”.</w:t>
      </w:r>
    </w:p>
    <w:p w14:paraId="52E0B6C8" w14:textId="77777777" w:rsidR="001451B0" w:rsidRPr="003E3A67" w:rsidRDefault="001451B0" w:rsidP="001451B0">
      <w:pPr>
        <w:pStyle w:val="ListParagraph"/>
        <w:tabs>
          <w:tab w:val="left" w:pos="684"/>
          <w:tab w:val="left" w:pos="686"/>
        </w:tabs>
        <w:spacing w:after="0"/>
        <w:ind w:left="686" w:right="426"/>
        <w:rPr>
          <w:rFonts w:cstheme="minorHAnsi"/>
        </w:rPr>
      </w:pPr>
    </w:p>
    <w:p w14:paraId="11D0E6C2" w14:textId="758B89BF" w:rsidR="001451B0" w:rsidRPr="001451B0" w:rsidRDefault="001451B0" w:rsidP="001451B0">
      <w:pPr>
        <w:widowControl w:val="0"/>
        <w:tabs>
          <w:tab w:val="left" w:pos="818"/>
        </w:tabs>
        <w:autoSpaceDE w:val="0"/>
        <w:autoSpaceDN w:val="0"/>
        <w:spacing w:before="38" w:after="0" w:line="240" w:lineRule="auto"/>
        <w:ind w:left="567" w:hanging="450"/>
        <w:rPr>
          <w:rFonts w:cstheme="minorHAnsi"/>
        </w:rPr>
      </w:pPr>
      <w:r>
        <w:rPr>
          <w:rFonts w:cstheme="minorHAnsi"/>
          <w:spacing w:val="-2"/>
        </w:rPr>
        <w:t>7.</w:t>
      </w:r>
      <w:r>
        <w:rPr>
          <w:rFonts w:cstheme="minorHAnsi"/>
          <w:spacing w:val="-2"/>
        </w:rPr>
        <w:tab/>
      </w:r>
      <w:r w:rsidRPr="001451B0">
        <w:rPr>
          <w:rFonts w:cstheme="minorHAnsi"/>
          <w:spacing w:val="-2"/>
        </w:rPr>
        <w:t xml:space="preserve">Should an exception to the purchasing policy be applied to an order, an authorised ‘exception form’ </w:t>
      </w:r>
      <w:r w:rsidRPr="001451B0">
        <w:rPr>
          <w:rFonts w:cstheme="minorHAnsi"/>
          <w:b/>
          <w:bCs/>
          <w:spacing w:val="-2"/>
          <w:u w:val="single"/>
        </w:rPr>
        <w:t>must</w:t>
      </w:r>
      <w:r w:rsidRPr="001451B0">
        <w:rPr>
          <w:rFonts w:cstheme="minorHAnsi"/>
          <w:spacing w:val="-2"/>
        </w:rPr>
        <w:t xml:space="preserve"> be attached to the Requisition/Purchase order in </w:t>
      </w:r>
      <w:proofErr w:type="spellStart"/>
      <w:r w:rsidRPr="001451B0">
        <w:rPr>
          <w:rFonts w:cstheme="minorHAnsi"/>
          <w:spacing w:val="-2"/>
        </w:rPr>
        <w:t>Synergysoft</w:t>
      </w:r>
      <w:proofErr w:type="spellEnd"/>
      <w:r w:rsidRPr="001451B0">
        <w:rPr>
          <w:rFonts w:cstheme="minorHAnsi"/>
          <w:spacing w:val="-2"/>
        </w:rPr>
        <w:t xml:space="preserve"> for the exemption to be valid.</w:t>
      </w:r>
    </w:p>
    <w:p w14:paraId="16315AA0" w14:textId="77777777" w:rsidR="001451B0" w:rsidRPr="003E3A67" w:rsidRDefault="001451B0" w:rsidP="001451B0">
      <w:pPr>
        <w:pStyle w:val="ListParagraph"/>
        <w:tabs>
          <w:tab w:val="left" w:pos="684"/>
          <w:tab w:val="left" w:pos="686"/>
        </w:tabs>
        <w:spacing w:after="0"/>
        <w:ind w:left="686" w:right="431"/>
        <w:rPr>
          <w:rFonts w:cstheme="minorHAnsi"/>
        </w:rPr>
      </w:pPr>
    </w:p>
    <w:p w14:paraId="7E6E5DCD" w14:textId="52681312" w:rsidR="001451B0" w:rsidRPr="001451B0" w:rsidRDefault="001451B0" w:rsidP="00121E13">
      <w:pPr>
        <w:widowControl w:val="0"/>
        <w:tabs>
          <w:tab w:val="left" w:pos="684"/>
          <w:tab w:val="left" w:pos="686"/>
        </w:tabs>
        <w:autoSpaceDE w:val="0"/>
        <w:autoSpaceDN w:val="0"/>
        <w:spacing w:after="80" w:line="240" w:lineRule="auto"/>
        <w:ind w:left="567" w:right="431" w:hanging="448"/>
        <w:jc w:val="both"/>
        <w:rPr>
          <w:rFonts w:cstheme="minorHAnsi"/>
        </w:rPr>
      </w:pPr>
      <w:r>
        <w:rPr>
          <w:rFonts w:cstheme="minorHAnsi"/>
        </w:rPr>
        <w:t>8.</w:t>
      </w:r>
      <w:r>
        <w:rPr>
          <w:rFonts w:cstheme="minorHAnsi"/>
        </w:rPr>
        <w:tab/>
      </w:r>
      <w:r w:rsidRPr="001451B0">
        <w:rPr>
          <w:rFonts w:cstheme="minorHAnsi"/>
        </w:rPr>
        <w:t>All Officers are to ensure that when issuing a Council order for goods or services that a current account</w:t>
      </w:r>
      <w:r w:rsidRPr="001451B0">
        <w:rPr>
          <w:rFonts w:cstheme="minorHAnsi"/>
          <w:spacing w:val="-7"/>
        </w:rPr>
        <w:t xml:space="preserve"> </w:t>
      </w:r>
      <w:r w:rsidRPr="001451B0">
        <w:rPr>
          <w:rFonts w:cstheme="minorHAnsi"/>
        </w:rPr>
        <w:t>number</w:t>
      </w:r>
      <w:r w:rsidRPr="001451B0">
        <w:rPr>
          <w:rFonts w:cstheme="minorHAnsi"/>
          <w:spacing w:val="-9"/>
        </w:rPr>
        <w:t xml:space="preserve"> </w:t>
      </w:r>
      <w:r w:rsidRPr="001451B0">
        <w:rPr>
          <w:rFonts w:cstheme="minorHAnsi"/>
        </w:rPr>
        <w:t>(which</w:t>
      </w:r>
      <w:r w:rsidRPr="001451B0">
        <w:rPr>
          <w:rFonts w:cstheme="minorHAnsi"/>
          <w:spacing w:val="-8"/>
        </w:rPr>
        <w:t xml:space="preserve"> </w:t>
      </w:r>
      <w:r w:rsidRPr="001451B0">
        <w:rPr>
          <w:rFonts w:cstheme="minorHAnsi"/>
        </w:rPr>
        <w:t>will</w:t>
      </w:r>
      <w:r w:rsidRPr="001451B0">
        <w:rPr>
          <w:rFonts w:cstheme="minorHAnsi"/>
          <w:spacing w:val="-9"/>
        </w:rPr>
        <w:t xml:space="preserve"> </w:t>
      </w:r>
      <w:r w:rsidRPr="001451B0">
        <w:rPr>
          <w:rFonts w:cstheme="minorHAnsi"/>
        </w:rPr>
        <w:t>reflect</w:t>
      </w:r>
      <w:r w:rsidRPr="001451B0">
        <w:rPr>
          <w:rFonts w:cstheme="minorHAnsi"/>
          <w:spacing w:val="-9"/>
        </w:rPr>
        <w:t xml:space="preserve"> </w:t>
      </w:r>
      <w:r w:rsidRPr="001451B0">
        <w:rPr>
          <w:rFonts w:cstheme="minorHAnsi"/>
        </w:rPr>
        <w:t>the</w:t>
      </w:r>
      <w:r w:rsidRPr="001451B0">
        <w:rPr>
          <w:rFonts w:cstheme="minorHAnsi"/>
          <w:spacing w:val="-9"/>
        </w:rPr>
        <w:t xml:space="preserve"> </w:t>
      </w:r>
      <w:r w:rsidRPr="001451B0">
        <w:rPr>
          <w:rFonts w:cstheme="minorHAnsi"/>
        </w:rPr>
        <w:t>Budget</w:t>
      </w:r>
      <w:r w:rsidRPr="001451B0">
        <w:rPr>
          <w:rFonts w:cstheme="minorHAnsi"/>
          <w:spacing w:val="-10"/>
        </w:rPr>
        <w:t xml:space="preserve"> </w:t>
      </w:r>
      <w:r w:rsidRPr="001451B0">
        <w:rPr>
          <w:rFonts w:cstheme="minorHAnsi"/>
        </w:rPr>
        <w:t>estimate</w:t>
      </w:r>
      <w:r w:rsidRPr="001451B0">
        <w:rPr>
          <w:rFonts w:cstheme="minorHAnsi"/>
          <w:spacing w:val="-9"/>
        </w:rPr>
        <w:t xml:space="preserve"> </w:t>
      </w:r>
      <w:r w:rsidRPr="001451B0">
        <w:rPr>
          <w:rFonts w:cstheme="minorHAnsi"/>
        </w:rPr>
        <w:t>for</w:t>
      </w:r>
      <w:r w:rsidRPr="001451B0">
        <w:rPr>
          <w:rFonts w:cstheme="minorHAnsi"/>
          <w:spacing w:val="-9"/>
        </w:rPr>
        <w:t xml:space="preserve"> </w:t>
      </w:r>
      <w:r w:rsidRPr="001451B0">
        <w:rPr>
          <w:rFonts w:cstheme="minorHAnsi"/>
        </w:rPr>
        <w:t>those</w:t>
      </w:r>
      <w:r w:rsidRPr="001451B0">
        <w:rPr>
          <w:rFonts w:cstheme="minorHAnsi"/>
          <w:spacing w:val="-7"/>
        </w:rPr>
        <w:t xml:space="preserve"> </w:t>
      </w:r>
      <w:r w:rsidRPr="001451B0">
        <w:rPr>
          <w:rFonts w:cstheme="minorHAnsi"/>
        </w:rPr>
        <w:t>goods</w:t>
      </w:r>
      <w:r w:rsidRPr="001451B0">
        <w:rPr>
          <w:rFonts w:cstheme="minorHAnsi"/>
          <w:spacing w:val="-11"/>
        </w:rPr>
        <w:t xml:space="preserve"> </w:t>
      </w:r>
      <w:r w:rsidRPr="001451B0">
        <w:rPr>
          <w:rFonts w:cstheme="minorHAnsi"/>
        </w:rPr>
        <w:t>or</w:t>
      </w:r>
      <w:r w:rsidRPr="001451B0">
        <w:rPr>
          <w:rFonts w:cstheme="minorHAnsi"/>
          <w:spacing w:val="-9"/>
        </w:rPr>
        <w:t xml:space="preserve"> </w:t>
      </w:r>
      <w:r w:rsidRPr="001451B0">
        <w:rPr>
          <w:rFonts w:cstheme="minorHAnsi"/>
        </w:rPr>
        <w:t>services) be quoted on the Council order.</w:t>
      </w:r>
      <w:r w:rsidRPr="001451B0">
        <w:rPr>
          <w:rFonts w:cstheme="minorHAnsi"/>
          <w:spacing w:val="40"/>
        </w:rPr>
        <w:t xml:space="preserve"> </w:t>
      </w:r>
      <w:r w:rsidRPr="001451B0">
        <w:rPr>
          <w:rFonts w:cstheme="minorHAnsi"/>
        </w:rPr>
        <w:t xml:space="preserve">This will ensure </w:t>
      </w:r>
      <w:proofErr w:type="gramStart"/>
      <w:r w:rsidRPr="001451B0">
        <w:rPr>
          <w:rFonts w:cstheme="minorHAnsi"/>
        </w:rPr>
        <w:t>that:-</w:t>
      </w:r>
      <w:proofErr w:type="gramEnd"/>
    </w:p>
    <w:p w14:paraId="6B116BB8" w14:textId="4C3FC77A" w:rsidR="001451B0" w:rsidRPr="001451B0" w:rsidRDefault="001451B0" w:rsidP="001451B0">
      <w:pPr>
        <w:widowControl w:val="0"/>
        <w:tabs>
          <w:tab w:val="left" w:pos="1250"/>
          <w:tab w:val="left" w:pos="1253"/>
        </w:tabs>
        <w:autoSpaceDE w:val="0"/>
        <w:autoSpaceDN w:val="0"/>
        <w:spacing w:before="61" w:after="0" w:line="271" w:lineRule="auto"/>
        <w:ind w:left="1134" w:right="437" w:hanging="448"/>
        <w:jc w:val="both"/>
        <w:rPr>
          <w:rFonts w:cstheme="minorHAnsi"/>
        </w:rPr>
      </w:pPr>
      <w:r>
        <w:rPr>
          <w:rFonts w:cstheme="minorHAnsi"/>
        </w:rPr>
        <w:t>8.1</w:t>
      </w:r>
      <w:r>
        <w:rPr>
          <w:rFonts w:cstheme="minorHAnsi"/>
        </w:rPr>
        <w:tab/>
      </w:r>
      <w:r w:rsidRPr="001451B0">
        <w:rPr>
          <w:rFonts w:cstheme="minorHAnsi"/>
        </w:rPr>
        <w:t>expenditure is allocated to the correct Budget item (with the job number account being noted on the Council order); and</w:t>
      </w:r>
    </w:p>
    <w:p w14:paraId="165E6191" w14:textId="4CA502CA" w:rsidR="001451B0" w:rsidRPr="001451B0" w:rsidRDefault="001451B0" w:rsidP="001451B0">
      <w:pPr>
        <w:widowControl w:val="0"/>
        <w:tabs>
          <w:tab w:val="left" w:pos="1250"/>
          <w:tab w:val="left" w:pos="1253"/>
        </w:tabs>
        <w:autoSpaceDE w:val="0"/>
        <w:autoSpaceDN w:val="0"/>
        <w:spacing w:after="0"/>
        <w:ind w:left="1134" w:right="426" w:hanging="448"/>
        <w:jc w:val="both"/>
        <w:rPr>
          <w:rFonts w:cstheme="minorHAnsi"/>
        </w:rPr>
      </w:pPr>
      <w:r>
        <w:rPr>
          <w:rFonts w:cstheme="minorHAnsi"/>
        </w:rPr>
        <w:t>8.2</w:t>
      </w:r>
      <w:r>
        <w:rPr>
          <w:rFonts w:cstheme="minorHAnsi"/>
        </w:rPr>
        <w:tab/>
      </w:r>
      <w:r w:rsidRPr="001451B0">
        <w:rPr>
          <w:rFonts w:cstheme="minorHAnsi"/>
        </w:rPr>
        <w:t>that sufficient funds are identified against the job number account before expenditure is authorised.</w:t>
      </w:r>
    </w:p>
    <w:p w14:paraId="3DD1A48F" w14:textId="77777777" w:rsidR="001451B0" w:rsidRPr="003E3A67" w:rsidRDefault="001451B0" w:rsidP="001451B0">
      <w:pPr>
        <w:pStyle w:val="BodyText"/>
        <w:spacing w:after="0"/>
        <w:ind w:left="0"/>
        <w:rPr>
          <w:rFonts w:asciiTheme="minorHAnsi" w:hAnsiTheme="minorHAnsi" w:cstheme="minorHAnsi"/>
        </w:rPr>
      </w:pPr>
    </w:p>
    <w:p w14:paraId="2EA2D439" w14:textId="0D5CFCE3" w:rsidR="001451B0" w:rsidRPr="001451B0" w:rsidRDefault="001451B0" w:rsidP="001451B0">
      <w:pPr>
        <w:widowControl w:val="0"/>
        <w:tabs>
          <w:tab w:val="left" w:pos="684"/>
          <w:tab w:val="left" w:pos="686"/>
        </w:tabs>
        <w:autoSpaceDE w:val="0"/>
        <w:autoSpaceDN w:val="0"/>
        <w:spacing w:after="0" w:line="240" w:lineRule="auto"/>
        <w:ind w:left="567" w:right="430" w:hanging="448"/>
        <w:jc w:val="both"/>
        <w:rPr>
          <w:rFonts w:cstheme="minorHAnsi"/>
        </w:rPr>
      </w:pPr>
      <w:r>
        <w:rPr>
          <w:rFonts w:cstheme="minorHAnsi"/>
        </w:rPr>
        <w:t>9.</w:t>
      </w:r>
      <w:r>
        <w:rPr>
          <w:rFonts w:cstheme="minorHAnsi"/>
        </w:rPr>
        <w:tab/>
      </w:r>
      <w:r w:rsidRPr="001451B0">
        <w:rPr>
          <w:rFonts w:cstheme="minorHAnsi"/>
        </w:rPr>
        <w:t>In order that costs are adequately controlled before issuing a Council purchase order Officers must check against their current Budget estimates for the current financial year and</w:t>
      </w:r>
      <w:r w:rsidRPr="001451B0">
        <w:rPr>
          <w:rFonts w:cstheme="minorHAnsi"/>
          <w:spacing w:val="-7"/>
        </w:rPr>
        <w:t xml:space="preserve"> </w:t>
      </w:r>
      <w:r w:rsidRPr="001451B0">
        <w:rPr>
          <w:rFonts w:cstheme="minorHAnsi"/>
        </w:rPr>
        <w:t>monthly</w:t>
      </w:r>
      <w:r w:rsidRPr="001451B0">
        <w:rPr>
          <w:rFonts w:cstheme="minorHAnsi"/>
          <w:spacing w:val="-6"/>
        </w:rPr>
        <w:t xml:space="preserve"> </w:t>
      </w:r>
      <w:r w:rsidRPr="001451B0">
        <w:rPr>
          <w:rFonts w:cstheme="minorHAnsi"/>
        </w:rPr>
        <w:t>expenditure</w:t>
      </w:r>
      <w:r w:rsidRPr="001451B0">
        <w:rPr>
          <w:rFonts w:cstheme="minorHAnsi"/>
          <w:spacing w:val="-6"/>
        </w:rPr>
        <w:t xml:space="preserve"> </w:t>
      </w:r>
      <w:r w:rsidRPr="001451B0">
        <w:rPr>
          <w:rFonts w:cstheme="minorHAnsi"/>
        </w:rPr>
        <w:t>reports</w:t>
      </w:r>
      <w:r w:rsidRPr="001451B0">
        <w:rPr>
          <w:rFonts w:cstheme="minorHAnsi"/>
          <w:spacing w:val="-9"/>
        </w:rPr>
        <w:t xml:space="preserve"> </w:t>
      </w:r>
      <w:r w:rsidRPr="001451B0">
        <w:rPr>
          <w:rFonts w:cstheme="minorHAnsi"/>
        </w:rPr>
        <w:t>to</w:t>
      </w:r>
      <w:r w:rsidRPr="001451B0">
        <w:rPr>
          <w:rFonts w:cstheme="minorHAnsi"/>
          <w:spacing w:val="-7"/>
        </w:rPr>
        <w:t xml:space="preserve"> </w:t>
      </w:r>
      <w:r w:rsidRPr="001451B0">
        <w:rPr>
          <w:rFonts w:cstheme="minorHAnsi"/>
        </w:rPr>
        <w:t>ensure</w:t>
      </w:r>
      <w:r w:rsidRPr="001451B0">
        <w:rPr>
          <w:rFonts w:cstheme="minorHAnsi"/>
          <w:spacing w:val="-9"/>
        </w:rPr>
        <w:t xml:space="preserve"> </w:t>
      </w:r>
      <w:r w:rsidRPr="001451B0">
        <w:rPr>
          <w:rFonts w:cstheme="minorHAnsi"/>
        </w:rPr>
        <w:t>that</w:t>
      </w:r>
      <w:r w:rsidRPr="001451B0">
        <w:rPr>
          <w:rFonts w:cstheme="minorHAnsi"/>
          <w:spacing w:val="-7"/>
        </w:rPr>
        <w:t xml:space="preserve"> </w:t>
      </w:r>
      <w:r w:rsidRPr="001451B0">
        <w:rPr>
          <w:rFonts w:cstheme="minorHAnsi"/>
        </w:rPr>
        <w:t>there</w:t>
      </w:r>
      <w:r w:rsidRPr="001451B0">
        <w:rPr>
          <w:rFonts w:cstheme="minorHAnsi"/>
          <w:spacing w:val="-9"/>
        </w:rPr>
        <w:t xml:space="preserve"> </w:t>
      </w:r>
      <w:r w:rsidRPr="001451B0">
        <w:rPr>
          <w:rFonts w:cstheme="minorHAnsi"/>
        </w:rPr>
        <w:t>are</w:t>
      </w:r>
      <w:r w:rsidRPr="001451B0">
        <w:rPr>
          <w:rFonts w:cstheme="minorHAnsi"/>
          <w:spacing w:val="-6"/>
        </w:rPr>
        <w:t xml:space="preserve"> </w:t>
      </w:r>
      <w:r w:rsidRPr="001451B0">
        <w:rPr>
          <w:rFonts w:cstheme="minorHAnsi"/>
        </w:rPr>
        <w:t>sufficient</w:t>
      </w:r>
      <w:r w:rsidRPr="001451B0">
        <w:rPr>
          <w:rFonts w:cstheme="minorHAnsi"/>
          <w:spacing w:val="-9"/>
        </w:rPr>
        <w:t xml:space="preserve"> </w:t>
      </w:r>
      <w:r w:rsidRPr="001451B0">
        <w:rPr>
          <w:rFonts w:cstheme="minorHAnsi"/>
        </w:rPr>
        <w:t>funds</w:t>
      </w:r>
      <w:r w:rsidRPr="001451B0">
        <w:rPr>
          <w:rFonts w:cstheme="minorHAnsi"/>
          <w:spacing w:val="-7"/>
        </w:rPr>
        <w:t xml:space="preserve"> </w:t>
      </w:r>
      <w:r w:rsidRPr="001451B0">
        <w:rPr>
          <w:rFonts w:cstheme="minorHAnsi"/>
        </w:rPr>
        <w:t>to</w:t>
      </w:r>
      <w:r w:rsidRPr="001451B0">
        <w:rPr>
          <w:rFonts w:cstheme="minorHAnsi"/>
          <w:spacing w:val="-7"/>
        </w:rPr>
        <w:t xml:space="preserve"> </w:t>
      </w:r>
      <w:r w:rsidRPr="001451B0">
        <w:rPr>
          <w:rFonts w:cstheme="minorHAnsi"/>
        </w:rPr>
        <w:t>cover</w:t>
      </w:r>
      <w:r w:rsidRPr="001451B0">
        <w:rPr>
          <w:rFonts w:cstheme="minorHAnsi"/>
          <w:spacing w:val="-7"/>
        </w:rPr>
        <w:t xml:space="preserve"> </w:t>
      </w:r>
      <w:r w:rsidRPr="001451B0">
        <w:rPr>
          <w:rFonts w:cstheme="minorHAnsi"/>
        </w:rPr>
        <w:t>the</w:t>
      </w:r>
      <w:r w:rsidRPr="001451B0">
        <w:rPr>
          <w:rFonts w:cstheme="minorHAnsi"/>
          <w:spacing w:val="-6"/>
        </w:rPr>
        <w:t xml:space="preserve"> </w:t>
      </w:r>
      <w:r w:rsidRPr="001451B0">
        <w:rPr>
          <w:rFonts w:cstheme="minorHAnsi"/>
        </w:rPr>
        <w:t xml:space="preserve">cost of the goods or services being </w:t>
      </w:r>
      <w:proofErr w:type="gramStart"/>
      <w:r w:rsidRPr="001451B0">
        <w:rPr>
          <w:rFonts w:cstheme="minorHAnsi"/>
        </w:rPr>
        <w:t>ordered;</w:t>
      </w:r>
      <w:proofErr w:type="gramEnd"/>
    </w:p>
    <w:p w14:paraId="37B4531E" w14:textId="77777777" w:rsidR="001451B0" w:rsidRPr="003E3A67" w:rsidRDefault="001451B0" w:rsidP="001451B0">
      <w:pPr>
        <w:pStyle w:val="BodyText"/>
        <w:spacing w:after="0"/>
        <w:ind w:left="0"/>
        <w:rPr>
          <w:rFonts w:asciiTheme="minorHAnsi" w:hAnsiTheme="minorHAnsi" w:cstheme="minorHAnsi"/>
        </w:rPr>
      </w:pPr>
    </w:p>
    <w:p w14:paraId="1BE57985" w14:textId="27C43F26" w:rsidR="001451B0" w:rsidRPr="001451B0" w:rsidRDefault="001451B0" w:rsidP="001451B0">
      <w:pPr>
        <w:widowControl w:val="0"/>
        <w:tabs>
          <w:tab w:val="left" w:pos="686"/>
        </w:tabs>
        <w:autoSpaceDE w:val="0"/>
        <w:autoSpaceDN w:val="0"/>
        <w:spacing w:after="0" w:line="240" w:lineRule="auto"/>
        <w:ind w:left="567" w:hanging="447"/>
        <w:rPr>
          <w:rFonts w:cstheme="minorHAnsi"/>
        </w:rPr>
      </w:pPr>
      <w:r>
        <w:rPr>
          <w:rFonts w:cstheme="minorHAnsi"/>
        </w:rPr>
        <w:t>10.</w:t>
      </w:r>
      <w:r>
        <w:rPr>
          <w:rFonts w:cstheme="minorHAnsi"/>
        </w:rPr>
        <w:tab/>
      </w:r>
      <w:r w:rsidRPr="001451B0">
        <w:rPr>
          <w:rFonts w:cstheme="minorHAnsi"/>
        </w:rPr>
        <w:t>Roles</w:t>
      </w:r>
      <w:r w:rsidRPr="001451B0">
        <w:rPr>
          <w:rFonts w:cstheme="minorHAnsi"/>
          <w:spacing w:val="-5"/>
        </w:rPr>
        <w:t xml:space="preserve"> </w:t>
      </w:r>
      <w:r w:rsidRPr="001451B0">
        <w:rPr>
          <w:rFonts w:cstheme="minorHAnsi"/>
        </w:rPr>
        <w:t>of</w:t>
      </w:r>
      <w:r w:rsidRPr="001451B0">
        <w:rPr>
          <w:rFonts w:cstheme="minorHAnsi"/>
          <w:spacing w:val="-2"/>
        </w:rPr>
        <w:t xml:space="preserve"> Finance:</w:t>
      </w:r>
    </w:p>
    <w:p w14:paraId="4D73B211" w14:textId="77777777" w:rsidR="001451B0" w:rsidRPr="003E3A67" w:rsidRDefault="001451B0" w:rsidP="001451B0">
      <w:pPr>
        <w:pStyle w:val="ListParagraph"/>
        <w:widowControl w:val="0"/>
        <w:numPr>
          <w:ilvl w:val="0"/>
          <w:numId w:val="534"/>
        </w:numPr>
        <w:autoSpaceDE w:val="0"/>
        <w:autoSpaceDN w:val="0"/>
        <w:spacing w:before="61" w:after="0" w:line="240" w:lineRule="auto"/>
        <w:ind w:left="1134" w:hanging="567"/>
        <w:contextualSpacing w:val="0"/>
        <w:jc w:val="both"/>
        <w:rPr>
          <w:rFonts w:cstheme="minorHAnsi"/>
        </w:rPr>
      </w:pPr>
      <w:r w:rsidRPr="003E3A67">
        <w:rPr>
          <w:rFonts w:cstheme="minorHAnsi"/>
          <w:spacing w:val="-2"/>
        </w:rPr>
        <w:t>Finance</w:t>
      </w:r>
      <w:r w:rsidRPr="003E3A67">
        <w:rPr>
          <w:rFonts w:cstheme="minorHAnsi"/>
          <w:spacing w:val="-11"/>
        </w:rPr>
        <w:t xml:space="preserve"> </w:t>
      </w:r>
      <w:r w:rsidRPr="003E3A67">
        <w:rPr>
          <w:rFonts w:cstheme="minorHAnsi"/>
          <w:spacing w:val="-2"/>
        </w:rPr>
        <w:t>Officers</w:t>
      </w:r>
      <w:r w:rsidRPr="003E3A67">
        <w:rPr>
          <w:rFonts w:cstheme="minorHAnsi"/>
          <w:spacing w:val="-8"/>
        </w:rPr>
        <w:t xml:space="preserve"> </w:t>
      </w:r>
      <w:r w:rsidRPr="003E3A67">
        <w:rPr>
          <w:rFonts w:cstheme="minorHAnsi"/>
          <w:spacing w:val="-2"/>
        </w:rPr>
        <w:t>will</w:t>
      </w:r>
      <w:r w:rsidRPr="003E3A67">
        <w:rPr>
          <w:rFonts w:cstheme="minorHAnsi"/>
          <w:spacing w:val="-9"/>
        </w:rPr>
        <w:t xml:space="preserve"> </w:t>
      </w:r>
      <w:r w:rsidRPr="003E3A67">
        <w:rPr>
          <w:rFonts w:cstheme="minorHAnsi"/>
          <w:spacing w:val="-2"/>
        </w:rPr>
        <w:t>provide</w:t>
      </w:r>
      <w:r w:rsidRPr="003E3A67">
        <w:rPr>
          <w:rFonts w:cstheme="minorHAnsi"/>
          <w:spacing w:val="-5"/>
        </w:rPr>
        <w:t xml:space="preserve"> </w:t>
      </w:r>
      <w:r w:rsidRPr="003E3A67">
        <w:rPr>
          <w:rFonts w:cstheme="minorHAnsi"/>
          <w:spacing w:val="-2"/>
        </w:rPr>
        <w:t>initial</w:t>
      </w:r>
      <w:r w:rsidRPr="003E3A67">
        <w:rPr>
          <w:rFonts w:cstheme="minorHAnsi"/>
          <w:spacing w:val="-9"/>
        </w:rPr>
        <w:t xml:space="preserve"> </w:t>
      </w:r>
      <w:r w:rsidRPr="003E3A67">
        <w:rPr>
          <w:rFonts w:cstheme="minorHAnsi"/>
          <w:spacing w:val="-2"/>
        </w:rPr>
        <w:t>training</w:t>
      </w:r>
      <w:r w:rsidRPr="003E3A67">
        <w:rPr>
          <w:rFonts w:cstheme="minorHAnsi"/>
          <w:spacing w:val="-8"/>
        </w:rPr>
        <w:t xml:space="preserve"> </w:t>
      </w:r>
      <w:r w:rsidRPr="003E3A67">
        <w:rPr>
          <w:rFonts w:cstheme="minorHAnsi"/>
          <w:spacing w:val="-2"/>
        </w:rPr>
        <w:t>and</w:t>
      </w:r>
      <w:r w:rsidRPr="003E3A67">
        <w:rPr>
          <w:rFonts w:cstheme="minorHAnsi"/>
          <w:spacing w:val="-9"/>
        </w:rPr>
        <w:t xml:space="preserve"> </w:t>
      </w:r>
      <w:r w:rsidRPr="003E3A67">
        <w:rPr>
          <w:rFonts w:cstheme="minorHAnsi"/>
          <w:spacing w:val="-2"/>
        </w:rPr>
        <w:t>support</w:t>
      </w:r>
      <w:r w:rsidRPr="003E3A67">
        <w:rPr>
          <w:rFonts w:cstheme="minorHAnsi"/>
          <w:spacing w:val="-9"/>
        </w:rPr>
        <w:t xml:space="preserve"> </w:t>
      </w:r>
      <w:r w:rsidRPr="003E3A67">
        <w:rPr>
          <w:rFonts w:cstheme="minorHAnsi"/>
          <w:spacing w:val="-2"/>
        </w:rPr>
        <w:t>to</w:t>
      </w:r>
      <w:r w:rsidRPr="003E3A67">
        <w:rPr>
          <w:rFonts w:cstheme="minorHAnsi"/>
          <w:spacing w:val="-7"/>
        </w:rPr>
        <w:t xml:space="preserve"> </w:t>
      </w:r>
      <w:r w:rsidRPr="003E3A67">
        <w:rPr>
          <w:rFonts w:cstheme="minorHAnsi"/>
          <w:spacing w:val="-2"/>
        </w:rPr>
        <w:t>Authorised</w:t>
      </w:r>
      <w:r w:rsidRPr="003E3A67">
        <w:rPr>
          <w:rFonts w:cstheme="minorHAnsi"/>
          <w:spacing w:val="-9"/>
        </w:rPr>
        <w:t xml:space="preserve"> </w:t>
      </w:r>
      <w:r w:rsidRPr="003E3A67">
        <w:rPr>
          <w:rFonts w:cstheme="minorHAnsi"/>
          <w:spacing w:val="-2"/>
        </w:rPr>
        <w:t>Purchasing</w:t>
      </w:r>
      <w:r w:rsidRPr="003E3A67">
        <w:rPr>
          <w:rFonts w:cstheme="minorHAnsi"/>
          <w:spacing w:val="-10"/>
        </w:rPr>
        <w:t xml:space="preserve"> </w:t>
      </w:r>
      <w:proofErr w:type="gramStart"/>
      <w:r w:rsidRPr="003E3A67">
        <w:rPr>
          <w:rFonts w:cstheme="minorHAnsi"/>
          <w:spacing w:val="-2"/>
        </w:rPr>
        <w:t>Officer;</w:t>
      </w:r>
      <w:proofErr w:type="gramEnd"/>
    </w:p>
    <w:p w14:paraId="6A830C57" w14:textId="77777777" w:rsidR="001451B0" w:rsidRPr="003E3A67" w:rsidRDefault="001451B0" w:rsidP="001451B0">
      <w:pPr>
        <w:pStyle w:val="ListParagraph"/>
        <w:widowControl w:val="0"/>
        <w:numPr>
          <w:ilvl w:val="0"/>
          <w:numId w:val="534"/>
        </w:numPr>
        <w:autoSpaceDE w:val="0"/>
        <w:autoSpaceDN w:val="0"/>
        <w:spacing w:after="0" w:line="240" w:lineRule="auto"/>
        <w:ind w:left="1134" w:right="425" w:hanging="567"/>
        <w:contextualSpacing w:val="0"/>
        <w:jc w:val="both"/>
        <w:rPr>
          <w:rFonts w:cstheme="minorHAnsi"/>
        </w:rPr>
      </w:pPr>
      <w:r w:rsidRPr="003E3A67">
        <w:rPr>
          <w:rFonts w:cstheme="minorHAnsi"/>
        </w:rPr>
        <w:t>Finance staff will review purchase orders on a periodic basis to ensure compliance</w:t>
      </w:r>
      <w:r w:rsidRPr="003E3A67">
        <w:rPr>
          <w:rFonts w:cstheme="minorHAnsi"/>
          <w:spacing w:val="-7"/>
        </w:rPr>
        <w:t xml:space="preserve"> </w:t>
      </w:r>
      <w:r w:rsidRPr="003E3A67">
        <w:rPr>
          <w:rFonts w:cstheme="minorHAnsi"/>
        </w:rPr>
        <w:t>with</w:t>
      </w:r>
      <w:r w:rsidRPr="003E3A67">
        <w:rPr>
          <w:rFonts w:cstheme="minorHAnsi"/>
          <w:spacing w:val="-8"/>
        </w:rPr>
        <w:t xml:space="preserve"> </w:t>
      </w:r>
      <w:r w:rsidRPr="003E3A67">
        <w:rPr>
          <w:rFonts w:cstheme="minorHAnsi"/>
        </w:rPr>
        <w:t>the</w:t>
      </w:r>
      <w:r w:rsidRPr="003E3A67">
        <w:rPr>
          <w:rFonts w:cstheme="minorHAnsi"/>
          <w:spacing w:val="-9"/>
        </w:rPr>
        <w:t xml:space="preserve"> </w:t>
      </w:r>
      <w:r w:rsidRPr="003E3A67">
        <w:rPr>
          <w:rFonts w:cstheme="minorHAnsi"/>
        </w:rPr>
        <w:t>Purchasing</w:t>
      </w:r>
      <w:r w:rsidRPr="003E3A67">
        <w:rPr>
          <w:rFonts w:cstheme="minorHAnsi"/>
          <w:spacing w:val="-8"/>
        </w:rPr>
        <w:t xml:space="preserve"> </w:t>
      </w:r>
      <w:r w:rsidRPr="003E3A67">
        <w:rPr>
          <w:rFonts w:cstheme="minorHAnsi"/>
        </w:rPr>
        <w:t>Policy</w:t>
      </w:r>
      <w:r w:rsidRPr="003E3A67">
        <w:rPr>
          <w:rFonts w:cstheme="minorHAnsi"/>
          <w:spacing w:val="-7"/>
        </w:rPr>
        <w:t xml:space="preserve"> </w:t>
      </w:r>
      <w:r w:rsidRPr="003E3A67">
        <w:rPr>
          <w:rFonts w:cstheme="minorHAnsi"/>
        </w:rPr>
        <w:t>including</w:t>
      </w:r>
      <w:r w:rsidRPr="003E3A67">
        <w:rPr>
          <w:rFonts w:cstheme="minorHAnsi"/>
          <w:spacing w:val="-8"/>
        </w:rPr>
        <w:t xml:space="preserve"> </w:t>
      </w:r>
      <w:r w:rsidRPr="003E3A67">
        <w:rPr>
          <w:rFonts w:cstheme="minorHAnsi"/>
        </w:rPr>
        <w:t>ensuring</w:t>
      </w:r>
      <w:r w:rsidRPr="003E3A67">
        <w:rPr>
          <w:rFonts w:cstheme="minorHAnsi"/>
          <w:spacing w:val="-8"/>
        </w:rPr>
        <w:t xml:space="preserve"> </w:t>
      </w:r>
      <w:r w:rsidRPr="003E3A67">
        <w:rPr>
          <w:rFonts w:cstheme="minorHAnsi"/>
        </w:rPr>
        <w:t>that</w:t>
      </w:r>
      <w:r w:rsidRPr="003E3A67">
        <w:rPr>
          <w:rFonts w:cstheme="minorHAnsi"/>
          <w:spacing w:val="-8"/>
        </w:rPr>
        <w:t xml:space="preserve"> </w:t>
      </w:r>
      <w:r w:rsidRPr="003E3A67">
        <w:rPr>
          <w:rFonts w:cstheme="minorHAnsi"/>
        </w:rPr>
        <w:t>all</w:t>
      </w:r>
      <w:r w:rsidRPr="003E3A67">
        <w:rPr>
          <w:rFonts w:cstheme="minorHAnsi"/>
          <w:spacing w:val="-8"/>
        </w:rPr>
        <w:t xml:space="preserve"> </w:t>
      </w:r>
      <w:r w:rsidRPr="003E3A67">
        <w:rPr>
          <w:rFonts w:cstheme="minorHAnsi"/>
        </w:rPr>
        <w:t>relevant</w:t>
      </w:r>
      <w:r w:rsidRPr="003E3A67">
        <w:rPr>
          <w:rFonts w:cstheme="minorHAnsi"/>
          <w:spacing w:val="-9"/>
        </w:rPr>
        <w:t xml:space="preserve"> </w:t>
      </w:r>
      <w:r w:rsidRPr="003E3A67">
        <w:rPr>
          <w:rFonts w:cstheme="minorHAnsi"/>
        </w:rPr>
        <w:t>quotes</w:t>
      </w:r>
      <w:r w:rsidRPr="003E3A67">
        <w:rPr>
          <w:rFonts w:cstheme="minorHAnsi"/>
          <w:spacing w:val="-10"/>
        </w:rPr>
        <w:t xml:space="preserve"> </w:t>
      </w:r>
      <w:r w:rsidRPr="003E3A67">
        <w:rPr>
          <w:rFonts w:cstheme="minorHAnsi"/>
        </w:rPr>
        <w:t>are attached. An email</w:t>
      </w:r>
      <w:r w:rsidRPr="003E3A67">
        <w:rPr>
          <w:rFonts w:cstheme="minorHAnsi"/>
          <w:spacing w:val="-13"/>
        </w:rPr>
        <w:t xml:space="preserve"> </w:t>
      </w:r>
      <w:r w:rsidRPr="003E3A67">
        <w:rPr>
          <w:rFonts w:cstheme="minorHAnsi"/>
        </w:rPr>
        <w:t>will</w:t>
      </w:r>
      <w:r w:rsidRPr="003E3A67">
        <w:rPr>
          <w:rFonts w:cstheme="minorHAnsi"/>
          <w:spacing w:val="-9"/>
        </w:rPr>
        <w:t xml:space="preserve"> </w:t>
      </w:r>
      <w:r w:rsidRPr="003E3A67">
        <w:rPr>
          <w:rFonts w:cstheme="minorHAnsi"/>
        </w:rPr>
        <w:t>be</w:t>
      </w:r>
      <w:r w:rsidRPr="003E3A67">
        <w:rPr>
          <w:rFonts w:cstheme="minorHAnsi"/>
          <w:spacing w:val="-10"/>
        </w:rPr>
        <w:t xml:space="preserve"> </w:t>
      </w:r>
      <w:r w:rsidRPr="003E3A67">
        <w:rPr>
          <w:rFonts w:cstheme="minorHAnsi"/>
        </w:rPr>
        <w:t>sent</w:t>
      </w:r>
      <w:r w:rsidRPr="003E3A67">
        <w:rPr>
          <w:rFonts w:cstheme="minorHAnsi"/>
          <w:spacing w:val="-8"/>
        </w:rPr>
        <w:t xml:space="preserve"> </w:t>
      </w:r>
      <w:r w:rsidRPr="003E3A67">
        <w:rPr>
          <w:rFonts w:cstheme="minorHAnsi"/>
        </w:rPr>
        <w:t>to</w:t>
      </w:r>
      <w:r w:rsidRPr="003E3A67">
        <w:rPr>
          <w:rFonts w:cstheme="minorHAnsi"/>
          <w:spacing w:val="-7"/>
        </w:rPr>
        <w:t xml:space="preserve"> </w:t>
      </w:r>
      <w:r w:rsidRPr="003E3A67">
        <w:rPr>
          <w:rFonts w:cstheme="minorHAnsi"/>
        </w:rPr>
        <w:t>the</w:t>
      </w:r>
      <w:r w:rsidRPr="003E3A67">
        <w:rPr>
          <w:rFonts w:cstheme="minorHAnsi"/>
          <w:spacing w:val="-13"/>
        </w:rPr>
        <w:t xml:space="preserve"> </w:t>
      </w:r>
      <w:r w:rsidRPr="003E3A67">
        <w:rPr>
          <w:rFonts w:cstheme="minorHAnsi"/>
        </w:rPr>
        <w:t>Purchaser</w:t>
      </w:r>
      <w:r w:rsidRPr="003E3A67">
        <w:rPr>
          <w:rFonts w:cstheme="minorHAnsi"/>
          <w:spacing w:val="-7"/>
        </w:rPr>
        <w:t xml:space="preserve"> </w:t>
      </w:r>
      <w:r w:rsidRPr="003E3A67">
        <w:rPr>
          <w:rFonts w:cstheme="minorHAnsi"/>
        </w:rPr>
        <w:t>seeking</w:t>
      </w:r>
      <w:r w:rsidRPr="003E3A67">
        <w:rPr>
          <w:rFonts w:cstheme="minorHAnsi"/>
          <w:spacing w:val="-11"/>
        </w:rPr>
        <w:t xml:space="preserve"> </w:t>
      </w:r>
      <w:r w:rsidRPr="003E3A67">
        <w:rPr>
          <w:rFonts w:cstheme="minorHAnsi"/>
        </w:rPr>
        <w:t>a</w:t>
      </w:r>
      <w:r w:rsidRPr="003E3A67">
        <w:rPr>
          <w:rFonts w:cstheme="minorHAnsi"/>
          <w:spacing w:val="-8"/>
        </w:rPr>
        <w:t xml:space="preserve"> </w:t>
      </w:r>
      <w:r w:rsidRPr="003E3A67">
        <w:rPr>
          <w:rFonts w:cstheme="minorHAnsi"/>
        </w:rPr>
        <w:t>valid</w:t>
      </w:r>
      <w:r w:rsidRPr="003E3A67">
        <w:rPr>
          <w:rFonts w:cstheme="minorHAnsi"/>
          <w:spacing w:val="-11"/>
        </w:rPr>
        <w:t xml:space="preserve"> </w:t>
      </w:r>
      <w:r w:rsidRPr="003E3A67">
        <w:rPr>
          <w:rFonts w:cstheme="minorHAnsi"/>
        </w:rPr>
        <w:t>reason</w:t>
      </w:r>
      <w:r w:rsidRPr="003E3A67">
        <w:rPr>
          <w:rFonts w:cstheme="minorHAnsi"/>
          <w:spacing w:val="-11"/>
        </w:rPr>
        <w:t xml:space="preserve"> why the Purchasing Policy was not complied </w:t>
      </w:r>
      <w:proofErr w:type="gramStart"/>
      <w:r w:rsidRPr="003E3A67">
        <w:rPr>
          <w:rFonts w:cstheme="minorHAnsi"/>
          <w:spacing w:val="-11"/>
        </w:rPr>
        <w:t>with</w:t>
      </w:r>
      <w:proofErr w:type="gramEnd"/>
      <w:r w:rsidRPr="003E3A67">
        <w:rPr>
          <w:rFonts w:cstheme="minorHAnsi"/>
          <w:spacing w:val="-11"/>
        </w:rPr>
        <w:t xml:space="preserve"> and they will be asked to provide the requested number of quotes to be attached to the purchase order. </w:t>
      </w:r>
      <w:r w:rsidRPr="003E3A67">
        <w:rPr>
          <w:rFonts w:cstheme="minorHAnsi"/>
        </w:rPr>
        <w:t xml:space="preserve">  A report will be prepared yearly for presentation to the Audit and </w:t>
      </w:r>
      <w:proofErr w:type="gramStart"/>
      <w:r w:rsidRPr="003E3A67">
        <w:rPr>
          <w:rFonts w:cstheme="minorHAnsi"/>
        </w:rPr>
        <w:t>Risk  Committee</w:t>
      </w:r>
      <w:proofErr w:type="gramEnd"/>
      <w:r w:rsidRPr="003E3A67">
        <w:rPr>
          <w:rFonts w:cstheme="minorHAnsi"/>
        </w:rPr>
        <w:t>.</w:t>
      </w:r>
    </w:p>
    <w:p w14:paraId="407D6176" w14:textId="77777777" w:rsidR="001451B0" w:rsidRPr="003E3A67" w:rsidRDefault="001451B0" w:rsidP="001451B0">
      <w:pPr>
        <w:pStyle w:val="ListParagraph"/>
        <w:widowControl w:val="0"/>
        <w:numPr>
          <w:ilvl w:val="0"/>
          <w:numId w:val="534"/>
        </w:numPr>
        <w:autoSpaceDE w:val="0"/>
        <w:autoSpaceDN w:val="0"/>
        <w:spacing w:after="0" w:line="240" w:lineRule="auto"/>
        <w:ind w:left="1134" w:right="431" w:hanging="567"/>
        <w:contextualSpacing w:val="0"/>
        <w:jc w:val="both"/>
        <w:rPr>
          <w:rFonts w:cstheme="minorHAnsi"/>
        </w:rPr>
      </w:pPr>
      <w:r w:rsidRPr="003E3A67">
        <w:rPr>
          <w:rFonts w:cstheme="minorHAnsi"/>
        </w:rPr>
        <w:t>Goods receipt amounts will be matched to supplier’s invoice and processed for payment in</w:t>
      </w:r>
      <w:r w:rsidRPr="003E3A67">
        <w:rPr>
          <w:rFonts w:cstheme="minorHAnsi"/>
          <w:spacing w:val="-7"/>
        </w:rPr>
        <w:t xml:space="preserve"> </w:t>
      </w:r>
      <w:r w:rsidRPr="003E3A67">
        <w:rPr>
          <w:rFonts w:cstheme="minorHAnsi"/>
        </w:rPr>
        <w:t>line</w:t>
      </w:r>
      <w:r w:rsidRPr="003E3A67">
        <w:rPr>
          <w:rFonts w:cstheme="minorHAnsi"/>
          <w:spacing w:val="-5"/>
        </w:rPr>
        <w:t xml:space="preserve"> </w:t>
      </w:r>
      <w:r w:rsidRPr="003E3A67">
        <w:rPr>
          <w:rFonts w:cstheme="minorHAnsi"/>
        </w:rPr>
        <w:t>with</w:t>
      </w:r>
      <w:r w:rsidRPr="003E3A67">
        <w:rPr>
          <w:rFonts w:cstheme="minorHAnsi"/>
          <w:spacing w:val="-6"/>
        </w:rPr>
        <w:t xml:space="preserve"> </w:t>
      </w:r>
      <w:r w:rsidRPr="003E3A67">
        <w:rPr>
          <w:rFonts w:cstheme="minorHAnsi"/>
        </w:rPr>
        <w:t>their</w:t>
      </w:r>
      <w:r w:rsidRPr="003E3A67">
        <w:rPr>
          <w:rFonts w:cstheme="minorHAnsi"/>
          <w:spacing w:val="-6"/>
        </w:rPr>
        <w:t xml:space="preserve"> </w:t>
      </w:r>
      <w:r w:rsidRPr="003E3A67">
        <w:rPr>
          <w:rFonts w:cstheme="minorHAnsi"/>
        </w:rPr>
        <w:t>terms.</w:t>
      </w:r>
      <w:r w:rsidRPr="003E3A67">
        <w:rPr>
          <w:rFonts w:cstheme="minorHAnsi"/>
          <w:spacing w:val="-6"/>
        </w:rPr>
        <w:t xml:space="preserve"> </w:t>
      </w:r>
      <w:r w:rsidRPr="003E3A67">
        <w:rPr>
          <w:rFonts w:cstheme="minorHAnsi"/>
        </w:rPr>
        <w:t>Any</w:t>
      </w:r>
      <w:r w:rsidRPr="003E3A67">
        <w:rPr>
          <w:rFonts w:cstheme="minorHAnsi"/>
          <w:spacing w:val="-7"/>
        </w:rPr>
        <w:t xml:space="preserve"> </w:t>
      </w:r>
      <w:r w:rsidRPr="003E3A67">
        <w:rPr>
          <w:rFonts w:cstheme="minorHAnsi"/>
        </w:rPr>
        <w:t>variance</w:t>
      </w:r>
      <w:r w:rsidRPr="003E3A67">
        <w:rPr>
          <w:rFonts w:cstheme="minorHAnsi"/>
          <w:spacing w:val="-5"/>
        </w:rPr>
        <w:t xml:space="preserve"> </w:t>
      </w:r>
      <w:r w:rsidRPr="003E3A67">
        <w:rPr>
          <w:rFonts w:cstheme="minorHAnsi"/>
        </w:rPr>
        <w:t>greater</w:t>
      </w:r>
      <w:r w:rsidRPr="003E3A67">
        <w:rPr>
          <w:rFonts w:cstheme="minorHAnsi"/>
          <w:spacing w:val="-8"/>
        </w:rPr>
        <w:t xml:space="preserve"> </w:t>
      </w:r>
      <w:r w:rsidRPr="003E3A67">
        <w:rPr>
          <w:rFonts w:cstheme="minorHAnsi"/>
        </w:rPr>
        <w:t>than</w:t>
      </w:r>
      <w:r w:rsidRPr="003E3A67">
        <w:rPr>
          <w:rFonts w:cstheme="minorHAnsi"/>
          <w:spacing w:val="-7"/>
        </w:rPr>
        <w:t xml:space="preserve"> </w:t>
      </w:r>
      <w:r w:rsidRPr="003E3A67">
        <w:rPr>
          <w:rFonts w:cstheme="minorHAnsi"/>
        </w:rPr>
        <w:t>10%</w:t>
      </w:r>
      <w:r w:rsidRPr="003E3A67">
        <w:rPr>
          <w:rFonts w:cstheme="minorHAnsi"/>
          <w:spacing w:val="-7"/>
        </w:rPr>
        <w:t xml:space="preserve"> </w:t>
      </w:r>
      <w:r w:rsidRPr="003E3A67">
        <w:rPr>
          <w:rFonts w:cstheme="minorHAnsi"/>
        </w:rPr>
        <w:t>will</w:t>
      </w:r>
      <w:r w:rsidRPr="003E3A67">
        <w:rPr>
          <w:rFonts w:cstheme="minorHAnsi"/>
          <w:spacing w:val="-6"/>
        </w:rPr>
        <w:t xml:space="preserve"> </w:t>
      </w:r>
      <w:r w:rsidRPr="003E3A67">
        <w:rPr>
          <w:rFonts w:cstheme="minorHAnsi"/>
        </w:rPr>
        <w:t>be</w:t>
      </w:r>
      <w:r w:rsidRPr="003E3A67">
        <w:rPr>
          <w:rFonts w:cstheme="minorHAnsi"/>
          <w:spacing w:val="-5"/>
        </w:rPr>
        <w:t xml:space="preserve"> </w:t>
      </w:r>
      <w:r w:rsidRPr="003E3A67">
        <w:rPr>
          <w:rFonts w:cstheme="minorHAnsi"/>
        </w:rPr>
        <w:t>referred to the Purchaser.</w:t>
      </w:r>
    </w:p>
    <w:p w14:paraId="2510CF60" w14:textId="77777777" w:rsidR="001451B0" w:rsidRPr="003E3A67" w:rsidRDefault="001451B0" w:rsidP="001451B0">
      <w:pPr>
        <w:pStyle w:val="ListParagraph"/>
        <w:widowControl w:val="0"/>
        <w:numPr>
          <w:ilvl w:val="0"/>
          <w:numId w:val="534"/>
        </w:numPr>
        <w:autoSpaceDE w:val="0"/>
        <w:autoSpaceDN w:val="0"/>
        <w:spacing w:before="1" w:after="0" w:line="240" w:lineRule="auto"/>
        <w:ind w:left="1134" w:right="434" w:hanging="567"/>
        <w:contextualSpacing w:val="0"/>
        <w:jc w:val="both"/>
        <w:rPr>
          <w:rFonts w:cstheme="minorHAnsi"/>
        </w:rPr>
      </w:pPr>
      <w:r w:rsidRPr="003E3A67">
        <w:rPr>
          <w:rFonts w:cstheme="minorHAnsi"/>
        </w:rPr>
        <w:t>Purchase orders will be reviewed every three months to ensure obsolete orders</w:t>
      </w:r>
      <w:r w:rsidRPr="003E3A67">
        <w:rPr>
          <w:rFonts w:cstheme="minorHAnsi"/>
          <w:spacing w:val="-2"/>
        </w:rPr>
        <w:t xml:space="preserve"> </w:t>
      </w:r>
      <w:r w:rsidRPr="003E3A67">
        <w:rPr>
          <w:rFonts w:cstheme="minorHAnsi"/>
        </w:rPr>
        <w:t xml:space="preserve">are </w:t>
      </w:r>
      <w:r w:rsidRPr="003E3A67">
        <w:rPr>
          <w:rFonts w:cstheme="minorHAnsi"/>
          <w:spacing w:val="-2"/>
        </w:rPr>
        <w:t>expedited.</w:t>
      </w:r>
    </w:p>
    <w:p w14:paraId="10F051BF" w14:textId="77777777" w:rsidR="001451B0" w:rsidRPr="003E3A67" w:rsidRDefault="001451B0" w:rsidP="0041594F">
      <w:pPr>
        <w:pStyle w:val="BodyText"/>
        <w:spacing w:after="0"/>
        <w:ind w:left="0"/>
        <w:rPr>
          <w:rFonts w:asciiTheme="minorHAnsi" w:hAnsiTheme="minorHAnsi" w:cstheme="minorHAnsi"/>
        </w:rPr>
      </w:pPr>
    </w:p>
    <w:p w14:paraId="1FEB1935" w14:textId="487BF41A" w:rsidR="0041594F" w:rsidRPr="0041594F" w:rsidRDefault="0041594F" w:rsidP="0041594F">
      <w:pPr>
        <w:widowControl w:val="0"/>
        <w:tabs>
          <w:tab w:val="left" w:pos="686"/>
        </w:tabs>
        <w:autoSpaceDE w:val="0"/>
        <w:autoSpaceDN w:val="0"/>
        <w:spacing w:after="0" w:line="240" w:lineRule="auto"/>
        <w:ind w:left="567" w:right="704" w:hanging="448"/>
        <w:rPr>
          <w:rFonts w:cstheme="minorHAnsi"/>
        </w:rPr>
      </w:pPr>
      <w:r>
        <w:rPr>
          <w:rFonts w:cstheme="minorHAnsi"/>
        </w:rPr>
        <w:t>11.</w:t>
      </w:r>
      <w:r>
        <w:rPr>
          <w:rFonts w:cstheme="minorHAnsi"/>
        </w:rPr>
        <w:tab/>
      </w:r>
      <w:r w:rsidRPr="0041594F">
        <w:rPr>
          <w:rFonts w:cstheme="minorHAnsi"/>
        </w:rPr>
        <w:t>Where</w:t>
      </w:r>
      <w:r w:rsidRPr="0041594F">
        <w:rPr>
          <w:rFonts w:cstheme="minorHAnsi"/>
          <w:spacing w:val="-8"/>
        </w:rPr>
        <w:t xml:space="preserve"> </w:t>
      </w:r>
      <w:r w:rsidRPr="0041594F">
        <w:rPr>
          <w:rFonts w:cstheme="minorHAnsi"/>
        </w:rPr>
        <w:t>possible,</w:t>
      </w:r>
      <w:r w:rsidRPr="0041594F">
        <w:rPr>
          <w:rFonts w:cstheme="minorHAnsi"/>
          <w:spacing w:val="-5"/>
        </w:rPr>
        <w:t xml:space="preserve"> </w:t>
      </w:r>
      <w:r w:rsidRPr="0041594F">
        <w:rPr>
          <w:rFonts w:cstheme="minorHAnsi"/>
        </w:rPr>
        <w:t>The Town is to</w:t>
      </w:r>
      <w:r w:rsidRPr="0041594F">
        <w:rPr>
          <w:rFonts w:cstheme="minorHAnsi"/>
          <w:spacing w:val="-6"/>
        </w:rPr>
        <w:t xml:space="preserve"> </w:t>
      </w:r>
      <w:r w:rsidRPr="0041594F">
        <w:rPr>
          <w:rFonts w:cstheme="minorHAnsi"/>
        </w:rPr>
        <w:t>use</w:t>
      </w:r>
      <w:r w:rsidRPr="0041594F">
        <w:rPr>
          <w:rFonts w:cstheme="minorHAnsi"/>
          <w:spacing w:val="-3"/>
        </w:rPr>
        <w:t xml:space="preserve"> </w:t>
      </w:r>
      <w:r w:rsidRPr="0041594F">
        <w:rPr>
          <w:rFonts w:cstheme="minorHAnsi"/>
        </w:rPr>
        <w:t>environmentally</w:t>
      </w:r>
      <w:r w:rsidRPr="0041594F">
        <w:rPr>
          <w:rFonts w:cstheme="minorHAnsi"/>
          <w:spacing w:val="-5"/>
        </w:rPr>
        <w:t xml:space="preserve"> </w:t>
      </w:r>
      <w:r w:rsidRPr="0041594F">
        <w:rPr>
          <w:rFonts w:cstheme="minorHAnsi"/>
        </w:rPr>
        <w:t>friendly</w:t>
      </w:r>
      <w:r w:rsidRPr="0041594F">
        <w:rPr>
          <w:rFonts w:cstheme="minorHAnsi"/>
          <w:spacing w:val="-9"/>
        </w:rPr>
        <w:t xml:space="preserve"> </w:t>
      </w:r>
      <w:r w:rsidRPr="0041594F">
        <w:rPr>
          <w:rFonts w:cstheme="minorHAnsi"/>
        </w:rPr>
        <w:t>paper</w:t>
      </w:r>
      <w:r w:rsidRPr="0041594F">
        <w:rPr>
          <w:rFonts w:cstheme="minorHAnsi"/>
          <w:spacing w:val="-6"/>
        </w:rPr>
        <w:t xml:space="preserve"> </w:t>
      </w:r>
      <w:r w:rsidRPr="0041594F">
        <w:rPr>
          <w:rFonts w:cstheme="minorHAnsi"/>
        </w:rPr>
        <w:t>products</w:t>
      </w:r>
      <w:r w:rsidRPr="0041594F">
        <w:rPr>
          <w:rFonts w:cstheme="minorHAnsi"/>
          <w:spacing w:val="-8"/>
        </w:rPr>
        <w:t xml:space="preserve"> </w:t>
      </w:r>
      <w:r w:rsidRPr="0041594F">
        <w:rPr>
          <w:rFonts w:cstheme="minorHAnsi"/>
        </w:rPr>
        <w:t>including</w:t>
      </w:r>
      <w:r w:rsidRPr="0041594F">
        <w:rPr>
          <w:rFonts w:cstheme="minorHAnsi"/>
          <w:spacing w:val="-6"/>
        </w:rPr>
        <w:t xml:space="preserve"> </w:t>
      </w:r>
      <w:r w:rsidRPr="0041594F">
        <w:rPr>
          <w:rFonts w:cstheme="minorHAnsi"/>
        </w:rPr>
        <w:t xml:space="preserve">recycled </w:t>
      </w:r>
      <w:proofErr w:type="gramStart"/>
      <w:r w:rsidRPr="0041594F">
        <w:rPr>
          <w:rFonts w:cstheme="minorHAnsi"/>
          <w:spacing w:val="-2"/>
        </w:rPr>
        <w:t>paper;</w:t>
      </w:r>
      <w:proofErr w:type="gramEnd"/>
    </w:p>
    <w:p w14:paraId="1932CB0A" w14:textId="77777777" w:rsidR="0041594F" w:rsidRPr="003E3A67" w:rsidRDefault="0041594F" w:rsidP="00121E13">
      <w:pPr>
        <w:pStyle w:val="BodyText"/>
        <w:spacing w:after="0"/>
        <w:ind w:left="0"/>
        <w:rPr>
          <w:rFonts w:asciiTheme="minorHAnsi" w:hAnsiTheme="minorHAnsi" w:cstheme="minorHAnsi"/>
        </w:rPr>
      </w:pPr>
    </w:p>
    <w:p w14:paraId="3691B533" w14:textId="59703A7D" w:rsidR="00183E47" w:rsidRDefault="0041594F" w:rsidP="00121E13">
      <w:pPr>
        <w:widowControl w:val="0"/>
        <w:autoSpaceDE w:val="0"/>
        <w:autoSpaceDN w:val="0"/>
        <w:spacing w:after="0" w:line="240" w:lineRule="auto"/>
        <w:ind w:left="567" w:hanging="447"/>
        <w:rPr>
          <w:rFonts w:cstheme="minorHAnsi"/>
        </w:rPr>
      </w:pPr>
      <w:r>
        <w:rPr>
          <w:rFonts w:cstheme="minorHAnsi"/>
        </w:rPr>
        <w:t>12.</w:t>
      </w:r>
      <w:r>
        <w:rPr>
          <w:rFonts w:cstheme="minorHAnsi"/>
        </w:rPr>
        <w:tab/>
      </w:r>
      <w:r w:rsidRPr="0041594F">
        <w:rPr>
          <w:rFonts w:cstheme="minorHAnsi"/>
        </w:rPr>
        <w:t>All</w:t>
      </w:r>
      <w:r w:rsidRPr="0041594F">
        <w:rPr>
          <w:rFonts w:cstheme="minorHAnsi"/>
          <w:spacing w:val="-6"/>
        </w:rPr>
        <w:t xml:space="preserve"> </w:t>
      </w:r>
      <w:r w:rsidRPr="0041594F">
        <w:rPr>
          <w:rFonts w:cstheme="minorHAnsi"/>
        </w:rPr>
        <w:t>purchases</w:t>
      </w:r>
      <w:r w:rsidRPr="0041594F">
        <w:rPr>
          <w:rFonts w:cstheme="minorHAnsi"/>
          <w:spacing w:val="-8"/>
        </w:rPr>
        <w:t xml:space="preserve"> </w:t>
      </w:r>
      <w:r w:rsidRPr="0041594F">
        <w:rPr>
          <w:rFonts w:cstheme="minorHAnsi"/>
        </w:rPr>
        <w:t>must</w:t>
      </w:r>
      <w:r w:rsidRPr="0041594F">
        <w:rPr>
          <w:rFonts w:cstheme="minorHAnsi"/>
          <w:spacing w:val="-2"/>
        </w:rPr>
        <w:t xml:space="preserve"> </w:t>
      </w:r>
      <w:r w:rsidRPr="0041594F">
        <w:rPr>
          <w:rFonts w:cstheme="minorHAnsi"/>
        </w:rPr>
        <w:t>also</w:t>
      </w:r>
      <w:r w:rsidRPr="0041594F">
        <w:rPr>
          <w:rFonts w:cstheme="minorHAnsi"/>
          <w:spacing w:val="-7"/>
        </w:rPr>
        <w:t xml:space="preserve"> </w:t>
      </w:r>
      <w:r w:rsidRPr="0041594F">
        <w:rPr>
          <w:rFonts w:cstheme="minorHAnsi"/>
        </w:rPr>
        <w:t>comply</w:t>
      </w:r>
      <w:r w:rsidRPr="0041594F">
        <w:rPr>
          <w:rFonts w:cstheme="minorHAnsi"/>
          <w:spacing w:val="-8"/>
        </w:rPr>
        <w:t xml:space="preserve"> </w:t>
      </w:r>
      <w:r w:rsidRPr="0041594F">
        <w:rPr>
          <w:rFonts w:cstheme="minorHAnsi"/>
        </w:rPr>
        <w:t>with</w:t>
      </w:r>
      <w:r w:rsidRPr="0041594F">
        <w:rPr>
          <w:rFonts w:cstheme="minorHAnsi"/>
          <w:spacing w:val="-7"/>
        </w:rPr>
        <w:t xml:space="preserve"> </w:t>
      </w:r>
      <w:r w:rsidRPr="0041594F">
        <w:rPr>
          <w:rFonts w:cstheme="minorHAnsi"/>
        </w:rPr>
        <w:t>Policy</w:t>
      </w:r>
      <w:r w:rsidRPr="0041594F">
        <w:rPr>
          <w:rFonts w:cstheme="minorHAnsi"/>
          <w:spacing w:val="-8"/>
        </w:rPr>
        <w:t xml:space="preserve"> </w:t>
      </w:r>
      <w:r w:rsidRPr="0041594F">
        <w:rPr>
          <w:rFonts w:cstheme="minorHAnsi"/>
        </w:rPr>
        <w:t>2.1.3</w:t>
      </w:r>
      <w:r w:rsidRPr="0041594F">
        <w:rPr>
          <w:rFonts w:cstheme="minorHAnsi"/>
          <w:spacing w:val="-2"/>
        </w:rPr>
        <w:t xml:space="preserve"> </w:t>
      </w:r>
      <w:r w:rsidRPr="0041594F">
        <w:rPr>
          <w:rFonts w:cstheme="minorHAnsi"/>
        </w:rPr>
        <w:t>–</w:t>
      </w:r>
      <w:r w:rsidRPr="0041594F">
        <w:rPr>
          <w:rFonts w:cstheme="minorHAnsi"/>
          <w:spacing w:val="-8"/>
        </w:rPr>
        <w:t xml:space="preserve"> </w:t>
      </w:r>
      <w:r w:rsidRPr="0041594F">
        <w:rPr>
          <w:rFonts w:cstheme="minorHAnsi"/>
        </w:rPr>
        <w:t>Purchasing</w:t>
      </w:r>
      <w:r w:rsidRPr="0041594F">
        <w:rPr>
          <w:rFonts w:cstheme="minorHAnsi"/>
          <w:spacing w:val="-5"/>
        </w:rPr>
        <w:t xml:space="preserve"> </w:t>
      </w:r>
      <w:r w:rsidRPr="0041594F">
        <w:rPr>
          <w:rFonts w:cstheme="minorHAnsi"/>
          <w:spacing w:val="-2"/>
        </w:rPr>
        <w:t>Policy.</w:t>
      </w:r>
      <w:r w:rsidR="00183E47">
        <w:rPr>
          <w:rFonts w:cstheme="minorHAnsi"/>
        </w:rPr>
        <w:br w:type="page"/>
      </w:r>
    </w:p>
    <w:p w14:paraId="03D1F9ED" w14:textId="44D0ADF9" w:rsidR="00285297" w:rsidRDefault="003369A9" w:rsidP="00285297">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80768" behindDoc="1" locked="0" layoutInCell="1" allowOverlap="1" wp14:anchorId="66CFB8FC" wp14:editId="300F587F">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C93CBF4" w14:textId="77777777" w:rsidR="003369A9" w:rsidRDefault="003369A9" w:rsidP="00760D17">
      <w:pPr>
        <w:pStyle w:val="Policy3"/>
      </w:pPr>
    </w:p>
    <w:p w14:paraId="296DA083" w14:textId="01591B69" w:rsidR="00285297" w:rsidRDefault="00285297" w:rsidP="00760D17">
      <w:pPr>
        <w:pStyle w:val="Policy3"/>
      </w:pPr>
      <w:bookmarkStart w:id="147" w:name="_Toc216866679"/>
      <w:r w:rsidRPr="00B943C6">
        <w:t>2.1.4</w:t>
      </w:r>
      <w:r w:rsidRPr="00B943C6">
        <w:tab/>
        <w:t>R</w:t>
      </w:r>
      <w:r w:rsidR="00760D17">
        <w:t>ates Exemption</w:t>
      </w:r>
      <w:bookmarkEnd w:id="147"/>
      <w:r w:rsidRPr="00B943C6">
        <w:t xml:space="preserve"> </w:t>
      </w:r>
    </w:p>
    <w:p w14:paraId="527D3840" w14:textId="7A7AF5DD" w:rsidR="000A7EEA" w:rsidRDefault="000A7EEA" w:rsidP="00760D17">
      <w:pPr>
        <w:pStyle w:val="Policy3"/>
      </w:pPr>
    </w:p>
    <w:tbl>
      <w:tblPr>
        <w:tblStyle w:val="TableGrid"/>
        <w:tblW w:w="0" w:type="auto"/>
        <w:tblLook w:val="04A0" w:firstRow="1" w:lastRow="0" w:firstColumn="1" w:lastColumn="0" w:noHBand="0" w:noVBand="1"/>
      </w:tblPr>
      <w:tblGrid>
        <w:gridCol w:w="2972"/>
        <w:gridCol w:w="6044"/>
      </w:tblGrid>
      <w:tr w:rsidR="000A7EEA" w:rsidRPr="00285297" w14:paraId="5C625299" w14:textId="77777777" w:rsidTr="00F27A79">
        <w:tc>
          <w:tcPr>
            <w:tcW w:w="2972" w:type="dxa"/>
          </w:tcPr>
          <w:p w14:paraId="0E66DFAE"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Type:</w:t>
            </w:r>
          </w:p>
        </w:tc>
        <w:tc>
          <w:tcPr>
            <w:tcW w:w="6044" w:type="dxa"/>
          </w:tcPr>
          <w:p w14:paraId="1B9FCC03" w14:textId="77777777" w:rsidR="000A7EEA" w:rsidRPr="00285297" w:rsidRDefault="000A7EEA" w:rsidP="00F27A79">
            <w:pPr>
              <w:jc w:val="both"/>
              <w:rPr>
                <w:rFonts w:cstheme="minorHAnsi"/>
                <w:color w:val="000000" w:themeColor="text1"/>
                <w:lang w:val="en-US"/>
              </w:rPr>
            </w:pPr>
            <w:r>
              <w:rPr>
                <w:rFonts w:cstheme="minorHAnsi"/>
                <w:color w:val="000000" w:themeColor="text1"/>
                <w:lang w:val="en-US"/>
              </w:rPr>
              <w:t>Corporate Services – Financial Management</w:t>
            </w:r>
          </w:p>
        </w:tc>
      </w:tr>
      <w:tr w:rsidR="000A7EEA" w:rsidRPr="00285297" w14:paraId="5269070A" w14:textId="77777777" w:rsidTr="00F27A79">
        <w:tc>
          <w:tcPr>
            <w:tcW w:w="2972" w:type="dxa"/>
          </w:tcPr>
          <w:p w14:paraId="4307AAAC"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Legislation:</w:t>
            </w:r>
          </w:p>
        </w:tc>
        <w:tc>
          <w:tcPr>
            <w:tcW w:w="6044" w:type="dxa"/>
          </w:tcPr>
          <w:p w14:paraId="182B6253" w14:textId="77777777" w:rsidR="000A7EEA" w:rsidRPr="00285297" w:rsidRDefault="000A7EEA" w:rsidP="00F27A79">
            <w:pPr>
              <w:jc w:val="both"/>
              <w:rPr>
                <w:rFonts w:cstheme="minorHAnsi"/>
                <w:i/>
                <w:color w:val="000000" w:themeColor="text1"/>
                <w:lang w:val="en-US"/>
              </w:rPr>
            </w:pPr>
            <w:r w:rsidRPr="00285297">
              <w:rPr>
                <w:rFonts w:cstheme="minorHAnsi"/>
                <w:i/>
                <w:color w:val="000000" w:themeColor="text1"/>
                <w:lang w:val="en-US"/>
              </w:rPr>
              <w:t xml:space="preserve">Local Government Act 1995 </w:t>
            </w:r>
          </w:p>
          <w:p w14:paraId="5367DBD3" w14:textId="77777777" w:rsidR="000A7EEA" w:rsidRPr="00285297" w:rsidRDefault="000A7EEA" w:rsidP="00F27A79">
            <w:pPr>
              <w:jc w:val="both"/>
              <w:rPr>
                <w:rFonts w:cstheme="minorHAnsi"/>
                <w:color w:val="000000" w:themeColor="text1"/>
                <w:lang w:val="en-US"/>
              </w:rPr>
            </w:pPr>
            <w:r w:rsidRPr="00285297">
              <w:rPr>
                <w:rFonts w:cstheme="minorHAnsi"/>
                <w:i/>
                <w:color w:val="000000" w:themeColor="text1"/>
                <w:lang w:val="en-US"/>
              </w:rPr>
              <w:t>Charities Act 2013</w:t>
            </w:r>
          </w:p>
        </w:tc>
      </w:tr>
      <w:tr w:rsidR="000A7EEA" w:rsidRPr="00285297" w14:paraId="0124EFD9" w14:textId="77777777" w:rsidTr="00F27A79">
        <w:tc>
          <w:tcPr>
            <w:tcW w:w="2972" w:type="dxa"/>
          </w:tcPr>
          <w:p w14:paraId="223FFF39"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Delegation:</w:t>
            </w:r>
          </w:p>
        </w:tc>
        <w:tc>
          <w:tcPr>
            <w:tcW w:w="6044" w:type="dxa"/>
          </w:tcPr>
          <w:p w14:paraId="0C2EF977" w14:textId="77777777" w:rsidR="000A7EEA" w:rsidRPr="00285297" w:rsidRDefault="000A7EEA" w:rsidP="00F27A79">
            <w:pPr>
              <w:jc w:val="both"/>
              <w:rPr>
                <w:rFonts w:cstheme="minorHAnsi"/>
                <w:color w:val="000000" w:themeColor="text1"/>
                <w:lang w:val="en-US"/>
              </w:rPr>
            </w:pPr>
            <w:r>
              <w:rPr>
                <w:rFonts w:cstheme="minorHAnsi"/>
                <w:color w:val="000000" w:themeColor="text1"/>
                <w:lang w:val="en-US"/>
              </w:rPr>
              <w:t>DA79 Determine Applications for Rate Exemption</w:t>
            </w:r>
          </w:p>
        </w:tc>
      </w:tr>
      <w:tr w:rsidR="000A7EEA" w:rsidRPr="00285297" w14:paraId="7824AE1F" w14:textId="77777777" w:rsidTr="00F27A79">
        <w:tc>
          <w:tcPr>
            <w:tcW w:w="2972" w:type="dxa"/>
          </w:tcPr>
          <w:p w14:paraId="0112125B"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Other Related Document:</w:t>
            </w:r>
          </w:p>
        </w:tc>
        <w:tc>
          <w:tcPr>
            <w:tcW w:w="6044" w:type="dxa"/>
          </w:tcPr>
          <w:p w14:paraId="2D56DB38" w14:textId="77777777" w:rsidR="000A7EEA" w:rsidRPr="00285297" w:rsidRDefault="000A7EEA" w:rsidP="00F27A79">
            <w:pPr>
              <w:jc w:val="both"/>
              <w:rPr>
                <w:rFonts w:cstheme="minorHAnsi"/>
                <w:color w:val="000000" w:themeColor="text1"/>
                <w:lang w:val="en-US"/>
              </w:rPr>
            </w:pPr>
          </w:p>
        </w:tc>
      </w:tr>
    </w:tbl>
    <w:p w14:paraId="3238C45A" w14:textId="77777777" w:rsidR="000A7EEA" w:rsidRPr="00B943C6" w:rsidRDefault="000A7EEA" w:rsidP="000A7EEA">
      <w:pPr>
        <w:spacing w:before="200" w:after="0"/>
        <w:rPr>
          <w:b/>
          <w:sz w:val="28"/>
          <w:szCs w:val="28"/>
          <w:lang w:val="en-US"/>
        </w:rPr>
      </w:pPr>
      <w:bookmarkStart w:id="148" w:name="_Toc520116947"/>
      <w:r w:rsidRPr="00B943C6">
        <w:rPr>
          <w:b/>
          <w:sz w:val="28"/>
          <w:szCs w:val="28"/>
          <w:lang w:val="en-US"/>
        </w:rPr>
        <w:t>Objective</w:t>
      </w:r>
      <w:bookmarkEnd w:id="148"/>
    </w:p>
    <w:p w14:paraId="46D16DE9" w14:textId="77777777" w:rsidR="000A7EEA" w:rsidRPr="00285297" w:rsidRDefault="000A7EEA" w:rsidP="000A7EEA">
      <w:pPr>
        <w:jc w:val="both"/>
        <w:rPr>
          <w:rFonts w:cstheme="minorHAnsi"/>
          <w:color w:val="000000" w:themeColor="text1"/>
          <w:lang w:val="en-US"/>
        </w:rPr>
      </w:pPr>
      <w:r w:rsidRPr="00285297">
        <w:rPr>
          <w:rFonts w:cstheme="minorHAnsi"/>
          <w:color w:val="000000" w:themeColor="text1"/>
          <w:lang w:val="en-US"/>
        </w:rPr>
        <w:t>Establish a consistent approach to determine whether land is not ratable under Section 6.26 of the</w:t>
      </w:r>
      <w:r w:rsidRPr="00285297">
        <w:rPr>
          <w:rFonts w:cstheme="minorHAnsi"/>
          <w:i/>
          <w:color w:val="000000" w:themeColor="text1"/>
          <w:lang w:val="en-US"/>
        </w:rPr>
        <w:t xml:space="preserve"> Local Government Act 1995</w:t>
      </w:r>
      <w:r w:rsidRPr="00285297">
        <w:rPr>
          <w:rFonts w:cstheme="minorHAnsi"/>
          <w:color w:val="000000" w:themeColor="text1"/>
          <w:lang w:val="en-US"/>
        </w:rPr>
        <w:t xml:space="preserve">. </w:t>
      </w:r>
    </w:p>
    <w:p w14:paraId="6B726CD7" w14:textId="77777777" w:rsidR="000A7EEA" w:rsidRPr="00B943C6" w:rsidRDefault="000A7EEA" w:rsidP="000A7EEA">
      <w:pPr>
        <w:spacing w:before="200" w:after="0"/>
        <w:rPr>
          <w:b/>
          <w:sz w:val="28"/>
          <w:szCs w:val="28"/>
          <w:lang w:val="en-US"/>
        </w:rPr>
      </w:pPr>
      <w:bookmarkStart w:id="149" w:name="_Toc520116948"/>
      <w:r w:rsidRPr="00B943C6">
        <w:rPr>
          <w:b/>
          <w:sz w:val="28"/>
          <w:szCs w:val="28"/>
          <w:lang w:val="en-US"/>
        </w:rPr>
        <w:t>Policy Scope</w:t>
      </w:r>
      <w:bookmarkEnd w:id="149"/>
    </w:p>
    <w:p w14:paraId="1FC67536" w14:textId="77777777" w:rsidR="000A7EEA" w:rsidRPr="00285297" w:rsidRDefault="000A7EEA" w:rsidP="000A7EEA">
      <w:pPr>
        <w:jc w:val="both"/>
        <w:rPr>
          <w:rFonts w:cstheme="minorHAnsi"/>
          <w:color w:val="000000" w:themeColor="text1"/>
        </w:rPr>
      </w:pPr>
      <w:r w:rsidRPr="00285297">
        <w:rPr>
          <w:rFonts w:cstheme="minorHAnsi"/>
          <w:color w:val="000000" w:themeColor="text1"/>
        </w:rPr>
        <w:t>This policy is applicable to local organisations and ratepayers within the Town of East Fremantle who are eligible for a charitable rate exemption.</w:t>
      </w:r>
    </w:p>
    <w:p w14:paraId="1B8B4AE6" w14:textId="77777777" w:rsidR="000A7EEA" w:rsidRPr="00B943C6" w:rsidRDefault="000A7EEA" w:rsidP="000A7EEA">
      <w:pPr>
        <w:spacing w:after="0"/>
        <w:rPr>
          <w:b/>
          <w:lang w:val="en-US"/>
        </w:rPr>
      </w:pPr>
      <w:r w:rsidRPr="00B943C6">
        <w:rPr>
          <w:b/>
          <w:lang w:val="en-US"/>
        </w:rPr>
        <w:t>Definitions</w:t>
      </w:r>
    </w:p>
    <w:p w14:paraId="49C50876" w14:textId="77777777" w:rsidR="000A7EEA" w:rsidRPr="00285297" w:rsidRDefault="000A7EEA" w:rsidP="000A7EEA">
      <w:pPr>
        <w:spacing w:before="60" w:after="60"/>
        <w:jc w:val="both"/>
        <w:rPr>
          <w:rFonts w:cstheme="minorHAnsi"/>
          <w:color w:val="000000" w:themeColor="text1"/>
          <w:lang w:val="en-US"/>
        </w:rPr>
      </w:pPr>
      <w:r w:rsidRPr="006F1399">
        <w:rPr>
          <w:rFonts w:cstheme="minorHAnsi"/>
          <w:i/>
          <w:color w:val="000000" w:themeColor="text1"/>
          <w:lang w:val="en-US"/>
        </w:rPr>
        <w:t>Charity</w:t>
      </w:r>
      <w:r w:rsidRPr="00285297">
        <w:rPr>
          <w:rFonts w:cstheme="minorHAnsi"/>
          <w:color w:val="000000" w:themeColor="text1"/>
          <w:lang w:val="en-US"/>
        </w:rPr>
        <w:t xml:space="preserve"> has the meaning given to it by the </w:t>
      </w:r>
      <w:r w:rsidRPr="00285297">
        <w:rPr>
          <w:rFonts w:cstheme="minorHAnsi"/>
          <w:i/>
          <w:color w:val="000000" w:themeColor="text1"/>
          <w:lang w:val="en-US"/>
        </w:rPr>
        <w:t>Charities Act 2013 (Commonwealth</w:t>
      </w:r>
      <w:proofErr w:type="gramStart"/>
      <w:r w:rsidRPr="00285297">
        <w:rPr>
          <w:rFonts w:cstheme="minorHAnsi"/>
          <w:i/>
          <w:color w:val="000000" w:themeColor="text1"/>
          <w:lang w:val="en-US"/>
        </w:rPr>
        <w:t>)</w:t>
      </w:r>
      <w:r w:rsidRPr="00285297">
        <w:rPr>
          <w:rFonts w:cstheme="minorHAnsi"/>
          <w:color w:val="000000" w:themeColor="text1"/>
          <w:lang w:val="en-US"/>
        </w:rPr>
        <w:t>;</w:t>
      </w:r>
      <w:proofErr w:type="gramEnd"/>
      <w:r w:rsidRPr="00285297">
        <w:rPr>
          <w:rFonts w:cstheme="minorHAnsi"/>
          <w:color w:val="000000" w:themeColor="text1"/>
          <w:lang w:val="en-US"/>
        </w:rPr>
        <w:t xml:space="preserve"> </w:t>
      </w:r>
    </w:p>
    <w:p w14:paraId="26E26578" w14:textId="77777777" w:rsidR="000A7EEA" w:rsidRPr="00285297" w:rsidRDefault="000A7EEA" w:rsidP="000A7EEA">
      <w:pPr>
        <w:jc w:val="both"/>
        <w:rPr>
          <w:rFonts w:cstheme="minorHAnsi"/>
          <w:color w:val="000000" w:themeColor="text1"/>
          <w:lang w:val="en-US"/>
        </w:rPr>
      </w:pPr>
      <w:r w:rsidRPr="006F1399">
        <w:rPr>
          <w:rFonts w:cstheme="minorHAnsi"/>
          <w:i/>
          <w:color w:val="000000" w:themeColor="text1"/>
          <w:lang w:val="en-US"/>
        </w:rPr>
        <w:t>Charitable purpose</w:t>
      </w:r>
      <w:r w:rsidRPr="00285297">
        <w:rPr>
          <w:rFonts w:cstheme="minorHAnsi"/>
          <w:color w:val="000000" w:themeColor="text1"/>
          <w:lang w:val="en-US"/>
        </w:rPr>
        <w:t xml:space="preserve"> has the meaning given to it by the </w:t>
      </w:r>
      <w:r w:rsidRPr="00285297">
        <w:rPr>
          <w:rFonts w:cstheme="minorHAnsi"/>
          <w:i/>
          <w:color w:val="000000" w:themeColor="text1"/>
          <w:lang w:val="en-US"/>
        </w:rPr>
        <w:t>Charities Act 2013 (Commonwealth).</w:t>
      </w:r>
    </w:p>
    <w:p w14:paraId="565B74D3" w14:textId="77777777" w:rsidR="000A7EEA" w:rsidRPr="00B943C6" w:rsidRDefault="000A7EEA" w:rsidP="000A7EEA">
      <w:pPr>
        <w:spacing w:after="0"/>
        <w:rPr>
          <w:b/>
          <w:sz w:val="28"/>
          <w:szCs w:val="28"/>
          <w:lang w:val="en-US"/>
        </w:rPr>
      </w:pPr>
      <w:bookmarkStart w:id="150" w:name="_Toc520116949"/>
      <w:r w:rsidRPr="00B943C6">
        <w:rPr>
          <w:b/>
          <w:sz w:val="28"/>
          <w:szCs w:val="28"/>
          <w:lang w:val="en-US"/>
        </w:rPr>
        <w:t>Policy</w:t>
      </w:r>
      <w:bookmarkEnd w:id="150"/>
      <w:r w:rsidRPr="00B943C6">
        <w:rPr>
          <w:b/>
          <w:sz w:val="28"/>
          <w:szCs w:val="28"/>
          <w:lang w:val="en-US"/>
        </w:rPr>
        <w:t xml:space="preserve"> </w:t>
      </w:r>
    </w:p>
    <w:p w14:paraId="0D9DA064" w14:textId="77777777" w:rsidR="000A7EEA" w:rsidRPr="00285297" w:rsidRDefault="000A7EEA" w:rsidP="000A7EEA">
      <w:pPr>
        <w:jc w:val="both"/>
        <w:rPr>
          <w:rFonts w:cstheme="minorHAnsi"/>
          <w:color w:val="000000" w:themeColor="text1"/>
          <w:lang w:val="en-US"/>
        </w:rPr>
      </w:pPr>
      <w:r w:rsidRPr="00285297">
        <w:rPr>
          <w:rFonts w:cstheme="minorHAnsi"/>
          <w:color w:val="000000" w:themeColor="text1"/>
          <w:lang w:val="en-US"/>
        </w:rPr>
        <w:t xml:space="preserve">Council is committed to adhering to the </w:t>
      </w:r>
      <w:r w:rsidRPr="00285297">
        <w:rPr>
          <w:rFonts w:cstheme="minorHAnsi"/>
          <w:i/>
          <w:color w:val="000000" w:themeColor="text1"/>
          <w:lang w:val="en-US"/>
        </w:rPr>
        <w:t>Local Government Act 1995</w:t>
      </w:r>
      <w:r w:rsidRPr="00285297">
        <w:rPr>
          <w:rFonts w:cstheme="minorHAnsi"/>
          <w:color w:val="000000" w:themeColor="text1"/>
          <w:lang w:val="en-US"/>
        </w:rPr>
        <w:t xml:space="preserve"> and providing guidance to applicants who apply for an exemption of local government land rates charges for charitable purposes. This policy relates to the charitable rates exemption to charitable </w:t>
      </w:r>
      <w:proofErr w:type="spellStart"/>
      <w:r w:rsidRPr="00285297">
        <w:rPr>
          <w:rFonts w:cstheme="minorHAnsi"/>
          <w:color w:val="000000" w:themeColor="text1"/>
          <w:lang w:val="en-US"/>
        </w:rPr>
        <w:t>organisations</w:t>
      </w:r>
      <w:proofErr w:type="spellEnd"/>
      <w:r w:rsidRPr="00285297">
        <w:rPr>
          <w:rFonts w:cstheme="minorHAnsi"/>
          <w:color w:val="000000" w:themeColor="text1"/>
          <w:lang w:val="en-US"/>
        </w:rPr>
        <w:t xml:space="preserve"> based within the Town that </w:t>
      </w:r>
      <w:proofErr w:type="gramStart"/>
      <w:r w:rsidRPr="00285297">
        <w:rPr>
          <w:rFonts w:cstheme="minorHAnsi"/>
          <w:color w:val="000000" w:themeColor="text1"/>
          <w:lang w:val="en-US"/>
        </w:rPr>
        <w:t>provide assistance to</w:t>
      </w:r>
      <w:proofErr w:type="gramEnd"/>
      <w:r w:rsidRPr="00285297">
        <w:rPr>
          <w:rFonts w:cstheme="minorHAnsi"/>
          <w:color w:val="000000" w:themeColor="text1"/>
          <w:lang w:val="en-US"/>
        </w:rPr>
        <w:t xml:space="preserve"> the Town </w:t>
      </w:r>
      <w:r>
        <w:rPr>
          <w:rFonts w:cstheme="minorHAnsi"/>
          <w:color w:val="000000" w:themeColor="text1"/>
          <w:lang w:val="en-US"/>
        </w:rPr>
        <w:t xml:space="preserve">and/or </w:t>
      </w:r>
      <w:r w:rsidRPr="00285297">
        <w:rPr>
          <w:rFonts w:cstheme="minorHAnsi"/>
          <w:color w:val="000000" w:themeColor="text1"/>
          <w:lang w:val="en-US"/>
        </w:rPr>
        <w:t>broader community.</w:t>
      </w:r>
    </w:p>
    <w:p w14:paraId="731ED8B8" w14:textId="77777777" w:rsidR="000A7EEA" w:rsidRPr="00B943C6" w:rsidRDefault="000A7EEA" w:rsidP="000A7EEA">
      <w:pPr>
        <w:spacing w:after="0"/>
        <w:rPr>
          <w:b/>
          <w:lang w:val="en-US"/>
        </w:rPr>
      </w:pPr>
      <w:r w:rsidRPr="00B943C6">
        <w:rPr>
          <w:b/>
          <w:lang w:val="en-US"/>
        </w:rPr>
        <w:t>Land Use</w:t>
      </w:r>
      <w:r>
        <w:rPr>
          <w:b/>
          <w:lang w:val="en-US"/>
        </w:rPr>
        <w:t xml:space="preserve"> – Exclusively for Charitable Purposes</w:t>
      </w:r>
    </w:p>
    <w:p w14:paraId="016CF41F" w14:textId="77777777" w:rsidR="000A7EEA" w:rsidRPr="00285297" w:rsidRDefault="000A7EEA" w:rsidP="000A7EEA">
      <w:pPr>
        <w:spacing w:after="60"/>
        <w:jc w:val="both"/>
        <w:rPr>
          <w:rFonts w:cstheme="minorHAnsi"/>
          <w:color w:val="000000" w:themeColor="text1"/>
          <w:lang w:val="en-US"/>
        </w:rPr>
      </w:pPr>
      <w:r w:rsidRPr="00285297">
        <w:rPr>
          <w:rFonts w:cstheme="minorHAnsi"/>
          <w:color w:val="000000" w:themeColor="text1"/>
          <w:lang w:val="en-US"/>
        </w:rPr>
        <w:t xml:space="preserve">The land use for which the charitable </w:t>
      </w:r>
      <w:proofErr w:type="spellStart"/>
      <w:r w:rsidRPr="00285297">
        <w:rPr>
          <w:rFonts w:cstheme="minorHAnsi"/>
          <w:color w:val="000000" w:themeColor="text1"/>
          <w:lang w:val="en-US"/>
        </w:rPr>
        <w:t>organisation</w:t>
      </w:r>
      <w:proofErr w:type="spellEnd"/>
      <w:r w:rsidRPr="00285297">
        <w:rPr>
          <w:rFonts w:cstheme="minorHAnsi"/>
          <w:color w:val="000000" w:themeColor="text1"/>
          <w:lang w:val="en-US"/>
        </w:rPr>
        <w:t xml:space="preserve"> is applying for an exemption under section </w:t>
      </w:r>
      <w:r w:rsidRPr="00285297">
        <w:rPr>
          <w:rFonts w:cstheme="minorHAnsi"/>
          <w:i/>
          <w:color w:val="000000" w:themeColor="text1"/>
          <w:lang w:val="en-US"/>
        </w:rPr>
        <w:t>6.26(2)</w:t>
      </w:r>
      <w:r>
        <w:rPr>
          <w:rFonts w:cstheme="minorHAnsi"/>
          <w:i/>
          <w:color w:val="000000" w:themeColor="text1"/>
          <w:lang w:val="en-US"/>
        </w:rPr>
        <w:t>(</w:t>
      </w:r>
      <w:r w:rsidRPr="00285297">
        <w:rPr>
          <w:rFonts w:cstheme="minorHAnsi"/>
          <w:i/>
          <w:color w:val="000000" w:themeColor="text1"/>
          <w:lang w:val="en-US"/>
        </w:rPr>
        <w:t>g) of the Local Government Act 1995</w:t>
      </w:r>
      <w:r w:rsidRPr="00285297">
        <w:rPr>
          <w:rFonts w:cstheme="minorHAnsi"/>
          <w:color w:val="000000" w:themeColor="text1"/>
          <w:lang w:val="en-US"/>
        </w:rPr>
        <w:t xml:space="preserve"> must be for the exclusive use for charitable purposes as defined in the </w:t>
      </w:r>
      <w:r w:rsidRPr="00285297">
        <w:rPr>
          <w:rFonts w:cstheme="minorHAnsi"/>
          <w:i/>
          <w:color w:val="000000" w:themeColor="text1"/>
          <w:lang w:val="en-US"/>
        </w:rPr>
        <w:t>Charities Act 2013</w:t>
      </w:r>
      <w:r w:rsidRPr="00285297">
        <w:rPr>
          <w:rFonts w:cstheme="minorHAnsi"/>
          <w:color w:val="000000" w:themeColor="text1"/>
          <w:lang w:val="en-US"/>
        </w:rPr>
        <w:t xml:space="preserve"> and these include:</w:t>
      </w:r>
    </w:p>
    <w:p w14:paraId="4BDE04AE" w14:textId="77777777" w:rsidR="000A7EEA" w:rsidRPr="00285297" w:rsidRDefault="000A7EEA" w:rsidP="000A7EEA">
      <w:pPr>
        <w:spacing w:after="60"/>
        <w:jc w:val="both"/>
        <w:rPr>
          <w:rFonts w:cstheme="minorHAnsi"/>
          <w:color w:val="000000" w:themeColor="text1"/>
          <w:lang w:val="en-US"/>
        </w:rPr>
      </w:pPr>
      <w:r w:rsidRPr="00285297">
        <w:rPr>
          <w:rFonts w:cstheme="minorHAnsi"/>
          <w:color w:val="000000" w:themeColor="text1"/>
          <w:lang w:val="en-US"/>
        </w:rPr>
        <w:t>(a)</w:t>
      </w:r>
      <w:r w:rsidRPr="00285297">
        <w:rPr>
          <w:rFonts w:cstheme="minorHAnsi"/>
          <w:color w:val="000000" w:themeColor="text1"/>
          <w:lang w:val="en-US"/>
        </w:rPr>
        <w:tab/>
        <w:t xml:space="preserve">the purpose of advancing </w:t>
      </w:r>
      <w:proofErr w:type="gramStart"/>
      <w:r w:rsidRPr="00285297">
        <w:rPr>
          <w:rFonts w:cstheme="minorHAnsi"/>
          <w:color w:val="000000" w:themeColor="text1"/>
          <w:lang w:val="en-US"/>
        </w:rPr>
        <w:t>health;</w:t>
      </w:r>
      <w:proofErr w:type="gramEnd"/>
    </w:p>
    <w:p w14:paraId="1F6662A0" w14:textId="77777777" w:rsidR="000A7EEA" w:rsidRPr="00285297" w:rsidRDefault="000A7EEA" w:rsidP="000A7EEA">
      <w:pPr>
        <w:spacing w:after="60"/>
        <w:jc w:val="both"/>
        <w:rPr>
          <w:rFonts w:cstheme="minorHAnsi"/>
          <w:color w:val="000000" w:themeColor="text1"/>
          <w:lang w:val="en-US"/>
        </w:rPr>
      </w:pPr>
      <w:r w:rsidRPr="00285297">
        <w:rPr>
          <w:rFonts w:cstheme="minorHAnsi"/>
          <w:color w:val="000000" w:themeColor="text1"/>
          <w:lang w:val="en-US"/>
        </w:rPr>
        <w:t>(b)</w:t>
      </w:r>
      <w:r w:rsidRPr="00285297">
        <w:rPr>
          <w:rFonts w:cstheme="minorHAnsi"/>
          <w:color w:val="000000" w:themeColor="text1"/>
          <w:lang w:val="en-US"/>
        </w:rPr>
        <w:tab/>
        <w:t xml:space="preserve">the purpose of advancing </w:t>
      </w:r>
      <w:proofErr w:type="gramStart"/>
      <w:r w:rsidRPr="00285297">
        <w:rPr>
          <w:rFonts w:cstheme="minorHAnsi"/>
          <w:color w:val="000000" w:themeColor="text1"/>
          <w:lang w:val="en-US"/>
        </w:rPr>
        <w:t>education;</w:t>
      </w:r>
      <w:proofErr w:type="gramEnd"/>
    </w:p>
    <w:p w14:paraId="35E26A25" w14:textId="77777777" w:rsidR="000A7EEA" w:rsidRPr="00285297" w:rsidRDefault="000A7EEA" w:rsidP="000A7EEA">
      <w:pPr>
        <w:spacing w:after="60"/>
        <w:jc w:val="both"/>
        <w:rPr>
          <w:rFonts w:cstheme="minorHAnsi"/>
          <w:color w:val="000000" w:themeColor="text1"/>
          <w:lang w:val="en-US"/>
        </w:rPr>
      </w:pPr>
      <w:r w:rsidRPr="00285297">
        <w:rPr>
          <w:rFonts w:cstheme="minorHAnsi"/>
          <w:color w:val="000000" w:themeColor="text1"/>
          <w:lang w:val="en-US"/>
        </w:rPr>
        <w:t>(c)</w:t>
      </w:r>
      <w:r w:rsidRPr="00285297">
        <w:rPr>
          <w:rFonts w:cstheme="minorHAnsi"/>
          <w:color w:val="000000" w:themeColor="text1"/>
          <w:lang w:val="en-US"/>
        </w:rPr>
        <w:tab/>
        <w:t xml:space="preserve">the purpose of advancing social or public </w:t>
      </w:r>
      <w:proofErr w:type="gramStart"/>
      <w:r w:rsidRPr="00285297">
        <w:rPr>
          <w:rFonts w:cstheme="minorHAnsi"/>
          <w:color w:val="000000" w:themeColor="text1"/>
          <w:lang w:val="en-US"/>
        </w:rPr>
        <w:t>welfare;</w:t>
      </w:r>
      <w:proofErr w:type="gramEnd"/>
    </w:p>
    <w:p w14:paraId="4A0ED4FF" w14:textId="77777777" w:rsidR="000A7EEA" w:rsidRPr="00285297" w:rsidRDefault="000A7EEA" w:rsidP="000A7EEA">
      <w:pPr>
        <w:spacing w:after="60"/>
        <w:jc w:val="both"/>
        <w:rPr>
          <w:rFonts w:cstheme="minorHAnsi"/>
          <w:color w:val="000000" w:themeColor="text1"/>
          <w:lang w:val="en-US"/>
        </w:rPr>
      </w:pPr>
      <w:r w:rsidRPr="00285297">
        <w:rPr>
          <w:rFonts w:cstheme="minorHAnsi"/>
          <w:color w:val="000000" w:themeColor="text1"/>
          <w:lang w:val="en-US"/>
        </w:rPr>
        <w:t>(d)</w:t>
      </w:r>
      <w:r w:rsidRPr="00285297">
        <w:rPr>
          <w:rFonts w:cstheme="minorHAnsi"/>
          <w:color w:val="000000" w:themeColor="text1"/>
          <w:lang w:val="en-US"/>
        </w:rPr>
        <w:tab/>
        <w:t xml:space="preserve">the purpose of advancing </w:t>
      </w:r>
      <w:proofErr w:type="gramStart"/>
      <w:r w:rsidRPr="00285297">
        <w:rPr>
          <w:rFonts w:cstheme="minorHAnsi"/>
          <w:color w:val="000000" w:themeColor="text1"/>
          <w:lang w:val="en-US"/>
        </w:rPr>
        <w:t>religion;</w:t>
      </w:r>
      <w:proofErr w:type="gramEnd"/>
    </w:p>
    <w:p w14:paraId="360E2662" w14:textId="77777777" w:rsidR="000A7EEA" w:rsidRPr="00285297" w:rsidRDefault="000A7EEA" w:rsidP="000A7EEA">
      <w:pPr>
        <w:spacing w:after="60"/>
        <w:jc w:val="both"/>
        <w:rPr>
          <w:rFonts w:cstheme="minorHAnsi"/>
          <w:color w:val="000000" w:themeColor="text1"/>
          <w:lang w:val="en-US"/>
        </w:rPr>
      </w:pPr>
      <w:r w:rsidRPr="00285297">
        <w:rPr>
          <w:rFonts w:cstheme="minorHAnsi"/>
          <w:color w:val="000000" w:themeColor="text1"/>
          <w:lang w:val="en-US"/>
        </w:rPr>
        <w:t>(e)</w:t>
      </w:r>
      <w:r w:rsidRPr="00285297">
        <w:rPr>
          <w:rFonts w:cstheme="minorHAnsi"/>
          <w:color w:val="000000" w:themeColor="text1"/>
          <w:lang w:val="en-US"/>
        </w:rPr>
        <w:tab/>
        <w:t xml:space="preserve">the purpose of advancing </w:t>
      </w:r>
      <w:proofErr w:type="gramStart"/>
      <w:r w:rsidRPr="00285297">
        <w:rPr>
          <w:rFonts w:cstheme="minorHAnsi"/>
          <w:color w:val="000000" w:themeColor="text1"/>
          <w:lang w:val="en-US"/>
        </w:rPr>
        <w:t>culture;</w:t>
      </w:r>
      <w:proofErr w:type="gramEnd"/>
    </w:p>
    <w:p w14:paraId="57E35F15" w14:textId="77777777" w:rsidR="000A7EEA" w:rsidRPr="00285297" w:rsidRDefault="000A7EEA" w:rsidP="000A7EEA">
      <w:pPr>
        <w:spacing w:after="60"/>
        <w:ind w:left="720" w:hanging="720"/>
        <w:jc w:val="both"/>
        <w:rPr>
          <w:rFonts w:cstheme="minorHAnsi"/>
          <w:color w:val="000000" w:themeColor="text1"/>
          <w:lang w:val="en-US"/>
        </w:rPr>
      </w:pPr>
      <w:r w:rsidRPr="00285297">
        <w:rPr>
          <w:rFonts w:cstheme="minorHAnsi"/>
          <w:color w:val="000000" w:themeColor="text1"/>
          <w:lang w:val="en-US"/>
        </w:rPr>
        <w:t>(f)</w:t>
      </w:r>
      <w:r w:rsidRPr="00285297">
        <w:rPr>
          <w:rFonts w:cstheme="minorHAnsi"/>
          <w:color w:val="000000" w:themeColor="text1"/>
          <w:lang w:val="en-US"/>
        </w:rPr>
        <w:tab/>
        <w:t xml:space="preserve">the purpose of promoting reconciliation, mutual respect and tolerance between groups of individuals that are in </w:t>
      </w:r>
      <w:proofErr w:type="gramStart"/>
      <w:r w:rsidRPr="00285297">
        <w:rPr>
          <w:rFonts w:cstheme="minorHAnsi"/>
          <w:color w:val="000000" w:themeColor="text1"/>
          <w:lang w:val="en-US"/>
        </w:rPr>
        <w:t>Australia;</w:t>
      </w:r>
      <w:proofErr w:type="gramEnd"/>
    </w:p>
    <w:p w14:paraId="48C38E88" w14:textId="77777777" w:rsidR="000A7EEA" w:rsidRPr="00285297" w:rsidRDefault="000A7EEA" w:rsidP="000A7EEA">
      <w:pPr>
        <w:spacing w:after="60"/>
        <w:jc w:val="both"/>
        <w:rPr>
          <w:rFonts w:cstheme="minorHAnsi"/>
          <w:color w:val="000000" w:themeColor="text1"/>
          <w:lang w:val="en-US"/>
        </w:rPr>
      </w:pPr>
      <w:r w:rsidRPr="00285297">
        <w:rPr>
          <w:rFonts w:cstheme="minorHAnsi"/>
          <w:color w:val="000000" w:themeColor="text1"/>
          <w:lang w:val="en-US"/>
        </w:rPr>
        <w:t>(g)</w:t>
      </w:r>
      <w:r w:rsidRPr="00285297">
        <w:rPr>
          <w:rFonts w:cstheme="minorHAnsi"/>
          <w:color w:val="000000" w:themeColor="text1"/>
          <w:lang w:val="en-US"/>
        </w:rPr>
        <w:tab/>
        <w:t xml:space="preserve">the purpose of promoting or protecting human </w:t>
      </w:r>
      <w:proofErr w:type="gramStart"/>
      <w:r w:rsidRPr="00285297">
        <w:rPr>
          <w:rFonts w:cstheme="minorHAnsi"/>
          <w:color w:val="000000" w:themeColor="text1"/>
          <w:lang w:val="en-US"/>
        </w:rPr>
        <w:t>rights;</w:t>
      </w:r>
      <w:proofErr w:type="gramEnd"/>
    </w:p>
    <w:p w14:paraId="113FD273" w14:textId="77777777" w:rsidR="000A7EEA" w:rsidRPr="00285297" w:rsidRDefault="000A7EEA" w:rsidP="000A7EEA">
      <w:pPr>
        <w:spacing w:after="60"/>
        <w:ind w:left="709" w:hanging="709"/>
        <w:jc w:val="both"/>
        <w:rPr>
          <w:rFonts w:cstheme="minorHAnsi"/>
          <w:color w:val="000000" w:themeColor="text1"/>
          <w:lang w:val="en-US"/>
        </w:rPr>
      </w:pPr>
      <w:r w:rsidRPr="00285297">
        <w:rPr>
          <w:rFonts w:cstheme="minorHAnsi"/>
          <w:color w:val="000000" w:themeColor="text1"/>
          <w:lang w:val="en-US"/>
        </w:rPr>
        <w:t>(h)</w:t>
      </w:r>
      <w:r w:rsidRPr="00285297">
        <w:rPr>
          <w:rFonts w:cstheme="minorHAnsi"/>
          <w:color w:val="000000" w:themeColor="text1"/>
          <w:lang w:val="en-US"/>
        </w:rPr>
        <w:tab/>
        <w:t xml:space="preserve">the purpose of advancing the security or safety of Australia or the Australian </w:t>
      </w:r>
      <w:proofErr w:type="gramStart"/>
      <w:r w:rsidRPr="00285297">
        <w:rPr>
          <w:rFonts w:cstheme="minorHAnsi"/>
          <w:color w:val="000000" w:themeColor="text1"/>
          <w:lang w:val="en-US"/>
        </w:rPr>
        <w:t>public;</w:t>
      </w:r>
      <w:proofErr w:type="gramEnd"/>
    </w:p>
    <w:p w14:paraId="58792D7D" w14:textId="77777777" w:rsidR="000A7EEA" w:rsidRPr="00285297" w:rsidRDefault="000A7EEA" w:rsidP="000A7EEA">
      <w:pPr>
        <w:spacing w:after="60"/>
        <w:jc w:val="both"/>
        <w:rPr>
          <w:rFonts w:cstheme="minorHAnsi"/>
          <w:color w:val="000000" w:themeColor="text1"/>
          <w:lang w:val="en-US"/>
        </w:rPr>
      </w:pPr>
      <w:r w:rsidRPr="00285297">
        <w:rPr>
          <w:rFonts w:cstheme="minorHAnsi"/>
          <w:color w:val="000000" w:themeColor="text1"/>
          <w:lang w:val="en-US"/>
        </w:rPr>
        <w:t>(</w:t>
      </w:r>
      <w:proofErr w:type="spellStart"/>
      <w:r w:rsidRPr="00285297">
        <w:rPr>
          <w:rFonts w:cstheme="minorHAnsi"/>
          <w:color w:val="000000" w:themeColor="text1"/>
          <w:lang w:val="en-US"/>
        </w:rPr>
        <w:t>i</w:t>
      </w:r>
      <w:proofErr w:type="spellEnd"/>
      <w:r w:rsidRPr="00285297">
        <w:rPr>
          <w:rFonts w:cstheme="minorHAnsi"/>
          <w:color w:val="000000" w:themeColor="text1"/>
          <w:lang w:val="en-US"/>
        </w:rPr>
        <w:t>)</w:t>
      </w:r>
      <w:r w:rsidRPr="00285297">
        <w:rPr>
          <w:rFonts w:cstheme="minorHAnsi"/>
          <w:color w:val="000000" w:themeColor="text1"/>
          <w:lang w:val="en-US"/>
        </w:rPr>
        <w:tab/>
        <w:t xml:space="preserve">the purpose of preventing or relieving the suffering of </w:t>
      </w:r>
      <w:proofErr w:type="gramStart"/>
      <w:r w:rsidRPr="00285297">
        <w:rPr>
          <w:rFonts w:cstheme="minorHAnsi"/>
          <w:color w:val="000000" w:themeColor="text1"/>
          <w:lang w:val="en-US"/>
        </w:rPr>
        <w:t>animals;</w:t>
      </w:r>
      <w:proofErr w:type="gramEnd"/>
    </w:p>
    <w:p w14:paraId="3BD2F897" w14:textId="77777777" w:rsidR="000A7EEA" w:rsidRPr="00285297" w:rsidRDefault="000A7EEA" w:rsidP="000A7EEA">
      <w:pPr>
        <w:spacing w:after="60"/>
        <w:jc w:val="both"/>
        <w:rPr>
          <w:rFonts w:cstheme="minorHAnsi"/>
          <w:color w:val="000000" w:themeColor="text1"/>
          <w:lang w:val="en-US"/>
        </w:rPr>
      </w:pPr>
      <w:r w:rsidRPr="00285297">
        <w:rPr>
          <w:rFonts w:cstheme="minorHAnsi"/>
          <w:color w:val="000000" w:themeColor="text1"/>
          <w:lang w:val="en-US"/>
        </w:rPr>
        <w:t>(j)</w:t>
      </w:r>
      <w:r w:rsidRPr="00285297">
        <w:rPr>
          <w:rFonts w:cstheme="minorHAnsi"/>
          <w:color w:val="000000" w:themeColor="text1"/>
          <w:lang w:val="en-US"/>
        </w:rPr>
        <w:tab/>
        <w:t>the purpose of advancing the natural environment; or</w:t>
      </w:r>
    </w:p>
    <w:p w14:paraId="27978D14" w14:textId="77777777" w:rsidR="000A7EEA" w:rsidRPr="00285297" w:rsidRDefault="000A7EEA" w:rsidP="000A7EEA">
      <w:pPr>
        <w:spacing w:after="60"/>
        <w:ind w:left="720" w:hanging="720"/>
        <w:jc w:val="both"/>
        <w:rPr>
          <w:rFonts w:cstheme="minorHAnsi"/>
          <w:color w:val="000000" w:themeColor="text1"/>
          <w:lang w:val="en-US"/>
        </w:rPr>
      </w:pPr>
      <w:r w:rsidRPr="00285297">
        <w:rPr>
          <w:rFonts w:cstheme="minorHAnsi"/>
          <w:color w:val="000000" w:themeColor="text1"/>
          <w:lang w:val="en-US"/>
        </w:rPr>
        <w:lastRenderedPageBreak/>
        <w:t>(k)</w:t>
      </w:r>
      <w:r w:rsidRPr="00285297">
        <w:rPr>
          <w:rFonts w:cstheme="minorHAnsi"/>
          <w:color w:val="000000" w:themeColor="text1"/>
          <w:lang w:val="en-US"/>
        </w:rPr>
        <w:tab/>
        <w:t xml:space="preserve">any other purpose beneficial to the </w:t>
      </w:r>
      <w:proofErr w:type="gramStart"/>
      <w:r w:rsidRPr="00285297">
        <w:rPr>
          <w:rFonts w:cstheme="minorHAnsi"/>
          <w:color w:val="000000" w:themeColor="text1"/>
          <w:lang w:val="en-US"/>
        </w:rPr>
        <w:t>general public</w:t>
      </w:r>
      <w:proofErr w:type="gramEnd"/>
      <w:r w:rsidRPr="00285297">
        <w:rPr>
          <w:rFonts w:cstheme="minorHAnsi"/>
          <w:color w:val="000000" w:themeColor="text1"/>
          <w:lang w:val="en-US"/>
        </w:rPr>
        <w:t xml:space="preserve"> that may reasonably be regarded as analogous to, or within the spirit of, any of the purposes mentioned in paragraphs (a) to (j); and</w:t>
      </w:r>
    </w:p>
    <w:p w14:paraId="7C0BF208" w14:textId="77777777" w:rsidR="000A7EEA" w:rsidRPr="00285297" w:rsidRDefault="000A7EEA" w:rsidP="000A7EEA">
      <w:pPr>
        <w:jc w:val="both"/>
        <w:rPr>
          <w:rFonts w:cstheme="minorHAnsi"/>
          <w:color w:val="000000" w:themeColor="text1"/>
          <w:lang w:val="en-US"/>
        </w:rPr>
      </w:pPr>
      <w:r>
        <w:rPr>
          <w:rFonts w:cstheme="minorHAnsi"/>
          <w:color w:val="000000" w:themeColor="text1"/>
          <w:lang w:val="en-US"/>
        </w:rPr>
        <w:t>m</w:t>
      </w:r>
      <w:r w:rsidRPr="00285297">
        <w:rPr>
          <w:rFonts w:cstheme="minorHAnsi"/>
          <w:color w:val="000000" w:themeColor="text1"/>
          <w:lang w:val="en-US"/>
        </w:rPr>
        <w:t xml:space="preserve">ust not be a disqualifying purpose under the meaning given by the </w:t>
      </w:r>
      <w:r w:rsidRPr="00285297">
        <w:rPr>
          <w:rFonts w:cstheme="minorHAnsi"/>
          <w:i/>
          <w:color w:val="000000" w:themeColor="text1"/>
          <w:lang w:val="en-US"/>
        </w:rPr>
        <w:t>Charities Act 2013</w:t>
      </w:r>
      <w:r w:rsidRPr="00285297">
        <w:rPr>
          <w:rFonts w:cstheme="minorHAnsi"/>
          <w:color w:val="000000" w:themeColor="text1"/>
          <w:lang w:val="en-US"/>
        </w:rPr>
        <w:t xml:space="preserve"> (Commonwealth).</w:t>
      </w:r>
    </w:p>
    <w:p w14:paraId="71511ED4" w14:textId="77777777" w:rsidR="000A7EEA" w:rsidRPr="00B943C6" w:rsidRDefault="000A7EEA" w:rsidP="000A7EEA">
      <w:pPr>
        <w:spacing w:after="0"/>
        <w:rPr>
          <w:b/>
        </w:rPr>
      </w:pPr>
      <w:bookmarkStart w:id="151" w:name="_Toc520116950"/>
      <w:r w:rsidRPr="00B943C6">
        <w:rPr>
          <w:b/>
        </w:rPr>
        <w:t>Application for Rate Exemption</w:t>
      </w:r>
      <w:bookmarkEnd w:id="151"/>
    </w:p>
    <w:p w14:paraId="5018AA05" w14:textId="77777777" w:rsidR="000A7EEA" w:rsidRDefault="000A7EEA" w:rsidP="000A7EEA">
      <w:pPr>
        <w:jc w:val="both"/>
        <w:rPr>
          <w:rFonts w:cstheme="minorHAnsi"/>
          <w:color w:val="000000" w:themeColor="text1"/>
        </w:rPr>
      </w:pPr>
      <w:r w:rsidRPr="00285297">
        <w:rPr>
          <w:rFonts w:cstheme="minorHAnsi"/>
          <w:color w:val="000000" w:themeColor="text1"/>
        </w:rPr>
        <w:t xml:space="preserve">To be considered by the Town for approval, each application for a charitable rate exemption under </w:t>
      </w:r>
      <w:r w:rsidRPr="00285297">
        <w:rPr>
          <w:rFonts w:cstheme="minorHAnsi"/>
          <w:i/>
          <w:color w:val="000000" w:themeColor="text1"/>
        </w:rPr>
        <w:t>section 6.26(2)(g) of the Local Government Act 1995</w:t>
      </w:r>
      <w:r w:rsidRPr="00285297">
        <w:rPr>
          <w:rFonts w:cstheme="minorHAnsi"/>
          <w:color w:val="000000" w:themeColor="text1"/>
        </w:rPr>
        <w:t xml:space="preserve"> must be made in writing by completing an Application for Rate Exemption form.</w:t>
      </w:r>
    </w:p>
    <w:p w14:paraId="5D3F5729" w14:textId="77777777" w:rsidR="000A7EEA" w:rsidRDefault="000A7EEA" w:rsidP="000A7EEA">
      <w:pPr>
        <w:spacing w:after="0"/>
        <w:rPr>
          <w:b/>
        </w:rPr>
      </w:pPr>
      <w:r>
        <w:rPr>
          <w:b/>
        </w:rPr>
        <w:t>Review of Rates Exemption.</w:t>
      </w:r>
    </w:p>
    <w:p w14:paraId="61FF9576" w14:textId="77777777" w:rsidR="000A7EEA" w:rsidRDefault="000A7EEA" w:rsidP="000A7EEA">
      <w:pPr>
        <w:jc w:val="both"/>
      </w:pPr>
      <w:r w:rsidRPr="0006610C">
        <w:t>In accordance with this policy</w:t>
      </w:r>
      <w:r>
        <w:t>,</w:t>
      </w:r>
      <w:r w:rsidRPr="0006610C">
        <w:t xml:space="preserve"> it is a requirement for organisations who have been approved for rates exemption to reapply for a rate exemption</w:t>
      </w:r>
      <w:r>
        <w:t xml:space="preserve"> every two years. </w:t>
      </w:r>
    </w:p>
    <w:p w14:paraId="2515BA58" w14:textId="77777777" w:rsidR="000A7EEA" w:rsidRPr="00285297" w:rsidRDefault="000A7EEA" w:rsidP="000A7EEA">
      <w:pPr>
        <w:spacing w:before="200" w:after="0"/>
        <w:jc w:val="both"/>
        <w:rPr>
          <w:rFonts w:cstheme="minorHAnsi"/>
          <w:color w:val="000000" w:themeColor="text1"/>
          <w:lang w:val="en-US"/>
        </w:rPr>
      </w:pPr>
      <w:r>
        <w:t xml:space="preserve">Applications should be submitted in May of the year the approval ends to ensure continuation can occur upon approval.  </w:t>
      </w:r>
      <w:r w:rsidRPr="00285297">
        <w:rPr>
          <w:rFonts w:cstheme="minorHAnsi"/>
          <w:color w:val="000000" w:themeColor="text1"/>
          <w:lang w:val="en-US"/>
        </w:rPr>
        <w:t xml:space="preserve">Correct forms must be </w:t>
      </w:r>
      <w:proofErr w:type="gramStart"/>
      <w:r w:rsidRPr="00285297">
        <w:rPr>
          <w:rFonts w:cstheme="minorHAnsi"/>
          <w:color w:val="000000" w:themeColor="text1"/>
          <w:lang w:val="en-US"/>
        </w:rPr>
        <w:t>used</w:t>
      </w:r>
      <w:proofErr w:type="gramEnd"/>
      <w:r w:rsidRPr="00285297">
        <w:rPr>
          <w:rFonts w:cstheme="minorHAnsi"/>
          <w:color w:val="000000" w:themeColor="text1"/>
          <w:lang w:val="en-US"/>
        </w:rPr>
        <w:t xml:space="preserve"> and these can be acquired by contacting the Town of East Fremantle Rates Section. </w:t>
      </w:r>
    </w:p>
    <w:p w14:paraId="4D9A79B7" w14:textId="77777777" w:rsidR="000A7EEA" w:rsidRDefault="000A7EEA" w:rsidP="000A7EEA"/>
    <w:p w14:paraId="3A3C40B7" w14:textId="77777777" w:rsidR="000A7EEA" w:rsidRDefault="000A7EEA" w:rsidP="000A7EEA">
      <w:pPr>
        <w:jc w:val="both"/>
      </w:pPr>
      <w:r>
        <w:t xml:space="preserve">Where the land use supporting the exemption is altered to no longer support a charitable exemption, applicants are to inform the Town within 14 days </w:t>
      </w:r>
      <w:proofErr w:type="gramStart"/>
      <w:r>
        <w:t>so as to</w:t>
      </w:r>
      <w:proofErr w:type="gramEnd"/>
      <w:r>
        <w:t xml:space="preserve"> update the rate record</w:t>
      </w:r>
      <w:r w:rsidRPr="0006610C">
        <w:t xml:space="preserve"> </w:t>
      </w:r>
    </w:p>
    <w:p w14:paraId="348B8127" w14:textId="77777777" w:rsidR="000A7EEA" w:rsidRDefault="000A7EEA" w:rsidP="000A7EEA">
      <w:pPr>
        <w:spacing w:after="0"/>
        <w:jc w:val="both"/>
        <w:rPr>
          <w:b/>
        </w:rPr>
      </w:pPr>
      <w:r>
        <w:rPr>
          <w:b/>
        </w:rPr>
        <w:t xml:space="preserve">Delegation </w:t>
      </w:r>
    </w:p>
    <w:p w14:paraId="66E67262" w14:textId="77777777" w:rsidR="000A7EEA" w:rsidRPr="0006610C" w:rsidRDefault="000A7EEA" w:rsidP="000A7EEA">
      <w:pPr>
        <w:jc w:val="both"/>
      </w:pPr>
      <w:r w:rsidRPr="0006610C">
        <w:t>This policy allows the Council of the Town of East Fremantle to delegate to the Chief Executive Officer and any of its powers under the Act to approve applications for Rates Exemptions.</w:t>
      </w:r>
    </w:p>
    <w:p w14:paraId="31BF02CD" w14:textId="77777777" w:rsidR="000A7EEA" w:rsidRPr="00B943C6" w:rsidRDefault="000A7EEA" w:rsidP="000A7EEA">
      <w:pPr>
        <w:spacing w:after="0"/>
        <w:rPr>
          <w:b/>
        </w:rPr>
      </w:pPr>
    </w:p>
    <w:p w14:paraId="07DB4D37" w14:textId="77777777" w:rsidR="000A7EEA" w:rsidRDefault="000A7EEA" w:rsidP="000A7EEA">
      <w:pPr>
        <w:spacing w:after="0"/>
        <w:jc w:val="both"/>
        <w:rPr>
          <w:rFonts w:cstheme="minorHAnsi"/>
          <w:color w:val="000000" w:themeColor="text1"/>
          <w:lang w:val="en-US"/>
        </w:rPr>
      </w:pPr>
    </w:p>
    <w:p w14:paraId="032DE930" w14:textId="77777777" w:rsidR="000A7EEA" w:rsidRPr="00285297" w:rsidRDefault="000A7EEA" w:rsidP="000A7EEA">
      <w:pPr>
        <w:spacing w:after="0"/>
        <w:jc w:val="both"/>
        <w:rPr>
          <w:rFonts w:cstheme="minorHAnsi"/>
          <w:color w:val="000000" w:themeColor="text1"/>
          <w:lang w:val="en-US"/>
        </w:rPr>
      </w:pPr>
    </w:p>
    <w:tbl>
      <w:tblPr>
        <w:tblStyle w:val="TableGrid"/>
        <w:tblW w:w="9360" w:type="dxa"/>
        <w:tblLayout w:type="fixed"/>
        <w:tblLook w:val="04A0" w:firstRow="1" w:lastRow="0" w:firstColumn="1" w:lastColumn="0" w:noHBand="0" w:noVBand="1"/>
      </w:tblPr>
      <w:tblGrid>
        <w:gridCol w:w="3349"/>
        <w:gridCol w:w="6011"/>
      </w:tblGrid>
      <w:tr w:rsidR="000A7EEA" w:rsidRPr="00285297" w14:paraId="479BFB71" w14:textId="77777777" w:rsidTr="00F27A79">
        <w:trPr>
          <w:trHeight w:val="290"/>
        </w:trPr>
        <w:tc>
          <w:tcPr>
            <w:tcW w:w="3349" w:type="dxa"/>
            <w:vAlign w:val="center"/>
          </w:tcPr>
          <w:p w14:paraId="13577E61"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Responsible Directorate:</w:t>
            </w:r>
          </w:p>
        </w:tc>
        <w:tc>
          <w:tcPr>
            <w:tcW w:w="6011" w:type="dxa"/>
            <w:vAlign w:val="center"/>
          </w:tcPr>
          <w:p w14:paraId="1E97FB9A" w14:textId="77777777" w:rsidR="000A7EEA" w:rsidRPr="00285297" w:rsidRDefault="000A7EEA" w:rsidP="00F27A79">
            <w:pPr>
              <w:jc w:val="both"/>
              <w:rPr>
                <w:rFonts w:cstheme="minorHAnsi"/>
                <w:color w:val="000000" w:themeColor="text1"/>
                <w:lang w:val="en-US"/>
              </w:rPr>
            </w:pPr>
            <w:r w:rsidRPr="00285297">
              <w:rPr>
                <w:rFonts w:cstheme="minorHAnsi"/>
                <w:color w:val="000000" w:themeColor="text1"/>
                <w:lang w:val="en-US"/>
              </w:rPr>
              <w:t xml:space="preserve">Corporate Services  </w:t>
            </w:r>
          </w:p>
        </w:tc>
      </w:tr>
      <w:tr w:rsidR="000A7EEA" w:rsidRPr="00285297" w14:paraId="1CBA694C" w14:textId="77777777" w:rsidTr="00F27A79">
        <w:trPr>
          <w:trHeight w:val="267"/>
        </w:trPr>
        <w:tc>
          <w:tcPr>
            <w:tcW w:w="3349" w:type="dxa"/>
            <w:vAlign w:val="center"/>
          </w:tcPr>
          <w:p w14:paraId="4609F63E"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Reviewing Officer:</w:t>
            </w:r>
          </w:p>
        </w:tc>
        <w:tc>
          <w:tcPr>
            <w:tcW w:w="6011" w:type="dxa"/>
            <w:vAlign w:val="center"/>
          </w:tcPr>
          <w:p w14:paraId="07387A59" w14:textId="77777777" w:rsidR="000A7EEA" w:rsidRPr="00285297" w:rsidRDefault="000A7EEA" w:rsidP="00F27A79">
            <w:pPr>
              <w:jc w:val="both"/>
              <w:rPr>
                <w:rFonts w:cstheme="minorHAnsi"/>
                <w:color w:val="000000" w:themeColor="text1"/>
                <w:lang w:val="en-US"/>
              </w:rPr>
            </w:pPr>
            <w:r w:rsidRPr="00285297">
              <w:rPr>
                <w:rFonts w:cstheme="minorHAnsi"/>
                <w:color w:val="000000" w:themeColor="text1"/>
                <w:lang w:val="en-US"/>
              </w:rPr>
              <w:t xml:space="preserve">Manager Corporate Services </w:t>
            </w:r>
          </w:p>
        </w:tc>
      </w:tr>
      <w:tr w:rsidR="000A7EEA" w:rsidRPr="00285297" w14:paraId="2ED02324" w14:textId="77777777" w:rsidTr="00F27A79">
        <w:trPr>
          <w:trHeight w:val="284"/>
        </w:trPr>
        <w:tc>
          <w:tcPr>
            <w:tcW w:w="3349" w:type="dxa"/>
            <w:vAlign w:val="center"/>
          </w:tcPr>
          <w:p w14:paraId="36664E98"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Decision making Authority:</w:t>
            </w:r>
          </w:p>
        </w:tc>
        <w:tc>
          <w:tcPr>
            <w:tcW w:w="6011" w:type="dxa"/>
            <w:vAlign w:val="center"/>
          </w:tcPr>
          <w:p w14:paraId="0DE1E9B9" w14:textId="77777777" w:rsidR="000A7EEA" w:rsidRPr="00285297" w:rsidRDefault="000A7EEA" w:rsidP="00F27A79">
            <w:pPr>
              <w:jc w:val="both"/>
              <w:rPr>
                <w:rFonts w:cstheme="minorHAnsi"/>
                <w:color w:val="000000" w:themeColor="text1"/>
                <w:lang w:val="en-US"/>
              </w:rPr>
            </w:pPr>
            <w:r w:rsidRPr="00285297">
              <w:rPr>
                <w:rFonts w:cstheme="minorHAnsi"/>
                <w:color w:val="000000" w:themeColor="text1"/>
                <w:lang w:val="en-US"/>
              </w:rPr>
              <w:t>Council</w:t>
            </w:r>
          </w:p>
        </w:tc>
      </w:tr>
      <w:tr w:rsidR="000A7EEA" w:rsidRPr="00285297" w14:paraId="15C04B45" w14:textId="77777777" w:rsidTr="00F27A79">
        <w:trPr>
          <w:trHeight w:val="261"/>
        </w:trPr>
        <w:tc>
          <w:tcPr>
            <w:tcW w:w="3349" w:type="dxa"/>
            <w:vAlign w:val="center"/>
          </w:tcPr>
          <w:p w14:paraId="01E0FA1E"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Policy Adopted:</w:t>
            </w:r>
          </w:p>
        </w:tc>
        <w:tc>
          <w:tcPr>
            <w:tcW w:w="6011" w:type="dxa"/>
            <w:vAlign w:val="center"/>
          </w:tcPr>
          <w:p w14:paraId="2EE802CD" w14:textId="77777777" w:rsidR="000A7EEA" w:rsidRPr="00285297" w:rsidRDefault="000A7EEA" w:rsidP="00F27A79">
            <w:pPr>
              <w:jc w:val="both"/>
              <w:rPr>
                <w:rFonts w:cstheme="minorHAnsi"/>
                <w:color w:val="000000" w:themeColor="text1"/>
                <w:lang w:val="en-US"/>
              </w:rPr>
            </w:pPr>
            <w:r>
              <w:rPr>
                <w:rFonts w:cstheme="minorHAnsi"/>
                <w:color w:val="000000" w:themeColor="text1"/>
                <w:lang w:val="en-US"/>
              </w:rPr>
              <w:t>21/08/18</w:t>
            </w:r>
          </w:p>
        </w:tc>
      </w:tr>
      <w:tr w:rsidR="000A7EEA" w:rsidRPr="00285297" w14:paraId="34C1D2C2" w14:textId="77777777" w:rsidTr="00F27A79">
        <w:trPr>
          <w:trHeight w:val="279"/>
        </w:trPr>
        <w:tc>
          <w:tcPr>
            <w:tcW w:w="3349" w:type="dxa"/>
            <w:vAlign w:val="center"/>
          </w:tcPr>
          <w:p w14:paraId="0D14438D"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Policy Amended/Reviewed:</w:t>
            </w:r>
          </w:p>
        </w:tc>
        <w:tc>
          <w:tcPr>
            <w:tcW w:w="6011" w:type="dxa"/>
            <w:vAlign w:val="center"/>
          </w:tcPr>
          <w:p w14:paraId="5D703583" w14:textId="77777777" w:rsidR="000A7EEA" w:rsidRPr="00285297" w:rsidRDefault="000A7EEA" w:rsidP="00F27A79">
            <w:pPr>
              <w:jc w:val="both"/>
              <w:rPr>
                <w:rFonts w:cstheme="minorHAnsi"/>
                <w:color w:val="000000" w:themeColor="text1"/>
                <w:lang w:val="en-US"/>
              </w:rPr>
            </w:pPr>
            <w:r>
              <w:rPr>
                <w:rFonts w:cstheme="minorHAnsi"/>
                <w:color w:val="000000" w:themeColor="text1"/>
                <w:lang w:val="en-US"/>
              </w:rPr>
              <w:t>16/07/19, 17/9/19, 19/7/22</w:t>
            </w:r>
          </w:p>
        </w:tc>
      </w:tr>
      <w:tr w:rsidR="000A7EEA" w:rsidRPr="00285297" w14:paraId="06AB362D" w14:textId="77777777" w:rsidTr="00F27A79">
        <w:trPr>
          <w:trHeight w:val="283"/>
        </w:trPr>
        <w:tc>
          <w:tcPr>
            <w:tcW w:w="3349" w:type="dxa"/>
            <w:vAlign w:val="center"/>
          </w:tcPr>
          <w:p w14:paraId="0ABF3319" w14:textId="77777777" w:rsidR="000A7EEA" w:rsidRPr="00285297" w:rsidRDefault="000A7EEA" w:rsidP="00F27A79">
            <w:pPr>
              <w:jc w:val="both"/>
              <w:rPr>
                <w:rFonts w:cstheme="minorHAnsi"/>
                <w:b/>
                <w:color w:val="000000" w:themeColor="text1"/>
                <w:lang w:val="en-US"/>
              </w:rPr>
            </w:pPr>
            <w:r w:rsidRPr="00285297">
              <w:rPr>
                <w:rFonts w:cstheme="minorHAnsi"/>
                <w:b/>
                <w:color w:val="000000" w:themeColor="text1"/>
                <w:lang w:val="en-US"/>
              </w:rPr>
              <w:t>Former Policy No:</w:t>
            </w:r>
          </w:p>
        </w:tc>
        <w:tc>
          <w:tcPr>
            <w:tcW w:w="6011" w:type="dxa"/>
            <w:vAlign w:val="center"/>
          </w:tcPr>
          <w:p w14:paraId="6417F8A8" w14:textId="77777777" w:rsidR="000A7EEA" w:rsidRPr="00285297" w:rsidRDefault="000A7EEA" w:rsidP="00F27A79">
            <w:pPr>
              <w:jc w:val="both"/>
              <w:rPr>
                <w:rFonts w:cstheme="minorHAnsi"/>
                <w:color w:val="000000" w:themeColor="text1"/>
                <w:lang w:val="en-US"/>
              </w:rPr>
            </w:pPr>
            <w:r>
              <w:rPr>
                <w:rFonts w:cstheme="minorHAnsi"/>
                <w:color w:val="000000" w:themeColor="text1"/>
                <w:lang w:val="en-US"/>
              </w:rPr>
              <w:t>4.2.9</w:t>
            </w:r>
          </w:p>
        </w:tc>
      </w:tr>
    </w:tbl>
    <w:p w14:paraId="714A1A76" w14:textId="77777777" w:rsidR="000A7EEA" w:rsidRPr="00285297" w:rsidRDefault="000A7EEA" w:rsidP="000A7EEA">
      <w:pPr>
        <w:jc w:val="both"/>
        <w:rPr>
          <w:rFonts w:cstheme="minorHAnsi"/>
          <w:color w:val="000000" w:themeColor="text1"/>
          <w:lang w:val="en-US"/>
        </w:rPr>
      </w:pPr>
    </w:p>
    <w:p w14:paraId="5A37167F" w14:textId="77777777" w:rsidR="000A7EEA" w:rsidRDefault="000A7EEA" w:rsidP="00760D17">
      <w:pPr>
        <w:pStyle w:val="Policy3"/>
      </w:pPr>
    </w:p>
    <w:p w14:paraId="1FA8AADC" w14:textId="77777777" w:rsidR="003A1A80" w:rsidRDefault="003A1A80">
      <w:pPr>
        <w:rPr>
          <w:rFonts w:cstheme="minorHAnsi"/>
        </w:rPr>
      </w:pPr>
      <w:r>
        <w:rPr>
          <w:rFonts w:cstheme="minorHAnsi"/>
        </w:rPr>
        <w:br w:type="page"/>
      </w:r>
    </w:p>
    <w:p w14:paraId="24AF7A23" w14:textId="4DD441EC" w:rsidR="00F6294E" w:rsidRDefault="003369A9" w:rsidP="00F6294E">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81792" behindDoc="1" locked="0" layoutInCell="1" allowOverlap="1" wp14:anchorId="1301D113" wp14:editId="33A22CB0">
            <wp:simplePos x="0" y="0"/>
            <wp:positionH relativeFrom="column">
              <wp:posOffset>3943350</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7AED5DBD" w14:textId="77777777" w:rsidR="00F6294E" w:rsidRPr="00760D17" w:rsidRDefault="00F6294E" w:rsidP="00F6294E">
      <w:pPr>
        <w:pStyle w:val="Title"/>
        <w:pBdr>
          <w:bottom w:val="none" w:sz="0" w:space="0" w:color="auto"/>
        </w:pBdr>
        <w:spacing w:before="240" w:after="0"/>
        <w:rPr>
          <w:rFonts w:ascii="Arial" w:hAnsi="Arial" w:cs="Arial"/>
          <w:b/>
          <w:sz w:val="12"/>
          <w:szCs w:val="28"/>
          <w:lang w:val="en-US"/>
        </w:rPr>
      </w:pPr>
    </w:p>
    <w:p w14:paraId="718C078C" w14:textId="77777777" w:rsidR="003369A9" w:rsidRDefault="003369A9" w:rsidP="00F6294E">
      <w:pPr>
        <w:pStyle w:val="Policy3"/>
      </w:pPr>
      <w:bookmarkStart w:id="152" w:name="_Toc14942633"/>
    </w:p>
    <w:p w14:paraId="40FCDA0C" w14:textId="77777777" w:rsidR="003369A9" w:rsidRDefault="003369A9" w:rsidP="00F6294E">
      <w:pPr>
        <w:pStyle w:val="Policy3"/>
      </w:pPr>
    </w:p>
    <w:p w14:paraId="7F32115E" w14:textId="240A7A26" w:rsidR="00F6294E" w:rsidRPr="00447B03" w:rsidRDefault="00F6294E" w:rsidP="00F6294E">
      <w:pPr>
        <w:pStyle w:val="Policy3"/>
      </w:pPr>
      <w:bookmarkStart w:id="153" w:name="_Toc216866680"/>
      <w:r w:rsidRPr="00447B03">
        <w:t>2.1.5</w:t>
      </w:r>
      <w:r w:rsidRPr="00447B03">
        <w:tab/>
        <w:t>Donations</w:t>
      </w:r>
      <w:bookmarkEnd w:id="152"/>
      <w:bookmarkEnd w:id="153"/>
    </w:p>
    <w:tbl>
      <w:tblPr>
        <w:tblStyle w:val="TableGrid"/>
        <w:tblW w:w="0" w:type="auto"/>
        <w:tblLook w:val="04A0" w:firstRow="1" w:lastRow="0" w:firstColumn="1" w:lastColumn="0" w:noHBand="0" w:noVBand="1"/>
      </w:tblPr>
      <w:tblGrid>
        <w:gridCol w:w="3026"/>
        <w:gridCol w:w="5990"/>
      </w:tblGrid>
      <w:tr w:rsidR="00F6294E" w:rsidRPr="003A1A80" w14:paraId="6BA0DC4A" w14:textId="77777777" w:rsidTr="008B1D65">
        <w:tc>
          <w:tcPr>
            <w:tcW w:w="3026" w:type="dxa"/>
          </w:tcPr>
          <w:p w14:paraId="3ED15123" w14:textId="77777777" w:rsidR="00F6294E" w:rsidRPr="003A1A80" w:rsidRDefault="00F6294E" w:rsidP="008B1D65">
            <w:pPr>
              <w:rPr>
                <w:rFonts w:cs="Arial"/>
                <w:b/>
                <w:lang w:val="en-US"/>
              </w:rPr>
            </w:pPr>
            <w:r w:rsidRPr="003A1A80">
              <w:rPr>
                <w:rFonts w:cs="Arial"/>
                <w:b/>
                <w:lang w:val="en-US"/>
              </w:rPr>
              <w:t>Type:</w:t>
            </w:r>
          </w:p>
        </w:tc>
        <w:tc>
          <w:tcPr>
            <w:tcW w:w="5990" w:type="dxa"/>
          </w:tcPr>
          <w:p w14:paraId="7F228DA5" w14:textId="77777777" w:rsidR="00F6294E" w:rsidRPr="003A1A80" w:rsidRDefault="00F6294E" w:rsidP="008B1D65">
            <w:pPr>
              <w:rPr>
                <w:rFonts w:cs="Arial"/>
                <w:lang w:val="en-US"/>
              </w:rPr>
            </w:pPr>
            <w:r w:rsidRPr="003A1A80">
              <w:rPr>
                <w:rFonts w:cs="Arial"/>
                <w:lang w:val="en-US"/>
              </w:rPr>
              <w:t>Corporate Services – Financial Management</w:t>
            </w:r>
          </w:p>
        </w:tc>
      </w:tr>
      <w:tr w:rsidR="00F6294E" w:rsidRPr="003A1A80" w14:paraId="406A0922" w14:textId="77777777" w:rsidTr="008B1D65">
        <w:tc>
          <w:tcPr>
            <w:tcW w:w="3026" w:type="dxa"/>
          </w:tcPr>
          <w:p w14:paraId="152FEBB6" w14:textId="77777777" w:rsidR="00F6294E" w:rsidRPr="003A1A80" w:rsidRDefault="00F6294E" w:rsidP="008B1D65">
            <w:pPr>
              <w:rPr>
                <w:rFonts w:cs="Arial"/>
                <w:b/>
                <w:lang w:val="en-US"/>
              </w:rPr>
            </w:pPr>
            <w:r w:rsidRPr="003A1A80">
              <w:rPr>
                <w:rFonts w:cs="Arial"/>
                <w:b/>
                <w:lang w:val="en-US"/>
              </w:rPr>
              <w:t>Legislation:</w:t>
            </w:r>
          </w:p>
        </w:tc>
        <w:tc>
          <w:tcPr>
            <w:tcW w:w="5990" w:type="dxa"/>
          </w:tcPr>
          <w:p w14:paraId="6A725D16" w14:textId="77777777" w:rsidR="00F6294E" w:rsidRPr="003A1A80" w:rsidRDefault="00F6294E" w:rsidP="008B1D65">
            <w:pPr>
              <w:rPr>
                <w:rFonts w:cs="Arial"/>
                <w:lang w:val="en-US"/>
              </w:rPr>
            </w:pPr>
            <w:r w:rsidRPr="003A1A80">
              <w:rPr>
                <w:rFonts w:cs="Arial"/>
                <w:lang w:val="en-US"/>
              </w:rPr>
              <w:t xml:space="preserve">Local Government Act 1995 </w:t>
            </w:r>
          </w:p>
        </w:tc>
      </w:tr>
      <w:tr w:rsidR="00F6294E" w:rsidRPr="003A1A80" w14:paraId="360644EF" w14:textId="77777777" w:rsidTr="008B1D65">
        <w:tc>
          <w:tcPr>
            <w:tcW w:w="3026" w:type="dxa"/>
          </w:tcPr>
          <w:p w14:paraId="3EED25A8" w14:textId="77777777" w:rsidR="00F6294E" w:rsidRPr="003A1A80" w:rsidRDefault="00F6294E" w:rsidP="008B1D65">
            <w:pPr>
              <w:rPr>
                <w:rFonts w:cs="Arial"/>
                <w:b/>
                <w:lang w:val="en-US"/>
              </w:rPr>
            </w:pPr>
            <w:r w:rsidRPr="003A1A80">
              <w:rPr>
                <w:rFonts w:cs="Arial"/>
                <w:b/>
                <w:lang w:val="en-US"/>
              </w:rPr>
              <w:t>Delegation:</w:t>
            </w:r>
          </w:p>
        </w:tc>
        <w:tc>
          <w:tcPr>
            <w:tcW w:w="5990" w:type="dxa"/>
          </w:tcPr>
          <w:p w14:paraId="2ACA82BD" w14:textId="77777777" w:rsidR="00F6294E" w:rsidRPr="003A1A80" w:rsidRDefault="00F6294E" w:rsidP="008B1D65">
            <w:pPr>
              <w:rPr>
                <w:rFonts w:cs="Arial"/>
                <w:lang w:val="en-US"/>
              </w:rPr>
            </w:pPr>
            <w:r w:rsidRPr="003A1A80">
              <w:rPr>
                <w:rFonts w:cs="Arial"/>
                <w:lang w:val="en-US"/>
              </w:rPr>
              <w:t>DA51 Donations to Community Groups and Individuals</w:t>
            </w:r>
          </w:p>
        </w:tc>
      </w:tr>
      <w:tr w:rsidR="00F6294E" w:rsidRPr="003A1A80" w14:paraId="1A54E143" w14:textId="77777777" w:rsidTr="008B1D65">
        <w:tc>
          <w:tcPr>
            <w:tcW w:w="3026" w:type="dxa"/>
          </w:tcPr>
          <w:p w14:paraId="298F481D" w14:textId="77777777" w:rsidR="00F6294E" w:rsidRPr="003A1A80" w:rsidRDefault="00F6294E" w:rsidP="008B1D65">
            <w:pPr>
              <w:rPr>
                <w:rFonts w:cs="Arial"/>
                <w:b/>
                <w:lang w:val="en-US"/>
              </w:rPr>
            </w:pPr>
            <w:r w:rsidRPr="003A1A80">
              <w:rPr>
                <w:rFonts w:cs="Arial"/>
                <w:b/>
                <w:lang w:val="en-US"/>
              </w:rPr>
              <w:t>Other Related Document:</w:t>
            </w:r>
          </w:p>
        </w:tc>
        <w:tc>
          <w:tcPr>
            <w:tcW w:w="5990" w:type="dxa"/>
          </w:tcPr>
          <w:p w14:paraId="78CE385B" w14:textId="77777777" w:rsidR="00F6294E" w:rsidRPr="003A1A80" w:rsidRDefault="00F6294E" w:rsidP="008B1D65">
            <w:pPr>
              <w:rPr>
                <w:rFonts w:cs="Arial"/>
                <w:lang w:val="en-US"/>
              </w:rPr>
            </w:pPr>
            <w:r w:rsidRPr="003A1A80">
              <w:rPr>
                <w:rFonts w:cs="Arial"/>
                <w:lang w:val="en-US"/>
              </w:rPr>
              <w:t>Community Grants &amp; Sponsorship</w:t>
            </w:r>
            <w:r>
              <w:rPr>
                <w:rFonts w:cs="Arial"/>
                <w:lang w:val="en-US"/>
              </w:rPr>
              <w:t xml:space="preserve"> Policy 2.1.11</w:t>
            </w:r>
          </w:p>
        </w:tc>
      </w:tr>
    </w:tbl>
    <w:p w14:paraId="455297E3" w14:textId="77777777" w:rsidR="00F6294E" w:rsidRPr="00B943C6" w:rsidRDefault="00F6294E" w:rsidP="00F6294E">
      <w:pPr>
        <w:spacing w:before="240" w:after="0"/>
        <w:rPr>
          <w:b/>
          <w:sz w:val="28"/>
          <w:szCs w:val="28"/>
          <w:lang w:val="en-US"/>
        </w:rPr>
      </w:pPr>
      <w:r w:rsidRPr="00B943C6">
        <w:rPr>
          <w:b/>
          <w:sz w:val="28"/>
          <w:szCs w:val="28"/>
          <w:lang w:val="en-US"/>
        </w:rPr>
        <w:t>Objective</w:t>
      </w:r>
    </w:p>
    <w:p w14:paraId="0C99C36C" w14:textId="77777777" w:rsidR="00F6294E" w:rsidRPr="003A1A80" w:rsidRDefault="00F6294E" w:rsidP="00F6294E">
      <w:pPr>
        <w:spacing w:after="0" w:line="240" w:lineRule="auto"/>
        <w:jc w:val="both"/>
        <w:rPr>
          <w:rFonts w:cs="Arial"/>
        </w:rPr>
      </w:pPr>
      <w:r w:rsidRPr="003A1A80">
        <w:rPr>
          <w:rFonts w:cs="Arial"/>
        </w:rPr>
        <w:t>To ensure that funds allocated within the budget for donations to the community and recreation clubs are allocated in a rational manner without Council being required to consider such requests in what might be considered an emotive atmosphere.</w:t>
      </w:r>
    </w:p>
    <w:p w14:paraId="01EAC58E" w14:textId="77777777" w:rsidR="00F6294E" w:rsidRPr="003A1A80" w:rsidRDefault="00F6294E" w:rsidP="00F6294E">
      <w:pPr>
        <w:spacing w:after="0" w:line="240" w:lineRule="auto"/>
        <w:jc w:val="both"/>
        <w:rPr>
          <w:rFonts w:cs="Arial"/>
        </w:rPr>
      </w:pPr>
    </w:p>
    <w:p w14:paraId="26A9785B" w14:textId="77777777" w:rsidR="00F6294E" w:rsidRPr="003A1A80" w:rsidRDefault="00F6294E" w:rsidP="00F6294E">
      <w:pPr>
        <w:spacing w:after="0" w:line="240" w:lineRule="auto"/>
        <w:jc w:val="both"/>
        <w:rPr>
          <w:rFonts w:cs="Arial"/>
        </w:rPr>
      </w:pPr>
      <w:r w:rsidRPr="003A1A80">
        <w:rPr>
          <w:rFonts w:cs="Arial"/>
        </w:rPr>
        <w:t>Council shall adopt a schedule of donations to organisations for inclusion in the annual budget and when an application is received from such an organisation then administrative action shall be taken in accordance with the amounts stated in the policy.</w:t>
      </w:r>
    </w:p>
    <w:p w14:paraId="4E7B1580" w14:textId="77777777" w:rsidR="00F6294E" w:rsidRPr="00B943C6" w:rsidRDefault="00F6294E" w:rsidP="00F6294E">
      <w:pPr>
        <w:spacing w:before="200" w:after="0"/>
        <w:rPr>
          <w:b/>
          <w:sz w:val="28"/>
          <w:szCs w:val="28"/>
          <w:lang w:val="en-US"/>
        </w:rPr>
      </w:pPr>
      <w:r w:rsidRPr="00B943C6">
        <w:rPr>
          <w:b/>
          <w:sz w:val="28"/>
          <w:szCs w:val="28"/>
          <w:lang w:val="en-US"/>
        </w:rPr>
        <w:t xml:space="preserve">Policy </w:t>
      </w:r>
    </w:p>
    <w:p w14:paraId="62F4A331" w14:textId="77777777" w:rsidR="00F6294E" w:rsidRPr="003A1A80" w:rsidRDefault="00F6294E" w:rsidP="00F6294E">
      <w:pPr>
        <w:spacing w:after="120" w:line="240" w:lineRule="auto"/>
        <w:jc w:val="both"/>
        <w:rPr>
          <w:rFonts w:cs="Arial"/>
        </w:rPr>
      </w:pPr>
      <w:r w:rsidRPr="003A1A80">
        <w:rPr>
          <w:rFonts w:cs="Arial"/>
        </w:rPr>
        <w:t xml:space="preserve">Council will make an allocation in the annual budget of an amount for donations requested on an </w:t>
      </w:r>
      <w:proofErr w:type="spellStart"/>
      <w:r w:rsidRPr="003A1A80">
        <w:rPr>
          <w:rFonts w:cs="Arial"/>
        </w:rPr>
        <w:t>adhoc</w:t>
      </w:r>
      <w:proofErr w:type="spellEnd"/>
      <w:r w:rsidRPr="003A1A80">
        <w:rPr>
          <w:rFonts w:cs="Arial"/>
        </w:rPr>
        <w:t xml:space="preserve"> basis during the year.</w:t>
      </w:r>
      <w:r w:rsidRPr="003A1A80">
        <w:rPr>
          <w:rFonts w:cs="Arial"/>
          <w:i/>
        </w:rPr>
        <w:t xml:space="preserve"> </w:t>
      </w:r>
      <w:r w:rsidRPr="003A1A80">
        <w:rPr>
          <w:rFonts w:cs="Arial"/>
        </w:rPr>
        <w:t xml:space="preserve">The criteria for allocating to requests will be on the following basis: </w:t>
      </w:r>
    </w:p>
    <w:p w14:paraId="5E258AE1" w14:textId="77777777" w:rsidR="00F6294E" w:rsidRPr="003A1A80" w:rsidRDefault="00F6294E" w:rsidP="00F6294E">
      <w:pPr>
        <w:tabs>
          <w:tab w:val="left" w:pos="1710"/>
          <w:tab w:val="left" w:pos="1890"/>
          <w:tab w:val="right" w:pos="9072"/>
        </w:tabs>
        <w:spacing w:after="0" w:line="240" w:lineRule="auto"/>
        <w:ind w:left="425" w:hanging="425"/>
        <w:jc w:val="both"/>
        <w:rPr>
          <w:rFonts w:cs="Arial"/>
        </w:rPr>
      </w:pPr>
      <w:r w:rsidRPr="003A1A80">
        <w:rPr>
          <w:rFonts w:cs="Arial"/>
        </w:rPr>
        <w:t>(a)</w:t>
      </w:r>
      <w:r w:rsidRPr="003A1A80">
        <w:rPr>
          <w:rFonts w:cs="Arial"/>
        </w:rPr>
        <w:tab/>
      </w:r>
      <w:r w:rsidRPr="00B943C6">
        <w:rPr>
          <w:rFonts w:cs="Arial"/>
          <w:b/>
        </w:rPr>
        <w:t>Charitable and Community Benefit Organisations</w:t>
      </w:r>
    </w:p>
    <w:p w14:paraId="614DD225" w14:textId="77777777" w:rsidR="00F6294E" w:rsidRPr="003A1A80" w:rsidRDefault="00F6294E" w:rsidP="00F6294E">
      <w:pPr>
        <w:pStyle w:val="BodyTextIndent"/>
        <w:tabs>
          <w:tab w:val="left" w:pos="1890"/>
        </w:tabs>
        <w:ind w:left="426"/>
        <w:jc w:val="both"/>
        <w:rPr>
          <w:rFonts w:cs="Arial"/>
        </w:rPr>
      </w:pPr>
      <w:r w:rsidRPr="003A1A80">
        <w:rPr>
          <w:rFonts w:cs="Arial"/>
        </w:rPr>
        <w:t>Public Appeals from organisations that provide a service to persons resident in the community of East Fremantle – Limit $200</w:t>
      </w:r>
    </w:p>
    <w:p w14:paraId="0183D1AD" w14:textId="77777777" w:rsidR="00F6294E" w:rsidRPr="003A1A80" w:rsidRDefault="00F6294E" w:rsidP="00F6294E">
      <w:pPr>
        <w:tabs>
          <w:tab w:val="left" w:pos="1800"/>
          <w:tab w:val="left" w:pos="1890"/>
          <w:tab w:val="right" w:pos="9072"/>
        </w:tabs>
        <w:spacing w:after="60" w:line="240" w:lineRule="auto"/>
        <w:ind w:left="425" w:hanging="425"/>
        <w:jc w:val="both"/>
        <w:rPr>
          <w:rFonts w:cs="Arial"/>
        </w:rPr>
      </w:pPr>
      <w:r w:rsidRPr="003A1A80">
        <w:rPr>
          <w:rFonts w:cs="Arial"/>
        </w:rPr>
        <w:t>(b)</w:t>
      </w:r>
      <w:r w:rsidRPr="003A1A80">
        <w:rPr>
          <w:rFonts w:cs="Arial"/>
        </w:rPr>
        <w:tab/>
      </w:r>
      <w:r w:rsidRPr="00425950">
        <w:rPr>
          <w:rFonts w:cs="Arial"/>
          <w:b/>
        </w:rPr>
        <w:t>Youth*</w:t>
      </w:r>
      <w:r w:rsidRPr="002F1C91">
        <w:rPr>
          <w:rFonts w:cs="Arial"/>
          <w:b/>
          <w:color w:val="FF0000"/>
        </w:rPr>
        <w:t xml:space="preserve"> </w:t>
      </w:r>
      <w:r w:rsidRPr="00B943C6">
        <w:rPr>
          <w:rFonts w:cs="Arial"/>
          <w:b/>
        </w:rPr>
        <w:t>Sponsorship</w:t>
      </w:r>
    </w:p>
    <w:p w14:paraId="390F9378" w14:textId="77777777" w:rsidR="00F6294E" w:rsidRPr="003A1A80" w:rsidRDefault="00F6294E" w:rsidP="00F6294E">
      <w:pPr>
        <w:pStyle w:val="BodyTextIndent"/>
        <w:tabs>
          <w:tab w:val="left" w:pos="1530"/>
          <w:tab w:val="left" w:pos="1710"/>
          <w:tab w:val="left" w:pos="2070"/>
          <w:tab w:val="right" w:pos="9072"/>
        </w:tabs>
        <w:spacing w:after="60"/>
        <w:ind w:left="709" w:hanging="284"/>
        <w:jc w:val="both"/>
        <w:rPr>
          <w:rFonts w:cs="Arial"/>
        </w:rPr>
      </w:pPr>
      <w:proofErr w:type="spellStart"/>
      <w:r w:rsidRPr="003A1A80">
        <w:rPr>
          <w:rFonts w:cs="Arial"/>
        </w:rPr>
        <w:t>i</w:t>
      </w:r>
      <w:proofErr w:type="spellEnd"/>
      <w:r w:rsidRPr="003A1A80">
        <w:rPr>
          <w:rFonts w:cs="Arial"/>
        </w:rPr>
        <w:t>.</w:t>
      </w:r>
      <w:r w:rsidRPr="003A1A80">
        <w:rPr>
          <w:rFonts w:cs="Arial"/>
        </w:rPr>
        <w:tab/>
        <w:t xml:space="preserve">Applications from individuals who are representing the State </w:t>
      </w:r>
      <w:r w:rsidRPr="00425950">
        <w:rPr>
          <w:rFonts w:cs="Arial"/>
        </w:rPr>
        <w:t xml:space="preserve">or Australia </w:t>
      </w:r>
      <w:r w:rsidRPr="003A1A80">
        <w:rPr>
          <w:rFonts w:cs="Arial"/>
        </w:rPr>
        <w:t xml:space="preserve">at national or international level whether as an individual or as part of a team. </w:t>
      </w:r>
    </w:p>
    <w:p w14:paraId="25993039" w14:textId="77777777" w:rsidR="00F6294E" w:rsidRPr="003A1A80" w:rsidRDefault="00F6294E" w:rsidP="00F6294E">
      <w:pPr>
        <w:pStyle w:val="BodyTextIndent"/>
        <w:tabs>
          <w:tab w:val="left" w:pos="1530"/>
          <w:tab w:val="left" w:pos="1710"/>
          <w:tab w:val="left" w:pos="2070"/>
          <w:tab w:val="right" w:pos="9072"/>
        </w:tabs>
        <w:spacing w:after="60"/>
        <w:ind w:left="709" w:hanging="284"/>
        <w:jc w:val="both"/>
        <w:rPr>
          <w:rFonts w:cs="Arial"/>
        </w:rPr>
      </w:pPr>
      <w:r w:rsidRPr="003A1A80">
        <w:rPr>
          <w:rFonts w:cs="Arial"/>
        </w:rPr>
        <w:t>ii.</w:t>
      </w:r>
      <w:r w:rsidRPr="003A1A80">
        <w:rPr>
          <w:rFonts w:cs="Arial"/>
        </w:rPr>
        <w:tab/>
        <w:t xml:space="preserve">Applications for intellectual and cultural representation will be considered with this item. </w:t>
      </w:r>
    </w:p>
    <w:p w14:paraId="00DBC08B" w14:textId="77777777" w:rsidR="00F6294E" w:rsidRPr="003A1A80" w:rsidRDefault="00F6294E" w:rsidP="00F6294E">
      <w:pPr>
        <w:pStyle w:val="BodyTextIndent"/>
        <w:tabs>
          <w:tab w:val="left" w:pos="1530"/>
          <w:tab w:val="left" w:pos="1710"/>
          <w:tab w:val="left" w:pos="2070"/>
          <w:tab w:val="right" w:pos="9072"/>
        </w:tabs>
        <w:spacing w:after="60"/>
        <w:ind w:left="709" w:hanging="284"/>
        <w:jc w:val="both"/>
        <w:rPr>
          <w:rFonts w:cs="Arial"/>
        </w:rPr>
      </w:pPr>
      <w:r w:rsidRPr="003A1A80">
        <w:rPr>
          <w:rFonts w:cs="Arial"/>
        </w:rPr>
        <w:t>Limit interstate $300 and international $500 as a contribution to travel costs.</w:t>
      </w:r>
    </w:p>
    <w:p w14:paraId="09765311" w14:textId="77777777" w:rsidR="00F6294E" w:rsidRDefault="00F6294E" w:rsidP="00F6294E">
      <w:pPr>
        <w:tabs>
          <w:tab w:val="left" w:pos="1440"/>
          <w:tab w:val="left" w:pos="1710"/>
          <w:tab w:val="left" w:pos="1890"/>
        </w:tabs>
        <w:spacing w:after="120" w:line="240" w:lineRule="auto"/>
        <w:ind w:left="426"/>
        <w:jc w:val="both"/>
        <w:rPr>
          <w:rFonts w:cs="Arial"/>
        </w:rPr>
      </w:pPr>
      <w:r w:rsidRPr="003A1A80">
        <w:rPr>
          <w:rFonts w:cs="Arial"/>
        </w:rPr>
        <w:t>Applications cannot be considered from persons who pr</w:t>
      </w:r>
      <w:r>
        <w:rPr>
          <w:rFonts w:cs="Arial"/>
        </w:rPr>
        <w:t>eviously received a sponsorship</w:t>
      </w:r>
      <w:r w:rsidRPr="003A1A80">
        <w:rPr>
          <w:rFonts w:cs="Arial"/>
        </w:rPr>
        <w:t>.</w:t>
      </w:r>
    </w:p>
    <w:p w14:paraId="1B5D59FE" w14:textId="77777777" w:rsidR="00F6294E" w:rsidRPr="00425950" w:rsidRDefault="00F6294E" w:rsidP="00F6294E">
      <w:pPr>
        <w:tabs>
          <w:tab w:val="left" w:pos="1440"/>
          <w:tab w:val="left" w:pos="1710"/>
          <w:tab w:val="left" w:pos="1890"/>
        </w:tabs>
        <w:spacing w:after="120" w:line="240" w:lineRule="auto"/>
        <w:ind w:left="426"/>
        <w:jc w:val="both"/>
        <w:rPr>
          <w:rFonts w:cs="Arial"/>
        </w:rPr>
      </w:pPr>
      <w:r w:rsidRPr="00425950">
        <w:rPr>
          <w:rFonts w:cs="Arial"/>
        </w:rPr>
        <w:t xml:space="preserve">* Youth be defined as between 12 and 24 years of age. </w:t>
      </w:r>
    </w:p>
    <w:p w14:paraId="675227B2" w14:textId="77777777" w:rsidR="00F6294E" w:rsidRPr="003A1A80" w:rsidRDefault="00F6294E" w:rsidP="00F6294E">
      <w:pPr>
        <w:tabs>
          <w:tab w:val="left" w:pos="1800"/>
          <w:tab w:val="left" w:pos="1890"/>
          <w:tab w:val="right" w:pos="9072"/>
        </w:tabs>
        <w:spacing w:after="60" w:line="240" w:lineRule="auto"/>
        <w:ind w:left="426" w:hanging="426"/>
        <w:jc w:val="both"/>
        <w:rPr>
          <w:rFonts w:cs="Arial"/>
        </w:rPr>
      </w:pPr>
      <w:r w:rsidRPr="003A1A80">
        <w:rPr>
          <w:rFonts w:cs="Arial"/>
        </w:rPr>
        <w:t>(c)</w:t>
      </w:r>
      <w:r w:rsidRPr="003A1A80">
        <w:rPr>
          <w:rFonts w:cs="Arial"/>
        </w:rPr>
        <w:tab/>
      </w:r>
      <w:r w:rsidRPr="00B943C6">
        <w:rPr>
          <w:rFonts w:cs="Arial"/>
          <w:b/>
        </w:rPr>
        <w:t>Amounts Determined by Council</w:t>
      </w:r>
    </w:p>
    <w:p w14:paraId="55C9C59F" w14:textId="77777777" w:rsidR="00F6294E" w:rsidRPr="003A1A80" w:rsidRDefault="00F6294E" w:rsidP="00F6294E">
      <w:pPr>
        <w:tabs>
          <w:tab w:val="left" w:pos="1800"/>
          <w:tab w:val="left" w:pos="2070"/>
          <w:tab w:val="right" w:pos="9072"/>
        </w:tabs>
        <w:spacing w:after="60" w:line="240" w:lineRule="auto"/>
        <w:ind w:left="709" w:hanging="283"/>
        <w:jc w:val="both"/>
        <w:rPr>
          <w:rFonts w:cs="Arial"/>
        </w:rPr>
      </w:pPr>
      <w:proofErr w:type="spellStart"/>
      <w:r w:rsidRPr="003A1A80">
        <w:rPr>
          <w:rFonts w:cs="Arial"/>
        </w:rPr>
        <w:t>i</w:t>
      </w:r>
      <w:proofErr w:type="spellEnd"/>
      <w:r w:rsidRPr="003A1A80">
        <w:rPr>
          <w:rFonts w:cs="Arial"/>
        </w:rPr>
        <w:t>.</w:t>
      </w:r>
      <w:r w:rsidRPr="003A1A80">
        <w:rPr>
          <w:rFonts w:cs="Arial"/>
        </w:rPr>
        <w:tab/>
        <w:t xml:space="preserve">Funding for appeals, which arise from major events or catastrophes and are usually part of a Lord Mayor’s Appeal such as Floods, Fire, Cyclones etc.  </w:t>
      </w:r>
    </w:p>
    <w:p w14:paraId="38AF40C6" w14:textId="77777777" w:rsidR="00F6294E" w:rsidRPr="003A1A80" w:rsidRDefault="00F6294E" w:rsidP="00F6294E">
      <w:pPr>
        <w:tabs>
          <w:tab w:val="left" w:pos="1800"/>
          <w:tab w:val="left" w:pos="2070"/>
          <w:tab w:val="right" w:pos="9072"/>
        </w:tabs>
        <w:spacing w:after="120" w:line="240" w:lineRule="auto"/>
        <w:ind w:left="709" w:hanging="283"/>
        <w:jc w:val="both"/>
        <w:rPr>
          <w:rFonts w:cs="Arial"/>
        </w:rPr>
      </w:pPr>
      <w:r w:rsidRPr="003A1A80">
        <w:rPr>
          <w:rFonts w:cs="Arial"/>
        </w:rPr>
        <w:t>ii.</w:t>
      </w:r>
      <w:r w:rsidRPr="003A1A80">
        <w:rPr>
          <w:rFonts w:cs="Arial"/>
        </w:rPr>
        <w:tab/>
        <w:t xml:space="preserve">Council may determine contribution </w:t>
      </w:r>
      <w:proofErr w:type="gramStart"/>
      <w:r w:rsidRPr="003A1A80">
        <w:rPr>
          <w:rFonts w:cs="Arial"/>
        </w:rPr>
        <w:t>in excess of</w:t>
      </w:r>
      <w:proofErr w:type="gramEnd"/>
      <w:r w:rsidRPr="003A1A80">
        <w:rPr>
          <w:rFonts w:cs="Arial"/>
        </w:rPr>
        <w:t xml:space="preserve"> the limits specified above where there are extraordinary costs involved in the funding application.</w:t>
      </w:r>
    </w:p>
    <w:p w14:paraId="3654C7DE" w14:textId="77777777" w:rsidR="00F6294E" w:rsidRPr="003A1A80" w:rsidRDefault="00F6294E" w:rsidP="00F6294E">
      <w:pPr>
        <w:spacing w:after="0" w:line="240" w:lineRule="auto"/>
        <w:ind w:left="426" w:hanging="426"/>
        <w:jc w:val="both"/>
        <w:rPr>
          <w:rFonts w:cs="Arial"/>
          <w:lang w:val="en-US"/>
        </w:rPr>
      </w:pPr>
      <w:r w:rsidRPr="003A1A80" w:rsidDel="00CF1BD2">
        <w:rPr>
          <w:rFonts w:cs="Arial"/>
        </w:rPr>
        <w:t xml:space="preserve"> </w:t>
      </w:r>
    </w:p>
    <w:tbl>
      <w:tblPr>
        <w:tblStyle w:val="TableGrid"/>
        <w:tblW w:w="0" w:type="auto"/>
        <w:tblLook w:val="04A0" w:firstRow="1" w:lastRow="0" w:firstColumn="1" w:lastColumn="0" w:noHBand="0" w:noVBand="1"/>
      </w:tblPr>
      <w:tblGrid>
        <w:gridCol w:w="3114"/>
        <w:gridCol w:w="5902"/>
      </w:tblGrid>
      <w:tr w:rsidR="00F6294E" w:rsidRPr="003A1A80" w14:paraId="3A0EC633" w14:textId="77777777" w:rsidTr="008B1D65">
        <w:tc>
          <w:tcPr>
            <w:tcW w:w="3114" w:type="dxa"/>
          </w:tcPr>
          <w:p w14:paraId="6D84649D" w14:textId="77777777" w:rsidR="00F6294E" w:rsidRPr="003A1A80" w:rsidRDefault="00F6294E" w:rsidP="008B1D65">
            <w:pPr>
              <w:jc w:val="both"/>
              <w:rPr>
                <w:rFonts w:cs="Arial"/>
                <w:b/>
                <w:lang w:val="en-US"/>
              </w:rPr>
            </w:pPr>
            <w:r w:rsidRPr="003A1A80">
              <w:rPr>
                <w:rFonts w:cs="Arial"/>
                <w:b/>
                <w:lang w:val="en-US"/>
              </w:rPr>
              <w:t>Responsible Directorate:</w:t>
            </w:r>
          </w:p>
        </w:tc>
        <w:tc>
          <w:tcPr>
            <w:tcW w:w="5902" w:type="dxa"/>
          </w:tcPr>
          <w:p w14:paraId="0B14DA7E" w14:textId="77777777" w:rsidR="00F6294E" w:rsidRPr="003A1A80" w:rsidRDefault="00F6294E" w:rsidP="008B1D65">
            <w:pPr>
              <w:jc w:val="both"/>
              <w:rPr>
                <w:rFonts w:cs="Arial"/>
                <w:lang w:val="en-US"/>
              </w:rPr>
            </w:pPr>
            <w:r w:rsidRPr="003A1A80">
              <w:rPr>
                <w:rFonts w:cs="Arial"/>
                <w:lang w:val="en-US"/>
              </w:rPr>
              <w:t>Offic</w:t>
            </w:r>
            <w:r>
              <w:rPr>
                <w:rFonts w:cs="Arial"/>
                <w:lang w:val="en-US"/>
              </w:rPr>
              <w:t>e of the CEO</w:t>
            </w:r>
          </w:p>
        </w:tc>
      </w:tr>
      <w:tr w:rsidR="00F6294E" w:rsidRPr="003A1A80" w14:paraId="0FB4BD04" w14:textId="77777777" w:rsidTr="008B1D65">
        <w:tc>
          <w:tcPr>
            <w:tcW w:w="3114" w:type="dxa"/>
          </w:tcPr>
          <w:p w14:paraId="63D675BB" w14:textId="77777777" w:rsidR="00F6294E" w:rsidRPr="003A1A80" w:rsidRDefault="00F6294E" w:rsidP="008B1D65">
            <w:pPr>
              <w:jc w:val="both"/>
              <w:rPr>
                <w:rFonts w:cs="Arial"/>
                <w:b/>
                <w:lang w:val="en-US"/>
              </w:rPr>
            </w:pPr>
            <w:r w:rsidRPr="003A1A80">
              <w:rPr>
                <w:rFonts w:cs="Arial"/>
                <w:b/>
                <w:lang w:val="en-US"/>
              </w:rPr>
              <w:t>Reviewing Officer:</w:t>
            </w:r>
          </w:p>
        </w:tc>
        <w:tc>
          <w:tcPr>
            <w:tcW w:w="5902" w:type="dxa"/>
          </w:tcPr>
          <w:p w14:paraId="356F73A8" w14:textId="77777777" w:rsidR="00F6294E" w:rsidRPr="003A1A80" w:rsidRDefault="00F6294E" w:rsidP="008B1D65">
            <w:pPr>
              <w:jc w:val="both"/>
              <w:rPr>
                <w:rFonts w:cs="Arial"/>
                <w:lang w:val="en-US"/>
              </w:rPr>
            </w:pPr>
            <w:r w:rsidRPr="003A1A80">
              <w:rPr>
                <w:rFonts w:cs="Arial"/>
                <w:lang w:val="en-US"/>
              </w:rPr>
              <w:t>Chief Executive Officer</w:t>
            </w:r>
          </w:p>
        </w:tc>
      </w:tr>
      <w:tr w:rsidR="00F6294E" w:rsidRPr="003A1A80" w14:paraId="2245FB56" w14:textId="77777777" w:rsidTr="008B1D65">
        <w:tc>
          <w:tcPr>
            <w:tcW w:w="3114" w:type="dxa"/>
          </w:tcPr>
          <w:p w14:paraId="23C3F2C9" w14:textId="77777777" w:rsidR="00F6294E" w:rsidRPr="003A1A80" w:rsidRDefault="00F6294E" w:rsidP="008B1D65">
            <w:pPr>
              <w:jc w:val="both"/>
              <w:rPr>
                <w:rFonts w:cs="Arial"/>
                <w:b/>
                <w:lang w:val="en-US"/>
              </w:rPr>
            </w:pPr>
            <w:r w:rsidRPr="003A1A80">
              <w:rPr>
                <w:rFonts w:cs="Arial"/>
                <w:b/>
                <w:lang w:val="en-US"/>
              </w:rPr>
              <w:t>Decision making Authority:</w:t>
            </w:r>
          </w:p>
        </w:tc>
        <w:tc>
          <w:tcPr>
            <w:tcW w:w="5902" w:type="dxa"/>
          </w:tcPr>
          <w:p w14:paraId="2F45C291" w14:textId="77777777" w:rsidR="00F6294E" w:rsidRPr="003A1A80" w:rsidRDefault="00F6294E" w:rsidP="008B1D65">
            <w:pPr>
              <w:jc w:val="both"/>
              <w:rPr>
                <w:rFonts w:cs="Arial"/>
                <w:lang w:val="en-US"/>
              </w:rPr>
            </w:pPr>
            <w:r w:rsidRPr="003A1A80">
              <w:rPr>
                <w:rFonts w:cs="Arial"/>
                <w:lang w:val="en-US"/>
              </w:rPr>
              <w:t>Council</w:t>
            </w:r>
          </w:p>
        </w:tc>
      </w:tr>
      <w:tr w:rsidR="00F6294E" w:rsidRPr="003A1A80" w14:paraId="175E7059" w14:textId="77777777" w:rsidTr="008B1D65">
        <w:tc>
          <w:tcPr>
            <w:tcW w:w="3114" w:type="dxa"/>
          </w:tcPr>
          <w:p w14:paraId="71C7D0BB" w14:textId="77777777" w:rsidR="00F6294E" w:rsidRPr="003A1A80" w:rsidRDefault="00F6294E" w:rsidP="008B1D65">
            <w:pPr>
              <w:jc w:val="both"/>
              <w:rPr>
                <w:rFonts w:cs="Arial"/>
                <w:b/>
                <w:lang w:val="en-US"/>
              </w:rPr>
            </w:pPr>
            <w:r w:rsidRPr="003A1A80">
              <w:rPr>
                <w:rFonts w:cs="Arial"/>
                <w:b/>
                <w:lang w:val="en-US"/>
              </w:rPr>
              <w:t>Policy Adopted:</w:t>
            </w:r>
          </w:p>
        </w:tc>
        <w:tc>
          <w:tcPr>
            <w:tcW w:w="5902" w:type="dxa"/>
          </w:tcPr>
          <w:p w14:paraId="199F8282" w14:textId="77777777" w:rsidR="00F6294E" w:rsidRPr="003A1A80" w:rsidRDefault="00F6294E" w:rsidP="008B1D65">
            <w:pPr>
              <w:jc w:val="both"/>
              <w:rPr>
                <w:rFonts w:cs="Arial"/>
                <w:lang w:val="en-US"/>
              </w:rPr>
            </w:pPr>
            <w:r w:rsidRPr="003A1A80">
              <w:rPr>
                <w:rFonts w:cs="Arial"/>
                <w:lang w:val="en-US"/>
              </w:rPr>
              <w:t>16/12/1997</w:t>
            </w:r>
          </w:p>
        </w:tc>
      </w:tr>
      <w:tr w:rsidR="00F6294E" w:rsidRPr="003A1A80" w14:paraId="1995DBCD" w14:textId="77777777" w:rsidTr="008B1D65">
        <w:tc>
          <w:tcPr>
            <w:tcW w:w="3114" w:type="dxa"/>
          </w:tcPr>
          <w:p w14:paraId="1D08C5E0" w14:textId="77777777" w:rsidR="00F6294E" w:rsidRPr="003A1A80" w:rsidRDefault="00F6294E" w:rsidP="008B1D65">
            <w:pPr>
              <w:jc w:val="both"/>
              <w:rPr>
                <w:rFonts w:cs="Arial"/>
                <w:b/>
                <w:lang w:val="en-US"/>
              </w:rPr>
            </w:pPr>
            <w:r w:rsidRPr="003A1A80">
              <w:rPr>
                <w:rFonts w:cs="Arial"/>
                <w:b/>
                <w:lang w:val="en-US"/>
              </w:rPr>
              <w:t>Policy Amended:</w:t>
            </w:r>
          </w:p>
        </w:tc>
        <w:tc>
          <w:tcPr>
            <w:tcW w:w="5902" w:type="dxa"/>
          </w:tcPr>
          <w:p w14:paraId="749BD70C" w14:textId="77777777" w:rsidR="00F6294E" w:rsidRPr="003A1A80" w:rsidRDefault="00F6294E" w:rsidP="008B1D65">
            <w:pPr>
              <w:jc w:val="both"/>
              <w:rPr>
                <w:rFonts w:cs="Arial"/>
                <w:lang w:val="en-US"/>
              </w:rPr>
            </w:pPr>
            <w:r w:rsidRPr="003A1A80">
              <w:rPr>
                <w:rFonts w:cs="Arial"/>
                <w:lang w:val="en-US"/>
              </w:rPr>
              <w:t>18/3/2008, 20/11/2018</w:t>
            </w:r>
            <w:r>
              <w:rPr>
                <w:rFonts w:cs="Arial"/>
                <w:lang w:val="en-US"/>
              </w:rPr>
              <w:t>, 17/9/19, 19/5/20</w:t>
            </w:r>
          </w:p>
        </w:tc>
      </w:tr>
      <w:tr w:rsidR="00F6294E" w:rsidRPr="003A1A80" w14:paraId="6572E55C" w14:textId="77777777" w:rsidTr="008B1D65">
        <w:tc>
          <w:tcPr>
            <w:tcW w:w="3114" w:type="dxa"/>
          </w:tcPr>
          <w:p w14:paraId="251E0571" w14:textId="77777777" w:rsidR="00F6294E" w:rsidRPr="003A1A80" w:rsidRDefault="00F6294E" w:rsidP="008B1D65">
            <w:pPr>
              <w:jc w:val="both"/>
              <w:rPr>
                <w:rFonts w:cs="Arial"/>
                <w:b/>
                <w:lang w:val="en-US"/>
              </w:rPr>
            </w:pPr>
            <w:r>
              <w:rPr>
                <w:rFonts w:cs="Arial"/>
                <w:b/>
                <w:lang w:val="en-US"/>
              </w:rPr>
              <w:t>Former Policy No:</w:t>
            </w:r>
          </w:p>
        </w:tc>
        <w:tc>
          <w:tcPr>
            <w:tcW w:w="5902" w:type="dxa"/>
          </w:tcPr>
          <w:p w14:paraId="0BC37BD9" w14:textId="77777777" w:rsidR="00F6294E" w:rsidRPr="003A1A80" w:rsidRDefault="00F6294E" w:rsidP="008B1D65">
            <w:pPr>
              <w:jc w:val="both"/>
              <w:rPr>
                <w:rFonts w:cs="Arial"/>
                <w:lang w:val="en-US"/>
              </w:rPr>
            </w:pPr>
            <w:r>
              <w:rPr>
                <w:rFonts w:cs="Arial"/>
                <w:lang w:val="en-US"/>
              </w:rPr>
              <w:t>4.2.11</w:t>
            </w:r>
          </w:p>
        </w:tc>
      </w:tr>
    </w:tbl>
    <w:p w14:paraId="03D5D6BD" w14:textId="77777777" w:rsidR="00F6294E" w:rsidRDefault="00F6294E" w:rsidP="00F6294E"/>
    <w:p w14:paraId="3D9BBBBF" w14:textId="51D0711E" w:rsidR="005521E7" w:rsidRDefault="00EF011D" w:rsidP="005521E7">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30592" behindDoc="1" locked="0" layoutInCell="1" allowOverlap="1" wp14:anchorId="67792B87" wp14:editId="5FBDF74D">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A7E52E0" w14:textId="77777777" w:rsidR="005521E7" w:rsidRPr="00760D17" w:rsidRDefault="005521E7" w:rsidP="00760D17">
      <w:pPr>
        <w:pStyle w:val="Title"/>
        <w:pBdr>
          <w:bottom w:val="none" w:sz="0" w:space="0" w:color="auto"/>
        </w:pBdr>
        <w:spacing w:after="0"/>
        <w:rPr>
          <w:rFonts w:ascii="Arial" w:hAnsi="Arial" w:cs="Arial"/>
          <w:b/>
          <w:sz w:val="10"/>
          <w:szCs w:val="28"/>
          <w:lang w:val="en-US"/>
        </w:rPr>
      </w:pPr>
    </w:p>
    <w:p w14:paraId="70ECA8BA" w14:textId="77777777" w:rsidR="00EF011D" w:rsidRDefault="00EF011D" w:rsidP="00760D17">
      <w:pPr>
        <w:pStyle w:val="Policy3"/>
      </w:pPr>
    </w:p>
    <w:p w14:paraId="448AE1F4" w14:textId="77777777" w:rsidR="00EF011D" w:rsidRDefault="00EF011D" w:rsidP="00760D17">
      <w:pPr>
        <w:pStyle w:val="Policy3"/>
      </w:pPr>
    </w:p>
    <w:p w14:paraId="7B3E0F99" w14:textId="4211EBAB" w:rsidR="005521E7" w:rsidRPr="00B943C6" w:rsidRDefault="005521E7" w:rsidP="00760D17">
      <w:pPr>
        <w:pStyle w:val="Policy3"/>
      </w:pPr>
      <w:bookmarkStart w:id="154" w:name="_Toc216866681"/>
      <w:r w:rsidRPr="00B943C6">
        <w:t>2.1.6</w:t>
      </w:r>
      <w:r w:rsidRPr="00B943C6">
        <w:tab/>
        <w:t>S</w:t>
      </w:r>
      <w:r w:rsidR="00760D17">
        <w:t>upplier Payments</w:t>
      </w:r>
      <w:bookmarkEnd w:id="154"/>
    </w:p>
    <w:tbl>
      <w:tblPr>
        <w:tblStyle w:val="TableGrid"/>
        <w:tblW w:w="0" w:type="auto"/>
        <w:tblLook w:val="04A0" w:firstRow="1" w:lastRow="0" w:firstColumn="1" w:lastColumn="0" w:noHBand="0" w:noVBand="1"/>
      </w:tblPr>
      <w:tblGrid>
        <w:gridCol w:w="3026"/>
        <w:gridCol w:w="5990"/>
      </w:tblGrid>
      <w:tr w:rsidR="005521E7" w:rsidRPr="00812530" w14:paraId="50A6F7E3" w14:textId="77777777" w:rsidTr="00C33FE0">
        <w:tc>
          <w:tcPr>
            <w:tcW w:w="3026" w:type="dxa"/>
          </w:tcPr>
          <w:p w14:paraId="16E95194" w14:textId="77777777" w:rsidR="005521E7" w:rsidRPr="00812530" w:rsidRDefault="005521E7" w:rsidP="00C33FE0">
            <w:pPr>
              <w:rPr>
                <w:rFonts w:cs="Arial"/>
                <w:b/>
                <w:lang w:val="en-US"/>
              </w:rPr>
            </w:pPr>
            <w:r w:rsidRPr="00812530">
              <w:rPr>
                <w:rFonts w:cs="Arial"/>
                <w:b/>
                <w:lang w:val="en-US"/>
              </w:rPr>
              <w:t>Type:</w:t>
            </w:r>
          </w:p>
        </w:tc>
        <w:tc>
          <w:tcPr>
            <w:tcW w:w="5990" w:type="dxa"/>
          </w:tcPr>
          <w:p w14:paraId="0FEB4AF3" w14:textId="77777777" w:rsidR="005521E7" w:rsidRPr="00812530" w:rsidRDefault="005521E7" w:rsidP="00C33FE0">
            <w:pPr>
              <w:rPr>
                <w:rFonts w:cs="Arial"/>
                <w:lang w:val="en-US"/>
              </w:rPr>
            </w:pPr>
            <w:r>
              <w:rPr>
                <w:rFonts w:cs="Arial"/>
                <w:lang w:val="en-US"/>
              </w:rPr>
              <w:t>Corporate Services – Financial Management</w:t>
            </w:r>
          </w:p>
        </w:tc>
      </w:tr>
      <w:tr w:rsidR="005521E7" w:rsidRPr="00812530" w14:paraId="50050581" w14:textId="77777777" w:rsidTr="00C33FE0">
        <w:tc>
          <w:tcPr>
            <w:tcW w:w="3026" w:type="dxa"/>
          </w:tcPr>
          <w:p w14:paraId="30808E5E" w14:textId="77777777" w:rsidR="005521E7" w:rsidRPr="00812530" w:rsidRDefault="005521E7" w:rsidP="00C33FE0">
            <w:pPr>
              <w:rPr>
                <w:rFonts w:cs="Arial"/>
                <w:b/>
                <w:lang w:val="en-US"/>
              </w:rPr>
            </w:pPr>
            <w:r w:rsidRPr="00812530">
              <w:rPr>
                <w:rFonts w:cs="Arial"/>
                <w:b/>
                <w:lang w:val="en-US"/>
              </w:rPr>
              <w:t>Legislation:</w:t>
            </w:r>
          </w:p>
        </w:tc>
        <w:tc>
          <w:tcPr>
            <w:tcW w:w="5990" w:type="dxa"/>
          </w:tcPr>
          <w:p w14:paraId="4EE269E4" w14:textId="77777777" w:rsidR="005521E7" w:rsidRPr="00812530" w:rsidRDefault="005521E7" w:rsidP="00C33FE0">
            <w:pPr>
              <w:rPr>
                <w:rFonts w:cs="Arial"/>
                <w:lang w:val="en-US"/>
              </w:rPr>
            </w:pPr>
            <w:r w:rsidRPr="00812530">
              <w:rPr>
                <w:rFonts w:cs="Arial"/>
                <w:lang w:val="en-US"/>
              </w:rPr>
              <w:t>Local Government Act 1995</w:t>
            </w:r>
          </w:p>
          <w:p w14:paraId="5F051D14" w14:textId="77777777" w:rsidR="005521E7" w:rsidRPr="00812530" w:rsidRDefault="005521E7" w:rsidP="00C33FE0">
            <w:pPr>
              <w:rPr>
                <w:rFonts w:cs="Arial"/>
                <w:lang w:val="en-US"/>
              </w:rPr>
            </w:pPr>
            <w:r w:rsidRPr="00812530">
              <w:rPr>
                <w:rFonts w:cs="Arial"/>
                <w:lang w:val="en-US"/>
              </w:rPr>
              <w:t>Local Government (Administration) Regulations 1996</w:t>
            </w:r>
          </w:p>
          <w:p w14:paraId="62396C85" w14:textId="77777777" w:rsidR="005521E7" w:rsidRPr="00812530" w:rsidRDefault="005521E7" w:rsidP="00C33FE0">
            <w:pPr>
              <w:rPr>
                <w:rFonts w:cs="Arial"/>
                <w:lang w:val="en-US"/>
              </w:rPr>
            </w:pPr>
            <w:r w:rsidRPr="00812530">
              <w:rPr>
                <w:rFonts w:cs="Arial"/>
                <w:lang w:val="en-US"/>
              </w:rPr>
              <w:t>Local Government (Functions and General) Regulations 1996</w:t>
            </w:r>
          </w:p>
        </w:tc>
      </w:tr>
      <w:tr w:rsidR="005521E7" w:rsidRPr="00812530" w14:paraId="59DB341B" w14:textId="77777777" w:rsidTr="00C33FE0">
        <w:tc>
          <w:tcPr>
            <w:tcW w:w="3026" w:type="dxa"/>
          </w:tcPr>
          <w:p w14:paraId="6BB101DF" w14:textId="77777777" w:rsidR="005521E7" w:rsidRPr="00812530" w:rsidRDefault="005521E7" w:rsidP="00C33FE0">
            <w:pPr>
              <w:rPr>
                <w:rFonts w:cs="Arial"/>
                <w:b/>
                <w:lang w:val="en-US"/>
              </w:rPr>
            </w:pPr>
            <w:r w:rsidRPr="00812530">
              <w:rPr>
                <w:rFonts w:cs="Arial"/>
                <w:b/>
                <w:lang w:val="en-US"/>
              </w:rPr>
              <w:t>Delegation:</w:t>
            </w:r>
          </w:p>
        </w:tc>
        <w:tc>
          <w:tcPr>
            <w:tcW w:w="5990" w:type="dxa"/>
          </w:tcPr>
          <w:p w14:paraId="00A1CA51" w14:textId="77777777" w:rsidR="005521E7" w:rsidRPr="00812530" w:rsidRDefault="005521E7" w:rsidP="00C33FE0">
            <w:pPr>
              <w:rPr>
                <w:rFonts w:cs="Arial"/>
                <w:lang w:val="en-US"/>
              </w:rPr>
            </w:pPr>
            <w:r w:rsidRPr="00812530">
              <w:rPr>
                <w:rFonts w:cs="Arial"/>
                <w:lang w:val="en-US"/>
              </w:rPr>
              <w:t xml:space="preserve"> </w:t>
            </w:r>
          </w:p>
        </w:tc>
      </w:tr>
      <w:tr w:rsidR="005521E7" w:rsidRPr="00812530" w14:paraId="3E267BDF" w14:textId="77777777" w:rsidTr="00C33FE0">
        <w:trPr>
          <w:trHeight w:val="395"/>
        </w:trPr>
        <w:tc>
          <w:tcPr>
            <w:tcW w:w="3026" w:type="dxa"/>
          </w:tcPr>
          <w:p w14:paraId="496ACFDE" w14:textId="77777777" w:rsidR="005521E7" w:rsidRPr="00812530" w:rsidRDefault="005521E7" w:rsidP="00C33FE0">
            <w:pPr>
              <w:rPr>
                <w:rFonts w:cs="Arial"/>
                <w:b/>
                <w:lang w:val="en-US"/>
              </w:rPr>
            </w:pPr>
            <w:r w:rsidRPr="00812530">
              <w:rPr>
                <w:rFonts w:cs="Arial"/>
                <w:b/>
                <w:lang w:val="en-US"/>
              </w:rPr>
              <w:t>Other Related Document:</w:t>
            </w:r>
          </w:p>
        </w:tc>
        <w:tc>
          <w:tcPr>
            <w:tcW w:w="5990" w:type="dxa"/>
          </w:tcPr>
          <w:p w14:paraId="21B557B5" w14:textId="77777777" w:rsidR="005521E7" w:rsidRPr="00812530" w:rsidRDefault="005521E7" w:rsidP="00C33FE0">
            <w:pPr>
              <w:rPr>
                <w:rFonts w:cs="Arial"/>
                <w:lang w:val="en-US"/>
              </w:rPr>
            </w:pPr>
            <w:r>
              <w:rPr>
                <w:rFonts w:cs="Arial"/>
                <w:lang w:val="en-US"/>
              </w:rPr>
              <w:t>Purchasing Policy 2.1.3</w:t>
            </w:r>
          </w:p>
          <w:p w14:paraId="44F28F59" w14:textId="77777777" w:rsidR="005521E7" w:rsidRDefault="005521E7" w:rsidP="00C33FE0">
            <w:pPr>
              <w:rPr>
                <w:rFonts w:cs="Arial"/>
                <w:lang w:val="en-US"/>
              </w:rPr>
            </w:pPr>
            <w:r w:rsidRPr="00812530">
              <w:rPr>
                <w:rFonts w:cs="Arial"/>
                <w:lang w:val="en-US"/>
              </w:rPr>
              <w:t xml:space="preserve">Corporate Purchasing Card Policy </w:t>
            </w:r>
            <w:r>
              <w:rPr>
                <w:rFonts w:cs="Arial"/>
                <w:lang w:val="en-US"/>
              </w:rPr>
              <w:t>2.1.8</w:t>
            </w:r>
          </w:p>
          <w:p w14:paraId="287225F2" w14:textId="77777777" w:rsidR="00801FA4" w:rsidRPr="00812530" w:rsidRDefault="00801FA4" w:rsidP="00C33FE0">
            <w:pPr>
              <w:rPr>
                <w:rFonts w:cs="Arial"/>
                <w:lang w:val="en-US"/>
              </w:rPr>
            </w:pPr>
            <w:r>
              <w:rPr>
                <w:rFonts w:cs="Arial"/>
                <w:lang w:val="en-US"/>
              </w:rPr>
              <w:t>General Conditions of Contract for the Supply of Goods &amp; Services under a Purchase Order PRO2.1.6</w:t>
            </w:r>
          </w:p>
        </w:tc>
      </w:tr>
    </w:tbl>
    <w:p w14:paraId="656AF460" w14:textId="77777777" w:rsidR="005521E7" w:rsidRPr="00B943C6" w:rsidRDefault="005521E7" w:rsidP="005521E7">
      <w:pPr>
        <w:spacing w:before="200" w:after="0"/>
        <w:rPr>
          <w:b/>
          <w:sz w:val="28"/>
          <w:szCs w:val="28"/>
          <w:lang w:val="en-US"/>
        </w:rPr>
      </w:pPr>
      <w:r w:rsidRPr="00B943C6">
        <w:rPr>
          <w:b/>
          <w:sz w:val="28"/>
          <w:szCs w:val="28"/>
          <w:lang w:val="en-US"/>
        </w:rPr>
        <w:t>Policy Statement</w:t>
      </w:r>
    </w:p>
    <w:p w14:paraId="532DE2F6" w14:textId="77777777" w:rsidR="005521E7" w:rsidRDefault="005521E7" w:rsidP="005521E7">
      <w:pPr>
        <w:tabs>
          <w:tab w:val="left" w:pos="9356"/>
          <w:tab w:val="left" w:pos="10206"/>
        </w:tabs>
        <w:spacing w:after="0" w:line="240" w:lineRule="auto"/>
        <w:ind w:right="284"/>
        <w:jc w:val="both"/>
        <w:rPr>
          <w:rFonts w:cs="Arial"/>
        </w:rPr>
      </w:pPr>
      <w:r w:rsidRPr="00812530">
        <w:rPr>
          <w:rFonts w:cs="Arial"/>
        </w:rPr>
        <w:t xml:space="preserve">This Policy, which is </w:t>
      </w:r>
      <w:r w:rsidRPr="00812530">
        <w:rPr>
          <w:rFonts w:cs="Arial"/>
          <w:b/>
        </w:rPr>
        <w:t>mandatory</w:t>
      </w:r>
      <w:r w:rsidRPr="00812530">
        <w:rPr>
          <w:rFonts w:cs="Arial"/>
        </w:rPr>
        <w:t xml:space="preserve">, allows the CEO to make payments to creditors </w:t>
      </w:r>
      <w:proofErr w:type="gramStart"/>
      <w:r w:rsidRPr="00812530">
        <w:rPr>
          <w:rFonts w:cs="Arial"/>
        </w:rPr>
        <w:t>in order to</w:t>
      </w:r>
      <w:proofErr w:type="gramEnd"/>
      <w:r w:rsidRPr="00812530">
        <w:rPr>
          <w:rFonts w:cs="Arial"/>
        </w:rPr>
        <w:t xml:space="preserve"> carry out the ordinary course of business with respect to the payment of accounts for the Town of East Fremantle.</w:t>
      </w:r>
      <w:r w:rsidR="00801FA4">
        <w:rPr>
          <w:rFonts w:cs="Arial"/>
        </w:rPr>
        <w:t xml:space="preserve">  </w:t>
      </w:r>
    </w:p>
    <w:p w14:paraId="2268DA46" w14:textId="77777777" w:rsidR="005521E7" w:rsidRPr="00B943C6" w:rsidRDefault="005521E7" w:rsidP="005521E7">
      <w:pPr>
        <w:spacing w:before="200" w:after="0"/>
        <w:rPr>
          <w:b/>
          <w:sz w:val="28"/>
          <w:szCs w:val="28"/>
          <w:lang w:val="en-US"/>
        </w:rPr>
      </w:pPr>
      <w:r w:rsidRPr="00B943C6">
        <w:rPr>
          <w:b/>
          <w:sz w:val="28"/>
          <w:szCs w:val="28"/>
          <w:lang w:val="en-US"/>
        </w:rPr>
        <w:t>Policy Scope</w:t>
      </w:r>
    </w:p>
    <w:p w14:paraId="2B8A8047" w14:textId="77777777" w:rsidR="005521E7" w:rsidRPr="00812530" w:rsidRDefault="005521E7" w:rsidP="005521E7">
      <w:pPr>
        <w:spacing w:after="60" w:line="240" w:lineRule="auto"/>
        <w:jc w:val="both"/>
        <w:rPr>
          <w:rFonts w:cs="Arial"/>
        </w:rPr>
      </w:pPr>
      <w:r w:rsidRPr="00812530">
        <w:rPr>
          <w:rFonts w:cs="Arial"/>
        </w:rPr>
        <w:t xml:space="preserve">This Supplier Payments Policy outlines the </w:t>
      </w:r>
      <w:proofErr w:type="gramStart"/>
      <w:r w:rsidRPr="00812530">
        <w:rPr>
          <w:rFonts w:cs="Arial"/>
        </w:rPr>
        <w:t>manner in which</w:t>
      </w:r>
      <w:proofErr w:type="gramEnd"/>
      <w:r w:rsidRPr="00812530">
        <w:rPr>
          <w:rFonts w:cs="Arial"/>
        </w:rPr>
        <w:t xml:space="preserve"> creditor payments are to be made to a supplier. This policy should be read in conjunction with section 6.5 of the </w:t>
      </w:r>
      <w:r w:rsidRPr="00812530">
        <w:rPr>
          <w:rFonts w:cs="Arial"/>
          <w:i/>
        </w:rPr>
        <w:t>Local Government Act 1995</w:t>
      </w:r>
      <w:r w:rsidRPr="00812530">
        <w:rPr>
          <w:rFonts w:cs="Arial"/>
        </w:rPr>
        <w:t xml:space="preserve"> and </w:t>
      </w:r>
      <w:r w:rsidRPr="00812530">
        <w:rPr>
          <w:rFonts w:cs="Arial"/>
          <w:i/>
        </w:rPr>
        <w:t>Local Government (Financial Management) Regulations 1996</w:t>
      </w:r>
      <w:r w:rsidRPr="00812530">
        <w:rPr>
          <w:rFonts w:cs="Arial"/>
        </w:rPr>
        <w:t>, specifically:</w:t>
      </w:r>
    </w:p>
    <w:p w14:paraId="7B67FD41" w14:textId="77777777" w:rsidR="005521E7" w:rsidRPr="00812530" w:rsidRDefault="005521E7" w:rsidP="00AA0C1E">
      <w:pPr>
        <w:pStyle w:val="ListParagraph"/>
        <w:numPr>
          <w:ilvl w:val="0"/>
          <w:numId w:val="33"/>
        </w:numPr>
        <w:spacing w:after="0" w:line="240" w:lineRule="auto"/>
        <w:ind w:left="426" w:hanging="426"/>
        <w:jc w:val="both"/>
        <w:rPr>
          <w:rFonts w:cs="Arial"/>
        </w:rPr>
      </w:pPr>
      <w:r w:rsidRPr="00812530">
        <w:rPr>
          <w:rFonts w:cs="Arial"/>
        </w:rPr>
        <w:t>regulation 5, which specifies the CEO’s duties as to financial management</w:t>
      </w:r>
    </w:p>
    <w:p w14:paraId="5F6BA22B" w14:textId="77777777" w:rsidR="005521E7" w:rsidRPr="00812530" w:rsidRDefault="005521E7" w:rsidP="00AA0C1E">
      <w:pPr>
        <w:pStyle w:val="ListParagraph"/>
        <w:numPr>
          <w:ilvl w:val="0"/>
          <w:numId w:val="33"/>
        </w:numPr>
        <w:spacing w:after="0" w:line="240" w:lineRule="auto"/>
        <w:ind w:left="426" w:hanging="426"/>
        <w:jc w:val="both"/>
        <w:rPr>
          <w:rFonts w:cs="Arial"/>
        </w:rPr>
      </w:pPr>
      <w:r w:rsidRPr="00812530">
        <w:rPr>
          <w:rFonts w:cs="Arial"/>
        </w:rPr>
        <w:t xml:space="preserve">regulation 11, which specifies that procedures are to be made for the correct authorisation and payment of accounts, and </w:t>
      </w:r>
    </w:p>
    <w:p w14:paraId="3F3939B1" w14:textId="77777777" w:rsidR="005521E7" w:rsidRPr="00812530" w:rsidRDefault="005521E7" w:rsidP="00AA0C1E">
      <w:pPr>
        <w:pStyle w:val="ListParagraph"/>
        <w:numPr>
          <w:ilvl w:val="0"/>
          <w:numId w:val="33"/>
        </w:numPr>
        <w:spacing w:after="0" w:line="240" w:lineRule="auto"/>
        <w:ind w:left="426" w:hanging="426"/>
        <w:jc w:val="both"/>
        <w:rPr>
          <w:rFonts w:cs="Arial"/>
        </w:rPr>
      </w:pPr>
      <w:r w:rsidRPr="00812530">
        <w:rPr>
          <w:rFonts w:cs="Arial"/>
        </w:rPr>
        <w:t>regulation 13, which specifies that a list of payments made is required to be presented at ordinary council meetings.</w:t>
      </w:r>
    </w:p>
    <w:p w14:paraId="11670EA0" w14:textId="77777777" w:rsidR="005521E7" w:rsidRPr="00812530" w:rsidRDefault="005521E7" w:rsidP="005521E7">
      <w:pPr>
        <w:pStyle w:val="ListParagraph"/>
        <w:spacing w:before="200" w:after="0" w:line="240" w:lineRule="auto"/>
        <w:ind w:left="0"/>
        <w:contextualSpacing w:val="0"/>
        <w:jc w:val="both"/>
        <w:rPr>
          <w:rFonts w:cs="Arial"/>
        </w:rPr>
      </w:pPr>
      <w:r w:rsidRPr="00812530">
        <w:rPr>
          <w:rFonts w:cs="Arial"/>
          <w:i/>
        </w:rPr>
        <w:t xml:space="preserve">Local Government (Functions and General) Regulations </w:t>
      </w:r>
      <w:r w:rsidRPr="00812530">
        <w:rPr>
          <w:rFonts w:cs="Arial"/>
        </w:rPr>
        <w:t>1996 are also complied with in relation to adhering to the Town of East Fremantle’s purchasing policy</w:t>
      </w:r>
      <w:r w:rsidRPr="00812530">
        <w:rPr>
          <w:rFonts w:cs="Arial"/>
          <w:i/>
        </w:rPr>
        <w:t xml:space="preserve"> (Regulation 11A)</w:t>
      </w:r>
      <w:r w:rsidRPr="00812530">
        <w:rPr>
          <w:rFonts w:cs="Arial"/>
        </w:rPr>
        <w:t>.</w:t>
      </w:r>
    </w:p>
    <w:p w14:paraId="39A8C301" w14:textId="77777777" w:rsidR="005521E7" w:rsidRPr="00812530" w:rsidRDefault="005521E7" w:rsidP="005521E7">
      <w:pPr>
        <w:spacing w:before="200" w:after="0" w:line="240" w:lineRule="auto"/>
        <w:jc w:val="both"/>
        <w:rPr>
          <w:rFonts w:cs="Arial"/>
        </w:rPr>
      </w:pPr>
      <w:r w:rsidRPr="00812530">
        <w:rPr>
          <w:rFonts w:cs="Arial"/>
        </w:rPr>
        <w:t xml:space="preserve">This policy will also specify the manner in which creditors are to be established and to ensure that the payment of creditor invoices </w:t>
      </w:r>
      <w:proofErr w:type="gramStart"/>
      <w:r w:rsidRPr="00812530">
        <w:rPr>
          <w:rFonts w:cs="Arial"/>
        </w:rPr>
        <w:t>are</w:t>
      </w:r>
      <w:proofErr w:type="gramEnd"/>
      <w:r w:rsidRPr="00812530">
        <w:rPr>
          <w:rFonts w:cs="Arial"/>
        </w:rPr>
        <w:t xml:space="preserve"> made in a timely manner and in accordance with the Town of East Fremantle’s terms of trade. </w:t>
      </w:r>
    </w:p>
    <w:p w14:paraId="1A4DBDA8" w14:textId="77777777" w:rsidR="005521E7" w:rsidRPr="00812530" w:rsidRDefault="005521E7" w:rsidP="005521E7">
      <w:pPr>
        <w:spacing w:before="200" w:after="0" w:line="240" w:lineRule="auto"/>
        <w:jc w:val="both"/>
        <w:rPr>
          <w:rFonts w:cs="Arial"/>
        </w:rPr>
      </w:pPr>
      <w:r w:rsidRPr="00812530">
        <w:rPr>
          <w:rFonts w:cs="Arial"/>
        </w:rPr>
        <w:t>The policy will also specify how the timely payment of invoices will be measured and monitored.</w:t>
      </w:r>
    </w:p>
    <w:p w14:paraId="337183AA" w14:textId="77777777" w:rsidR="005521E7" w:rsidRPr="00812530" w:rsidRDefault="005521E7" w:rsidP="005521E7">
      <w:pPr>
        <w:spacing w:before="200" w:after="0" w:line="240" w:lineRule="auto"/>
        <w:jc w:val="both"/>
        <w:rPr>
          <w:rFonts w:cs="Arial"/>
        </w:rPr>
      </w:pPr>
      <w:r w:rsidRPr="00812530">
        <w:rPr>
          <w:rFonts w:cs="Arial"/>
        </w:rPr>
        <w:t>This policy does not cover payments made via the use of a Corporate Purchasing Card.  Please refer to Policy 4.3.6 for compliance with the Corporate Purchasing Card Policy.</w:t>
      </w:r>
    </w:p>
    <w:p w14:paraId="24D4DBFD" w14:textId="77777777" w:rsidR="005521E7" w:rsidRPr="00B943C6" w:rsidRDefault="005521E7" w:rsidP="005521E7">
      <w:pPr>
        <w:spacing w:before="200" w:after="60"/>
        <w:rPr>
          <w:b/>
          <w:sz w:val="28"/>
          <w:szCs w:val="28"/>
          <w:lang w:val="en-US"/>
        </w:rPr>
      </w:pPr>
      <w:r w:rsidRPr="00B943C6">
        <w:rPr>
          <w:b/>
          <w:sz w:val="28"/>
          <w:szCs w:val="28"/>
          <w:lang w:val="en-US"/>
        </w:rPr>
        <w:t xml:space="preserve">Policy </w:t>
      </w:r>
    </w:p>
    <w:p w14:paraId="15083A7A" w14:textId="77777777" w:rsidR="005521E7" w:rsidRPr="00B943C6" w:rsidRDefault="005521E7" w:rsidP="000C07AD">
      <w:pPr>
        <w:tabs>
          <w:tab w:val="left" w:pos="9356"/>
          <w:tab w:val="left" w:pos="10206"/>
        </w:tabs>
        <w:spacing w:after="0" w:line="240" w:lineRule="auto"/>
        <w:ind w:right="284"/>
        <w:jc w:val="both"/>
        <w:rPr>
          <w:rFonts w:cs="Arial"/>
          <w:b/>
        </w:rPr>
      </w:pPr>
      <w:r w:rsidRPr="00B943C6">
        <w:rPr>
          <w:rFonts w:cs="Arial"/>
          <w:b/>
        </w:rPr>
        <w:t>Creation of a new creditor or the updating of an existing creditor</w:t>
      </w:r>
    </w:p>
    <w:p w14:paraId="77B80B52" w14:textId="77777777" w:rsidR="005521E7" w:rsidRPr="00812530" w:rsidRDefault="005521E7" w:rsidP="005521E7">
      <w:pPr>
        <w:tabs>
          <w:tab w:val="left" w:pos="9356"/>
          <w:tab w:val="left" w:pos="10206"/>
        </w:tabs>
        <w:spacing w:line="240" w:lineRule="auto"/>
        <w:ind w:right="-23"/>
        <w:jc w:val="both"/>
        <w:rPr>
          <w:rFonts w:cs="Arial"/>
        </w:rPr>
      </w:pPr>
      <w:r w:rsidRPr="00812530">
        <w:rPr>
          <w:rFonts w:cs="Arial"/>
        </w:rPr>
        <w:t>Before a creditor is paid, all staff members liaising with creditors must provide the creditor with a “New / Update Creditor Details” form.  This form is completed by the creditor and returned to the Finance Officer so that the creditor master file can be established in the finance system.  The Finance Officer will allocate the creditor with a new Creditor Code, which is a sequential number that follows the creditor number file list. This form is also used when a change is required to a creditor’s master file details.</w:t>
      </w:r>
    </w:p>
    <w:p w14:paraId="6A97410C" w14:textId="77777777" w:rsidR="005521E7" w:rsidRPr="00812530" w:rsidRDefault="005521E7" w:rsidP="005521E7">
      <w:pPr>
        <w:tabs>
          <w:tab w:val="left" w:pos="9356"/>
          <w:tab w:val="left" w:pos="10206"/>
        </w:tabs>
        <w:spacing w:line="240" w:lineRule="auto"/>
        <w:ind w:right="-23"/>
        <w:jc w:val="both"/>
        <w:rPr>
          <w:rFonts w:cs="Arial"/>
        </w:rPr>
      </w:pPr>
      <w:r w:rsidRPr="00812530">
        <w:rPr>
          <w:rFonts w:cs="Arial"/>
        </w:rPr>
        <w:lastRenderedPageBreak/>
        <w:t xml:space="preserve">This form details the creditor/supplier details, including their bank account details. Once entered by the Finance Officer into the finance system the form is reviewed by the Manager Finance and </w:t>
      </w:r>
      <w:proofErr w:type="gramStart"/>
      <w:r w:rsidRPr="00812530">
        <w:rPr>
          <w:rFonts w:cs="Arial"/>
        </w:rPr>
        <w:t>Administration, and</w:t>
      </w:r>
      <w:proofErr w:type="gramEnd"/>
      <w:r w:rsidRPr="00812530">
        <w:rPr>
          <w:rFonts w:cs="Arial"/>
        </w:rPr>
        <w:t xml:space="preserve"> authorised by the Executive Manager Corporate and Community Service. </w:t>
      </w:r>
    </w:p>
    <w:p w14:paraId="47A757BB" w14:textId="77777777" w:rsidR="005521E7" w:rsidRPr="00812530" w:rsidRDefault="005521E7" w:rsidP="005521E7">
      <w:pPr>
        <w:tabs>
          <w:tab w:val="left" w:pos="9356"/>
          <w:tab w:val="left" w:pos="10206"/>
        </w:tabs>
        <w:spacing w:line="240" w:lineRule="auto"/>
        <w:ind w:right="-23"/>
        <w:jc w:val="both"/>
        <w:rPr>
          <w:rFonts w:cs="Arial"/>
        </w:rPr>
      </w:pPr>
      <w:r w:rsidRPr="00812530">
        <w:rPr>
          <w:rFonts w:cs="Arial"/>
        </w:rPr>
        <w:t>The correct completion of the “New / Update Creditor Details” form will ensure that there is no delay in the payment of a creditor’s invoice.</w:t>
      </w:r>
    </w:p>
    <w:p w14:paraId="79DD69C3" w14:textId="77777777" w:rsidR="005521E7" w:rsidRPr="00812530" w:rsidRDefault="005521E7" w:rsidP="005521E7">
      <w:pPr>
        <w:tabs>
          <w:tab w:val="left" w:pos="9356"/>
          <w:tab w:val="left" w:pos="10206"/>
        </w:tabs>
        <w:spacing w:line="240" w:lineRule="auto"/>
        <w:ind w:right="-23"/>
        <w:jc w:val="both"/>
        <w:rPr>
          <w:rFonts w:cs="Arial"/>
        </w:rPr>
      </w:pPr>
      <w:r w:rsidRPr="00812530">
        <w:rPr>
          <w:rFonts w:cs="Arial"/>
        </w:rPr>
        <w:t xml:space="preserve">All creditors will also receive a </w:t>
      </w:r>
      <w:r w:rsidRPr="00812530">
        <w:rPr>
          <w:rFonts w:cs="Arial"/>
          <w:i/>
        </w:rPr>
        <w:t>General Conditions of Contract for the Supply of Goods and Services Under a Purchase Order</w:t>
      </w:r>
      <w:r w:rsidRPr="00812530">
        <w:rPr>
          <w:rFonts w:cs="Arial"/>
        </w:rPr>
        <w:t xml:space="preserve"> document.  This document details the terms and conditions that the Town of East Fremantle (the </w:t>
      </w:r>
      <w:proofErr w:type="gramStart"/>
      <w:r w:rsidRPr="00812530">
        <w:rPr>
          <w:rFonts w:cs="Arial"/>
        </w:rPr>
        <w:t>Principal</w:t>
      </w:r>
      <w:proofErr w:type="gramEnd"/>
      <w:r w:rsidRPr="00812530">
        <w:rPr>
          <w:rFonts w:cs="Arial"/>
        </w:rPr>
        <w:t>) and the supplier (the Contractor) must adhere to in the provision of goods and services.</w:t>
      </w:r>
    </w:p>
    <w:p w14:paraId="3E2F4CF5" w14:textId="77777777" w:rsidR="005521E7" w:rsidRPr="00B943C6" w:rsidRDefault="005521E7" w:rsidP="005521E7">
      <w:pPr>
        <w:tabs>
          <w:tab w:val="left" w:pos="9356"/>
          <w:tab w:val="left" w:pos="10206"/>
        </w:tabs>
        <w:spacing w:after="0" w:line="240" w:lineRule="auto"/>
        <w:ind w:right="-23"/>
        <w:jc w:val="both"/>
        <w:rPr>
          <w:rFonts w:cs="Arial"/>
          <w:b/>
        </w:rPr>
      </w:pPr>
      <w:r w:rsidRPr="00B943C6">
        <w:rPr>
          <w:rFonts w:cs="Arial"/>
          <w:b/>
        </w:rPr>
        <w:t xml:space="preserve">Receipt of invoices for payment </w:t>
      </w:r>
    </w:p>
    <w:p w14:paraId="37A83B3B" w14:textId="77777777" w:rsidR="005521E7" w:rsidRPr="00812530" w:rsidRDefault="005521E7" w:rsidP="006005F9">
      <w:pPr>
        <w:tabs>
          <w:tab w:val="left" w:pos="9356"/>
          <w:tab w:val="left" w:pos="10206"/>
        </w:tabs>
        <w:spacing w:line="240" w:lineRule="auto"/>
        <w:ind w:right="-23"/>
        <w:jc w:val="both"/>
        <w:rPr>
          <w:rFonts w:cs="Arial"/>
        </w:rPr>
      </w:pPr>
      <w:r w:rsidRPr="00812530">
        <w:rPr>
          <w:rFonts w:cs="Arial"/>
        </w:rPr>
        <w:t xml:space="preserve">All invoices received for payment by the Town of East Fremantle are to be submitted to the Finance Officer.  On receipt of an invoice the Finance Officer date stamps the invoice. The Finance Officer will then begin the process to ensure that an invoice is correctly certified and authorised, data entered correctly into the finance </w:t>
      </w:r>
      <w:proofErr w:type="gramStart"/>
      <w:r w:rsidRPr="00812530">
        <w:rPr>
          <w:rFonts w:cs="Arial"/>
        </w:rPr>
        <w:t>system, and</w:t>
      </w:r>
      <w:proofErr w:type="gramEnd"/>
      <w:r w:rsidRPr="00812530">
        <w:rPr>
          <w:rFonts w:cs="Arial"/>
        </w:rPr>
        <w:t xml:space="preserve"> paid within its credit terms or in accordance with any contractual agreement.</w:t>
      </w:r>
    </w:p>
    <w:p w14:paraId="4BF5134F" w14:textId="77777777" w:rsidR="005521E7" w:rsidRPr="00B943C6" w:rsidRDefault="005521E7" w:rsidP="005521E7">
      <w:pPr>
        <w:tabs>
          <w:tab w:val="left" w:pos="9356"/>
          <w:tab w:val="left" w:pos="10206"/>
        </w:tabs>
        <w:spacing w:after="0" w:line="240" w:lineRule="auto"/>
        <w:ind w:right="284"/>
        <w:jc w:val="both"/>
        <w:rPr>
          <w:rFonts w:cs="Arial"/>
          <w:b/>
        </w:rPr>
      </w:pPr>
      <w:r w:rsidRPr="00B943C6">
        <w:rPr>
          <w:rFonts w:cs="Arial"/>
          <w:b/>
        </w:rPr>
        <w:t>Responsibilities of the Certifying Officer and Authorising Officer</w:t>
      </w:r>
    </w:p>
    <w:p w14:paraId="13F2A57A" w14:textId="77777777" w:rsidR="005521E7" w:rsidRPr="00812530" w:rsidRDefault="005521E7" w:rsidP="005521E7">
      <w:pPr>
        <w:tabs>
          <w:tab w:val="left" w:pos="9356"/>
          <w:tab w:val="left" w:pos="10206"/>
        </w:tabs>
        <w:spacing w:after="0" w:line="240" w:lineRule="auto"/>
        <w:ind w:right="-23"/>
        <w:jc w:val="both"/>
        <w:rPr>
          <w:rFonts w:cs="Arial"/>
        </w:rPr>
      </w:pPr>
      <w:r w:rsidRPr="00812530">
        <w:rPr>
          <w:rFonts w:cs="Arial"/>
        </w:rPr>
        <w:t>Once an invoice has been received, the Finance Officer stamps the invoice with the Certifying Stamp and delivers the invoice to the certifying officer for signing.</w:t>
      </w:r>
    </w:p>
    <w:p w14:paraId="5EC302C0" w14:textId="77777777" w:rsidR="005521E7" w:rsidRPr="00812530" w:rsidRDefault="005521E7" w:rsidP="005521E7">
      <w:pPr>
        <w:tabs>
          <w:tab w:val="left" w:pos="9356"/>
          <w:tab w:val="left" w:pos="10206"/>
        </w:tabs>
        <w:spacing w:after="0" w:line="240" w:lineRule="auto"/>
        <w:ind w:right="-23"/>
        <w:jc w:val="both"/>
        <w:rPr>
          <w:rFonts w:cs="Arial"/>
        </w:rPr>
      </w:pPr>
    </w:p>
    <w:p w14:paraId="7A4D59E3" w14:textId="77777777" w:rsidR="005521E7" w:rsidRPr="00812530" w:rsidRDefault="005521E7" w:rsidP="005521E7">
      <w:pPr>
        <w:tabs>
          <w:tab w:val="left" w:pos="9356"/>
          <w:tab w:val="left" w:pos="10206"/>
        </w:tabs>
        <w:spacing w:after="60" w:line="240" w:lineRule="auto"/>
        <w:ind w:right="-23"/>
        <w:jc w:val="both"/>
        <w:rPr>
          <w:rFonts w:cs="Arial"/>
        </w:rPr>
      </w:pPr>
      <w:r w:rsidRPr="00812530">
        <w:rPr>
          <w:rFonts w:cs="Arial"/>
        </w:rPr>
        <w:t>The invoice is then certified by the staff member incurring the expenditure on behalf of the Town of East Fremantle to ensure the following:</w:t>
      </w:r>
    </w:p>
    <w:p w14:paraId="047E4704" w14:textId="77777777" w:rsidR="005521E7" w:rsidRPr="00812530" w:rsidRDefault="005521E7" w:rsidP="00AA0C1E">
      <w:pPr>
        <w:pStyle w:val="ListParagraph"/>
        <w:numPr>
          <w:ilvl w:val="0"/>
          <w:numId w:val="30"/>
        </w:numPr>
        <w:autoSpaceDE w:val="0"/>
        <w:autoSpaceDN w:val="0"/>
        <w:adjustRightInd w:val="0"/>
        <w:spacing w:after="0" w:line="240" w:lineRule="auto"/>
        <w:ind w:left="426" w:hanging="426"/>
        <w:jc w:val="both"/>
        <w:rPr>
          <w:rFonts w:cs="Arial"/>
        </w:rPr>
      </w:pPr>
      <w:r w:rsidRPr="00812530">
        <w:rPr>
          <w:rFonts w:cs="Arial"/>
        </w:rPr>
        <w:t xml:space="preserve">that the receipt of the goods and services is in accordance with the conditions of the </w:t>
      </w:r>
      <w:proofErr w:type="gramStart"/>
      <w:r w:rsidRPr="00812530">
        <w:rPr>
          <w:rFonts w:cs="Arial"/>
        </w:rPr>
        <w:t>Town’s  purchase</w:t>
      </w:r>
      <w:proofErr w:type="gramEnd"/>
      <w:r w:rsidRPr="00812530">
        <w:rPr>
          <w:rFonts w:cs="Arial"/>
        </w:rPr>
        <w:t xml:space="preserve"> order/contract, and</w:t>
      </w:r>
    </w:p>
    <w:p w14:paraId="7B770724" w14:textId="77777777" w:rsidR="005521E7" w:rsidRPr="00812530" w:rsidRDefault="005521E7" w:rsidP="00AA0C1E">
      <w:pPr>
        <w:pStyle w:val="ListParagraph"/>
        <w:numPr>
          <w:ilvl w:val="0"/>
          <w:numId w:val="30"/>
        </w:numPr>
        <w:autoSpaceDE w:val="0"/>
        <w:autoSpaceDN w:val="0"/>
        <w:adjustRightInd w:val="0"/>
        <w:spacing w:after="0" w:line="240" w:lineRule="auto"/>
        <w:ind w:left="426" w:hanging="426"/>
        <w:jc w:val="both"/>
        <w:rPr>
          <w:rFonts w:cs="Arial"/>
        </w:rPr>
      </w:pPr>
      <w:r w:rsidRPr="00812530">
        <w:rPr>
          <w:rFonts w:cs="Arial"/>
        </w:rPr>
        <w:t xml:space="preserve">that any variations to works or price has been </w:t>
      </w:r>
      <w:proofErr w:type="gramStart"/>
      <w:r w:rsidRPr="00812530">
        <w:rPr>
          <w:rFonts w:cs="Arial"/>
        </w:rPr>
        <w:t>minor</w:t>
      </w:r>
      <w:proofErr w:type="gramEnd"/>
      <w:r w:rsidRPr="00812530">
        <w:rPr>
          <w:rFonts w:cs="Arial"/>
        </w:rPr>
        <w:t xml:space="preserve"> in nature.</w:t>
      </w:r>
    </w:p>
    <w:p w14:paraId="2059F41B" w14:textId="77777777" w:rsidR="005521E7" w:rsidRPr="00812530" w:rsidRDefault="005521E7" w:rsidP="005521E7">
      <w:pPr>
        <w:autoSpaceDE w:val="0"/>
        <w:autoSpaceDN w:val="0"/>
        <w:adjustRightInd w:val="0"/>
        <w:spacing w:after="0" w:line="240" w:lineRule="auto"/>
        <w:jc w:val="both"/>
        <w:rPr>
          <w:rFonts w:cs="Arial"/>
        </w:rPr>
      </w:pPr>
    </w:p>
    <w:p w14:paraId="35F66562" w14:textId="77777777" w:rsidR="005521E7" w:rsidRPr="00812530" w:rsidRDefault="005521E7" w:rsidP="005521E7">
      <w:pPr>
        <w:tabs>
          <w:tab w:val="left" w:pos="9356"/>
          <w:tab w:val="left" w:pos="10206"/>
        </w:tabs>
        <w:spacing w:after="60" w:line="240" w:lineRule="auto"/>
        <w:ind w:right="-23"/>
        <w:jc w:val="both"/>
        <w:rPr>
          <w:rFonts w:cs="Arial"/>
        </w:rPr>
      </w:pPr>
      <w:r w:rsidRPr="00812530">
        <w:rPr>
          <w:rFonts w:cs="Arial"/>
        </w:rPr>
        <w:t>The Finance Officer also stamps the invoice with the “Authorisation for Payment” stamp.  The staff member responsible for authorising the payment signs the invoice to ensure the following:</w:t>
      </w:r>
    </w:p>
    <w:p w14:paraId="489C3592" w14:textId="77777777" w:rsidR="005521E7" w:rsidRPr="00812530" w:rsidRDefault="005521E7" w:rsidP="00AA0C1E">
      <w:pPr>
        <w:pStyle w:val="ListParagraph"/>
        <w:numPr>
          <w:ilvl w:val="0"/>
          <w:numId w:val="31"/>
        </w:numPr>
        <w:tabs>
          <w:tab w:val="left" w:pos="9356"/>
          <w:tab w:val="left" w:pos="10206"/>
        </w:tabs>
        <w:spacing w:after="0" w:line="240" w:lineRule="auto"/>
        <w:ind w:left="426" w:right="-23" w:hanging="426"/>
        <w:jc w:val="both"/>
        <w:rPr>
          <w:rFonts w:cs="Arial"/>
        </w:rPr>
      </w:pPr>
      <w:r w:rsidRPr="00812530">
        <w:rPr>
          <w:rFonts w:cs="Arial"/>
        </w:rPr>
        <w:t>that the quantity and price per item match the quotation</w:t>
      </w:r>
    </w:p>
    <w:p w14:paraId="2BBFFB21" w14:textId="77777777" w:rsidR="005521E7" w:rsidRPr="00812530" w:rsidRDefault="005521E7" w:rsidP="00AA0C1E">
      <w:pPr>
        <w:pStyle w:val="ListParagraph"/>
        <w:numPr>
          <w:ilvl w:val="0"/>
          <w:numId w:val="31"/>
        </w:numPr>
        <w:tabs>
          <w:tab w:val="left" w:pos="9356"/>
          <w:tab w:val="left" w:pos="10206"/>
        </w:tabs>
        <w:spacing w:after="0" w:line="240" w:lineRule="auto"/>
        <w:ind w:left="426" w:right="-23" w:hanging="426"/>
        <w:jc w:val="both"/>
        <w:rPr>
          <w:rFonts w:cs="Arial"/>
        </w:rPr>
      </w:pPr>
      <w:r w:rsidRPr="00812530">
        <w:rPr>
          <w:rFonts w:cs="Arial"/>
        </w:rPr>
        <w:t>that the nominated account to be charged is valid, appropriate and that there are sufficient funds available to cover the allocation of costs associated with the invoice, and</w:t>
      </w:r>
    </w:p>
    <w:p w14:paraId="7F11F9B3" w14:textId="77777777" w:rsidR="005521E7" w:rsidRPr="00812530" w:rsidRDefault="005521E7" w:rsidP="00AA0C1E">
      <w:pPr>
        <w:pStyle w:val="ListParagraph"/>
        <w:numPr>
          <w:ilvl w:val="0"/>
          <w:numId w:val="31"/>
        </w:numPr>
        <w:tabs>
          <w:tab w:val="left" w:pos="9356"/>
          <w:tab w:val="left" w:pos="10206"/>
        </w:tabs>
        <w:spacing w:after="0" w:line="240" w:lineRule="auto"/>
        <w:ind w:left="426" w:right="-23" w:hanging="426"/>
        <w:jc w:val="both"/>
        <w:rPr>
          <w:rFonts w:cs="Arial"/>
        </w:rPr>
      </w:pPr>
      <w:r w:rsidRPr="00812530">
        <w:rPr>
          <w:rFonts w:cs="Arial"/>
        </w:rPr>
        <w:t xml:space="preserve">that the staff member is duly authorised to approve the expenditure. </w:t>
      </w:r>
    </w:p>
    <w:p w14:paraId="6FA54AA0" w14:textId="77777777" w:rsidR="005521E7" w:rsidRPr="00812530" w:rsidRDefault="005521E7" w:rsidP="005521E7">
      <w:pPr>
        <w:tabs>
          <w:tab w:val="left" w:pos="9356"/>
          <w:tab w:val="left" w:pos="10206"/>
        </w:tabs>
        <w:spacing w:after="60" w:line="240" w:lineRule="auto"/>
        <w:ind w:right="-23"/>
        <w:jc w:val="both"/>
        <w:rPr>
          <w:rFonts w:cs="Arial"/>
          <w:i/>
        </w:rPr>
      </w:pPr>
    </w:p>
    <w:p w14:paraId="332CCD0B" w14:textId="77777777" w:rsidR="005521E7" w:rsidRPr="00B943C6" w:rsidRDefault="005521E7" w:rsidP="005521E7">
      <w:pPr>
        <w:tabs>
          <w:tab w:val="left" w:pos="9356"/>
          <w:tab w:val="left" w:pos="10206"/>
        </w:tabs>
        <w:spacing w:after="60" w:line="240" w:lineRule="auto"/>
        <w:ind w:right="-23"/>
        <w:jc w:val="both"/>
        <w:rPr>
          <w:rFonts w:cs="Arial"/>
          <w:b/>
        </w:rPr>
      </w:pPr>
      <w:r w:rsidRPr="00B943C6">
        <w:rPr>
          <w:rFonts w:cs="Arial"/>
          <w:b/>
        </w:rPr>
        <w:t>Duties of the Finance Officer prior to making payment</w:t>
      </w:r>
    </w:p>
    <w:p w14:paraId="58C2EEA5" w14:textId="77777777" w:rsidR="005521E7" w:rsidRPr="00812530" w:rsidRDefault="005521E7" w:rsidP="005521E7">
      <w:pPr>
        <w:tabs>
          <w:tab w:val="left" w:pos="9356"/>
          <w:tab w:val="left" w:pos="10206"/>
        </w:tabs>
        <w:spacing w:after="60" w:line="240" w:lineRule="auto"/>
        <w:ind w:right="-23"/>
        <w:jc w:val="both"/>
        <w:rPr>
          <w:rFonts w:cs="Arial"/>
        </w:rPr>
      </w:pPr>
      <w:r w:rsidRPr="00812530">
        <w:rPr>
          <w:rFonts w:cs="Arial"/>
        </w:rPr>
        <w:t>The Finance Officer then checks the validity of the invoice to ensure that it is in accordance with ATO requirements, details of which are as follows:</w:t>
      </w:r>
    </w:p>
    <w:p w14:paraId="494A0D01" w14:textId="77777777" w:rsidR="005521E7" w:rsidRPr="00812530" w:rsidRDefault="005521E7" w:rsidP="00AA0C1E">
      <w:pPr>
        <w:pStyle w:val="ListParagraph"/>
        <w:numPr>
          <w:ilvl w:val="0"/>
          <w:numId w:val="29"/>
        </w:numPr>
        <w:tabs>
          <w:tab w:val="left" w:pos="9356"/>
          <w:tab w:val="left" w:pos="10206"/>
        </w:tabs>
        <w:spacing w:after="0" w:line="240" w:lineRule="auto"/>
        <w:ind w:left="426" w:right="-23" w:hanging="426"/>
        <w:jc w:val="both"/>
        <w:rPr>
          <w:rFonts w:cs="Arial"/>
        </w:rPr>
      </w:pPr>
      <w:r w:rsidRPr="00812530">
        <w:rPr>
          <w:rFonts w:cs="Arial"/>
        </w:rPr>
        <w:t>the invoice is addressed to The Town of East Fremantle</w:t>
      </w:r>
    </w:p>
    <w:p w14:paraId="38E1A9C5" w14:textId="77777777" w:rsidR="005521E7" w:rsidRPr="00812530" w:rsidRDefault="005521E7" w:rsidP="00AA0C1E">
      <w:pPr>
        <w:pStyle w:val="ListParagraph"/>
        <w:numPr>
          <w:ilvl w:val="0"/>
          <w:numId w:val="29"/>
        </w:numPr>
        <w:tabs>
          <w:tab w:val="left" w:pos="9356"/>
          <w:tab w:val="left" w:pos="10206"/>
        </w:tabs>
        <w:spacing w:after="0" w:line="240" w:lineRule="auto"/>
        <w:ind w:left="426" w:right="-23" w:hanging="426"/>
        <w:jc w:val="both"/>
        <w:rPr>
          <w:rFonts w:cs="Arial"/>
        </w:rPr>
      </w:pPr>
      <w:r w:rsidRPr="00812530">
        <w:rPr>
          <w:rFonts w:cs="Arial"/>
        </w:rPr>
        <w:t>the creditor’s identity – their name and business address</w:t>
      </w:r>
    </w:p>
    <w:p w14:paraId="443AAC34" w14:textId="77777777" w:rsidR="005521E7" w:rsidRPr="00812530" w:rsidRDefault="005521E7" w:rsidP="00AA0C1E">
      <w:pPr>
        <w:pStyle w:val="ListParagraph"/>
        <w:numPr>
          <w:ilvl w:val="0"/>
          <w:numId w:val="29"/>
        </w:numPr>
        <w:tabs>
          <w:tab w:val="left" w:pos="9356"/>
          <w:tab w:val="left" w:pos="10206"/>
        </w:tabs>
        <w:spacing w:after="0" w:line="240" w:lineRule="auto"/>
        <w:ind w:left="426" w:right="-23" w:hanging="426"/>
        <w:jc w:val="both"/>
        <w:rPr>
          <w:rFonts w:cs="Arial"/>
        </w:rPr>
      </w:pPr>
      <w:r w:rsidRPr="00812530">
        <w:rPr>
          <w:rFonts w:cs="Arial"/>
        </w:rPr>
        <w:t>the creditor’s Australian Business Number</w:t>
      </w:r>
    </w:p>
    <w:p w14:paraId="19ED253A" w14:textId="77777777" w:rsidR="005521E7" w:rsidRPr="00812530" w:rsidRDefault="005521E7" w:rsidP="00AA0C1E">
      <w:pPr>
        <w:pStyle w:val="ListParagraph"/>
        <w:numPr>
          <w:ilvl w:val="0"/>
          <w:numId w:val="29"/>
        </w:numPr>
        <w:tabs>
          <w:tab w:val="left" w:pos="9356"/>
          <w:tab w:val="left" w:pos="10206"/>
        </w:tabs>
        <w:spacing w:after="0" w:line="240" w:lineRule="auto"/>
        <w:ind w:left="426" w:right="-23" w:hanging="426"/>
        <w:jc w:val="both"/>
        <w:rPr>
          <w:rFonts w:cs="Arial"/>
        </w:rPr>
      </w:pPr>
      <w:r w:rsidRPr="00812530">
        <w:rPr>
          <w:rFonts w:cs="Arial"/>
        </w:rPr>
        <w:t>the date the invoice was issued</w:t>
      </w:r>
    </w:p>
    <w:p w14:paraId="39B9EFD9" w14:textId="77777777" w:rsidR="005521E7" w:rsidRPr="00812530" w:rsidRDefault="005521E7" w:rsidP="00AA0C1E">
      <w:pPr>
        <w:pStyle w:val="ListParagraph"/>
        <w:numPr>
          <w:ilvl w:val="0"/>
          <w:numId w:val="29"/>
        </w:numPr>
        <w:tabs>
          <w:tab w:val="left" w:pos="9356"/>
          <w:tab w:val="left" w:pos="10206"/>
        </w:tabs>
        <w:spacing w:after="0" w:line="240" w:lineRule="auto"/>
        <w:ind w:left="426" w:right="-23" w:hanging="426"/>
        <w:jc w:val="both"/>
        <w:rPr>
          <w:rFonts w:cs="Arial"/>
        </w:rPr>
      </w:pPr>
      <w:r w:rsidRPr="00812530">
        <w:rPr>
          <w:rFonts w:cs="Arial"/>
        </w:rPr>
        <w:t>a description of the goods and services, including the quantity (if applicable) and the price, and</w:t>
      </w:r>
    </w:p>
    <w:p w14:paraId="2D332024" w14:textId="77777777" w:rsidR="005521E7" w:rsidRPr="00812530" w:rsidRDefault="005521E7" w:rsidP="00AA0C1E">
      <w:pPr>
        <w:pStyle w:val="ListParagraph"/>
        <w:numPr>
          <w:ilvl w:val="0"/>
          <w:numId w:val="29"/>
        </w:numPr>
        <w:tabs>
          <w:tab w:val="left" w:pos="9356"/>
          <w:tab w:val="left" w:pos="10206"/>
        </w:tabs>
        <w:spacing w:after="0" w:line="240" w:lineRule="auto"/>
        <w:ind w:left="426" w:right="-23" w:hanging="426"/>
        <w:jc w:val="both"/>
        <w:rPr>
          <w:rFonts w:cs="Arial"/>
        </w:rPr>
      </w:pPr>
      <w:r w:rsidRPr="00812530">
        <w:rPr>
          <w:rFonts w:cs="Arial"/>
        </w:rPr>
        <w:t>The GST amount (if any) payable.</w:t>
      </w:r>
    </w:p>
    <w:p w14:paraId="1D64C36C" w14:textId="77777777" w:rsidR="005521E7" w:rsidRPr="00812530" w:rsidRDefault="005521E7" w:rsidP="005521E7">
      <w:pPr>
        <w:autoSpaceDE w:val="0"/>
        <w:autoSpaceDN w:val="0"/>
        <w:adjustRightInd w:val="0"/>
        <w:spacing w:before="200" w:line="240" w:lineRule="auto"/>
        <w:jc w:val="both"/>
        <w:rPr>
          <w:rFonts w:cs="Arial"/>
          <w:color w:val="000000"/>
        </w:rPr>
      </w:pPr>
      <w:r w:rsidRPr="00812530">
        <w:rPr>
          <w:rFonts w:cs="Arial"/>
          <w:color w:val="000000"/>
        </w:rPr>
        <w:t xml:space="preserve">Should the invoice received not be a valid tax invoice the Finance Officer is required to withhold 46.5% withholding tax from the payment of the creditor. An exception to this is where an ATO </w:t>
      </w:r>
      <w:r w:rsidRPr="00812530">
        <w:rPr>
          <w:rFonts w:cs="Arial"/>
          <w:i/>
          <w:color w:val="000000"/>
        </w:rPr>
        <w:t>Statement by a Supplier</w:t>
      </w:r>
      <w:r w:rsidRPr="00812530">
        <w:rPr>
          <w:rFonts w:cs="Arial"/>
          <w:color w:val="000000"/>
        </w:rPr>
        <w:t xml:space="preserve"> form is completed and provided with the invoice.</w:t>
      </w:r>
    </w:p>
    <w:p w14:paraId="3DA9BE82" w14:textId="77777777" w:rsidR="005521E7" w:rsidRPr="00B943C6" w:rsidRDefault="005521E7" w:rsidP="005521E7">
      <w:pPr>
        <w:tabs>
          <w:tab w:val="left" w:pos="9356"/>
          <w:tab w:val="left" w:pos="10206"/>
        </w:tabs>
        <w:spacing w:after="0" w:line="240" w:lineRule="auto"/>
        <w:ind w:right="284"/>
        <w:jc w:val="both"/>
        <w:rPr>
          <w:rFonts w:cs="Arial"/>
          <w:b/>
        </w:rPr>
      </w:pPr>
      <w:r w:rsidRPr="00B943C6">
        <w:rPr>
          <w:rFonts w:cs="Arial"/>
          <w:b/>
        </w:rPr>
        <w:t>Payment of Accounts Payable Invoices</w:t>
      </w:r>
    </w:p>
    <w:p w14:paraId="33FE4483" w14:textId="77777777" w:rsidR="005521E7" w:rsidRPr="00812530" w:rsidRDefault="005521E7" w:rsidP="005521E7">
      <w:pPr>
        <w:autoSpaceDE w:val="0"/>
        <w:autoSpaceDN w:val="0"/>
        <w:adjustRightInd w:val="0"/>
        <w:spacing w:after="0" w:line="240" w:lineRule="auto"/>
        <w:jc w:val="both"/>
        <w:rPr>
          <w:rFonts w:cs="Arial"/>
        </w:rPr>
      </w:pPr>
      <w:r w:rsidRPr="00812530">
        <w:rPr>
          <w:rFonts w:cs="Arial"/>
          <w:color w:val="000000"/>
        </w:rPr>
        <w:t>Once the invoice has been duly certified and authorised, t</w:t>
      </w:r>
      <w:r w:rsidRPr="00812530">
        <w:rPr>
          <w:rFonts w:cs="Arial"/>
        </w:rPr>
        <w:t xml:space="preserve">he Finance Officer enters the invoice into the finance system and matches the invoice to the authorised purchase order recorded against the </w:t>
      </w:r>
      <w:r w:rsidRPr="00812530">
        <w:rPr>
          <w:rFonts w:cs="Arial"/>
        </w:rPr>
        <w:lastRenderedPageBreak/>
        <w:t xml:space="preserve">creditor that has been established in accordance with the Town of East Fremantle’s </w:t>
      </w:r>
      <w:r w:rsidRPr="00812530">
        <w:rPr>
          <w:rFonts w:cs="Arial"/>
          <w:i/>
        </w:rPr>
        <w:t>Purchasing Policy No. 4.2.4</w:t>
      </w:r>
      <w:r w:rsidRPr="00812530">
        <w:rPr>
          <w:rFonts w:cs="Arial"/>
        </w:rPr>
        <w:t>.</w:t>
      </w:r>
    </w:p>
    <w:p w14:paraId="3C9733C6" w14:textId="77777777" w:rsidR="005521E7" w:rsidRPr="00812530" w:rsidRDefault="005521E7" w:rsidP="005521E7">
      <w:pPr>
        <w:autoSpaceDE w:val="0"/>
        <w:autoSpaceDN w:val="0"/>
        <w:adjustRightInd w:val="0"/>
        <w:spacing w:before="200" w:after="0" w:line="240" w:lineRule="auto"/>
        <w:jc w:val="both"/>
        <w:rPr>
          <w:rFonts w:cs="Arial"/>
        </w:rPr>
      </w:pPr>
      <w:r w:rsidRPr="00812530">
        <w:rPr>
          <w:rFonts w:cs="Arial"/>
        </w:rPr>
        <w:t xml:space="preserve">For invoices that do not have a purchase order, a </w:t>
      </w:r>
      <w:r w:rsidRPr="00812530">
        <w:rPr>
          <w:rFonts w:cs="Arial"/>
          <w:i/>
        </w:rPr>
        <w:t>Creditor Processing Form</w:t>
      </w:r>
      <w:r w:rsidRPr="00812530">
        <w:rPr>
          <w:rFonts w:cs="Arial"/>
        </w:rPr>
        <w:t xml:space="preserve"> is required to be completed.  This form ensures that invoice is duly certified and authorised, is a valid tax invoice, is within budget and the nominated general ledger account to be charged is correct.</w:t>
      </w:r>
    </w:p>
    <w:p w14:paraId="0FAA1923" w14:textId="77777777" w:rsidR="005521E7" w:rsidRPr="00812530" w:rsidRDefault="005521E7" w:rsidP="005521E7">
      <w:pPr>
        <w:autoSpaceDE w:val="0"/>
        <w:autoSpaceDN w:val="0"/>
        <w:adjustRightInd w:val="0"/>
        <w:spacing w:before="200" w:after="0" w:line="240" w:lineRule="auto"/>
        <w:jc w:val="both"/>
        <w:rPr>
          <w:rFonts w:cs="Arial"/>
        </w:rPr>
      </w:pPr>
      <w:r w:rsidRPr="00812530">
        <w:rPr>
          <w:rFonts w:cs="Arial"/>
        </w:rPr>
        <w:t xml:space="preserve">The payment of utilities to do not require a purchase order or a </w:t>
      </w:r>
      <w:r w:rsidRPr="00812530">
        <w:rPr>
          <w:rFonts w:cs="Arial"/>
          <w:i/>
        </w:rPr>
        <w:t xml:space="preserve">Creditor Processing Form, </w:t>
      </w:r>
      <w:r w:rsidRPr="00812530">
        <w:rPr>
          <w:rFonts w:cs="Arial"/>
        </w:rPr>
        <w:t>however, the payment of these expenditures is monitored against budget.</w:t>
      </w:r>
    </w:p>
    <w:p w14:paraId="0B92FDE7" w14:textId="77777777" w:rsidR="005521E7" w:rsidRPr="00812530" w:rsidRDefault="005521E7" w:rsidP="005521E7">
      <w:pPr>
        <w:pStyle w:val="Default"/>
        <w:spacing w:before="200" w:after="60"/>
        <w:jc w:val="both"/>
        <w:rPr>
          <w:rFonts w:asciiTheme="minorHAnsi" w:hAnsiTheme="minorHAnsi"/>
          <w:sz w:val="22"/>
          <w:szCs w:val="22"/>
        </w:rPr>
      </w:pPr>
      <w:r w:rsidRPr="00812530">
        <w:rPr>
          <w:rFonts w:asciiTheme="minorHAnsi" w:hAnsiTheme="minorHAnsi"/>
          <w:sz w:val="22"/>
          <w:szCs w:val="22"/>
        </w:rPr>
        <w:t xml:space="preserve">The Finance Officer ensures that Council purchase orders or “Creditor Processing Form” are signed only by Officers authorised by Council, namely the: </w:t>
      </w:r>
    </w:p>
    <w:p w14:paraId="21234483" w14:textId="77777777" w:rsidR="005521E7" w:rsidRPr="00812530" w:rsidRDefault="005521E7" w:rsidP="00AA0C1E">
      <w:pPr>
        <w:pStyle w:val="Default"/>
        <w:numPr>
          <w:ilvl w:val="0"/>
          <w:numId w:val="32"/>
        </w:numPr>
        <w:spacing w:after="60"/>
        <w:ind w:left="567" w:hanging="567"/>
        <w:rPr>
          <w:rFonts w:asciiTheme="minorHAnsi" w:hAnsiTheme="minorHAnsi"/>
          <w:sz w:val="22"/>
          <w:szCs w:val="22"/>
        </w:rPr>
      </w:pPr>
      <w:r w:rsidRPr="00812530">
        <w:rPr>
          <w:rFonts w:asciiTheme="minorHAnsi" w:hAnsiTheme="minorHAnsi"/>
          <w:sz w:val="22"/>
          <w:szCs w:val="22"/>
        </w:rPr>
        <w:t xml:space="preserve">Chief Executive Officer; (as per Budget) </w:t>
      </w:r>
    </w:p>
    <w:p w14:paraId="610814E7" w14:textId="77777777" w:rsidR="005521E7" w:rsidRPr="00812530" w:rsidRDefault="005521E7" w:rsidP="00AA0C1E">
      <w:pPr>
        <w:pStyle w:val="Default"/>
        <w:numPr>
          <w:ilvl w:val="0"/>
          <w:numId w:val="32"/>
        </w:numPr>
        <w:spacing w:after="60"/>
        <w:ind w:left="567" w:hanging="567"/>
        <w:rPr>
          <w:rFonts w:asciiTheme="minorHAnsi" w:hAnsiTheme="minorHAnsi"/>
          <w:sz w:val="22"/>
          <w:szCs w:val="22"/>
        </w:rPr>
      </w:pPr>
      <w:r w:rsidRPr="00812530">
        <w:rPr>
          <w:rFonts w:asciiTheme="minorHAnsi" w:hAnsiTheme="minorHAnsi"/>
          <w:sz w:val="22"/>
          <w:szCs w:val="22"/>
        </w:rPr>
        <w:t>Executive Manager Corporate Services; Limit $50,000</w:t>
      </w:r>
    </w:p>
    <w:p w14:paraId="0E16CE6B" w14:textId="77777777" w:rsidR="005521E7" w:rsidRPr="00812530" w:rsidRDefault="005521E7" w:rsidP="00AA0C1E">
      <w:pPr>
        <w:pStyle w:val="Default"/>
        <w:numPr>
          <w:ilvl w:val="0"/>
          <w:numId w:val="32"/>
        </w:numPr>
        <w:spacing w:after="60"/>
        <w:ind w:left="567" w:hanging="567"/>
        <w:rPr>
          <w:rFonts w:asciiTheme="minorHAnsi" w:hAnsiTheme="minorHAnsi"/>
          <w:sz w:val="22"/>
          <w:szCs w:val="22"/>
        </w:rPr>
      </w:pPr>
      <w:r w:rsidRPr="00812530">
        <w:rPr>
          <w:rFonts w:asciiTheme="minorHAnsi" w:hAnsiTheme="minorHAnsi"/>
          <w:sz w:val="22"/>
          <w:szCs w:val="22"/>
        </w:rPr>
        <w:t xml:space="preserve">Executive Manager Regulatory Services; Limit $50,000 </w:t>
      </w:r>
    </w:p>
    <w:p w14:paraId="58733387" w14:textId="325114D3" w:rsidR="00CE4C1A" w:rsidRPr="00812530" w:rsidRDefault="00CE4C1A" w:rsidP="00CE4C1A">
      <w:pPr>
        <w:pStyle w:val="Default"/>
        <w:numPr>
          <w:ilvl w:val="0"/>
          <w:numId w:val="32"/>
        </w:numPr>
        <w:spacing w:after="60"/>
        <w:ind w:left="567" w:hanging="567"/>
        <w:rPr>
          <w:rFonts w:asciiTheme="minorHAnsi" w:hAnsiTheme="minorHAnsi"/>
          <w:sz w:val="22"/>
          <w:szCs w:val="22"/>
        </w:rPr>
      </w:pPr>
      <w:r>
        <w:rPr>
          <w:rFonts w:asciiTheme="minorHAnsi" w:hAnsiTheme="minorHAnsi"/>
          <w:sz w:val="22"/>
          <w:szCs w:val="22"/>
        </w:rPr>
        <w:t>Executive Manager Technical Services</w:t>
      </w:r>
      <w:r w:rsidRPr="00812530">
        <w:rPr>
          <w:rFonts w:asciiTheme="minorHAnsi" w:hAnsiTheme="minorHAnsi"/>
          <w:sz w:val="22"/>
          <w:szCs w:val="22"/>
        </w:rPr>
        <w:t xml:space="preserve"> Limit $50,000 </w:t>
      </w:r>
    </w:p>
    <w:p w14:paraId="508730F8" w14:textId="77777777" w:rsidR="005521E7" w:rsidRDefault="005521E7" w:rsidP="00AA0C1E">
      <w:pPr>
        <w:pStyle w:val="Default"/>
        <w:numPr>
          <w:ilvl w:val="0"/>
          <w:numId w:val="32"/>
        </w:numPr>
        <w:spacing w:after="60"/>
        <w:ind w:left="567" w:hanging="567"/>
        <w:rPr>
          <w:rFonts w:asciiTheme="minorHAnsi" w:hAnsiTheme="minorHAnsi"/>
          <w:sz w:val="22"/>
          <w:szCs w:val="22"/>
        </w:rPr>
      </w:pPr>
      <w:r w:rsidRPr="00812530">
        <w:rPr>
          <w:rFonts w:asciiTheme="minorHAnsi" w:hAnsiTheme="minorHAnsi"/>
          <w:sz w:val="22"/>
          <w:szCs w:val="22"/>
        </w:rPr>
        <w:t xml:space="preserve">Operations Supervisor; Limit $15,000 </w:t>
      </w:r>
    </w:p>
    <w:p w14:paraId="5CBDA85E" w14:textId="402848C6" w:rsidR="00CE4C1A" w:rsidRPr="00812530" w:rsidRDefault="00CE4C1A" w:rsidP="00AA0C1E">
      <w:pPr>
        <w:pStyle w:val="Default"/>
        <w:numPr>
          <w:ilvl w:val="0"/>
          <w:numId w:val="32"/>
        </w:numPr>
        <w:spacing w:after="60"/>
        <w:ind w:left="567" w:hanging="567"/>
        <w:rPr>
          <w:rFonts w:asciiTheme="minorHAnsi" w:hAnsiTheme="minorHAnsi"/>
          <w:sz w:val="22"/>
          <w:szCs w:val="22"/>
        </w:rPr>
      </w:pPr>
      <w:r>
        <w:rPr>
          <w:rFonts w:asciiTheme="minorHAnsi" w:hAnsiTheme="minorHAnsi"/>
          <w:sz w:val="22"/>
          <w:szCs w:val="22"/>
        </w:rPr>
        <w:t>Supervisor Infrastructure and Assets $15,000</w:t>
      </w:r>
    </w:p>
    <w:p w14:paraId="422020F6" w14:textId="07FBC20A" w:rsidR="005521E7" w:rsidRPr="00812530" w:rsidRDefault="005521E7" w:rsidP="00AA0C1E">
      <w:pPr>
        <w:pStyle w:val="Default"/>
        <w:numPr>
          <w:ilvl w:val="0"/>
          <w:numId w:val="32"/>
        </w:numPr>
        <w:spacing w:after="60"/>
        <w:ind w:left="567" w:hanging="567"/>
        <w:rPr>
          <w:rFonts w:asciiTheme="minorHAnsi" w:hAnsiTheme="minorHAnsi"/>
          <w:sz w:val="22"/>
          <w:szCs w:val="22"/>
        </w:rPr>
      </w:pPr>
      <w:r w:rsidRPr="00812530">
        <w:rPr>
          <w:rFonts w:asciiTheme="minorHAnsi" w:hAnsiTheme="minorHAnsi"/>
          <w:sz w:val="22"/>
          <w:szCs w:val="22"/>
        </w:rPr>
        <w:t xml:space="preserve">Manager Finance, Limit $15,000 </w:t>
      </w:r>
    </w:p>
    <w:p w14:paraId="5F91E4A6" w14:textId="196BD4FB" w:rsidR="005521E7" w:rsidRPr="00812530" w:rsidRDefault="00CE4C1A" w:rsidP="00AA0C1E">
      <w:pPr>
        <w:pStyle w:val="Default"/>
        <w:numPr>
          <w:ilvl w:val="0"/>
          <w:numId w:val="32"/>
        </w:numPr>
        <w:spacing w:after="60"/>
        <w:ind w:left="567" w:hanging="567"/>
        <w:rPr>
          <w:rFonts w:asciiTheme="minorHAnsi" w:hAnsiTheme="minorHAnsi"/>
          <w:sz w:val="22"/>
          <w:szCs w:val="22"/>
        </w:rPr>
      </w:pPr>
      <w:r>
        <w:rPr>
          <w:rFonts w:asciiTheme="minorHAnsi" w:hAnsiTheme="minorHAnsi"/>
          <w:sz w:val="22"/>
          <w:szCs w:val="22"/>
        </w:rPr>
        <w:t>Manager People and Culture</w:t>
      </w:r>
      <w:r w:rsidR="005521E7" w:rsidRPr="00812530">
        <w:rPr>
          <w:rFonts w:asciiTheme="minorHAnsi" w:hAnsiTheme="minorHAnsi"/>
          <w:sz w:val="22"/>
          <w:szCs w:val="22"/>
        </w:rPr>
        <w:t xml:space="preserve">; Limit $5,000 </w:t>
      </w:r>
    </w:p>
    <w:p w14:paraId="57E524ED" w14:textId="00DFCF8D" w:rsidR="00CE4C1A" w:rsidRDefault="00CE4C1A" w:rsidP="00AA0C1E">
      <w:pPr>
        <w:pStyle w:val="Default"/>
        <w:numPr>
          <w:ilvl w:val="0"/>
          <w:numId w:val="32"/>
        </w:numPr>
        <w:spacing w:after="60"/>
        <w:ind w:left="567" w:hanging="567"/>
        <w:rPr>
          <w:rFonts w:asciiTheme="minorHAnsi" w:hAnsiTheme="minorHAnsi"/>
          <w:sz w:val="22"/>
          <w:szCs w:val="22"/>
        </w:rPr>
      </w:pPr>
      <w:r>
        <w:rPr>
          <w:rFonts w:asciiTheme="minorHAnsi" w:hAnsiTheme="minorHAnsi"/>
          <w:sz w:val="22"/>
          <w:szCs w:val="22"/>
        </w:rPr>
        <w:t>Manager Corporate Services; Limit $5,000</w:t>
      </w:r>
    </w:p>
    <w:p w14:paraId="6F900D17" w14:textId="46AF8DF1" w:rsidR="005521E7" w:rsidRPr="00812530" w:rsidRDefault="005521E7" w:rsidP="00AA0C1E">
      <w:pPr>
        <w:pStyle w:val="Default"/>
        <w:numPr>
          <w:ilvl w:val="0"/>
          <w:numId w:val="32"/>
        </w:numPr>
        <w:spacing w:after="60"/>
        <w:ind w:left="567" w:hanging="567"/>
        <w:rPr>
          <w:rFonts w:asciiTheme="minorHAnsi" w:hAnsiTheme="minorHAnsi"/>
          <w:sz w:val="22"/>
          <w:szCs w:val="22"/>
        </w:rPr>
      </w:pPr>
      <w:r w:rsidRPr="00812530">
        <w:rPr>
          <w:rFonts w:asciiTheme="minorHAnsi" w:hAnsiTheme="minorHAnsi"/>
          <w:sz w:val="22"/>
          <w:szCs w:val="22"/>
        </w:rPr>
        <w:t>EA</w:t>
      </w:r>
      <w:r w:rsidR="006B49C8">
        <w:rPr>
          <w:rFonts w:asciiTheme="minorHAnsi" w:hAnsiTheme="minorHAnsi"/>
          <w:sz w:val="22"/>
          <w:szCs w:val="22"/>
        </w:rPr>
        <w:t>/Governance Coordinator</w:t>
      </w:r>
      <w:r w:rsidRPr="00812530">
        <w:rPr>
          <w:rFonts w:asciiTheme="minorHAnsi" w:hAnsiTheme="minorHAnsi"/>
          <w:sz w:val="22"/>
          <w:szCs w:val="22"/>
        </w:rPr>
        <w:t>; Limit $</w:t>
      </w:r>
      <w:r w:rsidR="006B49C8">
        <w:rPr>
          <w:rFonts w:asciiTheme="minorHAnsi" w:hAnsiTheme="minorHAnsi"/>
          <w:sz w:val="22"/>
          <w:szCs w:val="22"/>
        </w:rPr>
        <w:t>5</w:t>
      </w:r>
      <w:r w:rsidRPr="00812530">
        <w:rPr>
          <w:rFonts w:asciiTheme="minorHAnsi" w:hAnsiTheme="minorHAnsi"/>
          <w:sz w:val="22"/>
          <w:szCs w:val="22"/>
        </w:rPr>
        <w:t xml:space="preserve">,000 </w:t>
      </w:r>
    </w:p>
    <w:p w14:paraId="045314C9" w14:textId="65D565CE" w:rsidR="005521E7" w:rsidRDefault="005521E7" w:rsidP="00AA0C1E">
      <w:pPr>
        <w:pStyle w:val="Default"/>
        <w:numPr>
          <w:ilvl w:val="0"/>
          <w:numId w:val="32"/>
        </w:numPr>
        <w:spacing w:after="60"/>
        <w:ind w:left="567" w:hanging="567"/>
        <w:rPr>
          <w:rFonts w:asciiTheme="minorHAnsi" w:hAnsiTheme="minorHAnsi"/>
          <w:sz w:val="22"/>
          <w:szCs w:val="22"/>
        </w:rPr>
      </w:pPr>
      <w:r w:rsidRPr="00812530">
        <w:rPr>
          <w:rFonts w:asciiTheme="minorHAnsi" w:hAnsiTheme="minorHAnsi"/>
          <w:sz w:val="22"/>
          <w:szCs w:val="22"/>
        </w:rPr>
        <w:t xml:space="preserve">Coordinator </w:t>
      </w:r>
      <w:r w:rsidR="00CE4C1A">
        <w:rPr>
          <w:rFonts w:asciiTheme="minorHAnsi" w:hAnsiTheme="minorHAnsi"/>
          <w:sz w:val="22"/>
          <w:szCs w:val="22"/>
        </w:rPr>
        <w:t>Regulatory Services</w:t>
      </w:r>
      <w:r w:rsidRPr="00812530">
        <w:rPr>
          <w:rFonts w:asciiTheme="minorHAnsi" w:hAnsiTheme="minorHAnsi"/>
          <w:sz w:val="22"/>
          <w:szCs w:val="22"/>
        </w:rPr>
        <w:t>; Limit $5</w:t>
      </w:r>
      <w:r w:rsidR="00CE4C1A">
        <w:rPr>
          <w:rFonts w:asciiTheme="minorHAnsi" w:hAnsiTheme="minorHAnsi"/>
          <w:sz w:val="22"/>
          <w:szCs w:val="22"/>
        </w:rPr>
        <w:t>,</w:t>
      </w:r>
      <w:r w:rsidRPr="00812530">
        <w:rPr>
          <w:rFonts w:asciiTheme="minorHAnsi" w:hAnsiTheme="minorHAnsi"/>
          <w:sz w:val="22"/>
          <w:szCs w:val="22"/>
        </w:rPr>
        <w:t>00</w:t>
      </w:r>
      <w:r w:rsidR="00CE4C1A">
        <w:rPr>
          <w:rFonts w:asciiTheme="minorHAnsi" w:hAnsiTheme="minorHAnsi"/>
          <w:sz w:val="22"/>
          <w:szCs w:val="22"/>
        </w:rPr>
        <w:t>0</w:t>
      </w:r>
      <w:r w:rsidRPr="00812530">
        <w:rPr>
          <w:rFonts w:asciiTheme="minorHAnsi" w:hAnsiTheme="minorHAnsi"/>
          <w:sz w:val="22"/>
          <w:szCs w:val="22"/>
        </w:rPr>
        <w:t xml:space="preserve"> </w:t>
      </w:r>
    </w:p>
    <w:p w14:paraId="56A76485" w14:textId="0F5435E4" w:rsidR="00CE4C1A" w:rsidRPr="00812530" w:rsidRDefault="00CE4C1A" w:rsidP="00AA0C1E">
      <w:pPr>
        <w:pStyle w:val="Default"/>
        <w:numPr>
          <w:ilvl w:val="0"/>
          <w:numId w:val="32"/>
        </w:numPr>
        <w:spacing w:after="60"/>
        <w:ind w:left="567" w:hanging="567"/>
        <w:rPr>
          <w:rFonts w:asciiTheme="minorHAnsi" w:hAnsiTheme="minorHAnsi"/>
          <w:sz w:val="22"/>
          <w:szCs w:val="22"/>
        </w:rPr>
      </w:pPr>
      <w:r>
        <w:rPr>
          <w:rFonts w:asciiTheme="minorHAnsi" w:hAnsiTheme="minorHAnsi"/>
          <w:sz w:val="22"/>
          <w:szCs w:val="22"/>
        </w:rPr>
        <w:t>Coordinator Operations; Limit $5.000</w:t>
      </w:r>
    </w:p>
    <w:p w14:paraId="02510604" w14:textId="09741ABF" w:rsidR="005521E7" w:rsidRDefault="005521E7" w:rsidP="00AA0C1E">
      <w:pPr>
        <w:pStyle w:val="Default"/>
        <w:numPr>
          <w:ilvl w:val="0"/>
          <w:numId w:val="32"/>
        </w:numPr>
        <w:spacing w:after="60"/>
        <w:ind w:left="567" w:hanging="567"/>
        <w:rPr>
          <w:rFonts w:asciiTheme="minorHAnsi" w:hAnsiTheme="minorHAnsi"/>
          <w:sz w:val="22"/>
          <w:szCs w:val="22"/>
        </w:rPr>
      </w:pPr>
      <w:r>
        <w:rPr>
          <w:rFonts w:asciiTheme="minorHAnsi" w:hAnsiTheme="minorHAnsi"/>
          <w:sz w:val="22"/>
          <w:szCs w:val="22"/>
        </w:rPr>
        <w:t>Coordinator CHSP (CHSP</w:t>
      </w:r>
      <w:r w:rsidRPr="00812530">
        <w:rPr>
          <w:rFonts w:asciiTheme="minorHAnsi" w:hAnsiTheme="minorHAnsi"/>
          <w:sz w:val="22"/>
          <w:szCs w:val="22"/>
        </w:rPr>
        <w:t xml:space="preserve"> related purchases only); Limit $5</w:t>
      </w:r>
      <w:r w:rsidR="00CE4C1A">
        <w:rPr>
          <w:rFonts w:asciiTheme="minorHAnsi" w:hAnsiTheme="minorHAnsi"/>
          <w:sz w:val="22"/>
          <w:szCs w:val="22"/>
        </w:rPr>
        <w:t>,</w:t>
      </w:r>
      <w:r w:rsidRPr="00812530">
        <w:rPr>
          <w:rFonts w:asciiTheme="minorHAnsi" w:hAnsiTheme="minorHAnsi"/>
          <w:sz w:val="22"/>
          <w:szCs w:val="22"/>
        </w:rPr>
        <w:t>00</w:t>
      </w:r>
      <w:r w:rsidR="00CE4C1A">
        <w:rPr>
          <w:rFonts w:asciiTheme="minorHAnsi" w:hAnsiTheme="minorHAnsi"/>
          <w:sz w:val="22"/>
          <w:szCs w:val="22"/>
        </w:rPr>
        <w:t>0</w:t>
      </w:r>
    </w:p>
    <w:p w14:paraId="0458F9A6" w14:textId="2B845329" w:rsidR="005521E7" w:rsidRDefault="00CE4C1A" w:rsidP="00AA0C1E">
      <w:pPr>
        <w:pStyle w:val="Default"/>
        <w:numPr>
          <w:ilvl w:val="0"/>
          <w:numId w:val="32"/>
        </w:numPr>
        <w:spacing w:after="60"/>
        <w:ind w:left="567" w:hanging="567"/>
        <w:rPr>
          <w:rFonts w:asciiTheme="minorHAnsi" w:hAnsiTheme="minorHAnsi"/>
          <w:sz w:val="22"/>
          <w:szCs w:val="22"/>
        </w:rPr>
      </w:pPr>
      <w:r>
        <w:rPr>
          <w:rFonts w:asciiTheme="minorHAnsi" w:hAnsiTheme="minorHAnsi"/>
          <w:sz w:val="22"/>
          <w:szCs w:val="22"/>
        </w:rPr>
        <w:t>Marketing &amp; Communications Officer; Limit $5.000</w:t>
      </w:r>
    </w:p>
    <w:p w14:paraId="6F629DAC" w14:textId="0BE48408" w:rsidR="00CE4C1A" w:rsidRDefault="00CE4C1A" w:rsidP="00AA0C1E">
      <w:pPr>
        <w:pStyle w:val="Default"/>
        <w:numPr>
          <w:ilvl w:val="0"/>
          <w:numId w:val="32"/>
        </w:numPr>
        <w:spacing w:after="60"/>
        <w:ind w:left="567" w:hanging="567"/>
        <w:rPr>
          <w:rFonts w:asciiTheme="minorHAnsi" w:hAnsiTheme="minorHAnsi"/>
          <w:sz w:val="22"/>
          <w:szCs w:val="22"/>
        </w:rPr>
      </w:pPr>
      <w:r>
        <w:rPr>
          <w:rFonts w:asciiTheme="minorHAnsi" w:hAnsiTheme="minorHAnsi"/>
          <w:sz w:val="22"/>
          <w:szCs w:val="22"/>
        </w:rPr>
        <w:t>Senior Ranger; Limit $2,000</w:t>
      </w:r>
    </w:p>
    <w:p w14:paraId="06C9F7AD" w14:textId="1C5CB6EA" w:rsidR="00CE4C1A" w:rsidRDefault="00CE4C1A" w:rsidP="00AA0C1E">
      <w:pPr>
        <w:pStyle w:val="Default"/>
        <w:numPr>
          <w:ilvl w:val="0"/>
          <w:numId w:val="32"/>
        </w:numPr>
        <w:spacing w:after="60"/>
        <w:ind w:left="567" w:hanging="567"/>
        <w:rPr>
          <w:rFonts w:asciiTheme="minorHAnsi" w:hAnsiTheme="minorHAnsi"/>
          <w:sz w:val="22"/>
          <w:szCs w:val="22"/>
        </w:rPr>
      </w:pPr>
      <w:r>
        <w:rPr>
          <w:rFonts w:asciiTheme="minorHAnsi" w:hAnsiTheme="minorHAnsi"/>
          <w:sz w:val="22"/>
          <w:szCs w:val="22"/>
        </w:rPr>
        <w:t>Community Engagement Officer; Limit $5,000</w:t>
      </w:r>
    </w:p>
    <w:p w14:paraId="0BBB9D01" w14:textId="0DD766A1" w:rsidR="00CE4C1A" w:rsidRPr="00CE4C1A" w:rsidRDefault="00CE4C1A" w:rsidP="00CE4C1A">
      <w:pPr>
        <w:pStyle w:val="Default"/>
        <w:numPr>
          <w:ilvl w:val="0"/>
          <w:numId w:val="32"/>
        </w:numPr>
        <w:spacing w:after="60"/>
        <w:ind w:left="567" w:hanging="567"/>
        <w:rPr>
          <w:rFonts w:asciiTheme="minorHAnsi" w:hAnsiTheme="minorHAnsi"/>
          <w:sz w:val="22"/>
          <w:szCs w:val="22"/>
        </w:rPr>
      </w:pPr>
      <w:r w:rsidRPr="00812530">
        <w:rPr>
          <w:rFonts w:asciiTheme="minorHAnsi" w:hAnsiTheme="minorHAnsi"/>
          <w:sz w:val="22"/>
          <w:szCs w:val="22"/>
        </w:rPr>
        <w:t xml:space="preserve">Principal Environmental Health Officer; Limit $1,500 </w:t>
      </w:r>
    </w:p>
    <w:p w14:paraId="646E0E79" w14:textId="77777777" w:rsidR="005521E7" w:rsidRPr="00812530" w:rsidRDefault="005521E7" w:rsidP="005521E7">
      <w:pPr>
        <w:pStyle w:val="Default"/>
        <w:rPr>
          <w:rFonts w:asciiTheme="minorHAnsi" w:hAnsiTheme="minorHAnsi"/>
          <w:sz w:val="22"/>
          <w:szCs w:val="22"/>
        </w:rPr>
      </w:pPr>
      <w:r w:rsidRPr="00812530">
        <w:rPr>
          <w:rFonts w:asciiTheme="minorHAnsi" w:hAnsiTheme="minorHAnsi"/>
          <w:sz w:val="22"/>
          <w:szCs w:val="22"/>
        </w:rPr>
        <w:t xml:space="preserve">or those Officers acting in the positions from time to time. </w:t>
      </w:r>
    </w:p>
    <w:p w14:paraId="6D2E287F" w14:textId="77777777" w:rsidR="005521E7" w:rsidRPr="00812530" w:rsidRDefault="005521E7" w:rsidP="005521E7">
      <w:pPr>
        <w:autoSpaceDE w:val="0"/>
        <w:autoSpaceDN w:val="0"/>
        <w:adjustRightInd w:val="0"/>
        <w:spacing w:before="200" w:after="0" w:line="240" w:lineRule="auto"/>
        <w:jc w:val="both"/>
        <w:rPr>
          <w:rFonts w:cs="Arial"/>
        </w:rPr>
      </w:pPr>
      <w:r w:rsidRPr="00812530">
        <w:rPr>
          <w:rFonts w:cs="Arial"/>
        </w:rPr>
        <w:t xml:space="preserve">The Town will comply with any agreed payment terms and endeavours to take advantage of discounts offered for prompt payment. </w:t>
      </w:r>
    </w:p>
    <w:p w14:paraId="1ED48999" w14:textId="77777777" w:rsidR="005521E7" w:rsidRPr="00812530" w:rsidRDefault="005521E7" w:rsidP="005521E7">
      <w:pPr>
        <w:autoSpaceDE w:val="0"/>
        <w:autoSpaceDN w:val="0"/>
        <w:adjustRightInd w:val="0"/>
        <w:spacing w:before="200" w:after="0" w:line="240" w:lineRule="auto"/>
        <w:jc w:val="both"/>
        <w:rPr>
          <w:rFonts w:cs="Arial"/>
        </w:rPr>
      </w:pPr>
      <w:r w:rsidRPr="00812530">
        <w:rPr>
          <w:rFonts w:cs="Arial"/>
        </w:rPr>
        <w:t>If no payment terms are specified on the invoice, the invoice will pay within 30 days of receipt.</w:t>
      </w:r>
    </w:p>
    <w:p w14:paraId="5AAF76FE" w14:textId="77777777" w:rsidR="005521E7" w:rsidRPr="00812530" w:rsidRDefault="005521E7" w:rsidP="005521E7">
      <w:pPr>
        <w:autoSpaceDE w:val="0"/>
        <w:autoSpaceDN w:val="0"/>
        <w:adjustRightInd w:val="0"/>
        <w:spacing w:before="200" w:after="0" w:line="240" w:lineRule="auto"/>
        <w:jc w:val="both"/>
        <w:rPr>
          <w:rFonts w:cs="Arial"/>
          <w:color w:val="000000"/>
        </w:rPr>
      </w:pPr>
      <w:r w:rsidRPr="00812530">
        <w:rPr>
          <w:rFonts w:cs="Arial"/>
          <w:color w:val="000000"/>
        </w:rPr>
        <w:t>EFT and cheque payments are processed fortnightly on Wednesdays, unless a prompt payment is required.</w:t>
      </w:r>
    </w:p>
    <w:p w14:paraId="1874C1E5" w14:textId="77777777" w:rsidR="005521E7" w:rsidRPr="00812530" w:rsidRDefault="005521E7" w:rsidP="005521E7">
      <w:pPr>
        <w:spacing w:before="200" w:after="60"/>
        <w:jc w:val="both"/>
        <w:rPr>
          <w:rFonts w:cs="Arial"/>
        </w:rPr>
      </w:pPr>
      <w:r w:rsidRPr="00812530">
        <w:rPr>
          <w:rFonts w:cs="Arial"/>
          <w:color w:val="000000"/>
        </w:rPr>
        <w:t xml:space="preserve">The Finance Officer prepares a batch of invoices for payment from the finance system together with the </w:t>
      </w:r>
      <w:r w:rsidRPr="00812530">
        <w:rPr>
          <w:rFonts w:cs="Arial"/>
          <w:i/>
          <w:color w:val="000000"/>
        </w:rPr>
        <w:t>Creditors to be Paid</w:t>
      </w:r>
      <w:r w:rsidRPr="00812530">
        <w:rPr>
          <w:rFonts w:cs="Arial"/>
          <w:color w:val="000000"/>
        </w:rPr>
        <w:t xml:space="preserve"> listing, and an </w:t>
      </w:r>
      <w:r w:rsidRPr="00812530">
        <w:rPr>
          <w:rFonts w:cs="Arial"/>
          <w:i/>
          <w:color w:val="000000"/>
        </w:rPr>
        <w:t xml:space="preserve">Authorisation Form </w:t>
      </w:r>
      <w:r w:rsidRPr="00812530">
        <w:rPr>
          <w:rFonts w:cs="Arial"/>
          <w:color w:val="000000"/>
        </w:rPr>
        <w:t>that</w:t>
      </w:r>
      <w:r w:rsidRPr="00812530">
        <w:rPr>
          <w:rFonts w:cs="Arial"/>
          <w:i/>
          <w:color w:val="000000"/>
        </w:rPr>
        <w:t xml:space="preserve"> </w:t>
      </w:r>
      <w:r w:rsidRPr="00812530">
        <w:rPr>
          <w:rFonts w:cs="Arial"/>
        </w:rPr>
        <w:t>must be authorised by any two (2) of the following:</w:t>
      </w:r>
    </w:p>
    <w:p w14:paraId="523F3CF1" w14:textId="77777777" w:rsidR="005521E7" w:rsidRPr="00812530" w:rsidRDefault="005521E7" w:rsidP="005521E7">
      <w:pPr>
        <w:spacing w:after="60"/>
        <w:ind w:left="567" w:hanging="567"/>
        <w:jc w:val="both"/>
        <w:rPr>
          <w:rFonts w:cs="Arial"/>
        </w:rPr>
      </w:pPr>
      <w:r w:rsidRPr="00812530">
        <w:rPr>
          <w:rFonts w:cs="Arial"/>
        </w:rPr>
        <w:t xml:space="preserve">(1) </w:t>
      </w:r>
      <w:r w:rsidRPr="00812530">
        <w:rPr>
          <w:rFonts w:cs="Arial"/>
        </w:rPr>
        <w:tab/>
        <w:t xml:space="preserve">Chief Executive Officer </w:t>
      </w:r>
    </w:p>
    <w:p w14:paraId="5F11BFB7" w14:textId="77777777" w:rsidR="005521E7" w:rsidRPr="00812530" w:rsidRDefault="005521E7" w:rsidP="005521E7">
      <w:pPr>
        <w:spacing w:after="60"/>
        <w:ind w:left="567" w:hanging="567"/>
        <w:jc w:val="both"/>
        <w:rPr>
          <w:rFonts w:cs="Arial"/>
        </w:rPr>
      </w:pPr>
      <w:r w:rsidRPr="00812530">
        <w:rPr>
          <w:rFonts w:cs="Arial"/>
        </w:rPr>
        <w:t xml:space="preserve">(2) </w:t>
      </w:r>
      <w:r w:rsidRPr="00812530">
        <w:rPr>
          <w:rFonts w:cs="Arial"/>
        </w:rPr>
        <w:tab/>
        <w:t>Executive Manager Corporate Service</w:t>
      </w:r>
    </w:p>
    <w:p w14:paraId="46F4CB56" w14:textId="77777777" w:rsidR="005521E7" w:rsidRPr="00812530" w:rsidRDefault="005521E7" w:rsidP="005521E7">
      <w:pPr>
        <w:ind w:left="567" w:hanging="567"/>
        <w:jc w:val="both"/>
        <w:rPr>
          <w:rFonts w:cs="Arial"/>
        </w:rPr>
      </w:pPr>
      <w:r w:rsidRPr="00812530">
        <w:rPr>
          <w:rFonts w:cs="Arial"/>
        </w:rPr>
        <w:t xml:space="preserve">(3) </w:t>
      </w:r>
      <w:r w:rsidRPr="00812530">
        <w:rPr>
          <w:rFonts w:cs="Arial"/>
        </w:rPr>
        <w:tab/>
        <w:t xml:space="preserve">Manager Finance </w:t>
      </w:r>
    </w:p>
    <w:p w14:paraId="382985BF" w14:textId="77777777" w:rsidR="005521E7" w:rsidRPr="00812530" w:rsidRDefault="005521E7" w:rsidP="005521E7">
      <w:pPr>
        <w:autoSpaceDE w:val="0"/>
        <w:autoSpaceDN w:val="0"/>
        <w:adjustRightInd w:val="0"/>
        <w:spacing w:line="240" w:lineRule="auto"/>
        <w:jc w:val="both"/>
        <w:rPr>
          <w:rFonts w:cs="Arial"/>
          <w:color w:val="000000"/>
        </w:rPr>
      </w:pPr>
      <w:r w:rsidRPr="00812530">
        <w:rPr>
          <w:rFonts w:cs="Arial"/>
          <w:color w:val="000000"/>
        </w:rPr>
        <w:t>Once the batch is reviewed and authorised the payment of the invoices can be prepared. Payments are generally made via EFT or when required by cheque.</w:t>
      </w:r>
    </w:p>
    <w:p w14:paraId="2BFCD29F" w14:textId="77777777" w:rsidR="005521E7" w:rsidRPr="00812530" w:rsidRDefault="005521E7" w:rsidP="005521E7">
      <w:pPr>
        <w:autoSpaceDE w:val="0"/>
        <w:autoSpaceDN w:val="0"/>
        <w:adjustRightInd w:val="0"/>
        <w:spacing w:line="240" w:lineRule="auto"/>
        <w:jc w:val="both"/>
        <w:rPr>
          <w:rFonts w:cs="Arial"/>
          <w:color w:val="000000"/>
        </w:rPr>
      </w:pPr>
      <w:r w:rsidRPr="00812530">
        <w:rPr>
          <w:rFonts w:cs="Arial"/>
          <w:color w:val="000000"/>
        </w:rPr>
        <w:lastRenderedPageBreak/>
        <w:t>Two signatories are required to authorise an EFT and to sign a cheque.</w:t>
      </w:r>
    </w:p>
    <w:p w14:paraId="1D28D643" w14:textId="77777777" w:rsidR="005521E7" w:rsidRPr="00812530" w:rsidRDefault="005521E7" w:rsidP="005521E7">
      <w:pPr>
        <w:jc w:val="both"/>
        <w:rPr>
          <w:rFonts w:cs="Arial"/>
        </w:rPr>
      </w:pPr>
      <w:r w:rsidRPr="00812530">
        <w:rPr>
          <w:rFonts w:cs="Arial"/>
        </w:rPr>
        <w:t xml:space="preserve">Cheques are pre-printed on Council stationery, pre-numbered and issued in numerical sequence. </w:t>
      </w:r>
      <w:r>
        <w:rPr>
          <w:rFonts w:cs="Arial"/>
        </w:rPr>
        <w:t xml:space="preserve"> U</w:t>
      </w:r>
      <w:r w:rsidRPr="00812530">
        <w:rPr>
          <w:rFonts w:cs="Arial"/>
        </w:rPr>
        <w:t xml:space="preserve">nused cheques are stored securely. </w:t>
      </w:r>
    </w:p>
    <w:p w14:paraId="42B07A2B" w14:textId="77777777" w:rsidR="005521E7" w:rsidRPr="00B943C6" w:rsidRDefault="005521E7" w:rsidP="005521E7">
      <w:pPr>
        <w:tabs>
          <w:tab w:val="left" w:pos="9356"/>
          <w:tab w:val="left" w:pos="10206"/>
        </w:tabs>
        <w:spacing w:after="0" w:line="240" w:lineRule="auto"/>
        <w:ind w:right="284"/>
        <w:jc w:val="both"/>
        <w:rPr>
          <w:rFonts w:cs="Arial"/>
          <w:b/>
        </w:rPr>
      </w:pPr>
      <w:r w:rsidRPr="00B943C6">
        <w:rPr>
          <w:rFonts w:cs="Arial"/>
          <w:b/>
        </w:rPr>
        <w:t xml:space="preserve">Monthly Council Meetings - submission of accounts paid </w:t>
      </w:r>
    </w:p>
    <w:p w14:paraId="074B9572" w14:textId="77777777" w:rsidR="005521E7" w:rsidRPr="00812530" w:rsidRDefault="005521E7" w:rsidP="005521E7">
      <w:pPr>
        <w:tabs>
          <w:tab w:val="left" w:pos="9356"/>
          <w:tab w:val="left" w:pos="10206"/>
        </w:tabs>
        <w:spacing w:after="0" w:line="240" w:lineRule="auto"/>
        <w:ind w:right="-23"/>
        <w:jc w:val="both"/>
        <w:rPr>
          <w:rFonts w:cs="Arial"/>
        </w:rPr>
      </w:pPr>
      <w:r w:rsidRPr="00812530">
        <w:rPr>
          <w:rFonts w:cs="Arial"/>
        </w:rPr>
        <w:t>Each month the Finance Officer prepares a listing of payments made by the Town of East Fremantle.  The listing is reviewed by the Manager Finance &amp; Administration and Executive Manager Corporate Services and presented to Council for approval.</w:t>
      </w:r>
    </w:p>
    <w:p w14:paraId="79B0F760" w14:textId="77777777" w:rsidR="005521E7" w:rsidRPr="00B943C6" w:rsidRDefault="005521E7" w:rsidP="005521E7">
      <w:pPr>
        <w:pStyle w:val="FeatureCopy"/>
        <w:spacing w:before="200"/>
        <w:jc w:val="both"/>
        <w:rPr>
          <w:rFonts w:asciiTheme="minorHAnsi" w:hAnsiTheme="minorHAnsi"/>
          <w:b/>
          <w:bCs/>
          <w:color w:val="000000"/>
          <w:spacing w:val="-2"/>
          <w:szCs w:val="22"/>
        </w:rPr>
      </w:pPr>
      <w:r w:rsidRPr="00B943C6">
        <w:rPr>
          <w:rFonts w:asciiTheme="minorHAnsi" w:hAnsiTheme="minorHAnsi"/>
          <w:b/>
          <w:bCs/>
          <w:color w:val="000000"/>
          <w:spacing w:val="-2"/>
          <w:szCs w:val="22"/>
        </w:rPr>
        <w:t>Record Keeping</w:t>
      </w:r>
    </w:p>
    <w:p w14:paraId="150F0A39" w14:textId="77777777" w:rsidR="005521E7" w:rsidRPr="00812530" w:rsidRDefault="005521E7" w:rsidP="005521E7">
      <w:pPr>
        <w:pStyle w:val="FeatureCopy"/>
        <w:jc w:val="both"/>
        <w:rPr>
          <w:rFonts w:asciiTheme="minorHAnsi" w:hAnsiTheme="minorHAnsi"/>
          <w:bCs/>
          <w:color w:val="000000"/>
          <w:spacing w:val="-2"/>
          <w:szCs w:val="22"/>
        </w:rPr>
      </w:pPr>
      <w:r w:rsidRPr="00812530">
        <w:rPr>
          <w:rFonts w:asciiTheme="minorHAnsi" w:hAnsiTheme="minorHAnsi"/>
          <w:bCs/>
          <w:color w:val="000000"/>
          <w:spacing w:val="-2"/>
          <w:szCs w:val="22"/>
        </w:rPr>
        <w:t>On completion of a payment run the Finance Officer attaches the invoices to the EFT remittance or plain paper copy of the cheque (as appropriate) and files the batches sequentially in folders stored securely.</w:t>
      </w:r>
    </w:p>
    <w:p w14:paraId="7D07F95B" w14:textId="77777777" w:rsidR="005521E7" w:rsidRPr="00B943C6" w:rsidRDefault="005521E7" w:rsidP="005521E7">
      <w:pPr>
        <w:pStyle w:val="FeatureCopy"/>
        <w:spacing w:before="200"/>
        <w:jc w:val="both"/>
        <w:rPr>
          <w:rFonts w:asciiTheme="minorHAnsi" w:hAnsiTheme="minorHAnsi"/>
          <w:b/>
          <w:color w:val="auto"/>
          <w:szCs w:val="22"/>
        </w:rPr>
      </w:pPr>
      <w:r w:rsidRPr="00B943C6">
        <w:rPr>
          <w:rFonts w:asciiTheme="minorHAnsi" w:hAnsiTheme="minorHAnsi"/>
          <w:b/>
          <w:color w:val="auto"/>
          <w:szCs w:val="22"/>
        </w:rPr>
        <w:t>Measuring and monitoring the performance of supplier payments</w:t>
      </w:r>
    </w:p>
    <w:p w14:paraId="35F6114B" w14:textId="77777777" w:rsidR="005521E7" w:rsidRPr="00812530" w:rsidRDefault="005521E7" w:rsidP="005521E7">
      <w:pPr>
        <w:pStyle w:val="FeatureCopy"/>
        <w:spacing w:after="60"/>
        <w:jc w:val="both"/>
        <w:rPr>
          <w:rFonts w:asciiTheme="minorHAnsi" w:hAnsiTheme="minorHAnsi"/>
          <w:bCs/>
          <w:color w:val="000000"/>
          <w:spacing w:val="-2"/>
          <w:szCs w:val="22"/>
        </w:rPr>
      </w:pPr>
      <w:r w:rsidRPr="00812530">
        <w:rPr>
          <w:rFonts w:asciiTheme="minorHAnsi" w:hAnsiTheme="minorHAnsi"/>
          <w:bCs/>
          <w:color w:val="000000"/>
          <w:spacing w:val="-2"/>
          <w:szCs w:val="22"/>
        </w:rPr>
        <w:t xml:space="preserve">The Finance Officer maintains a </w:t>
      </w:r>
      <w:r w:rsidRPr="00812530">
        <w:rPr>
          <w:rFonts w:asciiTheme="minorHAnsi" w:hAnsiTheme="minorHAnsi"/>
          <w:bCs/>
          <w:i/>
          <w:color w:val="000000"/>
          <w:spacing w:val="-2"/>
          <w:szCs w:val="22"/>
        </w:rPr>
        <w:t xml:space="preserve">Creditors </w:t>
      </w:r>
      <w:proofErr w:type="gramStart"/>
      <w:r w:rsidRPr="00812530">
        <w:rPr>
          <w:rFonts w:asciiTheme="minorHAnsi" w:hAnsiTheme="minorHAnsi"/>
          <w:bCs/>
          <w:i/>
          <w:color w:val="000000"/>
          <w:spacing w:val="-2"/>
          <w:szCs w:val="22"/>
        </w:rPr>
        <w:t>Non Compliance</w:t>
      </w:r>
      <w:proofErr w:type="gramEnd"/>
      <w:r w:rsidRPr="00812530">
        <w:rPr>
          <w:rFonts w:asciiTheme="minorHAnsi" w:hAnsiTheme="minorHAnsi"/>
          <w:bCs/>
          <w:i/>
          <w:color w:val="000000"/>
          <w:spacing w:val="-2"/>
          <w:szCs w:val="22"/>
        </w:rPr>
        <w:t xml:space="preserve"> and Improvements Register</w:t>
      </w:r>
      <w:r w:rsidRPr="00812530">
        <w:rPr>
          <w:rFonts w:asciiTheme="minorHAnsi" w:hAnsiTheme="minorHAnsi"/>
          <w:bCs/>
          <w:color w:val="000000"/>
          <w:spacing w:val="-2"/>
          <w:szCs w:val="22"/>
        </w:rPr>
        <w:t>.  This register monitors issues of non-compliance between the approval of purchase orders and the approval of invoices for payment.  The following supplier payment issues are monitored:</w:t>
      </w:r>
    </w:p>
    <w:p w14:paraId="3C024030" w14:textId="77777777" w:rsidR="005521E7" w:rsidRPr="00812530" w:rsidRDefault="005521E7" w:rsidP="00AA0C1E">
      <w:pPr>
        <w:pStyle w:val="FeatureCopy"/>
        <w:numPr>
          <w:ilvl w:val="0"/>
          <w:numId w:val="34"/>
        </w:numPr>
        <w:spacing w:after="60"/>
        <w:ind w:left="567" w:hanging="567"/>
        <w:jc w:val="both"/>
        <w:rPr>
          <w:rFonts w:asciiTheme="minorHAnsi" w:hAnsiTheme="minorHAnsi"/>
          <w:bCs/>
          <w:color w:val="000000"/>
          <w:spacing w:val="-2"/>
          <w:szCs w:val="22"/>
        </w:rPr>
      </w:pPr>
      <w:r w:rsidRPr="00812530">
        <w:rPr>
          <w:rFonts w:asciiTheme="minorHAnsi" w:hAnsiTheme="minorHAnsi"/>
          <w:bCs/>
          <w:color w:val="000000"/>
          <w:spacing w:val="-2"/>
          <w:szCs w:val="22"/>
        </w:rPr>
        <w:t>invoices that vary greater that 10% above the purchase order amount</w:t>
      </w:r>
    </w:p>
    <w:p w14:paraId="3D655864" w14:textId="77777777" w:rsidR="005521E7" w:rsidRPr="00812530" w:rsidRDefault="005521E7" w:rsidP="00AA0C1E">
      <w:pPr>
        <w:pStyle w:val="FeatureCopy"/>
        <w:numPr>
          <w:ilvl w:val="0"/>
          <w:numId w:val="34"/>
        </w:numPr>
        <w:spacing w:after="60"/>
        <w:ind w:left="567" w:hanging="567"/>
        <w:jc w:val="both"/>
        <w:rPr>
          <w:rFonts w:asciiTheme="minorHAnsi" w:hAnsiTheme="minorHAnsi"/>
          <w:bCs/>
          <w:color w:val="000000"/>
          <w:spacing w:val="-2"/>
          <w:szCs w:val="22"/>
        </w:rPr>
      </w:pPr>
      <w:r w:rsidRPr="00812530">
        <w:rPr>
          <w:rFonts w:asciiTheme="minorHAnsi" w:hAnsiTheme="minorHAnsi"/>
          <w:bCs/>
          <w:color w:val="000000"/>
          <w:spacing w:val="-2"/>
          <w:szCs w:val="22"/>
        </w:rPr>
        <w:t>purchase orders that are dated after the invoice date</w:t>
      </w:r>
    </w:p>
    <w:p w14:paraId="73FCBDD4" w14:textId="77777777" w:rsidR="005521E7" w:rsidRPr="00812530" w:rsidRDefault="005521E7" w:rsidP="00AA0C1E">
      <w:pPr>
        <w:pStyle w:val="FeatureCopy"/>
        <w:numPr>
          <w:ilvl w:val="0"/>
          <w:numId w:val="34"/>
        </w:numPr>
        <w:spacing w:after="60"/>
        <w:ind w:left="567" w:hanging="567"/>
        <w:jc w:val="both"/>
        <w:rPr>
          <w:rFonts w:asciiTheme="minorHAnsi" w:hAnsiTheme="minorHAnsi"/>
          <w:bCs/>
          <w:color w:val="000000"/>
          <w:spacing w:val="-2"/>
          <w:szCs w:val="22"/>
        </w:rPr>
      </w:pPr>
      <w:r w:rsidRPr="00812530">
        <w:rPr>
          <w:rFonts w:asciiTheme="minorHAnsi" w:hAnsiTheme="minorHAnsi"/>
          <w:bCs/>
          <w:color w:val="000000"/>
          <w:spacing w:val="-2"/>
          <w:szCs w:val="22"/>
        </w:rPr>
        <w:t>purchase orders that do not follow the correct quote procedure in accordance with the Purchasing Policy</w:t>
      </w:r>
    </w:p>
    <w:p w14:paraId="420B757C" w14:textId="77777777" w:rsidR="005521E7" w:rsidRPr="00812530" w:rsidRDefault="005521E7" w:rsidP="00AA0C1E">
      <w:pPr>
        <w:pStyle w:val="FeatureCopy"/>
        <w:numPr>
          <w:ilvl w:val="0"/>
          <w:numId w:val="34"/>
        </w:numPr>
        <w:spacing w:after="60"/>
        <w:ind w:left="567" w:hanging="567"/>
        <w:jc w:val="both"/>
        <w:rPr>
          <w:rFonts w:asciiTheme="minorHAnsi" w:hAnsiTheme="minorHAnsi"/>
          <w:bCs/>
          <w:color w:val="000000"/>
          <w:spacing w:val="-2"/>
          <w:szCs w:val="22"/>
        </w:rPr>
      </w:pPr>
      <w:r w:rsidRPr="00812530">
        <w:rPr>
          <w:rFonts w:asciiTheme="minorHAnsi" w:hAnsiTheme="minorHAnsi"/>
          <w:bCs/>
          <w:color w:val="000000"/>
          <w:spacing w:val="-2"/>
          <w:szCs w:val="22"/>
        </w:rPr>
        <w:t>the justification for a sole supplier arrangement</w:t>
      </w:r>
    </w:p>
    <w:p w14:paraId="4CA6FF78" w14:textId="77777777" w:rsidR="005521E7" w:rsidRPr="00812530" w:rsidRDefault="005521E7" w:rsidP="00AA0C1E">
      <w:pPr>
        <w:pStyle w:val="FeatureCopy"/>
        <w:numPr>
          <w:ilvl w:val="0"/>
          <w:numId w:val="34"/>
        </w:numPr>
        <w:spacing w:after="60"/>
        <w:ind w:left="567" w:hanging="567"/>
        <w:jc w:val="both"/>
        <w:rPr>
          <w:rFonts w:asciiTheme="minorHAnsi" w:hAnsiTheme="minorHAnsi"/>
          <w:bCs/>
          <w:color w:val="000000"/>
          <w:spacing w:val="-2"/>
          <w:szCs w:val="22"/>
        </w:rPr>
      </w:pPr>
      <w:r w:rsidRPr="00812530">
        <w:rPr>
          <w:rFonts w:asciiTheme="minorHAnsi" w:hAnsiTheme="minorHAnsi"/>
          <w:bCs/>
          <w:color w:val="000000"/>
          <w:spacing w:val="-2"/>
          <w:szCs w:val="22"/>
        </w:rPr>
        <w:t>purchase orders have a request for tender or a request for quote number state when applicable</w:t>
      </w:r>
    </w:p>
    <w:p w14:paraId="3DA38E3D" w14:textId="77777777" w:rsidR="005521E7" w:rsidRPr="00812530" w:rsidRDefault="005521E7" w:rsidP="00AA0C1E">
      <w:pPr>
        <w:pStyle w:val="FeatureCopy"/>
        <w:numPr>
          <w:ilvl w:val="0"/>
          <w:numId w:val="34"/>
        </w:numPr>
        <w:spacing w:after="60"/>
        <w:ind w:left="567" w:hanging="567"/>
        <w:jc w:val="both"/>
        <w:rPr>
          <w:rFonts w:asciiTheme="minorHAnsi" w:hAnsiTheme="minorHAnsi"/>
          <w:bCs/>
          <w:color w:val="000000"/>
          <w:spacing w:val="-2"/>
          <w:szCs w:val="22"/>
        </w:rPr>
      </w:pPr>
      <w:r w:rsidRPr="00812530">
        <w:rPr>
          <w:rFonts w:asciiTheme="minorHAnsi" w:hAnsiTheme="minorHAnsi"/>
          <w:bCs/>
          <w:color w:val="000000"/>
          <w:spacing w:val="-2"/>
          <w:szCs w:val="22"/>
        </w:rPr>
        <w:t xml:space="preserve">purchase orders have a </w:t>
      </w:r>
      <w:proofErr w:type="gramStart"/>
      <w:r w:rsidRPr="00812530">
        <w:rPr>
          <w:rFonts w:asciiTheme="minorHAnsi" w:hAnsiTheme="minorHAnsi"/>
          <w:bCs/>
          <w:color w:val="000000"/>
          <w:spacing w:val="-2"/>
          <w:szCs w:val="22"/>
        </w:rPr>
        <w:t>WALGA  or</w:t>
      </w:r>
      <w:proofErr w:type="gramEnd"/>
      <w:r w:rsidRPr="00812530">
        <w:rPr>
          <w:rFonts w:asciiTheme="minorHAnsi" w:hAnsiTheme="minorHAnsi"/>
          <w:bCs/>
          <w:color w:val="000000"/>
          <w:spacing w:val="-2"/>
          <w:szCs w:val="22"/>
        </w:rPr>
        <w:t xml:space="preserve"> Common Use Arrangement contract number stated when applicable </w:t>
      </w:r>
    </w:p>
    <w:p w14:paraId="4694865D" w14:textId="77777777" w:rsidR="005521E7" w:rsidRPr="00812530" w:rsidRDefault="005521E7" w:rsidP="005521E7">
      <w:pPr>
        <w:pStyle w:val="FeatureCopy"/>
        <w:spacing w:before="200"/>
        <w:jc w:val="both"/>
        <w:rPr>
          <w:rFonts w:asciiTheme="minorHAnsi" w:hAnsiTheme="minorHAnsi"/>
          <w:bCs/>
          <w:color w:val="000000"/>
          <w:spacing w:val="-2"/>
          <w:szCs w:val="22"/>
        </w:rPr>
      </w:pPr>
      <w:r w:rsidRPr="00812530">
        <w:rPr>
          <w:rFonts w:asciiTheme="minorHAnsi" w:hAnsiTheme="minorHAnsi"/>
          <w:bCs/>
          <w:color w:val="000000"/>
          <w:spacing w:val="-2"/>
          <w:szCs w:val="22"/>
        </w:rPr>
        <w:t xml:space="preserve">On completion of a payment run the Finance Officer enters the details of any invoice which has been paid after 30 days or after its terms of trade (if less than 30 days) into the </w:t>
      </w:r>
      <w:r w:rsidRPr="00812530">
        <w:rPr>
          <w:rFonts w:asciiTheme="minorHAnsi" w:hAnsiTheme="minorHAnsi"/>
          <w:bCs/>
          <w:i/>
          <w:color w:val="000000"/>
          <w:spacing w:val="-2"/>
          <w:szCs w:val="22"/>
        </w:rPr>
        <w:t>Late Creditor Payments Register</w:t>
      </w:r>
      <w:r w:rsidRPr="00812530">
        <w:rPr>
          <w:rFonts w:asciiTheme="minorHAnsi" w:hAnsiTheme="minorHAnsi"/>
          <w:bCs/>
          <w:color w:val="000000"/>
          <w:spacing w:val="-2"/>
          <w:szCs w:val="22"/>
        </w:rPr>
        <w:t xml:space="preserve">. </w:t>
      </w:r>
    </w:p>
    <w:p w14:paraId="4AF36D35" w14:textId="77777777" w:rsidR="005521E7" w:rsidRPr="00812530" w:rsidRDefault="005521E7" w:rsidP="005521E7">
      <w:pPr>
        <w:pStyle w:val="FeatureCopy"/>
        <w:spacing w:before="200"/>
        <w:jc w:val="both"/>
        <w:rPr>
          <w:rFonts w:asciiTheme="minorHAnsi" w:hAnsiTheme="minorHAnsi"/>
          <w:bCs/>
          <w:color w:val="auto"/>
          <w:spacing w:val="-2"/>
          <w:szCs w:val="22"/>
          <w:lang w:val="en-GB"/>
        </w:rPr>
      </w:pPr>
      <w:r w:rsidRPr="00812530">
        <w:rPr>
          <w:rFonts w:asciiTheme="minorHAnsi" w:hAnsiTheme="minorHAnsi"/>
          <w:bCs/>
          <w:color w:val="auto"/>
          <w:spacing w:val="-2"/>
          <w:szCs w:val="22"/>
          <w:lang w:val="en-GB"/>
        </w:rPr>
        <w:t xml:space="preserve">The maintenance of these registers </w:t>
      </w:r>
      <w:proofErr w:type="gramStart"/>
      <w:r w:rsidRPr="00812530">
        <w:rPr>
          <w:rFonts w:asciiTheme="minorHAnsi" w:hAnsiTheme="minorHAnsi"/>
          <w:bCs/>
          <w:color w:val="auto"/>
          <w:spacing w:val="-2"/>
          <w:szCs w:val="22"/>
          <w:lang w:val="en-GB"/>
        </w:rPr>
        <w:t>detail</w:t>
      </w:r>
      <w:proofErr w:type="gramEnd"/>
      <w:r w:rsidRPr="00812530">
        <w:rPr>
          <w:rFonts w:asciiTheme="minorHAnsi" w:hAnsiTheme="minorHAnsi"/>
          <w:bCs/>
          <w:color w:val="auto"/>
          <w:spacing w:val="-2"/>
          <w:szCs w:val="22"/>
          <w:lang w:val="en-GB"/>
        </w:rPr>
        <w:t xml:space="preserve"> any non-compliance, measures the number of invoices that are non-compliant and allows the Finance team to improve the performance of the Town of East Fremantle in paying its invoices.  </w:t>
      </w:r>
    </w:p>
    <w:p w14:paraId="77B178C5" w14:textId="77777777" w:rsidR="005521E7" w:rsidRPr="00812530" w:rsidRDefault="005521E7" w:rsidP="005521E7">
      <w:pPr>
        <w:pStyle w:val="FeatureCopy"/>
        <w:spacing w:before="200"/>
        <w:jc w:val="both"/>
        <w:rPr>
          <w:rFonts w:asciiTheme="minorHAnsi" w:hAnsiTheme="minorHAnsi"/>
          <w:bCs/>
          <w:color w:val="auto"/>
          <w:spacing w:val="-2"/>
          <w:szCs w:val="22"/>
        </w:rPr>
      </w:pPr>
      <w:r w:rsidRPr="00812530">
        <w:rPr>
          <w:rFonts w:asciiTheme="minorHAnsi" w:hAnsiTheme="minorHAnsi"/>
          <w:bCs/>
          <w:color w:val="auto"/>
          <w:spacing w:val="-2"/>
          <w:szCs w:val="22"/>
          <w:lang w:val="en-GB"/>
        </w:rPr>
        <w:t>The use of these registers will also assist in identifying any breaches of this policy.</w:t>
      </w:r>
    </w:p>
    <w:p w14:paraId="6E731AB2" w14:textId="77777777" w:rsidR="005521E7" w:rsidRPr="00B943C6" w:rsidRDefault="005521E7" w:rsidP="005521E7">
      <w:pPr>
        <w:pStyle w:val="FeatureCopy"/>
        <w:spacing w:before="200"/>
        <w:jc w:val="both"/>
        <w:rPr>
          <w:rFonts w:asciiTheme="minorHAnsi" w:hAnsiTheme="minorHAnsi"/>
          <w:b/>
          <w:color w:val="auto"/>
          <w:szCs w:val="22"/>
        </w:rPr>
      </w:pPr>
      <w:r w:rsidRPr="00B943C6">
        <w:rPr>
          <w:rFonts w:asciiTheme="minorHAnsi" w:hAnsiTheme="minorHAnsi"/>
          <w:b/>
          <w:color w:val="auto"/>
          <w:szCs w:val="22"/>
        </w:rPr>
        <w:t>Consequences of Breaching this Policy</w:t>
      </w:r>
    </w:p>
    <w:p w14:paraId="50D405B1" w14:textId="77777777" w:rsidR="005521E7" w:rsidRPr="00812530" w:rsidRDefault="005521E7" w:rsidP="005521E7">
      <w:pPr>
        <w:pStyle w:val="FeatureCopy"/>
        <w:spacing w:after="60"/>
        <w:jc w:val="both"/>
        <w:rPr>
          <w:rFonts w:asciiTheme="minorHAnsi" w:hAnsiTheme="minorHAnsi"/>
          <w:bCs/>
          <w:color w:val="auto"/>
          <w:spacing w:val="-2"/>
          <w:szCs w:val="22"/>
          <w:lang w:val="en-GB"/>
        </w:rPr>
      </w:pPr>
      <w:r w:rsidRPr="00812530">
        <w:rPr>
          <w:rFonts w:asciiTheme="minorHAnsi" w:hAnsiTheme="minorHAnsi"/>
          <w:bCs/>
          <w:color w:val="000000"/>
          <w:spacing w:val="-2"/>
          <w:szCs w:val="22"/>
        </w:rPr>
        <w:t>The policy</w:t>
      </w:r>
      <w:r w:rsidRPr="00812530">
        <w:rPr>
          <w:rFonts w:asciiTheme="minorHAnsi" w:hAnsiTheme="minorHAnsi"/>
          <w:bCs/>
          <w:color w:val="000000"/>
          <w:spacing w:val="-2"/>
          <w:szCs w:val="22"/>
          <w:lang w:val="en-GB"/>
        </w:rPr>
        <w:t xml:space="preserve"> constitutes a lawful instruction to staff members involved in administering accounts payable transactions. Any </w:t>
      </w:r>
      <w:r w:rsidRPr="00812530">
        <w:rPr>
          <w:rFonts w:asciiTheme="minorHAnsi" w:hAnsiTheme="minorHAnsi"/>
          <w:bCs/>
          <w:color w:val="auto"/>
          <w:spacing w:val="-2"/>
          <w:szCs w:val="22"/>
          <w:lang w:val="en-GB"/>
        </w:rPr>
        <w:t>breaches of the policy may lead to disciplinary action.</w:t>
      </w:r>
    </w:p>
    <w:p w14:paraId="70EB27D9" w14:textId="77777777" w:rsidR="005521E7" w:rsidRPr="00B943C6" w:rsidRDefault="005521E7" w:rsidP="005521E7">
      <w:pPr>
        <w:pStyle w:val="FeatureCopy"/>
        <w:tabs>
          <w:tab w:val="left" w:pos="10206"/>
        </w:tabs>
        <w:spacing w:before="200"/>
        <w:ind w:right="284"/>
        <w:jc w:val="both"/>
        <w:rPr>
          <w:rFonts w:asciiTheme="minorHAnsi" w:hAnsiTheme="minorHAnsi"/>
          <w:b/>
          <w:color w:val="auto"/>
          <w:szCs w:val="22"/>
        </w:rPr>
      </w:pPr>
      <w:r w:rsidRPr="00B943C6">
        <w:rPr>
          <w:rFonts w:asciiTheme="minorHAnsi" w:hAnsiTheme="minorHAnsi"/>
          <w:b/>
          <w:color w:val="auto"/>
          <w:szCs w:val="22"/>
        </w:rPr>
        <w:t>Variation to this Policy</w:t>
      </w:r>
    </w:p>
    <w:p w14:paraId="086493CA" w14:textId="77777777" w:rsidR="005521E7" w:rsidRPr="00812530" w:rsidRDefault="005521E7" w:rsidP="005521E7">
      <w:pPr>
        <w:tabs>
          <w:tab w:val="left" w:pos="851"/>
          <w:tab w:val="left" w:pos="1418"/>
        </w:tabs>
        <w:spacing w:line="240" w:lineRule="auto"/>
        <w:jc w:val="both"/>
      </w:pPr>
      <w:r w:rsidRPr="00812530">
        <w:rPr>
          <w:rFonts w:cs="Arial"/>
          <w:color w:val="1D1B11" w:themeColor="background2" w:themeShade="1A"/>
          <w:lang w:val="en-GB"/>
        </w:rPr>
        <w:t xml:space="preserve">This policy may be varied from time to time. All the organisation’s employees will be notified of any variation to this policy by the normal correspondence method. </w:t>
      </w:r>
    </w:p>
    <w:tbl>
      <w:tblPr>
        <w:tblStyle w:val="TableGrid"/>
        <w:tblW w:w="0" w:type="auto"/>
        <w:tblLook w:val="04A0" w:firstRow="1" w:lastRow="0" w:firstColumn="1" w:lastColumn="0" w:noHBand="0" w:noVBand="1"/>
      </w:tblPr>
      <w:tblGrid>
        <w:gridCol w:w="3114"/>
        <w:gridCol w:w="5902"/>
      </w:tblGrid>
      <w:tr w:rsidR="005521E7" w:rsidRPr="00812530" w14:paraId="2E416B1E" w14:textId="77777777" w:rsidTr="00C33FE0">
        <w:tc>
          <w:tcPr>
            <w:tcW w:w="3114" w:type="dxa"/>
          </w:tcPr>
          <w:p w14:paraId="15866BDA" w14:textId="77777777" w:rsidR="005521E7" w:rsidRPr="00812530" w:rsidRDefault="005521E7" w:rsidP="00C33FE0">
            <w:pPr>
              <w:jc w:val="both"/>
              <w:rPr>
                <w:rFonts w:cs="Arial"/>
                <w:b/>
                <w:lang w:val="en-US"/>
              </w:rPr>
            </w:pPr>
            <w:r w:rsidRPr="00812530">
              <w:rPr>
                <w:rFonts w:cs="Arial"/>
                <w:b/>
                <w:lang w:val="en-US"/>
              </w:rPr>
              <w:t>Responsible Directorate:</w:t>
            </w:r>
          </w:p>
        </w:tc>
        <w:tc>
          <w:tcPr>
            <w:tcW w:w="5902" w:type="dxa"/>
          </w:tcPr>
          <w:p w14:paraId="60E437E6" w14:textId="77777777" w:rsidR="005521E7" w:rsidRPr="00812530" w:rsidRDefault="005521E7" w:rsidP="00C33FE0">
            <w:pPr>
              <w:jc w:val="both"/>
              <w:rPr>
                <w:rFonts w:cs="Arial"/>
                <w:lang w:val="en-US"/>
              </w:rPr>
            </w:pPr>
            <w:r w:rsidRPr="00812530">
              <w:rPr>
                <w:rFonts w:cs="Arial"/>
                <w:lang w:val="en-US"/>
              </w:rPr>
              <w:t>Finance and Administration</w:t>
            </w:r>
          </w:p>
        </w:tc>
      </w:tr>
      <w:tr w:rsidR="005521E7" w:rsidRPr="00812530" w14:paraId="3C9A14B5" w14:textId="77777777" w:rsidTr="00C33FE0">
        <w:tc>
          <w:tcPr>
            <w:tcW w:w="3114" w:type="dxa"/>
          </w:tcPr>
          <w:p w14:paraId="1EB71B58" w14:textId="77777777" w:rsidR="005521E7" w:rsidRPr="00812530" w:rsidRDefault="005521E7" w:rsidP="00C33FE0">
            <w:pPr>
              <w:jc w:val="both"/>
              <w:rPr>
                <w:rFonts w:cs="Arial"/>
                <w:b/>
                <w:lang w:val="en-US"/>
              </w:rPr>
            </w:pPr>
            <w:r w:rsidRPr="00812530">
              <w:rPr>
                <w:rFonts w:cs="Arial"/>
                <w:b/>
                <w:lang w:val="en-US"/>
              </w:rPr>
              <w:t>Reviewing Officer:</w:t>
            </w:r>
          </w:p>
        </w:tc>
        <w:tc>
          <w:tcPr>
            <w:tcW w:w="5902" w:type="dxa"/>
          </w:tcPr>
          <w:p w14:paraId="71A0B058" w14:textId="77777777" w:rsidR="005521E7" w:rsidRPr="00812530" w:rsidRDefault="005521E7" w:rsidP="00C33FE0">
            <w:pPr>
              <w:jc w:val="both"/>
              <w:rPr>
                <w:rFonts w:cs="Arial"/>
                <w:lang w:val="en-US"/>
              </w:rPr>
            </w:pPr>
            <w:r w:rsidRPr="00812530">
              <w:rPr>
                <w:rFonts w:cs="Arial"/>
                <w:lang w:val="en-US"/>
              </w:rPr>
              <w:t>Executive Manager Corporate Services</w:t>
            </w:r>
          </w:p>
        </w:tc>
      </w:tr>
      <w:tr w:rsidR="005521E7" w:rsidRPr="00812530" w14:paraId="6687215E" w14:textId="77777777" w:rsidTr="00C33FE0">
        <w:tc>
          <w:tcPr>
            <w:tcW w:w="3114" w:type="dxa"/>
          </w:tcPr>
          <w:p w14:paraId="7E193D97" w14:textId="77777777" w:rsidR="005521E7" w:rsidRPr="00812530" w:rsidRDefault="005521E7" w:rsidP="00C33FE0">
            <w:pPr>
              <w:jc w:val="both"/>
              <w:rPr>
                <w:rFonts w:cs="Arial"/>
                <w:b/>
                <w:lang w:val="en-US"/>
              </w:rPr>
            </w:pPr>
            <w:r w:rsidRPr="00812530">
              <w:rPr>
                <w:rFonts w:cs="Arial"/>
                <w:b/>
                <w:lang w:val="en-US"/>
              </w:rPr>
              <w:t>Decision making Authority:</w:t>
            </w:r>
          </w:p>
        </w:tc>
        <w:tc>
          <w:tcPr>
            <w:tcW w:w="5902" w:type="dxa"/>
          </w:tcPr>
          <w:p w14:paraId="295CC1E4" w14:textId="77777777" w:rsidR="005521E7" w:rsidRPr="00812530" w:rsidRDefault="005521E7" w:rsidP="00C33FE0">
            <w:pPr>
              <w:jc w:val="both"/>
              <w:rPr>
                <w:rFonts w:cs="Arial"/>
                <w:lang w:val="en-US"/>
              </w:rPr>
            </w:pPr>
            <w:r w:rsidRPr="00812530">
              <w:rPr>
                <w:rFonts w:cs="Arial"/>
                <w:lang w:val="en-US"/>
              </w:rPr>
              <w:t>Council</w:t>
            </w:r>
          </w:p>
        </w:tc>
      </w:tr>
      <w:tr w:rsidR="005521E7" w:rsidRPr="00812530" w14:paraId="1FDE3B22" w14:textId="77777777" w:rsidTr="00C33FE0">
        <w:tc>
          <w:tcPr>
            <w:tcW w:w="3114" w:type="dxa"/>
          </w:tcPr>
          <w:p w14:paraId="6917EF4F" w14:textId="77777777" w:rsidR="005521E7" w:rsidRPr="00812530" w:rsidRDefault="005521E7" w:rsidP="00C33FE0">
            <w:pPr>
              <w:jc w:val="both"/>
              <w:rPr>
                <w:rFonts w:cs="Arial"/>
                <w:b/>
                <w:lang w:val="en-US"/>
              </w:rPr>
            </w:pPr>
            <w:r w:rsidRPr="00812530">
              <w:rPr>
                <w:rFonts w:cs="Arial"/>
                <w:b/>
                <w:lang w:val="en-US"/>
              </w:rPr>
              <w:t>Policy Adopted:</w:t>
            </w:r>
          </w:p>
        </w:tc>
        <w:tc>
          <w:tcPr>
            <w:tcW w:w="5902" w:type="dxa"/>
          </w:tcPr>
          <w:p w14:paraId="56449392" w14:textId="77777777" w:rsidR="005521E7" w:rsidRPr="00812530" w:rsidRDefault="005521E7" w:rsidP="00C33FE0">
            <w:pPr>
              <w:jc w:val="both"/>
              <w:rPr>
                <w:rFonts w:cs="Arial"/>
                <w:lang w:val="en-US"/>
              </w:rPr>
            </w:pPr>
            <w:r w:rsidRPr="00812530">
              <w:rPr>
                <w:rFonts w:cs="Arial"/>
                <w:lang w:val="en-US"/>
              </w:rPr>
              <w:t>19/03/19</w:t>
            </w:r>
          </w:p>
        </w:tc>
      </w:tr>
      <w:tr w:rsidR="005521E7" w:rsidRPr="00812530" w14:paraId="4FE44154" w14:textId="77777777" w:rsidTr="00C33FE0">
        <w:tc>
          <w:tcPr>
            <w:tcW w:w="3114" w:type="dxa"/>
          </w:tcPr>
          <w:p w14:paraId="2B8F3AD4" w14:textId="77777777" w:rsidR="005521E7" w:rsidRPr="00812530" w:rsidRDefault="005521E7" w:rsidP="00C33FE0">
            <w:pPr>
              <w:jc w:val="both"/>
              <w:rPr>
                <w:rFonts w:cs="Arial"/>
                <w:b/>
                <w:lang w:val="en-US"/>
              </w:rPr>
            </w:pPr>
            <w:r>
              <w:rPr>
                <w:rFonts w:cs="Arial"/>
                <w:b/>
                <w:lang w:val="en-US"/>
              </w:rPr>
              <w:t>Policy Amended/Reviewed:</w:t>
            </w:r>
          </w:p>
        </w:tc>
        <w:tc>
          <w:tcPr>
            <w:tcW w:w="5902" w:type="dxa"/>
          </w:tcPr>
          <w:p w14:paraId="30D0A8B0" w14:textId="77777777" w:rsidR="005521E7" w:rsidRPr="00812530" w:rsidRDefault="007714E3" w:rsidP="00C33FE0">
            <w:pPr>
              <w:jc w:val="both"/>
              <w:rPr>
                <w:rFonts w:cs="Arial"/>
                <w:lang w:val="en-US"/>
              </w:rPr>
            </w:pPr>
            <w:r>
              <w:rPr>
                <w:rFonts w:cs="Arial"/>
                <w:lang w:val="en-US"/>
              </w:rPr>
              <w:t>17/9/19</w:t>
            </w:r>
          </w:p>
        </w:tc>
      </w:tr>
      <w:tr w:rsidR="005521E7" w:rsidRPr="00812530" w14:paraId="30411B46" w14:textId="77777777" w:rsidTr="00C33FE0">
        <w:tc>
          <w:tcPr>
            <w:tcW w:w="3114" w:type="dxa"/>
          </w:tcPr>
          <w:p w14:paraId="02AB01BF" w14:textId="77777777" w:rsidR="005521E7" w:rsidRPr="00812530" w:rsidRDefault="005521E7" w:rsidP="00C33FE0">
            <w:pPr>
              <w:jc w:val="both"/>
              <w:rPr>
                <w:rFonts w:cs="Arial"/>
                <w:b/>
                <w:lang w:val="en-US"/>
              </w:rPr>
            </w:pPr>
            <w:r>
              <w:rPr>
                <w:rFonts w:cs="Arial"/>
                <w:b/>
                <w:lang w:val="en-US"/>
              </w:rPr>
              <w:t>Former Policy No</w:t>
            </w:r>
            <w:r w:rsidRPr="00812530">
              <w:rPr>
                <w:rFonts w:cs="Arial"/>
                <w:b/>
                <w:lang w:val="en-US"/>
              </w:rPr>
              <w:t>:</w:t>
            </w:r>
          </w:p>
        </w:tc>
        <w:tc>
          <w:tcPr>
            <w:tcW w:w="5902" w:type="dxa"/>
          </w:tcPr>
          <w:p w14:paraId="756EA1C6" w14:textId="77777777" w:rsidR="005521E7" w:rsidRPr="00812530" w:rsidRDefault="005521E7" w:rsidP="00C33FE0">
            <w:pPr>
              <w:jc w:val="both"/>
              <w:rPr>
                <w:rFonts w:cs="Arial"/>
                <w:lang w:val="en-US"/>
              </w:rPr>
            </w:pPr>
            <w:r>
              <w:rPr>
                <w:rFonts w:cs="Arial"/>
                <w:lang w:val="en-US"/>
              </w:rPr>
              <w:t>4.2.12</w:t>
            </w:r>
          </w:p>
        </w:tc>
      </w:tr>
    </w:tbl>
    <w:p w14:paraId="4CC01E07" w14:textId="77777777" w:rsidR="00B943C6" w:rsidRDefault="00B943C6" w:rsidP="00EA79AC">
      <w:pPr>
        <w:spacing w:after="0"/>
        <w:jc w:val="both"/>
        <w:rPr>
          <w:rFonts w:cs="Arial"/>
          <w:b/>
          <w:lang w:val="en-US"/>
        </w:rPr>
      </w:pPr>
    </w:p>
    <w:p w14:paraId="014CC4F8" w14:textId="77777777" w:rsidR="00EA79AC" w:rsidRPr="00EA79AC" w:rsidRDefault="00B943C6" w:rsidP="00EA79AC">
      <w:pPr>
        <w:spacing w:after="0"/>
        <w:jc w:val="both"/>
        <w:rPr>
          <w:rFonts w:cs="Arial"/>
          <w:b/>
          <w:lang w:val="en-US"/>
        </w:rPr>
      </w:pPr>
      <w:r>
        <w:rPr>
          <w:rFonts w:cs="Arial"/>
          <w:b/>
          <w:lang w:val="en-US"/>
        </w:rPr>
        <w:t>A</w:t>
      </w:r>
      <w:r w:rsidR="00EA79AC" w:rsidRPr="00EA79AC">
        <w:rPr>
          <w:rFonts w:cs="Arial"/>
          <w:b/>
          <w:lang w:val="en-US"/>
        </w:rPr>
        <w:t>ttachment</w:t>
      </w:r>
    </w:p>
    <w:p w14:paraId="792D0A13" w14:textId="77777777" w:rsidR="00B943C6" w:rsidRDefault="005521E7" w:rsidP="005521E7">
      <w:pPr>
        <w:jc w:val="both"/>
        <w:rPr>
          <w:rFonts w:cs="Arial"/>
          <w:lang w:val="en-US"/>
        </w:rPr>
      </w:pPr>
      <w:r w:rsidRPr="00812530">
        <w:rPr>
          <w:rFonts w:cs="Arial"/>
          <w:lang w:val="en-US"/>
        </w:rPr>
        <w:t>General Conditions of Contract for the Supply of Goods and Services under a Purchase Order</w:t>
      </w:r>
    </w:p>
    <w:p w14:paraId="4FE86CA5" w14:textId="77777777" w:rsidR="00EA79AC" w:rsidRDefault="00EA79AC" w:rsidP="00760D17">
      <w:pPr>
        <w:jc w:val="right"/>
        <w:rPr>
          <w:spacing w:val="-1"/>
        </w:rPr>
      </w:pPr>
      <w:r w:rsidRPr="00456DE4">
        <w:rPr>
          <w:noProof/>
          <w:lang w:eastAsia="en-AU"/>
        </w:rPr>
        <w:lastRenderedPageBreak/>
        <w:drawing>
          <wp:inline distT="0" distB="0" distL="0" distR="0" wp14:anchorId="41B67D55" wp14:editId="10F2FCB9">
            <wp:extent cx="1161563" cy="466725"/>
            <wp:effectExtent l="0" t="0" r="635" b="0"/>
            <wp:docPr id="37" name="Picture 37"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CEO Admin\WORDDOCS\Logo\Town of East Fremantle_Logo_Landscape_Colour [HIGHRE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3912" cy="467669"/>
                    </a:xfrm>
                    <a:prstGeom prst="rect">
                      <a:avLst/>
                    </a:prstGeom>
                    <a:noFill/>
                    <a:ln>
                      <a:noFill/>
                    </a:ln>
                  </pic:spPr>
                </pic:pic>
              </a:graphicData>
            </a:graphic>
          </wp:inline>
        </w:drawing>
      </w:r>
    </w:p>
    <w:p w14:paraId="229CD0FB" w14:textId="77777777" w:rsidR="005521E7" w:rsidRPr="00760D17" w:rsidRDefault="005521E7" w:rsidP="00760D17">
      <w:pPr>
        <w:jc w:val="both"/>
        <w:rPr>
          <w:b/>
          <w:lang w:val="en-US"/>
        </w:rPr>
      </w:pPr>
      <w:r w:rsidRPr="00760D17">
        <w:rPr>
          <w:b/>
          <w:lang w:val="en-US"/>
        </w:rPr>
        <w:t>GENERAL CONDITIONS OF CONTRACT FOR THE SUPPLY OF GOODS AND SERVICES UNDER A PURCHASE ORDER</w:t>
      </w:r>
      <w:r w:rsidR="00EA79AC" w:rsidRPr="00760D17">
        <w:rPr>
          <w:b/>
          <w:lang w:val="en-US"/>
        </w:rPr>
        <w:t xml:space="preserve"> (PRO2.1.6)</w:t>
      </w:r>
    </w:p>
    <w:p w14:paraId="7509FB42" w14:textId="77777777" w:rsidR="005521E7" w:rsidRPr="00812530" w:rsidRDefault="005521E7" w:rsidP="00AA0C1E">
      <w:pPr>
        <w:numPr>
          <w:ilvl w:val="0"/>
          <w:numId w:val="38"/>
        </w:numPr>
        <w:spacing w:after="0" w:line="259" w:lineRule="auto"/>
        <w:ind w:left="567" w:hanging="567"/>
        <w:jc w:val="both"/>
        <w:rPr>
          <w:rFonts w:cs="Arial"/>
          <w:b/>
          <w:lang w:bidi="en-AU"/>
        </w:rPr>
      </w:pPr>
      <w:bookmarkStart w:id="155" w:name="1_SUPPLY_OF_GOODS_AND_SERVICES"/>
      <w:bookmarkEnd w:id="155"/>
      <w:r w:rsidRPr="00812530">
        <w:rPr>
          <w:rFonts w:cs="Arial"/>
          <w:b/>
          <w:lang w:bidi="en-AU"/>
        </w:rPr>
        <w:t>SUPPLY OF GOODS AND SERVICES</w:t>
      </w:r>
      <w:bookmarkStart w:id="156" w:name="1.1_The_Contractor_must_supply_the_Goods"/>
      <w:bookmarkEnd w:id="156"/>
    </w:p>
    <w:p w14:paraId="1AF8F729" w14:textId="77777777" w:rsidR="005521E7" w:rsidRPr="00812530" w:rsidRDefault="005521E7" w:rsidP="00AA0C1E">
      <w:pPr>
        <w:numPr>
          <w:ilvl w:val="1"/>
          <w:numId w:val="38"/>
        </w:numPr>
        <w:spacing w:after="60" w:line="259" w:lineRule="auto"/>
        <w:ind w:left="1134" w:hanging="567"/>
        <w:jc w:val="both"/>
        <w:rPr>
          <w:rFonts w:cs="Arial"/>
          <w:b/>
          <w:lang w:bidi="en-AU"/>
        </w:rPr>
      </w:pPr>
      <w:r w:rsidRPr="00812530">
        <w:rPr>
          <w:rFonts w:cs="Arial"/>
          <w:lang w:bidi="en-AU"/>
        </w:rPr>
        <w:t>The Contractor must supply the Goods or Services to the Principal in accordance with the Contract.</w:t>
      </w:r>
      <w:bookmarkStart w:id="157" w:name="1.2_Unless_expressly_agreed_to_in_writin"/>
      <w:bookmarkEnd w:id="157"/>
    </w:p>
    <w:p w14:paraId="5C2E8DD3" w14:textId="77777777" w:rsidR="005521E7" w:rsidRPr="00812530" w:rsidRDefault="005521E7" w:rsidP="00AA0C1E">
      <w:pPr>
        <w:numPr>
          <w:ilvl w:val="1"/>
          <w:numId w:val="38"/>
        </w:numPr>
        <w:spacing w:after="60" w:line="259" w:lineRule="auto"/>
        <w:ind w:left="1134" w:hanging="567"/>
        <w:jc w:val="both"/>
        <w:rPr>
          <w:rFonts w:cs="Arial"/>
          <w:b/>
          <w:lang w:bidi="en-AU"/>
        </w:rPr>
      </w:pPr>
      <w:r w:rsidRPr="00812530">
        <w:rPr>
          <w:rFonts w:cs="Arial"/>
          <w:lang w:bidi="en-AU"/>
        </w:rPr>
        <w:t>Unless expressly agreed to in writing by the Principal and referenced in the Contract, to the extent permitted by Law, no other terms or conditions, including the Contractor’s own terms and conditions even where they have been provided to the Principal or signed by a representative of the Principal, will apply or have any legal effect in connection with the supply of the Goods, the performance of the Services or the Contract.</w:t>
      </w:r>
      <w:bookmarkStart w:id="158" w:name="1.3_Where_the_Contract_relates_to_Goods_"/>
      <w:bookmarkEnd w:id="158"/>
    </w:p>
    <w:p w14:paraId="0103BEC2" w14:textId="77777777" w:rsidR="005521E7" w:rsidRPr="00812530" w:rsidRDefault="005521E7" w:rsidP="00AA0C1E">
      <w:pPr>
        <w:numPr>
          <w:ilvl w:val="1"/>
          <w:numId w:val="38"/>
        </w:numPr>
        <w:spacing w:after="160" w:line="259" w:lineRule="auto"/>
        <w:ind w:left="1134" w:hanging="566"/>
        <w:jc w:val="both"/>
        <w:rPr>
          <w:rFonts w:cs="Arial"/>
          <w:b/>
          <w:lang w:bidi="en-AU"/>
        </w:rPr>
      </w:pPr>
      <w:r w:rsidRPr="00812530">
        <w:rPr>
          <w:rFonts w:cs="Arial"/>
          <w:lang w:bidi="en-AU"/>
        </w:rPr>
        <w:t xml:space="preserve">Where the Contract relates to Goods or Services the subject of a separate contract between the Contractor and the Principal, the terms of the separate contract also apply to the extent of any inconsistency with the Contract unless the </w:t>
      </w:r>
      <w:proofErr w:type="gramStart"/>
      <w:r w:rsidRPr="00812530">
        <w:rPr>
          <w:rFonts w:cs="Arial"/>
          <w:lang w:bidi="en-AU"/>
        </w:rPr>
        <w:t>Principal</w:t>
      </w:r>
      <w:proofErr w:type="gramEnd"/>
      <w:r w:rsidRPr="00812530">
        <w:rPr>
          <w:rFonts w:cs="Arial"/>
          <w:lang w:bidi="en-AU"/>
        </w:rPr>
        <w:t xml:space="preserve"> has clearly stated otherwise on the Purchase Order.</w:t>
      </w:r>
    </w:p>
    <w:p w14:paraId="07B9C98F"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159" w:name="2_CONTRACTOR'S_OBLIGATIONS"/>
      <w:bookmarkEnd w:id="159"/>
      <w:r w:rsidRPr="00812530">
        <w:rPr>
          <w:rFonts w:cs="Arial"/>
          <w:b/>
          <w:bCs/>
          <w:lang w:bidi="en-AU"/>
        </w:rPr>
        <w:t>CONTRACTOR'S OBLIGATIONS</w:t>
      </w:r>
      <w:bookmarkStart w:id="160" w:name="2.1_The_Contractor_must_ensure_that_it_a"/>
      <w:bookmarkEnd w:id="160"/>
    </w:p>
    <w:p w14:paraId="7D762573" w14:textId="77777777" w:rsidR="005521E7" w:rsidRPr="00812530" w:rsidRDefault="005521E7" w:rsidP="00AA0C1E">
      <w:pPr>
        <w:numPr>
          <w:ilvl w:val="1"/>
          <w:numId w:val="38"/>
        </w:numPr>
        <w:spacing w:after="60" w:line="259" w:lineRule="auto"/>
        <w:ind w:left="1134" w:hanging="566"/>
        <w:jc w:val="both"/>
        <w:rPr>
          <w:rFonts w:cs="Arial"/>
          <w:b/>
          <w:bCs/>
          <w:lang w:bidi="en-AU"/>
        </w:rPr>
      </w:pPr>
      <w:r w:rsidRPr="00812530">
        <w:rPr>
          <w:rFonts w:cs="Arial"/>
          <w:lang w:bidi="en-AU"/>
        </w:rPr>
        <w:t>The Contractor must ensure that it and the Contractor's Personnel, in performing the Contractor's Obligations under the Contract:</w:t>
      </w:r>
      <w:bookmarkStart w:id="161" w:name="(a)_comply_with_all_applicable_Laws,_any"/>
      <w:bookmarkEnd w:id="161"/>
    </w:p>
    <w:p w14:paraId="3887A274" w14:textId="77777777" w:rsidR="005521E7" w:rsidRPr="00812530" w:rsidRDefault="005521E7" w:rsidP="00AA0C1E">
      <w:pPr>
        <w:numPr>
          <w:ilvl w:val="2"/>
          <w:numId w:val="38"/>
        </w:numPr>
        <w:spacing w:after="60" w:line="259" w:lineRule="auto"/>
        <w:ind w:left="1701" w:hanging="567"/>
        <w:jc w:val="both"/>
        <w:rPr>
          <w:rFonts w:cs="Arial"/>
          <w:b/>
          <w:bCs/>
          <w:lang w:bidi="en-AU"/>
        </w:rPr>
      </w:pPr>
      <w:r w:rsidRPr="00812530">
        <w:rPr>
          <w:rFonts w:cs="Arial"/>
          <w:lang w:bidi="en-AU"/>
        </w:rPr>
        <w:t xml:space="preserve">comply with all applicable Laws, any standards and procedures made available by the Principal to the Contractor, and any reasonable instructions given by the </w:t>
      </w:r>
      <w:proofErr w:type="gramStart"/>
      <w:r w:rsidRPr="00812530">
        <w:rPr>
          <w:rFonts w:cs="Arial"/>
          <w:lang w:bidi="en-AU"/>
        </w:rPr>
        <w:t>Principal;</w:t>
      </w:r>
      <w:bookmarkStart w:id="162" w:name="(b)_do_not_interfere_with_the_Principal'"/>
      <w:bookmarkEnd w:id="162"/>
      <w:proofErr w:type="gramEnd"/>
    </w:p>
    <w:p w14:paraId="46700D23" w14:textId="77777777" w:rsidR="005521E7" w:rsidRPr="00812530" w:rsidRDefault="005521E7" w:rsidP="00AA0C1E">
      <w:pPr>
        <w:numPr>
          <w:ilvl w:val="2"/>
          <w:numId w:val="38"/>
        </w:numPr>
        <w:spacing w:after="60" w:line="259" w:lineRule="auto"/>
        <w:ind w:left="1701" w:hanging="567"/>
        <w:jc w:val="both"/>
        <w:rPr>
          <w:rFonts w:cs="Arial"/>
          <w:b/>
          <w:bCs/>
          <w:lang w:bidi="en-AU"/>
        </w:rPr>
      </w:pPr>
      <w:r w:rsidRPr="00812530">
        <w:rPr>
          <w:rFonts w:cs="Arial"/>
          <w:lang w:bidi="en-AU"/>
        </w:rPr>
        <w:t xml:space="preserve">do not interfere with the </w:t>
      </w:r>
      <w:proofErr w:type="gramStart"/>
      <w:r w:rsidRPr="00812530">
        <w:rPr>
          <w:rFonts w:cs="Arial"/>
          <w:lang w:bidi="en-AU"/>
        </w:rPr>
        <w:t>Principal's</w:t>
      </w:r>
      <w:proofErr w:type="gramEnd"/>
      <w:r w:rsidRPr="00812530">
        <w:rPr>
          <w:rFonts w:cs="Arial"/>
          <w:lang w:bidi="en-AU"/>
        </w:rPr>
        <w:t xml:space="preserve"> activities or the activities of any other person at the Delivery Point or any place the Contractor provides the Services;</w:t>
      </w:r>
      <w:bookmarkStart w:id="163" w:name="(c)_carry_out_and_perform_the_Contractor"/>
      <w:bookmarkEnd w:id="163"/>
    </w:p>
    <w:p w14:paraId="53B4DF1D" w14:textId="77777777" w:rsidR="005521E7" w:rsidRPr="00812530" w:rsidRDefault="005521E7" w:rsidP="00AA0C1E">
      <w:pPr>
        <w:numPr>
          <w:ilvl w:val="2"/>
          <w:numId w:val="38"/>
        </w:numPr>
        <w:spacing w:after="60" w:line="259" w:lineRule="auto"/>
        <w:ind w:left="1701" w:hanging="567"/>
        <w:jc w:val="both"/>
        <w:rPr>
          <w:rFonts w:cs="Arial"/>
          <w:b/>
          <w:bCs/>
          <w:lang w:bidi="en-AU"/>
        </w:rPr>
      </w:pPr>
      <w:r w:rsidRPr="00812530">
        <w:rPr>
          <w:rFonts w:cs="Arial"/>
          <w:lang w:bidi="en-AU"/>
        </w:rPr>
        <w:t xml:space="preserve">carry out and perform the Contractor's Obligations in a safe manner in a way which does not prejudice safe working practices, safety and care of property or continuity of </w:t>
      </w:r>
      <w:proofErr w:type="gramStart"/>
      <w:r w:rsidRPr="00812530">
        <w:rPr>
          <w:rFonts w:cs="Arial"/>
          <w:lang w:bidi="en-AU"/>
        </w:rPr>
        <w:t>work;</w:t>
      </w:r>
      <w:bookmarkStart w:id="164" w:name="(d)_unless_otherwise_set_out_in_the_Cont"/>
      <w:bookmarkEnd w:id="164"/>
      <w:proofErr w:type="gramEnd"/>
    </w:p>
    <w:p w14:paraId="5CE04ED9" w14:textId="77777777" w:rsidR="005521E7" w:rsidRPr="00812530" w:rsidRDefault="005521E7" w:rsidP="00AA0C1E">
      <w:pPr>
        <w:numPr>
          <w:ilvl w:val="2"/>
          <w:numId w:val="38"/>
        </w:numPr>
        <w:spacing w:after="60" w:line="259" w:lineRule="auto"/>
        <w:ind w:left="1701" w:hanging="567"/>
        <w:jc w:val="both"/>
        <w:rPr>
          <w:rFonts w:cs="Arial"/>
          <w:b/>
          <w:bCs/>
          <w:lang w:bidi="en-AU"/>
        </w:rPr>
      </w:pPr>
      <w:r w:rsidRPr="00812530">
        <w:rPr>
          <w:rFonts w:cs="Arial"/>
          <w:lang w:bidi="en-AU"/>
        </w:rPr>
        <w:t>unless otherwise set out in the Contract, supply all plant, resources and equipment necessary to perform the Services; and</w:t>
      </w:r>
      <w:bookmarkStart w:id="165" w:name="(e)_provide_all_such_information_and_ass"/>
      <w:bookmarkEnd w:id="165"/>
    </w:p>
    <w:p w14:paraId="243DC994" w14:textId="77777777" w:rsidR="005521E7" w:rsidRPr="00812530" w:rsidRDefault="005521E7" w:rsidP="00AA0C1E">
      <w:pPr>
        <w:numPr>
          <w:ilvl w:val="2"/>
          <w:numId w:val="38"/>
        </w:numPr>
        <w:spacing w:after="160" w:line="259" w:lineRule="auto"/>
        <w:ind w:left="1701" w:hanging="567"/>
        <w:jc w:val="both"/>
        <w:rPr>
          <w:rFonts w:cs="Arial"/>
          <w:b/>
          <w:bCs/>
          <w:lang w:bidi="en-AU"/>
        </w:rPr>
      </w:pPr>
      <w:r w:rsidRPr="00812530">
        <w:rPr>
          <w:rFonts w:cs="Arial"/>
          <w:lang w:bidi="en-AU"/>
        </w:rPr>
        <w:t xml:space="preserve">provide all such information and assistance as the </w:t>
      </w:r>
      <w:proofErr w:type="gramStart"/>
      <w:r w:rsidRPr="00812530">
        <w:rPr>
          <w:rFonts w:cs="Arial"/>
          <w:lang w:bidi="en-AU"/>
        </w:rPr>
        <w:t>Principal</w:t>
      </w:r>
      <w:proofErr w:type="gramEnd"/>
      <w:r w:rsidRPr="00812530">
        <w:rPr>
          <w:rFonts w:cs="Arial"/>
          <w:lang w:bidi="en-AU"/>
        </w:rPr>
        <w:t xml:space="preserve"> reasonably requires.</w:t>
      </w:r>
    </w:p>
    <w:p w14:paraId="716AF812"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166" w:name="3_RECEIPT,_INSPECTION_AND_ACCEPTANCE_OF_"/>
      <w:bookmarkEnd w:id="166"/>
      <w:r w:rsidRPr="00812530">
        <w:rPr>
          <w:rFonts w:cs="Arial"/>
          <w:b/>
          <w:bCs/>
          <w:lang w:bidi="en-AU"/>
        </w:rPr>
        <w:t>RECEIPT, INSPECTION AND ACCEPTANCE OF GOODS AND SERVICES</w:t>
      </w:r>
    </w:p>
    <w:p w14:paraId="2FBBCB6B"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67" w:name="3.1_The_Contractor_must_deliver_the_Good"/>
      <w:bookmarkEnd w:id="167"/>
      <w:r w:rsidRPr="00812530">
        <w:rPr>
          <w:rFonts w:cs="Arial"/>
          <w:lang w:bidi="en-AU"/>
        </w:rPr>
        <w:t>The Contractor must deliver the Goods in full to the Delivery Point and perform the Services at the times stated in the Contract. In this respect, time will be of the essence of the Contract.</w:t>
      </w:r>
    </w:p>
    <w:p w14:paraId="52778B88"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68" w:name="3.2_Acceptance_of_the_Goods_or_Services_"/>
      <w:bookmarkEnd w:id="168"/>
      <w:r w:rsidRPr="00812530">
        <w:rPr>
          <w:rFonts w:cs="Arial"/>
          <w:lang w:bidi="en-AU"/>
        </w:rPr>
        <w:t xml:space="preserve">Acceptance of the Goods or Services by the Principal does not constitute approval of the Goods or Services or prejudice any claim the </w:t>
      </w:r>
      <w:proofErr w:type="gramStart"/>
      <w:r w:rsidRPr="00812530">
        <w:rPr>
          <w:rFonts w:cs="Arial"/>
          <w:lang w:bidi="en-AU"/>
        </w:rPr>
        <w:t>Principal</w:t>
      </w:r>
      <w:proofErr w:type="gramEnd"/>
      <w:r w:rsidRPr="00812530">
        <w:rPr>
          <w:rFonts w:cs="Arial"/>
          <w:lang w:bidi="en-AU"/>
        </w:rPr>
        <w:t xml:space="preserve"> may have in connection with the Goods or Services.</w:t>
      </w:r>
    </w:p>
    <w:p w14:paraId="4F30BB12" w14:textId="77777777" w:rsidR="005521E7" w:rsidRPr="00812530" w:rsidRDefault="005521E7" w:rsidP="00AA0C1E">
      <w:pPr>
        <w:numPr>
          <w:ilvl w:val="1"/>
          <w:numId w:val="38"/>
        </w:numPr>
        <w:spacing w:after="60" w:line="259" w:lineRule="auto"/>
        <w:ind w:left="1134" w:hanging="567"/>
        <w:jc w:val="both"/>
        <w:rPr>
          <w:rFonts w:cs="Arial"/>
          <w:lang w:bidi="en-AU"/>
        </w:rPr>
      </w:pPr>
      <w:bookmarkStart w:id="169" w:name="3.3_Acceptance_of_the_Goods_or_Services_"/>
      <w:bookmarkStart w:id="170" w:name="_bookmark0"/>
      <w:bookmarkEnd w:id="169"/>
      <w:bookmarkEnd w:id="170"/>
      <w:r w:rsidRPr="00812530">
        <w:rPr>
          <w:rFonts w:cs="Arial"/>
          <w:lang w:bidi="en-AU"/>
        </w:rPr>
        <w:t>Acceptance of the Goods or Services occurs on the earlier of:</w:t>
      </w:r>
    </w:p>
    <w:p w14:paraId="1B857323" w14:textId="77777777" w:rsidR="005521E7" w:rsidRPr="00812530" w:rsidRDefault="005521E7" w:rsidP="00AA0C1E">
      <w:pPr>
        <w:numPr>
          <w:ilvl w:val="2"/>
          <w:numId w:val="38"/>
        </w:numPr>
        <w:spacing w:after="60" w:line="259" w:lineRule="auto"/>
        <w:ind w:left="1701" w:hanging="566"/>
        <w:jc w:val="both"/>
        <w:rPr>
          <w:rFonts w:cs="Arial"/>
          <w:lang w:bidi="en-AU"/>
        </w:rPr>
      </w:pPr>
      <w:bookmarkStart w:id="171" w:name="(a)_a_representative_of_the_Principal_no"/>
      <w:bookmarkEnd w:id="171"/>
      <w:r w:rsidRPr="00812530">
        <w:rPr>
          <w:rFonts w:cs="Arial"/>
          <w:lang w:bidi="en-AU"/>
        </w:rPr>
        <w:t xml:space="preserve">a representative of the </w:t>
      </w:r>
      <w:proofErr w:type="gramStart"/>
      <w:r w:rsidRPr="00812530">
        <w:rPr>
          <w:rFonts w:cs="Arial"/>
          <w:lang w:bidi="en-AU"/>
        </w:rPr>
        <w:t>Principal</w:t>
      </w:r>
      <w:proofErr w:type="gramEnd"/>
      <w:r w:rsidRPr="00812530">
        <w:rPr>
          <w:rFonts w:cs="Arial"/>
          <w:lang w:bidi="en-AU"/>
        </w:rPr>
        <w:t xml:space="preserve"> notifying the Contractor in writing that the Goods or Services have been accepted; or</w:t>
      </w:r>
    </w:p>
    <w:p w14:paraId="699ED822" w14:textId="77777777" w:rsidR="005521E7" w:rsidRPr="00812530" w:rsidRDefault="005521E7" w:rsidP="00AA0C1E">
      <w:pPr>
        <w:numPr>
          <w:ilvl w:val="2"/>
          <w:numId w:val="38"/>
        </w:numPr>
        <w:spacing w:after="160" w:line="259" w:lineRule="auto"/>
        <w:ind w:left="1701" w:hanging="566"/>
        <w:jc w:val="both"/>
        <w:rPr>
          <w:rFonts w:cs="Arial"/>
          <w:lang w:bidi="en-AU"/>
        </w:rPr>
      </w:pPr>
      <w:bookmarkStart w:id="172" w:name="(b)_the_lapse_of_14_days_after_delivery_"/>
      <w:bookmarkEnd w:id="172"/>
      <w:r w:rsidRPr="00812530">
        <w:rPr>
          <w:rFonts w:cs="Arial"/>
          <w:lang w:bidi="en-AU"/>
        </w:rPr>
        <w:t>the lapse of 14 days after delivery of the Goods to the Delivery Point without the Principal notifying the Contractor in writing that the Goods have been rejected.</w:t>
      </w:r>
    </w:p>
    <w:p w14:paraId="0DD68910"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73" w:name="3.4_The_Contractor_must_allow_the_Princi"/>
      <w:bookmarkEnd w:id="173"/>
      <w:r w:rsidRPr="00812530">
        <w:rPr>
          <w:rFonts w:cs="Arial"/>
          <w:lang w:bidi="en-AU"/>
        </w:rPr>
        <w:lastRenderedPageBreak/>
        <w:t xml:space="preserve">The Contractor must allow the </w:t>
      </w:r>
      <w:proofErr w:type="gramStart"/>
      <w:r w:rsidRPr="00812530">
        <w:rPr>
          <w:rFonts w:cs="Arial"/>
          <w:lang w:bidi="en-AU"/>
        </w:rPr>
        <w:t>Principal</w:t>
      </w:r>
      <w:proofErr w:type="gramEnd"/>
      <w:r w:rsidRPr="00812530">
        <w:rPr>
          <w:rFonts w:cs="Arial"/>
          <w:lang w:bidi="en-AU"/>
        </w:rPr>
        <w:t xml:space="preserve"> or a representative of the Principal, upon 2 Business Days’ written notice from the Principal and during standard business hours, to inspect, examine, review and witness tests of the Goods or Services, or the performance of the Goods or Services and to carry out site inspections at the Contractor's premises.</w:t>
      </w:r>
    </w:p>
    <w:p w14:paraId="7A54F630"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174" w:name="4_TITLE_AND_RISK"/>
      <w:bookmarkStart w:id="175" w:name="_bookmark1"/>
      <w:bookmarkEnd w:id="174"/>
      <w:bookmarkEnd w:id="175"/>
      <w:r w:rsidRPr="00812530">
        <w:rPr>
          <w:rFonts w:cs="Arial"/>
          <w:b/>
          <w:bCs/>
          <w:lang w:bidi="en-AU"/>
        </w:rPr>
        <w:t>TITLE AND RISK</w:t>
      </w:r>
    </w:p>
    <w:p w14:paraId="2875854D"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76" w:name="4.1_Title_in_the_Goods_will_pass_from_th"/>
      <w:bookmarkEnd w:id="176"/>
      <w:r w:rsidRPr="00812530">
        <w:rPr>
          <w:rFonts w:cs="Arial"/>
          <w:lang w:bidi="en-AU"/>
        </w:rPr>
        <w:t xml:space="preserve">Title in the Goods will pass from the Contractor to the Principal upon payment of the Contract Price. The Contractor warrants that title in the Goods will be transferred to the </w:t>
      </w:r>
      <w:proofErr w:type="gramStart"/>
      <w:r w:rsidRPr="00812530">
        <w:rPr>
          <w:rFonts w:cs="Arial"/>
          <w:lang w:bidi="en-AU"/>
        </w:rPr>
        <w:t>Principal</w:t>
      </w:r>
      <w:proofErr w:type="gramEnd"/>
      <w:r w:rsidRPr="00812530">
        <w:rPr>
          <w:rFonts w:cs="Arial"/>
          <w:lang w:bidi="en-AU"/>
        </w:rPr>
        <w:t xml:space="preserve"> without any encumbrances or liens.</w:t>
      </w:r>
      <w:bookmarkStart w:id="177" w:name="4.2_Risk_in_the_Goods_will_pass_to_the_P"/>
      <w:bookmarkEnd w:id="177"/>
    </w:p>
    <w:p w14:paraId="3F87AA2C" w14:textId="77777777" w:rsidR="005521E7" w:rsidRPr="00812530" w:rsidRDefault="005521E7" w:rsidP="00AA0C1E">
      <w:pPr>
        <w:numPr>
          <w:ilvl w:val="1"/>
          <w:numId w:val="38"/>
        </w:numPr>
        <w:spacing w:after="160" w:line="259" w:lineRule="auto"/>
        <w:ind w:left="1134" w:hanging="567"/>
        <w:jc w:val="both"/>
        <w:rPr>
          <w:rFonts w:cs="Arial"/>
          <w:lang w:bidi="en-AU"/>
        </w:rPr>
      </w:pPr>
      <w:r w:rsidRPr="00812530">
        <w:rPr>
          <w:rFonts w:cs="Arial"/>
          <w:lang w:bidi="en-AU"/>
        </w:rPr>
        <w:t xml:space="preserve">Risk in the Goods will pass to the </w:t>
      </w:r>
      <w:proofErr w:type="gramStart"/>
      <w:r w:rsidRPr="00812530">
        <w:rPr>
          <w:rFonts w:cs="Arial"/>
          <w:lang w:bidi="en-AU"/>
        </w:rPr>
        <w:t>Principal</w:t>
      </w:r>
      <w:proofErr w:type="gramEnd"/>
      <w:r w:rsidRPr="00812530">
        <w:rPr>
          <w:rFonts w:cs="Arial"/>
          <w:lang w:bidi="en-AU"/>
        </w:rPr>
        <w:t xml:space="preserve"> on acceptance of the Goods in accordance with clause 3.3.</w:t>
      </w:r>
    </w:p>
    <w:p w14:paraId="52983399"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178" w:name="5_VARIATIONS"/>
      <w:bookmarkStart w:id="179" w:name="_bookmark2"/>
      <w:bookmarkEnd w:id="178"/>
      <w:bookmarkEnd w:id="179"/>
      <w:r w:rsidRPr="00812530">
        <w:rPr>
          <w:rFonts w:cs="Arial"/>
          <w:b/>
          <w:bCs/>
          <w:lang w:bidi="en-AU"/>
        </w:rPr>
        <w:t>VARIATIONS</w:t>
      </w:r>
    </w:p>
    <w:p w14:paraId="340057B7" w14:textId="77777777" w:rsidR="005521E7" w:rsidRPr="00812530" w:rsidRDefault="005521E7" w:rsidP="005521E7">
      <w:pPr>
        <w:spacing w:after="160" w:line="259" w:lineRule="auto"/>
        <w:ind w:left="567"/>
        <w:jc w:val="both"/>
        <w:rPr>
          <w:rFonts w:cs="Arial"/>
          <w:lang w:bidi="en-AU"/>
        </w:rPr>
      </w:pPr>
      <w:bookmarkStart w:id="180" w:name="The_Contractor_must_not_change_the_Goods"/>
      <w:bookmarkEnd w:id="180"/>
      <w:r w:rsidRPr="00812530">
        <w:rPr>
          <w:rFonts w:cs="Arial"/>
          <w:lang w:bidi="en-AU"/>
        </w:rPr>
        <w:t xml:space="preserve">The Contractor must not change the Goods or Services, including an addition, reduction or omission to any part of the Goods or Services except in accordance with a written direction of the </w:t>
      </w:r>
      <w:proofErr w:type="gramStart"/>
      <w:r w:rsidRPr="00812530">
        <w:rPr>
          <w:rFonts w:cs="Arial"/>
          <w:lang w:bidi="en-AU"/>
        </w:rPr>
        <w:t>Principal</w:t>
      </w:r>
      <w:proofErr w:type="gramEnd"/>
      <w:r w:rsidRPr="00812530">
        <w:rPr>
          <w:rFonts w:cs="Arial"/>
          <w:lang w:bidi="en-AU"/>
        </w:rPr>
        <w:t xml:space="preserve"> in which c</w:t>
      </w:r>
      <w:bookmarkStart w:id="181" w:name="_bookmark3"/>
      <w:bookmarkEnd w:id="181"/>
      <w:r w:rsidRPr="00812530">
        <w:rPr>
          <w:rFonts w:cs="Arial"/>
          <w:lang w:bidi="en-AU"/>
        </w:rPr>
        <w:t>ase the Contractor must comply with that direction and the Contract Price will be adjusted by an amount agreed in writing by the parties.</w:t>
      </w:r>
    </w:p>
    <w:p w14:paraId="0C31C6E0"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182" w:name="6_invoicing_and_payment"/>
      <w:bookmarkEnd w:id="182"/>
      <w:r w:rsidRPr="00812530">
        <w:rPr>
          <w:rFonts w:cs="Arial"/>
          <w:b/>
          <w:bCs/>
          <w:lang w:bidi="en-AU"/>
        </w:rPr>
        <w:t>INVOICING AND PAYMENT</w:t>
      </w:r>
    </w:p>
    <w:p w14:paraId="6CA7261C"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83" w:name="6.1_The_Principal_must_pay_the_Contract_"/>
      <w:bookmarkEnd w:id="183"/>
      <w:r w:rsidRPr="00812530">
        <w:rPr>
          <w:rFonts w:cs="Arial"/>
          <w:lang w:bidi="en-AU"/>
        </w:rPr>
        <w:t xml:space="preserve">The </w:t>
      </w:r>
      <w:proofErr w:type="gramStart"/>
      <w:r w:rsidRPr="00812530">
        <w:rPr>
          <w:rFonts w:cs="Arial"/>
          <w:lang w:bidi="en-AU"/>
        </w:rPr>
        <w:t>Principal</w:t>
      </w:r>
      <w:proofErr w:type="gramEnd"/>
      <w:r w:rsidRPr="00812530">
        <w:rPr>
          <w:rFonts w:cs="Arial"/>
          <w:lang w:bidi="en-AU"/>
        </w:rPr>
        <w:t xml:space="preserve"> must pay the Contract Price to the Contractor for the Goods and the Services.</w:t>
      </w:r>
    </w:p>
    <w:p w14:paraId="636DFCDA"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84" w:name="6.2_The_Contract_Price_is_inclusive_of_a"/>
      <w:bookmarkEnd w:id="184"/>
      <w:r w:rsidRPr="00812530">
        <w:rPr>
          <w:rFonts w:cs="Arial"/>
          <w:lang w:bidi="en-AU"/>
        </w:rPr>
        <w:t xml:space="preserve">The Contract Price is inclusive of all costs and expenses including packaging, freight, delivery, insurance, the cost of any miscellaneous services, compliance with the Contract and Taxes and, subject to clause </w:t>
      </w:r>
      <w:hyperlink w:anchor="_bookmark2" w:history="1">
        <w:r w:rsidRPr="00812530">
          <w:rPr>
            <w:rStyle w:val="Hyperlink"/>
            <w:rFonts w:cs="Arial"/>
            <w:lang w:bidi="en-AU"/>
          </w:rPr>
          <w:t xml:space="preserve">5, </w:t>
        </w:r>
      </w:hyperlink>
      <w:r w:rsidRPr="00812530">
        <w:rPr>
          <w:rFonts w:cs="Arial"/>
          <w:lang w:bidi="en-AU"/>
        </w:rPr>
        <w:t>no additional amounts will be payable by the Principal.</w:t>
      </w:r>
    </w:p>
    <w:p w14:paraId="0D8A1AA1"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85" w:name="6.3_Subject_to_clause_6.4,_on_or_promptl"/>
      <w:bookmarkEnd w:id="185"/>
      <w:r w:rsidRPr="00812530">
        <w:rPr>
          <w:rFonts w:cs="Arial"/>
          <w:lang w:bidi="en-AU"/>
        </w:rPr>
        <w:t xml:space="preserve">Subject to clause </w:t>
      </w:r>
      <w:hyperlink w:anchor="_bookmark4" w:history="1">
        <w:r w:rsidRPr="00812530">
          <w:rPr>
            <w:rStyle w:val="Hyperlink"/>
            <w:rFonts w:cs="Arial"/>
            <w:lang w:bidi="en-AU"/>
          </w:rPr>
          <w:t xml:space="preserve">6.4, </w:t>
        </w:r>
      </w:hyperlink>
      <w:r w:rsidRPr="00812530">
        <w:rPr>
          <w:rFonts w:cs="Arial"/>
          <w:lang w:bidi="en-AU"/>
        </w:rPr>
        <w:t>on or promptly after the later of the Date of Delivery of the Goods or the Date of Completion of the Services (as applicable), the Contractor must submit an Invoice to the Principal for the amount due to the Contractor.</w:t>
      </w:r>
    </w:p>
    <w:p w14:paraId="062C4764"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86" w:name="6.4_If_agreed_in_writing_by_the_Principa"/>
      <w:bookmarkStart w:id="187" w:name="_bookmark4"/>
      <w:bookmarkEnd w:id="186"/>
      <w:bookmarkEnd w:id="187"/>
      <w:r w:rsidRPr="00812530">
        <w:rPr>
          <w:rFonts w:cs="Arial"/>
          <w:lang w:bidi="en-AU"/>
        </w:rPr>
        <w:t xml:space="preserve">If agreed in writing by the Principal, the Contractor may submit an Invoice to the Principal at the end of each month for any Services performed during that or previous months provided those Services have not already been included in a previous Invoice issued to the </w:t>
      </w:r>
      <w:proofErr w:type="gramStart"/>
      <w:r w:rsidRPr="00812530">
        <w:rPr>
          <w:rFonts w:cs="Arial"/>
          <w:lang w:bidi="en-AU"/>
        </w:rPr>
        <w:t>Principal</w:t>
      </w:r>
      <w:proofErr w:type="gramEnd"/>
      <w:r w:rsidRPr="00812530">
        <w:rPr>
          <w:rFonts w:cs="Arial"/>
          <w:lang w:bidi="en-AU"/>
        </w:rPr>
        <w:t>.</w:t>
      </w:r>
    </w:p>
    <w:p w14:paraId="6BBB83F1" w14:textId="77777777" w:rsidR="005521E7" w:rsidRPr="00812530" w:rsidRDefault="005521E7" w:rsidP="00AA0C1E">
      <w:pPr>
        <w:numPr>
          <w:ilvl w:val="1"/>
          <w:numId w:val="38"/>
        </w:numPr>
        <w:spacing w:after="60" w:line="259" w:lineRule="auto"/>
        <w:ind w:left="1134" w:hanging="567"/>
        <w:jc w:val="both"/>
        <w:rPr>
          <w:rFonts w:cs="Arial"/>
          <w:lang w:bidi="en-AU"/>
        </w:rPr>
      </w:pPr>
      <w:bookmarkStart w:id="188" w:name="6.5_An_Invoice_must_include:"/>
      <w:bookmarkStart w:id="189" w:name="_bookmark5"/>
      <w:bookmarkEnd w:id="188"/>
      <w:bookmarkEnd w:id="189"/>
      <w:r w:rsidRPr="00812530">
        <w:rPr>
          <w:rFonts w:cs="Arial"/>
          <w:lang w:bidi="en-AU"/>
        </w:rPr>
        <w:t>An Invoice must include:</w:t>
      </w:r>
    </w:p>
    <w:p w14:paraId="13C1B2BC"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190" w:name="(a)_the_Purchase_Order_number;"/>
      <w:bookmarkEnd w:id="190"/>
      <w:r w:rsidRPr="00812530">
        <w:rPr>
          <w:rFonts w:cs="Arial"/>
          <w:lang w:bidi="en-AU"/>
        </w:rPr>
        <w:t xml:space="preserve">the Purchase Order </w:t>
      </w:r>
      <w:proofErr w:type="gramStart"/>
      <w:r w:rsidRPr="00812530">
        <w:rPr>
          <w:rFonts w:cs="Arial"/>
          <w:lang w:bidi="en-AU"/>
        </w:rPr>
        <w:t>number;</w:t>
      </w:r>
      <w:proofErr w:type="gramEnd"/>
    </w:p>
    <w:p w14:paraId="08F28548"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191" w:name="(b)_a_description_of_the_Goods_delivered"/>
      <w:bookmarkEnd w:id="191"/>
      <w:r w:rsidRPr="00812530">
        <w:rPr>
          <w:rFonts w:cs="Arial"/>
          <w:lang w:bidi="en-AU"/>
        </w:rPr>
        <w:t>a description of the Goods delivered, including the quantity of Goods and the Date of Delivery; or</w:t>
      </w:r>
    </w:p>
    <w:p w14:paraId="5AEFCA5C"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192" w:name="(c)_a_description_of_the_Services_perfor"/>
      <w:bookmarkEnd w:id="192"/>
      <w:r w:rsidRPr="00812530">
        <w:rPr>
          <w:rFonts w:cs="Arial"/>
          <w:lang w:bidi="en-AU"/>
        </w:rPr>
        <w:t xml:space="preserve">a description of the Services </w:t>
      </w:r>
      <w:proofErr w:type="gramStart"/>
      <w:r w:rsidRPr="00812530">
        <w:rPr>
          <w:rFonts w:cs="Arial"/>
          <w:lang w:bidi="en-AU"/>
        </w:rPr>
        <w:t>performed;</w:t>
      </w:r>
      <w:proofErr w:type="gramEnd"/>
    </w:p>
    <w:p w14:paraId="3C3315E5"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193" w:name="(d)_the_amount_being_claimed_for_the_Goo"/>
      <w:bookmarkEnd w:id="193"/>
      <w:r w:rsidRPr="00812530">
        <w:rPr>
          <w:rFonts w:cs="Arial"/>
          <w:lang w:bidi="en-AU"/>
        </w:rPr>
        <w:t xml:space="preserve">the amount being claimed for the Goods and the </w:t>
      </w:r>
      <w:proofErr w:type="gramStart"/>
      <w:r w:rsidRPr="00812530">
        <w:rPr>
          <w:rFonts w:cs="Arial"/>
          <w:lang w:bidi="en-AU"/>
        </w:rPr>
        <w:t>Services;</w:t>
      </w:r>
      <w:proofErr w:type="gramEnd"/>
    </w:p>
    <w:p w14:paraId="0EDBD04E"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194" w:name="(e)_the_amount_of_any_applicable_GST;"/>
      <w:bookmarkEnd w:id="194"/>
      <w:r w:rsidRPr="00812530">
        <w:rPr>
          <w:rFonts w:cs="Arial"/>
          <w:lang w:bidi="en-AU"/>
        </w:rPr>
        <w:t xml:space="preserve">the amount of any applicable </w:t>
      </w:r>
      <w:proofErr w:type="gramStart"/>
      <w:r w:rsidRPr="00812530">
        <w:rPr>
          <w:rFonts w:cs="Arial"/>
          <w:lang w:bidi="en-AU"/>
        </w:rPr>
        <w:t>GST;</w:t>
      </w:r>
      <w:proofErr w:type="gramEnd"/>
    </w:p>
    <w:p w14:paraId="21D2F935"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195" w:name="(f)_if_applicable,_Include_the_Walga_Pre"/>
      <w:bookmarkEnd w:id="195"/>
      <w:r w:rsidRPr="00812530">
        <w:rPr>
          <w:rFonts w:cs="Arial"/>
          <w:lang w:bidi="en-AU"/>
        </w:rPr>
        <w:t xml:space="preserve">if applicable, Include the </w:t>
      </w:r>
      <w:proofErr w:type="spellStart"/>
      <w:r w:rsidRPr="00812530">
        <w:rPr>
          <w:rFonts w:cs="Arial"/>
          <w:lang w:bidi="en-AU"/>
        </w:rPr>
        <w:t>Walga</w:t>
      </w:r>
      <w:proofErr w:type="spellEnd"/>
      <w:r w:rsidRPr="00812530">
        <w:rPr>
          <w:rFonts w:cs="Arial"/>
          <w:lang w:bidi="en-AU"/>
        </w:rPr>
        <w:t xml:space="preserve"> Preferred Supplier discount associated with the purchase and</w:t>
      </w:r>
    </w:p>
    <w:p w14:paraId="35AF3AED"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196" w:name="(g)_any_further_information_reasonably_r"/>
      <w:bookmarkEnd w:id="196"/>
      <w:r w:rsidRPr="00812530">
        <w:rPr>
          <w:rFonts w:cs="Arial"/>
          <w:lang w:bidi="en-AU"/>
        </w:rPr>
        <w:t xml:space="preserve">any further information reasonably requested by the </w:t>
      </w:r>
      <w:proofErr w:type="gramStart"/>
      <w:r w:rsidRPr="00812530">
        <w:rPr>
          <w:rFonts w:cs="Arial"/>
          <w:lang w:bidi="en-AU"/>
        </w:rPr>
        <w:t>Principal</w:t>
      </w:r>
      <w:proofErr w:type="gramEnd"/>
      <w:r w:rsidRPr="00812530">
        <w:rPr>
          <w:rFonts w:cs="Arial"/>
          <w:lang w:bidi="en-AU"/>
        </w:rPr>
        <w:t>.</w:t>
      </w:r>
    </w:p>
    <w:p w14:paraId="1E745351"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97" w:name="6.6_If_an_Invoice_does_not_contain_the_i"/>
      <w:bookmarkStart w:id="198" w:name="_bookmark6"/>
      <w:bookmarkEnd w:id="197"/>
      <w:bookmarkEnd w:id="198"/>
      <w:r w:rsidRPr="00812530">
        <w:rPr>
          <w:rFonts w:cs="Arial"/>
          <w:lang w:bidi="en-AU"/>
        </w:rPr>
        <w:t xml:space="preserve">If an Invoice does not contain the information required in clause 6.5, the </w:t>
      </w:r>
      <w:proofErr w:type="gramStart"/>
      <w:r w:rsidRPr="00812530">
        <w:rPr>
          <w:rFonts w:cs="Arial"/>
          <w:lang w:bidi="en-AU"/>
        </w:rPr>
        <w:t>Principal</w:t>
      </w:r>
      <w:proofErr w:type="gramEnd"/>
      <w:r w:rsidRPr="00812530">
        <w:rPr>
          <w:rFonts w:cs="Arial"/>
          <w:lang w:bidi="en-AU"/>
        </w:rPr>
        <w:t xml:space="preserve"> may, at its option, complete the missing details or return the incomplete Invoice to the Contractor, in which case the Contractor must submit a replacement Invoice compliant with clause 6.5.</w:t>
      </w:r>
    </w:p>
    <w:p w14:paraId="6FAD0D42"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199" w:name="6.7_Subject_to_the_Contractor_submitting"/>
      <w:bookmarkEnd w:id="199"/>
      <w:r w:rsidRPr="00812530">
        <w:rPr>
          <w:rFonts w:cs="Arial"/>
          <w:lang w:bidi="en-AU"/>
        </w:rPr>
        <w:lastRenderedPageBreak/>
        <w:t xml:space="preserve">Subject to the Contractor submitting an Invoice in accordance with clause 6.5 or a compliant Invoice in accordance with clause 6.6, the </w:t>
      </w:r>
      <w:proofErr w:type="gramStart"/>
      <w:r w:rsidRPr="00812530">
        <w:rPr>
          <w:rFonts w:cs="Arial"/>
          <w:lang w:bidi="en-AU"/>
        </w:rPr>
        <w:t>Principal</w:t>
      </w:r>
      <w:proofErr w:type="gramEnd"/>
      <w:r w:rsidRPr="00812530">
        <w:rPr>
          <w:rFonts w:cs="Arial"/>
          <w:lang w:bidi="en-AU"/>
        </w:rPr>
        <w:t xml:space="preserve"> must pay the amount payable within 30 days or as otherwise agreed by the parties.</w:t>
      </w:r>
    </w:p>
    <w:p w14:paraId="5CE29E14"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00" w:name="6.8_Payment_under_this_clause_6_will_not"/>
      <w:bookmarkStart w:id="201" w:name="_bookmark7"/>
      <w:bookmarkEnd w:id="200"/>
      <w:bookmarkEnd w:id="201"/>
      <w:r w:rsidRPr="00812530">
        <w:rPr>
          <w:rFonts w:cs="Arial"/>
          <w:lang w:bidi="en-AU"/>
        </w:rPr>
        <w:t xml:space="preserve">Payment under this clause 6 will not be taken as proof or admission that all, or any part of, the Goods or the Services have been delivered or performed (as the case may be) to the satisfaction of the </w:t>
      </w:r>
      <w:proofErr w:type="gramStart"/>
      <w:r w:rsidRPr="00812530">
        <w:rPr>
          <w:rFonts w:cs="Arial"/>
          <w:lang w:bidi="en-AU"/>
        </w:rPr>
        <w:t>Principal, but</w:t>
      </w:r>
      <w:proofErr w:type="gramEnd"/>
      <w:r w:rsidRPr="00812530">
        <w:rPr>
          <w:rFonts w:cs="Arial"/>
          <w:lang w:bidi="en-AU"/>
        </w:rPr>
        <w:t xml:space="preserve"> will be taken to be payment on account only.</w:t>
      </w:r>
    </w:p>
    <w:p w14:paraId="7CD73DE7"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02" w:name="6.9_The_Contractor_agrees_that_the_Princ"/>
      <w:bookmarkStart w:id="203" w:name="_bookmark8"/>
      <w:bookmarkEnd w:id="202"/>
      <w:bookmarkEnd w:id="203"/>
      <w:r w:rsidRPr="00812530">
        <w:rPr>
          <w:rFonts w:cs="Arial"/>
          <w:lang w:bidi="en-AU"/>
        </w:rPr>
        <w:t xml:space="preserve">The Contractor agrees that the </w:t>
      </w:r>
      <w:proofErr w:type="gramStart"/>
      <w:r w:rsidRPr="00812530">
        <w:rPr>
          <w:rFonts w:cs="Arial"/>
          <w:lang w:bidi="en-AU"/>
        </w:rPr>
        <w:t>Principal</w:t>
      </w:r>
      <w:proofErr w:type="gramEnd"/>
      <w:r w:rsidRPr="00812530">
        <w:rPr>
          <w:rFonts w:cs="Arial"/>
          <w:lang w:bidi="en-AU"/>
        </w:rPr>
        <w:t xml:space="preserve"> may:</w:t>
      </w:r>
    </w:p>
    <w:p w14:paraId="686EC28C"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04" w:name="(a)_deduct_from_moneys_due_to_the_Contra"/>
      <w:bookmarkEnd w:id="204"/>
      <w:r w:rsidRPr="00812530">
        <w:rPr>
          <w:rFonts w:cs="Arial"/>
          <w:lang w:bidi="en-AU"/>
        </w:rPr>
        <w:t>deduct from moneys due to the Contractor any money due or which may become due from the Contractor to the Principal under, or in connection with, the Contract; and</w:t>
      </w:r>
    </w:p>
    <w:p w14:paraId="7C2A69F8"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05" w:name="(b)_withhold_payment_of_any_amounts_paya"/>
      <w:bookmarkEnd w:id="205"/>
      <w:r w:rsidRPr="00812530">
        <w:rPr>
          <w:rFonts w:cs="Arial"/>
          <w:lang w:bidi="en-AU"/>
        </w:rPr>
        <w:t>withhold payment of any amounts payable under the Contract pending resolution of any dispute.</w:t>
      </w:r>
    </w:p>
    <w:p w14:paraId="02304BA1"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06" w:name="7_GOODS_AND_SERVICES_TAX"/>
      <w:bookmarkEnd w:id="206"/>
      <w:r w:rsidRPr="00812530">
        <w:rPr>
          <w:rFonts w:cs="Arial"/>
          <w:b/>
          <w:bCs/>
          <w:lang w:bidi="en-AU"/>
        </w:rPr>
        <w:t>GOODS AND SERVICES TAX</w:t>
      </w:r>
    </w:p>
    <w:p w14:paraId="11D20EC5"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07" w:name="7.1_If_GST_is_imposed_on_any_supply_made"/>
      <w:bookmarkEnd w:id="207"/>
      <w:r w:rsidRPr="00812530">
        <w:rPr>
          <w:rFonts w:cs="Arial"/>
          <w:lang w:bidi="en-AU"/>
        </w:rPr>
        <w:t xml:space="preserve">If GST is imposed on any supply made by the Contractor in connection with the Contract, the Contractor may recover from the </w:t>
      </w:r>
      <w:proofErr w:type="gramStart"/>
      <w:r w:rsidRPr="00812530">
        <w:rPr>
          <w:rFonts w:cs="Arial"/>
          <w:lang w:bidi="en-AU"/>
        </w:rPr>
        <w:t>Principal</w:t>
      </w:r>
      <w:proofErr w:type="gramEnd"/>
      <w:r w:rsidRPr="00812530">
        <w:rPr>
          <w:rFonts w:cs="Arial"/>
          <w:lang w:bidi="en-AU"/>
        </w:rPr>
        <w:t>, in addition to the Contract Price, an amount equal to the GST payable in respect of that supply.</w:t>
      </w:r>
    </w:p>
    <w:p w14:paraId="428D66A6"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08" w:name="7.2_The_Contractor_must_first_provide_th"/>
      <w:bookmarkEnd w:id="208"/>
      <w:r w:rsidRPr="00812530">
        <w:rPr>
          <w:rFonts w:cs="Arial"/>
          <w:lang w:bidi="en-AU"/>
        </w:rPr>
        <w:t>The Contractor must first provide the Principal with an Invoice before the Principal will pay the GST amount to the Contractor.</w:t>
      </w:r>
    </w:p>
    <w:p w14:paraId="45A7B8EF"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09" w:name="8_QUALITY_OF_GOODS_AND_SERVICES"/>
      <w:bookmarkEnd w:id="209"/>
      <w:r w:rsidRPr="00812530">
        <w:rPr>
          <w:rFonts w:cs="Arial"/>
          <w:b/>
          <w:bCs/>
          <w:lang w:bidi="en-AU"/>
        </w:rPr>
        <w:t>QUALITY OF GOODS AND SERVICES</w:t>
      </w:r>
    </w:p>
    <w:p w14:paraId="4E6E7F5E" w14:textId="77777777" w:rsidR="005521E7" w:rsidRPr="00812530" w:rsidRDefault="005521E7" w:rsidP="00AA0C1E">
      <w:pPr>
        <w:numPr>
          <w:ilvl w:val="1"/>
          <w:numId w:val="38"/>
        </w:numPr>
        <w:spacing w:after="60" w:line="259" w:lineRule="auto"/>
        <w:ind w:left="1134" w:hanging="567"/>
        <w:jc w:val="both"/>
        <w:rPr>
          <w:rFonts w:cs="Arial"/>
          <w:lang w:bidi="en-AU"/>
        </w:rPr>
      </w:pPr>
      <w:bookmarkStart w:id="210" w:name="8.1_The_Contractor_must_ensure_that:"/>
      <w:bookmarkEnd w:id="210"/>
      <w:r w:rsidRPr="00812530">
        <w:rPr>
          <w:rFonts w:cs="Arial"/>
          <w:lang w:bidi="en-AU"/>
        </w:rPr>
        <w:t>The Contractor must ensure that:</w:t>
      </w:r>
    </w:p>
    <w:p w14:paraId="00190B20"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211" w:name="(a)_all_Goods_or_Services_conform_to_the"/>
      <w:bookmarkEnd w:id="211"/>
      <w:r w:rsidRPr="00812530">
        <w:rPr>
          <w:rFonts w:cs="Arial"/>
          <w:lang w:bidi="en-AU"/>
        </w:rPr>
        <w:t xml:space="preserve">all Goods or Services conform to the description of the Goods or Services set out in the </w:t>
      </w:r>
      <w:proofErr w:type="gramStart"/>
      <w:r w:rsidRPr="00812530">
        <w:rPr>
          <w:rFonts w:cs="Arial"/>
          <w:lang w:bidi="en-AU"/>
        </w:rPr>
        <w:t>Contract;</w:t>
      </w:r>
      <w:proofErr w:type="gramEnd"/>
    </w:p>
    <w:p w14:paraId="5BCC7329"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212" w:name="(b)_all_Goods_and_Services_are_fit_for_t"/>
      <w:bookmarkEnd w:id="212"/>
      <w:r w:rsidRPr="00812530">
        <w:rPr>
          <w:rFonts w:cs="Arial"/>
          <w:lang w:bidi="en-AU"/>
        </w:rPr>
        <w:t xml:space="preserve">all Goods and Services are fit for their intended purpose and to the extent Services performed are design Services, the works being designed will be fit for their intended </w:t>
      </w:r>
      <w:proofErr w:type="gramStart"/>
      <w:r w:rsidRPr="00812530">
        <w:rPr>
          <w:rFonts w:cs="Arial"/>
          <w:lang w:bidi="en-AU"/>
        </w:rPr>
        <w:t>purpose;</w:t>
      </w:r>
      <w:proofErr w:type="gramEnd"/>
    </w:p>
    <w:p w14:paraId="4D6AD000"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213" w:name="(c)_if_the_Contractor_provided_the_Princ"/>
      <w:bookmarkEnd w:id="213"/>
      <w:r w:rsidRPr="00812530">
        <w:rPr>
          <w:rFonts w:cs="Arial"/>
          <w:lang w:bidi="en-AU"/>
        </w:rPr>
        <w:t xml:space="preserve">if the Contractor provided the </w:t>
      </w:r>
      <w:proofErr w:type="gramStart"/>
      <w:r w:rsidRPr="00812530">
        <w:rPr>
          <w:rFonts w:cs="Arial"/>
          <w:lang w:bidi="en-AU"/>
        </w:rPr>
        <w:t>Principal</w:t>
      </w:r>
      <w:proofErr w:type="gramEnd"/>
      <w:r w:rsidRPr="00812530">
        <w:rPr>
          <w:rFonts w:cs="Arial"/>
          <w:lang w:bidi="en-AU"/>
        </w:rPr>
        <w:t xml:space="preserve"> with a demonstration of the Services or represented that a result could be achieved by the Services before the Principles issues the Purchase Order, the Services correspond in nature and quality with the services demonstrated or the services that achieved that result (as the case may be); and</w:t>
      </w:r>
    </w:p>
    <w:p w14:paraId="15BA6AE4"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14" w:name="(d)_any_Goods_are_new_and_of_merchantabl"/>
      <w:bookmarkEnd w:id="214"/>
      <w:r w:rsidRPr="00812530">
        <w:rPr>
          <w:rFonts w:cs="Arial"/>
          <w:lang w:bidi="en-AU"/>
        </w:rPr>
        <w:t>any Goods are new and of merchantable quality.</w:t>
      </w:r>
    </w:p>
    <w:p w14:paraId="2BA36CF8"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15" w:name="8.2_The_Contractor_warrants_that_the_Con"/>
      <w:bookmarkEnd w:id="215"/>
      <w:r w:rsidRPr="00812530">
        <w:rPr>
          <w:rFonts w:cs="Arial"/>
          <w:lang w:bidi="en-AU"/>
        </w:rPr>
        <w:t>The Contractor warrants that the Contractor’s Personnel engaged to perform the Services have all the necessary skills, training and qualifications to carry out the Services in accordance with the Contract.</w:t>
      </w:r>
    </w:p>
    <w:p w14:paraId="37982C27"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16" w:name="8.3_The_Contractor_must_ensure_that_the_"/>
      <w:bookmarkEnd w:id="216"/>
      <w:r w:rsidRPr="00812530">
        <w:rPr>
          <w:rFonts w:cs="Arial"/>
          <w:lang w:bidi="en-AU"/>
        </w:rPr>
        <w:t xml:space="preserve">The Contractor must ensure that the </w:t>
      </w:r>
      <w:proofErr w:type="gramStart"/>
      <w:r w:rsidRPr="00812530">
        <w:rPr>
          <w:rFonts w:cs="Arial"/>
          <w:lang w:bidi="en-AU"/>
        </w:rPr>
        <w:t>Principal</w:t>
      </w:r>
      <w:proofErr w:type="gramEnd"/>
      <w:r w:rsidRPr="00812530">
        <w:rPr>
          <w:rFonts w:cs="Arial"/>
          <w:lang w:bidi="en-AU"/>
        </w:rPr>
        <w:t xml:space="preserve"> has the full benefit of any manufacturer’s warranties that may be applicable to the Goods (and the Contractor must, at its cost, pursue any manufacturer’s warranties on the Principal’s behalf).</w:t>
      </w:r>
    </w:p>
    <w:p w14:paraId="63E2A7A3" w14:textId="77777777" w:rsidR="005521E7" w:rsidRDefault="005521E7">
      <w:pPr>
        <w:rPr>
          <w:rFonts w:cs="Arial"/>
          <w:b/>
          <w:bCs/>
          <w:lang w:bidi="en-AU"/>
        </w:rPr>
      </w:pPr>
      <w:bookmarkStart w:id="217" w:name="9_DEFECTS"/>
      <w:bookmarkStart w:id="218" w:name="_bookmark9"/>
      <w:bookmarkEnd w:id="217"/>
      <w:bookmarkEnd w:id="218"/>
      <w:r>
        <w:rPr>
          <w:rFonts w:cs="Arial"/>
          <w:b/>
          <w:bCs/>
          <w:lang w:bidi="en-AU"/>
        </w:rPr>
        <w:br w:type="page"/>
      </w:r>
    </w:p>
    <w:p w14:paraId="0945FF65" w14:textId="77777777" w:rsidR="005521E7" w:rsidRPr="00812530" w:rsidRDefault="005521E7" w:rsidP="00AA0C1E">
      <w:pPr>
        <w:numPr>
          <w:ilvl w:val="0"/>
          <w:numId w:val="38"/>
        </w:numPr>
        <w:spacing w:after="0" w:line="259" w:lineRule="auto"/>
        <w:ind w:left="567" w:hanging="567"/>
        <w:jc w:val="both"/>
        <w:rPr>
          <w:rFonts w:cs="Arial"/>
          <w:b/>
          <w:bCs/>
          <w:lang w:bidi="en-AU"/>
        </w:rPr>
      </w:pPr>
      <w:r w:rsidRPr="00812530">
        <w:rPr>
          <w:rFonts w:cs="Arial"/>
          <w:b/>
          <w:bCs/>
          <w:lang w:bidi="en-AU"/>
        </w:rPr>
        <w:lastRenderedPageBreak/>
        <w:t>DEFECTS</w:t>
      </w:r>
    </w:p>
    <w:p w14:paraId="5D637DBC"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19" w:name="9.1_At_any_time_prior_to_the_expiry_of_t"/>
      <w:bookmarkEnd w:id="219"/>
      <w:r w:rsidRPr="00812530">
        <w:rPr>
          <w:rFonts w:cs="Arial"/>
          <w:lang w:bidi="en-AU"/>
        </w:rPr>
        <w:t xml:space="preserve">At any time prior to the expiry of the Defects Liability Period, the Contractor must, at its cost and at the </w:t>
      </w:r>
      <w:proofErr w:type="gramStart"/>
      <w:r w:rsidRPr="00812530">
        <w:rPr>
          <w:rFonts w:cs="Arial"/>
          <w:lang w:bidi="en-AU"/>
        </w:rPr>
        <w:t>Principal’s</w:t>
      </w:r>
      <w:proofErr w:type="gramEnd"/>
      <w:r w:rsidRPr="00812530">
        <w:rPr>
          <w:rFonts w:cs="Arial"/>
          <w:lang w:bidi="en-AU"/>
        </w:rPr>
        <w:t xml:space="preserve"> direction, promptly rectify all Defects other than a Defect caused by the negligence of the Principal.</w:t>
      </w:r>
    </w:p>
    <w:p w14:paraId="4CDB9067"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20" w:name="9.2_Nothing_in_this_clause_9_prejudices_"/>
      <w:bookmarkEnd w:id="220"/>
      <w:r w:rsidRPr="00812530">
        <w:rPr>
          <w:rFonts w:cs="Arial"/>
          <w:lang w:bidi="en-AU"/>
        </w:rPr>
        <w:t xml:space="preserve">Nothing in this clause </w:t>
      </w:r>
      <w:hyperlink w:anchor="_bookmark9" w:history="1">
        <w:r w:rsidRPr="00812530">
          <w:rPr>
            <w:rStyle w:val="Hyperlink"/>
            <w:rFonts w:cs="Arial"/>
            <w:lang w:bidi="en-AU"/>
          </w:rPr>
          <w:t xml:space="preserve">9 </w:t>
        </w:r>
      </w:hyperlink>
      <w:r w:rsidRPr="00812530">
        <w:rPr>
          <w:rFonts w:cs="Arial"/>
          <w:lang w:bidi="en-AU"/>
        </w:rPr>
        <w:t xml:space="preserve">prejudices any other right that the </w:t>
      </w:r>
      <w:proofErr w:type="gramStart"/>
      <w:r w:rsidRPr="00812530">
        <w:rPr>
          <w:rFonts w:cs="Arial"/>
          <w:lang w:bidi="en-AU"/>
        </w:rPr>
        <w:t>Principal</w:t>
      </w:r>
      <w:proofErr w:type="gramEnd"/>
      <w:r w:rsidRPr="00812530">
        <w:rPr>
          <w:rFonts w:cs="Arial"/>
          <w:lang w:bidi="en-AU"/>
        </w:rPr>
        <w:t xml:space="preserve"> may have against the Contractor arising out of the failure of the Contractor to supply the Goods or perform the Services in accordance with the Contract.</w:t>
      </w:r>
    </w:p>
    <w:p w14:paraId="1E3FA9F8" w14:textId="77777777" w:rsidR="005521E7" w:rsidRPr="00812530" w:rsidRDefault="005521E7" w:rsidP="00AA0C1E">
      <w:pPr>
        <w:numPr>
          <w:ilvl w:val="1"/>
          <w:numId w:val="38"/>
        </w:numPr>
        <w:spacing w:after="60" w:line="259" w:lineRule="auto"/>
        <w:ind w:left="1134" w:hanging="567"/>
        <w:jc w:val="both"/>
        <w:rPr>
          <w:rFonts w:cs="Arial"/>
          <w:lang w:bidi="en-AU"/>
        </w:rPr>
      </w:pPr>
      <w:bookmarkStart w:id="221" w:name="9.3_If_the_Principal_directs_the_Contrac"/>
      <w:bookmarkEnd w:id="221"/>
      <w:r w:rsidRPr="00812530">
        <w:rPr>
          <w:rFonts w:cs="Arial"/>
          <w:lang w:bidi="en-AU"/>
        </w:rPr>
        <w:t xml:space="preserve">If the Principal directs the Contractor to rectify a Defect and the Contractor fails to rectify that Defect within a reasonable time specified by the </w:t>
      </w:r>
      <w:proofErr w:type="gramStart"/>
      <w:r w:rsidRPr="00812530">
        <w:rPr>
          <w:rFonts w:cs="Arial"/>
          <w:lang w:bidi="en-AU"/>
        </w:rPr>
        <w:t>Principal</w:t>
      </w:r>
      <w:proofErr w:type="gramEnd"/>
      <w:r w:rsidRPr="00812530">
        <w:rPr>
          <w:rFonts w:cs="Arial"/>
          <w:lang w:bidi="en-AU"/>
        </w:rPr>
        <w:t>:</w:t>
      </w:r>
    </w:p>
    <w:p w14:paraId="0B684DD0"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222" w:name="(a)_the_Principal_may,_without_prejudice"/>
      <w:bookmarkEnd w:id="222"/>
      <w:r w:rsidRPr="00812530">
        <w:rPr>
          <w:rFonts w:cs="Arial"/>
          <w:lang w:bidi="en-AU"/>
        </w:rPr>
        <w:t xml:space="preserve">the </w:t>
      </w:r>
      <w:proofErr w:type="gramStart"/>
      <w:r w:rsidRPr="00812530">
        <w:rPr>
          <w:rFonts w:cs="Arial"/>
          <w:lang w:bidi="en-AU"/>
        </w:rPr>
        <w:t>Principal</w:t>
      </w:r>
      <w:proofErr w:type="gramEnd"/>
      <w:r w:rsidRPr="00812530">
        <w:rPr>
          <w:rFonts w:cs="Arial"/>
          <w:lang w:bidi="en-AU"/>
        </w:rPr>
        <w:t xml:space="preserve"> may, without prejudice to any other rights the Principal may have against the Contractor, rectify the Defect itself; and</w:t>
      </w:r>
    </w:p>
    <w:p w14:paraId="3B7DD950"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23" w:name="(b)_the_rectification_costs_incurred_by_"/>
      <w:bookmarkEnd w:id="223"/>
      <w:r w:rsidRPr="00812530">
        <w:rPr>
          <w:rFonts w:cs="Arial"/>
          <w:lang w:bidi="en-AU"/>
        </w:rPr>
        <w:t xml:space="preserve">the rectification costs incurred by the </w:t>
      </w:r>
      <w:proofErr w:type="gramStart"/>
      <w:r w:rsidRPr="00812530">
        <w:rPr>
          <w:rFonts w:cs="Arial"/>
          <w:lang w:bidi="en-AU"/>
        </w:rPr>
        <w:t>Principal</w:t>
      </w:r>
      <w:proofErr w:type="gramEnd"/>
      <w:r w:rsidRPr="00812530">
        <w:rPr>
          <w:rFonts w:cs="Arial"/>
          <w:lang w:bidi="en-AU"/>
        </w:rPr>
        <w:t xml:space="preserve"> will be a debt due and payable on demand from the Contractor to the Principal.</w:t>
      </w:r>
    </w:p>
    <w:p w14:paraId="6606A71B"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24" w:name="9.4_Where_any_Defect_has_been_rectified_"/>
      <w:bookmarkStart w:id="225" w:name="_bookmark10"/>
      <w:bookmarkEnd w:id="224"/>
      <w:bookmarkEnd w:id="225"/>
      <w:r w:rsidRPr="00812530">
        <w:rPr>
          <w:rFonts w:cs="Arial"/>
          <w:lang w:bidi="en-AU"/>
        </w:rPr>
        <w:t>Where any Defect has been rectified under the Contract, the rectification work will be the subject of an additional Defects Liability Period commencing on the date the relevant rectification works are completed.</w:t>
      </w:r>
    </w:p>
    <w:p w14:paraId="284596DE"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26" w:name="10_Confidential_Information"/>
      <w:bookmarkStart w:id="227" w:name="_bookmark11"/>
      <w:bookmarkEnd w:id="226"/>
      <w:bookmarkEnd w:id="227"/>
      <w:r w:rsidRPr="00812530">
        <w:rPr>
          <w:rFonts w:cs="Arial"/>
          <w:b/>
          <w:bCs/>
          <w:lang w:bidi="en-AU"/>
        </w:rPr>
        <w:t>CONFIDENTIAL INFORMATION</w:t>
      </w:r>
    </w:p>
    <w:p w14:paraId="10B9973F" w14:textId="77777777" w:rsidR="005521E7" w:rsidRPr="00812530" w:rsidRDefault="005521E7" w:rsidP="005521E7">
      <w:pPr>
        <w:spacing w:after="160" w:line="259" w:lineRule="auto"/>
        <w:ind w:left="567"/>
        <w:jc w:val="both"/>
        <w:rPr>
          <w:rFonts w:cs="Arial"/>
          <w:lang w:bidi="en-AU"/>
        </w:rPr>
      </w:pPr>
      <w:bookmarkStart w:id="228" w:name="The_Contractor_must_not_use_any_Confiden"/>
      <w:bookmarkEnd w:id="228"/>
      <w:r w:rsidRPr="00812530">
        <w:rPr>
          <w:rFonts w:cs="Arial"/>
          <w:lang w:bidi="en-AU"/>
        </w:rPr>
        <w:t>The Contractor must not use any Confidential Information or disclose any Confidential Information other than to any of the Contractor’s Personnel who need the information to perform the Services or deliver the Goods, to the Contractor’s legal advisers or where required by Law.</w:t>
      </w:r>
    </w:p>
    <w:p w14:paraId="3AEC0223"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29" w:name="11_Intellectual_Property"/>
      <w:bookmarkStart w:id="230" w:name="_bookmark12"/>
      <w:bookmarkEnd w:id="229"/>
      <w:bookmarkEnd w:id="230"/>
      <w:r w:rsidRPr="00812530">
        <w:rPr>
          <w:rFonts w:cs="Arial"/>
          <w:b/>
          <w:bCs/>
          <w:lang w:bidi="en-AU"/>
        </w:rPr>
        <w:t>INTELLECTUAL PROPERTY</w:t>
      </w:r>
    </w:p>
    <w:p w14:paraId="0B1ABFAD"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31" w:name="11.1_Subject_to_clause_11.3,_the_Contrac"/>
      <w:bookmarkEnd w:id="231"/>
      <w:r w:rsidRPr="00812530">
        <w:rPr>
          <w:rFonts w:cs="Arial"/>
          <w:lang w:bidi="en-AU"/>
        </w:rPr>
        <w:t xml:space="preserve">Subject to clause 11.3, the Contractor IP remains vested in the Contractor and the Principal IP remains vested in the </w:t>
      </w:r>
      <w:proofErr w:type="gramStart"/>
      <w:r w:rsidRPr="00812530">
        <w:rPr>
          <w:rFonts w:cs="Arial"/>
          <w:lang w:bidi="en-AU"/>
        </w:rPr>
        <w:t>Principal</w:t>
      </w:r>
      <w:proofErr w:type="gramEnd"/>
      <w:r w:rsidRPr="00812530">
        <w:rPr>
          <w:rFonts w:cs="Arial"/>
          <w:lang w:bidi="en-AU"/>
        </w:rPr>
        <w:t>.</w:t>
      </w:r>
    </w:p>
    <w:p w14:paraId="1C3803DA"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32" w:name="11.2_The_Principal_will_own_all_Intellec"/>
      <w:bookmarkEnd w:id="232"/>
      <w:r w:rsidRPr="00812530">
        <w:rPr>
          <w:rFonts w:cs="Arial"/>
          <w:lang w:bidi="en-AU"/>
        </w:rPr>
        <w:t xml:space="preserve">The </w:t>
      </w:r>
      <w:proofErr w:type="gramStart"/>
      <w:r w:rsidRPr="00812530">
        <w:rPr>
          <w:rFonts w:cs="Arial"/>
          <w:lang w:bidi="en-AU"/>
        </w:rPr>
        <w:t>Principal</w:t>
      </w:r>
      <w:proofErr w:type="gramEnd"/>
      <w:r w:rsidRPr="00812530">
        <w:rPr>
          <w:rFonts w:cs="Arial"/>
          <w:lang w:bidi="en-AU"/>
        </w:rPr>
        <w:t xml:space="preserve"> will own all Intellectual Property that the Contractor creates in the performance of the Services and the supply of the Goods.</w:t>
      </w:r>
    </w:p>
    <w:p w14:paraId="2BF877EC"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33" w:name="11.3_The_Contractor_grants_to_the_Princi"/>
      <w:bookmarkStart w:id="234" w:name="_bookmark13"/>
      <w:bookmarkEnd w:id="233"/>
      <w:bookmarkEnd w:id="234"/>
      <w:r w:rsidRPr="00812530">
        <w:rPr>
          <w:rFonts w:cs="Arial"/>
          <w:lang w:bidi="en-AU"/>
        </w:rPr>
        <w:t xml:space="preserve">The Contractor grants to the </w:t>
      </w:r>
      <w:proofErr w:type="gramStart"/>
      <w:r w:rsidRPr="00812530">
        <w:rPr>
          <w:rFonts w:cs="Arial"/>
          <w:lang w:bidi="en-AU"/>
        </w:rPr>
        <w:t>Principal</w:t>
      </w:r>
      <w:proofErr w:type="gramEnd"/>
      <w:r w:rsidRPr="00812530">
        <w:rPr>
          <w:rFonts w:cs="Arial"/>
          <w:lang w:bidi="en-AU"/>
        </w:rPr>
        <w:t xml:space="preserve"> a non-exclusive, perpetual, royalty-free, irrevocable, transferable, sub- </w:t>
      </w:r>
      <w:proofErr w:type="spellStart"/>
      <w:r w:rsidRPr="00812530">
        <w:rPr>
          <w:rFonts w:cs="Arial"/>
          <w:lang w:bidi="en-AU"/>
        </w:rPr>
        <w:t>licenseable</w:t>
      </w:r>
      <w:proofErr w:type="spellEnd"/>
      <w:r w:rsidRPr="00812530">
        <w:rPr>
          <w:rFonts w:cs="Arial"/>
          <w:lang w:bidi="en-AU"/>
        </w:rPr>
        <w:t xml:space="preserve"> licence (with the right to grant sub-licenses on the same terms) to use the Contractor IP to the extent necessary to use the Goods and the Services.</w:t>
      </w:r>
    </w:p>
    <w:p w14:paraId="761D5546"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35" w:name="12_Insurance"/>
      <w:bookmarkEnd w:id="235"/>
      <w:r w:rsidRPr="00812530">
        <w:rPr>
          <w:rFonts w:cs="Arial"/>
          <w:b/>
          <w:bCs/>
          <w:lang w:bidi="en-AU"/>
        </w:rPr>
        <w:t>INSURANCE</w:t>
      </w:r>
    </w:p>
    <w:p w14:paraId="5E5D55A4"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36" w:name="12.1_Where_the_Contract_is_for_Goods,_th"/>
      <w:bookmarkStart w:id="237" w:name="_bookmark14"/>
      <w:bookmarkEnd w:id="236"/>
      <w:bookmarkEnd w:id="237"/>
      <w:r w:rsidRPr="00812530">
        <w:rPr>
          <w:rFonts w:cs="Arial"/>
          <w:lang w:bidi="en-AU"/>
        </w:rPr>
        <w:t xml:space="preserve">Where the Contract is for Goods, the Contractor must effect and maintain with a reputable insurer </w:t>
      </w:r>
      <w:r w:rsidRPr="00812530">
        <w:rPr>
          <w:rFonts w:cs="Arial"/>
          <w:i/>
          <w:lang w:bidi="en-AU"/>
        </w:rPr>
        <w:t xml:space="preserve">goods insurance </w:t>
      </w:r>
      <w:r w:rsidRPr="00812530">
        <w:rPr>
          <w:rFonts w:cs="Arial"/>
          <w:lang w:bidi="en-AU"/>
        </w:rPr>
        <w:t>covering insurance of the Goods against all risks to the point of delivery at the Delivery Point and, if the Goods are rejected by the Principal, from the time the Contractor collects the Goods from the Principal, for an amount not less than the full replacement costs of the Goods.</w:t>
      </w:r>
    </w:p>
    <w:p w14:paraId="3DAB4E1E"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38" w:name="12.2_Where_the_Contract_is_for_Services,"/>
      <w:bookmarkStart w:id="239" w:name="_bookmark15"/>
      <w:bookmarkEnd w:id="238"/>
      <w:bookmarkEnd w:id="239"/>
      <w:r w:rsidRPr="00812530">
        <w:rPr>
          <w:rFonts w:cs="Arial"/>
          <w:lang w:bidi="en-AU"/>
        </w:rPr>
        <w:t xml:space="preserve">Where the Contract is for Services, the Contractor must </w:t>
      </w:r>
      <w:proofErr w:type="gramStart"/>
      <w:r w:rsidRPr="00812530">
        <w:rPr>
          <w:rFonts w:cs="Arial"/>
          <w:lang w:bidi="en-AU"/>
        </w:rPr>
        <w:t>effect</w:t>
      </w:r>
      <w:proofErr w:type="gramEnd"/>
      <w:r w:rsidRPr="00812530">
        <w:rPr>
          <w:rFonts w:cs="Arial"/>
          <w:lang w:bidi="en-AU"/>
        </w:rPr>
        <w:t xml:space="preserve"> and maintain with a reputable insurer the following insurance policies for the entirety of the term of the Contract:</w:t>
      </w:r>
    </w:p>
    <w:p w14:paraId="6FE0B10F"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40" w:name="(a)_public_and_products_liability_insura"/>
      <w:bookmarkEnd w:id="240"/>
      <w:r w:rsidRPr="00812530">
        <w:rPr>
          <w:rFonts w:cs="Arial"/>
          <w:i/>
          <w:lang w:bidi="en-AU"/>
        </w:rPr>
        <w:t xml:space="preserve">public and products liability insurance </w:t>
      </w:r>
      <w:r w:rsidRPr="00812530">
        <w:rPr>
          <w:rFonts w:cs="Arial"/>
          <w:lang w:bidi="en-AU"/>
        </w:rPr>
        <w:t xml:space="preserve">covering liability for damage to property and the death of or injury to any person (other than as covered under a workers compensation policy) in an amount of not less than $10 million in respect of each and every claim, unlimited as to the number of occurrences for public </w:t>
      </w:r>
      <w:proofErr w:type="gramStart"/>
      <w:r w:rsidRPr="00812530">
        <w:rPr>
          <w:rFonts w:cs="Arial"/>
          <w:lang w:bidi="en-AU"/>
        </w:rPr>
        <w:t>liability;</w:t>
      </w:r>
      <w:proofErr w:type="gramEnd"/>
    </w:p>
    <w:p w14:paraId="19F57653"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41" w:name="(b)_workers_compensation_insurance_as_re"/>
      <w:bookmarkEnd w:id="241"/>
      <w:r w:rsidRPr="00812530">
        <w:rPr>
          <w:rFonts w:cs="Arial"/>
          <w:lang w:bidi="en-AU"/>
        </w:rPr>
        <w:lastRenderedPageBreak/>
        <w:t xml:space="preserve">workers compensation insurance as required by Law, including cover for common law liability for an amount of not less than $50 million for any one </w:t>
      </w:r>
      <w:proofErr w:type="gramStart"/>
      <w:r w:rsidRPr="00812530">
        <w:rPr>
          <w:rFonts w:cs="Arial"/>
          <w:lang w:bidi="en-AU"/>
        </w:rPr>
        <w:t>occurrence;</w:t>
      </w:r>
      <w:proofErr w:type="gramEnd"/>
    </w:p>
    <w:p w14:paraId="78C91AF3"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42" w:name="(c)_motor_vehicle_insurance_covering_all"/>
      <w:bookmarkEnd w:id="242"/>
      <w:r w:rsidRPr="00812530">
        <w:rPr>
          <w:rFonts w:cs="Arial"/>
          <w:i/>
          <w:lang w:bidi="en-AU"/>
        </w:rPr>
        <w:t xml:space="preserve">motor vehicle insurance </w:t>
      </w:r>
      <w:r w:rsidRPr="00812530">
        <w:rPr>
          <w:rFonts w:cs="Arial"/>
          <w:lang w:bidi="en-AU"/>
        </w:rPr>
        <w:t xml:space="preserve">covering all vehicles, plant and equipment (whether owned, hired or leased) used in connection with the Contract for loss or damage of not less than the market value and </w:t>
      </w:r>
      <w:proofErr w:type="gramStart"/>
      <w:r w:rsidRPr="00812530">
        <w:rPr>
          <w:rFonts w:cs="Arial"/>
          <w:lang w:bidi="en-AU"/>
        </w:rPr>
        <w:t>third party</w:t>
      </w:r>
      <w:proofErr w:type="gramEnd"/>
      <w:r w:rsidRPr="00812530">
        <w:rPr>
          <w:rFonts w:cs="Arial"/>
          <w:lang w:bidi="en-AU"/>
        </w:rPr>
        <w:t xml:space="preserve"> liability of not less than $20 million in respect of each and every claim;</w:t>
      </w:r>
    </w:p>
    <w:p w14:paraId="561BE372"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43" w:name="(d)_insurance_covering_the_Contractor’s_"/>
      <w:bookmarkEnd w:id="243"/>
      <w:r w:rsidRPr="00812530">
        <w:rPr>
          <w:rFonts w:cs="Arial"/>
          <w:lang w:bidi="en-AU"/>
        </w:rPr>
        <w:t>insurance covering the Contractor’s own property, goods, materials owned, hired, leased or used by the Contractor, for an amount not less than the market value of those insured items; and</w:t>
      </w:r>
    </w:p>
    <w:p w14:paraId="06F18055"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44" w:name="(e)_any_additional_insurance_required_by"/>
      <w:bookmarkEnd w:id="244"/>
      <w:r w:rsidRPr="00812530">
        <w:rPr>
          <w:rFonts w:cs="Arial"/>
          <w:lang w:bidi="en-AU"/>
        </w:rPr>
        <w:t xml:space="preserve">any additional insurance required by an applicable Law or reasonably requested by the </w:t>
      </w:r>
      <w:proofErr w:type="gramStart"/>
      <w:r w:rsidRPr="00812530">
        <w:rPr>
          <w:rFonts w:cs="Arial"/>
          <w:lang w:bidi="en-AU"/>
        </w:rPr>
        <w:t>Principal</w:t>
      </w:r>
      <w:proofErr w:type="gramEnd"/>
      <w:r w:rsidRPr="00812530">
        <w:rPr>
          <w:rFonts w:cs="Arial"/>
          <w:lang w:bidi="en-AU"/>
        </w:rPr>
        <w:t>; and</w:t>
      </w:r>
    </w:p>
    <w:p w14:paraId="79D4F047"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45" w:name="(f)_where_the_Contractor_is_providing_pr"/>
      <w:bookmarkStart w:id="246" w:name="_bookmark16"/>
      <w:bookmarkEnd w:id="245"/>
      <w:bookmarkEnd w:id="246"/>
      <w:r w:rsidRPr="00812530">
        <w:rPr>
          <w:rFonts w:cs="Arial"/>
          <w:lang w:bidi="en-AU"/>
        </w:rPr>
        <w:t xml:space="preserve">where the Contractor is providing professional services, </w:t>
      </w:r>
      <w:r w:rsidRPr="00812530">
        <w:rPr>
          <w:rFonts w:cs="Arial"/>
          <w:i/>
          <w:lang w:bidi="en-AU"/>
        </w:rPr>
        <w:t xml:space="preserve">professional indemnity insurance </w:t>
      </w:r>
      <w:r w:rsidRPr="00812530">
        <w:rPr>
          <w:rFonts w:cs="Arial"/>
          <w:lang w:bidi="en-AU"/>
        </w:rPr>
        <w:t xml:space="preserve">of not less than $2 million for each claim and in the aggregate for all claims arising in the same insurance period, covering the liability of the Contractor for any professional services provided by the Contractor and the Contractor’s Personnel under the Contract. Where this insurance is </w:t>
      </w:r>
      <w:proofErr w:type="gramStart"/>
      <w:r w:rsidRPr="00812530">
        <w:rPr>
          <w:rFonts w:cs="Arial"/>
          <w:lang w:bidi="en-AU"/>
        </w:rPr>
        <w:t>effected</w:t>
      </w:r>
      <w:proofErr w:type="gramEnd"/>
      <w:r w:rsidRPr="00812530">
        <w:rPr>
          <w:rFonts w:cs="Arial"/>
          <w:lang w:bidi="en-AU"/>
        </w:rPr>
        <w:t xml:space="preserve"> on a ‘claims made’ basis, the policy must be maintained for a period of at least 7 years after the Completion Date or the earlier termination of the Contract.</w:t>
      </w:r>
    </w:p>
    <w:p w14:paraId="7912C4DB"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47" w:name="12.3_The_Contractor_must_provide_to_the_"/>
      <w:bookmarkEnd w:id="247"/>
      <w:r w:rsidRPr="00812530">
        <w:rPr>
          <w:rFonts w:cs="Arial"/>
          <w:lang w:bidi="en-AU"/>
        </w:rPr>
        <w:t xml:space="preserve">The Contractor must provide to the </w:t>
      </w:r>
      <w:proofErr w:type="gramStart"/>
      <w:r w:rsidRPr="00812530">
        <w:rPr>
          <w:rFonts w:cs="Arial"/>
          <w:lang w:bidi="en-AU"/>
        </w:rPr>
        <w:t>Principal</w:t>
      </w:r>
      <w:proofErr w:type="gramEnd"/>
      <w:r w:rsidRPr="00812530">
        <w:rPr>
          <w:rFonts w:cs="Arial"/>
          <w:lang w:bidi="en-AU"/>
        </w:rPr>
        <w:t>, within 3 business days of a written request, certificates of currency for each of the insurance policies required under clauses 12.1 or 12.2 (or both, as applicable).</w:t>
      </w:r>
    </w:p>
    <w:p w14:paraId="60170981"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48" w:name="12.4_Subject_to_clause_17.4,_if_the_Cont"/>
      <w:bookmarkEnd w:id="248"/>
      <w:r w:rsidRPr="00812530">
        <w:rPr>
          <w:rFonts w:cs="Arial"/>
          <w:lang w:bidi="en-AU"/>
        </w:rPr>
        <w:t xml:space="preserve">Subject to clause 17.4, if the Contractor subcontracts any part of the Contractor’s Obligations, then the Contractor must ensure that every subcontractor effects and maintains </w:t>
      </w:r>
      <w:proofErr w:type="gramStart"/>
      <w:r w:rsidRPr="00812530">
        <w:rPr>
          <w:rFonts w:cs="Arial"/>
          <w:lang w:bidi="en-AU"/>
        </w:rPr>
        <w:t>all of</w:t>
      </w:r>
      <w:proofErr w:type="gramEnd"/>
      <w:r w:rsidRPr="00812530">
        <w:rPr>
          <w:rFonts w:cs="Arial"/>
          <w:lang w:bidi="en-AU"/>
        </w:rPr>
        <w:t xml:space="preserve"> the insurances required under clause 12.1 or 12.2 (or both, as applicable), as appropriate for the work being performed by that subcontractor, before the subcontractor commences any of the Contractor’s Obligations.</w:t>
      </w:r>
    </w:p>
    <w:p w14:paraId="6ED4951E"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49" w:name="13_indemnity_and_limits_of_liability"/>
      <w:bookmarkStart w:id="250" w:name="_bookmark17"/>
      <w:bookmarkEnd w:id="249"/>
      <w:bookmarkEnd w:id="250"/>
      <w:r w:rsidRPr="00812530">
        <w:rPr>
          <w:rFonts w:cs="Arial"/>
          <w:b/>
          <w:bCs/>
          <w:lang w:bidi="en-AU"/>
        </w:rPr>
        <w:t>INDEMNITY AND LIMITS OF LIABILITY</w:t>
      </w:r>
    </w:p>
    <w:p w14:paraId="6C699861"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51" w:name="13.1_The_Contractor_indemnifies_the_Prin"/>
      <w:bookmarkEnd w:id="251"/>
      <w:r w:rsidRPr="00812530">
        <w:rPr>
          <w:rFonts w:cs="Arial"/>
          <w:lang w:bidi="en-AU"/>
        </w:rPr>
        <w:t>The Contractor indemnifies the Principal and the Principal’s officers, employees, agents and contractors for and against any claims (including third party claims) and losses suffered or incurred by any of them arising out of, or in connection with, any wrongful act or omission of the Contractor or any of the Contractor’s Personnel. This indemnity will be reduced to the extent that the claim or loss is caused by the negligence of the Principal or the Principal’s personnel.</w:t>
      </w:r>
      <w:bookmarkStart w:id="252" w:name="13.2_Neither_party_is_liable_to_the_othe"/>
      <w:bookmarkEnd w:id="252"/>
    </w:p>
    <w:p w14:paraId="2A07C470" w14:textId="77777777" w:rsidR="005521E7" w:rsidRPr="00812530" w:rsidRDefault="005521E7" w:rsidP="00AA0C1E">
      <w:pPr>
        <w:numPr>
          <w:ilvl w:val="1"/>
          <w:numId w:val="38"/>
        </w:numPr>
        <w:spacing w:after="160" w:line="259" w:lineRule="auto"/>
        <w:ind w:left="1134" w:hanging="567"/>
        <w:jc w:val="both"/>
        <w:rPr>
          <w:rFonts w:cs="Arial"/>
          <w:lang w:bidi="en-AU"/>
        </w:rPr>
      </w:pPr>
      <w:r w:rsidRPr="00812530">
        <w:rPr>
          <w:rFonts w:cs="Arial"/>
          <w:lang w:bidi="en-AU"/>
        </w:rPr>
        <w:t>Neither party is liable to the other for Consequential Loss.</w:t>
      </w:r>
    </w:p>
    <w:p w14:paraId="0707D8A1"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53" w:name="14_TERMINATION"/>
      <w:bookmarkEnd w:id="253"/>
      <w:r w:rsidRPr="00812530">
        <w:rPr>
          <w:rFonts w:cs="Arial"/>
          <w:b/>
          <w:bCs/>
          <w:lang w:bidi="en-AU"/>
        </w:rPr>
        <w:t>TERMINATION</w:t>
      </w:r>
    </w:p>
    <w:p w14:paraId="530E4718" w14:textId="77777777" w:rsidR="005521E7" w:rsidRPr="00812530" w:rsidRDefault="005521E7" w:rsidP="00AA0C1E">
      <w:pPr>
        <w:numPr>
          <w:ilvl w:val="1"/>
          <w:numId w:val="38"/>
        </w:numPr>
        <w:spacing w:after="60" w:line="259" w:lineRule="auto"/>
        <w:ind w:left="1134" w:hanging="567"/>
        <w:jc w:val="both"/>
        <w:rPr>
          <w:rFonts w:cs="Arial"/>
          <w:lang w:bidi="en-AU"/>
        </w:rPr>
      </w:pPr>
      <w:bookmarkStart w:id="254" w:name="14.1_The_Principal_may_terminate_the_Con"/>
      <w:bookmarkEnd w:id="254"/>
      <w:r w:rsidRPr="00812530">
        <w:rPr>
          <w:rFonts w:cs="Arial"/>
          <w:lang w:bidi="en-AU"/>
        </w:rPr>
        <w:t xml:space="preserve">The </w:t>
      </w:r>
      <w:proofErr w:type="gramStart"/>
      <w:r w:rsidRPr="00812530">
        <w:rPr>
          <w:rFonts w:cs="Arial"/>
          <w:lang w:bidi="en-AU"/>
        </w:rPr>
        <w:t>Principal</w:t>
      </w:r>
      <w:proofErr w:type="gramEnd"/>
      <w:r w:rsidRPr="00812530">
        <w:rPr>
          <w:rFonts w:cs="Arial"/>
          <w:lang w:bidi="en-AU"/>
        </w:rPr>
        <w:t xml:space="preserve"> may terminate the Contract by notice to the Contractor:</w:t>
      </w:r>
    </w:p>
    <w:p w14:paraId="65CA3CCE"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255" w:name="(a)_at_any_time_and_in_its_absolute_disc"/>
      <w:bookmarkStart w:id="256" w:name="_bookmark18"/>
      <w:bookmarkEnd w:id="255"/>
      <w:bookmarkEnd w:id="256"/>
      <w:r w:rsidRPr="00812530">
        <w:rPr>
          <w:rFonts w:cs="Arial"/>
          <w:lang w:bidi="en-AU"/>
        </w:rPr>
        <w:t xml:space="preserve">at any time and in its absolute discretion by giving 7 days’ notice to the </w:t>
      </w:r>
      <w:proofErr w:type="gramStart"/>
      <w:r w:rsidRPr="00812530">
        <w:rPr>
          <w:rFonts w:cs="Arial"/>
          <w:lang w:bidi="en-AU"/>
        </w:rPr>
        <w:t>Contractor;</w:t>
      </w:r>
      <w:proofErr w:type="gramEnd"/>
    </w:p>
    <w:p w14:paraId="1A8BA9EB" w14:textId="77777777" w:rsidR="005521E7" w:rsidRPr="00812530" w:rsidRDefault="005521E7" w:rsidP="00AA0C1E">
      <w:pPr>
        <w:numPr>
          <w:ilvl w:val="2"/>
          <w:numId w:val="38"/>
        </w:numPr>
        <w:spacing w:after="60" w:line="259" w:lineRule="auto"/>
        <w:ind w:left="1701" w:hanging="567"/>
        <w:jc w:val="both"/>
        <w:rPr>
          <w:rFonts w:cs="Arial"/>
          <w:lang w:bidi="en-AU"/>
        </w:rPr>
      </w:pPr>
      <w:bookmarkStart w:id="257" w:name="(b)_if_the_Contractor_commits_a_breach_o"/>
      <w:bookmarkEnd w:id="257"/>
      <w:r w:rsidRPr="00812530">
        <w:rPr>
          <w:rFonts w:cs="Arial"/>
          <w:lang w:bidi="en-AU"/>
        </w:rPr>
        <w:t xml:space="preserve">if the Contractor commits a breach of the Contract and fails to remedy that default within 14 days of the </w:t>
      </w:r>
      <w:proofErr w:type="gramStart"/>
      <w:r w:rsidRPr="00812530">
        <w:rPr>
          <w:rFonts w:cs="Arial"/>
          <w:lang w:bidi="en-AU"/>
        </w:rPr>
        <w:t>Principal</w:t>
      </w:r>
      <w:proofErr w:type="gramEnd"/>
      <w:r w:rsidRPr="00812530">
        <w:rPr>
          <w:rFonts w:cs="Arial"/>
          <w:lang w:bidi="en-AU"/>
        </w:rPr>
        <w:t xml:space="preserve"> giving notice of the breach; or</w:t>
      </w:r>
    </w:p>
    <w:p w14:paraId="7B02523E"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58" w:name="(c)_immediately_if_an_Insolvency_Event_o"/>
      <w:bookmarkEnd w:id="258"/>
      <w:r w:rsidRPr="00812530">
        <w:rPr>
          <w:rFonts w:cs="Arial"/>
          <w:lang w:bidi="en-AU"/>
        </w:rPr>
        <w:t>immediately if an Insolvency Event occurs.</w:t>
      </w:r>
    </w:p>
    <w:p w14:paraId="231A055E"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59" w:name="14.2_On_termination_of_the_Contract,_the"/>
      <w:bookmarkEnd w:id="259"/>
      <w:r w:rsidRPr="00812530">
        <w:rPr>
          <w:rFonts w:cs="Arial"/>
          <w:lang w:bidi="en-AU"/>
        </w:rPr>
        <w:t xml:space="preserve">On termination of the Contract, the Contractor must promptly return to the </w:t>
      </w:r>
      <w:proofErr w:type="gramStart"/>
      <w:r w:rsidRPr="00812530">
        <w:rPr>
          <w:rFonts w:cs="Arial"/>
          <w:lang w:bidi="en-AU"/>
        </w:rPr>
        <w:t>Principal</w:t>
      </w:r>
      <w:proofErr w:type="gramEnd"/>
      <w:r w:rsidRPr="00812530">
        <w:rPr>
          <w:rFonts w:cs="Arial"/>
          <w:lang w:bidi="en-AU"/>
        </w:rPr>
        <w:t xml:space="preserve"> any of the Principal’s Confidential Information, property and documents which the Principal owns or in which the Principal has an interest.</w:t>
      </w:r>
    </w:p>
    <w:p w14:paraId="384CAFE8"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60" w:name="14.3_If_the_Contract_is_terminated_under"/>
      <w:bookmarkStart w:id="261" w:name="_bookmark19"/>
      <w:bookmarkEnd w:id="260"/>
      <w:bookmarkEnd w:id="261"/>
      <w:r w:rsidRPr="00812530">
        <w:rPr>
          <w:rFonts w:cs="Arial"/>
          <w:lang w:bidi="en-AU"/>
        </w:rPr>
        <w:lastRenderedPageBreak/>
        <w:t>If the Contract is terminated under clause 14.1(a):</w:t>
      </w:r>
    </w:p>
    <w:p w14:paraId="71051911"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62" w:name="(a)_the_Principal_must_pay_the_Contracto"/>
      <w:bookmarkEnd w:id="262"/>
      <w:r w:rsidRPr="00812530">
        <w:rPr>
          <w:rFonts w:cs="Arial"/>
          <w:lang w:bidi="en-AU"/>
        </w:rPr>
        <w:t xml:space="preserve">the </w:t>
      </w:r>
      <w:proofErr w:type="gramStart"/>
      <w:r w:rsidRPr="00812530">
        <w:rPr>
          <w:rFonts w:cs="Arial"/>
          <w:lang w:bidi="en-AU"/>
        </w:rPr>
        <w:t>Principal</w:t>
      </w:r>
      <w:proofErr w:type="gramEnd"/>
      <w:r w:rsidRPr="00812530">
        <w:rPr>
          <w:rFonts w:cs="Arial"/>
          <w:lang w:bidi="en-AU"/>
        </w:rPr>
        <w:t xml:space="preserve"> must pay the Contractor that part of the Contract Price for any Contractor’s Obligations performed prior to termination that have not already been paid by the Principal; and</w:t>
      </w:r>
    </w:p>
    <w:p w14:paraId="6B9F8D72" w14:textId="77777777" w:rsidR="005521E7" w:rsidRPr="00812530" w:rsidRDefault="005521E7" w:rsidP="00AA0C1E">
      <w:pPr>
        <w:numPr>
          <w:ilvl w:val="2"/>
          <w:numId w:val="38"/>
        </w:numPr>
        <w:spacing w:after="160" w:line="259" w:lineRule="auto"/>
        <w:ind w:left="1701" w:hanging="567"/>
        <w:jc w:val="both"/>
        <w:rPr>
          <w:rFonts w:cs="Arial"/>
          <w:lang w:bidi="en-AU"/>
        </w:rPr>
      </w:pPr>
      <w:bookmarkStart w:id="263" w:name="(b)_the_Contractor_is_not_entitled_to,_a"/>
      <w:bookmarkEnd w:id="263"/>
      <w:r w:rsidRPr="00812530">
        <w:rPr>
          <w:rFonts w:cs="Arial"/>
          <w:lang w:bidi="en-AU"/>
        </w:rPr>
        <w:t xml:space="preserve">the Contractor is not entitled to, and the </w:t>
      </w:r>
      <w:proofErr w:type="gramStart"/>
      <w:r w:rsidRPr="00812530">
        <w:rPr>
          <w:rFonts w:cs="Arial"/>
          <w:lang w:bidi="en-AU"/>
        </w:rPr>
        <w:t>Principal</w:t>
      </w:r>
      <w:proofErr w:type="gramEnd"/>
      <w:r w:rsidRPr="00812530">
        <w:rPr>
          <w:rFonts w:cs="Arial"/>
          <w:lang w:bidi="en-AU"/>
        </w:rPr>
        <w:t xml:space="preserve"> is not liable for, any additional amounts whatsoever.</w:t>
      </w:r>
    </w:p>
    <w:p w14:paraId="63023A62"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64" w:name="14.4_Subject_to_clause_14.3,_termination"/>
      <w:bookmarkStart w:id="265" w:name="_bookmark20"/>
      <w:bookmarkEnd w:id="264"/>
      <w:bookmarkEnd w:id="265"/>
      <w:r w:rsidRPr="00812530">
        <w:rPr>
          <w:rFonts w:cs="Arial"/>
          <w:lang w:bidi="en-AU"/>
        </w:rPr>
        <w:t>Subject to clause 14.3, termination of the Contract, however it may occur, does not prejudice any claim that either party may have against the other under the Contract on termination.</w:t>
      </w:r>
    </w:p>
    <w:p w14:paraId="6786B810"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66" w:name="15_Notices"/>
      <w:bookmarkEnd w:id="266"/>
      <w:r w:rsidRPr="00812530">
        <w:rPr>
          <w:rFonts w:cs="Arial"/>
          <w:b/>
          <w:bCs/>
          <w:lang w:bidi="en-AU"/>
        </w:rPr>
        <w:t>NOTICES</w:t>
      </w:r>
    </w:p>
    <w:p w14:paraId="36501E52" w14:textId="77777777" w:rsidR="005521E7" w:rsidRPr="00812530" w:rsidRDefault="005521E7" w:rsidP="005521E7">
      <w:pPr>
        <w:spacing w:after="160" w:line="259" w:lineRule="auto"/>
        <w:ind w:left="567"/>
        <w:jc w:val="both"/>
        <w:rPr>
          <w:rFonts w:cs="Arial"/>
          <w:lang w:bidi="en-AU"/>
        </w:rPr>
      </w:pPr>
      <w:bookmarkStart w:id="267" w:name="Any_notice_or_other_communication_relati"/>
      <w:bookmarkEnd w:id="267"/>
      <w:r w:rsidRPr="00812530">
        <w:rPr>
          <w:rFonts w:cs="Arial"/>
          <w:lang w:bidi="en-AU"/>
        </w:rPr>
        <w:t>Any notice or other communication relating to the Contract must be in writing, signed by the sender or its agent, and either hand delivered, sent by pre-paid post, faxed or emailed to the other party at the address, fax number or email address set out in the Purchase Order.</w:t>
      </w:r>
    </w:p>
    <w:p w14:paraId="3AA807D5"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68" w:name="16_Disputes"/>
      <w:bookmarkStart w:id="269" w:name="_bookmark21"/>
      <w:bookmarkEnd w:id="268"/>
      <w:bookmarkEnd w:id="269"/>
      <w:r w:rsidRPr="00812530">
        <w:rPr>
          <w:rFonts w:cs="Arial"/>
          <w:b/>
          <w:bCs/>
          <w:lang w:bidi="en-AU"/>
        </w:rPr>
        <w:t>DISPUTES</w:t>
      </w:r>
    </w:p>
    <w:p w14:paraId="5B413A43"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70" w:name="16.1_Neither_party_may_commence_any_acti"/>
      <w:bookmarkEnd w:id="270"/>
      <w:r w:rsidRPr="00812530">
        <w:rPr>
          <w:rFonts w:cs="Arial"/>
          <w:lang w:bidi="en-AU"/>
        </w:rPr>
        <w:t xml:space="preserve">Neither party may commence any action, bring any proceedings or seek any relief or remedy in a court, except interlocutory or equitable relief, from a court in respect of a dispute until they have complied with the dispute resolution process in accordance with this clause </w:t>
      </w:r>
      <w:hyperlink w:anchor="_bookmark21" w:history="1">
        <w:r w:rsidRPr="00812530">
          <w:rPr>
            <w:rStyle w:val="Hyperlink"/>
            <w:rFonts w:cs="Arial"/>
            <w:lang w:bidi="en-AU"/>
          </w:rPr>
          <w:t>16.</w:t>
        </w:r>
      </w:hyperlink>
    </w:p>
    <w:p w14:paraId="70650BE8"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71" w:name="16.2_If_any_dispute_arises_between_the_p"/>
      <w:bookmarkStart w:id="272" w:name="_bookmark22"/>
      <w:bookmarkEnd w:id="271"/>
      <w:bookmarkEnd w:id="272"/>
      <w:r w:rsidRPr="00812530">
        <w:rPr>
          <w:rFonts w:cs="Arial"/>
          <w:lang w:bidi="en-AU"/>
        </w:rPr>
        <w:t>If any dispute arises between the parties in relation to the Contract, either party must give notice of the dispute to the other party.</w:t>
      </w:r>
    </w:p>
    <w:p w14:paraId="6F86AEE0"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73" w:name="16.3_A_senior_representative_of_each_of_"/>
      <w:bookmarkEnd w:id="273"/>
      <w:r w:rsidRPr="00812530">
        <w:rPr>
          <w:rFonts w:cs="Arial"/>
          <w:lang w:bidi="en-AU"/>
        </w:rPr>
        <w:t xml:space="preserve">A senior representative of each of the parties must promptly meet and attempt to resolve the dispute. If the parties are unable to resolve a dispute within 21 days of the notice referred to in clause </w:t>
      </w:r>
      <w:hyperlink w:anchor="_bookmark22" w:history="1">
        <w:r w:rsidRPr="00812530">
          <w:rPr>
            <w:rStyle w:val="Hyperlink"/>
            <w:rFonts w:cs="Arial"/>
            <w:lang w:bidi="en-AU"/>
          </w:rPr>
          <w:t xml:space="preserve">16.2, </w:t>
        </w:r>
      </w:hyperlink>
      <w:r w:rsidRPr="00812530">
        <w:rPr>
          <w:rFonts w:cs="Arial"/>
          <w:lang w:bidi="en-AU"/>
        </w:rPr>
        <w:t>then either party may issue court proceedings.</w:t>
      </w:r>
    </w:p>
    <w:p w14:paraId="1CEFC149"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74" w:name="17_General"/>
      <w:bookmarkStart w:id="275" w:name="_bookmark23"/>
      <w:bookmarkEnd w:id="274"/>
      <w:bookmarkEnd w:id="275"/>
      <w:r w:rsidRPr="00812530">
        <w:rPr>
          <w:rFonts w:cs="Arial"/>
          <w:b/>
          <w:bCs/>
          <w:lang w:bidi="en-AU"/>
        </w:rPr>
        <w:t>GENERAL</w:t>
      </w:r>
    </w:p>
    <w:p w14:paraId="34D6D560"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76" w:name="17.1_The_Contract_states_all_the_express"/>
      <w:bookmarkEnd w:id="276"/>
      <w:r w:rsidRPr="00812530">
        <w:rPr>
          <w:rFonts w:cs="Arial"/>
          <w:lang w:bidi="en-AU"/>
        </w:rPr>
        <w:t>The Contract states all the express terms of the agreement between the parties in respect of its subject matter. It supersedes all prior representations, discussions, negotiations, understanding and agreements in respect of its subject matter.</w:t>
      </w:r>
    </w:p>
    <w:p w14:paraId="30C4A522"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77" w:name="17.2_The_Contract_is_governed_by_the_law"/>
      <w:bookmarkEnd w:id="277"/>
      <w:r w:rsidRPr="00812530">
        <w:rPr>
          <w:rFonts w:cs="Arial"/>
          <w:lang w:bidi="en-AU"/>
        </w:rPr>
        <w:t>The Contract is governed by the law in force in Western Australia and each party irrevocably submits to the non- exclusive jurisdiction of courts exercising jurisdiction in Western Australia.</w:t>
      </w:r>
    </w:p>
    <w:p w14:paraId="02FFDA5A"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78" w:name="17.3_The_Contractor_must_not_assign_or_n"/>
      <w:bookmarkEnd w:id="278"/>
      <w:r w:rsidRPr="00812530">
        <w:rPr>
          <w:rFonts w:cs="Arial"/>
          <w:lang w:bidi="en-AU"/>
        </w:rPr>
        <w:t xml:space="preserve">The Contractor must not assign or novate the Contract or assign any other right, benefit or interest under the Contract to any person or entity without the prior written consent of the </w:t>
      </w:r>
      <w:proofErr w:type="gramStart"/>
      <w:r w:rsidRPr="00812530">
        <w:rPr>
          <w:rFonts w:cs="Arial"/>
          <w:lang w:bidi="en-AU"/>
        </w:rPr>
        <w:t>Principal</w:t>
      </w:r>
      <w:proofErr w:type="gramEnd"/>
      <w:r w:rsidRPr="00812530">
        <w:rPr>
          <w:rFonts w:cs="Arial"/>
          <w:lang w:bidi="en-AU"/>
        </w:rPr>
        <w:t>.</w:t>
      </w:r>
    </w:p>
    <w:p w14:paraId="2C686FBC"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79" w:name="17.4_The_Contractor_must_not,_without_th"/>
      <w:bookmarkStart w:id="280" w:name="_bookmark24"/>
      <w:bookmarkEnd w:id="279"/>
      <w:bookmarkEnd w:id="280"/>
      <w:r w:rsidRPr="00812530">
        <w:rPr>
          <w:rFonts w:cs="Arial"/>
          <w:lang w:bidi="en-AU"/>
        </w:rPr>
        <w:t xml:space="preserve">The Contractor must not, without the prior written consent of the </w:t>
      </w:r>
      <w:proofErr w:type="gramStart"/>
      <w:r w:rsidRPr="00812530">
        <w:rPr>
          <w:rFonts w:cs="Arial"/>
          <w:lang w:bidi="en-AU"/>
        </w:rPr>
        <w:t>Principal</w:t>
      </w:r>
      <w:proofErr w:type="gramEnd"/>
      <w:r w:rsidRPr="00812530">
        <w:rPr>
          <w:rFonts w:cs="Arial"/>
          <w:lang w:bidi="en-AU"/>
        </w:rPr>
        <w:t>, which consent must not be unreasonably withheld, subcontract any of the Contractor’s Obligations.</w:t>
      </w:r>
    </w:p>
    <w:p w14:paraId="3D934C40"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81" w:name="17.5_No_term_or_provision_of_the_Contrac"/>
      <w:bookmarkEnd w:id="281"/>
      <w:r w:rsidRPr="00812530">
        <w:rPr>
          <w:rFonts w:cs="Arial"/>
          <w:lang w:bidi="en-AU"/>
        </w:rPr>
        <w:t>No term or provision of the Contract will be construed against a party on the basis that the Contract or the term or provision in question was put forward or drafted by that party.</w:t>
      </w:r>
    </w:p>
    <w:p w14:paraId="56E112A2"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82" w:name="17.6_The_Contract_is_a_non-exclusive_con"/>
      <w:bookmarkEnd w:id="282"/>
      <w:r w:rsidRPr="00812530">
        <w:rPr>
          <w:rFonts w:cs="Arial"/>
          <w:lang w:bidi="en-AU"/>
        </w:rPr>
        <w:t xml:space="preserve">The Contract is a non-exclusive contract for the supply of Goods or </w:t>
      </w:r>
      <w:proofErr w:type="gramStart"/>
      <w:r w:rsidRPr="00812530">
        <w:rPr>
          <w:rFonts w:cs="Arial"/>
          <w:lang w:bidi="en-AU"/>
        </w:rPr>
        <w:t>Services</w:t>
      </w:r>
      <w:proofErr w:type="gramEnd"/>
      <w:r w:rsidRPr="00812530">
        <w:rPr>
          <w:rFonts w:cs="Arial"/>
          <w:lang w:bidi="en-AU"/>
        </w:rPr>
        <w:t xml:space="preserve"> and it does not prevent the Principal from entering into other contracts for the supply or performance of the same or similar goods or services with other contractors.</w:t>
      </w:r>
    </w:p>
    <w:p w14:paraId="1394B376"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83" w:name="17.7_Any_provision_of_the_Contract_which"/>
      <w:bookmarkEnd w:id="283"/>
      <w:r w:rsidRPr="00812530">
        <w:rPr>
          <w:rFonts w:cs="Arial"/>
          <w:lang w:bidi="en-AU"/>
        </w:rPr>
        <w:lastRenderedPageBreak/>
        <w:t xml:space="preserve">Any provision of the </w:t>
      </w:r>
      <w:proofErr w:type="gramStart"/>
      <w:r w:rsidRPr="00812530">
        <w:rPr>
          <w:rFonts w:cs="Arial"/>
          <w:lang w:bidi="en-AU"/>
        </w:rPr>
        <w:t>Contract</w:t>
      </w:r>
      <w:proofErr w:type="gramEnd"/>
      <w:r w:rsidRPr="00812530">
        <w:rPr>
          <w:rFonts w:cs="Arial"/>
          <w:lang w:bidi="en-AU"/>
        </w:rPr>
        <w:t xml:space="preserve"> which is illegal, void or unenforceable will be ineffective to the extent only of that illegality, voidness or unenforceability without invaliding the remaining provisions.</w:t>
      </w:r>
      <w:bookmarkStart w:id="284" w:name="17.8_If_the_Principal_is_restructured_by"/>
      <w:bookmarkEnd w:id="284"/>
      <w:r w:rsidRPr="00812530">
        <w:rPr>
          <w:rFonts w:cs="Arial"/>
          <w:lang w:bidi="en-AU"/>
        </w:rPr>
        <w:t xml:space="preserve"> If the Principal is restructured by Law, then the rights and obligations of the Principal under the Contract are novated to and assumed by the appropriate legal entity as determined by the </w:t>
      </w:r>
      <w:proofErr w:type="gramStart"/>
      <w:r w:rsidRPr="00812530">
        <w:rPr>
          <w:rFonts w:cs="Arial"/>
          <w:lang w:bidi="en-AU"/>
        </w:rPr>
        <w:t>Principal</w:t>
      </w:r>
      <w:proofErr w:type="gramEnd"/>
      <w:r w:rsidRPr="00812530">
        <w:rPr>
          <w:rFonts w:cs="Arial"/>
          <w:lang w:bidi="en-AU"/>
        </w:rPr>
        <w:t xml:space="preserve"> or the successors of the Principal under the restructure.</w:t>
      </w:r>
    </w:p>
    <w:p w14:paraId="4AB56AD7" w14:textId="77777777" w:rsidR="005521E7" w:rsidRPr="00812530" w:rsidRDefault="005521E7" w:rsidP="00AA0C1E">
      <w:pPr>
        <w:numPr>
          <w:ilvl w:val="1"/>
          <w:numId w:val="38"/>
        </w:numPr>
        <w:spacing w:after="160" w:line="259" w:lineRule="auto"/>
        <w:ind w:left="1134" w:hanging="567"/>
        <w:jc w:val="both"/>
        <w:rPr>
          <w:rFonts w:cs="Arial"/>
          <w:lang w:bidi="en-AU"/>
        </w:rPr>
      </w:pPr>
      <w:bookmarkStart w:id="285" w:name="17.9_Clauses_4,_6.8,_6.9,_10,_11,_12.2(f"/>
      <w:bookmarkEnd w:id="285"/>
      <w:r w:rsidRPr="00812530">
        <w:rPr>
          <w:rFonts w:cs="Arial"/>
          <w:lang w:bidi="en-AU"/>
        </w:rPr>
        <w:t>Clauses 4, 6.8, 6.9, 10, 11, 12.2(f), 13, 14.4 and 17 survive the termination or expiry of the Contract.</w:t>
      </w:r>
    </w:p>
    <w:p w14:paraId="2CD0A40E"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86" w:name="18_DEFINITIONS"/>
      <w:bookmarkEnd w:id="286"/>
      <w:r w:rsidRPr="00812530">
        <w:rPr>
          <w:rFonts w:cs="Arial"/>
          <w:b/>
          <w:bCs/>
          <w:lang w:bidi="en-AU"/>
        </w:rPr>
        <w:t>DEFINITIONS</w:t>
      </w:r>
    </w:p>
    <w:p w14:paraId="5B3280C8"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Completion Date </w:t>
      </w:r>
      <w:r w:rsidRPr="00812530">
        <w:rPr>
          <w:rFonts w:cs="Arial"/>
          <w:lang w:bidi="en-AU"/>
        </w:rPr>
        <w:t>means the date on which performance of the Services is completed.</w:t>
      </w:r>
    </w:p>
    <w:p w14:paraId="3B834E60"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Conditions of Contract </w:t>
      </w:r>
      <w:r w:rsidRPr="00812530">
        <w:rPr>
          <w:rFonts w:cs="Arial"/>
          <w:lang w:bidi="en-AU"/>
        </w:rPr>
        <w:t>means these general conditions of contract for the supply of goods and services under a purchase order.</w:t>
      </w:r>
    </w:p>
    <w:p w14:paraId="37628AEC"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Confidential Information </w:t>
      </w:r>
      <w:r w:rsidRPr="00812530">
        <w:rPr>
          <w:rFonts w:cs="Arial"/>
          <w:lang w:bidi="en-AU"/>
        </w:rPr>
        <w:t>means the Contract and information (regardless of its form) which is disclosed directly or indirectly by the Principal to the Contractor or Contractor’s Personnel which is treated or designated as confidential, or which the Contractor or the Contractor’s Personnel ought to know is confidential, but does not include information which is or becomes public knowledge (other than by the Contractor’s disclosure or breach of the Contract).</w:t>
      </w:r>
    </w:p>
    <w:p w14:paraId="5A78559A"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Consequential Loss </w:t>
      </w:r>
      <w:r w:rsidRPr="00812530">
        <w:rPr>
          <w:rFonts w:cs="Arial"/>
          <w:lang w:bidi="en-AU"/>
        </w:rPr>
        <w:t>means any loss of production, loss or revenue, loss of profit, loss of business reputation, business interruptions, loss of opportunities, loss of anticipated savings or wasted overheads.</w:t>
      </w:r>
    </w:p>
    <w:p w14:paraId="5578D4ED"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Contract </w:t>
      </w:r>
      <w:r w:rsidRPr="00812530">
        <w:rPr>
          <w:rFonts w:cs="Arial"/>
          <w:lang w:bidi="en-AU"/>
        </w:rPr>
        <w:t>means the Conditions of Contract and the relevant Purchase Order.</w:t>
      </w:r>
    </w:p>
    <w:p w14:paraId="178D7C17"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Contract Price </w:t>
      </w:r>
      <w:r w:rsidRPr="00812530">
        <w:rPr>
          <w:rFonts w:cs="Arial"/>
          <w:lang w:bidi="en-AU"/>
        </w:rPr>
        <w:t>means the price for the Goods or Services (exclusive of GST) set out in the Purchase Order.</w:t>
      </w:r>
    </w:p>
    <w:p w14:paraId="29DE38BA"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Contractor </w:t>
      </w:r>
      <w:r w:rsidRPr="00812530">
        <w:rPr>
          <w:rFonts w:cs="Arial"/>
          <w:lang w:bidi="en-AU"/>
        </w:rPr>
        <w:t>means the contractor specified in the Purchase Order.</w:t>
      </w:r>
    </w:p>
    <w:p w14:paraId="4D32FE27"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Contractor IP </w:t>
      </w:r>
      <w:r w:rsidRPr="00812530">
        <w:rPr>
          <w:rFonts w:cs="Arial"/>
          <w:lang w:bidi="en-AU"/>
        </w:rPr>
        <w:t>means any Intellectual Property of the Contractor (or Intellectual Property licensed to the Contractor by a third party) which:</w:t>
      </w:r>
    </w:p>
    <w:p w14:paraId="384CFC0E" w14:textId="77777777" w:rsidR="005521E7" w:rsidRPr="00812530" w:rsidRDefault="005521E7" w:rsidP="00AA0C1E">
      <w:pPr>
        <w:numPr>
          <w:ilvl w:val="0"/>
          <w:numId w:val="37"/>
        </w:numPr>
        <w:spacing w:after="160" w:line="259" w:lineRule="auto"/>
        <w:ind w:left="1701" w:hanging="567"/>
        <w:jc w:val="both"/>
        <w:rPr>
          <w:rFonts w:cs="Arial"/>
          <w:lang w:bidi="en-AU"/>
        </w:rPr>
      </w:pPr>
      <w:r w:rsidRPr="00812530">
        <w:rPr>
          <w:rFonts w:cs="Arial"/>
          <w:lang w:bidi="en-AU"/>
        </w:rPr>
        <w:t>is in existence before the date of the Contract or comes into existence after the date of the Contract other than in connection with the Contract, the Goods or the Services; and</w:t>
      </w:r>
    </w:p>
    <w:p w14:paraId="7C6E6F69" w14:textId="77777777" w:rsidR="005521E7" w:rsidRPr="00812530" w:rsidRDefault="005521E7" w:rsidP="00AA0C1E">
      <w:pPr>
        <w:numPr>
          <w:ilvl w:val="0"/>
          <w:numId w:val="37"/>
        </w:numPr>
        <w:spacing w:after="160" w:line="259" w:lineRule="auto"/>
        <w:ind w:left="1701" w:hanging="567"/>
        <w:jc w:val="both"/>
        <w:rPr>
          <w:rFonts w:cs="Arial"/>
          <w:lang w:bidi="en-AU"/>
        </w:rPr>
      </w:pPr>
      <w:r w:rsidRPr="00812530">
        <w:rPr>
          <w:rFonts w:cs="Arial"/>
          <w:lang w:bidi="en-AU"/>
        </w:rPr>
        <w:t>which the Contractor makes available, contributes, brings to or uses in connection with the Contract.</w:t>
      </w:r>
    </w:p>
    <w:p w14:paraId="33B5168B"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Contractor’s Obligations </w:t>
      </w:r>
      <w:r w:rsidRPr="00812530">
        <w:rPr>
          <w:rFonts w:cs="Arial"/>
          <w:lang w:bidi="en-AU"/>
        </w:rPr>
        <w:t xml:space="preserve">means </w:t>
      </w:r>
      <w:proofErr w:type="gramStart"/>
      <w:r w:rsidRPr="00812530">
        <w:rPr>
          <w:rFonts w:cs="Arial"/>
          <w:lang w:bidi="en-AU"/>
        </w:rPr>
        <w:t>all of</w:t>
      </w:r>
      <w:proofErr w:type="gramEnd"/>
      <w:r w:rsidRPr="00812530">
        <w:rPr>
          <w:rFonts w:cs="Arial"/>
          <w:lang w:bidi="en-AU"/>
        </w:rPr>
        <w:t xml:space="preserve"> the Contractor’s obligations under the Contract.</w:t>
      </w:r>
    </w:p>
    <w:p w14:paraId="452E8EAA"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Contractor’s Personnel </w:t>
      </w:r>
      <w:r w:rsidRPr="00812530">
        <w:rPr>
          <w:rFonts w:cs="Arial"/>
          <w:lang w:bidi="en-AU"/>
        </w:rPr>
        <w:t>means the Contractor’s officers, employees, agents and subcontractors and their respective employees and agents.</w:t>
      </w:r>
    </w:p>
    <w:p w14:paraId="2623E421"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Date of Delivery </w:t>
      </w:r>
      <w:r w:rsidRPr="00812530">
        <w:rPr>
          <w:rFonts w:cs="Arial"/>
          <w:lang w:bidi="en-AU"/>
        </w:rPr>
        <w:t>means the date on which the Goods are delivered to the Delivery Point.</w:t>
      </w:r>
    </w:p>
    <w:p w14:paraId="49F38DB2"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Day </w:t>
      </w:r>
      <w:r w:rsidRPr="00812530">
        <w:rPr>
          <w:rFonts w:cs="Arial"/>
          <w:lang w:bidi="en-AU"/>
        </w:rPr>
        <w:t>means a business day that is not a Saturday, Sunday, a public holiday in Western Australia or 27, 28, 29, 30 or 31 December.</w:t>
      </w:r>
    </w:p>
    <w:p w14:paraId="1F8FB8FD"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Defect </w:t>
      </w:r>
      <w:r w:rsidRPr="00812530">
        <w:rPr>
          <w:rFonts w:cs="Arial"/>
          <w:lang w:bidi="en-AU"/>
        </w:rPr>
        <w:t>means any defect, error, damage, deficiency, fault or inadequacy in the design, performance, workmanship, quality or makeup of the Goods or Services.</w:t>
      </w:r>
    </w:p>
    <w:p w14:paraId="67B874C9"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Defects Liability Period </w:t>
      </w:r>
      <w:r w:rsidRPr="00812530">
        <w:rPr>
          <w:rFonts w:cs="Arial"/>
          <w:lang w:bidi="en-AU"/>
        </w:rPr>
        <w:t>means a period of 12 months commencing:</w:t>
      </w:r>
    </w:p>
    <w:p w14:paraId="2A6529AC" w14:textId="77777777" w:rsidR="005521E7" w:rsidRPr="00812530" w:rsidRDefault="005521E7" w:rsidP="00AA0C1E">
      <w:pPr>
        <w:numPr>
          <w:ilvl w:val="0"/>
          <w:numId w:val="36"/>
        </w:numPr>
        <w:spacing w:after="160" w:line="259" w:lineRule="auto"/>
        <w:ind w:left="1701" w:hanging="567"/>
        <w:jc w:val="both"/>
        <w:rPr>
          <w:rFonts w:cs="Arial"/>
          <w:lang w:bidi="en-AU"/>
        </w:rPr>
      </w:pPr>
      <w:r w:rsidRPr="00812530">
        <w:rPr>
          <w:rFonts w:cs="Arial"/>
          <w:lang w:bidi="en-AU"/>
        </w:rPr>
        <w:lastRenderedPageBreak/>
        <w:t>in respect of the Goods, on the Date of Delivery; and</w:t>
      </w:r>
    </w:p>
    <w:p w14:paraId="05FC7F7C" w14:textId="77777777" w:rsidR="005521E7" w:rsidRPr="00812530" w:rsidRDefault="005521E7" w:rsidP="00AA0C1E">
      <w:pPr>
        <w:numPr>
          <w:ilvl w:val="0"/>
          <w:numId w:val="36"/>
        </w:numPr>
        <w:spacing w:after="160" w:line="259" w:lineRule="auto"/>
        <w:ind w:left="1701" w:hanging="567"/>
        <w:jc w:val="both"/>
        <w:rPr>
          <w:rFonts w:cs="Arial"/>
          <w:lang w:bidi="en-AU"/>
        </w:rPr>
      </w:pPr>
      <w:r w:rsidRPr="00812530">
        <w:rPr>
          <w:rFonts w:cs="Arial"/>
          <w:lang w:bidi="en-AU"/>
        </w:rPr>
        <w:t>in respect of the Services, on the Completion Date,</w:t>
      </w:r>
    </w:p>
    <w:p w14:paraId="42B35CE9" w14:textId="77777777" w:rsidR="005521E7" w:rsidRPr="00812530" w:rsidRDefault="005521E7" w:rsidP="005521E7">
      <w:pPr>
        <w:spacing w:after="160" w:line="259" w:lineRule="auto"/>
        <w:ind w:left="851"/>
        <w:jc w:val="both"/>
        <w:rPr>
          <w:rFonts w:cs="Arial"/>
          <w:lang w:bidi="en-AU"/>
        </w:rPr>
      </w:pPr>
      <w:r w:rsidRPr="00812530">
        <w:rPr>
          <w:rFonts w:cs="Arial"/>
          <w:lang w:bidi="en-AU"/>
        </w:rPr>
        <w:t xml:space="preserve">and, where relevant, any additional </w:t>
      </w:r>
      <w:proofErr w:type="gramStart"/>
      <w:r w:rsidRPr="00812530">
        <w:rPr>
          <w:rFonts w:cs="Arial"/>
          <w:lang w:bidi="en-AU"/>
        </w:rPr>
        <w:t>period of time</w:t>
      </w:r>
      <w:proofErr w:type="gramEnd"/>
      <w:r w:rsidRPr="00812530">
        <w:rPr>
          <w:rFonts w:cs="Arial"/>
          <w:lang w:bidi="en-AU"/>
        </w:rPr>
        <w:t xml:space="preserve"> specified in accordance with clause 9.4.</w:t>
      </w:r>
    </w:p>
    <w:p w14:paraId="76003E91"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Delivery Point </w:t>
      </w:r>
      <w:r w:rsidRPr="00812530">
        <w:rPr>
          <w:rFonts w:cs="Arial"/>
          <w:lang w:bidi="en-AU"/>
        </w:rPr>
        <w:t xml:space="preserve">means the place set out in the Purchase Order for delivery of the Goods or otherwise notified by the </w:t>
      </w:r>
      <w:proofErr w:type="gramStart"/>
      <w:r w:rsidRPr="00812530">
        <w:rPr>
          <w:rFonts w:cs="Arial"/>
          <w:lang w:bidi="en-AU"/>
        </w:rPr>
        <w:t>Principal</w:t>
      </w:r>
      <w:proofErr w:type="gramEnd"/>
      <w:r w:rsidRPr="00812530">
        <w:rPr>
          <w:rFonts w:cs="Arial"/>
          <w:lang w:bidi="en-AU"/>
        </w:rPr>
        <w:t xml:space="preserve"> in writing.</w:t>
      </w:r>
    </w:p>
    <w:p w14:paraId="026D3E69"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Goods </w:t>
      </w:r>
      <w:r w:rsidRPr="00812530">
        <w:rPr>
          <w:rFonts w:cs="Arial"/>
          <w:lang w:bidi="en-AU"/>
        </w:rPr>
        <w:t>means any goods, materials, supplies, equipment or other items set out in the Purchase Order.</w:t>
      </w:r>
    </w:p>
    <w:p w14:paraId="33FFEDD4"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GST </w:t>
      </w:r>
      <w:r w:rsidRPr="00812530">
        <w:rPr>
          <w:rFonts w:cs="Arial"/>
          <w:lang w:bidi="en-AU"/>
        </w:rPr>
        <w:t xml:space="preserve">means goods and services </w:t>
      </w:r>
      <w:proofErr w:type="gramStart"/>
      <w:r w:rsidRPr="00812530">
        <w:rPr>
          <w:rFonts w:cs="Arial"/>
          <w:lang w:bidi="en-AU"/>
        </w:rPr>
        <w:t>tax</w:t>
      </w:r>
      <w:proofErr w:type="gramEnd"/>
      <w:r w:rsidRPr="00812530">
        <w:rPr>
          <w:rFonts w:cs="Arial"/>
          <w:lang w:bidi="en-AU"/>
        </w:rPr>
        <w:t xml:space="preserve"> or similar value added tax levied or imposed in Australia pursuant to </w:t>
      </w:r>
      <w:r w:rsidRPr="00812530">
        <w:rPr>
          <w:rFonts w:cs="Arial"/>
          <w:i/>
          <w:lang w:bidi="en-AU"/>
        </w:rPr>
        <w:t xml:space="preserve">A New Tax System (Goods and Services Tax) Act 1999 </w:t>
      </w:r>
      <w:r w:rsidRPr="00812530">
        <w:rPr>
          <w:rFonts w:cs="Arial"/>
          <w:lang w:bidi="en-AU"/>
        </w:rPr>
        <w:t>(</w:t>
      </w:r>
      <w:proofErr w:type="spellStart"/>
      <w:r w:rsidRPr="00812530">
        <w:rPr>
          <w:rFonts w:cs="Arial"/>
          <w:lang w:bidi="en-AU"/>
        </w:rPr>
        <w:t>Cth</w:t>
      </w:r>
      <w:proofErr w:type="spellEnd"/>
      <w:r w:rsidRPr="00812530">
        <w:rPr>
          <w:rFonts w:cs="Arial"/>
          <w:lang w:bidi="en-AU"/>
        </w:rPr>
        <w:t>).</w:t>
      </w:r>
    </w:p>
    <w:p w14:paraId="7C53B3E2"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Insolvency Event </w:t>
      </w:r>
      <w:r w:rsidRPr="00812530">
        <w:rPr>
          <w:rFonts w:cs="Arial"/>
          <w:lang w:bidi="en-AU"/>
        </w:rPr>
        <w:t>means in respect of the Contractor, the following events: appointment of an administrator, appointment of a liquidator, appointment of a provisional liquidator, appointment of a controller (including any receiver or receiver and manager), insolvency, bankruptcy, winding up or any event analogous to these events.</w:t>
      </w:r>
    </w:p>
    <w:p w14:paraId="3228DC17"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Intellectual Property </w:t>
      </w:r>
      <w:r w:rsidRPr="00812530">
        <w:rPr>
          <w:rFonts w:cs="Arial"/>
          <w:lang w:bidi="en-AU"/>
        </w:rPr>
        <w:t xml:space="preserve">means all intellectual and industrial property rights, including </w:t>
      </w:r>
      <w:proofErr w:type="spellStart"/>
      <w:proofErr w:type="gramStart"/>
      <w:r w:rsidRPr="00812530">
        <w:rPr>
          <w:rFonts w:cs="Arial"/>
          <w:lang w:bidi="en-AU"/>
        </w:rPr>
        <w:t>trade marks</w:t>
      </w:r>
      <w:proofErr w:type="spellEnd"/>
      <w:proofErr w:type="gramEnd"/>
      <w:r w:rsidRPr="00812530">
        <w:rPr>
          <w:rFonts w:cs="Arial"/>
          <w:lang w:bidi="en-AU"/>
        </w:rPr>
        <w:t>, copyright (including future copyright), inventions, patents, designs, circuits and other eligible layouts, database rights, including any application or right to apply for registration of any of these rights.</w:t>
      </w:r>
    </w:p>
    <w:p w14:paraId="649022EA"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Invoice </w:t>
      </w:r>
      <w:r w:rsidRPr="00812530">
        <w:rPr>
          <w:rFonts w:cs="Arial"/>
          <w:lang w:bidi="en-AU"/>
        </w:rPr>
        <w:t>means any document or record treated by the Commissioner of Taxation as an invoice or as a document entitling a recipient to an input tax credit.</w:t>
      </w:r>
    </w:p>
    <w:p w14:paraId="08984C91"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Law </w:t>
      </w:r>
      <w:r w:rsidRPr="00812530">
        <w:rPr>
          <w:rFonts w:cs="Arial"/>
          <w:lang w:bidi="en-AU"/>
        </w:rPr>
        <w:t>means any law in force in Australia, whether common law, equity or any law under any statute, subordinate legislation, ordinance or code.</w:t>
      </w:r>
    </w:p>
    <w:p w14:paraId="55BE1D2F"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Principal </w:t>
      </w:r>
      <w:r w:rsidRPr="00812530">
        <w:rPr>
          <w:rFonts w:cs="Arial"/>
          <w:lang w:bidi="en-AU"/>
        </w:rPr>
        <w:t>means the party ordering or receiving the Goods or Services in accordance with the Contract, being that party specified in the Purchase Order.</w:t>
      </w:r>
    </w:p>
    <w:p w14:paraId="79726AFD"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Principal IP </w:t>
      </w:r>
      <w:r w:rsidRPr="00812530">
        <w:rPr>
          <w:rFonts w:cs="Arial"/>
          <w:lang w:bidi="en-AU"/>
        </w:rPr>
        <w:t xml:space="preserve">means any Intellectual Property of the Principal (or licensed to the </w:t>
      </w:r>
      <w:proofErr w:type="gramStart"/>
      <w:r w:rsidRPr="00812530">
        <w:rPr>
          <w:rFonts w:cs="Arial"/>
          <w:lang w:bidi="en-AU"/>
        </w:rPr>
        <w:t>Principal</w:t>
      </w:r>
      <w:proofErr w:type="gramEnd"/>
      <w:r w:rsidRPr="00812530">
        <w:rPr>
          <w:rFonts w:cs="Arial"/>
          <w:lang w:bidi="en-AU"/>
        </w:rPr>
        <w:t xml:space="preserve"> by a third party) which the Principal makes available, contributes, brings to or uses in connection with the Contract.</w:t>
      </w:r>
    </w:p>
    <w:p w14:paraId="357F60B9"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Purchase Order </w:t>
      </w:r>
      <w:r w:rsidRPr="00812530">
        <w:rPr>
          <w:rFonts w:cs="Arial"/>
          <w:lang w:bidi="en-AU"/>
        </w:rPr>
        <w:t xml:space="preserve">means the </w:t>
      </w:r>
      <w:proofErr w:type="gramStart"/>
      <w:r w:rsidRPr="00812530">
        <w:rPr>
          <w:rFonts w:cs="Arial"/>
          <w:lang w:bidi="en-AU"/>
        </w:rPr>
        <w:t>Principal’s</w:t>
      </w:r>
      <w:proofErr w:type="gramEnd"/>
      <w:r w:rsidRPr="00812530">
        <w:rPr>
          <w:rFonts w:cs="Arial"/>
          <w:lang w:bidi="en-AU"/>
        </w:rPr>
        <w:t xml:space="preserve"> purchase order form for the Goods or Services.</w:t>
      </w:r>
    </w:p>
    <w:p w14:paraId="72AE79F0" w14:textId="77777777" w:rsidR="005521E7" w:rsidRPr="00812530" w:rsidRDefault="005521E7" w:rsidP="005521E7">
      <w:pPr>
        <w:spacing w:after="160" w:line="259" w:lineRule="auto"/>
        <w:ind w:left="851"/>
        <w:jc w:val="both"/>
        <w:rPr>
          <w:rFonts w:cs="Arial"/>
          <w:lang w:bidi="en-AU"/>
        </w:rPr>
      </w:pPr>
      <w:r w:rsidRPr="00812530">
        <w:rPr>
          <w:rFonts w:cs="Arial"/>
          <w:b/>
          <w:lang w:bidi="en-AU"/>
        </w:rPr>
        <w:t xml:space="preserve">Services </w:t>
      </w:r>
      <w:r w:rsidRPr="00812530">
        <w:rPr>
          <w:rFonts w:cs="Arial"/>
          <w:lang w:bidi="en-AU"/>
        </w:rPr>
        <w:t>means any services set out in the Purchase Order, including the delivery of any goods and performance of services ancillary to the Services.</w:t>
      </w:r>
    </w:p>
    <w:p w14:paraId="2A88D923" w14:textId="77777777" w:rsidR="005521E7" w:rsidRPr="00812530" w:rsidRDefault="005521E7" w:rsidP="005521E7">
      <w:pPr>
        <w:spacing w:after="160" w:line="259" w:lineRule="auto"/>
        <w:ind w:left="567"/>
        <w:jc w:val="both"/>
        <w:rPr>
          <w:rFonts w:cs="Arial"/>
          <w:lang w:bidi="en-AU"/>
        </w:rPr>
      </w:pPr>
      <w:r w:rsidRPr="00812530">
        <w:rPr>
          <w:rFonts w:cs="Arial"/>
          <w:b/>
          <w:lang w:bidi="en-AU"/>
        </w:rPr>
        <w:t xml:space="preserve">Tax </w:t>
      </w:r>
      <w:r w:rsidRPr="00812530">
        <w:rPr>
          <w:rFonts w:cs="Arial"/>
          <w:lang w:bidi="en-AU"/>
        </w:rPr>
        <w:t>means any income, land, indirect and other taxes, levies, imposts, deductions, charges, duties, compulsory loans and withholdings, including financial institutions duty, debits tax or other taxes whether incurred by, payable by return or passed on to another person and includes any interest, penalties, charges, fees, fines or other amounts imposed in respect of any of the above, but does not include GST.</w:t>
      </w:r>
    </w:p>
    <w:p w14:paraId="5EFECB63" w14:textId="77777777" w:rsidR="005521E7" w:rsidRPr="00812530" w:rsidRDefault="005521E7" w:rsidP="00AA0C1E">
      <w:pPr>
        <w:numPr>
          <w:ilvl w:val="0"/>
          <w:numId w:val="38"/>
        </w:numPr>
        <w:spacing w:after="0" w:line="259" w:lineRule="auto"/>
        <w:ind w:left="567" w:hanging="567"/>
        <w:jc w:val="both"/>
        <w:rPr>
          <w:rFonts w:cs="Arial"/>
          <w:b/>
          <w:bCs/>
          <w:lang w:bidi="en-AU"/>
        </w:rPr>
      </w:pPr>
      <w:bookmarkStart w:id="287" w:name="19_Interpretation"/>
      <w:bookmarkEnd w:id="287"/>
      <w:r w:rsidRPr="00812530">
        <w:rPr>
          <w:rFonts w:cs="Arial"/>
          <w:b/>
          <w:bCs/>
          <w:lang w:bidi="en-AU"/>
        </w:rPr>
        <w:t>INTERPRETATION</w:t>
      </w:r>
    </w:p>
    <w:p w14:paraId="6FCD6D3A" w14:textId="77777777" w:rsidR="005521E7" w:rsidRPr="00812530" w:rsidRDefault="005521E7" w:rsidP="00737E08">
      <w:pPr>
        <w:spacing w:after="60" w:line="259" w:lineRule="auto"/>
        <w:ind w:left="1134" w:hanging="567"/>
        <w:jc w:val="both"/>
        <w:rPr>
          <w:rFonts w:cs="Arial"/>
          <w:lang w:bidi="en-AU"/>
        </w:rPr>
      </w:pPr>
      <w:bookmarkStart w:id="288" w:name="In_the_Contract:"/>
      <w:bookmarkEnd w:id="288"/>
      <w:r w:rsidRPr="00812530">
        <w:rPr>
          <w:rFonts w:cs="Arial"/>
          <w:lang w:bidi="en-AU"/>
        </w:rPr>
        <w:t>In the Contract:</w:t>
      </w:r>
    </w:p>
    <w:p w14:paraId="36E44939" w14:textId="77777777" w:rsidR="005521E7" w:rsidRPr="00812530" w:rsidRDefault="005521E7" w:rsidP="00AA0C1E">
      <w:pPr>
        <w:numPr>
          <w:ilvl w:val="0"/>
          <w:numId w:val="35"/>
        </w:numPr>
        <w:spacing w:after="60" w:line="259" w:lineRule="auto"/>
        <w:ind w:left="1134" w:hanging="567"/>
        <w:jc w:val="both"/>
        <w:rPr>
          <w:rFonts w:cs="Arial"/>
          <w:lang w:bidi="en-AU"/>
        </w:rPr>
      </w:pPr>
      <w:bookmarkStart w:id="289" w:name="(a)_a_reference_to_“Goods_or_Services”_i"/>
      <w:bookmarkEnd w:id="289"/>
      <w:r w:rsidRPr="00812530">
        <w:rPr>
          <w:rFonts w:cs="Arial"/>
          <w:lang w:bidi="en-AU"/>
        </w:rPr>
        <w:t>a reference to “Goods or Services” is to be read as “Goods or Services, or both of them, as applicable</w:t>
      </w:r>
      <w:proofErr w:type="gramStart"/>
      <w:r w:rsidRPr="00812530">
        <w:rPr>
          <w:rFonts w:cs="Arial"/>
          <w:lang w:bidi="en-AU"/>
        </w:rPr>
        <w:t>”;</w:t>
      </w:r>
      <w:proofErr w:type="gramEnd"/>
    </w:p>
    <w:p w14:paraId="6ED9F2FC" w14:textId="77777777" w:rsidR="005521E7" w:rsidRPr="00812530" w:rsidRDefault="005521E7" w:rsidP="00AA0C1E">
      <w:pPr>
        <w:numPr>
          <w:ilvl w:val="0"/>
          <w:numId w:val="35"/>
        </w:numPr>
        <w:spacing w:after="60" w:line="259" w:lineRule="auto"/>
        <w:ind w:left="1134" w:hanging="567"/>
        <w:jc w:val="both"/>
        <w:rPr>
          <w:rFonts w:cs="Arial"/>
          <w:lang w:bidi="en-AU"/>
        </w:rPr>
      </w:pPr>
      <w:bookmarkStart w:id="290" w:name="(b)_the_singular_includes_the_plural_and"/>
      <w:bookmarkEnd w:id="290"/>
      <w:r w:rsidRPr="00812530">
        <w:rPr>
          <w:rFonts w:cs="Arial"/>
          <w:lang w:bidi="en-AU"/>
        </w:rPr>
        <w:t xml:space="preserve">the singular includes the </w:t>
      </w:r>
      <w:proofErr w:type="gramStart"/>
      <w:r w:rsidRPr="00812530">
        <w:rPr>
          <w:rFonts w:cs="Arial"/>
          <w:lang w:bidi="en-AU"/>
        </w:rPr>
        <w:t>plural</w:t>
      </w:r>
      <w:proofErr w:type="gramEnd"/>
      <w:r w:rsidRPr="00812530">
        <w:rPr>
          <w:rFonts w:cs="Arial"/>
          <w:lang w:bidi="en-AU"/>
        </w:rPr>
        <w:t xml:space="preserve"> and the plural includes the singular;</w:t>
      </w:r>
    </w:p>
    <w:p w14:paraId="3A4BA13D" w14:textId="77777777" w:rsidR="005521E7" w:rsidRPr="00812530" w:rsidRDefault="005521E7" w:rsidP="00AA0C1E">
      <w:pPr>
        <w:numPr>
          <w:ilvl w:val="0"/>
          <w:numId w:val="35"/>
        </w:numPr>
        <w:spacing w:after="60" w:line="259" w:lineRule="auto"/>
        <w:ind w:left="1134" w:hanging="567"/>
        <w:jc w:val="both"/>
        <w:rPr>
          <w:rFonts w:cs="Arial"/>
          <w:lang w:bidi="en-AU"/>
        </w:rPr>
      </w:pPr>
      <w:bookmarkStart w:id="291" w:name="(c)_a_reference_to_a_clause_or_party_of_"/>
      <w:bookmarkEnd w:id="291"/>
      <w:r w:rsidRPr="00812530">
        <w:rPr>
          <w:rFonts w:cs="Arial"/>
          <w:lang w:bidi="en-AU"/>
        </w:rPr>
        <w:lastRenderedPageBreak/>
        <w:t xml:space="preserve">a reference to a clause or party of the Contract is a reference to a clause of, and a party to, the </w:t>
      </w:r>
      <w:proofErr w:type="gramStart"/>
      <w:r w:rsidRPr="00812530">
        <w:rPr>
          <w:rFonts w:cs="Arial"/>
          <w:lang w:bidi="en-AU"/>
        </w:rPr>
        <w:t>Contract;</w:t>
      </w:r>
      <w:proofErr w:type="gramEnd"/>
    </w:p>
    <w:p w14:paraId="02756606" w14:textId="77777777" w:rsidR="005521E7" w:rsidRPr="00812530" w:rsidRDefault="005521E7" w:rsidP="00AA0C1E">
      <w:pPr>
        <w:numPr>
          <w:ilvl w:val="0"/>
          <w:numId w:val="35"/>
        </w:numPr>
        <w:spacing w:after="60" w:line="259" w:lineRule="auto"/>
        <w:ind w:left="1134" w:hanging="567"/>
        <w:jc w:val="both"/>
        <w:rPr>
          <w:rFonts w:cs="Arial"/>
          <w:lang w:bidi="en-AU"/>
        </w:rPr>
      </w:pPr>
      <w:bookmarkStart w:id="292" w:name="(d)_a_reference_to_legislation_includes_"/>
      <w:bookmarkEnd w:id="292"/>
      <w:r w:rsidRPr="00812530">
        <w:rPr>
          <w:rFonts w:cs="Arial"/>
          <w:lang w:bidi="en-AU"/>
        </w:rPr>
        <w:t xml:space="preserve">a reference to legislation includes all delegated legislation made under it and amendments, consolidations, replacements or re-enactments of any of </w:t>
      </w:r>
      <w:proofErr w:type="gramStart"/>
      <w:r w:rsidRPr="00812530">
        <w:rPr>
          <w:rFonts w:cs="Arial"/>
          <w:lang w:bidi="en-AU"/>
        </w:rPr>
        <w:t>them;</w:t>
      </w:r>
      <w:proofErr w:type="gramEnd"/>
    </w:p>
    <w:p w14:paraId="6CD7A4E1" w14:textId="77777777" w:rsidR="005521E7" w:rsidRPr="00812530" w:rsidRDefault="005521E7" w:rsidP="00AA0C1E">
      <w:pPr>
        <w:numPr>
          <w:ilvl w:val="0"/>
          <w:numId w:val="35"/>
        </w:numPr>
        <w:spacing w:after="60" w:line="259" w:lineRule="auto"/>
        <w:ind w:left="1134" w:hanging="567"/>
        <w:jc w:val="both"/>
        <w:rPr>
          <w:rFonts w:cs="Arial"/>
          <w:lang w:bidi="en-AU"/>
        </w:rPr>
      </w:pPr>
      <w:bookmarkStart w:id="293" w:name="(e)_the_words_‘include’,_‘includes’_and_"/>
      <w:bookmarkEnd w:id="293"/>
      <w:r w:rsidRPr="00812530">
        <w:rPr>
          <w:rFonts w:cs="Arial"/>
          <w:lang w:bidi="en-AU"/>
        </w:rPr>
        <w:t>the words ‘include’, ‘includes’ and ‘including’ must be construed without limitation as to what else might be included; and</w:t>
      </w:r>
      <w:bookmarkStart w:id="294" w:name="(f)_Part_1F_of_the_Civil_Liability_Act_2"/>
      <w:bookmarkEnd w:id="294"/>
    </w:p>
    <w:p w14:paraId="27DD4E7E" w14:textId="77777777" w:rsidR="005521E7" w:rsidRDefault="005521E7" w:rsidP="00AA0C1E">
      <w:pPr>
        <w:numPr>
          <w:ilvl w:val="0"/>
          <w:numId w:val="35"/>
        </w:numPr>
        <w:spacing w:after="120" w:line="259" w:lineRule="auto"/>
        <w:ind w:left="1134" w:hanging="567"/>
        <w:jc w:val="both"/>
        <w:rPr>
          <w:rFonts w:cs="Arial"/>
          <w:spacing w:val="-2"/>
        </w:rPr>
      </w:pPr>
      <w:r w:rsidRPr="00812530">
        <w:rPr>
          <w:rFonts w:cs="Arial"/>
          <w:lang w:bidi="en-AU"/>
        </w:rPr>
        <w:t xml:space="preserve">Part 1F of the Civil </w:t>
      </w:r>
      <w:r w:rsidRPr="00812530">
        <w:rPr>
          <w:rFonts w:cs="Arial"/>
          <w:i/>
          <w:lang w:bidi="en-AU"/>
        </w:rPr>
        <w:t xml:space="preserve">Liability Act 2002 </w:t>
      </w:r>
      <w:r w:rsidRPr="00812530">
        <w:rPr>
          <w:rFonts w:cs="Arial"/>
          <w:lang w:bidi="en-AU"/>
        </w:rPr>
        <w:t>(WA) does not apply to the Contract</w:t>
      </w:r>
      <w:r>
        <w:rPr>
          <w:rFonts w:cs="Arial"/>
          <w:lang w:bidi="en-AU"/>
        </w:rPr>
        <w:t>.</w:t>
      </w:r>
    </w:p>
    <w:p w14:paraId="701900D3" w14:textId="77777777" w:rsidR="005521E7" w:rsidRPr="00110D0F" w:rsidRDefault="005521E7" w:rsidP="005521E7">
      <w:pPr>
        <w:spacing w:after="120" w:line="259" w:lineRule="auto"/>
        <w:ind w:left="567"/>
        <w:jc w:val="both"/>
        <w:rPr>
          <w:rFonts w:cs="Arial"/>
          <w:spacing w:val="-2"/>
        </w:rPr>
      </w:pPr>
    </w:p>
    <w:p w14:paraId="0A41A2AE" w14:textId="77777777" w:rsidR="005521E7" w:rsidRDefault="005521E7" w:rsidP="003A1A80">
      <w:pPr>
        <w:rPr>
          <w:lang w:val="en-US"/>
        </w:rPr>
      </w:pPr>
    </w:p>
    <w:p w14:paraId="130AA2CA" w14:textId="77777777" w:rsidR="003A1A80" w:rsidRDefault="003A1A80" w:rsidP="003A1A80">
      <w:pPr>
        <w:rPr>
          <w:lang w:val="en-US"/>
        </w:rPr>
      </w:pPr>
      <w:r>
        <w:rPr>
          <w:lang w:val="en-US"/>
        </w:rPr>
        <w:br w:type="page"/>
      </w:r>
    </w:p>
    <w:p w14:paraId="1A13CDFE" w14:textId="1F322ACE" w:rsidR="0048473F" w:rsidRDefault="00EF011D" w:rsidP="0048473F">
      <w:pPr>
        <w:spacing w:before="44"/>
        <w:jc w:val="right"/>
        <w:outlineLvl w:val="1"/>
        <w:rPr>
          <w:color w:val="17365D"/>
          <w:spacing w:val="2"/>
        </w:rPr>
      </w:pPr>
      <w:r>
        <w:rPr>
          <w:noProof/>
          <w:lang w:eastAsia="en-AU"/>
        </w:rPr>
        <w:lastRenderedPageBreak/>
        <w:drawing>
          <wp:anchor distT="0" distB="0" distL="114300" distR="114300" simplePos="0" relativeHeight="251631616" behindDoc="1" locked="0" layoutInCell="1" allowOverlap="1" wp14:anchorId="079226E8" wp14:editId="136BE5A7">
            <wp:simplePos x="0" y="0"/>
            <wp:positionH relativeFrom="column">
              <wp:posOffset>3943350</wp:posOffset>
            </wp:positionH>
            <wp:positionV relativeFrom="paragraph">
              <wp:posOffset>9525</wp:posOffset>
            </wp:positionV>
            <wp:extent cx="1744345" cy="699135"/>
            <wp:effectExtent l="0" t="0" r="8255" b="5715"/>
            <wp:wrapTight wrapText="bothSides">
              <wp:wrapPolygon edited="0">
                <wp:start x="0" y="0"/>
                <wp:lineTo x="0" y="21188"/>
                <wp:lineTo x="21466" y="21188"/>
                <wp:lineTo x="21466"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3FEE298F" w14:textId="77777777" w:rsidR="00EF011D" w:rsidRDefault="00EF011D" w:rsidP="00D64BBA">
      <w:pPr>
        <w:pStyle w:val="Policy3"/>
        <w:spacing w:after="0"/>
        <w:contextualSpacing w:val="0"/>
      </w:pPr>
    </w:p>
    <w:p w14:paraId="27B1927C" w14:textId="77777777" w:rsidR="00EF011D" w:rsidRDefault="00EF011D" w:rsidP="00D64BBA">
      <w:pPr>
        <w:pStyle w:val="Policy3"/>
        <w:spacing w:after="0"/>
        <w:contextualSpacing w:val="0"/>
      </w:pPr>
    </w:p>
    <w:p w14:paraId="04D23C01" w14:textId="59380096" w:rsidR="0048473F" w:rsidRDefault="0048473F" w:rsidP="00BE3751">
      <w:pPr>
        <w:pStyle w:val="Policy3"/>
        <w:contextualSpacing w:val="0"/>
      </w:pPr>
      <w:bookmarkStart w:id="295" w:name="_Toc216866682"/>
      <w:r>
        <w:t>2.1.7</w:t>
      </w:r>
      <w:r>
        <w:tab/>
      </w:r>
      <w:r w:rsidR="009E7385">
        <w:t xml:space="preserve">Rates/ Sundry </w:t>
      </w:r>
      <w:r>
        <w:t>Debt</w:t>
      </w:r>
      <w:r w:rsidR="009E7385">
        <w:t>or Recovery (Debt</w:t>
      </w:r>
      <w:r>
        <w:rPr>
          <w:spacing w:val="9"/>
        </w:rPr>
        <w:t xml:space="preserve"> </w:t>
      </w:r>
      <w:r>
        <w:rPr>
          <w:spacing w:val="3"/>
        </w:rPr>
        <w:t>Collection</w:t>
      </w:r>
      <w:r w:rsidR="009E7385">
        <w:rPr>
          <w:spacing w:val="3"/>
        </w:rPr>
        <w:t>)</w:t>
      </w:r>
      <w:bookmarkEnd w:id="295"/>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47"/>
        <w:gridCol w:w="5274"/>
      </w:tblGrid>
      <w:tr w:rsidR="0048473F" w14:paraId="5C20BDC2" w14:textId="77777777" w:rsidTr="00D64BBA">
        <w:trPr>
          <w:trHeight w:val="268"/>
        </w:trPr>
        <w:tc>
          <w:tcPr>
            <w:tcW w:w="3647" w:type="dxa"/>
          </w:tcPr>
          <w:p w14:paraId="1A3FDCB8" w14:textId="77777777" w:rsidR="0048473F" w:rsidRDefault="0048473F" w:rsidP="00D64BBA">
            <w:pPr>
              <w:pStyle w:val="TableParagraph"/>
              <w:spacing w:line="248" w:lineRule="exact"/>
              <w:ind w:left="146"/>
              <w:jc w:val="both"/>
              <w:rPr>
                <w:rFonts w:ascii="Calibri"/>
                <w:b/>
              </w:rPr>
            </w:pPr>
            <w:r>
              <w:rPr>
                <w:rFonts w:ascii="Calibri"/>
                <w:b/>
              </w:rPr>
              <w:t>Type:</w:t>
            </w:r>
          </w:p>
        </w:tc>
        <w:tc>
          <w:tcPr>
            <w:tcW w:w="5274" w:type="dxa"/>
          </w:tcPr>
          <w:p w14:paraId="1F034953" w14:textId="77777777" w:rsidR="0048473F" w:rsidRDefault="0048473F" w:rsidP="00D64BBA">
            <w:pPr>
              <w:pStyle w:val="TableParagraph"/>
              <w:spacing w:line="248" w:lineRule="exact"/>
              <w:ind w:left="184"/>
              <w:jc w:val="both"/>
              <w:rPr>
                <w:rFonts w:ascii="Calibri" w:hAnsi="Calibri"/>
              </w:rPr>
            </w:pPr>
            <w:r>
              <w:rPr>
                <w:rFonts w:ascii="Calibri" w:hAnsi="Calibri"/>
              </w:rPr>
              <w:t>Corporate Services – Financial Management</w:t>
            </w:r>
          </w:p>
        </w:tc>
      </w:tr>
      <w:tr w:rsidR="0048473F" w14:paraId="5151A800" w14:textId="77777777" w:rsidTr="00D64BBA">
        <w:trPr>
          <w:trHeight w:val="270"/>
        </w:trPr>
        <w:tc>
          <w:tcPr>
            <w:tcW w:w="3647" w:type="dxa"/>
          </w:tcPr>
          <w:p w14:paraId="6F1C95B0" w14:textId="77777777" w:rsidR="0048473F" w:rsidRDefault="0048473F" w:rsidP="00D64BBA">
            <w:pPr>
              <w:pStyle w:val="TableParagraph"/>
              <w:spacing w:before="1" w:line="249" w:lineRule="exact"/>
              <w:ind w:left="146"/>
              <w:jc w:val="both"/>
              <w:rPr>
                <w:rFonts w:ascii="Calibri"/>
                <w:b/>
              </w:rPr>
            </w:pPr>
            <w:r>
              <w:rPr>
                <w:rFonts w:ascii="Calibri"/>
                <w:b/>
              </w:rPr>
              <w:t>Legislation:</w:t>
            </w:r>
          </w:p>
        </w:tc>
        <w:tc>
          <w:tcPr>
            <w:tcW w:w="5274" w:type="dxa"/>
          </w:tcPr>
          <w:p w14:paraId="36A77574" w14:textId="77777777" w:rsidR="0048473F" w:rsidRDefault="0048473F" w:rsidP="00D64BBA">
            <w:pPr>
              <w:pStyle w:val="TableParagraph"/>
              <w:spacing w:before="1" w:line="249" w:lineRule="exact"/>
              <w:ind w:left="184"/>
              <w:jc w:val="both"/>
              <w:rPr>
                <w:rFonts w:ascii="Calibri"/>
              </w:rPr>
            </w:pPr>
            <w:r>
              <w:rPr>
                <w:rFonts w:ascii="Calibri"/>
              </w:rPr>
              <w:t>Refer to References</w:t>
            </w:r>
          </w:p>
        </w:tc>
      </w:tr>
      <w:tr w:rsidR="0048473F" w14:paraId="33D34BBB" w14:textId="77777777" w:rsidTr="00D64BBA">
        <w:trPr>
          <w:trHeight w:val="268"/>
        </w:trPr>
        <w:tc>
          <w:tcPr>
            <w:tcW w:w="3647" w:type="dxa"/>
          </w:tcPr>
          <w:p w14:paraId="44A6DF11" w14:textId="77777777" w:rsidR="0048473F" w:rsidRDefault="0048473F" w:rsidP="00D64BBA">
            <w:pPr>
              <w:pStyle w:val="TableParagraph"/>
              <w:spacing w:line="248" w:lineRule="exact"/>
              <w:ind w:left="146"/>
              <w:jc w:val="both"/>
              <w:rPr>
                <w:rFonts w:ascii="Calibri"/>
                <w:b/>
              </w:rPr>
            </w:pPr>
            <w:r>
              <w:rPr>
                <w:rFonts w:ascii="Calibri"/>
                <w:b/>
              </w:rPr>
              <w:t>Delegation:</w:t>
            </w:r>
          </w:p>
        </w:tc>
        <w:tc>
          <w:tcPr>
            <w:tcW w:w="5274" w:type="dxa"/>
          </w:tcPr>
          <w:p w14:paraId="50C86B90" w14:textId="77777777" w:rsidR="0048473F" w:rsidRDefault="0048473F" w:rsidP="00D64BBA">
            <w:pPr>
              <w:pStyle w:val="TableParagraph"/>
              <w:spacing w:line="248" w:lineRule="exact"/>
              <w:ind w:left="184"/>
              <w:jc w:val="both"/>
              <w:rPr>
                <w:rFonts w:ascii="Calibri"/>
              </w:rPr>
            </w:pPr>
            <w:r>
              <w:rPr>
                <w:rFonts w:ascii="Calibri"/>
              </w:rPr>
              <w:t>DA76 Write Off Debt</w:t>
            </w:r>
          </w:p>
        </w:tc>
      </w:tr>
      <w:tr w:rsidR="0048473F" w14:paraId="1A0F4183" w14:textId="77777777" w:rsidTr="00D64BBA">
        <w:trPr>
          <w:trHeight w:val="268"/>
        </w:trPr>
        <w:tc>
          <w:tcPr>
            <w:tcW w:w="3647" w:type="dxa"/>
          </w:tcPr>
          <w:p w14:paraId="4C0D054C" w14:textId="77777777" w:rsidR="0048473F" w:rsidRDefault="0048473F" w:rsidP="00D64BBA">
            <w:pPr>
              <w:pStyle w:val="TableParagraph"/>
              <w:spacing w:line="248" w:lineRule="exact"/>
              <w:ind w:left="146"/>
              <w:jc w:val="both"/>
              <w:rPr>
                <w:rFonts w:ascii="Calibri"/>
                <w:b/>
              </w:rPr>
            </w:pPr>
            <w:r>
              <w:rPr>
                <w:rFonts w:ascii="Calibri"/>
                <w:b/>
              </w:rPr>
              <w:t>Other Related Document:</w:t>
            </w:r>
          </w:p>
        </w:tc>
        <w:tc>
          <w:tcPr>
            <w:tcW w:w="5274" w:type="dxa"/>
          </w:tcPr>
          <w:p w14:paraId="2A910F93" w14:textId="77777777" w:rsidR="0048473F" w:rsidRDefault="0048473F" w:rsidP="0048473F">
            <w:pPr>
              <w:pStyle w:val="TableParagraph"/>
              <w:ind w:left="0"/>
              <w:jc w:val="both"/>
              <w:rPr>
                <w:rFonts w:ascii="Times New Roman"/>
                <w:sz w:val="18"/>
              </w:rPr>
            </w:pPr>
          </w:p>
        </w:tc>
      </w:tr>
    </w:tbl>
    <w:p w14:paraId="56510087" w14:textId="77777777" w:rsidR="0048473F" w:rsidRPr="00D64BBA" w:rsidRDefault="0048473F" w:rsidP="00F74526">
      <w:pPr>
        <w:pStyle w:val="Heading2"/>
        <w:spacing w:line="240" w:lineRule="auto"/>
        <w:rPr>
          <w:rFonts w:asciiTheme="minorHAnsi" w:hAnsiTheme="minorHAnsi" w:cstheme="minorHAnsi"/>
          <w:color w:val="auto"/>
          <w:sz w:val="28"/>
          <w:szCs w:val="28"/>
        </w:rPr>
      </w:pPr>
      <w:r w:rsidRPr="00D64BBA">
        <w:rPr>
          <w:rFonts w:asciiTheme="minorHAnsi" w:hAnsiTheme="minorHAnsi" w:cstheme="minorHAnsi"/>
          <w:color w:val="auto"/>
          <w:sz w:val="28"/>
          <w:szCs w:val="28"/>
        </w:rPr>
        <w:t>Objective</w:t>
      </w:r>
    </w:p>
    <w:p w14:paraId="7C8E0EE2" w14:textId="5DA0E367" w:rsidR="0048473F" w:rsidRPr="00D64BBA" w:rsidRDefault="0048473F" w:rsidP="00E9055C">
      <w:pPr>
        <w:spacing w:line="240" w:lineRule="auto"/>
      </w:pPr>
      <w:r w:rsidRPr="00D64BBA">
        <w:t>The</w:t>
      </w:r>
      <w:r w:rsidRPr="00D64BBA">
        <w:rPr>
          <w:spacing w:val="9"/>
        </w:rPr>
        <w:t xml:space="preserve"> </w:t>
      </w:r>
      <w:r w:rsidRPr="00D64BBA">
        <w:t>purpose</w:t>
      </w:r>
      <w:r w:rsidRPr="00D64BBA">
        <w:rPr>
          <w:spacing w:val="7"/>
        </w:rPr>
        <w:t xml:space="preserve"> </w:t>
      </w:r>
      <w:r w:rsidRPr="00D64BBA">
        <w:t>of</w:t>
      </w:r>
      <w:r w:rsidRPr="00D64BBA">
        <w:rPr>
          <w:spacing w:val="11"/>
        </w:rPr>
        <w:t xml:space="preserve"> </w:t>
      </w:r>
      <w:r w:rsidRPr="00D64BBA">
        <w:t>this</w:t>
      </w:r>
      <w:r w:rsidRPr="00D64BBA">
        <w:rPr>
          <w:spacing w:val="10"/>
        </w:rPr>
        <w:t xml:space="preserve"> </w:t>
      </w:r>
      <w:r w:rsidRPr="00D64BBA">
        <w:t>policy</w:t>
      </w:r>
      <w:r w:rsidRPr="00D64BBA">
        <w:rPr>
          <w:spacing w:val="-12"/>
        </w:rPr>
        <w:t xml:space="preserve"> </w:t>
      </w:r>
      <w:r w:rsidRPr="00D64BBA">
        <w:t>is</w:t>
      </w:r>
      <w:r w:rsidRPr="00D64BBA">
        <w:rPr>
          <w:spacing w:val="-12"/>
        </w:rPr>
        <w:t xml:space="preserve"> </w:t>
      </w:r>
      <w:r w:rsidRPr="00D64BBA">
        <w:t>to</w:t>
      </w:r>
      <w:r w:rsidRPr="00D64BBA">
        <w:rPr>
          <w:spacing w:val="-14"/>
        </w:rPr>
        <w:t xml:space="preserve"> </w:t>
      </w:r>
      <w:r w:rsidRPr="00D64BBA">
        <w:t>outline</w:t>
      </w:r>
      <w:r w:rsidRPr="00D64BBA">
        <w:rPr>
          <w:spacing w:val="-11"/>
        </w:rPr>
        <w:t xml:space="preserve"> </w:t>
      </w:r>
      <w:r w:rsidRPr="00D64BBA">
        <w:t>the</w:t>
      </w:r>
      <w:r w:rsidRPr="00D64BBA">
        <w:rPr>
          <w:spacing w:val="-15"/>
        </w:rPr>
        <w:t xml:space="preserve"> </w:t>
      </w:r>
      <w:r w:rsidRPr="00D64BBA">
        <w:t>Town</w:t>
      </w:r>
      <w:r w:rsidRPr="00D64BBA">
        <w:rPr>
          <w:spacing w:val="-12"/>
        </w:rPr>
        <w:t xml:space="preserve"> </w:t>
      </w:r>
      <w:r w:rsidRPr="00D64BBA">
        <w:t>of</w:t>
      </w:r>
      <w:r w:rsidRPr="00D64BBA">
        <w:rPr>
          <w:spacing w:val="-16"/>
        </w:rPr>
        <w:t xml:space="preserve"> </w:t>
      </w:r>
      <w:r w:rsidRPr="00D64BBA">
        <w:t>East</w:t>
      </w:r>
      <w:r w:rsidRPr="00D64BBA">
        <w:rPr>
          <w:spacing w:val="-11"/>
        </w:rPr>
        <w:t xml:space="preserve"> </w:t>
      </w:r>
      <w:r w:rsidRPr="00D64BBA">
        <w:t>Fremantle</w:t>
      </w:r>
      <w:r w:rsidRPr="00D64BBA">
        <w:rPr>
          <w:spacing w:val="-12"/>
        </w:rPr>
        <w:t xml:space="preserve"> </w:t>
      </w:r>
      <w:r w:rsidRPr="00D64BBA">
        <w:t>process</w:t>
      </w:r>
      <w:r w:rsidRPr="00D64BBA">
        <w:rPr>
          <w:spacing w:val="-12"/>
        </w:rPr>
        <w:t xml:space="preserve"> </w:t>
      </w:r>
      <w:r w:rsidRPr="00D64BBA">
        <w:t>for</w:t>
      </w:r>
      <w:r w:rsidRPr="00D64BBA">
        <w:rPr>
          <w:spacing w:val="-13"/>
        </w:rPr>
        <w:t xml:space="preserve"> </w:t>
      </w:r>
      <w:r w:rsidRPr="00D64BBA">
        <w:t>efficient</w:t>
      </w:r>
      <w:r w:rsidRPr="00D64BBA">
        <w:rPr>
          <w:spacing w:val="-12"/>
        </w:rPr>
        <w:t xml:space="preserve"> </w:t>
      </w:r>
      <w:r w:rsidRPr="00D64BBA">
        <w:t>and</w:t>
      </w:r>
      <w:r w:rsidRPr="00D64BBA">
        <w:rPr>
          <w:spacing w:val="-13"/>
        </w:rPr>
        <w:t xml:space="preserve"> </w:t>
      </w:r>
      <w:r w:rsidRPr="00D64BBA">
        <w:t xml:space="preserve">effective management of outstanding </w:t>
      </w:r>
      <w:r w:rsidR="009E7385">
        <w:t xml:space="preserve">Rates and Sundry </w:t>
      </w:r>
      <w:r w:rsidRPr="00D64BBA">
        <w:t>Debtor Accounts</w:t>
      </w:r>
      <w:r w:rsidRPr="00D64BBA">
        <w:rPr>
          <w:spacing w:val="-9"/>
        </w:rPr>
        <w:t>.</w:t>
      </w:r>
    </w:p>
    <w:p w14:paraId="70DDFE1E" w14:textId="77777777" w:rsidR="0048473F" w:rsidRPr="00D64BBA" w:rsidRDefault="0048473F" w:rsidP="00E9055C">
      <w:pPr>
        <w:pStyle w:val="Heading2"/>
        <w:spacing w:line="240" w:lineRule="auto"/>
        <w:jc w:val="both"/>
        <w:rPr>
          <w:rFonts w:asciiTheme="minorHAnsi" w:hAnsiTheme="minorHAnsi" w:cstheme="minorHAnsi"/>
          <w:sz w:val="28"/>
          <w:szCs w:val="28"/>
        </w:rPr>
      </w:pPr>
      <w:r w:rsidRPr="00D64BBA">
        <w:rPr>
          <w:rFonts w:asciiTheme="minorHAnsi" w:hAnsiTheme="minorHAnsi" w:cstheme="minorHAnsi"/>
          <w:color w:val="auto"/>
          <w:sz w:val="28"/>
          <w:szCs w:val="28"/>
        </w:rPr>
        <w:t>Policy Scope</w:t>
      </w:r>
    </w:p>
    <w:p w14:paraId="0F6AB538" w14:textId="77777777" w:rsidR="0048473F" w:rsidRDefault="0048473F" w:rsidP="00E9055C">
      <w:pPr>
        <w:spacing w:after="120" w:line="240" w:lineRule="auto"/>
      </w:pPr>
      <w:r>
        <w:t xml:space="preserve">The Town of East Fremantle will exercise its debt recovery powers, as outlined in Part 6 of the </w:t>
      </w:r>
      <w:r>
        <w:rPr>
          <w:i/>
        </w:rPr>
        <w:t>Local Government Act 1995</w:t>
      </w:r>
      <w:r>
        <w:t xml:space="preserve">, </w:t>
      </w:r>
      <w:proofErr w:type="gramStart"/>
      <w:r>
        <w:t>in order to</w:t>
      </w:r>
      <w:proofErr w:type="gramEnd"/>
      <w:r>
        <w:t xml:space="preserve"> reduce the overall debt burden on ratepayers. It will be guided by the principles of:</w:t>
      </w:r>
    </w:p>
    <w:p w14:paraId="0BB6E39D" w14:textId="77777777" w:rsidR="0048473F" w:rsidRDefault="0048473F" w:rsidP="002A3889">
      <w:pPr>
        <w:pStyle w:val="ListParagraph"/>
        <w:widowControl w:val="0"/>
        <w:numPr>
          <w:ilvl w:val="0"/>
          <w:numId w:val="427"/>
        </w:numPr>
        <w:tabs>
          <w:tab w:val="left" w:pos="404"/>
        </w:tabs>
        <w:autoSpaceDE w:val="0"/>
        <w:autoSpaceDN w:val="0"/>
        <w:spacing w:before="58" w:after="0" w:line="240" w:lineRule="auto"/>
        <w:ind w:right="-46"/>
        <w:contextualSpacing w:val="0"/>
        <w:jc w:val="both"/>
      </w:pPr>
      <w:r>
        <w:t>ensuring that debt collection procedures are carried out in a fair and equitable</w:t>
      </w:r>
      <w:r>
        <w:rPr>
          <w:spacing w:val="-19"/>
        </w:rPr>
        <w:t xml:space="preserve"> </w:t>
      </w:r>
      <w:proofErr w:type="gramStart"/>
      <w:r>
        <w:t>manner;</w:t>
      </w:r>
      <w:proofErr w:type="gramEnd"/>
    </w:p>
    <w:p w14:paraId="0246AF58" w14:textId="77777777" w:rsidR="0048473F" w:rsidRDefault="0048473F" w:rsidP="002A3889">
      <w:pPr>
        <w:pStyle w:val="ListParagraph"/>
        <w:widowControl w:val="0"/>
        <w:numPr>
          <w:ilvl w:val="0"/>
          <w:numId w:val="427"/>
        </w:numPr>
        <w:tabs>
          <w:tab w:val="left" w:pos="404"/>
        </w:tabs>
        <w:autoSpaceDE w:val="0"/>
        <w:autoSpaceDN w:val="0"/>
        <w:spacing w:before="116" w:after="0" w:line="240" w:lineRule="auto"/>
        <w:ind w:right="95"/>
        <w:contextualSpacing w:val="0"/>
        <w:jc w:val="both"/>
      </w:pPr>
      <w:r>
        <w:t xml:space="preserve">making the processes used to recover outstanding debt clear, simple to administer and cost </w:t>
      </w:r>
      <w:proofErr w:type="gramStart"/>
      <w:r>
        <w:t>effective;</w:t>
      </w:r>
      <w:proofErr w:type="gramEnd"/>
    </w:p>
    <w:p w14:paraId="6CC16402" w14:textId="77777777" w:rsidR="0048473F" w:rsidRDefault="0048473F" w:rsidP="002A3889">
      <w:pPr>
        <w:pStyle w:val="ListParagraph"/>
        <w:widowControl w:val="0"/>
        <w:numPr>
          <w:ilvl w:val="0"/>
          <w:numId w:val="427"/>
        </w:numPr>
        <w:tabs>
          <w:tab w:val="left" w:pos="404"/>
        </w:tabs>
        <w:autoSpaceDE w:val="0"/>
        <w:autoSpaceDN w:val="0"/>
        <w:spacing w:before="58" w:after="0" w:line="240" w:lineRule="auto"/>
        <w:ind w:right="95"/>
        <w:contextualSpacing w:val="0"/>
        <w:jc w:val="both"/>
      </w:pPr>
      <w:r>
        <w:t>transparency</w:t>
      </w:r>
      <w:r>
        <w:rPr>
          <w:spacing w:val="-7"/>
        </w:rPr>
        <w:t xml:space="preserve"> </w:t>
      </w:r>
      <w:r>
        <w:t>by</w:t>
      </w:r>
      <w:r>
        <w:rPr>
          <w:spacing w:val="-6"/>
        </w:rPr>
        <w:t xml:space="preserve"> </w:t>
      </w:r>
      <w:r>
        <w:t>making</w:t>
      </w:r>
      <w:r>
        <w:rPr>
          <w:spacing w:val="-8"/>
        </w:rPr>
        <w:t xml:space="preserve"> </w:t>
      </w:r>
      <w:r>
        <w:t>clear</w:t>
      </w:r>
      <w:r>
        <w:rPr>
          <w:spacing w:val="-5"/>
        </w:rPr>
        <w:t xml:space="preserve"> </w:t>
      </w:r>
      <w:r>
        <w:t>the</w:t>
      </w:r>
      <w:r>
        <w:rPr>
          <w:spacing w:val="-7"/>
        </w:rPr>
        <w:t xml:space="preserve"> </w:t>
      </w:r>
      <w:r>
        <w:t>obligations</w:t>
      </w:r>
      <w:r>
        <w:rPr>
          <w:spacing w:val="-7"/>
        </w:rPr>
        <w:t xml:space="preserve"> </w:t>
      </w:r>
      <w:r>
        <w:t>of</w:t>
      </w:r>
      <w:r>
        <w:rPr>
          <w:spacing w:val="-8"/>
        </w:rPr>
        <w:t xml:space="preserve"> </w:t>
      </w:r>
      <w:r>
        <w:t>its</w:t>
      </w:r>
      <w:r>
        <w:rPr>
          <w:spacing w:val="-4"/>
        </w:rPr>
        <w:t xml:space="preserve"> </w:t>
      </w:r>
      <w:r>
        <w:t>ratepayers</w:t>
      </w:r>
      <w:r>
        <w:rPr>
          <w:spacing w:val="-5"/>
        </w:rPr>
        <w:t xml:space="preserve"> </w:t>
      </w:r>
      <w:r>
        <w:t>and</w:t>
      </w:r>
      <w:r>
        <w:rPr>
          <w:spacing w:val="-5"/>
        </w:rPr>
        <w:t xml:space="preserve"> </w:t>
      </w:r>
      <w:r>
        <w:t>sundry</w:t>
      </w:r>
      <w:r>
        <w:rPr>
          <w:spacing w:val="-6"/>
        </w:rPr>
        <w:t xml:space="preserve"> </w:t>
      </w:r>
      <w:r>
        <w:t>debtors</w:t>
      </w:r>
      <w:r>
        <w:rPr>
          <w:spacing w:val="-8"/>
        </w:rPr>
        <w:t xml:space="preserve"> </w:t>
      </w:r>
      <w:r>
        <w:t>to</w:t>
      </w:r>
      <w:r>
        <w:rPr>
          <w:spacing w:val="-5"/>
        </w:rPr>
        <w:t xml:space="preserve"> </w:t>
      </w:r>
      <w:r>
        <w:t>the</w:t>
      </w:r>
      <w:r>
        <w:rPr>
          <w:spacing w:val="-5"/>
        </w:rPr>
        <w:t xml:space="preserve"> </w:t>
      </w:r>
      <w:r>
        <w:t>processes used by Council in ensuring that they meet their financial</w:t>
      </w:r>
      <w:r>
        <w:rPr>
          <w:spacing w:val="-11"/>
        </w:rPr>
        <w:t xml:space="preserve"> </w:t>
      </w:r>
      <w:proofErr w:type="gramStart"/>
      <w:r>
        <w:t>obligations;</w:t>
      </w:r>
      <w:proofErr w:type="gramEnd"/>
    </w:p>
    <w:p w14:paraId="5226A4E7" w14:textId="77777777" w:rsidR="0048473F" w:rsidRDefault="0048473F" w:rsidP="002A3889">
      <w:pPr>
        <w:pStyle w:val="ListParagraph"/>
        <w:widowControl w:val="0"/>
        <w:numPr>
          <w:ilvl w:val="0"/>
          <w:numId w:val="427"/>
        </w:numPr>
        <w:tabs>
          <w:tab w:val="left" w:pos="404"/>
        </w:tabs>
        <w:autoSpaceDE w:val="0"/>
        <w:autoSpaceDN w:val="0"/>
        <w:spacing w:before="56" w:after="0" w:line="240" w:lineRule="auto"/>
        <w:ind w:right="95"/>
        <w:contextualSpacing w:val="0"/>
        <w:jc w:val="both"/>
      </w:pPr>
      <w:r>
        <w:t>equity by having regard to providing the same treatment for ratepayers and sundry debtors with similar</w:t>
      </w:r>
      <w:r>
        <w:rPr>
          <w:spacing w:val="-1"/>
        </w:rPr>
        <w:t xml:space="preserve"> </w:t>
      </w:r>
      <w:proofErr w:type="gramStart"/>
      <w:r>
        <w:t>circumstances;</w:t>
      </w:r>
      <w:proofErr w:type="gramEnd"/>
    </w:p>
    <w:p w14:paraId="2F910C5C" w14:textId="77777777" w:rsidR="0048473F" w:rsidRDefault="0048473F" w:rsidP="002A3889">
      <w:pPr>
        <w:pStyle w:val="ListParagraph"/>
        <w:widowControl w:val="0"/>
        <w:numPr>
          <w:ilvl w:val="0"/>
          <w:numId w:val="427"/>
        </w:numPr>
        <w:tabs>
          <w:tab w:val="left" w:pos="404"/>
        </w:tabs>
        <w:autoSpaceDE w:val="0"/>
        <w:autoSpaceDN w:val="0"/>
        <w:spacing w:before="59" w:after="0" w:line="240" w:lineRule="auto"/>
        <w:ind w:right="-46"/>
        <w:contextualSpacing w:val="0"/>
        <w:jc w:val="both"/>
      </w:pPr>
      <w:r>
        <w:t>flexibility by responding where necessary to changes in the local</w:t>
      </w:r>
      <w:r>
        <w:rPr>
          <w:spacing w:val="-5"/>
        </w:rPr>
        <w:t xml:space="preserve"> </w:t>
      </w:r>
      <w:proofErr w:type="gramStart"/>
      <w:r>
        <w:t>economy;</w:t>
      </w:r>
      <w:proofErr w:type="gramEnd"/>
    </w:p>
    <w:p w14:paraId="6A93E21D" w14:textId="77777777" w:rsidR="0048473F" w:rsidRDefault="0048473F" w:rsidP="002A3889">
      <w:pPr>
        <w:pStyle w:val="ListParagraph"/>
        <w:widowControl w:val="0"/>
        <w:numPr>
          <w:ilvl w:val="0"/>
          <w:numId w:val="427"/>
        </w:numPr>
        <w:tabs>
          <w:tab w:val="left" w:pos="404"/>
        </w:tabs>
        <w:autoSpaceDE w:val="0"/>
        <w:autoSpaceDN w:val="0"/>
        <w:spacing w:before="115" w:after="0" w:line="240" w:lineRule="auto"/>
        <w:ind w:right="-46"/>
        <w:contextualSpacing w:val="0"/>
        <w:jc w:val="both"/>
      </w:pPr>
      <w:r>
        <w:t>ensuring the Town of East Fremantle is compliant with all regulatory</w:t>
      </w:r>
      <w:r>
        <w:rPr>
          <w:spacing w:val="-15"/>
        </w:rPr>
        <w:t xml:space="preserve"> </w:t>
      </w:r>
      <w:proofErr w:type="gramStart"/>
      <w:r>
        <w:t>obligations;</w:t>
      </w:r>
      <w:proofErr w:type="gramEnd"/>
    </w:p>
    <w:p w14:paraId="46565152" w14:textId="77777777" w:rsidR="0048473F" w:rsidRDefault="0048473F" w:rsidP="002A3889">
      <w:pPr>
        <w:pStyle w:val="ListParagraph"/>
        <w:widowControl w:val="0"/>
        <w:numPr>
          <w:ilvl w:val="0"/>
          <w:numId w:val="427"/>
        </w:numPr>
        <w:tabs>
          <w:tab w:val="left" w:pos="404"/>
        </w:tabs>
        <w:autoSpaceDE w:val="0"/>
        <w:autoSpaceDN w:val="0"/>
        <w:spacing w:before="113" w:after="0" w:line="240" w:lineRule="auto"/>
        <w:ind w:right="-46"/>
        <w:contextualSpacing w:val="0"/>
        <w:jc w:val="both"/>
      </w:pPr>
      <w:r>
        <w:t>promoting effective governance and definition of roles and</w:t>
      </w:r>
      <w:r>
        <w:rPr>
          <w:spacing w:val="-13"/>
        </w:rPr>
        <w:t xml:space="preserve"> </w:t>
      </w:r>
      <w:proofErr w:type="gramStart"/>
      <w:r>
        <w:t>responsibilities;</w:t>
      </w:r>
      <w:proofErr w:type="gramEnd"/>
    </w:p>
    <w:p w14:paraId="787A8802" w14:textId="77777777" w:rsidR="0048473F" w:rsidRDefault="0048473F" w:rsidP="002A3889">
      <w:pPr>
        <w:pStyle w:val="ListParagraph"/>
        <w:widowControl w:val="0"/>
        <w:numPr>
          <w:ilvl w:val="0"/>
          <w:numId w:val="427"/>
        </w:numPr>
        <w:tabs>
          <w:tab w:val="left" w:pos="404"/>
        </w:tabs>
        <w:autoSpaceDE w:val="0"/>
        <w:autoSpaceDN w:val="0"/>
        <w:spacing w:before="113" w:line="240" w:lineRule="auto"/>
        <w:ind w:right="96"/>
        <w:contextualSpacing w:val="0"/>
        <w:jc w:val="both"/>
      </w:pPr>
      <w:r>
        <w:t>upholding recognition from the public and industry for the Town of East Fremantle practices that withstand</w:t>
      </w:r>
      <w:r>
        <w:rPr>
          <w:spacing w:val="-2"/>
        </w:rPr>
        <w:t xml:space="preserve"> </w:t>
      </w:r>
      <w:r>
        <w:t>probity.</w:t>
      </w:r>
    </w:p>
    <w:p w14:paraId="0FC0B109" w14:textId="77777777" w:rsidR="0048473F" w:rsidRPr="00D64BBA" w:rsidRDefault="0048473F" w:rsidP="00E9055C">
      <w:pPr>
        <w:spacing w:after="40" w:line="240" w:lineRule="auto"/>
        <w:rPr>
          <w:b/>
        </w:rPr>
      </w:pPr>
      <w:r w:rsidRPr="00D64BBA">
        <w:rPr>
          <w:b/>
        </w:rPr>
        <w:t>Definitions</w:t>
      </w:r>
    </w:p>
    <w:p w14:paraId="6E5466EE" w14:textId="77777777" w:rsidR="0048473F" w:rsidRDefault="0048473F" w:rsidP="00E9055C">
      <w:pPr>
        <w:spacing w:line="240" w:lineRule="auto"/>
        <w:jc w:val="both"/>
      </w:pPr>
      <w:r>
        <w:rPr>
          <w:b/>
          <w:i/>
        </w:rPr>
        <w:t>Debtor</w:t>
      </w:r>
      <w:r>
        <w:rPr>
          <w:b/>
          <w:i/>
          <w:spacing w:val="-11"/>
        </w:rPr>
        <w:t xml:space="preserve"> </w:t>
      </w:r>
      <w:r>
        <w:t>an</w:t>
      </w:r>
      <w:r>
        <w:rPr>
          <w:spacing w:val="-11"/>
        </w:rPr>
        <w:t xml:space="preserve"> </w:t>
      </w:r>
      <w:r>
        <w:t>individual,</w:t>
      </w:r>
      <w:r>
        <w:rPr>
          <w:spacing w:val="-11"/>
        </w:rPr>
        <w:t xml:space="preserve"> </w:t>
      </w:r>
      <w:r>
        <w:t>organisation</w:t>
      </w:r>
      <w:r>
        <w:rPr>
          <w:spacing w:val="-13"/>
        </w:rPr>
        <w:t xml:space="preserve"> </w:t>
      </w:r>
      <w:r>
        <w:t>or</w:t>
      </w:r>
      <w:r>
        <w:rPr>
          <w:spacing w:val="-13"/>
        </w:rPr>
        <w:t xml:space="preserve"> </w:t>
      </w:r>
      <w:r>
        <w:t>other</w:t>
      </w:r>
      <w:r>
        <w:rPr>
          <w:spacing w:val="-11"/>
        </w:rPr>
        <w:t xml:space="preserve"> </w:t>
      </w:r>
      <w:r>
        <w:t>party</w:t>
      </w:r>
      <w:r>
        <w:rPr>
          <w:spacing w:val="-11"/>
        </w:rPr>
        <w:t xml:space="preserve"> </w:t>
      </w:r>
      <w:r>
        <w:t>that</w:t>
      </w:r>
      <w:r>
        <w:rPr>
          <w:spacing w:val="-12"/>
        </w:rPr>
        <w:t xml:space="preserve"> </w:t>
      </w:r>
      <w:r>
        <w:t>transacts</w:t>
      </w:r>
      <w:r>
        <w:rPr>
          <w:spacing w:val="-12"/>
        </w:rPr>
        <w:t xml:space="preserve"> </w:t>
      </w:r>
      <w:r>
        <w:t>with</w:t>
      </w:r>
      <w:r>
        <w:rPr>
          <w:spacing w:val="-13"/>
        </w:rPr>
        <w:t xml:space="preserve"> </w:t>
      </w:r>
      <w:r>
        <w:t>the</w:t>
      </w:r>
      <w:r>
        <w:rPr>
          <w:spacing w:val="-12"/>
        </w:rPr>
        <w:t xml:space="preserve"> </w:t>
      </w:r>
      <w:r>
        <w:t>Town</w:t>
      </w:r>
      <w:r>
        <w:rPr>
          <w:spacing w:val="-13"/>
        </w:rPr>
        <w:t xml:space="preserve"> </w:t>
      </w:r>
      <w:r>
        <w:t>where</w:t>
      </w:r>
      <w:r>
        <w:rPr>
          <w:spacing w:val="-10"/>
        </w:rPr>
        <w:t xml:space="preserve"> </w:t>
      </w:r>
      <w:r>
        <w:t>goods</w:t>
      </w:r>
      <w:r>
        <w:rPr>
          <w:spacing w:val="-14"/>
        </w:rPr>
        <w:t xml:space="preserve"> </w:t>
      </w:r>
      <w:r>
        <w:t>or</w:t>
      </w:r>
      <w:r>
        <w:rPr>
          <w:spacing w:val="-10"/>
        </w:rPr>
        <w:t xml:space="preserve"> </w:t>
      </w:r>
      <w:r>
        <w:t>services are provided, use of facilities are made available, fines and license fees are levied and any other transaction that results in an expected future payment to the</w:t>
      </w:r>
      <w:r>
        <w:rPr>
          <w:spacing w:val="-17"/>
        </w:rPr>
        <w:t xml:space="preserve"> </w:t>
      </w:r>
      <w:r>
        <w:t>Town.</w:t>
      </w:r>
    </w:p>
    <w:p w14:paraId="36FDAF4C" w14:textId="77777777" w:rsidR="0048473F" w:rsidRDefault="0048473F" w:rsidP="00E9055C">
      <w:pPr>
        <w:spacing w:line="240" w:lineRule="auto"/>
        <w:jc w:val="both"/>
      </w:pPr>
      <w:r>
        <w:rPr>
          <w:b/>
          <w:i/>
        </w:rPr>
        <w:t>General</w:t>
      </w:r>
      <w:r>
        <w:rPr>
          <w:b/>
          <w:i/>
          <w:spacing w:val="-4"/>
        </w:rPr>
        <w:t xml:space="preserve"> </w:t>
      </w:r>
      <w:r>
        <w:rPr>
          <w:b/>
          <w:i/>
        </w:rPr>
        <w:t>Procedure</w:t>
      </w:r>
      <w:r>
        <w:rPr>
          <w:b/>
          <w:i/>
          <w:spacing w:val="-3"/>
        </w:rPr>
        <w:t xml:space="preserve"> </w:t>
      </w:r>
      <w:r>
        <w:rPr>
          <w:b/>
          <w:i/>
        </w:rPr>
        <w:t>Claim</w:t>
      </w:r>
      <w:r>
        <w:rPr>
          <w:b/>
          <w:i/>
          <w:spacing w:val="-4"/>
        </w:rPr>
        <w:t xml:space="preserve"> </w:t>
      </w:r>
      <w:r>
        <w:rPr>
          <w:b/>
        </w:rPr>
        <w:t>(GPC)”</w:t>
      </w:r>
      <w:r>
        <w:rPr>
          <w:b/>
          <w:spacing w:val="-2"/>
        </w:rPr>
        <w:t xml:space="preserve"> </w:t>
      </w:r>
      <w:r>
        <w:t>means</w:t>
      </w:r>
      <w:r>
        <w:rPr>
          <w:spacing w:val="-4"/>
        </w:rPr>
        <w:t xml:space="preserve"> </w:t>
      </w:r>
      <w:r>
        <w:t>the</w:t>
      </w:r>
      <w:r>
        <w:rPr>
          <w:spacing w:val="-4"/>
        </w:rPr>
        <w:t xml:space="preserve"> </w:t>
      </w:r>
      <w:r>
        <w:t>claim</w:t>
      </w:r>
      <w:r>
        <w:rPr>
          <w:spacing w:val="-3"/>
        </w:rPr>
        <w:t xml:space="preserve"> </w:t>
      </w:r>
      <w:r>
        <w:t>lodged</w:t>
      </w:r>
      <w:r>
        <w:rPr>
          <w:spacing w:val="-2"/>
        </w:rPr>
        <w:t xml:space="preserve"> </w:t>
      </w:r>
      <w:r>
        <w:t>with</w:t>
      </w:r>
      <w:r>
        <w:rPr>
          <w:spacing w:val="-1"/>
        </w:rPr>
        <w:t xml:space="preserve"> </w:t>
      </w:r>
      <w:r>
        <w:t>the</w:t>
      </w:r>
      <w:r>
        <w:rPr>
          <w:spacing w:val="-4"/>
        </w:rPr>
        <w:t xml:space="preserve"> </w:t>
      </w:r>
      <w:r>
        <w:t>Magistrates</w:t>
      </w:r>
      <w:r>
        <w:rPr>
          <w:spacing w:val="-4"/>
        </w:rPr>
        <w:t xml:space="preserve"> </w:t>
      </w:r>
      <w:r>
        <w:t>Court</w:t>
      </w:r>
      <w:r>
        <w:rPr>
          <w:spacing w:val="-3"/>
        </w:rPr>
        <w:t xml:space="preserve"> </w:t>
      </w:r>
      <w:r>
        <w:t>where</w:t>
      </w:r>
      <w:r>
        <w:rPr>
          <w:spacing w:val="-4"/>
        </w:rPr>
        <w:t xml:space="preserve"> </w:t>
      </w:r>
      <w:r>
        <w:t>the</w:t>
      </w:r>
      <w:r>
        <w:rPr>
          <w:spacing w:val="-4"/>
        </w:rPr>
        <w:t xml:space="preserve"> </w:t>
      </w:r>
      <w:r>
        <w:t>value of the claim or the relief claimed does not exceed</w:t>
      </w:r>
      <w:r>
        <w:rPr>
          <w:spacing w:val="-10"/>
        </w:rPr>
        <w:t xml:space="preserve"> </w:t>
      </w:r>
      <w:r>
        <w:t>$75,000.</w:t>
      </w:r>
    </w:p>
    <w:p w14:paraId="3D3AD3BF" w14:textId="77777777" w:rsidR="0048473F" w:rsidRDefault="0048473F" w:rsidP="00E9055C">
      <w:pPr>
        <w:spacing w:line="240" w:lineRule="auto"/>
        <w:jc w:val="both"/>
      </w:pPr>
      <w:r>
        <w:rPr>
          <w:b/>
          <w:i/>
        </w:rPr>
        <w:t xml:space="preserve">Property Seizure and Sale Order (PSSO) </w:t>
      </w:r>
      <w:r>
        <w:t>is a court order that authorises a bailiff to seize and sell as much of the judgment debtor’s real or personal property as necessary to satisfy the judgment debt wholly or partially.</w:t>
      </w:r>
    </w:p>
    <w:p w14:paraId="14DA17C3" w14:textId="77777777" w:rsidR="0048473F" w:rsidRPr="00CC0D4F" w:rsidRDefault="0048473F" w:rsidP="00E9055C">
      <w:pPr>
        <w:spacing w:line="240" w:lineRule="auto"/>
        <w:jc w:val="both"/>
        <w:rPr>
          <w:rFonts w:cstheme="minorHAnsi"/>
        </w:rPr>
      </w:pPr>
      <w:r w:rsidRPr="00CC0D4F">
        <w:rPr>
          <w:b/>
          <w:i/>
        </w:rPr>
        <w:t>Financial Hardship</w:t>
      </w:r>
      <w:r w:rsidRPr="00CC0D4F">
        <w:t xml:space="preserve"> </w:t>
      </w:r>
      <w:r>
        <w:t xml:space="preserve">A </w:t>
      </w:r>
      <w:r w:rsidRPr="00CC0D4F">
        <w:rPr>
          <w:rFonts w:cstheme="minorHAnsi"/>
        </w:rPr>
        <w:t xml:space="preserve">person in a situation of vulnerability may have low income or, </w:t>
      </w:r>
      <w:proofErr w:type="gramStart"/>
      <w:r w:rsidRPr="00CC0D4F">
        <w:rPr>
          <w:rFonts w:cstheme="minorHAnsi"/>
        </w:rPr>
        <w:t>as a result of</w:t>
      </w:r>
      <w:proofErr w:type="gramEnd"/>
      <w:r w:rsidRPr="00CC0D4F">
        <w:rPr>
          <w:rFonts w:cstheme="minorHAnsi"/>
        </w:rPr>
        <w:t xml:space="preserve"> their circumstances, be experiencing a financial shock, leading to difficulties in paying rates</w:t>
      </w:r>
      <w:r w:rsidRPr="00CC0D4F">
        <w:rPr>
          <w:rFonts w:cstheme="minorHAnsi"/>
          <w:i/>
        </w:rPr>
        <w:t xml:space="preserve"> </w:t>
      </w:r>
      <w:r w:rsidRPr="00CC0D4F">
        <w:rPr>
          <w:rFonts w:cstheme="minorHAnsi"/>
        </w:rPr>
        <w:t>by the due date. This can take the form of ‘payment difficulties’ or ‘financial hardship’.</w:t>
      </w:r>
    </w:p>
    <w:p w14:paraId="753A4BE7" w14:textId="77777777" w:rsidR="00AD4E49" w:rsidRDefault="00AD4E49">
      <w:pPr>
        <w:rPr>
          <w:b/>
          <w:sz w:val="28"/>
          <w:szCs w:val="28"/>
        </w:rPr>
      </w:pPr>
      <w:r>
        <w:rPr>
          <w:b/>
          <w:sz w:val="28"/>
          <w:szCs w:val="28"/>
        </w:rPr>
        <w:br w:type="page"/>
      </w:r>
    </w:p>
    <w:p w14:paraId="3F13EEC5" w14:textId="7E2BE698" w:rsidR="0048473F" w:rsidRPr="00D64BBA" w:rsidRDefault="0048473F" w:rsidP="00E9055C">
      <w:pPr>
        <w:spacing w:line="240" w:lineRule="auto"/>
        <w:rPr>
          <w:b/>
          <w:sz w:val="28"/>
          <w:szCs w:val="28"/>
        </w:rPr>
      </w:pPr>
      <w:r w:rsidRPr="00D64BBA">
        <w:rPr>
          <w:b/>
          <w:sz w:val="28"/>
          <w:szCs w:val="28"/>
        </w:rPr>
        <w:lastRenderedPageBreak/>
        <w:t>Policy</w:t>
      </w:r>
    </w:p>
    <w:p w14:paraId="7ABBC5D1" w14:textId="77777777" w:rsidR="0048473F" w:rsidRPr="00D64BBA" w:rsidRDefault="00D64BBA" w:rsidP="00E9055C">
      <w:pPr>
        <w:spacing w:after="0" w:line="240" w:lineRule="auto"/>
        <w:ind w:left="425" w:hanging="425"/>
        <w:rPr>
          <w:b/>
        </w:rPr>
      </w:pPr>
      <w:r w:rsidRPr="00D64BBA">
        <w:rPr>
          <w:b/>
        </w:rPr>
        <w:t>1.</w:t>
      </w:r>
      <w:r w:rsidRPr="00D64BBA">
        <w:rPr>
          <w:b/>
        </w:rPr>
        <w:tab/>
      </w:r>
      <w:r w:rsidR="0048473F" w:rsidRPr="00D64BBA">
        <w:rPr>
          <w:b/>
        </w:rPr>
        <w:t>Recovery of Sundry Debtor</w:t>
      </w:r>
      <w:r w:rsidR="0048473F" w:rsidRPr="00D64BBA">
        <w:rPr>
          <w:b/>
          <w:spacing w:val="-4"/>
        </w:rPr>
        <w:t xml:space="preserve"> </w:t>
      </w:r>
      <w:r w:rsidR="0048473F" w:rsidRPr="00D64BBA">
        <w:rPr>
          <w:b/>
        </w:rPr>
        <w:t>Accounts</w:t>
      </w:r>
    </w:p>
    <w:p w14:paraId="10A0E35B" w14:textId="7489E0DF" w:rsidR="0048473F" w:rsidRDefault="0048473F" w:rsidP="00E9055C">
      <w:pPr>
        <w:spacing w:after="120" w:line="240" w:lineRule="auto"/>
        <w:ind w:left="425"/>
        <w:jc w:val="both"/>
      </w:pPr>
      <w:r>
        <w:t xml:space="preserve">The recovery of outstanding sundry debtors will be collected in a fair and timely manner. Sundry debts are due for payments </w:t>
      </w:r>
      <w:r w:rsidR="002E1444">
        <w:t>21</w:t>
      </w:r>
      <w:r>
        <w:t xml:space="preserve"> days from date of issue. The process for sundry debt collection is as follows:</w:t>
      </w:r>
    </w:p>
    <w:p w14:paraId="073EDA6D" w14:textId="7B5AEFAC" w:rsidR="0048473F" w:rsidRDefault="00D64BBA" w:rsidP="00E9055C">
      <w:pPr>
        <w:spacing w:line="240" w:lineRule="auto"/>
        <w:ind w:left="851" w:hanging="425"/>
        <w:jc w:val="both"/>
      </w:pPr>
      <w:r>
        <w:t>(a)</w:t>
      </w:r>
      <w:r>
        <w:tab/>
      </w:r>
      <w:r w:rsidR="0048473F">
        <w:t xml:space="preserve">Sundry debtors will be issued an invoice as soon as possible after the amount is known, providing </w:t>
      </w:r>
      <w:proofErr w:type="gramStart"/>
      <w:r w:rsidR="002E1444">
        <w:t>21</w:t>
      </w:r>
      <w:r w:rsidR="0048473F">
        <w:t xml:space="preserve"> day</w:t>
      </w:r>
      <w:proofErr w:type="gramEnd"/>
      <w:r w:rsidR="0048473F">
        <w:t xml:space="preserve"> payment</w:t>
      </w:r>
      <w:r w:rsidR="0048473F">
        <w:rPr>
          <w:spacing w:val="-2"/>
        </w:rPr>
        <w:t xml:space="preserve"> </w:t>
      </w:r>
      <w:r w:rsidR="0048473F">
        <w:t>terms.</w:t>
      </w:r>
    </w:p>
    <w:p w14:paraId="114E3C33" w14:textId="4A3706AD" w:rsidR="0048473F" w:rsidRDefault="00D64BBA" w:rsidP="00E9055C">
      <w:pPr>
        <w:spacing w:line="240" w:lineRule="auto"/>
        <w:ind w:left="851" w:hanging="425"/>
        <w:jc w:val="both"/>
      </w:pPr>
      <w:r>
        <w:t>(b)</w:t>
      </w:r>
      <w:r>
        <w:tab/>
      </w:r>
      <w:r w:rsidR="0048473F">
        <w:t>A</w:t>
      </w:r>
      <w:r w:rsidR="0048473F">
        <w:rPr>
          <w:spacing w:val="-1"/>
        </w:rPr>
        <w:t xml:space="preserve"> </w:t>
      </w:r>
      <w:r w:rsidR="0048473F">
        <w:t>statement</w:t>
      </w:r>
      <w:r w:rsidR="0048473F">
        <w:rPr>
          <w:spacing w:val="-3"/>
        </w:rPr>
        <w:t xml:space="preserve"> </w:t>
      </w:r>
      <w:r w:rsidR="002E1444">
        <w:rPr>
          <w:spacing w:val="-3"/>
        </w:rPr>
        <w:t xml:space="preserve">(or form of reminder) </w:t>
      </w:r>
      <w:r w:rsidR="0048473F">
        <w:t>will</w:t>
      </w:r>
      <w:r w:rsidR="0048473F">
        <w:rPr>
          <w:spacing w:val="-3"/>
        </w:rPr>
        <w:t xml:space="preserve"> </w:t>
      </w:r>
      <w:r w:rsidR="0048473F">
        <w:t>be</w:t>
      </w:r>
      <w:r w:rsidR="0048473F">
        <w:rPr>
          <w:spacing w:val="-4"/>
        </w:rPr>
        <w:t xml:space="preserve"> </w:t>
      </w:r>
      <w:r w:rsidR="0048473F">
        <w:t>issued</w:t>
      </w:r>
      <w:r w:rsidR="0048473F">
        <w:rPr>
          <w:spacing w:val="-6"/>
        </w:rPr>
        <w:t xml:space="preserve"> </w:t>
      </w:r>
      <w:r w:rsidR="0048473F">
        <w:t>a</w:t>
      </w:r>
      <w:r w:rsidR="002E1444">
        <w:t>s soon as practicable after the invoice becomes due and payable,</w:t>
      </w:r>
      <w:r w:rsidR="0048473F">
        <w:t xml:space="preserve"> requesting payment within 14</w:t>
      </w:r>
      <w:r w:rsidR="0048473F">
        <w:rPr>
          <w:spacing w:val="-11"/>
        </w:rPr>
        <w:t xml:space="preserve"> </w:t>
      </w:r>
      <w:r w:rsidR="0048473F">
        <w:t>days.</w:t>
      </w:r>
    </w:p>
    <w:p w14:paraId="016837A3" w14:textId="760A9EF8" w:rsidR="0048473F" w:rsidRDefault="00D64BBA" w:rsidP="00E9055C">
      <w:pPr>
        <w:spacing w:line="240" w:lineRule="auto"/>
        <w:ind w:left="851" w:hanging="425"/>
        <w:jc w:val="both"/>
      </w:pPr>
      <w:r>
        <w:t>(c)</w:t>
      </w:r>
      <w:r>
        <w:tab/>
      </w:r>
      <w:r w:rsidR="0048473F">
        <w:t xml:space="preserve">At the end of 14 days, </w:t>
      </w:r>
      <w:r w:rsidR="002E1444">
        <w:t>communication</w:t>
      </w:r>
      <w:r w:rsidR="0048473F">
        <w:t xml:space="preserve"> will be issued advising that legal action may be taken without further warning should the debt remain outstanding beyond 7</w:t>
      </w:r>
      <w:r w:rsidR="0048473F">
        <w:rPr>
          <w:spacing w:val="-19"/>
        </w:rPr>
        <w:t xml:space="preserve"> </w:t>
      </w:r>
      <w:r w:rsidR="0048473F">
        <w:t>days.</w:t>
      </w:r>
    </w:p>
    <w:p w14:paraId="162B2A28" w14:textId="77777777" w:rsidR="0048473F" w:rsidRDefault="0048473F" w:rsidP="00E9055C">
      <w:pPr>
        <w:spacing w:after="120" w:line="240" w:lineRule="auto"/>
        <w:ind w:left="426"/>
        <w:jc w:val="both"/>
      </w:pPr>
      <w:r>
        <w:t xml:space="preserve">Where the customer fails to pay in full by the expiry of the period defined above, credit may be suspended or services </w:t>
      </w:r>
      <w:proofErr w:type="gramStart"/>
      <w:r>
        <w:t>limited</w:t>
      </w:r>
      <w:proofErr w:type="gramEnd"/>
      <w:r>
        <w:t xml:space="preserve"> and legal action may be commenced.</w:t>
      </w:r>
    </w:p>
    <w:p w14:paraId="10FCEE04" w14:textId="77777777" w:rsidR="0048473F" w:rsidRDefault="0048473F" w:rsidP="00E9055C">
      <w:pPr>
        <w:spacing w:line="240" w:lineRule="auto"/>
        <w:ind w:left="425"/>
        <w:jc w:val="both"/>
      </w:pPr>
      <w:r>
        <w:t>Legal action – debts will be assessed to ascertain the ability to recover. If the cost of legal action exceeds the amount of the debt, the amount may be considered for write off, subject to Council delegation, once all non-legal recovery actions have been exhausted.</w:t>
      </w:r>
    </w:p>
    <w:p w14:paraId="5243D83F" w14:textId="77777777" w:rsidR="0048473F" w:rsidRPr="00E9055C" w:rsidRDefault="00E9055C" w:rsidP="00E9055C">
      <w:pPr>
        <w:spacing w:after="0" w:line="240" w:lineRule="auto"/>
        <w:ind w:left="425" w:hanging="425"/>
        <w:rPr>
          <w:b/>
        </w:rPr>
      </w:pPr>
      <w:r w:rsidRPr="00E9055C">
        <w:rPr>
          <w:b/>
        </w:rPr>
        <w:t>2.</w:t>
      </w:r>
      <w:r w:rsidRPr="00E9055C">
        <w:rPr>
          <w:b/>
        </w:rPr>
        <w:tab/>
      </w:r>
      <w:r w:rsidR="0048473F" w:rsidRPr="00E9055C">
        <w:rPr>
          <w:b/>
        </w:rPr>
        <w:t>Recovery of Rate and Service</w:t>
      </w:r>
      <w:r w:rsidR="0048473F" w:rsidRPr="00E9055C">
        <w:rPr>
          <w:b/>
          <w:spacing w:val="-6"/>
        </w:rPr>
        <w:t xml:space="preserve"> </w:t>
      </w:r>
      <w:r w:rsidR="0048473F" w:rsidRPr="00E9055C">
        <w:rPr>
          <w:b/>
        </w:rPr>
        <w:t>Charges</w:t>
      </w:r>
    </w:p>
    <w:p w14:paraId="0FCBC158" w14:textId="77777777" w:rsidR="0048473F" w:rsidRDefault="0048473F" w:rsidP="008B6210">
      <w:pPr>
        <w:spacing w:after="120" w:line="240" w:lineRule="auto"/>
        <w:ind w:left="425"/>
        <w:jc w:val="both"/>
        <w:rPr>
          <w:i/>
        </w:rPr>
      </w:pPr>
      <w:r>
        <w:t xml:space="preserve">The recovery of outstanding rates will be collected in a fair and timely manner. Rate notices are due for payment 35 days from date of issue in accordance with the </w:t>
      </w:r>
      <w:r>
        <w:rPr>
          <w:i/>
        </w:rPr>
        <w:t>Local Government Act 1995.</w:t>
      </w:r>
    </w:p>
    <w:p w14:paraId="16C4FDAD" w14:textId="32A34F58" w:rsidR="0048473F" w:rsidRDefault="0048473F" w:rsidP="008B6210">
      <w:pPr>
        <w:spacing w:after="120" w:line="240" w:lineRule="auto"/>
        <w:ind w:left="425" w:right="-23"/>
        <w:jc w:val="both"/>
      </w:pPr>
      <w:r w:rsidRPr="00FC70A5">
        <w:rPr>
          <w:b/>
          <w:i/>
        </w:rPr>
        <w:t xml:space="preserve">Amounts that remain outstanding past the prescribed due date </w:t>
      </w:r>
      <w:r>
        <w:rPr>
          <w:b/>
          <w:i/>
        </w:rPr>
        <w:t xml:space="preserve">may </w:t>
      </w:r>
      <w:r w:rsidRPr="00FC70A5">
        <w:rPr>
          <w:b/>
          <w:i/>
        </w:rPr>
        <w:t>have interest applied</w:t>
      </w:r>
      <w:r>
        <w:t xml:space="preserve">, up to a maximum interest rate </w:t>
      </w:r>
      <w:r w:rsidR="002E1444">
        <w:t>as legislated and imposed</w:t>
      </w:r>
      <w:r>
        <w:t xml:space="preserve"> annually by Council as part of the Annual Budget. Interest is calculated on the number of days from the due date of payment until the day the payment is received by the Town of East Fremantle. This includes overdue amounts where the rate payer has elected to pay by an instalment option.</w:t>
      </w:r>
    </w:p>
    <w:p w14:paraId="1E448BE0" w14:textId="77777777" w:rsidR="0048473F" w:rsidRPr="00E9055C" w:rsidRDefault="0048473F" w:rsidP="00E9055C">
      <w:pPr>
        <w:spacing w:after="0" w:line="240" w:lineRule="auto"/>
        <w:ind w:left="426"/>
        <w:jc w:val="both"/>
        <w:rPr>
          <w:b/>
          <w:i/>
        </w:rPr>
      </w:pPr>
      <w:r w:rsidRPr="00E9055C">
        <w:rPr>
          <w:b/>
          <w:i/>
        </w:rPr>
        <w:t>Accounts unpaid by the due date shown on the Rate Notice</w:t>
      </w:r>
    </w:p>
    <w:p w14:paraId="46B6C26D" w14:textId="15B78B19" w:rsidR="0048473F" w:rsidRDefault="0048473F" w:rsidP="008B6210">
      <w:pPr>
        <w:spacing w:after="120" w:line="240" w:lineRule="auto"/>
        <w:ind w:left="425"/>
        <w:jc w:val="both"/>
      </w:pPr>
      <w:r>
        <w:t xml:space="preserve">Where accounts remain outstanding after the prescribed due date, a </w:t>
      </w:r>
      <w:r w:rsidR="002E1444">
        <w:t>Reminder</w:t>
      </w:r>
      <w:r>
        <w:t xml:space="preserve"> Notice shall be issued requesting full payment within fourteen (14) days</w:t>
      </w:r>
      <w:r w:rsidR="002E1444">
        <w:t xml:space="preserve"> (this to be commenced within two weeks of accounts falling due)</w:t>
      </w:r>
      <w:r>
        <w:t xml:space="preserve">. </w:t>
      </w:r>
    </w:p>
    <w:p w14:paraId="622C5CE5" w14:textId="77777777" w:rsidR="002E6654" w:rsidRPr="002E6654" w:rsidRDefault="002E6654" w:rsidP="002E6654">
      <w:pPr>
        <w:pStyle w:val="BodyText"/>
        <w:spacing w:before="3"/>
        <w:ind w:left="426" w:right="95"/>
        <w:jc w:val="both"/>
        <w:rPr>
          <w:rFonts w:asciiTheme="minorHAnsi" w:hAnsiTheme="minorHAnsi" w:cstheme="minorHAnsi"/>
        </w:rPr>
      </w:pPr>
      <w:r w:rsidRPr="002E6654">
        <w:rPr>
          <w:rFonts w:asciiTheme="minorHAnsi" w:hAnsiTheme="minorHAnsi" w:cstheme="minorHAnsi"/>
        </w:rPr>
        <w:t>Accounts that remain outstanding after the due date of the Reminder Notice are to be issued with a Final Notice requesting full payment within nine (9) days (to be commenced within a week of accounts falling due).</w:t>
      </w:r>
    </w:p>
    <w:p w14:paraId="7915A8BE" w14:textId="77777777" w:rsidR="002E6654" w:rsidRPr="002E6654" w:rsidRDefault="002E6654" w:rsidP="002E6654">
      <w:pPr>
        <w:pStyle w:val="BodyText"/>
        <w:spacing w:before="3"/>
        <w:ind w:left="426" w:right="95"/>
        <w:jc w:val="both"/>
        <w:rPr>
          <w:rFonts w:asciiTheme="minorHAnsi" w:hAnsiTheme="minorHAnsi" w:cstheme="minorHAnsi"/>
        </w:rPr>
      </w:pPr>
      <w:r w:rsidRPr="002E6654">
        <w:rPr>
          <w:rFonts w:asciiTheme="minorHAnsi" w:hAnsiTheme="minorHAnsi" w:cstheme="minorHAnsi"/>
        </w:rPr>
        <w:t>Accounts that remain outstanding after the due date of the Final Notice are to be issued with a Final Demand requesting full payment within seven (7) days (to be commenced within a week of accounts falling due).</w:t>
      </w:r>
    </w:p>
    <w:p w14:paraId="6C4DB652" w14:textId="4005CB13" w:rsidR="0048473F" w:rsidRDefault="002E6654" w:rsidP="008B6210">
      <w:pPr>
        <w:spacing w:after="120" w:line="240" w:lineRule="auto"/>
        <w:ind w:left="425"/>
        <w:jc w:val="both"/>
      </w:pPr>
      <w:r>
        <w:t xml:space="preserve">Accounts with </w:t>
      </w:r>
      <w:r w:rsidR="0048473F">
        <w:t xml:space="preserve">eligible persons registered to receive a pensioner or senior rebate under the </w:t>
      </w:r>
      <w:r w:rsidR="0048473F" w:rsidRPr="002E6654">
        <w:rPr>
          <w:i/>
          <w:iCs/>
        </w:rPr>
        <w:t>Rates and Charges (Rebates and Deferments) Act 1992</w:t>
      </w:r>
      <w:r w:rsidR="0048473F">
        <w:t xml:space="preserve"> </w:t>
      </w:r>
      <w:r>
        <w:t>will not be subjected to the above recovery process however those accounts with service charges or rates that are unable to be deferred (Seniors) from the previous year will be subject to a communique requesting payment of overdue charges.</w:t>
      </w:r>
    </w:p>
    <w:p w14:paraId="7C58691D" w14:textId="311F79FD" w:rsidR="0048473F" w:rsidRPr="00E9055C" w:rsidRDefault="0048473F" w:rsidP="00E9055C">
      <w:pPr>
        <w:spacing w:after="0" w:line="240" w:lineRule="auto"/>
        <w:ind w:left="425"/>
        <w:jc w:val="both"/>
        <w:rPr>
          <w:b/>
          <w:i/>
        </w:rPr>
      </w:pPr>
      <w:r w:rsidRPr="00E9055C">
        <w:rPr>
          <w:b/>
          <w:i/>
        </w:rPr>
        <w:t xml:space="preserve">Accounts unpaid after the expiry date shown on the Final </w:t>
      </w:r>
      <w:r w:rsidR="002E6654">
        <w:rPr>
          <w:b/>
          <w:i/>
        </w:rPr>
        <w:t>Demand</w:t>
      </w:r>
    </w:p>
    <w:p w14:paraId="1BA5DE61" w14:textId="77777777" w:rsidR="002E6654" w:rsidRDefault="0048473F" w:rsidP="008B6210">
      <w:pPr>
        <w:spacing w:after="120" w:line="240" w:lineRule="auto"/>
        <w:ind w:left="425"/>
        <w:jc w:val="both"/>
      </w:pPr>
      <w:r>
        <w:t xml:space="preserve">Where amounts remain outstanding after the expiry date shown on the Final </w:t>
      </w:r>
      <w:r w:rsidR="002E6654">
        <w:t xml:space="preserve">Demand and no communication has been </w:t>
      </w:r>
      <w:proofErr w:type="gramStart"/>
      <w:r w:rsidR="002E6654">
        <w:t>entered into</w:t>
      </w:r>
      <w:proofErr w:type="gramEnd"/>
      <w:r w:rsidR="002E6654">
        <w:t>,</w:t>
      </w:r>
      <w:r>
        <w:t xml:space="preserve"> recovery action will commence</w:t>
      </w:r>
      <w:r w:rsidR="002E6654">
        <w:t>.</w:t>
      </w:r>
    </w:p>
    <w:p w14:paraId="63E95F5F" w14:textId="77777777" w:rsidR="002E6654" w:rsidRPr="002E6654" w:rsidRDefault="002E6654" w:rsidP="002E6654">
      <w:pPr>
        <w:pStyle w:val="BodyText"/>
        <w:ind w:left="426" w:right="95"/>
        <w:jc w:val="both"/>
        <w:rPr>
          <w:rFonts w:asciiTheme="minorHAnsi" w:hAnsiTheme="minorHAnsi" w:cstheme="minorHAnsi"/>
        </w:rPr>
      </w:pPr>
      <w:r w:rsidRPr="002E6654">
        <w:rPr>
          <w:rFonts w:asciiTheme="minorHAnsi" w:hAnsiTheme="minorHAnsi" w:cstheme="minorHAnsi"/>
        </w:rPr>
        <w:t>Accounts will be sent to the Town’s debt collection agency for issuance of a Final Demand (Agency Letterhead) with a due date of fourteen (14) days. The demand is to be issued by mail and email (if an email exists).</w:t>
      </w:r>
    </w:p>
    <w:p w14:paraId="66C56B27" w14:textId="6F65491F" w:rsidR="0048473F" w:rsidRPr="002E6654" w:rsidRDefault="002E6654" w:rsidP="002E6654">
      <w:pPr>
        <w:pStyle w:val="BodyText"/>
        <w:ind w:left="426" w:right="95"/>
        <w:jc w:val="both"/>
        <w:rPr>
          <w:rFonts w:asciiTheme="minorHAnsi" w:hAnsiTheme="minorHAnsi" w:cstheme="minorHAnsi"/>
        </w:rPr>
      </w:pPr>
      <w:r w:rsidRPr="002E6654">
        <w:rPr>
          <w:rFonts w:asciiTheme="minorHAnsi" w:hAnsiTheme="minorHAnsi" w:cstheme="minorHAnsi"/>
        </w:rPr>
        <w:lastRenderedPageBreak/>
        <w:t>Those accounts with existing action carried over from the previous year will receive a demand from the Town’s solicitors.</w:t>
      </w:r>
    </w:p>
    <w:p w14:paraId="3EACAD7B" w14:textId="77777777" w:rsidR="0048473F" w:rsidRPr="00E9055C" w:rsidRDefault="0048473F" w:rsidP="00E9055C">
      <w:pPr>
        <w:spacing w:after="0" w:line="240" w:lineRule="auto"/>
        <w:ind w:left="426"/>
        <w:rPr>
          <w:b/>
          <w:i/>
        </w:rPr>
      </w:pPr>
      <w:r w:rsidRPr="00E9055C">
        <w:rPr>
          <w:b/>
          <w:i/>
        </w:rPr>
        <w:t xml:space="preserve">Seizure of Rent for </w:t>
      </w:r>
      <w:proofErr w:type="gramStart"/>
      <w:r w:rsidRPr="00E9055C">
        <w:rPr>
          <w:b/>
          <w:i/>
        </w:rPr>
        <w:t>Non Payment</w:t>
      </w:r>
      <w:proofErr w:type="gramEnd"/>
      <w:r w:rsidRPr="00E9055C">
        <w:rPr>
          <w:b/>
          <w:i/>
        </w:rPr>
        <w:t xml:space="preserve"> of Rates</w:t>
      </w:r>
    </w:p>
    <w:p w14:paraId="01881A42" w14:textId="77777777" w:rsidR="0048473F" w:rsidRDefault="0048473F" w:rsidP="00E9055C">
      <w:pPr>
        <w:spacing w:line="240" w:lineRule="auto"/>
        <w:ind w:left="426"/>
        <w:jc w:val="both"/>
      </w:pPr>
      <w:r>
        <w:t xml:space="preserve">Where the property owner of a leased or rented property on which Rates and Service Charges are outstanding cannot be located or refuses to settle Rates and Service Charges owed, a Notice may be served on the lessee or tenant under the provisions of Section </w:t>
      </w:r>
      <w:r>
        <w:rPr>
          <w:i/>
        </w:rPr>
        <w:t xml:space="preserve">6.60 of the Local Government Act 1995 </w:t>
      </w:r>
      <w:r>
        <w:t>requiring the lessee or tenant to pay to the Town the rent due that they would</w:t>
      </w:r>
      <w:r>
        <w:rPr>
          <w:spacing w:val="-4"/>
        </w:rPr>
        <w:t xml:space="preserve"> </w:t>
      </w:r>
      <w:r>
        <w:t>otherwise</w:t>
      </w:r>
      <w:r>
        <w:rPr>
          <w:spacing w:val="-3"/>
        </w:rPr>
        <w:t xml:space="preserve"> </w:t>
      </w:r>
      <w:r>
        <w:t>pay</w:t>
      </w:r>
      <w:r>
        <w:rPr>
          <w:spacing w:val="-3"/>
        </w:rPr>
        <w:t xml:space="preserve"> </w:t>
      </w:r>
      <w:r>
        <w:t>under</w:t>
      </w:r>
      <w:r>
        <w:rPr>
          <w:spacing w:val="-5"/>
        </w:rPr>
        <w:t xml:space="preserve"> </w:t>
      </w:r>
      <w:r>
        <w:t>the</w:t>
      </w:r>
      <w:r>
        <w:rPr>
          <w:spacing w:val="-2"/>
        </w:rPr>
        <w:t xml:space="preserve"> </w:t>
      </w:r>
      <w:r>
        <w:t>lease/tenancy</w:t>
      </w:r>
      <w:r>
        <w:rPr>
          <w:spacing w:val="-3"/>
        </w:rPr>
        <w:t xml:space="preserve"> </w:t>
      </w:r>
      <w:r>
        <w:t>agreement</w:t>
      </w:r>
      <w:r>
        <w:rPr>
          <w:spacing w:val="-3"/>
        </w:rPr>
        <w:t xml:space="preserve"> </w:t>
      </w:r>
      <w:r>
        <w:t>as</w:t>
      </w:r>
      <w:r>
        <w:rPr>
          <w:spacing w:val="-3"/>
        </w:rPr>
        <w:t xml:space="preserve"> </w:t>
      </w:r>
      <w:r>
        <w:t>it</w:t>
      </w:r>
      <w:r>
        <w:rPr>
          <w:spacing w:val="-2"/>
        </w:rPr>
        <w:t xml:space="preserve"> </w:t>
      </w:r>
      <w:r>
        <w:t>becomes</w:t>
      </w:r>
      <w:r>
        <w:rPr>
          <w:spacing w:val="-2"/>
        </w:rPr>
        <w:t xml:space="preserve"> </w:t>
      </w:r>
      <w:r>
        <w:t>due,</w:t>
      </w:r>
      <w:r>
        <w:rPr>
          <w:spacing w:val="-3"/>
        </w:rPr>
        <w:t xml:space="preserve"> </w:t>
      </w:r>
      <w:r>
        <w:t>until</w:t>
      </w:r>
      <w:r>
        <w:rPr>
          <w:spacing w:val="-3"/>
        </w:rPr>
        <w:t xml:space="preserve"> </w:t>
      </w:r>
      <w:r>
        <w:t>the</w:t>
      </w:r>
      <w:r>
        <w:rPr>
          <w:spacing w:val="-2"/>
        </w:rPr>
        <w:t xml:space="preserve"> </w:t>
      </w:r>
      <w:r>
        <w:t>amount</w:t>
      </w:r>
      <w:r>
        <w:rPr>
          <w:spacing w:val="-3"/>
        </w:rPr>
        <w:t xml:space="preserve"> </w:t>
      </w:r>
      <w:r>
        <w:t>in arrears has been</w:t>
      </w:r>
      <w:r>
        <w:rPr>
          <w:spacing w:val="-2"/>
        </w:rPr>
        <w:t xml:space="preserve"> </w:t>
      </w:r>
      <w:r>
        <w:t>paid.</w:t>
      </w:r>
    </w:p>
    <w:p w14:paraId="5D640FE5" w14:textId="006E4FDD" w:rsidR="0048473F" w:rsidRPr="00FC70A5" w:rsidRDefault="0048473F" w:rsidP="00E9055C">
      <w:pPr>
        <w:spacing w:after="0" w:line="240" w:lineRule="auto"/>
        <w:ind w:left="426"/>
        <w:jc w:val="both"/>
        <w:rPr>
          <w:b/>
          <w:i/>
        </w:rPr>
      </w:pPr>
      <w:r w:rsidRPr="00FC70A5">
        <w:rPr>
          <w:b/>
          <w:i/>
        </w:rPr>
        <w:t xml:space="preserve">Options to recover rates debt where rates </w:t>
      </w:r>
      <w:r w:rsidR="002E6654">
        <w:rPr>
          <w:b/>
          <w:i/>
        </w:rPr>
        <w:t>remain unpaid</w:t>
      </w:r>
    </w:p>
    <w:p w14:paraId="62C2ADB1" w14:textId="77777777" w:rsidR="0048473F" w:rsidRDefault="0048473F" w:rsidP="008B6210">
      <w:pPr>
        <w:spacing w:after="120" w:line="240" w:lineRule="auto"/>
        <w:ind w:left="425"/>
        <w:jc w:val="both"/>
      </w:pPr>
      <w:r>
        <w:t>Under</w:t>
      </w:r>
      <w:r>
        <w:rPr>
          <w:spacing w:val="-12"/>
        </w:rPr>
        <w:t xml:space="preserve"> </w:t>
      </w:r>
      <w:r>
        <w:t>the</w:t>
      </w:r>
      <w:r>
        <w:rPr>
          <w:spacing w:val="-13"/>
        </w:rPr>
        <w:t xml:space="preserve"> </w:t>
      </w:r>
      <w:r>
        <w:t>guidance</w:t>
      </w:r>
      <w:r>
        <w:rPr>
          <w:spacing w:val="-15"/>
        </w:rPr>
        <w:t xml:space="preserve"> </w:t>
      </w:r>
      <w:r>
        <w:t>of</w:t>
      </w:r>
      <w:r>
        <w:rPr>
          <w:spacing w:val="-13"/>
        </w:rPr>
        <w:t xml:space="preserve"> </w:t>
      </w:r>
      <w:r>
        <w:t>the</w:t>
      </w:r>
      <w:r>
        <w:rPr>
          <w:spacing w:val="-12"/>
        </w:rPr>
        <w:t xml:space="preserve"> </w:t>
      </w:r>
      <w:r>
        <w:t>Towns</w:t>
      </w:r>
      <w:r>
        <w:rPr>
          <w:spacing w:val="-13"/>
        </w:rPr>
        <w:t xml:space="preserve"> </w:t>
      </w:r>
      <w:r>
        <w:t>debt</w:t>
      </w:r>
      <w:r>
        <w:rPr>
          <w:spacing w:val="-12"/>
        </w:rPr>
        <w:t xml:space="preserve"> </w:t>
      </w:r>
      <w:r>
        <w:t>collection</w:t>
      </w:r>
      <w:r>
        <w:rPr>
          <w:spacing w:val="-14"/>
        </w:rPr>
        <w:t xml:space="preserve"> </w:t>
      </w:r>
      <w:r>
        <w:t>service</w:t>
      </w:r>
      <w:r>
        <w:rPr>
          <w:spacing w:val="-12"/>
        </w:rPr>
        <w:t xml:space="preserve"> </w:t>
      </w:r>
      <w:r>
        <w:t>provider,</w:t>
      </w:r>
      <w:r>
        <w:rPr>
          <w:spacing w:val="-12"/>
        </w:rPr>
        <w:t xml:space="preserve"> </w:t>
      </w:r>
      <w:r>
        <w:t>legal</w:t>
      </w:r>
      <w:r>
        <w:rPr>
          <w:spacing w:val="-14"/>
        </w:rPr>
        <w:t xml:space="preserve"> </w:t>
      </w:r>
      <w:r>
        <w:t>action</w:t>
      </w:r>
      <w:r>
        <w:rPr>
          <w:spacing w:val="-16"/>
        </w:rPr>
        <w:t xml:space="preserve"> </w:t>
      </w:r>
      <w:r>
        <w:t>may</w:t>
      </w:r>
      <w:r>
        <w:rPr>
          <w:spacing w:val="-14"/>
        </w:rPr>
        <w:t xml:space="preserve"> </w:t>
      </w:r>
      <w:r>
        <w:t>be</w:t>
      </w:r>
      <w:r>
        <w:rPr>
          <w:spacing w:val="-12"/>
        </w:rPr>
        <w:t xml:space="preserve"> </w:t>
      </w:r>
      <w:r>
        <w:t>undertaken to</w:t>
      </w:r>
      <w:r>
        <w:rPr>
          <w:spacing w:val="-2"/>
        </w:rPr>
        <w:t xml:space="preserve"> </w:t>
      </w:r>
      <w:r>
        <w:t>recover</w:t>
      </w:r>
      <w:r>
        <w:rPr>
          <w:spacing w:val="-5"/>
        </w:rPr>
        <w:t xml:space="preserve"> </w:t>
      </w:r>
      <w:r>
        <w:t>outstanding</w:t>
      </w:r>
      <w:r>
        <w:rPr>
          <w:spacing w:val="-3"/>
        </w:rPr>
        <w:t xml:space="preserve"> </w:t>
      </w:r>
      <w:r>
        <w:t>rates</w:t>
      </w:r>
      <w:r>
        <w:rPr>
          <w:spacing w:val="-3"/>
        </w:rPr>
        <w:t xml:space="preserve"> </w:t>
      </w:r>
      <w:r>
        <w:t>and</w:t>
      </w:r>
      <w:r>
        <w:rPr>
          <w:spacing w:val="-3"/>
        </w:rPr>
        <w:t xml:space="preserve"> </w:t>
      </w:r>
      <w:r>
        <w:t>charges.</w:t>
      </w:r>
      <w:r>
        <w:rPr>
          <w:spacing w:val="-3"/>
        </w:rPr>
        <w:t xml:space="preserve"> </w:t>
      </w:r>
      <w:r>
        <w:t>This</w:t>
      </w:r>
      <w:r>
        <w:rPr>
          <w:spacing w:val="-3"/>
        </w:rPr>
        <w:t xml:space="preserve"> </w:t>
      </w:r>
      <w:r>
        <w:t>action</w:t>
      </w:r>
      <w:r>
        <w:rPr>
          <w:spacing w:val="-6"/>
        </w:rPr>
        <w:t xml:space="preserve"> </w:t>
      </w:r>
      <w:r>
        <w:t>may</w:t>
      </w:r>
      <w:r>
        <w:rPr>
          <w:spacing w:val="-2"/>
        </w:rPr>
        <w:t xml:space="preserve"> </w:t>
      </w:r>
      <w:r>
        <w:t>include</w:t>
      </w:r>
      <w:r>
        <w:rPr>
          <w:spacing w:val="-3"/>
        </w:rPr>
        <w:t xml:space="preserve"> </w:t>
      </w:r>
      <w:r>
        <w:t>General</w:t>
      </w:r>
      <w:r>
        <w:rPr>
          <w:spacing w:val="-5"/>
        </w:rPr>
        <w:t xml:space="preserve"> </w:t>
      </w:r>
      <w:r>
        <w:t>Procedure</w:t>
      </w:r>
      <w:r>
        <w:rPr>
          <w:spacing w:val="-3"/>
        </w:rPr>
        <w:t xml:space="preserve"> </w:t>
      </w:r>
      <w:r>
        <w:t>Claims</w:t>
      </w:r>
      <w:r>
        <w:rPr>
          <w:spacing w:val="-2"/>
        </w:rPr>
        <w:t xml:space="preserve"> </w:t>
      </w:r>
      <w:r>
        <w:t xml:space="preserve">and Property Seizure and Sale Orders (Goods). Any costs incurred in undertaking legal action in a Court of competent jurisdiction are recoverable from ratepayers under </w:t>
      </w:r>
      <w:r>
        <w:rPr>
          <w:i/>
        </w:rPr>
        <w:t>section 6.56 of the Local Government Act</w:t>
      </w:r>
      <w:r>
        <w:rPr>
          <w:i/>
          <w:spacing w:val="-3"/>
        </w:rPr>
        <w:t xml:space="preserve"> </w:t>
      </w:r>
      <w:r>
        <w:rPr>
          <w:i/>
        </w:rPr>
        <w:t>1995</w:t>
      </w:r>
      <w:r>
        <w:t>.</w:t>
      </w:r>
    </w:p>
    <w:p w14:paraId="618E3B03" w14:textId="77777777" w:rsidR="0048473F" w:rsidRPr="004B2F85" w:rsidRDefault="0048473F" w:rsidP="00DF397B">
      <w:pPr>
        <w:spacing w:after="0" w:line="240" w:lineRule="auto"/>
        <w:ind w:left="426"/>
        <w:rPr>
          <w:b/>
          <w:i/>
        </w:rPr>
      </w:pPr>
      <w:r w:rsidRPr="004B2F85">
        <w:rPr>
          <w:b/>
          <w:i/>
        </w:rPr>
        <w:t xml:space="preserve">Options to recover rates debt where rates are in arrears for </w:t>
      </w:r>
      <w:proofErr w:type="gramStart"/>
      <w:r w:rsidRPr="004B2F85">
        <w:rPr>
          <w:b/>
          <w:i/>
        </w:rPr>
        <w:t>in excess of</w:t>
      </w:r>
      <w:proofErr w:type="gramEnd"/>
      <w:r w:rsidRPr="004B2F85">
        <w:rPr>
          <w:b/>
          <w:i/>
        </w:rPr>
        <w:t xml:space="preserve"> three (3) years.</w:t>
      </w:r>
    </w:p>
    <w:p w14:paraId="287AC885" w14:textId="77777777" w:rsidR="0048473F" w:rsidRDefault="00DF397B" w:rsidP="00DF397B">
      <w:pPr>
        <w:spacing w:after="0" w:line="240" w:lineRule="auto"/>
        <w:ind w:left="851" w:hanging="426"/>
        <w:jc w:val="both"/>
      </w:pPr>
      <w:r>
        <w:t>(</w:t>
      </w:r>
      <w:proofErr w:type="spellStart"/>
      <w:r>
        <w:t>i</w:t>
      </w:r>
      <w:proofErr w:type="spellEnd"/>
      <w:r>
        <w:t>)</w:t>
      </w:r>
      <w:r>
        <w:tab/>
      </w:r>
      <w:r w:rsidR="0048473F">
        <w:t>Lodging a Caveat on the Title for</w:t>
      </w:r>
      <w:r w:rsidR="0048473F">
        <w:rPr>
          <w:spacing w:val="-10"/>
        </w:rPr>
        <w:t xml:space="preserve"> </w:t>
      </w:r>
      <w:r w:rsidR="0048473F">
        <w:t>Land</w:t>
      </w:r>
    </w:p>
    <w:p w14:paraId="096B5569" w14:textId="77777777" w:rsidR="0048473F" w:rsidRDefault="0048473F" w:rsidP="00DF397B">
      <w:pPr>
        <w:spacing w:after="60" w:line="240" w:lineRule="auto"/>
        <w:ind w:left="851"/>
        <w:jc w:val="both"/>
      </w:pPr>
      <w:r>
        <w:t xml:space="preserve">If rates and service charges which are due to Council in respect of any rateable land have been unpaid for at least three (3) years a caveat may be registered on the title for the land, under the provisions of </w:t>
      </w:r>
      <w:r>
        <w:rPr>
          <w:i/>
        </w:rPr>
        <w:t>Section 6.64 (3) of the Local Government Act 1995</w:t>
      </w:r>
      <w:r>
        <w:t>. The approval of Council is required before this course of action is undertaken.</w:t>
      </w:r>
    </w:p>
    <w:p w14:paraId="75B84E5F" w14:textId="77777777" w:rsidR="0048473F" w:rsidRDefault="00DF397B" w:rsidP="00DF397B">
      <w:pPr>
        <w:spacing w:after="0" w:line="240" w:lineRule="auto"/>
        <w:ind w:left="851" w:hanging="426"/>
        <w:jc w:val="both"/>
      </w:pPr>
      <w:r>
        <w:t>(ii)</w:t>
      </w:r>
      <w:r>
        <w:tab/>
      </w:r>
      <w:r w:rsidR="0048473F">
        <w:t>Sale of</w:t>
      </w:r>
      <w:r w:rsidR="0048473F">
        <w:rPr>
          <w:spacing w:val="-3"/>
        </w:rPr>
        <w:t xml:space="preserve"> </w:t>
      </w:r>
      <w:r w:rsidR="0048473F">
        <w:t>Property</w:t>
      </w:r>
    </w:p>
    <w:p w14:paraId="3AA37950" w14:textId="77777777" w:rsidR="0048473F" w:rsidRDefault="0048473F" w:rsidP="00DF397B">
      <w:pPr>
        <w:spacing w:line="240" w:lineRule="auto"/>
        <w:ind w:left="851"/>
        <w:jc w:val="both"/>
      </w:pPr>
      <w:r>
        <w:t xml:space="preserve">If rates and service charges which are due to Council in respect of any rateable land have been unpaid for at </w:t>
      </w:r>
      <w:proofErr w:type="gramStart"/>
      <w:r>
        <w:t>least  three</w:t>
      </w:r>
      <w:proofErr w:type="gramEnd"/>
      <w:r>
        <w:t xml:space="preserve"> (3) years, Council may take possession of the land under the provisions of </w:t>
      </w:r>
      <w:r>
        <w:rPr>
          <w:i/>
        </w:rPr>
        <w:t>Section 6.64 of the Local Government Act 1995</w:t>
      </w:r>
      <w:r>
        <w:t>. The approval of Council is required to be obtained before this course of action is undertaken.</w:t>
      </w:r>
    </w:p>
    <w:p w14:paraId="2C71D3FF" w14:textId="77777777" w:rsidR="0048473F" w:rsidRPr="00DF397B" w:rsidRDefault="00DF397B" w:rsidP="00DF397B">
      <w:pPr>
        <w:spacing w:after="0" w:line="240" w:lineRule="auto"/>
        <w:ind w:left="426" w:hanging="426"/>
        <w:rPr>
          <w:b/>
        </w:rPr>
      </w:pPr>
      <w:r w:rsidRPr="00DF397B">
        <w:rPr>
          <w:b/>
        </w:rPr>
        <w:t>3.</w:t>
      </w:r>
      <w:r w:rsidRPr="00DF397B">
        <w:rPr>
          <w:b/>
        </w:rPr>
        <w:tab/>
      </w:r>
      <w:r w:rsidR="0048473F" w:rsidRPr="00DF397B">
        <w:rPr>
          <w:b/>
        </w:rPr>
        <w:t xml:space="preserve">Write off Debts </w:t>
      </w:r>
    </w:p>
    <w:p w14:paraId="25DEA0A0" w14:textId="77777777" w:rsidR="0048473F" w:rsidRPr="00CC0D4F" w:rsidRDefault="0048473F" w:rsidP="00DF397B">
      <w:pPr>
        <w:spacing w:line="240" w:lineRule="auto"/>
        <w:ind w:left="426"/>
        <w:jc w:val="both"/>
      </w:pPr>
      <w:r w:rsidRPr="00CC0D4F">
        <w:t xml:space="preserve">The Chief Executive Officer and the Executive Manager Corporate Services have the authority to write-off individual debts up to $500.00 in accordance with Delegation DA76 – Write off Debt, excluding late </w:t>
      </w:r>
      <w:r w:rsidRPr="00CC0D4F">
        <w:rPr>
          <w:rFonts w:cstheme="minorHAnsi"/>
        </w:rPr>
        <w:t>payment interest and Service Charges applicable to the Emergency Services Levy</w:t>
      </w:r>
      <w:r w:rsidRPr="00CC0D4F">
        <w:t>.</w:t>
      </w:r>
    </w:p>
    <w:p w14:paraId="68C4DC6F" w14:textId="77777777" w:rsidR="0048473F" w:rsidRPr="00CC0D4F" w:rsidRDefault="00DF397B" w:rsidP="00DF397B">
      <w:pPr>
        <w:spacing w:after="0" w:line="240" w:lineRule="auto"/>
        <w:ind w:left="425" w:hanging="425"/>
        <w:jc w:val="both"/>
        <w:rPr>
          <w:rFonts w:cstheme="minorHAnsi"/>
          <w:b/>
        </w:rPr>
      </w:pPr>
      <w:r>
        <w:rPr>
          <w:rFonts w:cstheme="minorHAnsi"/>
          <w:b/>
        </w:rPr>
        <w:t>4.</w:t>
      </w:r>
      <w:r>
        <w:rPr>
          <w:rFonts w:cstheme="minorHAnsi"/>
          <w:b/>
        </w:rPr>
        <w:tab/>
      </w:r>
      <w:r w:rsidR="0048473F" w:rsidRPr="00CC0D4F">
        <w:rPr>
          <w:rFonts w:cstheme="minorHAnsi"/>
          <w:b/>
        </w:rPr>
        <w:t xml:space="preserve">Financial Hardship </w:t>
      </w:r>
    </w:p>
    <w:p w14:paraId="63498502" w14:textId="77777777" w:rsidR="0048473F" w:rsidRPr="00CC0D4F" w:rsidRDefault="0048473F" w:rsidP="00DF397B">
      <w:pPr>
        <w:spacing w:after="60" w:line="240" w:lineRule="auto"/>
        <w:ind w:left="425"/>
        <w:jc w:val="both"/>
        <w:rPr>
          <w:rFonts w:cstheme="minorHAnsi"/>
        </w:rPr>
      </w:pPr>
      <w:r w:rsidRPr="00CC0D4F">
        <w:rPr>
          <w:rFonts w:cstheme="minorHAnsi"/>
        </w:rPr>
        <w:t>While evidence of hardship will be required, the Town recognises that not all circumstances are alike. The Town will consider a range of individual circumstances including, but not limited to, the following situations:</w:t>
      </w:r>
    </w:p>
    <w:p w14:paraId="16809324" w14:textId="77777777" w:rsidR="0048473F" w:rsidRPr="00DF397B" w:rsidRDefault="0048473F" w:rsidP="002A3889">
      <w:pPr>
        <w:pStyle w:val="ListParagraph"/>
        <w:numPr>
          <w:ilvl w:val="0"/>
          <w:numId w:val="428"/>
        </w:numPr>
        <w:spacing w:after="0" w:line="240" w:lineRule="auto"/>
        <w:ind w:hanging="294"/>
        <w:jc w:val="both"/>
        <w:rPr>
          <w:rFonts w:cstheme="minorHAnsi"/>
        </w:rPr>
      </w:pPr>
      <w:r w:rsidRPr="00DF397B">
        <w:rPr>
          <w:rFonts w:cstheme="minorHAnsi"/>
        </w:rPr>
        <w:t>Recent unemployment or under-employment.</w:t>
      </w:r>
    </w:p>
    <w:p w14:paraId="5D9997C1" w14:textId="77777777" w:rsidR="0048473F" w:rsidRPr="00DF397B" w:rsidRDefault="0048473F" w:rsidP="002A3889">
      <w:pPr>
        <w:pStyle w:val="ListParagraph"/>
        <w:numPr>
          <w:ilvl w:val="0"/>
          <w:numId w:val="428"/>
        </w:numPr>
        <w:spacing w:after="0" w:line="240" w:lineRule="auto"/>
        <w:ind w:hanging="294"/>
        <w:jc w:val="both"/>
        <w:rPr>
          <w:rFonts w:cstheme="minorHAnsi"/>
        </w:rPr>
      </w:pPr>
      <w:r w:rsidRPr="00DF397B">
        <w:rPr>
          <w:rFonts w:cstheme="minorHAnsi"/>
        </w:rPr>
        <w:t xml:space="preserve">Sickness or recovery from sickness. </w:t>
      </w:r>
    </w:p>
    <w:p w14:paraId="685FB27C" w14:textId="77777777" w:rsidR="0048473F" w:rsidRPr="00DF397B" w:rsidRDefault="0048473F" w:rsidP="002A3889">
      <w:pPr>
        <w:pStyle w:val="ListParagraph"/>
        <w:numPr>
          <w:ilvl w:val="0"/>
          <w:numId w:val="428"/>
        </w:numPr>
        <w:spacing w:line="240" w:lineRule="auto"/>
        <w:ind w:hanging="294"/>
        <w:jc w:val="both"/>
        <w:rPr>
          <w:rFonts w:cstheme="minorHAnsi"/>
        </w:rPr>
      </w:pPr>
      <w:r w:rsidRPr="00DF397B">
        <w:rPr>
          <w:rFonts w:cstheme="minorHAnsi"/>
        </w:rPr>
        <w:t xml:space="preserve">Low income or loss of income. </w:t>
      </w:r>
    </w:p>
    <w:p w14:paraId="3A4F240D" w14:textId="77777777" w:rsidR="0048473F" w:rsidRPr="00DF397B" w:rsidRDefault="0048473F" w:rsidP="002A3889">
      <w:pPr>
        <w:pStyle w:val="ListParagraph"/>
        <w:numPr>
          <w:ilvl w:val="0"/>
          <w:numId w:val="428"/>
        </w:numPr>
        <w:spacing w:line="240" w:lineRule="auto"/>
        <w:ind w:hanging="294"/>
        <w:jc w:val="both"/>
        <w:rPr>
          <w:rFonts w:cstheme="minorHAnsi"/>
        </w:rPr>
      </w:pPr>
      <w:r w:rsidRPr="00DF397B">
        <w:rPr>
          <w:rFonts w:cstheme="minorHAnsi"/>
        </w:rPr>
        <w:t xml:space="preserve">Unanticipated circumstances such as caring for and supporting extended family.  </w:t>
      </w:r>
    </w:p>
    <w:p w14:paraId="0926DADF" w14:textId="22FA8D28" w:rsidR="0048473F" w:rsidRDefault="0048473F" w:rsidP="00BE3751">
      <w:pPr>
        <w:spacing w:after="120" w:line="240" w:lineRule="auto"/>
        <w:ind w:left="425"/>
        <w:jc w:val="both"/>
        <w:rPr>
          <w:rFonts w:cstheme="minorHAnsi"/>
        </w:rPr>
      </w:pPr>
      <w:r w:rsidRPr="00CC0D4F">
        <w:rPr>
          <w:rFonts w:cstheme="minorHAnsi"/>
        </w:rPr>
        <w:t xml:space="preserve">Ratepayers will be required to provide information about their individual circumstances that may be relevant. This includes demonstrating a capacity to make some payment where possible and </w:t>
      </w:r>
      <w:proofErr w:type="gramStart"/>
      <w:r w:rsidRPr="00CC0D4F">
        <w:rPr>
          <w:rFonts w:cstheme="minorHAnsi"/>
        </w:rPr>
        <w:t>entering into</w:t>
      </w:r>
      <w:proofErr w:type="gramEnd"/>
      <w:r w:rsidRPr="00CC0D4F">
        <w:rPr>
          <w:rFonts w:cstheme="minorHAnsi"/>
        </w:rPr>
        <w:t xml:space="preserve"> a formal payment arrangement. The Town will consider all circumstances, applying the principles of fairness, integrity and confidentiality whilst complying with all statutory responsibilities.</w:t>
      </w:r>
    </w:p>
    <w:p w14:paraId="409F7E45" w14:textId="77777777" w:rsidR="002E6654" w:rsidRPr="00CC0D4F" w:rsidRDefault="002E6654" w:rsidP="00BE3751">
      <w:pPr>
        <w:pStyle w:val="Default"/>
        <w:spacing w:after="200"/>
        <w:ind w:left="426" w:right="-46"/>
        <w:jc w:val="both"/>
        <w:rPr>
          <w:rFonts w:asciiTheme="minorHAnsi" w:hAnsiTheme="minorHAnsi" w:cstheme="minorHAnsi"/>
          <w:color w:val="auto"/>
          <w:sz w:val="22"/>
          <w:szCs w:val="22"/>
        </w:rPr>
      </w:pPr>
      <w:r w:rsidRPr="00CC0D4F">
        <w:rPr>
          <w:rFonts w:asciiTheme="minorHAnsi" w:hAnsiTheme="minorHAnsi" w:cstheme="minorHAnsi"/>
          <w:color w:val="auto"/>
          <w:sz w:val="22"/>
          <w:szCs w:val="22"/>
        </w:rPr>
        <w:t>Where a ratepayer meets the Financial Hardship Criteria</w:t>
      </w:r>
      <w:r>
        <w:rPr>
          <w:rFonts w:asciiTheme="minorHAnsi" w:hAnsiTheme="minorHAnsi" w:cstheme="minorHAnsi"/>
          <w:color w:val="auto"/>
          <w:sz w:val="22"/>
          <w:szCs w:val="22"/>
        </w:rPr>
        <w:t>,</w:t>
      </w:r>
      <w:r w:rsidRPr="00CC0D4F">
        <w:rPr>
          <w:rFonts w:asciiTheme="minorHAnsi" w:hAnsiTheme="minorHAnsi" w:cstheme="minorHAnsi"/>
          <w:color w:val="auto"/>
          <w:sz w:val="22"/>
          <w:szCs w:val="22"/>
        </w:rPr>
        <w:t xml:space="preserve"> payment arrangements will incur a $0 administration fee and the Town reserves the right to waive late penalty interest, excluding the late payment interest and Service Charges applicable to the Emergency Services Levy. </w:t>
      </w:r>
    </w:p>
    <w:p w14:paraId="1457D2A2" w14:textId="77777777" w:rsidR="00AD4E49" w:rsidRDefault="00AD4E49">
      <w:pPr>
        <w:rPr>
          <w:rFonts w:cstheme="minorHAnsi"/>
          <w:b/>
        </w:rPr>
      </w:pPr>
      <w:r>
        <w:rPr>
          <w:rFonts w:cstheme="minorHAnsi"/>
          <w:b/>
        </w:rPr>
        <w:br w:type="page"/>
      </w:r>
    </w:p>
    <w:p w14:paraId="32A74FD0" w14:textId="587ED254" w:rsidR="0048473F" w:rsidRPr="00DF397B" w:rsidRDefault="00DF397B" w:rsidP="00DF397B">
      <w:pPr>
        <w:spacing w:line="240" w:lineRule="auto"/>
        <w:ind w:left="426" w:hanging="426"/>
        <w:contextualSpacing/>
        <w:jc w:val="both"/>
        <w:rPr>
          <w:rFonts w:cstheme="minorHAnsi"/>
          <w:b/>
        </w:rPr>
      </w:pPr>
      <w:r w:rsidRPr="00DF397B">
        <w:rPr>
          <w:rFonts w:cstheme="minorHAnsi"/>
          <w:b/>
        </w:rPr>
        <w:lastRenderedPageBreak/>
        <w:t>5.</w:t>
      </w:r>
      <w:r w:rsidRPr="00DF397B">
        <w:rPr>
          <w:rFonts w:cstheme="minorHAnsi"/>
          <w:b/>
        </w:rPr>
        <w:tab/>
      </w:r>
      <w:r w:rsidR="0048473F" w:rsidRPr="00DF397B">
        <w:rPr>
          <w:rFonts w:cstheme="minorHAnsi"/>
          <w:b/>
        </w:rPr>
        <w:t>Payment Arrangements</w:t>
      </w:r>
    </w:p>
    <w:p w14:paraId="57ADBE3F" w14:textId="617EEB94" w:rsidR="0048473F" w:rsidRPr="00CC0D4F" w:rsidRDefault="0048473F" w:rsidP="008B6210">
      <w:pPr>
        <w:spacing w:after="120" w:line="240" w:lineRule="auto"/>
        <w:ind w:left="425"/>
        <w:jc w:val="both"/>
        <w:rPr>
          <w:rFonts w:cstheme="minorHAnsi"/>
        </w:rPr>
      </w:pPr>
      <w:r w:rsidRPr="00CC0D4F">
        <w:rPr>
          <w:rFonts w:cstheme="minorHAnsi"/>
        </w:rPr>
        <w:t xml:space="preserve">Payment arrangements are facilitated in accordance with </w:t>
      </w:r>
      <w:r w:rsidRPr="00CC0D4F">
        <w:rPr>
          <w:rFonts w:cstheme="minorHAnsi"/>
          <w:i/>
        </w:rPr>
        <w:t>Section 6.49 of The Local Government Act 1995</w:t>
      </w:r>
      <w:r w:rsidRPr="00CC0D4F">
        <w:rPr>
          <w:rFonts w:cstheme="minorHAnsi"/>
        </w:rPr>
        <w:t xml:space="preserve"> and will be offered to rate payers in circumstances evident of financial hardship. A payment arrangement must be negotiated to reflect a ratepayer’s capacity to repay outstanding rates and contain the details of the agreed repayment schedule. </w:t>
      </w:r>
    </w:p>
    <w:p w14:paraId="3F684F01" w14:textId="32DD78D4" w:rsidR="0048473F" w:rsidRPr="00CC0D4F" w:rsidRDefault="0048473F" w:rsidP="00DF397B">
      <w:pPr>
        <w:spacing w:line="240" w:lineRule="auto"/>
        <w:ind w:left="426"/>
        <w:contextualSpacing/>
        <w:rPr>
          <w:rFonts w:cstheme="minorHAnsi"/>
          <w:b/>
        </w:rPr>
      </w:pPr>
      <w:r w:rsidRPr="00CC0D4F">
        <w:rPr>
          <w:rFonts w:cstheme="minorHAnsi"/>
          <w:b/>
        </w:rPr>
        <w:t>These payment arrangements will include the following:</w:t>
      </w:r>
    </w:p>
    <w:p w14:paraId="1FABA438" w14:textId="77777777" w:rsidR="0048473F" w:rsidRPr="00CC0D4F" w:rsidRDefault="00DF397B" w:rsidP="00DF397B">
      <w:pPr>
        <w:spacing w:line="240" w:lineRule="auto"/>
        <w:ind w:left="709" w:hanging="283"/>
        <w:contextualSpacing/>
        <w:jc w:val="both"/>
        <w:rPr>
          <w:rFonts w:cstheme="minorHAnsi"/>
        </w:rPr>
      </w:pPr>
      <w:r>
        <w:rPr>
          <w:rFonts w:cstheme="minorHAnsi"/>
        </w:rPr>
        <w:t>1.</w:t>
      </w:r>
      <w:r>
        <w:rPr>
          <w:rFonts w:cstheme="minorHAnsi"/>
        </w:rPr>
        <w:tab/>
      </w:r>
      <w:r w:rsidR="0048473F" w:rsidRPr="00CC0D4F">
        <w:rPr>
          <w:rFonts w:cstheme="minorHAnsi"/>
        </w:rPr>
        <w:t>It is the responsibility of the ratepayer to ensure that the agreed payment amounts are paid on or before the agreed due date.</w:t>
      </w:r>
    </w:p>
    <w:p w14:paraId="16C7BD6E" w14:textId="77777777" w:rsidR="0048473F" w:rsidRPr="00CC0D4F" w:rsidRDefault="00DF397B" w:rsidP="00DF397B">
      <w:pPr>
        <w:spacing w:line="240" w:lineRule="auto"/>
        <w:ind w:left="709" w:hanging="283"/>
        <w:contextualSpacing/>
        <w:jc w:val="both"/>
        <w:rPr>
          <w:rFonts w:cstheme="minorHAnsi"/>
        </w:rPr>
      </w:pPr>
      <w:r>
        <w:rPr>
          <w:rFonts w:cstheme="minorHAnsi"/>
        </w:rPr>
        <w:t>2.</w:t>
      </w:r>
      <w:r>
        <w:rPr>
          <w:rFonts w:cstheme="minorHAnsi"/>
        </w:rPr>
        <w:tab/>
      </w:r>
      <w:r w:rsidR="0048473F" w:rsidRPr="00CC0D4F">
        <w:rPr>
          <w:rFonts w:cstheme="minorHAnsi"/>
        </w:rPr>
        <w:t xml:space="preserve">The Town of East Fremantle requires full payment of the outstanding rates by the end of the financial year. </w:t>
      </w:r>
    </w:p>
    <w:p w14:paraId="07BAEA93" w14:textId="77777777" w:rsidR="0048473F" w:rsidRPr="00CC0D4F" w:rsidRDefault="00DF397B" w:rsidP="00DF397B">
      <w:pPr>
        <w:spacing w:line="240" w:lineRule="auto"/>
        <w:ind w:left="709" w:hanging="283"/>
        <w:contextualSpacing/>
        <w:jc w:val="both"/>
        <w:rPr>
          <w:rFonts w:cstheme="minorHAnsi"/>
        </w:rPr>
      </w:pPr>
      <w:r>
        <w:rPr>
          <w:rFonts w:cstheme="minorHAnsi"/>
        </w:rPr>
        <w:t>3.</w:t>
      </w:r>
      <w:r>
        <w:rPr>
          <w:rFonts w:cstheme="minorHAnsi"/>
        </w:rPr>
        <w:tab/>
      </w:r>
      <w:r w:rsidR="0048473F" w:rsidRPr="00CC0D4F">
        <w:rPr>
          <w:rFonts w:cstheme="minorHAnsi"/>
        </w:rPr>
        <w:t>If a ratepayer requires an extension on this timeframe an end date must be negotiated and approved by the Executive Manager Corporate Services.</w:t>
      </w:r>
    </w:p>
    <w:p w14:paraId="28C5B310" w14:textId="77777777" w:rsidR="0048473F" w:rsidRPr="00CC0D4F" w:rsidRDefault="00DF397B" w:rsidP="00DF397B">
      <w:pPr>
        <w:spacing w:line="240" w:lineRule="auto"/>
        <w:ind w:left="709" w:hanging="284"/>
        <w:jc w:val="both"/>
        <w:rPr>
          <w:rFonts w:cstheme="minorHAnsi"/>
        </w:rPr>
      </w:pPr>
      <w:r>
        <w:rPr>
          <w:rFonts w:cstheme="minorHAnsi"/>
        </w:rPr>
        <w:t>4.</w:t>
      </w:r>
      <w:r>
        <w:rPr>
          <w:rFonts w:cstheme="minorHAnsi"/>
        </w:rPr>
        <w:tab/>
      </w:r>
      <w:r w:rsidR="0048473F" w:rsidRPr="00CC0D4F">
        <w:rPr>
          <w:rFonts w:cstheme="minorHAnsi"/>
        </w:rPr>
        <w:t>The ratepayer will be responsible for informing the Town of any change in circumstance that jeopardises the agreed repayment schedule.</w:t>
      </w:r>
    </w:p>
    <w:p w14:paraId="385EC6DC" w14:textId="2D9E14EE" w:rsidR="0048473F" w:rsidRPr="00CC0D4F" w:rsidRDefault="0048473F" w:rsidP="00BE3751">
      <w:pPr>
        <w:spacing w:line="240" w:lineRule="auto"/>
        <w:ind w:left="425"/>
        <w:jc w:val="both"/>
        <w:rPr>
          <w:rFonts w:cstheme="minorHAnsi"/>
        </w:rPr>
      </w:pPr>
      <w:r w:rsidRPr="00CC0D4F">
        <w:rPr>
          <w:rFonts w:cstheme="minorHAnsi"/>
        </w:rPr>
        <w:t xml:space="preserve">For the purpose of recovering rates and service charges, where a ratepayer </w:t>
      </w:r>
      <w:r w:rsidR="00BE3751">
        <w:rPr>
          <w:rFonts w:cstheme="minorHAnsi"/>
        </w:rPr>
        <w:t xml:space="preserve">defaults on more than two repayments, the payment arrangement will become void and </w:t>
      </w:r>
      <w:r w:rsidRPr="00CC0D4F">
        <w:rPr>
          <w:rFonts w:cstheme="minorHAnsi"/>
        </w:rPr>
        <w:t>be subject to the Town</w:t>
      </w:r>
      <w:r w:rsidR="00BE3751">
        <w:rPr>
          <w:rFonts w:cstheme="minorHAnsi"/>
        </w:rPr>
        <w:t>’</w:t>
      </w:r>
      <w:r w:rsidRPr="00CC0D4F">
        <w:rPr>
          <w:rFonts w:cstheme="minorHAnsi"/>
        </w:rPr>
        <w:t xml:space="preserve">s debt recovery procedures </w:t>
      </w:r>
      <w:proofErr w:type="gramStart"/>
      <w:r w:rsidRPr="00CC0D4F">
        <w:rPr>
          <w:rFonts w:cstheme="minorHAnsi"/>
        </w:rPr>
        <w:t>outlined  in</w:t>
      </w:r>
      <w:proofErr w:type="gramEnd"/>
      <w:r w:rsidRPr="00CC0D4F">
        <w:rPr>
          <w:rFonts w:cstheme="minorHAnsi"/>
        </w:rPr>
        <w:t xml:space="preserve"> this policy . </w:t>
      </w:r>
    </w:p>
    <w:p w14:paraId="26FFA96F" w14:textId="77777777" w:rsidR="0048473F" w:rsidRPr="00DF397B" w:rsidRDefault="00DF397B" w:rsidP="00DF397B">
      <w:pPr>
        <w:spacing w:line="240" w:lineRule="auto"/>
        <w:ind w:left="426" w:hanging="426"/>
        <w:contextualSpacing/>
        <w:rPr>
          <w:b/>
        </w:rPr>
      </w:pPr>
      <w:r w:rsidRPr="00DF397B">
        <w:rPr>
          <w:b/>
        </w:rPr>
        <w:t>6.</w:t>
      </w:r>
      <w:r w:rsidRPr="00DF397B">
        <w:rPr>
          <w:b/>
        </w:rPr>
        <w:tab/>
      </w:r>
      <w:r w:rsidR="0048473F" w:rsidRPr="00DF397B">
        <w:rPr>
          <w:b/>
        </w:rPr>
        <w:t>Management</w:t>
      </w:r>
      <w:r w:rsidR="0048473F" w:rsidRPr="00DF397B">
        <w:rPr>
          <w:b/>
          <w:spacing w:val="-1"/>
        </w:rPr>
        <w:t xml:space="preserve"> </w:t>
      </w:r>
      <w:r w:rsidR="0048473F" w:rsidRPr="00DF397B">
        <w:rPr>
          <w:b/>
        </w:rPr>
        <w:t>Reporting</w:t>
      </w:r>
    </w:p>
    <w:p w14:paraId="3913D40D" w14:textId="77777777" w:rsidR="0048473F" w:rsidRDefault="0048473F" w:rsidP="00DF397B">
      <w:pPr>
        <w:spacing w:line="240" w:lineRule="auto"/>
        <w:ind w:left="426"/>
        <w:contextualSpacing/>
        <w:jc w:val="both"/>
        <w:rPr>
          <w:i/>
        </w:rPr>
      </w:pPr>
      <w:r>
        <w:rPr>
          <w:i/>
        </w:rPr>
        <w:t>Rates Debtors:</w:t>
      </w:r>
    </w:p>
    <w:p w14:paraId="48BAD090" w14:textId="77777777" w:rsidR="0048473F" w:rsidRDefault="0048473F" w:rsidP="008B6210">
      <w:pPr>
        <w:spacing w:after="120" w:line="240" w:lineRule="auto"/>
        <w:ind w:left="425"/>
        <w:jc w:val="both"/>
      </w:pPr>
      <w:r>
        <w:t xml:space="preserve">The Town has adopted a benchmark target of 5% for its outstanding rates ratio. The monthly financial report to Council is to include </w:t>
      </w:r>
      <w:proofErr w:type="gramStart"/>
      <w:r>
        <w:t>a receivables</w:t>
      </w:r>
      <w:proofErr w:type="gramEnd"/>
      <w:r>
        <w:t xml:space="preserve"> note detailing the total amount of rates outstanding, and a breakdown of rates outstanding between one and two years, two and three years, and more than three years. Management </w:t>
      </w:r>
      <w:proofErr w:type="gramStart"/>
      <w:r>
        <w:t>are</w:t>
      </w:r>
      <w:proofErr w:type="gramEnd"/>
      <w:r>
        <w:t xml:space="preserve"> required to maintain a status report of recovery action against all rates in arrears of more than one year.</w:t>
      </w:r>
    </w:p>
    <w:p w14:paraId="41DFF5FC" w14:textId="77777777" w:rsidR="0048473F" w:rsidRDefault="0048473F" w:rsidP="00DF397B">
      <w:pPr>
        <w:spacing w:line="240" w:lineRule="auto"/>
        <w:ind w:left="426"/>
        <w:contextualSpacing/>
        <w:jc w:val="both"/>
        <w:rPr>
          <w:i/>
        </w:rPr>
      </w:pPr>
      <w:r>
        <w:rPr>
          <w:i/>
        </w:rPr>
        <w:t>Sundry Debtors:</w:t>
      </w:r>
    </w:p>
    <w:p w14:paraId="47EC9DF0" w14:textId="77777777" w:rsidR="0048473F" w:rsidRDefault="0048473F" w:rsidP="008B6210">
      <w:pPr>
        <w:spacing w:after="120" w:line="240" w:lineRule="auto"/>
        <w:ind w:left="425"/>
        <w:jc w:val="both"/>
      </w:pPr>
      <w:r>
        <w:t>The Town has adopted a benchmark of less than 10% of sundry debtors exceeding 90 days outstanding. The monthly financial report to Council is to include an aged receivables note detailing the total amount outstanding against current, 30 days, 60 days and 90+ days. Management</w:t>
      </w:r>
      <w:r>
        <w:rPr>
          <w:spacing w:val="-3"/>
        </w:rPr>
        <w:t xml:space="preserve"> </w:t>
      </w:r>
      <w:proofErr w:type="gramStart"/>
      <w:r>
        <w:t>are</w:t>
      </w:r>
      <w:proofErr w:type="gramEnd"/>
      <w:r>
        <w:rPr>
          <w:spacing w:val="-3"/>
        </w:rPr>
        <w:t xml:space="preserve"> </w:t>
      </w:r>
      <w:r>
        <w:t>required</w:t>
      </w:r>
      <w:r>
        <w:rPr>
          <w:spacing w:val="-6"/>
        </w:rPr>
        <w:t xml:space="preserve"> </w:t>
      </w:r>
      <w:r>
        <w:t>to</w:t>
      </w:r>
      <w:r>
        <w:rPr>
          <w:spacing w:val="-4"/>
        </w:rPr>
        <w:t xml:space="preserve"> </w:t>
      </w:r>
      <w:r>
        <w:t>maintain</w:t>
      </w:r>
      <w:r>
        <w:rPr>
          <w:spacing w:val="-4"/>
        </w:rPr>
        <w:t xml:space="preserve"> </w:t>
      </w:r>
      <w:r>
        <w:t>a</w:t>
      </w:r>
      <w:r>
        <w:rPr>
          <w:spacing w:val="-3"/>
        </w:rPr>
        <w:t xml:space="preserve"> </w:t>
      </w:r>
      <w:r>
        <w:t>status</w:t>
      </w:r>
      <w:r>
        <w:rPr>
          <w:spacing w:val="-3"/>
        </w:rPr>
        <w:t xml:space="preserve"> </w:t>
      </w:r>
      <w:r>
        <w:t>report</w:t>
      </w:r>
      <w:r>
        <w:rPr>
          <w:spacing w:val="-8"/>
        </w:rPr>
        <w:t xml:space="preserve"> </w:t>
      </w:r>
      <w:r>
        <w:t>of</w:t>
      </w:r>
      <w:r>
        <w:rPr>
          <w:spacing w:val="-2"/>
        </w:rPr>
        <w:t xml:space="preserve"> </w:t>
      </w:r>
      <w:r>
        <w:t>recovery</w:t>
      </w:r>
      <w:r>
        <w:rPr>
          <w:spacing w:val="-3"/>
        </w:rPr>
        <w:t xml:space="preserve"> </w:t>
      </w:r>
      <w:r>
        <w:t>action</w:t>
      </w:r>
      <w:r>
        <w:rPr>
          <w:spacing w:val="-4"/>
        </w:rPr>
        <w:t xml:space="preserve"> </w:t>
      </w:r>
      <w:r>
        <w:t>against</w:t>
      </w:r>
      <w:r>
        <w:rPr>
          <w:spacing w:val="-3"/>
        </w:rPr>
        <w:t xml:space="preserve"> </w:t>
      </w:r>
      <w:r>
        <w:t>all</w:t>
      </w:r>
      <w:r>
        <w:rPr>
          <w:spacing w:val="-4"/>
        </w:rPr>
        <w:t xml:space="preserve"> </w:t>
      </w:r>
      <w:r>
        <w:t>sundry</w:t>
      </w:r>
      <w:r>
        <w:rPr>
          <w:spacing w:val="-2"/>
        </w:rPr>
        <w:t xml:space="preserve"> </w:t>
      </w:r>
      <w:r>
        <w:t>debts in arrears of more than 90</w:t>
      </w:r>
      <w:r>
        <w:rPr>
          <w:spacing w:val="-10"/>
        </w:rPr>
        <w:t xml:space="preserve"> </w:t>
      </w:r>
      <w:r>
        <w:t>days.</w:t>
      </w:r>
    </w:p>
    <w:p w14:paraId="5B73CE69" w14:textId="77777777" w:rsidR="0048473F" w:rsidRDefault="0048473F" w:rsidP="008B6210">
      <w:pPr>
        <w:spacing w:after="0" w:line="240" w:lineRule="auto"/>
        <w:ind w:left="425"/>
        <w:jc w:val="both"/>
        <w:rPr>
          <w:i/>
        </w:rPr>
      </w:pPr>
      <w:r>
        <w:rPr>
          <w:i/>
        </w:rPr>
        <w:t>Roles and Responsibilities</w:t>
      </w:r>
    </w:p>
    <w:p w14:paraId="04C28444" w14:textId="77777777" w:rsidR="0048473F" w:rsidRDefault="0048473F" w:rsidP="002A3889">
      <w:pPr>
        <w:pStyle w:val="ListParagraph"/>
        <w:widowControl w:val="0"/>
        <w:numPr>
          <w:ilvl w:val="0"/>
          <w:numId w:val="426"/>
        </w:numPr>
        <w:autoSpaceDE w:val="0"/>
        <w:autoSpaceDN w:val="0"/>
        <w:spacing w:after="0" w:line="240" w:lineRule="auto"/>
        <w:ind w:left="709" w:right="-46" w:hanging="283"/>
        <w:jc w:val="both"/>
      </w:pPr>
      <w:r>
        <w:t xml:space="preserve">The Chief Executive Officer shall be responsible for the application of delegations of authority </w:t>
      </w:r>
      <w:proofErr w:type="gramStart"/>
      <w:r>
        <w:t>in regards to</w:t>
      </w:r>
      <w:proofErr w:type="gramEnd"/>
      <w:r>
        <w:t xml:space="preserve"> the</w:t>
      </w:r>
      <w:r>
        <w:rPr>
          <w:spacing w:val="-10"/>
        </w:rPr>
        <w:t xml:space="preserve"> </w:t>
      </w:r>
      <w:r>
        <w:t>Policy.</w:t>
      </w:r>
    </w:p>
    <w:p w14:paraId="3558CA51" w14:textId="77777777" w:rsidR="0048473F" w:rsidRDefault="0048473F" w:rsidP="002A3889">
      <w:pPr>
        <w:pStyle w:val="ListParagraph"/>
        <w:widowControl w:val="0"/>
        <w:numPr>
          <w:ilvl w:val="0"/>
          <w:numId w:val="426"/>
        </w:numPr>
        <w:autoSpaceDE w:val="0"/>
        <w:autoSpaceDN w:val="0"/>
        <w:spacing w:before="2" w:after="0" w:line="240" w:lineRule="auto"/>
        <w:ind w:left="709" w:right="-46" w:hanging="283"/>
        <w:jc w:val="both"/>
      </w:pPr>
      <w:r>
        <w:t xml:space="preserve">The Executive Manager Corporate Services shall be responsible for referring matters to Council </w:t>
      </w:r>
      <w:proofErr w:type="gramStart"/>
      <w:r>
        <w:t>in regards to</w:t>
      </w:r>
      <w:proofErr w:type="gramEnd"/>
      <w:r>
        <w:t xml:space="preserve"> this Policy and the collection of outstanding</w:t>
      </w:r>
      <w:r>
        <w:rPr>
          <w:spacing w:val="-17"/>
        </w:rPr>
        <w:t xml:space="preserve"> </w:t>
      </w:r>
      <w:r>
        <w:t>debts.</w:t>
      </w:r>
    </w:p>
    <w:p w14:paraId="2A56664F" w14:textId="0C95C9A1" w:rsidR="0048473F" w:rsidRDefault="0048473F" w:rsidP="002A3889">
      <w:pPr>
        <w:pStyle w:val="ListParagraph"/>
        <w:widowControl w:val="0"/>
        <w:numPr>
          <w:ilvl w:val="0"/>
          <w:numId w:val="426"/>
        </w:numPr>
        <w:autoSpaceDE w:val="0"/>
        <w:autoSpaceDN w:val="0"/>
        <w:spacing w:before="4" w:after="0" w:line="240" w:lineRule="auto"/>
        <w:ind w:left="709" w:right="-46" w:hanging="283"/>
        <w:jc w:val="both"/>
      </w:pPr>
      <w:r>
        <w:t>The</w:t>
      </w:r>
      <w:r>
        <w:rPr>
          <w:spacing w:val="-8"/>
        </w:rPr>
        <w:t xml:space="preserve"> </w:t>
      </w:r>
      <w:r>
        <w:t>Manager</w:t>
      </w:r>
      <w:r>
        <w:rPr>
          <w:spacing w:val="-8"/>
        </w:rPr>
        <w:t xml:space="preserve"> </w:t>
      </w:r>
      <w:r>
        <w:t>Administration</w:t>
      </w:r>
      <w:r>
        <w:rPr>
          <w:spacing w:val="-9"/>
        </w:rPr>
        <w:t xml:space="preserve"> </w:t>
      </w:r>
      <w:r>
        <w:t>and</w:t>
      </w:r>
      <w:r>
        <w:rPr>
          <w:spacing w:val="-8"/>
        </w:rPr>
        <w:t xml:space="preserve"> </w:t>
      </w:r>
      <w:r>
        <w:t>Finance</w:t>
      </w:r>
      <w:r>
        <w:rPr>
          <w:spacing w:val="-7"/>
        </w:rPr>
        <w:t xml:space="preserve"> </w:t>
      </w:r>
      <w:r>
        <w:t>shall</w:t>
      </w:r>
      <w:r>
        <w:rPr>
          <w:spacing w:val="-8"/>
        </w:rPr>
        <w:t xml:space="preserve"> </w:t>
      </w:r>
      <w:r>
        <w:t>be</w:t>
      </w:r>
      <w:r>
        <w:rPr>
          <w:spacing w:val="-7"/>
        </w:rPr>
        <w:t xml:space="preserve"> </w:t>
      </w:r>
      <w:r>
        <w:t>responsible</w:t>
      </w:r>
      <w:r>
        <w:rPr>
          <w:spacing w:val="-7"/>
        </w:rPr>
        <w:t xml:space="preserve"> </w:t>
      </w:r>
      <w:r>
        <w:t>for</w:t>
      </w:r>
      <w:r>
        <w:rPr>
          <w:spacing w:val="-10"/>
        </w:rPr>
        <w:t xml:space="preserve"> </w:t>
      </w:r>
      <w:r>
        <w:t>the</w:t>
      </w:r>
      <w:r>
        <w:rPr>
          <w:spacing w:val="-8"/>
        </w:rPr>
        <w:t xml:space="preserve"> </w:t>
      </w:r>
      <w:r>
        <w:t>review</w:t>
      </w:r>
      <w:r>
        <w:rPr>
          <w:spacing w:val="-6"/>
        </w:rPr>
        <w:t xml:space="preserve"> </w:t>
      </w:r>
      <w:r>
        <w:t>and</w:t>
      </w:r>
      <w:r>
        <w:rPr>
          <w:spacing w:val="-11"/>
        </w:rPr>
        <w:t xml:space="preserve"> </w:t>
      </w:r>
      <w:r>
        <w:t>monitoring of the operations of the</w:t>
      </w:r>
      <w:r>
        <w:rPr>
          <w:spacing w:val="-6"/>
        </w:rPr>
        <w:t xml:space="preserve"> </w:t>
      </w:r>
      <w:r>
        <w:t>Policy</w:t>
      </w:r>
      <w:r w:rsidR="00BE3751">
        <w:t xml:space="preserve"> (or delegate to the Revenue Officer functions of operation of the Policy)</w:t>
      </w:r>
      <w:r>
        <w:t>.</w:t>
      </w:r>
    </w:p>
    <w:p w14:paraId="4F9FB938" w14:textId="77777777" w:rsidR="0048473F" w:rsidRDefault="0048473F" w:rsidP="002A3889">
      <w:pPr>
        <w:pStyle w:val="ListParagraph"/>
        <w:widowControl w:val="0"/>
        <w:numPr>
          <w:ilvl w:val="0"/>
          <w:numId w:val="426"/>
        </w:numPr>
        <w:autoSpaceDE w:val="0"/>
        <w:autoSpaceDN w:val="0"/>
        <w:spacing w:before="7" w:after="120" w:line="240" w:lineRule="auto"/>
        <w:ind w:left="709" w:hanging="284"/>
        <w:contextualSpacing w:val="0"/>
        <w:jc w:val="both"/>
      </w:pPr>
      <w:r>
        <w:t>The</w:t>
      </w:r>
      <w:r>
        <w:rPr>
          <w:spacing w:val="-3"/>
        </w:rPr>
        <w:t xml:space="preserve"> </w:t>
      </w:r>
      <w:r>
        <w:t>Corporate</w:t>
      </w:r>
      <w:r>
        <w:rPr>
          <w:spacing w:val="-3"/>
        </w:rPr>
        <w:t xml:space="preserve"> </w:t>
      </w:r>
      <w:r>
        <w:t>Service</w:t>
      </w:r>
      <w:r>
        <w:rPr>
          <w:spacing w:val="-5"/>
        </w:rPr>
        <w:t xml:space="preserve"> </w:t>
      </w:r>
      <w:r>
        <w:t>Team</w:t>
      </w:r>
      <w:r>
        <w:rPr>
          <w:spacing w:val="-2"/>
        </w:rPr>
        <w:t xml:space="preserve"> </w:t>
      </w:r>
      <w:r>
        <w:t>shall</w:t>
      </w:r>
      <w:r>
        <w:rPr>
          <w:spacing w:val="-4"/>
        </w:rPr>
        <w:t xml:space="preserve"> </w:t>
      </w:r>
      <w:r>
        <w:t>be</w:t>
      </w:r>
      <w:r>
        <w:rPr>
          <w:spacing w:val="-3"/>
        </w:rPr>
        <w:t xml:space="preserve"> </w:t>
      </w:r>
      <w:r>
        <w:t>responsible</w:t>
      </w:r>
      <w:r>
        <w:rPr>
          <w:spacing w:val="-3"/>
        </w:rPr>
        <w:t xml:space="preserve"> </w:t>
      </w:r>
      <w:r>
        <w:t>for</w:t>
      </w:r>
      <w:r>
        <w:rPr>
          <w:spacing w:val="-2"/>
        </w:rPr>
        <w:t xml:space="preserve"> </w:t>
      </w:r>
      <w:r>
        <w:t>the</w:t>
      </w:r>
      <w:r>
        <w:rPr>
          <w:spacing w:val="-3"/>
        </w:rPr>
        <w:t xml:space="preserve"> </w:t>
      </w:r>
      <w:proofErr w:type="gramStart"/>
      <w:r>
        <w:t>day</w:t>
      </w:r>
      <w:r>
        <w:rPr>
          <w:spacing w:val="-3"/>
        </w:rPr>
        <w:t xml:space="preserve"> </w:t>
      </w:r>
      <w:r>
        <w:t>to</w:t>
      </w:r>
      <w:r>
        <w:rPr>
          <w:spacing w:val="-2"/>
        </w:rPr>
        <w:t xml:space="preserve"> </w:t>
      </w:r>
      <w:r>
        <w:t>day</w:t>
      </w:r>
      <w:proofErr w:type="gramEnd"/>
      <w:r>
        <w:rPr>
          <w:spacing w:val="-5"/>
        </w:rPr>
        <w:t xml:space="preserve"> </w:t>
      </w:r>
      <w:r>
        <w:t>operations</w:t>
      </w:r>
      <w:r>
        <w:rPr>
          <w:spacing w:val="-6"/>
        </w:rPr>
        <w:t xml:space="preserve"> </w:t>
      </w:r>
      <w:r>
        <w:t>of</w:t>
      </w:r>
      <w:r>
        <w:rPr>
          <w:spacing w:val="-5"/>
        </w:rPr>
        <w:t xml:space="preserve"> </w:t>
      </w:r>
      <w:r>
        <w:t>the</w:t>
      </w:r>
      <w:r>
        <w:rPr>
          <w:spacing w:val="-3"/>
        </w:rPr>
        <w:t xml:space="preserve"> </w:t>
      </w:r>
      <w:r>
        <w:t>Policy.</w:t>
      </w:r>
    </w:p>
    <w:p w14:paraId="3D916EFD" w14:textId="77777777" w:rsidR="0048473F" w:rsidRPr="008B6210" w:rsidRDefault="008B6210" w:rsidP="008B6210">
      <w:pPr>
        <w:spacing w:after="0" w:line="240" w:lineRule="auto"/>
        <w:ind w:left="425" w:hanging="425"/>
        <w:rPr>
          <w:b/>
        </w:rPr>
      </w:pPr>
      <w:r w:rsidRPr="008B6210">
        <w:rPr>
          <w:b/>
        </w:rPr>
        <w:t>7.</w:t>
      </w:r>
      <w:r w:rsidRPr="008B6210">
        <w:rPr>
          <w:b/>
        </w:rPr>
        <w:tab/>
      </w:r>
      <w:r w:rsidR="0048473F" w:rsidRPr="008B6210">
        <w:rPr>
          <w:b/>
        </w:rPr>
        <w:t>Legislation</w:t>
      </w:r>
    </w:p>
    <w:p w14:paraId="0F5BAAFE" w14:textId="77777777" w:rsidR="0048473F" w:rsidRDefault="0048473F" w:rsidP="002A3889">
      <w:pPr>
        <w:pStyle w:val="ListParagraph"/>
        <w:widowControl w:val="0"/>
        <w:numPr>
          <w:ilvl w:val="0"/>
          <w:numId w:val="425"/>
        </w:numPr>
        <w:autoSpaceDE w:val="0"/>
        <w:autoSpaceDN w:val="0"/>
        <w:spacing w:before="41" w:after="0" w:line="240" w:lineRule="auto"/>
        <w:ind w:left="709" w:right="-46" w:hanging="283"/>
        <w:jc w:val="both"/>
      </w:pPr>
      <w:r>
        <w:t>Local</w:t>
      </w:r>
      <w:r w:rsidRPr="00AC3C63">
        <w:rPr>
          <w:spacing w:val="-4"/>
        </w:rPr>
        <w:t xml:space="preserve"> </w:t>
      </w:r>
      <w:r>
        <w:t>Government</w:t>
      </w:r>
      <w:r w:rsidRPr="00AC3C63">
        <w:rPr>
          <w:spacing w:val="-1"/>
        </w:rPr>
        <w:t xml:space="preserve"> </w:t>
      </w:r>
      <w:r>
        <w:t>Act</w:t>
      </w:r>
      <w:r w:rsidRPr="00AC3C63">
        <w:rPr>
          <w:spacing w:val="-2"/>
        </w:rPr>
        <w:t xml:space="preserve"> </w:t>
      </w:r>
      <w:r>
        <w:t>1995:</w:t>
      </w:r>
      <w:r w:rsidRPr="00AC3C63">
        <w:rPr>
          <w:spacing w:val="-3"/>
        </w:rPr>
        <w:t xml:space="preserve"> </w:t>
      </w:r>
      <w:r>
        <w:t>Part</w:t>
      </w:r>
      <w:r w:rsidRPr="00AC3C63">
        <w:rPr>
          <w:spacing w:val="-2"/>
        </w:rPr>
        <w:t xml:space="preserve"> </w:t>
      </w:r>
      <w:r>
        <w:t>6,</w:t>
      </w:r>
      <w:r w:rsidRPr="00AC3C63">
        <w:rPr>
          <w:spacing w:val="-3"/>
        </w:rPr>
        <w:t xml:space="preserve"> </w:t>
      </w:r>
      <w:r>
        <w:t>Division</w:t>
      </w:r>
      <w:r w:rsidRPr="00AC3C63">
        <w:rPr>
          <w:spacing w:val="-4"/>
        </w:rPr>
        <w:t xml:space="preserve"> </w:t>
      </w:r>
      <w:r>
        <w:t>4,</w:t>
      </w:r>
      <w:r w:rsidRPr="00AC3C63">
        <w:rPr>
          <w:spacing w:val="-4"/>
        </w:rPr>
        <w:t xml:space="preserve"> </w:t>
      </w:r>
      <w:r>
        <w:t>Clause</w:t>
      </w:r>
      <w:r w:rsidRPr="00AC3C63">
        <w:rPr>
          <w:spacing w:val="-5"/>
        </w:rPr>
        <w:t xml:space="preserve"> </w:t>
      </w:r>
      <w:r>
        <w:t>6.13</w:t>
      </w:r>
      <w:r w:rsidRPr="00AC3C63">
        <w:rPr>
          <w:spacing w:val="2"/>
        </w:rPr>
        <w:t xml:space="preserve"> </w:t>
      </w:r>
      <w:r>
        <w:t>-</w:t>
      </w:r>
      <w:r w:rsidRPr="00AC3C63">
        <w:rPr>
          <w:spacing w:val="-1"/>
        </w:rPr>
        <w:t xml:space="preserve"> </w:t>
      </w:r>
      <w:r>
        <w:t>Interest</w:t>
      </w:r>
      <w:r w:rsidRPr="00AC3C63">
        <w:rPr>
          <w:spacing w:val="-2"/>
        </w:rPr>
        <w:t xml:space="preserve"> </w:t>
      </w:r>
      <w:r>
        <w:t>on</w:t>
      </w:r>
      <w:r w:rsidRPr="00AC3C63">
        <w:rPr>
          <w:spacing w:val="-4"/>
        </w:rPr>
        <w:t xml:space="preserve"> </w:t>
      </w:r>
      <w:r>
        <w:t>money</w:t>
      </w:r>
      <w:r w:rsidRPr="00AC3C63">
        <w:rPr>
          <w:spacing w:val="-3"/>
        </w:rPr>
        <w:t xml:space="preserve"> </w:t>
      </w:r>
      <w:r>
        <w:t>owing</w:t>
      </w:r>
      <w:r w:rsidRPr="00AC3C63">
        <w:rPr>
          <w:spacing w:val="-3"/>
        </w:rPr>
        <w:t xml:space="preserve"> </w:t>
      </w:r>
      <w:r>
        <w:t xml:space="preserve">to local governments </w:t>
      </w:r>
    </w:p>
    <w:p w14:paraId="4ABB85E6" w14:textId="6964D870" w:rsidR="0048473F" w:rsidRDefault="0048473F" w:rsidP="002A3889">
      <w:pPr>
        <w:pStyle w:val="ListParagraph"/>
        <w:widowControl w:val="0"/>
        <w:numPr>
          <w:ilvl w:val="0"/>
          <w:numId w:val="425"/>
        </w:numPr>
        <w:autoSpaceDE w:val="0"/>
        <w:autoSpaceDN w:val="0"/>
        <w:spacing w:before="41" w:after="0" w:line="240" w:lineRule="auto"/>
        <w:ind w:left="709" w:right="-46" w:hanging="283"/>
        <w:jc w:val="both"/>
      </w:pPr>
      <w:r>
        <w:t>Local Government Act 1995: Part 6, Division 6, Clause 6.45 – Options for payment of rates and service</w:t>
      </w:r>
      <w:r>
        <w:rPr>
          <w:spacing w:val="-2"/>
        </w:rPr>
        <w:t xml:space="preserve"> </w:t>
      </w:r>
      <w:r>
        <w:t>charges</w:t>
      </w:r>
    </w:p>
    <w:p w14:paraId="170CA82A" w14:textId="5CD02E4E" w:rsidR="0048473F" w:rsidRDefault="0048473F" w:rsidP="002A3889">
      <w:pPr>
        <w:pStyle w:val="ListParagraph"/>
        <w:widowControl w:val="0"/>
        <w:numPr>
          <w:ilvl w:val="0"/>
          <w:numId w:val="425"/>
        </w:numPr>
        <w:autoSpaceDE w:val="0"/>
        <w:autoSpaceDN w:val="0"/>
        <w:spacing w:after="0" w:line="240" w:lineRule="auto"/>
        <w:ind w:left="709" w:right="-46" w:hanging="283"/>
        <w:jc w:val="both"/>
      </w:pPr>
      <w:r>
        <w:t>Local Government Act 1995: Part 6, Division 6, Clause 6.51 - Accrual of interest on overdue rates or service</w:t>
      </w:r>
      <w:r>
        <w:rPr>
          <w:spacing w:val="-4"/>
        </w:rPr>
        <w:t xml:space="preserve"> </w:t>
      </w:r>
      <w:r>
        <w:t>charges</w:t>
      </w:r>
    </w:p>
    <w:p w14:paraId="5B9C2467" w14:textId="398D5C93" w:rsidR="0048473F" w:rsidRDefault="0048473F" w:rsidP="002A3889">
      <w:pPr>
        <w:pStyle w:val="ListParagraph"/>
        <w:widowControl w:val="0"/>
        <w:numPr>
          <w:ilvl w:val="0"/>
          <w:numId w:val="425"/>
        </w:numPr>
        <w:autoSpaceDE w:val="0"/>
        <w:autoSpaceDN w:val="0"/>
        <w:spacing w:after="0" w:line="240" w:lineRule="auto"/>
        <w:ind w:left="709" w:right="-46" w:hanging="283"/>
        <w:jc w:val="both"/>
      </w:pPr>
      <w:r>
        <w:t>Local Government Act 1995: Part 6, Division 6, Clause 6.56 - Rates or service charges recoverable in</w:t>
      </w:r>
      <w:r>
        <w:rPr>
          <w:spacing w:val="-3"/>
        </w:rPr>
        <w:t xml:space="preserve"> </w:t>
      </w:r>
      <w:r>
        <w:t>court</w:t>
      </w:r>
    </w:p>
    <w:p w14:paraId="102D78C2" w14:textId="7F253F00" w:rsidR="0048473F" w:rsidRDefault="0048473F" w:rsidP="002A3889">
      <w:pPr>
        <w:pStyle w:val="ListParagraph"/>
        <w:widowControl w:val="0"/>
        <w:numPr>
          <w:ilvl w:val="0"/>
          <w:numId w:val="425"/>
        </w:numPr>
        <w:autoSpaceDE w:val="0"/>
        <w:autoSpaceDN w:val="0"/>
        <w:spacing w:after="0" w:line="240" w:lineRule="auto"/>
        <w:ind w:left="709" w:right="95" w:hanging="283"/>
        <w:jc w:val="both"/>
      </w:pPr>
      <w:r>
        <w:t xml:space="preserve">Local Government Act 1995: Part 6, Division 6, Clause 6.60 - Local government may require </w:t>
      </w:r>
      <w:r>
        <w:lastRenderedPageBreak/>
        <w:t>lessee to pay</w:t>
      </w:r>
      <w:r>
        <w:rPr>
          <w:spacing w:val="-1"/>
        </w:rPr>
        <w:t xml:space="preserve"> </w:t>
      </w:r>
      <w:r>
        <w:t>rent</w:t>
      </w:r>
    </w:p>
    <w:p w14:paraId="3B7E6F30" w14:textId="52EEEDC4" w:rsidR="0048473F" w:rsidRDefault="0048473F" w:rsidP="002A3889">
      <w:pPr>
        <w:pStyle w:val="ListParagraph"/>
        <w:widowControl w:val="0"/>
        <w:numPr>
          <w:ilvl w:val="0"/>
          <w:numId w:val="425"/>
        </w:numPr>
        <w:autoSpaceDE w:val="0"/>
        <w:autoSpaceDN w:val="0"/>
        <w:spacing w:after="0" w:line="240" w:lineRule="auto"/>
        <w:ind w:left="709" w:right="95" w:hanging="283"/>
        <w:jc w:val="both"/>
      </w:pPr>
      <w:r>
        <w:t>Local</w:t>
      </w:r>
      <w:r>
        <w:rPr>
          <w:spacing w:val="-8"/>
        </w:rPr>
        <w:t xml:space="preserve"> </w:t>
      </w:r>
      <w:r>
        <w:t>Government</w:t>
      </w:r>
      <w:r>
        <w:rPr>
          <w:spacing w:val="-4"/>
        </w:rPr>
        <w:t xml:space="preserve"> </w:t>
      </w:r>
      <w:r>
        <w:t>Act</w:t>
      </w:r>
      <w:r>
        <w:rPr>
          <w:spacing w:val="-7"/>
        </w:rPr>
        <w:t xml:space="preserve"> </w:t>
      </w:r>
      <w:r>
        <w:t>1995:</w:t>
      </w:r>
      <w:r>
        <w:rPr>
          <w:spacing w:val="-7"/>
        </w:rPr>
        <w:t xml:space="preserve"> </w:t>
      </w:r>
      <w:r>
        <w:t>Part</w:t>
      </w:r>
      <w:r>
        <w:rPr>
          <w:spacing w:val="-7"/>
        </w:rPr>
        <w:t xml:space="preserve"> </w:t>
      </w:r>
      <w:r>
        <w:t>6,</w:t>
      </w:r>
      <w:r>
        <w:rPr>
          <w:spacing w:val="-7"/>
        </w:rPr>
        <w:t xml:space="preserve"> </w:t>
      </w:r>
      <w:r>
        <w:t>Division</w:t>
      </w:r>
      <w:r>
        <w:rPr>
          <w:spacing w:val="-9"/>
        </w:rPr>
        <w:t xml:space="preserve"> </w:t>
      </w:r>
      <w:r>
        <w:t>6,</w:t>
      </w:r>
      <w:r>
        <w:rPr>
          <w:spacing w:val="-7"/>
        </w:rPr>
        <w:t xml:space="preserve"> </w:t>
      </w:r>
      <w:r>
        <w:t>Clause</w:t>
      </w:r>
      <w:r>
        <w:rPr>
          <w:spacing w:val="-7"/>
        </w:rPr>
        <w:t xml:space="preserve"> </w:t>
      </w:r>
      <w:r>
        <w:t>6.64</w:t>
      </w:r>
      <w:r>
        <w:rPr>
          <w:spacing w:val="-3"/>
        </w:rPr>
        <w:t xml:space="preserve"> </w:t>
      </w:r>
      <w:r>
        <w:t>-</w:t>
      </w:r>
      <w:r>
        <w:rPr>
          <w:spacing w:val="-7"/>
        </w:rPr>
        <w:t xml:space="preserve"> </w:t>
      </w:r>
      <w:r>
        <w:t>Actions</w:t>
      </w:r>
      <w:r>
        <w:rPr>
          <w:spacing w:val="-6"/>
        </w:rPr>
        <w:t xml:space="preserve"> </w:t>
      </w:r>
      <w:r>
        <w:t>to</w:t>
      </w:r>
      <w:r>
        <w:rPr>
          <w:spacing w:val="-5"/>
        </w:rPr>
        <w:t xml:space="preserve"> </w:t>
      </w:r>
      <w:r>
        <w:t>be</w:t>
      </w:r>
      <w:r>
        <w:rPr>
          <w:spacing w:val="-4"/>
        </w:rPr>
        <w:t xml:space="preserve"> </w:t>
      </w:r>
      <w:r>
        <w:t>taken</w:t>
      </w:r>
    </w:p>
    <w:p w14:paraId="7C7C4D90" w14:textId="77777777" w:rsidR="0048473F" w:rsidRDefault="0048473F" w:rsidP="002A3889">
      <w:pPr>
        <w:pStyle w:val="ListParagraph"/>
        <w:widowControl w:val="0"/>
        <w:numPr>
          <w:ilvl w:val="0"/>
          <w:numId w:val="425"/>
        </w:numPr>
        <w:autoSpaceDE w:val="0"/>
        <w:autoSpaceDN w:val="0"/>
        <w:spacing w:before="50" w:after="0" w:line="240" w:lineRule="auto"/>
        <w:ind w:left="709" w:right="95" w:hanging="283"/>
        <w:jc w:val="both"/>
      </w:pPr>
      <w:r>
        <w:t>Local Government (Financial Management) Regulations</w:t>
      </w:r>
      <w:r>
        <w:rPr>
          <w:spacing w:val="-4"/>
        </w:rPr>
        <w:t xml:space="preserve"> </w:t>
      </w:r>
      <w:r>
        <w:t>1996</w:t>
      </w:r>
    </w:p>
    <w:p w14:paraId="47B8984E" w14:textId="08385CD5" w:rsidR="0048473F" w:rsidRDefault="0048473F" w:rsidP="002A3889">
      <w:pPr>
        <w:pStyle w:val="ListParagraph"/>
        <w:widowControl w:val="0"/>
        <w:numPr>
          <w:ilvl w:val="0"/>
          <w:numId w:val="425"/>
        </w:numPr>
        <w:autoSpaceDE w:val="0"/>
        <w:autoSpaceDN w:val="0"/>
        <w:spacing w:before="53" w:after="120" w:line="240" w:lineRule="auto"/>
        <w:ind w:left="709" w:hanging="284"/>
        <w:contextualSpacing w:val="0"/>
        <w:jc w:val="both"/>
      </w:pPr>
      <w:r>
        <w:t>Rates and Charges (Rebates and Deferments) Act</w:t>
      </w:r>
      <w:r>
        <w:rPr>
          <w:spacing w:val="-7"/>
        </w:rPr>
        <w:t xml:space="preserve"> </w:t>
      </w:r>
      <w:r>
        <w:t>1992</w:t>
      </w:r>
    </w:p>
    <w:p w14:paraId="754E11E5" w14:textId="77777777" w:rsidR="00AD4E49" w:rsidRDefault="00AD4E49" w:rsidP="00AD4E49">
      <w:pPr>
        <w:widowControl w:val="0"/>
        <w:autoSpaceDE w:val="0"/>
        <w:autoSpaceDN w:val="0"/>
        <w:spacing w:before="53" w:after="120" w:line="240" w:lineRule="auto"/>
        <w:jc w:val="both"/>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42"/>
        <w:gridCol w:w="4420"/>
      </w:tblGrid>
      <w:tr w:rsidR="0048473F" w14:paraId="7F3568CC" w14:textId="77777777" w:rsidTr="008B6210">
        <w:trPr>
          <w:trHeight w:val="268"/>
        </w:trPr>
        <w:tc>
          <w:tcPr>
            <w:tcW w:w="2842" w:type="dxa"/>
          </w:tcPr>
          <w:p w14:paraId="17508DA5" w14:textId="77777777" w:rsidR="0048473F" w:rsidRPr="00F74526" w:rsidRDefault="0048473F" w:rsidP="008B6210">
            <w:pPr>
              <w:pStyle w:val="TableParagraph"/>
              <w:ind w:left="146"/>
              <w:contextualSpacing/>
              <w:jc w:val="both"/>
              <w:rPr>
                <w:rFonts w:asciiTheme="minorHAnsi" w:hAnsiTheme="minorHAnsi" w:cstheme="minorHAnsi"/>
                <w:b/>
              </w:rPr>
            </w:pPr>
            <w:r w:rsidRPr="00F74526">
              <w:rPr>
                <w:rFonts w:asciiTheme="minorHAnsi" w:hAnsiTheme="minorHAnsi" w:cstheme="minorHAnsi"/>
                <w:b/>
              </w:rPr>
              <w:t>Responsible Directorate</w:t>
            </w:r>
          </w:p>
        </w:tc>
        <w:tc>
          <w:tcPr>
            <w:tcW w:w="4420" w:type="dxa"/>
          </w:tcPr>
          <w:p w14:paraId="0856A645" w14:textId="77777777" w:rsidR="0048473F" w:rsidRPr="00F74526" w:rsidRDefault="0048473F" w:rsidP="008B6210">
            <w:pPr>
              <w:pStyle w:val="TableParagraph"/>
              <w:ind w:left="175"/>
              <w:contextualSpacing/>
              <w:jc w:val="both"/>
              <w:rPr>
                <w:rFonts w:asciiTheme="minorHAnsi" w:hAnsiTheme="minorHAnsi" w:cstheme="minorHAnsi"/>
              </w:rPr>
            </w:pPr>
            <w:r w:rsidRPr="00F74526">
              <w:rPr>
                <w:rFonts w:asciiTheme="minorHAnsi" w:hAnsiTheme="minorHAnsi" w:cstheme="minorHAnsi"/>
              </w:rPr>
              <w:t>Corporate Services</w:t>
            </w:r>
          </w:p>
        </w:tc>
      </w:tr>
      <w:tr w:rsidR="0048473F" w14:paraId="49A86A30" w14:textId="77777777" w:rsidTr="008B6210">
        <w:trPr>
          <w:trHeight w:val="269"/>
        </w:trPr>
        <w:tc>
          <w:tcPr>
            <w:tcW w:w="2842" w:type="dxa"/>
          </w:tcPr>
          <w:p w14:paraId="3F02621B" w14:textId="77777777" w:rsidR="0048473F" w:rsidRPr="00F74526" w:rsidRDefault="0048473F" w:rsidP="008B6210">
            <w:pPr>
              <w:pStyle w:val="TableParagraph"/>
              <w:ind w:left="146"/>
              <w:contextualSpacing/>
              <w:jc w:val="both"/>
              <w:rPr>
                <w:rFonts w:asciiTheme="minorHAnsi" w:hAnsiTheme="minorHAnsi" w:cstheme="minorHAnsi"/>
                <w:b/>
              </w:rPr>
            </w:pPr>
            <w:r w:rsidRPr="00F74526">
              <w:rPr>
                <w:rFonts w:asciiTheme="minorHAnsi" w:hAnsiTheme="minorHAnsi" w:cstheme="minorHAnsi"/>
                <w:b/>
              </w:rPr>
              <w:t>Reviewing Officer</w:t>
            </w:r>
          </w:p>
        </w:tc>
        <w:tc>
          <w:tcPr>
            <w:tcW w:w="4420" w:type="dxa"/>
          </w:tcPr>
          <w:p w14:paraId="597A735C" w14:textId="77777777" w:rsidR="0048473F" w:rsidRPr="00F74526" w:rsidRDefault="0048473F" w:rsidP="008B6210">
            <w:pPr>
              <w:pStyle w:val="TableParagraph"/>
              <w:ind w:left="175"/>
              <w:contextualSpacing/>
              <w:jc w:val="both"/>
              <w:rPr>
                <w:rFonts w:asciiTheme="minorHAnsi" w:hAnsiTheme="minorHAnsi" w:cstheme="minorHAnsi"/>
              </w:rPr>
            </w:pPr>
            <w:r w:rsidRPr="00F74526">
              <w:rPr>
                <w:rFonts w:asciiTheme="minorHAnsi" w:hAnsiTheme="minorHAnsi" w:cstheme="minorHAnsi"/>
              </w:rPr>
              <w:t>Executive Manager Corporate Services</w:t>
            </w:r>
          </w:p>
        </w:tc>
      </w:tr>
      <w:tr w:rsidR="0048473F" w14:paraId="0F6856B6" w14:textId="77777777" w:rsidTr="008B6210">
        <w:trPr>
          <w:trHeight w:val="268"/>
        </w:trPr>
        <w:tc>
          <w:tcPr>
            <w:tcW w:w="2842" w:type="dxa"/>
          </w:tcPr>
          <w:p w14:paraId="5CFE7E24" w14:textId="77777777" w:rsidR="0048473F" w:rsidRPr="00F74526" w:rsidRDefault="0048473F" w:rsidP="008B6210">
            <w:pPr>
              <w:pStyle w:val="TableParagraph"/>
              <w:ind w:left="146"/>
              <w:contextualSpacing/>
              <w:jc w:val="both"/>
              <w:rPr>
                <w:rFonts w:asciiTheme="minorHAnsi" w:hAnsiTheme="minorHAnsi" w:cstheme="minorHAnsi"/>
                <w:b/>
              </w:rPr>
            </w:pPr>
            <w:r w:rsidRPr="00F74526">
              <w:rPr>
                <w:rFonts w:asciiTheme="minorHAnsi" w:hAnsiTheme="minorHAnsi" w:cstheme="minorHAnsi"/>
                <w:b/>
              </w:rPr>
              <w:t>Decision Making Authority</w:t>
            </w:r>
          </w:p>
        </w:tc>
        <w:tc>
          <w:tcPr>
            <w:tcW w:w="4420" w:type="dxa"/>
          </w:tcPr>
          <w:p w14:paraId="2A3A0897" w14:textId="77777777" w:rsidR="0048473F" w:rsidRPr="00F74526" w:rsidRDefault="0048473F" w:rsidP="008B6210">
            <w:pPr>
              <w:pStyle w:val="TableParagraph"/>
              <w:ind w:left="175"/>
              <w:contextualSpacing/>
              <w:jc w:val="both"/>
              <w:rPr>
                <w:rFonts w:asciiTheme="minorHAnsi" w:hAnsiTheme="minorHAnsi" w:cstheme="minorHAnsi"/>
              </w:rPr>
            </w:pPr>
            <w:r w:rsidRPr="00F74526">
              <w:rPr>
                <w:rFonts w:asciiTheme="minorHAnsi" w:hAnsiTheme="minorHAnsi" w:cstheme="minorHAnsi"/>
              </w:rPr>
              <w:t>Council</w:t>
            </w:r>
          </w:p>
        </w:tc>
      </w:tr>
      <w:tr w:rsidR="0048473F" w14:paraId="515618A2" w14:textId="77777777" w:rsidTr="008B6210">
        <w:trPr>
          <w:trHeight w:val="270"/>
        </w:trPr>
        <w:tc>
          <w:tcPr>
            <w:tcW w:w="2842" w:type="dxa"/>
          </w:tcPr>
          <w:p w14:paraId="30D32D07" w14:textId="77777777" w:rsidR="0048473F" w:rsidRPr="00F74526" w:rsidRDefault="0048473F" w:rsidP="008B6210">
            <w:pPr>
              <w:pStyle w:val="TableParagraph"/>
              <w:spacing w:before="1"/>
              <w:ind w:left="146"/>
              <w:contextualSpacing/>
              <w:jc w:val="both"/>
              <w:rPr>
                <w:rFonts w:asciiTheme="minorHAnsi" w:hAnsiTheme="minorHAnsi" w:cstheme="minorHAnsi"/>
                <w:b/>
              </w:rPr>
            </w:pPr>
            <w:r w:rsidRPr="00F74526">
              <w:rPr>
                <w:rFonts w:asciiTheme="minorHAnsi" w:hAnsiTheme="minorHAnsi" w:cstheme="minorHAnsi"/>
                <w:b/>
              </w:rPr>
              <w:t>Policy Adopted</w:t>
            </w:r>
          </w:p>
        </w:tc>
        <w:tc>
          <w:tcPr>
            <w:tcW w:w="4420" w:type="dxa"/>
          </w:tcPr>
          <w:p w14:paraId="30734620" w14:textId="77777777" w:rsidR="0048473F" w:rsidRPr="00F74526" w:rsidRDefault="0048473F" w:rsidP="008B6210">
            <w:pPr>
              <w:pStyle w:val="TableParagraph"/>
              <w:spacing w:before="1"/>
              <w:ind w:left="175"/>
              <w:contextualSpacing/>
              <w:jc w:val="both"/>
              <w:rPr>
                <w:rFonts w:asciiTheme="minorHAnsi" w:hAnsiTheme="minorHAnsi" w:cstheme="minorHAnsi"/>
              </w:rPr>
            </w:pPr>
            <w:r w:rsidRPr="00F74526">
              <w:rPr>
                <w:rFonts w:asciiTheme="minorHAnsi" w:hAnsiTheme="minorHAnsi" w:cstheme="minorHAnsi"/>
              </w:rPr>
              <w:t>18/9/18</w:t>
            </w:r>
          </w:p>
        </w:tc>
      </w:tr>
      <w:tr w:rsidR="0048473F" w14:paraId="2EB73311" w14:textId="77777777" w:rsidTr="008B6210">
        <w:trPr>
          <w:trHeight w:val="268"/>
        </w:trPr>
        <w:tc>
          <w:tcPr>
            <w:tcW w:w="2842" w:type="dxa"/>
          </w:tcPr>
          <w:p w14:paraId="6EFBE4FA" w14:textId="77777777" w:rsidR="0048473F" w:rsidRPr="00F74526" w:rsidRDefault="0048473F" w:rsidP="008B6210">
            <w:pPr>
              <w:pStyle w:val="TableParagraph"/>
              <w:ind w:left="146"/>
              <w:contextualSpacing/>
              <w:jc w:val="both"/>
              <w:rPr>
                <w:rFonts w:asciiTheme="minorHAnsi" w:hAnsiTheme="minorHAnsi" w:cstheme="minorHAnsi"/>
                <w:b/>
              </w:rPr>
            </w:pPr>
            <w:r w:rsidRPr="00F74526">
              <w:rPr>
                <w:rFonts w:asciiTheme="minorHAnsi" w:hAnsiTheme="minorHAnsi" w:cstheme="minorHAnsi"/>
                <w:b/>
              </w:rPr>
              <w:t>Policy Amended/Review:</w:t>
            </w:r>
          </w:p>
        </w:tc>
        <w:tc>
          <w:tcPr>
            <w:tcW w:w="4420" w:type="dxa"/>
          </w:tcPr>
          <w:p w14:paraId="508C3AC3" w14:textId="34563317" w:rsidR="0048473F" w:rsidRPr="00F74526" w:rsidRDefault="0048473F" w:rsidP="008B6210">
            <w:pPr>
              <w:pStyle w:val="TableParagraph"/>
              <w:ind w:left="175"/>
              <w:contextualSpacing/>
              <w:jc w:val="both"/>
              <w:rPr>
                <w:rFonts w:asciiTheme="minorHAnsi" w:hAnsiTheme="minorHAnsi" w:cstheme="minorHAnsi"/>
              </w:rPr>
            </w:pPr>
            <w:r w:rsidRPr="00F74526">
              <w:rPr>
                <w:rFonts w:asciiTheme="minorHAnsi" w:hAnsiTheme="minorHAnsi" w:cstheme="minorHAnsi"/>
              </w:rPr>
              <w:t>19/2/19, 17/9/19, 21/04/20</w:t>
            </w:r>
            <w:r w:rsidR="00AD4E49">
              <w:rPr>
                <w:rFonts w:asciiTheme="minorHAnsi" w:hAnsiTheme="minorHAnsi" w:cstheme="minorHAnsi"/>
              </w:rPr>
              <w:t>, 19/7/22</w:t>
            </w:r>
          </w:p>
        </w:tc>
      </w:tr>
      <w:tr w:rsidR="0048473F" w14:paraId="310F09EE" w14:textId="77777777" w:rsidTr="008B6210">
        <w:trPr>
          <w:trHeight w:val="268"/>
        </w:trPr>
        <w:tc>
          <w:tcPr>
            <w:tcW w:w="2842" w:type="dxa"/>
          </w:tcPr>
          <w:p w14:paraId="452EE00D" w14:textId="77777777" w:rsidR="0048473F" w:rsidRPr="00F74526" w:rsidRDefault="0048473F" w:rsidP="008B6210">
            <w:pPr>
              <w:pStyle w:val="TableParagraph"/>
              <w:ind w:left="146"/>
              <w:contextualSpacing/>
              <w:jc w:val="both"/>
              <w:rPr>
                <w:rFonts w:asciiTheme="minorHAnsi" w:hAnsiTheme="minorHAnsi" w:cstheme="minorHAnsi"/>
                <w:b/>
              </w:rPr>
            </w:pPr>
            <w:r w:rsidRPr="00F74526">
              <w:rPr>
                <w:rFonts w:asciiTheme="minorHAnsi" w:hAnsiTheme="minorHAnsi" w:cstheme="minorHAnsi"/>
                <w:b/>
              </w:rPr>
              <w:t>Former Policy No:</w:t>
            </w:r>
          </w:p>
        </w:tc>
        <w:tc>
          <w:tcPr>
            <w:tcW w:w="4420" w:type="dxa"/>
          </w:tcPr>
          <w:p w14:paraId="32563A80" w14:textId="77777777" w:rsidR="0048473F" w:rsidRPr="00F74526" w:rsidRDefault="0048473F" w:rsidP="008B6210">
            <w:pPr>
              <w:pStyle w:val="TableParagraph"/>
              <w:ind w:left="175"/>
              <w:contextualSpacing/>
              <w:jc w:val="both"/>
              <w:rPr>
                <w:rFonts w:asciiTheme="minorHAnsi" w:hAnsiTheme="minorHAnsi" w:cstheme="minorHAnsi"/>
              </w:rPr>
            </w:pPr>
            <w:r w:rsidRPr="00F74526">
              <w:rPr>
                <w:rFonts w:asciiTheme="minorHAnsi" w:hAnsiTheme="minorHAnsi" w:cstheme="minorHAnsi"/>
              </w:rPr>
              <w:t>4.4.2</w:t>
            </w:r>
          </w:p>
        </w:tc>
      </w:tr>
    </w:tbl>
    <w:p w14:paraId="15B6A74A" w14:textId="3F3669EF" w:rsidR="00BE3751" w:rsidRDefault="00BE3751" w:rsidP="00733DE9">
      <w:pPr>
        <w:pStyle w:val="Title"/>
        <w:pBdr>
          <w:bottom w:val="none" w:sz="0" w:space="0" w:color="auto"/>
        </w:pBdr>
        <w:spacing w:after="240"/>
        <w:jc w:val="right"/>
        <w:rPr>
          <w:rFonts w:ascii="Arial" w:hAnsi="Arial" w:cs="Arial"/>
          <w:b/>
          <w:sz w:val="20"/>
          <w:szCs w:val="28"/>
          <w:lang w:val="en-US"/>
        </w:rPr>
      </w:pPr>
    </w:p>
    <w:p w14:paraId="258AC58D" w14:textId="57C96FE3" w:rsidR="00AD4E49" w:rsidRDefault="00AD4E49" w:rsidP="00AD4E49">
      <w:pPr>
        <w:rPr>
          <w:lang w:val="en-US"/>
        </w:rPr>
      </w:pPr>
    </w:p>
    <w:p w14:paraId="65D6441C" w14:textId="77777777" w:rsidR="00AD4E49" w:rsidRPr="00AD4E49" w:rsidRDefault="00AD4E49" w:rsidP="00AD4E49">
      <w:pPr>
        <w:rPr>
          <w:lang w:val="en-US"/>
        </w:rPr>
      </w:pPr>
    </w:p>
    <w:p w14:paraId="79DC572D" w14:textId="77777777" w:rsidR="00BE3751" w:rsidRDefault="00BE3751">
      <w:pPr>
        <w:rPr>
          <w:rFonts w:ascii="Arial" w:eastAsiaTheme="majorEastAsia" w:hAnsi="Arial" w:cs="Arial"/>
          <w:b/>
          <w:color w:val="17365D" w:themeColor="text2" w:themeShade="BF"/>
          <w:spacing w:val="5"/>
          <w:kern w:val="28"/>
          <w:sz w:val="20"/>
          <w:szCs w:val="28"/>
          <w:lang w:val="en-US"/>
        </w:rPr>
      </w:pPr>
      <w:r>
        <w:rPr>
          <w:rFonts w:ascii="Arial" w:hAnsi="Arial" w:cs="Arial"/>
          <w:b/>
          <w:sz w:val="20"/>
          <w:szCs w:val="28"/>
          <w:lang w:val="en-US"/>
        </w:rPr>
        <w:br w:type="page"/>
      </w:r>
    </w:p>
    <w:p w14:paraId="4295EBAE" w14:textId="1B88F393" w:rsidR="00733DE9" w:rsidRDefault="00EF011D" w:rsidP="00CE4C1A">
      <w:pPr>
        <w:pStyle w:val="Title"/>
        <w:pBdr>
          <w:bottom w:val="none" w:sz="0" w:space="0" w:color="auto"/>
        </w:pBdr>
        <w:spacing w:after="240"/>
        <w:jc w:val="right"/>
      </w:pPr>
      <w:r>
        <w:rPr>
          <w:noProof/>
          <w:lang w:eastAsia="en-AU"/>
        </w:rPr>
        <w:lastRenderedPageBreak/>
        <w:drawing>
          <wp:anchor distT="0" distB="0" distL="114300" distR="114300" simplePos="0" relativeHeight="251632640" behindDoc="1" locked="0" layoutInCell="1" allowOverlap="1" wp14:anchorId="4BEACA46" wp14:editId="0C6743D1">
            <wp:simplePos x="0" y="0"/>
            <wp:positionH relativeFrom="margin">
              <wp:align>right</wp:align>
            </wp:positionH>
            <wp:positionV relativeFrom="paragraph">
              <wp:posOffset>19050</wp:posOffset>
            </wp:positionV>
            <wp:extent cx="1744345" cy="699135"/>
            <wp:effectExtent l="0" t="0" r="8255" b="5715"/>
            <wp:wrapTight wrapText="bothSides">
              <wp:wrapPolygon edited="0">
                <wp:start x="0" y="0"/>
                <wp:lineTo x="0" y="21188"/>
                <wp:lineTo x="21466" y="21188"/>
                <wp:lineTo x="21466"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r w:rsidR="00733DE9">
        <w:rPr>
          <w:noProof/>
          <w:lang w:eastAsia="en-AU"/>
        </w:rPr>
        <w:drawing>
          <wp:anchor distT="0" distB="0" distL="114300" distR="114300" simplePos="0" relativeHeight="251707392" behindDoc="1" locked="0" layoutInCell="1" allowOverlap="1" wp14:anchorId="0D58279B" wp14:editId="09F4175D">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467" name="Picture 46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Logo&#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3E9492E2" w14:textId="77777777" w:rsidR="00CE4C1A" w:rsidRDefault="00CE4C1A" w:rsidP="00733DE9"/>
    <w:p w14:paraId="41D4249D" w14:textId="77777777" w:rsidR="00CE4C1A" w:rsidRPr="0082157F" w:rsidRDefault="00CE4C1A" w:rsidP="00CE4C1A">
      <w:pPr>
        <w:pStyle w:val="Policy3"/>
      </w:pPr>
      <w:bookmarkStart w:id="296" w:name="_Toc14942636"/>
      <w:bookmarkStart w:id="297" w:name="_Toc216866683"/>
      <w:r w:rsidRPr="0082157F">
        <w:t>2.1.8</w:t>
      </w:r>
      <w:r w:rsidRPr="0082157F">
        <w:tab/>
        <w:t>Corporate Credit Card</w:t>
      </w:r>
      <w:bookmarkEnd w:id="296"/>
      <w:bookmarkEnd w:id="297"/>
    </w:p>
    <w:tbl>
      <w:tblPr>
        <w:tblStyle w:val="TableGrid"/>
        <w:tblW w:w="0" w:type="auto"/>
        <w:tblLook w:val="04A0" w:firstRow="1" w:lastRow="0" w:firstColumn="1" w:lastColumn="0" w:noHBand="0" w:noVBand="1"/>
      </w:tblPr>
      <w:tblGrid>
        <w:gridCol w:w="3026"/>
        <w:gridCol w:w="5990"/>
      </w:tblGrid>
      <w:tr w:rsidR="00CE4C1A" w:rsidRPr="0046441B" w14:paraId="6F52836A" w14:textId="77777777" w:rsidTr="00DC4B89">
        <w:tc>
          <w:tcPr>
            <w:tcW w:w="3026" w:type="dxa"/>
          </w:tcPr>
          <w:p w14:paraId="028D66B8" w14:textId="77777777" w:rsidR="00CE4C1A" w:rsidRPr="0046441B" w:rsidRDefault="00CE4C1A" w:rsidP="00DC4B89">
            <w:pPr>
              <w:rPr>
                <w:rFonts w:cstheme="minorHAnsi"/>
                <w:b/>
                <w:lang w:val="en-US"/>
              </w:rPr>
            </w:pPr>
            <w:r w:rsidRPr="0046441B">
              <w:rPr>
                <w:rFonts w:cstheme="minorHAnsi"/>
                <w:b/>
                <w:lang w:val="en-US"/>
              </w:rPr>
              <w:t>Type:</w:t>
            </w:r>
          </w:p>
        </w:tc>
        <w:tc>
          <w:tcPr>
            <w:tcW w:w="5990" w:type="dxa"/>
          </w:tcPr>
          <w:p w14:paraId="05AA3F7E" w14:textId="77777777" w:rsidR="00CE4C1A" w:rsidRPr="0046441B" w:rsidRDefault="00CE4C1A" w:rsidP="00DC4B89">
            <w:pPr>
              <w:rPr>
                <w:rFonts w:cstheme="minorHAnsi"/>
                <w:lang w:val="en-US"/>
              </w:rPr>
            </w:pPr>
            <w:r>
              <w:rPr>
                <w:rFonts w:cstheme="minorHAnsi"/>
                <w:lang w:val="en-US"/>
              </w:rPr>
              <w:t>Corporate Services – Financial Management</w:t>
            </w:r>
          </w:p>
        </w:tc>
      </w:tr>
      <w:tr w:rsidR="00CE4C1A" w:rsidRPr="0046441B" w14:paraId="43736701" w14:textId="77777777" w:rsidTr="00DC4B89">
        <w:tc>
          <w:tcPr>
            <w:tcW w:w="3026" w:type="dxa"/>
          </w:tcPr>
          <w:p w14:paraId="4B8864A5" w14:textId="77777777" w:rsidR="00CE4C1A" w:rsidRPr="0046441B" w:rsidRDefault="00CE4C1A" w:rsidP="00DC4B89">
            <w:pPr>
              <w:rPr>
                <w:rFonts w:cstheme="minorHAnsi"/>
                <w:b/>
                <w:lang w:val="en-US"/>
              </w:rPr>
            </w:pPr>
            <w:r w:rsidRPr="0046441B">
              <w:rPr>
                <w:rFonts w:cstheme="minorHAnsi"/>
                <w:b/>
                <w:lang w:val="en-US"/>
              </w:rPr>
              <w:t>Legislation:</w:t>
            </w:r>
          </w:p>
        </w:tc>
        <w:tc>
          <w:tcPr>
            <w:tcW w:w="5990" w:type="dxa"/>
          </w:tcPr>
          <w:p w14:paraId="4A89F544" w14:textId="77777777" w:rsidR="00CE4C1A" w:rsidRPr="0046441B" w:rsidRDefault="00CE4C1A" w:rsidP="00DC4B89">
            <w:pPr>
              <w:rPr>
                <w:rFonts w:cstheme="minorHAnsi"/>
                <w:lang w:val="en-US"/>
              </w:rPr>
            </w:pPr>
            <w:r w:rsidRPr="0046441B">
              <w:rPr>
                <w:rFonts w:cstheme="minorHAnsi"/>
                <w:lang w:val="en-US"/>
              </w:rPr>
              <w:t>Local Government Act 1995</w:t>
            </w:r>
          </w:p>
          <w:p w14:paraId="29931E0D" w14:textId="77777777" w:rsidR="00CE4C1A" w:rsidRPr="0046441B" w:rsidRDefault="00CE4C1A" w:rsidP="00DC4B89">
            <w:pPr>
              <w:rPr>
                <w:rFonts w:cstheme="minorHAnsi"/>
                <w:lang w:val="en-US"/>
              </w:rPr>
            </w:pPr>
            <w:r w:rsidRPr="0046441B">
              <w:rPr>
                <w:rFonts w:cstheme="minorHAnsi"/>
                <w:lang w:val="en-US"/>
              </w:rPr>
              <w:t>Local Government (Administration) Regulations 1996</w:t>
            </w:r>
          </w:p>
          <w:p w14:paraId="0BF4A53A" w14:textId="77777777" w:rsidR="00CE4C1A" w:rsidRPr="0046441B" w:rsidRDefault="00CE4C1A" w:rsidP="00DC4B89">
            <w:pPr>
              <w:rPr>
                <w:rFonts w:cstheme="minorHAnsi"/>
                <w:lang w:val="en-US"/>
              </w:rPr>
            </w:pPr>
            <w:r w:rsidRPr="0046441B">
              <w:rPr>
                <w:rFonts w:cstheme="minorHAnsi"/>
                <w:lang w:val="en-US"/>
              </w:rPr>
              <w:t>Local Government (Functions and General) Regulations 1996</w:t>
            </w:r>
          </w:p>
        </w:tc>
      </w:tr>
      <w:tr w:rsidR="00CE4C1A" w:rsidRPr="0046441B" w14:paraId="551C4694" w14:textId="77777777" w:rsidTr="00DC4B89">
        <w:tc>
          <w:tcPr>
            <w:tcW w:w="3026" w:type="dxa"/>
          </w:tcPr>
          <w:p w14:paraId="3D436F66" w14:textId="77777777" w:rsidR="00CE4C1A" w:rsidRPr="0046441B" w:rsidRDefault="00CE4C1A" w:rsidP="00DC4B89">
            <w:pPr>
              <w:rPr>
                <w:rFonts w:cstheme="minorHAnsi"/>
                <w:b/>
                <w:lang w:val="en-US"/>
              </w:rPr>
            </w:pPr>
            <w:r w:rsidRPr="0046441B">
              <w:rPr>
                <w:rFonts w:cstheme="minorHAnsi"/>
                <w:b/>
                <w:lang w:val="en-US"/>
              </w:rPr>
              <w:t>Delegation:</w:t>
            </w:r>
          </w:p>
        </w:tc>
        <w:tc>
          <w:tcPr>
            <w:tcW w:w="5990" w:type="dxa"/>
          </w:tcPr>
          <w:p w14:paraId="5F157452" w14:textId="77777777" w:rsidR="00CE4C1A" w:rsidRPr="0046441B" w:rsidRDefault="00CE4C1A" w:rsidP="00DC4B89">
            <w:pPr>
              <w:rPr>
                <w:rFonts w:cstheme="minorHAnsi"/>
                <w:lang w:val="en-US"/>
              </w:rPr>
            </w:pPr>
          </w:p>
        </w:tc>
      </w:tr>
      <w:tr w:rsidR="00CE4C1A" w:rsidRPr="0046441B" w14:paraId="7C4A9173" w14:textId="77777777" w:rsidTr="00DC4B89">
        <w:tc>
          <w:tcPr>
            <w:tcW w:w="3026" w:type="dxa"/>
          </w:tcPr>
          <w:p w14:paraId="38CC7EF9" w14:textId="77777777" w:rsidR="00CE4C1A" w:rsidRPr="0046441B" w:rsidRDefault="00CE4C1A" w:rsidP="00DC4B89">
            <w:pPr>
              <w:rPr>
                <w:rFonts w:cstheme="minorHAnsi"/>
                <w:b/>
                <w:lang w:val="en-US"/>
              </w:rPr>
            </w:pPr>
            <w:r w:rsidRPr="0046441B">
              <w:rPr>
                <w:rFonts w:cstheme="minorHAnsi"/>
                <w:b/>
                <w:lang w:val="en-US"/>
              </w:rPr>
              <w:t>Other Related Document:</w:t>
            </w:r>
          </w:p>
        </w:tc>
        <w:tc>
          <w:tcPr>
            <w:tcW w:w="5990" w:type="dxa"/>
          </w:tcPr>
          <w:p w14:paraId="182FDCD1" w14:textId="77777777" w:rsidR="00CE4C1A" w:rsidRPr="0046441B" w:rsidRDefault="00CE4C1A" w:rsidP="00DC4B89">
            <w:pPr>
              <w:rPr>
                <w:rFonts w:cstheme="minorHAnsi"/>
                <w:lang w:val="en-US"/>
              </w:rPr>
            </w:pPr>
            <w:r w:rsidRPr="0046441B">
              <w:rPr>
                <w:rFonts w:cstheme="minorHAnsi"/>
                <w:lang w:val="en-US"/>
              </w:rPr>
              <w:t>Purchasing Policy 2.1.3</w:t>
            </w:r>
          </w:p>
          <w:p w14:paraId="7F3706E7" w14:textId="77777777" w:rsidR="00CE4C1A" w:rsidRPr="0046441B" w:rsidRDefault="00CE4C1A" w:rsidP="00DC4B89">
            <w:pPr>
              <w:rPr>
                <w:rFonts w:cstheme="minorHAnsi"/>
                <w:lang w:val="en-US"/>
              </w:rPr>
            </w:pPr>
            <w:r w:rsidRPr="0046441B">
              <w:rPr>
                <w:rFonts w:cstheme="minorHAnsi"/>
                <w:lang w:val="en-US"/>
              </w:rPr>
              <w:t>Supplier Payments Policy 2.1.6</w:t>
            </w:r>
          </w:p>
          <w:p w14:paraId="7D10C8F8" w14:textId="77777777" w:rsidR="00CE4C1A" w:rsidRPr="0046441B" w:rsidRDefault="00CE4C1A" w:rsidP="00DC4B89">
            <w:pPr>
              <w:rPr>
                <w:rFonts w:cstheme="minorHAnsi"/>
                <w:lang w:val="en-US"/>
              </w:rPr>
            </w:pPr>
            <w:r w:rsidRPr="0046441B">
              <w:rPr>
                <w:rFonts w:cstheme="minorHAnsi"/>
                <w:lang w:val="en-US"/>
              </w:rPr>
              <w:t xml:space="preserve">Corporate Credit Card Procedures </w:t>
            </w:r>
          </w:p>
          <w:p w14:paraId="07FAD872" w14:textId="77777777" w:rsidR="00CE4C1A" w:rsidRPr="0046441B" w:rsidRDefault="00CE4C1A" w:rsidP="00DC4B89">
            <w:pPr>
              <w:rPr>
                <w:rFonts w:cstheme="minorHAnsi"/>
                <w:lang w:val="en-US"/>
              </w:rPr>
            </w:pPr>
            <w:r w:rsidRPr="0046441B">
              <w:rPr>
                <w:rFonts w:cstheme="minorHAnsi"/>
                <w:lang w:val="en-US"/>
              </w:rPr>
              <w:t>Request to use Town Credit Card</w:t>
            </w:r>
          </w:p>
          <w:p w14:paraId="3D4E34C0" w14:textId="77777777" w:rsidR="00CE4C1A" w:rsidRPr="0046441B" w:rsidRDefault="00CE4C1A" w:rsidP="00DC4B89">
            <w:pPr>
              <w:rPr>
                <w:rFonts w:cstheme="minorHAnsi"/>
                <w:lang w:val="en-US"/>
              </w:rPr>
            </w:pPr>
            <w:r w:rsidRPr="0046441B">
              <w:rPr>
                <w:rFonts w:cstheme="minorHAnsi"/>
                <w:lang w:val="en-US"/>
              </w:rPr>
              <w:t>Credit Card Acquittal</w:t>
            </w:r>
          </w:p>
        </w:tc>
      </w:tr>
    </w:tbl>
    <w:p w14:paraId="53BAD19A" w14:textId="77777777" w:rsidR="00CE4C1A" w:rsidRPr="00832CA2" w:rsidRDefault="00CE4C1A" w:rsidP="00CE4C1A">
      <w:pPr>
        <w:spacing w:before="240" w:after="0"/>
        <w:rPr>
          <w:b/>
          <w:sz w:val="28"/>
          <w:szCs w:val="28"/>
          <w:lang w:val="en-US"/>
        </w:rPr>
      </w:pPr>
      <w:r w:rsidRPr="00832CA2">
        <w:rPr>
          <w:b/>
          <w:sz w:val="28"/>
          <w:szCs w:val="28"/>
          <w:lang w:val="en-US"/>
        </w:rPr>
        <w:t>Policy Statement</w:t>
      </w:r>
    </w:p>
    <w:p w14:paraId="4107DF48" w14:textId="77777777" w:rsidR="00CE4C1A" w:rsidRPr="0046441B" w:rsidRDefault="00CE4C1A" w:rsidP="00CE4C1A">
      <w:pPr>
        <w:tabs>
          <w:tab w:val="left" w:pos="9356"/>
          <w:tab w:val="left" w:pos="10206"/>
        </w:tabs>
        <w:spacing w:after="0" w:line="240" w:lineRule="auto"/>
        <w:ind w:right="118"/>
        <w:jc w:val="both"/>
        <w:rPr>
          <w:rFonts w:cstheme="minorHAnsi"/>
        </w:rPr>
      </w:pPr>
      <w:r w:rsidRPr="00551B41">
        <w:rPr>
          <w:rFonts w:cstheme="minorHAnsi"/>
        </w:rPr>
        <w:t xml:space="preserve">This Policy, which is </w:t>
      </w:r>
      <w:r w:rsidRPr="00551B41">
        <w:rPr>
          <w:rFonts w:cstheme="minorHAnsi"/>
          <w:b/>
        </w:rPr>
        <w:t>mandatory</w:t>
      </w:r>
      <w:r w:rsidRPr="00551B41">
        <w:rPr>
          <w:rFonts w:cstheme="minorHAnsi"/>
        </w:rPr>
        <w:t>, allows the CEO to pay for expenditure, incurred in conducting the ordinary course of business for the Town of East Fremantle, via the use of a Corporate Credit Card.</w:t>
      </w:r>
    </w:p>
    <w:p w14:paraId="660D9AEE" w14:textId="77777777" w:rsidR="00CE4C1A" w:rsidRPr="00832CA2" w:rsidRDefault="00CE4C1A" w:rsidP="00CE4C1A">
      <w:pPr>
        <w:spacing w:before="200" w:after="0"/>
        <w:rPr>
          <w:b/>
          <w:sz w:val="28"/>
          <w:szCs w:val="28"/>
          <w:lang w:val="en-US"/>
        </w:rPr>
      </w:pPr>
      <w:r w:rsidRPr="00832CA2">
        <w:rPr>
          <w:b/>
          <w:sz w:val="28"/>
          <w:szCs w:val="28"/>
          <w:lang w:val="en-US"/>
        </w:rPr>
        <w:t>Policy Scope</w:t>
      </w:r>
    </w:p>
    <w:p w14:paraId="32FD8B22" w14:textId="77777777" w:rsidR="00CE4C1A" w:rsidRPr="0046441B" w:rsidRDefault="00CE4C1A" w:rsidP="00CE4C1A">
      <w:pPr>
        <w:spacing w:after="60" w:line="240" w:lineRule="auto"/>
        <w:jc w:val="both"/>
        <w:rPr>
          <w:rFonts w:cstheme="minorHAnsi"/>
        </w:rPr>
      </w:pPr>
      <w:r w:rsidRPr="0046441B">
        <w:rPr>
          <w:rFonts w:cstheme="minorHAnsi"/>
        </w:rPr>
        <w:t xml:space="preserve">This Corporate Credit Card Policy outlines the way the corporate credit card can be used and provides clear guidance and responsibilities of the card users and ensures protection of the Town of East Fremantle’s funds. This policy should be read in conjunction with section 6.5 of the </w:t>
      </w:r>
      <w:r w:rsidRPr="0046441B">
        <w:rPr>
          <w:rFonts w:cstheme="minorHAnsi"/>
          <w:i/>
        </w:rPr>
        <w:t>Local Government Act 1995</w:t>
      </w:r>
      <w:r w:rsidRPr="0046441B">
        <w:rPr>
          <w:rFonts w:cstheme="minorHAnsi"/>
        </w:rPr>
        <w:t xml:space="preserve"> and </w:t>
      </w:r>
      <w:r w:rsidRPr="0046441B">
        <w:rPr>
          <w:rFonts w:cstheme="minorHAnsi"/>
          <w:i/>
        </w:rPr>
        <w:t>Local Government (Financial Management) Regulations 1996</w:t>
      </w:r>
      <w:r w:rsidRPr="0046441B">
        <w:rPr>
          <w:rFonts w:cstheme="minorHAnsi"/>
        </w:rPr>
        <w:t>, specifically:</w:t>
      </w:r>
    </w:p>
    <w:p w14:paraId="43CF55B1" w14:textId="77777777" w:rsidR="00CE4C1A" w:rsidRPr="0046441B" w:rsidRDefault="00CE4C1A" w:rsidP="00CE4C1A">
      <w:pPr>
        <w:pStyle w:val="ListParagraph"/>
        <w:numPr>
          <w:ilvl w:val="0"/>
          <w:numId w:val="33"/>
        </w:numPr>
        <w:spacing w:after="0" w:line="240" w:lineRule="auto"/>
        <w:ind w:left="426" w:hanging="426"/>
        <w:jc w:val="both"/>
        <w:rPr>
          <w:rFonts w:cstheme="minorHAnsi"/>
        </w:rPr>
      </w:pPr>
      <w:r w:rsidRPr="0046441B">
        <w:rPr>
          <w:rFonts w:cstheme="minorHAnsi"/>
        </w:rPr>
        <w:t>regulation 5, which specifies the CEO’s duties as to financial management.</w:t>
      </w:r>
    </w:p>
    <w:p w14:paraId="041745F0" w14:textId="77777777" w:rsidR="00CE4C1A" w:rsidRPr="0046441B" w:rsidRDefault="00CE4C1A" w:rsidP="00CE4C1A">
      <w:pPr>
        <w:pStyle w:val="ListParagraph"/>
        <w:numPr>
          <w:ilvl w:val="0"/>
          <w:numId w:val="33"/>
        </w:numPr>
        <w:spacing w:after="0" w:line="240" w:lineRule="auto"/>
        <w:ind w:left="426" w:hanging="426"/>
        <w:jc w:val="both"/>
        <w:rPr>
          <w:rFonts w:cstheme="minorHAnsi"/>
        </w:rPr>
      </w:pPr>
      <w:r w:rsidRPr="0046441B">
        <w:rPr>
          <w:rFonts w:cstheme="minorHAnsi"/>
        </w:rPr>
        <w:t xml:space="preserve">regulation 11, which specifies that procedures are to be made for the correct authorisation and payment of accounts, and </w:t>
      </w:r>
    </w:p>
    <w:p w14:paraId="0BE2CB7A" w14:textId="77777777" w:rsidR="00CE4C1A" w:rsidRPr="0046441B" w:rsidRDefault="00CE4C1A" w:rsidP="00CE4C1A">
      <w:pPr>
        <w:pStyle w:val="ListParagraph"/>
        <w:numPr>
          <w:ilvl w:val="0"/>
          <w:numId w:val="33"/>
        </w:numPr>
        <w:spacing w:after="0" w:line="240" w:lineRule="auto"/>
        <w:ind w:left="426" w:hanging="426"/>
        <w:jc w:val="both"/>
        <w:rPr>
          <w:rFonts w:cstheme="minorHAnsi"/>
        </w:rPr>
      </w:pPr>
      <w:r w:rsidRPr="0046441B">
        <w:rPr>
          <w:rFonts w:cstheme="minorHAnsi"/>
        </w:rPr>
        <w:t>regulation 13, which specifies that a list of payments made is required to be presented at ordinary council meetings.</w:t>
      </w:r>
    </w:p>
    <w:p w14:paraId="16A4BF25" w14:textId="77777777" w:rsidR="00CE4C1A" w:rsidRPr="0046441B" w:rsidRDefault="00CE4C1A" w:rsidP="00CE4C1A">
      <w:pPr>
        <w:pStyle w:val="ListParagraph"/>
        <w:spacing w:after="0" w:line="240" w:lineRule="auto"/>
        <w:jc w:val="both"/>
        <w:rPr>
          <w:rFonts w:cstheme="minorHAnsi"/>
        </w:rPr>
      </w:pPr>
    </w:p>
    <w:p w14:paraId="4945AE48" w14:textId="77777777" w:rsidR="00CE4C1A" w:rsidRPr="0046441B" w:rsidRDefault="00CE4C1A" w:rsidP="00CE4C1A">
      <w:pPr>
        <w:pStyle w:val="ListParagraph"/>
        <w:spacing w:line="240" w:lineRule="auto"/>
        <w:ind w:left="0"/>
        <w:jc w:val="both"/>
        <w:rPr>
          <w:rFonts w:cstheme="minorHAnsi"/>
        </w:rPr>
      </w:pPr>
      <w:r w:rsidRPr="0046441B">
        <w:rPr>
          <w:rFonts w:cstheme="minorHAnsi"/>
          <w:i/>
        </w:rPr>
        <w:t xml:space="preserve">Local Government (Functions and General) Regulations </w:t>
      </w:r>
      <w:r w:rsidRPr="0046441B">
        <w:rPr>
          <w:rFonts w:cstheme="minorHAnsi"/>
        </w:rPr>
        <w:t>1996 are also complied with in relation to adhering to the Town of East Fremantle’s Purchasing Policy</w:t>
      </w:r>
      <w:r w:rsidRPr="0046441B">
        <w:rPr>
          <w:rFonts w:cstheme="minorHAnsi"/>
          <w:i/>
        </w:rPr>
        <w:t xml:space="preserve"> (Regulation 11A)</w:t>
      </w:r>
      <w:r w:rsidRPr="0046441B">
        <w:rPr>
          <w:rFonts w:cstheme="minorHAnsi"/>
        </w:rPr>
        <w:t>.</w:t>
      </w:r>
    </w:p>
    <w:p w14:paraId="113BD0B5" w14:textId="77777777" w:rsidR="00CE4C1A" w:rsidRPr="0046441B" w:rsidRDefault="00CE4C1A" w:rsidP="00CE4C1A">
      <w:pPr>
        <w:autoSpaceDE w:val="0"/>
        <w:autoSpaceDN w:val="0"/>
        <w:adjustRightInd w:val="0"/>
        <w:spacing w:line="240" w:lineRule="auto"/>
        <w:jc w:val="both"/>
        <w:rPr>
          <w:rFonts w:cstheme="minorHAnsi"/>
        </w:rPr>
      </w:pPr>
      <w:r w:rsidRPr="0046441B">
        <w:rPr>
          <w:rFonts w:cstheme="minorHAnsi"/>
        </w:rPr>
        <w:t xml:space="preserve">A purchase order is not required when a corporate credit card is used. However, to adhere to the </w:t>
      </w:r>
      <w:r w:rsidRPr="0046441B">
        <w:rPr>
          <w:rFonts w:cstheme="minorHAnsi"/>
          <w:i/>
        </w:rPr>
        <w:t>Local Government Act</w:t>
      </w:r>
      <w:r w:rsidRPr="0046441B">
        <w:rPr>
          <w:rFonts w:cstheme="minorHAnsi"/>
        </w:rPr>
        <w:t xml:space="preserve"> and </w:t>
      </w:r>
      <w:r w:rsidRPr="0046441B">
        <w:rPr>
          <w:rFonts w:cstheme="minorHAnsi"/>
          <w:i/>
        </w:rPr>
        <w:t xml:space="preserve">Regulations, </w:t>
      </w:r>
      <w:r w:rsidRPr="0046441B">
        <w:rPr>
          <w:rFonts w:cstheme="minorHAnsi"/>
        </w:rPr>
        <w:t xml:space="preserve">a </w:t>
      </w:r>
      <w:r w:rsidRPr="0046441B">
        <w:rPr>
          <w:rFonts w:cstheme="minorHAnsi"/>
          <w:i/>
        </w:rPr>
        <w:t xml:space="preserve">Request to Use Town Credit Card </w:t>
      </w:r>
      <w:r w:rsidRPr="0046441B">
        <w:rPr>
          <w:rFonts w:cstheme="minorHAnsi"/>
        </w:rPr>
        <w:t xml:space="preserve">form must be completed by staff members who are not cardholders. </w:t>
      </w:r>
    </w:p>
    <w:p w14:paraId="3EC26D58" w14:textId="77777777" w:rsidR="00CE4C1A" w:rsidRPr="0046441B" w:rsidRDefault="00CE4C1A" w:rsidP="00CE4C1A">
      <w:pPr>
        <w:autoSpaceDE w:val="0"/>
        <w:autoSpaceDN w:val="0"/>
        <w:adjustRightInd w:val="0"/>
        <w:spacing w:line="240" w:lineRule="auto"/>
        <w:jc w:val="both"/>
        <w:rPr>
          <w:rFonts w:cstheme="minorHAnsi"/>
        </w:rPr>
      </w:pPr>
      <w:r w:rsidRPr="0046441B">
        <w:rPr>
          <w:rFonts w:cstheme="minorHAnsi"/>
        </w:rPr>
        <w:t>As the cardholders’ individual credit card limits are below their delegated purchasing authority limits, expenditure incurred via credit card is therefore in accordance with appropriate delegated authority.</w:t>
      </w:r>
    </w:p>
    <w:p w14:paraId="43E9AEA6" w14:textId="77777777" w:rsidR="00CE4C1A" w:rsidRPr="0046441B" w:rsidRDefault="00CE4C1A" w:rsidP="00CE4C1A">
      <w:pPr>
        <w:pStyle w:val="ListParagraph"/>
        <w:spacing w:line="240" w:lineRule="auto"/>
        <w:ind w:left="0"/>
        <w:jc w:val="both"/>
        <w:rPr>
          <w:rFonts w:cstheme="minorHAnsi"/>
        </w:rPr>
      </w:pPr>
      <w:r w:rsidRPr="0046441B">
        <w:rPr>
          <w:rFonts w:cstheme="minorHAnsi"/>
        </w:rPr>
        <w:t>Each month a listing of payments made via Corporate Credit Cards is required to be presented to Council for approval.</w:t>
      </w:r>
    </w:p>
    <w:p w14:paraId="76DDDC6F" w14:textId="77777777" w:rsidR="00CE4C1A" w:rsidRPr="00832CA2" w:rsidRDefault="00CE4C1A" w:rsidP="00CE4C1A">
      <w:pPr>
        <w:spacing w:before="200" w:after="60"/>
        <w:rPr>
          <w:b/>
          <w:sz w:val="28"/>
          <w:szCs w:val="28"/>
          <w:lang w:val="en-US"/>
        </w:rPr>
      </w:pPr>
      <w:r w:rsidRPr="00832CA2">
        <w:rPr>
          <w:b/>
          <w:sz w:val="28"/>
          <w:szCs w:val="28"/>
          <w:lang w:val="en-US"/>
        </w:rPr>
        <w:t xml:space="preserve">Policy </w:t>
      </w:r>
    </w:p>
    <w:p w14:paraId="385E8F20" w14:textId="77777777" w:rsidR="00CE4C1A" w:rsidRPr="00832CA2" w:rsidRDefault="00CE4C1A" w:rsidP="00CE4C1A">
      <w:pPr>
        <w:spacing w:after="0"/>
        <w:rPr>
          <w:b/>
        </w:rPr>
      </w:pPr>
      <w:r w:rsidRPr="00832CA2">
        <w:rPr>
          <w:b/>
        </w:rPr>
        <w:t>Eligibility</w:t>
      </w:r>
    </w:p>
    <w:p w14:paraId="1EA5A1C2" w14:textId="77777777" w:rsidR="00CE4C1A" w:rsidRPr="008F62C3" w:rsidRDefault="00CE4C1A" w:rsidP="00CE4C1A">
      <w:pPr>
        <w:pStyle w:val="BodyText"/>
        <w:spacing w:after="200" w:line="276" w:lineRule="auto"/>
        <w:ind w:left="0" w:right="-46"/>
        <w:jc w:val="both"/>
        <w:rPr>
          <w:rFonts w:ascii="Calibri" w:hAnsi="Calibri" w:cs="Calibri"/>
          <w:szCs w:val="22"/>
        </w:rPr>
      </w:pPr>
      <w:r w:rsidRPr="0046441B">
        <w:rPr>
          <w:rFonts w:asciiTheme="minorHAnsi" w:hAnsiTheme="minorHAnsi" w:cstheme="minorHAnsi"/>
          <w:spacing w:val="-1"/>
          <w:szCs w:val="22"/>
        </w:rPr>
        <w:t>The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 xml:space="preserve">provision </w:t>
      </w:r>
      <w:r w:rsidRPr="0046441B">
        <w:rPr>
          <w:rFonts w:asciiTheme="minorHAnsi" w:hAnsiTheme="minorHAnsi" w:cstheme="minorHAnsi"/>
          <w:szCs w:val="22"/>
        </w:rPr>
        <w:t>of</w:t>
      </w:r>
      <w:r w:rsidRPr="0046441B">
        <w:rPr>
          <w:rFonts w:asciiTheme="minorHAnsi" w:hAnsiTheme="minorHAnsi" w:cstheme="minorHAnsi"/>
          <w:spacing w:val="-2"/>
          <w:szCs w:val="22"/>
        </w:rPr>
        <w:t xml:space="preserve"> </w:t>
      </w:r>
      <w:r w:rsidRPr="0046441B">
        <w:rPr>
          <w:rFonts w:asciiTheme="minorHAnsi" w:hAnsiTheme="minorHAnsi" w:cstheme="minorHAnsi"/>
          <w:szCs w:val="22"/>
        </w:rPr>
        <w:t xml:space="preserve">a </w:t>
      </w:r>
      <w:r w:rsidRPr="0046441B">
        <w:rPr>
          <w:rFonts w:asciiTheme="minorHAnsi" w:hAnsiTheme="minorHAnsi" w:cstheme="minorHAnsi"/>
          <w:spacing w:val="-1"/>
          <w:szCs w:val="22"/>
        </w:rPr>
        <w:t>Corporate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Credit</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Card</w:t>
      </w:r>
      <w:r w:rsidRPr="0046441B">
        <w:rPr>
          <w:rFonts w:asciiTheme="minorHAnsi" w:hAnsiTheme="minorHAnsi" w:cstheme="minorHAnsi"/>
          <w:spacing w:val="-3"/>
          <w:szCs w:val="22"/>
        </w:rPr>
        <w:t xml:space="preserve"> </w:t>
      </w:r>
      <w:r w:rsidRPr="0046441B">
        <w:rPr>
          <w:rFonts w:asciiTheme="minorHAnsi" w:hAnsiTheme="minorHAnsi" w:cstheme="minorHAnsi"/>
          <w:spacing w:val="-1"/>
          <w:szCs w:val="22"/>
        </w:rPr>
        <w:t>is</w:t>
      </w:r>
      <w:r w:rsidRPr="0046441B">
        <w:rPr>
          <w:rFonts w:asciiTheme="minorHAnsi" w:hAnsiTheme="minorHAnsi" w:cstheme="minorHAnsi"/>
          <w:szCs w:val="22"/>
        </w:rPr>
        <w:t xml:space="preserve"> a </w:t>
      </w:r>
      <w:r w:rsidRPr="0046441B">
        <w:rPr>
          <w:rFonts w:asciiTheme="minorHAnsi" w:hAnsiTheme="minorHAnsi" w:cstheme="minorHAnsi"/>
          <w:spacing w:val="-1"/>
          <w:szCs w:val="22"/>
        </w:rPr>
        <w:t>facility offered by Council</w:t>
      </w:r>
      <w:r w:rsidRPr="0046441B">
        <w:rPr>
          <w:rFonts w:asciiTheme="minorHAnsi" w:hAnsiTheme="minorHAnsi" w:cstheme="minorHAnsi"/>
          <w:szCs w:val="22"/>
        </w:rPr>
        <w:t xml:space="preserve"> </w:t>
      </w:r>
      <w:r w:rsidRPr="0046441B">
        <w:rPr>
          <w:rFonts w:asciiTheme="minorHAnsi" w:hAnsiTheme="minorHAnsi" w:cstheme="minorHAnsi"/>
          <w:spacing w:val="-1"/>
          <w:szCs w:val="22"/>
        </w:rPr>
        <w:t>to</w:t>
      </w:r>
      <w:r w:rsidRPr="0046441B">
        <w:rPr>
          <w:rFonts w:asciiTheme="minorHAnsi" w:hAnsiTheme="minorHAnsi" w:cstheme="minorHAnsi"/>
          <w:spacing w:val="1"/>
          <w:szCs w:val="22"/>
        </w:rPr>
        <w:t xml:space="preserve"> Management</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occupying</w:t>
      </w:r>
      <w:r w:rsidRPr="0046441B">
        <w:rPr>
          <w:rFonts w:asciiTheme="minorHAnsi" w:hAnsiTheme="minorHAnsi" w:cstheme="minorHAnsi"/>
          <w:spacing w:val="-3"/>
          <w:szCs w:val="22"/>
        </w:rPr>
        <w:t xml:space="preserve"> </w:t>
      </w:r>
      <w:r w:rsidRPr="0046441B">
        <w:rPr>
          <w:rFonts w:asciiTheme="minorHAnsi" w:hAnsiTheme="minorHAnsi" w:cstheme="minorHAnsi"/>
          <w:spacing w:val="-1"/>
          <w:szCs w:val="22"/>
        </w:rPr>
        <w:t xml:space="preserve">certain positions which must be </w:t>
      </w:r>
      <w:proofErr w:type="spellStart"/>
      <w:r w:rsidRPr="0046441B">
        <w:rPr>
          <w:rFonts w:asciiTheme="minorHAnsi" w:hAnsiTheme="minorHAnsi" w:cstheme="minorHAnsi"/>
          <w:spacing w:val="-1"/>
          <w:szCs w:val="22"/>
        </w:rPr>
        <w:t>authorised</w:t>
      </w:r>
      <w:proofErr w:type="spellEnd"/>
      <w:r w:rsidRPr="0046441B">
        <w:rPr>
          <w:rFonts w:asciiTheme="minorHAnsi" w:hAnsiTheme="minorHAnsi" w:cstheme="minorHAnsi"/>
          <w:spacing w:val="-1"/>
          <w:szCs w:val="22"/>
        </w:rPr>
        <w:t xml:space="preserve"> </w:t>
      </w:r>
      <w:r w:rsidRPr="0046441B">
        <w:rPr>
          <w:rFonts w:asciiTheme="minorHAnsi" w:hAnsiTheme="minorHAnsi" w:cstheme="minorHAnsi"/>
          <w:spacing w:val="-2"/>
          <w:szCs w:val="22"/>
        </w:rPr>
        <w:t>by</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the</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CEO.</w:t>
      </w:r>
      <w:r w:rsidRPr="0046441B">
        <w:rPr>
          <w:rFonts w:asciiTheme="minorHAnsi" w:hAnsiTheme="minorHAnsi" w:cstheme="minorHAnsi"/>
          <w:szCs w:val="22"/>
        </w:rPr>
        <w:t xml:space="preserve"> </w:t>
      </w:r>
      <w:r w:rsidRPr="008F62C3">
        <w:rPr>
          <w:rFonts w:asciiTheme="minorHAnsi" w:hAnsiTheme="minorHAnsi" w:cstheme="minorHAnsi"/>
          <w:spacing w:val="-1"/>
        </w:rPr>
        <w:t>In the instance of a corporate card for the</w:t>
      </w:r>
      <w:r>
        <w:rPr>
          <w:rFonts w:cs="Calibri"/>
          <w:spacing w:val="-1"/>
        </w:rPr>
        <w:t xml:space="preserve"> </w:t>
      </w:r>
      <w:r w:rsidRPr="008F62C3">
        <w:rPr>
          <w:rFonts w:ascii="Calibri" w:hAnsi="Calibri" w:cs="Calibri"/>
          <w:spacing w:val="-1"/>
        </w:rPr>
        <w:t xml:space="preserve">CEO </w:t>
      </w:r>
      <w:proofErr w:type="spellStart"/>
      <w:r w:rsidRPr="008F62C3">
        <w:rPr>
          <w:rFonts w:ascii="Calibri" w:hAnsi="Calibri" w:cs="Calibri"/>
          <w:spacing w:val="-1"/>
        </w:rPr>
        <w:t>authorisation</w:t>
      </w:r>
      <w:proofErr w:type="spellEnd"/>
      <w:r w:rsidRPr="008F62C3">
        <w:rPr>
          <w:rFonts w:ascii="Calibri" w:hAnsi="Calibri" w:cs="Calibri"/>
          <w:spacing w:val="-1"/>
        </w:rPr>
        <w:t xml:space="preserve"> is</w:t>
      </w:r>
      <w:r>
        <w:rPr>
          <w:rFonts w:cs="Calibri"/>
          <w:spacing w:val="-1"/>
        </w:rPr>
        <w:t xml:space="preserve"> </w:t>
      </w:r>
      <w:r w:rsidRPr="008F62C3">
        <w:rPr>
          <w:rFonts w:ascii="Calibri" w:hAnsi="Calibri" w:cs="Calibri"/>
          <w:spacing w:val="-1"/>
        </w:rPr>
        <w:t>either by the Mayor or Executive Manager Corporate Services.</w:t>
      </w:r>
    </w:p>
    <w:p w14:paraId="533B4EDD" w14:textId="77777777" w:rsidR="00CE4C1A" w:rsidRPr="00832CA2" w:rsidRDefault="00CE4C1A" w:rsidP="00CE4C1A">
      <w:pPr>
        <w:pStyle w:val="BodyText"/>
        <w:spacing w:after="60"/>
        <w:ind w:left="0"/>
        <w:rPr>
          <w:rFonts w:asciiTheme="minorHAnsi" w:hAnsiTheme="minorHAnsi" w:cstheme="minorHAnsi"/>
          <w:b/>
          <w:szCs w:val="22"/>
        </w:rPr>
      </w:pPr>
      <w:r w:rsidRPr="00832CA2">
        <w:rPr>
          <w:rFonts w:asciiTheme="minorHAnsi" w:hAnsiTheme="minorHAnsi" w:cstheme="minorHAnsi"/>
          <w:b/>
          <w:szCs w:val="22"/>
        </w:rPr>
        <w:lastRenderedPageBreak/>
        <w:t>Guidelines for credit card usage</w:t>
      </w:r>
    </w:p>
    <w:p w14:paraId="254D67C0" w14:textId="77777777" w:rsidR="00CE4C1A" w:rsidRPr="0046441B" w:rsidRDefault="00CE4C1A" w:rsidP="00CE4C1A">
      <w:pPr>
        <w:pStyle w:val="Default"/>
        <w:numPr>
          <w:ilvl w:val="0"/>
          <w:numId w:val="40"/>
        </w:numPr>
        <w:tabs>
          <w:tab w:val="left" w:pos="1134"/>
        </w:tabs>
        <w:spacing w:after="60"/>
        <w:ind w:left="425" w:hanging="425"/>
        <w:jc w:val="both"/>
        <w:rPr>
          <w:rFonts w:asciiTheme="minorHAnsi" w:eastAsia="Calibri" w:hAnsiTheme="minorHAnsi" w:cstheme="minorHAnsi"/>
          <w:color w:val="auto"/>
          <w:spacing w:val="-1"/>
          <w:sz w:val="22"/>
          <w:szCs w:val="22"/>
          <w:lang w:val="en-US"/>
        </w:rPr>
      </w:pPr>
      <w:r w:rsidRPr="0046441B">
        <w:rPr>
          <w:rFonts w:asciiTheme="minorHAnsi" w:eastAsia="Calibri" w:hAnsiTheme="minorHAnsi" w:cstheme="minorHAnsi"/>
          <w:color w:val="auto"/>
          <w:spacing w:val="-1"/>
          <w:sz w:val="22"/>
          <w:szCs w:val="22"/>
          <w:lang w:val="en-US"/>
        </w:rPr>
        <w:t>The card must be used for Council business expenditure only. The</w:t>
      </w:r>
      <w:r>
        <w:rPr>
          <w:rFonts w:asciiTheme="minorHAnsi" w:eastAsia="Calibri" w:hAnsiTheme="minorHAnsi" w:cstheme="minorHAnsi"/>
          <w:color w:val="auto"/>
          <w:spacing w:val="-1"/>
          <w:sz w:val="22"/>
          <w:szCs w:val="22"/>
          <w:lang w:val="en-US"/>
        </w:rPr>
        <w:t xml:space="preserve"> monthly limit assigned to each cardholder varies from $500 to $15,000, the</w:t>
      </w:r>
      <w:r w:rsidRPr="0046441B">
        <w:rPr>
          <w:rFonts w:asciiTheme="minorHAnsi" w:eastAsia="Calibri" w:hAnsiTheme="minorHAnsi" w:cstheme="minorHAnsi"/>
          <w:color w:val="auto"/>
          <w:spacing w:val="-1"/>
          <w:sz w:val="22"/>
          <w:szCs w:val="22"/>
          <w:lang w:val="en-US"/>
        </w:rPr>
        <w:t xml:space="preserve"> cardholder must ensure there are sufficient funds in the budget prior to usage.</w:t>
      </w:r>
    </w:p>
    <w:p w14:paraId="25920712" w14:textId="77777777" w:rsidR="00CE4C1A" w:rsidRPr="0046441B" w:rsidRDefault="00CE4C1A" w:rsidP="00CE4C1A">
      <w:pPr>
        <w:pStyle w:val="Default"/>
        <w:numPr>
          <w:ilvl w:val="0"/>
          <w:numId w:val="40"/>
        </w:numPr>
        <w:tabs>
          <w:tab w:val="left" w:pos="1134"/>
        </w:tabs>
        <w:spacing w:after="60"/>
        <w:ind w:left="425" w:hanging="425"/>
        <w:jc w:val="both"/>
        <w:rPr>
          <w:rFonts w:asciiTheme="minorHAnsi" w:eastAsia="Calibri" w:hAnsiTheme="minorHAnsi" w:cstheme="minorHAnsi"/>
          <w:color w:val="auto"/>
          <w:spacing w:val="-1"/>
          <w:sz w:val="22"/>
          <w:szCs w:val="22"/>
          <w:lang w:val="en-US"/>
        </w:rPr>
      </w:pPr>
      <w:r w:rsidRPr="0046441B">
        <w:rPr>
          <w:rFonts w:asciiTheme="minorHAnsi" w:eastAsia="Calibri" w:hAnsiTheme="minorHAnsi" w:cstheme="minorHAnsi"/>
          <w:color w:val="auto"/>
          <w:spacing w:val="-1"/>
          <w:sz w:val="22"/>
          <w:szCs w:val="22"/>
          <w:lang w:val="en-US"/>
        </w:rPr>
        <w:t>The card must not be used for personal use.</w:t>
      </w:r>
    </w:p>
    <w:p w14:paraId="6E25FA9A" w14:textId="77777777" w:rsidR="00CE4C1A" w:rsidRPr="0046441B" w:rsidRDefault="00CE4C1A" w:rsidP="00CE4C1A">
      <w:pPr>
        <w:pStyle w:val="Default"/>
        <w:numPr>
          <w:ilvl w:val="0"/>
          <w:numId w:val="40"/>
        </w:numPr>
        <w:tabs>
          <w:tab w:val="left" w:pos="1134"/>
        </w:tabs>
        <w:spacing w:after="60"/>
        <w:ind w:left="425" w:hanging="425"/>
        <w:jc w:val="both"/>
        <w:rPr>
          <w:rFonts w:asciiTheme="minorHAnsi" w:eastAsia="Calibri" w:hAnsiTheme="minorHAnsi" w:cstheme="minorHAnsi"/>
          <w:color w:val="auto"/>
          <w:spacing w:val="-1"/>
          <w:sz w:val="22"/>
          <w:szCs w:val="22"/>
          <w:lang w:val="en-US"/>
        </w:rPr>
      </w:pPr>
      <w:r w:rsidRPr="0046441B">
        <w:rPr>
          <w:rFonts w:asciiTheme="minorHAnsi" w:eastAsia="Calibri" w:hAnsiTheme="minorHAnsi" w:cstheme="minorHAnsi"/>
          <w:color w:val="auto"/>
          <w:spacing w:val="-1"/>
          <w:sz w:val="22"/>
          <w:szCs w:val="22"/>
          <w:lang w:val="en-US"/>
        </w:rPr>
        <w:t>The card must not be used for the withdrawal of cash through any facility, whether it is a Bank, ATM or EFTPOS facility.</w:t>
      </w:r>
    </w:p>
    <w:p w14:paraId="420BE792" w14:textId="77777777" w:rsidR="00CE4C1A" w:rsidRPr="0046441B" w:rsidRDefault="00CE4C1A" w:rsidP="00CE4C1A">
      <w:pPr>
        <w:pStyle w:val="Default"/>
        <w:numPr>
          <w:ilvl w:val="0"/>
          <w:numId w:val="40"/>
        </w:numPr>
        <w:tabs>
          <w:tab w:val="left" w:pos="1134"/>
        </w:tabs>
        <w:spacing w:after="60"/>
        <w:ind w:left="425" w:hanging="425"/>
        <w:jc w:val="both"/>
        <w:rPr>
          <w:rFonts w:asciiTheme="minorHAnsi" w:eastAsia="Calibri" w:hAnsiTheme="minorHAnsi" w:cstheme="minorHAnsi"/>
          <w:color w:val="auto"/>
          <w:spacing w:val="-1"/>
          <w:sz w:val="22"/>
          <w:szCs w:val="22"/>
          <w:lang w:val="en-US"/>
        </w:rPr>
      </w:pPr>
      <w:r w:rsidRPr="0046441B">
        <w:rPr>
          <w:rFonts w:asciiTheme="minorHAnsi" w:eastAsia="Calibri" w:hAnsiTheme="minorHAnsi" w:cstheme="minorHAnsi"/>
          <w:color w:val="auto"/>
          <w:spacing w:val="-1"/>
          <w:sz w:val="22"/>
          <w:szCs w:val="22"/>
          <w:lang w:val="en-US"/>
        </w:rPr>
        <w:t>The card must not be used by officers’ other than the cardholder unless the cardholder has given prior approval on the Credit Card Request form.</w:t>
      </w:r>
    </w:p>
    <w:p w14:paraId="5DBFAF2B" w14:textId="77777777" w:rsidR="00CE4C1A" w:rsidRPr="0046441B" w:rsidRDefault="00CE4C1A" w:rsidP="00CE4C1A">
      <w:pPr>
        <w:pStyle w:val="Default"/>
        <w:numPr>
          <w:ilvl w:val="0"/>
          <w:numId w:val="40"/>
        </w:numPr>
        <w:tabs>
          <w:tab w:val="left" w:pos="1134"/>
        </w:tabs>
        <w:spacing w:after="60"/>
        <w:ind w:left="425" w:hanging="425"/>
        <w:jc w:val="both"/>
        <w:rPr>
          <w:rFonts w:asciiTheme="minorHAnsi" w:eastAsia="Calibri" w:hAnsiTheme="minorHAnsi" w:cstheme="minorHAnsi"/>
          <w:color w:val="auto"/>
          <w:spacing w:val="-1"/>
          <w:sz w:val="22"/>
          <w:szCs w:val="22"/>
          <w:lang w:val="en-US"/>
        </w:rPr>
      </w:pPr>
      <w:r w:rsidRPr="0046441B">
        <w:rPr>
          <w:rFonts w:asciiTheme="minorHAnsi" w:eastAsia="Calibri" w:hAnsiTheme="minorHAnsi" w:cstheme="minorHAnsi"/>
          <w:color w:val="auto"/>
          <w:spacing w:val="-1"/>
          <w:sz w:val="22"/>
          <w:szCs w:val="22"/>
          <w:lang w:val="en-US"/>
        </w:rPr>
        <w:t>The card must not be used for fuel purchases in instances where the cardholder has a Fuel Card facility available.</w:t>
      </w:r>
    </w:p>
    <w:p w14:paraId="1DAFEA60" w14:textId="77777777" w:rsidR="00CE4C1A" w:rsidRPr="0046441B" w:rsidRDefault="00CE4C1A" w:rsidP="00CE4C1A">
      <w:pPr>
        <w:pStyle w:val="Default"/>
        <w:numPr>
          <w:ilvl w:val="0"/>
          <w:numId w:val="40"/>
        </w:numPr>
        <w:tabs>
          <w:tab w:val="left" w:pos="1134"/>
        </w:tabs>
        <w:spacing w:after="60"/>
        <w:ind w:left="425" w:hanging="425"/>
        <w:jc w:val="both"/>
        <w:rPr>
          <w:rFonts w:asciiTheme="minorHAnsi" w:eastAsia="Calibri" w:hAnsiTheme="minorHAnsi" w:cstheme="minorHAnsi"/>
          <w:color w:val="auto"/>
          <w:spacing w:val="-1"/>
          <w:sz w:val="22"/>
          <w:szCs w:val="22"/>
          <w:lang w:val="en-US"/>
        </w:rPr>
      </w:pPr>
      <w:r w:rsidRPr="0046441B">
        <w:rPr>
          <w:rFonts w:asciiTheme="minorHAnsi" w:eastAsia="Calibri" w:hAnsiTheme="minorHAnsi" w:cstheme="minorHAnsi"/>
          <w:color w:val="auto"/>
          <w:spacing w:val="-1"/>
          <w:sz w:val="22"/>
          <w:szCs w:val="22"/>
          <w:lang w:val="en-US"/>
        </w:rPr>
        <w:t xml:space="preserve">The cardholder must practice due diligence and strict care to maintain the security of their card, ensuring that it is </w:t>
      </w:r>
      <w:proofErr w:type="gramStart"/>
      <w:r w:rsidRPr="0046441B">
        <w:rPr>
          <w:rFonts w:asciiTheme="minorHAnsi" w:eastAsia="Calibri" w:hAnsiTheme="minorHAnsi" w:cstheme="minorHAnsi"/>
          <w:color w:val="auto"/>
          <w:spacing w:val="-1"/>
          <w:sz w:val="22"/>
          <w:szCs w:val="22"/>
          <w:lang w:val="en-US"/>
        </w:rPr>
        <w:t>kept in their possession at all times</w:t>
      </w:r>
      <w:proofErr w:type="gramEnd"/>
      <w:r w:rsidRPr="0046441B">
        <w:rPr>
          <w:rFonts w:asciiTheme="minorHAnsi" w:eastAsia="Calibri" w:hAnsiTheme="minorHAnsi" w:cstheme="minorHAnsi"/>
          <w:color w:val="auto"/>
          <w:spacing w:val="-1"/>
          <w:sz w:val="22"/>
          <w:szCs w:val="22"/>
          <w:lang w:val="en-US"/>
        </w:rPr>
        <w:t>.</w:t>
      </w:r>
    </w:p>
    <w:p w14:paraId="00BF31FB" w14:textId="77777777" w:rsidR="00CE4C1A" w:rsidRPr="0046441B" w:rsidRDefault="00CE4C1A" w:rsidP="00CE4C1A">
      <w:pPr>
        <w:pStyle w:val="Default"/>
        <w:numPr>
          <w:ilvl w:val="0"/>
          <w:numId w:val="40"/>
        </w:numPr>
        <w:tabs>
          <w:tab w:val="left" w:pos="1134"/>
        </w:tabs>
        <w:spacing w:after="60"/>
        <w:ind w:left="425" w:hanging="425"/>
        <w:jc w:val="both"/>
        <w:rPr>
          <w:rFonts w:asciiTheme="minorHAnsi" w:eastAsia="Calibri" w:hAnsiTheme="minorHAnsi" w:cstheme="minorHAnsi"/>
          <w:color w:val="auto"/>
          <w:spacing w:val="-1"/>
          <w:sz w:val="22"/>
          <w:szCs w:val="22"/>
          <w:lang w:val="en-US"/>
        </w:rPr>
      </w:pPr>
      <w:r w:rsidRPr="0046441B">
        <w:rPr>
          <w:rFonts w:asciiTheme="minorHAnsi" w:eastAsia="Calibri" w:hAnsiTheme="minorHAnsi" w:cstheme="minorHAnsi"/>
          <w:color w:val="auto"/>
          <w:spacing w:val="-1"/>
          <w:sz w:val="22"/>
          <w:szCs w:val="22"/>
          <w:lang w:val="en-US"/>
        </w:rPr>
        <w:t xml:space="preserve">The card must be returned to the </w:t>
      </w:r>
      <w:r>
        <w:rPr>
          <w:rFonts w:asciiTheme="minorHAnsi" w:eastAsia="Calibri" w:hAnsiTheme="minorHAnsi" w:cstheme="minorHAnsi"/>
          <w:color w:val="auto"/>
          <w:spacing w:val="-1"/>
          <w:sz w:val="22"/>
          <w:szCs w:val="22"/>
          <w:lang w:val="en-US"/>
        </w:rPr>
        <w:t xml:space="preserve">Finance </w:t>
      </w:r>
      <w:r w:rsidRPr="0046441B">
        <w:rPr>
          <w:rFonts w:asciiTheme="minorHAnsi" w:eastAsia="Calibri" w:hAnsiTheme="minorHAnsi" w:cstheme="minorHAnsi"/>
          <w:color w:val="auto"/>
          <w:spacing w:val="-1"/>
          <w:sz w:val="22"/>
          <w:szCs w:val="22"/>
          <w:lang w:val="en-US"/>
        </w:rPr>
        <w:t>Manager, prior to leave periods more than four weeks. The card must also be returned if the cardholder is reassigned to a new position where the use is not required or where their employment is terminated.</w:t>
      </w:r>
    </w:p>
    <w:p w14:paraId="41ED1A23" w14:textId="77777777" w:rsidR="00CE4C1A" w:rsidRPr="0046441B" w:rsidRDefault="00CE4C1A" w:rsidP="00CE4C1A">
      <w:pPr>
        <w:pStyle w:val="Default"/>
        <w:numPr>
          <w:ilvl w:val="0"/>
          <w:numId w:val="40"/>
        </w:numPr>
        <w:spacing w:after="60"/>
        <w:ind w:left="425" w:hanging="425"/>
        <w:jc w:val="both"/>
        <w:rPr>
          <w:rFonts w:asciiTheme="minorHAnsi" w:eastAsia="Calibri" w:hAnsiTheme="minorHAnsi" w:cstheme="minorHAnsi"/>
          <w:color w:val="auto"/>
          <w:spacing w:val="-1"/>
          <w:sz w:val="22"/>
          <w:szCs w:val="22"/>
          <w:lang w:val="en-US"/>
        </w:rPr>
      </w:pPr>
      <w:r w:rsidRPr="0046441B">
        <w:rPr>
          <w:rFonts w:asciiTheme="minorHAnsi" w:eastAsia="Calibri" w:hAnsiTheme="minorHAnsi" w:cstheme="minorHAnsi"/>
          <w:color w:val="auto"/>
          <w:spacing w:val="-1"/>
          <w:sz w:val="22"/>
          <w:szCs w:val="22"/>
          <w:lang w:val="en-US"/>
        </w:rPr>
        <w:t xml:space="preserve">Cards must not be used to obtain personal rewards such as frequent flyer points or any other rewards, including flight point awards. </w:t>
      </w:r>
    </w:p>
    <w:p w14:paraId="40109425" w14:textId="77777777" w:rsidR="00CE4C1A" w:rsidRPr="0046441B" w:rsidRDefault="00CE4C1A" w:rsidP="00CE4C1A">
      <w:pPr>
        <w:pStyle w:val="BodyText"/>
        <w:widowControl w:val="0"/>
        <w:numPr>
          <w:ilvl w:val="0"/>
          <w:numId w:val="40"/>
        </w:numPr>
        <w:spacing w:before="41" w:after="60" w:line="277" w:lineRule="auto"/>
        <w:ind w:left="425" w:right="-46" w:hanging="425"/>
        <w:jc w:val="both"/>
        <w:rPr>
          <w:rFonts w:asciiTheme="minorHAnsi" w:hAnsiTheme="minorHAnsi" w:cstheme="minorHAnsi"/>
          <w:spacing w:val="-1"/>
          <w:szCs w:val="22"/>
        </w:rPr>
      </w:pPr>
      <w:r w:rsidRPr="0046441B">
        <w:rPr>
          <w:rFonts w:asciiTheme="minorHAnsi" w:hAnsiTheme="minorHAnsi" w:cstheme="minorHAnsi"/>
          <w:spacing w:val="-1"/>
          <w:szCs w:val="22"/>
        </w:rPr>
        <w:t>The card shall not be used for payment of fines, for example a parking or a speeding offence which was incurred whilst on Council business.</w:t>
      </w:r>
    </w:p>
    <w:p w14:paraId="5710362B" w14:textId="77777777" w:rsidR="00CE4C1A" w:rsidRPr="0046441B" w:rsidRDefault="00CE4C1A" w:rsidP="00CE4C1A">
      <w:pPr>
        <w:pStyle w:val="BodyText"/>
        <w:widowControl w:val="0"/>
        <w:numPr>
          <w:ilvl w:val="0"/>
          <w:numId w:val="40"/>
        </w:numPr>
        <w:spacing w:before="41" w:after="60" w:line="277" w:lineRule="auto"/>
        <w:ind w:left="425" w:right="-46" w:hanging="425"/>
        <w:jc w:val="both"/>
        <w:rPr>
          <w:rFonts w:asciiTheme="minorHAnsi" w:hAnsiTheme="minorHAnsi" w:cstheme="minorHAnsi"/>
          <w:spacing w:val="-1"/>
          <w:szCs w:val="22"/>
        </w:rPr>
      </w:pPr>
      <w:r>
        <w:rPr>
          <w:rFonts w:asciiTheme="minorHAnsi" w:hAnsiTheme="minorHAnsi" w:cstheme="minorHAnsi"/>
          <w:spacing w:val="-1"/>
          <w:szCs w:val="22"/>
        </w:rPr>
        <w:t xml:space="preserve">If </w:t>
      </w:r>
      <w:r w:rsidRPr="0046441B">
        <w:rPr>
          <w:rFonts w:asciiTheme="minorHAnsi" w:hAnsiTheme="minorHAnsi" w:cstheme="minorHAnsi"/>
          <w:spacing w:val="-1"/>
          <w:szCs w:val="22"/>
        </w:rPr>
        <w:t xml:space="preserve">direct debits are to be </w:t>
      </w:r>
      <w:proofErr w:type="spellStart"/>
      <w:r>
        <w:rPr>
          <w:rFonts w:asciiTheme="minorHAnsi" w:hAnsiTheme="minorHAnsi" w:cstheme="minorHAnsi"/>
          <w:spacing w:val="-1"/>
          <w:szCs w:val="22"/>
        </w:rPr>
        <w:t>utilised</w:t>
      </w:r>
      <w:proofErr w:type="spellEnd"/>
      <w:r>
        <w:rPr>
          <w:rFonts w:asciiTheme="minorHAnsi" w:hAnsiTheme="minorHAnsi" w:cstheme="minorHAnsi"/>
          <w:spacing w:val="-1"/>
          <w:szCs w:val="22"/>
        </w:rPr>
        <w:t xml:space="preserve"> the direct debit will be recorded in the Direct Debit Register Maintained by the Finance Manager and approved by the Executive Manager Corporate Services.</w:t>
      </w:r>
    </w:p>
    <w:p w14:paraId="23FAEA96" w14:textId="77777777" w:rsidR="00CE4C1A" w:rsidRPr="0046441B" w:rsidRDefault="00CE4C1A" w:rsidP="00CE4C1A">
      <w:pPr>
        <w:pStyle w:val="BodyText"/>
        <w:widowControl w:val="0"/>
        <w:numPr>
          <w:ilvl w:val="0"/>
          <w:numId w:val="40"/>
        </w:numPr>
        <w:spacing w:before="41" w:after="60" w:line="277" w:lineRule="auto"/>
        <w:ind w:left="425" w:right="-46" w:hanging="425"/>
        <w:jc w:val="both"/>
        <w:rPr>
          <w:rFonts w:asciiTheme="minorHAnsi" w:hAnsiTheme="minorHAnsi" w:cstheme="minorHAnsi"/>
          <w:spacing w:val="-1"/>
          <w:szCs w:val="22"/>
        </w:rPr>
      </w:pPr>
      <w:r w:rsidRPr="0046441B">
        <w:rPr>
          <w:rFonts w:asciiTheme="minorHAnsi" w:hAnsiTheme="minorHAnsi" w:cstheme="minorHAnsi"/>
          <w:spacing w:val="-1"/>
          <w:szCs w:val="22"/>
        </w:rPr>
        <w:t>The card should only be used in limited circumstances when a</w:t>
      </w:r>
      <w:r>
        <w:rPr>
          <w:rFonts w:asciiTheme="minorHAnsi" w:hAnsiTheme="minorHAnsi" w:cstheme="minorHAnsi"/>
          <w:spacing w:val="-1"/>
          <w:szCs w:val="22"/>
        </w:rPr>
        <w:t xml:space="preserve"> Supplier </w:t>
      </w:r>
      <w:r w:rsidRPr="0046441B">
        <w:rPr>
          <w:rFonts w:asciiTheme="minorHAnsi" w:hAnsiTheme="minorHAnsi" w:cstheme="minorHAnsi"/>
          <w:spacing w:val="-1"/>
          <w:szCs w:val="22"/>
        </w:rPr>
        <w:t>will not accept payment via EFT or cheque, otherwise a purchase order must be raised and the</w:t>
      </w:r>
      <w:r>
        <w:rPr>
          <w:rFonts w:asciiTheme="minorHAnsi" w:hAnsiTheme="minorHAnsi" w:cstheme="minorHAnsi"/>
          <w:spacing w:val="-1"/>
          <w:szCs w:val="22"/>
        </w:rPr>
        <w:t xml:space="preserve"> Supplier </w:t>
      </w:r>
      <w:r w:rsidRPr="0046441B">
        <w:rPr>
          <w:rFonts w:asciiTheme="minorHAnsi" w:hAnsiTheme="minorHAnsi" w:cstheme="minorHAnsi"/>
          <w:spacing w:val="-1"/>
          <w:szCs w:val="22"/>
        </w:rPr>
        <w:t>paid in accordance with the Towns Supplier Payments Policy.</w:t>
      </w:r>
    </w:p>
    <w:p w14:paraId="6C064399" w14:textId="77777777" w:rsidR="00CE4C1A" w:rsidRPr="0046441B" w:rsidRDefault="00CE4C1A" w:rsidP="00CE4C1A">
      <w:pPr>
        <w:pStyle w:val="BodyText"/>
        <w:widowControl w:val="0"/>
        <w:numPr>
          <w:ilvl w:val="0"/>
          <w:numId w:val="40"/>
        </w:numPr>
        <w:spacing w:before="41" w:after="60" w:line="277" w:lineRule="auto"/>
        <w:ind w:left="425" w:right="-46" w:hanging="425"/>
        <w:jc w:val="both"/>
        <w:rPr>
          <w:rFonts w:asciiTheme="minorHAnsi" w:hAnsiTheme="minorHAnsi" w:cstheme="minorHAnsi"/>
          <w:spacing w:val="-1"/>
          <w:szCs w:val="22"/>
        </w:rPr>
      </w:pPr>
      <w:r w:rsidRPr="0046441B">
        <w:rPr>
          <w:rFonts w:asciiTheme="minorHAnsi" w:hAnsiTheme="minorHAnsi" w:cstheme="minorHAnsi"/>
          <w:spacing w:val="-1"/>
          <w:szCs w:val="22"/>
        </w:rPr>
        <w:t>The card is permitted to be used when payment is expected COD.</w:t>
      </w:r>
    </w:p>
    <w:p w14:paraId="475C2CE2" w14:textId="77777777" w:rsidR="00CE4C1A" w:rsidRDefault="00CE4C1A" w:rsidP="00CE4C1A">
      <w:pPr>
        <w:pStyle w:val="BodyText"/>
        <w:widowControl w:val="0"/>
        <w:numPr>
          <w:ilvl w:val="0"/>
          <w:numId w:val="40"/>
        </w:numPr>
        <w:spacing w:before="41" w:after="0" w:line="277" w:lineRule="auto"/>
        <w:ind w:left="425" w:right="95" w:hanging="425"/>
        <w:jc w:val="both"/>
        <w:rPr>
          <w:rFonts w:asciiTheme="minorHAnsi" w:hAnsiTheme="minorHAnsi" w:cstheme="minorHAnsi"/>
          <w:spacing w:val="-1"/>
          <w:szCs w:val="22"/>
        </w:rPr>
      </w:pPr>
      <w:r w:rsidRPr="0046441B">
        <w:rPr>
          <w:rFonts w:asciiTheme="minorHAnsi" w:hAnsiTheme="minorHAnsi" w:cstheme="minorHAnsi"/>
          <w:spacing w:val="-1"/>
          <w:szCs w:val="22"/>
        </w:rPr>
        <w:t>No “tips” shall be paid using a Corporate Credit Card.</w:t>
      </w:r>
    </w:p>
    <w:p w14:paraId="3632ADF2" w14:textId="77777777" w:rsidR="00CE4C1A" w:rsidRPr="007F1103" w:rsidRDefault="00CE4C1A" w:rsidP="00CE4C1A">
      <w:pPr>
        <w:pStyle w:val="BodyText"/>
        <w:widowControl w:val="0"/>
        <w:numPr>
          <w:ilvl w:val="0"/>
          <w:numId w:val="40"/>
        </w:numPr>
        <w:spacing w:before="41" w:after="0" w:line="277" w:lineRule="auto"/>
        <w:ind w:left="425" w:right="95" w:hanging="425"/>
        <w:jc w:val="both"/>
        <w:rPr>
          <w:rFonts w:asciiTheme="minorHAnsi" w:hAnsiTheme="minorHAnsi" w:cstheme="minorHAnsi"/>
          <w:spacing w:val="-1"/>
          <w:szCs w:val="22"/>
        </w:rPr>
      </w:pPr>
      <w:r>
        <w:rPr>
          <w:rFonts w:asciiTheme="minorHAnsi" w:hAnsiTheme="minorHAnsi" w:cstheme="minorHAnsi"/>
          <w:spacing w:val="-1"/>
          <w:szCs w:val="22"/>
        </w:rPr>
        <w:t>Purchases through the internet should be restricted to trusted, secure sites.</w:t>
      </w:r>
    </w:p>
    <w:p w14:paraId="51480091" w14:textId="77777777" w:rsidR="00CE4C1A" w:rsidRPr="00832CA2" w:rsidRDefault="00CE4C1A" w:rsidP="00CE4C1A">
      <w:pPr>
        <w:spacing w:before="200" w:after="0"/>
        <w:rPr>
          <w:rFonts w:cstheme="minorHAnsi"/>
          <w:b/>
          <w:bCs/>
        </w:rPr>
      </w:pPr>
      <w:r w:rsidRPr="00832CA2">
        <w:rPr>
          <w:rFonts w:cstheme="minorHAnsi"/>
          <w:b/>
        </w:rPr>
        <w:t>Where an inappropriate expense occurs</w:t>
      </w:r>
    </w:p>
    <w:p w14:paraId="524AAAD8" w14:textId="77777777" w:rsidR="00CE4C1A" w:rsidRPr="00832CA2" w:rsidRDefault="00CE4C1A" w:rsidP="00CE4C1A">
      <w:pPr>
        <w:spacing w:after="120" w:line="277" w:lineRule="auto"/>
        <w:rPr>
          <w:rFonts w:cstheme="minorHAnsi"/>
          <w:b/>
          <w:i/>
          <w:spacing w:val="-1"/>
        </w:rPr>
      </w:pPr>
      <w:r w:rsidRPr="0046441B">
        <w:rPr>
          <w:rFonts w:cstheme="minorHAnsi"/>
          <w:spacing w:val="-1"/>
        </w:rPr>
        <w:t>Where</w:t>
      </w:r>
      <w:r w:rsidRPr="0046441B">
        <w:rPr>
          <w:rFonts w:cstheme="minorHAnsi"/>
          <w:spacing w:val="1"/>
        </w:rPr>
        <w:t xml:space="preserve"> an </w:t>
      </w:r>
      <w:r w:rsidRPr="0046441B">
        <w:rPr>
          <w:rFonts w:cstheme="minorHAnsi"/>
          <w:spacing w:val="-1"/>
        </w:rPr>
        <w:t>inappropriate</w:t>
      </w:r>
      <w:r w:rsidRPr="0046441B">
        <w:rPr>
          <w:rFonts w:cstheme="minorHAnsi"/>
          <w:spacing w:val="-2"/>
        </w:rPr>
        <w:t xml:space="preserve"> </w:t>
      </w:r>
      <w:r w:rsidRPr="0046441B">
        <w:rPr>
          <w:rFonts w:cstheme="minorHAnsi"/>
          <w:spacing w:val="-1"/>
        </w:rPr>
        <w:t>expenditure</w:t>
      </w:r>
      <w:r w:rsidRPr="0046441B">
        <w:rPr>
          <w:rFonts w:cstheme="minorHAnsi"/>
          <w:spacing w:val="1"/>
        </w:rPr>
        <w:t xml:space="preserve"> </w:t>
      </w:r>
      <w:r w:rsidRPr="0046441B">
        <w:rPr>
          <w:rFonts w:cstheme="minorHAnsi"/>
          <w:spacing w:val="-1"/>
        </w:rPr>
        <w:t>occurs,</w:t>
      </w:r>
      <w:r w:rsidRPr="0046441B">
        <w:rPr>
          <w:rFonts w:cstheme="minorHAnsi"/>
        </w:rPr>
        <w:t xml:space="preserve"> </w:t>
      </w:r>
      <w:r w:rsidRPr="0046441B">
        <w:rPr>
          <w:rFonts w:cstheme="minorHAnsi"/>
          <w:spacing w:val="-2"/>
        </w:rPr>
        <w:t>the</w:t>
      </w:r>
      <w:r w:rsidRPr="0046441B">
        <w:rPr>
          <w:rFonts w:cstheme="minorHAnsi"/>
          <w:spacing w:val="1"/>
        </w:rPr>
        <w:t xml:space="preserve"> </w:t>
      </w:r>
      <w:r w:rsidRPr="0046441B">
        <w:rPr>
          <w:rFonts w:cstheme="minorHAnsi"/>
          <w:spacing w:val="-1"/>
        </w:rPr>
        <w:t>value</w:t>
      </w:r>
      <w:r w:rsidRPr="0046441B">
        <w:rPr>
          <w:rFonts w:cstheme="minorHAnsi"/>
          <w:spacing w:val="-2"/>
        </w:rPr>
        <w:t xml:space="preserve"> </w:t>
      </w:r>
      <w:r w:rsidRPr="0046441B">
        <w:rPr>
          <w:rFonts w:cstheme="minorHAnsi"/>
        </w:rPr>
        <w:t>of</w:t>
      </w:r>
      <w:r w:rsidRPr="0046441B">
        <w:rPr>
          <w:rFonts w:cstheme="minorHAnsi"/>
          <w:spacing w:val="-2"/>
        </w:rPr>
        <w:t xml:space="preserve"> </w:t>
      </w:r>
      <w:r w:rsidRPr="0046441B">
        <w:rPr>
          <w:rFonts w:cstheme="minorHAnsi"/>
          <w:spacing w:val="-1"/>
        </w:rPr>
        <w:t>the</w:t>
      </w:r>
      <w:r w:rsidRPr="0046441B">
        <w:rPr>
          <w:rFonts w:cstheme="minorHAnsi"/>
          <w:spacing w:val="1"/>
        </w:rPr>
        <w:t xml:space="preserve"> </w:t>
      </w:r>
      <w:r w:rsidRPr="0046441B">
        <w:rPr>
          <w:rFonts w:cstheme="minorHAnsi"/>
          <w:spacing w:val="-1"/>
        </w:rPr>
        <w:t>expenditure</w:t>
      </w:r>
      <w:r w:rsidRPr="0046441B">
        <w:rPr>
          <w:rFonts w:cstheme="minorHAnsi"/>
          <w:spacing w:val="-2"/>
        </w:rPr>
        <w:t xml:space="preserve"> </w:t>
      </w:r>
      <w:r w:rsidRPr="0046441B">
        <w:rPr>
          <w:rFonts w:cstheme="minorHAnsi"/>
          <w:spacing w:val="-1"/>
        </w:rPr>
        <w:t>shall</w:t>
      </w:r>
      <w:r w:rsidRPr="0046441B">
        <w:rPr>
          <w:rFonts w:cstheme="minorHAnsi"/>
        </w:rPr>
        <w:t xml:space="preserve"> </w:t>
      </w:r>
      <w:r w:rsidRPr="0046441B">
        <w:rPr>
          <w:rFonts w:cstheme="minorHAnsi"/>
          <w:spacing w:val="-1"/>
        </w:rPr>
        <w:t>be</w:t>
      </w:r>
      <w:r w:rsidRPr="0046441B">
        <w:rPr>
          <w:rFonts w:cstheme="minorHAnsi"/>
          <w:spacing w:val="1"/>
        </w:rPr>
        <w:t xml:space="preserve"> </w:t>
      </w:r>
      <w:r w:rsidRPr="0046441B">
        <w:rPr>
          <w:rFonts w:cstheme="minorHAnsi"/>
          <w:spacing w:val="-1"/>
        </w:rPr>
        <w:t xml:space="preserve">recovered </w:t>
      </w:r>
      <w:r w:rsidRPr="0046441B">
        <w:rPr>
          <w:rFonts w:cstheme="minorHAnsi"/>
          <w:spacing w:val="-2"/>
        </w:rPr>
        <w:t>from</w:t>
      </w:r>
      <w:r w:rsidRPr="0046441B">
        <w:rPr>
          <w:rFonts w:cstheme="minorHAnsi"/>
          <w:spacing w:val="1"/>
        </w:rPr>
        <w:t xml:space="preserve"> </w:t>
      </w:r>
      <w:r w:rsidRPr="0046441B">
        <w:rPr>
          <w:rFonts w:cstheme="minorHAnsi"/>
          <w:spacing w:val="-2"/>
        </w:rPr>
        <w:t>the</w:t>
      </w:r>
      <w:r w:rsidRPr="0046441B">
        <w:rPr>
          <w:rFonts w:cstheme="minorHAnsi"/>
          <w:spacing w:val="1"/>
        </w:rPr>
        <w:t xml:space="preserve"> </w:t>
      </w:r>
      <w:r w:rsidRPr="0046441B">
        <w:rPr>
          <w:rFonts w:cstheme="minorHAnsi"/>
          <w:spacing w:val="-1"/>
        </w:rPr>
        <w:t>cardholder.</w:t>
      </w:r>
      <w:r w:rsidRPr="0046441B">
        <w:rPr>
          <w:rFonts w:cstheme="minorHAnsi"/>
          <w:spacing w:val="49"/>
        </w:rPr>
        <w:t xml:space="preserve"> </w:t>
      </w:r>
      <w:r w:rsidRPr="0046441B">
        <w:rPr>
          <w:rFonts w:cstheme="minorHAnsi"/>
          <w:spacing w:val="-1"/>
        </w:rPr>
        <w:t>Should</w:t>
      </w:r>
      <w:r w:rsidRPr="0046441B">
        <w:rPr>
          <w:rFonts w:cstheme="minorHAnsi"/>
          <w:spacing w:val="-3"/>
        </w:rPr>
        <w:t xml:space="preserve"> </w:t>
      </w:r>
      <w:r w:rsidRPr="0046441B">
        <w:rPr>
          <w:rFonts w:cstheme="minorHAnsi"/>
          <w:spacing w:val="-1"/>
        </w:rPr>
        <w:t>there</w:t>
      </w:r>
      <w:r w:rsidRPr="0046441B">
        <w:rPr>
          <w:rFonts w:cstheme="minorHAnsi"/>
          <w:spacing w:val="-2"/>
        </w:rPr>
        <w:t xml:space="preserve"> </w:t>
      </w:r>
      <w:r w:rsidRPr="0046441B">
        <w:rPr>
          <w:rFonts w:cstheme="minorHAnsi"/>
          <w:spacing w:val="-1"/>
        </w:rPr>
        <w:t>be</w:t>
      </w:r>
      <w:r w:rsidRPr="0046441B">
        <w:rPr>
          <w:rFonts w:cstheme="minorHAnsi"/>
          <w:spacing w:val="1"/>
        </w:rPr>
        <w:t xml:space="preserve"> </w:t>
      </w:r>
      <w:r w:rsidRPr="0046441B">
        <w:rPr>
          <w:rFonts w:cstheme="minorHAnsi"/>
          <w:spacing w:val="-1"/>
        </w:rPr>
        <w:t>an</w:t>
      </w:r>
      <w:r w:rsidRPr="0046441B">
        <w:rPr>
          <w:rFonts w:cstheme="minorHAnsi"/>
          <w:spacing w:val="-3"/>
        </w:rPr>
        <w:t xml:space="preserve"> </w:t>
      </w:r>
      <w:r w:rsidRPr="0046441B">
        <w:rPr>
          <w:rFonts w:cstheme="minorHAnsi"/>
          <w:spacing w:val="-1"/>
        </w:rPr>
        <w:t>accidental</w:t>
      </w:r>
      <w:r w:rsidRPr="0046441B">
        <w:rPr>
          <w:rFonts w:cstheme="minorHAnsi"/>
          <w:spacing w:val="-3"/>
        </w:rPr>
        <w:t xml:space="preserve"> </w:t>
      </w:r>
      <w:r w:rsidRPr="0046441B">
        <w:rPr>
          <w:rFonts w:cstheme="minorHAnsi"/>
          <w:spacing w:val="-1"/>
        </w:rPr>
        <w:t>contravention,</w:t>
      </w:r>
      <w:r w:rsidRPr="0046441B">
        <w:rPr>
          <w:rFonts w:cstheme="minorHAnsi"/>
          <w:spacing w:val="-2"/>
        </w:rPr>
        <w:t xml:space="preserve"> </w:t>
      </w:r>
      <w:r w:rsidRPr="0046441B">
        <w:rPr>
          <w:rFonts w:cstheme="minorHAnsi"/>
          <w:spacing w:val="-1"/>
        </w:rPr>
        <w:t>the</w:t>
      </w:r>
      <w:r w:rsidRPr="0046441B">
        <w:rPr>
          <w:rFonts w:cstheme="minorHAnsi"/>
          <w:spacing w:val="1"/>
        </w:rPr>
        <w:t xml:space="preserve"> </w:t>
      </w:r>
      <w:r>
        <w:rPr>
          <w:rFonts w:cstheme="minorHAnsi"/>
          <w:spacing w:val="1"/>
        </w:rPr>
        <w:t xml:space="preserve">Finance </w:t>
      </w:r>
      <w:r w:rsidRPr="0046441B">
        <w:rPr>
          <w:rFonts w:cstheme="minorHAnsi"/>
          <w:spacing w:val="-1"/>
        </w:rPr>
        <w:t>Manager</w:t>
      </w:r>
      <w:r w:rsidRPr="0046441B">
        <w:rPr>
          <w:rFonts w:cstheme="minorHAnsi"/>
          <w:spacing w:val="-2"/>
        </w:rPr>
        <w:t xml:space="preserve"> </w:t>
      </w:r>
      <w:r w:rsidRPr="00832CA2">
        <w:rPr>
          <w:rFonts w:cstheme="minorHAnsi"/>
          <w:spacing w:val="-1"/>
        </w:rPr>
        <w:t>is</w:t>
      </w:r>
      <w:r w:rsidRPr="00832CA2">
        <w:rPr>
          <w:rFonts w:cstheme="minorHAnsi"/>
        </w:rPr>
        <w:t xml:space="preserve"> </w:t>
      </w:r>
      <w:r w:rsidRPr="00832CA2">
        <w:rPr>
          <w:rFonts w:cstheme="minorHAnsi"/>
          <w:spacing w:val="-1"/>
        </w:rPr>
        <w:t>to</w:t>
      </w:r>
      <w:r w:rsidRPr="00832CA2">
        <w:rPr>
          <w:rFonts w:cstheme="minorHAnsi"/>
          <w:spacing w:val="1"/>
        </w:rPr>
        <w:t xml:space="preserve"> </w:t>
      </w:r>
      <w:r w:rsidRPr="00832CA2">
        <w:rPr>
          <w:rFonts w:cstheme="minorHAnsi"/>
          <w:spacing w:val="-1"/>
        </w:rPr>
        <w:t>be</w:t>
      </w:r>
      <w:r w:rsidRPr="00832CA2">
        <w:rPr>
          <w:rFonts w:cstheme="minorHAnsi"/>
          <w:spacing w:val="-2"/>
        </w:rPr>
        <w:t xml:space="preserve"> </w:t>
      </w:r>
      <w:proofErr w:type="gramStart"/>
      <w:r w:rsidRPr="00832CA2">
        <w:rPr>
          <w:rFonts w:cstheme="minorHAnsi"/>
          <w:spacing w:val="-1"/>
        </w:rPr>
        <w:t>notified</w:t>
      </w:r>
      <w:proofErr w:type="gramEnd"/>
      <w:r w:rsidRPr="00832CA2">
        <w:rPr>
          <w:rFonts w:cstheme="minorHAnsi"/>
          <w:spacing w:val="-1"/>
        </w:rPr>
        <w:t xml:space="preserve"> and the</w:t>
      </w:r>
      <w:r w:rsidRPr="00832CA2">
        <w:rPr>
          <w:rFonts w:cstheme="minorHAnsi"/>
          <w:spacing w:val="1"/>
        </w:rPr>
        <w:t xml:space="preserve"> </w:t>
      </w:r>
      <w:r w:rsidRPr="00832CA2">
        <w:rPr>
          <w:rFonts w:cstheme="minorHAnsi"/>
          <w:spacing w:val="-1"/>
        </w:rPr>
        <w:t>Council</w:t>
      </w:r>
      <w:r w:rsidRPr="00832CA2">
        <w:rPr>
          <w:rFonts w:cstheme="minorHAnsi"/>
        </w:rPr>
        <w:t xml:space="preserve"> </w:t>
      </w:r>
      <w:r w:rsidRPr="00832CA2">
        <w:rPr>
          <w:rFonts w:cstheme="minorHAnsi"/>
          <w:spacing w:val="-1"/>
        </w:rPr>
        <w:t>reimbursed immediately.</w:t>
      </w:r>
    </w:p>
    <w:p w14:paraId="1588F717" w14:textId="77777777" w:rsidR="00CE4C1A" w:rsidRPr="00832CA2" w:rsidRDefault="00CE4C1A" w:rsidP="00CE4C1A">
      <w:pPr>
        <w:spacing w:after="0"/>
        <w:rPr>
          <w:rFonts w:cstheme="minorHAnsi"/>
          <w:b/>
          <w:bCs/>
        </w:rPr>
      </w:pPr>
      <w:r w:rsidRPr="00832CA2">
        <w:rPr>
          <w:rFonts w:cstheme="minorHAnsi"/>
          <w:b/>
        </w:rPr>
        <w:t>Formal</w:t>
      </w:r>
      <w:r w:rsidRPr="00832CA2">
        <w:rPr>
          <w:rFonts w:cstheme="minorHAnsi"/>
          <w:b/>
          <w:spacing w:val="-2"/>
        </w:rPr>
        <w:t xml:space="preserve"> </w:t>
      </w:r>
      <w:r w:rsidRPr="00832CA2">
        <w:rPr>
          <w:rFonts w:cstheme="minorHAnsi"/>
          <w:b/>
        </w:rPr>
        <w:t>acknowledgement of procedure</w:t>
      </w:r>
      <w:r w:rsidRPr="00832CA2">
        <w:rPr>
          <w:rFonts w:cstheme="minorHAnsi"/>
          <w:b/>
          <w:spacing w:val="-2"/>
        </w:rPr>
        <w:t xml:space="preserve"> </w:t>
      </w:r>
      <w:r w:rsidRPr="00832CA2">
        <w:rPr>
          <w:rFonts w:cstheme="minorHAnsi"/>
          <w:b/>
        </w:rPr>
        <w:t>conditions</w:t>
      </w:r>
    </w:p>
    <w:p w14:paraId="427BDFEF" w14:textId="77777777" w:rsidR="00CE4C1A" w:rsidRPr="0046441B" w:rsidRDefault="00CE4C1A" w:rsidP="00CE4C1A">
      <w:pPr>
        <w:jc w:val="both"/>
        <w:rPr>
          <w:rFonts w:cstheme="minorHAnsi"/>
          <w:spacing w:val="49"/>
        </w:rPr>
      </w:pPr>
      <w:r>
        <w:rPr>
          <w:rFonts w:cstheme="minorHAnsi"/>
        </w:rPr>
        <w:t xml:space="preserve"> Staff</w:t>
      </w:r>
      <w:r w:rsidRPr="0046441B">
        <w:rPr>
          <w:rFonts w:cstheme="minorHAnsi"/>
        </w:rPr>
        <w:t xml:space="preserve"> </w:t>
      </w:r>
      <w:r w:rsidRPr="0046441B">
        <w:rPr>
          <w:rFonts w:cstheme="minorHAnsi"/>
          <w:spacing w:val="-1"/>
        </w:rPr>
        <w:t>issued</w:t>
      </w:r>
      <w:r w:rsidRPr="0046441B">
        <w:rPr>
          <w:rFonts w:cstheme="minorHAnsi"/>
          <w:spacing w:val="-3"/>
        </w:rPr>
        <w:t xml:space="preserve"> </w:t>
      </w:r>
      <w:r w:rsidRPr="0046441B">
        <w:rPr>
          <w:rFonts w:cstheme="minorHAnsi"/>
          <w:spacing w:val="-1"/>
        </w:rPr>
        <w:t>with</w:t>
      </w:r>
      <w:r w:rsidRPr="0046441B">
        <w:rPr>
          <w:rFonts w:cstheme="minorHAnsi"/>
          <w:spacing w:val="-3"/>
        </w:rPr>
        <w:t xml:space="preserve"> </w:t>
      </w:r>
      <w:r w:rsidRPr="0046441B">
        <w:rPr>
          <w:rFonts w:cstheme="minorHAnsi"/>
          <w:spacing w:val="-1"/>
        </w:rPr>
        <w:t>Corporate</w:t>
      </w:r>
      <w:r w:rsidRPr="0046441B">
        <w:rPr>
          <w:rFonts w:cstheme="minorHAnsi"/>
          <w:spacing w:val="-2"/>
        </w:rPr>
        <w:t xml:space="preserve"> </w:t>
      </w:r>
      <w:r w:rsidRPr="0046441B">
        <w:rPr>
          <w:rFonts w:cstheme="minorHAnsi"/>
          <w:spacing w:val="-1"/>
        </w:rPr>
        <w:t>Credit</w:t>
      </w:r>
      <w:r w:rsidRPr="0046441B">
        <w:rPr>
          <w:rFonts w:cstheme="minorHAnsi"/>
          <w:spacing w:val="1"/>
        </w:rPr>
        <w:t xml:space="preserve"> </w:t>
      </w:r>
      <w:r w:rsidRPr="0046441B">
        <w:rPr>
          <w:rFonts w:cstheme="minorHAnsi"/>
          <w:spacing w:val="-1"/>
        </w:rPr>
        <w:t>Cards</w:t>
      </w:r>
      <w:r w:rsidRPr="0046441B">
        <w:rPr>
          <w:rFonts w:cstheme="minorHAnsi"/>
          <w:spacing w:val="-2"/>
        </w:rPr>
        <w:t xml:space="preserve"> </w:t>
      </w:r>
      <w:r w:rsidRPr="0046441B">
        <w:rPr>
          <w:rFonts w:cstheme="minorHAnsi"/>
          <w:spacing w:val="-1"/>
        </w:rPr>
        <w:t>are</w:t>
      </w:r>
      <w:r w:rsidRPr="0046441B">
        <w:rPr>
          <w:rFonts w:cstheme="minorHAnsi"/>
          <w:spacing w:val="1"/>
        </w:rPr>
        <w:t xml:space="preserve"> </w:t>
      </w:r>
      <w:r w:rsidRPr="0046441B">
        <w:rPr>
          <w:rFonts w:cstheme="minorHAnsi"/>
          <w:spacing w:val="-1"/>
        </w:rPr>
        <w:t xml:space="preserve">in </w:t>
      </w:r>
      <w:r w:rsidRPr="0046441B">
        <w:rPr>
          <w:rFonts w:cstheme="minorHAnsi"/>
        </w:rPr>
        <w:t xml:space="preserve">a </w:t>
      </w:r>
      <w:r w:rsidRPr="0046441B">
        <w:rPr>
          <w:rFonts w:cstheme="minorHAnsi"/>
          <w:spacing w:val="-1"/>
        </w:rPr>
        <w:t>position of</w:t>
      </w:r>
      <w:r w:rsidRPr="0046441B">
        <w:rPr>
          <w:rFonts w:cstheme="minorHAnsi"/>
        </w:rPr>
        <w:t xml:space="preserve"> </w:t>
      </w:r>
      <w:r w:rsidRPr="0046441B">
        <w:rPr>
          <w:rFonts w:cstheme="minorHAnsi"/>
          <w:spacing w:val="-1"/>
        </w:rPr>
        <w:t>trust</w:t>
      </w:r>
      <w:r w:rsidRPr="0046441B">
        <w:rPr>
          <w:rFonts w:cstheme="minorHAnsi"/>
          <w:spacing w:val="-2"/>
        </w:rPr>
        <w:t xml:space="preserve"> </w:t>
      </w:r>
      <w:r w:rsidRPr="0046441B">
        <w:rPr>
          <w:rFonts w:cstheme="minorHAnsi"/>
          <w:spacing w:val="-1"/>
        </w:rPr>
        <w:t>regarding</w:t>
      </w:r>
      <w:r w:rsidRPr="0046441B">
        <w:rPr>
          <w:rFonts w:cstheme="minorHAnsi"/>
          <w:spacing w:val="1"/>
        </w:rPr>
        <w:t xml:space="preserve"> </w:t>
      </w:r>
      <w:r w:rsidRPr="0046441B">
        <w:rPr>
          <w:rFonts w:cstheme="minorHAnsi"/>
          <w:spacing w:val="-2"/>
        </w:rPr>
        <w:t>the</w:t>
      </w:r>
      <w:r w:rsidRPr="0046441B">
        <w:rPr>
          <w:rFonts w:cstheme="minorHAnsi"/>
          <w:spacing w:val="1"/>
        </w:rPr>
        <w:t xml:space="preserve"> </w:t>
      </w:r>
      <w:r w:rsidRPr="0046441B">
        <w:rPr>
          <w:rFonts w:cstheme="minorHAnsi"/>
          <w:spacing w:val="-1"/>
        </w:rPr>
        <w:t>use</w:t>
      </w:r>
      <w:r w:rsidRPr="0046441B">
        <w:rPr>
          <w:rFonts w:cstheme="minorHAnsi"/>
          <w:spacing w:val="-2"/>
        </w:rPr>
        <w:t xml:space="preserve"> </w:t>
      </w:r>
      <w:r w:rsidRPr="0046441B">
        <w:rPr>
          <w:rFonts w:cstheme="minorHAnsi"/>
        </w:rPr>
        <w:t>of</w:t>
      </w:r>
      <w:r w:rsidRPr="0046441B">
        <w:rPr>
          <w:rFonts w:cstheme="minorHAnsi"/>
          <w:spacing w:val="67"/>
        </w:rPr>
        <w:t xml:space="preserve"> </w:t>
      </w:r>
      <w:r w:rsidRPr="0046441B">
        <w:rPr>
          <w:rFonts w:cstheme="minorHAnsi"/>
          <w:spacing w:val="-1"/>
        </w:rPr>
        <w:t>public</w:t>
      </w:r>
      <w:r w:rsidRPr="0046441B">
        <w:rPr>
          <w:rFonts w:cstheme="minorHAnsi"/>
        </w:rPr>
        <w:t xml:space="preserve"> </w:t>
      </w:r>
      <w:r w:rsidRPr="0046441B">
        <w:rPr>
          <w:rFonts w:cstheme="minorHAnsi"/>
          <w:spacing w:val="-1"/>
        </w:rPr>
        <w:t>funds.</w:t>
      </w:r>
      <w:r w:rsidRPr="0046441B">
        <w:rPr>
          <w:rFonts w:cstheme="minorHAnsi"/>
        </w:rPr>
        <w:t xml:space="preserve"> </w:t>
      </w:r>
      <w:r w:rsidRPr="0046441B">
        <w:rPr>
          <w:rFonts w:cstheme="minorHAnsi"/>
          <w:spacing w:val="-1"/>
        </w:rPr>
        <w:t>Improper</w:t>
      </w:r>
      <w:r w:rsidRPr="0046441B">
        <w:rPr>
          <w:rFonts w:cstheme="minorHAnsi"/>
          <w:spacing w:val="-2"/>
        </w:rPr>
        <w:t xml:space="preserve"> </w:t>
      </w:r>
      <w:r w:rsidRPr="0046441B">
        <w:rPr>
          <w:rFonts w:cstheme="minorHAnsi"/>
          <w:spacing w:val="-1"/>
        </w:rPr>
        <w:t>use</w:t>
      </w:r>
      <w:r w:rsidRPr="0046441B">
        <w:rPr>
          <w:rFonts w:cstheme="minorHAnsi"/>
          <w:spacing w:val="-2"/>
        </w:rPr>
        <w:t xml:space="preserve"> </w:t>
      </w:r>
      <w:r w:rsidRPr="0046441B">
        <w:rPr>
          <w:rFonts w:cstheme="minorHAnsi"/>
        </w:rPr>
        <w:t>of</w:t>
      </w:r>
      <w:r w:rsidRPr="0046441B">
        <w:rPr>
          <w:rFonts w:cstheme="minorHAnsi"/>
          <w:spacing w:val="-2"/>
        </w:rPr>
        <w:t xml:space="preserve"> </w:t>
      </w:r>
      <w:r w:rsidRPr="0046441B">
        <w:rPr>
          <w:rFonts w:cstheme="minorHAnsi"/>
          <w:spacing w:val="-1"/>
        </w:rPr>
        <w:t>that</w:t>
      </w:r>
      <w:r w:rsidRPr="0046441B">
        <w:rPr>
          <w:rFonts w:cstheme="minorHAnsi"/>
          <w:spacing w:val="1"/>
        </w:rPr>
        <w:t xml:space="preserve"> </w:t>
      </w:r>
      <w:r w:rsidRPr="0046441B">
        <w:rPr>
          <w:rFonts w:cstheme="minorHAnsi"/>
          <w:spacing w:val="-1"/>
        </w:rPr>
        <w:t>trust</w:t>
      </w:r>
      <w:r w:rsidRPr="0046441B">
        <w:rPr>
          <w:rFonts w:cstheme="minorHAnsi"/>
          <w:spacing w:val="-2"/>
        </w:rPr>
        <w:t xml:space="preserve"> </w:t>
      </w:r>
      <w:r w:rsidRPr="0046441B">
        <w:rPr>
          <w:rFonts w:cstheme="minorHAnsi"/>
        </w:rPr>
        <w:t>may</w:t>
      </w:r>
      <w:r w:rsidRPr="0046441B">
        <w:rPr>
          <w:rFonts w:cstheme="minorHAnsi"/>
          <w:spacing w:val="-1"/>
        </w:rPr>
        <w:t xml:space="preserve"> render</w:t>
      </w:r>
      <w:r w:rsidRPr="0046441B">
        <w:rPr>
          <w:rFonts w:cstheme="minorHAnsi"/>
          <w:spacing w:val="-2"/>
        </w:rPr>
        <w:t xml:space="preserve"> </w:t>
      </w:r>
      <w:r w:rsidRPr="0046441B">
        <w:rPr>
          <w:rFonts w:cstheme="minorHAnsi"/>
          <w:spacing w:val="-1"/>
        </w:rPr>
        <w:t>the</w:t>
      </w:r>
      <w:r w:rsidRPr="0046441B">
        <w:rPr>
          <w:rFonts w:cstheme="minorHAnsi"/>
          <w:spacing w:val="1"/>
        </w:rPr>
        <w:t xml:space="preserve"> </w:t>
      </w:r>
      <w:r w:rsidRPr="0046441B">
        <w:rPr>
          <w:rFonts w:cstheme="minorHAnsi"/>
          <w:spacing w:val="-1"/>
        </w:rPr>
        <w:t>cardholder</w:t>
      </w:r>
      <w:r w:rsidRPr="0046441B">
        <w:rPr>
          <w:rFonts w:cstheme="minorHAnsi"/>
        </w:rPr>
        <w:t xml:space="preserve"> </w:t>
      </w:r>
      <w:r w:rsidRPr="0046441B">
        <w:rPr>
          <w:rFonts w:cstheme="minorHAnsi"/>
          <w:spacing w:val="-1"/>
        </w:rPr>
        <w:t>liable</w:t>
      </w:r>
      <w:r w:rsidRPr="0046441B">
        <w:rPr>
          <w:rFonts w:cstheme="minorHAnsi"/>
          <w:spacing w:val="-2"/>
        </w:rPr>
        <w:t xml:space="preserve"> </w:t>
      </w:r>
      <w:r w:rsidRPr="0046441B">
        <w:rPr>
          <w:rFonts w:cstheme="minorHAnsi"/>
        </w:rPr>
        <w:t>to</w:t>
      </w:r>
      <w:r w:rsidRPr="0046441B">
        <w:rPr>
          <w:rFonts w:cstheme="minorHAnsi"/>
          <w:spacing w:val="-1"/>
        </w:rPr>
        <w:t xml:space="preserve"> disciplinary</w:t>
      </w:r>
      <w:r w:rsidRPr="0046441B">
        <w:rPr>
          <w:rFonts w:cstheme="minorHAnsi"/>
          <w:spacing w:val="1"/>
        </w:rPr>
        <w:t xml:space="preserve"> </w:t>
      </w:r>
      <w:r w:rsidRPr="0046441B">
        <w:rPr>
          <w:rFonts w:cstheme="minorHAnsi"/>
          <w:spacing w:val="-1"/>
        </w:rPr>
        <w:t>action,</w:t>
      </w:r>
      <w:r w:rsidRPr="0046441B">
        <w:rPr>
          <w:rFonts w:cstheme="minorHAnsi"/>
        </w:rPr>
        <w:t xml:space="preserve"> </w:t>
      </w:r>
      <w:r w:rsidRPr="0046441B">
        <w:rPr>
          <w:rFonts w:cstheme="minorHAnsi"/>
          <w:spacing w:val="-1"/>
        </w:rPr>
        <w:t>legal</w:t>
      </w:r>
      <w:r w:rsidRPr="0046441B">
        <w:rPr>
          <w:rFonts w:cstheme="minorHAnsi"/>
          <w:spacing w:val="54"/>
        </w:rPr>
        <w:t xml:space="preserve"> </w:t>
      </w:r>
      <w:r w:rsidRPr="0046441B">
        <w:rPr>
          <w:rFonts w:cstheme="minorHAnsi"/>
          <w:spacing w:val="-1"/>
        </w:rPr>
        <w:t>action,</w:t>
      </w:r>
      <w:r w:rsidRPr="0046441B">
        <w:rPr>
          <w:rFonts w:cstheme="minorHAnsi"/>
          <w:spacing w:val="-3"/>
        </w:rPr>
        <w:t xml:space="preserve"> </w:t>
      </w:r>
      <w:r w:rsidRPr="0046441B">
        <w:rPr>
          <w:rFonts w:cstheme="minorHAnsi"/>
        </w:rPr>
        <w:t>or</w:t>
      </w:r>
      <w:r w:rsidRPr="0046441B">
        <w:rPr>
          <w:rFonts w:cstheme="minorHAnsi"/>
          <w:spacing w:val="-2"/>
        </w:rPr>
        <w:t xml:space="preserve"> </w:t>
      </w:r>
      <w:r w:rsidRPr="0046441B">
        <w:rPr>
          <w:rFonts w:cstheme="minorHAnsi"/>
          <w:spacing w:val="-1"/>
        </w:rPr>
        <w:t>criminal</w:t>
      </w:r>
      <w:r w:rsidRPr="0046441B">
        <w:rPr>
          <w:rFonts w:cstheme="minorHAnsi"/>
        </w:rPr>
        <w:t xml:space="preserve"> </w:t>
      </w:r>
      <w:r w:rsidRPr="0046441B">
        <w:rPr>
          <w:rFonts w:cstheme="minorHAnsi"/>
          <w:spacing w:val="-1"/>
        </w:rPr>
        <w:t>prosecution.</w:t>
      </w:r>
      <w:r w:rsidRPr="0046441B">
        <w:rPr>
          <w:rFonts w:cstheme="minorHAnsi"/>
          <w:spacing w:val="49"/>
        </w:rPr>
        <w:t xml:space="preserve"> </w:t>
      </w:r>
    </w:p>
    <w:p w14:paraId="254A9E9B" w14:textId="77777777" w:rsidR="00CE4C1A" w:rsidRPr="0046441B" w:rsidRDefault="00CE4C1A" w:rsidP="00CE4C1A">
      <w:pPr>
        <w:jc w:val="both"/>
        <w:rPr>
          <w:rFonts w:cstheme="minorHAnsi"/>
          <w:spacing w:val="-1"/>
        </w:rPr>
      </w:pPr>
      <w:r w:rsidRPr="0046441B">
        <w:rPr>
          <w:rFonts w:cstheme="minorHAnsi"/>
          <w:spacing w:val="-1"/>
        </w:rPr>
        <w:t>All</w:t>
      </w:r>
      <w:r w:rsidRPr="0046441B">
        <w:rPr>
          <w:rFonts w:cstheme="minorHAnsi"/>
        </w:rPr>
        <w:t xml:space="preserve"> </w:t>
      </w:r>
      <w:r w:rsidRPr="0046441B">
        <w:rPr>
          <w:rFonts w:cstheme="minorHAnsi"/>
          <w:spacing w:val="-1"/>
        </w:rPr>
        <w:t>Corporate Credit Cardholders</w:t>
      </w:r>
      <w:r w:rsidRPr="0046441B">
        <w:rPr>
          <w:rFonts w:cstheme="minorHAnsi"/>
        </w:rPr>
        <w:t xml:space="preserve"> </w:t>
      </w:r>
      <w:r w:rsidRPr="0046441B">
        <w:rPr>
          <w:rFonts w:cstheme="minorHAnsi"/>
          <w:spacing w:val="-1"/>
        </w:rPr>
        <w:t>are to</w:t>
      </w:r>
      <w:r w:rsidRPr="0046441B">
        <w:rPr>
          <w:rFonts w:cstheme="minorHAnsi"/>
          <w:spacing w:val="1"/>
        </w:rPr>
        <w:t xml:space="preserve"> </w:t>
      </w:r>
      <w:r w:rsidRPr="0046441B">
        <w:rPr>
          <w:rFonts w:cstheme="minorHAnsi"/>
          <w:spacing w:val="-1"/>
        </w:rPr>
        <w:t>acknowledge</w:t>
      </w:r>
      <w:r w:rsidRPr="0046441B">
        <w:rPr>
          <w:rFonts w:cstheme="minorHAnsi"/>
          <w:spacing w:val="1"/>
        </w:rPr>
        <w:t xml:space="preserve"> </w:t>
      </w:r>
      <w:r w:rsidRPr="0046441B">
        <w:rPr>
          <w:rFonts w:cstheme="minorHAnsi"/>
          <w:spacing w:val="-2"/>
        </w:rPr>
        <w:t>receipt</w:t>
      </w:r>
      <w:r w:rsidRPr="0046441B">
        <w:rPr>
          <w:rFonts w:cstheme="minorHAnsi"/>
          <w:spacing w:val="1"/>
        </w:rPr>
        <w:t xml:space="preserve"> </w:t>
      </w:r>
      <w:r w:rsidRPr="0046441B">
        <w:rPr>
          <w:rFonts w:cstheme="minorHAnsi"/>
        </w:rPr>
        <w:t>of</w:t>
      </w:r>
      <w:r w:rsidRPr="0046441B">
        <w:rPr>
          <w:rFonts w:cstheme="minorHAnsi"/>
          <w:spacing w:val="-2"/>
        </w:rPr>
        <w:t xml:space="preserve"> </w:t>
      </w:r>
      <w:r w:rsidRPr="0046441B">
        <w:rPr>
          <w:rFonts w:cstheme="minorHAnsi"/>
          <w:spacing w:val="-1"/>
        </w:rPr>
        <w:t xml:space="preserve">their corporate credit card by signing a </w:t>
      </w:r>
      <w:r w:rsidRPr="0046441B">
        <w:rPr>
          <w:rFonts w:cstheme="minorHAnsi"/>
          <w:i/>
          <w:spacing w:val="-1"/>
        </w:rPr>
        <w:t>Corporate Credit</w:t>
      </w:r>
      <w:r w:rsidRPr="0046441B">
        <w:rPr>
          <w:rFonts w:cstheme="minorHAnsi"/>
          <w:i/>
          <w:spacing w:val="-2"/>
        </w:rPr>
        <w:t xml:space="preserve"> </w:t>
      </w:r>
      <w:r w:rsidRPr="0046441B">
        <w:rPr>
          <w:rFonts w:cstheme="minorHAnsi"/>
          <w:i/>
          <w:spacing w:val="-1"/>
        </w:rPr>
        <w:t xml:space="preserve">Card Acknowledgment and Conditions of Use </w:t>
      </w:r>
      <w:r w:rsidRPr="0046441B">
        <w:rPr>
          <w:rFonts w:cstheme="minorHAnsi"/>
          <w:spacing w:val="-1"/>
        </w:rPr>
        <w:t>form (attachment</w:t>
      </w:r>
      <w:r w:rsidRPr="0046441B">
        <w:rPr>
          <w:rFonts w:cstheme="minorHAnsi"/>
          <w:spacing w:val="1"/>
        </w:rPr>
        <w:t xml:space="preserve"> </w:t>
      </w:r>
      <w:r w:rsidRPr="0046441B">
        <w:rPr>
          <w:rFonts w:cstheme="minorHAnsi"/>
          <w:spacing w:val="-1"/>
        </w:rPr>
        <w:t>A).</w:t>
      </w:r>
    </w:p>
    <w:p w14:paraId="3AB35E6D" w14:textId="77777777" w:rsidR="00CE4C1A" w:rsidRPr="0046441B" w:rsidRDefault="00CE4C1A" w:rsidP="00CE4C1A">
      <w:pPr>
        <w:spacing w:line="277" w:lineRule="auto"/>
        <w:jc w:val="both"/>
        <w:rPr>
          <w:rFonts w:eastAsia="Calibri" w:cstheme="minorHAnsi"/>
          <w:spacing w:val="-1"/>
        </w:rPr>
      </w:pPr>
      <w:r w:rsidRPr="0046441B">
        <w:rPr>
          <w:rFonts w:eastAsia="Calibri" w:cstheme="minorHAnsi"/>
          <w:spacing w:val="-1"/>
        </w:rPr>
        <w:t>All Corporate Credit Cards issued will be recorded on the Credit Cardholders Personnel file. (Human Resources)</w:t>
      </w:r>
    </w:p>
    <w:p w14:paraId="0E3A4555" w14:textId="77777777" w:rsidR="00CE4C1A" w:rsidRPr="00832CA2" w:rsidRDefault="00CE4C1A" w:rsidP="00CE4C1A">
      <w:pPr>
        <w:spacing w:after="0"/>
        <w:rPr>
          <w:rFonts w:cstheme="minorHAnsi"/>
          <w:b/>
          <w:bCs/>
        </w:rPr>
      </w:pPr>
      <w:r w:rsidRPr="00832CA2">
        <w:rPr>
          <w:rFonts w:cstheme="minorHAnsi"/>
          <w:b/>
        </w:rPr>
        <w:t>Cardholder</w:t>
      </w:r>
      <w:r w:rsidRPr="00832CA2">
        <w:rPr>
          <w:rFonts w:cstheme="minorHAnsi"/>
          <w:b/>
          <w:spacing w:val="-2"/>
        </w:rPr>
        <w:t xml:space="preserve"> </w:t>
      </w:r>
      <w:r w:rsidRPr="00832CA2">
        <w:rPr>
          <w:rFonts w:cstheme="minorHAnsi"/>
          <w:b/>
        </w:rPr>
        <w:t>responsibilities</w:t>
      </w:r>
    </w:p>
    <w:p w14:paraId="6C827729" w14:textId="77777777" w:rsidR="00CE4C1A" w:rsidRPr="0046441B" w:rsidRDefault="00CE4C1A" w:rsidP="00CE4C1A">
      <w:pPr>
        <w:pStyle w:val="BodyText"/>
        <w:spacing w:after="60"/>
        <w:ind w:left="0"/>
        <w:jc w:val="both"/>
        <w:rPr>
          <w:rFonts w:cstheme="minorHAnsi"/>
          <w:spacing w:val="-3"/>
        </w:rPr>
      </w:pPr>
      <w:r w:rsidRPr="0046441B">
        <w:rPr>
          <w:rFonts w:asciiTheme="minorHAnsi" w:hAnsiTheme="minorHAnsi" w:cstheme="minorHAnsi"/>
          <w:spacing w:val="-1"/>
          <w:szCs w:val="22"/>
        </w:rPr>
        <w:t>Cardholders</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are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required to</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abide</w:t>
      </w:r>
      <w:r w:rsidRPr="0046441B">
        <w:rPr>
          <w:rFonts w:asciiTheme="minorHAnsi" w:hAnsiTheme="minorHAnsi" w:cstheme="minorHAnsi"/>
          <w:spacing w:val="1"/>
          <w:szCs w:val="22"/>
        </w:rPr>
        <w:t xml:space="preserve"> </w:t>
      </w:r>
      <w:r w:rsidRPr="0046441B">
        <w:rPr>
          <w:rFonts w:asciiTheme="minorHAnsi" w:hAnsiTheme="minorHAnsi" w:cstheme="minorHAnsi"/>
          <w:spacing w:val="-2"/>
          <w:szCs w:val="22"/>
        </w:rPr>
        <w:t>by</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the</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Town’s</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internal</w:t>
      </w:r>
      <w:r w:rsidRPr="0046441B">
        <w:rPr>
          <w:rFonts w:asciiTheme="minorHAnsi" w:hAnsiTheme="minorHAnsi" w:cstheme="minorHAnsi"/>
          <w:szCs w:val="22"/>
        </w:rPr>
        <w:t xml:space="preserve"> </w:t>
      </w:r>
      <w:r w:rsidRPr="0046441B">
        <w:rPr>
          <w:rFonts w:asciiTheme="minorHAnsi" w:hAnsiTheme="minorHAnsi" w:cstheme="minorHAnsi"/>
          <w:spacing w:val="-1"/>
          <w:szCs w:val="22"/>
        </w:rPr>
        <w:t>procedures</w:t>
      </w:r>
      <w:r>
        <w:rPr>
          <w:rFonts w:asciiTheme="minorHAnsi" w:hAnsiTheme="minorHAnsi" w:cstheme="minorHAnsi"/>
          <w:spacing w:val="-1"/>
          <w:szCs w:val="22"/>
        </w:rPr>
        <w:t>.</w:t>
      </w:r>
    </w:p>
    <w:p w14:paraId="64226351" w14:textId="77777777" w:rsidR="00CE4C1A" w:rsidRPr="0046441B" w:rsidRDefault="00CE4C1A" w:rsidP="00CE4C1A">
      <w:pPr>
        <w:spacing w:line="275" w:lineRule="auto"/>
        <w:ind w:right="-24"/>
        <w:jc w:val="both"/>
        <w:rPr>
          <w:rFonts w:cstheme="minorHAnsi"/>
        </w:rPr>
      </w:pPr>
      <w:r w:rsidRPr="0046441B">
        <w:rPr>
          <w:rFonts w:cstheme="minorHAnsi"/>
          <w:spacing w:val="-1"/>
        </w:rPr>
        <w:lastRenderedPageBreak/>
        <w:t>Where</w:t>
      </w:r>
      <w:r w:rsidRPr="0046441B">
        <w:rPr>
          <w:rFonts w:cstheme="minorHAnsi"/>
          <w:spacing w:val="-2"/>
        </w:rPr>
        <w:t xml:space="preserve"> </w:t>
      </w:r>
      <w:r w:rsidRPr="0046441B">
        <w:rPr>
          <w:rFonts w:cstheme="minorHAnsi"/>
          <w:spacing w:val="-1"/>
        </w:rPr>
        <w:t>cardholders</w:t>
      </w:r>
      <w:r w:rsidRPr="0046441B">
        <w:rPr>
          <w:rFonts w:cstheme="minorHAnsi"/>
        </w:rPr>
        <w:t xml:space="preserve"> </w:t>
      </w:r>
      <w:r w:rsidRPr="0046441B">
        <w:rPr>
          <w:rFonts w:cstheme="minorHAnsi"/>
          <w:spacing w:val="-1"/>
        </w:rPr>
        <w:t>fail</w:t>
      </w:r>
      <w:r w:rsidRPr="0046441B">
        <w:rPr>
          <w:rFonts w:cstheme="minorHAnsi"/>
          <w:spacing w:val="-2"/>
        </w:rPr>
        <w:t xml:space="preserve"> </w:t>
      </w:r>
      <w:r w:rsidRPr="0046441B">
        <w:rPr>
          <w:rFonts w:cstheme="minorHAnsi"/>
        </w:rPr>
        <w:t>to</w:t>
      </w:r>
      <w:r w:rsidRPr="0046441B">
        <w:rPr>
          <w:rFonts w:cstheme="minorHAnsi"/>
          <w:spacing w:val="-1"/>
        </w:rPr>
        <w:t xml:space="preserve"> </w:t>
      </w:r>
      <w:r w:rsidRPr="0046441B">
        <w:rPr>
          <w:rFonts w:cstheme="minorHAnsi"/>
          <w:spacing w:val="-2"/>
        </w:rPr>
        <w:t>fulfil</w:t>
      </w:r>
      <w:r w:rsidRPr="0046441B">
        <w:rPr>
          <w:rFonts w:cstheme="minorHAnsi"/>
        </w:rPr>
        <w:t xml:space="preserve"> </w:t>
      </w:r>
      <w:r w:rsidRPr="0046441B">
        <w:rPr>
          <w:rFonts w:cstheme="minorHAnsi"/>
          <w:spacing w:val="-1"/>
        </w:rPr>
        <w:t>the</w:t>
      </w:r>
      <w:r w:rsidRPr="0046441B">
        <w:rPr>
          <w:rFonts w:cstheme="minorHAnsi"/>
          <w:spacing w:val="1"/>
        </w:rPr>
        <w:t xml:space="preserve"> </w:t>
      </w:r>
      <w:r>
        <w:rPr>
          <w:rFonts w:cstheme="minorHAnsi"/>
          <w:spacing w:val="1"/>
        </w:rPr>
        <w:t xml:space="preserve">Town’s internal procedures or </w:t>
      </w:r>
      <w:r w:rsidRPr="0046441B">
        <w:rPr>
          <w:rFonts w:cstheme="minorHAnsi"/>
          <w:spacing w:val="-1"/>
        </w:rPr>
        <w:t>requirements,</w:t>
      </w:r>
      <w:r w:rsidRPr="0046441B">
        <w:rPr>
          <w:rFonts w:cstheme="minorHAnsi"/>
        </w:rPr>
        <w:t xml:space="preserve"> </w:t>
      </w:r>
      <w:r w:rsidRPr="0046441B">
        <w:rPr>
          <w:rFonts w:cstheme="minorHAnsi"/>
          <w:spacing w:val="-1"/>
        </w:rPr>
        <w:t>the</w:t>
      </w:r>
      <w:r w:rsidRPr="0046441B">
        <w:rPr>
          <w:rFonts w:cstheme="minorHAnsi"/>
          <w:spacing w:val="-2"/>
        </w:rPr>
        <w:t xml:space="preserve"> </w:t>
      </w:r>
      <w:r w:rsidRPr="0046441B">
        <w:rPr>
          <w:rFonts w:cstheme="minorHAnsi"/>
          <w:spacing w:val="-1"/>
        </w:rPr>
        <w:t>CEO</w:t>
      </w:r>
      <w:r w:rsidRPr="0046441B">
        <w:rPr>
          <w:rFonts w:cstheme="minorHAnsi"/>
          <w:spacing w:val="-2"/>
        </w:rPr>
        <w:t xml:space="preserve"> </w:t>
      </w:r>
      <w:r w:rsidRPr="0046441B">
        <w:rPr>
          <w:rFonts w:cstheme="minorHAnsi"/>
          <w:spacing w:val="-1"/>
        </w:rPr>
        <w:t>may</w:t>
      </w:r>
      <w:r w:rsidRPr="0046441B">
        <w:rPr>
          <w:rFonts w:cstheme="minorHAnsi"/>
          <w:spacing w:val="1"/>
        </w:rPr>
        <w:t xml:space="preserve"> </w:t>
      </w:r>
      <w:r w:rsidRPr="0046441B">
        <w:rPr>
          <w:rFonts w:cstheme="minorHAnsi"/>
          <w:spacing w:val="-1"/>
        </w:rPr>
        <w:t>cancel</w:t>
      </w:r>
      <w:r w:rsidRPr="0046441B">
        <w:rPr>
          <w:rFonts w:cstheme="minorHAnsi"/>
          <w:spacing w:val="-3"/>
        </w:rPr>
        <w:t xml:space="preserve"> </w:t>
      </w:r>
      <w:r w:rsidRPr="0046441B">
        <w:rPr>
          <w:rFonts w:cstheme="minorHAnsi"/>
          <w:spacing w:val="-1"/>
        </w:rPr>
        <w:t>the</w:t>
      </w:r>
      <w:r w:rsidRPr="0046441B">
        <w:rPr>
          <w:rFonts w:cstheme="minorHAnsi"/>
          <w:spacing w:val="-2"/>
        </w:rPr>
        <w:t xml:space="preserve"> </w:t>
      </w:r>
      <w:r w:rsidRPr="0046441B">
        <w:rPr>
          <w:rFonts w:cstheme="minorHAnsi"/>
          <w:spacing w:val="-1"/>
        </w:rPr>
        <w:t>card and revoke</w:t>
      </w:r>
      <w:r w:rsidRPr="0046441B">
        <w:rPr>
          <w:rFonts w:cstheme="minorHAnsi"/>
          <w:spacing w:val="65"/>
        </w:rPr>
        <w:t xml:space="preserve"> </w:t>
      </w:r>
      <w:r w:rsidRPr="0046441B">
        <w:rPr>
          <w:rFonts w:cstheme="minorHAnsi"/>
          <w:spacing w:val="-1"/>
        </w:rPr>
        <w:t>purchasing delegations.</w:t>
      </w:r>
    </w:p>
    <w:p w14:paraId="16490B58" w14:textId="77777777" w:rsidR="00CE4C1A" w:rsidRPr="00832CA2" w:rsidRDefault="00CE4C1A" w:rsidP="00CE4C1A">
      <w:pPr>
        <w:spacing w:after="0"/>
        <w:rPr>
          <w:rFonts w:cstheme="minorHAnsi"/>
          <w:b/>
          <w:bCs/>
        </w:rPr>
      </w:pPr>
      <w:r w:rsidRPr="00832CA2">
        <w:rPr>
          <w:rFonts w:cstheme="minorHAnsi"/>
          <w:b/>
        </w:rPr>
        <w:t>Procedure</w:t>
      </w:r>
      <w:r w:rsidRPr="00832CA2">
        <w:rPr>
          <w:rFonts w:cstheme="minorHAnsi"/>
          <w:b/>
          <w:spacing w:val="-2"/>
        </w:rPr>
        <w:t xml:space="preserve"> </w:t>
      </w:r>
      <w:r w:rsidRPr="00832CA2">
        <w:rPr>
          <w:rFonts w:cstheme="minorHAnsi"/>
          <w:b/>
        </w:rPr>
        <w:t>for</w:t>
      </w:r>
      <w:r w:rsidRPr="00832CA2">
        <w:rPr>
          <w:rFonts w:cstheme="minorHAnsi"/>
          <w:b/>
          <w:spacing w:val="1"/>
        </w:rPr>
        <w:t xml:space="preserve"> </w:t>
      </w:r>
      <w:r w:rsidRPr="00832CA2">
        <w:rPr>
          <w:rFonts w:cstheme="minorHAnsi"/>
          <w:b/>
        </w:rPr>
        <w:t>lost,</w:t>
      </w:r>
      <w:r w:rsidRPr="00832CA2">
        <w:rPr>
          <w:rFonts w:cstheme="minorHAnsi"/>
          <w:b/>
          <w:spacing w:val="1"/>
        </w:rPr>
        <w:t xml:space="preserve"> </w:t>
      </w:r>
      <w:r w:rsidRPr="00832CA2">
        <w:rPr>
          <w:rFonts w:cstheme="minorHAnsi"/>
          <w:b/>
          <w:spacing w:val="-2"/>
        </w:rPr>
        <w:t>stolen</w:t>
      </w:r>
      <w:r w:rsidRPr="00832CA2">
        <w:rPr>
          <w:rFonts w:cstheme="minorHAnsi"/>
          <w:b/>
          <w:spacing w:val="1"/>
        </w:rPr>
        <w:t xml:space="preserve"> </w:t>
      </w:r>
      <w:r w:rsidRPr="00832CA2">
        <w:rPr>
          <w:rFonts w:cstheme="minorHAnsi"/>
          <w:b/>
          <w:spacing w:val="-2"/>
        </w:rPr>
        <w:t>or</w:t>
      </w:r>
      <w:r w:rsidRPr="00832CA2">
        <w:rPr>
          <w:rFonts w:cstheme="minorHAnsi"/>
          <w:b/>
          <w:spacing w:val="1"/>
        </w:rPr>
        <w:t xml:space="preserve"> </w:t>
      </w:r>
      <w:r w:rsidRPr="00832CA2">
        <w:rPr>
          <w:rFonts w:cstheme="minorHAnsi"/>
          <w:b/>
        </w:rPr>
        <w:t>damaged</w:t>
      </w:r>
      <w:r w:rsidRPr="00832CA2">
        <w:rPr>
          <w:rFonts w:cstheme="minorHAnsi"/>
          <w:b/>
          <w:spacing w:val="-2"/>
        </w:rPr>
        <w:t xml:space="preserve"> </w:t>
      </w:r>
      <w:r w:rsidRPr="00832CA2">
        <w:rPr>
          <w:rFonts w:cstheme="minorHAnsi"/>
          <w:b/>
        </w:rPr>
        <w:t>cards</w:t>
      </w:r>
    </w:p>
    <w:p w14:paraId="0B44FE8C" w14:textId="77777777" w:rsidR="00CE4C1A" w:rsidRPr="0046441B" w:rsidRDefault="00CE4C1A" w:rsidP="00CE4C1A">
      <w:pPr>
        <w:pStyle w:val="BodyText"/>
        <w:spacing w:after="60" w:line="278" w:lineRule="auto"/>
        <w:ind w:left="0" w:right="-46"/>
        <w:jc w:val="both"/>
        <w:rPr>
          <w:rFonts w:asciiTheme="minorHAnsi" w:hAnsiTheme="minorHAnsi" w:cstheme="minorHAnsi"/>
          <w:spacing w:val="-1"/>
          <w:szCs w:val="22"/>
        </w:rPr>
      </w:pPr>
      <w:r w:rsidRPr="0046441B">
        <w:rPr>
          <w:rFonts w:asciiTheme="minorHAnsi" w:hAnsiTheme="minorHAnsi" w:cstheme="minorHAnsi"/>
          <w:spacing w:val="-1"/>
          <w:szCs w:val="22"/>
        </w:rPr>
        <w:t>Cardholders</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are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personally responsible</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and accountable</w:t>
      </w:r>
      <w:r w:rsidRPr="0046441B">
        <w:rPr>
          <w:rFonts w:asciiTheme="minorHAnsi" w:hAnsiTheme="minorHAnsi" w:cstheme="minorHAnsi"/>
          <w:spacing w:val="1"/>
          <w:szCs w:val="22"/>
        </w:rPr>
        <w:t xml:space="preserve"> </w:t>
      </w:r>
      <w:r w:rsidRPr="0046441B">
        <w:rPr>
          <w:rFonts w:asciiTheme="minorHAnsi" w:hAnsiTheme="minorHAnsi" w:cstheme="minorHAnsi"/>
          <w:szCs w:val="22"/>
        </w:rPr>
        <w:t>for</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the</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safe</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 xml:space="preserve">custody </w:t>
      </w:r>
      <w:r w:rsidRPr="0046441B">
        <w:rPr>
          <w:rFonts w:asciiTheme="minorHAnsi" w:hAnsiTheme="minorHAnsi" w:cstheme="minorHAnsi"/>
          <w:szCs w:val="22"/>
        </w:rPr>
        <w:t xml:space="preserve">of </w:t>
      </w:r>
      <w:r w:rsidRPr="0046441B">
        <w:rPr>
          <w:rFonts w:asciiTheme="minorHAnsi" w:hAnsiTheme="minorHAnsi" w:cstheme="minorHAnsi"/>
          <w:spacing w:val="-1"/>
          <w:szCs w:val="22"/>
        </w:rPr>
        <w:t>the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issued card.</w:t>
      </w:r>
      <w:r w:rsidRPr="0046441B">
        <w:rPr>
          <w:rFonts w:asciiTheme="minorHAnsi" w:hAnsiTheme="minorHAnsi" w:cstheme="minorHAnsi"/>
          <w:spacing w:val="47"/>
          <w:szCs w:val="22"/>
        </w:rPr>
        <w:t xml:space="preserve"> </w:t>
      </w:r>
      <w:r w:rsidRPr="0046441B">
        <w:rPr>
          <w:rFonts w:asciiTheme="minorHAnsi" w:hAnsiTheme="minorHAnsi" w:cstheme="minorHAnsi"/>
          <w:szCs w:val="22"/>
        </w:rPr>
        <w:t>Cardholders</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must:</w:t>
      </w:r>
    </w:p>
    <w:p w14:paraId="70E5F096" w14:textId="77777777" w:rsidR="00CE4C1A" w:rsidRPr="0046441B" w:rsidRDefault="00CE4C1A" w:rsidP="002A3889">
      <w:pPr>
        <w:pStyle w:val="BodyText"/>
        <w:widowControl w:val="0"/>
        <w:numPr>
          <w:ilvl w:val="2"/>
          <w:numId w:val="42"/>
        </w:numPr>
        <w:spacing w:after="60" w:line="273" w:lineRule="auto"/>
        <w:ind w:left="425" w:right="-46" w:hanging="425"/>
        <w:jc w:val="both"/>
        <w:rPr>
          <w:rFonts w:asciiTheme="minorHAnsi" w:hAnsiTheme="minorHAnsi" w:cstheme="minorHAnsi"/>
          <w:szCs w:val="22"/>
        </w:rPr>
      </w:pPr>
      <w:r w:rsidRPr="0046441B">
        <w:rPr>
          <w:rFonts w:asciiTheme="minorHAnsi" w:hAnsiTheme="minorHAnsi" w:cstheme="minorHAnsi"/>
          <w:szCs w:val="22"/>
        </w:rPr>
        <w:t>Always keep the Corporate Credit Card with them</w:t>
      </w:r>
      <w:r w:rsidRPr="0046441B">
        <w:rPr>
          <w:rFonts w:asciiTheme="minorHAnsi" w:hAnsiTheme="minorHAnsi" w:cstheme="minorHAnsi"/>
          <w:spacing w:val="-1"/>
          <w:szCs w:val="22"/>
        </w:rPr>
        <w:t>.</w:t>
      </w:r>
      <w:r w:rsidRPr="0046441B">
        <w:rPr>
          <w:rFonts w:asciiTheme="minorHAnsi" w:hAnsiTheme="minorHAnsi" w:cstheme="minorHAnsi"/>
          <w:spacing w:val="47"/>
          <w:szCs w:val="22"/>
        </w:rPr>
        <w:t xml:space="preserve"> </w:t>
      </w:r>
      <w:r w:rsidRPr="0046441B">
        <w:rPr>
          <w:rFonts w:asciiTheme="minorHAnsi" w:hAnsiTheme="minorHAnsi" w:cstheme="minorHAnsi"/>
          <w:spacing w:val="-1"/>
          <w:szCs w:val="22"/>
        </w:rPr>
        <w:t>This</w:t>
      </w:r>
      <w:r w:rsidRPr="0046441B">
        <w:rPr>
          <w:rFonts w:asciiTheme="minorHAnsi" w:hAnsiTheme="minorHAnsi" w:cstheme="minorHAnsi"/>
          <w:szCs w:val="22"/>
        </w:rPr>
        <w:t xml:space="preserve"> </w:t>
      </w:r>
      <w:r w:rsidRPr="0046441B">
        <w:rPr>
          <w:rFonts w:asciiTheme="minorHAnsi" w:hAnsiTheme="minorHAnsi" w:cstheme="minorHAnsi"/>
          <w:spacing w:val="-1"/>
          <w:szCs w:val="22"/>
        </w:rPr>
        <w:t>will</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ensure the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card</w:t>
      </w:r>
      <w:r w:rsidRPr="0046441B">
        <w:rPr>
          <w:rFonts w:asciiTheme="minorHAnsi" w:hAnsiTheme="minorHAnsi" w:cstheme="minorHAnsi"/>
          <w:szCs w:val="22"/>
        </w:rPr>
        <w:t xml:space="preserve"> </w:t>
      </w:r>
      <w:r w:rsidRPr="0046441B">
        <w:rPr>
          <w:rFonts w:asciiTheme="minorHAnsi" w:hAnsiTheme="minorHAnsi" w:cstheme="minorHAnsi"/>
          <w:spacing w:val="-1"/>
          <w:szCs w:val="22"/>
        </w:rPr>
        <w:t>is always secure</w:t>
      </w:r>
      <w:r w:rsidRPr="0046441B">
        <w:rPr>
          <w:rFonts w:asciiTheme="minorHAnsi" w:hAnsiTheme="minorHAnsi" w:cstheme="minorHAnsi"/>
          <w:szCs w:val="22"/>
        </w:rPr>
        <w:t xml:space="preserve"> </w:t>
      </w:r>
      <w:r w:rsidRPr="0046441B">
        <w:rPr>
          <w:rFonts w:asciiTheme="minorHAnsi" w:hAnsiTheme="minorHAnsi" w:cstheme="minorHAnsi"/>
          <w:spacing w:val="-1"/>
          <w:szCs w:val="22"/>
        </w:rPr>
        <w:t>to</w:t>
      </w:r>
      <w:r w:rsidRPr="0046441B">
        <w:rPr>
          <w:rFonts w:asciiTheme="minorHAnsi" w:hAnsiTheme="minorHAnsi" w:cstheme="minorHAnsi"/>
          <w:spacing w:val="1"/>
          <w:szCs w:val="22"/>
        </w:rPr>
        <w:t xml:space="preserve"> </w:t>
      </w:r>
      <w:r w:rsidRPr="0046441B">
        <w:rPr>
          <w:rFonts w:asciiTheme="minorHAnsi" w:hAnsiTheme="minorHAnsi" w:cstheme="minorHAnsi"/>
          <w:spacing w:val="-2"/>
          <w:szCs w:val="22"/>
        </w:rPr>
        <w:t>safeguard</w:t>
      </w:r>
      <w:r w:rsidRPr="0046441B">
        <w:rPr>
          <w:rFonts w:asciiTheme="minorHAnsi" w:hAnsiTheme="minorHAnsi" w:cstheme="minorHAnsi"/>
          <w:spacing w:val="-1"/>
          <w:szCs w:val="22"/>
        </w:rPr>
        <w:t xml:space="preserve"> against theft </w:t>
      </w:r>
      <w:r w:rsidRPr="0046441B">
        <w:rPr>
          <w:rFonts w:asciiTheme="minorHAnsi" w:hAnsiTheme="minorHAnsi" w:cstheme="minorHAnsi"/>
          <w:szCs w:val="22"/>
        </w:rPr>
        <w:t xml:space="preserve">or </w:t>
      </w:r>
      <w:r w:rsidRPr="0046441B">
        <w:rPr>
          <w:rFonts w:asciiTheme="minorHAnsi" w:hAnsiTheme="minorHAnsi" w:cstheme="minorHAnsi"/>
          <w:spacing w:val="-1"/>
          <w:szCs w:val="22"/>
        </w:rPr>
        <w:t>loss.</w:t>
      </w:r>
    </w:p>
    <w:p w14:paraId="404B9F61" w14:textId="77777777" w:rsidR="00CE4C1A" w:rsidRPr="0046441B" w:rsidRDefault="00CE4C1A" w:rsidP="002A3889">
      <w:pPr>
        <w:pStyle w:val="BodyText"/>
        <w:widowControl w:val="0"/>
        <w:numPr>
          <w:ilvl w:val="2"/>
          <w:numId w:val="42"/>
        </w:numPr>
        <w:spacing w:before="4" w:after="60" w:line="275" w:lineRule="auto"/>
        <w:ind w:left="425" w:right="-46" w:hanging="425"/>
        <w:jc w:val="both"/>
        <w:rPr>
          <w:rFonts w:asciiTheme="minorHAnsi" w:hAnsiTheme="minorHAnsi" w:cstheme="minorHAnsi"/>
          <w:szCs w:val="22"/>
        </w:rPr>
      </w:pPr>
      <w:r w:rsidRPr="0046441B">
        <w:rPr>
          <w:rFonts w:asciiTheme="minorHAnsi" w:hAnsiTheme="minorHAnsi" w:cstheme="minorHAnsi"/>
          <w:spacing w:val="-1"/>
          <w:szCs w:val="22"/>
        </w:rPr>
        <w:t>report</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the</w:t>
      </w:r>
      <w:r w:rsidRPr="0046441B">
        <w:rPr>
          <w:rFonts w:asciiTheme="minorHAnsi" w:hAnsiTheme="minorHAnsi" w:cstheme="minorHAnsi"/>
          <w:spacing w:val="-2"/>
          <w:szCs w:val="22"/>
        </w:rPr>
        <w:t xml:space="preserve"> </w:t>
      </w:r>
      <w:r w:rsidRPr="0046441B">
        <w:rPr>
          <w:rFonts w:asciiTheme="minorHAnsi" w:hAnsiTheme="minorHAnsi" w:cstheme="minorHAnsi"/>
          <w:szCs w:val="22"/>
        </w:rPr>
        <w:t>loss</w:t>
      </w:r>
      <w:r w:rsidRPr="0046441B">
        <w:rPr>
          <w:rFonts w:asciiTheme="minorHAnsi" w:hAnsiTheme="minorHAnsi" w:cstheme="minorHAnsi"/>
          <w:spacing w:val="-2"/>
          <w:szCs w:val="22"/>
        </w:rPr>
        <w:t xml:space="preserve"> </w:t>
      </w:r>
      <w:r w:rsidRPr="0046441B">
        <w:rPr>
          <w:rFonts w:asciiTheme="minorHAnsi" w:hAnsiTheme="minorHAnsi" w:cstheme="minorHAnsi"/>
          <w:szCs w:val="22"/>
        </w:rPr>
        <w:t>or</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theft</w:t>
      </w:r>
      <w:r w:rsidRPr="0046441B">
        <w:rPr>
          <w:rFonts w:asciiTheme="minorHAnsi" w:hAnsiTheme="minorHAnsi" w:cstheme="minorHAnsi"/>
          <w:spacing w:val="-2"/>
          <w:szCs w:val="22"/>
        </w:rPr>
        <w:t xml:space="preserve"> </w:t>
      </w:r>
      <w:r w:rsidRPr="0046441B">
        <w:rPr>
          <w:rFonts w:asciiTheme="minorHAnsi" w:hAnsiTheme="minorHAnsi" w:cstheme="minorHAnsi"/>
          <w:szCs w:val="22"/>
        </w:rPr>
        <w:t>of</w:t>
      </w:r>
      <w:r w:rsidRPr="0046441B">
        <w:rPr>
          <w:rFonts w:asciiTheme="minorHAnsi" w:hAnsiTheme="minorHAnsi" w:cstheme="minorHAnsi"/>
          <w:spacing w:val="-5"/>
          <w:szCs w:val="22"/>
        </w:rPr>
        <w:t xml:space="preserve"> </w:t>
      </w:r>
      <w:r w:rsidRPr="0046441B">
        <w:rPr>
          <w:rFonts w:asciiTheme="minorHAnsi" w:hAnsiTheme="minorHAnsi" w:cstheme="minorHAnsi"/>
          <w:szCs w:val="22"/>
        </w:rPr>
        <w:t xml:space="preserve">a </w:t>
      </w:r>
      <w:r w:rsidRPr="0046441B">
        <w:rPr>
          <w:rFonts w:asciiTheme="minorHAnsi" w:hAnsiTheme="minorHAnsi" w:cstheme="minorHAnsi"/>
          <w:spacing w:val="-1"/>
          <w:szCs w:val="22"/>
        </w:rPr>
        <w:t>card to</w:t>
      </w:r>
      <w:r w:rsidRPr="0046441B">
        <w:rPr>
          <w:rFonts w:asciiTheme="minorHAnsi" w:hAnsiTheme="minorHAnsi" w:cstheme="minorHAnsi"/>
          <w:spacing w:val="1"/>
          <w:szCs w:val="22"/>
        </w:rPr>
        <w:t xml:space="preserve"> </w:t>
      </w:r>
      <w:r w:rsidRPr="0046441B">
        <w:rPr>
          <w:rFonts w:asciiTheme="minorHAnsi" w:hAnsiTheme="minorHAnsi" w:cstheme="minorHAnsi"/>
          <w:spacing w:val="-2"/>
          <w:szCs w:val="22"/>
        </w:rPr>
        <w:t>the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 xml:space="preserve">supplying </w:t>
      </w:r>
      <w:r w:rsidRPr="0046441B">
        <w:rPr>
          <w:rFonts w:asciiTheme="minorHAnsi" w:hAnsiTheme="minorHAnsi" w:cstheme="minorHAnsi"/>
          <w:spacing w:val="-2"/>
          <w:szCs w:val="22"/>
        </w:rPr>
        <w:t>bank</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immediately</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in accordance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with</w:t>
      </w:r>
      <w:r w:rsidRPr="0046441B">
        <w:rPr>
          <w:rFonts w:asciiTheme="minorHAnsi" w:hAnsiTheme="minorHAnsi" w:cstheme="minorHAnsi"/>
          <w:spacing w:val="-3"/>
          <w:szCs w:val="22"/>
        </w:rPr>
        <w:t xml:space="preserve"> </w:t>
      </w:r>
      <w:r w:rsidRPr="0046441B">
        <w:rPr>
          <w:rFonts w:asciiTheme="minorHAnsi" w:hAnsiTheme="minorHAnsi" w:cstheme="minorHAnsi"/>
          <w:spacing w:val="-1"/>
          <w:szCs w:val="22"/>
        </w:rPr>
        <w:t>the</w:t>
      </w:r>
      <w:r w:rsidRPr="0046441B">
        <w:rPr>
          <w:rFonts w:asciiTheme="minorHAnsi" w:hAnsiTheme="minorHAnsi" w:cstheme="minorHAnsi"/>
          <w:spacing w:val="61"/>
          <w:szCs w:val="22"/>
        </w:rPr>
        <w:t xml:space="preserve"> </w:t>
      </w:r>
      <w:r w:rsidRPr="0046441B">
        <w:rPr>
          <w:rFonts w:asciiTheme="minorHAnsi" w:hAnsiTheme="minorHAnsi" w:cstheme="minorHAnsi"/>
          <w:spacing w:val="-1"/>
          <w:szCs w:val="22"/>
        </w:rPr>
        <w:t>bank’s</w:t>
      </w:r>
      <w:r w:rsidRPr="0046441B">
        <w:rPr>
          <w:rFonts w:asciiTheme="minorHAnsi" w:hAnsiTheme="minorHAnsi" w:cstheme="minorHAnsi"/>
          <w:szCs w:val="22"/>
        </w:rPr>
        <w:t xml:space="preserve"> </w:t>
      </w:r>
      <w:r w:rsidRPr="0046441B">
        <w:rPr>
          <w:rFonts w:asciiTheme="minorHAnsi" w:hAnsiTheme="minorHAnsi" w:cstheme="minorHAnsi"/>
          <w:spacing w:val="-1"/>
          <w:szCs w:val="22"/>
        </w:rPr>
        <w:t>terms</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and conditions,</w:t>
      </w:r>
      <w:r w:rsidRPr="0046441B">
        <w:rPr>
          <w:rFonts w:asciiTheme="minorHAnsi" w:hAnsiTheme="minorHAnsi" w:cstheme="minorHAnsi"/>
          <w:szCs w:val="22"/>
        </w:rPr>
        <w:t xml:space="preserve"> </w:t>
      </w:r>
      <w:r w:rsidRPr="0046441B">
        <w:rPr>
          <w:rFonts w:asciiTheme="minorHAnsi" w:hAnsiTheme="minorHAnsi" w:cstheme="minorHAnsi"/>
          <w:spacing w:val="-1"/>
          <w:szCs w:val="22"/>
        </w:rPr>
        <w:t>and notify</w:t>
      </w:r>
      <w:r w:rsidRPr="0046441B">
        <w:rPr>
          <w:rFonts w:asciiTheme="minorHAnsi" w:hAnsiTheme="minorHAnsi" w:cstheme="minorHAnsi"/>
          <w:spacing w:val="1"/>
          <w:szCs w:val="22"/>
        </w:rPr>
        <w:t xml:space="preserve"> </w:t>
      </w:r>
      <w:r w:rsidRPr="0046441B">
        <w:rPr>
          <w:rFonts w:asciiTheme="minorHAnsi" w:hAnsiTheme="minorHAnsi" w:cstheme="minorHAnsi"/>
          <w:spacing w:val="-2"/>
          <w:szCs w:val="22"/>
        </w:rPr>
        <w:t xml:space="preserve">the </w:t>
      </w:r>
      <w:r>
        <w:rPr>
          <w:rFonts w:asciiTheme="minorHAnsi" w:hAnsiTheme="minorHAnsi" w:cstheme="minorHAnsi"/>
          <w:spacing w:val="-2"/>
          <w:szCs w:val="22"/>
        </w:rPr>
        <w:t xml:space="preserve">Finance </w:t>
      </w:r>
      <w:proofErr w:type="gramStart"/>
      <w:r w:rsidRPr="0046441B">
        <w:rPr>
          <w:rFonts w:asciiTheme="minorHAnsi" w:hAnsiTheme="minorHAnsi" w:cstheme="minorHAnsi"/>
          <w:spacing w:val="-1"/>
          <w:szCs w:val="22"/>
        </w:rPr>
        <w:t>Manager;</w:t>
      </w:r>
      <w:proofErr w:type="gramEnd"/>
    </w:p>
    <w:p w14:paraId="302E33DE" w14:textId="77777777" w:rsidR="00CE4C1A" w:rsidRPr="0046441B" w:rsidRDefault="00CE4C1A" w:rsidP="002A3889">
      <w:pPr>
        <w:pStyle w:val="BodyText"/>
        <w:widowControl w:val="0"/>
        <w:numPr>
          <w:ilvl w:val="2"/>
          <w:numId w:val="42"/>
        </w:numPr>
        <w:spacing w:before="41" w:after="0"/>
        <w:ind w:left="425" w:right="-46" w:hanging="425"/>
        <w:jc w:val="both"/>
        <w:rPr>
          <w:rFonts w:asciiTheme="minorHAnsi" w:hAnsiTheme="minorHAnsi" w:cstheme="minorHAnsi"/>
          <w:szCs w:val="22"/>
        </w:rPr>
      </w:pPr>
      <w:r w:rsidRPr="0046441B">
        <w:rPr>
          <w:rFonts w:asciiTheme="minorHAnsi" w:hAnsiTheme="minorHAnsi" w:cstheme="minorHAnsi"/>
          <w:szCs w:val="22"/>
        </w:rPr>
        <w:t>not</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disclose</w:t>
      </w:r>
      <w:r w:rsidRPr="0046441B">
        <w:rPr>
          <w:rFonts w:asciiTheme="minorHAnsi" w:hAnsiTheme="minorHAnsi" w:cstheme="minorHAnsi"/>
          <w:spacing w:val="-2"/>
          <w:szCs w:val="22"/>
        </w:rPr>
        <w:t xml:space="preserve"> </w:t>
      </w:r>
      <w:r w:rsidRPr="0046441B">
        <w:rPr>
          <w:rFonts w:asciiTheme="minorHAnsi" w:hAnsiTheme="minorHAnsi" w:cstheme="minorHAnsi"/>
          <w:szCs w:val="22"/>
        </w:rPr>
        <w:t>or</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carry</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with the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 xml:space="preserve">card any </w:t>
      </w:r>
      <w:r w:rsidRPr="0046441B">
        <w:rPr>
          <w:rFonts w:asciiTheme="minorHAnsi" w:hAnsiTheme="minorHAnsi" w:cstheme="minorHAnsi"/>
          <w:szCs w:val="22"/>
        </w:rPr>
        <w:t>PIN</w:t>
      </w:r>
      <w:r w:rsidRPr="0046441B">
        <w:rPr>
          <w:rFonts w:asciiTheme="minorHAnsi" w:hAnsiTheme="minorHAnsi" w:cstheme="minorHAnsi"/>
          <w:spacing w:val="-3"/>
          <w:szCs w:val="22"/>
        </w:rPr>
        <w:t xml:space="preserve"> </w:t>
      </w:r>
      <w:r w:rsidRPr="0046441B">
        <w:rPr>
          <w:rFonts w:asciiTheme="minorHAnsi" w:hAnsiTheme="minorHAnsi" w:cstheme="minorHAnsi"/>
          <w:spacing w:val="-1"/>
          <w:szCs w:val="22"/>
        </w:rPr>
        <w:t>that</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has</w:t>
      </w:r>
      <w:r w:rsidRPr="0046441B">
        <w:rPr>
          <w:rFonts w:asciiTheme="minorHAnsi" w:hAnsiTheme="minorHAnsi" w:cstheme="minorHAnsi"/>
          <w:szCs w:val="22"/>
        </w:rPr>
        <w:t xml:space="preserve"> </w:t>
      </w:r>
      <w:r w:rsidRPr="0046441B">
        <w:rPr>
          <w:rFonts w:asciiTheme="minorHAnsi" w:hAnsiTheme="minorHAnsi" w:cstheme="minorHAnsi"/>
          <w:spacing w:val="-2"/>
          <w:szCs w:val="22"/>
        </w:rPr>
        <w:t>been</w:t>
      </w:r>
      <w:r w:rsidRPr="0046441B">
        <w:rPr>
          <w:rFonts w:asciiTheme="minorHAnsi" w:hAnsiTheme="minorHAnsi" w:cstheme="minorHAnsi"/>
          <w:spacing w:val="-1"/>
          <w:szCs w:val="22"/>
        </w:rPr>
        <w:t xml:space="preserve"> issued</w:t>
      </w:r>
      <w:r w:rsidRPr="0046441B">
        <w:rPr>
          <w:rFonts w:asciiTheme="minorHAnsi" w:hAnsiTheme="minorHAnsi" w:cstheme="minorHAnsi"/>
          <w:spacing w:val="-3"/>
          <w:szCs w:val="22"/>
        </w:rPr>
        <w:t xml:space="preserve"> </w:t>
      </w:r>
      <w:r w:rsidRPr="0046441B">
        <w:rPr>
          <w:rFonts w:asciiTheme="minorHAnsi" w:hAnsiTheme="minorHAnsi" w:cstheme="minorHAnsi"/>
          <w:spacing w:val="-1"/>
          <w:szCs w:val="22"/>
        </w:rPr>
        <w:t>with the</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card.</w:t>
      </w:r>
    </w:p>
    <w:p w14:paraId="77888723" w14:textId="77777777" w:rsidR="00CE4C1A" w:rsidRPr="00832CA2" w:rsidRDefault="00CE4C1A" w:rsidP="00CE4C1A">
      <w:pPr>
        <w:spacing w:before="200" w:after="0"/>
        <w:rPr>
          <w:rFonts w:cstheme="minorHAnsi"/>
          <w:b/>
          <w:bCs/>
        </w:rPr>
      </w:pPr>
      <w:r w:rsidRPr="00832CA2">
        <w:rPr>
          <w:rFonts w:cstheme="minorHAnsi"/>
          <w:b/>
        </w:rPr>
        <w:t xml:space="preserve">Procedures </w:t>
      </w:r>
      <w:r w:rsidRPr="00832CA2">
        <w:rPr>
          <w:rFonts w:cstheme="minorHAnsi"/>
          <w:b/>
          <w:spacing w:val="-2"/>
        </w:rPr>
        <w:t>for</w:t>
      </w:r>
      <w:r w:rsidRPr="00832CA2">
        <w:rPr>
          <w:rFonts w:cstheme="minorHAnsi"/>
          <w:b/>
          <w:spacing w:val="1"/>
        </w:rPr>
        <w:t xml:space="preserve"> </w:t>
      </w:r>
      <w:r w:rsidRPr="00832CA2">
        <w:rPr>
          <w:rFonts w:cstheme="minorHAnsi"/>
          <w:b/>
          <w:spacing w:val="-2"/>
        </w:rPr>
        <w:t>cessation</w:t>
      </w:r>
      <w:r w:rsidRPr="00832CA2">
        <w:rPr>
          <w:rFonts w:cstheme="minorHAnsi"/>
          <w:b/>
          <w:spacing w:val="1"/>
        </w:rPr>
        <w:t xml:space="preserve"> </w:t>
      </w:r>
      <w:r w:rsidRPr="00832CA2">
        <w:rPr>
          <w:rFonts w:cstheme="minorHAnsi"/>
          <w:b/>
        </w:rPr>
        <w:t>of employment</w:t>
      </w:r>
    </w:p>
    <w:p w14:paraId="4BB55275" w14:textId="77777777" w:rsidR="00CE4C1A" w:rsidRPr="0046441B" w:rsidRDefault="00CE4C1A" w:rsidP="00CE4C1A">
      <w:pPr>
        <w:pStyle w:val="BodyText"/>
        <w:spacing w:after="60"/>
        <w:ind w:left="0" w:right="-45"/>
        <w:jc w:val="both"/>
        <w:rPr>
          <w:rFonts w:asciiTheme="minorHAnsi" w:hAnsiTheme="minorHAnsi" w:cstheme="minorHAnsi"/>
          <w:szCs w:val="22"/>
        </w:rPr>
      </w:pPr>
      <w:r w:rsidRPr="0046441B">
        <w:rPr>
          <w:rFonts w:asciiTheme="minorHAnsi" w:hAnsiTheme="minorHAnsi" w:cstheme="minorHAnsi"/>
          <w:spacing w:val="-1"/>
          <w:szCs w:val="22"/>
        </w:rPr>
        <w:t xml:space="preserve">Upon cessation </w:t>
      </w:r>
      <w:r w:rsidRPr="0046441B">
        <w:rPr>
          <w:rFonts w:asciiTheme="minorHAnsi" w:hAnsiTheme="minorHAnsi" w:cstheme="minorHAnsi"/>
          <w:szCs w:val="22"/>
        </w:rPr>
        <w:t>of</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employment</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with</w:t>
      </w:r>
      <w:r w:rsidRPr="0046441B">
        <w:rPr>
          <w:rFonts w:asciiTheme="minorHAnsi" w:hAnsiTheme="minorHAnsi" w:cstheme="minorHAnsi"/>
          <w:spacing w:val="-3"/>
          <w:szCs w:val="22"/>
        </w:rPr>
        <w:t xml:space="preserve"> </w:t>
      </w:r>
      <w:r w:rsidRPr="0046441B">
        <w:rPr>
          <w:rFonts w:asciiTheme="minorHAnsi" w:hAnsiTheme="minorHAnsi" w:cstheme="minorHAnsi"/>
          <w:spacing w:val="-1"/>
          <w:szCs w:val="22"/>
        </w:rPr>
        <w:t>the</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Town,</w:t>
      </w:r>
      <w:r w:rsidRPr="0046441B">
        <w:rPr>
          <w:rFonts w:asciiTheme="minorHAnsi" w:hAnsiTheme="minorHAnsi" w:cstheme="minorHAnsi"/>
          <w:szCs w:val="22"/>
        </w:rPr>
        <w:t xml:space="preserve"> </w:t>
      </w:r>
      <w:r w:rsidRPr="0046441B">
        <w:rPr>
          <w:rFonts w:asciiTheme="minorHAnsi" w:hAnsiTheme="minorHAnsi" w:cstheme="minorHAnsi"/>
          <w:spacing w:val="-1"/>
          <w:szCs w:val="22"/>
        </w:rPr>
        <w:t>the</w:t>
      </w:r>
      <w:r w:rsidRPr="0046441B">
        <w:rPr>
          <w:rFonts w:asciiTheme="minorHAnsi" w:hAnsiTheme="minorHAnsi" w:cstheme="minorHAnsi"/>
          <w:spacing w:val="-2"/>
          <w:szCs w:val="22"/>
        </w:rPr>
        <w:t xml:space="preserve"> card</w:t>
      </w:r>
      <w:r w:rsidRPr="0046441B">
        <w:rPr>
          <w:rFonts w:asciiTheme="minorHAnsi" w:hAnsiTheme="minorHAnsi" w:cstheme="minorHAnsi"/>
          <w:spacing w:val="-1"/>
          <w:szCs w:val="22"/>
        </w:rPr>
        <w:t>holder</w:t>
      </w:r>
      <w:r w:rsidRPr="0046441B">
        <w:rPr>
          <w:rFonts w:asciiTheme="minorHAnsi" w:hAnsiTheme="minorHAnsi" w:cstheme="minorHAnsi"/>
          <w:spacing w:val="-2"/>
          <w:szCs w:val="22"/>
        </w:rPr>
        <w:t xml:space="preserve"> </w:t>
      </w:r>
      <w:r w:rsidRPr="0046441B">
        <w:rPr>
          <w:rFonts w:asciiTheme="minorHAnsi" w:hAnsiTheme="minorHAnsi" w:cstheme="minorHAnsi"/>
          <w:szCs w:val="22"/>
        </w:rPr>
        <w:t>must</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ensure</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that:</w:t>
      </w:r>
    </w:p>
    <w:p w14:paraId="06293F61" w14:textId="77777777" w:rsidR="00CE4C1A" w:rsidRPr="0046441B" w:rsidRDefault="00CE4C1A" w:rsidP="002A3889">
      <w:pPr>
        <w:pStyle w:val="BodyText"/>
        <w:widowControl w:val="0"/>
        <w:numPr>
          <w:ilvl w:val="2"/>
          <w:numId w:val="41"/>
        </w:numPr>
        <w:spacing w:after="60"/>
        <w:ind w:left="425" w:right="-46" w:hanging="425"/>
        <w:jc w:val="both"/>
        <w:rPr>
          <w:rFonts w:asciiTheme="minorHAnsi" w:hAnsiTheme="minorHAnsi" w:cstheme="minorHAnsi"/>
          <w:szCs w:val="22"/>
        </w:rPr>
      </w:pPr>
      <w:r w:rsidRPr="0046441B">
        <w:rPr>
          <w:rFonts w:asciiTheme="minorHAnsi" w:hAnsiTheme="minorHAnsi" w:cstheme="minorHAnsi"/>
          <w:spacing w:val="-1"/>
          <w:szCs w:val="22"/>
        </w:rPr>
        <w:t>all</w:t>
      </w:r>
      <w:r w:rsidRPr="0046441B">
        <w:rPr>
          <w:rFonts w:asciiTheme="minorHAnsi" w:hAnsiTheme="minorHAnsi" w:cstheme="minorHAnsi"/>
          <w:szCs w:val="22"/>
        </w:rPr>
        <w:t xml:space="preserve"> </w:t>
      </w:r>
      <w:r w:rsidRPr="0046441B">
        <w:rPr>
          <w:rFonts w:asciiTheme="minorHAnsi" w:hAnsiTheme="minorHAnsi" w:cstheme="minorHAnsi"/>
          <w:spacing w:val="-1"/>
          <w:szCs w:val="22"/>
        </w:rPr>
        <w:t xml:space="preserve">outstanding </w:t>
      </w:r>
      <w:r w:rsidRPr="0046441B">
        <w:rPr>
          <w:rFonts w:asciiTheme="minorHAnsi" w:hAnsiTheme="minorHAnsi" w:cstheme="minorHAnsi"/>
          <w:spacing w:val="-2"/>
          <w:szCs w:val="22"/>
        </w:rPr>
        <w:t>transactions</w:t>
      </w:r>
      <w:r w:rsidRPr="0046441B">
        <w:rPr>
          <w:rFonts w:asciiTheme="minorHAnsi" w:hAnsiTheme="minorHAnsi" w:cstheme="minorHAnsi"/>
          <w:szCs w:val="22"/>
        </w:rPr>
        <w:t xml:space="preserve"> </w:t>
      </w:r>
      <w:r w:rsidRPr="0046441B">
        <w:rPr>
          <w:rFonts w:asciiTheme="minorHAnsi" w:hAnsiTheme="minorHAnsi" w:cstheme="minorHAnsi"/>
          <w:spacing w:val="-1"/>
          <w:szCs w:val="22"/>
        </w:rPr>
        <w:t>are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cleared</w:t>
      </w:r>
      <w:r w:rsidRPr="0046441B">
        <w:rPr>
          <w:rFonts w:asciiTheme="minorHAnsi" w:hAnsiTheme="minorHAnsi" w:cstheme="minorHAnsi"/>
          <w:spacing w:val="-3"/>
          <w:szCs w:val="22"/>
        </w:rPr>
        <w:t xml:space="preserve"> </w:t>
      </w:r>
      <w:r w:rsidRPr="0046441B">
        <w:rPr>
          <w:rFonts w:asciiTheme="minorHAnsi" w:hAnsiTheme="minorHAnsi" w:cstheme="minorHAnsi"/>
          <w:spacing w:val="-1"/>
          <w:szCs w:val="22"/>
        </w:rPr>
        <w:t>and properly accounted for.</w:t>
      </w:r>
    </w:p>
    <w:p w14:paraId="77711CCA" w14:textId="77777777" w:rsidR="00CE4C1A" w:rsidRPr="0046441B" w:rsidRDefault="00CE4C1A" w:rsidP="002A3889">
      <w:pPr>
        <w:pStyle w:val="BodyText"/>
        <w:widowControl w:val="0"/>
        <w:numPr>
          <w:ilvl w:val="2"/>
          <w:numId w:val="41"/>
        </w:numPr>
        <w:spacing w:before="41" w:after="60"/>
        <w:ind w:left="425" w:right="-24" w:hanging="425"/>
        <w:jc w:val="both"/>
        <w:rPr>
          <w:rFonts w:asciiTheme="minorHAnsi" w:hAnsiTheme="minorHAnsi" w:cstheme="minorHAnsi"/>
          <w:szCs w:val="22"/>
        </w:rPr>
      </w:pPr>
      <w:r w:rsidRPr="0046441B">
        <w:rPr>
          <w:rFonts w:asciiTheme="minorHAnsi" w:hAnsiTheme="minorHAnsi" w:cstheme="minorHAnsi"/>
          <w:spacing w:val="-1"/>
          <w:szCs w:val="22"/>
        </w:rPr>
        <w:t>the</w:t>
      </w:r>
      <w:r w:rsidRPr="0046441B">
        <w:rPr>
          <w:rFonts w:asciiTheme="minorHAnsi" w:hAnsiTheme="minorHAnsi" w:cstheme="minorHAnsi"/>
          <w:spacing w:val="1"/>
          <w:szCs w:val="22"/>
        </w:rPr>
        <w:t xml:space="preserve"> </w:t>
      </w:r>
      <w:r w:rsidRPr="0046441B">
        <w:rPr>
          <w:rFonts w:asciiTheme="minorHAnsi" w:hAnsiTheme="minorHAnsi" w:cstheme="minorHAnsi"/>
          <w:spacing w:val="-1"/>
          <w:szCs w:val="22"/>
        </w:rPr>
        <w:t>card is</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returned</w:t>
      </w:r>
      <w:r w:rsidRPr="0046441B">
        <w:rPr>
          <w:rFonts w:asciiTheme="minorHAnsi" w:hAnsiTheme="minorHAnsi" w:cstheme="minorHAnsi"/>
          <w:spacing w:val="-3"/>
          <w:szCs w:val="22"/>
        </w:rPr>
        <w:t xml:space="preserve"> </w:t>
      </w:r>
      <w:r w:rsidRPr="0046441B">
        <w:rPr>
          <w:rFonts w:asciiTheme="minorHAnsi" w:hAnsiTheme="minorHAnsi" w:cstheme="minorHAnsi"/>
          <w:spacing w:val="-1"/>
          <w:szCs w:val="22"/>
        </w:rPr>
        <w:t>to</w:t>
      </w:r>
      <w:r w:rsidRPr="0046441B">
        <w:rPr>
          <w:rFonts w:asciiTheme="minorHAnsi" w:hAnsiTheme="minorHAnsi" w:cstheme="minorHAnsi"/>
          <w:spacing w:val="1"/>
          <w:szCs w:val="22"/>
        </w:rPr>
        <w:t xml:space="preserve"> the </w:t>
      </w:r>
      <w:r>
        <w:rPr>
          <w:rFonts w:asciiTheme="minorHAnsi" w:hAnsiTheme="minorHAnsi" w:cstheme="minorHAnsi"/>
          <w:spacing w:val="1"/>
          <w:szCs w:val="22"/>
        </w:rPr>
        <w:t xml:space="preserve">Finance </w:t>
      </w:r>
      <w:r w:rsidRPr="0046441B">
        <w:rPr>
          <w:rFonts w:asciiTheme="minorHAnsi" w:hAnsiTheme="minorHAnsi" w:cstheme="minorHAnsi"/>
          <w:spacing w:val="1"/>
          <w:szCs w:val="22"/>
        </w:rPr>
        <w:t xml:space="preserve">Manager </w:t>
      </w:r>
      <w:r w:rsidRPr="0046441B">
        <w:rPr>
          <w:rFonts w:asciiTheme="minorHAnsi" w:hAnsiTheme="minorHAnsi" w:cstheme="minorHAnsi"/>
          <w:spacing w:val="-1"/>
          <w:szCs w:val="22"/>
        </w:rPr>
        <w:t>for</w:t>
      </w:r>
      <w:r w:rsidRPr="0046441B">
        <w:rPr>
          <w:rFonts w:asciiTheme="minorHAnsi" w:hAnsiTheme="minorHAnsi" w:cstheme="minorHAnsi"/>
          <w:szCs w:val="22"/>
        </w:rPr>
        <w:t xml:space="preserve"> </w:t>
      </w:r>
      <w:r w:rsidRPr="0046441B">
        <w:rPr>
          <w:rFonts w:asciiTheme="minorHAnsi" w:hAnsiTheme="minorHAnsi" w:cstheme="minorHAnsi"/>
          <w:spacing w:val="-1"/>
          <w:szCs w:val="22"/>
        </w:rPr>
        <w:t>cancellation and destruction; and</w:t>
      </w:r>
    </w:p>
    <w:p w14:paraId="496A6632" w14:textId="77777777" w:rsidR="00CE4C1A" w:rsidRPr="0046441B" w:rsidRDefault="00CE4C1A" w:rsidP="002A3889">
      <w:pPr>
        <w:pStyle w:val="BodyText"/>
        <w:widowControl w:val="0"/>
        <w:numPr>
          <w:ilvl w:val="2"/>
          <w:numId w:val="41"/>
        </w:numPr>
        <w:spacing w:before="39" w:after="0"/>
        <w:ind w:left="425" w:right="-46" w:hanging="425"/>
        <w:jc w:val="both"/>
        <w:rPr>
          <w:rFonts w:asciiTheme="minorHAnsi" w:hAnsiTheme="minorHAnsi" w:cstheme="minorHAnsi"/>
          <w:szCs w:val="22"/>
        </w:rPr>
      </w:pPr>
      <w:r w:rsidRPr="0046441B">
        <w:rPr>
          <w:rFonts w:asciiTheme="minorHAnsi" w:hAnsiTheme="minorHAnsi" w:cstheme="minorHAnsi"/>
          <w:spacing w:val="-1"/>
          <w:szCs w:val="22"/>
        </w:rPr>
        <w:t xml:space="preserve">sign off the return </w:t>
      </w:r>
      <w:r w:rsidRPr="0046441B">
        <w:rPr>
          <w:rFonts w:asciiTheme="minorHAnsi" w:hAnsiTheme="minorHAnsi" w:cstheme="minorHAnsi"/>
          <w:szCs w:val="22"/>
        </w:rPr>
        <w:t>of</w:t>
      </w:r>
      <w:r w:rsidRPr="0046441B">
        <w:rPr>
          <w:rFonts w:asciiTheme="minorHAnsi" w:hAnsiTheme="minorHAnsi" w:cstheme="minorHAnsi"/>
          <w:spacing w:val="-2"/>
          <w:szCs w:val="22"/>
        </w:rPr>
        <w:t xml:space="preserve"> </w:t>
      </w:r>
      <w:r w:rsidRPr="0046441B">
        <w:rPr>
          <w:rFonts w:asciiTheme="minorHAnsi" w:hAnsiTheme="minorHAnsi" w:cstheme="minorHAnsi"/>
          <w:spacing w:val="-1"/>
          <w:szCs w:val="22"/>
        </w:rPr>
        <w:t>the</w:t>
      </w:r>
      <w:r w:rsidRPr="0046441B">
        <w:rPr>
          <w:rFonts w:asciiTheme="minorHAnsi" w:hAnsiTheme="minorHAnsi" w:cstheme="minorHAnsi"/>
          <w:spacing w:val="-2"/>
          <w:szCs w:val="22"/>
        </w:rPr>
        <w:t xml:space="preserve"> Credit C</w:t>
      </w:r>
      <w:r w:rsidRPr="0046441B">
        <w:rPr>
          <w:rFonts w:asciiTheme="minorHAnsi" w:hAnsiTheme="minorHAnsi" w:cstheme="minorHAnsi"/>
          <w:spacing w:val="-1"/>
          <w:szCs w:val="22"/>
        </w:rPr>
        <w:t>ard from</w:t>
      </w:r>
      <w:r w:rsidRPr="0046441B">
        <w:rPr>
          <w:rFonts w:asciiTheme="minorHAnsi" w:hAnsiTheme="minorHAnsi" w:cstheme="minorHAnsi"/>
          <w:spacing w:val="1"/>
          <w:szCs w:val="22"/>
        </w:rPr>
        <w:t xml:space="preserve"> Human Resources.</w:t>
      </w:r>
    </w:p>
    <w:p w14:paraId="11DF6CE6" w14:textId="77777777" w:rsidR="00CE4C1A" w:rsidRPr="00832CA2" w:rsidRDefault="00CE4C1A" w:rsidP="00CE4C1A">
      <w:pPr>
        <w:pStyle w:val="FeatureCopy"/>
        <w:spacing w:before="200"/>
        <w:jc w:val="both"/>
        <w:rPr>
          <w:rFonts w:asciiTheme="minorHAnsi" w:hAnsiTheme="minorHAnsi" w:cstheme="minorHAnsi"/>
          <w:b/>
          <w:color w:val="auto"/>
          <w:szCs w:val="22"/>
        </w:rPr>
      </w:pPr>
      <w:r w:rsidRPr="00832CA2">
        <w:rPr>
          <w:rFonts w:asciiTheme="minorHAnsi" w:hAnsiTheme="minorHAnsi" w:cstheme="minorHAnsi"/>
          <w:b/>
          <w:color w:val="auto"/>
          <w:szCs w:val="22"/>
        </w:rPr>
        <w:t>Consequences of Breaching this Policy</w:t>
      </w:r>
    </w:p>
    <w:p w14:paraId="43617A23" w14:textId="77777777" w:rsidR="00CE4C1A" w:rsidRPr="0046441B" w:rsidRDefault="00CE4C1A" w:rsidP="00CE4C1A">
      <w:pPr>
        <w:pStyle w:val="FeatureCopy"/>
        <w:spacing w:after="200"/>
        <w:jc w:val="both"/>
        <w:rPr>
          <w:rFonts w:asciiTheme="minorHAnsi" w:hAnsiTheme="minorHAnsi" w:cstheme="minorHAnsi"/>
          <w:bCs/>
          <w:color w:val="auto"/>
          <w:spacing w:val="-2"/>
          <w:szCs w:val="22"/>
          <w:lang w:val="en-GB"/>
        </w:rPr>
      </w:pPr>
      <w:r w:rsidRPr="0046441B">
        <w:rPr>
          <w:rFonts w:asciiTheme="minorHAnsi" w:hAnsiTheme="minorHAnsi" w:cstheme="minorHAnsi"/>
          <w:bCs/>
          <w:color w:val="000000"/>
          <w:spacing w:val="-2"/>
          <w:szCs w:val="22"/>
        </w:rPr>
        <w:t>The policy</w:t>
      </w:r>
      <w:r w:rsidRPr="0046441B">
        <w:rPr>
          <w:rFonts w:asciiTheme="minorHAnsi" w:hAnsiTheme="minorHAnsi" w:cstheme="minorHAnsi"/>
          <w:bCs/>
          <w:color w:val="000000"/>
          <w:spacing w:val="-2"/>
          <w:szCs w:val="22"/>
          <w:lang w:val="en-GB"/>
        </w:rPr>
        <w:t xml:space="preserve"> constitutes a lawful instruction to staff members involved in administering corporate credit card transactions. Any </w:t>
      </w:r>
      <w:r w:rsidRPr="0046441B">
        <w:rPr>
          <w:rFonts w:asciiTheme="minorHAnsi" w:hAnsiTheme="minorHAnsi" w:cstheme="minorHAnsi"/>
          <w:bCs/>
          <w:color w:val="auto"/>
          <w:spacing w:val="-2"/>
          <w:szCs w:val="22"/>
          <w:lang w:val="en-GB"/>
        </w:rPr>
        <w:t>breaches of the policy may lead to disciplinary action.</w:t>
      </w:r>
    </w:p>
    <w:p w14:paraId="0D976E9A" w14:textId="77777777" w:rsidR="00CE4C1A" w:rsidRPr="00832CA2" w:rsidRDefault="00CE4C1A" w:rsidP="00CE4C1A">
      <w:pPr>
        <w:pStyle w:val="FeatureCopy"/>
        <w:tabs>
          <w:tab w:val="left" w:pos="10206"/>
        </w:tabs>
        <w:ind w:right="284"/>
        <w:jc w:val="both"/>
        <w:rPr>
          <w:rFonts w:asciiTheme="minorHAnsi" w:hAnsiTheme="minorHAnsi" w:cstheme="minorHAnsi"/>
          <w:b/>
          <w:color w:val="auto"/>
          <w:szCs w:val="22"/>
        </w:rPr>
      </w:pPr>
      <w:r w:rsidRPr="00832CA2">
        <w:rPr>
          <w:rFonts w:asciiTheme="minorHAnsi" w:hAnsiTheme="minorHAnsi" w:cstheme="minorHAnsi"/>
          <w:b/>
          <w:color w:val="auto"/>
          <w:szCs w:val="22"/>
        </w:rPr>
        <w:t>Variation to this Policy</w:t>
      </w:r>
    </w:p>
    <w:p w14:paraId="057AD447" w14:textId="77777777" w:rsidR="00CE4C1A" w:rsidRPr="0046441B" w:rsidRDefault="00CE4C1A" w:rsidP="00CE4C1A">
      <w:pPr>
        <w:tabs>
          <w:tab w:val="left" w:pos="851"/>
          <w:tab w:val="left" w:pos="1418"/>
        </w:tabs>
        <w:spacing w:line="240" w:lineRule="auto"/>
        <w:jc w:val="both"/>
        <w:rPr>
          <w:rFonts w:cstheme="minorHAnsi"/>
          <w:color w:val="1D1B11" w:themeColor="background2" w:themeShade="1A"/>
          <w:lang w:val="en-GB"/>
        </w:rPr>
      </w:pPr>
      <w:r w:rsidRPr="0046441B">
        <w:rPr>
          <w:rFonts w:cstheme="minorHAnsi"/>
          <w:color w:val="1D1B11" w:themeColor="background2" w:themeShade="1A"/>
          <w:lang w:val="en-GB"/>
        </w:rPr>
        <w:t xml:space="preserve">This policy may be varied from time to time. All the organisation’s employees will be notified of any variation to this policy by the normal correspondence method. </w:t>
      </w:r>
    </w:p>
    <w:p w14:paraId="542E6276" w14:textId="77777777" w:rsidR="00CE4C1A" w:rsidRPr="0046441B" w:rsidRDefault="00CE4C1A" w:rsidP="00CE4C1A">
      <w:pPr>
        <w:tabs>
          <w:tab w:val="left" w:pos="9356"/>
          <w:tab w:val="left" w:pos="10206"/>
        </w:tabs>
        <w:spacing w:after="0" w:line="240" w:lineRule="auto"/>
        <w:ind w:right="284"/>
        <w:jc w:val="both"/>
        <w:rPr>
          <w:rFonts w:cstheme="minorHAnsi"/>
          <w:lang w:val="en-US"/>
        </w:rPr>
      </w:pPr>
    </w:p>
    <w:tbl>
      <w:tblPr>
        <w:tblStyle w:val="TableGrid"/>
        <w:tblW w:w="0" w:type="auto"/>
        <w:tblLook w:val="04A0" w:firstRow="1" w:lastRow="0" w:firstColumn="1" w:lastColumn="0" w:noHBand="0" w:noVBand="1"/>
      </w:tblPr>
      <w:tblGrid>
        <w:gridCol w:w="3114"/>
        <w:gridCol w:w="5902"/>
      </w:tblGrid>
      <w:tr w:rsidR="00CE4C1A" w:rsidRPr="0046441B" w14:paraId="64DFFF69" w14:textId="77777777" w:rsidTr="00DC4B89">
        <w:tc>
          <w:tcPr>
            <w:tcW w:w="3114" w:type="dxa"/>
          </w:tcPr>
          <w:p w14:paraId="12842B53" w14:textId="77777777" w:rsidR="00CE4C1A" w:rsidRPr="0046441B" w:rsidRDefault="00CE4C1A" w:rsidP="00DC4B89">
            <w:pPr>
              <w:jc w:val="both"/>
              <w:rPr>
                <w:rFonts w:cstheme="minorHAnsi"/>
                <w:b/>
                <w:lang w:val="en-US"/>
              </w:rPr>
            </w:pPr>
            <w:r w:rsidRPr="0046441B">
              <w:rPr>
                <w:rFonts w:cstheme="minorHAnsi"/>
                <w:b/>
                <w:lang w:val="en-US"/>
              </w:rPr>
              <w:t>Responsible Directorate:</w:t>
            </w:r>
          </w:p>
        </w:tc>
        <w:tc>
          <w:tcPr>
            <w:tcW w:w="5902" w:type="dxa"/>
          </w:tcPr>
          <w:p w14:paraId="737EDC8D" w14:textId="77777777" w:rsidR="00CE4C1A" w:rsidRPr="0046441B" w:rsidRDefault="00CE4C1A" w:rsidP="00DC4B89">
            <w:pPr>
              <w:jc w:val="both"/>
              <w:rPr>
                <w:rFonts w:cstheme="minorHAnsi"/>
                <w:lang w:val="en-US"/>
              </w:rPr>
            </w:pPr>
            <w:r w:rsidRPr="0046441B">
              <w:rPr>
                <w:rFonts w:cstheme="minorHAnsi"/>
                <w:lang w:val="en-US"/>
              </w:rPr>
              <w:t>Finance and Administration</w:t>
            </w:r>
          </w:p>
        </w:tc>
      </w:tr>
      <w:tr w:rsidR="00CE4C1A" w:rsidRPr="0046441B" w14:paraId="1D2310D1" w14:textId="77777777" w:rsidTr="00DC4B89">
        <w:tc>
          <w:tcPr>
            <w:tcW w:w="3114" w:type="dxa"/>
          </w:tcPr>
          <w:p w14:paraId="00565875" w14:textId="77777777" w:rsidR="00CE4C1A" w:rsidRPr="0046441B" w:rsidRDefault="00CE4C1A" w:rsidP="00DC4B89">
            <w:pPr>
              <w:jc w:val="both"/>
              <w:rPr>
                <w:rFonts w:cstheme="minorHAnsi"/>
                <w:b/>
                <w:lang w:val="en-US"/>
              </w:rPr>
            </w:pPr>
            <w:r w:rsidRPr="0046441B">
              <w:rPr>
                <w:rFonts w:cstheme="minorHAnsi"/>
                <w:b/>
                <w:lang w:val="en-US"/>
              </w:rPr>
              <w:t>Reviewing Officer:</w:t>
            </w:r>
          </w:p>
        </w:tc>
        <w:tc>
          <w:tcPr>
            <w:tcW w:w="5902" w:type="dxa"/>
          </w:tcPr>
          <w:p w14:paraId="0B8C36E8" w14:textId="77777777" w:rsidR="00CE4C1A" w:rsidRPr="0046441B" w:rsidRDefault="00CE4C1A" w:rsidP="00DC4B89">
            <w:pPr>
              <w:jc w:val="both"/>
              <w:rPr>
                <w:rFonts w:cstheme="minorHAnsi"/>
                <w:lang w:val="en-US"/>
              </w:rPr>
            </w:pPr>
            <w:r w:rsidRPr="0046441B">
              <w:rPr>
                <w:rFonts w:cstheme="minorHAnsi"/>
                <w:lang w:val="en-US"/>
              </w:rPr>
              <w:t>Executive Manager Corporate Services</w:t>
            </w:r>
          </w:p>
        </w:tc>
      </w:tr>
      <w:tr w:rsidR="00CE4C1A" w:rsidRPr="0046441B" w14:paraId="251C84BA" w14:textId="77777777" w:rsidTr="00DC4B89">
        <w:tc>
          <w:tcPr>
            <w:tcW w:w="3114" w:type="dxa"/>
          </w:tcPr>
          <w:p w14:paraId="6548DC0F" w14:textId="77777777" w:rsidR="00CE4C1A" w:rsidRPr="0046441B" w:rsidRDefault="00CE4C1A" w:rsidP="00DC4B89">
            <w:pPr>
              <w:jc w:val="both"/>
              <w:rPr>
                <w:rFonts w:cstheme="minorHAnsi"/>
                <w:b/>
                <w:lang w:val="en-US"/>
              </w:rPr>
            </w:pPr>
            <w:r w:rsidRPr="0046441B">
              <w:rPr>
                <w:rFonts w:cstheme="minorHAnsi"/>
                <w:b/>
                <w:lang w:val="en-US"/>
              </w:rPr>
              <w:t>Decision making Authority:</w:t>
            </w:r>
          </w:p>
        </w:tc>
        <w:tc>
          <w:tcPr>
            <w:tcW w:w="5902" w:type="dxa"/>
          </w:tcPr>
          <w:p w14:paraId="372F1A9B" w14:textId="77777777" w:rsidR="00CE4C1A" w:rsidRPr="0046441B" w:rsidRDefault="00CE4C1A" w:rsidP="00DC4B89">
            <w:pPr>
              <w:jc w:val="both"/>
              <w:rPr>
                <w:rFonts w:cstheme="minorHAnsi"/>
                <w:lang w:val="en-US"/>
              </w:rPr>
            </w:pPr>
            <w:r w:rsidRPr="0046441B">
              <w:rPr>
                <w:rFonts w:cstheme="minorHAnsi"/>
                <w:lang w:val="en-US"/>
              </w:rPr>
              <w:t>Council</w:t>
            </w:r>
          </w:p>
        </w:tc>
      </w:tr>
      <w:tr w:rsidR="00CE4C1A" w:rsidRPr="0046441B" w14:paraId="7331967D" w14:textId="77777777" w:rsidTr="00DC4B89">
        <w:tc>
          <w:tcPr>
            <w:tcW w:w="3114" w:type="dxa"/>
          </w:tcPr>
          <w:p w14:paraId="521C93EF" w14:textId="77777777" w:rsidR="00CE4C1A" w:rsidRPr="0046441B" w:rsidRDefault="00CE4C1A" w:rsidP="00DC4B89">
            <w:pPr>
              <w:jc w:val="both"/>
              <w:rPr>
                <w:rFonts w:cstheme="minorHAnsi"/>
                <w:b/>
                <w:lang w:val="en-US"/>
              </w:rPr>
            </w:pPr>
            <w:r w:rsidRPr="0046441B">
              <w:rPr>
                <w:rFonts w:cstheme="minorHAnsi"/>
                <w:b/>
                <w:lang w:val="en-US"/>
              </w:rPr>
              <w:t>Policy Adopted:</w:t>
            </w:r>
          </w:p>
        </w:tc>
        <w:tc>
          <w:tcPr>
            <w:tcW w:w="5902" w:type="dxa"/>
          </w:tcPr>
          <w:p w14:paraId="2D6412CA" w14:textId="77777777" w:rsidR="00CE4C1A" w:rsidRPr="0046441B" w:rsidRDefault="00CE4C1A" w:rsidP="00DC4B89">
            <w:pPr>
              <w:jc w:val="both"/>
              <w:rPr>
                <w:rFonts w:cstheme="minorHAnsi"/>
                <w:lang w:val="en-US"/>
              </w:rPr>
            </w:pPr>
            <w:r w:rsidRPr="0046441B">
              <w:rPr>
                <w:rFonts w:cstheme="minorHAnsi"/>
                <w:lang w:val="en-US"/>
              </w:rPr>
              <w:t>19/03/19</w:t>
            </w:r>
          </w:p>
        </w:tc>
      </w:tr>
      <w:tr w:rsidR="00CE4C1A" w:rsidRPr="0046441B" w14:paraId="4FCEBF05" w14:textId="77777777" w:rsidTr="00DC4B89">
        <w:tc>
          <w:tcPr>
            <w:tcW w:w="3114" w:type="dxa"/>
          </w:tcPr>
          <w:p w14:paraId="506721B6" w14:textId="77777777" w:rsidR="00CE4C1A" w:rsidRPr="0046441B" w:rsidRDefault="00CE4C1A" w:rsidP="00DC4B89">
            <w:pPr>
              <w:jc w:val="both"/>
              <w:rPr>
                <w:rFonts w:cstheme="minorHAnsi"/>
                <w:b/>
                <w:lang w:val="en-US"/>
              </w:rPr>
            </w:pPr>
            <w:r>
              <w:rPr>
                <w:rFonts w:cstheme="minorHAnsi"/>
                <w:b/>
                <w:lang w:val="en-US"/>
              </w:rPr>
              <w:t>Policy Amended/Reviewed:</w:t>
            </w:r>
          </w:p>
        </w:tc>
        <w:tc>
          <w:tcPr>
            <w:tcW w:w="5902" w:type="dxa"/>
          </w:tcPr>
          <w:p w14:paraId="1F8516F7" w14:textId="77777777" w:rsidR="00CE4C1A" w:rsidRPr="0046441B" w:rsidRDefault="00CE4C1A" w:rsidP="00DC4B89">
            <w:pPr>
              <w:jc w:val="both"/>
              <w:rPr>
                <w:rFonts w:cstheme="minorHAnsi"/>
                <w:lang w:val="en-US"/>
              </w:rPr>
            </w:pPr>
            <w:r>
              <w:rPr>
                <w:rFonts w:cstheme="minorHAnsi"/>
                <w:lang w:val="en-US"/>
              </w:rPr>
              <w:t>17/09/19, 16/11/21, 19/03/24</w:t>
            </w:r>
          </w:p>
        </w:tc>
      </w:tr>
      <w:tr w:rsidR="00CE4C1A" w:rsidRPr="0046441B" w14:paraId="69843832" w14:textId="77777777" w:rsidTr="00DC4B89">
        <w:tc>
          <w:tcPr>
            <w:tcW w:w="3114" w:type="dxa"/>
          </w:tcPr>
          <w:p w14:paraId="498312FC" w14:textId="77777777" w:rsidR="00CE4C1A" w:rsidRPr="0046441B" w:rsidRDefault="00CE4C1A" w:rsidP="00DC4B89">
            <w:pPr>
              <w:jc w:val="both"/>
              <w:rPr>
                <w:rFonts w:cstheme="minorHAnsi"/>
                <w:b/>
                <w:lang w:val="en-US"/>
              </w:rPr>
            </w:pPr>
            <w:r w:rsidRPr="0046441B">
              <w:rPr>
                <w:rFonts w:cstheme="minorHAnsi"/>
                <w:b/>
                <w:lang w:val="en-US"/>
              </w:rPr>
              <w:t>Next Review Date:</w:t>
            </w:r>
          </w:p>
        </w:tc>
        <w:tc>
          <w:tcPr>
            <w:tcW w:w="5902" w:type="dxa"/>
          </w:tcPr>
          <w:p w14:paraId="447C242A" w14:textId="77777777" w:rsidR="00CE4C1A" w:rsidRPr="0046441B" w:rsidRDefault="00CE4C1A" w:rsidP="00DC4B89">
            <w:pPr>
              <w:jc w:val="both"/>
              <w:rPr>
                <w:rFonts w:cstheme="minorHAnsi"/>
                <w:lang w:val="en-US"/>
              </w:rPr>
            </w:pPr>
            <w:r>
              <w:rPr>
                <w:rFonts w:cstheme="minorHAnsi"/>
                <w:lang w:val="en-US"/>
              </w:rPr>
              <w:t>March 2024</w:t>
            </w:r>
          </w:p>
        </w:tc>
      </w:tr>
    </w:tbl>
    <w:p w14:paraId="106CC74F" w14:textId="77777777" w:rsidR="00CE4C1A" w:rsidRDefault="00CE4C1A" w:rsidP="00CE4C1A">
      <w:pPr>
        <w:jc w:val="right"/>
      </w:pPr>
    </w:p>
    <w:p w14:paraId="2BFD5E21" w14:textId="77777777" w:rsidR="00CE4C1A" w:rsidRDefault="00CE4C1A" w:rsidP="00733DE9"/>
    <w:p w14:paraId="4AF57369" w14:textId="77777777" w:rsidR="00CE4C1A" w:rsidRDefault="00CE4C1A" w:rsidP="00733DE9"/>
    <w:p w14:paraId="5C5C2F2C" w14:textId="77777777" w:rsidR="00CE4C1A" w:rsidRDefault="00CE4C1A" w:rsidP="00733DE9"/>
    <w:p w14:paraId="0C7F4217" w14:textId="7E31ECF3" w:rsidR="00733DE9" w:rsidRDefault="00733DE9" w:rsidP="00733DE9">
      <w:r>
        <w:br w:type="page"/>
      </w:r>
    </w:p>
    <w:p w14:paraId="002B6DB9" w14:textId="2A43AD2A" w:rsidR="00EF011D" w:rsidRDefault="00EF011D" w:rsidP="00EA2651">
      <w:r>
        <w:rPr>
          <w:noProof/>
          <w:lang w:eastAsia="en-AU"/>
        </w:rPr>
        <w:lastRenderedPageBreak/>
        <w:drawing>
          <wp:anchor distT="0" distB="0" distL="114300" distR="114300" simplePos="0" relativeHeight="251633664" behindDoc="1" locked="0" layoutInCell="1" allowOverlap="1" wp14:anchorId="3319FFF3" wp14:editId="50BC6935">
            <wp:simplePos x="0" y="0"/>
            <wp:positionH relativeFrom="column">
              <wp:posOffset>3952875</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bookmarkStart w:id="298" w:name="_Toc15380526"/>
    </w:p>
    <w:p w14:paraId="7CC36401" w14:textId="77777777" w:rsidR="00EF011D" w:rsidRDefault="00EF011D" w:rsidP="00597282">
      <w:pPr>
        <w:pStyle w:val="Policy3"/>
      </w:pPr>
    </w:p>
    <w:p w14:paraId="5F7814C1" w14:textId="77777777" w:rsidR="00EA2651" w:rsidRDefault="00EA2651" w:rsidP="00597282">
      <w:pPr>
        <w:pStyle w:val="Policy3"/>
      </w:pPr>
    </w:p>
    <w:p w14:paraId="779946E9" w14:textId="671D05E5" w:rsidR="00597282" w:rsidRPr="00990E54" w:rsidRDefault="00597282" w:rsidP="00597282">
      <w:pPr>
        <w:pStyle w:val="Policy3"/>
        <w:rPr>
          <w:sz w:val="26"/>
        </w:rPr>
      </w:pPr>
      <w:bookmarkStart w:id="299" w:name="_Toc216866684"/>
      <w:r w:rsidRPr="00990E54">
        <w:t>2.1.9</w:t>
      </w:r>
      <w:r w:rsidRPr="00990E54">
        <w:tab/>
        <w:t>Parking Infringement Appeals</w:t>
      </w:r>
      <w:bookmarkEnd w:id="298"/>
      <w:bookmarkEnd w:id="299"/>
    </w:p>
    <w:tbl>
      <w:tblPr>
        <w:tblStyle w:val="TableGrid"/>
        <w:tblW w:w="0" w:type="auto"/>
        <w:tblLook w:val="04A0" w:firstRow="1" w:lastRow="0" w:firstColumn="1" w:lastColumn="0" w:noHBand="0" w:noVBand="1"/>
      </w:tblPr>
      <w:tblGrid>
        <w:gridCol w:w="3026"/>
        <w:gridCol w:w="5990"/>
      </w:tblGrid>
      <w:tr w:rsidR="00597282" w:rsidRPr="000212B1" w14:paraId="58958C72" w14:textId="77777777" w:rsidTr="00B32822">
        <w:tc>
          <w:tcPr>
            <w:tcW w:w="3026" w:type="dxa"/>
          </w:tcPr>
          <w:p w14:paraId="4E4249A3" w14:textId="77777777" w:rsidR="00597282" w:rsidRPr="000212B1" w:rsidRDefault="00597282" w:rsidP="00B32822">
            <w:pPr>
              <w:rPr>
                <w:rFonts w:cstheme="minorHAnsi"/>
                <w:b/>
                <w:lang w:val="en-US"/>
              </w:rPr>
            </w:pPr>
            <w:r w:rsidRPr="000212B1">
              <w:rPr>
                <w:rFonts w:cstheme="minorHAnsi"/>
                <w:b/>
                <w:lang w:val="en-US"/>
              </w:rPr>
              <w:t>Type:</w:t>
            </w:r>
          </w:p>
        </w:tc>
        <w:tc>
          <w:tcPr>
            <w:tcW w:w="5990" w:type="dxa"/>
          </w:tcPr>
          <w:p w14:paraId="600FC8C1" w14:textId="77777777" w:rsidR="00597282" w:rsidRPr="000212B1" w:rsidRDefault="00597282" w:rsidP="00B32822">
            <w:pPr>
              <w:rPr>
                <w:rFonts w:cstheme="minorHAnsi"/>
                <w:lang w:val="en-US"/>
              </w:rPr>
            </w:pPr>
            <w:r w:rsidRPr="000212B1">
              <w:rPr>
                <w:rFonts w:cstheme="minorHAnsi"/>
                <w:lang w:val="en-US"/>
              </w:rPr>
              <w:t>Corporate Services – Financial Management</w:t>
            </w:r>
          </w:p>
        </w:tc>
      </w:tr>
      <w:tr w:rsidR="00597282" w:rsidRPr="000212B1" w14:paraId="1D6E83E5" w14:textId="77777777" w:rsidTr="00B32822">
        <w:tc>
          <w:tcPr>
            <w:tcW w:w="3026" w:type="dxa"/>
          </w:tcPr>
          <w:p w14:paraId="7C39E6AC" w14:textId="77777777" w:rsidR="00597282" w:rsidRPr="000212B1" w:rsidRDefault="00597282" w:rsidP="00B32822">
            <w:pPr>
              <w:rPr>
                <w:rFonts w:cstheme="minorHAnsi"/>
                <w:b/>
                <w:lang w:val="en-US"/>
              </w:rPr>
            </w:pPr>
            <w:r w:rsidRPr="000212B1">
              <w:rPr>
                <w:rFonts w:cstheme="minorHAnsi"/>
                <w:b/>
                <w:lang w:val="en-US"/>
              </w:rPr>
              <w:t>Legislation:</w:t>
            </w:r>
          </w:p>
        </w:tc>
        <w:tc>
          <w:tcPr>
            <w:tcW w:w="5990" w:type="dxa"/>
          </w:tcPr>
          <w:p w14:paraId="54535EF3" w14:textId="77777777" w:rsidR="00597282" w:rsidRPr="000212B1" w:rsidRDefault="00597282" w:rsidP="00B32822">
            <w:pPr>
              <w:rPr>
                <w:rFonts w:cstheme="minorHAnsi"/>
                <w:lang w:val="en-US"/>
              </w:rPr>
            </w:pPr>
          </w:p>
        </w:tc>
      </w:tr>
      <w:tr w:rsidR="00597282" w:rsidRPr="000212B1" w14:paraId="798283EF" w14:textId="77777777" w:rsidTr="00B32822">
        <w:tc>
          <w:tcPr>
            <w:tcW w:w="3026" w:type="dxa"/>
          </w:tcPr>
          <w:p w14:paraId="33C6A615" w14:textId="77777777" w:rsidR="00597282" w:rsidRPr="000212B1" w:rsidRDefault="00597282" w:rsidP="00B32822">
            <w:pPr>
              <w:rPr>
                <w:rFonts w:cstheme="minorHAnsi"/>
                <w:b/>
                <w:lang w:val="en-US"/>
              </w:rPr>
            </w:pPr>
            <w:r w:rsidRPr="000212B1">
              <w:rPr>
                <w:rFonts w:cstheme="minorHAnsi"/>
                <w:b/>
                <w:lang w:val="en-US"/>
              </w:rPr>
              <w:t>Delegation:</w:t>
            </w:r>
          </w:p>
        </w:tc>
        <w:tc>
          <w:tcPr>
            <w:tcW w:w="5990" w:type="dxa"/>
          </w:tcPr>
          <w:p w14:paraId="66DE4ED1" w14:textId="77777777" w:rsidR="00597282" w:rsidRPr="000212B1" w:rsidRDefault="00597282" w:rsidP="00B32822">
            <w:pPr>
              <w:rPr>
                <w:rFonts w:cstheme="minorHAnsi"/>
                <w:lang w:val="en-US"/>
              </w:rPr>
            </w:pPr>
            <w:r w:rsidRPr="000212B1">
              <w:rPr>
                <w:rFonts w:cstheme="minorHAnsi"/>
                <w:lang w:val="en-US"/>
              </w:rPr>
              <w:t>DA62 Withdrawal, Amendment &amp; Collection of Infringement Notices</w:t>
            </w:r>
          </w:p>
        </w:tc>
      </w:tr>
      <w:tr w:rsidR="00597282" w:rsidRPr="000212B1" w14:paraId="2F4EDA2E" w14:textId="77777777" w:rsidTr="00B32822">
        <w:tc>
          <w:tcPr>
            <w:tcW w:w="3026" w:type="dxa"/>
          </w:tcPr>
          <w:p w14:paraId="1F0C6A20" w14:textId="77777777" w:rsidR="00597282" w:rsidRPr="000212B1" w:rsidRDefault="00597282" w:rsidP="00B32822">
            <w:pPr>
              <w:rPr>
                <w:rFonts w:cstheme="minorHAnsi"/>
                <w:b/>
                <w:lang w:val="en-US"/>
              </w:rPr>
            </w:pPr>
            <w:r w:rsidRPr="000212B1">
              <w:rPr>
                <w:rFonts w:cstheme="minorHAnsi"/>
                <w:b/>
                <w:lang w:val="en-US"/>
              </w:rPr>
              <w:t>Other Related Document:</w:t>
            </w:r>
          </w:p>
        </w:tc>
        <w:tc>
          <w:tcPr>
            <w:tcW w:w="5990" w:type="dxa"/>
          </w:tcPr>
          <w:p w14:paraId="3A5022AB" w14:textId="77777777" w:rsidR="00597282" w:rsidRPr="000212B1" w:rsidRDefault="00597282" w:rsidP="00B32822">
            <w:pPr>
              <w:rPr>
                <w:rFonts w:cstheme="minorHAnsi"/>
                <w:lang w:val="en-US"/>
              </w:rPr>
            </w:pPr>
            <w:r w:rsidRPr="000212B1">
              <w:rPr>
                <w:rFonts w:cstheme="minorHAnsi"/>
                <w:lang w:val="en-US"/>
              </w:rPr>
              <w:t>Town of East Fremantle Parking Local Law 2016</w:t>
            </w:r>
          </w:p>
        </w:tc>
      </w:tr>
    </w:tbl>
    <w:p w14:paraId="7F14EB4D" w14:textId="77777777" w:rsidR="00597282" w:rsidRPr="00832CA2" w:rsidRDefault="00597282" w:rsidP="00597282">
      <w:pPr>
        <w:spacing w:before="200" w:after="0"/>
        <w:rPr>
          <w:b/>
          <w:sz w:val="28"/>
          <w:szCs w:val="28"/>
          <w:lang w:val="en-US"/>
        </w:rPr>
      </w:pPr>
      <w:r w:rsidRPr="00832CA2">
        <w:rPr>
          <w:b/>
          <w:sz w:val="28"/>
          <w:szCs w:val="28"/>
          <w:lang w:val="en-US"/>
        </w:rPr>
        <w:t>Objective</w:t>
      </w:r>
    </w:p>
    <w:p w14:paraId="6093EBF2" w14:textId="77777777" w:rsidR="00597282" w:rsidRPr="000212B1" w:rsidRDefault="00597282" w:rsidP="00597282">
      <w:pPr>
        <w:pStyle w:val="Default"/>
        <w:spacing w:after="60"/>
        <w:rPr>
          <w:rFonts w:asciiTheme="minorHAnsi" w:hAnsiTheme="minorHAnsi" w:cstheme="minorHAnsi"/>
          <w:sz w:val="22"/>
          <w:szCs w:val="22"/>
        </w:rPr>
      </w:pPr>
      <w:r w:rsidRPr="000212B1">
        <w:rPr>
          <w:rFonts w:asciiTheme="minorHAnsi" w:hAnsiTheme="minorHAnsi" w:cstheme="minorHAnsi"/>
          <w:sz w:val="22"/>
          <w:szCs w:val="22"/>
        </w:rPr>
        <w:t xml:space="preserve">The objectives of this policy are to provide: </w:t>
      </w:r>
    </w:p>
    <w:p w14:paraId="25CF903D" w14:textId="77777777" w:rsidR="00597282" w:rsidRPr="000212B1" w:rsidRDefault="00597282" w:rsidP="00597282">
      <w:pPr>
        <w:pStyle w:val="Default"/>
        <w:spacing w:after="60"/>
        <w:ind w:left="426" w:hanging="426"/>
        <w:rPr>
          <w:rFonts w:asciiTheme="minorHAnsi" w:hAnsiTheme="minorHAnsi" w:cstheme="minorHAnsi"/>
          <w:sz w:val="22"/>
          <w:szCs w:val="22"/>
        </w:rPr>
      </w:pPr>
      <w:r w:rsidRPr="000212B1">
        <w:rPr>
          <w:rFonts w:asciiTheme="minorHAnsi" w:hAnsiTheme="minorHAnsi" w:cstheme="minorHAnsi"/>
          <w:sz w:val="22"/>
          <w:szCs w:val="22"/>
        </w:rPr>
        <w:t xml:space="preserve">1. </w:t>
      </w:r>
      <w:r w:rsidRPr="000212B1">
        <w:rPr>
          <w:rFonts w:asciiTheme="minorHAnsi" w:hAnsiTheme="minorHAnsi" w:cstheme="minorHAnsi"/>
          <w:sz w:val="22"/>
          <w:szCs w:val="22"/>
        </w:rPr>
        <w:tab/>
      </w:r>
      <w:r>
        <w:rPr>
          <w:rFonts w:asciiTheme="minorHAnsi" w:hAnsiTheme="minorHAnsi" w:cstheme="minorHAnsi"/>
          <w:sz w:val="22"/>
          <w:szCs w:val="22"/>
        </w:rPr>
        <w:t xml:space="preserve">a </w:t>
      </w:r>
      <w:r w:rsidRPr="000212B1">
        <w:rPr>
          <w:rFonts w:asciiTheme="minorHAnsi" w:hAnsiTheme="minorHAnsi" w:cstheme="minorHAnsi"/>
          <w:sz w:val="22"/>
          <w:szCs w:val="22"/>
        </w:rPr>
        <w:t xml:space="preserve">consistent approach to the review of parking infringement notices issued under Town of East Fremantle Parking Local Law 2016; and, </w:t>
      </w:r>
    </w:p>
    <w:p w14:paraId="26DD282A" w14:textId="77777777" w:rsidR="00597282" w:rsidRPr="000212B1" w:rsidRDefault="00597282" w:rsidP="00597282">
      <w:pPr>
        <w:pStyle w:val="Default"/>
        <w:ind w:left="426" w:hanging="426"/>
        <w:rPr>
          <w:rFonts w:asciiTheme="minorHAnsi" w:hAnsiTheme="minorHAnsi" w:cstheme="minorHAnsi"/>
          <w:sz w:val="22"/>
          <w:szCs w:val="22"/>
        </w:rPr>
      </w:pPr>
      <w:r>
        <w:rPr>
          <w:rFonts w:asciiTheme="minorHAnsi" w:hAnsiTheme="minorHAnsi" w:cstheme="minorHAnsi"/>
          <w:sz w:val="22"/>
          <w:szCs w:val="22"/>
        </w:rPr>
        <w:t xml:space="preserve">2. </w:t>
      </w:r>
      <w:r>
        <w:rPr>
          <w:rFonts w:asciiTheme="minorHAnsi" w:hAnsiTheme="minorHAnsi" w:cstheme="minorHAnsi"/>
          <w:sz w:val="22"/>
          <w:szCs w:val="22"/>
        </w:rPr>
        <w:tab/>
        <w:t>a</w:t>
      </w:r>
      <w:r w:rsidRPr="000212B1">
        <w:rPr>
          <w:rFonts w:asciiTheme="minorHAnsi" w:hAnsiTheme="minorHAnsi" w:cstheme="minorHAnsi"/>
          <w:sz w:val="22"/>
          <w:szCs w:val="22"/>
        </w:rPr>
        <w:t xml:space="preserve"> clear framework for assessing parking infringement notice appeals. </w:t>
      </w:r>
    </w:p>
    <w:p w14:paraId="0D5A88FC" w14:textId="77777777" w:rsidR="00597282" w:rsidRPr="00832CA2" w:rsidRDefault="00597282" w:rsidP="00597282">
      <w:pPr>
        <w:spacing w:before="200" w:after="0"/>
        <w:rPr>
          <w:b/>
          <w:sz w:val="28"/>
          <w:szCs w:val="28"/>
          <w:lang w:val="en-US"/>
        </w:rPr>
      </w:pPr>
      <w:r w:rsidRPr="00832CA2">
        <w:rPr>
          <w:b/>
          <w:sz w:val="28"/>
          <w:szCs w:val="28"/>
          <w:lang w:val="en-US"/>
        </w:rPr>
        <w:t>Policy Scope</w:t>
      </w:r>
    </w:p>
    <w:p w14:paraId="6545E816" w14:textId="77777777" w:rsidR="00597282" w:rsidRPr="000212B1" w:rsidRDefault="00597282" w:rsidP="00597282">
      <w:pPr>
        <w:jc w:val="both"/>
        <w:rPr>
          <w:rFonts w:cstheme="minorHAnsi"/>
          <w:lang w:val="en-US"/>
        </w:rPr>
      </w:pPr>
      <w:r w:rsidRPr="000212B1">
        <w:rPr>
          <w:rFonts w:cstheme="minorHAnsi"/>
          <w:lang w:val="en-US"/>
        </w:rPr>
        <w:t>This policy relates to all parking infringements issued within the Town of East Fremantle.</w:t>
      </w:r>
    </w:p>
    <w:p w14:paraId="45E58B34" w14:textId="77777777" w:rsidR="00597282" w:rsidRPr="00832CA2" w:rsidRDefault="00597282" w:rsidP="00597282">
      <w:pPr>
        <w:spacing w:after="0"/>
        <w:rPr>
          <w:b/>
          <w:sz w:val="28"/>
          <w:szCs w:val="28"/>
          <w:lang w:val="en-US"/>
        </w:rPr>
      </w:pPr>
      <w:r w:rsidRPr="00832CA2">
        <w:rPr>
          <w:b/>
          <w:sz w:val="28"/>
          <w:szCs w:val="28"/>
          <w:lang w:val="en-US"/>
        </w:rPr>
        <w:t xml:space="preserve">Policy </w:t>
      </w:r>
    </w:p>
    <w:p w14:paraId="121A235C" w14:textId="77777777" w:rsidR="00597282" w:rsidRPr="000212B1" w:rsidRDefault="00597282" w:rsidP="00597282">
      <w:pPr>
        <w:autoSpaceDE w:val="0"/>
        <w:autoSpaceDN w:val="0"/>
        <w:adjustRightInd w:val="0"/>
        <w:spacing w:after="60" w:line="240" w:lineRule="auto"/>
        <w:jc w:val="both"/>
        <w:rPr>
          <w:rFonts w:cstheme="minorHAnsi"/>
          <w:color w:val="000000"/>
        </w:rPr>
      </w:pPr>
      <w:r w:rsidRPr="000212B1">
        <w:rPr>
          <w:rFonts w:cstheme="minorHAnsi"/>
          <w:color w:val="000000"/>
        </w:rPr>
        <w:t xml:space="preserve">The following general principles will be considered when determining the outcome of appeals against parking infringement notices: </w:t>
      </w:r>
    </w:p>
    <w:p w14:paraId="0FCB2F41" w14:textId="77777777" w:rsidR="00597282" w:rsidRPr="000212B1" w:rsidRDefault="00597282" w:rsidP="002A3889">
      <w:pPr>
        <w:pStyle w:val="ListParagraph"/>
        <w:numPr>
          <w:ilvl w:val="0"/>
          <w:numId w:val="43"/>
        </w:numPr>
        <w:autoSpaceDE w:val="0"/>
        <w:autoSpaceDN w:val="0"/>
        <w:adjustRightInd w:val="0"/>
        <w:spacing w:after="60" w:line="240" w:lineRule="auto"/>
        <w:ind w:left="426" w:hanging="426"/>
        <w:contextualSpacing w:val="0"/>
        <w:jc w:val="both"/>
        <w:rPr>
          <w:rFonts w:cstheme="minorHAnsi"/>
          <w:color w:val="000000"/>
        </w:rPr>
      </w:pPr>
      <w:r w:rsidRPr="000212B1">
        <w:rPr>
          <w:rFonts w:cstheme="minorHAnsi"/>
          <w:color w:val="000000"/>
        </w:rPr>
        <w:t xml:space="preserve">Were the elements of the offence met? </w:t>
      </w:r>
    </w:p>
    <w:p w14:paraId="00E09840" w14:textId="77777777" w:rsidR="00597282" w:rsidRPr="000212B1" w:rsidRDefault="00597282" w:rsidP="002A3889">
      <w:pPr>
        <w:pStyle w:val="ListParagraph"/>
        <w:numPr>
          <w:ilvl w:val="0"/>
          <w:numId w:val="43"/>
        </w:numPr>
        <w:autoSpaceDE w:val="0"/>
        <w:autoSpaceDN w:val="0"/>
        <w:adjustRightInd w:val="0"/>
        <w:spacing w:after="120" w:line="240" w:lineRule="auto"/>
        <w:ind w:left="426" w:hanging="426"/>
        <w:jc w:val="both"/>
        <w:rPr>
          <w:rFonts w:cstheme="minorHAnsi"/>
          <w:color w:val="000000"/>
        </w:rPr>
      </w:pPr>
      <w:r w:rsidRPr="000212B1">
        <w:rPr>
          <w:rFonts w:cstheme="minorHAnsi"/>
          <w:color w:val="000000"/>
        </w:rPr>
        <w:t xml:space="preserve">Was the customer unable to comply with the relevant provisions of the law for a reason or due to a significant circumstance that was out of their control? </w:t>
      </w:r>
    </w:p>
    <w:p w14:paraId="433D753D" w14:textId="77777777" w:rsidR="00597282" w:rsidRDefault="00597282" w:rsidP="00597282">
      <w:pPr>
        <w:autoSpaceDE w:val="0"/>
        <w:autoSpaceDN w:val="0"/>
        <w:adjustRightInd w:val="0"/>
        <w:spacing w:line="240" w:lineRule="auto"/>
        <w:jc w:val="both"/>
        <w:rPr>
          <w:rFonts w:cstheme="minorHAnsi"/>
          <w:color w:val="000000"/>
        </w:rPr>
      </w:pPr>
      <w:r w:rsidRPr="000212B1">
        <w:rPr>
          <w:rFonts w:cstheme="minorHAnsi"/>
          <w:color w:val="000000"/>
        </w:rPr>
        <w:t xml:space="preserve">All parking infringement appeals must be received within 28 days of the issue of the infringement notice and will be assessed on their individual merit. </w:t>
      </w:r>
    </w:p>
    <w:p w14:paraId="27C78286" w14:textId="77777777" w:rsidR="00ED6CFB" w:rsidRDefault="00ED6CFB" w:rsidP="00597282">
      <w:pPr>
        <w:autoSpaceDE w:val="0"/>
        <w:autoSpaceDN w:val="0"/>
        <w:adjustRightInd w:val="0"/>
        <w:spacing w:line="240" w:lineRule="auto"/>
        <w:jc w:val="both"/>
        <w:rPr>
          <w:rFonts w:cstheme="minorHAnsi"/>
          <w:color w:val="000000"/>
        </w:rPr>
      </w:pPr>
      <w:r>
        <w:rPr>
          <w:rFonts w:cstheme="minorHAnsi"/>
          <w:color w:val="000000"/>
        </w:rPr>
        <w:t>Methods for lodging an appeal are as follows:</w:t>
      </w:r>
    </w:p>
    <w:p w14:paraId="2BE71A0F" w14:textId="77777777" w:rsidR="00ED6CFB" w:rsidRDefault="00ED6CFB" w:rsidP="00ED6CFB">
      <w:pPr>
        <w:autoSpaceDE w:val="0"/>
        <w:autoSpaceDN w:val="0"/>
        <w:adjustRightInd w:val="0"/>
        <w:spacing w:line="240" w:lineRule="auto"/>
        <w:ind w:left="426" w:hanging="426"/>
        <w:jc w:val="both"/>
        <w:rPr>
          <w:rFonts w:cstheme="minorHAnsi"/>
          <w:color w:val="000000"/>
        </w:rPr>
      </w:pPr>
      <w:r>
        <w:rPr>
          <w:rFonts w:cstheme="minorHAnsi"/>
          <w:color w:val="000000"/>
        </w:rPr>
        <w:t>1.</w:t>
      </w:r>
      <w:r>
        <w:rPr>
          <w:rFonts w:cstheme="minorHAnsi"/>
          <w:color w:val="000000"/>
        </w:rPr>
        <w:tab/>
        <w:t>All appeals must be in writing</w:t>
      </w:r>
    </w:p>
    <w:p w14:paraId="5BDF80F2" w14:textId="77777777" w:rsidR="00ED6CFB" w:rsidRDefault="00ED6CFB" w:rsidP="00ED6CFB">
      <w:pPr>
        <w:autoSpaceDE w:val="0"/>
        <w:autoSpaceDN w:val="0"/>
        <w:adjustRightInd w:val="0"/>
        <w:spacing w:line="240" w:lineRule="auto"/>
        <w:ind w:left="426" w:hanging="426"/>
        <w:jc w:val="both"/>
        <w:rPr>
          <w:rFonts w:cstheme="minorHAnsi"/>
          <w:color w:val="000000"/>
        </w:rPr>
      </w:pPr>
      <w:r>
        <w:rPr>
          <w:rFonts w:cstheme="minorHAnsi"/>
          <w:color w:val="000000"/>
        </w:rPr>
        <w:t>2.</w:t>
      </w:r>
      <w:r>
        <w:rPr>
          <w:rFonts w:cstheme="minorHAnsi"/>
          <w:color w:val="000000"/>
        </w:rPr>
        <w:tab/>
        <w:t>Appeals can be submitted via:</w:t>
      </w:r>
    </w:p>
    <w:p w14:paraId="2862B967" w14:textId="77777777" w:rsidR="00ED6CFB" w:rsidRDefault="00ED6CFB" w:rsidP="00ED6CFB">
      <w:pPr>
        <w:autoSpaceDE w:val="0"/>
        <w:autoSpaceDN w:val="0"/>
        <w:adjustRightInd w:val="0"/>
        <w:spacing w:line="240" w:lineRule="auto"/>
        <w:ind w:left="851" w:hanging="425"/>
        <w:jc w:val="both"/>
        <w:rPr>
          <w:rFonts w:cstheme="minorHAnsi"/>
          <w:color w:val="000000"/>
        </w:rPr>
      </w:pPr>
      <w:r>
        <w:rPr>
          <w:rFonts w:cstheme="minorHAnsi"/>
          <w:color w:val="000000"/>
        </w:rPr>
        <w:t>(a)</w:t>
      </w:r>
      <w:r>
        <w:rPr>
          <w:rFonts w:cstheme="minorHAnsi"/>
          <w:color w:val="000000"/>
        </w:rPr>
        <w:tab/>
        <w:t xml:space="preserve">email to </w:t>
      </w:r>
      <w:hyperlink r:id="rId58" w:history="1">
        <w:r w:rsidRPr="00417730">
          <w:rPr>
            <w:rStyle w:val="Hyperlink"/>
            <w:rFonts w:cstheme="minorHAnsi"/>
          </w:rPr>
          <w:t>admin@eastfremantle.wa.gov.au</w:t>
        </w:r>
      </w:hyperlink>
      <w:r>
        <w:rPr>
          <w:rFonts w:cstheme="minorHAnsi"/>
          <w:color w:val="000000"/>
        </w:rPr>
        <w:t xml:space="preserve"> </w:t>
      </w:r>
    </w:p>
    <w:p w14:paraId="6E6F7710" w14:textId="77777777" w:rsidR="00ED6CFB" w:rsidRDefault="00ED6CFB" w:rsidP="00ED6CFB">
      <w:pPr>
        <w:autoSpaceDE w:val="0"/>
        <w:autoSpaceDN w:val="0"/>
        <w:adjustRightInd w:val="0"/>
        <w:spacing w:line="240" w:lineRule="auto"/>
        <w:ind w:left="851" w:hanging="425"/>
        <w:jc w:val="both"/>
        <w:rPr>
          <w:rFonts w:cstheme="minorHAnsi"/>
          <w:color w:val="000000"/>
        </w:rPr>
      </w:pPr>
      <w:r>
        <w:rPr>
          <w:rFonts w:cstheme="minorHAnsi"/>
          <w:color w:val="000000"/>
        </w:rPr>
        <w:t xml:space="preserve">(b) </w:t>
      </w:r>
      <w:r>
        <w:rPr>
          <w:rFonts w:cstheme="minorHAnsi"/>
          <w:color w:val="000000"/>
        </w:rPr>
        <w:tab/>
        <w:t>completing the hard copy appeals form available in person, from Customer Service</w:t>
      </w:r>
    </w:p>
    <w:p w14:paraId="45378810" w14:textId="77777777" w:rsidR="00ED6CFB" w:rsidRPr="000212B1" w:rsidRDefault="00ED6CFB" w:rsidP="00ED6CFB">
      <w:pPr>
        <w:autoSpaceDE w:val="0"/>
        <w:autoSpaceDN w:val="0"/>
        <w:adjustRightInd w:val="0"/>
        <w:spacing w:line="240" w:lineRule="auto"/>
        <w:ind w:left="851" w:hanging="425"/>
        <w:jc w:val="both"/>
        <w:rPr>
          <w:rFonts w:cstheme="minorHAnsi"/>
          <w:color w:val="000000"/>
        </w:rPr>
      </w:pPr>
      <w:r>
        <w:rPr>
          <w:rFonts w:cstheme="minorHAnsi"/>
          <w:color w:val="000000"/>
        </w:rPr>
        <w:t>(c)</w:t>
      </w:r>
      <w:r>
        <w:rPr>
          <w:rFonts w:cstheme="minorHAnsi"/>
          <w:color w:val="000000"/>
        </w:rPr>
        <w:tab/>
        <w:t>using the online form via the Town of East Fremantle website.</w:t>
      </w:r>
    </w:p>
    <w:p w14:paraId="7E6BB356" w14:textId="77777777" w:rsidR="00597282" w:rsidRPr="000212B1" w:rsidRDefault="00597282" w:rsidP="00597282">
      <w:pPr>
        <w:autoSpaceDE w:val="0"/>
        <w:autoSpaceDN w:val="0"/>
        <w:adjustRightInd w:val="0"/>
        <w:spacing w:line="240" w:lineRule="auto"/>
        <w:jc w:val="both"/>
        <w:rPr>
          <w:rFonts w:cstheme="minorHAnsi"/>
          <w:color w:val="000000"/>
        </w:rPr>
      </w:pPr>
      <w:r w:rsidRPr="000212B1">
        <w:rPr>
          <w:rFonts w:cstheme="minorHAnsi"/>
          <w:color w:val="000000"/>
        </w:rPr>
        <w:t xml:space="preserve">Officers will apply a </w:t>
      </w:r>
      <w:proofErr w:type="gramStart"/>
      <w:r w:rsidRPr="000212B1">
        <w:rPr>
          <w:rFonts w:cstheme="minorHAnsi"/>
          <w:color w:val="000000"/>
        </w:rPr>
        <w:t>1</w:t>
      </w:r>
      <w:r w:rsidR="00ED6CFB">
        <w:rPr>
          <w:rFonts w:cstheme="minorHAnsi"/>
          <w:color w:val="000000"/>
        </w:rPr>
        <w:t>5</w:t>
      </w:r>
      <w:r w:rsidRPr="000212B1">
        <w:rPr>
          <w:rFonts w:cstheme="minorHAnsi"/>
          <w:color w:val="000000"/>
        </w:rPr>
        <w:t xml:space="preserve"> minute</w:t>
      </w:r>
      <w:proofErr w:type="gramEnd"/>
      <w:r w:rsidRPr="000212B1">
        <w:rPr>
          <w:rFonts w:cstheme="minorHAnsi"/>
          <w:color w:val="000000"/>
        </w:rPr>
        <w:t xml:space="preserve"> leniency prior to issuing a parking infringement notice for exceeding a time limit. </w:t>
      </w:r>
    </w:p>
    <w:p w14:paraId="04CBEF2B" w14:textId="77777777" w:rsidR="00597282" w:rsidRPr="000212B1" w:rsidRDefault="00597282" w:rsidP="00597282">
      <w:pPr>
        <w:autoSpaceDE w:val="0"/>
        <w:autoSpaceDN w:val="0"/>
        <w:adjustRightInd w:val="0"/>
        <w:spacing w:line="240" w:lineRule="auto"/>
        <w:jc w:val="both"/>
        <w:rPr>
          <w:rFonts w:cstheme="minorHAnsi"/>
          <w:color w:val="000000"/>
        </w:rPr>
      </w:pPr>
      <w:r w:rsidRPr="000212B1">
        <w:rPr>
          <w:rFonts w:cstheme="minorHAnsi"/>
          <w:color w:val="000000"/>
        </w:rPr>
        <w:t xml:space="preserve">In exceptional circumstances or in circumstances of repetitive offences by the same person, it may be appropriate for officers to make a decision that varies from the position outlined in this policy. </w:t>
      </w:r>
    </w:p>
    <w:p w14:paraId="1EA30117" w14:textId="77777777" w:rsidR="00597282" w:rsidRPr="000212B1" w:rsidRDefault="00597282" w:rsidP="00597282">
      <w:pPr>
        <w:jc w:val="both"/>
        <w:rPr>
          <w:rFonts w:cstheme="minorHAnsi"/>
          <w:color w:val="000000"/>
        </w:rPr>
      </w:pPr>
      <w:r w:rsidRPr="000212B1">
        <w:rPr>
          <w:rFonts w:cstheme="minorHAnsi"/>
          <w:color w:val="000000"/>
        </w:rPr>
        <w:t xml:space="preserve">The following tables outline the circumstances under which parking infringement notices that are subject to an appeal will, may be or will not be withdrawn: </w:t>
      </w:r>
    </w:p>
    <w:p w14:paraId="00EEBBCD" w14:textId="77777777" w:rsidR="00EA2651" w:rsidRDefault="00EA2651">
      <w:pPr>
        <w:rPr>
          <w:rFonts w:eastAsia="Times New Roman" w:cstheme="minorHAnsi"/>
          <w:i/>
          <w:lang w:val="en-US"/>
        </w:rPr>
      </w:pPr>
      <w:r>
        <w:rPr>
          <w:rFonts w:cstheme="minorHAnsi"/>
          <w:i/>
        </w:rPr>
        <w:br w:type="page"/>
      </w:r>
    </w:p>
    <w:p w14:paraId="7D9C7061" w14:textId="0156FB2E" w:rsidR="00597282" w:rsidRPr="001D156A" w:rsidRDefault="00597282" w:rsidP="00597282">
      <w:pPr>
        <w:pStyle w:val="BodyText"/>
        <w:spacing w:before="93"/>
        <w:ind w:left="235"/>
        <w:rPr>
          <w:rFonts w:asciiTheme="minorHAnsi" w:hAnsiTheme="minorHAnsi" w:cstheme="minorHAnsi"/>
          <w:i/>
          <w:szCs w:val="22"/>
        </w:rPr>
      </w:pPr>
      <w:r w:rsidRPr="001D156A">
        <w:rPr>
          <w:rFonts w:asciiTheme="minorHAnsi" w:hAnsiTheme="minorHAnsi" w:cstheme="minorHAnsi"/>
          <w:i/>
          <w:szCs w:val="22"/>
        </w:rPr>
        <w:lastRenderedPageBreak/>
        <w:t xml:space="preserve">Table 1. Circumstances under which an infringement </w:t>
      </w:r>
      <w:r w:rsidRPr="00F92276">
        <w:rPr>
          <w:rFonts w:asciiTheme="minorHAnsi" w:hAnsiTheme="minorHAnsi" w:cstheme="minorHAnsi"/>
          <w:b/>
          <w:i/>
          <w:szCs w:val="22"/>
        </w:rPr>
        <w:t>will</w:t>
      </w:r>
      <w:r w:rsidRPr="001D156A">
        <w:rPr>
          <w:rFonts w:asciiTheme="minorHAnsi" w:hAnsiTheme="minorHAnsi" w:cstheme="minorHAnsi"/>
          <w:i/>
          <w:szCs w:val="22"/>
        </w:rPr>
        <w:t xml:space="preserve"> be withdrawn</w:t>
      </w:r>
    </w:p>
    <w:tbl>
      <w:tblPr>
        <w:tblStyle w:val="TableGrid"/>
        <w:tblW w:w="0" w:type="auto"/>
        <w:tblInd w:w="235" w:type="dxa"/>
        <w:tblLook w:val="04A0" w:firstRow="1" w:lastRow="0" w:firstColumn="1" w:lastColumn="0" w:noHBand="0" w:noVBand="1"/>
      </w:tblPr>
      <w:tblGrid>
        <w:gridCol w:w="3588"/>
        <w:gridCol w:w="5193"/>
      </w:tblGrid>
      <w:tr w:rsidR="00597282" w14:paraId="40A4A6C2" w14:textId="77777777" w:rsidTr="00B32822">
        <w:tc>
          <w:tcPr>
            <w:tcW w:w="3588" w:type="dxa"/>
          </w:tcPr>
          <w:p w14:paraId="7590347E" w14:textId="77777777" w:rsidR="00597282" w:rsidRPr="008C334E" w:rsidRDefault="00597282" w:rsidP="00B32822">
            <w:pPr>
              <w:pStyle w:val="BodyText"/>
              <w:spacing w:before="93"/>
              <w:ind w:left="0"/>
              <w:jc w:val="center"/>
              <w:rPr>
                <w:rFonts w:asciiTheme="minorHAnsi" w:hAnsiTheme="minorHAnsi" w:cstheme="minorHAnsi"/>
                <w:b/>
                <w:sz w:val="20"/>
              </w:rPr>
            </w:pPr>
            <w:r w:rsidRPr="008C334E">
              <w:rPr>
                <w:rFonts w:asciiTheme="minorHAnsi" w:hAnsiTheme="minorHAnsi" w:cstheme="minorHAnsi"/>
                <w:b/>
                <w:sz w:val="20"/>
              </w:rPr>
              <w:t>Circumstances</w:t>
            </w:r>
          </w:p>
        </w:tc>
        <w:tc>
          <w:tcPr>
            <w:tcW w:w="5193" w:type="dxa"/>
          </w:tcPr>
          <w:p w14:paraId="383ABE55" w14:textId="77777777" w:rsidR="00597282" w:rsidRPr="008C334E" w:rsidRDefault="00597282" w:rsidP="00B32822">
            <w:pPr>
              <w:pStyle w:val="BodyText"/>
              <w:spacing w:before="93"/>
              <w:ind w:left="0"/>
              <w:jc w:val="center"/>
              <w:rPr>
                <w:rFonts w:asciiTheme="minorHAnsi" w:hAnsiTheme="minorHAnsi" w:cstheme="minorHAnsi"/>
                <w:b/>
                <w:sz w:val="20"/>
              </w:rPr>
            </w:pPr>
            <w:r w:rsidRPr="008C334E">
              <w:rPr>
                <w:rFonts w:asciiTheme="minorHAnsi" w:hAnsiTheme="minorHAnsi" w:cstheme="minorHAnsi"/>
                <w:b/>
                <w:sz w:val="20"/>
              </w:rPr>
              <w:t>Evidence required</w:t>
            </w:r>
          </w:p>
        </w:tc>
      </w:tr>
      <w:tr w:rsidR="00597282" w14:paraId="3B6F30D0" w14:textId="77777777" w:rsidTr="00B32822">
        <w:tc>
          <w:tcPr>
            <w:tcW w:w="3588" w:type="dxa"/>
          </w:tcPr>
          <w:p w14:paraId="079E3F31" w14:textId="77777777" w:rsidR="00597282" w:rsidRPr="008C334E" w:rsidRDefault="00597282" w:rsidP="00B32822">
            <w:pPr>
              <w:pStyle w:val="BodyText"/>
              <w:spacing w:before="93"/>
              <w:ind w:left="0"/>
              <w:rPr>
                <w:rFonts w:asciiTheme="minorHAnsi" w:hAnsiTheme="minorHAnsi" w:cstheme="minorHAnsi"/>
                <w:sz w:val="20"/>
              </w:rPr>
            </w:pPr>
            <w:r w:rsidRPr="008C334E">
              <w:rPr>
                <w:rFonts w:asciiTheme="minorHAnsi" w:hAnsiTheme="minorHAnsi" w:cstheme="minorHAnsi"/>
                <w:sz w:val="20"/>
              </w:rPr>
              <w:t>Vehicle breakdown due to mechanical fault</w:t>
            </w:r>
            <w:r>
              <w:rPr>
                <w:rFonts w:asciiTheme="minorHAnsi" w:hAnsiTheme="minorHAnsi" w:cstheme="minorHAnsi"/>
                <w:sz w:val="20"/>
              </w:rPr>
              <w:t>.</w:t>
            </w:r>
          </w:p>
        </w:tc>
        <w:tc>
          <w:tcPr>
            <w:tcW w:w="5193" w:type="dxa"/>
          </w:tcPr>
          <w:p w14:paraId="5CEADEB1" w14:textId="77777777" w:rsidR="00597282" w:rsidRDefault="00597282" w:rsidP="002A3889">
            <w:pPr>
              <w:pStyle w:val="BodyText"/>
              <w:numPr>
                <w:ilvl w:val="0"/>
                <w:numId w:val="45"/>
              </w:numPr>
              <w:spacing w:before="93" w:after="60"/>
              <w:ind w:left="238" w:hanging="238"/>
              <w:rPr>
                <w:rFonts w:asciiTheme="minorHAnsi" w:hAnsiTheme="minorHAnsi" w:cstheme="minorHAnsi"/>
                <w:sz w:val="20"/>
              </w:rPr>
            </w:pPr>
            <w:r w:rsidRPr="008C334E">
              <w:rPr>
                <w:rFonts w:asciiTheme="minorHAnsi" w:hAnsiTheme="minorHAnsi" w:cstheme="minorHAnsi"/>
                <w:sz w:val="20"/>
              </w:rPr>
              <w:t>Statutory declaration outlining the nature of the breakdown, why the vehicle couldn’t be moved and how the vehicle was moved; or</w:t>
            </w:r>
          </w:p>
          <w:p w14:paraId="396E065E" w14:textId="77777777" w:rsidR="00597282" w:rsidRDefault="00597282" w:rsidP="002A3889">
            <w:pPr>
              <w:pStyle w:val="BodyText"/>
              <w:numPr>
                <w:ilvl w:val="0"/>
                <w:numId w:val="45"/>
              </w:numPr>
              <w:spacing w:before="93" w:after="60"/>
              <w:ind w:left="238" w:hanging="238"/>
              <w:rPr>
                <w:rFonts w:asciiTheme="minorHAnsi" w:hAnsiTheme="minorHAnsi" w:cstheme="minorHAnsi"/>
                <w:sz w:val="20"/>
              </w:rPr>
            </w:pPr>
            <w:r>
              <w:rPr>
                <w:rFonts w:asciiTheme="minorHAnsi" w:hAnsiTheme="minorHAnsi" w:cstheme="minorHAnsi"/>
                <w:sz w:val="20"/>
              </w:rPr>
              <w:t>Receipts from a vehicle towing company; or</w:t>
            </w:r>
          </w:p>
          <w:p w14:paraId="4CF7045D" w14:textId="77777777" w:rsidR="00597282" w:rsidRPr="008C334E" w:rsidRDefault="00597282" w:rsidP="002A3889">
            <w:pPr>
              <w:pStyle w:val="BodyText"/>
              <w:numPr>
                <w:ilvl w:val="0"/>
                <w:numId w:val="45"/>
              </w:numPr>
              <w:spacing w:before="93"/>
              <w:ind w:left="238" w:hanging="238"/>
              <w:rPr>
                <w:rFonts w:asciiTheme="minorHAnsi" w:hAnsiTheme="minorHAnsi" w:cstheme="minorHAnsi"/>
                <w:sz w:val="20"/>
              </w:rPr>
            </w:pPr>
            <w:r>
              <w:rPr>
                <w:rFonts w:asciiTheme="minorHAnsi" w:hAnsiTheme="minorHAnsi" w:cstheme="minorHAnsi"/>
                <w:sz w:val="20"/>
              </w:rPr>
              <w:t>Receipts from a reputable mechanic.</w:t>
            </w:r>
          </w:p>
        </w:tc>
      </w:tr>
      <w:tr w:rsidR="00597282" w14:paraId="3B0AD121" w14:textId="77777777" w:rsidTr="00B32822">
        <w:tc>
          <w:tcPr>
            <w:tcW w:w="3588" w:type="dxa"/>
          </w:tcPr>
          <w:p w14:paraId="33B06AEA" w14:textId="77777777" w:rsidR="00597282" w:rsidRPr="008C334E" w:rsidRDefault="00597282" w:rsidP="00B32822">
            <w:pPr>
              <w:pStyle w:val="BodyText"/>
              <w:spacing w:before="93"/>
              <w:ind w:left="0"/>
              <w:rPr>
                <w:rFonts w:asciiTheme="minorHAnsi" w:hAnsiTheme="minorHAnsi" w:cstheme="minorHAnsi"/>
                <w:sz w:val="20"/>
              </w:rPr>
            </w:pPr>
            <w:r>
              <w:rPr>
                <w:rFonts w:asciiTheme="minorHAnsi" w:hAnsiTheme="minorHAnsi" w:cstheme="minorHAnsi"/>
                <w:sz w:val="20"/>
              </w:rPr>
              <w:t>Medical Emergency.</w:t>
            </w:r>
          </w:p>
        </w:tc>
        <w:tc>
          <w:tcPr>
            <w:tcW w:w="5193" w:type="dxa"/>
          </w:tcPr>
          <w:p w14:paraId="12025433" w14:textId="77777777" w:rsidR="00597282" w:rsidRDefault="00597282" w:rsidP="002A3889">
            <w:pPr>
              <w:pStyle w:val="BodyText"/>
              <w:numPr>
                <w:ilvl w:val="0"/>
                <w:numId w:val="46"/>
              </w:numPr>
              <w:spacing w:before="93" w:after="60"/>
              <w:ind w:left="238" w:hanging="238"/>
              <w:rPr>
                <w:rFonts w:asciiTheme="minorHAnsi" w:hAnsiTheme="minorHAnsi" w:cstheme="minorHAnsi"/>
                <w:sz w:val="20"/>
              </w:rPr>
            </w:pPr>
            <w:r>
              <w:rPr>
                <w:rFonts w:asciiTheme="minorHAnsi" w:hAnsiTheme="minorHAnsi" w:cstheme="minorHAnsi"/>
                <w:sz w:val="20"/>
              </w:rPr>
              <w:t>Doctor’s certificate; or</w:t>
            </w:r>
          </w:p>
          <w:p w14:paraId="7E64DD0C" w14:textId="77777777" w:rsidR="00597282" w:rsidRDefault="00597282" w:rsidP="002A3889">
            <w:pPr>
              <w:pStyle w:val="BodyText"/>
              <w:numPr>
                <w:ilvl w:val="0"/>
                <w:numId w:val="46"/>
              </w:numPr>
              <w:spacing w:before="93" w:after="60"/>
              <w:ind w:left="238" w:hanging="238"/>
              <w:rPr>
                <w:rFonts w:asciiTheme="minorHAnsi" w:hAnsiTheme="minorHAnsi" w:cstheme="minorHAnsi"/>
                <w:sz w:val="20"/>
              </w:rPr>
            </w:pPr>
            <w:r>
              <w:rPr>
                <w:rFonts w:asciiTheme="minorHAnsi" w:hAnsiTheme="minorHAnsi" w:cstheme="minorHAnsi"/>
                <w:sz w:val="20"/>
              </w:rPr>
              <w:t>Correspondence from St John Ambulance, a hospital, medical surgery, doctor; or</w:t>
            </w:r>
          </w:p>
          <w:p w14:paraId="7E812239" w14:textId="77777777" w:rsidR="00597282" w:rsidRPr="008C334E" w:rsidRDefault="00597282" w:rsidP="002A3889">
            <w:pPr>
              <w:pStyle w:val="BodyText"/>
              <w:numPr>
                <w:ilvl w:val="0"/>
                <w:numId w:val="46"/>
              </w:numPr>
              <w:spacing w:before="93"/>
              <w:ind w:left="238" w:hanging="238"/>
              <w:rPr>
                <w:rFonts w:asciiTheme="minorHAnsi" w:hAnsiTheme="minorHAnsi" w:cstheme="minorHAnsi"/>
                <w:sz w:val="20"/>
              </w:rPr>
            </w:pPr>
            <w:r>
              <w:rPr>
                <w:rFonts w:asciiTheme="minorHAnsi" w:hAnsiTheme="minorHAnsi" w:cstheme="minorHAnsi"/>
                <w:sz w:val="20"/>
              </w:rPr>
              <w:t>Statutory declaration.</w:t>
            </w:r>
          </w:p>
        </w:tc>
      </w:tr>
      <w:tr w:rsidR="00597282" w14:paraId="3DEDCD21" w14:textId="77777777" w:rsidTr="00B32822">
        <w:tc>
          <w:tcPr>
            <w:tcW w:w="3588" w:type="dxa"/>
          </w:tcPr>
          <w:p w14:paraId="2905B289" w14:textId="77777777" w:rsidR="00597282" w:rsidRPr="008C334E" w:rsidRDefault="00597282" w:rsidP="00B32822">
            <w:pPr>
              <w:pStyle w:val="BodyText"/>
              <w:spacing w:before="93"/>
              <w:ind w:left="0"/>
              <w:rPr>
                <w:rFonts w:asciiTheme="minorHAnsi" w:hAnsiTheme="minorHAnsi" w:cstheme="minorHAnsi"/>
                <w:sz w:val="20"/>
              </w:rPr>
            </w:pPr>
            <w:r>
              <w:rPr>
                <w:rFonts w:asciiTheme="minorHAnsi" w:hAnsiTheme="minorHAnsi" w:cstheme="minorHAnsi"/>
                <w:sz w:val="20"/>
              </w:rPr>
              <w:t>Infringement issued in error or to the wrong person.</w:t>
            </w:r>
          </w:p>
        </w:tc>
        <w:tc>
          <w:tcPr>
            <w:tcW w:w="5193" w:type="dxa"/>
          </w:tcPr>
          <w:p w14:paraId="5A9EF98D" w14:textId="77777777" w:rsidR="00597282" w:rsidRDefault="00597282" w:rsidP="002A3889">
            <w:pPr>
              <w:pStyle w:val="BodyText"/>
              <w:numPr>
                <w:ilvl w:val="0"/>
                <w:numId w:val="47"/>
              </w:numPr>
              <w:spacing w:before="93" w:after="60"/>
              <w:ind w:left="181" w:hanging="181"/>
              <w:rPr>
                <w:rFonts w:asciiTheme="minorHAnsi" w:hAnsiTheme="minorHAnsi" w:cstheme="minorHAnsi"/>
                <w:sz w:val="20"/>
              </w:rPr>
            </w:pPr>
            <w:r>
              <w:rPr>
                <w:rFonts w:asciiTheme="minorHAnsi" w:hAnsiTheme="minorHAnsi" w:cstheme="minorHAnsi"/>
                <w:sz w:val="20"/>
              </w:rPr>
              <w:t xml:space="preserve">Evidence demonstrating the error such </w:t>
            </w:r>
            <w:proofErr w:type="gramStart"/>
            <w:r>
              <w:rPr>
                <w:rFonts w:asciiTheme="minorHAnsi" w:hAnsiTheme="minorHAnsi" w:cstheme="minorHAnsi"/>
                <w:sz w:val="20"/>
              </w:rPr>
              <w:t>as;</w:t>
            </w:r>
            <w:proofErr w:type="gramEnd"/>
            <w:r>
              <w:rPr>
                <w:rFonts w:asciiTheme="minorHAnsi" w:hAnsiTheme="minorHAnsi" w:cstheme="minorHAnsi"/>
                <w:sz w:val="20"/>
              </w:rPr>
              <w:t xml:space="preserve"> a valid ticket (and appropriately displayed), or photograph, or correctly parked vehicle; or</w:t>
            </w:r>
          </w:p>
          <w:p w14:paraId="1FD87083" w14:textId="77777777" w:rsidR="00597282" w:rsidRDefault="00597282" w:rsidP="002A3889">
            <w:pPr>
              <w:pStyle w:val="BodyText"/>
              <w:numPr>
                <w:ilvl w:val="0"/>
                <w:numId w:val="47"/>
              </w:numPr>
              <w:spacing w:before="93" w:after="60"/>
              <w:ind w:left="181" w:hanging="181"/>
              <w:rPr>
                <w:rFonts w:asciiTheme="minorHAnsi" w:hAnsiTheme="minorHAnsi" w:cstheme="minorHAnsi"/>
                <w:sz w:val="20"/>
              </w:rPr>
            </w:pPr>
            <w:r>
              <w:rPr>
                <w:rFonts w:asciiTheme="minorHAnsi" w:hAnsiTheme="minorHAnsi" w:cstheme="minorHAnsi"/>
                <w:sz w:val="20"/>
              </w:rPr>
              <w:t xml:space="preserve">Proof that the vehicle did not belong to the nominated driver/owner at the time the infringement was </w:t>
            </w:r>
            <w:proofErr w:type="gramStart"/>
            <w:r>
              <w:rPr>
                <w:rFonts w:asciiTheme="minorHAnsi" w:hAnsiTheme="minorHAnsi" w:cstheme="minorHAnsi"/>
                <w:sz w:val="20"/>
              </w:rPr>
              <w:t>issued;</w:t>
            </w:r>
            <w:proofErr w:type="gramEnd"/>
          </w:p>
          <w:p w14:paraId="4D6126B5" w14:textId="77777777" w:rsidR="00597282" w:rsidRDefault="00597282" w:rsidP="002A3889">
            <w:pPr>
              <w:pStyle w:val="BodyText"/>
              <w:numPr>
                <w:ilvl w:val="0"/>
                <w:numId w:val="47"/>
              </w:numPr>
              <w:spacing w:before="93" w:after="60"/>
              <w:ind w:left="181" w:hanging="181"/>
              <w:rPr>
                <w:rFonts w:asciiTheme="minorHAnsi" w:hAnsiTheme="minorHAnsi" w:cstheme="minorHAnsi"/>
                <w:sz w:val="20"/>
              </w:rPr>
            </w:pPr>
            <w:r>
              <w:rPr>
                <w:rFonts w:asciiTheme="minorHAnsi" w:hAnsiTheme="minorHAnsi" w:cstheme="minorHAnsi"/>
                <w:sz w:val="20"/>
              </w:rPr>
              <w:t>Registration papers; or</w:t>
            </w:r>
          </w:p>
          <w:p w14:paraId="2316D4C8" w14:textId="77777777" w:rsidR="00597282" w:rsidRPr="008C334E" w:rsidRDefault="00597282" w:rsidP="002A3889">
            <w:pPr>
              <w:pStyle w:val="BodyText"/>
              <w:numPr>
                <w:ilvl w:val="0"/>
                <w:numId w:val="47"/>
              </w:numPr>
              <w:spacing w:before="93"/>
              <w:ind w:left="182" w:hanging="182"/>
              <w:rPr>
                <w:rFonts w:asciiTheme="minorHAnsi" w:hAnsiTheme="minorHAnsi" w:cstheme="minorHAnsi"/>
                <w:sz w:val="20"/>
              </w:rPr>
            </w:pPr>
            <w:r>
              <w:rPr>
                <w:rFonts w:asciiTheme="minorHAnsi" w:hAnsiTheme="minorHAnsi" w:cstheme="minorHAnsi"/>
                <w:sz w:val="20"/>
              </w:rPr>
              <w:t>Statutory declaration.</w:t>
            </w:r>
          </w:p>
        </w:tc>
      </w:tr>
      <w:tr w:rsidR="00597282" w14:paraId="7DCF7ABB" w14:textId="77777777" w:rsidTr="00B32822">
        <w:tc>
          <w:tcPr>
            <w:tcW w:w="3588" w:type="dxa"/>
          </w:tcPr>
          <w:p w14:paraId="66E347F9" w14:textId="77777777" w:rsidR="00597282" w:rsidRPr="008C334E" w:rsidRDefault="00597282" w:rsidP="00B32822">
            <w:pPr>
              <w:pStyle w:val="BodyText"/>
              <w:spacing w:before="93"/>
              <w:ind w:left="0"/>
              <w:rPr>
                <w:rFonts w:asciiTheme="minorHAnsi" w:hAnsiTheme="minorHAnsi" w:cstheme="minorHAnsi"/>
                <w:sz w:val="20"/>
              </w:rPr>
            </w:pPr>
            <w:r w:rsidRPr="000212B1">
              <w:rPr>
                <w:rFonts w:asciiTheme="minorHAnsi" w:hAnsiTheme="minorHAnsi" w:cstheme="minorHAnsi"/>
                <w:sz w:val="20"/>
              </w:rPr>
              <w:t>Town of East Fremantle ticket machine, pay by phone software (if available) or equipment fault</w:t>
            </w:r>
            <w:r>
              <w:rPr>
                <w:rFonts w:asciiTheme="minorHAnsi" w:hAnsiTheme="minorHAnsi" w:cstheme="minorHAnsi"/>
                <w:sz w:val="20"/>
              </w:rPr>
              <w:t>.</w:t>
            </w:r>
          </w:p>
        </w:tc>
        <w:tc>
          <w:tcPr>
            <w:tcW w:w="5193" w:type="dxa"/>
          </w:tcPr>
          <w:p w14:paraId="384D0542" w14:textId="77777777" w:rsidR="00597282" w:rsidRPr="008C334E" w:rsidRDefault="00597282" w:rsidP="00B32822">
            <w:pPr>
              <w:pStyle w:val="BodyText"/>
              <w:spacing w:before="93"/>
              <w:ind w:left="0"/>
              <w:rPr>
                <w:rFonts w:asciiTheme="minorHAnsi" w:hAnsiTheme="minorHAnsi" w:cstheme="minorHAnsi"/>
                <w:sz w:val="20"/>
              </w:rPr>
            </w:pPr>
            <w:r w:rsidRPr="000212B1">
              <w:rPr>
                <w:rFonts w:asciiTheme="minorHAnsi" w:hAnsiTheme="minorHAnsi" w:cstheme="minorHAnsi"/>
                <w:sz w:val="20"/>
              </w:rPr>
              <w:t>Evidence demonstrating the Town of East Fremantle</w:t>
            </w:r>
            <w:r w:rsidRPr="000212B1">
              <w:rPr>
                <w:rFonts w:asciiTheme="minorHAnsi" w:hAnsiTheme="minorHAnsi" w:cstheme="minorHAnsi"/>
                <w:spacing w:val="-16"/>
                <w:sz w:val="20"/>
              </w:rPr>
              <w:t xml:space="preserve"> </w:t>
            </w:r>
            <w:r w:rsidRPr="000212B1">
              <w:rPr>
                <w:rFonts w:asciiTheme="minorHAnsi" w:hAnsiTheme="minorHAnsi" w:cstheme="minorHAnsi"/>
                <w:sz w:val="20"/>
              </w:rPr>
              <w:t>ticket machine, pay by phone software</w:t>
            </w:r>
            <w:r>
              <w:rPr>
                <w:rFonts w:asciiTheme="minorHAnsi" w:hAnsiTheme="minorHAnsi" w:cstheme="minorHAnsi"/>
                <w:sz w:val="20"/>
              </w:rPr>
              <w:t>,</w:t>
            </w:r>
            <w:r w:rsidRPr="000212B1">
              <w:rPr>
                <w:rFonts w:asciiTheme="minorHAnsi" w:hAnsiTheme="minorHAnsi" w:cstheme="minorHAnsi"/>
                <w:sz w:val="20"/>
              </w:rPr>
              <w:t xml:space="preserve"> or equipment was </w:t>
            </w:r>
            <w:proofErr w:type="gramStart"/>
            <w:r w:rsidRPr="000212B1">
              <w:rPr>
                <w:rFonts w:asciiTheme="minorHAnsi" w:hAnsiTheme="minorHAnsi" w:cstheme="minorHAnsi"/>
                <w:sz w:val="20"/>
              </w:rPr>
              <w:t>faulty;</w:t>
            </w:r>
            <w:proofErr w:type="gramEnd"/>
            <w:r w:rsidRPr="000212B1">
              <w:rPr>
                <w:rFonts w:asciiTheme="minorHAnsi" w:hAnsiTheme="minorHAnsi" w:cstheme="minorHAnsi"/>
                <w:sz w:val="20"/>
              </w:rPr>
              <w:t xml:space="preserve"> e</w:t>
            </w:r>
            <w:r>
              <w:rPr>
                <w:rFonts w:asciiTheme="minorHAnsi" w:hAnsiTheme="minorHAnsi" w:cstheme="minorHAnsi"/>
                <w:sz w:val="20"/>
              </w:rPr>
              <w:t>.</w:t>
            </w:r>
            <w:r w:rsidRPr="000212B1">
              <w:rPr>
                <w:rFonts w:asciiTheme="minorHAnsi" w:hAnsiTheme="minorHAnsi" w:cstheme="minorHAnsi"/>
                <w:sz w:val="20"/>
              </w:rPr>
              <w:t>g. photograph or</w:t>
            </w:r>
            <w:r w:rsidRPr="000212B1">
              <w:rPr>
                <w:rFonts w:asciiTheme="minorHAnsi" w:hAnsiTheme="minorHAnsi" w:cstheme="minorHAnsi"/>
                <w:spacing w:val="-8"/>
                <w:sz w:val="20"/>
              </w:rPr>
              <w:t xml:space="preserve"> </w:t>
            </w:r>
            <w:r w:rsidRPr="000212B1">
              <w:rPr>
                <w:rFonts w:asciiTheme="minorHAnsi" w:hAnsiTheme="minorHAnsi" w:cstheme="minorHAnsi"/>
                <w:sz w:val="20"/>
              </w:rPr>
              <w:t>screenshot</w:t>
            </w:r>
            <w:r>
              <w:rPr>
                <w:rFonts w:asciiTheme="minorHAnsi" w:hAnsiTheme="minorHAnsi" w:cstheme="minorHAnsi"/>
                <w:sz w:val="20"/>
              </w:rPr>
              <w:t>.</w:t>
            </w:r>
          </w:p>
        </w:tc>
      </w:tr>
      <w:tr w:rsidR="00597282" w14:paraId="01331716" w14:textId="77777777" w:rsidTr="00B32822">
        <w:tc>
          <w:tcPr>
            <w:tcW w:w="3588" w:type="dxa"/>
          </w:tcPr>
          <w:p w14:paraId="1BA45C42" w14:textId="77777777" w:rsidR="00597282" w:rsidRPr="008C334E" w:rsidRDefault="00597282" w:rsidP="00B32822">
            <w:pPr>
              <w:pStyle w:val="BodyText"/>
              <w:spacing w:before="93"/>
              <w:ind w:left="0"/>
              <w:rPr>
                <w:rFonts w:asciiTheme="minorHAnsi" w:hAnsiTheme="minorHAnsi" w:cstheme="minorHAnsi"/>
                <w:sz w:val="20"/>
              </w:rPr>
            </w:pPr>
            <w:r w:rsidRPr="000212B1">
              <w:rPr>
                <w:rFonts w:asciiTheme="minorHAnsi" w:hAnsiTheme="minorHAnsi" w:cstheme="minorHAnsi"/>
                <w:sz w:val="20"/>
              </w:rPr>
              <w:t>Person is not the driver at the time of the offence</w:t>
            </w:r>
            <w:r>
              <w:rPr>
                <w:rFonts w:asciiTheme="minorHAnsi" w:hAnsiTheme="minorHAnsi" w:cstheme="minorHAnsi"/>
                <w:sz w:val="20"/>
              </w:rPr>
              <w:t>.</w:t>
            </w:r>
          </w:p>
        </w:tc>
        <w:tc>
          <w:tcPr>
            <w:tcW w:w="5193" w:type="dxa"/>
          </w:tcPr>
          <w:p w14:paraId="0B74216D" w14:textId="77777777" w:rsidR="00597282" w:rsidRPr="008C334E" w:rsidRDefault="00597282" w:rsidP="00B32822">
            <w:pPr>
              <w:pStyle w:val="BodyText"/>
              <w:spacing w:before="93"/>
              <w:ind w:left="0"/>
              <w:rPr>
                <w:rFonts w:asciiTheme="minorHAnsi" w:hAnsiTheme="minorHAnsi" w:cstheme="minorHAnsi"/>
                <w:sz w:val="20"/>
              </w:rPr>
            </w:pPr>
            <w:r w:rsidRPr="000212B1">
              <w:rPr>
                <w:rFonts w:asciiTheme="minorHAnsi" w:hAnsiTheme="minorHAnsi" w:cstheme="minorHAnsi"/>
                <w:sz w:val="20"/>
              </w:rPr>
              <w:t>Correctly filled out nomination form submitted</w:t>
            </w:r>
            <w:r w:rsidRPr="000212B1">
              <w:rPr>
                <w:rFonts w:asciiTheme="minorHAnsi" w:hAnsiTheme="minorHAnsi" w:cstheme="minorHAnsi"/>
                <w:spacing w:val="-20"/>
                <w:sz w:val="20"/>
              </w:rPr>
              <w:t xml:space="preserve"> </w:t>
            </w:r>
            <w:r w:rsidRPr="000212B1">
              <w:rPr>
                <w:rFonts w:asciiTheme="minorHAnsi" w:hAnsiTheme="minorHAnsi" w:cstheme="minorHAnsi"/>
                <w:sz w:val="20"/>
              </w:rPr>
              <w:t>within 28 days of the infringement</w:t>
            </w:r>
            <w:r w:rsidRPr="000212B1">
              <w:rPr>
                <w:rFonts w:asciiTheme="minorHAnsi" w:hAnsiTheme="minorHAnsi" w:cstheme="minorHAnsi"/>
                <w:spacing w:val="-8"/>
                <w:sz w:val="20"/>
              </w:rPr>
              <w:t xml:space="preserve"> </w:t>
            </w:r>
            <w:r w:rsidRPr="000212B1">
              <w:rPr>
                <w:rFonts w:asciiTheme="minorHAnsi" w:hAnsiTheme="minorHAnsi" w:cstheme="minorHAnsi"/>
                <w:sz w:val="20"/>
              </w:rPr>
              <w:t>date</w:t>
            </w:r>
            <w:r>
              <w:rPr>
                <w:rFonts w:asciiTheme="minorHAnsi" w:hAnsiTheme="minorHAnsi" w:cstheme="minorHAnsi"/>
                <w:sz w:val="20"/>
              </w:rPr>
              <w:t>.</w:t>
            </w:r>
          </w:p>
        </w:tc>
      </w:tr>
      <w:tr w:rsidR="00597282" w14:paraId="18A61E1F" w14:textId="77777777" w:rsidTr="00B32822">
        <w:tc>
          <w:tcPr>
            <w:tcW w:w="3588" w:type="dxa"/>
          </w:tcPr>
          <w:p w14:paraId="20095B38" w14:textId="77777777" w:rsidR="00597282" w:rsidRPr="000212B1" w:rsidRDefault="00597282" w:rsidP="00B32822">
            <w:pPr>
              <w:pStyle w:val="BodyText"/>
              <w:spacing w:before="93"/>
              <w:ind w:left="0"/>
              <w:rPr>
                <w:rFonts w:asciiTheme="minorHAnsi" w:hAnsiTheme="minorHAnsi" w:cstheme="minorHAnsi"/>
                <w:sz w:val="20"/>
              </w:rPr>
            </w:pPr>
            <w:r w:rsidRPr="000212B1">
              <w:rPr>
                <w:rFonts w:asciiTheme="minorHAnsi" w:hAnsiTheme="minorHAnsi" w:cstheme="minorHAnsi"/>
                <w:sz w:val="20"/>
              </w:rPr>
              <w:t>Directed by a Town Officer or Law Enforcement Officer to park contrary to signs and/ limitations</w:t>
            </w:r>
            <w:r>
              <w:rPr>
                <w:rFonts w:asciiTheme="minorHAnsi" w:hAnsiTheme="minorHAnsi" w:cstheme="minorHAnsi"/>
                <w:sz w:val="20"/>
              </w:rPr>
              <w:t>.</w:t>
            </w:r>
          </w:p>
        </w:tc>
        <w:tc>
          <w:tcPr>
            <w:tcW w:w="5193" w:type="dxa"/>
          </w:tcPr>
          <w:p w14:paraId="21FD3DFA" w14:textId="77777777" w:rsidR="00597282" w:rsidRPr="000212B1" w:rsidRDefault="00597282" w:rsidP="002A3889">
            <w:pPr>
              <w:pStyle w:val="TableParagraph"/>
              <w:numPr>
                <w:ilvl w:val="0"/>
                <w:numId w:val="44"/>
              </w:numPr>
              <w:ind w:left="324" w:right="213" w:hanging="284"/>
              <w:rPr>
                <w:rFonts w:asciiTheme="minorHAnsi" w:hAnsiTheme="minorHAnsi" w:cstheme="minorHAnsi"/>
                <w:sz w:val="20"/>
                <w:szCs w:val="20"/>
              </w:rPr>
            </w:pPr>
            <w:r w:rsidRPr="000212B1">
              <w:rPr>
                <w:rFonts w:asciiTheme="minorHAnsi" w:hAnsiTheme="minorHAnsi" w:cstheme="minorHAnsi"/>
                <w:sz w:val="20"/>
                <w:szCs w:val="20"/>
              </w:rPr>
              <w:t>Statutory declaration outlining the nature of the direction, why the vehicle couldn’t be moved;</w:t>
            </w:r>
            <w:r w:rsidRPr="000212B1">
              <w:rPr>
                <w:rFonts w:asciiTheme="minorHAnsi" w:hAnsiTheme="minorHAnsi" w:cstheme="minorHAnsi"/>
                <w:spacing w:val="-12"/>
                <w:sz w:val="20"/>
                <w:szCs w:val="20"/>
              </w:rPr>
              <w:t xml:space="preserve"> </w:t>
            </w:r>
            <w:r w:rsidRPr="000212B1">
              <w:rPr>
                <w:rFonts w:asciiTheme="minorHAnsi" w:hAnsiTheme="minorHAnsi" w:cstheme="minorHAnsi"/>
                <w:sz w:val="20"/>
                <w:szCs w:val="20"/>
              </w:rPr>
              <w:t>and</w:t>
            </w:r>
          </w:p>
          <w:p w14:paraId="0B3F5B81" w14:textId="77777777" w:rsidR="00597282" w:rsidRPr="00275F50" w:rsidRDefault="00597282" w:rsidP="002A3889">
            <w:pPr>
              <w:pStyle w:val="TableParagraph"/>
              <w:numPr>
                <w:ilvl w:val="0"/>
                <w:numId w:val="44"/>
              </w:numPr>
              <w:spacing w:before="60"/>
              <w:ind w:left="324" w:right="215" w:hanging="284"/>
              <w:rPr>
                <w:rFonts w:asciiTheme="minorHAnsi" w:hAnsiTheme="minorHAnsi" w:cstheme="minorHAnsi"/>
                <w:sz w:val="20"/>
                <w:szCs w:val="20"/>
              </w:rPr>
            </w:pPr>
            <w:r w:rsidRPr="000212B1">
              <w:rPr>
                <w:rFonts w:asciiTheme="minorHAnsi" w:hAnsiTheme="minorHAnsi" w:cstheme="minorHAnsi"/>
                <w:sz w:val="20"/>
                <w:szCs w:val="20"/>
              </w:rPr>
              <w:t xml:space="preserve">Evidence from the Law Enforcement Officer indicating the nature of the direction. </w:t>
            </w:r>
          </w:p>
        </w:tc>
      </w:tr>
    </w:tbl>
    <w:p w14:paraId="37DE5A93" w14:textId="77777777" w:rsidR="00597282" w:rsidRPr="001D156A" w:rsidRDefault="00597282" w:rsidP="00597282">
      <w:pPr>
        <w:pStyle w:val="BodyText"/>
        <w:spacing w:before="240"/>
        <w:ind w:left="232"/>
        <w:rPr>
          <w:rFonts w:asciiTheme="minorHAnsi" w:hAnsiTheme="minorHAnsi" w:cstheme="minorHAnsi"/>
          <w:i/>
          <w:szCs w:val="22"/>
        </w:rPr>
      </w:pPr>
      <w:r w:rsidRPr="001D156A">
        <w:rPr>
          <w:rFonts w:asciiTheme="minorHAnsi" w:hAnsiTheme="minorHAnsi" w:cstheme="minorHAnsi"/>
          <w:i/>
          <w:szCs w:val="22"/>
        </w:rPr>
        <w:t xml:space="preserve">Table 2. Circumstances under which an infringement </w:t>
      </w:r>
      <w:r w:rsidRPr="00F92276">
        <w:rPr>
          <w:rFonts w:asciiTheme="minorHAnsi" w:hAnsiTheme="minorHAnsi" w:cstheme="minorHAnsi"/>
          <w:b/>
          <w:i/>
          <w:szCs w:val="22"/>
        </w:rPr>
        <w:t xml:space="preserve">may </w:t>
      </w:r>
      <w:r w:rsidRPr="001E1326">
        <w:rPr>
          <w:rFonts w:asciiTheme="minorHAnsi" w:hAnsiTheme="minorHAnsi" w:cstheme="minorHAnsi"/>
          <w:i/>
          <w:szCs w:val="22"/>
        </w:rPr>
        <w:t>be</w:t>
      </w:r>
      <w:r w:rsidRPr="001D156A">
        <w:rPr>
          <w:rFonts w:asciiTheme="minorHAnsi" w:hAnsiTheme="minorHAnsi" w:cstheme="minorHAnsi"/>
          <w:i/>
          <w:szCs w:val="22"/>
        </w:rPr>
        <w:t xml:space="preserve"> withdrawn</w:t>
      </w:r>
    </w:p>
    <w:tbl>
      <w:tblPr>
        <w:tblStyle w:val="TableGrid"/>
        <w:tblW w:w="0" w:type="auto"/>
        <w:tblInd w:w="232" w:type="dxa"/>
        <w:tblLook w:val="04A0" w:firstRow="1" w:lastRow="0" w:firstColumn="1" w:lastColumn="0" w:noHBand="0" w:noVBand="1"/>
      </w:tblPr>
      <w:tblGrid>
        <w:gridCol w:w="3591"/>
        <w:gridCol w:w="5193"/>
      </w:tblGrid>
      <w:tr w:rsidR="00597282" w14:paraId="298C10B0" w14:textId="77777777" w:rsidTr="00B32822">
        <w:tc>
          <w:tcPr>
            <w:tcW w:w="3591" w:type="dxa"/>
          </w:tcPr>
          <w:p w14:paraId="68458A49" w14:textId="77777777" w:rsidR="00597282" w:rsidRPr="00275F50" w:rsidRDefault="00597282" w:rsidP="00B32822">
            <w:pPr>
              <w:pStyle w:val="BodyText"/>
              <w:spacing w:before="240"/>
              <w:ind w:left="0"/>
              <w:jc w:val="center"/>
              <w:rPr>
                <w:rFonts w:asciiTheme="minorHAnsi" w:hAnsiTheme="minorHAnsi" w:cstheme="minorHAnsi"/>
                <w:b/>
                <w:sz w:val="20"/>
              </w:rPr>
            </w:pPr>
            <w:r w:rsidRPr="00275F50">
              <w:rPr>
                <w:rFonts w:asciiTheme="minorHAnsi" w:hAnsiTheme="minorHAnsi" w:cstheme="minorHAnsi"/>
                <w:b/>
                <w:sz w:val="20"/>
              </w:rPr>
              <w:t>Circumstances</w:t>
            </w:r>
          </w:p>
        </w:tc>
        <w:tc>
          <w:tcPr>
            <w:tcW w:w="5193" w:type="dxa"/>
          </w:tcPr>
          <w:p w14:paraId="4ED7029D" w14:textId="77777777" w:rsidR="00597282" w:rsidRPr="00275F50" w:rsidRDefault="00597282" w:rsidP="00B32822">
            <w:pPr>
              <w:pStyle w:val="BodyText"/>
              <w:spacing w:before="240"/>
              <w:ind w:left="0"/>
              <w:jc w:val="center"/>
              <w:rPr>
                <w:rFonts w:asciiTheme="minorHAnsi" w:hAnsiTheme="minorHAnsi" w:cstheme="minorHAnsi"/>
                <w:b/>
                <w:sz w:val="20"/>
              </w:rPr>
            </w:pPr>
            <w:r w:rsidRPr="00275F50">
              <w:rPr>
                <w:rFonts w:asciiTheme="minorHAnsi" w:hAnsiTheme="minorHAnsi" w:cstheme="minorHAnsi"/>
                <w:b/>
                <w:sz w:val="20"/>
              </w:rPr>
              <w:t>Evidence required</w:t>
            </w:r>
          </w:p>
        </w:tc>
      </w:tr>
      <w:tr w:rsidR="00597282" w14:paraId="540034FF" w14:textId="77777777" w:rsidTr="00B32822">
        <w:tc>
          <w:tcPr>
            <w:tcW w:w="3591" w:type="dxa"/>
          </w:tcPr>
          <w:p w14:paraId="7D68E6A2" w14:textId="77777777" w:rsidR="00597282" w:rsidRDefault="00ED6CFB" w:rsidP="00B32822">
            <w:pPr>
              <w:pStyle w:val="BodyText"/>
              <w:spacing w:before="240"/>
              <w:ind w:left="0"/>
              <w:rPr>
                <w:rFonts w:asciiTheme="minorHAnsi" w:hAnsiTheme="minorHAnsi" w:cstheme="minorHAnsi"/>
                <w:sz w:val="20"/>
              </w:rPr>
            </w:pPr>
            <w:r>
              <w:rPr>
                <w:rFonts w:asciiTheme="minorHAnsi" w:hAnsiTheme="minorHAnsi" w:cstheme="minorHAnsi"/>
                <w:sz w:val="20"/>
              </w:rPr>
              <w:t>A valid ticket was purchased</w:t>
            </w:r>
          </w:p>
          <w:p w14:paraId="3C64C59F" w14:textId="77777777" w:rsidR="00ED6CFB" w:rsidRPr="00275F50" w:rsidRDefault="00ED6CFB" w:rsidP="00ED6CFB">
            <w:pPr>
              <w:pStyle w:val="BodyText"/>
              <w:ind w:left="0"/>
              <w:rPr>
                <w:rFonts w:asciiTheme="minorHAnsi" w:hAnsiTheme="minorHAnsi" w:cstheme="minorHAnsi"/>
                <w:sz w:val="20"/>
              </w:rPr>
            </w:pPr>
            <w:r>
              <w:rPr>
                <w:rFonts w:asciiTheme="minorHAnsi" w:hAnsiTheme="minorHAnsi" w:cstheme="minorHAnsi"/>
                <w:sz w:val="20"/>
              </w:rPr>
              <w:t>(Failure to display a valid parking ticket)</w:t>
            </w:r>
          </w:p>
        </w:tc>
        <w:tc>
          <w:tcPr>
            <w:tcW w:w="5193" w:type="dxa"/>
          </w:tcPr>
          <w:p w14:paraId="00FE267A" w14:textId="77777777" w:rsidR="00597282" w:rsidRDefault="00ED6CFB" w:rsidP="002A3889">
            <w:pPr>
              <w:pStyle w:val="BodyText"/>
              <w:numPr>
                <w:ilvl w:val="0"/>
                <w:numId w:val="369"/>
              </w:numPr>
              <w:spacing w:after="0"/>
              <w:ind w:left="324" w:hanging="284"/>
              <w:rPr>
                <w:rFonts w:asciiTheme="minorHAnsi" w:hAnsiTheme="minorHAnsi" w:cstheme="minorHAnsi"/>
                <w:sz w:val="20"/>
              </w:rPr>
            </w:pPr>
            <w:r>
              <w:rPr>
                <w:rFonts w:asciiTheme="minorHAnsi" w:hAnsiTheme="minorHAnsi" w:cstheme="minorHAnsi"/>
                <w:sz w:val="20"/>
              </w:rPr>
              <w:t>A copy of the valid ticket that relates to the parking infringement notice under appeal, including correct vehicle registration details; or</w:t>
            </w:r>
          </w:p>
          <w:p w14:paraId="3116D543" w14:textId="77777777" w:rsidR="00ED6CFB" w:rsidRPr="00275F50" w:rsidRDefault="00ED6CFB" w:rsidP="002A3889">
            <w:pPr>
              <w:pStyle w:val="BodyText"/>
              <w:numPr>
                <w:ilvl w:val="0"/>
                <w:numId w:val="369"/>
              </w:numPr>
              <w:spacing w:before="120"/>
              <w:ind w:left="324" w:hanging="284"/>
              <w:rPr>
                <w:rFonts w:asciiTheme="minorHAnsi" w:hAnsiTheme="minorHAnsi" w:cstheme="minorHAnsi"/>
                <w:sz w:val="20"/>
              </w:rPr>
            </w:pPr>
            <w:r>
              <w:rPr>
                <w:rFonts w:asciiTheme="minorHAnsi" w:hAnsiTheme="minorHAnsi" w:cstheme="minorHAnsi"/>
                <w:sz w:val="20"/>
              </w:rPr>
              <w:t xml:space="preserve">Extract from bank statement </w:t>
            </w:r>
            <w:r w:rsidR="007F4D47">
              <w:rPr>
                <w:rFonts w:asciiTheme="minorHAnsi" w:hAnsiTheme="minorHAnsi" w:cstheme="minorHAnsi"/>
                <w:sz w:val="20"/>
              </w:rPr>
              <w:t>confirming payment details.</w:t>
            </w:r>
          </w:p>
        </w:tc>
      </w:tr>
      <w:tr w:rsidR="00ED6CFB" w14:paraId="33F7E7FC" w14:textId="77777777" w:rsidTr="00B32822">
        <w:tc>
          <w:tcPr>
            <w:tcW w:w="3591" w:type="dxa"/>
          </w:tcPr>
          <w:p w14:paraId="26FDEED2" w14:textId="77777777" w:rsidR="00ED6CFB" w:rsidRPr="00275F50" w:rsidRDefault="00ED6CFB" w:rsidP="00ED6CFB">
            <w:pPr>
              <w:pStyle w:val="BodyText"/>
              <w:spacing w:before="240"/>
              <w:ind w:left="0"/>
              <w:rPr>
                <w:rFonts w:asciiTheme="minorHAnsi" w:hAnsiTheme="minorHAnsi" w:cstheme="minorHAnsi"/>
                <w:sz w:val="20"/>
              </w:rPr>
            </w:pPr>
            <w:r w:rsidRPr="000212B1">
              <w:rPr>
                <w:rFonts w:asciiTheme="minorHAnsi" w:hAnsiTheme="minorHAnsi" w:cstheme="minorHAnsi"/>
                <w:sz w:val="20"/>
              </w:rPr>
              <w:t xml:space="preserve">Compassionate </w:t>
            </w:r>
            <w:proofErr w:type="gramStart"/>
            <w:r w:rsidRPr="000212B1">
              <w:rPr>
                <w:rFonts w:asciiTheme="minorHAnsi" w:hAnsiTheme="minorHAnsi" w:cstheme="minorHAnsi"/>
                <w:sz w:val="20"/>
              </w:rPr>
              <w:t>grounds;</w:t>
            </w:r>
            <w:proofErr w:type="gramEnd"/>
            <w:r w:rsidRPr="000212B1">
              <w:rPr>
                <w:rFonts w:asciiTheme="minorHAnsi" w:hAnsiTheme="minorHAnsi" w:cstheme="minorHAnsi"/>
                <w:sz w:val="20"/>
              </w:rPr>
              <w:t xml:space="preserve"> including but not limited to family bereavement, genuine financial hardship and diagnosed mental illness</w:t>
            </w:r>
            <w:r>
              <w:rPr>
                <w:rFonts w:asciiTheme="minorHAnsi" w:hAnsiTheme="minorHAnsi" w:cstheme="minorHAnsi"/>
                <w:sz w:val="20"/>
              </w:rPr>
              <w:t>.</w:t>
            </w:r>
          </w:p>
        </w:tc>
        <w:tc>
          <w:tcPr>
            <w:tcW w:w="5193" w:type="dxa"/>
          </w:tcPr>
          <w:p w14:paraId="76BFB7B7" w14:textId="77777777" w:rsidR="00ED6CFB" w:rsidRPr="00275F50" w:rsidRDefault="00ED6CFB" w:rsidP="00ED6CFB">
            <w:pPr>
              <w:pStyle w:val="BodyText"/>
              <w:spacing w:before="240"/>
              <w:ind w:left="0"/>
              <w:rPr>
                <w:rFonts w:asciiTheme="minorHAnsi" w:hAnsiTheme="minorHAnsi" w:cstheme="minorHAnsi"/>
                <w:sz w:val="20"/>
              </w:rPr>
            </w:pPr>
            <w:r w:rsidRPr="000212B1">
              <w:rPr>
                <w:rFonts w:asciiTheme="minorHAnsi" w:hAnsiTheme="minorHAnsi" w:cstheme="minorHAnsi"/>
                <w:sz w:val="20"/>
              </w:rPr>
              <w:t>Evidence specific to the matter at hand, which may include, but not be limited to, a Statutory declaration, Centrelink documentation, Health</w:t>
            </w:r>
            <w:r w:rsidRPr="000212B1">
              <w:rPr>
                <w:rFonts w:asciiTheme="minorHAnsi" w:hAnsiTheme="minorHAnsi" w:cstheme="minorHAnsi"/>
                <w:spacing w:val="-14"/>
                <w:sz w:val="20"/>
              </w:rPr>
              <w:t xml:space="preserve"> </w:t>
            </w:r>
            <w:r w:rsidRPr="000212B1">
              <w:rPr>
                <w:rFonts w:asciiTheme="minorHAnsi" w:hAnsiTheme="minorHAnsi" w:cstheme="minorHAnsi"/>
                <w:sz w:val="20"/>
              </w:rPr>
              <w:t>care card, Doctors certificate, letter from a hospital/surgery/doctor</w:t>
            </w:r>
            <w:r>
              <w:rPr>
                <w:rFonts w:asciiTheme="minorHAnsi" w:hAnsiTheme="minorHAnsi" w:cstheme="minorHAnsi"/>
                <w:sz w:val="20"/>
              </w:rPr>
              <w:t>.</w:t>
            </w:r>
          </w:p>
        </w:tc>
      </w:tr>
      <w:tr w:rsidR="00ED6CFB" w14:paraId="2BBA24B9" w14:textId="77777777" w:rsidTr="00B32822">
        <w:tc>
          <w:tcPr>
            <w:tcW w:w="3591" w:type="dxa"/>
          </w:tcPr>
          <w:p w14:paraId="488B75CE" w14:textId="77777777" w:rsidR="00ED6CFB" w:rsidRPr="00275F50" w:rsidRDefault="00ED6CFB" w:rsidP="00ED6CFB">
            <w:pPr>
              <w:pStyle w:val="BodyText"/>
              <w:spacing w:before="240"/>
              <w:ind w:left="0"/>
              <w:rPr>
                <w:rFonts w:asciiTheme="minorHAnsi" w:hAnsiTheme="minorHAnsi" w:cstheme="minorHAnsi"/>
                <w:sz w:val="20"/>
              </w:rPr>
            </w:pPr>
            <w:r w:rsidRPr="000212B1">
              <w:rPr>
                <w:rFonts w:asciiTheme="minorHAnsi" w:hAnsiTheme="minorHAnsi" w:cstheme="minorHAnsi"/>
                <w:sz w:val="20"/>
              </w:rPr>
              <w:t>The signage in the area was missing, obscured or damaged to the point where it could not be read</w:t>
            </w:r>
            <w:r>
              <w:rPr>
                <w:rFonts w:asciiTheme="minorHAnsi" w:hAnsiTheme="minorHAnsi" w:cstheme="minorHAnsi"/>
                <w:sz w:val="20"/>
              </w:rPr>
              <w:t>.</w:t>
            </w:r>
          </w:p>
        </w:tc>
        <w:tc>
          <w:tcPr>
            <w:tcW w:w="5193" w:type="dxa"/>
          </w:tcPr>
          <w:p w14:paraId="29332FB6" w14:textId="77777777" w:rsidR="00ED6CFB" w:rsidRPr="00275F50" w:rsidRDefault="00ED6CFB" w:rsidP="00ED6CFB">
            <w:pPr>
              <w:pStyle w:val="BodyText"/>
              <w:spacing w:before="240"/>
              <w:ind w:left="0"/>
              <w:rPr>
                <w:rFonts w:asciiTheme="minorHAnsi" w:hAnsiTheme="minorHAnsi" w:cstheme="minorHAnsi"/>
                <w:sz w:val="20"/>
              </w:rPr>
            </w:pPr>
            <w:r w:rsidRPr="000212B1">
              <w:rPr>
                <w:rFonts w:asciiTheme="minorHAnsi" w:hAnsiTheme="minorHAnsi" w:cstheme="minorHAnsi"/>
                <w:sz w:val="20"/>
              </w:rPr>
              <w:t>Photographic evidence of missing, obscured</w:t>
            </w:r>
            <w:r w:rsidRPr="000212B1">
              <w:rPr>
                <w:rFonts w:asciiTheme="minorHAnsi" w:hAnsiTheme="minorHAnsi" w:cstheme="minorHAnsi"/>
                <w:spacing w:val="-14"/>
                <w:sz w:val="20"/>
              </w:rPr>
              <w:t xml:space="preserve"> </w:t>
            </w:r>
            <w:r w:rsidRPr="000212B1">
              <w:rPr>
                <w:rFonts w:asciiTheme="minorHAnsi" w:hAnsiTheme="minorHAnsi" w:cstheme="minorHAnsi"/>
                <w:sz w:val="20"/>
              </w:rPr>
              <w:t>or damaged sign at the time of the</w:t>
            </w:r>
            <w:r w:rsidRPr="000212B1">
              <w:rPr>
                <w:rFonts w:asciiTheme="minorHAnsi" w:hAnsiTheme="minorHAnsi" w:cstheme="minorHAnsi"/>
                <w:spacing w:val="-11"/>
                <w:sz w:val="20"/>
              </w:rPr>
              <w:t xml:space="preserve"> </w:t>
            </w:r>
            <w:r w:rsidRPr="000212B1">
              <w:rPr>
                <w:rFonts w:asciiTheme="minorHAnsi" w:hAnsiTheme="minorHAnsi" w:cstheme="minorHAnsi"/>
                <w:sz w:val="20"/>
              </w:rPr>
              <w:t>offence</w:t>
            </w:r>
            <w:r>
              <w:rPr>
                <w:rFonts w:asciiTheme="minorHAnsi" w:hAnsiTheme="minorHAnsi" w:cstheme="minorHAnsi"/>
                <w:sz w:val="20"/>
              </w:rPr>
              <w:t>.</w:t>
            </w:r>
          </w:p>
        </w:tc>
      </w:tr>
      <w:tr w:rsidR="00ED6CFB" w14:paraId="31EB1BDC" w14:textId="77777777" w:rsidTr="00B32822">
        <w:tc>
          <w:tcPr>
            <w:tcW w:w="3591" w:type="dxa"/>
          </w:tcPr>
          <w:p w14:paraId="1F1F8B40" w14:textId="77777777" w:rsidR="00ED6CFB" w:rsidRPr="00275F50" w:rsidRDefault="00ED6CFB" w:rsidP="00ED6CFB">
            <w:pPr>
              <w:pStyle w:val="BodyText"/>
              <w:spacing w:before="240"/>
              <w:ind w:left="0"/>
              <w:rPr>
                <w:rFonts w:asciiTheme="minorHAnsi" w:hAnsiTheme="minorHAnsi" w:cstheme="minorHAnsi"/>
                <w:sz w:val="20"/>
              </w:rPr>
            </w:pPr>
            <w:r w:rsidRPr="000212B1">
              <w:rPr>
                <w:rFonts w:asciiTheme="minorHAnsi" w:hAnsiTheme="minorHAnsi" w:cstheme="minorHAnsi"/>
                <w:sz w:val="20"/>
              </w:rPr>
              <w:lastRenderedPageBreak/>
              <w:t>Infringement issued to a person parked in a designated ACROD bay but did not display a valid ACROD permit.</w:t>
            </w:r>
          </w:p>
        </w:tc>
        <w:tc>
          <w:tcPr>
            <w:tcW w:w="5193" w:type="dxa"/>
          </w:tcPr>
          <w:p w14:paraId="182DD904" w14:textId="77777777" w:rsidR="00ED6CFB" w:rsidRPr="00275F50" w:rsidRDefault="00ED6CFB" w:rsidP="00ED6CFB">
            <w:pPr>
              <w:pStyle w:val="BodyText"/>
              <w:spacing w:before="240"/>
              <w:ind w:left="0"/>
              <w:rPr>
                <w:rFonts w:asciiTheme="minorHAnsi" w:hAnsiTheme="minorHAnsi" w:cstheme="minorHAnsi"/>
                <w:sz w:val="20"/>
              </w:rPr>
            </w:pPr>
            <w:r w:rsidRPr="000212B1">
              <w:rPr>
                <w:rFonts w:asciiTheme="minorHAnsi" w:hAnsiTheme="minorHAnsi" w:cstheme="minorHAnsi"/>
                <w:sz w:val="20"/>
              </w:rPr>
              <w:t>Proof of valid ACROD permit.</w:t>
            </w:r>
          </w:p>
        </w:tc>
      </w:tr>
    </w:tbl>
    <w:p w14:paraId="2398A39C" w14:textId="77777777" w:rsidR="00597282" w:rsidRDefault="00597282" w:rsidP="00597282">
      <w:pPr>
        <w:spacing w:before="240" w:after="0"/>
        <w:ind w:left="284"/>
        <w:rPr>
          <w:rFonts w:cstheme="minorHAnsi"/>
          <w:i/>
        </w:rPr>
      </w:pPr>
      <w:r>
        <w:rPr>
          <w:rFonts w:cstheme="minorHAnsi"/>
          <w:i/>
        </w:rPr>
        <w:t xml:space="preserve">Table 3. </w:t>
      </w:r>
      <w:r w:rsidRPr="001D156A">
        <w:rPr>
          <w:rFonts w:cstheme="minorHAnsi"/>
          <w:i/>
        </w:rPr>
        <w:t xml:space="preserve">Circumstances under which an infringement </w:t>
      </w:r>
      <w:r w:rsidRPr="00F92276">
        <w:rPr>
          <w:rFonts w:cstheme="minorHAnsi"/>
          <w:b/>
          <w:i/>
        </w:rPr>
        <w:t>will not</w:t>
      </w:r>
      <w:r w:rsidRPr="001D156A">
        <w:rPr>
          <w:rFonts w:cstheme="minorHAnsi"/>
          <w:i/>
        </w:rPr>
        <w:t xml:space="preserve"> be withdrawn:</w:t>
      </w:r>
    </w:p>
    <w:tbl>
      <w:tblPr>
        <w:tblStyle w:val="TableGrid"/>
        <w:tblW w:w="0" w:type="auto"/>
        <w:tblInd w:w="279" w:type="dxa"/>
        <w:tblLook w:val="04A0" w:firstRow="1" w:lastRow="0" w:firstColumn="1" w:lastColumn="0" w:noHBand="0" w:noVBand="1"/>
      </w:tblPr>
      <w:tblGrid>
        <w:gridCol w:w="8737"/>
      </w:tblGrid>
      <w:tr w:rsidR="00597282" w:rsidRPr="00FC6D8B" w14:paraId="164B74D4" w14:textId="77777777" w:rsidTr="00B32822">
        <w:tc>
          <w:tcPr>
            <w:tcW w:w="8737" w:type="dxa"/>
          </w:tcPr>
          <w:p w14:paraId="31C96599" w14:textId="77777777" w:rsidR="00597282" w:rsidRPr="00FC6D8B" w:rsidRDefault="00597282" w:rsidP="00B32822">
            <w:pPr>
              <w:pStyle w:val="ListParagraph"/>
              <w:tabs>
                <w:tab w:val="left" w:pos="426"/>
              </w:tabs>
              <w:rPr>
                <w:rFonts w:cstheme="minorHAnsi"/>
                <w:b/>
              </w:rPr>
            </w:pPr>
            <w:r w:rsidRPr="00FC6D8B">
              <w:rPr>
                <w:rFonts w:cstheme="minorHAnsi"/>
                <w:b/>
                <w:sz w:val="20"/>
                <w:szCs w:val="20"/>
              </w:rPr>
              <w:t>Circumstances</w:t>
            </w:r>
          </w:p>
        </w:tc>
      </w:tr>
      <w:tr w:rsidR="00597282" w:rsidRPr="00FC6D8B" w14:paraId="565DFAEB" w14:textId="77777777" w:rsidTr="00B32822">
        <w:tc>
          <w:tcPr>
            <w:tcW w:w="8737" w:type="dxa"/>
          </w:tcPr>
          <w:p w14:paraId="67CD9F1D" w14:textId="77777777" w:rsidR="00597282" w:rsidRPr="00FC6D8B" w:rsidRDefault="00597282" w:rsidP="002A3889">
            <w:pPr>
              <w:pStyle w:val="ListParagraph"/>
              <w:numPr>
                <w:ilvl w:val="0"/>
                <w:numId w:val="48"/>
              </w:numPr>
              <w:tabs>
                <w:tab w:val="left" w:pos="426"/>
              </w:tabs>
              <w:ind w:left="0" w:firstLine="0"/>
              <w:rPr>
                <w:rFonts w:cstheme="minorHAnsi"/>
                <w:sz w:val="20"/>
                <w:szCs w:val="20"/>
              </w:rPr>
            </w:pPr>
            <w:r w:rsidRPr="00FC6D8B">
              <w:rPr>
                <w:rFonts w:cstheme="minorHAnsi"/>
                <w:sz w:val="20"/>
                <w:szCs w:val="20"/>
              </w:rPr>
              <w:t>Exceeding a time limit</w:t>
            </w:r>
            <w:r>
              <w:rPr>
                <w:rFonts w:cstheme="minorHAnsi"/>
                <w:sz w:val="20"/>
                <w:szCs w:val="20"/>
              </w:rPr>
              <w:t>.</w:t>
            </w:r>
          </w:p>
        </w:tc>
      </w:tr>
      <w:tr w:rsidR="00597282" w:rsidRPr="00FC6D8B" w14:paraId="56BCB128" w14:textId="77777777" w:rsidTr="00B32822">
        <w:tc>
          <w:tcPr>
            <w:tcW w:w="8737" w:type="dxa"/>
          </w:tcPr>
          <w:p w14:paraId="6E6FEBF9" w14:textId="77777777" w:rsidR="00597282" w:rsidRPr="00FC6D8B" w:rsidRDefault="00597282" w:rsidP="002A3889">
            <w:pPr>
              <w:pStyle w:val="ListParagraph"/>
              <w:numPr>
                <w:ilvl w:val="0"/>
                <w:numId w:val="48"/>
              </w:numPr>
              <w:tabs>
                <w:tab w:val="left" w:pos="426"/>
              </w:tabs>
              <w:ind w:left="0" w:firstLine="0"/>
              <w:rPr>
                <w:rFonts w:cstheme="minorHAnsi"/>
                <w:sz w:val="20"/>
                <w:szCs w:val="20"/>
              </w:rPr>
            </w:pPr>
            <w:r w:rsidRPr="00FC6D8B">
              <w:rPr>
                <w:rFonts w:cstheme="minorHAnsi"/>
                <w:sz w:val="20"/>
                <w:szCs w:val="20"/>
              </w:rPr>
              <w:t>Forgot to purchase and display a valid parking ticket</w:t>
            </w:r>
            <w:r>
              <w:rPr>
                <w:rFonts w:cstheme="minorHAnsi"/>
                <w:sz w:val="20"/>
                <w:szCs w:val="20"/>
              </w:rPr>
              <w:t>.</w:t>
            </w:r>
          </w:p>
        </w:tc>
      </w:tr>
      <w:tr w:rsidR="00597282" w:rsidRPr="00FC6D8B" w14:paraId="37446340" w14:textId="77777777" w:rsidTr="00B32822">
        <w:tc>
          <w:tcPr>
            <w:tcW w:w="8737" w:type="dxa"/>
          </w:tcPr>
          <w:p w14:paraId="1FE5358F" w14:textId="77777777" w:rsidR="00597282" w:rsidRPr="00FC6D8B" w:rsidRDefault="00597282" w:rsidP="002A3889">
            <w:pPr>
              <w:pStyle w:val="ListParagraph"/>
              <w:numPr>
                <w:ilvl w:val="0"/>
                <w:numId w:val="48"/>
              </w:numPr>
              <w:tabs>
                <w:tab w:val="left" w:pos="426"/>
              </w:tabs>
              <w:ind w:left="0" w:firstLine="0"/>
              <w:rPr>
                <w:rFonts w:cstheme="minorHAnsi"/>
                <w:sz w:val="20"/>
                <w:szCs w:val="20"/>
              </w:rPr>
            </w:pPr>
            <w:r w:rsidRPr="00FC6D8B">
              <w:rPr>
                <w:rFonts w:cstheme="minorHAnsi"/>
                <w:sz w:val="20"/>
                <w:szCs w:val="20"/>
              </w:rPr>
              <w:t>Lack of available parking bays</w:t>
            </w:r>
            <w:r>
              <w:rPr>
                <w:rFonts w:cstheme="minorHAnsi"/>
                <w:sz w:val="20"/>
                <w:szCs w:val="20"/>
              </w:rPr>
              <w:t>.</w:t>
            </w:r>
          </w:p>
        </w:tc>
      </w:tr>
      <w:tr w:rsidR="00597282" w:rsidRPr="00FC6D8B" w14:paraId="0489DA42" w14:textId="77777777" w:rsidTr="00B32822">
        <w:tc>
          <w:tcPr>
            <w:tcW w:w="8737" w:type="dxa"/>
          </w:tcPr>
          <w:p w14:paraId="55A05FD9" w14:textId="77777777" w:rsidR="00597282" w:rsidRPr="00FC6D8B" w:rsidRDefault="00597282" w:rsidP="002A3889">
            <w:pPr>
              <w:pStyle w:val="ListParagraph"/>
              <w:numPr>
                <w:ilvl w:val="0"/>
                <w:numId w:val="48"/>
              </w:numPr>
              <w:tabs>
                <w:tab w:val="left" w:pos="426"/>
              </w:tabs>
              <w:ind w:left="0" w:firstLine="0"/>
              <w:rPr>
                <w:rFonts w:cstheme="minorHAnsi"/>
                <w:sz w:val="20"/>
                <w:szCs w:val="20"/>
              </w:rPr>
            </w:pPr>
            <w:r w:rsidRPr="00FC6D8B">
              <w:rPr>
                <w:rFonts w:cstheme="minorHAnsi"/>
                <w:sz w:val="20"/>
                <w:szCs w:val="20"/>
              </w:rPr>
              <w:t>Arranging payment or getting change</w:t>
            </w:r>
            <w:r>
              <w:rPr>
                <w:rFonts w:cstheme="minorHAnsi"/>
                <w:sz w:val="20"/>
                <w:szCs w:val="20"/>
              </w:rPr>
              <w:t>.</w:t>
            </w:r>
          </w:p>
        </w:tc>
      </w:tr>
      <w:tr w:rsidR="00597282" w:rsidRPr="00FC6D8B" w14:paraId="47CBC5BF" w14:textId="77777777" w:rsidTr="00B32822">
        <w:tc>
          <w:tcPr>
            <w:tcW w:w="8737" w:type="dxa"/>
          </w:tcPr>
          <w:p w14:paraId="3786C1F6" w14:textId="77777777" w:rsidR="00597282" w:rsidRPr="00FC6D8B" w:rsidRDefault="00597282" w:rsidP="002A3889">
            <w:pPr>
              <w:pStyle w:val="ListParagraph"/>
              <w:numPr>
                <w:ilvl w:val="0"/>
                <w:numId w:val="48"/>
              </w:numPr>
              <w:tabs>
                <w:tab w:val="left" w:pos="426"/>
              </w:tabs>
              <w:ind w:left="0" w:firstLine="0"/>
              <w:rPr>
                <w:rFonts w:cstheme="minorHAnsi"/>
                <w:sz w:val="20"/>
                <w:szCs w:val="20"/>
              </w:rPr>
            </w:pPr>
            <w:r w:rsidRPr="00FC6D8B">
              <w:rPr>
                <w:rFonts w:cstheme="minorHAnsi"/>
                <w:sz w:val="20"/>
                <w:szCs w:val="20"/>
              </w:rPr>
              <w:t>Appointment or a meeting ran over time</w:t>
            </w:r>
            <w:r>
              <w:rPr>
                <w:rFonts w:cstheme="minorHAnsi"/>
                <w:sz w:val="20"/>
                <w:szCs w:val="20"/>
              </w:rPr>
              <w:t>.</w:t>
            </w:r>
          </w:p>
        </w:tc>
      </w:tr>
      <w:tr w:rsidR="00597282" w:rsidRPr="00FC6D8B" w14:paraId="69FE7696" w14:textId="77777777" w:rsidTr="00B32822">
        <w:tc>
          <w:tcPr>
            <w:tcW w:w="8737" w:type="dxa"/>
          </w:tcPr>
          <w:p w14:paraId="6F6DFFE2" w14:textId="77777777" w:rsidR="00597282" w:rsidRPr="00FC6D8B" w:rsidRDefault="00597282" w:rsidP="002A3889">
            <w:pPr>
              <w:pStyle w:val="ListParagraph"/>
              <w:numPr>
                <w:ilvl w:val="0"/>
                <w:numId w:val="48"/>
              </w:numPr>
              <w:tabs>
                <w:tab w:val="left" w:pos="426"/>
              </w:tabs>
              <w:ind w:left="0" w:firstLine="0"/>
              <w:rPr>
                <w:rFonts w:cstheme="minorHAnsi"/>
                <w:sz w:val="20"/>
                <w:szCs w:val="20"/>
              </w:rPr>
            </w:pPr>
            <w:r w:rsidRPr="00FC6D8B">
              <w:rPr>
                <w:rFonts w:cstheme="minorHAnsi"/>
                <w:sz w:val="20"/>
                <w:szCs w:val="20"/>
              </w:rPr>
              <w:t>Transportation services were late</w:t>
            </w:r>
            <w:r>
              <w:rPr>
                <w:rFonts w:cstheme="minorHAnsi"/>
                <w:sz w:val="20"/>
                <w:szCs w:val="20"/>
              </w:rPr>
              <w:t>.</w:t>
            </w:r>
          </w:p>
        </w:tc>
      </w:tr>
      <w:tr w:rsidR="00597282" w:rsidRPr="00F60192" w14:paraId="59FB82C0" w14:textId="77777777" w:rsidTr="00B32822">
        <w:tc>
          <w:tcPr>
            <w:tcW w:w="8737" w:type="dxa"/>
          </w:tcPr>
          <w:p w14:paraId="62185180" w14:textId="77777777" w:rsidR="00597282" w:rsidRPr="00F60192" w:rsidRDefault="00597282" w:rsidP="002A3889">
            <w:pPr>
              <w:pStyle w:val="ListParagraph"/>
              <w:numPr>
                <w:ilvl w:val="0"/>
                <w:numId w:val="48"/>
              </w:numPr>
              <w:tabs>
                <w:tab w:val="left" w:pos="426"/>
              </w:tabs>
              <w:ind w:left="0" w:firstLine="0"/>
              <w:rPr>
                <w:rFonts w:cstheme="minorHAnsi"/>
                <w:sz w:val="20"/>
                <w:szCs w:val="20"/>
              </w:rPr>
            </w:pPr>
            <w:r>
              <w:rPr>
                <w:rFonts w:cstheme="minorHAnsi"/>
                <w:sz w:val="20"/>
                <w:szCs w:val="20"/>
              </w:rPr>
              <w:t>Had to make or take an important phone call.</w:t>
            </w:r>
          </w:p>
        </w:tc>
      </w:tr>
      <w:tr w:rsidR="00597282" w:rsidRPr="00F60192" w14:paraId="7C09F39C" w14:textId="77777777" w:rsidTr="00B32822">
        <w:tc>
          <w:tcPr>
            <w:tcW w:w="8737" w:type="dxa"/>
          </w:tcPr>
          <w:p w14:paraId="20D3E521" w14:textId="77777777" w:rsidR="00597282" w:rsidRPr="00F60192" w:rsidRDefault="00597282" w:rsidP="002A3889">
            <w:pPr>
              <w:pStyle w:val="ListParagraph"/>
              <w:numPr>
                <w:ilvl w:val="0"/>
                <w:numId w:val="48"/>
              </w:numPr>
              <w:tabs>
                <w:tab w:val="left" w:pos="426"/>
              </w:tabs>
              <w:ind w:left="0" w:firstLine="0"/>
              <w:rPr>
                <w:rFonts w:cstheme="minorHAnsi"/>
                <w:sz w:val="20"/>
                <w:szCs w:val="20"/>
              </w:rPr>
            </w:pPr>
            <w:r>
              <w:rPr>
                <w:rFonts w:cstheme="minorHAnsi"/>
                <w:sz w:val="20"/>
                <w:szCs w:val="20"/>
              </w:rPr>
              <w:t>Did not see or did not understand the parking restrictions.</w:t>
            </w:r>
          </w:p>
        </w:tc>
      </w:tr>
      <w:tr w:rsidR="00597282" w:rsidRPr="00F60192" w14:paraId="63ABB2D9" w14:textId="77777777" w:rsidTr="00B32822">
        <w:tc>
          <w:tcPr>
            <w:tcW w:w="8737" w:type="dxa"/>
          </w:tcPr>
          <w:p w14:paraId="24D39299" w14:textId="77777777" w:rsidR="00597282" w:rsidRPr="00F60192" w:rsidRDefault="00597282" w:rsidP="002A3889">
            <w:pPr>
              <w:pStyle w:val="ListParagraph"/>
              <w:numPr>
                <w:ilvl w:val="0"/>
                <w:numId w:val="48"/>
              </w:numPr>
              <w:tabs>
                <w:tab w:val="left" w:pos="426"/>
              </w:tabs>
              <w:ind w:left="0" w:firstLine="0"/>
              <w:rPr>
                <w:rFonts w:cstheme="minorHAnsi"/>
                <w:sz w:val="20"/>
                <w:szCs w:val="20"/>
              </w:rPr>
            </w:pPr>
            <w:r>
              <w:rPr>
                <w:rFonts w:cstheme="minorHAnsi"/>
                <w:sz w:val="20"/>
                <w:szCs w:val="20"/>
              </w:rPr>
              <w:t>Did not see or did not understand how to use a ticket machine.</w:t>
            </w:r>
          </w:p>
        </w:tc>
      </w:tr>
      <w:tr w:rsidR="00597282" w:rsidRPr="00F60192" w14:paraId="0CB3F349" w14:textId="77777777" w:rsidTr="00B32822">
        <w:tc>
          <w:tcPr>
            <w:tcW w:w="8737" w:type="dxa"/>
          </w:tcPr>
          <w:p w14:paraId="4CF922AC" w14:textId="77777777" w:rsidR="00597282" w:rsidRPr="00F60192" w:rsidRDefault="00597282" w:rsidP="002A3889">
            <w:pPr>
              <w:pStyle w:val="ListParagraph"/>
              <w:numPr>
                <w:ilvl w:val="0"/>
                <w:numId w:val="48"/>
              </w:numPr>
              <w:tabs>
                <w:tab w:val="left" w:pos="426"/>
              </w:tabs>
              <w:ind w:left="461" w:hanging="461"/>
              <w:rPr>
                <w:rFonts w:cstheme="minorHAnsi"/>
                <w:sz w:val="20"/>
                <w:szCs w:val="20"/>
              </w:rPr>
            </w:pPr>
            <w:r>
              <w:rPr>
                <w:rFonts w:cstheme="minorHAnsi"/>
                <w:sz w:val="20"/>
                <w:szCs w:val="20"/>
              </w:rPr>
              <w:t>Where a vehicle is parked in a dangerous or obstructive location that has the potential to cause nuisance, injury or damage.</w:t>
            </w:r>
          </w:p>
        </w:tc>
      </w:tr>
      <w:tr w:rsidR="00597282" w:rsidRPr="00FC6D8B" w14:paraId="14057D53" w14:textId="77777777" w:rsidTr="00B32822">
        <w:tc>
          <w:tcPr>
            <w:tcW w:w="8737" w:type="dxa"/>
          </w:tcPr>
          <w:p w14:paraId="6E88DFFA" w14:textId="77777777" w:rsidR="00597282" w:rsidRPr="00FC6D8B" w:rsidRDefault="00597282" w:rsidP="002A3889">
            <w:pPr>
              <w:pStyle w:val="ListParagraph"/>
              <w:numPr>
                <w:ilvl w:val="0"/>
                <w:numId w:val="48"/>
              </w:numPr>
              <w:tabs>
                <w:tab w:val="left" w:pos="426"/>
              </w:tabs>
              <w:ind w:left="0" w:firstLine="0"/>
              <w:rPr>
                <w:rFonts w:cstheme="minorHAnsi"/>
                <w:sz w:val="20"/>
                <w:szCs w:val="20"/>
              </w:rPr>
            </w:pPr>
            <w:r>
              <w:rPr>
                <w:rFonts w:cstheme="minorHAnsi"/>
                <w:sz w:val="20"/>
                <w:szCs w:val="20"/>
              </w:rPr>
              <w:t>Where an unauthorised vehicle is parked in a designated ACROD parking bay.</w:t>
            </w:r>
          </w:p>
        </w:tc>
      </w:tr>
    </w:tbl>
    <w:p w14:paraId="31A5843D" w14:textId="77777777" w:rsidR="00597282" w:rsidRPr="00F92276" w:rsidRDefault="00597282" w:rsidP="00597282">
      <w:pPr>
        <w:spacing w:before="240" w:after="0"/>
        <w:ind w:left="284"/>
        <w:rPr>
          <w:rFonts w:cstheme="minorHAnsi"/>
        </w:rPr>
      </w:pPr>
    </w:p>
    <w:p w14:paraId="35CEDCA5" w14:textId="77777777" w:rsidR="00597282" w:rsidRPr="000212B1" w:rsidRDefault="00597282" w:rsidP="00597282">
      <w:pPr>
        <w:jc w:val="both"/>
        <w:rPr>
          <w:rFonts w:cstheme="minorHAnsi"/>
          <w:sz w:val="24"/>
          <w:lang w:val="en-US"/>
        </w:rPr>
      </w:pPr>
    </w:p>
    <w:tbl>
      <w:tblPr>
        <w:tblStyle w:val="TableGrid"/>
        <w:tblW w:w="0" w:type="auto"/>
        <w:tblLook w:val="04A0" w:firstRow="1" w:lastRow="0" w:firstColumn="1" w:lastColumn="0" w:noHBand="0" w:noVBand="1"/>
      </w:tblPr>
      <w:tblGrid>
        <w:gridCol w:w="3114"/>
        <w:gridCol w:w="5902"/>
      </w:tblGrid>
      <w:tr w:rsidR="00597282" w:rsidRPr="000212B1" w14:paraId="5A52ABCF" w14:textId="77777777" w:rsidTr="00B32822">
        <w:tc>
          <w:tcPr>
            <w:tcW w:w="3114" w:type="dxa"/>
          </w:tcPr>
          <w:p w14:paraId="5BF38087" w14:textId="77777777" w:rsidR="00597282" w:rsidRPr="000212B1" w:rsidRDefault="00597282" w:rsidP="00B32822">
            <w:pPr>
              <w:jc w:val="both"/>
              <w:rPr>
                <w:rFonts w:cstheme="minorHAnsi"/>
                <w:b/>
                <w:lang w:val="en-US"/>
              </w:rPr>
            </w:pPr>
            <w:r w:rsidRPr="000212B1">
              <w:rPr>
                <w:rFonts w:cstheme="minorHAnsi"/>
                <w:b/>
                <w:lang w:val="en-US"/>
              </w:rPr>
              <w:t>Responsible Directorate:</w:t>
            </w:r>
          </w:p>
        </w:tc>
        <w:tc>
          <w:tcPr>
            <w:tcW w:w="5902" w:type="dxa"/>
          </w:tcPr>
          <w:p w14:paraId="2796AC09" w14:textId="77777777" w:rsidR="00597282" w:rsidRPr="000212B1" w:rsidRDefault="00597282" w:rsidP="00B32822">
            <w:pPr>
              <w:jc w:val="both"/>
              <w:rPr>
                <w:rFonts w:cstheme="minorHAnsi"/>
                <w:lang w:val="en-US"/>
              </w:rPr>
            </w:pPr>
            <w:r w:rsidRPr="000212B1">
              <w:rPr>
                <w:rFonts w:cstheme="minorHAnsi"/>
                <w:lang w:val="en-US"/>
              </w:rPr>
              <w:t>Corporate Services</w:t>
            </w:r>
          </w:p>
        </w:tc>
      </w:tr>
      <w:tr w:rsidR="00597282" w:rsidRPr="000212B1" w14:paraId="458EBE3A" w14:textId="77777777" w:rsidTr="00B32822">
        <w:tc>
          <w:tcPr>
            <w:tcW w:w="3114" w:type="dxa"/>
          </w:tcPr>
          <w:p w14:paraId="30961C89" w14:textId="77777777" w:rsidR="00597282" w:rsidRPr="000212B1" w:rsidRDefault="00597282" w:rsidP="00B32822">
            <w:pPr>
              <w:jc w:val="both"/>
              <w:rPr>
                <w:rFonts w:cstheme="minorHAnsi"/>
                <w:b/>
                <w:lang w:val="en-US"/>
              </w:rPr>
            </w:pPr>
            <w:r w:rsidRPr="000212B1">
              <w:rPr>
                <w:rFonts w:cstheme="minorHAnsi"/>
                <w:b/>
                <w:lang w:val="en-US"/>
              </w:rPr>
              <w:t>Reviewing Officer:</w:t>
            </w:r>
          </w:p>
        </w:tc>
        <w:tc>
          <w:tcPr>
            <w:tcW w:w="5902" w:type="dxa"/>
          </w:tcPr>
          <w:p w14:paraId="09D182AC" w14:textId="77777777" w:rsidR="00597282" w:rsidRPr="000212B1" w:rsidRDefault="00597282" w:rsidP="00B32822">
            <w:pPr>
              <w:jc w:val="both"/>
              <w:rPr>
                <w:rFonts w:cstheme="minorHAnsi"/>
                <w:lang w:val="en-US"/>
              </w:rPr>
            </w:pPr>
            <w:r w:rsidRPr="000212B1">
              <w:rPr>
                <w:rFonts w:cstheme="minorHAnsi"/>
                <w:lang w:val="en-US"/>
              </w:rPr>
              <w:t>E</w:t>
            </w:r>
            <w:r>
              <w:rPr>
                <w:rFonts w:cstheme="minorHAnsi"/>
                <w:lang w:val="en-US"/>
              </w:rPr>
              <w:t>xecutive Manager Corporate Services</w:t>
            </w:r>
          </w:p>
        </w:tc>
      </w:tr>
      <w:tr w:rsidR="00597282" w:rsidRPr="000212B1" w14:paraId="4E27DB2F" w14:textId="77777777" w:rsidTr="00B32822">
        <w:tc>
          <w:tcPr>
            <w:tcW w:w="3114" w:type="dxa"/>
          </w:tcPr>
          <w:p w14:paraId="10248453" w14:textId="77777777" w:rsidR="00597282" w:rsidRPr="000212B1" w:rsidRDefault="00597282" w:rsidP="00B32822">
            <w:pPr>
              <w:jc w:val="both"/>
              <w:rPr>
                <w:rFonts w:cstheme="minorHAnsi"/>
                <w:b/>
                <w:lang w:val="en-US"/>
              </w:rPr>
            </w:pPr>
            <w:r w:rsidRPr="000212B1">
              <w:rPr>
                <w:rFonts w:cstheme="minorHAnsi"/>
                <w:b/>
                <w:lang w:val="en-US"/>
              </w:rPr>
              <w:t>Decision making Authority:</w:t>
            </w:r>
          </w:p>
        </w:tc>
        <w:tc>
          <w:tcPr>
            <w:tcW w:w="5902" w:type="dxa"/>
          </w:tcPr>
          <w:p w14:paraId="63F5220B" w14:textId="77777777" w:rsidR="00597282" w:rsidRPr="000212B1" w:rsidRDefault="00597282" w:rsidP="00B32822">
            <w:pPr>
              <w:jc w:val="both"/>
              <w:rPr>
                <w:rFonts w:cstheme="minorHAnsi"/>
                <w:lang w:val="en-US"/>
              </w:rPr>
            </w:pPr>
            <w:r w:rsidRPr="000212B1">
              <w:rPr>
                <w:rFonts w:cstheme="minorHAnsi"/>
                <w:lang w:val="en-US"/>
              </w:rPr>
              <w:t>Council</w:t>
            </w:r>
          </w:p>
        </w:tc>
      </w:tr>
      <w:tr w:rsidR="00597282" w:rsidRPr="000212B1" w14:paraId="4DE3506E" w14:textId="77777777" w:rsidTr="00B32822">
        <w:tc>
          <w:tcPr>
            <w:tcW w:w="3114" w:type="dxa"/>
          </w:tcPr>
          <w:p w14:paraId="6A107615" w14:textId="77777777" w:rsidR="00597282" w:rsidRPr="000212B1" w:rsidRDefault="00597282" w:rsidP="00B32822">
            <w:pPr>
              <w:jc w:val="both"/>
              <w:rPr>
                <w:rFonts w:cstheme="minorHAnsi"/>
                <w:b/>
                <w:lang w:val="en-US"/>
              </w:rPr>
            </w:pPr>
            <w:r w:rsidRPr="000212B1">
              <w:rPr>
                <w:rFonts w:cstheme="minorHAnsi"/>
                <w:b/>
                <w:lang w:val="en-US"/>
              </w:rPr>
              <w:t>Policy Adopted:</w:t>
            </w:r>
          </w:p>
        </w:tc>
        <w:tc>
          <w:tcPr>
            <w:tcW w:w="5902" w:type="dxa"/>
          </w:tcPr>
          <w:p w14:paraId="148F05EF" w14:textId="77777777" w:rsidR="00597282" w:rsidRPr="000212B1" w:rsidRDefault="00597282" w:rsidP="00B32822">
            <w:pPr>
              <w:jc w:val="both"/>
              <w:rPr>
                <w:rFonts w:cstheme="minorHAnsi"/>
                <w:lang w:val="en-US"/>
              </w:rPr>
            </w:pPr>
            <w:r>
              <w:rPr>
                <w:rFonts w:cstheme="minorHAnsi"/>
                <w:lang w:val="en-US"/>
              </w:rPr>
              <w:t>19/06/18</w:t>
            </w:r>
          </w:p>
        </w:tc>
      </w:tr>
      <w:tr w:rsidR="00597282" w:rsidRPr="000212B1" w14:paraId="0A58B0EE" w14:textId="77777777" w:rsidTr="00B32822">
        <w:tc>
          <w:tcPr>
            <w:tcW w:w="3114" w:type="dxa"/>
          </w:tcPr>
          <w:p w14:paraId="2491650D" w14:textId="77777777" w:rsidR="00597282" w:rsidRPr="000212B1" w:rsidRDefault="00597282" w:rsidP="00B32822">
            <w:pPr>
              <w:jc w:val="both"/>
              <w:rPr>
                <w:rFonts w:cstheme="minorHAnsi"/>
                <w:b/>
                <w:lang w:val="en-US"/>
              </w:rPr>
            </w:pPr>
            <w:r w:rsidRPr="000212B1">
              <w:rPr>
                <w:rFonts w:cstheme="minorHAnsi"/>
                <w:b/>
                <w:lang w:val="en-US"/>
              </w:rPr>
              <w:t>Policy Amended</w:t>
            </w:r>
            <w:r>
              <w:rPr>
                <w:rFonts w:cstheme="minorHAnsi"/>
                <w:b/>
                <w:lang w:val="en-US"/>
              </w:rPr>
              <w:t>/Reviewed</w:t>
            </w:r>
            <w:r w:rsidRPr="000212B1">
              <w:rPr>
                <w:rFonts w:cstheme="minorHAnsi"/>
                <w:b/>
                <w:lang w:val="en-US"/>
              </w:rPr>
              <w:t>:</w:t>
            </w:r>
          </w:p>
        </w:tc>
        <w:tc>
          <w:tcPr>
            <w:tcW w:w="5902" w:type="dxa"/>
          </w:tcPr>
          <w:p w14:paraId="78DE7C6F" w14:textId="77777777" w:rsidR="00597282" w:rsidRPr="000212B1" w:rsidRDefault="00597282" w:rsidP="00B32822">
            <w:pPr>
              <w:jc w:val="both"/>
              <w:rPr>
                <w:rFonts w:cstheme="minorHAnsi"/>
                <w:lang w:val="en-US"/>
              </w:rPr>
            </w:pPr>
            <w:r>
              <w:rPr>
                <w:rFonts w:cstheme="minorHAnsi"/>
                <w:lang w:val="en-US"/>
              </w:rPr>
              <w:t>16/10/18, 20/08/19</w:t>
            </w:r>
            <w:r w:rsidR="007F4D47">
              <w:rPr>
                <w:rFonts w:cstheme="minorHAnsi"/>
                <w:lang w:val="en-US"/>
              </w:rPr>
              <w:t>, 17/9/19</w:t>
            </w:r>
          </w:p>
        </w:tc>
      </w:tr>
      <w:tr w:rsidR="00597282" w:rsidRPr="000212B1" w14:paraId="57578C9D" w14:textId="77777777" w:rsidTr="00B32822">
        <w:tc>
          <w:tcPr>
            <w:tcW w:w="3114" w:type="dxa"/>
          </w:tcPr>
          <w:p w14:paraId="07883EA8" w14:textId="77777777" w:rsidR="00597282" w:rsidRPr="000212B1" w:rsidRDefault="00597282" w:rsidP="00B32822">
            <w:pPr>
              <w:jc w:val="both"/>
              <w:rPr>
                <w:rFonts w:cstheme="minorHAnsi"/>
                <w:b/>
                <w:lang w:val="en-US"/>
              </w:rPr>
            </w:pPr>
            <w:r>
              <w:rPr>
                <w:rFonts w:cstheme="minorHAnsi"/>
                <w:b/>
                <w:lang w:val="en-US"/>
              </w:rPr>
              <w:t>Former Policy No:</w:t>
            </w:r>
          </w:p>
        </w:tc>
        <w:tc>
          <w:tcPr>
            <w:tcW w:w="5902" w:type="dxa"/>
          </w:tcPr>
          <w:p w14:paraId="10D85C3F" w14:textId="77777777" w:rsidR="00597282" w:rsidRPr="000212B1" w:rsidRDefault="00597282" w:rsidP="00B32822">
            <w:pPr>
              <w:jc w:val="both"/>
              <w:rPr>
                <w:rFonts w:cstheme="minorHAnsi"/>
                <w:lang w:val="en-US"/>
              </w:rPr>
            </w:pPr>
            <w:r>
              <w:rPr>
                <w:rFonts w:cstheme="minorHAnsi"/>
                <w:lang w:val="en-US"/>
              </w:rPr>
              <w:t>4.2.7</w:t>
            </w:r>
          </w:p>
        </w:tc>
      </w:tr>
    </w:tbl>
    <w:p w14:paraId="54BA57EC" w14:textId="77777777" w:rsidR="00597282" w:rsidRDefault="00597282" w:rsidP="00597282"/>
    <w:p w14:paraId="0BCBE05D" w14:textId="77777777" w:rsidR="00B640E1" w:rsidRDefault="00B640E1" w:rsidP="00597282">
      <w:pPr>
        <w:pStyle w:val="Title"/>
        <w:pBdr>
          <w:bottom w:val="none" w:sz="0" w:space="0" w:color="auto"/>
        </w:pBdr>
        <w:spacing w:after="240"/>
        <w:jc w:val="right"/>
        <w:rPr>
          <w:rFonts w:cstheme="minorHAnsi"/>
        </w:rPr>
      </w:pPr>
      <w:r>
        <w:rPr>
          <w:rFonts w:cstheme="minorHAnsi"/>
        </w:rPr>
        <w:br w:type="page"/>
      </w:r>
    </w:p>
    <w:p w14:paraId="7E2F76B2" w14:textId="21A0C8B6" w:rsidR="00AD4E49" w:rsidRDefault="00AD4E49" w:rsidP="00AD4E49">
      <w:pPr>
        <w:pStyle w:val="Policy3"/>
        <w:jc w:val="right"/>
      </w:pPr>
    </w:p>
    <w:p w14:paraId="1550788F" w14:textId="77777777" w:rsidR="003D65FF" w:rsidRDefault="003D65FF" w:rsidP="000F57AB">
      <w:pPr>
        <w:pStyle w:val="Policy3"/>
        <w:jc w:val="right"/>
      </w:pPr>
      <w:bookmarkStart w:id="300" w:name="_Toc15380527"/>
      <w:bookmarkStart w:id="301" w:name="_Toc216866685"/>
      <w:r>
        <w:rPr>
          <w:noProof/>
          <w:sz w:val="20"/>
        </w:rPr>
        <w:drawing>
          <wp:inline distT="0" distB="0" distL="0" distR="0" wp14:anchorId="2D8AFBCB" wp14:editId="47EA63CD">
            <wp:extent cx="1643502" cy="603503"/>
            <wp:effectExtent l="0" t="0" r="0" b="0"/>
            <wp:docPr id="2040940819" name="image2.jpe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A picture containing text&#10;&#10;Description automatically generated"/>
                    <pic:cNvPicPr/>
                  </pic:nvPicPr>
                  <pic:blipFill>
                    <a:blip r:embed="rId59" cstate="print"/>
                    <a:stretch>
                      <a:fillRect/>
                    </a:stretch>
                  </pic:blipFill>
                  <pic:spPr>
                    <a:xfrm>
                      <a:off x="0" y="0"/>
                      <a:ext cx="1643502" cy="603503"/>
                    </a:xfrm>
                    <a:prstGeom prst="rect">
                      <a:avLst/>
                    </a:prstGeom>
                  </pic:spPr>
                </pic:pic>
              </a:graphicData>
            </a:graphic>
          </wp:inline>
        </w:drawing>
      </w:r>
      <w:bookmarkEnd w:id="301"/>
    </w:p>
    <w:p w14:paraId="4B2DC15E" w14:textId="77777777" w:rsidR="003D65FF" w:rsidRPr="000F57AB" w:rsidRDefault="003D65FF" w:rsidP="000F57AB">
      <w:pPr>
        <w:pStyle w:val="Policy3"/>
      </w:pPr>
      <w:bookmarkStart w:id="302" w:name="_Toc216866686"/>
      <w:r w:rsidRPr="000F57AB">
        <w:t>2.1.10</w:t>
      </w:r>
      <w:r w:rsidRPr="000F57AB">
        <w:tab/>
        <w:t>Infringement Debt Management</w:t>
      </w:r>
      <w:bookmarkEnd w:id="300"/>
      <w:bookmarkEnd w:id="302"/>
    </w:p>
    <w:tbl>
      <w:tblPr>
        <w:tblStyle w:val="TableGrid"/>
        <w:tblW w:w="9067" w:type="dxa"/>
        <w:tblLook w:val="04A0" w:firstRow="1" w:lastRow="0" w:firstColumn="1" w:lastColumn="0" w:noHBand="0" w:noVBand="1"/>
      </w:tblPr>
      <w:tblGrid>
        <w:gridCol w:w="3510"/>
        <w:gridCol w:w="5557"/>
      </w:tblGrid>
      <w:tr w:rsidR="003D65FF" w:rsidRPr="00B640E1" w14:paraId="555F3839" w14:textId="77777777" w:rsidTr="004A5360">
        <w:trPr>
          <w:trHeight w:val="248"/>
        </w:trPr>
        <w:tc>
          <w:tcPr>
            <w:tcW w:w="3510" w:type="dxa"/>
          </w:tcPr>
          <w:p w14:paraId="35600E90" w14:textId="77777777" w:rsidR="003D65FF" w:rsidRPr="00B640E1" w:rsidRDefault="003D65FF" w:rsidP="000F57AB">
            <w:pPr>
              <w:jc w:val="both"/>
              <w:rPr>
                <w:rFonts w:cstheme="minorHAnsi"/>
                <w:b/>
                <w:lang w:val="en-US"/>
              </w:rPr>
            </w:pPr>
            <w:r w:rsidRPr="00B640E1">
              <w:rPr>
                <w:rFonts w:cstheme="minorHAnsi"/>
                <w:b/>
                <w:lang w:val="en-US"/>
              </w:rPr>
              <w:t>Type:</w:t>
            </w:r>
          </w:p>
        </w:tc>
        <w:tc>
          <w:tcPr>
            <w:tcW w:w="5557" w:type="dxa"/>
          </w:tcPr>
          <w:p w14:paraId="411B74DE" w14:textId="77777777" w:rsidR="003D65FF" w:rsidRPr="00B640E1" w:rsidRDefault="003D65FF" w:rsidP="000F57AB">
            <w:pPr>
              <w:jc w:val="both"/>
              <w:rPr>
                <w:rFonts w:cstheme="minorHAnsi"/>
                <w:lang w:val="en-US"/>
              </w:rPr>
            </w:pPr>
            <w:r>
              <w:rPr>
                <w:rFonts w:cstheme="minorHAnsi"/>
                <w:lang w:val="en-US"/>
              </w:rPr>
              <w:t>Corporate Services – Financial Management</w:t>
            </w:r>
          </w:p>
        </w:tc>
      </w:tr>
      <w:tr w:rsidR="003D65FF" w:rsidRPr="00B640E1" w14:paraId="522B4443" w14:textId="77777777" w:rsidTr="004A5360">
        <w:trPr>
          <w:trHeight w:val="263"/>
        </w:trPr>
        <w:tc>
          <w:tcPr>
            <w:tcW w:w="3510" w:type="dxa"/>
          </w:tcPr>
          <w:p w14:paraId="40FCB8CD" w14:textId="77777777" w:rsidR="003D65FF" w:rsidRPr="00B640E1" w:rsidRDefault="003D65FF" w:rsidP="000F57AB">
            <w:pPr>
              <w:jc w:val="both"/>
              <w:rPr>
                <w:rFonts w:cstheme="minorHAnsi"/>
                <w:b/>
                <w:lang w:val="en-US"/>
              </w:rPr>
            </w:pPr>
            <w:r w:rsidRPr="00B640E1">
              <w:rPr>
                <w:rFonts w:cstheme="minorHAnsi"/>
                <w:b/>
                <w:lang w:val="en-US"/>
              </w:rPr>
              <w:t>Legislation:</w:t>
            </w:r>
          </w:p>
        </w:tc>
        <w:tc>
          <w:tcPr>
            <w:tcW w:w="5557" w:type="dxa"/>
          </w:tcPr>
          <w:p w14:paraId="3A4A5F00" w14:textId="77777777" w:rsidR="003D65FF" w:rsidRPr="00B640E1" w:rsidRDefault="003D65FF" w:rsidP="000F57AB">
            <w:pPr>
              <w:jc w:val="both"/>
              <w:rPr>
                <w:rFonts w:cstheme="minorHAnsi"/>
                <w:lang w:val="en-US"/>
              </w:rPr>
            </w:pPr>
            <w:r w:rsidRPr="00B640E1">
              <w:rPr>
                <w:rFonts w:cstheme="minorHAnsi"/>
                <w:lang w:val="en-US"/>
              </w:rPr>
              <w:t xml:space="preserve">Local Government Act 1995 </w:t>
            </w:r>
          </w:p>
        </w:tc>
      </w:tr>
      <w:tr w:rsidR="003D65FF" w:rsidRPr="00B640E1" w14:paraId="30FC414B" w14:textId="77777777" w:rsidTr="004A5360">
        <w:trPr>
          <w:trHeight w:val="263"/>
        </w:trPr>
        <w:tc>
          <w:tcPr>
            <w:tcW w:w="3510" w:type="dxa"/>
          </w:tcPr>
          <w:p w14:paraId="60E6A032" w14:textId="77777777" w:rsidR="003D65FF" w:rsidRPr="00B640E1" w:rsidRDefault="003D65FF" w:rsidP="000F57AB">
            <w:pPr>
              <w:jc w:val="both"/>
              <w:rPr>
                <w:rFonts w:cstheme="minorHAnsi"/>
                <w:b/>
                <w:lang w:val="en-US"/>
              </w:rPr>
            </w:pPr>
            <w:r w:rsidRPr="00B640E1">
              <w:rPr>
                <w:rFonts w:cstheme="minorHAnsi"/>
                <w:b/>
                <w:lang w:val="en-US"/>
              </w:rPr>
              <w:t>Delegation:</w:t>
            </w:r>
          </w:p>
        </w:tc>
        <w:tc>
          <w:tcPr>
            <w:tcW w:w="5557" w:type="dxa"/>
          </w:tcPr>
          <w:p w14:paraId="0A9C808C" w14:textId="77777777" w:rsidR="003D65FF" w:rsidRPr="00B640E1" w:rsidRDefault="003D65FF" w:rsidP="000F57AB">
            <w:pPr>
              <w:jc w:val="both"/>
              <w:rPr>
                <w:rFonts w:cstheme="minorHAnsi"/>
                <w:lang w:val="en-US"/>
              </w:rPr>
            </w:pPr>
          </w:p>
        </w:tc>
      </w:tr>
      <w:tr w:rsidR="003D65FF" w:rsidRPr="00B640E1" w14:paraId="4A9A9694" w14:textId="77777777" w:rsidTr="004A5360">
        <w:trPr>
          <w:trHeight w:val="248"/>
        </w:trPr>
        <w:tc>
          <w:tcPr>
            <w:tcW w:w="3510" w:type="dxa"/>
          </w:tcPr>
          <w:p w14:paraId="5861AA32" w14:textId="77777777" w:rsidR="003D65FF" w:rsidRPr="00B640E1" w:rsidRDefault="003D65FF" w:rsidP="000F57AB">
            <w:pPr>
              <w:jc w:val="both"/>
              <w:rPr>
                <w:rFonts w:cstheme="minorHAnsi"/>
                <w:b/>
                <w:lang w:val="en-US"/>
              </w:rPr>
            </w:pPr>
            <w:r w:rsidRPr="00B640E1">
              <w:rPr>
                <w:rFonts w:cstheme="minorHAnsi"/>
                <w:b/>
                <w:lang w:val="en-US"/>
              </w:rPr>
              <w:t>Other Related Document:</w:t>
            </w:r>
          </w:p>
        </w:tc>
        <w:tc>
          <w:tcPr>
            <w:tcW w:w="5557" w:type="dxa"/>
          </w:tcPr>
          <w:p w14:paraId="35CB12BC" w14:textId="77777777" w:rsidR="003D65FF" w:rsidRPr="00B640E1" w:rsidRDefault="003D65FF" w:rsidP="000F57AB">
            <w:pPr>
              <w:jc w:val="both"/>
              <w:rPr>
                <w:rFonts w:cstheme="minorHAnsi"/>
                <w:lang w:val="en-US"/>
              </w:rPr>
            </w:pPr>
            <w:r>
              <w:rPr>
                <w:rFonts w:cstheme="minorHAnsi"/>
                <w:lang w:val="en-US"/>
              </w:rPr>
              <w:t xml:space="preserve">Parking Infringement Appeals Policy </w:t>
            </w:r>
            <w:r w:rsidRPr="00B640E1">
              <w:rPr>
                <w:rFonts w:cstheme="minorHAnsi"/>
                <w:lang w:val="en-US"/>
              </w:rPr>
              <w:t>2.1.9</w:t>
            </w:r>
          </w:p>
        </w:tc>
      </w:tr>
    </w:tbl>
    <w:p w14:paraId="278F9544" w14:textId="77777777" w:rsidR="003D65FF" w:rsidRPr="00832CA2" w:rsidRDefault="003D65FF" w:rsidP="000F57AB">
      <w:pPr>
        <w:spacing w:before="240" w:after="0"/>
        <w:rPr>
          <w:b/>
          <w:sz w:val="28"/>
          <w:szCs w:val="28"/>
          <w:lang w:val="en-US"/>
        </w:rPr>
      </w:pPr>
      <w:r w:rsidRPr="00832CA2">
        <w:rPr>
          <w:b/>
          <w:sz w:val="28"/>
          <w:szCs w:val="28"/>
          <w:lang w:val="en-US"/>
        </w:rPr>
        <w:t>Objective</w:t>
      </w:r>
    </w:p>
    <w:p w14:paraId="4A5E21F3" w14:textId="77777777" w:rsidR="003D65FF" w:rsidRPr="00B640E1" w:rsidRDefault="003D65FF" w:rsidP="000F57AB">
      <w:pPr>
        <w:spacing w:after="0" w:line="240" w:lineRule="auto"/>
        <w:jc w:val="both"/>
        <w:rPr>
          <w:rFonts w:cstheme="minorHAnsi"/>
        </w:rPr>
      </w:pPr>
      <w:r>
        <w:rPr>
          <w:rFonts w:cstheme="minorHAnsi"/>
        </w:rPr>
        <w:t>The objective of this policy is t</w:t>
      </w:r>
      <w:r w:rsidRPr="00B640E1">
        <w:rPr>
          <w:rFonts w:cstheme="minorHAnsi"/>
        </w:rPr>
        <w:t xml:space="preserve">o outline the process for collection of infringements, </w:t>
      </w:r>
      <w:r>
        <w:rPr>
          <w:rFonts w:cstheme="minorHAnsi"/>
        </w:rPr>
        <w:t xml:space="preserve">the </w:t>
      </w:r>
      <w:r w:rsidRPr="00B640E1">
        <w:rPr>
          <w:rFonts w:cstheme="minorHAnsi"/>
        </w:rPr>
        <w:t xml:space="preserve">referral </w:t>
      </w:r>
      <w:r>
        <w:rPr>
          <w:rFonts w:cstheme="minorHAnsi"/>
        </w:rPr>
        <w:t xml:space="preserve">process </w:t>
      </w:r>
      <w:r w:rsidRPr="00B640E1">
        <w:rPr>
          <w:rFonts w:cstheme="minorHAnsi"/>
        </w:rPr>
        <w:t>to the Fines Enforcement Registry</w:t>
      </w:r>
      <w:r>
        <w:rPr>
          <w:rFonts w:cstheme="minorHAnsi"/>
        </w:rPr>
        <w:t>,</w:t>
      </w:r>
      <w:r w:rsidRPr="00B640E1">
        <w:rPr>
          <w:rFonts w:cstheme="minorHAnsi"/>
        </w:rPr>
        <w:t xml:space="preserve"> and the process to write off debt for </w:t>
      </w:r>
      <w:r>
        <w:rPr>
          <w:rFonts w:cstheme="minorHAnsi"/>
        </w:rPr>
        <w:t xml:space="preserve">unpaid </w:t>
      </w:r>
      <w:r w:rsidRPr="00B640E1">
        <w:rPr>
          <w:rFonts w:cstheme="minorHAnsi"/>
        </w:rPr>
        <w:t>infringements.</w:t>
      </w:r>
    </w:p>
    <w:p w14:paraId="184955B9" w14:textId="77777777" w:rsidR="003D65FF" w:rsidRPr="00832CA2" w:rsidRDefault="003D65FF" w:rsidP="000F57AB">
      <w:pPr>
        <w:spacing w:before="200" w:after="0"/>
        <w:rPr>
          <w:b/>
          <w:sz w:val="28"/>
          <w:szCs w:val="28"/>
          <w:lang w:val="en-US"/>
        </w:rPr>
      </w:pPr>
      <w:r w:rsidRPr="00832CA2">
        <w:rPr>
          <w:b/>
          <w:sz w:val="28"/>
          <w:szCs w:val="28"/>
          <w:lang w:val="en-US"/>
        </w:rPr>
        <w:t>Policy Scope</w:t>
      </w:r>
    </w:p>
    <w:p w14:paraId="506A6A01" w14:textId="77777777" w:rsidR="003D65FF" w:rsidRPr="00B640E1" w:rsidRDefault="003D65FF" w:rsidP="000F57AB">
      <w:pPr>
        <w:spacing w:after="0" w:line="240" w:lineRule="auto"/>
        <w:jc w:val="both"/>
        <w:rPr>
          <w:rFonts w:cstheme="minorHAnsi"/>
        </w:rPr>
      </w:pPr>
      <w:r w:rsidRPr="00B640E1">
        <w:rPr>
          <w:rFonts w:cstheme="minorHAnsi"/>
        </w:rPr>
        <w:t>This Policy applies to all infringements issued by the Town of East Fremantle under delegated State Government legislation and the Town’s Local Laws. Council is committed to ensure that enforcement is carried out in the public interest and is transparent, fair, efficient and consistent.</w:t>
      </w:r>
    </w:p>
    <w:p w14:paraId="1D71935D" w14:textId="77777777" w:rsidR="003D65FF" w:rsidRPr="00832CA2" w:rsidRDefault="003D65FF" w:rsidP="000F57AB">
      <w:pPr>
        <w:spacing w:before="200" w:after="60"/>
        <w:rPr>
          <w:b/>
          <w:sz w:val="28"/>
          <w:szCs w:val="28"/>
          <w:lang w:val="en-US"/>
        </w:rPr>
      </w:pPr>
      <w:r w:rsidRPr="00832CA2">
        <w:rPr>
          <w:b/>
          <w:sz w:val="28"/>
          <w:szCs w:val="28"/>
          <w:lang w:val="en-US"/>
        </w:rPr>
        <w:t xml:space="preserve">Policy </w:t>
      </w:r>
    </w:p>
    <w:p w14:paraId="292F18F3" w14:textId="77777777" w:rsidR="003D65FF" w:rsidRPr="00832CA2" w:rsidRDefault="003D65FF" w:rsidP="000F57AB">
      <w:pPr>
        <w:spacing w:after="0" w:line="240" w:lineRule="auto"/>
        <w:jc w:val="both"/>
        <w:rPr>
          <w:rFonts w:cstheme="minorHAnsi"/>
          <w:b/>
          <w:lang w:val="en-US"/>
        </w:rPr>
      </w:pPr>
      <w:r w:rsidRPr="00832CA2">
        <w:rPr>
          <w:rFonts w:cstheme="minorHAnsi"/>
          <w:b/>
          <w:lang w:val="en-US"/>
        </w:rPr>
        <w:t>Infringement Notice Process</w:t>
      </w:r>
    </w:p>
    <w:p w14:paraId="0EDCE4AB" w14:textId="77777777" w:rsidR="003D65FF" w:rsidRDefault="003D65FF" w:rsidP="000F57AB">
      <w:pPr>
        <w:spacing w:after="0"/>
        <w:rPr>
          <w:lang w:val="en-US"/>
        </w:rPr>
      </w:pPr>
      <w:r w:rsidRPr="00B640E1">
        <w:rPr>
          <w:lang w:val="en-US"/>
        </w:rPr>
        <w:t xml:space="preserve">Infringement notice is issued - 28 days to pay. </w:t>
      </w:r>
    </w:p>
    <w:p w14:paraId="4B3D250D" w14:textId="77777777" w:rsidR="003D65FF" w:rsidRDefault="003D65FF" w:rsidP="000F57AB">
      <w:pPr>
        <w:spacing w:after="0"/>
        <w:rPr>
          <w:lang w:val="en-US"/>
        </w:rPr>
      </w:pPr>
      <w:r>
        <w:rPr>
          <w:lang w:val="en-US"/>
        </w:rPr>
        <w:t>Registration is submitted after 28 days to obtain ownership details to the Department of Transport (obtaining ownership details).</w:t>
      </w:r>
    </w:p>
    <w:p w14:paraId="03C32EA8" w14:textId="77777777" w:rsidR="003D65FF" w:rsidRPr="00B640E1" w:rsidRDefault="003D65FF" w:rsidP="000F57AB">
      <w:pPr>
        <w:rPr>
          <w:b/>
          <w:bCs/>
          <w:lang w:val="en-US"/>
        </w:rPr>
      </w:pPr>
      <w:r>
        <w:rPr>
          <w:lang w:val="en-US"/>
        </w:rPr>
        <w:t>Issuance</w:t>
      </w:r>
      <w:r w:rsidRPr="00B640E1">
        <w:rPr>
          <w:lang w:val="en-US"/>
        </w:rPr>
        <w:t xml:space="preserve"> of a Final </w:t>
      </w:r>
      <w:r>
        <w:rPr>
          <w:lang w:val="en-US"/>
        </w:rPr>
        <w:t>Demand</w:t>
      </w:r>
      <w:r w:rsidRPr="00B640E1">
        <w:rPr>
          <w:lang w:val="en-US"/>
        </w:rPr>
        <w:t xml:space="preserve"> - </w:t>
      </w:r>
      <w:r>
        <w:rPr>
          <w:lang w:val="en-US"/>
        </w:rPr>
        <w:t>28</w:t>
      </w:r>
      <w:r w:rsidRPr="00B640E1">
        <w:rPr>
          <w:lang w:val="en-US"/>
        </w:rPr>
        <w:t xml:space="preserve"> days to pay. </w:t>
      </w:r>
    </w:p>
    <w:p w14:paraId="71E188B8" w14:textId="77777777" w:rsidR="003D65FF" w:rsidRDefault="003D65FF" w:rsidP="000F57AB">
      <w:pPr>
        <w:spacing w:line="240" w:lineRule="auto"/>
        <w:jc w:val="both"/>
        <w:rPr>
          <w:rFonts w:cstheme="minorHAnsi"/>
        </w:rPr>
      </w:pPr>
      <w:r>
        <w:rPr>
          <w:rFonts w:cstheme="minorHAnsi"/>
        </w:rPr>
        <w:t xml:space="preserve">Appeals need to be lodged within 28-days of the infringement notice being issued. The due date will not be amended irrespective of the appeal being received. Appeals received after the </w:t>
      </w:r>
      <w:proofErr w:type="gramStart"/>
      <w:r>
        <w:rPr>
          <w:rFonts w:cstheme="minorHAnsi"/>
        </w:rPr>
        <w:t>28 day</w:t>
      </w:r>
      <w:proofErr w:type="gramEnd"/>
      <w:r>
        <w:rPr>
          <w:rFonts w:cstheme="minorHAnsi"/>
        </w:rPr>
        <w:t xml:space="preserve"> period will not be considered unless under exceptional circumstances.</w:t>
      </w:r>
    </w:p>
    <w:p w14:paraId="7446E2B1" w14:textId="77777777" w:rsidR="003D65FF" w:rsidRDefault="003D65FF" w:rsidP="000F57AB">
      <w:pPr>
        <w:spacing w:line="240" w:lineRule="auto"/>
        <w:jc w:val="both"/>
        <w:rPr>
          <w:rFonts w:cstheme="minorHAnsi"/>
        </w:rPr>
      </w:pPr>
      <w:r w:rsidRPr="00B640E1">
        <w:rPr>
          <w:rFonts w:cstheme="minorHAnsi"/>
        </w:rPr>
        <w:t>Unpaid Infringement Notices will be forwarded to the Fines Enforcement Registry</w:t>
      </w:r>
      <w:r>
        <w:rPr>
          <w:rFonts w:cstheme="minorHAnsi"/>
        </w:rPr>
        <w:t xml:space="preserve"> (FER)</w:t>
      </w:r>
      <w:r w:rsidRPr="00B640E1">
        <w:rPr>
          <w:rFonts w:cstheme="minorHAnsi"/>
        </w:rPr>
        <w:t xml:space="preserve"> to recover the outstanding infringement following the non-payment of a Final </w:t>
      </w:r>
      <w:r>
        <w:rPr>
          <w:rFonts w:cstheme="minorHAnsi"/>
        </w:rPr>
        <w:t>Demand</w:t>
      </w:r>
      <w:r w:rsidRPr="00B640E1">
        <w:rPr>
          <w:rFonts w:cstheme="minorHAnsi"/>
        </w:rPr>
        <w:t xml:space="preserve">. </w:t>
      </w:r>
    </w:p>
    <w:p w14:paraId="5E739736" w14:textId="77777777" w:rsidR="003D65FF" w:rsidRDefault="003D65FF" w:rsidP="000F57AB">
      <w:pPr>
        <w:spacing w:line="240" w:lineRule="auto"/>
        <w:jc w:val="both"/>
        <w:rPr>
          <w:rFonts w:cstheme="minorHAnsi"/>
        </w:rPr>
      </w:pPr>
      <w:r>
        <w:rPr>
          <w:rFonts w:cstheme="minorHAnsi"/>
        </w:rPr>
        <w:t>The Senior Ranger is to review and authorise those infringements being referred to FER.</w:t>
      </w:r>
    </w:p>
    <w:p w14:paraId="137CD6A6" w14:textId="77777777" w:rsidR="003D65FF" w:rsidRPr="00A9373D" w:rsidRDefault="003D65FF" w:rsidP="000F57AB">
      <w:pPr>
        <w:spacing w:before="200" w:after="0" w:line="240" w:lineRule="auto"/>
        <w:jc w:val="both"/>
        <w:rPr>
          <w:rFonts w:cstheme="minorHAnsi"/>
          <w:b/>
          <w:color w:val="000000" w:themeColor="text1"/>
          <w:lang w:val="en-US"/>
        </w:rPr>
      </w:pPr>
      <w:r w:rsidRPr="00A9373D">
        <w:rPr>
          <w:rFonts w:cstheme="minorHAnsi"/>
          <w:b/>
          <w:color w:val="000000" w:themeColor="text1"/>
          <w:lang w:val="en-US"/>
        </w:rPr>
        <w:t xml:space="preserve">Fines Enforcement Registry </w:t>
      </w:r>
      <w:r>
        <w:rPr>
          <w:rFonts w:cstheme="minorHAnsi"/>
          <w:b/>
          <w:color w:val="000000" w:themeColor="text1"/>
          <w:lang w:val="en-US"/>
        </w:rPr>
        <w:t>(FER)</w:t>
      </w:r>
    </w:p>
    <w:p w14:paraId="37436497" w14:textId="77777777" w:rsidR="003D65FF" w:rsidRDefault="003D65FF" w:rsidP="000F57AB">
      <w:pPr>
        <w:spacing w:line="240" w:lineRule="auto"/>
        <w:jc w:val="both"/>
        <w:rPr>
          <w:rFonts w:cstheme="minorHAnsi"/>
          <w:color w:val="000000" w:themeColor="text1"/>
          <w:lang w:val="en-US"/>
        </w:rPr>
      </w:pPr>
      <w:r w:rsidRPr="00B640E1">
        <w:rPr>
          <w:rFonts w:cstheme="minorHAnsi"/>
          <w:color w:val="000000" w:themeColor="text1"/>
          <w:lang w:val="en-US"/>
        </w:rPr>
        <w:t xml:space="preserve">Amounts that remain outstanding past the prescribed due date of the </w:t>
      </w:r>
      <w:r>
        <w:rPr>
          <w:rFonts w:cstheme="minorHAnsi"/>
          <w:color w:val="000000" w:themeColor="text1"/>
          <w:lang w:val="en-US"/>
        </w:rPr>
        <w:t>Final Demand</w:t>
      </w:r>
      <w:r w:rsidRPr="00B640E1">
        <w:rPr>
          <w:rFonts w:cstheme="minorHAnsi"/>
          <w:color w:val="000000" w:themeColor="text1"/>
          <w:lang w:val="en-US"/>
        </w:rPr>
        <w:t xml:space="preserve"> </w:t>
      </w:r>
      <w:r>
        <w:rPr>
          <w:rFonts w:cstheme="minorHAnsi"/>
          <w:color w:val="000000" w:themeColor="text1"/>
          <w:lang w:val="en-US"/>
        </w:rPr>
        <w:t>w</w:t>
      </w:r>
      <w:r w:rsidRPr="00B640E1">
        <w:rPr>
          <w:rFonts w:cstheme="minorHAnsi"/>
          <w:color w:val="000000" w:themeColor="text1"/>
          <w:lang w:val="en-US"/>
        </w:rPr>
        <w:t xml:space="preserve">ill be referred to the Fines Enforcement Registry </w:t>
      </w:r>
      <w:r>
        <w:rPr>
          <w:rFonts w:cstheme="minorHAnsi"/>
          <w:color w:val="000000" w:themeColor="text1"/>
          <w:lang w:val="en-US"/>
        </w:rPr>
        <w:t xml:space="preserve">resulting in </w:t>
      </w:r>
      <w:r w:rsidRPr="00B640E1">
        <w:rPr>
          <w:rFonts w:cstheme="minorHAnsi"/>
          <w:color w:val="000000" w:themeColor="text1"/>
          <w:lang w:val="en-US"/>
        </w:rPr>
        <w:t xml:space="preserve">additional fees and charges. </w:t>
      </w:r>
    </w:p>
    <w:p w14:paraId="2F76B6DE" w14:textId="77777777" w:rsidR="003D65FF" w:rsidRDefault="003D65FF" w:rsidP="000F57AB">
      <w:pPr>
        <w:spacing w:line="240" w:lineRule="auto"/>
        <w:jc w:val="both"/>
        <w:rPr>
          <w:rFonts w:cstheme="minorHAnsi"/>
          <w:color w:val="000000" w:themeColor="text1"/>
          <w:lang w:val="en-US"/>
        </w:rPr>
      </w:pPr>
      <w:r w:rsidRPr="00B640E1">
        <w:rPr>
          <w:rFonts w:cstheme="minorHAnsi"/>
          <w:color w:val="000000" w:themeColor="text1"/>
          <w:lang w:val="en-US"/>
        </w:rPr>
        <w:t xml:space="preserve">The debt will remain active with </w:t>
      </w:r>
      <w:r>
        <w:rPr>
          <w:rFonts w:cstheme="minorHAnsi"/>
          <w:color w:val="000000" w:themeColor="text1"/>
          <w:lang w:val="en-US"/>
        </w:rPr>
        <w:t xml:space="preserve">the </w:t>
      </w:r>
      <w:r w:rsidRPr="00B640E1">
        <w:rPr>
          <w:rFonts w:cstheme="minorHAnsi"/>
          <w:color w:val="000000" w:themeColor="text1"/>
          <w:lang w:val="en-US"/>
        </w:rPr>
        <w:t>Fines Enforcement</w:t>
      </w:r>
      <w:r>
        <w:rPr>
          <w:rFonts w:cstheme="minorHAnsi"/>
          <w:color w:val="000000" w:themeColor="text1"/>
          <w:lang w:val="en-US"/>
        </w:rPr>
        <w:t xml:space="preserve"> Registry</w:t>
      </w:r>
      <w:r w:rsidRPr="00B640E1">
        <w:rPr>
          <w:rFonts w:cstheme="minorHAnsi"/>
          <w:color w:val="000000" w:themeColor="text1"/>
          <w:lang w:val="en-US"/>
        </w:rPr>
        <w:t xml:space="preserve"> for a period of </w:t>
      </w:r>
      <w:r>
        <w:rPr>
          <w:rFonts w:cstheme="minorHAnsi"/>
          <w:color w:val="000000" w:themeColor="text1"/>
          <w:lang w:val="en-US"/>
        </w:rPr>
        <w:t xml:space="preserve">eight </w:t>
      </w:r>
      <w:r w:rsidRPr="00B640E1">
        <w:rPr>
          <w:rFonts w:cstheme="minorHAnsi"/>
          <w:color w:val="000000" w:themeColor="text1"/>
          <w:lang w:val="en-US"/>
        </w:rPr>
        <w:t>(</w:t>
      </w:r>
      <w:r>
        <w:rPr>
          <w:rFonts w:cstheme="minorHAnsi"/>
          <w:color w:val="000000" w:themeColor="text1"/>
          <w:lang w:val="en-US"/>
        </w:rPr>
        <w:t>8</w:t>
      </w:r>
      <w:r w:rsidRPr="00B640E1">
        <w:rPr>
          <w:rFonts w:cstheme="minorHAnsi"/>
          <w:color w:val="000000" w:themeColor="text1"/>
          <w:lang w:val="en-US"/>
        </w:rPr>
        <w:t>) years</w:t>
      </w:r>
      <w:r>
        <w:rPr>
          <w:rFonts w:cstheme="minorHAnsi"/>
          <w:color w:val="000000" w:themeColor="text1"/>
          <w:lang w:val="en-US"/>
        </w:rPr>
        <w:t xml:space="preserve"> until paid or recommended for write-off by them (quarterly reports)</w:t>
      </w:r>
      <w:r w:rsidRPr="00B640E1">
        <w:rPr>
          <w:rFonts w:cstheme="minorHAnsi"/>
          <w:color w:val="000000" w:themeColor="text1"/>
          <w:lang w:val="en-US"/>
        </w:rPr>
        <w:t xml:space="preserve">, after which it will </w:t>
      </w:r>
      <w:r>
        <w:rPr>
          <w:rFonts w:cstheme="minorHAnsi"/>
          <w:color w:val="000000" w:themeColor="text1"/>
          <w:lang w:val="en-US"/>
        </w:rPr>
        <w:t>be written off under delegated authority.</w:t>
      </w:r>
    </w:p>
    <w:p w14:paraId="78523D75" w14:textId="77777777" w:rsidR="003D65FF" w:rsidRDefault="003D65FF" w:rsidP="000F57AB">
      <w:pPr>
        <w:spacing w:line="240" w:lineRule="auto"/>
        <w:jc w:val="both"/>
        <w:rPr>
          <w:rFonts w:cstheme="minorHAnsi"/>
          <w:color w:val="000000" w:themeColor="text1"/>
          <w:lang w:val="en-US"/>
        </w:rPr>
      </w:pPr>
      <w:r>
        <w:rPr>
          <w:rFonts w:cstheme="minorHAnsi"/>
          <w:color w:val="000000" w:themeColor="text1"/>
          <w:lang w:val="en-US"/>
        </w:rPr>
        <w:t xml:space="preserve">Infringements written off are to be withdrawn from FER via the </w:t>
      </w:r>
      <w:proofErr w:type="spellStart"/>
      <w:r>
        <w:rPr>
          <w:rFonts w:cstheme="minorHAnsi"/>
          <w:color w:val="000000" w:themeColor="text1"/>
          <w:lang w:val="en-US"/>
        </w:rPr>
        <w:t>eCourts</w:t>
      </w:r>
      <w:proofErr w:type="spellEnd"/>
      <w:r>
        <w:rPr>
          <w:rFonts w:cstheme="minorHAnsi"/>
          <w:color w:val="000000" w:themeColor="text1"/>
          <w:lang w:val="en-US"/>
        </w:rPr>
        <w:t xml:space="preserve"> portal.</w:t>
      </w:r>
    </w:p>
    <w:p w14:paraId="060CB768" w14:textId="77777777" w:rsidR="003D65FF" w:rsidRDefault="003D65FF" w:rsidP="000F57AB">
      <w:pPr>
        <w:tabs>
          <w:tab w:val="left" w:pos="426"/>
        </w:tabs>
        <w:spacing w:after="0"/>
        <w:rPr>
          <w:rFonts w:cstheme="minorHAnsi"/>
        </w:rPr>
      </w:pPr>
      <w:r w:rsidRPr="000858D8">
        <w:rPr>
          <w:rFonts w:cstheme="minorHAnsi"/>
          <w:b/>
        </w:rPr>
        <w:t>Interstate</w:t>
      </w:r>
      <w:r>
        <w:rPr>
          <w:rFonts w:cstheme="minorHAnsi"/>
          <w:b/>
        </w:rPr>
        <w:t>/</w:t>
      </w:r>
      <w:r w:rsidRPr="000858D8">
        <w:rPr>
          <w:rFonts w:cstheme="minorHAnsi"/>
          <w:b/>
        </w:rPr>
        <w:t xml:space="preserve"> International </w:t>
      </w:r>
      <w:r>
        <w:rPr>
          <w:rFonts w:cstheme="minorHAnsi"/>
          <w:b/>
        </w:rPr>
        <w:t>Drivers</w:t>
      </w:r>
      <w:r w:rsidRPr="000858D8">
        <w:rPr>
          <w:rFonts w:cstheme="minorHAnsi"/>
          <w:b/>
        </w:rPr>
        <w:t xml:space="preserve"> </w:t>
      </w:r>
      <w:r>
        <w:rPr>
          <w:rFonts w:cstheme="minorHAnsi"/>
          <w:b/>
        </w:rPr>
        <w:t>&amp; Infringements with no Ownership detail</w:t>
      </w:r>
    </w:p>
    <w:p w14:paraId="30E4B4AC" w14:textId="77777777" w:rsidR="003D65FF" w:rsidRDefault="003D65FF" w:rsidP="00EE18C2">
      <w:pPr>
        <w:tabs>
          <w:tab w:val="left" w:pos="426"/>
        </w:tabs>
        <w:spacing w:line="240" w:lineRule="auto"/>
        <w:jc w:val="both"/>
        <w:rPr>
          <w:rFonts w:cstheme="minorHAnsi"/>
        </w:rPr>
      </w:pPr>
      <w:r>
        <w:rPr>
          <w:rFonts w:cstheme="minorHAnsi"/>
        </w:rPr>
        <w:t xml:space="preserve">Where ownership details are unable to be obtained from the Department of Transport and the reasoning is confirmed as an interstate registration, the infringement status will be updated to reflect ‘Interstate Rego’. </w:t>
      </w:r>
    </w:p>
    <w:p w14:paraId="50F4048C" w14:textId="77777777" w:rsidR="003D65FF" w:rsidRDefault="003D65FF" w:rsidP="000F57AB">
      <w:pPr>
        <w:tabs>
          <w:tab w:val="left" w:pos="426"/>
        </w:tabs>
        <w:jc w:val="both"/>
        <w:rPr>
          <w:rFonts w:cstheme="minorHAnsi"/>
        </w:rPr>
      </w:pPr>
      <w:r>
        <w:rPr>
          <w:rFonts w:cstheme="minorHAnsi"/>
        </w:rPr>
        <w:lastRenderedPageBreak/>
        <w:t>Infringements where ownership detail is unable to be obtained (unregistered vehicles or illegal plates, etc) are to have a status reflecting ‘Action Deferred’.</w:t>
      </w:r>
    </w:p>
    <w:p w14:paraId="3C5F5570" w14:textId="77777777" w:rsidR="003D65FF" w:rsidRPr="00CD26F7" w:rsidRDefault="003D65FF" w:rsidP="000F57AB">
      <w:pPr>
        <w:spacing w:after="0" w:line="240" w:lineRule="auto"/>
        <w:jc w:val="both"/>
        <w:rPr>
          <w:rFonts w:cstheme="minorHAnsi"/>
          <w:b/>
          <w:color w:val="000000" w:themeColor="text1"/>
          <w:lang w:val="en-US"/>
        </w:rPr>
      </w:pPr>
      <w:r w:rsidRPr="00CD26F7">
        <w:rPr>
          <w:rFonts w:cstheme="minorHAnsi"/>
          <w:b/>
          <w:color w:val="000000" w:themeColor="text1"/>
          <w:lang w:val="en-US"/>
        </w:rPr>
        <w:t xml:space="preserve">Management Reporting </w:t>
      </w:r>
    </w:p>
    <w:p w14:paraId="305D76B7" w14:textId="77777777" w:rsidR="003D65FF" w:rsidRDefault="003D65FF" w:rsidP="000F57AB">
      <w:pPr>
        <w:spacing w:after="0" w:line="240" w:lineRule="auto"/>
        <w:jc w:val="both"/>
        <w:rPr>
          <w:rFonts w:cstheme="minorHAnsi"/>
          <w:color w:val="000000" w:themeColor="text1"/>
          <w:lang w:val="en-US"/>
        </w:rPr>
      </w:pPr>
      <w:r>
        <w:rPr>
          <w:rFonts w:cstheme="minorHAnsi"/>
          <w:color w:val="000000" w:themeColor="text1"/>
          <w:lang w:val="en-US"/>
        </w:rPr>
        <w:t>The monthly financial report to council is to include the balance of Infringements receivable.</w:t>
      </w:r>
    </w:p>
    <w:p w14:paraId="0CA019D5" w14:textId="77777777" w:rsidR="003D65FF" w:rsidRDefault="003D65FF" w:rsidP="000F57AB">
      <w:pPr>
        <w:spacing w:after="0" w:line="240" w:lineRule="auto"/>
        <w:jc w:val="both"/>
        <w:rPr>
          <w:rFonts w:cstheme="minorHAnsi"/>
          <w:color w:val="000000" w:themeColor="text1"/>
          <w:lang w:val="en-US"/>
        </w:rPr>
      </w:pPr>
    </w:p>
    <w:p w14:paraId="750BC190" w14:textId="77777777" w:rsidR="003D65FF" w:rsidRPr="00CD26F7" w:rsidRDefault="003D65FF" w:rsidP="000F57AB">
      <w:pPr>
        <w:jc w:val="both"/>
        <w:rPr>
          <w:color w:val="000000" w:themeColor="text1"/>
          <w:lang w:val="en-US"/>
        </w:rPr>
      </w:pPr>
      <w:r>
        <w:rPr>
          <w:color w:val="000000" w:themeColor="text1"/>
          <w:lang w:val="en-US"/>
        </w:rPr>
        <w:t xml:space="preserve">Infringements written off in the preceding financial year by the Chief Executive Officer under delegation will be referred to Council for information advising the amount written off and reasoning. </w:t>
      </w:r>
    </w:p>
    <w:p w14:paraId="5F0DB290" w14:textId="77777777" w:rsidR="003D65FF" w:rsidRPr="00A9373D" w:rsidRDefault="003D65FF" w:rsidP="000F57AB">
      <w:pPr>
        <w:spacing w:before="200" w:after="0"/>
        <w:jc w:val="both"/>
        <w:rPr>
          <w:rFonts w:cstheme="minorHAnsi"/>
          <w:b/>
        </w:rPr>
      </w:pPr>
      <w:r>
        <w:rPr>
          <w:rFonts w:cstheme="minorHAnsi"/>
          <w:b/>
        </w:rPr>
        <w:t>Financial Hardship</w:t>
      </w:r>
    </w:p>
    <w:p w14:paraId="2B8824E4" w14:textId="77777777" w:rsidR="003D65FF" w:rsidRPr="00B640E1" w:rsidRDefault="003D65FF" w:rsidP="003D65FF">
      <w:pPr>
        <w:numPr>
          <w:ilvl w:val="0"/>
          <w:numId w:val="49"/>
        </w:numPr>
        <w:spacing w:after="60" w:line="240" w:lineRule="auto"/>
        <w:ind w:left="425" w:hanging="425"/>
        <w:jc w:val="both"/>
        <w:rPr>
          <w:rFonts w:cstheme="minorHAnsi"/>
        </w:rPr>
      </w:pPr>
      <w:r w:rsidRPr="00B640E1">
        <w:rPr>
          <w:rFonts w:cstheme="minorHAnsi"/>
        </w:rPr>
        <w:t>Financial hardship is not a ground for review.</w:t>
      </w:r>
    </w:p>
    <w:p w14:paraId="20FC0BDB" w14:textId="77777777" w:rsidR="003D65FF" w:rsidRPr="00B640E1" w:rsidRDefault="003D65FF" w:rsidP="003D65FF">
      <w:pPr>
        <w:numPr>
          <w:ilvl w:val="0"/>
          <w:numId w:val="49"/>
        </w:numPr>
        <w:spacing w:after="60" w:line="240" w:lineRule="auto"/>
        <w:ind w:left="425" w:hanging="425"/>
        <w:jc w:val="both"/>
        <w:rPr>
          <w:rFonts w:cstheme="minorHAnsi"/>
        </w:rPr>
      </w:pPr>
      <w:r w:rsidRPr="00B640E1">
        <w:rPr>
          <w:rFonts w:cstheme="minorHAnsi"/>
        </w:rPr>
        <w:t>Where a person is experiencing financial hardship and is unable to pay their outstanding infringement, the Town may assist the applicant, where applicable, to negotiate a payment plan.</w:t>
      </w:r>
    </w:p>
    <w:p w14:paraId="005F9FE9" w14:textId="77777777" w:rsidR="003D65FF" w:rsidRPr="00B640E1" w:rsidRDefault="003D65FF" w:rsidP="003D65FF">
      <w:pPr>
        <w:numPr>
          <w:ilvl w:val="0"/>
          <w:numId w:val="49"/>
        </w:numPr>
        <w:spacing w:after="60" w:line="240" w:lineRule="auto"/>
        <w:ind w:left="425" w:hanging="425"/>
        <w:jc w:val="both"/>
        <w:rPr>
          <w:rFonts w:cstheme="minorHAnsi"/>
        </w:rPr>
      </w:pPr>
      <w:r w:rsidRPr="00B640E1">
        <w:rPr>
          <w:rFonts w:cstheme="minorHAnsi"/>
        </w:rPr>
        <w:t xml:space="preserve">To be eligible for a payment plan, the </w:t>
      </w:r>
      <w:r>
        <w:rPr>
          <w:rFonts w:cstheme="minorHAnsi"/>
        </w:rPr>
        <w:t>infringement</w:t>
      </w:r>
      <w:r w:rsidRPr="00B640E1">
        <w:rPr>
          <w:rFonts w:cstheme="minorHAnsi"/>
        </w:rPr>
        <w:t xml:space="preserve"> must not have been referred to</w:t>
      </w:r>
      <w:r>
        <w:rPr>
          <w:rFonts w:cstheme="minorHAnsi"/>
        </w:rPr>
        <w:t xml:space="preserve"> the </w:t>
      </w:r>
      <w:r w:rsidRPr="00B640E1">
        <w:rPr>
          <w:rFonts w:cstheme="minorHAnsi"/>
        </w:rPr>
        <w:t xml:space="preserve">Fines </w:t>
      </w:r>
      <w:r>
        <w:rPr>
          <w:rFonts w:cstheme="minorHAnsi"/>
        </w:rPr>
        <w:t>E</w:t>
      </w:r>
      <w:r w:rsidRPr="00B640E1">
        <w:rPr>
          <w:rFonts w:cstheme="minorHAnsi"/>
        </w:rPr>
        <w:t>nforcement</w:t>
      </w:r>
      <w:r>
        <w:rPr>
          <w:rFonts w:cstheme="minorHAnsi"/>
        </w:rPr>
        <w:t xml:space="preserve"> Registry</w:t>
      </w:r>
      <w:r w:rsidRPr="00B640E1">
        <w:rPr>
          <w:rFonts w:cstheme="minorHAnsi"/>
        </w:rPr>
        <w:t>.</w:t>
      </w:r>
    </w:p>
    <w:p w14:paraId="6F866ED4" w14:textId="77777777" w:rsidR="003D65FF" w:rsidRPr="00B640E1" w:rsidRDefault="003D65FF" w:rsidP="003D65FF">
      <w:pPr>
        <w:numPr>
          <w:ilvl w:val="0"/>
          <w:numId w:val="49"/>
        </w:numPr>
        <w:spacing w:after="60" w:line="240" w:lineRule="auto"/>
        <w:ind w:left="425" w:hanging="425"/>
        <w:jc w:val="both"/>
        <w:rPr>
          <w:rFonts w:cstheme="minorHAnsi"/>
        </w:rPr>
      </w:pPr>
      <w:r w:rsidRPr="00B640E1">
        <w:rPr>
          <w:rFonts w:cstheme="minorHAnsi"/>
        </w:rPr>
        <w:t>If the payment plan is requested after the fine has been registered with FER, the applicant will be</w:t>
      </w:r>
      <w:r>
        <w:rPr>
          <w:rFonts w:cstheme="minorHAnsi"/>
        </w:rPr>
        <w:t xml:space="preserve"> able to </w:t>
      </w:r>
      <w:proofErr w:type="gramStart"/>
      <w:r>
        <w:rPr>
          <w:rFonts w:cstheme="minorHAnsi"/>
        </w:rPr>
        <w:t>enter into</w:t>
      </w:r>
      <w:proofErr w:type="gramEnd"/>
      <w:r>
        <w:rPr>
          <w:rFonts w:cstheme="minorHAnsi"/>
        </w:rPr>
        <w:t xml:space="preserve"> an arrangement with FER directly.</w:t>
      </w:r>
    </w:p>
    <w:p w14:paraId="1356BC45" w14:textId="77777777" w:rsidR="003D65FF" w:rsidRPr="00B640E1" w:rsidRDefault="003D65FF" w:rsidP="003D65FF">
      <w:pPr>
        <w:numPr>
          <w:ilvl w:val="0"/>
          <w:numId w:val="49"/>
        </w:numPr>
        <w:spacing w:after="0" w:line="240" w:lineRule="auto"/>
        <w:ind w:left="426" w:hanging="426"/>
        <w:jc w:val="both"/>
        <w:rPr>
          <w:rFonts w:cstheme="minorHAnsi"/>
        </w:rPr>
      </w:pPr>
      <w:r w:rsidRPr="00B640E1">
        <w:rPr>
          <w:rFonts w:cstheme="minorHAnsi"/>
        </w:rPr>
        <w:t xml:space="preserve">The payment plan must not include more than </w:t>
      </w:r>
      <w:r>
        <w:rPr>
          <w:rFonts w:cstheme="minorHAnsi"/>
        </w:rPr>
        <w:t>4</w:t>
      </w:r>
      <w:r w:rsidRPr="00B640E1">
        <w:rPr>
          <w:rFonts w:cstheme="minorHAnsi"/>
        </w:rPr>
        <w:t xml:space="preserve"> payments and </w:t>
      </w:r>
      <w:r>
        <w:rPr>
          <w:rFonts w:cstheme="minorHAnsi"/>
        </w:rPr>
        <w:t xml:space="preserve">be </w:t>
      </w:r>
      <w:r w:rsidRPr="00B640E1">
        <w:rPr>
          <w:rFonts w:cstheme="minorHAnsi"/>
        </w:rPr>
        <w:t xml:space="preserve">paid in full within 90 days of the date of </w:t>
      </w:r>
      <w:r>
        <w:rPr>
          <w:rFonts w:cstheme="minorHAnsi"/>
        </w:rPr>
        <w:t>Final Demand</w:t>
      </w:r>
      <w:r w:rsidRPr="00B640E1">
        <w:rPr>
          <w:rFonts w:cstheme="minorHAnsi"/>
        </w:rPr>
        <w:t>.</w:t>
      </w:r>
    </w:p>
    <w:p w14:paraId="018171AC" w14:textId="77777777" w:rsidR="003D65FF" w:rsidRDefault="003D65FF" w:rsidP="000F57AB">
      <w:pPr>
        <w:spacing w:before="200" w:after="0" w:line="240" w:lineRule="auto"/>
        <w:jc w:val="both"/>
        <w:rPr>
          <w:rFonts w:cstheme="minorHAnsi"/>
          <w:lang w:val="en-US"/>
        </w:rPr>
      </w:pPr>
      <w:r w:rsidRPr="00B640E1">
        <w:rPr>
          <w:rFonts w:cstheme="minorHAnsi"/>
          <w:lang w:val="en-US"/>
        </w:rPr>
        <w:t xml:space="preserve">Each payment arrangement requires the approval </w:t>
      </w:r>
      <w:r>
        <w:rPr>
          <w:rFonts w:cstheme="minorHAnsi"/>
          <w:lang w:val="en-US"/>
        </w:rPr>
        <w:t>in accordance with the Delegation 1.3.9</w:t>
      </w:r>
    </w:p>
    <w:p w14:paraId="5DF2755A" w14:textId="77777777" w:rsidR="003D65FF" w:rsidRPr="00A9373D" w:rsidRDefault="003D65FF" w:rsidP="000F57AB">
      <w:pPr>
        <w:spacing w:before="200" w:after="0" w:line="240" w:lineRule="auto"/>
        <w:jc w:val="both"/>
        <w:rPr>
          <w:rFonts w:cstheme="minorHAnsi"/>
          <w:b/>
          <w:color w:val="000000" w:themeColor="text1"/>
          <w:lang w:val="en-US"/>
        </w:rPr>
      </w:pPr>
      <w:r w:rsidRPr="00A9373D">
        <w:rPr>
          <w:rFonts w:cstheme="minorHAnsi"/>
          <w:b/>
          <w:color w:val="000000" w:themeColor="text1"/>
          <w:lang w:val="en-US"/>
        </w:rPr>
        <w:t xml:space="preserve">Roles and Responsibilities </w:t>
      </w:r>
    </w:p>
    <w:p w14:paraId="398CDB6F" w14:textId="77777777" w:rsidR="003D65FF" w:rsidRPr="00B640E1" w:rsidRDefault="003D65FF" w:rsidP="003D65FF">
      <w:pPr>
        <w:pStyle w:val="ListParagraph"/>
        <w:numPr>
          <w:ilvl w:val="0"/>
          <w:numId w:val="39"/>
        </w:numPr>
        <w:spacing w:after="60" w:line="240" w:lineRule="auto"/>
        <w:ind w:left="284" w:hanging="284"/>
        <w:contextualSpacing w:val="0"/>
        <w:jc w:val="both"/>
        <w:rPr>
          <w:rFonts w:cstheme="minorHAnsi"/>
          <w:color w:val="000000" w:themeColor="text1"/>
          <w:lang w:val="en-US"/>
        </w:rPr>
      </w:pPr>
      <w:r w:rsidRPr="00B640E1">
        <w:rPr>
          <w:rFonts w:cstheme="minorHAnsi"/>
          <w:color w:val="000000" w:themeColor="text1"/>
          <w:lang w:val="en-US"/>
        </w:rPr>
        <w:t xml:space="preserve">Ranger Services shall be responsible for the issuance of Infringement Notices </w:t>
      </w:r>
    </w:p>
    <w:p w14:paraId="6BCAF92E" w14:textId="77777777" w:rsidR="003D65FF" w:rsidRPr="00B640E1" w:rsidRDefault="003D65FF" w:rsidP="003D65FF">
      <w:pPr>
        <w:pStyle w:val="ListParagraph"/>
        <w:numPr>
          <w:ilvl w:val="0"/>
          <w:numId w:val="39"/>
        </w:numPr>
        <w:spacing w:after="60" w:line="240" w:lineRule="auto"/>
        <w:ind w:left="284" w:hanging="284"/>
        <w:contextualSpacing w:val="0"/>
        <w:jc w:val="both"/>
        <w:rPr>
          <w:rFonts w:cstheme="minorHAnsi"/>
          <w:color w:val="000000" w:themeColor="text1"/>
          <w:lang w:val="en-US"/>
        </w:rPr>
      </w:pPr>
      <w:r w:rsidRPr="00B640E1">
        <w:rPr>
          <w:rFonts w:cstheme="minorHAnsi"/>
          <w:color w:val="000000" w:themeColor="text1"/>
          <w:lang w:val="en-US"/>
        </w:rPr>
        <w:t xml:space="preserve">The </w:t>
      </w:r>
      <w:r>
        <w:rPr>
          <w:rFonts w:cstheme="minorHAnsi"/>
          <w:color w:val="000000" w:themeColor="text1"/>
          <w:lang w:val="en-US"/>
        </w:rPr>
        <w:t>Revenue</w:t>
      </w:r>
      <w:r w:rsidRPr="00B640E1">
        <w:rPr>
          <w:rFonts w:cstheme="minorHAnsi"/>
          <w:color w:val="000000" w:themeColor="text1"/>
          <w:lang w:val="en-US"/>
        </w:rPr>
        <w:t xml:space="preserve"> Officer shall be responsible for the</w:t>
      </w:r>
      <w:r>
        <w:rPr>
          <w:rFonts w:cstheme="minorHAnsi"/>
          <w:color w:val="000000" w:themeColor="text1"/>
          <w:lang w:val="en-US"/>
        </w:rPr>
        <w:t xml:space="preserve"> recovery of the Infringements.</w:t>
      </w:r>
    </w:p>
    <w:p w14:paraId="64C63AF7" w14:textId="77777777" w:rsidR="003D65FF" w:rsidRPr="00B640E1" w:rsidRDefault="003D65FF" w:rsidP="003D65FF">
      <w:pPr>
        <w:pStyle w:val="ListParagraph"/>
        <w:numPr>
          <w:ilvl w:val="0"/>
          <w:numId w:val="39"/>
        </w:numPr>
        <w:spacing w:after="60" w:line="240" w:lineRule="auto"/>
        <w:ind w:left="284" w:hanging="284"/>
        <w:contextualSpacing w:val="0"/>
        <w:jc w:val="both"/>
        <w:rPr>
          <w:rFonts w:cstheme="minorHAnsi"/>
          <w:color w:val="000000" w:themeColor="text1"/>
          <w:lang w:val="en-US"/>
        </w:rPr>
      </w:pPr>
      <w:r w:rsidRPr="00B640E1">
        <w:rPr>
          <w:rStyle w:val="text-persondetails-position"/>
          <w:rFonts w:eastAsia="Times New Roman" w:cstheme="minorHAnsi"/>
          <w:color w:val="000000" w:themeColor="text1"/>
          <w:lang w:eastAsia="en-AU"/>
        </w:rPr>
        <w:t xml:space="preserve">The Executive Manager </w:t>
      </w:r>
      <w:r>
        <w:rPr>
          <w:rStyle w:val="text-persondetails-position"/>
          <w:rFonts w:eastAsia="Times New Roman" w:cstheme="minorHAnsi"/>
          <w:color w:val="000000" w:themeColor="text1"/>
          <w:lang w:eastAsia="en-AU"/>
        </w:rPr>
        <w:t xml:space="preserve">Corporate Services </w:t>
      </w:r>
      <w:r w:rsidRPr="00B640E1">
        <w:rPr>
          <w:rFonts w:cstheme="minorHAnsi"/>
          <w:color w:val="000000" w:themeColor="text1"/>
          <w:lang w:val="en-US"/>
        </w:rPr>
        <w:t xml:space="preserve">shall be responsible for referring matters to Council </w:t>
      </w:r>
      <w:proofErr w:type="gramStart"/>
      <w:r w:rsidRPr="00B640E1">
        <w:rPr>
          <w:rFonts w:cstheme="minorHAnsi"/>
          <w:color w:val="000000" w:themeColor="text1"/>
          <w:lang w:val="en-US"/>
        </w:rPr>
        <w:t>in regard to</w:t>
      </w:r>
      <w:proofErr w:type="gramEnd"/>
      <w:r w:rsidRPr="00B640E1">
        <w:rPr>
          <w:rFonts w:cstheme="minorHAnsi"/>
          <w:color w:val="000000" w:themeColor="text1"/>
          <w:lang w:val="en-US"/>
        </w:rPr>
        <w:t xml:space="preserve"> this Policy</w:t>
      </w:r>
      <w:r>
        <w:rPr>
          <w:rFonts w:cstheme="minorHAnsi"/>
          <w:color w:val="000000" w:themeColor="text1"/>
          <w:lang w:val="en-US"/>
        </w:rPr>
        <w:t>.</w:t>
      </w:r>
    </w:p>
    <w:p w14:paraId="23D10D3E" w14:textId="77777777" w:rsidR="003D65FF" w:rsidRPr="00B640E1" w:rsidRDefault="003D65FF" w:rsidP="003D65FF">
      <w:pPr>
        <w:pStyle w:val="ListParagraph"/>
        <w:numPr>
          <w:ilvl w:val="0"/>
          <w:numId w:val="39"/>
        </w:numPr>
        <w:spacing w:after="60" w:line="240" w:lineRule="auto"/>
        <w:ind w:left="284" w:hanging="284"/>
        <w:contextualSpacing w:val="0"/>
        <w:jc w:val="both"/>
        <w:rPr>
          <w:rFonts w:cstheme="minorHAnsi"/>
          <w:color w:val="000000" w:themeColor="text1"/>
          <w:lang w:val="en-US"/>
        </w:rPr>
      </w:pPr>
      <w:r w:rsidRPr="00B640E1">
        <w:rPr>
          <w:rStyle w:val="text-persondetails-position"/>
          <w:rFonts w:eastAsia="Times New Roman" w:cstheme="minorHAnsi"/>
          <w:color w:val="000000" w:themeColor="text1"/>
          <w:lang w:eastAsia="en-AU"/>
        </w:rPr>
        <w:t xml:space="preserve">The Manager Finance </w:t>
      </w:r>
      <w:r w:rsidRPr="00B640E1">
        <w:rPr>
          <w:rFonts w:cstheme="minorHAnsi"/>
          <w:color w:val="000000" w:themeColor="text1"/>
          <w:lang w:val="en-US"/>
        </w:rPr>
        <w:t>shall be responsible for the review and monitoring of the operations of this Policy.</w:t>
      </w:r>
    </w:p>
    <w:p w14:paraId="25F5D280" w14:textId="77777777" w:rsidR="003D65FF" w:rsidRPr="00B640E1" w:rsidRDefault="003D65FF" w:rsidP="003D65FF">
      <w:pPr>
        <w:pStyle w:val="ListParagraph"/>
        <w:numPr>
          <w:ilvl w:val="0"/>
          <w:numId w:val="39"/>
        </w:numPr>
        <w:spacing w:after="0" w:line="240" w:lineRule="auto"/>
        <w:ind w:left="284" w:hanging="284"/>
        <w:jc w:val="both"/>
        <w:rPr>
          <w:rFonts w:cstheme="minorHAnsi"/>
          <w:color w:val="000000" w:themeColor="text1"/>
          <w:lang w:val="en-US"/>
        </w:rPr>
      </w:pPr>
      <w:r w:rsidRPr="00B640E1">
        <w:rPr>
          <w:rFonts w:cstheme="minorHAnsi"/>
          <w:color w:val="000000" w:themeColor="text1"/>
          <w:lang w:val="en-US"/>
        </w:rPr>
        <w:t xml:space="preserve">The Corporate Service Team </w:t>
      </w:r>
      <w:r>
        <w:rPr>
          <w:rFonts w:cstheme="minorHAnsi"/>
          <w:color w:val="000000" w:themeColor="text1"/>
          <w:lang w:val="en-US"/>
        </w:rPr>
        <w:t xml:space="preserve">and Technical Services Team </w:t>
      </w:r>
      <w:r w:rsidRPr="00B640E1">
        <w:rPr>
          <w:rFonts w:cstheme="minorHAnsi"/>
          <w:color w:val="000000" w:themeColor="text1"/>
          <w:lang w:val="en-US"/>
        </w:rPr>
        <w:t>shall be responsible for the day-to-day operations of th</w:t>
      </w:r>
      <w:r>
        <w:rPr>
          <w:rFonts w:cstheme="minorHAnsi"/>
          <w:color w:val="000000" w:themeColor="text1"/>
          <w:lang w:val="en-US"/>
        </w:rPr>
        <w:t>is</w:t>
      </w:r>
      <w:r w:rsidRPr="00B640E1">
        <w:rPr>
          <w:rFonts w:cstheme="minorHAnsi"/>
          <w:color w:val="000000" w:themeColor="text1"/>
          <w:lang w:val="en-US"/>
        </w:rPr>
        <w:t xml:space="preserve"> policy.</w:t>
      </w:r>
    </w:p>
    <w:p w14:paraId="62993D35" w14:textId="77777777" w:rsidR="003D65FF" w:rsidRPr="00B640E1" w:rsidRDefault="003D65FF" w:rsidP="000F57AB">
      <w:pPr>
        <w:spacing w:after="0" w:line="240" w:lineRule="auto"/>
        <w:ind w:left="284" w:hanging="284"/>
        <w:jc w:val="both"/>
        <w:rPr>
          <w:rFonts w:cstheme="minorHAnsi"/>
          <w:b/>
          <w:color w:val="000000" w:themeColor="text1"/>
          <w:lang w:val="en-US"/>
        </w:rPr>
      </w:pPr>
    </w:p>
    <w:tbl>
      <w:tblPr>
        <w:tblStyle w:val="TableGrid"/>
        <w:tblW w:w="0" w:type="auto"/>
        <w:tblLook w:val="04A0" w:firstRow="1" w:lastRow="0" w:firstColumn="1" w:lastColumn="0" w:noHBand="0" w:noVBand="1"/>
      </w:tblPr>
      <w:tblGrid>
        <w:gridCol w:w="3256"/>
        <w:gridCol w:w="5760"/>
      </w:tblGrid>
      <w:tr w:rsidR="003D65FF" w:rsidRPr="00B640E1" w14:paraId="5B24761E" w14:textId="77777777" w:rsidTr="004A5360">
        <w:tc>
          <w:tcPr>
            <w:tcW w:w="3256" w:type="dxa"/>
          </w:tcPr>
          <w:p w14:paraId="2BCE09C0" w14:textId="77777777" w:rsidR="003D65FF" w:rsidRPr="00B640E1" w:rsidRDefault="003D65FF" w:rsidP="000F57AB">
            <w:pPr>
              <w:jc w:val="both"/>
              <w:rPr>
                <w:rFonts w:cstheme="minorHAnsi"/>
                <w:b/>
                <w:lang w:val="en-US"/>
              </w:rPr>
            </w:pPr>
            <w:r w:rsidRPr="00B640E1">
              <w:rPr>
                <w:rFonts w:cstheme="minorHAnsi"/>
                <w:b/>
                <w:lang w:val="en-US"/>
              </w:rPr>
              <w:t>Responsible Directorate:</w:t>
            </w:r>
          </w:p>
        </w:tc>
        <w:tc>
          <w:tcPr>
            <w:tcW w:w="5760" w:type="dxa"/>
          </w:tcPr>
          <w:p w14:paraId="1A58C905" w14:textId="77777777" w:rsidR="003D65FF" w:rsidRPr="00B640E1" w:rsidRDefault="003D65FF" w:rsidP="000F57AB">
            <w:pPr>
              <w:jc w:val="both"/>
              <w:rPr>
                <w:rFonts w:cstheme="minorHAnsi"/>
                <w:lang w:val="en-US"/>
              </w:rPr>
            </w:pPr>
            <w:r w:rsidRPr="00B640E1">
              <w:rPr>
                <w:rFonts w:cstheme="minorHAnsi"/>
                <w:lang w:val="en-US"/>
              </w:rPr>
              <w:t>Corporate Services</w:t>
            </w:r>
          </w:p>
        </w:tc>
      </w:tr>
      <w:tr w:rsidR="003D65FF" w:rsidRPr="00B640E1" w14:paraId="660A172F" w14:textId="77777777" w:rsidTr="004A5360">
        <w:tc>
          <w:tcPr>
            <w:tcW w:w="3256" w:type="dxa"/>
          </w:tcPr>
          <w:p w14:paraId="20D44AAC" w14:textId="77777777" w:rsidR="003D65FF" w:rsidRPr="00B640E1" w:rsidRDefault="003D65FF" w:rsidP="000F57AB">
            <w:pPr>
              <w:jc w:val="both"/>
              <w:rPr>
                <w:rFonts w:cstheme="minorHAnsi"/>
                <w:b/>
                <w:lang w:val="en-US"/>
              </w:rPr>
            </w:pPr>
            <w:r w:rsidRPr="00B640E1">
              <w:rPr>
                <w:rFonts w:cstheme="minorHAnsi"/>
                <w:b/>
                <w:lang w:val="en-US"/>
              </w:rPr>
              <w:t>Reviewing Officer:</w:t>
            </w:r>
          </w:p>
        </w:tc>
        <w:tc>
          <w:tcPr>
            <w:tcW w:w="5760" w:type="dxa"/>
          </w:tcPr>
          <w:p w14:paraId="0B415FEF" w14:textId="77777777" w:rsidR="003D65FF" w:rsidRPr="00B640E1" w:rsidRDefault="003D65FF" w:rsidP="000F57AB">
            <w:pPr>
              <w:jc w:val="both"/>
              <w:rPr>
                <w:rFonts w:cstheme="minorHAnsi"/>
                <w:lang w:val="en-US"/>
              </w:rPr>
            </w:pPr>
            <w:r w:rsidRPr="00B640E1">
              <w:rPr>
                <w:rFonts w:cstheme="minorHAnsi"/>
                <w:lang w:val="en-US"/>
              </w:rPr>
              <w:t>Manager Finance</w:t>
            </w:r>
          </w:p>
        </w:tc>
      </w:tr>
      <w:tr w:rsidR="003D65FF" w:rsidRPr="00B640E1" w14:paraId="05BCF318" w14:textId="77777777" w:rsidTr="004A5360">
        <w:tc>
          <w:tcPr>
            <w:tcW w:w="3256" w:type="dxa"/>
          </w:tcPr>
          <w:p w14:paraId="2C284B3B" w14:textId="77777777" w:rsidR="003D65FF" w:rsidRPr="00B640E1" w:rsidRDefault="003D65FF" w:rsidP="000F57AB">
            <w:pPr>
              <w:jc w:val="both"/>
              <w:rPr>
                <w:rFonts w:cstheme="minorHAnsi"/>
                <w:b/>
                <w:lang w:val="en-US"/>
              </w:rPr>
            </w:pPr>
            <w:r w:rsidRPr="00B640E1">
              <w:rPr>
                <w:rFonts w:cstheme="minorHAnsi"/>
                <w:b/>
                <w:lang w:val="en-US"/>
              </w:rPr>
              <w:t>Decision making Authority:</w:t>
            </w:r>
          </w:p>
        </w:tc>
        <w:tc>
          <w:tcPr>
            <w:tcW w:w="5760" w:type="dxa"/>
          </w:tcPr>
          <w:p w14:paraId="20DAD227" w14:textId="77777777" w:rsidR="003D65FF" w:rsidRPr="00B640E1" w:rsidRDefault="003D65FF" w:rsidP="000F57AB">
            <w:pPr>
              <w:jc w:val="both"/>
              <w:rPr>
                <w:rFonts w:cstheme="minorHAnsi"/>
                <w:lang w:val="en-US"/>
              </w:rPr>
            </w:pPr>
            <w:r w:rsidRPr="00B640E1">
              <w:rPr>
                <w:rFonts w:cstheme="minorHAnsi"/>
                <w:lang w:val="en-US"/>
              </w:rPr>
              <w:t>Council</w:t>
            </w:r>
          </w:p>
        </w:tc>
      </w:tr>
      <w:tr w:rsidR="003D65FF" w:rsidRPr="00B640E1" w14:paraId="5CEC6F82" w14:textId="77777777" w:rsidTr="004A5360">
        <w:tc>
          <w:tcPr>
            <w:tcW w:w="3256" w:type="dxa"/>
          </w:tcPr>
          <w:p w14:paraId="3CC699CA" w14:textId="77777777" w:rsidR="003D65FF" w:rsidRPr="00B640E1" w:rsidRDefault="003D65FF" w:rsidP="000F57AB">
            <w:pPr>
              <w:jc w:val="both"/>
              <w:rPr>
                <w:rFonts w:cstheme="minorHAnsi"/>
                <w:b/>
                <w:lang w:val="en-US"/>
              </w:rPr>
            </w:pPr>
            <w:r w:rsidRPr="00B640E1">
              <w:rPr>
                <w:rFonts w:cstheme="minorHAnsi"/>
                <w:b/>
                <w:lang w:val="en-US"/>
              </w:rPr>
              <w:t>Policy Adopted:</w:t>
            </w:r>
          </w:p>
        </w:tc>
        <w:tc>
          <w:tcPr>
            <w:tcW w:w="5760" w:type="dxa"/>
          </w:tcPr>
          <w:p w14:paraId="2A06AB75" w14:textId="77777777" w:rsidR="003D65FF" w:rsidRPr="00B640E1" w:rsidRDefault="003D65FF" w:rsidP="000F57AB">
            <w:pPr>
              <w:jc w:val="both"/>
              <w:rPr>
                <w:rFonts w:cstheme="minorHAnsi"/>
                <w:lang w:val="en-US"/>
              </w:rPr>
            </w:pPr>
            <w:r>
              <w:rPr>
                <w:rFonts w:cstheme="minorHAnsi"/>
                <w:lang w:val="en-US"/>
              </w:rPr>
              <w:t>18/9/18</w:t>
            </w:r>
          </w:p>
        </w:tc>
      </w:tr>
      <w:tr w:rsidR="003D65FF" w:rsidRPr="00B640E1" w14:paraId="166DF223" w14:textId="77777777" w:rsidTr="004A5360">
        <w:tc>
          <w:tcPr>
            <w:tcW w:w="3256" w:type="dxa"/>
          </w:tcPr>
          <w:p w14:paraId="757EBD6B" w14:textId="77777777" w:rsidR="003D65FF" w:rsidRPr="00B640E1" w:rsidRDefault="003D65FF" w:rsidP="000F57AB">
            <w:pPr>
              <w:jc w:val="both"/>
              <w:rPr>
                <w:rFonts w:cstheme="minorHAnsi"/>
                <w:b/>
                <w:lang w:val="en-US"/>
              </w:rPr>
            </w:pPr>
            <w:r>
              <w:rPr>
                <w:rFonts w:cstheme="minorHAnsi"/>
                <w:b/>
                <w:lang w:val="en-US"/>
              </w:rPr>
              <w:t>Policy Amended/Reviewed:</w:t>
            </w:r>
          </w:p>
        </w:tc>
        <w:tc>
          <w:tcPr>
            <w:tcW w:w="5760" w:type="dxa"/>
          </w:tcPr>
          <w:p w14:paraId="1A35A0FE" w14:textId="77777777" w:rsidR="003D65FF" w:rsidRPr="00B640E1" w:rsidRDefault="003D65FF" w:rsidP="000F57AB">
            <w:pPr>
              <w:jc w:val="both"/>
              <w:rPr>
                <w:rFonts w:cstheme="minorHAnsi"/>
                <w:lang w:val="en-US"/>
              </w:rPr>
            </w:pPr>
            <w:r>
              <w:rPr>
                <w:rFonts w:cstheme="minorHAnsi"/>
                <w:lang w:val="en-US"/>
              </w:rPr>
              <w:t>20/8/19, 17/9/19, 19/7/22, 9/12/25</w:t>
            </w:r>
          </w:p>
        </w:tc>
      </w:tr>
      <w:tr w:rsidR="003D65FF" w:rsidRPr="00B640E1" w14:paraId="50BCD548" w14:textId="77777777" w:rsidTr="004A5360">
        <w:tc>
          <w:tcPr>
            <w:tcW w:w="3256" w:type="dxa"/>
          </w:tcPr>
          <w:p w14:paraId="12EEF598" w14:textId="77777777" w:rsidR="003D65FF" w:rsidRPr="00B640E1" w:rsidRDefault="003D65FF" w:rsidP="000F57AB">
            <w:pPr>
              <w:jc w:val="both"/>
              <w:rPr>
                <w:rFonts w:cstheme="minorHAnsi"/>
                <w:b/>
                <w:lang w:val="en-US"/>
              </w:rPr>
            </w:pPr>
            <w:r>
              <w:rPr>
                <w:rFonts w:cstheme="minorHAnsi"/>
                <w:b/>
                <w:lang w:val="en-US"/>
              </w:rPr>
              <w:t>Former Policy No</w:t>
            </w:r>
            <w:r w:rsidRPr="00B640E1">
              <w:rPr>
                <w:rFonts w:cstheme="minorHAnsi"/>
                <w:b/>
                <w:lang w:val="en-US"/>
              </w:rPr>
              <w:t>:</w:t>
            </w:r>
          </w:p>
        </w:tc>
        <w:tc>
          <w:tcPr>
            <w:tcW w:w="5760" w:type="dxa"/>
          </w:tcPr>
          <w:p w14:paraId="745089A1" w14:textId="77777777" w:rsidR="003D65FF" w:rsidRPr="00B640E1" w:rsidRDefault="003D65FF" w:rsidP="000F57AB">
            <w:pPr>
              <w:jc w:val="both"/>
              <w:rPr>
                <w:rFonts w:cstheme="minorHAnsi"/>
                <w:lang w:val="en-US"/>
              </w:rPr>
            </w:pPr>
            <w:r>
              <w:rPr>
                <w:rFonts w:cstheme="minorHAnsi"/>
                <w:lang w:val="en-US"/>
              </w:rPr>
              <w:t>4.4.3</w:t>
            </w:r>
          </w:p>
        </w:tc>
      </w:tr>
    </w:tbl>
    <w:p w14:paraId="774F054B" w14:textId="77777777" w:rsidR="003D65FF" w:rsidRPr="00B640E1" w:rsidRDefault="003D65FF" w:rsidP="000F57AB">
      <w:pPr>
        <w:rPr>
          <w:rFonts w:cstheme="minorHAnsi"/>
        </w:rPr>
      </w:pPr>
    </w:p>
    <w:p w14:paraId="3F1EA0DE" w14:textId="77777777" w:rsidR="003D65FF" w:rsidRDefault="003D65FF" w:rsidP="00AD4E49">
      <w:pPr>
        <w:pStyle w:val="Policy3"/>
      </w:pPr>
    </w:p>
    <w:p w14:paraId="52B5B70C" w14:textId="4CBCE8A2" w:rsidR="00BF10B0" w:rsidRPr="009470A0" w:rsidRDefault="00BF10B0" w:rsidP="00AD4E49">
      <w:pPr>
        <w:pStyle w:val="Policy3"/>
        <w:jc w:val="right"/>
      </w:pPr>
    </w:p>
    <w:p w14:paraId="203C27B8" w14:textId="77777777" w:rsidR="00826D45" w:rsidRDefault="00826D45">
      <w:pPr>
        <w:rPr>
          <w:rFonts w:cstheme="minorHAnsi"/>
        </w:rPr>
      </w:pPr>
      <w:r>
        <w:rPr>
          <w:rFonts w:cstheme="minorHAnsi"/>
        </w:rPr>
        <w:br w:type="page"/>
      </w:r>
    </w:p>
    <w:p w14:paraId="3ECC87F3" w14:textId="00A1CC0F" w:rsidR="00AC303C" w:rsidRPr="00826D45" w:rsidRDefault="00F23DE3" w:rsidP="00AC303C">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34688" behindDoc="1" locked="0" layoutInCell="1" allowOverlap="1" wp14:anchorId="49FF12AF" wp14:editId="207E974D">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4BBCC7F7" w14:textId="77777777" w:rsidR="00F23DE3" w:rsidRDefault="00F23DE3" w:rsidP="00AC303C">
      <w:pPr>
        <w:pStyle w:val="Policy3"/>
      </w:pPr>
      <w:bookmarkStart w:id="303" w:name="_Toc14942639"/>
    </w:p>
    <w:p w14:paraId="307F2E3E" w14:textId="77777777" w:rsidR="00F23DE3" w:rsidRDefault="00F23DE3" w:rsidP="00AC303C">
      <w:pPr>
        <w:pStyle w:val="Policy3"/>
      </w:pPr>
    </w:p>
    <w:p w14:paraId="47884168" w14:textId="24501D42" w:rsidR="00AC303C" w:rsidRPr="00E265BE" w:rsidRDefault="00AC303C" w:rsidP="00AC303C">
      <w:pPr>
        <w:pStyle w:val="Policy3"/>
      </w:pPr>
      <w:bookmarkStart w:id="304" w:name="_Toc216866687"/>
      <w:r w:rsidRPr="00E265BE">
        <w:t>2.1.11</w:t>
      </w:r>
      <w:r w:rsidRPr="00E265BE">
        <w:tab/>
        <w:t>Community Grants &amp; Sponsorship</w:t>
      </w:r>
      <w:bookmarkEnd w:id="303"/>
      <w:bookmarkEnd w:id="304"/>
    </w:p>
    <w:tbl>
      <w:tblPr>
        <w:tblStyle w:val="TableGrid"/>
        <w:tblW w:w="0" w:type="auto"/>
        <w:tblLook w:val="04A0" w:firstRow="1" w:lastRow="0" w:firstColumn="1" w:lastColumn="0" w:noHBand="0" w:noVBand="1"/>
      </w:tblPr>
      <w:tblGrid>
        <w:gridCol w:w="3022"/>
        <w:gridCol w:w="5994"/>
      </w:tblGrid>
      <w:tr w:rsidR="00AC303C" w:rsidRPr="00826D45" w14:paraId="7BD2E214" w14:textId="77777777" w:rsidTr="00FD4C05">
        <w:tc>
          <w:tcPr>
            <w:tcW w:w="3022" w:type="dxa"/>
          </w:tcPr>
          <w:p w14:paraId="5141FB3C" w14:textId="77777777" w:rsidR="00AC303C" w:rsidRPr="00826D45" w:rsidRDefault="00AC303C" w:rsidP="00FD4C05">
            <w:pPr>
              <w:rPr>
                <w:rFonts w:cstheme="minorHAnsi"/>
                <w:b/>
                <w:lang w:val="en-US"/>
              </w:rPr>
            </w:pPr>
            <w:r w:rsidRPr="00826D45">
              <w:rPr>
                <w:rFonts w:cstheme="minorHAnsi"/>
                <w:b/>
                <w:lang w:val="en-US"/>
              </w:rPr>
              <w:t>Type:</w:t>
            </w:r>
          </w:p>
        </w:tc>
        <w:tc>
          <w:tcPr>
            <w:tcW w:w="5994" w:type="dxa"/>
          </w:tcPr>
          <w:p w14:paraId="6B501F6F" w14:textId="77777777" w:rsidR="00AC303C" w:rsidRPr="00826D45" w:rsidRDefault="00AC303C" w:rsidP="00FD4C05">
            <w:pPr>
              <w:rPr>
                <w:rFonts w:cstheme="minorHAnsi"/>
                <w:lang w:val="en-US"/>
              </w:rPr>
            </w:pPr>
            <w:r>
              <w:rPr>
                <w:rFonts w:cstheme="minorHAnsi"/>
                <w:lang w:val="en-US"/>
              </w:rPr>
              <w:t>Corporate Services – Financial Management</w:t>
            </w:r>
          </w:p>
        </w:tc>
      </w:tr>
      <w:tr w:rsidR="00AC303C" w:rsidRPr="00826D45" w14:paraId="5D750FAB" w14:textId="77777777" w:rsidTr="00FD4C05">
        <w:tc>
          <w:tcPr>
            <w:tcW w:w="3022" w:type="dxa"/>
          </w:tcPr>
          <w:p w14:paraId="643803BD" w14:textId="77777777" w:rsidR="00AC303C" w:rsidRPr="00826D45" w:rsidRDefault="00AC303C" w:rsidP="00FD4C05">
            <w:pPr>
              <w:rPr>
                <w:rFonts w:cstheme="minorHAnsi"/>
                <w:b/>
                <w:lang w:val="en-US"/>
              </w:rPr>
            </w:pPr>
            <w:r w:rsidRPr="00826D45">
              <w:rPr>
                <w:rFonts w:cstheme="minorHAnsi"/>
                <w:b/>
                <w:lang w:val="en-US"/>
              </w:rPr>
              <w:t>Legislation:</w:t>
            </w:r>
          </w:p>
        </w:tc>
        <w:tc>
          <w:tcPr>
            <w:tcW w:w="5994" w:type="dxa"/>
          </w:tcPr>
          <w:p w14:paraId="53F447D8" w14:textId="77777777" w:rsidR="00AC303C" w:rsidRPr="00826D45" w:rsidRDefault="00AC303C" w:rsidP="00FD4C05">
            <w:pPr>
              <w:rPr>
                <w:rFonts w:cstheme="minorHAnsi"/>
                <w:lang w:val="en-US"/>
              </w:rPr>
            </w:pPr>
          </w:p>
        </w:tc>
      </w:tr>
      <w:tr w:rsidR="00AC303C" w:rsidRPr="00826D45" w14:paraId="2258B5C0" w14:textId="77777777" w:rsidTr="00FD4C05">
        <w:tc>
          <w:tcPr>
            <w:tcW w:w="3022" w:type="dxa"/>
          </w:tcPr>
          <w:p w14:paraId="6EE70A08" w14:textId="77777777" w:rsidR="00AC303C" w:rsidRPr="00826D45" w:rsidRDefault="00AC303C" w:rsidP="00FD4C05">
            <w:pPr>
              <w:rPr>
                <w:rFonts w:cstheme="minorHAnsi"/>
                <w:b/>
                <w:lang w:val="en-US"/>
              </w:rPr>
            </w:pPr>
            <w:r w:rsidRPr="00826D45">
              <w:rPr>
                <w:rFonts w:cstheme="minorHAnsi"/>
                <w:b/>
                <w:lang w:val="en-US"/>
              </w:rPr>
              <w:t>Delegation:</w:t>
            </w:r>
          </w:p>
        </w:tc>
        <w:tc>
          <w:tcPr>
            <w:tcW w:w="5994" w:type="dxa"/>
          </w:tcPr>
          <w:p w14:paraId="3078B8DD" w14:textId="77777777" w:rsidR="00AC303C" w:rsidRPr="00826D45" w:rsidRDefault="00AC303C" w:rsidP="00FD4C05">
            <w:pPr>
              <w:rPr>
                <w:rFonts w:cstheme="minorHAnsi"/>
                <w:lang w:val="en-US"/>
              </w:rPr>
            </w:pPr>
          </w:p>
        </w:tc>
      </w:tr>
      <w:tr w:rsidR="00AC303C" w:rsidRPr="00826D45" w14:paraId="5D6AF6EF" w14:textId="77777777" w:rsidTr="00FD4C05">
        <w:tc>
          <w:tcPr>
            <w:tcW w:w="3022" w:type="dxa"/>
          </w:tcPr>
          <w:p w14:paraId="40415AD2" w14:textId="77777777" w:rsidR="00AC303C" w:rsidRPr="00826D45" w:rsidRDefault="00AC303C" w:rsidP="00FD4C05">
            <w:pPr>
              <w:rPr>
                <w:rFonts w:cstheme="minorHAnsi"/>
                <w:b/>
                <w:lang w:val="en-US"/>
              </w:rPr>
            </w:pPr>
            <w:r w:rsidRPr="00826D45">
              <w:rPr>
                <w:rFonts w:cstheme="minorHAnsi"/>
                <w:b/>
                <w:lang w:val="en-US"/>
              </w:rPr>
              <w:t>Other Related Document:</w:t>
            </w:r>
          </w:p>
        </w:tc>
        <w:tc>
          <w:tcPr>
            <w:tcW w:w="5994" w:type="dxa"/>
          </w:tcPr>
          <w:p w14:paraId="2645FC7D" w14:textId="77777777" w:rsidR="00AC303C" w:rsidRPr="00826D45" w:rsidRDefault="00AC303C" w:rsidP="00FD4C05">
            <w:pPr>
              <w:rPr>
                <w:rFonts w:cstheme="minorHAnsi"/>
                <w:lang w:val="en-US"/>
              </w:rPr>
            </w:pPr>
            <w:r w:rsidRPr="00826D45">
              <w:rPr>
                <w:rFonts w:cstheme="minorHAnsi"/>
                <w:lang w:val="en-US"/>
              </w:rPr>
              <w:t>Community Assistance Grants &amp; Sponsorship Funding Guidelines</w:t>
            </w:r>
          </w:p>
          <w:p w14:paraId="65F404D9" w14:textId="77777777" w:rsidR="00AC303C" w:rsidRPr="00826D45" w:rsidRDefault="00AC303C" w:rsidP="00FD4C05">
            <w:pPr>
              <w:rPr>
                <w:rFonts w:cstheme="minorHAnsi"/>
                <w:lang w:val="en-US"/>
              </w:rPr>
            </w:pPr>
            <w:r w:rsidRPr="00826D45">
              <w:rPr>
                <w:rFonts w:cstheme="minorHAnsi"/>
                <w:lang w:val="en-US"/>
              </w:rPr>
              <w:t>Community Grants &amp; Sponsorship Process</w:t>
            </w:r>
          </w:p>
        </w:tc>
      </w:tr>
    </w:tbl>
    <w:p w14:paraId="6B90238F" w14:textId="77777777" w:rsidR="00AC303C" w:rsidRPr="00A9373D" w:rsidRDefault="00AC303C" w:rsidP="00AC303C">
      <w:pPr>
        <w:spacing w:before="200" w:after="0"/>
        <w:rPr>
          <w:b/>
          <w:sz w:val="28"/>
          <w:szCs w:val="28"/>
          <w:lang w:val="en-US"/>
        </w:rPr>
      </w:pPr>
      <w:r w:rsidRPr="00A9373D">
        <w:rPr>
          <w:b/>
          <w:sz w:val="28"/>
          <w:szCs w:val="28"/>
          <w:lang w:val="en-US"/>
        </w:rPr>
        <w:t>Objective</w:t>
      </w:r>
    </w:p>
    <w:p w14:paraId="13B12501" w14:textId="77777777" w:rsidR="00AC303C" w:rsidRPr="00826D45" w:rsidRDefault="00AC303C" w:rsidP="00AC303C">
      <w:pPr>
        <w:spacing w:after="0" w:line="240" w:lineRule="auto"/>
        <w:ind w:right="-284"/>
        <w:jc w:val="both"/>
        <w:rPr>
          <w:rFonts w:cstheme="minorHAnsi"/>
          <w:lang w:eastAsia="en-AU"/>
        </w:rPr>
      </w:pPr>
      <w:r w:rsidRPr="00826D45">
        <w:rPr>
          <w:rFonts w:cstheme="minorHAnsi"/>
          <w:lang w:eastAsia="en-AU"/>
        </w:rPr>
        <w:t>To provide financial assistance to community groups and individuals that will build capacity within the community, stimulate volunteering and youth development, and deliver sustainable, accessible and demonstrated social, environmental and economic benefits.</w:t>
      </w:r>
    </w:p>
    <w:p w14:paraId="0DE55B2D" w14:textId="77777777" w:rsidR="00AC303C" w:rsidRPr="00A9373D" w:rsidRDefault="00AC303C" w:rsidP="00AC303C">
      <w:pPr>
        <w:spacing w:before="200" w:after="0"/>
        <w:rPr>
          <w:b/>
          <w:sz w:val="28"/>
          <w:szCs w:val="28"/>
          <w:lang w:val="en-US"/>
        </w:rPr>
      </w:pPr>
      <w:r w:rsidRPr="00A9373D">
        <w:rPr>
          <w:b/>
          <w:sz w:val="28"/>
          <w:szCs w:val="28"/>
          <w:lang w:val="en-US"/>
        </w:rPr>
        <w:t>Policy Scope</w:t>
      </w:r>
    </w:p>
    <w:p w14:paraId="32E78F96" w14:textId="77777777" w:rsidR="00AC303C" w:rsidRPr="00826D45" w:rsidRDefault="00AC303C" w:rsidP="00AC303C">
      <w:pPr>
        <w:pStyle w:val="Pa2"/>
        <w:ind w:right="-187"/>
        <w:jc w:val="both"/>
        <w:rPr>
          <w:rFonts w:asciiTheme="minorHAnsi" w:hAnsiTheme="minorHAnsi" w:cstheme="minorHAnsi"/>
          <w:sz w:val="22"/>
          <w:szCs w:val="22"/>
        </w:rPr>
      </w:pPr>
      <w:r w:rsidRPr="00826D45">
        <w:rPr>
          <w:rFonts w:asciiTheme="minorHAnsi" w:hAnsiTheme="minorHAnsi" w:cstheme="minorHAnsi"/>
          <w:sz w:val="22"/>
          <w:szCs w:val="22"/>
        </w:rPr>
        <w:t>Funding for individuals and incorporated not-for-profit organisations/associations that are resident- based or those providing services within the East Fremantle community.</w:t>
      </w:r>
    </w:p>
    <w:p w14:paraId="787C36D8" w14:textId="77777777" w:rsidR="00AC303C" w:rsidRPr="00A9373D" w:rsidRDefault="00AC303C" w:rsidP="00AC303C">
      <w:pPr>
        <w:spacing w:before="200" w:after="0"/>
        <w:rPr>
          <w:b/>
          <w:sz w:val="28"/>
          <w:szCs w:val="28"/>
          <w:lang w:val="en-US"/>
        </w:rPr>
      </w:pPr>
      <w:r w:rsidRPr="00A9373D">
        <w:rPr>
          <w:b/>
          <w:sz w:val="28"/>
          <w:szCs w:val="28"/>
          <w:lang w:val="en-US"/>
        </w:rPr>
        <w:t xml:space="preserve">Policy </w:t>
      </w:r>
    </w:p>
    <w:p w14:paraId="5050F600" w14:textId="77777777" w:rsidR="00AC303C" w:rsidRPr="00826D45" w:rsidRDefault="00AC303C" w:rsidP="00AC303C">
      <w:pPr>
        <w:pStyle w:val="Pa2"/>
        <w:spacing w:after="60"/>
        <w:ind w:right="-188"/>
        <w:jc w:val="both"/>
        <w:rPr>
          <w:rFonts w:asciiTheme="minorHAnsi" w:hAnsiTheme="minorHAnsi" w:cstheme="minorHAnsi"/>
          <w:sz w:val="22"/>
          <w:szCs w:val="22"/>
        </w:rPr>
      </w:pPr>
      <w:r w:rsidRPr="00826D45">
        <w:rPr>
          <w:rFonts w:asciiTheme="minorHAnsi" w:hAnsiTheme="minorHAnsi" w:cstheme="minorHAnsi"/>
          <w:sz w:val="22"/>
          <w:szCs w:val="22"/>
        </w:rPr>
        <w:t xml:space="preserve">The Community Grants Assistance Program aims to </w:t>
      </w:r>
      <w:proofErr w:type="gramStart"/>
      <w:r w:rsidRPr="00826D45">
        <w:rPr>
          <w:rFonts w:asciiTheme="minorHAnsi" w:hAnsiTheme="minorHAnsi" w:cstheme="minorHAnsi"/>
          <w:sz w:val="22"/>
          <w:szCs w:val="22"/>
        </w:rPr>
        <w:t>provide assistance to</w:t>
      </w:r>
      <w:proofErr w:type="gramEnd"/>
      <w:r w:rsidRPr="00826D45">
        <w:rPr>
          <w:rFonts w:asciiTheme="minorHAnsi" w:hAnsiTheme="minorHAnsi" w:cstheme="minorHAnsi"/>
          <w:sz w:val="22"/>
          <w:szCs w:val="22"/>
        </w:rPr>
        <w:t xml:space="preserve"> individuals and incorporated associations that can deliver meaningful benefits and outcomes in the following target areas:</w:t>
      </w:r>
    </w:p>
    <w:p w14:paraId="4CFA4FD1" w14:textId="77777777" w:rsidR="00AC303C" w:rsidRPr="00826D45" w:rsidRDefault="00AC303C" w:rsidP="00AC303C">
      <w:pPr>
        <w:pStyle w:val="Pa2"/>
        <w:tabs>
          <w:tab w:val="left" w:pos="426"/>
        </w:tabs>
        <w:spacing w:before="100" w:after="100" w:line="240" w:lineRule="auto"/>
        <w:ind w:right="-187"/>
        <w:contextualSpacing/>
        <w:jc w:val="both"/>
        <w:rPr>
          <w:rFonts w:asciiTheme="minorHAnsi" w:hAnsiTheme="minorHAnsi" w:cstheme="minorHAnsi"/>
          <w:sz w:val="22"/>
          <w:szCs w:val="22"/>
        </w:rPr>
      </w:pPr>
      <w:r w:rsidRPr="00826D45">
        <w:rPr>
          <w:rFonts w:asciiTheme="minorHAnsi" w:hAnsiTheme="minorHAnsi" w:cstheme="minorHAnsi"/>
          <w:sz w:val="22"/>
          <w:szCs w:val="22"/>
        </w:rPr>
        <w:t>•</w:t>
      </w:r>
      <w:r w:rsidRPr="00826D45">
        <w:rPr>
          <w:rFonts w:asciiTheme="minorHAnsi" w:hAnsiTheme="minorHAnsi" w:cstheme="minorHAnsi"/>
          <w:sz w:val="22"/>
          <w:szCs w:val="22"/>
        </w:rPr>
        <w:tab/>
        <w:t>Community Development</w:t>
      </w:r>
    </w:p>
    <w:p w14:paraId="39D4DB65" w14:textId="77777777" w:rsidR="00AC303C" w:rsidRPr="00826D45" w:rsidRDefault="00AC303C" w:rsidP="00AC303C">
      <w:pPr>
        <w:pStyle w:val="Pa2"/>
        <w:tabs>
          <w:tab w:val="left" w:pos="426"/>
        </w:tabs>
        <w:spacing w:before="100" w:after="100" w:line="240" w:lineRule="auto"/>
        <w:ind w:right="-187"/>
        <w:contextualSpacing/>
        <w:jc w:val="both"/>
        <w:rPr>
          <w:rFonts w:asciiTheme="minorHAnsi" w:hAnsiTheme="minorHAnsi" w:cstheme="minorHAnsi"/>
          <w:sz w:val="22"/>
          <w:szCs w:val="22"/>
        </w:rPr>
      </w:pPr>
      <w:r w:rsidRPr="00826D45">
        <w:rPr>
          <w:rFonts w:asciiTheme="minorHAnsi" w:hAnsiTheme="minorHAnsi" w:cstheme="minorHAnsi"/>
          <w:sz w:val="22"/>
          <w:szCs w:val="22"/>
        </w:rPr>
        <w:t>•</w:t>
      </w:r>
      <w:r w:rsidRPr="00826D45">
        <w:rPr>
          <w:rFonts w:asciiTheme="minorHAnsi" w:hAnsiTheme="minorHAnsi" w:cstheme="minorHAnsi"/>
          <w:sz w:val="22"/>
          <w:szCs w:val="22"/>
        </w:rPr>
        <w:tab/>
        <w:t>Sport and Recreation</w:t>
      </w:r>
    </w:p>
    <w:p w14:paraId="35F17CB2" w14:textId="77777777" w:rsidR="00AC303C" w:rsidRPr="00826D45" w:rsidRDefault="00AC303C" w:rsidP="00AC303C">
      <w:pPr>
        <w:pStyle w:val="Pa2"/>
        <w:tabs>
          <w:tab w:val="left" w:pos="426"/>
        </w:tabs>
        <w:spacing w:before="100" w:after="100" w:line="240" w:lineRule="auto"/>
        <w:ind w:right="-187"/>
        <w:contextualSpacing/>
        <w:jc w:val="both"/>
        <w:rPr>
          <w:rFonts w:asciiTheme="minorHAnsi" w:hAnsiTheme="minorHAnsi" w:cstheme="minorHAnsi"/>
          <w:sz w:val="22"/>
          <w:szCs w:val="22"/>
        </w:rPr>
      </w:pPr>
      <w:r w:rsidRPr="00826D45">
        <w:rPr>
          <w:rFonts w:asciiTheme="minorHAnsi" w:hAnsiTheme="minorHAnsi" w:cstheme="minorHAnsi"/>
          <w:sz w:val="22"/>
          <w:szCs w:val="22"/>
        </w:rPr>
        <w:t>•</w:t>
      </w:r>
      <w:r w:rsidRPr="00826D45">
        <w:rPr>
          <w:rFonts w:asciiTheme="minorHAnsi" w:hAnsiTheme="minorHAnsi" w:cstheme="minorHAnsi"/>
          <w:sz w:val="22"/>
          <w:szCs w:val="22"/>
        </w:rPr>
        <w:tab/>
        <w:t>Economic Development</w:t>
      </w:r>
    </w:p>
    <w:p w14:paraId="0C498BB0" w14:textId="77777777" w:rsidR="00AC303C" w:rsidRPr="00826D45" w:rsidRDefault="00AC303C" w:rsidP="00AC303C">
      <w:pPr>
        <w:pStyle w:val="Pa2"/>
        <w:tabs>
          <w:tab w:val="left" w:pos="426"/>
        </w:tabs>
        <w:spacing w:before="100" w:after="100" w:line="240" w:lineRule="auto"/>
        <w:ind w:right="-187"/>
        <w:contextualSpacing/>
        <w:jc w:val="both"/>
        <w:rPr>
          <w:rFonts w:asciiTheme="minorHAnsi" w:hAnsiTheme="minorHAnsi" w:cstheme="minorHAnsi"/>
          <w:sz w:val="22"/>
          <w:szCs w:val="22"/>
        </w:rPr>
      </w:pPr>
      <w:r w:rsidRPr="00826D45">
        <w:rPr>
          <w:rFonts w:asciiTheme="minorHAnsi" w:hAnsiTheme="minorHAnsi" w:cstheme="minorHAnsi"/>
          <w:sz w:val="22"/>
          <w:szCs w:val="22"/>
        </w:rPr>
        <w:t>•</w:t>
      </w:r>
      <w:r w:rsidRPr="00826D45">
        <w:rPr>
          <w:rFonts w:asciiTheme="minorHAnsi" w:hAnsiTheme="minorHAnsi" w:cstheme="minorHAnsi"/>
          <w:sz w:val="22"/>
          <w:szCs w:val="22"/>
        </w:rPr>
        <w:tab/>
        <w:t>Environment and Heritage</w:t>
      </w:r>
    </w:p>
    <w:p w14:paraId="7C809C4D" w14:textId="77777777" w:rsidR="00AC303C" w:rsidRPr="00826D45" w:rsidRDefault="00AC303C" w:rsidP="00AC303C">
      <w:pPr>
        <w:pStyle w:val="Pa2"/>
        <w:tabs>
          <w:tab w:val="left" w:pos="426"/>
        </w:tabs>
        <w:spacing w:before="100" w:after="100" w:line="240" w:lineRule="auto"/>
        <w:ind w:right="-187"/>
        <w:contextualSpacing/>
        <w:jc w:val="both"/>
        <w:rPr>
          <w:rFonts w:asciiTheme="minorHAnsi" w:hAnsiTheme="minorHAnsi" w:cstheme="minorHAnsi"/>
          <w:sz w:val="22"/>
          <w:szCs w:val="22"/>
        </w:rPr>
      </w:pPr>
      <w:r w:rsidRPr="00826D45">
        <w:rPr>
          <w:rFonts w:asciiTheme="minorHAnsi" w:hAnsiTheme="minorHAnsi" w:cstheme="minorHAnsi"/>
          <w:sz w:val="22"/>
          <w:szCs w:val="22"/>
        </w:rPr>
        <w:t>•</w:t>
      </w:r>
      <w:r w:rsidRPr="00826D45">
        <w:rPr>
          <w:rFonts w:asciiTheme="minorHAnsi" w:hAnsiTheme="minorHAnsi" w:cstheme="minorHAnsi"/>
          <w:sz w:val="22"/>
          <w:szCs w:val="22"/>
        </w:rPr>
        <w:tab/>
        <w:t>Culture and the Arts</w:t>
      </w:r>
    </w:p>
    <w:p w14:paraId="6CF92D1B" w14:textId="77777777" w:rsidR="00AC303C" w:rsidRPr="00826D45" w:rsidRDefault="00AC303C" w:rsidP="00AC303C">
      <w:pPr>
        <w:pStyle w:val="Pa2"/>
        <w:tabs>
          <w:tab w:val="left" w:pos="426"/>
        </w:tabs>
        <w:spacing w:before="100" w:after="100" w:line="240" w:lineRule="auto"/>
        <w:ind w:right="-187"/>
        <w:contextualSpacing/>
        <w:jc w:val="both"/>
        <w:rPr>
          <w:rFonts w:asciiTheme="minorHAnsi" w:hAnsiTheme="minorHAnsi" w:cstheme="minorHAnsi"/>
          <w:sz w:val="22"/>
          <w:szCs w:val="22"/>
        </w:rPr>
      </w:pPr>
      <w:r w:rsidRPr="00826D45">
        <w:rPr>
          <w:rFonts w:asciiTheme="minorHAnsi" w:hAnsiTheme="minorHAnsi" w:cstheme="minorHAnsi"/>
          <w:sz w:val="22"/>
          <w:szCs w:val="22"/>
        </w:rPr>
        <w:t>•</w:t>
      </w:r>
      <w:r w:rsidRPr="00826D45">
        <w:rPr>
          <w:rFonts w:asciiTheme="minorHAnsi" w:hAnsiTheme="minorHAnsi" w:cstheme="minorHAnsi"/>
          <w:sz w:val="22"/>
          <w:szCs w:val="22"/>
        </w:rPr>
        <w:tab/>
        <w:t>Emergency Services</w:t>
      </w:r>
    </w:p>
    <w:p w14:paraId="2E445DD2" w14:textId="77777777" w:rsidR="00AC303C" w:rsidRPr="00A9373D" w:rsidRDefault="00AC303C" w:rsidP="00AC303C">
      <w:pPr>
        <w:spacing w:before="200" w:after="0"/>
        <w:rPr>
          <w:rFonts w:cstheme="minorHAnsi"/>
          <w:b/>
          <w:lang w:eastAsia="en-AU"/>
        </w:rPr>
      </w:pPr>
      <w:r w:rsidRPr="00A9373D">
        <w:rPr>
          <w:rFonts w:cstheme="minorHAnsi"/>
          <w:b/>
          <w:lang w:eastAsia="en-AU"/>
        </w:rPr>
        <w:t>Grant Categories</w:t>
      </w:r>
    </w:p>
    <w:p w14:paraId="0FD00241" w14:textId="77777777" w:rsidR="00AC303C" w:rsidRPr="00826D45" w:rsidRDefault="00AC303C" w:rsidP="00AC303C">
      <w:pPr>
        <w:autoSpaceDE w:val="0"/>
        <w:autoSpaceDN w:val="0"/>
        <w:adjustRightInd w:val="0"/>
        <w:spacing w:line="240" w:lineRule="auto"/>
        <w:rPr>
          <w:rFonts w:cstheme="minorHAnsi"/>
          <w:color w:val="000000"/>
        </w:rPr>
      </w:pPr>
      <w:r w:rsidRPr="00826D45">
        <w:rPr>
          <w:rFonts w:cstheme="minorHAnsi"/>
          <w:i/>
          <w:iCs/>
          <w:color w:val="000000"/>
        </w:rPr>
        <w:t xml:space="preserve">“Community Assistance Grants” </w:t>
      </w:r>
      <w:r w:rsidRPr="00826D45">
        <w:rPr>
          <w:rFonts w:cstheme="minorHAnsi"/>
          <w:color w:val="000000"/>
        </w:rPr>
        <w:t xml:space="preserve">refers to funding towards infrastructure and equipment. Examples of this type of funding are uniforms or equipment. </w:t>
      </w:r>
    </w:p>
    <w:p w14:paraId="39F33D99" w14:textId="77777777" w:rsidR="00AC303C" w:rsidRPr="00826D45" w:rsidRDefault="00AC303C" w:rsidP="00AC303C">
      <w:pPr>
        <w:spacing w:before="100" w:line="240" w:lineRule="auto"/>
        <w:jc w:val="both"/>
        <w:rPr>
          <w:rFonts w:cstheme="minorHAnsi"/>
          <w:u w:val="single"/>
          <w:lang w:eastAsia="en-AU"/>
        </w:rPr>
      </w:pPr>
      <w:r w:rsidRPr="00826D45">
        <w:rPr>
          <w:rFonts w:cstheme="minorHAnsi"/>
          <w:i/>
          <w:iCs/>
          <w:color w:val="000000"/>
        </w:rPr>
        <w:t xml:space="preserve">“Sponsorships” </w:t>
      </w:r>
      <w:r w:rsidRPr="00826D45">
        <w:rPr>
          <w:rFonts w:cstheme="minorHAnsi"/>
          <w:color w:val="000000"/>
        </w:rPr>
        <w:t>refers to funding towards events, projects (annual or one off), Community Bus use and Photocopying/Printing.</w:t>
      </w:r>
      <w:r w:rsidRPr="00826D45">
        <w:rPr>
          <w:rFonts w:cstheme="minorHAnsi"/>
          <w:u w:val="single"/>
          <w:lang w:eastAsia="en-AU"/>
        </w:rPr>
        <w:t xml:space="preserve"> </w:t>
      </w:r>
    </w:p>
    <w:p w14:paraId="438EE315" w14:textId="77777777" w:rsidR="00AC303C" w:rsidRPr="00826D45" w:rsidRDefault="00AC303C" w:rsidP="00AC303C">
      <w:pPr>
        <w:autoSpaceDE w:val="0"/>
        <w:autoSpaceDN w:val="0"/>
        <w:adjustRightInd w:val="0"/>
        <w:spacing w:line="240" w:lineRule="auto"/>
        <w:rPr>
          <w:rFonts w:cstheme="minorHAnsi"/>
          <w:color w:val="000000"/>
        </w:rPr>
      </w:pPr>
      <w:r w:rsidRPr="00826D45">
        <w:rPr>
          <w:rFonts w:cstheme="minorHAnsi"/>
          <w:color w:val="000000"/>
        </w:rPr>
        <w:t xml:space="preserve">Funding of up to $5,000 will be considered for Community Assistance Grants. </w:t>
      </w:r>
    </w:p>
    <w:p w14:paraId="5BAA87ED" w14:textId="77777777" w:rsidR="00AC303C" w:rsidRPr="00826D45" w:rsidRDefault="00AC303C" w:rsidP="00AC303C">
      <w:pPr>
        <w:autoSpaceDE w:val="0"/>
        <w:autoSpaceDN w:val="0"/>
        <w:adjustRightInd w:val="0"/>
        <w:spacing w:line="240" w:lineRule="auto"/>
        <w:rPr>
          <w:rFonts w:cstheme="minorHAnsi"/>
          <w:color w:val="000000"/>
        </w:rPr>
      </w:pPr>
      <w:r w:rsidRPr="00826D45">
        <w:rPr>
          <w:rFonts w:cstheme="minorHAnsi"/>
          <w:color w:val="000000"/>
        </w:rPr>
        <w:t xml:space="preserve">Funding of up to $3,000 will be considered for Sponsorship Funding. </w:t>
      </w:r>
    </w:p>
    <w:p w14:paraId="382D6D22" w14:textId="77777777" w:rsidR="00AC303C" w:rsidRPr="00826D45" w:rsidRDefault="00AC303C" w:rsidP="00AC303C">
      <w:pPr>
        <w:autoSpaceDE w:val="0"/>
        <w:autoSpaceDN w:val="0"/>
        <w:adjustRightInd w:val="0"/>
        <w:spacing w:after="60" w:line="240" w:lineRule="auto"/>
        <w:rPr>
          <w:rFonts w:cstheme="minorHAnsi"/>
          <w:color w:val="000000"/>
        </w:rPr>
      </w:pPr>
      <w:r w:rsidRPr="00826D45">
        <w:rPr>
          <w:rFonts w:cstheme="minorHAnsi"/>
          <w:color w:val="000000"/>
        </w:rPr>
        <w:t>Council contributions will generally be limited to:</w:t>
      </w:r>
    </w:p>
    <w:p w14:paraId="41C0899E" w14:textId="77777777" w:rsidR="00AC303C" w:rsidRPr="00826D45" w:rsidRDefault="00AC303C" w:rsidP="00AC303C">
      <w:pPr>
        <w:autoSpaceDE w:val="0"/>
        <w:autoSpaceDN w:val="0"/>
        <w:adjustRightInd w:val="0"/>
        <w:spacing w:after="78" w:line="240" w:lineRule="auto"/>
        <w:ind w:left="2835" w:hanging="2115"/>
        <w:rPr>
          <w:rFonts w:cstheme="minorHAnsi"/>
          <w:color w:val="000000"/>
        </w:rPr>
      </w:pPr>
      <w:r w:rsidRPr="00826D45">
        <w:rPr>
          <w:rFonts w:cstheme="minorHAnsi"/>
          <w:color w:val="000000"/>
        </w:rPr>
        <w:t>$0 - $1,000</w:t>
      </w:r>
      <w:r w:rsidRPr="00826D45">
        <w:rPr>
          <w:rFonts w:cstheme="minorHAnsi"/>
          <w:color w:val="000000"/>
        </w:rPr>
        <w:tab/>
        <w:t>100% funded</w:t>
      </w:r>
    </w:p>
    <w:p w14:paraId="126C4B31" w14:textId="77777777" w:rsidR="00AC303C" w:rsidRPr="00826D45" w:rsidRDefault="00AC303C" w:rsidP="00AC303C">
      <w:pPr>
        <w:autoSpaceDE w:val="0"/>
        <w:autoSpaceDN w:val="0"/>
        <w:adjustRightInd w:val="0"/>
        <w:spacing w:after="78" w:line="240" w:lineRule="auto"/>
        <w:ind w:left="2835" w:hanging="2115"/>
        <w:rPr>
          <w:rFonts w:cstheme="minorHAnsi"/>
          <w:color w:val="000000"/>
        </w:rPr>
      </w:pPr>
      <w:r w:rsidRPr="00826D45">
        <w:rPr>
          <w:rFonts w:cstheme="minorHAnsi"/>
          <w:color w:val="000000"/>
        </w:rPr>
        <w:t>$1,001 - $3,000</w:t>
      </w:r>
      <w:r w:rsidRPr="00826D45">
        <w:rPr>
          <w:rFonts w:cstheme="minorHAnsi"/>
          <w:color w:val="000000"/>
        </w:rPr>
        <w:tab/>
        <w:t>50% matching contribution (dollar for dollar up to $3,000)</w:t>
      </w:r>
    </w:p>
    <w:p w14:paraId="5F8D53A4" w14:textId="77777777" w:rsidR="00AC303C" w:rsidRPr="00826D45" w:rsidRDefault="00AC303C" w:rsidP="00AC303C">
      <w:pPr>
        <w:autoSpaceDE w:val="0"/>
        <w:autoSpaceDN w:val="0"/>
        <w:adjustRightInd w:val="0"/>
        <w:spacing w:after="78" w:line="240" w:lineRule="auto"/>
        <w:ind w:left="2835" w:hanging="2115"/>
        <w:rPr>
          <w:rFonts w:cstheme="minorHAnsi"/>
          <w:color w:val="000000"/>
        </w:rPr>
      </w:pPr>
      <w:r w:rsidRPr="00826D45">
        <w:rPr>
          <w:rFonts w:cstheme="minorHAnsi"/>
          <w:color w:val="000000"/>
        </w:rPr>
        <w:t>$3,001 - $5,000</w:t>
      </w:r>
      <w:r w:rsidRPr="00826D45">
        <w:rPr>
          <w:rFonts w:cstheme="minorHAnsi"/>
          <w:color w:val="000000"/>
        </w:rPr>
        <w:tab/>
        <w:t>1/3 matching contribution</w:t>
      </w:r>
    </w:p>
    <w:p w14:paraId="4BCEA74C" w14:textId="77777777" w:rsidR="00AC303C" w:rsidRPr="00826D45" w:rsidRDefault="00AC303C" w:rsidP="00AC303C">
      <w:pPr>
        <w:autoSpaceDE w:val="0"/>
        <w:autoSpaceDN w:val="0"/>
        <w:adjustRightInd w:val="0"/>
        <w:spacing w:before="200" w:after="0" w:line="240" w:lineRule="auto"/>
        <w:rPr>
          <w:rFonts w:cstheme="minorHAnsi"/>
          <w:color w:val="000000"/>
        </w:rPr>
      </w:pPr>
      <w:r w:rsidRPr="00826D45">
        <w:rPr>
          <w:rFonts w:cstheme="minorHAnsi"/>
          <w:color w:val="000000"/>
        </w:rPr>
        <w:t xml:space="preserve">The value of in-kind work undertaken by volunteers may not exceed one third of the completed value of the project. The voluntary work should be described and valued at a rate of $20 per hour (generally $15 per hour for unskilled works and $20 per hour for skilled labour). </w:t>
      </w:r>
    </w:p>
    <w:p w14:paraId="51F4FDF4" w14:textId="77777777" w:rsidR="00AC303C" w:rsidRPr="00826D45" w:rsidRDefault="00AC303C" w:rsidP="00EA2651">
      <w:pPr>
        <w:spacing w:before="200" w:after="0" w:line="240" w:lineRule="auto"/>
        <w:jc w:val="both"/>
        <w:rPr>
          <w:rFonts w:cstheme="minorHAnsi"/>
          <w:lang w:eastAsia="en-AU"/>
        </w:rPr>
      </w:pPr>
      <w:r w:rsidRPr="00826D45">
        <w:rPr>
          <w:rFonts w:cstheme="minorHAnsi"/>
          <w:lang w:eastAsia="en-AU"/>
        </w:rPr>
        <w:lastRenderedPageBreak/>
        <w:t xml:space="preserve">Minor grants are to be considered by the </w:t>
      </w:r>
      <w:proofErr w:type="gramStart"/>
      <w:r w:rsidRPr="00826D45">
        <w:rPr>
          <w:rFonts w:cstheme="minorHAnsi"/>
          <w:lang w:eastAsia="en-AU"/>
        </w:rPr>
        <w:t>Mayor</w:t>
      </w:r>
      <w:proofErr w:type="gramEnd"/>
      <w:r w:rsidRPr="00826D45">
        <w:rPr>
          <w:rFonts w:cstheme="minorHAnsi"/>
          <w:lang w:eastAsia="en-AU"/>
        </w:rPr>
        <w:t>.  Formal acquittal processes are not mandatory but may be requested if considered appropriate.</w:t>
      </w:r>
    </w:p>
    <w:p w14:paraId="3EBF5055" w14:textId="77777777" w:rsidR="00AC303C" w:rsidRPr="00A9373D" w:rsidRDefault="00AC303C" w:rsidP="00EA2651">
      <w:pPr>
        <w:pStyle w:val="Default"/>
        <w:spacing w:before="200"/>
        <w:jc w:val="both"/>
        <w:rPr>
          <w:b/>
          <w:sz w:val="22"/>
          <w:szCs w:val="22"/>
        </w:rPr>
      </w:pPr>
      <w:r w:rsidRPr="00A9373D">
        <w:rPr>
          <w:b/>
          <w:sz w:val="22"/>
          <w:szCs w:val="22"/>
        </w:rPr>
        <w:t xml:space="preserve">Funding Application Assessment Criteria </w:t>
      </w:r>
    </w:p>
    <w:p w14:paraId="4C79ACC9" w14:textId="77777777" w:rsidR="00AC303C" w:rsidRDefault="00AC303C" w:rsidP="00EA2651">
      <w:pPr>
        <w:pStyle w:val="Default"/>
        <w:jc w:val="both"/>
        <w:rPr>
          <w:sz w:val="22"/>
          <w:szCs w:val="22"/>
        </w:rPr>
      </w:pPr>
      <w:r w:rsidRPr="00A219C3">
        <w:rPr>
          <w:sz w:val="22"/>
          <w:szCs w:val="22"/>
        </w:rPr>
        <w:t xml:space="preserve">Consideration will be given to priority areas, not limited to, emergency services, education, youth, sports, recreation, heritage and culture within the Town of East Fremantle. </w:t>
      </w:r>
    </w:p>
    <w:p w14:paraId="72E6880A" w14:textId="77777777" w:rsidR="00AC303C" w:rsidRDefault="00AC303C" w:rsidP="00EA2651">
      <w:pPr>
        <w:pStyle w:val="Default"/>
        <w:spacing w:before="200"/>
        <w:jc w:val="both"/>
        <w:rPr>
          <w:sz w:val="22"/>
          <w:szCs w:val="22"/>
        </w:rPr>
      </w:pPr>
      <w:r w:rsidRPr="00A219C3">
        <w:rPr>
          <w:sz w:val="22"/>
          <w:szCs w:val="22"/>
        </w:rPr>
        <w:t xml:space="preserve">Only one application for assistance towards one project will be assessed for the provision of minor sporting, recreation, cultural or </w:t>
      </w:r>
      <w:proofErr w:type="gramStart"/>
      <w:r w:rsidRPr="00A219C3">
        <w:rPr>
          <w:sz w:val="22"/>
          <w:szCs w:val="22"/>
        </w:rPr>
        <w:t>other</w:t>
      </w:r>
      <w:proofErr w:type="gramEnd"/>
      <w:r w:rsidRPr="00A219C3">
        <w:rPr>
          <w:sz w:val="22"/>
          <w:szCs w:val="22"/>
        </w:rPr>
        <w:t xml:space="preserve"> project. </w:t>
      </w:r>
    </w:p>
    <w:p w14:paraId="10FDCC7D" w14:textId="77777777" w:rsidR="00AC303C" w:rsidRDefault="00AC303C" w:rsidP="00EA2651">
      <w:pPr>
        <w:pStyle w:val="Default"/>
        <w:spacing w:before="200"/>
        <w:jc w:val="both"/>
        <w:rPr>
          <w:sz w:val="22"/>
          <w:szCs w:val="22"/>
        </w:rPr>
      </w:pPr>
      <w:r w:rsidRPr="00A219C3">
        <w:rPr>
          <w:sz w:val="22"/>
          <w:szCs w:val="22"/>
        </w:rPr>
        <w:t xml:space="preserve">The applicant organisation must operate from the Town of East Fremantle and beneficiaries must be residents of the Town of East Fremantle. If managed by an outside group, demonstrated evidence that a high percentage of members/users reside in the Town of East Fremantle must be included in the application. </w:t>
      </w:r>
    </w:p>
    <w:p w14:paraId="739A9DC4" w14:textId="77777777" w:rsidR="00AC303C" w:rsidRPr="00A219C3" w:rsidRDefault="00AC303C" w:rsidP="00EA2651">
      <w:pPr>
        <w:pStyle w:val="Default"/>
        <w:spacing w:before="200"/>
        <w:jc w:val="both"/>
        <w:rPr>
          <w:sz w:val="22"/>
          <w:szCs w:val="22"/>
        </w:rPr>
      </w:pPr>
      <w:r w:rsidRPr="00A219C3">
        <w:rPr>
          <w:sz w:val="22"/>
          <w:szCs w:val="22"/>
        </w:rPr>
        <w:t xml:space="preserve">Only groups who can demonstrate that they are a not-for-profit community organisation will be considered eligible for funding. </w:t>
      </w:r>
    </w:p>
    <w:p w14:paraId="0DA3578D" w14:textId="3AD823C6" w:rsidR="00AC303C" w:rsidRPr="00A9373D" w:rsidRDefault="00AC303C" w:rsidP="00EA2651">
      <w:pPr>
        <w:pStyle w:val="Default"/>
        <w:spacing w:before="200"/>
        <w:jc w:val="both"/>
        <w:rPr>
          <w:b/>
          <w:sz w:val="22"/>
          <w:szCs w:val="22"/>
        </w:rPr>
      </w:pPr>
      <w:r w:rsidRPr="00A9373D">
        <w:rPr>
          <w:b/>
          <w:sz w:val="22"/>
          <w:szCs w:val="22"/>
        </w:rPr>
        <w:t xml:space="preserve">Community </w:t>
      </w:r>
      <w:r w:rsidR="009C6DD8">
        <w:rPr>
          <w:b/>
          <w:sz w:val="22"/>
          <w:szCs w:val="22"/>
        </w:rPr>
        <w:t xml:space="preserve">Assistance </w:t>
      </w:r>
      <w:r w:rsidRPr="00A9373D">
        <w:rPr>
          <w:b/>
          <w:sz w:val="22"/>
          <w:szCs w:val="22"/>
        </w:rPr>
        <w:t xml:space="preserve">Grants </w:t>
      </w:r>
      <w:r w:rsidR="009C6DD8">
        <w:rPr>
          <w:b/>
          <w:sz w:val="22"/>
          <w:szCs w:val="22"/>
        </w:rPr>
        <w:t xml:space="preserve">Occasional </w:t>
      </w:r>
      <w:r w:rsidRPr="00A9373D">
        <w:rPr>
          <w:b/>
          <w:sz w:val="22"/>
          <w:szCs w:val="22"/>
        </w:rPr>
        <w:t xml:space="preserve">Committee </w:t>
      </w:r>
    </w:p>
    <w:p w14:paraId="4E626CB3" w14:textId="2578433A" w:rsidR="00AC303C" w:rsidRPr="00A219C3" w:rsidRDefault="00AC303C" w:rsidP="00EA2651">
      <w:pPr>
        <w:pStyle w:val="Default"/>
        <w:spacing w:after="60"/>
        <w:jc w:val="both"/>
        <w:rPr>
          <w:sz w:val="22"/>
          <w:szCs w:val="22"/>
        </w:rPr>
      </w:pPr>
      <w:r w:rsidRPr="00A219C3">
        <w:rPr>
          <w:sz w:val="22"/>
          <w:szCs w:val="22"/>
        </w:rPr>
        <w:t xml:space="preserve">The Community </w:t>
      </w:r>
      <w:r w:rsidR="009C6DD8">
        <w:rPr>
          <w:sz w:val="22"/>
          <w:szCs w:val="22"/>
        </w:rPr>
        <w:t>Assistance Grants Occasional Committee</w:t>
      </w:r>
      <w:r w:rsidRPr="00A219C3">
        <w:rPr>
          <w:sz w:val="22"/>
          <w:szCs w:val="22"/>
        </w:rPr>
        <w:t xml:space="preserve"> will consist of the following </w:t>
      </w:r>
      <w:proofErr w:type="gramStart"/>
      <w:r w:rsidRPr="00A219C3">
        <w:rPr>
          <w:sz w:val="22"/>
          <w:szCs w:val="22"/>
        </w:rPr>
        <w:t>membership;</w:t>
      </w:r>
      <w:proofErr w:type="gramEnd"/>
      <w:r w:rsidRPr="00A219C3">
        <w:rPr>
          <w:sz w:val="22"/>
          <w:szCs w:val="22"/>
        </w:rPr>
        <w:t xml:space="preserve"> </w:t>
      </w:r>
    </w:p>
    <w:p w14:paraId="30F0FCE0" w14:textId="77777777" w:rsidR="00AC303C" w:rsidRPr="00A219C3" w:rsidRDefault="00AC303C" w:rsidP="002A3889">
      <w:pPr>
        <w:pStyle w:val="Default"/>
        <w:numPr>
          <w:ilvl w:val="0"/>
          <w:numId w:val="50"/>
        </w:numPr>
        <w:spacing w:after="30"/>
        <w:jc w:val="both"/>
        <w:rPr>
          <w:sz w:val="22"/>
          <w:szCs w:val="22"/>
        </w:rPr>
      </w:pPr>
      <w:r w:rsidRPr="00A219C3">
        <w:rPr>
          <w:sz w:val="22"/>
          <w:szCs w:val="22"/>
        </w:rPr>
        <w:t xml:space="preserve">Mayor (or his/her representative) &amp; </w:t>
      </w:r>
      <w:r>
        <w:rPr>
          <w:sz w:val="22"/>
          <w:szCs w:val="22"/>
        </w:rPr>
        <w:t xml:space="preserve">two </w:t>
      </w:r>
      <w:r w:rsidRPr="00A219C3">
        <w:rPr>
          <w:sz w:val="22"/>
          <w:szCs w:val="22"/>
        </w:rPr>
        <w:t>Councillor</w:t>
      </w:r>
      <w:r>
        <w:rPr>
          <w:sz w:val="22"/>
          <w:szCs w:val="22"/>
        </w:rPr>
        <w:t>s</w:t>
      </w:r>
      <w:r w:rsidRPr="00A219C3">
        <w:rPr>
          <w:sz w:val="22"/>
          <w:szCs w:val="22"/>
        </w:rPr>
        <w:t xml:space="preserve"> </w:t>
      </w:r>
    </w:p>
    <w:p w14:paraId="2821DBCB" w14:textId="77777777" w:rsidR="00AC303C" w:rsidRPr="00A219C3" w:rsidRDefault="00AC303C" w:rsidP="002A3889">
      <w:pPr>
        <w:pStyle w:val="Default"/>
        <w:numPr>
          <w:ilvl w:val="0"/>
          <w:numId w:val="50"/>
        </w:numPr>
        <w:spacing w:after="30"/>
        <w:rPr>
          <w:sz w:val="22"/>
          <w:szCs w:val="22"/>
        </w:rPr>
      </w:pPr>
      <w:r w:rsidRPr="00A219C3">
        <w:rPr>
          <w:sz w:val="22"/>
          <w:szCs w:val="22"/>
        </w:rPr>
        <w:t xml:space="preserve">2 x staff members </w:t>
      </w:r>
    </w:p>
    <w:p w14:paraId="35F9B9FD" w14:textId="77777777" w:rsidR="00AC303C" w:rsidRPr="00A219C3" w:rsidRDefault="00AC303C" w:rsidP="002A3889">
      <w:pPr>
        <w:pStyle w:val="Default"/>
        <w:numPr>
          <w:ilvl w:val="0"/>
          <w:numId w:val="50"/>
        </w:numPr>
        <w:rPr>
          <w:sz w:val="22"/>
          <w:szCs w:val="22"/>
        </w:rPr>
      </w:pPr>
      <w:r w:rsidRPr="00A219C3">
        <w:rPr>
          <w:sz w:val="22"/>
          <w:szCs w:val="22"/>
        </w:rPr>
        <w:t xml:space="preserve">2 </w:t>
      </w:r>
      <w:proofErr w:type="gramStart"/>
      <w:r w:rsidRPr="00A219C3">
        <w:rPr>
          <w:sz w:val="22"/>
          <w:szCs w:val="22"/>
        </w:rPr>
        <w:t>x  Community</w:t>
      </w:r>
      <w:proofErr w:type="gramEnd"/>
      <w:r w:rsidRPr="00A219C3">
        <w:rPr>
          <w:sz w:val="22"/>
          <w:szCs w:val="22"/>
        </w:rPr>
        <w:t xml:space="preserve"> members. </w:t>
      </w:r>
    </w:p>
    <w:p w14:paraId="4860DE13" w14:textId="77777777" w:rsidR="00AC303C" w:rsidRPr="00A9373D" w:rsidRDefault="00AC303C" w:rsidP="00AC303C">
      <w:pPr>
        <w:autoSpaceDE w:val="0"/>
        <w:autoSpaceDN w:val="0"/>
        <w:adjustRightInd w:val="0"/>
        <w:spacing w:before="200" w:after="0" w:line="240" w:lineRule="auto"/>
        <w:rPr>
          <w:rFonts w:cstheme="minorHAnsi"/>
          <w:b/>
          <w:color w:val="000000"/>
        </w:rPr>
      </w:pPr>
      <w:r w:rsidRPr="00A9373D">
        <w:rPr>
          <w:rFonts w:cstheme="minorHAnsi"/>
          <w:b/>
          <w:bCs/>
          <w:color w:val="000000"/>
        </w:rPr>
        <w:t xml:space="preserve">Retrospective Funding </w:t>
      </w:r>
    </w:p>
    <w:p w14:paraId="47345D76" w14:textId="77777777" w:rsidR="00AC303C" w:rsidRPr="00826D45" w:rsidRDefault="00AC303C" w:rsidP="00AC303C">
      <w:pPr>
        <w:autoSpaceDE w:val="0"/>
        <w:autoSpaceDN w:val="0"/>
        <w:adjustRightInd w:val="0"/>
        <w:spacing w:after="120" w:line="240" w:lineRule="auto"/>
        <w:rPr>
          <w:rFonts w:cstheme="minorHAnsi"/>
          <w:color w:val="000000"/>
        </w:rPr>
      </w:pPr>
      <w:r w:rsidRPr="00826D45">
        <w:rPr>
          <w:rFonts w:cstheme="minorHAnsi"/>
          <w:color w:val="000000"/>
        </w:rPr>
        <w:t xml:space="preserve">No application for retrospective projects will be considered as part of this grant/funding scheme. </w:t>
      </w:r>
    </w:p>
    <w:p w14:paraId="3EF25A8C" w14:textId="77777777" w:rsidR="00AC303C" w:rsidRDefault="00AC303C" w:rsidP="00AC303C">
      <w:pPr>
        <w:autoSpaceDE w:val="0"/>
        <w:autoSpaceDN w:val="0"/>
        <w:adjustRightInd w:val="0"/>
        <w:spacing w:after="0" w:line="240" w:lineRule="auto"/>
        <w:rPr>
          <w:rFonts w:cstheme="minorHAnsi"/>
          <w:color w:val="000000"/>
        </w:rPr>
      </w:pPr>
      <w:r w:rsidRPr="00826D45">
        <w:rPr>
          <w:rFonts w:cstheme="minorHAnsi"/>
          <w:color w:val="000000"/>
        </w:rPr>
        <w:t xml:space="preserve">Projects may not materially commence before the announcement of successful applicants. </w:t>
      </w:r>
    </w:p>
    <w:p w14:paraId="72888F2A" w14:textId="77777777" w:rsidR="00AC303C" w:rsidRPr="00A9373D" w:rsidRDefault="00AC303C" w:rsidP="00AC303C">
      <w:pPr>
        <w:spacing w:before="200" w:after="0" w:line="240" w:lineRule="auto"/>
        <w:jc w:val="both"/>
        <w:rPr>
          <w:rFonts w:cstheme="minorHAnsi"/>
          <w:b/>
          <w:lang w:eastAsia="en-AU"/>
        </w:rPr>
      </w:pPr>
      <w:r w:rsidRPr="00A9373D">
        <w:rPr>
          <w:rFonts w:cstheme="minorHAnsi"/>
          <w:b/>
          <w:lang w:eastAsia="en-AU"/>
        </w:rPr>
        <w:t>Ineligibility</w:t>
      </w:r>
    </w:p>
    <w:p w14:paraId="7BE92415" w14:textId="77777777" w:rsidR="00AC303C" w:rsidRPr="00826D45" w:rsidRDefault="00AC303C" w:rsidP="00AC303C">
      <w:pPr>
        <w:spacing w:after="0" w:line="240" w:lineRule="auto"/>
        <w:jc w:val="both"/>
        <w:rPr>
          <w:rFonts w:cstheme="minorHAnsi"/>
          <w:lang w:eastAsia="en-AU"/>
        </w:rPr>
      </w:pPr>
      <w:r w:rsidRPr="00826D45">
        <w:rPr>
          <w:rFonts w:cstheme="minorHAnsi"/>
          <w:lang w:eastAsia="en-AU"/>
        </w:rPr>
        <w:t>State and Federal Government agencies, incorporated associations whose members derive individual benefit or financial return from their activities, individuals outside of Travel Subsidy and Youth Encouragement grants.</w:t>
      </w:r>
    </w:p>
    <w:p w14:paraId="3A1A3423" w14:textId="77777777" w:rsidR="00AC303C" w:rsidRPr="00A9373D" w:rsidRDefault="00AC303C" w:rsidP="00AC303C">
      <w:pPr>
        <w:spacing w:before="200" w:after="0" w:line="240" w:lineRule="auto"/>
        <w:jc w:val="both"/>
        <w:rPr>
          <w:rFonts w:cstheme="minorHAnsi"/>
          <w:b/>
          <w:lang w:eastAsia="en-AU"/>
        </w:rPr>
      </w:pPr>
      <w:r w:rsidRPr="00A9373D">
        <w:rPr>
          <w:rFonts w:cstheme="minorHAnsi"/>
          <w:b/>
          <w:lang w:eastAsia="en-AU"/>
        </w:rPr>
        <w:t>Perception of Bias</w:t>
      </w:r>
    </w:p>
    <w:p w14:paraId="1A4EFBF5" w14:textId="77777777" w:rsidR="00AC303C" w:rsidRDefault="00AC303C" w:rsidP="00AC303C">
      <w:pPr>
        <w:spacing w:after="120" w:line="240" w:lineRule="auto"/>
        <w:jc w:val="both"/>
        <w:rPr>
          <w:rFonts w:cstheme="minorHAnsi"/>
          <w:lang w:eastAsia="en-AU"/>
        </w:rPr>
      </w:pPr>
      <w:r w:rsidRPr="00826D45">
        <w:rPr>
          <w:rFonts w:cstheme="minorHAnsi"/>
          <w:lang w:eastAsia="en-AU"/>
        </w:rPr>
        <w:t>In accordance with best practice public sector transparency and accountability principles, all committee members and staff who are, or have in the last three years, been a board member, committee member, executive member or life member of an association applying for funds, shall disqualify themselves from all aspects of the consideration process from receipt of application through to consideration at the Community Grants Committee.</w:t>
      </w:r>
    </w:p>
    <w:p w14:paraId="6324A64A" w14:textId="77777777" w:rsidR="00AC303C" w:rsidRPr="00826D45" w:rsidRDefault="00AC303C" w:rsidP="00AC303C">
      <w:pPr>
        <w:spacing w:after="120" w:line="240" w:lineRule="auto"/>
        <w:jc w:val="both"/>
        <w:rPr>
          <w:rFonts w:cstheme="minorHAnsi"/>
          <w:lang w:eastAsia="en-AU"/>
        </w:rPr>
      </w:pPr>
    </w:p>
    <w:tbl>
      <w:tblPr>
        <w:tblStyle w:val="TableGrid"/>
        <w:tblW w:w="0" w:type="auto"/>
        <w:tblLook w:val="04A0" w:firstRow="1" w:lastRow="0" w:firstColumn="1" w:lastColumn="0" w:noHBand="0" w:noVBand="1"/>
      </w:tblPr>
      <w:tblGrid>
        <w:gridCol w:w="3054"/>
        <w:gridCol w:w="5986"/>
      </w:tblGrid>
      <w:tr w:rsidR="00AC303C" w:rsidRPr="00826D45" w14:paraId="5626E5AD" w14:textId="77777777" w:rsidTr="00FD4C05">
        <w:tc>
          <w:tcPr>
            <w:tcW w:w="3085" w:type="dxa"/>
          </w:tcPr>
          <w:p w14:paraId="100C5F3E" w14:textId="77777777" w:rsidR="00AC303C" w:rsidRPr="00826D45" w:rsidRDefault="00AC303C" w:rsidP="00FD4C05">
            <w:pPr>
              <w:jc w:val="both"/>
              <w:rPr>
                <w:rFonts w:cstheme="minorHAnsi"/>
                <w:b/>
                <w:lang w:val="en-US"/>
              </w:rPr>
            </w:pPr>
            <w:r w:rsidRPr="00826D45">
              <w:rPr>
                <w:rFonts w:cstheme="minorHAnsi"/>
                <w:b/>
                <w:lang w:val="en-US"/>
              </w:rPr>
              <w:t>Responsible Directorate:</w:t>
            </w:r>
          </w:p>
        </w:tc>
        <w:tc>
          <w:tcPr>
            <w:tcW w:w="6157" w:type="dxa"/>
          </w:tcPr>
          <w:p w14:paraId="45AE98C0" w14:textId="77777777" w:rsidR="00AC303C" w:rsidRPr="00826D45" w:rsidRDefault="00AC303C" w:rsidP="00FD4C05">
            <w:pPr>
              <w:jc w:val="both"/>
              <w:rPr>
                <w:rFonts w:cstheme="minorHAnsi"/>
                <w:lang w:val="en-US"/>
              </w:rPr>
            </w:pPr>
            <w:r>
              <w:rPr>
                <w:rFonts w:cstheme="minorHAnsi"/>
                <w:lang w:val="en-US"/>
              </w:rPr>
              <w:t>Corporate Services</w:t>
            </w:r>
          </w:p>
        </w:tc>
      </w:tr>
      <w:tr w:rsidR="00AC303C" w:rsidRPr="00826D45" w14:paraId="0EDD4FAC" w14:textId="77777777" w:rsidTr="00FD4C05">
        <w:tc>
          <w:tcPr>
            <w:tcW w:w="3085" w:type="dxa"/>
          </w:tcPr>
          <w:p w14:paraId="2D45F537" w14:textId="77777777" w:rsidR="00AC303C" w:rsidRPr="00826D45" w:rsidRDefault="00AC303C" w:rsidP="00FD4C05">
            <w:pPr>
              <w:jc w:val="both"/>
              <w:rPr>
                <w:rFonts w:cstheme="minorHAnsi"/>
                <w:b/>
                <w:lang w:val="en-US"/>
              </w:rPr>
            </w:pPr>
            <w:r w:rsidRPr="00826D45">
              <w:rPr>
                <w:rFonts w:cstheme="minorHAnsi"/>
                <w:b/>
                <w:lang w:val="en-US"/>
              </w:rPr>
              <w:t>Reviewing Officer:</w:t>
            </w:r>
          </w:p>
        </w:tc>
        <w:tc>
          <w:tcPr>
            <w:tcW w:w="6157" w:type="dxa"/>
          </w:tcPr>
          <w:p w14:paraId="6FDD10E0" w14:textId="77777777" w:rsidR="00AC303C" w:rsidRPr="00826D45" w:rsidRDefault="00AC303C" w:rsidP="00FD4C05">
            <w:pPr>
              <w:jc w:val="both"/>
              <w:rPr>
                <w:rFonts w:cstheme="minorHAnsi"/>
                <w:lang w:val="en-US"/>
              </w:rPr>
            </w:pPr>
            <w:r w:rsidRPr="00826D45">
              <w:rPr>
                <w:rFonts w:cstheme="minorHAnsi"/>
                <w:lang w:val="en-US"/>
              </w:rPr>
              <w:t>CEO</w:t>
            </w:r>
          </w:p>
        </w:tc>
      </w:tr>
      <w:tr w:rsidR="00AC303C" w:rsidRPr="00826D45" w14:paraId="5D78E307" w14:textId="77777777" w:rsidTr="00FD4C05">
        <w:tc>
          <w:tcPr>
            <w:tcW w:w="3085" w:type="dxa"/>
          </w:tcPr>
          <w:p w14:paraId="5B463B58" w14:textId="77777777" w:rsidR="00AC303C" w:rsidRPr="00826D45" w:rsidRDefault="00AC303C" w:rsidP="00FD4C05">
            <w:pPr>
              <w:jc w:val="both"/>
              <w:rPr>
                <w:rFonts w:cstheme="minorHAnsi"/>
                <w:b/>
                <w:lang w:val="en-US"/>
              </w:rPr>
            </w:pPr>
            <w:r w:rsidRPr="00826D45">
              <w:rPr>
                <w:rFonts w:cstheme="minorHAnsi"/>
                <w:b/>
                <w:lang w:val="en-US"/>
              </w:rPr>
              <w:t>Decision making Authority:</w:t>
            </w:r>
          </w:p>
        </w:tc>
        <w:tc>
          <w:tcPr>
            <w:tcW w:w="6157" w:type="dxa"/>
          </w:tcPr>
          <w:p w14:paraId="305F9236" w14:textId="77777777" w:rsidR="00AC303C" w:rsidRPr="00826D45" w:rsidRDefault="00AC303C" w:rsidP="00FD4C05">
            <w:pPr>
              <w:jc w:val="both"/>
              <w:rPr>
                <w:rFonts w:cstheme="minorHAnsi"/>
                <w:lang w:val="en-US"/>
              </w:rPr>
            </w:pPr>
            <w:r w:rsidRPr="00826D45">
              <w:rPr>
                <w:rFonts w:cstheme="minorHAnsi"/>
                <w:lang w:val="en-US"/>
              </w:rPr>
              <w:t>Council</w:t>
            </w:r>
          </w:p>
        </w:tc>
      </w:tr>
      <w:tr w:rsidR="00AC303C" w:rsidRPr="00826D45" w14:paraId="383E6AC9" w14:textId="77777777" w:rsidTr="00FD4C05">
        <w:tc>
          <w:tcPr>
            <w:tcW w:w="3085" w:type="dxa"/>
          </w:tcPr>
          <w:p w14:paraId="01AA7357" w14:textId="77777777" w:rsidR="00AC303C" w:rsidRPr="00826D45" w:rsidRDefault="00AC303C" w:rsidP="00FD4C05">
            <w:pPr>
              <w:jc w:val="both"/>
              <w:rPr>
                <w:rFonts w:cstheme="minorHAnsi"/>
                <w:b/>
                <w:lang w:val="en-US"/>
              </w:rPr>
            </w:pPr>
            <w:r w:rsidRPr="00826D45">
              <w:rPr>
                <w:rFonts w:cstheme="minorHAnsi"/>
                <w:b/>
                <w:lang w:val="en-US"/>
              </w:rPr>
              <w:t>Policy Adopted:</w:t>
            </w:r>
          </w:p>
        </w:tc>
        <w:tc>
          <w:tcPr>
            <w:tcW w:w="6157" w:type="dxa"/>
          </w:tcPr>
          <w:p w14:paraId="03178463" w14:textId="77777777" w:rsidR="00AC303C" w:rsidRPr="00826D45" w:rsidRDefault="00AC303C" w:rsidP="00FD4C05">
            <w:pPr>
              <w:jc w:val="both"/>
              <w:rPr>
                <w:rFonts w:cstheme="minorHAnsi"/>
                <w:lang w:val="en-US"/>
              </w:rPr>
            </w:pPr>
            <w:r w:rsidRPr="00826D45">
              <w:rPr>
                <w:rFonts w:cstheme="minorHAnsi"/>
                <w:lang w:val="en-US"/>
              </w:rPr>
              <w:t>21/06/16</w:t>
            </w:r>
          </w:p>
        </w:tc>
      </w:tr>
      <w:tr w:rsidR="00AC303C" w:rsidRPr="00826D45" w14:paraId="73DB0028" w14:textId="77777777" w:rsidTr="00FD4C05">
        <w:tc>
          <w:tcPr>
            <w:tcW w:w="3085" w:type="dxa"/>
          </w:tcPr>
          <w:p w14:paraId="4D9380EC" w14:textId="77777777" w:rsidR="00AC303C" w:rsidRPr="00826D45" w:rsidRDefault="00AC303C" w:rsidP="00FD4C05">
            <w:pPr>
              <w:jc w:val="both"/>
              <w:rPr>
                <w:rFonts w:cstheme="minorHAnsi"/>
                <w:b/>
                <w:lang w:val="en-US"/>
              </w:rPr>
            </w:pPr>
            <w:r>
              <w:rPr>
                <w:rFonts w:cstheme="minorHAnsi"/>
                <w:b/>
                <w:lang w:val="en-US"/>
              </w:rPr>
              <w:t>Policy Amended/Reviewed:</w:t>
            </w:r>
          </w:p>
        </w:tc>
        <w:tc>
          <w:tcPr>
            <w:tcW w:w="6157" w:type="dxa"/>
          </w:tcPr>
          <w:p w14:paraId="2EC5C31D" w14:textId="3F358BB2" w:rsidR="00AC303C" w:rsidRPr="00826D45" w:rsidRDefault="00AC303C" w:rsidP="00FD4C05">
            <w:pPr>
              <w:jc w:val="both"/>
              <w:rPr>
                <w:rFonts w:cstheme="minorHAnsi"/>
                <w:lang w:val="en-US"/>
              </w:rPr>
            </w:pPr>
            <w:r>
              <w:rPr>
                <w:rFonts w:cstheme="minorHAnsi"/>
                <w:lang w:val="en-US"/>
              </w:rPr>
              <w:t>17/9/19, 19/11/19</w:t>
            </w:r>
            <w:r w:rsidR="008A2520">
              <w:rPr>
                <w:rFonts w:cstheme="minorHAnsi"/>
                <w:lang w:val="en-US"/>
              </w:rPr>
              <w:t>, 28/10/25</w:t>
            </w:r>
          </w:p>
        </w:tc>
      </w:tr>
      <w:tr w:rsidR="00AC303C" w:rsidRPr="00826D45" w14:paraId="5D3FC167" w14:textId="77777777" w:rsidTr="00FD4C05">
        <w:tc>
          <w:tcPr>
            <w:tcW w:w="3085" w:type="dxa"/>
          </w:tcPr>
          <w:p w14:paraId="33A1E974" w14:textId="77777777" w:rsidR="00AC303C" w:rsidRPr="00826D45" w:rsidRDefault="00AC303C" w:rsidP="00FD4C05">
            <w:pPr>
              <w:jc w:val="both"/>
              <w:rPr>
                <w:rFonts w:cstheme="minorHAnsi"/>
                <w:b/>
                <w:lang w:val="en-US"/>
              </w:rPr>
            </w:pPr>
            <w:r>
              <w:rPr>
                <w:rFonts w:cstheme="minorHAnsi"/>
                <w:b/>
                <w:lang w:val="en-US"/>
              </w:rPr>
              <w:t>Former Policy No:</w:t>
            </w:r>
          </w:p>
        </w:tc>
        <w:tc>
          <w:tcPr>
            <w:tcW w:w="6157" w:type="dxa"/>
          </w:tcPr>
          <w:p w14:paraId="6585E8C5" w14:textId="77777777" w:rsidR="00AC303C" w:rsidRPr="00826D45" w:rsidRDefault="00AC303C" w:rsidP="00FD4C05">
            <w:pPr>
              <w:jc w:val="both"/>
              <w:rPr>
                <w:rFonts w:cstheme="minorHAnsi"/>
                <w:lang w:val="en-US"/>
              </w:rPr>
            </w:pPr>
            <w:r>
              <w:rPr>
                <w:rFonts w:cstheme="minorHAnsi"/>
                <w:lang w:val="en-US"/>
              </w:rPr>
              <w:t>1.2.2</w:t>
            </w:r>
          </w:p>
        </w:tc>
      </w:tr>
    </w:tbl>
    <w:p w14:paraId="71EB8593" w14:textId="77777777" w:rsidR="00AC303C" w:rsidRPr="00826D45" w:rsidRDefault="00AC303C" w:rsidP="00AC303C">
      <w:pPr>
        <w:jc w:val="both"/>
        <w:rPr>
          <w:rFonts w:cstheme="minorHAnsi"/>
          <w:lang w:val="en-US"/>
        </w:rPr>
      </w:pPr>
    </w:p>
    <w:p w14:paraId="73704D96" w14:textId="77777777" w:rsidR="00826D45" w:rsidRDefault="00826D45">
      <w:pPr>
        <w:rPr>
          <w:rFonts w:cstheme="minorHAnsi"/>
        </w:rPr>
      </w:pPr>
      <w:r>
        <w:rPr>
          <w:rFonts w:cstheme="minorHAnsi"/>
        </w:rPr>
        <w:br w:type="page"/>
      </w:r>
    </w:p>
    <w:p w14:paraId="77F6CC1A" w14:textId="4DB9946B" w:rsidR="00E91624" w:rsidRPr="004713E5" w:rsidRDefault="00E91624" w:rsidP="00E91624">
      <w:pPr>
        <w:pStyle w:val="Title"/>
        <w:pBdr>
          <w:bottom w:val="none" w:sz="0" w:space="0" w:color="auto"/>
        </w:pBdr>
        <w:spacing w:after="240"/>
        <w:jc w:val="right"/>
        <w:rPr>
          <w:lang w:val="en-US"/>
        </w:rPr>
      </w:pPr>
      <w:r>
        <w:rPr>
          <w:noProof/>
          <w:lang w:eastAsia="en-AU"/>
        </w:rPr>
        <w:lastRenderedPageBreak/>
        <w:drawing>
          <wp:anchor distT="0" distB="0" distL="114300" distR="114300" simplePos="0" relativeHeight="251708416" behindDoc="1" locked="0" layoutInCell="1" allowOverlap="1" wp14:anchorId="69F9BE62" wp14:editId="637F9D44">
            <wp:simplePos x="0" y="0"/>
            <wp:positionH relativeFrom="column">
              <wp:posOffset>4362450</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464" name="Picture 4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52010000" w14:textId="77777777" w:rsidR="00E91624" w:rsidRPr="00CF5405" w:rsidRDefault="00E91624" w:rsidP="00E91624">
      <w:pPr>
        <w:pStyle w:val="Title"/>
        <w:pBdr>
          <w:bottom w:val="none" w:sz="0" w:space="0" w:color="auto"/>
        </w:pBdr>
        <w:spacing w:before="240" w:after="0"/>
        <w:rPr>
          <w:rFonts w:ascii="Arial" w:hAnsi="Arial" w:cs="Arial"/>
          <w:b/>
          <w:sz w:val="16"/>
          <w:szCs w:val="28"/>
          <w:lang w:val="en-US"/>
        </w:rPr>
      </w:pPr>
    </w:p>
    <w:p w14:paraId="0B69D1E6" w14:textId="77777777" w:rsidR="00E91624" w:rsidRDefault="00E91624" w:rsidP="00E91624">
      <w:pPr>
        <w:pStyle w:val="Policy3"/>
        <w:spacing w:before="120" w:after="120"/>
      </w:pPr>
      <w:bookmarkStart w:id="305" w:name="_Toc14942640"/>
    </w:p>
    <w:p w14:paraId="75A62C7C" w14:textId="77777777" w:rsidR="00E91624" w:rsidRPr="001C5170" w:rsidRDefault="00E91624" w:rsidP="00E91624">
      <w:pPr>
        <w:pStyle w:val="Policy3"/>
        <w:spacing w:before="120" w:after="120"/>
      </w:pPr>
      <w:bookmarkStart w:id="306" w:name="_Toc216866688"/>
      <w:r w:rsidRPr="001C5170">
        <w:t>2.1.12</w:t>
      </w:r>
      <w:r w:rsidRPr="001C5170">
        <w:tab/>
        <w:t>Leeuwin Carpark (No 1) &amp; Launching Ramp – Parking for Ratepayers</w:t>
      </w:r>
      <w:bookmarkEnd w:id="305"/>
      <w:bookmarkEnd w:id="306"/>
    </w:p>
    <w:tbl>
      <w:tblPr>
        <w:tblStyle w:val="TableGrid"/>
        <w:tblW w:w="0" w:type="auto"/>
        <w:tblLook w:val="04A0" w:firstRow="1" w:lastRow="0" w:firstColumn="1" w:lastColumn="0" w:noHBand="0" w:noVBand="1"/>
      </w:tblPr>
      <w:tblGrid>
        <w:gridCol w:w="3022"/>
        <w:gridCol w:w="5994"/>
      </w:tblGrid>
      <w:tr w:rsidR="00E91624" w:rsidRPr="00711E41" w14:paraId="182E5AFD" w14:textId="77777777" w:rsidTr="00660D34">
        <w:tc>
          <w:tcPr>
            <w:tcW w:w="3022" w:type="dxa"/>
          </w:tcPr>
          <w:p w14:paraId="03057947" w14:textId="77777777" w:rsidR="00E91624" w:rsidRPr="00711E41" w:rsidRDefault="00E91624" w:rsidP="00660D34">
            <w:pPr>
              <w:rPr>
                <w:rFonts w:cstheme="minorHAnsi"/>
                <w:b/>
                <w:lang w:val="en-US"/>
              </w:rPr>
            </w:pPr>
            <w:r w:rsidRPr="00711E41">
              <w:rPr>
                <w:rFonts w:cstheme="minorHAnsi"/>
                <w:b/>
                <w:lang w:val="en-US"/>
              </w:rPr>
              <w:t>Type:</w:t>
            </w:r>
          </w:p>
        </w:tc>
        <w:tc>
          <w:tcPr>
            <w:tcW w:w="5994" w:type="dxa"/>
          </w:tcPr>
          <w:p w14:paraId="040A3F63" w14:textId="77777777" w:rsidR="00E91624" w:rsidRPr="00711E41" w:rsidRDefault="00E91624" w:rsidP="00660D34">
            <w:pPr>
              <w:rPr>
                <w:rFonts w:cstheme="minorHAnsi"/>
                <w:lang w:val="en-US"/>
              </w:rPr>
            </w:pPr>
            <w:r>
              <w:rPr>
                <w:rFonts w:cstheme="minorHAnsi"/>
                <w:lang w:val="en-US"/>
              </w:rPr>
              <w:t>Corporate Services – Financial Management</w:t>
            </w:r>
          </w:p>
        </w:tc>
      </w:tr>
      <w:tr w:rsidR="00E91624" w:rsidRPr="00711E41" w14:paraId="71242DB4" w14:textId="77777777" w:rsidTr="00660D34">
        <w:tc>
          <w:tcPr>
            <w:tcW w:w="3022" w:type="dxa"/>
          </w:tcPr>
          <w:p w14:paraId="456551D9" w14:textId="77777777" w:rsidR="00E91624" w:rsidRPr="00711E41" w:rsidRDefault="00E91624" w:rsidP="00660D34">
            <w:pPr>
              <w:rPr>
                <w:rFonts w:cstheme="minorHAnsi"/>
                <w:b/>
                <w:lang w:val="en-US"/>
              </w:rPr>
            </w:pPr>
            <w:r w:rsidRPr="00711E41">
              <w:rPr>
                <w:rFonts w:cstheme="minorHAnsi"/>
                <w:b/>
                <w:lang w:val="en-US"/>
              </w:rPr>
              <w:t>Legislation:</w:t>
            </w:r>
          </w:p>
        </w:tc>
        <w:tc>
          <w:tcPr>
            <w:tcW w:w="5994" w:type="dxa"/>
          </w:tcPr>
          <w:p w14:paraId="5B01DA65" w14:textId="77777777" w:rsidR="00E91624" w:rsidRPr="00711E41" w:rsidRDefault="00E91624" w:rsidP="00660D34">
            <w:pPr>
              <w:rPr>
                <w:rFonts w:cstheme="minorHAnsi"/>
                <w:lang w:val="en-US"/>
              </w:rPr>
            </w:pPr>
            <w:r w:rsidRPr="00711E41">
              <w:rPr>
                <w:rFonts w:cstheme="minorHAnsi"/>
                <w:lang w:val="en-US"/>
              </w:rPr>
              <w:t>LGA 1995</w:t>
            </w:r>
          </w:p>
        </w:tc>
      </w:tr>
      <w:tr w:rsidR="00E91624" w:rsidRPr="00711E41" w14:paraId="660FD1E5" w14:textId="77777777" w:rsidTr="00660D34">
        <w:tc>
          <w:tcPr>
            <w:tcW w:w="3022" w:type="dxa"/>
          </w:tcPr>
          <w:p w14:paraId="13FA4A81" w14:textId="77777777" w:rsidR="00E91624" w:rsidRPr="00711E41" w:rsidRDefault="00E91624" w:rsidP="00660D34">
            <w:pPr>
              <w:rPr>
                <w:rFonts w:cstheme="minorHAnsi"/>
                <w:b/>
                <w:lang w:val="en-US"/>
              </w:rPr>
            </w:pPr>
            <w:r w:rsidRPr="00711E41">
              <w:rPr>
                <w:rFonts w:cstheme="minorHAnsi"/>
                <w:b/>
                <w:lang w:val="en-US"/>
              </w:rPr>
              <w:t>Delegation:</w:t>
            </w:r>
          </w:p>
        </w:tc>
        <w:tc>
          <w:tcPr>
            <w:tcW w:w="5994" w:type="dxa"/>
          </w:tcPr>
          <w:p w14:paraId="0408F0F0" w14:textId="77777777" w:rsidR="00E91624" w:rsidRPr="00711E41" w:rsidRDefault="00E91624" w:rsidP="00660D34">
            <w:pPr>
              <w:rPr>
                <w:rFonts w:cstheme="minorHAnsi"/>
                <w:lang w:val="en-US"/>
              </w:rPr>
            </w:pPr>
            <w:r w:rsidRPr="00711E41">
              <w:rPr>
                <w:rFonts w:cstheme="minorHAnsi"/>
                <w:lang w:val="en-US"/>
              </w:rPr>
              <w:t>N/A</w:t>
            </w:r>
          </w:p>
        </w:tc>
      </w:tr>
      <w:tr w:rsidR="00E91624" w:rsidRPr="00711E41" w14:paraId="66FDCB50" w14:textId="77777777" w:rsidTr="00660D34">
        <w:tc>
          <w:tcPr>
            <w:tcW w:w="3022" w:type="dxa"/>
          </w:tcPr>
          <w:p w14:paraId="07F42C91" w14:textId="77777777" w:rsidR="00E91624" w:rsidRPr="00711E41" w:rsidRDefault="00E91624" w:rsidP="00660D34">
            <w:pPr>
              <w:rPr>
                <w:rFonts w:cstheme="minorHAnsi"/>
                <w:b/>
                <w:lang w:val="en-US"/>
              </w:rPr>
            </w:pPr>
            <w:r w:rsidRPr="00711E41">
              <w:rPr>
                <w:rFonts w:cstheme="minorHAnsi"/>
                <w:b/>
                <w:lang w:val="en-US"/>
              </w:rPr>
              <w:t>Other Related Document:</w:t>
            </w:r>
          </w:p>
        </w:tc>
        <w:tc>
          <w:tcPr>
            <w:tcW w:w="5994" w:type="dxa"/>
          </w:tcPr>
          <w:p w14:paraId="3D5E5925" w14:textId="77777777" w:rsidR="00E91624" w:rsidRPr="00711E41" w:rsidRDefault="00E91624" w:rsidP="00660D34">
            <w:pPr>
              <w:rPr>
                <w:rFonts w:cstheme="minorHAnsi"/>
                <w:lang w:val="en-US"/>
              </w:rPr>
            </w:pPr>
            <w:r w:rsidRPr="00711E41">
              <w:rPr>
                <w:rFonts w:cstheme="minorHAnsi"/>
                <w:lang w:val="en-US"/>
              </w:rPr>
              <w:t>Parking and Parking Facilities Local Law</w:t>
            </w:r>
          </w:p>
          <w:p w14:paraId="678EA932" w14:textId="77777777" w:rsidR="00E91624" w:rsidRPr="00711E41" w:rsidRDefault="00E91624" w:rsidP="00660D34">
            <w:pPr>
              <w:rPr>
                <w:rFonts w:cstheme="minorHAnsi"/>
                <w:lang w:val="en-US"/>
              </w:rPr>
            </w:pPr>
            <w:r w:rsidRPr="00711E41">
              <w:rPr>
                <w:rFonts w:cstheme="minorHAnsi"/>
                <w:lang w:val="en-US"/>
              </w:rPr>
              <w:t xml:space="preserve">Leeuwin Carpark &amp; Launching Ramp – Parking for Ratepayers Procedure </w:t>
            </w:r>
            <w:r>
              <w:rPr>
                <w:rFonts w:cstheme="minorHAnsi"/>
                <w:lang w:val="en-US"/>
              </w:rPr>
              <w:t>PRO</w:t>
            </w:r>
            <w:r w:rsidRPr="00711E41">
              <w:rPr>
                <w:rFonts w:cstheme="minorHAnsi"/>
                <w:lang w:val="en-US"/>
              </w:rPr>
              <w:t>2.</w:t>
            </w:r>
            <w:r>
              <w:rPr>
                <w:rFonts w:cstheme="minorHAnsi"/>
                <w:lang w:val="en-US"/>
              </w:rPr>
              <w:t>1</w:t>
            </w:r>
            <w:r w:rsidRPr="00711E41">
              <w:rPr>
                <w:rFonts w:cstheme="minorHAnsi"/>
                <w:lang w:val="en-US"/>
              </w:rPr>
              <w:t>.1</w:t>
            </w:r>
            <w:r>
              <w:rPr>
                <w:rFonts w:cstheme="minorHAnsi"/>
                <w:lang w:val="en-US"/>
              </w:rPr>
              <w:t>2</w:t>
            </w:r>
          </w:p>
        </w:tc>
      </w:tr>
    </w:tbl>
    <w:p w14:paraId="316DA856" w14:textId="77777777" w:rsidR="00E91624" w:rsidRPr="00A9373D" w:rsidRDefault="00E91624" w:rsidP="00E91624">
      <w:pPr>
        <w:spacing w:before="240" w:after="0"/>
        <w:rPr>
          <w:b/>
          <w:sz w:val="28"/>
          <w:szCs w:val="28"/>
          <w:lang w:val="en-US"/>
        </w:rPr>
      </w:pPr>
      <w:r w:rsidRPr="00A9373D">
        <w:rPr>
          <w:b/>
          <w:sz w:val="28"/>
          <w:szCs w:val="28"/>
          <w:lang w:val="en-US"/>
        </w:rPr>
        <w:t>Objective</w:t>
      </w:r>
    </w:p>
    <w:p w14:paraId="56DFB0C6" w14:textId="77777777" w:rsidR="00E91624" w:rsidRPr="00711E41" w:rsidRDefault="00E91624" w:rsidP="00E91624">
      <w:pPr>
        <w:jc w:val="both"/>
        <w:rPr>
          <w:rFonts w:cstheme="minorHAnsi"/>
          <w:lang w:val="en-US"/>
        </w:rPr>
      </w:pPr>
      <w:r w:rsidRPr="00711E41">
        <w:rPr>
          <w:rFonts w:cstheme="minorHAnsi"/>
          <w:lang w:val="en-US"/>
        </w:rPr>
        <w:t xml:space="preserve">To provide </w:t>
      </w:r>
      <w:proofErr w:type="spellStart"/>
      <w:r w:rsidRPr="00711E41">
        <w:rPr>
          <w:rFonts w:cstheme="minorHAnsi"/>
          <w:lang w:val="en-US"/>
        </w:rPr>
        <w:t>subsidised</w:t>
      </w:r>
      <w:proofErr w:type="spellEnd"/>
      <w:r w:rsidRPr="00711E41">
        <w:rPr>
          <w:rFonts w:cstheme="minorHAnsi"/>
          <w:lang w:val="en-US"/>
        </w:rPr>
        <w:t xml:space="preserve"> parking for East Fremantle ratepayers using the Leeuwin (No 1) carpark and launching ramp.</w:t>
      </w:r>
    </w:p>
    <w:p w14:paraId="5E8D8B59" w14:textId="77777777" w:rsidR="00E91624" w:rsidRPr="00A9373D" w:rsidRDefault="00E91624" w:rsidP="00E91624">
      <w:pPr>
        <w:spacing w:before="200" w:after="0"/>
        <w:rPr>
          <w:b/>
          <w:sz w:val="28"/>
          <w:szCs w:val="28"/>
          <w:lang w:val="en-US"/>
        </w:rPr>
      </w:pPr>
      <w:r w:rsidRPr="00A9373D">
        <w:rPr>
          <w:b/>
          <w:sz w:val="28"/>
          <w:szCs w:val="28"/>
          <w:lang w:val="en-US"/>
        </w:rPr>
        <w:t>Policy Scope</w:t>
      </w:r>
    </w:p>
    <w:p w14:paraId="7727B2FD" w14:textId="77777777" w:rsidR="00E91624" w:rsidRPr="00711E41" w:rsidRDefault="00E91624" w:rsidP="00E91624">
      <w:pPr>
        <w:spacing w:after="60"/>
        <w:jc w:val="both"/>
        <w:rPr>
          <w:rFonts w:cstheme="minorHAnsi"/>
          <w:lang w:val="en-US"/>
        </w:rPr>
      </w:pPr>
      <w:r w:rsidRPr="00711E41">
        <w:rPr>
          <w:rFonts w:cstheme="minorHAnsi"/>
          <w:lang w:val="en-US"/>
        </w:rPr>
        <w:t xml:space="preserve">This policy will affect: </w:t>
      </w:r>
    </w:p>
    <w:p w14:paraId="490A960F" w14:textId="77777777" w:rsidR="00E91624" w:rsidRPr="00711E41" w:rsidRDefault="00E91624" w:rsidP="002A3889">
      <w:pPr>
        <w:pStyle w:val="ListParagraph"/>
        <w:numPr>
          <w:ilvl w:val="0"/>
          <w:numId w:val="51"/>
        </w:numPr>
        <w:ind w:left="426" w:hanging="426"/>
        <w:jc w:val="both"/>
        <w:rPr>
          <w:rFonts w:cstheme="minorHAnsi"/>
          <w:lang w:val="en-US"/>
        </w:rPr>
      </w:pPr>
      <w:r w:rsidRPr="00711E41">
        <w:rPr>
          <w:rFonts w:cstheme="minorHAnsi"/>
          <w:lang w:val="en-US"/>
        </w:rPr>
        <w:t>resident/owners of the Town who own a boat and trailer</w:t>
      </w:r>
    </w:p>
    <w:p w14:paraId="362BAAEC" w14:textId="77777777" w:rsidR="00E91624" w:rsidRPr="00711E41" w:rsidRDefault="00E91624" w:rsidP="002A3889">
      <w:pPr>
        <w:pStyle w:val="ListParagraph"/>
        <w:numPr>
          <w:ilvl w:val="0"/>
          <w:numId w:val="51"/>
        </w:numPr>
        <w:ind w:left="426" w:hanging="426"/>
        <w:jc w:val="both"/>
        <w:rPr>
          <w:rFonts w:cstheme="minorHAnsi"/>
          <w:lang w:val="en-US"/>
        </w:rPr>
      </w:pPr>
      <w:r w:rsidRPr="00711E41">
        <w:rPr>
          <w:rFonts w:cstheme="minorHAnsi"/>
          <w:lang w:val="en-US"/>
        </w:rPr>
        <w:t>reception staff in checking documentation for issue of a parking permit</w:t>
      </w:r>
    </w:p>
    <w:p w14:paraId="4448E1AC" w14:textId="77777777" w:rsidR="00E91624" w:rsidRPr="00711E41" w:rsidRDefault="00E91624" w:rsidP="002A3889">
      <w:pPr>
        <w:pStyle w:val="ListParagraph"/>
        <w:numPr>
          <w:ilvl w:val="0"/>
          <w:numId w:val="51"/>
        </w:numPr>
        <w:ind w:left="426" w:hanging="426"/>
        <w:jc w:val="both"/>
        <w:rPr>
          <w:rFonts w:cstheme="minorHAnsi"/>
          <w:lang w:val="en-US"/>
        </w:rPr>
      </w:pPr>
      <w:r w:rsidRPr="00711E41">
        <w:rPr>
          <w:rFonts w:cstheme="minorHAnsi"/>
          <w:lang w:val="en-US"/>
        </w:rPr>
        <w:t>Council’s Ranger Services in administering the use of parking permits</w:t>
      </w:r>
    </w:p>
    <w:p w14:paraId="3B065754" w14:textId="77777777" w:rsidR="00E91624" w:rsidRPr="00A9373D" w:rsidRDefault="00E91624" w:rsidP="00E91624">
      <w:pPr>
        <w:spacing w:before="200" w:after="0"/>
        <w:rPr>
          <w:b/>
          <w:sz w:val="28"/>
          <w:szCs w:val="28"/>
          <w:lang w:val="en-US"/>
        </w:rPr>
      </w:pPr>
      <w:r w:rsidRPr="00A9373D">
        <w:rPr>
          <w:b/>
          <w:sz w:val="28"/>
          <w:szCs w:val="28"/>
          <w:lang w:val="en-US"/>
        </w:rPr>
        <w:t xml:space="preserve">Policy </w:t>
      </w:r>
    </w:p>
    <w:p w14:paraId="7D51152B" w14:textId="77777777" w:rsidR="00E91624" w:rsidRPr="00711E41" w:rsidRDefault="00E91624" w:rsidP="00E91624">
      <w:pPr>
        <w:pStyle w:val="BodyTextIndent2"/>
        <w:tabs>
          <w:tab w:val="left" w:pos="567"/>
        </w:tabs>
        <w:spacing w:after="200" w:line="240" w:lineRule="auto"/>
        <w:ind w:left="0"/>
        <w:rPr>
          <w:rFonts w:cstheme="minorHAnsi"/>
          <w:i/>
        </w:rPr>
      </w:pPr>
      <w:r w:rsidRPr="00711E41">
        <w:rPr>
          <w:rFonts w:cstheme="minorHAnsi"/>
        </w:rPr>
        <w:t xml:space="preserve">To issue a permit to eligible East Fremantle ratepayers who are occupiers of their rateable property to park their vehicle and boat trailer in the Leeuwin (No 1) Carpark. </w:t>
      </w:r>
    </w:p>
    <w:p w14:paraId="2AA602CA" w14:textId="77777777" w:rsidR="00E91624" w:rsidRPr="00711E41" w:rsidRDefault="00E91624" w:rsidP="00E91624">
      <w:pPr>
        <w:tabs>
          <w:tab w:val="right" w:pos="8505"/>
        </w:tabs>
        <w:spacing w:line="240" w:lineRule="auto"/>
        <w:jc w:val="both"/>
        <w:rPr>
          <w:rFonts w:cstheme="minorHAnsi"/>
        </w:rPr>
      </w:pPr>
      <w:r w:rsidRPr="00711E41">
        <w:rPr>
          <w:rFonts w:cstheme="minorHAnsi"/>
        </w:rPr>
        <w:t xml:space="preserve">Permits are available to East Fremantle owner/occupiers who are required to produce evidence that the motor vehicle, boat and trailer are registered at their normal abode. Originals of driver’s licence, motor vehicle, trailer and boat registrations must be presented when making application. </w:t>
      </w:r>
    </w:p>
    <w:p w14:paraId="3DC5D613" w14:textId="77777777" w:rsidR="00E91624" w:rsidRDefault="00E91624" w:rsidP="00E91624">
      <w:pPr>
        <w:tabs>
          <w:tab w:val="right" w:pos="8505"/>
        </w:tabs>
        <w:spacing w:after="0" w:line="240" w:lineRule="auto"/>
        <w:jc w:val="both"/>
        <w:rPr>
          <w:rFonts w:cstheme="minorHAnsi"/>
          <w:lang w:val="en-US"/>
        </w:rPr>
      </w:pPr>
    </w:p>
    <w:p w14:paraId="69B276CF" w14:textId="77777777" w:rsidR="00E91624" w:rsidRDefault="00E91624" w:rsidP="00E91624">
      <w:pPr>
        <w:tabs>
          <w:tab w:val="right" w:pos="8505"/>
        </w:tabs>
        <w:spacing w:after="0" w:line="240" w:lineRule="auto"/>
        <w:jc w:val="both"/>
        <w:rPr>
          <w:rFonts w:cstheme="minorHAnsi"/>
          <w:lang w:val="en-US"/>
        </w:rPr>
      </w:pPr>
    </w:p>
    <w:p w14:paraId="7E84D037" w14:textId="77777777" w:rsidR="00E91624" w:rsidRPr="00A9373D" w:rsidRDefault="00E91624" w:rsidP="00E91624">
      <w:pPr>
        <w:tabs>
          <w:tab w:val="right" w:pos="8505"/>
        </w:tabs>
        <w:spacing w:after="0" w:line="240" w:lineRule="auto"/>
        <w:jc w:val="both"/>
        <w:rPr>
          <w:rFonts w:cstheme="minorHAnsi"/>
          <w:b/>
          <w:lang w:val="en-US"/>
        </w:rPr>
      </w:pPr>
      <w:r w:rsidRPr="00A9373D">
        <w:rPr>
          <w:rFonts w:cstheme="minorHAnsi"/>
          <w:b/>
          <w:lang w:val="en-US"/>
        </w:rPr>
        <w:t>Attachment:</w:t>
      </w:r>
    </w:p>
    <w:p w14:paraId="4834D932" w14:textId="77777777" w:rsidR="00E91624" w:rsidRPr="00711E41" w:rsidRDefault="00E91624" w:rsidP="00E91624">
      <w:pPr>
        <w:tabs>
          <w:tab w:val="right" w:pos="8505"/>
        </w:tabs>
        <w:spacing w:line="240" w:lineRule="auto"/>
        <w:jc w:val="both"/>
        <w:rPr>
          <w:rFonts w:cstheme="minorHAnsi"/>
          <w:lang w:val="en-US"/>
        </w:rPr>
      </w:pPr>
      <w:r w:rsidRPr="00711E41">
        <w:rPr>
          <w:rFonts w:cstheme="minorHAnsi"/>
          <w:lang w:val="en-US"/>
        </w:rPr>
        <w:t xml:space="preserve">Leeuwin Carpark &amp; Launching Ramp – Parking for Ratepayers Procedure </w:t>
      </w:r>
    </w:p>
    <w:p w14:paraId="2E7D3FE3" w14:textId="77777777" w:rsidR="00E91624" w:rsidRPr="00711E41" w:rsidRDefault="00E91624" w:rsidP="00E91624">
      <w:pPr>
        <w:jc w:val="both"/>
        <w:rPr>
          <w:rFonts w:cstheme="minorHAnsi"/>
          <w:lang w:val="en-US"/>
        </w:rPr>
      </w:pPr>
    </w:p>
    <w:tbl>
      <w:tblPr>
        <w:tblStyle w:val="TableGrid"/>
        <w:tblW w:w="0" w:type="auto"/>
        <w:tblLook w:val="04A0" w:firstRow="1" w:lastRow="0" w:firstColumn="1" w:lastColumn="0" w:noHBand="0" w:noVBand="1"/>
      </w:tblPr>
      <w:tblGrid>
        <w:gridCol w:w="3051"/>
        <w:gridCol w:w="5989"/>
      </w:tblGrid>
      <w:tr w:rsidR="00E91624" w:rsidRPr="00711E41" w14:paraId="6CB9D7B7" w14:textId="77777777" w:rsidTr="00660D34">
        <w:tc>
          <w:tcPr>
            <w:tcW w:w="3085" w:type="dxa"/>
          </w:tcPr>
          <w:p w14:paraId="1608B073" w14:textId="77777777" w:rsidR="00E91624" w:rsidRPr="00711E41" w:rsidRDefault="00E91624" w:rsidP="00660D34">
            <w:pPr>
              <w:jc w:val="both"/>
              <w:rPr>
                <w:rFonts w:cstheme="minorHAnsi"/>
                <w:b/>
                <w:lang w:val="en-US"/>
              </w:rPr>
            </w:pPr>
            <w:r w:rsidRPr="00711E41">
              <w:rPr>
                <w:rFonts w:cstheme="minorHAnsi"/>
                <w:b/>
                <w:lang w:val="en-US"/>
              </w:rPr>
              <w:t>Responsible Directorate:</w:t>
            </w:r>
          </w:p>
        </w:tc>
        <w:tc>
          <w:tcPr>
            <w:tcW w:w="6157" w:type="dxa"/>
          </w:tcPr>
          <w:p w14:paraId="6665DC1B" w14:textId="77777777" w:rsidR="00E91624" w:rsidRPr="00711E41" w:rsidRDefault="00E91624" w:rsidP="00660D34">
            <w:pPr>
              <w:jc w:val="both"/>
              <w:rPr>
                <w:rFonts w:cstheme="minorHAnsi"/>
                <w:lang w:val="en-US"/>
              </w:rPr>
            </w:pPr>
            <w:r>
              <w:rPr>
                <w:rFonts w:cstheme="minorHAnsi"/>
                <w:lang w:val="en-US"/>
              </w:rPr>
              <w:t>Corporate Services</w:t>
            </w:r>
          </w:p>
        </w:tc>
      </w:tr>
      <w:tr w:rsidR="00E91624" w:rsidRPr="00711E41" w14:paraId="40924423" w14:textId="77777777" w:rsidTr="00660D34">
        <w:tc>
          <w:tcPr>
            <w:tcW w:w="3085" w:type="dxa"/>
          </w:tcPr>
          <w:p w14:paraId="30957481" w14:textId="77777777" w:rsidR="00E91624" w:rsidRPr="00711E41" w:rsidRDefault="00E91624" w:rsidP="00660D34">
            <w:pPr>
              <w:jc w:val="both"/>
              <w:rPr>
                <w:rFonts w:cstheme="minorHAnsi"/>
                <w:b/>
                <w:lang w:val="en-US"/>
              </w:rPr>
            </w:pPr>
            <w:r w:rsidRPr="00711E41">
              <w:rPr>
                <w:rFonts w:cstheme="minorHAnsi"/>
                <w:b/>
                <w:lang w:val="en-US"/>
              </w:rPr>
              <w:t>Reviewing Officer:</w:t>
            </w:r>
          </w:p>
        </w:tc>
        <w:tc>
          <w:tcPr>
            <w:tcW w:w="6157" w:type="dxa"/>
          </w:tcPr>
          <w:p w14:paraId="70A3376D" w14:textId="77777777" w:rsidR="00E91624" w:rsidRPr="00711E41" w:rsidRDefault="00E91624" w:rsidP="00660D34">
            <w:pPr>
              <w:jc w:val="both"/>
              <w:rPr>
                <w:rFonts w:cstheme="minorHAnsi"/>
                <w:lang w:val="en-US"/>
              </w:rPr>
            </w:pPr>
            <w:r w:rsidRPr="00711E41">
              <w:rPr>
                <w:rFonts w:cstheme="minorHAnsi"/>
                <w:lang w:val="en-US"/>
              </w:rPr>
              <w:t>Manager Finance &amp; Administration</w:t>
            </w:r>
          </w:p>
        </w:tc>
      </w:tr>
      <w:tr w:rsidR="00E91624" w:rsidRPr="00711E41" w14:paraId="4C4BD91E" w14:textId="77777777" w:rsidTr="00660D34">
        <w:tc>
          <w:tcPr>
            <w:tcW w:w="3085" w:type="dxa"/>
          </w:tcPr>
          <w:p w14:paraId="464CD026" w14:textId="77777777" w:rsidR="00E91624" w:rsidRPr="00711E41" w:rsidRDefault="00E91624" w:rsidP="00660D34">
            <w:pPr>
              <w:jc w:val="both"/>
              <w:rPr>
                <w:rFonts w:cstheme="minorHAnsi"/>
                <w:b/>
                <w:lang w:val="en-US"/>
              </w:rPr>
            </w:pPr>
            <w:r w:rsidRPr="00711E41">
              <w:rPr>
                <w:rFonts w:cstheme="minorHAnsi"/>
                <w:b/>
                <w:lang w:val="en-US"/>
              </w:rPr>
              <w:t>Decision making Authority:</w:t>
            </w:r>
          </w:p>
        </w:tc>
        <w:tc>
          <w:tcPr>
            <w:tcW w:w="6157" w:type="dxa"/>
          </w:tcPr>
          <w:p w14:paraId="0BDA2F0E" w14:textId="77777777" w:rsidR="00E91624" w:rsidRPr="00711E41" w:rsidRDefault="00E91624" w:rsidP="00660D34">
            <w:pPr>
              <w:jc w:val="both"/>
              <w:rPr>
                <w:rFonts w:cstheme="minorHAnsi"/>
                <w:lang w:val="en-US"/>
              </w:rPr>
            </w:pPr>
            <w:r w:rsidRPr="00711E41">
              <w:rPr>
                <w:rFonts w:cstheme="minorHAnsi"/>
                <w:lang w:val="en-US"/>
              </w:rPr>
              <w:t>Council</w:t>
            </w:r>
          </w:p>
        </w:tc>
      </w:tr>
      <w:tr w:rsidR="00E91624" w:rsidRPr="00711E41" w14:paraId="025E27FB" w14:textId="77777777" w:rsidTr="00660D34">
        <w:tc>
          <w:tcPr>
            <w:tcW w:w="3085" w:type="dxa"/>
          </w:tcPr>
          <w:p w14:paraId="14D5341C" w14:textId="77777777" w:rsidR="00E91624" w:rsidRPr="00711E41" w:rsidRDefault="00E91624" w:rsidP="00660D34">
            <w:pPr>
              <w:jc w:val="both"/>
              <w:rPr>
                <w:rFonts w:cstheme="minorHAnsi"/>
                <w:b/>
                <w:lang w:val="en-US"/>
              </w:rPr>
            </w:pPr>
            <w:r w:rsidRPr="00711E41">
              <w:rPr>
                <w:rFonts w:cstheme="minorHAnsi"/>
                <w:b/>
                <w:lang w:val="en-US"/>
              </w:rPr>
              <w:t>Policy Adopted:</w:t>
            </w:r>
          </w:p>
        </w:tc>
        <w:tc>
          <w:tcPr>
            <w:tcW w:w="6157" w:type="dxa"/>
          </w:tcPr>
          <w:p w14:paraId="523CD257" w14:textId="77777777" w:rsidR="00E91624" w:rsidRPr="00711E41" w:rsidRDefault="00E91624" w:rsidP="00660D34">
            <w:pPr>
              <w:jc w:val="both"/>
              <w:rPr>
                <w:rFonts w:cstheme="minorHAnsi"/>
                <w:lang w:val="en-US"/>
              </w:rPr>
            </w:pPr>
            <w:r w:rsidRPr="00711E41">
              <w:rPr>
                <w:rFonts w:cstheme="minorHAnsi"/>
                <w:lang w:val="en-US"/>
              </w:rPr>
              <w:t>18/11/97</w:t>
            </w:r>
          </w:p>
        </w:tc>
      </w:tr>
      <w:tr w:rsidR="00E91624" w:rsidRPr="00711E41" w14:paraId="51B8671A" w14:textId="77777777" w:rsidTr="00660D34">
        <w:tc>
          <w:tcPr>
            <w:tcW w:w="3085" w:type="dxa"/>
          </w:tcPr>
          <w:p w14:paraId="71306986" w14:textId="77777777" w:rsidR="00E91624" w:rsidRPr="00711E41" w:rsidRDefault="00E91624" w:rsidP="00660D34">
            <w:pPr>
              <w:jc w:val="both"/>
              <w:rPr>
                <w:rFonts w:cstheme="minorHAnsi"/>
                <w:b/>
                <w:lang w:val="en-US"/>
              </w:rPr>
            </w:pPr>
            <w:r>
              <w:rPr>
                <w:rFonts w:cstheme="minorHAnsi"/>
                <w:b/>
                <w:lang w:val="en-US"/>
              </w:rPr>
              <w:t>Policy Amended/Reviewed:</w:t>
            </w:r>
          </w:p>
        </w:tc>
        <w:tc>
          <w:tcPr>
            <w:tcW w:w="6157" w:type="dxa"/>
          </w:tcPr>
          <w:p w14:paraId="694D335D" w14:textId="77777777" w:rsidR="00E91624" w:rsidRPr="00711E41" w:rsidRDefault="00E91624" w:rsidP="00660D34">
            <w:pPr>
              <w:jc w:val="both"/>
              <w:rPr>
                <w:rFonts w:cstheme="minorHAnsi"/>
                <w:lang w:val="en-US"/>
              </w:rPr>
            </w:pPr>
            <w:r w:rsidRPr="00711E41">
              <w:rPr>
                <w:rFonts w:cstheme="minorHAnsi"/>
                <w:lang w:val="en-US"/>
              </w:rPr>
              <w:t>21/3/00, 16/2/16</w:t>
            </w:r>
            <w:r>
              <w:rPr>
                <w:rFonts w:cstheme="minorHAnsi"/>
                <w:lang w:val="en-US"/>
              </w:rPr>
              <w:t>, 11/12/18, 17/9/19</w:t>
            </w:r>
          </w:p>
        </w:tc>
      </w:tr>
      <w:tr w:rsidR="00E91624" w:rsidRPr="00711E41" w14:paraId="3F11CB8E" w14:textId="77777777" w:rsidTr="00660D34">
        <w:tc>
          <w:tcPr>
            <w:tcW w:w="3085" w:type="dxa"/>
          </w:tcPr>
          <w:p w14:paraId="2A583500" w14:textId="77777777" w:rsidR="00E91624" w:rsidRPr="00711E41" w:rsidRDefault="00E91624" w:rsidP="00660D34">
            <w:pPr>
              <w:jc w:val="both"/>
              <w:rPr>
                <w:rFonts w:cstheme="minorHAnsi"/>
                <w:b/>
                <w:lang w:val="en-US"/>
              </w:rPr>
            </w:pPr>
            <w:r>
              <w:rPr>
                <w:rFonts w:cstheme="minorHAnsi"/>
                <w:b/>
                <w:lang w:val="en-US"/>
              </w:rPr>
              <w:t>Former Policy No:</w:t>
            </w:r>
          </w:p>
        </w:tc>
        <w:tc>
          <w:tcPr>
            <w:tcW w:w="6157" w:type="dxa"/>
          </w:tcPr>
          <w:p w14:paraId="14F611B3" w14:textId="77777777" w:rsidR="00E91624" w:rsidRPr="00711E41" w:rsidRDefault="00E91624" w:rsidP="00660D34">
            <w:pPr>
              <w:jc w:val="both"/>
              <w:rPr>
                <w:rFonts w:cstheme="minorHAnsi"/>
                <w:lang w:val="en-US"/>
              </w:rPr>
            </w:pPr>
            <w:r>
              <w:rPr>
                <w:rFonts w:cstheme="minorHAnsi"/>
                <w:lang w:val="en-US"/>
              </w:rPr>
              <w:t>2.2.1</w:t>
            </w:r>
          </w:p>
        </w:tc>
      </w:tr>
    </w:tbl>
    <w:p w14:paraId="28BAE406" w14:textId="6AFF3CCF" w:rsidR="00E91624" w:rsidRDefault="00E91624" w:rsidP="00E91624">
      <w:pPr>
        <w:jc w:val="both"/>
        <w:rPr>
          <w:rFonts w:cstheme="minorHAnsi"/>
          <w:lang w:val="en-US"/>
        </w:rPr>
      </w:pPr>
    </w:p>
    <w:p w14:paraId="5CCCC2A4" w14:textId="77777777" w:rsidR="00E91624" w:rsidRDefault="00E91624">
      <w:pPr>
        <w:rPr>
          <w:rFonts w:cstheme="minorHAnsi"/>
          <w:lang w:val="en-US"/>
        </w:rPr>
      </w:pPr>
      <w:r>
        <w:rPr>
          <w:rFonts w:cstheme="minorHAnsi"/>
          <w:lang w:val="en-US"/>
        </w:rPr>
        <w:br w:type="page"/>
      </w:r>
    </w:p>
    <w:p w14:paraId="63D7DB26" w14:textId="77777777" w:rsidR="00E91624" w:rsidRDefault="00E91624" w:rsidP="00E91624">
      <w:pPr>
        <w:jc w:val="both"/>
        <w:rPr>
          <w:rFonts w:cstheme="minorHAnsi"/>
          <w:lang w:val="en-US"/>
        </w:rPr>
      </w:pPr>
    </w:p>
    <w:p w14:paraId="24CA8110" w14:textId="77777777" w:rsidR="00E91624" w:rsidRDefault="00E91624" w:rsidP="00E91624">
      <w:pPr>
        <w:jc w:val="right"/>
        <w:rPr>
          <w:spacing w:val="-1"/>
        </w:rPr>
      </w:pPr>
      <w:r w:rsidRPr="00456DE4">
        <w:rPr>
          <w:noProof/>
          <w:lang w:eastAsia="en-AU"/>
        </w:rPr>
        <w:drawing>
          <wp:inline distT="0" distB="0" distL="0" distR="0" wp14:anchorId="64D33C92" wp14:editId="16C7A407">
            <wp:extent cx="1161563" cy="466725"/>
            <wp:effectExtent l="0" t="0" r="635" b="0"/>
            <wp:docPr id="32" name="Picture 32"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CEO Admin\WORDDOCS\Logo\Town of East Fremantle_Logo_Landscape_Colour [HIGHRE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3912" cy="467669"/>
                    </a:xfrm>
                    <a:prstGeom prst="rect">
                      <a:avLst/>
                    </a:prstGeom>
                    <a:noFill/>
                    <a:ln>
                      <a:noFill/>
                    </a:ln>
                  </pic:spPr>
                </pic:pic>
              </a:graphicData>
            </a:graphic>
          </wp:inline>
        </w:drawing>
      </w:r>
    </w:p>
    <w:p w14:paraId="07C61636" w14:textId="77777777" w:rsidR="00E91624" w:rsidRPr="00187FF2" w:rsidRDefault="00E91624" w:rsidP="00E91624">
      <w:pPr>
        <w:spacing w:before="240"/>
        <w:jc w:val="center"/>
        <w:rPr>
          <w:b/>
        </w:rPr>
      </w:pPr>
      <w:r w:rsidRPr="00187FF2">
        <w:rPr>
          <w:b/>
        </w:rPr>
        <w:t>LEEUWIN CARPARK &amp; LAUNCHING RAMP – PARKING FOR RATEPAYERS PROCEDURE (PRO2.1.12)</w:t>
      </w:r>
    </w:p>
    <w:p w14:paraId="554ECF76" w14:textId="77777777" w:rsidR="00E91624" w:rsidRPr="00187FF2" w:rsidRDefault="00E91624" w:rsidP="00E91624">
      <w:pPr>
        <w:spacing w:before="200" w:after="0"/>
        <w:rPr>
          <w:b/>
          <w:lang w:val="en-US"/>
        </w:rPr>
      </w:pPr>
      <w:r w:rsidRPr="00187FF2">
        <w:rPr>
          <w:b/>
          <w:lang w:val="en-US"/>
        </w:rPr>
        <w:t>Objective</w:t>
      </w:r>
    </w:p>
    <w:p w14:paraId="4B79C466" w14:textId="77777777" w:rsidR="00E91624" w:rsidRPr="00187FF2" w:rsidRDefault="00E91624" w:rsidP="00E91624">
      <w:pPr>
        <w:jc w:val="both"/>
        <w:rPr>
          <w:rFonts w:cstheme="minorHAnsi"/>
          <w:lang w:val="en-US"/>
        </w:rPr>
      </w:pPr>
      <w:r w:rsidRPr="00187FF2">
        <w:rPr>
          <w:rFonts w:cstheme="minorHAnsi"/>
          <w:lang w:val="en-US"/>
        </w:rPr>
        <w:t xml:space="preserve">To ensure permits for </w:t>
      </w:r>
      <w:proofErr w:type="spellStart"/>
      <w:r w:rsidRPr="00187FF2">
        <w:rPr>
          <w:rFonts w:cstheme="minorHAnsi"/>
          <w:lang w:val="en-US"/>
        </w:rPr>
        <w:t>subsidised</w:t>
      </w:r>
      <w:proofErr w:type="spellEnd"/>
      <w:r w:rsidRPr="00187FF2">
        <w:rPr>
          <w:rFonts w:cstheme="minorHAnsi"/>
          <w:lang w:val="en-US"/>
        </w:rPr>
        <w:t xml:space="preserve"> parking for East Fremantle ratepayers using the Leeuwin (No 1) carpark and launching ramp are issued as per the Policy.</w:t>
      </w:r>
    </w:p>
    <w:p w14:paraId="1970516D" w14:textId="77777777" w:rsidR="00E91624" w:rsidRPr="00187FF2" w:rsidRDefault="00E91624" w:rsidP="00E91624">
      <w:pPr>
        <w:spacing w:before="200" w:after="0"/>
        <w:rPr>
          <w:b/>
          <w:lang w:val="en-US"/>
        </w:rPr>
      </w:pPr>
      <w:r w:rsidRPr="00187FF2">
        <w:rPr>
          <w:b/>
          <w:lang w:val="en-US"/>
        </w:rPr>
        <w:t xml:space="preserve">Procedure </w:t>
      </w:r>
    </w:p>
    <w:p w14:paraId="04F08A4F" w14:textId="77777777" w:rsidR="00E91624" w:rsidRPr="00187FF2" w:rsidRDefault="00E91624" w:rsidP="00E91624">
      <w:pPr>
        <w:tabs>
          <w:tab w:val="right" w:pos="8505"/>
        </w:tabs>
        <w:spacing w:line="240" w:lineRule="auto"/>
        <w:ind w:left="567" w:hanging="567"/>
        <w:jc w:val="both"/>
        <w:rPr>
          <w:rFonts w:cstheme="minorHAnsi"/>
        </w:rPr>
      </w:pPr>
      <w:r w:rsidRPr="00187FF2">
        <w:rPr>
          <w:rFonts w:cstheme="minorHAnsi"/>
        </w:rPr>
        <w:t>1.</w:t>
      </w:r>
      <w:r w:rsidRPr="00187FF2">
        <w:rPr>
          <w:rFonts w:cstheme="minorHAnsi"/>
        </w:rPr>
        <w:tab/>
        <w:t xml:space="preserve">For renewal, owner/occupiers of the Town of East Fremantle are to produce evidence that the motor vehicle, boat and trailer are registered at their normal abode. Originals of driver’s licence, motor vehicle, trailer and boat registrations must be presented every year when making application. </w:t>
      </w:r>
    </w:p>
    <w:p w14:paraId="1AF6A5A9" w14:textId="77777777" w:rsidR="00E91624" w:rsidRPr="00187FF2" w:rsidRDefault="00E91624" w:rsidP="00E91624">
      <w:pPr>
        <w:tabs>
          <w:tab w:val="left" w:pos="567"/>
          <w:tab w:val="right" w:pos="8505"/>
        </w:tabs>
        <w:spacing w:line="240" w:lineRule="auto"/>
        <w:ind w:left="567" w:hanging="567"/>
        <w:jc w:val="both"/>
        <w:rPr>
          <w:rFonts w:cstheme="minorHAnsi"/>
        </w:rPr>
      </w:pPr>
      <w:r w:rsidRPr="00187FF2">
        <w:rPr>
          <w:rFonts w:cstheme="minorHAnsi"/>
        </w:rPr>
        <w:t>2.</w:t>
      </w:r>
      <w:r w:rsidRPr="00187FF2">
        <w:rPr>
          <w:rFonts w:cstheme="minorHAnsi"/>
        </w:rPr>
        <w:tab/>
        <w:t xml:space="preserve">Provide a </w:t>
      </w:r>
      <w:r>
        <w:rPr>
          <w:rFonts w:cstheme="minorHAnsi"/>
        </w:rPr>
        <w:t>laminated permit that is required to be placed on the driver’s side of the front window (bottom right). If permit is not displayed correctly, a parking infringement notice may be issued.</w:t>
      </w:r>
    </w:p>
    <w:p w14:paraId="033DF746" w14:textId="77777777" w:rsidR="00E91624" w:rsidRPr="00187FF2" w:rsidRDefault="00E91624" w:rsidP="00E91624">
      <w:pPr>
        <w:tabs>
          <w:tab w:val="left" w:pos="567"/>
          <w:tab w:val="right" w:pos="8505"/>
        </w:tabs>
        <w:spacing w:line="240" w:lineRule="auto"/>
        <w:ind w:left="567" w:hanging="567"/>
        <w:jc w:val="both"/>
        <w:rPr>
          <w:rFonts w:cstheme="minorHAnsi"/>
        </w:rPr>
      </w:pPr>
      <w:r w:rsidRPr="00187FF2">
        <w:rPr>
          <w:rFonts w:cstheme="minorHAnsi"/>
        </w:rPr>
        <w:t>3.</w:t>
      </w:r>
      <w:r w:rsidRPr="00187FF2">
        <w:rPr>
          <w:rFonts w:cstheme="minorHAnsi"/>
        </w:rPr>
        <w:tab/>
        <w:t>The permit is only valid when both the authorised vehicle and trailer are attached and parked within the No 1 (Leeuwin) car park.</w:t>
      </w:r>
    </w:p>
    <w:p w14:paraId="7B43F8B7" w14:textId="77777777" w:rsidR="00E91624" w:rsidRPr="00187FF2" w:rsidRDefault="00E91624" w:rsidP="00E91624">
      <w:pPr>
        <w:pStyle w:val="BodyTextIndent2"/>
        <w:tabs>
          <w:tab w:val="left" w:pos="567"/>
        </w:tabs>
        <w:spacing w:after="200" w:line="240" w:lineRule="auto"/>
        <w:ind w:left="567" w:hanging="567"/>
        <w:rPr>
          <w:rFonts w:cstheme="minorHAnsi"/>
          <w:i/>
        </w:rPr>
      </w:pPr>
      <w:r w:rsidRPr="00187FF2">
        <w:rPr>
          <w:rFonts w:cstheme="minorHAnsi"/>
        </w:rPr>
        <w:t>4.</w:t>
      </w:r>
      <w:r w:rsidRPr="00187FF2">
        <w:rPr>
          <w:rFonts w:cstheme="minorHAnsi"/>
        </w:rPr>
        <w:tab/>
        <w:t>The holder of the permit is required to comply with all other local laws in the parking area.  It does not entitle the holder to a reserved parking bay.</w:t>
      </w:r>
    </w:p>
    <w:p w14:paraId="79A97ED6" w14:textId="77777777" w:rsidR="00E91624" w:rsidRPr="00187FF2" w:rsidRDefault="00E91624" w:rsidP="00E91624">
      <w:pPr>
        <w:tabs>
          <w:tab w:val="left" w:pos="567"/>
          <w:tab w:val="right" w:pos="8505"/>
        </w:tabs>
        <w:spacing w:line="240" w:lineRule="auto"/>
        <w:ind w:left="567" w:hanging="567"/>
        <w:jc w:val="both"/>
        <w:rPr>
          <w:rFonts w:cstheme="minorHAnsi"/>
        </w:rPr>
      </w:pPr>
      <w:r w:rsidRPr="00187FF2">
        <w:rPr>
          <w:rFonts w:cstheme="minorHAnsi"/>
        </w:rPr>
        <w:t>5.</w:t>
      </w:r>
      <w:r w:rsidRPr="00187FF2">
        <w:rPr>
          <w:rFonts w:cstheme="minorHAnsi"/>
        </w:rPr>
        <w:tab/>
        <w:t>Maximum of one permit per owners of rateable property, regardless of additional properties owned.</w:t>
      </w:r>
    </w:p>
    <w:p w14:paraId="7673E055" w14:textId="77777777" w:rsidR="00E91624" w:rsidRPr="00187FF2" w:rsidRDefault="00E91624" w:rsidP="00E91624">
      <w:pPr>
        <w:tabs>
          <w:tab w:val="left" w:pos="567"/>
          <w:tab w:val="right" w:pos="8505"/>
        </w:tabs>
        <w:spacing w:line="240" w:lineRule="auto"/>
        <w:ind w:left="567" w:hanging="567"/>
        <w:jc w:val="both"/>
        <w:rPr>
          <w:rFonts w:cstheme="minorHAnsi"/>
        </w:rPr>
      </w:pPr>
      <w:r w:rsidRPr="00187FF2">
        <w:rPr>
          <w:rFonts w:cstheme="minorHAnsi"/>
        </w:rPr>
        <w:t>6.</w:t>
      </w:r>
      <w:r w:rsidRPr="00187FF2">
        <w:rPr>
          <w:rFonts w:cstheme="minorHAnsi"/>
        </w:rPr>
        <w:tab/>
        <w:t>All permits expire on 3</w:t>
      </w:r>
      <w:r>
        <w:rPr>
          <w:rFonts w:cstheme="minorHAnsi"/>
        </w:rPr>
        <w:t>1 August</w:t>
      </w:r>
      <w:r w:rsidRPr="00187FF2">
        <w:rPr>
          <w:rFonts w:cstheme="minorHAnsi"/>
        </w:rPr>
        <w:t xml:space="preserve"> each year and only one permit is to be issued per year.</w:t>
      </w:r>
    </w:p>
    <w:p w14:paraId="5672222D" w14:textId="77777777" w:rsidR="00E91624" w:rsidRPr="00187FF2" w:rsidRDefault="00E91624" w:rsidP="00E91624">
      <w:pPr>
        <w:pStyle w:val="BodyText3"/>
        <w:tabs>
          <w:tab w:val="left" w:pos="567"/>
        </w:tabs>
        <w:spacing w:after="200" w:line="240" w:lineRule="auto"/>
        <w:ind w:left="567" w:hanging="567"/>
        <w:jc w:val="both"/>
        <w:rPr>
          <w:rFonts w:cstheme="minorHAnsi"/>
          <w:i/>
          <w:sz w:val="22"/>
          <w:szCs w:val="22"/>
        </w:rPr>
      </w:pPr>
      <w:r w:rsidRPr="00187FF2">
        <w:rPr>
          <w:rFonts w:cstheme="minorHAnsi"/>
          <w:sz w:val="22"/>
          <w:szCs w:val="22"/>
        </w:rPr>
        <w:t>7.</w:t>
      </w:r>
      <w:r w:rsidRPr="00187FF2">
        <w:rPr>
          <w:rFonts w:cstheme="minorHAnsi"/>
          <w:sz w:val="22"/>
          <w:szCs w:val="22"/>
        </w:rPr>
        <w:tab/>
        <w:t>Any breach of condition may result in revocation of parking permit and a refusal of future applications.</w:t>
      </w:r>
    </w:p>
    <w:p w14:paraId="7395F794" w14:textId="77777777" w:rsidR="00E91624" w:rsidRPr="00187FF2" w:rsidRDefault="00E91624" w:rsidP="00E91624">
      <w:pPr>
        <w:pStyle w:val="BodyText3"/>
        <w:tabs>
          <w:tab w:val="left" w:pos="567"/>
        </w:tabs>
        <w:spacing w:line="240" w:lineRule="auto"/>
        <w:ind w:left="567" w:hanging="567"/>
        <w:jc w:val="both"/>
        <w:rPr>
          <w:rFonts w:cstheme="minorHAnsi"/>
          <w:i/>
          <w:sz w:val="22"/>
          <w:szCs w:val="22"/>
        </w:rPr>
      </w:pPr>
      <w:r w:rsidRPr="00187FF2">
        <w:rPr>
          <w:rFonts w:cstheme="minorHAnsi"/>
          <w:sz w:val="22"/>
          <w:szCs w:val="22"/>
        </w:rPr>
        <w:t>8.</w:t>
      </w:r>
      <w:r w:rsidRPr="00187FF2">
        <w:rPr>
          <w:rFonts w:cstheme="minorHAnsi"/>
          <w:sz w:val="22"/>
          <w:szCs w:val="22"/>
        </w:rPr>
        <w:tab/>
      </w:r>
      <w:r w:rsidRPr="00711E41">
        <w:rPr>
          <w:rFonts w:cstheme="minorHAnsi"/>
          <w:sz w:val="22"/>
          <w:szCs w:val="22"/>
        </w:rPr>
        <w:t>Council staff maintain a register of all permits.</w:t>
      </w:r>
    </w:p>
    <w:p w14:paraId="5B47E3CC" w14:textId="77777777" w:rsidR="00E91624" w:rsidRPr="00187FF2" w:rsidRDefault="00E91624" w:rsidP="00E91624">
      <w:pPr>
        <w:tabs>
          <w:tab w:val="left" w:pos="567"/>
          <w:tab w:val="right" w:pos="9072"/>
        </w:tabs>
        <w:spacing w:after="0" w:line="240" w:lineRule="auto"/>
        <w:jc w:val="both"/>
        <w:rPr>
          <w:rFonts w:cstheme="minorHAnsi"/>
        </w:rPr>
      </w:pPr>
    </w:p>
    <w:p w14:paraId="6FFAECD6" w14:textId="77777777" w:rsidR="00E91624" w:rsidRPr="001C5170" w:rsidRDefault="00E91624" w:rsidP="00E91624">
      <w:pPr>
        <w:rPr>
          <w:rFonts w:cstheme="minorHAnsi"/>
        </w:rPr>
      </w:pPr>
    </w:p>
    <w:p w14:paraId="1FD94D34" w14:textId="085CC4E2" w:rsidR="00B90C61" w:rsidRDefault="00B90C61" w:rsidP="00E91624">
      <w:pPr>
        <w:pStyle w:val="Title"/>
        <w:pBdr>
          <w:bottom w:val="none" w:sz="0" w:space="0" w:color="auto"/>
        </w:pBdr>
        <w:spacing w:after="240"/>
        <w:jc w:val="right"/>
        <w:rPr>
          <w:rFonts w:cstheme="minorHAnsi"/>
        </w:rPr>
      </w:pPr>
      <w:r>
        <w:rPr>
          <w:rFonts w:cstheme="minorHAnsi"/>
        </w:rPr>
        <w:br w:type="page"/>
      </w:r>
    </w:p>
    <w:p w14:paraId="6E738826" w14:textId="254CA30C" w:rsidR="00B90C61" w:rsidRDefault="00F23DE3" w:rsidP="00B90C61">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35712" behindDoc="1" locked="0" layoutInCell="1" allowOverlap="1" wp14:anchorId="0BBEBF1C" wp14:editId="7724D406">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13B05D9" w14:textId="77777777" w:rsidR="00B90C61" w:rsidRPr="00CF5405" w:rsidRDefault="00B90C61" w:rsidP="00DC04FA">
      <w:pPr>
        <w:pStyle w:val="Title"/>
        <w:pBdr>
          <w:bottom w:val="none" w:sz="0" w:space="0" w:color="auto"/>
        </w:pBdr>
        <w:spacing w:before="240" w:after="0"/>
        <w:rPr>
          <w:rFonts w:ascii="Arial" w:hAnsi="Arial" w:cs="Arial"/>
          <w:b/>
          <w:sz w:val="16"/>
          <w:szCs w:val="28"/>
          <w:lang w:val="en-US"/>
        </w:rPr>
      </w:pPr>
    </w:p>
    <w:p w14:paraId="1617E481" w14:textId="77777777" w:rsidR="00F23DE3" w:rsidRDefault="00F23DE3" w:rsidP="00DC04FA">
      <w:pPr>
        <w:pStyle w:val="Policy3"/>
      </w:pPr>
    </w:p>
    <w:p w14:paraId="51448D48" w14:textId="77777777" w:rsidR="00F23DE3" w:rsidRDefault="00F23DE3" w:rsidP="00DC04FA">
      <w:pPr>
        <w:pStyle w:val="Policy3"/>
      </w:pPr>
    </w:p>
    <w:p w14:paraId="152E7A0F" w14:textId="77777777" w:rsidR="00F23DE3" w:rsidRDefault="00F23DE3" w:rsidP="00DC04FA">
      <w:pPr>
        <w:pStyle w:val="Policy3"/>
      </w:pPr>
    </w:p>
    <w:p w14:paraId="305C5357" w14:textId="07D9580C" w:rsidR="00B90C61" w:rsidRPr="009B4C1D" w:rsidRDefault="00B90C61" w:rsidP="00DC04FA">
      <w:pPr>
        <w:pStyle w:val="Policy3"/>
        <w:rPr>
          <w:strike/>
          <w:color w:val="auto"/>
        </w:rPr>
      </w:pPr>
      <w:bookmarkStart w:id="307" w:name="_Toc216866689"/>
      <w:r w:rsidRPr="009B4C1D">
        <w:rPr>
          <w:strike/>
        </w:rPr>
        <w:t>2.1.13</w:t>
      </w:r>
      <w:r w:rsidRPr="009B4C1D">
        <w:rPr>
          <w:strike/>
        </w:rPr>
        <w:tab/>
        <w:t>R</w:t>
      </w:r>
      <w:r w:rsidR="00DC04FA" w:rsidRPr="009B4C1D">
        <w:rPr>
          <w:strike/>
        </w:rPr>
        <w:t>ubbish Collection Charge – Domestic Service – No Separate Charge</w:t>
      </w:r>
      <w:r w:rsidR="00B028E9" w:rsidRPr="009B4C1D">
        <w:rPr>
          <w:strike/>
        </w:rPr>
        <w:t xml:space="preserve"> (Revoked 19/11/24)</w:t>
      </w:r>
      <w:bookmarkEnd w:id="307"/>
    </w:p>
    <w:tbl>
      <w:tblPr>
        <w:tblStyle w:val="TableGrid"/>
        <w:tblW w:w="0" w:type="auto"/>
        <w:tblLook w:val="04A0" w:firstRow="1" w:lastRow="0" w:firstColumn="1" w:lastColumn="0" w:noHBand="0" w:noVBand="1"/>
      </w:tblPr>
      <w:tblGrid>
        <w:gridCol w:w="3022"/>
        <w:gridCol w:w="5994"/>
      </w:tblGrid>
      <w:tr w:rsidR="00B90C61" w:rsidRPr="00B028E9" w14:paraId="49E1AA7A" w14:textId="77777777" w:rsidTr="00D577CE">
        <w:tc>
          <w:tcPr>
            <w:tcW w:w="3022" w:type="dxa"/>
          </w:tcPr>
          <w:p w14:paraId="60F5ED98" w14:textId="77777777" w:rsidR="00B90C61" w:rsidRPr="00B028E9" w:rsidRDefault="00B90C61" w:rsidP="00D577CE">
            <w:pPr>
              <w:rPr>
                <w:rFonts w:cstheme="minorHAnsi"/>
                <w:b/>
                <w:strike/>
                <w:lang w:val="en-US"/>
              </w:rPr>
            </w:pPr>
            <w:r w:rsidRPr="00B028E9">
              <w:rPr>
                <w:rFonts w:cstheme="minorHAnsi"/>
                <w:b/>
                <w:strike/>
                <w:lang w:val="en-US"/>
              </w:rPr>
              <w:t>Type:</w:t>
            </w:r>
          </w:p>
        </w:tc>
        <w:tc>
          <w:tcPr>
            <w:tcW w:w="5994" w:type="dxa"/>
          </w:tcPr>
          <w:p w14:paraId="55A8DAE0" w14:textId="77777777" w:rsidR="00B90C61" w:rsidRPr="00B028E9" w:rsidRDefault="00B90C61" w:rsidP="00D577CE">
            <w:pPr>
              <w:rPr>
                <w:rFonts w:cstheme="minorHAnsi"/>
                <w:strike/>
                <w:lang w:val="en-US"/>
              </w:rPr>
            </w:pPr>
            <w:r w:rsidRPr="00B028E9">
              <w:rPr>
                <w:rFonts w:cstheme="minorHAnsi"/>
                <w:strike/>
                <w:lang w:val="en-US"/>
              </w:rPr>
              <w:t>Corporate Services – Financial Management</w:t>
            </w:r>
          </w:p>
        </w:tc>
      </w:tr>
      <w:tr w:rsidR="00B90C61" w:rsidRPr="00B028E9" w14:paraId="7A80B9B6" w14:textId="77777777" w:rsidTr="00D577CE">
        <w:tc>
          <w:tcPr>
            <w:tcW w:w="3022" w:type="dxa"/>
          </w:tcPr>
          <w:p w14:paraId="7155E1C2" w14:textId="77777777" w:rsidR="00B90C61" w:rsidRPr="00B028E9" w:rsidRDefault="00B90C61" w:rsidP="00D577CE">
            <w:pPr>
              <w:rPr>
                <w:rFonts w:cstheme="minorHAnsi"/>
                <w:b/>
                <w:strike/>
                <w:lang w:val="en-US"/>
              </w:rPr>
            </w:pPr>
            <w:r w:rsidRPr="00B028E9">
              <w:rPr>
                <w:rFonts w:cstheme="minorHAnsi"/>
                <w:b/>
                <w:strike/>
                <w:lang w:val="en-US"/>
              </w:rPr>
              <w:t>Legislation:</w:t>
            </w:r>
          </w:p>
        </w:tc>
        <w:tc>
          <w:tcPr>
            <w:tcW w:w="5994" w:type="dxa"/>
          </w:tcPr>
          <w:p w14:paraId="06C2CEB5" w14:textId="77777777" w:rsidR="00B90C61" w:rsidRPr="00B028E9" w:rsidRDefault="00B90C61" w:rsidP="00D577CE">
            <w:pPr>
              <w:rPr>
                <w:rFonts w:cstheme="minorHAnsi"/>
                <w:strike/>
                <w:lang w:val="en-US"/>
              </w:rPr>
            </w:pPr>
            <w:r w:rsidRPr="00B028E9">
              <w:rPr>
                <w:rFonts w:cstheme="minorHAnsi"/>
                <w:strike/>
                <w:lang w:val="en-US"/>
              </w:rPr>
              <w:t>LGA 1995</w:t>
            </w:r>
          </w:p>
        </w:tc>
      </w:tr>
      <w:tr w:rsidR="00B90C61" w:rsidRPr="00B028E9" w14:paraId="54224E1A" w14:textId="77777777" w:rsidTr="00D577CE">
        <w:tc>
          <w:tcPr>
            <w:tcW w:w="3022" w:type="dxa"/>
          </w:tcPr>
          <w:p w14:paraId="376171A8" w14:textId="77777777" w:rsidR="00B90C61" w:rsidRPr="00B028E9" w:rsidRDefault="00B90C61" w:rsidP="00D577CE">
            <w:pPr>
              <w:rPr>
                <w:rFonts w:cstheme="minorHAnsi"/>
                <w:b/>
                <w:strike/>
                <w:lang w:val="en-US"/>
              </w:rPr>
            </w:pPr>
            <w:r w:rsidRPr="00B028E9">
              <w:rPr>
                <w:rFonts w:cstheme="minorHAnsi"/>
                <w:b/>
                <w:strike/>
                <w:lang w:val="en-US"/>
              </w:rPr>
              <w:t>Delegation:</w:t>
            </w:r>
          </w:p>
        </w:tc>
        <w:tc>
          <w:tcPr>
            <w:tcW w:w="5994" w:type="dxa"/>
          </w:tcPr>
          <w:p w14:paraId="3051FB4C" w14:textId="77777777" w:rsidR="00B90C61" w:rsidRPr="00B028E9" w:rsidRDefault="00B90C61" w:rsidP="00D577CE">
            <w:pPr>
              <w:rPr>
                <w:rFonts w:cstheme="minorHAnsi"/>
                <w:strike/>
                <w:lang w:val="en-US"/>
              </w:rPr>
            </w:pPr>
            <w:r w:rsidRPr="00B028E9">
              <w:rPr>
                <w:rFonts w:cstheme="minorHAnsi"/>
                <w:strike/>
                <w:lang w:val="en-US"/>
              </w:rPr>
              <w:t>N/A</w:t>
            </w:r>
          </w:p>
        </w:tc>
      </w:tr>
      <w:tr w:rsidR="00B90C61" w:rsidRPr="00B028E9" w14:paraId="6EA14FB9" w14:textId="77777777" w:rsidTr="00D577CE">
        <w:tc>
          <w:tcPr>
            <w:tcW w:w="3022" w:type="dxa"/>
          </w:tcPr>
          <w:p w14:paraId="431B1DD4" w14:textId="77777777" w:rsidR="00B90C61" w:rsidRPr="00B028E9" w:rsidRDefault="00B90C61" w:rsidP="00D577CE">
            <w:pPr>
              <w:rPr>
                <w:rFonts w:cstheme="minorHAnsi"/>
                <w:b/>
                <w:strike/>
                <w:lang w:val="en-US"/>
              </w:rPr>
            </w:pPr>
            <w:r w:rsidRPr="00B028E9">
              <w:rPr>
                <w:rFonts w:cstheme="minorHAnsi"/>
                <w:b/>
                <w:strike/>
                <w:lang w:val="en-US"/>
              </w:rPr>
              <w:t>Other Related Document:</w:t>
            </w:r>
          </w:p>
        </w:tc>
        <w:tc>
          <w:tcPr>
            <w:tcW w:w="5994" w:type="dxa"/>
          </w:tcPr>
          <w:p w14:paraId="02541474" w14:textId="77777777" w:rsidR="00B90C61" w:rsidRPr="00B028E9" w:rsidRDefault="00B90C61" w:rsidP="00D577CE">
            <w:pPr>
              <w:rPr>
                <w:rFonts w:cstheme="minorHAnsi"/>
                <w:strike/>
                <w:lang w:val="en-US"/>
              </w:rPr>
            </w:pPr>
          </w:p>
        </w:tc>
      </w:tr>
    </w:tbl>
    <w:p w14:paraId="3D7C6525" w14:textId="77777777" w:rsidR="00B90C61" w:rsidRPr="00B028E9" w:rsidRDefault="00B90C61" w:rsidP="00B90C61">
      <w:pPr>
        <w:spacing w:before="240" w:after="0"/>
        <w:rPr>
          <w:b/>
          <w:strike/>
          <w:sz w:val="28"/>
          <w:szCs w:val="28"/>
          <w:lang w:val="en-US"/>
        </w:rPr>
      </w:pPr>
      <w:r w:rsidRPr="00B028E9">
        <w:rPr>
          <w:b/>
          <w:strike/>
          <w:sz w:val="28"/>
          <w:szCs w:val="28"/>
          <w:lang w:val="en-US"/>
        </w:rPr>
        <w:t>Objective</w:t>
      </w:r>
    </w:p>
    <w:p w14:paraId="68410D70" w14:textId="77777777" w:rsidR="00B90C61" w:rsidRPr="00B028E9" w:rsidRDefault="00B90C61" w:rsidP="00B90C61">
      <w:pPr>
        <w:jc w:val="both"/>
        <w:rPr>
          <w:rFonts w:cstheme="minorHAnsi"/>
          <w:strike/>
          <w:lang w:val="en-US"/>
        </w:rPr>
      </w:pPr>
      <w:r w:rsidRPr="00B028E9">
        <w:rPr>
          <w:rFonts w:cstheme="minorHAnsi"/>
          <w:strike/>
          <w:lang w:val="en-US"/>
        </w:rPr>
        <w:t>To record Council’s determination regarding the levying of domestic rubbish charges.</w:t>
      </w:r>
    </w:p>
    <w:p w14:paraId="22AD6917" w14:textId="77777777" w:rsidR="00B90C61" w:rsidRPr="00B028E9" w:rsidRDefault="00B90C61" w:rsidP="00B90C61">
      <w:pPr>
        <w:spacing w:before="200" w:after="0"/>
        <w:rPr>
          <w:b/>
          <w:strike/>
          <w:sz w:val="28"/>
          <w:szCs w:val="28"/>
          <w:lang w:val="en-US"/>
        </w:rPr>
      </w:pPr>
      <w:r w:rsidRPr="00B028E9">
        <w:rPr>
          <w:b/>
          <w:strike/>
          <w:sz w:val="28"/>
          <w:szCs w:val="28"/>
          <w:lang w:val="en-US"/>
        </w:rPr>
        <w:t>Policy Scope</w:t>
      </w:r>
    </w:p>
    <w:p w14:paraId="71A5644E" w14:textId="77777777" w:rsidR="00B90C61" w:rsidRPr="00B028E9" w:rsidRDefault="00B90C61" w:rsidP="00B90C61">
      <w:pPr>
        <w:spacing w:after="60"/>
        <w:jc w:val="both"/>
        <w:rPr>
          <w:rFonts w:cstheme="minorHAnsi"/>
          <w:strike/>
          <w:lang w:val="en-US"/>
        </w:rPr>
      </w:pPr>
      <w:r w:rsidRPr="00B028E9">
        <w:rPr>
          <w:rFonts w:cstheme="minorHAnsi"/>
          <w:strike/>
          <w:lang w:val="en-US"/>
        </w:rPr>
        <w:t>This policy will affect all ratepayers (residential) of the Town.</w:t>
      </w:r>
    </w:p>
    <w:p w14:paraId="7105F314" w14:textId="77777777" w:rsidR="00B90C61" w:rsidRPr="00B028E9" w:rsidRDefault="00B90C61" w:rsidP="00B90C61">
      <w:pPr>
        <w:spacing w:before="200" w:after="0"/>
        <w:rPr>
          <w:b/>
          <w:strike/>
          <w:sz w:val="28"/>
          <w:szCs w:val="28"/>
          <w:lang w:val="en-US"/>
        </w:rPr>
      </w:pPr>
      <w:r w:rsidRPr="00B028E9">
        <w:rPr>
          <w:b/>
          <w:strike/>
          <w:sz w:val="28"/>
          <w:szCs w:val="28"/>
          <w:lang w:val="en-US"/>
        </w:rPr>
        <w:t xml:space="preserve">Policy </w:t>
      </w:r>
    </w:p>
    <w:p w14:paraId="0C4B3217" w14:textId="77777777" w:rsidR="00B90C61" w:rsidRPr="00B028E9" w:rsidRDefault="00B90C61" w:rsidP="00B90C61">
      <w:pPr>
        <w:tabs>
          <w:tab w:val="right" w:pos="8505"/>
        </w:tabs>
        <w:spacing w:line="240" w:lineRule="auto"/>
        <w:jc w:val="both"/>
        <w:rPr>
          <w:rFonts w:cstheme="minorHAnsi"/>
          <w:strike/>
          <w:lang w:val="en-US"/>
        </w:rPr>
      </w:pPr>
      <w:r w:rsidRPr="00B028E9">
        <w:rPr>
          <w:rFonts w:cstheme="minorHAnsi"/>
          <w:strike/>
          <w:lang w:val="en-US"/>
        </w:rPr>
        <w:t xml:space="preserve">Council will not levy separate charges for rubbish or recycling collections for household/domestic properties. </w:t>
      </w:r>
    </w:p>
    <w:p w14:paraId="3BCD5E85" w14:textId="77777777" w:rsidR="00B90C61" w:rsidRPr="00B028E9" w:rsidRDefault="00B90C61" w:rsidP="00B90C61">
      <w:pPr>
        <w:jc w:val="both"/>
        <w:rPr>
          <w:rFonts w:cstheme="minorHAnsi"/>
          <w:strike/>
          <w:lang w:val="en-US"/>
        </w:rPr>
      </w:pPr>
    </w:p>
    <w:tbl>
      <w:tblPr>
        <w:tblStyle w:val="TableGrid"/>
        <w:tblW w:w="0" w:type="auto"/>
        <w:tblLook w:val="04A0" w:firstRow="1" w:lastRow="0" w:firstColumn="1" w:lastColumn="0" w:noHBand="0" w:noVBand="1"/>
      </w:tblPr>
      <w:tblGrid>
        <w:gridCol w:w="3051"/>
        <w:gridCol w:w="5989"/>
      </w:tblGrid>
      <w:tr w:rsidR="00B90C61" w:rsidRPr="00B028E9" w14:paraId="368A9A81" w14:textId="77777777" w:rsidTr="00D577CE">
        <w:tc>
          <w:tcPr>
            <w:tcW w:w="3085" w:type="dxa"/>
          </w:tcPr>
          <w:p w14:paraId="50AFD6B4" w14:textId="77777777" w:rsidR="00B90C61" w:rsidRPr="00B028E9" w:rsidRDefault="00B90C61" w:rsidP="00D577CE">
            <w:pPr>
              <w:jc w:val="both"/>
              <w:rPr>
                <w:rFonts w:cstheme="minorHAnsi"/>
                <w:b/>
                <w:strike/>
                <w:lang w:val="en-US"/>
              </w:rPr>
            </w:pPr>
            <w:r w:rsidRPr="00B028E9">
              <w:rPr>
                <w:rFonts w:cstheme="minorHAnsi"/>
                <w:b/>
                <w:strike/>
                <w:lang w:val="en-US"/>
              </w:rPr>
              <w:t>Responsible Directorate:</w:t>
            </w:r>
          </w:p>
        </w:tc>
        <w:tc>
          <w:tcPr>
            <w:tcW w:w="6157" w:type="dxa"/>
          </w:tcPr>
          <w:p w14:paraId="04CC8EB0" w14:textId="77777777" w:rsidR="00B90C61" w:rsidRPr="00B028E9" w:rsidRDefault="00B90C61" w:rsidP="00D577CE">
            <w:pPr>
              <w:jc w:val="both"/>
              <w:rPr>
                <w:rFonts w:cstheme="minorHAnsi"/>
                <w:strike/>
                <w:lang w:val="en-US"/>
              </w:rPr>
            </w:pPr>
            <w:r w:rsidRPr="00B028E9">
              <w:rPr>
                <w:rFonts w:cstheme="minorHAnsi"/>
                <w:strike/>
                <w:lang w:val="en-US"/>
              </w:rPr>
              <w:t>Finance &amp; Administration</w:t>
            </w:r>
          </w:p>
        </w:tc>
      </w:tr>
      <w:tr w:rsidR="00B90C61" w:rsidRPr="00B028E9" w14:paraId="45490278" w14:textId="77777777" w:rsidTr="00D577CE">
        <w:tc>
          <w:tcPr>
            <w:tcW w:w="3085" w:type="dxa"/>
          </w:tcPr>
          <w:p w14:paraId="7E5612E9" w14:textId="77777777" w:rsidR="00B90C61" w:rsidRPr="00B028E9" w:rsidRDefault="00B90C61" w:rsidP="00D577CE">
            <w:pPr>
              <w:jc w:val="both"/>
              <w:rPr>
                <w:rFonts w:cstheme="minorHAnsi"/>
                <w:b/>
                <w:strike/>
                <w:lang w:val="en-US"/>
              </w:rPr>
            </w:pPr>
            <w:r w:rsidRPr="00B028E9">
              <w:rPr>
                <w:rFonts w:cstheme="minorHAnsi"/>
                <w:b/>
                <w:strike/>
                <w:lang w:val="en-US"/>
              </w:rPr>
              <w:t>Reviewing Officer:</w:t>
            </w:r>
          </w:p>
        </w:tc>
        <w:tc>
          <w:tcPr>
            <w:tcW w:w="6157" w:type="dxa"/>
          </w:tcPr>
          <w:p w14:paraId="472082DC" w14:textId="77777777" w:rsidR="00B90C61" w:rsidRPr="00B028E9" w:rsidRDefault="00B90C61" w:rsidP="00D577CE">
            <w:pPr>
              <w:jc w:val="both"/>
              <w:rPr>
                <w:rFonts w:cstheme="minorHAnsi"/>
                <w:strike/>
                <w:lang w:val="en-US"/>
              </w:rPr>
            </w:pPr>
            <w:r w:rsidRPr="00B028E9">
              <w:rPr>
                <w:rFonts w:cstheme="minorHAnsi"/>
                <w:strike/>
                <w:lang w:val="en-US"/>
              </w:rPr>
              <w:t>Executive Manager Corporate Services</w:t>
            </w:r>
          </w:p>
        </w:tc>
      </w:tr>
      <w:tr w:rsidR="00B90C61" w:rsidRPr="00B028E9" w14:paraId="7E8CF543" w14:textId="77777777" w:rsidTr="00D577CE">
        <w:tc>
          <w:tcPr>
            <w:tcW w:w="3085" w:type="dxa"/>
          </w:tcPr>
          <w:p w14:paraId="1CF0998D" w14:textId="77777777" w:rsidR="00B90C61" w:rsidRPr="00B028E9" w:rsidRDefault="00B90C61" w:rsidP="00D577CE">
            <w:pPr>
              <w:jc w:val="both"/>
              <w:rPr>
                <w:rFonts w:cstheme="minorHAnsi"/>
                <w:b/>
                <w:strike/>
                <w:lang w:val="en-US"/>
              </w:rPr>
            </w:pPr>
            <w:r w:rsidRPr="00B028E9">
              <w:rPr>
                <w:rFonts w:cstheme="minorHAnsi"/>
                <w:b/>
                <w:strike/>
                <w:lang w:val="en-US"/>
              </w:rPr>
              <w:t>Decision making Authority:</w:t>
            </w:r>
          </w:p>
        </w:tc>
        <w:tc>
          <w:tcPr>
            <w:tcW w:w="6157" w:type="dxa"/>
          </w:tcPr>
          <w:p w14:paraId="553F7589" w14:textId="77777777" w:rsidR="00B90C61" w:rsidRPr="00B028E9" w:rsidRDefault="00B90C61" w:rsidP="00D577CE">
            <w:pPr>
              <w:jc w:val="both"/>
              <w:rPr>
                <w:rFonts w:cstheme="minorHAnsi"/>
                <w:strike/>
                <w:lang w:val="en-US"/>
              </w:rPr>
            </w:pPr>
            <w:r w:rsidRPr="00B028E9">
              <w:rPr>
                <w:rFonts w:cstheme="minorHAnsi"/>
                <w:strike/>
                <w:lang w:val="en-US"/>
              </w:rPr>
              <w:t>Council</w:t>
            </w:r>
          </w:p>
        </w:tc>
      </w:tr>
      <w:tr w:rsidR="00B90C61" w:rsidRPr="00B028E9" w14:paraId="2BC86B02" w14:textId="77777777" w:rsidTr="00D577CE">
        <w:tc>
          <w:tcPr>
            <w:tcW w:w="3085" w:type="dxa"/>
          </w:tcPr>
          <w:p w14:paraId="00AA0C25" w14:textId="77777777" w:rsidR="00B90C61" w:rsidRPr="00B028E9" w:rsidRDefault="00B90C61" w:rsidP="00D577CE">
            <w:pPr>
              <w:jc w:val="both"/>
              <w:rPr>
                <w:rFonts w:cstheme="minorHAnsi"/>
                <w:b/>
                <w:strike/>
                <w:lang w:val="en-US"/>
              </w:rPr>
            </w:pPr>
            <w:r w:rsidRPr="00B028E9">
              <w:rPr>
                <w:rFonts w:cstheme="minorHAnsi"/>
                <w:b/>
                <w:strike/>
                <w:lang w:val="en-US"/>
              </w:rPr>
              <w:t>Policy Adopted:</w:t>
            </w:r>
          </w:p>
        </w:tc>
        <w:tc>
          <w:tcPr>
            <w:tcW w:w="6157" w:type="dxa"/>
          </w:tcPr>
          <w:p w14:paraId="16A0A436" w14:textId="77777777" w:rsidR="00B90C61" w:rsidRPr="00B028E9" w:rsidRDefault="00B90C61" w:rsidP="00B90C61">
            <w:pPr>
              <w:jc w:val="both"/>
              <w:rPr>
                <w:rFonts w:cstheme="minorHAnsi"/>
                <w:strike/>
                <w:lang w:val="en-US"/>
              </w:rPr>
            </w:pPr>
            <w:r w:rsidRPr="00B028E9">
              <w:rPr>
                <w:rFonts w:cstheme="minorHAnsi"/>
                <w:strike/>
                <w:lang w:val="en-US"/>
              </w:rPr>
              <w:t>16/12/97</w:t>
            </w:r>
          </w:p>
        </w:tc>
      </w:tr>
      <w:tr w:rsidR="00B90C61" w:rsidRPr="00B028E9" w14:paraId="67C8257C" w14:textId="77777777" w:rsidTr="00D577CE">
        <w:tc>
          <w:tcPr>
            <w:tcW w:w="3085" w:type="dxa"/>
          </w:tcPr>
          <w:p w14:paraId="42BE0454" w14:textId="77777777" w:rsidR="00B90C61" w:rsidRPr="00B028E9" w:rsidRDefault="00B90C61" w:rsidP="00D577CE">
            <w:pPr>
              <w:jc w:val="both"/>
              <w:rPr>
                <w:rFonts w:cstheme="minorHAnsi"/>
                <w:b/>
                <w:strike/>
                <w:lang w:val="en-US"/>
              </w:rPr>
            </w:pPr>
            <w:r w:rsidRPr="00B028E9">
              <w:rPr>
                <w:rFonts w:cstheme="minorHAnsi"/>
                <w:b/>
                <w:strike/>
                <w:lang w:val="en-US"/>
              </w:rPr>
              <w:t>Policy Amended/Reviewed:</w:t>
            </w:r>
          </w:p>
        </w:tc>
        <w:tc>
          <w:tcPr>
            <w:tcW w:w="6157" w:type="dxa"/>
          </w:tcPr>
          <w:p w14:paraId="0EB8EF7C" w14:textId="37A94553" w:rsidR="00B90C61" w:rsidRPr="00B028E9" w:rsidRDefault="00B90C61" w:rsidP="00D577CE">
            <w:pPr>
              <w:jc w:val="both"/>
              <w:rPr>
                <w:rFonts w:cstheme="minorHAnsi"/>
                <w:strike/>
                <w:lang w:val="en-US"/>
              </w:rPr>
            </w:pPr>
            <w:r w:rsidRPr="00B028E9">
              <w:rPr>
                <w:rFonts w:cstheme="minorHAnsi"/>
                <w:strike/>
                <w:lang w:val="en-US"/>
              </w:rPr>
              <w:t>18/03/08</w:t>
            </w:r>
            <w:r w:rsidR="003C6BA5" w:rsidRPr="00B028E9">
              <w:rPr>
                <w:rFonts w:cstheme="minorHAnsi"/>
                <w:strike/>
                <w:lang w:val="en-US"/>
              </w:rPr>
              <w:t>, 17/9/19</w:t>
            </w:r>
          </w:p>
        </w:tc>
      </w:tr>
      <w:tr w:rsidR="00B90C61" w:rsidRPr="00B028E9" w14:paraId="60AE202F" w14:textId="77777777" w:rsidTr="00D577CE">
        <w:tc>
          <w:tcPr>
            <w:tcW w:w="3085" w:type="dxa"/>
          </w:tcPr>
          <w:p w14:paraId="04530428" w14:textId="77777777" w:rsidR="00B90C61" w:rsidRPr="00B028E9" w:rsidRDefault="00B90C61" w:rsidP="00D577CE">
            <w:pPr>
              <w:jc w:val="both"/>
              <w:rPr>
                <w:rFonts w:cstheme="minorHAnsi"/>
                <w:b/>
                <w:strike/>
                <w:lang w:val="en-US"/>
              </w:rPr>
            </w:pPr>
            <w:r w:rsidRPr="00B028E9">
              <w:rPr>
                <w:rFonts w:cstheme="minorHAnsi"/>
                <w:b/>
                <w:strike/>
                <w:lang w:val="en-US"/>
              </w:rPr>
              <w:t>Former Policy No:</w:t>
            </w:r>
          </w:p>
        </w:tc>
        <w:tc>
          <w:tcPr>
            <w:tcW w:w="6157" w:type="dxa"/>
          </w:tcPr>
          <w:p w14:paraId="7FD31A8A" w14:textId="77777777" w:rsidR="00B90C61" w:rsidRPr="00B028E9" w:rsidRDefault="00B90C61" w:rsidP="00D577CE">
            <w:pPr>
              <w:jc w:val="both"/>
              <w:rPr>
                <w:rFonts w:cstheme="minorHAnsi"/>
                <w:strike/>
                <w:lang w:val="en-US"/>
              </w:rPr>
            </w:pPr>
            <w:r w:rsidRPr="00B028E9">
              <w:rPr>
                <w:rFonts w:cstheme="minorHAnsi"/>
                <w:strike/>
                <w:lang w:val="en-US"/>
              </w:rPr>
              <w:t>F2.2</w:t>
            </w:r>
          </w:p>
        </w:tc>
      </w:tr>
    </w:tbl>
    <w:p w14:paraId="13159540" w14:textId="77777777" w:rsidR="00B90C61" w:rsidRPr="00711E41" w:rsidRDefault="00B90C61" w:rsidP="00B90C61">
      <w:pPr>
        <w:jc w:val="both"/>
        <w:rPr>
          <w:rFonts w:cstheme="minorHAnsi"/>
          <w:lang w:val="en-US"/>
        </w:rPr>
      </w:pPr>
    </w:p>
    <w:p w14:paraId="3E0B7A7D" w14:textId="77777777" w:rsidR="00B90C61" w:rsidRDefault="00B90C61" w:rsidP="00B90C61">
      <w:pPr>
        <w:rPr>
          <w:rFonts w:cstheme="minorHAnsi"/>
        </w:rPr>
      </w:pPr>
      <w:r>
        <w:rPr>
          <w:rFonts w:cstheme="minorHAnsi"/>
        </w:rPr>
        <w:br w:type="page"/>
      </w:r>
    </w:p>
    <w:p w14:paraId="5966D6C4" w14:textId="327F1EB7" w:rsidR="005B4BD9" w:rsidRDefault="00F23DE3" w:rsidP="00F74526">
      <w:pPr>
        <w:jc w:val="right"/>
        <w:rPr>
          <w:lang w:val="en-US"/>
        </w:rPr>
      </w:pPr>
      <w:r>
        <w:rPr>
          <w:noProof/>
          <w:lang w:eastAsia="en-AU"/>
        </w:rPr>
        <w:lastRenderedPageBreak/>
        <w:drawing>
          <wp:anchor distT="0" distB="0" distL="114300" distR="114300" simplePos="0" relativeHeight="251636736" behindDoc="1" locked="0" layoutInCell="1" allowOverlap="1" wp14:anchorId="20255DBF" wp14:editId="2FD65277">
            <wp:simplePos x="0" y="0"/>
            <wp:positionH relativeFrom="margin">
              <wp:align>right</wp:align>
            </wp:positionH>
            <wp:positionV relativeFrom="paragraph">
              <wp:posOffset>9525</wp:posOffset>
            </wp:positionV>
            <wp:extent cx="1744345" cy="699135"/>
            <wp:effectExtent l="0" t="0" r="8255" b="5715"/>
            <wp:wrapTight wrapText="bothSides">
              <wp:wrapPolygon edited="0">
                <wp:start x="0" y="0"/>
                <wp:lineTo x="0" y="21188"/>
                <wp:lineTo x="21466" y="21188"/>
                <wp:lineTo x="21466"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5949F05F" w14:textId="77777777" w:rsidR="005B4BD9" w:rsidRPr="00CF5405" w:rsidRDefault="005B4BD9" w:rsidP="00DC04FA">
      <w:pPr>
        <w:pStyle w:val="Title"/>
        <w:pBdr>
          <w:bottom w:val="none" w:sz="0" w:space="0" w:color="auto"/>
        </w:pBdr>
        <w:spacing w:before="240" w:after="0"/>
        <w:rPr>
          <w:rFonts w:ascii="Arial" w:hAnsi="Arial" w:cs="Arial"/>
          <w:b/>
          <w:sz w:val="16"/>
          <w:szCs w:val="28"/>
          <w:lang w:val="en-US"/>
        </w:rPr>
      </w:pPr>
    </w:p>
    <w:p w14:paraId="527DC9B2" w14:textId="77777777" w:rsidR="00F23DE3" w:rsidRDefault="00F23DE3" w:rsidP="00DC04FA">
      <w:pPr>
        <w:pStyle w:val="Policy3"/>
      </w:pPr>
    </w:p>
    <w:p w14:paraId="704DFC9C" w14:textId="77777777" w:rsidR="00F23DE3" w:rsidRDefault="00F23DE3" w:rsidP="00DC04FA">
      <w:pPr>
        <w:pStyle w:val="Policy3"/>
      </w:pPr>
    </w:p>
    <w:p w14:paraId="04975E2F" w14:textId="3EAF90AC" w:rsidR="005B4BD9" w:rsidRPr="009B4C1D" w:rsidRDefault="005B4BD9" w:rsidP="00DC04FA">
      <w:pPr>
        <w:pStyle w:val="Policy3"/>
        <w:rPr>
          <w:strike/>
        </w:rPr>
      </w:pPr>
      <w:bookmarkStart w:id="308" w:name="_Toc216866690"/>
      <w:r w:rsidRPr="009B4C1D">
        <w:rPr>
          <w:strike/>
        </w:rPr>
        <w:t>2.1.14</w:t>
      </w:r>
      <w:r w:rsidRPr="009B4C1D">
        <w:rPr>
          <w:strike/>
        </w:rPr>
        <w:tab/>
        <w:t>M</w:t>
      </w:r>
      <w:r w:rsidR="00DC04FA" w:rsidRPr="009B4C1D">
        <w:rPr>
          <w:strike/>
        </w:rPr>
        <w:t>otor Vehicle Acquisition &amp; Usage</w:t>
      </w:r>
      <w:bookmarkEnd w:id="308"/>
    </w:p>
    <w:tbl>
      <w:tblPr>
        <w:tblStyle w:val="TableGrid"/>
        <w:tblW w:w="0" w:type="auto"/>
        <w:tblLook w:val="04A0" w:firstRow="1" w:lastRow="0" w:firstColumn="1" w:lastColumn="0" w:noHBand="0" w:noVBand="1"/>
      </w:tblPr>
      <w:tblGrid>
        <w:gridCol w:w="3022"/>
        <w:gridCol w:w="5994"/>
      </w:tblGrid>
      <w:tr w:rsidR="005B4BD9" w:rsidRPr="00711E41" w14:paraId="69118BD6" w14:textId="77777777" w:rsidTr="00D577CE">
        <w:tc>
          <w:tcPr>
            <w:tcW w:w="3022" w:type="dxa"/>
          </w:tcPr>
          <w:p w14:paraId="3E04D33E" w14:textId="77777777" w:rsidR="005B4BD9" w:rsidRPr="009B4C1D" w:rsidRDefault="005B4BD9" w:rsidP="00D577CE">
            <w:pPr>
              <w:rPr>
                <w:rFonts w:cstheme="minorHAnsi"/>
                <w:b/>
                <w:strike/>
                <w:lang w:val="en-US"/>
              </w:rPr>
            </w:pPr>
            <w:r w:rsidRPr="009B4C1D">
              <w:rPr>
                <w:rFonts w:cstheme="minorHAnsi"/>
                <w:b/>
                <w:strike/>
                <w:lang w:val="en-US"/>
              </w:rPr>
              <w:t>Type:</w:t>
            </w:r>
          </w:p>
        </w:tc>
        <w:tc>
          <w:tcPr>
            <w:tcW w:w="5994" w:type="dxa"/>
          </w:tcPr>
          <w:p w14:paraId="5A28C4C4" w14:textId="77777777" w:rsidR="005B4BD9" w:rsidRPr="009B4C1D" w:rsidRDefault="005B4BD9" w:rsidP="00D577CE">
            <w:pPr>
              <w:rPr>
                <w:rFonts w:cstheme="minorHAnsi"/>
                <w:strike/>
                <w:lang w:val="en-US"/>
              </w:rPr>
            </w:pPr>
            <w:r w:rsidRPr="009B4C1D">
              <w:rPr>
                <w:rFonts w:cstheme="minorHAnsi"/>
                <w:strike/>
                <w:lang w:val="en-US"/>
              </w:rPr>
              <w:t>Corporate Services – Financial Management</w:t>
            </w:r>
          </w:p>
        </w:tc>
      </w:tr>
      <w:tr w:rsidR="005B4BD9" w:rsidRPr="00711E41" w14:paraId="304AB827" w14:textId="77777777" w:rsidTr="00D577CE">
        <w:tc>
          <w:tcPr>
            <w:tcW w:w="3022" w:type="dxa"/>
          </w:tcPr>
          <w:p w14:paraId="612E7B83" w14:textId="77777777" w:rsidR="005B4BD9" w:rsidRPr="009B4C1D" w:rsidRDefault="005B4BD9" w:rsidP="00D577CE">
            <w:pPr>
              <w:rPr>
                <w:rFonts w:cstheme="minorHAnsi"/>
                <w:b/>
                <w:strike/>
                <w:lang w:val="en-US"/>
              </w:rPr>
            </w:pPr>
            <w:r w:rsidRPr="009B4C1D">
              <w:rPr>
                <w:rFonts w:cstheme="minorHAnsi"/>
                <w:b/>
                <w:strike/>
                <w:lang w:val="en-US"/>
              </w:rPr>
              <w:t>Legislation:</w:t>
            </w:r>
          </w:p>
        </w:tc>
        <w:tc>
          <w:tcPr>
            <w:tcW w:w="5994" w:type="dxa"/>
          </w:tcPr>
          <w:p w14:paraId="4F454A93" w14:textId="77777777" w:rsidR="005B4BD9" w:rsidRPr="009B4C1D" w:rsidRDefault="005B4BD9" w:rsidP="00D577CE">
            <w:pPr>
              <w:rPr>
                <w:rFonts w:cstheme="minorHAnsi"/>
                <w:strike/>
                <w:lang w:val="en-US"/>
              </w:rPr>
            </w:pPr>
            <w:r w:rsidRPr="009B4C1D">
              <w:rPr>
                <w:rFonts w:cstheme="minorHAnsi"/>
                <w:strike/>
                <w:lang w:val="en-US"/>
              </w:rPr>
              <w:t>LGA 1995</w:t>
            </w:r>
          </w:p>
        </w:tc>
      </w:tr>
      <w:tr w:rsidR="005B4BD9" w:rsidRPr="00711E41" w14:paraId="1C271DCE" w14:textId="77777777" w:rsidTr="00D577CE">
        <w:tc>
          <w:tcPr>
            <w:tcW w:w="3022" w:type="dxa"/>
          </w:tcPr>
          <w:p w14:paraId="3D878656" w14:textId="77777777" w:rsidR="005B4BD9" w:rsidRPr="009B4C1D" w:rsidRDefault="005B4BD9" w:rsidP="00D577CE">
            <w:pPr>
              <w:rPr>
                <w:rFonts w:cstheme="minorHAnsi"/>
                <w:b/>
                <w:strike/>
                <w:lang w:val="en-US"/>
              </w:rPr>
            </w:pPr>
            <w:r w:rsidRPr="009B4C1D">
              <w:rPr>
                <w:rFonts w:cstheme="minorHAnsi"/>
                <w:b/>
                <w:strike/>
                <w:lang w:val="en-US"/>
              </w:rPr>
              <w:t>Delegation:</w:t>
            </w:r>
          </w:p>
        </w:tc>
        <w:tc>
          <w:tcPr>
            <w:tcW w:w="5994" w:type="dxa"/>
          </w:tcPr>
          <w:p w14:paraId="133966BD" w14:textId="77777777" w:rsidR="005B4BD9" w:rsidRPr="009B4C1D" w:rsidRDefault="005B4BD9" w:rsidP="00D577CE">
            <w:pPr>
              <w:rPr>
                <w:rFonts w:cstheme="minorHAnsi"/>
                <w:strike/>
                <w:lang w:val="en-US"/>
              </w:rPr>
            </w:pPr>
            <w:r w:rsidRPr="009B4C1D">
              <w:rPr>
                <w:rFonts w:cstheme="minorHAnsi"/>
                <w:strike/>
                <w:lang w:val="en-US"/>
              </w:rPr>
              <w:t>N/A</w:t>
            </w:r>
          </w:p>
        </w:tc>
      </w:tr>
      <w:tr w:rsidR="005B4BD9" w:rsidRPr="00711E41" w14:paraId="50F96271" w14:textId="77777777" w:rsidTr="00D577CE">
        <w:tc>
          <w:tcPr>
            <w:tcW w:w="3022" w:type="dxa"/>
          </w:tcPr>
          <w:p w14:paraId="23AF23B5" w14:textId="77777777" w:rsidR="005B4BD9" w:rsidRPr="009B4C1D" w:rsidRDefault="005B4BD9" w:rsidP="00D577CE">
            <w:pPr>
              <w:rPr>
                <w:rFonts w:cstheme="minorHAnsi"/>
                <w:b/>
                <w:strike/>
                <w:lang w:val="en-US"/>
              </w:rPr>
            </w:pPr>
            <w:r w:rsidRPr="009B4C1D">
              <w:rPr>
                <w:rFonts w:cstheme="minorHAnsi"/>
                <w:b/>
                <w:strike/>
                <w:lang w:val="en-US"/>
              </w:rPr>
              <w:t>Other Related Document:</w:t>
            </w:r>
          </w:p>
        </w:tc>
        <w:tc>
          <w:tcPr>
            <w:tcW w:w="5994" w:type="dxa"/>
          </w:tcPr>
          <w:p w14:paraId="10F98F41" w14:textId="77777777" w:rsidR="005B4BD9" w:rsidRPr="009B4C1D" w:rsidRDefault="005B4BD9" w:rsidP="00D577CE">
            <w:pPr>
              <w:rPr>
                <w:rFonts w:cstheme="minorHAnsi"/>
                <w:strike/>
                <w:lang w:val="en-US"/>
              </w:rPr>
            </w:pPr>
          </w:p>
        </w:tc>
      </w:tr>
    </w:tbl>
    <w:p w14:paraId="69ED910E" w14:textId="70C4CBCA" w:rsidR="009B4C1D" w:rsidRPr="009B4C1D" w:rsidRDefault="009B4C1D" w:rsidP="005B4BD9">
      <w:pPr>
        <w:spacing w:before="240" w:after="0"/>
        <w:rPr>
          <w:bCs/>
          <w:sz w:val="28"/>
          <w:szCs w:val="28"/>
          <w:lang w:val="en-US"/>
        </w:rPr>
      </w:pPr>
      <w:r>
        <w:rPr>
          <w:bCs/>
          <w:sz w:val="28"/>
          <w:szCs w:val="28"/>
          <w:lang w:val="en-US"/>
        </w:rPr>
        <w:t>This policy has been reclassified as a</w:t>
      </w:r>
      <w:r w:rsidR="00EA357C">
        <w:rPr>
          <w:bCs/>
          <w:sz w:val="28"/>
          <w:szCs w:val="28"/>
          <w:lang w:val="en-US"/>
        </w:rPr>
        <w:t>n administration policy</w:t>
      </w:r>
    </w:p>
    <w:p w14:paraId="4A144778" w14:textId="77777777" w:rsidR="007E249C" w:rsidRDefault="007E249C" w:rsidP="007E249C">
      <w:pPr>
        <w:rPr>
          <w:lang w:val="en-US"/>
        </w:rPr>
      </w:pPr>
      <w:r>
        <w:rPr>
          <w:lang w:val="en-US"/>
        </w:rPr>
        <w:br w:type="page"/>
      </w:r>
    </w:p>
    <w:p w14:paraId="0706AFA6" w14:textId="5FAB1416" w:rsidR="007E249C" w:rsidRPr="008F7973" w:rsidRDefault="00F23DE3" w:rsidP="007E249C">
      <w:pPr>
        <w:pStyle w:val="Policy3"/>
        <w:spacing w:after="0" w:line="360" w:lineRule="auto"/>
        <w:jc w:val="right"/>
        <w:rPr>
          <w:sz w:val="22"/>
        </w:rPr>
      </w:pPr>
      <w:bookmarkStart w:id="309" w:name="_Toc34920532"/>
      <w:bookmarkStart w:id="310" w:name="_Toc38459301"/>
      <w:bookmarkStart w:id="311" w:name="_Toc39733675"/>
      <w:bookmarkStart w:id="312" w:name="_Toc41304208"/>
      <w:bookmarkStart w:id="313" w:name="_Toc44321079"/>
      <w:bookmarkStart w:id="314" w:name="_Toc44321656"/>
      <w:bookmarkStart w:id="315" w:name="_Toc44321879"/>
      <w:bookmarkStart w:id="316" w:name="_Toc46914946"/>
      <w:bookmarkStart w:id="317" w:name="_Toc51860069"/>
      <w:bookmarkStart w:id="318" w:name="_Toc54342058"/>
      <w:bookmarkStart w:id="319" w:name="_Toc56677035"/>
      <w:bookmarkStart w:id="320" w:name="_Toc58574973"/>
      <w:bookmarkStart w:id="321" w:name="_Toc59458409"/>
      <w:bookmarkStart w:id="322" w:name="_Toc64995016"/>
      <w:bookmarkStart w:id="323" w:name="_Toc66971651"/>
      <w:bookmarkStart w:id="324" w:name="_Toc66971904"/>
      <w:bookmarkStart w:id="325" w:name="_Toc70498526"/>
      <w:bookmarkStart w:id="326" w:name="_Toc70499132"/>
      <w:bookmarkStart w:id="327" w:name="_Toc70499454"/>
      <w:bookmarkStart w:id="328" w:name="_Toc72940285"/>
      <w:bookmarkStart w:id="329" w:name="_Toc73715653"/>
      <w:bookmarkStart w:id="330" w:name="_Toc78453275"/>
      <w:bookmarkStart w:id="331" w:name="_Toc78453518"/>
      <w:bookmarkStart w:id="332" w:name="_Toc80268863"/>
      <w:bookmarkStart w:id="333" w:name="_Toc83368042"/>
      <w:bookmarkStart w:id="334" w:name="_Toc85793405"/>
      <w:bookmarkStart w:id="335" w:name="_Toc87531444"/>
      <w:bookmarkStart w:id="336" w:name="_Toc109732953"/>
      <w:bookmarkStart w:id="337" w:name="_Toc163201262"/>
      <w:bookmarkStart w:id="338" w:name="_Toc164255682"/>
      <w:bookmarkStart w:id="339" w:name="_Toc188617018"/>
      <w:bookmarkStart w:id="340" w:name="_Toc204612804"/>
      <w:bookmarkStart w:id="341" w:name="_Toc214980857"/>
      <w:bookmarkStart w:id="342" w:name="_Toc216866691"/>
      <w:r>
        <w:rPr>
          <w:noProof/>
          <w:lang w:eastAsia="en-AU"/>
        </w:rPr>
        <w:lastRenderedPageBreak/>
        <w:drawing>
          <wp:anchor distT="0" distB="0" distL="114300" distR="114300" simplePos="0" relativeHeight="251637760" behindDoc="1" locked="0" layoutInCell="1" allowOverlap="1" wp14:anchorId="1F7C5B43" wp14:editId="277888F0">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p>
    <w:p w14:paraId="2DD833F5" w14:textId="77777777" w:rsidR="00F23DE3" w:rsidRDefault="00F23DE3" w:rsidP="007E249C">
      <w:pPr>
        <w:pStyle w:val="Policy3"/>
        <w:spacing w:before="120"/>
        <w:contextualSpacing w:val="0"/>
        <w:jc w:val="both"/>
        <w:rPr>
          <w:szCs w:val="28"/>
        </w:rPr>
      </w:pPr>
    </w:p>
    <w:p w14:paraId="7CD0DADC" w14:textId="77777777" w:rsidR="00F23DE3" w:rsidRDefault="00F23DE3" w:rsidP="007E249C">
      <w:pPr>
        <w:pStyle w:val="Policy3"/>
        <w:spacing w:before="120"/>
        <w:contextualSpacing w:val="0"/>
        <w:jc w:val="both"/>
        <w:rPr>
          <w:szCs w:val="28"/>
        </w:rPr>
      </w:pPr>
    </w:p>
    <w:p w14:paraId="268D19BF" w14:textId="5A4DFC31" w:rsidR="007E249C" w:rsidRPr="00C701C5" w:rsidRDefault="007E249C" w:rsidP="007E249C">
      <w:pPr>
        <w:pStyle w:val="Policy3"/>
        <w:spacing w:before="120"/>
        <w:contextualSpacing w:val="0"/>
        <w:jc w:val="both"/>
        <w:rPr>
          <w:szCs w:val="28"/>
        </w:rPr>
      </w:pPr>
      <w:bookmarkStart w:id="343" w:name="_Toc216866692"/>
      <w:r>
        <w:rPr>
          <w:szCs w:val="28"/>
        </w:rPr>
        <w:t>2.1.15</w:t>
      </w:r>
      <w:r>
        <w:rPr>
          <w:szCs w:val="28"/>
        </w:rPr>
        <w:tab/>
      </w:r>
      <w:r w:rsidRPr="00C701C5">
        <w:rPr>
          <w:szCs w:val="28"/>
        </w:rPr>
        <w:t xml:space="preserve">Waste Services for Community and Sporting </w:t>
      </w:r>
      <w:proofErr w:type="spellStart"/>
      <w:r w:rsidRPr="00C701C5">
        <w:rPr>
          <w:szCs w:val="28"/>
        </w:rPr>
        <w:t>Organisations</w:t>
      </w:r>
      <w:bookmarkEnd w:id="343"/>
      <w:proofErr w:type="spellEnd"/>
    </w:p>
    <w:tbl>
      <w:tblPr>
        <w:tblStyle w:val="TableGrid"/>
        <w:tblW w:w="9067" w:type="dxa"/>
        <w:tblLook w:val="04A0" w:firstRow="1" w:lastRow="0" w:firstColumn="1" w:lastColumn="0" w:noHBand="0" w:noVBand="1"/>
      </w:tblPr>
      <w:tblGrid>
        <w:gridCol w:w="3510"/>
        <w:gridCol w:w="5557"/>
      </w:tblGrid>
      <w:tr w:rsidR="007E249C" w:rsidRPr="008F7973" w14:paraId="7634BA39" w14:textId="77777777" w:rsidTr="00A9290F">
        <w:trPr>
          <w:trHeight w:val="248"/>
        </w:trPr>
        <w:tc>
          <w:tcPr>
            <w:tcW w:w="3510" w:type="dxa"/>
          </w:tcPr>
          <w:p w14:paraId="0E216ED6" w14:textId="77777777" w:rsidR="007E249C" w:rsidRPr="008F7973" w:rsidRDefault="007E249C" w:rsidP="00A9290F">
            <w:pPr>
              <w:jc w:val="both"/>
              <w:rPr>
                <w:rFonts w:cstheme="minorHAnsi"/>
                <w:b/>
                <w:lang w:val="en-US"/>
              </w:rPr>
            </w:pPr>
            <w:r w:rsidRPr="008F7973">
              <w:rPr>
                <w:rFonts w:cstheme="minorHAnsi"/>
                <w:b/>
                <w:lang w:val="en-US"/>
              </w:rPr>
              <w:t>Type:</w:t>
            </w:r>
          </w:p>
        </w:tc>
        <w:tc>
          <w:tcPr>
            <w:tcW w:w="5557" w:type="dxa"/>
          </w:tcPr>
          <w:p w14:paraId="33A5AEEE" w14:textId="77777777" w:rsidR="007E249C" w:rsidRPr="008F7973" w:rsidRDefault="007E249C" w:rsidP="00A9290F">
            <w:pPr>
              <w:jc w:val="both"/>
              <w:rPr>
                <w:rFonts w:cstheme="minorHAnsi"/>
                <w:lang w:val="en-US"/>
              </w:rPr>
            </w:pPr>
            <w:r w:rsidRPr="008F7973">
              <w:rPr>
                <w:rFonts w:cstheme="minorHAnsi"/>
                <w:lang w:val="en-US"/>
              </w:rPr>
              <w:t xml:space="preserve">Corporate Services  </w:t>
            </w:r>
          </w:p>
        </w:tc>
      </w:tr>
      <w:tr w:rsidR="007E249C" w:rsidRPr="008F7973" w14:paraId="7CEE96C5" w14:textId="77777777" w:rsidTr="00A9290F">
        <w:trPr>
          <w:trHeight w:val="293"/>
        </w:trPr>
        <w:tc>
          <w:tcPr>
            <w:tcW w:w="3510" w:type="dxa"/>
          </w:tcPr>
          <w:p w14:paraId="5FD90DC6" w14:textId="77777777" w:rsidR="007E249C" w:rsidRPr="008F7973" w:rsidRDefault="007E249C" w:rsidP="00A9290F">
            <w:pPr>
              <w:jc w:val="both"/>
              <w:rPr>
                <w:rFonts w:cstheme="minorHAnsi"/>
                <w:b/>
                <w:lang w:val="en-US"/>
              </w:rPr>
            </w:pPr>
            <w:r w:rsidRPr="008F7973">
              <w:rPr>
                <w:rFonts w:cstheme="minorHAnsi"/>
                <w:b/>
                <w:lang w:val="en-US"/>
              </w:rPr>
              <w:t>Legislation:</w:t>
            </w:r>
          </w:p>
        </w:tc>
        <w:tc>
          <w:tcPr>
            <w:tcW w:w="5557" w:type="dxa"/>
          </w:tcPr>
          <w:p w14:paraId="24F24284" w14:textId="77777777" w:rsidR="007E249C" w:rsidRPr="008F7973" w:rsidRDefault="007E249C" w:rsidP="00A9290F">
            <w:pPr>
              <w:jc w:val="both"/>
              <w:rPr>
                <w:rFonts w:cstheme="minorHAnsi"/>
                <w:lang w:eastAsia="en-AU"/>
              </w:rPr>
            </w:pPr>
            <w:r w:rsidRPr="008F7973">
              <w:rPr>
                <w:rFonts w:cstheme="minorHAnsi"/>
                <w:lang w:eastAsia="en-AU"/>
              </w:rPr>
              <w:t>Waste Avoidance and Resource Recovery Act 2007</w:t>
            </w:r>
          </w:p>
        </w:tc>
      </w:tr>
      <w:tr w:rsidR="007E249C" w:rsidRPr="008F7973" w14:paraId="3FE7C0DA" w14:textId="77777777" w:rsidTr="00A9290F">
        <w:trPr>
          <w:trHeight w:val="263"/>
        </w:trPr>
        <w:tc>
          <w:tcPr>
            <w:tcW w:w="3510" w:type="dxa"/>
          </w:tcPr>
          <w:p w14:paraId="681AF515" w14:textId="77777777" w:rsidR="007E249C" w:rsidRPr="008F7973" w:rsidRDefault="007E249C" w:rsidP="00A9290F">
            <w:pPr>
              <w:jc w:val="both"/>
              <w:rPr>
                <w:rFonts w:cstheme="minorHAnsi"/>
                <w:b/>
                <w:lang w:val="en-US"/>
              </w:rPr>
            </w:pPr>
            <w:r w:rsidRPr="008F7973">
              <w:rPr>
                <w:rFonts w:cstheme="minorHAnsi"/>
                <w:b/>
                <w:lang w:val="en-US"/>
              </w:rPr>
              <w:t>Delegation:</w:t>
            </w:r>
          </w:p>
        </w:tc>
        <w:tc>
          <w:tcPr>
            <w:tcW w:w="5557" w:type="dxa"/>
          </w:tcPr>
          <w:p w14:paraId="6D3907A9" w14:textId="77777777" w:rsidR="007E249C" w:rsidRPr="008F7973" w:rsidRDefault="007E249C" w:rsidP="00A9290F">
            <w:pPr>
              <w:jc w:val="both"/>
              <w:rPr>
                <w:rFonts w:cstheme="minorHAnsi"/>
                <w:lang w:val="en-US"/>
              </w:rPr>
            </w:pPr>
            <w:r w:rsidRPr="008F7973">
              <w:rPr>
                <w:rFonts w:cstheme="minorHAnsi"/>
                <w:lang w:val="en-US"/>
              </w:rPr>
              <w:t xml:space="preserve">Council </w:t>
            </w:r>
          </w:p>
        </w:tc>
      </w:tr>
      <w:tr w:rsidR="007E249C" w:rsidRPr="008F7973" w14:paraId="4DFB3B86" w14:textId="77777777" w:rsidTr="00A9290F">
        <w:trPr>
          <w:trHeight w:val="248"/>
        </w:trPr>
        <w:tc>
          <w:tcPr>
            <w:tcW w:w="3510" w:type="dxa"/>
          </w:tcPr>
          <w:p w14:paraId="38DE38BF" w14:textId="77777777" w:rsidR="007E249C" w:rsidRPr="00B91306" w:rsidRDefault="007E249C" w:rsidP="00A9290F">
            <w:pPr>
              <w:jc w:val="both"/>
              <w:rPr>
                <w:rFonts w:cstheme="minorHAnsi"/>
                <w:b/>
                <w:highlight w:val="yellow"/>
                <w:lang w:val="en-US"/>
              </w:rPr>
            </w:pPr>
            <w:r w:rsidRPr="00C701C5">
              <w:rPr>
                <w:rFonts w:cstheme="minorHAnsi"/>
                <w:b/>
                <w:lang w:val="en-US"/>
              </w:rPr>
              <w:t>Other Related Document:</w:t>
            </w:r>
          </w:p>
        </w:tc>
        <w:tc>
          <w:tcPr>
            <w:tcW w:w="5557" w:type="dxa"/>
          </w:tcPr>
          <w:p w14:paraId="4033D127" w14:textId="77777777" w:rsidR="007E249C" w:rsidRPr="00EC5035" w:rsidRDefault="007E249C" w:rsidP="00A9290F">
            <w:pPr>
              <w:jc w:val="both"/>
              <w:rPr>
                <w:rFonts w:cstheme="minorHAnsi"/>
                <w:lang w:val="en-US"/>
              </w:rPr>
            </w:pPr>
            <w:r>
              <w:rPr>
                <w:rFonts w:cstheme="minorHAnsi"/>
                <w:lang w:val="en-US"/>
              </w:rPr>
              <w:t>Waste Local L</w:t>
            </w:r>
            <w:r w:rsidRPr="00EC5035">
              <w:rPr>
                <w:rFonts w:cstheme="minorHAnsi"/>
                <w:lang w:val="en-US"/>
              </w:rPr>
              <w:t>aw 2017</w:t>
            </w:r>
          </w:p>
          <w:p w14:paraId="1EEB8FE0" w14:textId="77777777" w:rsidR="007E249C" w:rsidRPr="00B91306" w:rsidRDefault="007E249C" w:rsidP="00A9290F">
            <w:pPr>
              <w:jc w:val="both"/>
              <w:rPr>
                <w:rFonts w:cstheme="minorHAnsi"/>
                <w:highlight w:val="yellow"/>
                <w:lang w:val="en-US"/>
              </w:rPr>
            </w:pPr>
            <w:r w:rsidRPr="00EC5035">
              <w:rPr>
                <w:rFonts w:cstheme="minorHAnsi"/>
                <w:lang w:val="en-US"/>
              </w:rPr>
              <w:t>Waste Plan 2020 (In development)</w:t>
            </w:r>
          </w:p>
        </w:tc>
      </w:tr>
    </w:tbl>
    <w:p w14:paraId="3A275188" w14:textId="77777777" w:rsidR="007E249C" w:rsidRPr="00C701C5" w:rsidRDefault="007E249C" w:rsidP="007E249C">
      <w:pPr>
        <w:spacing w:before="240" w:after="0" w:line="240" w:lineRule="auto"/>
        <w:jc w:val="both"/>
        <w:rPr>
          <w:rFonts w:cstheme="minorHAnsi"/>
          <w:b/>
          <w:sz w:val="28"/>
          <w:szCs w:val="28"/>
          <w:lang w:val="en-US"/>
        </w:rPr>
      </w:pPr>
      <w:r w:rsidRPr="00C701C5">
        <w:rPr>
          <w:rFonts w:cstheme="minorHAnsi"/>
          <w:b/>
          <w:sz w:val="28"/>
          <w:szCs w:val="28"/>
          <w:lang w:val="en-US"/>
        </w:rPr>
        <w:t>Objective</w:t>
      </w:r>
    </w:p>
    <w:p w14:paraId="116F9DAF" w14:textId="77777777" w:rsidR="007E249C" w:rsidRPr="00771E15" w:rsidRDefault="007E249C" w:rsidP="007E249C">
      <w:pPr>
        <w:spacing w:line="240" w:lineRule="auto"/>
        <w:jc w:val="both"/>
      </w:pPr>
      <w:r w:rsidRPr="00771E15">
        <w:rPr>
          <w:rFonts w:cstheme="minorHAnsi"/>
        </w:rPr>
        <w:t xml:space="preserve">The objective of this policy </w:t>
      </w:r>
      <w:r>
        <w:rPr>
          <w:rFonts w:cstheme="minorHAnsi"/>
        </w:rPr>
        <w:t>is</w:t>
      </w:r>
      <w:r w:rsidRPr="00771E15">
        <w:rPr>
          <w:rFonts w:cstheme="minorHAnsi"/>
        </w:rPr>
        <w:t xml:space="preserve"> to provide clear guidance to the Town of East Fremantle’s </w:t>
      </w:r>
      <w:r>
        <w:rPr>
          <w:rFonts w:cstheme="minorHAnsi"/>
        </w:rPr>
        <w:t>c</w:t>
      </w:r>
      <w:r w:rsidRPr="00771E15">
        <w:rPr>
          <w:rFonts w:cstheme="minorHAnsi"/>
        </w:rPr>
        <w:t>ommunity and</w:t>
      </w:r>
      <w:r>
        <w:rPr>
          <w:rFonts w:cstheme="minorHAnsi"/>
        </w:rPr>
        <w:t xml:space="preserve"> sporting o</w:t>
      </w:r>
      <w:r w:rsidRPr="00771E15">
        <w:rPr>
          <w:rFonts w:cstheme="minorHAnsi"/>
        </w:rPr>
        <w:t xml:space="preserve">rganisations of </w:t>
      </w:r>
      <w:r w:rsidRPr="00771E15">
        <w:t>waste and recycling services and the associated fees and charges.</w:t>
      </w:r>
    </w:p>
    <w:p w14:paraId="0200FCCC" w14:textId="77777777" w:rsidR="007E249C" w:rsidRPr="00EA37F9" w:rsidRDefault="007E249C" w:rsidP="007E249C">
      <w:pPr>
        <w:spacing w:after="0" w:line="240" w:lineRule="auto"/>
        <w:jc w:val="both"/>
        <w:rPr>
          <w:rFonts w:cstheme="minorHAnsi"/>
          <w:b/>
          <w:color w:val="000000" w:themeColor="text1"/>
          <w:sz w:val="28"/>
          <w:szCs w:val="28"/>
          <w:lang w:val="en-US"/>
        </w:rPr>
      </w:pPr>
      <w:r w:rsidRPr="00C701C5">
        <w:rPr>
          <w:rFonts w:cstheme="minorHAnsi"/>
          <w:b/>
          <w:sz w:val="28"/>
          <w:szCs w:val="28"/>
          <w:lang w:val="en-US"/>
        </w:rPr>
        <w:t>Policy Scope</w:t>
      </w:r>
    </w:p>
    <w:p w14:paraId="7AEED6C0" w14:textId="77777777" w:rsidR="007E249C" w:rsidRPr="00EA37F9" w:rsidRDefault="007E249C" w:rsidP="007E249C">
      <w:pPr>
        <w:jc w:val="both"/>
        <w:rPr>
          <w:iCs/>
          <w:color w:val="000000" w:themeColor="text1"/>
        </w:rPr>
      </w:pPr>
      <w:r>
        <w:rPr>
          <w:iCs/>
          <w:color w:val="000000" w:themeColor="text1"/>
        </w:rPr>
        <w:t>Community and sporting o</w:t>
      </w:r>
      <w:r w:rsidRPr="00EA37F9">
        <w:rPr>
          <w:iCs/>
          <w:color w:val="000000" w:themeColor="text1"/>
        </w:rPr>
        <w:t xml:space="preserve">rganisations within East Fremantle, will be eligible for a </w:t>
      </w:r>
      <w:r w:rsidRPr="00EA37F9">
        <w:rPr>
          <w:iCs/>
          <w:color w:val="000000" w:themeColor="text1"/>
          <w:u w:val="single"/>
        </w:rPr>
        <w:t xml:space="preserve">full </w:t>
      </w:r>
      <w:r w:rsidRPr="00EA37F9">
        <w:rPr>
          <w:iCs/>
          <w:color w:val="000000" w:themeColor="text1"/>
        </w:rPr>
        <w:t xml:space="preserve">concession on 1 (one) general waste service, including one 240 litre lime green-lidded FOGO bin, one 240 litre red lidded general waste bin and one 240 litre yellow lidded recycling bin. </w:t>
      </w:r>
    </w:p>
    <w:p w14:paraId="37B1903E" w14:textId="77777777" w:rsidR="007E249C" w:rsidRPr="00EA37F9" w:rsidRDefault="007E249C" w:rsidP="007E249C">
      <w:pPr>
        <w:spacing w:after="60" w:line="240" w:lineRule="auto"/>
        <w:jc w:val="both"/>
        <w:rPr>
          <w:rFonts w:cstheme="minorHAnsi"/>
          <w:color w:val="000000" w:themeColor="text1"/>
        </w:rPr>
      </w:pPr>
      <w:r w:rsidRPr="00EA37F9">
        <w:rPr>
          <w:rFonts w:cstheme="minorHAnsi"/>
          <w:color w:val="000000" w:themeColor="text1"/>
        </w:rPr>
        <w:t xml:space="preserve">This policy applies to: </w:t>
      </w:r>
    </w:p>
    <w:p w14:paraId="31F77B1B" w14:textId="77777777" w:rsidR="007E249C" w:rsidRPr="00EA37F9" w:rsidRDefault="007E249C" w:rsidP="002A3889">
      <w:pPr>
        <w:pStyle w:val="ListParagraph"/>
        <w:numPr>
          <w:ilvl w:val="0"/>
          <w:numId w:val="385"/>
        </w:numPr>
        <w:spacing w:after="60" w:line="240" w:lineRule="auto"/>
        <w:ind w:left="426" w:hanging="426"/>
        <w:contextualSpacing w:val="0"/>
        <w:jc w:val="both"/>
        <w:rPr>
          <w:rFonts w:cstheme="minorHAnsi"/>
          <w:color w:val="000000" w:themeColor="text1"/>
        </w:rPr>
      </w:pPr>
      <w:r w:rsidRPr="00EA37F9">
        <w:rPr>
          <w:rFonts w:cstheme="minorHAnsi"/>
          <w:color w:val="000000" w:themeColor="text1"/>
        </w:rPr>
        <w:t xml:space="preserve">all community organisations using a </w:t>
      </w:r>
      <w:r w:rsidRPr="00EA37F9">
        <w:rPr>
          <w:color w:val="000000" w:themeColor="text1"/>
        </w:rPr>
        <w:t xml:space="preserve">240L MGB for </w:t>
      </w:r>
      <w:proofErr w:type="gramStart"/>
      <w:r w:rsidRPr="00EA37F9">
        <w:rPr>
          <w:color w:val="000000" w:themeColor="text1"/>
        </w:rPr>
        <w:t xml:space="preserve">MSW </w:t>
      </w:r>
      <w:r w:rsidRPr="00EA37F9">
        <w:rPr>
          <w:rFonts w:cstheme="minorHAnsi"/>
          <w:color w:val="000000" w:themeColor="text1"/>
        </w:rPr>
        <w:t xml:space="preserve"> in</w:t>
      </w:r>
      <w:proofErr w:type="gramEnd"/>
      <w:r w:rsidRPr="00EA37F9">
        <w:rPr>
          <w:rFonts w:cstheme="minorHAnsi"/>
          <w:color w:val="000000" w:themeColor="text1"/>
        </w:rPr>
        <w:t xml:space="preserve"> East Fremantle;</w:t>
      </w:r>
    </w:p>
    <w:p w14:paraId="7E3A99D0" w14:textId="77777777" w:rsidR="007E249C" w:rsidRPr="00EA37F9" w:rsidRDefault="007E249C" w:rsidP="002A3889">
      <w:pPr>
        <w:pStyle w:val="ListParagraph"/>
        <w:numPr>
          <w:ilvl w:val="0"/>
          <w:numId w:val="385"/>
        </w:numPr>
        <w:spacing w:line="240" w:lineRule="auto"/>
        <w:ind w:left="425" w:hanging="425"/>
        <w:contextualSpacing w:val="0"/>
        <w:jc w:val="both"/>
        <w:rPr>
          <w:rFonts w:cstheme="minorHAnsi"/>
          <w:b/>
          <w:color w:val="000000" w:themeColor="text1"/>
        </w:rPr>
      </w:pPr>
      <w:r w:rsidRPr="00EA37F9">
        <w:rPr>
          <w:rFonts w:cstheme="minorHAnsi"/>
          <w:color w:val="000000" w:themeColor="text1"/>
        </w:rPr>
        <w:t xml:space="preserve">all sporting organisations using </w:t>
      </w:r>
      <w:r w:rsidRPr="00EA37F9">
        <w:rPr>
          <w:color w:val="000000" w:themeColor="text1"/>
        </w:rPr>
        <w:t xml:space="preserve">240L MGB for </w:t>
      </w:r>
      <w:proofErr w:type="gramStart"/>
      <w:r w:rsidRPr="00EA37F9">
        <w:rPr>
          <w:color w:val="000000" w:themeColor="text1"/>
        </w:rPr>
        <w:t xml:space="preserve">MSW  </w:t>
      </w:r>
      <w:r w:rsidRPr="00EA37F9">
        <w:rPr>
          <w:rFonts w:cstheme="minorHAnsi"/>
          <w:color w:val="000000" w:themeColor="text1"/>
        </w:rPr>
        <w:t>in</w:t>
      </w:r>
      <w:proofErr w:type="gramEnd"/>
      <w:r w:rsidRPr="00EA37F9">
        <w:rPr>
          <w:rFonts w:cstheme="minorHAnsi"/>
          <w:color w:val="000000" w:themeColor="text1"/>
        </w:rPr>
        <w:t xml:space="preserve"> East Fremantle. </w:t>
      </w:r>
    </w:p>
    <w:p w14:paraId="292BCD0E" w14:textId="77777777" w:rsidR="007E249C" w:rsidRPr="00EA37F9" w:rsidRDefault="007E249C" w:rsidP="007E249C">
      <w:pPr>
        <w:spacing w:after="0" w:line="240" w:lineRule="auto"/>
        <w:jc w:val="both"/>
        <w:rPr>
          <w:rFonts w:cstheme="minorHAnsi"/>
          <w:b/>
          <w:color w:val="000000" w:themeColor="text1"/>
          <w:sz w:val="28"/>
          <w:szCs w:val="28"/>
        </w:rPr>
      </w:pPr>
      <w:r w:rsidRPr="00EA37F9">
        <w:rPr>
          <w:rFonts w:cstheme="minorHAnsi"/>
          <w:b/>
          <w:color w:val="000000" w:themeColor="text1"/>
          <w:sz w:val="28"/>
          <w:szCs w:val="28"/>
        </w:rPr>
        <w:t xml:space="preserve">Policy Statement </w:t>
      </w:r>
    </w:p>
    <w:p w14:paraId="10665BBE" w14:textId="77777777" w:rsidR="007E249C" w:rsidRPr="00EA37F9" w:rsidRDefault="007E249C" w:rsidP="007E249C">
      <w:pPr>
        <w:spacing w:after="60"/>
        <w:jc w:val="both"/>
        <w:rPr>
          <w:color w:val="000000" w:themeColor="text1"/>
        </w:rPr>
      </w:pPr>
      <w:r w:rsidRPr="00EA37F9">
        <w:rPr>
          <w:color w:val="000000" w:themeColor="text1"/>
        </w:rPr>
        <w:t>The Town of East Fremantle is required by law to provide a waste collection service to all residents within the Town</w:t>
      </w:r>
      <w:r>
        <w:rPr>
          <w:color w:val="000000" w:themeColor="text1"/>
        </w:rPr>
        <w:t>’</w:t>
      </w:r>
      <w:r w:rsidRPr="00EA37F9">
        <w:rPr>
          <w:color w:val="000000" w:themeColor="text1"/>
        </w:rPr>
        <w:t>s local government area. The Town</w:t>
      </w:r>
      <w:r>
        <w:rPr>
          <w:color w:val="000000" w:themeColor="text1"/>
        </w:rPr>
        <w:t>’</w:t>
      </w:r>
      <w:r w:rsidRPr="00EA37F9">
        <w:rPr>
          <w:color w:val="000000" w:themeColor="text1"/>
        </w:rPr>
        <w:t xml:space="preserve">s approach to waste collection services is a demonstration of its commitment to: </w:t>
      </w:r>
    </w:p>
    <w:p w14:paraId="41DA50B4" w14:textId="77777777" w:rsidR="007E249C" w:rsidRPr="00EA37F9" w:rsidRDefault="007E249C" w:rsidP="002A3889">
      <w:pPr>
        <w:pStyle w:val="ListParagraph"/>
        <w:numPr>
          <w:ilvl w:val="0"/>
          <w:numId w:val="386"/>
        </w:numPr>
        <w:spacing w:after="60"/>
        <w:ind w:left="426" w:hanging="426"/>
        <w:contextualSpacing w:val="0"/>
        <w:jc w:val="both"/>
        <w:rPr>
          <w:color w:val="000000" w:themeColor="text1"/>
        </w:rPr>
      </w:pPr>
      <w:r w:rsidRPr="00EA37F9">
        <w:rPr>
          <w:color w:val="000000" w:themeColor="text1"/>
        </w:rPr>
        <w:t xml:space="preserve">reducing waste, maximising recycling and avoiding </w:t>
      </w:r>
      <w:proofErr w:type="gramStart"/>
      <w:r w:rsidRPr="00EA37F9">
        <w:rPr>
          <w:color w:val="000000" w:themeColor="text1"/>
        </w:rPr>
        <w:t>landfill;</w:t>
      </w:r>
      <w:proofErr w:type="gramEnd"/>
    </w:p>
    <w:p w14:paraId="6F56EA92" w14:textId="77777777" w:rsidR="007E249C" w:rsidRPr="00EA37F9" w:rsidRDefault="007E249C" w:rsidP="002A3889">
      <w:pPr>
        <w:pStyle w:val="ListParagraph"/>
        <w:numPr>
          <w:ilvl w:val="0"/>
          <w:numId w:val="386"/>
        </w:numPr>
        <w:spacing w:after="60"/>
        <w:ind w:left="426" w:hanging="426"/>
        <w:contextualSpacing w:val="0"/>
        <w:jc w:val="both"/>
        <w:rPr>
          <w:color w:val="000000" w:themeColor="text1"/>
        </w:rPr>
      </w:pPr>
      <w:r w:rsidRPr="00EA37F9">
        <w:rPr>
          <w:color w:val="000000" w:themeColor="text1"/>
        </w:rPr>
        <w:t>engaging with the community through a range of events, programs and partnerships to influence positive waste and recycling behaviours and to better educate our younger generation in waste disposal, which seeks to encourage sustainable choices into the future</w:t>
      </w:r>
    </w:p>
    <w:p w14:paraId="7471D36E" w14:textId="77777777" w:rsidR="007E249C" w:rsidRPr="00EA37F9" w:rsidRDefault="007E249C" w:rsidP="007E249C">
      <w:pPr>
        <w:spacing w:after="60"/>
        <w:ind w:left="426" w:hanging="426"/>
        <w:jc w:val="both"/>
        <w:rPr>
          <w:color w:val="000000" w:themeColor="text1"/>
        </w:rPr>
      </w:pPr>
      <w:r w:rsidRPr="00EA37F9">
        <w:rPr>
          <w:color w:val="000000" w:themeColor="text1"/>
        </w:rPr>
        <w:t xml:space="preserve">• </w:t>
      </w:r>
      <w:r w:rsidRPr="00EA37F9">
        <w:rPr>
          <w:color w:val="000000" w:themeColor="text1"/>
        </w:rPr>
        <w:tab/>
        <w:t>providing exemplary customer services to community members</w:t>
      </w:r>
    </w:p>
    <w:p w14:paraId="4DC90E7C" w14:textId="77777777" w:rsidR="007E249C" w:rsidRPr="00EA37F9" w:rsidRDefault="007E249C" w:rsidP="002A3889">
      <w:pPr>
        <w:pStyle w:val="ListParagraph"/>
        <w:numPr>
          <w:ilvl w:val="0"/>
          <w:numId w:val="387"/>
        </w:numPr>
        <w:spacing w:after="60"/>
        <w:ind w:left="426" w:hanging="426"/>
        <w:contextualSpacing w:val="0"/>
        <w:jc w:val="both"/>
        <w:rPr>
          <w:color w:val="000000" w:themeColor="text1"/>
        </w:rPr>
      </w:pPr>
      <w:r w:rsidRPr="00EA37F9">
        <w:rPr>
          <w:color w:val="000000" w:themeColor="text1"/>
        </w:rPr>
        <w:t xml:space="preserve">improving and protecting public safety and health and </w:t>
      </w:r>
    </w:p>
    <w:p w14:paraId="353D77B3" w14:textId="77777777" w:rsidR="007E249C" w:rsidRPr="00EA37F9" w:rsidRDefault="007E249C" w:rsidP="002A3889">
      <w:pPr>
        <w:pStyle w:val="ListParagraph"/>
        <w:numPr>
          <w:ilvl w:val="0"/>
          <w:numId w:val="387"/>
        </w:numPr>
        <w:ind w:left="426" w:hanging="426"/>
        <w:jc w:val="both"/>
        <w:rPr>
          <w:color w:val="000000" w:themeColor="text1"/>
        </w:rPr>
      </w:pPr>
      <w:r w:rsidRPr="00EA37F9">
        <w:rPr>
          <w:color w:val="000000" w:themeColor="text1"/>
        </w:rPr>
        <w:t>assisting organisations and businesses to operate efficiently and therefore successfully.</w:t>
      </w:r>
    </w:p>
    <w:p w14:paraId="1225E0E7" w14:textId="77777777" w:rsidR="007E249C" w:rsidRPr="00EA37F9" w:rsidRDefault="007E249C" w:rsidP="007E249C">
      <w:pPr>
        <w:spacing w:after="0" w:line="240" w:lineRule="auto"/>
        <w:jc w:val="both"/>
        <w:rPr>
          <w:color w:val="000000" w:themeColor="text1"/>
        </w:rPr>
      </w:pPr>
      <w:r w:rsidRPr="00EA37F9">
        <w:rPr>
          <w:color w:val="000000" w:themeColor="text1"/>
        </w:rPr>
        <w:t>The objective of</w:t>
      </w:r>
      <w:r>
        <w:rPr>
          <w:color w:val="000000" w:themeColor="text1"/>
        </w:rPr>
        <w:t xml:space="preserve"> this P</w:t>
      </w:r>
      <w:r w:rsidRPr="00EA37F9">
        <w:rPr>
          <w:color w:val="000000" w:themeColor="text1"/>
        </w:rPr>
        <w:t>olicy is to meet the goals of the State Waste Strategy an</w:t>
      </w:r>
      <w:r>
        <w:rPr>
          <w:color w:val="000000" w:themeColor="text1"/>
        </w:rPr>
        <w:t>d the Town’s Local Waste Plan (i</w:t>
      </w:r>
      <w:r w:rsidRPr="00EA37F9">
        <w:rPr>
          <w:color w:val="000000" w:themeColor="text1"/>
        </w:rPr>
        <w:t>n development).</w:t>
      </w:r>
    </w:p>
    <w:p w14:paraId="5231AD59" w14:textId="77777777" w:rsidR="007E249C" w:rsidRPr="00EA37F9" w:rsidRDefault="007E249C" w:rsidP="007E249C">
      <w:pPr>
        <w:spacing w:after="0" w:line="240" w:lineRule="auto"/>
        <w:rPr>
          <w:color w:val="000000" w:themeColor="text1"/>
          <w:highlight w:val="yellow"/>
        </w:rPr>
      </w:pPr>
    </w:p>
    <w:p w14:paraId="56D40859" w14:textId="77777777" w:rsidR="007E249C" w:rsidRPr="00EA37F9" w:rsidRDefault="007E249C" w:rsidP="007E249C">
      <w:pPr>
        <w:spacing w:after="0" w:line="240" w:lineRule="auto"/>
        <w:jc w:val="both"/>
        <w:rPr>
          <w:color w:val="000000" w:themeColor="text1"/>
        </w:rPr>
      </w:pPr>
      <w:r w:rsidRPr="00EA37F9">
        <w:rPr>
          <w:color w:val="000000" w:themeColor="text1"/>
        </w:rPr>
        <w:t xml:space="preserve">The goal of the State Waste Strategy is to exceed the State current benchmark of 50% for waste recovery and the Town’s goal is to achieve a minimum of 65% for waste recovery. </w:t>
      </w:r>
    </w:p>
    <w:p w14:paraId="1F511015" w14:textId="77777777" w:rsidR="007E249C" w:rsidRPr="00EA37F9" w:rsidRDefault="007E249C" w:rsidP="007E249C">
      <w:pPr>
        <w:spacing w:after="0" w:line="240" w:lineRule="auto"/>
        <w:jc w:val="both"/>
        <w:rPr>
          <w:rFonts w:cstheme="minorHAnsi"/>
          <w:b/>
          <w:color w:val="000000" w:themeColor="text1"/>
          <w:sz w:val="28"/>
          <w:szCs w:val="28"/>
          <w:lang w:val="en-US"/>
        </w:rPr>
      </w:pPr>
    </w:p>
    <w:p w14:paraId="03E2AFA1" w14:textId="77777777" w:rsidR="007E249C" w:rsidRPr="00EA37F9" w:rsidRDefault="007E249C" w:rsidP="007E249C">
      <w:pPr>
        <w:spacing w:after="0" w:line="240" w:lineRule="auto"/>
        <w:jc w:val="both"/>
        <w:rPr>
          <w:rFonts w:cstheme="minorHAnsi"/>
          <w:b/>
          <w:color w:val="000000" w:themeColor="text1"/>
          <w:sz w:val="28"/>
          <w:szCs w:val="28"/>
          <w:lang w:val="en-US"/>
        </w:rPr>
      </w:pPr>
      <w:r w:rsidRPr="00EA37F9">
        <w:rPr>
          <w:rFonts w:cstheme="minorHAnsi"/>
          <w:b/>
          <w:color w:val="000000" w:themeColor="text1"/>
          <w:sz w:val="28"/>
          <w:szCs w:val="28"/>
          <w:lang w:val="en-US"/>
        </w:rPr>
        <w:t xml:space="preserve">Policy </w:t>
      </w:r>
    </w:p>
    <w:p w14:paraId="2A78573B" w14:textId="77777777" w:rsidR="007E249C" w:rsidRPr="00EA37F9" w:rsidRDefault="007E249C" w:rsidP="007E249C">
      <w:pPr>
        <w:jc w:val="both"/>
        <w:rPr>
          <w:color w:val="000000" w:themeColor="text1"/>
        </w:rPr>
      </w:pPr>
      <w:r w:rsidRPr="00EA37F9">
        <w:rPr>
          <w:color w:val="000000" w:themeColor="text1"/>
        </w:rPr>
        <w:t xml:space="preserve">To meet waste recovery targets, the Town regularly undertakes research into the different types and volumes of waste collected. Following the rollout of FOGO to residential properties within the Town, </w:t>
      </w:r>
      <w:r>
        <w:rPr>
          <w:color w:val="000000" w:themeColor="text1"/>
        </w:rPr>
        <w:lastRenderedPageBreak/>
        <w:t>C</w:t>
      </w:r>
      <w:r w:rsidRPr="00EA37F9">
        <w:rPr>
          <w:color w:val="000000" w:themeColor="text1"/>
        </w:rPr>
        <w:t>ouncil is committed to further provide the FOGO service to multiunit developments, businesses and community and sporting organisations.</w:t>
      </w:r>
    </w:p>
    <w:p w14:paraId="65B73E8F" w14:textId="77777777" w:rsidR="007E249C" w:rsidRPr="00EA37F9" w:rsidRDefault="007E249C" w:rsidP="007E249C">
      <w:pPr>
        <w:jc w:val="both"/>
        <w:rPr>
          <w:color w:val="000000" w:themeColor="text1"/>
        </w:rPr>
      </w:pPr>
      <w:r w:rsidRPr="00EA37F9">
        <w:rPr>
          <w:color w:val="000000" w:themeColor="text1"/>
        </w:rPr>
        <w:t xml:space="preserve">To date, the provision of waste services to community and sporting organisation was on an ad hoc and free basis to demonstrate the Town’s support of these organisations. This </w:t>
      </w:r>
      <w:r>
        <w:rPr>
          <w:color w:val="000000" w:themeColor="text1"/>
        </w:rPr>
        <w:t>P</w:t>
      </w:r>
      <w:r w:rsidRPr="00EA37F9">
        <w:rPr>
          <w:color w:val="000000" w:themeColor="text1"/>
        </w:rPr>
        <w:t xml:space="preserve">olicy will ensure that the waste services in both community and sporting organisation are consistent with the services provided in the Town. </w:t>
      </w:r>
    </w:p>
    <w:p w14:paraId="41E7E2C5" w14:textId="77777777" w:rsidR="007E249C" w:rsidRPr="00EA37F9" w:rsidRDefault="007E249C" w:rsidP="007E249C">
      <w:pPr>
        <w:jc w:val="both"/>
        <w:rPr>
          <w:color w:val="000000" w:themeColor="text1"/>
        </w:rPr>
      </w:pPr>
      <w:r w:rsidRPr="00EA37F9">
        <w:rPr>
          <w:color w:val="000000" w:themeColor="text1"/>
        </w:rPr>
        <w:t>The collection of waste is subject to health and safety conditions to protect residents and community members. These conditions include the provision of a regular waste collection service, to ensure safe handling and prevent the accumulation of waste at residential and commercial premises, and in public spaces.</w:t>
      </w:r>
    </w:p>
    <w:p w14:paraId="77F36BD7" w14:textId="77777777" w:rsidR="007E249C" w:rsidRPr="00EA37F9" w:rsidRDefault="007E249C" w:rsidP="007E249C">
      <w:pPr>
        <w:jc w:val="both"/>
        <w:rPr>
          <w:color w:val="000000" w:themeColor="text1"/>
        </w:rPr>
      </w:pPr>
      <w:r>
        <w:rPr>
          <w:color w:val="000000" w:themeColor="text1"/>
        </w:rPr>
        <w:t>Community and s</w:t>
      </w:r>
      <w:r w:rsidRPr="00EA37F9">
        <w:rPr>
          <w:color w:val="000000" w:themeColor="text1"/>
        </w:rPr>
        <w:t xml:space="preserve">porting </w:t>
      </w:r>
      <w:r>
        <w:rPr>
          <w:color w:val="000000" w:themeColor="text1"/>
        </w:rPr>
        <w:t>o</w:t>
      </w:r>
      <w:r w:rsidRPr="00EA37F9">
        <w:rPr>
          <w:color w:val="000000" w:themeColor="text1"/>
        </w:rPr>
        <w:t xml:space="preserve">rganisations within East Fremantle will be eligible for a concession on 1 (one) 240 litre lime green-lidded FOGO bin, 1 (one) 240 litre red -lidded general rubbish bin and 1 (one) 240 litre yellow- lidded recycling bin. </w:t>
      </w:r>
    </w:p>
    <w:p w14:paraId="507D13DC" w14:textId="77777777" w:rsidR="007E249C" w:rsidRPr="00EA37F9" w:rsidRDefault="007E249C" w:rsidP="007E249C">
      <w:pPr>
        <w:jc w:val="both"/>
        <w:rPr>
          <w:color w:val="000000" w:themeColor="text1"/>
        </w:rPr>
      </w:pPr>
      <w:r w:rsidRPr="00EA37F9">
        <w:rPr>
          <w:color w:val="000000" w:themeColor="text1"/>
        </w:rPr>
        <w:t xml:space="preserve">Additional bins can be obtained outside the standard general waste service at an additional cost. Waste Service Charges are levied as per the Town of East Fremantle’s Schedule of Fees and Charges adopted by Council each year. </w:t>
      </w:r>
    </w:p>
    <w:p w14:paraId="696FC965" w14:textId="77777777" w:rsidR="007E249C" w:rsidRPr="00EA37F9" w:rsidRDefault="007E249C" w:rsidP="007E249C">
      <w:pPr>
        <w:jc w:val="both"/>
        <w:rPr>
          <w:color w:val="000000" w:themeColor="text1"/>
        </w:rPr>
      </w:pPr>
      <w:r w:rsidRPr="00EA37F9">
        <w:rPr>
          <w:color w:val="000000" w:themeColor="text1"/>
        </w:rPr>
        <w:t xml:space="preserve">The Waste Service fee is an annual fee and calculated on a pro–rata basis from the date the bin is delivered to the premises and will </w:t>
      </w:r>
      <w:proofErr w:type="gramStart"/>
      <w:r w:rsidRPr="00EA37F9">
        <w:rPr>
          <w:color w:val="000000" w:themeColor="text1"/>
          <w:shd w:val="clear" w:color="auto" w:fill="FFFFFF"/>
        </w:rPr>
        <w:t>included</w:t>
      </w:r>
      <w:proofErr w:type="gramEnd"/>
      <w:r w:rsidRPr="00EA37F9">
        <w:rPr>
          <w:color w:val="000000" w:themeColor="text1"/>
          <w:shd w:val="clear" w:color="auto" w:fill="FFFFFF"/>
        </w:rPr>
        <w:t xml:space="preserve"> on a rates notice as a separate charge.</w:t>
      </w:r>
    </w:p>
    <w:p w14:paraId="008E05CE" w14:textId="77777777" w:rsidR="007E249C" w:rsidRPr="00EA37F9" w:rsidRDefault="007E249C" w:rsidP="007E249C">
      <w:pPr>
        <w:spacing w:after="0" w:line="240" w:lineRule="auto"/>
        <w:jc w:val="both"/>
        <w:rPr>
          <w:rFonts w:cstheme="minorHAnsi"/>
          <w:b/>
          <w:color w:val="000000" w:themeColor="text1"/>
        </w:rPr>
      </w:pPr>
      <w:r w:rsidRPr="00EA37F9">
        <w:rPr>
          <w:rFonts w:cstheme="minorHAnsi"/>
          <w:b/>
          <w:color w:val="000000" w:themeColor="text1"/>
        </w:rPr>
        <w:t>Application Process</w:t>
      </w:r>
    </w:p>
    <w:p w14:paraId="638168B4" w14:textId="77777777" w:rsidR="007E249C" w:rsidRPr="00EA37F9" w:rsidRDefault="007E249C" w:rsidP="007E249C">
      <w:pPr>
        <w:spacing w:after="0" w:line="240" w:lineRule="auto"/>
        <w:jc w:val="both"/>
        <w:rPr>
          <w:rFonts w:cstheme="minorHAnsi"/>
          <w:color w:val="000000" w:themeColor="text1"/>
        </w:rPr>
      </w:pPr>
      <w:r w:rsidRPr="00EA37F9">
        <w:rPr>
          <w:color w:val="000000" w:themeColor="text1"/>
        </w:rPr>
        <w:t>Community organisations and sporting clubs within East Fremantle will be required to complete a form for all additional bins requested for a property. A review of the application will be completed by the Waste Education Officer to ensure organisations and clubs are meeting their waste disposal responsibilities</w:t>
      </w:r>
      <w:r w:rsidRPr="00EA37F9">
        <w:rPr>
          <w:rFonts w:cstheme="minorHAnsi"/>
          <w:color w:val="000000" w:themeColor="text1"/>
        </w:rPr>
        <w:t xml:space="preserve">. </w:t>
      </w:r>
    </w:p>
    <w:p w14:paraId="769ABC6C" w14:textId="77777777" w:rsidR="007E249C" w:rsidRPr="00EA37F9" w:rsidRDefault="007E249C" w:rsidP="007E249C">
      <w:pPr>
        <w:spacing w:after="0" w:line="360" w:lineRule="auto"/>
        <w:jc w:val="both"/>
        <w:rPr>
          <w:rFonts w:cstheme="minorHAnsi"/>
          <w:color w:val="000000" w:themeColor="text1"/>
        </w:rPr>
      </w:pPr>
    </w:p>
    <w:tbl>
      <w:tblPr>
        <w:tblStyle w:val="TableGrid"/>
        <w:tblW w:w="0" w:type="auto"/>
        <w:tblLook w:val="04A0" w:firstRow="1" w:lastRow="0" w:firstColumn="1" w:lastColumn="0" w:noHBand="0" w:noVBand="1"/>
      </w:tblPr>
      <w:tblGrid>
        <w:gridCol w:w="3256"/>
        <w:gridCol w:w="5760"/>
      </w:tblGrid>
      <w:tr w:rsidR="007E249C" w:rsidRPr="00EA37F9" w14:paraId="43432E97" w14:textId="77777777" w:rsidTr="00A9290F">
        <w:tc>
          <w:tcPr>
            <w:tcW w:w="3256" w:type="dxa"/>
          </w:tcPr>
          <w:p w14:paraId="293B6A48" w14:textId="77777777" w:rsidR="007E249C" w:rsidRPr="00EA37F9" w:rsidRDefault="007E249C" w:rsidP="00A9290F">
            <w:pPr>
              <w:jc w:val="both"/>
              <w:rPr>
                <w:rFonts w:cstheme="minorHAnsi"/>
                <w:b/>
                <w:color w:val="000000" w:themeColor="text1"/>
                <w:lang w:val="en-US"/>
              </w:rPr>
            </w:pPr>
            <w:r w:rsidRPr="00EA37F9">
              <w:rPr>
                <w:rFonts w:cstheme="minorHAnsi"/>
                <w:b/>
                <w:color w:val="000000" w:themeColor="text1"/>
                <w:lang w:val="en-US"/>
              </w:rPr>
              <w:t>Responsible Directorate:</w:t>
            </w:r>
          </w:p>
        </w:tc>
        <w:tc>
          <w:tcPr>
            <w:tcW w:w="5760" w:type="dxa"/>
          </w:tcPr>
          <w:p w14:paraId="6769071F" w14:textId="77777777" w:rsidR="007E249C" w:rsidRPr="00EA37F9" w:rsidRDefault="007E249C" w:rsidP="00A9290F">
            <w:pPr>
              <w:jc w:val="both"/>
              <w:rPr>
                <w:rFonts w:cstheme="minorHAnsi"/>
                <w:color w:val="000000" w:themeColor="text1"/>
                <w:lang w:val="en-US"/>
              </w:rPr>
            </w:pPr>
            <w:r w:rsidRPr="00EA37F9">
              <w:rPr>
                <w:rFonts w:cstheme="minorHAnsi"/>
                <w:color w:val="000000" w:themeColor="text1"/>
                <w:lang w:val="en-US"/>
              </w:rPr>
              <w:t>Corporate Services</w:t>
            </w:r>
          </w:p>
        </w:tc>
      </w:tr>
      <w:tr w:rsidR="007E249C" w:rsidRPr="00EA37F9" w14:paraId="57FB50DB" w14:textId="77777777" w:rsidTr="00A9290F">
        <w:tc>
          <w:tcPr>
            <w:tcW w:w="3256" w:type="dxa"/>
          </w:tcPr>
          <w:p w14:paraId="035F3A24" w14:textId="77777777" w:rsidR="007E249C" w:rsidRPr="00EA37F9" w:rsidRDefault="007E249C" w:rsidP="00A9290F">
            <w:pPr>
              <w:jc w:val="both"/>
              <w:rPr>
                <w:rFonts w:cstheme="minorHAnsi"/>
                <w:b/>
                <w:color w:val="000000" w:themeColor="text1"/>
                <w:lang w:val="en-US"/>
              </w:rPr>
            </w:pPr>
            <w:r w:rsidRPr="00EA37F9">
              <w:rPr>
                <w:rFonts w:cstheme="minorHAnsi"/>
                <w:b/>
                <w:color w:val="000000" w:themeColor="text1"/>
                <w:lang w:val="en-US"/>
              </w:rPr>
              <w:t>Reviewing Officer:</w:t>
            </w:r>
          </w:p>
        </w:tc>
        <w:tc>
          <w:tcPr>
            <w:tcW w:w="5760" w:type="dxa"/>
          </w:tcPr>
          <w:p w14:paraId="77461E0A" w14:textId="77777777" w:rsidR="007E249C" w:rsidRPr="00EA37F9" w:rsidRDefault="007E249C" w:rsidP="00A9290F">
            <w:pPr>
              <w:jc w:val="both"/>
              <w:rPr>
                <w:rFonts w:cstheme="minorHAnsi"/>
                <w:color w:val="000000" w:themeColor="text1"/>
                <w:lang w:val="en-US"/>
              </w:rPr>
            </w:pPr>
            <w:r w:rsidRPr="00EA37F9">
              <w:rPr>
                <w:rFonts w:cstheme="minorHAnsi"/>
                <w:color w:val="000000" w:themeColor="text1"/>
                <w:lang w:val="en-US"/>
              </w:rPr>
              <w:t xml:space="preserve">Rates Officer </w:t>
            </w:r>
          </w:p>
        </w:tc>
      </w:tr>
      <w:tr w:rsidR="007E249C" w:rsidRPr="00EA37F9" w14:paraId="3FD619E5" w14:textId="77777777" w:rsidTr="00A9290F">
        <w:tc>
          <w:tcPr>
            <w:tcW w:w="3256" w:type="dxa"/>
          </w:tcPr>
          <w:p w14:paraId="5F59B8B3" w14:textId="77777777" w:rsidR="007E249C" w:rsidRPr="00EA37F9" w:rsidRDefault="007E249C" w:rsidP="00A9290F">
            <w:pPr>
              <w:jc w:val="both"/>
              <w:rPr>
                <w:rFonts w:cstheme="minorHAnsi"/>
                <w:b/>
                <w:color w:val="000000" w:themeColor="text1"/>
                <w:lang w:val="en-US"/>
              </w:rPr>
            </w:pPr>
            <w:r w:rsidRPr="00EA37F9">
              <w:rPr>
                <w:rFonts w:cstheme="minorHAnsi"/>
                <w:b/>
                <w:color w:val="000000" w:themeColor="text1"/>
                <w:lang w:val="en-US"/>
              </w:rPr>
              <w:t>Decision making Authority:</w:t>
            </w:r>
          </w:p>
        </w:tc>
        <w:tc>
          <w:tcPr>
            <w:tcW w:w="5760" w:type="dxa"/>
          </w:tcPr>
          <w:p w14:paraId="100F8E63" w14:textId="77777777" w:rsidR="007E249C" w:rsidRPr="00EA37F9" w:rsidRDefault="007E249C" w:rsidP="00A9290F">
            <w:pPr>
              <w:jc w:val="both"/>
              <w:rPr>
                <w:rFonts w:cstheme="minorHAnsi"/>
                <w:color w:val="000000" w:themeColor="text1"/>
                <w:lang w:val="en-US"/>
              </w:rPr>
            </w:pPr>
            <w:r w:rsidRPr="00EA37F9">
              <w:rPr>
                <w:rFonts w:cstheme="minorHAnsi"/>
                <w:color w:val="000000" w:themeColor="text1"/>
                <w:lang w:val="en-US"/>
              </w:rPr>
              <w:t>Council</w:t>
            </w:r>
          </w:p>
        </w:tc>
      </w:tr>
      <w:tr w:rsidR="007E249C" w:rsidRPr="00EA37F9" w14:paraId="1FFFF1CE" w14:textId="77777777" w:rsidTr="00A9290F">
        <w:tc>
          <w:tcPr>
            <w:tcW w:w="3256" w:type="dxa"/>
          </w:tcPr>
          <w:p w14:paraId="13AC4D4C" w14:textId="77777777" w:rsidR="007E249C" w:rsidRPr="00EA37F9" w:rsidRDefault="007E249C" w:rsidP="00A9290F">
            <w:pPr>
              <w:jc w:val="both"/>
              <w:rPr>
                <w:rFonts w:cstheme="minorHAnsi"/>
                <w:b/>
                <w:color w:val="000000" w:themeColor="text1"/>
                <w:lang w:val="en-US"/>
              </w:rPr>
            </w:pPr>
            <w:r w:rsidRPr="00EA37F9">
              <w:rPr>
                <w:rFonts w:cstheme="minorHAnsi"/>
                <w:b/>
                <w:color w:val="000000" w:themeColor="text1"/>
                <w:lang w:val="en-US"/>
              </w:rPr>
              <w:t>Policy Adopted:</w:t>
            </w:r>
          </w:p>
        </w:tc>
        <w:tc>
          <w:tcPr>
            <w:tcW w:w="5760" w:type="dxa"/>
          </w:tcPr>
          <w:p w14:paraId="541E0DB0" w14:textId="77777777" w:rsidR="007E249C" w:rsidRPr="00EA37F9" w:rsidRDefault="007E249C" w:rsidP="00A9290F">
            <w:pPr>
              <w:jc w:val="both"/>
              <w:rPr>
                <w:rFonts w:cstheme="minorHAnsi"/>
                <w:color w:val="000000" w:themeColor="text1"/>
                <w:lang w:val="en-US"/>
              </w:rPr>
            </w:pPr>
            <w:r>
              <w:rPr>
                <w:rFonts w:cstheme="minorHAnsi"/>
                <w:color w:val="000000" w:themeColor="text1"/>
                <w:lang w:val="en-US"/>
              </w:rPr>
              <w:t>18/02/20</w:t>
            </w:r>
          </w:p>
        </w:tc>
      </w:tr>
      <w:tr w:rsidR="007E249C" w:rsidRPr="00EA37F9" w14:paraId="2EFD5EDA" w14:textId="77777777" w:rsidTr="00A9290F">
        <w:trPr>
          <w:trHeight w:val="279"/>
        </w:trPr>
        <w:tc>
          <w:tcPr>
            <w:tcW w:w="3256" w:type="dxa"/>
          </w:tcPr>
          <w:p w14:paraId="38EC2FA6" w14:textId="77777777" w:rsidR="007E249C" w:rsidRPr="00EA37F9" w:rsidRDefault="007E249C" w:rsidP="00A9290F">
            <w:pPr>
              <w:jc w:val="both"/>
              <w:rPr>
                <w:rFonts w:cstheme="minorHAnsi"/>
                <w:b/>
                <w:color w:val="000000" w:themeColor="text1"/>
                <w:lang w:val="en-US"/>
              </w:rPr>
            </w:pPr>
            <w:r w:rsidRPr="00EA37F9">
              <w:rPr>
                <w:rFonts w:cstheme="minorHAnsi"/>
                <w:b/>
                <w:color w:val="000000" w:themeColor="text1"/>
                <w:lang w:val="en-US"/>
              </w:rPr>
              <w:t>Policy Amended/Reviewed:</w:t>
            </w:r>
          </w:p>
        </w:tc>
        <w:tc>
          <w:tcPr>
            <w:tcW w:w="5760" w:type="dxa"/>
          </w:tcPr>
          <w:p w14:paraId="57ECB58A" w14:textId="77777777" w:rsidR="007E249C" w:rsidRPr="00EA37F9" w:rsidRDefault="007E249C" w:rsidP="00A9290F">
            <w:pPr>
              <w:jc w:val="both"/>
              <w:rPr>
                <w:rFonts w:cstheme="minorHAnsi"/>
                <w:color w:val="000000" w:themeColor="text1"/>
                <w:lang w:val="en-US"/>
              </w:rPr>
            </w:pPr>
          </w:p>
        </w:tc>
      </w:tr>
    </w:tbl>
    <w:p w14:paraId="492CA45E" w14:textId="77777777" w:rsidR="007E249C" w:rsidRPr="00EA37F9" w:rsidRDefault="007E249C" w:rsidP="007E249C">
      <w:pPr>
        <w:spacing w:after="0" w:line="360" w:lineRule="auto"/>
        <w:jc w:val="both"/>
        <w:rPr>
          <w:rFonts w:cstheme="minorHAnsi"/>
          <w:color w:val="000000" w:themeColor="text1"/>
        </w:rPr>
      </w:pPr>
    </w:p>
    <w:p w14:paraId="50AA7573" w14:textId="77777777" w:rsidR="00472E31" w:rsidRDefault="00472E31">
      <w:pPr>
        <w:rPr>
          <w:rFonts w:cstheme="minorHAnsi"/>
          <w:lang w:val="en-US"/>
        </w:rPr>
      </w:pPr>
      <w:r>
        <w:rPr>
          <w:rFonts w:cstheme="minorHAnsi"/>
          <w:lang w:val="en-US"/>
        </w:rPr>
        <w:br w:type="page"/>
      </w:r>
    </w:p>
    <w:p w14:paraId="688EB8BA" w14:textId="7817B650" w:rsidR="00472E31" w:rsidRDefault="00F23DE3" w:rsidP="00F23DE3">
      <w:pPr>
        <w:pStyle w:val="BodyText"/>
        <w:ind w:left="5831"/>
        <w:rPr>
          <w:rFonts w:cstheme="minorHAnsi"/>
          <w:b/>
          <w:sz w:val="28"/>
        </w:rPr>
      </w:pPr>
      <w:r>
        <w:rPr>
          <w:noProof/>
          <w:lang w:eastAsia="en-AU"/>
        </w:rPr>
        <w:lastRenderedPageBreak/>
        <w:drawing>
          <wp:anchor distT="0" distB="0" distL="114300" distR="114300" simplePos="0" relativeHeight="251638784" behindDoc="1" locked="0" layoutInCell="1" allowOverlap="1" wp14:anchorId="225CD800" wp14:editId="35BBA6AD">
            <wp:simplePos x="0" y="0"/>
            <wp:positionH relativeFrom="column">
              <wp:posOffset>4048125</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281F58D" w14:textId="77777777" w:rsidR="00EA2651" w:rsidRDefault="00EA2651" w:rsidP="001D6410">
      <w:pPr>
        <w:pStyle w:val="Policy3"/>
      </w:pPr>
    </w:p>
    <w:p w14:paraId="44719C0E" w14:textId="77777777" w:rsidR="00EA2651" w:rsidRDefault="00EA2651" w:rsidP="001D6410">
      <w:pPr>
        <w:pStyle w:val="Policy3"/>
      </w:pPr>
    </w:p>
    <w:p w14:paraId="4651B034" w14:textId="1EB5EDD4" w:rsidR="00472E31" w:rsidRPr="001D6410" w:rsidRDefault="00472E31" w:rsidP="001D6410">
      <w:pPr>
        <w:pStyle w:val="Policy3"/>
      </w:pPr>
      <w:bookmarkStart w:id="344" w:name="_Toc216866693"/>
      <w:r w:rsidRPr="001D6410">
        <w:t>2.1.16</w:t>
      </w:r>
      <w:r w:rsidRPr="001D6410">
        <w:tab/>
        <w:t>Rates Concession Policy</w:t>
      </w:r>
      <w:bookmarkEnd w:id="344"/>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9"/>
        <w:gridCol w:w="6063"/>
      </w:tblGrid>
      <w:tr w:rsidR="00472E31" w:rsidRPr="00472E31" w14:paraId="006EDDFE" w14:textId="77777777" w:rsidTr="00472E31">
        <w:trPr>
          <w:trHeight w:hRule="exact" w:val="319"/>
        </w:trPr>
        <w:tc>
          <w:tcPr>
            <w:tcW w:w="3119" w:type="dxa"/>
          </w:tcPr>
          <w:p w14:paraId="46E1A5AA" w14:textId="77777777" w:rsidR="00472E31" w:rsidRPr="00472E31" w:rsidRDefault="00472E31" w:rsidP="00604FC0">
            <w:pPr>
              <w:pStyle w:val="TableParagraph"/>
              <w:spacing w:line="268" w:lineRule="exact"/>
              <w:ind w:left="127"/>
              <w:rPr>
                <w:rFonts w:asciiTheme="minorHAnsi" w:hAnsiTheme="minorHAnsi" w:cstheme="minorHAnsi"/>
                <w:b/>
              </w:rPr>
            </w:pPr>
            <w:r w:rsidRPr="00472E31">
              <w:rPr>
                <w:rFonts w:asciiTheme="minorHAnsi" w:hAnsiTheme="minorHAnsi" w:cstheme="minorHAnsi"/>
                <w:b/>
              </w:rPr>
              <w:t>Type:</w:t>
            </w:r>
          </w:p>
        </w:tc>
        <w:tc>
          <w:tcPr>
            <w:tcW w:w="6063" w:type="dxa"/>
          </w:tcPr>
          <w:p w14:paraId="599D3E60" w14:textId="77777777" w:rsidR="00472E31" w:rsidRPr="00472E31" w:rsidRDefault="00472E31" w:rsidP="00472E31">
            <w:pPr>
              <w:pStyle w:val="TableParagraph"/>
              <w:spacing w:line="268" w:lineRule="exact"/>
              <w:ind w:left="141"/>
              <w:rPr>
                <w:rFonts w:asciiTheme="minorHAnsi" w:hAnsiTheme="minorHAnsi" w:cstheme="minorHAnsi"/>
              </w:rPr>
            </w:pPr>
            <w:r w:rsidRPr="00472E31">
              <w:rPr>
                <w:rFonts w:asciiTheme="minorHAnsi" w:hAnsiTheme="minorHAnsi" w:cstheme="minorHAnsi"/>
              </w:rPr>
              <w:t>Corporate Services</w:t>
            </w:r>
          </w:p>
        </w:tc>
      </w:tr>
      <w:tr w:rsidR="00472E31" w:rsidRPr="00472E31" w14:paraId="53E2EDA0" w14:textId="77777777" w:rsidTr="00472E31">
        <w:trPr>
          <w:trHeight w:hRule="exact" w:val="626"/>
        </w:trPr>
        <w:tc>
          <w:tcPr>
            <w:tcW w:w="3119" w:type="dxa"/>
          </w:tcPr>
          <w:p w14:paraId="38470914" w14:textId="77777777" w:rsidR="00472E31" w:rsidRPr="00472E31" w:rsidRDefault="00472E31" w:rsidP="00604FC0">
            <w:pPr>
              <w:pStyle w:val="TableParagraph"/>
              <w:spacing w:line="268" w:lineRule="exact"/>
              <w:ind w:left="127"/>
              <w:rPr>
                <w:rFonts w:asciiTheme="minorHAnsi" w:hAnsiTheme="minorHAnsi" w:cstheme="minorHAnsi"/>
                <w:b/>
              </w:rPr>
            </w:pPr>
            <w:r w:rsidRPr="00472E31">
              <w:rPr>
                <w:rFonts w:asciiTheme="minorHAnsi" w:hAnsiTheme="minorHAnsi" w:cstheme="minorHAnsi"/>
                <w:b/>
              </w:rPr>
              <w:t>Legislation:</w:t>
            </w:r>
          </w:p>
        </w:tc>
        <w:tc>
          <w:tcPr>
            <w:tcW w:w="6063" w:type="dxa"/>
          </w:tcPr>
          <w:p w14:paraId="183419C3" w14:textId="77777777" w:rsidR="00472E31" w:rsidRPr="00472E31" w:rsidRDefault="00472E31" w:rsidP="00472E31">
            <w:pPr>
              <w:pStyle w:val="TableParagraph"/>
              <w:spacing w:line="268" w:lineRule="exact"/>
              <w:ind w:left="141"/>
              <w:rPr>
                <w:rFonts w:asciiTheme="minorHAnsi" w:hAnsiTheme="minorHAnsi" w:cstheme="minorHAnsi"/>
              </w:rPr>
            </w:pPr>
            <w:r w:rsidRPr="00472E31">
              <w:rPr>
                <w:rFonts w:asciiTheme="minorHAnsi" w:hAnsiTheme="minorHAnsi" w:cstheme="minorHAnsi"/>
              </w:rPr>
              <w:t>Local Government Act 1995</w:t>
            </w:r>
          </w:p>
          <w:p w14:paraId="21CD1673" w14:textId="77777777" w:rsidR="00472E31" w:rsidRPr="00472E31" w:rsidRDefault="00472E31" w:rsidP="00472E31">
            <w:pPr>
              <w:pStyle w:val="TableParagraph"/>
              <w:spacing w:before="41"/>
              <w:ind w:left="141"/>
              <w:rPr>
                <w:rFonts w:asciiTheme="minorHAnsi" w:hAnsiTheme="minorHAnsi" w:cstheme="minorHAnsi"/>
              </w:rPr>
            </w:pPr>
            <w:r w:rsidRPr="00472E31">
              <w:rPr>
                <w:rFonts w:asciiTheme="minorHAnsi" w:hAnsiTheme="minorHAnsi" w:cstheme="minorHAnsi"/>
              </w:rPr>
              <w:t>Local Government Financial Management Regulations 1996</w:t>
            </w:r>
          </w:p>
        </w:tc>
      </w:tr>
      <w:tr w:rsidR="00472E31" w:rsidRPr="00472E31" w14:paraId="6C0736E2" w14:textId="77777777" w:rsidTr="00472E31">
        <w:trPr>
          <w:trHeight w:hRule="exact" w:val="319"/>
        </w:trPr>
        <w:tc>
          <w:tcPr>
            <w:tcW w:w="3119" w:type="dxa"/>
          </w:tcPr>
          <w:p w14:paraId="43C307A3" w14:textId="77777777" w:rsidR="00472E31" w:rsidRPr="00472E31" w:rsidRDefault="00472E31" w:rsidP="00604FC0">
            <w:pPr>
              <w:pStyle w:val="TableParagraph"/>
              <w:spacing w:line="268" w:lineRule="exact"/>
              <w:ind w:left="127"/>
              <w:rPr>
                <w:rFonts w:asciiTheme="minorHAnsi" w:hAnsiTheme="minorHAnsi" w:cstheme="minorHAnsi"/>
                <w:b/>
              </w:rPr>
            </w:pPr>
            <w:r w:rsidRPr="00472E31">
              <w:rPr>
                <w:rFonts w:asciiTheme="minorHAnsi" w:hAnsiTheme="minorHAnsi" w:cstheme="minorHAnsi"/>
                <w:b/>
              </w:rPr>
              <w:t>Delegation:</w:t>
            </w:r>
          </w:p>
        </w:tc>
        <w:tc>
          <w:tcPr>
            <w:tcW w:w="6063" w:type="dxa"/>
          </w:tcPr>
          <w:p w14:paraId="2C08E35D" w14:textId="77777777" w:rsidR="00472E31" w:rsidRPr="00472E31" w:rsidRDefault="00472E31" w:rsidP="00472E31">
            <w:pPr>
              <w:pStyle w:val="TableParagraph"/>
              <w:spacing w:line="268" w:lineRule="exact"/>
              <w:ind w:left="141"/>
              <w:rPr>
                <w:rFonts w:asciiTheme="minorHAnsi" w:hAnsiTheme="minorHAnsi" w:cstheme="minorHAnsi"/>
              </w:rPr>
            </w:pPr>
            <w:r w:rsidRPr="00472E31">
              <w:rPr>
                <w:rFonts w:asciiTheme="minorHAnsi" w:hAnsiTheme="minorHAnsi" w:cstheme="minorHAnsi"/>
              </w:rPr>
              <w:t>DA14 Rates and Service Charges Agreements</w:t>
            </w:r>
          </w:p>
        </w:tc>
      </w:tr>
      <w:tr w:rsidR="00472E31" w:rsidRPr="00472E31" w14:paraId="33EDC471" w14:textId="77777777" w:rsidTr="00472E31">
        <w:trPr>
          <w:trHeight w:hRule="exact" w:val="319"/>
        </w:trPr>
        <w:tc>
          <w:tcPr>
            <w:tcW w:w="3119" w:type="dxa"/>
          </w:tcPr>
          <w:p w14:paraId="6BD15C9B" w14:textId="77777777" w:rsidR="00472E31" w:rsidRPr="00472E31" w:rsidRDefault="00472E31" w:rsidP="00604FC0">
            <w:pPr>
              <w:pStyle w:val="TableParagraph"/>
              <w:spacing w:line="268" w:lineRule="exact"/>
              <w:ind w:left="127"/>
              <w:rPr>
                <w:rFonts w:asciiTheme="minorHAnsi" w:hAnsiTheme="minorHAnsi" w:cstheme="minorHAnsi"/>
                <w:b/>
              </w:rPr>
            </w:pPr>
            <w:r w:rsidRPr="00472E31">
              <w:rPr>
                <w:rFonts w:asciiTheme="minorHAnsi" w:hAnsiTheme="minorHAnsi" w:cstheme="minorHAnsi"/>
                <w:b/>
              </w:rPr>
              <w:t>Other Related Document:</w:t>
            </w:r>
          </w:p>
        </w:tc>
        <w:tc>
          <w:tcPr>
            <w:tcW w:w="6063" w:type="dxa"/>
          </w:tcPr>
          <w:p w14:paraId="59DAA4B6" w14:textId="1FD4C9F4" w:rsidR="00472E31" w:rsidRPr="00472E31" w:rsidRDefault="00472E31" w:rsidP="00472E31">
            <w:pPr>
              <w:pStyle w:val="TableParagraph"/>
              <w:spacing w:line="268" w:lineRule="exact"/>
              <w:ind w:left="141"/>
              <w:rPr>
                <w:rFonts w:asciiTheme="minorHAnsi" w:hAnsiTheme="minorHAnsi" w:cstheme="minorHAnsi"/>
              </w:rPr>
            </w:pPr>
            <w:r w:rsidRPr="00472E31">
              <w:rPr>
                <w:rFonts w:asciiTheme="minorHAnsi" w:hAnsiTheme="minorHAnsi" w:cstheme="minorHAnsi"/>
              </w:rPr>
              <w:t>Strategic Community Plan 20</w:t>
            </w:r>
            <w:r w:rsidR="00247DBB">
              <w:rPr>
                <w:rFonts w:asciiTheme="minorHAnsi" w:hAnsiTheme="minorHAnsi" w:cstheme="minorHAnsi"/>
              </w:rPr>
              <w:t>20</w:t>
            </w:r>
            <w:r w:rsidRPr="00472E31">
              <w:rPr>
                <w:rFonts w:asciiTheme="minorHAnsi" w:hAnsiTheme="minorHAnsi" w:cstheme="minorHAnsi"/>
              </w:rPr>
              <w:t>-20</w:t>
            </w:r>
            <w:r w:rsidR="00247DBB">
              <w:rPr>
                <w:rFonts w:asciiTheme="minorHAnsi" w:hAnsiTheme="minorHAnsi" w:cstheme="minorHAnsi"/>
              </w:rPr>
              <w:t>30</w:t>
            </w:r>
          </w:p>
        </w:tc>
      </w:tr>
    </w:tbl>
    <w:p w14:paraId="4395F339" w14:textId="77777777" w:rsidR="00472E31" w:rsidRPr="00472E31" w:rsidRDefault="00472E31" w:rsidP="00472E31">
      <w:pPr>
        <w:pStyle w:val="BodyText"/>
        <w:spacing w:before="2"/>
        <w:rPr>
          <w:rFonts w:asciiTheme="minorHAnsi" w:hAnsiTheme="minorHAnsi" w:cstheme="minorHAnsi"/>
          <w:sz w:val="16"/>
        </w:rPr>
      </w:pPr>
    </w:p>
    <w:p w14:paraId="6AA0B92E" w14:textId="77777777" w:rsidR="00472E31" w:rsidRPr="001D6410" w:rsidRDefault="00472E31" w:rsidP="001D6410">
      <w:pPr>
        <w:spacing w:after="0"/>
        <w:rPr>
          <w:b/>
          <w:sz w:val="28"/>
          <w:szCs w:val="28"/>
        </w:rPr>
      </w:pPr>
      <w:bookmarkStart w:id="345" w:name="_Toc44321081"/>
      <w:r w:rsidRPr="001D6410">
        <w:rPr>
          <w:b/>
          <w:sz w:val="28"/>
          <w:szCs w:val="28"/>
        </w:rPr>
        <w:t>Objective</w:t>
      </w:r>
      <w:bookmarkEnd w:id="345"/>
    </w:p>
    <w:p w14:paraId="32ED13FF" w14:textId="77777777" w:rsidR="00472E31" w:rsidRPr="00472E31" w:rsidRDefault="00472E31" w:rsidP="00EA2651">
      <w:pPr>
        <w:pStyle w:val="BodyText"/>
        <w:spacing w:after="200" w:line="276" w:lineRule="auto"/>
        <w:ind w:left="0" w:right="-22"/>
        <w:jc w:val="both"/>
        <w:rPr>
          <w:rFonts w:asciiTheme="minorHAnsi" w:hAnsiTheme="minorHAnsi" w:cstheme="minorHAnsi"/>
        </w:rPr>
      </w:pPr>
      <w:r w:rsidRPr="00472E31">
        <w:rPr>
          <w:rFonts w:asciiTheme="minorHAnsi" w:hAnsiTheme="minorHAnsi" w:cstheme="minorHAnsi"/>
        </w:rPr>
        <w:t>The objective of this policy is to describe the criteria that determine which properties council may consider eligible for a rates concession and how an application of concession is processed and administered over time.</w:t>
      </w:r>
    </w:p>
    <w:p w14:paraId="4C24E1E5" w14:textId="77777777" w:rsidR="00472E31" w:rsidRPr="001D6410" w:rsidRDefault="00472E31" w:rsidP="00EA2651">
      <w:pPr>
        <w:spacing w:after="0"/>
        <w:ind w:right="-22"/>
        <w:rPr>
          <w:b/>
          <w:sz w:val="28"/>
          <w:szCs w:val="28"/>
        </w:rPr>
      </w:pPr>
      <w:bookmarkStart w:id="346" w:name="_Toc44321082"/>
      <w:r w:rsidRPr="001D6410">
        <w:rPr>
          <w:b/>
          <w:sz w:val="28"/>
          <w:szCs w:val="28"/>
        </w:rPr>
        <w:t>Policy Scope</w:t>
      </w:r>
      <w:bookmarkEnd w:id="346"/>
    </w:p>
    <w:p w14:paraId="3DFAFA3D" w14:textId="77777777" w:rsidR="00472E31" w:rsidRPr="00472E31" w:rsidRDefault="00472E31" w:rsidP="00EA2651">
      <w:pPr>
        <w:ind w:right="-22"/>
      </w:pPr>
      <w:r w:rsidRPr="00472E31">
        <w:t>The core matters addressed by the policy include which type of entities or landowners are eligible to be considered for a concession and the types of activities being conducted at the property that could be determined as qualifying of a concession.</w:t>
      </w:r>
    </w:p>
    <w:p w14:paraId="605ECD26" w14:textId="77777777" w:rsidR="00472E31" w:rsidRPr="001D6410" w:rsidRDefault="00472E31" w:rsidP="00EA2651">
      <w:pPr>
        <w:spacing w:after="0"/>
        <w:ind w:right="-22"/>
        <w:rPr>
          <w:b/>
          <w:sz w:val="28"/>
          <w:szCs w:val="28"/>
        </w:rPr>
      </w:pPr>
      <w:bookmarkStart w:id="347" w:name="_Toc44321083"/>
      <w:r w:rsidRPr="001D6410">
        <w:rPr>
          <w:b/>
          <w:sz w:val="28"/>
          <w:szCs w:val="28"/>
        </w:rPr>
        <w:t>Policy</w:t>
      </w:r>
      <w:bookmarkEnd w:id="347"/>
    </w:p>
    <w:p w14:paraId="2FF12696" w14:textId="77777777" w:rsidR="00472E31" w:rsidRPr="00472E31" w:rsidRDefault="00472E31" w:rsidP="00EA2651">
      <w:pPr>
        <w:pStyle w:val="BodyText"/>
        <w:spacing w:after="200" w:line="276" w:lineRule="auto"/>
        <w:ind w:left="0" w:right="-22"/>
        <w:jc w:val="both"/>
        <w:rPr>
          <w:rFonts w:asciiTheme="minorHAnsi" w:hAnsiTheme="minorHAnsi" w:cstheme="minorHAnsi"/>
        </w:rPr>
      </w:pPr>
      <w:r w:rsidRPr="00472E31">
        <w:rPr>
          <w:rFonts w:asciiTheme="minorHAnsi" w:hAnsiTheme="minorHAnsi" w:cstheme="minorHAnsi"/>
        </w:rPr>
        <w:t>The Rates Concession Policy shall be applied in accordance with the Council’s Budget and Rating Resolutions with the result that eligible property owners undertaking specified activities at the property receive a concession on their rates.</w:t>
      </w:r>
    </w:p>
    <w:p w14:paraId="51622507" w14:textId="77777777" w:rsidR="00472E31" w:rsidRPr="00472E31" w:rsidRDefault="00472E31" w:rsidP="00EA2651">
      <w:pPr>
        <w:ind w:right="-22"/>
        <w:jc w:val="both"/>
        <w:rPr>
          <w:rFonts w:cstheme="minorHAnsi"/>
        </w:rPr>
      </w:pPr>
      <w:r w:rsidRPr="00472E31">
        <w:rPr>
          <w:rFonts w:cstheme="minorHAnsi"/>
        </w:rPr>
        <w:t xml:space="preserve">This policy does not consider the concessions applicable for pensioners as the </w:t>
      </w:r>
      <w:r w:rsidRPr="00472E31">
        <w:rPr>
          <w:rFonts w:cstheme="minorHAnsi"/>
          <w:i/>
        </w:rPr>
        <w:t xml:space="preserve">Rates and Charges (Rebates and Deferments) Act 1992 </w:t>
      </w:r>
      <w:r w:rsidRPr="00472E31">
        <w:rPr>
          <w:rFonts w:cstheme="minorHAnsi"/>
        </w:rPr>
        <w:t>deals with such matters.</w:t>
      </w:r>
    </w:p>
    <w:p w14:paraId="3D3363E5" w14:textId="0E0CA1E3" w:rsidR="00472E31" w:rsidRPr="00472E31" w:rsidRDefault="00472E31" w:rsidP="00EA2651">
      <w:pPr>
        <w:pStyle w:val="BodyText"/>
        <w:spacing w:after="200" w:line="273" w:lineRule="auto"/>
        <w:ind w:left="0" w:right="-22"/>
        <w:jc w:val="both"/>
        <w:rPr>
          <w:rFonts w:asciiTheme="minorHAnsi" w:hAnsiTheme="minorHAnsi" w:cstheme="minorHAnsi"/>
        </w:rPr>
      </w:pPr>
      <w:r w:rsidRPr="00472E31">
        <w:rPr>
          <w:rFonts w:asciiTheme="minorHAnsi" w:hAnsiTheme="minorHAnsi" w:cstheme="minorHAnsi"/>
        </w:rPr>
        <w:t>This policy does not consider whether land is eligible to be exempt from rating; such determinations are made by reference to the appropriate legislation</w:t>
      </w:r>
      <w:r w:rsidR="00247DBB">
        <w:rPr>
          <w:rFonts w:asciiTheme="minorHAnsi" w:hAnsiTheme="minorHAnsi" w:cstheme="minorHAnsi"/>
        </w:rPr>
        <w:t xml:space="preserve"> and endorsed by Policy 2.1.4 Rates Exemption</w:t>
      </w:r>
      <w:r w:rsidRPr="00472E31">
        <w:rPr>
          <w:rFonts w:asciiTheme="minorHAnsi" w:hAnsiTheme="minorHAnsi" w:cstheme="minorHAnsi"/>
        </w:rPr>
        <w:t>.</w:t>
      </w:r>
    </w:p>
    <w:p w14:paraId="778C26AC" w14:textId="77777777" w:rsidR="00472E31" w:rsidRPr="00472E31" w:rsidRDefault="00472E31" w:rsidP="00EA2651">
      <w:pPr>
        <w:pStyle w:val="BodyText"/>
        <w:ind w:left="0" w:right="-22"/>
        <w:jc w:val="both"/>
        <w:rPr>
          <w:rFonts w:asciiTheme="minorHAnsi" w:hAnsiTheme="minorHAnsi" w:cstheme="minorHAnsi"/>
        </w:rPr>
      </w:pPr>
      <w:r w:rsidRPr="00472E31">
        <w:rPr>
          <w:rFonts w:asciiTheme="minorHAnsi" w:hAnsiTheme="minorHAnsi" w:cstheme="minorHAnsi"/>
          <w:u w:val="single"/>
        </w:rPr>
        <w:t>Eligible Property Owners</w:t>
      </w:r>
    </w:p>
    <w:p w14:paraId="56B4968F" w14:textId="77777777" w:rsidR="00472E31" w:rsidRPr="00472E31" w:rsidRDefault="00472E31" w:rsidP="00EA2651">
      <w:pPr>
        <w:pStyle w:val="BodyText"/>
        <w:spacing w:after="60"/>
        <w:ind w:left="0" w:right="-22"/>
        <w:jc w:val="both"/>
        <w:rPr>
          <w:rFonts w:asciiTheme="minorHAnsi" w:hAnsiTheme="minorHAnsi" w:cstheme="minorHAnsi"/>
        </w:rPr>
      </w:pPr>
      <w:r w:rsidRPr="00472E31">
        <w:rPr>
          <w:rFonts w:asciiTheme="minorHAnsi" w:hAnsiTheme="minorHAnsi" w:cstheme="minorHAnsi"/>
        </w:rPr>
        <w:t>Property owners that are eligible to be considered for a concession:</w:t>
      </w:r>
    </w:p>
    <w:p w14:paraId="6900D260" w14:textId="6F8642E3" w:rsidR="00472E31" w:rsidRPr="00247DBB" w:rsidRDefault="00247DBB" w:rsidP="00247DBB">
      <w:pPr>
        <w:widowControl w:val="0"/>
        <w:autoSpaceDE w:val="0"/>
        <w:autoSpaceDN w:val="0"/>
        <w:spacing w:after="60" w:line="240" w:lineRule="auto"/>
        <w:ind w:left="567" w:right="-22" w:hanging="425"/>
        <w:rPr>
          <w:rFonts w:cstheme="minorHAnsi"/>
        </w:rPr>
      </w:pPr>
      <w:r>
        <w:rPr>
          <w:rFonts w:cstheme="minorHAnsi"/>
        </w:rPr>
        <w:t>(1)</w:t>
      </w:r>
      <w:r>
        <w:rPr>
          <w:rFonts w:cstheme="minorHAnsi"/>
        </w:rPr>
        <w:tab/>
      </w:r>
      <w:r w:rsidR="00472E31" w:rsidRPr="00247DBB">
        <w:rPr>
          <w:rFonts w:cstheme="minorHAnsi"/>
        </w:rPr>
        <w:t>Incorporated Associations and Not for Profit Organisations;</w:t>
      </w:r>
      <w:r w:rsidR="00472E31" w:rsidRPr="00247DBB">
        <w:rPr>
          <w:rFonts w:cstheme="minorHAnsi"/>
          <w:spacing w:val="-16"/>
        </w:rPr>
        <w:t xml:space="preserve"> </w:t>
      </w:r>
      <w:r w:rsidR="00472E31" w:rsidRPr="00247DBB">
        <w:rPr>
          <w:rFonts w:cstheme="minorHAnsi"/>
        </w:rPr>
        <w:t>or</w:t>
      </w:r>
    </w:p>
    <w:p w14:paraId="5F939254" w14:textId="0CC0E066" w:rsidR="00472E31" w:rsidRDefault="00247DBB" w:rsidP="00247DBB">
      <w:pPr>
        <w:widowControl w:val="0"/>
        <w:autoSpaceDE w:val="0"/>
        <w:autoSpaceDN w:val="0"/>
        <w:spacing w:before="40" w:after="0" w:line="240" w:lineRule="auto"/>
        <w:ind w:left="567" w:right="-22" w:hanging="425"/>
        <w:rPr>
          <w:rFonts w:cstheme="minorHAnsi"/>
        </w:rPr>
      </w:pPr>
      <w:r>
        <w:rPr>
          <w:rFonts w:cstheme="minorHAnsi"/>
        </w:rPr>
        <w:t>(2)</w:t>
      </w:r>
      <w:r>
        <w:rPr>
          <w:rFonts w:cstheme="minorHAnsi"/>
        </w:rPr>
        <w:tab/>
      </w:r>
      <w:r w:rsidR="00472E31" w:rsidRPr="00247DBB">
        <w:rPr>
          <w:rFonts w:cstheme="minorHAnsi"/>
        </w:rPr>
        <w:t>Property Owners that are natural persons suffering</w:t>
      </w:r>
      <w:r w:rsidR="00472E31" w:rsidRPr="00247DBB">
        <w:rPr>
          <w:rFonts w:cstheme="minorHAnsi"/>
          <w:spacing w:val="-28"/>
        </w:rPr>
        <w:t xml:space="preserve"> </w:t>
      </w:r>
      <w:r w:rsidR="00472E31" w:rsidRPr="00247DBB">
        <w:rPr>
          <w:rFonts w:cstheme="minorHAnsi"/>
        </w:rPr>
        <w:t>hardship</w:t>
      </w:r>
      <w:r>
        <w:rPr>
          <w:rFonts w:cstheme="minorHAnsi"/>
        </w:rPr>
        <w:t>.</w:t>
      </w:r>
    </w:p>
    <w:p w14:paraId="3B61781B" w14:textId="77777777" w:rsidR="00472E31" w:rsidRPr="00472E31" w:rsidRDefault="00472E31" w:rsidP="00EA2651">
      <w:pPr>
        <w:pStyle w:val="BodyText"/>
        <w:spacing w:before="200" w:after="200" w:line="276" w:lineRule="auto"/>
        <w:ind w:left="0" w:right="-22"/>
        <w:jc w:val="both"/>
        <w:rPr>
          <w:rFonts w:asciiTheme="minorHAnsi" w:hAnsiTheme="minorHAnsi" w:cstheme="minorHAnsi"/>
        </w:rPr>
      </w:pPr>
      <w:r w:rsidRPr="00472E31">
        <w:rPr>
          <w:rFonts w:asciiTheme="minorHAnsi" w:hAnsiTheme="minorHAnsi" w:cstheme="minorHAnsi"/>
        </w:rPr>
        <w:t>For</w:t>
      </w:r>
      <w:r w:rsidRPr="00472E31">
        <w:rPr>
          <w:rFonts w:asciiTheme="minorHAnsi" w:hAnsiTheme="minorHAnsi" w:cstheme="minorHAnsi"/>
          <w:spacing w:val="-11"/>
        </w:rPr>
        <w:t xml:space="preserve"> </w:t>
      </w:r>
      <w:r w:rsidRPr="00472E31">
        <w:rPr>
          <w:rFonts w:asciiTheme="minorHAnsi" w:hAnsiTheme="minorHAnsi" w:cstheme="minorHAnsi"/>
        </w:rPr>
        <w:t>a</w:t>
      </w:r>
      <w:r w:rsidRPr="00472E31">
        <w:rPr>
          <w:rFonts w:asciiTheme="minorHAnsi" w:hAnsiTheme="minorHAnsi" w:cstheme="minorHAnsi"/>
          <w:spacing w:val="-11"/>
        </w:rPr>
        <w:t xml:space="preserve"> </w:t>
      </w:r>
      <w:r w:rsidRPr="00472E31">
        <w:rPr>
          <w:rFonts w:asciiTheme="minorHAnsi" w:hAnsiTheme="minorHAnsi" w:cstheme="minorHAnsi"/>
        </w:rPr>
        <w:t>property</w:t>
      </w:r>
      <w:r w:rsidRPr="00472E31">
        <w:rPr>
          <w:rFonts w:asciiTheme="minorHAnsi" w:hAnsiTheme="minorHAnsi" w:cstheme="minorHAnsi"/>
          <w:spacing w:val="-12"/>
        </w:rPr>
        <w:t xml:space="preserve"> </w:t>
      </w:r>
      <w:r w:rsidRPr="00472E31">
        <w:rPr>
          <w:rFonts w:asciiTheme="minorHAnsi" w:hAnsiTheme="minorHAnsi" w:cstheme="minorHAnsi"/>
        </w:rPr>
        <w:t>owner</w:t>
      </w:r>
      <w:r w:rsidRPr="00472E31">
        <w:rPr>
          <w:rFonts w:asciiTheme="minorHAnsi" w:hAnsiTheme="minorHAnsi" w:cstheme="minorHAnsi"/>
          <w:spacing w:val="-11"/>
        </w:rPr>
        <w:t xml:space="preserve"> </w:t>
      </w:r>
      <w:r w:rsidRPr="00472E31">
        <w:rPr>
          <w:rFonts w:asciiTheme="minorHAnsi" w:hAnsiTheme="minorHAnsi" w:cstheme="minorHAnsi"/>
        </w:rPr>
        <w:t>to</w:t>
      </w:r>
      <w:r w:rsidRPr="00472E31">
        <w:rPr>
          <w:rFonts w:asciiTheme="minorHAnsi" w:hAnsiTheme="minorHAnsi" w:cstheme="minorHAnsi"/>
          <w:spacing w:val="-9"/>
        </w:rPr>
        <w:t xml:space="preserve"> </w:t>
      </w:r>
      <w:r w:rsidRPr="00472E31">
        <w:rPr>
          <w:rFonts w:asciiTheme="minorHAnsi" w:hAnsiTheme="minorHAnsi" w:cstheme="minorHAnsi"/>
        </w:rPr>
        <w:t>be</w:t>
      </w:r>
      <w:r w:rsidRPr="00472E31">
        <w:rPr>
          <w:rFonts w:asciiTheme="minorHAnsi" w:hAnsiTheme="minorHAnsi" w:cstheme="minorHAnsi"/>
          <w:spacing w:val="-12"/>
        </w:rPr>
        <w:t xml:space="preserve"> </w:t>
      </w:r>
      <w:r w:rsidRPr="00472E31">
        <w:rPr>
          <w:rFonts w:asciiTheme="minorHAnsi" w:hAnsiTheme="minorHAnsi" w:cstheme="minorHAnsi"/>
        </w:rPr>
        <w:t>granted</w:t>
      </w:r>
      <w:r w:rsidRPr="00472E31">
        <w:rPr>
          <w:rFonts w:asciiTheme="minorHAnsi" w:hAnsiTheme="minorHAnsi" w:cstheme="minorHAnsi"/>
          <w:spacing w:val="-11"/>
        </w:rPr>
        <w:t xml:space="preserve"> </w:t>
      </w:r>
      <w:r w:rsidRPr="00472E31">
        <w:rPr>
          <w:rFonts w:asciiTheme="minorHAnsi" w:hAnsiTheme="minorHAnsi" w:cstheme="minorHAnsi"/>
        </w:rPr>
        <w:t>a</w:t>
      </w:r>
      <w:r w:rsidRPr="00472E31">
        <w:rPr>
          <w:rFonts w:asciiTheme="minorHAnsi" w:hAnsiTheme="minorHAnsi" w:cstheme="minorHAnsi"/>
          <w:spacing w:val="-11"/>
        </w:rPr>
        <w:t xml:space="preserve"> </w:t>
      </w:r>
      <w:r w:rsidRPr="00472E31">
        <w:rPr>
          <w:rFonts w:asciiTheme="minorHAnsi" w:hAnsiTheme="minorHAnsi" w:cstheme="minorHAnsi"/>
        </w:rPr>
        <w:t>concession</w:t>
      </w:r>
      <w:r w:rsidRPr="00472E31">
        <w:rPr>
          <w:rFonts w:asciiTheme="minorHAnsi" w:hAnsiTheme="minorHAnsi" w:cstheme="minorHAnsi"/>
          <w:spacing w:val="-11"/>
        </w:rPr>
        <w:t xml:space="preserve"> </w:t>
      </w:r>
      <w:r w:rsidRPr="00472E31">
        <w:rPr>
          <w:rFonts w:asciiTheme="minorHAnsi" w:hAnsiTheme="minorHAnsi" w:cstheme="minorHAnsi"/>
        </w:rPr>
        <w:t>by</w:t>
      </w:r>
      <w:r w:rsidRPr="00472E31">
        <w:rPr>
          <w:rFonts w:asciiTheme="minorHAnsi" w:hAnsiTheme="minorHAnsi" w:cstheme="minorHAnsi"/>
          <w:spacing w:val="-10"/>
        </w:rPr>
        <w:t xml:space="preserve"> </w:t>
      </w:r>
      <w:r w:rsidRPr="00472E31">
        <w:rPr>
          <w:rFonts w:asciiTheme="minorHAnsi" w:hAnsiTheme="minorHAnsi" w:cstheme="minorHAnsi"/>
        </w:rPr>
        <w:t>Council,</w:t>
      </w:r>
      <w:r w:rsidRPr="00472E31">
        <w:rPr>
          <w:rFonts w:asciiTheme="minorHAnsi" w:hAnsiTheme="minorHAnsi" w:cstheme="minorHAnsi"/>
          <w:spacing w:val="-10"/>
        </w:rPr>
        <w:t xml:space="preserve"> </w:t>
      </w:r>
      <w:r w:rsidRPr="00472E31">
        <w:rPr>
          <w:rFonts w:asciiTheme="minorHAnsi" w:hAnsiTheme="minorHAnsi" w:cstheme="minorHAnsi"/>
        </w:rPr>
        <w:t>they</w:t>
      </w:r>
      <w:r w:rsidRPr="00472E31">
        <w:rPr>
          <w:rFonts w:asciiTheme="minorHAnsi" w:hAnsiTheme="minorHAnsi" w:cstheme="minorHAnsi"/>
          <w:spacing w:val="-12"/>
        </w:rPr>
        <w:t xml:space="preserve"> </w:t>
      </w:r>
      <w:r w:rsidRPr="00472E31">
        <w:rPr>
          <w:rFonts w:asciiTheme="minorHAnsi" w:hAnsiTheme="minorHAnsi" w:cstheme="minorHAnsi"/>
        </w:rPr>
        <w:t>must</w:t>
      </w:r>
      <w:r w:rsidRPr="00472E31">
        <w:rPr>
          <w:rFonts w:asciiTheme="minorHAnsi" w:hAnsiTheme="minorHAnsi" w:cstheme="minorHAnsi"/>
          <w:spacing w:val="-10"/>
        </w:rPr>
        <w:t xml:space="preserve"> </w:t>
      </w:r>
      <w:r w:rsidRPr="00472E31">
        <w:rPr>
          <w:rFonts w:asciiTheme="minorHAnsi" w:hAnsiTheme="minorHAnsi" w:cstheme="minorHAnsi"/>
        </w:rPr>
        <w:t>not</w:t>
      </w:r>
      <w:r w:rsidRPr="00472E31">
        <w:rPr>
          <w:rFonts w:asciiTheme="minorHAnsi" w:hAnsiTheme="minorHAnsi" w:cstheme="minorHAnsi"/>
          <w:spacing w:val="-12"/>
        </w:rPr>
        <w:t xml:space="preserve"> </w:t>
      </w:r>
      <w:r w:rsidRPr="00472E31">
        <w:rPr>
          <w:rFonts w:asciiTheme="minorHAnsi" w:hAnsiTheme="minorHAnsi" w:cstheme="minorHAnsi"/>
        </w:rPr>
        <w:t>only</w:t>
      </w:r>
      <w:r w:rsidRPr="00472E31">
        <w:rPr>
          <w:rFonts w:asciiTheme="minorHAnsi" w:hAnsiTheme="minorHAnsi" w:cstheme="minorHAnsi"/>
          <w:spacing w:val="-10"/>
        </w:rPr>
        <w:t xml:space="preserve"> </w:t>
      </w:r>
      <w:r w:rsidRPr="00472E31">
        <w:rPr>
          <w:rFonts w:asciiTheme="minorHAnsi" w:hAnsiTheme="minorHAnsi" w:cstheme="minorHAnsi"/>
        </w:rPr>
        <w:t>be</w:t>
      </w:r>
      <w:r w:rsidRPr="00472E31">
        <w:rPr>
          <w:rFonts w:asciiTheme="minorHAnsi" w:hAnsiTheme="minorHAnsi" w:cstheme="minorHAnsi"/>
          <w:spacing w:val="-12"/>
        </w:rPr>
        <w:t xml:space="preserve"> </w:t>
      </w:r>
      <w:r w:rsidRPr="00472E31">
        <w:rPr>
          <w:rFonts w:asciiTheme="minorHAnsi" w:hAnsiTheme="minorHAnsi" w:cstheme="minorHAnsi"/>
        </w:rPr>
        <w:t>an</w:t>
      </w:r>
      <w:r w:rsidRPr="00472E31">
        <w:rPr>
          <w:rFonts w:asciiTheme="minorHAnsi" w:hAnsiTheme="minorHAnsi" w:cstheme="minorHAnsi"/>
          <w:spacing w:val="-11"/>
        </w:rPr>
        <w:t xml:space="preserve"> </w:t>
      </w:r>
      <w:r w:rsidRPr="00472E31">
        <w:rPr>
          <w:rFonts w:asciiTheme="minorHAnsi" w:hAnsiTheme="minorHAnsi" w:cstheme="minorHAnsi"/>
        </w:rPr>
        <w:t>eligible</w:t>
      </w:r>
      <w:r w:rsidRPr="00472E31">
        <w:rPr>
          <w:rFonts w:asciiTheme="minorHAnsi" w:hAnsiTheme="minorHAnsi" w:cstheme="minorHAnsi"/>
          <w:spacing w:val="-10"/>
        </w:rPr>
        <w:t xml:space="preserve"> </w:t>
      </w:r>
      <w:r w:rsidRPr="00472E31">
        <w:rPr>
          <w:rFonts w:asciiTheme="minorHAnsi" w:hAnsiTheme="minorHAnsi" w:cstheme="minorHAnsi"/>
        </w:rPr>
        <w:t xml:space="preserve">property </w:t>
      </w:r>
      <w:proofErr w:type="gramStart"/>
      <w:r w:rsidRPr="00472E31">
        <w:rPr>
          <w:rFonts w:asciiTheme="minorHAnsi" w:hAnsiTheme="minorHAnsi" w:cstheme="minorHAnsi"/>
        </w:rPr>
        <w:t>owner</w:t>
      </w:r>
      <w:proofErr w:type="gramEnd"/>
      <w:r w:rsidRPr="00472E31">
        <w:rPr>
          <w:rFonts w:asciiTheme="minorHAnsi" w:hAnsiTheme="minorHAnsi" w:cstheme="minorHAnsi"/>
        </w:rPr>
        <w:t xml:space="preserve"> but Council must be satisfied that activities being conducted on the property or services being delivered</w:t>
      </w:r>
      <w:r w:rsidRPr="00472E31">
        <w:rPr>
          <w:rFonts w:asciiTheme="minorHAnsi" w:hAnsiTheme="minorHAnsi" w:cstheme="minorHAnsi"/>
          <w:spacing w:val="-3"/>
        </w:rPr>
        <w:t xml:space="preserve"> </w:t>
      </w:r>
      <w:r w:rsidRPr="00472E31">
        <w:rPr>
          <w:rFonts w:asciiTheme="minorHAnsi" w:hAnsiTheme="minorHAnsi" w:cstheme="minorHAnsi"/>
        </w:rPr>
        <w:t>from</w:t>
      </w:r>
      <w:r w:rsidRPr="00472E31">
        <w:rPr>
          <w:rFonts w:asciiTheme="minorHAnsi" w:hAnsiTheme="minorHAnsi" w:cstheme="minorHAnsi"/>
          <w:spacing w:val="-3"/>
        </w:rPr>
        <w:t xml:space="preserve"> </w:t>
      </w:r>
      <w:r w:rsidRPr="00472E31">
        <w:rPr>
          <w:rFonts w:asciiTheme="minorHAnsi" w:hAnsiTheme="minorHAnsi" w:cstheme="minorHAnsi"/>
        </w:rPr>
        <w:t>the</w:t>
      </w:r>
      <w:r w:rsidRPr="00472E31">
        <w:rPr>
          <w:rFonts w:asciiTheme="minorHAnsi" w:hAnsiTheme="minorHAnsi" w:cstheme="minorHAnsi"/>
          <w:spacing w:val="-1"/>
        </w:rPr>
        <w:t xml:space="preserve"> </w:t>
      </w:r>
      <w:r w:rsidRPr="00472E31">
        <w:rPr>
          <w:rFonts w:asciiTheme="minorHAnsi" w:hAnsiTheme="minorHAnsi" w:cstheme="minorHAnsi"/>
        </w:rPr>
        <w:t>property</w:t>
      </w:r>
      <w:r w:rsidRPr="00472E31">
        <w:rPr>
          <w:rFonts w:asciiTheme="minorHAnsi" w:hAnsiTheme="minorHAnsi" w:cstheme="minorHAnsi"/>
          <w:spacing w:val="-1"/>
        </w:rPr>
        <w:t xml:space="preserve"> </w:t>
      </w:r>
      <w:r w:rsidRPr="00472E31">
        <w:rPr>
          <w:rFonts w:asciiTheme="minorHAnsi" w:hAnsiTheme="minorHAnsi" w:cstheme="minorHAnsi"/>
        </w:rPr>
        <w:t>are</w:t>
      </w:r>
      <w:r w:rsidRPr="00472E31">
        <w:rPr>
          <w:rFonts w:asciiTheme="minorHAnsi" w:hAnsiTheme="minorHAnsi" w:cstheme="minorHAnsi"/>
          <w:spacing w:val="-4"/>
        </w:rPr>
        <w:t xml:space="preserve"> </w:t>
      </w:r>
      <w:r w:rsidRPr="00472E31">
        <w:rPr>
          <w:rFonts w:asciiTheme="minorHAnsi" w:hAnsiTheme="minorHAnsi" w:cstheme="minorHAnsi"/>
        </w:rPr>
        <w:t>consistent</w:t>
      </w:r>
      <w:r w:rsidRPr="00472E31">
        <w:rPr>
          <w:rFonts w:asciiTheme="minorHAnsi" w:hAnsiTheme="minorHAnsi" w:cstheme="minorHAnsi"/>
          <w:spacing w:val="-4"/>
        </w:rPr>
        <w:t xml:space="preserve"> </w:t>
      </w:r>
      <w:r w:rsidRPr="00472E31">
        <w:rPr>
          <w:rFonts w:asciiTheme="minorHAnsi" w:hAnsiTheme="minorHAnsi" w:cstheme="minorHAnsi"/>
        </w:rPr>
        <w:t>with</w:t>
      </w:r>
      <w:r w:rsidRPr="00472E31">
        <w:rPr>
          <w:rFonts w:asciiTheme="minorHAnsi" w:hAnsiTheme="minorHAnsi" w:cstheme="minorHAnsi"/>
          <w:spacing w:val="-5"/>
        </w:rPr>
        <w:t xml:space="preserve"> </w:t>
      </w:r>
      <w:r w:rsidRPr="00472E31">
        <w:rPr>
          <w:rFonts w:asciiTheme="minorHAnsi" w:hAnsiTheme="minorHAnsi" w:cstheme="minorHAnsi"/>
        </w:rPr>
        <w:t>activities</w:t>
      </w:r>
      <w:r w:rsidRPr="00472E31">
        <w:rPr>
          <w:rFonts w:asciiTheme="minorHAnsi" w:hAnsiTheme="minorHAnsi" w:cstheme="minorHAnsi"/>
          <w:spacing w:val="-2"/>
        </w:rPr>
        <w:t xml:space="preserve"> </w:t>
      </w:r>
      <w:r w:rsidRPr="00472E31">
        <w:rPr>
          <w:rFonts w:asciiTheme="minorHAnsi" w:hAnsiTheme="minorHAnsi" w:cstheme="minorHAnsi"/>
        </w:rPr>
        <w:t>described</w:t>
      </w:r>
      <w:r w:rsidRPr="00472E31">
        <w:rPr>
          <w:rFonts w:asciiTheme="minorHAnsi" w:hAnsiTheme="minorHAnsi" w:cstheme="minorHAnsi"/>
          <w:spacing w:val="-3"/>
        </w:rPr>
        <w:t xml:space="preserve"> </w:t>
      </w:r>
      <w:r w:rsidRPr="00472E31">
        <w:rPr>
          <w:rFonts w:asciiTheme="minorHAnsi" w:hAnsiTheme="minorHAnsi" w:cstheme="minorHAnsi"/>
        </w:rPr>
        <w:t>as</w:t>
      </w:r>
      <w:r w:rsidRPr="00472E31">
        <w:rPr>
          <w:rFonts w:asciiTheme="minorHAnsi" w:hAnsiTheme="minorHAnsi" w:cstheme="minorHAnsi"/>
          <w:spacing w:val="-4"/>
        </w:rPr>
        <w:t xml:space="preserve"> </w:t>
      </w:r>
      <w:r w:rsidRPr="00472E31">
        <w:rPr>
          <w:rFonts w:asciiTheme="minorHAnsi" w:hAnsiTheme="minorHAnsi" w:cstheme="minorHAnsi"/>
        </w:rPr>
        <w:t>eligible</w:t>
      </w:r>
      <w:r w:rsidRPr="00472E31">
        <w:rPr>
          <w:rFonts w:asciiTheme="minorHAnsi" w:hAnsiTheme="minorHAnsi" w:cstheme="minorHAnsi"/>
          <w:spacing w:val="-1"/>
        </w:rPr>
        <w:t xml:space="preserve"> </w:t>
      </w:r>
      <w:r w:rsidRPr="00472E31">
        <w:rPr>
          <w:rFonts w:asciiTheme="minorHAnsi" w:hAnsiTheme="minorHAnsi" w:cstheme="minorHAnsi"/>
        </w:rPr>
        <w:t>for</w:t>
      </w:r>
      <w:r w:rsidRPr="00472E31">
        <w:rPr>
          <w:rFonts w:asciiTheme="minorHAnsi" w:hAnsiTheme="minorHAnsi" w:cstheme="minorHAnsi"/>
          <w:spacing w:val="-4"/>
        </w:rPr>
        <w:t xml:space="preserve"> </w:t>
      </w:r>
      <w:r w:rsidRPr="00472E31">
        <w:rPr>
          <w:rFonts w:asciiTheme="minorHAnsi" w:hAnsiTheme="minorHAnsi" w:cstheme="minorHAnsi"/>
        </w:rPr>
        <w:t>a</w:t>
      </w:r>
      <w:r w:rsidRPr="00472E31">
        <w:rPr>
          <w:rFonts w:asciiTheme="minorHAnsi" w:hAnsiTheme="minorHAnsi" w:cstheme="minorHAnsi"/>
          <w:spacing w:val="-2"/>
        </w:rPr>
        <w:t xml:space="preserve"> </w:t>
      </w:r>
      <w:r w:rsidRPr="00472E31">
        <w:rPr>
          <w:rFonts w:asciiTheme="minorHAnsi" w:hAnsiTheme="minorHAnsi" w:cstheme="minorHAnsi"/>
        </w:rPr>
        <w:t>concession.</w:t>
      </w:r>
    </w:p>
    <w:p w14:paraId="6DAA95E2" w14:textId="77777777" w:rsidR="0009696C" w:rsidRDefault="0009696C">
      <w:pPr>
        <w:rPr>
          <w:rFonts w:eastAsia="Times New Roman" w:cstheme="minorHAnsi"/>
          <w:szCs w:val="20"/>
          <w:u w:val="single"/>
          <w:lang w:val="en-US"/>
        </w:rPr>
      </w:pPr>
      <w:r>
        <w:rPr>
          <w:rFonts w:cstheme="minorHAnsi"/>
          <w:u w:val="single"/>
        </w:rPr>
        <w:br w:type="page"/>
      </w:r>
    </w:p>
    <w:p w14:paraId="25498A9D" w14:textId="3DFB52F7" w:rsidR="00472E31" w:rsidRPr="00472E31" w:rsidRDefault="00472E31" w:rsidP="00EA2651">
      <w:pPr>
        <w:pStyle w:val="BodyText"/>
        <w:spacing w:after="0"/>
        <w:ind w:left="0" w:right="-22"/>
        <w:jc w:val="both"/>
        <w:rPr>
          <w:rFonts w:asciiTheme="minorHAnsi" w:hAnsiTheme="minorHAnsi" w:cstheme="minorHAnsi"/>
        </w:rPr>
      </w:pPr>
      <w:r w:rsidRPr="00472E31">
        <w:rPr>
          <w:rFonts w:asciiTheme="minorHAnsi" w:hAnsiTheme="minorHAnsi" w:cstheme="minorHAnsi"/>
          <w:u w:val="single"/>
        </w:rPr>
        <w:lastRenderedPageBreak/>
        <w:t>Eligible Activities at the property</w:t>
      </w:r>
    </w:p>
    <w:p w14:paraId="1157649B" w14:textId="77777777" w:rsidR="00472E31" w:rsidRPr="00472E31" w:rsidRDefault="00472E31" w:rsidP="0009696C">
      <w:pPr>
        <w:pStyle w:val="BodyText"/>
        <w:spacing w:before="57" w:after="0" w:line="276" w:lineRule="auto"/>
        <w:ind w:left="0" w:right="-22"/>
        <w:jc w:val="both"/>
        <w:rPr>
          <w:rFonts w:asciiTheme="minorHAnsi" w:hAnsiTheme="minorHAnsi" w:cstheme="minorHAnsi"/>
        </w:rPr>
      </w:pPr>
      <w:r w:rsidRPr="00472E31">
        <w:rPr>
          <w:rFonts w:asciiTheme="minorHAnsi" w:hAnsiTheme="minorHAnsi" w:cstheme="minorHAnsi"/>
        </w:rPr>
        <w:t>Eligible activities or services delivered at the property considered eligible to be considered for a concession.</w:t>
      </w:r>
    </w:p>
    <w:tbl>
      <w:tblPr>
        <w:tblW w:w="907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9"/>
        <w:gridCol w:w="5953"/>
      </w:tblGrid>
      <w:tr w:rsidR="00472E31" w:rsidRPr="00472E31" w14:paraId="3553380F" w14:textId="77777777" w:rsidTr="00604FC0">
        <w:trPr>
          <w:trHeight w:hRule="exact" w:val="835"/>
        </w:trPr>
        <w:tc>
          <w:tcPr>
            <w:tcW w:w="3119" w:type="dxa"/>
            <w:shd w:val="clear" w:color="auto" w:fill="C0C0C0"/>
          </w:tcPr>
          <w:p w14:paraId="60BB514B" w14:textId="77777777" w:rsidR="00472E31" w:rsidRPr="00472E31" w:rsidRDefault="00472E31" w:rsidP="00472E31">
            <w:pPr>
              <w:pStyle w:val="TableParagraph"/>
              <w:spacing w:before="120" w:after="120"/>
              <w:rPr>
                <w:rFonts w:asciiTheme="minorHAnsi" w:hAnsiTheme="minorHAnsi" w:cstheme="minorHAnsi"/>
                <w:b/>
                <w:sz w:val="20"/>
                <w:szCs w:val="20"/>
              </w:rPr>
            </w:pPr>
            <w:r w:rsidRPr="00472E31">
              <w:rPr>
                <w:rFonts w:asciiTheme="minorHAnsi" w:hAnsiTheme="minorHAnsi" w:cstheme="minorHAnsi"/>
                <w:b/>
                <w:sz w:val="20"/>
                <w:szCs w:val="20"/>
              </w:rPr>
              <w:t>Eligible Property Owner</w:t>
            </w:r>
          </w:p>
        </w:tc>
        <w:tc>
          <w:tcPr>
            <w:tcW w:w="5953" w:type="dxa"/>
            <w:shd w:val="clear" w:color="auto" w:fill="C0C0C0"/>
          </w:tcPr>
          <w:p w14:paraId="0D2A92ED" w14:textId="77777777" w:rsidR="00472E31" w:rsidRPr="00472E31" w:rsidRDefault="00472E31" w:rsidP="00472E31">
            <w:pPr>
              <w:pStyle w:val="TableParagraph"/>
              <w:spacing w:before="120" w:after="120" w:line="276" w:lineRule="auto"/>
              <w:ind w:right="198"/>
              <w:rPr>
                <w:rFonts w:asciiTheme="minorHAnsi" w:hAnsiTheme="minorHAnsi" w:cstheme="minorHAnsi"/>
                <w:b/>
                <w:sz w:val="20"/>
                <w:szCs w:val="20"/>
              </w:rPr>
            </w:pPr>
            <w:r w:rsidRPr="00472E31">
              <w:rPr>
                <w:rFonts w:asciiTheme="minorHAnsi" w:hAnsiTheme="minorHAnsi" w:cstheme="minorHAnsi"/>
                <w:b/>
                <w:sz w:val="20"/>
                <w:szCs w:val="20"/>
              </w:rPr>
              <w:t>Eligible Activities or Services Delivered at the property</w:t>
            </w:r>
          </w:p>
        </w:tc>
      </w:tr>
      <w:tr w:rsidR="00472E31" w:rsidRPr="00472E31" w14:paraId="02BA223C" w14:textId="77777777" w:rsidTr="0009696C">
        <w:trPr>
          <w:trHeight w:hRule="exact" w:val="4032"/>
        </w:trPr>
        <w:tc>
          <w:tcPr>
            <w:tcW w:w="3119" w:type="dxa"/>
          </w:tcPr>
          <w:p w14:paraId="549A667F" w14:textId="77777777" w:rsidR="00472E31" w:rsidRPr="00472E31" w:rsidRDefault="00472E31" w:rsidP="00472E31">
            <w:pPr>
              <w:pStyle w:val="TableParagraph"/>
              <w:spacing w:before="240" w:line="276" w:lineRule="auto"/>
              <w:ind w:left="102" w:right="181"/>
              <w:rPr>
                <w:rFonts w:asciiTheme="minorHAnsi" w:hAnsiTheme="minorHAnsi" w:cstheme="minorHAnsi"/>
              </w:rPr>
            </w:pPr>
            <w:r w:rsidRPr="00472E31">
              <w:rPr>
                <w:rFonts w:asciiTheme="minorHAnsi" w:hAnsiTheme="minorHAnsi" w:cstheme="minorHAnsi"/>
              </w:rPr>
              <w:t xml:space="preserve">Incorporated Associations and Not for Profit </w:t>
            </w:r>
            <w:proofErr w:type="spellStart"/>
            <w:r w:rsidRPr="00472E31">
              <w:rPr>
                <w:rFonts w:asciiTheme="minorHAnsi" w:hAnsiTheme="minorHAnsi" w:cstheme="minorHAnsi"/>
              </w:rPr>
              <w:t>Organisations</w:t>
            </w:r>
            <w:proofErr w:type="spellEnd"/>
          </w:p>
        </w:tc>
        <w:tc>
          <w:tcPr>
            <w:tcW w:w="5953" w:type="dxa"/>
          </w:tcPr>
          <w:p w14:paraId="425B082E" w14:textId="77777777" w:rsidR="00472E31" w:rsidRPr="00472E31" w:rsidRDefault="00472E31" w:rsidP="002A3889">
            <w:pPr>
              <w:pStyle w:val="TableParagraph"/>
              <w:numPr>
                <w:ilvl w:val="0"/>
                <w:numId w:val="435"/>
              </w:numPr>
              <w:tabs>
                <w:tab w:val="left" w:pos="597"/>
              </w:tabs>
              <w:spacing w:line="276" w:lineRule="auto"/>
              <w:ind w:left="597" w:right="227" w:hanging="426"/>
              <w:jc w:val="both"/>
              <w:rPr>
                <w:rFonts w:asciiTheme="minorHAnsi" w:hAnsiTheme="minorHAnsi" w:cstheme="minorHAnsi"/>
              </w:rPr>
            </w:pPr>
            <w:r w:rsidRPr="00472E31">
              <w:rPr>
                <w:rFonts w:asciiTheme="minorHAnsi" w:hAnsiTheme="minorHAnsi" w:cstheme="minorHAnsi"/>
              </w:rPr>
              <w:t>The relief of those in need by reason of youth, age, ill-health, disability, financial hardship or other disadvantage;</w:t>
            </w:r>
            <w:r w:rsidRPr="00472E31">
              <w:rPr>
                <w:rFonts w:asciiTheme="minorHAnsi" w:hAnsiTheme="minorHAnsi" w:cstheme="minorHAnsi"/>
                <w:spacing w:val="-2"/>
              </w:rPr>
              <w:t xml:space="preserve"> </w:t>
            </w:r>
            <w:r w:rsidRPr="00472E31">
              <w:rPr>
                <w:rFonts w:asciiTheme="minorHAnsi" w:hAnsiTheme="minorHAnsi" w:cstheme="minorHAnsi"/>
              </w:rPr>
              <w:t>or</w:t>
            </w:r>
          </w:p>
          <w:p w14:paraId="22C424D9" w14:textId="77777777" w:rsidR="00472E31" w:rsidRPr="00472E31" w:rsidRDefault="00472E31" w:rsidP="002A3889">
            <w:pPr>
              <w:pStyle w:val="TableParagraph"/>
              <w:numPr>
                <w:ilvl w:val="0"/>
                <w:numId w:val="435"/>
              </w:numPr>
              <w:tabs>
                <w:tab w:val="left" w:pos="597"/>
              </w:tabs>
              <w:spacing w:before="1" w:line="273" w:lineRule="auto"/>
              <w:ind w:left="597" w:right="182" w:hanging="426"/>
              <w:jc w:val="both"/>
              <w:rPr>
                <w:rFonts w:asciiTheme="minorHAnsi" w:hAnsiTheme="minorHAnsi" w:cstheme="minorHAnsi"/>
              </w:rPr>
            </w:pPr>
            <w:r w:rsidRPr="00472E31">
              <w:rPr>
                <w:rFonts w:asciiTheme="minorHAnsi" w:hAnsiTheme="minorHAnsi" w:cstheme="minorHAnsi"/>
              </w:rPr>
              <w:t>The assistance or encouragement for the arts or cultural development,</w:t>
            </w:r>
            <w:r w:rsidRPr="00472E31">
              <w:rPr>
                <w:rFonts w:asciiTheme="minorHAnsi" w:hAnsiTheme="minorHAnsi" w:cstheme="minorHAnsi"/>
                <w:spacing w:val="-9"/>
              </w:rPr>
              <w:t xml:space="preserve"> </w:t>
            </w:r>
            <w:r w:rsidRPr="00472E31">
              <w:rPr>
                <w:rFonts w:asciiTheme="minorHAnsi" w:hAnsiTheme="minorHAnsi" w:cstheme="minorHAnsi"/>
              </w:rPr>
              <w:t>or</w:t>
            </w:r>
          </w:p>
          <w:p w14:paraId="59C66CFA" w14:textId="77777777" w:rsidR="00472E31" w:rsidRPr="00472E31" w:rsidRDefault="00472E31" w:rsidP="002A3889">
            <w:pPr>
              <w:pStyle w:val="TableParagraph"/>
              <w:numPr>
                <w:ilvl w:val="0"/>
                <w:numId w:val="435"/>
              </w:numPr>
              <w:tabs>
                <w:tab w:val="left" w:pos="597"/>
              </w:tabs>
              <w:spacing w:before="2" w:line="276" w:lineRule="auto"/>
              <w:ind w:left="597" w:right="193" w:hanging="426"/>
              <w:jc w:val="both"/>
              <w:rPr>
                <w:rFonts w:asciiTheme="minorHAnsi" w:hAnsiTheme="minorHAnsi" w:cstheme="minorHAnsi"/>
              </w:rPr>
            </w:pPr>
            <w:r w:rsidRPr="00472E31">
              <w:rPr>
                <w:rFonts w:asciiTheme="minorHAnsi" w:hAnsiTheme="minorHAnsi" w:cstheme="minorHAnsi"/>
              </w:rPr>
              <w:t>The provision of early childhood care and are affiliated with the Crèches and Kindergarten Association or is a community based early childhood provider;</w:t>
            </w:r>
            <w:r w:rsidRPr="00472E31">
              <w:rPr>
                <w:rFonts w:asciiTheme="minorHAnsi" w:hAnsiTheme="minorHAnsi" w:cstheme="minorHAnsi"/>
                <w:spacing w:val="-2"/>
              </w:rPr>
              <w:t xml:space="preserve"> </w:t>
            </w:r>
            <w:r w:rsidRPr="00472E31">
              <w:rPr>
                <w:rFonts w:asciiTheme="minorHAnsi" w:hAnsiTheme="minorHAnsi" w:cstheme="minorHAnsi"/>
              </w:rPr>
              <w:t>or</w:t>
            </w:r>
          </w:p>
          <w:p w14:paraId="2C4F8BFD" w14:textId="77777777" w:rsidR="00472E31" w:rsidRPr="00472E31" w:rsidRDefault="00472E31" w:rsidP="002A3889">
            <w:pPr>
              <w:pStyle w:val="TableParagraph"/>
              <w:numPr>
                <w:ilvl w:val="0"/>
                <w:numId w:val="435"/>
              </w:numPr>
              <w:tabs>
                <w:tab w:val="left" w:pos="597"/>
              </w:tabs>
              <w:spacing w:line="276" w:lineRule="auto"/>
              <w:ind w:left="597" w:right="198" w:hanging="426"/>
              <w:jc w:val="both"/>
              <w:rPr>
                <w:rFonts w:asciiTheme="minorHAnsi" w:hAnsiTheme="minorHAnsi" w:cstheme="minorHAnsi"/>
              </w:rPr>
            </w:pPr>
            <w:r w:rsidRPr="00472E31">
              <w:rPr>
                <w:rFonts w:asciiTheme="minorHAnsi" w:hAnsiTheme="minorHAnsi" w:cstheme="minorHAnsi"/>
              </w:rPr>
              <w:t>The provision of facilities for the conduct of amateur sport or recreational activities subject to any revenue from licensed premises, entrance fees or membership fees being deemed incidental to the main activity of conducting the sporting or recreational</w:t>
            </w:r>
            <w:r w:rsidRPr="00472E31">
              <w:rPr>
                <w:rFonts w:asciiTheme="minorHAnsi" w:hAnsiTheme="minorHAnsi" w:cstheme="minorHAnsi"/>
                <w:spacing w:val="-7"/>
              </w:rPr>
              <w:t xml:space="preserve"> </w:t>
            </w:r>
            <w:r w:rsidRPr="00472E31">
              <w:rPr>
                <w:rFonts w:asciiTheme="minorHAnsi" w:hAnsiTheme="minorHAnsi" w:cstheme="minorHAnsi"/>
              </w:rPr>
              <w:t>activities.</w:t>
            </w:r>
          </w:p>
        </w:tc>
      </w:tr>
      <w:tr w:rsidR="00472E31" w:rsidRPr="00472E31" w14:paraId="4A05679A" w14:textId="77777777" w:rsidTr="00604FC0">
        <w:trPr>
          <w:trHeight w:hRule="exact" w:val="1568"/>
        </w:trPr>
        <w:tc>
          <w:tcPr>
            <w:tcW w:w="3119" w:type="dxa"/>
          </w:tcPr>
          <w:p w14:paraId="39C0098D" w14:textId="77777777" w:rsidR="00472E31" w:rsidRPr="00472E31" w:rsidRDefault="00472E31" w:rsidP="00472E31">
            <w:pPr>
              <w:pStyle w:val="TableParagraph"/>
              <w:spacing w:before="240"/>
              <w:ind w:left="102"/>
              <w:rPr>
                <w:rFonts w:asciiTheme="minorHAnsi" w:hAnsiTheme="minorHAnsi" w:cstheme="minorHAnsi"/>
              </w:rPr>
            </w:pPr>
            <w:r w:rsidRPr="00472E31">
              <w:rPr>
                <w:rFonts w:asciiTheme="minorHAnsi" w:hAnsiTheme="minorHAnsi" w:cstheme="minorHAnsi"/>
              </w:rPr>
              <w:t>Property owners suffering hardship</w:t>
            </w:r>
          </w:p>
        </w:tc>
        <w:tc>
          <w:tcPr>
            <w:tcW w:w="5953" w:type="dxa"/>
          </w:tcPr>
          <w:p w14:paraId="173B3115" w14:textId="77777777" w:rsidR="00472E31" w:rsidRPr="00472E31" w:rsidRDefault="00472E31" w:rsidP="002A3889">
            <w:pPr>
              <w:pStyle w:val="TableParagraph"/>
              <w:numPr>
                <w:ilvl w:val="0"/>
                <w:numId w:val="434"/>
              </w:numPr>
              <w:spacing w:line="268" w:lineRule="exact"/>
              <w:ind w:left="597" w:hanging="426"/>
              <w:rPr>
                <w:rFonts w:asciiTheme="minorHAnsi" w:hAnsiTheme="minorHAnsi" w:cstheme="minorHAnsi"/>
              </w:rPr>
            </w:pPr>
            <w:r w:rsidRPr="00472E31">
              <w:rPr>
                <w:rFonts w:asciiTheme="minorHAnsi" w:hAnsiTheme="minorHAnsi" w:cstheme="minorHAnsi"/>
              </w:rPr>
              <w:t>Property is owner occupied:</w:t>
            </w:r>
            <w:r w:rsidRPr="00472E31">
              <w:rPr>
                <w:rFonts w:asciiTheme="minorHAnsi" w:hAnsiTheme="minorHAnsi" w:cstheme="minorHAnsi"/>
                <w:spacing w:val="-11"/>
              </w:rPr>
              <w:t xml:space="preserve"> </w:t>
            </w:r>
            <w:r w:rsidRPr="00472E31">
              <w:rPr>
                <w:rFonts w:asciiTheme="minorHAnsi" w:hAnsiTheme="minorHAnsi" w:cstheme="minorHAnsi"/>
              </w:rPr>
              <w:t>and</w:t>
            </w:r>
          </w:p>
          <w:p w14:paraId="54D6A85A" w14:textId="77777777" w:rsidR="00472E31" w:rsidRPr="00472E31" w:rsidRDefault="00472E31" w:rsidP="002A3889">
            <w:pPr>
              <w:pStyle w:val="TableParagraph"/>
              <w:numPr>
                <w:ilvl w:val="0"/>
                <w:numId w:val="434"/>
              </w:numPr>
              <w:spacing w:before="41" w:line="276" w:lineRule="auto"/>
              <w:ind w:left="597" w:right="246" w:hanging="426"/>
              <w:rPr>
                <w:rFonts w:asciiTheme="minorHAnsi" w:hAnsiTheme="minorHAnsi" w:cstheme="minorHAnsi"/>
              </w:rPr>
            </w:pPr>
            <w:r w:rsidRPr="00472E31">
              <w:rPr>
                <w:rFonts w:asciiTheme="minorHAnsi" w:hAnsiTheme="minorHAnsi" w:cstheme="minorHAnsi"/>
              </w:rPr>
              <w:t>Hardship status is confirmed by a financial assessment of the property owner’s circumstances, consistent with the Town’s Debt Collection Policy.</w:t>
            </w:r>
          </w:p>
        </w:tc>
      </w:tr>
    </w:tbl>
    <w:p w14:paraId="4C644FCB" w14:textId="3CFB58B5" w:rsidR="00472E31" w:rsidRPr="00472E31" w:rsidRDefault="00472E31" w:rsidP="00472E31">
      <w:pPr>
        <w:pStyle w:val="BodyText"/>
        <w:spacing w:before="240"/>
        <w:ind w:left="120"/>
        <w:jc w:val="both"/>
        <w:rPr>
          <w:rFonts w:asciiTheme="minorHAnsi" w:hAnsiTheme="minorHAnsi" w:cstheme="minorHAnsi"/>
        </w:rPr>
      </w:pPr>
      <w:r w:rsidRPr="00472E31">
        <w:rPr>
          <w:rFonts w:asciiTheme="minorHAnsi" w:hAnsiTheme="minorHAnsi" w:cstheme="minorHAnsi"/>
          <w:u w:val="single"/>
        </w:rPr>
        <w:t xml:space="preserve">Concession </w:t>
      </w:r>
      <w:r w:rsidR="001D2965">
        <w:rPr>
          <w:rFonts w:asciiTheme="minorHAnsi" w:hAnsiTheme="minorHAnsi" w:cstheme="minorHAnsi"/>
          <w:u w:val="single"/>
        </w:rPr>
        <w:t>available upon application approval</w:t>
      </w:r>
    </w:p>
    <w:tbl>
      <w:tblPr>
        <w:tblW w:w="907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9"/>
        <w:gridCol w:w="5963"/>
      </w:tblGrid>
      <w:tr w:rsidR="00472E31" w:rsidRPr="00472E31" w14:paraId="47656732" w14:textId="77777777" w:rsidTr="001D2965">
        <w:trPr>
          <w:trHeight w:hRule="exact" w:val="731"/>
        </w:trPr>
        <w:tc>
          <w:tcPr>
            <w:tcW w:w="3109" w:type="dxa"/>
            <w:shd w:val="clear" w:color="auto" w:fill="C0C0C0"/>
          </w:tcPr>
          <w:p w14:paraId="3F55F836" w14:textId="77777777" w:rsidR="00472E31" w:rsidRPr="00472E31" w:rsidRDefault="00472E31" w:rsidP="00472E31">
            <w:pPr>
              <w:pStyle w:val="TableParagraph"/>
              <w:spacing w:before="120" w:after="120"/>
              <w:ind w:left="102"/>
              <w:rPr>
                <w:rFonts w:asciiTheme="minorHAnsi" w:hAnsiTheme="minorHAnsi" w:cstheme="minorHAnsi"/>
                <w:b/>
                <w:sz w:val="20"/>
                <w:szCs w:val="20"/>
              </w:rPr>
            </w:pPr>
            <w:r w:rsidRPr="00472E31">
              <w:rPr>
                <w:rFonts w:asciiTheme="minorHAnsi" w:hAnsiTheme="minorHAnsi" w:cstheme="minorHAnsi"/>
                <w:b/>
                <w:sz w:val="20"/>
                <w:szCs w:val="20"/>
              </w:rPr>
              <w:t>Eligible Property Owner</w:t>
            </w:r>
          </w:p>
        </w:tc>
        <w:tc>
          <w:tcPr>
            <w:tcW w:w="5963" w:type="dxa"/>
            <w:shd w:val="clear" w:color="auto" w:fill="C0C0C0"/>
          </w:tcPr>
          <w:p w14:paraId="602004CF" w14:textId="77777777" w:rsidR="00472E31" w:rsidRPr="00472E31" w:rsidRDefault="00472E31" w:rsidP="00472E31">
            <w:pPr>
              <w:pStyle w:val="TableParagraph"/>
              <w:spacing w:before="120" w:after="120" w:line="276" w:lineRule="auto"/>
              <w:ind w:left="102" w:right="198"/>
              <w:rPr>
                <w:rFonts w:asciiTheme="minorHAnsi" w:hAnsiTheme="minorHAnsi" w:cstheme="minorHAnsi"/>
                <w:b/>
                <w:sz w:val="20"/>
                <w:szCs w:val="20"/>
              </w:rPr>
            </w:pPr>
            <w:r w:rsidRPr="00472E31">
              <w:rPr>
                <w:rFonts w:asciiTheme="minorHAnsi" w:hAnsiTheme="minorHAnsi" w:cstheme="minorHAnsi"/>
                <w:b/>
                <w:sz w:val="20"/>
                <w:szCs w:val="20"/>
              </w:rPr>
              <w:t>Eligible Activities or Services Delivered at the property</w:t>
            </w:r>
          </w:p>
        </w:tc>
      </w:tr>
      <w:tr w:rsidR="00472E31" w:rsidRPr="00472E31" w14:paraId="4475F157" w14:textId="77777777" w:rsidTr="001D2965">
        <w:trPr>
          <w:trHeight w:hRule="exact" w:val="826"/>
        </w:trPr>
        <w:tc>
          <w:tcPr>
            <w:tcW w:w="3109" w:type="dxa"/>
          </w:tcPr>
          <w:p w14:paraId="1834B585" w14:textId="77777777" w:rsidR="00472E31" w:rsidRPr="00472E31" w:rsidRDefault="00472E31" w:rsidP="001D2965">
            <w:pPr>
              <w:pStyle w:val="TableParagraph"/>
              <w:spacing w:before="120" w:line="273" w:lineRule="auto"/>
              <w:ind w:left="134" w:right="180"/>
              <w:rPr>
                <w:rFonts w:asciiTheme="minorHAnsi" w:hAnsiTheme="minorHAnsi" w:cstheme="minorHAnsi"/>
              </w:rPr>
            </w:pPr>
            <w:r w:rsidRPr="00472E31">
              <w:rPr>
                <w:rFonts w:asciiTheme="minorHAnsi" w:hAnsiTheme="minorHAnsi" w:cstheme="minorHAnsi"/>
              </w:rPr>
              <w:t xml:space="preserve">Incorporated Associations and Not for Profit </w:t>
            </w:r>
            <w:proofErr w:type="spellStart"/>
            <w:r w:rsidRPr="00472E31">
              <w:rPr>
                <w:rFonts w:asciiTheme="minorHAnsi" w:hAnsiTheme="minorHAnsi" w:cstheme="minorHAnsi"/>
              </w:rPr>
              <w:t>Organisations</w:t>
            </w:r>
            <w:proofErr w:type="spellEnd"/>
          </w:p>
        </w:tc>
        <w:tc>
          <w:tcPr>
            <w:tcW w:w="5963" w:type="dxa"/>
          </w:tcPr>
          <w:p w14:paraId="39246651" w14:textId="77777777" w:rsidR="00472E31" w:rsidRPr="00472E31" w:rsidRDefault="00472E31" w:rsidP="002A3889">
            <w:pPr>
              <w:pStyle w:val="TableParagraph"/>
              <w:numPr>
                <w:ilvl w:val="0"/>
                <w:numId w:val="433"/>
              </w:numPr>
              <w:spacing w:line="280" w:lineRule="exact"/>
              <w:ind w:left="373"/>
              <w:jc w:val="both"/>
              <w:rPr>
                <w:rFonts w:asciiTheme="minorHAnsi" w:hAnsiTheme="minorHAnsi" w:cstheme="minorHAnsi"/>
              </w:rPr>
            </w:pPr>
            <w:r w:rsidRPr="00472E31">
              <w:rPr>
                <w:rFonts w:asciiTheme="minorHAnsi" w:hAnsiTheme="minorHAnsi" w:cstheme="minorHAnsi"/>
              </w:rPr>
              <w:t>General Rates Concession of</w:t>
            </w:r>
            <w:r w:rsidRPr="00472E31">
              <w:rPr>
                <w:rFonts w:asciiTheme="minorHAnsi" w:hAnsiTheme="minorHAnsi" w:cstheme="minorHAnsi"/>
                <w:spacing w:val="-9"/>
              </w:rPr>
              <w:t xml:space="preserve"> </w:t>
            </w:r>
            <w:r w:rsidRPr="00472E31">
              <w:rPr>
                <w:rFonts w:asciiTheme="minorHAnsi" w:hAnsiTheme="minorHAnsi" w:cstheme="minorHAnsi"/>
              </w:rPr>
              <w:t>25%</w:t>
            </w:r>
          </w:p>
        </w:tc>
      </w:tr>
      <w:tr w:rsidR="00472E31" w:rsidRPr="00472E31" w14:paraId="69302DD8" w14:textId="77777777" w:rsidTr="001D2965">
        <w:trPr>
          <w:trHeight w:hRule="exact" w:val="1054"/>
        </w:trPr>
        <w:tc>
          <w:tcPr>
            <w:tcW w:w="3109" w:type="dxa"/>
          </w:tcPr>
          <w:p w14:paraId="7BB86E1E" w14:textId="77777777" w:rsidR="00472E31" w:rsidRPr="00472E31" w:rsidRDefault="00472E31" w:rsidP="00472E31">
            <w:pPr>
              <w:pStyle w:val="TableParagraph"/>
              <w:spacing w:before="120"/>
              <w:ind w:left="149"/>
              <w:rPr>
                <w:rFonts w:asciiTheme="minorHAnsi" w:hAnsiTheme="minorHAnsi" w:cstheme="minorHAnsi"/>
              </w:rPr>
            </w:pPr>
            <w:r w:rsidRPr="00472E31">
              <w:rPr>
                <w:rFonts w:asciiTheme="minorHAnsi" w:hAnsiTheme="minorHAnsi" w:cstheme="minorHAnsi"/>
              </w:rPr>
              <w:t>Property Owners suffering hardship</w:t>
            </w:r>
          </w:p>
        </w:tc>
        <w:tc>
          <w:tcPr>
            <w:tcW w:w="5963" w:type="dxa"/>
          </w:tcPr>
          <w:p w14:paraId="6D657B18" w14:textId="77777777" w:rsidR="00472E31" w:rsidRPr="00472E31" w:rsidRDefault="00472E31" w:rsidP="002A3889">
            <w:pPr>
              <w:pStyle w:val="TableParagraph"/>
              <w:numPr>
                <w:ilvl w:val="0"/>
                <w:numId w:val="432"/>
              </w:numPr>
              <w:spacing w:before="1" w:line="276" w:lineRule="auto"/>
              <w:ind w:left="373" w:right="258" w:hanging="284"/>
              <w:jc w:val="both"/>
              <w:rPr>
                <w:rFonts w:asciiTheme="minorHAnsi" w:hAnsiTheme="minorHAnsi" w:cstheme="minorHAnsi"/>
              </w:rPr>
            </w:pPr>
            <w:r w:rsidRPr="00472E31">
              <w:rPr>
                <w:rFonts w:asciiTheme="minorHAnsi" w:hAnsiTheme="minorHAnsi" w:cstheme="minorHAnsi"/>
              </w:rPr>
              <w:t>Deferral of liability to pay rates for 6 months. All administrative charges and interest penalty will be waived for the deferral period of 6</w:t>
            </w:r>
            <w:r w:rsidRPr="00472E31">
              <w:rPr>
                <w:rFonts w:asciiTheme="minorHAnsi" w:hAnsiTheme="minorHAnsi" w:cstheme="minorHAnsi"/>
                <w:spacing w:val="-13"/>
              </w:rPr>
              <w:t xml:space="preserve"> </w:t>
            </w:r>
            <w:r w:rsidRPr="00472E31">
              <w:rPr>
                <w:rFonts w:asciiTheme="minorHAnsi" w:hAnsiTheme="minorHAnsi" w:cstheme="minorHAnsi"/>
              </w:rPr>
              <w:t>months.</w:t>
            </w:r>
          </w:p>
        </w:tc>
      </w:tr>
    </w:tbl>
    <w:p w14:paraId="785BA77C" w14:textId="77777777" w:rsidR="00472E31" w:rsidRPr="00604FC0" w:rsidRDefault="00472E31" w:rsidP="00604FC0">
      <w:pPr>
        <w:spacing w:before="200" w:after="0"/>
        <w:rPr>
          <w:b/>
        </w:rPr>
      </w:pPr>
      <w:r w:rsidRPr="00604FC0">
        <w:rPr>
          <w:b/>
        </w:rPr>
        <w:t>Roles and Responsibilities</w:t>
      </w:r>
    </w:p>
    <w:p w14:paraId="6F352F17" w14:textId="77777777" w:rsidR="00472E31" w:rsidRPr="00472E31" w:rsidRDefault="00472E31" w:rsidP="00604FC0">
      <w:pPr>
        <w:pStyle w:val="BodyText"/>
        <w:spacing w:after="200" w:line="257" w:lineRule="auto"/>
        <w:ind w:left="0" w:right="113"/>
        <w:jc w:val="both"/>
        <w:rPr>
          <w:rFonts w:asciiTheme="minorHAnsi" w:hAnsiTheme="minorHAnsi" w:cstheme="minorHAnsi"/>
        </w:rPr>
      </w:pPr>
      <w:r w:rsidRPr="00472E31">
        <w:rPr>
          <w:rFonts w:asciiTheme="minorHAnsi" w:hAnsiTheme="minorHAnsi" w:cstheme="minorHAnsi"/>
        </w:rPr>
        <w:t>The</w:t>
      </w:r>
      <w:r w:rsidRPr="00472E31">
        <w:rPr>
          <w:rFonts w:asciiTheme="minorHAnsi" w:hAnsiTheme="minorHAnsi" w:cstheme="minorHAnsi"/>
          <w:spacing w:val="-1"/>
        </w:rPr>
        <w:t xml:space="preserve"> </w:t>
      </w:r>
      <w:r w:rsidRPr="00472E31">
        <w:rPr>
          <w:rFonts w:asciiTheme="minorHAnsi" w:hAnsiTheme="minorHAnsi" w:cstheme="minorHAnsi"/>
        </w:rPr>
        <w:t>Executive</w:t>
      </w:r>
      <w:r w:rsidRPr="00472E31">
        <w:rPr>
          <w:rFonts w:asciiTheme="minorHAnsi" w:hAnsiTheme="minorHAnsi" w:cstheme="minorHAnsi"/>
          <w:spacing w:val="-6"/>
        </w:rPr>
        <w:t xml:space="preserve"> </w:t>
      </w:r>
      <w:r w:rsidRPr="00472E31">
        <w:rPr>
          <w:rFonts w:asciiTheme="minorHAnsi" w:hAnsiTheme="minorHAnsi" w:cstheme="minorHAnsi"/>
        </w:rPr>
        <w:t>Manager</w:t>
      </w:r>
      <w:r w:rsidRPr="00472E31">
        <w:rPr>
          <w:rFonts w:asciiTheme="minorHAnsi" w:hAnsiTheme="minorHAnsi" w:cstheme="minorHAnsi"/>
          <w:spacing w:val="-4"/>
        </w:rPr>
        <w:t xml:space="preserve"> </w:t>
      </w:r>
      <w:r w:rsidRPr="00472E31">
        <w:rPr>
          <w:rFonts w:asciiTheme="minorHAnsi" w:hAnsiTheme="minorHAnsi" w:cstheme="minorHAnsi"/>
        </w:rPr>
        <w:t>Corporate</w:t>
      </w:r>
      <w:r w:rsidRPr="00472E31">
        <w:rPr>
          <w:rFonts w:asciiTheme="minorHAnsi" w:hAnsiTheme="minorHAnsi" w:cstheme="minorHAnsi"/>
          <w:spacing w:val="-4"/>
        </w:rPr>
        <w:t xml:space="preserve"> </w:t>
      </w:r>
      <w:r w:rsidRPr="00472E31">
        <w:rPr>
          <w:rFonts w:asciiTheme="minorHAnsi" w:hAnsiTheme="minorHAnsi" w:cstheme="minorHAnsi"/>
        </w:rPr>
        <w:t>Services</w:t>
      </w:r>
      <w:r w:rsidRPr="00472E31">
        <w:rPr>
          <w:rFonts w:asciiTheme="minorHAnsi" w:hAnsiTheme="minorHAnsi" w:cstheme="minorHAnsi"/>
          <w:spacing w:val="-2"/>
        </w:rPr>
        <w:t xml:space="preserve"> </w:t>
      </w:r>
      <w:r w:rsidRPr="00472E31">
        <w:rPr>
          <w:rFonts w:asciiTheme="minorHAnsi" w:hAnsiTheme="minorHAnsi" w:cstheme="minorHAnsi"/>
        </w:rPr>
        <w:t>has</w:t>
      </w:r>
      <w:r w:rsidRPr="00472E31">
        <w:rPr>
          <w:rFonts w:asciiTheme="minorHAnsi" w:hAnsiTheme="minorHAnsi" w:cstheme="minorHAnsi"/>
          <w:spacing w:val="-7"/>
        </w:rPr>
        <w:t xml:space="preserve"> </w:t>
      </w:r>
      <w:r w:rsidRPr="00472E31">
        <w:rPr>
          <w:rFonts w:asciiTheme="minorHAnsi" w:hAnsiTheme="minorHAnsi" w:cstheme="minorHAnsi"/>
        </w:rPr>
        <w:t>overall</w:t>
      </w:r>
      <w:r w:rsidRPr="00472E31">
        <w:rPr>
          <w:rFonts w:asciiTheme="minorHAnsi" w:hAnsiTheme="minorHAnsi" w:cstheme="minorHAnsi"/>
          <w:spacing w:val="-5"/>
        </w:rPr>
        <w:t xml:space="preserve"> </w:t>
      </w:r>
      <w:r w:rsidRPr="00472E31">
        <w:rPr>
          <w:rFonts w:asciiTheme="minorHAnsi" w:hAnsiTheme="minorHAnsi" w:cstheme="minorHAnsi"/>
        </w:rPr>
        <w:t>responsibility</w:t>
      </w:r>
      <w:r w:rsidRPr="00472E31">
        <w:rPr>
          <w:rFonts w:asciiTheme="minorHAnsi" w:hAnsiTheme="minorHAnsi" w:cstheme="minorHAnsi"/>
          <w:spacing w:val="-1"/>
        </w:rPr>
        <w:t xml:space="preserve"> </w:t>
      </w:r>
      <w:r w:rsidRPr="00472E31">
        <w:rPr>
          <w:rFonts w:asciiTheme="minorHAnsi" w:hAnsiTheme="minorHAnsi" w:cstheme="minorHAnsi"/>
        </w:rPr>
        <w:t>for</w:t>
      </w:r>
      <w:r w:rsidRPr="00472E31">
        <w:rPr>
          <w:rFonts w:asciiTheme="minorHAnsi" w:hAnsiTheme="minorHAnsi" w:cstheme="minorHAnsi"/>
          <w:spacing w:val="-4"/>
        </w:rPr>
        <w:t xml:space="preserve"> </w:t>
      </w:r>
      <w:r w:rsidRPr="00472E31">
        <w:rPr>
          <w:rFonts w:asciiTheme="minorHAnsi" w:hAnsiTheme="minorHAnsi" w:cstheme="minorHAnsi"/>
        </w:rPr>
        <w:t>the</w:t>
      </w:r>
      <w:r w:rsidRPr="00472E31">
        <w:rPr>
          <w:rFonts w:asciiTheme="minorHAnsi" w:hAnsiTheme="minorHAnsi" w:cstheme="minorHAnsi"/>
          <w:spacing w:val="-4"/>
        </w:rPr>
        <w:t xml:space="preserve"> </w:t>
      </w:r>
      <w:r w:rsidRPr="00472E31">
        <w:rPr>
          <w:rFonts w:asciiTheme="minorHAnsi" w:hAnsiTheme="minorHAnsi" w:cstheme="minorHAnsi"/>
        </w:rPr>
        <w:t>delivery</w:t>
      </w:r>
      <w:r w:rsidRPr="00472E31">
        <w:rPr>
          <w:rFonts w:asciiTheme="minorHAnsi" w:hAnsiTheme="minorHAnsi" w:cstheme="minorHAnsi"/>
          <w:spacing w:val="-3"/>
        </w:rPr>
        <w:t xml:space="preserve"> </w:t>
      </w:r>
      <w:r w:rsidRPr="00472E31">
        <w:rPr>
          <w:rFonts w:asciiTheme="minorHAnsi" w:hAnsiTheme="minorHAnsi" w:cstheme="minorHAnsi"/>
        </w:rPr>
        <w:t>of</w:t>
      </w:r>
      <w:r w:rsidRPr="00472E31">
        <w:rPr>
          <w:rFonts w:asciiTheme="minorHAnsi" w:hAnsiTheme="minorHAnsi" w:cstheme="minorHAnsi"/>
          <w:spacing w:val="-4"/>
        </w:rPr>
        <w:t xml:space="preserve"> </w:t>
      </w:r>
      <w:r w:rsidRPr="00472E31">
        <w:rPr>
          <w:rFonts w:asciiTheme="minorHAnsi" w:hAnsiTheme="minorHAnsi" w:cstheme="minorHAnsi"/>
        </w:rPr>
        <w:t>the</w:t>
      </w:r>
      <w:r w:rsidRPr="00472E31">
        <w:rPr>
          <w:rFonts w:asciiTheme="minorHAnsi" w:hAnsiTheme="minorHAnsi" w:cstheme="minorHAnsi"/>
          <w:spacing w:val="-4"/>
        </w:rPr>
        <w:t xml:space="preserve"> </w:t>
      </w:r>
      <w:r w:rsidRPr="00472E31">
        <w:rPr>
          <w:rFonts w:asciiTheme="minorHAnsi" w:hAnsiTheme="minorHAnsi" w:cstheme="minorHAnsi"/>
        </w:rPr>
        <w:t>objectives of this policy, including compliance with all relevant</w:t>
      </w:r>
      <w:r w:rsidRPr="00472E31">
        <w:rPr>
          <w:rFonts w:asciiTheme="minorHAnsi" w:hAnsiTheme="minorHAnsi" w:cstheme="minorHAnsi"/>
          <w:spacing w:val="-25"/>
        </w:rPr>
        <w:t xml:space="preserve"> </w:t>
      </w:r>
      <w:r w:rsidRPr="00472E31">
        <w:rPr>
          <w:rFonts w:asciiTheme="minorHAnsi" w:hAnsiTheme="minorHAnsi" w:cstheme="minorHAnsi"/>
        </w:rPr>
        <w:t>legislation.</w:t>
      </w:r>
    </w:p>
    <w:p w14:paraId="665C66AF" w14:textId="77777777" w:rsidR="00472E31" w:rsidRPr="00604FC0" w:rsidRDefault="00472E31" w:rsidP="00604FC0">
      <w:pPr>
        <w:spacing w:after="0"/>
        <w:rPr>
          <w:b/>
        </w:rPr>
      </w:pPr>
      <w:r w:rsidRPr="00604FC0">
        <w:rPr>
          <w:b/>
        </w:rPr>
        <w:t>Guidelines</w:t>
      </w:r>
    </w:p>
    <w:p w14:paraId="01DC45FB" w14:textId="50C887D5" w:rsidR="00472E31" w:rsidRPr="00472E31" w:rsidRDefault="00472E31" w:rsidP="00604FC0">
      <w:pPr>
        <w:pStyle w:val="BodyText"/>
        <w:spacing w:after="200" w:line="259" w:lineRule="auto"/>
        <w:ind w:left="0" w:right="113"/>
        <w:jc w:val="both"/>
        <w:rPr>
          <w:rFonts w:asciiTheme="minorHAnsi" w:hAnsiTheme="minorHAnsi" w:cstheme="minorHAnsi"/>
        </w:rPr>
      </w:pPr>
      <w:r w:rsidRPr="00472E31">
        <w:rPr>
          <w:rFonts w:asciiTheme="minorHAnsi" w:hAnsiTheme="minorHAnsi" w:cstheme="minorHAnsi"/>
        </w:rPr>
        <w:t>Corporate</w:t>
      </w:r>
      <w:r w:rsidRPr="00472E31">
        <w:rPr>
          <w:rFonts w:asciiTheme="minorHAnsi" w:hAnsiTheme="minorHAnsi" w:cstheme="minorHAnsi"/>
          <w:spacing w:val="-13"/>
        </w:rPr>
        <w:t xml:space="preserve"> </w:t>
      </w:r>
      <w:r w:rsidRPr="00472E31">
        <w:rPr>
          <w:rFonts w:asciiTheme="minorHAnsi" w:hAnsiTheme="minorHAnsi" w:cstheme="minorHAnsi"/>
        </w:rPr>
        <w:t>Services</w:t>
      </w:r>
      <w:r w:rsidRPr="00472E31">
        <w:rPr>
          <w:rFonts w:asciiTheme="minorHAnsi" w:hAnsiTheme="minorHAnsi" w:cstheme="minorHAnsi"/>
          <w:spacing w:val="-14"/>
        </w:rPr>
        <w:t xml:space="preserve"> </w:t>
      </w:r>
      <w:r w:rsidRPr="00472E31">
        <w:rPr>
          <w:rFonts w:asciiTheme="minorHAnsi" w:hAnsiTheme="minorHAnsi" w:cstheme="minorHAnsi"/>
        </w:rPr>
        <w:t>is</w:t>
      </w:r>
      <w:r w:rsidRPr="00472E31">
        <w:rPr>
          <w:rFonts w:asciiTheme="minorHAnsi" w:hAnsiTheme="minorHAnsi" w:cstheme="minorHAnsi"/>
          <w:spacing w:val="-14"/>
        </w:rPr>
        <w:t xml:space="preserve"> </w:t>
      </w:r>
      <w:r w:rsidRPr="00472E31">
        <w:rPr>
          <w:rFonts w:asciiTheme="minorHAnsi" w:hAnsiTheme="minorHAnsi" w:cstheme="minorHAnsi"/>
        </w:rPr>
        <w:t>responsible</w:t>
      </w:r>
      <w:r w:rsidRPr="00472E31">
        <w:rPr>
          <w:rFonts w:asciiTheme="minorHAnsi" w:hAnsiTheme="minorHAnsi" w:cstheme="minorHAnsi"/>
          <w:spacing w:val="-13"/>
        </w:rPr>
        <w:t xml:space="preserve"> </w:t>
      </w:r>
      <w:r w:rsidRPr="00472E31">
        <w:rPr>
          <w:rFonts w:asciiTheme="minorHAnsi" w:hAnsiTheme="minorHAnsi" w:cstheme="minorHAnsi"/>
        </w:rPr>
        <w:t>for</w:t>
      </w:r>
      <w:r w:rsidRPr="00472E31">
        <w:rPr>
          <w:rFonts w:asciiTheme="minorHAnsi" w:hAnsiTheme="minorHAnsi" w:cstheme="minorHAnsi"/>
          <w:spacing w:val="-16"/>
        </w:rPr>
        <w:t xml:space="preserve"> </w:t>
      </w:r>
      <w:r w:rsidRPr="00472E31">
        <w:rPr>
          <w:rFonts w:asciiTheme="minorHAnsi" w:hAnsiTheme="minorHAnsi" w:cstheme="minorHAnsi"/>
        </w:rPr>
        <w:t>the</w:t>
      </w:r>
      <w:r w:rsidRPr="00472E31">
        <w:rPr>
          <w:rFonts w:asciiTheme="minorHAnsi" w:hAnsiTheme="minorHAnsi" w:cstheme="minorHAnsi"/>
          <w:spacing w:val="-13"/>
        </w:rPr>
        <w:t xml:space="preserve"> </w:t>
      </w:r>
      <w:r w:rsidRPr="00472E31">
        <w:rPr>
          <w:rFonts w:asciiTheme="minorHAnsi" w:hAnsiTheme="minorHAnsi" w:cstheme="minorHAnsi"/>
        </w:rPr>
        <w:t>management</w:t>
      </w:r>
      <w:r w:rsidRPr="00472E31">
        <w:rPr>
          <w:rFonts w:asciiTheme="minorHAnsi" w:hAnsiTheme="minorHAnsi" w:cstheme="minorHAnsi"/>
          <w:spacing w:val="-16"/>
        </w:rPr>
        <w:t xml:space="preserve"> </w:t>
      </w:r>
      <w:r w:rsidRPr="00472E31">
        <w:rPr>
          <w:rFonts w:asciiTheme="minorHAnsi" w:hAnsiTheme="minorHAnsi" w:cstheme="minorHAnsi"/>
        </w:rPr>
        <w:t>of</w:t>
      </w:r>
      <w:r w:rsidRPr="00472E31">
        <w:rPr>
          <w:rFonts w:asciiTheme="minorHAnsi" w:hAnsiTheme="minorHAnsi" w:cstheme="minorHAnsi"/>
          <w:spacing w:val="-14"/>
        </w:rPr>
        <w:t xml:space="preserve"> </w:t>
      </w:r>
      <w:r w:rsidRPr="00472E31">
        <w:rPr>
          <w:rFonts w:asciiTheme="minorHAnsi" w:hAnsiTheme="minorHAnsi" w:cstheme="minorHAnsi"/>
        </w:rPr>
        <w:t>enquiries</w:t>
      </w:r>
      <w:r w:rsidRPr="00472E31">
        <w:rPr>
          <w:rFonts w:asciiTheme="minorHAnsi" w:hAnsiTheme="minorHAnsi" w:cstheme="minorHAnsi"/>
          <w:spacing w:val="-14"/>
        </w:rPr>
        <w:t xml:space="preserve"> </w:t>
      </w:r>
      <w:r w:rsidRPr="00472E31">
        <w:rPr>
          <w:rFonts w:asciiTheme="minorHAnsi" w:hAnsiTheme="minorHAnsi" w:cstheme="minorHAnsi"/>
        </w:rPr>
        <w:t>and</w:t>
      </w:r>
      <w:r w:rsidRPr="00472E31">
        <w:rPr>
          <w:rFonts w:asciiTheme="minorHAnsi" w:hAnsiTheme="minorHAnsi" w:cstheme="minorHAnsi"/>
          <w:spacing w:val="-15"/>
        </w:rPr>
        <w:t xml:space="preserve"> </w:t>
      </w:r>
      <w:r w:rsidRPr="00472E31">
        <w:rPr>
          <w:rFonts w:asciiTheme="minorHAnsi" w:hAnsiTheme="minorHAnsi" w:cstheme="minorHAnsi"/>
        </w:rPr>
        <w:t>the</w:t>
      </w:r>
      <w:r w:rsidRPr="00472E31">
        <w:rPr>
          <w:rFonts w:asciiTheme="minorHAnsi" w:hAnsiTheme="minorHAnsi" w:cstheme="minorHAnsi"/>
          <w:spacing w:val="-13"/>
        </w:rPr>
        <w:t xml:space="preserve"> </w:t>
      </w:r>
      <w:r w:rsidRPr="00472E31">
        <w:rPr>
          <w:rFonts w:asciiTheme="minorHAnsi" w:hAnsiTheme="minorHAnsi" w:cstheme="minorHAnsi"/>
        </w:rPr>
        <w:t>processing of new applications. Approval of financial hardship applications will be approved by the Chief Executive Officer, or delegate, under Delegation DA14 Rates and Service Charges</w:t>
      </w:r>
      <w:r w:rsidRPr="00472E31">
        <w:rPr>
          <w:rFonts w:asciiTheme="minorHAnsi" w:hAnsiTheme="minorHAnsi" w:cstheme="minorHAnsi"/>
          <w:spacing w:val="-33"/>
        </w:rPr>
        <w:t xml:space="preserve"> </w:t>
      </w:r>
      <w:r w:rsidRPr="00472E31">
        <w:rPr>
          <w:rFonts w:asciiTheme="minorHAnsi" w:hAnsiTheme="minorHAnsi" w:cstheme="minorHAnsi"/>
        </w:rPr>
        <w:t>Agreements.</w:t>
      </w:r>
    </w:p>
    <w:p w14:paraId="7A757211" w14:textId="04A53BFF" w:rsidR="00472E31" w:rsidRPr="00472E31" w:rsidRDefault="00472E31" w:rsidP="00EA2651">
      <w:pPr>
        <w:spacing w:line="257" w:lineRule="auto"/>
        <w:ind w:right="119"/>
        <w:jc w:val="both"/>
        <w:rPr>
          <w:rFonts w:cstheme="minorHAnsi"/>
          <w:b/>
          <w:i/>
        </w:rPr>
      </w:pPr>
      <w:r w:rsidRPr="00472E31">
        <w:rPr>
          <w:rFonts w:cstheme="minorHAnsi"/>
          <w:b/>
          <w:i/>
        </w:rPr>
        <w:t>This Policy has been developed in response to the COVID-19 Health Pandemic</w:t>
      </w:r>
      <w:r w:rsidR="001D2965">
        <w:rPr>
          <w:rFonts w:cstheme="minorHAnsi"/>
          <w:b/>
          <w:i/>
        </w:rPr>
        <w:t xml:space="preserve">. This policy will be reviewed and put for endorsement on a </w:t>
      </w:r>
      <w:proofErr w:type="gramStart"/>
      <w:r w:rsidR="001D2965">
        <w:rPr>
          <w:rFonts w:cstheme="minorHAnsi"/>
          <w:b/>
          <w:i/>
        </w:rPr>
        <w:t>year to year</w:t>
      </w:r>
      <w:proofErr w:type="gramEnd"/>
      <w:r w:rsidR="001D2965">
        <w:rPr>
          <w:rFonts w:cstheme="minorHAnsi"/>
          <w:b/>
          <w:i/>
        </w:rPr>
        <w:t xml:space="preserve"> basis.</w:t>
      </w:r>
    </w:p>
    <w:p w14:paraId="06A5E5C0" w14:textId="3F7A4373" w:rsidR="00472E31" w:rsidRPr="00472E31" w:rsidRDefault="00472E31" w:rsidP="00EA2651">
      <w:pPr>
        <w:ind w:right="119"/>
        <w:jc w:val="both"/>
      </w:pPr>
      <w:r w:rsidRPr="00472E31">
        <w:t>All adjustments to the rates levied will be managed by the</w:t>
      </w:r>
      <w:r w:rsidR="001D2965">
        <w:t xml:space="preserve"> Corporate Services</w:t>
      </w:r>
      <w:r w:rsidRPr="00472E31">
        <w:t xml:space="preserve"> team.</w:t>
      </w:r>
    </w:p>
    <w:p w14:paraId="256BACA0" w14:textId="77777777" w:rsidR="00472E31" w:rsidRPr="00604FC0" w:rsidRDefault="00472E31" w:rsidP="00EA2651">
      <w:pPr>
        <w:spacing w:after="0"/>
        <w:ind w:right="119"/>
        <w:jc w:val="both"/>
        <w:rPr>
          <w:b/>
        </w:rPr>
      </w:pPr>
      <w:r w:rsidRPr="00604FC0">
        <w:rPr>
          <w:b/>
        </w:rPr>
        <w:lastRenderedPageBreak/>
        <w:t>Key Stakeholders</w:t>
      </w:r>
    </w:p>
    <w:p w14:paraId="2ECA409B" w14:textId="77777777" w:rsidR="00472E31" w:rsidRPr="00472E31" w:rsidRDefault="00472E31" w:rsidP="00EA2651">
      <w:pPr>
        <w:ind w:right="119"/>
        <w:jc w:val="both"/>
      </w:pPr>
      <w:r w:rsidRPr="00472E31">
        <w:t>N/A</w:t>
      </w:r>
    </w:p>
    <w:p w14:paraId="201D42EB" w14:textId="77777777" w:rsidR="00472E31" w:rsidRPr="00604FC0" w:rsidRDefault="00472E31" w:rsidP="00EA2651">
      <w:pPr>
        <w:spacing w:after="0"/>
        <w:ind w:right="119"/>
        <w:jc w:val="both"/>
        <w:rPr>
          <w:b/>
        </w:rPr>
      </w:pPr>
      <w:r w:rsidRPr="00604FC0">
        <w:rPr>
          <w:b/>
        </w:rPr>
        <w:t>Monitoring and Evaluation</w:t>
      </w:r>
    </w:p>
    <w:p w14:paraId="1D9CE539" w14:textId="77777777" w:rsidR="00472E31" w:rsidRPr="00472E31" w:rsidRDefault="00472E31" w:rsidP="00EA2651">
      <w:pPr>
        <w:ind w:right="119"/>
        <w:jc w:val="both"/>
      </w:pPr>
      <w:r w:rsidRPr="00472E31">
        <w:t>Applications received for consideration of a rates concession will be assessed against this policy criteria to ensure consistency across all requests.</w:t>
      </w:r>
    </w:p>
    <w:p w14:paraId="271289DC" w14:textId="77777777" w:rsidR="00472E31" w:rsidRPr="00604FC0" w:rsidRDefault="00472E31" w:rsidP="00EA2651">
      <w:pPr>
        <w:spacing w:after="0"/>
        <w:ind w:right="119"/>
        <w:jc w:val="both"/>
        <w:rPr>
          <w:b/>
        </w:rPr>
      </w:pPr>
      <w:r w:rsidRPr="00604FC0">
        <w:rPr>
          <w:b/>
        </w:rPr>
        <w:t>Definitions</w:t>
      </w:r>
    </w:p>
    <w:p w14:paraId="0D3F81B6" w14:textId="73AF2F51" w:rsidR="00472E31" w:rsidRPr="00472E31" w:rsidRDefault="00472E31" w:rsidP="00EA2651">
      <w:pPr>
        <w:ind w:right="119"/>
        <w:jc w:val="both"/>
      </w:pPr>
      <w:r w:rsidRPr="00472E31">
        <w:rPr>
          <w:i/>
        </w:rPr>
        <w:t xml:space="preserve">A </w:t>
      </w:r>
      <w:proofErr w:type="gramStart"/>
      <w:r w:rsidRPr="00472E31">
        <w:rPr>
          <w:i/>
        </w:rPr>
        <w:t>Not for Profit</w:t>
      </w:r>
      <w:proofErr w:type="gramEnd"/>
      <w:r w:rsidRPr="00472E31">
        <w:rPr>
          <w:i/>
        </w:rPr>
        <w:t xml:space="preserve"> Organisation or Incorporated Association</w:t>
      </w:r>
      <w:r w:rsidRPr="00472E31">
        <w:rPr>
          <w:b/>
        </w:rPr>
        <w:t xml:space="preserve"> </w:t>
      </w:r>
      <w:r w:rsidRPr="00472E31">
        <w:t>is an organisation that incorporates in its objectives and constitution that it does not make a profit which is distributed to the directors or principals but is only distributed for the purpose of the continued operation of the organisation. An Association is incorporated under the Association</w:t>
      </w:r>
      <w:r w:rsidR="00822598">
        <w:t>s</w:t>
      </w:r>
      <w:r w:rsidRPr="00472E31">
        <w:t xml:space="preserve"> Incorporat</w:t>
      </w:r>
      <w:r w:rsidR="001D2965">
        <w:t>ion Act 2015</w:t>
      </w:r>
      <w:r w:rsidRPr="00472E31">
        <w:t>.</w:t>
      </w:r>
    </w:p>
    <w:p w14:paraId="585FCCDA" w14:textId="0E64FD17" w:rsidR="00472E31" w:rsidRPr="00472E31" w:rsidRDefault="00472E31" w:rsidP="00EA2651">
      <w:pPr>
        <w:ind w:right="119"/>
        <w:jc w:val="both"/>
      </w:pPr>
      <w:r w:rsidRPr="00472E31">
        <w:rPr>
          <w:i/>
        </w:rPr>
        <w:t>Property owner suffering hardship</w:t>
      </w:r>
      <w:r w:rsidRPr="00472E31">
        <w:rPr>
          <w:b/>
        </w:rPr>
        <w:t xml:space="preserve"> </w:t>
      </w:r>
      <w:r w:rsidRPr="00472E31">
        <w:t>is a person in a situation of vulnerability</w:t>
      </w:r>
      <w:r w:rsidR="001D2965">
        <w:t>,</w:t>
      </w:r>
      <w:r w:rsidRPr="00472E31">
        <w:t xml:space="preserve"> may have low income or, </w:t>
      </w:r>
      <w:proofErr w:type="gramStart"/>
      <w:r w:rsidRPr="00472E31">
        <w:t>as a result of</w:t>
      </w:r>
      <w:proofErr w:type="gramEnd"/>
      <w:r w:rsidRPr="00472E31">
        <w:t xml:space="preserve"> their circumstances, be experiencing a financial shock, leading to difficulties in paying rates by the due date. This can take the form of ‘payment difficulties’ or ‘financial hardship’.</w:t>
      </w:r>
    </w:p>
    <w:p w14:paraId="6E42A7B3" w14:textId="77777777" w:rsidR="00472E31" w:rsidRPr="00472E31" w:rsidRDefault="00472E31" w:rsidP="00604FC0">
      <w:pPr>
        <w:rPr>
          <w:sz w:val="20"/>
        </w:rPr>
      </w:pPr>
    </w:p>
    <w:p w14:paraId="0E287C6F" w14:textId="77777777" w:rsidR="00472E31" w:rsidRPr="00472E31" w:rsidRDefault="00472E31" w:rsidP="00472E31">
      <w:pPr>
        <w:pStyle w:val="BodyText"/>
        <w:spacing w:before="1"/>
        <w:rPr>
          <w:rFonts w:asciiTheme="minorHAnsi" w:hAnsiTheme="minorHAnsi" w:cstheme="minorHAnsi"/>
          <w:sz w:val="20"/>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7"/>
        <w:gridCol w:w="5760"/>
      </w:tblGrid>
      <w:tr w:rsidR="00472E31" w:rsidRPr="00472E31" w14:paraId="2D55AFC7" w14:textId="77777777" w:rsidTr="00472E31">
        <w:trPr>
          <w:trHeight w:hRule="exact" w:val="319"/>
        </w:trPr>
        <w:tc>
          <w:tcPr>
            <w:tcW w:w="3257" w:type="dxa"/>
          </w:tcPr>
          <w:p w14:paraId="423A7249" w14:textId="77777777" w:rsidR="00472E31" w:rsidRPr="00472E31" w:rsidRDefault="00472E31" w:rsidP="00604FC0">
            <w:pPr>
              <w:pStyle w:val="TableParagraph"/>
              <w:spacing w:before="1"/>
              <w:ind w:left="164"/>
              <w:rPr>
                <w:rFonts w:asciiTheme="minorHAnsi" w:hAnsiTheme="minorHAnsi" w:cstheme="minorHAnsi"/>
                <w:b/>
              </w:rPr>
            </w:pPr>
            <w:r w:rsidRPr="00472E31">
              <w:rPr>
                <w:rFonts w:asciiTheme="minorHAnsi" w:hAnsiTheme="minorHAnsi" w:cstheme="minorHAnsi"/>
                <w:b/>
              </w:rPr>
              <w:t>Responsible Directorate:</w:t>
            </w:r>
          </w:p>
        </w:tc>
        <w:tc>
          <w:tcPr>
            <w:tcW w:w="5760" w:type="dxa"/>
          </w:tcPr>
          <w:p w14:paraId="573F2AB1" w14:textId="77777777" w:rsidR="00472E31" w:rsidRPr="00472E31" w:rsidRDefault="00472E31" w:rsidP="00472E31">
            <w:pPr>
              <w:pStyle w:val="TableParagraph"/>
              <w:spacing w:before="1"/>
              <w:ind w:left="169"/>
              <w:rPr>
                <w:rFonts w:asciiTheme="minorHAnsi" w:hAnsiTheme="minorHAnsi" w:cstheme="minorHAnsi"/>
              </w:rPr>
            </w:pPr>
            <w:r w:rsidRPr="00472E31">
              <w:rPr>
                <w:rFonts w:asciiTheme="minorHAnsi" w:hAnsiTheme="minorHAnsi" w:cstheme="minorHAnsi"/>
              </w:rPr>
              <w:t>Executive Manager Corporate Services</w:t>
            </w:r>
          </w:p>
        </w:tc>
      </w:tr>
      <w:tr w:rsidR="00472E31" w:rsidRPr="00472E31" w14:paraId="4B728B35" w14:textId="77777777" w:rsidTr="00472E31">
        <w:trPr>
          <w:trHeight w:hRule="exact" w:val="319"/>
        </w:trPr>
        <w:tc>
          <w:tcPr>
            <w:tcW w:w="3257" w:type="dxa"/>
          </w:tcPr>
          <w:p w14:paraId="4B453936" w14:textId="77777777" w:rsidR="00472E31" w:rsidRPr="00472E31" w:rsidRDefault="00472E31" w:rsidP="00604FC0">
            <w:pPr>
              <w:pStyle w:val="TableParagraph"/>
              <w:spacing w:line="268" w:lineRule="exact"/>
              <w:ind w:left="164"/>
              <w:rPr>
                <w:rFonts w:asciiTheme="minorHAnsi" w:hAnsiTheme="minorHAnsi" w:cstheme="minorHAnsi"/>
                <w:b/>
              </w:rPr>
            </w:pPr>
            <w:r w:rsidRPr="00472E31">
              <w:rPr>
                <w:rFonts w:asciiTheme="minorHAnsi" w:hAnsiTheme="minorHAnsi" w:cstheme="minorHAnsi"/>
                <w:b/>
              </w:rPr>
              <w:t>Reviewing Officer:</w:t>
            </w:r>
          </w:p>
        </w:tc>
        <w:tc>
          <w:tcPr>
            <w:tcW w:w="5760" w:type="dxa"/>
          </w:tcPr>
          <w:p w14:paraId="39B0B73E" w14:textId="77777777" w:rsidR="00472E31" w:rsidRPr="00472E31" w:rsidRDefault="00472E31" w:rsidP="00472E31">
            <w:pPr>
              <w:pStyle w:val="TableParagraph"/>
              <w:spacing w:line="268" w:lineRule="exact"/>
              <w:ind w:left="169"/>
              <w:rPr>
                <w:rFonts w:asciiTheme="minorHAnsi" w:hAnsiTheme="minorHAnsi" w:cstheme="minorHAnsi"/>
              </w:rPr>
            </w:pPr>
            <w:r w:rsidRPr="00472E31">
              <w:rPr>
                <w:rFonts w:asciiTheme="minorHAnsi" w:hAnsiTheme="minorHAnsi" w:cstheme="minorHAnsi"/>
              </w:rPr>
              <w:t>Chief Executive Officer</w:t>
            </w:r>
          </w:p>
        </w:tc>
      </w:tr>
      <w:tr w:rsidR="00472E31" w:rsidRPr="00472E31" w14:paraId="1A61B9E0" w14:textId="77777777" w:rsidTr="00472E31">
        <w:trPr>
          <w:trHeight w:hRule="exact" w:val="319"/>
        </w:trPr>
        <w:tc>
          <w:tcPr>
            <w:tcW w:w="3257" w:type="dxa"/>
          </w:tcPr>
          <w:p w14:paraId="04534740" w14:textId="77777777" w:rsidR="00472E31" w:rsidRPr="00472E31" w:rsidRDefault="00472E31" w:rsidP="00604FC0">
            <w:pPr>
              <w:pStyle w:val="TableParagraph"/>
              <w:spacing w:line="268" w:lineRule="exact"/>
              <w:ind w:left="164"/>
              <w:rPr>
                <w:rFonts w:asciiTheme="minorHAnsi" w:hAnsiTheme="minorHAnsi" w:cstheme="minorHAnsi"/>
                <w:b/>
              </w:rPr>
            </w:pPr>
            <w:r w:rsidRPr="00472E31">
              <w:rPr>
                <w:rFonts w:asciiTheme="minorHAnsi" w:hAnsiTheme="minorHAnsi" w:cstheme="minorHAnsi"/>
                <w:b/>
              </w:rPr>
              <w:t>Decision making Authority:</w:t>
            </w:r>
          </w:p>
        </w:tc>
        <w:tc>
          <w:tcPr>
            <w:tcW w:w="5760" w:type="dxa"/>
          </w:tcPr>
          <w:p w14:paraId="09E1114F" w14:textId="77777777" w:rsidR="00472E31" w:rsidRPr="00472E31" w:rsidRDefault="00472E31" w:rsidP="00472E31">
            <w:pPr>
              <w:pStyle w:val="TableParagraph"/>
              <w:spacing w:line="268" w:lineRule="exact"/>
              <w:ind w:left="169"/>
              <w:rPr>
                <w:rFonts w:asciiTheme="minorHAnsi" w:hAnsiTheme="minorHAnsi" w:cstheme="minorHAnsi"/>
              </w:rPr>
            </w:pPr>
            <w:r w:rsidRPr="00472E31">
              <w:rPr>
                <w:rFonts w:asciiTheme="minorHAnsi" w:hAnsiTheme="minorHAnsi" w:cstheme="minorHAnsi"/>
              </w:rPr>
              <w:t>Council</w:t>
            </w:r>
          </w:p>
        </w:tc>
      </w:tr>
      <w:tr w:rsidR="00472E31" w:rsidRPr="00472E31" w14:paraId="3E033EC7" w14:textId="77777777" w:rsidTr="00472E31">
        <w:trPr>
          <w:trHeight w:hRule="exact" w:val="319"/>
        </w:trPr>
        <w:tc>
          <w:tcPr>
            <w:tcW w:w="3257" w:type="dxa"/>
          </w:tcPr>
          <w:p w14:paraId="3224865D" w14:textId="77777777" w:rsidR="00472E31" w:rsidRPr="00472E31" w:rsidRDefault="00472E31" w:rsidP="00604FC0">
            <w:pPr>
              <w:pStyle w:val="TableParagraph"/>
              <w:spacing w:line="268" w:lineRule="exact"/>
              <w:ind w:left="164"/>
              <w:rPr>
                <w:rFonts w:asciiTheme="minorHAnsi" w:hAnsiTheme="minorHAnsi" w:cstheme="minorHAnsi"/>
                <w:b/>
              </w:rPr>
            </w:pPr>
            <w:r w:rsidRPr="00472E31">
              <w:rPr>
                <w:rFonts w:asciiTheme="minorHAnsi" w:hAnsiTheme="minorHAnsi" w:cstheme="minorHAnsi"/>
                <w:b/>
              </w:rPr>
              <w:t>Policy Adopted:</w:t>
            </w:r>
          </w:p>
        </w:tc>
        <w:tc>
          <w:tcPr>
            <w:tcW w:w="5760" w:type="dxa"/>
          </w:tcPr>
          <w:p w14:paraId="3E437C45" w14:textId="77777777" w:rsidR="00472E31" w:rsidRPr="00472E31" w:rsidRDefault="00472E31" w:rsidP="00472E31">
            <w:pPr>
              <w:ind w:left="169"/>
              <w:rPr>
                <w:rFonts w:cstheme="minorHAnsi"/>
              </w:rPr>
            </w:pPr>
            <w:r w:rsidRPr="00472E31">
              <w:rPr>
                <w:rFonts w:cstheme="minorHAnsi"/>
              </w:rPr>
              <w:t>16/06/20</w:t>
            </w:r>
          </w:p>
        </w:tc>
      </w:tr>
      <w:tr w:rsidR="00472E31" w:rsidRPr="00472E31" w14:paraId="797E8133" w14:textId="77777777" w:rsidTr="00472E31">
        <w:trPr>
          <w:trHeight w:hRule="exact" w:val="319"/>
        </w:trPr>
        <w:tc>
          <w:tcPr>
            <w:tcW w:w="3257" w:type="dxa"/>
          </w:tcPr>
          <w:p w14:paraId="1D8C3EB9" w14:textId="77777777" w:rsidR="00472E31" w:rsidRPr="00472E31" w:rsidRDefault="00472E31" w:rsidP="00604FC0">
            <w:pPr>
              <w:pStyle w:val="TableParagraph"/>
              <w:spacing w:line="268" w:lineRule="exact"/>
              <w:ind w:left="164"/>
              <w:rPr>
                <w:rFonts w:asciiTheme="minorHAnsi" w:hAnsiTheme="minorHAnsi" w:cstheme="minorHAnsi"/>
                <w:b/>
              </w:rPr>
            </w:pPr>
            <w:r w:rsidRPr="00472E31">
              <w:rPr>
                <w:rFonts w:asciiTheme="minorHAnsi" w:hAnsiTheme="minorHAnsi" w:cstheme="minorHAnsi"/>
                <w:b/>
              </w:rPr>
              <w:t>Policy Amended/Reviewed:</w:t>
            </w:r>
          </w:p>
        </w:tc>
        <w:tc>
          <w:tcPr>
            <w:tcW w:w="5760" w:type="dxa"/>
          </w:tcPr>
          <w:p w14:paraId="284EFE4C" w14:textId="6E89BBF2" w:rsidR="00472E31" w:rsidRPr="00472E31" w:rsidRDefault="001D2965" w:rsidP="001D2965">
            <w:pPr>
              <w:ind w:left="169"/>
              <w:rPr>
                <w:rFonts w:cstheme="minorHAnsi"/>
              </w:rPr>
            </w:pPr>
            <w:r>
              <w:rPr>
                <w:rFonts w:cstheme="minorHAnsi"/>
              </w:rPr>
              <w:t>19/7/22</w:t>
            </w:r>
          </w:p>
        </w:tc>
      </w:tr>
    </w:tbl>
    <w:p w14:paraId="052F6855" w14:textId="77777777" w:rsidR="00472E31" w:rsidRPr="00472E31" w:rsidRDefault="00472E31" w:rsidP="00472E31">
      <w:pPr>
        <w:rPr>
          <w:rFonts w:cstheme="minorHAnsi"/>
        </w:rPr>
      </w:pPr>
    </w:p>
    <w:p w14:paraId="06C24073" w14:textId="77777777" w:rsidR="00604FC0" w:rsidRDefault="00604FC0">
      <w:pPr>
        <w:rPr>
          <w:rFonts w:cstheme="minorHAnsi"/>
          <w:lang w:val="en-US"/>
        </w:rPr>
      </w:pPr>
      <w:r>
        <w:rPr>
          <w:rFonts w:cstheme="minorHAnsi"/>
          <w:lang w:val="en-US"/>
        </w:rPr>
        <w:br w:type="page"/>
      </w:r>
    </w:p>
    <w:p w14:paraId="652F3EC3" w14:textId="79F848C8" w:rsidR="00604FC0" w:rsidRDefault="00F23DE3" w:rsidP="00604FC0">
      <w:pPr>
        <w:pStyle w:val="Policy3"/>
        <w:spacing w:afterLines="80" w:after="192"/>
        <w:jc w:val="right"/>
      </w:pPr>
      <w:bookmarkStart w:id="348" w:name="_Toc44321084"/>
      <w:bookmarkStart w:id="349" w:name="_Toc44321662"/>
      <w:bookmarkStart w:id="350" w:name="_Toc44321882"/>
      <w:bookmarkStart w:id="351" w:name="_Toc46914949"/>
      <w:bookmarkStart w:id="352" w:name="_Toc51860072"/>
      <w:bookmarkStart w:id="353" w:name="_Toc54342061"/>
      <w:bookmarkStart w:id="354" w:name="_Toc56677038"/>
      <w:bookmarkStart w:id="355" w:name="_Toc58574976"/>
      <w:bookmarkStart w:id="356" w:name="_Toc59458412"/>
      <w:bookmarkStart w:id="357" w:name="_Toc64995019"/>
      <w:bookmarkStart w:id="358" w:name="_Toc66971654"/>
      <w:bookmarkStart w:id="359" w:name="_Toc66971907"/>
      <w:bookmarkStart w:id="360" w:name="_Toc70498529"/>
      <w:bookmarkStart w:id="361" w:name="_Toc70499135"/>
      <w:bookmarkStart w:id="362" w:name="_Toc70499457"/>
      <w:bookmarkStart w:id="363" w:name="_Toc72940288"/>
      <w:bookmarkStart w:id="364" w:name="_Toc73715656"/>
      <w:bookmarkStart w:id="365" w:name="_Toc78453278"/>
      <w:bookmarkStart w:id="366" w:name="_Toc78453521"/>
      <w:bookmarkStart w:id="367" w:name="_Toc80268866"/>
      <w:bookmarkStart w:id="368" w:name="_Toc83368045"/>
      <w:bookmarkStart w:id="369" w:name="_Toc85793408"/>
      <w:bookmarkStart w:id="370" w:name="_Toc87531447"/>
      <w:bookmarkStart w:id="371" w:name="_Toc109732956"/>
      <w:bookmarkStart w:id="372" w:name="_Toc163201265"/>
      <w:bookmarkStart w:id="373" w:name="_Toc164255685"/>
      <w:bookmarkStart w:id="374" w:name="_Toc188617021"/>
      <w:bookmarkStart w:id="375" w:name="_Toc204612807"/>
      <w:bookmarkStart w:id="376" w:name="_Toc214980860"/>
      <w:bookmarkStart w:id="377" w:name="_Toc216866694"/>
      <w:r>
        <w:rPr>
          <w:noProof/>
          <w:lang w:eastAsia="en-AU"/>
        </w:rPr>
        <w:lastRenderedPageBreak/>
        <w:drawing>
          <wp:anchor distT="0" distB="0" distL="114300" distR="114300" simplePos="0" relativeHeight="251639808" behindDoc="1" locked="0" layoutInCell="1" allowOverlap="1" wp14:anchorId="3E55F5CB" wp14:editId="5A4D2C23">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6087A783" w14:textId="77777777" w:rsidR="00604FC0" w:rsidRDefault="00604FC0" w:rsidP="00604FC0">
      <w:pPr>
        <w:pStyle w:val="Policy3"/>
        <w:spacing w:afterLines="80" w:after="192"/>
        <w:jc w:val="right"/>
      </w:pPr>
    </w:p>
    <w:p w14:paraId="25395815" w14:textId="77777777" w:rsidR="00F23DE3" w:rsidRDefault="00F23DE3" w:rsidP="001D6410">
      <w:pPr>
        <w:pStyle w:val="Policy3"/>
      </w:pPr>
    </w:p>
    <w:p w14:paraId="053FC55E" w14:textId="77777777" w:rsidR="00F23DE3" w:rsidRDefault="00F23DE3" w:rsidP="001D6410">
      <w:pPr>
        <w:pStyle w:val="Policy3"/>
      </w:pPr>
    </w:p>
    <w:p w14:paraId="4F324347" w14:textId="23F4E69C" w:rsidR="00604FC0" w:rsidRPr="001D6410" w:rsidRDefault="00604FC0" w:rsidP="001D6410">
      <w:pPr>
        <w:pStyle w:val="Policy3"/>
      </w:pPr>
      <w:bookmarkStart w:id="378" w:name="_Toc216866695"/>
      <w:r w:rsidRPr="001D6410">
        <w:t>2.1.17</w:t>
      </w:r>
      <w:r w:rsidRPr="001D6410">
        <w:tab/>
        <w:t>Pensioners and Seniors Rebates Eligibility</w:t>
      </w:r>
      <w:bookmarkEnd w:id="378"/>
    </w:p>
    <w:tbl>
      <w:tblPr>
        <w:tblStyle w:val="TableGrid"/>
        <w:tblW w:w="9067" w:type="dxa"/>
        <w:tblLook w:val="04A0" w:firstRow="1" w:lastRow="0" w:firstColumn="1" w:lastColumn="0" w:noHBand="0" w:noVBand="1"/>
      </w:tblPr>
      <w:tblGrid>
        <w:gridCol w:w="3114"/>
        <w:gridCol w:w="5953"/>
      </w:tblGrid>
      <w:tr w:rsidR="00604FC0" w:rsidRPr="00B640E1" w14:paraId="5A9C89D0" w14:textId="77777777" w:rsidTr="00C7267C">
        <w:trPr>
          <w:trHeight w:val="248"/>
        </w:trPr>
        <w:tc>
          <w:tcPr>
            <w:tcW w:w="3114" w:type="dxa"/>
          </w:tcPr>
          <w:p w14:paraId="564BC9D7" w14:textId="77777777" w:rsidR="00604FC0" w:rsidRPr="00B640E1" w:rsidRDefault="00604FC0" w:rsidP="00C7267C">
            <w:pPr>
              <w:jc w:val="both"/>
              <w:rPr>
                <w:rFonts w:cstheme="minorHAnsi"/>
                <w:b/>
                <w:lang w:val="en-US"/>
              </w:rPr>
            </w:pPr>
            <w:r w:rsidRPr="00B640E1">
              <w:rPr>
                <w:rFonts w:cstheme="minorHAnsi"/>
                <w:b/>
                <w:lang w:val="en-US"/>
              </w:rPr>
              <w:t>Type:</w:t>
            </w:r>
          </w:p>
        </w:tc>
        <w:tc>
          <w:tcPr>
            <w:tcW w:w="5953" w:type="dxa"/>
          </w:tcPr>
          <w:p w14:paraId="348B2F26" w14:textId="77777777" w:rsidR="00604FC0" w:rsidRPr="00B640E1" w:rsidRDefault="00604FC0" w:rsidP="00C7267C">
            <w:pPr>
              <w:jc w:val="both"/>
              <w:rPr>
                <w:rFonts w:cstheme="minorHAnsi"/>
                <w:lang w:val="en-US"/>
              </w:rPr>
            </w:pPr>
            <w:r>
              <w:rPr>
                <w:rFonts w:cstheme="minorHAnsi"/>
                <w:lang w:val="en-US"/>
              </w:rPr>
              <w:t xml:space="preserve">Corporate Services </w:t>
            </w:r>
          </w:p>
        </w:tc>
      </w:tr>
      <w:tr w:rsidR="00604FC0" w:rsidRPr="00B640E1" w14:paraId="0A7C55FA" w14:textId="77777777" w:rsidTr="00C7267C">
        <w:trPr>
          <w:trHeight w:val="263"/>
        </w:trPr>
        <w:tc>
          <w:tcPr>
            <w:tcW w:w="3114" w:type="dxa"/>
          </w:tcPr>
          <w:p w14:paraId="425FD591" w14:textId="77777777" w:rsidR="00604FC0" w:rsidRPr="00B640E1" w:rsidRDefault="00604FC0" w:rsidP="00C7267C">
            <w:pPr>
              <w:jc w:val="both"/>
              <w:rPr>
                <w:rFonts w:cstheme="minorHAnsi"/>
                <w:b/>
                <w:lang w:val="en-US"/>
              </w:rPr>
            </w:pPr>
            <w:r w:rsidRPr="00B640E1">
              <w:rPr>
                <w:rFonts w:cstheme="minorHAnsi"/>
                <w:b/>
                <w:lang w:val="en-US"/>
              </w:rPr>
              <w:t>Legislation:</w:t>
            </w:r>
          </w:p>
        </w:tc>
        <w:tc>
          <w:tcPr>
            <w:tcW w:w="5953" w:type="dxa"/>
          </w:tcPr>
          <w:p w14:paraId="7190EFD1" w14:textId="77777777" w:rsidR="00604FC0" w:rsidRDefault="00604FC0" w:rsidP="00C7267C">
            <w:pPr>
              <w:jc w:val="both"/>
              <w:rPr>
                <w:rFonts w:cstheme="minorHAnsi"/>
                <w:lang w:val="en-US"/>
              </w:rPr>
            </w:pPr>
            <w:r w:rsidRPr="00B640E1">
              <w:rPr>
                <w:rFonts w:cstheme="minorHAnsi"/>
                <w:lang w:val="en-US"/>
              </w:rPr>
              <w:t xml:space="preserve">Local Government Act 1995 </w:t>
            </w:r>
          </w:p>
          <w:p w14:paraId="604D2474" w14:textId="77777777" w:rsidR="00604FC0" w:rsidRPr="00B640E1" w:rsidRDefault="00604FC0" w:rsidP="00C7267C">
            <w:pPr>
              <w:jc w:val="both"/>
              <w:rPr>
                <w:rFonts w:cstheme="minorHAnsi"/>
                <w:lang w:val="en-US"/>
              </w:rPr>
            </w:pPr>
            <w:r w:rsidRPr="001B0E58">
              <w:rPr>
                <w:rFonts w:cstheme="minorHAnsi"/>
              </w:rPr>
              <w:t>Rates and Charges (Rebates and Deferments) Act 1992</w:t>
            </w:r>
          </w:p>
        </w:tc>
      </w:tr>
      <w:tr w:rsidR="00604FC0" w:rsidRPr="00B640E1" w14:paraId="60D0F3B9" w14:textId="77777777" w:rsidTr="00C7267C">
        <w:trPr>
          <w:trHeight w:val="251"/>
        </w:trPr>
        <w:tc>
          <w:tcPr>
            <w:tcW w:w="3114" w:type="dxa"/>
          </w:tcPr>
          <w:p w14:paraId="5EFB1782" w14:textId="77777777" w:rsidR="00604FC0" w:rsidRPr="00B640E1" w:rsidRDefault="00604FC0" w:rsidP="00C7267C">
            <w:pPr>
              <w:jc w:val="both"/>
              <w:rPr>
                <w:rFonts w:cstheme="minorHAnsi"/>
                <w:b/>
                <w:lang w:val="en-US"/>
              </w:rPr>
            </w:pPr>
            <w:r w:rsidRPr="00B640E1">
              <w:rPr>
                <w:rFonts w:cstheme="minorHAnsi"/>
                <w:b/>
                <w:lang w:val="en-US"/>
              </w:rPr>
              <w:t>Delegation:</w:t>
            </w:r>
          </w:p>
        </w:tc>
        <w:tc>
          <w:tcPr>
            <w:tcW w:w="5953" w:type="dxa"/>
          </w:tcPr>
          <w:p w14:paraId="61C1BF33" w14:textId="77777777" w:rsidR="00604FC0" w:rsidRPr="00B640E1" w:rsidRDefault="00604FC0" w:rsidP="00C7267C">
            <w:pPr>
              <w:jc w:val="both"/>
              <w:rPr>
                <w:rFonts w:cstheme="minorHAnsi"/>
                <w:lang w:val="en-US"/>
              </w:rPr>
            </w:pPr>
          </w:p>
        </w:tc>
      </w:tr>
      <w:tr w:rsidR="00604FC0" w:rsidRPr="00B640E1" w14:paraId="3AD5D41D" w14:textId="77777777" w:rsidTr="00C7267C">
        <w:trPr>
          <w:trHeight w:val="248"/>
        </w:trPr>
        <w:tc>
          <w:tcPr>
            <w:tcW w:w="3114" w:type="dxa"/>
          </w:tcPr>
          <w:p w14:paraId="4B22E523" w14:textId="77777777" w:rsidR="00604FC0" w:rsidRPr="00B640E1" w:rsidRDefault="00604FC0" w:rsidP="00C7267C">
            <w:pPr>
              <w:jc w:val="both"/>
              <w:rPr>
                <w:rFonts w:cstheme="minorHAnsi"/>
                <w:b/>
                <w:lang w:val="en-US"/>
              </w:rPr>
            </w:pPr>
            <w:r w:rsidRPr="00B640E1">
              <w:rPr>
                <w:rFonts w:cstheme="minorHAnsi"/>
                <w:b/>
                <w:lang w:val="en-US"/>
              </w:rPr>
              <w:t>Other Related Document:</w:t>
            </w:r>
          </w:p>
        </w:tc>
        <w:tc>
          <w:tcPr>
            <w:tcW w:w="5953" w:type="dxa"/>
          </w:tcPr>
          <w:p w14:paraId="14BD3CE5" w14:textId="07FEBF50" w:rsidR="00604FC0" w:rsidRPr="00B640E1" w:rsidRDefault="00604FC0" w:rsidP="00C7267C">
            <w:pPr>
              <w:jc w:val="both"/>
              <w:rPr>
                <w:rFonts w:cstheme="minorHAnsi"/>
                <w:lang w:val="en-US"/>
              </w:rPr>
            </w:pPr>
            <w:r>
              <w:rPr>
                <w:rFonts w:cstheme="minorHAnsi"/>
                <w:lang w:val="en-US"/>
              </w:rPr>
              <w:t>Strategic Community Plan 20</w:t>
            </w:r>
            <w:r w:rsidR="00761E47">
              <w:rPr>
                <w:rFonts w:cstheme="minorHAnsi"/>
                <w:lang w:val="en-US"/>
              </w:rPr>
              <w:t>20</w:t>
            </w:r>
            <w:r>
              <w:rPr>
                <w:rFonts w:cstheme="minorHAnsi"/>
                <w:lang w:val="en-US"/>
              </w:rPr>
              <w:t>-20</w:t>
            </w:r>
            <w:r w:rsidR="00761E47">
              <w:rPr>
                <w:rFonts w:cstheme="minorHAnsi"/>
                <w:lang w:val="en-US"/>
              </w:rPr>
              <w:t>30</w:t>
            </w:r>
          </w:p>
        </w:tc>
      </w:tr>
    </w:tbl>
    <w:p w14:paraId="38373BD8" w14:textId="77777777" w:rsidR="00604FC0" w:rsidRPr="00832CA2" w:rsidRDefault="00604FC0" w:rsidP="00604FC0">
      <w:pPr>
        <w:spacing w:before="240" w:after="0" w:line="240" w:lineRule="auto"/>
        <w:jc w:val="both"/>
        <w:rPr>
          <w:b/>
          <w:sz w:val="28"/>
          <w:szCs w:val="28"/>
          <w:lang w:val="en-US"/>
        </w:rPr>
      </w:pPr>
      <w:r w:rsidRPr="00832CA2">
        <w:rPr>
          <w:b/>
          <w:sz w:val="28"/>
          <w:szCs w:val="28"/>
          <w:lang w:val="en-US"/>
        </w:rPr>
        <w:t>Objective</w:t>
      </w:r>
    </w:p>
    <w:p w14:paraId="39FFA91B" w14:textId="77777777" w:rsidR="00604FC0" w:rsidRPr="001B0E58" w:rsidRDefault="00604FC0" w:rsidP="00604FC0">
      <w:pPr>
        <w:jc w:val="both"/>
      </w:pPr>
      <w:r w:rsidRPr="001B0E58">
        <w:t xml:space="preserve">This Policy will </w:t>
      </w:r>
      <w:r>
        <w:t xml:space="preserve">assist Corporate Services in </w:t>
      </w:r>
      <w:r w:rsidRPr="001B0E58">
        <w:t xml:space="preserve">its administrative processes relative to the provisions of </w:t>
      </w:r>
      <w:r>
        <w:t>t</w:t>
      </w:r>
      <w:r w:rsidRPr="001B0E58">
        <w:t xml:space="preserve">he </w:t>
      </w:r>
      <w:r>
        <w:t>Pensioner</w:t>
      </w:r>
      <w:r w:rsidRPr="001B0E58">
        <w:t xml:space="preserve"> and </w:t>
      </w:r>
      <w:r>
        <w:t xml:space="preserve">Senior </w:t>
      </w:r>
      <w:r w:rsidRPr="001B0E58">
        <w:t xml:space="preserve">Concessions Scheme. This Scheme provides </w:t>
      </w:r>
      <w:r>
        <w:t>Pensioners</w:t>
      </w:r>
      <w:r w:rsidRPr="001B0E58">
        <w:t xml:space="preserve"> and </w:t>
      </w:r>
      <w:r>
        <w:t xml:space="preserve">Seniors </w:t>
      </w:r>
      <w:r w:rsidRPr="001B0E58">
        <w:t xml:space="preserve">with a rebate or deferment of their </w:t>
      </w:r>
      <w:r>
        <w:t xml:space="preserve">Local Government Rates </w:t>
      </w:r>
      <w:r w:rsidRPr="001B0E58">
        <w:t xml:space="preserve">and </w:t>
      </w:r>
      <w:r>
        <w:t>E</w:t>
      </w:r>
      <w:r w:rsidRPr="001B0E58">
        <w:t xml:space="preserve">mergency </w:t>
      </w:r>
      <w:r>
        <w:t>S</w:t>
      </w:r>
      <w:r w:rsidRPr="001B0E58">
        <w:t xml:space="preserve">ervice </w:t>
      </w:r>
      <w:r>
        <w:t>L</w:t>
      </w:r>
      <w:r w:rsidRPr="001B0E58">
        <w:t xml:space="preserve">evy charges.  </w:t>
      </w:r>
    </w:p>
    <w:p w14:paraId="20075045" w14:textId="77777777" w:rsidR="00604FC0" w:rsidRDefault="00604FC0" w:rsidP="00604FC0">
      <w:pPr>
        <w:spacing w:before="200" w:after="0" w:line="240" w:lineRule="auto"/>
        <w:jc w:val="both"/>
        <w:rPr>
          <w:b/>
          <w:sz w:val="28"/>
          <w:szCs w:val="28"/>
          <w:lang w:val="en-US"/>
        </w:rPr>
      </w:pPr>
      <w:r w:rsidRPr="00832CA2">
        <w:rPr>
          <w:b/>
          <w:sz w:val="28"/>
          <w:szCs w:val="28"/>
          <w:lang w:val="en-US"/>
        </w:rPr>
        <w:t>Policy Scope</w:t>
      </w:r>
    </w:p>
    <w:p w14:paraId="539F2A47" w14:textId="77777777" w:rsidR="00604FC0" w:rsidRDefault="00604FC0" w:rsidP="00604FC0">
      <w:pPr>
        <w:jc w:val="both"/>
      </w:pPr>
      <w:r w:rsidRPr="0082134F">
        <w:t xml:space="preserve">Rebates granted to </w:t>
      </w:r>
      <w:r>
        <w:t>Pensioners</w:t>
      </w:r>
      <w:r w:rsidRPr="0082134F">
        <w:t xml:space="preserve"> and </w:t>
      </w:r>
      <w:r>
        <w:t>Seniors</w:t>
      </w:r>
      <w:r w:rsidRPr="0082134F">
        <w:t xml:space="preserve"> under the </w:t>
      </w:r>
      <w:r w:rsidRPr="004F68F8">
        <w:rPr>
          <w:i/>
        </w:rPr>
        <w:t>Rates and Charges (Rebates and Deferments) Act 1992</w:t>
      </w:r>
      <w:r w:rsidRPr="0082134F">
        <w:t xml:space="preserve"> are funded by the Government of Western Australia. Eligible </w:t>
      </w:r>
      <w:r>
        <w:t>Pensioners</w:t>
      </w:r>
      <w:r w:rsidRPr="0082134F">
        <w:t xml:space="preserve"> and </w:t>
      </w:r>
      <w:r>
        <w:t>Seniors</w:t>
      </w:r>
      <w:r w:rsidRPr="0082134F">
        <w:t xml:space="preserve"> can either obtain a rebate on, or defer, their </w:t>
      </w:r>
      <w:r>
        <w:t xml:space="preserve">Local Government Rates </w:t>
      </w:r>
      <w:r w:rsidRPr="0082134F">
        <w:t xml:space="preserve">and their </w:t>
      </w:r>
      <w:r>
        <w:t>E</w:t>
      </w:r>
      <w:r w:rsidRPr="0082134F">
        <w:t xml:space="preserve">mergency </w:t>
      </w:r>
      <w:r>
        <w:t>Se</w:t>
      </w:r>
      <w:r w:rsidRPr="0082134F">
        <w:t xml:space="preserve">rvice </w:t>
      </w:r>
      <w:r>
        <w:t>L</w:t>
      </w:r>
      <w:r w:rsidRPr="0082134F">
        <w:t xml:space="preserve">evy charge. </w:t>
      </w:r>
    </w:p>
    <w:p w14:paraId="1C25BD03" w14:textId="0266E452" w:rsidR="00604FC0" w:rsidRPr="0082134F" w:rsidRDefault="00604FC0" w:rsidP="00604FC0">
      <w:pPr>
        <w:spacing w:before="200"/>
        <w:jc w:val="both"/>
      </w:pPr>
      <w:r w:rsidRPr="0082134F">
        <w:t xml:space="preserve">Rebates only apply to </w:t>
      </w:r>
      <w:r>
        <w:t xml:space="preserve">Local Government Rates </w:t>
      </w:r>
      <w:r w:rsidRPr="0082134F">
        <w:t>and</w:t>
      </w:r>
      <w:r>
        <w:t xml:space="preserve"> the</w:t>
      </w:r>
      <w:r w:rsidRPr="0082134F">
        <w:t xml:space="preserve"> Emergency Service Levy</w:t>
      </w:r>
      <w:r>
        <w:t xml:space="preserve"> charge. </w:t>
      </w:r>
      <w:r w:rsidRPr="0082134F">
        <w:t>All other service charges must be paid in full by the due date. The amount of the</w:t>
      </w:r>
      <w:r>
        <w:t xml:space="preserve"> rebate </w:t>
      </w:r>
      <w:r w:rsidRPr="0082134F">
        <w:t>depends on the type of concession an applicant holds.</w:t>
      </w:r>
    </w:p>
    <w:p w14:paraId="6ED0E00C" w14:textId="77777777" w:rsidR="00604FC0" w:rsidRDefault="00604FC0" w:rsidP="00604FC0">
      <w:pPr>
        <w:spacing w:after="0" w:line="240" w:lineRule="auto"/>
        <w:jc w:val="both"/>
        <w:rPr>
          <w:b/>
          <w:sz w:val="28"/>
          <w:szCs w:val="28"/>
          <w:lang w:val="en-US"/>
        </w:rPr>
      </w:pPr>
      <w:r>
        <w:rPr>
          <w:b/>
          <w:sz w:val="28"/>
          <w:szCs w:val="28"/>
          <w:lang w:val="en-US"/>
        </w:rPr>
        <w:t>Policy</w:t>
      </w:r>
    </w:p>
    <w:p w14:paraId="5E3022E5" w14:textId="7AE7213A" w:rsidR="00604FC0" w:rsidRDefault="00604FC0" w:rsidP="00604FC0">
      <w:pPr>
        <w:spacing w:afterLines="80" w:after="192"/>
        <w:jc w:val="both"/>
      </w:pPr>
      <w:r>
        <w:t>The rebate of Local Government Rates and E</w:t>
      </w:r>
      <w:r w:rsidRPr="001B0E58">
        <w:t xml:space="preserve">mergency </w:t>
      </w:r>
      <w:r>
        <w:t>S</w:t>
      </w:r>
      <w:r w:rsidRPr="001B0E58">
        <w:t xml:space="preserve">ervice </w:t>
      </w:r>
      <w:r>
        <w:t>L</w:t>
      </w:r>
      <w:r w:rsidRPr="001B0E58">
        <w:t>evy charge</w:t>
      </w:r>
      <w:r>
        <w:t xml:space="preserve"> shall be applied in accordance with the Pensioners</w:t>
      </w:r>
      <w:r w:rsidRPr="001B0E58">
        <w:t xml:space="preserve"> and </w:t>
      </w:r>
      <w:r>
        <w:t xml:space="preserve">Seniors </w:t>
      </w:r>
      <w:r w:rsidRPr="001B0E58">
        <w:t>Concessions Scheme</w:t>
      </w:r>
      <w:r>
        <w:t>, with a result that i</w:t>
      </w:r>
      <w:r w:rsidRPr="0082134F">
        <w:t xml:space="preserve">f </w:t>
      </w:r>
      <w:r>
        <w:t xml:space="preserve">an applicant is </w:t>
      </w:r>
      <w:r w:rsidRPr="0082134F">
        <w:t xml:space="preserve">a </w:t>
      </w:r>
      <w:r>
        <w:t>P</w:t>
      </w:r>
      <w:r w:rsidRPr="0082134F">
        <w:t xml:space="preserve">ensioner or </w:t>
      </w:r>
      <w:r>
        <w:t>S</w:t>
      </w:r>
      <w:r w:rsidRPr="0082134F">
        <w:t xml:space="preserve">enior, </w:t>
      </w:r>
      <w:r>
        <w:t>they</w:t>
      </w:r>
      <w:r w:rsidRPr="0082134F">
        <w:t xml:space="preserve"> can apply to receive a rebate or concession on charges for </w:t>
      </w:r>
      <w:r>
        <w:t xml:space="preserve">Local Government Rates </w:t>
      </w:r>
      <w:r w:rsidRPr="0082134F">
        <w:t xml:space="preserve">and </w:t>
      </w:r>
      <w:r w:rsidR="00761E47">
        <w:t>Emergency Service</w:t>
      </w:r>
      <w:r>
        <w:t xml:space="preserve"> charges.</w:t>
      </w:r>
    </w:p>
    <w:p w14:paraId="77B792D0" w14:textId="77777777" w:rsidR="00604FC0" w:rsidRPr="00246C08" w:rsidRDefault="00604FC0" w:rsidP="00604FC0">
      <w:pPr>
        <w:spacing w:after="0" w:line="240" w:lineRule="auto"/>
        <w:jc w:val="both"/>
        <w:rPr>
          <w:b/>
          <w:lang w:val="en-US"/>
        </w:rPr>
      </w:pPr>
      <w:r w:rsidRPr="00246C08">
        <w:rPr>
          <w:b/>
          <w:lang w:val="en-US"/>
        </w:rPr>
        <w:t>Eligible Property Owners</w:t>
      </w:r>
    </w:p>
    <w:p w14:paraId="58883DC8" w14:textId="77777777" w:rsidR="00604FC0" w:rsidRPr="009C6494" w:rsidRDefault="00604FC0" w:rsidP="00604FC0">
      <w:pPr>
        <w:spacing w:after="120"/>
        <w:jc w:val="both"/>
      </w:pPr>
      <w:r w:rsidRPr="009C6494">
        <w:t>The Eligibility Crit</w:t>
      </w:r>
      <w:r>
        <w:t>eria for rebates are as follows:</w:t>
      </w:r>
    </w:p>
    <w:p w14:paraId="7DB7042F" w14:textId="735D2285" w:rsidR="00604FC0" w:rsidRPr="009C6494" w:rsidRDefault="00604FC0" w:rsidP="002A3889">
      <w:pPr>
        <w:numPr>
          <w:ilvl w:val="0"/>
          <w:numId w:val="440"/>
        </w:numPr>
        <w:spacing w:after="0"/>
        <w:ind w:left="426" w:hanging="426"/>
        <w:jc w:val="both"/>
      </w:pPr>
      <w:r w:rsidRPr="009C6494">
        <w:t>The applicant</w:t>
      </w:r>
      <w:r w:rsidR="00761E47">
        <w:t>(s)</w:t>
      </w:r>
      <w:r w:rsidRPr="009C6494">
        <w:t xml:space="preserve"> must own and reside in the property on 1 July of the rating year.</w:t>
      </w:r>
    </w:p>
    <w:p w14:paraId="712879CE" w14:textId="77777777" w:rsidR="00604FC0" w:rsidRPr="009C6494" w:rsidRDefault="00604FC0" w:rsidP="002A3889">
      <w:pPr>
        <w:numPr>
          <w:ilvl w:val="0"/>
          <w:numId w:val="440"/>
        </w:numPr>
        <w:spacing w:after="0"/>
        <w:ind w:left="426" w:hanging="426"/>
        <w:jc w:val="both"/>
      </w:pPr>
      <w:r w:rsidRPr="009C6494">
        <w:t xml:space="preserve">There must be no rates in arrears from a previous financial year unless a payment arrangement has been </w:t>
      </w:r>
      <w:proofErr w:type="gramStart"/>
      <w:r w:rsidRPr="009C6494">
        <w:t>entered into</w:t>
      </w:r>
      <w:proofErr w:type="gramEnd"/>
      <w:r w:rsidRPr="009C6494">
        <w:t xml:space="preserve">.  </w:t>
      </w:r>
    </w:p>
    <w:p w14:paraId="38D5C20E" w14:textId="62E48852" w:rsidR="00604FC0" w:rsidRPr="009C6494" w:rsidRDefault="00604FC0" w:rsidP="002A3889">
      <w:pPr>
        <w:numPr>
          <w:ilvl w:val="0"/>
          <w:numId w:val="440"/>
        </w:numPr>
        <w:spacing w:after="0"/>
        <w:ind w:left="426" w:hanging="426"/>
        <w:jc w:val="both"/>
      </w:pPr>
      <w:r w:rsidRPr="009C6494">
        <w:t xml:space="preserve">If </w:t>
      </w:r>
      <w:r>
        <w:t xml:space="preserve">the applicant is </w:t>
      </w:r>
      <w:r w:rsidRPr="009C6494">
        <w:t xml:space="preserve">a Pensioner, </w:t>
      </w:r>
      <w:r>
        <w:t>they</w:t>
      </w:r>
      <w:r w:rsidRPr="009C6494">
        <w:t xml:space="preserve"> must hold a current Pensioner Concession card.</w:t>
      </w:r>
    </w:p>
    <w:p w14:paraId="7B82746A" w14:textId="121032D3" w:rsidR="00604FC0" w:rsidRPr="009C6494" w:rsidRDefault="00604FC0" w:rsidP="002A3889">
      <w:pPr>
        <w:numPr>
          <w:ilvl w:val="0"/>
          <w:numId w:val="440"/>
        </w:numPr>
        <w:spacing w:after="0"/>
        <w:ind w:left="426" w:hanging="426"/>
        <w:jc w:val="both"/>
      </w:pPr>
      <w:r>
        <w:t xml:space="preserve">An applicant </w:t>
      </w:r>
      <w:r w:rsidRPr="009C6494">
        <w:t xml:space="preserve">in receipt of both a </w:t>
      </w:r>
      <w:r>
        <w:t>Seniors</w:t>
      </w:r>
      <w:r w:rsidRPr="009C6494">
        <w:t xml:space="preserve"> card issued by the Department </w:t>
      </w:r>
      <w:r w:rsidR="00761E47">
        <w:t xml:space="preserve">of </w:t>
      </w:r>
      <w:r w:rsidRPr="009C6494">
        <w:t xml:space="preserve">Communities and a Commonwealth </w:t>
      </w:r>
      <w:r>
        <w:t>Seniors</w:t>
      </w:r>
      <w:r w:rsidRPr="009C6494">
        <w:t xml:space="preserve"> Health Card </w:t>
      </w:r>
      <w:r>
        <w:t xml:space="preserve">has </w:t>
      </w:r>
      <w:r w:rsidRPr="009C6494">
        <w:t>the same entitlements as a Pensioner.</w:t>
      </w:r>
    </w:p>
    <w:p w14:paraId="56B904D6" w14:textId="77777777" w:rsidR="00604FC0" w:rsidRPr="009C6494" w:rsidRDefault="00604FC0" w:rsidP="002A3889">
      <w:pPr>
        <w:numPr>
          <w:ilvl w:val="0"/>
          <w:numId w:val="440"/>
        </w:numPr>
        <w:ind w:left="425" w:hanging="425"/>
        <w:jc w:val="both"/>
      </w:pPr>
      <w:proofErr w:type="gramStart"/>
      <w:r>
        <w:t>A</w:t>
      </w:r>
      <w:r w:rsidRPr="009C6494">
        <w:t xml:space="preserve"> Senior,</w:t>
      </w:r>
      <w:proofErr w:type="gramEnd"/>
      <w:r>
        <w:t xml:space="preserve"> </w:t>
      </w:r>
      <w:r w:rsidRPr="009C6494">
        <w:t xml:space="preserve">must hold a current </w:t>
      </w:r>
      <w:r>
        <w:t xml:space="preserve">Seniors </w:t>
      </w:r>
      <w:r w:rsidRPr="009C6494">
        <w:t>card issued by the Department of Communities.</w:t>
      </w:r>
    </w:p>
    <w:p w14:paraId="12FB692D" w14:textId="77777777" w:rsidR="00604FC0" w:rsidRPr="004F68F8" w:rsidRDefault="00604FC0" w:rsidP="00604FC0">
      <w:pPr>
        <w:spacing w:after="0" w:line="240" w:lineRule="auto"/>
        <w:jc w:val="both"/>
        <w:rPr>
          <w:b/>
        </w:rPr>
      </w:pPr>
      <w:r w:rsidRPr="00246C08">
        <w:rPr>
          <w:i/>
        </w:rPr>
        <w:t>To own means an applicant must</w:t>
      </w:r>
      <w:r w:rsidRPr="004F68F8">
        <w:rPr>
          <w:b/>
        </w:rPr>
        <w:t>:</w:t>
      </w:r>
    </w:p>
    <w:p w14:paraId="51FE983F" w14:textId="77777777" w:rsidR="00604FC0" w:rsidRPr="0082134F" w:rsidRDefault="00604FC0" w:rsidP="002A3889">
      <w:pPr>
        <w:pStyle w:val="ListParagraph"/>
        <w:numPr>
          <w:ilvl w:val="0"/>
          <w:numId w:val="436"/>
        </w:numPr>
        <w:spacing w:afterLines="80" w:after="192"/>
        <w:ind w:left="425" w:hanging="425"/>
        <w:jc w:val="both"/>
      </w:pPr>
      <w:r w:rsidRPr="0082134F">
        <w:t>be the registered owner or co-owner of the property on the Certificate of Title (where the property</w:t>
      </w:r>
      <w:r>
        <w:t xml:space="preserve"> </w:t>
      </w:r>
      <w:r w:rsidRPr="0082134F">
        <w:t>is co-</w:t>
      </w:r>
      <w:proofErr w:type="gramStart"/>
      <w:r w:rsidRPr="0082134F">
        <w:t>owned</w:t>
      </w:r>
      <w:proofErr w:type="gramEnd"/>
      <w:r w:rsidRPr="0082134F">
        <w:t xml:space="preserve"> a partial concession may apply)</w:t>
      </w:r>
      <w:r>
        <w:t>,</w:t>
      </w:r>
      <w:r w:rsidRPr="0082134F">
        <w:t xml:space="preserve"> or</w:t>
      </w:r>
    </w:p>
    <w:p w14:paraId="2F238BDE" w14:textId="77777777" w:rsidR="00604FC0" w:rsidRPr="0082134F" w:rsidRDefault="00604FC0" w:rsidP="002A3889">
      <w:pPr>
        <w:pStyle w:val="ListParagraph"/>
        <w:numPr>
          <w:ilvl w:val="0"/>
          <w:numId w:val="436"/>
        </w:numPr>
        <w:spacing w:afterLines="80" w:after="192"/>
        <w:ind w:left="425" w:hanging="425"/>
        <w:jc w:val="both"/>
      </w:pPr>
      <w:r w:rsidRPr="0082134F">
        <w:t>have a right to reside or life tenancy at the property under the terms of a Will (probate) and be</w:t>
      </w:r>
      <w:r>
        <w:t xml:space="preserve"> r</w:t>
      </w:r>
      <w:r w:rsidRPr="0082134F">
        <w:t>esponsible for the payment of rates and charges raised against the property</w:t>
      </w:r>
      <w:r>
        <w:t>,</w:t>
      </w:r>
      <w:r w:rsidRPr="0082134F">
        <w:t xml:space="preserve"> or</w:t>
      </w:r>
    </w:p>
    <w:p w14:paraId="01B99B78" w14:textId="77777777" w:rsidR="00604FC0" w:rsidRPr="007879E0" w:rsidRDefault="00604FC0" w:rsidP="002A3889">
      <w:pPr>
        <w:pStyle w:val="ListParagraph"/>
        <w:numPr>
          <w:ilvl w:val="0"/>
          <w:numId w:val="436"/>
        </w:numPr>
        <w:spacing w:afterLines="80" w:after="192"/>
        <w:ind w:left="425" w:hanging="425"/>
        <w:jc w:val="both"/>
      </w:pPr>
      <w:r w:rsidRPr="0082134F">
        <w:lastRenderedPageBreak/>
        <w:t>hold a long-term lease (greater than 5 years) in a retirement village, park home, lifestyle village or</w:t>
      </w:r>
      <w:r>
        <w:t xml:space="preserve"> </w:t>
      </w:r>
      <w:r w:rsidRPr="007879E0">
        <w:t xml:space="preserve">caravan </w:t>
      </w:r>
      <w:r w:rsidRPr="004F68F8">
        <w:t>park</w:t>
      </w:r>
      <w:r w:rsidRPr="007879E0">
        <w:t>.</w:t>
      </w:r>
    </w:p>
    <w:p w14:paraId="488DF993" w14:textId="77777777" w:rsidR="00604FC0" w:rsidRPr="00246C08" w:rsidRDefault="00604FC0" w:rsidP="00604FC0">
      <w:pPr>
        <w:spacing w:after="0" w:line="240" w:lineRule="auto"/>
        <w:jc w:val="both"/>
        <w:rPr>
          <w:b/>
        </w:rPr>
      </w:pPr>
      <w:r w:rsidRPr="00246C08">
        <w:rPr>
          <w:b/>
        </w:rPr>
        <w:t>Entitlement to the Concession</w:t>
      </w:r>
    </w:p>
    <w:p w14:paraId="09AC51FA" w14:textId="77777777" w:rsidR="00604FC0" w:rsidRPr="009C6494" w:rsidRDefault="00604FC0" w:rsidP="00604FC0">
      <w:pPr>
        <w:spacing w:afterLines="80" w:after="192" w:line="240" w:lineRule="auto"/>
        <w:jc w:val="both"/>
      </w:pPr>
      <w:r w:rsidRPr="009C6494">
        <w:t xml:space="preserve">Eligible </w:t>
      </w:r>
      <w:r>
        <w:t>Pensioners</w:t>
      </w:r>
      <w:r w:rsidRPr="009C6494">
        <w:t xml:space="preserve"> and </w:t>
      </w:r>
      <w:r>
        <w:t xml:space="preserve">Seniors </w:t>
      </w:r>
      <w:r w:rsidRPr="009C6494">
        <w:t xml:space="preserve">can either obtain a rebate on, or defer, their </w:t>
      </w:r>
      <w:r>
        <w:t>Local Government Rates and E</w:t>
      </w:r>
      <w:r w:rsidRPr="009C6494">
        <w:t xml:space="preserve">mergency </w:t>
      </w:r>
      <w:r>
        <w:t>S</w:t>
      </w:r>
      <w:r w:rsidRPr="009C6494">
        <w:t xml:space="preserve">ervices </w:t>
      </w:r>
      <w:r>
        <w:t>L</w:t>
      </w:r>
      <w:r w:rsidRPr="009C6494">
        <w:t xml:space="preserve">evy </w:t>
      </w:r>
      <w:r>
        <w:t xml:space="preserve">charge. </w:t>
      </w:r>
      <w:r w:rsidRPr="009C6494">
        <w:t>The amount of the concession depends on the type of concession card an applicant holds:</w:t>
      </w:r>
    </w:p>
    <w:p w14:paraId="32D19892" w14:textId="77777777" w:rsidR="00604FC0" w:rsidRPr="00246C08" w:rsidRDefault="00604FC0" w:rsidP="00604FC0">
      <w:pPr>
        <w:spacing w:after="0" w:line="240" w:lineRule="auto"/>
        <w:jc w:val="both"/>
        <w:rPr>
          <w:u w:val="single"/>
        </w:rPr>
      </w:pPr>
      <w:r w:rsidRPr="00246C08">
        <w:rPr>
          <w:u w:val="single"/>
        </w:rPr>
        <w:t xml:space="preserve">Pensioner Concession Card or State Concession Card </w:t>
      </w:r>
    </w:p>
    <w:p w14:paraId="2DD6EE16" w14:textId="2F1294CB" w:rsidR="00604FC0" w:rsidRPr="009C6494" w:rsidRDefault="00604FC0" w:rsidP="002A3889">
      <w:pPr>
        <w:pStyle w:val="ListParagraph"/>
        <w:numPr>
          <w:ilvl w:val="0"/>
          <w:numId w:val="437"/>
        </w:numPr>
        <w:spacing w:afterLines="80" w:after="192" w:line="240" w:lineRule="auto"/>
        <w:ind w:left="714" w:hanging="357"/>
        <w:jc w:val="both"/>
      </w:pPr>
      <w:r w:rsidRPr="009C6494">
        <w:t xml:space="preserve">Receive up to 50% rebate </w:t>
      </w:r>
      <w:r w:rsidR="00761E47">
        <w:t xml:space="preserve">on Rates </w:t>
      </w:r>
      <w:r w:rsidRPr="009C6494">
        <w:t xml:space="preserve">limited to a maximum (capped) amount </w:t>
      </w:r>
      <w:r w:rsidR="00761E47">
        <w:t>legislated each year</w:t>
      </w:r>
      <w:r w:rsidRPr="009C6494">
        <w:t>.</w:t>
      </w:r>
    </w:p>
    <w:p w14:paraId="29787BB0" w14:textId="2B622841" w:rsidR="00604FC0" w:rsidRPr="009C6494" w:rsidRDefault="00604FC0" w:rsidP="002A3889">
      <w:pPr>
        <w:pStyle w:val="ListParagraph"/>
        <w:numPr>
          <w:ilvl w:val="0"/>
          <w:numId w:val="437"/>
        </w:numPr>
        <w:spacing w:afterLines="80" w:after="192" w:line="240" w:lineRule="auto"/>
        <w:ind w:left="714" w:hanging="357"/>
        <w:jc w:val="both"/>
      </w:pPr>
      <w:r w:rsidRPr="009C6494">
        <w:t xml:space="preserve">The option to defer </w:t>
      </w:r>
      <w:r w:rsidR="00761E47">
        <w:t>R</w:t>
      </w:r>
      <w:r w:rsidRPr="009C6494">
        <w:t xml:space="preserve">ates </w:t>
      </w:r>
      <w:r w:rsidR="00761E47">
        <w:t xml:space="preserve">and Emergency Service Levy </w:t>
      </w:r>
      <w:r w:rsidRPr="009C6494">
        <w:t>may be available if the required criteria is met.</w:t>
      </w:r>
    </w:p>
    <w:p w14:paraId="0E2DE389" w14:textId="3668B1FF" w:rsidR="00604FC0" w:rsidRPr="009C6494" w:rsidRDefault="00604FC0" w:rsidP="002A3889">
      <w:pPr>
        <w:pStyle w:val="ListParagraph"/>
        <w:numPr>
          <w:ilvl w:val="0"/>
          <w:numId w:val="437"/>
        </w:numPr>
        <w:spacing w:afterLines="80" w:after="192" w:line="240" w:lineRule="auto"/>
        <w:ind w:left="714" w:hanging="357"/>
        <w:jc w:val="both"/>
      </w:pPr>
      <w:r w:rsidRPr="009C6494">
        <w:t>Receive a rebate on</w:t>
      </w:r>
      <w:r>
        <w:t xml:space="preserve"> </w:t>
      </w:r>
      <w:r w:rsidR="00761E47">
        <w:t xml:space="preserve">the Emergency Service </w:t>
      </w:r>
      <w:r>
        <w:t xml:space="preserve">charge, </w:t>
      </w:r>
      <w:r w:rsidRPr="009C6494">
        <w:t>limited to a maximum (capped) amount</w:t>
      </w:r>
      <w:r w:rsidR="00761E47">
        <w:t xml:space="preserve"> legislated each year</w:t>
      </w:r>
      <w:r w:rsidRPr="009C6494">
        <w:t>.</w:t>
      </w:r>
    </w:p>
    <w:p w14:paraId="117EB505" w14:textId="77777777" w:rsidR="00604FC0" w:rsidRPr="00246C08" w:rsidRDefault="00604FC0" w:rsidP="00604FC0">
      <w:pPr>
        <w:spacing w:after="0" w:line="240" w:lineRule="auto"/>
        <w:jc w:val="both"/>
        <w:rPr>
          <w:u w:val="single"/>
        </w:rPr>
      </w:pPr>
      <w:r w:rsidRPr="00246C08">
        <w:rPr>
          <w:u w:val="single"/>
        </w:rPr>
        <w:t>WA Seniors Card and Commonwealth Seniors Health Card</w:t>
      </w:r>
    </w:p>
    <w:p w14:paraId="23B7F9D0" w14:textId="5F095E0E" w:rsidR="00761E47" w:rsidRDefault="00761E47" w:rsidP="002A3889">
      <w:pPr>
        <w:pStyle w:val="ListParagraph"/>
        <w:numPr>
          <w:ilvl w:val="0"/>
          <w:numId w:val="438"/>
        </w:numPr>
        <w:spacing w:afterLines="80" w:after="192" w:line="240" w:lineRule="auto"/>
        <w:ind w:left="714" w:hanging="357"/>
        <w:contextualSpacing w:val="0"/>
        <w:jc w:val="both"/>
      </w:pPr>
      <w:r>
        <w:t>Entitlements as provided for above for the Pensioner Concession Card or State Concession Card.</w:t>
      </w:r>
    </w:p>
    <w:p w14:paraId="00DC8656" w14:textId="77777777" w:rsidR="00604FC0" w:rsidRPr="00246C08" w:rsidRDefault="00604FC0" w:rsidP="00604FC0">
      <w:pPr>
        <w:spacing w:after="0" w:line="240" w:lineRule="auto"/>
        <w:jc w:val="both"/>
        <w:rPr>
          <w:u w:val="single"/>
        </w:rPr>
      </w:pPr>
      <w:r w:rsidRPr="00246C08">
        <w:rPr>
          <w:u w:val="single"/>
        </w:rPr>
        <w:t>WA Seniors Card</w:t>
      </w:r>
    </w:p>
    <w:p w14:paraId="271A4DC9" w14:textId="55118BD7" w:rsidR="00604FC0" w:rsidRPr="009C6494" w:rsidRDefault="00604FC0" w:rsidP="002A3889">
      <w:pPr>
        <w:pStyle w:val="ListParagraph"/>
        <w:numPr>
          <w:ilvl w:val="0"/>
          <w:numId w:val="439"/>
        </w:numPr>
        <w:spacing w:afterLines="80" w:after="192" w:line="240" w:lineRule="auto"/>
        <w:ind w:left="714" w:hanging="357"/>
        <w:jc w:val="both"/>
      </w:pPr>
      <w:r w:rsidRPr="009C6494">
        <w:t xml:space="preserve">Receive up to 25% rebate limited to a maximum (capped) amount </w:t>
      </w:r>
      <w:r w:rsidR="005F421C">
        <w:t>legislated each year</w:t>
      </w:r>
      <w:r w:rsidRPr="009C6494">
        <w:t>.</w:t>
      </w:r>
    </w:p>
    <w:p w14:paraId="3726E8DF" w14:textId="77777777" w:rsidR="00604FC0" w:rsidRPr="009C6494" w:rsidRDefault="00604FC0" w:rsidP="002A3889">
      <w:pPr>
        <w:pStyle w:val="ListParagraph"/>
        <w:numPr>
          <w:ilvl w:val="0"/>
          <w:numId w:val="439"/>
        </w:numPr>
        <w:spacing w:afterLines="80" w:after="192" w:line="240" w:lineRule="auto"/>
        <w:ind w:left="714" w:hanging="357"/>
        <w:jc w:val="both"/>
      </w:pPr>
      <w:r w:rsidRPr="009C6494">
        <w:t>There is no option to defer rates.</w:t>
      </w:r>
    </w:p>
    <w:p w14:paraId="6AC0719D" w14:textId="77777777" w:rsidR="00604FC0" w:rsidRPr="00246C08" w:rsidRDefault="00604FC0" w:rsidP="00604FC0">
      <w:pPr>
        <w:spacing w:after="0" w:line="240" w:lineRule="auto"/>
        <w:jc w:val="both"/>
        <w:rPr>
          <w:b/>
          <w:szCs w:val="28"/>
        </w:rPr>
      </w:pPr>
      <w:r w:rsidRPr="00246C08">
        <w:rPr>
          <w:b/>
          <w:szCs w:val="28"/>
        </w:rPr>
        <w:t xml:space="preserve">Rebate or Deferment Option </w:t>
      </w:r>
    </w:p>
    <w:p w14:paraId="12A94AD9" w14:textId="77777777" w:rsidR="00604FC0" w:rsidRPr="00246C08" w:rsidRDefault="00604FC0" w:rsidP="00604FC0">
      <w:pPr>
        <w:spacing w:after="0" w:line="240" w:lineRule="auto"/>
        <w:jc w:val="both"/>
        <w:rPr>
          <w:u w:val="single"/>
        </w:rPr>
      </w:pPr>
      <w:r w:rsidRPr="00246C08">
        <w:rPr>
          <w:u w:val="single"/>
        </w:rPr>
        <w:t xml:space="preserve">Rebate Option </w:t>
      </w:r>
    </w:p>
    <w:p w14:paraId="03A93549" w14:textId="3F17A95A" w:rsidR="00604FC0" w:rsidRDefault="00604FC0" w:rsidP="00604FC0">
      <w:pPr>
        <w:spacing w:afterLines="80" w:after="192" w:line="240" w:lineRule="auto"/>
        <w:jc w:val="both"/>
      </w:pPr>
      <w:r>
        <w:t xml:space="preserve">To claim a rebate, eligible concession </w:t>
      </w:r>
      <w:r w:rsidR="005F421C">
        <w:t>applicants</w:t>
      </w:r>
      <w:r>
        <w:t xml:space="preserve"> will be </w:t>
      </w:r>
      <w:r w:rsidRPr="008B0B68">
        <w:t>required</w:t>
      </w:r>
      <w:r>
        <w:t xml:space="preserve"> to pay the amount due on the rate notice </w:t>
      </w:r>
      <w:r w:rsidRPr="008B0B68">
        <w:t>by 30 June of the current financial year</w:t>
      </w:r>
      <w:r>
        <w:t>.</w:t>
      </w:r>
    </w:p>
    <w:p w14:paraId="0D6DEBD1" w14:textId="0499B81D" w:rsidR="00604FC0" w:rsidRPr="004F68F8" w:rsidRDefault="00604FC0" w:rsidP="00604FC0">
      <w:pPr>
        <w:spacing w:afterLines="80" w:after="192" w:line="240" w:lineRule="auto"/>
        <w:jc w:val="both"/>
      </w:pPr>
      <w:r w:rsidRPr="004F68F8">
        <w:t>If payments are received after the due date</w:t>
      </w:r>
      <w:r w:rsidR="005F421C">
        <w:t xml:space="preserve"> and the applicant only holds a Seniors card,</w:t>
      </w:r>
      <w:r w:rsidRPr="004F68F8">
        <w:t xml:space="preserve"> </w:t>
      </w:r>
      <w:r>
        <w:t>an applicant will</w:t>
      </w:r>
      <w:r w:rsidRPr="004F68F8">
        <w:t xml:space="preserve"> lose the rebate for that financial year and must pay the full amount due. </w:t>
      </w:r>
      <w:r w:rsidR="005F421C">
        <w:t xml:space="preserve">Applicants holding the equivalent of a full Pensioner Concession will automatically defer their Rate and Emergency Service charge where payment is not received </w:t>
      </w:r>
      <w:r w:rsidRPr="004F68F8">
        <w:t>by 30 June of the current financial year.</w:t>
      </w:r>
    </w:p>
    <w:p w14:paraId="4CFC708A" w14:textId="77777777" w:rsidR="00604FC0" w:rsidRPr="00246C08" w:rsidRDefault="00604FC0" w:rsidP="00604FC0">
      <w:pPr>
        <w:spacing w:after="0" w:line="240" w:lineRule="auto"/>
        <w:jc w:val="both"/>
        <w:rPr>
          <w:u w:val="single"/>
        </w:rPr>
      </w:pPr>
      <w:r w:rsidRPr="00246C08">
        <w:rPr>
          <w:u w:val="single"/>
        </w:rPr>
        <w:t xml:space="preserve">Deferment Option </w:t>
      </w:r>
    </w:p>
    <w:p w14:paraId="0B764024" w14:textId="7F797FF9" w:rsidR="00604FC0" w:rsidRPr="004F68F8" w:rsidRDefault="00604FC0" w:rsidP="00604FC0">
      <w:pPr>
        <w:spacing w:after="120" w:line="240" w:lineRule="auto"/>
        <w:jc w:val="both"/>
      </w:pPr>
      <w:r>
        <w:t xml:space="preserve">Local Government Rates </w:t>
      </w:r>
      <w:r w:rsidR="005F421C">
        <w:t xml:space="preserve">and Emergency Service </w:t>
      </w:r>
      <w:r w:rsidRPr="004F68F8">
        <w:t>charges will be automatically deferred if the amount required to be paid on the rates notice is not paid by 30 June of the current financial year.</w:t>
      </w:r>
      <w:r>
        <w:t xml:space="preserve"> </w:t>
      </w:r>
      <w:r w:rsidRPr="004F68F8">
        <w:t>Charges will not be deferred if the property is</w:t>
      </w:r>
      <w:r>
        <w:t>:</w:t>
      </w:r>
    </w:p>
    <w:p w14:paraId="52876F08" w14:textId="77777777" w:rsidR="00604FC0" w:rsidRPr="004F68F8" w:rsidRDefault="00604FC0" w:rsidP="002A3889">
      <w:pPr>
        <w:pStyle w:val="ListParagraph"/>
        <w:numPr>
          <w:ilvl w:val="0"/>
          <w:numId w:val="441"/>
        </w:numPr>
        <w:spacing w:afterLines="80" w:after="192" w:line="240" w:lineRule="auto"/>
        <w:ind w:left="425" w:hanging="425"/>
        <w:jc w:val="both"/>
        <w:rPr>
          <w:lang w:val="en-US"/>
        </w:rPr>
      </w:pPr>
      <w:r w:rsidRPr="004F68F8">
        <w:t>occupied under a right to reside or life tenancy under the terms of a Will of a deceased estate</w:t>
      </w:r>
      <w:r>
        <w:t>,</w:t>
      </w:r>
      <w:r w:rsidRPr="004F68F8">
        <w:t xml:space="preserve"> </w:t>
      </w:r>
    </w:p>
    <w:p w14:paraId="30BB6A76" w14:textId="77777777" w:rsidR="00604FC0" w:rsidRPr="004F68F8" w:rsidRDefault="00604FC0" w:rsidP="002A3889">
      <w:pPr>
        <w:pStyle w:val="ListParagraph"/>
        <w:numPr>
          <w:ilvl w:val="0"/>
          <w:numId w:val="441"/>
        </w:numPr>
        <w:spacing w:afterLines="80" w:after="192" w:line="240" w:lineRule="auto"/>
        <w:ind w:left="425" w:hanging="425"/>
        <w:jc w:val="both"/>
        <w:rPr>
          <w:lang w:val="en-US"/>
        </w:rPr>
      </w:pPr>
      <w:r w:rsidRPr="004F68F8">
        <w:t xml:space="preserve">subject to co-ownership, other than spouse/de facto, where not all owners are eligible </w:t>
      </w:r>
      <w:r>
        <w:t>Pensioners,</w:t>
      </w:r>
      <w:r w:rsidRPr="004F68F8">
        <w:t xml:space="preserve"> </w:t>
      </w:r>
    </w:p>
    <w:p w14:paraId="20F00191" w14:textId="77777777" w:rsidR="00604FC0" w:rsidRPr="004F68F8" w:rsidRDefault="00604FC0" w:rsidP="002A3889">
      <w:pPr>
        <w:pStyle w:val="ListParagraph"/>
        <w:numPr>
          <w:ilvl w:val="0"/>
          <w:numId w:val="441"/>
        </w:numPr>
        <w:spacing w:afterLines="80" w:after="192" w:line="240" w:lineRule="auto"/>
        <w:ind w:left="425" w:hanging="425"/>
        <w:jc w:val="both"/>
        <w:rPr>
          <w:lang w:val="en-US"/>
        </w:rPr>
      </w:pPr>
      <w:r w:rsidRPr="004F68F8">
        <w:t>subject to a long-term</w:t>
      </w:r>
      <w:r>
        <w:t xml:space="preserve"> lease in a retirement village, or</w:t>
      </w:r>
    </w:p>
    <w:p w14:paraId="3278E334" w14:textId="77777777" w:rsidR="00604FC0" w:rsidRPr="004F68F8" w:rsidRDefault="00604FC0" w:rsidP="002A3889">
      <w:pPr>
        <w:pStyle w:val="ListParagraph"/>
        <w:numPr>
          <w:ilvl w:val="0"/>
          <w:numId w:val="441"/>
        </w:numPr>
        <w:spacing w:afterLines="80" w:after="192" w:line="240" w:lineRule="auto"/>
        <w:ind w:left="425" w:hanging="425"/>
        <w:jc w:val="both"/>
        <w:rPr>
          <w:lang w:val="en-US"/>
        </w:rPr>
      </w:pPr>
      <w:r w:rsidRPr="004F68F8">
        <w:t xml:space="preserve">occupied by eligible applicants that hold a WA </w:t>
      </w:r>
      <w:r>
        <w:t xml:space="preserve">Seniors </w:t>
      </w:r>
      <w:r w:rsidRPr="004F68F8">
        <w:t>Card only</w:t>
      </w:r>
      <w:r>
        <w:t>.</w:t>
      </w:r>
    </w:p>
    <w:p w14:paraId="62B11F53" w14:textId="77777777" w:rsidR="00604FC0" w:rsidRPr="004F68F8" w:rsidRDefault="00604FC0" w:rsidP="00604FC0">
      <w:pPr>
        <w:spacing w:afterLines="80" w:after="192" w:line="240" w:lineRule="auto"/>
        <w:jc w:val="both"/>
        <w:rPr>
          <w:lang w:val="en-US"/>
        </w:rPr>
      </w:pPr>
      <w:r>
        <w:t xml:space="preserve">Deferment charges will </w:t>
      </w:r>
      <w:r w:rsidRPr="004F68F8">
        <w:t>remain as a debt on the property</w:t>
      </w:r>
      <w:r>
        <w:t xml:space="preserve"> rates account </w:t>
      </w:r>
      <w:r w:rsidRPr="004F68F8">
        <w:t>until</w:t>
      </w:r>
      <w:r>
        <w:t xml:space="preserve"> the amount is paid in full. </w:t>
      </w:r>
      <w:r w:rsidRPr="004F68F8">
        <w:t xml:space="preserve"> </w:t>
      </w:r>
      <w:r>
        <w:t xml:space="preserve">Deferred rates and service charges </w:t>
      </w:r>
      <w:r w:rsidRPr="004F68F8">
        <w:t>are not required to be paid until the entitlement to defer ceases (i.e. applicant moves out, sells the property, dies and leaves no surviving spouse/de facto)</w:t>
      </w:r>
      <w:r w:rsidRPr="007A47A0">
        <w:t xml:space="preserve">. </w:t>
      </w:r>
      <w:r>
        <w:t xml:space="preserve">Deferred rates and service charges </w:t>
      </w:r>
      <w:r w:rsidRPr="004F68F8">
        <w:t>may be paid at any time, but a rebate cannot be claimed when they are paid</w:t>
      </w:r>
      <w:r>
        <w:t xml:space="preserve">. Penalty interest is not applicable on deferred rates accounts. </w:t>
      </w:r>
    </w:p>
    <w:p w14:paraId="400BA066" w14:textId="77777777" w:rsidR="00604FC0" w:rsidRDefault="00604FC0">
      <w:pPr>
        <w:rPr>
          <w:b/>
        </w:rPr>
      </w:pPr>
      <w:r>
        <w:rPr>
          <w:b/>
        </w:rPr>
        <w:br w:type="page"/>
      </w:r>
    </w:p>
    <w:p w14:paraId="19153C74" w14:textId="77777777" w:rsidR="00604FC0" w:rsidRPr="004F68F8" w:rsidRDefault="00604FC0" w:rsidP="00604FC0">
      <w:pPr>
        <w:spacing w:after="0" w:line="240" w:lineRule="auto"/>
        <w:jc w:val="both"/>
        <w:rPr>
          <w:b/>
        </w:rPr>
      </w:pPr>
      <w:r w:rsidRPr="004F68F8">
        <w:rPr>
          <w:b/>
        </w:rPr>
        <w:lastRenderedPageBreak/>
        <w:t xml:space="preserve">Pro-rata Provisions </w:t>
      </w:r>
    </w:p>
    <w:p w14:paraId="5EBCE7FC" w14:textId="180E80E5" w:rsidR="00604FC0" w:rsidRDefault="00604FC0" w:rsidP="00604FC0">
      <w:pPr>
        <w:spacing w:afterLines="80" w:after="192" w:line="240" w:lineRule="auto"/>
        <w:jc w:val="both"/>
      </w:pPr>
      <w:r w:rsidRPr="004F68F8">
        <w:t xml:space="preserve">When applicants become eligible </w:t>
      </w:r>
      <w:r>
        <w:t>Pensioners</w:t>
      </w:r>
      <w:r w:rsidRPr="004F68F8">
        <w:t xml:space="preserve"> or </w:t>
      </w:r>
      <w:r>
        <w:t xml:space="preserve">Seniors </w:t>
      </w:r>
      <w:r w:rsidRPr="004F68F8">
        <w:t>during a financial year, it is important that they advise the Town as soon as possible. The pro-rata provisions allow for a rebate based on the date of registration during that financial year (i.e. calculated on how many days of that year an applicant was registered)</w:t>
      </w:r>
      <w:r w:rsidR="005F421C">
        <w:t xml:space="preserve">, provided they owned and occupied the property as </w:t>
      </w:r>
      <w:proofErr w:type="gramStart"/>
      <w:r w:rsidR="005F421C">
        <w:t>at</w:t>
      </w:r>
      <w:proofErr w:type="gramEnd"/>
      <w:r w:rsidR="005F421C">
        <w:t xml:space="preserve"> 1 July of the current financial year.</w:t>
      </w:r>
    </w:p>
    <w:p w14:paraId="101C9115" w14:textId="77777777" w:rsidR="00604FC0" w:rsidRPr="00246C08" w:rsidRDefault="00604FC0" w:rsidP="00604FC0">
      <w:pPr>
        <w:spacing w:after="0" w:line="240" w:lineRule="auto"/>
        <w:jc w:val="both"/>
        <w:rPr>
          <w:b/>
        </w:rPr>
      </w:pPr>
      <w:r w:rsidRPr="00246C08">
        <w:rPr>
          <w:b/>
        </w:rPr>
        <w:t xml:space="preserve">Change in Circumstances </w:t>
      </w:r>
    </w:p>
    <w:p w14:paraId="32F680A3" w14:textId="429F93D1" w:rsidR="00604FC0" w:rsidRPr="006A460D" w:rsidRDefault="00604FC0" w:rsidP="00604FC0">
      <w:pPr>
        <w:spacing w:after="120" w:line="240" w:lineRule="auto"/>
        <w:jc w:val="both"/>
      </w:pPr>
      <w:r w:rsidRPr="006A460D">
        <w:t xml:space="preserve">Eligible Pensioners and Seniors </w:t>
      </w:r>
      <w:r w:rsidRPr="004F68F8">
        <w:rPr>
          <w:rFonts w:ascii="Calibri" w:hAnsi="Calibri" w:cs="Calibri"/>
        </w:rPr>
        <w:t xml:space="preserve">Concession card holders will be responsible for informing the Town of any change in circumstance that jeopardises their rebate entitlements. Concession card holders </w:t>
      </w:r>
      <w:r w:rsidRPr="006A460D">
        <w:t xml:space="preserve">must immediately advise the Town if they: </w:t>
      </w:r>
    </w:p>
    <w:p w14:paraId="35B1B4EC" w14:textId="77777777" w:rsidR="00604FC0" w:rsidRPr="00814E54" w:rsidRDefault="00604FC0" w:rsidP="002A3889">
      <w:pPr>
        <w:pStyle w:val="ListParagraph"/>
        <w:numPr>
          <w:ilvl w:val="0"/>
          <w:numId w:val="442"/>
        </w:numPr>
        <w:spacing w:afterLines="80" w:after="192" w:line="240" w:lineRule="auto"/>
        <w:ind w:left="425" w:hanging="425"/>
        <w:jc w:val="both"/>
        <w:rPr>
          <w:lang w:val="en-US"/>
        </w:rPr>
      </w:pPr>
      <w:r w:rsidRPr="008B0B68">
        <w:t>are issued with a new card or their card is cancelled/expired</w:t>
      </w:r>
      <w:r>
        <w:t>,</w:t>
      </w:r>
      <w:r w:rsidRPr="008B0B68">
        <w:t xml:space="preserve"> </w:t>
      </w:r>
    </w:p>
    <w:p w14:paraId="7D76950D" w14:textId="77777777" w:rsidR="00604FC0" w:rsidRPr="00814E54" w:rsidRDefault="00604FC0" w:rsidP="002A3889">
      <w:pPr>
        <w:pStyle w:val="ListParagraph"/>
        <w:numPr>
          <w:ilvl w:val="0"/>
          <w:numId w:val="442"/>
        </w:numPr>
        <w:spacing w:afterLines="80" w:after="192" w:line="240" w:lineRule="auto"/>
        <w:ind w:left="425" w:hanging="425"/>
        <w:jc w:val="both"/>
        <w:rPr>
          <w:lang w:val="en-US"/>
        </w:rPr>
      </w:pPr>
      <w:r w:rsidRPr="008B0B68">
        <w:t>have changed any of their details that were provided on the original registration</w:t>
      </w:r>
      <w:r>
        <w:t>,</w:t>
      </w:r>
      <w:r w:rsidRPr="008B0B68">
        <w:t xml:space="preserve"> </w:t>
      </w:r>
    </w:p>
    <w:p w14:paraId="49411353" w14:textId="77777777" w:rsidR="00604FC0" w:rsidRPr="00814E54" w:rsidRDefault="00604FC0" w:rsidP="002A3889">
      <w:pPr>
        <w:pStyle w:val="ListParagraph"/>
        <w:numPr>
          <w:ilvl w:val="0"/>
          <w:numId w:val="442"/>
        </w:numPr>
        <w:spacing w:afterLines="80" w:after="192" w:line="240" w:lineRule="auto"/>
        <w:ind w:left="425" w:hanging="425"/>
        <w:jc w:val="both"/>
        <w:rPr>
          <w:lang w:val="en-US"/>
        </w:rPr>
      </w:pPr>
      <w:r w:rsidRPr="008B0B68">
        <w:t>sell or transfer an interest in all, or part, of the property or move to another address</w:t>
      </w:r>
      <w:r>
        <w:t>,</w:t>
      </w:r>
      <w:r w:rsidRPr="008B0B68">
        <w:t xml:space="preserve"> </w:t>
      </w:r>
    </w:p>
    <w:p w14:paraId="608F3DE1" w14:textId="77777777" w:rsidR="00604FC0" w:rsidRPr="00814E54" w:rsidRDefault="00604FC0" w:rsidP="002A3889">
      <w:pPr>
        <w:pStyle w:val="ListParagraph"/>
        <w:numPr>
          <w:ilvl w:val="0"/>
          <w:numId w:val="442"/>
        </w:numPr>
        <w:spacing w:afterLines="80" w:after="192" w:line="240" w:lineRule="auto"/>
        <w:ind w:left="425" w:hanging="425"/>
        <w:jc w:val="both"/>
        <w:rPr>
          <w:lang w:val="en-US"/>
        </w:rPr>
      </w:pPr>
      <w:r w:rsidRPr="008B0B68">
        <w:t>have a spouse who ceases occupation of the property</w:t>
      </w:r>
      <w:r>
        <w:t>,</w:t>
      </w:r>
      <w:r w:rsidRPr="008B0B68">
        <w:t xml:space="preserve"> or </w:t>
      </w:r>
    </w:p>
    <w:p w14:paraId="7245BBB3" w14:textId="77777777" w:rsidR="00604FC0" w:rsidRPr="004F68F8" w:rsidRDefault="00604FC0" w:rsidP="002A3889">
      <w:pPr>
        <w:pStyle w:val="ListParagraph"/>
        <w:numPr>
          <w:ilvl w:val="0"/>
          <w:numId w:val="442"/>
        </w:numPr>
        <w:spacing w:afterLines="80" w:after="192" w:line="240" w:lineRule="auto"/>
        <w:ind w:left="425" w:hanging="425"/>
        <w:jc w:val="both"/>
        <w:rPr>
          <w:lang w:val="en-US"/>
        </w:rPr>
      </w:pPr>
      <w:r w:rsidRPr="008B0B68">
        <w:t xml:space="preserve">as a WA </w:t>
      </w:r>
      <w:r>
        <w:t xml:space="preserve">Seniors </w:t>
      </w:r>
      <w:r w:rsidRPr="008B0B68">
        <w:t xml:space="preserve">Card holder, become an eligible Pensioner or the holder of a Commonwealth </w:t>
      </w:r>
      <w:r>
        <w:t xml:space="preserve">Seniors </w:t>
      </w:r>
      <w:r w:rsidRPr="008B0B68">
        <w:t xml:space="preserve">Health Card. </w:t>
      </w:r>
    </w:p>
    <w:p w14:paraId="783EAF7F" w14:textId="77777777" w:rsidR="00604FC0" w:rsidRPr="004F68F8" w:rsidRDefault="00604FC0" w:rsidP="00604FC0">
      <w:pPr>
        <w:spacing w:after="0" w:line="240" w:lineRule="auto"/>
        <w:jc w:val="both"/>
        <w:rPr>
          <w:b/>
        </w:rPr>
      </w:pPr>
      <w:r w:rsidRPr="004F68F8">
        <w:rPr>
          <w:b/>
        </w:rPr>
        <w:t xml:space="preserve">Multi-residential Properties not Strata Titled </w:t>
      </w:r>
    </w:p>
    <w:p w14:paraId="17DF8384" w14:textId="77777777" w:rsidR="00604FC0" w:rsidRPr="00814E54" w:rsidRDefault="00604FC0" w:rsidP="00604FC0">
      <w:pPr>
        <w:spacing w:afterLines="80" w:after="192" w:line="240" w:lineRule="auto"/>
        <w:jc w:val="both"/>
      </w:pPr>
      <w:r w:rsidRPr="00814E54">
        <w:t xml:space="preserve">If an applicant has land with multiple homes which have not been strata-titled (e.g. duplex properties, group housing complexes), rebates may be apportioned according to the ownership interests and the extent the owner uses the property for residential purposes (i.e. what part of the land is occupied by the Pensioner and/or Senior for their use). </w:t>
      </w:r>
    </w:p>
    <w:p w14:paraId="74C5137A" w14:textId="77777777" w:rsidR="00604FC0" w:rsidRPr="004F68F8" w:rsidRDefault="00604FC0" w:rsidP="00604FC0">
      <w:pPr>
        <w:spacing w:after="0" w:line="240" w:lineRule="auto"/>
        <w:jc w:val="both"/>
        <w:rPr>
          <w:b/>
        </w:rPr>
      </w:pPr>
      <w:r w:rsidRPr="004F68F8">
        <w:rPr>
          <w:b/>
        </w:rPr>
        <w:t>Commercial Properties Occupied by Pensioners and Seniors</w:t>
      </w:r>
    </w:p>
    <w:p w14:paraId="478915D2" w14:textId="77777777" w:rsidR="00604FC0" w:rsidRPr="008B0B68" w:rsidRDefault="00604FC0" w:rsidP="00604FC0">
      <w:pPr>
        <w:spacing w:afterLines="80" w:after="192" w:line="240" w:lineRule="auto"/>
        <w:jc w:val="both"/>
      </w:pPr>
      <w:r>
        <w:t>C</w:t>
      </w:r>
      <w:r w:rsidRPr="008B0B68">
        <w:t xml:space="preserve">oncessional arrangements are targeted at residential property owned and occupied by </w:t>
      </w:r>
      <w:r>
        <w:t>Pensioners</w:t>
      </w:r>
      <w:r w:rsidRPr="008B0B68">
        <w:t xml:space="preserve"> and Seniors. If the property is owner-occupied by the applicant and is also partly used for commercial purposes, the rebate may be apportioned according to the ownership interests and the extent that the property is used as a residence. In such cases, the Town will </w:t>
      </w:r>
      <w:proofErr w:type="gramStart"/>
      <w:r w:rsidRPr="008B0B68">
        <w:t>make a determination</w:t>
      </w:r>
      <w:proofErr w:type="gramEnd"/>
      <w:r w:rsidRPr="008B0B68">
        <w:t xml:space="preserve"> on the extent of the entitlement to a rebate.</w:t>
      </w:r>
    </w:p>
    <w:p w14:paraId="711705B5" w14:textId="77777777" w:rsidR="00604FC0" w:rsidRPr="004F68F8" w:rsidRDefault="00604FC0" w:rsidP="00604FC0">
      <w:pPr>
        <w:spacing w:after="0" w:line="240" w:lineRule="auto"/>
        <w:jc w:val="both"/>
        <w:rPr>
          <w:b/>
        </w:rPr>
      </w:pPr>
      <w:r w:rsidRPr="004F68F8">
        <w:rPr>
          <w:b/>
        </w:rPr>
        <w:t xml:space="preserve">Application Process </w:t>
      </w:r>
    </w:p>
    <w:p w14:paraId="1B42EA97" w14:textId="77777777" w:rsidR="00604FC0" w:rsidRDefault="00604FC0" w:rsidP="00604FC0">
      <w:pPr>
        <w:spacing w:afterLines="80" w:after="192" w:line="240" w:lineRule="auto"/>
        <w:jc w:val="both"/>
      </w:pPr>
      <w:r w:rsidRPr="008B0B68">
        <w:t xml:space="preserve">An applicant should register their entitlement as soon as they receive their concession card. </w:t>
      </w:r>
    </w:p>
    <w:p w14:paraId="712E63D1" w14:textId="77777777" w:rsidR="00604FC0" w:rsidRPr="008B0B68" w:rsidRDefault="00604FC0" w:rsidP="00604FC0">
      <w:pPr>
        <w:spacing w:afterLines="80" w:after="192" w:line="240" w:lineRule="auto"/>
        <w:jc w:val="both"/>
      </w:pPr>
      <w:r w:rsidRPr="008B0B68">
        <w:t xml:space="preserve">Applications </w:t>
      </w:r>
      <w:r>
        <w:t>are</w:t>
      </w:r>
      <w:r w:rsidRPr="008B0B68">
        <w:t xml:space="preserve"> made </w:t>
      </w:r>
      <w:r>
        <w:t>via t</w:t>
      </w:r>
      <w:r w:rsidRPr="008B0B68">
        <w:t>he Water Corporation</w:t>
      </w:r>
      <w:r>
        <w:t>.</w:t>
      </w:r>
      <w:r w:rsidRPr="008B0B68">
        <w:t xml:space="preserve"> The Water Corporation will notify the Town once the application has been processed.</w:t>
      </w:r>
    </w:p>
    <w:p w14:paraId="1BB83546" w14:textId="77777777" w:rsidR="00604FC0" w:rsidRDefault="00604FC0" w:rsidP="00604FC0">
      <w:pPr>
        <w:spacing w:afterLines="80" w:after="192" w:line="240" w:lineRule="auto"/>
        <w:jc w:val="both"/>
      </w:pPr>
      <w:r w:rsidRPr="008B0B68">
        <w:t xml:space="preserve">Registration of the concession card will take effect from the date that it is received by the Water Corporation. </w:t>
      </w:r>
    </w:p>
    <w:p w14:paraId="04E08B16" w14:textId="77777777" w:rsidR="00604FC0" w:rsidRPr="008B0B68" w:rsidRDefault="00604FC0" w:rsidP="00604FC0">
      <w:pPr>
        <w:spacing w:afterLines="80" w:after="192" w:line="240" w:lineRule="auto"/>
        <w:jc w:val="both"/>
      </w:pPr>
      <w:r w:rsidRPr="008B0B68">
        <w:t xml:space="preserve">An applicant can only claim a concession on </w:t>
      </w:r>
      <w:r>
        <w:t xml:space="preserve">Local Government Rates </w:t>
      </w:r>
      <w:r w:rsidRPr="008B0B68">
        <w:t xml:space="preserve">charges and </w:t>
      </w:r>
      <w:r>
        <w:t>E</w:t>
      </w:r>
      <w:r w:rsidRPr="008B0B68">
        <w:t xml:space="preserve">mergency </w:t>
      </w:r>
      <w:r>
        <w:t>S</w:t>
      </w:r>
      <w:r w:rsidRPr="008B0B68">
        <w:t xml:space="preserve">ervices </w:t>
      </w:r>
      <w:r>
        <w:t>L</w:t>
      </w:r>
      <w:r w:rsidRPr="008B0B68">
        <w:t>evy charge on one property in any one financial year.</w:t>
      </w:r>
    </w:p>
    <w:p w14:paraId="35447780" w14:textId="77777777" w:rsidR="00604FC0" w:rsidRPr="004F68F8" w:rsidRDefault="00604FC0" w:rsidP="00604FC0">
      <w:pPr>
        <w:spacing w:afterLines="80" w:after="192" w:line="240" w:lineRule="auto"/>
        <w:jc w:val="both"/>
        <w:rPr>
          <w:color w:val="000000" w:themeColor="text1"/>
        </w:rPr>
      </w:pPr>
      <w:r w:rsidRPr="004F68F8">
        <w:rPr>
          <w:color w:val="000000" w:themeColor="text1"/>
        </w:rPr>
        <w:t xml:space="preserve">If a concession card holder has Local Government Rates and service charges in arrears, a rebate or deferment may be obtained if a satisfactory arrangement to pay the rates arrears has been entered into and approved by the Executive Manager of Corporate Services. </w:t>
      </w:r>
    </w:p>
    <w:p w14:paraId="1EA93F4C" w14:textId="77777777" w:rsidR="00604FC0" w:rsidRPr="00246C08" w:rsidRDefault="00604FC0" w:rsidP="00604FC0">
      <w:pPr>
        <w:spacing w:after="0" w:line="240" w:lineRule="auto"/>
        <w:jc w:val="both"/>
        <w:rPr>
          <w:b/>
        </w:rPr>
      </w:pPr>
      <w:r w:rsidRPr="00246C08">
        <w:rPr>
          <w:b/>
        </w:rPr>
        <w:t>Roles and Responsibilities</w:t>
      </w:r>
    </w:p>
    <w:p w14:paraId="5DEDF942" w14:textId="1D52AE63" w:rsidR="00604FC0" w:rsidRDefault="00604FC0" w:rsidP="00604FC0">
      <w:pPr>
        <w:spacing w:afterLines="80" w:after="192" w:line="240" w:lineRule="auto"/>
        <w:jc w:val="both"/>
      </w:pPr>
      <w:r>
        <w:t xml:space="preserve">The </w:t>
      </w:r>
      <w:r w:rsidR="005F421C">
        <w:t>Revenue</w:t>
      </w:r>
      <w:r>
        <w:t xml:space="preserve"> Officer has the overall responsibility for the management of all enquires and all administrative processes associated with this policy.  </w:t>
      </w:r>
    </w:p>
    <w:p w14:paraId="0D805117" w14:textId="77777777" w:rsidR="00604FC0" w:rsidRDefault="00604FC0" w:rsidP="00604FC0">
      <w:pPr>
        <w:spacing w:after="160" w:line="259" w:lineRule="auto"/>
        <w:rPr>
          <w:b/>
        </w:rPr>
      </w:pPr>
      <w:r>
        <w:rPr>
          <w:b/>
        </w:rPr>
        <w:br w:type="page"/>
      </w:r>
    </w:p>
    <w:p w14:paraId="0EB3995A" w14:textId="77777777" w:rsidR="00604FC0" w:rsidRPr="00246C08" w:rsidRDefault="00604FC0" w:rsidP="00604FC0">
      <w:pPr>
        <w:spacing w:after="0" w:line="240" w:lineRule="auto"/>
        <w:jc w:val="both"/>
        <w:rPr>
          <w:b/>
        </w:rPr>
      </w:pPr>
      <w:r w:rsidRPr="00246C08">
        <w:rPr>
          <w:b/>
        </w:rPr>
        <w:lastRenderedPageBreak/>
        <w:t>Review Process</w:t>
      </w:r>
    </w:p>
    <w:p w14:paraId="1B0EDBCD" w14:textId="77777777" w:rsidR="00604FC0" w:rsidRPr="00246C08" w:rsidRDefault="00604FC0" w:rsidP="002A3889">
      <w:pPr>
        <w:pStyle w:val="ListParagraph"/>
        <w:numPr>
          <w:ilvl w:val="0"/>
          <w:numId w:val="443"/>
        </w:numPr>
        <w:ind w:left="426"/>
        <w:jc w:val="both"/>
        <w:rPr>
          <w:u w:val="single"/>
        </w:rPr>
      </w:pPr>
      <w:r w:rsidRPr="00246C08">
        <w:rPr>
          <w:u w:val="single"/>
        </w:rPr>
        <w:t xml:space="preserve">Deferred Rates </w:t>
      </w:r>
    </w:p>
    <w:p w14:paraId="2413139A" w14:textId="77777777" w:rsidR="00604FC0" w:rsidRDefault="00604FC0" w:rsidP="00A94F0E">
      <w:pPr>
        <w:pStyle w:val="ListParagraph"/>
        <w:spacing w:line="240" w:lineRule="auto"/>
        <w:ind w:left="425"/>
        <w:contextualSpacing w:val="0"/>
        <w:jc w:val="both"/>
      </w:pPr>
      <w:r w:rsidRPr="004F68F8">
        <w:t xml:space="preserve">A schedule of Deferred Rates will be provided to the Office of the Auditor General at the end of each financial year.  </w:t>
      </w:r>
    </w:p>
    <w:p w14:paraId="4B0C3629" w14:textId="77777777" w:rsidR="00A044A2" w:rsidRDefault="00A044A2" w:rsidP="002A3889">
      <w:pPr>
        <w:pStyle w:val="ListParagraph"/>
        <w:numPr>
          <w:ilvl w:val="0"/>
          <w:numId w:val="443"/>
        </w:numPr>
        <w:spacing w:after="0" w:line="240" w:lineRule="auto"/>
        <w:ind w:left="426"/>
        <w:jc w:val="both"/>
      </w:pPr>
      <w:r>
        <w:t>Information obtained from the Data Ineligibility reports received from Revenue WA (Office of State Revenue) in June/July of each year are to be applied against the applicants. Sourcing of verifiable information can be from the Water Corporation or Australian Government – Services Australia (Centrelink Business Online).</w:t>
      </w:r>
    </w:p>
    <w:p w14:paraId="43006609" w14:textId="77777777" w:rsidR="00604FC0" w:rsidRPr="004F68F8" w:rsidRDefault="00604FC0" w:rsidP="00604FC0">
      <w:pPr>
        <w:spacing w:afterLines="80" w:after="192" w:line="240" w:lineRule="auto"/>
        <w:jc w:val="both"/>
        <w:rPr>
          <w:sz w:val="2"/>
          <w:szCs w:val="2"/>
        </w:rPr>
      </w:pPr>
    </w:p>
    <w:p w14:paraId="015740F6" w14:textId="77777777" w:rsidR="00604FC0" w:rsidRPr="00246C08" w:rsidRDefault="00604FC0" w:rsidP="00604FC0">
      <w:pPr>
        <w:spacing w:after="0" w:line="240" w:lineRule="auto"/>
        <w:jc w:val="both"/>
        <w:rPr>
          <w:b/>
        </w:rPr>
      </w:pPr>
      <w:r w:rsidRPr="00246C08">
        <w:rPr>
          <w:b/>
        </w:rPr>
        <w:t>Key Stakeholders</w:t>
      </w:r>
    </w:p>
    <w:p w14:paraId="0B63E11B" w14:textId="20917748" w:rsidR="00604FC0" w:rsidRDefault="00A044A2" w:rsidP="00604FC0">
      <w:pPr>
        <w:spacing w:after="0" w:line="240" w:lineRule="auto"/>
        <w:jc w:val="both"/>
      </w:pPr>
      <w:r>
        <w:t xml:space="preserve">Revenue WA (Department of Finance - </w:t>
      </w:r>
      <w:r w:rsidR="00604FC0">
        <w:t>Office of State Revenue</w:t>
      </w:r>
      <w:r>
        <w:t>)</w:t>
      </w:r>
    </w:p>
    <w:p w14:paraId="11BF8415" w14:textId="77777777" w:rsidR="00604FC0" w:rsidRDefault="00604FC0" w:rsidP="00604FC0">
      <w:pPr>
        <w:spacing w:after="0" w:line="240" w:lineRule="auto"/>
        <w:jc w:val="both"/>
      </w:pPr>
      <w:r>
        <w:t>Water Corporation</w:t>
      </w:r>
    </w:p>
    <w:p w14:paraId="7B3ACC3D" w14:textId="77777777" w:rsidR="00604FC0" w:rsidRDefault="00604FC0" w:rsidP="00604FC0">
      <w:pPr>
        <w:spacing w:afterLines="80" w:after="192" w:line="240" w:lineRule="auto"/>
        <w:jc w:val="both"/>
        <w:rPr>
          <w:rFonts w:ascii="Arial" w:hAnsi="Arial" w:cs="Arial"/>
          <w:color w:val="000000"/>
          <w:sz w:val="20"/>
          <w:szCs w:val="20"/>
          <w:lang w:eastAsia="en-AU"/>
        </w:rPr>
      </w:pPr>
      <w:r>
        <w:rPr>
          <w:rFonts w:ascii="Arial" w:hAnsi="Arial" w:cs="Arial"/>
          <w:color w:val="000000"/>
          <w:sz w:val="20"/>
          <w:szCs w:val="20"/>
          <w:lang w:eastAsia="en-AU"/>
        </w:rPr>
        <w:t xml:space="preserve">Office of the Auditor General </w:t>
      </w:r>
    </w:p>
    <w:p w14:paraId="19BA47F8" w14:textId="77777777" w:rsidR="00604FC0" w:rsidRPr="00246C08" w:rsidRDefault="00604FC0" w:rsidP="00604FC0">
      <w:pPr>
        <w:spacing w:after="0" w:line="240" w:lineRule="auto"/>
        <w:jc w:val="both"/>
        <w:rPr>
          <w:b/>
        </w:rPr>
      </w:pPr>
      <w:r w:rsidRPr="00246C08">
        <w:rPr>
          <w:b/>
        </w:rPr>
        <w:t>Monitoring and Evaluation</w:t>
      </w:r>
    </w:p>
    <w:p w14:paraId="1A67C472" w14:textId="77777777" w:rsidR="00604FC0" w:rsidRDefault="00604FC0" w:rsidP="00604FC0">
      <w:pPr>
        <w:spacing w:afterLines="80" w:after="192" w:line="240" w:lineRule="auto"/>
        <w:jc w:val="both"/>
      </w:pPr>
      <w:r>
        <w:t>Applications received for a Pensioners</w:t>
      </w:r>
      <w:r w:rsidRPr="0082134F">
        <w:t xml:space="preserve"> and </w:t>
      </w:r>
      <w:r>
        <w:t>Seniors</w:t>
      </w:r>
      <w:r w:rsidRPr="0082134F">
        <w:t xml:space="preserve"> </w:t>
      </w:r>
      <w:r>
        <w:t xml:space="preserve">rebate be assessed against this policy criteria to ensure consistency across all requests.  </w:t>
      </w:r>
    </w:p>
    <w:p w14:paraId="19E80A9B" w14:textId="77777777" w:rsidR="00604FC0" w:rsidRDefault="00604FC0" w:rsidP="00604FC0">
      <w:pPr>
        <w:spacing w:afterLines="80" w:after="192" w:line="240" w:lineRule="auto"/>
        <w:jc w:val="both"/>
        <w:rPr>
          <w:b/>
        </w:rPr>
      </w:pPr>
    </w:p>
    <w:tbl>
      <w:tblPr>
        <w:tblStyle w:val="TableGrid"/>
        <w:tblW w:w="0" w:type="auto"/>
        <w:tblLook w:val="04A0" w:firstRow="1" w:lastRow="0" w:firstColumn="1" w:lastColumn="0" w:noHBand="0" w:noVBand="1"/>
      </w:tblPr>
      <w:tblGrid>
        <w:gridCol w:w="3256"/>
        <w:gridCol w:w="5760"/>
      </w:tblGrid>
      <w:tr w:rsidR="00604FC0" w:rsidRPr="00B640E1" w14:paraId="10C0A12A" w14:textId="77777777" w:rsidTr="00C7267C">
        <w:tc>
          <w:tcPr>
            <w:tcW w:w="3256" w:type="dxa"/>
          </w:tcPr>
          <w:p w14:paraId="75EB90D5" w14:textId="77777777" w:rsidR="00604FC0" w:rsidRPr="00B640E1" w:rsidRDefault="00604FC0" w:rsidP="00C7267C">
            <w:pPr>
              <w:jc w:val="both"/>
              <w:rPr>
                <w:rFonts w:cstheme="minorHAnsi"/>
                <w:b/>
                <w:lang w:val="en-US"/>
              </w:rPr>
            </w:pPr>
            <w:r w:rsidRPr="00B640E1">
              <w:rPr>
                <w:rFonts w:cstheme="minorHAnsi"/>
                <w:b/>
                <w:lang w:val="en-US"/>
              </w:rPr>
              <w:t>Responsible Directorate:</w:t>
            </w:r>
          </w:p>
        </w:tc>
        <w:tc>
          <w:tcPr>
            <w:tcW w:w="5760" w:type="dxa"/>
          </w:tcPr>
          <w:p w14:paraId="692021E1" w14:textId="77777777" w:rsidR="00604FC0" w:rsidRPr="00B640E1" w:rsidRDefault="00604FC0" w:rsidP="00C7267C">
            <w:pPr>
              <w:jc w:val="both"/>
              <w:rPr>
                <w:rFonts w:cstheme="minorHAnsi"/>
                <w:lang w:val="en-US"/>
              </w:rPr>
            </w:pPr>
            <w:r>
              <w:rPr>
                <w:rFonts w:cstheme="minorHAnsi"/>
                <w:lang w:val="en-US"/>
              </w:rPr>
              <w:t xml:space="preserve">Executive Manager </w:t>
            </w:r>
            <w:r w:rsidRPr="00B640E1">
              <w:rPr>
                <w:rFonts w:cstheme="minorHAnsi"/>
                <w:lang w:val="en-US"/>
              </w:rPr>
              <w:t>Corporate</w:t>
            </w:r>
            <w:r>
              <w:rPr>
                <w:rFonts w:cstheme="minorHAnsi"/>
                <w:lang w:val="en-US"/>
              </w:rPr>
              <w:t xml:space="preserve"> </w:t>
            </w:r>
            <w:r w:rsidRPr="00B640E1">
              <w:rPr>
                <w:rFonts w:cstheme="minorHAnsi"/>
                <w:lang w:val="en-US"/>
              </w:rPr>
              <w:t>Services</w:t>
            </w:r>
          </w:p>
        </w:tc>
      </w:tr>
      <w:tr w:rsidR="00604FC0" w:rsidRPr="00B640E1" w14:paraId="3F3D56C7" w14:textId="77777777" w:rsidTr="00C7267C">
        <w:tc>
          <w:tcPr>
            <w:tcW w:w="3256" w:type="dxa"/>
          </w:tcPr>
          <w:p w14:paraId="48F3755D" w14:textId="77777777" w:rsidR="00604FC0" w:rsidRPr="00B640E1" w:rsidRDefault="00604FC0" w:rsidP="00C7267C">
            <w:pPr>
              <w:jc w:val="both"/>
              <w:rPr>
                <w:rFonts w:cstheme="minorHAnsi"/>
                <w:b/>
                <w:lang w:val="en-US"/>
              </w:rPr>
            </w:pPr>
            <w:r w:rsidRPr="00B640E1">
              <w:rPr>
                <w:rFonts w:cstheme="minorHAnsi"/>
                <w:b/>
                <w:lang w:val="en-US"/>
              </w:rPr>
              <w:t>Reviewing Officer:</w:t>
            </w:r>
          </w:p>
        </w:tc>
        <w:tc>
          <w:tcPr>
            <w:tcW w:w="5760" w:type="dxa"/>
          </w:tcPr>
          <w:p w14:paraId="3EEA57F6" w14:textId="77777777" w:rsidR="00604FC0" w:rsidRPr="00B640E1" w:rsidRDefault="00604FC0" w:rsidP="00C7267C">
            <w:pPr>
              <w:jc w:val="both"/>
              <w:rPr>
                <w:rFonts w:cstheme="minorHAnsi"/>
                <w:lang w:val="en-US"/>
              </w:rPr>
            </w:pPr>
            <w:r w:rsidRPr="008B0B68">
              <w:rPr>
                <w:lang w:val="en-US"/>
              </w:rPr>
              <w:t>Manager Administration and Finance</w:t>
            </w:r>
          </w:p>
        </w:tc>
      </w:tr>
      <w:tr w:rsidR="00604FC0" w:rsidRPr="00B640E1" w14:paraId="01775B02" w14:textId="77777777" w:rsidTr="00C7267C">
        <w:tc>
          <w:tcPr>
            <w:tcW w:w="3256" w:type="dxa"/>
          </w:tcPr>
          <w:p w14:paraId="2F36E50A" w14:textId="77777777" w:rsidR="00604FC0" w:rsidRPr="00B640E1" w:rsidRDefault="00604FC0" w:rsidP="00C7267C">
            <w:pPr>
              <w:jc w:val="both"/>
              <w:rPr>
                <w:rFonts w:cstheme="minorHAnsi"/>
                <w:b/>
                <w:lang w:val="en-US"/>
              </w:rPr>
            </w:pPr>
            <w:r w:rsidRPr="00B640E1">
              <w:rPr>
                <w:rFonts w:cstheme="minorHAnsi"/>
                <w:b/>
                <w:lang w:val="en-US"/>
              </w:rPr>
              <w:t>Decision making Authority:</w:t>
            </w:r>
          </w:p>
        </w:tc>
        <w:tc>
          <w:tcPr>
            <w:tcW w:w="5760" w:type="dxa"/>
          </w:tcPr>
          <w:p w14:paraId="67FD74D1" w14:textId="77777777" w:rsidR="00604FC0" w:rsidRPr="00B640E1" w:rsidRDefault="00604FC0" w:rsidP="00C7267C">
            <w:pPr>
              <w:jc w:val="both"/>
              <w:rPr>
                <w:rFonts w:cstheme="minorHAnsi"/>
                <w:lang w:val="en-US"/>
              </w:rPr>
            </w:pPr>
            <w:r w:rsidRPr="00B640E1">
              <w:rPr>
                <w:rFonts w:cstheme="minorHAnsi"/>
                <w:lang w:val="en-US"/>
              </w:rPr>
              <w:t>Council</w:t>
            </w:r>
          </w:p>
        </w:tc>
      </w:tr>
      <w:tr w:rsidR="00604FC0" w:rsidRPr="00B640E1" w14:paraId="7115F44E" w14:textId="77777777" w:rsidTr="00C7267C">
        <w:tc>
          <w:tcPr>
            <w:tcW w:w="3256" w:type="dxa"/>
          </w:tcPr>
          <w:p w14:paraId="5AEB107A" w14:textId="77777777" w:rsidR="00604FC0" w:rsidRPr="00B640E1" w:rsidRDefault="00604FC0" w:rsidP="00C7267C">
            <w:pPr>
              <w:jc w:val="both"/>
              <w:rPr>
                <w:rFonts w:cstheme="minorHAnsi"/>
                <w:b/>
                <w:lang w:val="en-US"/>
              </w:rPr>
            </w:pPr>
            <w:r w:rsidRPr="00B640E1">
              <w:rPr>
                <w:rFonts w:cstheme="minorHAnsi"/>
                <w:b/>
                <w:lang w:val="en-US"/>
              </w:rPr>
              <w:t>Policy Adopted:</w:t>
            </w:r>
          </w:p>
        </w:tc>
        <w:tc>
          <w:tcPr>
            <w:tcW w:w="5760" w:type="dxa"/>
          </w:tcPr>
          <w:p w14:paraId="06E3ED5E" w14:textId="77777777" w:rsidR="00604FC0" w:rsidRPr="00B640E1" w:rsidRDefault="00604FC0" w:rsidP="00C7267C">
            <w:pPr>
              <w:jc w:val="both"/>
              <w:rPr>
                <w:rFonts w:cstheme="minorHAnsi"/>
                <w:lang w:val="en-US"/>
              </w:rPr>
            </w:pPr>
            <w:r>
              <w:rPr>
                <w:rFonts w:cstheme="minorHAnsi"/>
                <w:lang w:val="en-US"/>
              </w:rPr>
              <w:t xml:space="preserve">16/06/20 </w:t>
            </w:r>
          </w:p>
        </w:tc>
      </w:tr>
      <w:tr w:rsidR="00604FC0" w:rsidRPr="00B640E1" w14:paraId="78E75864" w14:textId="77777777" w:rsidTr="00C7267C">
        <w:tc>
          <w:tcPr>
            <w:tcW w:w="3256" w:type="dxa"/>
          </w:tcPr>
          <w:p w14:paraId="724A4746" w14:textId="77777777" w:rsidR="00604FC0" w:rsidRPr="00B640E1" w:rsidRDefault="00604FC0" w:rsidP="00C7267C">
            <w:pPr>
              <w:jc w:val="both"/>
              <w:rPr>
                <w:rFonts w:cstheme="minorHAnsi"/>
                <w:b/>
                <w:lang w:val="en-US"/>
              </w:rPr>
            </w:pPr>
            <w:r>
              <w:rPr>
                <w:rFonts w:cstheme="minorHAnsi"/>
                <w:b/>
                <w:lang w:val="en-US"/>
              </w:rPr>
              <w:t>Policy Amended/Reviewed:</w:t>
            </w:r>
          </w:p>
        </w:tc>
        <w:tc>
          <w:tcPr>
            <w:tcW w:w="5760" w:type="dxa"/>
          </w:tcPr>
          <w:p w14:paraId="269D3AD9" w14:textId="1D6D188C" w:rsidR="00604FC0" w:rsidRPr="00B640E1" w:rsidRDefault="00A044A2" w:rsidP="00C7267C">
            <w:pPr>
              <w:jc w:val="both"/>
              <w:rPr>
                <w:rFonts w:cstheme="minorHAnsi"/>
                <w:lang w:val="en-US"/>
              </w:rPr>
            </w:pPr>
            <w:r>
              <w:rPr>
                <w:rFonts w:cstheme="minorHAnsi"/>
                <w:lang w:val="en-US"/>
              </w:rPr>
              <w:t>19/7/22</w:t>
            </w:r>
          </w:p>
        </w:tc>
      </w:tr>
    </w:tbl>
    <w:p w14:paraId="5E36F20E" w14:textId="77777777" w:rsidR="00604FC0" w:rsidRDefault="00604FC0" w:rsidP="00604FC0">
      <w:pPr>
        <w:spacing w:afterLines="80" w:after="192" w:line="240" w:lineRule="auto"/>
        <w:jc w:val="both"/>
        <w:rPr>
          <w:rFonts w:cstheme="minorHAnsi"/>
        </w:rPr>
      </w:pPr>
    </w:p>
    <w:p w14:paraId="7CF0FB7E" w14:textId="77777777" w:rsidR="006D07AE" w:rsidRDefault="006D07AE">
      <w:pPr>
        <w:rPr>
          <w:rFonts w:cstheme="minorHAnsi"/>
          <w:lang w:val="en-US"/>
        </w:rPr>
      </w:pPr>
      <w:r>
        <w:rPr>
          <w:rFonts w:cstheme="minorHAnsi"/>
          <w:lang w:val="en-US"/>
        </w:rPr>
        <w:br w:type="page"/>
      </w:r>
    </w:p>
    <w:p w14:paraId="43ED0D01" w14:textId="0ED62EEF" w:rsidR="006D07AE" w:rsidRDefault="00F23DE3" w:rsidP="006D07AE">
      <w:pPr>
        <w:pStyle w:val="Policy3"/>
        <w:jc w:val="right"/>
      </w:pPr>
      <w:bookmarkStart w:id="379" w:name="_Toc44321086"/>
      <w:bookmarkStart w:id="380" w:name="_Toc44321664"/>
      <w:bookmarkStart w:id="381" w:name="_Toc44321884"/>
      <w:bookmarkStart w:id="382" w:name="_Toc46914951"/>
      <w:bookmarkStart w:id="383" w:name="_Toc51860074"/>
      <w:bookmarkStart w:id="384" w:name="_Toc54342063"/>
      <w:bookmarkStart w:id="385" w:name="_Toc56677040"/>
      <w:bookmarkStart w:id="386" w:name="_Toc58574978"/>
      <w:bookmarkStart w:id="387" w:name="_Toc59458414"/>
      <w:bookmarkStart w:id="388" w:name="_Toc64995021"/>
      <w:bookmarkStart w:id="389" w:name="_Toc66971656"/>
      <w:bookmarkStart w:id="390" w:name="_Toc66971909"/>
      <w:bookmarkStart w:id="391" w:name="_Toc70498531"/>
      <w:bookmarkStart w:id="392" w:name="_Toc70499137"/>
      <w:bookmarkStart w:id="393" w:name="_Toc70499459"/>
      <w:bookmarkStart w:id="394" w:name="_Toc72940290"/>
      <w:bookmarkStart w:id="395" w:name="_Toc73715658"/>
      <w:bookmarkStart w:id="396" w:name="_Toc78453280"/>
      <w:bookmarkStart w:id="397" w:name="_Toc78453523"/>
      <w:bookmarkStart w:id="398" w:name="_Toc80268868"/>
      <w:bookmarkStart w:id="399" w:name="_Toc83368047"/>
      <w:bookmarkStart w:id="400" w:name="_Toc85793410"/>
      <w:bookmarkStart w:id="401" w:name="_Toc87531449"/>
      <w:bookmarkStart w:id="402" w:name="_Toc109732958"/>
      <w:bookmarkStart w:id="403" w:name="_Toc163201267"/>
      <w:bookmarkStart w:id="404" w:name="_Toc164255687"/>
      <w:bookmarkStart w:id="405" w:name="_Toc188617023"/>
      <w:bookmarkStart w:id="406" w:name="_Toc204612809"/>
      <w:bookmarkStart w:id="407" w:name="_Toc214980862"/>
      <w:bookmarkStart w:id="408" w:name="_Toc216866696"/>
      <w:r>
        <w:rPr>
          <w:noProof/>
          <w:lang w:eastAsia="en-AU"/>
        </w:rPr>
        <w:lastRenderedPageBreak/>
        <w:drawing>
          <wp:anchor distT="0" distB="0" distL="114300" distR="114300" simplePos="0" relativeHeight="251640832" behindDoc="1" locked="0" layoutInCell="1" allowOverlap="1" wp14:anchorId="613738D3" wp14:editId="4FD73222">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p>
    <w:p w14:paraId="48A3FFCE" w14:textId="77777777" w:rsidR="00F23DE3" w:rsidRDefault="00F23DE3" w:rsidP="006D07AE">
      <w:pPr>
        <w:pStyle w:val="Policy3"/>
      </w:pPr>
    </w:p>
    <w:p w14:paraId="57360CCD" w14:textId="77777777" w:rsidR="00F23DE3" w:rsidRDefault="00F23DE3" w:rsidP="006D07AE">
      <w:pPr>
        <w:pStyle w:val="Policy3"/>
      </w:pPr>
    </w:p>
    <w:p w14:paraId="44CD7147" w14:textId="77777777" w:rsidR="00F23DE3" w:rsidRDefault="00F23DE3" w:rsidP="006D07AE">
      <w:pPr>
        <w:pStyle w:val="Policy3"/>
      </w:pPr>
    </w:p>
    <w:p w14:paraId="7818BF7E" w14:textId="4F95E70B" w:rsidR="006D07AE" w:rsidRPr="008A40F0" w:rsidRDefault="006D07AE" w:rsidP="006D07AE">
      <w:pPr>
        <w:pStyle w:val="Policy3"/>
      </w:pPr>
      <w:bookmarkStart w:id="409" w:name="_Toc216866697"/>
      <w:r w:rsidRPr="008A40F0">
        <w:t>2.1.1</w:t>
      </w:r>
      <w:r>
        <w:t>8</w:t>
      </w:r>
      <w:r w:rsidRPr="008A40F0">
        <w:tab/>
        <w:t>Cash Back</w:t>
      </w:r>
      <w:r>
        <w:t>ed</w:t>
      </w:r>
      <w:r w:rsidRPr="008A40F0">
        <w:t xml:space="preserve"> Reserve</w:t>
      </w:r>
      <w:r>
        <w:t>s</w:t>
      </w:r>
      <w:bookmarkEnd w:id="409"/>
    </w:p>
    <w:tbl>
      <w:tblPr>
        <w:tblStyle w:val="TableGrid"/>
        <w:tblW w:w="9067" w:type="dxa"/>
        <w:tblLook w:val="04A0" w:firstRow="1" w:lastRow="0" w:firstColumn="1" w:lastColumn="0" w:noHBand="0" w:noVBand="1"/>
      </w:tblPr>
      <w:tblGrid>
        <w:gridCol w:w="3510"/>
        <w:gridCol w:w="5557"/>
      </w:tblGrid>
      <w:tr w:rsidR="006D07AE" w:rsidRPr="00B640E1" w14:paraId="2A458A64" w14:textId="77777777" w:rsidTr="00C7267C">
        <w:trPr>
          <w:trHeight w:val="248"/>
        </w:trPr>
        <w:tc>
          <w:tcPr>
            <w:tcW w:w="3510" w:type="dxa"/>
          </w:tcPr>
          <w:p w14:paraId="687746B2" w14:textId="77777777" w:rsidR="006D07AE" w:rsidRPr="00B640E1" w:rsidRDefault="006D07AE" w:rsidP="00C7267C">
            <w:pPr>
              <w:jc w:val="both"/>
              <w:rPr>
                <w:rFonts w:cstheme="minorHAnsi"/>
                <w:b/>
                <w:lang w:val="en-US"/>
              </w:rPr>
            </w:pPr>
            <w:r w:rsidRPr="00B640E1">
              <w:rPr>
                <w:rFonts w:cstheme="minorHAnsi"/>
                <w:b/>
                <w:lang w:val="en-US"/>
              </w:rPr>
              <w:t>Type:</w:t>
            </w:r>
          </w:p>
        </w:tc>
        <w:tc>
          <w:tcPr>
            <w:tcW w:w="5557" w:type="dxa"/>
          </w:tcPr>
          <w:p w14:paraId="42E019AB" w14:textId="77777777" w:rsidR="006D07AE" w:rsidRPr="00B640E1" w:rsidRDefault="006D07AE" w:rsidP="00C7267C">
            <w:pPr>
              <w:jc w:val="both"/>
              <w:rPr>
                <w:rFonts w:cstheme="minorHAnsi"/>
                <w:lang w:val="en-US"/>
              </w:rPr>
            </w:pPr>
            <w:r>
              <w:rPr>
                <w:rFonts w:cstheme="minorHAnsi"/>
                <w:lang w:val="en-US"/>
              </w:rPr>
              <w:t>Corporate Services – Financial Management</w:t>
            </w:r>
          </w:p>
        </w:tc>
      </w:tr>
      <w:tr w:rsidR="006D07AE" w:rsidRPr="00B640E1" w14:paraId="14CC1A0A" w14:textId="77777777" w:rsidTr="00C7267C">
        <w:trPr>
          <w:trHeight w:val="263"/>
        </w:trPr>
        <w:tc>
          <w:tcPr>
            <w:tcW w:w="3510" w:type="dxa"/>
          </w:tcPr>
          <w:p w14:paraId="48DAECED" w14:textId="77777777" w:rsidR="006D07AE" w:rsidRPr="00B640E1" w:rsidRDefault="006D07AE" w:rsidP="00C7267C">
            <w:pPr>
              <w:jc w:val="both"/>
              <w:rPr>
                <w:rFonts w:cstheme="minorHAnsi"/>
                <w:b/>
                <w:lang w:val="en-US"/>
              </w:rPr>
            </w:pPr>
            <w:r w:rsidRPr="00B640E1">
              <w:rPr>
                <w:rFonts w:cstheme="minorHAnsi"/>
                <w:b/>
                <w:lang w:val="en-US"/>
              </w:rPr>
              <w:t>Legislation:</w:t>
            </w:r>
          </w:p>
        </w:tc>
        <w:tc>
          <w:tcPr>
            <w:tcW w:w="5557" w:type="dxa"/>
          </w:tcPr>
          <w:p w14:paraId="11C02EB2" w14:textId="77777777" w:rsidR="006D07AE" w:rsidRPr="00B640E1" w:rsidRDefault="006D07AE" w:rsidP="00C7267C">
            <w:pPr>
              <w:jc w:val="both"/>
              <w:rPr>
                <w:rFonts w:cstheme="minorHAnsi"/>
                <w:lang w:val="en-US"/>
              </w:rPr>
            </w:pPr>
            <w:r w:rsidRPr="00B640E1">
              <w:rPr>
                <w:rFonts w:cstheme="minorHAnsi"/>
                <w:lang w:val="en-US"/>
              </w:rPr>
              <w:t xml:space="preserve">Local Government Act 1995 </w:t>
            </w:r>
          </w:p>
        </w:tc>
      </w:tr>
      <w:tr w:rsidR="006D07AE" w:rsidRPr="00B640E1" w14:paraId="4AA214EC" w14:textId="77777777" w:rsidTr="00C7267C">
        <w:trPr>
          <w:trHeight w:val="263"/>
        </w:trPr>
        <w:tc>
          <w:tcPr>
            <w:tcW w:w="3510" w:type="dxa"/>
          </w:tcPr>
          <w:p w14:paraId="750FAE06" w14:textId="77777777" w:rsidR="006D07AE" w:rsidRPr="00B640E1" w:rsidRDefault="006D07AE" w:rsidP="00C7267C">
            <w:pPr>
              <w:jc w:val="both"/>
              <w:rPr>
                <w:rFonts w:cstheme="minorHAnsi"/>
                <w:b/>
                <w:lang w:val="en-US"/>
              </w:rPr>
            </w:pPr>
            <w:r w:rsidRPr="00B640E1">
              <w:rPr>
                <w:rFonts w:cstheme="minorHAnsi"/>
                <w:b/>
                <w:lang w:val="en-US"/>
              </w:rPr>
              <w:t>Delegation:</w:t>
            </w:r>
          </w:p>
        </w:tc>
        <w:tc>
          <w:tcPr>
            <w:tcW w:w="5557" w:type="dxa"/>
          </w:tcPr>
          <w:p w14:paraId="75940573" w14:textId="77777777" w:rsidR="006D07AE" w:rsidRPr="00B640E1" w:rsidRDefault="006D07AE" w:rsidP="00C7267C">
            <w:pPr>
              <w:jc w:val="both"/>
              <w:rPr>
                <w:rFonts w:cstheme="minorHAnsi"/>
                <w:lang w:val="en-US"/>
              </w:rPr>
            </w:pPr>
          </w:p>
        </w:tc>
      </w:tr>
      <w:tr w:rsidR="006D07AE" w:rsidRPr="00B640E1" w14:paraId="283C33E3" w14:textId="77777777" w:rsidTr="00C7267C">
        <w:trPr>
          <w:trHeight w:val="248"/>
        </w:trPr>
        <w:tc>
          <w:tcPr>
            <w:tcW w:w="3510" w:type="dxa"/>
          </w:tcPr>
          <w:p w14:paraId="47097D39" w14:textId="77777777" w:rsidR="006D07AE" w:rsidRPr="00B640E1" w:rsidRDefault="006D07AE" w:rsidP="00C7267C">
            <w:pPr>
              <w:jc w:val="both"/>
              <w:rPr>
                <w:rFonts w:cstheme="minorHAnsi"/>
                <w:b/>
                <w:lang w:val="en-US"/>
              </w:rPr>
            </w:pPr>
            <w:r w:rsidRPr="00B640E1">
              <w:rPr>
                <w:rFonts w:cstheme="minorHAnsi"/>
                <w:b/>
                <w:lang w:val="en-US"/>
              </w:rPr>
              <w:t>Other Related Document:</w:t>
            </w:r>
          </w:p>
        </w:tc>
        <w:tc>
          <w:tcPr>
            <w:tcW w:w="5557" w:type="dxa"/>
          </w:tcPr>
          <w:p w14:paraId="5215C53A" w14:textId="77777777" w:rsidR="006D07AE" w:rsidRPr="00B640E1" w:rsidRDefault="006D07AE" w:rsidP="00C7267C">
            <w:pPr>
              <w:jc w:val="both"/>
              <w:rPr>
                <w:rFonts w:cstheme="minorHAnsi"/>
                <w:lang w:val="en-US"/>
              </w:rPr>
            </w:pPr>
          </w:p>
        </w:tc>
      </w:tr>
    </w:tbl>
    <w:p w14:paraId="289F61EF" w14:textId="77777777" w:rsidR="006D07AE" w:rsidRPr="002474DC" w:rsidRDefault="006D07AE" w:rsidP="006D07AE">
      <w:pPr>
        <w:spacing w:before="240" w:after="0"/>
        <w:rPr>
          <w:rFonts w:ascii="Calibri" w:hAnsi="Calibri" w:cs="Calibri"/>
          <w:b/>
          <w:sz w:val="28"/>
          <w:szCs w:val="28"/>
          <w:lang w:val="en-US"/>
        </w:rPr>
      </w:pPr>
      <w:r w:rsidRPr="002474DC">
        <w:rPr>
          <w:rFonts w:ascii="Calibri" w:hAnsi="Calibri" w:cs="Calibri"/>
          <w:b/>
          <w:sz w:val="28"/>
          <w:szCs w:val="28"/>
          <w:lang w:val="en-US"/>
        </w:rPr>
        <w:t>Objective</w:t>
      </w:r>
    </w:p>
    <w:p w14:paraId="057CD8D5" w14:textId="77777777" w:rsidR="006D07AE" w:rsidRPr="002474DC" w:rsidRDefault="006D07AE" w:rsidP="006D07AE">
      <w:pPr>
        <w:pStyle w:val="Default"/>
        <w:jc w:val="both"/>
        <w:rPr>
          <w:sz w:val="22"/>
          <w:szCs w:val="22"/>
        </w:rPr>
      </w:pPr>
      <w:r w:rsidRPr="002474DC">
        <w:rPr>
          <w:sz w:val="22"/>
          <w:szCs w:val="22"/>
        </w:rPr>
        <w:t>To provide strategic support and direction for the establishment and utilisation of Cash Backed Reserves (</w:t>
      </w:r>
      <w:r w:rsidRPr="002474DC">
        <w:rPr>
          <w:b/>
          <w:bCs/>
          <w:sz w:val="22"/>
          <w:szCs w:val="22"/>
        </w:rPr>
        <w:t>Reserves</w:t>
      </w:r>
      <w:r w:rsidRPr="002474DC">
        <w:rPr>
          <w:sz w:val="22"/>
          <w:szCs w:val="22"/>
        </w:rPr>
        <w:t xml:space="preserve">). </w:t>
      </w:r>
    </w:p>
    <w:p w14:paraId="2197100A" w14:textId="77777777" w:rsidR="006D07AE" w:rsidRPr="002474DC" w:rsidRDefault="006D07AE" w:rsidP="006D07AE">
      <w:pPr>
        <w:spacing w:before="200" w:after="0"/>
        <w:rPr>
          <w:rFonts w:ascii="Calibri" w:hAnsi="Calibri" w:cs="Calibri"/>
          <w:b/>
          <w:sz w:val="28"/>
          <w:szCs w:val="28"/>
          <w:lang w:val="en-US"/>
        </w:rPr>
      </w:pPr>
      <w:r w:rsidRPr="002474DC">
        <w:rPr>
          <w:rFonts w:ascii="Calibri" w:hAnsi="Calibri" w:cs="Calibri"/>
          <w:b/>
          <w:sz w:val="28"/>
          <w:szCs w:val="28"/>
          <w:lang w:val="en-US"/>
        </w:rPr>
        <w:t>Background</w:t>
      </w:r>
    </w:p>
    <w:p w14:paraId="3B4F0D00" w14:textId="77777777" w:rsidR="006D07AE" w:rsidRPr="002474DC" w:rsidRDefault="006D07AE" w:rsidP="006D07AE">
      <w:pPr>
        <w:pStyle w:val="Default"/>
        <w:spacing w:after="120"/>
        <w:jc w:val="both"/>
        <w:rPr>
          <w:sz w:val="22"/>
          <w:szCs w:val="22"/>
        </w:rPr>
      </w:pPr>
      <w:r w:rsidRPr="002474DC">
        <w:rPr>
          <w:sz w:val="22"/>
          <w:szCs w:val="22"/>
        </w:rPr>
        <w:t>Reserves are accounts established and held within the municipal fund to hold cash retained by the Town for the purpose of:</w:t>
      </w:r>
    </w:p>
    <w:p w14:paraId="62B289C5" w14:textId="77777777" w:rsidR="006D07AE" w:rsidRPr="002474DC" w:rsidRDefault="006D07AE" w:rsidP="002A3889">
      <w:pPr>
        <w:pStyle w:val="Default"/>
        <w:numPr>
          <w:ilvl w:val="0"/>
          <w:numId w:val="444"/>
        </w:numPr>
        <w:spacing w:after="60"/>
        <w:ind w:left="714" w:hanging="357"/>
        <w:jc w:val="both"/>
        <w:rPr>
          <w:sz w:val="22"/>
          <w:szCs w:val="22"/>
        </w:rPr>
      </w:pPr>
      <w:r>
        <w:rPr>
          <w:sz w:val="22"/>
          <w:szCs w:val="22"/>
        </w:rPr>
        <w:t>r</w:t>
      </w:r>
      <w:r w:rsidRPr="002474DC">
        <w:rPr>
          <w:sz w:val="22"/>
          <w:szCs w:val="22"/>
        </w:rPr>
        <w:t xml:space="preserve">educing business </w:t>
      </w:r>
      <w:proofErr w:type="gramStart"/>
      <w:r w:rsidRPr="002474DC">
        <w:rPr>
          <w:sz w:val="22"/>
          <w:szCs w:val="22"/>
        </w:rPr>
        <w:t>risk;</w:t>
      </w:r>
      <w:proofErr w:type="gramEnd"/>
    </w:p>
    <w:p w14:paraId="765C436C" w14:textId="77777777" w:rsidR="006D07AE" w:rsidRPr="002474DC" w:rsidRDefault="006D07AE" w:rsidP="002A3889">
      <w:pPr>
        <w:pStyle w:val="Default"/>
        <w:numPr>
          <w:ilvl w:val="0"/>
          <w:numId w:val="444"/>
        </w:numPr>
        <w:spacing w:after="60"/>
        <w:ind w:left="714" w:hanging="357"/>
        <w:jc w:val="both"/>
        <w:rPr>
          <w:sz w:val="22"/>
          <w:szCs w:val="22"/>
        </w:rPr>
      </w:pPr>
      <w:r>
        <w:rPr>
          <w:sz w:val="22"/>
          <w:szCs w:val="22"/>
        </w:rPr>
        <w:t>i</w:t>
      </w:r>
      <w:r w:rsidRPr="002474DC">
        <w:rPr>
          <w:sz w:val="22"/>
          <w:szCs w:val="22"/>
        </w:rPr>
        <w:t>mprov</w:t>
      </w:r>
      <w:r>
        <w:rPr>
          <w:sz w:val="22"/>
          <w:szCs w:val="22"/>
        </w:rPr>
        <w:t>ing</w:t>
      </w:r>
      <w:r w:rsidRPr="002474DC">
        <w:rPr>
          <w:sz w:val="22"/>
          <w:szCs w:val="22"/>
        </w:rPr>
        <w:t xml:space="preserve"> financial </w:t>
      </w:r>
      <w:proofErr w:type="gramStart"/>
      <w:r w:rsidRPr="002474DC">
        <w:rPr>
          <w:sz w:val="22"/>
          <w:szCs w:val="22"/>
        </w:rPr>
        <w:t>management;</w:t>
      </w:r>
      <w:proofErr w:type="gramEnd"/>
    </w:p>
    <w:p w14:paraId="4C9385E9" w14:textId="77777777" w:rsidR="006D07AE" w:rsidRPr="002474DC" w:rsidRDefault="006D07AE" w:rsidP="002A3889">
      <w:pPr>
        <w:pStyle w:val="Default"/>
        <w:numPr>
          <w:ilvl w:val="0"/>
          <w:numId w:val="444"/>
        </w:numPr>
        <w:spacing w:after="60"/>
        <w:ind w:left="714" w:hanging="357"/>
        <w:jc w:val="both"/>
        <w:rPr>
          <w:sz w:val="22"/>
          <w:szCs w:val="22"/>
        </w:rPr>
      </w:pPr>
      <w:r>
        <w:rPr>
          <w:sz w:val="22"/>
          <w:szCs w:val="22"/>
        </w:rPr>
        <w:t>improving</w:t>
      </w:r>
      <w:r w:rsidRPr="002474DC">
        <w:rPr>
          <w:sz w:val="22"/>
          <w:szCs w:val="22"/>
        </w:rPr>
        <w:t xml:space="preserve"> strategic </w:t>
      </w:r>
      <w:proofErr w:type="gramStart"/>
      <w:r w:rsidRPr="002474DC">
        <w:rPr>
          <w:sz w:val="22"/>
          <w:szCs w:val="22"/>
        </w:rPr>
        <w:t>capacity;</w:t>
      </w:r>
      <w:proofErr w:type="gramEnd"/>
    </w:p>
    <w:p w14:paraId="52852944" w14:textId="77777777" w:rsidR="006D07AE" w:rsidRPr="002474DC" w:rsidRDefault="006D07AE" w:rsidP="002A3889">
      <w:pPr>
        <w:pStyle w:val="Default"/>
        <w:numPr>
          <w:ilvl w:val="0"/>
          <w:numId w:val="444"/>
        </w:numPr>
        <w:spacing w:after="60"/>
        <w:ind w:left="714" w:hanging="357"/>
        <w:jc w:val="both"/>
        <w:rPr>
          <w:sz w:val="22"/>
          <w:szCs w:val="22"/>
        </w:rPr>
      </w:pPr>
      <w:r w:rsidRPr="002474DC">
        <w:rPr>
          <w:sz w:val="22"/>
          <w:szCs w:val="22"/>
        </w:rPr>
        <w:t>meeting asset renewal needs; or</w:t>
      </w:r>
    </w:p>
    <w:p w14:paraId="598CE593" w14:textId="77777777" w:rsidR="006D07AE" w:rsidRPr="002474DC" w:rsidRDefault="006D07AE" w:rsidP="002A3889">
      <w:pPr>
        <w:pStyle w:val="Default"/>
        <w:numPr>
          <w:ilvl w:val="0"/>
          <w:numId w:val="444"/>
        </w:numPr>
        <w:jc w:val="both"/>
        <w:rPr>
          <w:sz w:val="22"/>
          <w:szCs w:val="22"/>
        </w:rPr>
      </w:pPr>
      <w:r w:rsidRPr="002474DC">
        <w:rPr>
          <w:sz w:val="22"/>
          <w:szCs w:val="22"/>
        </w:rPr>
        <w:t xml:space="preserve">meeting statutory obligations and other external requirements. </w:t>
      </w:r>
    </w:p>
    <w:p w14:paraId="0D502A5F" w14:textId="77777777" w:rsidR="006D07AE" w:rsidRPr="002474DC" w:rsidRDefault="006D07AE" w:rsidP="001F0392">
      <w:pPr>
        <w:pStyle w:val="Default"/>
        <w:spacing w:before="200"/>
        <w:jc w:val="both"/>
        <w:rPr>
          <w:sz w:val="22"/>
          <w:szCs w:val="22"/>
        </w:rPr>
      </w:pPr>
      <w:r w:rsidRPr="002474DC">
        <w:rPr>
          <w:sz w:val="22"/>
          <w:szCs w:val="22"/>
        </w:rPr>
        <w:t>The balance of cash held in reserve accounts are restricted to the defined purpose for which the reserve account was established.</w:t>
      </w:r>
    </w:p>
    <w:p w14:paraId="57763C8D" w14:textId="77777777" w:rsidR="006D07AE" w:rsidRPr="002474DC" w:rsidRDefault="006D07AE" w:rsidP="001F0392">
      <w:pPr>
        <w:pStyle w:val="Default"/>
        <w:spacing w:before="200"/>
        <w:jc w:val="both"/>
        <w:rPr>
          <w:sz w:val="22"/>
          <w:szCs w:val="22"/>
        </w:rPr>
      </w:pPr>
      <w:r w:rsidRPr="002474DC">
        <w:rPr>
          <w:sz w:val="22"/>
          <w:szCs w:val="22"/>
        </w:rPr>
        <w:t xml:space="preserve">Changes to the purpose for which money is held in a cash reserve can be achieved in accordance with the requirements as set out in the </w:t>
      </w:r>
      <w:r w:rsidRPr="002474DC">
        <w:rPr>
          <w:i/>
          <w:sz w:val="22"/>
          <w:szCs w:val="22"/>
        </w:rPr>
        <w:t>Local Government Act 1995</w:t>
      </w:r>
      <w:r w:rsidRPr="002474DC">
        <w:rPr>
          <w:sz w:val="22"/>
          <w:szCs w:val="22"/>
        </w:rPr>
        <w:t xml:space="preserve">.     </w:t>
      </w:r>
    </w:p>
    <w:p w14:paraId="6DFDD658" w14:textId="77777777" w:rsidR="006D07AE" w:rsidRPr="002474DC" w:rsidRDefault="006D07AE" w:rsidP="006D07AE">
      <w:pPr>
        <w:spacing w:before="200" w:after="0"/>
        <w:jc w:val="both"/>
        <w:rPr>
          <w:rFonts w:ascii="Calibri" w:hAnsi="Calibri" w:cs="Calibri"/>
          <w:b/>
          <w:sz w:val="28"/>
          <w:szCs w:val="28"/>
          <w:lang w:val="en-US"/>
        </w:rPr>
      </w:pPr>
      <w:r w:rsidRPr="002474DC">
        <w:rPr>
          <w:rFonts w:ascii="Calibri" w:hAnsi="Calibri" w:cs="Calibri"/>
          <w:b/>
          <w:sz w:val="28"/>
          <w:szCs w:val="28"/>
          <w:lang w:val="en-US"/>
        </w:rPr>
        <w:t xml:space="preserve">Policy </w:t>
      </w:r>
    </w:p>
    <w:p w14:paraId="3E14E81A" w14:textId="77777777" w:rsidR="006D07AE" w:rsidRPr="002474DC" w:rsidRDefault="006D07AE" w:rsidP="001F0392">
      <w:pPr>
        <w:autoSpaceDE w:val="0"/>
        <w:autoSpaceDN w:val="0"/>
        <w:adjustRightInd w:val="0"/>
        <w:spacing w:after="0"/>
        <w:jc w:val="both"/>
        <w:rPr>
          <w:rFonts w:ascii="Calibri" w:hAnsi="Calibri" w:cs="Calibri"/>
        </w:rPr>
      </w:pPr>
      <w:r w:rsidRPr="002474DC">
        <w:rPr>
          <w:rFonts w:ascii="Calibri" w:hAnsi="Calibri" w:cs="Calibri"/>
        </w:rPr>
        <w:t>This Policy provides direction to management in relation to a framework surrounding decisions to place funds into a reserve account.</w:t>
      </w:r>
    </w:p>
    <w:p w14:paraId="43190A48" w14:textId="77777777" w:rsidR="006D07AE" w:rsidRPr="002474DC" w:rsidRDefault="006D07AE" w:rsidP="001F0392">
      <w:pPr>
        <w:pStyle w:val="Subheading"/>
        <w:spacing w:before="200" w:after="0"/>
        <w:rPr>
          <w:rFonts w:ascii="Calibri" w:hAnsi="Calibri" w:cs="Calibri"/>
          <w:szCs w:val="22"/>
        </w:rPr>
      </w:pPr>
      <w:r w:rsidRPr="002474DC">
        <w:rPr>
          <w:rFonts w:ascii="Calibri" w:hAnsi="Calibri" w:cs="Calibri"/>
          <w:szCs w:val="22"/>
        </w:rPr>
        <w:t xml:space="preserve">Linkage to the </w:t>
      </w:r>
      <w:proofErr w:type="gramStart"/>
      <w:r w:rsidRPr="002474DC">
        <w:rPr>
          <w:rFonts w:ascii="Calibri" w:hAnsi="Calibri" w:cs="Calibri"/>
          <w:szCs w:val="22"/>
        </w:rPr>
        <w:t>Long Term</w:t>
      </w:r>
      <w:proofErr w:type="gramEnd"/>
      <w:r w:rsidRPr="002474DC">
        <w:rPr>
          <w:rFonts w:ascii="Calibri" w:hAnsi="Calibri" w:cs="Calibri"/>
          <w:szCs w:val="22"/>
        </w:rPr>
        <w:t xml:space="preserve"> Financial Plan </w:t>
      </w:r>
    </w:p>
    <w:p w14:paraId="32AC4805" w14:textId="77777777" w:rsidR="006D07AE" w:rsidRPr="002474DC" w:rsidRDefault="006D07AE" w:rsidP="001F0392">
      <w:pPr>
        <w:autoSpaceDE w:val="0"/>
        <w:autoSpaceDN w:val="0"/>
        <w:adjustRightInd w:val="0"/>
        <w:spacing w:before="200" w:after="0"/>
        <w:jc w:val="both"/>
        <w:rPr>
          <w:rFonts w:ascii="Calibri" w:hAnsi="Calibri" w:cs="Calibri"/>
        </w:rPr>
      </w:pPr>
      <w:r w:rsidRPr="002474DC">
        <w:rPr>
          <w:rFonts w:ascii="Calibri" w:hAnsi="Calibri" w:cs="Calibri"/>
        </w:rPr>
        <w:t xml:space="preserve">Cash reserves are a mechanism to assist in achieving the strategic objectives of the Town and the decision to allocate cash to/from a reserve account is made within the context of its implication on the </w:t>
      </w:r>
      <w:proofErr w:type="gramStart"/>
      <w:r w:rsidRPr="002474DC">
        <w:rPr>
          <w:rFonts w:ascii="Calibri" w:hAnsi="Calibri" w:cs="Calibri"/>
        </w:rPr>
        <w:t>long term</w:t>
      </w:r>
      <w:proofErr w:type="gramEnd"/>
      <w:r w:rsidRPr="002474DC">
        <w:rPr>
          <w:rFonts w:ascii="Calibri" w:hAnsi="Calibri" w:cs="Calibri"/>
        </w:rPr>
        <w:t xml:space="preserve"> financial sustainability of the Town.</w:t>
      </w:r>
    </w:p>
    <w:p w14:paraId="1653B5D2" w14:textId="77777777" w:rsidR="006D07AE" w:rsidRPr="002474DC" w:rsidRDefault="006D07AE" w:rsidP="001F0392">
      <w:pPr>
        <w:pStyle w:val="Subheading"/>
        <w:spacing w:before="200" w:after="0"/>
        <w:rPr>
          <w:rFonts w:ascii="Calibri" w:hAnsi="Calibri" w:cs="Calibri"/>
          <w:szCs w:val="22"/>
        </w:rPr>
      </w:pPr>
      <w:r w:rsidRPr="002474DC">
        <w:rPr>
          <w:rFonts w:ascii="Calibri" w:hAnsi="Calibri" w:cs="Calibri"/>
          <w:szCs w:val="22"/>
        </w:rPr>
        <w:t>Inter-Generational Equity</w:t>
      </w:r>
    </w:p>
    <w:p w14:paraId="2472F023" w14:textId="77777777" w:rsidR="006D07AE" w:rsidRPr="002474DC" w:rsidRDefault="006D07AE" w:rsidP="006D07AE">
      <w:pPr>
        <w:autoSpaceDE w:val="0"/>
        <w:autoSpaceDN w:val="0"/>
        <w:adjustRightInd w:val="0"/>
        <w:spacing w:after="120"/>
        <w:jc w:val="both"/>
        <w:rPr>
          <w:rFonts w:ascii="Calibri" w:hAnsi="Calibri" w:cs="Calibri"/>
        </w:rPr>
      </w:pPr>
      <w:r w:rsidRPr="002474DC">
        <w:rPr>
          <w:rFonts w:ascii="Calibri" w:hAnsi="Calibri" w:cs="Calibri"/>
        </w:rPr>
        <w:t xml:space="preserve">The Town will seek to achieve intergenerational equity in its use of reserve savings as a means of funding long lived assets to achieve an alignment of the cost of funding the asset(s) and the consumption of the benefit. </w:t>
      </w:r>
    </w:p>
    <w:p w14:paraId="6873470E" w14:textId="77777777" w:rsidR="001F0392" w:rsidRDefault="001F0392">
      <w:pPr>
        <w:rPr>
          <w:rFonts w:ascii="Calibri" w:hAnsi="Calibri" w:cs="Calibri"/>
          <w:b/>
          <w:color w:val="000000"/>
        </w:rPr>
      </w:pPr>
      <w:r>
        <w:rPr>
          <w:b/>
        </w:rPr>
        <w:br w:type="page"/>
      </w:r>
    </w:p>
    <w:p w14:paraId="2979C3D9" w14:textId="77777777" w:rsidR="006D07AE" w:rsidRPr="00CC41D5" w:rsidRDefault="006D07AE" w:rsidP="006D07AE">
      <w:pPr>
        <w:pStyle w:val="Default"/>
        <w:jc w:val="both"/>
        <w:rPr>
          <w:sz w:val="22"/>
          <w:szCs w:val="22"/>
        </w:rPr>
      </w:pPr>
      <w:r w:rsidRPr="00CC41D5">
        <w:rPr>
          <w:b/>
          <w:sz w:val="22"/>
          <w:szCs w:val="22"/>
        </w:rPr>
        <w:lastRenderedPageBreak/>
        <w:t>Establishment of Reserve Accounts</w:t>
      </w:r>
      <w:r w:rsidRPr="00CC41D5">
        <w:rPr>
          <w:sz w:val="22"/>
          <w:szCs w:val="22"/>
        </w:rPr>
        <w:t xml:space="preserve"> </w:t>
      </w:r>
    </w:p>
    <w:p w14:paraId="3F5B148E" w14:textId="77777777" w:rsidR="006D07AE" w:rsidRPr="00CC41D5" w:rsidRDefault="006D07AE" w:rsidP="001F0392">
      <w:pPr>
        <w:pStyle w:val="Default"/>
        <w:spacing w:after="120"/>
        <w:jc w:val="both"/>
        <w:rPr>
          <w:sz w:val="22"/>
          <w:szCs w:val="22"/>
        </w:rPr>
      </w:pPr>
      <w:r w:rsidRPr="00CC41D5">
        <w:rPr>
          <w:sz w:val="22"/>
          <w:szCs w:val="22"/>
        </w:rPr>
        <w:t>The Town will generally support the establishment of cash reserves in accordance with Appendix A of this policy, to achieve the following outcomes:</w:t>
      </w:r>
    </w:p>
    <w:tbl>
      <w:tblPr>
        <w:tblStyle w:val="TableGrid"/>
        <w:tblW w:w="0" w:type="auto"/>
        <w:tblLook w:val="04A0" w:firstRow="1" w:lastRow="0" w:firstColumn="1" w:lastColumn="0" w:noHBand="0" w:noVBand="1"/>
      </w:tblPr>
      <w:tblGrid>
        <w:gridCol w:w="1838"/>
        <w:gridCol w:w="7178"/>
      </w:tblGrid>
      <w:tr w:rsidR="006D07AE" w:rsidRPr="00CC41D5" w14:paraId="6FE52E56" w14:textId="77777777" w:rsidTr="00C7267C">
        <w:tc>
          <w:tcPr>
            <w:tcW w:w="1838" w:type="dxa"/>
          </w:tcPr>
          <w:p w14:paraId="24305252" w14:textId="77777777" w:rsidR="006D07AE" w:rsidRPr="00CC41D5" w:rsidRDefault="006D07AE" w:rsidP="00C7267C">
            <w:pPr>
              <w:pStyle w:val="Default"/>
              <w:jc w:val="both"/>
              <w:rPr>
                <w:b/>
                <w:sz w:val="20"/>
                <w:szCs w:val="22"/>
              </w:rPr>
            </w:pPr>
            <w:r w:rsidRPr="00CC41D5">
              <w:rPr>
                <w:b/>
                <w:sz w:val="20"/>
                <w:szCs w:val="22"/>
              </w:rPr>
              <w:t>Purpose</w:t>
            </w:r>
          </w:p>
        </w:tc>
        <w:tc>
          <w:tcPr>
            <w:tcW w:w="7178" w:type="dxa"/>
          </w:tcPr>
          <w:p w14:paraId="6CD2D93F" w14:textId="77777777" w:rsidR="006D07AE" w:rsidRPr="00CC41D5" w:rsidRDefault="006D07AE" w:rsidP="00C7267C">
            <w:pPr>
              <w:pStyle w:val="Default"/>
              <w:jc w:val="both"/>
              <w:rPr>
                <w:b/>
                <w:sz w:val="20"/>
                <w:szCs w:val="22"/>
              </w:rPr>
            </w:pPr>
            <w:r w:rsidRPr="00CC41D5">
              <w:rPr>
                <w:b/>
                <w:sz w:val="20"/>
                <w:szCs w:val="22"/>
              </w:rPr>
              <w:t>Rationale for Establishment</w:t>
            </w:r>
          </w:p>
        </w:tc>
      </w:tr>
      <w:tr w:rsidR="006D07AE" w:rsidRPr="00CC41D5" w14:paraId="38A5E1E6" w14:textId="77777777" w:rsidTr="00C7267C">
        <w:tc>
          <w:tcPr>
            <w:tcW w:w="1838" w:type="dxa"/>
          </w:tcPr>
          <w:p w14:paraId="462F7B2C" w14:textId="77777777" w:rsidR="006D07AE" w:rsidRPr="00CC41D5" w:rsidRDefault="006D07AE" w:rsidP="001F0392">
            <w:pPr>
              <w:pStyle w:val="Default"/>
              <w:jc w:val="both"/>
              <w:rPr>
                <w:sz w:val="22"/>
                <w:szCs w:val="22"/>
              </w:rPr>
            </w:pPr>
            <w:r w:rsidRPr="00CC41D5">
              <w:rPr>
                <w:sz w:val="22"/>
                <w:szCs w:val="22"/>
              </w:rPr>
              <w:t>Business Risk</w:t>
            </w:r>
          </w:p>
          <w:p w14:paraId="26953069" w14:textId="77777777" w:rsidR="006D07AE" w:rsidRPr="00CC41D5" w:rsidRDefault="006D07AE" w:rsidP="00C7267C">
            <w:pPr>
              <w:pStyle w:val="Default"/>
              <w:jc w:val="both"/>
              <w:rPr>
                <w:sz w:val="22"/>
                <w:szCs w:val="22"/>
              </w:rPr>
            </w:pPr>
          </w:p>
        </w:tc>
        <w:tc>
          <w:tcPr>
            <w:tcW w:w="7178" w:type="dxa"/>
          </w:tcPr>
          <w:p w14:paraId="446EF56D" w14:textId="77777777" w:rsidR="006D07AE" w:rsidRPr="00CC41D5" w:rsidRDefault="006D07AE" w:rsidP="001F0392">
            <w:pPr>
              <w:pStyle w:val="Default"/>
              <w:jc w:val="both"/>
              <w:rPr>
                <w:sz w:val="22"/>
                <w:szCs w:val="22"/>
              </w:rPr>
            </w:pPr>
            <w:r w:rsidRPr="00CC41D5">
              <w:rPr>
                <w:sz w:val="22"/>
                <w:szCs w:val="22"/>
              </w:rPr>
              <w:t xml:space="preserve">Reserves may be established to minimise the impact on Council operations in any one year from unanticipated events. Unanticipated events can arise from the impact of natural disasters where the financial risks cannot be fully recouped under an insurance policy or disaster funding. </w:t>
            </w:r>
          </w:p>
          <w:p w14:paraId="6FCA22CC" w14:textId="77777777" w:rsidR="006D07AE" w:rsidRPr="00CC41D5" w:rsidRDefault="006D07AE" w:rsidP="00C7267C">
            <w:pPr>
              <w:pStyle w:val="Default"/>
              <w:spacing w:before="120"/>
              <w:jc w:val="both"/>
              <w:rPr>
                <w:sz w:val="22"/>
                <w:szCs w:val="22"/>
              </w:rPr>
            </w:pPr>
            <w:r w:rsidRPr="00CC41D5">
              <w:rPr>
                <w:sz w:val="22"/>
                <w:szCs w:val="22"/>
              </w:rPr>
              <w:t xml:space="preserve">In addition, unanticipated events may include draws on employee entitlements such as annual leave or sick leave or the unanticipated failure of assets critically important to maintaining service levels.  </w:t>
            </w:r>
          </w:p>
        </w:tc>
      </w:tr>
      <w:tr w:rsidR="006D07AE" w:rsidRPr="00CC41D5" w14:paraId="3A897BB8" w14:textId="77777777" w:rsidTr="00C7267C">
        <w:tc>
          <w:tcPr>
            <w:tcW w:w="1838" w:type="dxa"/>
          </w:tcPr>
          <w:p w14:paraId="4ED7FCB6" w14:textId="77777777" w:rsidR="006D07AE" w:rsidRPr="00CC41D5" w:rsidRDefault="006D07AE" w:rsidP="00C7267C">
            <w:pPr>
              <w:pStyle w:val="Default"/>
              <w:jc w:val="both"/>
              <w:rPr>
                <w:sz w:val="22"/>
                <w:szCs w:val="22"/>
              </w:rPr>
            </w:pPr>
            <w:r w:rsidRPr="00CC41D5">
              <w:rPr>
                <w:sz w:val="22"/>
                <w:szCs w:val="22"/>
              </w:rPr>
              <w:t>Financial Management</w:t>
            </w:r>
          </w:p>
        </w:tc>
        <w:tc>
          <w:tcPr>
            <w:tcW w:w="7178" w:type="dxa"/>
          </w:tcPr>
          <w:p w14:paraId="4F06A8E2" w14:textId="77777777" w:rsidR="006D07AE" w:rsidRPr="00CC41D5" w:rsidRDefault="006D07AE" w:rsidP="001F0392">
            <w:pPr>
              <w:pStyle w:val="Default"/>
              <w:spacing w:after="120"/>
              <w:jc w:val="both"/>
              <w:rPr>
                <w:sz w:val="22"/>
                <w:szCs w:val="22"/>
              </w:rPr>
            </w:pPr>
            <w:r w:rsidRPr="00CC41D5">
              <w:rPr>
                <w:sz w:val="22"/>
                <w:szCs w:val="22"/>
              </w:rPr>
              <w:t xml:space="preserve">To manage the transition from a past budget period to a future accounting period, reserves may be established to hold restricted funds for transfer to a future period to match/offset the respective expenditure.   </w:t>
            </w:r>
          </w:p>
          <w:p w14:paraId="4D89CCFA" w14:textId="77777777" w:rsidR="006D07AE" w:rsidRPr="00CC41D5" w:rsidRDefault="006D07AE" w:rsidP="00C7267C">
            <w:pPr>
              <w:pStyle w:val="Default"/>
              <w:jc w:val="both"/>
              <w:rPr>
                <w:sz w:val="22"/>
                <w:szCs w:val="22"/>
              </w:rPr>
            </w:pPr>
            <w:r w:rsidRPr="00CC41D5">
              <w:rPr>
                <w:sz w:val="22"/>
                <w:szCs w:val="22"/>
              </w:rPr>
              <w:t xml:space="preserve">Reserves may also be established to be used to accumulate funds for significant operating expenses that occur on a recurrent basis but do not require an annual allocation in every budget year.  </w:t>
            </w:r>
          </w:p>
        </w:tc>
      </w:tr>
      <w:tr w:rsidR="006D07AE" w:rsidRPr="00CC41D5" w14:paraId="2B271CD7" w14:textId="77777777" w:rsidTr="00C7267C">
        <w:tc>
          <w:tcPr>
            <w:tcW w:w="1838" w:type="dxa"/>
          </w:tcPr>
          <w:p w14:paraId="475C2712" w14:textId="77777777" w:rsidR="006D07AE" w:rsidRPr="00CC41D5" w:rsidRDefault="006D07AE" w:rsidP="00C7267C">
            <w:pPr>
              <w:pStyle w:val="Default"/>
              <w:spacing w:before="120"/>
              <w:jc w:val="both"/>
              <w:rPr>
                <w:sz w:val="22"/>
                <w:szCs w:val="22"/>
              </w:rPr>
            </w:pPr>
            <w:r w:rsidRPr="00CC41D5">
              <w:rPr>
                <w:sz w:val="22"/>
                <w:szCs w:val="22"/>
              </w:rPr>
              <w:t>Strategic Capacity</w:t>
            </w:r>
          </w:p>
          <w:p w14:paraId="3553C697" w14:textId="77777777" w:rsidR="006D07AE" w:rsidRPr="00CC41D5" w:rsidRDefault="006D07AE" w:rsidP="00C7267C">
            <w:pPr>
              <w:pStyle w:val="Default"/>
              <w:jc w:val="both"/>
              <w:rPr>
                <w:sz w:val="22"/>
                <w:szCs w:val="22"/>
              </w:rPr>
            </w:pPr>
          </w:p>
        </w:tc>
        <w:tc>
          <w:tcPr>
            <w:tcW w:w="7178" w:type="dxa"/>
          </w:tcPr>
          <w:p w14:paraId="69F65BA8" w14:textId="77777777" w:rsidR="006D07AE" w:rsidRPr="00CC41D5" w:rsidRDefault="006D07AE" w:rsidP="00E27363">
            <w:pPr>
              <w:pStyle w:val="Default"/>
              <w:spacing w:before="120" w:after="120"/>
              <w:jc w:val="both"/>
              <w:rPr>
                <w:sz w:val="22"/>
                <w:szCs w:val="22"/>
              </w:rPr>
            </w:pPr>
            <w:r w:rsidRPr="00CC41D5">
              <w:rPr>
                <w:sz w:val="22"/>
                <w:szCs w:val="22"/>
              </w:rPr>
              <w:t>On occasions, the Town is offered strategic opportunities by the State/Federal government or the private sector to partner in the provision and delivery of community initiatives and programs. These are usually in the form of external grants or contributions which require a financial contribution from the Town. Sufficient notice may not be provided to develop a specific financing strategy to take advantage of these opportunities. Strategic Reserves may be established to maintain a level of savings to access these opportunities subject to the outcomes aligning with the Town’s strategic community goals and priorities.</w:t>
            </w:r>
          </w:p>
        </w:tc>
      </w:tr>
      <w:tr w:rsidR="006D07AE" w:rsidRPr="00CC41D5" w14:paraId="648D03D0" w14:textId="77777777" w:rsidTr="00C7267C">
        <w:tc>
          <w:tcPr>
            <w:tcW w:w="1838" w:type="dxa"/>
          </w:tcPr>
          <w:p w14:paraId="168A31A9" w14:textId="77777777" w:rsidR="006D07AE" w:rsidRPr="00CC41D5" w:rsidRDefault="006D07AE" w:rsidP="00C7267C">
            <w:pPr>
              <w:pStyle w:val="Default"/>
              <w:jc w:val="both"/>
              <w:rPr>
                <w:sz w:val="22"/>
                <w:szCs w:val="22"/>
              </w:rPr>
            </w:pPr>
            <w:r w:rsidRPr="00CC41D5">
              <w:rPr>
                <w:sz w:val="22"/>
                <w:szCs w:val="22"/>
              </w:rPr>
              <w:t>Meeting Future Needs for Asset Management</w:t>
            </w:r>
          </w:p>
        </w:tc>
        <w:tc>
          <w:tcPr>
            <w:tcW w:w="7178" w:type="dxa"/>
          </w:tcPr>
          <w:p w14:paraId="4E9FD3CB" w14:textId="77777777" w:rsidR="006D07AE" w:rsidRPr="00CC41D5" w:rsidRDefault="006D07AE" w:rsidP="00C7267C">
            <w:pPr>
              <w:pStyle w:val="Default"/>
              <w:jc w:val="both"/>
              <w:rPr>
                <w:sz w:val="22"/>
                <w:szCs w:val="22"/>
              </w:rPr>
            </w:pPr>
            <w:r w:rsidRPr="00CC41D5">
              <w:rPr>
                <w:sz w:val="22"/>
                <w:szCs w:val="22"/>
              </w:rPr>
              <w:t>Reserves may be established to save for the future renewal of assets with the funding of anticipated future expenditure needs which provides the Town a financing tool to manage issues of intergenerational equity, reduce reliance on borrowing to fund long lived assets and to overcome the restriction of a single budget by smoothing the funding allocation over the longer term.</w:t>
            </w:r>
          </w:p>
        </w:tc>
      </w:tr>
      <w:tr w:rsidR="006D07AE" w:rsidRPr="00CC41D5" w14:paraId="015A28F3" w14:textId="77777777" w:rsidTr="00C7267C">
        <w:tc>
          <w:tcPr>
            <w:tcW w:w="1838" w:type="dxa"/>
          </w:tcPr>
          <w:p w14:paraId="10D82014" w14:textId="77777777" w:rsidR="006D07AE" w:rsidRPr="00CC41D5" w:rsidRDefault="006D07AE" w:rsidP="00C7267C">
            <w:pPr>
              <w:pStyle w:val="Default"/>
              <w:jc w:val="both"/>
              <w:rPr>
                <w:sz w:val="22"/>
                <w:szCs w:val="22"/>
              </w:rPr>
            </w:pPr>
            <w:r w:rsidRPr="00CC41D5">
              <w:rPr>
                <w:sz w:val="22"/>
                <w:szCs w:val="22"/>
              </w:rPr>
              <w:t>Statutory Obligations</w:t>
            </w:r>
          </w:p>
        </w:tc>
        <w:tc>
          <w:tcPr>
            <w:tcW w:w="7178" w:type="dxa"/>
          </w:tcPr>
          <w:p w14:paraId="4E5346C1" w14:textId="77777777" w:rsidR="006D07AE" w:rsidRPr="00CC41D5" w:rsidRDefault="006D07AE" w:rsidP="001F0392">
            <w:pPr>
              <w:pStyle w:val="Default"/>
              <w:spacing w:after="120"/>
              <w:jc w:val="both"/>
              <w:rPr>
                <w:sz w:val="22"/>
                <w:szCs w:val="22"/>
              </w:rPr>
            </w:pPr>
            <w:r w:rsidRPr="00CC41D5">
              <w:rPr>
                <w:sz w:val="22"/>
                <w:szCs w:val="22"/>
              </w:rPr>
              <w:t xml:space="preserve">The Local Government Act requires selected revenue streams to be quarantined and to only fund the purpose for which the revenue was raised. </w:t>
            </w:r>
          </w:p>
          <w:p w14:paraId="6BCE2963" w14:textId="77777777" w:rsidR="006D07AE" w:rsidRPr="00CC41D5" w:rsidRDefault="006D07AE" w:rsidP="001F0392">
            <w:pPr>
              <w:pStyle w:val="Default"/>
              <w:spacing w:after="120"/>
              <w:jc w:val="both"/>
              <w:rPr>
                <w:sz w:val="22"/>
                <w:szCs w:val="22"/>
              </w:rPr>
            </w:pPr>
            <w:r w:rsidRPr="00CC41D5">
              <w:rPr>
                <w:sz w:val="22"/>
                <w:szCs w:val="22"/>
              </w:rPr>
              <w:t>Examples are nominated service charges and specified area rates. Any revenue collected in a budget year not used for the purpose for which it was raise must be held in a reserve until it is applied to the purpose in future periods. Money held in these Reserves cannot be used for any other purpose.</w:t>
            </w:r>
          </w:p>
          <w:p w14:paraId="5F169B8C" w14:textId="77777777" w:rsidR="006D07AE" w:rsidRPr="00CC41D5" w:rsidRDefault="006D07AE" w:rsidP="00C7267C">
            <w:pPr>
              <w:pStyle w:val="Default"/>
              <w:jc w:val="both"/>
              <w:rPr>
                <w:sz w:val="22"/>
                <w:szCs w:val="22"/>
              </w:rPr>
            </w:pPr>
            <w:r w:rsidRPr="00CC41D5">
              <w:rPr>
                <w:sz w:val="22"/>
                <w:szCs w:val="22"/>
              </w:rPr>
              <w:t xml:space="preserve">Developer contributions are collected in accordance with Community Infrastructure Plans to be used to fund specific assets in nominated areas. </w:t>
            </w:r>
          </w:p>
        </w:tc>
      </w:tr>
    </w:tbl>
    <w:p w14:paraId="7AE192A5" w14:textId="77777777" w:rsidR="006D07AE" w:rsidRPr="00CC41D5" w:rsidRDefault="006D07AE" w:rsidP="006D07AE">
      <w:pPr>
        <w:pStyle w:val="Subheading"/>
        <w:spacing w:after="0"/>
        <w:rPr>
          <w:rFonts w:ascii="Calibri" w:hAnsi="Calibri" w:cs="Calibri"/>
        </w:rPr>
      </w:pPr>
      <w:r w:rsidRPr="00CC41D5">
        <w:rPr>
          <w:rFonts w:ascii="Calibri" w:hAnsi="Calibri" w:cs="Calibri"/>
        </w:rPr>
        <w:t>Interest on Investment of Reserves</w:t>
      </w:r>
    </w:p>
    <w:p w14:paraId="3AC3AFC4" w14:textId="77777777" w:rsidR="006D07AE" w:rsidRPr="00CC41D5" w:rsidRDefault="006D07AE" w:rsidP="00E27363">
      <w:pPr>
        <w:pStyle w:val="Default"/>
        <w:spacing w:after="200"/>
        <w:jc w:val="both"/>
        <w:rPr>
          <w:sz w:val="22"/>
          <w:szCs w:val="22"/>
        </w:rPr>
      </w:pPr>
      <w:r w:rsidRPr="00CC41D5">
        <w:rPr>
          <w:sz w:val="22"/>
          <w:szCs w:val="22"/>
        </w:rPr>
        <w:t xml:space="preserve">Subject to the balance of the reserve being below the maximum levels as outlined in this policy, interest earned on cash in Reserve accounts shall be transferred to the reserve account as a deposit.  </w:t>
      </w:r>
    </w:p>
    <w:p w14:paraId="003ABFE8" w14:textId="77777777" w:rsidR="006D07AE" w:rsidRPr="00CC41D5" w:rsidRDefault="006D07AE" w:rsidP="00E27363">
      <w:pPr>
        <w:pStyle w:val="Subheading"/>
        <w:spacing w:before="200" w:after="0"/>
        <w:rPr>
          <w:rFonts w:ascii="Calibri" w:hAnsi="Calibri" w:cs="Calibri"/>
        </w:rPr>
      </w:pPr>
      <w:r w:rsidRPr="00CC41D5">
        <w:rPr>
          <w:rFonts w:ascii="Calibri" w:hAnsi="Calibri" w:cs="Calibri"/>
        </w:rPr>
        <w:t>Monitoring and Reporting</w:t>
      </w:r>
    </w:p>
    <w:p w14:paraId="68E0E89E" w14:textId="77777777" w:rsidR="006D07AE" w:rsidRPr="00CC41D5" w:rsidRDefault="006D07AE" w:rsidP="00E27363">
      <w:pPr>
        <w:autoSpaceDE w:val="0"/>
        <w:autoSpaceDN w:val="0"/>
        <w:adjustRightInd w:val="0"/>
        <w:jc w:val="both"/>
        <w:rPr>
          <w:rFonts w:ascii="Calibri" w:hAnsi="Calibri" w:cs="Calibri"/>
        </w:rPr>
      </w:pPr>
      <w:r w:rsidRPr="00CC41D5">
        <w:rPr>
          <w:rFonts w:ascii="Calibri" w:hAnsi="Calibri" w:cs="Calibri"/>
        </w:rPr>
        <w:t xml:space="preserve">The minimum and maximum levels of cash held in each reserve (if applicable) will be determined in accordance with Appendix A of this Policy. The level of reserves will be reported in the budget annually in accordance with minimum and maximum levels as set out in this policy. </w:t>
      </w:r>
    </w:p>
    <w:p w14:paraId="1748DE3A" w14:textId="77777777" w:rsidR="006D07AE" w:rsidRPr="00CC41D5" w:rsidRDefault="006D07AE" w:rsidP="00E27363">
      <w:pPr>
        <w:autoSpaceDE w:val="0"/>
        <w:autoSpaceDN w:val="0"/>
        <w:adjustRightInd w:val="0"/>
        <w:jc w:val="both"/>
        <w:rPr>
          <w:rFonts w:ascii="Calibri" w:hAnsi="Calibri" w:cs="Calibri"/>
        </w:rPr>
      </w:pPr>
      <w:r w:rsidRPr="00CC41D5">
        <w:rPr>
          <w:rFonts w:ascii="Calibri" w:hAnsi="Calibri" w:cs="Calibri"/>
        </w:rPr>
        <w:lastRenderedPageBreak/>
        <w:t xml:space="preserve">The minimum levels as set out in this policy are to be considered as a goal and may not be able to be achieved at times due to events that impact the use of the reserve. If minimum levels are not achieved, the </w:t>
      </w:r>
      <w:proofErr w:type="gramStart"/>
      <w:r w:rsidRPr="00CC41D5">
        <w:rPr>
          <w:rFonts w:ascii="Calibri" w:hAnsi="Calibri" w:cs="Calibri"/>
        </w:rPr>
        <w:t>long term</w:t>
      </w:r>
      <w:proofErr w:type="gramEnd"/>
      <w:r w:rsidRPr="00CC41D5">
        <w:rPr>
          <w:rFonts w:ascii="Calibri" w:hAnsi="Calibri" w:cs="Calibri"/>
        </w:rPr>
        <w:t xml:space="preserve"> financial plan is to include strategies to return the cash reserves to the minimum balance in accordance with the levels set out in this policy.</w:t>
      </w:r>
    </w:p>
    <w:p w14:paraId="61821D5A" w14:textId="77777777" w:rsidR="006D07AE" w:rsidRPr="00CC41D5" w:rsidRDefault="006D07AE" w:rsidP="00E27363">
      <w:pPr>
        <w:autoSpaceDE w:val="0"/>
        <w:autoSpaceDN w:val="0"/>
        <w:adjustRightInd w:val="0"/>
        <w:jc w:val="both"/>
        <w:rPr>
          <w:rFonts w:ascii="Calibri" w:hAnsi="Calibri" w:cs="Calibri"/>
        </w:rPr>
      </w:pPr>
      <w:r w:rsidRPr="00CC41D5">
        <w:rPr>
          <w:rFonts w:ascii="Calibri" w:hAnsi="Calibri" w:cs="Calibri"/>
        </w:rPr>
        <w:t xml:space="preserve">If the maximum levels, as set out in this policy, are achieved for the relevant reserve account, future transfers of cash to the reserve (including interest earning from the investment of the reserve) may be suspended until such time as a report is prepared to the Council to review the levels and purpose of the reserve account.   </w:t>
      </w:r>
    </w:p>
    <w:p w14:paraId="57ACEE12" w14:textId="77777777" w:rsidR="006D07AE" w:rsidRPr="00CC41D5" w:rsidRDefault="006D07AE" w:rsidP="006D07AE">
      <w:pPr>
        <w:spacing w:after="0" w:line="240" w:lineRule="auto"/>
        <w:ind w:left="284" w:hanging="284"/>
        <w:jc w:val="both"/>
        <w:rPr>
          <w:rFonts w:ascii="Calibri" w:hAnsi="Calibri" w:cs="Calibri"/>
          <w:b/>
          <w:color w:val="000000" w:themeColor="text1"/>
          <w:lang w:val="en-US"/>
        </w:rPr>
      </w:pPr>
    </w:p>
    <w:tbl>
      <w:tblPr>
        <w:tblStyle w:val="TableGrid"/>
        <w:tblW w:w="0" w:type="auto"/>
        <w:tblLook w:val="04A0" w:firstRow="1" w:lastRow="0" w:firstColumn="1" w:lastColumn="0" w:noHBand="0" w:noVBand="1"/>
      </w:tblPr>
      <w:tblGrid>
        <w:gridCol w:w="3256"/>
        <w:gridCol w:w="5760"/>
      </w:tblGrid>
      <w:tr w:rsidR="006D07AE" w:rsidRPr="00CC41D5" w14:paraId="44F0689D" w14:textId="77777777" w:rsidTr="00C7267C">
        <w:tc>
          <w:tcPr>
            <w:tcW w:w="3256" w:type="dxa"/>
          </w:tcPr>
          <w:p w14:paraId="2036035B" w14:textId="77777777" w:rsidR="006D07AE" w:rsidRPr="00CC41D5" w:rsidRDefault="006D07AE" w:rsidP="00C7267C">
            <w:pPr>
              <w:jc w:val="both"/>
              <w:rPr>
                <w:rFonts w:ascii="Calibri" w:hAnsi="Calibri" w:cs="Calibri"/>
                <w:b/>
                <w:lang w:val="en-US"/>
              </w:rPr>
            </w:pPr>
            <w:r w:rsidRPr="00CC41D5">
              <w:rPr>
                <w:rFonts w:ascii="Calibri" w:hAnsi="Calibri" w:cs="Calibri"/>
                <w:b/>
                <w:lang w:val="en-US"/>
              </w:rPr>
              <w:t>Responsible Directorate:</w:t>
            </w:r>
          </w:p>
        </w:tc>
        <w:tc>
          <w:tcPr>
            <w:tcW w:w="5760" w:type="dxa"/>
          </w:tcPr>
          <w:p w14:paraId="532B733A" w14:textId="77777777" w:rsidR="006D07AE" w:rsidRPr="00CC41D5" w:rsidRDefault="006D07AE" w:rsidP="00C7267C">
            <w:pPr>
              <w:jc w:val="both"/>
              <w:rPr>
                <w:rFonts w:ascii="Calibri" w:hAnsi="Calibri" w:cs="Calibri"/>
                <w:lang w:val="en-US"/>
              </w:rPr>
            </w:pPr>
            <w:r w:rsidRPr="00CC41D5">
              <w:rPr>
                <w:rFonts w:ascii="Calibri" w:hAnsi="Calibri" w:cs="Calibri"/>
                <w:lang w:val="en-US"/>
              </w:rPr>
              <w:t>Corporate Services</w:t>
            </w:r>
          </w:p>
        </w:tc>
      </w:tr>
      <w:tr w:rsidR="006D07AE" w:rsidRPr="00CC41D5" w14:paraId="453ACA97" w14:textId="77777777" w:rsidTr="00C7267C">
        <w:tc>
          <w:tcPr>
            <w:tcW w:w="3256" w:type="dxa"/>
          </w:tcPr>
          <w:p w14:paraId="55EA2221" w14:textId="77777777" w:rsidR="006D07AE" w:rsidRPr="00CC41D5" w:rsidRDefault="006D07AE" w:rsidP="00C7267C">
            <w:pPr>
              <w:jc w:val="both"/>
              <w:rPr>
                <w:rFonts w:ascii="Calibri" w:hAnsi="Calibri" w:cs="Calibri"/>
                <w:b/>
                <w:lang w:val="en-US"/>
              </w:rPr>
            </w:pPr>
            <w:r w:rsidRPr="00CC41D5">
              <w:rPr>
                <w:rFonts w:ascii="Calibri" w:hAnsi="Calibri" w:cs="Calibri"/>
                <w:b/>
                <w:lang w:val="en-US"/>
              </w:rPr>
              <w:t>Reviewing Officer:</w:t>
            </w:r>
          </w:p>
        </w:tc>
        <w:tc>
          <w:tcPr>
            <w:tcW w:w="5760" w:type="dxa"/>
          </w:tcPr>
          <w:p w14:paraId="122C36B0" w14:textId="77777777" w:rsidR="006D07AE" w:rsidRPr="00CC41D5" w:rsidRDefault="006D07AE" w:rsidP="00C7267C">
            <w:pPr>
              <w:jc w:val="both"/>
              <w:rPr>
                <w:rFonts w:ascii="Calibri" w:hAnsi="Calibri" w:cs="Calibri"/>
                <w:lang w:val="en-US"/>
              </w:rPr>
            </w:pPr>
            <w:r w:rsidRPr="00CC41D5">
              <w:rPr>
                <w:rFonts w:ascii="Calibri" w:hAnsi="Calibri" w:cs="Calibri"/>
                <w:lang w:val="en-US"/>
              </w:rPr>
              <w:t>Manager Administration and Finance</w:t>
            </w:r>
          </w:p>
        </w:tc>
      </w:tr>
      <w:tr w:rsidR="006D07AE" w:rsidRPr="00CC41D5" w14:paraId="1174C6E1" w14:textId="77777777" w:rsidTr="00C7267C">
        <w:tc>
          <w:tcPr>
            <w:tcW w:w="3256" w:type="dxa"/>
          </w:tcPr>
          <w:p w14:paraId="7B7AD5B9" w14:textId="77777777" w:rsidR="006D07AE" w:rsidRPr="00CC41D5" w:rsidRDefault="006D07AE" w:rsidP="00C7267C">
            <w:pPr>
              <w:jc w:val="both"/>
              <w:rPr>
                <w:rFonts w:ascii="Calibri" w:hAnsi="Calibri" w:cs="Calibri"/>
                <w:b/>
                <w:lang w:val="en-US"/>
              </w:rPr>
            </w:pPr>
            <w:r w:rsidRPr="00CC41D5">
              <w:rPr>
                <w:rFonts w:ascii="Calibri" w:hAnsi="Calibri" w:cs="Calibri"/>
                <w:b/>
                <w:lang w:val="en-US"/>
              </w:rPr>
              <w:t>Decision making Authority:</w:t>
            </w:r>
          </w:p>
        </w:tc>
        <w:tc>
          <w:tcPr>
            <w:tcW w:w="5760" w:type="dxa"/>
          </w:tcPr>
          <w:p w14:paraId="3266165D" w14:textId="77777777" w:rsidR="006D07AE" w:rsidRPr="00CC41D5" w:rsidRDefault="006D07AE" w:rsidP="00C7267C">
            <w:pPr>
              <w:jc w:val="both"/>
              <w:rPr>
                <w:rFonts w:ascii="Calibri" w:hAnsi="Calibri" w:cs="Calibri"/>
                <w:lang w:val="en-US"/>
              </w:rPr>
            </w:pPr>
            <w:r w:rsidRPr="00CC41D5">
              <w:rPr>
                <w:rFonts w:ascii="Calibri" w:hAnsi="Calibri" w:cs="Calibri"/>
                <w:lang w:val="en-US"/>
              </w:rPr>
              <w:t>Council</w:t>
            </w:r>
          </w:p>
        </w:tc>
      </w:tr>
      <w:tr w:rsidR="006D07AE" w:rsidRPr="00CC41D5" w14:paraId="514EFFB2" w14:textId="77777777" w:rsidTr="00C7267C">
        <w:tc>
          <w:tcPr>
            <w:tcW w:w="3256" w:type="dxa"/>
          </w:tcPr>
          <w:p w14:paraId="47FE5817" w14:textId="77777777" w:rsidR="006D07AE" w:rsidRPr="00CC41D5" w:rsidRDefault="006D07AE" w:rsidP="00C7267C">
            <w:pPr>
              <w:jc w:val="both"/>
              <w:rPr>
                <w:rFonts w:ascii="Calibri" w:hAnsi="Calibri" w:cs="Calibri"/>
                <w:b/>
                <w:lang w:val="en-US"/>
              </w:rPr>
            </w:pPr>
            <w:r w:rsidRPr="00CC41D5">
              <w:rPr>
                <w:rFonts w:ascii="Calibri" w:hAnsi="Calibri" w:cs="Calibri"/>
                <w:b/>
                <w:lang w:val="en-US"/>
              </w:rPr>
              <w:t>Policy Adopted:</w:t>
            </w:r>
          </w:p>
        </w:tc>
        <w:tc>
          <w:tcPr>
            <w:tcW w:w="5760" w:type="dxa"/>
          </w:tcPr>
          <w:p w14:paraId="03864699" w14:textId="77777777" w:rsidR="006D07AE" w:rsidRPr="00CC41D5" w:rsidRDefault="006D07AE" w:rsidP="00C7267C">
            <w:pPr>
              <w:jc w:val="both"/>
              <w:rPr>
                <w:rFonts w:ascii="Calibri" w:hAnsi="Calibri" w:cs="Calibri"/>
                <w:lang w:val="en-US"/>
              </w:rPr>
            </w:pPr>
            <w:r>
              <w:rPr>
                <w:rFonts w:ascii="Calibri" w:hAnsi="Calibri" w:cs="Calibri"/>
                <w:lang w:val="en-US"/>
              </w:rPr>
              <w:t>16/06/20</w:t>
            </w:r>
          </w:p>
        </w:tc>
      </w:tr>
      <w:tr w:rsidR="006D07AE" w:rsidRPr="00CC41D5" w14:paraId="29BD0554" w14:textId="77777777" w:rsidTr="00C7267C">
        <w:tc>
          <w:tcPr>
            <w:tcW w:w="3256" w:type="dxa"/>
          </w:tcPr>
          <w:p w14:paraId="5EB43EA2" w14:textId="77777777" w:rsidR="006D07AE" w:rsidRPr="00CC41D5" w:rsidRDefault="006D07AE" w:rsidP="00C7267C">
            <w:pPr>
              <w:jc w:val="both"/>
              <w:rPr>
                <w:rFonts w:ascii="Calibri" w:hAnsi="Calibri" w:cs="Calibri"/>
                <w:b/>
                <w:lang w:val="en-US"/>
              </w:rPr>
            </w:pPr>
            <w:r w:rsidRPr="00CC41D5">
              <w:rPr>
                <w:rFonts w:ascii="Calibri" w:hAnsi="Calibri" w:cs="Calibri"/>
                <w:b/>
                <w:lang w:val="en-US"/>
              </w:rPr>
              <w:t>Policy Amended/Reviewed:</w:t>
            </w:r>
          </w:p>
        </w:tc>
        <w:tc>
          <w:tcPr>
            <w:tcW w:w="5760" w:type="dxa"/>
          </w:tcPr>
          <w:p w14:paraId="43D3A711" w14:textId="77777777" w:rsidR="006D07AE" w:rsidRPr="00CC41D5" w:rsidRDefault="006D07AE" w:rsidP="00C7267C">
            <w:pPr>
              <w:jc w:val="both"/>
              <w:rPr>
                <w:rFonts w:ascii="Calibri" w:hAnsi="Calibri" w:cs="Calibri"/>
                <w:lang w:val="en-US"/>
              </w:rPr>
            </w:pPr>
          </w:p>
        </w:tc>
      </w:tr>
    </w:tbl>
    <w:p w14:paraId="53822C4D" w14:textId="7EAA8592" w:rsidR="006D07AE" w:rsidRDefault="006D07AE" w:rsidP="006D07AE">
      <w:pPr>
        <w:pStyle w:val="Default"/>
        <w:jc w:val="both"/>
        <w:rPr>
          <w:b/>
          <w:sz w:val="22"/>
          <w:szCs w:val="22"/>
        </w:rPr>
      </w:pPr>
    </w:p>
    <w:p w14:paraId="6ED32FC4" w14:textId="435ACB4C" w:rsidR="000A6A26" w:rsidRDefault="000A6A26" w:rsidP="006D07AE">
      <w:pPr>
        <w:pStyle w:val="Default"/>
        <w:jc w:val="both"/>
        <w:rPr>
          <w:b/>
          <w:sz w:val="22"/>
          <w:szCs w:val="22"/>
        </w:rPr>
      </w:pPr>
      <w:r>
        <w:rPr>
          <w:b/>
          <w:sz w:val="22"/>
          <w:szCs w:val="22"/>
        </w:rPr>
        <w:t>Attachment</w:t>
      </w:r>
    </w:p>
    <w:p w14:paraId="40F2DEFA" w14:textId="406103C6" w:rsidR="000A6A26" w:rsidRDefault="000A6A26" w:rsidP="006D07AE">
      <w:pPr>
        <w:pStyle w:val="Default"/>
        <w:jc w:val="both"/>
        <w:rPr>
          <w:b/>
          <w:sz w:val="22"/>
          <w:szCs w:val="22"/>
        </w:rPr>
      </w:pPr>
    </w:p>
    <w:p w14:paraId="64DA8C6F" w14:textId="77777777" w:rsidR="000A6A26" w:rsidRPr="00CC41D5" w:rsidRDefault="000A6A26" w:rsidP="006D07AE">
      <w:pPr>
        <w:pStyle w:val="Default"/>
        <w:jc w:val="both"/>
        <w:rPr>
          <w:b/>
          <w:sz w:val="22"/>
          <w:szCs w:val="22"/>
        </w:rPr>
      </w:pPr>
    </w:p>
    <w:p w14:paraId="186AA301" w14:textId="77777777" w:rsidR="000A6A26" w:rsidRDefault="000A6A26" w:rsidP="006D07AE">
      <w:pPr>
        <w:rPr>
          <w:rFonts w:ascii="Calibri" w:hAnsi="Calibri" w:cs="Calibri"/>
        </w:rPr>
        <w:sectPr w:rsidR="000A6A26" w:rsidSect="00E9055C">
          <w:footerReference w:type="default" r:id="rId60"/>
          <w:pgSz w:w="11906" w:h="16838"/>
          <w:pgMar w:top="1021" w:right="1416" w:bottom="1440" w:left="1440" w:header="709" w:footer="709" w:gutter="0"/>
          <w:pgNumType w:start="1"/>
          <w:cols w:space="708"/>
          <w:docGrid w:linePitch="360"/>
        </w:sectPr>
      </w:pPr>
    </w:p>
    <w:tbl>
      <w:tblPr>
        <w:tblStyle w:val="TableGrid1"/>
        <w:tblpPr w:leftFromText="180" w:rightFromText="180" w:horzAnchor="margin" w:tblpY="443"/>
        <w:tblW w:w="0" w:type="auto"/>
        <w:tblLook w:val="04A0" w:firstRow="1" w:lastRow="0" w:firstColumn="1" w:lastColumn="0" w:noHBand="0" w:noVBand="1"/>
      </w:tblPr>
      <w:tblGrid>
        <w:gridCol w:w="1329"/>
        <w:gridCol w:w="1378"/>
        <w:gridCol w:w="1353"/>
        <w:gridCol w:w="1882"/>
        <w:gridCol w:w="1269"/>
        <w:gridCol w:w="1269"/>
        <w:gridCol w:w="2147"/>
        <w:gridCol w:w="2409"/>
      </w:tblGrid>
      <w:tr w:rsidR="000A6A26" w:rsidRPr="00B560C7" w14:paraId="6EED2A04" w14:textId="77777777" w:rsidTr="007E0F07">
        <w:tc>
          <w:tcPr>
            <w:tcW w:w="1329" w:type="dxa"/>
          </w:tcPr>
          <w:p w14:paraId="16E4022C" w14:textId="77777777" w:rsidR="000A6A26" w:rsidRPr="00B560C7" w:rsidRDefault="000A6A26" w:rsidP="007E0F07">
            <w:pPr>
              <w:autoSpaceDE w:val="0"/>
              <w:autoSpaceDN w:val="0"/>
              <w:adjustRightInd w:val="0"/>
              <w:jc w:val="both"/>
              <w:rPr>
                <w:rFonts w:asciiTheme="minorHAnsi" w:hAnsiTheme="minorHAnsi" w:cstheme="minorHAnsi"/>
                <w:b/>
                <w:color w:val="000000"/>
              </w:rPr>
            </w:pPr>
            <w:r w:rsidRPr="00B560C7">
              <w:rPr>
                <w:rFonts w:asciiTheme="minorHAnsi" w:hAnsiTheme="minorHAnsi" w:cstheme="minorHAnsi"/>
                <w:b/>
                <w:color w:val="000000"/>
              </w:rPr>
              <w:lastRenderedPageBreak/>
              <w:t>Category</w:t>
            </w:r>
          </w:p>
        </w:tc>
        <w:tc>
          <w:tcPr>
            <w:tcW w:w="1378" w:type="dxa"/>
          </w:tcPr>
          <w:p w14:paraId="44340E4D" w14:textId="77777777" w:rsidR="000A6A26" w:rsidRPr="00B560C7" w:rsidRDefault="000A6A26" w:rsidP="007E0F07">
            <w:pPr>
              <w:autoSpaceDE w:val="0"/>
              <w:autoSpaceDN w:val="0"/>
              <w:adjustRightInd w:val="0"/>
              <w:jc w:val="both"/>
              <w:rPr>
                <w:rFonts w:asciiTheme="minorHAnsi" w:hAnsiTheme="minorHAnsi" w:cstheme="minorHAnsi"/>
                <w:b/>
                <w:color w:val="000000"/>
              </w:rPr>
            </w:pPr>
            <w:proofErr w:type="gramStart"/>
            <w:r w:rsidRPr="00B560C7">
              <w:rPr>
                <w:rFonts w:asciiTheme="minorHAnsi" w:hAnsiTheme="minorHAnsi" w:cstheme="minorHAnsi"/>
                <w:b/>
                <w:color w:val="000000"/>
              </w:rPr>
              <w:t>Sub Category</w:t>
            </w:r>
            <w:proofErr w:type="gramEnd"/>
          </w:p>
        </w:tc>
        <w:tc>
          <w:tcPr>
            <w:tcW w:w="1353" w:type="dxa"/>
          </w:tcPr>
          <w:p w14:paraId="1C158248" w14:textId="77777777" w:rsidR="000A6A26" w:rsidRPr="00B560C7" w:rsidRDefault="000A6A26" w:rsidP="007E0F07">
            <w:pPr>
              <w:autoSpaceDE w:val="0"/>
              <w:autoSpaceDN w:val="0"/>
              <w:adjustRightInd w:val="0"/>
              <w:jc w:val="both"/>
              <w:rPr>
                <w:rFonts w:asciiTheme="minorHAnsi" w:hAnsiTheme="minorHAnsi" w:cstheme="minorHAnsi"/>
                <w:b/>
                <w:color w:val="000000"/>
              </w:rPr>
            </w:pPr>
            <w:r w:rsidRPr="00B560C7">
              <w:rPr>
                <w:rFonts w:asciiTheme="minorHAnsi" w:hAnsiTheme="minorHAnsi" w:cstheme="minorHAnsi"/>
                <w:b/>
                <w:color w:val="000000"/>
              </w:rPr>
              <w:t>Purpose</w:t>
            </w:r>
          </w:p>
        </w:tc>
        <w:tc>
          <w:tcPr>
            <w:tcW w:w="1882" w:type="dxa"/>
          </w:tcPr>
          <w:p w14:paraId="0033C3A0" w14:textId="77777777" w:rsidR="000A6A26" w:rsidRPr="00B560C7" w:rsidRDefault="000A6A26" w:rsidP="007E0F07">
            <w:pPr>
              <w:autoSpaceDE w:val="0"/>
              <w:autoSpaceDN w:val="0"/>
              <w:adjustRightInd w:val="0"/>
              <w:jc w:val="both"/>
              <w:rPr>
                <w:rFonts w:asciiTheme="minorHAnsi" w:hAnsiTheme="minorHAnsi" w:cstheme="minorHAnsi"/>
                <w:b/>
                <w:color w:val="000000"/>
              </w:rPr>
            </w:pPr>
            <w:r w:rsidRPr="00B560C7">
              <w:rPr>
                <w:rFonts w:asciiTheme="minorHAnsi" w:hAnsiTheme="minorHAnsi" w:cstheme="minorHAnsi"/>
                <w:b/>
                <w:color w:val="000000"/>
              </w:rPr>
              <w:t>Reserve Name</w:t>
            </w:r>
          </w:p>
        </w:tc>
        <w:tc>
          <w:tcPr>
            <w:tcW w:w="1269" w:type="dxa"/>
          </w:tcPr>
          <w:p w14:paraId="5CE47ED4" w14:textId="77777777" w:rsidR="000A6A26" w:rsidRPr="00B560C7" w:rsidRDefault="000A6A26" w:rsidP="007E0F07">
            <w:pPr>
              <w:autoSpaceDE w:val="0"/>
              <w:autoSpaceDN w:val="0"/>
              <w:adjustRightInd w:val="0"/>
              <w:jc w:val="center"/>
              <w:rPr>
                <w:rFonts w:asciiTheme="minorHAnsi" w:hAnsiTheme="minorHAnsi" w:cstheme="minorHAnsi"/>
                <w:b/>
                <w:color w:val="000000"/>
              </w:rPr>
            </w:pPr>
            <w:r w:rsidRPr="00B560C7">
              <w:rPr>
                <w:rFonts w:asciiTheme="minorHAnsi" w:hAnsiTheme="minorHAnsi" w:cstheme="minorHAnsi"/>
                <w:b/>
                <w:color w:val="000000"/>
              </w:rPr>
              <w:t>Minimum Reserve Balance</w:t>
            </w:r>
          </w:p>
        </w:tc>
        <w:tc>
          <w:tcPr>
            <w:tcW w:w="1269" w:type="dxa"/>
          </w:tcPr>
          <w:p w14:paraId="44E28394" w14:textId="77777777" w:rsidR="000A6A26" w:rsidRPr="00B560C7" w:rsidRDefault="000A6A26" w:rsidP="007E0F07">
            <w:pPr>
              <w:autoSpaceDE w:val="0"/>
              <w:autoSpaceDN w:val="0"/>
              <w:adjustRightInd w:val="0"/>
              <w:jc w:val="center"/>
              <w:rPr>
                <w:rFonts w:asciiTheme="minorHAnsi" w:hAnsiTheme="minorHAnsi" w:cstheme="minorHAnsi"/>
                <w:b/>
                <w:color w:val="000000"/>
              </w:rPr>
            </w:pPr>
            <w:r w:rsidRPr="00B560C7">
              <w:rPr>
                <w:rFonts w:asciiTheme="minorHAnsi" w:hAnsiTheme="minorHAnsi" w:cstheme="minorHAnsi"/>
                <w:b/>
                <w:color w:val="000000"/>
              </w:rPr>
              <w:t>Maximum Reserve Balance</w:t>
            </w:r>
          </w:p>
        </w:tc>
        <w:tc>
          <w:tcPr>
            <w:tcW w:w="2147" w:type="dxa"/>
          </w:tcPr>
          <w:p w14:paraId="40DE9098" w14:textId="77777777" w:rsidR="000A6A26" w:rsidRPr="001A7751" w:rsidRDefault="000A6A26" w:rsidP="007E0F07">
            <w:pPr>
              <w:autoSpaceDE w:val="0"/>
              <w:autoSpaceDN w:val="0"/>
              <w:adjustRightInd w:val="0"/>
              <w:jc w:val="center"/>
              <w:rPr>
                <w:rFonts w:asciiTheme="minorHAnsi" w:hAnsiTheme="minorHAnsi" w:cstheme="minorHAnsi"/>
                <w:b/>
                <w:color w:val="000000"/>
              </w:rPr>
            </w:pPr>
            <w:r>
              <w:rPr>
                <w:rFonts w:asciiTheme="minorHAnsi" w:hAnsiTheme="minorHAnsi" w:cstheme="minorHAnsi"/>
                <w:b/>
                <w:color w:val="000000"/>
              </w:rPr>
              <w:t>Forecast</w:t>
            </w:r>
            <w:r w:rsidRPr="001A7751">
              <w:rPr>
                <w:rFonts w:asciiTheme="minorHAnsi" w:hAnsiTheme="minorHAnsi" w:cstheme="minorHAnsi"/>
                <w:b/>
                <w:color w:val="000000"/>
              </w:rPr>
              <w:t xml:space="preserve"> Reserve Balance</w:t>
            </w:r>
            <w:r>
              <w:rPr>
                <w:rFonts w:asciiTheme="minorHAnsi" w:hAnsiTheme="minorHAnsi" w:cstheme="minorHAnsi"/>
                <w:b/>
                <w:color w:val="000000"/>
              </w:rPr>
              <w:t>30 June 2020</w:t>
            </w:r>
          </w:p>
        </w:tc>
        <w:tc>
          <w:tcPr>
            <w:tcW w:w="2409" w:type="dxa"/>
          </w:tcPr>
          <w:p w14:paraId="355DEA2A" w14:textId="77777777" w:rsidR="000A6A26" w:rsidRPr="001A7751" w:rsidRDefault="000A6A26" w:rsidP="007E0F07">
            <w:pPr>
              <w:autoSpaceDE w:val="0"/>
              <w:autoSpaceDN w:val="0"/>
              <w:adjustRightInd w:val="0"/>
              <w:jc w:val="center"/>
              <w:rPr>
                <w:rFonts w:asciiTheme="minorHAnsi" w:hAnsiTheme="minorHAnsi" w:cstheme="minorHAnsi"/>
                <w:b/>
                <w:color w:val="000000"/>
              </w:rPr>
            </w:pPr>
            <w:r w:rsidRPr="001A7751">
              <w:rPr>
                <w:rFonts w:asciiTheme="minorHAnsi" w:hAnsiTheme="minorHAnsi" w:cstheme="minorHAnsi"/>
                <w:b/>
                <w:color w:val="000000"/>
              </w:rPr>
              <w:t>Recommended Target Balance</w:t>
            </w:r>
            <w:r>
              <w:rPr>
                <w:rFonts w:asciiTheme="minorHAnsi" w:hAnsiTheme="minorHAnsi" w:cstheme="minorHAnsi"/>
                <w:b/>
                <w:color w:val="000000"/>
              </w:rPr>
              <w:t>/Reserve Transfer Rule</w:t>
            </w:r>
          </w:p>
        </w:tc>
      </w:tr>
      <w:tr w:rsidR="000A6A26" w:rsidRPr="00B560C7" w14:paraId="3E35B4E3" w14:textId="77777777" w:rsidTr="007E0F07">
        <w:tc>
          <w:tcPr>
            <w:tcW w:w="1329" w:type="dxa"/>
            <w:vMerge w:val="restart"/>
            <w:vAlign w:val="center"/>
          </w:tcPr>
          <w:p w14:paraId="1B71D6B6"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Operational</w:t>
            </w:r>
          </w:p>
        </w:tc>
        <w:tc>
          <w:tcPr>
            <w:tcW w:w="1378" w:type="dxa"/>
          </w:tcPr>
          <w:p w14:paraId="7946D64F"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Timing Adjustments</w:t>
            </w:r>
          </w:p>
        </w:tc>
        <w:tc>
          <w:tcPr>
            <w:tcW w:w="1353" w:type="dxa"/>
          </w:tcPr>
          <w:p w14:paraId="2D989EDE"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To assist with the matching of revenue and expenditure across accounting periods.</w:t>
            </w:r>
          </w:p>
        </w:tc>
        <w:tc>
          <w:tcPr>
            <w:tcW w:w="1882" w:type="dxa"/>
          </w:tcPr>
          <w:p w14:paraId="53138263" w14:textId="77777777" w:rsidR="000A6A26" w:rsidRDefault="000A6A26" w:rsidP="002A3889">
            <w:pPr>
              <w:pStyle w:val="ListParagraph"/>
              <w:numPr>
                <w:ilvl w:val="0"/>
                <w:numId w:val="463"/>
              </w:numPr>
              <w:autoSpaceDE w:val="0"/>
              <w:autoSpaceDN w:val="0"/>
              <w:adjustRightInd w:val="0"/>
              <w:ind w:left="358" w:hanging="358"/>
              <w:jc w:val="both"/>
              <w:rPr>
                <w:rFonts w:asciiTheme="minorHAnsi" w:hAnsiTheme="minorHAnsi" w:cstheme="minorHAnsi"/>
                <w:color w:val="000000"/>
              </w:rPr>
            </w:pPr>
            <w:r w:rsidRPr="002B600C">
              <w:rPr>
                <w:rFonts w:asciiTheme="minorHAnsi" w:hAnsiTheme="minorHAnsi" w:cstheme="minorHAnsi"/>
                <w:color w:val="000000"/>
              </w:rPr>
              <w:t>Unspent Grants Reserve</w:t>
            </w:r>
          </w:p>
          <w:p w14:paraId="2E7E04B4" w14:textId="77777777" w:rsidR="000A6A26" w:rsidRPr="002B600C" w:rsidRDefault="000A6A26" w:rsidP="007E0F07">
            <w:pPr>
              <w:pStyle w:val="ListParagraph"/>
              <w:autoSpaceDE w:val="0"/>
              <w:autoSpaceDN w:val="0"/>
              <w:adjustRightInd w:val="0"/>
              <w:ind w:left="358"/>
              <w:jc w:val="both"/>
              <w:rPr>
                <w:rFonts w:asciiTheme="minorHAnsi" w:hAnsiTheme="minorHAnsi" w:cstheme="minorHAnsi"/>
                <w:color w:val="000000"/>
              </w:rPr>
            </w:pPr>
          </w:p>
          <w:p w14:paraId="33874715" w14:textId="77777777" w:rsidR="000A6A26" w:rsidRPr="002B600C" w:rsidRDefault="000A6A26" w:rsidP="002A3889">
            <w:pPr>
              <w:pStyle w:val="ListParagraph"/>
              <w:numPr>
                <w:ilvl w:val="0"/>
                <w:numId w:val="463"/>
              </w:numPr>
              <w:autoSpaceDE w:val="0"/>
              <w:autoSpaceDN w:val="0"/>
              <w:adjustRightInd w:val="0"/>
              <w:ind w:left="358" w:hanging="358"/>
              <w:jc w:val="both"/>
              <w:rPr>
                <w:rFonts w:asciiTheme="minorHAnsi" w:hAnsiTheme="minorHAnsi" w:cstheme="minorHAnsi"/>
                <w:color w:val="000000"/>
              </w:rPr>
            </w:pPr>
            <w:r w:rsidRPr="002B600C">
              <w:rPr>
                <w:rFonts w:asciiTheme="minorHAnsi" w:hAnsiTheme="minorHAnsi" w:cstheme="minorHAnsi"/>
                <w:color w:val="000000"/>
              </w:rPr>
              <w:t>Committed Works Reserve</w:t>
            </w:r>
          </w:p>
        </w:tc>
        <w:tc>
          <w:tcPr>
            <w:tcW w:w="2538" w:type="dxa"/>
            <w:gridSpan w:val="2"/>
            <w:vAlign w:val="center"/>
          </w:tcPr>
          <w:p w14:paraId="67BEB45D"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Determined by the amount of funds to be transferred across financial years.</w:t>
            </w:r>
          </w:p>
        </w:tc>
        <w:tc>
          <w:tcPr>
            <w:tcW w:w="2147" w:type="dxa"/>
          </w:tcPr>
          <w:p w14:paraId="1A1A356B"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$0</w:t>
            </w:r>
          </w:p>
          <w:p w14:paraId="7A801758" w14:textId="77777777" w:rsidR="000A6A26" w:rsidRPr="001D2E50" w:rsidRDefault="000A6A26" w:rsidP="007E0F07">
            <w:pPr>
              <w:autoSpaceDE w:val="0"/>
              <w:autoSpaceDN w:val="0"/>
              <w:adjustRightInd w:val="0"/>
              <w:jc w:val="both"/>
              <w:rPr>
                <w:rFonts w:asciiTheme="minorHAnsi" w:hAnsiTheme="minorHAnsi" w:cstheme="minorHAnsi"/>
                <w:color w:val="000000"/>
              </w:rPr>
            </w:pPr>
          </w:p>
        </w:tc>
        <w:tc>
          <w:tcPr>
            <w:tcW w:w="2409" w:type="dxa"/>
          </w:tcPr>
          <w:p w14:paraId="1F0C8421" w14:textId="77777777" w:rsidR="000A6A26" w:rsidRPr="00B560C7" w:rsidRDefault="000A6A26" w:rsidP="007E0F07">
            <w:pPr>
              <w:autoSpaceDE w:val="0"/>
              <w:autoSpaceDN w:val="0"/>
              <w:adjustRightInd w:val="0"/>
              <w:jc w:val="both"/>
              <w:rPr>
                <w:rFonts w:cstheme="minorHAnsi"/>
                <w:color w:val="000000"/>
              </w:rPr>
            </w:pPr>
          </w:p>
        </w:tc>
      </w:tr>
      <w:tr w:rsidR="000A6A26" w:rsidRPr="00B560C7" w14:paraId="2C47173E" w14:textId="77777777" w:rsidTr="007E0F07">
        <w:tc>
          <w:tcPr>
            <w:tcW w:w="1329" w:type="dxa"/>
            <w:vMerge/>
          </w:tcPr>
          <w:p w14:paraId="2D694C92" w14:textId="77777777" w:rsidR="000A6A26" w:rsidRPr="00B560C7" w:rsidRDefault="000A6A26" w:rsidP="007E0F07">
            <w:pPr>
              <w:autoSpaceDE w:val="0"/>
              <w:autoSpaceDN w:val="0"/>
              <w:adjustRightInd w:val="0"/>
              <w:jc w:val="both"/>
              <w:rPr>
                <w:rFonts w:asciiTheme="minorHAnsi" w:hAnsiTheme="minorHAnsi" w:cstheme="minorHAnsi"/>
                <w:color w:val="000000"/>
              </w:rPr>
            </w:pPr>
          </w:p>
        </w:tc>
        <w:tc>
          <w:tcPr>
            <w:tcW w:w="1378" w:type="dxa"/>
          </w:tcPr>
          <w:p w14:paraId="3BAB4A4A"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Statutory </w:t>
            </w:r>
          </w:p>
        </w:tc>
        <w:tc>
          <w:tcPr>
            <w:tcW w:w="1353" w:type="dxa"/>
          </w:tcPr>
          <w:p w14:paraId="354DDD23"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To achieve statutory compliance in accordance with relevant legislation</w:t>
            </w:r>
          </w:p>
        </w:tc>
        <w:tc>
          <w:tcPr>
            <w:tcW w:w="1882" w:type="dxa"/>
          </w:tcPr>
          <w:p w14:paraId="072962E8"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2B600C">
              <w:rPr>
                <w:rFonts w:asciiTheme="minorHAnsi" w:hAnsiTheme="minorHAnsi" w:cstheme="minorHAnsi"/>
                <w:color w:val="000000"/>
              </w:rPr>
              <w:t>Service charges</w:t>
            </w:r>
            <w:r w:rsidRPr="00B560C7">
              <w:rPr>
                <w:rFonts w:asciiTheme="minorHAnsi" w:hAnsiTheme="minorHAnsi" w:cstheme="minorHAnsi"/>
                <w:color w:val="000000"/>
              </w:rPr>
              <w:t xml:space="preserve"> specified area rates or external restrictions.</w:t>
            </w:r>
          </w:p>
          <w:p w14:paraId="59C413EE" w14:textId="77777777" w:rsidR="000A6A26" w:rsidRPr="002B600C" w:rsidRDefault="000A6A26" w:rsidP="002A3889">
            <w:pPr>
              <w:pStyle w:val="ListParagraph"/>
              <w:numPr>
                <w:ilvl w:val="0"/>
                <w:numId w:val="464"/>
              </w:numPr>
              <w:autoSpaceDE w:val="0"/>
              <w:autoSpaceDN w:val="0"/>
              <w:adjustRightInd w:val="0"/>
              <w:ind w:left="388" w:hanging="388"/>
              <w:jc w:val="both"/>
              <w:rPr>
                <w:rFonts w:asciiTheme="minorHAnsi" w:hAnsiTheme="minorHAnsi" w:cstheme="minorHAnsi"/>
                <w:color w:val="000000"/>
              </w:rPr>
            </w:pPr>
            <w:r w:rsidRPr="002B600C">
              <w:rPr>
                <w:rFonts w:asciiTheme="minorHAnsi" w:hAnsiTheme="minorHAnsi" w:cstheme="minorHAnsi"/>
                <w:color w:val="000000"/>
              </w:rPr>
              <w:t>Town Planning Reserve</w:t>
            </w:r>
          </w:p>
          <w:p w14:paraId="523D6D66" w14:textId="77777777" w:rsidR="000A6A26" w:rsidRPr="002B600C" w:rsidRDefault="000A6A26" w:rsidP="002A3889">
            <w:pPr>
              <w:pStyle w:val="ListParagraph"/>
              <w:numPr>
                <w:ilvl w:val="0"/>
                <w:numId w:val="464"/>
              </w:numPr>
              <w:autoSpaceDE w:val="0"/>
              <w:autoSpaceDN w:val="0"/>
              <w:adjustRightInd w:val="0"/>
              <w:ind w:left="388" w:hanging="388"/>
              <w:jc w:val="both"/>
              <w:rPr>
                <w:rFonts w:asciiTheme="minorHAnsi" w:hAnsiTheme="minorHAnsi" w:cstheme="minorHAnsi"/>
                <w:color w:val="000000"/>
              </w:rPr>
            </w:pPr>
            <w:r w:rsidRPr="002B600C">
              <w:rPr>
                <w:rFonts w:asciiTheme="minorHAnsi" w:hAnsiTheme="minorHAnsi" w:cstheme="minorHAnsi"/>
                <w:color w:val="000000"/>
              </w:rPr>
              <w:t>Old Police Station Reserve</w:t>
            </w:r>
          </w:p>
        </w:tc>
        <w:tc>
          <w:tcPr>
            <w:tcW w:w="2538" w:type="dxa"/>
            <w:gridSpan w:val="2"/>
            <w:vAlign w:val="center"/>
          </w:tcPr>
          <w:p w14:paraId="199AB707" w14:textId="77777777" w:rsidR="000A6A26" w:rsidRPr="00B560C7" w:rsidRDefault="000A6A26" w:rsidP="007E0F07">
            <w:pPr>
              <w:autoSpaceDE w:val="0"/>
              <w:autoSpaceDN w:val="0"/>
              <w:adjustRightInd w:val="0"/>
              <w:jc w:val="center"/>
              <w:rPr>
                <w:rFonts w:asciiTheme="minorHAnsi" w:hAnsiTheme="minorHAnsi" w:cstheme="minorHAnsi"/>
                <w:color w:val="000000"/>
              </w:rPr>
            </w:pPr>
            <w:r w:rsidRPr="00B560C7">
              <w:rPr>
                <w:rFonts w:asciiTheme="minorHAnsi" w:hAnsiTheme="minorHAnsi" w:cstheme="minorHAnsi"/>
                <w:color w:val="000000"/>
              </w:rPr>
              <w:t>Determined in accordance with legislation and/or project requirements</w:t>
            </w:r>
          </w:p>
        </w:tc>
        <w:tc>
          <w:tcPr>
            <w:tcW w:w="2147" w:type="dxa"/>
          </w:tcPr>
          <w:p w14:paraId="5F6C3A45" w14:textId="77777777" w:rsidR="000A6A26" w:rsidRPr="001D2E50" w:rsidRDefault="000A6A26" w:rsidP="007E0F07">
            <w:pPr>
              <w:autoSpaceDE w:val="0"/>
              <w:autoSpaceDN w:val="0"/>
              <w:adjustRightInd w:val="0"/>
              <w:rPr>
                <w:rFonts w:asciiTheme="minorHAnsi" w:hAnsiTheme="minorHAnsi" w:cstheme="minorHAnsi"/>
                <w:color w:val="000000"/>
              </w:rPr>
            </w:pPr>
            <w:r w:rsidRPr="001D2E50">
              <w:rPr>
                <w:rFonts w:asciiTheme="minorHAnsi" w:hAnsiTheme="minorHAnsi" w:cstheme="minorHAnsi"/>
                <w:color w:val="000000"/>
              </w:rPr>
              <w:t>Town Planning = $50k</w:t>
            </w:r>
          </w:p>
          <w:p w14:paraId="560441C8" w14:textId="77777777" w:rsidR="000A6A26" w:rsidRPr="001D2E50" w:rsidRDefault="000A6A26" w:rsidP="007E0F07">
            <w:pPr>
              <w:autoSpaceDE w:val="0"/>
              <w:autoSpaceDN w:val="0"/>
              <w:adjustRightInd w:val="0"/>
              <w:rPr>
                <w:rFonts w:asciiTheme="minorHAnsi" w:hAnsiTheme="minorHAnsi" w:cstheme="minorHAnsi"/>
                <w:color w:val="000000"/>
              </w:rPr>
            </w:pPr>
          </w:p>
          <w:p w14:paraId="7C5C71E4" w14:textId="77777777" w:rsidR="000A6A26" w:rsidRPr="001D2E50" w:rsidRDefault="000A6A26" w:rsidP="007E0F07">
            <w:pPr>
              <w:autoSpaceDE w:val="0"/>
              <w:autoSpaceDN w:val="0"/>
              <w:adjustRightInd w:val="0"/>
              <w:rPr>
                <w:rFonts w:asciiTheme="minorHAnsi" w:hAnsiTheme="minorHAnsi" w:cstheme="minorHAnsi"/>
                <w:color w:val="000000"/>
              </w:rPr>
            </w:pPr>
            <w:r w:rsidRPr="001D2E50">
              <w:rPr>
                <w:rFonts w:asciiTheme="minorHAnsi" w:hAnsiTheme="minorHAnsi" w:cstheme="minorHAnsi"/>
                <w:color w:val="000000"/>
              </w:rPr>
              <w:t>Old Police = $0</w:t>
            </w:r>
          </w:p>
        </w:tc>
        <w:tc>
          <w:tcPr>
            <w:tcW w:w="2409" w:type="dxa"/>
          </w:tcPr>
          <w:p w14:paraId="018A28AD" w14:textId="77777777" w:rsidR="000A6A26" w:rsidRPr="00B560C7" w:rsidRDefault="000A6A26" w:rsidP="007E0F07">
            <w:pPr>
              <w:autoSpaceDE w:val="0"/>
              <w:autoSpaceDN w:val="0"/>
              <w:adjustRightInd w:val="0"/>
              <w:jc w:val="center"/>
              <w:rPr>
                <w:rFonts w:cstheme="minorHAnsi"/>
                <w:color w:val="000000"/>
              </w:rPr>
            </w:pPr>
          </w:p>
        </w:tc>
      </w:tr>
      <w:tr w:rsidR="000A6A26" w:rsidRPr="00B560C7" w14:paraId="279C7E79" w14:textId="77777777" w:rsidTr="007E0F07">
        <w:tc>
          <w:tcPr>
            <w:tcW w:w="1329" w:type="dxa"/>
            <w:vMerge/>
          </w:tcPr>
          <w:p w14:paraId="3E536750" w14:textId="77777777" w:rsidR="000A6A26" w:rsidRPr="00B560C7" w:rsidRDefault="000A6A26" w:rsidP="007E0F07">
            <w:pPr>
              <w:autoSpaceDE w:val="0"/>
              <w:autoSpaceDN w:val="0"/>
              <w:adjustRightInd w:val="0"/>
              <w:jc w:val="both"/>
              <w:rPr>
                <w:rFonts w:asciiTheme="minorHAnsi" w:hAnsiTheme="minorHAnsi" w:cstheme="minorHAnsi"/>
                <w:color w:val="000000"/>
              </w:rPr>
            </w:pPr>
          </w:p>
        </w:tc>
        <w:tc>
          <w:tcPr>
            <w:tcW w:w="1378" w:type="dxa"/>
          </w:tcPr>
          <w:p w14:paraId="20AF3979"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Accumulated Liabilities</w:t>
            </w:r>
          </w:p>
        </w:tc>
        <w:tc>
          <w:tcPr>
            <w:tcW w:w="1353" w:type="dxa"/>
          </w:tcPr>
          <w:p w14:paraId="7D3CAB2C"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To offset liabilities generated </w:t>
            </w:r>
            <w:proofErr w:type="gramStart"/>
            <w:r w:rsidRPr="00B560C7">
              <w:rPr>
                <w:rFonts w:asciiTheme="minorHAnsi" w:hAnsiTheme="minorHAnsi" w:cstheme="minorHAnsi"/>
                <w:color w:val="000000"/>
              </w:rPr>
              <w:t>as a result of</w:t>
            </w:r>
            <w:proofErr w:type="gramEnd"/>
            <w:r w:rsidRPr="00B560C7">
              <w:rPr>
                <w:rFonts w:asciiTheme="minorHAnsi" w:hAnsiTheme="minorHAnsi" w:cstheme="minorHAnsi"/>
                <w:color w:val="000000"/>
              </w:rPr>
              <w:t xml:space="preserve"> past accounting periods. </w:t>
            </w:r>
          </w:p>
        </w:tc>
        <w:tc>
          <w:tcPr>
            <w:tcW w:w="1882" w:type="dxa"/>
          </w:tcPr>
          <w:p w14:paraId="1B7FBD7C"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Employee Entitlements/ Revaluations costs</w:t>
            </w:r>
          </w:p>
          <w:p w14:paraId="0E94F353" w14:textId="77777777" w:rsidR="000A6A26" w:rsidRPr="002B600C" w:rsidRDefault="000A6A26" w:rsidP="002A3889">
            <w:pPr>
              <w:pStyle w:val="ListParagraph"/>
              <w:numPr>
                <w:ilvl w:val="0"/>
                <w:numId w:val="465"/>
              </w:numPr>
              <w:autoSpaceDE w:val="0"/>
              <w:autoSpaceDN w:val="0"/>
              <w:adjustRightInd w:val="0"/>
              <w:ind w:left="358" w:hanging="358"/>
              <w:jc w:val="both"/>
              <w:rPr>
                <w:rFonts w:asciiTheme="minorHAnsi" w:hAnsiTheme="minorHAnsi" w:cstheme="minorHAnsi"/>
                <w:color w:val="000000"/>
              </w:rPr>
            </w:pPr>
            <w:r w:rsidRPr="002B600C">
              <w:rPr>
                <w:rFonts w:asciiTheme="minorHAnsi" w:hAnsiTheme="minorHAnsi" w:cstheme="minorHAnsi"/>
                <w:color w:val="000000"/>
              </w:rPr>
              <w:t>Non-Current Leave Reserve</w:t>
            </w:r>
          </w:p>
        </w:tc>
        <w:tc>
          <w:tcPr>
            <w:tcW w:w="1269" w:type="dxa"/>
          </w:tcPr>
          <w:p w14:paraId="03477040"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50% of the accumulated liability</w:t>
            </w:r>
          </w:p>
        </w:tc>
        <w:tc>
          <w:tcPr>
            <w:tcW w:w="1269" w:type="dxa"/>
          </w:tcPr>
          <w:p w14:paraId="66AA0A75"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100% of the accumulated liability</w:t>
            </w:r>
          </w:p>
        </w:tc>
        <w:tc>
          <w:tcPr>
            <w:tcW w:w="2147" w:type="dxa"/>
          </w:tcPr>
          <w:p w14:paraId="24602817"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$10k</w:t>
            </w:r>
          </w:p>
          <w:p w14:paraId="17EEAEF5"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No budgeted transfers, current LSL liability ~$90k</w:t>
            </w:r>
          </w:p>
        </w:tc>
        <w:tc>
          <w:tcPr>
            <w:tcW w:w="2409" w:type="dxa"/>
          </w:tcPr>
          <w:p w14:paraId="3ABAB41D"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$75k (net transfer in ~$5k per yr)</w:t>
            </w:r>
          </w:p>
        </w:tc>
      </w:tr>
      <w:tr w:rsidR="000A6A26" w:rsidRPr="00B560C7" w14:paraId="2587B219" w14:textId="77777777" w:rsidTr="007E0F07">
        <w:tc>
          <w:tcPr>
            <w:tcW w:w="1329" w:type="dxa"/>
            <w:vMerge w:val="restart"/>
            <w:vAlign w:val="center"/>
          </w:tcPr>
          <w:p w14:paraId="39ACBBCD" w14:textId="77777777" w:rsidR="000A6A26" w:rsidRPr="00B560C7" w:rsidRDefault="000A6A26" w:rsidP="007E0F07">
            <w:pPr>
              <w:autoSpaceDE w:val="0"/>
              <w:autoSpaceDN w:val="0"/>
              <w:adjustRightInd w:val="0"/>
              <w:rPr>
                <w:rFonts w:asciiTheme="minorHAnsi" w:hAnsiTheme="minorHAnsi" w:cstheme="minorHAnsi"/>
                <w:color w:val="000000"/>
              </w:rPr>
            </w:pPr>
            <w:r w:rsidRPr="00B560C7">
              <w:rPr>
                <w:rFonts w:asciiTheme="minorHAnsi" w:hAnsiTheme="minorHAnsi" w:cstheme="minorHAnsi"/>
                <w:color w:val="000000"/>
              </w:rPr>
              <w:t>Strategic</w:t>
            </w:r>
          </w:p>
        </w:tc>
        <w:tc>
          <w:tcPr>
            <w:tcW w:w="1378" w:type="dxa"/>
          </w:tcPr>
          <w:p w14:paraId="32AD8B21"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Natural Disaster</w:t>
            </w:r>
          </w:p>
        </w:tc>
        <w:tc>
          <w:tcPr>
            <w:tcW w:w="1353" w:type="dxa"/>
          </w:tcPr>
          <w:p w14:paraId="46BF3ACB"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To reduce the financial risk of unanticipated events</w:t>
            </w:r>
          </w:p>
        </w:tc>
        <w:tc>
          <w:tcPr>
            <w:tcW w:w="1882" w:type="dxa"/>
          </w:tcPr>
          <w:p w14:paraId="313F545D"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Flooding or storm damage</w:t>
            </w:r>
          </w:p>
          <w:p w14:paraId="65944CB9" w14:textId="77777777" w:rsidR="000A6A26" w:rsidRDefault="000A6A26" w:rsidP="002A3889">
            <w:pPr>
              <w:pStyle w:val="ListParagraph"/>
              <w:numPr>
                <w:ilvl w:val="0"/>
                <w:numId w:val="465"/>
              </w:numPr>
              <w:autoSpaceDE w:val="0"/>
              <w:autoSpaceDN w:val="0"/>
              <w:adjustRightInd w:val="0"/>
              <w:ind w:left="351" w:hanging="351"/>
              <w:jc w:val="both"/>
              <w:rPr>
                <w:rFonts w:asciiTheme="minorHAnsi" w:hAnsiTheme="minorHAnsi" w:cstheme="minorHAnsi"/>
                <w:color w:val="000000"/>
              </w:rPr>
            </w:pPr>
            <w:r w:rsidRPr="002B600C">
              <w:rPr>
                <w:rFonts w:asciiTheme="minorHAnsi" w:hAnsiTheme="minorHAnsi" w:cstheme="minorHAnsi"/>
                <w:color w:val="000000"/>
              </w:rPr>
              <w:t xml:space="preserve">Sustainability and Environmental Initiatives Reserve </w:t>
            </w:r>
          </w:p>
          <w:p w14:paraId="0550465A" w14:textId="77777777" w:rsidR="000A6A26" w:rsidRPr="002B600C" w:rsidRDefault="000A6A26" w:rsidP="007E0F07">
            <w:pPr>
              <w:pStyle w:val="ListParagraph"/>
              <w:autoSpaceDE w:val="0"/>
              <w:autoSpaceDN w:val="0"/>
              <w:adjustRightInd w:val="0"/>
              <w:ind w:left="351"/>
              <w:jc w:val="both"/>
              <w:rPr>
                <w:rFonts w:asciiTheme="minorHAnsi" w:hAnsiTheme="minorHAnsi" w:cstheme="minorHAnsi"/>
                <w:color w:val="000000"/>
              </w:rPr>
            </w:pPr>
          </w:p>
        </w:tc>
        <w:tc>
          <w:tcPr>
            <w:tcW w:w="1269" w:type="dxa"/>
          </w:tcPr>
          <w:p w14:paraId="73A7A8CF"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Equivalent to an amount equal to 1% of annual general funds</w:t>
            </w:r>
          </w:p>
        </w:tc>
        <w:tc>
          <w:tcPr>
            <w:tcW w:w="1269" w:type="dxa"/>
          </w:tcPr>
          <w:p w14:paraId="0203FD4C"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Equivalent to an amount equal to 4% of annual general funds</w:t>
            </w:r>
          </w:p>
        </w:tc>
        <w:tc>
          <w:tcPr>
            <w:tcW w:w="2147" w:type="dxa"/>
          </w:tcPr>
          <w:p w14:paraId="6E18F5E4"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$60k</w:t>
            </w:r>
          </w:p>
        </w:tc>
        <w:tc>
          <w:tcPr>
            <w:tcW w:w="2409" w:type="dxa"/>
          </w:tcPr>
          <w:p w14:paraId="4E9E2F41"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$380k (net transfer in ~$80k per yr)</w:t>
            </w:r>
          </w:p>
        </w:tc>
      </w:tr>
      <w:tr w:rsidR="000A6A26" w:rsidRPr="00B560C7" w14:paraId="4BEC2D63" w14:textId="77777777" w:rsidTr="007E0F07">
        <w:tc>
          <w:tcPr>
            <w:tcW w:w="1329" w:type="dxa"/>
            <w:vMerge/>
          </w:tcPr>
          <w:p w14:paraId="61C8289F" w14:textId="77777777" w:rsidR="000A6A26" w:rsidRPr="00B560C7" w:rsidRDefault="000A6A26" w:rsidP="007E0F07">
            <w:pPr>
              <w:autoSpaceDE w:val="0"/>
              <w:autoSpaceDN w:val="0"/>
              <w:adjustRightInd w:val="0"/>
              <w:jc w:val="both"/>
              <w:rPr>
                <w:rFonts w:asciiTheme="minorHAnsi" w:hAnsiTheme="minorHAnsi" w:cstheme="minorHAnsi"/>
                <w:color w:val="000000"/>
              </w:rPr>
            </w:pPr>
          </w:p>
        </w:tc>
        <w:tc>
          <w:tcPr>
            <w:tcW w:w="1378" w:type="dxa"/>
          </w:tcPr>
          <w:p w14:paraId="56CB36CC"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Community</w:t>
            </w:r>
          </w:p>
        </w:tc>
        <w:tc>
          <w:tcPr>
            <w:tcW w:w="1353" w:type="dxa"/>
          </w:tcPr>
          <w:p w14:paraId="4D02248C"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To provide for strategic actions in support of identified activities that cannot be funded in the one budget period </w:t>
            </w:r>
          </w:p>
        </w:tc>
        <w:tc>
          <w:tcPr>
            <w:tcW w:w="1882" w:type="dxa"/>
          </w:tcPr>
          <w:p w14:paraId="6640F309" w14:textId="77777777" w:rsidR="000A6A26" w:rsidRDefault="000A6A26" w:rsidP="002A3889">
            <w:pPr>
              <w:pStyle w:val="ListParagraph"/>
              <w:numPr>
                <w:ilvl w:val="0"/>
                <w:numId w:val="465"/>
              </w:numPr>
              <w:autoSpaceDE w:val="0"/>
              <w:autoSpaceDN w:val="0"/>
              <w:adjustRightInd w:val="0"/>
              <w:ind w:left="291" w:hanging="284"/>
              <w:jc w:val="both"/>
              <w:rPr>
                <w:rFonts w:asciiTheme="minorHAnsi" w:hAnsiTheme="minorHAnsi" w:cstheme="minorHAnsi"/>
                <w:color w:val="000000"/>
              </w:rPr>
            </w:pPr>
            <w:r w:rsidRPr="002B600C">
              <w:rPr>
                <w:rFonts w:asciiTheme="minorHAnsi" w:hAnsiTheme="minorHAnsi" w:cstheme="minorHAnsi"/>
                <w:color w:val="000000"/>
              </w:rPr>
              <w:t>Arts and Sculpture Reserve</w:t>
            </w:r>
          </w:p>
          <w:p w14:paraId="64B89ADA" w14:textId="77777777" w:rsidR="000A6A26" w:rsidRPr="002B600C" w:rsidRDefault="000A6A26" w:rsidP="007E0F07">
            <w:pPr>
              <w:pStyle w:val="ListParagraph"/>
              <w:autoSpaceDE w:val="0"/>
              <w:autoSpaceDN w:val="0"/>
              <w:adjustRightInd w:val="0"/>
              <w:ind w:left="291"/>
              <w:jc w:val="both"/>
              <w:rPr>
                <w:rFonts w:asciiTheme="minorHAnsi" w:hAnsiTheme="minorHAnsi" w:cstheme="minorHAnsi"/>
                <w:color w:val="000000"/>
              </w:rPr>
            </w:pPr>
          </w:p>
          <w:p w14:paraId="19197D55" w14:textId="77777777" w:rsidR="000A6A26" w:rsidRPr="002B600C" w:rsidRDefault="000A6A26" w:rsidP="002A3889">
            <w:pPr>
              <w:pStyle w:val="ListParagraph"/>
              <w:numPr>
                <w:ilvl w:val="0"/>
                <w:numId w:val="465"/>
              </w:numPr>
              <w:autoSpaceDE w:val="0"/>
              <w:autoSpaceDN w:val="0"/>
              <w:adjustRightInd w:val="0"/>
              <w:ind w:left="291" w:hanging="284"/>
              <w:jc w:val="both"/>
              <w:rPr>
                <w:rFonts w:asciiTheme="minorHAnsi" w:hAnsiTheme="minorHAnsi" w:cstheme="minorHAnsi"/>
                <w:color w:val="000000"/>
              </w:rPr>
            </w:pPr>
            <w:r w:rsidRPr="002B600C">
              <w:rPr>
                <w:rFonts w:asciiTheme="minorHAnsi" w:hAnsiTheme="minorHAnsi" w:cstheme="minorHAnsi"/>
                <w:color w:val="000000"/>
              </w:rPr>
              <w:t>Aged Services Reserve</w:t>
            </w:r>
          </w:p>
        </w:tc>
        <w:tc>
          <w:tcPr>
            <w:tcW w:w="2538" w:type="dxa"/>
            <w:gridSpan w:val="2"/>
          </w:tcPr>
          <w:p w14:paraId="01E9DB15"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Determined by the renewal requirements of each project.</w:t>
            </w:r>
          </w:p>
        </w:tc>
        <w:tc>
          <w:tcPr>
            <w:tcW w:w="2147" w:type="dxa"/>
          </w:tcPr>
          <w:p w14:paraId="038666C3"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Arts = $76.8k</w:t>
            </w:r>
          </w:p>
          <w:p w14:paraId="5620E7CF"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4769DE09"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Aged Services = $21.8k</w:t>
            </w:r>
          </w:p>
        </w:tc>
        <w:tc>
          <w:tcPr>
            <w:tcW w:w="2409" w:type="dxa"/>
          </w:tcPr>
          <w:p w14:paraId="4377D4C3"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Arts = $150k average balance (net transfer in ~$25k per yr for next 4 years)</w:t>
            </w:r>
          </w:p>
          <w:p w14:paraId="672A2058"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5627B233" w14:textId="77777777" w:rsidR="000A6A26" w:rsidRPr="001D2E50" w:rsidRDefault="000A6A26" w:rsidP="007E0F07">
            <w:pPr>
              <w:autoSpaceDE w:val="0"/>
              <w:autoSpaceDN w:val="0"/>
              <w:adjustRightInd w:val="0"/>
              <w:jc w:val="both"/>
              <w:rPr>
                <w:rFonts w:asciiTheme="minorHAnsi" w:hAnsiTheme="minorHAnsi" w:cstheme="minorHAnsi"/>
                <w:color w:val="000000"/>
              </w:rPr>
            </w:pPr>
          </w:p>
        </w:tc>
      </w:tr>
      <w:tr w:rsidR="000A6A26" w:rsidRPr="00B560C7" w14:paraId="4B765E6D" w14:textId="77777777" w:rsidTr="007E0F07">
        <w:tc>
          <w:tcPr>
            <w:tcW w:w="1329" w:type="dxa"/>
            <w:vMerge/>
          </w:tcPr>
          <w:p w14:paraId="3E960728" w14:textId="77777777" w:rsidR="000A6A26" w:rsidRPr="00B560C7" w:rsidRDefault="000A6A26" w:rsidP="007E0F07">
            <w:pPr>
              <w:autoSpaceDE w:val="0"/>
              <w:autoSpaceDN w:val="0"/>
              <w:adjustRightInd w:val="0"/>
              <w:jc w:val="both"/>
              <w:rPr>
                <w:rFonts w:asciiTheme="minorHAnsi" w:hAnsiTheme="minorHAnsi" w:cstheme="minorHAnsi"/>
                <w:color w:val="000000"/>
              </w:rPr>
            </w:pPr>
          </w:p>
        </w:tc>
        <w:tc>
          <w:tcPr>
            <w:tcW w:w="1378" w:type="dxa"/>
          </w:tcPr>
          <w:p w14:paraId="1C9D5B5B"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Opportunities</w:t>
            </w:r>
          </w:p>
        </w:tc>
        <w:tc>
          <w:tcPr>
            <w:tcW w:w="1353" w:type="dxa"/>
          </w:tcPr>
          <w:p w14:paraId="5BC67305"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To provide for the capacity to take-up unanticipated strategic opportunities </w:t>
            </w:r>
          </w:p>
        </w:tc>
        <w:tc>
          <w:tcPr>
            <w:tcW w:w="1882" w:type="dxa"/>
          </w:tcPr>
          <w:p w14:paraId="67377329" w14:textId="77777777" w:rsidR="000A6A26" w:rsidRPr="002B600C" w:rsidRDefault="000A6A26" w:rsidP="002A3889">
            <w:pPr>
              <w:pStyle w:val="ListParagraph"/>
              <w:numPr>
                <w:ilvl w:val="0"/>
                <w:numId w:val="466"/>
              </w:numPr>
              <w:autoSpaceDE w:val="0"/>
              <w:autoSpaceDN w:val="0"/>
              <w:adjustRightInd w:val="0"/>
              <w:ind w:left="291" w:hanging="284"/>
              <w:jc w:val="both"/>
              <w:rPr>
                <w:rFonts w:asciiTheme="minorHAnsi" w:hAnsiTheme="minorHAnsi" w:cstheme="minorHAnsi"/>
                <w:color w:val="000000"/>
              </w:rPr>
            </w:pPr>
            <w:r w:rsidRPr="002B600C">
              <w:rPr>
                <w:rFonts w:asciiTheme="minorHAnsi" w:hAnsiTheme="minorHAnsi" w:cstheme="minorHAnsi"/>
                <w:color w:val="000000"/>
              </w:rPr>
              <w:t xml:space="preserve">Strategic Asset Management Reserve </w:t>
            </w:r>
          </w:p>
        </w:tc>
        <w:tc>
          <w:tcPr>
            <w:tcW w:w="1269" w:type="dxa"/>
          </w:tcPr>
          <w:p w14:paraId="5549DEC2"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Equivalent to an amount equal to </w:t>
            </w:r>
            <w:r w:rsidRPr="00B560C7">
              <w:rPr>
                <w:rFonts w:asciiTheme="minorHAnsi" w:hAnsiTheme="minorHAnsi" w:cstheme="minorHAnsi"/>
              </w:rPr>
              <w:t>2%</w:t>
            </w:r>
            <w:r w:rsidRPr="00B560C7">
              <w:rPr>
                <w:rFonts w:asciiTheme="minorHAnsi" w:hAnsiTheme="minorHAnsi" w:cstheme="minorHAnsi"/>
                <w:color w:val="000000"/>
              </w:rPr>
              <w:t xml:space="preserve"> of annual general funds</w:t>
            </w:r>
          </w:p>
        </w:tc>
        <w:tc>
          <w:tcPr>
            <w:tcW w:w="1269" w:type="dxa"/>
          </w:tcPr>
          <w:p w14:paraId="0DF3A3C7"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Equivalent to an amount equal to 4% of annual general funds</w:t>
            </w:r>
          </w:p>
        </w:tc>
        <w:tc>
          <w:tcPr>
            <w:tcW w:w="2147" w:type="dxa"/>
          </w:tcPr>
          <w:p w14:paraId="56DEC0F7"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$100k</w:t>
            </w:r>
          </w:p>
        </w:tc>
        <w:tc>
          <w:tcPr>
            <w:tcW w:w="2409" w:type="dxa"/>
          </w:tcPr>
          <w:p w14:paraId="3A9D9BFF"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$380k (net transfer in ~$25k per yr)</w:t>
            </w:r>
          </w:p>
        </w:tc>
      </w:tr>
    </w:tbl>
    <w:p w14:paraId="17115ECE" w14:textId="77777777" w:rsidR="000A6A26" w:rsidRDefault="000A6A26" w:rsidP="000A6A26"/>
    <w:tbl>
      <w:tblPr>
        <w:tblStyle w:val="TableGrid1"/>
        <w:tblpPr w:leftFromText="180" w:rightFromText="180" w:horzAnchor="margin" w:tblpY="443"/>
        <w:tblW w:w="0" w:type="auto"/>
        <w:tblLook w:val="04A0" w:firstRow="1" w:lastRow="0" w:firstColumn="1" w:lastColumn="0" w:noHBand="0" w:noVBand="1"/>
      </w:tblPr>
      <w:tblGrid>
        <w:gridCol w:w="1329"/>
        <w:gridCol w:w="1378"/>
        <w:gridCol w:w="1353"/>
        <w:gridCol w:w="1882"/>
        <w:gridCol w:w="1269"/>
        <w:gridCol w:w="1269"/>
        <w:gridCol w:w="2005"/>
        <w:gridCol w:w="2835"/>
      </w:tblGrid>
      <w:tr w:rsidR="000A6A26" w:rsidRPr="00B560C7" w14:paraId="1BD9CD21" w14:textId="77777777" w:rsidTr="007E0F07">
        <w:tc>
          <w:tcPr>
            <w:tcW w:w="1329" w:type="dxa"/>
            <w:vMerge w:val="restart"/>
            <w:vAlign w:val="center"/>
          </w:tcPr>
          <w:p w14:paraId="106ECB32" w14:textId="77777777" w:rsidR="000A6A26" w:rsidRPr="00B560C7" w:rsidRDefault="000A6A26" w:rsidP="007E0F07">
            <w:pPr>
              <w:autoSpaceDE w:val="0"/>
              <w:autoSpaceDN w:val="0"/>
              <w:adjustRightInd w:val="0"/>
              <w:rPr>
                <w:rFonts w:asciiTheme="minorHAnsi" w:hAnsiTheme="minorHAnsi" w:cstheme="minorHAnsi"/>
                <w:color w:val="000000"/>
              </w:rPr>
            </w:pPr>
            <w:r w:rsidRPr="00B560C7">
              <w:rPr>
                <w:rFonts w:asciiTheme="minorHAnsi" w:hAnsiTheme="minorHAnsi" w:cstheme="minorHAnsi"/>
                <w:color w:val="000000"/>
              </w:rPr>
              <w:lastRenderedPageBreak/>
              <w:t>Asset Management</w:t>
            </w:r>
          </w:p>
        </w:tc>
        <w:tc>
          <w:tcPr>
            <w:tcW w:w="1378" w:type="dxa"/>
          </w:tcPr>
          <w:p w14:paraId="05760626"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Specific </w:t>
            </w:r>
          </w:p>
        </w:tc>
        <w:tc>
          <w:tcPr>
            <w:tcW w:w="1353" w:type="dxa"/>
          </w:tcPr>
          <w:p w14:paraId="1BD69023"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To hold funds for the future renewal of identified assets which cannot be managed in a single budgetary year.    </w:t>
            </w:r>
          </w:p>
        </w:tc>
        <w:tc>
          <w:tcPr>
            <w:tcW w:w="1882" w:type="dxa"/>
          </w:tcPr>
          <w:p w14:paraId="11644843"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Significant asset renewal needs such as facilities of regional significance or essential services.  </w:t>
            </w:r>
          </w:p>
          <w:p w14:paraId="4F34F8FF" w14:textId="77777777" w:rsidR="000A6A26" w:rsidRDefault="000A6A26" w:rsidP="002A3889">
            <w:pPr>
              <w:pStyle w:val="ListParagraph"/>
              <w:numPr>
                <w:ilvl w:val="0"/>
                <w:numId w:val="466"/>
              </w:numPr>
              <w:autoSpaceDE w:val="0"/>
              <w:autoSpaceDN w:val="0"/>
              <w:adjustRightInd w:val="0"/>
              <w:ind w:left="374" w:hanging="283"/>
              <w:jc w:val="both"/>
              <w:rPr>
                <w:rFonts w:asciiTheme="minorHAnsi" w:hAnsiTheme="minorHAnsi" w:cstheme="minorHAnsi"/>
                <w:color w:val="000000"/>
              </w:rPr>
            </w:pPr>
            <w:r w:rsidRPr="002B600C">
              <w:rPr>
                <w:rFonts w:asciiTheme="minorHAnsi" w:hAnsiTheme="minorHAnsi" w:cstheme="minorHAnsi"/>
                <w:color w:val="000000"/>
              </w:rPr>
              <w:t>Preston Point Facilities Reserve</w:t>
            </w:r>
          </w:p>
          <w:p w14:paraId="3E41337E" w14:textId="77777777" w:rsidR="000A6A26" w:rsidRPr="002B600C" w:rsidRDefault="000A6A26" w:rsidP="007E0F07">
            <w:pPr>
              <w:pStyle w:val="ListParagraph"/>
              <w:autoSpaceDE w:val="0"/>
              <w:autoSpaceDN w:val="0"/>
              <w:adjustRightInd w:val="0"/>
              <w:ind w:left="374"/>
              <w:jc w:val="both"/>
              <w:rPr>
                <w:rFonts w:asciiTheme="minorHAnsi" w:hAnsiTheme="minorHAnsi" w:cstheme="minorHAnsi"/>
                <w:color w:val="000000"/>
              </w:rPr>
            </w:pPr>
          </w:p>
          <w:p w14:paraId="66612EFB" w14:textId="77777777" w:rsidR="000A6A26" w:rsidRDefault="000A6A26" w:rsidP="002A3889">
            <w:pPr>
              <w:pStyle w:val="ListParagraph"/>
              <w:numPr>
                <w:ilvl w:val="0"/>
                <w:numId w:val="466"/>
              </w:numPr>
              <w:autoSpaceDE w:val="0"/>
              <w:autoSpaceDN w:val="0"/>
              <w:adjustRightInd w:val="0"/>
              <w:ind w:left="374" w:hanging="283"/>
              <w:jc w:val="both"/>
              <w:rPr>
                <w:rFonts w:asciiTheme="minorHAnsi" w:hAnsiTheme="minorHAnsi" w:cstheme="minorHAnsi"/>
                <w:color w:val="000000"/>
              </w:rPr>
            </w:pPr>
            <w:r w:rsidRPr="002B600C">
              <w:rPr>
                <w:rFonts w:asciiTheme="minorHAnsi" w:hAnsiTheme="minorHAnsi" w:cstheme="minorHAnsi"/>
                <w:color w:val="000000"/>
              </w:rPr>
              <w:t>East Fremantle Oval Redevelopment Reserve</w:t>
            </w:r>
          </w:p>
          <w:p w14:paraId="39543497" w14:textId="77777777" w:rsidR="000A6A26" w:rsidRPr="00420BA6" w:rsidRDefault="000A6A26" w:rsidP="007E0F07">
            <w:pPr>
              <w:pStyle w:val="ListParagraph"/>
              <w:rPr>
                <w:rFonts w:cstheme="minorHAnsi"/>
                <w:color w:val="000000"/>
              </w:rPr>
            </w:pPr>
          </w:p>
          <w:p w14:paraId="6E7263C9" w14:textId="77777777" w:rsidR="000A6A26" w:rsidRPr="002B600C" w:rsidRDefault="000A6A26" w:rsidP="002A3889">
            <w:pPr>
              <w:pStyle w:val="ListParagraph"/>
              <w:numPr>
                <w:ilvl w:val="0"/>
                <w:numId w:val="466"/>
              </w:numPr>
              <w:autoSpaceDE w:val="0"/>
              <w:autoSpaceDN w:val="0"/>
              <w:adjustRightInd w:val="0"/>
              <w:ind w:left="374" w:hanging="283"/>
              <w:jc w:val="both"/>
              <w:rPr>
                <w:rFonts w:asciiTheme="minorHAnsi" w:hAnsiTheme="minorHAnsi" w:cstheme="minorHAnsi"/>
                <w:color w:val="000000"/>
              </w:rPr>
            </w:pPr>
            <w:r w:rsidRPr="002B600C">
              <w:rPr>
                <w:rFonts w:asciiTheme="minorHAnsi" w:hAnsiTheme="minorHAnsi" w:cstheme="minorHAnsi"/>
                <w:color w:val="000000"/>
              </w:rPr>
              <w:t>Foreshore Management Reserve</w:t>
            </w:r>
          </w:p>
        </w:tc>
        <w:tc>
          <w:tcPr>
            <w:tcW w:w="2538" w:type="dxa"/>
            <w:gridSpan w:val="2"/>
            <w:vAlign w:val="center"/>
          </w:tcPr>
          <w:p w14:paraId="356B1B8B"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Determined by the renewal requirements of each project.</w:t>
            </w:r>
          </w:p>
        </w:tc>
        <w:tc>
          <w:tcPr>
            <w:tcW w:w="2005" w:type="dxa"/>
          </w:tcPr>
          <w:p w14:paraId="690C7158"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Preston Point = $36k</w:t>
            </w:r>
          </w:p>
          <w:p w14:paraId="1D65329C"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4E5344E4"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EF Oval = $298k</w:t>
            </w:r>
          </w:p>
          <w:p w14:paraId="6B86BDD6"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2B2DA0DF"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Foreshore = $0</w:t>
            </w:r>
          </w:p>
        </w:tc>
        <w:tc>
          <w:tcPr>
            <w:tcW w:w="2835" w:type="dxa"/>
          </w:tcPr>
          <w:p w14:paraId="108154AB"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Preston Point = net transfer $100k per annum</w:t>
            </w:r>
          </w:p>
          <w:p w14:paraId="4C99ECCD"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481E55A8"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 xml:space="preserve">EF Oval – business plan recommends establishing a sinking fund of $271k per year, plus the Town will be required to fund any operating deficit with a forecast shortfall of $300k in year 1. Sinking fund not to commence until year 3. </w:t>
            </w:r>
          </w:p>
          <w:p w14:paraId="4EC8D80F"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$300k transfer in Year 1(Operating Deficit)</w:t>
            </w:r>
          </w:p>
          <w:p w14:paraId="0A15A2FA"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$100k transfer in subsequent years as a safety net (Operating Deficit)</w:t>
            </w:r>
          </w:p>
          <w:p w14:paraId="7B19F708"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Funding model indicates an own source contribution of $1m from Reserve to the build cost by 2022/23 – so $350k transfer in 2021/22 and 2022/23 required.</w:t>
            </w:r>
          </w:p>
          <w:p w14:paraId="2E26E02C"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$sinking fund thereafter from Yr 3 (to be funded from the dividend model)</w:t>
            </w:r>
          </w:p>
          <w:p w14:paraId="2472D1FA"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63EE1D10"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40DDE653"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Foreshore = $1m (transfer in ~$100k per yr)</w:t>
            </w:r>
          </w:p>
        </w:tc>
      </w:tr>
      <w:tr w:rsidR="000A6A26" w:rsidRPr="00B560C7" w14:paraId="1B9D32C5" w14:textId="77777777" w:rsidTr="007E0F07">
        <w:tc>
          <w:tcPr>
            <w:tcW w:w="1329" w:type="dxa"/>
            <w:vMerge/>
            <w:vAlign w:val="center"/>
          </w:tcPr>
          <w:p w14:paraId="0D9F2FB3" w14:textId="77777777" w:rsidR="000A6A26" w:rsidRPr="00B560C7" w:rsidRDefault="000A6A26" w:rsidP="007E0F07">
            <w:pPr>
              <w:autoSpaceDE w:val="0"/>
              <w:autoSpaceDN w:val="0"/>
              <w:adjustRightInd w:val="0"/>
              <w:rPr>
                <w:rFonts w:asciiTheme="minorHAnsi" w:hAnsiTheme="minorHAnsi" w:cstheme="minorHAnsi"/>
                <w:color w:val="000000"/>
              </w:rPr>
            </w:pPr>
          </w:p>
        </w:tc>
        <w:tc>
          <w:tcPr>
            <w:tcW w:w="1378" w:type="dxa"/>
          </w:tcPr>
          <w:p w14:paraId="2EF5AF29" w14:textId="77777777" w:rsidR="000A6A26" w:rsidRPr="00B560C7" w:rsidRDefault="000A6A26" w:rsidP="007E0F07">
            <w:pPr>
              <w:rPr>
                <w:rFonts w:asciiTheme="minorHAnsi" w:eastAsia="Calibri" w:hAnsiTheme="minorHAnsi" w:cstheme="minorHAnsi"/>
                <w:color w:val="000000"/>
              </w:rPr>
            </w:pPr>
            <w:r w:rsidRPr="00B560C7">
              <w:rPr>
                <w:rFonts w:asciiTheme="minorHAnsi" w:eastAsia="Calibri" w:hAnsiTheme="minorHAnsi" w:cstheme="minorHAnsi"/>
                <w:color w:val="000000"/>
              </w:rPr>
              <w:t>Light Fleet &amp; Plant Acquisition</w:t>
            </w:r>
          </w:p>
          <w:p w14:paraId="224D7629" w14:textId="77777777" w:rsidR="000A6A26" w:rsidRPr="00B560C7" w:rsidRDefault="000A6A26" w:rsidP="007E0F07">
            <w:pPr>
              <w:autoSpaceDE w:val="0"/>
              <w:autoSpaceDN w:val="0"/>
              <w:adjustRightInd w:val="0"/>
              <w:rPr>
                <w:rFonts w:asciiTheme="minorHAnsi" w:hAnsiTheme="minorHAnsi" w:cstheme="minorHAnsi"/>
                <w:color w:val="000000"/>
              </w:rPr>
            </w:pPr>
          </w:p>
        </w:tc>
        <w:tc>
          <w:tcPr>
            <w:tcW w:w="1353" w:type="dxa"/>
          </w:tcPr>
          <w:p w14:paraId="10BADA90" w14:textId="77777777" w:rsidR="000A6A26" w:rsidRPr="00B560C7" w:rsidRDefault="000A6A26" w:rsidP="007E0F07">
            <w:pPr>
              <w:autoSpaceDE w:val="0"/>
              <w:autoSpaceDN w:val="0"/>
              <w:adjustRightInd w:val="0"/>
              <w:rPr>
                <w:rFonts w:asciiTheme="minorHAnsi" w:hAnsiTheme="minorHAnsi" w:cstheme="minorHAnsi"/>
                <w:color w:val="000000"/>
              </w:rPr>
            </w:pPr>
            <w:r w:rsidRPr="00B560C7">
              <w:rPr>
                <w:rFonts w:asciiTheme="minorHAnsi" w:hAnsiTheme="minorHAnsi" w:cstheme="minorHAnsi"/>
                <w:color w:val="000000"/>
              </w:rPr>
              <w:t xml:space="preserve">To hold funds for asset renewal for plant &amp; vehicles to reduce the risk of a </w:t>
            </w:r>
            <w:r w:rsidRPr="00B560C7">
              <w:rPr>
                <w:rFonts w:asciiTheme="minorHAnsi" w:hAnsiTheme="minorHAnsi" w:cstheme="minorHAnsi"/>
                <w:color w:val="000000"/>
              </w:rPr>
              <w:lastRenderedPageBreak/>
              <w:t xml:space="preserve">sudden loss of service potential and to assist with peak renewal demand.     </w:t>
            </w:r>
          </w:p>
        </w:tc>
        <w:tc>
          <w:tcPr>
            <w:tcW w:w="1882" w:type="dxa"/>
          </w:tcPr>
          <w:p w14:paraId="6B5F8DB8" w14:textId="77777777" w:rsidR="000A6A26" w:rsidRPr="002B600C" w:rsidRDefault="000A6A26" w:rsidP="007E0F07">
            <w:pPr>
              <w:autoSpaceDE w:val="0"/>
              <w:autoSpaceDN w:val="0"/>
              <w:adjustRightInd w:val="0"/>
              <w:rPr>
                <w:rFonts w:asciiTheme="minorHAnsi" w:hAnsiTheme="minorHAnsi" w:cstheme="minorHAnsi"/>
                <w:color w:val="000000"/>
              </w:rPr>
            </w:pPr>
            <w:r w:rsidRPr="00B560C7">
              <w:rPr>
                <w:rFonts w:asciiTheme="minorHAnsi" w:hAnsiTheme="minorHAnsi" w:cstheme="minorHAnsi"/>
                <w:color w:val="000000"/>
              </w:rPr>
              <w:lastRenderedPageBreak/>
              <w:t xml:space="preserve">Plant and Vehicles </w:t>
            </w:r>
          </w:p>
          <w:p w14:paraId="4BCCA9A7" w14:textId="77777777" w:rsidR="000A6A26" w:rsidRPr="002B600C" w:rsidRDefault="000A6A26" w:rsidP="002A3889">
            <w:pPr>
              <w:pStyle w:val="ListParagraph"/>
              <w:numPr>
                <w:ilvl w:val="0"/>
                <w:numId w:val="467"/>
              </w:numPr>
              <w:autoSpaceDE w:val="0"/>
              <w:autoSpaceDN w:val="0"/>
              <w:adjustRightInd w:val="0"/>
              <w:ind w:left="336" w:hanging="284"/>
              <w:rPr>
                <w:rFonts w:asciiTheme="minorHAnsi" w:hAnsiTheme="minorHAnsi" w:cstheme="minorHAnsi"/>
                <w:color w:val="000000"/>
              </w:rPr>
            </w:pPr>
            <w:r w:rsidRPr="002B600C">
              <w:rPr>
                <w:rFonts w:asciiTheme="minorHAnsi" w:hAnsiTheme="minorHAnsi" w:cstheme="minorHAnsi"/>
                <w:color w:val="000000"/>
              </w:rPr>
              <w:t>Vehicle, Plant and Equipment Reserve</w:t>
            </w:r>
          </w:p>
        </w:tc>
        <w:tc>
          <w:tcPr>
            <w:tcW w:w="1269" w:type="dxa"/>
          </w:tcPr>
          <w:p w14:paraId="05955565" w14:textId="77777777" w:rsidR="000A6A26" w:rsidRPr="00B560C7" w:rsidRDefault="000A6A26" w:rsidP="007E0F07">
            <w:pPr>
              <w:autoSpaceDE w:val="0"/>
              <w:autoSpaceDN w:val="0"/>
              <w:adjustRightInd w:val="0"/>
              <w:rPr>
                <w:rFonts w:asciiTheme="minorHAnsi" w:hAnsiTheme="minorHAnsi" w:cstheme="minorHAnsi"/>
                <w:color w:val="000000"/>
              </w:rPr>
            </w:pPr>
            <w:r w:rsidRPr="00B560C7">
              <w:rPr>
                <w:rFonts w:asciiTheme="minorHAnsi" w:hAnsiTheme="minorHAnsi" w:cstheme="minorHAnsi"/>
                <w:color w:val="000000"/>
              </w:rPr>
              <w:t xml:space="preserve">10% of the current replacement cost of the depreciable component </w:t>
            </w:r>
            <w:r w:rsidRPr="00B560C7">
              <w:rPr>
                <w:rFonts w:asciiTheme="minorHAnsi" w:hAnsiTheme="minorHAnsi" w:cstheme="minorHAnsi"/>
                <w:color w:val="000000"/>
              </w:rPr>
              <w:lastRenderedPageBreak/>
              <w:t>of each asset group</w:t>
            </w:r>
          </w:p>
        </w:tc>
        <w:tc>
          <w:tcPr>
            <w:tcW w:w="1269" w:type="dxa"/>
          </w:tcPr>
          <w:p w14:paraId="4CF9C27B" w14:textId="77777777" w:rsidR="000A6A26" w:rsidRPr="00B560C7" w:rsidRDefault="000A6A26" w:rsidP="007E0F07">
            <w:pPr>
              <w:autoSpaceDE w:val="0"/>
              <w:autoSpaceDN w:val="0"/>
              <w:adjustRightInd w:val="0"/>
              <w:rPr>
                <w:rFonts w:asciiTheme="minorHAnsi" w:hAnsiTheme="minorHAnsi" w:cstheme="minorHAnsi"/>
                <w:color w:val="000000"/>
              </w:rPr>
            </w:pPr>
            <w:r w:rsidRPr="00B560C7">
              <w:rPr>
                <w:rFonts w:asciiTheme="minorHAnsi" w:hAnsiTheme="minorHAnsi" w:cstheme="minorHAnsi"/>
                <w:color w:val="000000"/>
              </w:rPr>
              <w:lastRenderedPageBreak/>
              <w:t xml:space="preserve">20% of the current replacement cost of the depreciable component </w:t>
            </w:r>
            <w:r w:rsidRPr="00B560C7">
              <w:rPr>
                <w:rFonts w:asciiTheme="minorHAnsi" w:hAnsiTheme="minorHAnsi" w:cstheme="minorHAnsi"/>
                <w:color w:val="000000"/>
              </w:rPr>
              <w:lastRenderedPageBreak/>
              <w:t>of each asset group</w:t>
            </w:r>
          </w:p>
        </w:tc>
        <w:tc>
          <w:tcPr>
            <w:tcW w:w="2005" w:type="dxa"/>
          </w:tcPr>
          <w:p w14:paraId="24A6CAC4" w14:textId="77777777" w:rsidR="000A6A26" w:rsidRPr="001D2E50" w:rsidRDefault="000A6A26" w:rsidP="007E0F07">
            <w:pPr>
              <w:autoSpaceDE w:val="0"/>
              <w:autoSpaceDN w:val="0"/>
              <w:adjustRightInd w:val="0"/>
              <w:rPr>
                <w:rFonts w:asciiTheme="minorHAnsi" w:hAnsiTheme="minorHAnsi" w:cstheme="minorHAnsi"/>
                <w:color w:val="000000"/>
              </w:rPr>
            </w:pPr>
            <w:r w:rsidRPr="001D2E50">
              <w:rPr>
                <w:rFonts w:asciiTheme="minorHAnsi" w:hAnsiTheme="minorHAnsi" w:cstheme="minorHAnsi"/>
                <w:color w:val="000000"/>
              </w:rPr>
              <w:lastRenderedPageBreak/>
              <w:t>$84k</w:t>
            </w:r>
          </w:p>
        </w:tc>
        <w:tc>
          <w:tcPr>
            <w:tcW w:w="2835" w:type="dxa"/>
          </w:tcPr>
          <w:p w14:paraId="2DBD9221" w14:textId="77777777" w:rsidR="000A6A26" w:rsidRPr="001D2E50" w:rsidRDefault="000A6A26" w:rsidP="007E0F07">
            <w:pPr>
              <w:autoSpaceDE w:val="0"/>
              <w:autoSpaceDN w:val="0"/>
              <w:adjustRightInd w:val="0"/>
              <w:rPr>
                <w:rFonts w:asciiTheme="minorHAnsi" w:hAnsiTheme="minorHAnsi" w:cstheme="minorHAnsi"/>
                <w:color w:val="000000"/>
              </w:rPr>
            </w:pPr>
            <w:r w:rsidRPr="001D2E50">
              <w:rPr>
                <w:rFonts w:asciiTheme="minorHAnsi" w:hAnsiTheme="minorHAnsi" w:cstheme="minorHAnsi"/>
                <w:color w:val="000000"/>
              </w:rPr>
              <w:t>Transfer in annual depreciation expense circa $138k</w:t>
            </w:r>
          </w:p>
          <w:p w14:paraId="5C9BB60E" w14:textId="77777777" w:rsidR="000A6A26" w:rsidRPr="001D2E50" w:rsidRDefault="000A6A26" w:rsidP="007E0F07">
            <w:pPr>
              <w:autoSpaceDE w:val="0"/>
              <w:autoSpaceDN w:val="0"/>
              <w:adjustRightInd w:val="0"/>
              <w:rPr>
                <w:rFonts w:asciiTheme="minorHAnsi" w:hAnsiTheme="minorHAnsi" w:cstheme="minorHAnsi"/>
                <w:color w:val="000000"/>
              </w:rPr>
            </w:pPr>
            <w:r w:rsidRPr="001D2E50">
              <w:rPr>
                <w:rFonts w:asciiTheme="minorHAnsi" w:hAnsiTheme="minorHAnsi" w:cstheme="minorHAnsi"/>
                <w:color w:val="000000"/>
              </w:rPr>
              <w:t>Transfer out net funding requirements</w:t>
            </w:r>
          </w:p>
          <w:p w14:paraId="5CA42E85" w14:textId="77777777" w:rsidR="000A6A26" w:rsidRPr="001D2E50" w:rsidRDefault="000A6A26" w:rsidP="007E0F07">
            <w:pPr>
              <w:autoSpaceDE w:val="0"/>
              <w:autoSpaceDN w:val="0"/>
              <w:adjustRightInd w:val="0"/>
              <w:rPr>
                <w:rFonts w:asciiTheme="minorHAnsi" w:hAnsiTheme="minorHAnsi" w:cstheme="minorHAnsi"/>
                <w:color w:val="000000"/>
              </w:rPr>
            </w:pPr>
          </w:p>
          <w:p w14:paraId="219992B0" w14:textId="77777777" w:rsidR="000A6A26" w:rsidRPr="001D2E50" w:rsidRDefault="000A6A26" w:rsidP="007E0F07">
            <w:pPr>
              <w:autoSpaceDE w:val="0"/>
              <w:autoSpaceDN w:val="0"/>
              <w:adjustRightInd w:val="0"/>
              <w:rPr>
                <w:rFonts w:asciiTheme="minorHAnsi" w:hAnsiTheme="minorHAnsi" w:cstheme="minorHAnsi"/>
                <w:color w:val="000000"/>
              </w:rPr>
            </w:pPr>
          </w:p>
        </w:tc>
      </w:tr>
      <w:tr w:rsidR="000A6A26" w:rsidRPr="00B560C7" w14:paraId="5E38FAD8" w14:textId="77777777" w:rsidTr="007E0F07">
        <w:tc>
          <w:tcPr>
            <w:tcW w:w="1329" w:type="dxa"/>
            <w:vMerge/>
            <w:vAlign w:val="center"/>
          </w:tcPr>
          <w:p w14:paraId="78B17852" w14:textId="77777777" w:rsidR="000A6A26" w:rsidRPr="00B560C7" w:rsidRDefault="000A6A26" w:rsidP="007E0F07">
            <w:pPr>
              <w:autoSpaceDE w:val="0"/>
              <w:autoSpaceDN w:val="0"/>
              <w:adjustRightInd w:val="0"/>
              <w:rPr>
                <w:rFonts w:asciiTheme="minorHAnsi" w:hAnsiTheme="minorHAnsi" w:cstheme="minorHAnsi"/>
                <w:color w:val="000000"/>
              </w:rPr>
            </w:pPr>
          </w:p>
        </w:tc>
        <w:tc>
          <w:tcPr>
            <w:tcW w:w="1378" w:type="dxa"/>
          </w:tcPr>
          <w:p w14:paraId="4B61C9F0"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General</w:t>
            </w:r>
          </w:p>
        </w:tc>
        <w:tc>
          <w:tcPr>
            <w:tcW w:w="1353" w:type="dxa"/>
          </w:tcPr>
          <w:p w14:paraId="018CE89D"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To hold funds for general asset renewal for each fixed asset class (excluding plant &amp; vehicles) to reduce the risk of a sudden loss of service potential and to assist with peak renewal demand.     </w:t>
            </w:r>
          </w:p>
        </w:tc>
        <w:tc>
          <w:tcPr>
            <w:tcW w:w="1882" w:type="dxa"/>
          </w:tcPr>
          <w:p w14:paraId="15C47C25" w14:textId="77777777" w:rsidR="000A6A26"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 xml:space="preserve">Waste Management, Roads, Footpaths, Drainage, Parks Infrastructure, Streetscape, Buildings. </w:t>
            </w:r>
          </w:p>
          <w:p w14:paraId="2DDB5842" w14:textId="77777777" w:rsidR="000A6A26" w:rsidRPr="002B600C" w:rsidRDefault="000A6A26" w:rsidP="007E0F07">
            <w:pPr>
              <w:autoSpaceDE w:val="0"/>
              <w:autoSpaceDN w:val="0"/>
              <w:adjustRightInd w:val="0"/>
              <w:jc w:val="both"/>
              <w:rPr>
                <w:rFonts w:asciiTheme="minorHAnsi" w:hAnsiTheme="minorHAnsi" w:cstheme="minorHAnsi"/>
                <w:color w:val="000000"/>
              </w:rPr>
            </w:pPr>
          </w:p>
          <w:p w14:paraId="52D59F86" w14:textId="77777777" w:rsidR="000A6A26" w:rsidRDefault="000A6A26" w:rsidP="002A3889">
            <w:pPr>
              <w:pStyle w:val="ListParagraph"/>
              <w:numPr>
                <w:ilvl w:val="0"/>
                <w:numId w:val="467"/>
              </w:numPr>
              <w:autoSpaceDE w:val="0"/>
              <w:autoSpaceDN w:val="0"/>
              <w:adjustRightInd w:val="0"/>
              <w:ind w:left="194" w:hanging="194"/>
              <w:jc w:val="both"/>
              <w:rPr>
                <w:rFonts w:asciiTheme="minorHAnsi" w:hAnsiTheme="minorHAnsi" w:cstheme="minorHAnsi"/>
                <w:color w:val="000000"/>
              </w:rPr>
            </w:pPr>
            <w:r w:rsidRPr="002B600C">
              <w:rPr>
                <w:rFonts w:asciiTheme="minorHAnsi" w:hAnsiTheme="minorHAnsi" w:cstheme="minorHAnsi"/>
                <w:color w:val="000000"/>
              </w:rPr>
              <w:t>Waste Reserve</w:t>
            </w:r>
          </w:p>
          <w:p w14:paraId="6855BB12" w14:textId="77777777" w:rsidR="000A6A26" w:rsidRPr="002B600C" w:rsidRDefault="000A6A26" w:rsidP="007E0F07">
            <w:pPr>
              <w:pStyle w:val="ListParagraph"/>
              <w:autoSpaceDE w:val="0"/>
              <w:autoSpaceDN w:val="0"/>
              <w:adjustRightInd w:val="0"/>
              <w:ind w:left="194"/>
              <w:jc w:val="both"/>
              <w:rPr>
                <w:rFonts w:asciiTheme="minorHAnsi" w:hAnsiTheme="minorHAnsi" w:cstheme="minorHAnsi"/>
                <w:color w:val="000000"/>
              </w:rPr>
            </w:pPr>
          </w:p>
          <w:p w14:paraId="3BF68C8A" w14:textId="77777777" w:rsidR="000A6A26" w:rsidRDefault="000A6A26" w:rsidP="002A3889">
            <w:pPr>
              <w:pStyle w:val="ListParagraph"/>
              <w:numPr>
                <w:ilvl w:val="0"/>
                <w:numId w:val="467"/>
              </w:numPr>
              <w:autoSpaceDE w:val="0"/>
              <w:autoSpaceDN w:val="0"/>
              <w:adjustRightInd w:val="0"/>
              <w:ind w:left="194" w:hanging="194"/>
              <w:jc w:val="both"/>
              <w:rPr>
                <w:rFonts w:asciiTheme="minorHAnsi" w:hAnsiTheme="minorHAnsi" w:cstheme="minorHAnsi"/>
                <w:color w:val="000000"/>
              </w:rPr>
            </w:pPr>
            <w:r w:rsidRPr="002B600C">
              <w:rPr>
                <w:rFonts w:asciiTheme="minorHAnsi" w:hAnsiTheme="minorHAnsi" w:cstheme="minorHAnsi"/>
                <w:color w:val="000000"/>
              </w:rPr>
              <w:t>Streetscape Reserve</w:t>
            </w:r>
          </w:p>
          <w:p w14:paraId="7C7A4C4B" w14:textId="77777777" w:rsidR="000A6A26" w:rsidRPr="00420BA6" w:rsidRDefault="000A6A26" w:rsidP="007E0F07">
            <w:pPr>
              <w:pStyle w:val="ListParagraph"/>
              <w:rPr>
                <w:rFonts w:cstheme="minorHAnsi"/>
                <w:color w:val="000000"/>
              </w:rPr>
            </w:pPr>
          </w:p>
          <w:p w14:paraId="7ACDC1FE" w14:textId="77777777" w:rsidR="000A6A26" w:rsidRPr="002B600C" w:rsidRDefault="000A6A26" w:rsidP="002A3889">
            <w:pPr>
              <w:pStyle w:val="ListParagraph"/>
              <w:numPr>
                <w:ilvl w:val="0"/>
                <w:numId w:val="467"/>
              </w:numPr>
              <w:autoSpaceDE w:val="0"/>
              <w:autoSpaceDN w:val="0"/>
              <w:adjustRightInd w:val="0"/>
              <w:ind w:left="194" w:hanging="194"/>
              <w:jc w:val="both"/>
              <w:rPr>
                <w:rFonts w:asciiTheme="minorHAnsi" w:hAnsiTheme="minorHAnsi" w:cstheme="minorHAnsi"/>
                <w:color w:val="000000"/>
              </w:rPr>
            </w:pPr>
            <w:r w:rsidRPr="002B600C">
              <w:rPr>
                <w:rFonts w:asciiTheme="minorHAnsi" w:hAnsiTheme="minorHAnsi" w:cstheme="minorHAnsi"/>
                <w:color w:val="000000"/>
              </w:rPr>
              <w:t>Drainage Reserve</w:t>
            </w:r>
          </w:p>
        </w:tc>
        <w:tc>
          <w:tcPr>
            <w:tcW w:w="1269" w:type="dxa"/>
          </w:tcPr>
          <w:p w14:paraId="42982B14"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1% of the current replacement cost of the depreciable component of each asset group</w:t>
            </w:r>
          </w:p>
        </w:tc>
        <w:tc>
          <w:tcPr>
            <w:tcW w:w="1269" w:type="dxa"/>
          </w:tcPr>
          <w:p w14:paraId="62B97734"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2.5% of the current replacement cost of the depreciable component of each asset group</w:t>
            </w:r>
          </w:p>
        </w:tc>
        <w:tc>
          <w:tcPr>
            <w:tcW w:w="2005" w:type="dxa"/>
          </w:tcPr>
          <w:p w14:paraId="001EF709"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3EF7D263"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444EE9B2"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22682FB4"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11FABE4C"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5B631C09"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Waste = $0</w:t>
            </w:r>
          </w:p>
          <w:p w14:paraId="0437687B"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5CAFD6AD"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Streetscape = $75k</w:t>
            </w:r>
          </w:p>
          <w:p w14:paraId="60CB9A30"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7DE7207D"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Drainage = $150k</w:t>
            </w:r>
          </w:p>
        </w:tc>
        <w:tc>
          <w:tcPr>
            <w:tcW w:w="2835" w:type="dxa"/>
          </w:tcPr>
          <w:p w14:paraId="26D661AF"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096E3D3C"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652FE549"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797C0E16"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 xml:space="preserve">Waste – </w:t>
            </w:r>
            <w:proofErr w:type="gramStart"/>
            <w:r w:rsidRPr="001D2E50">
              <w:rPr>
                <w:rFonts w:asciiTheme="minorHAnsi" w:hAnsiTheme="minorHAnsi" w:cstheme="minorHAnsi"/>
                <w:color w:val="000000"/>
              </w:rPr>
              <w:t>in the event that</w:t>
            </w:r>
            <w:proofErr w:type="gramEnd"/>
            <w:r w:rsidRPr="001D2E50">
              <w:rPr>
                <w:rFonts w:asciiTheme="minorHAnsi" w:hAnsiTheme="minorHAnsi" w:cstheme="minorHAnsi"/>
                <w:color w:val="000000"/>
              </w:rPr>
              <w:t xml:space="preserve"> the Town imposes a separate waste charge on the rates notice, the Town could adopt a full cost recovery model + 2% (circa $32kpa) with the surplus to be transferred to Reserve for the purpose of funding future waste initiatives/liabilities or provide a return on investment?</w:t>
            </w:r>
          </w:p>
          <w:p w14:paraId="273569C4"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47273CC6"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Streetscape = $25k per year for major streetscape upgrades including George St</w:t>
            </w:r>
          </w:p>
          <w:p w14:paraId="47535717" w14:textId="77777777" w:rsidR="000A6A26" w:rsidRPr="001D2E50" w:rsidRDefault="000A6A26" w:rsidP="007E0F07">
            <w:pPr>
              <w:autoSpaceDE w:val="0"/>
              <w:autoSpaceDN w:val="0"/>
              <w:adjustRightInd w:val="0"/>
              <w:jc w:val="both"/>
              <w:rPr>
                <w:rFonts w:asciiTheme="minorHAnsi" w:hAnsiTheme="minorHAnsi" w:cstheme="minorHAnsi"/>
                <w:color w:val="000000"/>
              </w:rPr>
            </w:pPr>
          </w:p>
          <w:p w14:paraId="6340DB0E"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Drainage = $700k</w:t>
            </w:r>
          </w:p>
          <w:p w14:paraId="4A208FC9" w14:textId="77777777" w:rsidR="000A6A26" w:rsidRPr="001D2E50" w:rsidRDefault="000A6A26" w:rsidP="007E0F07">
            <w:pPr>
              <w:autoSpaceDE w:val="0"/>
              <w:autoSpaceDN w:val="0"/>
              <w:adjustRightInd w:val="0"/>
              <w:jc w:val="both"/>
              <w:rPr>
                <w:rFonts w:asciiTheme="minorHAnsi" w:hAnsiTheme="minorHAnsi" w:cstheme="minorHAnsi"/>
                <w:color w:val="000000"/>
              </w:rPr>
            </w:pPr>
            <w:r w:rsidRPr="001D2E50">
              <w:rPr>
                <w:rFonts w:asciiTheme="minorHAnsi" w:hAnsiTheme="minorHAnsi" w:cstheme="minorHAnsi"/>
                <w:color w:val="000000"/>
              </w:rPr>
              <w:t xml:space="preserve">CRC = $2.06m + drainage audit findings (no $ values included), general allocation in SRP $100k per yr </w:t>
            </w:r>
          </w:p>
        </w:tc>
      </w:tr>
      <w:tr w:rsidR="000A6A26" w:rsidRPr="00B560C7" w14:paraId="6634918D" w14:textId="77777777" w:rsidTr="007E0F07">
        <w:tc>
          <w:tcPr>
            <w:tcW w:w="1329" w:type="dxa"/>
            <w:vMerge w:val="restart"/>
            <w:vAlign w:val="center"/>
          </w:tcPr>
          <w:p w14:paraId="4AFC0EBA" w14:textId="77777777" w:rsidR="000A6A26" w:rsidRPr="00B560C7" w:rsidRDefault="000A6A26" w:rsidP="007E0F07">
            <w:pPr>
              <w:autoSpaceDE w:val="0"/>
              <w:autoSpaceDN w:val="0"/>
              <w:adjustRightInd w:val="0"/>
              <w:rPr>
                <w:rFonts w:asciiTheme="minorHAnsi" w:hAnsiTheme="minorHAnsi" w:cstheme="minorHAnsi"/>
                <w:color w:val="000000"/>
              </w:rPr>
            </w:pPr>
            <w:r w:rsidRPr="00B560C7">
              <w:rPr>
                <w:rFonts w:asciiTheme="minorHAnsi" w:hAnsiTheme="minorHAnsi" w:cstheme="minorHAnsi"/>
                <w:color w:val="000000"/>
              </w:rPr>
              <w:t>Developer Contributions</w:t>
            </w:r>
          </w:p>
        </w:tc>
        <w:tc>
          <w:tcPr>
            <w:tcW w:w="1378" w:type="dxa"/>
          </w:tcPr>
          <w:p w14:paraId="42CDE2BE"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Major</w:t>
            </w:r>
          </w:p>
        </w:tc>
        <w:tc>
          <w:tcPr>
            <w:tcW w:w="1353" w:type="dxa"/>
          </w:tcPr>
          <w:p w14:paraId="6F805F73"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To hold contributions to be used in accordance with the specific major plan</w:t>
            </w:r>
          </w:p>
        </w:tc>
        <w:tc>
          <w:tcPr>
            <w:tcW w:w="1882" w:type="dxa"/>
          </w:tcPr>
          <w:p w14:paraId="2ADAA31C"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N/A</w:t>
            </w:r>
          </w:p>
        </w:tc>
        <w:tc>
          <w:tcPr>
            <w:tcW w:w="2538" w:type="dxa"/>
            <w:gridSpan w:val="2"/>
            <w:vMerge w:val="restart"/>
            <w:vAlign w:val="center"/>
          </w:tcPr>
          <w:p w14:paraId="20B0250B"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Determined by the amount of unexpended funds.</w:t>
            </w:r>
          </w:p>
        </w:tc>
        <w:tc>
          <w:tcPr>
            <w:tcW w:w="2005" w:type="dxa"/>
          </w:tcPr>
          <w:p w14:paraId="2089CF7F" w14:textId="77777777" w:rsidR="000A6A26" w:rsidRPr="00B560C7" w:rsidRDefault="000A6A26" w:rsidP="007E0F07">
            <w:pPr>
              <w:autoSpaceDE w:val="0"/>
              <w:autoSpaceDN w:val="0"/>
              <w:adjustRightInd w:val="0"/>
              <w:jc w:val="both"/>
              <w:rPr>
                <w:rFonts w:cstheme="minorHAnsi"/>
                <w:color w:val="000000"/>
              </w:rPr>
            </w:pPr>
          </w:p>
        </w:tc>
        <w:tc>
          <w:tcPr>
            <w:tcW w:w="2835" w:type="dxa"/>
          </w:tcPr>
          <w:p w14:paraId="61E9ECF6" w14:textId="77777777" w:rsidR="000A6A26" w:rsidRPr="00B560C7" w:rsidRDefault="000A6A26" w:rsidP="007E0F07">
            <w:pPr>
              <w:autoSpaceDE w:val="0"/>
              <w:autoSpaceDN w:val="0"/>
              <w:adjustRightInd w:val="0"/>
              <w:jc w:val="both"/>
              <w:rPr>
                <w:rFonts w:cstheme="minorHAnsi"/>
                <w:color w:val="000000"/>
              </w:rPr>
            </w:pPr>
          </w:p>
        </w:tc>
      </w:tr>
      <w:tr w:rsidR="000A6A26" w:rsidRPr="00B560C7" w14:paraId="79A07CE0" w14:textId="77777777" w:rsidTr="007E0F07">
        <w:tc>
          <w:tcPr>
            <w:tcW w:w="1329" w:type="dxa"/>
            <w:vMerge/>
          </w:tcPr>
          <w:p w14:paraId="09C0B58D" w14:textId="77777777" w:rsidR="000A6A26" w:rsidRPr="00B560C7" w:rsidRDefault="000A6A26" w:rsidP="007E0F07">
            <w:pPr>
              <w:autoSpaceDE w:val="0"/>
              <w:autoSpaceDN w:val="0"/>
              <w:adjustRightInd w:val="0"/>
              <w:jc w:val="both"/>
              <w:rPr>
                <w:rFonts w:asciiTheme="minorHAnsi" w:hAnsiTheme="minorHAnsi" w:cstheme="minorHAnsi"/>
                <w:color w:val="000000"/>
              </w:rPr>
            </w:pPr>
          </w:p>
        </w:tc>
        <w:tc>
          <w:tcPr>
            <w:tcW w:w="1378" w:type="dxa"/>
          </w:tcPr>
          <w:p w14:paraId="4101A835"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Miscellaneous</w:t>
            </w:r>
          </w:p>
        </w:tc>
        <w:tc>
          <w:tcPr>
            <w:tcW w:w="1353" w:type="dxa"/>
          </w:tcPr>
          <w:p w14:paraId="779EC5C1"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To hold contributions to be used in accordance with several minor plans</w:t>
            </w:r>
          </w:p>
        </w:tc>
        <w:tc>
          <w:tcPr>
            <w:tcW w:w="1882" w:type="dxa"/>
          </w:tcPr>
          <w:p w14:paraId="2115686A" w14:textId="77777777" w:rsidR="000A6A26" w:rsidRPr="00B560C7" w:rsidRDefault="000A6A26" w:rsidP="007E0F07">
            <w:pPr>
              <w:autoSpaceDE w:val="0"/>
              <w:autoSpaceDN w:val="0"/>
              <w:adjustRightInd w:val="0"/>
              <w:jc w:val="both"/>
              <w:rPr>
                <w:rFonts w:asciiTheme="minorHAnsi" w:hAnsiTheme="minorHAnsi" w:cstheme="minorHAnsi"/>
                <w:color w:val="000000"/>
              </w:rPr>
            </w:pPr>
            <w:r w:rsidRPr="00B560C7">
              <w:rPr>
                <w:rFonts w:asciiTheme="minorHAnsi" w:hAnsiTheme="minorHAnsi" w:cstheme="minorHAnsi"/>
                <w:color w:val="000000"/>
              </w:rPr>
              <w:t>N/A</w:t>
            </w:r>
          </w:p>
        </w:tc>
        <w:tc>
          <w:tcPr>
            <w:tcW w:w="2538" w:type="dxa"/>
            <w:gridSpan w:val="2"/>
            <w:vMerge/>
          </w:tcPr>
          <w:p w14:paraId="4D53622E" w14:textId="77777777" w:rsidR="000A6A26" w:rsidRPr="00B560C7" w:rsidRDefault="000A6A26" w:rsidP="007E0F07">
            <w:pPr>
              <w:autoSpaceDE w:val="0"/>
              <w:autoSpaceDN w:val="0"/>
              <w:adjustRightInd w:val="0"/>
              <w:jc w:val="both"/>
              <w:rPr>
                <w:rFonts w:asciiTheme="minorHAnsi" w:hAnsiTheme="minorHAnsi" w:cstheme="minorHAnsi"/>
                <w:color w:val="000000"/>
              </w:rPr>
            </w:pPr>
          </w:p>
        </w:tc>
        <w:tc>
          <w:tcPr>
            <w:tcW w:w="2005" w:type="dxa"/>
          </w:tcPr>
          <w:p w14:paraId="12EA56FB" w14:textId="77777777" w:rsidR="000A6A26" w:rsidRPr="00B560C7" w:rsidRDefault="000A6A26" w:rsidP="007E0F07">
            <w:pPr>
              <w:autoSpaceDE w:val="0"/>
              <w:autoSpaceDN w:val="0"/>
              <w:adjustRightInd w:val="0"/>
              <w:jc w:val="both"/>
              <w:rPr>
                <w:rFonts w:cstheme="minorHAnsi"/>
                <w:color w:val="000000"/>
              </w:rPr>
            </w:pPr>
          </w:p>
        </w:tc>
        <w:tc>
          <w:tcPr>
            <w:tcW w:w="2835" w:type="dxa"/>
          </w:tcPr>
          <w:p w14:paraId="43178D9C" w14:textId="77777777" w:rsidR="000A6A26" w:rsidRPr="00B560C7" w:rsidRDefault="000A6A26" w:rsidP="007E0F07">
            <w:pPr>
              <w:autoSpaceDE w:val="0"/>
              <w:autoSpaceDN w:val="0"/>
              <w:adjustRightInd w:val="0"/>
              <w:jc w:val="both"/>
              <w:rPr>
                <w:rFonts w:cstheme="minorHAnsi"/>
                <w:color w:val="000000"/>
              </w:rPr>
            </w:pPr>
          </w:p>
        </w:tc>
      </w:tr>
    </w:tbl>
    <w:p w14:paraId="1CE38A19" w14:textId="77777777" w:rsidR="000A6A26" w:rsidRDefault="000A6A26" w:rsidP="000A6A26">
      <w:pPr>
        <w:rPr>
          <w:rFonts w:cstheme="minorHAnsi"/>
          <w:sz w:val="20"/>
          <w:szCs w:val="20"/>
        </w:rPr>
      </w:pPr>
    </w:p>
    <w:p w14:paraId="6035AA23" w14:textId="77777777" w:rsidR="000A6A26" w:rsidRDefault="000A6A26" w:rsidP="000A6A26">
      <w:pPr>
        <w:rPr>
          <w:rFonts w:cstheme="minorHAnsi"/>
          <w:sz w:val="20"/>
          <w:szCs w:val="20"/>
        </w:rPr>
      </w:pPr>
    </w:p>
    <w:p w14:paraId="05CCDE61" w14:textId="77777777" w:rsidR="000A6A26" w:rsidRDefault="000A6A26" w:rsidP="000A6A26">
      <w:pPr>
        <w:rPr>
          <w:rFonts w:cstheme="minorHAnsi"/>
          <w:sz w:val="20"/>
          <w:szCs w:val="20"/>
        </w:rPr>
      </w:pPr>
    </w:p>
    <w:p w14:paraId="1F7BE4AA" w14:textId="77777777" w:rsidR="000A6A26" w:rsidRDefault="000A6A26" w:rsidP="000A6A26">
      <w:pPr>
        <w:rPr>
          <w:rFonts w:cstheme="minorHAnsi"/>
          <w:sz w:val="20"/>
          <w:szCs w:val="20"/>
        </w:rPr>
      </w:pPr>
    </w:p>
    <w:p w14:paraId="6F0014CA" w14:textId="77777777" w:rsidR="000A6A26" w:rsidRDefault="000A6A26" w:rsidP="000A6A26">
      <w:pPr>
        <w:rPr>
          <w:rFonts w:cstheme="minorHAnsi"/>
          <w:sz w:val="20"/>
          <w:szCs w:val="20"/>
        </w:rPr>
      </w:pPr>
    </w:p>
    <w:p w14:paraId="43EA5612" w14:textId="15DC7634" w:rsidR="006D07AE" w:rsidRDefault="006D07AE" w:rsidP="006D07AE">
      <w:pPr>
        <w:rPr>
          <w:rFonts w:ascii="Calibri" w:hAnsi="Calibri" w:cs="Calibri"/>
        </w:rPr>
      </w:pPr>
    </w:p>
    <w:p w14:paraId="45AF601D" w14:textId="612523A6" w:rsidR="000A6A26" w:rsidRDefault="000A6A26" w:rsidP="006D07AE">
      <w:pPr>
        <w:rPr>
          <w:rFonts w:ascii="Calibri" w:hAnsi="Calibri" w:cs="Calibri"/>
        </w:rPr>
      </w:pPr>
    </w:p>
    <w:p w14:paraId="68D579C2" w14:textId="60ACFB3D" w:rsidR="000A6A26" w:rsidRDefault="000A6A26" w:rsidP="006D07AE">
      <w:pPr>
        <w:rPr>
          <w:rFonts w:ascii="Calibri" w:hAnsi="Calibri" w:cs="Calibri"/>
        </w:rPr>
      </w:pPr>
    </w:p>
    <w:p w14:paraId="672F4559" w14:textId="1B8460A5" w:rsidR="000A6A26" w:rsidRDefault="000A6A26" w:rsidP="006D07AE">
      <w:pPr>
        <w:rPr>
          <w:rFonts w:ascii="Calibri" w:hAnsi="Calibri" w:cs="Calibri"/>
        </w:rPr>
      </w:pPr>
    </w:p>
    <w:p w14:paraId="407C5057" w14:textId="77777777" w:rsidR="000A6A26" w:rsidRPr="00CC41D5" w:rsidRDefault="000A6A26" w:rsidP="006D07AE">
      <w:pPr>
        <w:rPr>
          <w:rFonts w:ascii="Calibri" w:hAnsi="Calibri" w:cs="Calibri"/>
        </w:rPr>
      </w:pPr>
    </w:p>
    <w:p w14:paraId="110CE886" w14:textId="77777777" w:rsidR="000A6A26" w:rsidRDefault="000A6A26" w:rsidP="005B4BD9">
      <w:pPr>
        <w:jc w:val="both"/>
        <w:rPr>
          <w:rFonts w:cstheme="minorHAnsi"/>
          <w:lang w:val="en-US"/>
        </w:rPr>
      </w:pPr>
    </w:p>
    <w:p w14:paraId="5A94B479" w14:textId="00ABF19F" w:rsidR="0062714E" w:rsidRDefault="0062714E" w:rsidP="005B4BD9">
      <w:pPr>
        <w:jc w:val="both"/>
        <w:rPr>
          <w:rFonts w:cstheme="minorHAnsi"/>
          <w:lang w:val="en-US"/>
        </w:rPr>
        <w:sectPr w:rsidR="0062714E" w:rsidSect="000A6A26">
          <w:pgSz w:w="16838" w:h="11906" w:orient="landscape"/>
          <w:pgMar w:top="1440" w:right="1021" w:bottom="1416" w:left="1440" w:header="709" w:footer="709" w:gutter="0"/>
          <w:pgNumType w:start="1"/>
          <w:cols w:space="708"/>
          <w:docGrid w:linePitch="360"/>
        </w:sectPr>
      </w:pPr>
    </w:p>
    <w:p w14:paraId="3441AF00" w14:textId="77777777" w:rsidR="0062714E" w:rsidRDefault="0062714E" w:rsidP="0062714E">
      <w:pPr>
        <w:pStyle w:val="Title"/>
        <w:pBdr>
          <w:bottom w:val="none" w:sz="0" w:space="0" w:color="auto"/>
        </w:pBdr>
        <w:spacing w:after="240"/>
        <w:jc w:val="right"/>
        <w:rPr>
          <w:rFonts w:asciiTheme="minorHAnsi" w:hAnsiTheme="minorHAnsi"/>
        </w:rPr>
      </w:pPr>
      <w:r>
        <w:rPr>
          <w:noProof/>
          <w:lang w:eastAsia="en-AU"/>
        </w:rPr>
        <w:lastRenderedPageBreak/>
        <w:drawing>
          <wp:anchor distT="0" distB="0" distL="114300" distR="114300" simplePos="0" relativeHeight="251705344" behindDoc="1" locked="0" layoutInCell="1" allowOverlap="1" wp14:anchorId="3AF84CA1" wp14:editId="62A081A5">
            <wp:simplePos x="0" y="0"/>
            <wp:positionH relativeFrom="column">
              <wp:posOffset>3625850</wp:posOffset>
            </wp:positionH>
            <wp:positionV relativeFrom="paragraph">
              <wp:posOffset>0</wp:posOffset>
            </wp:positionV>
            <wp:extent cx="1744345" cy="699135"/>
            <wp:effectExtent l="57150" t="152400" r="65405" b="158115"/>
            <wp:wrapTight wrapText="bothSides">
              <wp:wrapPolygon edited="0">
                <wp:start x="-437" y="-84"/>
                <wp:lineTo x="-392" y="17816"/>
                <wp:lineTo x="-311" y="18976"/>
                <wp:lineTo x="15208" y="21827"/>
                <wp:lineTo x="15441" y="21727"/>
                <wp:lineTo x="20715" y="21837"/>
                <wp:lineTo x="20948" y="21736"/>
                <wp:lineTo x="21878" y="21335"/>
                <wp:lineTo x="22002" y="9334"/>
                <wp:lineTo x="21591" y="-45"/>
                <wp:lineTo x="21228" y="-5264"/>
                <wp:lineTo x="11649" y="-5306"/>
                <wp:lineTo x="725" y="-586"/>
                <wp:lineTo x="-437" y="-84"/>
              </wp:wrapPolygon>
            </wp:wrapTight>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56E36F03" w14:textId="77777777" w:rsidR="0062714E" w:rsidRDefault="0062714E" w:rsidP="0062714E">
      <w:pPr>
        <w:pStyle w:val="Policy3"/>
      </w:pPr>
    </w:p>
    <w:p w14:paraId="6E26A206" w14:textId="77777777" w:rsidR="0062714E" w:rsidRDefault="0062714E" w:rsidP="0062714E">
      <w:pPr>
        <w:pStyle w:val="Policy3"/>
      </w:pPr>
    </w:p>
    <w:p w14:paraId="5B22BB83" w14:textId="77777777" w:rsidR="0062714E" w:rsidRPr="00182D62" w:rsidRDefault="0062714E" w:rsidP="0062714E">
      <w:pPr>
        <w:pStyle w:val="Policy3"/>
      </w:pPr>
      <w:bookmarkStart w:id="410" w:name="_Toc216866698"/>
      <w:r>
        <w:t>2.1.19</w:t>
      </w:r>
      <w:r w:rsidRPr="00182D62">
        <w:tab/>
      </w:r>
      <w:r>
        <w:t>Contract Variations</w:t>
      </w:r>
      <w:bookmarkEnd w:id="410"/>
      <w:r>
        <w:t xml:space="preserve"> </w:t>
      </w:r>
    </w:p>
    <w:tbl>
      <w:tblPr>
        <w:tblStyle w:val="TableGrid"/>
        <w:tblW w:w="0" w:type="auto"/>
        <w:tblLook w:val="04A0" w:firstRow="1" w:lastRow="0" w:firstColumn="1" w:lastColumn="0" w:noHBand="0" w:noVBand="1"/>
      </w:tblPr>
      <w:tblGrid>
        <w:gridCol w:w="3024"/>
        <w:gridCol w:w="5992"/>
      </w:tblGrid>
      <w:tr w:rsidR="0062714E" w:rsidRPr="00B47F10" w14:paraId="731A041D" w14:textId="77777777" w:rsidTr="006F7B9B">
        <w:tc>
          <w:tcPr>
            <w:tcW w:w="3024" w:type="dxa"/>
          </w:tcPr>
          <w:p w14:paraId="5E8069D4" w14:textId="77777777" w:rsidR="0062714E" w:rsidRPr="00B47F10" w:rsidRDefault="0062714E" w:rsidP="006F7B9B">
            <w:pPr>
              <w:rPr>
                <w:rFonts w:cstheme="minorHAnsi"/>
                <w:b/>
                <w:lang w:val="en-US"/>
              </w:rPr>
            </w:pPr>
            <w:r w:rsidRPr="00B47F10">
              <w:rPr>
                <w:rFonts w:cstheme="minorHAnsi"/>
                <w:b/>
                <w:lang w:val="en-US"/>
              </w:rPr>
              <w:t>Type:</w:t>
            </w:r>
          </w:p>
        </w:tc>
        <w:tc>
          <w:tcPr>
            <w:tcW w:w="5992" w:type="dxa"/>
          </w:tcPr>
          <w:p w14:paraId="7F68D0AA" w14:textId="77777777" w:rsidR="0062714E" w:rsidRPr="00B47F10" w:rsidRDefault="0062714E" w:rsidP="006F7B9B">
            <w:pPr>
              <w:rPr>
                <w:rFonts w:cstheme="minorHAnsi"/>
                <w:lang w:val="en-US"/>
              </w:rPr>
            </w:pPr>
            <w:r>
              <w:rPr>
                <w:rFonts w:cstheme="minorHAnsi"/>
                <w:lang w:val="en-US"/>
              </w:rPr>
              <w:t>Corporate Services</w:t>
            </w:r>
            <w:r w:rsidRPr="00B47F10">
              <w:rPr>
                <w:rFonts w:cstheme="minorHAnsi"/>
                <w:lang w:val="en-US"/>
              </w:rPr>
              <w:t xml:space="preserve"> – </w:t>
            </w:r>
            <w:r>
              <w:rPr>
                <w:rFonts w:cstheme="minorHAnsi"/>
                <w:lang w:val="en-US"/>
              </w:rPr>
              <w:t xml:space="preserve">Financial </w:t>
            </w:r>
            <w:r w:rsidRPr="00B47F10">
              <w:rPr>
                <w:rFonts w:cstheme="minorHAnsi"/>
                <w:lang w:val="en-US"/>
              </w:rPr>
              <w:t>Management</w:t>
            </w:r>
          </w:p>
        </w:tc>
      </w:tr>
      <w:tr w:rsidR="0062714E" w:rsidRPr="00B47F10" w14:paraId="1842775A" w14:textId="77777777" w:rsidTr="006F7B9B">
        <w:tc>
          <w:tcPr>
            <w:tcW w:w="3024" w:type="dxa"/>
          </w:tcPr>
          <w:p w14:paraId="481CBE34" w14:textId="77777777" w:rsidR="0062714E" w:rsidRPr="00B47F10" w:rsidRDefault="0062714E" w:rsidP="006F7B9B">
            <w:pPr>
              <w:rPr>
                <w:rFonts w:cstheme="minorHAnsi"/>
                <w:b/>
                <w:lang w:val="en-US"/>
              </w:rPr>
            </w:pPr>
            <w:r w:rsidRPr="00B47F10">
              <w:rPr>
                <w:rFonts w:cstheme="minorHAnsi"/>
                <w:b/>
                <w:lang w:val="en-US"/>
              </w:rPr>
              <w:t>Legislation:</w:t>
            </w:r>
          </w:p>
        </w:tc>
        <w:tc>
          <w:tcPr>
            <w:tcW w:w="5992" w:type="dxa"/>
          </w:tcPr>
          <w:p w14:paraId="11B99980" w14:textId="77777777" w:rsidR="0062714E" w:rsidRPr="00B47F10" w:rsidRDefault="0062714E" w:rsidP="006F7B9B">
            <w:pPr>
              <w:rPr>
                <w:rFonts w:cstheme="minorHAnsi"/>
                <w:lang w:val="en-US"/>
              </w:rPr>
            </w:pPr>
            <w:r>
              <w:rPr>
                <w:rFonts w:ascii="Calibri" w:hAnsi="Calibri" w:cs="Calibri"/>
              </w:rPr>
              <w:t>Regulation 5(1)(e) Local Government (Financial Management) Regulations 1996</w:t>
            </w:r>
          </w:p>
        </w:tc>
      </w:tr>
      <w:tr w:rsidR="0062714E" w:rsidRPr="00B47F10" w14:paraId="14F86F80" w14:textId="77777777" w:rsidTr="006F7B9B">
        <w:tc>
          <w:tcPr>
            <w:tcW w:w="3024" w:type="dxa"/>
          </w:tcPr>
          <w:p w14:paraId="48E985D8" w14:textId="77777777" w:rsidR="0062714E" w:rsidRPr="00B47F10" w:rsidRDefault="0062714E" w:rsidP="006F7B9B">
            <w:pPr>
              <w:rPr>
                <w:rFonts w:cstheme="minorHAnsi"/>
                <w:b/>
                <w:lang w:val="en-US"/>
              </w:rPr>
            </w:pPr>
            <w:r w:rsidRPr="00B47F10">
              <w:rPr>
                <w:rFonts w:cstheme="minorHAnsi"/>
                <w:b/>
                <w:lang w:val="en-US"/>
              </w:rPr>
              <w:t>Delegation:</w:t>
            </w:r>
          </w:p>
        </w:tc>
        <w:tc>
          <w:tcPr>
            <w:tcW w:w="5992" w:type="dxa"/>
          </w:tcPr>
          <w:p w14:paraId="41C09A9E" w14:textId="77777777" w:rsidR="0062714E" w:rsidRPr="00B47F10" w:rsidRDefault="0062714E" w:rsidP="006F7B9B">
            <w:pPr>
              <w:rPr>
                <w:rFonts w:cstheme="minorHAnsi"/>
                <w:lang w:val="en-US"/>
              </w:rPr>
            </w:pPr>
            <w:r w:rsidRPr="00B47F10">
              <w:rPr>
                <w:rFonts w:cstheme="minorHAnsi"/>
                <w:lang w:val="en-US"/>
              </w:rPr>
              <w:t>N/A</w:t>
            </w:r>
          </w:p>
        </w:tc>
      </w:tr>
      <w:tr w:rsidR="0062714E" w:rsidRPr="00B47F10" w14:paraId="7A45876E" w14:textId="77777777" w:rsidTr="006F7B9B">
        <w:tc>
          <w:tcPr>
            <w:tcW w:w="3024" w:type="dxa"/>
          </w:tcPr>
          <w:p w14:paraId="19DA3BA6" w14:textId="77777777" w:rsidR="0062714E" w:rsidRPr="00B47F10" w:rsidRDefault="0062714E" w:rsidP="006F7B9B">
            <w:pPr>
              <w:rPr>
                <w:rFonts w:cstheme="minorHAnsi"/>
                <w:b/>
                <w:lang w:val="en-US"/>
              </w:rPr>
            </w:pPr>
            <w:r w:rsidRPr="00B47F10">
              <w:rPr>
                <w:rFonts w:cstheme="minorHAnsi"/>
                <w:b/>
                <w:lang w:val="en-US"/>
              </w:rPr>
              <w:t>Other Related Document:</w:t>
            </w:r>
          </w:p>
        </w:tc>
        <w:tc>
          <w:tcPr>
            <w:tcW w:w="5992" w:type="dxa"/>
          </w:tcPr>
          <w:p w14:paraId="642F00FB" w14:textId="77777777" w:rsidR="0062714E" w:rsidRPr="001E3F84" w:rsidRDefault="0062714E" w:rsidP="006F7B9B">
            <w:pPr>
              <w:jc w:val="both"/>
              <w:rPr>
                <w:rFonts w:ascii="Calibri" w:hAnsi="Calibri" w:cs="Calibri"/>
              </w:rPr>
            </w:pPr>
          </w:p>
        </w:tc>
      </w:tr>
    </w:tbl>
    <w:p w14:paraId="58697687" w14:textId="77777777" w:rsidR="0062714E" w:rsidRPr="00B8111F" w:rsidRDefault="0062714E" w:rsidP="0062714E">
      <w:pPr>
        <w:spacing w:before="240" w:after="0"/>
        <w:rPr>
          <w:b/>
          <w:sz w:val="28"/>
          <w:szCs w:val="28"/>
          <w:lang w:val="en-US"/>
        </w:rPr>
      </w:pPr>
      <w:r w:rsidRPr="00B8111F">
        <w:rPr>
          <w:b/>
          <w:sz w:val="28"/>
          <w:szCs w:val="28"/>
          <w:lang w:val="en-US"/>
        </w:rPr>
        <w:t>Objective</w:t>
      </w:r>
    </w:p>
    <w:p w14:paraId="60F504B7" w14:textId="77777777" w:rsidR="0062714E" w:rsidRPr="00856DDE" w:rsidRDefault="0062714E" w:rsidP="0062714E">
      <w:pPr>
        <w:spacing w:line="240" w:lineRule="auto"/>
        <w:jc w:val="both"/>
        <w:rPr>
          <w:rFonts w:ascii="Calibri" w:hAnsi="Calibri" w:cs="Calibri"/>
        </w:rPr>
      </w:pPr>
      <w:r w:rsidRPr="00856DDE">
        <w:rPr>
          <w:rFonts w:ascii="Calibri" w:hAnsi="Calibri" w:cs="Calibri"/>
        </w:rPr>
        <w:t xml:space="preserve">To </w:t>
      </w:r>
      <w:r>
        <w:rPr>
          <w:rFonts w:ascii="Calibri" w:hAnsi="Calibri" w:cs="Calibri"/>
        </w:rPr>
        <w:t>determine the circumstances in which a contract for the procurement of goods or services may be varied.</w:t>
      </w:r>
    </w:p>
    <w:p w14:paraId="32C2BAFF" w14:textId="77777777" w:rsidR="0062714E" w:rsidRDefault="0062714E" w:rsidP="0062714E">
      <w:pPr>
        <w:spacing w:after="0"/>
        <w:rPr>
          <w:b/>
          <w:sz w:val="28"/>
          <w:szCs w:val="28"/>
          <w:lang w:val="en-US"/>
        </w:rPr>
      </w:pPr>
      <w:r>
        <w:rPr>
          <w:b/>
          <w:sz w:val="28"/>
          <w:szCs w:val="28"/>
          <w:lang w:val="en-US"/>
        </w:rPr>
        <w:t>Policy Scope</w:t>
      </w:r>
    </w:p>
    <w:p w14:paraId="738C8C4B" w14:textId="77777777" w:rsidR="0062714E" w:rsidRDefault="0062714E" w:rsidP="0062714E">
      <w:pPr>
        <w:spacing w:line="240" w:lineRule="auto"/>
        <w:jc w:val="both"/>
        <w:rPr>
          <w:rFonts w:ascii="Calibri" w:hAnsi="Calibri" w:cs="Calibri"/>
        </w:rPr>
      </w:pPr>
      <w:r>
        <w:rPr>
          <w:rFonts w:ascii="Calibri" w:hAnsi="Calibri" w:cs="Calibri"/>
        </w:rPr>
        <w:t>This policy applies to all staff.</w:t>
      </w:r>
    </w:p>
    <w:p w14:paraId="71EF1A45" w14:textId="77777777" w:rsidR="0062714E" w:rsidRDefault="0062714E" w:rsidP="0062714E">
      <w:pPr>
        <w:spacing w:after="0"/>
        <w:rPr>
          <w:b/>
          <w:sz w:val="28"/>
          <w:szCs w:val="28"/>
          <w:lang w:val="en-US"/>
        </w:rPr>
      </w:pPr>
      <w:r w:rsidRPr="00B8111F">
        <w:rPr>
          <w:b/>
          <w:sz w:val="28"/>
          <w:szCs w:val="28"/>
          <w:lang w:val="en-US"/>
        </w:rPr>
        <w:t xml:space="preserve">Policy </w:t>
      </w:r>
    </w:p>
    <w:p w14:paraId="7CCFC12C" w14:textId="77777777" w:rsidR="0062714E" w:rsidRPr="0021523F" w:rsidRDefault="0062714E" w:rsidP="002A3889">
      <w:pPr>
        <w:pStyle w:val="ListParagraph"/>
        <w:widowControl w:val="0"/>
        <w:numPr>
          <w:ilvl w:val="0"/>
          <w:numId w:val="480"/>
        </w:numPr>
        <w:autoSpaceDE w:val="0"/>
        <w:autoSpaceDN w:val="0"/>
        <w:spacing w:after="120" w:line="247" w:lineRule="auto"/>
        <w:ind w:left="425" w:right="-46" w:hanging="425"/>
        <w:contextualSpacing w:val="0"/>
        <w:jc w:val="both"/>
      </w:pPr>
      <w:r w:rsidRPr="0021523F">
        <w:rPr>
          <w:w w:val="105"/>
        </w:rPr>
        <w:t>Following the issue of a purchase order for the procurement of goods or services, the contract for purchase may be varied</w:t>
      </w:r>
      <w:r w:rsidRPr="0021523F">
        <w:rPr>
          <w:spacing w:val="13"/>
          <w:w w:val="105"/>
        </w:rPr>
        <w:t xml:space="preserve"> </w:t>
      </w:r>
      <w:r w:rsidRPr="0021523F">
        <w:rPr>
          <w:w w:val="105"/>
        </w:rPr>
        <w:t>where:</w:t>
      </w:r>
    </w:p>
    <w:p w14:paraId="4932BBC8" w14:textId="77777777" w:rsidR="0062714E" w:rsidRPr="0021523F" w:rsidRDefault="0062714E" w:rsidP="002A3889">
      <w:pPr>
        <w:pStyle w:val="ListParagraph"/>
        <w:widowControl w:val="0"/>
        <w:numPr>
          <w:ilvl w:val="1"/>
          <w:numId w:val="480"/>
        </w:numPr>
        <w:autoSpaceDE w:val="0"/>
        <w:autoSpaceDN w:val="0"/>
        <w:spacing w:after="0" w:line="252" w:lineRule="auto"/>
        <w:ind w:left="993" w:right="-46" w:hanging="567"/>
        <w:contextualSpacing w:val="0"/>
        <w:jc w:val="both"/>
      </w:pPr>
      <w:r w:rsidRPr="0021523F">
        <w:rPr>
          <w:w w:val="105"/>
        </w:rPr>
        <w:t>The contract enables the contract to be varied, and the variation is in accordance with variation provisions of the</w:t>
      </w:r>
      <w:r w:rsidRPr="0021523F">
        <w:rPr>
          <w:spacing w:val="-12"/>
          <w:w w:val="105"/>
        </w:rPr>
        <w:t xml:space="preserve"> </w:t>
      </w:r>
      <w:proofErr w:type="gramStart"/>
      <w:r w:rsidRPr="0021523F">
        <w:rPr>
          <w:w w:val="105"/>
        </w:rPr>
        <w:t>contract;</w:t>
      </w:r>
      <w:proofErr w:type="gramEnd"/>
    </w:p>
    <w:p w14:paraId="3A5AB8CE" w14:textId="77777777" w:rsidR="0062714E" w:rsidRPr="0021523F" w:rsidRDefault="0062714E" w:rsidP="002A3889">
      <w:pPr>
        <w:pStyle w:val="ListParagraph"/>
        <w:widowControl w:val="0"/>
        <w:numPr>
          <w:ilvl w:val="1"/>
          <w:numId w:val="480"/>
        </w:numPr>
        <w:autoSpaceDE w:val="0"/>
        <w:autoSpaceDN w:val="0"/>
        <w:spacing w:after="0" w:line="252" w:lineRule="auto"/>
        <w:ind w:left="993" w:right="-46" w:hanging="567"/>
        <w:contextualSpacing w:val="0"/>
        <w:jc w:val="both"/>
      </w:pPr>
      <w:r w:rsidRPr="0021523F">
        <w:rPr>
          <w:w w:val="105"/>
        </w:rPr>
        <w:t xml:space="preserve">Additional goods or services that were not, or could not have been, foreseen at the time the purchase order was issued </w:t>
      </w:r>
      <w:r w:rsidRPr="0021523F">
        <w:rPr>
          <w:spacing w:val="3"/>
          <w:w w:val="105"/>
        </w:rPr>
        <w:t>are</w:t>
      </w:r>
      <w:r w:rsidRPr="0021523F">
        <w:rPr>
          <w:spacing w:val="-21"/>
          <w:w w:val="105"/>
        </w:rPr>
        <w:t xml:space="preserve"> </w:t>
      </w:r>
      <w:proofErr w:type="gramStart"/>
      <w:r w:rsidRPr="0021523F">
        <w:rPr>
          <w:w w:val="105"/>
        </w:rPr>
        <w:t>required;</w:t>
      </w:r>
      <w:proofErr w:type="gramEnd"/>
    </w:p>
    <w:p w14:paraId="457085CF" w14:textId="77777777" w:rsidR="0062714E" w:rsidRPr="0021523F" w:rsidRDefault="0062714E" w:rsidP="002A3889">
      <w:pPr>
        <w:pStyle w:val="ListParagraph"/>
        <w:widowControl w:val="0"/>
        <w:numPr>
          <w:ilvl w:val="1"/>
          <w:numId w:val="480"/>
        </w:numPr>
        <w:autoSpaceDE w:val="0"/>
        <w:autoSpaceDN w:val="0"/>
        <w:spacing w:after="0" w:line="247" w:lineRule="auto"/>
        <w:ind w:left="993" w:right="-46" w:hanging="567"/>
        <w:contextualSpacing w:val="0"/>
        <w:jc w:val="both"/>
      </w:pPr>
      <w:r w:rsidRPr="0021523F">
        <w:rPr>
          <w:w w:val="105"/>
        </w:rPr>
        <w:t>Sufficient</w:t>
      </w:r>
      <w:r w:rsidRPr="0021523F">
        <w:rPr>
          <w:spacing w:val="-6"/>
          <w:w w:val="105"/>
        </w:rPr>
        <w:t xml:space="preserve"> </w:t>
      </w:r>
      <w:r w:rsidRPr="0021523F">
        <w:rPr>
          <w:w w:val="105"/>
        </w:rPr>
        <w:t>funds</w:t>
      </w:r>
      <w:r w:rsidRPr="0021523F">
        <w:rPr>
          <w:spacing w:val="-5"/>
          <w:w w:val="105"/>
        </w:rPr>
        <w:t xml:space="preserve"> </w:t>
      </w:r>
      <w:r w:rsidRPr="0021523F">
        <w:rPr>
          <w:w w:val="105"/>
        </w:rPr>
        <w:t>are</w:t>
      </w:r>
      <w:r w:rsidRPr="0021523F">
        <w:rPr>
          <w:spacing w:val="-8"/>
          <w:w w:val="105"/>
        </w:rPr>
        <w:t xml:space="preserve"> </w:t>
      </w:r>
      <w:r w:rsidRPr="0021523F">
        <w:rPr>
          <w:w w:val="105"/>
        </w:rPr>
        <w:t>available</w:t>
      </w:r>
      <w:r w:rsidRPr="0021523F">
        <w:rPr>
          <w:spacing w:val="-8"/>
          <w:w w:val="105"/>
        </w:rPr>
        <w:t xml:space="preserve"> </w:t>
      </w:r>
      <w:r w:rsidRPr="0021523F">
        <w:rPr>
          <w:w w:val="105"/>
        </w:rPr>
        <w:t>in</w:t>
      </w:r>
      <w:r w:rsidRPr="0021523F">
        <w:rPr>
          <w:spacing w:val="-9"/>
          <w:w w:val="105"/>
        </w:rPr>
        <w:t xml:space="preserve"> </w:t>
      </w:r>
      <w:r w:rsidRPr="0021523F">
        <w:rPr>
          <w:w w:val="105"/>
        </w:rPr>
        <w:t>the</w:t>
      </w:r>
      <w:r w:rsidRPr="0021523F">
        <w:rPr>
          <w:spacing w:val="-8"/>
          <w:w w:val="105"/>
        </w:rPr>
        <w:t xml:space="preserve"> </w:t>
      </w:r>
      <w:r w:rsidRPr="0021523F">
        <w:rPr>
          <w:w w:val="105"/>
        </w:rPr>
        <w:t>appropriate</w:t>
      </w:r>
      <w:r w:rsidRPr="0021523F">
        <w:rPr>
          <w:spacing w:val="-8"/>
          <w:w w:val="105"/>
        </w:rPr>
        <w:t xml:space="preserve"> </w:t>
      </w:r>
      <w:r w:rsidRPr="0021523F">
        <w:rPr>
          <w:w w:val="105"/>
        </w:rPr>
        <w:t>capital</w:t>
      </w:r>
      <w:r w:rsidRPr="0021523F">
        <w:rPr>
          <w:spacing w:val="-3"/>
          <w:w w:val="105"/>
        </w:rPr>
        <w:t xml:space="preserve"> </w:t>
      </w:r>
      <w:r w:rsidRPr="0021523F">
        <w:rPr>
          <w:w w:val="105"/>
        </w:rPr>
        <w:t>or</w:t>
      </w:r>
      <w:r w:rsidRPr="0021523F">
        <w:rPr>
          <w:spacing w:val="-2"/>
          <w:w w:val="105"/>
        </w:rPr>
        <w:t xml:space="preserve"> </w:t>
      </w:r>
      <w:r w:rsidRPr="0021523F">
        <w:rPr>
          <w:w w:val="105"/>
        </w:rPr>
        <w:t>operating</w:t>
      </w:r>
      <w:r w:rsidRPr="0021523F">
        <w:rPr>
          <w:spacing w:val="-3"/>
          <w:w w:val="105"/>
        </w:rPr>
        <w:t xml:space="preserve"> </w:t>
      </w:r>
      <w:r w:rsidRPr="0021523F">
        <w:rPr>
          <w:w w:val="105"/>
        </w:rPr>
        <w:t>budget to</w:t>
      </w:r>
      <w:r w:rsidRPr="0021523F">
        <w:rPr>
          <w:spacing w:val="-8"/>
          <w:w w:val="105"/>
        </w:rPr>
        <w:t xml:space="preserve"> </w:t>
      </w:r>
      <w:r w:rsidRPr="0021523F">
        <w:rPr>
          <w:w w:val="105"/>
        </w:rPr>
        <w:t>meet the additional</w:t>
      </w:r>
      <w:r w:rsidRPr="0021523F">
        <w:rPr>
          <w:spacing w:val="4"/>
          <w:w w:val="105"/>
        </w:rPr>
        <w:t xml:space="preserve"> </w:t>
      </w:r>
      <w:proofErr w:type="gramStart"/>
      <w:r w:rsidRPr="0021523F">
        <w:rPr>
          <w:w w:val="105"/>
        </w:rPr>
        <w:t>cost;</w:t>
      </w:r>
      <w:proofErr w:type="gramEnd"/>
    </w:p>
    <w:p w14:paraId="08CA4147" w14:textId="77777777" w:rsidR="0062714E" w:rsidRPr="0021523F" w:rsidRDefault="0062714E" w:rsidP="002A3889">
      <w:pPr>
        <w:pStyle w:val="ListParagraph"/>
        <w:widowControl w:val="0"/>
        <w:numPr>
          <w:ilvl w:val="1"/>
          <w:numId w:val="480"/>
        </w:numPr>
        <w:autoSpaceDE w:val="0"/>
        <w:autoSpaceDN w:val="0"/>
        <w:spacing w:after="0" w:line="252" w:lineRule="auto"/>
        <w:ind w:left="993" w:right="-46" w:hanging="567"/>
        <w:contextualSpacing w:val="0"/>
        <w:jc w:val="both"/>
      </w:pPr>
      <w:r w:rsidRPr="0021523F">
        <w:rPr>
          <w:w w:val="105"/>
        </w:rPr>
        <w:t>The</w:t>
      </w:r>
      <w:r w:rsidRPr="0021523F">
        <w:rPr>
          <w:spacing w:val="-8"/>
          <w:w w:val="105"/>
        </w:rPr>
        <w:t xml:space="preserve"> </w:t>
      </w:r>
      <w:r w:rsidRPr="0021523F">
        <w:rPr>
          <w:w w:val="105"/>
        </w:rPr>
        <w:t>value</w:t>
      </w:r>
      <w:r w:rsidRPr="0021523F">
        <w:rPr>
          <w:spacing w:val="-7"/>
          <w:w w:val="105"/>
        </w:rPr>
        <w:t xml:space="preserve"> </w:t>
      </w:r>
      <w:r w:rsidRPr="0021523F">
        <w:rPr>
          <w:w w:val="105"/>
        </w:rPr>
        <w:t>of</w:t>
      </w:r>
      <w:r w:rsidRPr="0021523F">
        <w:rPr>
          <w:spacing w:val="-6"/>
          <w:w w:val="105"/>
        </w:rPr>
        <w:t xml:space="preserve"> </w:t>
      </w:r>
      <w:r w:rsidRPr="0021523F">
        <w:rPr>
          <w:w w:val="105"/>
        </w:rPr>
        <w:t>the</w:t>
      </w:r>
      <w:r w:rsidRPr="0021523F">
        <w:rPr>
          <w:spacing w:val="-8"/>
          <w:w w:val="105"/>
        </w:rPr>
        <w:t xml:space="preserve"> </w:t>
      </w:r>
      <w:r w:rsidRPr="0021523F">
        <w:rPr>
          <w:w w:val="105"/>
        </w:rPr>
        <w:t>contract</w:t>
      </w:r>
      <w:r w:rsidRPr="0021523F">
        <w:rPr>
          <w:spacing w:val="-4"/>
          <w:w w:val="105"/>
        </w:rPr>
        <w:t xml:space="preserve"> </w:t>
      </w:r>
      <w:proofErr w:type="gramStart"/>
      <w:r w:rsidRPr="0021523F">
        <w:rPr>
          <w:w w:val="105"/>
        </w:rPr>
        <w:t>as</w:t>
      </w:r>
      <w:r w:rsidRPr="0021523F">
        <w:rPr>
          <w:spacing w:val="-4"/>
          <w:w w:val="105"/>
        </w:rPr>
        <w:t xml:space="preserve"> </w:t>
      </w:r>
      <w:r w:rsidRPr="0021523F">
        <w:rPr>
          <w:w w:val="105"/>
        </w:rPr>
        <w:t>a</w:t>
      </w:r>
      <w:r w:rsidRPr="0021523F">
        <w:rPr>
          <w:spacing w:val="-4"/>
          <w:w w:val="105"/>
        </w:rPr>
        <w:t xml:space="preserve"> </w:t>
      </w:r>
      <w:r w:rsidRPr="0021523F">
        <w:rPr>
          <w:w w:val="105"/>
        </w:rPr>
        <w:t>result</w:t>
      </w:r>
      <w:r w:rsidRPr="0021523F">
        <w:rPr>
          <w:spacing w:val="-5"/>
          <w:w w:val="105"/>
        </w:rPr>
        <w:t xml:space="preserve"> </w:t>
      </w:r>
      <w:r w:rsidRPr="0021523F">
        <w:rPr>
          <w:w w:val="105"/>
        </w:rPr>
        <w:t>of</w:t>
      </w:r>
      <w:proofErr w:type="gramEnd"/>
      <w:r w:rsidRPr="0021523F">
        <w:rPr>
          <w:spacing w:val="-6"/>
          <w:w w:val="105"/>
        </w:rPr>
        <w:t xml:space="preserve"> </w:t>
      </w:r>
      <w:r w:rsidRPr="0021523F">
        <w:rPr>
          <w:w w:val="105"/>
        </w:rPr>
        <w:t>the</w:t>
      </w:r>
      <w:r w:rsidRPr="0021523F">
        <w:rPr>
          <w:spacing w:val="-7"/>
          <w:w w:val="105"/>
        </w:rPr>
        <w:t xml:space="preserve"> </w:t>
      </w:r>
      <w:r w:rsidRPr="0021523F">
        <w:rPr>
          <w:w w:val="105"/>
        </w:rPr>
        <w:t>variation</w:t>
      </w:r>
      <w:r w:rsidRPr="0021523F">
        <w:rPr>
          <w:spacing w:val="-8"/>
          <w:w w:val="105"/>
        </w:rPr>
        <w:t xml:space="preserve"> </w:t>
      </w:r>
      <w:r w:rsidRPr="0021523F">
        <w:rPr>
          <w:w w:val="105"/>
        </w:rPr>
        <w:t>does</w:t>
      </w:r>
      <w:r w:rsidRPr="0021523F">
        <w:rPr>
          <w:spacing w:val="-4"/>
          <w:w w:val="105"/>
        </w:rPr>
        <w:t xml:space="preserve"> </w:t>
      </w:r>
      <w:r w:rsidRPr="0021523F">
        <w:rPr>
          <w:w w:val="105"/>
        </w:rPr>
        <w:t>not</w:t>
      </w:r>
      <w:r w:rsidRPr="0021523F">
        <w:rPr>
          <w:spacing w:val="-5"/>
          <w:w w:val="105"/>
        </w:rPr>
        <w:t xml:space="preserve"> </w:t>
      </w:r>
      <w:r w:rsidRPr="0021523F">
        <w:rPr>
          <w:w w:val="105"/>
        </w:rPr>
        <w:t>exceed</w:t>
      </w:r>
      <w:r w:rsidRPr="0021523F">
        <w:rPr>
          <w:spacing w:val="-7"/>
          <w:w w:val="105"/>
        </w:rPr>
        <w:t xml:space="preserve"> </w:t>
      </w:r>
      <w:r w:rsidRPr="0021523F">
        <w:rPr>
          <w:w w:val="105"/>
        </w:rPr>
        <w:t>the</w:t>
      </w:r>
      <w:r w:rsidRPr="0021523F">
        <w:rPr>
          <w:spacing w:val="-8"/>
          <w:w w:val="105"/>
        </w:rPr>
        <w:t xml:space="preserve"> </w:t>
      </w:r>
      <w:r w:rsidRPr="0021523F">
        <w:rPr>
          <w:w w:val="105"/>
        </w:rPr>
        <w:t>purchasing limit of the Officer approving the variation;</w:t>
      </w:r>
      <w:r w:rsidRPr="0021523F">
        <w:rPr>
          <w:spacing w:val="-22"/>
          <w:w w:val="105"/>
        </w:rPr>
        <w:t xml:space="preserve"> </w:t>
      </w:r>
      <w:r w:rsidRPr="0021523F">
        <w:rPr>
          <w:w w:val="105"/>
        </w:rPr>
        <w:t>and</w:t>
      </w:r>
    </w:p>
    <w:p w14:paraId="5236E38F" w14:textId="77777777" w:rsidR="0062714E" w:rsidRPr="0021523F" w:rsidRDefault="0062714E" w:rsidP="002A3889">
      <w:pPr>
        <w:pStyle w:val="ListParagraph"/>
        <w:widowControl w:val="0"/>
        <w:numPr>
          <w:ilvl w:val="1"/>
          <w:numId w:val="480"/>
        </w:numPr>
        <w:autoSpaceDE w:val="0"/>
        <w:autoSpaceDN w:val="0"/>
        <w:spacing w:after="0" w:line="252" w:lineRule="auto"/>
        <w:ind w:left="993" w:right="-46" w:hanging="567"/>
        <w:contextualSpacing w:val="0"/>
        <w:jc w:val="both"/>
      </w:pPr>
      <w:r w:rsidRPr="0021523F">
        <w:rPr>
          <w:w w:val="105"/>
        </w:rPr>
        <w:t xml:space="preserve">The value of </w:t>
      </w:r>
      <w:r w:rsidRPr="0021523F">
        <w:rPr>
          <w:spacing w:val="3"/>
          <w:w w:val="105"/>
        </w:rPr>
        <w:t xml:space="preserve">the </w:t>
      </w:r>
      <w:r w:rsidRPr="0021523F">
        <w:rPr>
          <w:w w:val="105"/>
        </w:rPr>
        <w:t xml:space="preserve">additional goods or services required does not exceed the value </w:t>
      </w:r>
      <w:r w:rsidRPr="0021523F">
        <w:rPr>
          <w:spacing w:val="-3"/>
          <w:w w:val="105"/>
        </w:rPr>
        <w:t xml:space="preserve">of </w:t>
      </w:r>
      <w:r w:rsidRPr="0021523F">
        <w:rPr>
          <w:w w:val="105"/>
        </w:rPr>
        <w:t xml:space="preserve">the initial contract by more than 10% </w:t>
      </w:r>
      <w:r>
        <w:rPr>
          <w:w w:val="105"/>
        </w:rPr>
        <w:t>to a maximum of</w:t>
      </w:r>
      <w:r w:rsidRPr="0021523F">
        <w:rPr>
          <w:spacing w:val="-1"/>
          <w:w w:val="105"/>
        </w:rPr>
        <w:t xml:space="preserve"> </w:t>
      </w:r>
      <w:r w:rsidRPr="0021523F">
        <w:rPr>
          <w:w w:val="105"/>
        </w:rPr>
        <w:t>$</w:t>
      </w:r>
      <w:r>
        <w:rPr>
          <w:w w:val="105"/>
        </w:rPr>
        <w:t>5</w:t>
      </w:r>
      <w:r w:rsidRPr="0021523F">
        <w:rPr>
          <w:w w:val="105"/>
        </w:rPr>
        <w:t>0,000</w:t>
      </w:r>
      <w:r>
        <w:rPr>
          <w:w w:val="105"/>
        </w:rPr>
        <w:t xml:space="preserve"> pursuant to delegation DA7 Contract Price Variation</w:t>
      </w:r>
      <w:r w:rsidRPr="0021523F">
        <w:rPr>
          <w:w w:val="105"/>
        </w:rPr>
        <w:t>.</w:t>
      </w:r>
    </w:p>
    <w:p w14:paraId="1EC4C995" w14:textId="77777777" w:rsidR="0062714E" w:rsidRPr="0021523F" w:rsidRDefault="0062714E" w:rsidP="002A3889">
      <w:pPr>
        <w:pStyle w:val="ListParagraph"/>
        <w:widowControl w:val="0"/>
        <w:numPr>
          <w:ilvl w:val="0"/>
          <w:numId w:val="480"/>
        </w:numPr>
        <w:autoSpaceDE w:val="0"/>
        <w:autoSpaceDN w:val="0"/>
        <w:spacing w:before="200" w:after="0" w:line="252" w:lineRule="auto"/>
        <w:ind w:left="426" w:right="160" w:hanging="426"/>
        <w:contextualSpacing w:val="0"/>
        <w:jc w:val="both"/>
      </w:pPr>
      <w:r w:rsidRPr="0021523F">
        <w:rPr>
          <w:w w:val="105"/>
        </w:rPr>
        <w:t xml:space="preserve">Contract variations that would result in </w:t>
      </w:r>
      <w:r w:rsidRPr="0021523F">
        <w:rPr>
          <w:spacing w:val="3"/>
          <w:w w:val="105"/>
        </w:rPr>
        <w:t xml:space="preserve">the </w:t>
      </w:r>
      <w:r w:rsidRPr="0021523F">
        <w:rPr>
          <w:w w:val="105"/>
        </w:rPr>
        <w:t xml:space="preserve">procurement of additional goods or services where the value of those additional goods or services would exceed the initial contract price by more than 10% </w:t>
      </w:r>
      <w:r>
        <w:rPr>
          <w:w w:val="105"/>
        </w:rPr>
        <w:t>to a maximum of $50,000</w:t>
      </w:r>
      <w:r w:rsidRPr="0021523F">
        <w:rPr>
          <w:w w:val="105"/>
        </w:rPr>
        <w:t xml:space="preserve"> may, in exceptional circumstances, be approved by the Chief Executive Officer, subject </w:t>
      </w:r>
      <w:r w:rsidRPr="0021523F">
        <w:rPr>
          <w:spacing w:val="3"/>
          <w:w w:val="105"/>
        </w:rPr>
        <w:t xml:space="preserve">to </w:t>
      </w:r>
      <w:r w:rsidRPr="0021523F">
        <w:rPr>
          <w:w w:val="105"/>
        </w:rPr>
        <w:t>the variation not being contrary to the requirements of clause 1.2 above, and the reasons for the variation being documented and registered as a corporate</w:t>
      </w:r>
      <w:r w:rsidRPr="0021523F">
        <w:rPr>
          <w:spacing w:val="-2"/>
          <w:w w:val="105"/>
        </w:rPr>
        <w:t xml:space="preserve"> </w:t>
      </w:r>
      <w:r w:rsidRPr="0021523F">
        <w:rPr>
          <w:w w:val="105"/>
        </w:rPr>
        <w:t>record.</w:t>
      </w:r>
    </w:p>
    <w:p w14:paraId="7E760A6E" w14:textId="77777777" w:rsidR="0062714E" w:rsidRPr="0021523F" w:rsidRDefault="0062714E" w:rsidP="002A3889">
      <w:pPr>
        <w:pStyle w:val="ListParagraph"/>
        <w:widowControl w:val="0"/>
        <w:numPr>
          <w:ilvl w:val="0"/>
          <w:numId w:val="480"/>
        </w:numPr>
        <w:autoSpaceDE w:val="0"/>
        <w:autoSpaceDN w:val="0"/>
        <w:spacing w:before="200" w:after="0" w:line="252" w:lineRule="auto"/>
        <w:ind w:left="426" w:right="153" w:hanging="426"/>
        <w:contextualSpacing w:val="0"/>
        <w:jc w:val="both"/>
      </w:pPr>
      <w:r w:rsidRPr="0021523F">
        <w:rPr>
          <w:w w:val="105"/>
        </w:rPr>
        <w:t>When</w:t>
      </w:r>
      <w:r w:rsidRPr="0021523F">
        <w:rPr>
          <w:spacing w:val="-7"/>
          <w:w w:val="105"/>
        </w:rPr>
        <w:t xml:space="preserve"> </w:t>
      </w:r>
      <w:r w:rsidRPr="0021523F">
        <w:rPr>
          <w:w w:val="105"/>
        </w:rPr>
        <w:t>approving</w:t>
      </w:r>
      <w:r w:rsidRPr="0021523F">
        <w:rPr>
          <w:spacing w:val="-1"/>
          <w:w w:val="105"/>
        </w:rPr>
        <w:t xml:space="preserve"> </w:t>
      </w:r>
      <w:r w:rsidRPr="0021523F">
        <w:rPr>
          <w:w w:val="105"/>
        </w:rPr>
        <w:t>an</w:t>
      </w:r>
      <w:r w:rsidRPr="0021523F">
        <w:rPr>
          <w:spacing w:val="-6"/>
          <w:w w:val="105"/>
        </w:rPr>
        <w:t xml:space="preserve"> </w:t>
      </w:r>
      <w:r w:rsidRPr="0021523F">
        <w:rPr>
          <w:w w:val="105"/>
        </w:rPr>
        <w:t>invoice</w:t>
      </w:r>
      <w:r w:rsidRPr="0021523F">
        <w:rPr>
          <w:spacing w:val="-7"/>
          <w:w w:val="105"/>
        </w:rPr>
        <w:t xml:space="preserve"> </w:t>
      </w:r>
      <w:r w:rsidRPr="0021523F">
        <w:rPr>
          <w:w w:val="105"/>
        </w:rPr>
        <w:t>for payment,</w:t>
      </w:r>
      <w:r w:rsidRPr="0021523F">
        <w:rPr>
          <w:spacing w:val="-5"/>
          <w:w w:val="105"/>
        </w:rPr>
        <w:t xml:space="preserve"> </w:t>
      </w:r>
      <w:r w:rsidRPr="0021523F">
        <w:rPr>
          <w:w w:val="105"/>
        </w:rPr>
        <w:t>if</w:t>
      </w:r>
      <w:r w:rsidRPr="0021523F">
        <w:rPr>
          <w:spacing w:val="-5"/>
          <w:w w:val="105"/>
        </w:rPr>
        <w:t xml:space="preserve"> </w:t>
      </w:r>
      <w:r w:rsidRPr="0021523F">
        <w:rPr>
          <w:w w:val="105"/>
        </w:rPr>
        <w:t>the</w:t>
      </w:r>
      <w:r w:rsidRPr="0021523F">
        <w:rPr>
          <w:spacing w:val="-6"/>
          <w:w w:val="105"/>
        </w:rPr>
        <w:t xml:space="preserve"> </w:t>
      </w:r>
      <w:r w:rsidRPr="0021523F">
        <w:rPr>
          <w:w w:val="105"/>
        </w:rPr>
        <w:t>amount</w:t>
      </w:r>
      <w:r w:rsidRPr="0021523F">
        <w:rPr>
          <w:spacing w:val="2"/>
          <w:w w:val="105"/>
        </w:rPr>
        <w:t xml:space="preserve"> </w:t>
      </w:r>
      <w:r w:rsidRPr="0021523F">
        <w:rPr>
          <w:w w:val="105"/>
        </w:rPr>
        <w:t>of</w:t>
      </w:r>
      <w:r w:rsidRPr="0021523F">
        <w:rPr>
          <w:spacing w:val="-4"/>
          <w:w w:val="105"/>
        </w:rPr>
        <w:t xml:space="preserve"> </w:t>
      </w:r>
      <w:r w:rsidRPr="0021523F">
        <w:rPr>
          <w:w w:val="105"/>
        </w:rPr>
        <w:t>the</w:t>
      </w:r>
      <w:r w:rsidRPr="0021523F">
        <w:rPr>
          <w:spacing w:val="-6"/>
          <w:w w:val="105"/>
        </w:rPr>
        <w:t xml:space="preserve"> </w:t>
      </w:r>
      <w:r w:rsidRPr="0021523F">
        <w:rPr>
          <w:w w:val="105"/>
        </w:rPr>
        <w:t>invoice</w:t>
      </w:r>
      <w:r w:rsidRPr="0021523F">
        <w:rPr>
          <w:spacing w:val="-6"/>
          <w:w w:val="105"/>
        </w:rPr>
        <w:t xml:space="preserve"> </w:t>
      </w:r>
      <w:r w:rsidRPr="0021523F">
        <w:rPr>
          <w:w w:val="105"/>
        </w:rPr>
        <w:t>exceeds</w:t>
      </w:r>
      <w:r w:rsidRPr="0021523F">
        <w:rPr>
          <w:spacing w:val="-3"/>
          <w:w w:val="105"/>
        </w:rPr>
        <w:t xml:space="preserve"> </w:t>
      </w:r>
      <w:r w:rsidRPr="0021523F">
        <w:rPr>
          <w:w w:val="105"/>
        </w:rPr>
        <w:t>the</w:t>
      </w:r>
      <w:r w:rsidRPr="0021523F">
        <w:rPr>
          <w:spacing w:val="-7"/>
          <w:w w:val="105"/>
        </w:rPr>
        <w:t xml:space="preserve"> </w:t>
      </w:r>
      <w:r w:rsidRPr="0021523F">
        <w:rPr>
          <w:w w:val="105"/>
        </w:rPr>
        <w:t>amount</w:t>
      </w:r>
      <w:r w:rsidRPr="0021523F">
        <w:rPr>
          <w:spacing w:val="3"/>
          <w:w w:val="105"/>
        </w:rPr>
        <w:t xml:space="preserve"> </w:t>
      </w:r>
      <w:r w:rsidRPr="0021523F">
        <w:rPr>
          <w:w w:val="105"/>
        </w:rPr>
        <w:t xml:space="preserve">of the corresponding purchase order for the goods or services by more than 10% </w:t>
      </w:r>
      <w:r>
        <w:rPr>
          <w:w w:val="105"/>
        </w:rPr>
        <w:t>to a maximum of $50,000</w:t>
      </w:r>
      <w:r w:rsidRPr="0021523F">
        <w:rPr>
          <w:w w:val="105"/>
        </w:rPr>
        <w:t xml:space="preserve">, payment of </w:t>
      </w:r>
      <w:r w:rsidRPr="0021523F">
        <w:rPr>
          <w:spacing w:val="3"/>
          <w:w w:val="105"/>
        </w:rPr>
        <w:t xml:space="preserve">the </w:t>
      </w:r>
      <w:r w:rsidRPr="0021523F">
        <w:rPr>
          <w:w w:val="105"/>
        </w:rPr>
        <w:t xml:space="preserve">invoice is </w:t>
      </w:r>
      <w:r w:rsidRPr="0021523F">
        <w:rPr>
          <w:spacing w:val="3"/>
          <w:w w:val="105"/>
        </w:rPr>
        <w:t xml:space="preserve">to </w:t>
      </w:r>
      <w:r w:rsidRPr="0021523F">
        <w:rPr>
          <w:w w:val="105"/>
        </w:rPr>
        <w:t xml:space="preserve">be authorised by the </w:t>
      </w:r>
      <w:r>
        <w:rPr>
          <w:w w:val="105"/>
        </w:rPr>
        <w:t>Chief Executive Officer</w:t>
      </w:r>
      <w:r w:rsidRPr="0021523F">
        <w:rPr>
          <w:w w:val="105"/>
        </w:rPr>
        <w:t>.</w:t>
      </w:r>
    </w:p>
    <w:p w14:paraId="117B0BBC" w14:textId="77777777" w:rsidR="0062714E" w:rsidRPr="00D32265" w:rsidRDefault="0062714E" w:rsidP="002A3889">
      <w:pPr>
        <w:pStyle w:val="ListParagraph"/>
        <w:widowControl w:val="0"/>
        <w:numPr>
          <w:ilvl w:val="0"/>
          <w:numId w:val="480"/>
        </w:numPr>
        <w:autoSpaceDE w:val="0"/>
        <w:autoSpaceDN w:val="0"/>
        <w:spacing w:before="200" w:after="0" w:line="252" w:lineRule="auto"/>
        <w:ind w:left="426" w:right="162" w:hanging="426"/>
        <w:contextualSpacing w:val="0"/>
        <w:jc w:val="both"/>
      </w:pPr>
      <w:r w:rsidRPr="00D32265">
        <w:rPr>
          <w:w w:val="105"/>
        </w:rPr>
        <w:t xml:space="preserve">This policy does not permit variations to contracts that are intended, or could reasonably </w:t>
      </w:r>
      <w:r w:rsidRPr="00D32265">
        <w:rPr>
          <w:spacing w:val="-3"/>
          <w:w w:val="105"/>
        </w:rPr>
        <w:t xml:space="preserve">be </w:t>
      </w:r>
      <w:r w:rsidRPr="00D32265">
        <w:rPr>
          <w:w w:val="105"/>
        </w:rPr>
        <w:t xml:space="preserve">perceived as being intended, </w:t>
      </w:r>
      <w:r w:rsidRPr="00D32265">
        <w:rPr>
          <w:spacing w:val="3"/>
          <w:w w:val="105"/>
        </w:rPr>
        <w:t xml:space="preserve">to </w:t>
      </w:r>
      <w:r w:rsidRPr="00D32265">
        <w:rPr>
          <w:w w:val="105"/>
        </w:rPr>
        <w:t xml:space="preserve">avoid </w:t>
      </w:r>
      <w:r w:rsidRPr="00D32265">
        <w:rPr>
          <w:spacing w:val="3"/>
          <w:w w:val="105"/>
        </w:rPr>
        <w:t xml:space="preserve">the </w:t>
      </w:r>
      <w:r w:rsidRPr="00D32265">
        <w:rPr>
          <w:w w:val="105"/>
        </w:rPr>
        <w:t xml:space="preserve">necessity </w:t>
      </w:r>
      <w:r w:rsidRPr="00D32265">
        <w:rPr>
          <w:spacing w:val="3"/>
          <w:w w:val="105"/>
        </w:rPr>
        <w:t xml:space="preserve">to </w:t>
      </w:r>
      <w:r w:rsidRPr="00D32265">
        <w:rPr>
          <w:w w:val="105"/>
        </w:rPr>
        <w:t>comply with Council Policy 9.7 – Purchasing</w:t>
      </w:r>
      <w:r w:rsidRPr="00D32265">
        <w:rPr>
          <w:spacing w:val="5"/>
          <w:w w:val="105"/>
        </w:rPr>
        <w:t xml:space="preserve"> </w:t>
      </w:r>
      <w:r w:rsidRPr="00D32265">
        <w:rPr>
          <w:w w:val="105"/>
        </w:rPr>
        <w:t>Policy.</w:t>
      </w:r>
    </w:p>
    <w:p w14:paraId="387DE2D2" w14:textId="77777777" w:rsidR="0062714E" w:rsidRPr="0021523F" w:rsidRDefault="0062714E" w:rsidP="0062714E">
      <w:pPr>
        <w:pStyle w:val="ListParagraph"/>
        <w:widowControl w:val="0"/>
        <w:tabs>
          <w:tab w:val="left" w:pos="701"/>
        </w:tabs>
        <w:autoSpaceDE w:val="0"/>
        <w:autoSpaceDN w:val="0"/>
        <w:spacing w:after="0" w:line="252" w:lineRule="auto"/>
        <w:ind w:left="700" w:right="153"/>
        <w:contextualSpacing w:val="0"/>
        <w:jc w:val="both"/>
      </w:pPr>
    </w:p>
    <w:p w14:paraId="50735C9E" w14:textId="77777777" w:rsidR="0062714E" w:rsidRPr="006167C2" w:rsidRDefault="0062714E" w:rsidP="0062714E">
      <w:pPr>
        <w:spacing w:after="0" w:line="240" w:lineRule="auto"/>
      </w:pPr>
    </w:p>
    <w:tbl>
      <w:tblPr>
        <w:tblStyle w:val="TableGrid"/>
        <w:tblW w:w="0" w:type="auto"/>
        <w:tblLook w:val="04A0" w:firstRow="1" w:lastRow="0" w:firstColumn="1" w:lastColumn="0" w:noHBand="0" w:noVBand="1"/>
      </w:tblPr>
      <w:tblGrid>
        <w:gridCol w:w="3114"/>
        <w:gridCol w:w="5902"/>
      </w:tblGrid>
      <w:tr w:rsidR="0062714E" w:rsidRPr="00B47F10" w14:paraId="1566466D" w14:textId="77777777" w:rsidTr="006F7B9B">
        <w:tc>
          <w:tcPr>
            <w:tcW w:w="3114" w:type="dxa"/>
          </w:tcPr>
          <w:p w14:paraId="74B4FA6D" w14:textId="77777777" w:rsidR="0062714E" w:rsidRPr="00B47F10" w:rsidRDefault="0062714E" w:rsidP="006F7B9B">
            <w:pPr>
              <w:jc w:val="both"/>
              <w:rPr>
                <w:rFonts w:cstheme="minorHAnsi"/>
                <w:b/>
                <w:lang w:val="en-US"/>
              </w:rPr>
            </w:pPr>
            <w:r w:rsidRPr="00B47F10">
              <w:rPr>
                <w:rFonts w:cstheme="minorHAnsi"/>
                <w:b/>
                <w:lang w:val="en-US"/>
              </w:rPr>
              <w:t>Responsible Directorate:</w:t>
            </w:r>
          </w:p>
        </w:tc>
        <w:tc>
          <w:tcPr>
            <w:tcW w:w="5902" w:type="dxa"/>
          </w:tcPr>
          <w:p w14:paraId="5DF8306A" w14:textId="77777777" w:rsidR="0062714E" w:rsidRPr="00B47F10" w:rsidRDefault="0062714E" w:rsidP="006F7B9B">
            <w:pPr>
              <w:jc w:val="both"/>
              <w:rPr>
                <w:rFonts w:cstheme="minorHAnsi"/>
                <w:lang w:val="en-US"/>
              </w:rPr>
            </w:pPr>
            <w:r>
              <w:rPr>
                <w:rFonts w:cstheme="minorHAnsi"/>
                <w:lang w:val="en-US"/>
              </w:rPr>
              <w:t>Executive Manager Corporate Services</w:t>
            </w:r>
          </w:p>
        </w:tc>
      </w:tr>
      <w:tr w:rsidR="0062714E" w:rsidRPr="00B47F10" w14:paraId="48E9A7E7" w14:textId="77777777" w:rsidTr="006F7B9B">
        <w:tc>
          <w:tcPr>
            <w:tcW w:w="3114" w:type="dxa"/>
          </w:tcPr>
          <w:p w14:paraId="0FA87700" w14:textId="77777777" w:rsidR="0062714E" w:rsidRPr="00B47F10" w:rsidRDefault="0062714E" w:rsidP="006F7B9B">
            <w:pPr>
              <w:jc w:val="both"/>
              <w:rPr>
                <w:rFonts w:cstheme="minorHAnsi"/>
                <w:b/>
                <w:lang w:val="en-US"/>
              </w:rPr>
            </w:pPr>
            <w:r w:rsidRPr="00B47F10">
              <w:rPr>
                <w:rFonts w:cstheme="minorHAnsi"/>
                <w:b/>
                <w:lang w:val="en-US"/>
              </w:rPr>
              <w:t>Reviewing Officer:</w:t>
            </w:r>
          </w:p>
        </w:tc>
        <w:tc>
          <w:tcPr>
            <w:tcW w:w="5902" w:type="dxa"/>
          </w:tcPr>
          <w:p w14:paraId="4CEA05B4" w14:textId="77777777" w:rsidR="0062714E" w:rsidRPr="00B47F10" w:rsidRDefault="0062714E" w:rsidP="006F7B9B">
            <w:pPr>
              <w:jc w:val="both"/>
              <w:rPr>
                <w:rFonts w:cstheme="minorHAnsi"/>
                <w:lang w:val="en-US"/>
              </w:rPr>
            </w:pPr>
            <w:r w:rsidRPr="00B47F10">
              <w:rPr>
                <w:rFonts w:cstheme="minorHAnsi"/>
                <w:lang w:val="en-US"/>
              </w:rPr>
              <w:t>Chief Executive Officer</w:t>
            </w:r>
          </w:p>
        </w:tc>
      </w:tr>
      <w:tr w:rsidR="0062714E" w:rsidRPr="00B47F10" w14:paraId="0D47E2B1" w14:textId="77777777" w:rsidTr="006F7B9B">
        <w:tc>
          <w:tcPr>
            <w:tcW w:w="3114" w:type="dxa"/>
          </w:tcPr>
          <w:p w14:paraId="46DB16C5" w14:textId="77777777" w:rsidR="0062714E" w:rsidRPr="00B47F10" w:rsidRDefault="0062714E" w:rsidP="006F7B9B">
            <w:pPr>
              <w:jc w:val="both"/>
              <w:rPr>
                <w:rFonts w:cstheme="minorHAnsi"/>
                <w:b/>
                <w:lang w:val="en-US"/>
              </w:rPr>
            </w:pPr>
            <w:r w:rsidRPr="00B47F10">
              <w:rPr>
                <w:rFonts w:cstheme="minorHAnsi"/>
                <w:b/>
                <w:lang w:val="en-US"/>
              </w:rPr>
              <w:t>Decision making Authority:</w:t>
            </w:r>
          </w:p>
        </w:tc>
        <w:tc>
          <w:tcPr>
            <w:tcW w:w="5902" w:type="dxa"/>
          </w:tcPr>
          <w:p w14:paraId="5E0552D7" w14:textId="77777777" w:rsidR="0062714E" w:rsidRPr="00B47F10" w:rsidRDefault="0062714E" w:rsidP="006F7B9B">
            <w:pPr>
              <w:jc w:val="both"/>
              <w:rPr>
                <w:rFonts w:cstheme="minorHAnsi"/>
                <w:lang w:val="en-US"/>
              </w:rPr>
            </w:pPr>
            <w:r w:rsidRPr="00B47F10">
              <w:rPr>
                <w:rFonts w:cstheme="minorHAnsi"/>
                <w:lang w:val="en-US"/>
              </w:rPr>
              <w:t>Council</w:t>
            </w:r>
          </w:p>
        </w:tc>
      </w:tr>
      <w:tr w:rsidR="0062714E" w:rsidRPr="00B47F10" w14:paraId="05B3C994" w14:textId="77777777" w:rsidTr="006F7B9B">
        <w:tc>
          <w:tcPr>
            <w:tcW w:w="3114" w:type="dxa"/>
          </w:tcPr>
          <w:p w14:paraId="19D058F3" w14:textId="77777777" w:rsidR="0062714E" w:rsidRPr="00B47F10" w:rsidRDefault="0062714E" w:rsidP="006F7B9B">
            <w:pPr>
              <w:jc w:val="both"/>
              <w:rPr>
                <w:rFonts w:cstheme="minorHAnsi"/>
                <w:b/>
                <w:lang w:val="en-US"/>
              </w:rPr>
            </w:pPr>
            <w:r w:rsidRPr="00B47F10">
              <w:rPr>
                <w:rFonts w:cstheme="minorHAnsi"/>
                <w:b/>
                <w:lang w:val="en-US"/>
              </w:rPr>
              <w:t>Policy Adopted:</w:t>
            </w:r>
          </w:p>
        </w:tc>
        <w:tc>
          <w:tcPr>
            <w:tcW w:w="5902" w:type="dxa"/>
          </w:tcPr>
          <w:p w14:paraId="68F1220A" w14:textId="77777777" w:rsidR="0062714E" w:rsidRPr="00B47F10" w:rsidRDefault="0062714E" w:rsidP="006F7B9B">
            <w:pPr>
              <w:jc w:val="both"/>
              <w:rPr>
                <w:rFonts w:cstheme="minorHAnsi"/>
                <w:lang w:val="en-US"/>
              </w:rPr>
            </w:pPr>
            <w:r>
              <w:rPr>
                <w:rFonts w:cstheme="minorHAnsi"/>
                <w:lang w:val="en-US"/>
              </w:rPr>
              <w:t>15/09/20</w:t>
            </w:r>
          </w:p>
        </w:tc>
      </w:tr>
      <w:tr w:rsidR="0062714E" w:rsidRPr="00B47F10" w14:paraId="3C91B0C8" w14:textId="77777777" w:rsidTr="006F7B9B">
        <w:tc>
          <w:tcPr>
            <w:tcW w:w="3114" w:type="dxa"/>
          </w:tcPr>
          <w:p w14:paraId="5D48F47A" w14:textId="77777777" w:rsidR="0062714E" w:rsidRPr="00B47F10" w:rsidRDefault="0062714E" w:rsidP="006F7B9B">
            <w:pPr>
              <w:jc w:val="both"/>
              <w:rPr>
                <w:rFonts w:cstheme="minorHAnsi"/>
                <w:b/>
                <w:lang w:val="en-US"/>
              </w:rPr>
            </w:pPr>
            <w:r>
              <w:rPr>
                <w:rFonts w:cstheme="minorHAnsi"/>
                <w:b/>
                <w:lang w:val="en-US"/>
              </w:rPr>
              <w:t>Policy Amended/Reviewed:</w:t>
            </w:r>
          </w:p>
        </w:tc>
        <w:tc>
          <w:tcPr>
            <w:tcW w:w="5902" w:type="dxa"/>
          </w:tcPr>
          <w:p w14:paraId="52D7D19F" w14:textId="77777777" w:rsidR="0062714E" w:rsidRPr="00B47F10" w:rsidRDefault="0062714E" w:rsidP="006F7B9B">
            <w:pPr>
              <w:jc w:val="both"/>
              <w:rPr>
                <w:rFonts w:cstheme="minorHAnsi"/>
                <w:lang w:val="en-US"/>
              </w:rPr>
            </w:pPr>
          </w:p>
        </w:tc>
      </w:tr>
    </w:tbl>
    <w:p w14:paraId="3C37B156" w14:textId="77777777" w:rsidR="0062714E" w:rsidRPr="00B47F10" w:rsidRDefault="0062714E" w:rsidP="0062714E">
      <w:pPr>
        <w:jc w:val="both"/>
        <w:rPr>
          <w:rFonts w:cstheme="minorHAnsi"/>
          <w:lang w:val="en-US"/>
        </w:rPr>
      </w:pPr>
    </w:p>
    <w:p w14:paraId="3F9B116D" w14:textId="3B4840AA" w:rsidR="00B028E9" w:rsidRDefault="00B028E9">
      <w:r>
        <w:br w:type="page"/>
      </w:r>
    </w:p>
    <w:p w14:paraId="488D8696" w14:textId="77777777" w:rsidR="00B028E9" w:rsidRDefault="00B028E9" w:rsidP="00B028E9">
      <w:pPr>
        <w:pStyle w:val="Title"/>
        <w:pBdr>
          <w:bottom w:val="none" w:sz="0" w:space="0" w:color="auto"/>
        </w:pBdr>
        <w:spacing w:after="240"/>
        <w:jc w:val="right"/>
        <w:rPr>
          <w:rFonts w:ascii="Arial" w:hAnsi="Arial" w:cs="Arial"/>
          <w:b/>
          <w:sz w:val="28"/>
          <w:szCs w:val="28"/>
          <w:lang w:val="en-US"/>
        </w:rPr>
      </w:pPr>
      <w:r>
        <w:rPr>
          <w:noProof/>
        </w:rPr>
        <w:lastRenderedPageBreak/>
        <w:drawing>
          <wp:inline distT="0" distB="0" distL="0" distR="0" wp14:anchorId="34662A6C" wp14:editId="1C33E1D4">
            <wp:extent cx="1731935" cy="695960"/>
            <wp:effectExtent l="0" t="0" r="1905" b="8890"/>
            <wp:docPr id="1510800929" name="Picture 1510800929" descr="A logo for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800929" name="Picture 1510800929" descr="A logo for a tow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48266" cy="702522"/>
                    </a:xfrm>
                    <a:prstGeom prst="rect">
                      <a:avLst/>
                    </a:prstGeom>
                    <a:noFill/>
                    <a:ln>
                      <a:noFill/>
                    </a:ln>
                  </pic:spPr>
                </pic:pic>
              </a:graphicData>
            </a:graphic>
          </wp:inline>
        </w:drawing>
      </w:r>
    </w:p>
    <w:p w14:paraId="7870FC55" w14:textId="77777777" w:rsidR="00B028E9" w:rsidRDefault="00B028E9" w:rsidP="00B028E9">
      <w:pPr>
        <w:pStyle w:val="Policy3"/>
      </w:pPr>
      <w:bookmarkStart w:id="411" w:name="_Toc216866699"/>
      <w:proofErr w:type="gramStart"/>
      <w:r>
        <w:t xml:space="preserve">2.1.20  </w:t>
      </w:r>
      <w:r w:rsidRPr="000A3C6E">
        <w:t>Waste</w:t>
      </w:r>
      <w:proofErr w:type="gramEnd"/>
      <w:r w:rsidRPr="000A3C6E">
        <w:t xml:space="preserve"> </w:t>
      </w:r>
      <w:r>
        <w:t>Services and Charging</w:t>
      </w:r>
      <w:bookmarkEnd w:id="411"/>
    </w:p>
    <w:tbl>
      <w:tblPr>
        <w:tblStyle w:val="TableGrid"/>
        <w:tblW w:w="0" w:type="auto"/>
        <w:tblLook w:val="04A0" w:firstRow="1" w:lastRow="0" w:firstColumn="1" w:lastColumn="0" w:noHBand="0" w:noVBand="1"/>
      </w:tblPr>
      <w:tblGrid>
        <w:gridCol w:w="3026"/>
        <w:gridCol w:w="5990"/>
      </w:tblGrid>
      <w:tr w:rsidR="00B028E9" w14:paraId="5A705EC7" w14:textId="77777777" w:rsidTr="00A47694">
        <w:tc>
          <w:tcPr>
            <w:tcW w:w="3026" w:type="dxa"/>
          </w:tcPr>
          <w:p w14:paraId="218D52E6" w14:textId="77777777" w:rsidR="00B028E9" w:rsidRPr="000A3C6E" w:rsidRDefault="00B028E9" w:rsidP="00A47694">
            <w:pPr>
              <w:rPr>
                <w:rFonts w:cstheme="minorHAnsi"/>
                <w:b/>
                <w:lang w:val="en-US"/>
              </w:rPr>
            </w:pPr>
            <w:r w:rsidRPr="000A3C6E">
              <w:rPr>
                <w:rFonts w:cstheme="minorHAnsi"/>
                <w:b/>
                <w:lang w:val="en-US"/>
              </w:rPr>
              <w:t>Type:</w:t>
            </w:r>
          </w:p>
        </w:tc>
        <w:tc>
          <w:tcPr>
            <w:tcW w:w="5990" w:type="dxa"/>
          </w:tcPr>
          <w:p w14:paraId="45B20B82" w14:textId="77777777" w:rsidR="00B028E9" w:rsidRPr="000A3C6E" w:rsidRDefault="00B028E9" w:rsidP="00A47694">
            <w:pPr>
              <w:rPr>
                <w:rFonts w:cstheme="minorHAnsi"/>
                <w:lang w:val="en-US"/>
              </w:rPr>
            </w:pPr>
            <w:r w:rsidRPr="000A3C6E">
              <w:rPr>
                <w:rFonts w:cstheme="minorHAnsi"/>
                <w:lang w:val="en-US"/>
              </w:rPr>
              <w:t>Corporate Services – Financial Management</w:t>
            </w:r>
          </w:p>
        </w:tc>
      </w:tr>
      <w:tr w:rsidR="00B028E9" w14:paraId="7E54156A" w14:textId="77777777" w:rsidTr="00A47694">
        <w:tc>
          <w:tcPr>
            <w:tcW w:w="3026" w:type="dxa"/>
          </w:tcPr>
          <w:p w14:paraId="23F0EF5B" w14:textId="77777777" w:rsidR="00B028E9" w:rsidRPr="000A3C6E" w:rsidRDefault="00B028E9" w:rsidP="00A47694">
            <w:pPr>
              <w:rPr>
                <w:rFonts w:cstheme="minorHAnsi"/>
                <w:b/>
                <w:lang w:val="en-US"/>
              </w:rPr>
            </w:pPr>
            <w:r w:rsidRPr="000A3C6E">
              <w:rPr>
                <w:rFonts w:cstheme="minorHAnsi"/>
                <w:b/>
                <w:lang w:val="en-US"/>
              </w:rPr>
              <w:t>Legislation:</w:t>
            </w:r>
          </w:p>
        </w:tc>
        <w:tc>
          <w:tcPr>
            <w:tcW w:w="5990" w:type="dxa"/>
          </w:tcPr>
          <w:p w14:paraId="6D1B4195" w14:textId="77777777" w:rsidR="00B028E9" w:rsidRPr="000A3C6E" w:rsidRDefault="00B028E9" w:rsidP="00A47694">
            <w:pPr>
              <w:rPr>
                <w:rFonts w:cstheme="minorHAnsi"/>
                <w:lang w:val="en-US"/>
              </w:rPr>
            </w:pPr>
            <w:r w:rsidRPr="00097823">
              <w:rPr>
                <w:rFonts w:cstheme="minorHAnsi"/>
                <w:i/>
                <w:iCs/>
                <w:lang w:val="en-US"/>
              </w:rPr>
              <w:t>Local Government Act</w:t>
            </w:r>
            <w:r w:rsidRPr="000A3C6E">
              <w:rPr>
                <w:rFonts w:cstheme="minorHAnsi"/>
                <w:lang w:val="en-US"/>
              </w:rPr>
              <w:t xml:space="preserve"> s 6.16 (2) (b)</w:t>
            </w:r>
          </w:p>
          <w:p w14:paraId="49AFF4ED" w14:textId="77777777" w:rsidR="00B028E9" w:rsidRPr="00097823" w:rsidRDefault="00B028E9" w:rsidP="00A47694">
            <w:pPr>
              <w:rPr>
                <w:rFonts w:cstheme="minorHAnsi"/>
                <w:i/>
                <w:iCs/>
                <w:lang w:val="en-US"/>
              </w:rPr>
            </w:pPr>
            <w:r w:rsidRPr="00097823">
              <w:rPr>
                <w:rFonts w:cstheme="minorHAnsi"/>
                <w:i/>
                <w:iCs/>
                <w:lang w:val="en-US"/>
              </w:rPr>
              <w:t>Waste Avoidance and Resource Recovery Act 2007</w:t>
            </w:r>
          </w:p>
        </w:tc>
      </w:tr>
      <w:tr w:rsidR="00B028E9" w14:paraId="21ABF9D3" w14:textId="77777777" w:rsidTr="00A47694">
        <w:tc>
          <w:tcPr>
            <w:tcW w:w="3026" w:type="dxa"/>
          </w:tcPr>
          <w:p w14:paraId="7AC6843B" w14:textId="77777777" w:rsidR="00B028E9" w:rsidRPr="000A3C6E" w:rsidRDefault="00B028E9" w:rsidP="00A47694">
            <w:pPr>
              <w:rPr>
                <w:rFonts w:cstheme="minorHAnsi"/>
                <w:b/>
                <w:lang w:val="en-US"/>
              </w:rPr>
            </w:pPr>
            <w:r w:rsidRPr="000A3C6E">
              <w:rPr>
                <w:rFonts w:cstheme="minorHAnsi"/>
                <w:b/>
                <w:lang w:val="en-US"/>
              </w:rPr>
              <w:t>Delegation:</w:t>
            </w:r>
          </w:p>
        </w:tc>
        <w:tc>
          <w:tcPr>
            <w:tcW w:w="5990" w:type="dxa"/>
          </w:tcPr>
          <w:p w14:paraId="2CCBCE09" w14:textId="77777777" w:rsidR="00B028E9" w:rsidRPr="000A3C6E" w:rsidRDefault="00B028E9" w:rsidP="00A47694">
            <w:pPr>
              <w:rPr>
                <w:rFonts w:cstheme="minorHAnsi"/>
                <w:lang w:val="en-US"/>
              </w:rPr>
            </w:pPr>
            <w:r w:rsidRPr="000A3C6E">
              <w:rPr>
                <w:rFonts w:cstheme="minorHAnsi"/>
                <w:lang w:val="en-US"/>
              </w:rPr>
              <w:t xml:space="preserve">Not Applicable </w:t>
            </w:r>
          </w:p>
        </w:tc>
      </w:tr>
      <w:tr w:rsidR="00B028E9" w14:paraId="7BDBA302" w14:textId="77777777" w:rsidTr="00A47694">
        <w:tc>
          <w:tcPr>
            <w:tcW w:w="3026" w:type="dxa"/>
          </w:tcPr>
          <w:p w14:paraId="5D9BE33A" w14:textId="77777777" w:rsidR="00B028E9" w:rsidRPr="000A3C6E" w:rsidRDefault="00B028E9" w:rsidP="00A47694">
            <w:pPr>
              <w:rPr>
                <w:rFonts w:cstheme="minorHAnsi"/>
                <w:b/>
                <w:lang w:val="en-US"/>
              </w:rPr>
            </w:pPr>
            <w:r w:rsidRPr="000A3C6E">
              <w:rPr>
                <w:rFonts w:cstheme="minorHAnsi"/>
                <w:b/>
                <w:lang w:val="en-US"/>
              </w:rPr>
              <w:t>Other Related Document:</w:t>
            </w:r>
          </w:p>
        </w:tc>
        <w:tc>
          <w:tcPr>
            <w:tcW w:w="5990" w:type="dxa"/>
          </w:tcPr>
          <w:p w14:paraId="4068FE2A" w14:textId="77777777" w:rsidR="00B028E9" w:rsidRPr="003316FA" w:rsidRDefault="00B028E9" w:rsidP="00A47694">
            <w:pPr>
              <w:rPr>
                <w:rFonts w:cstheme="minorHAnsi"/>
                <w:lang w:val="en-US"/>
              </w:rPr>
            </w:pPr>
            <w:r w:rsidRPr="003316FA">
              <w:rPr>
                <w:rFonts w:cstheme="minorHAnsi"/>
                <w:lang w:val="en-US"/>
              </w:rPr>
              <w:t xml:space="preserve">Policy 2.1.15 Waste Services for Community and Sporting </w:t>
            </w:r>
            <w:proofErr w:type="spellStart"/>
            <w:r w:rsidRPr="003316FA">
              <w:rPr>
                <w:rFonts w:cstheme="minorHAnsi"/>
                <w:lang w:val="en-US"/>
              </w:rPr>
              <w:t>Organisations</w:t>
            </w:r>
            <w:proofErr w:type="spellEnd"/>
          </w:p>
          <w:p w14:paraId="16EB5FC9" w14:textId="77777777" w:rsidR="00B028E9" w:rsidRPr="003316FA" w:rsidRDefault="00B028E9" w:rsidP="00A47694">
            <w:pPr>
              <w:rPr>
                <w:rFonts w:cstheme="minorHAnsi"/>
                <w:lang w:val="en-US"/>
              </w:rPr>
            </w:pPr>
            <w:r w:rsidRPr="003316FA">
              <w:rPr>
                <w:rFonts w:cstheme="minorHAnsi"/>
                <w:lang w:val="en-US"/>
              </w:rPr>
              <w:t>Town of East Fremantle Waste Plan 2020-2025</w:t>
            </w:r>
          </w:p>
          <w:p w14:paraId="5EC66348" w14:textId="77777777" w:rsidR="00B028E9" w:rsidRPr="000A3C6E" w:rsidRDefault="00B028E9" w:rsidP="00A47694">
            <w:pPr>
              <w:rPr>
                <w:rFonts w:cstheme="minorHAnsi"/>
                <w:lang w:val="en-US"/>
              </w:rPr>
            </w:pPr>
            <w:hyperlink r:id="rId61" w:history="1">
              <w:r w:rsidRPr="003316FA">
                <w:rPr>
                  <w:rStyle w:val="Hyperlink"/>
                  <w:rFonts w:cstheme="minorHAnsi"/>
                  <w:color w:val="auto"/>
                  <w:lang w:val="en-US"/>
                </w:rPr>
                <w:t>Waste Local Law 2017</w:t>
              </w:r>
            </w:hyperlink>
            <w:r w:rsidRPr="003316FA">
              <w:rPr>
                <w:rFonts w:cstheme="minorHAnsi"/>
                <w:lang w:val="en-US"/>
              </w:rPr>
              <w:t xml:space="preserve"> </w:t>
            </w:r>
          </w:p>
        </w:tc>
      </w:tr>
    </w:tbl>
    <w:p w14:paraId="34098C79" w14:textId="77777777" w:rsidR="00B028E9" w:rsidRPr="000A3C6E" w:rsidRDefault="00B028E9" w:rsidP="00B028E9">
      <w:pPr>
        <w:pStyle w:val="Heading1"/>
        <w:spacing w:before="360"/>
        <w:rPr>
          <w:rFonts w:asciiTheme="minorHAnsi" w:hAnsiTheme="minorHAnsi" w:cstheme="minorHAnsi"/>
          <w:color w:val="auto"/>
          <w:lang w:val="en-US"/>
        </w:rPr>
      </w:pPr>
      <w:r w:rsidRPr="000A3C6E">
        <w:rPr>
          <w:rFonts w:asciiTheme="minorHAnsi" w:hAnsiTheme="minorHAnsi" w:cstheme="minorHAnsi"/>
          <w:color w:val="auto"/>
          <w:lang w:val="en-US"/>
        </w:rPr>
        <w:t>Objective</w:t>
      </w:r>
    </w:p>
    <w:p w14:paraId="6D5EC476" w14:textId="77777777" w:rsidR="00B028E9" w:rsidRDefault="00B028E9" w:rsidP="00B028E9">
      <w:pPr>
        <w:jc w:val="both"/>
        <w:rPr>
          <w:rFonts w:cstheme="minorHAnsi"/>
          <w:lang w:val="en-US"/>
        </w:rPr>
      </w:pPr>
      <w:r w:rsidRPr="000A3C6E">
        <w:rPr>
          <w:rFonts w:cstheme="minorHAnsi"/>
          <w:lang w:val="en-US"/>
        </w:rPr>
        <w:t>The purpose of this policy is to state Council’s position regarding waste management</w:t>
      </w:r>
      <w:r>
        <w:rPr>
          <w:rFonts w:cstheme="minorHAnsi"/>
          <w:lang w:val="en-US"/>
        </w:rPr>
        <w:t>, service requirements and waste charges</w:t>
      </w:r>
      <w:r w:rsidRPr="000A3C6E">
        <w:rPr>
          <w:rFonts w:cstheme="minorHAnsi"/>
          <w:lang w:val="en-US"/>
        </w:rPr>
        <w:t xml:space="preserve"> within the Town of East Fremantle. </w:t>
      </w:r>
    </w:p>
    <w:p w14:paraId="67A3E025" w14:textId="77777777" w:rsidR="00B028E9" w:rsidRPr="000A3C6E" w:rsidRDefault="00B028E9" w:rsidP="00B028E9">
      <w:pPr>
        <w:jc w:val="both"/>
        <w:rPr>
          <w:rFonts w:cstheme="minorHAnsi"/>
          <w:lang w:val="en-US"/>
        </w:rPr>
      </w:pPr>
      <w:r>
        <w:rPr>
          <w:rFonts w:cstheme="minorHAnsi"/>
          <w:lang w:val="en-US"/>
        </w:rPr>
        <w:t xml:space="preserve">The community is encouraged to embrace waste minimization principles and </w:t>
      </w:r>
      <w:proofErr w:type="spellStart"/>
      <w:r>
        <w:rPr>
          <w:rFonts w:cstheme="minorHAnsi"/>
          <w:lang w:val="en-US"/>
        </w:rPr>
        <w:t>maximise</w:t>
      </w:r>
      <w:proofErr w:type="spellEnd"/>
      <w:r>
        <w:rPr>
          <w:rFonts w:cstheme="minorHAnsi"/>
          <w:lang w:val="en-US"/>
        </w:rPr>
        <w:t xml:space="preserve"> the separation of waste into the appropriate collection streams of recycling, food organics/garden organics (FOGO) and general waste.</w:t>
      </w:r>
    </w:p>
    <w:p w14:paraId="14DAE042" w14:textId="77777777" w:rsidR="00B028E9" w:rsidRPr="000A3C6E" w:rsidRDefault="00B028E9" w:rsidP="00B028E9">
      <w:pPr>
        <w:pStyle w:val="Heading1"/>
        <w:spacing w:before="360"/>
        <w:jc w:val="both"/>
        <w:rPr>
          <w:rFonts w:asciiTheme="minorHAnsi" w:hAnsiTheme="minorHAnsi" w:cstheme="minorHAnsi"/>
          <w:color w:val="auto"/>
          <w:lang w:val="en-US"/>
        </w:rPr>
      </w:pPr>
      <w:r w:rsidRPr="000A3C6E">
        <w:rPr>
          <w:rFonts w:asciiTheme="minorHAnsi" w:hAnsiTheme="minorHAnsi" w:cstheme="minorHAnsi"/>
          <w:color w:val="auto"/>
          <w:lang w:val="en-US"/>
        </w:rPr>
        <w:t>Policy Scope</w:t>
      </w:r>
    </w:p>
    <w:p w14:paraId="2BD9FE46" w14:textId="77777777" w:rsidR="00B028E9" w:rsidRDefault="00B028E9" w:rsidP="00B028E9">
      <w:pPr>
        <w:jc w:val="both"/>
        <w:rPr>
          <w:rFonts w:cstheme="minorHAnsi"/>
          <w:lang w:val="en-US"/>
        </w:rPr>
      </w:pPr>
      <w:r w:rsidRPr="000A3C6E">
        <w:rPr>
          <w:rFonts w:cstheme="minorHAnsi"/>
          <w:lang w:val="en-US"/>
        </w:rPr>
        <w:t xml:space="preserve">The State Government </w:t>
      </w:r>
      <w:r>
        <w:rPr>
          <w:rFonts w:cstheme="minorHAnsi"/>
          <w:lang w:val="en-US"/>
        </w:rPr>
        <w:t>is</w:t>
      </w:r>
      <w:r w:rsidRPr="000A3C6E">
        <w:rPr>
          <w:rFonts w:cstheme="minorHAnsi"/>
          <w:lang w:val="en-US"/>
        </w:rPr>
        <w:t xml:space="preserve"> legislating the imposition of a separate waste charge on the rate notice with the objective of “providing transparency and awareness of costs for ratepayers”.</w:t>
      </w:r>
      <w:r>
        <w:rPr>
          <w:rFonts w:cstheme="minorHAnsi"/>
          <w:lang w:val="en-US"/>
        </w:rPr>
        <w:t xml:space="preserve"> The Town will therefore be levying an annual waste charge for each parcel of </w:t>
      </w:r>
      <w:proofErr w:type="spellStart"/>
      <w:r>
        <w:rPr>
          <w:rFonts w:cstheme="minorHAnsi"/>
          <w:lang w:val="en-US"/>
        </w:rPr>
        <w:t>rateable</w:t>
      </w:r>
      <w:proofErr w:type="spellEnd"/>
      <w:r>
        <w:rPr>
          <w:rFonts w:cstheme="minorHAnsi"/>
          <w:lang w:val="en-US"/>
        </w:rPr>
        <w:t xml:space="preserve"> land where the service is available. The charge is levied through rates notices and includes administration, collection, processing, treatment, community education and other activities associated with waste services.</w:t>
      </w:r>
    </w:p>
    <w:p w14:paraId="64FC830B" w14:textId="77777777" w:rsidR="00B028E9" w:rsidRDefault="00B028E9" w:rsidP="00B028E9">
      <w:pPr>
        <w:jc w:val="both"/>
        <w:rPr>
          <w:rFonts w:cstheme="minorHAnsi"/>
          <w:lang w:val="en-US"/>
        </w:rPr>
      </w:pPr>
      <w:r>
        <w:rPr>
          <w:rFonts w:cstheme="minorHAnsi"/>
          <w:lang w:val="en-US"/>
        </w:rPr>
        <w:t>Waste charges will be adopted annually in Council’s Schedule of Fees and Charges.</w:t>
      </w:r>
    </w:p>
    <w:p w14:paraId="463C1F01" w14:textId="77777777" w:rsidR="00B028E9" w:rsidRDefault="00B028E9" w:rsidP="00B028E9">
      <w:pPr>
        <w:jc w:val="both"/>
        <w:rPr>
          <w:rFonts w:cstheme="minorHAnsi"/>
          <w:lang w:val="en-US"/>
        </w:rPr>
      </w:pPr>
      <w:r>
        <w:rPr>
          <w:rFonts w:cstheme="minorHAnsi"/>
          <w:lang w:val="en-US"/>
        </w:rPr>
        <w:t>Whilst the Town provides commercial waste services, businesses are encouraged to arrange their own waste services by engaging a commercial waste contractor.</w:t>
      </w:r>
    </w:p>
    <w:p w14:paraId="0B7E3352" w14:textId="77777777" w:rsidR="00B028E9" w:rsidRDefault="00B028E9" w:rsidP="00B028E9">
      <w:pPr>
        <w:jc w:val="both"/>
        <w:rPr>
          <w:rFonts w:cstheme="minorHAnsi"/>
          <w:lang w:val="en-US"/>
        </w:rPr>
      </w:pPr>
      <w:r>
        <w:rPr>
          <w:rFonts w:cstheme="minorHAnsi"/>
          <w:lang w:val="en-US"/>
        </w:rPr>
        <w:t xml:space="preserve">Council also encourages clubs, schools and not for profit </w:t>
      </w:r>
      <w:proofErr w:type="spellStart"/>
      <w:r>
        <w:rPr>
          <w:rFonts w:cstheme="minorHAnsi"/>
          <w:lang w:val="en-US"/>
        </w:rPr>
        <w:t>organisations</w:t>
      </w:r>
      <w:proofErr w:type="spellEnd"/>
      <w:r>
        <w:rPr>
          <w:rFonts w:cstheme="minorHAnsi"/>
          <w:lang w:val="en-US"/>
        </w:rPr>
        <w:t xml:space="preserve"> to participate in FOGO and recycling activities. Pursuant to Policy 2.1.15 ‘Waste Services for Community and Sporting </w:t>
      </w:r>
      <w:proofErr w:type="spellStart"/>
      <w:r>
        <w:rPr>
          <w:rFonts w:cstheme="minorHAnsi"/>
          <w:lang w:val="en-US"/>
        </w:rPr>
        <w:t>Organisations</w:t>
      </w:r>
      <w:proofErr w:type="spellEnd"/>
      <w:r>
        <w:rPr>
          <w:rFonts w:cstheme="minorHAnsi"/>
          <w:lang w:val="en-US"/>
        </w:rPr>
        <w:t xml:space="preserve">’, all </w:t>
      </w:r>
      <w:proofErr w:type="spellStart"/>
      <w:r>
        <w:rPr>
          <w:rFonts w:cstheme="minorHAnsi"/>
          <w:lang w:val="en-US"/>
        </w:rPr>
        <w:t>organisations</w:t>
      </w:r>
      <w:proofErr w:type="spellEnd"/>
      <w:r>
        <w:rPr>
          <w:rFonts w:cstheme="minorHAnsi"/>
          <w:lang w:val="en-US"/>
        </w:rPr>
        <w:t xml:space="preserve"> will be eligible for a full concession on 1 general waste service, including a FOGO, recycling and general waste bin.</w:t>
      </w:r>
    </w:p>
    <w:p w14:paraId="03838EFC" w14:textId="77777777" w:rsidR="00B028E9" w:rsidRDefault="00B028E9" w:rsidP="00B028E9">
      <w:pPr>
        <w:jc w:val="both"/>
        <w:rPr>
          <w:rFonts w:cstheme="minorHAnsi"/>
          <w:lang w:val="en-US"/>
        </w:rPr>
      </w:pPr>
      <w:r>
        <w:rPr>
          <w:rFonts w:cstheme="minorHAnsi"/>
          <w:lang w:val="en-US"/>
        </w:rPr>
        <w:t>Waste charges will be levied with the objective of full cost recovery of direct and indirect costs, which include the following services:</w:t>
      </w:r>
    </w:p>
    <w:tbl>
      <w:tblPr>
        <w:tblStyle w:val="TableGrid"/>
        <w:tblW w:w="0" w:type="auto"/>
        <w:tblLook w:val="04A0" w:firstRow="1" w:lastRow="0" w:firstColumn="1" w:lastColumn="0" w:noHBand="0" w:noVBand="1"/>
      </w:tblPr>
      <w:tblGrid>
        <w:gridCol w:w="3005"/>
        <w:gridCol w:w="3794"/>
        <w:gridCol w:w="2217"/>
      </w:tblGrid>
      <w:tr w:rsidR="00B028E9" w14:paraId="2742F3FB" w14:textId="77777777" w:rsidTr="00A47694">
        <w:tc>
          <w:tcPr>
            <w:tcW w:w="3005" w:type="dxa"/>
          </w:tcPr>
          <w:p w14:paraId="691103E1" w14:textId="77777777" w:rsidR="00B028E9" w:rsidRPr="00D732ED" w:rsidRDefault="00B028E9" w:rsidP="00A47694">
            <w:pPr>
              <w:rPr>
                <w:rFonts w:cstheme="minorHAnsi"/>
                <w:b/>
                <w:bCs/>
                <w:sz w:val="20"/>
                <w:szCs w:val="20"/>
                <w:lang w:val="en-US"/>
              </w:rPr>
            </w:pPr>
            <w:r w:rsidRPr="00D732ED">
              <w:rPr>
                <w:rFonts w:cstheme="minorHAnsi"/>
                <w:b/>
                <w:bCs/>
                <w:sz w:val="20"/>
                <w:szCs w:val="20"/>
                <w:lang w:val="en-US"/>
              </w:rPr>
              <w:t>Activity</w:t>
            </w:r>
          </w:p>
        </w:tc>
        <w:tc>
          <w:tcPr>
            <w:tcW w:w="3794" w:type="dxa"/>
          </w:tcPr>
          <w:p w14:paraId="4CCEC0A1" w14:textId="77777777" w:rsidR="00B028E9" w:rsidRPr="00D732ED" w:rsidRDefault="00B028E9" w:rsidP="00A47694">
            <w:pPr>
              <w:rPr>
                <w:rFonts w:cstheme="minorHAnsi"/>
                <w:b/>
                <w:bCs/>
                <w:sz w:val="20"/>
                <w:szCs w:val="20"/>
                <w:lang w:val="en-US"/>
              </w:rPr>
            </w:pPr>
            <w:r w:rsidRPr="00D732ED">
              <w:rPr>
                <w:rFonts w:cstheme="minorHAnsi"/>
                <w:b/>
                <w:bCs/>
                <w:sz w:val="20"/>
                <w:szCs w:val="20"/>
                <w:lang w:val="en-US"/>
              </w:rPr>
              <w:t>Level of Service</w:t>
            </w:r>
          </w:p>
        </w:tc>
        <w:tc>
          <w:tcPr>
            <w:tcW w:w="2217" w:type="dxa"/>
          </w:tcPr>
          <w:p w14:paraId="32C0BDED" w14:textId="77777777" w:rsidR="00B028E9" w:rsidRPr="00D732ED" w:rsidRDefault="00B028E9" w:rsidP="00A47694">
            <w:pPr>
              <w:rPr>
                <w:rFonts w:cstheme="minorHAnsi"/>
                <w:b/>
                <w:bCs/>
                <w:sz w:val="20"/>
                <w:szCs w:val="20"/>
                <w:lang w:val="en-US"/>
              </w:rPr>
            </w:pPr>
            <w:r w:rsidRPr="00D732ED">
              <w:rPr>
                <w:rFonts w:cstheme="minorHAnsi"/>
                <w:b/>
                <w:bCs/>
                <w:sz w:val="20"/>
                <w:szCs w:val="20"/>
                <w:lang w:val="en-US"/>
              </w:rPr>
              <w:t>Approximate Annual Cost</w:t>
            </w:r>
          </w:p>
        </w:tc>
      </w:tr>
      <w:tr w:rsidR="00B028E9" w14:paraId="6EE2B047" w14:textId="77777777" w:rsidTr="00A47694">
        <w:tc>
          <w:tcPr>
            <w:tcW w:w="3005" w:type="dxa"/>
          </w:tcPr>
          <w:p w14:paraId="4E96B794" w14:textId="77777777" w:rsidR="00B028E9" w:rsidRPr="00D732ED" w:rsidRDefault="00B028E9" w:rsidP="00A47694">
            <w:pPr>
              <w:rPr>
                <w:rFonts w:cstheme="minorHAnsi"/>
                <w:sz w:val="20"/>
                <w:szCs w:val="20"/>
                <w:lang w:val="en-US"/>
              </w:rPr>
            </w:pPr>
            <w:proofErr w:type="spellStart"/>
            <w:r w:rsidRPr="00D732ED">
              <w:rPr>
                <w:rFonts w:cstheme="minorHAnsi"/>
                <w:sz w:val="20"/>
                <w:szCs w:val="20"/>
                <w:lang w:val="en-US"/>
              </w:rPr>
              <w:t>Kerbside</w:t>
            </w:r>
            <w:proofErr w:type="spellEnd"/>
            <w:r w:rsidRPr="00D732ED">
              <w:rPr>
                <w:rFonts w:cstheme="minorHAnsi"/>
                <w:sz w:val="20"/>
                <w:szCs w:val="20"/>
                <w:lang w:val="en-US"/>
              </w:rPr>
              <w:t xml:space="preserve"> Collection Service - FOGO</w:t>
            </w:r>
          </w:p>
        </w:tc>
        <w:tc>
          <w:tcPr>
            <w:tcW w:w="3794" w:type="dxa"/>
          </w:tcPr>
          <w:p w14:paraId="070D88FA" w14:textId="77777777" w:rsidR="00B028E9" w:rsidRPr="00D732ED" w:rsidRDefault="00B028E9" w:rsidP="00A47694">
            <w:pPr>
              <w:rPr>
                <w:rFonts w:cstheme="minorHAnsi"/>
                <w:sz w:val="20"/>
                <w:szCs w:val="20"/>
                <w:lang w:val="en-US"/>
              </w:rPr>
            </w:pPr>
            <w:r w:rsidRPr="00D732ED">
              <w:rPr>
                <w:rFonts w:cstheme="minorHAnsi"/>
                <w:sz w:val="20"/>
                <w:szCs w:val="20"/>
                <w:lang w:val="en-US"/>
              </w:rPr>
              <w:t>240L MGB Collected Weekly</w:t>
            </w:r>
          </w:p>
        </w:tc>
        <w:tc>
          <w:tcPr>
            <w:tcW w:w="2217" w:type="dxa"/>
          </w:tcPr>
          <w:p w14:paraId="2D4C9AFD" w14:textId="77777777" w:rsidR="00B028E9" w:rsidRPr="00D732ED" w:rsidRDefault="00B028E9" w:rsidP="00A47694">
            <w:pPr>
              <w:rPr>
                <w:rFonts w:cstheme="minorHAnsi"/>
                <w:sz w:val="20"/>
                <w:szCs w:val="20"/>
                <w:lang w:val="en-US"/>
              </w:rPr>
            </w:pPr>
            <w:r w:rsidRPr="00D732ED">
              <w:rPr>
                <w:rFonts w:cstheme="minorHAnsi"/>
                <w:sz w:val="20"/>
                <w:szCs w:val="20"/>
                <w:lang w:val="en-US"/>
              </w:rPr>
              <w:t>$</w:t>
            </w:r>
            <w:r>
              <w:rPr>
                <w:rFonts w:cstheme="minorHAnsi"/>
                <w:sz w:val="20"/>
                <w:szCs w:val="20"/>
                <w:lang w:val="en-US"/>
              </w:rPr>
              <w:t>389,146</w:t>
            </w:r>
          </w:p>
        </w:tc>
      </w:tr>
      <w:tr w:rsidR="00B028E9" w14:paraId="295A73DD" w14:textId="77777777" w:rsidTr="00A47694">
        <w:tc>
          <w:tcPr>
            <w:tcW w:w="3005" w:type="dxa"/>
          </w:tcPr>
          <w:p w14:paraId="099181DE" w14:textId="77777777" w:rsidR="00B028E9" w:rsidRPr="00D732ED" w:rsidRDefault="00B028E9" w:rsidP="00A47694">
            <w:pPr>
              <w:rPr>
                <w:rFonts w:cstheme="minorHAnsi"/>
                <w:sz w:val="20"/>
                <w:szCs w:val="20"/>
                <w:lang w:val="en-US"/>
              </w:rPr>
            </w:pPr>
            <w:proofErr w:type="spellStart"/>
            <w:r w:rsidRPr="00D732ED">
              <w:rPr>
                <w:rFonts w:cstheme="minorHAnsi"/>
                <w:sz w:val="20"/>
                <w:szCs w:val="20"/>
                <w:lang w:val="en-US"/>
              </w:rPr>
              <w:t>Kerbside</w:t>
            </w:r>
            <w:proofErr w:type="spellEnd"/>
            <w:r w:rsidRPr="00D732ED">
              <w:rPr>
                <w:rFonts w:cstheme="minorHAnsi"/>
                <w:sz w:val="20"/>
                <w:szCs w:val="20"/>
                <w:lang w:val="en-US"/>
              </w:rPr>
              <w:t xml:space="preserve"> Collection Service - Recycling</w:t>
            </w:r>
          </w:p>
        </w:tc>
        <w:tc>
          <w:tcPr>
            <w:tcW w:w="3794" w:type="dxa"/>
          </w:tcPr>
          <w:p w14:paraId="2E2FCEAF" w14:textId="77777777" w:rsidR="00B028E9" w:rsidRPr="00D732ED" w:rsidRDefault="00B028E9" w:rsidP="00A47694">
            <w:pPr>
              <w:rPr>
                <w:rFonts w:cstheme="minorHAnsi"/>
                <w:sz w:val="20"/>
                <w:szCs w:val="20"/>
                <w:lang w:val="en-US"/>
              </w:rPr>
            </w:pPr>
            <w:r w:rsidRPr="00D732ED">
              <w:rPr>
                <w:rFonts w:cstheme="minorHAnsi"/>
                <w:sz w:val="20"/>
                <w:szCs w:val="20"/>
                <w:lang w:val="en-US"/>
              </w:rPr>
              <w:t>240L MGB Collected Fortnightly</w:t>
            </w:r>
          </w:p>
          <w:p w14:paraId="7B18C96A"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360L MGB Collected Fortnightly </w:t>
            </w:r>
          </w:p>
        </w:tc>
        <w:tc>
          <w:tcPr>
            <w:tcW w:w="2217" w:type="dxa"/>
          </w:tcPr>
          <w:p w14:paraId="00F3F068" w14:textId="77777777" w:rsidR="00B028E9" w:rsidRPr="00D732ED" w:rsidRDefault="00B028E9" w:rsidP="00A47694">
            <w:pPr>
              <w:rPr>
                <w:rFonts w:cstheme="minorHAnsi"/>
                <w:sz w:val="20"/>
                <w:szCs w:val="20"/>
                <w:lang w:val="en-US"/>
              </w:rPr>
            </w:pPr>
            <w:r w:rsidRPr="00D732ED">
              <w:rPr>
                <w:rFonts w:cstheme="minorHAnsi"/>
                <w:sz w:val="20"/>
                <w:szCs w:val="20"/>
                <w:lang w:val="en-US"/>
              </w:rPr>
              <w:t>$1</w:t>
            </w:r>
            <w:r>
              <w:rPr>
                <w:rFonts w:cstheme="minorHAnsi"/>
                <w:sz w:val="20"/>
                <w:szCs w:val="20"/>
                <w:lang w:val="en-US"/>
              </w:rPr>
              <w:t>38,724</w:t>
            </w:r>
          </w:p>
        </w:tc>
      </w:tr>
      <w:tr w:rsidR="00B028E9" w14:paraId="21848509" w14:textId="77777777" w:rsidTr="00A47694">
        <w:tc>
          <w:tcPr>
            <w:tcW w:w="3005" w:type="dxa"/>
          </w:tcPr>
          <w:p w14:paraId="0E1BB3F7" w14:textId="77777777" w:rsidR="00B028E9" w:rsidRPr="00D732ED" w:rsidRDefault="00B028E9" w:rsidP="00A47694">
            <w:pPr>
              <w:rPr>
                <w:rFonts w:cstheme="minorHAnsi"/>
                <w:sz w:val="20"/>
                <w:szCs w:val="20"/>
                <w:lang w:val="en-US"/>
              </w:rPr>
            </w:pPr>
            <w:proofErr w:type="spellStart"/>
            <w:r w:rsidRPr="00D732ED">
              <w:rPr>
                <w:rFonts w:cstheme="minorHAnsi"/>
                <w:sz w:val="20"/>
                <w:szCs w:val="20"/>
                <w:lang w:val="en-US"/>
              </w:rPr>
              <w:lastRenderedPageBreak/>
              <w:t>Kerbside</w:t>
            </w:r>
            <w:proofErr w:type="spellEnd"/>
            <w:r w:rsidRPr="00D732ED">
              <w:rPr>
                <w:rFonts w:cstheme="minorHAnsi"/>
                <w:sz w:val="20"/>
                <w:szCs w:val="20"/>
                <w:lang w:val="en-US"/>
              </w:rPr>
              <w:t xml:space="preserve"> Collection Service – General Waste</w:t>
            </w:r>
          </w:p>
        </w:tc>
        <w:tc>
          <w:tcPr>
            <w:tcW w:w="3794" w:type="dxa"/>
          </w:tcPr>
          <w:p w14:paraId="57D3BF11"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140L MGB Collected Fortnightly </w:t>
            </w:r>
          </w:p>
          <w:p w14:paraId="7155D770" w14:textId="77777777" w:rsidR="00B028E9" w:rsidRPr="00D732ED" w:rsidRDefault="00B028E9" w:rsidP="00A47694">
            <w:pPr>
              <w:rPr>
                <w:rFonts w:cstheme="minorHAnsi"/>
                <w:sz w:val="20"/>
                <w:szCs w:val="20"/>
                <w:lang w:val="en-US"/>
              </w:rPr>
            </w:pPr>
            <w:r w:rsidRPr="00D732ED">
              <w:rPr>
                <w:rFonts w:cstheme="minorHAnsi"/>
                <w:sz w:val="20"/>
                <w:szCs w:val="20"/>
                <w:lang w:val="en-US"/>
              </w:rPr>
              <w:t>240L MGB Collected Fortnightly</w:t>
            </w:r>
          </w:p>
        </w:tc>
        <w:tc>
          <w:tcPr>
            <w:tcW w:w="2217" w:type="dxa"/>
          </w:tcPr>
          <w:p w14:paraId="0536C732" w14:textId="77777777" w:rsidR="00B028E9" w:rsidRPr="00D732ED" w:rsidRDefault="00B028E9" w:rsidP="00A47694">
            <w:pPr>
              <w:rPr>
                <w:rFonts w:cstheme="minorHAnsi"/>
                <w:sz w:val="20"/>
                <w:szCs w:val="20"/>
                <w:lang w:val="en-US"/>
              </w:rPr>
            </w:pPr>
            <w:r w:rsidRPr="00D732ED">
              <w:rPr>
                <w:rFonts w:cstheme="minorHAnsi"/>
                <w:sz w:val="20"/>
                <w:szCs w:val="20"/>
                <w:lang w:val="en-US"/>
              </w:rPr>
              <w:t>$2</w:t>
            </w:r>
            <w:r>
              <w:rPr>
                <w:rFonts w:cstheme="minorHAnsi"/>
                <w:sz w:val="20"/>
                <w:szCs w:val="20"/>
                <w:lang w:val="en-US"/>
              </w:rPr>
              <w:t>57,571</w:t>
            </w:r>
          </w:p>
        </w:tc>
      </w:tr>
      <w:tr w:rsidR="00B028E9" w14:paraId="788525C9" w14:textId="77777777" w:rsidTr="00A47694">
        <w:tc>
          <w:tcPr>
            <w:tcW w:w="3005" w:type="dxa"/>
            <w:shd w:val="clear" w:color="auto" w:fill="FFFFFF" w:themeFill="background1"/>
          </w:tcPr>
          <w:p w14:paraId="73F062C3"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General Waste – Commercial Collection </w:t>
            </w:r>
          </w:p>
        </w:tc>
        <w:tc>
          <w:tcPr>
            <w:tcW w:w="3794" w:type="dxa"/>
            <w:shd w:val="clear" w:color="auto" w:fill="FFFFFF" w:themeFill="background1"/>
          </w:tcPr>
          <w:p w14:paraId="6809D164"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240L MGB Collected Weekly </w:t>
            </w:r>
          </w:p>
        </w:tc>
        <w:tc>
          <w:tcPr>
            <w:tcW w:w="2217" w:type="dxa"/>
            <w:shd w:val="clear" w:color="auto" w:fill="FFFFFF" w:themeFill="background1"/>
          </w:tcPr>
          <w:p w14:paraId="5BB2E196" w14:textId="77777777" w:rsidR="00B028E9" w:rsidRPr="00D732ED" w:rsidRDefault="00B028E9" w:rsidP="00A47694">
            <w:pPr>
              <w:rPr>
                <w:rFonts w:cstheme="minorHAnsi"/>
                <w:sz w:val="20"/>
                <w:szCs w:val="20"/>
                <w:lang w:val="en-US"/>
              </w:rPr>
            </w:pPr>
            <w:r w:rsidRPr="00D732ED">
              <w:rPr>
                <w:rFonts w:cstheme="minorHAnsi"/>
                <w:sz w:val="20"/>
                <w:szCs w:val="20"/>
                <w:lang w:val="en-US"/>
              </w:rPr>
              <w:t>$</w:t>
            </w:r>
            <w:r>
              <w:rPr>
                <w:rFonts w:cstheme="minorHAnsi"/>
                <w:sz w:val="20"/>
                <w:szCs w:val="20"/>
                <w:lang w:val="en-US"/>
              </w:rPr>
              <w:t>18,868</w:t>
            </w:r>
          </w:p>
        </w:tc>
      </w:tr>
      <w:tr w:rsidR="00B028E9" w14:paraId="5BDCBDB8" w14:textId="77777777" w:rsidTr="00A47694">
        <w:tc>
          <w:tcPr>
            <w:tcW w:w="3005" w:type="dxa"/>
          </w:tcPr>
          <w:p w14:paraId="2707783F" w14:textId="77777777" w:rsidR="00B028E9" w:rsidRPr="00D732ED" w:rsidRDefault="00B028E9" w:rsidP="00A47694">
            <w:pPr>
              <w:rPr>
                <w:rFonts w:cstheme="minorHAnsi"/>
                <w:sz w:val="20"/>
                <w:szCs w:val="20"/>
                <w:lang w:val="en-US"/>
              </w:rPr>
            </w:pPr>
            <w:r w:rsidRPr="00D732ED">
              <w:rPr>
                <w:rFonts w:cstheme="minorHAnsi"/>
                <w:sz w:val="20"/>
                <w:szCs w:val="20"/>
                <w:lang w:val="en-US"/>
              </w:rPr>
              <w:t>Recycling – Commercial</w:t>
            </w:r>
          </w:p>
        </w:tc>
        <w:tc>
          <w:tcPr>
            <w:tcW w:w="3794" w:type="dxa"/>
          </w:tcPr>
          <w:p w14:paraId="649CD5D6" w14:textId="77777777" w:rsidR="00B028E9" w:rsidRPr="00D732ED" w:rsidRDefault="00B028E9" w:rsidP="00A47694">
            <w:pPr>
              <w:rPr>
                <w:rFonts w:cstheme="minorHAnsi"/>
                <w:sz w:val="20"/>
                <w:szCs w:val="20"/>
                <w:lang w:val="en-US"/>
              </w:rPr>
            </w:pPr>
            <w:r w:rsidRPr="00D732ED">
              <w:rPr>
                <w:rFonts w:cstheme="minorHAnsi"/>
                <w:sz w:val="20"/>
                <w:szCs w:val="20"/>
                <w:lang w:val="en-US"/>
              </w:rPr>
              <w:t>240L MGB Collected Fortnightly</w:t>
            </w:r>
          </w:p>
        </w:tc>
        <w:tc>
          <w:tcPr>
            <w:tcW w:w="2217" w:type="dxa"/>
          </w:tcPr>
          <w:p w14:paraId="6FC4617C" w14:textId="77777777" w:rsidR="00B028E9" w:rsidRPr="00D732ED" w:rsidRDefault="00B028E9" w:rsidP="00A47694">
            <w:pPr>
              <w:rPr>
                <w:rFonts w:cstheme="minorHAnsi"/>
                <w:sz w:val="20"/>
                <w:szCs w:val="20"/>
                <w:lang w:val="en-US"/>
              </w:rPr>
            </w:pPr>
            <w:r w:rsidRPr="00D732ED">
              <w:rPr>
                <w:rFonts w:cstheme="minorHAnsi"/>
                <w:sz w:val="20"/>
                <w:szCs w:val="20"/>
                <w:lang w:val="en-US"/>
              </w:rPr>
              <w:t>$</w:t>
            </w:r>
            <w:r>
              <w:rPr>
                <w:rFonts w:cstheme="minorHAnsi"/>
                <w:sz w:val="20"/>
                <w:szCs w:val="20"/>
                <w:lang w:val="en-US"/>
              </w:rPr>
              <w:t>3,203</w:t>
            </w:r>
          </w:p>
        </w:tc>
      </w:tr>
      <w:tr w:rsidR="00B028E9" w14:paraId="4B59820C" w14:textId="77777777" w:rsidTr="00A47694">
        <w:tc>
          <w:tcPr>
            <w:tcW w:w="3005" w:type="dxa"/>
          </w:tcPr>
          <w:p w14:paraId="3E67166F" w14:textId="77777777" w:rsidR="00B028E9" w:rsidRPr="00D732ED" w:rsidRDefault="00B028E9" w:rsidP="00A47694">
            <w:pPr>
              <w:rPr>
                <w:rFonts w:cstheme="minorHAnsi"/>
                <w:sz w:val="20"/>
                <w:szCs w:val="20"/>
                <w:lang w:val="en-US"/>
              </w:rPr>
            </w:pPr>
            <w:r w:rsidRPr="00D732ED">
              <w:rPr>
                <w:rFonts w:cstheme="minorHAnsi"/>
                <w:sz w:val="20"/>
                <w:szCs w:val="20"/>
                <w:lang w:val="en-US"/>
              </w:rPr>
              <w:t>Green Waste Bulk Collection Service</w:t>
            </w:r>
          </w:p>
        </w:tc>
        <w:tc>
          <w:tcPr>
            <w:tcW w:w="3794" w:type="dxa"/>
          </w:tcPr>
          <w:p w14:paraId="13D46AF5"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2 Collections Annually </w:t>
            </w:r>
          </w:p>
        </w:tc>
        <w:tc>
          <w:tcPr>
            <w:tcW w:w="2217" w:type="dxa"/>
            <w:vMerge w:val="restart"/>
          </w:tcPr>
          <w:p w14:paraId="5717E92F" w14:textId="77777777" w:rsidR="00B028E9" w:rsidRPr="00D732ED" w:rsidRDefault="00B028E9" w:rsidP="00A47694">
            <w:pPr>
              <w:rPr>
                <w:rFonts w:cstheme="minorHAnsi"/>
                <w:sz w:val="20"/>
                <w:szCs w:val="20"/>
                <w:lang w:val="en-US"/>
              </w:rPr>
            </w:pPr>
            <w:r w:rsidRPr="00D732ED">
              <w:rPr>
                <w:rFonts w:cstheme="minorHAnsi"/>
                <w:sz w:val="20"/>
                <w:szCs w:val="20"/>
                <w:lang w:val="en-US"/>
              </w:rPr>
              <w:t>$</w:t>
            </w:r>
            <w:r>
              <w:rPr>
                <w:rFonts w:cstheme="minorHAnsi"/>
                <w:sz w:val="20"/>
                <w:szCs w:val="20"/>
                <w:lang w:val="en-US"/>
              </w:rPr>
              <w:t>103,305</w:t>
            </w:r>
          </w:p>
        </w:tc>
      </w:tr>
      <w:tr w:rsidR="00B028E9" w14:paraId="1532B6FF" w14:textId="77777777" w:rsidTr="00A47694">
        <w:tc>
          <w:tcPr>
            <w:tcW w:w="3005" w:type="dxa"/>
          </w:tcPr>
          <w:p w14:paraId="43DED542" w14:textId="77777777" w:rsidR="00B028E9" w:rsidRPr="00D732ED" w:rsidRDefault="00B028E9" w:rsidP="00A47694">
            <w:pPr>
              <w:rPr>
                <w:rFonts w:cstheme="minorHAnsi"/>
                <w:sz w:val="20"/>
                <w:szCs w:val="20"/>
                <w:lang w:val="en-US"/>
              </w:rPr>
            </w:pPr>
            <w:r w:rsidRPr="00D732ED">
              <w:rPr>
                <w:rFonts w:cstheme="minorHAnsi"/>
                <w:sz w:val="20"/>
                <w:szCs w:val="20"/>
                <w:lang w:val="en-US"/>
              </w:rPr>
              <w:t>Hard Waste Bulk Collection Service</w:t>
            </w:r>
          </w:p>
        </w:tc>
        <w:tc>
          <w:tcPr>
            <w:tcW w:w="3794" w:type="dxa"/>
          </w:tcPr>
          <w:p w14:paraId="56A82914"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1 Collection Annually </w:t>
            </w:r>
          </w:p>
        </w:tc>
        <w:tc>
          <w:tcPr>
            <w:tcW w:w="2217" w:type="dxa"/>
            <w:vMerge/>
          </w:tcPr>
          <w:p w14:paraId="0C3CD7E2" w14:textId="77777777" w:rsidR="00B028E9" w:rsidRPr="00D732ED" w:rsidRDefault="00B028E9" w:rsidP="00A47694">
            <w:pPr>
              <w:rPr>
                <w:rFonts w:cstheme="minorHAnsi"/>
                <w:sz w:val="20"/>
                <w:szCs w:val="20"/>
                <w:lang w:val="en-US"/>
              </w:rPr>
            </w:pPr>
          </w:p>
        </w:tc>
      </w:tr>
      <w:tr w:rsidR="00B028E9" w14:paraId="27F7AFD1" w14:textId="77777777" w:rsidTr="00A47694">
        <w:tc>
          <w:tcPr>
            <w:tcW w:w="3005" w:type="dxa"/>
          </w:tcPr>
          <w:p w14:paraId="55A30976" w14:textId="77777777" w:rsidR="00B028E9" w:rsidRPr="00D732ED" w:rsidRDefault="00B028E9" w:rsidP="00A47694">
            <w:pPr>
              <w:rPr>
                <w:rFonts w:cstheme="minorHAnsi"/>
                <w:sz w:val="20"/>
                <w:szCs w:val="20"/>
                <w:lang w:val="en-US"/>
              </w:rPr>
            </w:pPr>
            <w:r w:rsidRPr="00D732ED">
              <w:rPr>
                <w:rFonts w:cstheme="minorHAnsi"/>
                <w:sz w:val="20"/>
                <w:szCs w:val="20"/>
                <w:lang w:val="en-US"/>
              </w:rPr>
              <w:t>Provision of Bulk Bins for Multi-Unit Dwellings</w:t>
            </w:r>
          </w:p>
        </w:tc>
        <w:tc>
          <w:tcPr>
            <w:tcW w:w="3794" w:type="dxa"/>
          </w:tcPr>
          <w:p w14:paraId="6AAECFE0" w14:textId="77777777" w:rsidR="00B028E9" w:rsidRPr="00D732ED" w:rsidRDefault="00B028E9" w:rsidP="00A47694">
            <w:pPr>
              <w:rPr>
                <w:rFonts w:cstheme="minorHAnsi"/>
                <w:sz w:val="20"/>
                <w:szCs w:val="20"/>
                <w:lang w:val="en-US"/>
              </w:rPr>
            </w:pPr>
            <w:r w:rsidRPr="00D732ED">
              <w:rPr>
                <w:rFonts w:cstheme="minorHAnsi"/>
                <w:sz w:val="20"/>
                <w:szCs w:val="20"/>
                <w:lang w:val="en-US"/>
              </w:rPr>
              <w:t>On Application</w:t>
            </w:r>
          </w:p>
        </w:tc>
        <w:tc>
          <w:tcPr>
            <w:tcW w:w="2217" w:type="dxa"/>
          </w:tcPr>
          <w:p w14:paraId="4F69C6AD" w14:textId="77777777" w:rsidR="00B028E9" w:rsidRPr="00D732ED" w:rsidRDefault="00B028E9" w:rsidP="00A47694">
            <w:pPr>
              <w:rPr>
                <w:rFonts w:cstheme="minorHAnsi"/>
                <w:sz w:val="20"/>
                <w:szCs w:val="20"/>
                <w:lang w:val="en-US"/>
              </w:rPr>
            </w:pPr>
            <w:r>
              <w:rPr>
                <w:rFonts w:cstheme="minorHAnsi"/>
                <w:sz w:val="20"/>
                <w:szCs w:val="20"/>
                <w:lang w:val="en-US"/>
              </w:rPr>
              <w:t>$22,503</w:t>
            </w:r>
          </w:p>
        </w:tc>
      </w:tr>
      <w:tr w:rsidR="00B028E9" w14:paraId="2A6AF367" w14:textId="77777777" w:rsidTr="00A47694">
        <w:tc>
          <w:tcPr>
            <w:tcW w:w="3005" w:type="dxa"/>
          </w:tcPr>
          <w:p w14:paraId="6420BE03" w14:textId="77777777" w:rsidR="00B028E9" w:rsidRPr="00D732ED" w:rsidRDefault="00B028E9" w:rsidP="00A47694">
            <w:pPr>
              <w:rPr>
                <w:rFonts w:cstheme="minorHAnsi"/>
                <w:sz w:val="20"/>
                <w:szCs w:val="20"/>
                <w:lang w:val="en-US"/>
              </w:rPr>
            </w:pPr>
            <w:r w:rsidRPr="00D732ED">
              <w:rPr>
                <w:rFonts w:cstheme="minorHAnsi"/>
                <w:sz w:val="20"/>
                <w:szCs w:val="20"/>
                <w:lang w:val="en-US"/>
              </w:rPr>
              <w:t>Provision of Waste Education</w:t>
            </w:r>
          </w:p>
        </w:tc>
        <w:tc>
          <w:tcPr>
            <w:tcW w:w="3794" w:type="dxa"/>
          </w:tcPr>
          <w:p w14:paraId="5726782B"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On Request </w:t>
            </w:r>
          </w:p>
        </w:tc>
        <w:tc>
          <w:tcPr>
            <w:tcW w:w="2217" w:type="dxa"/>
          </w:tcPr>
          <w:p w14:paraId="79DCE5DB" w14:textId="77777777" w:rsidR="00B028E9" w:rsidRPr="00D732ED" w:rsidRDefault="00B028E9" w:rsidP="00A47694">
            <w:pPr>
              <w:rPr>
                <w:rFonts w:cstheme="minorHAnsi"/>
                <w:sz w:val="20"/>
                <w:szCs w:val="20"/>
                <w:lang w:val="en-US"/>
              </w:rPr>
            </w:pPr>
            <w:r>
              <w:rPr>
                <w:rFonts w:cstheme="minorHAnsi"/>
                <w:sz w:val="20"/>
                <w:szCs w:val="20"/>
                <w:lang w:val="en-US"/>
              </w:rPr>
              <w:t>$28,000</w:t>
            </w:r>
          </w:p>
        </w:tc>
      </w:tr>
      <w:tr w:rsidR="00B028E9" w14:paraId="097A2EAA" w14:textId="77777777" w:rsidTr="00A47694">
        <w:tc>
          <w:tcPr>
            <w:tcW w:w="3005" w:type="dxa"/>
          </w:tcPr>
          <w:p w14:paraId="64087F2C" w14:textId="77777777" w:rsidR="00B028E9" w:rsidRPr="00D732ED" w:rsidRDefault="00B028E9" w:rsidP="00A47694">
            <w:pPr>
              <w:rPr>
                <w:rFonts w:cstheme="minorHAnsi"/>
                <w:sz w:val="20"/>
                <w:szCs w:val="20"/>
                <w:lang w:val="en-US"/>
              </w:rPr>
            </w:pPr>
            <w:r w:rsidRPr="00D732ED">
              <w:rPr>
                <w:rFonts w:cstheme="minorHAnsi"/>
                <w:sz w:val="20"/>
                <w:szCs w:val="20"/>
                <w:lang w:val="en-US"/>
              </w:rPr>
              <w:t>Provision of Residential Tip Passes</w:t>
            </w:r>
          </w:p>
        </w:tc>
        <w:tc>
          <w:tcPr>
            <w:tcW w:w="3794" w:type="dxa"/>
          </w:tcPr>
          <w:p w14:paraId="3503A323"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1 Tip Pass Annually </w:t>
            </w:r>
          </w:p>
        </w:tc>
        <w:tc>
          <w:tcPr>
            <w:tcW w:w="2217" w:type="dxa"/>
          </w:tcPr>
          <w:p w14:paraId="67963B9F" w14:textId="77777777" w:rsidR="00B028E9" w:rsidRPr="00D732ED" w:rsidRDefault="00B028E9" w:rsidP="00A47694">
            <w:pPr>
              <w:rPr>
                <w:rFonts w:cstheme="minorHAnsi"/>
                <w:sz w:val="20"/>
                <w:szCs w:val="20"/>
                <w:lang w:val="en-US"/>
              </w:rPr>
            </w:pPr>
            <w:r w:rsidRPr="00D732ED">
              <w:rPr>
                <w:rFonts w:cstheme="minorHAnsi"/>
                <w:sz w:val="20"/>
                <w:szCs w:val="20"/>
                <w:lang w:val="en-US"/>
              </w:rPr>
              <w:t>$</w:t>
            </w:r>
            <w:r>
              <w:rPr>
                <w:rFonts w:cstheme="minorHAnsi"/>
                <w:sz w:val="20"/>
                <w:szCs w:val="20"/>
                <w:lang w:val="en-US"/>
              </w:rPr>
              <w:t>19,965</w:t>
            </w:r>
          </w:p>
        </w:tc>
      </w:tr>
      <w:tr w:rsidR="00B028E9" w14:paraId="4287D882" w14:textId="77777777" w:rsidTr="00A47694">
        <w:tc>
          <w:tcPr>
            <w:tcW w:w="3005" w:type="dxa"/>
          </w:tcPr>
          <w:p w14:paraId="2F5CD273" w14:textId="77777777" w:rsidR="00B028E9" w:rsidRPr="00D732ED" w:rsidRDefault="00B028E9" w:rsidP="00A47694">
            <w:pPr>
              <w:rPr>
                <w:rFonts w:cstheme="minorHAnsi"/>
                <w:sz w:val="20"/>
                <w:szCs w:val="20"/>
                <w:lang w:val="en-US"/>
              </w:rPr>
            </w:pPr>
            <w:r w:rsidRPr="00D732ED">
              <w:rPr>
                <w:rFonts w:cstheme="minorHAnsi"/>
                <w:sz w:val="20"/>
                <w:szCs w:val="20"/>
                <w:lang w:val="en-US"/>
              </w:rPr>
              <w:t>Provision of FOGO Bin Caddy and Liners</w:t>
            </w:r>
          </w:p>
        </w:tc>
        <w:tc>
          <w:tcPr>
            <w:tcW w:w="3794" w:type="dxa"/>
          </w:tcPr>
          <w:p w14:paraId="17026371" w14:textId="77777777" w:rsidR="00B028E9" w:rsidRPr="00D732ED" w:rsidRDefault="00B028E9" w:rsidP="00A47694">
            <w:pPr>
              <w:rPr>
                <w:rFonts w:cstheme="minorHAnsi"/>
                <w:sz w:val="20"/>
                <w:szCs w:val="20"/>
                <w:lang w:val="en-US"/>
              </w:rPr>
            </w:pPr>
            <w:r w:rsidRPr="00D732ED">
              <w:rPr>
                <w:rFonts w:cstheme="minorHAnsi"/>
                <w:sz w:val="20"/>
                <w:szCs w:val="20"/>
                <w:lang w:val="en-US"/>
              </w:rPr>
              <w:t>All residential properties were provided 1 x caddy in 2019. New residents to the Town receive a caddy on request.</w:t>
            </w:r>
          </w:p>
          <w:p w14:paraId="51AD9B79" w14:textId="77777777" w:rsidR="00B028E9" w:rsidRPr="00D732ED" w:rsidRDefault="00B028E9" w:rsidP="00A47694">
            <w:pPr>
              <w:rPr>
                <w:rFonts w:cstheme="minorHAnsi"/>
                <w:sz w:val="20"/>
                <w:szCs w:val="20"/>
                <w:lang w:val="en-US"/>
              </w:rPr>
            </w:pPr>
          </w:p>
          <w:p w14:paraId="0C325E5B"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The Town provides one roll of compostable liners to residents annually, to be collected from the Town Administration Office on request. </w:t>
            </w:r>
          </w:p>
        </w:tc>
        <w:tc>
          <w:tcPr>
            <w:tcW w:w="2217" w:type="dxa"/>
          </w:tcPr>
          <w:p w14:paraId="035A8408" w14:textId="77777777" w:rsidR="00B028E9" w:rsidRPr="00D732ED" w:rsidRDefault="00B028E9" w:rsidP="00A47694">
            <w:pPr>
              <w:rPr>
                <w:rFonts w:cstheme="minorHAnsi"/>
                <w:sz w:val="20"/>
                <w:szCs w:val="20"/>
                <w:lang w:val="en-US"/>
              </w:rPr>
            </w:pPr>
          </w:p>
        </w:tc>
      </w:tr>
      <w:tr w:rsidR="00B028E9" w14:paraId="782370F0" w14:textId="77777777" w:rsidTr="00A47694">
        <w:tc>
          <w:tcPr>
            <w:tcW w:w="3005" w:type="dxa"/>
          </w:tcPr>
          <w:p w14:paraId="7089D681" w14:textId="77777777" w:rsidR="00B028E9" w:rsidRPr="00D732ED" w:rsidRDefault="00B028E9" w:rsidP="00A47694">
            <w:pPr>
              <w:rPr>
                <w:rFonts w:cstheme="minorHAnsi"/>
                <w:sz w:val="20"/>
                <w:szCs w:val="20"/>
                <w:lang w:val="en-US"/>
              </w:rPr>
            </w:pPr>
            <w:r w:rsidRPr="00D732ED">
              <w:rPr>
                <w:rFonts w:cstheme="minorHAnsi"/>
                <w:sz w:val="20"/>
                <w:szCs w:val="20"/>
                <w:lang w:val="en-US"/>
              </w:rPr>
              <w:t>Provision of access to Fremantle Recycling Centre</w:t>
            </w:r>
          </w:p>
        </w:tc>
        <w:tc>
          <w:tcPr>
            <w:tcW w:w="3794" w:type="dxa"/>
          </w:tcPr>
          <w:p w14:paraId="72F7068D" w14:textId="77777777" w:rsidR="00B028E9" w:rsidRPr="00D732ED" w:rsidRDefault="00B028E9" w:rsidP="00A47694">
            <w:pPr>
              <w:rPr>
                <w:rFonts w:cstheme="minorHAnsi"/>
                <w:sz w:val="20"/>
                <w:szCs w:val="20"/>
                <w:lang w:val="en-US"/>
              </w:rPr>
            </w:pPr>
            <w:r w:rsidRPr="00D732ED">
              <w:rPr>
                <w:rFonts w:cstheme="minorHAnsi"/>
                <w:sz w:val="20"/>
                <w:szCs w:val="20"/>
                <w:lang w:val="en-US"/>
              </w:rPr>
              <w:t>4 x bulk waste drop offs.</w:t>
            </w:r>
          </w:p>
          <w:p w14:paraId="09C33A73"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Unlimited drop off </w:t>
            </w:r>
            <w:r>
              <w:rPr>
                <w:rFonts w:cstheme="minorHAnsi"/>
                <w:sz w:val="20"/>
                <w:szCs w:val="20"/>
                <w:lang w:val="en-US"/>
              </w:rPr>
              <w:t>for</w:t>
            </w:r>
            <w:r w:rsidRPr="00D732ED">
              <w:rPr>
                <w:rFonts w:cstheme="minorHAnsi"/>
                <w:sz w:val="20"/>
                <w:szCs w:val="20"/>
                <w:lang w:val="en-US"/>
              </w:rPr>
              <w:t xml:space="preserve"> recyclable material. </w:t>
            </w:r>
          </w:p>
        </w:tc>
        <w:tc>
          <w:tcPr>
            <w:tcW w:w="2217" w:type="dxa"/>
          </w:tcPr>
          <w:p w14:paraId="21A5FE8F" w14:textId="77777777" w:rsidR="00B028E9" w:rsidRPr="00D732ED" w:rsidRDefault="00B028E9" w:rsidP="00A47694">
            <w:pPr>
              <w:rPr>
                <w:rFonts w:cstheme="minorHAnsi"/>
                <w:sz w:val="20"/>
                <w:szCs w:val="20"/>
                <w:lang w:val="en-US"/>
              </w:rPr>
            </w:pPr>
            <w:r w:rsidRPr="00D732ED">
              <w:rPr>
                <w:rFonts w:cstheme="minorHAnsi"/>
                <w:sz w:val="20"/>
                <w:szCs w:val="20"/>
                <w:lang w:val="en-US"/>
              </w:rPr>
              <w:t>$</w:t>
            </w:r>
            <w:r>
              <w:rPr>
                <w:rFonts w:cstheme="minorHAnsi"/>
                <w:sz w:val="20"/>
                <w:szCs w:val="20"/>
                <w:lang w:val="en-US"/>
              </w:rPr>
              <w:t>113,516</w:t>
            </w:r>
          </w:p>
        </w:tc>
      </w:tr>
      <w:tr w:rsidR="00B028E9" w14:paraId="0809F272" w14:textId="77777777" w:rsidTr="00A47694">
        <w:tc>
          <w:tcPr>
            <w:tcW w:w="3005" w:type="dxa"/>
          </w:tcPr>
          <w:p w14:paraId="02B0A1D9" w14:textId="77777777" w:rsidR="00B028E9" w:rsidRPr="00D732ED" w:rsidRDefault="00B028E9" w:rsidP="00A47694">
            <w:pPr>
              <w:rPr>
                <w:rFonts w:cstheme="minorHAnsi"/>
                <w:sz w:val="20"/>
                <w:szCs w:val="20"/>
                <w:lang w:val="en-US"/>
              </w:rPr>
            </w:pPr>
            <w:r w:rsidRPr="00D732ED">
              <w:rPr>
                <w:rFonts w:cstheme="minorHAnsi"/>
                <w:sz w:val="20"/>
                <w:szCs w:val="20"/>
                <w:lang w:val="en-US"/>
              </w:rPr>
              <w:t>Public place litter bins at parks, reserves and roadsides.</w:t>
            </w:r>
          </w:p>
        </w:tc>
        <w:tc>
          <w:tcPr>
            <w:tcW w:w="3794" w:type="dxa"/>
          </w:tcPr>
          <w:p w14:paraId="4D3DC2A5"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 184 Bins Collected Weekly</w:t>
            </w:r>
          </w:p>
        </w:tc>
        <w:tc>
          <w:tcPr>
            <w:tcW w:w="2217" w:type="dxa"/>
          </w:tcPr>
          <w:p w14:paraId="5561125A" w14:textId="77777777" w:rsidR="00B028E9" w:rsidRPr="00D732ED" w:rsidRDefault="00B028E9" w:rsidP="00A47694">
            <w:pPr>
              <w:rPr>
                <w:rFonts w:cstheme="minorHAnsi"/>
                <w:sz w:val="20"/>
                <w:szCs w:val="20"/>
                <w:lang w:val="en-US"/>
              </w:rPr>
            </w:pPr>
            <w:r w:rsidRPr="00D732ED">
              <w:rPr>
                <w:rFonts w:cstheme="minorHAnsi"/>
                <w:sz w:val="20"/>
                <w:szCs w:val="20"/>
                <w:lang w:val="en-US"/>
              </w:rPr>
              <w:t>$2</w:t>
            </w:r>
            <w:r>
              <w:rPr>
                <w:rFonts w:cstheme="minorHAnsi"/>
                <w:sz w:val="20"/>
                <w:szCs w:val="20"/>
                <w:lang w:val="en-US"/>
              </w:rPr>
              <w:t>7,348</w:t>
            </w:r>
          </w:p>
        </w:tc>
      </w:tr>
      <w:tr w:rsidR="00B028E9" w14:paraId="5B4B3272" w14:textId="77777777" w:rsidTr="00A47694">
        <w:tc>
          <w:tcPr>
            <w:tcW w:w="3005" w:type="dxa"/>
          </w:tcPr>
          <w:p w14:paraId="00A6BA89" w14:textId="77777777" w:rsidR="00B028E9" w:rsidRPr="00D732ED" w:rsidRDefault="00B028E9" w:rsidP="00A47694">
            <w:pPr>
              <w:rPr>
                <w:rFonts w:cstheme="minorHAnsi"/>
                <w:sz w:val="20"/>
                <w:szCs w:val="20"/>
                <w:lang w:val="en-US"/>
              </w:rPr>
            </w:pPr>
            <w:r w:rsidRPr="00D732ED">
              <w:rPr>
                <w:rFonts w:cstheme="minorHAnsi"/>
                <w:sz w:val="20"/>
                <w:szCs w:val="20"/>
                <w:lang w:val="en-US"/>
              </w:rPr>
              <w:t>Provision of bins for privately run events</w:t>
            </w:r>
          </w:p>
        </w:tc>
        <w:tc>
          <w:tcPr>
            <w:tcW w:w="3794" w:type="dxa"/>
          </w:tcPr>
          <w:p w14:paraId="174ED950" w14:textId="77777777" w:rsidR="00B028E9" w:rsidRPr="00D732ED" w:rsidRDefault="00B028E9" w:rsidP="00A47694">
            <w:pPr>
              <w:rPr>
                <w:rFonts w:cstheme="minorHAnsi"/>
                <w:sz w:val="20"/>
                <w:szCs w:val="20"/>
                <w:lang w:val="en-US"/>
              </w:rPr>
            </w:pPr>
            <w:r w:rsidRPr="00D732ED">
              <w:rPr>
                <w:rFonts w:cstheme="minorHAnsi"/>
                <w:sz w:val="20"/>
                <w:szCs w:val="20"/>
                <w:lang w:val="en-US"/>
              </w:rPr>
              <w:t xml:space="preserve">Provision of </w:t>
            </w:r>
          </w:p>
          <w:p w14:paraId="46F386BD" w14:textId="77777777" w:rsidR="00B028E9" w:rsidRPr="00D732ED" w:rsidRDefault="00B028E9" w:rsidP="00A47694">
            <w:pPr>
              <w:rPr>
                <w:rFonts w:cstheme="minorHAnsi"/>
                <w:sz w:val="20"/>
                <w:szCs w:val="20"/>
                <w:lang w:val="en-US"/>
              </w:rPr>
            </w:pPr>
            <w:r w:rsidRPr="00D732ED">
              <w:rPr>
                <w:rFonts w:cstheme="minorHAnsi"/>
                <w:sz w:val="20"/>
                <w:szCs w:val="20"/>
                <w:lang w:val="en-US"/>
              </w:rPr>
              <w:t>FOGO</w:t>
            </w:r>
          </w:p>
          <w:p w14:paraId="0784DA3E" w14:textId="77777777" w:rsidR="00B028E9" w:rsidRPr="00D732ED" w:rsidRDefault="00B028E9" w:rsidP="00A47694">
            <w:pPr>
              <w:rPr>
                <w:rFonts w:cstheme="minorHAnsi"/>
                <w:sz w:val="20"/>
                <w:szCs w:val="20"/>
                <w:lang w:val="en-US"/>
              </w:rPr>
            </w:pPr>
            <w:r w:rsidRPr="00D732ED">
              <w:rPr>
                <w:rFonts w:cstheme="minorHAnsi"/>
                <w:sz w:val="20"/>
                <w:szCs w:val="20"/>
                <w:lang w:val="en-US"/>
              </w:rPr>
              <w:t>Recycling</w:t>
            </w:r>
          </w:p>
          <w:p w14:paraId="0EB52297" w14:textId="77777777" w:rsidR="00B028E9" w:rsidRPr="00D732ED" w:rsidRDefault="00B028E9" w:rsidP="00A47694">
            <w:pPr>
              <w:rPr>
                <w:rFonts w:cstheme="minorHAnsi"/>
                <w:sz w:val="20"/>
                <w:szCs w:val="20"/>
                <w:lang w:val="en-US"/>
              </w:rPr>
            </w:pPr>
            <w:r w:rsidRPr="00D732ED">
              <w:rPr>
                <w:rFonts w:cstheme="minorHAnsi"/>
                <w:sz w:val="20"/>
                <w:szCs w:val="20"/>
                <w:lang w:val="en-US"/>
              </w:rPr>
              <w:t>General Waste</w:t>
            </w:r>
          </w:p>
        </w:tc>
        <w:tc>
          <w:tcPr>
            <w:tcW w:w="2217" w:type="dxa"/>
          </w:tcPr>
          <w:p w14:paraId="55FCB8D2" w14:textId="77777777" w:rsidR="00B028E9" w:rsidRPr="00D732ED" w:rsidRDefault="00B028E9" w:rsidP="00A47694">
            <w:pPr>
              <w:rPr>
                <w:rFonts w:cstheme="minorHAnsi"/>
                <w:sz w:val="20"/>
                <w:szCs w:val="20"/>
                <w:lang w:val="en-US"/>
              </w:rPr>
            </w:pPr>
          </w:p>
        </w:tc>
      </w:tr>
    </w:tbl>
    <w:p w14:paraId="6EDB174D" w14:textId="77777777" w:rsidR="00B028E9" w:rsidRPr="000A3C6E" w:rsidRDefault="00B028E9" w:rsidP="00B028E9">
      <w:pPr>
        <w:pStyle w:val="Heading1"/>
        <w:spacing w:before="360"/>
        <w:jc w:val="both"/>
        <w:rPr>
          <w:rFonts w:asciiTheme="minorHAnsi" w:hAnsiTheme="minorHAnsi" w:cstheme="minorHAnsi"/>
          <w:color w:val="auto"/>
          <w:lang w:val="en-US"/>
        </w:rPr>
      </w:pPr>
      <w:r w:rsidRPr="000A3C6E">
        <w:rPr>
          <w:rFonts w:asciiTheme="minorHAnsi" w:hAnsiTheme="minorHAnsi" w:cstheme="minorHAnsi"/>
          <w:color w:val="auto"/>
          <w:lang w:val="en-US"/>
        </w:rPr>
        <w:t xml:space="preserve">Policy </w:t>
      </w:r>
    </w:p>
    <w:p w14:paraId="6619E7A5" w14:textId="77777777" w:rsidR="00B028E9" w:rsidRPr="000A3C6E" w:rsidRDefault="00B028E9" w:rsidP="00B028E9">
      <w:pPr>
        <w:jc w:val="both"/>
        <w:rPr>
          <w:rFonts w:cstheme="minorHAnsi"/>
          <w:lang w:val="en-US"/>
        </w:rPr>
      </w:pPr>
      <w:r w:rsidRPr="000A3C6E">
        <w:rPr>
          <w:rFonts w:cstheme="minorHAnsi"/>
          <w:lang w:val="en-US"/>
        </w:rPr>
        <w:t xml:space="preserve">The Town of East Fremantle provides a standard 3 bin collection system for residential </w:t>
      </w:r>
      <w:r>
        <w:rPr>
          <w:rFonts w:cstheme="minorHAnsi"/>
          <w:lang w:val="en-US"/>
        </w:rPr>
        <w:t xml:space="preserve">and </w:t>
      </w:r>
      <w:r w:rsidRPr="000A3C6E">
        <w:rPr>
          <w:rFonts w:cstheme="minorHAnsi"/>
          <w:lang w:val="en-US"/>
        </w:rPr>
        <w:t xml:space="preserve">commercial properties. There are options for variations to </w:t>
      </w:r>
      <w:r>
        <w:rPr>
          <w:rFonts w:cstheme="minorHAnsi"/>
          <w:lang w:val="en-US"/>
        </w:rPr>
        <w:t>the</w:t>
      </w:r>
      <w:r w:rsidRPr="000A3C6E">
        <w:rPr>
          <w:rFonts w:cstheme="minorHAnsi"/>
          <w:lang w:val="en-US"/>
        </w:rPr>
        <w:t xml:space="preserve"> standard service</w:t>
      </w:r>
      <w:r>
        <w:rPr>
          <w:rFonts w:cstheme="minorHAnsi"/>
          <w:lang w:val="en-US"/>
        </w:rPr>
        <w:t>s</w:t>
      </w:r>
      <w:r w:rsidRPr="000A3C6E">
        <w:rPr>
          <w:rFonts w:cstheme="minorHAnsi"/>
          <w:lang w:val="en-US"/>
        </w:rPr>
        <w:t xml:space="preserve"> to meet specific requirements</w:t>
      </w:r>
      <w:r>
        <w:rPr>
          <w:rFonts w:cstheme="minorHAnsi"/>
          <w:lang w:val="en-US"/>
        </w:rPr>
        <w:t xml:space="preserve"> or needs of the user at the discretion of Town Officers</w:t>
      </w:r>
      <w:r w:rsidRPr="000A3C6E">
        <w:rPr>
          <w:rFonts w:cstheme="minorHAnsi"/>
          <w:lang w:val="en-US"/>
        </w:rPr>
        <w:t>.</w:t>
      </w:r>
    </w:p>
    <w:p w14:paraId="0AD89CC1" w14:textId="77777777" w:rsidR="00B028E9" w:rsidRPr="000A3C6E" w:rsidRDefault="00B028E9" w:rsidP="00B028E9">
      <w:pPr>
        <w:spacing w:after="120"/>
        <w:jc w:val="both"/>
        <w:rPr>
          <w:rFonts w:cstheme="minorHAnsi"/>
          <w:lang w:val="en-US"/>
        </w:rPr>
      </w:pPr>
      <w:r w:rsidRPr="000A3C6E">
        <w:rPr>
          <w:rFonts w:cstheme="minorHAnsi"/>
          <w:lang w:val="en-US"/>
        </w:rPr>
        <w:t>The following are the key principles of the system:</w:t>
      </w:r>
    </w:p>
    <w:p w14:paraId="33025C99" w14:textId="77777777" w:rsidR="00B028E9" w:rsidRPr="000A3C6E" w:rsidRDefault="00B028E9" w:rsidP="00303E96">
      <w:pPr>
        <w:pStyle w:val="ListParagraph"/>
        <w:numPr>
          <w:ilvl w:val="0"/>
          <w:numId w:val="526"/>
        </w:numPr>
        <w:jc w:val="both"/>
        <w:rPr>
          <w:rFonts w:cstheme="minorHAnsi"/>
          <w:lang w:val="en-US"/>
        </w:rPr>
      </w:pPr>
      <w:r w:rsidRPr="000A3C6E">
        <w:rPr>
          <w:rFonts w:cstheme="minorHAnsi"/>
          <w:lang w:val="en-US"/>
        </w:rPr>
        <w:t>All residential dwellings within the Town will be charged for a standard three</w:t>
      </w:r>
      <w:r>
        <w:rPr>
          <w:rFonts w:cstheme="minorHAnsi"/>
          <w:lang w:val="en-US"/>
        </w:rPr>
        <w:t xml:space="preserve"> bin FOGO waste</w:t>
      </w:r>
      <w:r w:rsidRPr="000A3C6E">
        <w:rPr>
          <w:rFonts w:cstheme="minorHAnsi"/>
          <w:lang w:val="en-US"/>
        </w:rPr>
        <w:t xml:space="preserve"> service</w:t>
      </w:r>
      <w:r>
        <w:rPr>
          <w:rFonts w:cstheme="minorHAnsi"/>
          <w:lang w:val="en-US"/>
        </w:rPr>
        <w:t xml:space="preserve"> This includes multi-unit dwellings where shared bins or bulk bins are being used. This principle is very similar to how minimum rates are applied; all residential properties are required to make an equitable contribution to the cost of waste services, irrespective of how they are consuming services, how much residential waste is being generated or how efficient the collection systems are.</w:t>
      </w:r>
    </w:p>
    <w:p w14:paraId="7CA7342B" w14:textId="77777777" w:rsidR="00B028E9" w:rsidRPr="000A3C6E" w:rsidRDefault="00B028E9" w:rsidP="00303E96">
      <w:pPr>
        <w:pStyle w:val="ListParagraph"/>
        <w:numPr>
          <w:ilvl w:val="0"/>
          <w:numId w:val="526"/>
        </w:numPr>
        <w:jc w:val="both"/>
        <w:rPr>
          <w:rFonts w:cstheme="minorHAnsi"/>
          <w:lang w:val="en-US"/>
        </w:rPr>
      </w:pPr>
      <w:r w:rsidRPr="000A3C6E">
        <w:rPr>
          <w:rFonts w:cstheme="minorHAnsi"/>
          <w:lang w:val="en-US"/>
        </w:rPr>
        <w:t xml:space="preserve">The standard </w:t>
      </w:r>
      <w:r>
        <w:rPr>
          <w:rFonts w:cstheme="minorHAnsi"/>
          <w:lang w:val="en-US"/>
        </w:rPr>
        <w:t xml:space="preserve">three bin </w:t>
      </w:r>
      <w:r w:rsidRPr="000A3C6E">
        <w:rPr>
          <w:rFonts w:cstheme="minorHAnsi"/>
          <w:lang w:val="en-US"/>
        </w:rPr>
        <w:t>collection system is a fortnightly 1</w:t>
      </w:r>
      <w:r>
        <w:rPr>
          <w:rFonts w:cstheme="minorHAnsi"/>
          <w:lang w:val="en-US"/>
        </w:rPr>
        <w:t>4</w:t>
      </w:r>
      <w:r w:rsidRPr="000A3C6E">
        <w:rPr>
          <w:rFonts w:cstheme="minorHAnsi"/>
          <w:lang w:val="en-US"/>
        </w:rPr>
        <w:t>0</w:t>
      </w:r>
      <w:r>
        <w:rPr>
          <w:rFonts w:cstheme="minorHAnsi"/>
          <w:lang w:val="en-US"/>
        </w:rPr>
        <w:t>L</w:t>
      </w:r>
      <w:r w:rsidRPr="000A3C6E">
        <w:rPr>
          <w:rFonts w:cstheme="minorHAnsi"/>
          <w:lang w:val="en-US"/>
        </w:rPr>
        <w:t xml:space="preserve"> </w:t>
      </w:r>
      <w:r>
        <w:rPr>
          <w:rFonts w:cstheme="minorHAnsi"/>
          <w:lang w:val="en-US"/>
        </w:rPr>
        <w:t xml:space="preserve">general </w:t>
      </w:r>
      <w:r w:rsidRPr="000A3C6E">
        <w:rPr>
          <w:rFonts w:cstheme="minorHAnsi"/>
          <w:lang w:val="en-US"/>
        </w:rPr>
        <w:t>waste service, a fortnightly recycling 240</w:t>
      </w:r>
      <w:r>
        <w:rPr>
          <w:rFonts w:cstheme="minorHAnsi"/>
          <w:lang w:val="en-US"/>
        </w:rPr>
        <w:t>L</w:t>
      </w:r>
      <w:r w:rsidRPr="000A3C6E">
        <w:rPr>
          <w:rFonts w:cstheme="minorHAnsi"/>
          <w:lang w:val="en-US"/>
        </w:rPr>
        <w:t xml:space="preserve"> service and a weekly food and </w:t>
      </w:r>
      <w:r>
        <w:rPr>
          <w:rFonts w:cstheme="minorHAnsi"/>
          <w:lang w:val="en-US"/>
        </w:rPr>
        <w:t>garden</w:t>
      </w:r>
      <w:r w:rsidRPr="000A3C6E">
        <w:rPr>
          <w:rFonts w:cstheme="minorHAnsi"/>
          <w:lang w:val="en-US"/>
        </w:rPr>
        <w:t xml:space="preserve"> organic </w:t>
      </w:r>
      <w:r>
        <w:rPr>
          <w:rFonts w:cstheme="minorHAnsi"/>
          <w:lang w:val="en-US"/>
        </w:rPr>
        <w:t xml:space="preserve">(FOGO) </w:t>
      </w:r>
      <w:r w:rsidRPr="000A3C6E">
        <w:rPr>
          <w:rFonts w:cstheme="minorHAnsi"/>
          <w:lang w:val="en-US"/>
        </w:rPr>
        <w:t>240</w:t>
      </w:r>
      <w:r>
        <w:rPr>
          <w:rFonts w:cstheme="minorHAnsi"/>
          <w:lang w:val="en-US"/>
        </w:rPr>
        <w:t>L</w:t>
      </w:r>
      <w:r w:rsidRPr="000A3C6E">
        <w:rPr>
          <w:rFonts w:cstheme="minorHAnsi"/>
          <w:lang w:val="en-US"/>
        </w:rPr>
        <w:t xml:space="preserve"> service.</w:t>
      </w:r>
    </w:p>
    <w:p w14:paraId="3589469D" w14:textId="77777777" w:rsidR="00B028E9" w:rsidRPr="000A3C6E" w:rsidRDefault="00B028E9" w:rsidP="00303E96">
      <w:pPr>
        <w:pStyle w:val="ListParagraph"/>
        <w:numPr>
          <w:ilvl w:val="0"/>
          <w:numId w:val="526"/>
        </w:numPr>
        <w:jc w:val="both"/>
        <w:rPr>
          <w:rFonts w:cstheme="minorHAnsi"/>
          <w:lang w:val="en-US"/>
        </w:rPr>
      </w:pPr>
      <w:r w:rsidRPr="000A3C6E">
        <w:rPr>
          <w:rFonts w:cstheme="minorHAnsi"/>
          <w:lang w:val="en-US"/>
        </w:rPr>
        <w:t>All commercial properties with</w:t>
      </w:r>
      <w:r>
        <w:rPr>
          <w:rFonts w:cstheme="minorHAnsi"/>
          <w:lang w:val="en-US"/>
        </w:rPr>
        <w:t>in</w:t>
      </w:r>
      <w:r w:rsidRPr="000A3C6E">
        <w:rPr>
          <w:rFonts w:cstheme="minorHAnsi"/>
          <w:lang w:val="en-US"/>
        </w:rPr>
        <w:t xml:space="preserve"> the Town will be charged for a standard </w:t>
      </w:r>
      <w:r>
        <w:rPr>
          <w:rFonts w:cstheme="minorHAnsi"/>
          <w:lang w:val="en-US"/>
        </w:rPr>
        <w:t>three</w:t>
      </w:r>
      <w:r w:rsidRPr="000A3C6E">
        <w:rPr>
          <w:rFonts w:cstheme="minorHAnsi"/>
          <w:lang w:val="en-US"/>
        </w:rPr>
        <w:t xml:space="preserve"> bin service</w:t>
      </w:r>
      <w:r>
        <w:rPr>
          <w:rFonts w:cstheme="minorHAnsi"/>
          <w:lang w:val="en-US"/>
        </w:rPr>
        <w:t xml:space="preserve"> (unless a private contract is in place)</w:t>
      </w:r>
    </w:p>
    <w:p w14:paraId="6E66CB93" w14:textId="77777777" w:rsidR="00B028E9" w:rsidRPr="00621581" w:rsidRDefault="00B028E9" w:rsidP="00303E96">
      <w:pPr>
        <w:pStyle w:val="ListParagraph"/>
        <w:numPr>
          <w:ilvl w:val="0"/>
          <w:numId w:val="526"/>
        </w:numPr>
        <w:jc w:val="both"/>
        <w:rPr>
          <w:rFonts w:cstheme="minorHAnsi"/>
          <w:lang w:val="en-US"/>
        </w:rPr>
      </w:pPr>
      <w:r w:rsidRPr="000A3C6E">
        <w:rPr>
          <w:rFonts w:cstheme="minorHAnsi"/>
          <w:lang w:val="en-US"/>
        </w:rPr>
        <w:t>The standard commercial collection system is a weekly 240</w:t>
      </w:r>
      <w:r>
        <w:rPr>
          <w:rFonts w:cstheme="minorHAnsi"/>
          <w:lang w:val="en-US"/>
        </w:rPr>
        <w:t>L</w:t>
      </w:r>
      <w:r w:rsidRPr="000A3C6E">
        <w:rPr>
          <w:rFonts w:cstheme="minorHAnsi"/>
          <w:lang w:val="en-US"/>
        </w:rPr>
        <w:t xml:space="preserve"> residual waste service and a</w:t>
      </w:r>
      <w:r>
        <w:rPr>
          <w:rFonts w:cstheme="minorHAnsi"/>
          <w:lang w:val="en-US"/>
        </w:rPr>
        <w:t xml:space="preserve"> fortnightly</w:t>
      </w:r>
      <w:r w:rsidRPr="000A3C6E">
        <w:rPr>
          <w:rFonts w:cstheme="minorHAnsi"/>
          <w:lang w:val="en-US"/>
        </w:rPr>
        <w:t xml:space="preserve"> comingled recycling 240</w:t>
      </w:r>
      <w:r>
        <w:rPr>
          <w:rFonts w:cstheme="minorHAnsi"/>
          <w:lang w:val="en-US"/>
        </w:rPr>
        <w:t>L</w:t>
      </w:r>
      <w:r w:rsidRPr="000A3C6E">
        <w:rPr>
          <w:rFonts w:cstheme="minorHAnsi"/>
          <w:lang w:val="en-US"/>
        </w:rPr>
        <w:t xml:space="preserve"> service.</w:t>
      </w:r>
      <w:r>
        <w:rPr>
          <w:rFonts w:cstheme="minorHAnsi"/>
          <w:lang w:val="en-US"/>
        </w:rPr>
        <w:t xml:space="preserve"> Where appropriate Commercial Properties will also be provided with a 140L or 240L FOGO service which is emptied weekly at no additional charge.</w:t>
      </w:r>
    </w:p>
    <w:p w14:paraId="789CBEBC" w14:textId="77777777" w:rsidR="00B028E9" w:rsidRPr="000A3C6E" w:rsidRDefault="00B028E9" w:rsidP="00303E96">
      <w:pPr>
        <w:pStyle w:val="ListParagraph"/>
        <w:numPr>
          <w:ilvl w:val="0"/>
          <w:numId w:val="526"/>
        </w:numPr>
        <w:jc w:val="both"/>
        <w:rPr>
          <w:rFonts w:cstheme="minorHAnsi"/>
          <w:lang w:val="en-US"/>
        </w:rPr>
      </w:pPr>
      <w:r w:rsidRPr="000A3C6E">
        <w:rPr>
          <w:rFonts w:cstheme="minorHAnsi"/>
          <w:lang w:val="en-US"/>
        </w:rPr>
        <w:lastRenderedPageBreak/>
        <w:t xml:space="preserve">The standard waste collection system must </w:t>
      </w:r>
      <w:proofErr w:type="spellStart"/>
      <w:r w:rsidRPr="000A3C6E">
        <w:rPr>
          <w:rFonts w:cstheme="minorHAnsi"/>
          <w:lang w:val="en-US"/>
        </w:rPr>
        <w:t>utilise</w:t>
      </w:r>
      <w:proofErr w:type="spellEnd"/>
      <w:r w:rsidRPr="000A3C6E">
        <w:rPr>
          <w:rFonts w:cstheme="minorHAnsi"/>
          <w:lang w:val="en-US"/>
        </w:rPr>
        <w:t xml:space="preserve"> mobile garbage bins supplied by the Town. The bins are allocated to and are to remain at the property.</w:t>
      </w:r>
      <w:r>
        <w:rPr>
          <w:rFonts w:cstheme="minorHAnsi"/>
          <w:lang w:val="en-US"/>
        </w:rPr>
        <w:t xml:space="preserve"> Each bin will have a serial number affixed, which will be recorded in the rating system.</w:t>
      </w:r>
    </w:p>
    <w:p w14:paraId="304E27B6" w14:textId="77777777" w:rsidR="00B028E9" w:rsidRDefault="00B028E9" w:rsidP="00303E96">
      <w:pPr>
        <w:pStyle w:val="ListParagraph"/>
        <w:numPr>
          <w:ilvl w:val="0"/>
          <w:numId w:val="526"/>
        </w:numPr>
        <w:jc w:val="both"/>
        <w:rPr>
          <w:rFonts w:cstheme="minorHAnsi"/>
          <w:lang w:val="en-US"/>
        </w:rPr>
      </w:pPr>
      <w:r w:rsidRPr="000A3C6E">
        <w:rPr>
          <w:rFonts w:cstheme="minorHAnsi"/>
          <w:lang w:val="en-US"/>
        </w:rPr>
        <w:t xml:space="preserve">Residents may be granted an additional </w:t>
      </w:r>
      <w:r>
        <w:rPr>
          <w:rFonts w:cstheme="minorHAnsi"/>
          <w:lang w:val="en-US"/>
        </w:rPr>
        <w:t xml:space="preserve">general waste </w:t>
      </w:r>
      <w:r w:rsidRPr="000A3C6E">
        <w:rPr>
          <w:rFonts w:cstheme="minorHAnsi"/>
          <w:lang w:val="en-US"/>
        </w:rPr>
        <w:t>bin where it is assessed that there are additional waste needs. An additional bin attracts an additional charge.</w:t>
      </w:r>
      <w:r>
        <w:rPr>
          <w:rFonts w:cstheme="minorHAnsi"/>
          <w:lang w:val="en-US"/>
        </w:rPr>
        <w:t xml:space="preserve"> Increase requests will be undertaken on a case-by-case basis.</w:t>
      </w:r>
      <w:r w:rsidRPr="000A3C6E">
        <w:rPr>
          <w:rFonts w:cstheme="minorHAnsi"/>
          <w:lang w:val="en-US"/>
        </w:rPr>
        <w:t xml:space="preserve"> </w:t>
      </w:r>
      <w:r>
        <w:rPr>
          <w:rFonts w:cstheme="minorHAnsi"/>
          <w:lang w:val="en-US"/>
        </w:rPr>
        <w:t>Any amendment to service will be pro-rata and effective from delivery/removal.</w:t>
      </w:r>
    </w:p>
    <w:p w14:paraId="41563CDF" w14:textId="77777777" w:rsidR="00B028E9" w:rsidRPr="00E06D3F" w:rsidRDefault="00B028E9" w:rsidP="00303E96">
      <w:pPr>
        <w:pStyle w:val="ListParagraph"/>
        <w:numPr>
          <w:ilvl w:val="0"/>
          <w:numId w:val="526"/>
        </w:numPr>
        <w:jc w:val="both"/>
        <w:rPr>
          <w:rFonts w:cstheme="minorHAnsi"/>
          <w:lang w:val="en-US"/>
        </w:rPr>
      </w:pPr>
      <w:r>
        <w:rPr>
          <w:rFonts w:cstheme="minorHAnsi"/>
          <w:lang w:val="en-US"/>
        </w:rPr>
        <w:t>Residents may be granted an increased recycling bin (240L to 360L) at no charge; however, an additional recycling bin attracts an additional charge. Increase requests will be undertaken on a case-by-case basis.</w:t>
      </w:r>
      <w:r w:rsidRPr="000A3C6E">
        <w:rPr>
          <w:rFonts w:cstheme="minorHAnsi"/>
          <w:lang w:val="en-US"/>
        </w:rPr>
        <w:t xml:space="preserve"> </w:t>
      </w:r>
      <w:r w:rsidRPr="00E06D3F">
        <w:rPr>
          <w:rFonts w:cstheme="minorHAnsi"/>
          <w:lang w:val="en-US"/>
        </w:rPr>
        <w:t xml:space="preserve"> </w:t>
      </w:r>
      <w:r>
        <w:rPr>
          <w:rFonts w:cstheme="minorHAnsi"/>
          <w:lang w:val="en-US"/>
        </w:rPr>
        <w:t>Any amendment to service will be pro-rata and effective from delivery/removal.</w:t>
      </w:r>
    </w:p>
    <w:p w14:paraId="246A02FE" w14:textId="77777777" w:rsidR="00B028E9" w:rsidRDefault="00B028E9" w:rsidP="00303E96">
      <w:pPr>
        <w:pStyle w:val="ListParagraph"/>
        <w:numPr>
          <w:ilvl w:val="0"/>
          <w:numId w:val="526"/>
        </w:numPr>
        <w:jc w:val="both"/>
        <w:rPr>
          <w:rFonts w:cstheme="minorHAnsi"/>
          <w:lang w:val="en-US"/>
        </w:rPr>
      </w:pPr>
      <w:r>
        <w:rPr>
          <w:rFonts w:cstheme="minorHAnsi"/>
          <w:lang w:val="en-US"/>
        </w:rPr>
        <w:t xml:space="preserve">Where additional bins are requested, an application form must be signed by the property owner or their </w:t>
      </w:r>
      <w:proofErr w:type="spellStart"/>
      <w:r>
        <w:rPr>
          <w:rFonts w:cstheme="minorHAnsi"/>
          <w:lang w:val="en-US"/>
        </w:rPr>
        <w:t>authorised</w:t>
      </w:r>
      <w:proofErr w:type="spellEnd"/>
      <w:r>
        <w:rPr>
          <w:rFonts w:cstheme="minorHAnsi"/>
          <w:lang w:val="en-US"/>
        </w:rPr>
        <w:t xml:space="preserve"> agents. If an additional bin is no longer required, an application to remove the bin must be made in writing by the property owner or their </w:t>
      </w:r>
      <w:proofErr w:type="spellStart"/>
      <w:r>
        <w:rPr>
          <w:rFonts w:cstheme="minorHAnsi"/>
          <w:lang w:val="en-US"/>
        </w:rPr>
        <w:t>authorised</w:t>
      </w:r>
      <w:proofErr w:type="spellEnd"/>
      <w:r>
        <w:rPr>
          <w:rFonts w:cstheme="minorHAnsi"/>
          <w:lang w:val="en-US"/>
        </w:rPr>
        <w:t xml:space="preserve"> agent.  A pro-rata credit will be applied to the property with effect from date of removal.</w:t>
      </w:r>
    </w:p>
    <w:p w14:paraId="120184CC" w14:textId="77777777" w:rsidR="00B028E9" w:rsidRPr="000A3C6E" w:rsidRDefault="00B028E9" w:rsidP="00303E96">
      <w:pPr>
        <w:pStyle w:val="ListParagraph"/>
        <w:numPr>
          <w:ilvl w:val="0"/>
          <w:numId w:val="526"/>
        </w:numPr>
        <w:jc w:val="both"/>
        <w:rPr>
          <w:rFonts w:cstheme="minorHAnsi"/>
          <w:lang w:val="en-US"/>
        </w:rPr>
      </w:pPr>
      <w:r w:rsidRPr="000A3C6E">
        <w:rPr>
          <w:rFonts w:cstheme="minorHAnsi"/>
          <w:lang w:val="en-US"/>
        </w:rPr>
        <w:t xml:space="preserve">The Rates Notice </w:t>
      </w:r>
      <w:r>
        <w:rPr>
          <w:rFonts w:cstheme="minorHAnsi"/>
          <w:lang w:val="en-US"/>
        </w:rPr>
        <w:t xml:space="preserve">is </w:t>
      </w:r>
      <w:r w:rsidRPr="000A3C6E">
        <w:rPr>
          <w:rFonts w:cstheme="minorHAnsi"/>
          <w:lang w:val="en-US"/>
        </w:rPr>
        <w:t>to provide separate descriptions for the Waste Charge and Additional Bin Charges.</w:t>
      </w:r>
    </w:p>
    <w:p w14:paraId="5F503443" w14:textId="77777777" w:rsidR="00B028E9" w:rsidRPr="00C35631" w:rsidRDefault="00B028E9" w:rsidP="00303E96">
      <w:pPr>
        <w:pStyle w:val="ListParagraph"/>
        <w:numPr>
          <w:ilvl w:val="0"/>
          <w:numId w:val="526"/>
        </w:numPr>
        <w:jc w:val="both"/>
        <w:rPr>
          <w:rFonts w:cstheme="minorHAnsi"/>
          <w:lang w:val="en-US"/>
        </w:rPr>
      </w:pPr>
      <w:r>
        <w:rPr>
          <w:rFonts w:cstheme="minorHAnsi"/>
          <w:lang w:val="en-US"/>
        </w:rPr>
        <w:t>The Town provides a priority service for eligible residents.</w:t>
      </w:r>
    </w:p>
    <w:p w14:paraId="22F1EA59" w14:textId="77777777" w:rsidR="00B028E9" w:rsidRDefault="00B028E9" w:rsidP="00303E96">
      <w:pPr>
        <w:pStyle w:val="ListParagraph"/>
        <w:numPr>
          <w:ilvl w:val="0"/>
          <w:numId w:val="526"/>
        </w:numPr>
        <w:jc w:val="both"/>
        <w:rPr>
          <w:rFonts w:cstheme="minorHAnsi"/>
          <w:lang w:val="en-US"/>
        </w:rPr>
      </w:pPr>
      <w:r w:rsidRPr="000A3C6E">
        <w:rPr>
          <w:rFonts w:cstheme="minorHAnsi"/>
          <w:lang w:val="en-US"/>
        </w:rPr>
        <w:t>Council</w:t>
      </w:r>
      <w:r>
        <w:rPr>
          <w:rFonts w:cstheme="minorHAnsi"/>
          <w:lang w:val="en-US"/>
        </w:rPr>
        <w:t xml:space="preserve">’s waste provider </w:t>
      </w:r>
      <w:r w:rsidRPr="000A3C6E">
        <w:rPr>
          <w:rFonts w:cstheme="minorHAnsi"/>
          <w:lang w:val="en-US"/>
        </w:rPr>
        <w:t xml:space="preserve">reserves the right </w:t>
      </w:r>
      <w:r>
        <w:rPr>
          <w:rFonts w:cstheme="minorHAnsi"/>
          <w:lang w:val="en-US"/>
        </w:rPr>
        <w:t xml:space="preserve">not </w:t>
      </w:r>
      <w:r w:rsidRPr="000A3C6E">
        <w:rPr>
          <w:rFonts w:cstheme="minorHAnsi"/>
          <w:lang w:val="en-US"/>
        </w:rPr>
        <w:t xml:space="preserve">to </w:t>
      </w:r>
      <w:r>
        <w:rPr>
          <w:rFonts w:cstheme="minorHAnsi"/>
          <w:lang w:val="en-US"/>
        </w:rPr>
        <w:t>collect</w:t>
      </w:r>
      <w:r w:rsidRPr="000A3C6E">
        <w:rPr>
          <w:rFonts w:cstheme="minorHAnsi"/>
          <w:lang w:val="en-US"/>
        </w:rPr>
        <w:t xml:space="preserve"> </w:t>
      </w:r>
      <w:r>
        <w:rPr>
          <w:rFonts w:cstheme="minorHAnsi"/>
          <w:lang w:val="en-US"/>
        </w:rPr>
        <w:t xml:space="preserve">any FOGO or Recycling service as well as any </w:t>
      </w:r>
      <w:r w:rsidRPr="000A3C6E">
        <w:rPr>
          <w:rFonts w:cstheme="minorHAnsi"/>
          <w:lang w:val="en-US"/>
        </w:rPr>
        <w:t xml:space="preserve">additional bins </w:t>
      </w:r>
      <w:proofErr w:type="gramStart"/>
      <w:r w:rsidRPr="000A3C6E">
        <w:rPr>
          <w:rFonts w:cstheme="minorHAnsi"/>
          <w:lang w:val="en-US"/>
        </w:rPr>
        <w:t>where</w:t>
      </w:r>
      <w:proofErr w:type="gramEnd"/>
      <w:r w:rsidRPr="000A3C6E">
        <w:rPr>
          <w:rFonts w:cstheme="minorHAnsi"/>
          <w:lang w:val="en-US"/>
        </w:rPr>
        <w:t xml:space="preserve"> </w:t>
      </w:r>
      <w:r>
        <w:rPr>
          <w:rFonts w:cstheme="minorHAnsi"/>
          <w:lang w:val="en-US"/>
        </w:rPr>
        <w:t xml:space="preserve">deemed appropriate on the grounds of </w:t>
      </w:r>
      <w:r w:rsidRPr="000A3C6E">
        <w:rPr>
          <w:rFonts w:cstheme="minorHAnsi"/>
          <w:lang w:val="en-US"/>
        </w:rPr>
        <w:t>ongoing and</w:t>
      </w:r>
      <w:r>
        <w:rPr>
          <w:rFonts w:cstheme="minorHAnsi"/>
          <w:lang w:val="en-US"/>
        </w:rPr>
        <w:t>/or</w:t>
      </w:r>
      <w:r w:rsidRPr="000A3C6E">
        <w:rPr>
          <w:rFonts w:cstheme="minorHAnsi"/>
          <w:lang w:val="en-US"/>
        </w:rPr>
        <w:t xml:space="preserve"> regular contamination.</w:t>
      </w:r>
      <w:r>
        <w:rPr>
          <w:rFonts w:cstheme="minorHAnsi"/>
          <w:lang w:val="en-US"/>
        </w:rPr>
        <w:t xml:space="preserve">  Provided previous notices have been advised to the resident.</w:t>
      </w:r>
    </w:p>
    <w:p w14:paraId="35B82369" w14:textId="77777777" w:rsidR="00B028E9" w:rsidRDefault="00B028E9" w:rsidP="00303E96">
      <w:pPr>
        <w:pStyle w:val="ListParagraph"/>
        <w:numPr>
          <w:ilvl w:val="0"/>
          <w:numId w:val="526"/>
        </w:numPr>
        <w:jc w:val="both"/>
        <w:rPr>
          <w:rFonts w:cstheme="minorHAnsi"/>
          <w:lang w:val="en-US"/>
        </w:rPr>
      </w:pPr>
      <w:r>
        <w:rPr>
          <w:rFonts w:cstheme="minorHAnsi"/>
          <w:lang w:val="en-US"/>
        </w:rPr>
        <w:t>240l mobile garbage bins, inclusive of contents, must not exceed a total weight of greater than 60 kgs.</w:t>
      </w:r>
    </w:p>
    <w:p w14:paraId="74334D21" w14:textId="77777777" w:rsidR="00B028E9" w:rsidRDefault="00B028E9" w:rsidP="00303E96">
      <w:pPr>
        <w:pStyle w:val="ListParagraph"/>
        <w:numPr>
          <w:ilvl w:val="0"/>
          <w:numId w:val="526"/>
        </w:numPr>
        <w:jc w:val="both"/>
        <w:rPr>
          <w:rFonts w:cstheme="minorHAnsi"/>
          <w:lang w:val="en-US"/>
        </w:rPr>
      </w:pPr>
      <w:r>
        <w:rPr>
          <w:rFonts w:cstheme="minorHAnsi"/>
          <w:lang w:val="en-US"/>
        </w:rPr>
        <w:t>Bins damaged through fair wear and tear, which have been vandalized or damaged by the Collection Contractor will be replaced at no cost to the owner. Customers may report these issues through the Customer Service Officers. For stolen bins, residents may be requested to provide a Statutory Declaration to secure a new bin free of charge and Council may investigate these instances.</w:t>
      </w:r>
    </w:p>
    <w:p w14:paraId="6F22F0F5" w14:textId="77777777" w:rsidR="00B028E9" w:rsidRDefault="00B028E9" w:rsidP="00303E96">
      <w:pPr>
        <w:pStyle w:val="ListParagraph"/>
        <w:numPr>
          <w:ilvl w:val="0"/>
          <w:numId w:val="526"/>
        </w:numPr>
        <w:jc w:val="both"/>
        <w:rPr>
          <w:rFonts w:cstheme="minorHAnsi"/>
          <w:lang w:val="en-US"/>
        </w:rPr>
      </w:pPr>
      <w:proofErr w:type="gramStart"/>
      <w:r>
        <w:rPr>
          <w:rFonts w:cstheme="minorHAnsi"/>
          <w:lang w:val="en-US"/>
        </w:rPr>
        <w:t>In the event that</w:t>
      </w:r>
      <w:proofErr w:type="gramEnd"/>
      <w:r>
        <w:rPr>
          <w:rFonts w:cstheme="minorHAnsi"/>
          <w:lang w:val="en-US"/>
        </w:rPr>
        <w:t xml:space="preserve"> a collection is missed, and the bin was presented for collection, the Town expects the Collection Contractor to collect the missed bin the next business working day if it is reported prior to 2pm.</w:t>
      </w:r>
    </w:p>
    <w:p w14:paraId="2A82DE84" w14:textId="77777777" w:rsidR="00B028E9" w:rsidRDefault="00B028E9" w:rsidP="00303E96">
      <w:pPr>
        <w:pStyle w:val="ListParagraph"/>
        <w:numPr>
          <w:ilvl w:val="0"/>
          <w:numId w:val="526"/>
        </w:numPr>
        <w:jc w:val="both"/>
        <w:rPr>
          <w:rFonts w:cstheme="minorHAnsi"/>
          <w:lang w:val="en-US"/>
        </w:rPr>
      </w:pPr>
      <w:r>
        <w:rPr>
          <w:rFonts w:cstheme="minorHAnsi"/>
          <w:lang w:val="en-US"/>
        </w:rPr>
        <w:t>All Council owned bins shall be removed prior to demolition and be reinstated on request, once the new dwelling has been completed. An amendment to the service form will be required at both events.</w:t>
      </w:r>
    </w:p>
    <w:p w14:paraId="799F3D00" w14:textId="77777777" w:rsidR="00B028E9" w:rsidRDefault="00B028E9" w:rsidP="00303E96">
      <w:pPr>
        <w:pStyle w:val="ListParagraph"/>
        <w:numPr>
          <w:ilvl w:val="0"/>
          <w:numId w:val="526"/>
        </w:numPr>
        <w:jc w:val="both"/>
        <w:rPr>
          <w:rFonts w:cstheme="minorHAnsi"/>
          <w:lang w:val="en-US"/>
        </w:rPr>
      </w:pPr>
      <w:r>
        <w:rPr>
          <w:rFonts w:cstheme="minorHAnsi"/>
          <w:lang w:val="en-US"/>
        </w:rPr>
        <w:t xml:space="preserve">Exempt </w:t>
      </w:r>
      <w:proofErr w:type="spellStart"/>
      <w:r>
        <w:rPr>
          <w:rFonts w:cstheme="minorHAnsi"/>
          <w:lang w:val="en-US"/>
        </w:rPr>
        <w:t>rateable</w:t>
      </w:r>
      <w:proofErr w:type="spellEnd"/>
      <w:r>
        <w:rPr>
          <w:rFonts w:cstheme="minorHAnsi"/>
          <w:lang w:val="en-US"/>
        </w:rPr>
        <w:t xml:space="preserve"> property will be charged according to VEN property use.</w:t>
      </w:r>
    </w:p>
    <w:p w14:paraId="6CF41B0A" w14:textId="77777777" w:rsidR="00B028E9" w:rsidRPr="00B028E9" w:rsidRDefault="00B028E9" w:rsidP="00B028E9">
      <w:pPr>
        <w:pStyle w:val="Heading1"/>
        <w:spacing w:before="240"/>
        <w:jc w:val="both"/>
        <w:rPr>
          <w:rFonts w:asciiTheme="minorHAnsi" w:hAnsiTheme="minorHAnsi" w:cstheme="minorHAnsi"/>
          <w:color w:val="auto"/>
          <w:sz w:val="24"/>
          <w:szCs w:val="24"/>
          <w:lang w:val="en-US"/>
        </w:rPr>
      </w:pPr>
      <w:r w:rsidRPr="00B028E9">
        <w:rPr>
          <w:rFonts w:asciiTheme="minorHAnsi" w:hAnsiTheme="minorHAnsi" w:cstheme="minorHAnsi"/>
          <w:color w:val="auto"/>
          <w:sz w:val="24"/>
          <w:szCs w:val="24"/>
          <w:lang w:val="en-US"/>
        </w:rPr>
        <w:t>Provision of Kitchen Organics Caddies and Compostable Bags</w:t>
      </w:r>
    </w:p>
    <w:p w14:paraId="6BBE3A27" w14:textId="77777777" w:rsidR="00B028E9" w:rsidRPr="00581804" w:rsidRDefault="00B028E9" w:rsidP="00B028E9">
      <w:pPr>
        <w:rPr>
          <w:lang w:val="en-US"/>
        </w:rPr>
      </w:pPr>
      <w:r>
        <w:rPr>
          <w:lang w:val="en-US"/>
        </w:rPr>
        <w:t>The Town will provide all residential properties with an initial Kitchen Organics Caddy and a roll of 150 Compostable Bags. Additional rolls of 150 Compostable Bags may be made available during the year to residents who demonstrate their residency, justify their high usage and may incur a charge. Broken or lost kitchen caddies can be purchased from all major retail stores.</w:t>
      </w:r>
    </w:p>
    <w:p w14:paraId="7BC9DD2E" w14:textId="77777777" w:rsidR="00B028E9" w:rsidRPr="00B028E9" w:rsidRDefault="00B028E9" w:rsidP="00B028E9">
      <w:pPr>
        <w:pStyle w:val="Heading1"/>
        <w:spacing w:before="240"/>
        <w:jc w:val="both"/>
        <w:rPr>
          <w:rFonts w:asciiTheme="minorHAnsi" w:hAnsiTheme="minorHAnsi" w:cstheme="minorHAnsi"/>
          <w:color w:val="auto"/>
          <w:sz w:val="24"/>
          <w:szCs w:val="24"/>
          <w:lang w:val="en-US"/>
        </w:rPr>
      </w:pPr>
      <w:r w:rsidRPr="00B028E9">
        <w:rPr>
          <w:rFonts w:asciiTheme="minorHAnsi" w:hAnsiTheme="minorHAnsi" w:cstheme="minorHAnsi"/>
          <w:color w:val="auto"/>
          <w:sz w:val="24"/>
          <w:szCs w:val="24"/>
          <w:lang w:val="en-US"/>
        </w:rPr>
        <w:t>Community Events</w:t>
      </w:r>
    </w:p>
    <w:p w14:paraId="0A372706" w14:textId="77777777" w:rsidR="00B028E9" w:rsidRDefault="00B028E9" w:rsidP="00B028E9">
      <w:pPr>
        <w:rPr>
          <w:lang w:val="en-US"/>
        </w:rPr>
      </w:pPr>
      <w:r>
        <w:rPr>
          <w:lang w:val="en-US"/>
        </w:rPr>
        <w:t xml:space="preserve">The Town can provide bins for all event requests. Council approved fees and charges will apply. Event bin costs are based on the collection being undertaken as part of a normal collection run, </w:t>
      </w:r>
      <w:r>
        <w:rPr>
          <w:lang w:val="en-US"/>
        </w:rPr>
        <w:lastRenderedPageBreak/>
        <w:t>enabling standard collection rates to apply. Should a collection be required outside a standard collection run then the applicable charge will be per hour to service the bins.</w:t>
      </w:r>
    </w:p>
    <w:p w14:paraId="00E0C7A8" w14:textId="77777777" w:rsidR="00B028E9" w:rsidRDefault="00B028E9" w:rsidP="00B028E9">
      <w:pPr>
        <w:rPr>
          <w:lang w:val="en-US"/>
        </w:rPr>
      </w:pPr>
      <w:r>
        <w:rPr>
          <w:lang w:val="en-US"/>
        </w:rPr>
        <w:t>The Town can provide complete bin stations (waste, recycling, FOGO) for all events held in the Town of East Fremantle.</w:t>
      </w:r>
    </w:p>
    <w:p w14:paraId="4A582D88" w14:textId="77777777" w:rsidR="00B028E9" w:rsidRPr="00272FC4" w:rsidRDefault="00B028E9" w:rsidP="00B028E9">
      <w:pPr>
        <w:rPr>
          <w:lang w:val="en-US"/>
        </w:rPr>
      </w:pPr>
      <w:r>
        <w:rPr>
          <w:lang w:val="en-US"/>
        </w:rPr>
        <w:t>The charge per bin covers the delivery to/from the site and the disposal of contents (one empty prior to removal from site). If an event is cancelled after the bins have been delivered, then the event bin charge will remain applicable.</w:t>
      </w:r>
    </w:p>
    <w:p w14:paraId="33D78869" w14:textId="77777777" w:rsidR="00B028E9" w:rsidRPr="00B028E9" w:rsidRDefault="00B028E9" w:rsidP="00B028E9">
      <w:pPr>
        <w:pStyle w:val="Heading1"/>
        <w:spacing w:before="240"/>
        <w:jc w:val="both"/>
        <w:rPr>
          <w:rFonts w:asciiTheme="minorHAnsi" w:hAnsiTheme="minorHAnsi" w:cstheme="minorHAnsi"/>
          <w:color w:val="auto"/>
          <w:sz w:val="24"/>
          <w:szCs w:val="24"/>
          <w:lang w:val="en-US"/>
        </w:rPr>
      </w:pPr>
      <w:r w:rsidRPr="00B028E9">
        <w:rPr>
          <w:rFonts w:asciiTheme="minorHAnsi" w:hAnsiTheme="minorHAnsi" w:cstheme="minorHAnsi"/>
          <w:color w:val="auto"/>
          <w:sz w:val="24"/>
          <w:szCs w:val="24"/>
          <w:lang w:val="en-US"/>
        </w:rPr>
        <w:t>Pricing</w:t>
      </w:r>
    </w:p>
    <w:p w14:paraId="6E98E674" w14:textId="77777777" w:rsidR="00B028E9" w:rsidRPr="008B4332" w:rsidRDefault="00B028E9" w:rsidP="00B028E9">
      <w:pPr>
        <w:rPr>
          <w:lang w:val="en-US"/>
        </w:rPr>
      </w:pPr>
      <w:r>
        <w:rPr>
          <w:lang w:val="en-US"/>
        </w:rPr>
        <w:t xml:space="preserve">Western Australian Local Governments have the right to impose different types of charges in relation to services beyond the raising of a general rate, including a waste collection rate (section 66) or a receptacle charge (section 67) under the </w:t>
      </w:r>
      <w:r w:rsidRPr="008444E6">
        <w:rPr>
          <w:i/>
          <w:iCs/>
          <w:lang w:val="en-US"/>
        </w:rPr>
        <w:t>Waste Avoidance and Resource Recovery Act 2007</w:t>
      </w:r>
      <w:r>
        <w:rPr>
          <w:lang w:val="en-US"/>
        </w:rPr>
        <w:t xml:space="preserve"> (WARR Act). The </w:t>
      </w:r>
      <w:r w:rsidRPr="008444E6">
        <w:rPr>
          <w:i/>
          <w:iCs/>
          <w:lang w:val="en-US"/>
        </w:rPr>
        <w:t>Local Government Act 1995</w:t>
      </w:r>
      <w:r>
        <w:rPr>
          <w:lang w:val="en-US"/>
        </w:rPr>
        <w:t xml:space="preserve"> deals with fees and charges from sections 6.16 to 6.19. In summary, a local government may impose a fee or charge for any goods or services it provides.</w:t>
      </w:r>
    </w:p>
    <w:p w14:paraId="7ACDE6D3" w14:textId="77777777" w:rsidR="00B028E9" w:rsidRDefault="00B028E9" w:rsidP="00B028E9">
      <w:pPr>
        <w:jc w:val="both"/>
        <w:rPr>
          <w:rFonts w:cstheme="minorHAnsi"/>
          <w:lang w:val="en-US"/>
        </w:rPr>
      </w:pPr>
      <w:r w:rsidRPr="000A3C6E">
        <w:rPr>
          <w:rFonts w:cstheme="minorHAnsi"/>
          <w:lang w:val="en-US"/>
        </w:rPr>
        <w:t>Recovery of the cost of disposing of waste from collection should preferably be recovered through the waste collection charges. Effective subsidization of waste services by general rates is not seen as equitable.</w:t>
      </w:r>
    </w:p>
    <w:p w14:paraId="481D2211" w14:textId="77777777" w:rsidR="00B028E9" w:rsidRPr="000A3C6E" w:rsidRDefault="00B028E9" w:rsidP="00B028E9">
      <w:pPr>
        <w:jc w:val="both"/>
        <w:rPr>
          <w:rFonts w:cstheme="minorHAnsi"/>
          <w:lang w:val="en-US"/>
        </w:rPr>
      </w:pPr>
      <w:r>
        <w:rPr>
          <w:rFonts w:cstheme="minorHAnsi"/>
          <w:lang w:val="en-US"/>
        </w:rPr>
        <w:t>Sundry waste services and expenses such as litter collection, provision of park and street bins, green waste removal are included in the pricing model, and recoverable through fees and charges.</w:t>
      </w:r>
    </w:p>
    <w:p w14:paraId="20B0B1EE" w14:textId="77777777" w:rsidR="00B028E9" w:rsidRPr="000A3C6E" w:rsidRDefault="00B028E9" w:rsidP="00B028E9">
      <w:pPr>
        <w:spacing w:after="120"/>
        <w:jc w:val="both"/>
        <w:rPr>
          <w:rFonts w:cstheme="minorHAnsi"/>
          <w:lang w:val="en-US"/>
        </w:rPr>
      </w:pPr>
      <w:r w:rsidRPr="000A3C6E">
        <w:rPr>
          <w:rFonts w:cstheme="minorHAnsi"/>
          <w:lang w:val="en-US"/>
        </w:rPr>
        <w:t>The following pricing model assumptions apply:</w:t>
      </w:r>
    </w:p>
    <w:p w14:paraId="35A6C370" w14:textId="77777777" w:rsidR="00B028E9" w:rsidRPr="000A3C6E" w:rsidRDefault="00B028E9" w:rsidP="00303E96">
      <w:pPr>
        <w:pStyle w:val="ListParagraph"/>
        <w:numPr>
          <w:ilvl w:val="0"/>
          <w:numId w:val="525"/>
        </w:numPr>
        <w:jc w:val="both"/>
        <w:rPr>
          <w:rFonts w:cstheme="minorHAnsi"/>
          <w:lang w:val="en-US"/>
        </w:rPr>
      </w:pPr>
      <w:r w:rsidRPr="000A3C6E">
        <w:rPr>
          <w:rFonts w:cstheme="minorHAnsi"/>
          <w:lang w:val="en-US"/>
        </w:rPr>
        <w:t>The current level of service is maintained</w:t>
      </w:r>
      <w:r>
        <w:rPr>
          <w:rFonts w:cstheme="minorHAnsi"/>
          <w:lang w:val="en-US"/>
        </w:rPr>
        <w:t>.</w:t>
      </w:r>
    </w:p>
    <w:p w14:paraId="59A48092" w14:textId="77777777" w:rsidR="00B028E9" w:rsidRPr="000A3C6E" w:rsidRDefault="00B028E9" w:rsidP="00303E96">
      <w:pPr>
        <w:pStyle w:val="ListParagraph"/>
        <w:numPr>
          <w:ilvl w:val="0"/>
          <w:numId w:val="525"/>
        </w:numPr>
        <w:jc w:val="both"/>
        <w:rPr>
          <w:rFonts w:cstheme="minorHAnsi"/>
          <w:lang w:val="en-US"/>
        </w:rPr>
      </w:pPr>
      <w:r w:rsidRPr="000A3C6E">
        <w:rPr>
          <w:rFonts w:cstheme="minorHAnsi"/>
          <w:lang w:val="en-US"/>
        </w:rPr>
        <w:t xml:space="preserve">The split of indirect costs is apportioned 96% residential and 4% commercial based on relative </w:t>
      </w:r>
      <w:proofErr w:type="spellStart"/>
      <w:r w:rsidRPr="000A3C6E">
        <w:rPr>
          <w:rFonts w:cstheme="minorHAnsi"/>
          <w:lang w:val="en-US"/>
        </w:rPr>
        <w:t>rateable</w:t>
      </w:r>
      <w:proofErr w:type="spellEnd"/>
      <w:r w:rsidRPr="000A3C6E">
        <w:rPr>
          <w:rFonts w:cstheme="minorHAnsi"/>
          <w:lang w:val="en-US"/>
        </w:rPr>
        <w:t xml:space="preserve"> assessment numbers</w:t>
      </w:r>
      <w:r>
        <w:rPr>
          <w:rFonts w:cstheme="minorHAnsi"/>
          <w:lang w:val="en-US"/>
        </w:rPr>
        <w:t>.</w:t>
      </w:r>
    </w:p>
    <w:p w14:paraId="16E53590" w14:textId="77777777" w:rsidR="00B028E9" w:rsidRPr="000A3C6E" w:rsidRDefault="00B028E9" w:rsidP="00303E96">
      <w:pPr>
        <w:pStyle w:val="ListParagraph"/>
        <w:numPr>
          <w:ilvl w:val="0"/>
          <w:numId w:val="525"/>
        </w:numPr>
        <w:jc w:val="both"/>
        <w:rPr>
          <w:rFonts w:cstheme="minorHAnsi"/>
          <w:lang w:val="en-US"/>
        </w:rPr>
      </w:pPr>
      <w:r w:rsidRPr="000A3C6E">
        <w:rPr>
          <w:rFonts w:cstheme="minorHAnsi"/>
          <w:lang w:val="en-US"/>
        </w:rPr>
        <w:t>The split of disposal costs is apportioned 94% residential and 6% commercial based on prior waste audits</w:t>
      </w:r>
      <w:r>
        <w:rPr>
          <w:rFonts w:cstheme="minorHAnsi"/>
          <w:lang w:val="en-US"/>
        </w:rPr>
        <w:t>.</w:t>
      </w:r>
    </w:p>
    <w:p w14:paraId="72448497" w14:textId="77777777" w:rsidR="00B028E9" w:rsidRPr="000A3C6E" w:rsidRDefault="00B028E9" w:rsidP="00303E96">
      <w:pPr>
        <w:pStyle w:val="ListParagraph"/>
        <w:numPr>
          <w:ilvl w:val="0"/>
          <w:numId w:val="525"/>
        </w:numPr>
        <w:jc w:val="both"/>
        <w:rPr>
          <w:rFonts w:cstheme="minorHAnsi"/>
          <w:lang w:val="en-US"/>
        </w:rPr>
      </w:pPr>
      <w:r w:rsidRPr="000A3C6E">
        <w:rPr>
          <w:rFonts w:cstheme="minorHAnsi"/>
          <w:lang w:val="en-US"/>
        </w:rPr>
        <w:t xml:space="preserve">The standard fee is calculated per </w:t>
      </w:r>
      <w:proofErr w:type="spellStart"/>
      <w:r w:rsidRPr="000A3C6E">
        <w:rPr>
          <w:rFonts w:cstheme="minorHAnsi"/>
          <w:lang w:val="en-US"/>
        </w:rPr>
        <w:t>rateable</w:t>
      </w:r>
      <w:proofErr w:type="spellEnd"/>
      <w:r w:rsidRPr="000A3C6E">
        <w:rPr>
          <w:rFonts w:cstheme="minorHAnsi"/>
          <w:lang w:val="en-US"/>
        </w:rPr>
        <w:t xml:space="preserve"> assessment rather than by bin</w:t>
      </w:r>
      <w:r>
        <w:rPr>
          <w:rFonts w:cstheme="minorHAnsi"/>
          <w:lang w:val="en-US"/>
        </w:rPr>
        <w:t>.</w:t>
      </w:r>
    </w:p>
    <w:p w14:paraId="499F864C" w14:textId="77777777" w:rsidR="00B028E9" w:rsidRPr="000A3C6E" w:rsidRDefault="00B028E9" w:rsidP="00303E96">
      <w:pPr>
        <w:pStyle w:val="ListParagraph"/>
        <w:numPr>
          <w:ilvl w:val="0"/>
          <w:numId w:val="525"/>
        </w:numPr>
        <w:jc w:val="both"/>
        <w:rPr>
          <w:rFonts w:cstheme="minorHAnsi"/>
          <w:lang w:val="en-US"/>
        </w:rPr>
      </w:pPr>
      <w:r w:rsidRPr="000A3C6E">
        <w:rPr>
          <w:rFonts w:cstheme="minorHAnsi"/>
          <w:lang w:val="en-US"/>
        </w:rPr>
        <w:t xml:space="preserve">The pricing model is not discounted for any income that is received from additional bins. This additional income is to be transferred into the Waste Reserve annually. The objective of this transfer is to create a pool of available funds that the Town can draw down in the event there are unexpected movements in operating costs such as gate fees and overhead contributions. </w:t>
      </w:r>
    </w:p>
    <w:p w14:paraId="07EFEBC0" w14:textId="77777777" w:rsidR="00B028E9" w:rsidRPr="000A3C6E" w:rsidRDefault="00B028E9" w:rsidP="00B028E9">
      <w:pPr>
        <w:jc w:val="both"/>
        <w:rPr>
          <w:rFonts w:cstheme="minorHAnsi"/>
          <w:lang w:val="en-US"/>
        </w:rPr>
      </w:pPr>
      <w:r w:rsidRPr="000A3C6E">
        <w:rPr>
          <w:rFonts w:cstheme="minorHAnsi"/>
          <w:lang w:val="en-US"/>
        </w:rPr>
        <w:t xml:space="preserve">The </w:t>
      </w:r>
      <w:r>
        <w:rPr>
          <w:rFonts w:cstheme="minorHAnsi"/>
          <w:lang w:val="en-US"/>
        </w:rPr>
        <w:t>schedule of fees and charges are calculated in the appendices</w:t>
      </w:r>
      <w:r w:rsidRPr="000A3C6E">
        <w:rPr>
          <w:rFonts w:cstheme="minorHAnsi"/>
          <w:lang w:val="en-US"/>
        </w:rPr>
        <w:t>,</w:t>
      </w:r>
      <w:r>
        <w:rPr>
          <w:rFonts w:cstheme="minorHAnsi"/>
          <w:lang w:val="en-US"/>
        </w:rPr>
        <w:t xml:space="preserve"> and are </w:t>
      </w:r>
      <w:r w:rsidRPr="000A3C6E">
        <w:rPr>
          <w:rFonts w:cstheme="minorHAnsi"/>
          <w:lang w:val="en-US"/>
        </w:rPr>
        <w:t>to be reviewed annually and adopted by Council:</w:t>
      </w:r>
    </w:p>
    <w:p w14:paraId="1A33EBEF" w14:textId="77777777" w:rsidR="00B028E9" w:rsidRPr="00250A97" w:rsidRDefault="00B028E9" w:rsidP="00B028E9">
      <w:pPr>
        <w:jc w:val="both"/>
        <w:rPr>
          <w:rFonts w:ascii="Arial" w:hAnsi="Arial" w:cs="Arial"/>
          <w:szCs w:val="24"/>
        </w:rPr>
      </w:pPr>
    </w:p>
    <w:tbl>
      <w:tblPr>
        <w:tblStyle w:val="TableGrid"/>
        <w:tblW w:w="0" w:type="auto"/>
        <w:tblLook w:val="04A0" w:firstRow="1" w:lastRow="0" w:firstColumn="1" w:lastColumn="0" w:noHBand="0" w:noVBand="1"/>
      </w:tblPr>
      <w:tblGrid>
        <w:gridCol w:w="3049"/>
        <w:gridCol w:w="5967"/>
      </w:tblGrid>
      <w:tr w:rsidR="00B028E9" w14:paraId="2D522A10" w14:textId="77777777" w:rsidTr="00A47694">
        <w:tc>
          <w:tcPr>
            <w:tcW w:w="3085" w:type="dxa"/>
          </w:tcPr>
          <w:p w14:paraId="54EEF8BA" w14:textId="77777777" w:rsidR="00B028E9" w:rsidRPr="000A3C6E" w:rsidRDefault="00B028E9" w:rsidP="00A47694">
            <w:pPr>
              <w:jc w:val="both"/>
              <w:rPr>
                <w:rFonts w:cstheme="minorHAnsi"/>
                <w:b/>
                <w:lang w:val="en-US"/>
              </w:rPr>
            </w:pPr>
            <w:r w:rsidRPr="000A3C6E">
              <w:rPr>
                <w:rFonts w:cstheme="minorHAnsi"/>
                <w:b/>
                <w:lang w:val="en-US"/>
              </w:rPr>
              <w:t>Responsible Directorate:</w:t>
            </w:r>
          </w:p>
        </w:tc>
        <w:tc>
          <w:tcPr>
            <w:tcW w:w="6157" w:type="dxa"/>
          </w:tcPr>
          <w:p w14:paraId="6EC8EDA8" w14:textId="77777777" w:rsidR="00B028E9" w:rsidRPr="000A3C6E" w:rsidRDefault="00B028E9" w:rsidP="00A47694">
            <w:pPr>
              <w:jc w:val="both"/>
              <w:rPr>
                <w:rFonts w:cstheme="minorHAnsi"/>
                <w:lang w:val="en-US"/>
              </w:rPr>
            </w:pPr>
            <w:r>
              <w:rPr>
                <w:rFonts w:cstheme="minorHAnsi"/>
                <w:lang w:val="en-US"/>
              </w:rPr>
              <w:t>Corporate and Technical Services</w:t>
            </w:r>
          </w:p>
        </w:tc>
      </w:tr>
      <w:tr w:rsidR="00B028E9" w14:paraId="494C186C" w14:textId="77777777" w:rsidTr="00A47694">
        <w:tc>
          <w:tcPr>
            <w:tcW w:w="3085" w:type="dxa"/>
          </w:tcPr>
          <w:p w14:paraId="44246E2C" w14:textId="77777777" w:rsidR="00B028E9" w:rsidRPr="000A3C6E" w:rsidRDefault="00B028E9" w:rsidP="00A47694">
            <w:pPr>
              <w:jc w:val="both"/>
              <w:rPr>
                <w:rFonts w:cstheme="minorHAnsi"/>
                <w:b/>
                <w:lang w:val="en-US"/>
              </w:rPr>
            </w:pPr>
            <w:r w:rsidRPr="000A3C6E">
              <w:rPr>
                <w:rFonts w:cstheme="minorHAnsi"/>
                <w:b/>
                <w:lang w:val="en-US"/>
              </w:rPr>
              <w:t>Reviewing Officer:</w:t>
            </w:r>
          </w:p>
        </w:tc>
        <w:tc>
          <w:tcPr>
            <w:tcW w:w="6157" w:type="dxa"/>
          </w:tcPr>
          <w:p w14:paraId="44A356F7" w14:textId="77777777" w:rsidR="00B028E9" w:rsidRPr="000A3C6E" w:rsidRDefault="00B028E9" w:rsidP="00A47694">
            <w:pPr>
              <w:jc w:val="both"/>
              <w:rPr>
                <w:rFonts w:cstheme="minorHAnsi"/>
                <w:lang w:val="en-US"/>
              </w:rPr>
            </w:pPr>
            <w:r>
              <w:rPr>
                <w:rFonts w:cstheme="minorHAnsi"/>
                <w:lang w:val="en-US"/>
              </w:rPr>
              <w:t>Finance and Operations</w:t>
            </w:r>
          </w:p>
        </w:tc>
      </w:tr>
      <w:tr w:rsidR="00B028E9" w14:paraId="4104ACF0" w14:textId="77777777" w:rsidTr="00A47694">
        <w:tc>
          <w:tcPr>
            <w:tcW w:w="3085" w:type="dxa"/>
          </w:tcPr>
          <w:p w14:paraId="0751C725" w14:textId="77777777" w:rsidR="00B028E9" w:rsidRPr="000A3C6E" w:rsidRDefault="00B028E9" w:rsidP="00A47694">
            <w:pPr>
              <w:jc w:val="both"/>
              <w:rPr>
                <w:rFonts w:cstheme="minorHAnsi"/>
                <w:b/>
                <w:lang w:val="en-US"/>
              </w:rPr>
            </w:pPr>
            <w:r w:rsidRPr="000A3C6E">
              <w:rPr>
                <w:rFonts w:cstheme="minorHAnsi"/>
                <w:b/>
                <w:lang w:val="en-US"/>
              </w:rPr>
              <w:t>Decision making Authority:</w:t>
            </w:r>
          </w:p>
        </w:tc>
        <w:tc>
          <w:tcPr>
            <w:tcW w:w="6157" w:type="dxa"/>
          </w:tcPr>
          <w:p w14:paraId="67519D19" w14:textId="77777777" w:rsidR="00B028E9" w:rsidRPr="000A3C6E" w:rsidRDefault="00B028E9" w:rsidP="00A47694">
            <w:pPr>
              <w:jc w:val="both"/>
              <w:rPr>
                <w:rFonts w:cstheme="minorHAnsi"/>
                <w:lang w:val="en-US"/>
              </w:rPr>
            </w:pPr>
            <w:r>
              <w:rPr>
                <w:rFonts w:cstheme="minorHAnsi"/>
                <w:lang w:val="en-US"/>
              </w:rPr>
              <w:t>Council</w:t>
            </w:r>
          </w:p>
        </w:tc>
      </w:tr>
      <w:tr w:rsidR="00B028E9" w14:paraId="241AD305" w14:textId="77777777" w:rsidTr="00A47694">
        <w:tc>
          <w:tcPr>
            <w:tcW w:w="3085" w:type="dxa"/>
          </w:tcPr>
          <w:p w14:paraId="6B6B3965" w14:textId="77777777" w:rsidR="00B028E9" w:rsidRPr="000A3C6E" w:rsidRDefault="00B028E9" w:rsidP="00A47694">
            <w:pPr>
              <w:jc w:val="both"/>
              <w:rPr>
                <w:rFonts w:cstheme="minorHAnsi"/>
                <w:b/>
                <w:lang w:val="en-US"/>
              </w:rPr>
            </w:pPr>
            <w:r w:rsidRPr="000A3C6E">
              <w:rPr>
                <w:rFonts w:cstheme="minorHAnsi"/>
                <w:b/>
                <w:lang w:val="en-US"/>
              </w:rPr>
              <w:t>Policy Adopted:</w:t>
            </w:r>
          </w:p>
        </w:tc>
        <w:tc>
          <w:tcPr>
            <w:tcW w:w="6157" w:type="dxa"/>
          </w:tcPr>
          <w:p w14:paraId="0B85B91A" w14:textId="77777777" w:rsidR="00B028E9" w:rsidRPr="000A3C6E" w:rsidRDefault="00B028E9" w:rsidP="00A47694">
            <w:pPr>
              <w:jc w:val="both"/>
              <w:rPr>
                <w:rFonts w:cstheme="minorHAnsi"/>
                <w:lang w:val="en-US"/>
              </w:rPr>
            </w:pPr>
            <w:r>
              <w:rPr>
                <w:rFonts w:cstheme="minorHAnsi"/>
                <w:lang w:val="en-US"/>
              </w:rPr>
              <w:t>19/11/24</w:t>
            </w:r>
          </w:p>
        </w:tc>
      </w:tr>
      <w:tr w:rsidR="00B028E9" w14:paraId="255CEF00" w14:textId="77777777" w:rsidTr="00A47694">
        <w:tc>
          <w:tcPr>
            <w:tcW w:w="3085" w:type="dxa"/>
          </w:tcPr>
          <w:p w14:paraId="341E1F9D" w14:textId="77777777" w:rsidR="00B028E9" w:rsidRPr="000A3C6E" w:rsidRDefault="00B028E9" w:rsidP="00A47694">
            <w:pPr>
              <w:jc w:val="both"/>
              <w:rPr>
                <w:rFonts w:cstheme="minorHAnsi"/>
                <w:b/>
                <w:lang w:val="en-US"/>
              </w:rPr>
            </w:pPr>
            <w:r w:rsidRPr="000A3C6E">
              <w:rPr>
                <w:rFonts w:cstheme="minorHAnsi"/>
                <w:b/>
                <w:lang w:val="en-US"/>
              </w:rPr>
              <w:t>Policy Amended/Reviewed:</w:t>
            </w:r>
          </w:p>
        </w:tc>
        <w:tc>
          <w:tcPr>
            <w:tcW w:w="6157" w:type="dxa"/>
          </w:tcPr>
          <w:p w14:paraId="02AF97BD" w14:textId="77777777" w:rsidR="00B028E9" w:rsidRPr="000A3C6E" w:rsidRDefault="00B028E9" w:rsidP="00A47694">
            <w:pPr>
              <w:jc w:val="both"/>
              <w:rPr>
                <w:rFonts w:cstheme="minorHAnsi"/>
                <w:lang w:val="en-US"/>
              </w:rPr>
            </w:pPr>
          </w:p>
        </w:tc>
      </w:tr>
      <w:tr w:rsidR="00B028E9" w14:paraId="3A52672B" w14:textId="77777777" w:rsidTr="00A47694">
        <w:tc>
          <w:tcPr>
            <w:tcW w:w="3085" w:type="dxa"/>
          </w:tcPr>
          <w:p w14:paraId="79499576" w14:textId="77777777" w:rsidR="00B028E9" w:rsidRPr="000A3C6E" w:rsidRDefault="00B028E9" w:rsidP="00A47694">
            <w:pPr>
              <w:jc w:val="both"/>
              <w:rPr>
                <w:rFonts w:cstheme="minorHAnsi"/>
                <w:b/>
                <w:lang w:val="en-US"/>
              </w:rPr>
            </w:pPr>
            <w:r w:rsidRPr="000A3C6E">
              <w:rPr>
                <w:rFonts w:cstheme="minorHAnsi"/>
                <w:b/>
                <w:lang w:val="en-US"/>
              </w:rPr>
              <w:t>Former Policy No.</w:t>
            </w:r>
          </w:p>
        </w:tc>
        <w:tc>
          <w:tcPr>
            <w:tcW w:w="6157" w:type="dxa"/>
          </w:tcPr>
          <w:p w14:paraId="16F7C522" w14:textId="77777777" w:rsidR="00B028E9" w:rsidRPr="000A3C6E" w:rsidRDefault="00B028E9" w:rsidP="00A47694">
            <w:pPr>
              <w:jc w:val="both"/>
              <w:rPr>
                <w:rFonts w:cstheme="minorHAnsi"/>
                <w:lang w:val="en-US"/>
              </w:rPr>
            </w:pPr>
            <w:r>
              <w:rPr>
                <w:rFonts w:cstheme="minorHAnsi"/>
                <w:lang w:val="en-US"/>
              </w:rPr>
              <w:t>Refer to 2.1.13</w:t>
            </w:r>
          </w:p>
        </w:tc>
      </w:tr>
    </w:tbl>
    <w:p w14:paraId="064CB0D8" w14:textId="77777777" w:rsidR="00B028E9" w:rsidRDefault="00B028E9" w:rsidP="00B028E9">
      <w:pPr>
        <w:jc w:val="both"/>
        <w:rPr>
          <w:rFonts w:ascii="Arial" w:hAnsi="Arial" w:cs="Arial"/>
          <w:lang w:val="en-US"/>
        </w:rPr>
      </w:pPr>
    </w:p>
    <w:p w14:paraId="49DAA0E8" w14:textId="77777777" w:rsidR="002A3889" w:rsidRDefault="002A3889">
      <w:pPr>
        <w:rPr>
          <w:rFonts w:ascii="Arial" w:hAnsi="Arial" w:cs="Arial"/>
          <w:b/>
          <w:bCs/>
          <w:lang w:val="en-US"/>
        </w:rPr>
      </w:pPr>
      <w:r>
        <w:rPr>
          <w:rFonts w:ascii="Arial" w:hAnsi="Arial" w:cs="Arial"/>
          <w:b/>
          <w:bCs/>
          <w:lang w:val="en-US"/>
        </w:rPr>
        <w:br w:type="page"/>
      </w:r>
    </w:p>
    <w:p w14:paraId="4729083D" w14:textId="2C40B7DF" w:rsidR="00B028E9" w:rsidRDefault="00B028E9" w:rsidP="00B028E9">
      <w:pPr>
        <w:jc w:val="both"/>
        <w:rPr>
          <w:rFonts w:ascii="Arial" w:hAnsi="Arial" w:cs="Arial"/>
          <w:b/>
          <w:bCs/>
          <w:lang w:val="en-US"/>
        </w:rPr>
      </w:pPr>
      <w:r>
        <w:rPr>
          <w:rFonts w:ascii="Arial" w:hAnsi="Arial" w:cs="Arial"/>
          <w:b/>
          <w:bCs/>
          <w:lang w:val="en-US"/>
        </w:rPr>
        <w:lastRenderedPageBreak/>
        <w:t>Appendix 1 – Schedule of Fees and Charges 2025/26</w:t>
      </w:r>
    </w:p>
    <w:tbl>
      <w:tblPr>
        <w:tblStyle w:val="TableGrid"/>
        <w:tblW w:w="0" w:type="auto"/>
        <w:tblLook w:val="04A0" w:firstRow="1" w:lastRow="0" w:firstColumn="1" w:lastColumn="0" w:noHBand="0" w:noVBand="1"/>
      </w:tblPr>
      <w:tblGrid>
        <w:gridCol w:w="1413"/>
        <w:gridCol w:w="3095"/>
        <w:gridCol w:w="3000"/>
        <w:gridCol w:w="1508"/>
      </w:tblGrid>
      <w:tr w:rsidR="00B028E9" w14:paraId="61CA6E2F" w14:textId="77777777" w:rsidTr="00A47694">
        <w:tc>
          <w:tcPr>
            <w:tcW w:w="1413" w:type="dxa"/>
          </w:tcPr>
          <w:p w14:paraId="0C2DE7BA" w14:textId="77777777" w:rsidR="00B028E9" w:rsidRPr="00477B26" w:rsidRDefault="00B028E9" w:rsidP="00A47694">
            <w:pPr>
              <w:jc w:val="both"/>
              <w:rPr>
                <w:rFonts w:cstheme="minorHAnsi"/>
                <w:b/>
                <w:bCs/>
                <w:lang w:val="en-US"/>
              </w:rPr>
            </w:pPr>
            <w:r w:rsidRPr="00477B26">
              <w:rPr>
                <w:rFonts w:cstheme="minorHAnsi"/>
                <w:b/>
                <w:bCs/>
                <w:lang w:val="en-US"/>
              </w:rPr>
              <w:t>Rate Service Code</w:t>
            </w:r>
          </w:p>
        </w:tc>
        <w:tc>
          <w:tcPr>
            <w:tcW w:w="3095" w:type="dxa"/>
          </w:tcPr>
          <w:p w14:paraId="581F7CB2" w14:textId="77777777" w:rsidR="00B028E9" w:rsidRPr="00477B26" w:rsidRDefault="00B028E9" w:rsidP="00A47694">
            <w:pPr>
              <w:jc w:val="both"/>
              <w:rPr>
                <w:rFonts w:cstheme="minorHAnsi"/>
                <w:b/>
                <w:bCs/>
                <w:lang w:val="en-US"/>
              </w:rPr>
            </w:pPr>
            <w:r w:rsidRPr="00477B26">
              <w:rPr>
                <w:rFonts w:cstheme="minorHAnsi"/>
                <w:b/>
                <w:bCs/>
                <w:lang w:val="en-US"/>
              </w:rPr>
              <w:t>Description</w:t>
            </w:r>
          </w:p>
        </w:tc>
        <w:tc>
          <w:tcPr>
            <w:tcW w:w="3000" w:type="dxa"/>
          </w:tcPr>
          <w:p w14:paraId="4AFFA65C" w14:textId="77777777" w:rsidR="00B028E9" w:rsidRPr="00477B26" w:rsidRDefault="00B028E9" w:rsidP="00A47694">
            <w:pPr>
              <w:jc w:val="both"/>
              <w:rPr>
                <w:rFonts w:cstheme="minorHAnsi"/>
                <w:b/>
                <w:bCs/>
                <w:lang w:val="en-US"/>
              </w:rPr>
            </w:pPr>
            <w:r w:rsidRPr="00477B26">
              <w:rPr>
                <w:rFonts w:cstheme="minorHAnsi"/>
                <w:b/>
                <w:bCs/>
                <w:lang w:val="en-US"/>
              </w:rPr>
              <w:t>Bin Collection System</w:t>
            </w:r>
          </w:p>
        </w:tc>
        <w:tc>
          <w:tcPr>
            <w:tcW w:w="1508" w:type="dxa"/>
          </w:tcPr>
          <w:p w14:paraId="4C9DEE43" w14:textId="77777777" w:rsidR="00B028E9" w:rsidRPr="00477B26" w:rsidRDefault="00B028E9" w:rsidP="00A47694">
            <w:pPr>
              <w:jc w:val="both"/>
              <w:rPr>
                <w:rFonts w:cstheme="minorHAnsi"/>
                <w:b/>
                <w:bCs/>
                <w:lang w:val="en-US"/>
              </w:rPr>
            </w:pPr>
            <w:r w:rsidRPr="00477B26">
              <w:rPr>
                <w:rFonts w:cstheme="minorHAnsi"/>
                <w:b/>
                <w:bCs/>
                <w:lang w:val="en-US"/>
              </w:rPr>
              <w:t>20</w:t>
            </w:r>
            <w:r>
              <w:rPr>
                <w:rFonts w:cstheme="minorHAnsi"/>
                <w:b/>
                <w:bCs/>
                <w:lang w:val="en-US"/>
              </w:rPr>
              <w:t xml:space="preserve">25/26 </w:t>
            </w:r>
            <w:r w:rsidRPr="00477B26">
              <w:rPr>
                <w:rFonts w:cstheme="minorHAnsi"/>
                <w:b/>
                <w:bCs/>
                <w:lang w:val="en-US"/>
              </w:rPr>
              <w:t>Charge</w:t>
            </w:r>
          </w:p>
        </w:tc>
      </w:tr>
      <w:tr w:rsidR="00B028E9" w14:paraId="7BD7019B" w14:textId="77777777" w:rsidTr="00A47694">
        <w:tc>
          <w:tcPr>
            <w:tcW w:w="1413" w:type="dxa"/>
          </w:tcPr>
          <w:p w14:paraId="2DF1E5DB" w14:textId="77777777" w:rsidR="00B028E9" w:rsidRDefault="00B028E9" w:rsidP="00A47694">
            <w:pPr>
              <w:jc w:val="both"/>
              <w:rPr>
                <w:rFonts w:cstheme="minorHAnsi"/>
                <w:lang w:val="en-US"/>
              </w:rPr>
            </w:pPr>
            <w:r>
              <w:rPr>
                <w:rFonts w:cstheme="minorHAnsi"/>
                <w:lang w:val="en-US"/>
              </w:rPr>
              <w:t>R-01</w:t>
            </w:r>
          </w:p>
        </w:tc>
        <w:tc>
          <w:tcPr>
            <w:tcW w:w="3095" w:type="dxa"/>
          </w:tcPr>
          <w:p w14:paraId="340BC1CD" w14:textId="77777777" w:rsidR="00B028E9" w:rsidRDefault="00B028E9" w:rsidP="00A47694">
            <w:pPr>
              <w:jc w:val="both"/>
              <w:rPr>
                <w:rFonts w:cstheme="minorHAnsi"/>
                <w:lang w:val="en-US"/>
              </w:rPr>
            </w:pPr>
            <w:r>
              <w:rPr>
                <w:rFonts w:cstheme="minorHAnsi"/>
                <w:lang w:val="en-US"/>
              </w:rPr>
              <w:t>Standard Residential Waste Charge</w:t>
            </w:r>
          </w:p>
        </w:tc>
        <w:tc>
          <w:tcPr>
            <w:tcW w:w="3000" w:type="dxa"/>
          </w:tcPr>
          <w:p w14:paraId="421694A3" w14:textId="77777777" w:rsidR="00B028E9" w:rsidRDefault="00B028E9" w:rsidP="00A47694">
            <w:pPr>
              <w:jc w:val="both"/>
              <w:rPr>
                <w:rFonts w:cstheme="minorHAnsi"/>
                <w:lang w:val="en-US"/>
              </w:rPr>
            </w:pPr>
            <w:r>
              <w:rPr>
                <w:rFonts w:cstheme="minorHAnsi"/>
                <w:lang w:val="en-US"/>
              </w:rPr>
              <w:t>3-Bin FOGO System</w:t>
            </w:r>
          </w:p>
        </w:tc>
        <w:tc>
          <w:tcPr>
            <w:tcW w:w="1508" w:type="dxa"/>
          </w:tcPr>
          <w:p w14:paraId="77510FC5" w14:textId="77777777" w:rsidR="00B028E9" w:rsidRDefault="00B028E9" w:rsidP="00A47694">
            <w:pPr>
              <w:jc w:val="both"/>
              <w:rPr>
                <w:rFonts w:cstheme="minorHAnsi"/>
                <w:lang w:val="en-US"/>
              </w:rPr>
            </w:pPr>
            <w:r>
              <w:rPr>
                <w:rFonts w:cstheme="minorHAnsi"/>
                <w:lang w:val="en-US"/>
              </w:rPr>
              <w:t>$412</w:t>
            </w:r>
          </w:p>
        </w:tc>
      </w:tr>
      <w:tr w:rsidR="00B028E9" w14:paraId="6979665C" w14:textId="77777777" w:rsidTr="00A47694">
        <w:tc>
          <w:tcPr>
            <w:tcW w:w="1413" w:type="dxa"/>
          </w:tcPr>
          <w:p w14:paraId="0265A00F" w14:textId="77777777" w:rsidR="00B028E9" w:rsidRDefault="00B028E9" w:rsidP="00A47694">
            <w:pPr>
              <w:jc w:val="both"/>
              <w:rPr>
                <w:rFonts w:cstheme="minorHAnsi"/>
                <w:lang w:val="en-US"/>
              </w:rPr>
            </w:pPr>
            <w:r>
              <w:rPr>
                <w:rFonts w:cstheme="minorHAnsi"/>
                <w:lang w:val="en-US"/>
              </w:rPr>
              <w:t>C-01</w:t>
            </w:r>
          </w:p>
        </w:tc>
        <w:tc>
          <w:tcPr>
            <w:tcW w:w="3095" w:type="dxa"/>
          </w:tcPr>
          <w:p w14:paraId="0FB9FF99" w14:textId="77777777" w:rsidR="00B028E9" w:rsidRDefault="00B028E9" w:rsidP="00A47694">
            <w:pPr>
              <w:jc w:val="both"/>
              <w:rPr>
                <w:rFonts w:cstheme="minorHAnsi"/>
                <w:lang w:val="en-US"/>
              </w:rPr>
            </w:pPr>
            <w:r>
              <w:rPr>
                <w:rFonts w:cstheme="minorHAnsi"/>
                <w:lang w:val="en-US"/>
              </w:rPr>
              <w:t>Standard Commercial Waste Charge</w:t>
            </w:r>
          </w:p>
        </w:tc>
        <w:tc>
          <w:tcPr>
            <w:tcW w:w="3000" w:type="dxa"/>
          </w:tcPr>
          <w:p w14:paraId="6D8F4123" w14:textId="77777777" w:rsidR="00B028E9" w:rsidRDefault="00B028E9" w:rsidP="00A47694">
            <w:pPr>
              <w:jc w:val="both"/>
              <w:rPr>
                <w:rFonts w:cstheme="minorHAnsi"/>
                <w:lang w:val="en-US"/>
              </w:rPr>
            </w:pPr>
            <w:r>
              <w:rPr>
                <w:rFonts w:cstheme="minorHAnsi"/>
                <w:lang w:val="en-US"/>
              </w:rPr>
              <w:t>3-Bin General Waste/Recycling and FOGO where appropriate</w:t>
            </w:r>
          </w:p>
        </w:tc>
        <w:tc>
          <w:tcPr>
            <w:tcW w:w="1508" w:type="dxa"/>
          </w:tcPr>
          <w:p w14:paraId="2BC2C12B" w14:textId="77777777" w:rsidR="00B028E9" w:rsidRDefault="00B028E9" w:rsidP="00A47694">
            <w:pPr>
              <w:jc w:val="both"/>
              <w:rPr>
                <w:rFonts w:cstheme="minorHAnsi"/>
                <w:lang w:val="en-US"/>
              </w:rPr>
            </w:pPr>
            <w:r>
              <w:rPr>
                <w:rFonts w:cstheme="minorHAnsi"/>
                <w:lang w:val="en-US"/>
              </w:rPr>
              <w:t>$627</w:t>
            </w:r>
          </w:p>
        </w:tc>
      </w:tr>
      <w:tr w:rsidR="00B028E9" w14:paraId="24C64AA1" w14:textId="77777777" w:rsidTr="00A47694">
        <w:tc>
          <w:tcPr>
            <w:tcW w:w="1413" w:type="dxa"/>
          </w:tcPr>
          <w:p w14:paraId="7158CC28" w14:textId="77777777" w:rsidR="00B028E9" w:rsidRDefault="00B028E9" w:rsidP="00A47694">
            <w:pPr>
              <w:jc w:val="both"/>
              <w:rPr>
                <w:rFonts w:cstheme="minorHAnsi"/>
                <w:lang w:val="en-US"/>
              </w:rPr>
            </w:pPr>
            <w:r>
              <w:rPr>
                <w:rFonts w:cstheme="minorHAnsi"/>
                <w:lang w:val="en-US"/>
              </w:rPr>
              <w:t>R-02</w:t>
            </w:r>
          </w:p>
        </w:tc>
        <w:tc>
          <w:tcPr>
            <w:tcW w:w="3095" w:type="dxa"/>
          </w:tcPr>
          <w:p w14:paraId="769D1A95" w14:textId="77777777" w:rsidR="00B028E9" w:rsidRPr="00A32897" w:rsidRDefault="00B028E9" w:rsidP="00A47694">
            <w:pPr>
              <w:pStyle w:val="ListParagraph"/>
              <w:jc w:val="both"/>
              <w:rPr>
                <w:rFonts w:cstheme="minorHAnsi"/>
                <w:lang w:val="en-US"/>
              </w:rPr>
            </w:pPr>
            <w:r>
              <w:rPr>
                <w:rFonts w:cstheme="minorHAnsi"/>
                <w:lang w:val="en-US"/>
              </w:rPr>
              <w:t>Waste Charge per Additional FOGO Bin - Residential</w:t>
            </w:r>
          </w:p>
        </w:tc>
        <w:tc>
          <w:tcPr>
            <w:tcW w:w="3000" w:type="dxa"/>
          </w:tcPr>
          <w:p w14:paraId="0411B04E" w14:textId="77777777" w:rsidR="00B028E9" w:rsidRDefault="00B028E9" w:rsidP="00A47694">
            <w:pPr>
              <w:jc w:val="both"/>
              <w:rPr>
                <w:rFonts w:cstheme="minorHAnsi"/>
                <w:lang w:val="en-US"/>
              </w:rPr>
            </w:pPr>
            <w:r>
              <w:rPr>
                <w:rFonts w:cstheme="minorHAnsi"/>
                <w:lang w:val="en-US"/>
              </w:rPr>
              <w:t xml:space="preserve">FOGO Bin, </w:t>
            </w:r>
          </w:p>
        </w:tc>
        <w:tc>
          <w:tcPr>
            <w:tcW w:w="1508" w:type="dxa"/>
          </w:tcPr>
          <w:p w14:paraId="35A562A6" w14:textId="77777777" w:rsidR="00B028E9" w:rsidRDefault="00B028E9" w:rsidP="00A47694">
            <w:pPr>
              <w:jc w:val="both"/>
              <w:rPr>
                <w:rFonts w:cstheme="minorHAnsi"/>
                <w:lang w:val="en-US"/>
              </w:rPr>
            </w:pPr>
            <w:r>
              <w:rPr>
                <w:rFonts w:cstheme="minorHAnsi"/>
                <w:lang w:val="en-US"/>
              </w:rPr>
              <w:t>$158</w:t>
            </w:r>
          </w:p>
        </w:tc>
      </w:tr>
      <w:tr w:rsidR="00B028E9" w14:paraId="3A30B616" w14:textId="77777777" w:rsidTr="00A47694">
        <w:tc>
          <w:tcPr>
            <w:tcW w:w="1413" w:type="dxa"/>
          </w:tcPr>
          <w:p w14:paraId="6629D189" w14:textId="77777777" w:rsidR="00B028E9" w:rsidRDefault="00B028E9" w:rsidP="00A47694">
            <w:pPr>
              <w:jc w:val="both"/>
              <w:rPr>
                <w:rFonts w:cstheme="minorHAnsi"/>
                <w:lang w:val="en-US"/>
              </w:rPr>
            </w:pPr>
            <w:r>
              <w:rPr>
                <w:rFonts w:cstheme="minorHAnsi"/>
                <w:lang w:val="en-US"/>
              </w:rPr>
              <w:t>R-03</w:t>
            </w:r>
          </w:p>
        </w:tc>
        <w:tc>
          <w:tcPr>
            <w:tcW w:w="3095" w:type="dxa"/>
          </w:tcPr>
          <w:p w14:paraId="6D5866CF" w14:textId="77777777" w:rsidR="00B028E9" w:rsidRDefault="00B028E9" w:rsidP="00A47694">
            <w:pPr>
              <w:jc w:val="both"/>
              <w:rPr>
                <w:rFonts w:cstheme="minorHAnsi"/>
                <w:lang w:val="en-US"/>
              </w:rPr>
            </w:pPr>
            <w:r>
              <w:rPr>
                <w:rFonts w:cstheme="minorHAnsi"/>
                <w:lang w:val="en-US"/>
              </w:rPr>
              <w:t>Waste Charge per Additional Recycling Bin - Residential</w:t>
            </w:r>
          </w:p>
        </w:tc>
        <w:tc>
          <w:tcPr>
            <w:tcW w:w="3000" w:type="dxa"/>
          </w:tcPr>
          <w:p w14:paraId="736CFE92" w14:textId="77777777" w:rsidR="00B028E9" w:rsidRDefault="00B028E9" w:rsidP="00A47694">
            <w:pPr>
              <w:jc w:val="both"/>
              <w:rPr>
                <w:rFonts w:cstheme="minorHAnsi"/>
                <w:lang w:val="en-US"/>
              </w:rPr>
            </w:pPr>
            <w:r>
              <w:rPr>
                <w:rFonts w:cstheme="minorHAnsi"/>
                <w:lang w:val="en-US"/>
              </w:rPr>
              <w:t xml:space="preserve">Recycling Bin, </w:t>
            </w:r>
          </w:p>
        </w:tc>
        <w:tc>
          <w:tcPr>
            <w:tcW w:w="1508" w:type="dxa"/>
          </w:tcPr>
          <w:p w14:paraId="376F0C1E" w14:textId="77777777" w:rsidR="00B028E9" w:rsidRDefault="00B028E9" w:rsidP="00A47694">
            <w:pPr>
              <w:jc w:val="both"/>
              <w:rPr>
                <w:rFonts w:cstheme="minorHAnsi"/>
                <w:lang w:val="en-US"/>
              </w:rPr>
            </w:pPr>
            <w:r>
              <w:rPr>
                <w:rFonts w:cstheme="minorHAnsi"/>
                <w:lang w:val="en-US"/>
              </w:rPr>
              <w:t>$158</w:t>
            </w:r>
          </w:p>
        </w:tc>
      </w:tr>
      <w:tr w:rsidR="00B028E9" w14:paraId="5C1B322F" w14:textId="77777777" w:rsidTr="00A47694">
        <w:tc>
          <w:tcPr>
            <w:tcW w:w="1413" w:type="dxa"/>
          </w:tcPr>
          <w:p w14:paraId="79C64600" w14:textId="77777777" w:rsidR="00B028E9" w:rsidRDefault="00B028E9" w:rsidP="00A47694">
            <w:pPr>
              <w:jc w:val="both"/>
              <w:rPr>
                <w:rFonts w:cstheme="minorHAnsi"/>
                <w:lang w:val="en-US"/>
              </w:rPr>
            </w:pPr>
            <w:r>
              <w:rPr>
                <w:rFonts w:cstheme="minorHAnsi"/>
                <w:lang w:val="en-US"/>
              </w:rPr>
              <w:t>R-04</w:t>
            </w:r>
          </w:p>
        </w:tc>
        <w:tc>
          <w:tcPr>
            <w:tcW w:w="3095" w:type="dxa"/>
          </w:tcPr>
          <w:p w14:paraId="4678704D" w14:textId="77777777" w:rsidR="00B028E9" w:rsidRDefault="00B028E9" w:rsidP="00A47694">
            <w:pPr>
              <w:jc w:val="both"/>
              <w:rPr>
                <w:rFonts w:cstheme="minorHAnsi"/>
                <w:lang w:val="en-US"/>
              </w:rPr>
            </w:pPr>
            <w:r>
              <w:rPr>
                <w:rFonts w:cstheme="minorHAnsi"/>
                <w:lang w:val="en-US"/>
              </w:rPr>
              <w:t>Waste Charge per Additional General Waste Bin - Residential</w:t>
            </w:r>
          </w:p>
        </w:tc>
        <w:tc>
          <w:tcPr>
            <w:tcW w:w="3000" w:type="dxa"/>
          </w:tcPr>
          <w:p w14:paraId="15790F05" w14:textId="77777777" w:rsidR="00B028E9" w:rsidRDefault="00B028E9" w:rsidP="00A47694">
            <w:pPr>
              <w:jc w:val="both"/>
              <w:rPr>
                <w:rFonts w:cstheme="minorHAnsi"/>
                <w:lang w:val="en-US"/>
              </w:rPr>
            </w:pPr>
            <w:r>
              <w:rPr>
                <w:rFonts w:cstheme="minorHAnsi"/>
                <w:lang w:val="en-US"/>
              </w:rPr>
              <w:t>General Waste Bin</w:t>
            </w:r>
          </w:p>
        </w:tc>
        <w:tc>
          <w:tcPr>
            <w:tcW w:w="1508" w:type="dxa"/>
          </w:tcPr>
          <w:p w14:paraId="6041EC82" w14:textId="77777777" w:rsidR="00B028E9" w:rsidRDefault="00B028E9" w:rsidP="00A47694">
            <w:pPr>
              <w:jc w:val="both"/>
              <w:rPr>
                <w:rFonts w:cstheme="minorHAnsi"/>
                <w:lang w:val="en-US"/>
              </w:rPr>
            </w:pPr>
            <w:r>
              <w:rPr>
                <w:rFonts w:cstheme="minorHAnsi"/>
                <w:lang w:val="en-US"/>
              </w:rPr>
              <w:t>$158</w:t>
            </w:r>
          </w:p>
        </w:tc>
      </w:tr>
      <w:tr w:rsidR="00B028E9" w14:paraId="13FE472E" w14:textId="77777777" w:rsidTr="00A47694">
        <w:tc>
          <w:tcPr>
            <w:tcW w:w="1413" w:type="dxa"/>
          </w:tcPr>
          <w:p w14:paraId="1A6111B0" w14:textId="77777777" w:rsidR="00B028E9" w:rsidRDefault="00B028E9" w:rsidP="00A47694">
            <w:pPr>
              <w:jc w:val="both"/>
              <w:rPr>
                <w:rFonts w:cstheme="minorHAnsi"/>
                <w:lang w:val="en-US"/>
              </w:rPr>
            </w:pPr>
            <w:r>
              <w:rPr>
                <w:rFonts w:cstheme="minorHAnsi"/>
                <w:lang w:val="en-US"/>
              </w:rPr>
              <w:t>C-02</w:t>
            </w:r>
          </w:p>
        </w:tc>
        <w:tc>
          <w:tcPr>
            <w:tcW w:w="3095" w:type="dxa"/>
          </w:tcPr>
          <w:p w14:paraId="18F053E6" w14:textId="77777777" w:rsidR="00B028E9" w:rsidRDefault="00B028E9" w:rsidP="00A47694">
            <w:pPr>
              <w:jc w:val="both"/>
              <w:rPr>
                <w:rFonts w:cstheme="minorHAnsi"/>
                <w:lang w:val="en-US"/>
              </w:rPr>
            </w:pPr>
            <w:r>
              <w:rPr>
                <w:rFonts w:cstheme="minorHAnsi"/>
                <w:lang w:val="en-US"/>
              </w:rPr>
              <w:t>Waste Charge per Additional Recycling Bin - Commercial</w:t>
            </w:r>
          </w:p>
          <w:p w14:paraId="56CF528E" w14:textId="77777777" w:rsidR="00B028E9" w:rsidRPr="00A32897" w:rsidRDefault="00B028E9" w:rsidP="00303E96">
            <w:pPr>
              <w:pStyle w:val="ListParagraph"/>
              <w:numPr>
                <w:ilvl w:val="0"/>
                <w:numId w:val="527"/>
              </w:numPr>
              <w:jc w:val="both"/>
              <w:rPr>
                <w:rFonts w:cstheme="minorHAnsi"/>
                <w:lang w:val="en-US"/>
              </w:rPr>
            </w:pPr>
            <w:r>
              <w:rPr>
                <w:rFonts w:cstheme="minorHAnsi"/>
                <w:lang w:val="en-US"/>
              </w:rPr>
              <w:t xml:space="preserve">Commercial </w:t>
            </w:r>
          </w:p>
        </w:tc>
        <w:tc>
          <w:tcPr>
            <w:tcW w:w="3000" w:type="dxa"/>
          </w:tcPr>
          <w:p w14:paraId="6A9EEDAC" w14:textId="77777777" w:rsidR="00B028E9" w:rsidRDefault="00B028E9" w:rsidP="00A47694">
            <w:pPr>
              <w:jc w:val="both"/>
              <w:rPr>
                <w:rFonts w:cstheme="minorHAnsi"/>
                <w:lang w:val="en-US"/>
              </w:rPr>
            </w:pPr>
            <w:r>
              <w:rPr>
                <w:rFonts w:cstheme="minorHAnsi"/>
                <w:lang w:val="en-US"/>
              </w:rPr>
              <w:t>Recycling a</w:t>
            </w:r>
          </w:p>
        </w:tc>
        <w:tc>
          <w:tcPr>
            <w:tcW w:w="1508" w:type="dxa"/>
          </w:tcPr>
          <w:p w14:paraId="6E10C263" w14:textId="77777777" w:rsidR="00B028E9" w:rsidRDefault="00B028E9" w:rsidP="00A47694">
            <w:pPr>
              <w:jc w:val="both"/>
              <w:rPr>
                <w:rFonts w:cstheme="minorHAnsi"/>
                <w:lang w:val="en-US"/>
              </w:rPr>
            </w:pPr>
            <w:r>
              <w:rPr>
                <w:rFonts w:cstheme="minorHAnsi"/>
                <w:lang w:val="en-US"/>
              </w:rPr>
              <w:t>$237</w:t>
            </w:r>
          </w:p>
        </w:tc>
      </w:tr>
      <w:tr w:rsidR="00B028E9" w14:paraId="21973B69" w14:textId="77777777" w:rsidTr="00A47694">
        <w:tc>
          <w:tcPr>
            <w:tcW w:w="1413" w:type="dxa"/>
          </w:tcPr>
          <w:p w14:paraId="1CFD62E4" w14:textId="77777777" w:rsidR="00B028E9" w:rsidRDefault="00B028E9" w:rsidP="00A47694">
            <w:pPr>
              <w:jc w:val="both"/>
              <w:rPr>
                <w:rFonts w:cstheme="minorHAnsi"/>
                <w:lang w:val="en-US"/>
              </w:rPr>
            </w:pPr>
            <w:r>
              <w:rPr>
                <w:rFonts w:cstheme="minorHAnsi"/>
                <w:lang w:val="en-US"/>
              </w:rPr>
              <w:t>C-03</w:t>
            </w:r>
          </w:p>
        </w:tc>
        <w:tc>
          <w:tcPr>
            <w:tcW w:w="3095" w:type="dxa"/>
          </w:tcPr>
          <w:p w14:paraId="3FC77AA1" w14:textId="77777777" w:rsidR="00B028E9" w:rsidRDefault="00B028E9" w:rsidP="00A47694">
            <w:pPr>
              <w:jc w:val="both"/>
              <w:rPr>
                <w:rFonts w:cstheme="minorHAnsi"/>
                <w:lang w:val="en-US"/>
              </w:rPr>
            </w:pPr>
            <w:r>
              <w:rPr>
                <w:rFonts w:cstheme="minorHAnsi"/>
                <w:lang w:val="en-US"/>
              </w:rPr>
              <w:t>Waste Charge per Additional General Waste Bin – Commercial</w:t>
            </w:r>
          </w:p>
        </w:tc>
        <w:tc>
          <w:tcPr>
            <w:tcW w:w="3000" w:type="dxa"/>
          </w:tcPr>
          <w:p w14:paraId="62B835FF" w14:textId="77777777" w:rsidR="00B028E9" w:rsidRDefault="00B028E9" w:rsidP="00A47694">
            <w:pPr>
              <w:jc w:val="both"/>
              <w:rPr>
                <w:rFonts w:cstheme="minorHAnsi"/>
                <w:lang w:val="en-US"/>
              </w:rPr>
            </w:pPr>
            <w:r>
              <w:rPr>
                <w:rFonts w:cstheme="minorHAnsi"/>
                <w:lang w:val="en-US"/>
              </w:rPr>
              <w:t>General Waste bin</w:t>
            </w:r>
          </w:p>
        </w:tc>
        <w:tc>
          <w:tcPr>
            <w:tcW w:w="1508" w:type="dxa"/>
          </w:tcPr>
          <w:p w14:paraId="4FFC6ABA" w14:textId="77777777" w:rsidR="00B028E9" w:rsidRDefault="00B028E9" w:rsidP="00A47694">
            <w:pPr>
              <w:jc w:val="both"/>
              <w:rPr>
                <w:rFonts w:cstheme="minorHAnsi"/>
                <w:lang w:val="en-US"/>
              </w:rPr>
            </w:pPr>
            <w:r>
              <w:rPr>
                <w:rFonts w:cstheme="minorHAnsi"/>
                <w:lang w:val="en-US"/>
              </w:rPr>
              <w:t>$237</w:t>
            </w:r>
          </w:p>
        </w:tc>
      </w:tr>
      <w:tr w:rsidR="00B028E9" w14:paraId="5D6A257F" w14:textId="77777777" w:rsidTr="00A47694">
        <w:tc>
          <w:tcPr>
            <w:tcW w:w="1413" w:type="dxa"/>
          </w:tcPr>
          <w:p w14:paraId="41CEFCD1" w14:textId="77777777" w:rsidR="00B028E9" w:rsidRDefault="00B028E9" w:rsidP="00A47694">
            <w:pPr>
              <w:jc w:val="both"/>
              <w:rPr>
                <w:rFonts w:cstheme="minorHAnsi"/>
                <w:lang w:val="en-US"/>
              </w:rPr>
            </w:pPr>
            <w:r>
              <w:rPr>
                <w:rFonts w:cstheme="minorHAnsi"/>
                <w:lang w:val="en-US"/>
              </w:rPr>
              <w:t>C-04</w:t>
            </w:r>
          </w:p>
        </w:tc>
        <w:tc>
          <w:tcPr>
            <w:tcW w:w="3095" w:type="dxa"/>
          </w:tcPr>
          <w:p w14:paraId="3CC5B751" w14:textId="77777777" w:rsidR="00B028E9" w:rsidRDefault="00B028E9" w:rsidP="00A47694">
            <w:pPr>
              <w:jc w:val="both"/>
              <w:rPr>
                <w:rFonts w:cstheme="minorHAnsi"/>
                <w:lang w:val="en-US"/>
              </w:rPr>
            </w:pPr>
            <w:r>
              <w:rPr>
                <w:rFonts w:cstheme="minorHAnsi"/>
                <w:lang w:val="en-US"/>
              </w:rPr>
              <w:t>Waste Charge per Additional FOGO Bin - Commercial</w:t>
            </w:r>
          </w:p>
          <w:p w14:paraId="08166CA8" w14:textId="77777777" w:rsidR="00B028E9" w:rsidRPr="00A32897" w:rsidRDefault="00B028E9" w:rsidP="00303E96">
            <w:pPr>
              <w:pStyle w:val="ListParagraph"/>
              <w:numPr>
                <w:ilvl w:val="0"/>
                <w:numId w:val="527"/>
              </w:numPr>
              <w:jc w:val="both"/>
              <w:rPr>
                <w:rFonts w:cstheme="minorHAnsi"/>
                <w:lang w:val="en-US"/>
              </w:rPr>
            </w:pPr>
            <w:r>
              <w:rPr>
                <w:rFonts w:cstheme="minorHAnsi"/>
                <w:lang w:val="en-US"/>
              </w:rPr>
              <w:t xml:space="preserve">Commercial </w:t>
            </w:r>
          </w:p>
        </w:tc>
        <w:tc>
          <w:tcPr>
            <w:tcW w:w="3000" w:type="dxa"/>
          </w:tcPr>
          <w:p w14:paraId="5F530E6B" w14:textId="77777777" w:rsidR="00B028E9" w:rsidRDefault="00B028E9" w:rsidP="00A47694">
            <w:pPr>
              <w:jc w:val="both"/>
              <w:rPr>
                <w:rFonts w:cstheme="minorHAnsi"/>
                <w:lang w:val="en-US"/>
              </w:rPr>
            </w:pPr>
            <w:r>
              <w:rPr>
                <w:rFonts w:cstheme="minorHAnsi"/>
                <w:lang w:val="en-US"/>
              </w:rPr>
              <w:t>FOGO</w:t>
            </w:r>
          </w:p>
        </w:tc>
        <w:tc>
          <w:tcPr>
            <w:tcW w:w="1508" w:type="dxa"/>
          </w:tcPr>
          <w:p w14:paraId="105D1137" w14:textId="77777777" w:rsidR="00B028E9" w:rsidRDefault="00B028E9" w:rsidP="00A47694">
            <w:pPr>
              <w:jc w:val="both"/>
              <w:rPr>
                <w:rFonts w:cstheme="minorHAnsi"/>
                <w:lang w:val="en-US"/>
              </w:rPr>
            </w:pPr>
            <w:r>
              <w:rPr>
                <w:rFonts w:cstheme="minorHAnsi"/>
                <w:lang w:val="en-US"/>
              </w:rPr>
              <w:t>$237</w:t>
            </w:r>
          </w:p>
        </w:tc>
      </w:tr>
      <w:tr w:rsidR="00B028E9" w14:paraId="450AA487" w14:textId="77777777" w:rsidTr="00A47694">
        <w:tc>
          <w:tcPr>
            <w:tcW w:w="1413" w:type="dxa"/>
          </w:tcPr>
          <w:p w14:paraId="4C2D7405" w14:textId="77777777" w:rsidR="00B028E9" w:rsidRDefault="00B028E9" w:rsidP="00A47694">
            <w:pPr>
              <w:jc w:val="both"/>
              <w:rPr>
                <w:rFonts w:cstheme="minorHAnsi"/>
                <w:lang w:val="en-US"/>
              </w:rPr>
            </w:pPr>
          </w:p>
        </w:tc>
        <w:tc>
          <w:tcPr>
            <w:tcW w:w="3095" w:type="dxa"/>
          </w:tcPr>
          <w:p w14:paraId="06C8B977" w14:textId="77777777" w:rsidR="00B028E9" w:rsidRDefault="00B028E9" w:rsidP="00A47694">
            <w:pPr>
              <w:jc w:val="both"/>
              <w:rPr>
                <w:rFonts w:cstheme="minorHAnsi"/>
                <w:lang w:val="en-US"/>
              </w:rPr>
            </w:pPr>
          </w:p>
        </w:tc>
        <w:tc>
          <w:tcPr>
            <w:tcW w:w="3000" w:type="dxa"/>
          </w:tcPr>
          <w:p w14:paraId="5D7FAEF2" w14:textId="77777777" w:rsidR="00B028E9" w:rsidRDefault="00B028E9" w:rsidP="00A47694">
            <w:pPr>
              <w:jc w:val="both"/>
              <w:rPr>
                <w:rFonts w:cstheme="minorHAnsi"/>
                <w:lang w:val="en-US"/>
              </w:rPr>
            </w:pPr>
          </w:p>
        </w:tc>
        <w:tc>
          <w:tcPr>
            <w:tcW w:w="1508" w:type="dxa"/>
          </w:tcPr>
          <w:p w14:paraId="066753E8" w14:textId="77777777" w:rsidR="00B028E9" w:rsidRDefault="00B028E9" w:rsidP="00A47694">
            <w:pPr>
              <w:jc w:val="both"/>
              <w:rPr>
                <w:rFonts w:cstheme="minorHAnsi"/>
                <w:lang w:val="en-US"/>
              </w:rPr>
            </w:pPr>
          </w:p>
        </w:tc>
      </w:tr>
      <w:tr w:rsidR="00B028E9" w14:paraId="05658668" w14:textId="77777777" w:rsidTr="00A47694">
        <w:tc>
          <w:tcPr>
            <w:tcW w:w="1413" w:type="dxa"/>
          </w:tcPr>
          <w:p w14:paraId="4456A031" w14:textId="77777777" w:rsidR="00B028E9" w:rsidDel="00575E59" w:rsidRDefault="00B028E9" w:rsidP="00A47694">
            <w:pPr>
              <w:jc w:val="both"/>
              <w:rPr>
                <w:rFonts w:cstheme="minorHAnsi"/>
                <w:lang w:val="en-US"/>
              </w:rPr>
            </w:pPr>
            <w:r>
              <w:rPr>
                <w:rFonts w:cstheme="minorHAnsi"/>
                <w:lang w:val="en-US"/>
              </w:rPr>
              <w:t>RP01</w:t>
            </w:r>
          </w:p>
        </w:tc>
        <w:tc>
          <w:tcPr>
            <w:tcW w:w="3095" w:type="dxa"/>
          </w:tcPr>
          <w:p w14:paraId="4A4C46C6" w14:textId="77777777" w:rsidR="00B028E9" w:rsidDel="00575E59" w:rsidRDefault="00B028E9" w:rsidP="00A47694">
            <w:pPr>
              <w:jc w:val="both"/>
              <w:rPr>
                <w:rFonts w:cstheme="minorHAnsi"/>
                <w:lang w:val="en-US"/>
              </w:rPr>
            </w:pPr>
            <w:r>
              <w:rPr>
                <w:rFonts w:cstheme="minorHAnsi"/>
                <w:lang w:val="en-US"/>
              </w:rPr>
              <w:t xml:space="preserve">Standard Residential Waste Charge – Concession property </w:t>
            </w:r>
          </w:p>
        </w:tc>
        <w:tc>
          <w:tcPr>
            <w:tcW w:w="3000" w:type="dxa"/>
          </w:tcPr>
          <w:p w14:paraId="6B440500" w14:textId="77777777" w:rsidR="00B028E9" w:rsidDel="00575E59" w:rsidRDefault="00B028E9" w:rsidP="00A47694">
            <w:pPr>
              <w:jc w:val="both"/>
              <w:rPr>
                <w:rFonts w:cstheme="minorHAnsi"/>
                <w:lang w:val="en-US"/>
              </w:rPr>
            </w:pPr>
            <w:r>
              <w:rPr>
                <w:rFonts w:cstheme="minorHAnsi"/>
                <w:lang w:val="en-US"/>
              </w:rPr>
              <w:t>3-Bin FOGO System</w:t>
            </w:r>
          </w:p>
        </w:tc>
        <w:tc>
          <w:tcPr>
            <w:tcW w:w="1508" w:type="dxa"/>
          </w:tcPr>
          <w:p w14:paraId="2B80C07F" w14:textId="77777777" w:rsidR="00B028E9" w:rsidDel="00575E59" w:rsidRDefault="00B028E9" w:rsidP="00A47694">
            <w:pPr>
              <w:jc w:val="both"/>
              <w:rPr>
                <w:rFonts w:cstheme="minorHAnsi"/>
                <w:lang w:val="en-US"/>
              </w:rPr>
            </w:pPr>
            <w:r>
              <w:rPr>
                <w:rFonts w:cstheme="minorHAnsi"/>
                <w:lang w:val="en-US"/>
              </w:rPr>
              <w:t>$223.00</w:t>
            </w:r>
          </w:p>
        </w:tc>
      </w:tr>
      <w:tr w:rsidR="00B028E9" w14:paraId="7E5253E0" w14:textId="77777777" w:rsidTr="00A47694">
        <w:tc>
          <w:tcPr>
            <w:tcW w:w="1413" w:type="dxa"/>
          </w:tcPr>
          <w:p w14:paraId="22E1F516" w14:textId="77777777" w:rsidR="00B028E9" w:rsidRDefault="00B028E9" w:rsidP="00A47694">
            <w:pPr>
              <w:jc w:val="both"/>
              <w:rPr>
                <w:rFonts w:cstheme="minorHAnsi"/>
                <w:lang w:val="en-US"/>
              </w:rPr>
            </w:pPr>
            <w:r>
              <w:rPr>
                <w:rFonts w:cstheme="minorHAnsi"/>
                <w:lang w:val="en-US"/>
              </w:rPr>
              <w:t>M-01</w:t>
            </w:r>
          </w:p>
        </w:tc>
        <w:tc>
          <w:tcPr>
            <w:tcW w:w="3095" w:type="dxa"/>
          </w:tcPr>
          <w:p w14:paraId="51841466" w14:textId="77777777" w:rsidR="00B028E9" w:rsidRDefault="00B028E9" w:rsidP="00A47694">
            <w:pPr>
              <w:jc w:val="both"/>
              <w:rPr>
                <w:rFonts w:cstheme="minorHAnsi"/>
                <w:lang w:val="en-US"/>
              </w:rPr>
            </w:pPr>
            <w:r>
              <w:rPr>
                <w:rFonts w:cstheme="minorHAnsi"/>
                <w:lang w:val="en-US"/>
              </w:rPr>
              <w:t xml:space="preserve">Bin Hire – private run events </w:t>
            </w:r>
          </w:p>
        </w:tc>
        <w:tc>
          <w:tcPr>
            <w:tcW w:w="3000" w:type="dxa"/>
          </w:tcPr>
          <w:p w14:paraId="530F6ADD" w14:textId="77777777" w:rsidR="00B028E9" w:rsidRDefault="00B028E9" w:rsidP="00A47694">
            <w:pPr>
              <w:jc w:val="both"/>
              <w:rPr>
                <w:rFonts w:cstheme="minorHAnsi"/>
                <w:lang w:val="en-US"/>
              </w:rPr>
            </w:pPr>
            <w:r>
              <w:rPr>
                <w:rFonts w:cstheme="minorHAnsi"/>
                <w:lang w:val="en-US"/>
              </w:rPr>
              <w:t xml:space="preserve">FOGO, General Waste and Recycling </w:t>
            </w:r>
          </w:p>
        </w:tc>
        <w:tc>
          <w:tcPr>
            <w:tcW w:w="1508" w:type="dxa"/>
          </w:tcPr>
          <w:p w14:paraId="11838A03" w14:textId="77777777" w:rsidR="00B028E9" w:rsidRDefault="00B028E9" w:rsidP="00A47694">
            <w:pPr>
              <w:jc w:val="both"/>
              <w:rPr>
                <w:rFonts w:cstheme="minorHAnsi"/>
                <w:lang w:val="en-US"/>
              </w:rPr>
            </w:pPr>
            <w:r>
              <w:rPr>
                <w:rFonts w:cstheme="minorHAnsi"/>
                <w:lang w:val="en-US"/>
              </w:rPr>
              <w:t>$per bin x per lift</w:t>
            </w:r>
          </w:p>
        </w:tc>
      </w:tr>
      <w:tr w:rsidR="00B028E9" w14:paraId="17FF6652" w14:textId="77777777" w:rsidTr="00A47694">
        <w:tc>
          <w:tcPr>
            <w:tcW w:w="1413" w:type="dxa"/>
          </w:tcPr>
          <w:p w14:paraId="3768C0D2" w14:textId="77777777" w:rsidR="00B028E9" w:rsidRDefault="00B028E9" w:rsidP="00A47694">
            <w:pPr>
              <w:jc w:val="both"/>
              <w:rPr>
                <w:rFonts w:cstheme="minorHAnsi"/>
                <w:lang w:val="en-US"/>
              </w:rPr>
            </w:pPr>
            <w:r>
              <w:rPr>
                <w:rFonts w:cstheme="minorHAnsi"/>
                <w:lang w:val="en-US"/>
              </w:rPr>
              <w:t>C-05</w:t>
            </w:r>
          </w:p>
        </w:tc>
        <w:tc>
          <w:tcPr>
            <w:tcW w:w="3095" w:type="dxa"/>
          </w:tcPr>
          <w:p w14:paraId="48BA0949" w14:textId="77777777" w:rsidR="00B028E9" w:rsidRDefault="00B028E9" w:rsidP="00A47694">
            <w:pPr>
              <w:jc w:val="both"/>
              <w:rPr>
                <w:rFonts w:cstheme="minorHAnsi"/>
                <w:lang w:val="en-US"/>
              </w:rPr>
            </w:pPr>
            <w:r>
              <w:rPr>
                <w:rFonts w:cstheme="minorHAnsi"/>
                <w:lang w:val="en-US"/>
              </w:rPr>
              <w:t xml:space="preserve">Concessional Service – Community Groups and Sporting Clubs </w:t>
            </w:r>
          </w:p>
        </w:tc>
        <w:tc>
          <w:tcPr>
            <w:tcW w:w="3000" w:type="dxa"/>
          </w:tcPr>
          <w:p w14:paraId="24031CEC" w14:textId="77777777" w:rsidR="00B028E9" w:rsidRDefault="00B028E9" w:rsidP="00A47694">
            <w:pPr>
              <w:jc w:val="both"/>
              <w:rPr>
                <w:rFonts w:cstheme="minorHAnsi"/>
                <w:lang w:val="en-US"/>
              </w:rPr>
            </w:pPr>
            <w:r>
              <w:rPr>
                <w:rFonts w:cstheme="minorHAnsi"/>
                <w:lang w:val="en-US"/>
              </w:rPr>
              <w:t xml:space="preserve">FOGO, General Waste and Recycling </w:t>
            </w:r>
          </w:p>
        </w:tc>
        <w:tc>
          <w:tcPr>
            <w:tcW w:w="1508" w:type="dxa"/>
          </w:tcPr>
          <w:p w14:paraId="267956B0" w14:textId="77777777" w:rsidR="00B028E9" w:rsidRDefault="00B028E9" w:rsidP="00A47694">
            <w:pPr>
              <w:jc w:val="both"/>
              <w:rPr>
                <w:rFonts w:cstheme="minorHAnsi"/>
                <w:lang w:val="en-US"/>
              </w:rPr>
            </w:pPr>
            <w:r>
              <w:rPr>
                <w:rFonts w:cstheme="minorHAnsi"/>
                <w:lang w:val="en-US"/>
              </w:rPr>
              <w:t>$0</w:t>
            </w:r>
          </w:p>
        </w:tc>
      </w:tr>
      <w:tr w:rsidR="00B028E9" w14:paraId="3C03172F" w14:textId="77777777" w:rsidTr="00A47694">
        <w:tc>
          <w:tcPr>
            <w:tcW w:w="1413" w:type="dxa"/>
          </w:tcPr>
          <w:p w14:paraId="3C051D19" w14:textId="77777777" w:rsidR="00B028E9" w:rsidRDefault="00B028E9" w:rsidP="00A47694">
            <w:pPr>
              <w:jc w:val="both"/>
              <w:rPr>
                <w:rFonts w:cstheme="minorHAnsi"/>
                <w:lang w:val="en-US"/>
              </w:rPr>
            </w:pPr>
            <w:r>
              <w:rPr>
                <w:rFonts w:cstheme="minorHAnsi"/>
                <w:lang w:val="en-US"/>
              </w:rPr>
              <w:t>R-05</w:t>
            </w:r>
          </w:p>
        </w:tc>
        <w:tc>
          <w:tcPr>
            <w:tcW w:w="3095" w:type="dxa"/>
          </w:tcPr>
          <w:p w14:paraId="2B3A2299" w14:textId="77777777" w:rsidR="00B028E9" w:rsidRDefault="00B028E9" w:rsidP="00A47694">
            <w:pPr>
              <w:jc w:val="both"/>
              <w:rPr>
                <w:rFonts w:cstheme="minorHAnsi"/>
                <w:lang w:val="en-US"/>
              </w:rPr>
            </w:pPr>
            <w:r>
              <w:rPr>
                <w:rFonts w:cstheme="minorHAnsi"/>
                <w:lang w:val="en-US"/>
              </w:rPr>
              <w:t>Residential Recycling upgrade</w:t>
            </w:r>
          </w:p>
        </w:tc>
        <w:tc>
          <w:tcPr>
            <w:tcW w:w="3000" w:type="dxa"/>
          </w:tcPr>
          <w:p w14:paraId="704E0B3D" w14:textId="77777777" w:rsidR="00B028E9" w:rsidRDefault="00B028E9" w:rsidP="00A47694">
            <w:pPr>
              <w:jc w:val="both"/>
              <w:rPr>
                <w:rFonts w:cstheme="minorHAnsi"/>
                <w:lang w:val="en-US"/>
              </w:rPr>
            </w:pPr>
            <w:r>
              <w:rPr>
                <w:rFonts w:cstheme="minorHAnsi"/>
                <w:lang w:val="en-US"/>
              </w:rPr>
              <w:t>240-360ltr Recycling</w:t>
            </w:r>
          </w:p>
        </w:tc>
        <w:tc>
          <w:tcPr>
            <w:tcW w:w="1508" w:type="dxa"/>
          </w:tcPr>
          <w:p w14:paraId="7D12242F" w14:textId="77777777" w:rsidR="00B028E9" w:rsidRDefault="00B028E9" w:rsidP="00A47694">
            <w:pPr>
              <w:jc w:val="both"/>
              <w:rPr>
                <w:rFonts w:cstheme="minorHAnsi"/>
                <w:lang w:val="en-US"/>
              </w:rPr>
            </w:pPr>
            <w:r>
              <w:rPr>
                <w:rFonts w:cstheme="minorHAnsi"/>
                <w:lang w:val="en-US"/>
              </w:rPr>
              <w:t>$0.00</w:t>
            </w:r>
          </w:p>
        </w:tc>
      </w:tr>
      <w:tr w:rsidR="00B028E9" w14:paraId="7BF98B13" w14:textId="77777777" w:rsidTr="00A47694">
        <w:tc>
          <w:tcPr>
            <w:tcW w:w="1413" w:type="dxa"/>
          </w:tcPr>
          <w:p w14:paraId="5D9D4681" w14:textId="77777777" w:rsidR="00B028E9" w:rsidRDefault="00B028E9" w:rsidP="00A47694">
            <w:pPr>
              <w:jc w:val="both"/>
              <w:rPr>
                <w:rFonts w:cstheme="minorHAnsi"/>
                <w:lang w:val="en-US"/>
              </w:rPr>
            </w:pPr>
            <w:r>
              <w:rPr>
                <w:rFonts w:cstheme="minorHAnsi"/>
                <w:lang w:val="en-US"/>
              </w:rPr>
              <w:t>R-06</w:t>
            </w:r>
          </w:p>
        </w:tc>
        <w:tc>
          <w:tcPr>
            <w:tcW w:w="3095" w:type="dxa"/>
          </w:tcPr>
          <w:p w14:paraId="75A6BA4C" w14:textId="77777777" w:rsidR="00B028E9" w:rsidRDefault="00B028E9" w:rsidP="00A47694">
            <w:pPr>
              <w:jc w:val="both"/>
              <w:rPr>
                <w:rFonts w:cstheme="minorHAnsi"/>
                <w:lang w:val="en-US"/>
              </w:rPr>
            </w:pPr>
            <w:r>
              <w:rPr>
                <w:rFonts w:cstheme="minorHAnsi"/>
                <w:lang w:val="en-US"/>
              </w:rPr>
              <w:t>Residential General Waste upgrade</w:t>
            </w:r>
          </w:p>
        </w:tc>
        <w:tc>
          <w:tcPr>
            <w:tcW w:w="3000" w:type="dxa"/>
          </w:tcPr>
          <w:p w14:paraId="1845E3FB" w14:textId="77777777" w:rsidR="00B028E9" w:rsidRDefault="00B028E9" w:rsidP="00A47694">
            <w:pPr>
              <w:jc w:val="both"/>
              <w:rPr>
                <w:rFonts w:cstheme="minorHAnsi"/>
                <w:lang w:val="en-US"/>
              </w:rPr>
            </w:pPr>
            <w:r>
              <w:rPr>
                <w:rFonts w:cstheme="minorHAnsi"/>
                <w:lang w:val="en-US"/>
              </w:rPr>
              <w:t>140-240ltr General Waste</w:t>
            </w:r>
          </w:p>
        </w:tc>
        <w:tc>
          <w:tcPr>
            <w:tcW w:w="1508" w:type="dxa"/>
          </w:tcPr>
          <w:p w14:paraId="4C47DD17" w14:textId="77777777" w:rsidR="00B028E9" w:rsidRDefault="00B028E9" w:rsidP="00A47694">
            <w:pPr>
              <w:jc w:val="both"/>
              <w:rPr>
                <w:rFonts w:cstheme="minorHAnsi"/>
                <w:lang w:val="en-US"/>
              </w:rPr>
            </w:pPr>
            <w:r>
              <w:rPr>
                <w:rFonts w:cstheme="minorHAnsi"/>
                <w:lang w:val="en-US"/>
              </w:rPr>
              <w:t>$100.00</w:t>
            </w:r>
          </w:p>
        </w:tc>
      </w:tr>
      <w:tr w:rsidR="00B028E9" w14:paraId="5C56D420" w14:textId="77777777" w:rsidTr="00A47694">
        <w:tc>
          <w:tcPr>
            <w:tcW w:w="1413" w:type="dxa"/>
          </w:tcPr>
          <w:p w14:paraId="2F59624C" w14:textId="77777777" w:rsidR="00B028E9" w:rsidRDefault="00B028E9" w:rsidP="00A47694">
            <w:pPr>
              <w:jc w:val="both"/>
              <w:rPr>
                <w:rFonts w:cstheme="minorHAnsi"/>
                <w:lang w:val="en-US"/>
              </w:rPr>
            </w:pPr>
            <w:r>
              <w:rPr>
                <w:rFonts w:cstheme="minorHAnsi"/>
                <w:lang w:val="en-US"/>
              </w:rPr>
              <w:t>C-06</w:t>
            </w:r>
          </w:p>
        </w:tc>
        <w:tc>
          <w:tcPr>
            <w:tcW w:w="3095" w:type="dxa"/>
          </w:tcPr>
          <w:p w14:paraId="131CC3F8" w14:textId="77777777" w:rsidR="00B028E9" w:rsidRDefault="00B028E9" w:rsidP="00A47694">
            <w:pPr>
              <w:jc w:val="both"/>
              <w:rPr>
                <w:rFonts w:cstheme="minorHAnsi"/>
                <w:lang w:val="en-US"/>
              </w:rPr>
            </w:pPr>
            <w:r>
              <w:rPr>
                <w:rFonts w:cstheme="minorHAnsi"/>
                <w:lang w:val="en-US"/>
              </w:rPr>
              <w:t>Commercial Recycling upgrade</w:t>
            </w:r>
          </w:p>
        </w:tc>
        <w:tc>
          <w:tcPr>
            <w:tcW w:w="3000" w:type="dxa"/>
          </w:tcPr>
          <w:p w14:paraId="5196CA13" w14:textId="77777777" w:rsidR="00B028E9" w:rsidRDefault="00B028E9" w:rsidP="00A47694">
            <w:pPr>
              <w:jc w:val="both"/>
              <w:rPr>
                <w:rFonts w:cstheme="minorHAnsi"/>
                <w:lang w:val="en-US"/>
              </w:rPr>
            </w:pPr>
            <w:r>
              <w:rPr>
                <w:rFonts w:cstheme="minorHAnsi"/>
                <w:lang w:val="en-US"/>
              </w:rPr>
              <w:t>240-360ltr Recycling</w:t>
            </w:r>
          </w:p>
        </w:tc>
        <w:tc>
          <w:tcPr>
            <w:tcW w:w="1508" w:type="dxa"/>
          </w:tcPr>
          <w:p w14:paraId="20D31199" w14:textId="77777777" w:rsidR="00B028E9" w:rsidRDefault="00B028E9" w:rsidP="00A47694">
            <w:pPr>
              <w:jc w:val="both"/>
              <w:rPr>
                <w:rFonts w:cstheme="minorHAnsi"/>
                <w:lang w:val="en-US"/>
              </w:rPr>
            </w:pPr>
            <w:r>
              <w:rPr>
                <w:rFonts w:cstheme="minorHAnsi"/>
                <w:lang w:val="en-US"/>
              </w:rPr>
              <w:t>$100.00</w:t>
            </w:r>
          </w:p>
        </w:tc>
      </w:tr>
    </w:tbl>
    <w:p w14:paraId="0A14BCA6" w14:textId="77777777" w:rsidR="00B028E9" w:rsidRDefault="00B028E9" w:rsidP="00B028E9">
      <w:pPr>
        <w:jc w:val="both"/>
        <w:rPr>
          <w:rFonts w:ascii="Arial" w:hAnsi="Arial" w:cs="Arial"/>
          <w:b/>
          <w:bCs/>
          <w:lang w:val="en-US"/>
        </w:rPr>
      </w:pPr>
    </w:p>
    <w:p w14:paraId="5895EACB" w14:textId="77777777" w:rsidR="00B028E9" w:rsidRDefault="00B028E9" w:rsidP="00B028E9">
      <w:pPr>
        <w:rPr>
          <w:rFonts w:ascii="Arial" w:hAnsi="Arial" w:cs="Arial"/>
          <w:b/>
          <w:bCs/>
          <w:lang w:val="en-US"/>
        </w:rPr>
      </w:pPr>
      <w:r>
        <w:rPr>
          <w:rFonts w:ascii="Arial" w:hAnsi="Arial" w:cs="Arial"/>
          <w:b/>
          <w:bCs/>
          <w:lang w:val="en-US"/>
        </w:rPr>
        <w:br w:type="page"/>
      </w:r>
    </w:p>
    <w:p w14:paraId="0A5D5A52" w14:textId="77777777" w:rsidR="00B028E9" w:rsidRDefault="00B028E9" w:rsidP="00B028E9">
      <w:pPr>
        <w:jc w:val="both"/>
        <w:rPr>
          <w:rFonts w:ascii="Arial" w:hAnsi="Arial" w:cs="Arial"/>
          <w:b/>
          <w:bCs/>
          <w:lang w:val="en-US"/>
        </w:rPr>
      </w:pPr>
      <w:r>
        <w:rPr>
          <w:rFonts w:ascii="Arial" w:hAnsi="Arial" w:cs="Arial"/>
          <w:b/>
          <w:bCs/>
          <w:lang w:val="en-US"/>
        </w:rPr>
        <w:lastRenderedPageBreak/>
        <w:t>Appendix 2 – Rubbish Bin Request Form</w:t>
      </w:r>
    </w:p>
    <w:p w14:paraId="3A5EB6D5" w14:textId="77777777" w:rsidR="00B028E9" w:rsidRDefault="00B028E9" w:rsidP="00B028E9">
      <w:pPr>
        <w:jc w:val="both"/>
        <w:rPr>
          <w:rFonts w:ascii="Arial" w:hAnsi="Arial" w:cs="Arial"/>
          <w:b/>
          <w:bCs/>
          <w:lang w:val="en-US"/>
        </w:rPr>
      </w:pPr>
      <w:r>
        <w:rPr>
          <w:rFonts w:ascii="Arial" w:hAnsi="Arial" w:cs="Arial"/>
          <w:b/>
          <w:bCs/>
          <w:noProof/>
          <w:lang w:val="en-US"/>
        </w:rPr>
        <w:drawing>
          <wp:inline distT="0" distB="0" distL="0" distR="0" wp14:anchorId="29DA98B5" wp14:editId="42212096">
            <wp:extent cx="5731510" cy="8105775"/>
            <wp:effectExtent l="0" t="0" r="2540" b="9525"/>
            <wp:docPr id="1198359749" name="Picture 11983597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8105775"/>
                    </a:xfrm>
                    <a:prstGeom prst="rect">
                      <a:avLst/>
                    </a:prstGeom>
                  </pic:spPr>
                </pic:pic>
              </a:graphicData>
            </a:graphic>
          </wp:inline>
        </w:drawing>
      </w:r>
    </w:p>
    <w:p w14:paraId="5E98E850" w14:textId="77777777" w:rsidR="00B028E9" w:rsidRDefault="00B028E9" w:rsidP="00B028E9">
      <w:pPr>
        <w:jc w:val="both"/>
        <w:rPr>
          <w:rFonts w:ascii="Arial" w:hAnsi="Arial" w:cs="Arial"/>
          <w:b/>
          <w:bCs/>
          <w:lang w:val="en-US"/>
        </w:rPr>
      </w:pPr>
    </w:p>
    <w:p w14:paraId="2B152439" w14:textId="77777777" w:rsidR="00B028E9" w:rsidRDefault="00B028E9" w:rsidP="00B028E9">
      <w:pPr>
        <w:jc w:val="both"/>
        <w:rPr>
          <w:rFonts w:ascii="Arial" w:hAnsi="Arial" w:cs="Arial"/>
          <w:b/>
          <w:bCs/>
          <w:lang w:val="en-US"/>
        </w:rPr>
      </w:pPr>
    </w:p>
    <w:p w14:paraId="651B6C68" w14:textId="77777777" w:rsidR="00B028E9" w:rsidRDefault="00B028E9" w:rsidP="00B028E9">
      <w:pPr>
        <w:jc w:val="both"/>
        <w:rPr>
          <w:rFonts w:ascii="Arial" w:hAnsi="Arial" w:cs="Arial"/>
          <w:b/>
          <w:bCs/>
          <w:lang w:val="en-US"/>
        </w:rPr>
      </w:pPr>
      <w:r>
        <w:rPr>
          <w:rFonts w:ascii="Arial" w:hAnsi="Arial" w:cs="Arial"/>
          <w:b/>
          <w:bCs/>
          <w:noProof/>
          <w:lang w:val="en-US"/>
        </w:rPr>
        <w:lastRenderedPageBreak/>
        <w:drawing>
          <wp:inline distT="0" distB="0" distL="0" distR="0" wp14:anchorId="0BEBE340" wp14:editId="7379D009">
            <wp:extent cx="5731510" cy="8105775"/>
            <wp:effectExtent l="0" t="0" r="2540" b="9525"/>
            <wp:docPr id="144095925" name="Picture 1440959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8105775"/>
                    </a:xfrm>
                    <a:prstGeom prst="rect">
                      <a:avLst/>
                    </a:prstGeom>
                  </pic:spPr>
                </pic:pic>
              </a:graphicData>
            </a:graphic>
          </wp:inline>
        </w:drawing>
      </w:r>
    </w:p>
    <w:p w14:paraId="681AB97B" w14:textId="77777777" w:rsidR="00B028E9" w:rsidRDefault="00B028E9" w:rsidP="00B028E9">
      <w:pPr>
        <w:jc w:val="both"/>
        <w:rPr>
          <w:rFonts w:ascii="Arial" w:hAnsi="Arial" w:cs="Arial"/>
          <w:b/>
          <w:bCs/>
          <w:lang w:val="en-US"/>
        </w:rPr>
      </w:pPr>
    </w:p>
    <w:p w14:paraId="644A8C82" w14:textId="77777777" w:rsidR="00B028E9" w:rsidRDefault="00B028E9" w:rsidP="00B028E9">
      <w:pPr>
        <w:rPr>
          <w:rFonts w:ascii="Arial" w:hAnsi="Arial" w:cs="Arial"/>
          <w:b/>
          <w:bCs/>
          <w:lang w:val="en-US"/>
        </w:rPr>
      </w:pPr>
      <w:r>
        <w:rPr>
          <w:rFonts w:ascii="Arial" w:hAnsi="Arial" w:cs="Arial"/>
          <w:b/>
          <w:bCs/>
          <w:lang w:val="en-US"/>
        </w:rPr>
        <w:br w:type="page"/>
      </w:r>
    </w:p>
    <w:p w14:paraId="1AFD357D" w14:textId="77777777" w:rsidR="00B028E9" w:rsidRDefault="00B028E9" w:rsidP="00B028E9">
      <w:pPr>
        <w:jc w:val="both"/>
        <w:rPr>
          <w:rFonts w:ascii="Arial" w:hAnsi="Arial" w:cs="Arial"/>
          <w:b/>
          <w:bCs/>
          <w:lang w:val="en-US"/>
        </w:rPr>
      </w:pPr>
      <w:r>
        <w:rPr>
          <w:rFonts w:ascii="Arial" w:hAnsi="Arial" w:cs="Arial"/>
          <w:b/>
          <w:bCs/>
          <w:lang w:val="en-US"/>
        </w:rPr>
        <w:lastRenderedPageBreak/>
        <w:t>Appendix 3 – Process Map – Changes to the Rate Record</w:t>
      </w:r>
    </w:p>
    <w:p w14:paraId="7EF9C337" w14:textId="77777777" w:rsidR="00B028E9" w:rsidRDefault="00B028E9" w:rsidP="00B028E9">
      <w:pPr>
        <w:jc w:val="both"/>
        <w:rPr>
          <w:rFonts w:ascii="Arial" w:hAnsi="Arial" w:cs="Arial"/>
          <w:b/>
          <w:bCs/>
          <w:lang w:val="en-US"/>
        </w:rPr>
      </w:pPr>
    </w:p>
    <w:p w14:paraId="4EC307C5" w14:textId="77777777" w:rsidR="00B028E9" w:rsidRPr="002A3889" w:rsidRDefault="00B028E9" w:rsidP="00B028E9">
      <w:pPr>
        <w:jc w:val="both"/>
        <w:rPr>
          <w:rFonts w:cstheme="minorHAnsi"/>
          <w:lang w:val="en-US"/>
        </w:rPr>
      </w:pPr>
      <w:r w:rsidRPr="002A3889">
        <w:rPr>
          <w:rFonts w:cstheme="minorHAnsi"/>
          <w:lang w:val="en-US"/>
        </w:rPr>
        <w:t>(assuming form already provided)</w:t>
      </w:r>
    </w:p>
    <w:p w14:paraId="2B0DF4E6" w14:textId="77777777" w:rsidR="00B028E9" w:rsidRPr="002A3889" w:rsidRDefault="00B028E9" w:rsidP="00B028E9">
      <w:pPr>
        <w:jc w:val="both"/>
        <w:rPr>
          <w:rFonts w:cstheme="minorHAnsi"/>
          <w:lang w:val="en-US"/>
        </w:rPr>
      </w:pPr>
      <w:r w:rsidRPr="002A3889">
        <w:rPr>
          <w:rFonts w:cstheme="minorHAnsi"/>
          <w:lang w:val="en-US"/>
        </w:rPr>
        <w:t>Enquiry received and allocated by Customer Service to Operations</w:t>
      </w:r>
    </w:p>
    <w:p w14:paraId="5178D759" w14:textId="77777777" w:rsidR="00B028E9" w:rsidRPr="002A3889" w:rsidRDefault="00B028E9" w:rsidP="00B028E9">
      <w:pPr>
        <w:jc w:val="both"/>
        <w:rPr>
          <w:rFonts w:cstheme="minorHAnsi"/>
          <w:lang w:val="en-US"/>
        </w:rPr>
      </w:pPr>
      <w:r w:rsidRPr="002A3889">
        <w:rPr>
          <w:rFonts w:cstheme="minorHAnsi"/>
          <w:lang w:val="en-US"/>
        </w:rPr>
        <w:t>Operations perform the adjustment – delivery/removal of bin(s) – update request and reallocate to Customer Service.</w:t>
      </w:r>
    </w:p>
    <w:p w14:paraId="23EA493A" w14:textId="77777777" w:rsidR="00B028E9" w:rsidRPr="002A3889" w:rsidRDefault="00B028E9" w:rsidP="00B028E9">
      <w:pPr>
        <w:jc w:val="both"/>
        <w:rPr>
          <w:rFonts w:cstheme="minorHAnsi"/>
          <w:lang w:val="en-US"/>
        </w:rPr>
      </w:pPr>
      <w:r w:rsidRPr="002A3889">
        <w:rPr>
          <w:rFonts w:cstheme="minorHAnsi"/>
          <w:lang w:val="en-US"/>
        </w:rPr>
        <w:t>Customer Service complete update to rating record (serial numbers and bin types) and assign to Revenue.</w:t>
      </w:r>
    </w:p>
    <w:p w14:paraId="6E07EC04" w14:textId="77777777" w:rsidR="00B028E9" w:rsidRPr="002A3889" w:rsidRDefault="00B028E9" w:rsidP="00B028E9">
      <w:pPr>
        <w:jc w:val="both"/>
        <w:rPr>
          <w:rFonts w:cstheme="minorHAnsi"/>
          <w:lang w:val="en-US"/>
        </w:rPr>
      </w:pPr>
      <w:r w:rsidRPr="002A3889">
        <w:rPr>
          <w:rFonts w:cstheme="minorHAnsi"/>
          <w:lang w:val="en-US"/>
        </w:rPr>
        <w:t>Revenue completes the request upon creating pro-rata rating adjustment on property.</w:t>
      </w:r>
    </w:p>
    <w:p w14:paraId="40F64D44" w14:textId="77777777" w:rsidR="00B028E9" w:rsidRPr="002A3889" w:rsidRDefault="00B028E9" w:rsidP="00B028E9">
      <w:pPr>
        <w:jc w:val="both"/>
        <w:rPr>
          <w:rFonts w:cstheme="minorHAnsi"/>
          <w:lang w:val="en-US"/>
        </w:rPr>
      </w:pPr>
      <w:r w:rsidRPr="002A3889">
        <w:rPr>
          <w:rFonts w:cstheme="minorHAnsi"/>
          <w:lang w:val="en-US"/>
        </w:rPr>
        <w:t>Regulatory Services to provide all Demolition permits the refuse adjustment form to ensure bin removal prior to demolition.</w:t>
      </w:r>
    </w:p>
    <w:p w14:paraId="43FEEE43" w14:textId="77777777" w:rsidR="00B028E9" w:rsidRPr="002A3889" w:rsidRDefault="00B028E9" w:rsidP="00B028E9">
      <w:pPr>
        <w:jc w:val="both"/>
        <w:rPr>
          <w:rFonts w:cstheme="minorHAnsi"/>
          <w:lang w:val="en-US"/>
        </w:rPr>
      </w:pPr>
      <w:r w:rsidRPr="002A3889">
        <w:rPr>
          <w:rFonts w:cstheme="minorHAnsi"/>
          <w:lang w:val="en-US"/>
        </w:rPr>
        <w:t xml:space="preserve">(interims will be performed in arrears after awaiting any corresponding customer service reports from Veolia). </w:t>
      </w:r>
    </w:p>
    <w:p w14:paraId="260761E6" w14:textId="77777777" w:rsidR="00B028E9" w:rsidRPr="002A3889" w:rsidRDefault="00B028E9" w:rsidP="00B028E9">
      <w:pPr>
        <w:jc w:val="both"/>
        <w:rPr>
          <w:rFonts w:cstheme="minorHAnsi"/>
          <w:lang w:val="en-US"/>
        </w:rPr>
      </w:pPr>
    </w:p>
    <w:p w14:paraId="04437B11" w14:textId="77777777" w:rsidR="00B028E9" w:rsidRDefault="00B028E9" w:rsidP="00B028E9">
      <w:pPr>
        <w:jc w:val="both"/>
        <w:rPr>
          <w:rFonts w:ascii="Arial" w:hAnsi="Arial" w:cs="Arial"/>
          <w:lang w:val="en-US"/>
        </w:rPr>
      </w:pPr>
    </w:p>
    <w:p w14:paraId="2BD4EBBB" w14:textId="77777777" w:rsidR="00B028E9" w:rsidRDefault="00B028E9" w:rsidP="00B028E9">
      <w:pPr>
        <w:jc w:val="both"/>
        <w:rPr>
          <w:rFonts w:ascii="Arial" w:hAnsi="Arial" w:cs="Arial"/>
          <w:lang w:val="en-US"/>
        </w:rPr>
      </w:pPr>
    </w:p>
    <w:p w14:paraId="22643363" w14:textId="77777777" w:rsidR="00B028E9" w:rsidRDefault="00B028E9" w:rsidP="00B028E9">
      <w:pPr>
        <w:jc w:val="both"/>
        <w:rPr>
          <w:rFonts w:ascii="Arial" w:hAnsi="Arial" w:cs="Arial"/>
          <w:b/>
          <w:bCs/>
          <w:lang w:val="en-US"/>
        </w:rPr>
      </w:pPr>
    </w:p>
    <w:p w14:paraId="79141742" w14:textId="77777777" w:rsidR="00B028E9" w:rsidRDefault="00B028E9" w:rsidP="00B028E9">
      <w:pPr>
        <w:jc w:val="both"/>
        <w:rPr>
          <w:rFonts w:ascii="Arial" w:hAnsi="Arial" w:cs="Arial"/>
          <w:b/>
          <w:bCs/>
          <w:lang w:val="en-US"/>
        </w:rPr>
      </w:pPr>
    </w:p>
    <w:p w14:paraId="12CD24F5" w14:textId="77777777" w:rsidR="00B028E9" w:rsidRDefault="00B028E9" w:rsidP="00B028E9">
      <w:pPr>
        <w:jc w:val="both"/>
        <w:rPr>
          <w:rFonts w:ascii="Arial" w:hAnsi="Arial" w:cs="Arial"/>
          <w:b/>
          <w:bCs/>
          <w:lang w:val="en-US"/>
        </w:rPr>
        <w:sectPr w:rsidR="00B028E9" w:rsidSect="00B028E9">
          <w:footerReference w:type="default" r:id="rId64"/>
          <w:pgSz w:w="11906" w:h="16838"/>
          <w:pgMar w:top="1021" w:right="1440" w:bottom="1440" w:left="1440" w:header="709" w:footer="709" w:gutter="0"/>
          <w:cols w:space="708"/>
          <w:docGrid w:linePitch="360"/>
        </w:sectPr>
      </w:pPr>
    </w:p>
    <w:p w14:paraId="630F86B8" w14:textId="77777777" w:rsidR="00B028E9" w:rsidRDefault="00B028E9" w:rsidP="00B028E9">
      <w:pPr>
        <w:jc w:val="both"/>
        <w:rPr>
          <w:rFonts w:ascii="Arial" w:hAnsi="Arial" w:cs="Arial"/>
          <w:b/>
          <w:bCs/>
          <w:lang w:val="en-US"/>
        </w:rPr>
      </w:pPr>
      <w:r w:rsidRPr="006764E0">
        <w:rPr>
          <w:rFonts w:ascii="Arial" w:hAnsi="Arial" w:cs="Arial"/>
          <w:b/>
          <w:bCs/>
          <w:lang w:val="en-US"/>
        </w:rPr>
        <w:lastRenderedPageBreak/>
        <w:t>Appendix</w:t>
      </w:r>
      <w:r>
        <w:rPr>
          <w:rFonts w:ascii="Arial" w:hAnsi="Arial" w:cs="Arial"/>
          <w:b/>
          <w:bCs/>
          <w:lang w:val="en-US"/>
        </w:rPr>
        <w:t xml:space="preserve"> 4 </w:t>
      </w:r>
      <w:r w:rsidRPr="006764E0">
        <w:rPr>
          <w:rFonts w:ascii="Arial" w:hAnsi="Arial" w:cs="Arial"/>
          <w:b/>
          <w:bCs/>
          <w:lang w:val="en-US"/>
        </w:rPr>
        <w:t>– Pricing Model</w:t>
      </w:r>
    </w:p>
    <w:p w14:paraId="65B03821" w14:textId="77777777" w:rsidR="00B028E9" w:rsidRPr="006159B7" w:rsidRDefault="00B028E9" w:rsidP="00B028E9">
      <w:pPr>
        <w:jc w:val="both"/>
        <w:rPr>
          <w:rFonts w:ascii="Arial" w:hAnsi="Arial" w:cs="Arial"/>
          <w:lang w:val="en-US"/>
        </w:rPr>
      </w:pPr>
      <w:r>
        <w:rPr>
          <w:noProof/>
        </w:rPr>
        <w:drawing>
          <wp:inline distT="0" distB="0" distL="0" distR="0" wp14:anchorId="232ED58B" wp14:editId="0D6B4D9F">
            <wp:extent cx="9372600" cy="4057650"/>
            <wp:effectExtent l="0" t="0" r="0" b="0"/>
            <wp:docPr id="15877923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792349" name="Picture 1" descr="A screenshot of a computer&#10;&#10;Description automatically generated"/>
                    <pic:cNvPicPr/>
                  </pic:nvPicPr>
                  <pic:blipFill>
                    <a:blip r:embed="rId65"/>
                    <a:stretch>
                      <a:fillRect/>
                    </a:stretch>
                  </pic:blipFill>
                  <pic:spPr>
                    <a:xfrm>
                      <a:off x="0" y="0"/>
                      <a:ext cx="9372600" cy="4057650"/>
                    </a:xfrm>
                    <a:prstGeom prst="rect">
                      <a:avLst/>
                    </a:prstGeom>
                  </pic:spPr>
                </pic:pic>
              </a:graphicData>
            </a:graphic>
          </wp:inline>
        </w:drawing>
      </w:r>
    </w:p>
    <w:p w14:paraId="5DE580DD" w14:textId="77777777" w:rsidR="0062714E" w:rsidRDefault="0062714E" w:rsidP="0062714E"/>
    <w:p w14:paraId="5DD39193" w14:textId="77777777" w:rsidR="00B028E9" w:rsidRDefault="00B028E9" w:rsidP="0062714E"/>
    <w:p w14:paraId="5AD59E6B" w14:textId="77777777" w:rsidR="002A3889" w:rsidRDefault="002A3889" w:rsidP="0062714E">
      <w:pPr>
        <w:sectPr w:rsidR="002A3889" w:rsidSect="002A3889">
          <w:pgSz w:w="16838" w:h="11906" w:orient="landscape"/>
          <w:pgMar w:top="1440" w:right="1021" w:bottom="1416" w:left="1440" w:header="709" w:footer="709" w:gutter="0"/>
          <w:pgNumType w:start="1"/>
          <w:cols w:space="708"/>
          <w:docGrid w:linePitch="360"/>
        </w:sectPr>
      </w:pPr>
    </w:p>
    <w:p w14:paraId="504AE04D" w14:textId="7199A583" w:rsidR="002F4265" w:rsidRDefault="00F23DE3" w:rsidP="002F4265">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41856" behindDoc="1" locked="0" layoutInCell="1" allowOverlap="1" wp14:anchorId="724EFF7E" wp14:editId="65016D55">
            <wp:simplePos x="0" y="0"/>
            <wp:positionH relativeFrom="margin">
              <wp:align>right</wp:align>
            </wp:positionH>
            <wp:positionV relativeFrom="paragraph">
              <wp:posOffset>9525</wp:posOffset>
            </wp:positionV>
            <wp:extent cx="1744345" cy="699135"/>
            <wp:effectExtent l="0" t="0" r="8255" b="5715"/>
            <wp:wrapTight wrapText="bothSides">
              <wp:wrapPolygon edited="0">
                <wp:start x="0" y="0"/>
                <wp:lineTo x="0" y="21188"/>
                <wp:lineTo x="21466" y="21188"/>
                <wp:lineTo x="21466"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38BD98A" w14:textId="77777777" w:rsidR="002F4265" w:rsidRDefault="002F4265" w:rsidP="002F4265">
      <w:pPr>
        <w:pStyle w:val="Title"/>
        <w:pBdr>
          <w:bottom w:val="none" w:sz="0" w:space="0" w:color="auto"/>
        </w:pBdr>
        <w:spacing w:before="240" w:after="240"/>
        <w:rPr>
          <w:rFonts w:ascii="Arial" w:hAnsi="Arial" w:cs="Arial"/>
          <w:b/>
          <w:sz w:val="16"/>
          <w:szCs w:val="28"/>
          <w:lang w:val="en-US"/>
        </w:rPr>
      </w:pPr>
    </w:p>
    <w:p w14:paraId="53AEDEA8" w14:textId="77777777" w:rsidR="00F23DE3" w:rsidRDefault="00F23DE3" w:rsidP="00DC04FA">
      <w:pPr>
        <w:pStyle w:val="Policy2"/>
        <w:spacing w:after="120"/>
      </w:pPr>
    </w:p>
    <w:p w14:paraId="4D6D6DF2" w14:textId="77777777" w:rsidR="00F23DE3" w:rsidRDefault="00F23DE3" w:rsidP="00DC04FA">
      <w:pPr>
        <w:pStyle w:val="Policy2"/>
        <w:spacing w:after="120"/>
      </w:pPr>
    </w:p>
    <w:p w14:paraId="07256EBC" w14:textId="21A837B2" w:rsidR="00DC04FA" w:rsidRPr="00DC04FA" w:rsidRDefault="00DC04FA" w:rsidP="00DC04FA">
      <w:pPr>
        <w:pStyle w:val="Policy2"/>
        <w:spacing w:after="120"/>
      </w:pPr>
      <w:bookmarkStart w:id="412" w:name="_Toc216866700"/>
      <w:r>
        <w:t>2.2</w:t>
      </w:r>
      <w:r>
        <w:tab/>
        <w:t>RISK MANAGEMENT</w:t>
      </w:r>
      <w:bookmarkEnd w:id="412"/>
    </w:p>
    <w:p w14:paraId="4215CF7B" w14:textId="77777777" w:rsidR="002F4265" w:rsidRPr="00A9373D" w:rsidRDefault="002F4265" w:rsidP="00DC04FA">
      <w:pPr>
        <w:pStyle w:val="Policy3"/>
      </w:pPr>
      <w:bookmarkStart w:id="413" w:name="_Toc216866701"/>
      <w:r w:rsidRPr="00A9373D">
        <w:t>2.2.1</w:t>
      </w:r>
      <w:r w:rsidRPr="00A9373D">
        <w:tab/>
        <w:t>L</w:t>
      </w:r>
      <w:r w:rsidR="00DC04FA">
        <w:t>egal Representation for Council Members and Employees</w:t>
      </w:r>
      <w:bookmarkEnd w:id="413"/>
    </w:p>
    <w:tbl>
      <w:tblPr>
        <w:tblStyle w:val="TableGrid"/>
        <w:tblW w:w="0" w:type="auto"/>
        <w:tblLook w:val="04A0" w:firstRow="1" w:lastRow="0" w:firstColumn="1" w:lastColumn="0" w:noHBand="0" w:noVBand="1"/>
      </w:tblPr>
      <w:tblGrid>
        <w:gridCol w:w="3022"/>
        <w:gridCol w:w="5994"/>
      </w:tblGrid>
      <w:tr w:rsidR="002F4265" w:rsidRPr="002F4265" w14:paraId="14C4C770" w14:textId="77777777" w:rsidTr="00692D9F">
        <w:tc>
          <w:tcPr>
            <w:tcW w:w="3022" w:type="dxa"/>
          </w:tcPr>
          <w:p w14:paraId="59C56977" w14:textId="77777777" w:rsidR="002F4265" w:rsidRPr="002F4265" w:rsidRDefault="002F4265" w:rsidP="00D577CE">
            <w:pPr>
              <w:rPr>
                <w:rFonts w:cstheme="minorHAnsi"/>
                <w:b/>
                <w:lang w:val="en-US"/>
              </w:rPr>
            </w:pPr>
            <w:r w:rsidRPr="002F4265">
              <w:rPr>
                <w:rFonts w:cstheme="minorHAnsi"/>
                <w:b/>
                <w:lang w:val="en-US"/>
              </w:rPr>
              <w:t>Type:</w:t>
            </w:r>
          </w:p>
        </w:tc>
        <w:tc>
          <w:tcPr>
            <w:tcW w:w="5994" w:type="dxa"/>
          </w:tcPr>
          <w:p w14:paraId="056BD486" w14:textId="77777777" w:rsidR="002F4265" w:rsidRPr="002F4265" w:rsidRDefault="007163B0" w:rsidP="00D577CE">
            <w:pPr>
              <w:rPr>
                <w:rFonts w:cstheme="minorHAnsi"/>
                <w:lang w:val="en-US"/>
              </w:rPr>
            </w:pPr>
            <w:r>
              <w:rPr>
                <w:rFonts w:cstheme="minorHAnsi"/>
                <w:lang w:val="en-US"/>
              </w:rPr>
              <w:t xml:space="preserve">Corporate </w:t>
            </w:r>
            <w:proofErr w:type="gramStart"/>
            <w:r>
              <w:rPr>
                <w:rFonts w:cstheme="minorHAnsi"/>
                <w:lang w:val="en-US"/>
              </w:rPr>
              <w:t xml:space="preserve">Services </w:t>
            </w:r>
            <w:r w:rsidR="002F4265" w:rsidRPr="002F4265">
              <w:rPr>
                <w:rFonts w:cstheme="minorHAnsi"/>
                <w:lang w:val="en-US"/>
              </w:rPr>
              <w:t xml:space="preserve"> –</w:t>
            </w:r>
            <w:proofErr w:type="gramEnd"/>
            <w:r w:rsidR="002F4265" w:rsidRPr="002F4265">
              <w:rPr>
                <w:rFonts w:cstheme="minorHAnsi"/>
                <w:lang w:val="en-US"/>
              </w:rPr>
              <w:t xml:space="preserve"> Risk Management</w:t>
            </w:r>
          </w:p>
        </w:tc>
      </w:tr>
      <w:tr w:rsidR="002F4265" w:rsidRPr="002F4265" w14:paraId="7A8E131B" w14:textId="77777777" w:rsidTr="00692D9F">
        <w:tc>
          <w:tcPr>
            <w:tcW w:w="3022" w:type="dxa"/>
          </w:tcPr>
          <w:p w14:paraId="5C23D459" w14:textId="77777777" w:rsidR="002F4265" w:rsidRPr="002F4265" w:rsidRDefault="002F4265" w:rsidP="00D577CE">
            <w:pPr>
              <w:rPr>
                <w:rFonts w:cstheme="minorHAnsi"/>
                <w:b/>
                <w:lang w:val="en-US"/>
              </w:rPr>
            </w:pPr>
            <w:r w:rsidRPr="002F4265">
              <w:rPr>
                <w:rFonts w:cstheme="minorHAnsi"/>
                <w:b/>
                <w:lang w:val="en-US"/>
              </w:rPr>
              <w:t>Legislation:</w:t>
            </w:r>
          </w:p>
        </w:tc>
        <w:tc>
          <w:tcPr>
            <w:tcW w:w="5994" w:type="dxa"/>
          </w:tcPr>
          <w:p w14:paraId="6596512B" w14:textId="77777777" w:rsidR="002F4265" w:rsidRPr="002F4265" w:rsidRDefault="002F4265" w:rsidP="00D577CE">
            <w:pPr>
              <w:rPr>
                <w:rFonts w:cstheme="minorHAnsi"/>
                <w:lang w:val="en-US"/>
              </w:rPr>
            </w:pPr>
            <w:r w:rsidRPr="002F4265">
              <w:rPr>
                <w:rFonts w:cstheme="minorHAnsi"/>
                <w:lang w:val="en-US"/>
              </w:rPr>
              <w:t>LGA 1995 s6.7(2) Municipal fund &amp;</w:t>
            </w:r>
          </w:p>
          <w:p w14:paraId="52B4BB9B" w14:textId="77777777" w:rsidR="002F4265" w:rsidRPr="002F4265" w:rsidRDefault="002F4265" w:rsidP="00D577CE">
            <w:pPr>
              <w:rPr>
                <w:rFonts w:cstheme="minorHAnsi"/>
                <w:lang w:val="en-US"/>
              </w:rPr>
            </w:pPr>
            <w:r w:rsidRPr="002F4265">
              <w:rPr>
                <w:rFonts w:cstheme="minorHAnsi"/>
                <w:lang w:val="en-US"/>
              </w:rPr>
              <w:t>s9.56 Certain persons protected from liability for wrongdoing</w:t>
            </w:r>
          </w:p>
        </w:tc>
      </w:tr>
      <w:tr w:rsidR="002F4265" w:rsidRPr="002F4265" w14:paraId="4C3C9667" w14:textId="77777777" w:rsidTr="00692D9F">
        <w:tc>
          <w:tcPr>
            <w:tcW w:w="3022" w:type="dxa"/>
          </w:tcPr>
          <w:p w14:paraId="377FDEEE" w14:textId="77777777" w:rsidR="002F4265" w:rsidRPr="002F4265" w:rsidRDefault="002F4265" w:rsidP="00D577CE">
            <w:pPr>
              <w:rPr>
                <w:rFonts w:cstheme="minorHAnsi"/>
                <w:b/>
                <w:lang w:val="en-US"/>
              </w:rPr>
            </w:pPr>
            <w:r w:rsidRPr="002F4265">
              <w:rPr>
                <w:rFonts w:cstheme="minorHAnsi"/>
                <w:b/>
                <w:lang w:val="en-US"/>
              </w:rPr>
              <w:t>Delegation:</w:t>
            </w:r>
          </w:p>
        </w:tc>
        <w:tc>
          <w:tcPr>
            <w:tcW w:w="5994" w:type="dxa"/>
          </w:tcPr>
          <w:p w14:paraId="3F982E7F" w14:textId="77777777" w:rsidR="002F4265" w:rsidRPr="002F4265" w:rsidRDefault="002F4265" w:rsidP="00D577CE">
            <w:pPr>
              <w:rPr>
                <w:rFonts w:cstheme="minorHAnsi"/>
                <w:lang w:val="en-US"/>
              </w:rPr>
            </w:pPr>
            <w:r w:rsidRPr="002F4265">
              <w:rPr>
                <w:rFonts w:cstheme="minorHAnsi"/>
                <w:lang w:val="en-US"/>
              </w:rPr>
              <w:t>DA44</w:t>
            </w:r>
            <w:r w:rsidR="00692D9F">
              <w:rPr>
                <w:rFonts w:cstheme="minorHAnsi"/>
                <w:lang w:val="en-US"/>
              </w:rPr>
              <w:t xml:space="preserve"> Legal Representation Costs for an Elected Member or Employee</w:t>
            </w:r>
          </w:p>
        </w:tc>
      </w:tr>
      <w:tr w:rsidR="002F4265" w:rsidRPr="002F4265" w14:paraId="5FE2EF39" w14:textId="77777777" w:rsidTr="00692D9F">
        <w:tc>
          <w:tcPr>
            <w:tcW w:w="3022" w:type="dxa"/>
          </w:tcPr>
          <w:p w14:paraId="4B62C635" w14:textId="77777777" w:rsidR="002F4265" w:rsidRPr="002F4265" w:rsidRDefault="002F4265" w:rsidP="00D577CE">
            <w:pPr>
              <w:rPr>
                <w:rFonts w:cstheme="minorHAnsi"/>
                <w:b/>
                <w:lang w:val="en-US"/>
              </w:rPr>
            </w:pPr>
            <w:r w:rsidRPr="002F4265">
              <w:rPr>
                <w:rFonts w:cstheme="minorHAnsi"/>
                <w:b/>
                <w:lang w:val="en-US"/>
              </w:rPr>
              <w:t>Other Related Document:</w:t>
            </w:r>
          </w:p>
        </w:tc>
        <w:tc>
          <w:tcPr>
            <w:tcW w:w="5994" w:type="dxa"/>
          </w:tcPr>
          <w:p w14:paraId="275AC276" w14:textId="77777777" w:rsidR="002F4265" w:rsidRPr="002F4265" w:rsidRDefault="002F4265" w:rsidP="00D577CE">
            <w:pPr>
              <w:rPr>
                <w:rFonts w:cstheme="minorHAnsi"/>
                <w:lang w:val="en-US"/>
              </w:rPr>
            </w:pPr>
          </w:p>
        </w:tc>
      </w:tr>
    </w:tbl>
    <w:p w14:paraId="20004D0E" w14:textId="77777777" w:rsidR="002F4265" w:rsidRPr="00A9373D" w:rsidRDefault="002F4265" w:rsidP="002F4265">
      <w:pPr>
        <w:spacing w:before="200" w:after="0"/>
        <w:rPr>
          <w:b/>
          <w:sz w:val="28"/>
          <w:szCs w:val="28"/>
          <w:lang w:val="en-US"/>
        </w:rPr>
      </w:pPr>
      <w:r w:rsidRPr="00A9373D">
        <w:rPr>
          <w:b/>
          <w:sz w:val="28"/>
          <w:szCs w:val="28"/>
          <w:lang w:val="en-US"/>
        </w:rPr>
        <w:t>Objective</w:t>
      </w:r>
    </w:p>
    <w:p w14:paraId="4698C26A" w14:textId="77777777" w:rsidR="002F4265" w:rsidRPr="002F4265" w:rsidRDefault="002F4265" w:rsidP="002F4265">
      <w:pPr>
        <w:jc w:val="both"/>
        <w:rPr>
          <w:rFonts w:cstheme="minorHAnsi"/>
          <w:lang w:val="en-US"/>
        </w:rPr>
      </w:pPr>
      <w:r w:rsidRPr="002F4265">
        <w:rPr>
          <w:rFonts w:cstheme="minorHAnsi"/>
          <w:lang w:val="en-US"/>
        </w:rPr>
        <w:t>To provide legal and financial protection for elected members and staff in carrying out their legislative functions or responsibilities in a correct and appropriate manner.</w:t>
      </w:r>
    </w:p>
    <w:p w14:paraId="6D673C6A" w14:textId="77777777" w:rsidR="002F4265" w:rsidRPr="00A9373D" w:rsidRDefault="002F4265" w:rsidP="002F4265">
      <w:pPr>
        <w:spacing w:before="200" w:after="0"/>
        <w:rPr>
          <w:b/>
          <w:sz w:val="28"/>
          <w:szCs w:val="28"/>
          <w:lang w:val="en-US"/>
        </w:rPr>
      </w:pPr>
      <w:r w:rsidRPr="00A9373D">
        <w:rPr>
          <w:b/>
          <w:sz w:val="28"/>
          <w:szCs w:val="28"/>
          <w:lang w:val="en-US"/>
        </w:rPr>
        <w:t>Policy Scope</w:t>
      </w:r>
    </w:p>
    <w:p w14:paraId="2C859B88" w14:textId="77777777" w:rsidR="002F4265" w:rsidRPr="00A9373D" w:rsidRDefault="002F4265" w:rsidP="002F4265">
      <w:pPr>
        <w:jc w:val="both"/>
        <w:rPr>
          <w:rFonts w:cstheme="minorHAnsi"/>
          <w:lang w:val="en-US"/>
        </w:rPr>
      </w:pPr>
      <w:r w:rsidRPr="00A9373D">
        <w:rPr>
          <w:rFonts w:cstheme="minorHAnsi"/>
          <w:lang w:val="en-US"/>
        </w:rPr>
        <w:t>This policy will affect elected members and employees.</w:t>
      </w:r>
    </w:p>
    <w:p w14:paraId="1CAC6EF9" w14:textId="77777777" w:rsidR="002F4265" w:rsidRPr="00A9373D" w:rsidRDefault="002F4265" w:rsidP="002F4265">
      <w:pPr>
        <w:spacing w:before="200" w:after="0"/>
        <w:rPr>
          <w:b/>
          <w:sz w:val="28"/>
          <w:szCs w:val="28"/>
          <w:lang w:val="en-US"/>
        </w:rPr>
      </w:pPr>
      <w:r w:rsidRPr="00A9373D">
        <w:rPr>
          <w:b/>
          <w:sz w:val="28"/>
          <w:szCs w:val="28"/>
          <w:lang w:val="en-US"/>
        </w:rPr>
        <w:t xml:space="preserve">Policy </w:t>
      </w:r>
    </w:p>
    <w:p w14:paraId="1E2A13A3" w14:textId="77777777" w:rsidR="002F4265" w:rsidRPr="002F4265" w:rsidRDefault="002F4265" w:rsidP="002F4265">
      <w:pPr>
        <w:rPr>
          <w:color w:val="000000" w:themeColor="text1"/>
          <w:lang w:val="en-US"/>
        </w:rPr>
      </w:pPr>
      <w:r w:rsidRPr="002F4265">
        <w:rPr>
          <w:color w:val="000000" w:themeColor="text1"/>
          <w:lang w:val="en-US"/>
        </w:rPr>
        <w:t>Explanation of Key Terms</w:t>
      </w:r>
    </w:p>
    <w:p w14:paraId="4F400B23" w14:textId="77777777" w:rsidR="002F4265" w:rsidRPr="002F4265" w:rsidRDefault="002F4265" w:rsidP="00692D9F">
      <w:pPr>
        <w:spacing w:before="120" w:after="60"/>
        <w:ind w:left="1701" w:hanging="1701"/>
        <w:jc w:val="both"/>
        <w:rPr>
          <w:rFonts w:cstheme="minorHAnsi"/>
          <w:i/>
        </w:rPr>
      </w:pPr>
      <w:r w:rsidRPr="002F4265">
        <w:rPr>
          <w:rFonts w:cstheme="minorHAnsi"/>
          <w:b/>
          <w:i/>
        </w:rPr>
        <w:t>approved lawyer</w:t>
      </w:r>
      <w:r w:rsidRPr="002F4265">
        <w:rPr>
          <w:rFonts w:cstheme="minorHAnsi"/>
          <w:i/>
        </w:rPr>
        <w:t xml:space="preserve"> is to be – </w:t>
      </w:r>
    </w:p>
    <w:p w14:paraId="66F81D06" w14:textId="77777777" w:rsidR="002F4265" w:rsidRPr="002F4265" w:rsidRDefault="002F4265" w:rsidP="00692D9F">
      <w:pPr>
        <w:spacing w:after="60"/>
        <w:ind w:left="567" w:hanging="567"/>
        <w:jc w:val="both"/>
        <w:rPr>
          <w:rFonts w:cstheme="minorHAnsi"/>
          <w:i/>
        </w:rPr>
      </w:pPr>
      <w:r w:rsidRPr="002F4265">
        <w:rPr>
          <w:rFonts w:cstheme="minorHAnsi"/>
          <w:i/>
        </w:rPr>
        <w:t>(a)</w:t>
      </w:r>
      <w:r w:rsidRPr="002F4265">
        <w:rPr>
          <w:rFonts w:cstheme="minorHAnsi"/>
          <w:i/>
        </w:rPr>
        <w:tab/>
        <w:t xml:space="preserve">A ‘certified practitioner’ under the Professions Act </w:t>
      </w:r>
      <w:proofErr w:type="gramStart"/>
      <w:r w:rsidRPr="002F4265">
        <w:rPr>
          <w:rFonts w:cstheme="minorHAnsi"/>
          <w:i/>
        </w:rPr>
        <w:t>2008;</w:t>
      </w:r>
      <w:proofErr w:type="gramEnd"/>
    </w:p>
    <w:p w14:paraId="577E4AD1" w14:textId="77777777" w:rsidR="002F4265" w:rsidRPr="002F4265" w:rsidRDefault="002F4265" w:rsidP="00692D9F">
      <w:pPr>
        <w:spacing w:after="60"/>
        <w:ind w:left="567" w:hanging="567"/>
        <w:jc w:val="both"/>
        <w:rPr>
          <w:rFonts w:cstheme="minorHAnsi"/>
          <w:i/>
        </w:rPr>
      </w:pPr>
      <w:r w:rsidRPr="002F4265">
        <w:rPr>
          <w:rFonts w:cstheme="minorHAnsi"/>
          <w:i/>
        </w:rPr>
        <w:t>(b)</w:t>
      </w:r>
      <w:r w:rsidRPr="002F4265">
        <w:rPr>
          <w:rFonts w:cstheme="minorHAnsi"/>
          <w:i/>
        </w:rPr>
        <w:tab/>
        <w:t>from a law firm on the Town’s panel of legal service providers, if relevant, unless the Council considers that this is not appropriate – for example where there is or may be a conflict of interest or insufficient expertise; and</w:t>
      </w:r>
    </w:p>
    <w:p w14:paraId="23091363" w14:textId="77777777" w:rsidR="002F4265" w:rsidRPr="002F4265" w:rsidRDefault="002F4265" w:rsidP="002F4265">
      <w:pPr>
        <w:ind w:left="567" w:hanging="567"/>
        <w:jc w:val="both"/>
        <w:rPr>
          <w:rFonts w:cstheme="minorHAnsi"/>
          <w:i/>
        </w:rPr>
      </w:pPr>
      <w:r w:rsidRPr="002F4265">
        <w:rPr>
          <w:rFonts w:cstheme="minorHAnsi"/>
          <w:i/>
        </w:rPr>
        <w:t>(c)</w:t>
      </w:r>
      <w:r w:rsidRPr="002F4265">
        <w:rPr>
          <w:rFonts w:cstheme="minorHAnsi"/>
          <w:i/>
        </w:rPr>
        <w:tab/>
        <w:t>approved in writing by the Council or the CEO under delegated authority.</w:t>
      </w:r>
    </w:p>
    <w:p w14:paraId="2E39802D" w14:textId="77777777" w:rsidR="002F4265" w:rsidRPr="002F4265" w:rsidRDefault="002F4265" w:rsidP="002F4265">
      <w:pPr>
        <w:jc w:val="both"/>
        <w:rPr>
          <w:rFonts w:cstheme="minorHAnsi"/>
          <w:i/>
        </w:rPr>
      </w:pPr>
      <w:r w:rsidRPr="002F4265">
        <w:rPr>
          <w:rFonts w:cstheme="minorHAnsi"/>
          <w:b/>
          <w:i/>
        </w:rPr>
        <w:t>council member or employee</w:t>
      </w:r>
      <w:r w:rsidRPr="002F4265">
        <w:rPr>
          <w:rFonts w:cstheme="minorHAnsi"/>
          <w:i/>
        </w:rPr>
        <w:t xml:space="preserve"> means a current or former commissioner, council member, non-elected member of a council committee or employee of the Town.</w:t>
      </w:r>
    </w:p>
    <w:p w14:paraId="6EF71590" w14:textId="77777777" w:rsidR="002F4265" w:rsidRPr="002F4265" w:rsidRDefault="002F4265" w:rsidP="002F4265">
      <w:pPr>
        <w:jc w:val="both"/>
        <w:rPr>
          <w:rFonts w:cstheme="minorHAnsi"/>
          <w:i/>
        </w:rPr>
      </w:pPr>
      <w:r w:rsidRPr="002F4265">
        <w:rPr>
          <w:rFonts w:cstheme="minorHAnsi"/>
          <w:b/>
          <w:i/>
        </w:rPr>
        <w:t>legal proceedings</w:t>
      </w:r>
      <w:r w:rsidRPr="002F4265">
        <w:rPr>
          <w:rFonts w:cstheme="minorHAnsi"/>
          <w:i/>
        </w:rPr>
        <w:t xml:space="preserve"> may be civil, criminal or investigative.</w:t>
      </w:r>
    </w:p>
    <w:p w14:paraId="18031FA3" w14:textId="77777777" w:rsidR="002F4265" w:rsidRPr="002F4265" w:rsidRDefault="002F4265" w:rsidP="00692D9F">
      <w:pPr>
        <w:spacing w:after="60"/>
        <w:jc w:val="both"/>
        <w:rPr>
          <w:rFonts w:cstheme="minorHAnsi"/>
          <w:i/>
        </w:rPr>
      </w:pPr>
      <w:r w:rsidRPr="002F4265">
        <w:rPr>
          <w:rFonts w:cstheme="minorHAnsi"/>
          <w:b/>
          <w:i/>
        </w:rPr>
        <w:t>legal representation</w:t>
      </w:r>
      <w:r w:rsidRPr="002F4265">
        <w:rPr>
          <w:rFonts w:cstheme="minorHAnsi"/>
          <w:i/>
        </w:rPr>
        <w:t xml:space="preserve"> is the provision of legal services, to or on behalf of a council member or employee, by an approved lawyer that are in respect of –</w:t>
      </w:r>
    </w:p>
    <w:p w14:paraId="4AE18076" w14:textId="77777777" w:rsidR="002F4265" w:rsidRPr="002F4265" w:rsidRDefault="002F4265" w:rsidP="00692D9F">
      <w:pPr>
        <w:spacing w:after="60"/>
        <w:ind w:left="567" w:hanging="567"/>
        <w:jc w:val="both"/>
        <w:rPr>
          <w:rFonts w:cstheme="minorHAnsi"/>
          <w:i/>
        </w:rPr>
      </w:pPr>
      <w:r w:rsidRPr="002F4265">
        <w:rPr>
          <w:rFonts w:cstheme="minorHAnsi"/>
          <w:i/>
        </w:rPr>
        <w:t xml:space="preserve">(a) </w:t>
      </w:r>
      <w:r w:rsidRPr="002F4265">
        <w:rPr>
          <w:rFonts w:cstheme="minorHAnsi"/>
          <w:i/>
        </w:rPr>
        <w:tab/>
        <w:t>a matter or matters arising from the performance of the functions of the council member or employee; and</w:t>
      </w:r>
    </w:p>
    <w:p w14:paraId="480A1D50" w14:textId="77777777" w:rsidR="002F4265" w:rsidRPr="002F4265" w:rsidRDefault="002F4265" w:rsidP="002F4265">
      <w:pPr>
        <w:ind w:left="567" w:hanging="567"/>
        <w:jc w:val="both"/>
        <w:rPr>
          <w:rFonts w:cstheme="minorHAnsi"/>
          <w:i/>
        </w:rPr>
      </w:pPr>
      <w:r w:rsidRPr="002F4265">
        <w:rPr>
          <w:rFonts w:cstheme="minorHAnsi"/>
          <w:i/>
        </w:rPr>
        <w:t>(b)</w:t>
      </w:r>
      <w:r w:rsidRPr="002F4265">
        <w:rPr>
          <w:rFonts w:cstheme="minorHAnsi"/>
          <w:i/>
        </w:rPr>
        <w:tab/>
        <w:t>legal proceedings involving the council member or employee that have been, or may be, commenced.</w:t>
      </w:r>
    </w:p>
    <w:p w14:paraId="471355DC" w14:textId="77777777" w:rsidR="002F4265" w:rsidRPr="002F4265" w:rsidRDefault="002F4265" w:rsidP="002F4265">
      <w:pPr>
        <w:jc w:val="both"/>
        <w:rPr>
          <w:rFonts w:cstheme="minorHAnsi"/>
          <w:i/>
        </w:rPr>
      </w:pPr>
      <w:r w:rsidRPr="002F4265">
        <w:rPr>
          <w:rFonts w:cstheme="minorHAnsi"/>
          <w:b/>
          <w:i/>
        </w:rPr>
        <w:t>legal representation costs</w:t>
      </w:r>
      <w:r w:rsidRPr="002F4265">
        <w:rPr>
          <w:rFonts w:cstheme="minorHAnsi"/>
          <w:i/>
        </w:rPr>
        <w:t xml:space="preserve"> are the costs, including fees and disbursements, properly incurred in providing legal representation.</w:t>
      </w:r>
    </w:p>
    <w:p w14:paraId="4BD1C3EB" w14:textId="77777777" w:rsidR="002F4265" w:rsidRPr="002F4265" w:rsidRDefault="002F4265" w:rsidP="002F4265">
      <w:pPr>
        <w:jc w:val="both"/>
        <w:rPr>
          <w:rFonts w:cstheme="minorHAnsi"/>
          <w:i/>
        </w:rPr>
      </w:pPr>
      <w:r w:rsidRPr="002F4265">
        <w:rPr>
          <w:rFonts w:cstheme="minorHAnsi"/>
          <w:b/>
          <w:i/>
        </w:rPr>
        <w:lastRenderedPageBreak/>
        <w:t>legal services</w:t>
      </w:r>
      <w:r w:rsidRPr="002F4265">
        <w:rPr>
          <w:rFonts w:cstheme="minorHAnsi"/>
          <w:i/>
        </w:rPr>
        <w:t xml:space="preserve"> </w:t>
      </w:r>
      <w:proofErr w:type="gramStart"/>
      <w:r w:rsidRPr="002F4265">
        <w:rPr>
          <w:rFonts w:cstheme="minorHAnsi"/>
          <w:i/>
        </w:rPr>
        <w:t>includes</w:t>
      </w:r>
      <w:proofErr w:type="gramEnd"/>
      <w:r w:rsidRPr="002F4265">
        <w:rPr>
          <w:rFonts w:cstheme="minorHAnsi"/>
          <w:i/>
        </w:rPr>
        <w:t xml:space="preserve"> advice, representation or documentation that is provided by an approved lawyer.</w:t>
      </w:r>
    </w:p>
    <w:p w14:paraId="4955F6E5" w14:textId="77777777" w:rsidR="002F4265" w:rsidRPr="002F4265" w:rsidRDefault="002F4265" w:rsidP="00692D9F">
      <w:pPr>
        <w:spacing w:after="60"/>
        <w:jc w:val="both"/>
        <w:rPr>
          <w:rFonts w:cstheme="minorHAnsi"/>
          <w:i/>
        </w:rPr>
      </w:pPr>
      <w:r w:rsidRPr="002F4265">
        <w:rPr>
          <w:rFonts w:cstheme="minorHAnsi"/>
          <w:b/>
          <w:i/>
        </w:rPr>
        <w:t>payment</w:t>
      </w:r>
      <w:r w:rsidRPr="002F4265">
        <w:rPr>
          <w:rFonts w:cstheme="minorHAnsi"/>
          <w:i/>
        </w:rPr>
        <w:t xml:space="preserve"> by the Town of legal representation costs may be either by – </w:t>
      </w:r>
    </w:p>
    <w:p w14:paraId="01ED97F2" w14:textId="77777777" w:rsidR="002F4265" w:rsidRPr="002F4265" w:rsidRDefault="002F4265" w:rsidP="00692D9F">
      <w:pPr>
        <w:spacing w:after="60"/>
        <w:ind w:left="567" w:hanging="567"/>
        <w:jc w:val="both"/>
        <w:rPr>
          <w:rFonts w:cstheme="minorHAnsi"/>
          <w:i/>
        </w:rPr>
      </w:pPr>
      <w:r w:rsidRPr="002F4265">
        <w:rPr>
          <w:rFonts w:cstheme="minorHAnsi"/>
          <w:i/>
        </w:rPr>
        <w:t xml:space="preserve">(a) </w:t>
      </w:r>
      <w:r w:rsidRPr="002F4265">
        <w:rPr>
          <w:rFonts w:cstheme="minorHAnsi"/>
          <w:i/>
        </w:rPr>
        <w:tab/>
        <w:t>a direct payment to the approved lawyer (or the relevant firm); or</w:t>
      </w:r>
    </w:p>
    <w:p w14:paraId="12EACFD8" w14:textId="77777777" w:rsidR="002F4265" w:rsidRPr="002F4265" w:rsidRDefault="002F4265" w:rsidP="002F4265">
      <w:pPr>
        <w:ind w:left="567" w:hanging="567"/>
        <w:jc w:val="both"/>
        <w:rPr>
          <w:rFonts w:cstheme="minorHAnsi"/>
          <w:i/>
        </w:rPr>
      </w:pPr>
      <w:r w:rsidRPr="002F4265">
        <w:rPr>
          <w:rFonts w:cstheme="minorHAnsi"/>
          <w:i/>
        </w:rPr>
        <w:t>(b)</w:t>
      </w:r>
      <w:r w:rsidRPr="002F4265">
        <w:rPr>
          <w:rFonts w:cstheme="minorHAnsi"/>
          <w:i/>
        </w:rPr>
        <w:tab/>
        <w:t>a reimbursement to the council member or employee.</w:t>
      </w:r>
    </w:p>
    <w:p w14:paraId="55345C66" w14:textId="77777777" w:rsidR="002F4265" w:rsidRPr="00A9373D" w:rsidRDefault="002F4265" w:rsidP="00737E08">
      <w:pPr>
        <w:spacing w:after="0"/>
        <w:ind w:left="425" w:hanging="425"/>
        <w:rPr>
          <w:b/>
          <w:lang w:val="en-US"/>
        </w:rPr>
      </w:pPr>
      <w:r w:rsidRPr="00A9373D">
        <w:rPr>
          <w:b/>
          <w:lang w:val="en-US"/>
        </w:rPr>
        <w:t>1.</w:t>
      </w:r>
      <w:r w:rsidRPr="00A9373D">
        <w:rPr>
          <w:b/>
          <w:lang w:val="en-US"/>
        </w:rPr>
        <w:tab/>
        <w:t>Payment Criteria</w:t>
      </w:r>
    </w:p>
    <w:p w14:paraId="54C9981C" w14:textId="77777777" w:rsidR="002F4265" w:rsidRPr="002F4265" w:rsidRDefault="002F4265" w:rsidP="00692D9F">
      <w:pPr>
        <w:spacing w:before="60" w:after="60"/>
        <w:ind w:left="850" w:hanging="425"/>
        <w:jc w:val="both"/>
        <w:rPr>
          <w:rFonts w:cstheme="minorHAnsi"/>
        </w:rPr>
      </w:pPr>
      <w:r w:rsidRPr="002F4265">
        <w:rPr>
          <w:rFonts w:cstheme="minorHAnsi"/>
        </w:rPr>
        <w:t>1.1</w:t>
      </w:r>
      <w:r w:rsidRPr="002F4265">
        <w:rPr>
          <w:rFonts w:cstheme="minorHAnsi"/>
        </w:rPr>
        <w:tab/>
        <w:t>There are four major criteria for determining whether the Town pay the legal representation costs of a council member or employee.  These are –</w:t>
      </w:r>
    </w:p>
    <w:p w14:paraId="54DD48F5" w14:textId="77777777" w:rsidR="002F4265" w:rsidRPr="002F4265" w:rsidRDefault="002F4265" w:rsidP="00737E08">
      <w:pPr>
        <w:spacing w:after="60"/>
        <w:ind w:left="1276" w:hanging="425"/>
        <w:jc w:val="both"/>
        <w:rPr>
          <w:rFonts w:cstheme="minorHAnsi"/>
        </w:rPr>
      </w:pPr>
      <w:r w:rsidRPr="002F4265">
        <w:rPr>
          <w:rFonts w:cstheme="minorHAnsi"/>
        </w:rPr>
        <w:t>(a)</w:t>
      </w:r>
      <w:r w:rsidRPr="002F4265">
        <w:rPr>
          <w:rFonts w:cstheme="minorHAnsi"/>
        </w:rPr>
        <w:tab/>
        <w:t xml:space="preserve">the legal representation costs relate to a matter that arises from the performance, by the council member or employee, of his or her </w:t>
      </w:r>
      <w:proofErr w:type="gramStart"/>
      <w:r w:rsidRPr="002F4265">
        <w:rPr>
          <w:rFonts w:cstheme="minorHAnsi"/>
        </w:rPr>
        <w:t>functions;</w:t>
      </w:r>
      <w:proofErr w:type="gramEnd"/>
    </w:p>
    <w:p w14:paraId="4844B03A" w14:textId="77777777" w:rsidR="002F4265" w:rsidRPr="002F4265" w:rsidRDefault="002F4265" w:rsidP="00737E08">
      <w:pPr>
        <w:spacing w:after="60"/>
        <w:ind w:left="1276" w:hanging="425"/>
        <w:jc w:val="both"/>
        <w:rPr>
          <w:rFonts w:cstheme="minorHAnsi"/>
        </w:rPr>
      </w:pPr>
      <w:r w:rsidRPr="002F4265">
        <w:rPr>
          <w:rFonts w:cstheme="minorHAnsi"/>
        </w:rPr>
        <w:t>(b)</w:t>
      </w:r>
      <w:r w:rsidRPr="002F4265">
        <w:rPr>
          <w:rFonts w:cstheme="minorHAnsi"/>
        </w:rPr>
        <w:tab/>
        <w:t xml:space="preserve">the legal representation </w:t>
      </w:r>
      <w:proofErr w:type="gramStart"/>
      <w:r w:rsidRPr="002F4265">
        <w:rPr>
          <w:rFonts w:cstheme="minorHAnsi"/>
        </w:rPr>
        <w:t>cost  are</w:t>
      </w:r>
      <w:proofErr w:type="gramEnd"/>
      <w:r w:rsidRPr="002F4265">
        <w:rPr>
          <w:rFonts w:cstheme="minorHAnsi"/>
        </w:rPr>
        <w:t xml:space="preserve"> in respect of legal proceedings that have been, or may be, commenced;</w:t>
      </w:r>
    </w:p>
    <w:p w14:paraId="0E297704" w14:textId="77777777" w:rsidR="002F4265" w:rsidRPr="002F4265" w:rsidRDefault="002F4265" w:rsidP="00737E08">
      <w:pPr>
        <w:spacing w:after="60"/>
        <w:ind w:left="1276" w:hanging="425"/>
        <w:jc w:val="both"/>
        <w:rPr>
          <w:rFonts w:cstheme="minorHAnsi"/>
        </w:rPr>
      </w:pPr>
      <w:r w:rsidRPr="002F4265">
        <w:rPr>
          <w:rFonts w:cstheme="minorHAnsi"/>
        </w:rPr>
        <w:t>(c)</w:t>
      </w:r>
      <w:r w:rsidRPr="002F4265">
        <w:rPr>
          <w:rFonts w:cstheme="minorHAnsi"/>
        </w:rPr>
        <w:tab/>
        <w:t>in performing his or her functions, to which the legal representation relates, the council member or employee have acted in good faith, and have not acted unlawfully or in a way that constitutes improper conduct; and</w:t>
      </w:r>
    </w:p>
    <w:p w14:paraId="67C7950A" w14:textId="77777777" w:rsidR="002F4265" w:rsidRPr="002F4265" w:rsidRDefault="002F4265" w:rsidP="002F4265">
      <w:pPr>
        <w:ind w:left="1276" w:hanging="425"/>
        <w:jc w:val="both"/>
        <w:rPr>
          <w:rFonts w:cstheme="minorHAnsi"/>
        </w:rPr>
      </w:pPr>
      <w:r w:rsidRPr="002F4265">
        <w:rPr>
          <w:rFonts w:cstheme="minorHAnsi"/>
        </w:rPr>
        <w:t>(d)</w:t>
      </w:r>
      <w:r w:rsidRPr="002F4265">
        <w:rPr>
          <w:rFonts w:cstheme="minorHAnsi"/>
        </w:rPr>
        <w:tab/>
        <w:t>the legal representation costs do not relate to a matter that is of a personal or private nature.</w:t>
      </w:r>
    </w:p>
    <w:p w14:paraId="6EAD9080" w14:textId="77777777" w:rsidR="002F4265" w:rsidRPr="00A9373D" w:rsidRDefault="002F4265" w:rsidP="00737E08">
      <w:pPr>
        <w:spacing w:after="0"/>
        <w:ind w:left="426" w:hanging="426"/>
        <w:rPr>
          <w:b/>
          <w:lang w:val="en-US"/>
        </w:rPr>
      </w:pPr>
      <w:r w:rsidRPr="00A9373D">
        <w:rPr>
          <w:b/>
          <w:lang w:val="en-US"/>
        </w:rPr>
        <w:t>2.</w:t>
      </w:r>
      <w:r w:rsidRPr="00A9373D">
        <w:rPr>
          <w:b/>
          <w:lang w:val="en-US"/>
        </w:rPr>
        <w:tab/>
        <w:t>Examples of Legal Representation Costs That May Be Approved</w:t>
      </w:r>
    </w:p>
    <w:p w14:paraId="138D5F9C" w14:textId="77777777" w:rsidR="002F4265" w:rsidRPr="002F4265" w:rsidRDefault="002F4265" w:rsidP="00692D9F">
      <w:pPr>
        <w:spacing w:before="60" w:after="60"/>
        <w:ind w:left="850" w:hanging="425"/>
        <w:jc w:val="both"/>
        <w:rPr>
          <w:rFonts w:cstheme="minorHAnsi"/>
        </w:rPr>
      </w:pPr>
      <w:r w:rsidRPr="002F4265">
        <w:rPr>
          <w:rFonts w:cstheme="minorHAnsi"/>
        </w:rPr>
        <w:t>2.1</w:t>
      </w:r>
      <w:r w:rsidRPr="002F4265">
        <w:rPr>
          <w:rFonts w:cstheme="minorHAnsi"/>
        </w:rPr>
        <w:tab/>
        <w:t xml:space="preserve">If the criteria in clause 1 of this policy are satisfied, the Town may approve the payment of legal representation costs – </w:t>
      </w:r>
    </w:p>
    <w:p w14:paraId="3199A6BC" w14:textId="77777777" w:rsidR="002F4265" w:rsidRPr="002F4265" w:rsidRDefault="002F4265" w:rsidP="00737E08">
      <w:pPr>
        <w:spacing w:after="60"/>
        <w:ind w:left="1276" w:hanging="425"/>
        <w:jc w:val="both"/>
        <w:rPr>
          <w:rFonts w:cstheme="minorHAnsi"/>
        </w:rPr>
      </w:pPr>
      <w:r w:rsidRPr="002F4265">
        <w:rPr>
          <w:rFonts w:cstheme="minorHAnsi"/>
        </w:rPr>
        <w:t>(a)</w:t>
      </w:r>
      <w:r w:rsidRPr="002F4265">
        <w:rPr>
          <w:rFonts w:cstheme="minorHAnsi"/>
        </w:rPr>
        <w:tab/>
        <w:t>where proceedings are brought against a council member or employee in connection with his or her functions – for example, an action for defamation or negligence arising out of a decision made or action taken by the council member or employee; or</w:t>
      </w:r>
    </w:p>
    <w:p w14:paraId="6E9E4393" w14:textId="77777777" w:rsidR="002F4265" w:rsidRPr="002F4265" w:rsidRDefault="002F4265" w:rsidP="00737E08">
      <w:pPr>
        <w:spacing w:after="60"/>
        <w:ind w:left="1276" w:hanging="425"/>
        <w:jc w:val="both"/>
        <w:rPr>
          <w:rFonts w:cstheme="minorHAnsi"/>
        </w:rPr>
      </w:pPr>
      <w:r w:rsidRPr="002F4265">
        <w:rPr>
          <w:rFonts w:cstheme="minorHAnsi"/>
        </w:rPr>
        <w:t>(b)</w:t>
      </w:r>
      <w:r w:rsidRPr="002F4265">
        <w:rPr>
          <w:rFonts w:cstheme="minorHAnsi"/>
        </w:rPr>
        <w:tab/>
        <w:t>to enable proceedings to be commenced and/or maintained by a council member or employee to permit him or her to carry out his or her functions – for example, where a council member or employee seeks to take action to obtain a restraining order against a person using threatening behaviour to the council member or employee; or</w:t>
      </w:r>
    </w:p>
    <w:p w14:paraId="489350F8" w14:textId="77777777" w:rsidR="002F4265" w:rsidRPr="002F4265" w:rsidRDefault="002F4265" w:rsidP="00737E08">
      <w:pPr>
        <w:spacing w:after="60"/>
        <w:ind w:left="1276" w:hanging="425"/>
        <w:jc w:val="both"/>
        <w:rPr>
          <w:rFonts w:cstheme="minorHAnsi"/>
        </w:rPr>
      </w:pPr>
      <w:r w:rsidRPr="002F4265">
        <w:rPr>
          <w:rFonts w:cstheme="minorHAnsi"/>
        </w:rPr>
        <w:t>(c)</w:t>
      </w:r>
      <w:r w:rsidRPr="002F4265">
        <w:rPr>
          <w:rFonts w:cstheme="minorHAnsi"/>
        </w:rPr>
        <w:tab/>
        <w:t>where exceptional circumstances are involved – for example, where a person or organisation is lessening the confidence of the community in the local government by publicly making adverse personal comments about council members or employees.</w:t>
      </w:r>
    </w:p>
    <w:p w14:paraId="56960997" w14:textId="77777777" w:rsidR="002F4265" w:rsidRPr="002F4265" w:rsidRDefault="002F4265" w:rsidP="002F4265">
      <w:pPr>
        <w:ind w:left="851" w:hanging="425"/>
        <w:jc w:val="both"/>
        <w:rPr>
          <w:rFonts w:cstheme="minorHAnsi"/>
        </w:rPr>
      </w:pPr>
      <w:r w:rsidRPr="002F4265">
        <w:rPr>
          <w:rFonts w:cstheme="minorHAnsi"/>
        </w:rPr>
        <w:t>2.2</w:t>
      </w:r>
      <w:r w:rsidRPr="002F4265">
        <w:rPr>
          <w:rFonts w:cstheme="minorHAnsi"/>
        </w:rPr>
        <w:tab/>
        <w:t>The Town does not approve, unless under exceptional circumstances, the payment of legal representation costs for a defamation action, or a negligence action, instituted by a council member or employee.</w:t>
      </w:r>
    </w:p>
    <w:p w14:paraId="54FADB58" w14:textId="77777777" w:rsidR="002F4265" w:rsidRPr="00A9373D" w:rsidRDefault="002F4265" w:rsidP="00692D9F">
      <w:pPr>
        <w:spacing w:after="0"/>
        <w:ind w:left="425" w:hanging="425"/>
        <w:rPr>
          <w:b/>
          <w:lang w:val="en-US"/>
        </w:rPr>
      </w:pPr>
      <w:r w:rsidRPr="00A9373D">
        <w:rPr>
          <w:b/>
          <w:lang w:val="en-US"/>
        </w:rPr>
        <w:t>3.</w:t>
      </w:r>
      <w:r w:rsidRPr="00A9373D">
        <w:rPr>
          <w:b/>
          <w:lang w:val="en-US"/>
        </w:rPr>
        <w:tab/>
        <w:t>Application for Payment</w:t>
      </w:r>
    </w:p>
    <w:p w14:paraId="36BD919E" w14:textId="77777777" w:rsidR="002F4265" w:rsidRPr="002F4265" w:rsidRDefault="002F4265" w:rsidP="00692D9F">
      <w:pPr>
        <w:spacing w:before="60"/>
        <w:ind w:left="850" w:hanging="425"/>
        <w:jc w:val="both"/>
        <w:rPr>
          <w:rFonts w:cstheme="minorHAnsi"/>
        </w:rPr>
      </w:pPr>
      <w:r w:rsidRPr="002F4265">
        <w:rPr>
          <w:rFonts w:cstheme="minorHAnsi"/>
        </w:rPr>
        <w:t>3.1</w:t>
      </w:r>
      <w:r w:rsidRPr="002F4265">
        <w:rPr>
          <w:rFonts w:cstheme="minorHAnsi"/>
        </w:rPr>
        <w:tab/>
        <w:t>A Council member or employee who seeks assistance under this policy is to make an application(s), in writing, to the Council or the CEO.</w:t>
      </w:r>
    </w:p>
    <w:p w14:paraId="21881B4A" w14:textId="77777777" w:rsidR="002F4265" w:rsidRPr="002F4265" w:rsidRDefault="002F4265" w:rsidP="00737E08">
      <w:pPr>
        <w:spacing w:after="60"/>
        <w:ind w:left="851" w:hanging="425"/>
        <w:jc w:val="both"/>
        <w:rPr>
          <w:rFonts w:cstheme="minorHAnsi"/>
        </w:rPr>
      </w:pPr>
      <w:r w:rsidRPr="002F4265">
        <w:rPr>
          <w:rFonts w:cstheme="minorHAnsi"/>
        </w:rPr>
        <w:t>3.2</w:t>
      </w:r>
      <w:r w:rsidRPr="002F4265">
        <w:rPr>
          <w:rFonts w:cstheme="minorHAnsi"/>
        </w:rPr>
        <w:tab/>
        <w:t xml:space="preserve">The written application for payment of legal representation costs is to give details of  </w:t>
      </w:r>
    </w:p>
    <w:p w14:paraId="7D8BA4E5" w14:textId="77777777" w:rsidR="002F4265" w:rsidRPr="002F4265" w:rsidRDefault="002F4265" w:rsidP="00737E08">
      <w:pPr>
        <w:spacing w:after="60"/>
        <w:ind w:left="1418" w:hanging="567"/>
        <w:jc w:val="both"/>
        <w:rPr>
          <w:rFonts w:cstheme="minorHAnsi"/>
        </w:rPr>
      </w:pPr>
      <w:r w:rsidRPr="002F4265">
        <w:rPr>
          <w:rFonts w:cstheme="minorHAnsi"/>
        </w:rPr>
        <w:t>(</w:t>
      </w:r>
      <w:proofErr w:type="spellStart"/>
      <w:r w:rsidRPr="002F4265">
        <w:rPr>
          <w:rFonts w:cstheme="minorHAnsi"/>
        </w:rPr>
        <w:t>i</w:t>
      </w:r>
      <w:proofErr w:type="spellEnd"/>
      <w:r w:rsidRPr="002F4265">
        <w:rPr>
          <w:rFonts w:cstheme="minorHAnsi"/>
        </w:rPr>
        <w:t>)</w:t>
      </w:r>
      <w:r w:rsidRPr="002F4265">
        <w:rPr>
          <w:rFonts w:cstheme="minorHAnsi"/>
        </w:rPr>
        <w:tab/>
        <w:t xml:space="preserve">the matter for which legal representation is </w:t>
      </w:r>
      <w:proofErr w:type="gramStart"/>
      <w:r w:rsidRPr="002F4265">
        <w:rPr>
          <w:rFonts w:cstheme="minorHAnsi"/>
        </w:rPr>
        <w:t>sought;</w:t>
      </w:r>
      <w:proofErr w:type="gramEnd"/>
    </w:p>
    <w:p w14:paraId="7141DC2D" w14:textId="77777777" w:rsidR="002F4265" w:rsidRPr="002F4265" w:rsidRDefault="002F4265" w:rsidP="00737E08">
      <w:pPr>
        <w:spacing w:after="60"/>
        <w:ind w:left="1418" w:hanging="567"/>
        <w:jc w:val="both"/>
        <w:rPr>
          <w:rFonts w:cstheme="minorHAnsi"/>
        </w:rPr>
      </w:pPr>
      <w:r w:rsidRPr="002F4265">
        <w:rPr>
          <w:rFonts w:cstheme="minorHAnsi"/>
        </w:rPr>
        <w:t>(ii)</w:t>
      </w:r>
      <w:r w:rsidRPr="002F4265">
        <w:rPr>
          <w:rFonts w:cstheme="minorHAnsi"/>
        </w:rPr>
        <w:tab/>
        <w:t xml:space="preserve">how that matter relates to the functions of the council member or employee making the </w:t>
      </w:r>
      <w:proofErr w:type="gramStart"/>
      <w:r w:rsidRPr="002F4265">
        <w:rPr>
          <w:rFonts w:cstheme="minorHAnsi"/>
        </w:rPr>
        <w:t>application;</w:t>
      </w:r>
      <w:proofErr w:type="gramEnd"/>
    </w:p>
    <w:p w14:paraId="06A89546" w14:textId="77777777" w:rsidR="002F4265" w:rsidRPr="002F4265" w:rsidRDefault="002F4265" w:rsidP="00737E08">
      <w:pPr>
        <w:spacing w:after="60"/>
        <w:ind w:left="1418" w:hanging="567"/>
        <w:jc w:val="both"/>
        <w:rPr>
          <w:rFonts w:cstheme="minorHAnsi"/>
        </w:rPr>
      </w:pPr>
      <w:r w:rsidRPr="002F4265">
        <w:rPr>
          <w:rFonts w:cstheme="minorHAnsi"/>
        </w:rPr>
        <w:lastRenderedPageBreak/>
        <w:t>(iii)</w:t>
      </w:r>
      <w:r w:rsidRPr="002F4265">
        <w:rPr>
          <w:rFonts w:cstheme="minorHAnsi"/>
        </w:rPr>
        <w:tab/>
        <w:t xml:space="preserve">the lawyer (or law firm) who is to be asked to provide the legal </w:t>
      </w:r>
      <w:proofErr w:type="gramStart"/>
      <w:r w:rsidRPr="002F4265">
        <w:rPr>
          <w:rFonts w:cstheme="minorHAnsi"/>
        </w:rPr>
        <w:t>representation;</w:t>
      </w:r>
      <w:proofErr w:type="gramEnd"/>
    </w:p>
    <w:p w14:paraId="0C7359B4" w14:textId="77777777" w:rsidR="002F4265" w:rsidRPr="002F4265" w:rsidRDefault="002F4265" w:rsidP="00737E08">
      <w:pPr>
        <w:spacing w:after="60"/>
        <w:ind w:left="1418" w:hanging="567"/>
        <w:jc w:val="both"/>
        <w:rPr>
          <w:rFonts w:cstheme="minorHAnsi"/>
        </w:rPr>
      </w:pPr>
      <w:r w:rsidRPr="002F4265">
        <w:rPr>
          <w:rFonts w:cstheme="minorHAnsi"/>
        </w:rPr>
        <w:t>(iv)</w:t>
      </w:r>
      <w:r w:rsidRPr="002F4265">
        <w:rPr>
          <w:rFonts w:cstheme="minorHAnsi"/>
        </w:rPr>
        <w:tab/>
        <w:t>the nature of legal representation to be sought (such as advice, representation in court, preparation of a document etc</w:t>
      </w:r>
      <w:proofErr w:type="gramStart"/>
      <w:r w:rsidRPr="002F4265">
        <w:rPr>
          <w:rFonts w:cstheme="minorHAnsi"/>
        </w:rPr>
        <w:t>);</w:t>
      </w:r>
      <w:proofErr w:type="gramEnd"/>
    </w:p>
    <w:p w14:paraId="4044F581" w14:textId="77777777" w:rsidR="002F4265" w:rsidRPr="002F4265" w:rsidRDefault="002F4265" w:rsidP="00737E08">
      <w:pPr>
        <w:spacing w:after="60"/>
        <w:ind w:left="1418" w:hanging="567"/>
        <w:jc w:val="both"/>
        <w:rPr>
          <w:rFonts w:cstheme="minorHAnsi"/>
        </w:rPr>
      </w:pPr>
      <w:r w:rsidRPr="002F4265">
        <w:rPr>
          <w:rFonts w:cstheme="minorHAnsi"/>
        </w:rPr>
        <w:t>(v)</w:t>
      </w:r>
      <w:r w:rsidRPr="002F4265">
        <w:rPr>
          <w:rFonts w:cstheme="minorHAnsi"/>
        </w:rPr>
        <w:tab/>
        <w:t>an estimated cost of the legal representation; and</w:t>
      </w:r>
    </w:p>
    <w:p w14:paraId="308B28A9" w14:textId="77777777" w:rsidR="002F4265" w:rsidRPr="002F4265" w:rsidRDefault="002F4265" w:rsidP="002F4265">
      <w:pPr>
        <w:ind w:left="1418" w:hanging="567"/>
        <w:jc w:val="both"/>
        <w:rPr>
          <w:rFonts w:cstheme="minorHAnsi"/>
        </w:rPr>
      </w:pPr>
      <w:r w:rsidRPr="002F4265">
        <w:rPr>
          <w:rFonts w:cstheme="minorHAnsi"/>
        </w:rPr>
        <w:t>(vi)</w:t>
      </w:r>
      <w:r w:rsidRPr="002F4265">
        <w:rPr>
          <w:rFonts w:cstheme="minorHAnsi"/>
        </w:rPr>
        <w:tab/>
        <w:t>why it is in the interests of the Town for payment to be made.</w:t>
      </w:r>
    </w:p>
    <w:p w14:paraId="65A3AA38" w14:textId="77777777" w:rsidR="002F4265" w:rsidRPr="002F4265" w:rsidRDefault="002F4265" w:rsidP="002F4265">
      <w:pPr>
        <w:ind w:left="851" w:hanging="425"/>
        <w:jc w:val="both"/>
        <w:rPr>
          <w:rFonts w:cstheme="minorHAnsi"/>
        </w:rPr>
      </w:pPr>
      <w:r w:rsidRPr="002F4265">
        <w:rPr>
          <w:rFonts w:cstheme="minorHAnsi"/>
        </w:rPr>
        <w:t>3.3</w:t>
      </w:r>
      <w:r w:rsidRPr="002F4265">
        <w:rPr>
          <w:rFonts w:cstheme="minorHAnsi"/>
        </w:rPr>
        <w:tab/>
        <w:t xml:space="preserve">The application is to contain a declaration by the applicant that he or she has acted in good </w:t>
      </w:r>
      <w:proofErr w:type="gramStart"/>
      <w:r w:rsidRPr="002F4265">
        <w:rPr>
          <w:rFonts w:cstheme="minorHAnsi"/>
        </w:rPr>
        <w:t>faith, and</w:t>
      </w:r>
      <w:proofErr w:type="gramEnd"/>
      <w:r w:rsidRPr="002F4265">
        <w:rPr>
          <w:rFonts w:cstheme="minorHAnsi"/>
        </w:rPr>
        <w:t xml:space="preserve"> has not acted unlawfully or in a way that constitutes improper conduct in relation to the matter to which the application relates.</w:t>
      </w:r>
    </w:p>
    <w:p w14:paraId="52C6037B" w14:textId="77777777" w:rsidR="002F4265" w:rsidRPr="002F4265" w:rsidRDefault="002F4265" w:rsidP="002F4265">
      <w:pPr>
        <w:ind w:left="851" w:hanging="425"/>
        <w:jc w:val="both"/>
        <w:rPr>
          <w:rFonts w:cstheme="minorHAnsi"/>
        </w:rPr>
      </w:pPr>
      <w:r w:rsidRPr="002F4265">
        <w:rPr>
          <w:rFonts w:cstheme="minorHAnsi"/>
        </w:rPr>
        <w:t>3.4</w:t>
      </w:r>
      <w:r w:rsidRPr="002F4265">
        <w:rPr>
          <w:rFonts w:cstheme="minorHAnsi"/>
        </w:rPr>
        <w:tab/>
        <w:t>As far as possible, the application is to be made before commencement of the legal representation to which the application relates.</w:t>
      </w:r>
    </w:p>
    <w:p w14:paraId="1180570F" w14:textId="77777777" w:rsidR="002F4265" w:rsidRPr="002F4265" w:rsidRDefault="002F4265" w:rsidP="00692D9F">
      <w:pPr>
        <w:spacing w:after="60"/>
        <w:ind w:left="851" w:hanging="425"/>
        <w:jc w:val="both"/>
        <w:rPr>
          <w:rFonts w:cstheme="minorHAnsi"/>
        </w:rPr>
      </w:pPr>
      <w:r w:rsidRPr="002F4265">
        <w:rPr>
          <w:rFonts w:cstheme="minorHAnsi"/>
        </w:rPr>
        <w:t>3.5</w:t>
      </w:r>
      <w:r w:rsidRPr="002F4265">
        <w:rPr>
          <w:rFonts w:cstheme="minorHAnsi"/>
        </w:rPr>
        <w:tab/>
        <w:t>The application is to be accompanied by a signed written statement by the applicant that he or she –</w:t>
      </w:r>
    </w:p>
    <w:p w14:paraId="039897F8" w14:textId="77777777" w:rsidR="002F4265" w:rsidRPr="002F4265" w:rsidRDefault="002F4265" w:rsidP="00692D9F">
      <w:pPr>
        <w:spacing w:after="60"/>
        <w:ind w:left="1418" w:hanging="567"/>
        <w:jc w:val="both"/>
        <w:rPr>
          <w:rFonts w:cstheme="minorHAnsi"/>
        </w:rPr>
      </w:pPr>
      <w:r w:rsidRPr="002F4265">
        <w:rPr>
          <w:rFonts w:cstheme="minorHAnsi"/>
        </w:rPr>
        <w:t>(a)</w:t>
      </w:r>
      <w:r w:rsidRPr="002F4265">
        <w:rPr>
          <w:rFonts w:cstheme="minorHAnsi"/>
        </w:rPr>
        <w:tab/>
        <w:t xml:space="preserve">has read, and understands, the terms of this </w:t>
      </w:r>
      <w:proofErr w:type="gramStart"/>
      <w:r w:rsidRPr="002F4265">
        <w:rPr>
          <w:rFonts w:cstheme="minorHAnsi"/>
        </w:rPr>
        <w:t>policy;</w:t>
      </w:r>
      <w:proofErr w:type="gramEnd"/>
      <w:r w:rsidRPr="002F4265">
        <w:rPr>
          <w:rFonts w:cstheme="minorHAnsi"/>
        </w:rPr>
        <w:t xml:space="preserve"> </w:t>
      </w:r>
    </w:p>
    <w:p w14:paraId="100ABD71" w14:textId="77777777" w:rsidR="002F4265" w:rsidRPr="002F4265" w:rsidRDefault="002F4265" w:rsidP="00692D9F">
      <w:pPr>
        <w:spacing w:after="60"/>
        <w:ind w:left="1418" w:hanging="567"/>
        <w:jc w:val="both"/>
        <w:rPr>
          <w:rFonts w:cstheme="minorHAnsi"/>
        </w:rPr>
      </w:pPr>
      <w:r w:rsidRPr="002F4265">
        <w:rPr>
          <w:rFonts w:cstheme="minorHAnsi"/>
        </w:rPr>
        <w:t>(b)</w:t>
      </w:r>
      <w:r w:rsidRPr="002F4265">
        <w:rPr>
          <w:rFonts w:cstheme="minorHAnsi"/>
        </w:rPr>
        <w:tab/>
        <w:t>acknowledges that any approval of legal representation costs is conditional on the repayment provisions of clause 7 and any other conditions to which the approval is subject; and</w:t>
      </w:r>
    </w:p>
    <w:p w14:paraId="0712624F" w14:textId="77777777" w:rsidR="002F4265" w:rsidRPr="002F4265" w:rsidRDefault="002F4265" w:rsidP="002F4265">
      <w:pPr>
        <w:ind w:left="1418" w:hanging="567"/>
        <w:jc w:val="both"/>
        <w:rPr>
          <w:rFonts w:cstheme="minorHAnsi"/>
        </w:rPr>
      </w:pPr>
      <w:r w:rsidRPr="002F4265">
        <w:rPr>
          <w:rFonts w:cstheme="minorHAnsi"/>
        </w:rPr>
        <w:t>(c)</w:t>
      </w:r>
      <w:r w:rsidRPr="002F4265">
        <w:rPr>
          <w:rFonts w:cstheme="minorHAnsi"/>
        </w:rPr>
        <w:tab/>
        <w:t>undertakes to repay to the Town any legal representation costs in accordance with the provisions of clause 7.</w:t>
      </w:r>
    </w:p>
    <w:p w14:paraId="67522466" w14:textId="77777777" w:rsidR="002F4265" w:rsidRPr="002F4265" w:rsidRDefault="002F4265" w:rsidP="002F4265">
      <w:pPr>
        <w:ind w:left="851" w:hanging="425"/>
        <w:jc w:val="both"/>
        <w:rPr>
          <w:rFonts w:cstheme="minorHAnsi"/>
        </w:rPr>
      </w:pPr>
      <w:r w:rsidRPr="002F4265">
        <w:rPr>
          <w:rFonts w:cstheme="minorHAnsi"/>
        </w:rPr>
        <w:t>3.6</w:t>
      </w:r>
      <w:r w:rsidRPr="002F4265">
        <w:rPr>
          <w:rFonts w:cstheme="minorHAnsi"/>
        </w:rPr>
        <w:tab/>
        <w:t>In relation to clause 3.5(c), when a person is to be in receipt of such monies the person should sign a document which requires repayment of those monies to the local government as may be required by the local government and the terms of the policy.</w:t>
      </w:r>
    </w:p>
    <w:p w14:paraId="554B43A1" w14:textId="77777777" w:rsidR="002F4265" w:rsidRPr="002F4265" w:rsidRDefault="002F4265" w:rsidP="002F4265">
      <w:pPr>
        <w:ind w:left="851" w:hanging="425"/>
        <w:jc w:val="both"/>
        <w:rPr>
          <w:rFonts w:cstheme="minorHAnsi"/>
        </w:rPr>
      </w:pPr>
      <w:r w:rsidRPr="002F4265">
        <w:rPr>
          <w:rFonts w:cstheme="minorHAnsi"/>
        </w:rPr>
        <w:t>3.7</w:t>
      </w:r>
      <w:r w:rsidRPr="002F4265">
        <w:rPr>
          <w:rFonts w:cstheme="minorHAnsi"/>
        </w:rPr>
        <w:tab/>
        <w:t>An application is also to be accompanied by a report prepared by the CEO or, where the CEO is the applicant, by an appropriate employee.</w:t>
      </w:r>
    </w:p>
    <w:p w14:paraId="436E6AE1" w14:textId="77777777" w:rsidR="002F4265" w:rsidRPr="00A9373D" w:rsidRDefault="002F4265" w:rsidP="00692D9F">
      <w:pPr>
        <w:spacing w:after="0"/>
        <w:ind w:left="425" w:hanging="425"/>
        <w:rPr>
          <w:b/>
          <w:lang w:val="en-US"/>
        </w:rPr>
      </w:pPr>
      <w:r w:rsidRPr="00A9373D">
        <w:rPr>
          <w:b/>
          <w:lang w:val="en-US"/>
        </w:rPr>
        <w:t>4.</w:t>
      </w:r>
      <w:r w:rsidRPr="00A9373D">
        <w:rPr>
          <w:b/>
          <w:lang w:val="en-US"/>
        </w:rPr>
        <w:tab/>
        <w:t>Legal Representation Costs - Limit</w:t>
      </w:r>
    </w:p>
    <w:p w14:paraId="7E070915" w14:textId="77777777" w:rsidR="002F4265" w:rsidRPr="002F4265" w:rsidRDefault="002F4265" w:rsidP="00692D9F">
      <w:pPr>
        <w:spacing w:before="60"/>
        <w:ind w:left="850" w:hanging="425"/>
        <w:jc w:val="both"/>
        <w:rPr>
          <w:rFonts w:cstheme="minorHAnsi"/>
        </w:rPr>
      </w:pPr>
      <w:r w:rsidRPr="002F4265">
        <w:rPr>
          <w:rFonts w:cstheme="minorHAnsi"/>
        </w:rPr>
        <w:t>4.1</w:t>
      </w:r>
      <w:r w:rsidRPr="002F4265">
        <w:rPr>
          <w:rFonts w:cstheme="minorHAnsi"/>
        </w:rPr>
        <w:tab/>
        <w:t>The Council in approving an application in accordance with this policy sets a limit on the costs to be paid based on the estimated costs in the application.</w:t>
      </w:r>
    </w:p>
    <w:p w14:paraId="6EF4788A" w14:textId="77777777" w:rsidR="002F4265" w:rsidRPr="002F4265" w:rsidRDefault="002F4265" w:rsidP="002F4265">
      <w:pPr>
        <w:ind w:left="851" w:hanging="425"/>
        <w:jc w:val="both"/>
        <w:rPr>
          <w:rFonts w:cstheme="minorHAnsi"/>
        </w:rPr>
      </w:pPr>
      <w:r w:rsidRPr="002F4265">
        <w:rPr>
          <w:rFonts w:cstheme="minorHAnsi"/>
        </w:rPr>
        <w:t>4.2</w:t>
      </w:r>
      <w:r w:rsidRPr="002F4265">
        <w:rPr>
          <w:rFonts w:cstheme="minorHAnsi"/>
        </w:rPr>
        <w:tab/>
        <w:t>A council member or employee may make a further application to the Council in respect of the same matter.</w:t>
      </w:r>
    </w:p>
    <w:p w14:paraId="33C14789" w14:textId="77777777" w:rsidR="002F4265" w:rsidRPr="00A9373D" w:rsidRDefault="002F4265" w:rsidP="00692D9F">
      <w:pPr>
        <w:spacing w:after="0"/>
        <w:ind w:left="425" w:hanging="425"/>
        <w:rPr>
          <w:b/>
          <w:lang w:val="en-US"/>
        </w:rPr>
      </w:pPr>
      <w:r w:rsidRPr="00A9373D">
        <w:rPr>
          <w:b/>
          <w:lang w:val="en-US"/>
        </w:rPr>
        <w:t>5.</w:t>
      </w:r>
      <w:r w:rsidRPr="00A9373D">
        <w:rPr>
          <w:b/>
          <w:lang w:val="en-US"/>
        </w:rPr>
        <w:tab/>
        <w:t>Council’s Powers</w:t>
      </w:r>
    </w:p>
    <w:p w14:paraId="18E220EC" w14:textId="77777777" w:rsidR="002F4265" w:rsidRPr="002F4265" w:rsidRDefault="002F4265" w:rsidP="00692D9F">
      <w:pPr>
        <w:spacing w:before="60" w:after="60"/>
        <w:ind w:left="850" w:hanging="425"/>
        <w:jc w:val="both"/>
        <w:rPr>
          <w:rFonts w:cstheme="minorHAnsi"/>
        </w:rPr>
      </w:pPr>
      <w:r w:rsidRPr="002F4265">
        <w:rPr>
          <w:rFonts w:cstheme="minorHAnsi"/>
        </w:rPr>
        <w:t>5.1</w:t>
      </w:r>
      <w:r w:rsidRPr="002F4265">
        <w:rPr>
          <w:rFonts w:cstheme="minorHAnsi"/>
        </w:rPr>
        <w:tab/>
        <w:t xml:space="preserve">The Council may – </w:t>
      </w:r>
    </w:p>
    <w:p w14:paraId="3615C285" w14:textId="77777777" w:rsidR="002F4265" w:rsidRPr="002F4265" w:rsidRDefault="002F4265" w:rsidP="00692D9F">
      <w:pPr>
        <w:spacing w:after="60"/>
        <w:ind w:left="1276" w:hanging="425"/>
        <w:jc w:val="both"/>
        <w:rPr>
          <w:rFonts w:cstheme="minorHAnsi"/>
        </w:rPr>
      </w:pPr>
      <w:r w:rsidRPr="002F4265">
        <w:rPr>
          <w:rFonts w:cstheme="minorHAnsi"/>
        </w:rPr>
        <w:t>(a)</w:t>
      </w:r>
      <w:r w:rsidRPr="002F4265">
        <w:rPr>
          <w:rFonts w:cstheme="minorHAnsi"/>
        </w:rPr>
        <w:tab/>
        <w:t>refuse</w:t>
      </w:r>
    </w:p>
    <w:p w14:paraId="7BD43869" w14:textId="77777777" w:rsidR="002F4265" w:rsidRPr="002F4265" w:rsidRDefault="002F4265" w:rsidP="00692D9F">
      <w:pPr>
        <w:spacing w:after="60"/>
        <w:ind w:left="1276" w:hanging="425"/>
        <w:jc w:val="both"/>
        <w:rPr>
          <w:rFonts w:cstheme="minorHAnsi"/>
        </w:rPr>
      </w:pPr>
      <w:r w:rsidRPr="002F4265">
        <w:rPr>
          <w:rFonts w:cstheme="minorHAnsi"/>
        </w:rPr>
        <w:t>(b)</w:t>
      </w:r>
      <w:r w:rsidRPr="002F4265">
        <w:rPr>
          <w:rFonts w:cstheme="minorHAnsi"/>
        </w:rPr>
        <w:tab/>
        <w:t>grant; or</w:t>
      </w:r>
    </w:p>
    <w:p w14:paraId="17851B05" w14:textId="77777777" w:rsidR="002F4265" w:rsidRPr="002F4265" w:rsidRDefault="002F4265" w:rsidP="00692D9F">
      <w:pPr>
        <w:spacing w:after="60"/>
        <w:ind w:left="1276" w:hanging="425"/>
        <w:jc w:val="both"/>
        <w:rPr>
          <w:rFonts w:cstheme="minorHAnsi"/>
        </w:rPr>
      </w:pPr>
      <w:r w:rsidRPr="002F4265">
        <w:rPr>
          <w:rFonts w:cstheme="minorHAnsi"/>
        </w:rPr>
        <w:t>(c)</w:t>
      </w:r>
      <w:r w:rsidRPr="002F4265">
        <w:rPr>
          <w:rFonts w:cstheme="minorHAnsi"/>
        </w:rPr>
        <w:tab/>
        <w:t>grant subject to conditions,</w:t>
      </w:r>
    </w:p>
    <w:p w14:paraId="686A407E" w14:textId="77777777" w:rsidR="002F4265" w:rsidRPr="002F4265" w:rsidRDefault="002F4265" w:rsidP="002F4265">
      <w:pPr>
        <w:ind w:left="851"/>
        <w:jc w:val="both"/>
        <w:rPr>
          <w:rFonts w:cstheme="minorHAnsi"/>
        </w:rPr>
      </w:pPr>
      <w:r w:rsidRPr="002F4265">
        <w:rPr>
          <w:rFonts w:cstheme="minorHAnsi"/>
        </w:rPr>
        <w:t>an application for payment of legal representation costs.</w:t>
      </w:r>
    </w:p>
    <w:p w14:paraId="4F390C05" w14:textId="77777777" w:rsidR="002F4265" w:rsidRPr="002F4265" w:rsidRDefault="002F4265" w:rsidP="002F4265">
      <w:pPr>
        <w:ind w:left="851" w:hanging="425"/>
        <w:jc w:val="both"/>
        <w:rPr>
          <w:rFonts w:cstheme="minorHAnsi"/>
        </w:rPr>
      </w:pPr>
      <w:r w:rsidRPr="002F4265">
        <w:rPr>
          <w:rFonts w:cstheme="minorHAnsi"/>
        </w:rPr>
        <w:t>5.2</w:t>
      </w:r>
      <w:r w:rsidRPr="002F4265">
        <w:rPr>
          <w:rFonts w:cstheme="minorHAnsi"/>
        </w:rPr>
        <w:tab/>
        <w:t>Conditions under clause 5.1 may include, but are not restricted to, a financial limit and/or a requirement to enter into a formal agreement, including a security agreement, relating to the payment, and repayment, of legal representation costs.</w:t>
      </w:r>
    </w:p>
    <w:p w14:paraId="5A8F0B62" w14:textId="77777777" w:rsidR="002F4265" w:rsidRPr="002F4265" w:rsidRDefault="002F4265" w:rsidP="002F4265">
      <w:pPr>
        <w:ind w:left="851" w:hanging="425"/>
        <w:jc w:val="both"/>
        <w:rPr>
          <w:rFonts w:cstheme="minorHAnsi"/>
        </w:rPr>
      </w:pPr>
      <w:r w:rsidRPr="002F4265">
        <w:rPr>
          <w:rFonts w:cstheme="minorHAnsi"/>
        </w:rPr>
        <w:lastRenderedPageBreak/>
        <w:t>5.3</w:t>
      </w:r>
      <w:r w:rsidRPr="002F4265">
        <w:rPr>
          <w:rFonts w:cstheme="minorHAnsi"/>
        </w:rPr>
        <w:tab/>
        <w:t>In assessing an application, the Council may have regard to any insurance benefits that may be available to the applicant under the Town’s council members “or employees” insurance policy or its equivalent.</w:t>
      </w:r>
    </w:p>
    <w:p w14:paraId="3CB49A33" w14:textId="77777777" w:rsidR="002F4265" w:rsidRPr="002F4265" w:rsidRDefault="002F4265" w:rsidP="002F4265">
      <w:pPr>
        <w:ind w:left="851" w:hanging="425"/>
        <w:jc w:val="both"/>
        <w:rPr>
          <w:rFonts w:cstheme="minorHAnsi"/>
        </w:rPr>
      </w:pPr>
      <w:r w:rsidRPr="002F4265">
        <w:rPr>
          <w:rFonts w:cstheme="minorHAnsi"/>
        </w:rPr>
        <w:t>5.4</w:t>
      </w:r>
      <w:r w:rsidRPr="002F4265">
        <w:rPr>
          <w:rFonts w:cstheme="minorHAnsi"/>
        </w:rPr>
        <w:tab/>
        <w:t>The Council may at any time revoke or vary an approval, or any conditions of approval, for the payment of legal representation costs.</w:t>
      </w:r>
    </w:p>
    <w:p w14:paraId="778C6A12" w14:textId="77777777" w:rsidR="002F4265" w:rsidRPr="002F4265" w:rsidRDefault="002F4265" w:rsidP="00692D9F">
      <w:pPr>
        <w:spacing w:after="60"/>
        <w:ind w:left="851" w:hanging="425"/>
        <w:jc w:val="both"/>
        <w:rPr>
          <w:rFonts w:cstheme="minorHAnsi"/>
        </w:rPr>
      </w:pPr>
      <w:r w:rsidRPr="002F4265">
        <w:rPr>
          <w:rFonts w:cstheme="minorHAnsi"/>
        </w:rPr>
        <w:t>5.5</w:t>
      </w:r>
      <w:r w:rsidRPr="002F4265">
        <w:rPr>
          <w:rFonts w:cstheme="minorHAnsi"/>
        </w:rPr>
        <w:tab/>
        <w:t xml:space="preserve">The Council may, subject to clause 5.6, determine that a council member or employee whose application for legal representation costs has been approved has, in respect of the matter for which legal representation costs were approved – </w:t>
      </w:r>
    </w:p>
    <w:p w14:paraId="60CE22AF" w14:textId="77777777" w:rsidR="002F4265" w:rsidRPr="002F4265" w:rsidRDefault="002F4265" w:rsidP="00692D9F">
      <w:pPr>
        <w:spacing w:after="60"/>
        <w:ind w:left="1276" w:hanging="425"/>
        <w:jc w:val="both"/>
        <w:rPr>
          <w:rFonts w:cstheme="minorHAnsi"/>
        </w:rPr>
      </w:pPr>
      <w:r w:rsidRPr="002F4265">
        <w:rPr>
          <w:rFonts w:cstheme="minorHAnsi"/>
        </w:rPr>
        <w:t xml:space="preserve">(a) </w:t>
      </w:r>
      <w:r w:rsidRPr="002F4265">
        <w:rPr>
          <w:rFonts w:cstheme="minorHAnsi"/>
        </w:rPr>
        <w:tab/>
        <w:t>not acted in good faith, or has acted unlawfully or in a way that constitutes improper conduct; or</w:t>
      </w:r>
    </w:p>
    <w:p w14:paraId="5F156E03" w14:textId="77777777" w:rsidR="002F4265" w:rsidRPr="002F4265" w:rsidRDefault="002F4265" w:rsidP="002F4265">
      <w:pPr>
        <w:ind w:left="1276" w:hanging="425"/>
        <w:jc w:val="both"/>
        <w:rPr>
          <w:rFonts w:cstheme="minorHAnsi"/>
        </w:rPr>
      </w:pPr>
      <w:r w:rsidRPr="002F4265">
        <w:rPr>
          <w:rFonts w:cstheme="minorHAnsi"/>
        </w:rPr>
        <w:t>(b)</w:t>
      </w:r>
      <w:r w:rsidRPr="002F4265">
        <w:rPr>
          <w:rFonts w:cstheme="minorHAnsi"/>
        </w:rPr>
        <w:tab/>
        <w:t>given false or misleading information in respect of the application.</w:t>
      </w:r>
    </w:p>
    <w:p w14:paraId="542A4C25" w14:textId="77777777" w:rsidR="002F4265" w:rsidRPr="002F4265" w:rsidRDefault="002F4265" w:rsidP="002F4265">
      <w:pPr>
        <w:ind w:left="851" w:hanging="425"/>
        <w:jc w:val="both"/>
        <w:rPr>
          <w:rFonts w:cstheme="minorHAnsi"/>
        </w:rPr>
      </w:pPr>
      <w:r w:rsidRPr="002F4265">
        <w:rPr>
          <w:rFonts w:cstheme="minorHAnsi"/>
        </w:rPr>
        <w:t>5.6</w:t>
      </w:r>
      <w:r w:rsidRPr="002F4265">
        <w:rPr>
          <w:rFonts w:cstheme="minorHAnsi"/>
        </w:rPr>
        <w:tab/>
        <w:t xml:space="preserve">A determination under clause 5.5 may be made by the Council only </w:t>
      </w:r>
      <w:proofErr w:type="gramStart"/>
      <w:r w:rsidRPr="002F4265">
        <w:rPr>
          <w:rFonts w:cstheme="minorHAnsi"/>
        </w:rPr>
        <w:t>on the basis of</w:t>
      </w:r>
      <w:proofErr w:type="gramEnd"/>
      <w:r w:rsidRPr="002F4265">
        <w:rPr>
          <w:rFonts w:cstheme="minorHAnsi"/>
        </w:rPr>
        <w:t>, and consistent with, the findings of a court, tribunal or inquiry.</w:t>
      </w:r>
    </w:p>
    <w:p w14:paraId="75B80639" w14:textId="77777777" w:rsidR="002F4265" w:rsidRPr="002F4265" w:rsidRDefault="002F4265" w:rsidP="002F4265">
      <w:pPr>
        <w:ind w:left="851" w:hanging="425"/>
        <w:jc w:val="both"/>
        <w:rPr>
          <w:rFonts w:cstheme="minorHAnsi"/>
        </w:rPr>
      </w:pPr>
      <w:r w:rsidRPr="002F4265">
        <w:rPr>
          <w:rFonts w:cstheme="minorHAnsi"/>
        </w:rPr>
        <w:t>5.7</w:t>
      </w:r>
      <w:r w:rsidRPr="002F4265">
        <w:rPr>
          <w:rFonts w:cstheme="minorHAnsi"/>
        </w:rPr>
        <w:tab/>
        <w:t xml:space="preserve">Where the Council </w:t>
      </w:r>
      <w:proofErr w:type="gramStart"/>
      <w:r w:rsidRPr="002F4265">
        <w:rPr>
          <w:rFonts w:cstheme="minorHAnsi"/>
        </w:rPr>
        <w:t>makes a determination</w:t>
      </w:r>
      <w:proofErr w:type="gramEnd"/>
      <w:r w:rsidRPr="002F4265">
        <w:rPr>
          <w:rFonts w:cstheme="minorHAnsi"/>
        </w:rPr>
        <w:t xml:space="preserve"> under clause 5.5, the legal representation costs paid by the Town are to be repaid by the Council member or employee in accordance with clause 7.</w:t>
      </w:r>
    </w:p>
    <w:p w14:paraId="2FD3B04B" w14:textId="77777777" w:rsidR="002F4265" w:rsidRPr="00A9373D" w:rsidRDefault="002F4265" w:rsidP="00692D9F">
      <w:pPr>
        <w:spacing w:after="0"/>
        <w:ind w:left="426" w:hanging="426"/>
        <w:rPr>
          <w:b/>
        </w:rPr>
      </w:pPr>
      <w:r w:rsidRPr="00A9373D">
        <w:rPr>
          <w:b/>
          <w:lang w:val="en-US"/>
        </w:rPr>
        <w:t>6.</w:t>
      </w:r>
      <w:r w:rsidRPr="00A9373D">
        <w:rPr>
          <w:b/>
          <w:lang w:val="en-US"/>
        </w:rPr>
        <w:tab/>
        <w:t>Delegation to the Chief Executive Officer</w:t>
      </w:r>
    </w:p>
    <w:p w14:paraId="671F0330" w14:textId="77777777" w:rsidR="002F4265" w:rsidRPr="002F4265" w:rsidRDefault="002F4265" w:rsidP="004B2412">
      <w:pPr>
        <w:spacing w:before="60"/>
        <w:ind w:left="850" w:hanging="425"/>
        <w:jc w:val="both"/>
        <w:rPr>
          <w:rFonts w:cstheme="minorHAnsi"/>
        </w:rPr>
      </w:pPr>
      <w:r w:rsidRPr="002F4265">
        <w:rPr>
          <w:rFonts w:cstheme="minorHAnsi"/>
        </w:rPr>
        <w:t xml:space="preserve">6.1 </w:t>
      </w:r>
      <w:r w:rsidRPr="002F4265">
        <w:rPr>
          <w:rFonts w:cstheme="minorHAnsi"/>
        </w:rPr>
        <w:tab/>
        <w:t>In cases where a delay in the approval of an application may be detrimental to the legal rights of the applicant, the CEO may exercise, on behalf of the Council, any of the powers of the Council under clause 5.1 and 5.2, to a maximum of $10,000 in respect of each application.</w:t>
      </w:r>
    </w:p>
    <w:p w14:paraId="2BCA2F64" w14:textId="77777777" w:rsidR="002F4265" w:rsidRPr="00A9373D" w:rsidRDefault="002F4265" w:rsidP="002F4265">
      <w:pPr>
        <w:ind w:left="851" w:hanging="425"/>
        <w:jc w:val="both"/>
        <w:rPr>
          <w:rFonts w:cstheme="minorHAnsi"/>
          <w:b/>
        </w:rPr>
      </w:pPr>
      <w:r w:rsidRPr="002F4265">
        <w:rPr>
          <w:rFonts w:cstheme="minorHAnsi"/>
        </w:rPr>
        <w:t>6.2</w:t>
      </w:r>
      <w:r w:rsidRPr="002F4265">
        <w:rPr>
          <w:rFonts w:cstheme="minorHAnsi"/>
        </w:rPr>
        <w:tab/>
        <w:t xml:space="preserve">An application approved by the CEO under clause 6.1, is to be submitted to the next ordinary </w:t>
      </w:r>
      <w:r w:rsidRPr="00A9373D">
        <w:rPr>
          <w:rFonts w:cstheme="minorHAnsi"/>
        </w:rPr>
        <w:t>meeting of the Council.  Council may exercise any of its powers under this policy, including its powers under clause 5.4.</w:t>
      </w:r>
    </w:p>
    <w:p w14:paraId="0688D8D6" w14:textId="77777777" w:rsidR="002F4265" w:rsidRPr="002F4265" w:rsidRDefault="002F4265" w:rsidP="00692D9F">
      <w:pPr>
        <w:spacing w:after="0"/>
        <w:ind w:left="425" w:hanging="425"/>
        <w:rPr>
          <w:lang w:val="en-US"/>
        </w:rPr>
      </w:pPr>
      <w:r w:rsidRPr="00A9373D">
        <w:rPr>
          <w:b/>
          <w:lang w:val="en-US"/>
        </w:rPr>
        <w:t>7.</w:t>
      </w:r>
      <w:r w:rsidRPr="00A9373D">
        <w:rPr>
          <w:b/>
          <w:lang w:val="en-US"/>
        </w:rPr>
        <w:tab/>
        <w:t>Repayment of Legal Representation Costs</w:t>
      </w:r>
    </w:p>
    <w:p w14:paraId="4AF3447C" w14:textId="77777777" w:rsidR="002F4265" w:rsidRPr="002F4265" w:rsidRDefault="002F4265" w:rsidP="004B2412">
      <w:pPr>
        <w:spacing w:before="60" w:after="60"/>
        <w:ind w:left="992" w:hanging="567"/>
        <w:jc w:val="both"/>
        <w:rPr>
          <w:rFonts w:cstheme="minorHAnsi"/>
        </w:rPr>
      </w:pPr>
      <w:r w:rsidRPr="002F4265">
        <w:rPr>
          <w:rFonts w:cstheme="minorHAnsi"/>
        </w:rPr>
        <w:t>7.1</w:t>
      </w:r>
      <w:r w:rsidRPr="002F4265">
        <w:rPr>
          <w:rFonts w:cstheme="minorHAnsi"/>
        </w:rPr>
        <w:tab/>
        <w:t xml:space="preserve">A council member or employee whose legal representation costs have been paid by the Town is to repay the Town – </w:t>
      </w:r>
    </w:p>
    <w:p w14:paraId="71973278" w14:textId="77777777" w:rsidR="002F4265" w:rsidRPr="002F4265" w:rsidRDefault="002F4265" w:rsidP="00692D9F">
      <w:pPr>
        <w:spacing w:after="60"/>
        <w:ind w:left="1418" w:hanging="425"/>
        <w:jc w:val="both"/>
        <w:rPr>
          <w:rFonts w:cstheme="minorHAnsi"/>
        </w:rPr>
      </w:pPr>
      <w:r w:rsidRPr="002F4265">
        <w:rPr>
          <w:rFonts w:cstheme="minorHAnsi"/>
        </w:rPr>
        <w:t>(a)</w:t>
      </w:r>
      <w:r w:rsidRPr="002F4265">
        <w:rPr>
          <w:rFonts w:cstheme="minorHAnsi"/>
        </w:rPr>
        <w:tab/>
        <w:t xml:space="preserve">all or part of those costs – in accordance with a determination by the Council under clause </w:t>
      </w:r>
      <w:proofErr w:type="gramStart"/>
      <w:r w:rsidRPr="002F4265">
        <w:rPr>
          <w:rFonts w:cstheme="minorHAnsi"/>
        </w:rPr>
        <w:t>5.7;</w:t>
      </w:r>
      <w:proofErr w:type="gramEnd"/>
    </w:p>
    <w:p w14:paraId="5078153C" w14:textId="77777777" w:rsidR="002F4265" w:rsidRPr="002F4265" w:rsidRDefault="002F4265" w:rsidP="002F4265">
      <w:pPr>
        <w:ind w:left="1418" w:hanging="425"/>
        <w:jc w:val="both"/>
        <w:rPr>
          <w:rFonts w:cstheme="minorHAnsi"/>
        </w:rPr>
      </w:pPr>
      <w:r w:rsidRPr="002F4265">
        <w:rPr>
          <w:rFonts w:cstheme="minorHAnsi"/>
        </w:rPr>
        <w:t>(b)</w:t>
      </w:r>
      <w:r w:rsidRPr="002F4265">
        <w:rPr>
          <w:rFonts w:cstheme="minorHAnsi"/>
        </w:rPr>
        <w:tab/>
        <w:t>as much of those costs as are available to be paid by way of set-off – where the council member or employee receives monies paid for costs, damages or settlement, in respect of the matter for which the Town paid the legal representation costs.</w:t>
      </w:r>
    </w:p>
    <w:p w14:paraId="29D39184" w14:textId="77777777" w:rsidR="002F4265" w:rsidRPr="002F4265" w:rsidRDefault="002F4265" w:rsidP="002F4265">
      <w:pPr>
        <w:ind w:left="993" w:hanging="567"/>
        <w:jc w:val="both"/>
        <w:rPr>
          <w:rFonts w:cstheme="minorHAnsi"/>
        </w:rPr>
      </w:pPr>
      <w:r w:rsidRPr="002F4265">
        <w:rPr>
          <w:rFonts w:cstheme="minorHAnsi"/>
        </w:rPr>
        <w:t>7.2</w:t>
      </w:r>
      <w:r w:rsidRPr="002F4265">
        <w:rPr>
          <w:rFonts w:cstheme="minorHAnsi"/>
        </w:rPr>
        <w:tab/>
        <w:t xml:space="preserve">The Town may </w:t>
      </w:r>
      <w:proofErr w:type="gramStart"/>
      <w:r w:rsidRPr="002F4265">
        <w:rPr>
          <w:rFonts w:cstheme="minorHAnsi"/>
        </w:rPr>
        <w:t>take action</w:t>
      </w:r>
      <w:proofErr w:type="gramEnd"/>
      <w:r w:rsidRPr="002F4265">
        <w:rPr>
          <w:rFonts w:cstheme="minorHAnsi"/>
        </w:rPr>
        <w:t xml:space="preserve"> in a court of competent jurisdiction to recover any monies due to it under this policy.</w:t>
      </w:r>
    </w:p>
    <w:tbl>
      <w:tblPr>
        <w:tblStyle w:val="TableGrid"/>
        <w:tblW w:w="0" w:type="auto"/>
        <w:tblLook w:val="04A0" w:firstRow="1" w:lastRow="0" w:firstColumn="1" w:lastColumn="0" w:noHBand="0" w:noVBand="1"/>
      </w:tblPr>
      <w:tblGrid>
        <w:gridCol w:w="3027"/>
        <w:gridCol w:w="5989"/>
      </w:tblGrid>
      <w:tr w:rsidR="002F4265" w:rsidRPr="002F4265" w14:paraId="36DEF21A" w14:textId="77777777" w:rsidTr="00692D9F">
        <w:tc>
          <w:tcPr>
            <w:tcW w:w="3027" w:type="dxa"/>
          </w:tcPr>
          <w:p w14:paraId="34822BF4" w14:textId="77777777" w:rsidR="002F4265" w:rsidRPr="002F4265" w:rsidRDefault="002F4265" w:rsidP="00D577CE">
            <w:pPr>
              <w:jc w:val="both"/>
              <w:rPr>
                <w:rFonts w:cstheme="minorHAnsi"/>
                <w:b/>
                <w:lang w:val="en-US"/>
              </w:rPr>
            </w:pPr>
            <w:r w:rsidRPr="002F4265">
              <w:rPr>
                <w:rFonts w:cstheme="minorHAnsi"/>
                <w:b/>
                <w:lang w:val="en-US"/>
              </w:rPr>
              <w:t>Responsible Directorate:</w:t>
            </w:r>
          </w:p>
        </w:tc>
        <w:tc>
          <w:tcPr>
            <w:tcW w:w="5989" w:type="dxa"/>
          </w:tcPr>
          <w:p w14:paraId="00DCEF8F" w14:textId="77777777" w:rsidR="002F4265" w:rsidRPr="002F4265" w:rsidRDefault="002F4265" w:rsidP="00D577CE">
            <w:pPr>
              <w:jc w:val="both"/>
              <w:rPr>
                <w:rFonts w:cstheme="minorHAnsi"/>
                <w:lang w:val="en-US"/>
              </w:rPr>
            </w:pPr>
            <w:r w:rsidRPr="002F4265">
              <w:rPr>
                <w:rFonts w:cstheme="minorHAnsi"/>
                <w:lang w:val="en-US"/>
              </w:rPr>
              <w:t>Chief Executive Officer’s Office</w:t>
            </w:r>
          </w:p>
        </w:tc>
      </w:tr>
      <w:tr w:rsidR="002F4265" w:rsidRPr="002F4265" w14:paraId="44CE3FA8" w14:textId="77777777" w:rsidTr="00692D9F">
        <w:tc>
          <w:tcPr>
            <w:tcW w:w="3027" w:type="dxa"/>
          </w:tcPr>
          <w:p w14:paraId="21FAAF48" w14:textId="77777777" w:rsidR="002F4265" w:rsidRPr="002F4265" w:rsidRDefault="002F4265" w:rsidP="00D577CE">
            <w:pPr>
              <w:jc w:val="both"/>
              <w:rPr>
                <w:rFonts w:cstheme="minorHAnsi"/>
                <w:b/>
                <w:lang w:val="en-US"/>
              </w:rPr>
            </w:pPr>
            <w:r w:rsidRPr="002F4265">
              <w:rPr>
                <w:rFonts w:cstheme="minorHAnsi"/>
                <w:b/>
                <w:lang w:val="en-US"/>
              </w:rPr>
              <w:t>Reviewing Officer:</w:t>
            </w:r>
          </w:p>
        </w:tc>
        <w:tc>
          <w:tcPr>
            <w:tcW w:w="5989" w:type="dxa"/>
          </w:tcPr>
          <w:p w14:paraId="29232850" w14:textId="77777777" w:rsidR="002F4265" w:rsidRPr="002F4265" w:rsidRDefault="002F4265" w:rsidP="00D577CE">
            <w:pPr>
              <w:jc w:val="both"/>
              <w:rPr>
                <w:rFonts w:cstheme="minorHAnsi"/>
                <w:lang w:val="en-US"/>
              </w:rPr>
            </w:pPr>
            <w:r w:rsidRPr="002F4265">
              <w:rPr>
                <w:rFonts w:cstheme="minorHAnsi"/>
                <w:lang w:val="en-US"/>
              </w:rPr>
              <w:t>Chief Executive Officer</w:t>
            </w:r>
          </w:p>
        </w:tc>
      </w:tr>
      <w:tr w:rsidR="002F4265" w:rsidRPr="002F4265" w14:paraId="156FE990" w14:textId="77777777" w:rsidTr="00692D9F">
        <w:tc>
          <w:tcPr>
            <w:tcW w:w="3027" w:type="dxa"/>
          </w:tcPr>
          <w:p w14:paraId="376CEB85" w14:textId="77777777" w:rsidR="002F4265" w:rsidRPr="002F4265" w:rsidRDefault="002F4265" w:rsidP="00D577CE">
            <w:pPr>
              <w:jc w:val="both"/>
              <w:rPr>
                <w:rFonts w:cstheme="minorHAnsi"/>
                <w:b/>
                <w:lang w:val="en-US"/>
              </w:rPr>
            </w:pPr>
            <w:r w:rsidRPr="002F4265">
              <w:rPr>
                <w:rFonts w:cstheme="minorHAnsi"/>
                <w:b/>
                <w:lang w:val="en-US"/>
              </w:rPr>
              <w:t>Decision making Authority:</w:t>
            </w:r>
          </w:p>
        </w:tc>
        <w:tc>
          <w:tcPr>
            <w:tcW w:w="5989" w:type="dxa"/>
          </w:tcPr>
          <w:p w14:paraId="68941ED6" w14:textId="77777777" w:rsidR="002F4265" w:rsidRPr="002F4265" w:rsidRDefault="002F4265" w:rsidP="00D577CE">
            <w:pPr>
              <w:jc w:val="both"/>
              <w:rPr>
                <w:rFonts w:cstheme="minorHAnsi"/>
                <w:lang w:val="en-US"/>
              </w:rPr>
            </w:pPr>
            <w:r w:rsidRPr="002F4265">
              <w:rPr>
                <w:rFonts w:cstheme="minorHAnsi"/>
                <w:lang w:val="en-US"/>
              </w:rPr>
              <w:t>Council</w:t>
            </w:r>
          </w:p>
        </w:tc>
      </w:tr>
      <w:tr w:rsidR="002F4265" w:rsidRPr="002F4265" w14:paraId="764BFC65" w14:textId="77777777" w:rsidTr="00692D9F">
        <w:tc>
          <w:tcPr>
            <w:tcW w:w="3027" w:type="dxa"/>
          </w:tcPr>
          <w:p w14:paraId="015FE96C" w14:textId="77777777" w:rsidR="002F4265" w:rsidRPr="002F4265" w:rsidRDefault="002F4265" w:rsidP="00D577CE">
            <w:pPr>
              <w:jc w:val="both"/>
              <w:rPr>
                <w:rFonts w:cstheme="minorHAnsi"/>
                <w:b/>
                <w:lang w:val="en-US"/>
              </w:rPr>
            </w:pPr>
            <w:r w:rsidRPr="002F4265">
              <w:rPr>
                <w:rFonts w:cstheme="minorHAnsi"/>
                <w:b/>
                <w:lang w:val="en-US"/>
              </w:rPr>
              <w:t>Policy Adopted:</w:t>
            </w:r>
          </w:p>
        </w:tc>
        <w:tc>
          <w:tcPr>
            <w:tcW w:w="5989" w:type="dxa"/>
          </w:tcPr>
          <w:p w14:paraId="578A78E0" w14:textId="77777777" w:rsidR="002F4265" w:rsidRPr="002F4265" w:rsidRDefault="002F4265" w:rsidP="00D577CE">
            <w:pPr>
              <w:jc w:val="both"/>
              <w:rPr>
                <w:rFonts w:cstheme="minorHAnsi"/>
                <w:lang w:val="en-US"/>
              </w:rPr>
            </w:pPr>
            <w:r w:rsidRPr="002F4265">
              <w:rPr>
                <w:rFonts w:cstheme="minorHAnsi"/>
                <w:lang w:val="en-US"/>
              </w:rPr>
              <w:t>20/10/15</w:t>
            </w:r>
          </w:p>
        </w:tc>
      </w:tr>
      <w:tr w:rsidR="002F4265" w:rsidRPr="002F4265" w14:paraId="7E760A7E" w14:textId="77777777" w:rsidTr="00692D9F">
        <w:tc>
          <w:tcPr>
            <w:tcW w:w="3027" w:type="dxa"/>
          </w:tcPr>
          <w:p w14:paraId="5C1E9DE2" w14:textId="77777777" w:rsidR="002F4265" w:rsidRPr="002F4265" w:rsidRDefault="00692D9F" w:rsidP="00D577CE">
            <w:pPr>
              <w:jc w:val="both"/>
              <w:rPr>
                <w:rFonts w:cstheme="minorHAnsi"/>
                <w:b/>
                <w:lang w:val="en-US"/>
              </w:rPr>
            </w:pPr>
            <w:r>
              <w:rPr>
                <w:rFonts w:cstheme="minorHAnsi"/>
                <w:b/>
                <w:lang w:val="en-US"/>
              </w:rPr>
              <w:t>Policy Amended/Reviewed:</w:t>
            </w:r>
          </w:p>
        </w:tc>
        <w:tc>
          <w:tcPr>
            <w:tcW w:w="5989" w:type="dxa"/>
          </w:tcPr>
          <w:p w14:paraId="1D9BD639" w14:textId="77777777" w:rsidR="002F4265" w:rsidRPr="002F4265" w:rsidRDefault="003C6BA5" w:rsidP="00D577CE">
            <w:pPr>
              <w:jc w:val="both"/>
              <w:rPr>
                <w:rFonts w:cstheme="minorHAnsi"/>
                <w:lang w:val="en-US"/>
              </w:rPr>
            </w:pPr>
            <w:r>
              <w:rPr>
                <w:rFonts w:cstheme="minorHAnsi"/>
                <w:lang w:val="en-US"/>
              </w:rPr>
              <w:t>17/9/19</w:t>
            </w:r>
          </w:p>
        </w:tc>
      </w:tr>
      <w:tr w:rsidR="002F4265" w:rsidRPr="002F4265" w14:paraId="002F971F" w14:textId="77777777" w:rsidTr="00692D9F">
        <w:tc>
          <w:tcPr>
            <w:tcW w:w="3027" w:type="dxa"/>
          </w:tcPr>
          <w:p w14:paraId="117D700C" w14:textId="77777777" w:rsidR="002F4265" w:rsidRPr="002F4265" w:rsidRDefault="00692D9F" w:rsidP="00D577CE">
            <w:pPr>
              <w:jc w:val="both"/>
              <w:rPr>
                <w:rFonts w:cstheme="minorHAnsi"/>
                <w:b/>
                <w:lang w:val="en-US"/>
              </w:rPr>
            </w:pPr>
            <w:r>
              <w:rPr>
                <w:rFonts w:cstheme="minorHAnsi"/>
                <w:b/>
                <w:lang w:val="en-US"/>
              </w:rPr>
              <w:t>Former Policy No:</w:t>
            </w:r>
          </w:p>
        </w:tc>
        <w:tc>
          <w:tcPr>
            <w:tcW w:w="5989" w:type="dxa"/>
          </w:tcPr>
          <w:p w14:paraId="144041F9" w14:textId="77777777" w:rsidR="002F4265" w:rsidRPr="002F4265" w:rsidRDefault="00692D9F" w:rsidP="00D577CE">
            <w:pPr>
              <w:jc w:val="both"/>
              <w:rPr>
                <w:rFonts w:cstheme="minorHAnsi"/>
                <w:lang w:val="en-US"/>
              </w:rPr>
            </w:pPr>
            <w:r>
              <w:rPr>
                <w:rFonts w:cstheme="minorHAnsi"/>
                <w:lang w:val="en-US"/>
              </w:rPr>
              <w:t>4.3.1</w:t>
            </w:r>
          </w:p>
        </w:tc>
      </w:tr>
    </w:tbl>
    <w:p w14:paraId="3CC53370" w14:textId="77777777" w:rsidR="002F4265" w:rsidRPr="002F4265" w:rsidRDefault="002F4265" w:rsidP="002F4265">
      <w:pPr>
        <w:jc w:val="both"/>
        <w:rPr>
          <w:rFonts w:cstheme="minorHAnsi"/>
          <w:lang w:val="en-US"/>
        </w:rPr>
      </w:pPr>
    </w:p>
    <w:p w14:paraId="74532BD9" w14:textId="4C9A9588" w:rsidR="007163B0" w:rsidRDefault="00F23DE3" w:rsidP="007163B0">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42880" behindDoc="1" locked="0" layoutInCell="1" allowOverlap="1" wp14:anchorId="2FE082B2" wp14:editId="72068F62">
            <wp:simplePos x="0" y="0"/>
            <wp:positionH relativeFrom="margin">
              <wp:align>right</wp:align>
            </wp:positionH>
            <wp:positionV relativeFrom="paragraph">
              <wp:posOffset>9525</wp:posOffset>
            </wp:positionV>
            <wp:extent cx="1744345" cy="699135"/>
            <wp:effectExtent l="0" t="0" r="8255" b="5715"/>
            <wp:wrapTight wrapText="bothSides">
              <wp:wrapPolygon edited="0">
                <wp:start x="0" y="0"/>
                <wp:lineTo x="0" y="21188"/>
                <wp:lineTo x="21466" y="21188"/>
                <wp:lineTo x="21466"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35C61C18" w14:textId="77777777" w:rsidR="007163B0" w:rsidRPr="00DC04FA" w:rsidRDefault="007163B0" w:rsidP="00DC04FA">
      <w:pPr>
        <w:pStyle w:val="Title"/>
        <w:pBdr>
          <w:bottom w:val="none" w:sz="0" w:space="0" w:color="auto"/>
        </w:pBdr>
        <w:spacing w:before="240" w:after="0"/>
        <w:rPr>
          <w:rFonts w:asciiTheme="minorHAnsi" w:hAnsiTheme="minorHAnsi" w:cstheme="minorHAnsi"/>
          <w:b/>
          <w:sz w:val="16"/>
          <w:szCs w:val="28"/>
          <w:lang w:val="en-US"/>
        </w:rPr>
      </w:pPr>
    </w:p>
    <w:p w14:paraId="5350C552" w14:textId="77777777" w:rsidR="00F23DE3" w:rsidRDefault="00F23DE3" w:rsidP="00DC04FA">
      <w:pPr>
        <w:pStyle w:val="Policy3"/>
      </w:pPr>
    </w:p>
    <w:p w14:paraId="34B91D25" w14:textId="77777777" w:rsidR="00F23DE3" w:rsidRDefault="00F23DE3" w:rsidP="00DC04FA">
      <w:pPr>
        <w:pStyle w:val="Policy3"/>
      </w:pPr>
    </w:p>
    <w:p w14:paraId="0C308CBA" w14:textId="5CAEB095" w:rsidR="007163B0" w:rsidRPr="00A9373D" w:rsidRDefault="007163B0" w:rsidP="00DC04FA">
      <w:pPr>
        <w:pStyle w:val="Policy3"/>
      </w:pPr>
      <w:bookmarkStart w:id="414" w:name="_Toc216866702"/>
      <w:r w:rsidRPr="00A9373D">
        <w:t>2.2.2</w:t>
      </w:r>
      <w:r w:rsidRPr="00A9373D">
        <w:tab/>
        <w:t>U</w:t>
      </w:r>
      <w:r w:rsidR="00DC04FA">
        <w:t>se of Information Technology</w:t>
      </w:r>
      <w:bookmarkEnd w:id="414"/>
      <w:r w:rsidRPr="00A9373D">
        <w:t xml:space="preserve"> </w:t>
      </w:r>
    </w:p>
    <w:tbl>
      <w:tblPr>
        <w:tblStyle w:val="TableGrid"/>
        <w:tblW w:w="0" w:type="auto"/>
        <w:tblLook w:val="04A0" w:firstRow="1" w:lastRow="0" w:firstColumn="1" w:lastColumn="0" w:noHBand="0" w:noVBand="1"/>
      </w:tblPr>
      <w:tblGrid>
        <w:gridCol w:w="3022"/>
        <w:gridCol w:w="5994"/>
      </w:tblGrid>
      <w:tr w:rsidR="007163B0" w:rsidRPr="007163B0" w14:paraId="61EA7C22" w14:textId="77777777" w:rsidTr="007163B0">
        <w:tc>
          <w:tcPr>
            <w:tcW w:w="3022" w:type="dxa"/>
          </w:tcPr>
          <w:p w14:paraId="3D938467" w14:textId="77777777" w:rsidR="007163B0" w:rsidRPr="007163B0" w:rsidRDefault="007163B0" w:rsidP="007479BF">
            <w:pPr>
              <w:rPr>
                <w:rFonts w:cstheme="minorHAnsi"/>
                <w:b/>
                <w:lang w:val="en-US"/>
              </w:rPr>
            </w:pPr>
            <w:r w:rsidRPr="007163B0">
              <w:rPr>
                <w:rFonts w:cstheme="minorHAnsi"/>
                <w:b/>
                <w:lang w:val="en-US"/>
              </w:rPr>
              <w:t>Type:</w:t>
            </w:r>
          </w:p>
        </w:tc>
        <w:tc>
          <w:tcPr>
            <w:tcW w:w="5994" w:type="dxa"/>
          </w:tcPr>
          <w:p w14:paraId="5F4B2C2C" w14:textId="77777777" w:rsidR="007163B0" w:rsidRPr="007163B0" w:rsidRDefault="009275DA" w:rsidP="007479BF">
            <w:pPr>
              <w:rPr>
                <w:rFonts w:cstheme="minorHAnsi"/>
                <w:lang w:val="en-US"/>
              </w:rPr>
            </w:pPr>
            <w:r>
              <w:rPr>
                <w:rFonts w:cstheme="minorHAnsi"/>
                <w:lang w:val="en-US"/>
              </w:rPr>
              <w:t xml:space="preserve">Corporate Services - </w:t>
            </w:r>
            <w:r w:rsidR="007163B0" w:rsidRPr="007163B0">
              <w:rPr>
                <w:rFonts w:cstheme="minorHAnsi"/>
                <w:lang w:val="en-US"/>
              </w:rPr>
              <w:t>Risk Management</w:t>
            </w:r>
          </w:p>
        </w:tc>
      </w:tr>
      <w:tr w:rsidR="007163B0" w:rsidRPr="007163B0" w14:paraId="40C88C70" w14:textId="77777777" w:rsidTr="007163B0">
        <w:tc>
          <w:tcPr>
            <w:tcW w:w="3022" w:type="dxa"/>
          </w:tcPr>
          <w:p w14:paraId="7BA9109F" w14:textId="77777777" w:rsidR="007163B0" w:rsidRPr="007163B0" w:rsidRDefault="007163B0" w:rsidP="007479BF">
            <w:pPr>
              <w:rPr>
                <w:rFonts w:cstheme="minorHAnsi"/>
                <w:b/>
                <w:lang w:val="en-US"/>
              </w:rPr>
            </w:pPr>
            <w:r w:rsidRPr="007163B0">
              <w:rPr>
                <w:rFonts w:cstheme="minorHAnsi"/>
                <w:b/>
                <w:lang w:val="en-US"/>
              </w:rPr>
              <w:t>Legislation:</w:t>
            </w:r>
          </w:p>
        </w:tc>
        <w:tc>
          <w:tcPr>
            <w:tcW w:w="5994" w:type="dxa"/>
          </w:tcPr>
          <w:p w14:paraId="1FEF8FA9" w14:textId="77777777" w:rsidR="007163B0" w:rsidRPr="007163B0" w:rsidRDefault="007163B0" w:rsidP="007479BF">
            <w:pPr>
              <w:rPr>
                <w:rFonts w:cstheme="minorHAnsi"/>
                <w:lang w:val="en-US"/>
              </w:rPr>
            </w:pPr>
            <w:r w:rsidRPr="007163B0">
              <w:rPr>
                <w:rFonts w:cstheme="minorHAnsi"/>
                <w:lang w:val="en-US"/>
              </w:rPr>
              <w:t>Copyright Act 1968</w:t>
            </w:r>
          </w:p>
          <w:p w14:paraId="44670F73" w14:textId="77777777" w:rsidR="007163B0" w:rsidRPr="007163B0" w:rsidRDefault="007163B0" w:rsidP="007479BF">
            <w:pPr>
              <w:rPr>
                <w:rFonts w:cstheme="minorHAnsi"/>
                <w:lang w:val="en-US"/>
              </w:rPr>
            </w:pPr>
            <w:r w:rsidRPr="007163B0">
              <w:rPr>
                <w:rFonts w:cstheme="minorHAnsi"/>
                <w:lang w:val="en-US"/>
              </w:rPr>
              <w:t>Censorship Act 1995</w:t>
            </w:r>
          </w:p>
        </w:tc>
      </w:tr>
      <w:tr w:rsidR="007163B0" w:rsidRPr="007163B0" w14:paraId="6F415106" w14:textId="77777777" w:rsidTr="007163B0">
        <w:tc>
          <w:tcPr>
            <w:tcW w:w="3022" w:type="dxa"/>
          </w:tcPr>
          <w:p w14:paraId="68C08079" w14:textId="77777777" w:rsidR="007163B0" w:rsidRPr="007163B0" w:rsidRDefault="007163B0" w:rsidP="007479BF">
            <w:pPr>
              <w:rPr>
                <w:rFonts w:cstheme="minorHAnsi"/>
                <w:b/>
                <w:lang w:val="en-US"/>
              </w:rPr>
            </w:pPr>
            <w:r w:rsidRPr="007163B0">
              <w:rPr>
                <w:rFonts w:cstheme="minorHAnsi"/>
                <w:b/>
                <w:lang w:val="en-US"/>
              </w:rPr>
              <w:t>Delegation:</w:t>
            </w:r>
          </w:p>
        </w:tc>
        <w:tc>
          <w:tcPr>
            <w:tcW w:w="5994" w:type="dxa"/>
          </w:tcPr>
          <w:p w14:paraId="3C0D8F5A" w14:textId="77777777" w:rsidR="007163B0" w:rsidRPr="007163B0" w:rsidRDefault="007163B0" w:rsidP="007479BF">
            <w:pPr>
              <w:rPr>
                <w:rFonts w:cstheme="minorHAnsi"/>
                <w:lang w:val="en-US"/>
              </w:rPr>
            </w:pPr>
          </w:p>
        </w:tc>
      </w:tr>
      <w:tr w:rsidR="007163B0" w:rsidRPr="007163B0" w14:paraId="55A6C74B" w14:textId="77777777" w:rsidTr="007163B0">
        <w:tc>
          <w:tcPr>
            <w:tcW w:w="3022" w:type="dxa"/>
          </w:tcPr>
          <w:p w14:paraId="37CE5182" w14:textId="77777777" w:rsidR="007163B0" w:rsidRPr="007163B0" w:rsidRDefault="007163B0" w:rsidP="007479BF">
            <w:pPr>
              <w:rPr>
                <w:rFonts w:cstheme="minorHAnsi"/>
                <w:b/>
                <w:lang w:val="en-US"/>
              </w:rPr>
            </w:pPr>
            <w:r w:rsidRPr="007163B0">
              <w:rPr>
                <w:rFonts w:cstheme="minorHAnsi"/>
                <w:b/>
                <w:lang w:val="en-US"/>
              </w:rPr>
              <w:t>Other Related Document:</w:t>
            </w:r>
          </w:p>
        </w:tc>
        <w:tc>
          <w:tcPr>
            <w:tcW w:w="5994" w:type="dxa"/>
          </w:tcPr>
          <w:p w14:paraId="0119CBA9" w14:textId="77777777" w:rsidR="007163B0" w:rsidRPr="007163B0" w:rsidRDefault="00EA79AC" w:rsidP="007479BF">
            <w:pPr>
              <w:rPr>
                <w:rFonts w:cstheme="minorHAnsi"/>
                <w:lang w:val="en-US"/>
              </w:rPr>
            </w:pPr>
            <w:r>
              <w:rPr>
                <w:rFonts w:cstheme="minorHAnsi"/>
                <w:lang w:val="en-US"/>
              </w:rPr>
              <w:t>Acceptable internet Use Procedures PRO2.2.2</w:t>
            </w:r>
          </w:p>
        </w:tc>
      </w:tr>
    </w:tbl>
    <w:p w14:paraId="7A386B39" w14:textId="77777777" w:rsidR="007163B0" w:rsidRPr="00A9373D" w:rsidRDefault="007163B0" w:rsidP="007163B0">
      <w:pPr>
        <w:spacing w:before="240" w:after="0"/>
        <w:rPr>
          <w:b/>
          <w:sz w:val="28"/>
          <w:szCs w:val="28"/>
          <w:lang w:val="en-US"/>
        </w:rPr>
      </w:pPr>
      <w:r w:rsidRPr="00A9373D">
        <w:rPr>
          <w:b/>
          <w:sz w:val="28"/>
          <w:szCs w:val="28"/>
          <w:lang w:val="en-US"/>
        </w:rPr>
        <w:t>Objective</w:t>
      </w:r>
    </w:p>
    <w:p w14:paraId="61767359" w14:textId="77777777" w:rsidR="007163B0" w:rsidRPr="007163B0" w:rsidRDefault="007163B0" w:rsidP="007163B0">
      <w:pPr>
        <w:jc w:val="both"/>
        <w:rPr>
          <w:rFonts w:cstheme="minorHAnsi"/>
          <w:lang w:val="en-US"/>
        </w:rPr>
      </w:pPr>
      <w:r w:rsidRPr="007163B0">
        <w:rPr>
          <w:rFonts w:cstheme="minorHAnsi"/>
          <w:lang w:val="en-US"/>
        </w:rPr>
        <w:t xml:space="preserve">This policy provides guidelines for the proper usage of all information technology facilities, including electronic data exchange, via internal and external data networks.  It </w:t>
      </w:r>
      <w:proofErr w:type="gramStart"/>
      <w:r w:rsidRPr="007163B0">
        <w:rPr>
          <w:rFonts w:cstheme="minorHAnsi"/>
          <w:lang w:val="en-US"/>
        </w:rPr>
        <w:t>includes:</w:t>
      </w:r>
      <w:proofErr w:type="gramEnd"/>
      <w:r w:rsidRPr="007163B0">
        <w:rPr>
          <w:rFonts w:cstheme="minorHAnsi"/>
          <w:lang w:val="en-US"/>
        </w:rPr>
        <w:t xml:space="preserve"> internet access, internet </w:t>
      </w:r>
      <w:r w:rsidR="002D138F">
        <w:rPr>
          <w:rFonts w:cstheme="minorHAnsi"/>
          <w:lang w:val="en-US"/>
        </w:rPr>
        <w:t>Email</w:t>
      </w:r>
      <w:r w:rsidRPr="007163B0">
        <w:rPr>
          <w:rFonts w:cstheme="minorHAnsi"/>
          <w:lang w:val="en-US"/>
        </w:rPr>
        <w:t xml:space="preserve">, internal </w:t>
      </w:r>
      <w:r w:rsidR="002D138F">
        <w:rPr>
          <w:rFonts w:cstheme="minorHAnsi"/>
          <w:lang w:val="en-US"/>
        </w:rPr>
        <w:t>Email</w:t>
      </w:r>
      <w:r w:rsidRPr="007163B0">
        <w:rPr>
          <w:rFonts w:cstheme="minorHAnsi"/>
          <w:lang w:val="en-US"/>
        </w:rPr>
        <w:t xml:space="preserve"> (Exchange), facsimile and any other electronic data transfer using the Town of East Fremantle information technology facilities.</w:t>
      </w:r>
    </w:p>
    <w:p w14:paraId="18341119" w14:textId="77777777" w:rsidR="007163B0" w:rsidRPr="00A9373D" w:rsidRDefault="007163B0" w:rsidP="007163B0">
      <w:pPr>
        <w:spacing w:before="200" w:after="0"/>
        <w:rPr>
          <w:b/>
          <w:sz w:val="28"/>
          <w:szCs w:val="28"/>
          <w:lang w:val="en-US"/>
        </w:rPr>
      </w:pPr>
      <w:r w:rsidRPr="00A9373D">
        <w:rPr>
          <w:b/>
          <w:sz w:val="28"/>
          <w:szCs w:val="28"/>
          <w:lang w:val="en-US"/>
        </w:rPr>
        <w:t>Policy Scope</w:t>
      </w:r>
    </w:p>
    <w:p w14:paraId="2080B7E9" w14:textId="77777777" w:rsidR="007163B0" w:rsidRPr="007163B0" w:rsidRDefault="007163B0" w:rsidP="007163B0">
      <w:pPr>
        <w:jc w:val="both"/>
        <w:rPr>
          <w:rFonts w:cstheme="minorHAnsi"/>
          <w:lang w:val="en-US"/>
        </w:rPr>
      </w:pPr>
      <w:r w:rsidRPr="007163B0">
        <w:rPr>
          <w:rFonts w:cstheme="minorHAnsi"/>
          <w:lang w:val="en-US"/>
        </w:rPr>
        <w:t>This Policy sets the conditions of use for the Town of East Fremantle information technology facilities, including the use of the internet and electron mail (Outlook) for all employees, volunteers, contractors and Elected Members.</w:t>
      </w:r>
    </w:p>
    <w:p w14:paraId="051C3898" w14:textId="77777777" w:rsidR="007163B0" w:rsidRPr="007163B0" w:rsidRDefault="007163B0" w:rsidP="007163B0">
      <w:pPr>
        <w:spacing w:before="200"/>
        <w:jc w:val="both"/>
        <w:rPr>
          <w:rFonts w:cstheme="minorHAnsi"/>
          <w:b/>
          <w:bCs/>
        </w:rPr>
      </w:pPr>
      <w:proofErr w:type="gramStart"/>
      <w:r w:rsidRPr="007163B0">
        <w:rPr>
          <w:rFonts w:cstheme="minorHAnsi"/>
        </w:rPr>
        <w:t>For the purpose of</w:t>
      </w:r>
      <w:proofErr w:type="gramEnd"/>
      <w:r w:rsidRPr="007163B0">
        <w:rPr>
          <w:rFonts w:cstheme="minorHAnsi"/>
        </w:rPr>
        <w:t xml:space="preserve"> this Policy ‘employees’ denotes employees, volunteers, contractors and if applicable Elected Members.</w:t>
      </w:r>
    </w:p>
    <w:p w14:paraId="26B3D59E" w14:textId="77777777" w:rsidR="007163B0" w:rsidRPr="00A9373D" w:rsidRDefault="007163B0" w:rsidP="007163B0">
      <w:pPr>
        <w:spacing w:before="200" w:after="0"/>
        <w:rPr>
          <w:b/>
          <w:sz w:val="28"/>
          <w:szCs w:val="28"/>
          <w:lang w:val="en-US"/>
        </w:rPr>
      </w:pPr>
      <w:r w:rsidRPr="00A9373D">
        <w:rPr>
          <w:b/>
          <w:sz w:val="28"/>
          <w:szCs w:val="28"/>
          <w:lang w:val="en-US"/>
        </w:rPr>
        <w:t xml:space="preserve">Policy </w:t>
      </w:r>
    </w:p>
    <w:p w14:paraId="5C16E34A" w14:textId="77777777" w:rsidR="007163B0" w:rsidRPr="00020992" w:rsidRDefault="007163B0" w:rsidP="007163B0">
      <w:pPr>
        <w:spacing w:before="200" w:after="60"/>
        <w:ind w:left="425" w:hanging="425"/>
        <w:jc w:val="both"/>
        <w:rPr>
          <w:rFonts w:cstheme="minorHAnsi"/>
          <w:b/>
          <w:bCs/>
        </w:rPr>
      </w:pPr>
      <w:r w:rsidRPr="00020992">
        <w:rPr>
          <w:rFonts w:cstheme="minorHAnsi"/>
          <w:b/>
          <w:bCs/>
        </w:rPr>
        <w:t>1.</w:t>
      </w:r>
      <w:r w:rsidRPr="00020992">
        <w:rPr>
          <w:rFonts w:cstheme="minorHAnsi"/>
          <w:b/>
          <w:bCs/>
        </w:rPr>
        <w:tab/>
        <w:t>Purpose</w:t>
      </w:r>
    </w:p>
    <w:p w14:paraId="751A865D" w14:textId="77777777" w:rsidR="007163B0" w:rsidRPr="007163B0" w:rsidRDefault="007163B0" w:rsidP="007163B0">
      <w:pPr>
        <w:tabs>
          <w:tab w:val="left" w:pos="600"/>
        </w:tabs>
        <w:spacing w:before="60" w:after="60"/>
        <w:ind w:left="601" w:hanging="601"/>
        <w:jc w:val="both"/>
        <w:rPr>
          <w:rFonts w:cstheme="minorHAnsi"/>
        </w:rPr>
      </w:pPr>
      <w:r w:rsidRPr="007163B0">
        <w:rPr>
          <w:rFonts w:cstheme="minorHAnsi"/>
        </w:rPr>
        <w:t>This Policy applies to:</w:t>
      </w:r>
    </w:p>
    <w:p w14:paraId="15A1A0FD" w14:textId="77777777" w:rsidR="007163B0" w:rsidRPr="007163B0" w:rsidRDefault="007163B0" w:rsidP="002A3889">
      <w:pPr>
        <w:numPr>
          <w:ilvl w:val="0"/>
          <w:numId w:val="52"/>
        </w:numPr>
        <w:tabs>
          <w:tab w:val="clear" w:pos="720"/>
          <w:tab w:val="num" w:pos="567"/>
        </w:tabs>
        <w:spacing w:before="60" w:after="60" w:line="240" w:lineRule="auto"/>
        <w:ind w:left="567" w:hanging="567"/>
        <w:jc w:val="both"/>
        <w:rPr>
          <w:rFonts w:cstheme="minorHAnsi"/>
        </w:rPr>
      </w:pPr>
      <w:r w:rsidRPr="007163B0">
        <w:rPr>
          <w:rFonts w:cstheme="minorHAnsi"/>
        </w:rPr>
        <w:t xml:space="preserve">All employees of the Town of East Fremantle, whether they are permanent, temporary or </w:t>
      </w:r>
      <w:proofErr w:type="gramStart"/>
      <w:r w:rsidRPr="007163B0">
        <w:rPr>
          <w:rFonts w:cstheme="minorHAnsi"/>
        </w:rPr>
        <w:t>contracted;</w:t>
      </w:r>
      <w:proofErr w:type="gramEnd"/>
    </w:p>
    <w:p w14:paraId="74A9BF7B" w14:textId="77777777" w:rsidR="007163B0" w:rsidRPr="007163B0" w:rsidRDefault="007163B0" w:rsidP="002A3889">
      <w:pPr>
        <w:numPr>
          <w:ilvl w:val="0"/>
          <w:numId w:val="52"/>
        </w:numPr>
        <w:tabs>
          <w:tab w:val="clear" w:pos="720"/>
          <w:tab w:val="num" w:pos="567"/>
        </w:tabs>
        <w:spacing w:before="60" w:after="60" w:line="240" w:lineRule="auto"/>
        <w:ind w:left="567" w:hanging="567"/>
        <w:jc w:val="both"/>
        <w:rPr>
          <w:rFonts w:cstheme="minorHAnsi"/>
        </w:rPr>
      </w:pPr>
      <w:r w:rsidRPr="007163B0">
        <w:rPr>
          <w:rFonts w:cstheme="minorHAnsi"/>
        </w:rPr>
        <w:t>All contractors and volunteers; and</w:t>
      </w:r>
    </w:p>
    <w:p w14:paraId="2F23CD04" w14:textId="77777777" w:rsidR="007163B0" w:rsidRPr="007163B0" w:rsidRDefault="007163B0" w:rsidP="002A3889">
      <w:pPr>
        <w:numPr>
          <w:ilvl w:val="0"/>
          <w:numId w:val="52"/>
        </w:numPr>
        <w:tabs>
          <w:tab w:val="clear" w:pos="720"/>
          <w:tab w:val="num" w:pos="567"/>
        </w:tabs>
        <w:spacing w:before="60" w:after="0" w:line="240" w:lineRule="auto"/>
        <w:ind w:left="567" w:hanging="567"/>
        <w:jc w:val="both"/>
        <w:rPr>
          <w:rFonts w:cstheme="minorHAnsi"/>
        </w:rPr>
      </w:pPr>
      <w:r w:rsidRPr="007163B0">
        <w:rPr>
          <w:rFonts w:cstheme="minorHAnsi"/>
        </w:rPr>
        <w:t>Elected Members using Council equipment.</w:t>
      </w:r>
    </w:p>
    <w:p w14:paraId="0B7CEBB2" w14:textId="77777777" w:rsidR="007163B0" w:rsidRPr="007163B0" w:rsidRDefault="007163B0" w:rsidP="007163B0">
      <w:pPr>
        <w:pStyle w:val="BodyTextIndent"/>
        <w:spacing w:before="200"/>
        <w:ind w:left="0"/>
        <w:jc w:val="both"/>
        <w:rPr>
          <w:rFonts w:cstheme="minorHAnsi"/>
        </w:rPr>
      </w:pPr>
      <w:r w:rsidRPr="007163B0">
        <w:rPr>
          <w:rFonts w:cstheme="minorHAnsi"/>
        </w:rPr>
        <w:t>It is important therefore that all persons understand and acknowledge their obligations in this area.</w:t>
      </w:r>
    </w:p>
    <w:p w14:paraId="526ACBF4" w14:textId="77777777" w:rsidR="007163B0" w:rsidRPr="007163B0" w:rsidRDefault="007163B0" w:rsidP="007163B0">
      <w:pPr>
        <w:pStyle w:val="BodyTextIndent"/>
        <w:spacing w:before="200"/>
        <w:ind w:left="0"/>
        <w:jc w:val="both"/>
        <w:rPr>
          <w:rFonts w:cstheme="minorHAnsi"/>
        </w:rPr>
      </w:pPr>
      <w:r w:rsidRPr="007163B0">
        <w:rPr>
          <w:rFonts w:cstheme="minorHAnsi"/>
        </w:rPr>
        <w:t>Town of East Fremantle employees are accountable for the use of their Town’s Information Technology (IT) facilities.</w:t>
      </w:r>
      <w:r w:rsidRPr="007163B0">
        <w:rPr>
          <w:rFonts w:cstheme="minorHAnsi"/>
          <w:b/>
        </w:rPr>
        <w:t xml:space="preserve">  </w:t>
      </w:r>
      <w:r w:rsidRPr="007163B0">
        <w:rPr>
          <w:rFonts w:cstheme="minorHAnsi"/>
        </w:rPr>
        <w:t>If these facilities are improperly used, persons found misusing Town facilities may be subject to formal disciplinary actions and, potentially, criminal prosecutions.</w:t>
      </w:r>
    </w:p>
    <w:p w14:paraId="661F23A2" w14:textId="77777777" w:rsidR="007163B0" w:rsidRPr="007163B0" w:rsidRDefault="007163B0" w:rsidP="007163B0">
      <w:pPr>
        <w:pStyle w:val="BodyTextIndent"/>
        <w:spacing w:before="200"/>
        <w:ind w:left="0"/>
        <w:jc w:val="both"/>
        <w:rPr>
          <w:rFonts w:cstheme="minorHAnsi"/>
        </w:rPr>
      </w:pPr>
      <w:r w:rsidRPr="007163B0">
        <w:rPr>
          <w:rFonts w:cstheme="minorHAnsi"/>
        </w:rPr>
        <w:t>The Town’s IT network and its connections to other networks are to be used only in a manner that is consistent with the Town’s business purposes and within the principles and guidelines of this Policy and associated procedures.</w:t>
      </w:r>
    </w:p>
    <w:p w14:paraId="53A6EF71" w14:textId="77777777" w:rsidR="007163B0" w:rsidRPr="007163B0" w:rsidRDefault="007163B0" w:rsidP="00E478AA">
      <w:pPr>
        <w:pStyle w:val="BodyTextIndent"/>
        <w:spacing w:before="200" w:after="60"/>
        <w:ind w:left="0"/>
        <w:jc w:val="both"/>
        <w:rPr>
          <w:rFonts w:cstheme="minorHAnsi"/>
        </w:rPr>
      </w:pPr>
      <w:r w:rsidRPr="007163B0">
        <w:rPr>
          <w:rFonts w:cstheme="minorHAnsi"/>
        </w:rPr>
        <w:t>This document sets out the Town of East Fremantle’s position on the proper use of its IT facilities.  The principles sustaining the proper use of the Town of East Fremantle IT facilities are:</w:t>
      </w:r>
    </w:p>
    <w:p w14:paraId="463CA9FA" w14:textId="77777777" w:rsidR="007163B0" w:rsidRPr="007163B0" w:rsidRDefault="007163B0" w:rsidP="002A3889">
      <w:pPr>
        <w:pStyle w:val="BodyTextIndent"/>
        <w:numPr>
          <w:ilvl w:val="0"/>
          <w:numId w:val="53"/>
        </w:numPr>
        <w:tabs>
          <w:tab w:val="clear" w:pos="720"/>
        </w:tabs>
        <w:spacing w:before="60" w:after="0" w:line="240" w:lineRule="auto"/>
        <w:ind w:left="567" w:hanging="567"/>
        <w:jc w:val="both"/>
        <w:rPr>
          <w:rFonts w:cstheme="minorHAnsi"/>
        </w:rPr>
      </w:pPr>
      <w:r w:rsidRPr="007163B0">
        <w:rPr>
          <w:rFonts w:cstheme="minorHAnsi"/>
        </w:rPr>
        <w:t>The use of IT Facilities should be consistent with the Town of East Fremantle business operations.</w:t>
      </w:r>
    </w:p>
    <w:p w14:paraId="2051B330" w14:textId="77777777" w:rsidR="007163B0" w:rsidRPr="007163B0" w:rsidRDefault="007163B0" w:rsidP="002A3889">
      <w:pPr>
        <w:pStyle w:val="BodyTextIndent"/>
        <w:numPr>
          <w:ilvl w:val="0"/>
          <w:numId w:val="53"/>
        </w:numPr>
        <w:tabs>
          <w:tab w:val="clear" w:pos="720"/>
        </w:tabs>
        <w:spacing w:before="60" w:after="0" w:line="240" w:lineRule="auto"/>
        <w:ind w:left="567" w:hanging="567"/>
        <w:jc w:val="both"/>
        <w:rPr>
          <w:rFonts w:cstheme="minorHAnsi"/>
        </w:rPr>
      </w:pPr>
      <w:r w:rsidRPr="007163B0">
        <w:rPr>
          <w:rFonts w:cstheme="minorHAnsi"/>
        </w:rPr>
        <w:lastRenderedPageBreak/>
        <w:t>Limited personal use is permitted but must not interfere with the Town of East Fremantle business operations.</w:t>
      </w:r>
    </w:p>
    <w:p w14:paraId="79540A55" w14:textId="77777777" w:rsidR="007163B0" w:rsidRPr="007163B0" w:rsidRDefault="007163B0" w:rsidP="002A3889">
      <w:pPr>
        <w:pStyle w:val="BodyTextIndent"/>
        <w:numPr>
          <w:ilvl w:val="0"/>
          <w:numId w:val="53"/>
        </w:numPr>
        <w:tabs>
          <w:tab w:val="clear" w:pos="720"/>
        </w:tabs>
        <w:spacing w:before="60" w:after="0" w:line="240" w:lineRule="auto"/>
        <w:ind w:left="567" w:hanging="567"/>
        <w:jc w:val="both"/>
        <w:rPr>
          <w:rFonts w:cstheme="minorHAnsi"/>
        </w:rPr>
      </w:pPr>
      <w:r w:rsidRPr="007163B0">
        <w:rPr>
          <w:rFonts w:cstheme="minorHAnsi"/>
        </w:rPr>
        <w:t xml:space="preserve">The Town of East Fremantle will not be responsible for the loss of any personal information and / or data stored on any Town owned device, including computers, </w:t>
      </w:r>
      <w:proofErr w:type="spellStart"/>
      <w:r w:rsidRPr="007163B0">
        <w:rPr>
          <w:rFonts w:cstheme="minorHAnsi"/>
        </w:rPr>
        <w:t>IPads</w:t>
      </w:r>
      <w:proofErr w:type="spellEnd"/>
      <w:r w:rsidRPr="007163B0">
        <w:rPr>
          <w:rFonts w:cstheme="minorHAnsi"/>
        </w:rPr>
        <w:t xml:space="preserve"> and mobile telephones.</w:t>
      </w:r>
    </w:p>
    <w:p w14:paraId="281D4D2D" w14:textId="77777777" w:rsidR="007163B0" w:rsidRPr="007163B0" w:rsidRDefault="007163B0" w:rsidP="002A3889">
      <w:pPr>
        <w:pStyle w:val="BodyTextIndent"/>
        <w:numPr>
          <w:ilvl w:val="0"/>
          <w:numId w:val="53"/>
        </w:numPr>
        <w:tabs>
          <w:tab w:val="clear" w:pos="720"/>
        </w:tabs>
        <w:spacing w:before="60" w:after="0" w:line="240" w:lineRule="auto"/>
        <w:ind w:left="567" w:hanging="567"/>
        <w:jc w:val="both"/>
        <w:rPr>
          <w:rFonts w:cstheme="minorHAnsi"/>
        </w:rPr>
      </w:pPr>
      <w:r w:rsidRPr="007163B0">
        <w:rPr>
          <w:rFonts w:cstheme="minorHAnsi"/>
        </w:rPr>
        <w:t>Improper use of the Town of East Fremantle IT facilities will be addressed in accordance with this policy and may lead to disciplinary action, criminal prosecution, or both.</w:t>
      </w:r>
    </w:p>
    <w:p w14:paraId="07267937" w14:textId="77777777" w:rsidR="007163B0" w:rsidRPr="007163B0" w:rsidRDefault="007163B0" w:rsidP="007163B0">
      <w:pPr>
        <w:spacing w:before="200"/>
        <w:jc w:val="both"/>
        <w:rPr>
          <w:rFonts w:cstheme="minorHAnsi"/>
          <w:lang w:val="en-US"/>
        </w:rPr>
      </w:pPr>
      <w:r w:rsidRPr="007163B0">
        <w:rPr>
          <w:rFonts w:cstheme="minorHAnsi"/>
        </w:rPr>
        <w:t xml:space="preserve">The purpose of these guidelines is to </w:t>
      </w:r>
      <w:proofErr w:type="gramStart"/>
      <w:r w:rsidRPr="007163B0">
        <w:rPr>
          <w:rFonts w:cstheme="minorHAnsi"/>
        </w:rPr>
        <w:t>safe guard</w:t>
      </w:r>
      <w:proofErr w:type="gramEnd"/>
      <w:r w:rsidRPr="007163B0">
        <w:rPr>
          <w:rFonts w:cstheme="minorHAnsi"/>
        </w:rPr>
        <w:t xml:space="preserve"> the Town of East Fremantle as well as the individual from the misuse of the Town’s IT facilities.</w:t>
      </w:r>
    </w:p>
    <w:p w14:paraId="6A04D97E" w14:textId="77777777" w:rsidR="007163B0" w:rsidRPr="00020992" w:rsidRDefault="007163B0" w:rsidP="007163B0">
      <w:pPr>
        <w:tabs>
          <w:tab w:val="left" w:pos="600"/>
        </w:tabs>
        <w:spacing w:before="200" w:after="60"/>
        <w:ind w:left="425" w:hanging="425"/>
        <w:jc w:val="both"/>
        <w:rPr>
          <w:rFonts w:cstheme="minorHAnsi"/>
          <w:b/>
          <w:bCs/>
        </w:rPr>
      </w:pPr>
      <w:r w:rsidRPr="00020992">
        <w:rPr>
          <w:rFonts w:cstheme="minorHAnsi"/>
          <w:b/>
          <w:bCs/>
        </w:rPr>
        <w:t>2.</w:t>
      </w:r>
      <w:r w:rsidRPr="00020992">
        <w:rPr>
          <w:rFonts w:cstheme="minorHAnsi"/>
          <w:b/>
          <w:bCs/>
        </w:rPr>
        <w:tab/>
        <w:t>Security</w:t>
      </w:r>
    </w:p>
    <w:p w14:paraId="57189E8C" w14:textId="77777777" w:rsidR="007163B0" w:rsidRPr="007163B0" w:rsidRDefault="007163B0" w:rsidP="007163B0">
      <w:pPr>
        <w:spacing w:before="60" w:after="0"/>
        <w:rPr>
          <w:rFonts w:cstheme="minorHAnsi"/>
          <w:i/>
        </w:rPr>
      </w:pPr>
      <w:r w:rsidRPr="007163B0">
        <w:rPr>
          <w:rFonts w:cstheme="minorHAnsi"/>
          <w:i/>
        </w:rPr>
        <w:t>Viruses</w:t>
      </w:r>
    </w:p>
    <w:p w14:paraId="668750A6" w14:textId="77777777" w:rsidR="007163B0" w:rsidRPr="007163B0" w:rsidRDefault="007163B0" w:rsidP="007163B0">
      <w:pPr>
        <w:tabs>
          <w:tab w:val="left" w:pos="600"/>
        </w:tabs>
        <w:jc w:val="both"/>
        <w:rPr>
          <w:rFonts w:cstheme="minorHAnsi"/>
        </w:rPr>
      </w:pPr>
      <w:r w:rsidRPr="007163B0">
        <w:rPr>
          <w:rFonts w:cstheme="minorHAnsi"/>
        </w:rPr>
        <w:t>All necessary precautions will be taken by all staff to ensure viruses are not introduced to the Town of East Fremantle computer systems.</w:t>
      </w:r>
    </w:p>
    <w:p w14:paraId="702DF0CE" w14:textId="77777777" w:rsidR="007163B0" w:rsidRPr="007163B0" w:rsidRDefault="007163B0" w:rsidP="007163B0">
      <w:pPr>
        <w:tabs>
          <w:tab w:val="left" w:pos="600"/>
        </w:tabs>
        <w:spacing w:before="200"/>
        <w:jc w:val="both"/>
        <w:rPr>
          <w:rFonts w:cstheme="minorHAnsi"/>
        </w:rPr>
      </w:pPr>
      <w:r w:rsidRPr="007163B0">
        <w:rPr>
          <w:rFonts w:cstheme="minorHAnsi"/>
        </w:rPr>
        <w:t xml:space="preserve">All CD’s, thumb drives and any other data storage devices format from external resources must be checked prior to opening or loading any of the data or programs that it contains.  </w:t>
      </w:r>
    </w:p>
    <w:p w14:paraId="2D7BFC62" w14:textId="77777777" w:rsidR="007163B0" w:rsidRPr="007163B0" w:rsidRDefault="007163B0" w:rsidP="007163B0">
      <w:pPr>
        <w:tabs>
          <w:tab w:val="left" w:pos="600"/>
        </w:tabs>
        <w:spacing w:before="200"/>
        <w:jc w:val="both"/>
        <w:rPr>
          <w:rFonts w:cstheme="minorHAnsi"/>
        </w:rPr>
      </w:pPr>
      <w:r w:rsidRPr="007163B0">
        <w:rPr>
          <w:rFonts w:cstheme="minorHAnsi"/>
        </w:rPr>
        <w:t>Employees should check to ensure the media is virus free by:</w:t>
      </w:r>
    </w:p>
    <w:p w14:paraId="088E04A9" w14:textId="77777777" w:rsidR="007163B0" w:rsidRPr="007163B0" w:rsidRDefault="007163B0" w:rsidP="002A3889">
      <w:pPr>
        <w:pStyle w:val="ListParagraph"/>
        <w:numPr>
          <w:ilvl w:val="0"/>
          <w:numId w:val="67"/>
        </w:numPr>
        <w:tabs>
          <w:tab w:val="left" w:pos="567"/>
        </w:tabs>
        <w:spacing w:before="200"/>
        <w:ind w:left="567" w:hanging="567"/>
        <w:jc w:val="both"/>
        <w:rPr>
          <w:rFonts w:cstheme="minorHAnsi"/>
        </w:rPr>
      </w:pPr>
      <w:r w:rsidRPr="007163B0">
        <w:rPr>
          <w:rFonts w:cstheme="minorHAnsi"/>
        </w:rPr>
        <w:t>Right click with the mouse on the ‘media’ in ‘file explorer’ and</w:t>
      </w:r>
    </w:p>
    <w:p w14:paraId="4B557EB1" w14:textId="77777777" w:rsidR="007163B0" w:rsidRPr="007163B0" w:rsidRDefault="007163B0" w:rsidP="002A3889">
      <w:pPr>
        <w:pStyle w:val="ListParagraph"/>
        <w:numPr>
          <w:ilvl w:val="0"/>
          <w:numId w:val="67"/>
        </w:numPr>
        <w:tabs>
          <w:tab w:val="left" w:pos="567"/>
        </w:tabs>
        <w:spacing w:before="200"/>
        <w:ind w:left="567" w:hanging="567"/>
        <w:jc w:val="both"/>
        <w:rPr>
          <w:rFonts w:cstheme="minorHAnsi"/>
        </w:rPr>
      </w:pPr>
      <w:r w:rsidRPr="007163B0">
        <w:rPr>
          <w:rFonts w:cstheme="minorHAnsi"/>
        </w:rPr>
        <w:t>Select ‘scan for viruses’</w:t>
      </w:r>
    </w:p>
    <w:p w14:paraId="29EA2817" w14:textId="77777777" w:rsidR="007163B0" w:rsidRDefault="007163B0" w:rsidP="007163B0">
      <w:pPr>
        <w:tabs>
          <w:tab w:val="left" w:pos="567"/>
        </w:tabs>
        <w:spacing w:before="200"/>
        <w:jc w:val="both"/>
        <w:rPr>
          <w:rFonts w:ascii="Arial" w:hAnsi="Arial" w:cs="Arial"/>
        </w:rPr>
      </w:pPr>
      <w:r>
        <w:rPr>
          <w:noProof/>
          <w:lang w:eastAsia="en-AU"/>
        </w:rPr>
        <mc:AlternateContent>
          <mc:Choice Requires="wps">
            <w:drawing>
              <wp:anchor distT="0" distB="0" distL="114300" distR="114300" simplePos="0" relativeHeight="251612160" behindDoc="0" locked="0" layoutInCell="1" allowOverlap="1" wp14:anchorId="4F2A290D" wp14:editId="1F75B95B">
                <wp:simplePos x="0" y="0"/>
                <wp:positionH relativeFrom="column">
                  <wp:posOffset>2514600</wp:posOffset>
                </wp:positionH>
                <wp:positionV relativeFrom="paragraph">
                  <wp:posOffset>1360487</wp:posOffset>
                </wp:positionV>
                <wp:extent cx="45719" cy="276225"/>
                <wp:effectExtent l="19050" t="19050" r="31115" b="28575"/>
                <wp:wrapNone/>
                <wp:docPr id="20" name="Up Arrow 20"/>
                <wp:cNvGraphicFramePr/>
                <a:graphic xmlns:a="http://schemas.openxmlformats.org/drawingml/2006/main">
                  <a:graphicData uri="http://schemas.microsoft.com/office/word/2010/wordprocessingShape">
                    <wps:wsp>
                      <wps:cNvSpPr/>
                      <wps:spPr>
                        <a:xfrm>
                          <a:off x="0" y="0"/>
                          <a:ext cx="45719" cy="276225"/>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4C241A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0" o:spid="_x0000_s1026" type="#_x0000_t68" style="position:absolute;margin-left:198pt;margin-top:107.1pt;width:3.6pt;height:21.75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" adj="1788" fillcolor="#4f81bd" strokecolor="#385d8a" strokeweight="2pt"/>
            </w:pict>
          </mc:Fallback>
        </mc:AlternateContent>
      </w:r>
      <w:r>
        <w:rPr>
          <w:noProof/>
          <w:lang w:eastAsia="en-AU"/>
        </w:rPr>
        <mc:AlternateContent>
          <mc:Choice Requires="wps">
            <w:drawing>
              <wp:anchor distT="0" distB="0" distL="114300" distR="114300" simplePos="0" relativeHeight="251610112" behindDoc="0" locked="0" layoutInCell="1" allowOverlap="1" wp14:anchorId="0254A58A" wp14:editId="045F4B92">
                <wp:simplePos x="0" y="0"/>
                <wp:positionH relativeFrom="column">
                  <wp:posOffset>2257425</wp:posOffset>
                </wp:positionH>
                <wp:positionV relativeFrom="paragraph">
                  <wp:posOffset>2461895</wp:posOffset>
                </wp:positionV>
                <wp:extent cx="45719" cy="276225"/>
                <wp:effectExtent l="19050" t="19050" r="31115" b="28575"/>
                <wp:wrapNone/>
                <wp:docPr id="21" name="Up Arrow 21"/>
                <wp:cNvGraphicFramePr/>
                <a:graphic xmlns:a="http://schemas.openxmlformats.org/drawingml/2006/main">
                  <a:graphicData uri="http://schemas.microsoft.com/office/word/2010/wordprocessingShape">
                    <wps:wsp>
                      <wps:cNvSpPr/>
                      <wps:spPr>
                        <a:xfrm>
                          <a:off x="0" y="0"/>
                          <a:ext cx="45719" cy="276225"/>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76ADF0" id="Up Arrow 21" o:spid="_x0000_s1026" type="#_x0000_t68" style="position:absolute;margin-left:177.75pt;margin-top:193.85pt;width:3.6pt;height:21.75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" adj="1788" fillcolor="#4f81bd" strokecolor="#385d8a" strokeweight="2pt"/>
            </w:pict>
          </mc:Fallback>
        </mc:AlternateContent>
      </w:r>
      <w:r>
        <w:rPr>
          <w:noProof/>
          <w:lang w:eastAsia="en-AU"/>
        </w:rPr>
        <mc:AlternateContent>
          <mc:Choice Requires="wps">
            <w:drawing>
              <wp:anchor distT="0" distB="0" distL="114300" distR="114300" simplePos="0" relativeHeight="251609088" behindDoc="0" locked="0" layoutInCell="1" allowOverlap="1" wp14:anchorId="56E2C880" wp14:editId="5532CAA1">
                <wp:simplePos x="0" y="0"/>
                <wp:positionH relativeFrom="column">
                  <wp:posOffset>1524000</wp:posOffset>
                </wp:positionH>
                <wp:positionV relativeFrom="paragraph">
                  <wp:posOffset>3231515</wp:posOffset>
                </wp:positionV>
                <wp:extent cx="45719" cy="276225"/>
                <wp:effectExtent l="19050" t="19050" r="31115" b="28575"/>
                <wp:wrapNone/>
                <wp:docPr id="22" name="Up Arrow 22"/>
                <wp:cNvGraphicFramePr/>
                <a:graphic xmlns:a="http://schemas.openxmlformats.org/drawingml/2006/main">
                  <a:graphicData uri="http://schemas.microsoft.com/office/word/2010/wordprocessingShape">
                    <wps:wsp>
                      <wps:cNvSpPr/>
                      <wps:spPr>
                        <a:xfrm>
                          <a:off x="0" y="0"/>
                          <a:ext cx="45719" cy="27622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2E322A" id="Up Arrow 22" o:spid="_x0000_s1026" type="#_x0000_t68" style="position:absolute;margin-left:120pt;margin-top:254.45pt;width:3.6pt;height:21.75pt;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" adj="1788" fillcolor="#4f81bd [3204]" strokecolor="#243f60 [1604]" strokeweight="2pt"/>
            </w:pict>
          </mc:Fallback>
        </mc:AlternateContent>
      </w:r>
      <w:r>
        <w:rPr>
          <w:noProof/>
          <w:lang w:eastAsia="en-AU"/>
        </w:rPr>
        <w:drawing>
          <wp:inline distT="0" distB="0" distL="0" distR="0" wp14:anchorId="189461E0" wp14:editId="0F7B8A9F">
            <wp:extent cx="5731510" cy="322389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223895"/>
                    </a:xfrm>
                    <a:prstGeom prst="rect">
                      <a:avLst/>
                    </a:prstGeom>
                  </pic:spPr>
                </pic:pic>
              </a:graphicData>
            </a:graphic>
          </wp:inline>
        </w:drawing>
      </w:r>
    </w:p>
    <w:p w14:paraId="1710C164" w14:textId="77777777" w:rsidR="007163B0" w:rsidRPr="007163B0" w:rsidRDefault="007163B0" w:rsidP="007163B0">
      <w:pPr>
        <w:spacing w:before="200" w:after="0"/>
        <w:rPr>
          <w:rFonts w:cstheme="minorHAnsi"/>
          <w:i/>
        </w:rPr>
      </w:pPr>
      <w:r w:rsidRPr="007163B0">
        <w:rPr>
          <w:rFonts w:cstheme="minorHAnsi"/>
          <w:i/>
        </w:rPr>
        <w:t>Login Protocols</w:t>
      </w:r>
    </w:p>
    <w:p w14:paraId="78D7D44B" w14:textId="77777777" w:rsidR="007163B0" w:rsidRPr="007163B0" w:rsidRDefault="007163B0" w:rsidP="00E478AA">
      <w:pPr>
        <w:tabs>
          <w:tab w:val="left" w:pos="600"/>
        </w:tabs>
        <w:spacing w:after="0"/>
        <w:jc w:val="both"/>
        <w:rPr>
          <w:rFonts w:cstheme="minorHAnsi"/>
        </w:rPr>
      </w:pPr>
      <w:r w:rsidRPr="007163B0">
        <w:rPr>
          <w:rFonts w:cstheme="minorHAnsi"/>
        </w:rPr>
        <w:t>All users must be issued with a unique User Identification and a password.</w:t>
      </w:r>
    </w:p>
    <w:p w14:paraId="0AF83F94" w14:textId="77777777" w:rsidR="007163B0" w:rsidRPr="007163B0" w:rsidRDefault="007163B0" w:rsidP="007163B0">
      <w:pPr>
        <w:tabs>
          <w:tab w:val="left" w:pos="600"/>
        </w:tabs>
        <w:spacing w:before="200"/>
        <w:jc w:val="both"/>
        <w:rPr>
          <w:rFonts w:cstheme="minorHAnsi"/>
        </w:rPr>
      </w:pPr>
      <w:r w:rsidRPr="007163B0">
        <w:rPr>
          <w:rFonts w:cstheme="minorHAnsi"/>
        </w:rPr>
        <w:t>Employees must not give out user details and passwords of the computer system to other Elected Members, employees, volunteers and non-employees.</w:t>
      </w:r>
    </w:p>
    <w:p w14:paraId="70ABCDD4" w14:textId="77777777" w:rsidR="007163B0" w:rsidRPr="007163B0" w:rsidRDefault="007163B0" w:rsidP="007163B0">
      <w:pPr>
        <w:tabs>
          <w:tab w:val="left" w:pos="600"/>
        </w:tabs>
        <w:spacing w:before="200"/>
        <w:jc w:val="both"/>
        <w:rPr>
          <w:rFonts w:cstheme="minorHAnsi"/>
        </w:rPr>
      </w:pPr>
      <w:r w:rsidRPr="007163B0">
        <w:rPr>
          <w:rFonts w:cstheme="minorHAnsi"/>
        </w:rPr>
        <w:t xml:space="preserve">Employees must provide a copy of their password for any Town owned </w:t>
      </w:r>
      <w:proofErr w:type="spellStart"/>
      <w:r w:rsidRPr="007163B0">
        <w:rPr>
          <w:rFonts w:cstheme="minorHAnsi"/>
        </w:rPr>
        <w:t>IPads</w:t>
      </w:r>
      <w:proofErr w:type="spellEnd"/>
      <w:r w:rsidRPr="007163B0">
        <w:rPr>
          <w:rFonts w:cstheme="minorHAnsi"/>
        </w:rPr>
        <w:t xml:space="preserve"> or mobile telephone to the IT Coordinator to be placed on a Register.  If the employee updates / changes the </w:t>
      </w:r>
      <w:proofErr w:type="gramStart"/>
      <w:r w:rsidRPr="007163B0">
        <w:rPr>
          <w:rFonts w:cstheme="minorHAnsi"/>
        </w:rPr>
        <w:t>password</w:t>
      </w:r>
      <w:proofErr w:type="gramEnd"/>
      <w:r w:rsidRPr="007163B0">
        <w:rPr>
          <w:rFonts w:cstheme="minorHAnsi"/>
        </w:rPr>
        <w:t xml:space="preserve"> they must inform the IT Coordinator of the change.</w:t>
      </w:r>
    </w:p>
    <w:p w14:paraId="0A043FA5" w14:textId="77777777" w:rsidR="007163B0" w:rsidRPr="00020992" w:rsidRDefault="007163B0" w:rsidP="00E478AA">
      <w:pPr>
        <w:tabs>
          <w:tab w:val="left" w:pos="600"/>
        </w:tabs>
        <w:spacing w:before="200" w:after="0"/>
        <w:ind w:left="425" w:hanging="425"/>
        <w:jc w:val="both"/>
        <w:rPr>
          <w:rFonts w:cstheme="minorHAnsi"/>
          <w:b/>
          <w:bCs/>
        </w:rPr>
      </w:pPr>
      <w:r w:rsidRPr="00020992">
        <w:rPr>
          <w:rFonts w:cstheme="minorHAnsi"/>
          <w:b/>
          <w:bCs/>
        </w:rPr>
        <w:lastRenderedPageBreak/>
        <w:t>3.</w:t>
      </w:r>
      <w:r w:rsidRPr="00020992">
        <w:rPr>
          <w:rFonts w:cstheme="minorHAnsi"/>
          <w:b/>
          <w:bCs/>
        </w:rPr>
        <w:tab/>
        <w:t>Improper Use of IT Facilities</w:t>
      </w:r>
    </w:p>
    <w:p w14:paraId="600A59B5" w14:textId="77777777" w:rsidR="007163B0" w:rsidRPr="007163B0" w:rsidRDefault="007163B0" w:rsidP="00E478AA">
      <w:pPr>
        <w:tabs>
          <w:tab w:val="left" w:pos="600"/>
        </w:tabs>
        <w:jc w:val="both"/>
        <w:rPr>
          <w:rFonts w:cstheme="minorHAnsi"/>
        </w:rPr>
      </w:pPr>
      <w:r w:rsidRPr="007163B0">
        <w:rPr>
          <w:rFonts w:cstheme="minorHAnsi"/>
        </w:rPr>
        <w:t xml:space="preserve">The improper use of IT facilities may compromise the Town of East Fremantle’s business objectives, expose the Town to unfavourable publicity and breach the right of other employees under legislation such as the Discrimination Act.  Town of East Fremantle employees, </w:t>
      </w:r>
      <w:proofErr w:type="gramStart"/>
      <w:r w:rsidRPr="007163B0">
        <w:rPr>
          <w:rFonts w:cstheme="minorHAnsi"/>
        </w:rPr>
        <w:t>therefore</w:t>
      </w:r>
      <w:proofErr w:type="gramEnd"/>
      <w:r w:rsidRPr="007163B0">
        <w:rPr>
          <w:rFonts w:cstheme="minorHAnsi"/>
        </w:rPr>
        <w:t xml:space="preserve"> have an ethical and legal obligation not to use the IT facilities improperly.</w:t>
      </w:r>
    </w:p>
    <w:p w14:paraId="08205A83" w14:textId="77777777" w:rsidR="007163B0" w:rsidRPr="007163B0" w:rsidRDefault="007163B0" w:rsidP="00E478AA">
      <w:pPr>
        <w:tabs>
          <w:tab w:val="left" w:pos="600"/>
        </w:tabs>
        <w:spacing w:before="200" w:after="60"/>
        <w:jc w:val="both"/>
        <w:rPr>
          <w:rFonts w:cstheme="minorHAnsi"/>
        </w:rPr>
      </w:pPr>
      <w:r w:rsidRPr="007163B0">
        <w:rPr>
          <w:rFonts w:cstheme="minorHAnsi"/>
        </w:rPr>
        <w:t>Without limiting its definition, the improper use of IT facilities may entail one or more of the following:</w:t>
      </w:r>
    </w:p>
    <w:p w14:paraId="5C3CFA54" w14:textId="77777777" w:rsidR="007163B0" w:rsidRPr="007163B0" w:rsidRDefault="007163B0" w:rsidP="002A3889">
      <w:pPr>
        <w:numPr>
          <w:ilvl w:val="0"/>
          <w:numId w:val="54"/>
        </w:numPr>
        <w:tabs>
          <w:tab w:val="clear" w:pos="720"/>
        </w:tabs>
        <w:spacing w:before="60" w:after="0" w:line="240" w:lineRule="auto"/>
        <w:ind w:left="567" w:hanging="567"/>
        <w:jc w:val="both"/>
        <w:rPr>
          <w:rFonts w:cstheme="minorHAnsi"/>
        </w:rPr>
      </w:pPr>
      <w:r w:rsidRPr="007163B0">
        <w:rPr>
          <w:rFonts w:cstheme="minorHAnsi"/>
        </w:rPr>
        <w:t>Use, which is inconsistent with the Town of East Fremantle business purposes.</w:t>
      </w:r>
    </w:p>
    <w:p w14:paraId="2A5C3ED6" w14:textId="77777777" w:rsidR="007163B0" w:rsidRPr="007163B0" w:rsidRDefault="007163B0" w:rsidP="002A3889">
      <w:pPr>
        <w:numPr>
          <w:ilvl w:val="0"/>
          <w:numId w:val="54"/>
        </w:numPr>
        <w:tabs>
          <w:tab w:val="clear" w:pos="720"/>
        </w:tabs>
        <w:spacing w:before="60" w:after="0" w:line="240" w:lineRule="auto"/>
        <w:ind w:left="567" w:hanging="567"/>
        <w:jc w:val="both"/>
        <w:rPr>
          <w:rFonts w:cstheme="minorHAnsi"/>
        </w:rPr>
      </w:pPr>
      <w:r w:rsidRPr="007163B0">
        <w:rPr>
          <w:rFonts w:cstheme="minorHAnsi"/>
        </w:rPr>
        <w:t>Excessive access of the internet during work time.</w:t>
      </w:r>
    </w:p>
    <w:p w14:paraId="2FE354CF" w14:textId="77777777" w:rsidR="007163B0" w:rsidRPr="007163B0" w:rsidRDefault="007163B0" w:rsidP="002A3889">
      <w:pPr>
        <w:numPr>
          <w:ilvl w:val="0"/>
          <w:numId w:val="54"/>
        </w:numPr>
        <w:tabs>
          <w:tab w:val="clear" w:pos="720"/>
        </w:tabs>
        <w:spacing w:before="60" w:after="0" w:line="240" w:lineRule="auto"/>
        <w:ind w:left="567" w:hanging="567"/>
        <w:jc w:val="both"/>
        <w:rPr>
          <w:rFonts w:cstheme="minorHAnsi"/>
        </w:rPr>
      </w:pPr>
      <w:r w:rsidRPr="007163B0">
        <w:rPr>
          <w:rFonts w:cstheme="minorHAnsi"/>
        </w:rPr>
        <w:t>Use which is outside the scope of an employee’s authority or contrary to guidelines and legislation applying to the Town’s IT facilities.</w:t>
      </w:r>
    </w:p>
    <w:p w14:paraId="3F396476" w14:textId="77777777" w:rsidR="007163B0" w:rsidRPr="007163B0" w:rsidRDefault="007163B0" w:rsidP="002A3889">
      <w:pPr>
        <w:numPr>
          <w:ilvl w:val="0"/>
          <w:numId w:val="54"/>
        </w:numPr>
        <w:tabs>
          <w:tab w:val="clear" w:pos="720"/>
        </w:tabs>
        <w:spacing w:before="60" w:after="0" w:line="240" w:lineRule="auto"/>
        <w:ind w:left="567" w:hanging="567"/>
        <w:jc w:val="both"/>
        <w:rPr>
          <w:rFonts w:cstheme="minorHAnsi"/>
        </w:rPr>
      </w:pPr>
      <w:r w:rsidRPr="007163B0">
        <w:rPr>
          <w:rFonts w:cstheme="minorHAnsi"/>
        </w:rPr>
        <w:t>Use which is contrary to broader requirements of the Town of East Fremantle employees such as conditions of employment, anti-discrimination legislation, Town of East Fremantle policies, etc.</w:t>
      </w:r>
    </w:p>
    <w:p w14:paraId="17CFE5DA" w14:textId="77777777" w:rsidR="007163B0" w:rsidRPr="00E478AA" w:rsidRDefault="007163B0" w:rsidP="00E478AA">
      <w:pPr>
        <w:spacing w:before="200" w:after="0"/>
        <w:rPr>
          <w:rFonts w:cstheme="minorHAnsi"/>
          <w:i/>
        </w:rPr>
      </w:pPr>
      <w:r w:rsidRPr="00E478AA">
        <w:rPr>
          <w:rFonts w:cstheme="minorHAnsi"/>
          <w:i/>
        </w:rPr>
        <w:t>Penalties for Improper Use</w:t>
      </w:r>
    </w:p>
    <w:p w14:paraId="1DB18DA7" w14:textId="77777777" w:rsidR="007163B0" w:rsidRPr="007163B0" w:rsidRDefault="007163B0" w:rsidP="00E478AA">
      <w:pPr>
        <w:tabs>
          <w:tab w:val="left" w:pos="600"/>
        </w:tabs>
        <w:jc w:val="both"/>
        <w:rPr>
          <w:rFonts w:cstheme="minorHAnsi"/>
        </w:rPr>
      </w:pPr>
      <w:r w:rsidRPr="007163B0">
        <w:rPr>
          <w:rFonts w:cstheme="minorHAnsi"/>
        </w:rPr>
        <w:t>Any user violating this policy, applicable state and federal laws or Town of East Fremantle policies and procedures are subject to Town of East Fremantle disciplinary options.</w:t>
      </w:r>
    </w:p>
    <w:p w14:paraId="3F93EEA6" w14:textId="77777777" w:rsidR="007163B0" w:rsidRPr="007163B0" w:rsidRDefault="007163B0" w:rsidP="007163B0">
      <w:pPr>
        <w:spacing w:before="200" w:after="0" w:line="240" w:lineRule="auto"/>
        <w:jc w:val="both"/>
        <w:rPr>
          <w:rFonts w:cstheme="minorHAnsi"/>
        </w:rPr>
      </w:pPr>
      <w:r w:rsidRPr="007163B0">
        <w:rPr>
          <w:rFonts w:cstheme="minorHAnsi"/>
        </w:rPr>
        <w:t>In addition, any unauthorised access or attempted access to the Local Government computer system or attempted access to any state or Federal Government computing and/or network system is a violation of Australian law and is subject to criminal prosecution.</w:t>
      </w:r>
    </w:p>
    <w:p w14:paraId="29372BE0" w14:textId="77777777" w:rsidR="007163B0" w:rsidRPr="007163B0" w:rsidRDefault="007163B0" w:rsidP="00E478AA">
      <w:pPr>
        <w:tabs>
          <w:tab w:val="left" w:pos="600"/>
        </w:tabs>
        <w:spacing w:before="200" w:after="60"/>
        <w:jc w:val="both"/>
        <w:rPr>
          <w:rFonts w:cstheme="minorHAnsi"/>
        </w:rPr>
      </w:pPr>
      <w:r w:rsidRPr="007163B0">
        <w:rPr>
          <w:rFonts w:cstheme="minorHAnsi"/>
        </w:rPr>
        <w:t>Should an employee receive an email which breaches the Town’s policy pertaining to emails, they should:</w:t>
      </w:r>
    </w:p>
    <w:p w14:paraId="449AF47C" w14:textId="77777777" w:rsidR="007163B0" w:rsidRPr="007163B0" w:rsidRDefault="007163B0" w:rsidP="002A3889">
      <w:pPr>
        <w:numPr>
          <w:ilvl w:val="0"/>
          <w:numId w:val="55"/>
        </w:numPr>
        <w:tabs>
          <w:tab w:val="clear" w:pos="720"/>
          <w:tab w:val="num" w:pos="567"/>
        </w:tabs>
        <w:spacing w:before="60" w:after="0" w:line="240" w:lineRule="auto"/>
        <w:ind w:left="567" w:hanging="567"/>
        <w:jc w:val="both"/>
        <w:rPr>
          <w:rFonts w:cstheme="minorHAnsi"/>
        </w:rPr>
      </w:pPr>
      <w:r w:rsidRPr="007163B0">
        <w:rPr>
          <w:rFonts w:cstheme="minorHAnsi"/>
        </w:rPr>
        <w:t xml:space="preserve">Reply to the email requesting that the sender refrain from sending any such emails in the </w:t>
      </w:r>
      <w:proofErr w:type="gramStart"/>
      <w:r w:rsidRPr="007163B0">
        <w:rPr>
          <w:rFonts w:cstheme="minorHAnsi"/>
        </w:rPr>
        <w:t>future;</w:t>
      </w:r>
      <w:proofErr w:type="gramEnd"/>
    </w:p>
    <w:p w14:paraId="07A21729" w14:textId="77777777" w:rsidR="007163B0" w:rsidRPr="007163B0" w:rsidRDefault="007163B0" w:rsidP="002A3889">
      <w:pPr>
        <w:numPr>
          <w:ilvl w:val="0"/>
          <w:numId w:val="55"/>
        </w:numPr>
        <w:tabs>
          <w:tab w:val="clear" w:pos="720"/>
          <w:tab w:val="num" w:pos="567"/>
        </w:tabs>
        <w:spacing w:before="60" w:after="0" w:line="240" w:lineRule="auto"/>
        <w:ind w:left="567" w:hanging="567"/>
        <w:jc w:val="both"/>
        <w:rPr>
          <w:rFonts w:cstheme="minorHAnsi"/>
        </w:rPr>
      </w:pPr>
      <w:r w:rsidRPr="007163B0">
        <w:rPr>
          <w:rFonts w:cstheme="minorHAnsi"/>
        </w:rPr>
        <w:t xml:space="preserve">Delete the email and any </w:t>
      </w:r>
      <w:proofErr w:type="gramStart"/>
      <w:r w:rsidRPr="007163B0">
        <w:rPr>
          <w:rFonts w:cstheme="minorHAnsi"/>
        </w:rPr>
        <w:t>attachments;</w:t>
      </w:r>
      <w:proofErr w:type="gramEnd"/>
    </w:p>
    <w:p w14:paraId="705F38C3" w14:textId="77777777" w:rsidR="007163B0" w:rsidRPr="007163B0" w:rsidRDefault="007163B0" w:rsidP="002A3889">
      <w:pPr>
        <w:numPr>
          <w:ilvl w:val="0"/>
          <w:numId w:val="55"/>
        </w:numPr>
        <w:tabs>
          <w:tab w:val="clear" w:pos="720"/>
          <w:tab w:val="num" w:pos="567"/>
        </w:tabs>
        <w:spacing w:before="60" w:after="0" w:line="240" w:lineRule="auto"/>
        <w:ind w:left="567" w:hanging="567"/>
        <w:jc w:val="both"/>
        <w:rPr>
          <w:rFonts w:cstheme="minorHAnsi"/>
        </w:rPr>
      </w:pPr>
      <w:r w:rsidRPr="007163B0">
        <w:rPr>
          <w:rFonts w:cstheme="minorHAnsi"/>
        </w:rPr>
        <w:t>Under no circumstances forward the email; and</w:t>
      </w:r>
    </w:p>
    <w:p w14:paraId="10118BE0" w14:textId="77777777" w:rsidR="007163B0" w:rsidRPr="007163B0" w:rsidRDefault="007163B0" w:rsidP="002A3889">
      <w:pPr>
        <w:numPr>
          <w:ilvl w:val="0"/>
          <w:numId w:val="55"/>
        </w:numPr>
        <w:tabs>
          <w:tab w:val="clear" w:pos="720"/>
          <w:tab w:val="num" w:pos="567"/>
        </w:tabs>
        <w:spacing w:before="60" w:after="0" w:line="240" w:lineRule="auto"/>
        <w:ind w:left="567" w:hanging="567"/>
        <w:jc w:val="both"/>
        <w:rPr>
          <w:rFonts w:cstheme="minorHAnsi"/>
        </w:rPr>
      </w:pPr>
      <w:r w:rsidRPr="007163B0">
        <w:rPr>
          <w:rFonts w:cstheme="minorHAnsi"/>
        </w:rPr>
        <w:t>Report the matter to their supervisor.</w:t>
      </w:r>
    </w:p>
    <w:p w14:paraId="0C2FCDBF" w14:textId="77777777" w:rsidR="007163B0" w:rsidRPr="007163B0" w:rsidRDefault="007163B0" w:rsidP="007163B0">
      <w:pPr>
        <w:tabs>
          <w:tab w:val="left" w:pos="600"/>
        </w:tabs>
        <w:spacing w:before="200"/>
        <w:jc w:val="both"/>
        <w:rPr>
          <w:rFonts w:cstheme="minorHAnsi"/>
        </w:rPr>
      </w:pPr>
      <w:r w:rsidRPr="007163B0">
        <w:rPr>
          <w:rFonts w:cstheme="minorHAnsi"/>
        </w:rPr>
        <w:t>If an employee becomes aware that there are breaches of the Town’s Policy pertaining to the use of the Internet occurring the matter should be reported immediately to their manager.</w:t>
      </w:r>
    </w:p>
    <w:p w14:paraId="20F4C2CC" w14:textId="77777777" w:rsidR="007163B0" w:rsidRPr="00E478AA" w:rsidRDefault="00E478AA" w:rsidP="00E478AA">
      <w:pPr>
        <w:tabs>
          <w:tab w:val="left" w:pos="600"/>
        </w:tabs>
        <w:spacing w:before="200" w:after="0"/>
        <w:jc w:val="both"/>
        <w:rPr>
          <w:rFonts w:cstheme="minorHAnsi"/>
          <w:bCs/>
          <w:i/>
        </w:rPr>
      </w:pPr>
      <w:r w:rsidRPr="00E478AA">
        <w:rPr>
          <w:rFonts w:cstheme="minorHAnsi"/>
          <w:bCs/>
          <w:i/>
        </w:rPr>
        <w:t>E</w:t>
      </w:r>
      <w:r w:rsidR="007163B0" w:rsidRPr="00E478AA">
        <w:rPr>
          <w:rFonts w:cstheme="minorHAnsi"/>
          <w:bCs/>
          <w:i/>
        </w:rPr>
        <w:t>xamples of Unethical and Unacceptable Use</w:t>
      </w:r>
    </w:p>
    <w:p w14:paraId="68E1DE9A" w14:textId="77777777" w:rsidR="007163B0" w:rsidRPr="007163B0" w:rsidRDefault="007163B0" w:rsidP="00E478AA">
      <w:pPr>
        <w:tabs>
          <w:tab w:val="left" w:pos="600"/>
        </w:tabs>
        <w:spacing w:after="60"/>
        <w:jc w:val="both"/>
        <w:rPr>
          <w:rFonts w:cstheme="minorHAnsi"/>
        </w:rPr>
      </w:pPr>
      <w:r w:rsidRPr="007163B0">
        <w:rPr>
          <w:rFonts w:cstheme="minorHAnsi"/>
        </w:rPr>
        <w:t>Use of the Internet for unethical or unacceptable purposes/activities is not permitted.  This includes but is not limited to any of the following activities:</w:t>
      </w:r>
    </w:p>
    <w:p w14:paraId="3C25B9A0" w14:textId="77777777" w:rsidR="007163B0" w:rsidRPr="007163B0" w:rsidRDefault="007163B0" w:rsidP="002A3889">
      <w:pPr>
        <w:numPr>
          <w:ilvl w:val="0"/>
          <w:numId w:val="56"/>
        </w:numPr>
        <w:tabs>
          <w:tab w:val="clear" w:pos="720"/>
          <w:tab w:val="num" w:pos="567"/>
        </w:tabs>
        <w:spacing w:before="60" w:after="0" w:line="240" w:lineRule="auto"/>
        <w:ind w:left="567" w:hanging="567"/>
        <w:jc w:val="both"/>
        <w:rPr>
          <w:rFonts w:cstheme="minorHAnsi"/>
        </w:rPr>
      </w:pPr>
      <w:r w:rsidRPr="007163B0">
        <w:rPr>
          <w:rFonts w:cstheme="minorHAnsi"/>
        </w:rPr>
        <w:t>Violating federal or state laws, in particular Division 6 of the 1995 Censorship Act.</w:t>
      </w:r>
    </w:p>
    <w:p w14:paraId="0E4EF663" w14:textId="77777777" w:rsidR="007163B0" w:rsidRPr="007163B0" w:rsidRDefault="007163B0" w:rsidP="002A3889">
      <w:pPr>
        <w:numPr>
          <w:ilvl w:val="0"/>
          <w:numId w:val="56"/>
        </w:numPr>
        <w:tabs>
          <w:tab w:val="clear" w:pos="720"/>
          <w:tab w:val="num" w:pos="567"/>
        </w:tabs>
        <w:spacing w:before="60" w:after="0" w:line="240" w:lineRule="auto"/>
        <w:ind w:left="567" w:hanging="567"/>
        <w:jc w:val="both"/>
        <w:rPr>
          <w:rFonts w:cstheme="minorHAnsi"/>
        </w:rPr>
      </w:pPr>
      <w:r w:rsidRPr="007163B0">
        <w:rPr>
          <w:rFonts w:cstheme="minorHAnsi"/>
        </w:rPr>
        <w:t xml:space="preserve">Violating institutional or </w:t>
      </w:r>
      <w:proofErr w:type="gramStart"/>
      <w:r w:rsidRPr="007163B0">
        <w:rPr>
          <w:rFonts w:cstheme="minorHAnsi"/>
        </w:rPr>
        <w:t>third party</w:t>
      </w:r>
      <w:proofErr w:type="gramEnd"/>
      <w:r w:rsidRPr="007163B0">
        <w:rPr>
          <w:rFonts w:cstheme="minorHAnsi"/>
        </w:rPr>
        <w:t xml:space="preserve"> copyright, licence agreements or other contracts.</w:t>
      </w:r>
    </w:p>
    <w:p w14:paraId="064EDD7B" w14:textId="77777777" w:rsidR="007163B0" w:rsidRPr="007163B0" w:rsidRDefault="007163B0" w:rsidP="002A3889">
      <w:pPr>
        <w:numPr>
          <w:ilvl w:val="0"/>
          <w:numId w:val="56"/>
        </w:numPr>
        <w:tabs>
          <w:tab w:val="clear" w:pos="720"/>
          <w:tab w:val="num" w:pos="567"/>
        </w:tabs>
        <w:spacing w:before="60" w:after="0" w:line="240" w:lineRule="auto"/>
        <w:ind w:left="567" w:hanging="567"/>
        <w:jc w:val="both"/>
        <w:rPr>
          <w:rFonts w:cstheme="minorHAnsi"/>
        </w:rPr>
      </w:pPr>
      <w:r w:rsidRPr="007163B0">
        <w:rPr>
          <w:rFonts w:cstheme="minorHAnsi"/>
        </w:rPr>
        <w:t>Transmitting, or causing to be transmitted, any communications that may be construed as harassment or disparagement of others based on the criteria of anti-discrimination legislation and Town of East Fremantle’s relevant policies.</w:t>
      </w:r>
    </w:p>
    <w:p w14:paraId="1A935CED" w14:textId="77777777" w:rsidR="007163B0" w:rsidRPr="007163B0" w:rsidRDefault="007163B0" w:rsidP="007163B0">
      <w:pPr>
        <w:tabs>
          <w:tab w:val="left" w:pos="600"/>
        </w:tabs>
        <w:spacing w:before="200"/>
        <w:jc w:val="both"/>
        <w:rPr>
          <w:rFonts w:cstheme="minorHAnsi"/>
        </w:rPr>
      </w:pPr>
      <w:r w:rsidRPr="007163B0">
        <w:rPr>
          <w:rFonts w:cstheme="minorHAnsi"/>
        </w:rPr>
        <w:t xml:space="preserve">Publishing from a work PC on or over the Internet any information which violates or infringes upon the rights of any other person or any information of an abusive, profane nature or material likely to be sexually offensive.  </w:t>
      </w:r>
    </w:p>
    <w:p w14:paraId="2260AE24" w14:textId="77777777" w:rsidR="007163B0" w:rsidRPr="007163B0" w:rsidRDefault="007163B0" w:rsidP="007163B0">
      <w:pPr>
        <w:tabs>
          <w:tab w:val="left" w:pos="600"/>
        </w:tabs>
        <w:spacing w:before="200"/>
        <w:jc w:val="both"/>
        <w:rPr>
          <w:rFonts w:cstheme="minorHAnsi"/>
        </w:rPr>
      </w:pPr>
      <w:r w:rsidRPr="007163B0">
        <w:rPr>
          <w:rFonts w:cstheme="minorHAnsi"/>
        </w:rPr>
        <w:t>Information published on chat sites, such as Facebook from the employee’s / volunteer’s personal computer.</w:t>
      </w:r>
    </w:p>
    <w:p w14:paraId="72055DD6" w14:textId="77777777" w:rsidR="007163B0" w:rsidRPr="00020992" w:rsidRDefault="00E478AA" w:rsidP="00E478AA">
      <w:pPr>
        <w:spacing w:before="200" w:after="0"/>
        <w:ind w:left="425" w:hanging="425"/>
        <w:rPr>
          <w:rFonts w:cstheme="minorHAnsi"/>
          <w:b/>
        </w:rPr>
      </w:pPr>
      <w:r w:rsidRPr="00020992">
        <w:rPr>
          <w:rFonts w:cstheme="minorHAnsi"/>
          <w:b/>
        </w:rPr>
        <w:lastRenderedPageBreak/>
        <w:t>4.</w:t>
      </w:r>
      <w:r w:rsidRPr="00020992">
        <w:rPr>
          <w:rFonts w:cstheme="minorHAnsi"/>
          <w:b/>
        </w:rPr>
        <w:tab/>
      </w:r>
      <w:r w:rsidR="007163B0" w:rsidRPr="00020992">
        <w:rPr>
          <w:rFonts w:cstheme="minorHAnsi"/>
          <w:b/>
        </w:rPr>
        <w:t>Copyright / Defamation</w:t>
      </w:r>
    </w:p>
    <w:p w14:paraId="52EDD4E0" w14:textId="77777777" w:rsidR="007163B0" w:rsidRPr="007163B0" w:rsidRDefault="007163B0" w:rsidP="00E478AA">
      <w:pPr>
        <w:tabs>
          <w:tab w:val="left" w:pos="600"/>
        </w:tabs>
        <w:jc w:val="both"/>
        <w:rPr>
          <w:rFonts w:cstheme="minorHAnsi"/>
        </w:rPr>
      </w:pPr>
      <w:r w:rsidRPr="007163B0">
        <w:rPr>
          <w:rFonts w:cstheme="minorHAnsi"/>
        </w:rPr>
        <w:t xml:space="preserve">Copyright is a set of exclusive rights conferred to by law on authors of original material, such as literary works, dramatic works, films, records and the like.  All software has copyright.  Software programs, whether public domain ‘freeware’ (owner has given the copyright free), ‘shareware’ (owner may all software to be copied and distributed free of charge provided users pay a certain fee), a commercial application or developed by a Government Agency (normally purchased as stand-alone or as multiple-copy site licenses) will come with the definition of a ‘computer program’ in the Copyright Act 1968 and will thus qualify as a ‘literary work’ under the Act.  </w:t>
      </w:r>
    </w:p>
    <w:p w14:paraId="090C7237" w14:textId="77777777" w:rsidR="007163B0" w:rsidRPr="007163B0" w:rsidRDefault="007163B0" w:rsidP="007163B0">
      <w:pPr>
        <w:tabs>
          <w:tab w:val="left" w:pos="600"/>
        </w:tabs>
        <w:spacing w:before="200"/>
        <w:jc w:val="both"/>
        <w:rPr>
          <w:rFonts w:cstheme="minorHAnsi"/>
        </w:rPr>
      </w:pPr>
      <w:r w:rsidRPr="007163B0">
        <w:rPr>
          <w:rFonts w:cstheme="minorHAnsi"/>
        </w:rPr>
        <w:t>Breaches of copyright legislation can attract severe penalties.</w:t>
      </w:r>
    </w:p>
    <w:p w14:paraId="3D865D7B" w14:textId="77777777" w:rsidR="007163B0" w:rsidRPr="007163B0" w:rsidRDefault="007163B0" w:rsidP="007163B0">
      <w:pPr>
        <w:tabs>
          <w:tab w:val="left" w:pos="600"/>
        </w:tabs>
        <w:spacing w:before="200"/>
        <w:jc w:val="both"/>
        <w:rPr>
          <w:rFonts w:cstheme="minorHAnsi"/>
        </w:rPr>
      </w:pPr>
      <w:r w:rsidRPr="007163B0">
        <w:rPr>
          <w:rFonts w:cstheme="minorHAnsi"/>
        </w:rPr>
        <w:t>All outgoing emails will include a disclaimer.</w:t>
      </w:r>
    </w:p>
    <w:p w14:paraId="66BD05AF" w14:textId="77777777" w:rsidR="007163B0" w:rsidRPr="00020992" w:rsidRDefault="00E478AA" w:rsidP="00E478AA">
      <w:pPr>
        <w:spacing w:before="200" w:after="0"/>
        <w:ind w:left="425" w:hanging="425"/>
        <w:rPr>
          <w:rFonts w:cstheme="minorHAnsi"/>
          <w:b/>
        </w:rPr>
      </w:pPr>
      <w:r w:rsidRPr="00020992">
        <w:rPr>
          <w:rFonts w:cstheme="minorHAnsi"/>
          <w:b/>
        </w:rPr>
        <w:t>5.</w:t>
      </w:r>
      <w:r w:rsidRPr="00020992">
        <w:rPr>
          <w:rFonts w:cstheme="minorHAnsi"/>
          <w:b/>
        </w:rPr>
        <w:tab/>
      </w:r>
      <w:r w:rsidR="007163B0" w:rsidRPr="00020992">
        <w:rPr>
          <w:rFonts w:cstheme="minorHAnsi"/>
          <w:b/>
        </w:rPr>
        <w:t>Records Management Procedures</w:t>
      </w:r>
    </w:p>
    <w:p w14:paraId="7C8FE7C8" w14:textId="77777777" w:rsidR="007163B0" w:rsidRPr="007163B0" w:rsidRDefault="007163B0" w:rsidP="00E478AA">
      <w:pPr>
        <w:tabs>
          <w:tab w:val="left" w:pos="600"/>
        </w:tabs>
        <w:jc w:val="both"/>
        <w:rPr>
          <w:rFonts w:cstheme="minorHAnsi"/>
        </w:rPr>
      </w:pPr>
      <w:r w:rsidRPr="007163B0">
        <w:rPr>
          <w:rFonts w:cstheme="minorHAnsi"/>
        </w:rPr>
        <w:t xml:space="preserve">All electronic documents are subject to the same record keeping requirements as hard copy documents, </w:t>
      </w:r>
      <w:proofErr w:type="spellStart"/>
      <w:r w:rsidRPr="007163B0">
        <w:rPr>
          <w:rFonts w:cstheme="minorHAnsi"/>
        </w:rPr>
        <w:t>ie</w:t>
      </w:r>
      <w:proofErr w:type="spellEnd"/>
      <w:r w:rsidRPr="007163B0">
        <w:rPr>
          <w:rFonts w:cstheme="minorHAnsi"/>
        </w:rPr>
        <w:t xml:space="preserve"> incoming and outward </w:t>
      </w:r>
      <w:proofErr w:type="gramStart"/>
      <w:r w:rsidRPr="007163B0">
        <w:rPr>
          <w:rFonts w:cstheme="minorHAnsi"/>
        </w:rPr>
        <w:t>work related</w:t>
      </w:r>
      <w:proofErr w:type="gramEnd"/>
      <w:r w:rsidRPr="007163B0">
        <w:rPr>
          <w:rFonts w:cstheme="minorHAnsi"/>
        </w:rPr>
        <w:t xml:space="preserve"> emails will be registered in the Synergy Record System.</w:t>
      </w:r>
    </w:p>
    <w:p w14:paraId="37BBE25C" w14:textId="77777777" w:rsidR="007163B0" w:rsidRDefault="007163B0" w:rsidP="007163B0">
      <w:pPr>
        <w:tabs>
          <w:tab w:val="left" w:pos="600"/>
        </w:tabs>
        <w:spacing w:before="200"/>
        <w:jc w:val="both"/>
        <w:rPr>
          <w:rFonts w:cstheme="minorHAnsi"/>
        </w:rPr>
      </w:pPr>
      <w:r w:rsidRPr="007163B0">
        <w:rPr>
          <w:rFonts w:cstheme="minorHAnsi"/>
        </w:rPr>
        <w:t>Elected Members should forward all electronic documents relating to the business of Council to the Records Officer.</w:t>
      </w:r>
    </w:p>
    <w:p w14:paraId="3DE7C341" w14:textId="77777777" w:rsidR="00E478AA" w:rsidRPr="00EA79AC" w:rsidRDefault="00EA79AC" w:rsidP="00EA79AC">
      <w:pPr>
        <w:tabs>
          <w:tab w:val="left" w:pos="600"/>
        </w:tabs>
        <w:spacing w:before="200" w:after="0"/>
        <w:jc w:val="both"/>
        <w:rPr>
          <w:rFonts w:cstheme="minorHAnsi"/>
          <w:b/>
        </w:rPr>
      </w:pPr>
      <w:r w:rsidRPr="00EA79AC">
        <w:rPr>
          <w:rFonts w:cstheme="minorHAnsi"/>
          <w:b/>
        </w:rPr>
        <w:t>Attachment</w:t>
      </w:r>
    </w:p>
    <w:p w14:paraId="7F3A7AA9" w14:textId="77777777" w:rsidR="00EA79AC" w:rsidRDefault="00EA79AC" w:rsidP="00EA79AC">
      <w:pPr>
        <w:tabs>
          <w:tab w:val="left" w:pos="600"/>
        </w:tabs>
        <w:jc w:val="both"/>
        <w:rPr>
          <w:rFonts w:cstheme="minorHAnsi"/>
        </w:rPr>
      </w:pPr>
      <w:r>
        <w:rPr>
          <w:rFonts w:cstheme="minorHAnsi"/>
        </w:rPr>
        <w:t>Acceptable Internet Use Procedure</w:t>
      </w:r>
    </w:p>
    <w:p w14:paraId="0180B4BD" w14:textId="77777777" w:rsidR="00E478AA" w:rsidRPr="007163B0" w:rsidRDefault="00E478AA" w:rsidP="00E478AA">
      <w:pPr>
        <w:spacing w:before="200" w:after="0" w:line="240" w:lineRule="auto"/>
        <w:jc w:val="both"/>
        <w:rPr>
          <w:rFonts w:cstheme="minorHAnsi"/>
        </w:rPr>
      </w:pPr>
    </w:p>
    <w:tbl>
      <w:tblPr>
        <w:tblStyle w:val="TableGrid"/>
        <w:tblW w:w="0" w:type="auto"/>
        <w:tblLook w:val="04A0" w:firstRow="1" w:lastRow="0" w:firstColumn="1" w:lastColumn="0" w:noHBand="0" w:noVBand="1"/>
      </w:tblPr>
      <w:tblGrid>
        <w:gridCol w:w="3029"/>
        <w:gridCol w:w="5987"/>
      </w:tblGrid>
      <w:tr w:rsidR="00E478AA" w:rsidRPr="007163B0" w14:paraId="10A8BDE8" w14:textId="77777777" w:rsidTr="007479BF">
        <w:tc>
          <w:tcPr>
            <w:tcW w:w="3029" w:type="dxa"/>
          </w:tcPr>
          <w:p w14:paraId="41A25635" w14:textId="77777777" w:rsidR="00E478AA" w:rsidRPr="007163B0" w:rsidRDefault="00E478AA" w:rsidP="007479BF">
            <w:pPr>
              <w:rPr>
                <w:rFonts w:cstheme="minorHAnsi"/>
                <w:b/>
                <w:lang w:val="en-US"/>
              </w:rPr>
            </w:pPr>
            <w:r w:rsidRPr="007163B0">
              <w:rPr>
                <w:rFonts w:cstheme="minorHAnsi"/>
                <w:b/>
                <w:lang w:val="en-US"/>
              </w:rPr>
              <w:t>Responsible Directorate:</w:t>
            </w:r>
          </w:p>
        </w:tc>
        <w:tc>
          <w:tcPr>
            <w:tcW w:w="5987" w:type="dxa"/>
          </w:tcPr>
          <w:p w14:paraId="0BD1F4CB" w14:textId="77777777" w:rsidR="00E478AA" w:rsidRPr="007163B0" w:rsidRDefault="00E478AA" w:rsidP="007479BF">
            <w:pPr>
              <w:jc w:val="both"/>
              <w:rPr>
                <w:rFonts w:cstheme="minorHAnsi"/>
                <w:lang w:val="en-US"/>
              </w:rPr>
            </w:pPr>
            <w:r w:rsidRPr="007163B0">
              <w:rPr>
                <w:rFonts w:cstheme="minorHAnsi"/>
                <w:lang w:val="en-US"/>
              </w:rPr>
              <w:t>Office of the Chief Executive Officer</w:t>
            </w:r>
          </w:p>
        </w:tc>
      </w:tr>
      <w:tr w:rsidR="00E478AA" w:rsidRPr="007163B0" w14:paraId="2BCE5552" w14:textId="77777777" w:rsidTr="007479BF">
        <w:tc>
          <w:tcPr>
            <w:tcW w:w="3029" w:type="dxa"/>
          </w:tcPr>
          <w:p w14:paraId="348A1C90" w14:textId="77777777" w:rsidR="00E478AA" w:rsidRPr="007163B0" w:rsidRDefault="00E478AA" w:rsidP="007479BF">
            <w:pPr>
              <w:rPr>
                <w:rFonts w:cstheme="minorHAnsi"/>
                <w:b/>
                <w:lang w:val="en-US"/>
              </w:rPr>
            </w:pPr>
            <w:r w:rsidRPr="007163B0">
              <w:rPr>
                <w:rFonts w:cstheme="minorHAnsi"/>
                <w:b/>
                <w:lang w:val="en-US"/>
              </w:rPr>
              <w:t>Reviewing Officer:</w:t>
            </w:r>
          </w:p>
        </w:tc>
        <w:tc>
          <w:tcPr>
            <w:tcW w:w="5987" w:type="dxa"/>
          </w:tcPr>
          <w:p w14:paraId="31768B64" w14:textId="77777777" w:rsidR="00E478AA" w:rsidRPr="007163B0" w:rsidRDefault="00E478AA" w:rsidP="007479BF">
            <w:pPr>
              <w:jc w:val="both"/>
              <w:rPr>
                <w:rFonts w:cstheme="minorHAnsi"/>
                <w:lang w:val="en-US"/>
              </w:rPr>
            </w:pPr>
            <w:r w:rsidRPr="007163B0">
              <w:rPr>
                <w:rFonts w:cstheme="minorHAnsi"/>
                <w:lang w:val="en-US"/>
              </w:rPr>
              <w:t>Human Resources Coordinator</w:t>
            </w:r>
          </w:p>
        </w:tc>
      </w:tr>
      <w:tr w:rsidR="00E478AA" w:rsidRPr="007163B0" w14:paraId="20C81DD9" w14:textId="77777777" w:rsidTr="007479BF">
        <w:tc>
          <w:tcPr>
            <w:tcW w:w="3029" w:type="dxa"/>
          </w:tcPr>
          <w:p w14:paraId="25ABE409" w14:textId="77777777" w:rsidR="00E478AA" w:rsidRPr="007163B0" w:rsidRDefault="00E478AA" w:rsidP="007479BF">
            <w:pPr>
              <w:rPr>
                <w:rFonts w:cstheme="minorHAnsi"/>
                <w:b/>
                <w:lang w:val="en-US"/>
              </w:rPr>
            </w:pPr>
            <w:r w:rsidRPr="007163B0">
              <w:rPr>
                <w:rFonts w:cstheme="minorHAnsi"/>
                <w:b/>
                <w:lang w:val="en-US"/>
              </w:rPr>
              <w:t>Decision making Authority:</w:t>
            </w:r>
          </w:p>
        </w:tc>
        <w:tc>
          <w:tcPr>
            <w:tcW w:w="5987" w:type="dxa"/>
          </w:tcPr>
          <w:p w14:paraId="4E57FE6B" w14:textId="77777777" w:rsidR="00E478AA" w:rsidRPr="007163B0" w:rsidRDefault="00E478AA" w:rsidP="007479BF">
            <w:pPr>
              <w:jc w:val="both"/>
              <w:rPr>
                <w:rFonts w:cstheme="minorHAnsi"/>
                <w:lang w:val="en-US"/>
              </w:rPr>
            </w:pPr>
          </w:p>
        </w:tc>
      </w:tr>
      <w:tr w:rsidR="00E478AA" w:rsidRPr="007163B0" w14:paraId="11ACC9C2" w14:textId="77777777" w:rsidTr="007479BF">
        <w:tc>
          <w:tcPr>
            <w:tcW w:w="3029" w:type="dxa"/>
          </w:tcPr>
          <w:p w14:paraId="382DD28B" w14:textId="77777777" w:rsidR="00E478AA" w:rsidRPr="007163B0" w:rsidRDefault="00E478AA" w:rsidP="007479BF">
            <w:pPr>
              <w:rPr>
                <w:rFonts w:cstheme="minorHAnsi"/>
                <w:b/>
                <w:lang w:val="en-US"/>
              </w:rPr>
            </w:pPr>
            <w:r w:rsidRPr="007163B0">
              <w:rPr>
                <w:rFonts w:cstheme="minorHAnsi"/>
                <w:b/>
                <w:lang w:val="en-US"/>
              </w:rPr>
              <w:t>Policy Adopted:</w:t>
            </w:r>
          </w:p>
        </w:tc>
        <w:tc>
          <w:tcPr>
            <w:tcW w:w="5987" w:type="dxa"/>
          </w:tcPr>
          <w:p w14:paraId="50F2E7A0" w14:textId="77777777" w:rsidR="00E478AA" w:rsidRPr="007163B0" w:rsidRDefault="003C6BA5" w:rsidP="007479BF">
            <w:pPr>
              <w:jc w:val="both"/>
              <w:rPr>
                <w:rFonts w:cstheme="minorHAnsi"/>
                <w:lang w:val="en-US"/>
              </w:rPr>
            </w:pPr>
            <w:r>
              <w:rPr>
                <w:rFonts w:cstheme="minorHAnsi"/>
                <w:lang w:val="en-US"/>
              </w:rPr>
              <w:t>21/3/</w:t>
            </w:r>
            <w:r w:rsidR="00E478AA" w:rsidRPr="007163B0">
              <w:rPr>
                <w:rFonts w:cstheme="minorHAnsi"/>
                <w:lang w:val="en-US"/>
              </w:rPr>
              <w:t>17</w:t>
            </w:r>
          </w:p>
        </w:tc>
      </w:tr>
      <w:tr w:rsidR="00E478AA" w:rsidRPr="007163B0" w14:paraId="78400B9F" w14:textId="77777777" w:rsidTr="007479BF">
        <w:tc>
          <w:tcPr>
            <w:tcW w:w="3029" w:type="dxa"/>
          </w:tcPr>
          <w:p w14:paraId="2CC4C8C8" w14:textId="77777777" w:rsidR="00E478AA" w:rsidRPr="007163B0" w:rsidRDefault="009275DA" w:rsidP="007479BF">
            <w:pPr>
              <w:rPr>
                <w:rFonts w:cstheme="minorHAnsi"/>
                <w:b/>
                <w:lang w:val="en-US"/>
              </w:rPr>
            </w:pPr>
            <w:r>
              <w:rPr>
                <w:rFonts w:cstheme="minorHAnsi"/>
                <w:b/>
                <w:lang w:val="en-US"/>
              </w:rPr>
              <w:t>Policy Amended/Reviewed</w:t>
            </w:r>
          </w:p>
        </w:tc>
        <w:tc>
          <w:tcPr>
            <w:tcW w:w="5987" w:type="dxa"/>
          </w:tcPr>
          <w:p w14:paraId="14576811" w14:textId="77777777" w:rsidR="00E478AA" w:rsidRPr="007163B0" w:rsidRDefault="003C6BA5" w:rsidP="007479BF">
            <w:pPr>
              <w:jc w:val="both"/>
              <w:rPr>
                <w:rFonts w:cstheme="minorHAnsi"/>
                <w:lang w:val="en-US"/>
              </w:rPr>
            </w:pPr>
            <w:r>
              <w:rPr>
                <w:rFonts w:cstheme="minorHAnsi"/>
                <w:lang w:val="en-US"/>
              </w:rPr>
              <w:t>17/9/19</w:t>
            </w:r>
          </w:p>
        </w:tc>
      </w:tr>
      <w:tr w:rsidR="00E478AA" w:rsidRPr="007163B0" w14:paraId="06DC547C" w14:textId="77777777" w:rsidTr="007479BF">
        <w:tc>
          <w:tcPr>
            <w:tcW w:w="3029" w:type="dxa"/>
          </w:tcPr>
          <w:p w14:paraId="4C0ABC7C" w14:textId="77777777" w:rsidR="00E478AA" w:rsidRPr="007163B0" w:rsidRDefault="009275DA" w:rsidP="007479BF">
            <w:pPr>
              <w:rPr>
                <w:rFonts w:cstheme="minorHAnsi"/>
                <w:b/>
                <w:lang w:val="en-US"/>
              </w:rPr>
            </w:pPr>
            <w:r>
              <w:rPr>
                <w:rFonts w:cstheme="minorHAnsi"/>
                <w:b/>
                <w:lang w:val="en-US"/>
              </w:rPr>
              <w:t>Former Policy No:</w:t>
            </w:r>
          </w:p>
        </w:tc>
        <w:tc>
          <w:tcPr>
            <w:tcW w:w="5987" w:type="dxa"/>
          </w:tcPr>
          <w:p w14:paraId="52EDC646" w14:textId="77777777" w:rsidR="00E478AA" w:rsidRPr="007163B0" w:rsidRDefault="009275DA" w:rsidP="007479BF">
            <w:pPr>
              <w:jc w:val="both"/>
              <w:rPr>
                <w:rFonts w:cstheme="minorHAnsi"/>
                <w:lang w:val="en-US"/>
              </w:rPr>
            </w:pPr>
            <w:r>
              <w:rPr>
                <w:rFonts w:cstheme="minorHAnsi"/>
                <w:lang w:val="en-US"/>
              </w:rPr>
              <w:t>4.3.2</w:t>
            </w:r>
          </w:p>
        </w:tc>
      </w:tr>
    </w:tbl>
    <w:p w14:paraId="4DA1BF7C" w14:textId="77777777" w:rsidR="00E478AA" w:rsidRPr="007163B0" w:rsidRDefault="00E478AA" w:rsidP="00E478AA">
      <w:pPr>
        <w:jc w:val="both"/>
        <w:rPr>
          <w:rFonts w:cstheme="minorHAnsi"/>
          <w:lang w:val="en-US"/>
        </w:rPr>
      </w:pPr>
    </w:p>
    <w:p w14:paraId="513BD8DA" w14:textId="77777777" w:rsidR="00E478AA" w:rsidRPr="007163B0" w:rsidRDefault="00E478AA" w:rsidP="007163B0">
      <w:pPr>
        <w:tabs>
          <w:tab w:val="left" w:pos="600"/>
        </w:tabs>
        <w:spacing w:before="200"/>
        <w:jc w:val="both"/>
        <w:rPr>
          <w:rFonts w:cstheme="minorHAnsi"/>
        </w:rPr>
      </w:pPr>
    </w:p>
    <w:p w14:paraId="7FFB171B" w14:textId="77777777" w:rsidR="00E478AA" w:rsidRDefault="00E478AA">
      <w:pPr>
        <w:rPr>
          <w:rFonts w:cstheme="minorHAnsi"/>
          <w:b/>
        </w:rPr>
      </w:pPr>
      <w:bookmarkStart w:id="415" w:name="_Toc447890467"/>
      <w:r>
        <w:rPr>
          <w:rFonts w:cstheme="minorHAnsi"/>
          <w:b/>
        </w:rPr>
        <w:br w:type="page"/>
      </w:r>
    </w:p>
    <w:p w14:paraId="5EB266EF" w14:textId="77777777" w:rsidR="00EA79AC" w:rsidRDefault="00EA79AC" w:rsidP="00DC04FA">
      <w:pPr>
        <w:jc w:val="right"/>
        <w:rPr>
          <w:spacing w:val="-1"/>
        </w:rPr>
      </w:pPr>
      <w:r w:rsidRPr="00456DE4">
        <w:rPr>
          <w:noProof/>
          <w:lang w:eastAsia="en-AU"/>
        </w:rPr>
        <w:lastRenderedPageBreak/>
        <w:drawing>
          <wp:inline distT="0" distB="0" distL="0" distR="0" wp14:anchorId="1181AABD" wp14:editId="367FD83F">
            <wp:extent cx="1161563" cy="466725"/>
            <wp:effectExtent l="0" t="0" r="635" b="0"/>
            <wp:docPr id="38" name="Picture 38"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CEO Admin\WORDDOCS\Logo\Town of East Fremantle_Logo_Landscape_Colour [HIGHRE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3912" cy="467669"/>
                    </a:xfrm>
                    <a:prstGeom prst="rect">
                      <a:avLst/>
                    </a:prstGeom>
                    <a:noFill/>
                    <a:ln>
                      <a:noFill/>
                    </a:ln>
                  </pic:spPr>
                </pic:pic>
              </a:graphicData>
            </a:graphic>
          </wp:inline>
        </w:drawing>
      </w:r>
    </w:p>
    <w:p w14:paraId="7D23D00A" w14:textId="77777777" w:rsidR="007479BF" w:rsidRPr="00DC04FA" w:rsidRDefault="007479BF" w:rsidP="00DC04FA">
      <w:pPr>
        <w:jc w:val="center"/>
        <w:rPr>
          <w:b/>
        </w:rPr>
      </w:pPr>
      <w:r w:rsidRPr="00DC04FA">
        <w:rPr>
          <w:b/>
        </w:rPr>
        <w:t>USE OF INFORMATION TECHNOLOGY (PRO2.2.2)</w:t>
      </w:r>
    </w:p>
    <w:bookmarkEnd w:id="415"/>
    <w:p w14:paraId="61F0FB14" w14:textId="77777777" w:rsidR="007479BF" w:rsidRPr="007479BF" w:rsidRDefault="007479BF" w:rsidP="00781B78">
      <w:pPr>
        <w:spacing w:before="240" w:after="0"/>
        <w:rPr>
          <w:rFonts w:cstheme="minorHAnsi"/>
          <w:b/>
          <w:u w:val="single"/>
        </w:rPr>
      </w:pPr>
      <w:r>
        <w:rPr>
          <w:rFonts w:cstheme="minorHAnsi"/>
          <w:b/>
          <w:u w:val="single"/>
        </w:rPr>
        <w:t>Acceptable Internet Use</w:t>
      </w:r>
    </w:p>
    <w:p w14:paraId="74DD1A62" w14:textId="77777777" w:rsidR="007163B0" w:rsidRPr="005B2AA5" w:rsidRDefault="005B2AA5" w:rsidP="007479BF">
      <w:pPr>
        <w:spacing w:before="60" w:after="0"/>
        <w:rPr>
          <w:rFonts w:cstheme="minorHAnsi"/>
          <w:b/>
        </w:rPr>
      </w:pPr>
      <w:r>
        <w:rPr>
          <w:rFonts w:cstheme="minorHAnsi"/>
          <w:b/>
        </w:rPr>
        <w:t>Statement</w:t>
      </w:r>
    </w:p>
    <w:p w14:paraId="614A25EC" w14:textId="77777777" w:rsidR="007163B0" w:rsidRPr="007163B0" w:rsidRDefault="007163B0" w:rsidP="00EA79AC">
      <w:pPr>
        <w:pStyle w:val="BodyText"/>
        <w:ind w:left="0"/>
        <w:jc w:val="both"/>
        <w:rPr>
          <w:rFonts w:asciiTheme="minorHAnsi" w:hAnsiTheme="minorHAnsi" w:cstheme="minorHAnsi"/>
          <w:szCs w:val="22"/>
        </w:rPr>
      </w:pPr>
      <w:r w:rsidRPr="007163B0">
        <w:rPr>
          <w:rFonts w:asciiTheme="minorHAnsi" w:hAnsiTheme="minorHAnsi" w:cstheme="minorHAnsi"/>
          <w:szCs w:val="22"/>
        </w:rPr>
        <w:t xml:space="preserve">The Internet will be used in a lawful manner that is consistent with the Town of East Fremantle standards of business conduct and as part of the normal execution of a person’s job responsibilities. </w:t>
      </w:r>
    </w:p>
    <w:p w14:paraId="749DC68B" w14:textId="77777777" w:rsidR="007163B0" w:rsidRPr="007163B0" w:rsidRDefault="007163B0" w:rsidP="00EA79AC">
      <w:pPr>
        <w:spacing w:before="200" w:after="0"/>
        <w:rPr>
          <w:rFonts w:cstheme="minorHAnsi"/>
          <w:b/>
        </w:rPr>
      </w:pPr>
      <w:r w:rsidRPr="007163B0">
        <w:rPr>
          <w:rFonts w:cstheme="minorHAnsi"/>
          <w:b/>
        </w:rPr>
        <w:t xml:space="preserve">Aim </w:t>
      </w:r>
    </w:p>
    <w:p w14:paraId="63D6AD58" w14:textId="77777777" w:rsidR="007163B0" w:rsidRPr="007163B0" w:rsidRDefault="007163B0" w:rsidP="00EA79AC">
      <w:pPr>
        <w:jc w:val="both"/>
        <w:rPr>
          <w:rFonts w:cstheme="minorHAnsi"/>
        </w:rPr>
      </w:pPr>
      <w:r w:rsidRPr="007163B0">
        <w:rPr>
          <w:rFonts w:cstheme="minorHAnsi"/>
        </w:rPr>
        <w:t>The Internet is a worldwide network linking millions of computers and people. The Internet permits the sharing of information and ideas between businesses, academic and research organisations, and the community at large.</w:t>
      </w:r>
    </w:p>
    <w:p w14:paraId="3DC4E3B5" w14:textId="77777777" w:rsidR="007163B0" w:rsidRPr="007163B0" w:rsidRDefault="007163B0" w:rsidP="007163B0">
      <w:pPr>
        <w:spacing w:before="200"/>
        <w:jc w:val="both"/>
        <w:rPr>
          <w:rFonts w:cstheme="minorHAnsi"/>
        </w:rPr>
      </w:pPr>
      <w:r w:rsidRPr="007163B0">
        <w:rPr>
          <w:rFonts w:cstheme="minorHAnsi"/>
        </w:rPr>
        <w:t xml:space="preserve">The aim of this document is to outline the procedures and practices to be </w:t>
      </w:r>
      <w:proofErr w:type="gramStart"/>
      <w:r w:rsidRPr="007163B0">
        <w:rPr>
          <w:rFonts w:cstheme="minorHAnsi"/>
        </w:rPr>
        <w:t>employed at all times</w:t>
      </w:r>
      <w:proofErr w:type="gramEnd"/>
      <w:r w:rsidRPr="007163B0">
        <w:rPr>
          <w:rFonts w:cstheme="minorHAnsi"/>
        </w:rPr>
        <w:t xml:space="preserve"> when using the Internet in the Town of East Fremantle workplace.  In doing so, the document specifically draws attention to Equal Employment Opportunity (EEO) legislation which has a direct impact on the use of the Internet.</w:t>
      </w:r>
    </w:p>
    <w:p w14:paraId="45606F52" w14:textId="77777777" w:rsidR="007163B0" w:rsidRPr="007163B0" w:rsidRDefault="007163B0" w:rsidP="007163B0">
      <w:pPr>
        <w:spacing w:before="200"/>
        <w:jc w:val="both"/>
        <w:rPr>
          <w:rFonts w:cstheme="minorHAnsi"/>
          <w:i/>
        </w:rPr>
      </w:pPr>
      <w:r w:rsidRPr="007163B0">
        <w:rPr>
          <w:rFonts w:cstheme="minorHAnsi"/>
        </w:rPr>
        <w:t xml:space="preserve">The procedure also provides for stored information derived from the Internet to be regarded as official records and, as such, professionally managed.  In establishing that certain information derived from the Internet </w:t>
      </w:r>
      <w:proofErr w:type="gramStart"/>
      <w:r w:rsidRPr="007163B0">
        <w:rPr>
          <w:rFonts w:cstheme="minorHAnsi"/>
        </w:rPr>
        <w:t>is considered to be</w:t>
      </w:r>
      <w:proofErr w:type="gramEnd"/>
      <w:r w:rsidRPr="007163B0">
        <w:rPr>
          <w:rFonts w:cstheme="minorHAnsi"/>
        </w:rPr>
        <w:t xml:space="preserve"> “records”, procedures are defined covering the requirement to retain the information in record keeping systems for as long as required under the terms of the </w:t>
      </w:r>
      <w:r w:rsidRPr="007163B0">
        <w:rPr>
          <w:rFonts w:cstheme="minorHAnsi"/>
          <w:i/>
        </w:rPr>
        <w:t xml:space="preserve">Local Government Retention and Disposal Schedule.  </w:t>
      </w:r>
    </w:p>
    <w:p w14:paraId="1F9B6B17" w14:textId="77777777" w:rsidR="007163B0" w:rsidRPr="007163B0" w:rsidRDefault="007163B0" w:rsidP="00EA79AC">
      <w:pPr>
        <w:spacing w:before="200" w:after="0"/>
        <w:rPr>
          <w:rFonts w:cstheme="minorHAnsi"/>
          <w:b/>
        </w:rPr>
      </w:pPr>
      <w:r w:rsidRPr="007163B0">
        <w:rPr>
          <w:rFonts w:cstheme="minorHAnsi"/>
          <w:b/>
        </w:rPr>
        <w:t>Procedure</w:t>
      </w:r>
    </w:p>
    <w:p w14:paraId="28682414" w14:textId="77777777" w:rsidR="007163B0" w:rsidRPr="007163B0" w:rsidRDefault="007163B0" w:rsidP="00EA79AC">
      <w:pPr>
        <w:spacing w:after="0"/>
        <w:ind w:left="426" w:hanging="426"/>
        <w:jc w:val="both"/>
        <w:rPr>
          <w:rFonts w:cstheme="minorHAnsi"/>
        </w:rPr>
      </w:pPr>
      <w:r w:rsidRPr="007163B0">
        <w:rPr>
          <w:rFonts w:cstheme="minorHAnsi"/>
        </w:rPr>
        <w:t>1.</w:t>
      </w:r>
      <w:r w:rsidRPr="007163B0">
        <w:rPr>
          <w:rFonts w:cstheme="minorHAnsi"/>
        </w:rPr>
        <w:tab/>
        <w:t>AUTHORISATION TO USE INTERNET SERVICES</w:t>
      </w:r>
    </w:p>
    <w:p w14:paraId="3E3CDB1F" w14:textId="77777777" w:rsidR="007163B0" w:rsidRPr="007163B0" w:rsidRDefault="007163B0" w:rsidP="005B2AA5">
      <w:pPr>
        <w:ind w:left="426"/>
        <w:jc w:val="both"/>
        <w:rPr>
          <w:rFonts w:cstheme="minorHAnsi"/>
        </w:rPr>
      </w:pPr>
      <w:r w:rsidRPr="007163B0">
        <w:rPr>
          <w:rFonts w:cstheme="minorHAnsi"/>
        </w:rPr>
        <w:t>Town of East Fremantle personnel requiring Internet services must obtain authorisation before attempting to use the services. This is provided through the user profile set up by Focus Networks following a formal request from the Town’s IT Coordinator.</w:t>
      </w:r>
    </w:p>
    <w:p w14:paraId="3FAF1585" w14:textId="77777777" w:rsidR="007163B0" w:rsidRPr="007163B0" w:rsidRDefault="007163B0" w:rsidP="005B2AA5">
      <w:pPr>
        <w:pStyle w:val="BodyText"/>
        <w:spacing w:before="200"/>
        <w:ind w:left="426"/>
        <w:rPr>
          <w:rFonts w:asciiTheme="minorHAnsi" w:hAnsiTheme="minorHAnsi" w:cstheme="minorHAnsi"/>
          <w:szCs w:val="22"/>
        </w:rPr>
      </w:pPr>
      <w:r w:rsidRPr="007163B0">
        <w:rPr>
          <w:rFonts w:asciiTheme="minorHAnsi" w:hAnsiTheme="minorHAnsi" w:cstheme="minorHAnsi"/>
          <w:szCs w:val="22"/>
        </w:rPr>
        <w:t xml:space="preserve">Town of East Fremantle personnel are not permitted to use another officer's user profile. </w:t>
      </w:r>
    </w:p>
    <w:p w14:paraId="3AD96051" w14:textId="77777777" w:rsidR="007163B0" w:rsidRPr="007163B0" w:rsidRDefault="007163B0" w:rsidP="005B2AA5">
      <w:pPr>
        <w:spacing w:before="200"/>
        <w:ind w:left="426"/>
        <w:jc w:val="both"/>
        <w:rPr>
          <w:rFonts w:cstheme="minorHAnsi"/>
        </w:rPr>
      </w:pPr>
      <w:r w:rsidRPr="007163B0">
        <w:rPr>
          <w:rFonts w:cstheme="minorHAnsi"/>
        </w:rPr>
        <w:t xml:space="preserve">Internet (log on) accounts are owned by Town of East Fremantle, therefore, Internet access and information obtained is not considered personal under any circumstances.  All user profiles / accounts issued by Town of East Fremantle </w:t>
      </w:r>
      <w:proofErr w:type="gramStart"/>
      <w:r w:rsidRPr="007163B0">
        <w:rPr>
          <w:rFonts w:cstheme="minorHAnsi"/>
        </w:rPr>
        <w:t>remain the property of Town of East Fremantle at all times</w:t>
      </w:r>
      <w:proofErr w:type="gramEnd"/>
      <w:r w:rsidRPr="007163B0">
        <w:rPr>
          <w:rFonts w:cstheme="minorHAnsi"/>
        </w:rPr>
        <w:t>.</w:t>
      </w:r>
    </w:p>
    <w:p w14:paraId="4050C477" w14:textId="77777777" w:rsidR="007163B0" w:rsidRPr="007163B0" w:rsidRDefault="007163B0" w:rsidP="00EA79AC">
      <w:pPr>
        <w:spacing w:after="0"/>
        <w:ind w:left="426" w:hanging="426"/>
        <w:rPr>
          <w:rFonts w:cstheme="minorHAnsi"/>
        </w:rPr>
      </w:pPr>
      <w:r w:rsidRPr="007163B0">
        <w:rPr>
          <w:rFonts w:cstheme="minorHAnsi"/>
        </w:rPr>
        <w:t>2.</w:t>
      </w:r>
      <w:r w:rsidRPr="007163B0">
        <w:rPr>
          <w:rFonts w:cstheme="minorHAnsi"/>
        </w:rPr>
        <w:tab/>
        <w:t>RISK MANAGEMENT</w:t>
      </w:r>
    </w:p>
    <w:p w14:paraId="758DD62E" w14:textId="77777777" w:rsidR="007163B0" w:rsidRPr="00DC04FA" w:rsidRDefault="00DC04FA" w:rsidP="00DC04FA">
      <w:pPr>
        <w:spacing w:after="60"/>
        <w:ind w:left="851" w:hanging="425"/>
        <w:rPr>
          <w:i/>
        </w:rPr>
      </w:pPr>
      <w:proofErr w:type="gramStart"/>
      <w:r w:rsidRPr="00DC04FA">
        <w:rPr>
          <w:i/>
        </w:rPr>
        <w:t>A</w:t>
      </w:r>
      <w:proofErr w:type="gramEnd"/>
      <w:r w:rsidRPr="00DC04FA">
        <w:rPr>
          <w:i/>
        </w:rPr>
        <w:tab/>
      </w:r>
      <w:r w:rsidR="007163B0" w:rsidRPr="00DC04FA">
        <w:rPr>
          <w:i/>
        </w:rPr>
        <w:t>Internet Security</w:t>
      </w:r>
    </w:p>
    <w:p w14:paraId="5D5E9174" w14:textId="77777777" w:rsidR="007163B0" w:rsidRPr="007163B0" w:rsidRDefault="007163B0" w:rsidP="002A3889">
      <w:pPr>
        <w:numPr>
          <w:ilvl w:val="0"/>
          <w:numId w:val="57"/>
        </w:numPr>
        <w:tabs>
          <w:tab w:val="clear" w:pos="360"/>
        </w:tabs>
        <w:spacing w:after="0" w:line="240" w:lineRule="auto"/>
        <w:ind w:left="1276" w:hanging="425"/>
        <w:jc w:val="both"/>
        <w:rPr>
          <w:rFonts w:cstheme="minorHAnsi"/>
        </w:rPr>
      </w:pPr>
      <w:r w:rsidRPr="007163B0">
        <w:rPr>
          <w:rFonts w:cstheme="minorHAnsi"/>
        </w:rPr>
        <w:t>Town of East Fremantle security is maintained by use of a firewall, a dedicated machine that controls the flow of traffic through a gateway to the rest of the Internet. Unauthorised outside access from the Internet to the Town of East Fremantle internal network is not permitted.</w:t>
      </w:r>
    </w:p>
    <w:p w14:paraId="0FFEFAF7" w14:textId="77777777" w:rsidR="007163B0" w:rsidRPr="007163B0" w:rsidRDefault="007163B0" w:rsidP="002A3889">
      <w:pPr>
        <w:numPr>
          <w:ilvl w:val="0"/>
          <w:numId w:val="58"/>
        </w:numPr>
        <w:tabs>
          <w:tab w:val="clear" w:pos="360"/>
        </w:tabs>
        <w:spacing w:before="60" w:after="0" w:line="240" w:lineRule="auto"/>
        <w:ind w:left="1276" w:hanging="425"/>
        <w:jc w:val="both"/>
        <w:rPr>
          <w:rFonts w:cstheme="minorHAnsi"/>
        </w:rPr>
      </w:pPr>
      <w:r w:rsidRPr="007163B0">
        <w:rPr>
          <w:rFonts w:cstheme="minorHAnsi"/>
        </w:rPr>
        <w:t>To minimise the risk associated with access to the Internet all Town of East Fremantle personnel must follow the guidelines contained in this policy.</w:t>
      </w:r>
    </w:p>
    <w:p w14:paraId="43EE97D1" w14:textId="77777777" w:rsidR="007163B0" w:rsidRPr="007163B0" w:rsidRDefault="007163B0" w:rsidP="002A3889">
      <w:pPr>
        <w:numPr>
          <w:ilvl w:val="0"/>
          <w:numId w:val="58"/>
        </w:numPr>
        <w:tabs>
          <w:tab w:val="clear" w:pos="360"/>
        </w:tabs>
        <w:spacing w:before="60" w:after="0" w:line="240" w:lineRule="auto"/>
        <w:ind w:left="1276" w:hanging="425"/>
        <w:jc w:val="both"/>
        <w:rPr>
          <w:rFonts w:cstheme="minorHAnsi"/>
        </w:rPr>
      </w:pPr>
      <w:r w:rsidRPr="007163B0">
        <w:rPr>
          <w:rFonts w:cstheme="minorHAnsi"/>
        </w:rPr>
        <w:t>The Town of East Fremantle reserves the right to monitor the use of the Internet to ensure policy compliance.</w:t>
      </w:r>
    </w:p>
    <w:p w14:paraId="33430EB5" w14:textId="77777777" w:rsidR="007163B0" w:rsidRPr="007163B0" w:rsidRDefault="007163B0" w:rsidP="002A3889">
      <w:pPr>
        <w:numPr>
          <w:ilvl w:val="0"/>
          <w:numId w:val="61"/>
        </w:numPr>
        <w:tabs>
          <w:tab w:val="clear" w:pos="360"/>
        </w:tabs>
        <w:spacing w:before="60" w:after="0" w:line="240" w:lineRule="auto"/>
        <w:ind w:left="1276" w:hanging="425"/>
        <w:jc w:val="both"/>
        <w:rPr>
          <w:rFonts w:cstheme="minorHAnsi"/>
          <w:i/>
          <w:u w:val="single"/>
        </w:rPr>
      </w:pPr>
      <w:r w:rsidRPr="007163B0">
        <w:rPr>
          <w:rFonts w:cstheme="minorHAnsi"/>
        </w:rPr>
        <w:lastRenderedPageBreak/>
        <w:t>All Town of East Fremantle computers with Internet access must have virus scan and virus software update established.</w:t>
      </w:r>
    </w:p>
    <w:p w14:paraId="2E98112B" w14:textId="77777777" w:rsidR="007163B0" w:rsidRPr="007163B0" w:rsidRDefault="007163B0" w:rsidP="002A3889">
      <w:pPr>
        <w:numPr>
          <w:ilvl w:val="0"/>
          <w:numId w:val="62"/>
        </w:numPr>
        <w:tabs>
          <w:tab w:val="clear" w:pos="360"/>
        </w:tabs>
        <w:spacing w:before="60" w:after="0" w:line="240" w:lineRule="auto"/>
        <w:ind w:left="1276" w:hanging="425"/>
        <w:jc w:val="both"/>
        <w:rPr>
          <w:rFonts w:cstheme="minorHAnsi"/>
        </w:rPr>
      </w:pPr>
      <w:r w:rsidRPr="007163B0">
        <w:rPr>
          <w:rFonts w:cstheme="minorHAnsi"/>
        </w:rPr>
        <w:t>No unauthorised software is to be downloaded from the Internet without the permission of the Chief Executive Officer as this may expose the Town of East Fremantle to a potential breach of copyright.</w:t>
      </w:r>
    </w:p>
    <w:p w14:paraId="1AD7692D" w14:textId="77777777" w:rsidR="007163B0" w:rsidRPr="007163B0" w:rsidRDefault="007163B0" w:rsidP="002A3889">
      <w:pPr>
        <w:numPr>
          <w:ilvl w:val="0"/>
          <w:numId w:val="62"/>
        </w:numPr>
        <w:tabs>
          <w:tab w:val="clear" w:pos="360"/>
        </w:tabs>
        <w:spacing w:before="60" w:after="0" w:line="240" w:lineRule="auto"/>
        <w:ind w:left="1276" w:hanging="425"/>
        <w:jc w:val="both"/>
        <w:rPr>
          <w:rFonts w:cstheme="minorHAnsi"/>
        </w:rPr>
      </w:pPr>
      <w:r w:rsidRPr="007163B0">
        <w:rPr>
          <w:rFonts w:cstheme="minorHAnsi"/>
        </w:rPr>
        <w:t>The Town receives a monthly report from their IT Consultants detailing the types of sites employees have or have attempted to access as well as virus threats the system has prevented from infecting the servers and computers.  The IT Consultants can provide detailed reports for each user upon request by the Town’s authorised representatives.</w:t>
      </w:r>
    </w:p>
    <w:p w14:paraId="54EAB2EC" w14:textId="77777777" w:rsidR="007163B0" w:rsidRPr="00DC04FA" w:rsidRDefault="00DC04FA" w:rsidP="00DC04FA">
      <w:pPr>
        <w:spacing w:before="200" w:after="0"/>
        <w:ind w:left="851" w:hanging="425"/>
        <w:rPr>
          <w:i/>
        </w:rPr>
      </w:pPr>
      <w:r w:rsidRPr="00DC04FA">
        <w:rPr>
          <w:i/>
        </w:rPr>
        <w:t>B.</w:t>
      </w:r>
      <w:r w:rsidRPr="00DC04FA">
        <w:rPr>
          <w:i/>
        </w:rPr>
        <w:tab/>
      </w:r>
      <w:r w:rsidR="007163B0" w:rsidRPr="00DC04FA">
        <w:rPr>
          <w:i/>
        </w:rPr>
        <w:t>Quality of Information</w:t>
      </w:r>
    </w:p>
    <w:p w14:paraId="4ADEDDD4" w14:textId="77777777" w:rsidR="007163B0" w:rsidRPr="007163B0" w:rsidRDefault="007163B0" w:rsidP="00DC04FA">
      <w:pPr>
        <w:pStyle w:val="BodyTextIndent"/>
        <w:spacing w:after="200"/>
        <w:ind w:left="851"/>
        <w:jc w:val="both"/>
        <w:rPr>
          <w:rFonts w:cstheme="minorHAnsi"/>
        </w:rPr>
      </w:pPr>
      <w:r w:rsidRPr="007163B0">
        <w:rPr>
          <w:rFonts w:cstheme="minorHAnsi"/>
        </w:rPr>
        <w:t>Town of East Fremantle personnel need to be aware that materials published on the Internet may not have undergone rigorous quality assurance.  Personnel should exercise extra caution and care to ensure the accuracy of Internet information and the authenticity of the authors.</w:t>
      </w:r>
    </w:p>
    <w:p w14:paraId="62F0DC8A" w14:textId="77777777" w:rsidR="007163B0" w:rsidRPr="00DC04FA" w:rsidRDefault="00DC04FA" w:rsidP="00DC04FA">
      <w:pPr>
        <w:spacing w:after="0"/>
        <w:ind w:left="851" w:hanging="425"/>
        <w:rPr>
          <w:i/>
        </w:rPr>
      </w:pPr>
      <w:r w:rsidRPr="00DC04FA">
        <w:rPr>
          <w:i/>
        </w:rPr>
        <w:t>C.</w:t>
      </w:r>
      <w:r w:rsidRPr="00DC04FA">
        <w:rPr>
          <w:i/>
        </w:rPr>
        <w:tab/>
      </w:r>
      <w:r w:rsidR="007163B0" w:rsidRPr="00DC04FA">
        <w:rPr>
          <w:i/>
        </w:rPr>
        <w:t>Legal Aspects</w:t>
      </w:r>
    </w:p>
    <w:p w14:paraId="4D4981C2" w14:textId="77777777" w:rsidR="007163B0" w:rsidRPr="007163B0" w:rsidRDefault="007163B0" w:rsidP="005B2AA5">
      <w:pPr>
        <w:ind w:left="851"/>
        <w:jc w:val="both"/>
        <w:rPr>
          <w:rFonts w:cstheme="minorHAnsi"/>
        </w:rPr>
      </w:pPr>
      <w:r w:rsidRPr="007163B0">
        <w:rPr>
          <w:rFonts w:cstheme="minorHAnsi"/>
        </w:rPr>
        <w:t xml:space="preserve">Users of the Internet must respect the law and the legal rights of others.  Copying from the Internet should be regarded in the same manner as copying from any other source. </w:t>
      </w:r>
    </w:p>
    <w:p w14:paraId="1803D156" w14:textId="77777777" w:rsidR="007163B0" w:rsidRPr="007163B0" w:rsidRDefault="007163B0" w:rsidP="005B2AA5">
      <w:pPr>
        <w:spacing w:before="200"/>
        <w:ind w:left="851"/>
        <w:jc w:val="both"/>
        <w:rPr>
          <w:rFonts w:cstheme="minorHAnsi"/>
        </w:rPr>
      </w:pPr>
      <w:r w:rsidRPr="007163B0">
        <w:rPr>
          <w:rFonts w:cstheme="minorHAnsi"/>
        </w:rPr>
        <w:t>Copyright does apply to information on the Internet.</w:t>
      </w:r>
    </w:p>
    <w:p w14:paraId="65828C42" w14:textId="77777777" w:rsidR="007163B0" w:rsidRPr="007163B0" w:rsidRDefault="007163B0" w:rsidP="005B2AA5">
      <w:pPr>
        <w:pStyle w:val="BodyTextIndent3"/>
        <w:spacing w:before="200" w:after="200"/>
        <w:ind w:left="851"/>
        <w:jc w:val="both"/>
        <w:rPr>
          <w:rFonts w:cstheme="minorHAnsi"/>
          <w:sz w:val="22"/>
          <w:szCs w:val="22"/>
        </w:rPr>
      </w:pPr>
      <w:r w:rsidRPr="007163B0">
        <w:rPr>
          <w:rFonts w:cstheme="minorHAnsi"/>
          <w:sz w:val="22"/>
          <w:szCs w:val="22"/>
        </w:rPr>
        <w:t>Transmission and receiving of any material through the Internet in violation of any Australian Law is prohibited.  This includes, but is not limited to, copyright material, threatening or obscene material, material breaching the Equal Opportunity Act or material protected by trade secret.</w:t>
      </w:r>
    </w:p>
    <w:p w14:paraId="5C4BACC5" w14:textId="77777777" w:rsidR="007163B0" w:rsidRPr="007163B0" w:rsidRDefault="007163B0" w:rsidP="005B2AA5">
      <w:pPr>
        <w:spacing w:after="0"/>
        <w:ind w:left="425" w:hanging="425"/>
        <w:rPr>
          <w:rFonts w:cstheme="minorHAnsi"/>
        </w:rPr>
      </w:pPr>
      <w:r w:rsidRPr="007163B0">
        <w:rPr>
          <w:rFonts w:cstheme="minorHAnsi"/>
        </w:rPr>
        <w:t>3.</w:t>
      </w:r>
      <w:r w:rsidRPr="007163B0">
        <w:rPr>
          <w:rFonts w:cstheme="minorHAnsi"/>
        </w:rPr>
        <w:tab/>
        <w:t>ACCEPTABLE USAGE</w:t>
      </w:r>
    </w:p>
    <w:p w14:paraId="5E2FF7E0" w14:textId="77777777" w:rsidR="007163B0" w:rsidRPr="007163B0" w:rsidRDefault="007163B0" w:rsidP="005B2AA5">
      <w:pPr>
        <w:ind w:left="426"/>
        <w:jc w:val="both"/>
        <w:rPr>
          <w:rFonts w:cstheme="minorHAnsi"/>
        </w:rPr>
      </w:pPr>
      <w:r w:rsidRPr="007163B0">
        <w:rPr>
          <w:rFonts w:cstheme="minorHAnsi"/>
        </w:rPr>
        <w:t xml:space="preserve">Authorised Town of East Fremantle personnel will use the Internet services in a responsible and professional manner to enhance the efficient operation of the organisation. The Internet can be used by Town of East Fremantle personnel provided the usage does not contravene the laws of Western Australia; there is no additional cost to the Town of East Fremantle nor commercial gain to the personnel. </w:t>
      </w:r>
    </w:p>
    <w:p w14:paraId="7145454E" w14:textId="77777777" w:rsidR="007163B0" w:rsidRPr="007163B0" w:rsidRDefault="007163B0" w:rsidP="005B2AA5">
      <w:pPr>
        <w:spacing w:after="0"/>
        <w:ind w:left="425" w:hanging="425"/>
        <w:rPr>
          <w:rFonts w:cstheme="minorHAnsi"/>
        </w:rPr>
      </w:pPr>
      <w:r w:rsidRPr="007163B0">
        <w:rPr>
          <w:rFonts w:cstheme="minorHAnsi"/>
        </w:rPr>
        <w:t>4.</w:t>
      </w:r>
      <w:r w:rsidRPr="007163B0">
        <w:rPr>
          <w:rFonts w:cstheme="minorHAnsi"/>
        </w:rPr>
        <w:tab/>
        <w:t>UNACCEPTABLE USE OF THE INTERNET</w:t>
      </w:r>
    </w:p>
    <w:p w14:paraId="0980C7FC" w14:textId="77777777" w:rsidR="007163B0" w:rsidRPr="007163B0" w:rsidRDefault="007163B0" w:rsidP="005B2AA5">
      <w:pPr>
        <w:spacing w:after="60"/>
        <w:ind w:left="425"/>
        <w:jc w:val="both"/>
        <w:rPr>
          <w:rFonts w:cstheme="minorHAnsi"/>
        </w:rPr>
      </w:pPr>
      <w:r w:rsidRPr="007163B0">
        <w:rPr>
          <w:rFonts w:cstheme="minorHAnsi"/>
        </w:rPr>
        <w:t>Town of East Fremantle personnel are not to use Town resources to access the Internet for the following purposes:</w:t>
      </w:r>
    </w:p>
    <w:p w14:paraId="2C84D1C2" w14:textId="77777777" w:rsidR="007163B0" w:rsidRPr="007163B0" w:rsidRDefault="007163B0" w:rsidP="002A3889">
      <w:pPr>
        <w:numPr>
          <w:ilvl w:val="0"/>
          <w:numId w:val="59"/>
        </w:numPr>
        <w:tabs>
          <w:tab w:val="clear" w:pos="360"/>
        </w:tabs>
        <w:spacing w:before="60" w:after="0" w:line="240" w:lineRule="auto"/>
        <w:ind w:left="850" w:hanging="425"/>
        <w:jc w:val="both"/>
        <w:rPr>
          <w:rFonts w:cstheme="minorHAnsi"/>
        </w:rPr>
      </w:pPr>
      <w:r w:rsidRPr="007163B0">
        <w:rPr>
          <w:rFonts w:cstheme="minorHAnsi"/>
        </w:rPr>
        <w:t xml:space="preserve">viewing, copying, printing, storing or distributing offensive or pornographic </w:t>
      </w:r>
      <w:proofErr w:type="gramStart"/>
      <w:r w:rsidRPr="007163B0">
        <w:rPr>
          <w:rFonts w:cstheme="minorHAnsi"/>
        </w:rPr>
        <w:t>material;</w:t>
      </w:r>
      <w:proofErr w:type="gramEnd"/>
    </w:p>
    <w:p w14:paraId="7E6FD6B1" w14:textId="77777777" w:rsidR="007163B0" w:rsidRPr="007163B0" w:rsidRDefault="007163B0" w:rsidP="002A3889">
      <w:pPr>
        <w:numPr>
          <w:ilvl w:val="0"/>
          <w:numId w:val="59"/>
        </w:numPr>
        <w:tabs>
          <w:tab w:val="clear" w:pos="360"/>
        </w:tabs>
        <w:spacing w:before="60" w:after="0" w:line="240" w:lineRule="auto"/>
        <w:ind w:left="850" w:hanging="425"/>
        <w:jc w:val="both"/>
        <w:rPr>
          <w:rFonts w:cstheme="minorHAnsi"/>
        </w:rPr>
      </w:pPr>
      <w:r w:rsidRPr="007163B0">
        <w:rPr>
          <w:rFonts w:cstheme="minorHAnsi"/>
        </w:rPr>
        <w:t xml:space="preserve">viewing, copying, printing, storing or distributing libellous, fraudulent, nuisance or malicious </w:t>
      </w:r>
      <w:proofErr w:type="gramStart"/>
      <w:r w:rsidRPr="007163B0">
        <w:rPr>
          <w:rFonts w:cstheme="minorHAnsi"/>
        </w:rPr>
        <w:t>material;</w:t>
      </w:r>
      <w:proofErr w:type="gramEnd"/>
    </w:p>
    <w:p w14:paraId="238C2EA0"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viewing, copying, printing, storing or distributing any material that violates an individual's rights under the Equal Opportunity Act.  For instance, it is illegal to discriminate based on sex, race, age, disability, marital status, religious or political beliefs.  This includes jokes, pictures, photos, sketches, or any other material that may be offensive to or prejudiced against an individual or group of </w:t>
      </w:r>
      <w:proofErr w:type="gramStart"/>
      <w:r w:rsidRPr="007163B0">
        <w:rPr>
          <w:rFonts w:cstheme="minorHAnsi"/>
        </w:rPr>
        <w:t>individuals;</w:t>
      </w:r>
      <w:proofErr w:type="gramEnd"/>
    </w:p>
    <w:p w14:paraId="53E5805F"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copying and storing of images and video clips that are not directly related to Town of East Fremantle's aims and </w:t>
      </w:r>
      <w:proofErr w:type="gramStart"/>
      <w:r w:rsidRPr="007163B0">
        <w:rPr>
          <w:rFonts w:cstheme="minorHAnsi"/>
        </w:rPr>
        <w:t>objectives;</w:t>
      </w:r>
      <w:proofErr w:type="gramEnd"/>
    </w:p>
    <w:p w14:paraId="267AAAF5"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copying, storing or receiving unauthorised </w:t>
      </w:r>
      <w:proofErr w:type="gramStart"/>
      <w:r w:rsidRPr="007163B0">
        <w:rPr>
          <w:rFonts w:cstheme="minorHAnsi"/>
        </w:rPr>
        <w:t>software;</w:t>
      </w:r>
      <w:proofErr w:type="gramEnd"/>
    </w:p>
    <w:p w14:paraId="4AFD48CD"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transmission and/or storage of copyrighted </w:t>
      </w:r>
      <w:proofErr w:type="gramStart"/>
      <w:r w:rsidRPr="007163B0">
        <w:rPr>
          <w:rFonts w:cstheme="minorHAnsi"/>
        </w:rPr>
        <w:t>material;</w:t>
      </w:r>
      <w:proofErr w:type="gramEnd"/>
    </w:p>
    <w:p w14:paraId="71DECB78"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commercial activities for personal gain or </w:t>
      </w:r>
      <w:proofErr w:type="gramStart"/>
      <w:r w:rsidRPr="007163B0">
        <w:rPr>
          <w:rFonts w:cstheme="minorHAnsi"/>
        </w:rPr>
        <w:t>profit;</w:t>
      </w:r>
      <w:proofErr w:type="gramEnd"/>
    </w:p>
    <w:p w14:paraId="0B30A31F"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lastRenderedPageBreak/>
        <w:t xml:space="preserve">product advertisement or political </w:t>
      </w:r>
      <w:proofErr w:type="gramStart"/>
      <w:r w:rsidRPr="007163B0">
        <w:rPr>
          <w:rFonts w:cstheme="minorHAnsi"/>
        </w:rPr>
        <w:t>lobbying;</w:t>
      </w:r>
      <w:proofErr w:type="gramEnd"/>
    </w:p>
    <w:p w14:paraId="63EE9EB9"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disclosure of material which is prohibited under state government legislation or </w:t>
      </w:r>
      <w:proofErr w:type="gramStart"/>
      <w:r w:rsidRPr="007163B0">
        <w:rPr>
          <w:rFonts w:cstheme="minorHAnsi"/>
        </w:rPr>
        <w:t>policy;</w:t>
      </w:r>
      <w:proofErr w:type="gramEnd"/>
    </w:p>
    <w:p w14:paraId="544BFD77"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accessing, distributing or storing material which could damage the reputation of the Authority or lead to civil liability </w:t>
      </w:r>
      <w:proofErr w:type="gramStart"/>
      <w:r w:rsidRPr="007163B0">
        <w:rPr>
          <w:rFonts w:cstheme="minorHAnsi"/>
        </w:rPr>
        <w:t>action;</w:t>
      </w:r>
      <w:proofErr w:type="gramEnd"/>
    </w:p>
    <w:p w14:paraId="0247AB68"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false </w:t>
      </w:r>
      <w:proofErr w:type="gramStart"/>
      <w:r w:rsidRPr="007163B0">
        <w:rPr>
          <w:rFonts w:cstheme="minorHAnsi"/>
        </w:rPr>
        <w:t>representation;</w:t>
      </w:r>
      <w:proofErr w:type="gramEnd"/>
    </w:p>
    <w:p w14:paraId="12875AD9"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solicitation of other people including other </w:t>
      </w:r>
      <w:proofErr w:type="gramStart"/>
      <w:r w:rsidRPr="007163B0">
        <w:rPr>
          <w:rFonts w:cstheme="minorHAnsi"/>
        </w:rPr>
        <w:t>employees;</w:t>
      </w:r>
      <w:proofErr w:type="gramEnd"/>
    </w:p>
    <w:p w14:paraId="6DB4F4CC"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providing information about or lists </w:t>
      </w:r>
      <w:proofErr w:type="gramStart"/>
      <w:r w:rsidRPr="007163B0">
        <w:rPr>
          <w:rFonts w:cstheme="minorHAnsi"/>
        </w:rPr>
        <w:t>of,</w:t>
      </w:r>
      <w:proofErr w:type="gramEnd"/>
      <w:r w:rsidRPr="007163B0">
        <w:rPr>
          <w:rFonts w:cstheme="minorHAnsi"/>
        </w:rPr>
        <w:t xml:space="preserve"> government employees to others;</w:t>
      </w:r>
    </w:p>
    <w:p w14:paraId="52202F45"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commercial solicitations of non-departmental </w:t>
      </w:r>
      <w:proofErr w:type="gramStart"/>
      <w:r w:rsidRPr="007163B0">
        <w:rPr>
          <w:rFonts w:cstheme="minorHAnsi"/>
        </w:rPr>
        <w:t>business;</w:t>
      </w:r>
      <w:proofErr w:type="gramEnd"/>
    </w:p>
    <w:p w14:paraId="37C238F7"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activities that interfere with your job or jobs of other </w:t>
      </w:r>
      <w:proofErr w:type="gramStart"/>
      <w:r w:rsidRPr="007163B0">
        <w:rPr>
          <w:rFonts w:cstheme="minorHAnsi"/>
        </w:rPr>
        <w:t>employees;</w:t>
      </w:r>
      <w:proofErr w:type="gramEnd"/>
    </w:p>
    <w:p w14:paraId="31103FD6"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activities that interfere with the operation of any computer </w:t>
      </w:r>
      <w:proofErr w:type="gramStart"/>
      <w:r w:rsidRPr="007163B0">
        <w:rPr>
          <w:rFonts w:cstheme="minorHAnsi"/>
        </w:rPr>
        <w:t>network;</w:t>
      </w:r>
      <w:proofErr w:type="gramEnd"/>
    </w:p>
    <w:p w14:paraId="576DC1FE"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 xml:space="preserve">violating any law or rights of any person or group accessing the service under another </w:t>
      </w:r>
      <w:proofErr w:type="gramStart"/>
      <w:r w:rsidRPr="007163B0">
        <w:rPr>
          <w:rFonts w:cstheme="minorHAnsi"/>
        </w:rPr>
        <w:t>user name</w:t>
      </w:r>
      <w:proofErr w:type="gramEnd"/>
      <w:r w:rsidRPr="007163B0">
        <w:rPr>
          <w:rFonts w:cstheme="minorHAnsi"/>
        </w:rPr>
        <w:t xml:space="preserve"> and password; and</w:t>
      </w:r>
    </w:p>
    <w:p w14:paraId="28B81187" w14:textId="77777777" w:rsidR="007163B0" w:rsidRPr="007163B0" w:rsidRDefault="007163B0" w:rsidP="002A3889">
      <w:pPr>
        <w:numPr>
          <w:ilvl w:val="0"/>
          <w:numId w:val="60"/>
        </w:numPr>
        <w:tabs>
          <w:tab w:val="clear" w:pos="360"/>
        </w:tabs>
        <w:spacing w:before="60" w:after="0" w:line="240" w:lineRule="auto"/>
        <w:ind w:left="851" w:hanging="425"/>
        <w:jc w:val="both"/>
        <w:rPr>
          <w:rFonts w:cstheme="minorHAnsi"/>
        </w:rPr>
      </w:pPr>
      <w:r w:rsidRPr="007163B0">
        <w:rPr>
          <w:rFonts w:cstheme="minorHAnsi"/>
        </w:rPr>
        <w:t>use of departmental equipment to unlawfully access other network or systems</w:t>
      </w:r>
    </w:p>
    <w:p w14:paraId="3885433B" w14:textId="77777777" w:rsidR="007163B0" w:rsidRPr="005B2AA5" w:rsidRDefault="007163B0" w:rsidP="005B2AA5">
      <w:pPr>
        <w:spacing w:before="200"/>
        <w:ind w:left="426"/>
        <w:jc w:val="both"/>
        <w:rPr>
          <w:rFonts w:cstheme="minorHAnsi"/>
          <w:b/>
          <w:snapToGrid w:val="0"/>
        </w:rPr>
      </w:pPr>
      <w:r w:rsidRPr="005B2AA5">
        <w:rPr>
          <w:rFonts w:cstheme="minorHAnsi"/>
          <w:b/>
          <w:snapToGrid w:val="0"/>
        </w:rPr>
        <w:t>Accessing an inappropriate Internet site will have serious consequences and could lead to dismissal.</w:t>
      </w:r>
    </w:p>
    <w:p w14:paraId="6B710A71" w14:textId="77777777" w:rsidR="007163B0" w:rsidRPr="005B2AA5" w:rsidRDefault="007163B0" w:rsidP="005B2AA5">
      <w:pPr>
        <w:spacing w:before="200" w:after="0"/>
        <w:ind w:left="425"/>
        <w:jc w:val="both"/>
        <w:rPr>
          <w:rFonts w:cstheme="minorHAnsi"/>
          <w:snapToGrid w:val="0"/>
          <w:u w:val="single"/>
        </w:rPr>
      </w:pPr>
      <w:r w:rsidRPr="005B2AA5">
        <w:rPr>
          <w:rFonts w:cstheme="minorHAnsi"/>
          <w:snapToGrid w:val="0"/>
          <w:u w:val="single"/>
        </w:rPr>
        <w:t>Accidental access to inappropriate websites.</w:t>
      </w:r>
    </w:p>
    <w:p w14:paraId="6AAA9359" w14:textId="77777777" w:rsidR="007163B0" w:rsidRPr="007163B0" w:rsidRDefault="007163B0" w:rsidP="00FE1D12">
      <w:pPr>
        <w:spacing w:after="60"/>
        <w:ind w:left="425"/>
        <w:jc w:val="both"/>
        <w:rPr>
          <w:rFonts w:cstheme="minorHAnsi"/>
          <w:snapToGrid w:val="0"/>
        </w:rPr>
      </w:pPr>
      <w:r w:rsidRPr="007163B0">
        <w:rPr>
          <w:rFonts w:cstheme="minorHAnsi"/>
          <w:snapToGrid w:val="0"/>
        </w:rPr>
        <w:t xml:space="preserve">Whilst using the Internet there could be occasions when inappropriate sites are accidentally accessed. </w:t>
      </w:r>
      <w:r w:rsidR="005B2AA5">
        <w:rPr>
          <w:rFonts w:cstheme="minorHAnsi"/>
          <w:snapToGrid w:val="0"/>
        </w:rPr>
        <w:t xml:space="preserve"> </w:t>
      </w:r>
      <w:r w:rsidRPr="007163B0">
        <w:rPr>
          <w:rFonts w:cstheme="minorHAnsi"/>
          <w:snapToGrid w:val="0"/>
        </w:rPr>
        <w:t xml:space="preserve">Should this occur, </w:t>
      </w:r>
      <w:r w:rsidRPr="007163B0">
        <w:rPr>
          <w:rFonts w:cstheme="minorHAnsi"/>
          <w:b/>
          <w:snapToGrid w:val="0"/>
        </w:rPr>
        <w:t>you must</w:t>
      </w:r>
      <w:r w:rsidRPr="007163B0">
        <w:rPr>
          <w:rFonts w:cstheme="minorHAnsi"/>
          <w:snapToGrid w:val="0"/>
        </w:rPr>
        <w:t xml:space="preserve"> immediately:</w:t>
      </w:r>
    </w:p>
    <w:p w14:paraId="2CE3B8BE" w14:textId="77777777" w:rsidR="007163B0" w:rsidRPr="007163B0" w:rsidRDefault="007163B0" w:rsidP="00FE1D12">
      <w:pPr>
        <w:spacing w:before="60" w:after="60"/>
        <w:ind w:left="850" w:hanging="425"/>
        <w:jc w:val="both"/>
        <w:rPr>
          <w:rFonts w:cstheme="minorHAnsi"/>
          <w:snapToGrid w:val="0"/>
        </w:rPr>
      </w:pPr>
      <w:r w:rsidRPr="007163B0">
        <w:rPr>
          <w:rFonts w:cstheme="minorHAnsi"/>
          <w:snapToGrid w:val="0"/>
        </w:rPr>
        <w:t>1</w:t>
      </w:r>
      <w:r w:rsidR="005B2AA5">
        <w:rPr>
          <w:rFonts w:cstheme="minorHAnsi"/>
          <w:snapToGrid w:val="0"/>
        </w:rPr>
        <w:t>.</w:t>
      </w:r>
      <w:r w:rsidRPr="007163B0">
        <w:rPr>
          <w:rFonts w:cstheme="minorHAnsi"/>
          <w:snapToGrid w:val="0"/>
        </w:rPr>
        <w:tab/>
        <w:t xml:space="preserve">leave the </w:t>
      </w:r>
      <w:proofErr w:type="gramStart"/>
      <w:r w:rsidRPr="007163B0">
        <w:rPr>
          <w:rFonts w:cstheme="minorHAnsi"/>
          <w:snapToGrid w:val="0"/>
        </w:rPr>
        <w:t>site;</w:t>
      </w:r>
      <w:proofErr w:type="gramEnd"/>
    </w:p>
    <w:p w14:paraId="37330AB8" w14:textId="77777777" w:rsidR="007163B0" w:rsidRPr="007163B0" w:rsidRDefault="007163B0" w:rsidP="00FE1D12">
      <w:pPr>
        <w:tabs>
          <w:tab w:val="left" w:pos="567"/>
        </w:tabs>
        <w:spacing w:before="60"/>
        <w:ind w:left="850" w:hanging="425"/>
        <w:jc w:val="both"/>
        <w:rPr>
          <w:rFonts w:cstheme="minorHAnsi"/>
          <w:snapToGrid w:val="0"/>
        </w:rPr>
      </w:pPr>
      <w:r w:rsidRPr="007163B0">
        <w:rPr>
          <w:rFonts w:cstheme="minorHAnsi"/>
          <w:snapToGrid w:val="0"/>
        </w:rPr>
        <w:t>2</w:t>
      </w:r>
      <w:r w:rsidR="005B2AA5">
        <w:rPr>
          <w:rFonts w:cstheme="minorHAnsi"/>
          <w:snapToGrid w:val="0"/>
        </w:rPr>
        <w:t>.</w:t>
      </w:r>
      <w:r w:rsidRPr="007163B0">
        <w:rPr>
          <w:rFonts w:cstheme="minorHAnsi"/>
          <w:snapToGrid w:val="0"/>
        </w:rPr>
        <w:tab/>
        <w:t>advise your immediate superior of the incident.</w:t>
      </w:r>
    </w:p>
    <w:p w14:paraId="3C2F0970" w14:textId="77777777" w:rsidR="007163B0" w:rsidRPr="00FE1D12" w:rsidRDefault="00E3607C" w:rsidP="00E3607C">
      <w:pPr>
        <w:spacing w:after="0"/>
        <w:ind w:left="425" w:hanging="425"/>
      </w:pPr>
      <w:r>
        <w:t>5.</w:t>
      </w:r>
      <w:r>
        <w:tab/>
      </w:r>
      <w:r w:rsidR="007163B0" w:rsidRPr="00FE1D12">
        <w:t>SECURITY</w:t>
      </w:r>
    </w:p>
    <w:p w14:paraId="7389EA4C" w14:textId="77777777" w:rsidR="007163B0" w:rsidRPr="007163B0" w:rsidRDefault="007163B0" w:rsidP="00FE1D12">
      <w:pPr>
        <w:ind w:left="426"/>
        <w:jc w:val="both"/>
        <w:rPr>
          <w:rFonts w:cstheme="minorHAnsi"/>
        </w:rPr>
      </w:pPr>
      <w:r w:rsidRPr="007163B0">
        <w:rPr>
          <w:rFonts w:cstheme="minorHAnsi"/>
        </w:rPr>
        <w:t xml:space="preserve">Internet accounts are personal and must not be used by anyone other than the person issued with the account.  Town of East Fremantle personnel will be held responsible for all activities and the viewing of material originating from their account.  Sharing of Internet access privileges is not permitted. </w:t>
      </w:r>
    </w:p>
    <w:p w14:paraId="0CEE52EF" w14:textId="77777777" w:rsidR="007163B0" w:rsidRPr="007163B0" w:rsidRDefault="007163B0" w:rsidP="00FE1D12">
      <w:pPr>
        <w:spacing w:before="200"/>
        <w:ind w:left="426"/>
        <w:jc w:val="both"/>
        <w:rPr>
          <w:rFonts w:cstheme="minorHAnsi"/>
        </w:rPr>
      </w:pPr>
      <w:r w:rsidRPr="007163B0">
        <w:rPr>
          <w:rFonts w:cstheme="minorHAnsi"/>
        </w:rPr>
        <w:t>Town of East Fremantle personnel must log-off their computer when leaving it unattended or lock the screen to prevent unauthorised use of the logon and the computer.</w:t>
      </w:r>
    </w:p>
    <w:p w14:paraId="2DF04EE7" w14:textId="77777777" w:rsidR="007163B0" w:rsidRPr="00FE1D12" w:rsidRDefault="00E3607C" w:rsidP="00E3607C">
      <w:pPr>
        <w:spacing w:after="0"/>
        <w:ind w:left="425" w:hanging="425"/>
      </w:pPr>
      <w:r>
        <w:t>6.</w:t>
      </w:r>
      <w:r>
        <w:tab/>
      </w:r>
      <w:r w:rsidR="007163B0" w:rsidRPr="00FE1D12">
        <w:t xml:space="preserve">SENDING INFORMATION </w:t>
      </w:r>
    </w:p>
    <w:p w14:paraId="770FB09B" w14:textId="77777777" w:rsidR="007163B0" w:rsidRPr="007163B0" w:rsidRDefault="007163B0" w:rsidP="00FE1D12">
      <w:pPr>
        <w:spacing w:after="0" w:line="240" w:lineRule="auto"/>
        <w:ind w:left="426"/>
        <w:jc w:val="both"/>
        <w:rPr>
          <w:rFonts w:cstheme="minorHAnsi"/>
        </w:rPr>
      </w:pPr>
      <w:r w:rsidRPr="007163B0">
        <w:rPr>
          <w:rFonts w:cstheme="minorHAnsi"/>
        </w:rPr>
        <w:t>Town of East Fremantle personnel must ensure before they transmit information, via the Internet, that they have the proper authority to do so.</w:t>
      </w:r>
    </w:p>
    <w:p w14:paraId="2FF72F75" w14:textId="77777777" w:rsidR="007163B0" w:rsidRPr="007163B0" w:rsidRDefault="00E3607C" w:rsidP="00E3607C">
      <w:pPr>
        <w:spacing w:before="200" w:after="0"/>
        <w:ind w:left="426" w:hanging="426"/>
      </w:pPr>
      <w:r>
        <w:t>7.</w:t>
      </w:r>
      <w:r>
        <w:tab/>
      </w:r>
      <w:r w:rsidR="007163B0" w:rsidRPr="00FE1D12">
        <w:t>RECORD AND NON-RECORD INTERNET INFORMATION</w:t>
      </w:r>
    </w:p>
    <w:p w14:paraId="38E46CCD" w14:textId="77777777" w:rsidR="007163B0" w:rsidRPr="007163B0" w:rsidRDefault="007163B0" w:rsidP="00FE1D12">
      <w:pPr>
        <w:tabs>
          <w:tab w:val="num" w:pos="2835"/>
        </w:tabs>
        <w:spacing w:after="60"/>
        <w:ind w:left="425"/>
        <w:jc w:val="both"/>
        <w:rPr>
          <w:rFonts w:cstheme="minorHAnsi"/>
        </w:rPr>
      </w:pPr>
      <w:r w:rsidRPr="007163B0">
        <w:rPr>
          <w:rFonts w:cstheme="minorHAnsi"/>
        </w:rPr>
        <w:t>The following should be registered in Synergy and stored as official Town of East Fremantle records:</w:t>
      </w:r>
    </w:p>
    <w:p w14:paraId="2E2ED163" w14:textId="77777777" w:rsidR="007163B0" w:rsidRPr="007163B0" w:rsidRDefault="007163B0" w:rsidP="002A3889">
      <w:pPr>
        <w:numPr>
          <w:ilvl w:val="0"/>
          <w:numId w:val="64"/>
        </w:numPr>
        <w:spacing w:before="60" w:after="0" w:line="240" w:lineRule="auto"/>
        <w:ind w:left="850" w:hanging="425"/>
        <w:jc w:val="both"/>
        <w:rPr>
          <w:rFonts w:cstheme="minorHAnsi"/>
        </w:rPr>
      </w:pPr>
      <w:r w:rsidRPr="007163B0">
        <w:rPr>
          <w:rFonts w:cstheme="minorHAnsi"/>
        </w:rPr>
        <w:t xml:space="preserve">Internet correspondence which contains information relevant to </w:t>
      </w:r>
      <w:proofErr w:type="gramStart"/>
      <w:r w:rsidRPr="007163B0">
        <w:rPr>
          <w:rFonts w:cstheme="minorHAnsi"/>
        </w:rPr>
        <w:t>making a decision</w:t>
      </w:r>
      <w:proofErr w:type="gramEnd"/>
      <w:r w:rsidRPr="007163B0">
        <w:rPr>
          <w:rFonts w:cstheme="minorHAnsi"/>
        </w:rPr>
        <w:t xml:space="preserve"> within or concerning the Town of East Fremantle.</w:t>
      </w:r>
    </w:p>
    <w:p w14:paraId="55237F6E" w14:textId="77777777" w:rsidR="007163B0" w:rsidRPr="007163B0" w:rsidRDefault="007163B0" w:rsidP="002A3889">
      <w:pPr>
        <w:numPr>
          <w:ilvl w:val="0"/>
          <w:numId w:val="64"/>
        </w:numPr>
        <w:spacing w:before="60" w:after="0" w:line="240" w:lineRule="auto"/>
        <w:ind w:left="850" w:hanging="425"/>
        <w:jc w:val="both"/>
        <w:rPr>
          <w:rFonts w:cstheme="minorHAnsi"/>
        </w:rPr>
      </w:pPr>
      <w:r w:rsidRPr="007163B0">
        <w:rPr>
          <w:rFonts w:cstheme="minorHAnsi"/>
        </w:rPr>
        <w:t>Internet correspondence conveying information which has the potential to affect business decisions within or concerning the Town of East Fremantle.</w:t>
      </w:r>
    </w:p>
    <w:p w14:paraId="4DDC8F34" w14:textId="77777777" w:rsidR="007163B0" w:rsidRPr="007163B0" w:rsidRDefault="007163B0" w:rsidP="002A3889">
      <w:pPr>
        <w:numPr>
          <w:ilvl w:val="0"/>
          <w:numId w:val="64"/>
        </w:numPr>
        <w:spacing w:before="60" w:after="0" w:line="240" w:lineRule="auto"/>
        <w:ind w:left="850" w:hanging="425"/>
        <w:jc w:val="both"/>
        <w:rPr>
          <w:rFonts w:cstheme="minorHAnsi"/>
        </w:rPr>
      </w:pPr>
      <w:r w:rsidRPr="007163B0">
        <w:rPr>
          <w:rFonts w:cstheme="minorHAnsi"/>
        </w:rPr>
        <w:t>Internet correspondence which commits the Town of East Fremantle to certain courses of action, allocation of resources or provision of services.</w:t>
      </w:r>
    </w:p>
    <w:p w14:paraId="216E9B7A" w14:textId="77777777" w:rsidR="007163B0" w:rsidRPr="007163B0" w:rsidRDefault="007163B0" w:rsidP="002A3889">
      <w:pPr>
        <w:numPr>
          <w:ilvl w:val="0"/>
          <w:numId w:val="64"/>
        </w:numPr>
        <w:spacing w:before="60" w:after="0" w:line="240" w:lineRule="auto"/>
        <w:ind w:left="850" w:hanging="425"/>
        <w:jc w:val="both"/>
        <w:rPr>
          <w:rFonts w:cstheme="minorHAnsi"/>
        </w:rPr>
      </w:pPr>
      <w:r w:rsidRPr="007163B0">
        <w:rPr>
          <w:rFonts w:cstheme="minorHAnsi"/>
        </w:rPr>
        <w:t>Internet correspondence which contains information with historical value or data which may be required in the future.</w:t>
      </w:r>
    </w:p>
    <w:p w14:paraId="2B4F6C24" w14:textId="77777777" w:rsidR="007163B0" w:rsidRPr="00FE1D12" w:rsidRDefault="00E3607C" w:rsidP="00E3607C">
      <w:pPr>
        <w:spacing w:before="200" w:after="0"/>
        <w:ind w:left="426" w:hanging="426"/>
      </w:pPr>
      <w:r>
        <w:lastRenderedPageBreak/>
        <w:t>8.</w:t>
      </w:r>
      <w:r>
        <w:tab/>
      </w:r>
      <w:r w:rsidR="007163B0" w:rsidRPr="00FE1D12">
        <w:t>BACKUP</w:t>
      </w:r>
    </w:p>
    <w:p w14:paraId="20F46C3C" w14:textId="77777777" w:rsidR="007163B0" w:rsidRPr="007163B0" w:rsidRDefault="007163B0" w:rsidP="00FE1D12">
      <w:pPr>
        <w:pStyle w:val="BodyText2"/>
        <w:spacing w:line="240" w:lineRule="auto"/>
        <w:ind w:left="425"/>
        <w:jc w:val="both"/>
        <w:rPr>
          <w:rFonts w:cstheme="minorHAnsi"/>
          <w:lang w:val="en-US"/>
        </w:rPr>
      </w:pPr>
      <w:r w:rsidRPr="007163B0">
        <w:rPr>
          <w:rFonts w:cstheme="minorHAnsi"/>
          <w:lang w:val="en-US"/>
        </w:rPr>
        <w:t xml:space="preserve">The Town of East Fremantle will </w:t>
      </w:r>
      <w:proofErr w:type="spellStart"/>
      <w:r w:rsidRPr="007163B0">
        <w:rPr>
          <w:rFonts w:cstheme="minorHAnsi"/>
          <w:lang w:val="en-US"/>
        </w:rPr>
        <w:t>backup</w:t>
      </w:r>
      <w:proofErr w:type="spellEnd"/>
      <w:r w:rsidRPr="007163B0">
        <w:rPr>
          <w:rFonts w:cstheme="minorHAnsi"/>
          <w:lang w:val="en-US"/>
        </w:rPr>
        <w:t xml:space="preserve"> all network server electronic transactions for business continuation purposes only.  </w:t>
      </w:r>
    </w:p>
    <w:p w14:paraId="5BE8F464" w14:textId="77777777" w:rsidR="007163B0" w:rsidRPr="009B72F2" w:rsidRDefault="007163B0" w:rsidP="00FE1D12">
      <w:pPr>
        <w:spacing w:before="200"/>
        <w:ind w:left="426"/>
        <w:jc w:val="both"/>
        <w:rPr>
          <w:rFonts w:ascii="Arial" w:hAnsi="Arial" w:cs="Arial"/>
        </w:rPr>
      </w:pPr>
      <w:r w:rsidRPr="007163B0">
        <w:rPr>
          <w:rFonts w:cstheme="minorHAnsi"/>
        </w:rPr>
        <w:t xml:space="preserve">It is the responsibility of the individual users to </w:t>
      </w:r>
      <w:proofErr w:type="spellStart"/>
      <w:r w:rsidRPr="007163B0">
        <w:rPr>
          <w:rFonts w:cstheme="minorHAnsi"/>
        </w:rPr>
        <w:t>backup</w:t>
      </w:r>
      <w:proofErr w:type="spellEnd"/>
      <w:r w:rsidRPr="007163B0">
        <w:rPr>
          <w:rFonts w:cstheme="minorHAnsi"/>
        </w:rPr>
        <w:t xml:space="preserve"> their own critical information saved in local drives, USBs or other media (hard copy).  </w:t>
      </w:r>
      <w:r w:rsidRPr="009B72F2">
        <w:rPr>
          <w:rFonts w:ascii="Arial" w:hAnsi="Arial" w:cs="Arial"/>
        </w:rPr>
        <w:t xml:space="preserve"> </w:t>
      </w:r>
    </w:p>
    <w:p w14:paraId="12F47BD2" w14:textId="77777777" w:rsidR="007163B0" w:rsidRDefault="007163B0" w:rsidP="002A3889">
      <w:pPr>
        <w:pStyle w:val="Heading7"/>
        <w:keepLines w:val="0"/>
        <w:numPr>
          <w:ilvl w:val="0"/>
          <w:numId w:val="63"/>
        </w:numPr>
        <w:tabs>
          <w:tab w:val="left" w:pos="567"/>
        </w:tabs>
        <w:spacing w:before="200" w:line="240" w:lineRule="auto"/>
        <w:jc w:val="both"/>
        <w:rPr>
          <w:rFonts w:ascii="Arial" w:hAnsi="Arial" w:cs="Arial"/>
          <w:i w:val="0"/>
        </w:rPr>
        <w:sectPr w:rsidR="007163B0" w:rsidSect="00E9055C">
          <w:pgSz w:w="11906" w:h="16838"/>
          <w:pgMar w:top="1021" w:right="1416" w:bottom="1440" w:left="1440" w:header="709" w:footer="709" w:gutter="0"/>
          <w:pgNumType w:start="1"/>
          <w:cols w:space="708"/>
          <w:docGrid w:linePitch="360"/>
        </w:sectPr>
      </w:pPr>
      <w:bookmarkStart w:id="416" w:name="_Toc447890468"/>
    </w:p>
    <w:p w14:paraId="483ED273" w14:textId="77777777" w:rsidR="007163B0" w:rsidRPr="004A59FD" w:rsidRDefault="007163B0" w:rsidP="002A3889">
      <w:pPr>
        <w:pStyle w:val="Heading7"/>
        <w:keepLines w:val="0"/>
        <w:numPr>
          <w:ilvl w:val="0"/>
          <w:numId w:val="63"/>
        </w:numPr>
        <w:tabs>
          <w:tab w:val="left" w:pos="567"/>
        </w:tabs>
        <w:spacing w:before="200" w:line="240" w:lineRule="auto"/>
        <w:jc w:val="both"/>
        <w:rPr>
          <w:rFonts w:asciiTheme="minorHAnsi" w:hAnsiTheme="minorHAnsi" w:cstheme="minorHAnsi"/>
          <w:i w:val="0"/>
        </w:rPr>
      </w:pPr>
      <w:r w:rsidRPr="004A59FD">
        <w:rPr>
          <w:rFonts w:asciiTheme="minorHAnsi" w:hAnsiTheme="minorHAnsi" w:cstheme="minorHAnsi"/>
          <w:i w:val="0"/>
          <w:color w:val="auto"/>
        </w:rPr>
        <w:lastRenderedPageBreak/>
        <w:t>GENERAL TECHNICAL THREATS AND COUNTER MEASURES</w:t>
      </w:r>
    </w:p>
    <w:p w14:paraId="2D1C513B" w14:textId="77777777" w:rsidR="007163B0" w:rsidRDefault="007163B0" w:rsidP="007163B0">
      <w:pPr>
        <w:spacing w:before="200"/>
        <w:rPr>
          <w:rFonts w:ascii="Arial" w:hAnsi="Arial" w:cs="Arial"/>
          <w:b/>
          <w:sz w:val="24"/>
          <w:szCs w:val="24"/>
        </w:rPr>
      </w:pPr>
      <w:r w:rsidRPr="00CD4F70">
        <w:rPr>
          <w:rFonts w:ascii="Arial" w:hAnsi="Arial" w:cs="Arial"/>
          <w:b/>
          <w:noProof/>
          <w:sz w:val="24"/>
          <w:szCs w:val="24"/>
          <w:lang w:eastAsia="en-AU"/>
        </w:rPr>
        <w:drawing>
          <wp:inline distT="0" distB="0" distL="0" distR="0" wp14:anchorId="6197BC94" wp14:editId="152A75DA">
            <wp:extent cx="7437242" cy="52101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extLst>
                        <a:ext uri="{28A0092B-C50C-407E-A947-70E740481C1C}">
                          <a14:useLocalDpi xmlns:a14="http://schemas.microsoft.com/office/drawing/2010/main" val="0"/>
                        </a:ext>
                      </a:extLst>
                    </a:blip>
                    <a:srcRect l="626" r="766" b="1174"/>
                    <a:stretch/>
                  </pic:blipFill>
                  <pic:spPr bwMode="auto">
                    <a:xfrm>
                      <a:off x="0" y="0"/>
                      <a:ext cx="7443929" cy="5214860"/>
                    </a:xfrm>
                    <a:prstGeom prst="rect">
                      <a:avLst/>
                    </a:prstGeom>
                    <a:noFill/>
                    <a:ln>
                      <a:noFill/>
                    </a:ln>
                    <a:extLst>
                      <a:ext uri="{53640926-AAD7-44D8-BBD7-CCE9431645EC}">
                        <a14:shadowObscured xmlns:a14="http://schemas.microsoft.com/office/drawing/2010/main"/>
                      </a:ext>
                    </a:extLst>
                  </pic:spPr>
                </pic:pic>
              </a:graphicData>
            </a:graphic>
          </wp:inline>
        </w:drawing>
      </w:r>
    </w:p>
    <w:p w14:paraId="32651AE7" w14:textId="77777777" w:rsidR="007163B0" w:rsidRDefault="007163B0" w:rsidP="007163B0">
      <w:pPr>
        <w:spacing w:before="200"/>
        <w:rPr>
          <w:rFonts w:ascii="Arial" w:hAnsi="Arial" w:cs="Arial"/>
          <w:b/>
          <w:sz w:val="24"/>
          <w:szCs w:val="24"/>
        </w:rPr>
        <w:sectPr w:rsidR="007163B0" w:rsidSect="007479BF">
          <w:pgSz w:w="16838" w:h="11906" w:orient="landscape"/>
          <w:pgMar w:top="1440" w:right="1021" w:bottom="1440" w:left="1440" w:header="709" w:footer="709" w:gutter="0"/>
          <w:cols w:space="708"/>
          <w:docGrid w:linePitch="360"/>
        </w:sectPr>
      </w:pPr>
    </w:p>
    <w:p w14:paraId="6BC5DAEB" w14:textId="3D67556B" w:rsidR="007163B0" w:rsidRPr="007479BF" w:rsidRDefault="007163B0" w:rsidP="007479BF">
      <w:pPr>
        <w:spacing w:before="200" w:after="60"/>
        <w:rPr>
          <w:rFonts w:cstheme="minorHAnsi"/>
          <w:b/>
          <w:u w:val="single"/>
        </w:rPr>
      </w:pPr>
      <w:r w:rsidRPr="007479BF">
        <w:rPr>
          <w:rFonts w:cstheme="minorHAnsi"/>
          <w:b/>
          <w:u w:val="single"/>
        </w:rPr>
        <w:lastRenderedPageBreak/>
        <w:t>Electronic Mail Procedure</w:t>
      </w:r>
      <w:bookmarkEnd w:id="416"/>
    </w:p>
    <w:p w14:paraId="206C62C2" w14:textId="77777777" w:rsidR="007163B0" w:rsidRPr="007479BF" w:rsidRDefault="007479BF" w:rsidP="007479BF">
      <w:pPr>
        <w:spacing w:after="0"/>
        <w:rPr>
          <w:rFonts w:cstheme="minorHAnsi"/>
          <w:b/>
        </w:rPr>
      </w:pPr>
      <w:r w:rsidRPr="007479BF">
        <w:rPr>
          <w:rFonts w:cstheme="minorHAnsi"/>
          <w:b/>
        </w:rPr>
        <w:t>Statement</w:t>
      </w:r>
    </w:p>
    <w:p w14:paraId="791569D7" w14:textId="77777777" w:rsidR="007163B0" w:rsidRPr="007163B0" w:rsidRDefault="007163B0" w:rsidP="007479BF">
      <w:pPr>
        <w:pStyle w:val="BodyText"/>
        <w:ind w:left="0"/>
        <w:jc w:val="both"/>
        <w:rPr>
          <w:rFonts w:asciiTheme="minorHAnsi" w:hAnsiTheme="minorHAnsi" w:cstheme="minorHAnsi"/>
          <w:szCs w:val="22"/>
        </w:rPr>
      </w:pPr>
      <w:r w:rsidRPr="007163B0">
        <w:rPr>
          <w:rFonts w:asciiTheme="minorHAnsi" w:hAnsiTheme="minorHAnsi" w:cstheme="minorHAnsi"/>
          <w:szCs w:val="22"/>
        </w:rPr>
        <w:t>Electronic mail (</w:t>
      </w:r>
      <w:r w:rsidR="002D138F">
        <w:rPr>
          <w:rFonts w:asciiTheme="minorHAnsi" w:hAnsiTheme="minorHAnsi" w:cstheme="minorHAnsi"/>
          <w:szCs w:val="22"/>
        </w:rPr>
        <w:t>email</w:t>
      </w:r>
      <w:r w:rsidRPr="007163B0">
        <w:rPr>
          <w:rFonts w:asciiTheme="minorHAnsi" w:hAnsiTheme="minorHAnsi" w:cstheme="minorHAnsi"/>
          <w:szCs w:val="22"/>
        </w:rPr>
        <w:t xml:space="preserve">) will be used in a lawful manner that is consistent with the Town of East Fremantle standards of business conduct and as part of the normal execution of a person’s job responsibilities. </w:t>
      </w:r>
    </w:p>
    <w:p w14:paraId="458A543E" w14:textId="77777777" w:rsidR="007163B0" w:rsidRPr="007163B0" w:rsidRDefault="007163B0" w:rsidP="007479BF">
      <w:pPr>
        <w:spacing w:before="200" w:after="0"/>
        <w:rPr>
          <w:rFonts w:cstheme="minorHAnsi"/>
          <w:b/>
        </w:rPr>
      </w:pPr>
      <w:r w:rsidRPr="007163B0">
        <w:rPr>
          <w:rFonts w:cstheme="minorHAnsi"/>
          <w:b/>
        </w:rPr>
        <w:t xml:space="preserve">Aim </w:t>
      </w:r>
    </w:p>
    <w:p w14:paraId="66CEA12B" w14:textId="77777777" w:rsidR="007163B0" w:rsidRPr="007163B0" w:rsidRDefault="002D138F" w:rsidP="007479BF">
      <w:pPr>
        <w:jc w:val="both"/>
        <w:rPr>
          <w:rFonts w:cstheme="minorHAnsi"/>
        </w:rPr>
      </w:pPr>
      <w:r>
        <w:rPr>
          <w:rFonts w:cstheme="minorHAnsi"/>
        </w:rPr>
        <w:t>Email</w:t>
      </w:r>
      <w:r w:rsidR="007163B0" w:rsidRPr="007163B0">
        <w:rPr>
          <w:rFonts w:cstheme="minorHAnsi"/>
        </w:rPr>
        <w:t xml:space="preserve"> has evolved to become the primary business communication tool within Town of East Fremantle.  </w:t>
      </w:r>
      <w:proofErr w:type="gramStart"/>
      <w:r w:rsidR="007163B0" w:rsidRPr="007163B0">
        <w:rPr>
          <w:rFonts w:cstheme="minorHAnsi"/>
        </w:rPr>
        <w:t>To a large extent it is</w:t>
      </w:r>
      <w:proofErr w:type="gramEnd"/>
      <w:r w:rsidR="007163B0" w:rsidRPr="007163B0">
        <w:rPr>
          <w:rFonts w:cstheme="minorHAnsi"/>
        </w:rPr>
        <w:t xml:space="preserve"> replacing internal memos and phone calls.  With the use of </w:t>
      </w:r>
      <w:r>
        <w:rPr>
          <w:rFonts w:cstheme="minorHAnsi"/>
        </w:rPr>
        <w:t>email</w:t>
      </w:r>
      <w:r w:rsidR="007163B0" w:rsidRPr="007163B0">
        <w:rPr>
          <w:rFonts w:cstheme="minorHAnsi"/>
        </w:rPr>
        <w:t xml:space="preserve">, Town of East Fremantle personnel send key information to each other and at the same time to all interested parties. The speed of response and the 'informal' nature of the medium result in </w:t>
      </w:r>
      <w:proofErr w:type="gramStart"/>
      <w:r w:rsidR="007163B0" w:rsidRPr="007163B0">
        <w:rPr>
          <w:rFonts w:cstheme="minorHAnsi"/>
        </w:rPr>
        <w:t>fairly rapid</w:t>
      </w:r>
      <w:proofErr w:type="gramEnd"/>
      <w:r w:rsidR="007163B0" w:rsidRPr="007163B0">
        <w:rPr>
          <w:rFonts w:cstheme="minorHAnsi"/>
        </w:rPr>
        <w:t xml:space="preserve"> decisions being facilitated.  </w:t>
      </w:r>
      <w:r>
        <w:rPr>
          <w:rFonts w:cstheme="minorHAnsi"/>
        </w:rPr>
        <w:t>Email</w:t>
      </w:r>
      <w:r w:rsidR="007163B0" w:rsidRPr="007163B0">
        <w:rPr>
          <w:rFonts w:cstheme="minorHAnsi"/>
        </w:rPr>
        <w:t xml:space="preserve"> is one of the most effective and efficient means of communication within an organisation and with clients or other agencies.  Messages are easy to send and mass distribution is almost instantaneous.  Importantly, </w:t>
      </w:r>
      <w:r>
        <w:rPr>
          <w:rFonts w:cstheme="minorHAnsi"/>
        </w:rPr>
        <w:t>email</w:t>
      </w:r>
      <w:r w:rsidR="007163B0" w:rsidRPr="007163B0">
        <w:rPr>
          <w:rFonts w:cstheme="minorHAnsi"/>
        </w:rPr>
        <w:t xml:space="preserve"> and documents deserve the same level of management that is given to all other forms of business records. </w:t>
      </w:r>
    </w:p>
    <w:p w14:paraId="2009D5E0" w14:textId="77777777" w:rsidR="007163B0" w:rsidRPr="007163B0" w:rsidRDefault="007163B0" w:rsidP="007163B0">
      <w:pPr>
        <w:spacing w:before="200"/>
        <w:jc w:val="both"/>
        <w:rPr>
          <w:rFonts w:cstheme="minorHAnsi"/>
        </w:rPr>
      </w:pPr>
      <w:r w:rsidRPr="007163B0">
        <w:rPr>
          <w:rFonts w:cstheme="minorHAnsi"/>
        </w:rPr>
        <w:t xml:space="preserve">The aim of this document is to outline the procedures and practices to be </w:t>
      </w:r>
      <w:proofErr w:type="gramStart"/>
      <w:r w:rsidRPr="007163B0">
        <w:rPr>
          <w:rFonts w:cstheme="minorHAnsi"/>
        </w:rPr>
        <w:t>employed at all times</w:t>
      </w:r>
      <w:proofErr w:type="gramEnd"/>
      <w:r w:rsidRPr="007163B0">
        <w:rPr>
          <w:rFonts w:cstheme="minorHAnsi"/>
        </w:rPr>
        <w:t xml:space="preserve"> when using </w:t>
      </w:r>
      <w:r w:rsidR="002D138F">
        <w:rPr>
          <w:rFonts w:cstheme="minorHAnsi"/>
        </w:rPr>
        <w:t>email</w:t>
      </w:r>
      <w:r w:rsidRPr="007163B0">
        <w:rPr>
          <w:rFonts w:cstheme="minorHAnsi"/>
        </w:rPr>
        <w:t xml:space="preserve"> in the Town of East Fremantle workplace.  In doing so, the document specifically draws attention to the Equal Employment Opportunity (EEO) legislation which has a direct impact on the use of </w:t>
      </w:r>
      <w:r w:rsidR="002D138F">
        <w:rPr>
          <w:rFonts w:cstheme="minorHAnsi"/>
        </w:rPr>
        <w:t>email</w:t>
      </w:r>
      <w:r w:rsidRPr="007163B0">
        <w:rPr>
          <w:rFonts w:cstheme="minorHAnsi"/>
        </w:rPr>
        <w:t>.</w:t>
      </w:r>
    </w:p>
    <w:p w14:paraId="345EB164" w14:textId="77777777" w:rsidR="007163B0" w:rsidRPr="007163B0" w:rsidRDefault="007163B0" w:rsidP="007163B0">
      <w:pPr>
        <w:tabs>
          <w:tab w:val="num" w:pos="600"/>
        </w:tabs>
        <w:spacing w:before="200"/>
        <w:jc w:val="both"/>
        <w:rPr>
          <w:rFonts w:cstheme="minorHAnsi"/>
        </w:rPr>
      </w:pPr>
      <w:r w:rsidRPr="007163B0">
        <w:rPr>
          <w:rFonts w:cstheme="minorHAnsi"/>
        </w:rPr>
        <w:t xml:space="preserve">The procedure also provides for stored electronic messages derived from Town of East Fremantle’s business transactions to be regarded as official records and, as such, professionally managed.  In establishing that electronic messages are records, procedures are defined covering the requirement to retain electronic messages in record keeping systems for as long as required under the terms of the </w:t>
      </w:r>
      <w:r w:rsidRPr="007163B0">
        <w:rPr>
          <w:rFonts w:cstheme="minorHAnsi"/>
          <w:i/>
          <w:iCs/>
        </w:rPr>
        <w:t xml:space="preserve">State Records Act 2000.  </w:t>
      </w:r>
    </w:p>
    <w:p w14:paraId="2FC819F4" w14:textId="77777777" w:rsidR="007163B0" w:rsidRPr="007163B0" w:rsidRDefault="007163B0" w:rsidP="002D138F">
      <w:pPr>
        <w:spacing w:before="200" w:after="60"/>
        <w:rPr>
          <w:rFonts w:cstheme="minorHAnsi"/>
          <w:b/>
        </w:rPr>
      </w:pPr>
      <w:r w:rsidRPr="007163B0">
        <w:rPr>
          <w:rFonts w:cstheme="minorHAnsi"/>
          <w:b/>
        </w:rPr>
        <w:t>Procedure</w:t>
      </w:r>
    </w:p>
    <w:p w14:paraId="2A986A34" w14:textId="77777777" w:rsidR="007163B0" w:rsidRPr="007479BF" w:rsidRDefault="007479BF" w:rsidP="002D138F">
      <w:pPr>
        <w:tabs>
          <w:tab w:val="left" w:pos="567"/>
        </w:tabs>
        <w:spacing w:before="60" w:after="0"/>
        <w:ind w:left="425" w:hanging="425"/>
        <w:jc w:val="both"/>
        <w:rPr>
          <w:rFonts w:cstheme="minorHAnsi"/>
        </w:rPr>
      </w:pPr>
      <w:r>
        <w:rPr>
          <w:rFonts w:cstheme="minorHAnsi"/>
        </w:rPr>
        <w:t>1.</w:t>
      </w:r>
      <w:r>
        <w:rPr>
          <w:rFonts w:cstheme="minorHAnsi"/>
        </w:rPr>
        <w:tab/>
        <w:t>AUTHORISATION TO USE E</w:t>
      </w:r>
      <w:r w:rsidR="007163B0" w:rsidRPr="007479BF">
        <w:rPr>
          <w:rFonts w:cstheme="minorHAnsi"/>
        </w:rPr>
        <w:t>MAIL</w:t>
      </w:r>
    </w:p>
    <w:p w14:paraId="342F0816" w14:textId="77777777" w:rsidR="007163B0" w:rsidRPr="007163B0" w:rsidRDefault="007163B0" w:rsidP="007479BF">
      <w:pPr>
        <w:ind w:left="426"/>
        <w:jc w:val="both"/>
        <w:rPr>
          <w:rFonts w:cstheme="minorHAnsi"/>
        </w:rPr>
      </w:pPr>
      <w:r w:rsidRPr="007163B0">
        <w:rPr>
          <w:rFonts w:cstheme="minorHAnsi"/>
        </w:rPr>
        <w:t xml:space="preserve">Town of East Fremantle personnel are </w:t>
      </w:r>
      <w:r w:rsidR="007479BF">
        <w:rPr>
          <w:rFonts w:cstheme="minorHAnsi"/>
        </w:rPr>
        <w:t>provided authorisation to use e</w:t>
      </w:r>
      <w:r w:rsidRPr="007163B0">
        <w:rPr>
          <w:rFonts w:cstheme="minorHAnsi"/>
        </w:rPr>
        <w:t xml:space="preserve">mail via their User Profile set up through Focus Networks. </w:t>
      </w:r>
    </w:p>
    <w:p w14:paraId="0B55FA81" w14:textId="77777777" w:rsidR="007163B0" w:rsidRPr="007163B0" w:rsidRDefault="007163B0" w:rsidP="007479BF">
      <w:pPr>
        <w:pStyle w:val="BodyText"/>
        <w:spacing w:before="200"/>
        <w:ind w:left="426"/>
        <w:rPr>
          <w:rFonts w:asciiTheme="minorHAnsi" w:hAnsiTheme="minorHAnsi" w:cstheme="minorHAnsi"/>
          <w:szCs w:val="22"/>
        </w:rPr>
      </w:pPr>
      <w:r w:rsidRPr="007163B0">
        <w:rPr>
          <w:rFonts w:asciiTheme="minorHAnsi" w:hAnsiTheme="minorHAnsi" w:cstheme="minorHAnsi"/>
          <w:szCs w:val="22"/>
        </w:rPr>
        <w:t xml:space="preserve">It is not permissible to use an account held by another Town of East Fremantle person. </w:t>
      </w:r>
    </w:p>
    <w:p w14:paraId="7C77D76A" w14:textId="77777777" w:rsidR="007163B0" w:rsidRPr="007163B0" w:rsidRDefault="007479BF" w:rsidP="007479BF">
      <w:pPr>
        <w:spacing w:before="200"/>
        <w:ind w:left="426"/>
        <w:jc w:val="both"/>
        <w:rPr>
          <w:rFonts w:cstheme="minorHAnsi"/>
        </w:rPr>
      </w:pPr>
      <w:r>
        <w:rPr>
          <w:rFonts w:cstheme="minorHAnsi"/>
        </w:rPr>
        <w:t>All e</w:t>
      </w:r>
      <w:r w:rsidR="007163B0" w:rsidRPr="007163B0">
        <w:rPr>
          <w:rFonts w:cstheme="minorHAnsi"/>
        </w:rPr>
        <w:t xml:space="preserve">mail (logon) accounts are owned by Town </w:t>
      </w:r>
      <w:r>
        <w:rPr>
          <w:rFonts w:cstheme="minorHAnsi"/>
        </w:rPr>
        <w:t>of East Fremantle, therefore, e</w:t>
      </w:r>
      <w:r w:rsidR="007163B0" w:rsidRPr="007163B0">
        <w:rPr>
          <w:rFonts w:cstheme="minorHAnsi"/>
        </w:rPr>
        <w:t xml:space="preserve">mail sent or received is not considered personal under any circumstances.  All accounts issued by Town of East Fremantle and the information in the accounts </w:t>
      </w:r>
      <w:proofErr w:type="gramStart"/>
      <w:r w:rsidR="007163B0" w:rsidRPr="007163B0">
        <w:rPr>
          <w:rFonts w:cstheme="minorHAnsi"/>
        </w:rPr>
        <w:t>remain the property of Town of East Fremantle at all times</w:t>
      </w:r>
      <w:proofErr w:type="gramEnd"/>
      <w:r w:rsidR="007163B0" w:rsidRPr="007163B0">
        <w:rPr>
          <w:rFonts w:cstheme="minorHAnsi"/>
        </w:rPr>
        <w:t>.</w:t>
      </w:r>
    </w:p>
    <w:p w14:paraId="1C8FF253" w14:textId="77777777" w:rsidR="007163B0" w:rsidRPr="007479BF" w:rsidRDefault="007163B0" w:rsidP="007479BF">
      <w:pPr>
        <w:spacing w:before="200" w:after="60"/>
        <w:ind w:left="426" w:hanging="471"/>
        <w:jc w:val="both"/>
        <w:rPr>
          <w:rFonts w:cstheme="minorHAnsi"/>
        </w:rPr>
      </w:pPr>
      <w:r w:rsidRPr="007479BF">
        <w:rPr>
          <w:rFonts w:cstheme="minorHAnsi"/>
        </w:rPr>
        <w:t>2.</w:t>
      </w:r>
      <w:r w:rsidRPr="007479BF">
        <w:rPr>
          <w:rFonts w:cstheme="minorHAnsi"/>
        </w:rPr>
        <w:tab/>
        <w:t>EMAIL SECURITY</w:t>
      </w:r>
    </w:p>
    <w:p w14:paraId="59501485" w14:textId="77777777" w:rsidR="007163B0" w:rsidRPr="007163B0" w:rsidRDefault="007163B0" w:rsidP="002A3889">
      <w:pPr>
        <w:numPr>
          <w:ilvl w:val="1"/>
          <w:numId w:val="65"/>
        </w:numPr>
        <w:tabs>
          <w:tab w:val="clear" w:pos="3240"/>
        </w:tabs>
        <w:spacing w:after="0" w:line="240" w:lineRule="auto"/>
        <w:ind w:left="851" w:hanging="425"/>
        <w:jc w:val="both"/>
        <w:rPr>
          <w:rFonts w:cstheme="minorHAnsi"/>
        </w:rPr>
      </w:pPr>
      <w:r w:rsidRPr="007163B0">
        <w:rPr>
          <w:rFonts w:cstheme="minorHAnsi"/>
        </w:rPr>
        <w:t>Town of East Fremantle security is maintained by use of a firewall, a dedicated machine that controls the flow of traffic through a gateway to the rest of the Internet (the</w:t>
      </w:r>
      <w:r w:rsidR="007479BF">
        <w:rPr>
          <w:rFonts w:cstheme="minorHAnsi"/>
        </w:rPr>
        <w:t xml:space="preserve"> Internet is used to transmit e</w:t>
      </w:r>
      <w:r w:rsidRPr="007163B0">
        <w:rPr>
          <w:rFonts w:cstheme="minorHAnsi"/>
        </w:rPr>
        <w:t>mail outside of Town of East Fremantle).  Unauthorised outside access from the Internet to the Town of East Fremantle internal network is not permitted.</w:t>
      </w:r>
    </w:p>
    <w:p w14:paraId="70301F42" w14:textId="77777777" w:rsidR="007163B0" w:rsidRPr="007163B0" w:rsidRDefault="007163B0" w:rsidP="007479BF">
      <w:pPr>
        <w:spacing w:before="200" w:after="0" w:line="240" w:lineRule="auto"/>
        <w:ind w:left="851" w:hanging="425"/>
        <w:jc w:val="both"/>
        <w:rPr>
          <w:rFonts w:cstheme="minorHAnsi"/>
        </w:rPr>
      </w:pPr>
      <w:r w:rsidRPr="007163B0">
        <w:rPr>
          <w:rFonts w:cstheme="minorHAnsi"/>
        </w:rPr>
        <w:t>2.2</w:t>
      </w:r>
      <w:r w:rsidRPr="007163B0">
        <w:rPr>
          <w:rFonts w:cstheme="minorHAnsi"/>
        </w:rPr>
        <w:tab/>
        <w:t>Town of East Fre</w:t>
      </w:r>
      <w:r w:rsidR="007479BF">
        <w:rPr>
          <w:rFonts w:cstheme="minorHAnsi"/>
        </w:rPr>
        <w:t>mantle may monitor the use of e</w:t>
      </w:r>
      <w:r w:rsidRPr="007163B0">
        <w:rPr>
          <w:rFonts w:cstheme="minorHAnsi"/>
        </w:rPr>
        <w:t>mail to ensure policy compliance.</w:t>
      </w:r>
    </w:p>
    <w:p w14:paraId="012C2B3B" w14:textId="77777777" w:rsidR="007163B0" w:rsidRPr="007163B0" w:rsidRDefault="007479BF" w:rsidP="007479BF">
      <w:pPr>
        <w:spacing w:before="200" w:after="0" w:line="240" w:lineRule="auto"/>
        <w:ind w:left="851" w:hanging="425"/>
        <w:jc w:val="both"/>
        <w:rPr>
          <w:rFonts w:cstheme="minorHAnsi"/>
        </w:rPr>
      </w:pPr>
      <w:r>
        <w:rPr>
          <w:rFonts w:cstheme="minorHAnsi"/>
        </w:rPr>
        <w:t>2.3</w:t>
      </w:r>
      <w:r>
        <w:rPr>
          <w:rFonts w:cstheme="minorHAnsi"/>
        </w:rPr>
        <w:tab/>
      </w:r>
      <w:r w:rsidR="007163B0" w:rsidRPr="007163B0">
        <w:rPr>
          <w:rFonts w:cstheme="minorHAnsi"/>
        </w:rPr>
        <w:t>All Town of East Frem</w:t>
      </w:r>
      <w:r>
        <w:rPr>
          <w:rFonts w:cstheme="minorHAnsi"/>
        </w:rPr>
        <w:t>antle personal computers with e</w:t>
      </w:r>
      <w:r w:rsidR="007163B0" w:rsidRPr="007163B0">
        <w:rPr>
          <w:rFonts w:cstheme="minorHAnsi"/>
        </w:rPr>
        <w:t>mail access must have virus scan and virus software update established.</w:t>
      </w:r>
    </w:p>
    <w:p w14:paraId="16831A7A" w14:textId="77777777" w:rsidR="007163B0" w:rsidRPr="007163B0" w:rsidRDefault="007479BF" w:rsidP="007479BF">
      <w:pPr>
        <w:tabs>
          <w:tab w:val="left" w:pos="1134"/>
        </w:tabs>
        <w:spacing w:before="200" w:after="0" w:line="240" w:lineRule="auto"/>
        <w:ind w:left="851" w:hanging="425"/>
        <w:jc w:val="both"/>
        <w:rPr>
          <w:rFonts w:cstheme="minorHAnsi"/>
        </w:rPr>
      </w:pPr>
      <w:r>
        <w:rPr>
          <w:rFonts w:cstheme="minorHAnsi"/>
        </w:rPr>
        <w:t>2.4</w:t>
      </w:r>
      <w:r>
        <w:rPr>
          <w:rFonts w:cstheme="minorHAnsi"/>
        </w:rPr>
        <w:tab/>
      </w:r>
      <w:r w:rsidR="007163B0" w:rsidRPr="007163B0">
        <w:rPr>
          <w:rFonts w:cstheme="minorHAnsi"/>
        </w:rPr>
        <w:t xml:space="preserve">No unauthorised software is to be downloaded using </w:t>
      </w:r>
      <w:r w:rsidR="002D138F">
        <w:rPr>
          <w:rFonts w:cstheme="minorHAnsi"/>
        </w:rPr>
        <w:t>email</w:t>
      </w:r>
      <w:r w:rsidR="007163B0" w:rsidRPr="007163B0">
        <w:rPr>
          <w:rFonts w:cstheme="minorHAnsi"/>
        </w:rPr>
        <w:t xml:space="preserve"> without the permission of the Chief Executive Officer.  Such an act may expose Town of East Fremantle to computer viruses and/or may result in Town of East Fremantle breaching copyright.</w:t>
      </w:r>
    </w:p>
    <w:p w14:paraId="3E9B7BF6" w14:textId="77777777" w:rsidR="007163B0" w:rsidRPr="007163B0" w:rsidRDefault="007479BF" w:rsidP="007479BF">
      <w:pPr>
        <w:tabs>
          <w:tab w:val="left" w:pos="1134"/>
        </w:tabs>
        <w:spacing w:before="200" w:after="0" w:line="240" w:lineRule="auto"/>
        <w:ind w:left="851" w:hanging="425"/>
        <w:jc w:val="both"/>
        <w:rPr>
          <w:rFonts w:cstheme="minorHAnsi"/>
        </w:rPr>
      </w:pPr>
      <w:r>
        <w:rPr>
          <w:rFonts w:cstheme="minorHAnsi"/>
        </w:rPr>
        <w:lastRenderedPageBreak/>
        <w:t>2.5</w:t>
      </w:r>
      <w:r>
        <w:rPr>
          <w:rFonts w:cstheme="minorHAnsi"/>
        </w:rPr>
        <w:tab/>
        <w:t>E</w:t>
      </w:r>
      <w:r w:rsidR="007163B0" w:rsidRPr="007163B0">
        <w:rPr>
          <w:rFonts w:cstheme="minorHAnsi"/>
        </w:rPr>
        <w:t>mail accounts are allocated to an individual and must not be used by anyone other than the owner.  Town of East Fremantle personnel will be held responsible for all correspondence originating from individual accounts.  Sharing of email accounts is not permitted.</w:t>
      </w:r>
    </w:p>
    <w:p w14:paraId="6DEF4FD6" w14:textId="77777777" w:rsidR="007163B0" w:rsidRPr="007163B0" w:rsidRDefault="007479BF" w:rsidP="007479BF">
      <w:pPr>
        <w:tabs>
          <w:tab w:val="left" w:pos="1134"/>
        </w:tabs>
        <w:spacing w:before="200" w:after="0" w:line="240" w:lineRule="auto"/>
        <w:ind w:left="851" w:hanging="425"/>
        <w:jc w:val="both"/>
        <w:rPr>
          <w:rFonts w:cstheme="minorHAnsi"/>
        </w:rPr>
      </w:pPr>
      <w:r>
        <w:rPr>
          <w:rFonts w:cstheme="minorHAnsi"/>
        </w:rPr>
        <w:t>2.6</w:t>
      </w:r>
      <w:r>
        <w:rPr>
          <w:rFonts w:cstheme="minorHAnsi"/>
        </w:rPr>
        <w:tab/>
      </w:r>
      <w:r w:rsidR="007163B0" w:rsidRPr="007163B0">
        <w:rPr>
          <w:rFonts w:cstheme="minorHAnsi"/>
        </w:rPr>
        <w:t>Town of East Fremantle personnel must log-off a computer when leaving it unattended or lock the screen to prevent unauthorised use of the login and the computer.</w:t>
      </w:r>
    </w:p>
    <w:p w14:paraId="10D6C792" w14:textId="77777777" w:rsidR="007163B0" w:rsidRPr="007479BF" w:rsidRDefault="007163B0" w:rsidP="007479BF">
      <w:pPr>
        <w:tabs>
          <w:tab w:val="left" w:pos="567"/>
        </w:tabs>
        <w:spacing w:before="200" w:after="0"/>
        <w:ind w:left="426" w:hanging="426"/>
        <w:jc w:val="both"/>
        <w:rPr>
          <w:rFonts w:cstheme="minorHAnsi"/>
        </w:rPr>
      </w:pPr>
      <w:r w:rsidRPr="007479BF">
        <w:rPr>
          <w:rFonts w:cstheme="minorHAnsi"/>
        </w:rPr>
        <w:t>3.</w:t>
      </w:r>
      <w:r w:rsidRPr="007479BF">
        <w:rPr>
          <w:rFonts w:cstheme="minorHAnsi"/>
        </w:rPr>
        <w:tab/>
        <w:t>RISK MANAGE YOUR EMAIL MESSAGES</w:t>
      </w:r>
    </w:p>
    <w:p w14:paraId="1AB2E536" w14:textId="77777777" w:rsidR="007163B0" w:rsidRPr="007163B0" w:rsidRDefault="007163B0" w:rsidP="007479BF">
      <w:pPr>
        <w:ind w:left="851" w:hanging="425"/>
        <w:jc w:val="both"/>
        <w:rPr>
          <w:rFonts w:cstheme="minorHAnsi"/>
        </w:rPr>
      </w:pPr>
      <w:r w:rsidRPr="007163B0">
        <w:rPr>
          <w:rFonts w:cstheme="minorHAnsi"/>
        </w:rPr>
        <w:t>3.1</w:t>
      </w:r>
      <w:r w:rsidRPr="007163B0">
        <w:rPr>
          <w:rFonts w:cstheme="minorHAnsi"/>
        </w:rPr>
        <w:tab/>
        <w:t xml:space="preserve">Unlike non-electronic communication, an </w:t>
      </w:r>
      <w:r w:rsidR="002D138F">
        <w:rPr>
          <w:rFonts w:cstheme="minorHAnsi"/>
        </w:rPr>
        <w:t>email</w:t>
      </w:r>
      <w:r w:rsidRPr="007163B0">
        <w:rPr>
          <w:rFonts w:cstheme="minorHAnsi"/>
        </w:rPr>
        <w:t xml:space="preserve"> message can be created and sent to one or many recipients </w:t>
      </w:r>
      <w:proofErr w:type="gramStart"/>
      <w:r w:rsidRPr="007163B0">
        <w:rPr>
          <w:rFonts w:cstheme="minorHAnsi"/>
        </w:rPr>
        <w:t>through the use of</w:t>
      </w:r>
      <w:proofErr w:type="gramEnd"/>
      <w:r w:rsidRPr="007163B0">
        <w:rPr>
          <w:rFonts w:cstheme="minorHAnsi"/>
        </w:rPr>
        <w:t xml:space="preserve"> a keystroke, without review or reflection.  Often such messages are sent to provide a quick reply but may result in a misunderstanding of the tonal qualities and </w:t>
      </w:r>
      <w:r w:rsidR="002D138F">
        <w:rPr>
          <w:rFonts w:cstheme="minorHAnsi"/>
        </w:rPr>
        <w:t>intent of the email.  Once an e</w:t>
      </w:r>
      <w:r w:rsidRPr="007163B0">
        <w:rPr>
          <w:rFonts w:cstheme="minorHAnsi"/>
        </w:rPr>
        <w:t>mail is sent, it is not possible to retrieve or edit the message.</w:t>
      </w:r>
    </w:p>
    <w:p w14:paraId="5C1012CB" w14:textId="77777777" w:rsidR="007163B0" w:rsidRPr="007163B0" w:rsidRDefault="007163B0" w:rsidP="007479BF">
      <w:pPr>
        <w:spacing w:before="200"/>
        <w:ind w:left="851" w:hanging="425"/>
        <w:jc w:val="both"/>
        <w:rPr>
          <w:rFonts w:cstheme="minorHAnsi"/>
        </w:rPr>
      </w:pPr>
      <w:r w:rsidRPr="007163B0">
        <w:rPr>
          <w:rFonts w:cstheme="minorHAnsi"/>
        </w:rPr>
        <w:t>3.2</w:t>
      </w:r>
      <w:r w:rsidRPr="007163B0">
        <w:rPr>
          <w:rFonts w:cstheme="minorHAnsi"/>
        </w:rPr>
        <w:tab/>
        <w:t>Distribution lists are easy to create and readily facilitate the sending of mail to many recipients.  If an out of date or incorrect mailing list is used, messages can be dispatched to unintended destinations.  This may not only be embarrassing but could have commercial or legal implications.</w:t>
      </w:r>
    </w:p>
    <w:p w14:paraId="6FADEF34" w14:textId="77777777" w:rsidR="007163B0" w:rsidRPr="007163B0" w:rsidRDefault="007163B0" w:rsidP="007479BF">
      <w:pPr>
        <w:spacing w:before="200"/>
        <w:ind w:left="851" w:hanging="425"/>
        <w:jc w:val="both"/>
        <w:rPr>
          <w:rFonts w:cstheme="minorHAnsi"/>
        </w:rPr>
      </w:pPr>
      <w:r w:rsidRPr="007163B0">
        <w:rPr>
          <w:rFonts w:cstheme="minorHAnsi"/>
        </w:rPr>
        <w:t>3.3</w:t>
      </w:r>
      <w:r w:rsidRPr="007163B0">
        <w:rPr>
          <w:rFonts w:cstheme="minorHAnsi"/>
        </w:rPr>
        <w:tab/>
      </w:r>
      <w:r w:rsidR="002D138F">
        <w:rPr>
          <w:rFonts w:cstheme="minorHAnsi"/>
        </w:rPr>
        <w:t>Email</w:t>
      </w:r>
      <w:r w:rsidRPr="007163B0">
        <w:rPr>
          <w:rFonts w:cstheme="minorHAnsi"/>
        </w:rPr>
        <w:t xml:space="preserve"> intended for one person sometimes may be widely distributed because of the ease with which recipients can forward it on to others.  A reply to an </w:t>
      </w:r>
      <w:r w:rsidR="002D138F">
        <w:rPr>
          <w:rFonts w:cstheme="minorHAnsi"/>
        </w:rPr>
        <w:t>email</w:t>
      </w:r>
      <w:r w:rsidRPr="007163B0">
        <w:rPr>
          <w:rFonts w:cstheme="minorHAnsi"/>
        </w:rPr>
        <w:t xml:space="preserve"> message may inadvertently be posted on an electronic bulletin board and, as a result, be distributed to all subscribers to the bulletin board service.</w:t>
      </w:r>
    </w:p>
    <w:p w14:paraId="7EBE8896" w14:textId="77777777" w:rsidR="007163B0" w:rsidRPr="007163B0" w:rsidRDefault="007163B0" w:rsidP="007479BF">
      <w:pPr>
        <w:spacing w:before="200"/>
        <w:ind w:left="851" w:hanging="567"/>
        <w:jc w:val="both"/>
        <w:rPr>
          <w:rFonts w:cstheme="minorHAnsi"/>
        </w:rPr>
      </w:pPr>
      <w:r w:rsidRPr="007163B0">
        <w:rPr>
          <w:rFonts w:cstheme="minorHAnsi"/>
        </w:rPr>
        <w:t>3.4</w:t>
      </w:r>
      <w:r w:rsidRPr="007163B0">
        <w:rPr>
          <w:rFonts w:cstheme="minorHAnsi"/>
        </w:rPr>
        <w:tab/>
        <w:t>All Town of East Fremantle personnel should be aware of the potential of misunderstanding and distri</w:t>
      </w:r>
      <w:r w:rsidR="002D138F">
        <w:rPr>
          <w:rFonts w:cstheme="minorHAnsi"/>
        </w:rPr>
        <w:t>bution errors with regards to e</w:t>
      </w:r>
      <w:r w:rsidRPr="007163B0">
        <w:rPr>
          <w:rFonts w:cstheme="minorHAnsi"/>
        </w:rPr>
        <w:t>mail and should manage their usa</w:t>
      </w:r>
      <w:r w:rsidR="002D138F">
        <w:rPr>
          <w:rFonts w:cstheme="minorHAnsi"/>
        </w:rPr>
        <w:t>ge of e</w:t>
      </w:r>
      <w:r w:rsidRPr="007163B0">
        <w:rPr>
          <w:rFonts w:cstheme="minorHAnsi"/>
        </w:rPr>
        <w:t>mail to reduce the risk of such errors occurring.</w:t>
      </w:r>
    </w:p>
    <w:p w14:paraId="6E8AD581" w14:textId="77777777" w:rsidR="007163B0" w:rsidRPr="007479BF" w:rsidRDefault="007163B0" w:rsidP="007479BF">
      <w:pPr>
        <w:tabs>
          <w:tab w:val="left" w:pos="567"/>
        </w:tabs>
        <w:spacing w:before="200" w:after="0"/>
        <w:ind w:left="425" w:hanging="425"/>
        <w:jc w:val="both"/>
        <w:rPr>
          <w:rFonts w:cstheme="minorHAnsi"/>
        </w:rPr>
      </w:pPr>
      <w:r w:rsidRPr="007479BF">
        <w:rPr>
          <w:rFonts w:cstheme="minorHAnsi"/>
        </w:rPr>
        <w:t>4.</w:t>
      </w:r>
      <w:r w:rsidRPr="007479BF">
        <w:rPr>
          <w:rFonts w:cstheme="minorHAnsi"/>
        </w:rPr>
        <w:tab/>
        <w:t>LEGAL OBLIGATIONS</w:t>
      </w:r>
    </w:p>
    <w:p w14:paraId="5F2DAF2C" w14:textId="77777777" w:rsidR="007163B0" w:rsidRPr="007163B0" w:rsidRDefault="007163B0" w:rsidP="007479BF">
      <w:pPr>
        <w:ind w:left="426"/>
        <w:jc w:val="both"/>
        <w:rPr>
          <w:rFonts w:cstheme="minorHAnsi"/>
        </w:rPr>
      </w:pPr>
      <w:r w:rsidRPr="007163B0">
        <w:rPr>
          <w:rFonts w:cstheme="minorHAnsi"/>
        </w:rPr>
        <w:t xml:space="preserve">Users of </w:t>
      </w:r>
      <w:r w:rsidR="002D138F">
        <w:rPr>
          <w:rFonts w:cstheme="minorHAnsi"/>
        </w:rPr>
        <w:t>email</w:t>
      </w:r>
      <w:r w:rsidRPr="007163B0">
        <w:rPr>
          <w:rFonts w:cstheme="minorHAnsi"/>
        </w:rPr>
        <w:t xml:space="preserve"> must respect the law and the legal rights of others.  Transmission of any material by </w:t>
      </w:r>
      <w:r w:rsidR="002D138F">
        <w:rPr>
          <w:rFonts w:cstheme="minorHAnsi"/>
        </w:rPr>
        <w:t>email</w:t>
      </w:r>
      <w:r w:rsidRPr="007163B0">
        <w:rPr>
          <w:rFonts w:cstheme="minorHAnsi"/>
        </w:rPr>
        <w:t xml:space="preserve"> in violation of any Australian law is prohibited.  This includes, but is not limited to, copyright material, threatening or obscene material, material contrary to the EEO principles or material protected by trade secret. </w:t>
      </w:r>
    </w:p>
    <w:p w14:paraId="76A607D1" w14:textId="77777777" w:rsidR="007163B0" w:rsidRPr="007163B0" w:rsidRDefault="007163B0" w:rsidP="007479BF">
      <w:pPr>
        <w:spacing w:before="200"/>
        <w:ind w:left="426"/>
        <w:jc w:val="both"/>
        <w:rPr>
          <w:rFonts w:cstheme="minorHAnsi"/>
        </w:rPr>
      </w:pPr>
      <w:r w:rsidRPr="007163B0">
        <w:rPr>
          <w:rFonts w:cstheme="minorHAnsi"/>
        </w:rPr>
        <w:t xml:space="preserve">Remember, plagiarising information from </w:t>
      </w:r>
      <w:r w:rsidR="002D138F">
        <w:rPr>
          <w:rFonts w:cstheme="minorHAnsi"/>
        </w:rPr>
        <w:t>email</w:t>
      </w:r>
      <w:r w:rsidRPr="007163B0">
        <w:rPr>
          <w:rFonts w:cstheme="minorHAnsi"/>
        </w:rPr>
        <w:t xml:space="preserve">s should be regarded in the same manner as copying from any other source.  Copyright does apply to information transmitted via </w:t>
      </w:r>
      <w:r w:rsidR="002D138F">
        <w:rPr>
          <w:rFonts w:cstheme="minorHAnsi"/>
        </w:rPr>
        <w:t>email</w:t>
      </w:r>
      <w:r w:rsidRPr="007163B0">
        <w:rPr>
          <w:rFonts w:cstheme="minorHAnsi"/>
        </w:rPr>
        <w:t>.</w:t>
      </w:r>
    </w:p>
    <w:p w14:paraId="5A86DF26" w14:textId="77777777" w:rsidR="007163B0" w:rsidRPr="007479BF" w:rsidRDefault="007163B0" w:rsidP="007479BF">
      <w:pPr>
        <w:spacing w:before="200" w:after="0"/>
        <w:ind w:left="425" w:hanging="425"/>
        <w:jc w:val="both"/>
        <w:rPr>
          <w:rFonts w:cstheme="minorHAnsi"/>
        </w:rPr>
      </w:pPr>
      <w:r w:rsidRPr="007479BF">
        <w:rPr>
          <w:rFonts w:cstheme="minorHAnsi"/>
        </w:rPr>
        <w:t>5.</w:t>
      </w:r>
      <w:r w:rsidRPr="007479BF">
        <w:rPr>
          <w:rFonts w:cstheme="minorHAnsi"/>
        </w:rPr>
        <w:tab/>
        <w:t>PRIVACY</w:t>
      </w:r>
    </w:p>
    <w:p w14:paraId="032BA952" w14:textId="77777777" w:rsidR="007163B0" w:rsidRPr="007163B0" w:rsidRDefault="007163B0" w:rsidP="007479BF">
      <w:pPr>
        <w:spacing w:after="0" w:line="240" w:lineRule="auto"/>
        <w:ind w:left="425"/>
        <w:jc w:val="both"/>
        <w:rPr>
          <w:rFonts w:cstheme="minorHAnsi"/>
        </w:rPr>
      </w:pPr>
      <w:r w:rsidRPr="007163B0">
        <w:rPr>
          <w:rFonts w:cstheme="minorHAnsi"/>
        </w:rPr>
        <w:t xml:space="preserve">There is currently no legislation in Australia that contains any privacy provisions relating to </w:t>
      </w:r>
      <w:r w:rsidR="002D138F">
        <w:rPr>
          <w:rFonts w:cstheme="minorHAnsi"/>
        </w:rPr>
        <w:t>email</w:t>
      </w:r>
      <w:r w:rsidRPr="007163B0">
        <w:rPr>
          <w:rFonts w:cstheme="minorHAnsi"/>
        </w:rPr>
        <w:t xml:space="preserve"> communications.</w:t>
      </w:r>
    </w:p>
    <w:p w14:paraId="3D0B7393" w14:textId="77777777" w:rsidR="007163B0" w:rsidRPr="007163B0" w:rsidRDefault="007163B0" w:rsidP="007479BF">
      <w:pPr>
        <w:tabs>
          <w:tab w:val="num" w:pos="2835"/>
        </w:tabs>
        <w:spacing w:before="200"/>
        <w:ind w:left="426"/>
        <w:jc w:val="both"/>
        <w:rPr>
          <w:rFonts w:cstheme="minorHAnsi"/>
        </w:rPr>
      </w:pPr>
      <w:r w:rsidRPr="007163B0">
        <w:rPr>
          <w:rFonts w:cstheme="minorHAnsi"/>
        </w:rPr>
        <w:t xml:space="preserve">The Town of East Fremantle cannot guarantee the </w:t>
      </w:r>
      <w:r w:rsidR="002D138F">
        <w:rPr>
          <w:rFonts w:cstheme="minorHAnsi"/>
        </w:rPr>
        <w:t>privacy or confidentiality of e</w:t>
      </w:r>
      <w:r w:rsidRPr="007163B0">
        <w:rPr>
          <w:rFonts w:cstheme="minorHAnsi"/>
        </w:rPr>
        <w:t xml:space="preserve">mail messages.  While the Town of East Fremantle will not monitor the contents of </w:t>
      </w:r>
      <w:r w:rsidR="002D138F">
        <w:rPr>
          <w:rFonts w:cstheme="minorHAnsi"/>
        </w:rPr>
        <w:t>email</w:t>
      </w:r>
      <w:r w:rsidRPr="007163B0">
        <w:rPr>
          <w:rFonts w:cstheme="minorHAnsi"/>
        </w:rPr>
        <w:t xml:space="preserve"> messages as a routine procedure, it may read, copy, store and disclose the contents of </w:t>
      </w:r>
      <w:r w:rsidR="002D138F">
        <w:rPr>
          <w:rFonts w:cstheme="minorHAnsi"/>
        </w:rPr>
        <w:t>email</w:t>
      </w:r>
      <w:r w:rsidRPr="007163B0">
        <w:rPr>
          <w:rFonts w:cstheme="minorHAnsi"/>
        </w:rPr>
        <w:t xml:space="preserve"> messages at any time. </w:t>
      </w:r>
    </w:p>
    <w:p w14:paraId="7B5D9E80" w14:textId="77777777" w:rsidR="007163B0" w:rsidRPr="007163B0" w:rsidRDefault="002D138F" w:rsidP="002D138F">
      <w:pPr>
        <w:tabs>
          <w:tab w:val="num" w:pos="2835"/>
        </w:tabs>
        <w:spacing w:before="200"/>
        <w:ind w:left="426"/>
        <w:jc w:val="both"/>
        <w:rPr>
          <w:rFonts w:cstheme="minorHAnsi"/>
        </w:rPr>
      </w:pPr>
      <w:r>
        <w:rPr>
          <w:rFonts w:cstheme="minorHAnsi"/>
        </w:rPr>
        <w:t>Email</w:t>
      </w:r>
      <w:r w:rsidR="007163B0" w:rsidRPr="007163B0">
        <w:rPr>
          <w:rFonts w:cstheme="minorHAnsi"/>
        </w:rPr>
        <w:t xml:space="preserve"> is inherently not secure.  Employees often believe that email is private, that nobody but the recipients will read the messages and that they are free to say anything.  </w:t>
      </w:r>
      <w:r>
        <w:rPr>
          <w:rFonts w:cstheme="minorHAnsi"/>
        </w:rPr>
        <w:t>Email</w:t>
      </w:r>
      <w:r w:rsidR="007163B0" w:rsidRPr="007163B0">
        <w:rPr>
          <w:rFonts w:cstheme="minorHAnsi"/>
        </w:rPr>
        <w:t xml:space="preserve"> should be treated as though it is a conversation that has been written down.  It can be "overheard". </w:t>
      </w:r>
    </w:p>
    <w:p w14:paraId="51968C03" w14:textId="77777777" w:rsidR="007163B0" w:rsidRPr="007163B0" w:rsidRDefault="007163B0" w:rsidP="002D138F">
      <w:pPr>
        <w:tabs>
          <w:tab w:val="num" w:pos="2835"/>
        </w:tabs>
        <w:spacing w:before="200"/>
        <w:ind w:left="426"/>
        <w:jc w:val="both"/>
        <w:rPr>
          <w:rFonts w:cstheme="minorHAnsi"/>
        </w:rPr>
      </w:pPr>
      <w:r w:rsidRPr="007163B0">
        <w:rPr>
          <w:rFonts w:cstheme="minorHAnsi"/>
        </w:rPr>
        <w:t xml:space="preserve">Even after a user deletes an </w:t>
      </w:r>
      <w:r w:rsidR="002D138F">
        <w:rPr>
          <w:rFonts w:cstheme="minorHAnsi"/>
        </w:rPr>
        <w:t>email</w:t>
      </w:r>
      <w:r w:rsidRPr="007163B0">
        <w:rPr>
          <w:rFonts w:cstheme="minorHAnsi"/>
        </w:rPr>
        <w:t xml:space="preserve"> record from a computer or </w:t>
      </w:r>
      <w:r w:rsidR="002D138F">
        <w:rPr>
          <w:rFonts w:cstheme="minorHAnsi"/>
        </w:rPr>
        <w:t>email</w:t>
      </w:r>
      <w:r w:rsidRPr="007163B0">
        <w:rPr>
          <w:rFonts w:cstheme="minorHAnsi"/>
        </w:rPr>
        <w:t xml:space="preserve"> account, it may exist on backup facilities.  </w:t>
      </w:r>
      <w:r w:rsidR="002D138F">
        <w:rPr>
          <w:rFonts w:cstheme="minorHAnsi"/>
        </w:rPr>
        <w:t>Email</w:t>
      </w:r>
      <w:r w:rsidRPr="007163B0">
        <w:rPr>
          <w:rFonts w:cstheme="minorHAnsi"/>
        </w:rPr>
        <w:t xml:space="preserve"> messages can be saved indefinitely on the receiving computer.  Copies can easily be made and forwarded to others either electronically or on paper.  A message is not "deleted" from the system until all recipients of the message, and recipients of any forwarded or attached copies, have deleted their copies. </w:t>
      </w:r>
    </w:p>
    <w:p w14:paraId="17861E24" w14:textId="77777777" w:rsidR="007163B0" w:rsidRPr="007163B0" w:rsidRDefault="002D138F" w:rsidP="002D138F">
      <w:pPr>
        <w:tabs>
          <w:tab w:val="num" w:pos="2835"/>
        </w:tabs>
        <w:spacing w:before="200"/>
        <w:ind w:left="426"/>
        <w:jc w:val="both"/>
        <w:rPr>
          <w:rFonts w:cstheme="minorHAnsi"/>
        </w:rPr>
      </w:pPr>
      <w:r>
        <w:rPr>
          <w:rFonts w:cstheme="minorHAnsi"/>
        </w:rPr>
        <w:lastRenderedPageBreak/>
        <w:t>Email</w:t>
      </w:r>
      <w:r w:rsidR="007163B0" w:rsidRPr="007163B0">
        <w:rPr>
          <w:rFonts w:cstheme="minorHAnsi"/>
        </w:rPr>
        <w:t xml:space="preserve">, </w:t>
      </w:r>
      <w:proofErr w:type="gramStart"/>
      <w:r w:rsidR="007163B0" w:rsidRPr="007163B0">
        <w:rPr>
          <w:rFonts w:cstheme="minorHAnsi"/>
        </w:rPr>
        <w:t>whether or not</w:t>
      </w:r>
      <w:proofErr w:type="gramEnd"/>
      <w:r w:rsidR="007163B0" w:rsidRPr="007163B0">
        <w:rPr>
          <w:rFonts w:cstheme="minorHAnsi"/>
        </w:rPr>
        <w:t xml:space="preserve"> created or stored on the Town of East Fremantle’s equipment, may constitute an official record subject to disclosure under the Freedom of Information Act or other laws. </w:t>
      </w:r>
    </w:p>
    <w:p w14:paraId="0F3F16C2" w14:textId="77777777" w:rsidR="007163B0" w:rsidRPr="007163B0" w:rsidRDefault="007163B0" w:rsidP="002D138F">
      <w:pPr>
        <w:spacing w:before="200"/>
        <w:ind w:left="426"/>
        <w:jc w:val="both"/>
        <w:rPr>
          <w:rFonts w:cstheme="minorHAnsi"/>
        </w:rPr>
      </w:pPr>
      <w:r w:rsidRPr="007163B0">
        <w:rPr>
          <w:rFonts w:cstheme="minorHAnsi"/>
        </w:rPr>
        <w:t xml:space="preserve">Mail sent to outside organisations will be subject to the policies of those organisations.  These policies may differ from those of the Town of East Fremantle, especially in relation to privacy. </w:t>
      </w:r>
    </w:p>
    <w:p w14:paraId="0258D57D" w14:textId="77777777" w:rsidR="007163B0" w:rsidRPr="007163B0" w:rsidRDefault="007163B0" w:rsidP="002D138F">
      <w:pPr>
        <w:spacing w:before="200"/>
        <w:ind w:left="426"/>
        <w:jc w:val="both"/>
        <w:rPr>
          <w:rFonts w:cstheme="minorHAnsi"/>
        </w:rPr>
      </w:pPr>
      <w:r w:rsidRPr="007163B0">
        <w:rPr>
          <w:rFonts w:cstheme="minorHAnsi"/>
        </w:rPr>
        <w:t xml:space="preserve">While it is not the practice of the Town of East Fremantle’s management to read or to discuss the content of any message, it may be necessary to read an </w:t>
      </w:r>
      <w:r w:rsidR="002D138F">
        <w:rPr>
          <w:rFonts w:cstheme="minorHAnsi"/>
        </w:rPr>
        <w:t>email</w:t>
      </w:r>
      <w:r w:rsidRPr="007163B0">
        <w:rPr>
          <w:rFonts w:cstheme="minorHAnsi"/>
        </w:rPr>
        <w:t xml:space="preserve"> message that has failed to reach its destination.  This may be required to assist with the determination of the intended addressee and to redirect the message to the correct address. </w:t>
      </w:r>
    </w:p>
    <w:p w14:paraId="2502DB0D" w14:textId="77777777" w:rsidR="007163B0" w:rsidRPr="002D138F" w:rsidRDefault="007163B0" w:rsidP="002D138F">
      <w:pPr>
        <w:pStyle w:val="Heading7"/>
        <w:tabs>
          <w:tab w:val="left" w:pos="567"/>
        </w:tabs>
        <w:spacing w:before="200"/>
        <w:ind w:left="426" w:hanging="426"/>
        <w:rPr>
          <w:rFonts w:asciiTheme="minorHAnsi" w:hAnsiTheme="minorHAnsi" w:cstheme="minorHAnsi"/>
          <w:i w:val="0"/>
          <w:color w:val="auto"/>
        </w:rPr>
      </w:pPr>
      <w:r w:rsidRPr="002D138F">
        <w:rPr>
          <w:rFonts w:asciiTheme="minorHAnsi" w:hAnsiTheme="minorHAnsi" w:cstheme="minorHAnsi"/>
          <w:i w:val="0"/>
          <w:color w:val="auto"/>
        </w:rPr>
        <w:t>6.</w:t>
      </w:r>
      <w:r w:rsidRPr="002D138F">
        <w:rPr>
          <w:rFonts w:asciiTheme="minorHAnsi" w:hAnsiTheme="minorHAnsi" w:cstheme="minorHAnsi"/>
          <w:i w:val="0"/>
          <w:color w:val="auto"/>
        </w:rPr>
        <w:tab/>
        <w:t>ACCEPTABLE USAGE</w:t>
      </w:r>
    </w:p>
    <w:p w14:paraId="799A55DE" w14:textId="77777777" w:rsidR="007163B0" w:rsidRPr="007163B0" w:rsidRDefault="007163B0" w:rsidP="002D138F">
      <w:pPr>
        <w:ind w:left="426"/>
        <w:jc w:val="both"/>
        <w:rPr>
          <w:rFonts w:cstheme="minorHAnsi"/>
        </w:rPr>
      </w:pPr>
      <w:r w:rsidRPr="007163B0">
        <w:rPr>
          <w:rFonts w:cstheme="minorHAnsi"/>
        </w:rPr>
        <w:t xml:space="preserve">Authorised Town of East Fremantle personnel will use the </w:t>
      </w:r>
      <w:r w:rsidR="002D138F">
        <w:rPr>
          <w:rFonts w:cstheme="minorHAnsi"/>
        </w:rPr>
        <w:t>email</w:t>
      </w:r>
      <w:r w:rsidRPr="007163B0">
        <w:rPr>
          <w:rFonts w:cstheme="minorHAnsi"/>
        </w:rPr>
        <w:t xml:space="preserve"> services in a responsible and professional manner to enhance the efficient operation of the organisation.  Town of East Fremantle personnel can use </w:t>
      </w:r>
      <w:r w:rsidR="002D138F">
        <w:rPr>
          <w:rFonts w:cstheme="minorHAnsi"/>
        </w:rPr>
        <w:t>email</w:t>
      </w:r>
      <w:r w:rsidRPr="007163B0">
        <w:rPr>
          <w:rFonts w:cstheme="minorHAnsi"/>
        </w:rPr>
        <w:t xml:space="preserve"> provided usage does not contravene the laws of Western Australia, there is no additional cost to the Town of East Fremantle, there is no commercial gain to the employee and there is no risk that the </w:t>
      </w:r>
      <w:r w:rsidR="002D138F">
        <w:rPr>
          <w:rFonts w:cstheme="minorHAnsi"/>
        </w:rPr>
        <w:t>email</w:t>
      </w:r>
      <w:r w:rsidRPr="007163B0">
        <w:rPr>
          <w:rFonts w:cstheme="minorHAnsi"/>
        </w:rPr>
        <w:t xml:space="preserve"> may cause offense or distress to another person.</w:t>
      </w:r>
    </w:p>
    <w:p w14:paraId="30DD15D1" w14:textId="77777777" w:rsidR="007163B0" w:rsidRPr="007163B0" w:rsidRDefault="007163B0" w:rsidP="002D138F">
      <w:pPr>
        <w:spacing w:before="200"/>
        <w:ind w:left="426"/>
        <w:jc w:val="both"/>
        <w:rPr>
          <w:rFonts w:cstheme="minorHAnsi"/>
        </w:rPr>
      </w:pPr>
      <w:r w:rsidRPr="007163B0">
        <w:rPr>
          <w:rFonts w:cstheme="minorHAnsi"/>
        </w:rPr>
        <w:t xml:space="preserve">Private </w:t>
      </w:r>
      <w:r w:rsidR="002D138F">
        <w:rPr>
          <w:rFonts w:cstheme="minorHAnsi"/>
        </w:rPr>
        <w:t>email</w:t>
      </w:r>
      <w:r w:rsidRPr="007163B0">
        <w:rPr>
          <w:rFonts w:cstheme="minorHAnsi"/>
        </w:rPr>
        <w:t xml:space="preserve">s from employee’s Town account should be for general purposes only and not related to personal business, complaints or any other subject that may breach the Town’s Code of Conduct, policies and procedures.  Personal </w:t>
      </w:r>
      <w:r w:rsidR="002D138F">
        <w:rPr>
          <w:rFonts w:cstheme="minorHAnsi"/>
        </w:rPr>
        <w:t>email</w:t>
      </w:r>
      <w:r w:rsidRPr="007163B0">
        <w:rPr>
          <w:rFonts w:cstheme="minorHAnsi"/>
        </w:rPr>
        <w:t xml:space="preserve">s will be monitored, breaches will be dealt with seriously and may result in disciplinary action. </w:t>
      </w:r>
    </w:p>
    <w:p w14:paraId="2C9AC99F" w14:textId="77777777" w:rsidR="007163B0" w:rsidRPr="002D138F" w:rsidRDefault="007163B0" w:rsidP="002D138F">
      <w:pPr>
        <w:pStyle w:val="Heading7"/>
        <w:tabs>
          <w:tab w:val="left" w:pos="567"/>
        </w:tabs>
        <w:spacing w:before="200"/>
        <w:ind w:left="426" w:hanging="426"/>
        <w:rPr>
          <w:rFonts w:asciiTheme="minorHAnsi" w:hAnsiTheme="minorHAnsi" w:cstheme="minorHAnsi"/>
          <w:i w:val="0"/>
          <w:color w:val="auto"/>
        </w:rPr>
      </w:pPr>
      <w:r w:rsidRPr="002D138F">
        <w:rPr>
          <w:rFonts w:asciiTheme="minorHAnsi" w:hAnsiTheme="minorHAnsi" w:cstheme="minorHAnsi"/>
          <w:i w:val="0"/>
          <w:color w:val="auto"/>
        </w:rPr>
        <w:t>7.</w:t>
      </w:r>
      <w:r w:rsidRPr="002D138F">
        <w:rPr>
          <w:rFonts w:asciiTheme="minorHAnsi" w:hAnsiTheme="minorHAnsi" w:cstheme="minorHAnsi"/>
          <w:i w:val="0"/>
          <w:color w:val="auto"/>
        </w:rPr>
        <w:tab/>
        <w:t xml:space="preserve">UNACCEPTABLE USE OF EMAIL </w:t>
      </w:r>
    </w:p>
    <w:p w14:paraId="4935924E" w14:textId="77777777" w:rsidR="007163B0" w:rsidRPr="007163B0" w:rsidRDefault="007163B0" w:rsidP="002D138F">
      <w:pPr>
        <w:ind w:left="426"/>
        <w:rPr>
          <w:rFonts w:cstheme="minorHAnsi"/>
          <w:snapToGrid w:val="0"/>
        </w:rPr>
      </w:pPr>
      <w:r w:rsidRPr="007163B0">
        <w:rPr>
          <w:rFonts w:cstheme="minorHAnsi"/>
          <w:snapToGrid w:val="0"/>
        </w:rPr>
        <w:t xml:space="preserve">Inappropriate use of </w:t>
      </w:r>
      <w:proofErr w:type="gramStart"/>
      <w:r w:rsidR="002D138F">
        <w:rPr>
          <w:rFonts w:cstheme="minorHAnsi"/>
          <w:snapToGrid w:val="0"/>
        </w:rPr>
        <w:t>Email</w:t>
      </w:r>
      <w:proofErr w:type="gramEnd"/>
      <w:r w:rsidRPr="007163B0">
        <w:rPr>
          <w:rFonts w:cstheme="minorHAnsi"/>
          <w:snapToGrid w:val="0"/>
        </w:rPr>
        <w:t xml:space="preserve"> will have serious consequences and could lead to dismissal.</w:t>
      </w:r>
    </w:p>
    <w:p w14:paraId="273AA75C" w14:textId="77777777" w:rsidR="007163B0" w:rsidRPr="007163B0" w:rsidRDefault="007163B0" w:rsidP="002D138F">
      <w:pPr>
        <w:spacing w:before="200" w:after="60"/>
        <w:ind w:left="425"/>
        <w:jc w:val="both"/>
        <w:rPr>
          <w:rFonts w:cstheme="minorHAnsi"/>
        </w:rPr>
      </w:pPr>
      <w:r w:rsidRPr="007163B0">
        <w:rPr>
          <w:rFonts w:cstheme="minorHAnsi"/>
        </w:rPr>
        <w:t xml:space="preserve">Town of East Fremantle personnel must ensure before they transmit information via </w:t>
      </w:r>
      <w:r w:rsidR="002D138F">
        <w:rPr>
          <w:rFonts w:cstheme="minorHAnsi"/>
        </w:rPr>
        <w:t>email</w:t>
      </w:r>
      <w:r w:rsidRPr="007163B0">
        <w:rPr>
          <w:rFonts w:cstheme="minorHAnsi"/>
        </w:rPr>
        <w:t xml:space="preserve"> that they have the proper authority to do so.  Town of East Fremantle personnel shall not use </w:t>
      </w:r>
      <w:r w:rsidR="002D138F">
        <w:rPr>
          <w:rFonts w:cstheme="minorHAnsi"/>
        </w:rPr>
        <w:t>email</w:t>
      </w:r>
      <w:r w:rsidRPr="007163B0">
        <w:rPr>
          <w:rFonts w:cstheme="minorHAnsi"/>
        </w:rPr>
        <w:t xml:space="preserve"> in the following circumstances:</w:t>
      </w:r>
    </w:p>
    <w:p w14:paraId="103332EA" w14:textId="77777777" w:rsidR="007163B0" w:rsidRPr="007163B0" w:rsidRDefault="007163B0" w:rsidP="002A3889">
      <w:pPr>
        <w:numPr>
          <w:ilvl w:val="0"/>
          <w:numId w:val="59"/>
        </w:numPr>
        <w:tabs>
          <w:tab w:val="clear" w:pos="360"/>
        </w:tabs>
        <w:spacing w:before="60" w:after="0" w:line="240" w:lineRule="auto"/>
        <w:ind w:left="850" w:hanging="425"/>
        <w:jc w:val="both"/>
        <w:rPr>
          <w:rFonts w:cstheme="minorHAnsi"/>
        </w:rPr>
      </w:pPr>
      <w:r w:rsidRPr="007163B0">
        <w:rPr>
          <w:rFonts w:cstheme="minorHAnsi"/>
        </w:rPr>
        <w:t xml:space="preserve">To create or distribute offensive or pornographic </w:t>
      </w:r>
      <w:proofErr w:type="gramStart"/>
      <w:r w:rsidRPr="007163B0">
        <w:rPr>
          <w:rFonts w:cstheme="minorHAnsi"/>
        </w:rPr>
        <w:t>material;</w:t>
      </w:r>
      <w:proofErr w:type="gramEnd"/>
    </w:p>
    <w:p w14:paraId="17350138" w14:textId="77777777" w:rsidR="007163B0" w:rsidRPr="007163B0" w:rsidRDefault="007163B0" w:rsidP="002A3889">
      <w:pPr>
        <w:numPr>
          <w:ilvl w:val="0"/>
          <w:numId w:val="59"/>
        </w:numPr>
        <w:tabs>
          <w:tab w:val="clear" w:pos="360"/>
        </w:tabs>
        <w:spacing w:before="60" w:after="0" w:line="240" w:lineRule="auto"/>
        <w:ind w:left="850" w:hanging="425"/>
        <w:jc w:val="both"/>
        <w:rPr>
          <w:rFonts w:cstheme="minorHAnsi"/>
        </w:rPr>
      </w:pPr>
      <w:r w:rsidRPr="007163B0">
        <w:rPr>
          <w:rFonts w:cstheme="minorHAnsi"/>
        </w:rPr>
        <w:t xml:space="preserve">Private use when the content of the emails may cause embarrassment to the Town or any other person; private business use; subscriptions to internet sites (newsletters etc) and any other reason as directed by the Chief Executive Manager and / or Senior Manager from time to time. </w:t>
      </w:r>
    </w:p>
    <w:p w14:paraId="677C7C63" w14:textId="77777777" w:rsidR="007163B0" w:rsidRPr="007163B0" w:rsidRDefault="007163B0" w:rsidP="002A3889">
      <w:pPr>
        <w:numPr>
          <w:ilvl w:val="0"/>
          <w:numId w:val="59"/>
        </w:numPr>
        <w:tabs>
          <w:tab w:val="clear" w:pos="360"/>
        </w:tabs>
        <w:spacing w:before="60" w:after="0" w:line="240" w:lineRule="auto"/>
        <w:ind w:left="850" w:hanging="425"/>
        <w:jc w:val="both"/>
        <w:rPr>
          <w:rFonts w:cstheme="minorHAnsi"/>
        </w:rPr>
      </w:pPr>
      <w:r w:rsidRPr="007163B0">
        <w:rPr>
          <w:rFonts w:cstheme="minorHAnsi"/>
        </w:rPr>
        <w:t xml:space="preserve">To create or distribute libellous, fraudulent, nuisance or malicious </w:t>
      </w:r>
      <w:proofErr w:type="gramStart"/>
      <w:r w:rsidRPr="007163B0">
        <w:rPr>
          <w:rFonts w:cstheme="minorHAnsi"/>
        </w:rPr>
        <w:t>material;</w:t>
      </w:r>
      <w:proofErr w:type="gramEnd"/>
    </w:p>
    <w:p w14:paraId="2DBCC0E7"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To create or distribute any material that violates an individual's rights under EEO legislation (that is, it is illegal to discriminate based on sex, race, age, disability, marital status, religious or political beliefs).  This includes jokes, pictures, sketches, or any other material that may be offensive to or prejudiced against an individual or group of </w:t>
      </w:r>
      <w:proofErr w:type="gramStart"/>
      <w:r w:rsidRPr="007163B0">
        <w:rPr>
          <w:rFonts w:cstheme="minorHAnsi"/>
        </w:rPr>
        <w:t>individuals;</w:t>
      </w:r>
      <w:proofErr w:type="gramEnd"/>
    </w:p>
    <w:p w14:paraId="3D4116B7" w14:textId="77777777" w:rsidR="007163B0" w:rsidRPr="007163B0" w:rsidRDefault="007163B0" w:rsidP="002A3889">
      <w:pPr>
        <w:numPr>
          <w:ilvl w:val="0"/>
          <w:numId w:val="66"/>
        </w:numPr>
        <w:tabs>
          <w:tab w:val="clear" w:pos="360"/>
        </w:tabs>
        <w:spacing w:before="60" w:after="0" w:line="240" w:lineRule="auto"/>
        <w:ind w:left="850" w:hanging="425"/>
        <w:jc w:val="both"/>
        <w:rPr>
          <w:rFonts w:cstheme="minorHAnsi"/>
        </w:rPr>
      </w:pPr>
      <w:r w:rsidRPr="007163B0">
        <w:rPr>
          <w:rFonts w:cstheme="minorHAnsi"/>
        </w:rPr>
        <w:t xml:space="preserve">To distribute images and video clips that are not directly related to Town of East Fremantle's aim's and </w:t>
      </w:r>
      <w:proofErr w:type="gramStart"/>
      <w:r w:rsidRPr="007163B0">
        <w:rPr>
          <w:rFonts w:cstheme="minorHAnsi"/>
        </w:rPr>
        <w:t>objectives;</w:t>
      </w:r>
      <w:proofErr w:type="gramEnd"/>
    </w:p>
    <w:p w14:paraId="0511382F"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The transmission and/or storage of copyrighted </w:t>
      </w:r>
      <w:proofErr w:type="gramStart"/>
      <w:r w:rsidRPr="007163B0">
        <w:rPr>
          <w:rFonts w:cstheme="minorHAnsi"/>
        </w:rPr>
        <w:t>material;</w:t>
      </w:r>
      <w:proofErr w:type="gramEnd"/>
    </w:p>
    <w:p w14:paraId="00A5246A"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Commercial activities for personal gain or </w:t>
      </w:r>
      <w:proofErr w:type="gramStart"/>
      <w:r w:rsidRPr="007163B0">
        <w:rPr>
          <w:rFonts w:cstheme="minorHAnsi"/>
        </w:rPr>
        <w:t>profit;</w:t>
      </w:r>
      <w:proofErr w:type="gramEnd"/>
    </w:p>
    <w:p w14:paraId="5A72B8F8"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Product advertisement or political </w:t>
      </w:r>
      <w:proofErr w:type="gramStart"/>
      <w:r w:rsidRPr="007163B0">
        <w:rPr>
          <w:rFonts w:cstheme="minorHAnsi"/>
        </w:rPr>
        <w:t>lobbying;</w:t>
      </w:r>
      <w:proofErr w:type="gramEnd"/>
    </w:p>
    <w:p w14:paraId="7E2EE05A"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Disclosure of material which is prohibited under state government legislation or </w:t>
      </w:r>
      <w:proofErr w:type="gramStart"/>
      <w:r w:rsidRPr="007163B0">
        <w:rPr>
          <w:rFonts w:cstheme="minorHAnsi"/>
        </w:rPr>
        <w:t>policy;</w:t>
      </w:r>
      <w:proofErr w:type="gramEnd"/>
    </w:p>
    <w:p w14:paraId="6761D554"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Accessing, distributing or storing material which could damage the reputation of the Authority or lead to civil liability </w:t>
      </w:r>
      <w:proofErr w:type="gramStart"/>
      <w:r w:rsidRPr="007163B0">
        <w:rPr>
          <w:rFonts w:cstheme="minorHAnsi"/>
        </w:rPr>
        <w:t>action;</w:t>
      </w:r>
      <w:proofErr w:type="gramEnd"/>
    </w:p>
    <w:p w14:paraId="2F41E271"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False </w:t>
      </w:r>
      <w:proofErr w:type="gramStart"/>
      <w:r w:rsidRPr="007163B0">
        <w:rPr>
          <w:rFonts w:cstheme="minorHAnsi"/>
        </w:rPr>
        <w:t>representation;</w:t>
      </w:r>
      <w:proofErr w:type="gramEnd"/>
    </w:p>
    <w:p w14:paraId="0D98C43F"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lastRenderedPageBreak/>
        <w:t xml:space="preserve">Solicitation of other people including other </w:t>
      </w:r>
      <w:proofErr w:type="gramStart"/>
      <w:r w:rsidRPr="007163B0">
        <w:rPr>
          <w:rFonts w:cstheme="minorHAnsi"/>
        </w:rPr>
        <w:t>employees;</w:t>
      </w:r>
      <w:proofErr w:type="gramEnd"/>
    </w:p>
    <w:p w14:paraId="38AD6B65"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Providing information about or lists </w:t>
      </w:r>
      <w:proofErr w:type="gramStart"/>
      <w:r w:rsidRPr="007163B0">
        <w:rPr>
          <w:rFonts w:cstheme="minorHAnsi"/>
        </w:rPr>
        <w:t>of,</w:t>
      </w:r>
      <w:proofErr w:type="gramEnd"/>
      <w:r w:rsidRPr="007163B0">
        <w:rPr>
          <w:rFonts w:cstheme="minorHAnsi"/>
        </w:rPr>
        <w:t xml:space="preserve"> government employees to others;</w:t>
      </w:r>
    </w:p>
    <w:p w14:paraId="6FFDD89B"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Commercial solicitations of non-departmental </w:t>
      </w:r>
      <w:proofErr w:type="gramStart"/>
      <w:r w:rsidRPr="007163B0">
        <w:rPr>
          <w:rFonts w:cstheme="minorHAnsi"/>
        </w:rPr>
        <w:t>business;</w:t>
      </w:r>
      <w:proofErr w:type="gramEnd"/>
    </w:p>
    <w:p w14:paraId="786BA71E"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Activities that interfere with your job or jobs of other </w:t>
      </w:r>
      <w:proofErr w:type="gramStart"/>
      <w:r w:rsidRPr="007163B0">
        <w:rPr>
          <w:rFonts w:cstheme="minorHAnsi"/>
        </w:rPr>
        <w:t>employees;</w:t>
      </w:r>
      <w:proofErr w:type="gramEnd"/>
    </w:p>
    <w:p w14:paraId="54F730FE"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Activities that interfere with the operation of any computer </w:t>
      </w:r>
      <w:proofErr w:type="gramStart"/>
      <w:r w:rsidRPr="007163B0">
        <w:rPr>
          <w:rFonts w:cstheme="minorHAnsi"/>
        </w:rPr>
        <w:t>network;</w:t>
      </w:r>
      <w:proofErr w:type="gramEnd"/>
    </w:p>
    <w:p w14:paraId="2A1F6D4C"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 xml:space="preserve">Violating any law or rights of any person or group accessing the service under another </w:t>
      </w:r>
      <w:proofErr w:type="gramStart"/>
      <w:r w:rsidRPr="007163B0">
        <w:rPr>
          <w:rFonts w:cstheme="minorHAnsi"/>
        </w:rPr>
        <w:t>user name</w:t>
      </w:r>
      <w:proofErr w:type="gramEnd"/>
      <w:r w:rsidRPr="007163B0">
        <w:rPr>
          <w:rFonts w:cstheme="minorHAnsi"/>
        </w:rPr>
        <w:t xml:space="preserve"> and password; and</w:t>
      </w:r>
    </w:p>
    <w:p w14:paraId="12B0BB1A" w14:textId="77777777" w:rsidR="007163B0" w:rsidRPr="007163B0" w:rsidRDefault="007163B0" w:rsidP="002A3889">
      <w:pPr>
        <w:numPr>
          <w:ilvl w:val="0"/>
          <w:numId w:val="60"/>
        </w:numPr>
        <w:tabs>
          <w:tab w:val="clear" w:pos="360"/>
        </w:tabs>
        <w:spacing w:before="60" w:after="0" w:line="240" w:lineRule="auto"/>
        <w:ind w:left="850" w:hanging="425"/>
        <w:jc w:val="both"/>
        <w:rPr>
          <w:rFonts w:cstheme="minorHAnsi"/>
        </w:rPr>
      </w:pPr>
      <w:r w:rsidRPr="007163B0">
        <w:rPr>
          <w:rFonts w:cstheme="minorHAnsi"/>
        </w:rPr>
        <w:t>The use of departmental equipment to unlawfully access other network or systems.</w:t>
      </w:r>
    </w:p>
    <w:p w14:paraId="21069AA8" w14:textId="77777777" w:rsidR="007163B0" w:rsidRPr="002D138F" w:rsidRDefault="007163B0" w:rsidP="002D138F">
      <w:pPr>
        <w:pStyle w:val="Heading7"/>
        <w:spacing w:before="200"/>
        <w:ind w:left="426" w:hanging="471"/>
        <w:rPr>
          <w:rFonts w:asciiTheme="minorHAnsi" w:hAnsiTheme="minorHAnsi" w:cstheme="minorHAnsi"/>
          <w:i w:val="0"/>
          <w:color w:val="auto"/>
        </w:rPr>
      </w:pPr>
      <w:r w:rsidRPr="002D138F">
        <w:rPr>
          <w:rFonts w:asciiTheme="minorHAnsi" w:hAnsiTheme="minorHAnsi" w:cstheme="minorHAnsi"/>
          <w:i w:val="0"/>
          <w:color w:val="auto"/>
        </w:rPr>
        <w:t>8.</w:t>
      </w:r>
      <w:r w:rsidRPr="002D138F">
        <w:rPr>
          <w:rFonts w:asciiTheme="minorHAnsi" w:hAnsiTheme="minorHAnsi" w:cstheme="minorHAnsi"/>
          <w:i w:val="0"/>
          <w:color w:val="auto"/>
        </w:rPr>
        <w:tab/>
      </w:r>
      <w:r w:rsidR="002D138F">
        <w:rPr>
          <w:rFonts w:asciiTheme="minorHAnsi" w:hAnsiTheme="minorHAnsi" w:cstheme="minorHAnsi"/>
          <w:i w:val="0"/>
          <w:color w:val="auto"/>
        </w:rPr>
        <w:t>EMAIL</w:t>
      </w:r>
      <w:r w:rsidRPr="002D138F">
        <w:rPr>
          <w:rFonts w:asciiTheme="minorHAnsi" w:hAnsiTheme="minorHAnsi" w:cstheme="minorHAnsi"/>
          <w:i w:val="0"/>
          <w:color w:val="auto"/>
        </w:rPr>
        <w:t xml:space="preserve"> MESSAGES WHICH SHOULD BE STORED AS OFFICIAL RECORDS</w:t>
      </w:r>
    </w:p>
    <w:p w14:paraId="1567DA14" w14:textId="77777777" w:rsidR="007163B0" w:rsidRPr="007163B0" w:rsidRDefault="007163B0" w:rsidP="002D138F">
      <w:pPr>
        <w:tabs>
          <w:tab w:val="num" w:pos="2835"/>
        </w:tabs>
        <w:spacing w:after="60"/>
        <w:ind w:left="425"/>
        <w:jc w:val="both"/>
        <w:rPr>
          <w:rFonts w:cstheme="minorHAnsi"/>
        </w:rPr>
      </w:pPr>
      <w:r w:rsidRPr="007163B0">
        <w:rPr>
          <w:rFonts w:cstheme="minorHAnsi"/>
        </w:rPr>
        <w:t>Electronic messages are to be captured and maintained as functioning records and require the preservation of their structure, context and content.  The following should be stored as official Town of East Fremantle records:</w:t>
      </w:r>
    </w:p>
    <w:p w14:paraId="4C25E9D6" w14:textId="77777777" w:rsidR="007163B0" w:rsidRPr="007163B0" w:rsidRDefault="002D138F" w:rsidP="002A3889">
      <w:pPr>
        <w:numPr>
          <w:ilvl w:val="0"/>
          <w:numId w:val="64"/>
        </w:numPr>
        <w:spacing w:before="60" w:after="0" w:line="240" w:lineRule="auto"/>
        <w:ind w:left="851" w:hanging="425"/>
        <w:jc w:val="both"/>
        <w:rPr>
          <w:rFonts w:cstheme="minorHAnsi"/>
        </w:rPr>
      </w:pPr>
      <w:r>
        <w:rPr>
          <w:rFonts w:cstheme="minorHAnsi"/>
        </w:rPr>
        <w:t>E</w:t>
      </w:r>
      <w:r w:rsidR="007163B0" w:rsidRPr="007163B0">
        <w:rPr>
          <w:rFonts w:cstheme="minorHAnsi"/>
        </w:rPr>
        <w:t xml:space="preserve">mails which contain information which is relevant with regards to </w:t>
      </w:r>
      <w:proofErr w:type="gramStart"/>
      <w:r w:rsidR="007163B0" w:rsidRPr="007163B0">
        <w:rPr>
          <w:rFonts w:cstheme="minorHAnsi"/>
        </w:rPr>
        <w:t>making a decision</w:t>
      </w:r>
      <w:proofErr w:type="gramEnd"/>
      <w:r w:rsidR="007163B0" w:rsidRPr="007163B0">
        <w:rPr>
          <w:rFonts w:cstheme="minorHAnsi"/>
        </w:rPr>
        <w:t xml:space="preserve"> within or concerning the Town of East Fremantle.</w:t>
      </w:r>
    </w:p>
    <w:p w14:paraId="658895E6" w14:textId="77777777" w:rsidR="007163B0" w:rsidRPr="007163B0" w:rsidRDefault="007163B0" w:rsidP="002A3889">
      <w:pPr>
        <w:numPr>
          <w:ilvl w:val="0"/>
          <w:numId w:val="64"/>
        </w:numPr>
        <w:spacing w:before="60" w:after="0" w:line="240" w:lineRule="auto"/>
        <w:ind w:left="851" w:hanging="425"/>
        <w:jc w:val="both"/>
        <w:rPr>
          <w:rFonts w:cstheme="minorHAnsi"/>
        </w:rPr>
      </w:pPr>
      <w:r w:rsidRPr="007163B0">
        <w:rPr>
          <w:rFonts w:cstheme="minorHAnsi"/>
        </w:rPr>
        <w:t>Emails which convey information which has the potential to affect business decisions within or concerning the Town of East Fremantle.</w:t>
      </w:r>
    </w:p>
    <w:p w14:paraId="43EB8C9E" w14:textId="77777777" w:rsidR="007163B0" w:rsidRPr="007163B0" w:rsidRDefault="007163B0" w:rsidP="002A3889">
      <w:pPr>
        <w:numPr>
          <w:ilvl w:val="0"/>
          <w:numId w:val="64"/>
        </w:numPr>
        <w:spacing w:before="60" w:after="0" w:line="240" w:lineRule="auto"/>
        <w:ind w:left="851" w:hanging="425"/>
        <w:jc w:val="both"/>
        <w:rPr>
          <w:rFonts w:cstheme="minorHAnsi"/>
        </w:rPr>
      </w:pPr>
      <w:r w:rsidRPr="007163B0">
        <w:rPr>
          <w:rFonts w:cstheme="minorHAnsi"/>
        </w:rPr>
        <w:t xml:space="preserve">Emails which commit the Town of East Fremantle to certain courses of action, allocation of resources or provision of services. </w:t>
      </w:r>
    </w:p>
    <w:p w14:paraId="3E7E711A" w14:textId="77777777" w:rsidR="007163B0" w:rsidRPr="007163B0" w:rsidRDefault="007163B0" w:rsidP="002A3889">
      <w:pPr>
        <w:numPr>
          <w:ilvl w:val="0"/>
          <w:numId w:val="64"/>
        </w:numPr>
        <w:spacing w:before="60" w:after="0" w:line="240" w:lineRule="auto"/>
        <w:ind w:left="851" w:hanging="425"/>
        <w:jc w:val="both"/>
        <w:rPr>
          <w:rFonts w:cstheme="minorHAnsi"/>
        </w:rPr>
      </w:pPr>
      <w:r w:rsidRPr="007163B0">
        <w:rPr>
          <w:rFonts w:cstheme="minorHAnsi"/>
        </w:rPr>
        <w:t>Emails which contain information with historical value or data which may be required in the future.</w:t>
      </w:r>
    </w:p>
    <w:p w14:paraId="13C5B4E9" w14:textId="77777777" w:rsidR="007163B0" w:rsidRPr="002D138F" w:rsidRDefault="007163B0" w:rsidP="002A3889">
      <w:pPr>
        <w:pStyle w:val="Heading7"/>
        <w:keepLines w:val="0"/>
        <w:numPr>
          <w:ilvl w:val="0"/>
          <w:numId w:val="63"/>
        </w:numPr>
        <w:tabs>
          <w:tab w:val="clear" w:pos="360"/>
        </w:tabs>
        <w:spacing w:before="200" w:line="240" w:lineRule="auto"/>
        <w:ind w:left="426" w:hanging="426"/>
        <w:rPr>
          <w:rFonts w:asciiTheme="minorHAnsi" w:hAnsiTheme="minorHAnsi" w:cstheme="minorHAnsi"/>
          <w:i w:val="0"/>
        </w:rPr>
      </w:pPr>
      <w:r w:rsidRPr="002D138F">
        <w:rPr>
          <w:rFonts w:asciiTheme="minorHAnsi" w:hAnsiTheme="minorHAnsi" w:cstheme="minorHAnsi"/>
          <w:i w:val="0"/>
          <w:color w:val="auto"/>
        </w:rPr>
        <w:t xml:space="preserve">PERSONAL RESPONSIBILITY FOR STORING </w:t>
      </w:r>
      <w:r w:rsidR="002D138F">
        <w:rPr>
          <w:rFonts w:asciiTheme="minorHAnsi" w:hAnsiTheme="minorHAnsi" w:cstheme="minorHAnsi"/>
          <w:i w:val="0"/>
          <w:color w:val="auto"/>
        </w:rPr>
        <w:t>EMAIL</w:t>
      </w:r>
      <w:r w:rsidRPr="002D138F">
        <w:rPr>
          <w:rFonts w:asciiTheme="minorHAnsi" w:hAnsiTheme="minorHAnsi" w:cstheme="minorHAnsi"/>
          <w:i w:val="0"/>
          <w:color w:val="auto"/>
        </w:rPr>
        <w:t xml:space="preserve"> MESSAGES</w:t>
      </w:r>
    </w:p>
    <w:p w14:paraId="22BA068B" w14:textId="77777777" w:rsidR="007163B0" w:rsidRPr="007163B0" w:rsidRDefault="007163B0" w:rsidP="002D138F">
      <w:pPr>
        <w:tabs>
          <w:tab w:val="num" w:pos="2835"/>
        </w:tabs>
        <w:ind w:left="426"/>
        <w:jc w:val="both"/>
        <w:rPr>
          <w:rFonts w:cstheme="minorHAnsi"/>
          <w:b/>
        </w:rPr>
      </w:pPr>
      <w:r w:rsidRPr="007163B0">
        <w:rPr>
          <w:rFonts w:cstheme="minorHAnsi"/>
        </w:rPr>
        <w:t xml:space="preserve">The sender is the person who must take responsibility for storing the information sent.  An officer, who receives and annotates the message and then forwards it to other recipients, by taking such action, becomes a sender.  As a sender, this person must ensure that the newly annotated message is recorded again.  </w:t>
      </w:r>
    </w:p>
    <w:p w14:paraId="5599C94D" w14:textId="77777777" w:rsidR="007163B0" w:rsidRPr="002D138F" w:rsidRDefault="007163B0" w:rsidP="002A3889">
      <w:pPr>
        <w:pStyle w:val="Heading7"/>
        <w:keepNext w:val="0"/>
        <w:keepLines w:val="0"/>
        <w:numPr>
          <w:ilvl w:val="0"/>
          <w:numId w:val="63"/>
        </w:numPr>
        <w:tabs>
          <w:tab w:val="clear" w:pos="360"/>
        </w:tabs>
        <w:spacing w:before="200" w:after="60" w:line="240" w:lineRule="auto"/>
        <w:ind w:left="426" w:hanging="426"/>
        <w:rPr>
          <w:rFonts w:asciiTheme="minorHAnsi" w:hAnsiTheme="minorHAnsi" w:cstheme="minorHAnsi"/>
          <w:i w:val="0"/>
          <w:color w:val="auto"/>
        </w:rPr>
      </w:pPr>
      <w:r w:rsidRPr="002D138F">
        <w:rPr>
          <w:rFonts w:asciiTheme="minorHAnsi" w:hAnsiTheme="minorHAnsi" w:cstheme="minorHAnsi"/>
          <w:i w:val="0"/>
          <w:color w:val="auto"/>
        </w:rPr>
        <w:t>JUNK MAIL</w:t>
      </w:r>
    </w:p>
    <w:p w14:paraId="07CC81C4" w14:textId="77777777" w:rsidR="007163B0" w:rsidRPr="007163B0" w:rsidRDefault="007163B0" w:rsidP="002D138F">
      <w:pPr>
        <w:pStyle w:val="BodyTextIndent2"/>
        <w:tabs>
          <w:tab w:val="num" w:pos="2835"/>
        </w:tabs>
        <w:spacing w:line="240" w:lineRule="auto"/>
        <w:ind w:left="425"/>
        <w:jc w:val="both"/>
        <w:rPr>
          <w:rFonts w:cstheme="minorHAnsi"/>
        </w:rPr>
      </w:pPr>
      <w:r w:rsidRPr="007163B0">
        <w:rPr>
          <w:rFonts w:cstheme="minorHAnsi"/>
        </w:rPr>
        <w:t xml:space="preserve">Overloading of the </w:t>
      </w:r>
      <w:r w:rsidR="002D138F">
        <w:rPr>
          <w:rFonts w:cstheme="minorHAnsi"/>
        </w:rPr>
        <w:t>email</w:t>
      </w:r>
      <w:r w:rsidRPr="007163B0">
        <w:rPr>
          <w:rFonts w:cstheme="minorHAnsi"/>
        </w:rPr>
        <w:t xml:space="preserve"> system by sending junk mail must be avoided.  Town of East Fremantle personnel must not unnecessarily distribute documents to extremely large groups of people or "broadcast" inappropriate messages to lists or individuals without first checking with management.</w:t>
      </w:r>
    </w:p>
    <w:p w14:paraId="4B9AFA2B" w14:textId="77777777" w:rsidR="007163B0" w:rsidRPr="007163B0" w:rsidRDefault="007163B0" w:rsidP="002D138F">
      <w:pPr>
        <w:tabs>
          <w:tab w:val="num" w:pos="2835"/>
        </w:tabs>
        <w:spacing w:before="200" w:line="240" w:lineRule="auto"/>
        <w:ind w:left="426"/>
        <w:jc w:val="both"/>
        <w:rPr>
          <w:rFonts w:cstheme="minorHAnsi"/>
        </w:rPr>
      </w:pPr>
      <w:r w:rsidRPr="007163B0">
        <w:rPr>
          <w:rFonts w:cstheme="minorHAnsi"/>
        </w:rPr>
        <w:t>If a message does not relate to an official business transaction, personnel should be selective in determining whether the message should be sent and to whom it should be sent.</w:t>
      </w:r>
    </w:p>
    <w:p w14:paraId="137C25C8" w14:textId="77777777" w:rsidR="007163B0" w:rsidRPr="007163B0" w:rsidRDefault="007163B0" w:rsidP="002D138F">
      <w:pPr>
        <w:pStyle w:val="BodyText2"/>
        <w:tabs>
          <w:tab w:val="num" w:pos="2835"/>
        </w:tabs>
        <w:spacing w:before="200" w:line="240" w:lineRule="auto"/>
        <w:ind w:left="426"/>
        <w:jc w:val="both"/>
        <w:rPr>
          <w:rFonts w:cstheme="minorHAnsi"/>
        </w:rPr>
      </w:pPr>
      <w:r w:rsidRPr="007163B0">
        <w:rPr>
          <w:rFonts w:cstheme="minorHAnsi"/>
        </w:rPr>
        <w:t xml:space="preserve">Sending and receiving of large files, attachments and images (over 1 megabyte) is discouraged, as this can have a serious </w:t>
      </w:r>
      <w:proofErr w:type="gramStart"/>
      <w:r w:rsidRPr="007163B0">
        <w:rPr>
          <w:rFonts w:cstheme="minorHAnsi"/>
        </w:rPr>
        <w:t>long term</w:t>
      </w:r>
      <w:proofErr w:type="gramEnd"/>
      <w:r w:rsidRPr="007163B0">
        <w:rPr>
          <w:rFonts w:cstheme="minorHAnsi"/>
        </w:rPr>
        <w:t xml:space="preserve"> effect on the communications network and </w:t>
      </w:r>
      <w:r w:rsidR="002D138F">
        <w:rPr>
          <w:rFonts w:cstheme="minorHAnsi"/>
        </w:rPr>
        <w:t>email</w:t>
      </w:r>
      <w:r w:rsidRPr="007163B0">
        <w:rPr>
          <w:rFonts w:cstheme="minorHAnsi"/>
        </w:rPr>
        <w:t xml:space="preserve"> performance.  </w:t>
      </w:r>
    </w:p>
    <w:p w14:paraId="1CC21B30" w14:textId="77777777" w:rsidR="007163B0" w:rsidRPr="002D138F" w:rsidRDefault="007163B0" w:rsidP="002D138F">
      <w:pPr>
        <w:pStyle w:val="Heading7"/>
        <w:tabs>
          <w:tab w:val="num" w:pos="3261"/>
        </w:tabs>
        <w:spacing w:before="200"/>
        <w:ind w:left="426" w:hanging="426"/>
        <w:rPr>
          <w:rFonts w:asciiTheme="minorHAnsi" w:hAnsiTheme="minorHAnsi" w:cstheme="minorHAnsi"/>
          <w:i w:val="0"/>
          <w:color w:val="auto"/>
        </w:rPr>
      </w:pPr>
      <w:r w:rsidRPr="002D138F">
        <w:rPr>
          <w:rFonts w:asciiTheme="minorHAnsi" w:hAnsiTheme="minorHAnsi" w:cstheme="minorHAnsi"/>
          <w:i w:val="0"/>
          <w:color w:val="auto"/>
        </w:rPr>
        <w:t>11.</w:t>
      </w:r>
      <w:r w:rsidRPr="002D138F">
        <w:rPr>
          <w:rFonts w:asciiTheme="minorHAnsi" w:hAnsiTheme="minorHAnsi" w:cstheme="minorHAnsi"/>
          <w:i w:val="0"/>
          <w:color w:val="auto"/>
        </w:rPr>
        <w:tab/>
        <w:t>BACKUP</w:t>
      </w:r>
    </w:p>
    <w:p w14:paraId="5D99B662" w14:textId="77777777" w:rsidR="007163B0" w:rsidRPr="007163B0" w:rsidRDefault="007163B0" w:rsidP="002D138F">
      <w:pPr>
        <w:pStyle w:val="BodyText2"/>
        <w:tabs>
          <w:tab w:val="num" w:pos="2835"/>
        </w:tabs>
        <w:spacing w:line="240" w:lineRule="auto"/>
        <w:ind w:left="426"/>
        <w:jc w:val="both"/>
        <w:rPr>
          <w:rFonts w:cstheme="minorHAnsi"/>
          <w:lang w:val="en-US"/>
        </w:rPr>
      </w:pPr>
      <w:r w:rsidRPr="007163B0">
        <w:rPr>
          <w:rFonts w:cstheme="minorHAnsi"/>
          <w:lang w:val="en-US"/>
        </w:rPr>
        <w:t xml:space="preserve">The Town of East Fremantle will backup daily all electronic transactions for business continuation purposes only.  </w:t>
      </w:r>
    </w:p>
    <w:p w14:paraId="6CF6C569" w14:textId="77777777" w:rsidR="007163B0" w:rsidRPr="007163B0" w:rsidRDefault="007163B0" w:rsidP="002D138F">
      <w:pPr>
        <w:tabs>
          <w:tab w:val="num" w:pos="2835"/>
        </w:tabs>
        <w:spacing w:before="200"/>
        <w:ind w:left="426"/>
        <w:jc w:val="both"/>
        <w:rPr>
          <w:rFonts w:cstheme="minorHAnsi"/>
        </w:rPr>
      </w:pPr>
      <w:r w:rsidRPr="007163B0">
        <w:rPr>
          <w:rFonts w:cstheme="minorHAnsi"/>
        </w:rPr>
        <w:t xml:space="preserve">Deleting an email message automatically deletes any attached files.  It is the user's responsibility to save any files attached to email messages (in Synergy) that may be required in the future relating to the business of the Town of East Fremantle.   </w:t>
      </w:r>
    </w:p>
    <w:p w14:paraId="520037FE" w14:textId="77777777" w:rsidR="00BE407A" w:rsidRDefault="00BE407A">
      <w:pPr>
        <w:rPr>
          <w:rFonts w:cstheme="minorHAnsi"/>
          <w:lang w:val="en-US"/>
        </w:rPr>
      </w:pPr>
      <w:r>
        <w:rPr>
          <w:rFonts w:cstheme="minorHAnsi"/>
          <w:lang w:val="en-US"/>
        </w:rPr>
        <w:br w:type="page"/>
      </w:r>
    </w:p>
    <w:p w14:paraId="6D70E602" w14:textId="223433C4" w:rsidR="00BE407A" w:rsidRDefault="00F23DE3" w:rsidP="00BE407A">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43904" behindDoc="1" locked="0" layoutInCell="1" allowOverlap="1" wp14:anchorId="5D4E9FCB" wp14:editId="7F799487">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F34D9A8" w14:textId="77777777" w:rsidR="00BE407A" w:rsidRPr="00BE407A" w:rsidRDefault="00BE407A" w:rsidP="00B00D30">
      <w:pPr>
        <w:pStyle w:val="Title"/>
        <w:pBdr>
          <w:bottom w:val="none" w:sz="0" w:space="0" w:color="auto"/>
        </w:pBdr>
        <w:spacing w:before="240" w:after="0"/>
        <w:rPr>
          <w:rFonts w:asciiTheme="minorHAnsi" w:hAnsiTheme="minorHAnsi" w:cstheme="minorHAnsi"/>
          <w:b/>
          <w:sz w:val="26"/>
          <w:szCs w:val="28"/>
          <w:lang w:val="en-US"/>
        </w:rPr>
      </w:pPr>
    </w:p>
    <w:p w14:paraId="2EF9FD9E" w14:textId="77777777" w:rsidR="00F23DE3" w:rsidRDefault="00F23DE3" w:rsidP="00B00D30">
      <w:pPr>
        <w:pStyle w:val="Policy3"/>
      </w:pPr>
    </w:p>
    <w:p w14:paraId="180E2A7E" w14:textId="77777777" w:rsidR="00F23DE3" w:rsidRDefault="00F23DE3" w:rsidP="00B00D30">
      <w:pPr>
        <w:pStyle w:val="Policy3"/>
      </w:pPr>
    </w:p>
    <w:p w14:paraId="498ED07B" w14:textId="47836D8A" w:rsidR="00BE407A" w:rsidRPr="00B8111F" w:rsidRDefault="00B47F10" w:rsidP="00B00D30">
      <w:pPr>
        <w:pStyle w:val="Policy3"/>
      </w:pPr>
      <w:bookmarkStart w:id="417" w:name="_Toc216866703"/>
      <w:r w:rsidRPr="00B8111F">
        <w:t>2.2.3</w:t>
      </w:r>
      <w:r w:rsidRPr="00B8111F">
        <w:tab/>
      </w:r>
      <w:r w:rsidR="00BE407A" w:rsidRPr="00B8111F">
        <w:t>R</w:t>
      </w:r>
      <w:r w:rsidR="00B00D30">
        <w:t>elated Party Disclosures</w:t>
      </w:r>
      <w:bookmarkEnd w:id="417"/>
    </w:p>
    <w:tbl>
      <w:tblPr>
        <w:tblStyle w:val="TableGrid"/>
        <w:tblW w:w="0" w:type="auto"/>
        <w:tblLook w:val="04A0" w:firstRow="1" w:lastRow="0" w:firstColumn="1" w:lastColumn="0" w:noHBand="0" w:noVBand="1"/>
      </w:tblPr>
      <w:tblGrid>
        <w:gridCol w:w="3024"/>
        <w:gridCol w:w="5992"/>
      </w:tblGrid>
      <w:tr w:rsidR="00BE407A" w:rsidRPr="00B47F10" w14:paraId="193B2023" w14:textId="77777777" w:rsidTr="00B47F10">
        <w:tc>
          <w:tcPr>
            <w:tcW w:w="3024" w:type="dxa"/>
          </w:tcPr>
          <w:p w14:paraId="06E0DF58" w14:textId="77777777" w:rsidR="00BE407A" w:rsidRPr="00B47F10" w:rsidRDefault="00BE407A" w:rsidP="007A1587">
            <w:pPr>
              <w:rPr>
                <w:rFonts w:cstheme="minorHAnsi"/>
                <w:b/>
                <w:lang w:val="en-US"/>
              </w:rPr>
            </w:pPr>
            <w:r w:rsidRPr="00B47F10">
              <w:rPr>
                <w:rFonts w:cstheme="minorHAnsi"/>
                <w:b/>
                <w:lang w:val="en-US"/>
              </w:rPr>
              <w:t>Type:</w:t>
            </w:r>
          </w:p>
        </w:tc>
        <w:tc>
          <w:tcPr>
            <w:tcW w:w="5992" w:type="dxa"/>
          </w:tcPr>
          <w:p w14:paraId="7BE4F294" w14:textId="77777777" w:rsidR="00BE407A" w:rsidRPr="00B47F10" w:rsidRDefault="00846564" w:rsidP="00846564">
            <w:pPr>
              <w:rPr>
                <w:rFonts w:cstheme="minorHAnsi"/>
                <w:lang w:val="en-US"/>
              </w:rPr>
            </w:pPr>
            <w:r>
              <w:rPr>
                <w:rFonts w:cstheme="minorHAnsi"/>
                <w:lang w:val="en-US"/>
              </w:rPr>
              <w:t xml:space="preserve">Corporate </w:t>
            </w:r>
            <w:proofErr w:type="gramStart"/>
            <w:r>
              <w:rPr>
                <w:rFonts w:cstheme="minorHAnsi"/>
                <w:lang w:val="en-US"/>
              </w:rPr>
              <w:t xml:space="preserve">Services </w:t>
            </w:r>
            <w:r w:rsidR="00BE407A" w:rsidRPr="00B47F10">
              <w:rPr>
                <w:rFonts w:cstheme="minorHAnsi"/>
                <w:lang w:val="en-US"/>
              </w:rPr>
              <w:t xml:space="preserve"> –</w:t>
            </w:r>
            <w:proofErr w:type="gramEnd"/>
            <w:r w:rsidR="00BE407A" w:rsidRPr="00B47F10">
              <w:rPr>
                <w:rFonts w:cstheme="minorHAnsi"/>
                <w:lang w:val="en-US"/>
              </w:rPr>
              <w:t xml:space="preserve"> Risk Management</w:t>
            </w:r>
          </w:p>
        </w:tc>
      </w:tr>
      <w:tr w:rsidR="00BE407A" w:rsidRPr="00B47F10" w14:paraId="34C8A246" w14:textId="77777777" w:rsidTr="00B47F10">
        <w:tc>
          <w:tcPr>
            <w:tcW w:w="3024" w:type="dxa"/>
          </w:tcPr>
          <w:p w14:paraId="0C4CA8AC" w14:textId="77777777" w:rsidR="00BE407A" w:rsidRPr="00B47F10" w:rsidRDefault="00BE407A" w:rsidP="007A1587">
            <w:pPr>
              <w:rPr>
                <w:rFonts w:cstheme="minorHAnsi"/>
                <w:b/>
                <w:lang w:val="en-US"/>
              </w:rPr>
            </w:pPr>
            <w:r w:rsidRPr="00B47F10">
              <w:rPr>
                <w:rFonts w:cstheme="minorHAnsi"/>
                <w:b/>
                <w:lang w:val="en-US"/>
              </w:rPr>
              <w:t>Legislation:</w:t>
            </w:r>
          </w:p>
        </w:tc>
        <w:tc>
          <w:tcPr>
            <w:tcW w:w="5992" w:type="dxa"/>
          </w:tcPr>
          <w:p w14:paraId="73EF8CAC" w14:textId="77777777" w:rsidR="00BE407A" w:rsidRPr="00B47F10" w:rsidRDefault="00BE407A" w:rsidP="007A1587">
            <w:pPr>
              <w:rPr>
                <w:rFonts w:cstheme="minorHAnsi"/>
                <w:lang w:val="en-US"/>
              </w:rPr>
            </w:pPr>
            <w:r w:rsidRPr="00B47F10">
              <w:rPr>
                <w:rFonts w:cstheme="minorHAnsi"/>
                <w:lang w:val="en-US"/>
              </w:rPr>
              <w:t xml:space="preserve">Local Government Act 1995 </w:t>
            </w:r>
          </w:p>
          <w:p w14:paraId="47F4998C" w14:textId="77777777" w:rsidR="00BE407A" w:rsidRPr="00B47F10" w:rsidRDefault="00BE407A" w:rsidP="007A1587">
            <w:pPr>
              <w:rPr>
                <w:rFonts w:cstheme="minorHAnsi"/>
                <w:lang w:val="en-US"/>
              </w:rPr>
            </w:pPr>
            <w:r w:rsidRPr="00B47F10">
              <w:rPr>
                <w:rFonts w:cstheme="minorHAnsi"/>
                <w:lang w:val="en-US"/>
              </w:rPr>
              <w:t>Local Government (Financial Management) Regulations 1996</w:t>
            </w:r>
          </w:p>
          <w:p w14:paraId="0DB35B77" w14:textId="77777777" w:rsidR="00BE407A" w:rsidRPr="00B47F10" w:rsidRDefault="00BE407A" w:rsidP="007A1587">
            <w:pPr>
              <w:rPr>
                <w:rFonts w:cstheme="minorHAnsi"/>
                <w:lang w:val="en-US"/>
              </w:rPr>
            </w:pPr>
            <w:r w:rsidRPr="00B47F10">
              <w:rPr>
                <w:rFonts w:cstheme="minorHAnsi"/>
                <w:lang w:val="en-US"/>
              </w:rPr>
              <w:t>Australian Accounting Standard – AASB124 Related Party Disclosures</w:t>
            </w:r>
          </w:p>
        </w:tc>
      </w:tr>
      <w:tr w:rsidR="00BE407A" w:rsidRPr="00B47F10" w14:paraId="6BD4C6B9" w14:textId="77777777" w:rsidTr="00B47F10">
        <w:tc>
          <w:tcPr>
            <w:tcW w:w="3024" w:type="dxa"/>
          </w:tcPr>
          <w:p w14:paraId="10061A32" w14:textId="77777777" w:rsidR="00BE407A" w:rsidRPr="00B47F10" w:rsidRDefault="00BE407A" w:rsidP="007A1587">
            <w:pPr>
              <w:rPr>
                <w:rFonts w:cstheme="minorHAnsi"/>
                <w:b/>
                <w:lang w:val="en-US"/>
              </w:rPr>
            </w:pPr>
            <w:r w:rsidRPr="00B47F10">
              <w:rPr>
                <w:rFonts w:cstheme="minorHAnsi"/>
                <w:b/>
                <w:lang w:val="en-US"/>
              </w:rPr>
              <w:t>Delegation:</w:t>
            </w:r>
          </w:p>
        </w:tc>
        <w:tc>
          <w:tcPr>
            <w:tcW w:w="5992" w:type="dxa"/>
          </w:tcPr>
          <w:p w14:paraId="55279D92" w14:textId="77777777" w:rsidR="00BE407A" w:rsidRPr="00B47F10" w:rsidRDefault="00BE407A" w:rsidP="007A1587">
            <w:pPr>
              <w:rPr>
                <w:rFonts w:cstheme="minorHAnsi"/>
                <w:lang w:val="en-US"/>
              </w:rPr>
            </w:pPr>
            <w:r w:rsidRPr="00B47F10">
              <w:rPr>
                <w:rFonts w:cstheme="minorHAnsi"/>
                <w:lang w:val="en-US"/>
              </w:rPr>
              <w:t>N/A</w:t>
            </w:r>
          </w:p>
        </w:tc>
      </w:tr>
      <w:tr w:rsidR="00BE407A" w:rsidRPr="00B47F10" w14:paraId="7450367D" w14:textId="77777777" w:rsidTr="00B47F10">
        <w:tc>
          <w:tcPr>
            <w:tcW w:w="3024" w:type="dxa"/>
          </w:tcPr>
          <w:p w14:paraId="5CD89B7F" w14:textId="77777777" w:rsidR="00BE407A" w:rsidRPr="00B47F10" w:rsidRDefault="00BE407A" w:rsidP="007A1587">
            <w:pPr>
              <w:rPr>
                <w:rFonts w:cstheme="minorHAnsi"/>
                <w:b/>
                <w:lang w:val="en-US"/>
              </w:rPr>
            </w:pPr>
            <w:r w:rsidRPr="00B47F10">
              <w:rPr>
                <w:rFonts w:cstheme="minorHAnsi"/>
                <w:b/>
                <w:lang w:val="en-US"/>
              </w:rPr>
              <w:t>Other Related Document:</w:t>
            </w:r>
          </w:p>
        </w:tc>
        <w:tc>
          <w:tcPr>
            <w:tcW w:w="5992" w:type="dxa"/>
          </w:tcPr>
          <w:p w14:paraId="7CD22D60" w14:textId="77777777" w:rsidR="00BE407A" w:rsidRPr="00B47F10" w:rsidRDefault="00BE407A" w:rsidP="007A1587">
            <w:pPr>
              <w:rPr>
                <w:rFonts w:cstheme="minorHAnsi"/>
                <w:lang w:val="en-US"/>
              </w:rPr>
            </w:pPr>
            <w:r w:rsidRPr="00B47F10">
              <w:rPr>
                <w:rFonts w:cstheme="minorHAnsi"/>
                <w:lang w:val="en-US"/>
              </w:rPr>
              <w:t>AASB124 Related Party Disclosures – Fact Sheet</w:t>
            </w:r>
          </w:p>
          <w:p w14:paraId="2623BEB4" w14:textId="77777777" w:rsidR="00BE407A" w:rsidRPr="00B47F10" w:rsidRDefault="00BE407A" w:rsidP="007A1587">
            <w:pPr>
              <w:rPr>
                <w:rFonts w:cstheme="minorHAnsi"/>
                <w:lang w:val="en-US"/>
              </w:rPr>
            </w:pPr>
            <w:r w:rsidRPr="00B47F10">
              <w:rPr>
                <w:rFonts w:cstheme="minorHAnsi"/>
                <w:lang w:val="en-US"/>
              </w:rPr>
              <w:t>AASB124 Related Party Disclosures – Implementation Guide June 2017</w:t>
            </w:r>
          </w:p>
          <w:p w14:paraId="4457B890" w14:textId="77777777" w:rsidR="00BE407A" w:rsidRPr="00B47F10" w:rsidRDefault="00BE407A" w:rsidP="007A1587">
            <w:pPr>
              <w:rPr>
                <w:rFonts w:cstheme="minorHAnsi"/>
                <w:lang w:val="en-US"/>
              </w:rPr>
            </w:pPr>
            <w:r w:rsidRPr="00B47F10">
              <w:rPr>
                <w:rFonts w:cstheme="minorHAnsi"/>
                <w:lang w:val="en-US"/>
              </w:rPr>
              <w:t>E17/4866 Related Party Disclosures Declaration Form</w:t>
            </w:r>
          </w:p>
        </w:tc>
      </w:tr>
    </w:tbl>
    <w:p w14:paraId="444752DE" w14:textId="77777777" w:rsidR="00BE407A" w:rsidRPr="00B8111F" w:rsidRDefault="00BE407A" w:rsidP="00B47F10">
      <w:pPr>
        <w:spacing w:before="240" w:after="0"/>
        <w:rPr>
          <w:b/>
          <w:sz w:val="28"/>
          <w:szCs w:val="28"/>
          <w:lang w:val="en-US"/>
        </w:rPr>
      </w:pPr>
      <w:r w:rsidRPr="00B8111F">
        <w:rPr>
          <w:b/>
          <w:sz w:val="28"/>
          <w:szCs w:val="28"/>
          <w:lang w:val="en-US"/>
        </w:rPr>
        <w:t>Objective</w:t>
      </w:r>
    </w:p>
    <w:p w14:paraId="7F42F96B" w14:textId="77777777" w:rsidR="00BE407A" w:rsidRPr="00B47F10" w:rsidRDefault="00BE407A" w:rsidP="00BE407A">
      <w:pPr>
        <w:spacing w:line="240" w:lineRule="auto"/>
        <w:jc w:val="both"/>
        <w:rPr>
          <w:rFonts w:cstheme="minorHAnsi"/>
          <w:lang w:val="en-US"/>
        </w:rPr>
      </w:pPr>
      <w:r w:rsidRPr="00B47F10">
        <w:rPr>
          <w:rFonts w:cstheme="minorHAnsi"/>
          <w:lang w:val="en-US"/>
        </w:rPr>
        <w:t xml:space="preserve">This policy is to stipulate the information to be requested from related parties to enable an informed judgement to be made </w:t>
      </w:r>
      <w:proofErr w:type="gramStart"/>
      <w:r w:rsidRPr="00B47F10">
        <w:rPr>
          <w:rFonts w:cstheme="minorHAnsi"/>
          <w:lang w:val="en-US"/>
        </w:rPr>
        <w:t>in order to</w:t>
      </w:r>
      <w:proofErr w:type="gramEnd"/>
      <w:r w:rsidRPr="00B47F10">
        <w:rPr>
          <w:rFonts w:cstheme="minorHAnsi"/>
          <w:lang w:val="en-US"/>
        </w:rPr>
        <w:t xml:space="preserve"> comply with the requirements of AASB124 – Related Party Disclosures.</w:t>
      </w:r>
    </w:p>
    <w:p w14:paraId="476777DB" w14:textId="77777777" w:rsidR="00BE407A" w:rsidRPr="00B8111F" w:rsidRDefault="00B8111F" w:rsidP="00B47F10">
      <w:pPr>
        <w:spacing w:after="0"/>
        <w:rPr>
          <w:b/>
          <w:sz w:val="28"/>
          <w:szCs w:val="28"/>
          <w:lang w:val="en-US"/>
        </w:rPr>
      </w:pPr>
      <w:r>
        <w:rPr>
          <w:b/>
          <w:sz w:val="28"/>
          <w:szCs w:val="28"/>
          <w:lang w:val="en-US"/>
        </w:rPr>
        <w:t>Policy Scope</w:t>
      </w:r>
    </w:p>
    <w:p w14:paraId="676DDB4E" w14:textId="77777777" w:rsidR="00BE407A" w:rsidRPr="00B47F10" w:rsidRDefault="00BE407A" w:rsidP="00BE407A">
      <w:pPr>
        <w:spacing w:line="240" w:lineRule="auto"/>
        <w:jc w:val="both"/>
        <w:rPr>
          <w:rFonts w:cstheme="minorHAnsi"/>
          <w:lang w:val="en-US"/>
        </w:rPr>
      </w:pPr>
      <w:r w:rsidRPr="00B47F10">
        <w:rPr>
          <w:rFonts w:cstheme="minorHAnsi"/>
          <w:i/>
          <w:lang w:val="en-US"/>
        </w:rPr>
        <w:t>Related Party:</w:t>
      </w:r>
      <w:r w:rsidRPr="00B47F10">
        <w:rPr>
          <w:rFonts w:cstheme="minorHAnsi"/>
          <w:b/>
          <w:lang w:val="en-US"/>
        </w:rPr>
        <w:t xml:space="preserve"> </w:t>
      </w:r>
      <w:r w:rsidRPr="00B47F10">
        <w:rPr>
          <w:rFonts w:cstheme="minorHAnsi"/>
          <w:lang w:val="en-US"/>
        </w:rPr>
        <w:t xml:space="preserve"> A person or entity that is related to the local government that is preparing its financial statements (the Town).</w:t>
      </w:r>
    </w:p>
    <w:p w14:paraId="7C833BDD" w14:textId="77777777" w:rsidR="00BE407A" w:rsidRPr="00B47F10" w:rsidRDefault="00BE407A" w:rsidP="00B47F10">
      <w:pPr>
        <w:spacing w:after="60" w:line="240" w:lineRule="auto"/>
        <w:jc w:val="both"/>
        <w:rPr>
          <w:rFonts w:cstheme="minorHAnsi"/>
          <w:lang w:val="en-US"/>
        </w:rPr>
      </w:pPr>
      <w:r w:rsidRPr="00B47F10">
        <w:rPr>
          <w:rFonts w:cstheme="minorHAnsi"/>
          <w:lang w:val="en-US"/>
        </w:rPr>
        <w:t>A person or a close member of that person’s family is related if that person:</w:t>
      </w:r>
    </w:p>
    <w:p w14:paraId="519C8924" w14:textId="77777777" w:rsidR="00BE407A" w:rsidRPr="00B47F10" w:rsidRDefault="00BE407A" w:rsidP="00B47F10">
      <w:pPr>
        <w:spacing w:after="60" w:line="240" w:lineRule="auto"/>
        <w:ind w:left="567" w:hanging="567"/>
        <w:jc w:val="both"/>
        <w:rPr>
          <w:rFonts w:cstheme="minorHAnsi"/>
          <w:lang w:val="en-US"/>
        </w:rPr>
      </w:pPr>
      <w:r w:rsidRPr="00B47F10">
        <w:rPr>
          <w:rFonts w:cstheme="minorHAnsi"/>
          <w:lang w:val="en-US"/>
        </w:rPr>
        <w:t xml:space="preserve">(a) </w:t>
      </w:r>
      <w:r w:rsidRPr="00B47F10">
        <w:rPr>
          <w:rFonts w:cstheme="minorHAnsi"/>
          <w:lang w:val="en-US"/>
        </w:rPr>
        <w:tab/>
        <w:t>has significant influence over the reporting entity; or</w:t>
      </w:r>
    </w:p>
    <w:p w14:paraId="7D460DA8" w14:textId="77777777" w:rsidR="00BE407A" w:rsidRPr="00B47F10" w:rsidRDefault="00BE407A" w:rsidP="00BE407A">
      <w:pPr>
        <w:spacing w:line="240" w:lineRule="auto"/>
        <w:ind w:left="567" w:hanging="567"/>
        <w:jc w:val="both"/>
        <w:rPr>
          <w:rFonts w:cstheme="minorHAnsi"/>
          <w:lang w:val="en-US"/>
        </w:rPr>
      </w:pPr>
      <w:r w:rsidRPr="00B47F10">
        <w:rPr>
          <w:rFonts w:cstheme="minorHAnsi"/>
          <w:lang w:val="en-US"/>
        </w:rPr>
        <w:t xml:space="preserve">(b) </w:t>
      </w:r>
      <w:r w:rsidRPr="00B47F10">
        <w:rPr>
          <w:rFonts w:cstheme="minorHAnsi"/>
          <w:lang w:val="en-US"/>
        </w:rPr>
        <w:tab/>
        <w:t>is a member of the key management personnel of the reporting entity.</w:t>
      </w:r>
    </w:p>
    <w:p w14:paraId="0386CF3C" w14:textId="77777777" w:rsidR="00BE407A" w:rsidRPr="00B47F10" w:rsidRDefault="00BE407A" w:rsidP="00B47F10">
      <w:pPr>
        <w:spacing w:after="60" w:line="240" w:lineRule="auto"/>
        <w:jc w:val="both"/>
        <w:rPr>
          <w:rFonts w:cstheme="minorHAnsi"/>
          <w:lang w:val="en-US"/>
        </w:rPr>
      </w:pPr>
      <w:r w:rsidRPr="00B47F10">
        <w:rPr>
          <w:rFonts w:cstheme="minorHAnsi"/>
          <w:lang w:val="en-US"/>
        </w:rPr>
        <w:t>An entity is related if any of the following conditions applies:</w:t>
      </w:r>
    </w:p>
    <w:p w14:paraId="65C8E52B" w14:textId="77777777" w:rsidR="00BE407A" w:rsidRPr="00B47F10" w:rsidRDefault="00BE407A" w:rsidP="00B47F10">
      <w:pPr>
        <w:spacing w:after="60" w:line="240" w:lineRule="auto"/>
        <w:ind w:left="567" w:hanging="567"/>
        <w:jc w:val="both"/>
        <w:rPr>
          <w:rFonts w:cstheme="minorHAnsi"/>
          <w:lang w:val="en-US"/>
        </w:rPr>
      </w:pPr>
      <w:r w:rsidRPr="00B47F10">
        <w:rPr>
          <w:rFonts w:cstheme="minorHAnsi"/>
          <w:lang w:val="en-US"/>
        </w:rPr>
        <w:t xml:space="preserve">(a) </w:t>
      </w:r>
      <w:r w:rsidRPr="00B47F10">
        <w:rPr>
          <w:rFonts w:cstheme="minorHAnsi"/>
          <w:lang w:val="en-US"/>
        </w:rPr>
        <w:tab/>
        <w:t>the entity and the reporting entity are members of the same group (which means that each parent, subsidiary and fellow subsidiary is related to the others); or</w:t>
      </w:r>
    </w:p>
    <w:p w14:paraId="670CA18C" w14:textId="77777777" w:rsidR="00BE407A" w:rsidRPr="00B47F10" w:rsidRDefault="00BE407A" w:rsidP="00B47F10">
      <w:pPr>
        <w:spacing w:after="60" w:line="240" w:lineRule="auto"/>
        <w:ind w:left="567" w:hanging="567"/>
        <w:jc w:val="both"/>
        <w:rPr>
          <w:rFonts w:cstheme="minorHAnsi"/>
          <w:lang w:val="en-US"/>
        </w:rPr>
      </w:pPr>
      <w:r w:rsidRPr="00B47F10">
        <w:rPr>
          <w:rFonts w:cstheme="minorHAnsi"/>
          <w:lang w:val="en-US"/>
        </w:rPr>
        <w:t xml:space="preserve">(b) </w:t>
      </w:r>
      <w:r w:rsidRPr="00B47F10">
        <w:rPr>
          <w:rFonts w:cstheme="minorHAnsi"/>
          <w:lang w:val="en-US"/>
        </w:rPr>
        <w:tab/>
        <w:t xml:space="preserve">a person is a member of the key management personnel of the </w:t>
      </w:r>
      <w:proofErr w:type="gramStart"/>
      <w:r w:rsidRPr="00B47F10">
        <w:rPr>
          <w:rFonts w:cstheme="minorHAnsi"/>
          <w:lang w:val="en-US"/>
        </w:rPr>
        <w:t>entity;</w:t>
      </w:r>
      <w:proofErr w:type="gramEnd"/>
    </w:p>
    <w:p w14:paraId="6A9E6C85" w14:textId="77777777" w:rsidR="00BE407A" w:rsidRPr="00B47F10" w:rsidRDefault="00BE407A" w:rsidP="00BE407A">
      <w:pPr>
        <w:spacing w:line="240" w:lineRule="auto"/>
        <w:ind w:left="567" w:hanging="567"/>
        <w:jc w:val="both"/>
        <w:rPr>
          <w:rFonts w:cstheme="minorHAnsi"/>
          <w:lang w:val="en-US"/>
        </w:rPr>
      </w:pPr>
      <w:r w:rsidRPr="00B47F10">
        <w:rPr>
          <w:rFonts w:cstheme="minorHAnsi"/>
          <w:lang w:val="en-US"/>
        </w:rPr>
        <w:t xml:space="preserve">(c) </w:t>
      </w:r>
      <w:r w:rsidRPr="00B47F10">
        <w:rPr>
          <w:rFonts w:cstheme="minorHAnsi"/>
          <w:lang w:val="en-US"/>
        </w:rPr>
        <w:tab/>
        <w:t>the entity is controlled or jointly controlled by a person identified above.</w:t>
      </w:r>
    </w:p>
    <w:p w14:paraId="5AB62366" w14:textId="77777777" w:rsidR="00BE407A" w:rsidRPr="00B47F10" w:rsidRDefault="00BE407A" w:rsidP="00BE407A">
      <w:pPr>
        <w:spacing w:line="240" w:lineRule="auto"/>
        <w:jc w:val="both"/>
        <w:rPr>
          <w:rFonts w:cstheme="minorHAnsi"/>
          <w:lang w:val="en-US"/>
        </w:rPr>
      </w:pPr>
      <w:r w:rsidRPr="00B47F10">
        <w:rPr>
          <w:rFonts w:cstheme="minorHAnsi"/>
          <w:i/>
          <w:lang w:val="en-US"/>
        </w:rPr>
        <w:t>Key Management Personnel (KMP):</w:t>
      </w:r>
      <w:r w:rsidRPr="00B47F10">
        <w:rPr>
          <w:rFonts w:cstheme="minorHAnsi"/>
          <w:b/>
          <w:lang w:val="en-US"/>
        </w:rPr>
        <w:t xml:space="preserve"> </w:t>
      </w:r>
      <w:r w:rsidRPr="00B47F10">
        <w:rPr>
          <w:rFonts w:cstheme="minorHAnsi"/>
          <w:lang w:val="en-US"/>
        </w:rPr>
        <w:t>Those persons having authority and responsibility for planning, directing and controlling the activities of the entity, directly or indirectly, including any director (whether executive or otherwise) of that entity.</w:t>
      </w:r>
    </w:p>
    <w:p w14:paraId="1878EE47" w14:textId="77777777" w:rsidR="00BE407A" w:rsidRPr="00B47F10" w:rsidRDefault="00BE407A" w:rsidP="00BE407A">
      <w:pPr>
        <w:jc w:val="both"/>
        <w:rPr>
          <w:rFonts w:cstheme="minorHAnsi"/>
          <w:lang w:val="en-US"/>
        </w:rPr>
      </w:pPr>
      <w:r w:rsidRPr="00B47F10">
        <w:rPr>
          <w:rFonts w:cstheme="minorHAnsi"/>
          <w:lang w:val="en-US"/>
        </w:rPr>
        <w:t>KMP for local governments would include elected members and senior staff (CEO, Executive Managers and Operations Manager).</w:t>
      </w:r>
    </w:p>
    <w:p w14:paraId="7259D4AF" w14:textId="77777777" w:rsidR="00BE407A" w:rsidRPr="00B47F10" w:rsidRDefault="00BE407A" w:rsidP="00B47F10">
      <w:pPr>
        <w:spacing w:after="60" w:line="240" w:lineRule="auto"/>
        <w:jc w:val="both"/>
        <w:rPr>
          <w:rFonts w:cstheme="minorHAnsi"/>
          <w:lang w:val="en-US"/>
        </w:rPr>
      </w:pPr>
      <w:r w:rsidRPr="00B47F10">
        <w:rPr>
          <w:rFonts w:cstheme="minorHAnsi"/>
          <w:i/>
          <w:lang w:val="en-US"/>
        </w:rPr>
        <w:t>Close Member of the Family of a Person</w:t>
      </w:r>
      <w:r w:rsidRPr="00B47F10">
        <w:rPr>
          <w:rFonts w:cstheme="minorHAnsi"/>
          <w:b/>
          <w:lang w:val="en-US"/>
        </w:rPr>
        <w:t xml:space="preserve">: </w:t>
      </w:r>
      <w:r w:rsidRPr="00B47F10">
        <w:rPr>
          <w:rFonts w:cstheme="minorHAnsi"/>
          <w:lang w:val="en-US"/>
        </w:rPr>
        <w:t>Those family members who may be expected to influence, or be influenced by, that person in their dealings with the entity and include:</w:t>
      </w:r>
    </w:p>
    <w:p w14:paraId="7B4134EF" w14:textId="77777777" w:rsidR="00BE407A" w:rsidRPr="00B47F10" w:rsidRDefault="00BE407A" w:rsidP="00B47F10">
      <w:pPr>
        <w:spacing w:after="60" w:line="240" w:lineRule="auto"/>
        <w:ind w:left="567" w:hanging="567"/>
        <w:jc w:val="both"/>
        <w:rPr>
          <w:rFonts w:cstheme="minorHAnsi"/>
          <w:lang w:val="en-US"/>
        </w:rPr>
      </w:pPr>
      <w:r w:rsidRPr="00B47F10">
        <w:rPr>
          <w:rFonts w:cstheme="minorHAnsi"/>
          <w:lang w:val="en-US"/>
        </w:rPr>
        <w:t xml:space="preserve">(a) </w:t>
      </w:r>
      <w:r w:rsidRPr="00B47F10">
        <w:rPr>
          <w:rFonts w:cstheme="minorHAnsi"/>
          <w:lang w:val="en-US"/>
        </w:rPr>
        <w:tab/>
        <w:t xml:space="preserve">that person’s children and spouse or domestic </w:t>
      </w:r>
      <w:proofErr w:type="gramStart"/>
      <w:r w:rsidRPr="00B47F10">
        <w:rPr>
          <w:rFonts w:cstheme="minorHAnsi"/>
          <w:lang w:val="en-US"/>
        </w:rPr>
        <w:t>partner;</w:t>
      </w:r>
      <w:proofErr w:type="gramEnd"/>
    </w:p>
    <w:p w14:paraId="0F989C4E" w14:textId="77777777" w:rsidR="00BE407A" w:rsidRPr="00B47F10" w:rsidRDefault="00BE407A" w:rsidP="00B47F10">
      <w:pPr>
        <w:spacing w:after="60" w:line="240" w:lineRule="auto"/>
        <w:ind w:left="567" w:hanging="567"/>
        <w:jc w:val="both"/>
        <w:rPr>
          <w:rFonts w:cstheme="minorHAnsi"/>
          <w:lang w:val="en-US"/>
        </w:rPr>
      </w:pPr>
      <w:r w:rsidRPr="00B47F10">
        <w:rPr>
          <w:rFonts w:cstheme="minorHAnsi"/>
          <w:lang w:val="en-US"/>
        </w:rPr>
        <w:t xml:space="preserve">(b) </w:t>
      </w:r>
      <w:r w:rsidRPr="00B47F10">
        <w:rPr>
          <w:rFonts w:cstheme="minorHAnsi"/>
          <w:lang w:val="en-US"/>
        </w:rPr>
        <w:tab/>
        <w:t xml:space="preserve">children of that person’s spouse or domestic </w:t>
      </w:r>
      <w:proofErr w:type="gramStart"/>
      <w:r w:rsidRPr="00B47F10">
        <w:rPr>
          <w:rFonts w:cstheme="minorHAnsi"/>
          <w:lang w:val="en-US"/>
        </w:rPr>
        <w:t>partner;</w:t>
      </w:r>
      <w:proofErr w:type="gramEnd"/>
    </w:p>
    <w:p w14:paraId="6CB109F7" w14:textId="77777777" w:rsidR="00BE407A" w:rsidRPr="00B47F10" w:rsidRDefault="00BE407A" w:rsidP="00B47F10">
      <w:pPr>
        <w:spacing w:after="60" w:line="240" w:lineRule="auto"/>
        <w:ind w:left="567" w:hanging="567"/>
        <w:jc w:val="both"/>
        <w:rPr>
          <w:rFonts w:cstheme="minorHAnsi"/>
          <w:lang w:val="en-US"/>
        </w:rPr>
      </w:pPr>
      <w:r w:rsidRPr="00B47F10">
        <w:rPr>
          <w:rFonts w:cstheme="minorHAnsi"/>
          <w:lang w:val="en-US"/>
        </w:rPr>
        <w:t xml:space="preserve">(c) </w:t>
      </w:r>
      <w:r w:rsidRPr="00B47F10">
        <w:rPr>
          <w:rFonts w:cstheme="minorHAnsi"/>
          <w:lang w:val="en-US"/>
        </w:rPr>
        <w:tab/>
        <w:t>dependents of that person or that person’s spouse or domestic partner; and</w:t>
      </w:r>
    </w:p>
    <w:p w14:paraId="5ED83A52" w14:textId="77777777" w:rsidR="00BE407A" w:rsidRPr="00B47F10" w:rsidRDefault="00BE407A" w:rsidP="00BE407A">
      <w:pPr>
        <w:spacing w:line="240" w:lineRule="auto"/>
        <w:ind w:left="567" w:hanging="567"/>
        <w:jc w:val="both"/>
        <w:rPr>
          <w:rFonts w:cstheme="minorHAnsi"/>
          <w:lang w:val="en-US"/>
        </w:rPr>
      </w:pPr>
      <w:r w:rsidRPr="00B47F10">
        <w:rPr>
          <w:rFonts w:cstheme="minorHAnsi"/>
          <w:lang w:val="en-US"/>
        </w:rPr>
        <w:t xml:space="preserve">(d) </w:t>
      </w:r>
      <w:r w:rsidRPr="00B47F10">
        <w:rPr>
          <w:rFonts w:cstheme="minorHAnsi"/>
          <w:lang w:val="en-US"/>
        </w:rPr>
        <w:tab/>
        <w:t>any other close family member.</w:t>
      </w:r>
    </w:p>
    <w:p w14:paraId="284243B7" w14:textId="77777777" w:rsidR="00BE407A" w:rsidRPr="00B47F10" w:rsidRDefault="00BE407A" w:rsidP="00BE407A">
      <w:pPr>
        <w:spacing w:line="240" w:lineRule="auto"/>
        <w:jc w:val="both"/>
        <w:rPr>
          <w:rFonts w:cstheme="minorHAnsi"/>
          <w:lang w:val="en-US"/>
        </w:rPr>
      </w:pPr>
      <w:r w:rsidRPr="00B47F10">
        <w:rPr>
          <w:rFonts w:cstheme="minorHAnsi"/>
          <w:i/>
          <w:lang w:val="en-US"/>
        </w:rPr>
        <w:lastRenderedPageBreak/>
        <w:t>Related Party Transactions</w:t>
      </w:r>
      <w:r w:rsidRPr="00B47F10">
        <w:rPr>
          <w:rFonts w:cstheme="minorHAnsi"/>
          <w:b/>
          <w:lang w:val="en-US"/>
        </w:rPr>
        <w:t>:</w:t>
      </w:r>
      <w:r w:rsidRPr="00B47F10">
        <w:rPr>
          <w:rFonts w:cstheme="minorHAnsi"/>
          <w:lang w:val="en-US"/>
        </w:rPr>
        <w:t xml:space="preserve"> A transfer of resources, services or obligations between a reporting entity and a related party, regardless of whether a price is charged.</w:t>
      </w:r>
    </w:p>
    <w:p w14:paraId="112C9ADA" w14:textId="77777777" w:rsidR="00BE407A" w:rsidRPr="00B8111F" w:rsidRDefault="00BE407A" w:rsidP="00B47F10">
      <w:pPr>
        <w:spacing w:after="0"/>
        <w:rPr>
          <w:b/>
          <w:sz w:val="28"/>
          <w:szCs w:val="28"/>
          <w:lang w:val="en-US"/>
        </w:rPr>
      </w:pPr>
      <w:r w:rsidRPr="00B8111F">
        <w:rPr>
          <w:b/>
          <w:sz w:val="28"/>
          <w:szCs w:val="28"/>
          <w:lang w:val="en-US"/>
        </w:rPr>
        <w:t xml:space="preserve">Policy </w:t>
      </w:r>
    </w:p>
    <w:p w14:paraId="773D48BA" w14:textId="77777777" w:rsidR="00BE407A" w:rsidRPr="00B47F10" w:rsidRDefault="00BE407A" w:rsidP="00BE407A">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The objective of the standard is to ensure that the Town’s financial statements contain disclosures necessary to draw attention to the possibility that its financial position may have been affected by the existence of related parties and by transactions and outstanding balances, including commitments, with such parties in line with the requirements of AASB124 – Related Parties. </w:t>
      </w:r>
    </w:p>
    <w:p w14:paraId="051BF5DE" w14:textId="77777777" w:rsidR="00BE407A" w:rsidRPr="00B47F10" w:rsidRDefault="00BE407A" w:rsidP="00BE407A">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It is important to note that AASB 124 is not designed to detect and report fraud or misconduct. It is more so to enhance transparency and accountability of Council transactions. </w:t>
      </w:r>
    </w:p>
    <w:p w14:paraId="1CB40783" w14:textId="77777777" w:rsidR="00BE407A" w:rsidRPr="00B47F10" w:rsidRDefault="00BE407A" w:rsidP="00BE407A">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The disclosure requirements apply to the existence of relationships regardless of whether a transaction has occurred or not. For each financial year, the Town must make an informed judgement as to who </w:t>
      </w:r>
      <w:proofErr w:type="gramStart"/>
      <w:r w:rsidRPr="00B47F10">
        <w:rPr>
          <w:rFonts w:asciiTheme="minorHAnsi" w:hAnsiTheme="minorHAnsi" w:cstheme="minorHAnsi"/>
          <w:sz w:val="22"/>
          <w:szCs w:val="22"/>
        </w:rPr>
        <w:t>is considered to be</w:t>
      </w:r>
      <w:proofErr w:type="gramEnd"/>
      <w:r w:rsidRPr="00B47F10">
        <w:rPr>
          <w:rFonts w:asciiTheme="minorHAnsi" w:hAnsiTheme="minorHAnsi" w:cstheme="minorHAnsi"/>
          <w:sz w:val="22"/>
          <w:szCs w:val="22"/>
        </w:rPr>
        <w:t xml:space="preserve"> a related party and what transactions need to be considered, when determining if disclosure is required. </w:t>
      </w:r>
    </w:p>
    <w:p w14:paraId="4190F977" w14:textId="77777777" w:rsidR="00BE407A" w:rsidRPr="00B47F10" w:rsidRDefault="00BE407A" w:rsidP="00BE407A">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The purpose of this policy is to stipulate the information to be requested from related parties to enable an informed judgement to be made. </w:t>
      </w:r>
    </w:p>
    <w:p w14:paraId="71BF3201" w14:textId="77777777" w:rsidR="00BE407A" w:rsidRPr="00B8111F" w:rsidRDefault="00BE407A" w:rsidP="00B8111F">
      <w:pPr>
        <w:pStyle w:val="Default"/>
        <w:ind w:hanging="1"/>
        <w:jc w:val="both"/>
        <w:rPr>
          <w:rFonts w:asciiTheme="minorHAnsi" w:hAnsiTheme="minorHAnsi" w:cstheme="minorHAnsi"/>
          <w:b/>
          <w:sz w:val="22"/>
          <w:szCs w:val="22"/>
        </w:rPr>
      </w:pPr>
      <w:r w:rsidRPr="00B8111F">
        <w:rPr>
          <w:rFonts w:asciiTheme="minorHAnsi" w:hAnsiTheme="minorHAnsi" w:cstheme="minorHAnsi"/>
          <w:b/>
          <w:bCs/>
          <w:sz w:val="22"/>
          <w:szCs w:val="22"/>
        </w:rPr>
        <w:t xml:space="preserve">Identification of Related Parties </w:t>
      </w:r>
    </w:p>
    <w:p w14:paraId="4EEE4028" w14:textId="77777777" w:rsidR="00BE407A" w:rsidRPr="00B47F10" w:rsidRDefault="00BE407A" w:rsidP="00B8111F">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AASB 124 provides that the Town of East Fremantle will be required to disclose in its Annual Financial </w:t>
      </w:r>
      <w:proofErr w:type="gramStart"/>
      <w:r w:rsidRPr="00B47F10">
        <w:rPr>
          <w:rFonts w:asciiTheme="minorHAnsi" w:hAnsiTheme="minorHAnsi" w:cstheme="minorHAnsi"/>
          <w:sz w:val="22"/>
          <w:szCs w:val="22"/>
        </w:rPr>
        <w:t>reports;</w:t>
      </w:r>
      <w:proofErr w:type="gramEnd"/>
      <w:r w:rsidRPr="00B47F10">
        <w:rPr>
          <w:rFonts w:asciiTheme="minorHAnsi" w:hAnsiTheme="minorHAnsi" w:cstheme="minorHAnsi"/>
          <w:sz w:val="22"/>
          <w:szCs w:val="22"/>
        </w:rPr>
        <w:t xml:space="preserve"> related party relationships, transactions and outstanding balances. </w:t>
      </w:r>
    </w:p>
    <w:p w14:paraId="252018AC" w14:textId="77777777" w:rsidR="00BE407A" w:rsidRPr="00B47F10" w:rsidRDefault="00BE407A" w:rsidP="00B8111F">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Related parties include person(s) who have significant influence over the reporting entity, a member of the key management personnel (KMP) of the entity, or a close family member of that person who may be expected to influence that person. </w:t>
      </w:r>
    </w:p>
    <w:p w14:paraId="5B5F45AA" w14:textId="77777777" w:rsidR="00BE407A" w:rsidRPr="00B47F10" w:rsidRDefault="00BE407A" w:rsidP="00B8111F">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Key management personnel are defined as persons having authority and responsibility for planning, directing and controlling the activities of the entity, directly or indirectly. </w:t>
      </w:r>
    </w:p>
    <w:p w14:paraId="71007A06" w14:textId="77777777" w:rsidR="00BE407A" w:rsidRPr="00B47F10" w:rsidRDefault="00BE407A" w:rsidP="00B8111F">
      <w:pPr>
        <w:spacing w:after="60"/>
        <w:jc w:val="both"/>
        <w:rPr>
          <w:rFonts w:cstheme="minorHAnsi"/>
          <w:lang w:val="en-US"/>
        </w:rPr>
      </w:pPr>
      <w:r w:rsidRPr="00B47F10">
        <w:rPr>
          <w:rFonts w:cstheme="minorHAnsi"/>
        </w:rPr>
        <w:t xml:space="preserve">For the purposes of determining the application of the standard, the Town has identified the following persons as meeting the definition of </w:t>
      </w:r>
      <w:r w:rsidRPr="00B47F10">
        <w:rPr>
          <w:rFonts w:cstheme="minorHAnsi"/>
          <w:i/>
          <w:iCs/>
        </w:rPr>
        <w:t>Related Party</w:t>
      </w:r>
      <w:r w:rsidRPr="00B47F10">
        <w:rPr>
          <w:rFonts w:cstheme="minorHAnsi"/>
        </w:rPr>
        <w:t>:</w:t>
      </w:r>
    </w:p>
    <w:p w14:paraId="3A562E44"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1. </w:t>
      </w:r>
      <w:r w:rsidRPr="00B47F10">
        <w:rPr>
          <w:rFonts w:asciiTheme="minorHAnsi" w:hAnsiTheme="minorHAnsi" w:cstheme="minorHAnsi"/>
          <w:sz w:val="22"/>
          <w:szCs w:val="22"/>
        </w:rPr>
        <w:tab/>
        <w:t xml:space="preserve">Elected Members. </w:t>
      </w:r>
    </w:p>
    <w:p w14:paraId="1739CABC"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2. </w:t>
      </w:r>
      <w:r w:rsidRPr="00B47F10">
        <w:rPr>
          <w:rFonts w:asciiTheme="minorHAnsi" w:hAnsiTheme="minorHAnsi" w:cstheme="minorHAnsi"/>
          <w:sz w:val="22"/>
          <w:szCs w:val="22"/>
        </w:rPr>
        <w:tab/>
        <w:t xml:space="preserve">Key management personnel being the Chief Executive Officer employed under section 5.36 of the </w:t>
      </w:r>
      <w:r w:rsidRPr="00B47F10">
        <w:rPr>
          <w:rFonts w:asciiTheme="minorHAnsi" w:hAnsiTheme="minorHAnsi" w:cstheme="minorHAnsi"/>
          <w:i/>
          <w:iCs/>
          <w:sz w:val="22"/>
          <w:szCs w:val="22"/>
        </w:rPr>
        <w:t xml:space="preserve">Local Government Act 1995 </w:t>
      </w:r>
      <w:r w:rsidRPr="00B47F10">
        <w:rPr>
          <w:rFonts w:asciiTheme="minorHAnsi" w:hAnsiTheme="minorHAnsi" w:cstheme="minorHAnsi"/>
          <w:sz w:val="22"/>
          <w:szCs w:val="22"/>
        </w:rPr>
        <w:t xml:space="preserve">and senior employees appointed under section 5.37 of the </w:t>
      </w:r>
      <w:r w:rsidRPr="00B47F10">
        <w:rPr>
          <w:rFonts w:asciiTheme="minorHAnsi" w:hAnsiTheme="minorHAnsi" w:cstheme="minorHAnsi"/>
          <w:i/>
          <w:iCs/>
          <w:sz w:val="22"/>
          <w:szCs w:val="22"/>
        </w:rPr>
        <w:t>Local Government Act 1995</w:t>
      </w:r>
      <w:r w:rsidRPr="00B47F10">
        <w:rPr>
          <w:rFonts w:asciiTheme="minorHAnsi" w:hAnsiTheme="minorHAnsi" w:cstheme="minorHAnsi"/>
          <w:sz w:val="22"/>
          <w:szCs w:val="22"/>
        </w:rPr>
        <w:t xml:space="preserve">, who heavily influence Council decision-making and/or direct and control significant functions of Council. </w:t>
      </w:r>
    </w:p>
    <w:p w14:paraId="1F235495"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3. </w:t>
      </w:r>
      <w:r w:rsidRPr="00B47F10">
        <w:rPr>
          <w:rFonts w:asciiTheme="minorHAnsi" w:hAnsiTheme="minorHAnsi" w:cstheme="minorHAnsi"/>
          <w:sz w:val="22"/>
          <w:szCs w:val="22"/>
        </w:rPr>
        <w:tab/>
        <w:t xml:space="preserve">Close members of the family of any person listed in point 1 or 2, including that person’s child, spouse or domestic partner, children of a spouse or domestic partner, dependents of that person or person’s spouse or domestic partner, as defined by AASB124. </w:t>
      </w:r>
    </w:p>
    <w:p w14:paraId="29709A24" w14:textId="77777777" w:rsidR="00BE407A" w:rsidRPr="00B47F10" w:rsidRDefault="00BE407A" w:rsidP="00B8111F">
      <w:pPr>
        <w:spacing w:line="240" w:lineRule="auto"/>
        <w:ind w:left="426" w:hanging="426"/>
        <w:jc w:val="both"/>
        <w:rPr>
          <w:rFonts w:cstheme="minorHAnsi"/>
        </w:rPr>
      </w:pPr>
      <w:r w:rsidRPr="00B47F10">
        <w:rPr>
          <w:rFonts w:cstheme="minorHAnsi"/>
        </w:rPr>
        <w:t>4.</w:t>
      </w:r>
      <w:r w:rsidRPr="00B47F10">
        <w:rPr>
          <w:rFonts w:cstheme="minorHAnsi"/>
        </w:rPr>
        <w:tab/>
        <w:t>Entities that are controlled or jointly controlled by an Elected Member, key management personnel or their close family members (entities include companies, trusts, joint ventures, partnerships and non-profit associations such as sporting clubs).</w:t>
      </w:r>
    </w:p>
    <w:p w14:paraId="5FD631E4" w14:textId="77777777" w:rsidR="00BE407A" w:rsidRPr="00B47F10" w:rsidRDefault="00BE407A" w:rsidP="00B8111F">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The Town will therefore be required to assess all transactions made with these persons or entities. </w:t>
      </w:r>
    </w:p>
    <w:p w14:paraId="3744D75D" w14:textId="77777777" w:rsidR="00BE407A" w:rsidRPr="00B47F10" w:rsidRDefault="00BE407A" w:rsidP="00BE407A">
      <w:pPr>
        <w:pStyle w:val="Default"/>
        <w:ind w:left="426" w:hanging="426"/>
        <w:jc w:val="both"/>
        <w:rPr>
          <w:rFonts w:asciiTheme="minorHAnsi" w:hAnsiTheme="minorHAnsi" w:cstheme="minorHAnsi"/>
          <w:sz w:val="22"/>
          <w:szCs w:val="22"/>
        </w:rPr>
      </w:pPr>
      <w:r w:rsidRPr="00B47F10">
        <w:rPr>
          <w:rFonts w:asciiTheme="minorHAnsi" w:hAnsiTheme="minorHAnsi" w:cstheme="minorHAnsi"/>
          <w:b/>
          <w:bCs/>
          <w:sz w:val="22"/>
          <w:szCs w:val="22"/>
        </w:rPr>
        <w:t xml:space="preserve">Identification of Related Party Transactions </w:t>
      </w:r>
    </w:p>
    <w:p w14:paraId="6706D4F6" w14:textId="77777777" w:rsidR="00BE407A" w:rsidRPr="00B47F10" w:rsidRDefault="00BE407A" w:rsidP="00B8111F">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A related party transaction is a transfer of resources, services or obligations between the Town (reporting entity) and the related party, regardless of whether a price is charged. </w:t>
      </w:r>
    </w:p>
    <w:p w14:paraId="0C24DAD4" w14:textId="77777777" w:rsidR="00BE407A" w:rsidRPr="00B47F10" w:rsidRDefault="00BE407A" w:rsidP="00B8111F">
      <w:pPr>
        <w:pStyle w:val="Default"/>
        <w:spacing w:after="60"/>
        <w:jc w:val="both"/>
        <w:rPr>
          <w:rFonts w:asciiTheme="minorHAnsi" w:hAnsiTheme="minorHAnsi" w:cstheme="minorHAnsi"/>
          <w:sz w:val="22"/>
          <w:szCs w:val="22"/>
        </w:rPr>
      </w:pPr>
      <w:r w:rsidRPr="00B47F10">
        <w:rPr>
          <w:rFonts w:asciiTheme="minorHAnsi" w:hAnsiTheme="minorHAnsi" w:cstheme="minorHAnsi"/>
          <w:sz w:val="22"/>
          <w:szCs w:val="22"/>
        </w:rPr>
        <w:t xml:space="preserve">For the purposes of determining whether a related party transaction has occurred, the following transactions or provision of services have been identified as meeting </w:t>
      </w:r>
      <w:proofErr w:type="gramStart"/>
      <w:r w:rsidRPr="00B47F10">
        <w:rPr>
          <w:rFonts w:asciiTheme="minorHAnsi" w:hAnsiTheme="minorHAnsi" w:cstheme="minorHAnsi"/>
          <w:sz w:val="22"/>
          <w:szCs w:val="22"/>
        </w:rPr>
        <w:t>this criteria</w:t>
      </w:r>
      <w:proofErr w:type="gramEnd"/>
      <w:r w:rsidRPr="00B47F10">
        <w:rPr>
          <w:rFonts w:asciiTheme="minorHAnsi" w:hAnsiTheme="minorHAnsi" w:cstheme="minorHAnsi"/>
          <w:sz w:val="22"/>
          <w:szCs w:val="22"/>
        </w:rPr>
        <w:t xml:space="preserve">: </w:t>
      </w:r>
    </w:p>
    <w:p w14:paraId="7CEBBB59"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Payment of rates issued by the Town. </w:t>
      </w:r>
    </w:p>
    <w:p w14:paraId="7A7F3858"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lastRenderedPageBreak/>
        <w:t xml:space="preserve">• </w:t>
      </w:r>
      <w:r w:rsidRPr="00B47F10">
        <w:rPr>
          <w:rFonts w:asciiTheme="minorHAnsi" w:hAnsiTheme="minorHAnsi" w:cstheme="minorHAnsi"/>
          <w:sz w:val="22"/>
          <w:szCs w:val="22"/>
        </w:rPr>
        <w:tab/>
        <w:t xml:space="preserve">Payment of fines issued by the Town. </w:t>
      </w:r>
    </w:p>
    <w:p w14:paraId="7DA18146"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Use of Town owned facilities such as buildings, parks, ovals and other public open spaces (whether a fee is charged or not). </w:t>
      </w:r>
    </w:p>
    <w:p w14:paraId="37E95DA1"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Attending council functions that are open to the public. </w:t>
      </w:r>
    </w:p>
    <w:p w14:paraId="0EB9C56E"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Employee compensation, whether it is for key management personnel or close family members of key management personnel. </w:t>
      </w:r>
    </w:p>
    <w:p w14:paraId="07D7BB92"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Application fees paid to the Town for licences, approvals or permits. </w:t>
      </w:r>
    </w:p>
    <w:p w14:paraId="7A4382C3"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Lease agreements for housing rental (whether for a Town owned property or property sub-leased by the Town through a Real Estate Agent). </w:t>
      </w:r>
    </w:p>
    <w:p w14:paraId="0AFC71EC"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Lease agreements for commercial properties. </w:t>
      </w:r>
    </w:p>
    <w:p w14:paraId="11AB209C"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Monetary and non-monetary transactions between the Town and any business or associated entity owned or controlled by the related party (including family) in exchange for goods and/or services provided by/to the Town (trading arrangement). </w:t>
      </w:r>
    </w:p>
    <w:p w14:paraId="6D0ECB26"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Sale or purchase of any property owned by the Town, to a person identified above. </w:t>
      </w:r>
    </w:p>
    <w:p w14:paraId="6B945FC5"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Sale or purchase of any property owned by a person identified above, to the Town. </w:t>
      </w:r>
    </w:p>
    <w:p w14:paraId="362B0938" w14:textId="77777777" w:rsidR="00BE407A" w:rsidRPr="00B47F10" w:rsidRDefault="00BE407A" w:rsidP="00B8111F">
      <w:pPr>
        <w:pStyle w:val="Default"/>
        <w:spacing w:after="60"/>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Loan Arrangements. </w:t>
      </w:r>
    </w:p>
    <w:p w14:paraId="2C0D7E8A" w14:textId="77777777" w:rsidR="00BE407A" w:rsidRPr="00B47F10" w:rsidRDefault="00BE407A" w:rsidP="00B8111F">
      <w:pPr>
        <w:pStyle w:val="Default"/>
        <w:ind w:left="426" w:hanging="426"/>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Contracts and agreements for construction, consultancy or services. </w:t>
      </w:r>
    </w:p>
    <w:p w14:paraId="1CBC3BC4" w14:textId="77777777" w:rsidR="00BE407A" w:rsidRPr="00B47F10" w:rsidRDefault="00BE407A" w:rsidP="00BE407A">
      <w:pPr>
        <w:pStyle w:val="Default"/>
        <w:rPr>
          <w:rFonts w:asciiTheme="minorHAnsi" w:hAnsiTheme="minorHAnsi" w:cstheme="minorHAnsi"/>
          <w:sz w:val="22"/>
          <w:szCs w:val="22"/>
        </w:rPr>
      </w:pPr>
    </w:p>
    <w:p w14:paraId="7C4D9A8D" w14:textId="77777777" w:rsidR="00BE407A" w:rsidRPr="00B8111F" w:rsidRDefault="00BE407A" w:rsidP="00B8111F">
      <w:pPr>
        <w:spacing w:line="240" w:lineRule="auto"/>
        <w:jc w:val="both"/>
        <w:rPr>
          <w:rFonts w:cstheme="minorHAnsi"/>
          <w:b/>
          <w:i/>
        </w:rPr>
      </w:pPr>
      <w:r w:rsidRPr="00B47F10">
        <w:rPr>
          <w:rFonts w:cstheme="minorHAnsi"/>
        </w:rPr>
        <w:t xml:space="preserve">Some of the transactions listed above occur on terms and conditions, no different to those applying to the </w:t>
      </w:r>
      <w:proofErr w:type="gramStart"/>
      <w:r w:rsidRPr="00B47F10">
        <w:rPr>
          <w:rFonts w:cstheme="minorHAnsi"/>
        </w:rPr>
        <w:t>general public</w:t>
      </w:r>
      <w:proofErr w:type="gramEnd"/>
      <w:r w:rsidRPr="00B47F10">
        <w:rPr>
          <w:rFonts w:cstheme="minorHAnsi"/>
        </w:rPr>
        <w:t xml:space="preserve"> and have been provided in the course of delivering public service objectives. These transactions are those that an ordinary citizen would undertake with council and are referred to as an Ordinary Citizen Transaction (OCT). Where the Town can determine that an OCT was provided at arm’s length, and in similar terms and conditions to other members of the public </w:t>
      </w:r>
      <w:r w:rsidRPr="00B47F10">
        <w:rPr>
          <w:rFonts w:cstheme="minorHAnsi"/>
          <w:u w:val="single"/>
        </w:rPr>
        <w:t xml:space="preserve">and, </w:t>
      </w:r>
      <w:r w:rsidRPr="00B47F10">
        <w:rPr>
          <w:rFonts w:cstheme="minorHAnsi"/>
        </w:rPr>
        <w:t xml:space="preserve">that the </w:t>
      </w:r>
      <w:r w:rsidRPr="00B8111F">
        <w:rPr>
          <w:rFonts w:cstheme="minorHAnsi"/>
        </w:rPr>
        <w:t>nature of the transaction is immaterial, no disclosure in the annual financial report will be required.</w:t>
      </w:r>
    </w:p>
    <w:p w14:paraId="482F16F2" w14:textId="77777777" w:rsidR="00BE407A" w:rsidRPr="00B8111F" w:rsidRDefault="00BE407A" w:rsidP="00BE407A">
      <w:pPr>
        <w:pStyle w:val="Default"/>
        <w:ind w:left="708" w:hanging="709"/>
        <w:jc w:val="both"/>
        <w:rPr>
          <w:rFonts w:asciiTheme="minorHAnsi" w:hAnsiTheme="minorHAnsi" w:cstheme="minorHAnsi"/>
          <w:b/>
          <w:sz w:val="22"/>
          <w:szCs w:val="22"/>
        </w:rPr>
      </w:pPr>
      <w:r w:rsidRPr="00B8111F">
        <w:rPr>
          <w:rFonts w:asciiTheme="minorHAnsi" w:hAnsiTheme="minorHAnsi" w:cstheme="minorHAnsi"/>
          <w:b/>
          <w:bCs/>
          <w:sz w:val="22"/>
          <w:szCs w:val="22"/>
        </w:rPr>
        <w:t xml:space="preserve">Disclosure Requirements </w:t>
      </w:r>
    </w:p>
    <w:p w14:paraId="51902857" w14:textId="77777777" w:rsidR="00BE407A" w:rsidRPr="00B47F10" w:rsidRDefault="00BE407A" w:rsidP="00BE407A">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For the purposes of determining relevant transactions in point 2 above, Elected Members and key management personnel as identified above, will be required to complete a </w:t>
      </w:r>
      <w:r w:rsidRPr="00B47F10">
        <w:rPr>
          <w:rFonts w:asciiTheme="minorHAnsi" w:hAnsiTheme="minorHAnsi" w:cstheme="minorHAnsi"/>
          <w:i/>
          <w:iCs/>
          <w:sz w:val="22"/>
          <w:szCs w:val="22"/>
        </w:rPr>
        <w:t xml:space="preserve">Related Party Disclosures - Declaration </w:t>
      </w:r>
      <w:r w:rsidRPr="00B47F10">
        <w:rPr>
          <w:rFonts w:asciiTheme="minorHAnsi" w:hAnsiTheme="minorHAnsi" w:cstheme="minorHAnsi"/>
          <w:sz w:val="22"/>
          <w:szCs w:val="22"/>
        </w:rPr>
        <w:t xml:space="preserve">form for submission to the Town. </w:t>
      </w:r>
    </w:p>
    <w:p w14:paraId="2268770F" w14:textId="77777777" w:rsidR="00BE407A" w:rsidRPr="00B8111F" w:rsidRDefault="00BE407A" w:rsidP="00BE407A">
      <w:pPr>
        <w:pStyle w:val="Default"/>
        <w:ind w:left="708" w:hanging="709"/>
        <w:jc w:val="both"/>
        <w:rPr>
          <w:rFonts w:asciiTheme="minorHAnsi" w:hAnsiTheme="minorHAnsi" w:cstheme="minorHAnsi"/>
          <w:b/>
          <w:sz w:val="22"/>
          <w:szCs w:val="22"/>
        </w:rPr>
      </w:pPr>
      <w:r w:rsidRPr="00B8111F">
        <w:rPr>
          <w:rFonts w:asciiTheme="minorHAnsi" w:hAnsiTheme="minorHAnsi" w:cstheme="minorHAnsi"/>
          <w:b/>
          <w:bCs/>
          <w:sz w:val="22"/>
          <w:szCs w:val="22"/>
        </w:rPr>
        <w:t xml:space="preserve">Ordinary Citizen Transactions (OCTs) </w:t>
      </w:r>
    </w:p>
    <w:p w14:paraId="1CAC520B" w14:textId="77777777" w:rsidR="00BE407A" w:rsidRPr="00B47F10" w:rsidRDefault="00BE407A" w:rsidP="00B8111F">
      <w:pPr>
        <w:pStyle w:val="Default"/>
        <w:spacing w:after="60"/>
        <w:jc w:val="both"/>
        <w:rPr>
          <w:rFonts w:asciiTheme="minorHAnsi" w:hAnsiTheme="minorHAnsi" w:cstheme="minorHAnsi"/>
          <w:sz w:val="22"/>
          <w:szCs w:val="22"/>
        </w:rPr>
      </w:pPr>
      <w:r w:rsidRPr="00B47F10">
        <w:rPr>
          <w:rFonts w:asciiTheme="minorHAnsi" w:hAnsiTheme="minorHAnsi" w:cstheme="minorHAnsi"/>
          <w:sz w:val="22"/>
          <w:szCs w:val="22"/>
        </w:rPr>
        <w:t xml:space="preserve">The Chief Executive Officer will provide a recommendation to Council annually, declaring that in his or her opinion, based on the facts and circumstances, the following OCT that are provided on terms and conditions no different to those applying to the general public and which have been provided in the course of delivering public service objectives, are unlikely to influence the decisions that users of the Council’s financial statements make. As such no disclosure in the quarterly </w:t>
      </w:r>
      <w:r w:rsidRPr="00B47F10">
        <w:rPr>
          <w:rFonts w:asciiTheme="minorHAnsi" w:hAnsiTheme="minorHAnsi" w:cstheme="minorHAnsi"/>
          <w:i/>
          <w:iCs/>
          <w:sz w:val="22"/>
          <w:szCs w:val="22"/>
        </w:rPr>
        <w:t xml:space="preserve">Related Party Disclosures - Declaration </w:t>
      </w:r>
      <w:r w:rsidRPr="00B47F10">
        <w:rPr>
          <w:rFonts w:asciiTheme="minorHAnsi" w:hAnsiTheme="minorHAnsi" w:cstheme="minorHAnsi"/>
          <w:sz w:val="22"/>
          <w:szCs w:val="22"/>
        </w:rPr>
        <w:t xml:space="preserve">form will be required. </w:t>
      </w:r>
    </w:p>
    <w:p w14:paraId="19D43070" w14:textId="77777777" w:rsidR="00BE407A" w:rsidRPr="00B47F10" w:rsidRDefault="00BE407A" w:rsidP="00B8111F">
      <w:pPr>
        <w:pStyle w:val="Default"/>
        <w:spacing w:after="60"/>
        <w:ind w:left="426" w:hanging="427"/>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Payment of rates issued by the Town. </w:t>
      </w:r>
    </w:p>
    <w:p w14:paraId="7C52F441" w14:textId="77777777" w:rsidR="00BE407A" w:rsidRPr="00B47F10" w:rsidRDefault="00BE407A" w:rsidP="00B8111F">
      <w:pPr>
        <w:pStyle w:val="Default"/>
        <w:spacing w:after="60"/>
        <w:ind w:left="426" w:hanging="427"/>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Payment of fines issued by the Town. </w:t>
      </w:r>
    </w:p>
    <w:p w14:paraId="15714AF7" w14:textId="77777777" w:rsidR="00BE407A" w:rsidRPr="00B47F10" w:rsidRDefault="00BE407A" w:rsidP="00B8111F">
      <w:pPr>
        <w:pStyle w:val="Default"/>
        <w:spacing w:after="60"/>
        <w:ind w:left="426" w:hanging="427"/>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Use of Town owned facilities such as buildings, parks, ovals and other public open spaces (whether charged a fee or not). </w:t>
      </w:r>
    </w:p>
    <w:p w14:paraId="3655A831" w14:textId="77777777" w:rsidR="00BE407A" w:rsidRPr="00B47F10" w:rsidRDefault="00BE407A" w:rsidP="00BE407A">
      <w:pPr>
        <w:pStyle w:val="Default"/>
        <w:ind w:left="426" w:hanging="427"/>
        <w:jc w:val="both"/>
        <w:rPr>
          <w:rFonts w:asciiTheme="minorHAnsi" w:hAnsiTheme="minorHAnsi" w:cstheme="minorHAnsi"/>
          <w:sz w:val="22"/>
          <w:szCs w:val="22"/>
        </w:rPr>
      </w:pPr>
      <w:r w:rsidRPr="00B47F10">
        <w:rPr>
          <w:rFonts w:asciiTheme="minorHAnsi" w:hAnsiTheme="minorHAnsi" w:cstheme="minorHAnsi"/>
          <w:sz w:val="22"/>
          <w:szCs w:val="22"/>
        </w:rPr>
        <w:t xml:space="preserve">• </w:t>
      </w:r>
      <w:r w:rsidRPr="00B47F10">
        <w:rPr>
          <w:rFonts w:asciiTheme="minorHAnsi" w:hAnsiTheme="minorHAnsi" w:cstheme="minorHAnsi"/>
          <w:sz w:val="22"/>
          <w:szCs w:val="22"/>
        </w:rPr>
        <w:tab/>
        <w:t xml:space="preserve">Attending council functions that are open to the public. </w:t>
      </w:r>
    </w:p>
    <w:p w14:paraId="0F223E10" w14:textId="77777777" w:rsidR="00BE407A" w:rsidRPr="00B8111F" w:rsidRDefault="00BE407A" w:rsidP="00B8111F">
      <w:pPr>
        <w:pStyle w:val="Default"/>
        <w:spacing w:before="200" w:after="200"/>
        <w:jc w:val="both"/>
        <w:rPr>
          <w:rFonts w:asciiTheme="minorHAnsi" w:hAnsiTheme="minorHAnsi" w:cstheme="minorHAnsi"/>
          <w:b/>
          <w:i/>
          <w:sz w:val="22"/>
          <w:szCs w:val="22"/>
        </w:rPr>
      </w:pPr>
      <w:r w:rsidRPr="00B47F10">
        <w:rPr>
          <w:rFonts w:asciiTheme="minorHAnsi" w:hAnsiTheme="minorHAnsi" w:cstheme="minorHAnsi"/>
          <w:sz w:val="22"/>
          <w:szCs w:val="22"/>
        </w:rPr>
        <w:t xml:space="preserve">Where these services </w:t>
      </w:r>
      <w:r w:rsidRPr="00B47F10">
        <w:rPr>
          <w:rFonts w:asciiTheme="minorHAnsi" w:hAnsiTheme="minorHAnsi" w:cstheme="minorHAnsi"/>
          <w:sz w:val="22"/>
          <w:szCs w:val="22"/>
          <w:u w:val="single"/>
        </w:rPr>
        <w:t>were not</w:t>
      </w:r>
      <w:r w:rsidRPr="00B47F10">
        <w:rPr>
          <w:rFonts w:asciiTheme="minorHAnsi" w:hAnsiTheme="minorHAnsi" w:cstheme="minorHAnsi"/>
          <w:sz w:val="22"/>
          <w:szCs w:val="22"/>
        </w:rPr>
        <w:t xml:space="preserve"> provided at arm’s length and under the same terms and conditions applying to the </w:t>
      </w:r>
      <w:proofErr w:type="gramStart"/>
      <w:r w:rsidRPr="00B47F10">
        <w:rPr>
          <w:rFonts w:asciiTheme="minorHAnsi" w:hAnsiTheme="minorHAnsi" w:cstheme="minorHAnsi"/>
          <w:sz w:val="22"/>
          <w:szCs w:val="22"/>
        </w:rPr>
        <w:t>general public</w:t>
      </w:r>
      <w:proofErr w:type="gramEnd"/>
      <w:r w:rsidRPr="00B47F10">
        <w:rPr>
          <w:rFonts w:asciiTheme="minorHAnsi" w:hAnsiTheme="minorHAnsi" w:cstheme="minorHAnsi"/>
          <w:sz w:val="22"/>
          <w:szCs w:val="22"/>
        </w:rPr>
        <w:t xml:space="preserve">, Elected Members and key management personnel will be required to </w:t>
      </w:r>
      <w:r w:rsidRPr="00B8111F">
        <w:rPr>
          <w:rFonts w:asciiTheme="minorHAnsi" w:hAnsiTheme="minorHAnsi" w:cstheme="minorHAnsi"/>
          <w:sz w:val="22"/>
          <w:szCs w:val="22"/>
        </w:rPr>
        <w:t xml:space="preserve">make a declaration in the </w:t>
      </w:r>
      <w:r w:rsidRPr="00B8111F">
        <w:rPr>
          <w:rFonts w:asciiTheme="minorHAnsi" w:hAnsiTheme="minorHAnsi" w:cstheme="minorHAnsi"/>
          <w:i/>
          <w:iCs/>
          <w:sz w:val="22"/>
          <w:szCs w:val="22"/>
        </w:rPr>
        <w:t>Related Party Disclosures - Declaration</w:t>
      </w:r>
      <w:r w:rsidRPr="00B8111F">
        <w:rPr>
          <w:rFonts w:asciiTheme="minorHAnsi" w:hAnsiTheme="minorHAnsi" w:cstheme="minorHAnsi"/>
          <w:iCs/>
          <w:sz w:val="22"/>
          <w:szCs w:val="22"/>
        </w:rPr>
        <w:t xml:space="preserve"> </w:t>
      </w:r>
      <w:r w:rsidRPr="00B8111F">
        <w:rPr>
          <w:rFonts w:asciiTheme="minorHAnsi" w:hAnsiTheme="minorHAnsi" w:cstheme="minorHAnsi"/>
          <w:sz w:val="22"/>
          <w:szCs w:val="22"/>
        </w:rPr>
        <w:t>form about the nature of any discount or special terms received.</w:t>
      </w:r>
      <w:r w:rsidRPr="00B8111F">
        <w:rPr>
          <w:rFonts w:asciiTheme="minorHAnsi" w:hAnsiTheme="minorHAnsi" w:cstheme="minorHAnsi"/>
          <w:b/>
          <w:i/>
          <w:sz w:val="22"/>
          <w:szCs w:val="22"/>
        </w:rPr>
        <w:t xml:space="preserve"> </w:t>
      </w:r>
    </w:p>
    <w:p w14:paraId="2FB3B29F" w14:textId="77777777" w:rsidR="00BE407A" w:rsidRPr="00B8111F" w:rsidRDefault="00BE407A" w:rsidP="00BE407A">
      <w:pPr>
        <w:pStyle w:val="Default"/>
        <w:ind w:left="708" w:hanging="709"/>
        <w:jc w:val="both"/>
        <w:rPr>
          <w:rFonts w:asciiTheme="minorHAnsi" w:hAnsiTheme="minorHAnsi" w:cstheme="minorHAnsi"/>
          <w:b/>
          <w:sz w:val="22"/>
          <w:szCs w:val="22"/>
        </w:rPr>
      </w:pPr>
      <w:r w:rsidRPr="00B8111F">
        <w:rPr>
          <w:rFonts w:asciiTheme="minorHAnsi" w:hAnsiTheme="minorHAnsi" w:cstheme="minorHAnsi"/>
          <w:b/>
          <w:bCs/>
          <w:sz w:val="22"/>
          <w:szCs w:val="22"/>
        </w:rPr>
        <w:t xml:space="preserve">All other transactions </w:t>
      </w:r>
    </w:p>
    <w:p w14:paraId="1BD84A31" w14:textId="77777777" w:rsidR="00BE407A" w:rsidRPr="00B47F10" w:rsidRDefault="00BE407A" w:rsidP="00BE407A">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For all other transactions listed in point 2 above, Elected Members and key management personnel will be required to make a declaration in the </w:t>
      </w:r>
      <w:r w:rsidRPr="00B47F10">
        <w:rPr>
          <w:rFonts w:asciiTheme="minorHAnsi" w:hAnsiTheme="minorHAnsi" w:cstheme="minorHAnsi"/>
          <w:i/>
          <w:iCs/>
          <w:sz w:val="22"/>
          <w:szCs w:val="22"/>
        </w:rPr>
        <w:t xml:space="preserve">Related Party Disclosures - Declaration </w:t>
      </w:r>
      <w:r w:rsidRPr="00B47F10">
        <w:rPr>
          <w:rFonts w:asciiTheme="minorHAnsi" w:hAnsiTheme="minorHAnsi" w:cstheme="minorHAnsi"/>
          <w:sz w:val="22"/>
          <w:szCs w:val="22"/>
        </w:rPr>
        <w:t xml:space="preserve">form. </w:t>
      </w:r>
    </w:p>
    <w:p w14:paraId="53A2F7C4" w14:textId="77777777" w:rsidR="00BE407A" w:rsidRPr="00B47F10" w:rsidRDefault="00BE407A" w:rsidP="00BE407A">
      <w:pPr>
        <w:pStyle w:val="Default"/>
        <w:ind w:left="708" w:hanging="709"/>
        <w:jc w:val="both"/>
        <w:rPr>
          <w:rFonts w:asciiTheme="minorHAnsi" w:hAnsiTheme="minorHAnsi" w:cstheme="minorHAnsi"/>
          <w:sz w:val="22"/>
          <w:szCs w:val="22"/>
        </w:rPr>
      </w:pPr>
      <w:r w:rsidRPr="00B47F10">
        <w:rPr>
          <w:rFonts w:asciiTheme="minorHAnsi" w:hAnsiTheme="minorHAnsi" w:cstheme="minorHAnsi"/>
          <w:b/>
          <w:bCs/>
          <w:sz w:val="22"/>
          <w:szCs w:val="22"/>
        </w:rPr>
        <w:lastRenderedPageBreak/>
        <w:t xml:space="preserve">Frequency of disclosures </w:t>
      </w:r>
    </w:p>
    <w:p w14:paraId="2E07FC5C" w14:textId="77777777" w:rsidR="00BE407A" w:rsidRPr="00B47F10" w:rsidRDefault="00BE407A" w:rsidP="00BE407A">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Elected Members and key management personnel will be required to complete a </w:t>
      </w:r>
      <w:r w:rsidRPr="00B47F10">
        <w:rPr>
          <w:rFonts w:asciiTheme="minorHAnsi" w:hAnsiTheme="minorHAnsi" w:cstheme="minorHAnsi"/>
          <w:i/>
          <w:iCs/>
          <w:sz w:val="22"/>
          <w:szCs w:val="22"/>
        </w:rPr>
        <w:t xml:space="preserve">Related Party Disclosures - Declaration </w:t>
      </w:r>
      <w:r w:rsidRPr="00B47F10">
        <w:rPr>
          <w:rFonts w:asciiTheme="minorHAnsi" w:hAnsiTheme="minorHAnsi" w:cstheme="minorHAnsi"/>
          <w:sz w:val="22"/>
          <w:szCs w:val="22"/>
        </w:rPr>
        <w:t xml:space="preserve">form each quarter, commencing 1 July 2017. </w:t>
      </w:r>
    </w:p>
    <w:p w14:paraId="03692D51" w14:textId="77777777" w:rsidR="00BE407A" w:rsidRPr="00B47F10" w:rsidRDefault="00BE407A" w:rsidP="00BE407A">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The </w:t>
      </w:r>
      <w:r w:rsidRPr="00B47F10">
        <w:rPr>
          <w:rFonts w:asciiTheme="minorHAnsi" w:hAnsiTheme="minorHAnsi" w:cstheme="minorHAnsi"/>
          <w:i/>
          <w:iCs/>
          <w:sz w:val="22"/>
          <w:szCs w:val="22"/>
        </w:rPr>
        <w:t xml:space="preserve">Related Party Disclosures – Declaration </w:t>
      </w:r>
      <w:r w:rsidRPr="00B47F10">
        <w:rPr>
          <w:rFonts w:asciiTheme="minorHAnsi" w:hAnsiTheme="minorHAnsi" w:cstheme="minorHAnsi"/>
          <w:sz w:val="22"/>
          <w:szCs w:val="22"/>
        </w:rPr>
        <w:t xml:space="preserve">form must be completed by Elected Members and key management personnel prior to termination of office or termination of employment. </w:t>
      </w:r>
    </w:p>
    <w:p w14:paraId="74FC325F" w14:textId="77777777" w:rsidR="00BE407A" w:rsidRPr="00B47F10" w:rsidRDefault="00BE407A" w:rsidP="00BE407A">
      <w:pPr>
        <w:pStyle w:val="Default"/>
        <w:ind w:left="708" w:hanging="709"/>
        <w:jc w:val="both"/>
        <w:rPr>
          <w:rFonts w:asciiTheme="minorHAnsi" w:hAnsiTheme="minorHAnsi" w:cstheme="minorHAnsi"/>
          <w:sz w:val="22"/>
          <w:szCs w:val="22"/>
        </w:rPr>
      </w:pPr>
      <w:r w:rsidRPr="00B47F10">
        <w:rPr>
          <w:rFonts w:asciiTheme="minorHAnsi" w:hAnsiTheme="minorHAnsi" w:cstheme="minorHAnsi"/>
          <w:b/>
          <w:bCs/>
          <w:sz w:val="22"/>
          <w:szCs w:val="22"/>
        </w:rPr>
        <w:t xml:space="preserve">Confidentiality </w:t>
      </w:r>
    </w:p>
    <w:p w14:paraId="0A255E53" w14:textId="77777777" w:rsidR="00BE407A" w:rsidRPr="00B47F10" w:rsidRDefault="00BE407A" w:rsidP="00BE407A">
      <w:pPr>
        <w:spacing w:line="240" w:lineRule="auto"/>
        <w:jc w:val="both"/>
        <w:rPr>
          <w:rFonts w:cstheme="minorHAnsi"/>
          <w:lang w:val="en-US"/>
        </w:rPr>
      </w:pPr>
      <w:r w:rsidRPr="00B47F10">
        <w:rPr>
          <w:rFonts w:cstheme="minorHAnsi"/>
        </w:rPr>
        <w:t>Generally, related party disclosures in the annual financial reports are reported in aggregate and as such, individuals are not specifically identified. Notwithstanding, management is required to exercise judgement in determining the level of detail to be disclosed based on the nature of a transaction or collective transactions and materiality. Individuals may be specifically identified, if the disclosure requirements of AASB 124 so demands.</w:t>
      </w:r>
    </w:p>
    <w:p w14:paraId="56A05AB6" w14:textId="77777777" w:rsidR="00BE407A" w:rsidRPr="00B47F10" w:rsidRDefault="00BE407A" w:rsidP="00BE407A">
      <w:pPr>
        <w:pStyle w:val="Default"/>
        <w:ind w:left="708" w:hanging="709"/>
        <w:jc w:val="both"/>
        <w:rPr>
          <w:rFonts w:asciiTheme="minorHAnsi" w:hAnsiTheme="minorHAnsi" w:cstheme="minorHAnsi"/>
          <w:sz w:val="22"/>
          <w:szCs w:val="22"/>
        </w:rPr>
      </w:pPr>
      <w:r w:rsidRPr="00B47F10">
        <w:rPr>
          <w:rFonts w:asciiTheme="minorHAnsi" w:hAnsiTheme="minorHAnsi" w:cstheme="minorHAnsi"/>
          <w:b/>
          <w:bCs/>
          <w:sz w:val="22"/>
          <w:szCs w:val="22"/>
        </w:rPr>
        <w:t xml:space="preserve">Materiality </w:t>
      </w:r>
    </w:p>
    <w:p w14:paraId="60C4D9AC" w14:textId="77777777" w:rsidR="00BE407A" w:rsidRPr="00B47F10" w:rsidRDefault="00BE407A" w:rsidP="00BE407A">
      <w:pPr>
        <w:pStyle w:val="Default"/>
        <w:spacing w:after="200"/>
        <w:jc w:val="both"/>
        <w:rPr>
          <w:rFonts w:asciiTheme="minorHAnsi" w:hAnsiTheme="minorHAnsi" w:cstheme="minorHAnsi"/>
          <w:sz w:val="22"/>
          <w:szCs w:val="22"/>
        </w:rPr>
      </w:pPr>
      <w:r w:rsidRPr="00B47F10">
        <w:rPr>
          <w:rFonts w:asciiTheme="minorHAnsi" w:hAnsiTheme="minorHAnsi" w:cstheme="minorHAnsi"/>
          <w:sz w:val="22"/>
          <w:szCs w:val="22"/>
        </w:rPr>
        <w:t xml:space="preserve">Management will apply professional judgement to assess the materiality of transactions disclosed by related parties and their subsequent inclusion in the financial statements. </w:t>
      </w:r>
    </w:p>
    <w:p w14:paraId="7ADF885A" w14:textId="77777777" w:rsidR="00BE407A" w:rsidRPr="00B47F10" w:rsidRDefault="00BE407A" w:rsidP="00BE407A">
      <w:pPr>
        <w:spacing w:after="0" w:line="240" w:lineRule="auto"/>
        <w:jc w:val="both"/>
        <w:rPr>
          <w:rFonts w:cstheme="minorHAnsi"/>
        </w:rPr>
      </w:pPr>
      <w:r w:rsidRPr="00B47F10">
        <w:rPr>
          <w:rFonts w:cstheme="minorHAnsi"/>
        </w:rPr>
        <w:t>In assessing materiality, management will consider both the size and nature of the transaction, individually and collectively.</w:t>
      </w:r>
    </w:p>
    <w:p w14:paraId="6C7EE1F9" w14:textId="77777777" w:rsidR="00BE407A" w:rsidRPr="00B47F10" w:rsidRDefault="00BE407A" w:rsidP="00BE407A">
      <w:pPr>
        <w:jc w:val="both"/>
        <w:rPr>
          <w:rFonts w:cstheme="minorHAnsi"/>
          <w:lang w:val="en-US"/>
        </w:rPr>
      </w:pPr>
    </w:p>
    <w:tbl>
      <w:tblPr>
        <w:tblStyle w:val="TableGrid"/>
        <w:tblW w:w="0" w:type="auto"/>
        <w:tblLook w:val="04A0" w:firstRow="1" w:lastRow="0" w:firstColumn="1" w:lastColumn="0" w:noHBand="0" w:noVBand="1"/>
      </w:tblPr>
      <w:tblGrid>
        <w:gridCol w:w="3114"/>
        <w:gridCol w:w="5902"/>
      </w:tblGrid>
      <w:tr w:rsidR="00BE407A" w:rsidRPr="00B47F10" w14:paraId="08700C0F" w14:textId="77777777" w:rsidTr="007A1587">
        <w:tc>
          <w:tcPr>
            <w:tcW w:w="3114" w:type="dxa"/>
          </w:tcPr>
          <w:p w14:paraId="5AB00245" w14:textId="77777777" w:rsidR="00BE407A" w:rsidRPr="00B47F10" w:rsidRDefault="00BE407A" w:rsidP="007A1587">
            <w:pPr>
              <w:jc w:val="both"/>
              <w:rPr>
                <w:rFonts w:cstheme="minorHAnsi"/>
                <w:b/>
                <w:lang w:val="en-US"/>
              </w:rPr>
            </w:pPr>
            <w:r w:rsidRPr="00B47F10">
              <w:rPr>
                <w:rFonts w:cstheme="minorHAnsi"/>
                <w:b/>
                <w:lang w:val="en-US"/>
              </w:rPr>
              <w:t>Responsible Directorate:</w:t>
            </w:r>
          </w:p>
        </w:tc>
        <w:tc>
          <w:tcPr>
            <w:tcW w:w="5902" w:type="dxa"/>
          </w:tcPr>
          <w:p w14:paraId="2D53F1CD" w14:textId="77777777" w:rsidR="00BE407A" w:rsidRPr="00B47F10" w:rsidRDefault="00B00D30" w:rsidP="007A1587">
            <w:pPr>
              <w:jc w:val="both"/>
              <w:rPr>
                <w:rFonts w:cstheme="minorHAnsi"/>
                <w:lang w:val="en-US"/>
              </w:rPr>
            </w:pPr>
            <w:r>
              <w:rPr>
                <w:rFonts w:cstheme="minorHAnsi"/>
                <w:lang w:val="en-US"/>
              </w:rPr>
              <w:t>Office of the CEO</w:t>
            </w:r>
          </w:p>
        </w:tc>
      </w:tr>
      <w:tr w:rsidR="00BE407A" w:rsidRPr="00B47F10" w14:paraId="5827D40D" w14:textId="77777777" w:rsidTr="007A1587">
        <w:tc>
          <w:tcPr>
            <w:tcW w:w="3114" w:type="dxa"/>
          </w:tcPr>
          <w:p w14:paraId="4D8B52F8" w14:textId="77777777" w:rsidR="00BE407A" w:rsidRPr="00B47F10" w:rsidRDefault="00BE407A" w:rsidP="007A1587">
            <w:pPr>
              <w:jc w:val="both"/>
              <w:rPr>
                <w:rFonts w:cstheme="minorHAnsi"/>
                <w:b/>
                <w:lang w:val="en-US"/>
              </w:rPr>
            </w:pPr>
            <w:r w:rsidRPr="00B47F10">
              <w:rPr>
                <w:rFonts w:cstheme="minorHAnsi"/>
                <w:b/>
                <w:lang w:val="en-US"/>
              </w:rPr>
              <w:t>Reviewing Officer:</w:t>
            </w:r>
          </w:p>
        </w:tc>
        <w:tc>
          <w:tcPr>
            <w:tcW w:w="5902" w:type="dxa"/>
          </w:tcPr>
          <w:p w14:paraId="74FAE4C8" w14:textId="77777777" w:rsidR="00BE407A" w:rsidRPr="00B47F10" w:rsidRDefault="00BE407A" w:rsidP="007A1587">
            <w:pPr>
              <w:jc w:val="both"/>
              <w:rPr>
                <w:rFonts w:cstheme="minorHAnsi"/>
                <w:lang w:val="en-US"/>
              </w:rPr>
            </w:pPr>
            <w:r w:rsidRPr="00B47F10">
              <w:rPr>
                <w:rFonts w:cstheme="minorHAnsi"/>
                <w:lang w:val="en-US"/>
              </w:rPr>
              <w:t>Chief Executive Officer</w:t>
            </w:r>
          </w:p>
        </w:tc>
      </w:tr>
      <w:tr w:rsidR="00BE407A" w:rsidRPr="00B47F10" w14:paraId="7B389940" w14:textId="77777777" w:rsidTr="007A1587">
        <w:tc>
          <w:tcPr>
            <w:tcW w:w="3114" w:type="dxa"/>
          </w:tcPr>
          <w:p w14:paraId="0AFED942" w14:textId="77777777" w:rsidR="00BE407A" w:rsidRPr="00B47F10" w:rsidRDefault="00BE407A" w:rsidP="007A1587">
            <w:pPr>
              <w:jc w:val="both"/>
              <w:rPr>
                <w:rFonts w:cstheme="minorHAnsi"/>
                <w:b/>
                <w:lang w:val="en-US"/>
              </w:rPr>
            </w:pPr>
            <w:r w:rsidRPr="00B47F10">
              <w:rPr>
                <w:rFonts w:cstheme="minorHAnsi"/>
                <w:b/>
                <w:lang w:val="en-US"/>
              </w:rPr>
              <w:t>Decision making Authority:</w:t>
            </w:r>
          </w:p>
        </w:tc>
        <w:tc>
          <w:tcPr>
            <w:tcW w:w="5902" w:type="dxa"/>
          </w:tcPr>
          <w:p w14:paraId="6DE166FB" w14:textId="77777777" w:rsidR="00BE407A" w:rsidRPr="00B47F10" w:rsidRDefault="00BE407A" w:rsidP="007A1587">
            <w:pPr>
              <w:jc w:val="both"/>
              <w:rPr>
                <w:rFonts w:cstheme="minorHAnsi"/>
                <w:lang w:val="en-US"/>
              </w:rPr>
            </w:pPr>
            <w:r w:rsidRPr="00B47F10">
              <w:rPr>
                <w:rFonts w:cstheme="minorHAnsi"/>
                <w:lang w:val="en-US"/>
              </w:rPr>
              <w:t>Council</w:t>
            </w:r>
          </w:p>
        </w:tc>
      </w:tr>
      <w:tr w:rsidR="00BE407A" w:rsidRPr="00B47F10" w14:paraId="3AEC653A" w14:textId="77777777" w:rsidTr="007A1587">
        <w:tc>
          <w:tcPr>
            <w:tcW w:w="3114" w:type="dxa"/>
          </w:tcPr>
          <w:p w14:paraId="455C2602" w14:textId="77777777" w:rsidR="00BE407A" w:rsidRPr="00B47F10" w:rsidRDefault="00BE407A" w:rsidP="007A1587">
            <w:pPr>
              <w:jc w:val="both"/>
              <w:rPr>
                <w:rFonts w:cstheme="minorHAnsi"/>
                <w:b/>
                <w:lang w:val="en-US"/>
              </w:rPr>
            </w:pPr>
            <w:r w:rsidRPr="00B47F10">
              <w:rPr>
                <w:rFonts w:cstheme="minorHAnsi"/>
                <w:b/>
                <w:lang w:val="en-US"/>
              </w:rPr>
              <w:t>Policy Adopted:</w:t>
            </w:r>
          </w:p>
        </w:tc>
        <w:tc>
          <w:tcPr>
            <w:tcW w:w="5902" w:type="dxa"/>
          </w:tcPr>
          <w:p w14:paraId="7B2AFB02" w14:textId="77777777" w:rsidR="00BE407A" w:rsidRPr="00B47F10" w:rsidRDefault="00BE407A" w:rsidP="007A1587">
            <w:pPr>
              <w:jc w:val="both"/>
              <w:rPr>
                <w:rFonts w:cstheme="minorHAnsi"/>
                <w:lang w:val="en-US"/>
              </w:rPr>
            </w:pPr>
            <w:r w:rsidRPr="00B47F10">
              <w:rPr>
                <w:rFonts w:cstheme="minorHAnsi"/>
                <w:lang w:val="en-US"/>
              </w:rPr>
              <w:t>21/8/18</w:t>
            </w:r>
          </w:p>
        </w:tc>
      </w:tr>
      <w:tr w:rsidR="00BE407A" w:rsidRPr="00B47F10" w14:paraId="2374A9D0" w14:textId="77777777" w:rsidTr="007A1587">
        <w:tc>
          <w:tcPr>
            <w:tcW w:w="3114" w:type="dxa"/>
          </w:tcPr>
          <w:p w14:paraId="19F43252" w14:textId="77777777" w:rsidR="00BE407A" w:rsidRPr="00B47F10" w:rsidRDefault="00B8111F" w:rsidP="007A1587">
            <w:pPr>
              <w:jc w:val="both"/>
              <w:rPr>
                <w:rFonts w:cstheme="minorHAnsi"/>
                <w:b/>
                <w:lang w:val="en-US"/>
              </w:rPr>
            </w:pPr>
            <w:r>
              <w:rPr>
                <w:rFonts w:cstheme="minorHAnsi"/>
                <w:b/>
                <w:lang w:val="en-US"/>
              </w:rPr>
              <w:t>Policy Amended/Reviewed:</w:t>
            </w:r>
          </w:p>
        </w:tc>
        <w:tc>
          <w:tcPr>
            <w:tcW w:w="5902" w:type="dxa"/>
          </w:tcPr>
          <w:p w14:paraId="483B3BDF" w14:textId="77777777" w:rsidR="00BE407A" w:rsidRPr="00B47F10" w:rsidRDefault="003C6BA5" w:rsidP="007A1587">
            <w:pPr>
              <w:jc w:val="both"/>
              <w:rPr>
                <w:rFonts w:cstheme="minorHAnsi"/>
                <w:lang w:val="en-US"/>
              </w:rPr>
            </w:pPr>
            <w:r>
              <w:rPr>
                <w:rFonts w:cstheme="minorHAnsi"/>
                <w:lang w:val="en-US"/>
              </w:rPr>
              <w:t>17/9/19</w:t>
            </w:r>
          </w:p>
        </w:tc>
      </w:tr>
      <w:tr w:rsidR="00BE407A" w:rsidRPr="00B47F10" w14:paraId="6EB313AF" w14:textId="77777777" w:rsidTr="007A1587">
        <w:tc>
          <w:tcPr>
            <w:tcW w:w="3114" w:type="dxa"/>
          </w:tcPr>
          <w:p w14:paraId="4DA35532" w14:textId="77777777" w:rsidR="00BE407A" w:rsidRPr="00B47F10" w:rsidRDefault="00B8111F" w:rsidP="007A1587">
            <w:pPr>
              <w:jc w:val="both"/>
              <w:rPr>
                <w:rFonts w:cstheme="minorHAnsi"/>
                <w:b/>
                <w:lang w:val="en-US"/>
              </w:rPr>
            </w:pPr>
            <w:r>
              <w:rPr>
                <w:rFonts w:cstheme="minorHAnsi"/>
                <w:b/>
                <w:lang w:val="en-US"/>
              </w:rPr>
              <w:t>Former Policy No:</w:t>
            </w:r>
          </w:p>
        </w:tc>
        <w:tc>
          <w:tcPr>
            <w:tcW w:w="5902" w:type="dxa"/>
          </w:tcPr>
          <w:p w14:paraId="0E0847B1" w14:textId="77777777" w:rsidR="00BE407A" w:rsidRPr="00B47F10" w:rsidRDefault="00B8111F" w:rsidP="007A1587">
            <w:pPr>
              <w:jc w:val="both"/>
              <w:rPr>
                <w:rFonts w:cstheme="minorHAnsi"/>
                <w:lang w:val="en-US"/>
              </w:rPr>
            </w:pPr>
            <w:r>
              <w:rPr>
                <w:rFonts w:cstheme="minorHAnsi"/>
                <w:lang w:val="en-US"/>
              </w:rPr>
              <w:t>4.3.3</w:t>
            </w:r>
          </w:p>
        </w:tc>
      </w:tr>
    </w:tbl>
    <w:p w14:paraId="67071E3A" w14:textId="77777777" w:rsidR="00BE407A" w:rsidRPr="00B47F10" w:rsidRDefault="00BE407A" w:rsidP="00BE407A">
      <w:pPr>
        <w:jc w:val="both"/>
        <w:rPr>
          <w:rFonts w:cstheme="minorHAnsi"/>
          <w:lang w:val="en-US"/>
        </w:rPr>
      </w:pPr>
    </w:p>
    <w:p w14:paraId="171F8871" w14:textId="77777777" w:rsidR="00846564" w:rsidRDefault="00846564">
      <w:pPr>
        <w:rPr>
          <w:rFonts w:cstheme="minorHAnsi"/>
          <w:lang w:val="en-US"/>
        </w:rPr>
      </w:pPr>
      <w:r>
        <w:rPr>
          <w:rFonts w:cstheme="minorHAnsi"/>
          <w:lang w:val="en-US"/>
        </w:rPr>
        <w:br w:type="page"/>
      </w:r>
    </w:p>
    <w:p w14:paraId="3D04B384" w14:textId="6C522C23" w:rsidR="002D6804" w:rsidRDefault="00F23DE3" w:rsidP="002D6804">
      <w:pPr>
        <w:pStyle w:val="BodyText"/>
        <w:ind w:left="6175"/>
        <w:rPr>
          <w:rFonts w:ascii="Times New Roman"/>
        </w:rPr>
      </w:pPr>
      <w:r>
        <w:rPr>
          <w:noProof/>
          <w:lang w:eastAsia="en-AU"/>
        </w:rPr>
        <w:lastRenderedPageBreak/>
        <w:drawing>
          <wp:anchor distT="0" distB="0" distL="114300" distR="114300" simplePos="0" relativeHeight="251644928" behindDoc="1" locked="0" layoutInCell="1" allowOverlap="1" wp14:anchorId="52F9CD7E" wp14:editId="6F37F649">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7867AC9C" w14:textId="77777777" w:rsidR="002D6804" w:rsidRDefault="002D6804" w:rsidP="002D6804">
      <w:pPr>
        <w:pStyle w:val="BodyText"/>
        <w:rPr>
          <w:rFonts w:ascii="Times New Roman"/>
        </w:rPr>
      </w:pPr>
    </w:p>
    <w:p w14:paraId="3C55DED3" w14:textId="77777777" w:rsidR="002D6804" w:rsidRDefault="002D6804" w:rsidP="002D6804">
      <w:pPr>
        <w:pStyle w:val="BodyText"/>
        <w:spacing w:before="8"/>
        <w:rPr>
          <w:rFonts w:ascii="Times New Roman"/>
        </w:rPr>
      </w:pPr>
    </w:p>
    <w:p w14:paraId="45520BC2" w14:textId="77777777" w:rsidR="002D6804" w:rsidRDefault="002D6804" w:rsidP="00B00094">
      <w:pPr>
        <w:pStyle w:val="Policy3"/>
        <w:ind w:left="1418" w:hanging="992"/>
      </w:pPr>
      <w:bookmarkStart w:id="418" w:name="_Toc216866704"/>
      <w:r>
        <w:t>2.2.4</w:t>
      </w:r>
      <w:r>
        <w:tab/>
        <w:t>Risk</w:t>
      </w:r>
      <w:r>
        <w:rPr>
          <w:spacing w:val="7"/>
        </w:rPr>
        <w:t xml:space="preserve"> </w:t>
      </w:r>
      <w:r>
        <w:t>Management</w:t>
      </w:r>
      <w:bookmarkEnd w:id="418"/>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2"/>
        <w:gridCol w:w="5996"/>
      </w:tblGrid>
      <w:tr w:rsidR="002D6804" w14:paraId="28547330" w14:textId="77777777" w:rsidTr="002D6804">
        <w:trPr>
          <w:trHeight w:val="306"/>
        </w:trPr>
        <w:tc>
          <w:tcPr>
            <w:tcW w:w="3022" w:type="dxa"/>
          </w:tcPr>
          <w:p w14:paraId="69101B23" w14:textId="77777777" w:rsidR="002D6804" w:rsidRDefault="002D6804" w:rsidP="002D6804">
            <w:pPr>
              <w:pStyle w:val="TableParagraph"/>
              <w:spacing w:line="268" w:lineRule="exact"/>
              <w:ind w:left="107"/>
              <w:rPr>
                <w:rFonts w:ascii="Calibri"/>
                <w:b/>
              </w:rPr>
            </w:pPr>
            <w:r>
              <w:rPr>
                <w:rFonts w:ascii="Calibri"/>
                <w:b/>
              </w:rPr>
              <w:t>Type:</w:t>
            </w:r>
          </w:p>
        </w:tc>
        <w:tc>
          <w:tcPr>
            <w:tcW w:w="5996" w:type="dxa"/>
          </w:tcPr>
          <w:p w14:paraId="29EDF172" w14:textId="77777777" w:rsidR="002D6804" w:rsidRDefault="002D6804" w:rsidP="002D6804">
            <w:pPr>
              <w:pStyle w:val="TableParagraph"/>
              <w:spacing w:line="268" w:lineRule="exact"/>
              <w:ind w:left="107"/>
              <w:rPr>
                <w:rFonts w:ascii="Calibri" w:hAnsi="Calibri"/>
              </w:rPr>
            </w:pPr>
            <w:r>
              <w:rPr>
                <w:rFonts w:ascii="Calibri" w:hAnsi="Calibri"/>
              </w:rPr>
              <w:t>Corporate Services – Risk Management</w:t>
            </w:r>
          </w:p>
        </w:tc>
      </w:tr>
      <w:tr w:rsidR="002D6804" w14:paraId="07678857" w14:textId="77777777" w:rsidTr="002D6804">
        <w:trPr>
          <w:trHeight w:val="309"/>
        </w:trPr>
        <w:tc>
          <w:tcPr>
            <w:tcW w:w="3022" w:type="dxa"/>
          </w:tcPr>
          <w:p w14:paraId="4AD3CAEF" w14:textId="77777777" w:rsidR="002D6804" w:rsidRDefault="002D6804" w:rsidP="002D6804">
            <w:pPr>
              <w:pStyle w:val="TableParagraph"/>
              <w:spacing w:before="1"/>
              <w:ind w:left="107"/>
              <w:rPr>
                <w:rFonts w:ascii="Calibri"/>
                <w:b/>
              </w:rPr>
            </w:pPr>
            <w:r>
              <w:rPr>
                <w:rFonts w:ascii="Calibri"/>
                <w:b/>
              </w:rPr>
              <w:t>Legislation:</w:t>
            </w:r>
          </w:p>
        </w:tc>
        <w:tc>
          <w:tcPr>
            <w:tcW w:w="5996" w:type="dxa"/>
          </w:tcPr>
          <w:p w14:paraId="3A1D0C24" w14:textId="77777777" w:rsidR="002D6804" w:rsidRDefault="002D6804" w:rsidP="002D6804">
            <w:pPr>
              <w:pStyle w:val="TableParagraph"/>
              <w:spacing w:before="1"/>
              <w:ind w:left="107"/>
              <w:rPr>
                <w:rFonts w:ascii="Calibri"/>
              </w:rPr>
            </w:pPr>
            <w:r>
              <w:rPr>
                <w:rFonts w:ascii="Calibri"/>
              </w:rPr>
              <w:t>AS/NZS ISO 31000:2018</w:t>
            </w:r>
          </w:p>
        </w:tc>
      </w:tr>
      <w:tr w:rsidR="002D6804" w14:paraId="6DFE27E7" w14:textId="77777777" w:rsidTr="002D6804">
        <w:trPr>
          <w:trHeight w:val="309"/>
        </w:trPr>
        <w:tc>
          <w:tcPr>
            <w:tcW w:w="3022" w:type="dxa"/>
          </w:tcPr>
          <w:p w14:paraId="29E61B1E" w14:textId="77777777" w:rsidR="002D6804" w:rsidRDefault="002D6804" w:rsidP="002D6804">
            <w:pPr>
              <w:pStyle w:val="TableParagraph"/>
              <w:spacing w:line="268" w:lineRule="exact"/>
              <w:ind w:left="107"/>
              <w:rPr>
                <w:rFonts w:ascii="Calibri"/>
                <w:b/>
              </w:rPr>
            </w:pPr>
            <w:r>
              <w:rPr>
                <w:rFonts w:ascii="Calibri"/>
                <w:b/>
              </w:rPr>
              <w:t>Delegation:</w:t>
            </w:r>
          </w:p>
        </w:tc>
        <w:tc>
          <w:tcPr>
            <w:tcW w:w="5996" w:type="dxa"/>
          </w:tcPr>
          <w:p w14:paraId="7BAB197F" w14:textId="77777777" w:rsidR="002D6804" w:rsidRDefault="002D6804" w:rsidP="002D6804">
            <w:pPr>
              <w:pStyle w:val="TableParagraph"/>
              <w:spacing w:line="268" w:lineRule="exact"/>
              <w:ind w:left="107"/>
              <w:rPr>
                <w:rFonts w:ascii="Calibri"/>
              </w:rPr>
            </w:pPr>
            <w:r>
              <w:rPr>
                <w:rFonts w:ascii="Calibri"/>
              </w:rPr>
              <w:t>N/A</w:t>
            </w:r>
          </w:p>
        </w:tc>
      </w:tr>
      <w:tr w:rsidR="002D6804" w14:paraId="16CFD2C3" w14:textId="77777777" w:rsidTr="002D6804">
        <w:trPr>
          <w:trHeight w:val="309"/>
        </w:trPr>
        <w:tc>
          <w:tcPr>
            <w:tcW w:w="3022" w:type="dxa"/>
          </w:tcPr>
          <w:p w14:paraId="4A4DB20B" w14:textId="77777777" w:rsidR="002D6804" w:rsidRDefault="002D6804" w:rsidP="002D6804">
            <w:pPr>
              <w:pStyle w:val="TableParagraph"/>
              <w:spacing w:line="268" w:lineRule="exact"/>
              <w:ind w:left="107"/>
              <w:rPr>
                <w:rFonts w:ascii="Calibri"/>
                <w:b/>
              </w:rPr>
            </w:pPr>
            <w:r>
              <w:rPr>
                <w:rFonts w:ascii="Calibri"/>
                <w:b/>
              </w:rPr>
              <w:t>Other Related Document:</w:t>
            </w:r>
          </w:p>
        </w:tc>
        <w:tc>
          <w:tcPr>
            <w:tcW w:w="5996" w:type="dxa"/>
          </w:tcPr>
          <w:p w14:paraId="21B423D8" w14:textId="77777777" w:rsidR="002D6804" w:rsidRDefault="002D6804" w:rsidP="002D6804">
            <w:pPr>
              <w:pStyle w:val="TableParagraph"/>
              <w:spacing w:line="268" w:lineRule="exact"/>
              <w:ind w:left="107"/>
              <w:rPr>
                <w:rFonts w:ascii="Calibri"/>
              </w:rPr>
            </w:pPr>
            <w:r>
              <w:rPr>
                <w:rFonts w:ascii="Calibri"/>
              </w:rPr>
              <w:t>Risk Management Procedures (Attached)</w:t>
            </w:r>
          </w:p>
        </w:tc>
      </w:tr>
    </w:tbl>
    <w:p w14:paraId="3DD54CA5" w14:textId="77777777" w:rsidR="002D6804" w:rsidRDefault="002D6804" w:rsidP="002D6804">
      <w:pPr>
        <w:spacing w:before="242" w:after="0"/>
        <w:ind w:left="357"/>
        <w:rPr>
          <w:rFonts w:ascii="Calibri"/>
          <w:b/>
          <w:sz w:val="28"/>
        </w:rPr>
      </w:pPr>
      <w:r>
        <w:rPr>
          <w:rFonts w:ascii="Calibri"/>
          <w:b/>
          <w:sz w:val="28"/>
        </w:rPr>
        <w:t>Objective</w:t>
      </w:r>
    </w:p>
    <w:p w14:paraId="3AEA2C8F" w14:textId="77777777" w:rsidR="002D6804" w:rsidRDefault="002D6804" w:rsidP="002D6804">
      <w:pPr>
        <w:spacing w:before="49" w:line="278" w:lineRule="auto"/>
        <w:ind w:left="360" w:right="593"/>
        <w:jc w:val="both"/>
        <w:rPr>
          <w:rFonts w:ascii="Calibri" w:hAnsi="Calibri"/>
        </w:rPr>
      </w:pPr>
      <w:r>
        <w:rPr>
          <w:rFonts w:ascii="Calibri" w:hAnsi="Calibri"/>
        </w:rPr>
        <w:t>The</w:t>
      </w:r>
      <w:r>
        <w:rPr>
          <w:rFonts w:ascii="Calibri" w:hAnsi="Calibri"/>
          <w:spacing w:val="-7"/>
        </w:rPr>
        <w:t xml:space="preserve"> </w:t>
      </w:r>
      <w:r>
        <w:rPr>
          <w:rFonts w:ascii="Calibri" w:hAnsi="Calibri"/>
        </w:rPr>
        <w:t>Town</w:t>
      </w:r>
      <w:r>
        <w:rPr>
          <w:rFonts w:ascii="Calibri" w:hAnsi="Calibri"/>
          <w:spacing w:val="-6"/>
        </w:rPr>
        <w:t xml:space="preserve"> </w:t>
      </w:r>
      <w:r>
        <w:rPr>
          <w:rFonts w:ascii="Calibri" w:hAnsi="Calibri"/>
        </w:rPr>
        <w:t>of</w:t>
      </w:r>
      <w:r>
        <w:rPr>
          <w:rFonts w:ascii="Calibri" w:hAnsi="Calibri"/>
          <w:spacing w:val="-8"/>
        </w:rPr>
        <w:t xml:space="preserve"> </w:t>
      </w:r>
      <w:r>
        <w:rPr>
          <w:rFonts w:ascii="Calibri" w:hAnsi="Calibri"/>
        </w:rPr>
        <w:t>East</w:t>
      </w:r>
      <w:r>
        <w:rPr>
          <w:rFonts w:ascii="Calibri" w:hAnsi="Calibri"/>
          <w:spacing w:val="-5"/>
        </w:rPr>
        <w:t xml:space="preserve"> </w:t>
      </w:r>
      <w:r>
        <w:rPr>
          <w:rFonts w:ascii="Calibri" w:hAnsi="Calibri"/>
        </w:rPr>
        <w:t>Fremantle’s</w:t>
      </w:r>
      <w:r>
        <w:rPr>
          <w:rFonts w:ascii="Calibri" w:hAnsi="Calibri"/>
          <w:spacing w:val="-6"/>
        </w:rPr>
        <w:t xml:space="preserve"> </w:t>
      </w:r>
      <w:r>
        <w:rPr>
          <w:rFonts w:ascii="Calibri" w:hAnsi="Calibri"/>
        </w:rPr>
        <w:t>(“the</w:t>
      </w:r>
      <w:r>
        <w:rPr>
          <w:rFonts w:ascii="Calibri" w:hAnsi="Calibri"/>
          <w:spacing w:val="-6"/>
        </w:rPr>
        <w:t xml:space="preserve"> </w:t>
      </w:r>
      <w:r>
        <w:rPr>
          <w:rFonts w:ascii="Calibri" w:hAnsi="Calibri"/>
        </w:rPr>
        <w:t>Town”)</w:t>
      </w:r>
      <w:r>
        <w:rPr>
          <w:rFonts w:ascii="Calibri" w:hAnsi="Calibri"/>
          <w:spacing w:val="-5"/>
        </w:rPr>
        <w:t xml:space="preserve"> </w:t>
      </w:r>
      <w:r>
        <w:rPr>
          <w:rFonts w:ascii="Calibri" w:hAnsi="Calibri"/>
        </w:rPr>
        <w:t>Risk</w:t>
      </w:r>
      <w:r>
        <w:rPr>
          <w:rFonts w:ascii="Calibri" w:hAnsi="Calibri"/>
          <w:spacing w:val="-6"/>
        </w:rPr>
        <w:t xml:space="preserve"> </w:t>
      </w:r>
      <w:r>
        <w:rPr>
          <w:rFonts w:ascii="Calibri" w:hAnsi="Calibri"/>
        </w:rPr>
        <w:t>Management</w:t>
      </w:r>
      <w:r>
        <w:rPr>
          <w:rFonts w:ascii="Calibri" w:hAnsi="Calibri"/>
          <w:spacing w:val="-5"/>
        </w:rPr>
        <w:t xml:space="preserve"> </w:t>
      </w:r>
      <w:r>
        <w:rPr>
          <w:rFonts w:ascii="Calibri" w:hAnsi="Calibri"/>
        </w:rPr>
        <w:t>Policy</w:t>
      </w:r>
      <w:r>
        <w:rPr>
          <w:rFonts w:ascii="Calibri" w:hAnsi="Calibri"/>
          <w:spacing w:val="-5"/>
        </w:rPr>
        <w:t xml:space="preserve"> </w:t>
      </w:r>
      <w:r>
        <w:rPr>
          <w:rFonts w:ascii="Calibri" w:hAnsi="Calibri"/>
        </w:rPr>
        <w:t>documents</w:t>
      </w:r>
      <w:r>
        <w:rPr>
          <w:rFonts w:ascii="Calibri" w:hAnsi="Calibri"/>
          <w:spacing w:val="-8"/>
        </w:rPr>
        <w:t xml:space="preserve"> </w:t>
      </w:r>
      <w:r>
        <w:rPr>
          <w:rFonts w:ascii="Calibri" w:hAnsi="Calibri"/>
        </w:rPr>
        <w:t>the</w:t>
      </w:r>
      <w:r>
        <w:rPr>
          <w:rFonts w:ascii="Calibri" w:hAnsi="Calibri"/>
          <w:spacing w:val="-6"/>
        </w:rPr>
        <w:t xml:space="preserve"> </w:t>
      </w:r>
      <w:r>
        <w:rPr>
          <w:rFonts w:ascii="Calibri" w:hAnsi="Calibri"/>
        </w:rPr>
        <w:t>commitment</w:t>
      </w:r>
      <w:r>
        <w:rPr>
          <w:rFonts w:ascii="Calibri" w:hAnsi="Calibri"/>
          <w:spacing w:val="-5"/>
        </w:rPr>
        <w:t xml:space="preserve"> </w:t>
      </w:r>
      <w:r>
        <w:rPr>
          <w:rFonts w:ascii="Calibri" w:hAnsi="Calibri"/>
        </w:rPr>
        <w:t>and objectives</w:t>
      </w:r>
      <w:r>
        <w:rPr>
          <w:rFonts w:ascii="Calibri" w:hAnsi="Calibri"/>
          <w:spacing w:val="-9"/>
        </w:rPr>
        <w:t xml:space="preserve"> </w:t>
      </w:r>
      <w:r>
        <w:rPr>
          <w:rFonts w:ascii="Calibri" w:hAnsi="Calibri"/>
        </w:rPr>
        <w:t>regarding</w:t>
      </w:r>
      <w:r>
        <w:rPr>
          <w:rFonts w:ascii="Calibri" w:hAnsi="Calibri"/>
          <w:spacing w:val="-9"/>
        </w:rPr>
        <w:t xml:space="preserve"> </w:t>
      </w:r>
      <w:r>
        <w:rPr>
          <w:rFonts w:ascii="Calibri" w:hAnsi="Calibri"/>
        </w:rPr>
        <w:t>managing</w:t>
      </w:r>
      <w:r>
        <w:rPr>
          <w:rFonts w:ascii="Calibri" w:hAnsi="Calibri"/>
          <w:spacing w:val="-10"/>
        </w:rPr>
        <w:t xml:space="preserve"> </w:t>
      </w:r>
      <w:r>
        <w:rPr>
          <w:rFonts w:ascii="Calibri" w:hAnsi="Calibri"/>
        </w:rPr>
        <w:t>uncertainty</w:t>
      </w:r>
      <w:r>
        <w:rPr>
          <w:rFonts w:ascii="Calibri" w:hAnsi="Calibri"/>
          <w:spacing w:val="-7"/>
        </w:rPr>
        <w:t xml:space="preserve"> </w:t>
      </w:r>
      <w:r>
        <w:rPr>
          <w:rFonts w:ascii="Calibri" w:hAnsi="Calibri"/>
        </w:rPr>
        <w:t>that</w:t>
      </w:r>
      <w:r>
        <w:rPr>
          <w:rFonts w:ascii="Calibri" w:hAnsi="Calibri"/>
          <w:spacing w:val="-10"/>
        </w:rPr>
        <w:t xml:space="preserve"> </w:t>
      </w:r>
      <w:r>
        <w:rPr>
          <w:rFonts w:ascii="Calibri" w:hAnsi="Calibri"/>
        </w:rPr>
        <w:t>may</w:t>
      </w:r>
      <w:r>
        <w:rPr>
          <w:rFonts w:ascii="Calibri" w:hAnsi="Calibri"/>
          <w:spacing w:val="-9"/>
        </w:rPr>
        <w:t xml:space="preserve"> </w:t>
      </w:r>
      <w:r>
        <w:rPr>
          <w:rFonts w:ascii="Calibri" w:hAnsi="Calibri"/>
        </w:rPr>
        <w:t>impact</w:t>
      </w:r>
      <w:r>
        <w:rPr>
          <w:rFonts w:ascii="Calibri" w:hAnsi="Calibri"/>
          <w:spacing w:val="-8"/>
        </w:rPr>
        <w:t xml:space="preserve"> </w:t>
      </w:r>
      <w:r>
        <w:rPr>
          <w:rFonts w:ascii="Calibri" w:hAnsi="Calibri"/>
        </w:rPr>
        <w:t>the</w:t>
      </w:r>
      <w:r>
        <w:rPr>
          <w:rFonts w:ascii="Calibri" w:hAnsi="Calibri"/>
          <w:spacing w:val="-9"/>
        </w:rPr>
        <w:t xml:space="preserve"> </w:t>
      </w:r>
      <w:r>
        <w:rPr>
          <w:rFonts w:ascii="Calibri" w:hAnsi="Calibri"/>
        </w:rPr>
        <w:t>Town’s</w:t>
      </w:r>
      <w:r>
        <w:rPr>
          <w:rFonts w:ascii="Calibri" w:hAnsi="Calibri"/>
          <w:spacing w:val="-8"/>
        </w:rPr>
        <w:t xml:space="preserve"> </w:t>
      </w:r>
      <w:r>
        <w:rPr>
          <w:rFonts w:ascii="Calibri" w:hAnsi="Calibri"/>
        </w:rPr>
        <w:t>strategies,</w:t>
      </w:r>
      <w:r>
        <w:rPr>
          <w:rFonts w:ascii="Calibri" w:hAnsi="Calibri"/>
          <w:spacing w:val="-11"/>
        </w:rPr>
        <w:t xml:space="preserve"> </w:t>
      </w:r>
      <w:r>
        <w:rPr>
          <w:rFonts w:ascii="Calibri" w:hAnsi="Calibri"/>
        </w:rPr>
        <w:t>goals</w:t>
      </w:r>
      <w:r>
        <w:rPr>
          <w:rFonts w:ascii="Calibri" w:hAnsi="Calibri"/>
          <w:spacing w:val="-9"/>
        </w:rPr>
        <w:t xml:space="preserve"> </w:t>
      </w:r>
      <w:r>
        <w:rPr>
          <w:rFonts w:ascii="Calibri" w:hAnsi="Calibri"/>
        </w:rPr>
        <w:t>or</w:t>
      </w:r>
      <w:r>
        <w:rPr>
          <w:rFonts w:ascii="Calibri" w:hAnsi="Calibri"/>
          <w:spacing w:val="-11"/>
        </w:rPr>
        <w:t xml:space="preserve"> </w:t>
      </w:r>
      <w:r>
        <w:rPr>
          <w:rFonts w:ascii="Calibri" w:hAnsi="Calibri"/>
        </w:rPr>
        <w:t>objectives.</w:t>
      </w:r>
    </w:p>
    <w:p w14:paraId="44BC42E4" w14:textId="77777777" w:rsidR="002D6804" w:rsidRDefault="002D6804" w:rsidP="002D6804">
      <w:pPr>
        <w:spacing w:before="49" w:line="278" w:lineRule="auto"/>
        <w:ind w:left="360" w:right="593"/>
        <w:jc w:val="both"/>
        <w:rPr>
          <w:rFonts w:ascii="Calibri" w:hAnsi="Calibri"/>
        </w:rPr>
      </w:pPr>
      <w:r>
        <w:rPr>
          <w:rFonts w:ascii="Calibri" w:hAnsi="Calibri"/>
        </w:rPr>
        <w:t>To encourage an integrated, effective and organisation wide approach to risk management within the Town, facilitating value creation and protection.</w:t>
      </w:r>
    </w:p>
    <w:p w14:paraId="261AF1CA" w14:textId="77777777" w:rsidR="002D6804" w:rsidRPr="002D6804" w:rsidRDefault="002D6804" w:rsidP="002D6804">
      <w:pPr>
        <w:pStyle w:val="Heading2"/>
        <w:spacing w:before="0"/>
        <w:ind w:left="360"/>
        <w:rPr>
          <w:rFonts w:ascii="Calibri"/>
          <w:color w:val="auto"/>
        </w:rPr>
      </w:pPr>
      <w:r w:rsidRPr="002D6804">
        <w:rPr>
          <w:rFonts w:ascii="Calibri"/>
          <w:color w:val="auto"/>
        </w:rPr>
        <w:t>Definitions</w:t>
      </w:r>
    </w:p>
    <w:p w14:paraId="72BA9C1C" w14:textId="77777777" w:rsidR="002D6804" w:rsidRDefault="002D6804" w:rsidP="002D6804">
      <w:pPr>
        <w:spacing w:before="47"/>
        <w:ind w:left="360"/>
        <w:jc w:val="both"/>
        <w:rPr>
          <w:rFonts w:ascii="Calibri"/>
        </w:rPr>
      </w:pPr>
      <w:r>
        <w:rPr>
          <w:rFonts w:ascii="Calibri"/>
        </w:rPr>
        <w:t>(From AS/NZS ISO 31000:2018)</w:t>
      </w:r>
    </w:p>
    <w:p w14:paraId="39EFEC36" w14:textId="77777777" w:rsidR="002D6804" w:rsidRDefault="002D6804" w:rsidP="002D6804">
      <w:pPr>
        <w:ind w:left="360"/>
        <w:jc w:val="both"/>
        <w:rPr>
          <w:rFonts w:ascii="Calibri"/>
        </w:rPr>
      </w:pPr>
      <w:r>
        <w:rPr>
          <w:rFonts w:ascii="Calibri"/>
          <w:b/>
        </w:rPr>
        <w:t xml:space="preserve">Risk: </w:t>
      </w:r>
      <w:r>
        <w:rPr>
          <w:rFonts w:ascii="Calibri"/>
        </w:rPr>
        <w:t>Effect of uncertainty on objectives.</w:t>
      </w:r>
    </w:p>
    <w:p w14:paraId="3EDA41A9" w14:textId="77777777" w:rsidR="002D6804" w:rsidRDefault="002D6804" w:rsidP="002D6804">
      <w:pPr>
        <w:ind w:left="360"/>
        <w:jc w:val="both"/>
        <w:rPr>
          <w:rFonts w:ascii="Calibri" w:hAnsi="Calibri"/>
          <w:i/>
        </w:rPr>
      </w:pPr>
      <w:r>
        <w:rPr>
          <w:rFonts w:ascii="Calibri" w:hAnsi="Calibri"/>
          <w:i/>
        </w:rPr>
        <w:t>Note 1: An effect is a deviation from the expected – positive or negative.</w:t>
      </w:r>
    </w:p>
    <w:p w14:paraId="5615CAFB" w14:textId="77777777" w:rsidR="002D6804" w:rsidRDefault="002D6804" w:rsidP="002D6804">
      <w:pPr>
        <w:spacing w:before="42"/>
        <w:ind w:left="1212" w:right="591" w:hanging="852"/>
        <w:jc w:val="both"/>
        <w:rPr>
          <w:rFonts w:ascii="Calibri"/>
          <w:i/>
        </w:rPr>
      </w:pPr>
      <w:r>
        <w:rPr>
          <w:rFonts w:ascii="Calibri"/>
          <w:i/>
        </w:rPr>
        <w:t xml:space="preserve">Note 2: Objectives can have different aspects (such as financial, health &amp; safety and environmental goals) and can apply at different levels (such as strategic, </w:t>
      </w:r>
      <w:proofErr w:type="spellStart"/>
      <w:r>
        <w:rPr>
          <w:rFonts w:ascii="Calibri"/>
          <w:i/>
        </w:rPr>
        <w:t>organisationwide</w:t>
      </w:r>
      <w:proofErr w:type="spellEnd"/>
      <w:r>
        <w:rPr>
          <w:rFonts w:ascii="Calibri"/>
          <w:i/>
        </w:rPr>
        <w:t>, project product or process).</w:t>
      </w:r>
    </w:p>
    <w:p w14:paraId="60C2C4E3" w14:textId="77777777" w:rsidR="002D6804" w:rsidRDefault="002D6804" w:rsidP="002D6804">
      <w:pPr>
        <w:ind w:left="360"/>
        <w:jc w:val="both"/>
        <w:rPr>
          <w:rFonts w:ascii="Calibri"/>
        </w:rPr>
      </w:pPr>
      <w:r>
        <w:rPr>
          <w:rFonts w:ascii="Calibri"/>
          <w:b/>
        </w:rPr>
        <w:t>Risk Management</w:t>
      </w:r>
      <w:r>
        <w:rPr>
          <w:rFonts w:ascii="Calibri"/>
        </w:rPr>
        <w:t xml:space="preserve">: Coordinated activities to direct and control an organisation </w:t>
      </w:r>
      <w:proofErr w:type="gramStart"/>
      <w:r>
        <w:rPr>
          <w:rFonts w:ascii="Calibri"/>
        </w:rPr>
        <w:t>with regard to</w:t>
      </w:r>
      <w:proofErr w:type="gramEnd"/>
      <w:r>
        <w:rPr>
          <w:rFonts w:ascii="Calibri"/>
        </w:rPr>
        <w:t xml:space="preserve"> risk.</w:t>
      </w:r>
    </w:p>
    <w:p w14:paraId="7444F75F" w14:textId="77777777" w:rsidR="002D6804" w:rsidRDefault="002D6804" w:rsidP="002D6804">
      <w:pPr>
        <w:ind w:left="360" w:right="594"/>
        <w:jc w:val="both"/>
        <w:rPr>
          <w:rFonts w:ascii="Calibri"/>
        </w:rPr>
      </w:pPr>
      <w:r>
        <w:rPr>
          <w:rFonts w:ascii="Calibri"/>
          <w:b/>
        </w:rPr>
        <w:t>Risk</w:t>
      </w:r>
      <w:r>
        <w:rPr>
          <w:rFonts w:ascii="Calibri"/>
          <w:b/>
          <w:spacing w:val="-7"/>
        </w:rPr>
        <w:t xml:space="preserve"> </w:t>
      </w:r>
      <w:r>
        <w:rPr>
          <w:rFonts w:ascii="Calibri"/>
          <w:b/>
        </w:rPr>
        <w:t>Management</w:t>
      </w:r>
      <w:r>
        <w:rPr>
          <w:rFonts w:ascii="Calibri"/>
          <w:b/>
          <w:spacing w:val="-5"/>
        </w:rPr>
        <w:t xml:space="preserve"> </w:t>
      </w:r>
      <w:r>
        <w:rPr>
          <w:rFonts w:ascii="Calibri"/>
          <w:b/>
        </w:rPr>
        <w:t>Process</w:t>
      </w:r>
      <w:r>
        <w:rPr>
          <w:rFonts w:ascii="Calibri"/>
        </w:rPr>
        <w:t>:</w:t>
      </w:r>
      <w:r>
        <w:rPr>
          <w:rFonts w:ascii="Calibri"/>
          <w:spacing w:val="-6"/>
        </w:rPr>
        <w:t xml:space="preserve"> </w:t>
      </w:r>
      <w:r>
        <w:rPr>
          <w:rFonts w:ascii="Calibri"/>
        </w:rPr>
        <w:t>Systematic</w:t>
      </w:r>
      <w:r>
        <w:rPr>
          <w:rFonts w:ascii="Calibri"/>
          <w:spacing w:val="-6"/>
        </w:rPr>
        <w:t xml:space="preserve"> </w:t>
      </w:r>
      <w:r>
        <w:rPr>
          <w:rFonts w:ascii="Calibri"/>
        </w:rPr>
        <w:t>application</w:t>
      </w:r>
      <w:r>
        <w:rPr>
          <w:rFonts w:ascii="Calibri"/>
          <w:spacing w:val="-6"/>
        </w:rPr>
        <w:t xml:space="preserve"> </w:t>
      </w:r>
      <w:r>
        <w:rPr>
          <w:rFonts w:ascii="Calibri"/>
        </w:rPr>
        <w:t>of</w:t>
      </w:r>
      <w:r>
        <w:rPr>
          <w:rFonts w:ascii="Calibri"/>
          <w:spacing w:val="-9"/>
        </w:rPr>
        <w:t xml:space="preserve"> </w:t>
      </w:r>
      <w:r>
        <w:rPr>
          <w:rFonts w:ascii="Calibri"/>
        </w:rPr>
        <w:t>management</w:t>
      </w:r>
      <w:r>
        <w:rPr>
          <w:rFonts w:ascii="Calibri"/>
          <w:spacing w:val="-5"/>
        </w:rPr>
        <w:t xml:space="preserve"> </w:t>
      </w:r>
      <w:r>
        <w:rPr>
          <w:rFonts w:ascii="Calibri"/>
        </w:rPr>
        <w:t>policies,</w:t>
      </w:r>
      <w:r>
        <w:rPr>
          <w:rFonts w:ascii="Calibri"/>
          <w:spacing w:val="-5"/>
        </w:rPr>
        <w:t xml:space="preserve"> </w:t>
      </w:r>
      <w:r>
        <w:rPr>
          <w:rFonts w:ascii="Calibri"/>
        </w:rPr>
        <w:t>procedures</w:t>
      </w:r>
      <w:r>
        <w:rPr>
          <w:rFonts w:ascii="Calibri"/>
          <w:spacing w:val="-4"/>
        </w:rPr>
        <w:t xml:space="preserve"> </w:t>
      </w:r>
      <w:r>
        <w:rPr>
          <w:rFonts w:ascii="Calibri"/>
        </w:rPr>
        <w:t>and</w:t>
      </w:r>
      <w:r>
        <w:rPr>
          <w:rFonts w:ascii="Calibri"/>
          <w:spacing w:val="-6"/>
        </w:rPr>
        <w:t xml:space="preserve"> </w:t>
      </w:r>
      <w:r>
        <w:rPr>
          <w:rFonts w:ascii="Calibri"/>
        </w:rPr>
        <w:t>practices to the activities of communicating, consulting, establishing the context, and identifying, analysing, evaluating, treating, monitoring and reviewing</w:t>
      </w:r>
      <w:r>
        <w:rPr>
          <w:rFonts w:ascii="Calibri"/>
          <w:spacing w:val="-9"/>
        </w:rPr>
        <w:t xml:space="preserve"> </w:t>
      </w:r>
      <w:r>
        <w:rPr>
          <w:rFonts w:ascii="Calibri"/>
        </w:rPr>
        <w:t>risk.</w:t>
      </w:r>
    </w:p>
    <w:p w14:paraId="784009A5" w14:textId="77777777" w:rsidR="002D6804" w:rsidRPr="002D6804" w:rsidRDefault="002D6804" w:rsidP="002D6804">
      <w:pPr>
        <w:pStyle w:val="Heading2"/>
        <w:spacing w:before="0"/>
        <w:ind w:left="360"/>
        <w:rPr>
          <w:rFonts w:ascii="Calibri"/>
          <w:color w:val="auto"/>
        </w:rPr>
      </w:pPr>
      <w:r w:rsidRPr="002D6804">
        <w:rPr>
          <w:rFonts w:ascii="Calibri"/>
          <w:color w:val="auto"/>
        </w:rPr>
        <w:t>Policy</w:t>
      </w:r>
    </w:p>
    <w:p w14:paraId="4BBF098F" w14:textId="77777777" w:rsidR="002D6804" w:rsidRDefault="002D6804" w:rsidP="002D6804">
      <w:pPr>
        <w:spacing w:before="49"/>
        <w:ind w:left="360" w:right="592"/>
        <w:jc w:val="both"/>
        <w:rPr>
          <w:rFonts w:ascii="Calibri" w:hAnsi="Calibri"/>
        </w:rPr>
      </w:pPr>
      <w:r>
        <w:rPr>
          <w:rFonts w:ascii="Calibri" w:hAnsi="Calibri"/>
        </w:rPr>
        <w:t>It is the Town’s Policy to achieve best practice (aligned with AS/NZS ISO 31000:2018 Risk management),</w:t>
      </w:r>
      <w:r>
        <w:rPr>
          <w:rFonts w:ascii="Calibri" w:hAnsi="Calibri"/>
          <w:spacing w:val="-5"/>
        </w:rPr>
        <w:t xml:space="preserve"> </w:t>
      </w:r>
      <w:r>
        <w:rPr>
          <w:rFonts w:ascii="Calibri" w:hAnsi="Calibri"/>
        </w:rPr>
        <w:t>in</w:t>
      </w:r>
      <w:r>
        <w:rPr>
          <w:rFonts w:ascii="Calibri" w:hAnsi="Calibri"/>
          <w:spacing w:val="-6"/>
        </w:rPr>
        <w:t xml:space="preserve"> </w:t>
      </w:r>
      <w:r>
        <w:rPr>
          <w:rFonts w:ascii="Calibri" w:hAnsi="Calibri"/>
        </w:rPr>
        <w:t>the</w:t>
      </w:r>
      <w:r>
        <w:rPr>
          <w:rFonts w:ascii="Calibri" w:hAnsi="Calibri"/>
          <w:spacing w:val="-5"/>
        </w:rPr>
        <w:t xml:space="preserve"> </w:t>
      </w:r>
      <w:r>
        <w:rPr>
          <w:rFonts w:ascii="Calibri" w:hAnsi="Calibri"/>
        </w:rPr>
        <w:t>management</w:t>
      </w:r>
      <w:r>
        <w:rPr>
          <w:rFonts w:ascii="Calibri" w:hAnsi="Calibri"/>
          <w:spacing w:val="-4"/>
        </w:rPr>
        <w:t xml:space="preserve"> </w:t>
      </w:r>
      <w:r>
        <w:rPr>
          <w:rFonts w:ascii="Calibri" w:hAnsi="Calibri"/>
        </w:rPr>
        <w:t>of</w:t>
      </w:r>
      <w:r>
        <w:rPr>
          <w:rFonts w:ascii="Calibri" w:hAnsi="Calibri"/>
          <w:spacing w:val="-6"/>
        </w:rPr>
        <w:t xml:space="preserve"> </w:t>
      </w:r>
      <w:r>
        <w:rPr>
          <w:rFonts w:ascii="Calibri" w:hAnsi="Calibri"/>
        </w:rPr>
        <w:t>all</w:t>
      </w:r>
      <w:r>
        <w:rPr>
          <w:rFonts w:ascii="Calibri" w:hAnsi="Calibri"/>
          <w:spacing w:val="-5"/>
        </w:rPr>
        <w:t xml:space="preserve"> </w:t>
      </w:r>
      <w:r>
        <w:rPr>
          <w:rFonts w:ascii="Calibri" w:hAnsi="Calibri"/>
        </w:rPr>
        <w:t>risks</w:t>
      </w:r>
      <w:r>
        <w:rPr>
          <w:rFonts w:ascii="Calibri" w:hAnsi="Calibri"/>
          <w:spacing w:val="-5"/>
        </w:rPr>
        <w:t xml:space="preserve"> </w:t>
      </w:r>
      <w:r>
        <w:rPr>
          <w:rFonts w:ascii="Calibri" w:hAnsi="Calibri"/>
        </w:rPr>
        <w:t>that</w:t>
      </w:r>
      <w:r>
        <w:rPr>
          <w:rFonts w:ascii="Calibri" w:hAnsi="Calibri"/>
          <w:spacing w:val="-7"/>
        </w:rPr>
        <w:t xml:space="preserve"> </w:t>
      </w:r>
      <w:r>
        <w:rPr>
          <w:rFonts w:ascii="Calibri" w:hAnsi="Calibri"/>
        </w:rPr>
        <w:t>may</w:t>
      </w:r>
      <w:r>
        <w:rPr>
          <w:rFonts w:ascii="Calibri" w:hAnsi="Calibri"/>
          <w:spacing w:val="-7"/>
        </w:rPr>
        <w:t xml:space="preserve"> </w:t>
      </w:r>
      <w:r>
        <w:rPr>
          <w:rFonts w:ascii="Calibri" w:hAnsi="Calibri"/>
        </w:rPr>
        <w:t>affect</w:t>
      </w:r>
      <w:r>
        <w:rPr>
          <w:rFonts w:ascii="Calibri" w:hAnsi="Calibri"/>
          <w:spacing w:val="-4"/>
        </w:rPr>
        <w:t xml:space="preserve"> </w:t>
      </w:r>
      <w:r>
        <w:rPr>
          <w:rFonts w:ascii="Calibri" w:hAnsi="Calibri"/>
        </w:rPr>
        <w:t>the</w:t>
      </w:r>
      <w:r>
        <w:rPr>
          <w:rFonts w:ascii="Calibri" w:hAnsi="Calibri"/>
          <w:spacing w:val="-7"/>
        </w:rPr>
        <w:t xml:space="preserve"> </w:t>
      </w:r>
      <w:r>
        <w:rPr>
          <w:rFonts w:ascii="Calibri" w:hAnsi="Calibri"/>
        </w:rPr>
        <w:t>Town,</w:t>
      </w:r>
      <w:r>
        <w:rPr>
          <w:rFonts w:ascii="Calibri" w:hAnsi="Calibri"/>
          <w:spacing w:val="-5"/>
        </w:rPr>
        <w:t xml:space="preserve"> </w:t>
      </w:r>
      <w:r>
        <w:rPr>
          <w:rFonts w:ascii="Calibri" w:hAnsi="Calibri"/>
        </w:rPr>
        <w:t>its</w:t>
      </w:r>
      <w:r>
        <w:rPr>
          <w:rFonts w:ascii="Calibri" w:hAnsi="Calibri"/>
          <w:spacing w:val="-5"/>
        </w:rPr>
        <w:t xml:space="preserve"> </w:t>
      </w:r>
      <w:r>
        <w:rPr>
          <w:rFonts w:ascii="Calibri" w:hAnsi="Calibri"/>
        </w:rPr>
        <w:t>customers,</w:t>
      </w:r>
      <w:r>
        <w:rPr>
          <w:rFonts w:ascii="Calibri" w:hAnsi="Calibri"/>
          <w:spacing w:val="-4"/>
        </w:rPr>
        <w:t xml:space="preserve"> </w:t>
      </w:r>
      <w:r>
        <w:rPr>
          <w:rFonts w:ascii="Calibri" w:hAnsi="Calibri"/>
        </w:rPr>
        <w:t>people,</w:t>
      </w:r>
      <w:r>
        <w:rPr>
          <w:rFonts w:ascii="Calibri" w:hAnsi="Calibri"/>
          <w:spacing w:val="-4"/>
        </w:rPr>
        <w:t xml:space="preserve"> </w:t>
      </w:r>
      <w:r>
        <w:rPr>
          <w:rFonts w:ascii="Calibri" w:hAnsi="Calibri"/>
        </w:rPr>
        <w:t>assets, functions, objectives, operations or members of the</w:t>
      </w:r>
      <w:r>
        <w:rPr>
          <w:rFonts w:ascii="Calibri" w:hAnsi="Calibri"/>
          <w:spacing w:val="-11"/>
        </w:rPr>
        <w:t xml:space="preserve"> </w:t>
      </w:r>
      <w:r>
        <w:rPr>
          <w:rFonts w:ascii="Calibri" w:hAnsi="Calibri"/>
        </w:rPr>
        <w:t>public.</w:t>
      </w:r>
    </w:p>
    <w:p w14:paraId="47057078" w14:textId="77777777" w:rsidR="002D6804" w:rsidRDefault="002D6804" w:rsidP="002D6804">
      <w:pPr>
        <w:spacing w:before="1"/>
        <w:ind w:left="360" w:right="593"/>
        <w:jc w:val="both"/>
        <w:rPr>
          <w:rFonts w:ascii="Calibri" w:hAnsi="Calibri"/>
        </w:rPr>
      </w:pPr>
      <w:r>
        <w:rPr>
          <w:rFonts w:ascii="Calibri" w:hAnsi="Calibri"/>
        </w:rPr>
        <w:t>Risk Management will form part of the Strategic, Operational, Project and Line Management responsibilities and where possible, be incorporated within the Town’s Integrated Planning Framework.</w:t>
      </w:r>
    </w:p>
    <w:p w14:paraId="5EFDCF57" w14:textId="77777777" w:rsidR="002D6804" w:rsidRDefault="002D6804" w:rsidP="002D6804">
      <w:pPr>
        <w:ind w:left="360" w:right="596"/>
        <w:jc w:val="both"/>
        <w:rPr>
          <w:rFonts w:ascii="Calibri" w:hAnsi="Calibri"/>
        </w:rPr>
      </w:pPr>
      <w:r>
        <w:rPr>
          <w:rFonts w:ascii="Calibri" w:hAnsi="Calibri"/>
        </w:rPr>
        <w:t>The Town’s Senior Staff Group will determine and communicate the Risk Management Policy, Objectives and Procedures, as well as direct and monitor implementation, practice and performance.</w:t>
      </w:r>
    </w:p>
    <w:p w14:paraId="36AA7E8C" w14:textId="77777777" w:rsidR="002D6804" w:rsidRDefault="002D6804" w:rsidP="002D6804">
      <w:pPr>
        <w:ind w:left="360" w:right="591"/>
        <w:jc w:val="both"/>
        <w:rPr>
          <w:rFonts w:ascii="Calibri"/>
        </w:rPr>
      </w:pPr>
      <w:r>
        <w:rPr>
          <w:rFonts w:ascii="Calibri"/>
        </w:rPr>
        <w:lastRenderedPageBreak/>
        <w:t>Every employee, elected member, volunteer and contractor within the Town is recognised as having a role in risk management, from the identification of risks, to implementing risk treatments and shall be invited and encouraged to participate in the process.</w:t>
      </w:r>
    </w:p>
    <w:p w14:paraId="48AA1840" w14:textId="77777777" w:rsidR="002D6804" w:rsidRDefault="002D6804" w:rsidP="002D6804">
      <w:pPr>
        <w:ind w:left="360" w:right="595"/>
        <w:jc w:val="both"/>
        <w:rPr>
          <w:rFonts w:ascii="Calibri"/>
        </w:rPr>
      </w:pPr>
      <w:r>
        <w:rPr>
          <w:rFonts w:ascii="Calibri"/>
        </w:rPr>
        <w:t>Consultants may be retained at times to advise and assist in the risk management process or management of specific risks or categories of risk.</w:t>
      </w:r>
    </w:p>
    <w:p w14:paraId="51DA56AA" w14:textId="77777777" w:rsidR="002D6804" w:rsidRDefault="002D6804" w:rsidP="002D6804">
      <w:pPr>
        <w:spacing w:before="41" w:after="0"/>
        <w:ind w:left="360"/>
        <w:jc w:val="both"/>
        <w:rPr>
          <w:rFonts w:ascii="Calibri"/>
          <w:b/>
        </w:rPr>
      </w:pPr>
      <w:r>
        <w:rPr>
          <w:rFonts w:ascii="Calibri"/>
          <w:b/>
        </w:rPr>
        <w:t>Risk Management Objectives</w:t>
      </w:r>
    </w:p>
    <w:p w14:paraId="403B8768" w14:textId="77777777" w:rsidR="002D6804" w:rsidRDefault="002D6804" w:rsidP="002A3889">
      <w:pPr>
        <w:pStyle w:val="ListParagraph"/>
        <w:widowControl w:val="0"/>
        <w:numPr>
          <w:ilvl w:val="0"/>
          <w:numId w:val="462"/>
        </w:numPr>
        <w:tabs>
          <w:tab w:val="left" w:pos="926"/>
          <w:tab w:val="left" w:pos="927"/>
        </w:tabs>
        <w:autoSpaceDE w:val="0"/>
        <w:autoSpaceDN w:val="0"/>
        <w:spacing w:before="1" w:after="0" w:line="240" w:lineRule="auto"/>
        <w:contextualSpacing w:val="0"/>
        <w:rPr>
          <w:rFonts w:ascii="Calibri" w:hAnsi="Calibri"/>
        </w:rPr>
      </w:pPr>
      <w:r>
        <w:rPr>
          <w:rFonts w:ascii="Calibri" w:hAnsi="Calibri"/>
        </w:rPr>
        <w:t>Optimise the achievement of our vision, experiences, strategies, goals and</w:t>
      </w:r>
      <w:r>
        <w:rPr>
          <w:rFonts w:ascii="Calibri" w:hAnsi="Calibri"/>
          <w:spacing w:val="-20"/>
        </w:rPr>
        <w:t xml:space="preserve"> </w:t>
      </w:r>
      <w:r>
        <w:rPr>
          <w:rFonts w:ascii="Calibri" w:hAnsi="Calibri"/>
        </w:rPr>
        <w:t>objectives.</w:t>
      </w:r>
    </w:p>
    <w:p w14:paraId="46C67DD8" w14:textId="77777777" w:rsidR="002D6804" w:rsidRDefault="002D6804" w:rsidP="002A3889">
      <w:pPr>
        <w:pStyle w:val="ListParagraph"/>
        <w:widowControl w:val="0"/>
        <w:numPr>
          <w:ilvl w:val="0"/>
          <w:numId w:val="462"/>
        </w:numPr>
        <w:tabs>
          <w:tab w:val="left" w:pos="926"/>
          <w:tab w:val="left" w:pos="927"/>
        </w:tabs>
        <w:autoSpaceDE w:val="0"/>
        <w:autoSpaceDN w:val="0"/>
        <w:spacing w:before="58" w:after="0" w:line="240" w:lineRule="auto"/>
        <w:ind w:right="1235"/>
        <w:contextualSpacing w:val="0"/>
        <w:rPr>
          <w:rFonts w:ascii="Calibri" w:hAnsi="Calibri"/>
        </w:rPr>
      </w:pPr>
      <w:r>
        <w:rPr>
          <w:rFonts w:ascii="Calibri" w:hAnsi="Calibri"/>
        </w:rPr>
        <w:t>Provide transparent and formal oversight of the risk and control environment to enable effective decision</w:t>
      </w:r>
      <w:r>
        <w:rPr>
          <w:rFonts w:ascii="Calibri" w:hAnsi="Calibri"/>
          <w:spacing w:val="-6"/>
        </w:rPr>
        <w:t xml:space="preserve"> </w:t>
      </w:r>
      <w:r>
        <w:rPr>
          <w:rFonts w:ascii="Calibri" w:hAnsi="Calibri"/>
        </w:rPr>
        <w:t>making.</w:t>
      </w:r>
    </w:p>
    <w:p w14:paraId="47D691DF" w14:textId="77777777" w:rsidR="002D6804" w:rsidRDefault="002D6804" w:rsidP="002A3889">
      <w:pPr>
        <w:pStyle w:val="ListParagraph"/>
        <w:widowControl w:val="0"/>
        <w:numPr>
          <w:ilvl w:val="0"/>
          <w:numId w:val="462"/>
        </w:numPr>
        <w:tabs>
          <w:tab w:val="left" w:pos="926"/>
          <w:tab w:val="left" w:pos="927"/>
        </w:tabs>
        <w:autoSpaceDE w:val="0"/>
        <w:autoSpaceDN w:val="0"/>
        <w:spacing w:before="60" w:after="0" w:line="240" w:lineRule="auto"/>
        <w:contextualSpacing w:val="0"/>
        <w:rPr>
          <w:rFonts w:ascii="Calibri" w:hAnsi="Calibri"/>
        </w:rPr>
      </w:pPr>
      <w:r>
        <w:rPr>
          <w:rFonts w:ascii="Calibri" w:hAnsi="Calibri"/>
        </w:rPr>
        <w:t>Enhance risk versus return within our risk</w:t>
      </w:r>
      <w:r>
        <w:rPr>
          <w:rFonts w:ascii="Calibri" w:hAnsi="Calibri"/>
          <w:spacing w:val="-8"/>
        </w:rPr>
        <w:t xml:space="preserve"> </w:t>
      </w:r>
      <w:r>
        <w:rPr>
          <w:rFonts w:ascii="Calibri" w:hAnsi="Calibri"/>
        </w:rPr>
        <w:t>appetite.</w:t>
      </w:r>
    </w:p>
    <w:p w14:paraId="0DA70004" w14:textId="77777777" w:rsidR="002D6804" w:rsidRDefault="002D6804" w:rsidP="002A3889">
      <w:pPr>
        <w:pStyle w:val="ListParagraph"/>
        <w:widowControl w:val="0"/>
        <w:numPr>
          <w:ilvl w:val="0"/>
          <w:numId w:val="462"/>
        </w:numPr>
        <w:tabs>
          <w:tab w:val="left" w:pos="926"/>
          <w:tab w:val="left" w:pos="927"/>
        </w:tabs>
        <w:autoSpaceDE w:val="0"/>
        <w:autoSpaceDN w:val="0"/>
        <w:spacing w:before="61" w:after="0" w:line="240" w:lineRule="auto"/>
        <w:contextualSpacing w:val="0"/>
        <w:rPr>
          <w:rFonts w:ascii="Calibri" w:hAnsi="Calibri"/>
        </w:rPr>
      </w:pPr>
      <w:r>
        <w:rPr>
          <w:rFonts w:ascii="Calibri" w:hAnsi="Calibri"/>
        </w:rPr>
        <w:t>Embed appropriate and effective controls to mitigate</w:t>
      </w:r>
      <w:r>
        <w:rPr>
          <w:rFonts w:ascii="Calibri" w:hAnsi="Calibri"/>
          <w:spacing w:val="-8"/>
        </w:rPr>
        <w:t xml:space="preserve"> </w:t>
      </w:r>
      <w:r>
        <w:rPr>
          <w:rFonts w:ascii="Calibri" w:hAnsi="Calibri"/>
        </w:rPr>
        <w:t>risk.</w:t>
      </w:r>
    </w:p>
    <w:p w14:paraId="5AB8516C" w14:textId="77777777" w:rsidR="002D6804" w:rsidRDefault="002D6804" w:rsidP="002A3889">
      <w:pPr>
        <w:pStyle w:val="ListParagraph"/>
        <w:widowControl w:val="0"/>
        <w:numPr>
          <w:ilvl w:val="0"/>
          <w:numId w:val="462"/>
        </w:numPr>
        <w:tabs>
          <w:tab w:val="left" w:pos="926"/>
          <w:tab w:val="left" w:pos="927"/>
        </w:tabs>
        <w:autoSpaceDE w:val="0"/>
        <w:autoSpaceDN w:val="0"/>
        <w:spacing w:before="61" w:after="0" w:line="240" w:lineRule="auto"/>
        <w:contextualSpacing w:val="0"/>
        <w:rPr>
          <w:rFonts w:ascii="Calibri" w:hAnsi="Calibri"/>
        </w:rPr>
      </w:pPr>
      <w:r>
        <w:rPr>
          <w:rFonts w:ascii="Calibri" w:hAnsi="Calibri"/>
        </w:rPr>
        <w:t>Achieve effective corporate governance and adherence to relevant statutory, regulatory</w:t>
      </w:r>
      <w:r>
        <w:rPr>
          <w:rFonts w:ascii="Calibri" w:hAnsi="Calibri"/>
          <w:spacing w:val="-10"/>
        </w:rPr>
        <w:t xml:space="preserve"> </w:t>
      </w:r>
      <w:r>
        <w:rPr>
          <w:rFonts w:ascii="Calibri" w:hAnsi="Calibri"/>
        </w:rPr>
        <w:t>and</w:t>
      </w:r>
    </w:p>
    <w:p w14:paraId="6C18905F" w14:textId="77777777" w:rsidR="002D6804" w:rsidRDefault="002D6804" w:rsidP="002A3889">
      <w:pPr>
        <w:pStyle w:val="ListParagraph"/>
        <w:widowControl w:val="0"/>
        <w:numPr>
          <w:ilvl w:val="0"/>
          <w:numId w:val="462"/>
        </w:numPr>
        <w:tabs>
          <w:tab w:val="left" w:pos="926"/>
          <w:tab w:val="left" w:pos="927"/>
        </w:tabs>
        <w:autoSpaceDE w:val="0"/>
        <w:autoSpaceDN w:val="0"/>
        <w:spacing w:before="60" w:after="0" w:line="240" w:lineRule="auto"/>
        <w:contextualSpacing w:val="0"/>
        <w:rPr>
          <w:rFonts w:ascii="Calibri" w:hAnsi="Calibri"/>
        </w:rPr>
      </w:pPr>
      <w:r>
        <w:rPr>
          <w:rFonts w:ascii="Calibri" w:hAnsi="Calibri"/>
        </w:rPr>
        <w:t>compliance</w:t>
      </w:r>
      <w:r>
        <w:rPr>
          <w:rFonts w:ascii="Calibri" w:hAnsi="Calibri"/>
          <w:spacing w:val="-3"/>
        </w:rPr>
        <w:t xml:space="preserve"> </w:t>
      </w:r>
      <w:r>
        <w:rPr>
          <w:rFonts w:ascii="Calibri" w:hAnsi="Calibri"/>
        </w:rPr>
        <w:t>obligations.</w:t>
      </w:r>
    </w:p>
    <w:p w14:paraId="05677B2F" w14:textId="77777777" w:rsidR="002D6804" w:rsidRDefault="002D6804" w:rsidP="002A3889">
      <w:pPr>
        <w:pStyle w:val="ListParagraph"/>
        <w:widowControl w:val="0"/>
        <w:numPr>
          <w:ilvl w:val="0"/>
          <w:numId w:val="462"/>
        </w:numPr>
        <w:tabs>
          <w:tab w:val="left" w:pos="926"/>
          <w:tab w:val="left" w:pos="927"/>
        </w:tabs>
        <w:autoSpaceDE w:val="0"/>
        <w:autoSpaceDN w:val="0"/>
        <w:spacing w:before="58" w:after="0" w:line="240" w:lineRule="auto"/>
        <w:contextualSpacing w:val="0"/>
        <w:rPr>
          <w:rFonts w:ascii="Calibri" w:hAnsi="Calibri"/>
        </w:rPr>
      </w:pPr>
      <w:r>
        <w:rPr>
          <w:rFonts w:ascii="Calibri" w:hAnsi="Calibri"/>
        </w:rPr>
        <w:t>Enhance organisational</w:t>
      </w:r>
      <w:r>
        <w:rPr>
          <w:rFonts w:ascii="Calibri" w:hAnsi="Calibri"/>
          <w:spacing w:val="-3"/>
        </w:rPr>
        <w:t xml:space="preserve"> </w:t>
      </w:r>
      <w:r>
        <w:rPr>
          <w:rFonts w:ascii="Calibri" w:hAnsi="Calibri"/>
        </w:rPr>
        <w:t>resilience.</w:t>
      </w:r>
    </w:p>
    <w:p w14:paraId="6DED787D" w14:textId="77777777" w:rsidR="002D6804" w:rsidRDefault="002D6804" w:rsidP="002A3889">
      <w:pPr>
        <w:pStyle w:val="ListParagraph"/>
        <w:widowControl w:val="0"/>
        <w:numPr>
          <w:ilvl w:val="0"/>
          <w:numId w:val="462"/>
        </w:numPr>
        <w:tabs>
          <w:tab w:val="left" w:pos="926"/>
          <w:tab w:val="left" w:pos="927"/>
        </w:tabs>
        <w:autoSpaceDE w:val="0"/>
        <w:autoSpaceDN w:val="0"/>
        <w:spacing w:before="61" w:after="0" w:line="240" w:lineRule="auto"/>
        <w:contextualSpacing w:val="0"/>
        <w:rPr>
          <w:rFonts w:ascii="Calibri" w:hAnsi="Calibri"/>
        </w:rPr>
      </w:pPr>
      <w:r>
        <w:rPr>
          <w:rFonts w:ascii="Calibri" w:hAnsi="Calibri"/>
        </w:rPr>
        <w:t>Identify and provide for the continuity of critical</w:t>
      </w:r>
      <w:r>
        <w:rPr>
          <w:rFonts w:ascii="Calibri" w:hAnsi="Calibri"/>
          <w:spacing w:val="-12"/>
        </w:rPr>
        <w:t xml:space="preserve"> </w:t>
      </w:r>
      <w:r>
        <w:rPr>
          <w:rFonts w:ascii="Calibri" w:hAnsi="Calibri"/>
        </w:rPr>
        <w:t>operations.</w:t>
      </w:r>
    </w:p>
    <w:p w14:paraId="4A343903" w14:textId="77777777" w:rsidR="002D6804" w:rsidRDefault="002D6804" w:rsidP="002D6804">
      <w:pPr>
        <w:pStyle w:val="Heading3"/>
        <w:spacing w:before="199"/>
        <w:ind w:left="360"/>
        <w:jc w:val="both"/>
        <w:rPr>
          <w:rFonts w:ascii="Calibri"/>
        </w:rPr>
      </w:pPr>
      <w:r>
        <w:rPr>
          <w:rFonts w:ascii="Calibri"/>
        </w:rPr>
        <w:t>Risk Appetite</w:t>
      </w:r>
    </w:p>
    <w:p w14:paraId="507C0D9E" w14:textId="77777777" w:rsidR="002D6804" w:rsidRDefault="002D6804" w:rsidP="002D6804">
      <w:pPr>
        <w:ind w:left="360" w:right="594"/>
        <w:jc w:val="both"/>
        <w:rPr>
          <w:rFonts w:ascii="Calibri" w:hAnsi="Calibri"/>
        </w:rPr>
      </w:pPr>
      <w:r>
        <w:rPr>
          <w:rFonts w:ascii="Calibri" w:hAnsi="Calibri"/>
        </w:rPr>
        <w:t>The Town defined its risk appetite through the development and endorsement of the Town’s Risk Assessment and Acceptance Criteria. The criteria are included within the Risk Management Procedures and are subject to ongoing review in conjunction with this policy.</w:t>
      </w:r>
    </w:p>
    <w:p w14:paraId="5E194DAF" w14:textId="77777777" w:rsidR="002D6804" w:rsidRDefault="002D6804" w:rsidP="002D6804">
      <w:pPr>
        <w:spacing w:before="1"/>
        <w:ind w:left="360" w:right="590"/>
        <w:jc w:val="both"/>
        <w:rPr>
          <w:rFonts w:ascii="Calibri" w:hAnsi="Calibri"/>
        </w:rPr>
      </w:pPr>
      <w:r>
        <w:rPr>
          <w:rFonts w:ascii="Calibri" w:hAnsi="Calibri"/>
        </w:rPr>
        <w:t>All organisational risks to be reported at a corporate level are to be assessed according to the Town’s Risk Assessment and Acceptance Criteria to allow consistency and informed decision making. For operational</w:t>
      </w:r>
      <w:r>
        <w:rPr>
          <w:rFonts w:ascii="Calibri" w:hAnsi="Calibri"/>
          <w:spacing w:val="-10"/>
        </w:rPr>
        <w:t xml:space="preserve"> </w:t>
      </w:r>
      <w:r>
        <w:rPr>
          <w:rFonts w:ascii="Calibri" w:hAnsi="Calibri"/>
        </w:rPr>
        <w:t>requirements</w:t>
      </w:r>
      <w:r>
        <w:rPr>
          <w:rFonts w:ascii="Calibri" w:hAnsi="Calibri"/>
          <w:spacing w:val="-9"/>
        </w:rPr>
        <w:t xml:space="preserve"> </w:t>
      </w:r>
      <w:r>
        <w:rPr>
          <w:rFonts w:ascii="Calibri" w:hAnsi="Calibri"/>
        </w:rPr>
        <w:t>such</w:t>
      </w:r>
      <w:r>
        <w:rPr>
          <w:rFonts w:ascii="Calibri" w:hAnsi="Calibri"/>
          <w:spacing w:val="-10"/>
        </w:rPr>
        <w:t xml:space="preserve"> </w:t>
      </w:r>
      <w:r>
        <w:rPr>
          <w:rFonts w:ascii="Calibri" w:hAnsi="Calibri"/>
        </w:rPr>
        <w:t>as</w:t>
      </w:r>
      <w:r>
        <w:rPr>
          <w:rFonts w:ascii="Calibri" w:hAnsi="Calibri"/>
          <w:spacing w:val="-8"/>
        </w:rPr>
        <w:t xml:space="preserve"> </w:t>
      </w:r>
      <w:r>
        <w:rPr>
          <w:rFonts w:ascii="Calibri" w:hAnsi="Calibri"/>
        </w:rPr>
        <w:t>projects</w:t>
      </w:r>
      <w:r>
        <w:rPr>
          <w:rFonts w:ascii="Calibri" w:hAnsi="Calibri"/>
          <w:spacing w:val="-11"/>
        </w:rPr>
        <w:t xml:space="preserve"> </w:t>
      </w:r>
      <w:r>
        <w:rPr>
          <w:rFonts w:ascii="Calibri" w:hAnsi="Calibri"/>
        </w:rPr>
        <w:t>or</w:t>
      </w:r>
      <w:r>
        <w:rPr>
          <w:rFonts w:ascii="Calibri" w:hAnsi="Calibri"/>
          <w:spacing w:val="-11"/>
        </w:rPr>
        <w:t xml:space="preserve"> </w:t>
      </w:r>
      <w:r>
        <w:rPr>
          <w:rFonts w:ascii="Calibri" w:hAnsi="Calibri"/>
        </w:rPr>
        <w:t>to</w:t>
      </w:r>
      <w:r>
        <w:rPr>
          <w:rFonts w:ascii="Calibri" w:hAnsi="Calibri"/>
          <w:spacing w:val="-8"/>
        </w:rPr>
        <w:t xml:space="preserve"> </w:t>
      </w:r>
      <w:r>
        <w:rPr>
          <w:rFonts w:ascii="Calibri" w:hAnsi="Calibri"/>
        </w:rPr>
        <w:t>satisfy</w:t>
      </w:r>
      <w:r>
        <w:rPr>
          <w:rFonts w:ascii="Calibri" w:hAnsi="Calibri"/>
          <w:spacing w:val="-11"/>
        </w:rPr>
        <w:t xml:space="preserve"> </w:t>
      </w:r>
      <w:r>
        <w:rPr>
          <w:rFonts w:ascii="Calibri" w:hAnsi="Calibri"/>
        </w:rPr>
        <w:t>external</w:t>
      </w:r>
      <w:r>
        <w:rPr>
          <w:rFonts w:ascii="Calibri" w:hAnsi="Calibri"/>
          <w:spacing w:val="-11"/>
        </w:rPr>
        <w:t xml:space="preserve"> </w:t>
      </w:r>
      <w:r>
        <w:rPr>
          <w:rFonts w:ascii="Calibri" w:hAnsi="Calibri"/>
        </w:rPr>
        <w:t>stakeholder</w:t>
      </w:r>
      <w:r>
        <w:rPr>
          <w:rFonts w:ascii="Calibri" w:hAnsi="Calibri"/>
          <w:spacing w:val="-9"/>
        </w:rPr>
        <w:t xml:space="preserve"> </w:t>
      </w:r>
      <w:r>
        <w:rPr>
          <w:rFonts w:ascii="Calibri" w:hAnsi="Calibri"/>
        </w:rPr>
        <w:t>requirements,</w:t>
      </w:r>
      <w:r>
        <w:rPr>
          <w:rFonts w:ascii="Calibri" w:hAnsi="Calibri"/>
          <w:spacing w:val="-9"/>
        </w:rPr>
        <w:t xml:space="preserve"> </w:t>
      </w:r>
      <w:r>
        <w:rPr>
          <w:rFonts w:ascii="Calibri" w:hAnsi="Calibri"/>
        </w:rPr>
        <w:t>alternative risk</w:t>
      </w:r>
      <w:r>
        <w:rPr>
          <w:rFonts w:ascii="Calibri" w:hAnsi="Calibri"/>
          <w:spacing w:val="-8"/>
        </w:rPr>
        <w:t xml:space="preserve"> </w:t>
      </w:r>
      <w:r>
        <w:rPr>
          <w:rFonts w:ascii="Calibri" w:hAnsi="Calibri"/>
        </w:rPr>
        <w:t>assessment</w:t>
      </w:r>
      <w:r>
        <w:rPr>
          <w:rFonts w:ascii="Calibri" w:hAnsi="Calibri"/>
          <w:spacing w:val="-8"/>
        </w:rPr>
        <w:t xml:space="preserve"> </w:t>
      </w:r>
      <w:r>
        <w:rPr>
          <w:rFonts w:ascii="Calibri" w:hAnsi="Calibri"/>
        </w:rPr>
        <w:t>criteria</w:t>
      </w:r>
      <w:r>
        <w:rPr>
          <w:rFonts w:ascii="Calibri" w:hAnsi="Calibri"/>
          <w:spacing w:val="-10"/>
        </w:rPr>
        <w:t xml:space="preserve"> </w:t>
      </w:r>
      <w:r>
        <w:rPr>
          <w:rFonts w:ascii="Calibri" w:hAnsi="Calibri"/>
        </w:rPr>
        <w:t>may</w:t>
      </w:r>
      <w:r>
        <w:rPr>
          <w:rFonts w:ascii="Calibri" w:hAnsi="Calibri"/>
          <w:spacing w:val="-7"/>
        </w:rPr>
        <w:t xml:space="preserve"> </w:t>
      </w:r>
      <w:r>
        <w:rPr>
          <w:rFonts w:ascii="Calibri" w:hAnsi="Calibri"/>
        </w:rPr>
        <w:t>be</w:t>
      </w:r>
      <w:r>
        <w:rPr>
          <w:rFonts w:ascii="Calibri" w:hAnsi="Calibri"/>
          <w:spacing w:val="-6"/>
        </w:rPr>
        <w:t xml:space="preserve"> </w:t>
      </w:r>
      <w:r>
        <w:rPr>
          <w:rFonts w:ascii="Calibri" w:hAnsi="Calibri"/>
        </w:rPr>
        <w:t>utilised,</w:t>
      </w:r>
      <w:r>
        <w:rPr>
          <w:rFonts w:ascii="Calibri" w:hAnsi="Calibri"/>
          <w:spacing w:val="-8"/>
        </w:rPr>
        <w:t xml:space="preserve"> </w:t>
      </w:r>
      <w:r>
        <w:rPr>
          <w:rFonts w:ascii="Calibri" w:hAnsi="Calibri"/>
        </w:rPr>
        <w:t>however</w:t>
      </w:r>
      <w:r>
        <w:rPr>
          <w:rFonts w:ascii="Calibri" w:hAnsi="Calibri"/>
          <w:spacing w:val="-9"/>
        </w:rPr>
        <w:t xml:space="preserve"> </w:t>
      </w:r>
      <w:r>
        <w:rPr>
          <w:rFonts w:ascii="Calibri" w:hAnsi="Calibri"/>
        </w:rPr>
        <w:t>these</w:t>
      </w:r>
      <w:r>
        <w:rPr>
          <w:rFonts w:ascii="Calibri" w:hAnsi="Calibri"/>
          <w:spacing w:val="-7"/>
        </w:rPr>
        <w:t xml:space="preserve"> </w:t>
      </w:r>
      <w:r>
        <w:rPr>
          <w:rFonts w:ascii="Calibri" w:hAnsi="Calibri"/>
        </w:rPr>
        <w:t>cannot</w:t>
      </w:r>
      <w:r>
        <w:rPr>
          <w:rFonts w:ascii="Calibri" w:hAnsi="Calibri"/>
          <w:spacing w:val="-9"/>
        </w:rPr>
        <w:t xml:space="preserve"> </w:t>
      </w:r>
      <w:r>
        <w:rPr>
          <w:rFonts w:ascii="Calibri" w:hAnsi="Calibri"/>
        </w:rPr>
        <w:t>exceed</w:t>
      </w:r>
      <w:r>
        <w:rPr>
          <w:rFonts w:ascii="Calibri" w:hAnsi="Calibri"/>
          <w:spacing w:val="-11"/>
        </w:rPr>
        <w:t xml:space="preserve"> </w:t>
      </w:r>
      <w:r>
        <w:rPr>
          <w:rFonts w:ascii="Calibri" w:hAnsi="Calibri"/>
        </w:rPr>
        <w:t>the</w:t>
      </w:r>
      <w:r>
        <w:rPr>
          <w:rFonts w:ascii="Calibri" w:hAnsi="Calibri"/>
          <w:spacing w:val="-9"/>
        </w:rPr>
        <w:t xml:space="preserve"> </w:t>
      </w:r>
      <w:r>
        <w:rPr>
          <w:rFonts w:ascii="Calibri" w:hAnsi="Calibri"/>
        </w:rPr>
        <w:t>organisation’s</w:t>
      </w:r>
      <w:r>
        <w:rPr>
          <w:rFonts w:ascii="Calibri" w:hAnsi="Calibri"/>
          <w:spacing w:val="-8"/>
        </w:rPr>
        <w:t xml:space="preserve"> </w:t>
      </w:r>
      <w:r>
        <w:rPr>
          <w:rFonts w:ascii="Calibri" w:hAnsi="Calibri"/>
        </w:rPr>
        <w:t>appetite</w:t>
      </w:r>
      <w:r>
        <w:rPr>
          <w:rFonts w:ascii="Calibri" w:hAnsi="Calibri"/>
          <w:spacing w:val="-9"/>
        </w:rPr>
        <w:t xml:space="preserve"> </w:t>
      </w:r>
      <w:r>
        <w:rPr>
          <w:rFonts w:ascii="Calibri" w:hAnsi="Calibri"/>
        </w:rPr>
        <w:t>and are to be noted within the individual risk assessment and approved by a member of the Senior Staff Group.</w:t>
      </w:r>
    </w:p>
    <w:p w14:paraId="491BE191" w14:textId="77777777" w:rsidR="002D6804" w:rsidRDefault="002D6804" w:rsidP="002D6804">
      <w:pPr>
        <w:spacing w:before="1"/>
        <w:ind w:left="360" w:right="590"/>
        <w:jc w:val="both"/>
        <w:rPr>
          <w:rFonts w:ascii="Calibri" w:hAnsi="Calibri"/>
        </w:rPr>
      </w:pPr>
      <w:r>
        <w:rPr>
          <w:rFonts w:ascii="Calibri" w:hAnsi="Calibri"/>
        </w:rPr>
        <w:t xml:space="preserve">As a public body, there is an expectation that the Town will maintain an inherent low appetite for risk and </w:t>
      </w:r>
      <w:proofErr w:type="gramStart"/>
      <w:r>
        <w:rPr>
          <w:rFonts w:ascii="Calibri" w:hAnsi="Calibri"/>
        </w:rPr>
        <w:t>as a consequence</w:t>
      </w:r>
      <w:proofErr w:type="gramEnd"/>
      <w:r>
        <w:rPr>
          <w:rFonts w:ascii="Calibri" w:hAnsi="Calibri"/>
        </w:rPr>
        <w:t xml:space="preserve"> adopt policies and maintain systems and procedures to create value and protect, the Town, and its stakeholders.</w:t>
      </w:r>
    </w:p>
    <w:p w14:paraId="72CBB095" w14:textId="77777777" w:rsidR="002D6804" w:rsidRDefault="002D6804" w:rsidP="002D6804">
      <w:pPr>
        <w:pStyle w:val="Heading3"/>
        <w:ind w:left="360"/>
        <w:jc w:val="both"/>
        <w:rPr>
          <w:rFonts w:ascii="Calibri"/>
        </w:rPr>
      </w:pPr>
      <w:r>
        <w:rPr>
          <w:rFonts w:ascii="Calibri"/>
        </w:rPr>
        <w:t>Roles, Responsibilities &amp; Accountabilities</w:t>
      </w:r>
    </w:p>
    <w:p w14:paraId="0B4227F0" w14:textId="77777777" w:rsidR="002D6804" w:rsidRDefault="002D6804" w:rsidP="002D6804">
      <w:pPr>
        <w:ind w:left="360" w:right="595"/>
        <w:jc w:val="both"/>
        <w:rPr>
          <w:rFonts w:ascii="Calibri"/>
        </w:rPr>
      </w:pPr>
      <w:r>
        <w:rPr>
          <w:rFonts w:ascii="Calibri"/>
        </w:rPr>
        <w:t>The CEO is responsible for the allocation of roles, responsibilities and accountabilities. These are documented in the Risk Management Procedures (Operational Document).</w:t>
      </w:r>
    </w:p>
    <w:p w14:paraId="7B7B300C" w14:textId="77777777" w:rsidR="002D6804" w:rsidRDefault="002D6804" w:rsidP="002D6804">
      <w:pPr>
        <w:pStyle w:val="Heading3"/>
        <w:spacing w:before="1"/>
        <w:ind w:left="360"/>
        <w:jc w:val="both"/>
        <w:rPr>
          <w:rFonts w:ascii="Calibri"/>
        </w:rPr>
      </w:pPr>
      <w:r>
        <w:rPr>
          <w:rFonts w:ascii="Calibri"/>
        </w:rPr>
        <w:t>Monitor &amp; Review</w:t>
      </w:r>
    </w:p>
    <w:p w14:paraId="3FEF3C6A" w14:textId="77777777" w:rsidR="002D6804" w:rsidRDefault="002D6804" w:rsidP="002D6804">
      <w:pPr>
        <w:ind w:left="360" w:right="592"/>
        <w:jc w:val="both"/>
        <w:rPr>
          <w:rFonts w:ascii="Calibri"/>
        </w:rPr>
      </w:pPr>
      <w:r>
        <w:rPr>
          <w:rFonts w:ascii="Calibri"/>
        </w:rPr>
        <w:t>The Town will implement and integrate a monitor and review process to report on the achievement of</w:t>
      </w:r>
      <w:r>
        <w:rPr>
          <w:rFonts w:ascii="Calibri"/>
          <w:spacing w:val="-13"/>
        </w:rPr>
        <w:t xml:space="preserve"> </w:t>
      </w:r>
      <w:r>
        <w:rPr>
          <w:rFonts w:ascii="Calibri"/>
        </w:rPr>
        <w:t>the</w:t>
      </w:r>
      <w:r>
        <w:rPr>
          <w:rFonts w:ascii="Calibri"/>
          <w:spacing w:val="-12"/>
        </w:rPr>
        <w:t xml:space="preserve"> </w:t>
      </w:r>
      <w:r>
        <w:rPr>
          <w:rFonts w:ascii="Calibri"/>
        </w:rPr>
        <w:t>Risk</w:t>
      </w:r>
      <w:r>
        <w:rPr>
          <w:rFonts w:ascii="Calibri"/>
          <w:spacing w:val="-12"/>
        </w:rPr>
        <w:t xml:space="preserve"> </w:t>
      </w:r>
      <w:r>
        <w:rPr>
          <w:rFonts w:ascii="Calibri"/>
        </w:rPr>
        <w:t>Management</w:t>
      </w:r>
      <w:r>
        <w:rPr>
          <w:rFonts w:ascii="Calibri"/>
          <w:spacing w:val="-11"/>
        </w:rPr>
        <w:t xml:space="preserve"> </w:t>
      </w:r>
      <w:r>
        <w:rPr>
          <w:rFonts w:ascii="Calibri"/>
        </w:rPr>
        <w:t>Objectives,</w:t>
      </w:r>
      <w:r>
        <w:rPr>
          <w:rFonts w:ascii="Calibri"/>
          <w:spacing w:val="-11"/>
        </w:rPr>
        <w:t xml:space="preserve"> </w:t>
      </w:r>
      <w:r>
        <w:rPr>
          <w:rFonts w:ascii="Calibri"/>
        </w:rPr>
        <w:t>the</w:t>
      </w:r>
      <w:r>
        <w:rPr>
          <w:rFonts w:ascii="Calibri"/>
          <w:spacing w:val="-12"/>
        </w:rPr>
        <w:t xml:space="preserve"> </w:t>
      </w:r>
      <w:r>
        <w:rPr>
          <w:rFonts w:ascii="Calibri"/>
        </w:rPr>
        <w:t>management</w:t>
      </w:r>
      <w:r>
        <w:rPr>
          <w:rFonts w:ascii="Calibri"/>
          <w:spacing w:val="-14"/>
        </w:rPr>
        <w:t xml:space="preserve"> </w:t>
      </w:r>
      <w:r>
        <w:rPr>
          <w:rFonts w:ascii="Calibri"/>
        </w:rPr>
        <w:t>of</w:t>
      </w:r>
      <w:r>
        <w:rPr>
          <w:rFonts w:ascii="Calibri"/>
          <w:spacing w:val="-10"/>
        </w:rPr>
        <w:t xml:space="preserve"> </w:t>
      </w:r>
      <w:r>
        <w:rPr>
          <w:rFonts w:ascii="Calibri"/>
        </w:rPr>
        <w:t>individual</w:t>
      </w:r>
      <w:r>
        <w:rPr>
          <w:rFonts w:ascii="Calibri"/>
          <w:spacing w:val="-12"/>
        </w:rPr>
        <w:t xml:space="preserve"> </w:t>
      </w:r>
      <w:r>
        <w:rPr>
          <w:rFonts w:ascii="Calibri"/>
        </w:rPr>
        <w:t>risks</w:t>
      </w:r>
      <w:r>
        <w:rPr>
          <w:rFonts w:ascii="Calibri"/>
          <w:spacing w:val="-12"/>
        </w:rPr>
        <w:t xml:space="preserve"> </w:t>
      </w:r>
      <w:r>
        <w:rPr>
          <w:rFonts w:ascii="Calibri"/>
        </w:rPr>
        <w:t>and</w:t>
      </w:r>
      <w:r>
        <w:rPr>
          <w:rFonts w:ascii="Calibri"/>
          <w:spacing w:val="-10"/>
        </w:rPr>
        <w:t xml:space="preserve"> </w:t>
      </w:r>
      <w:r>
        <w:rPr>
          <w:rFonts w:ascii="Calibri"/>
        </w:rPr>
        <w:t>the</w:t>
      </w:r>
      <w:r>
        <w:rPr>
          <w:rFonts w:ascii="Calibri"/>
          <w:spacing w:val="-11"/>
        </w:rPr>
        <w:t xml:space="preserve"> </w:t>
      </w:r>
      <w:r>
        <w:rPr>
          <w:rFonts w:ascii="Calibri"/>
        </w:rPr>
        <w:t>ongoing</w:t>
      </w:r>
      <w:r>
        <w:rPr>
          <w:rFonts w:ascii="Calibri"/>
          <w:spacing w:val="-10"/>
        </w:rPr>
        <w:t xml:space="preserve"> </w:t>
      </w:r>
      <w:r>
        <w:rPr>
          <w:rFonts w:ascii="Calibri"/>
        </w:rPr>
        <w:t>identification of issues and</w:t>
      </w:r>
      <w:r>
        <w:rPr>
          <w:rFonts w:ascii="Calibri"/>
          <w:spacing w:val="-2"/>
        </w:rPr>
        <w:t xml:space="preserve"> </w:t>
      </w:r>
      <w:r>
        <w:rPr>
          <w:rFonts w:ascii="Calibri"/>
        </w:rPr>
        <w:t>trends.</w:t>
      </w:r>
    </w:p>
    <w:p w14:paraId="4B477606" w14:textId="77777777" w:rsidR="002D6804" w:rsidRDefault="002D6804" w:rsidP="002D6804">
      <w:pPr>
        <w:spacing w:after="0"/>
        <w:ind w:left="357"/>
        <w:rPr>
          <w:rFonts w:ascii="Calibri"/>
          <w:b/>
        </w:rPr>
      </w:pPr>
      <w:r>
        <w:rPr>
          <w:rFonts w:ascii="Calibri"/>
          <w:b/>
          <w:u w:val="single"/>
        </w:rPr>
        <w:t>Attachment</w:t>
      </w:r>
    </w:p>
    <w:p w14:paraId="0F87B3E7" w14:textId="77777777" w:rsidR="002D6804" w:rsidRDefault="002D6804" w:rsidP="002D6804">
      <w:pPr>
        <w:spacing w:before="39"/>
        <w:ind w:left="360"/>
        <w:rPr>
          <w:rFonts w:ascii="Calibri"/>
        </w:rPr>
      </w:pPr>
      <w:r>
        <w:rPr>
          <w:rFonts w:ascii="Calibri"/>
        </w:rPr>
        <w:t>Risk Management Procedures</w:t>
      </w: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5903"/>
      </w:tblGrid>
      <w:tr w:rsidR="002D6804" w14:paraId="58B9B3D6" w14:textId="77777777" w:rsidTr="002D6804">
        <w:trPr>
          <w:trHeight w:val="309"/>
        </w:trPr>
        <w:tc>
          <w:tcPr>
            <w:tcW w:w="3116" w:type="dxa"/>
          </w:tcPr>
          <w:p w14:paraId="2935FB87" w14:textId="77777777" w:rsidR="002D6804" w:rsidRDefault="002D6804" w:rsidP="002D6804">
            <w:pPr>
              <w:pStyle w:val="TableParagraph"/>
              <w:spacing w:before="1"/>
              <w:ind w:left="107"/>
              <w:rPr>
                <w:rFonts w:ascii="Calibri"/>
                <w:b/>
              </w:rPr>
            </w:pPr>
            <w:r>
              <w:rPr>
                <w:rFonts w:ascii="Calibri"/>
                <w:b/>
              </w:rPr>
              <w:t>Responsible Directorate:</w:t>
            </w:r>
          </w:p>
        </w:tc>
        <w:tc>
          <w:tcPr>
            <w:tcW w:w="5903" w:type="dxa"/>
          </w:tcPr>
          <w:p w14:paraId="16FF3C51" w14:textId="77777777" w:rsidR="002D6804" w:rsidRDefault="002D6804" w:rsidP="002D6804">
            <w:pPr>
              <w:pStyle w:val="TableParagraph"/>
              <w:spacing w:before="1"/>
              <w:ind w:left="107"/>
              <w:rPr>
                <w:rFonts w:ascii="Calibri"/>
              </w:rPr>
            </w:pPr>
            <w:r>
              <w:rPr>
                <w:rFonts w:ascii="Calibri"/>
              </w:rPr>
              <w:t>Office of the Chief Executive Officer</w:t>
            </w:r>
          </w:p>
        </w:tc>
      </w:tr>
      <w:tr w:rsidR="002D6804" w14:paraId="1AD5AFF1" w14:textId="77777777" w:rsidTr="002D6804">
        <w:trPr>
          <w:trHeight w:val="309"/>
        </w:trPr>
        <w:tc>
          <w:tcPr>
            <w:tcW w:w="3116" w:type="dxa"/>
          </w:tcPr>
          <w:p w14:paraId="6734EC5C" w14:textId="77777777" w:rsidR="002D6804" w:rsidRDefault="002D6804" w:rsidP="002D6804">
            <w:pPr>
              <w:pStyle w:val="TableParagraph"/>
              <w:spacing w:line="268" w:lineRule="exact"/>
              <w:ind w:left="107"/>
              <w:rPr>
                <w:rFonts w:ascii="Calibri"/>
                <w:b/>
              </w:rPr>
            </w:pPr>
            <w:r>
              <w:rPr>
                <w:rFonts w:ascii="Calibri"/>
                <w:b/>
              </w:rPr>
              <w:t>Reviewing Officer:</w:t>
            </w:r>
          </w:p>
        </w:tc>
        <w:tc>
          <w:tcPr>
            <w:tcW w:w="5903" w:type="dxa"/>
          </w:tcPr>
          <w:p w14:paraId="745C7A88" w14:textId="77777777" w:rsidR="002D6804" w:rsidRDefault="002D6804" w:rsidP="002D6804">
            <w:pPr>
              <w:pStyle w:val="TableParagraph"/>
              <w:spacing w:line="268" w:lineRule="exact"/>
              <w:ind w:left="107"/>
              <w:rPr>
                <w:rFonts w:ascii="Calibri"/>
              </w:rPr>
            </w:pPr>
            <w:r>
              <w:rPr>
                <w:rFonts w:ascii="Calibri"/>
              </w:rPr>
              <w:t>Executive Manager Corporate Services</w:t>
            </w:r>
          </w:p>
        </w:tc>
      </w:tr>
      <w:tr w:rsidR="002D6804" w14:paraId="6531177E" w14:textId="77777777" w:rsidTr="002D6804">
        <w:trPr>
          <w:trHeight w:val="309"/>
        </w:trPr>
        <w:tc>
          <w:tcPr>
            <w:tcW w:w="3116" w:type="dxa"/>
          </w:tcPr>
          <w:p w14:paraId="12CB5FD5" w14:textId="77777777" w:rsidR="002D6804" w:rsidRDefault="002D6804" w:rsidP="002D6804">
            <w:pPr>
              <w:pStyle w:val="TableParagraph"/>
              <w:spacing w:line="268" w:lineRule="exact"/>
              <w:ind w:left="107"/>
              <w:rPr>
                <w:rFonts w:ascii="Calibri"/>
                <w:b/>
              </w:rPr>
            </w:pPr>
            <w:r>
              <w:rPr>
                <w:rFonts w:ascii="Calibri"/>
                <w:b/>
              </w:rPr>
              <w:lastRenderedPageBreak/>
              <w:t>Decision making Authority:</w:t>
            </w:r>
          </w:p>
        </w:tc>
        <w:tc>
          <w:tcPr>
            <w:tcW w:w="5903" w:type="dxa"/>
          </w:tcPr>
          <w:p w14:paraId="1F283976" w14:textId="77777777" w:rsidR="002D6804" w:rsidRDefault="002D6804" w:rsidP="002D6804">
            <w:pPr>
              <w:pStyle w:val="TableParagraph"/>
              <w:spacing w:line="268" w:lineRule="exact"/>
              <w:ind w:left="107"/>
              <w:rPr>
                <w:rFonts w:ascii="Calibri"/>
              </w:rPr>
            </w:pPr>
            <w:r>
              <w:rPr>
                <w:rFonts w:ascii="Calibri"/>
              </w:rPr>
              <w:t>Council</w:t>
            </w:r>
          </w:p>
        </w:tc>
      </w:tr>
      <w:tr w:rsidR="002D6804" w14:paraId="0E8010BA" w14:textId="77777777" w:rsidTr="002D6804">
        <w:trPr>
          <w:trHeight w:val="309"/>
        </w:trPr>
        <w:tc>
          <w:tcPr>
            <w:tcW w:w="3116" w:type="dxa"/>
          </w:tcPr>
          <w:p w14:paraId="275F1C62" w14:textId="77777777" w:rsidR="002D6804" w:rsidRDefault="002D6804" w:rsidP="002D6804">
            <w:pPr>
              <w:pStyle w:val="TableParagraph"/>
              <w:spacing w:line="268" w:lineRule="exact"/>
              <w:ind w:left="107"/>
              <w:rPr>
                <w:rFonts w:ascii="Calibri"/>
                <w:b/>
              </w:rPr>
            </w:pPr>
            <w:r>
              <w:rPr>
                <w:rFonts w:ascii="Calibri"/>
                <w:b/>
              </w:rPr>
              <w:t>Policy Adopted:</w:t>
            </w:r>
          </w:p>
        </w:tc>
        <w:tc>
          <w:tcPr>
            <w:tcW w:w="5903" w:type="dxa"/>
          </w:tcPr>
          <w:p w14:paraId="06D0ACC1" w14:textId="77777777" w:rsidR="002D6804" w:rsidRDefault="002D6804" w:rsidP="002D6804">
            <w:pPr>
              <w:pStyle w:val="TableParagraph"/>
              <w:spacing w:line="268" w:lineRule="exact"/>
              <w:ind w:left="107"/>
              <w:rPr>
                <w:rFonts w:ascii="Calibri"/>
              </w:rPr>
            </w:pPr>
            <w:r>
              <w:rPr>
                <w:rFonts w:ascii="Calibri"/>
              </w:rPr>
              <w:t>21/3/17</w:t>
            </w:r>
          </w:p>
        </w:tc>
      </w:tr>
      <w:tr w:rsidR="002D6804" w14:paraId="27775026" w14:textId="77777777" w:rsidTr="002D6804">
        <w:trPr>
          <w:trHeight w:val="309"/>
        </w:trPr>
        <w:tc>
          <w:tcPr>
            <w:tcW w:w="3116" w:type="dxa"/>
          </w:tcPr>
          <w:p w14:paraId="620E7447" w14:textId="77777777" w:rsidR="002D6804" w:rsidRDefault="002D6804" w:rsidP="002D6804">
            <w:pPr>
              <w:pStyle w:val="TableParagraph"/>
              <w:spacing w:line="268" w:lineRule="exact"/>
              <w:ind w:left="107"/>
              <w:rPr>
                <w:rFonts w:ascii="Calibri"/>
                <w:b/>
              </w:rPr>
            </w:pPr>
            <w:r>
              <w:rPr>
                <w:rFonts w:ascii="Calibri"/>
                <w:b/>
              </w:rPr>
              <w:t>Policy Amended/Reviewed:</w:t>
            </w:r>
          </w:p>
        </w:tc>
        <w:tc>
          <w:tcPr>
            <w:tcW w:w="5903" w:type="dxa"/>
          </w:tcPr>
          <w:p w14:paraId="5F8FB749" w14:textId="77777777" w:rsidR="002D6804" w:rsidRDefault="002D6804" w:rsidP="002D6804">
            <w:pPr>
              <w:pStyle w:val="TableParagraph"/>
              <w:spacing w:line="268" w:lineRule="exact"/>
              <w:ind w:left="107"/>
              <w:rPr>
                <w:rFonts w:ascii="Calibri"/>
              </w:rPr>
            </w:pPr>
            <w:r>
              <w:rPr>
                <w:rFonts w:ascii="Calibri"/>
              </w:rPr>
              <w:t xml:space="preserve">17/9/19, 8/12/20 </w:t>
            </w:r>
          </w:p>
        </w:tc>
      </w:tr>
      <w:tr w:rsidR="002D6804" w14:paraId="1F729399" w14:textId="77777777" w:rsidTr="002D6804">
        <w:trPr>
          <w:trHeight w:val="309"/>
        </w:trPr>
        <w:tc>
          <w:tcPr>
            <w:tcW w:w="3116" w:type="dxa"/>
          </w:tcPr>
          <w:p w14:paraId="274A9979" w14:textId="77777777" w:rsidR="002D6804" w:rsidRDefault="002D6804" w:rsidP="002D6804">
            <w:pPr>
              <w:pStyle w:val="TableParagraph"/>
              <w:spacing w:line="268" w:lineRule="exact"/>
              <w:ind w:left="107"/>
              <w:rPr>
                <w:rFonts w:ascii="Calibri"/>
                <w:b/>
              </w:rPr>
            </w:pPr>
            <w:r>
              <w:rPr>
                <w:rFonts w:ascii="Calibri"/>
                <w:b/>
              </w:rPr>
              <w:t>Former Policy No:</w:t>
            </w:r>
          </w:p>
        </w:tc>
        <w:tc>
          <w:tcPr>
            <w:tcW w:w="5903" w:type="dxa"/>
          </w:tcPr>
          <w:p w14:paraId="73EE7E5C" w14:textId="77777777" w:rsidR="002D6804" w:rsidRDefault="002D6804" w:rsidP="002D6804">
            <w:pPr>
              <w:pStyle w:val="TableParagraph"/>
              <w:spacing w:line="268" w:lineRule="exact"/>
              <w:ind w:left="107"/>
              <w:rPr>
                <w:rFonts w:ascii="Calibri"/>
              </w:rPr>
            </w:pPr>
            <w:r>
              <w:rPr>
                <w:rFonts w:ascii="Calibri"/>
              </w:rPr>
              <w:t>4.3.4</w:t>
            </w:r>
          </w:p>
        </w:tc>
      </w:tr>
    </w:tbl>
    <w:p w14:paraId="099517F2" w14:textId="77777777" w:rsidR="002D6804" w:rsidRDefault="002D6804" w:rsidP="002D6804">
      <w:pPr>
        <w:spacing w:line="268" w:lineRule="exact"/>
        <w:rPr>
          <w:rFonts w:ascii="Calibri"/>
        </w:rPr>
        <w:sectPr w:rsidR="002D6804">
          <w:pgSz w:w="11910" w:h="16840"/>
          <w:pgMar w:top="1380" w:right="842" w:bottom="280" w:left="1080" w:header="720" w:footer="720" w:gutter="0"/>
          <w:cols w:space="720"/>
        </w:sectPr>
      </w:pPr>
    </w:p>
    <w:p w14:paraId="37C45DB4" w14:textId="77777777" w:rsidR="002D6804" w:rsidRPr="002D6804" w:rsidRDefault="002D6804" w:rsidP="002D6804">
      <w:pPr>
        <w:pStyle w:val="Heading1"/>
        <w:spacing w:before="86"/>
        <w:ind w:left="338"/>
        <w:rPr>
          <w:rFonts w:ascii="Arial" w:hAnsi="Arial" w:cs="Arial"/>
        </w:rPr>
      </w:pPr>
      <w:r w:rsidRPr="002D6804">
        <w:rPr>
          <w:rFonts w:ascii="Arial" w:hAnsi="Arial" w:cs="Arial"/>
          <w:color w:val="00ACB8"/>
        </w:rPr>
        <w:lastRenderedPageBreak/>
        <w:t>Risk Management Procedures</w:t>
      </w:r>
    </w:p>
    <w:p w14:paraId="034BA47A" w14:textId="77777777" w:rsidR="002D6804" w:rsidRPr="002D6804" w:rsidRDefault="002D6804" w:rsidP="002D6804">
      <w:pPr>
        <w:pStyle w:val="BodyText"/>
        <w:spacing w:before="9"/>
        <w:rPr>
          <w:rFonts w:cs="Arial"/>
          <w:b/>
          <w:sz w:val="41"/>
        </w:rPr>
      </w:pPr>
    </w:p>
    <w:p w14:paraId="07F186E2" w14:textId="77777777" w:rsidR="002D6804" w:rsidRPr="004F2F89" w:rsidRDefault="002D6804" w:rsidP="002D6804">
      <w:pPr>
        <w:pStyle w:val="Heading2"/>
        <w:spacing w:before="0"/>
        <w:ind w:left="284"/>
        <w:rPr>
          <w:rFonts w:ascii="Arial" w:hAnsi="Arial" w:cs="Arial"/>
        </w:rPr>
      </w:pPr>
      <w:r w:rsidRPr="004F2F89">
        <w:rPr>
          <w:rFonts w:ascii="Arial" w:hAnsi="Arial" w:cs="Arial"/>
          <w:color w:val="006F65"/>
        </w:rPr>
        <w:t>Governance</w:t>
      </w:r>
    </w:p>
    <w:p w14:paraId="57D0462C" w14:textId="77777777" w:rsidR="002D6804" w:rsidRPr="002D6804" w:rsidRDefault="002D6804" w:rsidP="002D6804">
      <w:pPr>
        <w:pStyle w:val="BodyText"/>
        <w:spacing w:before="118"/>
        <w:ind w:left="338"/>
        <w:rPr>
          <w:rFonts w:cs="Arial"/>
          <w:sz w:val="20"/>
        </w:rPr>
      </w:pPr>
      <w:r w:rsidRPr="002D6804">
        <w:rPr>
          <w:rFonts w:cs="Arial"/>
          <w:sz w:val="20"/>
        </w:rPr>
        <w:t>Appropriate governance of risk management within the Town of East Fremantle (the “Town”) provides:</w:t>
      </w:r>
    </w:p>
    <w:p w14:paraId="6C20EE0C" w14:textId="77777777" w:rsidR="002D6804" w:rsidRPr="002D6804" w:rsidRDefault="002D6804" w:rsidP="002A3889">
      <w:pPr>
        <w:pStyle w:val="ListParagraph"/>
        <w:widowControl w:val="0"/>
        <w:numPr>
          <w:ilvl w:val="1"/>
          <w:numId w:val="462"/>
        </w:numPr>
        <w:tabs>
          <w:tab w:val="left" w:pos="1058"/>
          <w:tab w:val="left" w:pos="1059"/>
        </w:tabs>
        <w:autoSpaceDE w:val="0"/>
        <w:autoSpaceDN w:val="0"/>
        <w:spacing w:before="120" w:after="0" w:line="240" w:lineRule="auto"/>
        <w:contextualSpacing w:val="0"/>
        <w:rPr>
          <w:rFonts w:ascii="Arial" w:hAnsi="Arial" w:cs="Arial"/>
          <w:sz w:val="20"/>
          <w:szCs w:val="20"/>
        </w:rPr>
      </w:pPr>
      <w:r w:rsidRPr="002D6804">
        <w:rPr>
          <w:rFonts w:ascii="Arial" w:hAnsi="Arial" w:cs="Arial"/>
          <w:sz w:val="20"/>
          <w:szCs w:val="20"/>
        </w:rPr>
        <w:t>Transparency of decision</w:t>
      </w:r>
      <w:r w:rsidRPr="002D6804">
        <w:rPr>
          <w:rFonts w:ascii="Arial" w:hAnsi="Arial" w:cs="Arial"/>
          <w:spacing w:val="-6"/>
          <w:sz w:val="20"/>
          <w:szCs w:val="20"/>
        </w:rPr>
        <w:t xml:space="preserve"> </w:t>
      </w:r>
      <w:r w:rsidRPr="002D6804">
        <w:rPr>
          <w:rFonts w:ascii="Arial" w:hAnsi="Arial" w:cs="Arial"/>
          <w:sz w:val="20"/>
          <w:szCs w:val="20"/>
        </w:rPr>
        <w:t>making.</w:t>
      </w:r>
    </w:p>
    <w:p w14:paraId="46593EBE" w14:textId="77777777" w:rsidR="002D6804" w:rsidRPr="002D6804" w:rsidRDefault="002D6804" w:rsidP="002A3889">
      <w:pPr>
        <w:pStyle w:val="ListParagraph"/>
        <w:widowControl w:val="0"/>
        <w:numPr>
          <w:ilvl w:val="1"/>
          <w:numId w:val="462"/>
        </w:numPr>
        <w:tabs>
          <w:tab w:val="left" w:pos="1058"/>
          <w:tab w:val="left" w:pos="1059"/>
        </w:tabs>
        <w:autoSpaceDE w:val="0"/>
        <w:autoSpaceDN w:val="0"/>
        <w:spacing w:before="119" w:after="0" w:line="240" w:lineRule="auto"/>
        <w:contextualSpacing w:val="0"/>
        <w:rPr>
          <w:rFonts w:ascii="Arial" w:hAnsi="Arial" w:cs="Arial"/>
          <w:sz w:val="20"/>
          <w:szCs w:val="20"/>
        </w:rPr>
      </w:pPr>
      <w:r w:rsidRPr="002D6804">
        <w:rPr>
          <w:rFonts w:ascii="Arial" w:hAnsi="Arial" w:cs="Arial"/>
          <w:sz w:val="20"/>
          <w:szCs w:val="20"/>
        </w:rPr>
        <w:t>Clear identification of the roles and responsibilities of risk management</w:t>
      </w:r>
      <w:r w:rsidRPr="002D6804">
        <w:rPr>
          <w:rFonts w:ascii="Arial" w:hAnsi="Arial" w:cs="Arial"/>
          <w:spacing w:val="-20"/>
          <w:sz w:val="20"/>
          <w:szCs w:val="20"/>
        </w:rPr>
        <w:t xml:space="preserve"> </w:t>
      </w:r>
      <w:r w:rsidRPr="002D6804">
        <w:rPr>
          <w:rFonts w:ascii="Arial" w:hAnsi="Arial" w:cs="Arial"/>
          <w:sz w:val="20"/>
          <w:szCs w:val="20"/>
        </w:rPr>
        <w:t>functions.</w:t>
      </w:r>
    </w:p>
    <w:p w14:paraId="68C8C694" w14:textId="77777777" w:rsidR="002D6804" w:rsidRPr="002D6804" w:rsidRDefault="002D6804" w:rsidP="002A3889">
      <w:pPr>
        <w:pStyle w:val="ListParagraph"/>
        <w:widowControl w:val="0"/>
        <w:numPr>
          <w:ilvl w:val="1"/>
          <w:numId w:val="462"/>
        </w:numPr>
        <w:tabs>
          <w:tab w:val="left" w:pos="1058"/>
          <w:tab w:val="left" w:pos="1059"/>
        </w:tabs>
        <w:autoSpaceDE w:val="0"/>
        <w:autoSpaceDN w:val="0"/>
        <w:spacing w:before="118" w:after="0" w:line="240" w:lineRule="auto"/>
        <w:contextualSpacing w:val="0"/>
        <w:rPr>
          <w:rFonts w:ascii="Arial" w:hAnsi="Arial" w:cs="Arial"/>
          <w:sz w:val="20"/>
          <w:szCs w:val="20"/>
        </w:rPr>
      </w:pPr>
      <w:r w:rsidRPr="002D6804">
        <w:rPr>
          <w:rFonts w:ascii="Arial" w:hAnsi="Arial" w:cs="Arial"/>
          <w:sz w:val="20"/>
          <w:szCs w:val="20"/>
        </w:rPr>
        <w:t>An effective Governance Structure to support the risk</w:t>
      </w:r>
      <w:r w:rsidRPr="002D6804">
        <w:rPr>
          <w:rFonts w:ascii="Arial" w:hAnsi="Arial" w:cs="Arial"/>
          <w:spacing w:val="-13"/>
          <w:sz w:val="20"/>
          <w:szCs w:val="20"/>
        </w:rPr>
        <w:t xml:space="preserve"> </w:t>
      </w:r>
      <w:r w:rsidRPr="002D6804">
        <w:rPr>
          <w:rFonts w:ascii="Arial" w:hAnsi="Arial" w:cs="Arial"/>
          <w:sz w:val="20"/>
          <w:szCs w:val="20"/>
        </w:rPr>
        <w:t>framework.</w:t>
      </w:r>
    </w:p>
    <w:p w14:paraId="66680E12" w14:textId="77777777" w:rsidR="002D6804" w:rsidRPr="004F2F89" w:rsidRDefault="002D6804" w:rsidP="004F2F89">
      <w:pPr>
        <w:pStyle w:val="Heading3"/>
        <w:spacing w:before="240"/>
        <w:ind w:left="284"/>
        <w:rPr>
          <w:rFonts w:ascii="Arial" w:hAnsi="Arial" w:cs="Arial"/>
          <w:b/>
          <w:bCs/>
        </w:rPr>
      </w:pPr>
      <w:r w:rsidRPr="004F2F89">
        <w:rPr>
          <w:rFonts w:ascii="Arial" w:hAnsi="Arial" w:cs="Arial"/>
          <w:b/>
          <w:bCs/>
          <w:color w:val="00ACB8"/>
        </w:rPr>
        <w:t>Framework Review</w:t>
      </w:r>
    </w:p>
    <w:p w14:paraId="40F0AE84" w14:textId="77777777" w:rsidR="002D6804" w:rsidRPr="002D6804" w:rsidRDefault="002D6804" w:rsidP="002D6804">
      <w:pPr>
        <w:pStyle w:val="BodyText"/>
        <w:spacing w:before="59"/>
        <w:ind w:left="338"/>
        <w:rPr>
          <w:sz w:val="20"/>
        </w:rPr>
      </w:pPr>
      <w:r w:rsidRPr="002D6804">
        <w:rPr>
          <w:sz w:val="20"/>
        </w:rPr>
        <w:t>The Risk Management Framework is to be reviewed for appropriateness and effectiveness annually.</w:t>
      </w:r>
    </w:p>
    <w:p w14:paraId="6C63DFF5" w14:textId="77777777" w:rsidR="002D6804" w:rsidRPr="004F2F89" w:rsidRDefault="002D6804" w:rsidP="004F2F89">
      <w:pPr>
        <w:pStyle w:val="Heading3"/>
        <w:spacing w:before="240"/>
        <w:ind w:left="284"/>
        <w:rPr>
          <w:rFonts w:ascii="Arial" w:hAnsi="Arial" w:cs="Arial"/>
          <w:b/>
          <w:bCs/>
        </w:rPr>
      </w:pPr>
      <w:r w:rsidRPr="004F2F89">
        <w:rPr>
          <w:rFonts w:ascii="Arial" w:hAnsi="Arial" w:cs="Arial"/>
          <w:b/>
          <w:bCs/>
          <w:color w:val="00ACB8"/>
        </w:rPr>
        <w:t>Operating Model</w:t>
      </w:r>
    </w:p>
    <w:p w14:paraId="4E93AA52" w14:textId="77777777" w:rsidR="002D6804" w:rsidRPr="002D6804" w:rsidRDefault="002D6804" w:rsidP="004F2F89">
      <w:pPr>
        <w:pStyle w:val="BodyText"/>
        <w:spacing w:before="59" w:after="200"/>
        <w:ind w:left="338" w:right="287"/>
        <w:jc w:val="both"/>
        <w:rPr>
          <w:sz w:val="20"/>
        </w:rPr>
      </w:pPr>
      <w:r w:rsidRPr="002D6804">
        <w:rPr>
          <w:sz w:val="20"/>
        </w:rPr>
        <w:t xml:space="preserve">The Town has adopted a “Three Lines of </w:t>
      </w:r>
      <w:proofErr w:type="spellStart"/>
      <w:r w:rsidRPr="002D6804">
        <w:rPr>
          <w:sz w:val="20"/>
        </w:rPr>
        <w:t>Defence</w:t>
      </w:r>
      <w:proofErr w:type="spellEnd"/>
      <w:r w:rsidRPr="002D6804">
        <w:rPr>
          <w:sz w:val="20"/>
        </w:rPr>
        <w:t>” model for the management of risk. This model ensures roles; responsibilities and accountabilities for decision making are structured to demonstrate effective governance and assurance. By operating within the approved risk appetite and framework, the Council, Management and Community will have assurance that risks are managed effectively to support the delivery of the Strategic, Corporate &amp; Operational</w:t>
      </w:r>
      <w:r w:rsidRPr="002D6804">
        <w:rPr>
          <w:spacing w:val="-13"/>
          <w:sz w:val="20"/>
        </w:rPr>
        <w:t xml:space="preserve"> </w:t>
      </w:r>
      <w:r w:rsidRPr="002D6804">
        <w:rPr>
          <w:sz w:val="20"/>
        </w:rPr>
        <w:t>Plans.</w:t>
      </w:r>
    </w:p>
    <w:p w14:paraId="3C89108A" w14:textId="77777777" w:rsidR="002D6804" w:rsidRPr="002D6804" w:rsidRDefault="002D6804" w:rsidP="004F2F89">
      <w:pPr>
        <w:pStyle w:val="Heading4"/>
        <w:spacing w:before="120"/>
        <w:ind w:left="284"/>
        <w:jc w:val="both"/>
        <w:rPr>
          <w:rFonts w:ascii="Arial" w:hAnsi="Arial" w:cs="Arial"/>
          <w:i w:val="0"/>
          <w:iCs w:val="0"/>
          <w:sz w:val="20"/>
          <w:szCs w:val="20"/>
        </w:rPr>
      </w:pPr>
      <w:r w:rsidRPr="002D6804">
        <w:rPr>
          <w:rFonts w:ascii="Arial" w:hAnsi="Arial" w:cs="Arial"/>
          <w:i w:val="0"/>
          <w:iCs w:val="0"/>
          <w:color w:val="006F65"/>
          <w:sz w:val="20"/>
          <w:szCs w:val="20"/>
          <w:u w:val="thick" w:color="006F65"/>
        </w:rPr>
        <w:t>First Line of Defence</w:t>
      </w:r>
    </w:p>
    <w:p w14:paraId="714C4589" w14:textId="77777777" w:rsidR="002D6804" w:rsidRPr="002D6804" w:rsidRDefault="002D6804" w:rsidP="002D6804">
      <w:pPr>
        <w:pStyle w:val="BodyText"/>
        <w:spacing w:before="119"/>
        <w:ind w:left="338" w:right="289" w:hanging="1"/>
        <w:jc w:val="both"/>
        <w:rPr>
          <w:rFonts w:cs="Arial"/>
          <w:sz w:val="20"/>
        </w:rPr>
      </w:pPr>
      <w:r w:rsidRPr="002D6804">
        <w:rPr>
          <w:rFonts w:cs="Arial"/>
          <w:sz w:val="20"/>
        </w:rPr>
        <w:t xml:space="preserve">All operational areas of the Town are considered </w:t>
      </w:r>
      <w:r w:rsidRPr="002D6804">
        <w:rPr>
          <w:rFonts w:cs="Arial"/>
          <w:b/>
          <w:sz w:val="20"/>
        </w:rPr>
        <w:t>‘1</w:t>
      </w:r>
      <w:r w:rsidRPr="002D6804">
        <w:rPr>
          <w:rFonts w:cs="Arial"/>
          <w:b/>
          <w:sz w:val="20"/>
          <w:vertAlign w:val="superscript"/>
        </w:rPr>
        <w:t>st</w:t>
      </w:r>
      <w:r w:rsidRPr="002D6804">
        <w:rPr>
          <w:rFonts w:cs="Arial"/>
          <w:b/>
          <w:sz w:val="20"/>
        </w:rPr>
        <w:t xml:space="preserve"> Line’</w:t>
      </w:r>
      <w:r w:rsidRPr="002D6804">
        <w:rPr>
          <w:rFonts w:cs="Arial"/>
          <w:sz w:val="20"/>
        </w:rPr>
        <w:t xml:space="preserve">. They are responsible for ensuring that risks within their scope of operations are identified, assessed, managed, monitored and reported. Ultimately, they bear ownership and responsibility for losses or opportunities from the </w:t>
      </w:r>
      <w:proofErr w:type="spellStart"/>
      <w:r w:rsidRPr="002D6804">
        <w:rPr>
          <w:rFonts w:cs="Arial"/>
          <w:sz w:val="20"/>
        </w:rPr>
        <w:t>realisation</w:t>
      </w:r>
      <w:proofErr w:type="spellEnd"/>
      <w:r w:rsidRPr="002D6804">
        <w:rPr>
          <w:rFonts w:cs="Arial"/>
          <w:sz w:val="20"/>
        </w:rPr>
        <w:t xml:space="preserve"> of risk. Associated responsibilities </w:t>
      </w:r>
      <w:proofErr w:type="gramStart"/>
      <w:r w:rsidRPr="002D6804">
        <w:rPr>
          <w:rFonts w:cs="Arial"/>
          <w:sz w:val="20"/>
        </w:rPr>
        <w:t>include;</w:t>
      </w:r>
      <w:proofErr w:type="gramEnd"/>
    </w:p>
    <w:p w14:paraId="16149CF2" w14:textId="77777777" w:rsidR="002D6804" w:rsidRPr="002D6804" w:rsidRDefault="002D6804" w:rsidP="002A3889">
      <w:pPr>
        <w:pStyle w:val="ListParagraph"/>
        <w:widowControl w:val="0"/>
        <w:numPr>
          <w:ilvl w:val="1"/>
          <w:numId w:val="462"/>
        </w:numPr>
        <w:tabs>
          <w:tab w:val="left" w:pos="1058"/>
          <w:tab w:val="left" w:pos="1059"/>
        </w:tabs>
        <w:autoSpaceDE w:val="0"/>
        <w:autoSpaceDN w:val="0"/>
        <w:spacing w:before="119" w:after="0" w:line="240" w:lineRule="auto"/>
        <w:ind w:right="290"/>
        <w:contextualSpacing w:val="0"/>
        <w:rPr>
          <w:rFonts w:ascii="Arial" w:hAnsi="Arial" w:cs="Arial"/>
          <w:sz w:val="20"/>
          <w:szCs w:val="20"/>
        </w:rPr>
      </w:pPr>
      <w:r w:rsidRPr="002D6804">
        <w:rPr>
          <w:rFonts w:ascii="Arial" w:hAnsi="Arial" w:cs="Arial"/>
          <w:sz w:val="20"/>
          <w:szCs w:val="20"/>
        </w:rPr>
        <w:t>Establishing and implementing appropriate processes and controls for the management of risk (in line with these</w:t>
      </w:r>
      <w:r w:rsidRPr="002D6804">
        <w:rPr>
          <w:rFonts w:ascii="Arial" w:hAnsi="Arial" w:cs="Arial"/>
          <w:spacing w:val="-4"/>
          <w:sz w:val="20"/>
          <w:szCs w:val="20"/>
        </w:rPr>
        <w:t xml:space="preserve"> </w:t>
      </w:r>
      <w:r w:rsidRPr="002D6804">
        <w:rPr>
          <w:rFonts w:ascii="Arial" w:hAnsi="Arial" w:cs="Arial"/>
          <w:sz w:val="20"/>
          <w:szCs w:val="20"/>
        </w:rPr>
        <w:t>procedures).</w:t>
      </w:r>
    </w:p>
    <w:p w14:paraId="2FD5B347" w14:textId="77777777" w:rsidR="002D6804" w:rsidRPr="002D6804" w:rsidRDefault="002D6804" w:rsidP="002A3889">
      <w:pPr>
        <w:pStyle w:val="ListParagraph"/>
        <w:widowControl w:val="0"/>
        <w:numPr>
          <w:ilvl w:val="1"/>
          <w:numId w:val="462"/>
        </w:numPr>
        <w:tabs>
          <w:tab w:val="left" w:pos="1058"/>
          <w:tab w:val="left" w:pos="1059"/>
        </w:tabs>
        <w:autoSpaceDE w:val="0"/>
        <w:autoSpaceDN w:val="0"/>
        <w:spacing w:before="119" w:after="0" w:line="240" w:lineRule="auto"/>
        <w:contextualSpacing w:val="0"/>
        <w:rPr>
          <w:rFonts w:ascii="Arial" w:hAnsi="Arial" w:cs="Arial"/>
          <w:sz w:val="20"/>
          <w:szCs w:val="20"/>
        </w:rPr>
      </w:pPr>
      <w:r w:rsidRPr="002D6804">
        <w:rPr>
          <w:rFonts w:ascii="Arial" w:hAnsi="Arial" w:cs="Arial"/>
          <w:sz w:val="20"/>
          <w:szCs w:val="20"/>
        </w:rPr>
        <w:t>Undertaking adequate analysis (data capture) to support the decision-making process of</w:t>
      </w:r>
      <w:r w:rsidRPr="002D6804">
        <w:rPr>
          <w:rFonts w:ascii="Arial" w:hAnsi="Arial" w:cs="Arial"/>
          <w:spacing w:val="-24"/>
          <w:sz w:val="20"/>
          <w:szCs w:val="20"/>
        </w:rPr>
        <w:t xml:space="preserve"> </w:t>
      </w:r>
      <w:r w:rsidRPr="002D6804">
        <w:rPr>
          <w:rFonts w:ascii="Arial" w:hAnsi="Arial" w:cs="Arial"/>
          <w:sz w:val="20"/>
          <w:szCs w:val="20"/>
        </w:rPr>
        <w:t>risk.</w:t>
      </w:r>
    </w:p>
    <w:p w14:paraId="344B6995" w14:textId="77777777" w:rsidR="002D6804" w:rsidRPr="002D6804" w:rsidRDefault="002D6804" w:rsidP="002A3889">
      <w:pPr>
        <w:pStyle w:val="ListParagraph"/>
        <w:widowControl w:val="0"/>
        <w:numPr>
          <w:ilvl w:val="1"/>
          <w:numId w:val="462"/>
        </w:numPr>
        <w:tabs>
          <w:tab w:val="left" w:pos="1058"/>
          <w:tab w:val="left" w:pos="1059"/>
        </w:tabs>
        <w:autoSpaceDE w:val="0"/>
        <w:autoSpaceDN w:val="0"/>
        <w:spacing w:before="118" w:after="0" w:line="240" w:lineRule="auto"/>
        <w:contextualSpacing w:val="0"/>
        <w:rPr>
          <w:rFonts w:ascii="Arial" w:hAnsi="Arial" w:cs="Arial"/>
          <w:sz w:val="20"/>
          <w:szCs w:val="20"/>
        </w:rPr>
      </w:pPr>
      <w:r w:rsidRPr="002D6804">
        <w:rPr>
          <w:rFonts w:ascii="Arial" w:hAnsi="Arial" w:cs="Arial"/>
          <w:sz w:val="20"/>
          <w:szCs w:val="20"/>
        </w:rPr>
        <w:t>Prepare risk acceptance proposals where necessary, based on level of residual</w:t>
      </w:r>
      <w:r w:rsidRPr="002D6804">
        <w:rPr>
          <w:rFonts w:ascii="Arial" w:hAnsi="Arial" w:cs="Arial"/>
          <w:spacing w:val="-13"/>
          <w:sz w:val="20"/>
          <w:szCs w:val="20"/>
        </w:rPr>
        <w:t xml:space="preserve"> </w:t>
      </w:r>
      <w:r w:rsidRPr="002D6804">
        <w:rPr>
          <w:rFonts w:ascii="Arial" w:hAnsi="Arial" w:cs="Arial"/>
          <w:sz w:val="20"/>
          <w:szCs w:val="20"/>
        </w:rPr>
        <w:t>risk.</w:t>
      </w:r>
    </w:p>
    <w:p w14:paraId="4C1E5B36" w14:textId="77777777" w:rsidR="002D6804" w:rsidRPr="002D6804" w:rsidRDefault="002D6804" w:rsidP="002A3889">
      <w:pPr>
        <w:pStyle w:val="ListParagraph"/>
        <w:widowControl w:val="0"/>
        <w:numPr>
          <w:ilvl w:val="1"/>
          <w:numId w:val="462"/>
        </w:numPr>
        <w:tabs>
          <w:tab w:val="left" w:pos="1058"/>
          <w:tab w:val="left" w:pos="1059"/>
        </w:tabs>
        <w:autoSpaceDE w:val="0"/>
        <w:autoSpaceDN w:val="0"/>
        <w:spacing w:before="118" w:line="240" w:lineRule="auto"/>
        <w:contextualSpacing w:val="0"/>
        <w:rPr>
          <w:rFonts w:ascii="Arial" w:hAnsi="Arial" w:cs="Arial"/>
          <w:sz w:val="20"/>
          <w:szCs w:val="20"/>
        </w:rPr>
      </w:pPr>
      <w:r w:rsidRPr="002D6804">
        <w:rPr>
          <w:rFonts w:ascii="Arial" w:hAnsi="Arial" w:cs="Arial"/>
          <w:sz w:val="20"/>
          <w:szCs w:val="20"/>
        </w:rPr>
        <w:t>Retain primary accountability for the ongoing management of their risk and control</w:t>
      </w:r>
      <w:r w:rsidRPr="002D6804">
        <w:rPr>
          <w:rFonts w:ascii="Arial" w:hAnsi="Arial" w:cs="Arial"/>
          <w:spacing w:val="-35"/>
          <w:sz w:val="20"/>
          <w:szCs w:val="20"/>
        </w:rPr>
        <w:t xml:space="preserve"> </w:t>
      </w:r>
      <w:r w:rsidRPr="002D6804">
        <w:rPr>
          <w:rFonts w:ascii="Arial" w:hAnsi="Arial" w:cs="Arial"/>
          <w:sz w:val="20"/>
          <w:szCs w:val="20"/>
        </w:rPr>
        <w:t>environment.</w:t>
      </w:r>
    </w:p>
    <w:p w14:paraId="1E2E4991" w14:textId="77777777" w:rsidR="002D6804" w:rsidRPr="002D6804" w:rsidRDefault="002D6804" w:rsidP="002D6804">
      <w:pPr>
        <w:pStyle w:val="Heading4"/>
        <w:ind w:left="284"/>
        <w:jc w:val="both"/>
        <w:rPr>
          <w:rFonts w:ascii="Arial" w:hAnsi="Arial" w:cs="Arial"/>
          <w:i w:val="0"/>
          <w:iCs w:val="0"/>
          <w:sz w:val="20"/>
          <w:szCs w:val="20"/>
        </w:rPr>
      </w:pPr>
      <w:r w:rsidRPr="002D6804">
        <w:rPr>
          <w:rFonts w:ascii="Arial" w:hAnsi="Arial" w:cs="Arial"/>
          <w:i w:val="0"/>
          <w:iCs w:val="0"/>
          <w:color w:val="006F65"/>
          <w:sz w:val="20"/>
          <w:szCs w:val="20"/>
          <w:u w:val="thick" w:color="006F65"/>
        </w:rPr>
        <w:t>Second Line of Defence</w:t>
      </w:r>
    </w:p>
    <w:p w14:paraId="70C910BF" w14:textId="77777777" w:rsidR="002D6804" w:rsidRPr="002D6804" w:rsidRDefault="002D6804" w:rsidP="002D6804">
      <w:pPr>
        <w:pStyle w:val="BodyText"/>
        <w:spacing w:before="120"/>
        <w:ind w:left="338" w:right="288"/>
        <w:jc w:val="both"/>
        <w:rPr>
          <w:rFonts w:cs="Arial"/>
          <w:sz w:val="20"/>
        </w:rPr>
      </w:pPr>
      <w:r w:rsidRPr="002D6804">
        <w:rPr>
          <w:rFonts w:cs="Arial"/>
          <w:sz w:val="20"/>
        </w:rPr>
        <w:t xml:space="preserve">The Executive Assistant Corporate Services acts as the primary </w:t>
      </w:r>
      <w:r w:rsidRPr="002D6804">
        <w:rPr>
          <w:rFonts w:cs="Arial"/>
          <w:b/>
          <w:sz w:val="20"/>
        </w:rPr>
        <w:t>‘2</w:t>
      </w:r>
      <w:r w:rsidRPr="002D6804">
        <w:rPr>
          <w:rFonts w:cs="Arial"/>
          <w:b/>
          <w:sz w:val="20"/>
          <w:vertAlign w:val="superscript"/>
        </w:rPr>
        <w:t>nd</w:t>
      </w:r>
      <w:r w:rsidRPr="002D6804">
        <w:rPr>
          <w:rFonts w:cs="Arial"/>
          <w:b/>
          <w:sz w:val="20"/>
        </w:rPr>
        <w:t xml:space="preserve"> Line’</w:t>
      </w:r>
      <w:r w:rsidRPr="002D6804">
        <w:rPr>
          <w:rFonts w:cs="Arial"/>
          <w:sz w:val="20"/>
        </w:rPr>
        <w:t xml:space="preserve">. This position owns and manages the framework for risk management, drafts and implements governance procedures and provides the necessary tools and training to support the 1st line process. The Senior Staff Group, in their capacity as Risk Committee, supplements the second line of </w:t>
      </w:r>
      <w:proofErr w:type="spellStart"/>
      <w:r w:rsidRPr="002D6804">
        <w:rPr>
          <w:rFonts w:cs="Arial"/>
          <w:sz w:val="20"/>
        </w:rPr>
        <w:t>defence</w:t>
      </w:r>
      <w:proofErr w:type="spellEnd"/>
      <w:r w:rsidRPr="002D6804">
        <w:rPr>
          <w:rFonts w:cs="Arial"/>
          <w:sz w:val="20"/>
        </w:rPr>
        <w:t>.</w:t>
      </w:r>
    </w:p>
    <w:p w14:paraId="12DDA463" w14:textId="69AB8BFB" w:rsidR="002D6804" w:rsidRPr="002D6804" w:rsidRDefault="002D6804" w:rsidP="002D6804">
      <w:pPr>
        <w:pStyle w:val="BodyText"/>
        <w:ind w:left="338" w:right="288"/>
        <w:jc w:val="both"/>
        <w:rPr>
          <w:rFonts w:cs="Arial"/>
          <w:sz w:val="20"/>
        </w:rPr>
      </w:pPr>
      <w:r w:rsidRPr="002D6804">
        <w:rPr>
          <w:rFonts w:cs="Arial"/>
          <w:sz w:val="20"/>
        </w:rPr>
        <w:t>Maintaining oversight on the application of the framework provides a transparent view and level of assurance to the 1</w:t>
      </w:r>
      <w:r w:rsidRPr="002D6804">
        <w:rPr>
          <w:rFonts w:cs="Arial"/>
          <w:sz w:val="20"/>
          <w:vertAlign w:val="superscript"/>
        </w:rPr>
        <w:t>st</w:t>
      </w:r>
      <w:r w:rsidRPr="002D6804">
        <w:rPr>
          <w:rFonts w:cs="Arial"/>
          <w:sz w:val="20"/>
        </w:rPr>
        <w:t xml:space="preserve"> &amp; 3</w:t>
      </w:r>
      <w:r w:rsidRPr="002D6804">
        <w:rPr>
          <w:rFonts w:cs="Arial"/>
          <w:sz w:val="20"/>
          <w:vertAlign w:val="superscript"/>
        </w:rPr>
        <w:t>rd</w:t>
      </w:r>
      <w:r w:rsidRPr="002D6804">
        <w:rPr>
          <w:rFonts w:cs="Arial"/>
          <w:sz w:val="20"/>
        </w:rPr>
        <w:t xml:space="preserve"> lines on the risk and control environment. Support can be provided by additional oversight functions completed by other 1</w:t>
      </w:r>
      <w:r w:rsidRPr="002D6804">
        <w:rPr>
          <w:rFonts w:cs="Arial"/>
          <w:sz w:val="20"/>
          <w:vertAlign w:val="superscript"/>
        </w:rPr>
        <w:t>st</w:t>
      </w:r>
      <w:r w:rsidRPr="002D6804">
        <w:rPr>
          <w:rFonts w:cs="Arial"/>
          <w:sz w:val="20"/>
        </w:rPr>
        <w:t xml:space="preserve"> Line Teams (where applicable). Additional responsibilities</w:t>
      </w:r>
      <w:r w:rsidRPr="002D6804">
        <w:rPr>
          <w:rFonts w:cs="Arial"/>
          <w:spacing w:val="-1"/>
          <w:sz w:val="20"/>
        </w:rPr>
        <w:t xml:space="preserve"> </w:t>
      </w:r>
      <w:r w:rsidRPr="002D6804">
        <w:rPr>
          <w:rFonts w:cs="Arial"/>
          <w:sz w:val="20"/>
        </w:rPr>
        <w:t>include:</w:t>
      </w:r>
    </w:p>
    <w:p w14:paraId="5BF81366" w14:textId="77777777" w:rsidR="002D6804" w:rsidRPr="002D6804" w:rsidRDefault="002D6804" w:rsidP="002A3889">
      <w:pPr>
        <w:pStyle w:val="ListParagraph"/>
        <w:widowControl w:val="0"/>
        <w:numPr>
          <w:ilvl w:val="1"/>
          <w:numId w:val="462"/>
        </w:numPr>
        <w:tabs>
          <w:tab w:val="left" w:pos="1059"/>
        </w:tabs>
        <w:autoSpaceDE w:val="0"/>
        <w:autoSpaceDN w:val="0"/>
        <w:spacing w:before="119" w:after="0" w:line="240" w:lineRule="auto"/>
        <w:contextualSpacing w:val="0"/>
        <w:jc w:val="both"/>
        <w:rPr>
          <w:rFonts w:ascii="Arial" w:hAnsi="Arial" w:cs="Arial"/>
          <w:sz w:val="20"/>
          <w:szCs w:val="20"/>
        </w:rPr>
      </w:pPr>
      <w:r w:rsidRPr="002D6804">
        <w:rPr>
          <w:rFonts w:ascii="Arial" w:hAnsi="Arial" w:cs="Arial"/>
          <w:sz w:val="20"/>
          <w:szCs w:val="20"/>
        </w:rPr>
        <w:t>Providing independent oversight of risk matters as</w:t>
      </w:r>
      <w:r w:rsidRPr="002D6804">
        <w:rPr>
          <w:rFonts w:ascii="Arial" w:hAnsi="Arial" w:cs="Arial"/>
          <w:spacing w:val="-8"/>
          <w:sz w:val="20"/>
          <w:szCs w:val="20"/>
        </w:rPr>
        <w:t xml:space="preserve"> </w:t>
      </w:r>
      <w:r w:rsidRPr="002D6804">
        <w:rPr>
          <w:rFonts w:ascii="Arial" w:hAnsi="Arial" w:cs="Arial"/>
          <w:sz w:val="20"/>
          <w:szCs w:val="20"/>
        </w:rPr>
        <w:t>required.</w:t>
      </w:r>
    </w:p>
    <w:p w14:paraId="570D1B0D" w14:textId="77777777" w:rsidR="002D6804" w:rsidRPr="002D6804" w:rsidRDefault="002D6804" w:rsidP="002A3889">
      <w:pPr>
        <w:pStyle w:val="ListParagraph"/>
        <w:widowControl w:val="0"/>
        <w:numPr>
          <w:ilvl w:val="1"/>
          <w:numId w:val="462"/>
        </w:numPr>
        <w:tabs>
          <w:tab w:val="left" w:pos="1059"/>
        </w:tabs>
        <w:autoSpaceDE w:val="0"/>
        <w:autoSpaceDN w:val="0"/>
        <w:spacing w:before="119" w:after="0" w:line="240" w:lineRule="auto"/>
        <w:contextualSpacing w:val="0"/>
        <w:jc w:val="both"/>
        <w:rPr>
          <w:rFonts w:ascii="Arial" w:hAnsi="Arial" w:cs="Arial"/>
          <w:sz w:val="20"/>
          <w:szCs w:val="20"/>
        </w:rPr>
      </w:pPr>
      <w:r w:rsidRPr="002D6804">
        <w:rPr>
          <w:rFonts w:ascii="Arial" w:hAnsi="Arial" w:cs="Arial"/>
          <w:sz w:val="20"/>
          <w:szCs w:val="20"/>
        </w:rPr>
        <w:t>Monitoring and reporting on emerging</w:t>
      </w:r>
      <w:r w:rsidRPr="002D6804">
        <w:rPr>
          <w:rFonts w:ascii="Arial" w:hAnsi="Arial" w:cs="Arial"/>
          <w:spacing w:val="-1"/>
          <w:sz w:val="20"/>
          <w:szCs w:val="20"/>
        </w:rPr>
        <w:t xml:space="preserve"> </w:t>
      </w:r>
      <w:r w:rsidRPr="002D6804">
        <w:rPr>
          <w:rFonts w:ascii="Arial" w:hAnsi="Arial" w:cs="Arial"/>
          <w:sz w:val="20"/>
          <w:szCs w:val="20"/>
        </w:rPr>
        <w:t>risks.</w:t>
      </w:r>
    </w:p>
    <w:p w14:paraId="2CD3AA40" w14:textId="77777777" w:rsidR="002D6804" w:rsidRDefault="002D6804" w:rsidP="002A3889">
      <w:pPr>
        <w:pStyle w:val="ListParagraph"/>
        <w:widowControl w:val="0"/>
        <w:numPr>
          <w:ilvl w:val="1"/>
          <w:numId w:val="462"/>
        </w:numPr>
        <w:tabs>
          <w:tab w:val="left" w:pos="1059"/>
        </w:tabs>
        <w:autoSpaceDE w:val="0"/>
        <w:autoSpaceDN w:val="0"/>
        <w:spacing w:before="118" w:after="0" w:line="240" w:lineRule="auto"/>
        <w:ind w:right="286" w:hanging="360"/>
        <w:contextualSpacing w:val="0"/>
        <w:jc w:val="both"/>
        <w:rPr>
          <w:sz w:val="20"/>
        </w:rPr>
      </w:pPr>
      <w:r w:rsidRPr="002D6804">
        <w:rPr>
          <w:rFonts w:ascii="Arial" w:hAnsi="Arial" w:cs="Arial"/>
          <w:sz w:val="20"/>
          <w:szCs w:val="20"/>
        </w:rPr>
        <w:t>Co-ordinating the Town’s risk reporting for the CEO &amp; Senior Staff Group and the Audit Committee</w:t>
      </w:r>
      <w:r>
        <w:rPr>
          <w:sz w:val="20"/>
        </w:rPr>
        <w:t>.</w:t>
      </w:r>
    </w:p>
    <w:p w14:paraId="4F371BA3" w14:textId="77777777" w:rsidR="002D6804" w:rsidRDefault="002D6804" w:rsidP="002D6804">
      <w:pPr>
        <w:jc w:val="both"/>
        <w:rPr>
          <w:sz w:val="20"/>
        </w:rPr>
        <w:sectPr w:rsidR="002D6804">
          <w:footerReference w:type="default" r:id="rId68"/>
          <w:pgSz w:w="11910" w:h="16840"/>
          <w:pgMar w:top="1600" w:right="840" w:bottom="1140" w:left="1080" w:header="0" w:footer="955" w:gutter="0"/>
          <w:pgNumType w:start="4"/>
          <w:cols w:space="720"/>
        </w:sectPr>
      </w:pPr>
    </w:p>
    <w:p w14:paraId="05F52D29" w14:textId="77777777" w:rsidR="002D6804" w:rsidRPr="004F2F89" w:rsidRDefault="002D6804" w:rsidP="004F2F89">
      <w:pPr>
        <w:pStyle w:val="Heading4"/>
        <w:spacing w:before="94"/>
        <w:ind w:left="284"/>
        <w:jc w:val="both"/>
        <w:rPr>
          <w:rFonts w:ascii="Arial" w:hAnsi="Arial" w:cs="Arial"/>
          <w:i w:val="0"/>
          <w:iCs w:val="0"/>
          <w:sz w:val="20"/>
          <w:szCs w:val="20"/>
        </w:rPr>
      </w:pPr>
      <w:r w:rsidRPr="004F2F89">
        <w:rPr>
          <w:rFonts w:ascii="Arial" w:hAnsi="Arial" w:cs="Arial"/>
          <w:i w:val="0"/>
          <w:iCs w:val="0"/>
          <w:color w:val="006F65"/>
          <w:sz w:val="20"/>
          <w:szCs w:val="20"/>
          <w:u w:val="thick" w:color="006F65"/>
        </w:rPr>
        <w:lastRenderedPageBreak/>
        <w:t>Third Line of Defence</w:t>
      </w:r>
    </w:p>
    <w:p w14:paraId="29D22396" w14:textId="77777777" w:rsidR="002D6804" w:rsidRPr="004F2F89" w:rsidRDefault="002D6804" w:rsidP="004F2F89">
      <w:pPr>
        <w:pStyle w:val="BodyText"/>
        <w:spacing w:before="120" w:after="240"/>
        <w:ind w:left="335" w:right="289"/>
        <w:jc w:val="both"/>
        <w:rPr>
          <w:sz w:val="20"/>
        </w:rPr>
      </w:pPr>
      <w:r w:rsidRPr="004F2F89">
        <w:rPr>
          <w:sz w:val="20"/>
        </w:rPr>
        <w:t xml:space="preserve">Internal self-audits &amp; External Audits are the </w:t>
      </w:r>
      <w:r w:rsidRPr="004F2F89">
        <w:rPr>
          <w:b/>
          <w:sz w:val="20"/>
        </w:rPr>
        <w:t>‘3</w:t>
      </w:r>
      <w:r w:rsidRPr="004F2F89">
        <w:rPr>
          <w:b/>
          <w:sz w:val="20"/>
          <w:vertAlign w:val="superscript"/>
        </w:rPr>
        <w:t>rd</w:t>
      </w:r>
      <w:r w:rsidRPr="004F2F89">
        <w:rPr>
          <w:b/>
          <w:sz w:val="20"/>
        </w:rPr>
        <w:t xml:space="preserve"> Line’ </w:t>
      </w:r>
      <w:r w:rsidRPr="004F2F89">
        <w:rPr>
          <w:sz w:val="20"/>
        </w:rPr>
        <w:t xml:space="preserve">of </w:t>
      </w:r>
      <w:proofErr w:type="spellStart"/>
      <w:r w:rsidRPr="004F2F89">
        <w:rPr>
          <w:sz w:val="20"/>
        </w:rPr>
        <w:t>defence</w:t>
      </w:r>
      <w:proofErr w:type="spellEnd"/>
      <w:r w:rsidRPr="004F2F89">
        <w:rPr>
          <w:sz w:val="20"/>
        </w:rPr>
        <w:t>, providing assurance to the Council, Audit Committee and Town Management on the effectiveness of business operations and oversight frameworks (1</w:t>
      </w:r>
      <w:r w:rsidRPr="004F2F89">
        <w:rPr>
          <w:sz w:val="20"/>
          <w:vertAlign w:val="superscript"/>
        </w:rPr>
        <w:t>st</w:t>
      </w:r>
      <w:r w:rsidRPr="004F2F89">
        <w:rPr>
          <w:sz w:val="20"/>
        </w:rPr>
        <w:t xml:space="preserve"> &amp; 2</w:t>
      </w:r>
      <w:r w:rsidRPr="004F2F89">
        <w:rPr>
          <w:sz w:val="20"/>
          <w:vertAlign w:val="superscript"/>
        </w:rPr>
        <w:t>nd</w:t>
      </w:r>
      <w:r w:rsidRPr="004F2F89">
        <w:rPr>
          <w:sz w:val="20"/>
        </w:rPr>
        <w:t xml:space="preserve"> Line).</w:t>
      </w:r>
    </w:p>
    <w:p w14:paraId="48955795" w14:textId="77777777" w:rsidR="002D6804" w:rsidRPr="004F2F89" w:rsidRDefault="002D6804" w:rsidP="002D6804">
      <w:pPr>
        <w:pStyle w:val="BodyText"/>
        <w:spacing w:before="1"/>
        <w:ind w:left="1897" w:right="288" w:hanging="1559"/>
        <w:jc w:val="both"/>
        <w:rPr>
          <w:sz w:val="20"/>
        </w:rPr>
      </w:pPr>
      <w:r w:rsidRPr="004F2F89">
        <w:rPr>
          <w:sz w:val="20"/>
          <w:u w:val="single"/>
        </w:rPr>
        <w:t>Internal Audit</w:t>
      </w:r>
      <w:r w:rsidRPr="004F2F89">
        <w:rPr>
          <w:sz w:val="20"/>
        </w:rPr>
        <w:t xml:space="preserve"> – Appointed by the CEO to report on the adequacy and effectiveness of internal control processes and procedures. The scope of which would be determined by the CEO with input from the Audit Committee.</w:t>
      </w:r>
    </w:p>
    <w:p w14:paraId="244DC539" w14:textId="77777777" w:rsidR="002D6804" w:rsidRPr="004F2F89" w:rsidRDefault="002D6804" w:rsidP="002D6804">
      <w:pPr>
        <w:pStyle w:val="BodyText"/>
        <w:spacing w:before="10"/>
        <w:rPr>
          <w:sz w:val="20"/>
        </w:rPr>
      </w:pPr>
    </w:p>
    <w:p w14:paraId="5693EA3B" w14:textId="77777777" w:rsidR="002D6804" w:rsidRPr="004F2F89" w:rsidRDefault="002D6804" w:rsidP="002D6804">
      <w:pPr>
        <w:pStyle w:val="BodyText"/>
        <w:ind w:left="1897" w:right="289" w:hanging="1559"/>
        <w:jc w:val="both"/>
        <w:rPr>
          <w:sz w:val="20"/>
        </w:rPr>
      </w:pPr>
      <w:r w:rsidRPr="004F2F89">
        <w:rPr>
          <w:sz w:val="20"/>
          <w:u w:val="single"/>
        </w:rPr>
        <w:t>External Audit</w:t>
      </w:r>
      <w:r w:rsidRPr="004F2F89">
        <w:rPr>
          <w:sz w:val="20"/>
        </w:rPr>
        <w:t xml:space="preserve"> – Appointed by the Council on the recommendation of the Audit Committee to report independently to the President and CEO on the annual financial statements only.</w:t>
      </w:r>
    </w:p>
    <w:p w14:paraId="70343E4E" w14:textId="77777777" w:rsidR="002D6804" w:rsidRPr="004F2F89" w:rsidRDefault="002D6804" w:rsidP="004F2F89">
      <w:pPr>
        <w:pStyle w:val="Heading3"/>
        <w:spacing w:before="240"/>
        <w:ind w:left="284"/>
        <w:jc w:val="both"/>
        <w:rPr>
          <w:rFonts w:ascii="Arial" w:hAnsi="Arial" w:cs="Arial"/>
          <w:b/>
          <w:bCs/>
          <w:sz w:val="22"/>
          <w:szCs w:val="22"/>
        </w:rPr>
      </w:pPr>
      <w:r w:rsidRPr="004F2F89">
        <w:rPr>
          <w:rFonts w:ascii="Arial" w:hAnsi="Arial" w:cs="Arial"/>
          <w:b/>
          <w:bCs/>
          <w:color w:val="00ACB8"/>
          <w:sz w:val="22"/>
          <w:szCs w:val="22"/>
        </w:rPr>
        <w:t>Governance Structure</w:t>
      </w:r>
    </w:p>
    <w:p w14:paraId="1F4718B8" w14:textId="77777777" w:rsidR="002D6804" w:rsidRDefault="002D6804" w:rsidP="002D6804">
      <w:pPr>
        <w:pStyle w:val="BodyText"/>
        <w:spacing w:before="58"/>
        <w:ind w:left="338"/>
        <w:jc w:val="both"/>
      </w:pPr>
      <w:r w:rsidRPr="004F2F89">
        <w:rPr>
          <w:noProof/>
          <w:sz w:val="20"/>
        </w:rPr>
        <mc:AlternateContent>
          <mc:Choice Requires="wpg">
            <w:drawing>
              <wp:anchor distT="0" distB="0" distL="114300" distR="114300" simplePos="0" relativeHeight="251684864" behindDoc="0" locked="0" layoutInCell="1" allowOverlap="1" wp14:anchorId="04008B10" wp14:editId="621D3468">
                <wp:simplePos x="0" y="0"/>
                <wp:positionH relativeFrom="margin">
                  <wp:align>left</wp:align>
                </wp:positionH>
                <wp:positionV relativeFrom="paragraph">
                  <wp:posOffset>565150</wp:posOffset>
                </wp:positionV>
                <wp:extent cx="6749415" cy="5335905"/>
                <wp:effectExtent l="0" t="0" r="0" b="36195"/>
                <wp:wrapNone/>
                <wp:docPr id="2"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9415" cy="5335905"/>
                          <a:chOff x="1028" y="891"/>
                          <a:chExt cx="10629" cy="8403"/>
                        </a:xfrm>
                      </wpg:grpSpPr>
                      <wps:wsp>
                        <wps:cNvPr id="4" name="AutoShape 154"/>
                        <wps:cNvSpPr>
                          <a:spLocks/>
                        </wps:cNvSpPr>
                        <wps:spPr bwMode="auto">
                          <a:xfrm>
                            <a:off x="2125" y="2063"/>
                            <a:ext cx="3695" cy="508"/>
                          </a:xfrm>
                          <a:custGeom>
                            <a:avLst/>
                            <a:gdLst>
                              <a:gd name="T0" fmla="+- 0 2205 2125"/>
                              <a:gd name="T1" fmla="*/ T0 w 3695"/>
                              <a:gd name="T2" fmla="+- 0 2093 2064"/>
                              <a:gd name="T3" fmla="*/ 2093 h 508"/>
                              <a:gd name="T4" fmla="+- 0 2198 2125"/>
                              <a:gd name="T5" fmla="*/ T4 w 3695"/>
                              <a:gd name="T6" fmla="+- 0 2104 2064"/>
                              <a:gd name="T7" fmla="*/ 2104 h 508"/>
                              <a:gd name="T8" fmla="+- 0 2198 2125"/>
                              <a:gd name="T9" fmla="*/ T8 w 3695"/>
                              <a:gd name="T10" fmla="+- 0 2569 2064"/>
                              <a:gd name="T11" fmla="*/ 2569 h 508"/>
                              <a:gd name="T12" fmla="+- 0 2201 2125"/>
                              <a:gd name="T13" fmla="*/ T12 w 3695"/>
                              <a:gd name="T14" fmla="+- 0 2571 2064"/>
                              <a:gd name="T15" fmla="*/ 2571 h 508"/>
                              <a:gd name="T16" fmla="+- 0 5820 2125"/>
                              <a:gd name="T17" fmla="*/ T16 w 3695"/>
                              <a:gd name="T18" fmla="+- 0 2571 2064"/>
                              <a:gd name="T19" fmla="*/ 2571 h 508"/>
                              <a:gd name="T20" fmla="+- 0 5820 2125"/>
                              <a:gd name="T21" fmla="*/ T20 w 3695"/>
                              <a:gd name="T22" fmla="+- 0 2564 2064"/>
                              <a:gd name="T23" fmla="*/ 2564 h 508"/>
                              <a:gd name="T24" fmla="+- 0 2213 2125"/>
                              <a:gd name="T25" fmla="*/ T24 w 3695"/>
                              <a:gd name="T26" fmla="+- 0 2564 2064"/>
                              <a:gd name="T27" fmla="*/ 2564 h 508"/>
                              <a:gd name="T28" fmla="+- 0 2206 2125"/>
                              <a:gd name="T29" fmla="*/ T28 w 3695"/>
                              <a:gd name="T30" fmla="+- 0 2557 2064"/>
                              <a:gd name="T31" fmla="*/ 2557 h 508"/>
                              <a:gd name="T32" fmla="+- 0 2213 2125"/>
                              <a:gd name="T33" fmla="*/ T32 w 3695"/>
                              <a:gd name="T34" fmla="+- 0 2557 2064"/>
                              <a:gd name="T35" fmla="*/ 2557 h 508"/>
                              <a:gd name="T36" fmla="+- 0 2213 2125"/>
                              <a:gd name="T37" fmla="*/ T36 w 3695"/>
                              <a:gd name="T38" fmla="+- 0 2107 2064"/>
                              <a:gd name="T39" fmla="*/ 2107 h 508"/>
                              <a:gd name="T40" fmla="+- 0 2205 2125"/>
                              <a:gd name="T41" fmla="*/ T40 w 3695"/>
                              <a:gd name="T42" fmla="+- 0 2093 2064"/>
                              <a:gd name="T43" fmla="*/ 2093 h 508"/>
                              <a:gd name="T44" fmla="+- 0 2213 2125"/>
                              <a:gd name="T45" fmla="*/ T44 w 3695"/>
                              <a:gd name="T46" fmla="+- 0 2557 2064"/>
                              <a:gd name="T47" fmla="*/ 2557 h 508"/>
                              <a:gd name="T48" fmla="+- 0 2206 2125"/>
                              <a:gd name="T49" fmla="*/ T48 w 3695"/>
                              <a:gd name="T50" fmla="+- 0 2557 2064"/>
                              <a:gd name="T51" fmla="*/ 2557 h 508"/>
                              <a:gd name="T52" fmla="+- 0 2213 2125"/>
                              <a:gd name="T53" fmla="*/ T52 w 3695"/>
                              <a:gd name="T54" fmla="+- 0 2564 2064"/>
                              <a:gd name="T55" fmla="*/ 2564 h 508"/>
                              <a:gd name="T56" fmla="+- 0 2213 2125"/>
                              <a:gd name="T57" fmla="*/ T56 w 3695"/>
                              <a:gd name="T58" fmla="+- 0 2557 2064"/>
                              <a:gd name="T59" fmla="*/ 2557 h 508"/>
                              <a:gd name="T60" fmla="+- 0 5820 2125"/>
                              <a:gd name="T61" fmla="*/ T60 w 3695"/>
                              <a:gd name="T62" fmla="+- 0 2557 2064"/>
                              <a:gd name="T63" fmla="*/ 2557 h 508"/>
                              <a:gd name="T64" fmla="+- 0 2213 2125"/>
                              <a:gd name="T65" fmla="*/ T64 w 3695"/>
                              <a:gd name="T66" fmla="+- 0 2557 2064"/>
                              <a:gd name="T67" fmla="*/ 2557 h 508"/>
                              <a:gd name="T68" fmla="+- 0 2213 2125"/>
                              <a:gd name="T69" fmla="*/ T68 w 3695"/>
                              <a:gd name="T70" fmla="+- 0 2564 2064"/>
                              <a:gd name="T71" fmla="*/ 2564 h 508"/>
                              <a:gd name="T72" fmla="+- 0 5820 2125"/>
                              <a:gd name="T73" fmla="*/ T72 w 3695"/>
                              <a:gd name="T74" fmla="+- 0 2564 2064"/>
                              <a:gd name="T75" fmla="*/ 2564 h 508"/>
                              <a:gd name="T76" fmla="+- 0 5820 2125"/>
                              <a:gd name="T77" fmla="*/ T76 w 3695"/>
                              <a:gd name="T78" fmla="+- 0 2557 2064"/>
                              <a:gd name="T79" fmla="*/ 2557 h 508"/>
                              <a:gd name="T80" fmla="+- 0 2214 2125"/>
                              <a:gd name="T81" fmla="*/ T80 w 3695"/>
                              <a:gd name="T82" fmla="+- 0 2078 2064"/>
                              <a:gd name="T83" fmla="*/ 2078 h 508"/>
                              <a:gd name="T84" fmla="+- 0 2213 2125"/>
                              <a:gd name="T85" fmla="*/ T84 w 3695"/>
                              <a:gd name="T86" fmla="+- 0 2078 2064"/>
                              <a:gd name="T87" fmla="*/ 2078 h 508"/>
                              <a:gd name="T88" fmla="+- 0 2213 2125"/>
                              <a:gd name="T89" fmla="*/ T88 w 3695"/>
                              <a:gd name="T90" fmla="+- 0 2107 2064"/>
                              <a:gd name="T91" fmla="*/ 2107 h 508"/>
                              <a:gd name="T92" fmla="+- 0 2267 2125"/>
                              <a:gd name="T93" fmla="*/ T92 w 3695"/>
                              <a:gd name="T94" fmla="+- 0 2203 2064"/>
                              <a:gd name="T95" fmla="*/ 2203 h 508"/>
                              <a:gd name="T96" fmla="+- 0 2269 2125"/>
                              <a:gd name="T97" fmla="*/ T96 w 3695"/>
                              <a:gd name="T98" fmla="+- 0 2206 2064"/>
                              <a:gd name="T99" fmla="*/ 2206 h 508"/>
                              <a:gd name="T100" fmla="+- 0 2274 2125"/>
                              <a:gd name="T101" fmla="*/ T100 w 3695"/>
                              <a:gd name="T102" fmla="+- 0 2208 2064"/>
                              <a:gd name="T103" fmla="*/ 2208 h 508"/>
                              <a:gd name="T104" fmla="+- 0 2281 2125"/>
                              <a:gd name="T105" fmla="*/ T104 w 3695"/>
                              <a:gd name="T106" fmla="+- 0 2203 2064"/>
                              <a:gd name="T107" fmla="*/ 2203 h 508"/>
                              <a:gd name="T108" fmla="+- 0 2282 2125"/>
                              <a:gd name="T109" fmla="*/ T108 w 3695"/>
                              <a:gd name="T110" fmla="+- 0 2199 2064"/>
                              <a:gd name="T111" fmla="*/ 2199 h 508"/>
                              <a:gd name="T112" fmla="+- 0 2280 2125"/>
                              <a:gd name="T113" fmla="*/ T112 w 3695"/>
                              <a:gd name="T114" fmla="+- 0 2196 2064"/>
                              <a:gd name="T115" fmla="*/ 2196 h 508"/>
                              <a:gd name="T116" fmla="+- 0 2214 2125"/>
                              <a:gd name="T117" fmla="*/ T116 w 3695"/>
                              <a:gd name="T118" fmla="+- 0 2078 2064"/>
                              <a:gd name="T119" fmla="*/ 2078 h 508"/>
                              <a:gd name="T120" fmla="+- 0 2206 2125"/>
                              <a:gd name="T121" fmla="*/ T120 w 3695"/>
                              <a:gd name="T122" fmla="+- 0 2064 2064"/>
                              <a:gd name="T123" fmla="*/ 2064 h 508"/>
                              <a:gd name="T124" fmla="+- 0 2128 2125"/>
                              <a:gd name="T125" fmla="*/ T124 w 3695"/>
                              <a:gd name="T126" fmla="+- 0 2193 2064"/>
                              <a:gd name="T127" fmla="*/ 2193 h 508"/>
                              <a:gd name="T128" fmla="+- 0 2125 2125"/>
                              <a:gd name="T129" fmla="*/ T128 w 3695"/>
                              <a:gd name="T130" fmla="+- 0 2197 2064"/>
                              <a:gd name="T131" fmla="*/ 2197 h 508"/>
                              <a:gd name="T132" fmla="+- 0 2126 2125"/>
                              <a:gd name="T133" fmla="*/ T132 w 3695"/>
                              <a:gd name="T134" fmla="+- 0 2202 2064"/>
                              <a:gd name="T135" fmla="*/ 2202 h 508"/>
                              <a:gd name="T136" fmla="+- 0 2130 2125"/>
                              <a:gd name="T137" fmla="*/ T136 w 3695"/>
                              <a:gd name="T138" fmla="+- 0 2204 2064"/>
                              <a:gd name="T139" fmla="*/ 2204 h 508"/>
                              <a:gd name="T140" fmla="+- 0 2134 2125"/>
                              <a:gd name="T141" fmla="*/ T140 w 3695"/>
                              <a:gd name="T142" fmla="+- 0 2205 2064"/>
                              <a:gd name="T143" fmla="*/ 2205 h 508"/>
                              <a:gd name="T144" fmla="+- 0 2138 2125"/>
                              <a:gd name="T145" fmla="*/ T144 w 3695"/>
                              <a:gd name="T146" fmla="+- 0 2204 2064"/>
                              <a:gd name="T147" fmla="*/ 2204 h 508"/>
                              <a:gd name="T148" fmla="+- 0 2141 2125"/>
                              <a:gd name="T149" fmla="*/ T148 w 3695"/>
                              <a:gd name="T150" fmla="+- 0 2200 2064"/>
                              <a:gd name="T151" fmla="*/ 2200 h 508"/>
                              <a:gd name="T152" fmla="+- 0 2198 2125"/>
                              <a:gd name="T153" fmla="*/ T152 w 3695"/>
                              <a:gd name="T154" fmla="+- 0 2104 2064"/>
                              <a:gd name="T155" fmla="*/ 2104 h 508"/>
                              <a:gd name="T156" fmla="+- 0 2198 2125"/>
                              <a:gd name="T157" fmla="*/ T156 w 3695"/>
                              <a:gd name="T158" fmla="+- 0 2078 2064"/>
                              <a:gd name="T159" fmla="*/ 2078 h 508"/>
                              <a:gd name="T160" fmla="+- 0 2214 2125"/>
                              <a:gd name="T161" fmla="*/ T160 w 3695"/>
                              <a:gd name="T162" fmla="+- 0 2078 2064"/>
                              <a:gd name="T163" fmla="*/ 2078 h 508"/>
                              <a:gd name="T164" fmla="+- 0 2206 2125"/>
                              <a:gd name="T165" fmla="*/ T164 w 3695"/>
                              <a:gd name="T166" fmla="+- 0 2064 2064"/>
                              <a:gd name="T167" fmla="*/ 2064 h 508"/>
                              <a:gd name="T168" fmla="+- 0 2213 2125"/>
                              <a:gd name="T169" fmla="*/ T168 w 3695"/>
                              <a:gd name="T170" fmla="+- 0 2082 2064"/>
                              <a:gd name="T171" fmla="*/ 2082 h 508"/>
                              <a:gd name="T172" fmla="+- 0 2212 2125"/>
                              <a:gd name="T173" fmla="*/ T172 w 3695"/>
                              <a:gd name="T174" fmla="+- 0 2082 2064"/>
                              <a:gd name="T175" fmla="*/ 2082 h 508"/>
                              <a:gd name="T176" fmla="+- 0 2205 2125"/>
                              <a:gd name="T177" fmla="*/ T176 w 3695"/>
                              <a:gd name="T178" fmla="+- 0 2093 2064"/>
                              <a:gd name="T179" fmla="*/ 2093 h 508"/>
                              <a:gd name="T180" fmla="+- 0 2213 2125"/>
                              <a:gd name="T181" fmla="*/ T180 w 3695"/>
                              <a:gd name="T182" fmla="+- 0 2107 2064"/>
                              <a:gd name="T183" fmla="*/ 2107 h 508"/>
                              <a:gd name="T184" fmla="+- 0 2213 2125"/>
                              <a:gd name="T185" fmla="*/ T184 w 3695"/>
                              <a:gd name="T186" fmla="+- 0 2082 2064"/>
                              <a:gd name="T187" fmla="*/ 2082 h 508"/>
                              <a:gd name="T188" fmla="+- 0 2198 2125"/>
                              <a:gd name="T189" fmla="*/ T188 w 3695"/>
                              <a:gd name="T190" fmla="+- 0 2082 2064"/>
                              <a:gd name="T191" fmla="*/ 2082 h 508"/>
                              <a:gd name="T192" fmla="+- 0 2198 2125"/>
                              <a:gd name="T193" fmla="*/ T192 w 3695"/>
                              <a:gd name="T194" fmla="+- 0 2104 2064"/>
                              <a:gd name="T195" fmla="*/ 2104 h 508"/>
                              <a:gd name="T196" fmla="+- 0 2205 2125"/>
                              <a:gd name="T197" fmla="*/ T196 w 3695"/>
                              <a:gd name="T198" fmla="+- 0 2093 2064"/>
                              <a:gd name="T199" fmla="*/ 2093 h 508"/>
                              <a:gd name="T200" fmla="+- 0 2198 2125"/>
                              <a:gd name="T201" fmla="*/ T200 w 3695"/>
                              <a:gd name="T202" fmla="+- 0 2082 2064"/>
                              <a:gd name="T203" fmla="*/ 2082 h 508"/>
                              <a:gd name="T204" fmla="+- 0 2213 2125"/>
                              <a:gd name="T205" fmla="*/ T204 w 3695"/>
                              <a:gd name="T206" fmla="+- 0 2078 2064"/>
                              <a:gd name="T207" fmla="*/ 2078 h 508"/>
                              <a:gd name="T208" fmla="+- 0 2198 2125"/>
                              <a:gd name="T209" fmla="*/ T208 w 3695"/>
                              <a:gd name="T210" fmla="+- 0 2078 2064"/>
                              <a:gd name="T211" fmla="*/ 2078 h 508"/>
                              <a:gd name="T212" fmla="+- 0 2198 2125"/>
                              <a:gd name="T213" fmla="*/ T212 w 3695"/>
                              <a:gd name="T214" fmla="+- 0 2082 2064"/>
                              <a:gd name="T215" fmla="*/ 2082 h 508"/>
                              <a:gd name="T216" fmla="+- 0 2205 2125"/>
                              <a:gd name="T217" fmla="*/ T216 w 3695"/>
                              <a:gd name="T218" fmla="+- 0 2093 2064"/>
                              <a:gd name="T219" fmla="*/ 2093 h 508"/>
                              <a:gd name="T220" fmla="+- 0 2212 2125"/>
                              <a:gd name="T221" fmla="*/ T220 w 3695"/>
                              <a:gd name="T222" fmla="+- 0 2082 2064"/>
                              <a:gd name="T223" fmla="*/ 2082 h 508"/>
                              <a:gd name="T224" fmla="+- 0 2213 2125"/>
                              <a:gd name="T225" fmla="*/ T224 w 3695"/>
                              <a:gd name="T226" fmla="+- 0 2082 2064"/>
                              <a:gd name="T227" fmla="*/ 2082 h 508"/>
                              <a:gd name="T228" fmla="+- 0 2213 2125"/>
                              <a:gd name="T229" fmla="*/ T228 w 3695"/>
                              <a:gd name="T230" fmla="+- 0 2078 2064"/>
                              <a:gd name="T231" fmla="*/ 2078 h 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695" h="508">
                                <a:moveTo>
                                  <a:pt x="80" y="29"/>
                                </a:moveTo>
                                <a:lnTo>
                                  <a:pt x="73" y="40"/>
                                </a:lnTo>
                                <a:lnTo>
                                  <a:pt x="73" y="505"/>
                                </a:lnTo>
                                <a:lnTo>
                                  <a:pt x="76" y="507"/>
                                </a:lnTo>
                                <a:lnTo>
                                  <a:pt x="3695" y="507"/>
                                </a:lnTo>
                                <a:lnTo>
                                  <a:pt x="3695" y="500"/>
                                </a:lnTo>
                                <a:lnTo>
                                  <a:pt x="88" y="500"/>
                                </a:lnTo>
                                <a:lnTo>
                                  <a:pt x="81" y="493"/>
                                </a:lnTo>
                                <a:lnTo>
                                  <a:pt x="88" y="493"/>
                                </a:lnTo>
                                <a:lnTo>
                                  <a:pt x="88" y="43"/>
                                </a:lnTo>
                                <a:lnTo>
                                  <a:pt x="80" y="29"/>
                                </a:lnTo>
                                <a:close/>
                                <a:moveTo>
                                  <a:pt x="88" y="493"/>
                                </a:moveTo>
                                <a:lnTo>
                                  <a:pt x="81" y="493"/>
                                </a:lnTo>
                                <a:lnTo>
                                  <a:pt x="88" y="500"/>
                                </a:lnTo>
                                <a:lnTo>
                                  <a:pt x="88" y="493"/>
                                </a:lnTo>
                                <a:close/>
                                <a:moveTo>
                                  <a:pt x="3695" y="493"/>
                                </a:moveTo>
                                <a:lnTo>
                                  <a:pt x="88" y="493"/>
                                </a:lnTo>
                                <a:lnTo>
                                  <a:pt x="88" y="500"/>
                                </a:lnTo>
                                <a:lnTo>
                                  <a:pt x="3695" y="500"/>
                                </a:lnTo>
                                <a:lnTo>
                                  <a:pt x="3695" y="493"/>
                                </a:lnTo>
                                <a:close/>
                                <a:moveTo>
                                  <a:pt x="89" y="14"/>
                                </a:moveTo>
                                <a:lnTo>
                                  <a:pt x="88" y="14"/>
                                </a:lnTo>
                                <a:lnTo>
                                  <a:pt x="88" y="43"/>
                                </a:lnTo>
                                <a:lnTo>
                                  <a:pt x="142" y="139"/>
                                </a:lnTo>
                                <a:lnTo>
                                  <a:pt x="144" y="142"/>
                                </a:lnTo>
                                <a:lnTo>
                                  <a:pt x="149" y="144"/>
                                </a:lnTo>
                                <a:lnTo>
                                  <a:pt x="156" y="139"/>
                                </a:lnTo>
                                <a:lnTo>
                                  <a:pt x="157" y="135"/>
                                </a:lnTo>
                                <a:lnTo>
                                  <a:pt x="155" y="132"/>
                                </a:lnTo>
                                <a:lnTo>
                                  <a:pt x="89" y="14"/>
                                </a:lnTo>
                                <a:close/>
                                <a:moveTo>
                                  <a:pt x="81" y="0"/>
                                </a:moveTo>
                                <a:lnTo>
                                  <a:pt x="3" y="129"/>
                                </a:lnTo>
                                <a:lnTo>
                                  <a:pt x="0" y="133"/>
                                </a:lnTo>
                                <a:lnTo>
                                  <a:pt x="1" y="138"/>
                                </a:lnTo>
                                <a:lnTo>
                                  <a:pt x="5" y="140"/>
                                </a:lnTo>
                                <a:lnTo>
                                  <a:pt x="9" y="141"/>
                                </a:lnTo>
                                <a:lnTo>
                                  <a:pt x="13" y="140"/>
                                </a:lnTo>
                                <a:lnTo>
                                  <a:pt x="16" y="136"/>
                                </a:lnTo>
                                <a:lnTo>
                                  <a:pt x="73" y="40"/>
                                </a:lnTo>
                                <a:lnTo>
                                  <a:pt x="73" y="14"/>
                                </a:lnTo>
                                <a:lnTo>
                                  <a:pt x="89" y="14"/>
                                </a:lnTo>
                                <a:lnTo>
                                  <a:pt x="81" y="0"/>
                                </a:lnTo>
                                <a:close/>
                                <a:moveTo>
                                  <a:pt x="88" y="18"/>
                                </a:moveTo>
                                <a:lnTo>
                                  <a:pt x="87" y="18"/>
                                </a:lnTo>
                                <a:lnTo>
                                  <a:pt x="80" y="29"/>
                                </a:lnTo>
                                <a:lnTo>
                                  <a:pt x="88" y="43"/>
                                </a:lnTo>
                                <a:lnTo>
                                  <a:pt x="88" y="18"/>
                                </a:lnTo>
                                <a:close/>
                                <a:moveTo>
                                  <a:pt x="73" y="18"/>
                                </a:moveTo>
                                <a:lnTo>
                                  <a:pt x="73" y="40"/>
                                </a:lnTo>
                                <a:lnTo>
                                  <a:pt x="80" y="29"/>
                                </a:lnTo>
                                <a:lnTo>
                                  <a:pt x="73" y="18"/>
                                </a:lnTo>
                                <a:close/>
                                <a:moveTo>
                                  <a:pt x="88" y="14"/>
                                </a:moveTo>
                                <a:lnTo>
                                  <a:pt x="73" y="14"/>
                                </a:lnTo>
                                <a:lnTo>
                                  <a:pt x="73" y="18"/>
                                </a:lnTo>
                                <a:lnTo>
                                  <a:pt x="80" y="29"/>
                                </a:lnTo>
                                <a:lnTo>
                                  <a:pt x="87" y="18"/>
                                </a:lnTo>
                                <a:lnTo>
                                  <a:pt x="88" y="18"/>
                                </a:lnTo>
                                <a:lnTo>
                                  <a:pt x="88"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 name="Picture 15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350" y="1568"/>
                            <a:ext cx="1792"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AutoShape 152"/>
                        <wps:cNvSpPr>
                          <a:spLocks/>
                        </wps:cNvSpPr>
                        <wps:spPr bwMode="auto">
                          <a:xfrm>
                            <a:off x="1347" y="1565"/>
                            <a:ext cx="1797" cy="508"/>
                          </a:xfrm>
                          <a:custGeom>
                            <a:avLst/>
                            <a:gdLst>
                              <a:gd name="T0" fmla="+- 0 3143 1348"/>
                              <a:gd name="T1" fmla="*/ T0 w 1797"/>
                              <a:gd name="T2" fmla="+- 0 1566 1566"/>
                              <a:gd name="T3" fmla="*/ 1566 h 508"/>
                              <a:gd name="T4" fmla="+- 0 1349 1348"/>
                              <a:gd name="T5" fmla="*/ T4 w 1797"/>
                              <a:gd name="T6" fmla="+- 0 1566 1566"/>
                              <a:gd name="T7" fmla="*/ 1566 h 508"/>
                              <a:gd name="T8" fmla="+- 0 1348 1348"/>
                              <a:gd name="T9" fmla="*/ T8 w 1797"/>
                              <a:gd name="T10" fmla="+- 0 1567 1566"/>
                              <a:gd name="T11" fmla="*/ 1567 h 508"/>
                              <a:gd name="T12" fmla="+- 0 1348 1348"/>
                              <a:gd name="T13" fmla="*/ T12 w 1797"/>
                              <a:gd name="T14" fmla="+- 0 2072 1566"/>
                              <a:gd name="T15" fmla="*/ 2072 h 508"/>
                              <a:gd name="T16" fmla="+- 0 1349 1348"/>
                              <a:gd name="T17" fmla="*/ T16 w 1797"/>
                              <a:gd name="T18" fmla="+- 0 2073 1566"/>
                              <a:gd name="T19" fmla="*/ 2073 h 508"/>
                              <a:gd name="T20" fmla="+- 0 3143 1348"/>
                              <a:gd name="T21" fmla="*/ T20 w 1797"/>
                              <a:gd name="T22" fmla="+- 0 2073 1566"/>
                              <a:gd name="T23" fmla="*/ 2073 h 508"/>
                              <a:gd name="T24" fmla="+- 0 3144 1348"/>
                              <a:gd name="T25" fmla="*/ T24 w 1797"/>
                              <a:gd name="T26" fmla="+- 0 2072 1566"/>
                              <a:gd name="T27" fmla="*/ 2072 h 508"/>
                              <a:gd name="T28" fmla="+- 0 3144 1348"/>
                              <a:gd name="T29" fmla="*/ T28 w 1797"/>
                              <a:gd name="T30" fmla="+- 0 2070 1566"/>
                              <a:gd name="T31" fmla="*/ 2070 h 508"/>
                              <a:gd name="T32" fmla="+- 0 1354 1348"/>
                              <a:gd name="T33" fmla="*/ T32 w 1797"/>
                              <a:gd name="T34" fmla="+- 0 2070 1566"/>
                              <a:gd name="T35" fmla="*/ 2070 h 508"/>
                              <a:gd name="T36" fmla="+- 0 1350 1348"/>
                              <a:gd name="T37" fmla="*/ T36 w 1797"/>
                              <a:gd name="T38" fmla="+- 0 2067 1566"/>
                              <a:gd name="T39" fmla="*/ 2067 h 508"/>
                              <a:gd name="T40" fmla="+- 0 1354 1348"/>
                              <a:gd name="T41" fmla="*/ T40 w 1797"/>
                              <a:gd name="T42" fmla="+- 0 2067 1566"/>
                              <a:gd name="T43" fmla="*/ 2067 h 508"/>
                              <a:gd name="T44" fmla="+- 0 1354 1348"/>
                              <a:gd name="T45" fmla="*/ T44 w 1797"/>
                              <a:gd name="T46" fmla="+- 0 1570 1566"/>
                              <a:gd name="T47" fmla="*/ 1570 h 508"/>
                              <a:gd name="T48" fmla="+- 0 1350 1348"/>
                              <a:gd name="T49" fmla="*/ T48 w 1797"/>
                              <a:gd name="T50" fmla="+- 0 1570 1566"/>
                              <a:gd name="T51" fmla="*/ 1570 h 508"/>
                              <a:gd name="T52" fmla="+- 0 1354 1348"/>
                              <a:gd name="T53" fmla="*/ T52 w 1797"/>
                              <a:gd name="T54" fmla="+- 0 1568 1566"/>
                              <a:gd name="T55" fmla="*/ 1568 h 508"/>
                              <a:gd name="T56" fmla="+- 0 3144 1348"/>
                              <a:gd name="T57" fmla="*/ T56 w 1797"/>
                              <a:gd name="T58" fmla="+- 0 1568 1566"/>
                              <a:gd name="T59" fmla="*/ 1568 h 508"/>
                              <a:gd name="T60" fmla="+- 0 3144 1348"/>
                              <a:gd name="T61" fmla="*/ T60 w 1797"/>
                              <a:gd name="T62" fmla="+- 0 1567 1566"/>
                              <a:gd name="T63" fmla="*/ 1567 h 508"/>
                              <a:gd name="T64" fmla="+- 0 3143 1348"/>
                              <a:gd name="T65" fmla="*/ T64 w 1797"/>
                              <a:gd name="T66" fmla="+- 0 1566 1566"/>
                              <a:gd name="T67" fmla="*/ 1566 h 508"/>
                              <a:gd name="T68" fmla="+- 0 1354 1348"/>
                              <a:gd name="T69" fmla="*/ T68 w 1797"/>
                              <a:gd name="T70" fmla="+- 0 2067 1566"/>
                              <a:gd name="T71" fmla="*/ 2067 h 508"/>
                              <a:gd name="T72" fmla="+- 0 1350 1348"/>
                              <a:gd name="T73" fmla="*/ T72 w 1797"/>
                              <a:gd name="T74" fmla="+- 0 2067 1566"/>
                              <a:gd name="T75" fmla="*/ 2067 h 508"/>
                              <a:gd name="T76" fmla="+- 0 1354 1348"/>
                              <a:gd name="T77" fmla="*/ T76 w 1797"/>
                              <a:gd name="T78" fmla="+- 0 2070 1566"/>
                              <a:gd name="T79" fmla="*/ 2070 h 508"/>
                              <a:gd name="T80" fmla="+- 0 1354 1348"/>
                              <a:gd name="T81" fmla="*/ T80 w 1797"/>
                              <a:gd name="T82" fmla="+- 0 2067 1566"/>
                              <a:gd name="T83" fmla="*/ 2067 h 508"/>
                              <a:gd name="T84" fmla="+- 0 3139 1348"/>
                              <a:gd name="T85" fmla="*/ T84 w 1797"/>
                              <a:gd name="T86" fmla="+- 0 2067 1566"/>
                              <a:gd name="T87" fmla="*/ 2067 h 508"/>
                              <a:gd name="T88" fmla="+- 0 1354 1348"/>
                              <a:gd name="T89" fmla="*/ T88 w 1797"/>
                              <a:gd name="T90" fmla="+- 0 2067 1566"/>
                              <a:gd name="T91" fmla="*/ 2067 h 508"/>
                              <a:gd name="T92" fmla="+- 0 1354 1348"/>
                              <a:gd name="T93" fmla="*/ T92 w 1797"/>
                              <a:gd name="T94" fmla="+- 0 2070 1566"/>
                              <a:gd name="T95" fmla="*/ 2070 h 508"/>
                              <a:gd name="T96" fmla="+- 0 3139 1348"/>
                              <a:gd name="T97" fmla="*/ T96 w 1797"/>
                              <a:gd name="T98" fmla="+- 0 2070 1566"/>
                              <a:gd name="T99" fmla="*/ 2070 h 508"/>
                              <a:gd name="T100" fmla="+- 0 3139 1348"/>
                              <a:gd name="T101" fmla="*/ T100 w 1797"/>
                              <a:gd name="T102" fmla="+- 0 2067 1566"/>
                              <a:gd name="T103" fmla="*/ 2067 h 508"/>
                              <a:gd name="T104" fmla="+- 0 3139 1348"/>
                              <a:gd name="T105" fmla="*/ T104 w 1797"/>
                              <a:gd name="T106" fmla="+- 0 1568 1566"/>
                              <a:gd name="T107" fmla="*/ 1568 h 508"/>
                              <a:gd name="T108" fmla="+- 0 3139 1348"/>
                              <a:gd name="T109" fmla="*/ T108 w 1797"/>
                              <a:gd name="T110" fmla="+- 0 2070 1566"/>
                              <a:gd name="T111" fmla="*/ 2070 h 508"/>
                              <a:gd name="T112" fmla="+- 0 3142 1348"/>
                              <a:gd name="T113" fmla="*/ T112 w 1797"/>
                              <a:gd name="T114" fmla="+- 0 2067 1566"/>
                              <a:gd name="T115" fmla="*/ 2067 h 508"/>
                              <a:gd name="T116" fmla="+- 0 3144 1348"/>
                              <a:gd name="T117" fmla="*/ T116 w 1797"/>
                              <a:gd name="T118" fmla="+- 0 2067 1566"/>
                              <a:gd name="T119" fmla="*/ 2067 h 508"/>
                              <a:gd name="T120" fmla="+- 0 3144 1348"/>
                              <a:gd name="T121" fmla="*/ T120 w 1797"/>
                              <a:gd name="T122" fmla="+- 0 1570 1566"/>
                              <a:gd name="T123" fmla="*/ 1570 h 508"/>
                              <a:gd name="T124" fmla="+- 0 3142 1348"/>
                              <a:gd name="T125" fmla="*/ T124 w 1797"/>
                              <a:gd name="T126" fmla="+- 0 1570 1566"/>
                              <a:gd name="T127" fmla="*/ 1570 h 508"/>
                              <a:gd name="T128" fmla="+- 0 3139 1348"/>
                              <a:gd name="T129" fmla="*/ T128 w 1797"/>
                              <a:gd name="T130" fmla="+- 0 1568 1566"/>
                              <a:gd name="T131" fmla="*/ 1568 h 508"/>
                              <a:gd name="T132" fmla="+- 0 3144 1348"/>
                              <a:gd name="T133" fmla="*/ T132 w 1797"/>
                              <a:gd name="T134" fmla="+- 0 2067 1566"/>
                              <a:gd name="T135" fmla="*/ 2067 h 508"/>
                              <a:gd name="T136" fmla="+- 0 3142 1348"/>
                              <a:gd name="T137" fmla="*/ T136 w 1797"/>
                              <a:gd name="T138" fmla="+- 0 2067 1566"/>
                              <a:gd name="T139" fmla="*/ 2067 h 508"/>
                              <a:gd name="T140" fmla="+- 0 3139 1348"/>
                              <a:gd name="T141" fmla="*/ T140 w 1797"/>
                              <a:gd name="T142" fmla="+- 0 2070 1566"/>
                              <a:gd name="T143" fmla="*/ 2070 h 508"/>
                              <a:gd name="T144" fmla="+- 0 3144 1348"/>
                              <a:gd name="T145" fmla="*/ T144 w 1797"/>
                              <a:gd name="T146" fmla="+- 0 2070 1566"/>
                              <a:gd name="T147" fmla="*/ 2070 h 508"/>
                              <a:gd name="T148" fmla="+- 0 3144 1348"/>
                              <a:gd name="T149" fmla="*/ T148 w 1797"/>
                              <a:gd name="T150" fmla="+- 0 2067 1566"/>
                              <a:gd name="T151" fmla="*/ 2067 h 508"/>
                              <a:gd name="T152" fmla="+- 0 1354 1348"/>
                              <a:gd name="T153" fmla="*/ T152 w 1797"/>
                              <a:gd name="T154" fmla="+- 0 1568 1566"/>
                              <a:gd name="T155" fmla="*/ 1568 h 508"/>
                              <a:gd name="T156" fmla="+- 0 1350 1348"/>
                              <a:gd name="T157" fmla="*/ T156 w 1797"/>
                              <a:gd name="T158" fmla="+- 0 1570 1566"/>
                              <a:gd name="T159" fmla="*/ 1570 h 508"/>
                              <a:gd name="T160" fmla="+- 0 1354 1348"/>
                              <a:gd name="T161" fmla="*/ T160 w 1797"/>
                              <a:gd name="T162" fmla="+- 0 1570 1566"/>
                              <a:gd name="T163" fmla="*/ 1570 h 508"/>
                              <a:gd name="T164" fmla="+- 0 1354 1348"/>
                              <a:gd name="T165" fmla="*/ T164 w 1797"/>
                              <a:gd name="T166" fmla="+- 0 1568 1566"/>
                              <a:gd name="T167" fmla="*/ 1568 h 508"/>
                              <a:gd name="T168" fmla="+- 0 3139 1348"/>
                              <a:gd name="T169" fmla="*/ T168 w 1797"/>
                              <a:gd name="T170" fmla="+- 0 1568 1566"/>
                              <a:gd name="T171" fmla="*/ 1568 h 508"/>
                              <a:gd name="T172" fmla="+- 0 1354 1348"/>
                              <a:gd name="T173" fmla="*/ T172 w 1797"/>
                              <a:gd name="T174" fmla="+- 0 1568 1566"/>
                              <a:gd name="T175" fmla="*/ 1568 h 508"/>
                              <a:gd name="T176" fmla="+- 0 1354 1348"/>
                              <a:gd name="T177" fmla="*/ T176 w 1797"/>
                              <a:gd name="T178" fmla="+- 0 1570 1566"/>
                              <a:gd name="T179" fmla="*/ 1570 h 508"/>
                              <a:gd name="T180" fmla="+- 0 3139 1348"/>
                              <a:gd name="T181" fmla="*/ T180 w 1797"/>
                              <a:gd name="T182" fmla="+- 0 1570 1566"/>
                              <a:gd name="T183" fmla="*/ 1570 h 508"/>
                              <a:gd name="T184" fmla="+- 0 3139 1348"/>
                              <a:gd name="T185" fmla="*/ T184 w 1797"/>
                              <a:gd name="T186" fmla="+- 0 1568 1566"/>
                              <a:gd name="T187" fmla="*/ 1568 h 508"/>
                              <a:gd name="T188" fmla="+- 0 3144 1348"/>
                              <a:gd name="T189" fmla="*/ T188 w 1797"/>
                              <a:gd name="T190" fmla="+- 0 1568 1566"/>
                              <a:gd name="T191" fmla="*/ 1568 h 508"/>
                              <a:gd name="T192" fmla="+- 0 3139 1348"/>
                              <a:gd name="T193" fmla="*/ T192 w 1797"/>
                              <a:gd name="T194" fmla="+- 0 1568 1566"/>
                              <a:gd name="T195" fmla="*/ 1568 h 508"/>
                              <a:gd name="T196" fmla="+- 0 3142 1348"/>
                              <a:gd name="T197" fmla="*/ T196 w 1797"/>
                              <a:gd name="T198" fmla="+- 0 1570 1566"/>
                              <a:gd name="T199" fmla="*/ 1570 h 508"/>
                              <a:gd name="T200" fmla="+- 0 3144 1348"/>
                              <a:gd name="T201" fmla="*/ T200 w 1797"/>
                              <a:gd name="T202" fmla="+- 0 1570 1566"/>
                              <a:gd name="T203" fmla="*/ 1570 h 508"/>
                              <a:gd name="T204" fmla="+- 0 3144 1348"/>
                              <a:gd name="T205" fmla="*/ T204 w 1797"/>
                              <a:gd name="T206" fmla="+- 0 1568 1566"/>
                              <a:gd name="T207" fmla="*/ 1568 h 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797" h="508">
                                <a:moveTo>
                                  <a:pt x="1795" y="0"/>
                                </a:moveTo>
                                <a:lnTo>
                                  <a:pt x="1" y="0"/>
                                </a:lnTo>
                                <a:lnTo>
                                  <a:pt x="0" y="1"/>
                                </a:lnTo>
                                <a:lnTo>
                                  <a:pt x="0" y="506"/>
                                </a:lnTo>
                                <a:lnTo>
                                  <a:pt x="1" y="507"/>
                                </a:lnTo>
                                <a:lnTo>
                                  <a:pt x="1795" y="507"/>
                                </a:lnTo>
                                <a:lnTo>
                                  <a:pt x="1796" y="506"/>
                                </a:lnTo>
                                <a:lnTo>
                                  <a:pt x="1796" y="504"/>
                                </a:lnTo>
                                <a:lnTo>
                                  <a:pt x="6" y="504"/>
                                </a:lnTo>
                                <a:lnTo>
                                  <a:pt x="2" y="501"/>
                                </a:lnTo>
                                <a:lnTo>
                                  <a:pt x="6" y="501"/>
                                </a:lnTo>
                                <a:lnTo>
                                  <a:pt x="6" y="4"/>
                                </a:lnTo>
                                <a:lnTo>
                                  <a:pt x="2" y="4"/>
                                </a:lnTo>
                                <a:lnTo>
                                  <a:pt x="6" y="2"/>
                                </a:lnTo>
                                <a:lnTo>
                                  <a:pt x="1796" y="2"/>
                                </a:lnTo>
                                <a:lnTo>
                                  <a:pt x="1796" y="1"/>
                                </a:lnTo>
                                <a:lnTo>
                                  <a:pt x="1795" y="0"/>
                                </a:lnTo>
                                <a:close/>
                                <a:moveTo>
                                  <a:pt x="6" y="501"/>
                                </a:moveTo>
                                <a:lnTo>
                                  <a:pt x="2" y="501"/>
                                </a:lnTo>
                                <a:lnTo>
                                  <a:pt x="6" y="504"/>
                                </a:lnTo>
                                <a:lnTo>
                                  <a:pt x="6" y="501"/>
                                </a:lnTo>
                                <a:close/>
                                <a:moveTo>
                                  <a:pt x="1791" y="501"/>
                                </a:moveTo>
                                <a:lnTo>
                                  <a:pt x="6" y="501"/>
                                </a:lnTo>
                                <a:lnTo>
                                  <a:pt x="6" y="504"/>
                                </a:lnTo>
                                <a:lnTo>
                                  <a:pt x="1791" y="504"/>
                                </a:lnTo>
                                <a:lnTo>
                                  <a:pt x="1791" y="501"/>
                                </a:lnTo>
                                <a:close/>
                                <a:moveTo>
                                  <a:pt x="1791" y="2"/>
                                </a:moveTo>
                                <a:lnTo>
                                  <a:pt x="1791" y="504"/>
                                </a:lnTo>
                                <a:lnTo>
                                  <a:pt x="1794" y="501"/>
                                </a:lnTo>
                                <a:lnTo>
                                  <a:pt x="1796" y="501"/>
                                </a:lnTo>
                                <a:lnTo>
                                  <a:pt x="1796" y="4"/>
                                </a:lnTo>
                                <a:lnTo>
                                  <a:pt x="1794" y="4"/>
                                </a:lnTo>
                                <a:lnTo>
                                  <a:pt x="1791" y="2"/>
                                </a:lnTo>
                                <a:close/>
                                <a:moveTo>
                                  <a:pt x="1796" y="501"/>
                                </a:moveTo>
                                <a:lnTo>
                                  <a:pt x="1794" y="501"/>
                                </a:lnTo>
                                <a:lnTo>
                                  <a:pt x="1791" y="504"/>
                                </a:lnTo>
                                <a:lnTo>
                                  <a:pt x="1796" y="504"/>
                                </a:lnTo>
                                <a:lnTo>
                                  <a:pt x="1796" y="501"/>
                                </a:lnTo>
                                <a:close/>
                                <a:moveTo>
                                  <a:pt x="6" y="2"/>
                                </a:moveTo>
                                <a:lnTo>
                                  <a:pt x="2" y="4"/>
                                </a:lnTo>
                                <a:lnTo>
                                  <a:pt x="6" y="4"/>
                                </a:lnTo>
                                <a:lnTo>
                                  <a:pt x="6" y="2"/>
                                </a:lnTo>
                                <a:close/>
                                <a:moveTo>
                                  <a:pt x="1791" y="2"/>
                                </a:moveTo>
                                <a:lnTo>
                                  <a:pt x="6" y="2"/>
                                </a:lnTo>
                                <a:lnTo>
                                  <a:pt x="6" y="4"/>
                                </a:lnTo>
                                <a:lnTo>
                                  <a:pt x="1791" y="4"/>
                                </a:lnTo>
                                <a:lnTo>
                                  <a:pt x="1791" y="2"/>
                                </a:lnTo>
                                <a:close/>
                                <a:moveTo>
                                  <a:pt x="1796" y="2"/>
                                </a:moveTo>
                                <a:lnTo>
                                  <a:pt x="1791" y="2"/>
                                </a:lnTo>
                                <a:lnTo>
                                  <a:pt x="1794" y="4"/>
                                </a:lnTo>
                                <a:lnTo>
                                  <a:pt x="1796" y="4"/>
                                </a:lnTo>
                                <a:lnTo>
                                  <a:pt x="1796" y="2"/>
                                </a:lnTo>
                                <a:close/>
                              </a:path>
                            </a:pathLst>
                          </a:custGeom>
                          <a:solidFill>
                            <a:srgbClr val="007D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Rectangle 151"/>
                        <wps:cNvSpPr>
                          <a:spLocks noChangeArrowheads="1"/>
                        </wps:cNvSpPr>
                        <wps:spPr bwMode="auto">
                          <a:xfrm>
                            <a:off x="1035" y="3008"/>
                            <a:ext cx="5810" cy="346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AutoShape 150"/>
                        <wps:cNvSpPr>
                          <a:spLocks/>
                        </wps:cNvSpPr>
                        <wps:spPr bwMode="auto">
                          <a:xfrm>
                            <a:off x="1028" y="3045"/>
                            <a:ext cx="5824" cy="3480"/>
                          </a:xfrm>
                          <a:custGeom>
                            <a:avLst/>
                            <a:gdLst>
                              <a:gd name="T0" fmla="+- 0 1028 1028"/>
                              <a:gd name="T1" fmla="*/ T0 w 5824"/>
                              <a:gd name="T2" fmla="+- 0 6518 3045"/>
                              <a:gd name="T3" fmla="*/ 6518 h 3480"/>
                              <a:gd name="T4" fmla="+- 0 1043 1028"/>
                              <a:gd name="T5" fmla="*/ T4 w 5824"/>
                              <a:gd name="T6" fmla="+- 0 6234 3045"/>
                              <a:gd name="T7" fmla="*/ 6234 h 3480"/>
                              <a:gd name="T8" fmla="+- 0 1043 1028"/>
                              <a:gd name="T9" fmla="*/ T8 w 5824"/>
                              <a:gd name="T10" fmla="+- 0 5904 3045"/>
                              <a:gd name="T11" fmla="*/ 5904 h 3480"/>
                              <a:gd name="T12" fmla="+- 0 1043 1028"/>
                              <a:gd name="T13" fmla="*/ T12 w 5824"/>
                              <a:gd name="T14" fmla="+- 0 5574 3045"/>
                              <a:gd name="T15" fmla="*/ 5574 h 3480"/>
                              <a:gd name="T16" fmla="+- 0 1043 1028"/>
                              <a:gd name="T17" fmla="*/ T16 w 5824"/>
                              <a:gd name="T18" fmla="+- 0 5244 3045"/>
                              <a:gd name="T19" fmla="*/ 5244 h 3480"/>
                              <a:gd name="T20" fmla="+- 0 1043 1028"/>
                              <a:gd name="T21" fmla="*/ T20 w 5824"/>
                              <a:gd name="T22" fmla="+- 0 4914 3045"/>
                              <a:gd name="T23" fmla="*/ 4914 h 3480"/>
                              <a:gd name="T24" fmla="+- 0 1043 1028"/>
                              <a:gd name="T25" fmla="*/ T24 w 5824"/>
                              <a:gd name="T26" fmla="+- 0 4584 3045"/>
                              <a:gd name="T27" fmla="*/ 4584 h 3480"/>
                              <a:gd name="T28" fmla="+- 0 1043 1028"/>
                              <a:gd name="T29" fmla="*/ T28 w 5824"/>
                              <a:gd name="T30" fmla="+- 0 4254 3045"/>
                              <a:gd name="T31" fmla="*/ 4254 h 3480"/>
                              <a:gd name="T32" fmla="+- 0 1043 1028"/>
                              <a:gd name="T33" fmla="*/ T32 w 5824"/>
                              <a:gd name="T34" fmla="+- 0 3924 3045"/>
                              <a:gd name="T35" fmla="*/ 3924 h 3480"/>
                              <a:gd name="T36" fmla="+- 0 1043 1028"/>
                              <a:gd name="T37" fmla="*/ T36 w 5824"/>
                              <a:gd name="T38" fmla="+- 0 3594 3045"/>
                              <a:gd name="T39" fmla="*/ 3594 h 3480"/>
                              <a:gd name="T40" fmla="+- 0 1043 1028"/>
                              <a:gd name="T41" fmla="*/ T40 w 5824"/>
                              <a:gd name="T42" fmla="+- 0 3264 3045"/>
                              <a:gd name="T43" fmla="*/ 3264 h 3480"/>
                              <a:gd name="T44" fmla="+- 0 1156 1028"/>
                              <a:gd name="T45" fmla="*/ T44 w 5824"/>
                              <a:gd name="T46" fmla="+- 0 3045 3045"/>
                              <a:gd name="T47" fmla="*/ 3045 h 3480"/>
                              <a:gd name="T48" fmla="+- 0 1486 1028"/>
                              <a:gd name="T49" fmla="*/ T48 w 5824"/>
                              <a:gd name="T50" fmla="+- 0 3045 3045"/>
                              <a:gd name="T51" fmla="*/ 3045 h 3480"/>
                              <a:gd name="T52" fmla="+- 0 1816 1028"/>
                              <a:gd name="T53" fmla="*/ T52 w 5824"/>
                              <a:gd name="T54" fmla="+- 0 3045 3045"/>
                              <a:gd name="T55" fmla="*/ 3045 h 3480"/>
                              <a:gd name="T56" fmla="+- 0 2146 1028"/>
                              <a:gd name="T57" fmla="*/ T56 w 5824"/>
                              <a:gd name="T58" fmla="+- 0 3045 3045"/>
                              <a:gd name="T59" fmla="*/ 3045 h 3480"/>
                              <a:gd name="T60" fmla="+- 0 2476 1028"/>
                              <a:gd name="T61" fmla="*/ T60 w 5824"/>
                              <a:gd name="T62" fmla="+- 0 3045 3045"/>
                              <a:gd name="T63" fmla="*/ 3045 h 3480"/>
                              <a:gd name="T64" fmla="+- 0 2806 1028"/>
                              <a:gd name="T65" fmla="*/ T64 w 5824"/>
                              <a:gd name="T66" fmla="+- 0 3045 3045"/>
                              <a:gd name="T67" fmla="*/ 3045 h 3480"/>
                              <a:gd name="T68" fmla="+- 0 3136 1028"/>
                              <a:gd name="T69" fmla="*/ T68 w 5824"/>
                              <a:gd name="T70" fmla="+- 0 3045 3045"/>
                              <a:gd name="T71" fmla="*/ 3045 h 3480"/>
                              <a:gd name="T72" fmla="+- 0 3466 1028"/>
                              <a:gd name="T73" fmla="*/ T72 w 5824"/>
                              <a:gd name="T74" fmla="+- 0 3045 3045"/>
                              <a:gd name="T75" fmla="*/ 3045 h 3480"/>
                              <a:gd name="T76" fmla="+- 0 3796 1028"/>
                              <a:gd name="T77" fmla="*/ T76 w 5824"/>
                              <a:gd name="T78" fmla="+- 0 3045 3045"/>
                              <a:gd name="T79" fmla="*/ 3045 h 3480"/>
                              <a:gd name="T80" fmla="+- 0 4126 1028"/>
                              <a:gd name="T81" fmla="*/ T80 w 5824"/>
                              <a:gd name="T82" fmla="+- 0 3045 3045"/>
                              <a:gd name="T83" fmla="*/ 3045 h 3480"/>
                              <a:gd name="T84" fmla="+- 0 4456 1028"/>
                              <a:gd name="T85" fmla="*/ T84 w 5824"/>
                              <a:gd name="T86" fmla="+- 0 3045 3045"/>
                              <a:gd name="T87" fmla="*/ 3045 h 3480"/>
                              <a:gd name="T88" fmla="+- 0 4786 1028"/>
                              <a:gd name="T89" fmla="*/ T88 w 5824"/>
                              <a:gd name="T90" fmla="+- 0 3045 3045"/>
                              <a:gd name="T91" fmla="*/ 3045 h 3480"/>
                              <a:gd name="T92" fmla="+- 0 5116 1028"/>
                              <a:gd name="T93" fmla="*/ T92 w 5824"/>
                              <a:gd name="T94" fmla="+- 0 3045 3045"/>
                              <a:gd name="T95" fmla="*/ 3045 h 3480"/>
                              <a:gd name="T96" fmla="+- 0 5446 1028"/>
                              <a:gd name="T97" fmla="*/ T96 w 5824"/>
                              <a:gd name="T98" fmla="+- 0 3045 3045"/>
                              <a:gd name="T99" fmla="*/ 3045 h 3480"/>
                              <a:gd name="T100" fmla="+- 0 5776 1028"/>
                              <a:gd name="T101" fmla="*/ T100 w 5824"/>
                              <a:gd name="T102" fmla="+- 0 3045 3045"/>
                              <a:gd name="T103" fmla="*/ 3045 h 3480"/>
                              <a:gd name="T104" fmla="+- 0 6106 1028"/>
                              <a:gd name="T105" fmla="*/ T104 w 5824"/>
                              <a:gd name="T106" fmla="+- 0 3045 3045"/>
                              <a:gd name="T107" fmla="*/ 3045 h 3480"/>
                              <a:gd name="T108" fmla="+- 0 6436 1028"/>
                              <a:gd name="T109" fmla="*/ T108 w 5824"/>
                              <a:gd name="T110" fmla="+- 0 3045 3045"/>
                              <a:gd name="T111" fmla="*/ 3045 h 3480"/>
                              <a:gd name="T112" fmla="+- 0 6766 1028"/>
                              <a:gd name="T113" fmla="*/ T112 w 5824"/>
                              <a:gd name="T114" fmla="+- 0 3045 3045"/>
                              <a:gd name="T115" fmla="*/ 3045 h 3480"/>
                              <a:gd name="T116" fmla="+- 0 6838 1028"/>
                              <a:gd name="T117" fmla="*/ T116 w 5824"/>
                              <a:gd name="T118" fmla="+- 0 3054 3045"/>
                              <a:gd name="T119" fmla="*/ 3054 h 3480"/>
                              <a:gd name="T120" fmla="+- 0 6838 1028"/>
                              <a:gd name="T121" fmla="*/ T120 w 5824"/>
                              <a:gd name="T122" fmla="+- 0 3054 3045"/>
                              <a:gd name="T123" fmla="*/ 3054 h 3480"/>
                              <a:gd name="T124" fmla="+- 0 6838 1028"/>
                              <a:gd name="T125" fmla="*/ T124 w 5824"/>
                              <a:gd name="T126" fmla="+- 0 3349 3045"/>
                              <a:gd name="T127" fmla="*/ 3349 h 3480"/>
                              <a:gd name="T128" fmla="+- 0 6838 1028"/>
                              <a:gd name="T129" fmla="*/ T128 w 5824"/>
                              <a:gd name="T130" fmla="+- 0 3679 3045"/>
                              <a:gd name="T131" fmla="*/ 3679 h 3480"/>
                              <a:gd name="T132" fmla="+- 0 6838 1028"/>
                              <a:gd name="T133" fmla="*/ T132 w 5824"/>
                              <a:gd name="T134" fmla="+- 0 4009 3045"/>
                              <a:gd name="T135" fmla="*/ 4009 h 3480"/>
                              <a:gd name="T136" fmla="+- 0 6838 1028"/>
                              <a:gd name="T137" fmla="*/ T136 w 5824"/>
                              <a:gd name="T138" fmla="+- 0 4339 3045"/>
                              <a:gd name="T139" fmla="*/ 4339 h 3480"/>
                              <a:gd name="T140" fmla="+- 0 6838 1028"/>
                              <a:gd name="T141" fmla="*/ T140 w 5824"/>
                              <a:gd name="T142" fmla="+- 0 4669 3045"/>
                              <a:gd name="T143" fmla="*/ 4669 h 3480"/>
                              <a:gd name="T144" fmla="+- 0 6838 1028"/>
                              <a:gd name="T145" fmla="*/ T144 w 5824"/>
                              <a:gd name="T146" fmla="+- 0 4999 3045"/>
                              <a:gd name="T147" fmla="*/ 4999 h 3480"/>
                              <a:gd name="T148" fmla="+- 0 6838 1028"/>
                              <a:gd name="T149" fmla="*/ T148 w 5824"/>
                              <a:gd name="T150" fmla="+- 0 5329 3045"/>
                              <a:gd name="T151" fmla="*/ 5329 h 3480"/>
                              <a:gd name="T152" fmla="+- 0 6838 1028"/>
                              <a:gd name="T153" fmla="*/ T152 w 5824"/>
                              <a:gd name="T154" fmla="+- 0 5659 3045"/>
                              <a:gd name="T155" fmla="*/ 5659 h 3480"/>
                              <a:gd name="T156" fmla="+- 0 6838 1028"/>
                              <a:gd name="T157" fmla="*/ T156 w 5824"/>
                              <a:gd name="T158" fmla="+- 0 5989 3045"/>
                              <a:gd name="T159" fmla="*/ 5989 h 3480"/>
                              <a:gd name="T160" fmla="+- 0 6838 1028"/>
                              <a:gd name="T161" fmla="*/ T160 w 5824"/>
                              <a:gd name="T162" fmla="+- 0 6319 3045"/>
                              <a:gd name="T163" fmla="*/ 6319 h 3480"/>
                              <a:gd name="T164" fmla="+- 0 6838 1028"/>
                              <a:gd name="T165" fmla="*/ T164 w 5824"/>
                              <a:gd name="T166" fmla="+- 0 6518 3045"/>
                              <a:gd name="T167" fmla="*/ 6518 h 3480"/>
                              <a:gd name="T168" fmla="+- 0 6838 1028"/>
                              <a:gd name="T169" fmla="*/ T168 w 5824"/>
                              <a:gd name="T170" fmla="+- 0 6518 3045"/>
                              <a:gd name="T171" fmla="*/ 6518 h 3480"/>
                              <a:gd name="T172" fmla="+- 0 6428 1028"/>
                              <a:gd name="T173" fmla="*/ T172 w 5824"/>
                              <a:gd name="T174" fmla="+- 0 6525 3045"/>
                              <a:gd name="T175" fmla="*/ 6525 h 3480"/>
                              <a:gd name="T176" fmla="+- 0 6098 1028"/>
                              <a:gd name="T177" fmla="*/ T176 w 5824"/>
                              <a:gd name="T178" fmla="+- 0 6525 3045"/>
                              <a:gd name="T179" fmla="*/ 6525 h 3480"/>
                              <a:gd name="T180" fmla="+- 0 5768 1028"/>
                              <a:gd name="T181" fmla="*/ T180 w 5824"/>
                              <a:gd name="T182" fmla="+- 0 6525 3045"/>
                              <a:gd name="T183" fmla="*/ 6525 h 3480"/>
                              <a:gd name="T184" fmla="+- 0 5438 1028"/>
                              <a:gd name="T185" fmla="*/ T184 w 5824"/>
                              <a:gd name="T186" fmla="+- 0 6525 3045"/>
                              <a:gd name="T187" fmla="*/ 6525 h 3480"/>
                              <a:gd name="T188" fmla="+- 0 5108 1028"/>
                              <a:gd name="T189" fmla="*/ T188 w 5824"/>
                              <a:gd name="T190" fmla="+- 0 6525 3045"/>
                              <a:gd name="T191" fmla="*/ 6525 h 3480"/>
                              <a:gd name="T192" fmla="+- 0 4778 1028"/>
                              <a:gd name="T193" fmla="*/ T192 w 5824"/>
                              <a:gd name="T194" fmla="+- 0 6525 3045"/>
                              <a:gd name="T195" fmla="*/ 6525 h 3480"/>
                              <a:gd name="T196" fmla="+- 0 4448 1028"/>
                              <a:gd name="T197" fmla="*/ T196 w 5824"/>
                              <a:gd name="T198" fmla="+- 0 6525 3045"/>
                              <a:gd name="T199" fmla="*/ 6525 h 3480"/>
                              <a:gd name="T200" fmla="+- 0 4118 1028"/>
                              <a:gd name="T201" fmla="*/ T200 w 5824"/>
                              <a:gd name="T202" fmla="+- 0 6525 3045"/>
                              <a:gd name="T203" fmla="*/ 6525 h 3480"/>
                              <a:gd name="T204" fmla="+- 0 3788 1028"/>
                              <a:gd name="T205" fmla="*/ T204 w 5824"/>
                              <a:gd name="T206" fmla="+- 0 6525 3045"/>
                              <a:gd name="T207" fmla="*/ 6525 h 3480"/>
                              <a:gd name="T208" fmla="+- 0 3458 1028"/>
                              <a:gd name="T209" fmla="*/ T208 w 5824"/>
                              <a:gd name="T210" fmla="+- 0 6525 3045"/>
                              <a:gd name="T211" fmla="*/ 6525 h 3480"/>
                              <a:gd name="T212" fmla="+- 0 3128 1028"/>
                              <a:gd name="T213" fmla="*/ T212 w 5824"/>
                              <a:gd name="T214" fmla="+- 0 6525 3045"/>
                              <a:gd name="T215" fmla="*/ 6525 h 3480"/>
                              <a:gd name="T216" fmla="+- 0 2798 1028"/>
                              <a:gd name="T217" fmla="*/ T216 w 5824"/>
                              <a:gd name="T218" fmla="+- 0 6525 3045"/>
                              <a:gd name="T219" fmla="*/ 6525 h 3480"/>
                              <a:gd name="T220" fmla="+- 0 2468 1028"/>
                              <a:gd name="T221" fmla="*/ T220 w 5824"/>
                              <a:gd name="T222" fmla="+- 0 6525 3045"/>
                              <a:gd name="T223" fmla="*/ 6525 h 3480"/>
                              <a:gd name="T224" fmla="+- 0 2138 1028"/>
                              <a:gd name="T225" fmla="*/ T224 w 5824"/>
                              <a:gd name="T226" fmla="+- 0 6525 3045"/>
                              <a:gd name="T227" fmla="*/ 6525 h 3480"/>
                              <a:gd name="T228" fmla="+- 0 1808 1028"/>
                              <a:gd name="T229" fmla="*/ T228 w 5824"/>
                              <a:gd name="T230" fmla="+- 0 6525 3045"/>
                              <a:gd name="T231" fmla="*/ 6525 h 3480"/>
                              <a:gd name="T232" fmla="+- 0 1478 1028"/>
                              <a:gd name="T233" fmla="*/ T232 w 5824"/>
                              <a:gd name="T234" fmla="+- 0 6525 3045"/>
                              <a:gd name="T235" fmla="*/ 6525 h 3480"/>
                              <a:gd name="T236" fmla="+- 0 1148 1028"/>
                              <a:gd name="T237" fmla="*/ T236 w 5824"/>
                              <a:gd name="T238" fmla="+- 0 6525 3045"/>
                              <a:gd name="T239" fmla="*/ 6525 h 3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824" h="3480">
                                <a:moveTo>
                                  <a:pt x="15" y="3466"/>
                                </a:moveTo>
                                <a:lnTo>
                                  <a:pt x="8" y="3466"/>
                                </a:lnTo>
                                <a:lnTo>
                                  <a:pt x="8" y="3480"/>
                                </a:lnTo>
                                <a:lnTo>
                                  <a:pt x="76" y="3480"/>
                                </a:lnTo>
                                <a:lnTo>
                                  <a:pt x="76" y="3473"/>
                                </a:lnTo>
                                <a:lnTo>
                                  <a:pt x="15" y="3473"/>
                                </a:lnTo>
                                <a:lnTo>
                                  <a:pt x="15" y="3466"/>
                                </a:lnTo>
                                <a:close/>
                                <a:moveTo>
                                  <a:pt x="15" y="3353"/>
                                </a:moveTo>
                                <a:lnTo>
                                  <a:pt x="0" y="3353"/>
                                </a:lnTo>
                                <a:lnTo>
                                  <a:pt x="0" y="3473"/>
                                </a:lnTo>
                                <a:lnTo>
                                  <a:pt x="8" y="3473"/>
                                </a:lnTo>
                                <a:lnTo>
                                  <a:pt x="8" y="3466"/>
                                </a:lnTo>
                                <a:lnTo>
                                  <a:pt x="15" y="3466"/>
                                </a:lnTo>
                                <a:lnTo>
                                  <a:pt x="15" y="3353"/>
                                </a:lnTo>
                                <a:close/>
                                <a:moveTo>
                                  <a:pt x="76" y="3466"/>
                                </a:moveTo>
                                <a:lnTo>
                                  <a:pt x="15" y="3466"/>
                                </a:lnTo>
                                <a:lnTo>
                                  <a:pt x="15" y="3473"/>
                                </a:lnTo>
                                <a:lnTo>
                                  <a:pt x="76" y="3473"/>
                                </a:lnTo>
                                <a:lnTo>
                                  <a:pt x="76" y="3466"/>
                                </a:lnTo>
                                <a:close/>
                                <a:moveTo>
                                  <a:pt x="15" y="3189"/>
                                </a:moveTo>
                                <a:lnTo>
                                  <a:pt x="0" y="3189"/>
                                </a:lnTo>
                                <a:lnTo>
                                  <a:pt x="0" y="3309"/>
                                </a:lnTo>
                                <a:lnTo>
                                  <a:pt x="15" y="3309"/>
                                </a:lnTo>
                                <a:lnTo>
                                  <a:pt x="15" y="3189"/>
                                </a:lnTo>
                                <a:close/>
                                <a:moveTo>
                                  <a:pt x="15" y="3023"/>
                                </a:moveTo>
                                <a:lnTo>
                                  <a:pt x="0" y="3023"/>
                                </a:lnTo>
                                <a:lnTo>
                                  <a:pt x="0" y="3143"/>
                                </a:lnTo>
                                <a:lnTo>
                                  <a:pt x="15" y="3143"/>
                                </a:lnTo>
                                <a:lnTo>
                                  <a:pt x="15" y="3023"/>
                                </a:lnTo>
                                <a:close/>
                                <a:moveTo>
                                  <a:pt x="15" y="2859"/>
                                </a:moveTo>
                                <a:lnTo>
                                  <a:pt x="0" y="2859"/>
                                </a:lnTo>
                                <a:lnTo>
                                  <a:pt x="0" y="2979"/>
                                </a:lnTo>
                                <a:lnTo>
                                  <a:pt x="15" y="2979"/>
                                </a:lnTo>
                                <a:lnTo>
                                  <a:pt x="15" y="2859"/>
                                </a:lnTo>
                                <a:close/>
                                <a:moveTo>
                                  <a:pt x="15" y="2693"/>
                                </a:moveTo>
                                <a:lnTo>
                                  <a:pt x="0" y="2693"/>
                                </a:lnTo>
                                <a:lnTo>
                                  <a:pt x="0" y="2813"/>
                                </a:lnTo>
                                <a:lnTo>
                                  <a:pt x="15" y="2813"/>
                                </a:lnTo>
                                <a:lnTo>
                                  <a:pt x="15" y="2693"/>
                                </a:lnTo>
                                <a:close/>
                                <a:moveTo>
                                  <a:pt x="15" y="2529"/>
                                </a:moveTo>
                                <a:lnTo>
                                  <a:pt x="0" y="2529"/>
                                </a:lnTo>
                                <a:lnTo>
                                  <a:pt x="0" y="2649"/>
                                </a:lnTo>
                                <a:lnTo>
                                  <a:pt x="15" y="2649"/>
                                </a:lnTo>
                                <a:lnTo>
                                  <a:pt x="15" y="2529"/>
                                </a:lnTo>
                                <a:close/>
                                <a:moveTo>
                                  <a:pt x="15" y="2363"/>
                                </a:moveTo>
                                <a:lnTo>
                                  <a:pt x="0" y="2363"/>
                                </a:lnTo>
                                <a:lnTo>
                                  <a:pt x="0" y="2483"/>
                                </a:lnTo>
                                <a:lnTo>
                                  <a:pt x="15" y="2483"/>
                                </a:lnTo>
                                <a:lnTo>
                                  <a:pt x="15" y="2363"/>
                                </a:lnTo>
                                <a:close/>
                                <a:moveTo>
                                  <a:pt x="15" y="2199"/>
                                </a:moveTo>
                                <a:lnTo>
                                  <a:pt x="0" y="2199"/>
                                </a:lnTo>
                                <a:lnTo>
                                  <a:pt x="0" y="2319"/>
                                </a:lnTo>
                                <a:lnTo>
                                  <a:pt x="15" y="2319"/>
                                </a:lnTo>
                                <a:lnTo>
                                  <a:pt x="15" y="2199"/>
                                </a:lnTo>
                                <a:close/>
                                <a:moveTo>
                                  <a:pt x="15" y="2033"/>
                                </a:moveTo>
                                <a:lnTo>
                                  <a:pt x="0" y="2033"/>
                                </a:lnTo>
                                <a:lnTo>
                                  <a:pt x="0" y="2153"/>
                                </a:lnTo>
                                <a:lnTo>
                                  <a:pt x="15" y="2153"/>
                                </a:lnTo>
                                <a:lnTo>
                                  <a:pt x="15" y="2033"/>
                                </a:lnTo>
                                <a:close/>
                                <a:moveTo>
                                  <a:pt x="15" y="1869"/>
                                </a:moveTo>
                                <a:lnTo>
                                  <a:pt x="0" y="1869"/>
                                </a:lnTo>
                                <a:lnTo>
                                  <a:pt x="0" y="1989"/>
                                </a:lnTo>
                                <a:lnTo>
                                  <a:pt x="15" y="1989"/>
                                </a:lnTo>
                                <a:lnTo>
                                  <a:pt x="15" y="1869"/>
                                </a:lnTo>
                                <a:close/>
                                <a:moveTo>
                                  <a:pt x="15" y="1703"/>
                                </a:moveTo>
                                <a:lnTo>
                                  <a:pt x="0" y="1703"/>
                                </a:lnTo>
                                <a:lnTo>
                                  <a:pt x="0" y="1823"/>
                                </a:lnTo>
                                <a:lnTo>
                                  <a:pt x="15" y="1823"/>
                                </a:lnTo>
                                <a:lnTo>
                                  <a:pt x="15" y="1703"/>
                                </a:lnTo>
                                <a:close/>
                                <a:moveTo>
                                  <a:pt x="15" y="1539"/>
                                </a:moveTo>
                                <a:lnTo>
                                  <a:pt x="0" y="1539"/>
                                </a:lnTo>
                                <a:lnTo>
                                  <a:pt x="0" y="1659"/>
                                </a:lnTo>
                                <a:lnTo>
                                  <a:pt x="15" y="1659"/>
                                </a:lnTo>
                                <a:lnTo>
                                  <a:pt x="15" y="1539"/>
                                </a:lnTo>
                                <a:close/>
                                <a:moveTo>
                                  <a:pt x="15" y="1373"/>
                                </a:moveTo>
                                <a:lnTo>
                                  <a:pt x="0" y="1373"/>
                                </a:lnTo>
                                <a:lnTo>
                                  <a:pt x="0" y="1493"/>
                                </a:lnTo>
                                <a:lnTo>
                                  <a:pt x="15" y="1493"/>
                                </a:lnTo>
                                <a:lnTo>
                                  <a:pt x="15" y="1373"/>
                                </a:lnTo>
                                <a:close/>
                                <a:moveTo>
                                  <a:pt x="15" y="1209"/>
                                </a:moveTo>
                                <a:lnTo>
                                  <a:pt x="0" y="1209"/>
                                </a:lnTo>
                                <a:lnTo>
                                  <a:pt x="0" y="1329"/>
                                </a:lnTo>
                                <a:lnTo>
                                  <a:pt x="15" y="1329"/>
                                </a:lnTo>
                                <a:lnTo>
                                  <a:pt x="15" y="1209"/>
                                </a:lnTo>
                                <a:close/>
                                <a:moveTo>
                                  <a:pt x="15" y="1043"/>
                                </a:moveTo>
                                <a:lnTo>
                                  <a:pt x="0" y="1043"/>
                                </a:lnTo>
                                <a:lnTo>
                                  <a:pt x="0" y="1163"/>
                                </a:lnTo>
                                <a:lnTo>
                                  <a:pt x="15" y="1163"/>
                                </a:lnTo>
                                <a:lnTo>
                                  <a:pt x="15" y="1043"/>
                                </a:lnTo>
                                <a:close/>
                                <a:moveTo>
                                  <a:pt x="15" y="879"/>
                                </a:moveTo>
                                <a:lnTo>
                                  <a:pt x="0" y="879"/>
                                </a:lnTo>
                                <a:lnTo>
                                  <a:pt x="0" y="999"/>
                                </a:lnTo>
                                <a:lnTo>
                                  <a:pt x="15" y="999"/>
                                </a:lnTo>
                                <a:lnTo>
                                  <a:pt x="15" y="879"/>
                                </a:lnTo>
                                <a:close/>
                                <a:moveTo>
                                  <a:pt x="15" y="713"/>
                                </a:moveTo>
                                <a:lnTo>
                                  <a:pt x="0" y="713"/>
                                </a:lnTo>
                                <a:lnTo>
                                  <a:pt x="0" y="833"/>
                                </a:lnTo>
                                <a:lnTo>
                                  <a:pt x="15" y="833"/>
                                </a:lnTo>
                                <a:lnTo>
                                  <a:pt x="15" y="713"/>
                                </a:lnTo>
                                <a:close/>
                                <a:moveTo>
                                  <a:pt x="15" y="549"/>
                                </a:moveTo>
                                <a:lnTo>
                                  <a:pt x="0" y="549"/>
                                </a:lnTo>
                                <a:lnTo>
                                  <a:pt x="0" y="669"/>
                                </a:lnTo>
                                <a:lnTo>
                                  <a:pt x="15" y="669"/>
                                </a:lnTo>
                                <a:lnTo>
                                  <a:pt x="15" y="549"/>
                                </a:lnTo>
                                <a:close/>
                                <a:moveTo>
                                  <a:pt x="15" y="383"/>
                                </a:moveTo>
                                <a:lnTo>
                                  <a:pt x="0" y="383"/>
                                </a:lnTo>
                                <a:lnTo>
                                  <a:pt x="0" y="503"/>
                                </a:lnTo>
                                <a:lnTo>
                                  <a:pt x="15" y="503"/>
                                </a:lnTo>
                                <a:lnTo>
                                  <a:pt x="15" y="383"/>
                                </a:lnTo>
                                <a:close/>
                                <a:moveTo>
                                  <a:pt x="15" y="219"/>
                                </a:moveTo>
                                <a:lnTo>
                                  <a:pt x="0" y="219"/>
                                </a:lnTo>
                                <a:lnTo>
                                  <a:pt x="0" y="339"/>
                                </a:lnTo>
                                <a:lnTo>
                                  <a:pt x="15" y="339"/>
                                </a:lnTo>
                                <a:lnTo>
                                  <a:pt x="15" y="219"/>
                                </a:lnTo>
                                <a:close/>
                                <a:moveTo>
                                  <a:pt x="15" y="53"/>
                                </a:moveTo>
                                <a:lnTo>
                                  <a:pt x="0" y="53"/>
                                </a:lnTo>
                                <a:lnTo>
                                  <a:pt x="0" y="173"/>
                                </a:lnTo>
                                <a:lnTo>
                                  <a:pt x="15" y="173"/>
                                </a:lnTo>
                                <a:lnTo>
                                  <a:pt x="15" y="53"/>
                                </a:lnTo>
                                <a:close/>
                                <a:moveTo>
                                  <a:pt x="128" y="0"/>
                                </a:moveTo>
                                <a:lnTo>
                                  <a:pt x="8" y="0"/>
                                </a:lnTo>
                                <a:lnTo>
                                  <a:pt x="8" y="16"/>
                                </a:lnTo>
                                <a:lnTo>
                                  <a:pt x="128" y="16"/>
                                </a:lnTo>
                                <a:lnTo>
                                  <a:pt x="128" y="0"/>
                                </a:lnTo>
                                <a:close/>
                                <a:moveTo>
                                  <a:pt x="292" y="0"/>
                                </a:moveTo>
                                <a:lnTo>
                                  <a:pt x="172" y="0"/>
                                </a:lnTo>
                                <a:lnTo>
                                  <a:pt x="172" y="16"/>
                                </a:lnTo>
                                <a:lnTo>
                                  <a:pt x="292" y="16"/>
                                </a:lnTo>
                                <a:lnTo>
                                  <a:pt x="292" y="0"/>
                                </a:lnTo>
                                <a:close/>
                                <a:moveTo>
                                  <a:pt x="458" y="0"/>
                                </a:moveTo>
                                <a:lnTo>
                                  <a:pt x="338" y="0"/>
                                </a:lnTo>
                                <a:lnTo>
                                  <a:pt x="338" y="16"/>
                                </a:lnTo>
                                <a:lnTo>
                                  <a:pt x="458" y="16"/>
                                </a:lnTo>
                                <a:lnTo>
                                  <a:pt x="458" y="0"/>
                                </a:lnTo>
                                <a:close/>
                                <a:moveTo>
                                  <a:pt x="622" y="0"/>
                                </a:moveTo>
                                <a:lnTo>
                                  <a:pt x="502" y="0"/>
                                </a:lnTo>
                                <a:lnTo>
                                  <a:pt x="502" y="16"/>
                                </a:lnTo>
                                <a:lnTo>
                                  <a:pt x="622" y="16"/>
                                </a:lnTo>
                                <a:lnTo>
                                  <a:pt x="622" y="0"/>
                                </a:lnTo>
                                <a:close/>
                                <a:moveTo>
                                  <a:pt x="788" y="0"/>
                                </a:moveTo>
                                <a:lnTo>
                                  <a:pt x="668" y="0"/>
                                </a:lnTo>
                                <a:lnTo>
                                  <a:pt x="668" y="16"/>
                                </a:lnTo>
                                <a:lnTo>
                                  <a:pt x="788" y="16"/>
                                </a:lnTo>
                                <a:lnTo>
                                  <a:pt x="788" y="0"/>
                                </a:lnTo>
                                <a:close/>
                                <a:moveTo>
                                  <a:pt x="952" y="0"/>
                                </a:moveTo>
                                <a:lnTo>
                                  <a:pt x="832" y="0"/>
                                </a:lnTo>
                                <a:lnTo>
                                  <a:pt x="832" y="16"/>
                                </a:lnTo>
                                <a:lnTo>
                                  <a:pt x="952" y="16"/>
                                </a:lnTo>
                                <a:lnTo>
                                  <a:pt x="952" y="0"/>
                                </a:lnTo>
                                <a:close/>
                                <a:moveTo>
                                  <a:pt x="1118" y="0"/>
                                </a:moveTo>
                                <a:lnTo>
                                  <a:pt x="998" y="0"/>
                                </a:lnTo>
                                <a:lnTo>
                                  <a:pt x="998" y="16"/>
                                </a:lnTo>
                                <a:lnTo>
                                  <a:pt x="1118" y="16"/>
                                </a:lnTo>
                                <a:lnTo>
                                  <a:pt x="1118" y="0"/>
                                </a:lnTo>
                                <a:close/>
                                <a:moveTo>
                                  <a:pt x="1282" y="0"/>
                                </a:moveTo>
                                <a:lnTo>
                                  <a:pt x="1162" y="0"/>
                                </a:lnTo>
                                <a:lnTo>
                                  <a:pt x="1162" y="16"/>
                                </a:lnTo>
                                <a:lnTo>
                                  <a:pt x="1282" y="16"/>
                                </a:lnTo>
                                <a:lnTo>
                                  <a:pt x="1282" y="0"/>
                                </a:lnTo>
                                <a:close/>
                                <a:moveTo>
                                  <a:pt x="1448" y="0"/>
                                </a:moveTo>
                                <a:lnTo>
                                  <a:pt x="1328" y="0"/>
                                </a:lnTo>
                                <a:lnTo>
                                  <a:pt x="1328" y="16"/>
                                </a:lnTo>
                                <a:lnTo>
                                  <a:pt x="1448" y="16"/>
                                </a:lnTo>
                                <a:lnTo>
                                  <a:pt x="1448" y="0"/>
                                </a:lnTo>
                                <a:close/>
                                <a:moveTo>
                                  <a:pt x="1612" y="0"/>
                                </a:moveTo>
                                <a:lnTo>
                                  <a:pt x="1492" y="0"/>
                                </a:lnTo>
                                <a:lnTo>
                                  <a:pt x="1492" y="16"/>
                                </a:lnTo>
                                <a:lnTo>
                                  <a:pt x="1612" y="16"/>
                                </a:lnTo>
                                <a:lnTo>
                                  <a:pt x="1612" y="0"/>
                                </a:lnTo>
                                <a:close/>
                                <a:moveTo>
                                  <a:pt x="1778" y="0"/>
                                </a:moveTo>
                                <a:lnTo>
                                  <a:pt x="1658" y="0"/>
                                </a:lnTo>
                                <a:lnTo>
                                  <a:pt x="1658" y="16"/>
                                </a:lnTo>
                                <a:lnTo>
                                  <a:pt x="1778" y="16"/>
                                </a:lnTo>
                                <a:lnTo>
                                  <a:pt x="1778" y="0"/>
                                </a:lnTo>
                                <a:close/>
                                <a:moveTo>
                                  <a:pt x="1942" y="0"/>
                                </a:moveTo>
                                <a:lnTo>
                                  <a:pt x="1822" y="0"/>
                                </a:lnTo>
                                <a:lnTo>
                                  <a:pt x="1822" y="16"/>
                                </a:lnTo>
                                <a:lnTo>
                                  <a:pt x="1942" y="16"/>
                                </a:lnTo>
                                <a:lnTo>
                                  <a:pt x="1942" y="0"/>
                                </a:lnTo>
                                <a:close/>
                                <a:moveTo>
                                  <a:pt x="2108" y="0"/>
                                </a:moveTo>
                                <a:lnTo>
                                  <a:pt x="1988" y="0"/>
                                </a:lnTo>
                                <a:lnTo>
                                  <a:pt x="1988" y="16"/>
                                </a:lnTo>
                                <a:lnTo>
                                  <a:pt x="2108" y="16"/>
                                </a:lnTo>
                                <a:lnTo>
                                  <a:pt x="2108" y="0"/>
                                </a:lnTo>
                                <a:close/>
                                <a:moveTo>
                                  <a:pt x="2272" y="0"/>
                                </a:moveTo>
                                <a:lnTo>
                                  <a:pt x="2152" y="0"/>
                                </a:lnTo>
                                <a:lnTo>
                                  <a:pt x="2152" y="16"/>
                                </a:lnTo>
                                <a:lnTo>
                                  <a:pt x="2272" y="16"/>
                                </a:lnTo>
                                <a:lnTo>
                                  <a:pt x="2272" y="0"/>
                                </a:lnTo>
                                <a:close/>
                                <a:moveTo>
                                  <a:pt x="2438" y="0"/>
                                </a:moveTo>
                                <a:lnTo>
                                  <a:pt x="2318" y="0"/>
                                </a:lnTo>
                                <a:lnTo>
                                  <a:pt x="2318" y="16"/>
                                </a:lnTo>
                                <a:lnTo>
                                  <a:pt x="2438" y="16"/>
                                </a:lnTo>
                                <a:lnTo>
                                  <a:pt x="2438" y="0"/>
                                </a:lnTo>
                                <a:close/>
                                <a:moveTo>
                                  <a:pt x="2602" y="0"/>
                                </a:moveTo>
                                <a:lnTo>
                                  <a:pt x="2482" y="0"/>
                                </a:lnTo>
                                <a:lnTo>
                                  <a:pt x="2482" y="16"/>
                                </a:lnTo>
                                <a:lnTo>
                                  <a:pt x="2602" y="16"/>
                                </a:lnTo>
                                <a:lnTo>
                                  <a:pt x="2602" y="0"/>
                                </a:lnTo>
                                <a:close/>
                                <a:moveTo>
                                  <a:pt x="2768" y="0"/>
                                </a:moveTo>
                                <a:lnTo>
                                  <a:pt x="2648" y="0"/>
                                </a:lnTo>
                                <a:lnTo>
                                  <a:pt x="2648" y="16"/>
                                </a:lnTo>
                                <a:lnTo>
                                  <a:pt x="2768" y="16"/>
                                </a:lnTo>
                                <a:lnTo>
                                  <a:pt x="2768" y="0"/>
                                </a:lnTo>
                                <a:close/>
                                <a:moveTo>
                                  <a:pt x="2932" y="0"/>
                                </a:moveTo>
                                <a:lnTo>
                                  <a:pt x="2812" y="0"/>
                                </a:lnTo>
                                <a:lnTo>
                                  <a:pt x="2812" y="16"/>
                                </a:lnTo>
                                <a:lnTo>
                                  <a:pt x="2932" y="16"/>
                                </a:lnTo>
                                <a:lnTo>
                                  <a:pt x="2932" y="0"/>
                                </a:lnTo>
                                <a:close/>
                                <a:moveTo>
                                  <a:pt x="3098" y="0"/>
                                </a:moveTo>
                                <a:lnTo>
                                  <a:pt x="2978" y="0"/>
                                </a:lnTo>
                                <a:lnTo>
                                  <a:pt x="2978" y="16"/>
                                </a:lnTo>
                                <a:lnTo>
                                  <a:pt x="3098" y="16"/>
                                </a:lnTo>
                                <a:lnTo>
                                  <a:pt x="3098" y="0"/>
                                </a:lnTo>
                                <a:close/>
                                <a:moveTo>
                                  <a:pt x="3262" y="0"/>
                                </a:moveTo>
                                <a:lnTo>
                                  <a:pt x="3142" y="0"/>
                                </a:lnTo>
                                <a:lnTo>
                                  <a:pt x="3142" y="16"/>
                                </a:lnTo>
                                <a:lnTo>
                                  <a:pt x="3262" y="16"/>
                                </a:lnTo>
                                <a:lnTo>
                                  <a:pt x="3262" y="0"/>
                                </a:lnTo>
                                <a:close/>
                                <a:moveTo>
                                  <a:pt x="3428" y="0"/>
                                </a:moveTo>
                                <a:lnTo>
                                  <a:pt x="3308" y="0"/>
                                </a:lnTo>
                                <a:lnTo>
                                  <a:pt x="3308" y="16"/>
                                </a:lnTo>
                                <a:lnTo>
                                  <a:pt x="3428" y="16"/>
                                </a:lnTo>
                                <a:lnTo>
                                  <a:pt x="3428" y="0"/>
                                </a:lnTo>
                                <a:close/>
                                <a:moveTo>
                                  <a:pt x="3592" y="0"/>
                                </a:moveTo>
                                <a:lnTo>
                                  <a:pt x="3472" y="0"/>
                                </a:lnTo>
                                <a:lnTo>
                                  <a:pt x="3472" y="16"/>
                                </a:lnTo>
                                <a:lnTo>
                                  <a:pt x="3592" y="16"/>
                                </a:lnTo>
                                <a:lnTo>
                                  <a:pt x="3592" y="0"/>
                                </a:lnTo>
                                <a:close/>
                                <a:moveTo>
                                  <a:pt x="3758" y="0"/>
                                </a:moveTo>
                                <a:lnTo>
                                  <a:pt x="3638" y="0"/>
                                </a:lnTo>
                                <a:lnTo>
                                  <a:pt x="3638" y="16"/>
                                </a:lnTo>
                                <a:lnTo>
                                  <a:pt x="3758" y="16"/>
                                </a:lnTo>
                                <a:lnTo>
                                  <a:pt x="3758" y="0"/>
                                </a:lnTo>
                                <a:close/>
                                <a:moveTo>
                                  <a:pt x="3922" y="0"/>
                                </a:moveTo>
                                <a:lnTo>
                                  <a:pt x="3802" y="0"/>
                                </a:lnTo>
                                <a:lnTo>
                                  <a:pt x="3802" y="16"/>
                                </a:lnTo>
                                <a:lnTo>
                                  <a:pt x="3922" y="16"/>
                                </a:lnTo>
                                <a:lnTo>
                                  <a:pt x="3922" y="0"/>
                                </a:lnTo>
                                <a:close/>
                                <a:moveTo>
                                  <a:pt x="4088" y="0"/>
                                </a:moveTo>
                                <a:lnTo>
                                  <a:pt x="3968" y="0"/>
                                </a:lnTo>
                                <a:lnTo>
                                  <a:pt x="3968" y="16"/>
                                </a:lnTo>
                                <a:lnTo>
                                  <a:pt x="4088" y="16"/>
                                </a:lnTo>
                                <a:lnTo>
                                  <a:pt x="4088" y="0"/>
                                </a:lnTo>
                                <a:close/>
                                <a:moveTo>
                                  <a:pt x="4252" y="0"/>
                                </a:moveTo>
                                <a:lnTo>
                                  <a:pt x="4132" y="0"/>
                                </a:lnTo>
                                <a:lnTo>
                                  <a:pt x="4132" y="16"/>
                                </a:lnTo>
                                <a:lnTo>
                                  <a:pt x="4252" y="16"/>
                                </a:lnTo>
                                <a:lnTo>
                                  <a:pt x="4252" y="0"/>
                                </a:lnTo>
                                <a:close/>
                                <a:moveTo>
                                  <a:pt x="4418" y="0"/>
                                </a:moveTo>
                                <a:lnTo>
                                  <a:pt x="4298" y="0"/>
                                </a:lnTo>
                                <a:lnTo>
                                  <a:pt x="4298" y="16"/>
                                </a:lnTo>
                                <a:lnTo>
                                  <a:pt x="4418" y="16"/>
                                </a:lnTo>
                                <a:lnTo>
                                  <a:pt x="4418" y="0"/>
                                </a:lnTo>
                                <a:close/>
                                <a:moveTo>
                                  <a:pt x="4582" y="0"/>
                                </a:moveTo>
                                <a:lnTo>
                                  <a:pt x="4462" y="0"/>
                                </a:lnTo>
                                <a:lnTo>
                                  <a:pt x="4462" y="16"/>
                                </a:lnTo>
                                <a:lnTo>
                                  <a:pt x="4582" y="16"/>
                                </a:lnTo>
                                <a:lnTo>
                                  <a:pt x="4582" y="0"/>
                                </a:lnTo>
                                <a:close/>
                                <a:moveTo>
                                  <a:pt x="4748" y="0"/>
                                </a:moveTo>
                                <a:lnTo>
                                  <a:pt x="4628" y="0"/>
                                </a:lnTo>
                                <a:lnTo>
                                  <a:pt x="4628" y="16"/>
                                </a:lnTo>
                                <a:lnTo>
                                  <a:pt x="4748" y="16"/>
                                </a:lnTo>
                                <a:lnTo>
                                  <a:pt x="4748" y="0"/>
                                </a:lnTo>
                                <a:close/>
                                <a:moveTo>
                                  <a:pt x="4912" y="0"/>
                                </a:moveTo>
                                <a:lnTo>
                                  <a:pt x="4792" y="0"/>
                                </a:lnTo>
                                <a:lnTo>
                                  <a:pt x="4792" y="16"/>
                                </a:lnTo>
                                <a:lnTo>
                                  <a:pt x="4912" y="16"/>
                                </a:lnTo>
                                <a:lnTo>
                                  <a:pt x="4912" y="0"/>
                                </a:lnTo>
                                <a:close/>
                                <a:moveTo>
                                  <a:pt x="5078" y="0"/>
                                </a:moveTo>
                                <a:lnTo>
                                  <a:pt x="4958" y="0"/>
                                </a:lnTo>
                                <a:lnTo>
                                  <a:pt x="4958" y="16"/>
                                </a:lnTo>
                                <a:lnTo>
                                  <a:pt x="5078" y="16"/>
                                </a:lnTo>
                                <a:lnTo>
                                  <a:pt x="5078" y="0"/>
                                </a:lnTo>
                                <a:close/>
                                <a:moveTo>
                                  <a:pt x="5242" y="0"/>
                                </a:moveTo>
                                <a:lnTo>
                                  <a:pt x="5122" y="0"/>
                                </a:lnTo>
                                <a:lnTo>
                                  <a:pt x="5122" y="16"/>
                                </a:lnTo>
                                <a:lnTo>
                                  <a:pt x="5242" y="16"/>
                                </a:lnTo>
                                <a:lnTo>
                                  <a:pt x="5242" y="0"/>
                                </a:lnTo>
                                <a:close/>
                                <a:moveTo>
                                  <a:pt x="5408" y="0"/>
                                </a:moveTo>
                                <a:lnTo>
                                  <a:pt x="5288" y="0"/>
                                </a:lnTo>
                                <a:lnTo>
                                  <a:pt x="5288" y="16"/>
                                </a:lnTo>
                                <a:lnTo>
                                  <a:pt x="5408" y="16"/>
                                </a:lnTo>
                                <a:lnTo>
                                  <a:pt x="5408" y="0"/>
                                </a:lnTo>
                                <a:close/>
                                <a:moveTo>
                                  <a:pt x="5572" y="0"/>
                                </a:moveTo>
                                <a:lnTo>
                                  <a:pt x="5452" y="0"/>
                                </a:lnTo>
                                <a:lnTo>
                                  <a:pt x="5452" y="16"/>
                                </a:lnTo>
                                <a:lnTo>
                                  <a:pt x="5572" y="16"/>
                                </a:lnTo>
                                <a:lnTo>
                                  <a:pt x="5572" y="0"/>
                                </a:lnTo>
                                <a:close/>
                                <a:moveTo>
                                  <a:pt x="5738" y="0"/>
                                </a:moveTo>
                                <a:lnTo>
                                  <a:pt x="5618" y="0"/>
                                </a:lnTo>
                                <a:lnTo>
                                  <a:pt x="5618" y="16"/>
                                </a:lnTo>
                                <a:lnTo>
                                  <a:pt x="5738" y="16"/>
                                </a:lnTo>
                                <a:lnTo>
                                  <a:pt x="5738" y="0"/>
                                </a:lnTo>
                                <a:close/>
                                <a:moveTo>
                                  <a:pt x="5810" y="9"/>
                                </a:moveTo>
                                <a:lnTo>
                                  <a:pt x="5810" y="94"/>
                                </a:lnTo>
                                <a:lnTo>
                                  <a:pt x="5824" y="94"/>
                                </a:lnTo>
                                <a:lnTo>
                                  <a:pt x="5824" y="16"/>
                                </a:lnTo>
                                <a:lnTo>
                                  <a:pt x="5817" y="16"/>
                                </a:lnTo>
                                <a:lnTo>
                                  <a:pt x="5810" y="9"/>
                                </a:lnTo>
                                <a:close/>
                                <a:moveTo>
                                  <a:pt x="5820" y="0"/>
                                </a:moveTo>
                                <a:lnTo>
                                  <a:pt x="5782" y="0"/>
                                </a:lnTo>
                                <a:lnTo>
                                  <a:pt x="5782" y="16"/>
                                </a:lnTo>
                                <a:lnTo>
                                  <a:pt x="5810" y="16"/>
                                </a:lnTo>
                                <a:lnTo>
                                  <a:pt x="5810" y="9"/>
                                </a:lnTo>
                                <a:lnTo>
                                  <a:pt x="5824" y="9"/>
                                </a:lnTo>
                                <a:lnTo>
                                  <a:pt x="5824" y="4"/>
                                </a:lnTo>
                                <a:lnTo>
                                  <a:pt x="5820" y="0"/>
                                </a:lnTo>
                                <a:close/>
                                <a:moveTo>
                                  <a:pt x="5824" y="9"/>
                                </a:moveTo>
                                <a:lnTo>
                                  <a:pt x="5810" y="9"/>
                                </a:lnTo>
                                <a:lnTo>
                                  <a:pt x="5817" y="16"/>
                                </a:lnTo>
                                <a:lnTo>
                                  <a:pt x="5824" y="16"/>
                                </a:lnTo>
                                <a:lnTo>
                                  <a:pt x="5824" y="9"/>
                                </a:lnTo>
                                <a:close/>
                                <a:moveTo>
                                  <a:pt x="5824" y="139"/>
                                </a:moveTo>
                                <a:lnTo>
                                  <a:pt x="5810" y="139"/>
                                </a:lnTo>
                                <a:lnTo>
                                  <a:pt x="5810" y="259"/>
                                </a:lnTo>
                                <a:lnTo>
                                  <a:pt x="5824" y="259"/>
                                </a:lnTo>
                                <a:lnTo>
                                  <a:pt x="5824" y="139"/>
                                </a:lnTo>
                                <a:close/>
                                <a:moveTo>
                                  <a:pt x="5824" y="304"/>
                                </a:moveTo>
                                <a:lnTo>
                                  <a:pt x="5810" y="304"/>
                                </a:lnTo>
                                <a:lnTo>
                                  <a:pt x="5810" y="424"/>
                                </a:lnTo>
                                <a:lnTo>
                                  <a:pt x="5824" y="424"/>
                                </a:lnTo>
                                <a:lnTo>
                                  <a:pt x="5824" y="304"/>
                                </a:lnTo>
                                <a:close/>
                                <a:moveTo>
                                  <a:pt x="5824" y="469"/>
                                </a:moveTo>
                                <a:lnTo>
                                  <a:pt x="5810" y="469"/>
                                </a:lnTo>
                                <a:lnTo>
                                  <a:pt x="5810" y="589"/>
                                </a:lnTo>
                                <a:lnTo>
                                  <a:pt x="5824" y="589"/>
                                </a:lnTo>
                                <a:lnTo>
                                  <a:pt x="5824" y="469"/>
                                </a:lnTo>
                                <a:close/>
                                <a:moveTo>
                                  <a:pt x="5824" y="634"/>
                                </a:moveTo>
                                <a:lnTo>
                                  <a:pt x="5810" y="634"/>
                                </a:lnTo>
                                <a:lnTo>
                                  <a:pt x="5810" y="754"/>
                                </a:lnTo>
                                <a:lnTo>
                                  <a:pt x="5824" y="754"/>
                                </a:lnTo>
                                <a:lnTo>
                                  <a:pt x="5824" y="634"/>
                                </a:lnTo>
                                <a:close/>
                                <a:moveTo>
                                  <a:pt x="5824" y="799"/>
                                </a:moveTo>
                                <a:lnTo>
                                  <a:pt x="5810" y="799"/>
                                </a:lnTo>
                                <a:lnTo>
                                  <a:pt x="5810" y="919"/>
                                </a:lnTo>
                                <a:lnTo>
                                  <a:pt x="5824" y="919"/>
                                </a:lnTo>
                                <a:lnTo>
                                  <a:pt x="5824" y="799"/>
                                </a:lnTo>
                                <a:close/>
                                <a:moveTo>
                                  <a:pt x="5824" y="964"/>
                                </a:moveTo>
                                <a:lnTo>
                                  <a:pt x="5810" y="964"/>
                                </a:lnTo>
                                <a:lnTo>
                                  <a:pt x="5810" y="1084"/>
                                </a:lnTo>
                                <a:lnTo>
                                  <a:pt x="5824" y="1084"/>
                                </a:lnTo>
                                <a:lnTo>
                                  <a:pt x="5824" y="964"/>
                                </a:lnTo>
                                <a:close/>
                                <a:moveTo>
                                  <a:pt x="5824" y="1129"/>
                                </a:moveTo>
                                <a:lnTo>
                                  <a:pt x="5810" y="1129"/>
                                </a:lnTo>
                                <a:lnTo>
                                  <a:pt x="5810" y="1249"/>
                                </a:lnTo>
                                <a:lnTo>
                                  <a:pt x="5824" y="1249"/>
                                </a:lnTo>
                                <a:lnTo>
                                  <a:pt x="5824" y="1129"/>
                                </a:lnTo>
                                <a:close/>
                                <a:moveTo>
                                  <a:pt x="5824" y="1294"/>
                                </a:moveTo>
                                <a:lnTo>
                                  <a:pt x="5810" y="1294"/>
                                </a:lnTo>
                                <a:lnTo>
                                  <a:pt x="5810" y="1414"/>
                                </a:lnTo>
                                <a:lnTo>
                                  <a:pt x="5824" y="1414"/>
                                </a:lnTo>
                                <a:lnTo>
                                  <a:pt x="5824" y="1294"/>
                                </a:lnTo>
                                <a:close/>
                                <a:moveTo>
                                  <a:pt x="5824" y="1459"/>
                                </a:moveTo>
                                <a:lnTo>
                                  <a:pt x="5810" y="1459"/>
                                </a:lnTo>
                                <a:lnTo>
                                  <a:pt x="5810" y="1579"/>
                                </a:lnTo>
                                <a:lnTo>
                                  <a:pt x="5824" y="1579"/>
                                </a:lnTo>
                                <a:lnTo>
                                  <a:pt x="5824" y="1459"/>
                                </a:lnTo>
                                <a:close/>
                                <a:moveTo>
                                  <a:pt x="5824" y="1624"/>
                                </a:moveTo>
                                <a:lnTo>
                                  <a:pt x="5810" y="1624"/>
                                </a:lnTo>
                                <a:lnTo>
                                  <a:pt x="5810" y="1744"/>
                                </a:lnTo>
                                <a:lnTo>
                                  <a:pt x="5824" y="1744"/>
                                </a:lnTo>
                                <a:lnTo>
                                  <a:pt x="5824" y="1624"/>
                                </a:lnTo>
                                <a:close/>
                                <a:moveTo>
                                  <a:pt x="5824" y="1789"/>
                                </a:moveTo>
                                <a:lnTo>
                                  <a:pt x="5810" y="1789"/>
                                </a:lnTo>
                                <a:lnTo>
                                  <a:pt x="5810" y="1909"/>
                                </a:lnTo>
                                <a:lnTo>
                                  <a:pt x="5824" y="1909"/>
                                </a:lnTo>
                                <a:lnTo>
                                  <a:pt x="5824" y="1789"/>
                                </a:lnTo>
                                <a:close/>
                                <a:moveTo>
                                  <a:pt x="5824" y="1954"/>
                                </a:moveTo>
                                <a:lnTo>
                                  <a:pt x="5810" y="1954"/>
                                </a:lnTo>
                                <a:lnTo>
                                  <a:pt x="5810" y="2074"/>
                                </a:lnTo>
                                <a:lnTo>
                                  <a:pt x="5824" y="2074"/>
                                </a:lnTo>
                                <a:lnTo>
                                  <a:pt x="5824" y="1954"/>
                                </a:lnTo>
                                <a:close/>
                                <a:moveTo>
                                  <a:pt x="5824" y="2119"/>
                                </a:moveTo>
                                <a:lnTo>
                                  <a:pt x="5810" y="2119"/>
                                </a:lnTo>
                                <a:lnTo>
                                  <a:pt x="5810" y="2239"/>
                                </a:lnTo>
                                <a:lnTo>
                                  <a:pt x="5824" y="2239"/>
                                </a:lnTo>
                                <a:lnTo>
                                  <a:pt x="5824" y="2119"/>
                                </a:lnTo>
                                <a:close/>
                                <a:moveTo>
                                  <a:pt x="5824" y="2284"/>
                                </a:moveTo>
                                <a:lnTo>
                                  <a:pt x="5810" y="2284"/>
                                </a:lnTo>
                                <a:lnTo>
                                  <a:pt x="5810" y="2404"/>
                                </a:lnTo>
                                <a:lnTo>
                                  <a:pt x="5824" y="2404"/>
                                </a:lnTo>
                                <a:lnTo>
                                  <a:pt x="5824" y="2284"/>
                                </a:lnTo>
                                <a:close/>
                                <a:moveTo>
                                  <a:pt x="5824" y="2449"/>
                                </a:moveTo>
                                <a:lnTo>
                                  <a:pt x="5810" y="2449"/>
                                </a:lnTo>
                                <a:lnTo>
                                  <a:pt x="5810" y="2569"/>
                                </a:lnTo>
                                <a:lnTo>
                                  <a:pt x="5824" y="2569"/>
                                </a:lnTo>
                                <a:lnTo>
                                  <a:pt x="5824" y="2449"/>
                                </a:lnTo>
                                <a:close/>
                                <a:moveTo>
                                  <a:pt x="5824" y="2614"/>
                                </a:moveTo>
                                <a:lnTo>
                                  <a:pt x="5810" y="2614"/>
                                </a:lnTo>
                                <a:lnTo>
                                  <a:pt x="5810" y="2734"/>
                                </a:lnTo>
                                <a:lnTo>
                                  <a:pt x="5824" y="2734"/>
                                </a:lnTo>
                                <a:lnTo>
                                  <a:pt x="5824" y="2614"/>
                                </a:lnTo>
                                <a:close/>
                                <a:moveTo>
                                  <a:pt x="5824" y="2779"/>
                                </a:moveTo>
                                <a:lnTo>
                                  <a:pt x="5810" y="2779"/>
                                </a:lnTo>
                                <a:lnTo>
                                  <a:pt x="5810" y="2899"/>
                                </a:lnTo>
                                <a:lnTo>
                                  <a:pt x="5824" y="2899"/>
                                </a:lnTo>
                                <a:lnTo>
                                  <a:pt x="5824" y="2779"/>
                                </a:lnTo>
                                <a:close/>
                                <a:moveTo>
                                  <a:pt x="5824" y="2944"/>
                                </a:moveTo>
                                <a:lnTo>
                                  <a:pt x="5810" y="2944"/>
                                </a:lnTo>
                                <a:lnTo>
                                  <a:pt x="5810" y="3064"/>
                                </a:lnTo>
                                <a:lnTo>
                                  <a:pt x="5824" y="3064"/>
                                </a:lnTo>
                                <a:lnTo>
                                  <a:pt x="5824" y="2944"/>
                                </a:lnTo>
                                <a:close/>
                                <a:moveTo>
                                  <a:pt x="5824" y="3109"/>
                                </a:moveTo>
                                <a:lnTo>
                                  <a:pt x="5810" y="3109"/>
                                </a:lnTo>
                                <a:lnTo>
                                  <a:pt x="5810" y="3229"/>
                                </a:lnTo>
                                <a:lnTo>
                                  <a:pt x="5824" y="3229"/>
                                </a:lnTo>
                                <a:lnTo>
                                  <a:pt x="5824" y="3109"/>
                                </a:lnTo>
                                <a:close/>
                                <a:moveTo>
                                  <a:pt x="5824" y="3274"/>
                                </a:moveTo>
                                <a:lnTo>
                                  <a:pt x="5810" y="3274"/>
                                </a:lnTo>
                                <a:lnTo>
                                  <a:pt x="5810" y="3394"/>
                                </a:lnTo>
                                <a:lnTo>
                                  <a:pt x="5824" y="3394"/>
                                </a:lnTo>
                                <a:lnTo>
                                  <a:pt x="5824" y="3274"/>
                                </a:lnTo>
                                <a:close/>
                                <a:moveTo>
                                  <a:pt x="5810" y="3466"/>
                                </a:moveTo>
                                <a:lnTo>
                                  <a:pt x="5730" y="3466"/>
                                </a:lnTo>
                                <a:lnTo>
                                  <a:pt x="5730" y="3480"/>
                                </a:lnTo>
                                <a:lnTo>
                                  <a:pt x="5820" y="3480"/>
                                </a:lnTo>
                                <a:lnTo>
                                  <a:pt x="5824" y="3478"/>
                                </a:lnTo>
                                <a:lnTo>
                                  <a:pt x="5824" y="3473"/>
                                </a:lnTo>
                                <a:lnTo>
                                  <a:pt x="5810" y="3473"/>
                                </a:lnTo>
                                <a:lnTo>
                                  <a:pt x="5810" y="3466"/>
                                </a:lnTo>
                                <a:close/>
                                <a:moveTo>
                                  <a:pt x="5824" y="3439"/>
                                </a:moveTo>
                                <a:lnTo>
                                  <a:pt x="5810" y="3439"/>
                                </a:lnTo>
                                <a:lnTo>
                                  <a:pt x="5810" y="3473"/>
                                </a:lnTo>
                                <a:lnTo>
                                  <a:pt x="5817" y="3466"/>
                                </a:lnTo>
                                <a:lnTo>
                                  <a:pt x="5824" y="3466"/>
                                </a:lnTo>
                                <a:lnTo>
                                  <a:pt x="5824" y="3439"/>
                                </a:lnTo>
                                <a:close/>
                                <a:moveTo>
                                  <a:pt x="5824" y="3466"/>
                                </a:moveTo>
                                <a:lnTo>
                                  <a:pt x="5817" y="3466"/>
                                </a:lnTo>
                                <a:lnTo>
                                  <a:pt x="5810" y="3473"/>
                                </a:lnTo>
                                <a:lnTo>
                                  <a:pt x="5824" y="3473"/>
                                </a:lnTo>
                                <a:lnTo>
                                  <a:pt x="5824" y="3466"/>
                                </a:lnTo>
                                <a:close/>
                                <a:moveTo>
                                  <a:pt x="5686" y="3466"/>
                                </a:moveTo>
                                <a:lnTo>
                                  <a:pt x="5566" y="3466"/>
                                </a:lnTo>
                                <a:lnTo>
                                  <a:pt x="5566" y="3480"/>
                                </a:lnTo>
                                <a:lnTo>
                                  <a:pt x="5686" y="3480"/>
                                </a:lnTo>
                                <a:lnTo>
                                  <a:pt x="5686" y="3466"/>
                                </a:lnTo>
                                <a:close/>
                                <a:moveTo>
                                  <a:pt x="5520" y="3466"/>
                                </a:moveTo>
                                <a:lnTo>
                                  <a:pt x="5400" y="3466"/>
                                </a:lnTo>
                                <a:lnTo>
                                  <a:pt x="5400" y="3480"/>
                                </a:lnTo>
                                <a:lnTo>
                                  <a:pt x="5520" y="3480"/>
                                </a:lnTo>
                                <a:lnTo>
                                  <a:pt x="5520" y="3466"/>
                                </a:lnTo>
                                <a:close/>
                                <a:moveTo>
                                  <a:pt x="5356" y="3466"/>
                                </a:moveTo>
                                <a:lnTo>
                                  <a:pt x="5236" y="3466"/>
                                </a:lnTo>
                                <a:lnTo>
                                  <a:pt x="5236" y="3480"/>
                                </a:lnTo>
                                <a:lnTo>
                                  <a:pt x="5356" y="3480"/>
                                </a:lnTo>
                                <a:lnTo>
                                  <a:pt x="5356" y="3466"/>
                                </a:lnTo>
                                <a:close/>
                                <a:moveTo>
                                  <a:pt x="5190" y="3466"/>
                                </a:moveTo>
                                <a:lnTo>
                                  <a:pt x="5070" y="3466"/>
                                </a:lnTo>
                                <a:lnTo>
                                  <a:pt x="5070" y="3480"/>
                                </a:lnTo>
                                <a:lnTo>
                                  <a:pt x="5190" y="3480"/>
                                </a:lnTo>
                                <a:lnTo>
                                  <a:pt x="5190" y="3466"/>
                                </a:lnTo>
                                <a:close/>
                                <a:moveTo>
                                  <a:pt x="5026" y="3466"/>
                                </a:moveTo>
                                <a:lnTo>
                                  <a:pt x="4906" y="3466"/>
                                </a:lnTo>
                                <a:lnTo>
                                  <a:pt x="4906" y="3480"/>
                                </a:lnTo>
                                <a:lnTo>
                                  <a:pt x="5026" y="3480"/>
                                </a:lnTo>
                                <a:lnTo>
                                  <a:pt x="5026" y="3466"/>
                                </a:lnTo>
                                <a:close/>
                                <a:moveTo>
                                  <a:pt x="4860" y="3466"/>
                                </a:moveTo>
                                <a:lnTo>
                                  <a:pt x="4740" y="3466"/>
                                </a:lnTo>
                                <a:lnTo>
                                  <a:pt x="4740" y="3480"/>
                                </a:lnTo>
                                <a:lnTo>
                                  <a:pt x="4860" y="3480"/>
                                </a:lnTo>
                                <a:lnTo>
                                  <a:pt x="4860" y="3466"/>
                                </a:lnTo>
                                <a:close/>
                                <a:moveTo>
                                  <a:pt x="4696" y="3466"/>
                                </a:moveTo>
                                <a:lnTo>
                                  <a:pt x="4576" y="3466"/>
                                </a:lnTo>
                                <a:lnTo>
                                  <a:pt x="4576" y="3480"/>
                                </a:lnTo>
                                <a:lnTo>
                                  <a:pt x="4696" y="3480"/>
                                </a:lnTo>
                                <a:lnTo>
                                  <a:pt x="4696" y="3466"/>
                                </a:lnTo>
                                <a:close/>
                                <a:moveTo>
                                  <a:pt x="4530" y="3466"/>
                                </a:moveTo>
                                <a:lnTo>
                                  <a:pt x="4410" y="3466"/>
                                </a:lnTo>
                                <a:lnTo>
                                  <a:pt x="4410" y="3480"/>
                                </a:lnTo>
                                <a:lnTo>
                                  <a:pt x="4530" y="3480"/>
                                </a:lnTo>
                                <a:lnTo>
                                  <a:pt x="4530" y="3466"/>
                                </a:lnTo>
                                <a:close/>
                                <a:moveTo>
                                  <a:pt x="4366" y="3466"/>
                                </a:moveTo>
                                <a:lnTo>
                                  <a:pt x="4246" y="3466"/>
                                </a:lnTo>
                                <a:lnTo>
                                  <a:pt x="4246" y="3480"/>
                                </a:lnTo>
                                <a:lnTo>
                                  <a:pt x="4366" y="3480"/>
                                </a:lnTo>
                                <a:lnTo>
                                  <a:pt x="4366" y="3466"/>
                                </a:lnTo>
                                <a:close/>
                                <a:moveTo>
                                  <a:pt x="4200" y="3466"/>
                                </a:moveTo>
                                <a:lnTo>
                                  <a:pt x="4080" y="3466"/>
                                </a:lnTo>
                                <a:lnTo>
                                  <a:pt x="4080" y="3480"/>
                                </a:lnTo>
                                <a:lnTo>
                                  <a:pt x="4200" y="3480"/>
                                </a:lnTo>
                                <a:lnTo>
                                  <a:pt x="4200" y="3466"/>
                                </a:lnTo>
                                <a:close/>
                                <a:moveTo>
                                  <a:pt x="4036" y="3466"/>
                                </a:moveTo>
                                <a:lnTo>
                                  <a:pt x="3916" y="3466"/>
                                </a:lnTo>
                                <a:lnTo>
                                  <a:pt x="3916" y="3480"/>
                                </a:lnTo>
                                <a:lnTo>
                                  <a:pt x="4036" y="3480"/>
                                </a:lnTo>
                                <a:lnTo>
                                  <a:pt x="4036" y="3466"/>
                                </a:lnTo>
                                <a:close/>
                                <a:moveTo>
                                  <a:pt x="3870" y="3466"/>
                                </a:moveTo>
                                <a:lnTo>
                                  <a:pt x="3750" y="3466"/>
                                </a:lnTo>
                                <a:lnTo>
                                  <a:pt x="3750" y="3480"/>
                                </a:lnTo>
                                <a:lnTo>
                                  <a:pt x="3870" y="3480"/>
                                </a:lnTo>
                                <a:lnTo>
                                  <a:pt x="3870" y="3466"/>
                                </a:lnTo>
                                <a:close/>
                                <a:moveTo>
                                  <a:pt x="3706" y="3466"/>
                                </a:moveTo>
                                <a:lnTo>
                                  <a:pt x="3586" y="3466"/>
                                </a:lnTo>
                                <a:lnTo>
                                  <a:pt x="3586" y="3480"/>
                                </a:lnTo>
                                <a:lnTo>
                                  <a:pt x="3706" y="3480"/>
                                </a:lnTo>
                                <a:lnTo>
                                  <a:pt x="3706" y="3466"/>
                                </a:lnTo>
                                <a:close/>
                                <a:moveTo>
                                  <a:pt x="3540" y="3466"/>
                                </a:moveTo>
                                <a:lnTo>
                                  <a:pt x="3420" y="3466"/>
                                </a:lnTo>
                                <a:lnTo>
                                  <a:pt x="3420" y="3480"/>
                                </a:lnTo>
                                <a:lnTo>
                                  <a:pt x="3540" y="3480"/>
                                </a:lnTo>
                                <a:lnTo>
                                  <a:pt x="3540" y="3466"/>
                                </a:lnTo>
                                <a:close/>
                                <a:moveTo>
                                  <a:pt x="3376" y="3466"/>
                                </a:moveTo>
                                <a:lnTo>
                                  <a:pt x="3256" y="3466"/>
                                </a:lnTo>
                                <a:lnTo>
                                  <a:pt x="3256" y="3480"/>
                                </a:lnTo>
                                <a:lnTo>
                                  <a:pt x="3376" y="3480"/>
                                </a:lnTo>
                                <a:lnTo>
                                  <a:pt x="3376" y="3466"/>
                                </a:lnTo>
                                <a:close/>
                                <a:moveTo>
                                  <a:pt x="3210" y="3466"/>
                                </a:moveTo>
                                <a:lnTo>
                                  <a:pt x="3090" y="3466"/>
                                </a:lnTo>
                                <a:lnTo>
                                  <a:pt x="3090" y="3480"/>
                                </a:lnTo>
                                <a:lnTo>
                                  <a:pt x="3210" y="3480"/>
                                </a:lnTo>
                                <a:lnTo>
                                  <a:pt x="3210" y="3466"/>
                                </a:lnTo>
                                <a:close/>
                                <a:moveTo>
                                  <a:pt x="3046" y="3466"/>
                                </a:moveTo>
                                <a:lnTo>
                                  <a:pt x="2926" y="3466"/>
                                </a:lnTo>
                                <a:lnTo>
                                  <a:pt x="2926" y="3480"/>
                                </a:lnTo>
                                <a:lnTo>
                                  <a:pt x="3046" y="3480"/>
                                </a:lnTo>
                                <a:lnTo>
                                  <a:pt x="3046" y="3466"/>
                                </a:lnTo>
                                <a:close/>
                                <a:moveTo>
                                  <a:pt x="2880" y="3466"/>
                                </a:moveTo>
                                <a:lnTo>
                                  <a:pt x="2760" y="3466"/>
                                </a:lnTo>
                                <a:lnTo>
                                  <a:pt x="2760" y="3480"/>
                                </a:lnTo>
                                <a:lnTo>
                                  <a:pt x="2880" y="3480"/>
                                </a:lnTo>
                                <a:lnTo>
                                  <a:pt x="2880" y="3466"/>
                                </a:lnTo>
                                <a:close/>
                                <a:moveTo>
                                  <a:pt x="2716" y="3466"/>
                                </a:moveTo>
                                <a:lnTo>
                                  <a:pt x="2596" y="3466"/>
                                </a:lnTo>
                                <a:lnTo>
                                  <a:pt x="2596" y="3480"/>
                                </a:lnTo>
                                <a:lnTo>
                                  <a:pt x="2716" y="3480"/>
                                </a:lnTo>
                                <a:lnTo>
                                  <a:pt x="2716" y="3466"/>
                                </a:lnTo>
                                <a:close/>
                                <a:moveTo>
                                  <a:pt x="2550" y="3466"/>
                                </a:moveTo>
                                <a:lnTo>
                                  <a:pt x="2430" y="3466"/>
                                </a:lnTo>
                                <a:lnTo>
                                  <a:pt x="2430" y="3480"/>
                                </a:lnTo>
                                <a:lnTo>
                                  <a:pt x="2550" y="3480"/>
                                </a:lnTo>
                                <a:lnTo>
                                  <a:pt x="2550" y="3466"/>
                                </a:lnTo>
                                <a:close/>
                                <a:moveTo>
                                  <a:pt x="2386" y="3466"/>
                                </a:moveTo>
                                <a:lnTo>
                                  <a:pt x="2266" y="3466"/>
                                </a:lnTo>
                                <a:lnTo>
                                  <a:pt x="2266" y="3480"/>
                                </a:lnTo>
                                <a:lnTo>
                                  <a:pt x="2386" y="3480"/>
                                </a:lnTo>
                                <a:lnTo>
                                  <a:pt x="2386" y="3466"/>
                                </a:lnTo>
                                <a:close/>
                                <a:moveTo>
                                  <a:pt x="2220" y="3466"/>
                                </a:moveTo>
                                <a:lnTo>
                                  <a:pt x="2100" y="3466"/>
                                </a:lnTo>
                                <a:lnTo>
                                  <a:pt x="2100" y="3480"/>
                                </a:lnTo>
                                <a:lnTo>
                                  <a:pt x="2220" y="3480"/>
                                </a:lnTo>
                                <a:lnTo>
                                  <a:pt x="2220" y="3466"/>
                                </a:lnTo>
                                <a:close/>
                                <a:moveTo>
                                  <a:pt x="2056" y="3466"/>
                                </a:moveTo>
                                <a:lnTo>
                                  <a:pt x="1936" y="3466"/>
                                </a:lnTo>
                                <a:lnTo>
                                  <a:pt x="1936" y="3480"/>
                                </a:lnTo>
                                <a:lnTo>
                                  <a:pt x="2056" y="3480"/>
                                </a:lnTo>
                                <a:lnTo>
                                  <a:pt x="2056" y="3466"/>
                                </a:lnTo>
                                <a:close/>
                                <a:moveTo>
                                  <a:pt x="1890" y="3466"/>
                                </a:moveTo>
                                <a:lnTo>
                                  <a:pt x="1770" y="3466"/>
                                </a:lnTo>
                                <a:lnTo>
                                  <a:pt x="1770" y="3480"/>
                                </a:lnTo>
                                <a:lnTo>
                                  <a:pt x="1890" y="3480"/>
                                </a:lnTo>
                                <a:lnTo>
                                  <a:pt x="1890" y="3466"/>
                                </a:lnTo>
                                <a:close/>
                                <a:moveTo>
                                  <a:pt x="1726" y="3466"/>
                                </a:moveTo>
                                <a:lnTo>
                                  <a:pt x="1606" y="3466"/>
                                </a:lnTo>
                                <a:lnTo>
                                  <a:pt x="1606" y="3480"/>
                                </a:lnTo>
                                <a:lnTo>
                                  <a:pt x="1726" y="3480"/>
                                </a:lnTo>
                                <a:lnTo>
                                  <a:pt x="1726" y="3466"/>
                                </a:lnTo>
                                <a:close/>
                                <a:moveTo>
                                  <a:pt x="1560" y="3466"/>
                                </a:moveTo>
                                <a:lnTo>
                                  <a:pt x="1440" y="3466"/>
                                </a:lnTo>
                                <a:lnTo>
                                  <a:pt x="1440" y="3480"/>
                                </a:lnTo>
                                <a:lnTo>
                                  <a:pt x="1560" y="3480"/>
                                </a:lnTo>
                                <a:lnTo>
                                  <a:pt x="1560" y="3466"/>
                                </a:lnTo>
                                <a:close/>
                                <a:moveTo>
                                  <a:pt x="1396" y="3466"/>
                                </a:moveTo>
                                <a:lnTo>
                                  <a:pt x="1276" y="3466"/>
                                </a:lnTo>
                                <a:lnTo>
                                  <a:pt x="1276" y="3480"/>
                                </a:lnTo>
                                <a:lnTo>
                                  <a:pt x="1396" y="3480"/>
                                </a:lnTo>
                                <a:lnTo>
                                  <a:pt x="1396" y="3466"/>
                                </a:lnTo>
                                <a:close/>
                                <a:moveTo>
                                  <a:pt x="1230" y="3466"/>
                                </a:moveTo>
                                <a:lnTo>
                                  <a:pt x="1110" y="3466"/>
                                </a:lnTo>
                                <a:lnTo>
                                  <a:pt x="1110" y="3480"/>
                                </a:lnTo>
                                <a:lnTo>
                                  <a:pt x="1230" y="3480"/>
                                </a:lnTo>
                                <a:lnTo>
                                  <a:pt x="1230" y="3466"/>
                                </a:lnTo>
                                <a:close/>
                                <a:moveTo>
                                  <a:pt x="1066" y="3466"/>
                                </a:moveTo>
                                <a:lnTo>
                                  <a:pt x="946" y="3466"/>
                                </a:lnTo>
                                <a:lnTo>
                                  <a:pt x="946" y="3480"/>
                                </a:lnTo>
                                <a:lnTo>
                                  <a:pt x="1066" y="3480"/>
                                </a:lnTo>
                                <a:lnTo>
                                  <a:pt x="1066" y="3466"/>
                                </a:lnTo>
                                <a:close/>
                                <a:moveTo>
                                  <a:pt x="900" y="3466"/>
                                </a:moveTo>
                                <a:lnTo>
                                  <a:pt x="780" y="3466"/>
                                </a:lnTo>
                                <a:lnTo>
                                  <a:pt x="780" y="3480"/>
                                </a:lnTo>
                                <a:lnTo>
                                  <a:pt x="900" y="3480"/>
                                </a:lnTo>
                                <a:lnTo>
                                  <a:pt x="900" y="3466"/>
                                </a:lnTo>
                                <a:close/>
                                <a:moveTo>
                                  <a:pt x="736" y="3466"/>
                                </a:moveTo>
                                <a:lnTo>
                                  <a:pt x="616" y="3466"/>
                                </a:lnTo>
                                <a:lnTo>
                                  <a:pt x="616" y="3480"/>
                                </a:lnTo>
                                <a:lnTo>
                                  <a:pt x="736" y="3480"/>
                                </a:lnTo>
                                <a:lnTo>
                                  <a:pt x="736" y="3466"/>
                                </a:lnTo>
                                <a:close/>
                                <a:moveTo>
                                  <a:pt x="570" y="3466"/>
                                </a:moveTo>
                                <a:lnTo>
                                  <a:pt x="450" y="3466"/>
                                </a:lnTo>
                                <a:lnTo>
                                  <a:pt x="450" y="3480"/>
                                </a:lnTo>
                                <a:lnTo>
                                  <a:pt x="570" y="3480"/>
                                </a:lnTo>
                                <a:lnTo>
                                  <a:pt x="570" y="3466"/>
                                </a:lnTo>
                                <a:close/>
                                <a:moveTo>
                                  <a:pt x="406" y="3466"/>
                                </a:moveTo>
                                <a:lnTo>
                                  <a:pt x="286" y="3466"/>
                                </a:lnTo>
                                <a:lnTo>
                                  <a:pt x="286" y="3480"/>
                                </a:lnTo>
                                <a:lnTo>
                                  <a:pt x="406" y="3480"/>
                                </a:lnTo>
                                <a:lnTo>
                                  <a:pt x="406" y="3466"/>
                                </a:lnTo>
                                <a:close/>
                                <a:moveTo>
                                  <a:pt x="240" y="3466"/>
                                </a:moveTo>
                                <a:lnTo>
                                  <a:pt x="120" y="3466"/>
                                </a:lnTo>
                                <a:lnTo>
                                  <a:pt x="120" y="3480"/>
                                </a:lnTo>
                                <a:lnTo>
                                  <a:pt x="240" y="3480"/>
                                </a:lnTo>
                                <a:lnTo>
                                  <a:pt x="240" y="3466"/>
                                </a:lnTo>
                                <a:close/>
                              </a:path>
                            </a:pathLst>
                          </a:custGeom>
                          <a:solidFill>
                            <a:srgbClr val="0081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1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695" y="4283"/>
                            <a:ext cx="2026" cy="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AutoShape 148"/>
                        <wps:cNvSpPr>
                          <a:spLocks/>
                        </wps:cNvSpPr>
                        <wps:spPr bwMode="auto">
                          <a:xfrm>
                            <a:off x="4693" y="4281"/>
                            <a:ext cx="2031" cy="906"/>
                          </a:xfrm>
                          <a:custGeom>
                            <a:avLst/>
                            <a:gdLst>
                              <a:gd name="T0" fmla="+- 0 6724 4693"/>
                              <a:gd name="T1" fmla="*/ T0 w 2031"/>
                              <a:gd name="T2" fmla="+- 0 4281 4281"/>
                              <a:gd name="T3" fmla="*/ 4281 h 906"/>
                              <a:gd name="T4" fmla="+- 0 4693 4693"/>
                              <a:gd name="T5" fmla="*/ T4 w 2031"/>
                              <a:gd name="T6" fmla="+- 0 4281 4281"/>
                              <a:gd name="T7" fmla="*/ 4281 h 906"/>
                              <a:gd name="T8" fmla="+- 0 4693 4693"/>
                              <a:gd name="T9" fmla="*/ T8 w 2031"/>
                              <a:gd name="T10" fmla="+- 0 5186 4281"/>
                              <a:gd name="T11" fmla="*/ 5186 h 906"/>
                              <a:gd name="T12" fmla="+- 0 4694 4693"/>
                              <a:gd name="T13" fmla="*/ T12 w 2031"/>
                              <a:gd name="T14" fmla="+- 0 5187 4281"/>
                              <a:gd name="T15" fmla="*/ 5187 h 906"/>
                              <a:gd name="T16" fmla="+- 0 6722 4693"/>
                              <a:gd name="T17" fmla="*/ T16 w 2031"/>
                              <a:gd name="T18" fmla="+- 0 5187 4281"/>
                              <a:gd name="T19" fmla="*/ 5187 h 906"/>
                              <a:gd name="T20" fmla="+- 0 6724 4693"/>
                              <a:gd name="T21" fmla="*/ T20 w 2031"/>
                              <a:gd name="T22" fmla="+- 0 5186 4281"/>
                              <a:gd name="T23" fmla="*/ 5186 h 906"/>
                              <a:gd name="T24" fmla="+- 0 6724 4693"/>
                              <a:gd name="T25" fmla="*/ T24 w 2031"/>
                              <a:gd name="T26" fmla="+- 0 5185 4281"/>
                              <a:gd name="T27" fmla="*/ 5185 h 906"/>
                              <a:gd name="T28" fmla="+- 0 4698 4693"/>
                              <a:gd name="T29" fmla="*/ T28 w 2031"/>
                              <a:gd name="T30" fmla="+- 0 5185 4281"/>
                              <a:gd name="T31" fmla="*/ 5185 h 906"/>
                              <a:gd name="T32" fmla="+- 0 4696 4693"/>
                              <a:gd name="T33" fmla="*/ T32 w 2031"/>
                              <a:gd name="T34" fmla="+- 0 5182 4281"/>
                              <a:gd name="T35" fmla="*/ 5182 h 906"/>
                              <a:gd name="T36" fmla="+- 0 4698 4693"/>
                              <a:gd name="T37" fmla="*/ T36 w 2031"/>
                              <a:gd name="T38" fmla="+- 0 5182 4281"/>
                              <a:gd name="T39" fmla="*/ 5182 h 906"/>
                              <a:gd name="T40" fmla="+- 0 4698 4693"/>
                              <a:gd name="T41" fmla="*/ T40 w 2031"/>
                              <a:gd name="T42" fmla="+- 0 4286 4281"/>
                              <a:gd name="T43" fmla="*/ 4286 h 906"/>
                              <a:gd name="T44" fmla="+- 0 4696 4693"/>
                              <a:gd name="T45" fmla="*/ T44 w 2031"/>
                              <a:gd name="T46" fmla="+- 0 4286 4281"/>
                              <a:gd name="T47" fmla="*/ 4286 h 906"/>
                              <a:gd name="T48" fmla="+- 0 4698 4693"/>
                              <a:gd name="T49" fmla="*/ T48 w 2031"/>
                              <a:gd name="T50" fmla="+- 0 4284 4281"/>
                              <a:gd name="T51" fmla="*/ 4284 h 906"/>
                              <a:gd name="T52" fmla="+- 0 6724 4693"/>
                              <a:gd name="T53" fmla="*/ T52 w 2031"/>
                              <a:gd name="T54" fmla="+- 0 4284 4281"/>
                              <a:gd name="T55" fmla="*/ 4284 h 906"/>
                              <a:gd name="T56" fmla="+- 0 6724 4693"/>
                              <a:gd name="T57" fmla="*/ T56 w 2031"/>
                              <a:gd name="T58" fmla="+- 0 4281 4281"/>
                              <a:gd name="T59" fmla="*/ 4281 h 906"/>
                              <a:gd name="T60" fmla="+- 0 4698 4693"/>
                              <a:gd name="T61" fmla="*/ T60 w 2031"/>
                              <a:gd name="T62" fmla="+- 0 5182 4281"/>
                              <a:gd name="T63" fmla="*/ 5182 h 906"/>
                              <a:gd name="T64" fmla="+- 0 4696 4693"/>
                              <a:gd name="T65" fmla="*/ T64 w 2031"/>
                              <a:gd name="T66" fmla="+- 0 5182 4281"/>
                              <a:gd name="T67" fmla="*/ 5182 h 906"/>
                              <a:gd name="T68" fmla="+- 0 4698 4693"/>
                              <a:gd name="T69" fmla="*/ T68 w 2031"/>
                              <a:gd name="T70" fmla="+- 0 5185 4281"/>
                              <a:gd name="T71" fmla="*/ 5185 h 906"/>
                              <a:gd name="T72" fmla="+- 0 4698 4693"/>
                              <a:gd name="T73" fmla="*/ T72 w 2031"/>
                              <a:gd name="T74" fmla="+- 0 5182 4281"/>
                              <a:gd name="T75" fmla="*/ 5182 h 906"/>
                              <a:gd name="T76" fmla="+- 0 6719 4693"/>
                              <a:gd name="T77" fmla="*/ T76 w 2031"/>
                              <a:gd name="T78" fmla="+- 0 5182 4281"/>
                              <a:gd name="T79" fmla="*/ 5182 h 906"/>
                              <a:gd name="T80" fmla="+- 0 4698 4693"/>
                              <a:gd name="T81" fmla="*/ T80 w 2031"/>
                              <a:gd name="T82" fmla="+- 0 5182 4281"/>
                              <a:gd name="T83" fmla="*/ 5182 h 906"/>
                              <a:gd name="T84" fmla="+- 0 4698 4693"/>
                              <a:gd name="T85" fmla="*/ T84 w 2031"/>
                              <a:gd name="T86" fmla="+- 0 5185 4281"/>
                              <a:gd name="T87" fmla="*/ 5185 h 906"/>
                              <a:gd name="T88" fmla="+- 0 6719 4693"/>
                              <a:gd name="T89" fmla="*/ T88 w 2031"/>
                              <a:gd name="T90" fmla="+- 0 5185 4281"/>
                              <a:gd name="T91" fmla="*/ 5185 h 906"/>
                              <a:gd name="T92" fmla="+- 0 6719 4693"/>
                              <a:gd name="T93" fmla="*/ T92 w 2031"/>
                              <a:gd name="T94" fmla="+- 0 5182 4281"/>
                              <a:gd name="T95" fmla="*/ 5182 h 906"/>
                              <a:gd name="T96" fmla="+- 0 6719 4693"/>
                              <a:gd name="T97" fmla="*/ T96 w 2031"/>
                              <a:gd name="T98" fmla="+- 0 4284 4281"/>
                              <a:gd name="T99" fmla="*/ 4284 h 906"/>
                              <a:gd name="T100" fmla="+- 0 6719 4693"/>
                              <a:gd name="T101" fmla="*/ T100 w 2031"/>
                              <a:gd name="T102" fmla="+- 0 5185 4281"/>
                              <a:gd name="T103" fmla="*/ 5185 h 906"/>
                              <a:gd name="T104" fmla="+- 0 6721 4693"/>
                              <a:gd name="T105" fmla="*/ T104 w 2031"/>
                              <a:gd name="T106" fmla="+- 0 5182 4281"/>
                              <a:gd name="T107" fmla="*/ 5182 h 906"/>
                              <a:gd name="T108" fmla="+- 0 6724 4693"/>
                              <a:gd name="T109" fmla="*/ T108 w 2031"/>
                              <a:gd name="T110" fmla="+- 0 5182 4281"/>
                              <a:gd name="T111" fmla="*/ 5182 h 906"/>
                              <a:gd name="T112" fmla="+- 0 6724 4693"/>
                              <a:gd name="T113" fmla="*/ T112 w 2031"/>
                              <a:gd name="T114" fmla="+- 0 4286 4281"/>
                              <a:gd name="T115" fmla="*/ 4286 h 906"/>
                              <a:gd name="T116" fmla="+- 0 6721 4693"/>
                              <a:gd name="T117" fmla="*/ T116 w 2031"/>
                              <a:gd name="T118" fmla="+- 0 4286 4281"/>
                              <a:gd name="T119" fmla="*/ 4286 h 906"/>
                              <a:gd name="T120" fmla="+- 0 6719 4693"/>
                              <a:gd name="T121" fmla="*/ T120 w 2031"/>
                              <a:gd name="T122" fmla="+- 0 4284 4281"/>
                              <a:gd name="T123" fmla="*/ 4284 h 906"/>
                              <a:gd name="T124" fmla="+- 0 6724 4693"/>
                              <a:gd name="T125" fmla="*/ T124 w 2031"/>
                              <a:gd name="T126" fmla="+- 0 5182 4281"/>
                              <a:gd name="T127" fmla="*/ 5182 h 906"/>
                              <a:gd name="T128" fmla="+- 0 6721 4693"/>
                              <a:gd name="T129" fmla="*/ T128 w 2031"/>
                              <a:gd name="T130" fmla="+- 0 5182 4281"/>
                              <a:gd name="T131" fmla="*/ 5182 h 906"/>
                              <a:gd name="T132" fmla="+- 0 6719 4693"/>
                              <a:gd name="T133" fmla="*/ T132 w 2031"/>
                              <a:gd name="T134" fmla="+- 0 5185 4281"/>
                              <a:gd name="T135" fmla="*/ 5185 h 906"/>
                              <a:gd name="T136" fmla="+- 0 6724 4693"/>
                              <a:gd name="T137" fmla="*/ T136 w 2031"/>
                              <a:gd name="T138" fmla="+- 0 5185 4281"/>
                              <a:gd name="T139" fmla="*/ 5185 h 906"/>
                              <a:gd name="T140" fmla="+- 0 6724 4693"/>
                              <a:gd name="T141" fmla="*/ T140 w 2031"/>
                              <a:gd name="T142" fmla="+- 0 5182 4281"/>
                              <a:gd name="T143" fmla="*/ 5182 h 906"/>
                              <a:gd name="T144" fmla="+- 0 4698 4693"/>
                              <a:gd name="T145" fmla="*/ T144 w 2031"/>
                              <a:gd name="T146" fmla="+- 0 4284 4281"/>
                              <a:gd name="T147" fmla="*/ 4284 h 906"/>
                              <a:gd name="T148" fmla="+- 0 4696 4693"/>
                              <a:gd name="T149" fmla="*/ T148 w 2031"/>
                              <a:gd name="T150" fmla="+- 0 4286 4281"/>
                              <a:gd name="T151" fmla="*/ 4286 h 906"/>
                              <a:gd name="T152" fmla="+- 0 4698 4693"/>
                              <a:gd name="T153" fmla="*/ T152 w 2031"/>
                              <a:gd name="T154" fmla="+- 0 4286 4281"/>
                              <a:gd name="T155" fmla="*/ 4286 h 906"/>
                              <a:gd name="T156" fmla="+- 0 4698 4693"/>
                              <a:gd name="T157" fmla="*/ T156 w 2031"/>
                              <a:gd name="T158" fmla="+- 0 4284 4281"/>
                              <a:gd name="T159" fmla="*/ 4284 h 906"/>
                              <a:gd name="T160" fmla="+- 0 6719 4693"/>
                              <a:gd name="T161" fmla="*/ T160 w 2031"/>
                              <a:gd name="T162" fmla="+- 0 4284 4281"/>
                              <a:gd name="T163" fmla="*/ 4284 h 906"/>
                              <a:gd name="T164" fmla="+- 0 4698 4693"/>
                              <a:gd name="T165" fmla="*/ T164 w 2031"/>
                              <a:gd name="T166" fmla="+- 0 4284 4281"/>
                              <a:gd name="T167" fmla="*/ 4284 h 906"/>
                              <a:gd name="T168" fmla="+- 0 4698 4693"/>
                              <a:gd name="T169" fmla="*/ T168 w 2031"/>
                              <a:gd name="T170" fmla="+- 0 4286 4281"/>
                              <a:gd name="T171" fmla="*/ 4286 h 906"/>
                              <a:gd name="T172" fmla="+- 0 6719 4693"/>
                              <a:gd name="T173" fmla="*/ T172 w 2031"/>
                              <a:gd name="T174" fmla="+- 0 4286 4281"/>
                              <a:gd name="T175" fmla="*/ 4286 h 906"/>
                              <a:gd name="T176" fmla="+- 0 6719 4693"/>
                              <a:gd name="T177" fmla="*/ T176 w 2031"/>
                              <a:gd name="T178" fmla="+- 0 4284 4281"/>
                              <a:gd name="T179" fmla="*/ 4284 h 906"/>
                              <a:gd name="T180" fmla="+- 0 6724 4693"/>
                              <a:gd name="T181" fmla="*/ T180 w 2031"/>
                              <a:gd name="T182" fmla="+- 0 4284 4281"/>
                              <a:gd name="T183" fmla="*/ 4284 h 906"/>
                              <a:gd name="T184" fmla="+- 0 6719 4693"/>
                              <a:gd name="T185" fmla="*/ T184 w 2031"/>
                              <a:gd name="T186" fmla="+- 0 4284 4281"/>
                              <a:gd name="T187" fmla="*/ 4284 h 906"/>
                              <a:gd name="T188" fmla="+- 0 6721 4693"/>
                              <a:gd name="T189" fmla="*/ T188 w 2031"/>
                              <a:gd name="T190" fmla="+- 0 4286 4281"/>
                              <a:gd name="T191" fmla="*/ 4286 h 906"/>
                              <a:gd name="T192" fmla="+- 0 6724 4693"/>
                              <a:gd name="T193" fmla="*/ T192 w 2031"/>
                              <a:gd name="T194" fmla="+- 0 4286 4281"/>
                              <a:gd name="T195" fmla="*/ 4286 h 906"/>
                              <a:gd name="T196" fmla="+- 0 6724 4693"/>
                              <a:gd name="T197" fmla="*/ T196 w 2031"/>
                              <a:gd name="T198" fmla="+- 0 4284 4281"/>
                              <a:gd name="T199" fmla="*/ 4284 h 9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031" h="906">
                                <a:moveTo>
                                  <a:pt x="2031" y="0"/>
                                </a:moveTo>
                                <a:lnTo>
                                  <a:pt x="0" y="0"/>
                                </a:lnTo>
                                <a:lnTo>
                                  <a:pt x="0" y="905"/>
                                </a:lnTo>
                                <a:lnTo>
                                  <a:pt x="1" y="906"/>
                                </a:lnTo>
                                <a:lnTo>
                                  <a:pt x="2029" y="906"/>
                                </a:lnTo>
                                <a:lnTo>
                                  <a:pt x="2031" y="905"/>
                                </a:lnTo>
                                <a:lnTo>
                                  <a:pt x="2031" y="904"/>
                                </a:lnTo>
                                <a:lnTo>
                                  <a:pt x="5" y="904"/>
                                </a:lnTo>
                                <a:lnTo>
                                  <a:pt x="3" y="901"/>
                                </a:lnTo>
                                <a:lnTo>
                                  <a:pt x="5" y="901"/>
                                </a:lnTo>
                                <a:lnTo>
                                  <a:pt x="5" y="5"/>
                                </a:lnTo>
                                <a:lnTo>
                                  <a:pt x="3" y="5"/>
                                </a:lnTo>
                                <a:lnTo>
                                  <a:pt x="5" y="3"/>
                                </a:lnTo>
                                <a:lnTo>
                                  <a:pt x="2031" y="3"/>
                                </a:lnTo>
                                <a:lnTo>
                                  <a:pt x="2031" y="0"/>
                                </a:lnTo>
                                <a:close/>
                                <a:moveTo>
                                  <a:pt x="5" y="901"/>
                                </a:moveTo>
                                <a:lnTo>
                                  <a:pt x="3" y="901"/>
                                </a:lnTo>
                                <a:lnTo>
                                  <a:pt x="5" y="904"/>
                                </a:lnTo>
                                <a:lnTo>
                                  <a:pt x="5" y="901"/>
                                </a:lnTo>
                                <a:close/>
                                <a:moveTo>
                                  <a:pt x="2026" y="901"/>
                                </a:moveTo>
                                <a:lnTo>
                                  <a:pt x="5" y="901"/>
                                </a:lnTo>
                                <a:lnTo>
                                  <a:pt x="5" y="904"/>
                                </a:lnTo>
                                <a:lnTo>
                                  <a:pt x="2026" y="904"/>
                                </a:lnTo>
                                <a:lnTo>
                                  <a:pt x="2026" y="901"/>
                                </a:lnTo>
                                <a:close/>
                                <a:moveTo>
                                  <a:pt x="2026" y="3"/>
                                </a:moveTo>
                                <a:lnTo>
                                  <a:pt x="2026" y="904"/>
                                </a:lnTo>
                                <a:lnTo>
                                  <a:pt x="2028" y="901"/>
                                </a:lnTo>
                                <a:lnTo>
                                  <a:pt x="2031" y="901"/>
                                </a:lnTo>
                                <a:lnTo>
                                  <a:pt x="2031" y="5"/>
                                </a:lnTo>
                                <a:lnTo>
                                  <a:pt x="2028" y="5"/>
                                </a:lnTo>
                                <a:lnTo>
                                  <a:pt x="2026" y="3"/>
                                </a:lnTo>
                                <a:close/>
                                <a:moveTo>
                                  <a:pt x="2031" y="901"/>
                                </a:moveTo>
                                <a:lnTo>
                                  <a:pt x="2028" y="901"/>
                                </a:lnTo>
                                <a:lnTo>
                                  <a:pt x="2026" y="904"/>
                                </a:lnTo>
                                <a:lnTo>
                                  <a:pt x="2031" y="904"/>
                                </a:lnTo>
                                <a:lnTo>
                                  <a:pt x="2031" y="901"/>
                                </a:lnTo>
                                <a:close/>
                                <a:moveTo>
                                  <a:pt x="5" y="3"/>
                                </a:moveTo>
                                <a:lnTo>
                                  <a:pt x="3" y="5"/>
                                </a:lnTo>
                                <a:lnTo>
                                  <a:pt x="5" y="5"/>
                                </a:lnTo>
                                <a:lnTo>
                                  <a:pt x="5" y="3"/>
                                </a:lnTo>
                                <a:close/>
                                <a:moveTo>
                                  <a:pt x="2026" y="3"/>
                                </a:moveTo>
                                <a:lnTo>
                                  <a:pt x="5" y="3"/>
                                </a:lnTo>
                                <a:lnTo>
                                  <a:pt x="5" y="5"/>
                                </a:lnTo>
                                <a:lnTo>
                                  <a:pt x="2026" y="5"/>
                                </a:lnTo>
                                <a:lnTo>
                                  <a:pt x="2026" y="3"/>
                                </a:lnTo>
                                <a:close/>
                                <a:moveTo>
                                  <a:pt x="2031" y="3"/>
                                </a:moveTo>
                                <a:lnTo>
                                  <a:pt x="2026" y="3"/>
                                </a:lnTo>
                                <a:lnTo>
                                  <a:pt x="2028" y="5"/>
                                </a:lnTo>
                                <a:lnTo>
                                  <a:pt x="2031" y="5"/>
                                </a:lnTo>
                                <a:lnTo>
                                  <a:pt x="2031"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 name="Picture 1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035" y="4388"/>
                            <a:ext cx="1974"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AutoShape 146"/>
                        <wps:cNvSpPr>
                          <a:spLocks/>
                        </wps:cNvSpPr>
                        <wps:spPr bwMode="auto">
                          <a:xfrm>
                            <a:off x="1033" y="4385"/>
                            <a:ext cx="3657" cy="674"/>
                          </a:xfrm>
                          <a:custGeom>
                            <a:avLst/>
                            <a:gdLst>
                              <a:gd name="T0" fmla="+- 0 3012 1033"/>
                              <a:gd name="T1" fmla="*/ T0 w 3657"/>
                              <a:gd name="T2" fmla="+- 0 4665 4386"/>
                              <a:gd name="T3" fmla="*/ 4665 h 674"/>
                              <a:gd name="T4" fmla="+- 0 3012 1033"/>
                              <a:gd name="T5" fmla="*/ T4 w 3657"/>
                              <a:gd name="T6" fmla="+- 0 4388 4386"/>
                              <a:gd name="T7" fmla="*/ 4388 h 674"/>
                              <a:gd name="T8" fmla="+- 0 3011 1033"/>
                              <a:gd name="T9" fmla="*/ T8 w 3657"/>
                              <a:gd name="T10" fmla="+- 0 4386 4386"/>
                              <a:gd name="T11" fmla="*/ 4386 h 674"/>
                              <a:gd name="T12" fmla="+- 0 3007 1033"/>
                              <a:gd name="T13" fmla="*/ T12 w 3657"/>
                              <a:gd name="T14" fmla="+- 0 4390 4386"/>
                              <a:gd name="T15" fmla="*/ 4390 h 674"/>
                              <a:gd name="T16" fmla="+- 0 3000 1033"/>
                              <a:gd name="T17" fmla="*/ T16 w 3657"/>
                              <a:gd name="T18" fmla="+- 0 4665 4386"/>
                              <a:gd name="T19" fmla="*/ 4665 h 674"/>
                              <a:gd name="T20" fmla="+- 0 3007 1033"/>
                              <a:gd name="T21" fmla="*/ T20 w 3657"/>
                              <a:gd name="T22" fmla="+- 0 4680 4386"/>
                              <a:gd name="T23" fmla="*/ 4680 h 674"/>
                              <a:gd name="T24" fmla="+- 0 1038 1033"/>
                              <a:gd name="T25" fmla="*/ T24 w 3657"/>
                              <a:gd name="T26" fmla="+- 0 5054 4386"/>
                              <a:gd name="T27" fmla="*/ 5054 h 674"/>
                              <a:gd name="T28" fmla="+- 0 3007 1033"/>
                              <a:gd name="T29" fmla="*/ T28 w 3657"/>
                              <a:gd name="T30" fmla="+- 0 4390 4386"/>
                              <a:gd name="T31" fmla="*/ 4390 h 674"/>
                              <a:gd name="T32" fmla="+- 0 1034 1033"/>
                              <a:gd name="T33" fmla="*/ T32 w 3657"/>
                              <a:gd name="T34" fmla="+- 0 4386 4386"/>
                              <a:gd name="T35" fmla="*/ 4386 h 674"/>
                              <a:gd name="T36" fmla="+- 0 1033 1033"/>
                              <a:gd name="T37" fmla="*/ T36 w 3657"/>
                              <a:gd name="T38" fmla="+- 0 5058 4386"/>
                              <a:gd name="T39" fmla="*/ 5058 h 674"/>
                              <a:gd name="T40" fmla="+- 0 3011 1033"/>
                              <a:gd name="T41" fmla="*/ T40 w 3657"/>
                              <a:gd name="T42" fmla="+- 0 5059 4386"/>
                              <a:gd name="T43" fmla="*/ 5059 h 674"/>
                              <a:gd name="T44" fmla="+- 0 3012 1033"/>
                              <a:gd name="T45" fmla="*/ T44 w 3657"/>
                              <a:gd name="T46" fmla="+- 0 5056 4386"/>
                              <a:gd name="T47" fmla="*/ 5056 h 674"/>
                              <a:gd name="T48" fmla="+- 0 3012 1033"/>
                              <a:gd name="T49" fmla="*/ T48 w 3657"/>
                              <a:gd name="T50" fmla="+- 0 4680 4386"/>
                              <a:gd name="T51" fmla="*/ 4680 h 674"/>
                              <a:gd name="T52" fmla="+- 0 3060 1033"/>
                              <a:gd name="T53" fmla="*/ T52 w 3657"/>
                              <a:gd name="T54" fmla="+- 0 4665 4386"/>
                              <a:gd name="T55" fmla="*/ 4665 h 674"/>
                              <a:gd name="T56" fmla="+- 0 3106 1033"/>
                              <a:gd name="T57" fmla="*/ T56 w 3657"/>
                              <a:gd name="T58" fmla="+- 0 4665 4386"/>
                              <a:gd name="T59" fmla="*/ 4665 h 674"/>
                              <a:gd name="T60" fmla="+- 0 3166 1033"/>
                              <a:gd name="T61" fmla="*/ T60 w 3657"/>
                              <a:gd name="T62" fmla="+- 0 4680 4386"/>
                              <a:gd name="T63" fmla="*/ 4680 h 674"/>
                              <a:gd name="T64" fmla="+- 0 3270 1033"/>
                              <a:gd name="T65" fmla="*/ T64 w 3657"/>
                              <a:gd name="T66" fmla="+- 0 4665 4386"/>
                              <a:gd name="T67" fmla="*/ 4665 h 674"/>
                              <a:gd name="T68" fmla="+- 0 3210 1033"/>
                              <a:gd name="T69" fmla="*/ T68 w 3657"/>
                              <a:gd name="T70" fmla="+- 0 4680 4386"/>
                              <a:gd name="T71" fmla="*/ 4680 h 674"/>
                              <a:gd name="T72" fmla="+- 0 3270 1033"/>
                              <a:gd name="T73" fmla="*/ T72 w 3657"/>
                              <a:gd name="T74" fmla="+- 0 4665 4386"/>
                              <a:gd name="T75" fmla="*/ 4665 h 674"/>
                              <a:gd name="T76" fmla="+- 0 3316 1033"/>
                              <a:gd name="T77" fmla="*/ T76 w 3657"/>
                              <a:gd name="T78" fmla="+- 0 4665 4386"/>
                              <a:gd name="T79" fmla="*/ 4665 h 674"/>
                              <a:gd name="T80" fmla="+- 0 3376 1033"/>
                              <a:gd name="T81" fmla="*/ T80 w 3657"/>
                              <a:gd name="T82" fmla="+- 0 4680 4386"/>
                              <a:gd name="T83" fmla="*/ 4680 h 674"/>
                              <a:gd name="T84" fmla="+- 0 3480 1033"/>
                              <a:gd name="T85" fmla="*/ T84 w 3657"/>
                              <a:gd name="T86" fmla="+- 0 4665 4386"/>
                              <a:gd name="T87" fmla="*/ 4665 h 674"/>
                              <a:gd name="T88" fmla="+- 0 3420 1033"/>
                              <a:gd name="T89" fmla="*/ T88 w 3657"/>
                              <a:gd name="T90" fmla="+- 0 4680 4386"/>
                              <a:gd name="T91" fmla="*/ 4680 h 674"/>
                              <a:gd name="T92" fmla="+- 0 3480 1033"/>
                              <a:gd name="T93" fmla="*/ T92 w 3657"/>
                              <a:gd name="T94" fmla="+- 0 4665 4386"/>
                              <a:gd name="T95" fmla="*/ 4665 h 674"/>
                              <a:gd name="T96" fmla="+- 0 3526 1033"/>
                              <a:gd name="T97" fmla="*/ T96 w 3657"/>
                              <a:gd name="T98" fmla="+- 0 4665 4386"/>
                              <a:gd name="T99" fmla="*/ 4665 h 674"/>
                              <a:gd name="T100" fmla="+- 0 3586 1033"/>
                              <a:gd name="T101" fmla="*/ T100 w 3657"/>
                              <a:gd name="T102" fmla="+- 0 4680 4386"/>
                              <a:gd name="T103" fmla="*/ 4680 h 674"/>
                              <a:gd name="T104" fmla="+- 0 3690 1033"/>
                              <a:gd name="T105" fmla="*/ T104 w 3657"/>
                              <a:gd name="T106" fmla="+- 0 4665 4386"/>
                              <a:gd name="T107" fmla="*/ 4665 h 674"/>
                              <a:gd name="T108" fmla="+- 0 3630 1033"/>
                              <a:gd name="T109" fmla="*/ T108 w 3657"/>
                              <a:gd name="T110" fmla="+- 0 4680 4386"/>
                              <a:gd name="T111" fmla="*/ 4680 h 674"/>
                              <a:gd name="T112" fmla="+- 0 3690 1033"/>
                              <a:gd name="T113" fmla="*/ T112 w 3657"/>
                              <a:gd name="T114" fmla="+- 0 4665 4386"/>
                              <a:gd name="T115" fmla="*/ 4665 h 674"/>
                              <a:gd name="T116" fmla="+- 0 3736 1033"/>
                              <a:gd name="T117" fmla="*/ T116 w 3657"/>
                              <a:gd name="T118" fmla="+- 0 4665 4386"/>
                              <a:gd name="T119" fmla="*/ 4665 h 674"/>
                              <a:gd name="T120" fmla="+- 0 3796 1033"/>
                              <a:gd name="T121" fmla="*/ T120 w 3657"/>
                              <a:gd name="T122" fmla="+- 0 4680 4386"/>
                              <a:gd name="T123" fmla="*/ 4680 h 674"/>
                              <a:gd name="T124" fmla="+- 0 3900 1033"/>
                              <a:gd name="T125" fmla="*/ T124 w 3657"/>
                              <a:gd name="T126" fmla="+- 0 4665 4386"/>
                              <a:gd name="T127" fmla="*/ 4665 h 674"/>
                              <a:gd name="T128" fmla="+- 0 3840 1033"/>
                              <a:gd name="T129" fmla="*/ T128 w 3657"/>
                              <a:gd name="T130" fmla="+- 0 4680 4386"/>
                              <a:gd name="T131" fmla="*/ 4680 h 674"/>
                              <a:gd name="T132" fmla="+- 0 3900 1033"/>
                              <a:gd name="T133" fmla="*/ T132 w 3657"/>
                              <a:gd name="T134" fmla="+- 0 4665 4386"/>
                              <a:gd name="T135" fmla="*/ 4665 h 674"/>
                              <a:gd name="T136" fmla="+- 0 3946 1033"/>
                              <a:gd name="T137" fmla="*/ T136 w 3657"/>
                              <a:gd name="T138" fmla="+- 0 4665 4386"/>
                              <a:gd name="T139" fmla="*/ 4665 h 674"/>
                              <a:gd name="T140" fmla="+- 0 4006 1033"/>
                              <a:gd name="T141" fmla="*/ T140 w 3657"/>
                              <a:gd name="T142" fmla="+- 0 4680 4386"/>
                              <a:gd name="T143" fmla="*/ 4680 h 674"/>
                              <a:gd name="T144" fmla="+- 0 4110 1033"/>
                              <a:gd name="T145" fmla="*/ T144 w 3657"/>
                              <a:gd name="T146" fmla="+- 0 4665 4386"/>
                              <a:gd name="T147" fmla="*/ 4665 h 674"/>
                              <a:gd name="T148" fmla="+- 0 4050 1033"/>
                              <a:gd name="T149" fmla="*/ T148 w 3657"/>
                              <a:gd name="T150" fmla="+- 0 4680 4386"/>
                              <a:gd name="T151" fmla="*/ 4680 h 674"/>
                              <a:gd name="T152" fmla="+- 0 4110 1033"/>
                              <a:gd name="T153" fmla="*/ T152 w 3657"/>
                              <a:gd name="T154" fmla="+- 0 4665 4386"/>
                              <a:gd name="T155" fmla="*/ 4665 h 674"/>
                              <a:gd name="T156" fmla="+- 0 4156 1033"/>
                              <a:gd name="T157" fmla="*/ T156 w 3657"/>
                              <a:gd name="T158" fmla="+- 0 4665 4386"/>
                              <a:gd name="T159" fmla="*/ 4665 h 674"/>
                              <a:gd name="T160" fmla="+- 0 4216 1033"/>
                              <a:gd name="T161" fmla="*/ T160 w 3657"/>
                              <a:gd name="T162" fmla="+- 0 4680 4386"/>
                              <a:gd name="T163" fmla="*/ 4680 h 674"/>
                              <a:gd name="T164" fmla="+- 0 4320 1033"/>
                              <a:gd name="T165" fmla="*/ T164 w 3657"/>
                              <a:gd name="T166" fmla="+- 0 4665 4386"/>
                              <a:gd name="T167" fmla="*/ 4665 h 674"/>
                              <a:gd name="T168" fmla="+- 0 4260 1033"/>
                              <a:gd name="T169" fmla="*/ T168 w 3657"/>
                              <a:gd name="T170" fmla="+- 0 4680 4386"/>
                              <a:gd name="T171" fmla="*/ 4680 h 674"/>
                              <a:gd name="T172" fmla="+- 0 4320 1033"/>
                              <a:gd name="T173" fmla="*/ T172 w 3657"/>
                              <a:gd name="T174" fmla="+- 0 4665 4386"/>
                              <a:gd name="T175" fmla="*/ 4665 h 674"/>
                              <a:gd name="T176" fmla="+- 0 4366 1033"/>
                              <a:gd name="T177" fmla="*/ T176 w 3657"/>
                              <a:gd name="T178" fmla="+- 0 4665 4386"/>
                              <a:gd name="T179" fmla="*/ 4665 h 674"/>
                              <a:gd name="T180" fmla="+- 0 4426 1033"/>
                              <a:gd name="T181" fmla="*/ T180 w 3657"/>
                              <a:gd name="T182" fmla="+- 0 4680 4386"/>
                              <a:gd name="T183" fmla="*/ 4680 h 674"/>
                              <a:gd name="T184" fmla="+- 0 4530 1033"/>
                              <a:gd name="T185" fmla="*/ T184 w 3657"/>
                              <a:gd name="T186" fmla="+- 0 4665 4386"/>
                              <a:gd name="T187" fmla="*/ 4665 h 674"/>
                              <a:gd name="T188" fmla="+- 0 4470 1033"/>
                              <a:gd name="T189" fmla="*/ T188 w 3657"/>
                              <a:gd name="T190" fmla="+- 0 4680 4386"/>
                              <a:gd name="T191" fmla="*/ 4680 h 674"/>
                              <a:gd name="T192" fmla="+- 0 4530 1033"/>
                              <a:gd name="T193" fmla="*/ T192 w 3657"/>
                              <a:gd name="T194" fmla="+- 0 4665 4386"/>
                              <a:gd name="T195" fmla="*/ 4665 h 674"/>
                              <a:gd name="T196" fmla="+- 0 4576 1033"/>
                              <a:gd name="T197" fmla="*/ T196 w 3657"/>
                              <a:gd name="T198" fmla="+- 0 4665 4386"/>
                              <a:gd name="T199" fmla="*/ 4665 h 674"/>
                              <a:gd name="T200" fmla="+- 0 4636 1033"/>
                              <a:gd name="T201" fmla="*/ T200 w 3657"/>
                              <a:gd name="T202" fmla="+- 0 4680 4386"/>
                              <a:gd name="T203" fmla="*/ 4680 h 674"/>
                              <a:gd name="T204" fmla="+- 0 4690 1033"/>
                              <a:gd name="T205" fmla="*/ T204 w 3657"/>
                              <a:gd name="T206" fmla="+- 0 4672 4386"/>
                              <a:gd name="T207" fmla="*/ 4672 h 674"/>
                              <a:gd name="T208" fmla="+- 0 4559 1033"/>
                              <a:gd name="T209" fmla="*/ T208 w 3657"/>
                              <a:gd name="T210" fmla="+- 0 4596 4386"/>
                              <a:gd name="T211" fmla="*/ 4596 h 674"/>
                              <a:gd name="T212" fmla="+- 0 4550 1033"/>
                              <a:gd name="T213" fmla="*/ T212 w 3657"/>
                              <a:gd name="T214" fmla="+- 0 4594 4386"/>
                              <a:gd name="T215" fmla="*/ 4594 h 674"/>
                              <a:gd name="T216" fmla="+- 0 4547 1033"/>
                              <a:gd name="T217" fmla="*/ T216 w 3657"/>
                              <a:gd name="T218" fmla="+- 0 4606 4386"/>
                              <a:gd name="T219" fmla="*/ 4606 h 674"/>
                              <a:gd name="T220" fmla="+- 0 4659 1033"/>
                              <a:gd name="T221" fmla="*/ T220 w 3657"/>
                              <a:gd name="T222" fmla="+- 0 4672 4386"/>
                              <a:gd name="T223" fmla="*/ 4672 h 674"/>
                              <a:gd name="T224" fmla="+- 0 4547 1033"/>
                              <a:gd name="T225" fmla="*/ T224 w 3657"/>
                              <a:gd name="T226" fmla="+- 0 4737 4386"/>
                              <a:gd name="T227" fmla="*/ 4737 h 674"/>
                              <a:gd name="T228" fmla="+- 0 4550 1033"/>
                              <a:gd name="T229" fmla="*/ T228 w 3657"/>
                              <a:gd name="T230" fmla="+- 0 4749 4386"/>
                              <a:gd name="T231" fmla="*/ 4749 h 674"/>
                              <a:gd name="T232" fmla="+- 0 4559 1033"/>
                              <a:gd name="T233" fmla="*/ T232 w 3657"/>
                              <a:gd name="T234" fmla="+- 0 4749 4386"/>
                              <a:gd name="T235" fmla="*/ 4749 h 674"/>
                              <a:gd name="T236" fmla="+- 0 4690 1033"/>
                              <a:gd name="T237" fmla="*/ T236 w 3657"/>
                              <a:gd name="T238" fmla="+- 0 4672 4386"/>
                              <a:gd name="T239" fmla="*/ 4672 h 6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657" h="674">
                                <a:moveTo>
                                  <a:pt x="2027" y="279"/>
                                </a:moveTo>
                                <a:lnTo>
                                  <a:pt x="1979" y="279"/>
                                </a:lnTo>
                                <a:lnTo>
                                  <a:pt x="1979" y="4"/>
                                </a:lnTo>
                                <a:lnTo>
                                  <a:pt x="1979" y="2"/>
                                </a:lnTo>
                                <a:lnTo>
                                  <a:pt x="1979" y="1"/>
                                </a:lnTo>
                                <a:lnTo>
                                  <a:pt x="1978" y="0"/>
                                </a:lnTo>
                                <a:lnTo>
                                  <a:pt x="1974" y="0"/>
                                </a:lnTo>
                                <a:lnTo>
                                  <a:pt x="1974" y="4"/>
                                </a:lnTo>
                                <a:lnTo>
                                  <a:pt x="1974" y="279"/>
                                </a:lnTo>
                                <a:lnTo>
                                  <a:pt x="1967" y="279"/>
                                </a:lnTo>
                                <a:lnTo>
                                  <a:pt x="1967" y="294"/>
                                </a:lnTo>
                                <a:lnTo>
                                  <a:pt x="1974" y="294"/>
                                </a:lnTo>
                                <a:lnTo>
                                  <a:pt x="1974" y="668"/>
                                </a:lnTo>
                                <a:lnTo>
                                  <a:pt x="5" y="668"/>
                                </a:lnTo>
                                <a:lnTo>
                                  <a:pt x="5" y="4"/>
                                </a:lnTo>
                                <a:lnTo>
                                  <a:pt x="1974" y="4"/>
                                </a:lnTo>
                                <a:lnTo>
                                  <a:pt x="1974" y="0"/>
                                </a:lnTo>
                                <a:lnTo>
                                  <a:pt x="1" y="0"/>
                                </a:lnTo>
                                <a:lnTo>
                                  <a:pt x="0" y="1"/>
                                </a:lnTo>
                                <a:lnTo>
                                  <a:pt x="0" y="672"/>
                                </a:lnTo>
                                <a:lnTo>
                                  <a:pt x="1" y="673"/>
                                </a:lnTo>
                                <a:lnTo>
                                  <a:pt x="1978" y="673"/>
                                </a:lnTo>
                                <a:lnTo>
                                  <a:pt x="1979" y="672"/>
                                </a:lnTo>
                                <a:lnTo>
                                  <a:pt x="1979" y="670"/>
                                </a:lnTo>
                                <a:lnTo>
                                  <a:pt x="1979" y="668"/>
                                </a:lnTo>
                                <a:lnTo>
                                  <a:pt x="1979" y="294"/>
                                </a:lnTo>
                                <a:lnTo>
                                  <a:pt x="2027" y="294"/>
                                </a:lnTo>
                                <a:lnTo>
                                  <a:pt x="2027" y="279"/>
                                </a:lnTo>
                                <a:close/>
                                <a:moveTo>
                                  <a:pt x="2133" y="279"/>
                                </a:moveTo>
                                <a:lnTo>
                                  <a:pt x="2073" y="279"/>
                                </a:lnTo>
                                <a:lnTo>
                                  <a:pt x="2073" y="294"/>
                                </a:lnTo>
                                <a:lnTo>
                                  <a:pt x="2133" y="294"/>
                                </a:lnTo>
                                <a:lnTo>
                                  <a:pt x="2133" y="279"/>
                                </a:lnTo>
                                <a:close/>
                                <a:moveTo>
                                  <a:pt x="2237" y="279"/>
                                </a:moveTo>
                                <a:lnTo>
                                  <a:pt x="2177" y="279"/>
                                </a:lnTo>
                                <a:lnTo>
                                  <a:pt x="2177" y="294"/>
                                </a:lnTo>
                                <a:lnTo>
                                  <a:pt x="2237" y="294"/>
                                </a:lnTo>
                                <a:lnTo>
                                  <a:pt x="2237" y="279"/>
                                </a:lnTo>
                                <a:close/>
                                <a:moveTo>
                                  <a:pt x="2343" y="279"/>
                                </a:moveTo>
                                <a:lnTo>
                                  <a:pt x="2283" y="279"/>
                                </a:lnTo>
                                <a:lnTo>
                                  <a:pt x="2283" y="294"/>
                                </a:lnTo>
                                <a:lnTo>
                                  <a:pt x="2343" y="294"/>
                                </a:lnTo>
                                <a:lnTo>
                                  <a:pt x="2343" y="279"/>
                                </a:lnTo>
                                <a:close/>
                                <a:moveTo>
                                  <a:pt x="2447" y="279"/>
                                </a:moveTo>
                                <a:lnTo>
                                  <a:pt x="2387" y="279"/>
                                </a:lnTo>
                                <a:lnTo>
                                  <a:pt x="2387" y="294"/>
                                </a:lnTo>
                                <a:lnTo>
                                  <a:pt x="2447" y="294"/>
                                </a:lnTo>
                                <a:lnTo>
                                  <a:pt x="2447" y="279"/>
                                </a:lnTo>
                                <a:close/>
                                <a:moveTo>
                                  <a:pt x="2553" y="279"/>
                                </a:moveTo>
                                <a:lnTo>
                                  <a:pt x="2493" y="279"/>
                                </a:lnTo>
                                <a:lnTo>
                                  <a:pt x="2493" y="294"/>
                                </a:lnTo>
                                <a:lnTo>
                                  <a:pt x="2553" y="294"/>
                                </a:lnTo>
                                <a:lnTo>
                                  <a:pt x="2553" y="279"/>
                                </a:lnTo>
                                <a:close/>
                                <a:moveTo>
                                  <a:pt x="2657" y="279"/>
                                </a:moveTo>
                                <a:lnTo>
                                  <a:pt x="2597" y="279"/>
                                </a:lnTo>
                                <a:lnTo>
                                  <a:pt x="2597" y="294"/>
                                </a:lnTo>
                                <a:lnTo>
                                  <a:pt x="2657" y="294"/>
                                </a:lnTo>
                                <a:lnTo>
                                  <a:pt x="2657" y="279"/>
                                </a:lnTo>
                                <a:close/>
                                <a:moveTo>
                                  <a:pt x="2763" y="279"/>
                                </a:moveTo>
                                <a:lnTo>
                                  <a:pt x="2703" y="279"/>
                                </a:lnTo>
                                <a:lnTo>
                                  <a:pt x="2703" y="294"/>
                                </a:lnTo>
                                <a:lnTo>
                                  <a:pt x="2763" y="294"/>
                                </a:lnTo>
                                <a:lnTo>
                                  <a:pt x="2763" y="279"/>
                                </a:lnTo>
                                <a:close/>
                                <a:moveTo>
                                  <a:pt x="2867" y="279"/>
                                </a:moveTo>
                                <a:lnTo>
                                  <a:pt x="2807" y="279"/>
                                </a:lnTo>
                                <a:lnTo>
                                  <a:pt x="2807" y="294"/>
                                </a:lnTo>
                                <a:lnTo>
                                  <a:pt x="2867" y="294"/>
                                </a:lnTo>
                                <a:lnTo>
                                  <a:pt x="2867" y="279"/>
                                </a:lnTo>
                                <a:close/>
                                <a:moveTo>
                                  <a:pt x="2973" y="279"/>
                                </a:moveTo>
                                <a:lnTo>
                                  <a:pt x="2913" y="279"/>
                                </a:lnTo>
                                <a:lnTo>
                                  <a:pt x="2913" y="294"/>
                                </a:lnTo>
                                <a:lnTo>
                                  <a:pt x="2973" y="294"/>
                                </a:lnTo>
                                <a:lnTo>
                                  <a:pt x="2973" y="279"/>
                                </a:lnTo>
                                <a:close/>
                                <a:moveTo>
                                  <a:pt x="3077" y="279"/>
                                </a:moveTo>
                                <a:lnTo>
                                  <a:pt x="3017" y="279"/>
                                </a:lnTo>
                                <a:lnTo>
                                  <a:pt x="3017" y="294"/>
                                </a:lnTo>
                                <a:lnTo>
                                  <a:pt x="3077" y="294"/>
                                </a:lnTo>
                                <a:lnTo>
                                  <a:pt x="3077" y="279"/>
                                </a:lnTo>
                                <a:close/>
                                <a:moveTo>
                                  <a:pt x="3183" y="279"/>
                                </a:moveTo>
                                <a:lnTo>
                                  <a:pt x="3123" y="279"/>
                                </a:lnTo>
                                <a:lnTo>
                                  <a:pt x="3123" y="294"/>
                                </a:lnTo>
                                <a:lnTo>
                                  <a:pt x="3183" y="294"/>
                                </a:lnTo>
                                <a:lnTo>
                                  <a:pt x="3183" y="279"/>
                                </a:lnTo>
                                <a:close/>
                                <a:moveTo>
                                  <a:pt x="3287" y="279"/>
                                </a:moveTo>
                                <a:lnTo>
                                  <a:pt x="3227" y="279"/>
                                </a:lnTo>
                                <a:lnTo>
                                  <a:pt x="3227" y="294"/>
                                </a:lnTo>
                                <a:lnTo>
                                  <a:pt x="3287" y="294"/>
                                </a:lnTo>
                                <a:lnTo>
                                  <a:pt x="3287" y="279"/>
                                </a:lnTo>
                                <a:close/>
                                <a:moveTo>
                                  <a:pt x="3393" y="279"/>
                                </a:moveTo>
                                <a:lnTo>
                                  <a:pt x="3333" y="279"/>
                                </a:lnTo>
                                <a:lnTo>
                                  <a:pt x="3333" y="294"/>
                                </a:lnTo>
                                <a:lnTo>
                                  <a:pt x="3393" y="294"/>
                                </a:lnTo>
                                <a:lnTo>
                                  <a:pt x="3393" y="279"/>
                                </a:lnTo>
                                <a:close/>
                                <a:moveTo>
                                  <a:pt x="3497" y="279"/>
                                </a:moveTo>
                                <a:lnTo>
                                  <a:pt x="3437" y="279"/>
                                </a:lnTo>
                                <a:lnTo>
                                  <a:pt x="3437" y="294"/>
                                </a:lnTo>
                                <a:lnTo>
                                  <a:pt x="3497" y="294"/>
                                </a:lnTo>
                                <a:lnTo>
                                  <a:pt x="3497" y="279"/>
                                </a:lnTo>
                                <a:close/>
                                <a:moveTo>
                                  <a:pt x="3603" y="279"/>
                                </a:moveTo>
                                <a:lnTo>
                                  <a:pt x="3543" y="279"/>
                                </a:lnTo>
                                <a:lnTo>
                                  <a:pt x="3543" y="294"/>
                                </a:lnTo>
                                <a:lnTo>
                                  <a:pt x="3603" y="294"/>
                                </a:lnTo>
                                <a:lnTo>
                                  <a:pt x="3603" y="279"/>
                                </a:lnTo>
                                <a:close/>
                                <a:moveTo>
                                  <a:pt x="3657" y="286"/>
                                </a:moveTo>
                                <a:lnTo>
                                  <a:pt x="3644" y="279"/>
                                </a:lnTo>
                                <a:lnTo>
                                  <a:pt x="3526" y="210"/>
                                </a:lnTo>
                                <a:lnTo>
                                  <a:pt x="3522" y="207"/>
                                </a:lnTo>
                                <a:lnTo>
                                  <a:pt x="3517" y="208"/>
                                </a:lnTo>
                                <a:lnTo>
                                  <a:pt x="3513" y="216"/>
                                </a:lnTo>
                                <a:lnTo>
                                  <a:pt x="3514" y="220"/>
                                </a:lnTo>
                                <a:lnTo>
                                  <a:pt x="3517" y="223"/>
                                </a:lnTo>
                                <a:lnTo>
                                  <a:pt x="3626" y="286"/>
                                </a:lnTo>
                                <a:lnTo>
                                  <a:pt x="3517" y="350"/>
                                </a:lnTo>
                                <a:lnTo>
                                  <a:pt x="3514" y="351"/>
                                </a:lnTo>
                                <a:lnTo>
                                  <a:pt x="3513" y="356"/>
                                </a:lnTo>
                                <a:lnTo>
                                  <a:pt x="3517" y="363"/>
                                </a:lnTo>
                                <a:lnTo>
                                  <a:pt x="3522" y="364"/>
                                </a:lnTo>
                                <a:lnTo>
                                  <a:pt x="3526" y="363"/>
                                </a:lnTo>
                                <a:lnTo>
                                  <a:pt x="3646" y="292"/>
                                </a:lnTo>
                                <a:lnTo>
                                  <a:pt x="3657" y="2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1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5010" y="893"/>
                            <a:ext cx="1491"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144"/>
                        <wps:cNvSpPr>
                          <a:spLocks/>
                        </wps:cNvSpPr>
                        <wps:spPr bwMode="auto">
                          <a:xfrm>
                            <a:off x="5007" y="891"/>
                            <a:ext cx="1496" cy="3383"/>
                          </a:xfrm>
                          <a:custGeom>
                            <a:avLst/>
                            <a:gdLst>
                              <a:gd name="T0" fmla="+- 0 6503 5008"/>
                              <a:gd name="T1" fmla="*/ T0 w 1496"/>
                              <a:gd name="T2" fmla="+- 0 891 891"/>
                              <a:gd name="T3" fmla="*/ 891 h 3383"/>
                              <a:gd name="T4" fmla="+- 0 6498 5008"/>
                              <a:gd name="T5" fmla="*/ T4 w 1496"/>
                              <a:gd name="T6" fmla="+- 0 891 891"/>
                              <a:gd name="T7" fmla="*/ 891 h 3383"/>
                              <a:gd name="T8" fmla="+- 0 6498 5008"/>
                              <a:gd name="T9" fmla="*/ T8 w 1496"/>
                              <a:gd name="T10" fmla="+- 0 896 891"/>
                              <a:gd name="T11" fmla="*/ 896 h 3383"/>
                              <a:gd name="T12" fmla="+- 0 6498 5008"/>
                              <a:gd name="T13" fmla="*/ T12 w 1496"/>
                              <a:gd name="T14" fmla="+- 0 1341 891"/>
                              <a:gd name="T15" fmla="*/ 1341 h 3383"/>
                              <a:gd name="T16" fmla="+- 0 5014 5008"/>
                              <a:gd name="T17" fmla="*/ T16 w 1496"/>
                              <a:gd name="T18" fmla="+- 0 1341 891"/>
                              <a:gd name="T19" fmla="*/ 1341 h 3383"/>
                              <a:gd name="T20" fmla="+- 0 5014 5008"/>
                              <a:gd name="T21" fmla="*/ T20 w 1496"/>
                              <a:gd name="T22" fmla="+- 0 896 891"/>
                              <a:gd name="T23" fmla="*/ 896 h 3383"/>
                              <a:gd name="T24" fmla="+- 0 6498 5008"/>
                              <a:gd name="T25" fmla="*/ T24 w 1496"/>
                              <a:gd name="T26" fmla="+- 0 896 891"/>
                              <a:gd name="T27" fmla="*/ 896 h 3383"/>
                              <a:gd name="T28" fmla="+- 0 6498 5008"/>
                              <a:gd name="T29" fmla="*/ T28 w 1496"/>
                              <a:gd name="T30" fmla="+- 0 891 891"/>
                              <a:gd name="T31" fmla="*/ 891 h 3383"/>
                              <a:gd name="T32" fmla="+- 0 5008 5008"/>
                              <a:gd name="T33" fmla="*/ T32 w 1496"/>
                              <a:gd name="T34" fmla="+- 0 891 891"/>
                              <a:gd name="T35" fmla="*/ 891 h 3383"/>
                              <a:gd name="T36" fmla="+- 0 5008 5008"/>
                              <a:gd name="T37" fmla="*/ T36 w 1496"/>
                              <a:gd name="T38" fmla="+- 0 1345 891"/>
                              <a:gd name="T39" fmla="*/ 1345 h 3383"/>
                              <a:gd name="T40" fmla="+- 0 5009 5008"/>
                              <a:gd name="T41" fmla="*/ T40 w 1496"/>
                              <a:gd name="T42" fmla="+- 0 1346 891"/>
                              <a:gd name="T43" fmla="*/ 1346 h 3383"/>
                              <a:gd name="T44" fmla="+- 0 5819 5008"/>
                              <a:gd name="T45" fmla="*/ T44 w 1496"/>
                              <a:gd name="T46" fmla="+- 0 1346 891"/>
                              <a:gd name="T47" fmla="*/ 1346 h 3383"/>
                              <a:gd name="T48" fmla="+- 0 5744 5008"/>
                              <a:gd name="T49" fmla="*/ T48 w 1496"/>
                              <a:gd name="T50" fmla="+- 0 1474 891"/>
                              <a:gd name="T51" fmla="*/ 1474 h 3383"/>
                              <a:gd name="T52" fmla="+- 0 5742 5008"/>
                              <a:gd name="T53" fmla="*/ T52 w 1496"/>
                              <a:gd name="T54" fmla="+- 0 1478 891"/>
                              <a:gd name="T55" fmla="*/ 1478 h 3383"/>
                              <a:gd name="T56" fmla="+- 0 5743 5008"/>
                              <a:gd name="T57" fmla="*/ T56 w 1496"/>
                              <a:gd name="T58" fmla="+- 0 1483 891"/>
                              <a:gd name="T59" fmla="*/ 1483 h 3383"/>
                              <a:gd name="T60" fmla="+- 0 5747 5008"/>
                              <a:gd name="T61" fmla="*/ T60 w 1496"/>
                              <a:gd name="T62" fmla="+- 0 1484 891"/>
                              <a:gd name="T63" fmla="*/ 1484 h 3383"/>
                              <a:gd name="T64" fmla="+- 0 5750 5008"/>
                              <a:gd name="T65" fmla="*/ T64 w 1496"/>
                              <a:gd name="T66" fmla="+- 0 1486 891"/>
                              <a:gd name="T67" fmla="*/ 1486 h 3383"/>
                              <a:gd name="T68" fmla="+- 0 5755 5008"/>
                              <a:gd name="T69" fmla="*/ T68 w 1496"/>
                              <a:gd name="T70" fmla="+- 0 1485 891"/>
                              <a:gd name="T71" fmla="*/ 1485 h 3383"/>
                              <a:gd name="T72" fmla="+- 0 5758 5008"/>
                              <a:gd name="T73" fmla="*/ T72 w 1496"/>
                              <a:gd name="T74" fmla="+- 0 1482 891"/>
                              <a:gd name="T75" fmla="*/ 1482 h 3383"/>
                              <a:gd name="T76" fmla="+- 0 5813 5008"/>
                              <a:gd name="T77" fmla="*/ T76 w 1496"/>
                              <a:gd name="T78" fmla="+- 0 1386 891"/>
                              <a:gd name="T79" fmla="*/ 1386 h 3383"/>
                              <a:gd name="T80" fmla="+- 0 5813 5008"/>
                              <a:gd name="T81" fmla="*/ T80 w 1496"/>
                              <a:gd name="T82" fmla="+- 0 1358 891"/>
                              <a:gd name="T83" fmla="*/ 1358 h 3383"/>
                              <a:gd name="T84" fmla="+- 0 5813 5008"/>
                              <a:gd name="T85" fmla="*/ T84 w 1496"/>
                              <a:gd name="T86" fmla="+- 0 1386 891"/>
                              <a:gd name="T87" fmla="*/ 1386 h 3383"/>
                              <a:gd name="T88" fmla="+- 0 5814 5008"/>
                              <a:gd name="T89" fmla="*/ T88 w 1496"/>
                              <a:gd name="T90" fmla="+- 0 4274 891"/>
                              <a:gd name="T91" fmla="*/ 4274 h 3383"/>
                              <a:gd name="T92" fmla="+- 0 5830 5008"/>
                              <a:gd name="T93" fmla="*/ T92 w 1496"/>
                              <a:gd name="T94" fmla="+- 0 4274 891"/>
                              <a:gd name="T95" fmla="*/ 4274 h 3383"/>
                              <a:gd name="T96" fmla="+- 0 5828 5008"/>
                              <a:gd name="T97" fmla="*/ T96 w 1496"/>
                              <a:gd name="T98" fmla="+- 0 1486 891"/>
                              <a:gd name="T99" fmla="*/ 1486 h 3383"/>
                              <a:gd name="T100" fmla="+- 0 5828 5008"/>
                              <a:gd name="T101" fmla="*/ T100 w 1496"/>
                              <a:gd name="T102" fmla="+- 0 1386 891"/>
                              <a:gd name="T103" fmla="*/ 1386 h 3383"/>
                              <a:gd name="T104" fmla="+- 0 5884 5008"/>
                              <a:gd name="T105" fmla="*/ T104 w 1496"/>
                              <a:gd name="T106" fmla="+- 0 1482 891"/>
                              <a:gd name="T107" fmla="*/ 1482 h 3383"/>
                              <a:gd name="T108" fmla="+- 0 5886 5008"/>
                              <a:gd name="T109" fmla="*/ T108 w 1496"/>
                              <a:gd name="T110" fmla="+- 0 1485 891"/>
                              <a:gd name="T111" fmla="*/ 1485 h 3383"/>
                              <a:gd name="T112" fmla="+- 0 5891 5008"/>
                              <a:gd name="T113" fmla="*/ T112 w 1496"/>
                              <a:gd name="T114" fmla="+- 0 1486 891"/>
                              <a:gd name="T115" fmla="*/ 1486 h 3383"/>
                              <a:gd name="T116" fmla="+- 0 5894 5008"/>
                              <a:gd name="T117" fmla="*/ T116 w 1496"/>
                              <a:gd name="T118" fmla="+- 0 1484 891"/>
                              <a:gd name="T119" fmla="*/ 1484 h 3383"/>
                              <a:gd name="T120" fmla="+- 0 5898 5008"/>
                              <a:gd name="T121" fmla="*/ T120 w 1496"/>
                              <a:gd name="T122" fmla="+- 0 1483 891"/>
                              <a:gd name="T123" fmla="*/ 1483 h 3383"/>
                              <a:gd name="T124" fmla="+- 0 5899 5008"/>
                              <a:gd name="T125" fmla="*/ T124 w 1496"/>
                              <a:gd name="T126" fmla="+- 0 1478 891"/>
                              <a:gd name="T127" fmla="*/ 1478 h 3383"/>
                              <a:gd name="T128" fmla="+- 0 5897 5008"/>
                              <a:gd name="T129" fmla="*/ T128 w 1496"/>
                              <a:gd name="T130" fmla="+- 0 1474 891"/>
                              <a:gd name="T131" fmla="*/ 1474 h 3383"/>
                              <a:gd name="T132" fmla="+- 0 5828 5008"/>
                              <a:gd name="T133" fmla="*/ T132 w 1496"/>
                              <a:gd name="T134" fmla="+- 0 1358 891"/>
                              <a:gd name="T135" fmla="*/ 1358 h 3383"/>
                              <a:gd name="T136" fmla="+- 0 5821 5008"/>
                              <a:gd name="T137" fmla="*/ T136 w 1496"/>
                              <a:gd name="T138" fmla="+- 0 1346 891"/>
                              <a:gd name="T139" fmla="*/ 1346 h 3383"/>
                              <a:gd name="T140" fmla="+- 0 6502 5008"/>
                              <a:gd name="T141" fmla="*/ T140 w 1496"/>
                              <a:gd name="T142" fmla="+- 0 1346 891"/>
                              <a:gd name="T143" fmla="*/ 1346 h 3383"/>
                              <a:gd name="T144" fmla="+- 0 6503 5008"/>
                              <a:gd name="T145" fmla="*/ T144 w 1496"/>
                              <a:gd name="T146" fmla="+- 0 1345 891"/>
                              <a:gd name="T147" fmla="*/ 1345 h 3383"/>
                              <a:gd name="T148" fmla="+- 0 6503 5008"/>
                              <a:gd name="T149" fmla="*/ T148 w 1496"/>
                              <a:gd name="T150" fmla="+- 0 1344 891"/>
                              <a:gd name="T151" fmla="*/ 1344 h 3383"/>
                              <a:gd name="T152" fmla="+- 0 6503 5008"/>
                              <a:gd name="T153" fmla="*/ T152 w 1496"/>
                              <a:gd name="T154" fmla="+- 0 1341 891"/>
                              <a:gd name="T155" fmla="*/ 1341 h 3383"/>
                              <a:gd name="T156" fmla="+- 0 6503 5008"/>
                              <a:gd name="T157" fmla="*/ T156 w 1496"/>
                              <a:gd name="T158" fmla="+- 0 896 891"/>
                              <a:gd name="T159" fmla="*/ 896 h 3383"/>
                              <a:gd name="T160" fmla="+- 0 6503 5008"/>
                              <a:gd name="T161" fmla="*/ T160 w 1496"/>
                              <a:gd name="T162" fmla="+- 0 894 891"/>
                              <a:gd name="T163" fmla="*/ 894 h 3383"/>
                              <a:gd name="T164" fmla="+- 0 6503 5008"/>
                              <a:gd name="T165" fmla="*/ T164 w 1496"/>
                              <a:gd name="T166" fmla="+- 0 891 891"/>
                              <a:gd name="T167" fmla="*/ 891 h 3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496" h="3383">
                                <a:moveTo>
                                  <a:pt x="1495" y="0"/>
                                </a:moveTo>
                                <a:lnTo>
                                  <a:pt x="1490" y="0"/>
                                </a:lnTo>
                                <a:lnTo>
                                  <a:pt x="1490" y="5"/>
                                </a:lnTo>
                                <a:lnTo>
                                  <a:pt x="1490" y="450"/>
                                </a:lnTo>
                                <a:lnTo>
                                  <a:pt x="6" y="450"/>
                                </a:lnTo>
                                <a:lnTo>
                                  <a:pt x="6" y="5"/>
                                </a:lnTo>
                                <a:lnTo>
                                  <a:pt x="1490" y="5"/>
                                </a:lnTo>
                                <a:lnTo>
                                  <a:pt x="1490" y="0"/>
                                </a:lnTo>
                                <a:lnTo>
                                  <a:pt x="0" y="0"/>
                                </a:lnTo>
                                <a:lnTo>
                                  <a:pt x="0" y="454"/>
                                </a:lnTo>
                                <a:lnTo>
                                  <a:pt x="1" y="455"/>
                                </a:lnTo>
                                <a:lnTo>
                                  <a:pt x="811" y="455"/>
                                </a:lnTo>
                                <a:lnTo>
                                  <a:pt x="736" y="583"/>
                                </a:lnTo>
                                <a:lnTo>
                                  <a:pt x="734" y="587"/>
                                </a:lnTo>
                                <a:lnTo>
                                  <a:pt x="735" y="592"/>
                                </a:lnTo>
                                <a:lnTo>
                                  <a:pt x="739" y="593"/>
                                </a:lnTo>
                                <a:lnTo>
                                  <a:pt x="742" y="595"/>
                                </a:lnTo>
                                <a:lnTo>
                                  <a:pt x="747" y="594"/>
                                </a:lnTo>
                                <a:lnTo>
                                  <a:pt x="750" y="591"/>
                                </a:lnTo>
                                <a:lnTo>
                                  <a:pt x="805" y="495"/>
                                </a:lnTo>
                                <a:lnTo>
                                  <a:pt x="805" y="467"/>
                                </a:lnTo>
                                <a:lnTo>
                                  <a:pt x="805" y="495"/>
                                </a:lnTo>
                                <a:lnTo>
                                  <a:pt x="806" y="3383"/>
                                </a:lnTo>
                                <a:lnTo>
                                  <a:pt x="822" y="3383"/>
                                </a:lnTo>
                                <a:lnTo>
                                  <a:pt x="820" y="595"/>
                                </a:lnTo>
                                <a:lnTo>
                                  <a:pt x="820" y="495"/>
                                </a:lnTo>
                                <a:lnTo>
                                  <a:pt x="876" y="591"/>
                                </a:lnTo>
                                <a:lnTo>
                                  <a:pt x="878" y="594"/>
                                </a:lnTo>
                                <a:lnTo>
                                  <a:pt x="883" y="595"/>
                                </a:lnTo>
                                <a:lnTo>
                                  <a:pt x="886" y="593"/>
                                </a:lnTo>
                                <a:lnTo>
                                  <a:pt x="890" y="592"/>
                                </a:lnTo>
                                <a:lnTo>
                                  <a:pt x="891" y="587"/>
                                </a:lnTo>
                                <a:lnTo>
                                  <a:pt x="889" y="583"/>
                                </a:lnTo>
                                <a:lnTo>
                                  <a:pt x="820" y="467"/>
                                </a:lnTo>
                                <a:lnTo>
                                  <a:pt x="813" y="455"/>
                                </a:lnTo>
                                <a:lnTo>
                                  <a:pt x="1494" y="455"/>
                                </a:lnTo>
                                <a:lnTo>
                                  <a:pt x="1495" y="454"/>
                                </a:lnTo>
                                <a:lnTo>
                                  <a:pt x="1495" y="453"/>
                                </a:lnTo>
                                <a:lnTo>
                                  <a:pt x="1495" y="450"/>
                                </a:lnTo>
                                <a:lnTo>
                                  <a:pt x="1495" y="5"/>
                                </a:lnTo>
                                <a:lnTo>
                                  <a:pt x="1495" y="3"/>
                                </a:lnTo>
                                <a:lnTo>
                                  <a:pt x="149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Rectangle 143"/>
                        <wps:cNvSpPr>
                          <a:spLocks noChangeArrowheads="1"/>
                        </wps:cNvSpPr>
                        <wps:spPr bwMode="auto">
                          <a:xfrm>
                            <a:off x="3138" y="2069"/>
                            <a:ext cx="2417" cy="9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AutoShape 142"/>
                        <wps:cNvSpPr>
                          <a:spLocks/>
                        </wps:cNvSpPr>
                        <wps:spPr bwMode="auto">
                          <a:xfrm>
                            <a:off x="2198" y="1010"/>
                            <a:ext cx="2820" cy="548"/>
                          </a:xfrm>
                          <a:custGeom>
                            <a:avLst/>
                            <a:gdLst>
                              <a:gd name="T0" fmla="+- 0 4976 2198"/>
                              <a:gd name="T1" fmla="*/ T0 w 2820"/>
                              <a:gd name="T2" fmla="+- 0 1081 1010"/>
                              <a:gd name="T3" fmla="*/ 1081 h 548"/>
                              <a:gd name="T4" fmla="+- 0 2202 2198"/>
                              <a:gd name="T5" fmla="*/ T4 w 2820"/>
                              <a:gd name="T6" fmla="+- 0 1081 1010"/>
                              <a:gd name="T7" fmla="*/ 1081 h 548"/>
                              <a:gd name="T8" fmla="+- 0 2198 2198"/>
                              <a:gd name="T9" fmla="*/ T8 w 2820"/>
                              <a:gd name="T10" fmla="+- 0 1084 1010"/>
                              <a:gd name="T11" fmla="*/ 1084 h 548"/>
                              <a:gd name="T12" fmla="+- 0 2198 2198"/>
                              <a:gd name="T13" fmla="*/ T12 w 2820"/>
                              <a:gd name="T14" fmla="+- 0 1557 1010"/>
                              <a:gd name="T15" fmla="*/ 1557 h 548"/>
                              <a:gd name="T16" fmla="+- 0 2213 2198"/>
                              <a:gd name="T17" fmla="*/ T16 w 2820"/>
                              <a:gd name="T18" fmla="+- 0 1557 1010"/>
                              <a:gd name="T19" fmla="*/ 1557 h 548"/>
                              <a:gd name="T20" fmla="+- 0 2213 2198"/>
                              <a:gd name="T21" fmla="*/ T20 w 2820"/>
                              <a:gd name="T22" fmla="+- 0 1095 1010"/>
                              <a:gd name="T23" fmla="*/ 1095 h 548"/>
                              <a:gd name="T24" fmla="+- 0 2206 2198"/>
                              <a:gd name="T25" fmla="*/ T24 w 2820"/>
                              <a:gd name="T26" fmla="+- 0 1095 1010"/>
                              <a:gd name="T27" fmla="*/ 1095 h 548"/>
                              <a:gd name="T28" fmla="+- 0 2213 2198"/>
                              <a:gd name="T29" fmla="*/ T28 w 2820"/>
                              <a:gd name="T30" fmla="+- 0 1088 1010"/>
                              <a:gd name="T31" fmla="*/ 1088 h 548"/>
                              <a:gd name="T32" fmla="+- 0 4988 2198"/>
                              <a:gd name="T33" fmla="*/ T32 w 2820"/>
                              <a:gd name="T34" fmla="+- 0 1088 1010"/>
                              <a:gd name="T35" fmla="*/ 1088 h 548"/>
                              <a:gd name="T36" fmla="+- 0 4976 2198"/>
                              <a:gd name="T37" fmla="*/ T36 w 2820"/>
                              <a:gd name="T38" fmla="+- 0 1081 1010"/>
                              <a:gd name="T39" fmla="*/ 1081 h 548"/>
                              <a:gd name="T40" fmla="+- 0 4989 2198"/>
                              <a:gd name="T41" fmla="*/ T40 w 2820"/>
                              <a:gd name="T42" fmla="+- 0 1089 1010"/>
                              <a:gd name="T43" fmla="*/ 1089 h 548"/>
                              <a:gd name="T44" fmla="+- 0 4880 2198"/>
                              <a:gd name="T45" fmla="*/ T44 w 2820"/>
                              <a:gd name="T46" fmla="+- 0 1152 1010"/>
                              <a:gd name="T47" fmla="*/ 1152 h 548"/>
                              <a:gd name="T48" fmla="+- 0 4877 2198"/>
                              <a:gd name="T49" fmla="*/ T48 w 2820"/>
                              <a:gd name="T50" fmla="+- 0 1154 1010"/>
                              <a:gd name="T51" fmla="*/ 1154 h 548"/>
                              <a:gd name="T52" fmla="+- 0 4876 2198"/>
                              <a:gd name="T53" fmla="*/ T52 w 2820"/>
                              <a:gd name="T54" fmla="+- 0 1159 1010"/>
                              <a:gd name="T55" fmla="*/ 1159 h 548"/>
                              <a:gd name="T56" fmla="+- 0 4877 2198"/>
                              <a:gd name="T57" fmla="*/ T56 w 2820"/>
                              <a:gd name="T58" fmla="+- 0 1162 1010"/>
                              <a:gd name="T59" fmla="*/ 1162 h 548"/>
                              <a:gd name="T60" fmla="+- 0 4879 2198"/>
                              <a:gd name="T61" fmla="*/ T60 w 2820"/>
                              <a:gd name="T62" fmla="+- 0 1166 1010"/>
                              <a:gd name="T63" fmla="*/ 1166 h 548"/>
                              <a:gd name="T64" fmla="+- 0 4884 2198"/>
                              <a:gd name="T65" fmla="*/ T64 w 2820"/>
                              <a:gd name="T66" fmla="+- 0 1167 1010"/>
                              <a:gd name="T67" fmla="*/ 1167 h 548"/>
                              <a:gd name="T68" fmla="+- 0 4888 2198"/>
                              <a:gd name="T69" fmla="*/ T68 w 2820"/>
                              <a:gd name="T70" fmla="+- 0 1165 1010"/>
                              <a:gd name="T71" fmla="*/ 1165 h 548"/>
                              <a:gd name="T72" fmla="+- 0 5006 2198"/>
                              <a:gd name="T73" fmla="*/ T72 w 2820"/>
                              <a:gd name="T74" fmla="+- 0 1095 1010"/>
                              <a:gd name="T75" fmla="*/ 1095 h 548"/>
                              <a:gd name="T76" fmla="+- 0 5000 2198"/>
                              <a:gd name="T77" fmla="*/ T76 w 2820"/>
                              <a:gd name="T78" fmla="+- 0 1095 1010"/>
                              <a:gd name="T79" fmla="*/ 1095 h 548"/>
                              <a:gd name="T80" fmla="+- 0 4989 2198"/>
                              <a:gd name="T81" fmla="*/ T80 w 2820"/>
                              <a:gd name="T82" fmla="+- 0 1089 1010"/>
                              <a:gd name="T83" fmla="*/ 1089 h 548"/>
                              <a:gd name="T84" fmla="+- 0 2213 2198"/>
                              <a:gd name="T85" fmla="*/ T84 w 2820"/>
                              <a:gd name="T86" fmla="+- 0 1088 1010"/>
                              <a:gd name="T87" fmla="*/ 1088 h 548"/>
                              <a:gd name="T88" fmla="+- 0 2206 2198"/>
                              <a:gd name="T89" fmla="*/ T88 w 2820"/>
                              <a:gd name="T90" fmla="+- 0 1095 1010"/>
                              <a:gd name="T91" fmla="*/ 1095 h 548"/>
                              <a:gd name="T92" fmla="+- 0 2213 2198"/>
                              <a:gd name="T93" fmla="*/ T92 w 2820"/>
                              <a:gd name="T94" fmla="+- 0 1095 1010"/>
                              <a:gd name="T95" fmla="*/ 1095 h 548"/>
                              <a:gd name="T96" fmla="+- 0 2213 2198"/>
                              <a:gd name="T97" fmla="*/ T96 w 2820"/>
                              <a:gd name="T98" fmla="+- 0 1088 1010"/>
                              <a:gd name="T99" fmla="*/ 1088 h 548"/>
                              <a:gd name="T100" fmla="+- 0 4988 2198"/>
                              <a:gd name="T101" fmla="*/ T100 w 2820"/>
                              <a:gd name="T102" fmla="+- 0 1088 1010"/>
                              <a:gd name="T103" fmla="*/ 1088 h 548"/>
                              <a:gd name="T104" fmla="+- 0 2213 2198"/>
                              <a:gd name="T105" fmla="*/ T104 w 2820"/>
                              <a:gd name="T106" fmla="+- 0 1088 1010"/>
                              <a:gd name="T107" fmla="*/ 1088 h 548"/>
                              <a:gd name="T108" fmla="+- 0 2213 2198"/>
                              <a:gd name="T109" fmla="*/ T108 w 2820"/>
                              <a:gd name="T110" fmla="+- 0 1095 1010"/>
                              <a:gd name="T111" fmla="*/ 1095 h 548"/>
                              <a:gd name="T112" fmla="+- 0 4978 2198"/>
                              <a:gd name="T113" fmla="*/ T112 w 2820"/>
                              <a:gd name="T114" fmla="+- 0 1095 1010"/>
                              <a:gd name="T115" fmla="*/ 1095 h 548"/>
                              <a:gd name="T116" fmla="+- 0 4989 2198"/>
                              <a:gd name="T117" fmla="*/ T116 w 2820"/>
                              <a:gd name="T118" fmla="+- 0 1089 1010"/>
                              <a:gd name="T119" fmla="*/ 1089 h 548"/>
                              <a:gd name="T120" fmla="+- 0 4988 2198"/>
                              <a:gd name="T121" fmla="*/ T120 w 2820"/>
                              <a:gd name="T122" fmla="+- 0 1088 1010"/>
                              <a:gd name="T123" fmla="*/ 1088 h 548"/>
                              <a:gd name="T124" fmla="+- 0 5000 2198"/>
                              <a:gd name="T125" fmla="*/ T124 w 2820"/>
                              <a:gd name="T126" fmla="+- 0 1082 1010"/>
                              <a:gd name="T127" fmla="*/ 1082 h 548"/>
                              <a:gd name="T128" fmla="+- 0 4989 2198"/>
                              <a:gd name="T129" fmla="*/ T128 w 2820"/>
                              <a:gd name="T130" fmla="+- 0 1089 1010"/>
                              <a:gd name="T131" fmla="*/ 1089 h 548"/>
                              <a:gd name="T132" fmla="+- 0 5000 2198"/>
                              <a:gd name="T133" fmla="*/ T132 w 2820"/>
                              <a:gd name="T134" fmla="+- 0 1095 1010"/>
                              <a:gd name="T135" fmla="*/ 1095 h 548"/>
                              <a:gd name="T136" fmla="+- 0 5000 2198"/>
                              <a:gd name="T137" fmla="*/ T136 w 2820"/>
                              <a:gd name="T138" fmla="+- 0 1082 1010"/>
                              <a:gd name="T139" fmla="*/ 1082 h 548"/>
                              <a:gd name="T140" fmla="+- 0 5004 2198"/>
                              <a:gd name="T141" fmla="*/ T140 w 2820"/>
                              <a:gd name="T142" fmla="+- 0 1082 1010"/>
                              <a:gd name="T143" fmla="*/ 1082 h 548"/>
                              <a:gd name="T144" fmla="+- 0 5000 2198"/>
                              <a:gd name="T145" fmla="*/ T144 w 2820"/>
                              <a:gd name="T146" fmla="+- 0 1082 1010"/>
                              <a:gd name="T147" fmla="*/ 1082 h 548"/>
                              <a:gd name="T148" fmla="+- 0 5000 2198"/>
                              <a:gd name="T149" fmla="*/ T148 w 2820"/>
                              <a:gd name="T150" fmla="+- 0 1095 1010"/>
                              <a:gd name="T151" fmla="*/ 1095 h 548"/>
                              <a:gd name="T152" fmla="+- 0 5004 2198"/>
                              <a:gd name="T153" fmla="*/ T152 w 2820"/>
                              <a:gd name="T154" fmla="+- 0 1095 1010"/>
                              <a:gd name="T155" fmla="*/ 1095 h 548"/>
                              <a:gd name="T156" fmla="+- 0 5004 2198"/>
                              <a:gd name="T157" fmla="*/ T156 w 2820"/>
                              <a:gd name="T158" fmla="+- 0 1082 1010"/>
                              <a:gd name="T159" fmla="*/ 1082 h 548"/>
                              <a:gd name="T160" fmla="+- 0 5006 2198"/>
                              <a:gd name="T161" fmla="*/ T160 w 2820"/>
                              <a:gd name="T162" fmla="+- 0 1081 1010"/>
                              <a:gd name="T163" fmla="*/ 1081 h 548"/>
                              <a:gd name="T164" fmla="+- 0 5004 2198"/>
                              <a:gd name="T165" fmla="*/ T164 w 2820"/>
                              <a:gd name="T166" fmla="+- 0 1081 1010"/>
                              <a:gd name="T167" fmla="*/ 1081 h 548"/>
                              <a:gd name="T168" fmla="+- 0 5004 2198"/>
                              <a:gd name="T169" fmla="*/ T168 w 2820"/>
                              <a:gd name="T170" fmla="+- 0 1095 1010"/>
                              <a:gd name="T171" fmla="*/ 1095 h 548"/>
                              <a:gd name="T172" fmla="+- 0 5006 2198"/>
                              <a:gd name="T173" fmla="*/ T172 w 2820"/>
                              <a:gd name="T174" fmla="+- 0 1095 1010"/>
                              <a:gd name="T175" fmla="*/ 1095 h 548"/>
                              <a:gd name="T176" fmla="+- 0 5018 2198"/>
                              <a:gd name="T177" fmla="*/ T176 w 2820"/>
                              <a:gd name="T178" fmla="+- 0 1088 1010"/>
                              <a:gd name="T179" fmla="*/ 1088 h 548"/>
                              <a:gd name="T180" fmla="+- 0 5006 2198"/>
                              <a:gd name="T181" fmla="*/ T180 w 2820"/>
                              <a:gd name="T182" fmla="+- 0 1081 1010"/>
                              <a:gd name="T183" fmla="*/ 1081 h 548"/>
                              <a:gd name="T184" fmla="+- 0 4884 2198"/>
                              <a:gd name="T185" fmla="*/ T184 w 2820"/>
                              <a:gd name="T186" fmla="+- 0 1010 1010"/>
                              <a:gd name="T187" fmla="*/ 1010 h 548"/>
                              <a:gd name="T188" fmla="+- 0 4879 2198"/>
                              <a:gd name="T189" fmla="*/ T188 w 2820"/>
                              <a:gd name="T190" fmla="+- 0 1011 1010"/>
                              <a:gd name="T191" fmla="*/ 1011 h 548"/>
                              <a:gd name="T192" fmla="+- 0 4877 2198"/>
                              <a:gd name="T193" fmla="*/ T192 w 2820"/>
                              <a:gd name="T194" fmla="+- 0 1015 1010"/>
                              <a:gd name="T195" fmla="*/ 1015 h 548"/>
                              <a:gd name="T196" fmla="+- 0 4876 2198"/>
                              <a:gd name="T197" fmla="*/ T196 w 2820"/>
                              <a:gd name="T198" fmla="+- 0 1018 1010"/>
                              <a:gd name="T199" fmla="*/ 1018 h 548"/>
                              <a:gd name="T200" fmla="+- 0 4877 2198"/>
                              <a:gd name="T201" fmla="*/ T200 w 2820"/>
                              <a:gd name="T202" fmla="+- 0 1022 1010"/>
                              <a:gd name="T203" fmla="*/ 1022 h 548"/>
                              <a:gd name="T204" fmla="+- 0 4880 2198"/>
                              <a:gd name="T205" fmla="*/ T204 w 2820"/>
                              <a:gd name="T206" fmla="+- 0 1024 1010"/>
                              <a:gd name="T207" fmla="*/ 1024 h 548"/>
                              <a:gd name="T208" fmla="+- 0 4989 2198"/>
                              <a:gd name="T209" fmla="*/ T208 w 2820"/>
                              <a:gd name="T210" fmla="+- 0 1089 1010"/>
                              <a:gd name="T211" fmla="*/ 1089 h 548"/>
                              <a:gd name="T212" fmla="+- 0 5000 2198"/>
                              <a:gd name="T213" fmla="*/ T212 w 2820"/>
                              <a:gd name="T214" fmla="+- 0 1082 1010"/>
                              <a:gd name="T215" fmla="*/ 1082 h 548"/>
                              <a:gd name="T216" fmla="+- 0 5004 2198"/>
                              <a:gd name="T217" fmla="*/ T216 w 2820"/>
                              <a:gd name="T218" fmla="+- 0 1082 1010"/>
                              <a:gd name="T219" fmla="*/ 1082 h 548"/>
                              <a:gd name="T220" fmla="+- 0 5004 2198"/>
                              <a:gd name="T221" fmla="*/ T220 w 2820"/>
                              <a:gd name="T222" fmla="+- 0 1081 1010"/>
                              <a:gd name="T223" fmla="*/ 1081 h 548"/>
                              <a:gd name="T224" fmla="+- 0 5006 2198"/>
                              <a:gd name="T225" fmla="*/ T224 w 2820"/>
                              <a:gd name="T226" fmla="+- 0 1081 1010"/>
                              <a:gd name="T227" fmla="*/ 1081 h 548"/>
                              <a:gd name="T228" fmla="+- 0 4888 2198"/>
                              <a:gd name="T229" fmla="*/ T228 w 2820"/>
                              <a:gd name="T230" fmla="+- 0 1011 1010"/>
                              <a:gd name="T231" fmla="*/ 1011 h 548"/>
                              <a:gd name="T232" fmla="+- 0 4884 2198"/>
                              <a:gd name="T233" fmla="*/ T232 w 2820"/>
                              <a:gd name="T234" fmla="+- 0 1010 1010"/>
                              <a:gd name="T235" fmla="*/ 1010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820" h="548">
                                <a:moveTo>
                                  <a:pt x="2778" y="71"/>
                                </a:moveTo>
                                <a:lnTo>
                                  <a:pt x="4" y="71"/>
                                </a:lnTo>
                                <a:lnTo>
                                  <a:pt x="0" y="74"/>
                                </a:lnTo>
                                <a:lnTo>
                                  <a:pt x="0" y="547"/>
                                </a:lnTo>
                                <a:lnTo>
                                  <a:pt x="15" y="547"/>
                                </a:lnTo>
                                <a:lnTo>
                                  <a:pt x="15" y="85"/>
                                </a:lnTo>
                                <a:lnTo>
                                  <a:pt x="8" y="85"/>
                                </a:lnTo>
                                <a:lnTo>
                                  <a:pt x="15" y="78"/>
                                </a:lnTo>
                                <a:lnTo>
                                  <a:pt x="2790" y="78"/>
                                </a:lnTo>
                                <a:lnTo>
                                  <a:pt x="2778" y="71"/>
                                </a:lnTo>
                                <a:close/>
                                <a:moveTo>
                                  <a:pt x="2791" y="79"/>
                                </a:moveTo>
                                <a:lnTo>
                                  <a:pt x="2682" y="142"/>
                                </a:lnTo>
                                <a:lnTo>
                                  <a:pt x="2679" y="144"/>
                                </a:lnTo>
                                <a:lnTo>
                                  <a:pt x="2678" y="149"/>
                                </a:lnTo>
                                <a:lnTo>
                                  <a:pt x="2679" y="152"/>
                                </a:lnTo>
                                <a:lnTo>
                                  <a:pt x="2681" y="156"/>
                                </a:lnTo>
                                <a:lnTo>
                                  <a:pt x="2686" y="157"/>
                                </a:lnTo>
                                <a:lnTo>
                                  <a:pt x="2690" y="155"/>
                                </a:lnTo>
                                <a:lnTo>
                                  <a:pt x="2808" y="85"/>
                                </a:lnTo>
                                <a:lnTo>
                                  <a:pt x="2802" y="85"/>
                                </a:lnTo>
                                <a:lnTo>
                                  <a:pt x="2791" y="79"/>
                                </a:lnTo>
                                <a:close/>
                                <a:moveTo>
                                  <a:pt x="15" y="78"/>
                                </a:moveTo>
                                <a:lnTo>
                                  <a:pt x="8" y="85"/>
                                </a:lnTo>
                                <a:lnTo>
                                  <a:pt x="15" y="85"/>
                                </a:lnTo>
                                <a:lnTo>
                                  <a:pt x="15" y="78"/>
                                </a:lnTo>
                                <a:close/>
                                <a:moveTo>
                                  <a:pt x="2790" y="78"/>
                                </a:moveTo>
                                <a:lnTo>
                                  <a:pt x="15" y="78"/>
                                </a:lnTo>
                                <a:lnTo>
                                  <a:pt x="15" y="85"/>
                                </a:lnTo>
                                <a:lnTo>
                                  <a:pt x="2780" y="85"/>
                                </a:lnTo>
                                <a:lnTo>
                                  <a:pt x="2791" y="79"/>
                                </a:lnTo>
                                <a:lnTo>
                                  <a:pt x="2790" y="78"/>
                                </a:lnTo>
                                <a:close/>
                                <a:moveTo>
                                  <a:pt x="2802" y="72"/>
                                </a:moveTo>
                                <a:lnTo>
                                  <a:pt x="2791" y="79"/>
                                </a:lnTo>
                                <a:lnTo>
                                  <a:pt x="2802" y="85"/>
                                </a:lnTo>
                                <a:lnTo>
                                  <a:pt x="2802" y="72"/>
                                </a:lnTo>
                                <a:close/>
                                <a:moveTo>
                                  <a:pt x="2806" y="72"/>
                                </a:moveTo>
                                <a:lnTo>
                                  <a:pt x="2802" y="72"/>
                                </a:lnTo>
                                <a:lnTo>
                                  <a:pt x="2802" y="85"/>
                                </a:lnTo>
                                <a:lnTo>
                                  <a:pt x="2806" y="85"/>
                                </a:lnTo>
                                <a:lnTo>
                                  <a:pt x="2806" y="72"/>
                                </a:lnTo>
                                <a:close/>
                                <a:moveTo>
                                  <a:pt x="2808" y="71"/>
                                </a:moveTo>
                                <a:lnTo>
                                  <a:pt x="2806" y="71"/>
                                </a:lnTo>
                                <a:lnTo>
                                  <a:pt x="2806" y="85"/>
                                </a:lnTo>
                                <a:lnTo>
                                  <a:pt x="2808" y="85"/>
                                </a:lnTo>
                                <a:lnTo>
                                  <a:pt x="2820" y="78"/>
                                </a:lnTo>
                                <a:lnTo>
                                  <a:pt x="2808" y="71"/>
                                </a:lnTo>
                                <a:close/>
                                <a:moveTo>
                                  <a:pt x="2686" y="0"/>
                                </a:moveTo>
                                <a:lnTo>
                                  <a:pt x="2681" y="1"/>
                                </a:lnTo>
                                <a:lnTo>
                                  <a:pt x="2679" y="5"/>
                                </a:lnTo>
                                <a:lnTo>
                                  <a:pt x="2678" y="8"/>
                                </a:lnTo>
                                <a:lnTo>
                                  <a:pt x="2679" y="12"/>
                                </a:lnTo>
                                <a:lnTo>
                                  <a:pt x="2682" y="14"/>
                                </a:lnTo>
                                <a:lnTo>
                                  <a:pt x="2791" y="79"/>
                                </a:lnTo>
                                <a:lnTo>
                                  <a:pt x="2802" y="72"/>
                                </a:lnTo>
                                <a:lnTo>
                                  <a:pt x="2806" y="72"/>
                                </a:lnTo>
                                <a:lnTo>
                                  <a:pt x="2806" y="71"/>
                                </a:lnTo>
                                <a:lnTo>
                                  <a:pt x="2808" y="71"/>
                                </a:lnTo>
                                <a:lnTo>
                                  <a:pt x="2690" y="1"/>
                                </a:lnTo>
                                <a:lnTo>
                                  <a:pt x="26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Rectangle 141"/>
                        <wps:cNvSpPr>
                          <a:spLocks noChangeArrowheads="1"/>
                        </wps:cNvSpPr>
                        <wps:spPr bwMode="auto">
                          <a:xfrm>
                            <a:off x="7290" y="1853"/>
                            <a:ext cx="3148" cy="466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AutoShape 140"/>
                        <wps:cNvSpPr>
                          <a:spLocks/>
                        </wps:cNvSpPr>
                        <wps:spPr bwMode="auto">
                          <a:xfrm>
                            <a:off x="7282" y="1845"/>
                            <a:ext cx="3162" cy="4680"/>
                          </a:xfrm>
                          <a:custGeom>
                            <a:avLst/>
                            <a:gdLst>
                              <a:gd name="T0" fmla="+- 0 7283 7283"/>
                              <a:gd name="T1" fmla="*/ T0 w 3162"/>
                              <a:gd name="T2" fmla="+- 0 6398 1845"/>
                              <a:gd name="T3" fmla="*/ 6398 h 4680"/>
                              <a:gd name="T4" fmla="+- 0 7404 7283"/>
                              <a:gd name="T5" fmla="*/ T4 w 3162"/>
                              <a:gd name="T6" fmla="+- 0 6518 1845"/>
                              <a:gd name="T7" fmla="*/ 6518 h 4680"/>
                              <a:gd name="T8" fmla="+- 0 7283 7283"/>
                              <a:gd name="T9" fmla="*/ T8 w 3162"/>
                              <a:gd name="T10" fmla="+- 0 6188 1845"/>
                              <a:gd name="T11" fmla="*/ 6188 h 4680"/>
                              <a:gd name="T12" fmla="+- 0 7283 7283"/>
                              <a:gd name="T13" fmla="*/ T12 w 3162"/>
                              <a:gd name="T14" fmla="+- 0 5738 1845"/>
                              <a:gd name="T15" fmla="*/ 5738 h 4680"/>
                              <a:gd name="T16" fmla="+- 0 7298 7283"/>
                              <a:gd name="T17" fmla="*/ T16 w 3162"/>
                              <a:gd name="T18" fmla="+- 0 5408 1845"/>
                              <a:gd name="T19" fmla="*/ 5408 h 4680"/>
                              <a:gd name="T20" fmla="+- 0 7298 7283"/>
                              <a:gd name="T21" fmla="*/ T20 w 3162"/>
                              <a:gd name="T22" fmla="+- 0 5244 1845"/>
                              <a:gd name="T23" fmla="*/ 5244 h 4680"/>
                              <a:gd name="T24" fmla="+- 0 7298 7283"/>
                              <a:gd name="T25" fmla="*/ T24 w 3162"/>
                              <a:gd name="T26" fmla="+- 0 5034 1845"/>
                              <a:gd name="T27" fmla="*/ 5034 h 4680"/>
                              <a:gd name="T28" fmla="+- 0 7283 7283"/>
                              <a:gd name="T29" fmla="*/ T28 w 3162"/>
                              <a:gd name="T30" fmla="+- 0 4704 1845"/>
                              <a:gd name="T31" fmla="*/ 4704 h 4680"/>
                              <a:gd name="T32" fmla="+- 0 7283 7283"/>
                              <a:gd name="T33" fmla="*/ T32 w 3162"/>
                              <a:gd name="T34" fmla="+- 0 4254 1845"/>
                              <a:gd name="T35" fmla="*/ 4254 h 4680"/>
                              <a:gd name="T36" fmla="+- 0 7298 7283"/>
                              <a:gd name="T37" fmla="*/ T36 w 3162"/>
                              <a:gd name="T38" fmla="+- 0 3924 1845"/>
                              <a:gd name="T39" fmla="*/ 3924 h 4680"/>
                              <a:gd name="T40" fmla="+- 0 7298 7283"/>
                              <a:gd name="T41" fmla="*/ T40 w 3162"/>
                              <a:gd name="T42" fmla="+- 0 3758 1845"/>
                              <a:gd name="T43" fmla="*/ 3758 h 4680"/>
                              <a:gd name="T44" fmla="+- 0 7298 7283"/>
                              <a:gd name="T45" fmla="*/ T44 w 3162"/>
                              <a:gd name="T46" fmla="+- 0 3548 1845"/>
                              <a:gd name="T47" fmla="*/ 3548 h 4680"/>
                              <a:gd name="T48" fmla="+- 0 7283 7283"/>
                              <a:gd name="T49" fmla="*/ T48 w 3162"/>
                              <a:gd name="T50" fmla="+- 0 3218 1845"/>
                              <a:gd name="T51" fmla="*/ 3218 h 4680"/>
                              <a:gd name="T52" fmla="+- 0 7283 7283"/>
                              <a:gd name="T53" fmla="*/ T52 w 3162"/>
                              <a:gd name="T54" fmla="+- 0 2768 1845"/>
                              <a:gd name="T55" fmla="*/ 2768 h 4680"/>
                              <a:gd name="T56" fmla="+- 0 7298 7283"/>
                              <a:gd name="T57" fmla="*/ T56 w 3162"/>
                              <a:gd name="T58" fmla="+- 0 2438 1845"/>
                              <a:gd name="T59" fmla="*/ 2438 h 4680"/>
                              <a:gd name="T60" fmla="+- 0 7298 7283"/>
                              <a:gd name="T61" fmla="*/ T60 w 3162"/>
                              <a:gd name="T62" fmla="+- 0 2274 1845"/>
                              <a:gd name="T63" fmla="*/ 2274 h 4680"/>
                              <a:gd name="T64" fmla="+- 0 7298 7283"/>
                              <a:gd name="T65" fmla="*/ T64 w 3162"/>
                              <a:gd name="T66" fmla="+- 0 2064 1845"/>
                              <a:gd name="T67" fmla="*/ 2064 h 4680"/>
                              <a:gd name="T68" fmla="+- 0 7298 7283"/>
                              <a:gd name="T69" fmla="*/ T68 w 3162"/>
                              <a:gd name="T70" fmla="+- 0 1854 1845"/>
                              <a:gd name="T71" fmla="*/ 1854 h 4680"/>
                              <a:gd name="T72" fmla="+- 0 7298 7283"/>
                              <a:gd name="T73" fmla="*/ T72 w 3162"/>
                              <a:gd name="T74" fmla="+- 0 1861 1845"/>
                              <a:gd name="T75" fmla="*/ 1861 h 4680"/>
                              <a:gd name="T76" fmla="+- 0 7576 7283"/>
                              <a:gd name="T77" fmla="*/ T76 w 3162"/>
                              <a:gd name="T78" fmla="+- 0 1845 1845"/>
                              <a:gd name="T79" fmla="*/ 1845 h 4680"/>
                              <a:gd name="T80" fmla="+- 0 8026 7283"/>
                              <a:gd name="T81" fmla="*/ T80 w 3162"/>
                              <a:gd name="T82" fmla="+- 0 1845 1845"/>
                              <a:gd name="T83" fmla="*/ 1845 h 4680"/>
                              <a:gd name="T84" fmla="+- 0 8190 7283"/>
                              <a:gd name="T85" fmla="*/ T84 w 3162"/>
                              <a:gd name="T86" fmla="+- 0 1845 1845"/>
                              <a:gd name="T87" fmla="*/ 1845 h 4680"/>
                              <a:gd name="T88" fmla="+- 0 8520 7283"/>
                              <a:gd name="T89" fmla="*/ T88 w 3162"/>
                              <a:gd name="T90" fmla="+- 0 1861 1845"/>
                              <a:gd name="T91" fmla="*/ 1861 h 4680"/>
                              <a:gd name="T92" fmla="+- 0 8730 7283"/>
                              <a:gd name="T93" fmla="*/ T92 w 3162"/>
                              <a:gd name="T94" fmla="+- 0 1861 1845"/>
                              <a:gd name="T95" fmla="*/ 1861 h 4680"/>
                              <a:gd name="T96" fmla="+- 0 9060 7283"/>
                              <a:gd name="T97" fmla="*/ T96 w 3162"/>
                              <a:gd name="T98" fmla="+- 0 1845 1845"/>
                              <a:gd name="T99" fmla="*/ 1845 h 4680"/>
                              <a:gd name="T100" fmla="+- 0 9510 7283"/>
                              <a:gd name="T101" fmla="*/ T100 w 3162"/>
                              <a:gd name="T102" fmla="+- 0 1845 1845"/>
                              <a:gd name="T103" fmla="*/ 1845 h 4680"/>
                              <a:gd name="T104" fmla="+- 0 9676 7283"/>
                              <a:gd name="T105" fmla="*/ T104 w 3162"/>
                              <a:gd name="T106" fmla="+- 0 1845 1845"/>
                              <a:gd name="T107" fmla="*/ 1845 h 4680"/>
                              <a:gd name="T108" fmla="+- 0 10006 7283"/>
                              <a:gd name="T109" fmla="*/ T108 w 3162"/>
                              <a:gd name="T110" fmla="+- 0 1861 1845"/>
                              <a:gd name="T111" fmla="*/ 1861 h 4680"/>
                              <a:gd name="T112" fmla="+- 0 10216 7283"/>
                              <a:gd name="T113" fmla="*/ T112 w 3162"/>
                              <a:gd name="T114" fmla="+- 0 1861 1845"/>
                              <a:gd name="T115" fmla="*/ 1861 h 4680"/>
                              <a:gd name="T116" fmla="+- 0 10441 7283"/>
                              <a:gd name="T117" fmla="*/ T116 w 3162"/>
                              <a:gd name="T118" fmla="+- 0 1845 1845"/>
                              <a:gd name="T119" fmla="*/ 1845 h 4680"/>
                              <a:gd name="T120" fmla="+- 0 10430 7283"/>
                              <a:gd name="T121" fmla="*/ T120 w 3162"/>
                              <a:gd name="T122" fmla="+- 0 1854 1845"/>
                              <a:gd name="T123" fmla="*/ 1854 h 4680"/>
                              <a:gd name="T124" fmla="+- 0 10445 7283"/>
                              <a:gd name="T125" fmla="*/ T124 w 3162"/>
                              <a:gd name="T126" fmla="+- 0 2126 1845"/>
                              <a:gd name="T127" fmla="*/ 2126 h 4680"/>
                              <a:gd name="T128" fmla="+- 0 10445 7283"/>
                              <a:gd name="T129" fmla="*/ T128 w 3162"/>
                              <a:gd name="T130" fmla="+- 0 2292 1845"/>
                              <a:gd name="T131" fmla="*/ 2292 h 4680"/>
                              <a:gd name="T132" fmla="+- 0 10445 7283"/>
                              <a:gd name="T133" fmla="*/ T132 w 3162"/>
                              <a:gd name="T134" fmla="+- 0 2742 1845"/>
                              <a:gd name="T135" fmla="*/ 2742 h 4680"/>
                              <a:gd name="T136" fmla="+- 0 10430 7283"/>
                              <a:gd name="T137" fmla="*/ T136 w 3162"/>
                              <a:gd name="T138" fmla="+- 0 3072 1845"/>
                              <a:gd name="T139" fmla="*/ 3072 h 4680"/>
                              <a:gd name="T140" fmla="+- 0 10430 7283"/>
                              <a:gd name="T141" fmla="*/ T140 w 3162"/>
                              <a:gd name="T142" fmla="+- 0 3282 1845"/>
                              <a:gd name="T143" fmla="*/ 3282 h 4680"/>
                              <a:gd name="T144" fmla="+- 0 10445 7283"/>
                              <a:gd name="T145" fmla="*/ T144 w 3162"/>
                              <a:gd name="T146" fmla="+- 0 3612 1845"/>
                              <a:gd name="T147" fmla="*/ 3612 h 4680"/>
                              <a:gd name="T148" fmla="+- 0 10445 7283"/>
                              <a:gd name="T149" fmla="*/ T148 w 3162"/>
                              <a:gd name="T150" fmla="+- 0 3776 1845"/>
                              <a:gd name="T151" fmla="*/ 3776 h 4680"/>
                              <a:gd name="T152" fmla="+- 0 10445 7283"/>
                              <a:gd name="T153" fmla="*/ T152 w 3162"/>
                              <a:gd name="T154" fmla="+- 0 4226 1845"/>
                              <a:gd name="T155" fmla="*/ 4226 h 4680"/>
                              <a:gd name="T156" fmla="+- 0 10430 7283"/>
                              <a:gd name="T157" fmla="*/ T156 w 3162"/>
                              <a:gd name="T158" fmla="+- 0 4556 1845"/>
                              <a:gd name="T159" fmla="*/ 4556 h 4680"/>
                              <a:gd name="T160" fmla="+- 0 10430 7283"/>
                              <a:gd name="T161" fmla="*/ T160 w 3162"/>
                              <a:gd name="T162" fmla="+- 0 4766 1845"/>
                              <a:gd name="T163" fmla="*/ 4766 h 4680"/>
                              <a:gd name="T164" fmla="+- 0 10445 7283"/>
                              <a:gd name="T165" fmla="*/ T164 w 3162"/>
                              <a:gd name="T166" fmla="+- 0 5096 1845"/>
                              <a:gd name="T167" fmla="*/ 5096 h 4680"/>
                              <a:gd name="T168" fmla="+- 0 10445 7283"/>
                              <a:gd name="T169" fmla="*/ T168 w 3162"/>
                              <a:gd name="T170" fmla="+- 0 5262 1845"/>
                              <a:gd name="T171" fmla="*/ 5262 h 4680"/>
                              <a:gd name="T172" fmla="+- 0 10445 7283"/>
                              <a:gd name="T173" fmla="*/ T172 w 3162"/>
                              <a:gd name="T174" fmla="+- 0 5712 1845"/>
                              <a:gd name="T175" fmla="*/ 5712 h 4680"/>
                              <a:gd name="T176" fmla="+- 0 10430 7283"/>
                              <a:gd name="T177" fmla="*/ T176 w 3162"/>
                              <a:gd name="T178" fmla="+- 0 6042 1845"/>
                              <a:gd name="T179" fmla="*/ 6042 h 4680"/>
                              <a:gd name="T180" fmla="+- 0 10430 7283"/>
                              <a:gd name="T181" fmla="*/ T180 w 3162"/>
                              <a:gd name="T182" fmla="+- 0 6252 1845"/>
                              <a:gd name="T183" fmla="*/ 6252 h 4680"/>
                              <a:gd name="T184" fmla="+- 0 10445 7283"/>
                              <a:gd name="T185" fmla="*/ T184 w 3162"/>
                              <a:gd name="T186" fmla="+- 0 6518 1845"/>
                              <a:gd name="T187" fmla="*/ 6518 h 4680"/>
                              <a:gd name="T188" fmla="+- 0 10445 7283"/>
                              <a:gd name="T189" fmla="*/ T188 w 3162"/>
                              <a:gd name="T190" fmla="+- 0 6511 1845"/>
                              <a:gd name="T191" fmla="*/ 6511 h 4680"/>
                              <a:gd name="T192" fmla="+- 0 10374 7283"/>
                              <a:gd name="T193" fmla="*/ T192 w 3162"/>
                              <a:gd name="T194" fmla="+- 0 6511 1845"/>
                              <a:gd name="T195" fmla="*/ 6511 h 4680"/>
                              <a:gd name="T196" fmla="+- 0 10044 7283"/>
                              <a:gd name="T197" fmla="*/ T196 w 3162"/>
                              <a:gd name="T198" fmla="+- 0 6525 1845"/>
                              <a:gd name="T199" fmla="*/ 6525 h 4680"/>
                              <a:gd name="T200" fmla="+- 0 9594 7283"/>
                              <a:gd name="T201" fmla="*/ T200 w 3162"/>
                              <a:gd name="T202" fmla="+- 0 6525 1845"/>
                              <a:gd name="T203" fmla="*/ 6525 h 4680"/>
                              <a:gd name="T204" fmla="+- 0 9264 7283"/>
                              <a:gd name="T205" fmla="*/ T204 w 3162"/>
                              <a:gd name="T206" fmla="+- 0 6511 1845"/>
                              <a:gd name="T207" fmla="*/ 6511 h 4680"/>
                              <a:gd name="T208" fmla="+- 0 9054 7283"/>
                              <a:gd name="T209" fmla="*/ T208 w 3162"/>
                              <a:gd name="T210" fmla="+- 0 6511 1845"/>
                              <a:gd name="T211" fmla="*/ 6511 h 4680"/>
                              <a:gd name="T212" fmla="+- 0 8890 7283"/>
                              <a:gd name="T213" fmla="*/ T212 w 3162"/>
                              <a:gd name="T214" fmla="+- 0 6511 1845"/>
                              <a:gd name="T215" fmla="*/ 6511 h 4680"/>
                              <a:gd name="T216" fmla="+- 0 8560 7283"/>
                              <a:gd name="T217" fmla="*/ T216 w 3162"/>
                              <a:gd name="T218" fmla="+- 0 6525 1845"/>
                              <a:gd name="T219" fmla="*/ 6525 h 4680"/>
                              <a:gd name="T220" fmla="+- 0 8110 7283"/>
                              <a:gd name="T221" fmla="*/ T220 w 3162"/>
                              <a:gd name="T222" fmla="+- 0 6525 1845"/>
                              <a:gd name="T223" fmla="*/ 6525 h 4680"/>
                              <a:gd name="T224" fmla="+- 0 7780 7283"/>
                              <a:gd name="T225" fmla="*/ T224 w 3162"/>
                              <a:gd name="T226" fmla="+- 0 6511 1845"/>
                              <a:gd name="T227" fmla="*/ 6511 h 4680"/>
                              <a:gd name="T228" fmla="+- 0 7570 7283"/>
                              <a:gd name="T229" fmla="*/ T228 w 3162"/>
                              <a:gd name="T230" fmla="+- 0 6511 1845"/>
                              <a:gd name="T231" fmla="*/ 6511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162" h="4680">
                                <a:moveTo>
                                  <a:pt x="15" y="4666"/>
                                </a:moveTo>
                                <a:lnTo>
                                  <a:pt x="7" y="4666"/>
                                </a:lnTo>
                                <a:lnTo>
                                  <a:pt x="7" y="4680"/>
                                </a:lnTo>
                                <a:lnTo>
                                  <a:pt x="121" y="4680"/>
                                </a:lnTo>
                                <a:lnTo>
                                  <a:pt x="121" y="4673"/>
                                </a:lnTo>
                                <a:lnTo>
                                  <a:pt x="15" y="4673"/>
                                </a:lnTo>
                                <a:lnTo>
                                  <a:pt x="15" y="4666"/>
                                </a:lnTo>
                                <a:close/>
                                <a:moveTo>
                                  <a:pt x="15" y="4553"/>
                                </a:moveTo>
                                <a:lnTo>
                                  <a:pt x="0" y="4553"/>
                                </a:lnTo>
                                <a:lnTo>
                                  <a:pt x="0" y="4673"/>
                                </a:lnTo>
                                <a:lnTo>
                                  <a:pt x="7" y="4673"/>
                                </a:lnTo>
                                <a:lnTo>
                                  <a:pt x="7" y="4666"/>
                                </a:lnTo>
                                <a:lnTo>
                                  <a:pt x="15" y="4666"/>
                                </a:lnTo>
                                <a:lnTo>
                                  <a:pt x="15" y="4553"/>
                                </a:lnTo>
                                <a:close/>
                                <a:moveTo>
                                  <a:pt x="121" y="4666"/>
                                </a:moveTo>
                                <a:lnTo>
                                  <a:pt x="15" y="4666"/>
                                </a:lnTo>
                                <a:lnTo>
                                  <a:pt x="15" y="4673"/>
                                </a:lnTo>
                                <a:lnTo>
                                  <a:pt x="121" y="4673"/>
                                </a:lnTo>
                                <a:lnTo>
                                  <a:pt x="121" y="4666"/>
                                </a:lnTo>
                                <a:close/>
                                <a:moveTo>
                                  <a:pt x="15" y="4389"/>
                                </a:moveTo>
                                <a:lnTo>
                                  <a:pt x="0" y="4389"/>
                                </a:lnTo>
                                <a:lnTo>
                                  <a:pt x="0" y="4509"/>
                                </a:lnTo>
                                <a:lnTo>
                                  <a:pt x="15" y="4509"/>
                                </a:lnTo>
                                <a:lnTo>
                                  <a:pt x="15" y="4389"/>
                                </a:lnTo>
                                <a:close/>
                                <a:moveTo>
                                  <a:pt x="15" y="4223"/>
                                </a:moveTo>
                                <a:lnTo>
                                  <a:pt x="0" y="4223"/>
                                </a:lnTo>
                                <a:lnTo>
                                  <a:pt x="0" y="4343"/>
                                </a:lnTo>
                                <a:lnTo>
                                  <a:pt x="15" y="4343"/>
                                </a:lnTo>
                                <a:lnTo>
                                  <a:pt x="15" y="4223"/>
                                </a:lnTo>
                                <a:close/>
                                <a:moveTo>
                                  <a:pt x="15" y="4059"/>
                                </a:moveTo>
                                <a:lnTo>
                                  <a:pt x="0" y="4059"/>
                                </a:lnTo>
                                <a:lnTo>
                                  <a:pt x="0" y="4179"/>
                                </a:lnTo>
                                <a:lnTo>
                                  <a:pt x="15" y="4179"/>
                                </a:lnTo>
                                <a:lnTo>
                                  <a:pt x="15" y="4059"/>
                                </a:lnTo>
                                <a:close/>
                                <a:moveTo>
                                  <a:pt x="15" y="3893"/>
                                </a:moveTo>
                                <a:lnTo>
                                  <a:pt x="0" y="3893"/>
                                </a:lnTo>
                                <a:lnTo>
                                  <a:pt x="0" y="4013"/>
                                </a:lnTo>
                                <a:lnTo>
                                  <a:pt x="15" y="4013"/>
                                </a:lnTo>
                                <a:lnTo>
                                  <a:pt x="15" y="3893"/>
                                </a:lnTo>
                                <a:close/>
                                <a:moveTo>
                                  <a:pt x="15" y="3729"/>
                                </a:moveTo>
                                <a:lnTo>
                                  <a:pt x="0" y="3729"/>
                                </a:lnTo>
                                <a:lnTo>
                                  <a:pt x="0" y="3849"/>
                                </a:lnTo>
                                <a:lnTo>
                                  <a:pt x="15" y="3849"/>
                                </a:lnTo>
                                <a:lnTo>
                                  <a:pt x="15" y="3729"/>
                                </a:lnTo>
                                <a:close/>
                                <a:moveTo>
                                  <a:pt x="15" y="3563"/>
                                </a:moveTo>
                                <a:lnTo>
                                  <a:pt x="0" y="3563"/>
                                </a:lnTo>
                                <a:lnTo>
                                  <a:pt x="0" y="3683"/>
                                </a:lnTo>
                                <a:lnTo>
                                  <a:pt x="15" y="3683"/>
                                </a:lnTo>
                                <a:lnTo>
                                  <a:pt x="15" y="3563"/>
                                </a:lnTo>
                                <a:close/>
                                <a:moveTo>
                                  <a:pt x="15" y="3399"/>
                                </a:moveTo>
                                <a:lnTo>
                                  <a:pt x="0" y="3399"/>
                                </a:lnTo>
                                <a:lnTo>
                                  <a:pt x="0" y="3519"/>
                                </a:lnTo>
                                <a:lnTo>
                                  <a:pt x="15" y="3519"/>
                                </a:lnTo>
                                <a:lnTo>
                                  <a:pt x="15" y="3399"/>
                                </a:lnTo>
                                <a:close/>
                                <a:moveTo>
                                  <a:pt x="15" y="3233"/>
                                </a:moveTo>
                                <a:lnTo>
                                  <a:pt x="0" y="3233"/>
                                </a:lnTo>
                                <a:lnTo>
                                  <a:pt x="0" y="3353"/>
                                </a:lnTo>
                                <a:lnTo>
                                  <a:pt x="15" y="3353"/>
                                </a:lnTo>
                                <a:lnTo>
                                  <a:pt x="15" y="3233"/>
                                </a:lnTo>
                                <a:close/>
                                <a:moveTo>
                                  <a:pt x="15" y="3069"/>
                                </a:moveTo>
                                <a:lnTo>
                                  <a:pt x="0" y="3069"/>
                                </a:lnTo>
                                <a:lnTo>
                                  <a:pt x="0" y="3189"/>
                                </a:lnTo>
                                <a:lnTo>
                                  <a:pt x="15" y="3189"/>
                                </a:lnTo>
                                <a:lnTo>
                                  <a:pt x="15" y="3069"/>
                                </a:lnTo>
                                <a:close/>
                                <a:moveTo>
                                  <a:pt x="15" y="2903"/>
                                </a:moveTo>
                                <a:lnTo>
                                  <a:pt x="0" y="2903"/>
                                </a:lnTo>
                                <a:lnTo>
                                  <a:pt x="0" y="3023"/>
                                </a:lnTo>
                                <a:lnTo>
                                  <a:pt x="15" y="3023"/>
                                </a:lnTo>
                                <a:lnTo>
                                  <a:pt x="15" y="2903"/>
                                </a:lnTo>
                                <a:close/>
                                <a:moveTo>
                                  <a:pt x="15" y="2739"/>
                                </a:moveTo>
                                <a:lnTo>
                                  <a:pt x="0" y="2739"/>
                                </a:lnTo>
                                <a:lnTo>
                                  <a:pt x="0" y="2859"/>
                                </a:lnTo>
                                <a:lnTo>
                                  <a:pt x="15" y="2859"/>
                                </a:lnTo>
                                <a:lnTo>
                                  <a:pt x="15" y="2739"/>
                                </a:lnTo>
                                <a:close/>
                                <a:moveTo>
                                  <a:pt x="15" y="2573"/>
                                </a:moveTo>
                                <a:lnTo>
                                  <a:pt x="0" y="2573"/>
                                </a:lnTo>
                                <a:lnTo>
                                  <a:pt x="0" y="2693"/>
                                </a:lnTo>
                                <a:lnTo>
                                  <a:pt x="15" y="2693"/>
                                </a:lnTo>
                                <a:lnTo>
                                  <a:pt x="15" y="2573"/>
                                </a:lnTo>
                                <a:close/>
                                <a:moveTo>
                                  <a:pt x="15" y="2409"/>
                                </a:moveTo>
                                <a:lnTo>
                                  <a:pt x="0" y="2409"/>
                                </a:lnTo>
                                <a:lnTo>
                                  <a:pt x="0" y="2529"/>
                                </a:lnTo>
                                <a:lnTo>
                                  <a:pt x="15" y="2529"/>
                                </a:lnTo>
                                <a:lnTo>
                                  <a:pt x="15" y="2409"/>
                                </a:lnTo>
                                <a:close/>
                                <a:moveTo>
                                  <a:pt x="15" y="2243"/>
                                </a:moveTo>
                                <a:lnTo>
                                  <a:pt x="0" y="2243"/>
                                </a:lnTo>
                                <a:lnTo>
                                  <a:pt x="0" y="2363"/>
                                </a:lnTo>
                                <a:lnTo>
                                  <a:pt x="15" y="2363"/>
                                </a:lnTo>
                                <a:lnTo>
                                  <a:pt x="15" y="2243"/>
                                </a:lnTo>
                                <a:close/>
                                <a:moveTo>
                                  <a:pt x="15" y="2079"/>
                                </a:moveTo>
                                <a:lnTo>
                                  <a:pt x="0" y="2079"/>
                                </a:lnTo>
                                <a:lnTo>
                                  <a:pt x="0" y="2199"/>
                                </a:lnTo>
                                <a:lnTo>
                                  <a:pt x="15" y="2199"/>
                                </a:lnTo>
                                <a:lnTo>
                                  <a:pt x="15" y="2079"/>
                                </a:lnTo>
                                <a:close/>
                                <a:moveTo>
                                  <a:pt x="15" y="1913"/>
                                </a:moveTo>
                                <a:lnTo>
                                  <a:pt x="0" y="1913"/>
                                </a:lnTo>
                                <a:lnTo>
                                  <a:pt x="0" y="2033"/>
                                </a:lnTo>
                                <a:lnTo>
                                  <a:pt x="15" y="2033"/>
                                </a:lnTo>
                                <a:lnTo>
                                  <a:pt x="15" y="1913"/>
                                </a:lnTo>
                                <a:close/>
                                <a:moveTo>
                                  <a:pt x="15" y="1749"/>
                                </a:moveTo>
                                <a:lnTo>
                                  <a:pt x="0" y="1749"/>
                                </a:lnTo>
                                <a:lnTo>
                                  <a:pt x="0" y="1869"/>
                                </a:lnTo>
                                <a:lnTo>
                                  <a:pt x="15" y="1869"/>
                                </a:lnTo>
                                <a:lnTo>
                                  <a:pt x="15" y="1749"/>
                                </a:lnTo>
                                <a:close/>
                                <a:moveTo>
                                  <a:pt x="15" y="1583"/>
                                </a:moveTo>
                                <a:lnTo>
                                  <a:pt x="0" y="1583"/>
                                </a:lnTo>
                                <a:lnTo>
                                  <a:pt x="0" y="1703"/>
                                </a:lnTo>
                                <a:lnTo>
                                  <a:pt x="15" y="1703"/>
                                </a:lnTo>
                                <a:lnTo>
                                  <a:pt x="15" y="1583"/>
                                </a:lnTo>
                                <a:close/>
                                <a:moveTo>
                                  <a:pt x="15" y="1419"/>
                                </a:moveTo>
                                <a:lnTo>
                                  <a:pt x="0" y="1419"/>
                                </a:lnTo>
                                <a:lnTo>
                                  <a:pt x="0" y="1539"/>
                                </a:lnTo>
                                <a:lnTo>
                                  <a:pt x="15" y="1539"/>
                                </a:lnTo>
                                <a:lnTo>
                                  <a:pt x="15" y="1419"/>
                                </a:lnTo>
                                <a:close/>
                                <a:moveTo>
                                  <a:pt x="15" y="1253"/>
                                </a:moveTo>
                                <a:lnTo>
                                  <a:pt x="0" y="1253"/>
                                </a:lnTo>
                                <a:lnTo>
                                  <a:pt x="0" y="1373"/>
                                </a:lnTo>
                                <a:lnTo>
                                  <a:pt x="15" y="1373"/>
                                </a:lnTo>
                                <a:lnTo>
                                  <a:pt x="15" y="1253"/>
                                </a:lnTo>
                                <a:close/>
                                <a:moveTo>
                                  <a:pt x="15" y="1089"/>
                                </a:moveTo>
                                <a:lnTo>
                                  <a:pt x="0" y="1089"/>
                                </a:lnTo>
                                <a:lnTo>
                                  <a:pt x="0" y="1209"/>
                                </a:lnTo>
                                <a:lnTo>
                                  <a:pt x="15" y="1209"/>
                                </a:lnTo>
                                <a:lnTo>
                                  <a:pt x="15" y="1089"/>
                                </a:lnTo>
                                <a:close/>
                                <a:moveTo>
                                  <a:pt x="15" y="923"/>
                                </a:moveTo>
                                <a:lnTo>
                                  <a:pt x="0" y="923"/>
                                </a:lnTo>
                                <a:lnTo>
                                  <a:pt x="0" y="1043"/>
                                </a:lnTo>
                                <a:lnTo>
                                  <a:pt x="15" y="1043"/>
                                </a:lnTo>
                                <a:lnTo>
                                  <a:pt x="15" y="923"/>
                                </a:lnTo>
                                <a:close/>
                                <a:moveTo>
                                  <a:pt x="15" y="759"/>
                                </a:moveTo>
                                <a:lnTo>
                                  <a:pt x="0" y="759"/>
                                </a:lnTo>
                                <a:lnTo>
                                  <a:pt x="0" y="879"/>
                                </a:lnTo>
                                <a:lnTo>
                                  <a:pt x="15" y="879"/>
                                </a:lnTo>
                                <a:lnTo>
                                  <a:pt x="15" y="759"/>
                                </a:lnTo>
                                <a:close/>
                                <a:moveTo>
                                  <a:pt x="15" y="593"/>
                                </a:moveTo>
                                <a:lnTo>
                                  <a:pt x="0" y="593"/>
                                </a:lnTo>
                                <a:lnTo>
                                  <a:pt x="0" y="713"/>
                                </a:lnTo>
                                <a:lnTo>
                                  <a:pt x="15" y="713"/>
                                </a:lnTo>
                                <a:lnTo>
                                  <a:pt x="15" y="593"/>
                                </a:lnTo>
                                <a:close/>
                                <a:moveTo>
                                  <a:pt x="15" y="429"/>
                                </a:moveTo>
                                <a:lnTo>
                                  <a:pt x="0" y="429"/>
                                </a:lnTo>
                                <a:lnTo>
                                  <a:pt x="0" y="549"/>
                                </a:lnTo>
                                <a:lnTo>
                                  <a:pt x="15" y="549"/>
                                </a:lnTo>
                                <a:lnTo>
                                  <a:pt x="15" y="429"/>
                                </a:lnTo>
                                <a:close/>
                                <a:moveTo>
                                  <a:pt x="15" y="263"/>
                                </a:moveTo>
                                <a:lnTo>
                                  <a:pt x="0" y="263"/>
                                </a:lnTo>
                                <a:lnTo>
                                  <a:pt x="0" y="383"/>
                                </a:lnTo>
                                <a:lnTo>
                                  <a:pt x="15" y="383"/>
                                </a:lnTo>
                                <a:lnTo>
                                  <a:pt x="15" y="263"/>
                                </a:lnTo>
                                <a:close/>
                                <a:moveTo>
                                  <a:pt x="15" y="99"/>
                                </a:moveTo>
                                <a:lnTo>
                                  <a:pt x="0" y="99"/>
                                </a:lnTo>
                                <a:lnTo>
                                  <a:pt x="0" y="219"/>
                                </a:lnTo>
                                <a:lnTo>
                                  <a:pt x="15" y="219"/>
                                </a:lnTo>
                                <a:lnTo>
                                  <a:pt x="15" y="99"/>
                                </a:lnTo>
                                <a:close/>
                                <a:moveTo>
                                  <a:pt x="83" y="0"/>
                                </a:moveTo>
                                <a:lnTo>
                                  <a:pt x="3" y="0"/>
                                </a:lnTo>
                                <a:lnTo>
                                  <a:pt x="0" y="4"/>
                                </a:lnTo>
                                <a:lnTo>
                                  <a:pt x="0" y="53"/>
                                </a:lnTo>
                                <a:lnTo>
                                  <a:pt x="15" y="53"/>
                                </a:lnTo>
                                <a:lnTo>
                                  <a:pt x="15" y="16"/>
                                </a:lnTo>
                                <a:lnTo>
                                  <a:pt x="7" y="16"/>
                                </a:lnTo>
                                <a:lnTo>
                                  <a:pt x="15" y="9"/>
                                </a:lnTo>
                                <a:lnTo>
                                  <a:pt x="83" y="9"/>
                                </a:lnTo>
                                <a:lnTo>
                                  <a:pt x="83" y="0"/>
                                </a:lnTo>
                                <a:close/>
                                <a:moveTo>
                                  <a:pt x="15" y="9"/>
                                </a:moveTo>
                                <a:lnTo>
                                  <a:pt x="7" y="16"/>
                                </a:lnTo>
                                <a:lnTo>
                                  <a:pt x="15" y="16"/>
                                </a:lnTo>
                                <a:lnTo>
                                  <a:pt x="15" y="9"/>
                                </a:lnTo>
                                <a:close/>
                                <a:moveTo>
                                  <a:pt x="83" y="9"/>
                                </a:moveTo>
                                <a:lnTo>
                                  <a:pt x="15" y="9"/>
                                </a:lnTo>
                                <a:lnTo>
                                  <a:pt x="15" y="16"/>
                                </a:lnTo>
                                <a:lnTo>
                                  <a:pt x="83" y="16"/>
                                </a:lnTo>
                                <a:lnTo>
                                  <a:pt x="83" y="9"/>
                                </a:lnTo>
                                <a:close/>
                                <a:moveTo>
                                  <a:pt x="247" y="0"/>
                                </a:moveTo>
                                <a:lnTo>
                                  <a:pt x="127" y="0"/>
                                </a:lnTo>
                                <a:lnTo>
                                  <a:pt x="127" y="16"/>
                                </a:lnTo>
                                <a:lnTo>
                                  <a:pt x="247" y="16"/>
                                </a:lnTo>
                                <a:lnTo>
                                  <a:pt x="247" y="0"/>
                                </a:lnTo>
                                <a:close/>
                                <a:moveTo>
                                  <a:pt x="413" y="0"/>
                                </a:moveTo>
                                <a:lnTo>
                                  <a:pt x="293" y="0"/>
                                </a:lnTo>
                                <a:lnTo>
                                  <a:pt x="293" y="16"/>
                                </a:lnTo>
                                <a:lnTo>
                                  <a:pt x="413" y="16"/>
                                </a:lnTo>
                                <a:lnTo>
                                  <a:pt x="413" y="0"/>
                                </a:lnTo>
                                <a:close/>
                                <a:moveTo>
                                  <a:pt x="577" y="0"/>
                                </a:moveTo>
                                <a:lnTo>
                                  <a:pt x="457" y="0"/>
                                </a:lnTo>
                                <a:lnTo>
                                  <a:pt x="457" y="16"/>
                                </a:lnTo>
                                <a:lnTo>
                                  <a:pt x="577" y="16"/>
                                </a:lnTo>
                                <a:lnTo>
                                  <a:pt x="577" y="0"/>
                                </a:lnTo>
                                <a:close/>
                                <a:moveTo>
                                  <a:pt x="743" y="0"/>
                                </a:moveTo>
                                <a:lnTo>
                                  <a:pt x="623" y="0"/>
                                </a:lnTo>
                                <a:lnTo>
                                  <a:pt x="623" y="16"/>
                                </a:lnTo>
                                <a:lnTo>
                                  <a:pt x="743" y="16"/>
                                </a:lnTo>
                                <a:lnTo>
                                  <a:pt x="743" y="0"/>
                                </a:lnTo>
                                <a:close/>
                                <a:moveTo>
                                  <a:pt x="907" y="0"/>
                                </a:moveTo>
                                <a:lnTo>
                                  <a:pt x="787" y="0"/>
                                </a:lnTo>
                                <a:lnTo>
                                  <a:pt x="787" y="16"/>
                                </a:lnTo>
                                <a:lnTo>
                                  <a:pt x="907" y="16"/>
                                </a:lnTo>
                                <a:lnTo>
                                  <a:pt x="907" y="0"/>
                                </a:lnTo>
                                <a:close/>
                                <a:moveTo>
                                  <a:pt x="1073" y="0"/>
                                </a:moveTo>
                                <a:lnTo>
                                  <a:pt x="953" y="0"/>
                                </a:lnTo>
                                <a:lnTo>
                                  <a:pt x="953" y="16"/>
                                </a:lnTo>
                                <a:lnTo>
                                  <a:pt x="1073" y="16"/>
                                </a:lnTo>
                                <a:lnTo>
                                  <a:pt x="1073" y="0"/>
                                </a:lnTo>
                                <a:close/>
                                <a:moveTo>
                                  <a:pt x="1237" y="0"/>
                                </a:moveTo>
                                <a:lnTo>
                                  <a:pt x="1117" y="0"/>
                                </a:lnTo>
                                <a:lnTo>
                                  <a:pt x="1117" y="16"/>
                                </a:lnTo>
                                <a:lnTo>
                                  <a:pt x="1237" y="16"/>
                                </a:lnTo>
                                <a:lnTo>
                                  <a:pt x="1237" y="0"/>
                                </a:lnTo>
                                <a:close/>
                                <a:moveTo>
                                  <a:pt x="1403" y="0"/>
                                </a:moveTo>
                                <a:lnTo>
                                  <a:pt x="1283" y="0"/>
                                </a:lnTo>
                                <a:lnTo>
                                  <a:pt x="1283" y="16"/>
                                </a:lnTo>
                                <a:lnTo>
                                  <a:pt x="1403" y="16"/>
                                </a:lnTo>
                                <a:lnTo>
                                  <a:pt x="1403" y="0"/>
                                </a:lnTo>
                                <a:close/>
                                <a:moveTo>
                                  <a:pt x="1567" y="0"/>
                                </a:moveTo>
                                <a:lnTo>
                                  <a:pt x="1447" y="0"/>
                                </a:lnTo>
                                <a:lnTo>
                                  <a:pt x="1447" y="16"/>
                                </a:lnTo>
                                <a:lnTo>
                                  <a:pt x="1567" y="16"/>
                                </a:lnTo>
                                <a:lnTo>
                                  <a:pt x="1567" y="0"/>
                                </a:lnTo>
                                <a:close/>
                                <a:moveTo>
                                  <a:pt x="1733" y="0"/>
                                </a:moveTo>
                                <a:lnTo>
                                  <a:pt x="1613" y="0"/>
                                </a:lnTo>
                                <a:lnTo>
                                  <a:pt x="1613" y="16"/>
                                </a:lnTo>
                                <a:lnTo>
                                  <a:pt x="1733" y="16"/>
                                </a:lnTo>
                                <a:lnTo>
                                  <a:pt x="1733" y="0"/>
                                </a:lnTo>
                                <a:close/>
                                <a:moveTo>
                                  <a:pt x="1897" y="0"/>
                                </a:moveTo>
                                <a:lnTo>
                                  <a:pt x="1777" y="0"/>
                                </a:lnTo>
                                <a:lnTo>
                                  <a:pt x="1777" y="16"/>
                                </a:lnTo>
                                <a:lnTo>
                                  <a:pt x="1897" y="16"/>
                                </a:lnTo>
                                <a:lnTo>
                                  <a:pt x="1897" y="0"/>
                                </a:lnTo>
                                <a:close/>
                                <a:moveTo>
                                  <a:pt x="2063" y="0"/>
                                </a:moveTo>
                                <a:lnTo>
                                  <a:pt x="1943" y="0"/>
                                </a:lnTo>
                                <a:lnTo>
                                  <a:pt x="1943" y="16"/>
                                </a:lnTo>
                                <a:lnTo>
                                  <a:pt x="2063" y="16"/>
                                </a:lnTo>
                                <a:lnTo>
                                  <a:pt x="2063" y="0"/>
                                </a:lnTo>
                                <a:close/>
                                <a:moveTo>
                                  <a:pt x="2227" y="0"/>
                                </a:moveTo>
                                <a:lnTo>
                                  <a:pt x="2107" y="0"/>
                                </a:lnTo>
                                <a:lnTo>
                                  <a:pt x="2107" y="16"/>
                                </a:lnTo>
                                <a:lnTo>
                                  <a:pt x="2227" y="16"/>
                                </a:lnTo>
                                <a:lnTo>
                                  <a:pt x="2227" y="0"/>
                                </a:lnTo>
                                <a:close/>
                                <a:moveTo>
                                  <a:pt x="2393" y="0"/>
                                </a:moveTo>
                                <a:lnTo>
                                  <a:pt x="2273" y="0"/>
                                </a:lnTo>
                                <a:lnTo>
                                  <a:pt x="2273" y="16"/>
                                </a:lnTo>
                                <a:lnTo>
                                  <a:pt x="2393" y="16"/>
                                </a:lnTo>
                                <a:lnTo>
                                  <a:pt x="2393" y="0"/>
                                </a:lnTo>
                                <a:close/>
                                <a:moveTo>
                                  <a:pt x="2557" y="0"/>
                                </a:moveTo>
                                <a:lnTo>
                                  <a:pt x="2437" y="0"/>
                                </a:lnTo>
                                <a:lnTo>
                                  <a:pt x="2437" y="16"/>
                                </a:lnTo>
                                <a:lnTo>
                                  <a:pt x="2557" y="16"/>
                                </a:lnTo>
                                <a:lnTo>
                                  <a:pt x="2557" y="0"/>
                                </a:lnTo>
                                <a:close/>
                                <a:moveTo>
                                  <a:pt x="2723" y="0"/>
                                </a:moveTo>
                                <a:lnTo>
                                  <a:pt x="2603" y="0"/>
                                </a:lnTo>
                                <a:lnTo>
                                  <a:pt x="2603" y="16"/>
                                </a:lnTo>
                                <a:lnTo>
                                  <a:pt x="2723" y="16"/>
                                </a:lnTo>
                                <a:lnTo>
                                  <a:pt x="2723" y="0"/>
                                </a:lnTo>
                                <a:close/>
                                <a:moveTo>
                                  <a:pt x="2887" y="0"/>
                                </a:moveTo>
                                <a:lnTo>
                                  <a:pt x="2767" y="0"/>
                                </a:lnTo>
                                <a:lnTo>
                                  <a:pt x="2767" y="16"/>
                                </a:lnTo>
                                <a:lnTo>
                                  <a:pt x="2887" y="16"/>
                                </a:lnTo>
                                <a:lnTo>
                                  <a:pt x="2887" y="0"/>
                                </a:lnTo>
                                <a:close/>
                                <a:moveTo>
                                  <a:pt x="3053" y="0"/>
                                </a:moveTo>
                                <a:lnTo>
                                  <a:pt x="2933" y="0"/>
                                </a:lnTo>
                                <a:lnTo>
                                  <a:pt x="2933" y="16"/>
                                </a:lnTo>
                                <a:lnTo>
                                  <a:pt x="3053" y="16"/>
                                </a:lnTo>
                                <a:lnTo>
                                  <a:pt x="3053" y="0"/>
                                </a:lnTo>
                                <a:close/>
                                <a:moveTo>
                                  <a:pt x="3147" y="9"/>
                                </a:moveTo>
                                <a:lnTo>
                                  <a:pt x="3147" y="71"/>
                                </a:lnTo>
                                <a:lnTo>
                                  <a:pt x="3162" y="71"/>
                                </a:lnTo>
                                <a:lnTo>
                                  <a:pt x="3162" y="16"/>
                                </a:lnTo>
                                <a:lnTo>
                                  <a:pt x="3155" y="16"/>
                                </a:lnTo>
                                <a:lnTo>
                                  <a:pt x="3147" y="9"/>
                                </a:lnTo>
                                <a:close/>
                                <a:moveTo>
                                  <a:pt x="3158" y="0"/>
                                </a:moveTo>
                                <a:lnTo>
                                  <a:pt x="3097" y="0"/>
                                </a:lnTo>
                                <a:lnTo>
                                  <a:pt x="3097" y="16"/>
                                </a:lnTo>
                                <a:lnTo>
                                  <a:pt x="3147" y="16"/>
                                </a:lnTo>
                                <a:lnTo>
                                  <a:pt x="3147" y="9"/>
                                </a:lnTo>
                                <a:lnTo>
                                  <a:pt x="3162" y="9"/>
                                </a:lnTo>
                                <a:lnTo>
                                  <a:pt x="3162" y="4"/>
                                </a:lnTo>
                                <a:lnTo>
                                  <a:pt x="3158" y="0"/>
                                </a:lnTo>
                                <a:close/>
                                <a:moveTo>
                                  <a:pt x="3162" y="9"/>
                                </a:moveTo>
                                <a:lnTo>
                                  <a:pt x="3147" y="9"/>
                                </a:lnTo>
                                <a:lnTo>
                                  <a:pt x="3155" y="16"/>
                                </a:lnTo>
                                <a:lnTo>
                                  <a:pt x="3162" y="16"/>
                                </a:lnTo>
                                <a:lnTo>
                                  <a:pt x="3162" y="9"/>
                                </a:lnTo>
                                <a:close/>
                                <a:moveTo>
                                  <a:pt x="3162" y="117"/>
                                </a:moveTo>
                                <a:lnTo>
                                  <a:pt x="3147" y="117"/>
                                </a:lnTo>
                                <a:lnTo>
                                  <a:pt x="3147" y="237"/>
                                </a:lnTo>
                                <a:lnTo>
                                  <a:pt x="3162" y="237"/>
                                </a:lnTo>
                                <a:lnTo>
                                  <a:pt x="3162" y="117"/>
                                </a:lnTo>
                                <a:close/>
                                <a:moveTo>
                                  <a:pt x="3162" y="281"/>
                                </a:moveTo>
                                <a:lnTo>
                                  <a:pt x="3147" y="281"/>
                                </a:lnTo>
                                <a:lnTo>
                                  <a:pt x="3147" y="401"/>
                                </a:lnTo>
                                <a:lnTo>
                                  <a:pt x="3162" y="401"/>
                                </a:lnTo>
                                <a:lnTo>
                                  <a:pt x="3162" y="281"/>
                                </a:lnTo>
                                <a:close/>
                                <a:moveTo>
                                  <a:pt x="3162" y="447"/>
                                </a:moveTo>
                                <a:lnTo>
                                  <a:pt x="3147" y="447"/>
                                </a:lnTo>
                                <a:lnTo>
                                  <a:pt x="3147" y="567"/>
                                </a:lnTo>
                                <a:lnTo>
                                  <a:pt x="3162" y="567"/>
                                </a:lnTo>
                                <a:lnTo>
                                  <a:pt x="3162" y="447"/>
                                </a:lnTo>
                                <a:close/>
                                <a:moveTo>
                                  <a:pt x="3162" y="611"/>
                                </a:moveTo>
                                <a:lnTo>
                                  <a:pt x="3147" y="611"/>
                                </a:lnTo>
                                <a:lnTo>
                                  <a:pt x="3147" y="731"/>
                                </a:lnTo>
                                <a:lnTo>
                                  <a:pt x="3162" y="731"/>
                                </a:lnTo>
                                <a:lnTo>
                                  <a:pt x="3162" y="611"/>
                                </a:lnTo>
                                <a:close/>
                                <a:moveTo>
                                  <a:pt x="3162" y="777"/>
                                </a:moveTo>
                                <a:lnTo>
                                  <a:pt x="3147" y="777"/>
                                </a:lnTo>
                                <a:lnTo>
                                  <a:pt x="3147" y="897"/>
                                </a:lnTo>
                                <a:lnTo>
                                  <a:pt x="3162" y="897"/>
                                </a:lnTo>
                                <a:lnTo>
                                  <a:pt x="3162" y="777"/>
                                </a:lnTo>
                                <a:close/>
                                <a:moveTo>
                                  <a:pt x="3162" y="941"/>
                                </a:moveTo>
                                <a:lnTo>
                                  <a:pt x="3147" y="941"/>
                                </a:lnTo>
                                <a:lnTo>
                                  <a:pt x="3147" y="1061"/>
                                </a:lnTo>
                                <a:lnTo>
                                  <a:pt x="3162" y="1061"/>
                                </a:lnTo>
                                <a:lnTo>
                                  <a:pt x="3162" y="941"/>
                                </a:lnTo>
                                <a:close/>
                                <a:moveTo>
                                  <a:pt x="3162" y="1107"/>
                                </a:moveTo>
                                <a:lnTo>
                                  <a:pt x="3147" y="1107"/>
                                </a:lnTo>
                                <a:lnTo>
                                  <a:pt x="3147" y="1227"/>
                                </a:lnTo>
                                <a:lnTo>
                                  <a:pt x="3162" y="1227"/>
                                </a:lnTo>
                                <a:lnTo>
                                  <a:pt x="3162" y="1107"/>
                                </a:lnTo>
                                <a:close/>
                                <a:moveTo>
                                  <a:pt x="3162" y="1271"/>
                                </a:moveTo>
                                <a:lnTo>
                                  <a:pt x="3147" y="1271"/>
                                </a:lnTo>
                                <a:lnTo>
                                  <a:pt x="3147" y="1391"/>
                                </a:lnTo>
                                <a:lnTo>
                                  <a:pt x="3162" y="1391"/>
                                </a:lnTo>
                                <a:lnTo>
                                  <a:pt x="3162" y="1271"/>
                                </a:lnTo>
                                <a:close/>
                                <a:moveTo>
                                  <a:pt x="3162" y="1437"/>
                                </a:moveTo>
                                <a:lnTo>
                                  <a:pt x="3147" y="1437"/>
                                </a:lnTo>
                                <a:lnTo>
                                  <a:pt x="3147" y="1557"/>
                                </a:lnTo>
                                <a:lnTo>
                                  <a:pt x="3162" y="1557"/>
                                </a:lnTo>
                                <a:lnTo>
                                  <a:pt x="3162" y="1437"/>
                                </a:lnTo>
                                <a:close/>
                                <a:moveTo>
                                  <a:pt x="3162" y="1601"/>
                                </a:moveTo>
                                <a:lnTo>
                                  <a:pt x="3147" y="1601"/>
                                </a:lnTo>
                                <a:lnTo>
                                  <a:pt x="3147" y="1721"/>
                                </a:lnTo>
                                <a:lnTo>
                                  <a:pt x="3162" y="1721"/>
                                </a:lnTo>
                                <a:lnTo>
                                  <a:pt x="3162" y="1601"/>
                                </a:lnTo>
                                <a:close/>
                                <a:moveTo>
                                  <a:pt x="3162" y="1767"/>
                                </a:moveTo>
                                <a:lnTo>
                                  <a:pt x="3147" y="1767"/>
                                </a:lnTo>
                                <a:lnTo>
                                  <a:pt x="3147" y="1887"/>
                                </a:lnTo>
                                <a:lnTo>
                                  <a:pt x="3162" y="1887"/>
                                </a:lnTo>
                                <a:lnTo>
                                  <a:pt x="3162" y="1767"/>
                                </a:lnTo>
                                <a:close/>
                                <a:moveTo>
                                  <a:pt x="3162" y="1931"/>
                                </a:moveTo>
                                <a:lnTo>
                                  <a:pt x="3147" y="1931"/>
                                </a:lnTo>
                                <a:lnTo>
                                  <a:pt x="3147" y="2051"/>
                                </a:lnTo>
                                <a:lnTo>
                                  <a:pt x="3162" y="2051"/>
                                </a:lnTo>
                                <a:lnTo>
                                  <a:pt x="3162" y="1931"/>
                                </a:lnTo>
                                <a:close/>
                                <a:moveTo>
                                  <a:pt x="3162" y="2097"/>
                                </a:moveTo>
                                <a:lnTo>
                                  <a:pt x="3147" y="2097"/>
                                </a:lnTo>
                                <a:lnTo>
                                  <a:pt x="3147" y="2217"/>
                                </a:lnTo>
                                <a:lnTo>
                                  <a:pt x="3162" y="2217"/>
                                </a:lnTo>
                                <a:lnTo>
                                  <a:pt x="3162" y="2097"/>
                                </a:lnTo>
                                <a:close/>
                                <a:moveTo>
                                  <a:pt x="3162" y="2261"/>
                                </a:moveTo>
                                <a:lnTo>
                                  <a:pt x="3147" y="2261"/>
                                </a:lnTo>
                                <a:lnTo>
                                  <a:pt x="3147" y="2381"/>
                                </a:lnTo>
                                <a:lnTo>
                                  <a:pt x="3162" y="2381"/>
                                </a:lnTo>
                                <a:lnTo>
                                  <a:pt x="3162" y="2261"/>
                                </a:lnTo>
                                <a:close/>
                                <a:moveTo>
                                  <a:pt x="3162" y="2427"/>
                                </a:moveTo>
                                <a:lnTo>
                                  <a:pt x="3147" y="2427"/>
                                </a:lnTo>
                                <a:lnTo>
                                  <a:pt x="3147" y="2547"/>
                                </a:lnTo>
                                <a:lnTo>
                                  <a:pt x="3162" y="2547"/>
                                </a:lnTo>
                                <a:lnTo>
                                  <a:pt x="3162" y="2427"/>
                                </a:lnTo>
                                <a:close/>
                                <a:moveTo>
                                  <a:pt x="3162" y="2591"/>
                                </a:moveTo>
                                <a:lnTo>
                                  <a:pt x="3147" y="2591"/>
                                </a:lnTo>
                                <a:lnTo>
                                  <a:pt x="3147" y="2711"/>
                                </a:lnTo>
                                <a:lnTo>
                                  <a:pt x="3162" y="2711"/>
                                </a:lnTo>
                                <a:lnTo>
                                  <a:pt x="3162" y="2591"/>
                                </a:lnTo>
                                <a:close/>
                                <a:moveTo>
                                  <a:pt x="3162" y="2757"/>
                                </a:moveTo>
                                <a:lnTo>
                                  <a:pt x="3147" y="2757"/>
                                </a:lnTo>
                                <a:lnTo>
                                  <a:pt x="3147" y="2877"/>
                                </a:lnTo>
                                <a:lnTo>
                                  <a:pt x="3162" y="2877"/>
                                </a:lnTo>
                                <a:lnTo>
                                  <a:pt x="3162" y="2757"/>
                                </a:lnTo>
                                <a:close/>
                                <a:moveTo>
                                  <a:pt x="3162" y="2921"/>
                                </a:moveTo>
                                <a:lnTo>
                                  <a:pt x="3147" y="2921"/>
                                </a:lnTo>
                                <a:lnTo>
                                  <a:pt x="3147" y="3041"/>
                                </a:lnTo>
                                <a:lnTo>
                                  <a:pt x="3162" y="3041"/>
                                </a:lnTo>
                                <a:lnTo>
                                  <a:pt x="3162" y="2921"/>
                                </a:lnTo>
                                <a:close/>
                                <a:moveTo>
                                  <a:pt x="3162" y="3087"/>
                                </a:moveTo>
                                <a:lnTo>
                                  <a:pt x="3147" y="3087"/>
                                </a:lnTo>
                                <a:lnTo>
                                  <a:pt x="3147" y="3207"/>
                                </a:lnTo>
                                <a:lnTo>
                                  <a:pt x="3162" y="3207"/>
                                </a:lnTo>
                                <a:lnTo>
                                  <a:pt x="3162" y="3087"/>
                                </a:lnTo>
                                <a:close/>
                                <a:moveTo>
                                  <a:pt x="3162" y="3251"/>
                                </a:moveTo>
                                <a:lnTo>
                                  <a:pt x="3147" y="3251"/>
                                </a:lnTo>
                                <a:lnTo>
                                  <a:pt x="3147" y="3371"/>
                                </a:lnTo>
                                <a:lnTo>
                                  <a:pt x="3162" y="3371"/>
                                </a:lnTo>
                                <a:lnTo>
                                  <a:pt x="3162" y="3251"/>
                                </a:lnTo>
                                <a:close/>
                                <a:moveTo>
                                  <a:pt x="3162" y="3417"/>
                                </a:moveTo>
                                <a:lnTo>
                                  <a:pt x="3147" y="3417"/>
                                </a:lnTo>
                                <a:lnTo>
                                  <a:pt x="3147" y="3537"/>
                                </a:lnTo>
                                <a:lnTo>
                                  <a:pt x="3162" y="3537"/>
                                </a:lnTo>
                                <a:lnTo>
                                  <a:pt x="3162" y="3417"/>
                                </a:lnTo>
                                <a:close/>
                                <a:moveTo>
                                  <a:pt x="3162" y="3581"/>
                                </a:moveTo>
                                <a:lnTo>
                                  <a:pt x="3147" y="3581"/>
                                </a:lnTo>
                                <a:lnTo>
                                  <a:pt x="3147" y="3701"/>
                                </a:lnTo>
                                <a:lnTo>
                                  <a:pt x="3162" y="3701"/>
                                </a:lnTo>
                                <a:lnTo>
                                  <a:pt x="3162" y="3581"/>
                                </a:lnTo>
                                <a:close/>
                                <a:moveTo>
                                  <a:pt x="3162" y="3747"/>
                                </a:moveTo>
                                <a:lnTo>
                                  <a:pt x="3147" y="3747"/>
                                </a:lnTo>
                                <a:lnTo>
                                  <a:pt x="3147" y="3867"/>
                                </a:lnTo>
                                <a:lnTo>
                                  <a:pt x="3162" y="3867"/>
                                </a:lnTo>
                                <a:lnTo>
                                  <a:pt x="3162" y="3747"/>
                                </a:lnTo>
                                <a:close/>
                                <a:moveTo>
                                  <a:pt x="3162" y="3911"/>
                                </a:moveTo>
                                <a:lnTo>
                                  <a:pt x="3147" y="3911"/>
                                </a:lnTo>
                                <a:lnTo>
                                  <a:pt x="3147" y="4031"/>
                                </a:lnTo>
                                <a:lnTo>
                                  <a:pt x="3162" y="4031"/>
                                </a:lnTo>
                                <a:lnTo>
                                  <a:pt x="3162" y="3911"/>
                                </a:lnTo>
                                <a:close/>
                                <a:moveTo>
                                  <a:pt x="3162" y="4077"/>
                                </a:moveTo>
                                <a:lnTo>
                                  <a:pt x="3147" y="4077"/>
                                </a:lnTo>
                                <a:lnTo>
                                  <a:pt x="3147" y="4197"/>
                                </a:lnTo>
                                <a:lnTo>
                                  <a:pt x="3162" y="4197"/>
                                </a:lnTo>
                                <a:lnTo>
                                  <a:pt x="3162" y="4077"/>
                                </a:lnTo>
                                <a:close/>
                                <a:moveTo>
                                  <a:pt x="3162" y="4241"/>
                                </a:moveTo>
                                <a:lnTo>
                                  <a:pt x="3147" y="4241"/>
                                </a:lnTo>
                                <a:lnTo>
                                  <a:pt x="3147" y="4361"/>
                                </a:lnTo>
                                <a:lnTo>
                                  <a:pt x="3162" y="4361"/>
                                </a:lnTo>
                                <a:lnTo>
                                  <a:pt x="3162" y="4241"/>
                                </a:lnTo>
                                <a:close/>
                                <a:moveTo>
                                  <a:pt x="3162" y="4407"/>
                                </a:moveTo>
                                <a:lnTo>
                                  <a:pt x="3147" y="4407"/>
                                </a:lnTo>
                                <a:lnTo>
                                  <a:pt x="3147" y="4527"/>
                                </a:lnTo>
                                <a:lnTo>
                                  <a:pt x="3162" y="4527"/>
                                </a:lnTo>
                                <a:lnTo>
                                  <a:pt x="3162" y="4407"/>
                                </a:lnTo>
                                <a:close/>
                                <a:moveTo>
                                  <a:pt x="3147" y="4666"/>
                                </a:moveTo>
                                <a:lnTo>
                                  <a:pt x="3137" y="4666"/>
                                </a:lnTo>
                                <a:lnTo>
                                  <a:pt x="3137" y="4680"/>
                                </a:lnTo>
                                <a:lnTo>
                                  <a:pt x="3158" y="4680"/>
                                </a:lnTo>
                                <a:lnTo>
                                  <a:pt x="3162" y="4678"/>
                                </a:lnTo>
                                <a:lnTo>
                                  <a:pt x="3162" y="4673"/>
                                </a:lnTo>
                                <a:lnTo>
                                  <a:pt x="3147" y="4673"/>
                                </a:lnTo>
                                <a:lnTo>
                                  <a:pt x="3147" y="4666"/>
                                </a:lnTo>
                                <a:close/>
                                <a:moveTo>
                                  <a:pt x="3162" y="4571"/>
                                </a:moveTo>
                                <a:lnTo>
                                  <a:pt x="3147" y="4571"/>
                                </a:lnTo>
                                <a:lnTo>
                                  <a:pt x="3147" y="4673"/>
                                </a:lnTo>
                                <a:lnTo>
                                  <a:pt x="3155" y="4666"/>
                                </a:lnTo>
                                <a:lnTo>
                                  <a:pt x="3162" y="4666"/>
                                </a:lnTo>
                                <a:lnTo>
                                  <a:pt x="3162" y="4571"/>
                                </a:lnTo>
                                <a:close/>
                                <a:moveTo>
                                  <a:pt x="3162" y="4666"/>
                                </a:moveTo>
                                <a:lnTo>
                                  <a:pt x="3155" y="4666"/>
                                </a:lnTo>
                                <a:lnTo>
                                  <a:pt x="3147" y="4673"/>
                                </a:lnTo>
                                <a:lnTo>
                                  <a:pt x="3162" y="4673"/>
                                </a:lnTo>
                                <a:lnTo>
                                  <a:pt x="3162" y="4666"/>
                                </a:lnTo>
                                <a:close/>
                                <a:moveTo>
                                  <a:pt x="3091" y="4666"/>
                                </a:moveTo>
                                <a:lnTo>
                                  <a:pt x="2971" y="4666"/>
                                </a:lnTo>
                                <a:lnTo>
                                  <a:pt x="2971" y="4680"/>
                                </a:lnTo>
                                <a:lnTo>
                                  <a:pt x="3091" y="4680"/>
                                </a:lnTo>
                                <a:lnTo>
                                  <a:pt x="3091" y="4666"/>
                                </a:lnTo>
                                <a:close/>
                                <a:moveTo>
                                  <a:pt x="2927" y="4666"/>
                                </a:moveTo>
                                <a:lnTo>
                                  <a:pt x="2807" y="4666"/>
                                </a:lnTo>
                                <a:lnTo>
                                  <a:pt x="2807" y="4680"/>
                                </a:lnTo>
                                <a:lnTo>
                                  <a:pt x="2927" y="4680"/>
                                </a:lnTo>
                                <a:lnTo>
                                  <a:pt x="2927" y="4666"/>
                                </a:lnTo>
                                <a:close/>
                                <a:moveTo>
                                  <a:pt x="2761" y="4666"/>
                                </a:moveTo>
                                <a:lnTo>
                                  <a:pt x="2641" y="4666"/>
                                </a:lnTo>
                                <a:lnTo>
                                  <a:pt x="2641" y="4680"/>
                                </a:lnTo>
                                <a:lnTo>
                                  <a:pt x="2761" y="4680"/>
                                </a:lnTo>
                                <a:lnTo>
                                  <a:pt x="2761" y="4666"/>
                                </a:lnTo>
                                <a:close/>
                                <a:moveTo>
                                  <a:pt x="2597" y="4666"/>
                                </a:moveTo>
                                <a:lnTo>
                                  <a:pt x="2477" y="4666"/>
                                </a:lnTo>
                                <a:lnTo>
                                  <a:pt x="2477" y="4680"/>
                                </a:lnTo>
                                <a:lnTo>
                                  <a:pt x="2597" y="4680"/>
                                </a:lnTo>
                                <a:lnTo>
                                  <a:pt x="2597" y="4666"/>
                                </a:lnTo>
                                <a:close/>
                                <a:moveTo>
                                  <a:pt x="2431" y="4666"/>
                                </a:moveTo>
                                <a:lnTo>
                                  <a:pt x="2311" y="4666"/>
                                </a:lnTo>
                                <a:lnTo>
                                  <a:pt x="2311" y="4680"/>
                                </a:lnTo>
                                <a:lnTo>
                                  <a:pt x="2431" y="4680"/>
                                </a:lnTo>
                                <a:lnTo>
                                  <a:pt x="2431" y="4666"/>
                                </a:lnTo>
                                <a:close/>
                                <a:moveTo>
                                  <a:pt x="2267" y="4666"/>
                                </a:moveTo>
                                <a:lnTo>
                                  <a:pt x="2147" y="4666"/>
                                </a:lnTo>
                                <a:lnTo>
                                  <a:pt x="2147" y="4680"/>
                                </a:lnTo>
                                <a:lnTo>
                                  <a:pt x="2267" y="4680"/>
                                </a:lnTo>
                                <a:lnTo>
                                  <a:pt x="2267" y="4666"/>
                                </a:lnTo>
                                <a:close/>
                                <a:moveTo>
                                  <a:pt x="2101" y="4666"/>
                                </a:moveTo>
                                <a:lnTo>
                                  <a:pt x="1981" y="4666"/>
                                </a:lnTo>
                                <a:lnTo>
                                  <a:pt x="1981" y="4680"/>
                                </a:lnTo>
                                <a:lnTo>
                                  <a:pt x="2101" y="4680"/>
                                </a:lnTo>
                                <a:lnTo>
                                  <a:pt x="2101" y="4666"/>
                                </a:lnTo>
                                <a:close/>
                                <a:moveTo>
                                  <a:pt x="1937" y="4666"/>
                                </a:moveTo>
                                <a:lnTo>
                                  <a:pt x="1817" y="4666"/>
                                </a:lnTo>
                                <a:lnTo>
                                  <a:pt x="1817" y="4680"/>
                                </a:lnTo>
                                <a:lnTo>
                                  <a:pt x="1937" y="4680"/>
                                </a:lnTo>
                                <a:lnTo>
                                  <a:pt x="1937" y="4666"/>
                                </a:lnTo>
                                <a:close/>
                                <a:moveTo>
                                  <a:pt x="1771" y="4666"/>
                                </a:moveTo>
                                <a:lnTo>
                                  <a:pt x="1651" y="4666"/>
                                </a:lnTo>
                                <a:lnTo>
                                  <a:pt x="1651" y="4680"/>
                                </a:lnTo>
                                <a:lnTo>
                                  <a:pt x="1771" y="4680"/>
                                </a:lnTo>
                                <a:lnTo>
                                  <a:pt x="1771" y="4666"/>
                                </a:lnTo>
                                <a:close/>
                                <a:moveTo>
                                  <a:pt x="1607" y="4666"/>
                                </a:moveTo>
                                <a:lnTo>
                                  <a:pt x="1487" y="4666"/>
                                </a:lnTo>
                                <a:lnTo>
                                  <a:pt x="1487" y="4680"/>
                                </a:lnTo>
                                <a:lnTo>
                                  <a:pt x="1607" y="4680"/>
                                </a:lnTo>
                                <a:lnTo>
                                  <a:pt x="1607" y="4666"/>
                                </a:lnTo>
                                <a:close/>
                                <a:moveTo>
                                  <a:pt x="1441" y="4666"/>
                                </a:moveTo>
                                <a:lnTo>
                                  <a:pt x="1321" y="4666"/>
                                </a:lnTo>
                                <a:lnTo>
                                  <a:pt x="1321" y="4680"/>
                                </a:lnTo>
                                <a:lnTo>
                                  <a:pt x="1441" y="4680"/>
                                </a:lnTo>
                                <a:lnTo>
                                  <a:pt x="1441" y="4666"/>
                                </a:lnTo>
                                <a:close/>
                                <a:moveTo>
                                  <a:pt x="1277" y="4666"/>
                                </a:moveTo>
                                <a:lnTo>
                                  <a:pt x="1157" y="4666"/>
                                </a:lnTo>
                                <a:lnTo>
                                  <a:pt x="1157" y="4680"/>
                                </a:lnTo>
                                <a:lnTo>
                                  <a:pt x="1277" y="4680"/>
                                </a:lnTo>
                                <a:lnTo>
                                  <a:pt x="1277" y="4666"/>
                                </a:lnTo>
                                <a:close/>
                                <a:moveTo>
                                  <a:pt x="1111" y="4666"/>
                                </a:moveTo>
                                <a:lnTo>
                                  <a:pt x="991" y="4666"/>
                                </a:lnTo>
                                <a:lnTo>
                                  <a:pt x="991" y="4680"/>
                                </a:lnTo>
                                <a:lnTo>
                                  <a:pt x="1111" y="4680"/>
                                </a:lnTo>
                                <a:lnTo>
                                  <a:pt x="1111" y="4666"/>
                                </a:lnTo>
                                <a:close/>
                                <a:moveTo>
                                  <a:pt x="947" y="4666"/>
                                </a:moveTo>
                                <a:lnTo>
                                  <a:pt x="827" y="4666"/>
                                </a:lnTo>
                                <a:lnTo>
                                  <a:pt x="827" y="4680"/>
                                </a:lnTo>
                                <a:lnTo>
                                  <a:pt x="947" y="4680"/>
                                </a:lnTo>
                                <a:lnTo>
                                  <a:pt x="947" y="4666"/>
                                </a:lnTo>
                                <a:close/>
                                <a:moveTo>
                                  <a:pt x="781" y="4666"/>
                                </a:moveTo>
                                <a:lnTo>
                                  <a:pt x="661" y="4666"/>
                                </a:lnTo>
                                <a:lnTo>
                                  <a:pt x="661" y="4680"/>
                                </a:lnTo>
                                <a:lnTo>
                                  <a:pt x="781" y="4680"/>
                                </a:lnTo>
                                <a:lnTo>
                                  <a:pt x="781" y="4666"/>
                                </a:lnTo>
                                <a:close/>
                                <a:moveTo>
                                  <a:pt x="617" y="4666"/>
                                </a:moveTo>
                                <a:lnTo>
                                  <a:pt x="497" y="4666"/>
                                </a:lnTo>
                                <a:lnTo>
                                  <a:pt x="497" y="4680"/>
                                </a:lnTo>
                                <a:lnTo>
                                  <a:pt x="617" y="4680"/>
                                </a:lnTo>
                                <a:lnTo>
                                  <a:pt x="617" y="4666"/>
                                </a:lnTo>
                                <a:close/>
                                <a:moveTo>
                                  <a:pt x="451" y="4666"/>
                                </a:moveTo>
                                <a:lnTo>
                                  <a:pt x="331" y="4666"/>
                                </a:lnTo>
                                <a:lnTo>
                                  <a:pt x="331" y="4680"/>
                                </a:lnTo>
                                <a:lnTo>
                                  <a:pt x="451" y="4680"/>
                                </a:lnTo>
                                <a:lnTo>
                                  <a:pt x="451" y="4666"/>
                                </a:lnTo>
                                <a:close/>
                                <a:moveTo>
                                  <a:pt x="287" y="4666"/>
                                </a:moveTo>
                                <a:lnTo>
                                  <a:pt x="167" y="4666"/>
                                </a:lnTo>
                                <a:lnTo>
                                  <a:pt x="167" y="4680"/>
                                </a:lnTo>
                                <a:lnTo>
                                  <a:pt x="287" y="4680"/>
                                </a:lnTo>
                                <a:lnTo>
                                  <a:pt x="287" y="4666"/>
                                </a:lnTo>
                                <a:close/>
                              </a:path>
                            </a:pathLst>
                          </a:custGeom>
                          <a:solidFill>
                            <a:srgbClr val="0081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 name="Picture 13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395" y="2348"/>
                            <a:ext cx="2109"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AutoShape 138"/>
                        <wps:cNvSpPr>
                          <a:spLocks/>
                        </wps:cNvSpPr>
                        <wps:spPr bwMode="auto">
                          <a:xfrm>
                            <a:off x="7393" y="2345"/>
                            <a:ext cx="2115" cy="708"/>
                          </a:xfrm>
                          <a:custGeom>
                            <a:avLst/>
                            <a:gdLst>
                              <a:gd name="T0" fmla="+- 0 9506 7393"/>
                              <a:gd name="T1" fmla="*/ T0 w 2115"/>
                              <a:gd name="T2" fmla="+- 0 2346 2346"/>
                              <a:gd name="T3" fmla="*/ 2346 h 708"/>
                              <a:gd name="T4" fmla="+- 0 7394 7393"/>
                              <a:gd name="T5" fmla="*/ T4 w 2115"/>
                              <a:gd name="T6" fmla="+- 0 2346 2346"/>
                              <a:gd name="T7" fmla="*/ 2346 h 708"/>
                              <a:gd name="T8" fmla="+- 0 7393 7393"/>
                              <a:gd name="T9" fmla="*/ T8 w 2115"/>
                              <a:gd name="T10" fmla="+- 0 2347 2346"/>
                              <a:gd name="T11" fmla="*/ 2347 h 708"/>
                              <a:gd name="T12" fmla="+- 0 7393 7393"/>
                              <a:gd name="T13" fmla="*/ T12 w 2115"/>
                              <a:gd name="T14" fmla="+- 0 3052 2346"/>
                              <a:gd name="T15" fmla="*/ 3052 h 708"/>
                              <a:gd name="T16" fmla="+- 0 7394 7393"/>
                              <a:gd name="T17" fmla="*/ T16 w 2115"/>
                              <a:gd name="T18" fmla="+- 0 3054 2346"/>
                              <a:gd name="T19" fmla="*/ 3054 h 708"/>
                              <a:gd name="T20" fmla="+- 0 9506 7393"/>
                              <a:gd name="T21" fmla="*/ T20 w 2115"/>
                              <a:gd name="T22" fmla="+- 0 3054 2346"/>
                              <a:gd name="T23" fmla="*/ 3054 h 708"/>
                              <a:gd name="T24" fmla="+- 0 9508 7393"/>
                              <a:gd name="T25" fmla="*/ T24 w 2115"/>
                              <a:gd name="T26" fmla="+- 0 3052 2346"/>
                              <a:gd name="T27" fmla="*/ 3052 h 708"/>
                              <a:gd name="T28" fmla="+- 0 9508 7393"/>
                              <a:gd name="T29" fmla="*/ T28 w 2115"/>
                              <a:gd name="T30" fmla="+- 0 3051 2346"/>
                              <a:gd name="T31" fmla="*/ 3051 h 708"/>
                              <a:gd name="T32" fmla="+- 0 7398 7393"/>
                              <a:gd name="T33" fmla="*/ T32 w 2115"/>
                              <a:gd name="T34" fmla="+- 0 3051 2346"/>
                              <a:gd name="T35" fmla="*/ 3051 h 708"/>
                              <a:gd name="T36" fmla="+- 0 7396 7393"/>
                              <a:gd name="T37" fmla="*/ T36 w 2115"/>
                              <a:gd name="T38" fmla="+- 0 3049 2346"/>
                              <a:gd name="T39" fmla="*/ 3049 h 708"/>
                              <a:gd name="T40" fmla="+- 0 7398 7393"/>
                              <a:gd name="T41" fmla="*/ T40 w 2115"/>
                              <a:gd name="T42" fmla="+- 0 3049 2346"/>
                              <a:gd name="T43" fmla="*/ 3049 h 708"/>
                              <a:gd name="T44" fmla="+- 0 7398 7393"/>
                              <a:gd name="T45" fmla="*/ T44 w 2115"/>
                              <a:gd name="T46" fmla="+- 0 2350 2346"/>
                              <a:gd name="T47" fmla="*/ 2350 h 708"/>
                              <a:gd name="T48" fmla="+- 0 7396 7393"/>
                              <a:gd name="T49" fmla="*/ T48 w 2115"/>
                              <a:gd name="T50" fmla="+- 0 2350 2346"/>
                              <a:gd name="T51" fmla="*/ 2350 h 708"/>
                              <a:gd name="T52" fmla="+- 0 7398 7393"/>
                              <a:gd name="T53" fmla="*/ T52 w 2115"/>
                              <a:gd name="T54" fmla="+- 0 2348 2346"/>
                              <a:gd name="T55" fmla="*/ 2348 h 708"/>
                              <a:gd name="T56" fmla="+- 0 9508 7393"/>
                              <a:gd name="T57" fmla="*/ T56 w 2115"/>
                              <a:gd name="T58" fmla="+- 0 2348 2346"/>
                              <a:gd name="T59" fmla="*/ 2348 h 708"/>
                              <a:gd name="T60" fmla="+- 0 9508 7393"/>
                              <a:gd name="T61" fmla="*/ T60 w 2115"/>
                              <a:gd name="T62" fmla="+- 0 2347 2346"/>
                              <a:gd name="T63" fmla="*/ 2347 h 708"/>
                              <a:gd name="T64" fmla="+- 0 9506 7393"/>
                              <a:gd name="T65" fmla="*/ T64 w 2115"/>
                              <a:gd name="T66" fmla="+- 0 2346 2346"/>
                              <a:gd name="T67" fmla="*/ 2346 h 708"/>
                              <a:gd name="T68" fmla="+- 0 7398 7393"/>
                              <a:gd name="T69" fmla="*/ T68 w 2115"/>
                              <a:gd name="T70" fmla="+- 0 3049 2346"/>
                              <a:gd name="T71" fmla="*/ 3049 h 708"/>
                              <a:gd name="T72" fmla="+- 0 7396 7393"/>
                              <a:gd name="T73" fmla="*/ T72 w 2115"/>
                              <a:gd name="T74" fmla="+- 0 3049 2346"/>
                              <a:gd name="T75" fmla="*/ 3049 h 708"/>
                              <a:gd name="T76" fmla="+- 0 7398 7393"/>
                              <a:gd name="T77" fmla="*/ T76 w 2115"/>
                              <a:gd name="T78" fmla="+- 0 3051 2346"/>
                              <a:gd name="T79" fmla="*/ 3051 h 708"/>
                              <a:gd name="T80" fmla="+- 0 7398 7393"/>
                              <a:gd name="T81" fmla="*/ T80 w 2115"/>
                              <a:gd name="T82" fmla="+- 0 3049 2346"/>
                              <a:gd name="T83" fmla="*/ 3049 h 708"/>
                              <a:gd name="T84" fmla="+- 0 9502 7393"/>
                              <a:gd name="T85" fmla="*/ T84 w 2115"/>
                              <a:gd name="T86" fmla="+- 0 3049 2346"/>
                              <a:gd name="T87" fmla="*/ 3049 h 708"/>
                              <a:gd name="T88" fmla="+- 0 7398 7393"/>
                              <a:gd name="T89" fmla="*/ T88 w 2115"/>
                              <a:gd name="T90" fmla="+- 0 3049 2346"/>
                              <a:gd name="T91" fmla="*/ 3049 h 708"/>
                              <a:gd name="T92" fmla="+- 0 7398 7393"/>
                              <a:gd name="T93" fmla="*/ T92 w 2115"/>
                              <a:gd name="T94" fmla="+- 0 3051 2346"/>
                              <a:gd name="T95" fmla="*/ 3051 h 708"/>
                              <a:gd name="T96" fmla="+- 0 9502 7393"/>
                              <a:gd name="T97" fmla="*/ T96 w 2115"/>
                              <a:gd name="T98" fmla="+- 0 3051 2346"/>
                              <a:gd name="T99" fmla="*/ 3051 h 708"/>
                              <a:gd name="T100" fmla="+- 0 9502 7393"/>
                              <a:gd name="T101" fmla="*/ T100 w 2115"/>
                              <a:gd name="T102" fmla="+- 0 3049 2346"/>
                              <a:gd name="T103" fmla="*/ 3049 h 708"/>
                              <a:gd name="T104" fmla="+- 0 9502 7393"/>
                              <a:gd name="T105" fmla="*/ T104 w 2115"/>
                              <a:gd name="T106" fmla="+- 0 2348 2346"/>
                              <a:gd name="T107" fmla="*/ 2348 h 708"/>
                              <a:gd name="T108" fmla="+- 0 9502 7393"/>
                              <a:gd name="T109" fmla="*/ T108 w 2115"/>
                              <a:gd name="T110" fmla="+- 0 3051 2346"/>
                              <a:gd name="T111" fmla="*/ 3051 h 708"/>
                              <a:gd name="T112" fmla="+- 0 9504 7393"/>
                              <a:gd name="T113" fmla="*/ T112 w 2115"/>
                              <a:gd name="T114" fmla="+- 0 3049 2346"/>
                              <a:gd name="T115" fmla="*/ 3049 h 708"/>
                              <a:gd name="T116" fmla="+- 0 9508 7393"/>
                              <a:gd name="T117" fmla="*/ T116 w 2115"/>
                              <a:gd name="T118" fmla="+- 0 3049 2346"/>
                              <a:gd name="T119" fmla="*/ 3049 h 708"/>
                              <a:gd name="T120" fmla="+- 0 9508 7393"/>
                              <a:gd name="T121" fmla="*/ T120 w 2115"/>
                              <a:gd name="T122" fmla="+- 0 2350 2346"/>
                              <a:gd name="T123" fmla="*/ 2350 h 708"/>
                              <a:gd name="T124" fmla="+- 0 9504 7393"/>
                              <a:gd name="T125" fmla="*/ T124 w 2115"/>
                              <a:gd name="T126" fmla="+- 0 2350 2346"/>
                              <a:gd name="T127" fmla="*/ 2350 h 708"/>
                              <a:gd name="T128" fmla="+- 0 9502 7393"/>
                              <a:gd name="T129" fmla="*/ T128 w 2115"/>
                              <a:gd name="T130" fmla="+- 0 2348 2346"/>
                              <a:gd name="T131" fmla="*/ 2348 h 708"/>
                              <a:gd name="T132" fmla="+- 0 9508 7393"/>
                              <a:gd name="T133" fmla="*/ T132 w 2115"/>
                              <a:gd name="T134" fmla="+- 0 3049 2346"/>
                              <a:gd name="T135" fmla="*/ 3049 h 708"/>
                              <a:gd name="T136" fmla="+- 0 9504 7393"/>
                              <a:gd name="T137" fmla="*/ T136 w 2115"/>
                              <a:gd name="T138" fmla="+- 0 3049 2346"/>
                              <a:gd name="T139" fmla="*/ 3049 h 708"/>
                              <a:gd name="T140" fmla="+- 0 9502 7393"/>
                              <a:gd name="T141" fmla="*/ T140 w 2115"/>
                              <a:gd name="T142" fmla="+- 0 3051 2346"/>
                              <a:gd name="T143" fmla="*/ 3051 h 708"/>
                              <a:gd name="T144" fmla="+- 0 9508 7393"/>
                              <a:gd name="T145" fmla="*/ T144 w 2115"/>
                              <a:gd name="T146" fmla="+- 0 3051 2346"/>
                              <a:gd name="T147" fmla="*/ 3051 h 708"/>
                              <a:gd name="T148" fmla="+- 0 9508 7393"/>
                              <a:gd name="T149" fmla="*/ T148 w 2115"/>
                              <a:gd name="T150" fmla="+- 0 3049 2346"/>
                              <a:gd name="T151" fmla="*/ 3049 h 708"/>
                              <a:gd name="T152" fmla="+- 0 7398 7393"/>
                              <a:gd name="T153" fmla="*/ T152 w 2115"/>
                              <a:gd name="T154" fmla="+- 0 2348 2346"/>
                              <a:gd name="T155" fmla="*/ 2348 h 708"/>
                              <a:gd name="T156" fmla="+- 0 7396 7393"/>
                              <a:gd name="T157" fmla="*/ T156 w 2115"/>
                              <a:gd name="T158" fmla="+- 0 2350 2346"/>
                              <a:gd name="T159" fmla="*/ 2350 h 708"/>
                              <a:gd name="T160" fmla="+- 0 7398 7393"/>
                              <a:gd name="T161" fmla="*/ T160 w 2115"/>
                              <a:gd name="T162" fmla="+- 0 2350 2346"/>
                              <a:gd name="T163" fmla="*/ 2350 h 708"/>
                              <a:gd name="T164" fmla="+- 0 7398 7393"/>
                              <a:gd name="T165" fmla="*/ T164 w 2115"/>
                              <a:gd name="T166" fmla="+- 0 2348 2346"/>
                              <a:gd name="T167" fmla="*/ 2348 h 708"/>
                              <a:gd name="T168" fmla="+- 0 9502 7393"/>
                              <a:gd name="T169" fmla="*/ T168 w 2115"/>
                              <a:gd name="T170" fmla="+- 0 2348 2346"/>
                              <a:gd name="T171" fmla="*/ 2348 h 708"/>
                              <a:gd name="T172" fmla="+- 0 7398 7393"/>
                              <a:gd name="T173" fmla="*/ T172 w 2115"/>
                              <a:gd name="T174" fmla="+- 0 2348 2346"/>
                              <a:gd name="T175" fmla="*/ 2348 h 708"/>
                              <a:gd name="T176" fmla="+- 0 7398 7393"/>
                              <a:gd name="T177" fmla="*/ T176 w 2115"/>
                              <a:gd name="T178" fmla="+- 0 2350 2346"/>
                              <a:gd name="T179" fmla="*/ 2350 h 708"/>
                              <a:gd name="T180" fmla="+- 0 9502 7393"/>
                              <a:gd name="T181" fmla="*/ T180 w 2115"/>
                              <a:gd name="T182" fmla="+- 0 2350 2346"/>
                              <a:gd name="T183" fmla="*/ 2350 h 708"/>
                              <a:gd name="T184" fmla="+- 0 9502 7393"/>
                              <a:gd name="T185" fmla="*/ T184 w 2115"/>
                              <a:gd name="T186" fmla="+- 0 2348 2346"/>
                              <a:gd name="T187" fmla="*/ 2348 h 708"/>
                              <a:gd name="T188" fmla="+- 0 9508 7393"/>
                              <a:gd name="T189" fmla="*/ T188 w 2115"/>
                              <a:gd name="T190" fmla="+- 0 2348 2346"/>
                              <a:gd name="T191" fmla="*/ 2348 h 708"/>
                              <a:gd name="T192" fmla="+- 0 9502 7393"/>
                              <a:gd name="T193" fmla="*/ T192 w 2115"/>
                              <a:gd name="T194" fmla="+- 0 2348 2346"/>
                              <a:gd name="T195" fmla="*/ 2348 h 708"/>
                              <a:gd name="T196" fmla="+- 0 9504 7393"/>
                              <a:gd name="T197" fmla="*/ T196 w 2115"/>
                              <a:gd name="T198" fmla="+- 0 2350 2346"/>
                              <a:gd name="T199" fmla="*/ 2350 h 708"/>
                              <a:gd name="T200" fmla="+- 0 9508 7393"/>
                              <a:gd name="T201" fmla="*/ T200 w 2115"/>
                              <a:gd name="T202" fmla="+- 0 2350 2346"/>
                              <a:gd name="T203" fmla="*/ 2350 h 708"/>
                              <a:gd name="T204" fmla="+- 0 9508 7393"/>
                              <a:gd name="T205" fmla="*/ T204 w 2115"/>
                              <a:gd name="T206" fmla="+- 0 2348 2346"/>
                              <a:gd name="T207" fmla="*/ 2348 h 7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115" h="708">
                                <a:moveTo>
                                  <a:pt x="2113" y="0"/>
                                </a:moveTo>
                                <a:lnTo>
                                  <a:pt x="1" y="0"/>
                                </a:lnTo>
                                <a:lnTo>
                                  <a:pt x="0" y="1"/>
                                </a:lnTo>
                                <a:lnTo>
                                  <a:pt x="0" y="706"/>
                                </a:lnTo>
                                <a:lnTo>
                                  <a:pt x="1" y="708"/>
                                </a:lnTo>
                                <a:lnTo>
                                  <a:pt x="2113" y="708"/>
                                </a:lnTo>
                                <a:lnTo>
                                  <a:pt x="2115" y="706"/>
                                </a:lnTo>
                                <a:lnTo>
                                  <a:pt x="2115" y="705"/>
                                </a:lnTo>
                                <a:lnTo>
                                  <a:pt x="5" y="705"/>
                                </a:lnTo>
                                <a:lnTo>
                                  <a:pt x="3" y="703"/>
                                </a:lnTo>
                                <a:lnTo>
                                  <a:pt x="5" y="703"/>
                                </a:lnTo>
                                <a:lnTo>
                                  <a:pt x="5" y="4"/>
                                </a:lnTo>
                                <a:lnTo>
                                  <a:pt x="3" y="4"/>
                                </a:lnTo>
                                <a:lnTo>
                                  <a:pt x="5" y="2"/>
                                </a:lnTo>
                                <a:lnTo>
                                  <a:pt x="2115" y="2"/>
                                </a:lnTo>
                                <a:lnTo>
                                  <a:pt x="2115" y="1"/>
                                </a:lnTo>
                                <a:lnTo>
                                  <a:pt x="2113" y="0"/>
                                </a:lnTo>
                                <a:close/>
                                <a:moveTo>
                                  <a:pt x="5" y="703"/>
                                </a:moveTo>
                                <a:lnTo>
                                  <a:pt x="3" y="703"/>
                                </a:lnTo>
                                <a:lnTo>
                                  <a:pt x="5" y="705"/>
                                </a:lnTo>
                                <a:lnTo>
                                  <a:pt x="5" y="703"/>
                                </a:lnTo>
                                <a:close/>
                                <a:moveTo>
                                  <a:pt x="2109" y="703"/>
                                </a:moveTo>
                                <a:lnTo>
                                  <a:pt x="5" y="703"/>
                                </a:lnTo>
                                <a:lnTo>
                                  <a:pt x="5" y="705"/>
                                </a:lnTo>
                                <a:lnTo>
                                  <a:pt x="2109" y="705"/>
                                </a:lnTo>
                                <a:lnTo>
                                  <a:pt x="2109" y="703"/>
                                </a:lnTo>
                                <a:close/>
                                <a:moveTo>
                                  <a:pt x="2109" y="2"/>
                                </a:moveTo>
                                <a:lnTo>
                                  <a:pt x="2109" y="705"/>
                                </a:lnTo>
                                <a:lnTo>
                                  <a:pt x="2111" y="703"/>
                                </a:lnTo>
                                <a:lnTo>
                                  <a:pt x="2115" y="703"/>
                                </a:lnTo>
                                <a:lnTo>
                                  <a:pt x="2115" y="4"/>
                                </a:lnTo>
                                <a:lnTo>
                                  <a:pt x="2111" y="4"/>
                                </a:lnTo>
                                <a:lnTo>
                                  <a:pt x="2109" y="2"/>
                                </a:lnTo>
                                <a:close/>
                                <a:moveTo>
                                  <a:pt x="2115" y="703"/>
                                </a:moveTo>
                                <a:lnTo>
                                  <a:pt x="2111" y="703"/>
                                </a:lnTo>
                                <a:lnTo>
                                  <a:pt x="2109" y="705"/>
                                </a:lnTo>
                                <a:lnTo>
                                  <a:pt x="2115" y="705"/>
                                </a:lnTo>
                                <a:lnTo>
                                  <a:pt x="2115" y="703"/>
                                </a:lnTo>
                                <a:close/>
                                <a:moveTo>
                                  <a:pt x="5" y="2"/>
                                </a:moveTo>
                                <a:lnTo>
                                  <a:pt x="3" y="4"/>
                                </a:lnTo>
                                <a:lnTo>
                                  <a:pt x="5" y="4"/>
                                </a:lnTo>
                                <a:lnTo>
                                  <a:pt x="5" y="2"/>
                                </a:lnTo>
                                <a:close/>
                                <a:moveTo>
                                  <a:pt x="2109" y="2"/>
                                </a:moveTo>
                                <a:lnTo>
                                  <a:pt x="5" y="2"/>
                                </a:lnTo>
                                <a:lnTo>
                                  <a:pt x="5" y="4"/>
                                </a:lnTo>
                                <a:lnTo>
                                  <a:pt x="2109" y="4"/>
                                </a:lnTo>
                                <a:lnTo>
                                  <a:pt x="2109" y="2"/>
                                </a:lnTo>
                                <a:close/>
                                <a:moveTo>
                                  <a:pt x="2115" y="2"/>
                                </a:moveTo>
                                <a:lnTo>
                                  <a:pt x="2109" y="2"/>
                                </a:lnTo>
                                <a:lnTo>
                                  <a:pt x="2111" y="4"/>
                                </a:lnTo>
                                <a:lnTo>
                                  <a:pt x="2115" y="4"/>
                                </a:lnTo>
                                <a:lnTo>
                                  <a:pt x="211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1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7395" y="5693"/>
                            <a:ext cx="2109" cy="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AutoShape 136"/>
                        <wps:cNvSpPr>
                          <a:spLocks/>
                        </wps:cNvSpPr>
                        <wps:spPr bwMode="auto">
                          <a:xfrm>
                            <a:off x="7117" y="1064"/>
                            <a:ext cx="2390" cy="5318"/>
                          </a:xfrm>
                          <a:custGeom>
                            <a:avLst/>
                            <a:gdLst>
                              <a:gd name="T0" fmla="+- 0 7132 7117"/>
                              <a:gd name="T1" fmla="*/ T0 w 2390"/>
                              <a:gd name="T2" fmla="+- 0 1064 1064"/>
                              <a:gd name="T3" fmla="*/ 1064 h 5318"/>
                              <a:gd name="T4" fmla="+- 0 7117 7117"/>
                              <a:gd name="T5" fmla="*/ T4 w 2390"/>
                              <a:gd name="T6" fmla="+- 0 1064 1064"/>
                              <a:gd name="T7" fmla="*/ 1064 h 5318"/>
                              <a:gd name="T8" fmla="+- 0 7117 7117"/>
                              <a:gd name="T9" fmla="*/ T8 w 2390"/>
                              <a:gd name="T10" fmla="+- 0 3358 1064"/>
                              <a:gd name="T11" fmla="*/ 3358 h 5318"/>
                              <a:gd name="T12" fmla="+- 0 7132 7117"/>
                              <a:gd name="T13" fmla="*/ T12 w 2390"/>
                              <a:gd name="T14" fmla="+- 0 3358 1064"/>
                              <a:gd name="T15" fmla="*/ 3358 h 5318"/>
                              <a:gd name="T16" fmla="+- 0 7132 7117"/>
                              <a:gd name="T17" fmla="*/ T16 w 2390"/>
                              <a:gd name="T18" fmla="+- 0 1064 1064"/>
                              <a:gd name="T19" fmla="*/ 1064 h 5318"/>
                              <a:gd name="T20" fmla="+- 0 9506 7117"/>
                              <a:gd name="T21" fmla="*/ T20 w 2390"/>
                              <a:gd name="T22" fmla="+- 0 5691 1064"/>
                              <a:gd name="T23" fmla="*/ 5691 h 5318"/>
                              <a:gd name="T24" fmla="+- 0 9502 7117"/>
                              <a:gd name="T25" fmla="*/ T24 w 2390"/>
                              <a:gd name="T26" fmla="+- 0 5691 1064"/>
                              <a:gd name="T27" fmla="*/ 5691 h 5318"/>
                              <a:gd name="T28" fmla="+- 0 9502 7117"/>
                              <a:gd name="T29" fmla="*/ T28 w 2390"/>
                              <a:gd name="T30" fmla="+- 0 5696 1064"/>
                              <a:gd name="T31" fmla="*/ 5696 h 5318"/>
                              <a:gd name="T32" fmla="+- 0 9502 7117"/>
                              <a:gd name="T33" fmla="*/ T32 w 2390"/>
                              <a:gd name="T34" fmla="+- 0 6376 1064"/>
                              <a:gd name="T35" fmla="*/ 6376 h 5318"/>
                              <a:gd name="T36" fmla="+- 0 7398 7117"/>
                              <a:gd name="T37" fmla="*/ T36 w 2390"/>
                              <a:gd name="T38" fmla="+- 0 6376 1064"/>
                              <a:gd name="T39" fmla="*/ 6376 h 5318"/>
                              <a:gd name="T40" fmla="+- 0 7398 7117"/>
                              <a:gd name="T41" fmla="*/ T40 w 2390"/>
                              <a:gd name="T42" fmla="+- 0 5696 1064"/>
                              <a:gd name="T43" fmla="*/ 5696 h 5318"/>
                              <a:gd name="T44" fmla="+- 0 8377 7117"/>
                              <a:gd name="T45" fmla="*/ T44 w 2390"/>
                              <a:gd name="T46" fmla="+- 0 5696 1064"/>
                              <a:gd name="T47" fmla="*/ 5696 h 5318"/>
                              <a:gd name="T48" fmla="+- 0 8377 7117"/>
                              <a:gd name="T49" fmla="*/ T48 w 2390"/>
                              <a:gd name="T50" fmla="+- 0 5698 1064"/>
                              <a:gd name="T51" fmla="*/ 5698 h 5318"/>
                              <a:gd name="T52" fmla="+- 0 8392 7117"/>
                              <a:gd name="T53" fmla="*/ T52 w 2390"/>
                              <a:gd name="T54" fmla="+- 0 5698 1064"/>
                              <a:gd name="T55" fmla="*/ 5698 h 5318"/>
                              <a:gd name="T56" fmla="+- 0 8392 7117"/>
                              <a:gd name="T57" fmla="*/ T56 w 2390"/>
                              <a:gd name="T58" fmla="+- 0 5696 1064"/>
                              <a:gd name="T59" fmla="*/ 5696 h 5318"/>
                              <a:gd name="T60" fmla="+- 0 9502 7117"/>
                              <a:gd name="T61" fmla="*/ T60 w 2390"/>
                              <a:gd name="T62" fmla="+- 0 5696 1064"/>
                              <a:gd name="T63" fmla="*/ 5696 h 5318"/>
                              <a:gd name="T64" fmla="+- 0 9502 7117"/>
                              <a:gd name="T65" fmla="*/ T64 w 2390"/>
                              <a:gd name="T66" fmla="+- 0 5691 1064"/>
                              <a:gd name="T67" fmla="*/ 5691 h 5318"/>
                              <a:gd name="T68" fmla="+- 0 8392 7117"/>
                              <a:gd name="T69" fmla="*/ T68 w 2390"/>
                              <a:gd name="T70" fmla="+- 0 5691 1064"/>
                              <a:gd name="T71" fmla="*/ 5691 h 5318"/>
                              <a:gd name="T72" fmla="+- 0 8392 7117"/>
                              <a:gd name="T73" fmla="*/ T72 w 2390"/>
                              <a:gd name="T74" fmla="+- 0 3384 1064"/>
                              <a:gd name="T75" fmla="*/ 3384 h 5318"/>
                              <a:gd name="T76" fmla="+- 0 8381 7117"/>
                              <a:gd name="T77" fmla="*/ T76 w 2390"/>
                              <a:gd name="T78" fmla="+- 0 3384 1064"/>
                              <a:gd name="T79" fmla="*/ 3384 h 5318"/>
                              <a:gd name="T80" fmla="+- 0 8381 7117"/>
                              <a:gd name="T81" fmla="*/ T80 w 2390"/>
                              <a:gd name="T82" fmla="+- 0 3375 1064"/>
                              <a:gd name="T83" fmla="*/ 3375 h 5318"/>
                              <a:gd name="T84" fmla="+- 0 7126 7117"/>
                              <a:gd name="T85" fmla="*/ T84 w 2390"/>
                              <a:gd name="T86" fmla="+- 0 3375 1064"/>
                              <a:gd name="T87" fmla="*/ 3375 h 5318"/>
                              <a:gd name="T88" fmla="+- 0 7126 7117"/>
                              <a:gd name="T89" fmla="*/ T88 w 2390"/>
                              <a:gd name="T90" fmla="+- 0 3390 1064"/>
                              <a:gd name="T91" fmla="*/ 3390 h 5318"/>
                              <a:gd name="T92" fmla="+- 0 8377 7117"/>
                              <a:gd name="T93" fmla="*/ T92 w 2390"/>
                              <a:gd name="T94" fmla="+- 0 3390 1064"/>
                              <a:gd name="T95" fmla="*/ 3390 h 5318"/>
                              <a:gd name="T96" fmla="+- 0 8377 7117"/>
                              <a:gd name="T97" fmla="*/ T96 w 2390"/>
                              <a:gd name="T98" fmla="+- 0 5691 1064"/>
                              <a:gd name="T99" fmla="*/ 5691 h 5318"/>
                              <a:gd name="T100" fmla="+- 0 7393 7117"/>
                              <a:gd name="T101" fmla="*/ T100 w 2390"/>
                              <a:gd name="T102" fmla="+- 0 5691 1064"/>
                              <a:gd name="T103" fmla="*/ 5691 h 5318"/>
                              <a:gd name="T104" fmla="+- 0 7393 7117"/>
                              <a:gd name="T105" fmla="*/ T104 w 2390"/>
                              <a:gd name="T106" fmla="+- 0 6380 1064"/>
                              <a:gd name="T107" fmla="*/ 6380 h 5318"/>
                              <a:gd name="T108" fmla="+- 0 7394 7117"/>
                              <a:gd name="T109" fmla="*/ T108 w 2390"/>
                              <a:gd name="T110" fmla="+- 0 6381 1064"/>
                              <a:gd name="T111" fmla="*/ 6381 h 5318"/>
                              <a:gd name="T112" fmla="+- 0 9505 7117"/>
                              <a:gd name="T113" fmla="*/ T112 w 2390"/>
                              <a:gd name="T114" fmla="+- 0 6381 1064"/>
                              <a:gd name="T115" fmla="*/ 6381 h 5318"/>
                              <a:gd name="T116" fmla="+- 0 9506 7117"/>
                              <a:gd name="T117" fmla="*/ T116 w 2390"/>
                              <a:gd name="T118" fmla="+- 0 6380 1064"/>
                              <a:gd name="T119" fmla="*/ 6380 h 5318"/>
                              <a:gd name="T120" fmla="+- 0 9506 7117"/>
                              <a:gd name="T121" fmla="*/ T120 w 2390"/>
                              <a:gd name="T122" fmla="+- 0 6379 1064"/>
                              <a:gd name="T123" fmla="*/ 6379 h 5318"/>
                              <a:gd name="T124" fmla="+- 0 9506 7117"/>
                              <a:gd name="T125" fmla="*/ T124 w 2390"/>
                              <a:gd name="T126" fmla="+- 0 6376 1064"/>
                              <a:gd name="T127" fmla="*/ 6376 h 5318"/>
                              <a:gd name="T128" fmla="+- 0 9506 7117"/>
                              <a:gd name="T129" fmla="*/ T128 w 2390"/>
                              <a:gd name="T130" fmla="+- 0 5696 1064"/>
                              <a:gd name="T131" fmla="*/ 5696 h 5318"/>
                              <a:gd name="T132" fmla="+- 0 9506 7117"/>
                              <a:gd name="T133" fmla="*/ T132 w 2390"/>
                              <a:gd name="T134" fmla="+- 0 5694 1064"/>
                              <a:gd name="T135" fmla="*/ 5694 h 5318"/>
                              <a:gd name="T136" fmla="+- 0 9506 7117"/>
                              <a:gd name="T137" fmla="*/ T136 w 2390"/>
                              <a:gd name="T138" fmla="+- 0 5691 1064"/>
                              <a:gd name="T139" fmla="*/ 5691 h 5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390" h="5318">
                                <a:moveTo>
                                  <a:pt x="15" y="0"/>
                                </a:moveTo>
                                <a:lnTo>
                                  <a:pt x="0" y="0"/>
                                </a:lnTo>
                                <a:lnTo>
                                  <a:pt x="0" y="2294"/>
                                </a:lnTo>
                                <a:lnTo>
                                  <a:pt x="15" y="2294"/>
                                </a:lnTo>
                                <a:lnTo>
                                  <a:pt x="15" y="0"/>
                                </a:lnTo>
                                <a:close/>
                                <a:moveTo>
                                  <a:pt x="2389" y="4627"/>
                                </a:moveTo>
                                <a:lnTo>
                                  <a:pt x="2385" y="4627"/>
                                </a:lnTo>
                                <a:lnTo>
                                  <a:pt x="2385" y="4632"/>
                                </a:lnTo>
                                <a:lnTo>
                                  <a:pt x="2385" y="5312"/>
                                </a:lnTo>
                                <a:lnTo>
                                  <a:pt x="281" y="5312"/>
                                </a:lnTo>
                                <a:lnTo>
                                  <a:pt x="281" y="4632"/>
                                </a:lnTo>
                                <a:lnTo>
                                  <a:pt x="1260" y="4632"/>
                                </a:lnTo>
                                <a:lnTo>
                                  <a:pt x="1260" y="4634"/>
                                </a:lnTo>
                                <a:lnTo>
                                  <a:pt x="1275" y="4634"/>
                                </a:lnTo>
                                <a:lnTo>
                                  <a:pt x="1275" y="4632"/>
                                </a:lnTo>
                                <a:lnTo>
                                  <a:pt x="2385" y="4632"/>
                                </a:lnTo>
                                <a:lnTo>
                                  <a:pt x="2385" y="4627"/>
                                </a:lnTo>
                                <a:lnTo>
                                  <a:pt x="1275" y="4627"/>
                                </a:lnTo>
                                <a:lnTo>
                                  <a:pt x="1275" y="2320"/>
                                </a:lnTo>
                                <a:lnTo>
                                  <a:pt x="1264" y="2320"/>
                                </a:lnTo>
                                <a:lnTo>
                                  <a:pt x="1264" y="2311"/>
                                </a:lnTo>
                                <a:lnTo>
                                  <a:pt x="9" y="2311"/>
                                </a:lnTo>
                                <a:lnTo>
                                  <a:pt x="9" y="2326"/>
                                </a:lnTo>
                                <a:lnTo>
                                  <a:pt x="1260" y="2326"/>
                                </a:lnTo>
                                <a:lnTo>
                                  <a:pt x="1260" y="4627"/>
                                </a:lnTo>
                                <a:lnTo>
                                  <a:pt x="276" y="4627"/>
                                </a:lnTo>
                                <a:lnTo>
                                  <a:pt x="276" y="5316"/>
                                </a:lnTo>
                                <a:lnTo>
                                  <a:pt x="277" y="5317"/>
                                </a:lnTo>
                                <a:lnTo>
                                  <a:pt x="2388" y="5317"/>
                                </a:lnTo>
                                <a:lnTo>
                                  <a:pt x="2389" y="5316"/>
                                </a:lnTo>
                                <a:lnTo>
                                  <a:pt x="2389" y="5315"/>
                                </a:lnTo>
                                <a:lnTo>
                                  <a:pt x="2389" y="5312"/>
                                </a:lnTo>
                                <a:lnTo>
                                  <a:pt x="2389" y="4632"/>
                                </a:lnTo>
                                <a:lnTo>
                                  <a:pt x="2389" y="4630"/>
                                </a:lnTo>
                                <a:lnTo>
                                  <a:pt x="2389" y="46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Rectangle 135"/>
                        <wps:cNvSpPr>
                          <a:spLocks noChangeArrowheads="1"/>
                        </wps:cNvSpPr>
                        <wps:spPr bwMode="auto">
                          <a:xfrm>
                            <a:off x="10185" y="2213"/>
                            <a:ext cx="1472" cy="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AutoShape 134"/>
                        <wps:cNvSpPr>
                          <a:spLocks/>
                        </wps:cNvSpPr>
                        <wps:spPr bwMode="auto">
                          <a:xfrm>
                            <a:off x="6710" y="4598"/>
                            <a:ext cx="1671" cy="158"/>
                          </a:xfrm>
                          <a:custGeom>
                            <a:avLst/>
                            <a:gdLst>
                              <a:gd name="T0" fmla="+- 0 6841 6710"/>
                              <a:gd name="T1" fmla="*/ T0 w 1671"/>
                              <a:gd name="T2" fmla="+- 0 4600 4598"/>
                              <a:gd name="T3" fmla="*/ 4600 h 158"/>
                              <a:gd name="T4" fmla="+- 0 6841 6710"/>
                              <a:gd name="T5" fmla="*/ T4 w 1671"/>
                              <a:gd name="T6" fmla="+- 0 4754 4598"/>
                              <a:gd name="T7" fmla="*/ 4754 h 158"/>
                              <a:gd name="T8" fmla="+- 0 6850 6710"/>
                              <a:gd name="T9" fmla="*/ T8 w 1671"/>
                              <a:gd name="T10" fmla="+- 0 4754 4598"/>
                              <a:gd name="T11" fmla="*/ 4754 h 158"/>
                              <a:gd name="T12" fmla="+- 0 6853 6710"/>
                              <a:gd name="T13" fmla="*/ T12 w 1671"/>
                              <a:gd name="T14" fmla="+- 0 4743 4598"/>
                              <a:gd name="T15" fmla="*/ 4743 h 158"/>
                              <a:gd name="T16" fmla="+- 0 6752 6710"/>
                              <a:gd name="T17" fmla="*/ T16 w 1671"/>
                              <a:gd name="T18" fmla="+- 0 4684 4598"/>
                              <a:gd name="T19" fmla="*/ 4684 h 158"/>
                              <a:gd name="T20" fmla="+- 0 6726 6710"/>
                              <a:gd name="T21" fmla="*/ T20 w 1671"/>
                              <a:gd name="T22" fmla="+- 0 4670 4598"/>
                              <a:gd name="T23" fmla="*/ 4670 h 158"/>
                              <a:gd name="T24" fmla="+- 0 6850 6710"/>
                              <a:gd name="T25" fmla="*/ T24 w 1671"/>
                              <a:gd name="T26" fmla="+- 0 4614 4598"/>
                              <a:gd name="T27" fmla="*/ 4614 h 158"/>
                              <a:gd name="T28" fmla="+- 0 6854 6710"/>
                              <a:gd name="T29" fmla="*/ T28 w 1671"/>
                              <a:gd name="T30" fmla="+- 0 4606 4598"/>
                              <a:gd name="T31" fmla="*/ 4606 h 158"/>
                              <a:gd name="T32" fmla="+- 0 6845 6710"/>
                              <a:gd name="T33" fmla="*/ T32 w 1671"/>
                              <a:gd name="T34" fmla="+- 0 4598 4598"/>
                              <a:gd name="T35" fmla="*/ 4598 h 158"/>
                              <a:gd name="T36" fmla="+- 0 7538 6710"/>
                              <a:gd name="T37" fmla="*/ T36 w 1671"/>
                              <a:gd name="T38" fmla="+- 0 4701 4598"/>
                              <a:gd name="T39" fmla="*/ 4701 h 158"/>
                              <a:gd name="T40" fmla="+- 0 8381 6710"/>
                              <a:gd name="T41" fmla="*/ T40 w 1671"/>
                              <a:gd name="T42" fmla="+- 0 4705 4598"/>
                              <a:gd name="T43" fmla="*/ 4705 h 158"/>
                              <a:gd name="T44" fmla="+- 0 7553 6710"/>
                              <a:gd name="T45" fmla="*/ T44 w 1671"/>
                              <a:gd name="T46" fmla="+- 0 4698 4598"/>
                              <a:gd name="T47" fmla="*/ 4698 h 158"/>
                              <a:gd name="T48" fmla="+- 0 7553 6710"/>
                              <a:gd name="T49" fmla="*/ T48 w 1671"/>
                              <a:gd name="T50" fmla="+- 0 4689 4598"/>
                              <a:gd name="T51" fmla="*/ 4689 h 158"/>
                              <a:gd name="T52" fmla="+- 0 7546 6710"/>
                              <a:gd name="T53" fmla="*/ T52 w 1671"/>
                              <a:gd name="T54" fmla="+- 0 4684 4598"/>
                              <a:gd name="T55" fmla="*/ 4684 h 158"/>
                              <a:gd name="T56" fmla="+- 0 7553 6710"/>
                              <a:gd name="T57" fmla="*/ T56 w 1671"/>
                              <a:gd name="T58" fmla="+- 0 4689 4598"/>
                              <a:gd name="T59" fmla="*/ 4689 h 158"/>
                              <a:gd name="T60" fmla="+- 0 7553 6710"/>
                              <a:gd name="T61" fmla="*/ T60 w 1671"/>
                              <a:gd name="T62" fmla="+- 0 4698 4598"/>
                              <a:gd name="T63" fmla="*/ 4698 h 158"/>
                              <a:gd name="T64" fmla="+- 0 8381 6710"/>
                              <a:gd name="T65" fmla="*/ T64 w 1671"/>
                              <a:gd name="T66" fmla="+- 0 4689 4598"/>
                              <a:gd name="T67" fmla="*/ 4689 h 158"/>
                              <a:gd name="T68" fmla="+- 0 7553 6710"/>
                              <a:gd name="T69" fmla="*/ T68 w 1671"/>
                              <a:gd name="T70" fmla="+- 0 4698 4598"/>
                              <a:gd name="T71" fmla="*/ 4698 h 158"/>
                              <a:gd name="T72" fmla="+- 0 8381 6710"/>
                              <a:gd name="T73" fmla="*/ T72 w 1671"/>
                              <a:gd name="T74" fmla="+- 0 4689 4598"/>
                              <a:gd name="T75" fmla="*/ 4689 h 158"/>
                              <a:gd name="T76" fmla="+- 0 6726 6710"/>
                              <a:gd name="T77" fmla="*/ T76 w 1671"/>
                              <a:gd name="T78" fmla="+- 0 4670 4598"/>
                              <a:gd name="T79" fmla="*/ 4670 h 158"/>
                              <a:gd name="T80" fmla="+- 0 6752 6710"/>
                              <a:gd name="T81" fmla="*/ T80 w 1671"/>
                              <a:gd name="T82" fmla="+- 0 4684 4598"/>
                              <a:gd name="T83" fmla="*/ 4684 h 158"/>
                              <a:gd name="T84" fmla="+- 0 6730 6710"/>
                              <a:gd name="T85" fmla="*/ T84 w 1671"/>
                              <a:gd name="T86" fmla="+- 0 4683 4598"/>
                              <a:gd name="T87" fmla="*/ 4683 h 158"/>
                              <a:gd name="T88" fmla="+- 0 6750 6710"/>
                              <a:gd name="T89" fmla="*/ T88 w 1671"/>
                              <a:gd name="T90" fmla="+- 0 4671 4598"/>
                              <a:gd name="T91" fmla="*/ 4671 h 158"/>
                              <a:gd name="T92" fmla="+- 0 7549 6710"/>
                              <a:gd name="T93" fmla="*/ T92 w 1671"/>
                              <a:gd name="T94" fmla="+- 0 4670 4598"/>
                              <a:gd name="T95" fmla="*/ 4670 h 158"/>
                              <a:gd name="T96" fmla="+- 0 6740 6710"/>
                              <a:gd name="T97" fmla="*/ T96 w 1671"/>
                              <a:gd name="T98" fmla="+- 0 4677 4598"/>
                              <a:gd name="T99" fmla="*/ 4677 h 158"/>
                              <a:gd name="T100" fmla="+- 0 7538 6710"/>
                              <a:gd name="T101" fmla="*/ T100 w 1671"/>
                              <a:gd name="T102" fmla="+- 0 4684 4598"/>
                              <a:gd name="T103" fmla="*/ 4684 h 158"/>
                              <a:gd name="T104" fmla="+- 0 7553 6710"/>
                              <a:gd name="T105" fmla="*/ T104 w 1671"/>
                              <a:gd name="T106" fmla="+- 0 4677 4598"/>
                              <a:gd name="T107" fmla="*/ 4677 h 158"/>
                              <a:gd name="T108" fmla="+- 0 7549 6710"/>
                              <a:gd name="T109" fmla="*/ T108 w 1671"/>
                              <a:gd name="T110" fmla="+- 0 4670 4598"/>
                              <a:gd name="T111" fmla="*/ 4670 h 158"/>
                              <a:gd name="T112" fmla="+- 0 7538 6710"/>
                              <a:gd name="T113" fmla="*/ T112 w 1671"/>
                              <a:gd name="T114" fmla="+- 0 4677 4598"/>
                              <a:gd name="T115" fmla="*/ 4677 h 158"/>
                              <a:gd name="T116" fmla="+- 0 7553 6710"/>
                              <a:gd name="T117" fmla="*/ T116 w 1671"/>
                              <a:gd name="T118" fmla="+- 0 4684 4598"/>
                              <a:gd name="T119" fmla="*/ 4684 h 158"/>
                              <a:gd name="T120" fmla="+- 0 6730 6710"/>
                              <a:gd name="T121" fmla="*/ T120 w 1671"/>
                              <a:gd name="T122" fmla="+- 0 4671 4598"/>
                              <a:gd name="T123" fmla="*/ 4671 h 158"/>
                              <a:gd name="T124" fmla="+- 0 6740 6710"/>
                              <a:gd name="T125" fmla="*/ T124 w 1671"/>
                              <a:gd name="T126" fmla="+- 0 4677 4598"/>
                              <a:gd name="T127" fmla="*/ 4677 h 158"/>
                              <a:gd name="T128" fmla="+- 0 6740 6710"/>
                              <a:gd name="T129" fmla="*/ T128 w 1671"/>
                              <a:gd name="T130" fmla="+- 0 4677 4598"/>
                              <a:gd name="T131" fmla="*/ 4677 h 158"/>
                              <a:gd name="T132" fmla="+- 0 6750 6710"/>
                              <a:gd name="T133" fmla="*/ T132 w 1671"/>
                              <a:gd name="T134" fmla="+- 0 4683 4598"/>
                              <a:gd name="T135" fmla="*/ 4683 h 158"/>
                              <a:gd name="T136" fmla="+- 0 6750 6710"/>
                              <a:gd name="T137" fmla="*/ T136 w 1671"/>
                              <a:gd name="T138" fmla="+- 0 4671 4598"/>
                              <a:gd name="T139" fmla="*/ 4671 h 158"/>
                              <a:gd name="T140" fmla="+- 0 6740 6710"/>
                              <a:gd name="T141" fmla="*/ T140 w 1671"/>
                              <a:gd name="T142" fmla="+- 0 4677 4598"/>
                              <a:gd name="T143" fmla="*/ 4677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71" h="158">
                                <a:moveTo>
                                  <a:pt x="135" y="0"/>
                                </a:moveTo>
                                <a:lnTo>
                                  <a:pt x="131" y="2"/>
                                </a:lnTo>
                                <a:lnTo>
                                  <a:pt x="0" y="79"/>
                                </a:lnTo>
                                <a:lnTo>
                                  <a:pt x="131" y="156"/>
                                </a:lnTo>
                                <a:lnTo>
                                  <a:pt x="135" y="157"/>
                                </a:lnTo>
                                <a:lnTo>
                                  <a:pt x="140" y="156"/>
                                </a:lnTo>
                                <a:lnTo>
                                  <a:pt x="144" y="149"/>
                                </a:lnTo>
                                <a:lnTo>
                                  <a:pt x="143" y="145"/>
                                </a:lnTo>
                                <a:lnTo>
                                  <a:pt x="140" y="143"/>
                                </a:lnTo>
                                <a:lnTo>
                                  <a:pt x="42" y="86"/>
                                </a:lnTo>
                                <a:lnTo>
                                  <a:pt x="16" y="86"/>
                                </a:lnTo>
                                <a:lnTo>
                                  <a:pt x="16" y="72"/>
                                </a:lnTo>
                                <a:lnTo>
                                  <a:pt x="42" y="72"/>
                                </a:lnTo>
                                <a:lnTo>
                                  <a:pt x="140" y="16"/>
                                </a:lnTo>
                                <a:lnTo>
                                  <a:pt x="143" y="13"/>
                                </a:lnTo>
                                <a:lnTo>
                                  <a:pt x="144" y="8"/>
                                </a:lnTo>
                                <a:lnTo>
                                  <a:pt x="140" y="1"/>
                                </a:lnTo>
                                <a:lnTo>
                                  <a:pt x="135" y="0"/>
                                </a:lnTo>
                                <a:close/>
                                <a:moveTo>
                                  <a:pt x="828" y="79"/>
                                </a:moveTo>
                                <a:lnTo>
                                  <a:pt x="828" y="103"/>
                                </a:lnTo>
                                <a:lnTo>
                                  <a:pt x="832" y="107"/>
                                </a:lnTo>
                                <a:lnTo>
                                  <a:pt x="1671" y="107"/>
                                </a:lnTo>
                                <a:lnTo>
                                  <a:pt x="1671" y="100"/>
                                </a:lnTo>
                                <a:lnTo>
                                  <a:pt x="843" y="100"/>
                                </a:lnTo>
                                <a:lnTo>
                                  <a:pt x="836" y="91"/>
                                </a:lnTo>
                                <a:lnTo>
                                  <a:pt x="843" y="91"/>
                                </a:lnTo>
                                <a:lnTo>
                                  <a:pt x="843" y="86"/>
                                </a:lnTo>
                                <a:lnTo>
                                  <a:pt x="836" y="86"/>
                                </a:lnTo>
                                <a:lnTo>
                                  <a:pt x="828" y="79"/>
                                </a:lnTo>
                                <a:close/>
                                <a:moveTo>
                                  <a:pt x="843" y="91"/>
                                </a:moveTo>
                                <a:lnTo>
                                  <a:pt x="836" y="91"/>
                                </a:lnTo>
                                <a:lnTo>
                                  <a:pt x="843" y="100"/>
                                </a:lnTo>
                                <a:lnTo>
                                  <a:pt x="843" y="91"/>
                                </a:lnTo>
                                <a:close/>
                                <a:moveTo>
                                  <a:pt x="1671" y="91"/>
                                </a:moveTo>
                                <a:lnTo>
                                  <a:pt x="843" y="91"/>
                                </a:lnTo>
                                <a:lnTo>
                                  <a:pt x="843" y="100"/>
                                </a:lnTo>
                                <a:lnTo>
                                  <a:pt x="1671" y="100"/>
                                </a:lnTo>
                                <a:lnTo>
                                  <a:pt x="1671" y="91"/>
                                </a:lnTo>
                                <a:close/>
                                <a:moveTo>
                                  <a:pt x="42" y="72"/>
                                </a:moveTo>
                                <a:lnTo>
                                  <a:pt x="16" y="72"/>
                                </a:lnTo>
                                <a:lnTo>
                                  <a:pt x="16" y="86"/>
                                </a:lnTo>
                                <a:lnTo>
                                  <a:pt x="42" y="86"/>
                                </a:lnTo>
                                <a:lnTo>
                                  <a:pt x="40" y="85"/>
                                </a:lnTo>
                                <a:lnTo>
                                  <a:pt x="20" y="85"/>
                                </a:lnTo>
                                <a:lnTo>
                                  <a:pt x="20" y="73"/>
                                </a:lnTo>
                                <a:lnTo>
                                  <a:pt x="40" y="73"/>
                                </a:lnTo>
                                <a:lnTo>
                                  <a:pt x="42" y="72"/>
                                </a:lnTo>
                                <a:close/>
                                <a:moveTo>
                                  <a:pt x="839" y="72"/>
                                </a:moveTo>
                                <a:lnTo>
                                  <a:pt x="42" y="72"/>
                                </a:lnTo>
                                <a:lnTo>
                                  <a:pt x="30" y="79"/>
                                </a:lnTo>
                                <a:lnTo>
                                  <a:pt x="42" y="86"/>
                                </a:lnTo>
                                <a:lnTo>
                                  <a:pt x="828" y="86"/>
                                </a:lnTo>
                                <a:lnTo>
                                  <a:pt x="828" y="79"/>
                                </a:lnTo>
                                <a:lnTo>
                                  <a:pt x="843" y="79"/>
                                </a:lnTo>
                                <a:lnTo>
                                  <a:pt x="843" y="74"/>
                                </a:lnTo>
                                <a:lnTo>
                                  <a:pt x="839" y="72"/>
                                </a:lnTo>
                                <a:close/>
                                <a:moveTo>
                                  <a:pt x="843" y="79"/>
                                </a:moveTo>
                                <a:lnTo>
                                  <a:pt x="828" y="79"/>
                                </a:lnTo>
                                <a:lnTo>
                                  <a:pt x="836" y="86"/>
                                </a:lnTo>
                                <a:lnTo>
                                  <a:pt x="843" y="86"/>
                                </a:lnTo>
                                <a:lnTo>
                                  <a:pt x="843" y="79"/>
                                </a:lnTo>
                                <a:close/>
                                <a:moveTo>
                                  <a:pt x="20" y="73"/>
                                </a:moveTo>
                                <a:lnTo>
                                  <a:pt x="20" y="85"/>
                                </a:lnTo>
                                <a:lnTo>
                                  <a:pt x="30" y="79"/>
                                </a:lnTo>
                                <a:lnTo>
                                  <a:pt x="20" y="73"/>
                                </a:lnTo>
                                <a:close/>
                                <a:moveTo>
                                  <a:pt x="30" y="79"/>
                                </a:moveTo>
                                <a:lnTo>
                                  <a:pt x="20" y="85"/>
                                </a:lnTo>
                                <a:lnTo>
                                  <a:pt x="40" y="85"/>
                                </a:lnTo>
                                <a:lnTo>
                                  <a:pt x="30" y="79"/>
                                </a:lnTo>
                                <a:close/>
                                <a:moveTo>
                                  <a:pt x="40" y="73"/>
                                </a:moveTo>
                                <a:lnTo>
                                  <a:pt x="20" y="73"/>
                                </a:lnTo>
                                <a:lnTo>
                                  <a:pt x="30" y="79"/>
                                </a:lnTo>
                                <a:lnTo>
                                  <a:pt x="40" y="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Rectangle 133"/>
                        <wps:cNvSpPr>
                          <a:spLocks noChangeArrowheads="1"/>
                        </wps:cNvSpPr>
                        <wps:spPr bwMode="auto">
                          <a:xfrm>
                            <a:off x="1035" y="6668"/>
                            <a:ext cx="9411" cy="2626"/>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Line 132"/>
                        <wps:cNvCnPr>
                          <a:cxnSpLocks noChangeShapeType="1"/>
                        </wps:cNvCnPr>
                        <wps:spPr bwMode="auto">
                          <a:xfrm>
                            <a:off x="1036" y="6698"/>
                            <a:ext cx="0" cy="2596"/>
                          </a:xfrm>
                          <a:prstGeom prst="line">
                            <a:avLst/>
                          </a:prstGeom>
                          <a:noFill/>
                          <a:ln w="9144">
                            <a:solidFill>
                              <a:srgbClr val="00818A"/>
                            </a:solidFill>
                            <a:prstDash val="sysDash"/>
                            <a:round/>
                            <a:headEnd/>
                            <a:tailEnd/>
                          </a:ln>
                          <a:extLst>
                            <a:ext uri="{909E8E84-426E-40DD-AFC4-6F175D3DCCD1}">
                              <a14:hiddenFill xmlns:a14="http://schemas.microsoft.com/office/drawing/2010/main">
                                <a:noFill/>
                              </a14:hiddenFill>
                            </a:ext>
                          </a:extLst>
                        </wps:spPr>
                        <wps:bodyPr/>
                      </wps:wsp>
                      <wps:wsp>
                        <wps:cNvPr id="229" name="Line 131"/>
                        <wps:cNvCnPr>
                          <a:cxnSpLocks noChangeShapeType="1"/>
                        </wps:cNvCnPr>
                        <wps:spPr bwMode="auto">
                          <a:xfrm>
                            <a:off x="1050" y="6668"/>
                            <a:ext cx="9360" cy="0"/>
                          </a:xfrm>
                          <a:prstGeom prst="line">
                            <a:avLst/>
                          </a:prstGeom>
                          <a:noFill/>
                          <a:ln w="9144">
                            <a:solidFill>
                              <a:srgbClr val="00818A"/>
                            </a:solidFill>
                            <a:prstDash val="sysDash"/>
                            <a:round/>
                            <a:headEnd/>
                            <a:tailEnd/>
                          </a:ln>
                          <a:extLst>
                            <a:ext uri="{909E8E84-426E-40DD-AFC4-6F175D3DCCD1}">
                              <a14:hiddenFill xmlns:a14="http://schemas.microsoft.com/office/drawing/2010/main">
                                <a:noFill/>
                              </a14:hiddenFill>
                            </a:ext>
                          </a:extLst>
                        </wps:spPr>
                        <wps:bodyPr/>
                      </wps:wsp>
                      <wps:wsp>
                        <wps:cNvPr id="230" name="Line 130"/>
                        <wps:cNvCnPr>
                          <a:cxnSpLocks noChangeShapeType="1"/>
                        </wps:cNvCnPr>
                        <wps:spPr bwMode="auto">
                          <a:xfrm>
                            <a:off x="10445" y="6678"/>
                            <a:ext cx="0" cy="2595"/>
                          </a:xfrm>
                          <a:prstGeom prst="line">
                            <a:avLst/>
                          </a:prstGeom>
                          <a:noFill/>
                          <a:ln w="9906">
                            <a:solidFill>
                              <a:srgbClr val="00818A"/>
                            </a:solidFill>
                            <a:prstDash val="sysDash"/>
                            <a:round/>
                            <a:headEnd/>
                            <a:tailEnd/>
                          </a:ln>
                          <a:extLst>
                            <a:ext uri="{909E8E84-426E-40DD-AFC4-6F175D3DCCD1}">
                              <a14:hiddenFill xmlns:a14="http://schemas.microsoft.com/office/drawing/2010/main">
                                <a:noFill/>
                              </a14:hiddenFill>
                            </a:ext>
                          </a:extLst>
                        </wps:spPr>
                        <wps:bodyPr/>
                      </wps:wsp>
                      <wps:wsp>
                        <wps:cNvPr id="231" name="Line 129"/>
                        <wps:cNvCnPr>
                          <a:cxnSpLocks noChangeShapeType="1"/>
                        </wps:cNvCnPr>
                        <wps:spPr bwMode="auto">
                          <a:xfrm>
                            <a:off x="1061" y="9293"/>
                            <a:ext cx="9360" cy="0"/>
                          </a:xfrm>
                          <a:prstGeom prst="line">
                            <a:avLst/>
                          </a:prstGeom>
                          <a:noFill/>
                          <a:ln w="9906">
                            <a:solidFill>
                              <a:srgbClr val="00818A"/>
                            </a:solidFill>
                            <a:prstDash val="sys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 name="Picture 1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615" y="7403"/>
                            <a:ext cx="1941"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AutoShape 127"/>
                        <wps:cNvSpPr>
                          <a:spLocks/>
                        </wps:cNvSpPr>
                        <wps:spPr bwMode="auto">
                          <a:xfrm>
                            <a:off x="3613" y="7401"/>
                            <a:ext cx="1947" cy="724"/>
                          </a:xfrm>
                          <a:custGeom>
                            <a:avLst/>
                            <a:gdLst>
                              <a:gd name="T0" fmla="+- 0 5560 3613"/>
                              <a:gd name="T1" fmla="*/ T0 w 1947"/>
                              <a:gd name="T2" fmla="+- 0 7401 7401"/>
                              <a:gd name="T3" fmla="*/ 7401 h 724"/>
                              <a:gd name="T4" fmla="+- 0 3613 3613"/>
                              <a:gd name="T5" fmla="*/ T4 w 1947"/>
                              <a:gd name="T6" fmla="+- 0 7401 7401"/>
                              <a:gd name="T7" fmla="*/ 7401 h 724"/>
                              <a:gd name="T8" fmla="+- 0 3613 3613"/>
                              <a:gd name="T9" fmla="*/ T8 w 1947"/>
                              <a:gd name="T10" fmla="+- 0 8124 7401"/>
                              <a:gd name="T11" fmla="*/ 8124 h 724"/>
                              <a:gd name="T12" fmla="+- 0 3614 3613"/>
                              <a:gd name="T13" fmla="*/ T12 w 1947"/>
                              <a:gd name="T14" fmla="+- 0 8125 7401"/>
                              <a:gd name="T15" fmla="*/ 8125 h 724"/>
                              <a:gd name="T16" fmla="+- 0 5558 3613"/>
                              <a:gd name="T17" fmla="*/ T16 w 1947"/>
                              <a:gd name="T18" fmla="+- 0 8125 7401"/>
                              <a:gd name="T19" fmla="*/ 8125 h 724"/>
                              <a:gd name="T20" fmla="+- 0 5560 3613"/>
                              <a:gd name="T21" fmla="*/ T20 w 1947"/>
                              <a:gd name="T22" fmla="+- 0 8124 7401"/>
                              <a:gd name="T23" fmla="*/ 8124 h 724"/>
                              <a:gd name="T24" fmla="+- 0 5560 3613"/>
                              <a:gd name="T25" fmla="*/ T24 w 1947"/>
                              <a:gd name="T26" fmla="+- 0 8122 7401"/>
                              <a:gd name="T27" fmla="*/ 8122 h 724"/>
                              <a:gd name="T28" fmla="+- 0 3618 3613"/>
                              <a:gd name="T29" fmla="*/ T28 w 1947"/>
                              <a:gd name="T30" fmla="+- 0 8122 7401"/>
                              <a:gd name="T31" fmla="*/ 8122 h 724"/>
                              <a:gd name="T32" fmla="+- 0 3616 3613"/>
                              <a:gd name="T33" fmla="*/ T32 w 1947"/>
                              <a:gd name="T34" fmla="+- 0 8120 7401"/>
                              <a:gd name="T35" fmla="*/ 8120 h 724"/>
                              <a:gd name="T36" fmla="+- 0 3618 3613"/>
                              <a:gd name="T37" fmla="*/ T36 w 1947"/>
                              <a:gd name="T38" fmla="+- 0 8120 7401"/>
                              <a:gd name="T39" fmla="*/ 8120 h 724"/>
                              <a:gd name="T40" fmla="+- 0 3618 3613"/>
                              <a:gd name="T41" fmla="*/ T40 w 1947"/>
                              <a:gd name="T42" fmla="+- 0 7406 7401"/>
                              <a:gd name="T43" fmla="*/ 7406 h 724"/>
                              <a:gd name="T44" fmla="+- 0 3616 3613"/>
                              <a:gd name="T45" fmla="*/ T44 w 1947"/>
                              <a:gd name="T46" fmla="+- 0 7406 7401"/>
                              <a:gd name="T47" fmla="*/ 7406 h 724"/>
                              <a:gd name="T48" fmla="+- 0 3618 3613"/>
                              <a:gd name="T49" fmla="*/ T48 w 1947"/>
                              <a:gd name="T50" fmla="+- 0 7404 7401"/>
                              <a:gd name="T51" fmla="*/ 7404 h 724"/>
                              <a:gd name="T52" fmla="+- 0 5560 3613"/>
                              <a:gd name="T53" fmla="*/ T52 w 1947"/>
                              <a:gd name="T54" fmla="+- 0 7404 7401"/>
                              <a:gd name="T55" fmla="*/ 7404 h 724"/>
                              <a:gd name="T56" fmla="+- 0 5560 3613"/>
                              <a:gd name="T57" fmla="*/ T56 w 1947"/>
                              <a:gd name="T58" fmla="+- 0 7401 7401"/>
                              <a:gd name="T59" fmla="*/ 7401 h 724"/>
                              <a:gd name="T60" fmla="+- 0 3618 3613"/>
                              <a:gd name="T61" fmla="*/ T60 w 1947"/>
                              <a:gd name="T62" fmla="+- 0 8120 7401"/>
                              <a:gd name="T63" fmla="*/ 8120 h 724"/>
                              <a:gd name="T64" fmla="+- 0 3616 3613"/>
                              <a:gd name="T65" fmla="*/ T64 w 1947"/>
                              <a:gd name="T66" fmla="+- 0 8120 7401"/>
                              <a:gd name="T67" fmla="*/ 8120 h 724"/>
                              <a:gd name="T68" fmla="+- 0 3618 3613"/>
                              <a:gd name="T69" fmla="*/ T68 w 1947"/>
                              <a:gd name="T70" fmla="+- 0 8122 7401"/>
                              <a:gd name="T71" fmla="*/ 8122 h 724"/>
                              <a:gd name="T72" fmla="+- 0 3618 3613"/>
                              <a:gd name="T73" fmla="*/ T72 w 1947"/>
                              <a:gd name="T74" fmla="+- 0 8120 7401"/>
                              <a:gd name="T75" fmla="*/ 8120 h 724"/>
                              <a:gd name="T76" fmla="+- 0 5554 3613"/>
                              <a:gd name="T77" fmla="*/ T76 w 1947"/>
                              <a:gd name="T78" fmla="+- 0 8120 7401"/>
                              <a:gd name="T79" fmla="*/ 8120 h 724"/>
                              <a:gd name="T80" fmla="+- 0 3618 3613"/>
                              <a:gd name="T81" fmla="*/ T80 w 1947"/>
                              <a:gd name="T82" fmla="+- 0 8120 7401"/>
                              <a:gd name="T83" fmla="*/ 8120 h 724"/>
                              <a:gd name="T84" fmla="+- 0 3618 3613"/>
                              <a:gd name="T85" fmla="*/ T84 w 1947"/>
                              <a:gd name="T86" fmla="+- 0 8122 7401"/>
                              <a:gd name="T87" fmla="*/ 8122 h 724"/>
                              <a:gd name="T88" fmla="+- 0 5554 3613"/>
                              <a:gd name="T89" fmla="*/ T88 w 1947"/>
                              <a:gd name="T90" fmla="+- 0 8122 7401"/>
                              <a:gd name="T91" fmla="*/ 8122 h 724"/>
                              <a:gd name="T92" fmla="+- 0 5554 3613"/>
                              <a:gd name="T93" fmla="*/ T92 w 1947"/>
                              <a:gd name="T94" fmla="+- 0 8120 7401"/>
                              <a:gd name="T95" fmla="*/ 8120 h 724"/>
                              <a:gd name="T96" fmla="+- 0 5554 3613"/>
                              <a:gd name="T97" fmla="*/ T96 w 1947"/>
                              <a:gd name="T98" fmla="+- 0 7404 7401"/>
                              <a:gd name="T99" fmla="*/ 7404 h 724"/>
                              <a:gd name="T100" fmla="+- 0 5554 3613"/>
                              <a:gd name="T101" fmla="*/ T100 w 1947"/>
                              <a:gd name="T102" fmla="+- 0 8122 7401"/>
                              <a:gd name="T103" fmla="*/ 8122 h 724"/>
                              <a:gd name="T104" fmla="+- 0 5556 3613"/>
                              <a:gd name="T105" fmla="*/ T104 w 1947"/>
                              <a:gd name="T106" fmla="+- 0 8120 7401"/>
                              <a:gd name="T107" fmla="*/ 8120 h 724"/>
                              <a:gd name="T108" fmla="+- 0 5560 3613"/>
                              <a:gd name="T109" fmla="*/ T108 w 1947"/>
                              <a:gd name="T110" fmla="+- 0 8120 7401"/>
                              <a:gd name="T111" fmla="*/ 8120 h 724"/>
                              <a:gd name="T112" fmla="+- 0 5560 3613"/>
                              <a:gd name="T113" fmla="*/ T112 w 1947"/>
                              <a:gd name="T114" fmla="+- 0 7406 7401"/>
                              <a:gd name="T115" fmla="*/ 7406 h 724"/>
                              <a:gd name="T116" fmla="+- 0 5556 3613"/>
                              <a:gd name="T117" fmla="*/ T116 w 1947"/>
                              <a:gd name="T118" fmla="+- 0 7406 7401"/>
                              <a:gd name="T119" fmla="*/ 7406 h 724"/>
                              <a:gd name="T120" fmla="+- 0 5554 3613"/>
                              <a:gd name="T121" fmla="*/ T120 w 1947"/>
                              <a:gd name="T122" fmla="+- 0 7404 7401"/>
                              <a:gd name="T123" fmla="*/ 7404 h 724"/>
                              <a:gd name="T124" fmla="+- 0 5560 3613"/>
                              <a:gd name="T125" fmla="*/ T124 w 1947"/>
                              <a:gd name="T126" fmla="+- 0 8120 7401"/>
                              <a:gd name="T127" fmla="*/ 8120 h 724"/>
                              <a:gd name="T128" fmla="+- 0 5556 3613"/>
                              <a:gd name="T129" fmla="*/ T128 w 1947"/>
                              <a:gd name="T130" fmla="+- 0 8120 7401"/>
                              <a:gd name="T131" fmla="*/ 8120 h 724"/>
                              <a:gd name="T132" fmla="+- 0 5554 3613"/>
                              <a:gd name="T133" fmla="*/ T132 w 1947"/>
                              <a:gd name="T134" fmla="+- 0 8122 7401"/>
                              <a:gd name="T135" fmla="*/ 8122 h 724"/>
                              <a:gd name="T136" fmla="+- 0 5560 3613"/>
                              <a:gd name="T137" fmla="*/ T136 w 1947"/>
                              <a:gd name="T138" fmla="+- 0 8122 7401"/>
                              <a:gd name="T139" fmla="*/ 8122 h 724"/>
                              <a:gd name="T140" fmla="+- 0 5560 3613"/>
                              <a:gd name="T141" fmla="*/ T140 w 1947"/>
                              <a:gd name="T142" fmla="+- 0 8120 7401"/>
                              <a:gd name="T143" fmla="*/ 8120 h 724"/>
                              <a:gd name="T144" fmla="+- 0 3618 3613"/>
                              <a:gd name="T145" fmla="*/ T144 w 1947"/>
                              <a:gd name="T146" fmla="+- 0 7404 7401"/>
                              <a:gd name="T147" fmla="*/ 7404 h 724"/>
                              <a:gd name="T148" fmla="+- 0 3616 3613"/>
                              <a:gd name="T149" fmla="*/ T148 w 1947"/>
                              <a:gd name="T150" fmla="+- 0 7406 7401"/>
                              <a:gd name="T151" fmla="*/ 7406 h 724"/>
                              <a:gd name="T152" fmla="+- 0 3618 3613"/>
                              <a:gd name="T153" fmla="*/ T152 w 1947"/>
                              <a:gd name="T154" fmla="+- 0 7406 7401"/>
                              <a:gd name="T155" fmla="*/ 7406 h 724"/>
                              <a:gd name="T156" fmla="+- 0 3618 3613"/>
                              <a:gd name="T157" fmla="*/ T156 w 1947"/>
                              <a:gd name="T158" fmla="+- 0 7404 7401"/>
                              <a:gd name="T159" fmla="*/ 7404 h 724"/>
                              <a:gd name="T160" fmla="+- 0 5554 3613"/>
                              <a:gd name="T161" fmla="*/ T160 w 1947"/>
                              <a:gd name="T162" fmla="+- 0 7404 7401"/>
                              <a:gd name="T163" fmla="*/ 7404 h 724"/>
                              <a:gd name="T164" fmla="+- 0 3618 3613"/>
                              <a:gd name="T165" fmla="*/ T164 w 1947"/>
                              <a:gd name="T166" fmla="+- 0 7404 7401"/>
                              <a:gd name="T167" fmla="*/ 7404 h 724"/>
                              <a:gd name="T168" fmla="+- 0 3618 3613"/>
                              <a:gd name="T169" fmla="*/ T168 w 1947"/>
                              <a:gd name="T170" fmla="+- 0 7406 7401"/>
                              <a:gd name="T171" fmla="*/ 7406 h 724"/>
                              <a:gd name="T172" fmla="+- 0 5554 3613"/>
                              <a:gd name="T173" fmla="*/ T172 w 1947"/>
                              <a:gd name="T174" fmla="+- 0 7406 7401"/>
                              <a:gd name="T175" fmla="*/ 7406 h 724"/>
                              <a:gd name="T176" fmla="+- 0 5554 3613"/>
                              <a:gd name="T177" fmla="*/ T176 w 1947"/>
                              <a:gd name="T178" fmla="+- 0 7404 7401"/>
                              <a:gd name="T179" fmla="*/ 7404 h 724"/>
                              <a:gd name="T180" fmla="+- 0 5560 3613"/>
                              <a:gd name="T181" fmla="*/ T180 w 1947"/>
                              <a:gd name="T182" fmla="+- 0 7404 7401"/>
                              <a:gd name="T183" fmla="*/ 7404 h 724"/>
                              <a:gd name="T184" fmla="+- 0 5554 3613"/>
                              <a:gd name="T185" fmla="*/ T184 w 1947"/>
                              <a:gd name="T186" fmla="+- 0 7404 7401"/>
                              <a:gd name="T187" fmla="*/ 7404 h 724"/>
                              <a:gd name="T188" fmla="+- 0 5556 3613"/>
                              <a:gd name="T189" fmla="*/ T188 w 1947"/>
                              <a:gd name="T190" fmla="+- 0 7406 7401"/>
                              <a:gd name="T191" fmla="*/ 7406 h 724"/>
                              <a:gd name="T192" fmla="+- 0 5560 3613"/>
                              <a:gd name="T193" fmla="*/ T192 w 1947"/>
                              <a:gd name="T194" fmla="+- 0 7406 7401"/>
                              <a:gd name="T195" fmla="*/ 7406 h 724"/>
                              <a:gd name="T196" fmla="+- 0 5560 3613"/>
                              <a:gd name="T197" fmla="*/ T196 w 1947"/>
                              <a:gd name="T198" fmla="+- 0 7404 7401"/>
                              <a:gd name="T199" fmla="*/ 7404 h 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947" h="724">
                                <a:moveTo>
                                  <a:pt x="1947" y="0"/>
                                </a:moveTo>
                                <a:lnTo>
                                  <a:pt x="0" y="0"/>
                                </a:lnTo>
                                <a:lnTo>
                                  <a:pt x="0" y="723"/>
                                </a:lnTo>
                                <a:lnTo>
                                  <a:pt x="1" y="724"/>
                                </a:lnTo>
                                <a:lnTo>
                                  <a:pt x="1945" y="724"/>
                                </a:lnTo>
                                <a:lnTo>
                                  <a:pt x="1947" y="723"/>
                                </a:lnTo>
                                <a:lnTo>
                                  <a:pt x="1947" y="721"/>
                                </a:lnTo>
                                <a:lnTo>
                                  <a:pt x="5" y="721"/>
                                </a:lnTo>
                                <a:lnTo>
                                  <a:pt x="3" y="719"/>
                                </a:lnTo>
                                <a:lnTo>
                                  <a:pt x="5" y="719"/>
                                </a:lnTo>
                                <a:lnTo>
                                  <a:pt x="5" y="5"/>
                                </a:lnTo>
                                <a:lnTo>
                                  <a:pt x="3" y="5"/>
                                </a:lnTo>
                                <a:lnTo>
                                  <a:pt x="5" y="3"/>
                                </a:lnTo>
                                <a:lnTo>
                                  <a:pt x="1947" y="3"/>
                                </a:lnTo>
                                <a:lnTo>
                                  <a:pt x="1947" y="0"/>
                                </a:lnTo>
                                <a:close/>
                                <a:moveTo>
                                  <a:pt x="5" y="719"/>
                                </a:moveTo>
                                <a:lnTo>
                                  <a:pt x="3" y="719"/>
                                </a:lnTo>
                                <a:lnTo>
                                  <a:pt x="5" y="721"/>
                                </a:lnTo>
                                <a:lnTo>
                                  <a:pt x="5" y="719"/>
                                </a:lnTo>
                                <a:close/>
                                <a:moveTo>
                                  <a:pt x="1941" y="719"/>
                                </a:moveTo>
                                <a:lnTo>
                                  <a:pt x="5" y="719"/>
                                </a:lnTo>
                                <a:lnTo>
                                  <a:pt x="5" y="721"/>
                                </a:lnTo>
                                <a:lnTo>
                                  <a:pt x="1941" y="721"/>
                                </a:lnTo>
                                <a:lnTo>
                                  <a:pt x="1941" y="719"/>
                                </a:lnTo>
                                <a:close/>
                                <a:moveTo>
                                  <a:pt x="1941" y="3"/>
                                </a:moveTo>
                                <a:lnTo>
                                  <a:pt x="1941" y="721"/>
                                </a:lnTo>
                                <a:lnTo>
                                  <a:pt x="1943" y="719"/>
                                </a:lnTo>
                                <a:lnTo>
                                  <a:pt x="1947" y="719"/>
                                </a:lnTo>
                                <a:lnTo>
                                  <a:pt x="1947" y="5"/>
                                </a:lnTo>
                                <a:lnTo>
                                  <a:pt x="1943" y="5"/>
                                </a:lnTo>
                                <a:lnTo>
                                  <a:pt x="1941" y="3"/>
                                </a:lnTo>
                                <a:close/>
                                <a:moveTo>
                                  <a:pt x="1947" y="719"/>
                                </a:moveTo>
                                <a:lnTo>
                                  <a:pt x="1943" y="719"/>
                                </a:lnTo>
                                <a:lnTo>
                                  <a:pt x="1941" y="721"/>
                                </a:lnTo>
                                <a:lnTo>
                                  <a:pt x="1947" y="721"/>
                                </a:lnTo>
                                <a:lnTo>
                                  <a:pt x="1947" y="719"/>
                                </a:lnTo>
                                <a:close/>
                                <a:moveTo>
                                  <a:pt x="5" y="3"/>
                                </a:moveTo>
                                <a:lnTo>
                                  <a:pt x="3" y="5"/>
                                </a:lnTo>
                                <a:lnTo>
                                  <a:pt x="5" y="5"/>
                                </a:lnTo>
                                <a:lnTo>
                                  <a:pt x="5" y="3"/>
                                </a:lnTo>
                                <a:close/>
                                <a:moveTo>
                                  <a:pt x="1941" y="3"/>
                                </a:moveTo>
                                <a:lnTo>
                                  <a:pt x="5" y="3"/>
                                </a:lnTo>
                                <a:lnTo>
                                  <a:pt x="5" y="5"/>
                                </a:lnTo>
                                <a:lnTo>
                                  <a:pt x="1941" y="5"/>
                                </a:lnTo>
                                <a:lnTo>
                                  <a:pt x="1941" y="3"/>
                                </a:lnTo>
                                <a:close/>
                                <a:moveTo>
                                  <a:pt x="1947" y="3"/>
                                </a:moveTo>
                                <a:lnTo>
                                  <a:pt x="1941" y="3"/>
                                </a:lnTo>
                                <a:lnTo>
                                  <a:pt x="1943" y="5"/>
                                </a:lnTo>
                                <a:lnTo>
                                  <a:pt x="1947" y="5"/>
                                </a:lnTo>
                                <a:lnTo>
                                  <a:pt x="194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1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335" y="7388"/>
                            <a:ext cx="1875"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AutoShape 125"/>
                        <wps:cNvSpPr>
                          <a:spLocks/>
                        </wps:cNvSpPr>
                        <wps:spPr bwMode="auto">
                          <a:xfrm>
                            <a:off x="1333" y="7385"/>
                            <a:ext cx="1880" cy="710"/>
                          </a:xfrm>
                          <a:custGeom>
                            <a:avLst/>
                            <a:gdLst>
                              <a:gd name="T0" fmla="+- 0 3211 1333"/>
                              <a:gd name="T1" fmla="*/ T0 w 1880"/>
                              <a:gd name="T2" fmla="+- 0 7386 7386"/>
                              <a:gd name="T3" fmla="*/ 7386 h 710"/>
                              <a:gd name="T4" fmla="+- 0 1334 1333"/>
                              <a:gd name="T5" fmla="*/ T4 w 1880"/>
                              <a:gd name="T6" fmla="+- 0 7386 7386"/>
                              <a:gd name="T7" fmla="*/ 7386 h 710"/>
                              <a:gd name="T8" fmla="+- 0 1333 1333"/>
                              <a:gd name="T9" fmla="*/ T8 w 1880"/>
                              <a:gd name="T10" fmla="+- 0 7387 7386"/>
                              <a:gd name="T11" fmla="*/ 7387 h 710"/>
                              <a:gd name="T12" fmla="+- 0 1333 1333"/>
                              <a:gd name="T13" fmla="*/ T12 w 1880"/>
                              <a:gd name="T14" fmla="+- 0 8094 7386"/>
                              <a:gd name="T15" fmla="*/ 8094 h 710"/>
                              <a:gd name="T16" fmla="+- 0 1334 1333"/>
                              <a:gd name="T17" fmla="*/ T16 w 1880"/>
                              <a:gd name="T18" fmla="+- 0 8095 7386"/>
                              <a:gd name="T19" fmla="*/ 8095 h 710"/>
                              <a:gd name="T20" fmla="+- 0 3211 1333"/>
                              <a:gd name="T21" fmla="*/ T20 w 1880"/>
                              <a:gd name="T22" fmla="+- 0 8095 7386"/>
                              <a:gd name="T23" fmla="*/ 8095 h 710"/>
                              <a:gd name="T24" fmla="+- 0 3212 1333"/>
                              <a:gd name="T25" fmla="*/ T24 w 1880"/>
                              <a:gd name="T26" fmla="+- 0 8094 7386"/>
                              <a:gd name="T27" fmla="*/ 8094 h 710"/>
                              <a:gd name="T28" fmla="+- 0 3212 1333"/>
                              <a:gd name="T29" fmla="*/ T28 w 1880"/>
                              <a:gd name="T30" fmla="+- 0 8092 7386"/>
                              <a:gd name="T31" fmla="*/ 8092 h 710"/>
                              <a:gd name="T32" fmla="+- 0 1338 1333"/>
                              <a:gd name="T33" fmla="*/ T32 w 1880"/>
                              <a:gd name="T34" fmla="+- 0 8092 7386"/>
                              <a:gd name="T35" fmla="*/ 8092 h 710"/>
                              <a:gd name="T36" fmla="+- 0 1336 1333"/>
                              <a:gd name="T37" fmla="*/ T36 w 1880"/>
                              <a:gd name="T38" fmla="+- 0 8090 7386"/>
                              <a:gd name="T39" fmla="*/ 8090 h 710"/>
                              <a:gd name="T40" fmla="+- 0 1338 1333"/>
                              <a:gd name="T41" fmla="*/ T40 w 1880"/>
                              <a:gd name="T42" fmla="+- 0 8090 7386"/>
                              <a:gd name="T43" fmla="*/ 8090 h 710"/>
                              <a:gd name="T44" fmla="+- 0 1338 1333"/>
                              <a:gd name="T45" fmla="*/ T44 w 1880"/>
                              <a:gd name="T46" fmla="+- 0 7390 7386"/>
                              <a:gd name="T47" fmla="*/ 7390 h 710"/>
                              <a:gd name="T48" fmla="+- 0 1336 1333"/>
                              <a:gd name="T49" fmla="*/ T48 w 1880"/>
                              <a:gd name="T50" fmla="+- 0 7390 7386"/>
                              <a:gd name="T51" fmla="*/ 7390 h 710"/>
                              <a:gd name="T52" fmla="+- 0 1338 1333"/>
                              <a:gd name="T53" fmla="*/ T52 w 1880"/>
                              <a:gd name="T54" fmla="+- 0 7388 7386"/>
                              <a:gd name="T55" fmla="*/ 7388 h 710"/>
                              <a:gd name="T56" fmla="+- 0 3212 1333"/>
                              <a:gd name="T57" fmla="*/ T56 w 1880"/>
                              <a:gd name="T58" fmla="+- 0 7388 7386"/>
                              <a:gd name="T59" fmla="*/ 7388 h 710"/>
                              <a:gd name="T60" fmla="+- 0 3212 1333"/>
                              <a:gd name="T61" fmla="*/ T60 w 1880"/>
                              <a:gd name="T62" fmla="+- 0 7387 7386"/>
                              <a:gd name="T63" fmla="*/ 7387 h 710"/>
                              <a:gd name="T64" fmla="+- 0 3211 1333"/>
                              <a:gd name="T65" fmla="*/ T64 w 1880"/>
                              <a:gd name="T66" fmla="+- 0 7386 7386"/>
                              <a:gd name="T67" fmla="*/ 7386 h 710"/>
                              <a:gd name="T68" fmla="+- 0 1338 1333"/>
                              <a:gd name="T69" fmla="*/ T68 w 1880"/>
                              <a:gd name="T70" fmla="+- 0 8090 7386"/>
                              <a:gd name="T71" fmla="*/ 8090 h 710"/>
                              <a:gd name="T72" fmla="+- 0 1336 1333"/>
                              <a:gd name="T73" fmla="*/ T72 w 1880"/>
                              <a:gd name="T74" fmla="+- 0 8090 7386"/>
                              <a:gd name="T75" fmla="*/ 8090 h 710"/>
                              <a:gd name="T76" fmla="+- 0 1338 1333"/>
                              <a:gd name="T77" fmla="*/ T76 w 1880"/>
                              <a:gd name="T78" fmla="+- 0 8092 7386"/>
                              <a:gd name="T79" fmla="*/ 8092 h 710"/>
                              <a:gd name="T80" fmla="+- 0 1338 1333"/>
                              <a:gd name="T81" fmla="*/ T80 w 1880"/>
                              <a:gd name="T82" fmla="+- 0 8090 7386"/>
                              <a:gd name="T83" fmla="*/ 8090 h 710"/>
                              <a:gd name="T84" fmla="+- 0 3208 1333"/>
                              <a:gd name="T85" fmla="*/ T84 w 1880"/>
                              <a:gd name="T86" fmla="+- 0 8090 7386"/>
                              <a:gd name="T87" fmla="*/ 8090 h 710"/>
                              <a:gd name="T88" fmla="+- 0 1338 1333"/>
                              <a:gd name="T89" fmla="*/ T88 w 1880"/>
                              <a:gd name="T90" fmla="+- 0 8090 7386"/>
                              <a:gd name="T91" fmla="*/ 8090 h 710"/>
                              <a:gd name="T92" fmla="+- 0 1338 1333"/>
                              <a:gd name="T93" fmla="*/ T92 w 1880"/>
                              <a:gd name="T94" fmla="+- 0 8092 7386"/>
                              <a:gd name="T95" fmla="*/ 8092 h 710"/>
                              <a:gd name="T96" fmla="+- 0 3208 1333"/>
                              <a:gd name="T97" fmla="*/ T96 w 1880"/>
                              <a:gd name="T98" fmla="+- 0 8092 7386"/>
                              <a:gd name="T99" fmla="*/ 8092 h 710"/>
                              <a:gd name="T100" fmla="+- 0 3208 1333"/>
                              <a:gd name="T101" fmla="*/ T100 w 1880"/>
                              <a:gd name="T102" fmla="+- 0 8090 7386"/>
                              <a:gd name="T103" fmla="*/ 8090 h 710"/>
                              <a:gd name="T104" fmla="+- 0 3208 1333"/>
                              <a:gd name="T105" fmla="*/ T104 w 1880"/>
                              <a:gd name="T106" fmla="+- 0 7388 7386"/>
                              <a:gd name="T107" fmla="*/ 7388 h 710"/>
                              <a:gd name="T108" fmla="+- 0 3208 1333"/>
                              <a:gd name="T109" fmla="*/ T108 w 1880"/>
                              <a:gd name="T110" fmla="+- 0 8092 7386"/>
                              <a:gd name="T111" fmla="*/ 8092 h 710"/>
                              <a:gd name="T112" fmla="+- 0 3210 1333"/>
                              <a:gd name="T113" fmla="*/ T112 w 1880"/>
                              <a:gd name="T114" fmla="+- 0 8090 7386"/>
                              <a:gd name="T115" fmla="*/ 8090 h 710"/>
                              <a:gd name="T116" fmla="+- 0 3212 1333"/>
                              <a:gd name="T117" fmla="*/ T116 w 1880"/>
                              <a:gd name="T118" fmla="+- 0 8090 7386"/>
                              <a:gd name="T119" fmla="*/ 8090 h 710"/>
                              <a:gd name="T120" fmla="+- 0 3212 1333"/>
                              <a:gd name="T121" fmla="*/ T120 w 1880"/>
                              <a:gd name="T122" fmla="+- 0 7390 7386"/>
                              <a:gd name="T123" fmla="*/ 7390 h 710"/>
                              <a:gd name="T124" fmla="+- 0 3210 1333"/>
                              <a:gd name="T125" fmla="*/ T124 w 1880"/>
                              <a:gd name="T126" fmla="+- 0 7390 7386"/>
                              <a:gd name="T127" fmla="*/ 7390 h 710"/>
                              <a:gd name="T128" fmla="+- 0 3208 1333"/>
                              <a:gd name="T129" fmla="*/ T128 w 1880"/>
                              <a:gd name="T130" fmla="+- 0 7388 7386"/>
                              <a:gd name="T131" fmla="*/ 7388 h 710"/>
                              <a:gd name="T132" fmla="+- 0 3212 1333"/>
                              <a:gd name="T133" fmla="*/ T132 w 1880"/>
                              <a:gd name="T134" fmla="+- 0 8090 7386"/>
                              <a:gd name="T135" fmla="*/ 8090 h 710"/>
                              <a:gd name="T136" fmla="+- 0 3210 1333"/>
                              <a:gd name="T137" fmla="*/ T136 w 1880"/>
                              <a:gd name="T138" fmla="+- 0 8090 7386"/>
                              <a:gd name="T139" fmla="*/ 8090 h 710"/>
                              <a:gd name="T140" fmla="+- 0 3208 1333"/>
                              <a:gd name="T141" fmla="*/ T140 w 1880"/>
                              <a:gd name="T142" fmla="+- 0 8092 7386"/>
                              <a:gd name="T143" fmla="*/ 8092 h 710"/>
                              <a:gd name="T144" fmla="+- 0 3212 1333"/>
                              <a:gd name="T145" fmla="*/ T144 w 1880"/>
                              <a:gd name="T146" fmla="+- 0 8092 7386"/>
                              <a:gd name="T147" fmla="*/ 8092 h 710"/>
                              <a:gd name="T148" fmla="+- 0 3212 1333"/>
                              <a:gd name="T149" fmla="*/ T148 w 1880"/>
                              <a:gd name="T150" fmla="+- 0 8090 7386"/>
                              <a:gd name="T151" fmla="*/ 8090 h 710"/>
                              <a:gd name="T152" fmla="+- 0 1338 1333"/>
                              <a:gd name="T153" fmla="*/ T152 w 1880"/>
                              <a:gd name="T154" fmla="+- 0 7388 7386"/>
                              <a:gd name="T155" fmla="*/ 7388 h 710"/>
                              <a:gd name="T156" fmla="+- 0 1336 1333"/>
                              <a:gd name="T157" fmla="*/ T156 w 1880"/>
                              <a:gd name="T158" fmla="+- 0 7390 7386"/>
                              <a:gd name="T159" fmla="*/ 7390 h 710"/>
                              <a:gd name="T160" fmla="+- 0 1338 1333"/>
                              <a:gd name="T161" fmla="*/ T160 w 1880"/>
                              <a:gd name="T162" fmla="+- 0 7390 7386"/>
                              <a:gd name="T163" fmla="*/ 7390 h 710"/>
                              <a:gd name="T164" fmla="+- 0 1338 1333"/>
                              <a:gd name="T165" fmla="*/ T164 w 1880"/>
                              <a:gd name="T166" fmla="+- 0 7388 7386"/>
                              <a:gd name="T167" fmla="*/ 7388 h 710"/>
                              <a:gd name="T168" fmla="+- 0 3208 1333"/>
                              <a:gd name="T169" fmla="*/ T168 w 1880"/>
                              <a:gd name="T170" fmla="+- 0 7388 7386"/>
                              <a:gd name="T171" fmla="*/ 7388 h 710"/>
                              <a:gd name="T172" fmla="+- 0 1338 1333"/>
                              <a:gd name="T173" fmla="*/ T172 w 1880"/>
                              <a:gd name="T174" fmla="+- 0 7388 7386"/>
                              <a:gd name="T175" fmla="*/ 7388 h 710"/>
                              <a:gd name="T176" fmla="+- 0 1338 1333"/>
                              <a:gd name="T177" fmla="*/ T176 w 1880"/>
                              <a:gd name="T178" fmla="+- 0 7390 7386"/>
                              <a:gd name="T179" fmla="*/ 7390 h 710"/>
                              <a:gd name="T180" fmla="+- 0 3208 1333"/>
                              <a:gd name="T181" fmla="*/ T180 w 1880"/>
                              <a:gd name="T182" fmla="+- 0 7390 7386"/>
                              <a:gd name="T183" fmla="*/ 7390 h 710"/>
                              <a:gd name="T184" fmla="+- 0 3208 1333"/>
                              <a:gd name="T185" fmla="*/ T184 w 1880"/>
                              <a:gd name="T186" fmla="+- 0 7388 7386"/>
                              <a:gd name="T187" fmla="*/ 7388 h 710"/>
                              <a:gd name="T188" fmla="+- 0 3212 1333"/>
                              <a:gd name="T189" fmla="*/ T188 w 1880"/>
                              <a:gd name="T190" fmla="+- 0 7388 7386"/>
                              <a:gd name="T191" fmla="*/ 7388 h 710"/>
                              <a:gd name="T192" fmla="+- 0 3208 1333"/>
                              <a:gd name="T193" fmla="*/ T192 w 1880"/>
                              <a:gd name="T194" fmla="+- 0 7388 7386"/>
                              <a:gd name="T195" fmla="*/ 7388 h 710"/>
                              <a:gd name="T196" fmla="+- 0 3210 1333"/>
                              <a:gd name="T197" fmla="*/ T196 w 1880"/>
                              <a:gd name="T198" fmla="+- 0 7390 7386"/>
                              <a:gd name="T199" fmla="*/ 7390 h 710"/>
                              <a:gd name="T200" fmla="+- 0 3212 1333"/>
                              <a:gd name="T201" fmla="*/ T200 w 1880"/>
                              <a:gd name="T202" fmla="+- 0 7390 7386"/>
                              <a:gd name="T203" fmla="*/ 7390 h 710"/>
                              <a:gd name="T204" fmla="+- 0 3212 1333"/>
                              <a:gd name="T205" fmla="*/ T204 w 1880"/>
                              <a:gd name="T206" fmla="+- 0 7388 7386"/>
                              <a:gd name="T207" fmla="*/ 7388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880" h="710">
                                <a:moveTo>
                                  <a:pt x="1878" y="0"/>
                                </a:moveTo>
                                <a:lnTo>
                                  <a:pt x="1" y="0"/>
                                </a:lnTo>
                                <a:lnTo>
                                  <a:pt x="0" y="1"/>
                                </a:lnTo>
                                <a:lnTo>
                                  <a:pt x="0" y="708"/>
                                </a:lnTo>
                                <a:lnTo>
                                  <a:pt x="1" y="709"/>
                                </a:lnTo>
                                <a:lnTo>
                                  <a:pt x="1878" y="709"/>
                                </a:lnTo>
                                <a:lnTo>
                                  <a:pt x="1879" y="708"/>
                                </a:lnTo>
                                <a:lnTo>
                                  <a:pt x="1879" y="706"/>
                                </a:lnTo>
                                <a:lnTo>
                                  <a:pt x="5" y="706"/>
                                </a:lnTo>
                                <a:lnTo>
                                  <a:pt x="3" y="704"/>
                                </a:lnTo>
                                <a:lnTo>
                                  <a:pt x="5" y="704"/>
                                </a:lnTo>
                                <a:lnTo>
                                  <a:pt x="5" y="4"/>
                                </a:lnTo>
                                <a:lnTo>
                                  <a:pt x="3" y="4"/>
                                </a:lnTo>
                                <a:lnTo>
                                  <a:pt x="5" y="2"/>
                                </a:lnTo>
                                <a:lnTo>
                                  <a:pt x="1879" y="2"/>
                                </a:lnTo>
                                <a:lnTo>
                                  <a:pt x="1879" y="1"/>
                                </a:lnTo>
                                <a:lnTo>
                                  <a:pt x="1878" y="0"/>
                                </a:lnTo>
                                <a:close/>
                                <a:moveTo>
                                  <a:pt x="5" y="704"/>
                                </a:moveTo>
                                <a:lnTo>
                                  <a:pt x="3" y="704"/>
                                </a:lnTo>
                                <a:lnTo>
                                  <a:pt x="5" y="706"/>
                                </a:lnTo>
                                <a:lnTo>
                                  <a:pt x="5" y="704"/>
                                </a:lnTo>
                                <a:close/>
                                <a:moveTo>
                                  <a:pt x="1875" y="704"/>
                                </a:moveTo>
                                <a:lnTo>
                                  <a:pt x="5" y="704"/>
                                </a:lnTo>
                                <a:lnTo>
                                  <a:pt x="5" y="706"/>
                                </a:lnTo>
                                <a:lnTo>
                                  <a:pt x="1875" y="706"/>
                                </a:lnTo>
                                <a:lnTo>
                                  <a:pt x="1875" y="704"/>
                                </a:lnTo>
                                <a:close/>
                                <a:moveTo>
                                  <a:pt x="1875" y="2"/>
                                </a:moveTo>
                                <a:lnTo>
                                  <a:pt x="1875" y="706"/>
                                </a:lnTo>
                                <a:lnTo>
                                  <a:pt x="1877" y="704"/>
                                </a:lnTo>
                                <a:lnTo>
                                  <a:pt x="1879" y="704"/>
                                </a:lnTo>
                                <a:lnTo>
                                  <a:pt x="1879" y="4"/>
                                </a:lnTo>
                                <a:lnTo>
                                  <a:pt x="1877" y="4"/>
                                </a:lnTo>
                                <a:lnTo>
                                  <a:pt x="1875" y="2"/>
                                </a:lnTo>
                                <a:close/>
                                <a:moveTo>
                                  <a:pt x="1879" y="704"/>
                                </a:moveTo>
                                <a:lnTo>
                                  <a:pt x="1877" y="704"/>
                                </a:lnTo>
                                <a:lnTo>
                                  <a:pt x="1875" y="706"/>
                                </a:lnTo>
                                <a:lnTo>
                                  <a:pt x="1879" y="706"/>
                                </a:lnTo>
                                <a:lnTo>
                                  <a:pt x="1879" y="704"/>
                                </a:lnTo>
                                <a:close/>
                                <a:moveTo>
                                  <a:pt x="5" y="2"/>
                                </a:moveTo>
                                <a:lnTo>
                                  <a:pt x="3" y="4"/>
                                </a:lnTo>
                                <a:lnTo>
                                  <a:pt x="5" y="4"/>
                                </a:lnTo>
                                <a:lnTo>
                                  <a:pt x="5" y="2"/>
                                </a:lnTo>
                                <a:close/>
                                <a:moveTo>
                                  <a:pt x="1875" y="2"/>
                                </a:moveTo>
                                <a:lnTo>
                                  <a:pt x="5" y="2"/>
                                </a:lnTo>
                                <a:lnTo>
                                  <a:pt x="5" y="4"/>
                                </a:lnTo>
                                <a:lnTo>
                                  <a:pt x="1875" y="4"/>
                                </a:lnTo>
                                <a:lnTo>
                                  <a:pt x="1875" y="2"/>
                                </a:lnTo>
                                <a:close/>
                                <a:moveTo>
                                  <a:pt x="1879" y="2"/>
                                </a:moveTo>
                                <a:lnTo>
                                  <a:pt x="1875" y="2"/>
                                </a:lnTo>
                                <a:lnTo>
                                  <a:pt x="1877" y="4"/>
                                </a:lnTo>
                                <a:lnTo>
                                  <a:pt x="1879" y="4"/>
                                </a:lnTo>
                                <a:lnTo>
                                  <a:pt x="1879"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 name="Picture 1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6015" y="7388"/>
                            <a:ext cx="1991"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AutoShape 123"/>
                        <wps:cNvSpPr>
                          <a:spLocks/>
                        </wps:cNvSpPr>
                        <wps:spPr bwMode="auto">
                          <a:xfrm>
                            <a:off x="6013" y="7401"/>
                            <a:ext cx="1996" cy="724"/>
                          </a:xfrm>
                          <a:custGeom>
                            <a:avLst/>
                            <a:gdLst>
                              <a:gd name="T0" fmla="+- 0 8009 6013"/>
                              <a:gd name="T1" fmla="*/ T0 w 1996"/>
                              <a:gd name="T2" fmla="+- 0 7401 7401"/>
                              <a:gd name="T3" fmla="*/ 7401 h 724"/>
                              <a:gd name="T4" fmla="+- 0 6013 6013"/>
                              <a:gd name="T5" fmla="*/ T4 w 1996"/>
                              <a:gd name="T6" fmla="+- 0 7401 7401"/>
                              <a:gd name="T7" fmla="*/ 7401 h 724"/>
                              <a:gd name="T8" fmla="+- 0 6013 6013"/>
                              <a:gd name="T9" fmla="*/ T8 w 1996"/>
                              <a:gd name="T10" fmla="+- 0 8124 7401"/>
                              <a:gd name="T11" fmla="*/ 8124 h 724"/>
                              <a:gd name="T12" fmla="+- 0 6014 6013"/>
                              <a:gd name="T13" fmla="*/ T12 w 1996"/>
                              <a:gd name="T14" fmla="+- 0 8125 7401"/>
                              <a:gd name="T15" fmla="*/ 8125 h 724"/>
                              <a:gd name="T16" fmla="+- 0 8008 6013"/>
                              <a:gd name="T17" fmla="*/ T16 w 1996"/>
                              <a:gd name="T18" fmla="+- 0 8125 7401"/>
                              <a:gd name="T19" fmla="*/ 8125 h 724"/>
                              <a:gd name="T20" fmla="+- 0 8009 6013"/>
                              <a:gd name="T21" fmla="*/ T20 w 1996"/>
                              <a:gd name="T22" fmla="+- 0 8124 7401"/>
                              <a:gd name="T23" fmla="*/ 8124 h 724"/>
                              <a:gd name="T24" fmla="+- 0 8009 6013"/>
                              <a:gd name="T25" fmla="*/ T24 w 1996"/>
                              <a:gd name="T26" fmla="+- 0 8122 7401"/>
                              <a:gd name="T27" fmla="*/ 8122 h 724"/>
                              <a:gd name="T28" fmla="+- 0 6018 6013"/>
                              <a:gd name="T29" fmla="*/ T28 w 1996"/>
                              <a:gd name="T30" fmla="+- 0 8122 7401"/>
                              <a:gd name="T31" fmla="*/ 8122 h 724"/>
                              <a:gd name="T32" fmla="+- 0 6016 6013"/>
                              <a:gd name="T33" fmla="*/ T32 w 1996"/>
                              <a:gd name="T34" fmla="+- 0 8120 7401"/>
                              <a:gd name="T35" fmla="*/ 8120 h 724"/>
                              <a:gd name="T36" fmla="+- 0 6018 6013"/>
                              <a:gd name="T37" fmla="*/ T36 w 1996"/>
                              <a:gd name="T38" fmla="+- 0 8120 7401"/>
                              <a:gd name="T39" fmla="*/ 8120 h 724"/>
                              <a:gd name="T40" fmla="+- 0 6018 6013"/>
                              <a:gd name="T41" fmla="*/ T40 w 1996"/>
                              <a:gd name="T42" fmla="+- 0 7406 7401"/>
                              <a:gd name="T43" fmla="*/ 7406 h 724"/>
                              <a:gd name="T44" fmla="+- 0 6016 6013"/>
                              <a:gd name="T45" fmla="*/ T44 w 1996"/>
                              <a:gd name="T46" fmla="+- 0 7406 7401"/>
                              <a:gd name="T47" fmla="*/ 7406 h 724"/>
                              <a:gd name="T48" fmla="+- 0 6018 6013"/>
                              <a:gd name="T49" fmla="*/ T48 w 1996"/>
                              <a:gd name="T50" fmla="+- 0 7404 7401"/>
                              <a:gd name="T51" fmla="*/ 7404 h 724"/>
                              <a:gd name="T52" fmla="+- 0 8009 6013"/>
                              <a:gd name="T53" fmla="*/ T52 w 1996"/>
                              <a:gd name="T54" fmla="+- 0 7404 7401"/>
                              <a:gd name="T55" fmla="*/ 7404 h 724"/>
                              <a:gd name="T56" fmla="+- 0 8009 6013"/>
                              <a:gd name="T57" fmla="*/ T56 w 1996"/>
                              <a:gd name="T58" fmla="+- 0 7401 7401"/>
                              <a:gd name="T59" fmla="*/ 7401 h 724"/>
                              <a:gd name="T60" fmla="+- 0 6018 6013"/>
                              <a:gd name="T61" fmla="*/ T60 w 1996"/>
                              <a:gd name="T62" fmla="+- 0 8120 7401"/>
                              <a:gd name="T63" fmla="*/ 8120 h 724"/>
                              <a:gd name="T64" fmla="+- 0 6016 6013"/>
                              <a:gd name="T65" fmla="*/ T64 w 1996"/>
                              <a:gd name="T66" fmla="+- 0 8120 7401"/>
                              <a:gd name="T67" fmla="*/ 8120 h 724"/>
                              <a:gd name="T68" fmla="+- 0 6018 6013"/>
                              <a:gd name="T69" fmla="*/ T68 w 1996"/>
                              <a:gd name="T70" fmla="+- 0 8122 7401"/>
                              <a:gd name="T71" fmla="*/ 8122 h 724"/>
                              <a:gd name="T72" fmla="+- 0 6018 6013"/>
                              <a:gd name="T73" fmla="*/ T72 w 1996"/>
                              <a:gd name="T74" fmla="+- 0 8120 7401"/>
                              <a:gd name="T75" fmla="*/ 8120 h 724"/>
                              <a:gd name="T76" fmla="+- 0 8004 6013"/>
                              <a:gd name="T77" fmla="*/ T76 w 1996"/>
                              <a:gd name="T78" fmla="+- 0 8120 7401"/>
                              <a:gd name="T79" fmla="*/ 8120 h 724"/>
                              <a:gd name="T80" fmla="+- 0 6018 6013"/>
                              <a:gd name="T81" fmla="*/ T80 w 1996"/>
                              <a:gd name="T82" fmla="+- 0 8120 7401"/>
                              <a:gd name="T83" fmla="*/ 8120 h 724"/>
                              <a:gd name="T84" fmla="+- 0 6018 6013"/>
                              <a:gd name="T85" fmla="*/ T84 w 1996"/>
                              <a:gd name="T86" fmla="+- 0 8122 7401"/>
                              <a:gd name="T87" fmla="*/ 8122 h 724"/>
                              <a:gd name="T88" fmla="+- 0 8004 6013"/>
                              <a:gd name="T89" fmla="*/ T88 w 1996"/>
                              <a:gd name="T90" fmla="+- 0 8122 7401"/>
                              <a:gd name="T91" fmla="*/ 8122 h 724"/>
                              <a:gd name="T92" fmla="+- 0 8004 6013"/>
                              <a:gd name="T93" fmla="*/ T92 w 1996"/>
                              <a:gd name="T94" fmla="+- 0 8120 7401"/>
                              <a:gd name="T95" fmla="*/ 8120 h 724"/>
                              <a:gd name="T96" fmla="+- 0 8004 6013"/>
                              <a:gd name="T97" fmla="*/ T96 w 1996"/>
                              <a:gd name="T98" fmla="+- 0 7404 7401"/>
                              <a:gd name="T99" fmla="*/ 7404 h 724"/>
                              <a:gd name="T100" fmla="+- 0 8004 6013"/>
                              <a:gd name="T101" fmla="*/ T100 w 1996"/>
                              <a:gd name="T102" fmla="+- 0 8122 7401"/>
                              <a:gd name="T103" fmla="*/ 8122 h 724"/>
                              <a:gd name="T104" fmla="+- 0 8006 6013"/>
                              <a:gd name="T105" fmla="*/ T104 w 1996"/>
                              <a:gd name="T106" fmla="+- 0 8120 7401"/>
                              <a:gd name="T107" fmla="*/ 8120 h 724"/>
                              <a:gd name="T108" fmla="+- 0 8009 6013"/>
                              <a:gd name="T109" fmla="*/ T108 w 1996"/>
                              <a:gd name="T110" fmla="+- 0 8120 7401"/>
                              <a:gd name="T111" fmla="*/ 8120 h 724"/>
                              <a:gd name="T112" fmla="+- 0 8009 6013"/>
                              <a:gd name="T113" fmla="*/ T112 w 1996"/>
                              <a:gd name="T114" fmla="+- 0 7406 7401"/>
                              <a:gd name="T115" fmla="*/ 7406 h 724"/>
                              <a:gd name="T116" fmla="+- 0 8006 6013"/>
                              <a:gd name="T117" fmla="*/ T116 w 1996"/>
                              <a:gd name="T118" fmla="+- 0 7406 7401"/>
                              <a:gd name="T119" fmla="*/ 7406 h 724"/>
                              <a:gd name="T120" fmla="+- 0 8004 6013"/>
                              <a:gd name="T121" fmla="*/ T120 w 1996"/>
                              <a:gd name="T122" fmla="+- 0 7404 7401"/>
                              <a:gd name="T123" fmla="*/ 7404 h 724"/>
                              <a:gd name="T124" fmla="+- 0 8009 6013"/>
                              <a:gd name="T125" fmla="*/ T124 w 1996"/>
                              <a:gd name="T126" fmla="+- 0 8120 7401"/>
                              <a:gd name="T127" fmla="*/ 8120 h 724"/>
                              <a:gd name="T128" fmla="+- 0 8006 6013"/>
                              <a:gd name="T129" fmla="*/ T128 w 1996"/>
                              <a:gd name="T130" fmla="+- 0 8120 7401"/>
                              <a:gd name="T131" fmla="*/ 8120 h 724"/>
                              <a:gd name="T132" fmla="+- 0 8004 6013"/>
                              <a:gd name="T133" fmla="*/ T132 w 1996"/>
                              <a:gd name="T134" fmla="+- 0 8122 7401"/>
                              <a:gd name="T135" fmla="*/ 8122 h 724"/>
                              <a:gd name="T136" fmla="+- 0 8009 6013"/>
                              <a:gd name="T137" fmla="*/ T136 w 1996"/>
                              <a:gd name="T138" fmla="+- 0 8122 7401"/>
                              <a:gd name="T139" fmla="*/ 8122 h 724"/>
                              <a:gd name="T140" fmla="+- 0 8009 6013"/>
                              <a:gd name="T141" fmla="*/ T140 w 1996"/>
                              <a:gd name="T142" fmla="+- 0 8120 7401"/>
                              <a:gd name="T143" fmla="*/ 8120 h 724"/>
                              <a:gd name="T144" fmla="+- 0 6018 6013"/>
                              <a:gd name="T145" fmla="*/ T144 w 1996"/>
                              <a:gd name="T146" fmla="+- 0 7404 7401"/>
                              <a:gd name="T147" fmla="*/ 7404 h 724"/>
                              <a:gd name="T148" fmla="+- 0 6016 6013"/>
                              <a:gd name="T149" fmla="*/ T148 w 1996"/>
                              <a:gd name="T150" fmla="+- 0 7406 7401"/>
                              <a:gd name="T151" fmla="*/ 7406 h 724"/>
                              <a:gd name="T152" fmla="+- 0 6018 6013"/>
                              <a:gd name="T153" fmla="*/ T152 w 1996"/>
                              <a:gd name="T154" fmla="+- 0 7406 7401"/>
                              <a:gd name="T155" fmla="*/ 7406 h 724"/>
                              <a:gd name="T156" fmla="+- 0 6018 6013"/>
                              <a:gd name="T157" fmla="*/ T156 w 1996"/>
                              <a:gd name="T158" fmla="+- 0 7404 7401"/>
                              <a:gd name="T159" fmla="*/ 7404 h 724"/>
                              <a:gd name="T160" fmla="+- 0 8004 6013"/>
                              <a:gd name="T161" fmla="*/ T160 w 1996"/>
                              <a:gd name="T162" fmla="+- 0 7404 7401"/>
                              <a:gd name="T163" fmla="*/ 7404 h 724"/>
                              <a:gd name="T164" fmla="+- 0 6018 6013"/>
                              <a:gd name="T165" fmla="*/ T164 w 1996"/>
                              <a:gd name="T166" fmla="+- 0 7404 7401"/>
                              <a:gd name="T167" fmla="*/ 7404 h 724"/>
                              <a:gd name="T168" fmla="+- 0 6018 6013"/>
                              <a:gd name="T169" fmla="*/ T168 w 1996"/>
                              <a:gd name="T170" fmla="+- 0 7406 7401"/>
                              <a:gd name="T171" fmla="*/ 7406 h 724"/>
                              <a:gd name="T172" fmla="+- 0 8004 6013"/>
                              <a:gd name="T173" fmla="*/ T172 w 1996"/>
                              <a:gd name="T174" fmla="+- 0 7406 7401"/>
                              <a:gd name="T175" fmla="*/ 7406 h 724"/>
                              <a:gd name="T176" fmla="+- 0 8004 6013"/>
                              <a:gd name="T177" fmla="*/ T176 w 1996"/>
                              <a:gd name="T178" fmla="+- 0 7404 7401"/>
                              <a:gd name="T179" fmla="*/ 7404 h 724"/>
                              <a:gd name="T180" fmla="+- 0 8009 6013"/>
                              <a:gd name="T181" fmla="*/ T180 w 1996"/>
                              <a:gd name="T182" fmla="+- 0 7404 7401"/>
                              <a:gd name="T183" fmla="*/ 7404 h 724"/>
                              <a:gd name="T184" fmla="+- 0 8004 6013"/>
                              <a:gd name="T185" fmla="*/ T184 w 1996"/>
                              <a:gd name="T186" fmla="+- 0 7404 7401"/>
                              <a:gd name="T187" fmla="*/ 7404 h 724"/>
                              <a:gd name="T188" fmla="+- 0 8006 6013"/>
                              <a:gd name="T189" fmla="*/ T188 w 1996"/>
                              <a:gd name="T190" fmla="+- 0 7406 7401"/>
                              <a:gd name="T191" fmla="*/ 7406 h 724"/>
                              <a:gd name="T192" fmla="+- 0 8009 6013"/>
                              <a:gd name="T193" fmla="*/ T192 w 1996"/>
                              <a:gd name="T194" fmla="+- 0 7406 7401"/>
                              <a:gd name="T195" fmla="*/ 7406 h 724"/>
                              <a:gd name="T196" fmla="+- 0 8009 6013"/>
                              <a:gd name="T197" fmla="*/ T196 w 1996"/>
                              <a:gd name="T198" fmla="+- 0 7404 7401"/>
                              <a:gd name="T199" fmla="*/ 7404 h 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996" h="724">
                                <a:moveTo>
                                  <a:pt x="1996" y="0"/>
                                </a:moveTo>
                                <a:lnTo>
                                  <a:pt x="0" y="0"/>
                                </a:lnTo>
                                <a:lnTo>
                                  <a:pt x="0" y="723"/>
                                </a:lnTo>
                                <a:lnTo>
                                  <a:pt x="1" y="724"/>
                                </a:lnTo>
                                <a:lnTo>
                                  <a:pt x="1995" y="724"/>
                                </a:lnTo>
                                <a:lnTo>
                                  <a:pt x="1996" y="723"/>
                                </a:lnTo>
                                <a:lnTo>
                                  <a:pt x="1996" y="721"/>
                                </a:lnTo>
                                <a:lnTo>
                                  <a:pt x="5" y="721"/>
                                </a:lnTo>
                                <a:lnTo>
                                  <a:pt x="3" y="719"/>
                                </a:lnTo>
                                <a:lnTo>
                                  <a:pt x="5" y="719"/>
                                </a:lnTo>
                                <a:lnTo>
                                  <a:pt x="5" y="5"/>
                                </a:lnTo>
                                <a:lnTo>
                                  <a:pt x="3" y="5"/>
                                </a:lnTo>
                                <a:lnTo>
                                  <a:pt x="5" y="3"/>
                                </a:lnTo>
                                <a:lnTo>
                                  <a:pt x="1996" y="3"/>
                                </a:lnTo>
                                <a:lnTo>
                                  <a:pt x="1996" y="0"/>
                                </a:lnTo>
                                <a:close/>
                                <a:moveTo>
                                  <a:pt x="5" y="719"/>
                                </a:moveTo>
                                <a:lnTo>
                                  <a:pt x="3" y="719"/>
                                </a:lnTo>
                                <a:lnTo>
                                  <a:pt x="5" y="721"/>
                                </a:lnTo>
                                <a:lnTo>
                                  <a:pt x="5" y="719"/>
                                </a:lnTo>
                                <a:close/>
                                <a:moveTo>
                                  <a:pt x="1991" y="719"/>
                                </a:moveTo>
                                <a:lnTo>
                                  <a:pt x="5" y="719"/>
                                </a:lnTo>
                                <a:lnTo>
                                  <a:pt x="5" y="721"/>
                                </a:lnTo>
                                <a:lnTo>
                                  <a:pt x="1991" y="721"/>
                                </a:lnTo>
                                <a:lnTo>
                                  <a:pt x="1991" y="719"/>
                                </a:lnTo>
                                <a:close/>
                                <a:moveTo>
                                  <a:pt x="1991" y="3"/>
                                </a:moveTo>
                                <a:lnTo>
                                  <a:pt x="1991" y="721"/>
                                </a:lnTo>
                                <a:lnTo>
                                  <a:pt x="1993" y="719"/>
                                </a:lnTo>
                                <a:lnTo>
                                  <a:pt x="1996" y="719"/>
                                </a:lnTo>
                                <a:lnTo>
                                  <a:pt x="1996" y="5"/>
                                </a:lnTo>
                                <a:lnTo>
                                  <a:pt x="1993" y="5"/>
                                </a:lnTo>
                                <a:lnTo>
                                  <a:pt x="1991" y="3"/>
                                </a:lnTo>
                                <a:close/>
                                <a:moveTo>
                                  <a:pt x="1996" y="719"/>
                                </a:moveTo>
                                <a:lnTo>
                                  <a:pt x="1993" y="719"/>
                                </a:lnTo>
                                <a:lnTo>
                                  <a:pt x="1991" y="721"/>
                                </a:lnTo>
                                <a:lnTo>
                                  <a:pt x="1996" y="721"/>
                                </a:lnTo>
                                <a:lnTo>
                                  <a:pt x="1996" y="719"/>
                                </a:lnTo>
                                <a:close/>
                                <a:moveTo>
                                  <a:pt x="5" y="3"/>
                                </a:moveTo>
                                <a:lnTo>
                                  <a:pt x="3" y="5"/>
                                </a:lnTo>
                                <a:lnTo>
                                  <a:pt x="5" y="5"/>
                                </a:lnTo>
                                <a:lnTo>
                                  <a:pt x="5" y="3"/>
                                </a:lnTo>
                                <a:close/>
                                <a:moveTo>
                                  <a:pt x="1991" y="3"/>
                                </a:moveTo>
                                <a:lnTo>
                                  <a:pt x="5" y="3"/>
                                </a:lnTo>
                                <a:lnTo>
                                  <a:pt x="5" y="5"/>
                                </a:lnTo>
                                <a:lnTo>
                                  <a:pt x="1991" y="5"/>
                                </a:lnTo>
                                <a:lnTo>
                                  <a:pt x="1991" y="3"/>
                                </a:lnTo>
                                <a:close/>
                                <a:moveTo>
                                  <a:pt x="1996" y="3"/>
                                </a:moveTo>
                                <a:lnTo>
                                  <a:pt x="1991" y="3"/>
                                </a:lnTo>
                                <a:lnTo>
                                  <a:pt x="1993" y="5"/>
                                </a:lnTo>
                                <a:lnTo>
                                  <a:pt x="1996" y="5"/>
                                </a:lnTo>
                                <a:lnTo>
                                  <a:pt x="1996"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 name="Picture 1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8372" y="7403"/>
                            <a:ext cx="1907"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AutoShape 121"/>
                        <wps:cNvSpPr>
                          <a:spLocks/>
                        </wps:cNvSpPr>
                        <wps:spPr bwMode="auto">
                          <a:xfrm>
                            <a:off x="2248" y="980"/>
                            <a:ext cx="8111" cy="7115"/>
                          </a:xfrm>
                          <a:custGeom>
                            <a:avLst/>
                            <a:gdLst>
                              <a:gd name="T0" fmla="+- 0 2249 2249"/>
                              <a:gd name="T1" fmla="*/ T0 w 8111"/>
                              <a:gd name="T2" fmla="+- 0 6994 980"/>
                              <a:gd name="T3" fmla="*/ 6994 h 7115"/>
                              <a:gd name="T4" fmla="+- 0 2266 2249"/>
                              <a:gd name="T5" fmla="*/ T4 w 8111"/>
                              <a:gd name="T6" fmla="+- 0 7395 980"/>
                              <a:gd name="T7" fmla="*/ 7395 h 7115"/>
                              <a:gd name="T8" fmla="+- 0 2264 2249"/>
                              <a:gd name="T9" fmla="*/ T8 w 8111"/>
                              <a:gd name="T10" fmla="+- 0 7381 980"/>
                              <a:gd name="T11" fmla="*/ 7381 h 7115"/>
                              <a:gd name="T12" fmla="+- 0 4558 2249"/>
                              <a:gd name="T13" fmla="*/ T12 w 8111"/>
                              <a:gd name="T14" fmla="+- 0 6998 980"/>
                              <a:gd name="T15" fmla="*/ 6998 h 7115"/>
                              <a:gd name="T16" fmla="+- 0 7052 2249"/>
                              <a:gd name="T17" fmla="*/ T16 w 8111"/>
                              <a:gd name="T18" fmla="+- 0 6994 980"/>
                              <a:gd name="T19" fmla="*/ 6994 h 7115"/>
                              <a:gd name="T20" fmla="+- 0 5777 2249"/>
                              <a:gd name="T21" fmla="*/ T20 w 8111"/>
                              <a:gd name="T22" fmla="+- 0 5269 980"/>
                              <a:gd name="T23" fmla="*/ 5269 h 7115"/>
                              <a:gd name="T24" fmla="+- 0 5830 2249"/>
                              <a:gd name="T25" fmla="*/ T24 w 8111"/>
                              <a:gd name="T26" fmla="+- 0 5353 980"/>
                              <a:gd name="T27" fmla="*/ 5353 h 7115"/>
                              <a:gd name="T28" fmla="+- 0 5836 2249"/>
                              <a:gd name="T29" fmla="*/ T28 w 8111"/>
                              <a:gd name="T30" fmla="+- 0 5340 980"/>
                              <a:gd name="T31" fmla="*/ 5340 h 7115"/>
                              <a:gd name="T32" fmla="+- 0 5833 2249"/>
                              <a:gd name="T33" fmla="*/ T32 w 8111"/>
                              <a:gd name="T34" fmla="+- 0 5331 980"/>
                              <a:gd name="T35" fmla="*/ 5331 h 7115"/>
                              <a:gd name="T36" fmla="+- 0 5846 2249"/>
                              <a:gd name="T37" fmla="*/ T36 w 8111"/>
                              <a:gd name="T38" fmla="+- 0 5331 980"/>
                              <a:gd name="T39" fmla="*/ 5331 h 7115"/>
                              <a:gd name="T40" fmla="+- 0 5778 2249"/>
                              <a:gd name="T41" fmla="*/ T40 w 8111"/>
                              <a:gd name="T42" fmla="+- 0 5206 980"/>
                              <a:gd name="T43" fmla="*/ 5206 h 7115"/>
                              <a:gd name="T44" fmla="+- 0 5690 2249"/>
                              <a:gd name="T45" fmla="*/ T44 w 8111"/>
                              <a:gd name="T46" fmla="+- 0 5326 980"/>
                              <a:gd name="T47" fmla="*/ 5326 h 7115"/>
                              <a:gd name="T48" fmla="+- 0 5681 2249"/>
                              <a:gd name="T49" fmla="*/ T48 w 8111"/>
                              <a:gd name="T50" fmla="+- 0 5343 980"/>
                              <a:gd name="T51" fmla="*/ 5343 h 7115"/>
                              <a:gd name="T52" fmla="+- 0 5694 2249"/>
                              <a:gd name="T53" fmla="*/ T52 w 8111"/>
                              <a:gd name="T54" fmla="+- 0 5352 980"/>
                              <a:gd name="T55" fmla="*/ 5352 h 7115"/>
                              <a:gd name="T56" fmla="+- 0 5752 2249"/>
                              <a:gd name="T57" fmla="*/ T56 w 8111"/>
                              <a:gd name="T58" fmla="+- 0 6987 980"/>
                              <a:gd name="T59" fmla="*/ 6987 h 7115"/>
                              <a:gd name="T60" fmla="+- 0 4562 2249"/>
                              <a:gd name="T61" fmla="*/ T60 w 8111"/>
                              <a:gd name="T62" fmla="+- 0 7416 980"/>
                              <a:gd name="T63" fmla="*/ 7416 h 7115"/>
                              <a:gd name="T64" fmla="+- 0 5752 2249"/>
                              <a:gd name="T65" fmla="*/ T64 w 8111"/>
                              <a:gd name="T66" fmla="+- 0 7002 980"/>
                              <a:gd name="T67" fmla="*/ 7002 h 7115"/>
                              <a:gd name="T68" fmla="+- 0 7042 2249"/>
                              <a:gd name="T69" fmla="*/ T68 w 8111"/>
                              <a:gd name="T70" fmla="+- 0 7010 980"/>
                              <a:gd name="T71" fmla="*/ 7010 h 7115"/>
                              <a:gd name="T72" fmla="+- 0 7056 2249"/>
                              <a:gd name="T73" fmla="*/ T72 w 8111"/>
                              <a:gd name="T74" fmla="+- 0 7010 980"/>
                              <a:gd name="T75" fmla="*/ 7010 h 7115"/>
                              <a:gd name="T76" fmla="+- 0 8388 2249"/>
                              <a:gd name="T77" fmla="*/ T76 w 8111"/>
                              <a:gd name="T78" fmla="+- 0 1051 980"/>
                              <a:gd name="T79" fmla="*/ 1051 h 7115"/>
                              <a:gd name="T80" fmla="+- 0 6637 2249"/>
                              <a:gd name="T81" fmla="*/ T80 w 8111"/>
                              <a:gd name="T82" fmla="+- 0 992 980"/>
                              <a:gd name="T83" fmla="*/ 992 h 7115"/>
                              <a:gd name="T84" fmla="+- 0 6635 2249"/>
                              <a:gd name="T85" fmla="*/ T84 w 8111"/>
                              <a:gd name="T86" fmla="+- 0 981 980"/>
                              <a:gd name="T87" fmla="*/ 981 h 7115"/>
                              <a:gd name="T88" fmla="+- 0 6496 2249"/>
                              <a:gd name="T89" fmla="*/ T88 w 8111"/>
                              <a:gd name="T90" fmla="+- 0 1058 980"/>
                              <a:gd name="T91" fmla="*/ 1058 h 7115"/>
                              <a:gd name="T92" fmla="+- 0 6635 2249"/>
                              <a:gd name="T93" fmla="*/ T92 w 8111"/>
                              <a:gd name="T94" fmla="+- 0 1136 980"/>
                              <a:gd name="T95" fmla="*/ 1136 h 7115"/>
                              <a:gd name="T96" fmla="+- 0 6637 2249"/>
                              <a:gd name="T97" fmla="*/ T96 w 8111"/>
                              <a:gd name="T98" fmla="+- 0 1124 980"/>
                              <a:gd name="T99" fmla="*/ 1124 h 7115"/>
                              <a:gd name="T100" fmla="+- 0 8376 2249"/>
                              <a:gd name="T101" fmla="*/ T100 w 8111"/>
                              <a:gd name="T102" fmla="+- 0 1065 980"/>
                              <a:gd name="T103" fmla="*/ 1065 h 7115"/>
                              <a:gd name="T104" fmla="+- 0 8372 2249"/>
                              <a:gd name="T105" fmla="*/ T104 w 8111"/>
                              <a:gd name="T106" fmla="+- 0 2350 980"/>
                              <a:gd name="T107" fmla="*/ 2350 h 7115"/>
                              <a:gd name="T108" fmla="+- 0 8390 2249"/>
                              <a:gd name="T109" fmla="*/ T108 w 8111"/>
                              <a:gd name="T110" fmla="+- 0 2343 980"/>
                              <a:gd name="T111" fmla="*/ 2343 h 7115"/>
                              <a:gd name="T112" fmla="+- 0 8390 2249"/>
                              <a:gd name="T113" fmla="*/ T112 w 8111"/>
                              <a:gd name="T114" fmla="+- 0 1058 980"/>
                              <a:gd name="T115" fmla="*/ 1058 h 7115"/>
                              <a:gd name="T116" fmla="+- 0 10277 2249"/>
                              <a:gd name="T117" fmla="*/ T116 w 8111"/>
                              <a:gd name="T118" fmla="+- 0 7401 980"/>
                              <a:gd name="T119" fmla="*/ 7401 h 7115"/>
                              <a:gd name="T120" fmla="+- 0 8375 2249"/>
                              <a:gd name="T121" fmla="*/ T120 w 8111"/>
                              <a:gd name="T122" fmla="+- 0 8090 980"/>
                              <a:gd name="T123" fmla="*/ 8090 h 7115"/>
                              <a:gd name="T124" fmla="+- 0 9310 2249"/>
                              <a:gd name="T125" fmla="*/ T124 w 8111"/>
                              <a:gd name="T126" fmla="+- 0 7419 980"/>
                              <a:gd name="T127" fmla="*/ 7419 h 7115"/>
                              <a:gd name="T128" fmla="+- 0 9319 2249"/>
                              <a:gd name="T129" fmla="*/ T128 w 8111"/>
                              <a:gd name="T130" fmla="+- 0 7409 980"/>
                              <a:gd name="T131" fmla="*/ 7409 h 7115"/>
                              <a:gd name="T132" fmla="+- 0 9325 2249"/>
                              <a:gd name="T133" fmla="*/ T132 w 8111"/>
                              <a:gd name="T134" fmla="+- 0 7406 980"/>
                              <a:gd name="T135" fmla="*/ 7406 h 7115"/>
                              <a:gd name="T136" fmla="+- 0 9325 2249"/>
                              <a:gd name="T137" fmla="*/ T136 w 8111"/>
                              <a:gd name="T138" fmla="+- 0 7401 980"/>
                              <a:gd name="T139" fmla="*/ 7401 h 7115"/>
                              <a:gd name="T140" fmla="+- 0 9325 2249"/>
                              <a:gd name="T141" fmla="*/ T140 w 8111"/>
                              <a:gd name="T142" fmla="+- 0 6992 980"/>
                              <a:gd name="T143" fmla="*/ 6992 h 7115"/>
                              <a:gd name="T144" fmla="+- 0 7066 2249"/>
                              <a:gd name="T145" fmla="*/ T144 w 8111"/>
                              <a:gd name="T146" fmla="+- 0 7004 980"/>
                              <a:gd name="T147" fmla="*/ 7004 h 7115"/>
                              <a:gd name="T148" fmla="+- 0 8370 2249"/>
                              <a:gd name="T149" fmla="*/ T148 w 8111"/>
                              <a:gd name="T150" fmla="+- 0 7401 980"/>
                              <a:gd name="T151" fmla="*/ 7401 h 7115"/>
                              <a:gd name="T152" fmla="+- 0 10280 2249"/>
                              <a:gd name="T153" fmla="*/ T152 w 8111"/>
                              <a:gd name="T154" fmla="+- 0 8095 980"/>
                              <a:gd name="T155" fmla="*/ 8095 h 7115"/>
                              <a:gd name="T156" fmla="+- 0 10282 2249"/>
                              <a:gd name="T157" fmla="*/ T156 w 8111"/>
                              <a:gd name="T158" fmla="+- 0 8090 980"/>
                              <a:gd name="T159" fmla="*/ 8090 h 7115"/>
                              <a:gd name="T160" fmla="+- 0 10282 2249"/>
                              <a:gd name="T161" fmla="*/ T160 w 8111"/>
                              <a:gd name="T162" fmla="+- 0 7401 980"/>
                              <a:gd name="T163" fmla="*/ 7401 h 7115"/>
                              <a:gd name="T164" fmla="+- 0 10297 2249"/>
                              <a:gd name="T165" fmla="*/ T164 w 8111"/>
                              <a:gd name="T166" fmla="+- 0 2602 980"/>
                              <a:gd name="T167" fmla="*/ 2602 h 7115"/>
                              <a:gd name="T168" fmla="+- 0 10205 2249"/>
                              <a:gd name="T169" fmla="*/ T168 w 8111"/>
                              <a:gd name="T170" fmla="+- 0 2722 980"/>
                              <a:gd name="T171" fmla="*/ 2722 h 7115"/>
                              <a:gd name="T172" fmla="+- 0 10216 2249"/>
                              <a:gd name="T173" fmla="*/ T172 w 8111"/>
                              <a:gd name="T174" fmla="+- 0 2726 980"/>
                              <a:gd name="T175" fmla="*/ 2726 h 7115"/>
                              <a:gd name="T176" fmla="+- 0 9496 2249"/>
                              <a:gd name="T177" fmla="*/ T176 w 8111"/>
                              <a:gd name="T178" fmla="+- 0 2794 980"/>
                              <a:gd name="T179" fmla="*/ 2794 h 7115"/>
                              <a:gd name="T180" fmla="+- 0 10296 2249"/>
                              <a:gd name="T181" fmla="*/ T180 w 8111"/>
                              <a:gd name="T182" fmla="+- 0 2806 980"/>
                              <a:gd name="T183" fmla="*/ 2806 h 7115"/>
                              <a:gd name="T184" fmla="+- 0 10296 2249"/>
                              <a:gd name="T185" fmla="*/ T184 w 8111"/>
                              <a:gd name="T186" fmla="+- 0 2634 980"/>
                              <a:gd name="T187" fmla="*/ 2634 h 7115"/>
                              <a:gd name="T188" fmla="+- 0 10351 2249"/>
                              <a:gd name="T189" fmla="*/ T188 w 8111"/>
                              <a:gd name="T190" fmla="+- 0 2736 980"/>
                              <a:gd name="T191" fmla="*/ 2736 h 7115"/>
                              <a:gd name="T192" fmla="+- 0 10360 2249"/>
                              <a:gd name="T193" fmla="*/ T192 w 8111"/>
                              <a:gd name="T194" fmla="+- 0 2727 980"/>
                              <a:gd name="T195" fmla="*/ 2727 h 7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111" h="7115">
                                <a:moveTo>
                                  <a:pt x="2309" y="6011"/>
                                </a:moveTo>
                                <a:lnTo>
                                  <a:pt x="3" y="6011"/>
                                </a:lnTo>
                                <a:lnTo>
                                  <a:pt x="0" y="6014"/>
                                </a:lnTo>
                                <a:lnTo>
                                  <a:pt x="0" y="6413"/>
                                </a:lnTo>
                                <a:lnTo>
                                  <a:pt x="3" y="6415"/>
                                </a:lnTo>
                                <a:lnTo>
                                  <a:pt x="17" y="6415"/>
                                </a:lnTo>
                                <a:lnTo>
                                  <a:pt x="17" y="6408"/>
                                </a:lnTo>
                                <a:lnTo>
                                  <a:pt x="17" y="6401"/>
                                </a:lnTo>
                                <a:lnTo>
                                  <a:pt x="15" y="6401"/>
                                </a:lnTo>
                                <a:lnTo>
                                  <a:pt x="15" y="6025"/>
                                </a:lnTo>
                                <a:lnTo>
                                  <a:pt x="2309" y="6025"/>
                                </a:lnTo>
                                <a:lnTo>
                                  <a:pt x="2309" y="6018"/>
                                </a:lnTo>
                                <a:lnTo>
                                  <a:pt x="2309" y="6011"/>
                                </a:lnTo>
                                <a:close/>
                                <a:moveTo>
                                  <a:pt x="4807" y="6018"/>
                                </a:moveTo>
                                <a:lnTo>
                                  <a:pt x="4803" y="6014"/>
                                </a:lnTo>
                                <a:lnTo>
                                  <a:pt x="3528" y="6014"/>
                                </a:lnTo>
                                <a:lnTo>
                                  <a:pt x="3528" y="6007"/>
                                </a:lnTo>
                                <a:lnTo>
                                  <a:pt x="3528" y="4289"/>
                                </a:lnTo>
                                <a:lnTo>
                                  <a:pt x="3575" y="4368"/>
                                </a:lnTo>
                                <a:lnTo>
                                  <a:pt x="3576" y="4372"/>
                                </a:lnTo>
                                <a:lnTo>
                                  <a:pt x="3581" y="4373"/>
                                </a:lnTo>
                                <a:lnTo>
                                  <a:pt x="3588" y="4368"/>
                                </a:lnTo>
                                <a:lnTo>
                                  <a:pt x="3589" y="4363"/>
                                </a:lnTo>
                                <a:lnTo>
                                  <a:pt x="3587" y="4360"/>
                                </a:lnTo>
                                <a:lnTo>
                                  <a:pt x="3528" y="4258"/>
                                </a:lnTo>
                                <a:lnTo>
                                  <a:pt x="3528" y="4254"/>
                                </a:lnTo>
                                <a:lnTo>
                                  <a:pt x="3584" y="4351"/>
                                </a:lnTo>
                                <a:lnTo>
                                  <a:pt x="3587" y="4355"/>
                                </a:lnTo>
                                <a:lnTo>
                                  <a:pt x="3590" y="4356"/>
                                </a:lnTo>
                                <a:lnTo>
                                  <a:pt x="3597" y="4351"/>
                                </a:lnTo>
                                <a:lnTo>
                                  <a:pt x="3599" y="4346"/>
                                </a:lnTo>
                                <a:lnTo>
                                  <a:pt x="3597" y="4343"/>
                                </a:lnTo>
                                <a:lnTo>
                                  <a:pt x="3529" y="4226"/>
                                </a:lnTo>
                                <a:lnTo>
                                  <a:pt x="3521" y="4212"/>
                                </a:lnTo>
                                <a:lnTo>
                                  <a:pt x="3444" y="4343"/>
                                </a:lnTo>
                                <a:lnTo>
                                  <a:pt x="3441" y="4346"/>
                                </a:lnTo>
                                <a:lnTo>
                                  <a:pt x="3442" y="4347"/>
                                </a:lnTo>
                                <a:lnTo>
                                  <a:pt x="3434" y="4360"/>
                                </a:lnTo>
                                <a:lnTo>
                                  <a:pt x="3432" y="4363"/>
                                </a:lnTo>
                                <a:lnTo>
                                  <a:pt x="3433" y="4368"/>
                                </a:lnTo>
                                <a:lnTo>
                                  <a:pt x="3440" y="4373"/>
                                </a:lnTo>
                                <a:lnTo>
                                  <a:pt x="3445" y="4372"/>
                                </a:lnTo>
                                <a:lnTo>
                                  <a:pt x="3447" y="4368"/>
                                </a:lnTo>
                                <a:lnTo>
                                  <a:pt x="3503" y="4273"/>
                                </a:lnTo>
                                <a:lnTo>
                                  <a:pt x="3503" y="6007"/>
                                </a:lnTo>
                                <a:lnTo>
                                  <a:pt x="2317" y="6007"/>
                                </a:lnTo>
                                <a:lnTo>
                                  <a:pt x="2313" y="6010"/>
                                </a:lnTo>
                                <a:lnTo>
                                  <a:pt x="2313" y="6436"/>
                                </a:lnTo>
                                <a:lnTo>
                                  <a:pt x="2328" y="6436"/>
                                </a:lnTo>
                                <a:lnTo>
                                  <a:pt x="2328" y="6022"/>
                                </a:lnTo>
                                <a:lnTo>
                                  <a:pt x="3503" y="6022"/>
                                </a:lnTo>
                                <a:lnTo>
                                  <a:pt x="3503" y="6026"/>
                                </a:lnTo>
                                <a:lnTo>
                                  <a:pt x="3506" y="6030"/>
                                </a:lnTo>
                                <a:lnTo>
                                  <a:pt x="4793" y="6030"/>
                                </a:lnTo>
                                <a:lnTo>
                                  <a:pt x="4793" y="6436"/>
                                </a:lnTo>
                                <a:lnTo>
                                  <a:pt x="4807" y="6436"/>
                                </a:lnTo>
                                <a:lnTo>
                                  <a:pt x="4807" y="6030"/>
                                </a:lnTo>
                                <a:lnTo>
                                  <a:pt x="4807" y="6018"/>
                                </a:lnTo>
                                <a:close/>
                                <a:moveTo>
                                  <a:pt x="6141" y="74"/>
                                </a:moveTo>
                                <a:lnTo>
                                  <a:pt x="6139" y="71"/>
                                </a:lnTo>
                                <a:lnTo>
                                  <a:pt x="4289" y="71"/>
                                </a:lnTo>
                                <a:lnTo>
                                  <a:pt x="4385" y="14"/>
                                </a:lnTo>
                                <a:lnTo>
                                  <a:pt x="4388" y="12"/>
                                </a:lnTo>
                                <a:lnTo>
                                  <a:pt x="4389" y="8"/>
                                </a:lnTo>
                                <a:lnTo>
                                  <a:pt x="4388" y="5"/>
                                </a:lnTo>
                                <a:lnTo>
                                  <a:pt x="4386" y="1"/>
                                </a:lnTo>
                                <a:lnTo>
                                  <a:pt x="4381" y="0"/>
                                </a:lnTo>
                                <a:lnTo>
                                  <a:pt x="4377" y="1"/>
                                </a:lnTo>
                                <a:lnTo>
                                  <a:pt x="4247" y="78"/>
                                </a:lnTo>
                                <a:lnTo>
                                  <a:pt x="4377" y="155"/>
                                </a:lnTo>
                                <a:lnTo>
                                  <a:pt x="4381" y="157"/>
                                </a:lnTo>
                                <a:lnTo>
                                  <a:pt x="4386" y="156"/>
                                </a:lnTo>
                                <a:lnTo>
                                  <a:pt x="4388" y="152"/>
                                </a:lnTo>
                                <a:lnTo>
                                  <a:pt x="4389" y="149"/>
                                </a:lnTo>
                                <a:lnTo>
                                  <a:pt x="4388" y="144"/>
                                </a:lnTo>
                                <a:lnTo>
                                  <a:pt x="4385" y="142"/>
                                </a:lnTo>
                                <a:lnTo>
                                  <a:pt x="4287" y="85"/>
                                </a:lnTo>
                                <a:lnTo>
                                  <a:pt x="6127" y="85"/>
                                </a:lnTo>
                                <a:lnTo>
                                  <a:pt x="6127" y="1356"/>
                                </a:lnTo>
                                <a:lnTo>
                                  <a:pt x="6123" y="1356"/>
                                </a:lnTo>
                                <a:lnTo>
                                  <a:pt x="6123" y="1370"/>
                                </a:lnTo>
                                <a:lnTo>
                                  <a:pt x="6139" y="1370"/>
                                </a:lnTo>
                                <a:lnTo>
                                  <a:pt x="6141" y="1367"/>
                                </a:lnTo>
                                <a:lnTo>
                                  <a:pt x="6141" y="1363"/>
                                </a:lnTo>
                                <a:lnTo>
                                  <a:pt x="6141" y="1356"/>
                                </a:lnTo>
                                <a:lnTo>
                                  <a:pt x="6141" y="85"/>
                                </a:lnTo>
                                <a:lnTo>
                                  <a:pt x="6141" y="78"/>
                                </a:lnTo>
                                <a:lnTo>
                                  <a:pt x="6141" y="74"/>
                                </a:lnTo>
                                <a:close/>
                                <a:moveTo>
                                  <a:pt x="8033" y="6421"/>
                                </a:moveTo>
                                <a:lnTo>
                                  <a:pt x="8028" y="6421"/>
                                </a:lnTo>
                                <a:lnTo>
                                  <a:pt x="8028" y="6426"/>
                                </a:lnTo>
                                <a:lnTo>
                                  <a:pt x="8028" y="7110"/>
                                </a:lnTo>
                                <a:lnTo>
                                  <a:pt x="6126" y="7110"/>
                                </a:lnTo>
                                <a:lnTo>
                                  <a:pt x="6126" y="6426"/>
                                </a:lnTo>
                                <a:lnTo>
                                  <a:pt x="7061" y="6426"/>
                                </a:lnTo>
                                <a:lnTo>
                                  <a:pt x="7061" y="6439"/>
                                </a:lnTo>
                                <a:lnTo>
                                  <a:pt x="7064" y="6443"/>
                                </a:lnTo>
                                <a:lnTo>
                                  <a:pt x="7070" y="6443"/>
                                </a:lnTo>
                                <a:lnTo>
                                  <a:pt x="7070" y="6429"/>
                                </a:lnTo>
                                <a:lnTo>
                                  <a:pt x="7076" y="6436"/>
                                </a:lnTo>
                                <a:lnTo>
                                  <a:pt x="7076" y="6427"/>
                                </a:lnTo>
                                <a:lnTo>
                                  <a:pt x="7076" y="6426"/>
                                </a:lnTo>
                                <a:lnTo>
                                  <a:pt x="8028" y="6426"/>
                                </a:lnTo>
                                <a:lnTo>
                                  <a:pt x="8028" y="6421"/>
                                </a:lnTo>
                                <a:lnTo>
                                  <a:pt x="7076" y="6421"/>
                                </a:lnTo>
                                <a:lnTo>
                                  <a:pt x="7076" y="6024"/>
                                </a:lnTo>
                                <a:lnTo>
                                  <a:pt x="7076" y="6016"/>
                                </a:lnTo>
                                <a:lnTo>
                                  <a:pt x="7076" y="6012"/>
                                </a:lnTo>
                                <a:lnTo>
                                  <a:pt x="7073" y="6008"/>
                                </a:lnTo>
                                <a:lnTo>
                                  <a:pt x="4817" y="6008"/>
                                </a:lnTo>
                                <a:lnTo>
                                  <a:pt x="4817" y="6024"/>
                                </a:lnTo>
                                <a:lnTo>
                                  <a:pt x="7061" y="6024"/>
                                </a:lnTo>
                                <a:lnTo>
                                  <a:pt x="7061" y="6421"/>
                                </a:lnTo>
                                <a:lnTo>
                                  <a:pt x="6121" y="6421"/>
                                </a:lnTo>
                                <a:lnTo>
                                  <a:pt x="6121" y="7114"/>
                                </a:lnTo>
                                <a:lnTo>
                                  <a:pt x="6122" y="7115"/>
                                </a:lnTo>
                                <a:lnTo>
                                  <a:pt x="8031" y="7115"/>
                                </a:lnTo>
                                <a:lnTo>
                                  <a:pt x="8033" y="7114"/>
                                </a:lnTo>
                                <a:lnTo>
                                  <a:pt x="8033" y="7112"/>
                                </a:lnTo>
                                <a:lnTo>
                                  <a:pt x="8033" y="7110"/>
                                </a:lnTo>
                                <a:lnTo>
                                  <a:pt x="8033" y="6426"/>
                                </a:lnTo>
                                <a:lnTo>
                                  <a:pt x="8033" y="6424"/>
                                </a:lnTo>
                                <a:lnTo>
                                  <a:pt x="8033" y="6421"/>
                                </a:lnTo>
                                <a:close/>
                                <a:moveTo>
                                  <a:pt x="8111" y="1747"/>
                                </a:moveTo>
                                <a:lnTo>
                                  <a:pt x="8109" y="1744"/>
                                </a:lnTo>
                                <a:lnTo>
                                  <a:pt x="8048" y="1622"/>
                                </a:lnTo>
                                <a:lnTo>
                                  <a:pt x="8041" y="1608"/>
                                </a:lnTo>
                                <a:lnTo>
                                  <a:pt x="7955" y="1738"/>
                                </a:lnTo>
                                <a:lnTo>
                                  <a:pt x="7956" y="1742"/>
                                </a:lnTo>
                                <a:lnTo>
                                  <a:pt x="7958" y="1745"/>
                                </a:lnTo>
                                <a:lnTo>
                                  <a:pt x="7962" y="1747"/>
                                </a:lnTo>
                                <a:lnTo>
                                  <a:pt x="7967" y="1746"/>
                                </a:lnTo>
                                <a:lnTo>
                                  <a:pt x="8033" y="1647"/>
                                </a:lnTo>
                                <a:lnTo>
                                  <a:pt x="8033" y="1814"/>
                                </a:lnTo>
                                <a:lnTo>
                                  <a:pt x="7247" y="1814"/>
                                </a:lnTo>
                                <a:lnTo>
                                  <a:pt x="7247" y="1830"/>
                                </a:lnTo>
                                <a:lnTo>
                                  <a:pt x="8043" y="1830"/>
                                </a:lnTo>
                                <a:lnTo>
                                  <a:pt x="8047" y="1826"/>
                                </a:lnTo>
                                <a:lnTo>
                                  <a:pt x="8047" y="1822"/>
                                </a:lnTo>
                                <a:lnTo>
                                  <a:pt x="8047" y="1814"/>
                                </a:lnTo>
                                <a:lnTo>
                                  <a:pt x="8047" y="1654"/>
                                </a:lnTo>
                                <a:lnTo>
                                  <a:pt x="8096" y="1751"/>
                                </a:lnTo>
                                <a:lnTo>
                                  <a:pt x="8097" y="1754"/>
                                </a:lnTo>
                                <a:lnTo>
                                  <a:pt x="8102" y="1756"/>
                                </a:lnTo>
                                <a:lnTo>
                                  <a:pt x="8106" y="1753"/>
                                </a:lnTo>
                                <a:lnTo>
                                  <a:pt x="8109" y="1752"/>
                                </a:lnTo>
                                <a:lnTo>
                                  <a:pt x="8111" y="17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Text Box 118"/>
                        <wps:cNvSpPr txBox="1">
                          <a:spLocks noChangeArrowheads="1"/>
                        </wps:cNvSpPr>
                        <wps:spPr bwMode="auto">
                          <a:xfrm>
                            <a:off x="5461" y="1032"/>
                            <a:ext cx="60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F3497"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Council</w:t>
                              </w:r>
                            </w:p>
                          </w:txbxContent>
                        </wps:txbx>
                        <wps:bodyPr rot="0" vert="horz" wrap="square" lIns="0" tIns="0" rIns="0" bIns="0" anchor="t" anchorCtr="0" upright="1">
                          <a:noAutofit/>
                        </wps:bodyPr>
                      </wps:wsp>
                      <wps:wsp>
                        <wps:cNvPr id="53" name="Text Box 117"/>
                        <wps:cNvSpPr txBox="1">
                          <a:spLocks noChangeArrowheads="1"/>
                        </wps:cNvSpPr>
                        <wps:spPr bwMode="auto">
                          <a:xfrm>
                            <a:off x="1605" y="1734"/>
                            <a:ext cx="1300"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65BA2"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Audit Committee</w:t>
                              </w:r>
                            </w:p>
                          </w:txbxContent>
                        </wps:txbx>
                        <wps:bodyPr rot="0" vert="horz" wrap="square" lIns="0" tIns="0" rIns="0" bIns="0" anchor="t" anchorCtr="0" upright="1">
                          <a:noAutofit/>
                        </wps:bodyPr>
                      </wps:wsp>
                      <wps:wsp>
                        <wps:cNvPr id="55" name="Text Box 116"/>
                        <wps:cNvSpPr txBox="1">
                          <a:spLocks noChangeArrowheads="1"/>
                        </wps:cNvSpPr>
                        <wps:spPr bwMode="auto">
                          <a:xfrm>
                            <a:off x="3289" y="2150"/>
                            <a:ext cx="2109" cy="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DAC35" w14:textId="77777777" w:rsidR="00FD55D7" w:rsidRPr="00062301" w:rsidRDefault="00FD55D7" w:rsidP="00062301">
                              <w:pPr>
                                <w:spacing w:after="0" w:line="178" w:lineRule="exact"/>
                                <w:rPr>
                                  <w:rFonts w:ascii="Arial" w:hAnsi="Arial" w:cs="Arial"/>
                                  <w:b/>
                                  <w:sz w:val="16"/>
                                </w:rPr>
                              </w:pPr>
                              <w:r w:rsidRPr="00062301">
                                <w:rPr>
                                  <w:rFonts w:ascii="Arial" w:hAnsi="Arial" w:cs="Arial"/>
                                  <w:b/>
                                  <w:sz w:val="16"/>
                                </w:rPr>
                                <w:t>CEO Reports Biennially on;</w:t>
                              </w:r>
                            </w:p>
                            <w:p w14:paraId="4A945DF2" w14:textId="77777777" w:rsidR="00FD55D7" w:rsidRPr="00062301" w:rsidRDefault="00FD55D7" w:rsidP="002A3889">
                              <w:pPr>
                                <w:widowControl w:val="0"/>
                                <w:numPr>
                                  <w:ilvl w:val="0"/>
                                  <w:numId w:val="461"/>
                                </w:numPr>
                                <w:tabs>
                                  <w:tab w:val="left" w:pos="178"/>
                                </w:tabs>
                                <w:autoSpaceDE w:val="0"/>
                                <w:autoSpaceDN w:val="0"/>
                                <w:spacing w:after="0" w:line="184" w:lineRule="exact"/>
                                <w:rPr>
                                  <w:rFonts w:ascii="Arial" w:hAnsi="Arial" w:cs="Arial"/>
                                  <w:b/>
                                  <w:sz w:val="16"/>
                                </w:rPr>
                              </w:pPr>
                              <w:r w:rsidRPr="00062301">
                                <w:rPr>
                                  <w:rFonts w:ascii="Arial" w:hAnsi="Arial" w:cs="Arial"/>
                                  <w:b/>
                                  <w:sz w:val="16"/>
                                </w:rPr>
                                <w:t>Risk</w:t>
                              </w:r>
                              <w:r w:rsidRPr="00062301">
                                <w:rPr>
                                  <w:rFonts w:ascii="Arial" w:hAnsi="Arial" w:cs="Arial"/>
                                  <w:b/>
                                  <w:spacing w:val="-2"/>
                                  <w:sz w:val="16"/>
                                </w:rPr>
                                <w:t xml:space="preserve"> </w:t>
                              </w:r>
                              <w:r w:rsidRPr="00062301">
                                <w:rPr>
                                  <w:rFonts w:ascii="Arial" w:hAnsi="Arial" w:cs="Arial"/>
                                  <w:b/>
                                  <w:sz w:val="16"/>
                                </w:rPr>
                                <w:t>Management</w:t>
                              </w:r>
                            </w:p>
                            <w:p w14:paraId="38E4EDF2" w14:textId="77777777" w:rsidR="00FD55D7" w:rsidRPr="00062301" w:rsidRDefault="00FD55D7" w:rsidP="002A3889">
                              <w:pPr>
                                <w:widowControl w:val="0"/>
                                <w:numPr>
                                  <w:ilvl w:val="0"/>
                                  <w:numId w:val="461"/>
                                </w:numPr>
                                <w:tabs>
                                  <w:tab w:val="left" w:pos="178"/>
                                </w:tabs>
                                <w:autoSpaceDE w:val="0"/>
                                <w:autoSpaceDN w:val="0"/>
                                <w:spacing w:before="1" w:after="0" w:line="240" w:lineRule="auto"/>
                                <w:rPr>
                                  <w:rFonts w:ascii="Arial" w:hAnsi="Arial" w:cs="Arial"/>
                                  <w:b/>
                                  <w:sz w:val="16"/>
                                </w:rPr>
                              </w:pPr>
                              <w:r w:rsidRPr="00062301">
                                <w:rPr>
                                  <w:rFonts w:ascii="Arial" w:hAnsi="Arial" w:cs="Arial"/>
                                  <w:b/>
                                  <w:sz w:val="16"/>
                                </w:rPr>
                                <w:t>Internal</w:t>
                              </w:r>
                              <w:r w:rsidRPr="00062301">
                                <w:rPr>
                                  <w:rFonts w:ascii="Arial" w:hAnsi="Arial" w:cs="Arial"/>
                                  <w:b/>
                                  <w:spacing w:val="-2"/>
                                  <w:sz w:val="16"/>
                                </w:rPr>
                                <w:t xml:space="preserve"> </w:t>
                              </w:r>
                              <w:r w:rsidRPr="00062301">
                                <w:rPr>
                                  <w:rFonts w:ascii="Arial" w:hAnsi="Arial" w:cs="Arial"/>
                                  <w:b/>
                                  <w:sz w:val="16"/>
                                </w:rPr>
                                <w:t>Control</w:t>
                              </w:r>
                            </w:p>
                            <w:p w14:paraId="41893F5F" w14:textId="77777777" w:rsidR="00FD55D7" w:rsidRPr="00062301" w:rsidRDefault="00FD55D7" w:rsidP="002A3889">
                              <w:pPr>
                                <w:widowControl w:val="0"/>
                                <w:numPr>
                                  <w:ilvl w:val="0"/>
                                  <w:numId w:val="461"/>
                                </w:numPr>
                                <w:tabs>
                                  <w:tab w:val="left" w:pos="178"/>
                                </w:tabs>
                                <w:autoSpaceDE w:val="0"/>
                                <w:autoSpaceDN w:val="0"/>
                                <w:spacing w:before="3" w:after="0" w:line="240" w:lineRule="auto"/>
                                <w:rPr>
                                  <w:rFonts w:ascii="Arial" w:hAnsi="Arial" w:cs="Arial"/>
                                  <w:b/>
                                  <w:sz w:val="16"/>
                                </w:rPr>
                              </w:pPr>
                              <w:r w:rsidRPr="00062301">
                                <w:rPr>
                                  <w:rFonts w:ascii="Arial" w:hAnsi="Arial" w:cs="Arial"/>
                                  <w:b/>
                                  <w:sz w:val="16"/>
                                </w:rPr>
                                <w:t>Legislative</w:t>
                              </w:r>
                              <w:r w:rsidRPr="00062301">
                                <w:rPr>
                                  <w:rFonts w:ascii="Arial" w:hAnsi="Arial" w:cs="Arial"/>
                                  <w:b/>
                                  <w:spacing w:val="-3"/>
                                  <w:sz w:val="16"/>
                                </w:rPr>
                                <w:t xml:space="preserve"> </w:t>
                              </w:r>
                              <w:r w:rsidRPr="00062301">
                                <w:rPr>
                                  <w:rFonts w:ascii="Arial" w:hAnsi="Arial" w:cs="Arial"/>
                                  <w:b/>
                                  <w:sz w:val="16"/>
                                </w:rPr>
                                <w:t>Compliance</w:t>
                              </w:r>
                            </w:p>
                          </w:txbxContent>
                        </wps:txbx>
                        <wps:bodyPr rot="0" vert="horz" wrap="square" lIns="0" tIns="0" rIns="0" bIns="0" anchor="t" anchorCtr="0" upright="1">
                          <a:noAutofit/>
                        </wps:bodyPr>
                      </wps:wsp>
                      <wps:wsp>
                        <wps:cNvPr id="56" name="Text Box 115"/>
                        <wps:cNvSpPr txBox="1">
                          <a:spLocks noChangeArrowheads="1"/>
                        </wps:cNvSpPr>
                        <wps:spPr bwMode="auto">
                          <a:xfrm>
                            <a:off x="9781" y="2073"/>
                            <a:ext cx="117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D98D6" w14:textId="77777777" w:rsidR="00FD55D7" w:rsidRPr="00062301" w:rsidRDefault="00FD55D7" w:rsidP="002D6804">
                              <w:pPr>
                                <w:ind w:right="-1"/>
                                <w:rPr>
                                  <w:rFonts w:ascii="Arial" w:hAnsi="Arial" w:cs="Arial"/>
                                  <w:b/>
                                  <w:sz w:val="16"/>
                                </w:rPr>
                              </w:pPr>
                              <w:r w:rsidRPr="00062301">
                                <w:rPr>
                                  <w:rFonts w:ascii="Arial" w:hAnsi="Arial" w:cs="Arial"/>
                                  <w:b/>
                                  <w:sz w:val="16"/>
                                </w:rPr>
                                <w:t>Reports issued to Minister</w:t>
                              </w:r>
                            </w:p>
                          </w:txbxContent>
                        </wps:txbx>
                        <wps:bodyPr rot="0" vert="horz" wrap="square" lIns="0" tIns="0" rIns="0" bIns="0" anchor="t" anchorCtr="0" upright="1">
                          <a:noAutofit/>
                        </wps:bodyPr>
                      </wps:wsp>
                      <wps:wsp>
                        <wps:cNvPr id="57" name="Text Box 114"/>
                        <wps:cNvSpPr txBox="1">
                          <a:spLocks noChangeArrowheads="1"/>
                        </wps:cNvSpPr>
                        <wps:spPr bwMode="auto">
                          <a:xfrm>
                            <a:off x="7582" y="2308"/>
                            <a:ext cx="1752" cy="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268B3" w14:textId="77777777" w:rsidR="00FD55D7" w:rsidRPr="00062301" w:rsidRDefault="00FD55D7" w:rsidP="00062301">
                              <w:pPr>
                                <w:spacing w:line="244" w:lineRule="auto"/>
                                <w:ind w:left="284" w:right="-2" w:firstLine="39"/>
                                <w:rPr>
                                  <w:rFonts w:ascii="Arial" w:hAnsi="Arial" w:cs="Arial"/>
                                  <w:b/>
                                  <w:sz w:val="16"/>
                                </w:rPr>
                              </w:pPr>
                              <w:r w:rsidRPr="00062301">
                                <w:rPr>
                                  <w:rFonts w:ascii="Arial" w:hAnsi="Arial" w:cs="Arial"/>
                                  <w:b/>
                                  <w:sz w:val="16"/>
                                </w:rPr>
                                <w:t>External Audit (Office of Auditor General)</w:t>
                              </w:r>
                            </w:p>
                          </w:txbxContent>
                        </wps:txbx>
                        <wps:bodyPr rot="0" vert="horz" wrap="square" lIns="0" tIns="0" rIns="0" bIns="0" anchor="t" anchorCtr="0" upright="1">
                          <a:noAutofit/>
                        </wps:bodyPr>
                      </wps:wsp>
                      <wps:wsp>
                        <wps:cNvPr id="60" name="Text Box 113"/>
                        <wps:cNvSpPr txBox="1">
                          <a:spLocks noChangeArrowheads="1"/>
                        </wps:cNvSpPr>
                        <wps:spPr bwMode="auto">
                          <a:xfrm>
                            <a:off x="1185" y="3140"/>
                            <a:ext cx="121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3429A" w14:textId="77777777" w:rsidR="00FD55D7" w:rsidRDefault="00FD55D7" w:rsidP="002D6804">
                              <w:pPr>
                                <w:spacing w:line="224" w:lineRule="exact"/>
                                <w:rPr>
                                  <w:b/>
                                  <w:sz w:val="20"/>
                                </w:rPr>
                              </w:pPr>
                              <w:r>
                                <w:rPr>
                                  <w:b/>
                                  <w:color w:val="FF0000"/>
                                  <w:sz w:val="20"/>
                                </w:rPr>
                                <w:t>Second Line</w:t>
                              </w:r>
                            </w:p>
                          </w:txbxContent>
                        </wps:txbx>
                        <wps:bodyPr rot="0" vert="horz" wrap="square" lIns="0" tIns="0" rIns="0" bIns="0" anchor="t" anchorCtr="0" upright="1">
                          <a:noAutofit/>
                        </wps:bodyPr>
                      </wps:wsp>
                      <wps:wsp>
                        <wps:cNvPr id="61" name="Text Box 112"/>
                        <wps:cNvSpPr txBox="1">
                          <a:spLocks noChangeArrowheads="1"/>
                        </wps:cNvSpPr>
                        <wps:spPr bwMode="auto">
                          <a:xfrm>
                            <a:off x="4851" y="3189"/>
                            <a:ext cx="1441"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5E6F5" w14:textId="77777777" w:rsidR="00FD55D7" w:rsidRPr="00062301" w:rsidRDefault="00FD55D7" w:rsidP="002D6804">
                              <w:pPr>
                                <w:spacing w:line="242" w:lineRule="auto"/>
                                <w:ind w:right="-2"/>
                                <w:rPr>
                                  <w:rFonts w:ascii="Arial" w:hAnsi="Arial" w:cs="Arial"/>
                                  <w:b/>
                                  <w:sz w:val="16"/>
                                </w:rPr>
                              </w:pPr>
                              <w:r>
                                <w:rPr>
                                  <w:b/>
                                  <w:color w:val="FF0000"/>
                                  <w:sz w:val="16"/>
                                </w:rPr>
                                <w:t>“</w:t>
                              </w:r>
                              <w:r w:rsidRPr="00062301">
                                <w:rPr>
                                  <w:rFonts w:ascii="Arial" w:hAnsi="Arial" w:cs="Arial"/>
                                  <w:b/>
                                  <w:color w:val="FF0000"/>
                                  <w:sz w:val="16"/>
                                </w:rPr>
                                <w:t xml:space="preserve">Risk Committee”- </w:t>
                              </w:r>
                              <w:r w:rsidRPr="00062301">
                                <w:rPr>
                                  <w:rFonts w:ascii="Arial" w:hAnsi="Arial" w:cs="Arial"/>
                                  <w:b/>
                                  <w:color w:val="FF0000"/>
                                  <w:sz w:val="16"/>
                                  <w:shd w:val="clear" w:color="auto" w:fill="F1F1F1"/>
                                </w:rPr>
                                <w:t>Embedded w</w:t>
                              </w:r>
                              <w:r w:rsidRPr="00062301">
                                <w:rPr>
                                  <w:rFonts w:ascii="Arial" w:hAnsi="Arial" w:cs="Arial"/>
                                  <w:b/>
                                  <w:color w:val="FF0000"/>
                                  <w:sz w:val="16"/>
                                </w:rPr>
                                <w:t>ithin Senior Staff Group</w:t>
                              </w:r>
                            </w:p>
                          </w:txbxContent>
                        </wps:txbx>
                        <wps:bodyPr rot="0" vert="horz" wrap="square" lIns="0" tIns="0" rIns="0" bIns="0" anchor="t" anchorCtr="0" upright="1">
                          <a:noAutofit/>
                        </wps:bodyPr>
                      </wps:wsp>
                      <wps:wsp>
                        <wps:cNvPr id="62" name="Text Box 111"/>
                        <wps:cNvSpPr txBox="1">
                          <a:spLocks noChangeArrowheads="1"/>
                        </wps:cNvSpPr>
                        <wps:spPr bwMode="auto">
                          <a:xfrm>
                            <a:off x="9320" y="4079"/>
                            <a:ext cx="986"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97485" w14:textId="77777777" w:rsidR="00FD55D7" w:rsidRPr="00062301" w:rsidRDefault="00FD55D7" w:rsidP="002D6804">
                              <w:pPr>
                                <w:spacing w:line="224" w:lineRule="exact"/>
                                <w:rPr>
                                  <w:rFonts w:ascii="Arial" w:hAnsi="Arial" w:cs="Arial"/>
                                  <w:b/>
                                  <w:sz w:val="20"/>
                                </w:rPr>
                              </w:pPr>
                              <w:r w:rsidRPr="00062301">
                                <w:rPr>
                                  <w:rFonts w:ascii="Arial" w:hAnsi="Arial" w:cs="Arial"/>
                                  <w:b/>
                                  <w:color w:val="FF0000"/>
                                  <w:sz w:val="20"/>
                                </w:rPr>
                                <w:t>Third Line</w:t>
                              </w:r>
                            </w:p>
                          </w:txbxContent>
                        </wps:txbx>
                        <wps:bodyPr rot="0" vert="horz" wrap="square" lIns="0" tIns="0" rIns="0" bIns="0" anchor="t" anchorCtr="0" upright="1">
                          <a:noAutofit/>
                        </wps:bodyPr>
                      </wps:wsp>
                      <wps:wsp>
                        <wps:cNvPr id="63" name="Text Box 110"/>
                        <wps:cNvSpPr txBox="1">
                          <a:spLocks noChangeArrowheads="1"/>
                        </wps:cNvSpPr>
                        <wps:spPr bwMode="auto">
                          <a:xfrm>
                            <a:off x="1244" y="4385"/>
                            <a:ext cx="1574"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20A8A"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Executive Assistant Corporate Services</w:t>
                              </w:r>
                            </w:p>
                          </w:txbxContent>
                        </wps:txbx>
                        <wps:bodyPr rot="0" vert="horz" wrap="square" lIns="0" tIns="0" rIns="0" bIns="0" anchor="t" anchorCtr="0" upright="1">
                          <a:noAutofit/>
                        </wps:bodyPr>
                      </wps:wsp>
                      <wps:wsp>
                        <wps:cNvPr id="259" name="Text Box 109"/>
                        <wps:cNvSpPr txBox="1">
                          <a:spLocks noChangeArrowheads="1"/>
                        </wps:cNvSpPr>
                        <wps:spPr bwMode="auto">
                          <a:xfrm>
                            <a:off x="4899" y="4460"/>
                            <a:ext cx="1724" cy="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D16A5" w14:textId="77777777" w:rsidR="00FD55D7" w:rsidRPr="00062301" w:rsidRDefault="00FD55D7" w:rsidP="00062301">
                              <w:pPr>
                                <w:spacing w:after="0"/>
                                <w:ind w:right="18"/>
                                <w:jc w:val="center"/>
                                <w:rPr>
                                  <w:rFonts w:ascii="Arial" w:hAnsi="Arial" w:cs="Arial"/>
                                  <w:b/>
                                  <w:sz w:val="16"/>
                                </w:rPr>
                              </w:pPr>
                              <w:r w:rsidRPr="00062301">
                                <w:rPr>
                                  <w:rFonts w:ascii="Arial" w:hAnsi="Arial" w:cs="Arial"/>
                                  <w:b/>
                                  <w:sz w:val="16"/>
                                </w:rPr>
                                <w:t>CEO and Senior Staff Group</w:t>
                              </w:r>
                            </w:p>
                            <w:p w14:paraId="17CAB381" w14:textId="77777777" w:rsidR="00FD55D7" w:rsidRPr="00062301" w:rsidRDefault="00FD55D7" w:rsidP="002D6804">
                              <w:pPr>
                                <w:ind w:right="21"/>
                                <w:jc w:val="center"/>
                                <w:rPr>
                                  <w:rFonts w:ascii="Arial" w:hAnsi="Arial" w:cs="Arial"/>
                                  <w:b/>
                                  <w:sz w:val="16"/>
                                </w:rPr>
                              </w:pPr>
                              <w:r w:rsidRPr="00062301">
                                <w:rPr>
                                  <w:rFonts w:ascii="Arial" w:hAnsi="Arial" w:cs="Arial"/>
                                  <w:b/>
                                  <w:sz w:val="16"/>
                                </w:rPr>
                                <w:t>(Risk Agenda)</w:t>
                              </w:r>
                            </w:p>
                          </w:txbxContent>
                        </wps:txbx>
                        <wps:bodyPr rot="0" vert="horz" wrap="square" lIns="0" tIns="0" rIns="0" bIns="0" anchor="t" anchorCtr="0" upright="1">
                          <a:noAutofit/>
                        </wps:bodyPr>
                      </wps:wsp>
                      <wps:wsp>
                        <wps:cNvPr id="263" name="Text Box 108"/>
                        <wps:cNvSpPr txBox="1">
                          <a:spLocks noChangeArrowheads="1"/>
                        </wps:cNvSpPr>
                        <wps:spPr bwMode="auto">
                          <a:xfrm>
                            <a:off x="7701" y="5853"/>
                            <a:ext cx="1512"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24601" w14:textId="77777777" w:rsidR="00FD55D7" w:rsidRPr="00062301" w:rsidRDefault="00FD55D7" w:rsidP="002D6804">
                              <w:pPr>
                                <w:spacing w:line="247" w:lineRule="auto"/>
                                <w:ind w:right="-2" w:firstLine="231"/>
                                <w:rPr>
                                  <w:rFonts w:ascii="Arial" w:hAnsi="Arial" w:cs="Arial"/>
                                  <w:b/>
                                  <w:sz w:val="16"/>
                                </w:rPr>
                              </w:pPr>
                              <w:r w:rsidRPr="00062301">
                                <w:rPr>
                                  <w:rFonts w:ascii="Arial" w:hAnsi="Arial" w:cs="Arial"/>
                                  <w:b/>
                                  <w:sz w:val="16"/>
                                </w:rPr>
                                <w:t>Internal Audit (appointed by CEO)</w:t>
                              </w:r>
                            </w:p>
                          </w:txbxContent>
                        </wps:txbx>
                        <wps:bodyPr rot="0" vert="horz" wrap="square" lIns="0" tIns="0" rIns="0" bIns="0" anchor="t" anchorCtr="0" upright="1">
                          <a:noAutofit/>
                        </wps:bodyPr>
                      </wps:wsp>
                      <wps:wsp>
                        <wps:cNvPr id="265" name="Text Box 107"/>
                        <wps:cNvSpPr txBox="1">
                          <a:spLocks noChangeArrowheads="1"/>
                        </wps:cNvSpPr>
                        <wps:spPr bwMode="auto">
                          <a:xfrm>
                            <a:off x="1551" y="7557"/>
                            <a:ext cx="1461"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B8D48" w14:textId="77777777" w:rsidR="00FD55D7" w:rsidRPr="00062301" w:rsidRDefault="00FD55D7" w:rsidP="00062301">
                              <w:pPr>
                                <w:spacing w:line="247" w:lineRule="auto"/>
                                <w:ind w:left="284"/>
                                <w:rPr>
                                  <w:rFonts w:ascii="Arial" w:hAnsi="Arial" w:cs="Arial"/>
                                  <w:b/>
                                  <w:sz w:val="16"/>
                                </w:rPr>
                              </w:pPr>
                              <w:r w:rsidRPr="00062301">
                                <w:rPr>
                                  <w:rFonts w:ascii="Arial" w:hAnsi="Arial" w:cs="Arial"/>
                                  <w:b/>
                                  <w:sz w:val="16"/>
                                </w:rPr>
                                <w:t>Technical Services</w:t>
                              </w:r>
                            </w:p>
                          </w:txbxContent>
                        </wps:txbx>
                        <wps:bodyPr rot="0" vert="horz" wrap="square" lIns="0" tIns="0" rIns="0" bIns="0" anchor="t" anchorCtr="0" upright="1">
                          <a:noAutofit/>
                        </wps:bodyPr>
                      </wps:wsp>
                      <wps:wsp>
                        <wps:cNvPr id="266" name="Text Box 106"/>
                        <wps:cNvSpPr txBox="1">
                          <a:spLocks noChangeArrowheads="1"/>
                        </wps:cNvSpPr>
                        <wps:spPr bwMode="auto">
                          <a:xfrm>
                            <a:off x="3852" y="7677"/>
                            <a:ext cx="148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1C68F"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Corporate Services</w:t>
                              </w:r>
                            </w:p>
                          </w:txbxContent>
                        </wps:txbx>
                        <wps:bodyPr rot="0" vert="horz" wrap="square" lIns="0" tIns="0" rIns="0" bIns="0" anchor="t" anchorCtr="0" upright="1">
                          <a:noAutofit/>
                        </wps:bodyPr>
                      </wps:wsp>
                      <wps:wsp>
                        <wps:cNvPr id="267" name="Text Box 105"/>
                        <wps:cNvSpPr txBox="1">
                          <a:spLocks noChangeArrowheads="1"/>
                        </wps:cNvSpPr>
                        <wps:spPr bwMode="auto">
                          <a:xfrm>
                            <a:off x="6348" y="7677"/>
                            <a:ext cx="1345"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183A0"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Office of the CEO</w:t>
                              </w:r>
                            </w:p>
                          </w:txbxContent>
                        </wps:txbx>
                        <wps:bodyPr rot="0" vert="horz" wrap="square" lIns="0" tIns="0" rIns="0" bIns="0" anchor="t" anchorCtr="0" upright="1">
                          <a:noAutofit/>
                        </wps:bodyPr>
                      </wps:wsp>
                      <wps:wsp>
                        <wps:cNvPr id="268" name="Text Box 104"/>
                        <wps:cNvSpPr txBox="1">
                          <a:spLocks noChangeArrowheads="1"/>
                        </wps:cNvSpPr>
                        <wps:spPr bwMode="auto">
                          <a:xfrm>
                            <a:off x="8381" y="7388"/>
                            <a:ext cx="1875" cy="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29895" w14:textId="77777777" w:rsidR="00FD55D7" w:rsidRPr="00062301" w:rsidRDefault="00FD55D7" w:rsidP="00062301">
                              <w:pPr>
                                <w:spacing w:before="240" w:after="0" w:line="244" w:lineRule="auto"/>
                                <w:ind w:left="368" w:right="-1" w:hanging="369"/>
                                <w:rPr>
                                  <w:rFonts w:ascii="Arial" w:hAnsi="Arial" w:cs="Arial"/>
                                  <w:b/>
                                  <w:sz w:val="16"/>
                                </w:rPr>
                              </w:pPr>
                              <w:r w:rsidRPr="00062301">
                                <w:rPr>
                                  <w:rFonts w:ascii="Arial" w:hAnsi="Arial" w:cs="Arial"/>
                                  <w:b/>
                                  <w:sz w:val="16"/>
                                </w:rPr>
                                <w:t>Regulatory Services</w:t>
                              </w:r>
                            </w:p>
                          </w:txbxContent>
                        </wps:txbx>
                        <wps:bodyPr rot="0" vert="horz" wrap="square" lIns="0" tIns="0" rIns="0" bIns="0" anchor="t" anchorCtr="0" upright="1">
                          <a:noAutofit/>
                        </wps:bodyPr>
                      </wps:wsp>
                      <wps:wsp>
                        <wps:cNvPr id="269" name="Text Box 103"/>
                        <wps:cNvSpPr txBox="1">
                          <a:spLocks noChangeArrowheads="1"/>
                        </wps:cNvSpPr>
                        <wps:spPr bwMode="auto">
                          <a:xfrm>
                            <a:off x="2946" y="8576"/>
                            <a:ext cx="1024"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C23FA" w14:textId="77777777" w:rsidR="00FD55D7" w:rsidRDefault="00FD55D7" w:rsidP="002D6804">
                              <w:pPr>
                                <w:spacing w:line="247" w:lineRule="auto"/>
                                <w:ind w:left="171" w:hanging="172"/>
                                <w:rPr>
                                  <w:b/>
                                  <w:sz w:val="16"/>
                                </w:rPr>
                              </w:pPr>
                            </w:p>
                          </w:txbxContent>
                        </wps:txbx>
                        <wps:bodyPr rot="0" vert="horz" wrap="square" lIns="0" tIns="0" rIns="0" bIns="0" anchor="t" anchorCtr="0" upright="1">
                          <a:noAutofit/>
                        </wps:bodyPr>
                      </wps:wsp>
                      <wps:wsp>
                        <wps:cNvPr id="270" name="Text Box 102"/>
                        <wps:cNvSpPr txBox="1">
                          <a:spLocks noChangeArrowheads="1"/>
                        </wps:cNvSpPr>
                        <wps:spPr bwMode="auto">
                          <a:xfrm>
                            <a:off x="5289" y="8756"/>
                            <a:ext cx="922"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A473B" w14:textId="77777777" w:rsidR="00FD55D7" w:rsidRDefault="00FD55D7" w:rsidP="002D6804">
                              <w:pPr>
                                <w:spacing w:line="224" w:lineRule="exact"/>
                                <w:rPr>
                                  <w:b/>
                                  <w:sz w:val="20"/>
                                </w:rPr>
                              </w:pPr>
                              <w:r>
                                <w:rPr>
                                  <w:b/>
                                  <w:color w:val="FF0000"/>
                                  <w:sz w:val="20"/>
                                </w:rPr>
                                <w:t>First Line</w:t>
                              </w:r>
                            </w:p>
                          </w:txbxContent>
                        </wps:txbx>
                        <wps:bodyPr rot="0" vert="horz" wrap="square" lIns="0" tIns="0" rIns="0" bIns="0" anchor="t" anchorCtr="0" upright="1">
                          <a:noAutofit/>
                        </wps:bodyPr>
                      </wps:wsp>
                      <wps:wsp>
                        <wps:cNvPr id="271" name="Text Box 101"/>
                        <wps:cNvSpPr txBox="1">
                          <a:spLocks noChangeArrowheads="1"/>
                        </wps:cNvSpPr>
                        <wps:spPr bwMode="auto">
                          <a:xfrm>
                            <a:off x="3135" y="4388"/>
                            <a:ext cx="1424" cy="9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5A413C" w14:textId="77777777" w:rsidR="00FD55D7" w:rsidRPr="00062301" w:rsidRDefault="00FD55D7" w:rsidP="002D6804">
                              <w:pPr>
                                <w:spacing w:before="76" w:line="242" w:lineRule="auto"/>
                                <w:ind w:left="150" w:right="365"/>
                                <w:rPr>
                                  <w:rFonts w:ascii="Arial" w:hAnsi="Arial" w:cs="Arial"/>
                                  <w:b/>
                                  <w:sz w:val="16"/>
                                </w:rPr>
                              </w:pPr>
                              <w:r w:rsidRPr="00062301">
                                <w:rPr>
                                  <w:rFonts w:ascii="Arial" w:hAnsi="Arial" w:cs="Arial"/>
                                  <w:b/>
                                  <w:sz w:val="16"/>
                                </w:rPr>
                                <w:t>Provides Aggregated Risk Reporting</w:t>
                              </w:r>
                            </w:p>
                          </w:txbxContent>
                        </wps:txbx>
                        <wps:bodyPr rot="0" vert="horz" wrap="square" lIns="0" tIns="0" rIns="0" bIns="0" anchor="t" anchorCtr="0" upright="1">
                          <a:noAutofit/>
                        </wps:bodyPr>
                      </wps:wsp>
                      <wps:wsp>
                        <wps:cNvPr id="276" name="Text Box 100"/>
                        <wps:cNvSpPr txBox="1">
                          <a:spLocks noChangeArrowheads="1"/>
                        </wps:cNvSpPr>
                        <wps:spPr bwMode="auto">
                          <a:xfrm>
                            <a:off x="7314" y="4373"/>
                            <a:ext cx="987" cy="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BE0186" w14:textId="77777777" w:rsidR="00FD55D7" w:rsidRPr="00062301" w:rsidRDefault="00FD55D7" w:rsidP="002D6804">
                              <w:pPr>
                                <w:spacing w:before="75" w:line="242" w:lineRule="auto"/>
                                <w:ind w:left="150" w:right="199"/>
                                <w:rPr>
                                  <w:rFonts w:ascii="Arial" w:hAnsi="Arial" w:cs="Arial"/>
                                  <w:b/>
                                  <w:sz w:val="16"/>
                                </w:rPr>
                              </w:pPr>
                              <w:r w:rsidRPr="00062301">
                                <w:rPr>
                                  <w:rFonts w:ascii="Arial" w:hAnsi="Arial" w:cs="Arial"/>
                                  <w:b/>
                                  <w:w w:val="95"/>
                                  <w:sz w:val="16"/>
                                </w:rPr>
                                <w:t xml:space="preserve">Reports </w:t>
                              </w:r>
                              <w:r w:rsidRPr="00062301">
                                <w:rPr>
                                  <w:rFonts w:ascii="Arial" w:hAnsi="Arial" w:cs="Arial"/>
                                  <w:b/>
                                  <w:sz w:val="16"/>
                                </w:rPr>
                                <w:t>issued to CEO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008B10" id="Group 99" o:spid="_x0000_s1029" style="position:absolute;left:0;text-align:left;margin-left:0;margin-top:44.5pt;width:531.45pt;height:420.15pt;z-index:251684864;mso-position-horizontal:left;mso-position-horizontal-relative:margin" coordorigin="1028,891" coordsize="10629,8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">
                <v:shape id="AutoShape 154" o:spid="_x0000_s1030" style="position:absolute;left:2125;top:2063;width:3695;height:508;visibility:visible;mso-wrap-style:square;v-text-anchor:top" coordsize="3695,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" path="m80,29l73,40r,465l76,507r3619,l3695,500,88,500r-7,-7l88,493,88,43,80,29xm88,493r-7,l88,500r,-7xm3695,493l88,493r,7l3695,500r,-7xm89,14r-1,l88,43r54,96l144,142r5,2l156,139r1,-4l155,132,89,14xm81,l3,129,,133r1,5l5,140r4,1l13,140r3,-4l73,40r,-26l89,14,81,xm88,18r-1,l80,29r8,14l88,18xm73,18r,22l80,29,73,18xm88,14r-15,l73,18r7,11l87,18r1,l88,14xe" fillcolor="black" stroked="f">
                  <v:path arrowok="t" o:connecttype="custom" o:connectlocs="80,2093;73,2104;73,2569;76,2571;3695,2571;3695,2564;88,2564;81,2557;88,2557;88,2107;80,2093;88,2557;81,2557;88,2564;88,2557;3695,2557;88,2557;88,2564;3695,2564;3695,2557;89,2078;88,2078;88,2107;142,2203;144,2206;149,2208;156,2203;157,2199;155,2196;89,2078;81,2064;3,2193;0,2197;1,2202;5,2204;9,2205;13,2204;16,2200;73,2104;73,2078;89,2078;81,2064;88,2082;87,2082;80,2093;88,2107;88,2082;73,2082;73,2104;80,2093;73,2082;88,2078;73,2078;73,2082;80,2093;87,2082;88,2082;88,2078" o:connectangles="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3" o:spid="_x0000_s1031" type="#_x0000_t75" style="position:absolute;left:1350;top:1568;width:1792;height: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">
                  <v:imagedata r:id="rId79" o:title=""/>
                </v:shape>
                <v:shape id="AutoShape 152" o:spid="_x0000_s1032" style="position:absolute;left:1347;top:1565;width:1797;height:508;visibility:visible;mso-wrap-style:square;v-text-anchor:top" coordsize="1797,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" path="m1795,l1,,,1,,506r1,1l1795,507r1,-1l1796,504,6,504,2,501r4,l6,4,2,4,6,2r1790,l1796,1,1795,xm6,501r-4,l6,504r,-3xm1791,501l6,501r,3l1791,504r,-3xm1791,2r,502l1794,501r2,l1796,4r-2,l1791,2xm1796,501r-2,l1791,504r5,l1796,501xm6,2l2,4r4,l6,2xm1791,2l6,2r,2l1791,4r,-2xm1796,2r-5,l1794,4r2,l1796,2xe" fillcolor="#007d86" stroked="f">
                  <v:path arrowok="t" o:connecttype="custom" o:connectlocs="1795,1566;1,1566;0,1567;0,2072;1,2073;1795,2073;1796,2072;1796,2070;6,2070;2,2067;6,2067;6,1570;2,1570;6,1568;1796,1568;1796,1567;1795,1566;6,2067;2,2067;6,2070;6,2067;1791,2067;6,2067;6,2070;1791,2070;1791,2067;1791,1568;1791,2070;1794,2067;1796,2067;1796,1570;1794,1570;1791,1568;1796,2067;1794,2067;1791,2070;1796,2070;1796,2067;6,1568;2,1570;6,1570;6,1568;1791,1568;6,1568;6,1570;1791,1570;1791,1568;1796,1568;1791,1568;1794,1570;1796,1570;1796,1568" o:connectangles="0,0,0,0,0,0,0,0,0,0,0,0,0,0,0,0,0,0,0,0,0,0,0,0,0,0,0,0,0,0,0,0,0,0,0,0,0,0,0,0,0,0,0,0,0,0,0,0,0,0,0,0"/>
                </v:shape>
                <v:rect id="Rectangle 151" o:spid="_x0000_s1033" style="position:absolute;left:1035;top:3008;width:5810;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" fillcolor="#f2f2f2" stroked="f"/>
                <v:shape id="AutoShape 150" o:spid="_x0000_s1034" style="position:absolute;left:1028;top:3045;width:5824;height:3480;visibility:visible;mso-wrap-style:square;v-text-anchor:top" coordsize="5824,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" path="m15,3466r-7,l8,3480r68,l76,3473r-61,l15,3466xm15,3353r-15,l,3473r8,l8,3466r7,l15,3353xm76,3466r-61,l15,3473r61,l76,3466xm15,3189r-15,l,3309r15,l15,3189xm15,3023r-15,l,3143r15,l15,3023xm15,2859r-15,l,2979r15,l15,2859xm15,2693r-15,l,2813r15,l15,2693xm15,2529r-15,l,2649r15,l15,2529xm15,2363r-15,l,2483r15,l15,2363xm15,2199r-15,l,2319r15,l15,2199xm15,2033r-15,l,2153r15,l15,2033xm15,1869r-15,l,1989r15,l15,1869xm15,1703r-15,l,1823r15,l15,1703xm15,1539r-15,l,1659r15,l15,1539xm15,1373r-15,l,1493r15,l15,1373xm15,1209r-15,l,1329r15,l15,1209xm15,1043r-15,l,1163r15,l15,1043xm15,879l,879,,999r15,l15,879xm15,713l,713,,833r15,l15,713xm15,549l,549,,669r15,l15,549xm15,383l,383,,503r15,l15,383xm15,219l,219,,339r15,l15,219xm15,53l,53,,173r15,l15,53xm128,l8,r,16l128,16,128,xm292,l172,r,16l292,16,292,xm458,l338,r,16l458,16,458,xm622,l502,r,16l622,16,622,xm788,l668,r,16l788,16,788,xm952,l832,r,16l952,16,952,xm1118,l998,r,16l1118,16r,-16xm1282,l1162,r,16l1282,16r,-16xm1448,l1328,r,16l1448,16r,-16xm1612,l1492,r,16l1612,16r,-16xm1778,l1658,r,16l1778,16r,-16xm1942,l1822,r,16l1942,16r,-16xm2108,l1988,r,16l2108,16r,-16xm2272,l2152,r,16l2272,16r,-16xm2438,l2318,r,16l2438,16r,-16xm2602,l2482,r,16l2602,16r,-16xm2768,l2648,r,16l2768,16r,-16xm2932,l2812,r,16l2932,16r,-16xm3098,l2978,r,16l3098,16r,-16xm3262,l3142,r,16l3262,16r,-16xm3428,l3308,r,16l3428,16r,-16xm3592,l3472,r,16l3592,16r,-16xm3758,l3638,r,16l3758,16r,-16xm3922,l3802,r,16l3922,16r,-16xm4088,l3968,r,16l4088,16r,-16xm4252,l4132,r,16l4252,16r,-16xm4418,l4298,r,16l4418,16r,-16xm4582,l4462,r,16l4582,16r,-16xm4748,l4628,r,16l4748,16r,-16xm4912,l4792,r,16l4912,16r,-16xm5078,l4958,r,16l5078,16r,-16xm5242,l5122,r,16l5242,16r,-16xm5408,l5288,r,16l5408,16r,-16xm5572,l5452,r,16l5572,16r,-16xm5738,l5618,r,16l5738,16r,-16xm5810,9r,85l5824,94r,-78l5817,16r-7,-7xm5820,r-38,l5782,16r28,l5810,9r14,l5824,4,5820,xm5824,9r-14,l5817,16r7,l5824,9xm5824,139r-14,l5810,259r14,l5824,139xm5824,304r-14,l5810,424r14,l5824,304xm5824,469r-14,l5810,589r14,l5824,469xm5824,634r-14,l5810,754r14,l5824,634xm5824,799r-14,l5810,919r14,l5824,799xm5824,964r-14,l5810,1084r14,l5824,964xm5824,1129r-14,l5810,1249r14,l5824,1129xm5824,1294r-14,l5810,1414r14,l5824,1294xm5824,1459r-14,l5810,1579r14,l5824,1459xm5824,1624r-14,l5810,1744r14,l5824,1624xm5824,1789r-14,l5810,1909r14,l5824,1789xm5824,1954r-14,l5810,2074r14,l5824,1954xm5824,2119r-14,l5810,2239r14,l5824,2119xm5824,2284r-14,l5810,2404r14,l5824,2284xm5824,2449r-14,l5810,2569r14,l5824,2449xm5824,2614r-14,l5810,2734r14,l5824,2614xm5824,2779r-14,l5810,2899r14,l5824,2779xm5824,2944r-14,l5810,3064r14,l5824,2944xm5824,3109r-14,l5810,3229r14,l5824,3109xm5824,3274r-14,l5810,3394r14,l5824,3274xm5810,3466r-80,l5730,3480r90,l5824,3478r,-5l5810,3473r,-7xm5824,3439r-14,l5810,3473r7,-7l5824,3466r,-27xm5824,3466r-7,l5810,3473r14,l5824,3466xm5686,3466r-120,l5566,3480r120,l5686,3466xm5520,3466r-120,l5400,3480r120,l5520,3466xm5356,3466r-120,l5236,3480r120,l5356,3466xm5190,3466r-120,l5070,3480r120,l5190,3466xm5026,3466r-120,l4906,3480r120,l5026,3466xm4860,3466r-120,l4740,3480r120,l4860,3466xm4696,3466r-120,l4576,3480r120,l4696,3466xm4530,3466r-120,l4410,3480r120,l4530,3466xm4366,3466r-120,l4246,3480r120,l4366,3466xm4200,3466r-120,l4080,3480r120,l4200,3466xm4036,3466r-120,l3916,3480r120,l4036,3466xm3870,3466r-120,l3750,3480r120,l3870,3466xm3706,3466r-120,l3586,3480r120,l3706,3466xm3540,3466r-120,l3420,3480r120,l3540,3466xm3376,3466r-120,l3256,3480r120,l3376,3466xm3210,3466r-120,l3090,3480r120,l3210,3466xm3046,3466r-120,l2926,3480r120,l3046,3466xm2880,3466r-120,l2760,3480r120,l2880,3466xm2716,3466r-120,l2596,3480r120,l2716,3466xm2550,3466r-120,l2430,3480r120,l2550,3466xm2386,3466r-120,l2266,3480r120,l2386,3466xm2220,3466r-120,l2100,3480r120,l2220,3466xm2056,3466r-120,l1936,3480r120,l2056,3466xm1890,3466r-120,l1770,3480r120,l1890,3466xm1726,3466r-120,l1606,3480r120,l1726,3466xm1560,3466r-120,l1440,3480r120,l1560,3466xm1396,3466r-120,l1276,3480r120,l1396,3466xm1230,3466r-120,l1110,3480r120,l1230,3466xm1066,3466r-120,l946,3480r120,l1066,3466xm900,3466r-120,l780,3480r120,l900,3466xm736,3466r-120,l616,3480r120,l736,3466xm570,3466r-120,l450,3480r120,l570,3466xm406,3466r-120,l286,3480r120,l406,3466xm240,3466r-120,l120,3480r120,l240,3466xe" fillcolor="#00818a" stroked="f">
                  <v:path arrowok="t" o:connecttype="custom" o:connectlocs="0,6518;15,6234;15,5904;15,5574;15,5244;15,4914;15,4584;15,4254;15,3924;15,3594;15,3264;128,3045;458,3045;788,3045;1118,3045;1448,3045;1778,3045;2108,3045;2438,3045;2768,3045;3098,3045;3428,3045;3758,3045;4088,3045;4418,3045;4748,3045;5078,3045;5408,3045;5738,3045;5810,3054;5810,3054;5810,3349;5810,3679;5810,4009;5810,4339;5810,4669;5810,4999;5810,5329;5810,5659;5810,5989;5810,6319;5810,6518;5810,6518;5400,6525;5070,6525;4740,6525;4410,6525;4080,6525;3750,6525;3420,6525;3090,6525;2760,6525;2430,6525;2100,6525;1770,6525;1440,6525;1110,6525;780,6525;450,6525;120,6525" o:connectangles="0,0,0,0,0,0,0,0,0,0,0,0,0,0,0,0,0,0,0,0,0,0,0,0,0,0,0,0,0,0,0,0,0,0,0,0,0,0,0,0,0,0,0,0,0,0,0,0,0,0,0,0,0,0,0,0,0,0,0,0"/>
                </v:shape>
                <v:shape id="Picture 149" o:spid="_x0000_s1035" type="#_x0000_t75" style="position:absolute;left:4695;top:4283;width:2026;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">
                  <v:imagedata r:id="rId80" o:title=""/>
                </v:shape>
                <v:shape id="AutoShape 148" o:spid="_x0000_s1036" style="position:absolute;left:4693;top:4281;width:2031;height:906;visibility:visible;mso-wrap-style:square;v-text-anchor:top" coordsize="203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" path="m2031,l,,,905r1,1l2029,906r2,-1l2031,904,5,904,3,901r2,l5,5,3,5,5,3r2026,l2031,xm5,901r-2,l5,904r,-3xm2026,901l5,901r,3l2026,904r,-3xm2026,3r,901l2028,901r3,l2031,5r-3,l2026,3xm2031,901r-3,l2026,904r5,l2031,901xm5,3l3,5r2,l5,3xm2026,3l5,3r,2l2026,5r,-2xm2031,3r-5,l2028,5r3,l2031,3xe" fillcolor="black" stroked="f">
                  <v:path arrowok="t" o:connecttype="custom" o:connectlocs="2031,4281;0,4281;0,5186;1,5187;2029,5187;2031,5186;2031,5185;5,5185;3,5182;5,5182;5,4286;3,4286;5,4284;2031,4284;2031,4281;5,5182;3,5182;5,5185;5,5182;2026,5182;5,5182;5,5185;2026,5185;2026,5182;2026,4284;2026,5185;2028,5182;2031,5182;2031,4286;2028,4286;2026,4284;2031,5182;2028,5182;2026,5185;2031,5185;2031,5182;5,4284;3,4286;5,4286;5,4284;2026,4284;5,4284;5,4286;2026,4286;2026,4284;2031,4284;2026,4284;2028,4286;2031,4286;2031,4284" o:connectangles="0,0,0,0,0,0,0,0,0,0,0,0,0,0,0,0,0,0,0,0,0,0,0,0,0,0,0,0,0,0,0,0,0,0,0,0,0,0,0,0,0,0,0,0,0,0,0,0,0,0"/>
                </v:shape>
                <v:shape id="Picture 147" o:spid="_x0000_s1037" type="#_x0000_t75" style="position:absolute;left:1035;top:4388;width:1974;height: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">
                  <v:imagedata r:id="rId81" o:title=""/>
                </v:shape>
                <v:shape id="AutoShape 146" o:spid="_x0000_s1038" style="position:absolute;left:1033;top:4385;width:3657;height:674;visibility:visible;mso-wrap-style:square;v-text-anchor:top" coordsize="3657,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" path="m2027,279r-48,l1979,4r,-2l1979,1,1978,r-4,l1974,4r,275l1967,279r,15l1974,294r,374l5,668,5,4r1969,l1974,,1,,,1,,672r1,1l1978,673r1,-1l1979,670r,-2l1979,294r48,l2027,279xm2133,279r-60,l2073,294r60,l2133,279xm2237,279r-60,l2177,294r60,l2237,279xm2343,279r-60,l2283,294r60,l2343,279xm2447,279r-60,l2387,294r60,l2447,279xm2553,279r-60,l2493,294r60,l2553,279xm2657,279r-60,l2597,294r60,l2657,279xm2763,279r-60,l2703,294r60,l2763,279xm2867,279r-60,l2807,294r60,l2867,279xm2973,279r-60,l2913,294r60,l2973,279xm3077,279r-60,l3017,294r60,l3077,279xm3183,279r-60,l3123,294r60,l3183,279xm3287,279r-60,l3227,294r60,l3287,279xm3393,279r-60,l3333,294r60,l3393,279xm3497,279r-60,l3437,294r60,l3497,279xm3603,279r-60,l3543,294r60,l3603,279xm3657,286r-13,-7l3526,210r-4,-3l3517,208r-4,8l3514,220r3,3l3626,286r-109,64l3514,351r-1,5l3517,363r5,1l3526,363r120,-71l3657,286xe" fillcolor="black" stroked="f">
                  <v:path arrowok="t" o:connecttype="custom" o:connectlocs="1979,4665;1979,4388;1978,4386;1974,4390;1967,4665;1974,4680;5,5054;1974,4390;1,4386;0,5058;1978,5059;1979,5056;1979,4680;2027,4665;2073,4665;2133,4680;2237,4665;2177,4680;2237,4665;2283,4665;2343,4680;2447,4665;2387,4680;2447,4665;2493,4665;2553,4680;2657,4665;2597,4680;2657,4665;2703,4665;2763,4680;2867,4665;2807,4680;2867,4665;2913,4665;2973,4680;3077,4665;3017,4680;3077,4665;3123,4665;3183,4680;3287,4665;3227,4680;3287,4665;3333,4665;3393,4680;3497,4665;3437,4680;3497,4665;3543,4665;3603,4680;3657,4672;3526,4596;3517,4594;3514,4606;3626,4672;3514,4737;3517,4749;3526,4749;3657,4672" o:connectangles="0,0,0,0,0,0,0,0,0,0,0,0,0,0,0,0,0,0,0,0,0,0,0,0,0,0,0,0,0,0,0,0,0,0,0,0,0,0,0,0,0,0,0,0,0,0,0,0,0,0,0,0,0,0,0,0,0,0,0,0"/>
                </v:shape>
                <v:shape id="Picture 145" o:spid="_x0000_s1039" type="#_x0000_t75" style="position:absolute;left:5010;top:893;width:1491;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">
                  <v:imagedata r:id="rId82" o:title=""/>
                </v:shape>
                <v:shape id="Freeform 144" o:spid="_x0000_s1040" style="position:absolute;left:5007;top:891;width:1496;height:3383;visibility:visible;mso-wrap-style:square;v-text-anchor:top" coordsize="1496,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" path="m1495,r-5,l1490,5r,445l6,450,6,5r1484,l1490,,,,,454r1,1l811,455,736,583r-2,4l735,592r4,1l742,595r5,-1l750,591r55,-96l805,467r,28l806,3383r16,l820,595r,-100l876,591r2,3l883,595r3,-2l890,592r1,-5l889,583,820,467r-7,-12l1494,455r1,-1l1495,453r,-3l1495,5r,-2l1495,xe" fillcolor="black" stroked="f">
                  <v:path arrowok="t" o:connecttype="custom" o:connectlocs="1495,891;1490,891;1490,896;1490,1341;6,1341;6,896;1490,896;1490,891;0,891;0,1345;1,1346;811,1346;736,1474;734,1478;735,1483;739,1484;742,1486;747,1485;750,1482;805,1386;805,1358;805,1386;806,4274;822,4274;820,1486;820,1386;876,1482;878,1485;883,1486;886,1484;890,1483;891,1478;889,1474;820,1358;813,1346;1494,1346;1495,1345;1495,1344;1495,1341;1495,896;1495,894;1495,891" o:connectangles="0,0,0,0,0,0,0,0,0,0,0,0,0,0,0,0,0,0,0,0,0,0,0,0,0,0,0,0,0,0,0,0,0,0,0,0,0,0,0,0,0,0"/>
                </v:shape>
                <v:rect id="Rectangle 143" o:spid="_x0000_s1041" style="position:absolute;left:3138;top:2069;width:2417;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" stroked="f"/>
                <v:shape id="AutoShape 142" o:spid="_x0000_s1042" style="position:absolute;left:2198;top:1010;width:2820;height:548;visibility:visible;mso-wrap-style:square;v-text-anchor:top" coordsize="282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" path="m2778,71l4,71,,74,,547r15,l15,85r-7,l15,78r2775,l2778,71xm2791,79r-109,63l2679,144r-1,5l2679,152r2,4l2686,157r4,-2l2808,85r-6,l2791,79xm15,78l8,85r7,l15,78xm2790,78l15,78r,7l2780,85r11,-6l2790,78xm2802,72r-11,7l2802,85r,-13xm2806,72r-4,l2802,85r4,l2806,72xm2808,71r-2,l2806,85r2,l2820,78r-12,-7xm2686,r-5,1l2679,5r-1,3l2679,12r3,2l2791,79r11,-7l2806,72r,-1l2808,71,2690,1,2686,xe" fillcolor="black" stroked="f">
                  <v:path arrowok="t" o:connecttype="custom" o:connectlocs="2778,1081;4,1081;0,1084;0,1557;15,1557;15,1095;8,1095;15,1088;2790,1088;2778,1081;2791,1089;2682,1152;2679,1154;2678,1159;2679,1162;2681,1166;2686,1167;2690,1165;2808,1095;2802,1095;2791,1089;15,1088;8,1095;15,1095;15,1088;2790,1088;15,1088;15,1095;2780,1095;2791,1089;2790,1088;2802,1082;2791,1089;2802,1095;2802,1082;2806,1082;2802,1082;2802,1095;2806,1095;2806,1082;2808,1081;2806,1081;2806,1095;2808,1095;2820,1088;2808,1081;2686,1010;2681,1011;2679,1015;2678,1018;2679,1022;2682,1024;2791,1089;2802,1082;2806,1082;2806,1081;2808,1081;2690,1011;2686,1010" o:connectangles="0,0,0,0,0,0,0,0,0,0,0,0,0,0,0,0,0,0,0,0,0,0,0,0,0,0,0,0,0,0,0,0,0,0,0,0,0,0,0,0,0,0,0,0,0,0,0,0,0,0,0,0,0,0,0,0,0,0,0"/>
                </v:shape>
                <v:rect id="Rectangle 141" o:spid="_x0000_s1043" style="position:absolute;left:7290;top:1853;width:3148;height:4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" fillcolor="#f2f2f2" stroked="f"/>
                <v:shape id="AutoShape 140" o:spid="_x0000_s1044" style="position:absolute;left:7282;top:1845;width:3162;height:4680;visibility:visible;mso-wrap-style:square;v-text-anchor:top" coordsize="3162,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" path="m15,4666r-8,l7,4680r114,l121,4673r-106,l15,4666xm15,4553r-15,l,4673r7,l7,4666r8,l15,4553xm121,4666r-106,l15,4673r106,l121,4666xm15,4389r-15,l,4509r15,l15,4389xm15,4223r-15,l,4343r15,l15,4223xm15,4059r-15,l,4179r15,l15,4059xm15,3893r-15,l,4013r15,l15,3893xm15,3729r-15,l,3849r15,l15,3729xm15,3563r-15,l,3683r15,l15,3563xm15,3399r-15,l,3519r15,l15,3399xm15,3233r-15,l,3353r15,l15,3233xm15,3069r-15,l,3189r15,l15,3069xm15,2903r-15,l,3023r15,l15,2903xm15,2739r-15,l,2859r15,l15,2739xm15,2573r-15,l,2693r15,l15,2573xm15,2409r-15,l,2529r15,l15,2409xm15,2243r-15,l,2363r15,l15,2243xm15,2079r-15,l,2199r15,l15,2079xm15,1913r-15,l,2033r15,l15,1913xm15,1749r-15,l,1869r15,l15,1749xm15,1583r-15,l,1703r15,l15,1583xm15,1419r-15,l,1539r15,l15,1419xm15,1253r-15,l,1373r15,l15,1253xm15,1089r-15,l,1209r15,l15,1089xm15,923l,923r,120l15,1043r,-120xm15,759l,759,,879r15,l15,759xm15,593l,593,,713r15,l15,593xm15,429l,429,,549r15,l15,429xm15,263l,263,,383r15,l15,263xm15,99l,99,,219r15,l15,99xm83,l3,,,4,,53r15,l15,16r-8,l15,9r68,l83,xm15,9l7,16r8,l15,9xm83,9l15,9r,7l83,16r,-7xm247,l127,r,16l247,16,247,xm413,l293,r,16l413,16,413,xm577,l457,r,16l577,16,577,xm743,l623,r,16l743,16,743,xm907,l787,r,16l907,16,907,xm1073,l953,r,16l1073,16r,-16xm1237,l1117,r,16l1237,16r,-16xm1403,l1283,r,16l1403,16r,-16xm1567,l1447,r,16l1567,16r,-16xm1733,l1613,r,16l1733,16r,-16xm1897,l1777,r,16l1897,16r,-16xm2063,l1943,r,16l2063,16r,-16xm2227,l2107,r,16l2227,16r,-16xm2393,l2273,r,16l2393,16r,-16xm2557,l2437,r,16l2557,16r,-16xm2723,l2603,r,16l2723,16r,-16xm2887,l2767,r,16l2887,16r,-16xm3053,l2933,r,16l3053,16r,-16xm3147,9r,62l3162,71r,-55l3155,16r-8,-7xm3158,r-61,l3097,16r50,l3147,9r15,l3162,4,3158,xm3162,9r-15,l3155,16r7,l3162,9xm3162,117r-15,l3147,237r15,l3162,117xm3162,281r-15,l3147,401r15,l3162,281xm3162,447r-15,l3147,567r15,l3162,447xm3162,611r-15,l3147,731r15,l3162,611xm3162,777r-15,l3147,897r15,l3162,777xm3162,941r-15,l3147,1061r15,l3162,941xm3162,1107r-15,l3147,1227r15,l3162,1107xm3162,1271r-15,l3147,1391r15,l3162,1271xm3162,1437r-15,l3147,1557r15,l3162,1437xm3162,1601r-15,l3147,1721r15,l3162,1601xm3162,1767r-15,l3147,1887r15,l3162,1767xm3162,1931r-15,l3147,2051r15,l3162,1931xm3162,2097r-15,l3147,2217r15,l3162,2097xm3162,2261r-15,l3147,2381r15,l3162,2261xm3162,2427r-15,l3147,2547r15,l3162,2427xm3162,2591r-15,l3147,2711r15,l3162,2591xm3162,2757r-15,l3147,2877r15,l3162,2757xm3162,2921r-15,l3147,3041r15,l3162,2921xm3162,3087r-15,l3147,3207r15,l3162,3087xm3162,3251r-15,l3147,3371r15,l3162,3251xm3162,3417r-15,l3147,3537r15,l3162,3417xm3162,3581r-15,l3147,3701r15,l3162,3581xm3162,3747r-15,l3147,3867r15,l3162,3747xm3162,3911r-15,l3147,4031r15,l3162,3911xm3162,4077r-15,l3147,4197r15,l3162,4077xm3162,4241r-15,l3147,4361r15,l3162,4241xm3162,4407r-15,l3147,4527r15,l3162,4407xm3147,4666r-10,l3137,4680r21,l3162,4678r,-5l3147,4673r,-7xm3162,4571r-15,l3147,4673r8,-7l3162,4666r,-95xm3162,4666r-7,l3147,4673r15,l3162,4666xm3091,4666r-120,l2971,4680r120,l3091,4666xm2927,4666r-120,l2807,4680r120,l2927,4666xm2761,4666r-120,l2641,4680r120,l2761,4666xm2597,4666r-120,l2477,4680r120,l2597,4666xm2431,4666r-120,l2311,4680r120,l2431,4666xm2267,4666r-120,l2147,4680r120,l2267,4666xm2101,4666r-120,l1981,4680r120,l2101,4666xm1937,4666r-120,l1817,4680r120,l1937,4666xm1771,4666r-120,l1651,4680r120,l1771,4666xm1607,4666r-120,l1487,4680r120,l1607,4666xm1441,4666r-120,l1321,4680r120,l1441,4666xm1277,4666r-120,l1157,4680r120,l1277,4666xm1111,4666r-120,l991,4680r120,l1111,4666xm947,4666r-120,l827,4680r120,l947,4666xm781,4666r-120,l661,4680r120,l781,4666xm617,4666r-120,l497,4680r120,l617,4666xm451,4666r-120,l331,4680r120,l451,4666xm287,4666r-120,l167,4680r120,l287,4666xe" fillcolor="#00818a" stroked="f">
                  <v:path arrowok="t" o:connecttype="custom" o:connectlocs="0,6398;121,6518;0,6188;0,5738;15,5408;15,5244;15,5034;0,4704;0,4254;15,3924;15,3758;15,3548;0,3218;0,2768;15,2438;15,2274;15,2064;15,1854;15,1861;293,1845;743,1845;907,1845;1237,1861;1447,1861;1777,1845;2227,1845;2393,1845;2723,1861;2933,1861;3158,1845;3147,1854;3162,2126;3162,2292;3162,2742;3147,3072;3147,3282;3162,3612;3162,3776;3162,4226;3147,4556;3147,4766;3162,5096;3162,5262;3162,5712;3147,6042;3147,6252;3162,6518;3162,6511;3091,6511;2761,6525;2311,6525;1981,6511;1771,6511;1607,6511;1277,6525;827,6525;497,6511;287,6511" o:connectangles="0,0,0,0,0,0,0,0,0,0,0,0,0,0,0,0,0,0,0,0,0,0,0,0,0,0,0,0,0,0,0,0,0,0,0,0,0,0,0,0,0,0,0,0,0,0,0,0,0,0,0,0,0,0,0,0,0,0"/>
                </v:shape>
                <v:shape id="Picture 139" o:spid="_x0000_s1045" type="#_x0000_t75" style="position:absolute;left:7395;top:2348;width:2109;height: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">
                  <v:imagedata r:id="rId83" o:title=""/>
                </v:shape>
                <v:shape id="AutoShape 138" o:spid="_x0000_s1046" style="position:absolute;left:7393;top:2345;width:2115;height:708;visibility:visible;mso-wrap-style:square;v-text-anchor:top" coordsize="2115,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" path="m2113,l1,,,1,,706r1,2l2113,708r2,-2l2115,705,5,705,3,703r2,l5,4,3,4,5,2r2110,l2115,1,2113,xm5,703r-2,l5,705r,-2xm2109,703l5,703r,2l2109,705r,-2xm2109,2r,703l2111,703r4,l2115,4r-4,l2109,2xm2115,703r-4,l2109,705r6,l2115,703xm5,2l3,4r2,l5,2xm2109,2l5,2r,2l2109,4r,-2xm2115,2r-6,l2111,4r4,l2115,2xe" fillcolor="black" stroked="f">
                  <v:path arrowok="t" o:connecttype="custom" o:connectlocs="2113,2346;1,2346;0,2347;0,3052;1,3054;2113,3054;2115,3052;2115,3051;5,3051;3,3049;5,3049;5,2350;3,2350;5,2348;2115,2348;2115,2347;2113,2346;5,3049;3,3049;5,3051;5,3049;2109,3049;5,3049;5,3051;2109,3051;2109,3049;2109,2348;2109,3051;2111,3049;2115,3049;2115,2350;2111,2350;2109,2348;2115,3049;2111,3049;2109,3051;2115,3051;2115,3049;5,2348;3,2350;5,2350;5,2348;2109,2348;5,2348;5,2350;2109,2350;2109,2348;2115,2348;2109,2348;2111,2350;2115,2350;2115,2348" o:connectangles="0,0,0,0,0,0,0,0,0,0,0,0,0,0,0,0,0,0,0,0,0,0,0,0,0,0,0,0,0,0,0,0,0,0,0,0,0,0,0,0,0,0,0,0,0,0,0,0,0,0,0,0"/>
                </v:shape>
                <v:shape id="Picture 137" o:spid="_x0000_s1047" type="#_x0000_t75" style="position:absolute;left:7395;top:5693;width:2109;height: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">
                  <v:imagedata r:id="rId84" o:title=""/>
                </v:shape>
                <v:shape id="AutoShape 136" o:spid="_x0000_s1048" style="position:absolute;left:7117;top:1064;width:2390;height:5318;visibility:visible;mso-wrap-style:square;v-text-anchor:top" coordsize="2390,5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" path="m15,l,,,2294r15,l15,xm2389,4627r-4,l2385,4632r,680l281,5312r,-680l1260,4632r,2l1275,4634r,-2l2385,4632r,-5l1275,4627r,-2307l1264,2320r,-9l9,2311r,15l1260,2326r,2301l276,4627r,689l277,5317r2111,l2389,5316r,-1l2389,5312r,-680l2389,4630r,-3xe" fillcolor="black" stroked="f">
                  <v:path arrowok="t" o:connecttype="custom" o:connectlocs="15,1064;0,1064;0,3358;15,3358;15,1064;2389,5691;2385,5691;2385,5696;2385,6376;281,6376;281,5696;1260,5696;1260,5698;1275,5698;1275,5696;2385,5696;2385,5691;1275,5691;1275,3384;1264,3384;1264,3375;9,3375;9,3390;1260,3390;1260,5691;276,5691;276,6380;277,6381;2388,6381;2389,6380;2389,6379;2389,6376;2389,5696;2389,5694;2389,5691" o:connectangles="0,0,0,0,0,0,0,0,0,0,0,0,0,0,0,0,0,0,0,0,0,0,0,0,0,0,0,0,0,0,0,0,0,0,0"/>
                </v:shape>
                <v:rect id="Rectangle 135" o:spid="_x0000_s1049" style="position:absolute;left:10185;top:2213;width:1472;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" stroked="f"/>
                <v:shape id="AutoShape 134" o:spid="_x0000_s1050" style="position:absolute;left:6710;top:4598;width:1671;height:158;visibility:visible;mso-wrap-style:square;v-text-anchor:top" coordsize="167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" path="m135,r-4,2l,79r131,77l135,157r5,-1l144,149r-1,-4l140,143,42,86r-26,l16,72r26,l140,16r3,-3l144,8,140,1,135,xm828,79r,24l832,107r839,l1671,100r-828,l836,91r7,l843,86r-7,l828,79xm843,91r-7,l843,100r,-9xm1671,91r-828,l843,100r828,l1671,91xm42,72r-26,l16,86r26,l40,85r-20,l20,73r20,l42,72xm839,72l42,72,30,79r12,7l828,86r,-7l843,79r,-5l839,72xm843,79r-15,l836,86r7,l843,79xm20,73r,12l30,79,20,73xm30,79l20,85r20,l30,79xm40,73r-20,l30,79,40,73xe" fillcolor="black" stroked="f">
                  <v:path arrowok="t" o:connecttype="custom" o:connectlocs="131,4600;131,4754;140,4754;143,4743;42,4684;16,4670;140,4614;144,4606;135,4598;828,4701;1671,4705;843,4698;843,4689;836,4684;843,4689;843,4698;1671,4689;843,4698;1671,4689;16,4670;42,4684;20,4683;40,4671;839,4670;30,4677;828,4684;843,4677;839,4670;828,4677;843,4684;20,4671;30,4677;30,4677;40,4683;40,4671;30,4677" o:connectangles="0,0,0,0,0,0,0,0,0,0,0,0,0,0,0,0,0,0,0,0,0,0,0,0,0,0,0,0,0,0,0,0,0,0,0,0"/>
                </v:shape>
                <v:rect id="Rectangle 133" o:spid="_x0000_s1051" style="position:absolute;left:1035;top:6668;width:9411;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" fillcolor="#f2f2f2" stroked="f"/>
                <v:line id="Line 132" o:spid="_x0000_s1052" style="position:absolute;visibility:visible;mso-wrap-style:square" from="1036,6698" to="1036,9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" strokecolor="#00818a" strokeweight=".72pt">
                  <v:stroke dashstyle="3 1"/>
                </v:line>
                <v:line id="Line 131" o:spid="_x0000_s1053" style="position:absolute;visibility:visible;mso-wrap-style:square" from="1050,6668" to="10410,6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" strokecolor="#00818a" strokeweight=".72pt">
                  <v:stroke dashstyle="3 1"/>
                </v:line>
                <v:line id="Line 130" o:spid="_x0000_s1054" style="position:absolute;visibility:visible;mso-wrap-style:square" from="10445,6678" to="10445,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" strokecolor="#00818a" strokeweight=".78pt">
                  <v:stroke dashstyle="3 1"/>
                </v:line>
                <v:line id="Line 129" o:spid="_x0000_s1055" style="position:absolute;visibility:visible;mso-wrap-style:square" from="1061,9293" to="10421,9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" strokecolor="#00818a" strokeweight=".78pt">
                  <v:stroke dashstyle="3 1"/>
                </v:line>
                <v:shape id="Picture 128" o:spid="_x0000_s1056" type="#_x0000_t75" style="position:absolute;left:3615;top:7403;width:1941;height: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">
                  <v:imagedata r:id="rId85" o:title=""/>
                </v:shape>
                <v:shape id="AutoShape 127" o:spid="_x0000_s1057" style="position:absolute;left:3613;top:7401;width:1947;height:724;visibility:visible;mso-wrap-style:square;v-text-anchor:top" coordsize="194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" path="m1947,l,,,723r1,1l1945,724r2,-1l1947,721,5,721,3,719r2,l5,5,3,5,5,3r1942,l1947,xm5,719r-2,l5,721r,-2xm1941,719l5,719r,2l1941,721r,-2xm1941,3r,718l1943,719r4,l1947,5r-4,l1941,3xm1947,719r-4,l1941,721r6,l1947,719xm5,3l3,5r2,l5,3xm1941,3l5,3r,2l1941,5r,-2xm1947,3r-6,l1943,5r4,l1947,3xe" fillcolor="black" stroked="f">
                  <v:path arrowok="t" o:connecttype="custom" o:connectlocs="1947,7401;0,7401;0,8124;1,8125;1945,8125;1947,8124;1947,8122;5,8122;3,8120;5,8120;5,7406;3,7406;5,7404;1947,7404;1947,7401;5,8120;3,8120;5,8122;5,8120;1941,8120;5,8120;5,8122;1941,8122;1941,8120;1941,7404;1941,8122;1943,8120;1947,8120;1947,7406;1943,7406;1941,7404;1947,8120;1943,8120;1941,8122;1947,8122;1947,8120;5,7404;3,7406;5,7406;5,7404;1941,7404;5,7404;5,7406;1941,7406;1941,7404;1947,7404;1941,7404;1943,7406;1947,7406;1947,7404" o:connectangles="0,0,0,0,0,0,0,0,0,0,0,0,0,0,0,0,0,0,0,0,0,0,0,0,0,0,0,0,0,0,0,0,0,0,0,0,0,0,0,0,0,0,0,0,0,0,0,0,0,0"/>
                </v:shape>
                <v:shape id="Picture 126" o:spid="_x0000_s1058" type="#_x0000_t75" style="position:absolute;left:1335;top:7388;width:1875;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">
                  <v:imagedata r:id="rId86" o:title=""/>
                </v:shape>
                <v:shape id="AutoShape 125" o:spid="_x0000_s1059" style="position:absolute;left:1333;top:7385;width:1880;height:710;visibility:visible;mso-wrap-style:square;v-text-anchor:top" coordsize="188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" path="m1878,l1,,,1,,708r1,1l1878,709r1,-1l1879,706,5,706,3,704r2,l5,4,3,4,5,2r1874,l1879,1,1878,xm5,704r-2,l5,706r,-2xm1875,704l5,704r,2l1875,706r,-2xm1875,2r,704l1877,704r2,l1879,4r-2,l1875,2xm1879,704r-2,l1875,706r4,l1879,704xm5,2l3,4r2,l5,2xm1875,2l5,2r,2l1875,4r,-2xm1879,2r-4,l1877,4r2,l1879,2xe" fillcolor="black" stroked="f">
                  <v:path arrowok="t" o:connecttype="custom" o:connectlocs="1878,7386;1,7386;0,7387;0,8094;1,8095;1878,8095;1879,8094;1879,8092;5,8092;3,8090;5,8090;5,7390;3,7390;5,7388;1879,7388;1879,7387;1878,7386;5,8090;3,8090;5,8092;5,8090;1875,8090;5,8090;5,8092;1875,8092;1875,8090;1875,7388;1875,8092;1877,8090;1879,8090;1879,7390;1877,7390;1875,7388;1879,8090;1877,8090;1875,8092;1879,8092;1879,8090;5,7388;3,7390;5,7390;5,7388;1875,7388;5,7388;5,7390;1875,7390;1875,7388;1879,7388;1875,7388;1877,7390;1879,7390;1879,7388" o:connectangles="0,0,0,0,0,0,0,0,0,0,0,0,0,0,0,0,0,0,0,0,0,0,0,0,0,0,0,0,0,0,0,0,0,0,0,0,0,0,0,0,0,0,0,0,0,0,0,0,0,0,0,0"/>
                </v:shape>
                <v:shape id="Picture 124" o:spid="_x0000_s1060" type="#_x0000_t75" style="position:absolute;left:6015;top:7388;width:1991;height: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">
                  <v:imagedata r:id="rId87" o:title=""/>
                </v:shape>
                <v:shape id="AutoShape 123" o:spid="_x0000_s1061" style="position:absolute;left:6013;top:7401;width:1996;height:724;visibility:visible;mso-wrap-style:square;v-text-anchor:top" coordsize="199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" path="m1996,l,,,723r1,1l1995,724r1,-1l1996,721,5,721,3,719r2,l5,5,3,5,5,3r1991,l1996,xm5,719r-2,l5,721r,-2xm1991,719l5,719r,2l1991,721r,-2xm1991,3r,718l1993,719r3,l1996,5r-3,l1991,3xm1996,719r-3,l1991,721r5,l1996,719xm5,3l3,5r2,l5,3xm1991,3l5,3r,2l1991,5r,-2xm1996,3r-5,l1993,5r3,l1996,3xe" fillcolor="black" stroked="f">
                  <v:path arrowok="t" o:connecttype="custom" o:connectlocs="1996,7401;0,7401;0,8124;1,8125;1995,8125;1996,8124;1996,8122;5,8122;3,8120;5,8120;5,7406;3,7406;5,7404;1996,7404;1996,7401;5,8120;3,8120;5,8122;5,8120;1991,8120;5,8120;5,8122;1991,8122;1991,8120;1991,7404;1991,8122;1993,8120;1996,8120;1996,7406;1993,7406;1991,7404;1996,8120;1993,8120;1991,8122;1996,8122;1996,8120;5,7404;3,7406;5,7406;5,7404;1991,7404;5,7404;5,7406;1991,7406;1991,7404;1996,7404;1991,7404;1993,7406;1996,7406;1996,7404" o:connectangles="0,0,0,0,0,0,0,0,0,0,0,0,0,0,0,0,0,0,0,0,0,0,0,0,0,0,0,0,0,0,0,0,0,0,0,0,0,0,0,0,0,0,0,0,0,0,0,0,0,0"/>
                </v:shape>
                <v:shape id="Picture 122" o:spid="_x0000_s1062" type="#_x0000_t75" style="position:absolute;left:8372;top:7403;width:1907;height: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">
                  <v:imagedata r:id="rId88" o:title=""/>
                </v:shape>
                <v:shape id="AutoShape 121" o:spid="_x0000_s1063" style="position:absolute;left:2248;top:980;width:8111;height:7115;visibility:visible;mso-wrap-style:square;v-text-anchor:top" coordsize="8111,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" path="m2309,6011l3,6011r-3,3l,6413r3,2l17,6415r,-7l17,6401r-2,l15,6025r2294,l2309,6018r,-7xm4807,6018r-4,-4l3528,6014r,-7l3528,4289r47,79l3576,4372r5,1l3588,4368r1,-5l3587,4360r-59,-102l3528,4254r56,97l3587,4355r3,1l3597,4351r2,-5l3597,4343r-68,-117l3521,4212r-77,131l3441,4346r1,1l3434,4360r-2,3l3433,4368r7,5l3445,4372r2,-4l3503,4273r,1734l2317,6007r-4,3l2313,6436r15,l2328,6022r1175,l3503,6026r3,4l4793,6030r,406l4807,6436r,-406l4807,6018xm6141,74r-2,-3l4289,71r96,-57l4388,12r1,-4l4388,5r-2,-4l4381,r-4,1l4247,78r130,77l4381,157r5,-1l4388,152r1,-3l4388,144r-3,-2l4287,85r1840,l6127,1356r-4,l6123,1370r16,l6141,1367r,-4l6141,1356r,-1271l6141,78r,-4xm8033,6421r-5,l8028,6426r,684l6126,7110r,-684l7061,6426r,13l7064,6443r6,l7070,6429r6,7l7076,6427r,-1l8028,6426r,-5l7076,6421r,-397l7076,6016r,-4l7073,6008r-2256,l4817,6024r2244,l7061,6421r-940,l6121,7114r1,1l8031,7115r2,-1l8033,7112r,-2l8033,6426r,-2l8033,6421xm8111,1747r-2,-3l8048,1622r-7,-14l7955,1738r1,4l7958,1745r4,2l7967,1746r66,-99l8033,1814r-786,l7247,1830r796,l8047,1826r,-4l8047,1814r,-160l8096,1751r1,3l8102,1756r4,-3l8109,1752r2,-5xe" fillcolor="black" stroked="f">
                  <v:path arrowok="t" o:connecttype="custom" o:connectlocs="0,6994;17,7395;15,7381;2309,6998;4803,6994;3528,5269;3581,5353;3587,5340;3584,5331;3597,5331;3529,5206;3441,5326;3432,5343;3445,5352;3503,6987;2313,7416;3503,7002;4793,7010;4807,7010;6139,1051;4388,992;4386,981;4247,1058;4386,1136;4388,1124;6127,1065;6123,2350;6141,2343;6141,1058;8028,7401;6126,8090;7061,7419;7070,7409;7076,7406;7076,7401;7076,6992;4817,7004;6121,7401;8031,8095;8033,8090;8033,7401;8048,2602;7956,2722;7967,2726;7247,2794;8047,2806;8047,2634;8102,2736;8111,2727" o:connectangles="0,0,0,0,0,0,0,0,0,0,0,0,0,0,0,0,0,0,0,0,0,0,0,0,0,0,0,0,0,0,0,0,0,0,0,0,0,0,0,0,0,0,0,0,0,0,0,0,0"/>
                </v:shape>
                <v:shape id="Text Box 118" o:spid="_x0000_s1064" type="#_x0000_t202" style="position:absolute;left:5461;top:1032;width:606;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108F3497"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Council</w:t>
                        </w:r>
                      </w:p>
                    </w:txbxContent>
                  </v:textbox>
                </v:shape>
                <v:shape id="Text Box 117" o:spid="_x0000_s1065" type="#_x0000_t202" style="position:absolute;left:1605;top:1734;width:1300;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39665BA2"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Audit Committee</w:t>
                        </w:r>
                      </w:p>
                    </w:txbxContent>
                  </v:textbox>
                </v:shape>
                <v:shape id="Text Box 116" o:spid="_x0000_s1066" type="#_x0000_t202" style="position:absolute;left:3289;top:2150;width:2109;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7F0DAC35" w14:textId="77777777" w:rsidR="00FD55D7" w:rsidRPr="00062301" w:rsidRDefault="00FD55D7" w:rsidP="00062301">
                        <w:pPr>
                          <w:spacing w:after="0" w:line="178" w:lineRule="exact"/>
                          <w:rPr>
                            <w:rFonts w:ascii="Arial" w:hAnsi="Arial" w:cs="Arial"/>
                            <w:b/>
                            <w:sz w:val="16"/>
                          </w:rPr>
                        </w:pPr>
                        <w:r w:rsidRPr="00062301">
                          <w:rPr>
                            <w:rFonts w:ascii="Arial" w:hAnsi="Arial" w:cs="Arial"/>
                            <w:b/>
                            <w:sz w:val="16"/>
                          </w:rPr>
                          <w:t>CEO Reports Biennially on;</w:t>
                        </w:r>
                      </w:p>
                      <w:p w14:paraId="4A945DF2" w14:textId="77777777" w:rsidR="00FD55D7" w:rsidRPr="00062301" w:rsidRDefault="00FD55D7" w:rsidP="002A3889">
                        <w:pPr>
                          <w:widowControl w:val="0"/>
                          <w:numPr>
                            <w:ilvl w:val="0"/>
                            <w:numId w:val="461"/>
                          </w:numPr>
                          <w:tabs>
                            <w:tab w:val="left" w:pos="178"/>
                          </w:tabs>
                          <w:autoSpaceDE w:val="0"/>
                          <w:autoSpaceDN w:val="0"/>
                          <w:spacing w:after="0" w:line="184" w:lineRule="exact"/>
                          <w:rPr>
                            <w:rFonts w:ascii="Arial" w:hAnsi="Arial" w:cs="Arial"/>
                            <w:b/>
                            <w:sz w:val="16"/>
                          </w:rPr>
                        </w:pPr>
                        <w:r w:rsidRPr="00062301">
                          <w:rPr>
                            <w:rFonts w:ascii="Arial" w:hAnsi="Arial" w:cs="Arial"/>
                            <w:b/>
                            <w:sz w:val="16"/>
                          </w:rPr>
                          <w:t>Risk</w:t>
                        </w:r>
                        <w:r w:rsidRPr="00062301">
                          <w:rPr>
                            <w:rFonts w:ascii="Arial" w:hAnsi="Arial" w:cs="Arial"/>
                            <w:b/>
                            <w:spacing w:val="-2"/>
                            <w:sz w:val="16"/>
                          </w:rPr>
                          <w:t xml:space="preserve"> </w:t>
                        </w:r>
                        <w:r w:rsidRPr="00062301">
                          <w:rPr>
                            <w:rFonts w:ascii="Arial" w:hAnsi="Arial" w:cs="Arial"/>
                            <w:b/>
                            <w:sz w:val="16"/>
                          </w:rPr>
                          <w:t>Management</w:t>
                        </w:r>
                      </w:p>
                      <w:p w14:paraId="38E4EDF2" w14:textId="77777777" w:rsidR="00FD55D7" w:rsidRPr="00062301" w:rsidRDefault="00FD55D7" w:rsidP="002A3889">
                        <w:pPr>
                          <w:widowControl w:val="0"/>
                          <w:numPr>
                            <w:ilvl w:val="0"/>
                            <w:numId w:val="461"/>
                          </w:numPr>
                          <w:tabs>
                            <w:tab w:val="left" w:pos="178"/>
                          </w:tabs>
                          <w:autoSpaceDE w:val="0"/>
                          <w:autoSpaceDN w:val="0"/>
                          <w:spacing w:before="1" w:after="0" w:line="240" w:lineRule="auto"/>
                          <w:rPr>
                            <w:rFonts w:ascii="Arial" w:hAnsi="Arial" w:cs="Arial"/>
                            <w:b/>
                            <w:sz w:val="16"/>
                          </w:rPr>
                        </w:pPr>
                        <w:r w:rsidRPr="00062301">
                          <w:rPr>
                            <w:rFonts w:ascii="Arial" w:hAnsi="Arial" w:cs="Arial"/>
                            <w:b/>
                            <w:sz w:val="16"/>
                          </w:rPr>
                          <w:t>Internal</w:t>
                        </w:r>
                        <w:r w:rsidRPr="00062301">
                          <w:rPr>
                            <w:rFonts w:ascii="Arial" w:hAnsi="Arial" w:cs="Arial"/>
                            <w:b/>
                            <w:spacing w:val="-2"/>
                            <w:sz w:val="16"/>
                          </w:rPr>
                          <w:t xml:space="preserve"> </w:t>
                        </w:r>
                        <w:r w:rsidRPr="00062301">
                          <w:rPr>
                            <w:rFonts w:ascii="Arial" w:hAnsi="Arial" w:cs="Arial"/>
                            <w:b/>
                            <w:sz w:val="16"/>
                          </w:rPr>
                          <w:t>Control</w:t>
                        </w:r>
                      </w:p>
                      <w:p w14:paraId="41893F5F" w14:textId="77777777" w:rsidR="00FD55D7" w:rsidRPr="00062301" w:rsidRDefault="00FD55D7" w:rsidP="002A3889">
                        <w:pPr>
                          <w:widowControl w:val="0"/>
                          <w:numPr>
                            <w:ilvl w:val="0"/>
                            <w:numId w:val="461"/>
                          </w:numPr>
                          <w:tabs>
                            <w:tab w:val="left" w:pos="178"/>
                          </w:tabs>
                          <w:autoSpaceDE w:val="0"/>
                          <w:autoSpaceDN w:val="0"/>
                          <w:spacing w:before="3" w:after="0" w:line="240" w:lineRule="auto"/>
                          <w:rPr>
                            <w:rFonts w:ascii="Arial" w:hAnsi="Arial" w:cs="Arial"/>
                            <w:b/>
                            <w:sz w:val="16"/>
                          </w:rPr>
                        </w:pPr>
                        <w:r w:rsidRPr="00062301">
                          <w:rPr>
                            <w:rFonts w:ascii="Arial" w:hAnsi="Arial" w:cs="Arial"/>
                            <w:b/>
                            <w:sz w:val="16"/>
                          </w:rPr>
                          <w:t>Legislative</w:t>
                        </w:r>
                        <w:r w:rsidRPr="00062301">
                          <w:rPr>
                            <w:rFonts w:ascii="Arial" w:hAnsi="Arial" w:cs="Arial"/>
                            <w:b/>
                            <w:spacing w:val="-3"/>
                            <w:sz w:val="16"/>
                          </w:rPr>
                          <w:t xml:space="preserve"> </w:t>
                        </w:r>
                        <w:r w:rsidRPr="00062301">
                          <w:rPr>
                            <w:rFonts w:ascii="Arial" w:hAnsi="Arial" w:cs="Arial"/>
                            <w:b/>
                            <w:sz w:val="16"/>
                          </w:rPr>
                          <w:t>Compliance</w:t>
                        </w:r>
                      </w:p>
                    </w:txbxContent>
                  </v:textbox>
                </v:shape>
                <v:shape id="Text Box 115" o:spid="_x0000_s1067" type="#_x0000_t202" style="position:absolute;left:9781;top:2073;width:117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409D98D6" w14:textId="77777777" w:rsidR="00FD55D7" w:rsidRPr="00062301" w:rsidRDefault="00FD55D7" w:rsidP="002D6804">
                        <w:pPr>
                          <w:ind w:right="-1"/>
                          <w:rPr>
                            <w:rFonts w:ascii="Arial" w:hAnsi="Arial" w:cs="Arial"/>
                            <w:b/>
                            <w:sz w:val="16"/>
                          </w:rPr>
                        </w:pPr>
                        <w:r w:rsidRPr="00062301">
                          <w:rPr>
                            <w:rFonts w:ascii="Arial" w:hAnsi="Arial" w:cs="Arial"/>
                            <w:b/>
                            <w:sz w:val="16"/>
                          </w:rPr>
                          <w:t>Reports issued to Minister</w:t>
                        </w:r>
                      </w:p>
                    </w:txbxContent>
                  </v:textbox>
                </v:shape>
                <v:shape id="Text Box 114" o:spid="_x0000_s1068" type="#_x0000_t202" style="position:absolute;left:7582;top:2308;width:1752;height: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214268B3" w14:textId="77777777" w:rsidR="00FD55D7" w:rsidRPr="00062301" w:rsidRDefault="00FD55D7" w:rsidP="00062301">
                        <w:pPr>
                          <w:spacing w:line="244" w:lineRule="auto"/>
                          <w:ind w:left="284" w:right="-2" w:firstLine="39"/>
                          <w:rPr>
                            <w:rFonts w:ascii="Arial" w:hAnsi="Arial" w:cs="Arial"/>
                            <w:b/>
                            <w:sz w:val="16"/>
                          </w:rPr>
                        </w:pPr>
                        <w:r w:rsidRPr="00062301">
                          <w:rPr>
                            <w:rFonts w:ascii="Arial" w:hAnsi="Arial" w:cs="Arial"/>
                            <w:b/>
                            <w:sz w:val="16"/>
                          </w:rPr>
                          <w:t>External Audit (Office of Auditor General)</w:t>
                        </w:r>
                      </w:p>
                    </w:txbxContent>
                  </v:textbox>
                </v:shape>
                <v:shape id="Text Box 113" o:spid="_x0000_s1069" type="#_x0000_t202" style="position:absolute;left:1185;top:3140;width:121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753429A" w14:textId="77777777" w:rsidR="00FD55D7" w:rsidRDefault="00FD55D7" w:rsidP="002D6804">
                        <w:pPr>
                          <w:spacing w:line="224" w:lineRule="exact"/>
                          <w:rPr>
                            <w:b/>
                            <w:sz w:val="20"/>
                          </w:rPr>
                        </w:pPr>
                        <w:r>
                          <w:rPr>
                            <w:b/>
                            <w:color w:val="FF0000"/>
                            <w:sz w:val="20"/>
                          </w:rPr>
                          <w:t>Second Line</w:t>
                        </w:r>
                      </w:p>
                    </w:txbxContent>
                  </v:textbox>
                </v:shape>
                <v:shape id="Text Box 112" o:spid="_x0000_s1070" type="#_x0000_t202" style="position:absolute;left:4851;top:3189;width:1441;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4BF5E6F5" w14:textId="77777777" w:rsidR="00FD55D7" w:rsidRPr="00062301" w:rsidRDefault="00FD55D7" w:rsidP="002D6804">
                        <w:pPr>
                          <w:spacing w:line="242" w:lineRule="auto"/>
                          <w:ind w:right="-2"/>
                          <w:rPr>
                            <w:rFonts w:ascii="Arial" w:hAnsi="Arial" w:cs="Arial"/>
                            <w:b/>
                            <w:sz w:val="16"/>
                          </w:rPr>
                        </w:pPr>
                        <w:r>
                          <w:rPr>
                            <w:b/>
                            <w:color w:val="FF0000"/>
                            <w:sz w:val="16"/>
                          </w:rPr>
                          <w:t>“</w:t>
                        </w:r>
                        <w:r w:rsidRPr="00062301">
                          <w:rPr>
                            <w:rFonts w:ascii="Arial" w:hAnsi="Arial" w:cs="Arial"/>
                            <w:b/>
                            <w:color w:val="FF0000"/>
                            <w:sz w:val="16"/>
                          </w:rPr>
                          <w:t xml:space="preserve">Risk Committee”- </w:t>
                        </w:r>
                        <w:r w:rsidRPr="00062301">
                          <w:rPr>
                            <w:rFonts w:ascii="Arial" w:hAnsi="Arial" w:cs="Arial"/>
                            <w:b/>
                            <w:color w:val="FF0000"/>
                            <w:sz w:val="16"/>
                            <w:shd w:val="clear" w:color="auto" w:fill="F1F1F1"/>
                          </w:rPr>
                          <w:t>Embedded w</w:t>
                        </w:r>
                        <w:r w:rsidRPr="00062301">
                          <w:rPr>
                            <w:rFonts w:ascii="Arial" w:hAnsi="Arial" w:cs="Arial"/>
                            <w:b/>
                            <w:color w:val="FF0000"/>
                            <w:sz w:val="16"/>
                          </w:rPr>
                          <w:t>ithin Senior Staff Group</w:t>
                        </w:r>
                      </w:p>
                    </w:txbxContent>
                  </v:textbox>
                </v:shape>
                <v:shape id="Text Box 111" o:spid="_x0000_s1071" type="#_x0000_t202" style="position:absolute;left:9320;top:4079;width:986;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23597485" w14:textId="77777777" w:rsidR="00FD55D7" w:rsidRPr="00062301" w:rsidRDefault="00FD55D7" w:rsidP="002D6804">
                        <w:pPr>
                          <w:spacing w:line="224" w:lineRule="exact"/>
                          <w:rPr>
                            <w:rFonts w:ascii="Arial" w:hAnsi="Arial" w:cs="Arial"/>
                            <w:b/>
                            <w:sz w:val="20"/>
                          </w:rPr>
                        </w:pPr>
                        <w:r w:rsidRPr="00062301">
                          <w:rPr>
                            <w:rFonts w:ascii="Arial" w:hAnsi="Arial" w:cs="Arial"/>
                            <w:b/>
                            <w:color w:val="FF0000"/>
                            <w:sz w:val="20"/>
                          </w:rPr>
                          <w:t>Third Line</w:t>
                        </w:r>
                      </w:p>
                    </w:txbxContent>
                  </v:textbox>
                </v:shape>
                <v:shape id="Text Box 110" o:spid="_x0000_s1072" type="#_x0000_t202" style="position:absolute;left:1244;top:4385;width:1574;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26220A8A"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Executive Assistant Corporate Services</w:t>
                        </w:r>
                      </w:p>
                    </w:txbxContent>
                  </v:textbox>
                </v:shape>
                <v:shape id="Text Box 109" o:spid="_x0000_s1073" type="#_x0000_t202" style="position:absolute;left:4899;top:4460;width:1724;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772D16A5" w14:textId="77777777" w:rsidR="00FD55D7" w:rsidRPr="00062301" w:rsidRDefault="00FD55D7" w:rsidP="00062301">
                        <w:pPr>
                          <w:spacing w:after="0"/>
                          <w:ind w:right="18"/>
                          <w:jc w:val="center"/>
                          <w:rPr>
                            <w:rFonts w:ascii="Arial" w:hAnsi="Arial" w:cs="Arial"/>
                            <w:b/>
                            <w:sz w:val="16"/>
                          </w:rPr>
                        </w:pPr>
                        <w:r w:rsidRPr="00062301">
                          <w:rPr>
                            <w:rFonts w:ascii="Arial" w:hAnsi="Arial" w:cs="Arial"/>
                            <w:b/>
                            <w:sz w:val="16"/>
                          </w:rPr>
                          <w:t>CEO and Senior Staff Group</w:t>
                        </w:r>
                      </w:p>
                      <w:p w14:paraId="17CAB381" w14:textId="77777777" w:rsidR="00FD55D7" w:rsidRPr="00062301" w:rsidRDefault="00FD55D7" w:rsidP="002D6804">
                        <w:pPr>
                          <w:ind w:right="21"/>
                          <w:jc w:val="center"/>
                          <w:rPr>
                            <w:rFonts w:ascii="Arial" w:hAnsi="Arial" w:cs="Arial"/>
                            <w:b/>
                            <w:sz w:val="16"/>
                          </w:rPr>
                        </w:pPr>
                        <w:r w:rsidRPr="00062301">
                          <w:rPr>
                            <w:rFonts w:ascii="Arial" w:hAnsi="Arial" w:cs="Arial"/>
                            <w:b/>
                            <w:sz w:val="16"/>
                          </w:rPr>
                          <w:t>(Risk Agenda)</w:t>
                        </w:r>
                      </w:p>
                    </w:txbxContent>
                  </v:textbox>
                </v:shape>
                <v:shape id="Text Box 108" o:spid="_x0000_s1074" type="#_x0000_t202" style="position:absolute;left:7701;top:5853;width:1512;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18F24601" w14:textId="77777777" w:rsidR="00FD55D7" w:rsidRPr="00062301" w:rsidRDefault="00FD55D7" w:rsidP="002D6804">
                        <w:pPr>
                          <w:spacing w:line="247" w:lineRule="auto"/>
                          <w:ind w:right="-2" w:firstLine="231"/>
                          <w:rPr>
                            <w:rFonts w:ascii="Arial" w:hAnsi="Arial" w:cs="Arial"/>
                            <w:b/>
                            <w:sz w:val="16"/>
                          </w:rPr>
                        </w:pPr>
                        <w:r w:rsidRPr="00062301">
                          <w:rPr>
                            <w:rFonts w:ascii="Arial" w:hAnsi="Arial" w:cs="Arial"/>
                            <w:b/>
                            <w:sz w:val="16"/>
                          </w:rPr>
                          <w:t>Internal Audit (appointed by CEO)</w:t>
                        </w:r>
                      </w:p>
                    </w:txbxContent>
                  </v:textbox>
                </v:shape>
                <v:shape id="Text Box 107" o:spid="_x0000_s1075" type="#_x0000_t202" style="position:absolute;left:1551;top:7557;width:1461;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059B8D48" w14:textId="77777777" w:rsidR="00FD55D7" w:rsidRPr="00062301" w:rsidRDefault="00FD55D7" w:rsidP="00062301">
                        <w:pPr>
                          <w:spacing w:line="247" w:lineRule="auto"/>
                          <w:ind w:left="284"/>
                          <w:rPr>
                            <w:rFonts w:ascii="Arial" w:hAnsi="Arial" w:cs="Arial"/>
                            <w:b/>
                            <w:sz w:val="16"/>
                          </w:rPr>
                        </w:pPr>
                        <w:r w:rsidRPr="00062301">
                          <w:rPr>
                            <w:rFonts w:ascii="Arial" w:hAnsi="Arial" w:cs="Arial"/>
                            <w:b/>
                            <w:sz w:val="16"/>
                          </w:rPr>
                          <w:t>Technical Services</w:t>
                        </w:r>
                      </w:p>
                    </w:txbxContent>
                  </v:textbox>
                </v:shape>
                <v:shape id="Text Box 106" o:spid="_x0000_s1076" type="#_x0000_t202" style="position:absolute;left:3852;top:7677;width:1486;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5F11C68F"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Corporate Services</w:t>
                        </w:r>
                      </w:p>
                    </w:txbxContent>
                  </v:textbox>
                </v:shape>
                <v:shape id="Text Box 105" o:spid="_x0000_s1077" type="#_x0000_t202" style="position:absolute;left:6348;top:7677;width:1345;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0D1183A0" w14:textId="77777777" w:rsidR="00FD55D7" w:rsidRPr="00062301" w:rsidRDefault="00FD55D7" w:rsidP="002D6804">
                        <w:pPr>
                          <w:spacing w:line="178" w:lineRule="exact"/>
                          <w:rPr>
                            <w:rFonts w:ascii="Arial" w:hAnsi="Arial" w:cs="Arial"/>
                            <w:b/>
                            <w:sz w:val="16"/>
                          </w:rPr>
                        </w:pPr>
                        <w:r w:rsidRPr="00062301">
                          <w:rPr>
                            <w:rFonts w:ascii="Arial" w:hAnsi="Arial" w:cs="Arial"/>
                            <w:b/>
                            <w:sz w:val="16"/>
                          </w:rPr>
                          <w:t>Office of the CEO</w:t>
                        </w:r>
                      </w:p>
                    </w:txbxContent>
                  </v:textbox>
                </v:shape>
                <v:shape id="Text Box 104" o:spid="_x0000_s1078" type="#_x0000_t202" style="position:absolute;left:8381;top:7388;width:1875;height: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56B29895" w14:textId="77777777" w:rsidR="00FD55D7" w:rsidRPr="00062301" w:rsidRDefault="00FD55D7" w:rsidP="00062301">
                        <w:pPr>
                          <w:spacing w:before="240" w:after="0" w:line="244" w:lineRule="auto"/>
                          <w:ind w:left="368" w:right="-1" w:hanging="369"/>
                          <w:rPr>
                            <w:rFonts w:ascii="Arial" w:hAnsi="Arial" w:cs="Arial"/>
                            <w:b/>
                            <w:sz w:val="16"/>
                          </w:rPr>
                        </w:pPr>
                        <w:r w:rsidRPr="00062301">
                          <w:rPr>
                            <w:rFonts w:ascii="Arial" w:hAnsi="Arial" w:cs="Arial"/>
                            <w:b/>
                            <w:sz w:val="16"/>
                          </w:rPr>
                          <w:t>Regulatory Services</w:t>
                        </w:r>
                      </w:p>
                    </w:txbxContent>
                  </v:textbox>
                </v:shape>
                <v:shape id="Text Box 103" o:spid="_x0000_s1079" type="#_x0000_t202" style="position:absolute;left:2946;top:8576;width:1024;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04DC23FA" w14:textId="77777777" w:rsidR="00FD55D7" w:rsidRDefault="00FD55D7" w:rsidP="002D6804">
                        <w:pPr>
                          <w:spacing w:line="247" w:lineRule="auto"/>
                          <w:ind w:left="171" w:hanging="172"/>
                          <w:rPr>
                            <w:b/>
                            <w:sz w:val="16"/>
                          </w:rPr>
                        </w:pPr>
                      </w:p>
                    </w:txbxContent>
                  </v:textbox>
                </v:shape>
                <v:shape id="Text Box 102" o:spid="_x0000_s1080" type="#_x0000_t202" style="position:absolute;left:5289;top:8756;width:922;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606A473B" w14:textId="77777777" w:rsidR="00FD55D7" w:rsidRDefault="00FD55D7" w:rsidP="002D6804">
                        <w:pPr>
                          <w:spacing w:line="224" w:lineRule="exact"/>
                          <w:rPr>
                            <w:b/>
                            <w:sz w:val="20"/>
                          </w:rPr>
                        </w:pPr>
                        <w:r>
                          <w:rPr>
                            <w:b/>
                            <w:color w:val="FF0000"/>
                            <w:sz w:val="20"/>
                          </w:rPr>
                          <w:t>First Line</w:t>
                        </w:r>
                      </w:p>
                    </w:txbxContent>
                  </v:textbox>
                </v:shape>
                <v:shape id="Text Box 101" o:spid="_x0000_s1081" type="#_x0000_t202" style="position:absolute;left:3135;top:4388;width:1424;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" stroked="f">
                  <v:textbox inset="0,0,0,0">
                    <w:txbxContent>
                      <w:p w14:paraId="4F5A413C" w14:textId="77777777" w:rsidR="00FD55D7" w:rsidRPr="00062301" w:rsidRDefault="00FD55D7" w:rsidP="002D6804">
                        <w:pPr>
                          <w:spacing w:before="76" w:line="242" w:lineRule="auto"/>
                          <w:ind w:left="150" w:right="365"/>
                          <w:rPr>
                            <w:rFonts w:ascii="Arial" w:hAnsi="Arial" w:cs="Arial"/>
                            <w:b/>
                            <w:sz w:val="16"/>
                          </w:rPr>
                        </w:pPr>
                        <w:r w:rsidRPr="00062301">
                          <w:rPr>
                            <w:rFonts w:ascii="Arial" w:hAnsi="Arial" w:cs="Arial"/>
                            <w:b/>
                            <w:sz w:val="16"/>
                          </w:rPr>
                          <w:t>Provides Aggregated Risk Reporting</w:t>
                        </w:r>
                      </w:p>
                    </w:txbxContent>
                  </v:textbox>
                </v:shape>
                <v:shape id="Text Box 100" o:spid="_x0000_s1082" type="#_x0000_t202" style="position:absolute;left:7314;top:4373;width:987;height: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" stroked="f">
                  <v:textbox inset="0,0,0,0">
                    <w:txbxContent>
                      <w:p w14:paraId="21BE0186" w14:textId="77777777" w:rsidR="00FD55D7" w:rsidRPr="00062301" w:rsidRDefault="00FD55D7" w:rsidP="002D6804">
                        <w:pPr>
                          <w:spacing w:before="75" w:line="242" w:lineRule="auto"/>
                          <w:ind w:left="150" w:right="199"/>
                          <w:rPr>
                            <w:rFonts w:ascii="Arial" w:hAnsi="Arial" w:cs="Arial"/>
                            <w:b/>
                            <w:sz w:val="16"/>
                          </w:rPr>
                        </w:pPr>
                        <w:r w:rsidRPr="00062301">
                          <w:rPr>
                            <w:rFonts w:ascii="Arial" w:hAnsi="Arial" w:cs="Arial"/>
                            <w:b/>
                            <w:w w:val="95"/>
                            <w:sz w:val="16"/>
                          </w:rPr>
                          <w:t xml:space="preserve">Reports </w:t>
                        </w:r>
                        <w:r w:rsidRPr="00062301">
                          <w:rPr>
                            <w:rFonts w:ascii="Arial" w:hAnsi="Arial" w:cs="Arial"/>
                            <w:b/>
                            <w:sz w:val="16"/>
                          </w:rPr>
                          <w:t>issued to CEO</w:t>
                        </w:r>
                      </w:p>
                    </w:txbxContent>
                  </v:textbox>
                </v:shape>
                <w10:wrap anchorx="margin"/>
              </v:group>
            </w:pict>
          </mc:Fallback>
        </mc:AlternateContent>
      </w:r>
      <w:r w:rsidRPr="004F2F89">
        <w:rPr>
          <w:sz w:val="20"/>
        </w:rPr>
        <w:t>The following diagram depicts the current operating structure for risk management within the Town</w:t>
      </w:r>
      <w:r>
        <w:t>.</w:t>
      </w:r>
    </w:p>
    <w:p w14:paraId="058C115B" w14:textId="77777777" w:rsidR="002D6804" w:rsidRDefault="002D6804" w:rsidP="002D6804">
      <w:pPr>
        <w:jc w:val="both"/>
        <w:sectPr w:rsidR="002D6804">
          <w:pgSz w:w="11910" w:h="16840"/>
          <w:pgMar w:top="1600" w:right="840" w:bottom="1140" w:left="1080" w:header="0" w:footer="955" w:gutter="0"/>
          <w:cols w:space="720"/>
        </w:sectPr>
      </w:pPr>
    </w:p>
    <w:p w14:paraId="6982809C" w14:textId="77777777" w:rsidR="002D6804" w:rsidRDefault="002D6804" w:rsidP="002D6804">
      <w:pPr>
        <w:pStyle w:val="BodyText"/>
        <w:spacing w:before="3"/>
        <w:rPr>
          <w:sz w:val="25"/>
        </w:rPr>
      </w:pPr>
    </w:p>
    <w:p w14:paraId="4E8CD57C" w14:textId="77777777" w:rsidR="002D6804" w:rsidRPr="004F2F89" w:rsidRDefault="002D6804" w:rsidP="002D6804">
      <w:pPr>
        <w:pStyle w:val="Heading3"/>
        <w:spacing w:before="93"/>
        <w:rPr>
          <w:rFonts w:ascii="Arial" w:hAnsi="Arial" w:cs="Arial"/>
          <w:b/>
          <w:bCs/>
          <w:sz w:val="22"/>
          <w:szCs w:val="22"/>
        </w:rPr>
      </w:pPr>
      <w:r w:rsidRPr="004F2F89">
        <w:rPr>
          <w:rFonts w:ascii="Arial" w:hAnsi="Arial" w:cs="Arial"/>
          <w:b/>
          <w:bCs/>
          <w:color w:val="00ACB8"/>
          <w:sz w:val="22"/>
          <w:szCs w:val="22"/>
        </w:rPr>
        <w:t>Roles &amp; Responsibilities</w:t>
      </w:r>
    </w:p>
    <w:p w14:paraId="0BE6D6B5" w14:textId="77777777" w:rsidR="002D6804" w:rsidRPr="004F2F89" w:rsidRDefault="002D6804" w:rsidP="002D6804">
      <w:pPr>
        <w:pStyle w:val="Heading4"/>
        <w:spacing w:before="180"/>
        <w:rPr>
          <w:rFonts w:ascii="Arial" w:hAnsi="Arial" w:cs="Arial"/>
          <w:i w:val="0"/>
          <w:iCs w:val="0"/>
          <w:sz w:val="20"/>
          <w:szCs w:val="20"/>
        </w:rPr>
      </w:pPr>
      <w:r w:rsidRPr="004F2F89">
        <w:rPr>
          <w:rFonts w:ascii="Arial" w:hAnsi="Arial" w:cs="Arial"/>
          <w:i w:val="0"/>
          <w:iCs w:val="0"/>
          <w:color w:val="006F65"/>
          <w:sz w:val="20"/>
          <w:szCs w:val="20"/>
          <w:u w:val="thick" w:color="006F65"/>
        </w:rPr>
        <w:t>CEO / Council</w:t>
      </w:r>
    </w:p>
    <w:p w14:paraId="31C79D5F"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19" w:after="0" w:line="240" w:lineRule="auto"/>
        <w:ind w:left="1052" w:right="289" w:hanging="358"/>
        <w:contextualSpacing w:val="0"/>
        <w:rPr>
          <w:rFonts w:ascii="Arial" w:hAnsi="Arial" w:cs="Arial"/>
          <w:sz w:val="20"/>
        </w:rPr>
      </w:pPr>
      <w:r w:rsidRPr="004F2F89">
        <w:rPr>
          <w:rFonts w:ascii="Arial" w:hAnsi="Arial" w:cs="Arial"/>
          <w:sz w:val="20"/>
        </w:rPr>
        <w:t>Review and approve the Town’s Risk Management Policy and Risk Assessment &amp; Acceptance Criteria.</w:t>
      </w:r>
    </w:p>
    <w:p w14:paraId="51ED0127"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17" w:after="0" w:line="240" w:lineRule="auto"/>
        <w:ind w:left="1052" w:hanging="359"/>
        <w:contextualSpacing w:val="0"/>
        <w:rPr>
          <w:rFonts w:ascii="Arial" w:hAnsi="Arial" w:cs="Arial"/>
          <w:sz w:val="20"/>
        </w:rPr>
      </w:pPr>
      <w:r w:rsidRPr="004F2F89">
        <w:rPr>
          <w:rFonts w:ascii="Arial" w:hAnsi="Arial" w:cs="Arial"/>
          <w:sz w:val="20"/>
        </w:rPr>
        <w:t>Appoint / Engage External Auditors to report on financial statements</w:t>
      </w:r>
      <w:r w:rsidRPr="004F2F89">
        <w:rPr>
          <w:rFonts w:ascii="Arial" w:hAnsi="Arial" w:cs="Arial"/>
          <w:spacing w:val="-18"/>
          <w:sz w:val="20"/>
        </w:rPr>
        <w:t xml:space="preserve"> </w:t>
      </w:r>
      <w:r w:rsidRPr="004F2F89">
        <w:rPr>
          <w:rFonts w:ascii="Arial" w:hAnsi="Arial" w:cs="Arial"/>
          <w:sz w:val="20"/>
        </w:rPr>
        <w:t>annually.</w:t>
      </w:r>
    </w:p>
    <w:p w14:paraId="0C52257D"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19" w:after="0" w:line="240" w:lineRule="auto"/>
        <w:ind w:left="1052" w:hanging="359"/>
        <w:contextualSpacing w:val="0"/>
        <w:rPr>
          <w:rFonts w:ascii="Arial" w:hAnsi="Arial" w:cs="Arial"/>
          <w:sz w:val="20"/>
        </w:rPr>
      </w:pPr>
      <w:r w:rsidRPr="004F2F89">
        <w:rPr>
          <w:rFonts w:ascii="Arial" w:hAnsi="Arial" w:cs="Arial"/>
          <w:sz w:val="20"/>
        </w:rPr>
        <w:t>Establish and maintain an Audit Committee in terms of the Local Government</w:t>
      </w:r>
      <w:r w:rsidRPr="004F2F89">
        <w:rPr>
          <w:rFonts w:ascii="Arial" w:hAnsi="Arial" w:cs="Arial"/>
          <w:spacing w:val="-19"/>
          <w:sz w:val="20"/>
        </w:rPr>
        <w:t xml:space="preserve"> </w:t>
      </w:r>
      <w:r w:rsidRPr="004F2F89">
        <w:rPr>
          <w:rFonts w:ascii="Arial" w:hAnsi="Arial" w:cs="Arial"/>
          <w:sz w:val="20"/>
        </w:rPr>
        <w:t>Act.</w:t>
      </w:r>
    </w:p>
    <w:p w14:paraId="4674EA9A" w14:textId="77777777" w:rsidR="002D6804" w:rsidRDefault="002D6804" w:rsidP="002D6804">
      <w:pPr>
        <w:pStyle w:val="BodyText"/>
        <w:spacing w:before="10"/>
      </w:pPr>
    </w:p>
    <w:p w14:paraId="0E58E6A5" w14:textId="77777777" w:rsidR="002D6804" w:rsidRPr="004F2F89" w:rsidRDefault="002D6804" w:rsidP="002D6804">
      <w:pPr>
        <w:pStyle w:val="Heading4"/>
        <w:rPr>
          <w:rFonts w:ascii="Arial" w:hAnsi="Arial" w:cs="Arial"/>
          <w:i w:val="0"/>
          <w:iCs w:val="0"/>
          <w:sz w:val="20"/>
          <w:szCs w:val="20"/>
        </w:rPr>
      </w:pPr>
      <w:r w:rsidRPr="004F2F89">
        <w:rPr>
          <w:rFonts w:ascii="Arial" w:hAnsi="Arial" w:cs="Arial"/>
          <w:i w:val="0"/>
          <w:iCs w:val="0"/>
          <w:color w:val="006F65"/>
          <w:sz w:val="20"/>
          <w:szCs w:val="20"/>
          <w:u w:val="thick" w:color="006F65"/>
        </w:rPr>
        <w:t>Audit Committee</w:t>
      </w:r>
    </w:p>
    <w:p w14:paraId="03951379"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19" w:after="0" w:line="240" w:lineRule="auto"/>
        <w:ind w:left="1052" w:hanging="359"/>
        <w:contextualSpacing w:val="0"/>
        <w:rPr>
          <w:rFonts w:ascii="Arial" w:hAnsi="Arial" w:cs="Arial"/>
          <w:sz w:val="20"/>
          <w:szCs w:val="20"/>
        </w:rPr>
      </w:pPr>
      <w:r w:rsidRPr="004F2F89">
        <w:rPr>
          <w:rFonts w:ascii="Arial" w:hAnsi="Arial" w:cs="Arial"/>
          <w:sz w:val="20"/>
          <w:szCs w:val="20"/>
        </w:rPr>
        <w:t>Support Council in providing effective corporate</w:t>
      </w:r>
      <w:r w:rsidRPr="004F2F89">
        <w:rPr>
          <w:rFonts w:ascii="Arial" w:hAnsi="Arial" w:cs="Arial"/>
          <w:spacing w:val="-10"/>
          <w:sz w:val="20"/>
          <w:szCs w:val="20"/>
        </w:rPr>
        <w:t xml:space="preserve"> </w:t>
      </w:r>
      <w:r w:rsidRPr="004F2F89">
        <w:rPr>
          <w:rFonts w:ascii="Arial" w:hAnsi="Arial" w:cs="Arial"/>
          <w:sz w:val="20"/>
          <w:szCs w:val="20"/>
        </w:rPr>
        <w:t>governance.</w:t>
      </w:r>
    </w:p>
    <w:p w14:paraId="0918C008"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17" w:after="0" w:line="240" w:lineRule="auto"/>
        <w:ind w:left="1052" w:hanging="359"/>
        <w:contextualSpacing w:val="0"/>
        <w:rPr>
          <w:rFonts w:ascii="Arial" w:hAnsi="Arial" w:cs="Arial"/>
          <w:sz w:val="20"/>
          <w:szCs w:val="20"/>
        </w:rPr>
      </w:pPr>
      <w:r w:rsidRPr="004F2F89">
        <w:rPr>
          <w:rFonts w:ascii="Arial" w:hAnsi="Arial" w:cs="Arial"/>
          <w:sz w:val="20"/>
          <w:szCs w:val="20"/>
        </w:rPr>
        <w:t>Oversight of all matters that relate to the conduct of External</w:t>
      </w:r>
      <w:r w:rsidRPr="004F2F89">
        <w:rPr>
          <w:rFonts w:ascii="Arial" w:hAnsi="Arial" w:cs="Arial"/>
          <w:spacing w:val="-16"/>
          <w:sz w:val="20"/>
          <w:szCs w:val="20"/>
        </w:rPr>
        <w:t xml:space="preserve"> </w:t>
      </w:r>
      <w:r w:rsidRPr="004F2F89">
        <w:rPr>
          <w:rFonts w:ascii="Arial" w:hAnsi="Arial" w:cs="Arial"/>
          <w:sz w:val="20"/>
          <w:szCs w:val="20"/>
        </w:rPr>
        <w:t>Audits.</w:t>
      </w:r>
    </w:p>
    <w:p w14:paraId="158BB9CB"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19" w:after="0" w:line="240" w:lineRule="auto"/>
        <w:ind w:left="1052" w:hanging="359"/>
        <w:contextualSpacing w:val="0"/>
        <w:rPr>
          <w:rFonts w:ascii="Arial" w:hAnsi="Arial" w:cs="Arial"/>
          <w:sz w:val="20"/>
          <w:szCs w:val="20"/>
        </w:rPr>
      </w:pPr>
      <w:r w:rsidRPr="004F2F89">
        <w:rPr>
          <w:rFonts w:ascii="Arial" w:hAnsi="Arial" w:cs="Arial"/>
          <w:sz w:val="20"/>
          <w:szCs w:val="20"/>
        </w:rPr>
        <w:t>Independent, objective and autonomous in</w:t>
      </w:r>
      <w:r w:rsidRPr="004F2F89">
        <w:rPr>
          <w:rFonts w:ascii="Arial" w:hAnsi="Arial" w:cs="Arial"/>
          <w:spacing w:val="-8"/>
          <w:sz w:val="20"/>
          <w:szCs w:val="20"/>
        </w:rPr>
        <w:t xml:space="preserve"> </w:t>
      </w:r>
      <w:r w:rsidRPr="004F2F89">
        <w:rPr>
          <w:rFonts w:ascii="Arial" w:hAnsi="Arial" w:cs="Arial"/>
          <w:sz w:val="20"/>
          <w:szCs w:val="20"/>
        </w:rPr>
        <w:t>deliberations.</w:t>
      </w:r>
    </w:p>
    <w:p w14:paraId="2C634DC8"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18" w:after="0" w:line="240" w:lineRule="auto"/>
        <w:ind w:left="1052" w:hanging="359"/>
        <w:contextualSpacing w:val="0"/>
        <w:rPr>
          <w:rFonts w:ascii="Arial" w:hAnsi="Arial" w:cs="Arial"/>
          <w:sz w:val="20"/>
          <w:szCs w:val="20"/>
        </w:rPr>
      </w:pPr>
      <w:r w:rsidRPr="004F2F89">
        <w:rPr>
          <w:rFonts w:ascii="Arial" w:hAnsi="Arial" w:cs="Arial"/>
          <w:sz w:val="20"/>
          <w:szCs w:val="20"/>
        </w:rPr>
        <w:t>Recommendations to Council on External Auditor</w:t>
      </w:r>
      <w:r w:rsidRPr="004F2F89">
        <w:rPr>
          <w:rFonts w:ascii="Arial" w:hAnsi="Arial" w:cs="Arial"/>
          <w:spacing w:val="-6"/>
          <w:sz w:val="20"/>
          <w:szCs w:val="20"/>
        </w:rPr>
        <w:t xml:space="preserve"> </w:t>
      </w:r>
      <w:r w:rsidRPr="004F2F89">
        <w:rPr>
          <w:rFonts w:ascii="Arial" w:hAnsi="Arial" w:cs="Arial"/>
          <w:sz w:val="20"/>
          <w:szCs w:val="20"/>
        </w:rPr>
        <w:t>appointments.</w:t>
      </w:r>
    </w:p>
    <w:p w14:paraId="78ABAB7F" w14:textId="77777777" w:rsidR="002D6804" w:rsidRPr="004F2F89" w:rsidRDefault="002D6804" w:rsidP="002D6804">
      <w:pPr>
        <w:pStyle w:val="BodyText"/>
        <w:spacing w:before="10"/>
        <w:rPr>
          <w:rFonts w:cs="Arial"/>
          <w:sz w:val="20"/>
        </w:rPr>
      </w:pPr>
    </w:p>
    <w:p w14:paraId="6CDF3007" w14:textId="77777777" w:rsidR="002D6804" w:rsidRPr="004F2F89" w:rsidRDefault="002D6804" w:rsidP="002D6804">
      <w:pPr>
        <w:pStyle w:val="Heading4"/>
        <w:rPr>
          <w:rFonts w:ascii="Arial" w:hAnsi="Arial" w:cs="Arial"/>
          <w:i w:val="0"/>
          <w:iCs w:val="0"/>
          <w:sz w:val="20"/>
          <w:szCs w:val="20"/>
        </w:rPr>
      </w:pPr>
      <w:r w:rsidRPr="004F2F89">
        <w:rPr>
          <w:rFonts w:ascii="Arial" w:hAnsi="Arial" w:cs="Arial"/>
          <w:i w:val="0"/>
          <w:iCs w:val="0"/>
          <w:color w:val="006F65"/>
          <w:sz w:val="20"/>
          <w:szCs w:val="20"/>
          <w:u w:val="thick" w:color="006F65"/>
        </w:rPr>
        <w:t>CEO / Senior Staff Group</w:t>
      </w:r>
    </w:p>
    <w:p w14:paraId="4942775A"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20" w:after="0" w:line="240" w:lineRule="auto"/>
        <w:contextualSpacing w:val="0"/>
        <w:rPr>
          <w:rFonts w:ascii="Arial" w:hAnsi="Arial" w:cs="Arial"/>
          <w:sz w:val="20"/>
          <w:szCs w:val="20"/>
        </w:rPr>
      </w:pPr>
      <w:r w:rsidRPr="004F2F89">
        <w:rPr>
          <w:rFonts w:ascii="Arial" w:hAnsi="Arial" w:cs="Arial"/>
          <w:sz w:val="20"/>
          <w:szCs w:val="20"/>
        </w:rPr>
        <w:t>Undertake internal Audits as required under Local Government (Audit)</w:t>
      </w:r>
      <w:r w:rsidRPr="004F2F89">
        <w:rPr>
          <w:rFonts w:ascii="Arial" w:hAnsi="Arial" w:cs="Arial"/>
          <w:spacing w:val="-14"/>
          <w:sz w:val="20"/>
          <w:szCs w:val="20"/>
        </w:rPr>
        <w:t xml:space="preserve"> </w:t>
      </w:r>
      <w:r w:rsidRPr="004F2F89">
        <w:rPr>
          <w:rFonts w:ascii="Arial" w:hAnsi="Arial" w:cs="Arial"/>
          <w:sz w:val="20"/>
          <w:szCs w:val="20"/>
        </w:rPr>
        <w:t>Regulations.</w:t>
      </w:r>
    </w:p>
    <w:p w14:paraId="15E98673"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18" w:after="0" w:line="240" w:lineRule="auto"/>
        <w:contextualSpacing w:val="0"/>
        <w:rPr>
          <w:rFonts w:ascii="Arial" w:hAnsi="Arial" w:cs="Arial"/>
          <w:sz w:val="20"/>
          <w:szCs w:val="20"/>
        </w:rPr>
      </w:pPr>
      <w:r w:rsidRPr="004F2F89">
        <w:rPr>
          <w:rFonts w:ascii="Arial" w:hAnsi="Arial" w:cs="Arial"/>
          <w:sz w:val="20"/>
          <w:szCs w:val="20"/>
        </w:rPr>
        <w:t>Liaise with Council in relation to risk acceptance</w:t>
      </w:r>
      <w:r w:rsidRPr="004F2F89">
        <w:rPr>
          <w:rFonts w:ascii="Arial" w:hAnsi="Arial" w:cs="Arial"/>
          <w:spacing w:val="-6"/>
          <w:sz w:val="20"/>
          <w:szCs w:val="20"/>
        </w:rPr>
        <w:t xml:space="preserve"> </w:t>
      </w:r>
      <w:r w:rsidRPr="004F2F89">
        <w:rPr>
          <w:rFonts w:ascii="Arial" w:hAnsi="Arial" w:cs="Arial"/>
          <w:sz w:val="20"/>
          <w:szCs w:val="20"/>
        </w:rPr>
        <w:t>requirements.</w:t>
      </w:r>
    </w:p>
    <w:p w14:paraId="3AD79995"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19" w:after="0" w:line="240" w:lineRule="auto"/>
        <w:ind w:left="1052" w:hanging="359"/>
        <w:contextualSpacing w:val="0"/>
        <w:rPr>
          <w:rFonts w:ascii="Arial" w:hAnsi="Arial" w:cs="Arial"/>
          <w:sz w:val="20"/>
          <w:szCs w:val="20"/>
        </w:rPr>
      </w:pPr>
      <w:r w:rsidRPr="004F2F89">
        <w:rPr>
          <w:rFonts w:ascii="Arial" w:hAnsi="Arial" w:cs="Arial"/>
          <w:sz w:val="20"/>
          <w:szCs w:val="20"/>
        </w:rPr>
        <w:t>Approve and review the appropriateness and effectiveness of the Risk Management</w:t>
      </w:r>
      <w:r w:rsidRPr="004F2F89">
        <w:rPr>
          <w:rFonts w:ascii="Arial" w:hAnsi="Arial" w:cs="Arial"/>
          <w:spacing w:val="-32"/>
          <w:sz w:val="20"/>
          <w:szCs w:val="20"/>
        </w:rPr>
        <w:t xml:space="preserve"> </w:t>
      </w:r>
      <w:r w:rsidRPr="004F2F89">
        <w:rPr>
          <w:rFonts w:ascii="Arial" w:hAnsi="Arial" w:cs="Arial"/>
          <w:sz w:val="20"/>
          <w:szCs w:val="20"/>
        </w:rPr>
        <w:t>Framework.</w:t>
      </w:r>
    </w:p>
    <w:p w14:paraId="7C2BBE9E"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17" w:after="0" w:line="240" w:lineRule="auto"/>
        <w:contextualSpacing w:val="0"/>
        <w:rPr>
          <w:rFonts w:ascii="Arial" w:hAnsi="Arial" w:cs="Arial"/>
          <w:sz w:val="20"/>
          <w:szCs w:val="20"/>
        </w:rPr>
      </w:pPr>
      <w:r w:rsidRPr="004F2F89">
        <w:rPr>
          <w:rFonts w:ascii="Arial" w:hAnsi="Arial" w:cs="Arial"/>
          <w:sz w:val="20"/>
          <w:szCs w:val="20"/>
        </w:rPr>
        <w:t>Drive consistent embedding of a risk management</w:t>
      </w:r>
      <w:r w:rsidRPr="004F2F89">
        <w:rPr>
          <w:rFonts w:ascii="Arial" w:hAnsi="Arial" w:cs="Arial"/>
          <w:spacing w:val="-2"/>
          <w:sz w:val="20"/>
          <w:szCs w:val="20"/>
        </w:rPr>
        <w:t xml:space="preserve"> </w:t>
      </w:r>
      <w:r w:rsidRPr="004F2F89">
        <w:rPr>
          <w:rFonts w:ascii="Arial" w:hAnsi="Arial" w:cs="Arial"/>
          <w:sz w:val="20"/>
          <w:szCs w:val="20"/>
        </w:rPr>
        <w:t>culture.</w:t>
      </w:r>
    </w:p>
    <w:p w14:paraId="353CBD44"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18" w:after="0" w:line="240" w:lineRule="auto"/>
        <w:contextualSpacing w:val="0"/>
        <w:rPr>
          <w:rFonts w:ascii="Arial" w:hAnsi="Arial" w:cs="Arial"/>
          <w:sz w:val="20"/>
          <w:szCs w:val="20"/>
        </w:rPr>
      </w:pPr>
      <w:r w:rsidRPr="004F2F89">
        <w:rPr>
          <w:rFonts w:ascii="Arial" w:hAnsi="Arial" w:cs="Arial"/>
          <w:sz w:val="20"/>
          <w:szCs w:val="20"/>
        </w:rPr>
        <w:t>Analyse and discuss emerging risks, issues and</w:t>
      </w:r>
      <w:r w:rsidRPr="004F2F89">
        <w:rPr>
          <w:rFonts w:ascii="Arial" w:hAnsi="Arial" w:cs="Arial"/>
          <w:spacing w:val="-3"/>
          <w:sz w:val="20"/>
          <w:szCs w:val="20"/>
        </w:rPr>
        <w:t xml:space="preserve"> </w:t>
      </w:r>
      <w:r w:rsidRPr="004F2F89">
        <w:rPr>
          <w:rFonts w:ascii="Arial" w:hAnsi="Arial" w:cs="Arial"/>
          <w:sz w:val="20"/>
          <w:szCs w:val="20"/>
        </w:rPr>
        <w:t>trends.</w:t>
      </w:r>
    </w:p>
    <w:p w14:paraId="7635BBEE"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19" w:after="0" w:line="240" w:lineRule="auto"/>
        <w:contextualSpacing w:val="0"/>
        <w:rPr>
          <w:rFonts w:ascii="Arial" w:hAnsi="Arial" w:cs="Arial"/>
          <w:sz w:val="20"/>
          <w:szCs w:val="20"/>
        </w:rPr>
      </w:pPr>
      <w:r w:rsidRPr="004F2F89">
        <w:rPr>
          <w:rFonts w:ascii="Arial" w:hAnsi="Arial" w:cs="Arial"/>
          <w:sz w:val="20"/>
          <w:szCs w:val="20"/>
        </w:rPr>
        <w:t>Document decisions and actions arising from risk</w:t>
      </w:r>
      <w:r w:rsidRPr="004F2F89">
        <w:rPr>
          <w:rFonts w:ascii="Arial" w:hAnsi="Arial" w:cs="Arial"/>
          <w:spacing w:val="-4"/>
          <w:sz w:val="20"/>
          <w:szCs w:val="20"/>
        </w:rPr>
        <w:t xml:space="preserve"> </w:t>
      </w:r>
      <w:r w:rsidRPr="004F2F89">
        <w:rPr>
          <w:rFonts w:ascii="Arial" w:hAnsi="Arial" w:cs="Arial"/>
          <w:sz w:val="20"/>
          <w:szCs w:val="20"/>
        </w:rPr>
        <w:t>matters.</w:t>
      </w:r>
    </w:p>
    <w:p w14:paraId="06779EB0"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18" w:after="0" w:line="240" w:lineRule="auto"/>
        <w:contextualSpacing w:val="0"/>
        <w:rPr>
          <w:rFonts w:ascii="Arial" w:hAnsi="Arial" w:cs="Arial"/>
          <w:sz w:val="20"/>
          <w:szCs w:val="20"/>
        </w:rPr>
      </w:pPr>
      <w:r w:rsidRPr="004F2F89">
        <w:rPr>
          <w:rFonts w:ascii="Arial" w:hAnsi="Arial" w:cs="Arial"/>
          <w:sz w:val="20"/>
          <w:szCs w:val="20"/>
        </w:rPr>
        <w:t>Own and manage the Risk Profiles at Town</w:t>
      </w:r>
      <w:r w:rsidRPr="004F2F89">
        <w:rPr>
          <w:rFonts w:ascii="Arial" w:hAnsi="Arial" w:cs="Arial"/>
          <w:spacing w:val="-12"/>
          <w:sz w:val="20"/>
          <w:szCs w:val="20"/>
        </w:rPr>
        <w:t xml:space="preserve"> </w:t>
      </w:r>
      <w:r w:rsidRPr="004F2F89">
        <w:rPr>
          <w:rFonts w:ascii="Arial" w:hAnsi="Arial" w:cs="Arial"/>
          <w:sz w:val="20"/>
          <w:szCs w:val="20"/>
        </w:rPr>
        <w:t>Level.</w:t>
      </w:r>
    </w:p>
    <w:p w14:paraId="360F77EA" w14:textId="77777777" w:rsidR="002D6804" w:rsidRPr="004F2F89" w:rsidRDefault="002D6804" w:rsidP="002D6804">
      <w:pPr>
        <w:pStyle w:val="BodyText"/>
        <w:spacing w:before="10"/>
        <w:rPr>
          <w:rFonts w:cs="Arial"/>
          <w:sz w:val="20"/>
        </w:rPr>
      </w:pPr>
    </w:p>
    <w:p w14:paraId="0A782BC5" w14:textId="77777777" w:rsidR="002D6804" w:rsidRPr="004F2F89" w:rsidRDefault="002D6804" w:rsidP="002D6804">
      <w:pPr>
        <w:pStyle w:val="Heading4"/>
        <w:rPr>
          <w:rFonts w:ascii="Arial" w:hAnsi="Arial" w:cs="Arial"/>
          <w:i w:val="0"/>
          <w:iCs w:val="0"/>
          <w:sz w:val="20"/>
          <w:szCs w:val="20"/>
        </w:rPr>
      </w:pPr>
      <w:r w:rsidRPr="004F2F89">
        <w:rPr>
          <w:rFonts w:ascii="Arial" w:hAnsi="Arial" w:cs="Arial"/>
          <w:i w:val="0"/>
          <w:iCs w:val="0"/>
          <w:color w:val="006F65"/>
          <w:sz w:val="20"/>
          <w:szCs w:val="20"/>
          <w:u w:val="thick" w:color="006F65"/>
        </w:rPr>
        <w:t>Executive Assistant Corporate Services</w:t>
      </w:r>
    </w:p>
    <w:p w14:paraId="3F33DD4A"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20" w:after="0" w:line="240" w:lineRule="auto"/>
        <w:ind w:left="1052" w:hanging="359"/>
        <w:contextualSpacing w:val="0"/>
        <w:rPr>
          <w:rFonts w:ascii="Arial" w:hAnsi="Arial" w:cs="Arial"/>
          <w:sz w:val="20"/>
          <w:szCs w:val="20"/>
        </w:rPr>
      </w:pPr>
      <w:r w:rsidRPr="004F2F89">
        <w:rPr>
          <w:rFonts w:ascii="Arial" w:hAnsi="Arial" w:cs="Arial"/>
          <w:sz w:val="20"/>
          <w:szCs w:val="20"/>
        </w:rPr>
        <w:t>Oversee and facilitate the Risk Management</w:t>
      </w:r>
      <w:r w:rsidRPr="004F2F89">
        <w:rPr>
          <w:rFonts w:ascii="Arial" w:hAnsi="Arial" w:cs="Arial"/>
          <w:spacing w:val="-9"/>
          <w:sz w:val="20"/>
          <w:szCs w:val="20"/>
        </w:rPr>
        <w:t xml:space="preserve"> </w:t>
      </w:r>
      <w:r w:rsidRPr="004F2F89">
        <w:rPr>
          <w:rFonts w:ascii="Arial" w:hAnsi="Arial" w:cs="Arial"/>
          <w:sz w:val="20"/>
          <w:szCs w:val="20"/>
        </w:rPr>
        <w:t>Framework.</w:t>
      </w:r>
    </w:p>
    <w:p w14:paraId="43BD269D" w14:textId="77777777" w:rsidR="002D6804" w:rsidRPr="004F2F89" w:rsidRDefault="002D6804" w:rsidP="002A3889">
      <w:pPr>
        <w:pStyle w:val="ListParagraph"/>
        <w:widowControl w:val="0"/>
        <w:numPr>
          <w:ilvl w:val="1"/>
          <w:numId w:val="462"/>
        </w:numPr>
        <w:tabs>
          <w:tab w:val="left" w:pos="1052"/>
          <w:tab w:val="left" w:pos="1053"/>
        </w:tabs>
        <w:autoSpaceDE w:val="0"/>
        <w:autoSpaceDN w:val="0"/>
        <w:spacing w:before="117" w:after="0" w:line="240" w:lineRule="auto"/>
        <w:ind w:left="1052" w:hanging="359"/>
        <w:contextualSpacing w:val="0"/>
        <w:rPr>
          <w:rFonts w:ascii="Arial" w:hAnsi="Arial" w:cs="Arial"/>
          <w:sz w:val="20"/>
          <w:szCs w:val="20"/>
        </w:rPr>
      </w:pPr>
      <w:r w:rsidRPr="004F2F89">
        <w:rPr>
          <w:rFonts w:ascii="Arial" w:hAnsi="Arial" w:cs="Arial"/>
          <w:sz w:val="20"/>
          <w:szCs w:val="20"/>
        </w:rPr>
        <w:t>Support reporting requirements for risk</w:t>
      </w:r>
      <w:r w:rsidRPr="004F2F89">
        <w:rPr>
          <w:rFonts w:ascii="Arial" w:hAnsi="Arial" w:cs="Arial"/>
          <w:spacing w:val="-1"/>
          <w:sz w:val="20"/>
          <w:szCs w:val="20"/>
        </w:rPr>
        <w:t xml:space="preserve"> </w:t>
      </w:r>
      <w:r w:rsidRPr="004F2F89">
        <w:rPr>
          <w:rFonts w:ascii="Arial" w:hAnsi="Arial" w:cs="Arial"/>
          <w:sz w:val="20"/>
          <w:szCs w:val="20"/>
        </w:rPr>
        <w:t>matters.</w:t>
      </w:r>
    </w:p>
    <w:p w14:paraId="4A7F40DB" w14:textId="77777777" w:rsidR="002D6804" w:rsidRPr="004F2F89" w:rsidRDefault="002D6804" w:rsidP="002D6804">
      <w:pPr>
        <w:pStyle w:val="BodyText"/>
        <w:spacing w:before="10"/>
        <w:rPr>
          <w:rFonts w:cs="Arial"/>
          <w:sz w:val="20"/>
        </w:rPr>
      </w:pPr>
    </w:p>
    <w:p w14:paraId="0EE7FA03" w14:textId="77777777" w:rsidR="002D6804" w:rsidRPr="004F2F89" w:rsidRDefault="002D6804" w:rsidP="002D6804">
      <w:pPr>
        <w:pStyle w:val="Heading4"/>
        <w:rPr>
          <w:rFonts w:ascii="Arial" w:hAnsi="Arial" w:cs="Arial"/>
          <w:i w:val="0"/>
          <w:iCs w:val="0"/>
          <w:sz w:val="20"/>
          <w:szCs w:val="20"/>
        </w:rPr>
      </w:pPr>
      <w:r w:rsidRPr="004F2F89">
        <w:rPr>
          <w:rFonts w:ascii="Arial" w:hAnsi="Arial" w:cs="Arial"/>
          <w:i w:val="0"/>
          <w:iCs w:val="0"/>
          <w:color w:val="006F65"/>
          <w:sz w:val="20"/>
          <w:szCs w:val="20"/>
          <w:u w:val="thick" w:color="006F65"/>
        </w:rPr>
        <w:t>Work Areas</w:t>
      </w:r>
    </w:p>
    <w:p w14:paraId="746F0081"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19" w:after="0" w:line="240" w:lineRule="auto"/>
        <w:contextualSpacing w:val="0"/>
        <w:rPr>
          <w:rFonts w:ascii="Arial" w:hAnsi="Arial" w:cs="Arial"/>
          <w:sz w:val="20"/>
          <w:szCs w:val="20"/>
        </w:rPr>
      </w:pPr>
      <w:r w:rsidRPr="004F2F89">
        <w:rPr>
          <w:rFonts w:ascii="Arial" w:hAnsi="Arial" w:cs="Arial"/>
          <w:sz w:val="20"/>
          <w:szCs w:val="20"/>
        </w:rPr>
        <w:t>Drive risk management culture within work</w:t>
      </w:r>
      <w:r w:rsidRPr="004F2F89">
        <w:rPr>
          <w:rFonts w:ascii="Arial" w:hAnsi="Arial" w:cs="Arial"/>
          <w:spacing w:val="-3"/>
          <w:sz w:val="20"/>
          <w:szCs w:val="20"/>
        </w:rPr>
        <w:t xml:space="preserve"> </w:t>
      </w:r>
      <w:r w:rsidRPr="004F2F89">
        <w:rPr>
          <w:rFonts w:ascii="Arial" w:hAnsi="Arial" w:cs="Arial"/>
          <w:sz w:val="20"/>
          <w:szCs w:val="20"/>
        </w:rPr>
        <w:t>areas.</w:t>
      </w:r>
    </w:p>
    <w:p w14:paraId="617356A3"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19" w:after="0" w:line="240" w:lineRule="auto"/>
        <w:ind w:hanging="359"/>
        <w:contextualSpacing w:val="0"/>
        <w:rPr>
          <w:rFonts w:ascii="Arial" w:hAnsi="Arial" w:cs="Arial"/>
          <w:sz w:val="20"/>
          <w:szCs w:val="20"/>
        </w:rPr>
      </w:pPr>
      <w:r w:rsidRPr="004F2F89">
        <w:rPr>
          <w:rFonts w:ascii="Arial" w:hAnsi="Arial" w:cs="Arial"/>
          <w:sz w:val="20"/>
          <w:szCs w:val="20"/>
        </w:rPr>
        <w:t>Own, manage and report on specific risk issues as</w:t>
      </w:r>
      <w:r w:rsidRPr="004F2F89">
        <w:rPr>
          <w:rFonts w:ascii="Arial" w:hAnsi="Arial" w:cs="Arial"/>
          <w:spacing w:val="-3"/>
          <w:sz w:val="20"/>
          <w:szCs w:val="20"/>
        </w:rPr>
        <w:t xml:space="preserve"> </w:t>
      </w:r>
      <w:r w:rsidRPr="004F2F89">
        <w:rPr>
          <w:rFonts w:ascii="Arial" w:hAnsi="Arial" w:cs="Arial"/>
          <w:sz w:val="20"/>
          <w:szCs w:val="20"/>
        </w:rPr>
        <w:t>required.</w:t>
      </w:r>
    </w:p>
    <w:p w14:paraId="20CF9C22"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18" w:after="0" w:line="240" w:lineRule="auto"/>
        <w:ind w:hanging="359"/>
        <w:contextualSpacing w:val="0"/>
        <w:rPr>
          <w:rFonts w:ascii="Arial" w:hAnsi="Arial" w:cs="Arial"/>
          <w:sz w:val="20"/>
          <w:szCs w:val="20"/>
        </w:rPr>
      </w:pPr>
      <w:r w:rsidRPr="004F2F89">
        <w:rPr>
          <w:rFonts w:ascii="Arial" w:hAnsi="Arial" w:cs="Arial"/>
          <w:sz w:val="20"/>
          <w:szCs w:val="20"/>
        </w:rPr>
        <w:t>Assist in the Risk &amp; Control Management process as</w:t>
      </w:r>
      <w:r w:rsidRPr="004F2F89">
        <w:rPr>
          <w:rFonts w:ascii="Arial" w:hAnsi="Arial" w:cs="Arial"/>
          <w:spacing w:val="-4"/>
          <w:sz w:val="20"/>
          <w:szCs w:val="20"/>
        </w:rPr>
        <w:t xml:space="preserve"> </w:t>
      </w:r>
      <w:r w:rsidRPr="004F2F89">
        <w:rPr>
          <w:rFonts w:ascii="Arial" w:hAnsi="Arial" w:cs="Arial"/>
          <w:sz w:val="20"/>
          <w:szCs w:val="20"/>
        </w:rPr>
        <w:t>required.</w:t>
      </w:r>
    </w:p>
    <w:p w14:paraId="57A593ED"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19" w:after="0" w:line="240" w:lineRule="auto"/>
        <w:contextualSpacing w:val="0"/>
        <w:rPr>
          <w:rFonts w:ascii="Arial" w:hAnsi="Arial" w:cs="Arial"/>
          <w:sz w:val="20"/>
          <w:szCs w:val="20"/>
        </w:rPr>
      </w:pPr>
      <w:r w:rsidRPr="004F2F89">
        <w:rPr>
          <w:rFonts w:ascii="Arial" w:hAnsi="Arial" w:cs="Arial"/>
          <w:sz w:val="20"/>
          <w:szCs w:val="20"/>
        </w:rPr>
        <w:t>Highlight any emerging risks or issues</w:t>
      </w:r>
      <w:r w:rsidRPr="004F2F89">
        <w:rPr>
          <w:rFonts w:ascii="Arial" w:hAnsi="Arial" w:cs="Arial"/>
          <w:spacing w:val="-9"/>
          <w:sz w:val="20"/>
          <w:szCs w:val="20"/>
        </w:rPr>
        <w:t xml:space="preserve"> </w:t>
      </w:r>
      <w:r w:rsidRPr="004F2F89">
        <w:rPr>
          <w:rFonts w:ascii="Arial" w:hAnsi="Arial" w:cs="Arial"/>
          <w:sz w:val="20"/>
          <w:szCs w:val="20"/>
        </w:rPr>
        <w:t>accordingly.</w:t>
      </w:r>
    </w:p>
    <w:p w14:paraId="0628C132" w14:textId="77777777" w:rsidR="002D6804" w:rsidRPr="004F2F89" w:rsidRDefault="002D6804" w:rsidP="002A3889">
      <w:pPr>
        <w:pStyle w:val="ListParagraph"/>
        <w:widowControl w:val="0"/>
        <w:numPr>
          <w:ilvl w:val="1"/>
          <w:numId w:val="462"/>
        </w:numPr>
        <w:tabs>
          <w:tab w:val="left" w:pos="1058"/>
          <w:tab w:val="left" w:pos="1059"/>
        </w:tabs>
        <w:autoSpaceDE w:val="0"/>
        <w:autoSpaceDN w:val="0"/>
        <w:spacing w:before="120" w:after="0" w:line="237" w:lineRule="auto"/>
        <w:ind w:right="287" w:hanging="358"/>
        <w:contextualSpacing w:val="0"/>
        <w:rPr>
          <w:rFonts w:ascii="Arial" w:hAnsi="Arial" w:cs="Arial"/>
          <w:sz w:val="20"/>
          <w:szCs w:val="20"/>
        </w:rPr>
      </w:pPr>
      <w:r w:rsidRPr="004F2F89">
        <w:rPr>
          <w:rFonts w:ascii="Arial" w:hAnsi="Arial" w:cs="Arial"/>
          <w:sz w:val="20"/>
          <w:szCs w:val="20"/>
        </w:rPr>
        <w:t>Incorporate ‘Risk Management’ into Management Meetings, by incorporating the following agenda</w:t>
      </w:r>
      <w:r w:rsidRPr="004F2F89">
        <w:rPr>
          <w:rFonts w:ascii="Arial" w:hAnsi="Arial" w:cs="Arial"/>
          <w:spacing w:val="-2"/>
          <w:sz w:val="20"/>
          <w:szCs w:val="20"/>
        </w:rPr>
        <w:t xml:space="preserve"> </w:t>
      </w:r>
      <w:proofErr w:type="gramStart"/>
      <w:r w:rsidRPr="004F2F89">
        <w:rPr>
          <w:rFonts w:ascii="Arial" w:hAnsi="Arial" w:cs="Arial"/>
          <w:sz w:val="20"/>
          <w:szCs w:val="20"/>
        </w:rPr>
        <w:t>items;</w:t>
      </w:r>
      <w:proofErr w:type="gramEnd"/>
    </w:p>
    <w:p w14:paraId="64884353" w14:textId="77777777" w:rsidR="002D6804" w:rsidRPr="004F2F89" w:rsidRDefault="002D6804" w:rsidP="002A3889">
      <w:pPr>
        <w:pStyle w:val="ListParagraph"/>
        <w:widowControl w:val="0"/>
        <w:numPr>
          <w:ilvl w:val="2"/>
          <w:numId w:val="462"/>
        </w:numPr>
        <w:tabs>
          <w:tab w:val="left" w:pos="1778"/>
          <w:tab w:val="left" w:pos="1779"/>
        </w:tabs>
        <w:autoSpaceDE w:val="0"/>
        <w:autoSpaceDN w:val="0"/>
        <w:spacing w:before="121" w:after="0" w:line="240" w:lineRule="auto"/>
        <w:ind w:hanging="359"/>
        <w:contextualSpacing w:val="0"/>
        <w:rPr>
          <w:rFonts w:ascii="Arial" w:hAnsi="Arial" w:cs="Arial"/>
          <w:sz w:val="20"/>
          <w:szCs w:val="20"/>
        </w:rPr>
      </w:pPr>
      <w:r w:rsidRPr="004F2F89">
        <w:rPr>
          <w:rFonts w:ascii="Arial" w:hAnsi="Arial" w:cs="Arial"/>
          <w:sz w:val="20"/>
          <w:szCs w:val="20"/>
        </w:rPr>
        <w:t>New or emerging</w:t>
      </w:r>
      <w:r w:rsidRPr="004F2F89">
        <w:rPr>
          <w:rFonts w:ascii="Arial" w:hAnsi="Arial" w:cs="Arial"/>
          <w:spacing w:val="-1"/>
          <w:sz w:val="20"/>
          <w:szCs w:val="20"/>
        </w:rPr>
        <w:t xml:space="preserve"> </w:t>
      </w:r>
      <w:r w:rsidRPr="004F2F89">
        <w:rPr>
          <w:rFonts w:ascii="Arial" w:hAnsi="Arial" w:cs="Arial"/>
          <w:sz w:val="20"/>
          <w:szCs w:val="20"/>
        </w:rPr>
        <w:t>risks.</w:t>
      </w:r>
    </w:p>
    <w:p w14:paraId="5A8BAEC7" w14:textId="77777777" w:rsidR="002D6804" w:rsidRPr="004F2F89" w:rsidRDefault="002D6804" w:rsidP="002A3889">
      <w:pPr>
        <w:pStyle w:val="ListParagraph"/>
        <w:widowControl w:val="0"/>
        <w:numPr>
          <w:ilvl w:val="2"/>
          <w:numId w:val="462"/>
        </w:numPr>
        <w:tabs>
          <w:tab w:val="left" w:pos="1778"/>
          <w:tab w:val="left" w:pos="1779"/>
        </w:tabs>
        <w:autoSpaceDE w:val="0"/>
        <w:autoSpaceDN w:val="0"/>
        <w:spacing w:before="103" w:after="0" w:line="240" w:lineRule="auto"/>
        <w:ind w:hanging="359"/>
        <w:contextualSpacing w:val="0"/>
        <w:rPr>
          <w:rFonts w:ascii="Arial" w:hAnsi="Arial" w:cs="Arial"/>
          <w:sz w:val="20"/>
          <w:szCs w:val="20"/>
        </w:rPr>
      </w:pPr>
      <w:r w:rsidRPr="004F2F89">
        <w:rPr>
          <w:rFonts w:ascii="Arial" w:hAnsi="Arial" w:cs="Arial"/>
          <w:sz w:val="20"/>
          <w:szCs w:val="20"/>
        </w:rPr>
        <w:t>Review existing</w:t>
      </w:r>
      <w:r w:rsidRPr="004F2F89">
        <w:rPr>
          <w:rFonts w:ascii="Arial" w:hAnsi="Arial" w:cs="Arial"/>
          <w:spacing w:val="-3"/>
          <w:sz w:val="20"/>
          <w:szCs w:val="20"/>
        </w:rPr>
        <w:t xml:space="preserve"> </w:t>
      </w:r>
      <w:r w:rsidRPr="004F2F89">
        <w:rPr>
          <w:rFonts w:ascii="Arial" w:hAnsi="Arial" w:cs="Arial"/>
          <w:sz w:val="20"/>
          <w:szCs w:val="20"/>
        </w:rPr>
        <w:t>risks.</w:t>
      </w:r>
    </w:p>
    <w:p w14:paraId="3BBCEA26" w14:textId="77777777" w:rsidR="002D6804" w:rsidRPr="004F2F89" w:rsidRDefault="002D6804" w:rsidP="002A3889">
      <w:pPr>
        <w:pStyle w:val="ListParagraph"/>
        <w:widowControl w:val="0"/>
        <w:numPr>
          <w:ilvl w:val="2"/>
          <w:numId w:val="462"/>
        </w:numPr>
        <w:tabs>
          <w:tab w:val="left" w:pos="1778"/>
          <w:tab w:val="left" w:pos="1779"/>
        </w:tabs>
        <w:autoSpaceDE w:val="0"/>
        <w:autoSpaceDN w:val="0"/>
        <w:spacing w:before="101" w:after="0" w:line="240" w:lineRule="auto"/>
        <w:ind w:hanging="359"/>
        <w:contextualSpacing w:val="0"/>
        <w:rPr>
          <w:rFonts w:ascii="Arial" w:hAnsi="Arial" w:cs="Arial"/>
          <w:sz w:val="20"/>
          <w:szCs w:val="20"/>
        </w:rPr>
      </w:pPr>
      <w:r w:rsidRPr="004F2F89">
        <w:rPr>
          <w:rFonts w:ascii="Arial" w:hAnsi="Arial" w:cs="Arial"/>
          <w:sz w:val="20"/>
          <w:szCs w:val="20"/>
        </w:rPr>
        <w:t>Control</w:t>
      </w:r>
      <w:r w:rsidRPr="004F2F89">
        <w:rPr>
          <w:rFonts w:ascii="Arial" w:hAnsi="Arial" w:cs="Arial"/>
          <w:spacing w:val="-2"/>
          <w:sz w:val="20"/>
          <w:szCs w:val="20"/>
        </w:rPr>
        <w:t xml:space="preserve"> </w:t>
      </w:r>
      <w:r w:rsidRPr="004F2F89">
        <w:rPr>
          <w:rFonts w:ascii="Arial" w:hAnsi="Arial" w:cs="Arial"/>
          <w:sz w:val="20"/>
          <w:szCs w:val="20"/>
        </w:rPr>
        <w:t>adequacy.</w:t>
      </w:r>
    </w:p>
    <w:p w14:paraId="596F962F" w14:textId="77777777" w:rsidR="002D6804" w:rsidRPr="004F2F89" w:rsidRDefault="002D6804" w:rsidP="002A3889">
      <w:pPr>
        <w:pStyle w:val="ListParagraph"/>
        <w:widowControl w:val="0"/>
        <w:numPr>
          <w:ilvl w:val="2"/>
          <w:numId w:val="462"/>
        </w:numPr>
        <w:tabs>
          <w:tab w:val="left" w:pos="1778"/>
          <w:tab w:val="left" w:pos="1779"/>
        </w:tabs>
        <w:autoSpaceDE w:val="0"/>
        <w:autoSpaceDN w:val="0"/>
        <w:spacing w:before="103" w:after="0" w:line="240" w:lineRule="auto"/>
        <w:ind w:hanging="359"/>
        <w:contextualSpacing w:val="0"/>
        <w:rPr>
          <w:rFonts w:ascii="Arial" w:hAnsi="Arial" w:cs="Arial"/>
          <w:sz w:val="20"/>
          <w:szCs w:val="20"/>
        </w:rPr>
      </w:pPr>
      <w:r w:rsidRPr="004F2F89">
        <w:rPr>
          <w:rFonts w:ascii="Arial" w:hAnsi="Arial" w:cs="Arial"/>
          <w:sz w:val="20"/>
          <w:szCs w:val="20"/>
        </w:rPr>
        <w:t>Outstanding issues and</w:t>
      </w:r>
      <w:r w:rsidRPr="004F2F89">
        <w:rPr>
          <w:rFonts w:ascii="Arial" w:hAnsi="Arial" w:cs="Arial"/>
          <w:spacing w:val="-1"/>
          <w:sz w:val="20"/>
          <w:szCs w:val="20"/>
        </w:rPr>
        <w:t xml:space="preserve"> </w:t>
      </w:r>
      <w:r w:rsidRPr="004F2F89">
        <w:rPr>
          <w:rFonts w:ascii="Arial" w:hAnsi="Arial" w:cs="Arial"/>
          <w:sz w:val="20"/>
          <w:szCs w:val="20"/>
        </w:rPr>
        <w:t>actions.</w:t>
      </w:r>
    </w:p>
    <w:p w14:paraId="28E175DF" w14:textId="77777777" w:rsidR="002D6804" w:rsidRDefault="002D6804" w:rsidP="002D6804">
      <w:pPr>
        <w:rPr>
          <w:sz w:val="20"/>
        </w:rPr>
        <w:sectPr w:rsidR="002D6804">
          <w:pgSz w:w="11910" w:h="16840"/>
          <w:pgMar w:top="1600" w:right="840" w:bottom="1140" w:left="1080" w:header="0" w:footer="955" w:gutter="0"/>
          <w:cols w:space="720"/>
        </w:sectPr>
      </w:pPr>
    </w:p>
    <w:p w14:paraId="6C73BBF5" w14:textId="77777777" w:rsidR="002D6804" w:rsidRDefault="002D6804" w:rsidP="002D6804">
      <w:pPr>
        <w:pStyle w:val="BodyText"/>
        <w:spacing w:before="3"/>
        <w:rPr>
          <w:sz w:val="25"/>
        </w:rPr>
      </w:pPr>
    </w:p>
    <w:p w14:paraId="2EFE9EF1" w14:textId="77777777" w:rsidR="002D6804" w:rsidRPr="004F2F89" w:rsidRDefault="002D6804" w:rsidP="004F2F89">
      <w:pPr>
        <w:pStyle w:val="Heading3"/>
        <w:spacing w:before="93"/>
        <w:ind w:left="426"/>
        <w:rPr>
          <w:rFonts w:ascii="Arial" w:hAnsi="Arial" w:cs="Arial"/>
          <w:b/>
          <w:bCs/>
        </w:rPr>
      </w:pPr>
      <w:r w:rsidRPr="004F2F89">
        <w:rPr>
          <w:rFonts w:ascii="Arial" w:hAnsi="Arial" w:cs="Arial"/>
          <w:b/>
          <w:bCs/>
          <w:color w:val="00ACB8"/>
        </w:rPr>
        <w:t>Document Structure (Framework)</w:t>
      </w:r>
    </w:p>
    <w:p w14:paraId="79243D9E" w14:textId="77777777" w:rsidR="002D6804" w:rsidRPr="004F2F89" w:rsidRDefault="002D6804" w:rsidP="002D6804">
      <w:pPr>
        <w:pStyle w:val="BodyText"/>
        <w:spacing w:before="58"/>
        <w:ind w:left="338" w:right="649"/>
        <w:rPr>
          <w:sz w:val="20"/>
        </w:rPr>
      </w:pPr>
      <w:r w:rsidRPr="004F2F89">
        <w:rPr>
          <w:sz w:val="20"/>
        </w:rPr>
        <w:t>The following diagram depicts the relationship between the Risk Management Policy, Procedures and supporting documentation and reports.</w:t>
      </w:r>
    </w:p>
    <w:p w14:paraId="7E5CCDD5" w14:textId="77777777" w:rsidR="002D6804" w:rsidRPr="004F2F89" w:rsidRDefault="002D6804" w:rsidP="002D6804">
      <w:pPr>
        <w:pStyle w:val="BodyText"/>
        <w:rPr>
          <w:sz w:val="20"/>
        </w:rPr>
      </w:pPr>
    </w:p>
    <w:p w14:paraId="495152E6" w14:textId="77777777" w:rsidR="002D6804" w:rsidRDefault="002D6804" w:rsidP="002D6804">
      <w:pPr>
        <w:pStyle w:val="BodyText"/>
        <w:spacing w:before="2"/>
        <w:rPr>
          <w:sz w:val="28"/>
        </w:rPr>
      </w:pPr>
      <w:r>
        <w:rPr>
          <w:noProof/>
        </w:rPr>
        <mc:AlternateContent>
          <mc:Choice Requires="wpg">
            <w:drawing>
              <wp:anchor distT="0" distB="0" distL="0" distR="0" simplePos="0" relativeHeight="251699200" behindDoc="1" locked="0" layoutInCell="1" allowOverlap="1" wp14:anchorId="6BD4F1E2" wp14:editId="3253B464">
                <wp:simplePos x="0" y="0"/>
                <wp:positionH relativeFrom="page">
                  <wp:posOffset>895350</wp:posOffset>
                </wp:positionH>
                <wp:positionV relativeFrom="paragraph">
                  <wp:posOffset>229870</wp:posOffset>
                </wp:positionV>
                <wp:extent cx="5614670" cy="6203315"/>
                <wp:effectExtent l="0" t="0" r="5080" b="6985"/>
                <wp:wrapTopAndBottom/>
                <wp:docPr id="292"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6203315"/>
                          <a:chOff x="1407" y="363"/>
                          <a:chExt cx="8842" cy="9769"/>
                        </a:xfrm>
                      </wpg:grpSpPr>
                      <pic:pic xmlns:pic="http://schemas.openxmlformats.org/drawingml/2006/picture">
                        <pic:nvPicPr>
                          <pic:cNvPr id="340" name="Picture 9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768" y="366"/>
                            <a:ext cx="2250" cy="1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1" name="AutoShape 97"/>
                        <wps:cNvSpPr>
                          <a:spLocks/>
                        </wps:cNvSpPr>
                        <wps:spPr bwMode="auto">
                          <a:xfrm>
                            <a:off x="4766" y="363"/>
                            <a:ext cx="2255" cy="1012"/>
                          </a:xfrm>
                          <a:custGeom>
                            <a:avLst/>
                            <a:gdLst>
                              <a:gd name="T0" fmla="+- 0 4768 4766"/>
                              <a:gd name="T1" fmla="*/ T0 w 2255"/>
                              <a:gd name="T2" fmla="+- 0 364 364"/>
                              <a:gd name="T3" fmla="*/ 364 h 1012"/>
                              <a:gd name="T4" fmla="+- 0 4766 4766"/>
                              <a:gd name="T5" fmla="*/ T4 w 2255"/>
                              <a:gd name="T6" fmla="+- 0 1321 364"/>
                              <a:gd name="T7" fmla="*/ 1321 h 1012"/>
                              <a:gd name="T8" fmla="+- 0 4820 4766"/>
                              <a:gd name="T9" fmla="*/ T8 w 2255"/>
                              <a:gd name="T10" fmla="+- 0 1330 364"/>
                              <a:gd name="T11" fmla="*/ 1330 h 1012"/>
                              <a:gd name="T12" fmla="+- 0 4948 4766"/>
                              <a:gd name="T13" fmla="*/ T12 w 2255"/>
                              <a:gd name="T14" fmla="+- 0 1347 364"/>
                              <a:gd name="T15" fmla="*/ 1347 h 1012"/>
                              <a:gd name="T16" fmla="+- 0 5102 4766"/>
                              <a:gd name="T17" fmla="*/ T16 w 2255"/>
                              <a:gd name="T18" fmla="+- 0 1363 364"/>
                              <a:gd name="T19" fmla="*/ 1363 h 1012"/>
                              <a:gd name="T20" fmla="+- 0 5253 4766"/>
                              <a:gd name="T21" fmla="*/ T20 w 2255"/>
                              <a:gd name="T22" fmla="+- 0 1373 364"/>
                              <a:gd name="T23" fmla="*/ 1373 h 1012"/>
                              <a:gd name="T24" fmla="+- 0 5404 4766"/>
                              <a:gd name="T25" fmla="*/ T24 w 2255"/>
                              <a:gd name="T26" fmla="+- 0 1375 364"/>
                              <a:gd name="T27" fmla="*/ 1375 h 1012"/>
                              <a:gd name="T28" fmla="+- 0 5530 4766"/>
                              <a:gd name="T29" fmla="*/ T28 w 2255"/>
                              <a:gd name="T30" fmla="+- 0 1370 364"/>
                              <a:gd name="T31" fmla="*/ 1370 h 1012"/>
                              <a:gd name="T32" fmla="+- 0 5329 4766"/>
                              <a:gd name="T33" fmla="*/ T32 w 2255"/>
                              <a:gd name="T34" fmla="+- 0 1370 364"/>
                              <a:gd name="T35" fmla="*/ 1370 h 1012"/>
                              <a:gd name="T36" fmla="+- 0 5178 4766"/>
                              <a:gd name="T37" fmla="*/ T36 w 2255"/>
                              <a:gd name="T38" fmla="+- 0 1364 364"/>
                              <a:gd name="T39" fmla="*/ 1364 h 1012"/>
                              <a:gd name="T40" fmla="+- 0 5025 4766"/>
                              <a:gd name="T41" fmla="*/ T40 w 2255"/>
                              <a:gd name="T42" fmla="+- 0 1351 364"/>
                              <a:gd name="T43" fmla="*/ 1351 h 1012"/>
                              <a:gd name="T44" fmla="+- 0 4871 4766"/>
                              <a:gd name="T45" fmla="*/ T44 w 2255"/>
                              <a:gd name="T46" fmla="+- 0 1332 364"/>
                              <a:gd name="T47" fmla="*/ 1332 h 1012"/>
                              <a:gd name="T48" fmla="+- 0 4786 4766"/>
                              <a:gd name="T49" fmla="*/ T48 w 2255"/>
                              <a:gd name="T50" fmla="+- 0 1319 364"/>
                              <a:gd name="T51" fmla="*/ 1319 h 1012"/>
                              <a:gd name="T52" fmla="+- 0 4769 4766"/>
                              <a:gd name="T53" fmla="*/ T52 w 2255"/>
                              <a:gd name="T54" fmla="+- 0 1316 364"/>
                              <a:gd name="T55" fmla="*/ 1316 h 1012"/>
                              <a:gd name="T56" fmla="+- 0 4771 4766"/>
                              <a:gd name="T57" fmla="*/ T56 w 2255"/>
                              <a:gd name="T58" fmla="+- 0 368 364"/>
                              <a:gd name="T59" fmla="*/ 368 h 1012"/>
                              <a:gd name="T60" fmla="+- 0 4771 4766"/>
                              <a:gd name="T61" fmla="*/ T60 w 2255"/>
                              <a:gd name="T62" fmla="+- 0 366 364"/>
                              <a:gd name="T63" fmla="*/ 366 h 1012"/>
                              <a:gd name="T64" fmla="+- 0 7021 4766"/>
                              <a:gd name="T65" fmla="*/ T64 w 2255"/>
                              <a:gd name="T66" fmla="+- 0 365 364"/>
                              <a:gd name="T67" fmla="*/ 365 h 1012"/>
                              <a:gd name="T68" fmla="+- 0 7016 4766"/>
                              <a:gd name="T69" fmla="*/ T68 w 2255"/>
                              <a:gd name="T70" fmla="+- 0 1182 364"/>
                              <a:gd name="T71" fmla="*/ 1182 h 1012"/>
                              <a:gd name="T72" fmla="+- 0 6838 4766"/>
                              <a:gd name="T73" fmla="*/ T72 w 2255"/>
                              <a:gd name="T74" fmla="+- 0 1184 364"/>
                              <a:gd name="T75" fmla="*/ 1184 h 1012"/>
                              <a:gd name="T76" fmla="+- 0 6683 4766"/>
                              <a:gd name="T77" fmla="*/ T76 w 2255"/>
                              <a:gd name="T78" fmla="+- 0 1192 364"/>
                              <a:gd name="T79" fmla="*/ 1192 h 1012"/>
                              <a:gd name="T80" fmla="+- 0 6531 4766"/>
                              <a:gd name="T81" fmla="*/ T80 w 2255"/>
                              <a:gd name="T82" fmla="+- 0 1205 364"/>
                              <a:gd name="T83" fmla="*/ 1205 h 1012"/>
                              <a:gd name="T84" fmla="+- 0 6380 4766"/>
                              <a:gd name="T85" fmla="*/ T84 w 2255"/>
                              <a:gd name="T86" fmla="+- 0 1224 364"/>
                              <a:gd name="T87" fmla="*/ 1224 h 1012"/>
                              <a:gd name="T88" fmla="+- 0 6228 4766"/>
                              <a:gd name="T89" fmla="*/ T88 w 2255"/>
                              <a:gd name="T90" fmla="+- 0 1248 364"/>
                              <a:gd name="T91" fmla="*/ 1248 h 1012"/>
                              <a:gd name="T92" fmla="+- 0 6076 4766"/>
                              <a:gd name="T93" fmla="*/ T92 w 2255"/>
                              <a:gd name="T94" fmla="+- 0 1277 364"/>
                              <a:gd name="T95" fmla="*/ 1277 h 1012"/>
                              <a:gd name="T96" fmla="+- 0 5893 4766"/>
                              <a:gd name="T97" fmla="*/ T96 w 2255"/>
                              <a:gd name="T98" fmla="+- 0 1315 364"/>
                              <a:gd name="T99" fmla="*/ 1315 h 1012"/>
                              <a:gd name="T100" fmla="+- 0 5710 4766"/>
                              <a:gd name="T101" fmla="*/ T100 w 2255"/>
                              <a:gd name="T102" fmla="+- 0 1348 364"/>
                              <a:gd name="T103" fmla="*/ 1348 h 1012"/>
                              <a:gd name="T104" fmla="+- 0 5556 4766"/>
                              <a:gd name="T105" fmla="*/ T104 w 2255"/>
                              <a:gd name="T106" fmla="+- 0 1364 364"/>
                              <a:gd name="T107" fmla="*/ 1364 h 1012"/>
                              <a:gd name="T108" fmla="+- 0 5404 4766"/>
                              <a:gd name="T109" fmla="*/ T108 w 2255"/>
                              <a:gd name="T110" fmla="+- 0 1370 364"/>
                              <a:gd name="T111" fmla="*/ 1370 h 1012"/>
                              <a:gd name="T112" fmla="+- 0 5556 4766"/>
                              <a:gd name="T113" fmla="*/ T112 w 2255"/>
                              <a:gd name="T114" fmla="+- 0 1369 364"/>
                              <a:gd name="T115" fmla="*/ 1369 h 1012"/>
                              <a:gd name="T116" fmla="+- 0 5710 4766"/>
                              <a:gd name="T117" fmla="*/ T116 w 2255"/>
                              <a:gd name="T118" fmla="+- 0 1353 364"/>
                              <a:gd name="T119" fmla="*/ 1353 h 1012"/>
                              <a:gd name="T120" fmla="+- 0 5894 4766"/>
                              <a:gd name="T121" fmla="*/ T120 w 2255"/>
                              <a:gd name="T122" fmla="+- 0 1320 364"/>
                              <a:gd name="T123" fmla="*/ 1320 h 1012"/>
                              <a:gd name="T124" fmla="+- 0 6229 4766"/>
                              <a:gd name="T125" fmla="*/ T124 w 2255"/>
                              <a:gd name="T126" fmla="+- 0 1253 364"/>
                              <a:gd name="T127" fmla="*/ 1253 h 1012"/>
                              <a:gd name="T128" fmla="+- 0 6380 4766"/>
                              <a:gd name="T129" fmla="*/ T128 w 2255"/>
                              <a:gd name="T130" fmla="+- 0 1229 364"/>
                              <a:gd name="T131" fmla="*/ 1229 h 1012"/>
                              <a:gd name="T132" fmla="+- 0 6532 4766"/>
                              <a:gd name="T133" fmla="*/ T132 w 2255"/>
                              <a:gd name="T134" fmla="+- 0 1210 364"/>
                              <a:gd name="T135" fmla="*/ 1210 h 1012"/>
                              <a:gd name="T136" fmla="+- 0 6684 4766"/>
                              <a:gd name="T137" fmla="*/ T136 w 2255"/>
                              <a:gd name="T138" fmla="+- 0 1196 364"/>
                              <a:gd name="T139" fmla="*/ 1196 h 1012"/>
                              <a:gd name="T140" fmla="+- 0 6839 4766"/>
                              <a:gd name="T141" fmla="*/ T140 w 2255"/>
                              <a:gd name="T142" fmla="+- 0 1189 364"/>
                              <a:gd name="T143" fmla="*/ 1189 h 1012"/>
                              <a:gd name="T144" fmla="+- 0 7020 4766"/>
                              <a:gd name="T145" fmla="*/ T144 w 2255"/>
                              <a:gd name="T146" fmla="+- 0 1187 364"/>
                              <a:gd name="T147" fmla="*/ 1187 h 1012"/>
                              <a:gd name="T148" fmla="+- 0 7021 4766"/>
                              <a:gd name="T149" fmla="*/ T148 w 2255"/>
                              <a:gd name="T150" fmla="+- 0 1184 364"/>
                              <a:gd name="T151" fmla="*/ 1184 h 1012"/>
                              <a:gd name="T152" fmla="+- 0 7016 4766"/>
                              <a:gd name="T153" fmla="*/ T152 w 2255"/>
                              <a:gd name="T154" fmla="+- 0 1182 364"/>
                              <a:gd name="T155" fmla="*/ 1182 h 1012"/>
                              <a:gd name="T156" fmla="+- 0 4771 4766"/>
                              <a:gd name="T157" fmla="*/ T156 w 2255"/>
                              <a:gd name="T158" fmla="+- 0 1319 364"/>
                              <a:gd name="T159" fmla="*/ 1319 h 1012"/>
                              <a:gd name="T160" fmla="+- 0 4769 4766"/>
                              <a:gd name="T161" fmla="*/ T160 w 2255"/>
                              <a:gd name="T162" fmla="+- 0 1316 364"/>
                              <a:gd name="T163" fmla="*/ 1316 h 1012"/>
                              <a:gd name="T164" fmla="+- 0 4771 4766"/>
                              <a:gd name="T165" fmla="*/ T164 w 2255"/>
                              <a:gd name="T166" fmla="+- 0 1319 364"/>
                              <a:gd name="T167" fmla="*/ 1319 h 1012"/>
                              <a:gd name="T168" fmla="+- 0 4771 4766"/>
                              <a:gd name="T169" fmla="*/ T168 w 2255"/>
                              <a:gd name="T170" fmla="+- 0 1317 364"/>
                              <a:gd name="T171" fmla="*/ 1317 h 1012"/>
                              <a:gd name="T172" fmla="+- 0 4769 4766"/>
                              <a:gd name="T173" fmla="*/ T172 w 2255"/>
                              <a:gd name="T174" fmla="+- 0 1316 364"/>
                              <a:gd name="T175" fmla="*/ 1316 h 1012"/>
                              <a:gd name="T176" fmla="+- 0 4771 4766"/>
                              <a:gd name="T177" fmla="*/ T176 w 2255"/>
                              <a:gd name="T178" fmla="+- 0 1316 364"/>
                              <a:gd name="T179" fmla="*/ 1316 h 1012"/>
                              <a:gd name="T180" fmla="+- 0 7016 4766"/>
                              <a:gd name="T181" fmla="*/ T180 w 2255"/>
                              <a:gd name="T182" fmla="+- 0 1184 364"/>
                              <a:gd name="T183" fmla="*/ 1184 h 1012"/>
                              <a:gd name="T184" fmla="+- 0 7021 4766"/>
                              <a:gd name="T185" fmla="*/ T184 w 2255"/>
                              <a:gd name="T186" fmla="+- 0 1182 364"/>
                              <a:gd name="T187" fmla="*/ 1182 h 1012"/>
                              <a:gd name="T188" fmla="+- 0 7019 4766"/>
                              <a:gd name="T189" fmla="*/ T188 w 2255"/>
                              <a:gd name="T190" fmla="+- 0 368 364"/>
                              <a:gd name="T191" fmla="*/ 368 h 1012"/>
                              <a:gd name="T192" fmla="+- 0 7021 4766"/>
                              <a:gd name="T193" fmla="*/ T192 w 2255"/>
                              <a:gd name="T194" fmla="+- 0 1182 364"/>
                              <a:gd name="T195" fmla="*/ 1182 h 1012"/>
                              <a:gd name="T196" fmla="+- 0 7016 4766"/>
                              <a:gd name="T197" fmla="*/ T196 w 2255"/>
                              <a:gd name="T198" fmla="+- 0 1184 364"/>
                              <a:gd name="T199" fmla="*/ 1184 h 1012"/>
                              <a:gd name="T200" fmla="+- 0 7021 4766"/>
                              <a:gd name="T201" fmla="*/ T200 w 2255"/>
                              <a:gd name="T202" fmla="+- 0 1182 364"/>
                              <a:gd name="T203" fmla="*/ 1182 h 1012"/>
                              <a:gd name="T204" fmla="+- 0 4769 4766"/>
                              <a:gd name="T205" fmla="*/ T204 w 2255"/>
                              <a:gd name="T206" fmla="+- 0 368 364"/>
                              <a:gd name="T207" fmla="*/ 368 h 1012"/>
                              <a:gd name="T208" fmla="+- 0 4771 4766"/>
                              <a:gd name="T209" fmla="*/ T208 w 2255"/>
                              <a:gd name="T210" fmla="+- 0 366 364"/>
                              <a:gd name="T211" fmla="*/ 366 h 1012"/>
                              <a:gd name="T212" fmla="+- 0 4771 4766"/>
                              <a:gd name="T213" fmla="*/ T212 w 2255"/>
                              <a:gd name="T214" fmla="+- 0 366 364"/>
                              <a:gd name="T215" fmla="*/ 366 h 1012"/>
                              <a:gd name="T216" fmla="+- 0 7016 4766"/>
                              <a:gd name="T217" fmla="*/ T216 w 2255"/>
                              <a:gd name="T218" fmla="+- 0 368 364"/>
                              <a:gd name="T219" fmla="*/ 368 h 1012"/>
                              <a:gd name="T220" fmla="+- 0 7021 4766"/>
                              <a:gd name="T221" fmla="*/ T220 w 2255"/>
                              <a:gd name="T222" fmla="+- 0 366 364"/>
                              <a:gd name="T223" fmla="*/ 366 h 1012"/>
                              <a:gd name="T224" fmla="+- 0 7019 4766"/>
                              <a:gd name="T225" fmla="*/ T224 w 2255"/>
                              <a:gd name="T226" fmla="+- 0 368 364"/>
                              <a:gd name="T227" fmla="*/ 368 h 1012"/>
                              <a:gd name="T228" fmla="+- 0 7021 4766"/>
                              <a:gd name="T229" fmla="*/ T228 w 2255"/>
                              <a:gd name="T230" fmla="+- 0 366 364"/>
                              <a:gd name="T231" fmla="*/ 366 h 1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255" h="1012">
                                <a:moveTo>
                                  <a:pt x="2254" y="0"/>
                                </a:moveTo>
                                <a:lnTo>
                                  <a:pt x="2" y="0"/>
                                </a:lnTo>
                                <a:lnTo>
                                  <a:pt x="0" y="1"/>
                                </a:lnTo>
                                <a:lnTo>
                                  <a:pt x="0" y="957"/>
                                </a:lnTo>
                                <a:lnTo>
                                  <a:pt x="2" y="957"/>
                                </a:lnTo>
                                <a:lnTo>
                                  <a:pt x="54" y="966"/>
                                </a:lnTo>
                                <a:lnTo>
                                  <a:pt x="105" y="973"/>
                                </a:lnTo>
                                <a:lnTo>
                                  <a:pt x="182" y="983"/>
                                </a:lnTo>
                                <a:lnTo>
                                  <a:pt x="259" y="992"/>
                                </a:lnTo>
                                <a:lnTo>
                                  <a:pt x="336" y="999"/>
                                </a:lnTo>
                                <a:lnTo>
                                  <a:pt x="411" y="1005"/>
                                </a:lnTo>
                                <a:lnTo>
                                  <a:pt x="487" y="1009"/>
                                </a:lnTo>
                                <a:lnTo>
                                  <a:pt x="563" y="1011"/>
                                </a:lnTo>
                                <a:lnTo>
                                  <a:pt x="638" y="1011"/>
                                </a:lnTo>
                                <a:lnTo>
                                  <a:pt x="714" y="1009"/>
                                </a:lnTo>
                                <a:lnTo>
                                  <a:pt x="764" y="1006"/>
                                </a:lnTo>
                                <a:lnTo>
                                  <a:pt x="638" y="1006"/>
                                </a:lnTo>
                                <a:lnTo>
                                  <a:pt x="563" y="1006"/>
                                </a:lnTo>
                                <a:lnTo>
                                  <a:pt x="487" y="1004"/>
                                </a:lnTo>
                                <a:lnTo>
                                  <a:pt x="412" y="1000"/>
                                </a:lnTo>
                                <a:lnTo>
                                  <a:pt x="336" y="994"/>
                                </a:lnTo>
                                <a:lnTo>
                                  <a:pt x="259" y="987"/>
                                </a:lnTo>
                                <a:lnTo>
                                  <a:pt x="182" y="978"/>
                                </a:lnTo>
                                <a:lnTo>
                                  <a:pt x="105" y="968"/>
                                </a:lnTo>
                                <a:lnTo>
                                  <a:pt x="54" y="960"/>
                                </a:lnTo>
                                <a:lnTo>
                                  <a:pt x="20" y="955"/>
                                </a:lnTo>
                                <a:lnTo>
                                  <a:pt x="5" y="955"/>
                                </a:lnTo>
                                <a:lnTo>
                                  <a:pt x="3" y="952"/>
                                </a:lnTo>
                                <a:lnTo>
                                  <a:pt x="5" y="952"/>
                                </a:lnTo>
                                <a:lnTo>
                                  <a:pt x="5" y="4"/>
                                </a:lnTo>
                                <a:lnTo>
                                  <a:pt x="3" y="4"/>
                                </a:lnTo>
                                <a:lnTo>
                                  <a:pt x="5" y="2"/>
                                </a:lnTo>
                                <a:lnTo>
                                  <a:pt x="2255" y="2"/>
                                </a:lnTo>
                                <a:lnTo>
                                  <a:pt x="2255" y="1"/>
                                </a:lnTo>
                                <a:lnTo>
                                  <a:pt x="2254" y="0"/>
                                </a:lnTo>
                                <a:close/>
                                <a:moveTo>
                                  <a:pt x="2250" y="818"/>
                                </a:moveTo>
                                <a:lnTo>
                                  <a:pt x="2151" y="818"/>
                                </a:lnTo>
                                <a:lnTo>
                                  <a:pt x="2072" y="820"/>
                                </a:lnTo>
                                <a:lnTo>
                                  <a:pt x="1994" y="823"/>
                                </a:lnTo>
                                <a:lnTo>
                                  <a:pt x="1917" y="828"/>
                                </a:lnTo>
                                <a:lnTo>
                                  <a:pt x="1841" y="834"/>
                                </a:lnTo>
                                <a:lnTo>
                                  <a:pt x="1765" y="841"/>
                                </a:lnTo>
                                <a:lnTo>
                                  <a:pt x="1689" y="850"/>
                                </a:lnTo>
                                <a:lnTo>
                                  <a:pt x="1614" y="860"/>
                                </a:lnTo>
                                <a:lnTo>
                                  <a:pt x="1538" y="871"/>
                                </a:lnTo>
                                <a:lnTo>
                                  <a:pt x="1462" y="884"/>
                                </a:lnTo>
                                <a:lnTo>
                                  <a:pt x="1386" y="898"/>
                                </a:lnTo>
                                <a:lnTo>
                                  <a:pt x="1310" y="913"/>
                                </a:lnTo>
                                <a:lnTo>
                                  <a:pt x="1233" y="930"/>
                                </a:lnTo>
                                <a:lnTo>
                                  <a:pt x="1127" y="951"/>
                                </a:lnTo>
                                <a:lnTo>
                                  <a:pt x="1022" y="972"/>
                                </a:lnTo>
                                <a:lnTo>
                                  <a:pt x="944" y="984"/>
                                </a:lnTo>
                                <a:lnTo>
                                  <a:pt x="867" y="993"/>
                                </a:lnTo>
                                <a:lnTo>
                                  <a:pt x="790" y="1000"/>
                                </a:lnTo>
                                <a:lnTo>
                                  <a:pt x="714" y="1004"/>
                                </a:lnTo>
                                <a:lnTo>
                                  <a:pt x="638" y="1006"/>
                                </a:lnTo>
                                <a:lnTo>
                                  <a:pt x="764" y="1006"/>
                                </a:lnTo>
                                <a:lnTo>
                                  <a:pt x="790" y="1005"/>
                                </a:lnTo>
                                <a:lnTo>
                                  <a:pt x="867" y="998"/>
                                </a:lnTo>
                                <a:lnTo>
                                  <a:pt x="944" y="989"/>
                                </a:lnTo>
                                <a:lnTo>
                                  <a:pt x="1022" y="976"/>
                                </a:lnTo>
                                <a:lnTo>
                                  <a:pt x="1128" y="956"/>
                                </a:lnTo>
                                <a:lnTo>
                                  <a:pt x="1387" y="903"/>
                                </a:lnTo>
                                <a:lnTo>
                                  <a:pt x="1463" y="889"/>
                                </a:lnTo>
                                <a:lnTo>
                                  <a:pt x="1538" y="876"/>
                                </a:lnTo>
                                <a:lnTo>
                                  <a:pt x="1614" y="865"/>
                                </a:lnTo>
                                <a:lnTo>
                                  <a:pt x="1690" y="855"/>
                                </a:lnTo>
                                <a:lnTo>
                                  <a:pt x="1766" y="846"/>
                                </a:lnTo>
                                <a:lnTo>
                                  <a:pt x="1842" y="838"/>
                                </a:lnTo>
                                <a:lnTo>
                                  <a:pt x="1918" y="832"/>
                                </a:lnTo>
                                <a:lnTo>
                                  <a:pt x="1995" y="828"/>
                                </a:lnTo>
                                <a:lnTo>
                                  <a:pt x="2073" y="825"/>
                                </a:lnTo>
                                <a:lnTo>
                                  <a:pt x="2201" y="823"/>
                                </a:lnTo>
                                <a:lnTo>
                                  <a:pt x="2254" y="823"/>
                                </a:lnTo>
                                <a:lnTo>
                                  <a:pt x="2255" y="822"/>
                                </a:lnTo>
                                <a:lnTo>
                                  <a:pt x="2255" y="820"/>
                                </a:lnTo>
                                <a:lnTo>
                                  <a:pt x="2250" y="820"/>
                                </a:lnTo>
                                <a:lnTo>
                                  <a:pt x="2250" y="818"/>
                                </a:lnTo>
                                <a:close/>
                                <a:moveTo>
                                  <a:pt x="3" y="952"/>
                                </a:moveTo>
                                <a:lnTo>
                                  <a:pt x="5" y="955"/>
                                </a:lnTo>
                                <a:lnTo>
                                  <a:pt x="5" y="953"/>
                                </a:lnTo>
                                <a:lnTo>
                                  <a:pt x="3" y="952"/>
                                </a:lnTo>
                                <a:close/>
                                <a:moveTo>
                                  <a:pt x="5" y="953"/>
                                </a:moveTo>
                                <a:lnTo>
                                  <a:pt x="5" y="955"/>
                                </a:lnTo>
                                <a:lnTo>
                                  <a:pt x="20" y="955"/>
                                </a:lnTo>
                                <a:lnTo>
                                  <a:pt x="5" y="953"/>
                                </a:lnTo>
                                <a:close/>
                                <a:moveTo>
                                  <a:pt x="5" y="952"/>
                                </a:moveTo>
                                <a:lnTo>
                                  <a:pt x="3" y="952"/>
                                </a:lnTo>
                                <a:lnTo>
                                  <a:pt x="5" y="953"/>
                                </a:lnTo>
                                <a:lnTo>
                                  <a:pt x="5" y="952"/>
                                </a:lnTo>
                                <a:close/>
                                <a:moveTo>
                                  <a:pt x="2250" y="2"/>
                                </a:moveTo>
                                <a:lnTo>
                                  <a:pt x="2250" y="820"/>
                                </a:lnTo>
                                <a:lnTo>
                                  <a:pt x="2253" y="818"/>
                                </a:lnTo>
                                <a:lnTo>
                                  <a:pt x="2255" y="818"/>
                                </a:lnTo>
                                <a:lnTo>
                                  <a:pt x="2255" y="4"/>
                                </a:lnTo>
                                <a:lnTo>
                                  <a:pt x="2253" y="4"/>
                                </a:lnTo>
                                <a:lnTo>
                                  <a:pt x="2250" y="2"/>
                                </a:lnTo>
                                <a:close/>
                                <a:moveTo>
                                  <a:pt x="2255" y="818"/>
                                </a:moveTo>
                                <a:lnTo>
                                  <a:pt x="2253" y="818"/>
                                </a:lnTo>
                                <a:lnTo>
                                  <a:pt x="2250" y="820"/>
                                </a:lnTo>
                                <a:lnTo>
                                  <a:pt x="2255" y="820"/>
                                </a:lnTo>
                                <a:lnTo>
                                  <a:pt x="2255" y="818"/>
                                </a:lnTo>
                                <a:close/>
                                <a:moveTo>
                                  <a:pt x="5" y="2"/>
                                </a:moveTo>
                                <a:lnTo>
                                  <a:pt x="3" y="4"/>
                                </a:lnTo>
                                <a:lnTo>
                                  <a:pt x="5" y="4"/>
                                </a:lnTo>
                                <a:lnTo>
                                  <a:pt x="5" y="2"/>
                                </a:lnTo>
                                <a:close/>
                                <a:moveTo>
                                  <a:pt x="2250" y="2"/>
                                </a:moveTo>
                                <a:lnTo>
                                  <a:pt x="5" y="2"/>
                                </a:lnTo>
                                <a:lnTo>
                                  <a:pt x="5" y="4"/>
                                </a:lnTo>
                                <a:lnTo>
                                  <a:pt x="2250" y="4"/>
                                </a:lnTo>
                                <a:lnTo>
                                  <a:pt x="2250" y="2"/>
                                </a:lnTo>
                                <a:close/>
                                <a:moveTo>
                                  <a:pt x="2255" y="2"/>
                                </a:moveTo>
                                <a:lnTo>
                                  <a:pt x="2250" y="2"/>
                                </a:lnTo>
                                <a:lnTo>
                                  <a:pt x="2253" y="4"/>
                                </a:lnTo>
                                <a:lnTo>
                                  <a:pt x="2255" y="4"/>
                                </a:lnTo>
                                <a:lnTo>
                                  <a:pt x="225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2" name="Picture 9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4750" y="1905"/>
                            <a:ext cx="2250"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 name="Freeform 95"/>
                        <wps:cNvSpPr>
                          <a:spLocks/>
                        </wps:cNvSpPr>
                        <wps:spPr bwMode="auto">
                          <a:xfrm>
                            <a:off x="4748" y="1351"/>
                            <a:ext cx="2255" cy="1565"/>
                          </a:xfrm>
                          <a:custGeom>
                            <a:avLst/>
                            <a:gdLst>
                              <a:gd name="T0" fmla="+- 0 7002 4748"/>
                              <a:gd name="T1" fmla="*/ T0 w 2255"/>
                              <a:gd name="T2" fmla="+- 0 1903 1351"/>
                              <a:gd name="T3" fmla="*/ 1903 h 1565"/>
                              <a:gd name="T4" fmla="+- 0 6998 4748"/>
                              <a:gd name="T5" fmla="*/ T4 w 2255"/>
                              <a:gd name="T6" fmla="+- 0 1909 1351"/>
                              <a:gd name="T7" fmla="*/ 1909 h 1565"/>
                              <a:gd name="T8" fmla="+- 0 6949 4748"/>
                              <a:gd name="T9" fmla="*/ T8 w 2255"/>
                              <a:gd name="T10" fmla="+- 0 2722 1351"/>
                              <a:gd name="T11" fmla="*/ 2722 h 1565"/>
                              <a:gd name="T12" fmla="+- 0 6743 4748"/>
                              <a:gd name="T13" fmla="*/ T12 w 2255"/>
                              <a:gd name="T14" fmla="+- 0 2727 1351"/>
                              <a:gd name="T15" fmla="*/ 2727 h 1565"/>
                              <a:gd name="T16" fmla="+- 0 6589 4748"/>
                              <a:gd name="T17" fmla="*/ T16 w 2255"/>
                              <a:gd name="T18" fmla="+- 0 2738 1351"/>
                              <a:gd name="T19" fmla="*/ 2738 h 1565"/>
                              <a:gd name="T20" fmla="+- 0 6437 4748"/>
                              <a:gd name="T21" fmla="*/ T20 w 2255"/>
                              <a:gd name="T22" fmla="+- 0 2754 1351"/>
                              <a:gd name="T23" fmla="*/ 2754 h 1565"/>
                              <a:gd name="T24" fmla="+- 0 6285 4748"/>
                              <a:gd name="T25" fmla="*/ T24 w 2255"/>
                              <a:gd name="T26" fmla="+- 0 2775 1351"/>
                              <a:gd name="T27" fmla="*/ 2775 h 1565"/>
                              <a:gd name="T28" fmla="+- 0 6134 4748"/>
                              <a:gd name="T29" fmla="*/ T28 w 2255"/>
                              <a:gd name="T30" fmla="+- 0 2802 1351"/>
                              <a:gd name="T31" fmla="*/ 2802 h 1565"/>
                              <a:gd name="T32" fmla="+- 0 5770 4748"/>
                              <a:gd name="T33" fmla="*/ T32 w 2255"/>
                              <a:gd name="T34" fmla="+- 0 2875 1351"/>
                              <a:gd name="T35" fmla="*/ 2875 h 1565"/>
                              <a:gd name="T36" fmla="+- 0 5615 4748"/>
                              <a:gd name="T37" fmla="*/ T36 w 2255"/>
                              <a:gd name="T38" fmla="+- 0 2897 1351"/>
                              <a:gd name="T39" fmla="*/ 2897 h 1565"/>
                              <a:gd name="T40" fmla="+- 0 5463 4748"/>
                              <a:gd name="T41" fmla="*/ T40 w 2255"/>
                              <a:gd name="T42" fmla="+- 0 2909 1351"/>
                              <a:gd name="T43" fmla="*/ 2909 h 1565"/>
                              <a:gd name="T44" fmla="+- 0 5311 4748"/>
                              <a:gd name="T45" fmla="*/ T44 w 2255"/>
                              <a:gd name="T46" fmla="+- 0 2910 1351"/>
                              <a:gd name="T47" fmla="*/ 2910 h 1565"/>
                              <a:gd name="T48" fmla="+- 0 5159 4748"/>
                              <a:gd name="T49" fmla="*/ T48 w 2255"/>
                              <a:gd name="T50" fmla="+- 0 2904 1351"/>
                              <a:gd name="T51" fmla="*/ 2904 h 1565"/>
                              <a:gd name="T52" fmla="+- 0 5007 4748"/>
                              <a:gd name="T53" fmla="*/ T52 w 2255"/>
                              <a:gd name="T54" fmla="+- 0 2891 1351"/>
                              <a:gd name="T55" fmla="*/ 2891 h 1565"/>
                              <a:gd name="T56" fmla="+- 0 4853 4748"/>
                              <a:gd name="T57" fmla="*/ T56 w 2255"/>
                              <a:gd name="T58" fmla="+- 0 2872 1351"/>
                              <a:gd name="T59" fmla="*/ 2872 h 1565"/>
                              <a:gd name="T60" fmla="+- 0 4753 4748"/>
                              <a:gd name="T61" fmla="*/ T60 w 2255"/>
                              <a:gd name="T62" fmla="+- 0 2856 1351"/>
                              <a:gd name="T63" fmla="*/ 2856 h 1565"/>
                              <a:gd name="T64" fmla="+- 0 4753 4748"/>
                              <a:gd name="T65" fmla="*/ T64 w 2255"/>
                              <a:gd name="T66" fmla="+- 0 1909 1351"/>
                              <a:gd name="T67" fmla="*/ 1909 h 1565"/>
                              <a:gd name="T68" fmla="+- 0 6998 4748"/>
                              <a:gd name="T69" fmla="*/ T68 w 2255"/>
                              <a:gd name="T70" fmla="+- 0 1903 1351"/>
                              <a:gd name="T71" fmla="*/ 1903 h 1565"/>
                              <a:gd name="T72" fmla="+- 0 5854 4748"/>
                              <a:gd name="T73" fmla="*/ T72 w 2255"/>
                              <a:gd name="T74" fmla="+- 0 1806 1351"/>
                              <a:gd name="T75" fmla="*/ 1806 h 1565"/>
                              <a:gd name="T76" fmla="+- 0 5812 4748"/>
                              <a:gd name="T77" fmla="*/ T76 w 2255"/>
                              <a:gd name="T78" fmla="+- 0 1786 1351"/>
                              <a:gd name="T79" fmla="*/ 1786 h 1565"/>
                              <a:gd name="T80" fmla="+- 0 5797 4748"/>
                              <a:gd name="T81" fmla="*/ T80 w 2255"/>
                              <a:gd name="T82" fmla="+- 0 1351 1351"/>
                              <a:gd name="T83" fmla="*/ 1351 h 1565"/>
                              <a:gd name="T84" fmla="+- 0 5744 4748"/>
                              <a:gd name="T85" fmla="*/ T84 w 2255"/>
                              <a:gd name="T86" fmla="+- 0 1786 1351"/>
                              <a:gd name="T87" fmla="*/ 1786 h 1565"/>
                              <a:gd name="T88" fmla="+- 0 4750 4748"/>
                              <a:gd name="T89" fmla="*/ T88 w 2255"/>
                              <a:gd name="T90" fmla="+- 0 1903 1351"/>
                              <a:gd name="T91" fmla="*/ 1903 h 1565"/>
                              <a:gd name="T92" fmla="+- 0 4748 4748"/>
                              <a:gd name="T93" fmla="*/ T92 w 2255"/>
                              <a:gd name="T94" fmla="+- 0 2861 1351"/>
                              <a:gd name="T95" fmla="*/ 2861 h 1565"/>
                              <a:gd name="T96" fmla="+- 0 4802 4748"/>
                              <a:gd name="T97" fmla="*/ T96 w 2255"/>
                              <a:gd name="T98" fmla="+- 0 2869 1351"/>
                              <a:gd name="T99" fmla="*/ 2869 h 1565"/>
                              <a:gd name="T100" fmla="+- 0 5006 4748"/>
                              <a:gd name="T101" fmla="*/ T100 w 2255"/>
                              <a:gd name="T102" fmla="+- 0 2895 1351"/>
                              <a:gd name="T103" fmla="*/ 2895 h 1565"/>
                              <a:gd name="T104" fmla="+- 0 5159 4748"/>
                              <a:gd name="T105" fmla="*/ T104 w 2255"/>
                              <a:gd name="T106" fmla="+- 0 2909 1351"/>
                              <a:gd name="T107" fmla="*/ 2909 h 1565"/>
                              <a:gd name="T108" fmla="+- 0 5311 4748"/>
                              <a:gd name="T109" fmla="*/ T108 w 2255"/>
                              <a:gd name="T110" fmla="+- 0 2915 1351"/>
                              <a:gd name="T111" fmla="*/ 2915 h 1565"/>
                              <a:gd name="T112" fmla="+- 0 5463 4748"/>
                              <a:gd name="T113" fmla="*/ T112 w 2255"/>
                              <a:gd name="T114" fmla="+- 0 2913 1351"/>
                              <a:gd name="T115" fmla="*/ 2913 h 1565"/>
                              <a:gd name="T116" fmla="+- 0 5539 4748"/>
                              <a:gd name="T117" fmla="*/ T116 w 2255"/>
                              <a:gd name="T118" fmla="+- 0 2909 1351"/>
                              <a:gd name="T119" fmla="*/ 2909 h 1565"/>
                              <a:gd name="T120" fmla="+- 0 5693 4748"/>
                              <a:gd name="T121" fmla="*/ T120 w 2255"/>
                              <a:gd name="T122" fmla="+- 0 2892 1351"/>
                              <a:gd name="T123" fmla="*/ 2892 h 1565"/>
                              <a:gd name="T124" fmla="+- 0 5876 4748"/>
                              <a:gd name="T125" fmla="*/ T124 w 2255"/>
                              <a:gd name="T126" fmla="+- 0 2861 1351"/>
                              <a:gd name="T127" fmla="*/ 2861 h 1565"/>
                              <a:gd name="T128" fmla="+- 0 6136 4748"/>
                              <a:gd name="T129" fmla="*/ T128 w 2255"/>
                              <a:gd name="T130" fmla="+- 0 2806 1351"/>
                              <a:gd name="T131" fmla="*/ 2806 h 1565"/>
                              <a:gd name="T132" fmla="+- 0 6288 4748"/>
                              <a:gd name="T133" fmla="*/ T132 w 2255"/>
                              <a:gd name="T134" fmla="+- 0 2780 1351"/>
                              <a:gd name="T135" fmla="*/ 2780 h 1565"/>
                              <a:gd name="T136" fmla="+- 0 6438 4748"/>
                              <a:gd name="T137" fmla="*/ T136 w 2255"/>
                              <a:gd name="T138" fmla="+- 0 2759 1351"/>
                              <a:gd name="T139" fmla="*/ 2759 h 1565"/>
                              <a:gd name="T140" fmla="+- 0 6589 4748"/>
                              <a:gd name="T141" fmla="*/ T140 w 2255"/>
                              <a:gd name="T142" fmla="+- 0 2743 1351"/>
                              <a:gd name="T143" fmla="*/ 2743 h 1565"/>
                              <a:gd name="T144" fmla="+- 0 6742 4748"/>
                              <a:gd name="T145" fmla="*/ T144 w 2255"/>
                              <a:gd name="T146" fmla="+- 0 2733 1351"/>
                              <a:gd name="T147" fmla="*/ 2733 h 1565"/>
                              <a:gd name="T148" fmla="+- 0 6949 4748"/>
                              <a:gd name="T149" fmla="*/ T148 w 2255"/>
                              <a:gd name="T150" fmla="+- 0 2726 1351"/>
                              <a:gd name="T151" fmla="*/ 2726 h 1565"/>
                              <a:gd name="T152" fmla="+- 0 7003 4748"/>
                              <a:gd name="T153" fmla="*/ T152 w 2255"/>
                              <a:gd name="T154" fmla="+- 0 2725 1351"/>
                              <a:gd name="T155" fmla="*/ 2725 h 1565"/>
                              <a:gd name="T156" fmla="+- 0 7003 4748"/>
                              <a:gd name="T157" fmla="*/ T156 w 2255"/>
                              <a:gd name="T158" fmla="+- 0 2722 1351"/>
                              <a:gd name="T159" fmla="*/ 2722 h 1565"/>
                              <a:gd name="T160" fmla="+- 0 7003 4748"/>
                              <a:gd name="T161" fmla="*/ T160 w 2255"/>
                              <a:gd name="T162" fmla="+- 0 1906 1351"/>
                              <a:gd name="T163" fmla="*/ 1906 h 1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255" h="1565">
                                <a:moveTo>
                                  <a:pt x="2255" y="553"/>
                                </a:moveTo>
                                <a:lnTo>
                                  <a:pt x="2254" y="552"/>
                                </a:lnTo>
                                <a:lnTo>
                                  <a:pt x="2250" y="552"/>
                                </a:lnTo>
                                <a:lnTo>
                                  <a:pt x="2250" y="558"/>
                                </a:lnTo>
                                <a:lnTo>
                                  <a:pt x="2250" y="1371"/>
                                </a:lnTo>
                                <a:lnTo>
                                  <a:pt x="2201" y="1371"/>
                                </a:lnTo>
                                <a:lnTo>
                                  <a:pt x="2073" y="1373"/>
                                </a:lnTo>
                                <a:lnTo>
                                  <a:pt x="1995" y="1376"/>
                                </a:lnTo>
                                <a:lnTo>
                                  <a:pt x="1918" y="1381"/>
                                </a:lnTo>
                                <a:lnTo>
                                  <a:pt x="1841" y="1387"/>
                                </a:lnTo>
                                <a:lnTo>
                                  <a:pt x="1765" y="1394"/>
                                </a:lnTo>
                                <a:lnTo>
                                  <a:pt x="1689" y="1403"/>
                                </a:lnTo>
                                <a:lnTo>
                                  <a:pt x="1613" y="1413"/>
                                </a:lnTo>
                                <a:lnTo>
                                  <a:pt x="1537" y="1424"/>
                                </a:lnTo>
                                <a:lnTo>
                                  <a:pt x="1462" y="1437"/>
                                </a:lnTo>
                                <a:lnTo>
                                  <a:pt x="1386" y="1451"/>
                                </a:lnTo>
                                <a:lnTo>
                                  <a:pt x="1127" y="1504"/>
                                </a:lnTo>
                                <a:lnTo>
                                  <a:pt x="1022" y="1524"/>
                                </a:lnTo>
                                <a:lnTo>
                                  <a:pt x="944" y="1537"/>
                                </a:lnTo>
                                <a:lnTo>
                                  <a:pt x="867" y="1546"/>
                                </a:lnTo>
                                <a:lnTo>
                                  <a:pt x="791" y="1553"/>
                                </a:lnTo>
                                <a:lnTo>
                                  <a:pt x="715" y="1558"/>
                                </a:lnTo>
                                <a:lnTo>
                                  <a:pt x="639" y="1560"/>
                                </a:lnTo>
                                <a:lnTo>
                                  <a:pt x="563" y="1559"/>
                                </a:lnTo>
                                <a:lnTo>
                                  <a:pt x="487" y="1557"/>
                                </a:lnTo>
                                <a:lnTo>
                                  <a:pt x="411" y="1553"/>
                                </a:lnTo>
                                <a:lnTo>
                                  <a:pt x="335" y="1547"/>
                                </a:lnTo>
                                <a:lnTo>
                                  <a:pt x="259" y="1540"/>
                                </a:lnTo>
                                <a:lnTo>
                                  <a:pt x="182" y="1531"/>
                                </a:lnTo>
                                <a:lnTo>
                                  <a:pt x="105" y="1521"/>
                                </a:lnTo>
                                <a:lnTo>
                                  <a:pt x="18" y="1507"/>
                                </a:lnTo>
                                <a:lnTo>
                                  <a:pt x="5" y="1505"/>
                                </a:lnTo>
                                <a:lnTo>
                                  <a:pt x="5" y="558"/>
                                </a:lnTo>
                                <a:lnTo>
                                  <a:pt x="2250" y="558"/>
                                </a:lnTo>
                                <a:lnTo>
                                  <a:pt x="2250" y="552"/>
                                </a:lnTo>
                                <a:lnTo>
                                  <a:pt x="1058" y="552"/>
                                </a:lnTo>
                                <a:lnTo>
                                  <a:pt x="1106" y="455"/>
                                </a:lnTo>
                                <a:lnTo>
                                  <a:pt x="1116" y="435"/>
                                </a:lnTo>
                                <a:lnTo>
                                  <a:pt x="1064" y="435"/>
                                </a:lnTo>
                                <a:lnTo>
                                  <a:pt x="1064" y="0"/>
                                </a:lnTo>
                                <a:lnTo>
                                  <a:pt x="1049" y="0"/>
                                </a:lnTo>
                                <a:lnTo>
                                  <a:pt x="1049" y="435"/>
                                </a:lnTo>
                                <a:lnTo>
                                  <a:pt x="996" y="435"/>
                                </a:lnTo>
                                <a:lnTo>
                                  <a:pt x="1055" y="552"/>
                                </a:lnTo>
                                <a:lnTo>
                                  <a:pt x="2" y="552"/>
                                </a:lnTo>
                                <a:lnTo>
                                  <a:pt x="0" y="553"/>
                                </a:lnTo>
                                <a:lnTo>
                                  <a:pt x="0" y="1510"/>
                                </a:lnTo>
                                <a:lnTo>
                                  <a:pt x="2" y="1510"/>
                                </a:lnTo>
                                <a:lnTo>
                                  <a:pt x="54" y="1518"/>
                                </a:lnTo>
                                <a:lnTo>
                                  <a:pt x="182" y="1536"/>
                                </a:lnTo>
                                <a:lnTo>
                                  <a:pt x="258" y="1544"/>
                                </a:lnTo>
                                <a:lnTo>
                                  <a:pt x="335" y="1552"/>
                                </a:lnTo>
                                <a:lnTo>
                                  <a:pt x="411" y="1558"/>
                                </a:lnTo>
                                <a:lnTo>
                                  <a:pt x="487" y="1562"/>
                                </a:lnTo>
                                <a:lnTo>
                                  <a:pt x="563" y="1564"/>
                                </a:lnTo>
                                <a:lnTo>
                                  <a:pt x="639" y="1564"/>
                                </a:lnTo>
                                <a:lnTo>
                                  <a:pt x="715" y="1562"/>
                                </a:lnTo>
                                <a:lnTo>
                                  <a:pt x="763" y="1560"/>
                                </a:lnTo>
                                <a:lnTo>
                                  <a:pt x="791" y="1558"/>
                                </a:lnTo>
                                <a:lnTo>
                                  <a:pt x="868" y="1551"/>
                                </a:lnTo>
                                <a:lnTo>
                                  <a:pt x="945" y="1541"/>
                                </a:lnTo>
                                <a:lnTo>
                                  <a:pt x="1022" y="1529"/>
                                </a:lnTo>
                                <a:lnTo>
                                  <a:pt x="1128" y="1510"/>
                                </a:lnTo>
                                <a:lnTo>
                                  <a:pt x="1312" y="1470"/>
                                </a:lnTo>
                                <a:lnTo>
                                  <a:pt x="1388" y="1455"/>
                                </a:lnTo>
                                <a:lnTo>
                                  <a:pt x="1464" y="1441"/>
                                </a:lnTo>
                                <a:lnTo>
                                  <a:pt x="1540" y="1429"/>
                                </a:lnTo>
                                <a:lnTo>
                                  <a:pt x="1615" y="1418"/>
                                </a:lnTo>
                                <a:lnTo>
                                  <a:pt x="1690" y="1408"/>
                                </a:lnTo>
                                <a:lnTo>
                                  <a:pt x="1765" y="1399"/>
                                </a:lnTo>
                                <a:lnTo>
                                  <a:pt x="1841" y="1392"/>
                                </a:lnTo>
                                <a:lnTo>
                                  <a:pt x="1917" y="1386"/>
                                </a:lnTo>
                                <a:lnTo>
                                  <a:pt x="1994" y="1382"/>
                                </a:lnTo>
                                <a:lnTo>
                                  <a:pt x="2072" y="1378"/>
                                </a:lnTo>
                                <a:lnTo>
                                  <a:pt x="2201" y="1375"/>
                                </a:lnTo>
                                <a:lnTo>
                                  <a:pt x="2254" y="1375"/>
                                </a:lnTo>
                                <a:lnTo>
                                  <a:pt x="2255" y="1374"/>
                                </a:lnTo>
                                <a:lnTo>
                                  <a:pt x="2255" y="1373"/>
                                </a:lnTo>
                                <a:lnTo>
                                  <a:pt x="2255" y="1371"/>
                                </a:lnTo>
                                <a:lnTo>
                                  <a:pt x="2255" y="558"/>
                                </a:lnTo>
                                <a:lnTo>
                                  <a:pt x="2255" y="555"/>
                                </a:lnTo>
                                <a:lnTo>
                                  <a:pt x="2255" y="5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4" name="Picture 9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4602" y="3691"/>
                            <a:ext cx="2430" cy="1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AutoShape 93"/>
                        <wps:cNvSpPr>
                          <a:spLocks/>
                        </wps:cNvSpPr>
                        <wps:spPr bwMode="auto">
                          <a:xfrm>
                            <a:off x="4467" y="2865"/>
                            <a:ext cx="2661" cy="7267"/>
                          </a:xfrm>
                          <a:custGeom>
                            <a:avLst/>
                            <a:gdLst>
                              <a:gd name="T0" fmla="+- 0 6509 4468"/>
                              <a:gd name="T1" fmla="*/ T0 w 2661"/>
                              <a:gd name="T2" fmla="+- 0 6106 2866"/>
                              <a:gd name="T3" fmla="*/ 6106 h 7267"/>
                              <a:gd name="T4" fmla="+- 0 7030 4468"/>
                              <a:gd name="T5" fmla="*/ T4 w 2661"/>
                              <a:gd name="T6" fmla="+- 0 4648 2866"/>
                              <a:gd name="T7" fmla="*/ 4648 h 7267"/>
                              <a:gd name="T8" fmla="+- 0 6917 4468"/>
                              <a:gd name="T9" fmla="*/ T8 w 2661"/>
                              <a:gd name="T10" fmla="+- 0 4651 2866"/>
                              <a:gd name="T11" fmla="*/ 4651 h 7267"/>
                              <a:gd name="T12" fmla="+- 0 6854 4468"/>
                              <a:gd name="T13" fmla="*/ T12 w 2661"/>
                              <a:gd name="T14" fmla="+- 0 3815 2866"/>
                              <a:gd name="T15" fmla="*/ 3815 h 7267"/>
                              <a:gd name="T16" fmla="+- 0 6850 4468"/>
                              <a:gd name="T17" fmla="*/ T16 w 2661"/>
                              <a:gd name="T18" fmla="+- 0 4772 2866"/>
                              <a:gd name="T19" fmla="*/ 4772 h 7267"/>
                              <a:gd name="T20" fmla="+- 0 6696 4468"/>
                              <a:gd name="T21" fmla="*/ T20 w 2661"/>
                              <a:gd name="T22" fmla="+- 0 3935 2866"/>
                              <a:gd name="T23" fmla="*/ 3935 h 7267"/>
                              <a:gd name="T24" fmla="+- 0 6646 4468"/>
                              <a:gd name="T25" fmla="*/ T24 w 2661"/>
                              <a:gd name="T26" fmla="+- 0 4890 2866"/>
                              <a:gd name="T27" fmla="*/ 4890 h 7267"/>
                              <a:gd name="T28" fmla="+- 0 6206 4468"/>
                              <a:gd name="T29" fmla="*/ T28 w 2661"/>
                              <a:gd name="T30" fmla="+- 0 4923 2866"/>
                              <a:gd name="T31" fmla="*/ 4923 h 7267"/>
                              <a:gd name="T32" fmla="+- 0 5824 4468"/>
                              <a:gd name="T33" fmla="*/ T32 w 2661"/>
                              <a:gd name="T34" fmla="+- 0 5003 2866"/>
                              <a:gd name="T35" fmla="*/ 5003 h 7267"/>
                              <a:gd name="T36" fmla="+- 0 5316 4468"/>
                              <a:gd name="T37" fmla="*/ T36 w 2661"/>
                              <a:gd name="T38" fmla="+- 0 5116 2866"/>
                              <a:gd name="T39" fmla="*/ 5116 h 7267"/>
                              <a:gd name="T40" fmla="+- 0 4931 4468"/>
                              <a:gd name="T41" fmla="*/ T40 w 2661"/>
                              <a:gd name="T42" fmla="+- 0 5118 2866"/>
                              <a:gd name="T43" fmla="*/ 5118 h 7267"/>
                              <a:gd name="T44" fmla="+- 0 4604 4468"/>
                              <a:gd name="T45" fmla="*/ T44 w 2661"/>
                              <a:gd name="T46" fmla="+- 0 5074 2866"/>
                              <a:gd name="T47" fmla="*/ 5074 h 7267"/>
                              <a:gd name="T48" fmla="+- 0 4776 4468"/>
                              <a:gd name="T49" fmla="*/ T48 w 2661"/>
                              <a:gd name="T50" fmla="+- 0 3934 2866"/>
                              <a:gd name="T51" fmla="*/ 3934 h 7267"/>
                              <a:gd name="T52" fmla="+- 0 4938 4468"/>
                              <a:gd name="T53" fmla="*/ T52 w 2661"/>
                              <a:gd name="T54" fmla="+- 0 3694 2866"/>
                              <a:gd name="T55" fmla="*/ 3694 h 7267"/>
                              <a:gd name="T56" fmla="+- 0 5880 4468"/>
                              <a:gd name="T57" fmla="*/ T56 w 2661"/>
                              <a:gd name="T58" fmla="+- 0 3571 2866"/>
                              <a:gd name="T59" fmla="*/ 3571 h 7267"/>
                              <a:gd name="T60" fmla="+- 0 5760 4468"/>
                              <a:gd name="T61" fmla="*/ T60 w 2661"/>
                              <a:gd name="T62" fmla="+- 0 3571 2866"/>
                              <a:gd name="T63" fmla="*/ 3571 h 7267"/>
                              <a:gd name="T64" fmla="+- 0 4772 4468"/>
                              <a:gd name="T65" fmla="*/ T64 w 2661"/>
                              <a:gd name="T66" fmla="+- 0 3810 2866"/>
                              <a:gd name="T67" fmla="*/ 3810 h 7267"/>
                              <a:gd name="T68" fmla="+- 0 4601 4468"/>
                              <a:gd name="T69" fmla="*/ T68 w 2661"/>
                              <a:gd name="T70" fmla="+- 0 5080 2866"/>
                              <a:gd name="T71" fmla="*/ 5080 h 7267"/>
                              <a:gd name="T72" fmla="+- 0 4932 4468"/>
                              <a:gd name="T73" fmla="*/ T72 w 2661"/>
                              <a:gd name="T74" fmla="+- 0 5123 2866"/>
                              <a:gd name="T75" fmla="*/ 5123 h 7267"/>
                              <a:gd name="T76" fmla="+- 0 5257 4468"/>
                              <a:gd name="T77" fmla="*/ T76 w 2661"/>
                              <a:gd name="T78" fmla="+- 0 5125 2866"/>
                              <a:gd name="T79" fmla="*/ 5125 h 7267"/>
                              <a:gd name="T80" fmla="+- 0 5648 4468"/>
                              <a:gd name="T81" fmla="*/ T80 w 2661"/>
                              <a:gd name="T82" fmla="+- 0 5056 2866"/>
                              <a:gd name="T83" fmla="*/ 5056 h 7267"/>
                              <a:gd name="T84" fmla="+- 0 6131 4468"/>
                              <a:gd name="T85" fmla="*/ T84 w 2661"/>
                              <a:gd name="T86" fmla="+- 0 4940 2866"/>
                              <a:gd name="T87" fmla="*/ 4940 h 7267"/>
                              <a:gd name="T88" fmla="+- 0 6518 4468"/>
                              <a:gd name="T89" fmla="*/ T88 w 2661"/>
                              <a:gd name="T90" fmla="+- 0 4899 2866"/>
                              <a:gd name="T91" fmla="*/ 4899 h 7267"/>
                              <a:gd name="T92" fmla="+- 0 6696 4468"/>
                              <a:gd name="T93" fmla="*/ T92 w 2661"/>
                              <a:gd name="T94" fmla="+- 0 4894 2866"/>
                              <a:gd name="T95" fmla="*/ 4894 h 7267"/>
                              <a:gd name="T96" fmla="+- 0 6696 4468"/>
                              <a:gd name="T97" fmla="*/ T96 w 2661"/>
                              <a:gd name="T98" fmla="+- 0 4783 2866"/>
                              <a:gd name="T99" fmla="*/ 4783 h 7267"/>
                              <a:gd name="T100" fmla="+- 0 6854 4468"/>
                              <a:gd name="T101" fmla="*/ T100 w 2661"/>
                              <a:gd name="T102" fmla="+- 0 4775 2866"/>
                              <a:gd name="T103" fmla="*/ 4775 h 7267"/>
                              <a:gd name="T104" fmla="+- 0 6875 4468"/>
                              <a:gd name="T105" fmla="*/ T104 w 2661"/>
                              <a:gd name="T106" fmla="+- 0 4657 2866"/>
                              <a:gd name="T107" fmla="*/ 4657 h 7267"/>
                              <a:gd name="T108" fmla="+- 0 7033 4468"/>
                              <a:gd name="T109" fmla="*/ T108 w 2661"/>
                              <a:gd name="T110" fmla="+- 0 4654 2866"/>
                              <a:gd name="T111" fmla="*/ 4654 h 7267"/>
                              <a:gd name="T112" fmla="+- 0 7034 4468"/>
                              <a:gd name="T113" fmla="*/ T112 w 2661"/>
                              <a:gd name="T114" fmla="+- 0 3691 2866"/>
                              <a:gd name="T115" fmla="*/ 3691 h 7267"/>
                              <a:gd name="T116" fmla="+- 0 7123 4468"/>
                              <a:gd name="T117" fmla="*/ T116 w 2661"/>
                              <a:gd name="T118" fmla="+- 0 5824 2866"/>
                              <a:gd name="T119" fmla="*/ 5824 h 7267"/>
                              <a:gd name="T120" fmla="+- 0 6852 4468"/>
                              <a:gd name="T121" fmla="*/ T120 w 2661"/>
                              <a:gd name="T122" fmla="+- 0 9339 2866"/>
                              <a:gd name="T123" fmla="*/ 9339 h 7267"/>
                              <a:gd name="T124" fmla="+- 0 6546 4468"/>
                              <a:gd name="T125" fmla="*/ T124 w 2661"/>
                              <a:gd name="T126" fmla="+- 0 9419 2866"/>
                              <a:gd name="T127" fmla="*/ 9419 h 7267"/>
                              <a:gd name="T128" fmla="+- 0 6289 4468"/>
                              <a:gd name="T129" fmla="*/ T128 w 2661"/>
                              <a:gd name="T130" fmla="+- 0 9543 2866"/>
                              <a:gd name="T131" fmla="*/ 9543 h 7267"/>
                              <a:gd name="T132" fmla="+- 0 6067 4468"/>
                              <a:gd name="T133" fmla="*/ T132 w 2661"/>
                              <a:gd name="T134" fmla="+- 0 9692 2866"/>
                              <a:gd name="T135" fmla="*/ 9692 h 7267"/>
                              <a:gd name="T136" fmla="+- 0 5743 4468"/>
                              <a:gd name="T137" fmla="*/ T136 w 2661"/>
                              <a:gd name="T138" fmla="+- 0 9930 2866"/>
                              <a:gd name="T139" fmla="*/ 9930 h 7267"/>
                              <a:gd name="T140" fmla="+- 0 5539 4468"/>
                              <a:gd name="T141" fmla="*/ T140 w 2661"/>
                              <a:gd name="T142" fmla="+- 0 10048 2866"/>
                              <a:gd name="T143" fmla="*/ 10048 h 7267"/>
                              <a:gd name="T144" fmla="+- 0 5314 4468"/>
                              <a:gd name="T145" fmla="*/ T144 w 2661"/>
                              <a:gd name="T146" fmla="+- 0 10117 2866"/>
                              <a:gd name="T147" fmla="*/ 10117 h 7267"/>
                              <a:gd name="T148" fmla="+- 0 5055 4468"/>
                              <a:gd name="T149" fmla="*/ T148 w 2661"/>
                              <a:gd name="T150" fmla="+- 0 10119 2866"/>
                              <a:gd name="T151" fmla="*/ 10119 h 7267"/>
                              <a:gd name="T152" fmla="+- 0 4747 4468"/>
                              <a:gd name="T153" fmla="*/ T152 w 2661"/>
                              <a:gd name="T154" fmla="+- 0 10032 2866"/>
                              <a:gd name="T155" fmla="*/ 10032 h 7267"/>
                              <a:gd name="T156" fmla="+- 0 4474 4468"/>
                              <a:gd name="T157" fmla="*/ T156 w 2661"/>
                              <a:gd name="T158" fmla="+- 0 9897 2866"/>
                              <a:gd name="T159" fmla="*/ 9897 h 7267"/>
                              <a:gd name="T160" fmla="+- 0 4469 4468"/>
                              <a:gd name="T161" fmla="*/ T160 w 2661"/>
                              <a:gd name="T162" fmla="+- 0 5819 2866"/>
                              <a:gd name="T163" fmla="*/ 5819 h 7267"/>
                              <a:gd name="T164" fmla="+- 0 4531 4468"/>
                              <a:gd name="T165" fmla="*/ T164 w 2661"/>
                              <a:gd name="T166" fmla="+- 0 9934 2866"/>
                              <a:gd name="T167" fmla="*/ 9934 h 7267"/>
                              <a:gd name="T168" fmla="+- 0 4877 4468"/>
                              <a:gd name="T169" fmla="*/ T168 w 2661"/>
                              <a:gd name="T170" fmla="+- 0 10083 2866"/>
                              <a:gd name="T171" fmla="*/ 10083 h 7267"/>
                              <a:gd name="T172" fmla="+- 0 5164 4468"/>
                              <a:gd name="T173" fmla="*/ T172 w 2661"/>
                              <a:gd name="T174" fmla="+- 0 10133 2866"/>
                              <a:gd name="T175" fmla="*/ 10133 h 7267"/>
                              <a:gd name="T176" fmla="+- 0 5362 4468"/>
                              <a:gd name="T177" fmla="*/ T176 w 2661"/>
                              <a:gd name="T178" fmla="+- 0 10113 2866"/>
                              <a:gd name="T179" fmla="*/ 10113 h 7267"/>
                              <a:gd name="T180" fmla="+- 0 5582 4468"/>
                              <a:gd name="T181" fmla="*/ T180 w 2661"/>
                              <a:gd name="T182" fmla="+- 0 10032 2866"/>
                              <a:gd name="T183" fmla="*/ 10032 h 7267"/>
                              <a:gd name="T184" fmla="+- 0 5785 4468"/>
                              <a:gd name="T185" fmla="*/ T184 w 2661"/>
                              <a:gd name="T186" fmla="+- 0 9907 2866"/>
                              <a:gd name="T187" fmla="*/ 9907 h 7267"/>
                              <a:gd name="T188" fmla="+- 0 6111 4468"/>
                              <a:gd name="T189" fmla="*/ T188 w 2661"/>
                              <a:gd name="T190" fmla="+- 0 9666 2866"/>
                              <a:gd name="T191" fmla="*/ 9666 h 7267"/>
                              <a:gd name="T192" fmla="+- 0 6340 4468"/>
                              <a:gd name="T193" fmla="*/ T192 w 2661"/>
                              <a:gd name="T194" fmla="+- 0 9520 2866"/>
                              <a:gd name="T195" fmla="*/ 9520 h 7267"/>
                              <a:gd name="T196" fmla="+- 0 6604 4468"/>
                              <a:gd name="T197" fmla="*/ T196 w 2661"/>
                              <a:gd name="T198" fmla="+- 0 9403 2866"/>
                              <a:gd name="T199" fmla="*/ 9403 h 7267"/>
                              <a:gd name="T200" fmla="+- 0 6920 4468"/>
                              <a:gd name="T201" fmla="*/ T200 w 2661"/>
                              <a:gd name="T202" fmla="+- 0 9335 2866"/>
                              <a:gd name="T203" fmla="*/ 9335 h 7267"/>
                              <a:gd name="T204" fmla="+- 0 7128 4468"/>
                              <a:gd name="T205" fmla="*/ T204 w 2661"/>
                              <a:gd name="T206" fmla="+- 0 9323 2866"/>
                              <a:gd name="T207" fmla="*/ 9323 h 7267"/>
                              <a:gd name="T208" fmla="+- 0 7128 4468"/>
                              <a:gd name="T209" fmla="*/ T208 w 2661"/>
                              <a:gd name="T210" fmla="+- 0 5820 2866"/>
                              <a:gd name="T211" fmla="*/ 5820 h 7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661" h="7267">
                                <a:moveTo>
                                  <a:pt x="2041" y="3240"/>
                                </a:moveTo>
                                <a:lnTo>
                                  <a:pt x="618" y="3240"/>
                                </a:lnTo>
                                <a:lnTo>
                                  <a:pt x="618" y="3261"/>
                                </a:lnTo>
                                <a:lnTo>
                                  <a:pt x="2041" y="3261"/>
                                </a:lnTo>
                                <a:lnTo>
                                  <a:pt x="2041" y="3240"/>
                                </a:lnTo>
                                <a:close/>
                                <a:moveTo>
                                  <a:pt x="2566" y="824"/>
                                </a:moveTo>
                                <a:lnTo>
                                  <a:pt x="2565" y="823"/>
                                </a:lnTo>
                                <a:lnTo>
                                  <a:pt x="2562" y="823"/>
                                </a:lnTo>
                                <a:lnTo>
                                  <a:pt x="2562" y="828"/>
                                </a:lnTo>
                                <a:lnTo>
                                  <a:pt x="2562" y="1782"/>
                                </a:lnTo>
                                <a:lnTo>
                                  <a:pt x="2530" y="1783"/>
                                </a:lnTo>
                                <a:lnTo>
                                  <a:pt x="2514" y="1783"/>
                                </a:lnTo>
                                <a:lnTo>
                                  <a:pt x="2492" y="1783"/>
                                </a:lnTo>
                                <a:lnTo>
                                  <a:pt x="2470" y="1784"/>
                                </a:lnTo>
                                <a:lnTo>
                                  <a:pt x="2449" y="1785"/>
                                </a:lnTo>
                                <a:lnTo>
                                  <a:pt x="2427" y="1785"/>
                                </a:lnTo>
                                <a:lnTo>
                                  <a:pt x="2416" y="1785"/>
                                </a:lnTo>
                                <a:lnTo>
                                  <a:pt x="2407" y="1786"/>
                                </a:lnTo>
                                <a:lnTo>
                                  <a:pt x="2386" y="1786"/>
                                </a:lnTo>
                                <a:lnTo>
                                  <a:pt x="2386" y="949"/>
                                </a:lnTo>
                                <a:lnTo>
                                  <a:pt x="2386" y="945"/>
                                </a:lnTo>
                                <a:lnTo>
                                  <a:pt x="2385" y="944"/>
                                </a:lnTo>
                                <a:lnTo>
                                  <a:pt x="2382" y="944"/>
                                </a:lnTo>
                                <a:lnTo>
                                  <a:pt x="2382" y="949"/>
                                </a:lnTo>
                                <a:lnTo>
                                  <a:pt x="2382" y="1906"/>
                                </a:lnTo>
                                <a:lnTo>
                                  <a:pt x="2354" y="1906"/>
                                </a:lnTo>
                                <a:lnTo>
                                  <a:pt x="2322" y="1907"/>
                                </a:lnTo>
                                <a:lnTo>
                                  <a:pt x="2228" y="1912"/>
                                </a:lnTo>
                                <a:lnTo>
                                  <a:pt x="2228" y="1072"/>
                                </a:lnTo>
                                <a:lnTo>
                                  <a:pt x="2228" y="1069"/>
                                </a:lnTo>
                                <a:lnTo>
                                  <a:pt x="2227" y="1068"/>
                                </a:lnTo>
                                <a:lnTo>
                                  <a:pt x="2223" y="1068"/>
                                </a:lnTo>
                                <a:lnTo>
                                  <a:pt x="2223" y="1072"/>
                                </a:lnTo>
                                <a:lnTo>
                                  <a:pt x="2223" y="2024"/>
                                </a:lnTo>
                                <a:lnTo>
                                  <a:pt x="2178" y="2024"/>
                                </a:lnTo>
                                <a:lnTo>
                                  <a:pt x="2049" y="2028"/>
                                </a:lnTo>
                                <a:lnTo>
                                  <a:pt x="1970" y="2032"/>
                                </a:lnTo>
                                <a:lnTo>
                                  <a:pt x="1892" y="2038"/>
                                </a:lnTo>
                                <a:lnTo>
                                  <a:pt x="1814" y="2046"/>
                                </a:lnTo>
                                <a:lnTo>
                                  <a:pt x="1738" y="2057"/>
                                </a:lnTo>
                                <a:lnTo>
                                  <a:pt x="1662" y="2069"/>
                                </a:lnTo>
                                <a:lnTo>
                                  <a:pt x="1586" y="2083"/>
                                </a:lnTo>
                                <a:lnTo>
                                  <a:pt x="1510" y="2099"/>
                                </a:lnTo>
                                <a:lnTo>
                                  <a:pt x="1433" y="2117"/>
                                </a:lnTo>
                                <a:lnTo>
                                  <a:pt x="1356" y="2137"/>
                                </a:lnTo>
                                <a:lnTo>
                                  <a:pt x="1179" y="2185"/>
                                </a:lnTo>
                                <a:lnTo>
                                  <a:pt x="1081" y="2210"/>
                                </a:lnTo>
                                <a:lnTo>
                                  <a:pt x="1003" y="2227"/>
                                </a:lnTo>
                                <a:lnTo>
                                  <a:pt x="925" y="2240"/>
                                </a:lnTo>
                                <a:lnTo>
                                  <a:pt x="848" y="2250"/>
                                </a:lnTo>
                                <a:lnTo>
                                  <a:pt x="771" y="2256"/>
                                </a:lnTo>
                                <a:lnTo>
                                  <a:pt x="694" y="2259"/>
                                </a:lnTo>
                                <a:lnTo>
                                  <a:pt x="617" y="2259"/>
                                </a:lnTo>
                                <a:lnTo>
                                  <a:pt x="540" y="2257"/>
                                </a:lnTo>
                                <a:lnTo>
                                  <a:pt x="463" y="2252"/>
                                </a:lnTo>
                                <a:lnTo>
                                  <a:pt x="385" y="2244"/>
                                </a:lnTo>
                                <a:lnTo>
                                  <a:pt x="307" y="2235"/>
                                </a:lnTo>
                                <a:lnTo>
                                  <a:pt x="182" y="2216"/>
                                </a:lnTo>
                                <a:lnTo>
                                  <a:pt x="148" y="2210"/>
                                </a:lnTo>
                                <a:lnTo>
                                  <a:pt x="136" y="2208"/>
                                </a:lnTo>
                                <a:lnTo>
                                  <a:pt x="136" y="1072"/>
                                </a:lnTo>
                                <a:lnTo>
                                  <a:pt x="2223" y="1072"/>
                                </a:lnTo>
                                <a:lnTo>
                                  <a:pt x="2223" y="1068"/>
                                </a:lnTo>
                                <a:lnTo>
                                  <a:pt x="308" y="1068"/>
                                </a:lnTo>
                                <a:lnTo>
                                  <a:pt x="308" y="949"/>
                                </a:lnTo>
                                <a:lnTo>
                                  <a:pt x="2382" y="949"/>
                                </a:lnTo>
                                <a:lnTo>
                                  <a:pt x="2382" y="944"/>
                                </a:lnTo>
                                <a:lnTo>
                                  <a:pt x="470" y="944"/>
                                </a:lnTo>
                                <a:lnTo>
                                  <a:pt x="470" y="828"/>
                                </a:lnTo>
                                <a:lnTo>
                                  <a:pt x="2562" y="828"/>
                                </a:lnTo>
                                <a:lnTo>
                                  <a:pt x="2562" y="823"/>
                                </a:lnTo>
                                <a:lnTo>
                                  <a:pt x="1353" y="823"/>
                                </a:lnTo>
                                <a:lnTo>
                                  <a:pt x="1402" y="726"/>
                                </a:lnTo>
                                <a:lnTo>
                                  <a:pt x="1412" y="705"/>
                                </a:lnTo>
                                <a:lnTo>
                                  <a:pt x="1359" y="705"/>
                                </a:lnTo>
                                <a:lnTo>
                                  <a:pt x="1359" y="0"/>
                                </a:lnTo>
                                <a:lnTo>
                                  <a:pt x="1344" y="0"/>
                                </a:lnTo>
                                <a:lnTo>
                                  <a:pt x="1344" y="705"/>
                                </a:lnTo>
                                <a:lnTo>
                                  <a:pt x="1292" y="705"/>
                                </a:lnTo>
                                <a:lnTo>
                                  <a:pt x="1351" y="823"/>
                                </a:lnTo>
                                <a:lnTo>
                                  <a:pt x="466" y="823"/>
                                </a:lnTo>
                                <a:lnTo>
                                  <a:pt x="465" y="824"/>
                                </a:lnTo>
                                <a:lnTo>
                                  <a:pt x="465" y="944"/>
                                </a:lnTo>
                                <a:lnTo>
                                  <a:pt x="304" y="944"/>
                                </a:lnTo>
                                <a:lnTo>
                                  <a:pt x="303" y="945"/>
                                </a:lnTo>
                                <a:lnTo>
                                  <a:pt x="303" y="1068"/>
                                </a:lnTo>
                                <a:lnTo>
                                  <a:pt x="132" y="1068"/>
                                </a:lnTo>
                                <a:lnTo>
                                  <a:pt x="132" y="2212"/>
                                </a:lnTo>
                                <a:lnTo>
                                  <a:pt x="133" y="2214"/>
                                </a:lnTo>
                                <a:lnTo>
                                  <a:pt x="182" y="2221"/>
                                </a:lnTo>
                                <a:lnTo>
                                  <a:pt x="229" y="2229"/>
                                </a:lnTo>
                                <a:lnTo>
                                  <a:pt x="308" y="2240"/>
                                </a:lnTo>
                                <a:lnTo>
                                  <a:pt x="387" y="2249"/>
                                </a:lnTo>
                                <a:lnTo>
                                  <a:pt x="464" y="2257"/>
                                </a:lnTo>
                                <a:lnTo>
                                  <a:pt x="541" y="2262"/>
                                </a:lnTo>
                                <a:lnTo>
                                  <a:pt x="618" y="2264"/>
                                </a:lnTo>
                                <a:lnTo>
                                  <a:pt x="694" y="2264"/>
                                </a:lnTo>
                                <a:lnTo>
                                  <a:pt x="771" y="2261"/>
                                </a:lnTo>
                                <a:lnTo>
                                  <a:pt x="789" y="2259"/>
                                </a:lnTo>
                                <a:lnTo>
                                  <a:pt x="848" y="2255"/>
                                </a:lnTo>
                                <a:lnTo>
                                  <a:pt x="925" y="2245"/>
                                </a:lnTo>
                                <a:lnTo>
                                  <a:pt x="1003" y="2232"/>
                                </a:lnTo>
                                <a:lnTo>
                                  <a:pt x="1082" y="2215"/>
                                </a:lnTo>
                                <a:lnTo>
                                  <a:pt x="1180" y="2190"/>
                                </a:lnTo>
                                <a:lnTo>
                                  <a:pt x="1357" y="2141"/>
                                </a:lnTo>
                                <a:lnTo>
                                  <a:pt x="1434" y="2122"/>
                                </a:lnTo>
                                <a:lnTo>
                                  <a:pt x="1511" y="2104"/>
                                </a:lnTo>
                                <a:lnTo>
                                  <a:pt x="1587" y="2088"/>
                                </a:lnTo>
                                <a:lnTo>
                                  <a:pt x="1663" y="2074"/>
                                </a:lnTo>
                                <a:lnTo>
                                  <a:pt x="1738" y="2062"/>
                                </a:lnTo>
                                <a:lnTo>
                                  <a:pt x="1815" y="2052"/>
                                </a:lnTo>
                                <a:lnTo>
                                  <a:pt x="1892" y="2043"/>
                                </a:lnTo>
                                <a:lnTo>
                                  <a:pt x="1970" y="2037"/>
                                </a:lnTo>
                                <a:lnTo>
                                  <a:pt x="2050" y="2033"/>
                                </a:lnTo>
                                <a:lnTo>
                                  <a:pt x="2131" y="2030"/>
                                </a:lnTo>
                                <a:lnTo>
                                  <a:pt x="2178" y="2030"/>
                                </a:lnTo>
                                <a:lnTo>
                                  <a:pt x="2226" y="2029"/>
                                </a:lnTo>
                                <a:lnTo>
                                  <a:pt x="2227" y="2029"/>
                                </a:lnTo>
                                <a:lnTo>
                                  <a:pt x="2228" y="2028"/>
                                </a:lnTo>
                                <a:lnTo>
                                  <a:pt x="2228" y="2026"/>
                                </a:lnTo>
                                <a:lnTo>
                                  <a:pt x="2228" y="2024"/>
                                </a:lnTo>
                                <a:lnTo>
                                  <a:pt x="2228" y="1918"/>
                                </a:lnTo>
                                <a:lnTo>
                                  <a:pt x="2228" y="1917"/>
                                </a:lnTo>
                                <a:lnTo>
                                  <a:pt x="2322" y="1912"/>
                                </a:lnTo>
                                <a:lnTo>
                                  <a:pt x="2354" y="1911"/>
                                </a:lnTo>
                                <a:lnTo>
                                  <a:pt x="2385" y="1911"/>
                                </a:lnTo>
                                <a:lnTo>
                                  <a:pt x="2386" y="1910"/>
                                </a:lnTo>
                                <a:lnTo>
                                  <a:pt x="2386" y="1909"/>
                                </a:lnTo>
                                <a:lnTo>
                                  <a:pt x="2386" y="1906"/>
                                </a:lnTo>
                                <a:lnTo>
                                  <a:pt x="2386" y="1792"/>
                                </a:lnTo>
                                <a:lnTo>
                                  <a:pt x="2390" y="1792"/>
                                </a:lnTo>
                                <a:lnTo>
                                  <a:pt x="2392" y="1791"/>
                                </a:lnTo>
                                <a:lnTo>
                                  <a:pt x="2407" y="1791"/>
                                </a:lnTo>
                                <a:lnTo>
                                  <a:pt x="2416" y="1790"/>
                                </a:lnTo>
                                <a:lnTo>
                                  <a:pt x="2440" y="1790"/>
                                </a:lnTo>
                                <a:lnTo>
                                  <a:pt x="2458" y="1789"/>
                                </a:lnTo>
                                <a:lnTo>
                                  <a:pt x="2514" y="1788"/>
                                </a:lnTo>
                                <a:lnTo>
                                  <a:pt x="2565" y="1788"/>
                                </a:lnTo>
                                <a:lnTo>
                                  <a:pt x="2566" y="1786"/>
                                </a:lnTo>
                                <a:lnTo>
                                  <a:pt x="2566" y="1784"/>
                                </a:lnTo>
                                <a:lnTo>
                                  <a:pt x="2566" y="1782"/>
                                </a:lnTo>
                                <a:lnTo>
                                  <a:pt x="2566" y="828"/>
                                </a:lnTo>
                                <a:lnTo>
                                  <a:pt x="2566" y="825"/>
                                </a:lnTo>
                                <a:lnTo>
                                  <a:pt x="2566" y="824"/>
                                </a:lnTo>
                                <a:close/>
                                <a:moveTo>
                                  <a:pt x="2660" y="2954"/>
                                </a:moveTo>
                                <a:lnTo>
                                  <a:pt x="2659" y="2953"/>
                                </a:lnTo>
                                <a:lnTo>
                                  <a:pt x="2655" y="2953"/>
                                </a:lnTo>
                                <a:lnTo>
                                  <a:pt x="2655" y="2958"/>
                                </a:lnTo>
                                <a:lnTo>
                                  <a:pt x="2655" y="6453"/>
                                </a:lnTo>
                                <a:lnTo>
                                  <a:pt x="2596" y="6454"/>
                                </a:lnTo>
                                <a:lnTo>
                                  <a:pt x="2523" y="6458"/>
                                </a:lnTo>
                                <a:lnTo>
                                  <a:pt x="2452" y="6464"/>
                                </a:lnTo>
                                <a:lnTo>
                                  <a:pt x="2384" y="6473"/>
                                </a:lnTo>
                                <a:lnTo>
                                  <a:pt x="2318" y="6484"/>
                                </a:lnTo>
                                <a:lnTo>
                                  <a:pt x="2255" y="6498"/>
                                </a:lnTo>
                                <a:lnTo>
                                  <a:pt x="2194" y="6514"/>
                                </a:lnTo>
                                <a:lnTo>
                                  <a:pt x="2135" y="6532"/>
                                </a:lnTo>
                                <a:lnTo>
                                  <a:pt x="2078" y="6553"/>
                                </a:lnTo>
                                <a:lnTo>
                                  <a:pt x="2023" y="6575"/>
                                </a:lnTo>
                                <a:lnTo>
                                  <a:pt x="1970" y="6598"/>
                                </a:lnTo>
                                <a:lnTo>
                                  <a:pt x="1919" y="6623"/>
                                </a:lnTo>
                                <a:lnTo>
                                  <a:pt x="1870" y="6649"/>
                                </a:lnTo>
                                <a:lnTo>
                                  <a:pt x="1821" y="6677"/>
                                </a:lnTo>
                                <a:lnTo>
                                  <a:pt x="1775" y="6705"/>
                                </a:lnTo>
                                <a:lnTo>
                                  <a:pt x="1729" y="6735"/>
                                </a:lnTo>
                                <a:lnTo>
                                  <a:pt x="1685" y="6764"/>
                                </a:lnTo>
                                <a:lnTo>
                                  <a:pt x="1641" y="6795"/>
                                </a:lnTo>
                                <a:lnTo>
                                  <a:pt x="1599" y="6826"/>
                                </a:lnTo>
                                <a:lnTo>
                                  <a:pt x="1557" y="6856"/>
                                </a:lnTo>
                                <a:lnTo>
                                  <a:pt x="1395" y="6978"/>
                                </a:lnTo>
                                <a:lnTo>
                                  <a:pt x="1355" y="7008"/>
                                </a:lnTo>
                                <a:lnTo>
                                  <a:pt x="1315" y="7036"/>
                                </a:lnTo>
                                <a:lnTo>
                                  <a:pt x="1275" y="7064"/>
                                </a:lnTo>
                                <a:lnTo>
                                  <a:pt x="1235" y="7090"/>
                                </a:lnTo>
                                <a:lnTo>
                                  <a:pt x="1195" y="7115"/>
                                </a:lnTo>
                                <a:lnTo>
                                  <a:pt x="1154" y="7139"/>
                                </a:lnTo>
                                <a:lnTo>
                                  <a:pt x="1113" y="7161"/>
                                </a:lnTo>
                                <a:lnTo>
                                  <a:pt x="1071" y="7182"/>
                                </a:lnTo>
                                <a:lnTo>
                                  <a:pt x="1028" y="7200"/>
                                </a:lnTo>
                                <a:lnTo>
                                  <a:pt x="984" y="7216"/>
                                </a:lnTo>
                                <a:lnTo>
                                  <a:pt x="939" y="7230"/>
                                </a:lnTo>
                                <a:lnTo>
                                  <a:pt x="893" y="7242"/>
                                </a:lnTo>
                                <a:lnTo>
                                  <a:pt x="846" y="7251"/>
                                </a:lnTo>
                                <a:lnTo>
                                  <a:pt x="798" y="7258"/>
                                </a:lnTo>
                                <a:lnTo>
                                  <a:pt x="748" y="7261"/>
                                </a:lnTo>
                                <a:lnTo>
                                  <a:pt x="696" y="7261"/>
                                </a:lnTo>
                                <a:lnTo>
                                  <a:pt x="643" y="7259"/>
                                </a:lnTo>
                                <a:lnTo>
                                  <a:pt x="587" y="7253"/>
                                </a:lnTo>
                                <a:lnTo>
                                  <a:pt x="530" y="7243"/>
                                </a:lnTo>
                                <a:lnTo>
                                  <a:pt x="471" y="7230"/>
                                </a:lnTo>
                                <a:lnTo>
                                  <a:pt x="409" y="7212"/>
                                </a:lnTo>
                                <a:lnTo>
                                  <a:pt x="346" y="7191"/>
                                </a:lnTo>
                                <a:lnTo>
                                  <a:pt x="279" y="7166"/>
                                </a:lnTo>
                                <a:lnTo>
                                  <a:pt x="210" y="7136"/>
                                </a:lnTo>
                                <a:lnTo>
                                  <a:pt x="139" y="7102"/>
                                </a:lnTo>
                                <a:lnTo>
                                  <a:pt x="64" y="7063"/>
                                </a:lnTo>
                                <a:lnTo>
                                  <a:pt x="8" y="7032"/>
                                </a:lnTo>
                                <a:lnTo>
                                  <a:pt x="6" y="7031"/>
                                </a:lnTo>
                                <a:lnTo>
                                  <a:pt x="6" y="7029"/>
                                </a:lnTo>
                                <a:lnTo>
                                  <a:pt x="6" y="2958"/>
                                </a:lnTo>
                                <a:lnTo>
                                  <a:pt x="2655" y="2958"/>
                                </a:lnTo>
                                <a:lnTo>
                                  <a:pt x="2655" y="2953"/>
                                </a:lnTo>
                                <a:lnTo>
                                  <a:pt x="1" y="2953"/>
                                </a:lnTo>
                                <a:lnTo>
                                  <a:pt x="0" y="2954"/>
                                </a:lnTo>
                                <a:lnTo>
                                  <a:pt x="0" y="7033"/>
                                </a:lnTo>
                                <a:lnTo>
                                  <a:pt x="1" y="7033"/>
                                </a:lnTo>
                                <a:lnTo>
                                  <a:pt x="1" y="7034"/>
                                </a:lnTo>
                                <a:lnTo>
                                  <a:pt x="63" y="7068"/>
                                </a:lnTo>
                                <a:lnTo>
                                  <a:pt x="138" y="7107"/>
                                </a:lnTo>
                                <a:lnTo>
                                  <a:pt x="209" y="7141"/>
                                </a:lnTo>
                                <a:lnTo>
                                  <a:pt x="278" y="7171"/>
                                </a:lnTo>
                                <a:lnTo>
                                  <a:pt x="345" y="7196"/>
                                </a:lnTo>
                                <a:lnTo>
                                  <a:pt x="409" y="7217"/>
                                </a:lnTo>
                                <a:lnTo>
                                  <a:pt x="471" y="7235"/>
                                </a:lnTo>
                                <a:lnTo>
                                  <a:pt x="530" y="7248"/>
                                </a:lnTo>
                                <a:lnTo>
                                  <a:pt x="587" y="7258"/>
                                </a:lnTo>
                                <a:lnTo>
                                  <a:pt x="643" y="7264"/>
                                </a:lnTo>
                                <a:lnTo>
                                  <a:pt x="696" y="7267"/>
                                </a:lnTo>
                                <a:lnTo>
                                  <a:pt x="748" y="7266"/>
                                </a:lnTo>
                                <a:lnTo>
                                  <a:pt x="798" y="7263"/>
                                </a:lnTo>
                                <a:lnTo>
                                  <a:pt x="807" y="7261"/>
                                </a:lnTo>
                                <a:lnTo>
                                  <a:pt x="847" y="7256"/>
                                </a:lnTo>
                                <a:lnTo>
                                  <a:pt x="894" y="7247"/>
                                </a:lnTo>
                                <a:lnTo>
                                  <a:pt x="940" y="7235"/>
                                </a:lnTo>
                                <a:lnTo>
                                  <a:pt x="985" y="7221"/>
                                </a:lnTo>
                                <a:lnTo>
                                  <a:pt x="1029" y="7205"/>
                                </a:lnTo>
                                <a:lnTo>
                                  <a:pt x="1072" y="7187"/>
                                </a:lnTo>
                                <a:lnTo>
                                  <a:pt x="1114" y="7166"/>
                                </a:lnTo>
                                <a:lnTo>
                                  <a:pt x="1156" y="7144"/>
                                </a:lnTo>
                                <a:lnTo>
                                  <a:pt x="1196" y="7120"/>
                                </a:lnTo>
                                <a:lnTo>
                                  <a:pt x="1237" y="7095"/>
                                </a:lnTo>
                                <a:lnTo>
                                  <a:pt x="1277" y="7069"/>
                                </a:lnTo>
                                <a:lnTo>
                                  <a:pt x="1317" y="7041"/>
                                </a:lnTo>
                                <a:lnTo>
                                  <a:pt x="1357" y="7013"/>
                                </a:lnTo>
                                <a:lnTo>
                                  <a:pt x="1397" y="6983"/>
                                </a:lnTo>
                                <a:lnTo>
                                  <a:pt x="1559" y="6861"/>
                                </a:lnTo>
                                <a:lnTo>
                                  <a:pt x="1601" y="6830"/>
                                </a:lnTo>
                                <a:lnTo>
                                  <a:pt x="1643" y="6800"/>
                                </a:lnTo>
                                <a:lnTo>
                                  <a:pt x="1687" y="6769"/>
                                </a:lnTo>
                                <a:lnTo>
                                  <a:pt x="1731" y="6739"/>
                                </a:lnTo>
                                <a:lnTo>
                                  <a:pt x="1777" y="6710"/>
                                </a:lnTo>
                                <a:lnTo>
                                  <a:pt x="1824" y="6682"/>
                                </a:lnTo>
                                <a:lnTo>
                                  <a:pt x="1872" y="6654"/>
                                </a:lnTo>
                                <a:lnTo>
                                  <a:pt x="1921" y="6628"/>
                                </a:lnTo>
                                <a:lnTo>
                                  <a:pt x="1972" y="6603"/>
                                </a:lnTo>
                                <a:lnTo>
                                  <a:pt x="2025" y="6579"/>
                                </a:lnTo>
                                <a:lnTo>
                                  <a:pt x="2080" y="6557"/>
                                </a:lnTo>
                                <a:lnTo>
                                  <a:pt x="2136" y="6537"/>
                                </a:lnTo>
                                <a:lnTo>
                                  <a:pt x="2195" y="6519"/>
                                </a:lnTo>
                                <a:lnTo>
                                  <a:pt x="2256" y="6503"/>
                                </a:lnTo>
                                <a:lnTo>
                                  <a:pt x="2319" y="6489"/>
                                </a:lnTo>
                                <a:lnTo>
                                  <a:pt x="2384" y="6477"/>
                                </a:lnTo>
                                <a:lnTo>
                                  <a:pt x="2452" y="6469"/>
                                </a:lnTo>
                                <a:lnTo>
                                  <a:pt x="2523" y="6462"/>
                                </a:lnTo>
                                <a:lnTo>
                                  <a:pt x="2596" y="6459"/>
                                </a:lnTo>
                                <a:lnTo>
                                  <a:pt x="2658" y="6458"/>
                                </a:lnTo>
                                <a:lnTo>
                                  <a:pt x="2659" y="6458"/>
                                </a:lnTo>
                                <a:lnTo>
                                  <a:pt x="2660" y="6457"/>
                                </a:lnTo>
                                <a:lnTo>
                                  <a:pt x="2660" y="6456"/>
                                </a:lnTo>
                                <a:lnTo>
                                  <a:pt x="2660" y="6453"/>
                                </a:lnTo>
                                <a:lnTo>
                                  <a:pt x="2660" y="2958"/>
                                </a:lnTo>
                                <a:lnTo>
                                  <a:pt x="2660" y="2955"/>
                                </a:lnTo>
                                <a:lnTo>
                                  <a:pt x="2660" y="29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6" name="Picture 9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4770" y="6451"/>
                            <a:ext cx="2040"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 name="AutoShape 91"/>
                        <wps:cNvSpPr>
                          <a:spLocks/>
                        </wps:cNvSpPr>
                        <wps:spPr bwMode="auto">
                          <a:xfrm>
                            <a:off x="4767" y="6448"/>
                            <a:ext cx="2046" cy="1175"/>
                          </a:xfrm>
                          <a:custGeom>
                            <a:avLst/>
                            <a:gdLst>
                              <a:gd name="T0" fmla="+- 0 5318 4768"/>
                              <a:gd name="T1" fmla="*/ T0 w 2046"/>
                              <a:gd name="T2" fmla="+- 0 7253 6449"/>
                              <a:gd name="T3" fmla="*/ 7253 h 1175"/>
                              <a:gd name="T4" fmla="+- 0 6263 4768"/>
                              <a:gd name="T5" fmla="*/ T4 w 2046"/>
                              <a:gd name="T6" fmla="+- 0 7274 6449"/>
                              <a:gd name="T7" fmla="*/ 7274 h 1175"/>
                              <a:gd name="T8" fmla="+- 0 6358 4768"/>
                              <a:gd name="T9" fmla="*/ T8 w 2046"/>
                              <a:gd name="T10" fmla="+- 0 6787 6449"/>
                              <a:gd name="T11" fmla="*/ 6787 h 1175"/>
                              <a:gd name="T12" fmla="+- 0 5224 4768"/>
                              <a:gd name="T13" fmla="*/ T12 w 2046"/>
                              <a:gd name="T14" fmla="+- 0 6809 6449"/>
                              <a:gd name="T15" fmla="*/ 6809 h 1175"/>
                              <a:gd name="T16" fmla="+- 0 6358 4768"/>
                              <a:gd name="T17" fmla="*/ T16 w 2046"/>
                              <a:gd name="T18" fmla="+- 0 6787 6449"/>
                              <a:gd name="T19" fmla="*/ 6787 h 1175"/>
                              <a:gd name="T20" fmla="+- 0 5190 4768"/>
                              <a:gd name="T21" fmla="*/ T20 w 2046"/>
                              <a:gd name="T22" fmla="+- 0 7018 6449"/>
                              <a:gd name="T23" fmla="*/ 7018 h 1175"/>
                              <a:gd name="T24" fmla="+- 0 6390 4768"/>
                              <a:gd name="T25" fmla="*/ T24 w 2046"/>
                              <a:gd name="T26" fmla="+- 0 7039 6449"/>
                              <a:gd name="T27" fmla="*/ 7039 h 1175"/>
                              <a:gd name="T28" fmla="+- 0 6814 4768"/>
                              <a:gd name="T29" fmla="*/ T28 w 2046"/>
                              <a:gd name="T30" fmla="+- 0 6450 6449"/>
                              <a:gd name="T31" fmla="*/ 6450 h 1175"/>
                              <a:gd name="T32" fmla="+- 0 6808 4768"/>
                              <a:gd name="T33" fmla="*/ T32 w 2046"/>
                              <a:gd name="T34" fmla="+- 0 6449 6449"/>
                              <a:gd name="T35" fmla="*/ 6449 h 1175"/>
                              <a:gd name="T36" fmla="+- 0 6808 4768"/>
                              <a:gd name="T37" fmla="*/ T36 w 2046"/>
                              <a:gd name="T38" fmla="+- 0 7399 6449"/>
                              <a:gd name="T39" fmla="*/ 7399 h 1175"/>
                              <a:gd name="T40" fmla="+- 0 6639 4768"/>
                              <a:gd name="T41" fmla="*/ T40 w 2046"/>
                              <a:gd name="T42" fmla="+- 0 7402 6449"/>
                              <a:gd name="T43" fmla="*/ 7402 h 1175"/>
                              <a:gd name="T44" fmla="+- 0 6485 4768"/>
                              <a:gd name="T45" fmla="*/ T44 w 2046"/>
                              <a:gd name="T46" fmla="+- 0 7413 6449"/>
                              <a:gd name="T47" fmla="*/ 7413 h 1175"/>
                              <a:gd name="T48" fmla="+- 0 6335 4768"/>
                              <a:gd name="T49" fmla="*/ T48 w 2046"/>
                              <a:gd name="T50" fmla="+- 0 7431 6449"/>
                              <a:gd name="T51" fmla="*/ 7431 h 1175"/>
                              <a:gd name="T52" fmla="+- 0 6186 4768"/>
                              <a:gd name="T53" fmla="*/ T52 w 2046"/>
                              <a:gd name="T54" fmla="+- 0 7456 6449"/>
                              <a:gd name="T55" fmla="*/ 7456 h 1175"/>
                              <a:gd name="T56" fmla="+- 0 6037 4768"/>
                              <a:gd name="T57" fmla="*/ T56 w 2046"/>
                              <a:gd name="T58" fmla="+- 0 7489 6449"/>
                              <a:gd name="T59" fmla="*/ 7489 h 1175"/>
                              <a:gd name="T60" fmla="+- 0 5886 4768"/>
                              <a:gd name="T61" fmla="*/ T60 w 2046"/>
                              <a:gd name="T62" fmla="+- 0 7529 6449"/>
                              <a:gd name="T63" fmla="*/ 7529 h 1175"/>
                              <a:gd name="T64" fmla="+- 0 5694 4768"/>
                              <a:gd name="T65" fmla="*/ T64 w 2046"/>
                              <a:gd name="T66" fmla="+- 0 7577 6449"/>
                              <a:gd name="T67" fmla="*/ 7577 h 1175"/>
                              <a:gd name="T68" fmla="+- 0 5541 4768"/>
                              <a:gd name="T69" fmla="*/ T68 w 2046"/>
                              <a:gd name="T70" fmla="+- 0 7605 6449"/>
                              <a:gd name="T71" fmla="*/ 7605 h 1175"/>
                              <a:gd name="T72" fmla="+- 0 5391 4768"/>
                              <a:gd name="T73" fmla="*/ T72 w 2046"/>
                              <a:gd name="T74" fmla="+- 0 7617 6449"/>
                              <a:gd name="T75" fmla="*/ 7617 h 1175"/>
                              <a:gd name="T76" fmla="+- 0 5241 4768"/>
                              <a:gd name="T77" fmla="*/ T76 w 2046"/>
                              <a:gd name="T78" fmla="+- 0 7617 6449"/>
                              <a:gd name="T79" fmla="*/ 7617 h 1175"/>
                              <a:gd name="T80" fmla="+- 0 5092 4768"/>
                              <a:gd name="T81" fmla="*/ T80 w 2046"/>
                              <a:gd name="T82" fmla="+- 0 7606 6449"/>
                              <a:gd name="T83" fmla="*/ 7606 h 1175"/>
                              <a:gd name="T84" fmla="+- 0 4940 4768"/>
                              <a:gd name="T85" fmla="*/ T84 w 2046"/>
                              <a:gd name="T86" fmla="+- 0 7586 6449"/>
                              <a:gd name="T87" fmla="*/ 7586 h 1175"/>
                              <a:gd name="T88" fmla="+- 0 4818 4768"/>
                              <a:gd name="T89" fmla="*/ T88 w 2046"/>
                              <a:gd name="T90" fmla="+- 0 7565 6449"/>
                              <a:gd name="T91" fmla="*/ 7565 h 1175"/>
                              <a:gd name="T92" fmla="+- 0 4774 4768"/>
                              <a:gd name="T93" fmla="*/ T92 w 2046"/>
                              <a:gd name="T94" fmla="+- 0 7556 6449"/>
                              <a:gd name="T95" fmla="*/ 7556 h 1175"/>
                              <a:gd name="T96" fmla="+- 0 4774 4768"/>
                              <a:gd name="T97" fmla="*/ T96 w 2046"/>
                              <a:gd name="T98" fmla="+- 0 6454 6449"/>
                              <a:gd name="T99" fmla="*/ 6454 h 1175"/>
                              <a:gd name="T100" fmla="+- 0 6808 4768"/>
                              <a:gd name="T101" fmla="*/ T100 w 2046"/>
                              <a:gd name="T102" fmla="+- 0 6449 6449"/>
                              <a:gd name="T103" fmla="*/ 6449 h 1175"/>
                              <a:gd name="T104" fmla="+- 0 4768 4768"/>
                              <a:gd name="T105" fmla="*/ T104 w 2046"/>
                              <a:gd name="T106" fmla="+- 0 6450 6449"/>
                              <a:gd name="T107" fmla="*/ 6450 h 1175"/>
                              <a:gd name="T108" fmla="+- 0 4769 4768"/>
                              <a:gd name="T109" fmla="*/ T108 w 2046"/>
                              <a:gd name="T110" fmla="+- 0 7560 6449"/>
                              <a:gd name="T111" fmla="*/ 7560 h 1175"/>
                              <a:gd name="T112" fmla="+- 0 4817 4768"/>
                              <a:gd name="T113" fmla="*/ T112 w 2046"/>
                              <a:gd name="T114" fmla="+- 0 7570 6449"/>
                              <a:gd name="T115" fmla="*/ 7570 h 1175"/>
                              <a:gd name="T116" fmla="+- 0 4939 4768"/>
                              <a:gd name="T117" fmla="*/ T116 w 2046"/>
                              <a:gd name="T118" fmla="+- 0 7591 6449"/>
                              <a:gd name="T119" fmla="*/ 7591 h 1175"/>
                              <a:gd name="T120" fmla="+- 0 5090 4768"/>
                              <a:gd name="T121" fmla="*/ T120 w 2046"/>
                              <a:gd name="T122" fmla="+- 0 7611 6449"/>
                              <a:gd name="T123" fmla="*/ 7611 h 1175"/>
                              <a:gd name="T124" fmla="+- 0 5241 4768"/>
                              <a:gd name="T125" fmla="*/ T124 w 2046"/>
                              <a:gd name="T126" fmla="+- 0 7622 6449"/>
                              <a:gd name="T127" fmla="*/ 7622 h 1175"/>
                              <a:gd name="T128" fmla="+- 0 5392 4768"/>
                              <a:gd name="T129" fmla="*/ T128 w 2046"/>
                              <a:gd name="T130" fmla="+- 0 7622 6449"/>
                              <a:gd name="T131" fmla="*/ 7622 h 1175"/>
                              <a:gd name="T132" fmla="+- 0 5467 4768"/>
                              <a:gd name="T133" fmla="*/ T132 w 2046"/>
                              <a:gd name="T134" fmla="+- 0 7617 6449"/>
                              <a:gd name="T135" fmla="*/ 7617 h 1175"/>
                              <a:gd name="T136" fmla="+- 0 5619 4768"/>
                              <a:gd name="T137" fmla="*/ T136 w 2046"/>
                              <a:gd name="T138" fmla="+- 0 7597 6449"/>
                              <a:gd name="T139" fmla="*/ 7597 h 1175"/>
                              <a:gd name="T140" fmla="+- 0 5791 4768"/>
                              <a:gd name="T141" fmla="*/ T140 w 2046"/>
                              <a:gd name="T142" fmla="+- 0 7559 6449"/>
                              <a:gd name="T143" fmla="*/ 7559 h 1175"/>
                              <a:gd name="T144" fmla="+- 0 5963 4768"/>
                              <a:gd name="T145" fmla="*/ T144 w 2046"/>
                              <a:gd name="T146" fmla="+- 0 7513 6449"/>
                              <a:gd name="T147" fmla="*/ 7513 h 1175"/>
                              <a:gd name="T148" fmla="+- 0 6112 4768"/>
                              <a:gd name="T149" fmla="*/ T148 w 2046"/>
                              <a:gd name="T150" fmla="+- 0 7477 6449"/>
                              <a:gd name="T151" fmla="*/ 7477 h 1175"/>
                              <a:gd name="T152" fmla="+- 0 6261 4768"/>
                              <a:gd name="T153" fmla="*/ T152 w 2046"/>
                              <a:gd name="T154" fmla="+- 0 7448 6449"/>
                              <a:gd name="T155" fmla="*/ 7448 h 1175"/>
                              <a:gd name="T156" fmla="+- 0 6410 4768"/>
                              <a:gd name="T157" fmla="*/ T156 w 2046"/>
                              <a:gd name="T158" fmla="+- 0 7426 6449"/>
                              <a:gd name="T159" fmla="*/ 7426 h 1175"/>
                              <a:gd name="T160" fmla="+- 0 6562 4768"/>
                              <a:gd name="T161" fmla="*/ T160 w 2046"/>
                              <a:gd name="T162" fmla="+- 0 7412 6449"/>
                              <a:gd name="T163" fmla="*/ 7412 h 1175"/>
                              <a:gd name="T164" fmla="+- 0 6763 4768"/>
                              <a:gd name="T165" fmla="*/ T164 w 2046"/>
                              <a:gd name="T166" fmla="+- 0 7404 6449"/>
                              <a:gd name="T167" fmla="*/ 7404 h 1175"/>
                              <a:gd name="T168" fmla="+- 0 6814 4768"/>
                              <a:gd name="T169" fmla="*/ T168 w 2046"/>
                              <a:gd name="T170" fmla="+- 0 7403 6449"/>
                              <a:gd name="T171" fmla="*/ 7403 h 1175"/>
                              <a:gd name="T172" fmla="+- 0 6814 4768"/>
                              <a:gd name="T173" fmla="*/ T172 w 2046"/>
                              <a:gd name="T174" fmla="+- 0 7399 6449"/>
                              <a:gd name="T175" fmla="*/ 7399 h 1175"/>
                              <a:gd name="T176" fmla="+- 0 6814 4768"/>
                              <a:gd name="T177" fmla="*/ T176 w 2046"/>
                              <a:gd name="T178" fmla="+- 0 6451 6449"/>
                              <a:gd name="T179" fmla="*/ 6451 h 1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046" h="1175">
                                <a:moveTo>
                                  <a:pt x="1495" y="804"/>
                                </a:moveTo>
                                <a:lnTo>
                                  <a:pt x="550" y="804"/>
                                </a:lnTo>
                                <a:lnTo>
                                  <a:pt x="550" y="825"/>
                                </a:lnTo>
                                <a:lnTo>
                                  <a:pt x="1495" y="825"/>
                                </a:lnTo>
                                <a:lnTo>
                                  <a:pt x="1495" y="804"/>
                                </a:lnTo>
                                <a:close/>
                                <a:moveTo>
                                  <a:pt x="1590" y="338"/>
                                </a:moveTo>
                                <a:lnTo>
                                  <a:pt x="456" y="338"/>
                                </a:lnTo>
                                <a:lnTo>
                                  <a:pt x="456" y="360"/>
                                </a:lnTo>
                                <a:lnTo>
                                  <a:pt x="1590" y="360"/>
                                </a:lnTo>
                                <a:lnTo>
                                  <a:pt x="1590" y="338"/>
                                </a:lnTo>
                                <a:close/>
                                <a:moveTo>
                                  <a:pt x="1622" y="569"/>
                                </a:moveTo>
                                <a:lnTo>
                                  <a:pt x="422" y="569"/>
                                </a:lnTo>
                                <a:lnTo>
                                  <a:pt x="422" y="590"/>
                                </a:lnTo>
                                <a:lnTo>
                                  <a:pt x="1622" y="590"/>
                                </a:lnTo>
                                <a:lnTo>
                                  <a:pt x="1622" y="569"/>
                                </a:lnTo>
                                <a:close/>
                                <a:moveTo>
                                  <a:pt x="2046" y="1"/>
                                </a:moveTo>
                                <a:lnTo>
                                  <a:pt x="2044" y="0"/>
                                </a:lnTo>
                                <a:lnTo>
                                  <a:pt x="2040" y="0"/>
                                </a:lnTo>
                                <a:lnTo>
                                  <a:pt x="2040" y="5"/>
                                </a:lnTo>
                                <a:lnTo>
                                  <a:pt x="2040" y="950"/>
                                </a:lnTo>
                                <a:lnTo>
                                  <a:pt x="1995" y="950"/>
                                </a:lnTo>
                                <a:lnTo>
                                  <a:pt x="1871" y="953"/>
                                </a:lnTo>
                                <a:lnTo>
                                  <a:pt x="1793" y="958"/>
                                </a:lnTo>
                                <a:lnTo>
                                  <a:pt x="1717" y="964"/>
                                </a:lnTo>
                                <a:lnTo>
                                  <a:pt x="1642" y="972"/>
                                </a:lnTo>
                                <a:lnTo>
                                  <a:pt x="1567" y="982"/>
                                </a:lnTo>
                                <a:lnTo>
                                  <a:pt x="1492" y="993"/>
                                </a:lnTo>
                                <a:lnTo>
                                  <a:pt x="1418" y="1007"/>
                                </a:lnTo>
                                <a:lnTo>
                                  <a:pt x="1344" y="1023"/>
                                </a:lnTo>
                                <a:lnTo>
                                  <a:pt x="1269" y="1040"/>
                                </a:lnTo>
                                <a:lnTo>
                                  <a:pt x="1194" y="1059"/>
                                </a:lnTo>
                                <a:lnTo>
                                  <a:pt x="1118" y="1080"/>
                                </a:lnTo>
                                <a:lnTo>
                                  <a:pt x="1022" y="1105"/>
                                </a:lnTo>
                                <a:lnTo>
                                  <a:pt x="926" y="1128"/>
                                </a:lnTo>
                                <a:lnTo>
                                  <a:pt x="849" y="1144"/>
                                </a:lnTo>
                                <a:lnTo>
                                  <a:pt x="773" y="1156"/>
                                </a:lnTo>
                                <a:lnTo>
                                  <a:pt x="698" y="1164"/>
                                </a:lnTo>
                                <a:lnTo>
                                  <a:pt x="623" y="1168"/>
                                </a:lnTo>
                                <a:lnTo>
                                  <a:pt x="548" y="1170"/>
                                </a:lnTo>
                                <a:lnTo>
                                  <a:pt x="473" y="1168"/>
                                </a:lnTo>
                                <a:lnTo>
                                  <a:pt x="399" y="1164"/>
                                </a:lnTo>
                                <a:lnTo>
                                  <a:pt x="324" y="1157"/>
                                </a:lnTo>
                                <a:lnTo>
                                  <a:pt x="248" y="1148"/>
                                </a:lnTo>
                                <a:lnTo>
                                  <a:pt x="172" y="1137"/>
                                </a:lnTo>
                                <a:lnTo>
                                  <a:pt x="96" y="1124"/>
                                </a:lnTo>
                                <a:lnTo>
                                  <a:pt x="50" y="1116"/>
                                </a:lnTo>
                                <a:lnTo>
                                  <a:pt x="15" y="1109"/>
                                </a:lnTo>
                                <a:lnTo>
                                  <a:pt x="6" y="1107"/>
                                </a:lnTo>
                                <a:lnTo>
                                  <a:pt x="6" y="1106"/>
                                </a:lnTo>
                                <a:lnTo>
                                  <a:pt x="6" y="5"/>
                                </a:lnTo>
                                <a:lnTo>
                                  <a:pt x="2040" y="5"/>
                                </a:lnTo>
                                <a:lnTo>
                                  <a:pt x="2040" y="0"/>
                                </a:lnTo>
                                <a:lnTo>
                                  <a:pt x="1" y="0"/>
                                </a:lnTo>
                                <a:lnTo>
                                  <a:pt x="0" y="1"/>
                                </a:lnTo>
                                <a:lnTo>
                                  <a:pt x="0" y="1110"/>
                                </a:lnTo>
                                <a:lnTo>
                                  <a:pt x="1" y="1111"/>
                                </a:lnTo>
                                <a:lnTo>
                                  <a:pt x="2" y="1111"/>
                                </a:lnTo>
                                <a:lnTo>
                                  <a:pt x="49" y="1121"/>
                                </a:lnTo>
                                <a:lnTo>
                                  <a:pt x="94" y="1129"/>
                                </a:lnTo>
                                <a:lnTo>
                                  <a:pt x="171" y="1142"/>
                                </a:lnTo>
                                <a:lnTo>
                                  <a:pt x="247" y="1153"/>
                                </a:lnTo>
                                <a:lnTo>
                                  <a:pt x="322" y="1162"/>
                                </a:lnTo>
                                <a:lnTo>
                                  <a:pt x="398" y="1169"/>
                                </a:lnTo>
                                <a:lnTo>
                                  <a:pt x="473" y="1173"/>
                                </a:lnTo>
                                <a:lnTo>
                                  <a:pt x="549" y="1174"/>
                                </a:lnTo>
                                <a:lnTo>
                                  <a:pt x="624" y="1173"/>
                                </a:lnTo>
                                <a:lnTo>
                                  <a:pt x="678" y="1170"/>
                                </a:lnTo>
                                <a:lnTo>
                                  <a:pt x="699" y="1168"/>
                                </a:lnTo>
                                <a:lnTo>
                                  <a:pt x="775" y="1160"/>
                                </a:lnTo>
                                <a:lnTo>
                                  <a:pt x="851" y="1148"/>
                                </a:lnTo>
                                <a:lnTo>
                                  <a:pt x="927" y="1133"/>
                                </a:lnTo>
                                <a:lnTo>
                                  <a:pt x="1023" y="1110"/>
                                </a:lnTo>
                                <a:lnTo>
                                  <a:pt x="1119" y="1085"/>
                                </a:lnTo>
                                <a:lnTo>
                                  <a:pt x="1195" y="1064"/>
                                </a:lnTo>
                                <a:lnTo>
                                  <a:pt x="1270" y="1045"/>
                                </a:lnTo>
                                <a:lnTo>
                                  <a:pt x="1344" y="1028"/>
                                </a:lnTo>
                                <a:lnTo>
                                  <a:pt x="1419" y="1012"/>
                                </a:lnTo>
                                <a:lnTo>
                                  <a:pt x="1493" y="999"/>
                                </a:lnTo>
                                <a:lnTo>
                                  <a:pt x="1568" y="987"/>
                                </a:lnTo>
                                <a:lnTo>
                                  <a:pt x="1642" y="977"/>
                                </a:lnTo>
                                <a:lnTo>
                                  <a:pt x="1718" y="969"/>
                                </a:lnTo>
                                <a:lnTo>
                                  <a:pt x="1794" y="963"/>
                                </a:lnTo>
                                <a:lnTo>
                                  <a:pt x="1871" y="958"/>
                                </a:lnTo>
                                <a:lnTo>
                                  <a:pt x="1995" y="955"/>
                                </a:lnTo>
                                <a:lnTo>
                                  <a:pt x="2044" y="955"/>
                                </a:lnTo>
                                <a:lnTo>
                                  <a:pt x="2046" y="954"/>
                                </a:lnTo>
                                <a:lnTo>
                                  <a:pt x="2046" y="953"/>
                                </a:lnTo>
                                <a:lnTo>
                                  <a:pt x="2046" y="950"/>
                                </a:lnTo>
                                <a:lnTo>
                                  <a:pt x="2046" y="5"/>
                                </a:lnTo>
                                <a:lnTo>
                                  <a:pt x="2046" y="2"/>
                                </a:lnTo>
                                <a:lnTo>
                                  <a:pt x="2046"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8" name="Picture 9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4770" y="8071"/>
                            <a:ext cx="2040" cy="1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9" name="AutoShape 89"/>
                        <wps:cNvSpPr>
                          <a:spLocks/>
                        </wps:cNvSpPr>
                        <wps:spPr bwMode="auto">
                          <a:xfrm>
                            <a:off x="4767" y="5025"/>
                            <a:ext cx="2046" cy="4381"/>
                          </a:xfrm>
                          <a:custGeom>
                            <a:avLst/>
                            <a:gdLst>
                              <a:gd name="T0" fmla="+- 0 5827 4768"/>
                              <a:gd name="T1" fmla="*/ T0 w 2046"/>
                              <a:gd name="T2" fmla="+- 0 5701 5026"/>
                              <a:gd name="T3" fmla="*/ 5701 h 4381"/>
                              <a:gd name="T4" fmla="+- 0 5812 4768"/>
                              <a:gd name="T5" fmla="*/ T4 w 2046"/>
                              <a:gd name="T6" fmla="+- 0 5026 5026"/>
                              <a:gd name="T7" fmla="*/ 5026 h 4381"/>
                              <a:gd name="T8" fmla="+- 0 5760 4768"/>
                              <a:gd name="T9" fmla="*/ T8 w 2046"/>
                              <a:gd name="T10" fmla="+- 0 5701 5026"/>
                              <a:gd name="T11" fmla="*/ 5701 h 4381"/>
                              <a:gd name="T12" fmla="+- 0 5870 4768"/>
                              <a:gd name="T13" fmla="*/ T12 w 2046"/>
                              <a:gd name="T14" fmla="+- 0 5722 5026"/>
                              <a:gd name="T15" fmla="*/ 5722 h 4381"/>
                              <a:gd name="T16" fmla="+- 0 6394 4768"/>
                              <a:gd name="T17" fmla="*/ T16 w 2046"/>
                              <a:gd name="T18" fmla="+- 0 8428 5026"/>
                              <a:gd name="T19" fmla="*/ 8428 h 4381"/>
                              <a:gd name="T20" fmla="+- 0 4916 4768"/>
                              <a:gd name="T21" fmla="*/ T20 w 2046"/>
                              <a:gd name="T22" fmla="+- 0 8449 5026"/>
                              <a:gd name="T23" fmla="*/ 8449 h 4381"/>
                              <a:gd name="T24" fmla="+- 0 6394 4768"/>
                              <a:gd name="T25" fmla="*/ T24 w 2046"/>
                              <a:gd name="T26" fmla="+- 0 8428 5026"/>
                              <a:gd name="T27" fmla="*/ 8428 h 4381"/>
                              <a:gd name="T28" fmla="+- 0 6812 4768"/>
                              <a:gd name="T29" fmla="*/ T28 w 2046"/>
                              <a:gd name="T30" fmla="+- 0 8069 5026"/>
                              <a:gd name="T31" fmla="*/ 8069 h 4381"/>
                              <a:gd name="T32" fmla="+- 0 6808 4768"/>
                              <a:gd name="T33" fmla="*/ T32 w 2046"/>
                              <a:gd name="T34" fmla="+- 0 8074 5026"/>
                              <a:gd name="T35" fmla="*/ 8074 h 4381"/>
                              <a:gd name="T36" fmla="+- 0 6763 4768"/>
                              <a:gd name="T37" fmla="*/ T36 w 2046"/>
                              <a:gd name="T38" fmla="+- 0 9151 5026"/>
                              <a:gd name="T39" fmla="*/ 9151 h 4381"/>
                              <a:gd name="T40" fmla="+- 0 6560 4768"/>
                              <a:gd name="T41" fmla="*/ T40 w 2046"/>
                              <a:gd name="T42" fmla="+- 0 9160 5026"/>
                              <a:gd name="T43" fmla="*/ 9160 h 4381"/>
                              <a:gd name="T44" fmla="+- 0 6408 4768"/>
                              <a:gd name="T45" fmla="*/ T44 w 2046"/>
                              <a:gd name="T46" fmla="+- 0 9176 5026"/>
                              <a:gd name="T47" fmla="*/ 9176 h 4381"/>
                              <a:gd name="T48" fmla="+- 0 6259 4768"/>
                              <a:gd name="T49" fmla="*/ T48 w 2046"/>
                              <a:gd name="T50" fmla="+- 0 9201 5026"/>
                              <a:gd name="T51" fmla="*/ 9201 h 4381"/>
                              <a:gd name="T52" fmla="+- 0 6111 4768"/>
                              <a:gd name="T53" fmla="*/ T52 w 2046"/>
                              <a:gd name="T54" fmla="+- 0 9234 5026"/>
                              <a:gd name="T55" fmla="*/ 9234 h 4381"/>
                              <a:gd name="T56" fmla="+- 0 5962 4768"/>
                              <a:gd name="T57" fmla="*/ T56 w 2046"/>
                              <a:gd name="T58" fmla="+- 0 9276 5026"/>
                              <a:gd name="T59" fmla="*/ 9276 h 4381"/>
                              <a:gd name="T60" fmla="+- 0 5790 4768"/>
                              <a:gd name="T61" fmla="*/ T60 w 2046"/>
                              <a:gd name="T62" fmla="+- 0 9329 5026"/>
                              <a:gd name="T63" fmla="*/ 9329 h 4381"/>
                              <a:gd name="T64" fmla="+- 0 5618 4768"/>
                              <a:gd name="T65" fmla="*/ T64 w 2046"/>
                              <a:gd name="T66" fmla="+- 0 9372 5026"/>
                              <a:gd name="T67" fmla="*/ 9372 h 4381"/>
                              <a:gd name="T68" fmla="+- 0 5467 4768"/>
                              <a:gd name="T69" fmla="*/ T68 w 2046"/>
                              <a:gd name="T70" fmla="+- 0 9394 5026"/>
                              <a:gd name="T71" fmla="*/ 9394 h 4381"/>
                              <a:gd name="T72" fmla="+- 0 5317 4768"/>
                              <a:gd name="T73" fmla="*/ T72 w 2046"/>
                              <a:gd name="T74" fmla="+- 0 9401 5026"/>
                              <a:gd name="T75" fmla="*/ 9401 h 4381"/>
                              <a:gd name="T76" fmla="+- 0 5166 4768"/>
                              <a:gd name="T77" fmla="*/ T76 w 2046"/>
                              <a:gd name="T78" fmla="+- 0 9395 5026"/>
                              <a:gd name="T79" fmla="*/ 9395 h 4381"/>
                              <a:gd name="T80" fmla="+- 0 5015 4768"/>
                              <a:gd name="T81" fmla="*/ T80 w 2046"/>
                              <a:gd name="T82" fmla="+- 0 9376 5026"/>
                              <a:gd name="T83" fmla="*/ 9376 h 4381"/>
                              <a:gd name="T84" fmla="+- 0 4864 4768"/>
                              <a:gd name="T85" fmla="*/ T84 w 2046"/>
                              <a:gd name="T86" fmla="+- 0 9349 5026"/>
                              <a:gd name="T87" fmla="*/ 9349 h 4381"/>
                              <a:gd name="T88" fmla="+- 0 4774 4768"/>
                              <a:gd name="T89" fmla="*/ T88 w 2046"/>
                              <a:gd name="T90" fmla="+- 0 9331 5026"/>
                              <a:gd name="T91" fmla="*/ 9331 h 4381"/>
                              <a:gd name="T92" fmla="+- 0 4774 4768"/>
                              <a:gd name="T93" fmla="*/ T92 w 2046"/>
                              <a:gd name="T94" fmla="+- 0 8074 5026"/>
                              <a:gd name="T95" fmla="*/ 8074 h 4381"/>
                              <a:gd name="T96" fmla="+- 0 6808 4768"/>
                              <a:gd name="T97" fmla="*/ T96 w 2046"/>
                              <a:gd name="T98" fmla="+- 0 8069 5026"/>
                              <a:gd name="T99" fmla="*/ 8069 h 4381"/>
                              <a:gd name="T100" fmla="+- 0 4768 4768"/>
                              <a:gd name="T101" fmla="*/ T100 w 2046"/>
                              <a:gd name="T102" fmla="+- 0 8070 5026"/>
                              <a:gd name="T103" fmla="*/ 8070 h 4381"/>
                              <a:gd name="T104" fmla="+- 0 4769 4768"/>
                              <a:gd name="T105" fmla="*/ T104 w 2046"/>
                              <a:gd name="T106" fmla="+- 0 9334 5026"/>
                              <a:gd name="T107" fmla="*/ 9334 h 4381"/>
                              <a:gd name="T108" fmla="+- 0 4862 4768"/>
                              <a:gd name="T109" fmla="*/ T108 w 2046"/>
                              <a:gd name="T110" fmla="+- 0 9354 5026"/>
                              <a:gd name="T111" fmla="*/ 9354 h 4381"/>
                              <a:gd name="T112" fmla="+- 0 5014 4768"/>
                              <a:gd name="T113" fmla="*/ T112 w 2046"/>
                              <a:gd name="T114" fmla="+- 0 9381 5026"/>
                              <a:gd name="T115" fmla="*/ 9381 h 4381"/>
                              <a:gd name="T116" fmla="+- 0 5166 4768"/>
                              <a:gd name="T117" fmla="*/ T116 w 2046"/>
                              <a:gd name="T118" fmla="+- 0 9399 5026"/>
                              <a:gd name="T119" fmla="*/ 9399 h 4381"/>
                              <a:gd name="T120" fmla="+- 0 5317 4768"/>
                              <a:gd name="T121" fmla="*/ T120 w 2046"/>
                              <a:gd name="T122" fmla="+- 0 9406 5026"/>
                              <a:gd name="T123" fmla="*/ 9406 h 4381"/>
                              <a:gd name="T124" fmla="+- 0 5440 4768"/>
                              <a:gd name="T125" fmla="*/ T124 w 2046"/>
                              <a:gd name="T126" fmla="+- 0 9401 5026"/>
                              <a:gd name="T127" fmla="*/ 9401 h 4381"/>
                              <a:gd name="T128" fmla="+- 0 5543 4768"/>
                              <a:gd name="T129" fmla="*/ T128 w 2046"/>
                              <a:gd name="T130" fmla="+- 0 9390 5026"/>
                              <a:gd name="T131" fmla="*/ 9390 h 4381"/>
                              <a:gd name="T132" fmla="+- 0 5695 4768"/>
                              <a:gd name="T133" fmla="*/ T132 w 2046"/>
                              <a:gd name="T134" fmla="+- 0 9359 5026"/>
                              <a:gd name="T135" fmla="*/ 9359 h 4381"/>
                              <a:gd name="T136" fmla="+- 0 5887 4768"/>
                              <a:gd name="T137" fmla="*/ T136 w 2046"/>
                              <a:gd name="T138" fmla="+- 0 9305 5026"/>
                              <a:gd name="T139" fmla="*/ 9305 h 4381"/>
                              <a:gd name="T140" fmla="+- 0 6037 4768"/>
                              <a:gd name="T141" fmla="*/ T140 w 2046"/>
                              <a:gd name="T142" fmla="+- 0 9259 5026"/>
                              <a:gd name="T143" fmla="*/ 9259 h 4381"/>
                              <a:gd name="T144" fmla="+- 0 6186 4768"/>
                              <a:gd name="T145" fmla="*/ T144 w 2046"/>
                              <a:gd name="T146" fmla="+- 0 9222 5026"/>
                              <a:gd name="T147" fmla="*/ 9222 h 4381"/>
                              <a:gd name="T148" fmla="+- 0 6334 4768"/>
                              <a:gd name="T149" fmla="*/ T148 w 2046"/>
                              <a:gd name="T150" fmla="+- 0 9193 5026"/>
                              <a:gd name="T151" fmla="*/ 9193 h 4381"/>
                              <a:gd name="T152" fmla="+- 0 6485 4768"/>
                              <a:gd name="T153" fmla="*/ T152 w 2046"/>
                              <a:gd name="T154" fmla="+- 0 9172 5026"/>
                              <a:gd name="T155" fmla="*/ 9172 h 4381"/>
                              <a:gd name="T156" fmla="+- 0 6639 4768"/>
                              <a:gd name="T157" fmla="*/ T156 w 2046"/>
                              <a:gd name="T158" fmla="+- 0 9160 5026"/>
                              <a:gd name="T159" fmla="*/ 9160 h 4381"/>
                              <a:gd name="T160" fmla="+- 0 6812 4768"/>
                              <a:gd name="T161" fmla="*/ T160 w 2046"/>
                              <a:gd name="T162" fmla="+- 0 9156 5026"/>
                              <a:gd name="T163" fmla="*/ 9156 h 4381"/>
                              <a:gd name="T164" fmla="+- 0 6814 4768"/>
                              <a:gd name="T165" fmla="*/ T164 w 2046"/>
                              <a:gd name="T166" fmla="+- 0 9154 5026"/>
                              <a:gd name="T167" fmla="*/ 9154 h 4381"/>
                              <a:gd name="T168" fmla="+- 0 6814 4768"/>
                              <a:gd name="T169" fmla="*/ T168 w 2046"/>
                              <a:gd name="T170" fmla="+- 0 8074 5026"/>
                              <a:gd name="T171" fmla="*/ 8074 h 4381"/>
                              <a:gd name="T172" fmla="+- 0 6814 4768"/>
                              <a:gd name="T173" fmla="*/ T172 w 2046"/>
                              <a:gd name="T174" fmla="+- 0 8070 5026"/>
                              <a:gd name="T175" fmla="*/ 8070 h 4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46" h="4381">
                                <a:moveTo>
                                  <a:pt x="1112" y="675"/>
                                </a:moveTo>
                                <a:lnTo>
                                  <a:pt x="1059" y="675"/>
                                </a:lnTo>
                                <a:lnTo>
                                  <a:pt x="1059" y="0"/>
                                </a:lnTo>
                                <a:lnTo>
                                  <a:pt x="1044" y="0"/>
                                </a:lnTo>
                                <a:lnTo>
                                  <a:pt x="1044" y="675"/>
                                </a:lnTo>
                                <a:lnTo>
                                  <a:pt x="992" y="675"/>
                                </a:lnTo>
                                <a:lnTo>
                                  <a:pt x="1052" y="795"/>
                                </a:lnTo>
                                <a:lnTo>
                                  <a:pt x="1102" y="696"/>
                                </a:lnTo>
                                <a:lnTo>
                                  <a:pt x="1112" y="675"/>
                                </a:lnTo>
                                <a:close/>
                                <a:moveTo>
                                  <a:pt x="1626" y="3402"/>
                                </a:moveTo>
                                <a:lnTo>
                                  <a:pt x="148" y="3402"/>
                                </a:lnTo>
                                <a:lnTo>
                                  <a:pt x="148" y="3423"/>
                                </a:lnTo>
                                <a:lnTo>
                                  <a:pt x="1626" y="3423"/>
                                </a:lnTo>
                                <a:lnTo>
                                  <a:pt x="1626" y="3402"/>
                                </a:lnTo>
                                <a:close/>
                                <a:moveTo>
                                  <a:pt x="2046" y="3044"/>
                                </a:moveTo>
                                <a:lnTo>
                                  <a:pt x="2044" y="3043"/>
                                </a:lnTo>
                                <a:lnTo>
                                  <a:pt x="2040" y="3043"/>
                                </a:lnTo>
                                <a:lnTo>
                                  <a:pt x="2040" y="3048"/>
                                </a:lnTo>
                                <a:lnTo>
                                  <a:pt x="2040" y="4125"/>
                                </a:lnTo>
                                <a:lnTo>
                                  <a:pt x="1995" y="4125"/>
                                </a:lnTo>
                                <a:lnTo>
                                  <a:pt x="1870" y="4129"/>
                                </a:lnTo>
                                <a:lnTo>
                                  <a:pt x="1792" y="4134"/>
                                </a:lnTo>
                                <a:lnTo>
                                  <a:pt x="1716" y="4141"/>
                                </a:lnTo>
                                <a:lnTo>
                                  <a:pt x="1640" y="4150"/>
                                </a:lnTo>
                                <a:lnTo>
                                  <a:pt x="1565" y="4162"/>
                                </a:lnTo>
                                <a:lnTo>
                                  <a:pt x="1491" y="4175"/>
                                </a:lnTo>
                                <a:lnTo>
                                  <a:pt x="1417" y="4191"/>
                                </a:lnTo>
                                <a:lnTo>
                                  <a:pt x="1343" y="4208"/>
                                </a:lnTo>
                                <a:lnTo>
                                  <a:pt x="1269" y="4228"/>
                                </a:lnTo>
                                <a:lnTo>
                                  <a:pt x="1194" y="4250"/>
                                </a:lnTo>
                                <a:lnTo>
                                  <a:pt x="1118" y="4274"/>
                                </a:lnTo>
                                <a:lnTo>
                                  <a:pt x="1022" y="4303"/>
                                </a:lnTo>
                                <a:lnTo>
                                  <a:pt x="926" y="4328"/>
                                </a:lnTo>
                                <a:lnTo>
                                  <a:pt x="850" y="4346"/>
                                </a:lnTo>
                                <a:lnTo>
                                  <a:pt x="775" y="4359"/>
                                </a:lnTo>
                                <a:lnTo>
                                  <a:pt x="699" y="4368"/>
                                </a:lnTo>
                                <a:lnTo>
                                  <a:pt x="624" y="4374"/>
                                </a:lnTo>
                                <a:lnTo>
                                  <a:pt x="549" y="4375"/>
                                </a:lnTo>
                                <a:lnTo>
                                  <a:pt x="473" y="4373"/>
                                </a:lnTo>
                                <a:lnTo>
                                  <a:pt x="398" y="4369"/>
                                </a:lnTo>
                                <a:lnTo>
                                  <a:pt x="323" y="4361"/>
                                </a:lnTo>
                                <a:lnTo>
                                  <a:pt x="247" y="4350"/>
                                </a:lnTo>
                                <a:lnTo>
                                  <a:pt x="171" y="4338"/>
                                </a:lnTo>
                                <a:lnTo>
                                  <a:pt x="96" y="4323"/>
                                </a:lnTo>
                                <a:lnTo>
                                  <a:pt x="15" y="4306"/>
                                </a:lnTo>
                                <a:lnTo>
                                  <a:pt x="6" y="4305"/>
                                </a:lnTo>
                                <a:lnTo>
                                  <a:pt x="6" y="4304"/>
                                </a:lnTo>
                                <a:lnTo>
                                  <a:pt x="6" y="3048"/>
                                </a:lnTo>
                                <a:lnTo>
                                  <a:pt x="2040" y="3048"/>
                                </a:lnTo>
                                <a:lnTo>
                                  <a:pt x="2040" y="3043"/>
                                </a:lnTo>
                                <a:lnTo>
                                  <a:pt x="1" y="3043"/>
                                </a:lnTo>
                                <a:lnTo>
                                  <a:pt x="0" y="3044"/>
                                </a:lnTo>
                                <a:lnTo>
                                  <a:pt x="0" y="4308"/>
                                </a:lnTo>
                                <a:lnTo>
                                  <a:pt x="1" y="4308"/>
                                </a:lnTo>
                                <a:lnTo>
                                  <a:pt x="2" y="4309"/>
                                </a:lnTo>
                                <a:lnTo>
                                  <a:pt x="94" y="4328"/>
                                </a:lnTo>
                                <a:lnTo>
                                  <a:pt x="171" y="4343"/>
                                </a:lnTo>
                                <a:lnTo>
                                  <a:pt x="246" y="4355"/>
                                </a:lnTo>
                                <a:lnTo>
                                  <a:pt x="322" y="4366"/>
                                </a:lnTo>
                                <a:lnTo>
                                  <a:pt x="398" y="4373"/>
                                </a:lnTo>
                                <a:lnTo>
                                  <a:pt x="473" y="4378"/>
                                </a:lnTo>
                                <a:lnTo>
                                  <a:pt x="549" y="4380"/>
                                </a:lnTo>
                                <a:lnTo>
                                  <a:pt x="624" y="4379"/>
                                </a:lnTo>
                                <a:lnTo>
                                  <a:pt x="672" y="4375"/>
                                </a:lnTo>
                                <a:lnTo>
                                  <a:pt x="700" y="4373"/>
                                </a:lnTo>
                                <a:lnTo>
                                  <a:pt x="775" y="4364"/>
                                </a:lnTo>
                                <a:lnTo>
                                  <a:pt x="851" y="4351"/>
                                </a:lnTo>
                                <a:lnTo>
                                  <a:pt x="927" y="4333"/>
                                </a:lnTo>
                                <a:lnTo>
                                  <a:pt x="1023" y="4308"/>
                                </a:lnTo>
                                <a:lnTo>
                                  <a:pt x="1119" y="4279"/>
                                </a:lnTo>
                                <a:lnTo>
                                  <a:pt x="1195" y="4255"/>
                                </a:lnTo>
                                <a:lnTo>
                                  <a:pt x="1269" y="4233"/>
                                </a:lnTo>
                                <a:lnTo>
                                  <a:pt x="1344" y="4213"/>
                                </a:lnTo>
                                <a:lnTo>
                                  <a:pt x="1418" y="4196"/>
                                </a:lnTo>
                                <a:lnTo>
                                  <a:pt x="1492" y="4180"/>
                                </a:lnTo>
                                <a:lnTo>
                                  <a:pt x="1566" y="4167"/>
                                </a:lnTo>
                                <a:lnTo>
                                  <a:pt x="1641" y="4155"/>
                                </a:lnTo>
                                <a:lnTo>
                                  <a:pt x="1717" y="4146"/>
                                </a:lnTo>
                                <a:lnTo>
                                  <a:pt x="1793" y="4139"/>
                                </a:lnTo>
                                <a:lnTo>
                                  <a:pt x="1871" y="4134"/>
                                </a:lnTo>
                                <a:lnTo>
                                  <a:pt x="1995" y="4130"/>
                                </a:lnTo>
                                <a:lnTo>
                                  <a:pt x="2044" y="4130"/>
                                </a:lnTo>
                                <a:lnTo>
                                  <a:pt x="2046" y="4129"/>
                                </a:lnTo>
                                <a:lnTo>
                                  <a:pt x="2046" y="4128"/>
                                </a:lnTo>
                                <a:lnTo>
                                  <a:pt x="2046" y="4125"/>
                                </a:lnTo>
                                <a:lnTo>
                                  <a:pt x="2046" y="3048"/>
                                </a:lnTo>
                                <a:lnTo>
                                  <a:pt x="2046" y="3045"/>
                                </a:lnTo>
                                <a:lnTo>
                                  <a:pt x="2046" y="30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0" name="Picture 8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410" y="3465"/>
                            <a:ext cx="2190"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AutoShape 87"/>
                        <wps:cNvSpPr>
                          <a:spLocks/>
                        </wps:cNvSpPr>
                        <wps:spPr bwMode="auto">
                          <a:xfrm>
                            <a:off x="1407" y="751"/>
                            <a:ext cx="6948" cy="7875"/>
                          </a:xfrm>
                          <a:custGeom>
                            <a:avLst/>
                            <a:gdLst>
                              <a:gd name="T0" fmla="+- 0 1556 1408"/>
                              <a:gd name="T1" fmla="*/ T0 w 6948"/>
                              <a:gd name="T2" fmla="+- 0 4190 751"/>
                              <a:gd name="T3" fmla="*/ 4190 h 7875"/>
                              <a:gd name="T4" fmla="+- 0 3258 1408"/>
                              <a:gd name="T5" fmla="*/ T4 w 6948"/>
                              <a:gd name="T6" fmla="+- 0 3938 751"/>
                              <a:gd name="T7" fmla="*/ 3938 h 7875"/>
                              <a:gd name="T8" fmla="+- 0 3258 1408"/>
                              <a:gd name="T9" fmla="*/ T8 w 6948"/>
                              <a:gd name="T10" fmla="+- 0 3960 751"/>
                              <a:gd name="T11" fmla="*/ 3960 h 7875"/>
                              <a:gd name="T12" fmla="+- 0 4762 1408"/>
                              <a:gd name="T13" fmla="*/ T12 w 6948"/>
                              <a:gd name="T14" fmla="+- 0 2330 751"/>
                              <a:gd name="T15" fmla="*/ 2330 h 7875"/>
                              <a:gd name="T16" fmla="+- 0 2550 1408"/>
                              <a:gd name="T17" fmla="*/ T16 w 6948"/>
                              <a:gd name="T18" fmla="+- 0 2330 751"/>
                              <a:gd name="T19" fmla="*/ 2330 h 7875"/>
                              <a:gd name="T20" fmla="+- 0 2504 1408"/>
                              <a:gd name="T21" fmla="*/ T20 w 6948"/>
                              <a:gd name="T22" fmla="+- 0 3455 751"/>
                              <a:gd name="T23" fmla="*/ 3455 h 7875"/>
                              <a:gd name="T24" fmla="+- 0 4650 1408"/>
                              <a:gd name="T25" fmla="*/ T24 w 6948"/>
                              <a:gd name="T26" fmla="+- 0 871 751"/>
                              <a:gd name="T27" fmla="*/ 871 h 7875"/>
                              <a:gd name="T28" fmla="+- 0 4756 1408"/>
                              <a:gd name="T29" fmla="*/ T28 w 6948"/>
                              <a:gd name="T30" fmla="+- 0 804 751"/>
                              <a:gd name="T31" fmla="*/ 804 h 7875"/>
                              <a:gd name="T32" fmla="+- 0 2492 1408"/>
                              <a:gd name="T33" fmla="*/ T32 w 6948"/>
                              <a:gd name="T34" fmla="+- 0 804 751"/>
                              <a:gd name="T35" fmla="*/ 804 h 7875"/>
                              <a:gd name="T36" fmla="+- 0 1409 1408"/>
                              <a:gd name="T37" fmla="*/ T36 w 6948"/>
                              <a:gd name="T38" fmla="+- 0 3463 751"/>
                              <a:gd name="T39" fmla="*/ 3463 h 7875"/>
                              <a:gd name="T40" fmla="+- 0 1409 1408"/>
                              <a:gd name="T41" fmla="*/ T40 w 6948"/>
                              <a:gd name="T42" fmla="+- 0 5962 751"/>
                              <a:gd name="T43" fmla="*/ 5962 h 7875"/>
                              <a:gd name="T44" fmla="+- 0 1543 1408"/>
                              <a:gd name="T45" fmla="*/ T44 w 6948"/>
                              <a:gd name="T46" fmla="+- 0 6015 751"/>
                              <a:gd name="T47" fmla="*/ 6015 h 7875"/>
                              <a:gd name="T48" fmla="+- 0 1767 1408"/>
                              <a:gd name="T49" fmla="*/ T48 w 6948"/>
                              <a:gd name="T50" fmla="+- 0 6079 751"/>
                              <a:gd name="T51" fmla="*/ 6079 h 7875"/>
                              <a:gd name="T52" fmla="+- 0 1961 1408"/>
                              <a:gd name="T53" fmla="*/ T52 w 6948"/>
                              <a:gd name="T54" fmla="+- 0 6103 751"/>
                              <a:gd name="T55" fmla="*/ 6103 h 7875"/>
                              <a:gd name="T56" fmla="+- 0 2091 1408"/>
                              <a:gd name="T57" fmla="*/ T56 w 6948"/>
                              <a:gd name="T58" fmla="+- 0 6099 751"/>
                              <a:gd name="T59" fmla="*/ 6099 h 7875"/>
                              <a:gd name="T60" fmla="+- 0 2234 1408"/>
                              <a:gd name="T61" fmla="*/ T60 w 6948"/>
                              <a:gd name="T62" fmla="+- 0 6072 751"/>
                              <a:gd name="T63" fmla="*/ 6072 h 7875"/>
                              <a:gd name="T64" fmla="+- 0 2379 1408"/>
                              <a:gd name="T65" fmla="*/ T64 w 6948"/>
                              <a:gd name="T66" fmla="+- 0 6021 751"/>
                              <a:gd name="T67" fmla="*/ 6021 h 7875"/>
                              <a:gd name="T68" fmla="+- 0 2516 1408"/>
                              <a:gd name="T69" fmla="*/ T68 w 6948"/>
                              <a:gd name="T70" fmla="+- 0 5955 751"/>
                              <a:gd name="T71" fmla="*/ 5955 h 7875"/>
                              <a:gd name="T72" fmla="+- 0 2747 1408"/>
                              <a:gd name="T73" fmla="*/ T72 w 6948"/>
                              <a:gd name="T74" fmla="+- 0 5829 751"/>
                              <a:gd name="T75" fmla="*/ 5829 h 7875"/>
                              <a:gd name="T76" fmla="+- 0 2897 1408"/>
                              <a:gd name="T77" fmla="*/ T76 w 6948"/>
                              <a:gd name="T78" fmla="+- 0 5754 751"/>
                              <a:gd name="T79" fmla="*/ 5754 h 7875"/>
                              <a:gd name="T80" fmla="+- 0 3063 1408"/>
                              <a:gd name="T81" fmla="*/ T80 w 6948"/>
                              <a:gd name="T82" fmla="+- 0 5689 751"/>
                              <a:gd name="T83" fmla="*/ 5689 h 7875"/>
                              <a:gd name="T84" fmla="+- 0 3252 1408"/>
                              <a:gd name="T85" fmla="*/ T84 w 6948"/>
                              <a:gd name="T86" fmla="+- 0 5639 751"/>
                              <a:gd name="T87" fmla="*/ 5639 h 7875"/>
                              <a:gd name="T88" fmla="+- 0 3469 1408"/>
                              <a:gd name="T89" fmla="*/ T88 w 6948"/>
                              <a:gd name="T90" fmla="+- 0 5613 751"/>
                              <a:gd name="T91" fmla="*/ 5613 h 7875"/>
                              <a:gd name="T92" fmla="+- 0 3604 1408"/>
                              <a:gd name="T93" fmla="*/ T92 w 6948"/>
                              <a:gd name="T94" fmla="+- 0 5609 751"/>
                              <a:gd name="T95" fmla="*/ 5609 h 7875"/>
                              <a:gd name="T96" fmla="+- 0 3604 1408"/>
                              <a:gd name="T97" fmla="*/ T96 w 6948"/>
                              <a:gd name="T98" fmla="+- 0 3469 751"/>
                              <a:gd name="T99" fmla="*/ 3469 h 7875"/>
                              <a:gd name="T100" fmla="+- 0 3602 1408"/>
                              <a:gd name="T101" fmla="*/ T100 w 6948"/>
                              <a:gd name="T102" fmla="+- 0 3463 751"/>
                              <a:gd name="T103" fmla="*/ 3463 h 7875"/>
                              <a:gd name="T104" fmla="+- 0 3598 1408"/>
                              <a:gd name="T105" fmla="*/ T104 w 6948"/>
                              <a:gd name="T106" fmla="+- 0 5605 751"/>
                              <a:gd name="T107" fmla="*/ 5605 h 7875"/>
                              <a:gd name="T108" fmla="+- 0 3393 1408"/>
                              <a:gd name="T109" fmla="*/ T108 w 6948"/>
                              <a:gd name="T110" fmla="+- 0 5614 751"/>
                              <a:gd name="T111" fmla="*/ 5614 h 7875"/>
                              <a:gd name="T112" fmla="+- 0 3185 1408"/>
                              <a:gd name="T113" fmla="*/ T112 w 6948"/>
                              <a:gd name="T114" fmla="+- 0 5649 751"/>
                              <a:gd name="T115" fmla="*/ 5649 h 7875"/>
                              <a:gd name="T116" fmla="+- 0 3004 1408"/>
                              <a:gd name="T117" fmla="*/ T116 w 6948"/>
                              <a:gd name="T118" fmla="+- 0 5704 751"/>
                              <a:gd name="T119" fmla="*/ 5704 h 7875"/>
                              <a:gd name="T120" fmla="+- 0 2844 1408"/>
                              <a:gd name="T121" fmla="*/ T120 w 6948"/>
                              <a:gd name="T122" fmla="+- 0 5773 751"/>
                              <a:gd name="T123" fmla="*/ 5773 h 7875"/>
                              <a:gd name="T124" fmla="+- 0 2698 1408"/>
                              <a:gd name="T125" fmla="*/ T124 w 6948"/>
                              <a:gd name="T126" fmla="+- 0 5849 751"/>
                              <a:gd name="T127" fmla="*/ 5849 h 7875"/>
                              <a:gd name="T128" fmla="+- 0 2470 1408"/>
                              <a:gd name="T129" fmla="*/ T128 w 6948"/>
                              <a:gd name="T130" fmla="+- 0 5974 751"/>
                              <a:gd name="T131" fmla="*/ 5974 h 7875"/>
                              <a:gd name="T132" fmla="+- 0 2331 1408"/>
                              <a:gd name="T133" fmla="*/ T132 w 6948"/>
                              <a:gd name="T134" fmla="+- 0 6035 751"/>
                              <a:gd name="T135" fmla="*/ 6035 h 7875"/>
                              <a:gd name="T136" fmla="+- 0 2183 1408"/>
                              <a:gd name="T137" fmla="*/ T136 w 6948"/>
                              <a:gd name="T138" fmla="+- 0 6079 751"/>
                              <a:gd name="T139" fmla="*/ 6079 h 7875"/>
                              <a:gd name="T140" fmla="+- 0 2020 1408"/>
                              <a:gd name="T141" fmla="*/ T140 w 6948"/>
                              <a:gd name="T142" fmla="+- 0 6099 751"/>
                              <a:gd name="T143" fmla="*/ 6099 h 7875"/>
                              <a:gd name="T144" fmla="+- 0 1835 1408"/>
                              <a:gd name="T145" fmla="*/ T144 w 6948"/>
                              <a:gd name="T146" fmla="+- 0 6087 751"/>
                              <a:gd name="T147" fmla="*/ 6087 h 7875"/>
                              <a:gd name="T148" fmla="+- 0 1622 1408"/>
                              <a:gd name="T149" fmla="*/ T148 w 6948"/>
                              <a:gd name="T150" fmla="+- 0 6036 751"/>
                              <a:gd name="T151" fmla="*/ 6036 h 7875"/>
                              <a:gd name="T152" fmla="+- 0 1417 1408"/>
                              <a:gd name="T153" fmla="*/ T152 w 6948"/>
                              <a:gd name="T154" fmla="+- 0 5959 751"/>
                              <a:gd name="T155" fmla="*/ 5959 h 7875"/>
                              <a:gd name="T156" fmla="+- 0 1414 1408"/>
                              <a:gd name="T157" fmla="*/ T156 w 6948"/>
                              <a:gd name="T158" fmla="+- 0 3469 751"/>
                              <a:gd name="T159" fmla="*/ 3469 h 7875"/>
                              <a:gd name="T160" fmla="+- 0 2492 1408"/>
                              <a:gd name="T161" fmla="*/ T160 w 6948"/>
                              <a:gd name="T162" fmla="+- 0 3474 751"/>
                              <a:gd name="T163" fmla="*/ 3474 h 7875"/>
                              <a:gd name="T164" fmla="+- 0 2558 1408"/>
                              <a:gd name="T165" fmla="*/ T164 w 6948"/>
                              <a:gd name="T166" fmla="+- 0 3469 751"/>
                              <a:gd name="T167" fmla="*/ 3469 h 7875"/>
                              <a:gd name="T168" fmla="+- 0 2562 1408"/>
                              <a:gd name="T169" fmla="*/ T168 w 6948"/>
                              <a:gd name="T170" fmla="+- 0 3463 751"/>
                              <a:gd name="T171" fmla="*/ 3463 h 7875"/>
                              <a:gd name="T172" fmla="+- 0 2562 1408"/>
                              <a:gd name="T173" fmla="*/ T172 w 6948"/>
                              <a:gd name="T174" fmla="+- 0 2346 751"/>
                              <a:gd name="T175" fmla="*/ 2346 h 7875"/>
                              <a:gd name="T176" fmla="+- 0 4759 1408"/>
                              <a:gd name="T177" fmla="*/ T176 w 6948"/>
                              <a:gd name="T178" fmla="+- 0 2346 751"/>
                              <a:gd name="T179" fmla="*/ 2346 h 7875"/>
                              <a:gd name="T180" fmla="+- 0 8323 1408"/>
                              <a:gd name="T181" fmla="*/ T180 w 6948"/>
                              <a:gd name="T182" fmla="+- 0 6877 751"/>
                              <a:gd name="T183" fmla="*/ 6877 h 7875"/>
                              <a:gd name="T184" fmla="+- 0 7126 1408"/>
                              <a:gd name="T185" fmla="*/ T184 w 6948"/>
                              <a:gd name="T186" fmla="+- 0 6877 751"/>
                              <a:gd name="T187" fmla="*/ 6877 h 7875"/>
                              <a:gd name="T188" fmla="+- 0 8220 1408"/>
                              <a:gd name="T189" fmla="*/ T188 w 6948"/>
                              <a:gd name="T190" fmla="+- 0 6946 751"/>
                              <a:gd name="T191" fmla="*/ 6946 h 7875"/>
                              <a:gd name="T192" fmla="+- 0 8356 1408"/>
                              <a:gd name="T193" fmla="*/ T192 w 6948"/>
                              <a:gd name="T194" fmla="+- 0 8566 751"/>
                              <a:gd name="T195" fmla="*/ 8566 h 7875"/>
                              <a:gd name="T196" fmla="+- 0 8236 1408"/>
                              <a:gd name="T197" fmla="*/ T196 w 6948"/>
                              <a:gd name="T198" fmla="+- 0 8557 751"/>
                              <a:gd name="T199" fmla="*/ 8557 h 7875"/>
                              <a:gd name="T200" fmla="+- 0 8236 1408"/>
                              <a:gd name="T201" fmla="*/ T200 w 6948"/>
                              <a:gd name="T202" fmla="+- 0 8573 751"/>
                              <a:gd name="T203" fmla="*/ 8573 h 7875"/>
                              <a:gd name="T204" fmla="+- 0 8356 1408"/>
                              <a:gd name="T205" fmla="*/ T204 w 6948"/>
                              <a:gd name="T206" fmla="+- 0 8566 751"/>
                              <a:gd name="T207" fmla="*/ 8566 h 78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948" h="7875">
                                <a:moveTo>
                                  <a:pt x="1016" y="3418"/>
                                </a:moveTo>
                                <a:lnTo>
                                  <a:pt x="148" y="3418"/>
                                </a:lnTo>
                                <a:lnTo>
                                  <a:pt x="148" y="3439"/>
                                </a:lnTo>
                                <a:lnTo>
                                  <a:pt x="1016" y="3439"/>
                                </a:lnTo>
                                <a:lnTo>
                                  <a:pt x="1016" y="3418"/>
                                </a:lnTo>
                                <a:close/>
                                <a:moveTo>
                                  <a:pt x="1850" y="3187"/>
                                </a:moveTo>
                                <a:lnTo>
                                  <a:pt x="148" y="3187"/>
                                </a:lnTo>
                                <a:lnTo>
                                  <a:pt x="148" y="3209"/>
                                </a:lnTo>
                                <a:lnTo>
                                  <a:pt x="1850" y="3209"/>
                                </a:lnTo>
                                <a:lnTo>
                                  <a:pt x="1850" y="3187"/>
                                </a:lnTo>
                                <a:close/>
                                <a:moveTo>
                                  <a:pt x="3368" y="1587"/>
                                </a:moveTo>
                                <a:lnTo>
                                  <a:pt x="3354" y="1579"/>
                                </a:lnTo>
                                <a:lnTo>
                                  <a:pt x="3248" y="1527"/>
                                </a:lnTo>
                                <a:lnTo>
                                  <a:pt x="3248" y="1579"/>
                                </a:lnTo>
                                <a:lnTo>
                                  <a:pt x="1142" y="1579"/>
                                </a:lnTo>
                                <a:lnTo>
                                  <a:pt x="1140" y="1583"/>
                                </a:lnTo>
                                <a:lnTo>
                                  <a:pt x="1140" y="2704"/>
                                </a:lnTo>
                                <a:lnTo>
                                  <a:pt x="1096" y="2704"/>
                                </a:lnTo>
                                <a:lnTo>
                                  <a:pt x="1096" y="67"/>
                                </a:lnTo>
                                <a:lnTo>
                                  <a:pt x="3242" y="67"/>
                                </a:lnTo>
                                <a:lnTo>
                                  <a:pt x="3242" y="120"/>
                                </a:lnTo>
                                <a:lnTo>
                                  <a:pt x="3348" y="67"/>
                                </a:lnTo>
                                <a:lnTo>
                                  <a:pt x="3362" y="60"/>
                                </a:lnTo>
                                <a:lnTo>
                                  <a:pt x="3348" y="53"/>
                                </a:lnTo>
                                <a:lnTo>
                                  <a:pt x="3242" y="0"/>
                                </a:lnTo>
                                <a:lnTo>
                                  <a:pt x="3242" y="53"/>
                                </a:lnTo>
                                <a:lnTo>
                                  <a:pt x="1084" y="53"/>
                                </a:lnTo>
                                <a:lnTo>
                                  <a:pt x="1082" y="55"/>
                                </a:lnTo>
                                <a:lnTo>
                                  <a:pt x="1082" y="2712"/>
                                </a:lnTo>
                                <a:lnTo>
                                  <a:pt x="1" y="2712"/>
                                </a:lnTo>
                                <a:lnTo>
                                  <a:pt x="0" y="2713"/>
                                </a:lnTo>
                                <a:lnTo>
                                  <a:pt x="0" y="5209"/>
                                </a:lnTo>
                                <a:lnTo>
                                  <a:pt x="1" y="5211"/>
                                </a:lnTo>
                                <a:lnTo>
                                  <a:pt x="2" y="5211"/>
                                </a:lnTo>
                                <a:lnTo>
                                  <a:pt x="52" y="5232"/>
                                </a:lnTo>
                                <a:lnTo>
                                  <a:pt x="135" y="5264"/>
                                </a:lnTo>
                                <a:lnTo>
                                  <a:pt x="213" y="5290"/>
                                </a:lnTo>
                                <a:lnTo>
                                  <a:pt x="288" y="5312"/>
                                </a:lnTo>
                                <a:lnTo>
                                  <a:pt x="359" y="5328"/>
                                </a:lnTo>
                                <a:lnTo>
                                  <a:pt x="427" y="5341"/>
                                </a:lnTo>
                                <a:lnTo>
                                  <a:pt x="491" y="5348"/>
                                </a:lnTo>
                                <a:lnTo>
                                  <a:pt x="553" y="5352"/>
                                </a:lnTo>
                                <a:lnTo>
                                  <a:pt x="612" y="5353"/>
                                </a:lnTo>
                                <a:lnTo>
                                  <a:pt x="669" y="5349"/>
                                </a:lnTo>
                                <a:lnTo>
                                  <a:pt x="683" y="5348"/>
                                </a:lnTo>
                                <a:lnTo>
                                  <a:pt x="723" y="5343"/>
                                </a:lnTo>
                                <a:lnTo>
                                  <a:pt x="776" y="5333"/>
                                </a:lnTo>
                                <a:lnTo>
                                  <a:pt x="826" y="5321"/>
                                </a:lnTo>
                                <a:lnTo>
                                  <a:pt x="876" y="5306"/>
                                </a:lnTo>
                                <a:lnTo>
                                  <a:pt x="924" y="5289"/>
                                </a:lnTo>
                                <a:lnTo>
                                  <a:pt x="971" y="5270"/>
                                </a:lnTo>
                                <a:lnTo>
                                  <a:pt x="1017" y="5250"/>
                                </a:lnTo>
                                <a:lnTo>
                                  <a:pt x="1063" y="5228"/>
                                </a:lnTo>
                                <a:lnTo>
                                  <a:pt x="1108" y="5204"/>
                                </a:lnTo>
                                <a:lnTo>
                                  <a:pt x="1153" y="5180"/>
                                </a:lnTo>
                                <a:lnTo>
                                  <a:pt x="1291" y="5103"/>
                                </a:lnTo>
                                <a:lnTo>
                                  <a:pt x="1339" y="5078"/>
                                </a:lnTo>
                                <a:lnTo>
                                  <a:pt x="1387" y="5052"/>
                                </a:lnTo>
                                <a:lnTo>
                                  <a:pt x="1437" y="5027"/>
                                </a:lnTo>
                                <a:lnTo>
                                  <a:pt x="1489" y="5003"/>
                                </a:lnTo>
                                <a:lnTo>
                                  <a:pt x="1542" y="4980"/>
                                </a:lnTo>
                                <a:lnTo>
                                  <a:pt x="1597" y="4958"/>
                                </a:lnTo>
                                <a:lnTo>
                                  <a:pt x="1655" y="4938"/>
                                </a:lnTo>
                                <a:lnTo>
                                  <a:pt x="1715" y="4919"/>
                                </a:lnTo>
                                <a:lnTo>
                                  <a:pt x="1778" y="4903"/>
                                </a:lnTo>
                                <a:lnTo>
                                  <a:pt x="1844" y="4888"/>
                                </a:lnTo>
                                <a:lnTo>
                                  <a:pt x="1913" y="4877"/>
                                </a:lnTo>
                                <a:lnTo>
                                  <a:pt x="1985" y="4868"/>
                                </a:lnTo>
                                <a:lnTo>
                                  <a:pt x="2061" y="4862"/>
                                </a:lnTo>
                                <a:lnTo>
                                  <a:pt x="2142" y="4859"/>
                                </a:lnTo>
                                <a:lnTo>
                                  <a:pt x="2194" y="4859"/>
                                </a:lnTo>
                                <a:lnTo>
                                  <a:pt x="2196" y="4858"/>
                                </a:lnTo>
                                <a:lnTo>
                                  <a:pt x="2196" y="4857"/>
                                </a:lnTo>
                                <a:lnTo>
                                  <a:pt x="2196" y="4854"/>
                                </a:lnTo>
                                <a:lnTo>
                                  <a:pt x="2196" y="2718"/>
                                </a:lnTo>
                                <a:lnTo>
                                  <a:pt x="2196" y="2715"/>
                                </a:lnTo>
                                <a:lnTo>
                                  <a:pt x="2196" y="2713"/>
                                </a:lnTo>
                                <a:lnTo>
                                  <a:pt x="2194" y="2712"/>
                                </a:lnTo>
                                <a:lnTo>
                                  <a:pt x="2190" y="2712"/>
                                </a:lnTo>
                                <a:lnTo>
                                  <a:pt x="2190" y="2718"/>
                                </a:lnTo>
                                <a:lnTo>
                                  <a:pt x="2190" y="4854"/>
                                </a:lnTo>
                                <a:lnTo>
                                  <a:pt x="2142" y="4854"/>
                                </a:lnTo>
                                <a:lnTo>
                                  <a:pt x="2061" y="4857"/>
                                </a:lnTo>
                                <a:lnTo>
                                  <a:pt x="1985" y="4863"/>
                                </a:lnTo>
                                <a:lnTo>
                                  <a:pt x="1912" y="4872"/>
                                </a:lnTo>
                                <a:lnTo>
                                  <a:pt x="1843" y="4883"/>
                                </a:lnTo>
                                <a:lnTo>
                                  <a:pt x="1777" y="4898"/>
                                </a:lnTo>
                                <a:lnTo>
                                  <a:pt x="1714" y="4914"/>
                                </a:lnTo>
                                <a:lnTo>
                                  <a:pt x="1654" y="4933"/>
                                </a:lnTo>
                                <a:lnTo>
                                  <a:pt x="1596" y="4953"/>
                                </a:lnTo>
                                <a:lnTo>
                                  <a:pt x="1541" y="4975"/>
                                </a:lnTo>
                                <a:lnTo>
                                  <a:pt x="1488" y="4998"/>
                                </a:lnTo>
                                <a:lnTo>
                                  <a:pt x="1436" y="5022"/>
                                </a:lnTo>
                                <a:lnTo>
                                  <a:pt x="1386" y="5047"/>
                                </a:lnTo>
                                <a:lnTo>
                                  <a:pt x="1338" y="5073"/>
                                </a:lnTo>
                                <a:lnTo>
                                  <a:pt x="1290" y="5098"/>
                                </a:lnTo>
                                <a:lnTo>
                                  <a:pt x="1153" y="5175"/>
                                </a:lnTo>
                                <a:lnTo>
                                  <a:pt x="1107" y="5199"/>
                                </a:lnTo>
                                <a:lnTo>
                                  <a:pt x="1062" y="5223"/>
                                </a:lnTo>
                                <a:lnTo>
                                  <a:pt x="1016" y="5245"/>
                                </a:lnTo>
                                <a:lnTo>
                                  <a:pt x="970" y="5265"/>
                                </a:lnTo>
                                <a:lnTo>
                                  <a:pt x="923" y="5284"/>
                                </a:lnTo>
                                <a:lnTo>
                                  <a:pt x="875" y="5301"/>
                                </a:lnTo>
                                <a:lnTo>
                                  <a:pt x="826" y="5316"/>
                                </a:lnTo>
                                <a:lnTo>
                                  <a:pt x="775" y="5328"/>
                                </a:lnTo>
                                <a:lnTo>
                                  <a:pt x="723" y="5338"/>
                                </a:lnTo>
                                <a:lnTo>
                                  <a:pt x="669" y="5344"/>
                                </a:lnTo>
                                <a:lnTo>
                                  <a:pt x="612" y="5348"/>
                                </a:lnTo>
                                <a:lnTo>
                                  <a:pt x="553" y="5347"/>
                                </a:lnTo>
                                <a:lnTo>
                                  <a:pt x="492" y="5343"/>
                                </a:lnTo>
                                <a:lnTo>
                                  <a:pt x="427" y="5336"/>
                                </a:lnTo>
                                <a:lnTo>
                                  <a:pt x="360" y="5323"/>
                                </a:lnTo>
                                <a:lnTo>
                                  <a:pt x="289" y="5307"/>
                                </a:lnTo>
                                <a:lnTo>
                                  <a:pt x="214" y="5285"/>
                                </a:lnTo>
                                <a:lnTo>
                                  <a:pt x="136" y="5259"/>
                                </a:lnTo>
                                <a:lnTo>
                                  <a:pt x="54" y="5227"/>
                                </a:lnTo>
                                <a:lnTo>
                                  <a:pt x="9" y="5208"/>
                                </a:lnTo>
                                <a:lnTo>
                                  <a:pt x="6" y="5207"/>
                                </a:lnTo>
                                <a:lnTo>
                                  <a:pt x="6" y="5206"/>
                                </a:lnTo>
                                <a:lnTo>
                                  <a:pt x="6" y="2718"/>
                                </a:lnTo>
                                <a:lnTo>
                                  <a:pt x="1082" y="2718"/>
                                </a:lnTo>
                                <a:lnTo>
                                  <a:pt x="1082" y="2719"/>
                                </a:lnTo>
                                <a:lnTo>
                                  <a:pt x="1084" y="2723"/>
                                </a:lnTo>
                                <a:lnTo>
                                  <a:pt x="1096" y="2723"/>
                                </a:lnTo>
                                <a:lnTo>
                                  <a:pt x="1096" y="2718"/>
                                </a:lnTo>
                                <a:lnTo>
                                  <a:pt x="1150" y="2718"/>
                                </a:lnTo>
                                <a:lnTo>
                                  <a:pt x="2190" y="2718"/>
                                </a:lnTo>
                                <a:lnTo>
                                  <a:pt x="2190" y="2712"/>
                                </a:lnTo>
                                <a:lnTo>
                                  <a:pt x="1154" y="2712"/>
                                </a:lnTo>
                                <a:lnTo>
                                  <a:pt x="1154" y="2711"/>
                                </a:lnTo>
                                <a:lnTo>
                                  <a:pt x="1154" y="2704"/>
                                </a:lnTo>
                                <a:lnTo>
                                  <a:pt x="1154" y="1595"/>
                                </a:lnTo>
                                <a:lnTo>
                                  <a:pt x="3248" y="1595"/>
                                </a:lnTo>
                                <a:lnTo>
                                  <a:pt x="3248" y="1647"/>
                                </a:lnTo>
                                <a:lnTo>
                                  <a:pt x="3351" y="1595"/>
                                </a:lnTo>
                                <a:lnTo>
                                  <a:pt x="3368" y="1587"/>
                                </a:lnTo>
                                <a:close/>
                                <a:moveTo>
                                  <a:pt x="6932" y="6135"/>
                                </a:moveTo>
                                <a:lnTo>
                                  <a:pt x="6915" y="6126"/>
                                </a:lnTo>
                                <a:lnTo>
                                  <a:pt x="6812" y="6075"/>
                                </a:lnTo>
                                <a:lnTo>
                                  <a:pt x="6812" y="6126"/>
                                </a:lnTo>
                                <a:lnTo>
                                  <a:pt x="5718" y="6126"/>
                                </a:lnTo>
                                <a:lnTo>
                                  <a:pt x="5718" y="6142"/>
                                </a:lnTo>
                                <a:lnTo>
                                  <a:pt x="6812" y="6142"/>
                                </a:lnTo>
                                <a:lnTo>
                                  <a:pt x="6812" y="6195"/>
                                </a:lnTo>
                                <a:lnTo>
                                  <a:pt x="6918" y="6142"/>
                                </a:lnTo>
                                <a:lnTo>
                                  <a:pt x="6932" y="6135"/>
                                </a:lnTo>
                                <a:close/>
                                <a:moveTo>
                                  <a:pt x="6948" y="7815"/>
                                </a:moveTo>
                                <a:lnTo>
                                  <a:pt x="6931" y="7806"/>
                                </a:lnTo>
                                <a:lnTo>
                                  <a:pt x="6828" y="7755"/>
                                </a:lnTo>
                                <a:lnTo>
                                  <a:pt x="6828" y="7806"/>
                                </a:lnTo>
                                <a:lnTo>
                                  <a:pt x="5732" y="7806"/>
                                </a:lnTo>
                                <a:lnTo>
                                  <a:pt x="5732" y="7822"/>
                                </a:lnTo>
                                <a:lnTo>
                                  <a:pt x="6828" y="7822"/>
                                </a:lnTo>
                                <a:lnTo>
                                  <a:pt x="6828" y="7875"/>
                                </a:lnTo>
                                <a:lnTo>
                                  <a:pt x="6933" y="7822"/>
                                </a:lnTo>
                                <a:lnTo>
                                  <a:pt x="6948" y="78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8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7651" y="2145"/>
                            <a:ext cx="2250"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AutoShape 85"/>
                        <wps:cNvSpPr>
                          <a:spLocks/>
                        </wps:cNvSpPr>
                        <wps:spPr bwMode="auto">
                          <a:xfrm>
                            <a:off x="7648" y="2143"/>
                            <a:ext cx="2255" cy="1013"/>
                          </a:xfrm>
                          <a:custGeom>
                            <a:avLst/>
                            <a:gdLst>
                              <a:gd name="T0" fmla="+- 0 7650 7649"/>
                              <a:gd name="T1" fmla="*/ T0 w 2255"/>
                              <a:gd name="T2" fmla="+- 0 2143 2143"/>
                              <a:gd name="T3" fmla="*/ 2143 h 1013"/>
                              <a:gd name="T4" fmla="+- 0 7649 7649"/>
                              <a:gd name="T5" fmla="*/ T4 w 2255"/>
                              <a:gd name="T6" fmla="+- 0 3100 2143"/>
                              <a:gd name="T7" fmla="*/ 3100 h 1013"/>
                              <a:gd name="T8" fmla="+- 0 7651 7649"/>
                              <a:gd name="T9" fmla="*/ T8 w 2255"/>
                              <a:gd name="T10" fmla="+- 0 3101 2143"/>
                              <a:gd name="T11" fmla="*/ 3101 h 1013"/>
                              <a:gd name="T12" fmla="+- 0 7753 7649"/>
                              <a:gd name="T13" fmla="*/ T12 w 2255"/>
                              <a:gd name="T14" fmla="+- 0 3116 2143"/>
                              <a:gd name="T15" fmla="*/ 3116 h 1013"/>
                              <a:gd name="T16" fmla="+- 0 7907 7649"/>
                              <a:gd name="T17" fmla="*/ T16 w 2255"/>
                              <a:gd name="T18" fmla="+- 0 3135 2143"/>
                              <a:gd name="T19" fmla="*/ 3135 h 1013"/>
                              <a:gd name="T20" fmla="+- 0 8060 7649"/>
                              <a:gd name="T21" fmla="*/ T20 w 2255"/>
                              <a:gd name="T22" fmla="+- 0 3149 2143"/>
                              <a:gd name="T23" fmla="*/ 3149 h 1013"/>
                              <a:gd name="T24" fmla="+- 0 8212 7649"/>
                              <a:gd name="T25" fmla="*/ T24 w 2255"/>
                              <a:gd name="T26" fmla="+- 0 3155 2143"/>
                              <a:gd name="T27" fmla="*/ 3155 h 1013"/>
                              <a:gd name="T28" fmla="+- 0 8364 7649"/>
                              <a:gd name="T29" fmla="*/ T28 w 2255"/>
                              <a:gd name="T30" fmla="+- 0 3153 2143"/>
                              <a:gd name="T31" fmla="*/ 3153 h 1013"/>
                              <a:gd name="T32" fmla="+- 0 8288 7649"/>
                              <a:gd name="T33" fmla="*/ T32 w 2255"/>
                              <a:gd name="T34" fmla="+- 0 3151 2143"/>
                              <a:gd name="T35" fmla="*/ 3151 h 1013"/>
                              <a:gd name="T36" fmla="+- 0 8136 7649"/>
                              <a:gd name="T37" fmla="*/ T36 w 2255"/>
                              <a:gd name="T38" fmla="+- 0 3148 2143"/>
                              <a:gd name="T39" fmla="*/ 3148 h 1013"/>
                              <a:gd name="T40" fmla="+- 0 7984 7649"/>
                              <a:gd name="T41" fmla="*/ T40 w 2255"/>
                              <a:gd name="T42" fmla="+- 0 3138 2143"/>
                              <a:gd name="T43" fmla="*/ 3138 h 1013"/>
                              <a:gd name="T44" fmla="+- 0 7832 7649"/>
                              <a:gd name="T45" fmla="*/ T44 w 2255"/>
                              <a:gd name="T46" fmla="+- 0 3122 2143"/>
                              <a:gd name="T47" fmla="*/ 3122 h 1013"/>
                              <a:gd name="T48" fmla="+- 0 7704 7649"/>
                              <a:gd name="T49" fmla="*/ T48 w 2255"/>
                              <a:gd name="T50" fmla="+- 0 3104 2143"/>
                              <a:gd name="T51" fmla="*/ 3104 h 1013"/>
                              <a:gd name="T52" fmla="+- 0 7654 7649"/>
                              <a:gd name="T53" fmla="*/ T52 w 2255"/>
                              <a:gd name="T54" fmla="+- 0 3098 2143"/>
                              <a:gd name="T55" fmla="*/ 3098 h 1013"/>
                              <a:gd name="T56" fmla="+- 0 7654 7649"/>
                              <a:gd name="T57" fmla="*/ T56 w 2255"/>
                              <a:gd name="T58" fmla="+- 0 3096 2143"/>
                              <a:gd name="T59" fmla="*/ 3096 h 1013"/>
                              <a:gd name="T60" fmla="+- 0 7651 7649"/>
                              <a:gd name="T61" fmla="*/ T60 w 2255"/>
                              <a:gd name="T62" fmla="+- 0 2148 2143"/>
                              <a:gd name="T63" fmla="*/ 2148 h 1013"/>
                              <a:gd name="T64" fmla="+- 0 9904 7649"/>
                              <a:gd name="T65" fmla="*/ T64 w 2255"/>
                              <a:gd name="T66" fmla="+- 0 2146 2143"/>
                              <a:gd name="T67" fmla="*/ 2146 h 1013"/>
                              <a:gd name="T68" fmla="+- 0 9902 7649"/>
                              <a:gd name="T69" fmla="*/ T68 w 2255"/>
                              <a:gd name="T70" fmla="+- 0 2143 2143"/>
                              <a:gd name="T71" fmla="*/ 2143 h 1013"/>
                              <a:gd name="T72" fmla="+- 0 9850 7649"/>
                              <a:gd name="T73" fmla="*/ T72 w 2255"/>
                              <a:gd name="T74" fmla="+- 0 2962 2143"/>
                              <a:gd name="T75" fmla="*/ 2962 h 1013"/>
                              <a:gd name="T76" fmla="+- 0 9644 7649"/>
                              <a:gd name="T77" fmla="*/ T76 w 2255"/>
                              <a:gd name="T78" fmla="+- 0 2967 2143"/>
                              <a:gd name="T79" fmla="*/ 2967 h 1013"/>
                              <a:gd name="T80" fmla="+- 0 9490 7649"/>
                              <a:gd name="T81" fmla="*/ T80 w 2255"/>
                              <a:gd name="T82" fmla="+- 0 2978 2143"/>
                              <a:gd name="T83" fmla="*/ 2978 h 1013"/>
                              <a:gd name="T84" fmla="+- 0 9338 7649"/>
                              <a:gd name="T85" fmla="*/ T84 w 2255"/>
                              <a:gd name="T86" fmla="+- 0 2994 2143"/>
                              <a:gd name="T87" fmla="*/ 2994 h 1013"/>
                              <a:gd name="T88" fmla="+- 0 9187 7649"/>
                              <a:gd name="T89" fmla="*/ T88 w 2255"/>
                              <a:gd name="T90" fmla="+- 0 3015 2143"/>
                              <a:gd name="T91" fmla="*/ 3015 h 1013"/>
                              <a:gd name="T92" fmla="+- 0 9035 7649"/>
                              <a:gd name="T93" fmla="*/ T92 w 2255"/>
                              <a:gd name="T94" fmla="+- 0 3042 2143"/>
                              <a:gd name="T95" fmla="*/ 3042 h 1013"/>
                              <a:gd name="T96" fmla="+- 0 8882 7649"/>
                              <a:gd name="T97" fmla="*/ T96 w 2255"/>
                              <a:gd name="T98" fmla="+- 0 3073 2143"/>
                              <a:gd name="T99" fmla="*/ 3073 h 1013"/>
                              <a:gd name="T100" fmla="+- 0 8593 7649"/>
                              <a:gd name="T101" fmla="*/ T100 w 2255"/>
                              <a:gd name="T102" fmla="+- 0 3128 2143"/>
                              <a:gd name="T103" fmla="*/ 3128 h 1013"/>
                              <a:gd name="T104" fmla="+- 0 8439 7649"/>
                              <a:gd name="T105" fmla="*/ T104 w 2255"/>
                              <a:gd name="T106" fmla="+- 0 3144 2143"/>
                              <a:gd name="T107" fmla="*/ 3144 h 1013"/>
                              <a:gd name="T108" fmla="+- 0 8288 7649"/>
                              <a:gd name="T109" fmla="*/ T108 w 2255"/>
                              <a:gd name="T110" fmla="+- 0 3151 2143"/>
                              <a:gd name="T111" fmla="*/ 3151 h 1013"/>
                              <a:gd name="T112" fmla="+- 0 8440 7649"/>
                              <a:gd name="T113" fmla="*/ T112 w 2255"/>
                              <a:gd name="T114" fmla="+- 0 3149 2143"/>
                              <a:gd name="T115" fmla="*/ 3149 h 1013"/>
                              <a:gd name="T116" fmla="+- 0 8594 7649"/>
                              <a:gd name="T117" fmla="*/ T116 w 2255"/>
                              <a:gd name="T118" fmla="+- 0 3132 2143"/>
                              <a:gd name="T119" fmla="*/ 3132 h 1013"/>
                              <a:gd name="T120" fmla="+- 0 8777 7649"/>
                              <a:gd name="T121" fmla="*/ T120 w 2255"/>
                              <a:gd name="T122" fmla="+- 0 3101 2143"/>
                              <a:gd name="T123" fmla="*/ 3101 h 1013"/>
                              <a:gd name="T124" fmla="+- 0 9037 7649"/>
                              <a:gd name="T125" fmla="*/ T124 w 2255"/>
                              <a:gd name="T126" fmla="+- 0 3046 2143"/>
                              <a:gd name="T127" fmla="*/ 3046 h 1013"/>
                              <a:gd name="T128" fmla="+- 0 9188 7649"/>
                              <a:gd name="T129" fmla="*/ T128 w 2255"/>
                              <a:gd name="T130" fmla="+- 0 3020 2143"/>
                              <a:gd name="T131" fmla="*/ 3020 h 1013"/>
                              <a:gd name="T132" fmla="+- 0 9339 7649"/>
                              <a:gd name="T133" fmla="*/ T132 w 2255"/>
                              <a:gd name="T134" fmla="+- 0 2999 2143"/>
                              <a:gd name="T135" fmla="*/ 2999 h 1013"/>
                              <a:gd name="T136" fmla="+- 0 9490 7649"/>
                              <a:gd name="T137" fmla="*/ T136 w 2255"/>
                              <a:gd name="T138" fmla="+- 0 2983 2143"/>
                              <a:gd name="T139" fmla="*/ 2983 h 1013"/>
                              <a:gd name="T140" fmla="+- 0 9643 7649"/>
                              <a:gd name="T141" fmla="*/ T140 w 2255"/>
                              <a:gd name="T142" fmla="+- 0 2972 2143"/>
                              <a:gd name="T143" fmla="*/ 2972 h 1013"/>
                              <a:gd name="T144" fmla="+- 0 9850 7649"/>
                              <a:gd name="T145" fmla="*/ T144 w 2255"/>
                              <a:gd name="T146" fmla="+- 0 2966 2143"/>
                              <a:gd name="T147" fmla="*/ 2966 h 1013"/>
                              <a:gd name="T148" fmla="+- 0 9904 7649"/>
                              <a:gd name="T149" fmla="*/ T148 w 2255"/>
                              <a:gd name="T150" fmla="+- 0 2965 2143"/>
                              <a:gd name="T151" fmla="*/ 2965 h 1013"/>
                              <a:gd name="T152" fmla="+- 0 9899 7649"/>
                              <a:gd name="T153" fmla="*/ T152 w 2255"/>
                              <a:gd name="T154" fmla="+- 0 2964 2143"/>
                              <a:gd name="T155" fmla="*/ 2964 h 1013"/>
                              <a:gd name="T156" fmla="+- 0 7652 7649"/>
                              <a:gd name="T157" fmla="*/ T156 w 2255"/>
                              <a:gd name="T158" fmla="+- 0 3096 2143"/>
                              <a:gd name="T159" fmla="*/ 3096 h 1013"/>
                              <a:gd name="T160" fmla="+- 0 7654 7649"/>
                              <a:gd name="T161" fmla="*/ T160 w 2255"/>
                              <a:gd name="T162" fmla="+- 0 3096 2143"/>
                              <a:gd name="T163" fmla="*/ 3096 h 1013"/>
                              <a:gd name="T164" fmla="+- 0 7654 7649"/>
                              <a:gd name="T165" fmla="*/ T164 w 2255"/>
                              <a:gd name="T166" fmla="+- 0 3096 2143"/>
                              <a:gd name="T167" fmla="*/ 3096 h 1013"/>
                              <a:gd name="T168" fmla="+- 0 7667 7649"/>
                              <a:gd name="T169" fmla="*/ T168 w 2255"/>
                              <a:gd name="T170" fmla="+- 0 3098 2143"/>
                              <a:gd name="T171" fmla="*/ 3098 h 1013"/>
                              <a:gd name="T172" fmla="+- 0 7654 7649"/>
                              <a:gd name="T173" fmla="*/ T172 w 2255"/>
                              <a:gd name="T174" fmla="+- 0 3096 2143"/>
                              <a:gd name="T175" fmla="*/ 3096 h 1013"/>
                              <a:gd name="T176" fmla="+- 0 7654 7649"/>
                              <a:gd name="T177" fmla="*/ T176 w 2255"/>
                              <a:gd name="T178" fmla="+- 0 3096 2143"/>
                              <a:gd name="T179" fmla="*/ 3096 h 1013"/>
                              <a:gd name="T180" fmla="+- 0 9899 7649"/>
                              <a:gd name="T181" fmla="*/ T180 w 2255"/>
                              <a:gd name="T182" fmla="+- 0 2146 2143"/>
                              <a:gd name="T183" fmla="*/ 2146 h 1013"/>
                              <a:gd name="T184" fmla="+- 0 9901 7649"/>
                              <a:gd name="T185" fmla="*/ T184 w 2255"/>
                              <a:gd name="T186" fmla="+- 0 2962 2143"/>
                              <a:gd name="T187" fmla="*/ 2962 h 1013"/>
                              <a:gd name="T188" fmla="+- 0 9904 7649"/>
                              <a:gd name="T189" fmla="*/ T188 w 2255"/>
                              <a:gd name="T190" fmla="+- 0 2148 2143"/>
                              <a:gd name="T191" fmla="*/ 2148 h 1013"/>
                              <a:gd name="T192" fmla="+- 0 9899 7649"/>
                              <a:gd name="T193" fmla="*/ T192 w 2255"/>
                              <a:gd name="T194" fmla="+- 0 2146 2143"/>
                              <a:gd name="T195" fmla="*/ 2146 h 1013"/>
                              <a:gd name="T196" fmla="+- 0 9901 7649"/>
                              <a:gd name="T197" fmla="*/ T196 w 2255"/>
                              <a:gd name="T198" fmla="+- 0 2962 2143"/>
                              <a:gd name="T199" fmla="*/ 2962 h 1013"/>
                              <a:gd name="T200" fmla="+- 0 9904 7649"/>
                              <a:gd name="T201" fmla="*/ T200 w 2255"/>
                              <a:gd name="T202" fmla="+- 0 2964 2143"/>
                              <a:gd name="T203" fmla="*/ 2964 h 1013"/>
                              <a:gd name="T204" fmla="+- 0 7654 7649"/>
                              <a:gd name="T205" fmla="*/ T204 w 2255"/>
                              <a:gd name="T206" fmla="+- 0 2146 2143"/>
                              <a:gd name="T207" fmla="*/ 2146 h 1013"/>
                              <a:gd name="T208" fmla="+- 0 7654 7649"/>
                              <a:gd name="T209" fmla="*/ T208 w 2255"/>
                              <a:gd name="T210" fmla="+- 0 2148 2143"/>
                              <a:gd name="T211" fmla="*/ 2148 h 1013"/>
                              <a:gd name="T212" fmla="+- 0 9899 7649"/>
                              <a:gd name="T213" fmla="*/ T212 w 2255"/>
                              <a:gd name="T214" fmla="+- 0 2146 2143"/>
                              <a:gd name="T215" fmla="*/ 2146 h 1013"/>
                              <a:gd name="T216" fmla="+- 0 7654 7649"/>
                              <a:gd name="T217" fmla="*/ T216 w 2255"/>
                              <a:gd name="T218" fmla="+- 0 2148 2143"/>
                              <a:gd name="T219" fmla="*/ 2148 h 1013"/>
                              <a:gd name="T220" fmla="+- 0 9899 7649"/>
                              <a:gd name="T221" fmla="*/ T220 w 2255"/>
                              <a:gd name="T222" fmla="+- 0 2146 2143"/>
                              <a:gd name="T223" fmla="*/ 2146 h 1013"/>
                              <a:gd name="T224" fmla="+- 0 9899 7649"/>
                              <a:gd name="T225" fmla="*/ T224 w 2255"/>
                              <a:gd name="T226" fmla="+- 0 2146 2143"/>
                              <a:gd name="T227" fmla="*/ 2146 h 1013"/>
                              <a:gd name="T228" fmla="+- 0 9904 7649"/>
                              <a:gd name="T229" fmla="*/ T228 w 2255"/>
                              <a:gd name="T230" fmla="+- 0 2148 2143"/>
                              <a:gd name="T231" fmla="*/ 2148 h 10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255" h="1013">
                                <a:moveTo>
                                  <a:pt x="2253" y="0"/>
                                </a:moveTo>
                                <a:lnTo>
                                  <a:pt x="1" y="0"/>
                                </a:lnTo>
                                <a:lnTo>
                                  <a:pt x="0" y="1"/>
                                </a:lnTo>
                                <a:lnTo>
                                  <a:pt x="0" y="957"/>
                                </a:lnTo>
                                <a:lnTo>
                                  <a:pt x="1" y="958"/>
                                </a:lnTo>
                                <a:lnTo>
                                  <a:pt x="2" y="958"/>
                                </a:lnTo>
                                <a:lnTo>
                                  <a:pt x="54" y="966"/>
                                </a:lnTo>
                                <a:lnTo>
                                  <a:pt x="104" y="973"/>
                                </a:lnTo>
                                <a:lnTo>
                                  <a:pt x="181" y="984"/>
                                </a:lnTo>
                                <a:lnTo>
                                  <a:pt x="258" y="992"/>
                                </a:lnTo>
                                <a:lnTo>
                                  <a:pt x="335" y="1000"/>
                                </a:lnTo>
                                <a:lnTo>
                                  <a:pt x="411" y="1006"/>
                                </a:lnTo>
                                <a:lnTo>
                                  <a:pt x="487" y="1010"/>
                                </a:lnTo>
                                <a:lnTo>
                                  <a:pt x="563" y="1012"/>
                                </a:lnTo>
                                <a:lnTo>
                                  <a:pt x="639" y="1012"/>
                                </a:lnTo>
                                <a:lnTo>
                                  <a:pt x="715" y="1010"/>
                                </a:lnTo>
                                <a:lnTo>
                                  <a:pt x="763" y="1008"/>
                                </a:lnTo>
                                <a:lnTo>
                                  <a:pt x="639" y="1008"/>
                                </a:lnTo>
                                <a:lnTo>
                                  <a:pt x="563" y="1007"/>
                                </a:lnTo>
                                <a:lnTo>
                                  <a:pt x="487" y="1005"/>
                                </a:lnTo>
                                <a:lnTo>
                                  <a:pt x="411" y="1001"/>
                                </a:lnTo>
                                <a:lnTo>
                                  <a:pt x="335" y="995"/>
                                </a:lnTo>
                                <a:lnTo>
                                  <a:pt x="259" y="988"/>
                                </a:lnTo>
                                <a:lnTo>
                                  <a:pt x="183" y="979"/>
                                </a:lnTo>
                                <a:lnTo>
                                  <a:pt x="105" y="969"/>
                                </a:lnTo>
                                <a:lnTo>
                                  <a:pt x="55" y="961"/>
                                </a:lnTo>
                                <a:lnTo>
                                  <a:pt x="18" y="955"/>
                                </a:lnTo>
                                <a:lnTo>
                                  <a:pt x="5" y="955"/>
                                </a:lnTo>
                                <a:lnTo>
                                  <a:pt x="3" y="953"/>
                                </a:lnTo>
                                <a:lnTo>
                                  <a:pt x="5" y="953"/>
                                </a:lnTo>
                                <a:lnTo>
                                  <a:pt x="5" y="5"/>
                                </a:lnTo>
                                <a:lnTo>
                                  <a:pt x="2" y="5"/>
                                </a:lnTo>
                                <a:lnTo>
                                  <a:pt x="5" y="3"/>
                                </a:lnTo>
                                <a:lnTo>
                                  <a:pt x="2255" y="3"/>
                                </a:lnTo>
                                <a:lnTo>
                                  <a:pt x="2255" y="1"/>
                                </a:lnTo>
                                <a:lnTo>
                                  <a:pt x="2253" y="0"/>
                                </a:lnTo>
                                <a:close/>
                                <a:moveTo>
                                  <a:pt x="2250" y="819"/>
                                </a:moveTo>
                                <a:lnTo>
                                  <a:pt x="2201" y="819"/>
                                </a:lnTo>
                                <a:lnTo>
                                  <a:pt x="2072" y="821"/>
                                </a:lnTo>
                                <a:lnTo>
                                  <a:pt x="1995" y="824"/>
                                </a:lnTo>
                                <a:lnTo>
                                  <a:pt x="1918" y="829"/>
                                </a:lnTo>
                                <a:lnTo>
                                  <a:pt x="1841" y="835"/>
                                </a:lnTo>
                                <a:lnTo>
                                  <a:pt x="1765" y="842"/>
                                </a:lnTo>
                                <a:lnTo>
                                  <a:pt x="1689" y="851"/>
                                </a:lnTo>
                                <a:lnTo>
                                  <a:pt x="1613" y="861"/>
                                </a:lnTo>
                                <a:lnTo>
                                  <a:pt x="1538" y="872"/>
                                </a:lnTo>
                                <a:lnTo>
                                  <a:pt x="1462" y="885"/>
                                </a:lnTo>
                                <a:lnTo>
                                  <a:pt x="1386" y="899"/>
                                </a:lnTo>
                                <a:lnTo>
                                  <a:pt x="1310" y="914"/>
                                </a:lnTo>
                                <a:lnTo>
                                  <a:pt x="1233" y="930"/>
                                </a:lnTo>
                                <a:lnTo>
                                  <a:pt x="1021" y="972"/>
                                </a:lnTo>
                                <a:lnTo>
                                  <a:pt x="944" y="985"/>
                                </a:lnTo>
                                <a:lnTo>
                                  <a:pt x="867" y="994"/>
                                </a:lnTo>
                                <a:lnTo>
                                  <a:pt x="790" y="1001"/>
                                </a:lnTo>
                                <a:lnTo>
                                  <a:pt x="714" y="1006"/>
                                </a:lnTo>
                                <a:lnTo>
                                  <a:pt x="639" y="1008"/>
                                </a:lnTo>
                                <a:lnTo>
                                  <a:pt x="763" y="1008"/>
                                </a:lnTo>
                                <a:lnTo>
                                  <a:pt x="791" y="1006"/>
                                </a:lnTo>
                                <a:lnTo>
                                  <a:pt x="868" y="999"/>
                                </a:lnTo>
                                <a:lnTo>
                                  <a:pt x="945" y="989"/>
                                </a:lnTo>
                                <a:lnTo>
                                  <a:pt x="1022" y="977"/>
                                </a:lnTo>
                                <a:lnTo>
                                  <a:pt x="1128" y="958"/>
                                </a:lnTo>
                                <a:lnTo>
                                  <a:pt x="1312" y="919"/>
                                </a:lnTo>
                                <a:lnTo>
                                  <a:pt x="1388" y="903"/>
                                </a:lnTo>
                                <a:lnTo>
                                  <a:pt x="1464" y="889"/>
                                </a:lnTo>
                                <a:lnTo>
                                  <a:pt x="1539" y="877"/>
                                </a:lnTo>
                                <a:lnTo>
                                  <a:pt x="1615" y="866"/>
                                </a:lnTo>
                                <a:lnTo>
                                  <a:pt x="1690" y="856"/>
                                </a:lnTo>
                                <a:lnTo>
                                  <a:pt x="1765" y="847"/>
                                </a:lnTo>
                                <a:lnTo>
                                  <a:pt x="1841" y="840"/>
                                </a:lnTo>
                                <a:lnTo>
                                  <a:pt x="1917" y="834"/>
                                </a:lnTo>
                                <a:lnTo>
                                  <a:pt x="1994" y="829"/>
                                </a:lnTo>
                                <a:lnTo>
                                  <a:pt x="2071" y="826"/>
                                </a:lnTo>
                                <a:lnTo>
                                  <a:pt x="2201" y="823"/>
                                </a:lnTo>
                                <a:lnTo>
                                  <a:pt x="2253" y="823"/>
                                </a:lnTo>
                                <a:lnTo>
                                  <a:pt x="2255" y="822"/>
                                </a:lnTo>
                                <a:lnTo>
                                  <a:pt x="2255" y="821"/>
                                </a:lnTo>
                                <a:lnTo>
                                  <a:pt x="2250" y="821"/>
                                </a:lnTo>
                                <a:lnTo>
                                  <a:pt x="2250" y="819"/>
                                </a:lnTo>
                                <a:close/>
                                <a:moveTo>
                                  <a:pt x="3" y="953"/>
                                </a:moveTo>
                                <a:lnTo>
                                  <a:pt x="5" y="955"/>
                                </a:lnTo>
                                <a:lnTo>
                                  <a:pt x="5" y="953"/>
                                </a:lnTo>
                                <a:lnTo>
                                  <a:pt x="3" y="953"/>
                                </a:lnTo>
                                <a:close/>
                                <a:moveTo>
                                  <a:pt x="5" y="953"/>
                                </a:moveTo>
                                <a:lnTo>
                                  <a:pt x="5" y="955"/>
                                </a:lnTo>
                                <a:lnTo>
                                  <a:pt x="18" y="955"/>
                                </a:lnTo>
                                <a:lnTo>
                                  <a:pt x="5" y="953"/>
                                </a:lnTo>
                                <a:close/>
                                <a:moveTo>
                                  <a:pt x="5" y="953"/>
                                </a:moveTo>
                                <a:lnTo>
                                  <a:pt x="3" y="953"/>
                                </a:lnTo>
                                <a:lnTo>
                                  <a:pt x="5" y="953"/>
                                </a:lnTo>
                                <a:close/>
                                <a:moveTo>
                                  <a:pt x="2250" y="3"/>
                                </a:moveTo>
                                <a:lnTo>
                                  <a:pt x="2250" y="821"/>
                                </a:lnTo>
                                <a:lnTo>
                                  <a:pt x="2252" y="819"/>
                                </a:lnTo>
                                <a:lnTo>
                                  <a:pt x="2255" y="819"/>
                                </a:lnTo>
                                <a:lnTo>
                                  <a:pt x="2255" y="5"/>
                                </a:lnTo>
                                <a:lnTo>
                                  <a:pt x="2252" y="5"/>
                                </a:lnTo>
                                <a:lnTo>
                                  <a:pt x="2250" y="3"/>
                                </a:lnTo>
                                <a:close/>
                                <a:moveTo>
                                  <a:pt x="2255" y="819"/>
                                </a:moveTo>
                                <a:lnTo>
                                  <a:pt x="2252" y="819"/>
                                </a:lnTo>
                                <a:lnTo>
                                  <a:pt x="2250" y="821"/>
                                </a:lnTo>
                                <a:lnTo>
                                  <a:pt x="2255" y="821"/>
                                </a:lnTo>
                                <a:lnTo>
                                  <a:pt x="2255" y="819"/>
                                </a:lnTo>
                                <a:close/>
                                <a:moveTo>
                                  <a:pt x="5" y="3"/>
                                </a:moveTo>
                                <a:lnTo>
                                  <a:pt x="2" y="5"/>
                                </a:lnTo>
                                <a:lnTo>
                                  <a:pt x="5" y="5"/>
                                </a:lnTo>
                                <a:lnTo>
                                  <a:pt x="5" y="3"/>
                                </a:lnTo>
                                <a:close/>
                                <a:moveTo>
                                  <a:pt x="2250" y="3"/>
                                </a:moveTo>
                                <a:lnTo>
                                  <a:pt x="5" y="3"/>
                                </a:lnTo>
                                <a:lnTo>
                                  <a:pt x="5" y="5"/>
                                </a:lnTo>
                                <a:lnTo>
                                  <a:pt x="2250" y="5"/>
                                </a:lnTo>
                                <a:lnTo>
                                  <a:pt x="2250" y="3"/>
                                </a:lnTo>
                                <a:close/>
                                <a:moveTo>
                                  <a:pt x="2255" y="3"/>
                                </a:moveTo>
                                <a:lnTo>
                                  <a:pt x="2250" y="3"/>
                                </a:lnTo>
                                <a:lnTo>
                                  <a:pt x="2252" y="5"/>
                                </a:lnTo>
                                <a:lnTo>
                                  <a:pt x="2255" y="5"/>
                                </a:lnTo>
                                <a:lnTo>
                                  <a:pt x="225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6" name="Picture 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7650" y="3166"/>
                            <a:ext cx="2250" cy="1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AutoShape 83"/>
                        <wps:cNvSpPr>
                          <a:spLocks/>
                        </wps:cNvSpPr>
                        <wps:spPr bwMode="auto">
                          <a:xfrm>
                            <a:off x="7647" y="3164"/>
                            <a:ext cx="2255" cy="1358"/>
                          </a:xfrm>
                          <a:custGeom>
                            <a:avLst/>
                            <a:gdLst>
                              <a:gd name="T0" fmla="+- 0 7648 7648"/>
                              <a:gd name="T1" fmla="*/ T0 w 2255"/>
                              <a:gd name="T2" fmla="+- 0 3164 3164"/>
                              <a:gd name="T3" fmla="*/ 3164 h 1358"/>
                              <a:gd name="T4" fmla="+- 0 7649 7648"/>
                              <a:gd name="T5" fmla="*/ T4 w 2255"/>
                              <a:gd name="T6" fmla="+- 0 4450 3164"/>
                              <a:gd name="T7" fmla="*/ 4450 h 1358"/>
                              <a:gd name="T8" fmla="+- 0 7751 7648"/>
                              <a:gd name="T9" fmla="*/ T8 w 2255"/>
                              <a:gd name="T10" fmla="+- 0 4470 3164"/>
                              <a:gd name="T11" fmla="*/ 4470 h 1358"/>
                              <a:gd name="T12" fmla="+- 0 7907 7648"/>
                              <a:gd name="T13" fmla="*/ T12 w 2255"/>
                              <a:gd name="T14" fmla="+- 0 4495 3164"/>
                              <a:gd name="T15" fmla="*/ 4495 h 1358"/>
                              <a:gd name="T16" fmla="+- 0 8059 7648"/>
                              <a:gd name="T17" fmla="*/ T16 w 2255"/>
                              <a:gd name="T18" fmla="+- 0 4513 3164"/>
                              <a:gd name="T19" fmla="*/ 4513 h 1358"/>
                              <a:gd name="T20" fmla="+- 0 8209 7648"/>
                              <a:gd name="T21" fmla="*/ T20 w 2255"/>
                              <a:gd name="T22" fmla="+- 0 4521 3164"/>
                              <a:gd name="T23" fmla="*/ 4521 h 1358"/>
                              <a:gd name="T24" fmla="+- 0 8359 7648"/>
                              <a:gd name="T25" fmla="*/ T24 w 2255"/>
                              <a:gd name="T26" fmla="+- 0 4519 3164"/>
                              <a:gd name="T27" fmla="*/ 4519 h 1358"/>
                              <a:gd name="T28" fmla="+- 0 8286 7648"/>
                              <a:gd name="T29" fmla="*/ T28 w 2255"/>
                              <a:gd name="T30" fmla="+- 0 4517 3164"/>
                              <a:gd name="T31" fmla="*/ 4517 h 1358"/>
                              <a:gd name="T32" fmla="+- 0 8134 7648"/>
                              <a:gd name="T33" fmla="*/ T32 w 2255"/>
                              <a:gd name="T34" fmla="+- 0 4513 3164"/>
                              <a:gd name="T35" fmla="*/ 4513 h 1358"/>
                              <a:gd name="T36" fmla="+- 0 7981 7648"/>
                              <a:gd name="T37" fmla="*/ T36 w 2255"/>
                              <a:gd name="T38" fmla="+- 0 4500 3164"/>
                              <a:gd name="T39" fmla="*/ 4500 h 1358"/>
                              <a:gd name="T40" fmla="+- 0 7829 7648"/>
                              <a:gd name="T41" fmla="*/ T40 w 2255"/>
                              <a:gd name="T42" fmla="+- 0 4478 3164"/>
                              <a:gd name="T43" fmla="*/ 4478 h 1358"/>
                              <a:gd name="T44" fmla="+- 0 7661 7648"/>
                              <a:gd name="T45" fmla="*/ T44 w 2255"/>
                              <a:gd name="T46" fmla="+- 0 4446 3164"/>
                              <a:gd name="T47" fmla="*/ 4446 h 1358"/>
                              <a:gd name="T48" fmla="+- 0 7650 7648"/>
                              <a:gd name="T49" fmla="*/ T48 w 2255"/>
                              <a:gd name="T50" fmla="+- 0 4444 3164"/>
                              <a:gd name="T51" fmla="*/ 4444 h 1358"/>
                              <a:gd name="T52" fmla="+- 0 7652 7648"/>
                              <a:gd name="T53" fmla="*/ T52 w 2255"/>
                              <a:gd name="T54" fmla="+- 0 3169 3164"/>
                              <a:gd name="T55" fmla="*/ 3169 h 1358"/>
                              <a:gd name="T56" fmla="+- 0 7652 7648"/>
                              <a:gd name="T57" fmla="*/ T56 w 2255"/>
                              <a:gd name="T58" fmla="+- 0 3167 3164"/>
                              <a:gd name="T59" fmla="*/ 3167 h 1358"/>
                              <a:gd name="T60" fmla="+- 0 9902 7648"/>
                              <a:gd name="T61" fmla="*/ T60 w 2255"/>
                              <a:gd name="T62" fmla="+- 0 3166 3164"/>
                              <a:gd name="T63" fmla="*/ 3166 h 1358"/>
                              <a:gd name="T64" fmla="+- 0 9898 7648"/>
                              <a:gd name="T65" fmla="*/ T64 w 2255"/>
                              <a:gd name="T66" fmla="+- 0 4264 3164"/>
                              <a:gd name="T67" fmla="*/ 4264 h 1358"/>
                              <a:gd name="T68" fmla="+- 0 9717 7648"/>
                              <a:gd name="T69" fmla="*/ T68 w 2255"/>
                              <a:gd name="T70" fmla="+- 0 4267 3164"/>
                              <a:gd name="T71" fmla="*/ 4267 h 1358"/>
                              <a:gd name="T72" fmla="+- 0 9561 7648"/>
                              <a:gd name="T73" fmla="*/ T72 w 2255"/>
                              <a:gd name="T74" fmla="+- 0 4277 3164"/>
                              <a:gd name="T75" fmla="*/ 4277 h 1358"/>
                              <a:gd name="T76" fmla="+- 0 9409 7648"/>
                              <a:gd name="T77" fmla="*/ T76 w 2255"/>
                              <a:gd name="T78" fmla="+- 0 4295 3164"/>
                              <a:gd name="T79" fmla="*/ 4295 h 1358"/>
                              <a:gd name="T80" fmla="+- 0 9259 7648"/>
                              <a:gd name="T81" fmla="*/ T80 w 2255"/>
                              <a:gd name="T82" fmla="+- 0 4320 3164"/>
                              <a:gd name="T83" fmla="*/ 4320 h 1358"/>
                              <a:gd name="T84" fmla="+- 0 9108 7648"/>
                              <a:gd name="T85" fmla="*/ T84 w 2255"/>
                              <a:gd name="T86" fmla="+- 0 4352 3164"/>
                              <a:gd name="T87" fmla="*/ 4352 h 1358"/>
                              <a:gd name="T88" fmla="+- 0 8957 7648"/>
                              <a:gd name="T89" fmla="*/ T88 w 2255"/>
                              <a:gd name="T90" fmla="+- 0 4392 3164"/>
                              <a:gd name="T91" fmla="*/ 4392 h 1358"/>
                              <a:gd name="T92" fmla="+- 0 8774 7648"/>
                              <a:gd name="T93" fmla="*/ T92 w 2255"/>
                              <a:gd name="T94" fmla="+- 0 4442 3164"/>
                              <a:gd name="T95" fmla="*/ 4442 h 1358"/>
                              <a:gd name="T96" fmla="+- 0 8591 7648"/>
                              <a:gd name="T97" fmla="*/ T96 w 2255"/>
                              <a:gd name="T98" fmla="+- 0 4486 3164"/>
                              <a:gd name="T99" fmla="*/ 4486 h 1358"/>
                              <a:gd name="T100" fmla="+- 0 8438 7648"/>
                              <a:gd name="T101" fmla="*/ T100 w 2255"/>
                              <a:gd name="T102" fmla="+- 0 4508 3164"/>
                              <a:gd name="T103" fmla="*/ 4508 h 1358"/>
                              <a:gd name="T104" fmla="+- 0 8286 7648"/>
                              <a:gd name="T105" fmla="*/ T104 w 2255"/>
                              <a:gd name="T106" fmla="+- 0 4517 3164"/>
                              <a:gd name="T107" fmla="*/ 4517 h 1358"/>
                              <a:gd name="T108" fmla="+- 0 8435 7648"/>
                              <a:gd name="T109" fmla="*/ T108 w 2255"/>
                              <a:gd name="T110" fmla="+- 0 4513 3164"/>
                              <a:gd name="T111" fmla="*/ 4513 h 1358"/>
                              <a:gd name="T112" fmla="+- 0 8590 7648"/>
                              <a:gd name="T113" fmla="*/ T112 w 2255"/>
                              <a:gd name="T114" fmla="+- 0 4491 3164"/>
                              <a:gd name="T115" fmla="*/ 4491 h 1358"/>
                              <a:gd name="T116" fmla="+- 0 8776 7648"/>
                              <a:gd name="T117" fmla="*/ T116 w 2255"/>
                              <a:gd name="T118" fmla="+- 0 4447 3164"/>
                              <a:gd name="T119" fmla="*/ 4447 h 1358"/>
                              <a:gd name="T120" fmla="+- 0 8958 7648"/>
                              <a:gd name="T121" fmla="*/ T120 w 2255"/>
                              <a:gd name="T122" fmla="+- 0 4396 3164"/>
                              <a:gd name="T123" fmla="*/ 4396 h 1358"/>
                              <a:gd name="T124" fmla="+- 0 9109 7648"/>
                              <a:gd name="T125" fmla="*/ T124 w 2255"/>
                              <a:gd name="T126" fmla="+- 0 4358 3164"/>
                              <a:gd name="T127" fmla="*/ 4358 h 1358"/>
                              <a:gd name="T128" fmla="+- 0 9259 7648"/>
                              <a:gd name="T129" fmla="*/ T128 w 2255"/>
                              <a:gd name="T130" fmla="+- 0 4325 3164"/>
                              <a:gd name="T131" fmla="*/ 4325 h 1358"/>
                              <a:gd name="T132" fmla="+- 0 9410 7648"/>
                              <a:gd name="T133" fmla="*/ T132 w 2255"/>
                              <a:gd name="T134" fmla="+- 0 4300 3164"/>
                              <a:gd name="T135" fmla="*/ 4300 h 1358"/>
                              <a:gd name="T136" fmla="+- 0 9562 7648"/>
                              <a:gd name="T137" fmla="*/ T136 w 2255"/>
                              <a:gd name="T138" fmla="+- 0 4282 3164"/>
                              <a:gd name="T139" fmla="*/ 4282 h 1358"/>
                              <a:gd name="T140" fmla="+- 0 9717 7648"/>
                              <a:gd name="T141" fmla="*/ T140 w 2255"/>
                              <a:gd name="T142" fmla="+- 0 4272 3164"/>
                              <a:gd name="T143" fmla="*/ 4272 h 1358"/>
                              <a:gd name="T144" fmla="+- 0 9901 7648"/>
                              <a:gd name="T145" fmla="*/ T144 w 2255"/>
                              <a:gd name="T146" fmla="+- 0 4268 3164"/>
                              <a:gd name="T147" fmla="*/ 4268 h 1358"/>
                              <a:gd name="T148" fmla="+- 0 9902 7648"/>
                              <a:gd name="T149" fmla="*/ T148 w 2255"/>
                              <a:gd name="T150" fmla="+- 0 4266 3164"/>
                              <a:gd name="T151" fmla="*/ 4266 h 1358"/>
                              <a:gd name="T152" fmla="+- 0 9898 7648"/>
                              <a:gd name="T153" fmla="*/ T152 w 2255"/>
                              <a:gd name="T154" fmla="+- 0 4264 3164"/>
                              <a:gd name="T155" fmla="*/ 4264 h 1358"/>
                              <a:gd name="T156" fmla="+- 0 7652 7648"/>
                              <a:gd name="T157" fmla="*/ T156 w 2255"/>
                              <a:gd name="T158" fmla="+- 0 4446 3164"/>
                              <a:gd name="T159" fmla="*/ 4446 h 1358"/>
                              <a:gd name="T160" fmla="+- 0 7650 7648"/>
                              <a:gd name="T161" fmla="*/ T160 w 2255"/>
                              <a:gd name="T162" fmla="+- 0 4444 3164"/>
                              <a:gd name="T163" fmla="*/ 4444 h 1358"/>
                              <a:gd name="T164" fmla="+- 0 7652 7648"/>
                              <a:gd name="T165" fmla="*/ T164 w 2255"/>
                              <a:gd name="T166" fmla="+- 0 4446 3164"/>
                              <a:gd name="T167" fmla="*/ 4446 h 1358"/>
                              <a:gd name="T168" fmla="+- 0 7652 7648"/>
                              <a:gd name="T169" fmla="*/ T168 w 2255"/>
                              <a:gd name="T170" fmla="+- 0 4444 3164"/>
                              <a:gd name="T171" fmla="*/ 4444 h 1358"/>
                              <a:gd name="T172" fmla="+- 0 7650 7648"/>
                              <a:gd name="T173" fmla="*/ T172 w 2255"/>
                              <a:gd name="T174" fmla="+- 0 4444 3164"/>
                              <a:gd name="T175" fmla="*/ 4444 h 1358"/>
                              <a:gd name="T176" fmla="+- 0 7652 7648"/>
                              <a:gd name="T177" fmla="*/ T176 w 2255"/>
                              <a:gd name="T178" fmla="+- 0 4444 3164"/>
                              <a:gd name="T179" fmla="*/ 4444 h 1358"/>
                              <a:gd name="T180" fmla="+- 0 9898 7648"/>
                              <a:gd name="T181" fmla="*/ T180 w 2255"/>
                              <a:gd name="T182" fmla="+- 0 4266 3164"/>
                              <a:gd name="T183" fmla="*/ 4266 h 1358"/>
                              <a:gd name="T184" fmla="+- 0 9902 7648"/>
                              <a:gd name="T185" fmla="*/ T184 w 2255"/>
                              <a:gd name="T186" fmla="+- 0 4264 3164"/>
                              <a:gd name="T187" fmla="*/ 4264 h 1358"/>
                              <a:gd name="T188" fmla="+- 0 9900 7648"/>
                              <a:gd name="T189" fmla="*/ T188 w 2255"/>
                              <a:gd name="T190" fmla="+- 0 3169 3164"/>
                              <a:gd name="T191" fmla="*/ 3169 h 1358"/>
                              <a:gd name="T192" fmla="+- 0 9902 7648"/>
                              <a:gd name="T193" fmla="*/ T192 w 2255"/>
                              <a:gd name="T194" fmla="+- 0 4264 3164"/>
                              <a:gd name="T195" fmla="*/ 4264 h 1358"/>
                              <a:gd name="T196" fmla="+- 0 9898 7648"/>
                              <a:gd name="T197" fmla="*/ T196 w 2255"/>
                              <a:gd name="T198" fmla="+- 0 4266 3164"/>
                              <a:gd name="T199" fmla="*/ 4266 h 1358"/>
                              <a:gd name="T200" fmla="+- 0 9902 7648"/>
                              <a:gd name="T201" fmla="*/ T200 w 2255"/>
                              <a:gd name="T202" fmla="+- 0 4264 3164"/>
                              <a:gd name="T203" fmla="*/ 4264 h 1358"/>
                              <a:gd name="T204" fmla="+- 0 7650 7648"/>
                              <a:gd name="T205" fmla="*/ T204 w 2255"/>
                              <a:gd name="T206" fmla="+- 0 3169 3164"/>
                              <a:gd name="T207" fmla="*/ 3169 h 1358"/>
                              <a:gd name="T208" fmla="+- 0 7652 7648"/>
                              <a:gd name="T209" fmla="*/ T208 w 2255"/>
                              <a:gd name="T210" fmla="+- 0 3167 3164"/>
                              <a:gd name="T211" fmla="*/ 3167 h 1358"/>
                              <a:gd name="T212" fmla="+- 0 7652 7648"/>
                              <a:gd name="T213" fmla="*/ T212 w 2255"/>
                              <a:gd name="T214" fmla="+- 0 3167 3164"/>
                              <a:gd name="T215" fmla="*/ 3167 h 1358"/>
                              <a:gd name="T216" fmla="+- 0 9898 7648"/>
                              <a:gd name="T217" fmla="*/ T216 w 2255"/>
                              <a:gd name="T218" fmla="+- 0 3169 3164"/>
                              <a:gd name="T219" fmla="*/ 3169 h 1358"/>
                              <a:gd name="T220" fmla="+- 0 9902 7648"/>
                              <a:gd name="T221" fmla="*/ T220 w 2255"/>
                              <a:gd name="T222" fmla="+- 0 3167 3164"/>
                              <a:gd name="T223" fmla="*/ 3167 h 1358"/>
                              <a:gd name="T224" fmla="+- 0 9900 7648"/>
                              <a:gd name="T225" fmla="*/ T224 w 2255"/>
                              <a:gd name="T226" fmla="+- 0 3169 3164"/>
                              <a:gd name="T227" fmla="*/ 3169 h 1358"/>
                              <a:gd name="T228" fmla="+- 0 9902 7648"/>
                              <a:gd name="T229" fmla="*/ T228 w 2255"/>
                              <a:gd name="T230" fmla="+- 0 3167 3164"/>
                              <a:gd name="T231" fmla="*/ 3167 h 1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255" h="1358">
                                <a:moveTo>
                                  <a:pt x="2253" y="0"/>
                                </a:moveTo>
                                <a:lnTo>
                                  <a:pt x="0" y="0"/>
                                </a:lnTo>
                                <a:lnTo>
                                  <a:pt x="0" y="1284"/>
                                </a:lnTo>
                                <a:lnTo>
                                  <a:pt x="1" y="1286"/>
                                </a:lnTo>
                                <a:lnTo>
                                  <a:pt x="52" y="1295"/>
                                </a:lnTo>
                                <a:lnTo>
                                  <a:pt x="103" y="1306"/>
                                </a:lnTo>
                                <a:lnTo>
                                  <a:pt x="181" y="1319"/>
                                </a:lnTo>
                                <a:lnTo>
                                  <a:pt x="259" y="1331"/>
                                </a:lnTo>
                                <a:lnTo>
                                  <a:pt x="335" y="1341"/>
                                </a:lnTo>
                                <a:lnTo>
                                  <a:pt x="411" y="1349"/>
                                </a:lnTo>
                                <a:lnTo>
                                  <a:pt x="486" y="1354"/>
                                </a:lnTo>
                                <a:lnTo>
                                  <a:pt x="561" y="1357"/>
                                </a:lnTo>
                                <a:lnTo>
                                  <a:pt x="636" y="1358"/>
                                </a:lnTo>
                                <a:lnTo>
                                  <a:pt x="711" y="1355"/>
                                </a:lnTo>
                                <a:lnTo>
                                  <a:pt x="742" y="1353"/>
                                </a:lnTo>
                                <a:lnTo>
                                  <a:pt x="638" y="1353"/>
                                </a:lnTo>
                                <a:lnTo>
                                  <a:pt x="562" y="1352"/>
                                </a:lnTo>
                                <a:lnTo>
                                  <a:pt x="486" y="1349"/>
                                </a:lnTo>
                                <a:lnTo>
                                  <a:pt x="409" y="1344"/>
                                </a:lnTo>
                                <a:lnTo>
                                  <a:pt x="333" y="1336"/>
                                </a:lnTo>
                                <a:lnTo>
                                  <a:pt x="257" y="1326"/>
                                </a:lnTo>
                                <a:lnTo>
                                  <a:pt x="181" y="1314"/>
                                </a:lnTo>
                                <a:lnTo>
                                  <a:pt x="54" y="1290"/>
                                </a:lnTo>
                                <a:lnTo>
                                  <a:pt x="13" y="1282"/>
                                </a:lnTo>
                                <a:lnTo>
                                  <a:pt x="4" y="1282"/>
                                </a:lnTo>
                                <a:lnTo>
                                  <a:pt x="2" y="1280"/>
                                </a:lnTo>
                                <a:lnTo>
                                  <a:pt x="4" y="1280"/>
                                </a:lnTo>
                                <a:lnTo>
                                  <a:pt x="4" y="5"/>
                                </a:lnTo>
                                <a:lnTo>
                                  <a:pt x="2" y="5"/>
                                </a:lnTo>
                                <a:lnTo>
                                  <a:pt x="4" y="3"/>
                                </a:lnTo>
                                <a:lnTo>
                                  <a:pt x="2254" y="3"/>
                                </a:lnTo>
                                <a:lnTo>
                                  <a:pt x="2254" y="2"/>
                                </a:lnTo>
                                <a:lnTo>
                                  <a:pt x="2253" y="0"/>
                                </a:lnTo>
                                <a:close/>
                                <a:moveTo>
                                  <a:pt x="2250" y="1100"/>
                                </a:moveTo>
                                <a:lnTo>
                                  <a:pt x="2199" y="1100"/>
                                </a:lnTo>
                                <a:lnTo>
                                  <a:pt x="2069" y="1103"/>
                                </a:lnTo>
                                <a:lnTo>
                                  <a:pt x="1991" y="1107"/>
                                </a:lnTo>
                                <a:lnTo>
                                  <a:pt x="1913" y="1113"/>
                                </a:lnTo>
                                <a:lnTo>
                                  <a:pt x="1837" y="1121"/>
                                </a:lnTo>
                                <a:lnTo>
                                  <a:pt x="1761" y="1131"/>
                                </a:lnTo>
                                <a:lnTo>
                                  <a:pt x="1686" y="1143"/>
                                </a:lnTo>
                                <a:lnTo>
                                  <a:pt x="1611" y="1156"/>
                                </a:lnTo>
                                <a:lnTo>
                                  <a:pt x="1536" y="1171"/>
                                </a:lnTo>
                                <a:lnTo>
                                  <a:pt x="1460" y="1188"/>
                                </a:lnTo>
                                <a:lnTo>
                                  <a:pt x="1385" y="1207"/>
                                </a:lnTo>
                                <a:lnTo>
                                  <a:pt x="1309" y="1228"/>
                                </a:lnTo>
                                <a:lnTo>
                                  <a:pt x="1232" y="1250"/>
                                </a:lnTo>
                                <a:lnTo>
                                  <a:pt x="1126" y="1278"/>
                                </a:lnTo>
                                <a:lnTo>
                                  <a:pt x="1020" y="1305"/>
                                </a:lnTo>
                                <a:lnTo>
                                  <a:pt x="943" y="1322"/>
                                </a:lnTo>
                                <a:lnTo>
                                  <a:pt x="867" y="1335"/>
                                </a:lnTo>
                                <a:lnTo>
                                  <a:pt x="790" y="1344"/>
                                </a:lnTo>
                                <a:lnTo>
                                  <a:pt x="714" y="1350"/>
                                </a:lnTo>
                                <a:lnTo>
                                  <a:pt x="638" y="1353"/>
                                </a:lnTo>
                                <a:lnTo>
                                  <a:pt x="742" y="1353"/>
                                </a:lnTo>
                                <a:lnTo>
                                  <a:pt x="787" y="1349"/>
                                </a:lnTo>
                                <a:lnTo>
                                  <a:pt x="864" y="1340"/>
                                </a:lnTo>
                                <a:lnTo>
                                  <a:pt x="942" y="1327"/>
                                </a:lnTo>
                                <a:lnTo>
                                  <a:pt x="1021" y="1311"/>
                                </a:lnTo>
                                <a:lnTo>
                                  <a:pt x="1128" y="1283"/>
                                </a:lnTo>
                                <a:lnTo>
                                  <a:pt x="1233" y="1254"/>
                                </a:lnTo>
                                <a:lnTo>
                                  <a:pt x="1310" y="1232"/>
                                </a:lnTo>
                                <a:lnTo>
                                  <a:pt x="1385" y="1212"/>
                                </a:lnTo>
                                <a:lnTo>
                                  <a:pt x="1461" y="1194"/>
                                </a:lnTo>
                                <a:lnTo>
                                  <a:pt x="1536" y="1177"/>
                                </a:lnTo>
                                <a:lnTo>
                                  <a:pt x="1611" y="1161"/>
                                </a:lnTo>
                                <a:lnTo>
                                  <a:pt x="1686" y="1148"/>
                                </a:lnTo>
                                <a:lnTo>
                                  <a:pt x="1762" y="1136"/>
                                </a:lnTo>
                                <a:lnTo>
                                  <a:pt x="1837" y="1126"/>
                                </a:lnTo>
                                <a:lnTo>
                                  <a:pt x="1914" y="1118"/>
                                </a:lnTo>
                                <a:lnTo>
                                  <a:pt x="1991" y="1112"/>
                                </a:lnTo>
                                <a:lnTo>
                                  <a:pt x="2069" y="1108"/>
                                </a:lnTo>
                                <a:lnTo>
                                  <a:pt x="2199" y="1104"/>
                                </a:lnTo>
                                <a:lnTo>
                                  <a:pt x="2253" y="1104"/>
                                </a:lnTo>
                                <a:lnTo>
                                  <a:pt x="2254" y="1103"/>
                                </a:lnTo>
                                <a:lnTo>
                                  <a:pt x="2254" y="1102"/>
                                </a:lnTo>
                                <a:lnTo>
                                  <a:pt x="2250" y="1102"/>
                                </a:lnTo>
                                <a:lnTo>
                                  <a:pt x="2250" y="1100"/>
                                </a:lnTo>
                                <a:close/>
                                <a:moveTo>
                                  <a:pt x="2" y="1280"/>
                                </a:moveTo>
                                <a:lnTo>
                                  <a:pt x="4" y="1282"/>
                                </a:lnTo>
                                <a:lnTo>
                                  <a:pt x="4" y="1280"/>
                                </a:lnTo>
                                <a:lnTo>
                                  <a:pt x="2" y="1280"/>
                                </a:lnTo>
                                <a:close/>
                                <a:moveTo>
                                  <a:pt x="4" y="1280"/>
                                </a:moveTo>
                                <a:lnTo>
                                  <a:pt x="4" y="1282"/>
                                </a:lnTo>
                                <a:lnTo>
                                  <a:pt x="13" y="1282"/>
                                </a:lnTo>
                                <a:lnTo>
                                  <a:pt x="4" y="1280"/>
                                </a:lnTo>
                                <a:close/>
                                <a:moveTo>
                                  <a:pt x="4" y="1280"/>
                                </a:moveTo>
                                <a:lnTo>
                                  <a:pt x="2" y="1280"/>
                                </a:lnTo>
                                <a:lnTo>
                                  <a:pt x="4" y="1280"/>
                                </a:lnTo>
                                <a:close/>
                                <a:moveTo>
                                  <a:pt x="2250" y="3"/>
                                </a:moveTo>
                                <a:lnTo>
                                  <a:pt x="2250" y="1102"/>
                                </a:lnTo>
                                <a:lnTo>
                                  <a:pt x="2252" y="1100"/>
                                </a:lnTo>
                                <a:lnTo>
                                  <a:pt x="2254" y="1100"/>
                                </a:lnTo>
                                <a:lnTo>
                                  <a:pt x="2254" y="5"/>
                                </a:lnTo>
                                <a:lnTo>
                                  <a:pt x="2252" y="5"/>
                                </a:lnTo>
                                <a:lnTo>
                                  <a:pt x="2250" y="3"/>
                                </a:lnTo>
                                <a:close/>
                                <a:moveTo>
                                  <a:pt x="2254" y="1100"/>
                                </a:moveTo>
                                <a:lnTo>
                                  <a:pt x="2252" y="1100"/>
                                </a:lnTo>
                                <a:lnTo>
                                  <a:pt x="2250" y="1102"/>
                                </a:lnTo>
                                <a:lnTo>
                                  <a:pt x="2254" y="1102"/>
                                </a:lnTo>
                                <a:lnTo>
                                  <a:pt x="2254" y="1100"/>
                                </a:lnTo>
                                <a:close/>
                                <a:moveTo>
                                  <a:pt x="4" y="3"/>
                                </a:moveTo>
                                <a:lnTo>
                                  <a:pt x="2" y="5"/>
                                </a:lnTo>
                                <a:lnTo>
                                  <a:pt x="4" y="5"/>
                                </a:lnTo>
                                <a:lnTo>
                                  <a:pt x="4" y="3"/>
                                </a:lnTo>
                                <a:close/>
                                <a:moveTo>
                                  <a:pt x="2250" y="3"/>
                                </a:moveTo>
                                <a:lnTo>
                                  <a:pt x="4" y="3"/>
                                </a:lnTo>
                                <a:lnTo>
                                  <a:pt x="4" y="5"/>
                                </a:lnTo>
                                <a:lnTo>
                                  <a:pt x="2250" y="5"/>
                                </a:lnTo>
                                <a:lnTo>
                                  <a:pt x="2250" y="3"/>
                                </a:lnTo>
                                <a:close/>
                                <a:moveTo>
                                  <a:pt x="2254" y="3"/>
                                </a:moveTo>
                                <a:lnTo>
                                  <a:pt x="2250" y="3"/>
                                </a:lnTo>
                                <a:lnTo>
                                  <a:pt x="2252" y="5"/>
                                </a:lnTo>
                                <a:lnTo>
                                  <a:pt x="2254" y="5"/>
                                </a:lnTo>
                                <a:lnTo>
                                  <a:pt x="2254"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Text Box 82"/>
                        <wps:cNvSpPr txBox="1">
                          <a:spLocks noChangeArrowheads="1"/>
                        </wps:cNvSpPr>
                        <wps:spPr bwMode="auto">
                          <a:xfrm>
                            <a:off x="5042" y="548"/>
                            <a:ext cx="1722"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9AF19" w14:textId="77777777" w:rsidR="00FD55D7" w:rsidRPr="0083371F" w:rsidRDefault="00FD55D7" w:rsidP="002D6804">
                              <w:pPr>
                                <w:spacing w:line="244" w:lineRule="auto"/>
                                <w:ind w:left="555" w:right="2" w:hanging="556"/>
                                <w:rPr>
                                  <w:rFonts w:ascii="Arial" w:hAnsi="Arial" w:cs="Arial"/>
                                  <w:b/>
                                  <w:sz w:val="20"/>
                                </w:rPr>
                              </w:pPr>
                              <w:r w:rsidRPr="0083371F">
                                <w:rPr>
                                  <w:rFonts w:ascii="Arial" w:hAnsi="Arial" w:cs="Arial"/>
                                  <w:b/>
                                  <w:sz w:val="20"/>
                                </w:rPr>
                                <w:t>Risk Management Policy</w:t>
                              </w:r>
                            </w:p>
                          </w:txbxContent>
                        </wps:txbx>
                        <wps:bodyPr rot="0" vert="horz" wrap="square" lIns="0" tIns="0" rIns="0" bIns="0" anchor="t" anchorCtr="0" upright="1">
                          <a:noAutofit/>
                        </wps:bodyPr>
                      </wps:wsp>
                      <wps:wsp>
                        <wps:cNvPr id="209" name="Text Box 81"/>
                        <wps:cNvSpPr txBox="1">
                          <a:spLocks noChangeArrowheads="1"/>
                        </wps:cNvSpPr>
                        <wps:spPr bwMode="auto">
                          <a:xfrm>
                            <a:off x="5024" y="2087"/>
                            <a:ext cx="1740"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A11C5" w14:textId="77777777" w:rsidR="00FD55D7" w:rsidRPr="0083371F" w:rsidRDefault="00FD55D7" w:rsidP="002D6804">
                              <w:pPr>
                                <w:spacing w:line="244" w:lineRule="auto"/>
                                <w:ind w:left="299" w:right="2" w:hanging="300"/>
                                <w:rPr>
                                  <w:rFonts w:ascii="Arial" w:hAnsi="Arial" w:cs="Arial"/>
                                  <w:b/>
                                  <w:sz w:val="20"/>
                                </w:rPr>
                              </w:pPr>
                              <w:r w:rsidRPr="004F0F1D">
                                <w:rPr>
                                  <w:rFonts w:ascii="Arial" w:hAnsi="Arial" w:cs="Arial"/>
                                  <w:b/>
                                  <w:sz w:val="20"/>
                                </w:rPr>
                                <w:t>Risk Mana</w:t>
                              </w:r>
                              <w:r w:rsidRPr="004F2F89">
                                <w:rPr>
                                  <w:rFonts w:ascii="Arial" w:hAnsi="Arial" w:cs="Arial"/>
                                  <w:b/>
                                  <w:sz w:val="20"/>
                                </w:rPr>
                                <w:t>gement</w:t>
                              </w:r>
                              <w:r>
                                <w:rPr>
                                  <w:b/>
                                  <w:sz w:val="20"/>
                                </w:rPr>
                                <w:t xml:space="preserve"> </w:t>
                              </w:r>
                              <w:r w:rsidRPr="0083371F">
                                <w:rPr>
                                  <w:rFonts w:ascii="Arial" w:hAnsi="Arial" w:cs="Arial"/>
                                  <w:b/>
                                  <w:sz w:val="20"/>
                                </w:rPr>
                                <w:t>Procedures</w:t>
                              </w:r>
                            </w:p>
                          </w:txbxContent>
                        </wps:txbx>
                        <wps:bodyPr rot="0" vert="horz" wrap="square" lIns="0" tIns="0" rIns="0" bIns="0" anchor="t" anchorCtr="0" upright="1">
                          <a:noAutofit/>
                        </wps:bodyPr>
                      </wps:wsp>
                      <wps:wsp>
                        <wps:cNvPr id="352" name="Text Box 80"/>
                        <wps:cNvSpPr txBox="1">
                          <a:spLocks noChangeArrowheads="1"/>
                        </wps:cNvSpPr>
                        <wps:spPr bwMode="auto">
                          <a:xfrm>
                            <a:off x="8287" y="2446"/>
                            <a:ext cx="999"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D51F1" w14:textId="77777777" w:rsidR="00FD55D7" w:rsidRPr="0083371F" w:rsidRDefault="00FD55D7" w:rsidP="002D6804">
                              <w:pPr>
                                <w:spacing w:line="224" w:lineRule="exact"/>
                                <w:rPr>
                                  <w:rFonts w:ascii="Arial" w:hAnsi="Arial" w:cs="Arial"/>
                                  <w:b/>
                                  <w:sz w:val="20"/>
                                </w:rPr>
                              </w:pPr>
                              <w:r w:rsidRPr="0083371F">
                                <w:rPr>
                                  <w:rFonts w:ascii="Arial" w:hAnsi="Arial" w:cs="Arial"/>
                                  <w:b/>
                                  <w:sz w:val="20"/>
                                </w:rPr>
                                <w:t>Strategic?</w:t>
                              </w:r>
                            </w:p>
                          </w:txbxContent>
                        </wps:txbx>
                        <wps:bodyPr rot="0" vert="horz" wrap="square" lIns="0" tIns="0" rIns="0" bIns="0" anchor="t" anchorCtr="0" upright="1">
                          <a:noAutofit/>
                        </wps:bodyPr>
                      </wps:wsp>
                      <wps:wsp>
                        <wps:cNvPr id="353" name="Text Box 79"/>
                        <wps:cNvSpPr txBox="1">
                          <a:spLocks noChangeArrowheads="1"/>
                        </wps:cNvSpPr>
                        <wps:spPr bwMode="auto">
                          <a:xfrm>
                            <a:off x="1527" y="3691"/>
                            <a:ext cx="1965" cy="1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2AFA30" w14:textId="29ED41CD" w:rsidR="00FD55D7" w:rsidRDefault="00FD55D7" w:rsidP="004F0F1D">
                              <w:pPr>
                                <w:spacing w:after="0"/>
                                <w:ind w:right="79"/>
                                <w:rPr>
                                  <w:rFonts w:ascii="Arial" w:hAnsi="Arial" w:cs="Arial"/>
                                  <w:b/>
                                  <w:sz w:val="20"/>
                                </w:rPr>
                              </w:pPr>
                              <w:r>
                                <w:rPr>
                                  <w:rFonts w:ascii="Arial" w:hAnsi="Arial" w:cs="Arial"/>
                                  <w:b/>
                                  <w:sz w:val="20"/>
                                </w:rPr>
                                <w:t>Risk Management</w:t>
                              </w:r>
                            </w:p>
                            <w:p w14:paraId="0E02262C" w14:textId="1F2CD2AF" w:rsidR="00FD55D7" w:rsidRDefault="00FD55D7" w:rsidP="004F0F1D">
                              <w:pPr>
                                <w:spacing w:after="0"/>
                                <w:ind w:right="79"/>
                                <w:rPr>
                                  <w:rFonts w:ascii="Arial" w:hAnsi="Arial" w:cs="Arial"/>
                                  <w:b/>
                                  <w:sz w:val="20"/>
                                </w:rPr>
                              </w:pPr>
                              <w:r>
                                <w:rPr>
                                  <w:rFonts w:ascii="Arial" w:hAnsi="Arial" w:cs="Arial"/>
                                  <w:b/>
                                  <w:sz w:val="20"/>
                                </w:rPr>
                                <w:t>Standard</w:t>
                              </w:r>
                            </w:p>
                            <w:p w14:paraId="7C9E8E46" w14:textId="4C5D524C" w:rsidR="00FD55D7" w:rsidRPr="0083371F" w:rsidRDefault="00FD55D7" w:rsidP="0083371F">
                              <w:pPr>
                                <w:spacing w:after="0"/>
                                <w:ind w:right="79"/>
                                <w:rPr>
                                  <w:rFonts w:ascii="Arial" w:hAnsi="Arial" w:cs="Arial"/>
                                  <w:sz w:val="20"/>
                                </w:rPr>
                              </w:pPr>
                              <w:r w:rsidRPr="0083371F">
                                <w:rPr>
                                  <w:rFonts w:ascii="Arial" w:hAnsi="Arial" w:cs="Arial"/>
                                  <w:sz w:val="20"/>
                                </w:rPr>
                                <w:t>AS/NZ ISO 31000:2018</w:t>
                              </w:r>
                            </w:p>
                            <w:p w14:paraId="69C50BC3" w14:textId="77777777" w:rsidR="00FD55D7" w:rsidRDefault="00FD55D7" w:rsidP="002D6804">
                              <w:pPr>
                                <w:ind w:right="1"/>
                                <w:rPr>
                                  <w:sz w:val="20"/>
                                </w:rPr>
                              </w:pPr>
                              <w:r w:rsidRPr="0083371F">
                                <w:rPr>
                                  <w:rFonts w:ascii="Arial" w:hAnsi="Arial" w:cs="Arial"/>
                                  <w:sz w:val="20"/>
                                </w:rPr>
                                <w:t>Risk Management</w:t>
                              </w:r>
                              <w:r>
                                <w:rPr>
                                  <w:sz w:val="20"/>
                                </w:rPr>
                                <w:t xml:space="preserve"> – </w:t>
                              </w:r>
                              <w:r w:rsidRPr="0083371F">
                                <w:rPr>
                                  <w:rFonts w:ascii="Arial" w:hAnsi="Arial" w:cs="Arial"/>
                                  <w:sz w:val="20"/>
                                </w:rPr>
                                <w:t>Principles and</w:t>
                              </w:r>
                              <w:r>
                                <w:rPr>
                                  <w:sz w:val="20"/>
                                </w:rPr>
                                <w:t xml:space="preserve"> </w:t>
                              </w:r>
                              <w:r w:rsidRPr="0083371F">
                                <w:rPr>
                                  <w:rFonts w:ascii="Arial" w:hAnsi="Arial" w:cs="Arial"/>
                                  <w:sz w:val="20"/>
                                </w:rPr>
                                <w:t>Guidelines</w:t>
                              </w:r>
                            </w:p>
                          </w:txbxContent>
                        </wps:txbx>
                        <wps:bodyPr rot="0" vert="horz" wrap="square" lIns="0" tIns="0" rIns="0" bIns="0" anchor="t" anchorCtr="0" upright="1">
                          <a:noAutofit/>
                        </wps:bodyPr>
                      </wps:wsp>
                      <wps:wsp>
                        <wps:cNvPr id="354" name="Text Box 78"/>
                        <wps:cNvSpPr txBox="1">
                          <a:spLocks noChangeArrowheads="1"/>
                        </wps:cNvSpPr>
                        <wps:spPr bwMode="auto">
                          <a:xfrm>
                            <a:off x="7822" y="3260"/>
                            <a:ext cx="1970"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1E24A" w14:textId="77777777" w:rsidR="00FD55D7" w:rsidRPr="0083371F" w:rsidRDefault="00FD55D7" w:rsidP="0083371F">
                              <w:pPr>
                                <w:spacing w:after="0"/>
                                <w:ind w:right="18"/>
                                <w:jc w:val="center"/>
                                <w:rPr>
                                  <w:rFonts w:ascii="Arial" w:hAnsi="Arial" w:cs="Arial"/>
                                  <w:b/>
                                  <w:sz w:val="20"/>
                                </w:rPr>
                              </w:pPr>
                              <w:r w:rsidRPr="0083371F">
                                <w:rPr>
                                  <w:rFonts w:ascii="Arial" w:hAnsi="Arial" w:cs="Arial"/>
                                  <w:b/>
                                  <w:sz w:val="20"/>
                                </w:rPr>
                                <w:t>Corporate Business Plan</w:t>
                              </w:r>
                            </w:p>
                            <w:p w14:paraId="27231C42" w14:textId="77777777" w:rsidR="00FD55D7" w:rsidRDefault="00FD55D7" w:rsidP="002D6804">
                              <w:pPr>
                                <w:spacing w:line="244" w:lineRule="auto"/>
                                <w:ind w:left="518" w:right="532" w:hanging="3"/>
                                <w:jc w:val="center"/>
                                <w:rPr>
                                  <w:b/>
                                  <w:sz w:val="20"/>
                                </w:rPr>
                              </w:pPr>
                              <w:r w:rsidRPr="0083371F">
                                <w:rPr>
                                  <w:rFonts w:ascii="Arial" w:hAnsi="Arial" w:cs="Arial"/>
                                  <w:b/>
                                  <w:sz w:val="20"/>
                                </w:rPr>
                                <w:t>Politics</w:t>
                              </w:r>
                              <w:r>
                                <w:rPr>
                                  <w:b/>
                                  <w:sz w:val="20"/>
                                </w:rPr>
                                <w:t xml:space="preserve"> </w:t>
                              </w:r>
                              <w:r w:rsidRPr="0083371F">
                                <w:rPr>
                                  <w:rFonts w:ascii="Arial" w:hAnsi="Arial" w:cs="Arial"/>
                                  <w:b/>
                                  <w:sz w:val="20"/>
                                </w:rPr>
                                <w:t>Financial</w:t>
                              </w:r>
                            </w:p>
                          </w:txbxContent>
                        </wps:txbx>
                        <wps:bodyPr rot="0" vert="horz" wrap="square" lIns="0" tIns="0" rIns="0" bIns="0" anchor="t" anchorCtr="0" upright="1">
                          <a:noAutofit/>
                        </wps:bodyPr>
                      </wps:wsp>
                      <wps:wsp>
                        <wps:cNvPr id="355" name="Text Box 77"/>
                        <wps:cNvSpPr txBox="1">
                          <a:spLocks noChangeArrowheads="1"/>
                        </wps:cNvSpPr>
                        <wps:spPr bwMode="auto">
                          <a:xfrm>
                            <a:off x="4752" y="4397"/>
                            <a:ext cx="1809"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9376A" w14:textId="77777777" w:rsidR="00FD55D7" w:rsidRPr="004F0F1D" w:rsidRDefault="00FD55D7" w:rsidP="002D6804">
                              <w:pPr>
                                <w:spacing w:line="224" w:lineRule="exact"/>
                                <w:rPr>
                                  <w:rFonts w:ascii="Arial" w:hAnsi="Arial" w:cs="Arial"/>
                                  <w:b/>
                                  <w:sz w:val="20"/>
                                </w:rPr>
                              </w:pPr>
                              <w:r w:rsidRPr="004F0F1D">
                                <w:rPr>
                                  <w:rFonts w:ascii="Arial" w:hAnsi="Arial" w:cs="Arial"/>
                                  <w:b/>
                                  <w:sz w:val="20"/>
                                </w:rPr>
                                <w:t>Town Risk Profiles</w:t>
                              </w:r>
                            </w:p>
                          </w:txbxContent>
                        </wps:txbx>
                        <wps:bodyPr rot="0" vert="horz" wrap="square" lIns="0" tIns="0" rIns="0" bIns="0" anchor="t" anchorCtr="0" upright="1">
                          <a:noAutofit/>
                        </wps:bodyPr>
                      </wps:wsp>
                      <wps:wsp>
                        <wps:cNvPr id="356" name="Text Box 76"/>
                        <wps:cNvSpPr txBox="1">
                          <a:spLocks noChangeArrowheads="1"/>
                        </wps:cNvSpPr>
                        <wps:spPr bwMode="auto">
                          <a:xfrm>
                            <a:off x="5085" y="5902"/>
                            <a:ext cx="1443"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1AB48" w14:textId="77777777" w:rsidR="00FD55D7" w:rsidRPr="00062301" w:rsidRDefault="00FD55D7" w:rsidP="002D6804">
                              <w:pPr>
                                <w:spacing w:line="224" w:lineRule="exact"/>
                                <w:rPr>
                                  <w:rFonts w:ascii="Arial" w:hAnsi="Arial" w:cs="Arial"/>
                                  <w:b/>
                                  <w:sz w:val="20"/>
                                </w:rPr>
                              </w:pPr>
                              <w:r w:rsidRPr="00062301">
                                <w:rPr>
                                  <w:rFonts w:ascii="Arial" w:hAnsi="Arial" w:cs="Arial"/>
                                  <w:b/>
                                  <w:sz w:val="20"/>
                                </w:rPr>
                                <w:t>Risk Reporting</w:t>
                              </w:r>
                            </w:p>
                          </w:txbxContent>
                        </wps:txbx>
                        <wps:bodyPr rot="0" vert="horz" wrap="square" lIns="0" tIns="0" rIns="0" bIns="0" anchor="t" anchorCtr="0" upright="1">
                          <a:noAutofit/>
                        </wps:bodyPr>
                      </wps:wsp>
                      <wps:wsp>
                        <wps:cNvPr id="357" name="Text Box 75"/>
                        <wps:cNvSpPr txBox="1">
                          <a:spLocks noChangeArrowheads="1"/>
                        </wps:cNvSpPr>
                        <wps:spPr bwMode="auto">
                          <a:xfrm>
                            <a:off x="5007" y="6584"/>
                            <a:ext cx="1620"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60B1A" w14:textId="77777777" w:rsidR="00FD55D7" w:rsidRPr="00062301" w:rsidRDefault="00FD55D7" w:rsidP="002D6804">
                              <w:pPr>
                                <w:spacing w:line="242" w:lineRule="auto"/>
                                <w:ind w:right="18" w:firstLine="2"/>
                                <w:jc w:val="center"/>
                                <w:rPr>
                                  <w:rFonts w:ascii="Arial" w:hAnsi="Arial" w:cs="Arial"/>
                                  <w:b/>
                                  <w:sz w:val="20"/>
                                </w:rPr>
                              </w:pPr>
                              <w:r w:rsidRPr="00062301">
                                <w:rPr>
                                  <w:rFonts w:ascii="Arial" w:hAnsi="Arial" w:cs="Arial"/>
                                  <w:b/>
                                  <w:sz w:val="20"/>
                                </w:rPr>
                                <w:t>Six monthly Internal Risk Reporting</w:t>
                              </w:r>
                            </w:p>
                          </w:txbxContent>
                        </wps:txbx>
                        <wps:bodyPr rot="0" vert="horz" wrap="square" lIns="0" tIns="0" rIns="0" bIns="0" anchor="t" anchorCtr="0" upright="1">
                          <a:noAutofit/>
                        </wps:bodyPr>
                      </wps:wsp>
                      <wps:wsp>
                        <wps:cNvPr id="358" name="Text Box 74"/>
                        <wps:cNvSpPr txBox="1">
                          <a:spLocks noChangeArrowheads="1"/>
                        </wps:cNvSpPr>
                        <wps:spPr bwMode="auto">
                          <a:xfrm>
                            <a:off x="8504" y="6659"/>
                            <a:ext cx="1745"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3F4CB" w14:textId="77777777" w:rsidR="00FD55D7" w:rsidRPr="00062301" w:rsidRDefault="00FD55D7" w:rsidP="002D6804">
                              <w:pPr>
                                <w:spacing w:line="244" w:lineRule="auto"/>
                                <w:ind w:right="2"/>
                                <w:rPr>
                                  <w:rFonts w:ascii="Arial" w:hAnsi="Arial" w:cs="Arial"/>
                                  <w:b/>
                                  <w:sz w:val="20"/>
                                </w:rPr>
                              </w:pPr>
                              <w:r w:rsidRPr="00062301">
                                <w:rPr>
                                  <w:rFonts w:ascii="Arial" w:hAnsi="Arial" w:cs="Arial"/>
                                  <w:b/>
                                  <w:sz w:val="20"/>
                                </w:rPr>
                                <w:t>CEO / Senior Staff Group</w:t>
                              </w:r>
                            </w:p>
                          </w:txbxContent>
                        </wps:txbx>
                        <wps:bodyPr rot="0" vert="horz" wrap="square" lIns="0" tIns="0" rIns="0" bIns="0" anchor="t" anchorCtr="0" upright="1">
                          <a:noAutofit/>
                        </wps:bodyPr>
                      </wps:wsp>
                      <wps:wsp>
                        <wps:cNvPr id="359" name="Text Box 73"/>
                        <wps:cNvSpPr txBox="1">
                          <a:spLocks noChangeArrowheads="1"/>
                        </wps:cNvSpPr>
                        <wps:spPr bwMode="auto">
                          <a:xfrm>
                            <a:off x="4916" y="8224"/>
                            <a:ext cx="2131" cy="1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FF971" w14:textId="77777777" w:rsidR="00FD55D7" w:rsidRPr="00062301" w:rsidRDefault="00FD55D7" w:rsidP="00062301">
                              <w:pPr>
                                <w:spacing w:after="0" w:line="224" w:lineRule="exact"/>
                                <w:rPr>
                                  <w:rFonts w:ascii="Arial" w:hAnsi="Arial" w:cs="Arial"/>
                                  <w:b/>
                                  <w:sz w:val="20"/>
                                  <w:szCs w:val="20"/>
                                </w:rPr>
                              </w:pPr>
                              <w:r w:rsidRPr="00062301">
                                <w:rPr>
                                  <w:rFonts w:ascii="Arial" w:hAnsi="Arial" w:cs="Arial"/>
                                  <w:b/>
                                  <w:sz w:val="20"/>
                                  <w:szCs w:val="20"/>
                                </w:rPr>
                                <w:t>Biennial Report</w:t>
                              </w:r>
                            </w:p>
                            <w:p w14:paraId="0AC3193A" w14:textId="77777777" w:rsidR="00FD55D7" w:rsidRDefault="00FD55D7" w:rsidP="00062301">
                              <w:pPr>
                                <w:spacing w:after="0"/>
                                <w:rPr>
                                  <w:rFonts w:ascii="Arial" w:hAnsi="Arial" w:cs="Arial"/>
                                  <w:sz w:val="18"/>
                                  <w:szCs w:val="18"/>
                                </w:rPr>
                              </w:pPr>
                              <w:r w:rsidRPr="00062301">
                                <w:rPr>
                                  <w:rFonts w:ascii="Arial" w:hAnsi="Arial" w:cs="Arial"/>
                                  <w:sz w:val="18"/>
                                  <w:szCs w:val="18"/>
                                </w:rPr>
                                <w:t xml:space="preserve">Risk Management </w:t>
                              </w:r>
                            </w:p>
                            <w:p w14:paraId="3B3138A5" w14:textId="79CEBA04" w:rsidR="00FD55D7" w:rsidRPr="00062301" w:rsidRDefault="00FD55D7" w:rsidP="00062301">
                              <w:pPr>
                                <w:spacing w:after="0"/>
                                <w:rPr>
                                  <w:sz w:val="14"/>
                                  <w:szCs w:val="20"/>
                                </w:rPr>
                              </w:pPr>
                              <w:r>
                                <w:rPr>
                                  <w:rFonts w:ascii="Arial" w:hAnsi="Arial" w:cs="Arial"/>
                                  <w:sz w:val="18"/>
                                  <w:szCs w:val="18"/>
                                </w:rPr>
                                <w:t>I</w:t>
                              </w:r>
                              <w:r w:rsidRPr="00062301">
                                <w:rPr>
                                  <w:rFonts w:ascii="Arial" w:hAnsi="Arial" w:cs="Arial"/>
                                  <w:sz w:val="18"/>
                                  <w:szCs w:val="18"/>
                                </w:rPr>
                                <w:t>nternal Controls</w:t>
                              </w:r>
                              <w:r w:rsidRPr="00062301">
                                <w:rPr>
                                  <w:sz w:val="14"/>
                                  <w:szCs w:val="20"/>
                                </w:rPr>
                                <w:t xml:space="preserve"> </w:t>
                              </w:r>
                              <w:r w:rsidRPr="00062301">
                                <w:rPr>
                                  <w:rFonts w:ascii="Arial" w:hAnsi="Arial" w:cs="Arial"/>
                                  <w:sz w:val="18"/>
                                  <w:szCs w:val="18"/>
                                </w:rPr>
                                <w:t>Legislative Compliance</w:t>
                              </w:r>
                            </w:p>
                          </w:txbxContent>
                        </wps:txbx>
                        <wps:bodyPr rot="0" vert="horz" wrap="square" lIns="0" tIns="0" rIns="0" bIns="0" anchor="t" anchorCtr="0" upright="1">
                          <a:noAutofit/>
                        </wps:bodyPr>
                      </wps:wsp>
                      <wps:wsp>
                        <wps:cNvPr id="360" name="Text Box 72"/>
                        <wps:cNvSpPr txBox="1">
                          <a:spLocks noChangeArrowheads="1"/>
                        </wps:cNvSpPr>
                        <wps:spPr bwMode="auto">
                          <a:xfrm>
                            <a:off x="8534" y="8472"/>
                            <a:ext cx="1622"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A848C" w14:textId="77777777" w:rsidR="00FD55D7" w:rsidRPr="00062301" w:rsidRDefault="00FD55D7" w:rsidP="002D6804">
                              <w:pPr>
                                <w:spacing w:line="224" w:lineRule="exact"/>
                                <w:rPr>
                                  <w:rFonts w:ascii="Arial" w:hAnsi="Arial" w:cs="Arial"/>
                                  <w:b/>
                                  <w:sz w:val="20"/>
                                </w:rPr>
                              </w:pPr>
                              <w:r w:rsidRPr="00062301">
                                <w:rPr>
                                  <w:rFonts w:ascii="Arial" w:hAnsi="Arial" w:cs="Arial"/>
                                  <w:b/>
                                  <w:sz w:val="20"/>
                                </w:rPr>
                                <w:t>Audit Committee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D4F1E2" id="Group 71" o:spid="_x0000_s1083" style="position:absolute;left:0;text-align:left;margin-left:70.5pt;margin-top:18.1pt;width:442.1pt;height:488.45pt;z-index:-251617280;mso-wrap-distance-left:0;mso-wrap-distance-right:0;mso-position-horizontal-relative:page" coordorigin="1407,363" coordsize="8842,9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">
                <v:shape id="Picture 98" o:spid="_x0000_s1084" type="#_x0000_t75" style="position:absolute;left:4768;top:366;width:2250;height:1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">
                  <v:imagedata r:id="rId97" o:title=""/>
                </v:shape>
                <v:shape id="AutoShape 97" o:spid="_x0000_s1085" style="position:absolute;left:4766;top:363;width:2255;height:1012;visibility:visible;mso-wrap-style:square;v-text-anchor:top" coordsize="2255,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" path="m2254,l2,,,1,,957r2,l54,966r51,7l182,983r77,9l336,999r75,6l487,1009r76,2l638,1011r76,-2l764,1006r-126,l563,1006r-76,-2l412,1000r-76,-6l259,987r-77,-9l105,968,54,960,20,955r-15,l3,952r2,l5,4,3,4,5,2r2250,l2255,1,2254,xm2250,818r-99,l2072,820r-78,3l1917,828r-76,6l1765,841r-76,9l1614,860r-76,11l1462,884r-76,14l1310,913r-77,17l1127,951r-105,21l944,984r-77,9l790,1000r-76,4l638,1006r126,l790,1005r77,-7l944,989r78,-13l1128,956r259,-53l1463,889r75,-13l1614,865r76,-10l1766,846r76,-8l1918,832r77,-4l2073,825r128,-2l2254,823r1,-1l2255,820r-5,l2250,818xm3,952r2,3l5,953,3,952xm5,953r,2l20,955,5,953xm5,952r-2,l5,953r,-1xm2250,2r,818l2253,818r2,l2255,4r-2,l2250,2xm2255,818r-2,l2250,820r5,l2255,818xm5,2l3,4r2,l5,2xm2250,2l5,2r,2l2250,4r,-2xm2255,2r-5,l2253,4r2,l2255,2xe" fillcolor="black" stroked="f">
                  <v:path arrowok="t" o:connecttype="custom" o:connectlocs="2,364;0,1321;54,1330;182,1347;336,1363;487,1373;638,1375;764,1370;563,1370;412,1364;259,1351;105,1332;20,1319;3,1316;5,368;5,366;2255,365;2250,1182;2072,1184;1917,1192;1765,1205;1614,1224;1462,1248;1310,1277;1127,1315;944,1348;790,1364;638,1370;790,1369;944,1353;1128,1320;1463,1253;1614,1229;1766,1210;1918,1196;2073,1189;2254,1187;2255,1184;2250,1182;5,1319;3,1316;5,1319;5,1317;3,1316;5,1316;2250,1184;2255,1182;2253,368;2255,1182;2250,1184;2255,1182;3,368;5,366;5,366;2250,368;2255,366;2253,368;2255,366" o:connectangles="0,0,0,0,0,0,0,0,0,0,0,0,0,0,0,0,0,0,0,0,0,0,0,0,0,0,0,0,0,0,0,0,0,0,0,0,0,0,0,0,0,0,0,0,0,0,0,0,0,0,0,0,0,0,0,0,0,0"/>
                </v:shape>
                <v:shape id="Picture 96" o:spid="_x0000_s1086" type="#_x0000_t75" style="position:absolute;left:4750;top:1905;width:2250;height: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">
                  <v:imagedata r:id="rId98" o:title=""/>
                </v:shape>
                <v:shape id="Freeform 95" o:spid="_x0000_s1087" style="position:absolute;left:4748;top:1351;width:2255;height:1565;visibility:visible;mso-wrap-style:square;v-text-anchor:top" coordsize="2255,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" path="m2255,553r-1,-1l2250,552r,6l2250,1371r-49,l2073,1373r-78,3l1918,1381r-77,6l1765,1394r-76,9l1613,1413r-76,11l1462,1437r-76,14l1127,1504r-105,20l944,1537r-77,9l791,1553r-76,5l639,1560r-76,-1l487,1557r-76,-4l335,1547r-76,-7l182,1531r-77,-10l18,1507,5,1505,5,558r2245,l2250,552r-1192,l1106,455r10,-20l1064,435,1064,r-15,l1049,435r-53,l1055,552,2,552,,553r,957l2,1510r52,8l182,1536r76,8l335,1552r76,6l487,1562r76,2l639,1564r76,-2l763,1560r28,-2l868,1551r77,-10l1022,1529r106,-19l1312,1470r76,-15l1464,1441r76,-12l1615,1418r75,-10l1765,1399r76,-7l1917,1386r77,-4l2072,1378r129,-3l2254,1375r1,-1l2255,1373r,-2l2255,558r,-3l2255,553xe" fillcolor="black" stroked="f">
                  <v:path arrowok="t" o:connecttype="custom" o:connectlocs="2254,1903;2250,1909;2201,2722;1995,2727;1841,2738;1689,2754;1537,2775;1386,2802;1022,2875;867,2897;715,2909;563,2910;411,2904;259,2891;105,2872;5,2856;5,1909;2250,1903;1106,1806;1064,1786;1049,1351;996,1786;2,1903;0,2861;54,2869;258,2895;411,2909;563,2915;715,2913;791,2909;945,2892;1128,2861;1388,2806;1540,2780;1690,2759;1841,2743;1994,2733;2201,2726;2255,2725;2255,2722;2255,1906" o:connectangles="0,0,0,0,0,0,0,0,0,0,0,0,0,0,0,0,0,0,0,0,0,0,0,0,0,0,0,0,0,0,0,0,0,0,0,0,0,0,0,0,0"/>
                </v:shape>
                <v:shape id="Picture 94" o:spid="_x0000_s1088" type="#_x0000_t75" style="position:absolute;left:4602;top:3691;width:2430;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">
                  <v:imagedata r:id="rId99" o:title=""/>
                </v:shape>
                <v:shape id="AutoShape 93" o:spid="_x0000_s1089" style="position:absolute;left:4467;top:2865;width:2661;height:7267;visibility:visible;mso-wrap-style:square;v-text-anchor:top" coordsize="2661,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" path="m2041,3240r-1423,l618,3261r1423,l2041,3240xm2566,824r-1,-1l2562,823r,5l2562,1782r-32,1l2514,1783r-22,l2470,1784r-21,1l2427,1785r-11,l2407,1786r-21,l2386,949r,-4l2385,944r-3,l2382,949r,957l2354,1906r-32,1l2228,1912r,-840l2228,1069r-1,-1l2223,1068r,4l2223,2024r-45,l2049,2028r-79,4l1892,2038r-78,8l1738,2057r-76,12l1586,2083r-76,16l1433,2117r-77,20l1179,2185r-98,25l1003,2227r-78,13l848,2250r-77,6l694,2259r-77,l540,2257r-77,-5l385,2244r-78,-9l182,2216r-34,-6l136,2208r,-1136l2223,1072r,-4l308,1068r,-119l2382,949r,-5l470,944r,-116l2562,828r,-5l1353,823r49,-97l1412,705r-53,l1359,r-15,l1344,705r-52,l1351,823r-885,l465,824r,120l304,944r-1,1l303,1068r-171,l132,2212r1,2l182,2221r47,8l308,2240r79,9l464,2257r77,5l618,2264r76,l771,2261r18,-2l848,2255r77,-10l1003,2232r79,-17l1180,2190r177,-49l1434,2122r77,-18l1587,2088r76,-14l1738,2062r77,-10l1892,2043r78,-6l2050,2033r81,-3l2178,2030r48,-1l2227,2029r1,-1l2228,2026r,-2l2228,1918r,-1l2322,1912r32,-1l2385,1911r1,-1l2386,1909r,-3l2386,1792r4,l2392,1791r15,l2416,1790r24,l2458,1789r56,-1l2565,1788r1,-2l2566,1784r,-2l2566,828r,-3l2566,824xm2660,2954r-1,-1l2655,2953r,5l2655,6453r-59,1l2523,6458r-71,6l2384,6473r-66,11l2255,6498r-61,16l2135,6532r-57,21l2023,6575r-53,23l1919,6623r-49,26l1821,6677r-46,28l1729,6735r-44,29l1641,6795r-42,31l1557,6856r-162,122l1355,7008r-40,28l1275,7064r-40,26l1195,7115r-41,24l1113,7161r-42,21l1028,7200r-44,16l939,7230r-46,12l846,7251r-48,7l748,7261r-52,l643,7259r-56,-6l530,7243r-59,-13l409,7212r-63,-21l279,7166r-69,-30l139,7102,64,7063,8,7032r-2,-1l6,7029,6,2958r2649,l2655,2953,1,2953r-1,1l,7033r1,l1,7034r62,34l138,7107r71,34l278,7171r67,25l409,7217r62,18l530,7248r57,10l643,7264r53,3l748,7266r50,-3l807,7261r40,-5l894,7247r46,-12l985,7221r44,-16l1072,7187r42,-21l1156,7144r40,-24l1237,7095r40,-26l1317,7041r40,-28l1397,6983r162,-122l1601,6830r42,-30l1687,6769r44,-30l1777,6710r47,-28l1872,6654r49,-26l1972,6603r53,-24l2080,6557r56,-20l2195,6519r61,-16l2319,6489r65,-12l2452,6469r71,-7l2596,6459r62,-1l2659,6458r1,-1l2660,6456r,-3l2660,2958r,-3l2660,2954xe" fillcolor="black" stroked="f">
                  <v:path arrowok="t" o:connecttype="custom" o:connectlocs="2041,6106;2562,4648;2449,4651;2386,3815;2382,4772;2228,3935;2178,4890;1738,4923;1356,5003;848,5116;463,5118;136,5074;308,3934;470,3694;1412,3571;1292,3571;304,3810;133,5080;464,5123;789,5125;1180,5056;1663,4940;2050,4899;2228,4894;2228,4783;2386,4775;2407,4657;2565,4654;2566,3691;2655,5824;2384,9339;2078,9419;1821,9543;1599,9692;1275,9930;1071,10048;846,10117;587,10119;279,10032;6,9897;1,5819;63,9934;409,10083;696,10133;894,10113;1114,10032;1317,9907;1643,9666;1872,9520;2136,9403;2452,9335;2660,9323;2660,5820" o:connectangles="0,0,0,0,0,0,0,0,0,0,0,0,0,0,0,0,0,0,0,0,0,0,0,0,0,0,0,0,0,0,0,0,0,0,0,0,0,0,0,0,0,0,0,0,0,0,0,0,0,0,0,0,0"/>
                </v:shape>
                <v:shape id="Picture 92" o:spid="_x0000_s1090" type="#_x0000_t75" style="position:absolute;left:4770;top:6451;width:2040;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">
                  <v:imagedata r:id="rId100" o:title=""/>
                </v:shape>
                <v:shape id="AutoShape 91" o:spid="_x0000_s1091" style="position:absolute;left:4767;top:6448;width:2046;height:1175;visibility:visible;mso-wrap-style:square;v-text-anchor:top" coordsize="2046,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" path="m1495,804r-945,l550,825r945,l1495,804xm1590,338r-1134,l456,360r1134,l1590,338xm1622,569r-1200,l422,590r1200,l1622,569xm2046,1l2044,r-4,l2040,5r,945l1995,950r-124,3l1793,958r-76,6l1642,972r-75,10l1492,993r-74,14l1344,1023r-75,17l1194,1059r-76,21l1022,1105r-96,23l849,1144r-76,12l698,1164r-75,4l548,1170r-75,-2l399,1164r-75,-7l248,1148r-76,-11l96,1124r-46,-8l15,1109r-9,-2l6,1106,6,5r2034,l2040,,1,,,1,,1110r1,1l2,1111r47,10l94,1129r77,13l247,1153r75,9l398,1169r75,4l549,1174r75,-1l678,1170r21,-2l775,1160r76,-12l927,1133r96,-23l1119,1085r76,-21l1270,1045r74,-17l1419,1012r74,-13l1568,987r74,-10l1718,969r76,-6l1871,958r124,-3l2044,955r2,-1l2046,953r,-3l2046,5r,-3l2046,1xe" fillcolor="black" stroked="f">
                  <v:path arrowok="t" o:connecttype="custom" o:connectlocs="550,7253;1495,7274;1590,6787;456,6809;1590,6787;422,7018;1622,7039;2046,6450;2040,6449;2040,7399;1871,7402;1717,7413;1567,7431;1418,7456;1269,7489;1118,7529;926,7577;773,7605;623,7617;473,7617;324,7606;172,7586;50,7565;6,7556;6,6454;2040,6449;0,6450;1,7560;49,7570;171,7591;322,7611;473,7622;624,7622;699,7617;851,7597;1023,7559;1195,7513;1344,7477;1493,7448;1642,7426;1794,7412;1995,7404;2046,7403;2046,7399;2046,6451" o:connectangles="0,0,0,0,0,0,0,0,0,0,0,0,0,0,0,0,0,0,0,0,0,0,0,0,0,0,0,0,0,0,0,0,0,0,0,0,0,0,0,0,0,0,0,0,0"/>
                </v:shape>
                <v:shape id="Picture 90" o:spid="_x0000_s1092" type="#_x0000_t75" style="position:absolute;left:4770;top:8071;width:2040;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">
                  <v:imagedata r:id="rId101" o:title=""/>
                </v:shape>
                <v:shape id="AutoShape 89" o:spid="_x0000_s1093" style="position:absolute;left:4767;top:5025;width:2046;height:4381;visibility:visible;mso-wrap-style:square;v-text-anchor:top" coordsize="2046,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" path="m1112,675r-53,l1059,r-15,l1044,675r-52,l1052,795r50,-99l1112,675xm1626,3402r-1478,l148,3423r1478,l1626,3402xm2046,3044r-2,-1l2040,3043r,5l2040,4125r-45,l1870,4129r-78,5l1716,4141r-76,9l1565,4162r-74,13l1417,4191r-74,17l1269,4228r-75,22l1118,4274r-96,29l926,4328r-76,18l775,4359r-76,9l624,4374r-75,1l473,4373r-75,-4l323,4361r-76,-11l171,4338,96,4323,15,4306r-9,-1l6,4304,6,3048r2034,l2040,3043,1,3043r-1,1l,4308r1,l2,4309r92,19l171,4343r75,12l322,4366r76,7l473,4378r76,2l624,4379r48,-4l700,4373r75,-9l851,4351r76,-18l1023,4308r96,-29l1195,4255r74,-22l1344,4213r74,-17l1492,4180r74,-13l1641,4155r76,-9l1793,4139r78,-5l1995,4130r49,l2046,4129r,-1l2046,4125r,-1077l2046,3045r,-1xe" fillcolor="black" stroked="f">
                  <v:path arrowok="t" o:connecttype="custom" o:connectlocs="1059,5701;1044,5026;992,5701;1102,5722;1626,8428;148,8449;1626,8428;2044,8069;2040,8074;1995,9151;1792,9160;1640,9176;1491,9201;1343,9234;1194,9276;1022,9329;850,9372;699,9394;549,9401;398,9395;247,9376;96,9349;6,9331;6,8074;2040,8069;0,8070;1,9334;94,9354;246,9381;398,9399;549,9406;672,9401;775,9390;927,9359;1119,9305;1269,9259;1418,9222;1566,9193;1717,9172;1871,9160;2044,9156;2046,9154;2046,8074;2046,8070" o:connectangles="0,0,0,0,0,0,0,0,0,0,0,0,0,0,0,0,0,0,0,0,0,0,0,0,0,0,0,0,0,0,0,0,0,0,0,0,0,0,0,0,0,0,0,0"/>
                </v:shape>
                <v:shape id="Picture 88" o:spid="_x0000_s1094" type="#_x0000_t75" style="position:absolute;left:1410;top:3465;width:2190;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">
                  <v:imagedata r:id="rId102" o:title=""/>
                </v:shape>
                <v:shape id="AutoShape 87" o:spid="_x0000_s1095" style="position:absolute;left:1407;top:751;width:6948;height:7875;visibility:visible;mso-wrap-style:square;v-text-anchor:top" coordsize="6948,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" path="m1016,3418r-868,l148,3439r868,l1016,3418xm1850,3187r-1702,l148,3209r1702,l1850,3187xm3368,1587r-14,-8l3248,1527r,52l1142,1579r-2,4l1140,2704r-44,l1096,67r2146,l3242,120,3348,67r14,-7l3348,53,3242,r,53l1084,53r-2,2l1082,2712,1,2712r-1,1l,5209r1,2l2,5211r50,21l135,5264r78,26l288,5312r71,16l427,5341r64,7l553,5352r59,1l669,5349r14,-1l723,5343r53,-10l826,5321r50,-15l924,5289r47,-19l1017,5250r46,-22l1108,5204r45,-24l1291,5103r48,-25l1387,5052r50,-25l1489,5003r53,-23l1597,4958r58,-20l1715,4919r63,-16l1844,4888r69,-11l1985,4868r76,-6l2142,4859r52,l2196,4858r,-1l2196,4854r,-2136l2196,2715r,-2l2194,2712r-4,l2190,2718r,2136l2142,4854r-81,3l1985,4863r-73,9l1843,4883r-66,15l1714,4914r-60,19l1596,4953r-55,22l1488,4998r-52,24l1386,5047r-48,26l1290,5098r-137,77l1107,5199r-45,24l1016,5245r-46,20l923,5284r-48,17l826,5316r-51,12l723,5338r-54,6l612,5348r-59,-1l492,5343r-65,-7l360,5323r-71,-16l214,5285r-78,-26l54,5227,9,5208r-3,-1l6,5206,6,2718r1076,l1082,2719r2,4l1096,2723r,-5l1150,2718r1040,l2190,2712r-1036,l1154,2711r,-7l1154,1595r2094,l3248,1647r103,-52l3368,1587xm6932,6135r-17,-9l6812,6075r,51l5718,6126r,16l6812,6142r,53l6918,6142r14,-7xm6948,7815r-17,-9l6828,7755r,51l5732,7806r,16l6828,7822r,53l6933,7822r15,-7xe" fillcolor="black" stroked="f">
                  <v:path arrowok="t" o:connecttype="custom" o:connectlocs="148,4190;1850,3938;1850,3960;3354,2330;1142,2330;1096,3455;3242,871;3348,804;1084,804;1,3463;1,5962;135,6015;359,6079;553,6103;683,6099;826,6072;971,6021;1108,5955;1339,5829;1489,5754;1655,5689;1844,5639;2061,5613;2196,5609;2196,3469;2194,3463;2190,5605;1985,5614;1777,5649;1596,5704;1436,5773;1290,5849;1062,5974;923,6035;775,6079;612,6099;427,6087;214,6036;9,5959;6,3469;1084,3474;1150,3469;1154,3463;1154,2346;3351,2346;6915,6877;5718,6877;6812,6946;6948,8566;6828,8557;6828,8573;6948,8566" o:connectangles="0,0,0,0,0,0,0,0,0,0,0,0,0,0,0,0,0,0,0,0,0,0,0,0,0,0,0,0,0,0,0,0,0,0,0,0,0,0,0,0,0,0,0,0,0,0,0,0,0,0,0,0"/>
                </v:shape>
                <v:shape id="Picture 86" o:spid="_x0000_s1096" type="#_x0000_t75" style="position:absolute;left:7651;top:2145;width:2250;height: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">
                  <v:imagedata r:id="rId103" o:title=""/>
                </v:shape>
                <v:shape id="AutoShape 85" o:spid="_x0000_s1097" style="position:absolute;left:7648;top:2143;width:2255;height:1013;visibility:visible;mso-wrap-style:square;v-text-anchor:top" coordsize="2255,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" path="m2253,l1,,,1,,957r1,1l2,958r52,8l104,973r77,11l258,992r77,8l411,1006r76,4l563,1012r76,l715,1010r48,-2l639,1008r-76,-1l487,1005r-76,-4l335,995r-76,-7l183,979,105,969,55,961,18,955r-13,l3,953r2,l5,5,2,5,5,3r2250,l2255,1,2253,xm2250,819r-49,l2072,821r-77,3l1918,829r-77,6l1765,842r-76,9l1613,861r-75,11l1462,885r-76,14l1310,914r-77,16l1021,972r-77,13l867,994r-77,7l714,1006r-75,2l763,1008r28,-2l868,999r77,-10l1022,977r106,-19l1312,919r76,-16l1464,889r75,-12l1615,866r75,-10l1765,847r76,-7l1917,834r77,-5l2071,826r130,-3l2253,823r2,-1l2255,821r-5,l2250,819xm3,953r2,2l5,953r-2,xm5,953r,2l18,955,5,953xm5,953r-2,l5,953xm2250,3r,818l2252,819r3,l2255,5r-3,l2250,3xm2255,819r-3,l2250,821r5,l2255,819xm5,3l2,5r3,l5,3xm2250,3l5,3r,2l2250,5r,-2xm2255,3r-5,l2252,5r3,l2255,3xe" fillcolor="black" stroked="f">
                  <v:path arrowok="t" o:connecttype="custom" o:connectlocs="1,2143;0,3100;2,3101;104,3116;258,3135;411,3149;563,3155;715,3153;639,3151;487,3148;335,3138;183,3122;55,3104;5,3098;5,3096;2,2148;2255,2146;2253,2143;2201,2962;1995,2967;1841,2978;1689,2994;1538,3015;1386,3042;1233,3073;944,3128;790,3144;639,3151;791,3149;945,3132;1128,3101;1388,3046;1539,3020;1690,2999;1841,2983;1994,2972;2201,2966;2255,2965;2250,2964;3,3096;5,3096;5,3096;18,3098;5,3096;5,3096;2250,2146;2252,2962;2255,2148;2250,2146;2252,2962;2255,2964;5,2146;5,2148;2250,2146;5,2148;2250,2146;2250,2146;2255,2148" o:connectangles="0,0,0,0,0,0,0,0,0,0,0,0,0,0,0,0,0,0,0,0,0,0,0,0,0,0,0,0,0,0,0,0,0,0,0,0,0,0,0,0,0,0,0,0,0,0,0,0,0,0,0,0,0,0,0,0,0,0"/>
                </v:shape>
                <v:shape id="Picture 84" o:spid="_x0000_s1098" type="#_x0000_t75" style="position:absolute;left:7650;top:3166;width:2250;height: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">
                  <v:imagedata r:id="rId104" o:title=""/>
                </v:shape>
                <v:shape id="AutoShape 83" o:spid="_x0000_s1099" style="position:absolute;left:7647;top:3164;width:2255;height:1358;visibility:visible;mso-wrap-style:square;v-text-anchor:top" coordsize="2255,1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" path="m2253,l,,,1284r1,2l52,1295r51,11l181,1319r78,12l335,1341r76,8l486,1354r75,3l636,1358r75,-3l742,1353r-104,l562,1352r-76,-3l409,1344r-76,-8l257,1326r-76,-12l54,1290r-41,-8l4,1282r-2,-2l4,1280,4,5,2,5,4,3r2250,l2254,2,2253,xm2250,1100r-51,l2069,1103r-78,4l1913,1113r-76,8l1761,1131r-75,12l1611,1156r-75,15l1460,1188r-75,19l1309,1228r-77,22l1126,1278r-106,27l943,1322r-76,13l790,1344r-76,6l638,1353r104,l787,1349r77,-9l942,1327r79,-16l1128,1283r105,-29l1310,1232r75,-20l1461,1194r75,-17l1611,1161r75,-13l1762,1136r75,-10l1914,1118r77,-6l2069,1108r130,-4l2253,1104r1,-1l2254,1102r-4,l2250,1100xm2,1280r2,2l4,1280r-2,xm4,1280r,2l13,1282r-9,-2xm4,1280r-2,l4,1280xm2250,3r,1099l2252,1100r2,l2254,5r-2,l2250,3xm2254,1100r-2,l2250,1102r4,l2254,1100xm4,3l2,5r2,l4,3xm2250,3l4,3r,2l2250,5r,-2xm2254,3r-4,l2252,5r2,l2254,3xe" fillcolor="black" stroked="f">
                  <v:path arrowok="t" o:connecttype="custom" o:connectlocs="0,3164;1,4450;103,4470;259,4495;411,4513;561,4521;711,4519;638,4517;486,4513;333,4500;181,4478;13,4446;2,4444;4,3169;4,3167;2254,3166;2250,4264;2069,4267;1913,4277;1761,4295;1611,4320;1460,4352;1309,4392;1126,4442;943,4486;790,4508;638,4517;787,4513;942,4491;1128,4447;1310,4396;1461,4358;1611,4325;1762,4300;1914,4282;2069,4272;2253,4268;2254,4266;2250,4264;4,4446;2,4444;4,4446;4,4444;2,4444;4,4444;2250,4266;2254,4264;2252,3169;2254,4264;2250,4266;2254,4264;2,3169;4,3167;4,3167;2250,3169;2254,3167;2252,3169;2254,3167" o:connectangles="0,0,0,0,0,0,0,0,0,0,0,0,0,0,0,0,0,0,0,0,0,0,0,0,0,0,0,0,0,0,0,0,0,0,0,0,0,0,0,0,0,0,0,0,0,0,0,0,0,0,0,0,0,0,0,0,0,0"/>
                </v:shape>
                <v:shape id="Text Box 82" o:spid="_x0000_s1100" type="#_x0000_t202" style="position:absolute;left:5042;top:548;width:1722;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5929AF19" w14:textId="77777777" w:rsidR="00FD55D7" w:rsidRPr="0083371F" w:rsidRDefault="00FD55D7" w:rsidP="002D6804">
                        <w:pPr>
                          <w:spacing w:line="244" w:lineRule="auto"/>
                          <w:ind w:left="555" w:right="2" w:hanging="556"/>
                          <w:rPr>
                            <w:rFonts w:ascii="Arial" w:hAnsi="Arial" w:cs="Arial"/>
                            <w:b/>
                            <w:sz w:val="20"/>
                          </w:rPr>
                        </w:pPr>
                        <w:r w:rsidRPr="0083371F">
                          <w:rPr>
                            <w:rFonts w:ascii="Arial" w:hAnsi="Arial" w:cs="Arial"/>
                            <w:b/>
                            <w:sz w:val="20"/>
                          </w:rPr>
                          <w:t>Risk Management Policy</w:t>
                        </w:r>
                      </w:p>
                    </w:txbxContent>
                  </v:textbox>
                </v:shape>
                <v:shape id="Text Box 81" o:spid="_x0000_s1101" type="#_x0000_t202" style="position:absolute;left:5024;top:2087;width:1740;height: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3F6A11C5" w14:textId="77777777" w:rsidR="00FD55D7" w:rsidRPr="0083371F" w:rsidRDefault="00FD55D7" w:rsidP="002D6804">
                        <w:pPr>
                          <w:spacing w:line="244" w:lineRule="auto"/>
                          <w:ind w:left="299" w:right="2" w:hanging="300"/>
                          <w:rPr>
                            <w:rFonts w:ascii="Arial" w:hAnsi="Arial" w:cs="Arial"/>
                            <w:b/>
                            <w:sz w:val="20"/>
                          </w:rPr>
                        </w:pPr>
                        <w:r w:rsidRPr="004F0F1D">
                          <w:rPr>
                            <w:rFonts w:ascii="Arial" w:hAnsi="Arial" w:cs="Arial"/>
                            <w:b/>
                            <w:sz w:val="20"/>
                          </w:rPr>
                          <w:t>Risk Mana</w:t>
                        </w:r>
                        <w:r w:rsidRPr="004F2F89">
                          <w:rPr>
                            <w:rFonts w:ascii="Arial" w:hAnsi="Arial" w:cs="Arial"/>
                            <w:b/>
                            <w:sz w:val="20"/>
                          </w:rPr>
                          <w:t>gement</w:t>
                        </w:r>
                        <w:r>
                          <w:rPr>
                            <w:b/>
                            <w:sz w:val="20"/>
                          </w:rPr>
                          <w:t xml:space="preserve"> </w:t>
                        </w:r>
                        <w:r w:rsidRPr="0083371F">
                          <w:rPr>
                            <w:rFonts w:ascii="Arial" w:hAnsi="Arial" w:cs="Arial"/>
                            <w:b/>
                            <w:sz w:val="20"/>
                          </w:rPr>
                          <w:t>Procedures</w:t>
                        </w:r>
                      </w:p>
                    </w:txbxContent>
                  </v:textbox>
                </v:shape>
                <v:shape id="Text Box 80" o:spid="_x0000_s1102" type="#_x0000_t202" style="position:absolute;left:8287;top:2446;width:999;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0A2D51F1" w14:textId="77777777" w:rsidR="00FD55D7" w:rsidRPr="0083371F" w:rsidRDefault="00FD55D7" w:rsidP="002D6804">
                        <w:pPr>
                          <w:spacing w:line="224" w:lineRule="exact"/>
                          <w:rPr>
                            <w:rFonts w:ascii="Arial" w:hAnsi="Arial" w:cs="Arial"/>
                            <w:b/>
                            <w:sz w:val="20"/>
                          </w:rPr>
                        </w:pPr>
                        <w:r w:rsidRPr="0083371F">
                          <w:rPr>
                            <w:rFonts w:ascii="Arial" w:hAnsi="Arial" w:cs="Arial"/>
                            <w:b/>
                            <w:sz w:val="20"/>
                          </w:rPr>
                          <w:t>Strategic?</w:t>
                        </w:r>
                      </w:p>
                    </w:txbxContent>
                  </v:textbox>
                </v:shape>
                <v:shape id="Text Box 79" o:spid="_x0000_s1103" type="#_x0000_t202" style="position:absolute;left:1527;top:3691;width:1965;height:1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332AFA30" w14:textId="29ED41CD" w:rsidR="00FD55D7" w:rsidRDefault="00FD55D7" w:rsidP="004F0F1D">
                        <w:pPr>
                          <w:spacing w:after="0"/>
                          <w:ind w:right="79"/>
                          <w:rPr>
                            <w:rFonts w:ascii="Arial" w:hAnsi="Arial" w:cs="Arial"/>
                            <w:b/>
                            <w:sz w:val="20"/>
                          </w:rPr>
                        </w:pPr>
                        <w:r>
                          <w:rPr>
                            <w:rFonts w:ascii="Arial" w:hAnsi="Arial" w:cs="Arial"/>
                            <w:b/>
                            <w:sz w:val="20"/>
                          </w:rPr>
                          <w:t>Risk Management</w:t>
                        </w:r>
                      </w:p>
                      <w:p w14:paraId="0E02262C" w14:textId="1F2CD2AF" w:rsidR="00FD55D7" w:rsidRDefault="00FD55D7" w:rsidP="004F0F1D">
                        <w:pPr>
                          <w:spacing w:after="0"/>
                          <w:ind w:right="79"/>
                          <w:rPr>
                            <w:rFonts w:ascii="Arial" w:hAnsi="Arial" w:cs="Arial"/>
                            <w:b/>
                            <w:sz w:val="20"/>
                          </w:rPr>
                        </w:pPr>
                        <w:r>
                          <w:rPr>
                            <w:rFonts w:ascii="Arial" w:hAnsi="Arial" w:cs="Arial"/>
                            <w:b/>
                            <w:sz w:val="20"/>
                          </w:rPr>
                          <w:t>Standard</w:t>
                        </w:r>
                      </w:p>
                      <w:p w14:paraId="7C9E8E46" w14:textId="4C5D524C" w:rsidR="00FD55D7" w:rsidRPr="0083371F" w:rsidRDefault="00FD55D7" w:rsidP="0083371F">
                        <w:pPr>
                          <w:spacing w:after="0"/>
                          <w:ind w:right="79"/>
                          <w:rPr>
                            <w:rFonts w:ascii="Arial" w:hAnsi="Arial" w:cs="Arial"/>
                            <w:sz w:val="20"/>
                          </w:rPr>
                        </w:pPr>
                        <w:r w:rsidRPr="0083371F">
                          <w:rPr>
                            <w:rFonts w:ascii="Arial" w:hAnsi="Arial" w:cs="Arial"/>
                            <w:sz w:val="20"/>
                          </w:rPr>
                          <w:t>AS/NZ ISO 31000:2018</w:t>
                        </w:r>
                      </w:p>
                      <w:p w14:paraId="69C50BC3" w14:textId="77777777" w:rsidR="00FD55D7" w:rsidRDefault="00FD55D7" w:rsidP="002D6804">
                        <w:pPr>
                          <w:ind w:right="1"/>
                          <w:rPr>
                            <w:sz w:val="20"/>
                          </w:rPr>
                        </w:pPr>
                        <w:r w:rsidRPr="0083371F">
                          <w:rPr>
                            <w:rFonts w:ascii="Arial" w:hAnsi="Arial" w:cs="Arial"/>
                            <w:sz w:val="20"/>
                          </w:rPr>
                          <w:t>Risk Management</w:t>
                        </w:r>
                        <w:r>
                          <w:rPr>
                            <w:sz w:val="20"/>
                          </w:rPr>
                          <w:t xml:space="preserve"> – </w:t>
                        </w:r>
                        <w:r w:rsidRPr="0083371F">
                          <w:rPr>
                            <w:rFonts w:ascii="Arial" w:hAnsi="Arial" w:cs="Arial"/>
                            <w:sz w:val="20"/>
                          </w:rPr>
                          <w:t>Principles and</w:t>
                        </w:r>
                        <w:r>
                          <w:rPr>
                            <w:sz w:val="20"/>
                          </w:rPr>
                          <w:t xml:space="preserve"> </w:t>
                        </w:r>
                        <w:r w:rsidRPr="0083371F">
                          <w:rPr>
                            <w:rFonts w:ascii="Arial" w:hAnsi="Arial" w:cs="Arial"/>
                            <w:sz w:val="20"/>
                          </w:rPr>
                          <w:t>Guidelines</w:t>
                        </w:r>
                      </w:p>
                    </w:txbxContent>
                  </v:textbox>
                </v:shape>
                <v:shape id="Text Box 78" o:spid="_x0000_s1104" type="#_x0000_t202" style="position:absolute;left:7822;top:3260;width:1970;height:1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7611E24A" w14:textId="77777777" w:rsidR="00FD55D7" w:rsidRPr="0083371F" w:rsidRDefault="00FD55D7" w:rsidP="0083371F">
                        <w:pPr>
                          <w:spacing w:after="0"/>
                          <w:ind w:right="18"/>
                          <w:jc w:val="center"/>
                          <w:rPr>
                            <w:rFonts w:ascii="Arial" w:hAnsi="Arial" w:cs="Arial"/>
                            <w:b/>
                            <w:sz w:val="20"/>
                          </w:rPr>
                        </w:pPr>
                        <w:r w:rsidRPr="0083371F">
                          <w:rPr>
                            <w:rFonts w:ascii="Arial" w:hAnsi="Arial" w:cs="Arial"/>
                            <w:b/>
                            <w:sz w:val="20"/>
                          </w:rPr>
                          <w:t>Corporate Business Plan</w:t>
                        </w:r>
                      </w:p>
                      <w:p w14:paraId="27231C42" w14:textId="77777777" w:rsidR="00FD55D7" w:rsidRDefault="00FD55D7" w:rsidP="002D6804">
                        <w:pPr>
                          <w:spacing w:line="244" w:lineRule="auto"/>
                          <w:ind w:left="518" w:right="532" w:hanging="3"/>
                          <w:jc w:val="center"/>
                          <w:rPr>
                            <w:b/>
                            <w:sz w:val="20"/>
                          </w:rPr>
                        </w:pPr>
                        <w:r w:rsidRPr="0083371F">
                          <w:rPr>
                            <w:rFonts w:ascii="Arial" w:hAnsi="Arial" w:cs="Arial"/>
                            <w:b/>
                            <w:sz w:val="20"/>
                          </w:rPr>
                          <w:t>Politics</w:t>
                        </w:r>
                        <w:r>
                          <w:rPr>
                            <w:b/>
                            <w:sz w:val="20"/>
                          </w:rPr>
                          <w:t xml:space="preserve"> </w:t>
                        </w:r>
                        <w:r w:rsidRPr="0083371F">
                          <w:rPr>
                            <w:rFonts w:ascii="Arial" w:hAnsi="Arial" w:cs="Arial"/>
                            <w:b/>
                            <w:sz w:val="20"/>
                          </w:rPr>
                          <w:t>Financial</w:t>
                        </w:r>
                      </w:p>
                    </w:txbxContent>
                  </v:textbox>
                </v:shape>
                <v:shape id="Text Box 77" o:spid="_x0000_s1105" type="#_x0000_t202" style="position:absolute;left:4752;top:4397;width:1809;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58A9376A" w14:textId="77777777" w:rsidR="00FD55D7" w:rsidRPr="004F0F1D" w:rsidRDefault="00FD55D7" w:rsidP="002D6804">
                        <w:pPr>
                          <w:spacing w:line="224" w:lineRule="exact"/>
                          <w:rPr>
                            <w:rFonts w:ascii="Arial" w:hAnsi="Arial" w:cs="Arial"/>
                            <w:b/>
                            <w:sz w:val="20"/>
                          </w:rPr>
                        </w:pPr>
                        <w:r w:rsidRPr="004F0F1D">
                          <w:rPr>
                            <w:rFonts w:ascii="Arial" w:hAnsi="Arial" w:cs="Arial"/>
                            <w:b/>
                            <w:sz w:val="20"/>
                          </w:rPr>
                          <w:t>Town Risk Profiles</w:t>
                        </w:r>
                      </w:p>
                    </w:txbxContent>
                  </v:textbox>
                </v:shape>
                <v:shape id="Text Box 76" o:spid="_x0000_s1106" type="#_x0000_t202" style="position:absolute;left:5085;top:5902;width:1443;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4B31AB48" w14:textId="77777777" w:rsidR="00FD55D7" w:rsidRPr="00062301" w:rsidRDefault="00FD55D7" w:rsidP="002D6804">
                        <w:pPr>
                          <w:spacing w:line="224" w:lineRule="exact"/>
                          <w:rPr>
                            <w:rFonts w:ascii="Arial" w:hAnsi="Arial" w:cs="Arial"/>
                            <w:b/>
                            <w:sz w:val="20"/>
                          </w:rPr>
                        </w:pPr>
                        <w:r w:rsidRPr="00062301">
                          <w:rPr>
                            <w:rFonts w:ascii="Arial" w:hAnsi="Arial" w:cs="Arial"/>
                            <w:b/>
                            <w:sz w:val="20"/>
                          </w:rPr>
                          <w:t>Risk Reporting</w:t>
                        </w:r>
                      </w:p>
                    </w:txbxContent>
                  </v:textbox>
                </v:shape>
                <v:shape id="Text Box 75" o:spid="_x0000_s1107" type="#_x0000_t202" style="position:absolute;left:5007;top:6584;width:1620;height: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3E760B1A" w14:textId="77777777" w:rsidR="00FD55D7" w:rsidRPr="00062301" w:rsidRDefault="00FD55D7" w:rsidP="002D6804">
                        <w:pPr>
                          <w:spacing w:line="242" w:lineRule="auto"/>
                          <w:ind w:right="18" w:firstLine="2"/>
                          <w:jc w:val="center"/>
                          <w:rPr>
                            <w:rFonts w:ascii="Arial" w:hAnsi="Arial" w:cs="Arial"/>
                            <w:b/>
                            <w:sz w:val="20"/>
                          </w:rPr>
                        </w:pPr>
                        <w:r w:rsidRPr="00062301">
                          <w:rPr>
                            <w:rFonts w:ascii="Arial" w:hAnsi="Arial" w:cs="Arial"/>
                            <w:b/>
                            <w:sz w:val="20"/>
                          </w:rPr>
                          <w:t>Six monthly Internal Risk Reporting</w:t>
                        </w:r>
                      </w:p>
                    </w:txbxContent>
                  </v:textbox>
                </v:shape>
                <v:shape id="Text Box 74" o:spid="_x0000_s1108" type="#_x0000_t202" style="position:absolute;left:8504;top:6659;width:1745;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5403F4CB" w14:textId="77777777" w:rsidR="00FD55D7" w:rsidRPr="00062301" w:rsidRDefault="00FD55D7" w:rsidP="002D6804">
                        <w:pPr>
                          <w:spacing w:line="244" w:lineRule="auto"/>
                          <w:ind w:right="2"/>
                          <w:rPr>
                            <w:rFonts w:ascii="Arial" w:hAnsi="Arial" w:cs="Arial"/>
                            <w:b/>
                            <w:sz w:val="20"/>
                          </w:rPr>
                        </w:pPr>
                        <w:r w:rsidRPr="00062301">
                          <w:rPr>
                            <w:rFonts w:ascii="Arial" w:hAnsi="Arial" w:cs="Arial"/>
                            <w:b/>
                            <w:sz w:val="20"/>
                          </w:rPr>
                          <w:t>CEO / Senior Staff Group</w:t>
                        </w:r>
                      </w:p>
                    </w:txbxContent>
                  </v:textbox>
                </v:shape>
                <v:shape id="Text Box 73" o:spid="_x0000_s1109" type="#_x0000_t202" style="position:absolute;left:4916;top:8224;width:2131;height:1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539FF971" w14:textId="77777777" w:rsidR="00FD55D7" w:rsidRPr="00062301" w:rsidRDefault="00FD55D7" w:rsidP="00062301">
                        <w:pPr>
                          <w:spacing w:after="0" w:line="224" w:lineRule="exact"/>
                          <w:rPr>
                            <w:rFonts w:ascii="Arial" w:hAnsi="Arial" w:cs="Arial"/>
                            <w:b/>
                            <w:sz w:val="20"/>
                            <w:szCs w:val="20"/>
                          </w:rPr>
                        </w:pPr>
                        <w:r w:rsidRPr="00062301">
                          <w:rPr>
                            <w:rFonts w:ascii="Arial" w:hAnsi="Arial" w:cs="Arial"/>
                            <w:b/>
                            <w:sz w:val="20"/>
                            <w:szCs w:val="20"/>
                          </w:rPr>
                          <w:t>Biennial Report</w:t>
                        </w:r>
                      </w:p>
                      <w:p w14:paraId="0AC3193A" w14:textId="77777777" w:rsidR="00FD55D7" w:rsidRDefault="00FD55D7" w:rsidP="00062301">
                        <w:pPr>
                          <w:spacing w:after="0"/>
                          <w:rPr>
                            <w:rFonts w:ascii="Arial" w:hAnsi="Arial" w:cs="Arial"/>
                            <w:sz w:val="18"/>
                            <w:szCs w:val="18"/>
                          </w:rPr>
                        </w:pPr>
                        <w:r w:rsidRPr="00062301">
                          <w:rPr>
                            <w:rFonts w:ascii="Arial" w:hAnsi="Arial" w:cs="Arial"/>
                            <w:sz w:val="18"/>
                            <w:szCs w:val="18"/>
                          </w:rPr>
                          <w:t xml:space="preserve">Risk Management </w:t>
                        </w:r>
                      </w:p>
                      <w:p w14:paraId="3B3138A5" w14:textId="79CEBA04" w:rsidR="00FD55D7" w:rsidRPr="00062301" w:rsidRDefault="00FD55D7" w:rsidP="00062301">
                        <w:pPr>
                          <w:spacing w:after="0"/>
                          <w:rPr>
                            <w:sz w:val="14"/>
                            <w:szCs w:val="20"/>
                          </w:rPr>
                        </w:pPr>
                        <w:r>
                          <w:rPr>
                            <w:rFonts w:ascii="Arial" w:hAnsi="Arial" w:cs="Arial"/>
                            <w:sz w:val="18"/>
                            <w:szCs w:val="18"/>
                          </w:rPr>
                          <w:t>I</w:t>
                        </w:r>
                        <w:r w:rsidRPr="00062301">
                          <w:rPr>
                            <w:rFonts w:ascii="Arial" w:hAnsi="Arial" w:cs="Arial"/>
                            <w:sz w:val="18"/>
                            <w:szCs w:val="18"/>
                          </w:rPr>
                          <w:t>nternal Controls</w:t>
                        </w:r>
                        <w:r w:rsidRPr="00062301">
                          <w:rPr>
                            <w:sz w:val="14"/>
                            <w:szCs w:val="20"/>
                          </w:rPr>
                          <w:t xml:space="preserve"> </w:t>
                        </w:r>
                        <w:r w:rsidRPr="00062301">
                          <w:rPr>
                            <w:rFonts w:ascii="Arial" w:hAnsi="Arial" w:cs="Arial"/>
                            <w:sz w:val="18"/>
                            <w:szCs w:val="18"/>
                          </w:rPr>
                          <w:t>Legislative Compliance</w:t>
                        </w:r>
                      </w:p>
                    </w:txbxContent>
                  </v:textbox>
                </v:shape>
                <v:shape id="Text Box 72" o:spid="_x0000_s1110" type="#_x0000_t202" style="position:absolute;left:8534;top:8472;width:1622;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14:paraId="240A848C" w14:textId="77777777" w:rsidR="00FD55D7" w:rsidRPr="00062301" w:rsidRDefault="00FD55D7" w:rsidP="002D6804">
                        <w:pPr>
                          <w:spacing w:line="224" w:lineRule="exact"/>
                          <w:rPr>
                            <w:rFonts w:ascii="Arial" w:hAnsi="Arial" w:cs="Arial"/>
                            <w:b/>
                            <w:sz w:val="20"/>
                          </w:rPr>
                        </w:pPr>
                        <w:r w:rsidRPr="00062301">
                          <w:rPr>
                            <w:rFonts w:ascii="Arial" w:hAnsi="Arial" w:cs="Arial"/>
                            <w:b/>
                            <w:sz w:val="20"/>
                          </w:rPr>
                          <w:t>Audit Committee</w:t>
                        </w:r>
                      </w:p>
                    </w:txbxContent>
                  </v:textbox>
                </v:shape>
                <w10:wrap type="topAndBottom" anchorx="page"/>
              </v:group>
            </w:pict>
          </mc:Fallback>
        </mc:AlternateContent>
      </w:r>
    </w:p>
    <w:p w14:paraId="4FE61865" w14:textId="77777777" w:rsidR="002D6804" w:rsidRDefault="002D6804" w:rsidP="002D6804">
      <w:pPr>
        <w:rPr>
          <w:sz w:val="28"/>
        </w:rPr>
        <w:sectPr w:rsidR="002D6804">
          <w:pgSz w:w="11910" w:h="16840"/>
          <w:pgMar w:top="1600" w:right="840" w:bottom="1140" w:left="1080" w:header="0" w:footer="955" w:gutter="0"/>
          <w:cols w:space="720"/>
        </w:sectPr>
      </w:pPr>
    </w:p>
    <w:p w14:paraId="4942C889" w14:textId="77777777" w:rsidR="002D6804" w:rsidRDefault="002D6804" w:rsidP="002D6804">
      <w:pPr>
        <w:pStyle w:val="BodyText"/>
        <w:ind w:left="7411"/>
      </w:pPr>
      <w:r>
        <w:rPr>
          <w:noProof/>
        </w:rPr>
        <w:lastRenderedPageBreak/>
        <w:drawing>
          <wp:inline distT="0" distB="0" distL="0" distR="0" wp14:anchorId="1BA509F4" wp14:editId="257B8D8A">
            <wp:extent cx="1260347" cy="675894"/>
            <wp:effectExtent l="0" t="0" r="0" b="0"/>
            <wp:docPr id="43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1.png"/>
                    <pic:cNvPicPr/>
                  </pic:nvPicPr>
                  <pic:blipFill>
                    <a:blip r:embed="rId105" cstate="print"/>
                    <a:stretch>
                      <a:fillRect/>
                    </a:stretch>
                  </pic:blipFill>
                  <pic:spPr>
                    <a:xfrm>
                      <a:off x="0" y="0"/>
                      <a:ext cx="1260347" cy="675894"/>
                    </a:xfrm>
                    <a:prstGeom prst="rect">
                      <a:avLst/>
                    </a:prstGeom>
                  </pic:spPr>
                </pic:pic>
              </a:graphicData>
            </a:graphic>
          </wp:inline>
        </w:drawing>
      </w:r>
    </w:p>
    <w:p w14:paraId="77652476" w14:textId="77777777" w:rsidR="002D6804" w:rsidRDefault="002D6804" w:rsidP="002D6804">
      <w:pPr>
        <w:pStyle w:val="BodyText"/>
        <w:spacing w:before="2"/>
        <w:rPr>
          <w:sz w:val="24"/>
        </w:rPr>
      </w:pPr>
    </w:p>
    <w:p w14:paraId="7E34A864" w14:textId="77777777" w:rsidR="002D6804" w:rsidRPr="001D2E60" w:rsidRDefault="002D6804" w:rsidP="001D2E60">
      <w:pPr>
        <w:pStyle w:val="Heading2"/>
        <w:ind w:left="284"/>
        <w:rPr>
          <w:rFonts w:ascii="Arial" w:hAnsi="Arial" w:cs="Arial"/>
          <w:sz w:val="24"/>
          <w:szCs w:val="24"/>
        </w:rPr>
      </w:pPr>
      <w:r w:rsidRPr="001D2E60">
        <w:rPr>
          <w:rFonts w:ascii="Arial" w:hAnsi="Arial" w:cs="Arial"/>
          <w:color w:val="006F65"/>
          <w:sz w:val="24"/>
          <w:szCs w:val="24"/>
        </w:rPr>
        <w:t>Risk &amp; Control Management</w:t>
      </w:r>
    </w:p>
    <w:p w14:paraId="452D0953" w14:textId="77777777" w:rsidR="002D6804" w:rsidRPr="001D2E60" w:rsidRDefault="002D6804" w:rsidP="002D6804">
      <w:pPr>
        <w:pStyle w:val="BodyText"/>
        <w:spacing w:before="117"/>
        <w:ind w:left="338"/>
        <w:rPr>
          <w:rFonts w:cs="Arial"/>
          <w:sz w:val="20"/>
        </w:rPr>
      </w:pPr>
      <w:r w:rsidRPr="001D2E60">
        <w:rPr>
          <w:rFonts w:cs="Arial"/>
          <w:sz w:val="20"/>
        </w:rPr>
        <w:t>All Work Areas of the Town are required to assess and manage the Risk Profiles on an ongoing basis.</w:t>
      </w:r>
    </w:p>
    <w:p w14:paraId="6BCB9EE0" w14:textId="77777777" w:rsidR="002D6804" w:rsidRPr="001D2E60" w:rsidRDefault="002D6804" w:rsidP="002D6804">
      <w:pPr>
        <w:pStyle w:val="BodyText"/>
        <w:spacing w:before="11"/>
        <w:rPr>
          <w:rFonts w:cs="Arial"/>
          <w:sz w:val="20"/>
        </w:rPr>
      </w:pPr>
    </w:p>
    <w:p w14:paraId="7D9ADC86" w14:textId="77777777" w:rsidR="002D6804" w:rsidRPr="001D2E60" w:rsidRDefault="002D6804" w:rsidP="002D6804">
      <w:pPr>
        <w:pStyle w:val="BodyText"/>
        <w:ind w:left="338"/>
        <w:rPr>
          <w:rFonts w:cs="Arial"/>
          <w:sz w:val="20"/>
        </w:rPr>
      </w:pPr>
      <w:r w:rsidRPr="001D2E60">
        <w:rPr>
          <w:rFonts w:cs="Arial"/>
          <w:sz w:val="20"/>
        </w:rPr>
        <w:t>Each Manager, in conjunction with the Executive Assistant Corporate Services is accountable for ensuring that Risk Profiles are:</w:t>
      </w:r>
    </w:p>
    <w:p w14:paraId="390B0946" w14:textId="77777777" w:rsidR="002D6804" w:rsidRPr="001D2E60" w:rsidRDefault="002D6804" w:rsidP="002A3889">
      <w:pPr>
        <w:pStyle w:val="ListParagraph"/>
        <w:widowControl w:val="0"/>
        <w:numPr>
          <w:ilvl w:val="1"/>
          <w:numId w:val="462"/>
        </w:numPr>
        <w:tabs>
          <w:tab w:val="left" w:pos="1058"/>
          <w:tab w:val="left" w:pos="1059"/>
        </w:tabs>
        <w:autoSpaceDE w:val="0"/>
        <w:autoSpaceDN w:val="0"/>
        <w:spacing w:before="119" w:after="0" w:line="240" w:lineRule="auto"/>
        <w:contextualSpacing w:val="0"/>
        <w:rPr>
          <w:rFonts w:ascii="Arial" w:hAnsi="Arial" w:cs="Arial"/>
          <w:sz w:val="20"/>
          <w:szCs w:val="20"/>
        </w:rPr>
      </w:pPr>
      <w:r w:rsidRPr="001D2E60">
        <w:rPr>
          <w:rFonts w:ascii="Arial" w:hAnsi="Arial" w:cs="Arial"/>
          <w:sz w:val="20"/>
          <w:szCs w:val="20"/>
        </w:rPr>
        <w:t>Reflective of the material risk landscape of the</w:t>
      </w:r>
      <w:r w:rsidRPr="001D2E60">
        <w:rPr>
          <w:rFonts w:ascii="Arial" w:hAnsi="Arial" w:cs="Arial"/>
          <w:spacing w:val="-10"/>
          <w:sz w:val="20"/>
          <w:szCs w:val="20"/>
        </w:rPr>
        <w:t xml:space="preserve"> </w:t>
      </w:r>
      <w:r w:rsidRPr="001D2E60">
        <w:rPr>
          <w:rFonts w:ascii="Arial" w:hAnsi="Arial" w:cs="Arial"/>
          <w:sz w:val="20"/>
          <w:szCs w:val="20"/>
        </w:rPr>
        <w:t>Town.</w:t>
      </w:r>
    </w:p>
    <w:p w14:paraId="776FA15C" w14:textId="77777777" w:rsidR="002D6804" w:rsidRPr="001D2E60" w:rsidRDefault="002D6804" w:rsidP="002A3889">
      <w:pPr>
        <w:pStyle w:val="ListParagraph"/>
        <w:widowControl w:val="0"/>
        <w:numPr>
          <w:ilvl w:val="1"/>
          <w:numId w:val="462"/>
        </w:numPr>
        <w:tabs>
          <w:tab w:val="left" w:pos="1058"/>
          <w:tab w:val="left" w:pos="1059"/>
        </w:tabs>
        <w:autoSpaceDE w:val="0"/>
        <w:autoSpaceDN w:val="0"/>
        <w:spacing w:before="119" w:after="0" w:line="240" w:lineRule="auto"/>
        <w:ind w:right="290" w:hanging="360"/>
        <w:contextualSpacing w:val="0"/>
        <w:rPr>
          <w:rFonts w:ascii="Arial" w:hAnsi="Arial" w:cs="Arial"/>
          <w:sz w:val="20"/>
          <w:szCs w:val="20"/>
        </w:rPr>
      </w:pPr>
      <w:r w:rsidRPr="001D2E60">
        <w:rPr>
          <w:rFonts w:ascii="Arial" w:hAnsi="Arial" w:cs="Arial"/>
          <w:sz w:val="20"/>
          <w:szCs w:val="20"/>
        </w:rPr>
        <w:t>Reviewed on at least a six-monthly basis, or sooner if there has been a material restructure or change in the risk and control</w:t>
      </w:r>
      <w:r w:rsidRPr="001D2E60">
        <w:rPr>
          <w:rFonts w:ascii="Arial" w:hAnsi="Arial" w:cs="Arial"/>
          <w:spacing w:val="-6"/>
          <w:sz w:val="20"/>
          <w:szCs w:val="20"/>
        </w:rPr>
        <w:t xml:space="preserve"> </w:t>
      </w:r>
      <w:r w:rsidRPr="001D2E60">
        <w:rPr>
          <w:rFonts w:ascii="Arial" w:hAnsi="Arial" w:cs="Arial"/>
          <w:sz w:val="20"/>
          <w:szCs w:val="20"/>
        </w:rPr>
        <w:t>environment.</w:t>
      </w:r>
    </w:p>
    <w:p w14:paraId="108E4BF3" w14:textId="77777777" w:rsidR="002D6804" w:rsidRPr="001D2E60" w:rsidRDefault="002D6804" w:rsidP="002A3889">
      <w:pPr>
        <w:pStyle w:val="ListParagraph"/>
        <w:widowControl w:val="0"/>
        <w:numPr>
          <w:ilvl w:val="1"/>
          <w:numId w:val="462"/>
        </w:numPr>
        <w:tabs>
          <w:tab w:val="left" w:pos="1058"/>
          <w:tab w:val="left" w:pos="1059"/>
        </w:tabs>
        <w:autoSpaceDE w:val="0"/>
        <w:autoSpaceDN w:val="0"/>
        <w:spacing w:before="119" w:after="0" w:line="240" w:lineRule="auto"/>
        <w:contextualSpacing w:val="0"/>
        <w:rPr>
          <w:rFonts w:ascii="Arial" w:hAnsi="Arial" w:cs="Arial"/>
          <w:sz w:val="20"/>
          <w:szCs w:val="20"/>
        </w:rPr>
      </w:pPr>
      <w:r w:rsidRPr="001D2E60">
        <w:rPr>
          <w:rFonts w:ascii="Arial" w:hAnsi="Arial" w:cs="Arial"/>
          <w:sz w:val="20"/>
          <w:szCs w:val="20"/>
        </w:rPr>
        <w:t>Maintained in the standard</w:t>
      </w:r>
      <w:r w:rsidRPr="001D2E60">
        <w:rPr>
          <w:rFonts w:ascii="Arial" w:hAnsi="Arial" w:cs="Arial"/>
          <w:spacing w:val="-4"/>
          <w:sz w:val="20"/>
          <w:szCs w:val="20"/>
        </w:rPr>
        <w:t xml:space="preserve"> </w:t>
      </w:r>
      <w:r w:rsidRPr="001D2E60">
        <w:rPr>
          <w:rFonts w:ascii="Arial" w:hAnsi="Arial" w:cs="Arial"/>
          <w:sz w:val="20"/>
          <w:szCs w:val="20"/>
        </w:rPr>
        <w:t>format.</w:t>
      </w:r>
    </w:p>
    <w:p w14:paraId="3E0450C4" w14:textId="77777777" w:rsidR="002D6804" w:rsidRPr="001D2E60" w:rsidRDefault="002D6804" w:rsidP="002D6804">
      <w:pPr>
        <w:pStyle w:val="BodyText"/>
        <w:spacing w:before="118"/>
        <w:ind w:left="338"/>
        <w:rPr>
          <w:rFonts w:cs="Arial"/>
          <w:sz w:val="20"/>
        </w:rPr>
      </w:pPr>
      <w:r w:rsidRPr="001D2E60">
        <w:rPr>
          <w:rFonts w:cs="Arial"/>
          <w:sz w:val="20"/>
        </w:rPr>
        <w:t xml:space="preserve">This process is supported </w:t>
      </w:r>
      <w:proofErr w:type="gramStart"/>
      <w:r w:rsidRPr="001D2E60">
        <w:rPr>
          <w:rFonts w:cs="Arial"/>
          <w:sz w:val="20"/>
        </w:rPr>
        <w:t>by the use of</w:t>
      </w:r>
      <w:proofErr w:type="gramEnd"/>
      <w:r w:rsidRPr="001D2E60">
        <w:rPr>
          <w:rFonts w:cs="Arial"/>
          <w:sz w:val="20"/>
        </w:rPr>
        <w:t xml:space="preserve"> data inputs, workshops and ongoing business engagement.</w:t>
      </w:r>
    </w:p>
    <w:p w14:paraId="469B3E7A" w14:textId="77777777" w:rsidR="002D6804" w:rsidRDefault="002D6804" w:rsidP="002D6804">
      <w:pPr>
        <w:pStyle w:val="BodyText"/>
        <w:rPr>
          <w:sz w:val="21"/>
        </w:rPr>
      </w:pPr>
    </w:p>
    <w:p w14:paraId="4CB8AEE7" w14:textId="77777777" w:rsidR="002D6804" w:rsidRPr="00062301" w:rsidRDefault="002D6804" w:rsidP="00062301">
      <w:pPr>
        <w:pStyle w:val="Heading3"/>
        <w:ind w:left="284"/>
        <w:rPr>
          <w:rFonts w:ascii="Arial" w:hAnsi="Arial" w:cs="Arial"/>
          <w:b/>
          <w:bCs/>
          <w:sz w:val="22"/>
          <w:szCs w:val="22"/>
        </w:rPr>
      </w:pPr>
      <w:r w:rsidRPr="00062301">
        <w:rPr>
          <w:rFonts w:ascii="Arial" w:hAnsi="Arial" w:cs="Arial"/>
          <w:b/>
          <w:bCs/>
          <w:color w:val="00ACB8"/>
          <w:sz w:val="22"/>
          <w:szCs w:val="22"/>
        </w:rPr>
        <w:t>Risk &amp; Control Assessment</w:t>
      </w:r>
    </w:p>
    <w:p w14:paraId="641AB2ED" w14:textId="77777777" w:rsidR="002D6804" w:rsidRPr="00062301" w:rsidRDefault="002D6804" w:rsidP="002D6804">
      <w:pPr>
        <w:pStyle w:val="BodyText"/>
        <w:spacing w:before="59"/>
        <w:ind w:left="338" w:right="649"/>
        <w:rPr>
          <w:rFonts w:cs="Arial"/>
          <w:sz w:val="20"/>
        </w:rPr>
      </w:pPr>
      <w:r w:rsidRPr="00062301">
        <w:rPr>
          <w:rFonts w:cs="Arial"/>
          <w:sz w:val="20"/>
        </w:rPr>
        <w:t>To ensure alignment with AS/NZ ISO 31000:2018 Risk Management, the following approach is to be adopted from a Risk &amp; Control Assessment perspective:</w:t>
      </w:r>
    </w:p>
    <w:p w14:paraId="6F4F1439" w14:textId="77777777" w:rsidR="002D6804" w:rsidRPr="00062301" w:rsidRDefault="002D6804" w:rsidP="002D6804">
      <w:pPr>
        <w:pStyle w:val="BodyText"/>
        <w:spacing w:before="4"/>
        <w:rPr>
          <w:rFonts w:cs="Arial"/>
          <w:sz w:val="20"/>
        </w:rPr>
      </w:pPr>
    </w:p>
    <w:p w14:paraId="47C7BEA6" w14:textId="77777777" w:rsidR="002D6804" w:rsidRPr="00062301" w:rsidRDefault="002D6804" w:rsidP="00062301">
      <w:pPr>
        <w:pStyle w:val="Heading4"/>
        <w:ind w:left="426"/>
        <w:rPr>
          <w:rFonts w:ascii="Arial" w:hAnsi="Arial" w:cs="Arial"/>
          <w:i w:val="0"/>
          <w:iCs w:val="0"/>
          <w:sz w:val="20"/>
          <w:szCs w:val="20"/>
        </w:rPr>
      </w:pPr>
      <w:r w:rsidRPr="00062301">
        <w:rPr>
          <w:rFonts w:ascii="Arial" w:hAnsi="Arial" w:cs="Arial"/>
          <w:i w:val="0"/>
          <w:iCs w:val="0"/>
          <w:color w:val="006F65"/>
          <w:sz w:val="20"/>
          <w:szCs w:val="20"/>
          <w:u w:val="thick" w:color="006F65"/>
        </w:rPr>
        <w:t>A: Establishing the Context</w:t>
      </w:r>
    </w:p>
    <w:p w14:paraId="54E9CE87" w14:textId="77777777" w:rsidR="002D6804" w:rsidRPr="00062301" w:rsidRDefault="002D6804" w:rsidP="002D6804">
      <w:pPr>
        <w:pStyle w:val="BodyText"/>
        <w:spacing w:before="119"/>
        <w:ind w:left="338"/>
        <w:rPr>
          <w:rFonts w:cs="Arial"/>
          <w:sz w:val="20"/>
        </w:rPr>
      </w:pPr>
      <w:r w:rsidRPr="00062301">
        <w:rPr>
          <w:rFonts w:cs="Arial"/>
          <w:sz w:val="20"/>
        </w:rPr>
        <w:t>The first step in the risk management process is to understand the context within which the risks are to be assessed and what is being assessed, this forms two elements:</w:t>
      </w:r>
    </w:p>
    <w:p w14:paraId="28A50449" w14:textId="77777777" w:rsidR="002D6804" w:rsidRPr="00062301" w:rsidRDefault="002D6804" w:rsidP="002D6804">
      <w:pPr>
        <w:pStyle w:val="BodyText"/>
        <w:spacing w:before="4"/>
        <w:rPr>
          <w:rFonts w:cs="Arial"/>
          <w:sz w:val="20"/>
        </w:rPr>
      </w:pPr>
    </w:p>
    <w:p w14:paraId="5DA225EE" w14:textId="77777777" w:rsidR="002D6804" w:rsidRPr="00062301" w:rsidRDefault="002D6804" w:rsidP="001A7972">
      <w:pPr>
        <w:spacing w:before="1" w:after="0"/>
        <w:ind w:left="340"/>
        <w:rPr>
          <w:rFonts w:ascii="Arial" w:hAnsi="Arial" w:cs="Arial"/>
          <w:b/>
          <w:sz w:val="20"/>
          <w:szCs w:val="20"/>
        </w:rPr>
      </w:pPr>
      <w:r w:rsidRPr="00062301">
        <w:rPr>
          <w:rFonts w:ascii="Arial" w:hAnsi="Arial" w:cs="Arial"/>
          <w:b/>
          <w:color w:val="006F65"/>
          <w:sz w:val="20"/>
          <w:szCs w:val="20"/>
        </w:rPr>
        <w:t>Organisational Context</w:t>
      </w:r>
    </w:p>
    <w:p w14:paraId="30960B41" w14:textId="77777777" w:rsidR="002D6804" w:rsidRPr="00062301" w:rsidRDefault="002D6804" w:rsidP="001A7972">
      <w:pPr>
        <w:pStyle w:val="BodyText"/>
        <w:spacing w:after="0"/>
        <w:ind w:left="338" w:right="286"/>
        <w:jc w:val="both"/>
        <w:rPr>
          <w:rFonts w:cs="Arial"/>
          <w:sz w:val="20"/>
        </w:rPr>
      </w:pPr>
      <w:r w:rsidRPr="00062301">
        <w:rPr>
          <w:rFonts w:cs="Arial"/>
          <w:sz w:val="20"/>
        </w:rPr>
        <w:t xml:space="preserve">The Town’s Risk Management Procedures provide the basic information and guidance regarding the </w:t>
      </w:r>
      <w:proofErr w:type="spellStart"/>
      <w:r w:rsidRPr="00062301">
        <w:rPr>
          <w:rFonts w:cs="Arial"/>
          <w:sz w:val="20"/>
        </w:rPr>
        <w:t>organisational</w:t>
      </w:r>
      <w:proofErr w:type="spellEnd"/>
      <w:r w:rsidRPr="00062301">
        <w:rPr>
          <w:rFonts w:cs="Arial"/>
          <w:sz w:val="20"/>
        </w:rPr>
        <w:t xml:space="preserve"> context to conduct a risk assessment; this includes Risk Assessment and Acceptance Criteria (Appendix A</w:t>
      </w:r>
      <w:proofErr w:type="gramStart"/>
      <w:r w:rsidRPr="00062301">
        <w:rPr>
          <w:rFonts w:cs="Arial"/>
          <w:sz w:val="20"/>
        </w:rPr>
        <w:t>)</w:t>
      </w:r>
      <w:proofErr w:type="gramEnd"/>
      <w:r w:rsidRPr="00062301">
        <w:rPr>
          <w:rFonts w:cs="Arial"/>
          <w:sz w:val="20"/>
        </w:rPr>
        <w:t xml:space="preserve"> and any other tolerance tables as developed. In addition, existing Risk Themes are to be </w:t>
      </w:r>
      <w:proofErr w:type="spellStart"/>
      <w:r w:rsidRPr="00062301">
        <w:rPr>
          <w:rFonts w:cs="Arial"/>
          <w:sz w:val="20"/>
        </w:rPr>
        <w:t>utilised</w:t>
      </w:r>
      <w:proofErr w:type="spellEnd"/>
      <w:r w:rsidRPr="00062301">
        <w:rPr>
          <w:rFonts w:cs="Arial"/>
          <w:sz w:val="20"/>
        </w:rPr>
        <w:t xml:space="preserve"> (Appendix C) where possible to assist in the </w:t>
      </w:r>
      <w:proofErr w:type="spellStart"/>
      <w:r w:rsidRPr="00062301">
        <w:rPr>
          <w:rFonts w:cs="Arial"/>
          <w:sz w:val="20"/>
        </w:rPr>
        <w:t>categorisation</w:t>
      </w:r>
      <w:proofErr w:type="spellEnd"/>
      <w:r w:rsidRPr="00062301">
        <w:rPr>
          <w:rFonts w:cs="Arial"/>
          <w:sz w:val="20"/>
        </w:rPr>
        <w:t xml:space="preserve"> of related risks.</w:t>
      </w:r>
    </w:p>
    <w:p w14:paraId="073A96C1" w14:textId="77777777" w:rsidR="002D6804" w:rsidRPr="00062301" w:rsidRDefault="002D6804" w:rsidP="001A7972">
      <w:pPr>
        <w:pStyle w:val="BodyText"/>
        <w:spacing w:after="0"/>
        <w:rPr>
          <w:rFonts w:cs="Arial"/>
          <w:sz w:val="20"/>
        </w:rPr>
      </w:pPr>
    </w:p>
    <w:p w14:paraId="6DB6314B" w14:textId="77777777" w:rsidR="002D6804" w:rsidRPr="00062301" w:rsidRDefault="002D6804" w:rsidP="001A7972">
      <w:pPr>
        <w:pStyle w:val="BodyText"/>
        <w:spacing w:after="0"/>
        <w:ind w:left="338" w:right="209"/>
        <w:jc w:val="both"/>
        <w:rPr>
          <w:rFonts w:cs="Arial"/>
          <w:sz w:val="20"/>
        </w:rPr>
      </w:pPr>
      <w:r w:rsidRPr="00062301">
        <w:rPr>
          <w:rFonts w:cs="Arial"/>
          <w:sz w:val="20"/>
        </w:rPr>
        <w:t>Any changes or additions to the Risk Themes must be approved by the Executive Assistant Corporate Services and CEO.</w:t>
      </w:r>
    </w:p>
    <w:p w14:paraId="018DF985" w14:textId="77777777" w:rsidR="002D6804" w:rsidRPr="00062301" w:rsidRDefault="002D6804" w:rsidP="001A7972">
      <w:pPr>
        <w:pStyle w:val="BodyText"/>
        <w:spacing w:after="0"/>
        <w:rPr>
          <w:rFonts w:cs="Arial"/>
          <w:sz w:val="20"/>
        </w:rPr>
      </w:pPr>
    </w:p>
    <w:p w14:paraId="3EAA0CC1" w14:textId="77777777" w:rsidR="002D6804" w:rsidRPr="00062301" w:rsidRDefault="002D6804" w:rsidP="001A7972">
      <w:pPr>
        <w:pStyle w:val="BodyText"/>
        <w:spacing w:after="0"/>
        <w:ind w:left="338" w:right="289"/>
        <w:jc w:val="both"/>
        <w:rPr>
          <w:rFonts w:cs="Arial"/>
          <w:sz w:val="20"/>
        </w:rPr>
      </w:pPr>
      <w:r w:rsidRPr="00062301">
        <w:rPr>
          <w:rFonts w:cs="Arial"/>
          <w:sz w:val="20"/>
        </w:rPr>
        <w:t xml:space="preserve">All risk assessments are to </w:t>
      </w:r>
      <w:proofErr w:type="spellStart"/>
      <w:r w:rsidRPr="00062301">
        <w:rPr>
          <w:rFonts w:cs="Arial"/>
          <w:sz w:val="20"/>
        </w:rPr>
        <w:t>utilise</w:t>
      </w:r>
      <w:proofErr w:type="spellEnd"/>
      <w:r w:rsidRPr="00062301">
        <w:rPr>
          <w:rFonts w:cs="Arial"/>
          <w:sz w:val="20"/>
        </w:rPr>
        <w:t xml:space="preserve"> these documents to allow consistent and comparable risk information to be developed and considered within planning and decision-making processes.</w:t>
      </w:r>
    </w:p>
    <w:p w14:paraId="1CB80CC0" w14:textId="77777777" w:rsidR="002D6804" w:rsidRPr="00062301" w:rsidRDefault="002D6804" w:rsidP="001A7972">
      <w:pPr>
        <w:pStyle w:val="BodyText"/>
        <w:spacing w:before="6" w:after="0"/>
        <w:rPr>
          <w:rFonts w:cs="Arial"/>
          <w:sz w:val="20"/>
        </w:rPr>
      </w:pPr>
    </w:p>
    <w:p w14:paraId="5BCDEF60" w14:textId="77777777" w:rsidR="002D6804" w:rsidRPr="00062301" w:rsidRDefault="002D6804" w:rsidP="001A7972">
      <w:pPr>
        <w:spacing w:after="0"/>
        <w:ind w:left="340"/>
        <w:jc w:val="both"/>
        <w:rPr>
          <w:rFonts w:ascii="Arial" w:hAnsi="Arial" w:cs="Arial"/>
          <w:b/>
          <w:sz w:val="20"/>
          <w:szCs w:val="20"/>
        </w:rPr>
      </w:pPr>
      <w:r w:rsidRPr="00062301">
        <w:rPr>
          <w:rFonts w:ascii="Arial" w:hAnsi="Arial" w:cs="Arial"/>
          <w:b/>
          <w:color w:val="006F65"/>
          <w:sz w:val="20"/>
          <w:szCs w:val="20"/>
        </w:rPr>
        <w:t>Specific Risk Assessment Context</w:t>
      </w:r>
    </w:p>
    <w:p w14:paraId="0665169C" w14:textId="77777777" w:rsidR="002D6804" w:rsidRPr="00062301" w:rsidRDefault="002D6804" w:rsidP="002D6804">
      <w:pPr>
        <w:pStyle w:val="BodyText"/>
        <w:spacing w:before="118"/>
        <w:ind w:left="338" w:right="289"/>
        <w:jc w:val="both"/>
        <w:rPr>
          <w:rFonts w:cs="Arial"/>
          <w:sz w:val="20"/>
        </w:rPr>
      </w:pPr>
      <w:r w:rsidRPr="00062301">
        <w:rPr>
          <w:rFonts w:cs="Arial"/>
          <w:sz w:val="20"/>
        </w:rPr>
        <w:t>To direct the identification of risks, the specific risk assessment context is to be determined prior to and used within the risk assessment process.</w:t>
      </w:r>
    </w:p>
    <w:p w14:paraId="6F212540" w14:textId="77777777" w:rsidR="002D6804" w:rsidRPr="00062301" w:rsidRDefault="002D6804" w:rsidP="001A7972">
      <w:pPr>
        <w:pStyle w:val="BodyText"/>
        <w:spacing w:before="11" w:after="0"/>
        <w:rPr>
          <w:rFonts w:cs="Arial"/>
          <w:sz w:val="20"/>
        </w:rPr>
      </w:pPr>
    </w:p>
    <w:p w14:paraId="659F0C7F" w14:textId="77777777" w:rsidR="002D6804" w:rsidRPr="00062301" w:rsidRDefault="002D6804" w:rsidP="002D6804">
      <w:pPr>
        <w:pStyle w:val="BodyText"/>
        <w:ind w:left="338"/>
        <w:jc w:val="both"/>
        <w:rPr>
          <w:rFonts w:cs="Arial"/>
          <w:sz w:val="20"/>
        </w:rPr>
      </w:pPr>
      <w:r w:rsidRPr="00062301">
        <w:rPr>
          <w:rFonts w:cs="Arial"/>
          <w:sz w:val="20"/>
        </w:rPr>
        <w:t>For risk assessment purposes the Town has been divided into three levels of risk assessment context:</w:t>
      </w:r>
    </w:p>
    <w:p w14:paraId="21AF54E8" w14:textId="77777777" w:rsidR="002D6804" w:rsidRPr="001A7972" w:rsidRDefault="002D6804" w:rsidP="001A7972">
      <w:pPr>
        <w:pStyle w:val="BodyText"/>
        <w:spacing w:before="2" w:after="0"/>
        <w:rPr>
          <w:rFonts w:cs="Arial"/>
          <w:sz w:val="20"/>
        </w:rPr>
      </w:pPr>
    </w:p>
    <w:p w14:paraId="5E5909EB" w14:textId="77777777" w:rsidR="002D6804" w:rsidRPr="001A7972" w:rsidRDefault="002D6804" w:rsidP="002A3889">
      <w:pPr>
        <w:pStyle w:val="ListParagraph"/>
        <w:widowControl w:val="0"/>
        <w:numPr>
          <w:ilvl w:val="0"/>
          <w:numId w:val="460"/>
        </w:numPr>
        <w:tabs>
          <w:tab w:val="left" w:pos="700"/>
        </w:tabs>
        <w:autoSpaceDE w:val="0"/>
        <w:autoSpaceDN w:val="0"/>
        <w:spacing w:before="1" w:after="0" w:line="240" w:lineRule="auto"/>
        <w:ind w:hanging="362"/>
        <w:contextualSpacing w:val="0"/>
        <w:rPr>
          <w:rFonts w:ascii="Arial" w:hAnsi="Arial" w:cs="Arial"/>
          <w:sz w:val="20"/>
          <w:szCs w:val="20"/>
        </w:rPr>
      </w:pPr>
      <w:r w:rsidRPr="001A7972">
        <w:rPr>
          <w:rFonts w:ascii="Arial" w:hAnsi="Arial" w:cs="Arial"/>
          <w:color w:val="006F65"/>
          <w:sz w:val="20"/>
          <w:szCs w:val="20"/>
          <w:u w:val="single" w:color="006F65"/>
        </w:rPr>
        <w:t>Strategic</w:t>
      </w:r>
      <w:r w:rsidRPr="001A7972">
        <w:rPr>
          <w:rFonts w:ascii="Arial" w:hAnsi="Arial" w:cs="Arial"/>
          <w:color w:val="006F65"/>
          <w:spacing w:val="-2"/>
          <w:sz w:val="20"/>
          <w:szCs w:val="20"/>
          <w:u w:val="single" w:color="006F65"/>
        </w:rPr>
        <w:t xml:space="preserve"> </w:t>
      </w:r>
      <w:r w:rsidRPr="001A7972">
        <w:rPr>
          <w:rFonts w:ascii="Arial" w:hAnsi="Arial" w:cs="Arial"/>
          <w:color w:val="006F65"/>
          <w:sz w:val="20"/>
          <w:szCs w:val="20"/>
          <w:u w:val="single" w:color="006F65"/>
        </w:rPr>
        <w:t>Context</w:t>
      </w:r>
    </w:p>
    <w:p w14:paraId="18DE5AB5" w14:textId="77777777" w:rsidR="002D6804" w:rsidRPr="001A7972" w:rsidRDefault="002D6804" w:rsidP="002D6804">
      <w:pPr>
        <w:pStyle w:val="BodyText"/>
        <w:spacing w:before="120"/>
        <w:ind w:left="338" w:right="649"/>
        <w:rPr>
          <w:rFonts w:cs="Arial"/>
          <w:sz w:val="20"/>
        </w:rPr>
      </w:pPr>
      <w:r w:rsidRPr="001A7972">
        <w:rPr>
          <w:rFonts w:cs="Arial"/>
          <w:sz w:val="20"/>
        </w:rPr>
        <w:t xml:space="preserve">This constitutes the Town’s external environment and high-level direction. Inputs to establishing the strategic risk assessment environment may </w:t>
      </w:r>
      <w:proofErr w:type="gramStart"/>
      <w:r w:rsidRPr="001A7972">
        <w:rPr>
          <w:rFonts w:cs="Arial"/>
          <w:sz w:val="20"/>
        </w:rPr>
        <w:t>include;</w:t>
      </w:r>
      <w:proofErr w:type="gramEnd"/>
    </w:p>
    <w:p w14:paraId="254A9F88" w14:textId="77777777" w:rsidR="002D6804" w:rsidRPr="001A7972" w:rsidRDefault="002D6804" w:rsidP="002A3889">
      <w:pPr>
        <w:pStyle w:val="ListParagraph"/>
        <w:widowControl w:val="0"/>
        <w:numPr>
          <w:ilvl w:val="1"/>
          <w:numId w:val="460"/>
        </w:numPr>
        <w:tabs>
          <w:tab w:val="left" w:pos="1047"/>
          <w:tab w:val="left" w:pos="1048"/>
        </w:tabs>
        <w:autoSpaceDE w:val="0"/>
        <w:autoSpaceDN w:val="0"/>
        <w:spacing w:before="119" w:after="0" w:line="240" w:lineRule="auto"/>
        <w:ind w:hanging="361"/>
        <w:contextualSpacing w:val="0"/>
        <w:rPr>
          <w:rFonts w:ascii="Arial" w:hAnsi="Arial" w:cs="Arial"/>
          <w:sz w:val="20"/>
          <w:szCs w:val="20"/>
        </w:rPr>
      </w:pPr>
      <w:r w:rsidRPr="001A7972">
        <w:rPr>
          <w:rFonts w:ascii="Arial" w:hAnsi="Arial" w:cs="Arial"/>
          <w:sz w:val="20"/>
          <w:szCs w:val="20"/>
        </w:rPr>
        <w:t>Organisation’s</w:t>
      </w:r>
      <w:r w:rsidRPr="001A7972">
        <w:rPr>
          <w:rFonts w:ascii="Arial" w:hAnsi="Arial" w:cs="Arial"/>
          <w:spacing w:val="-7"/>
          <w:sz w:val="20"/>
          <w:szCs w:val="20"/>
        </w:rPr>
        <w:t xml:space="preserve"> </w:t>
      </w:r>
      <w:r w:rsidRPr="001A7972">
        <w:rPr>
          <w:rFonts w:ascii="Arial" w:hAnsi="Arial" w:cs="Arial"/>
          <w:sz w:val="20"/>
          <w:szCs w:val="20"/>
        </w:rPr>
        <w:t>Vision</w:t>
      </w:r>
    </w:p>
    <w:p w14:paraId="3AD6ECB6" w14:textId="77777777" w:rsidR="002D6804" w:rsidRPr="001A7972" w:rsidRDefault="002D6804" w:rsidP="002A3889">
      <w:pPr>
        <w:pStyle w:val="ListParagraph"/>
        <w:widowControl w:val="0"/>
        <w:numPr>
          <w:ilvl w:val="1"/>
          <w:numId w:val="460"/>
        </w:numPr>
        <w:tabs>
          <w:tab w:val="left" w:pos="1047"/>
          <w:tab w:val="left" w:pos="1048"/>
        </w:tabs>
        <w:autoSpaceDE w:val="0"/>
        <w:autoSpaceDN w:val="0"/>
        <w:spacing w:before="119" w:after="0" w:line="240" w:lineRule="auto"/>
        <w:ind w:hanging="361"/>
        <w:contextualSpacing w:val="0"/>
        <w:rPr>
          <w:rFonts w:ascii="Arial" w:hAnsi="Arial" w:cs="Arial"/>
          <w:sz w:val="20"/>
          <w:szCs w:val="20"/>
        </w:rPr>
      </w:pPr>
      <w:r w:rsidRPr="001A7972">
        <w:rPr>
          <w:rFonts w:ascii="Arial" w:hAnsi="Arial" w:cs="Arial"/>
          <w:sz w:val="20"/>
          <w:szCs w:val="20"/>
        </w:rPr>
        <w:t>Stakeholder</w:t>
      </w:r>
      <w:r w:rsidRPr="001A7972">
        <w:rPr>
          <w:rFonts w:ascii="Arial" w:hAnsi="Arial" w:cs="Arial"/>
          <w:spacing w:val="-3"/>
          <w:sz w:val="20"/>
          <w:szCs w:val="20"/>
        </w:rPr>
        <w:t xml:space="preserve"> </w:t>
      </w:r>
      <w:r w:rsidRPr="001A7972">
        <w:rPr>
          <w:rFonts w:ascii="Arial" w:hAnsi="Arial" w:cs="Arial"/>
          <w:sz w:val="20"/>
          <w:szCs w:val="20"/>
        </w:rPr>
        <w:t>Analysis</w:t>
      </w:r>
    </w:p>
    <w:p w14:paraId="6243E6D2" w14:textId="77777777" w:rsidR="002D6804" w:rsidRPr="001A7972" w:rsidRDefault="002D6804" w:rsidP="002A3889">
      <w:pPr>
        <w:pStyle w:val="ListParagraph"/>
        <w:widowControl w:val="0"/>
        <w:numPr>
          <w:ilvl w:val="1"/>
          <w:numId w:val="460"/>
        </w:numPr>
        <w:tabs>
          <w:tab w:val="left" w:pos="1047"/>
          <w:tab w:val="left" w:pos="1048"/>
        </w:tabs>
        <w:autoSpaceDE w:val="0"/>
        <w:autoSpaceDN w:val="0"/>
        <w:spacing w:before="118" w:after="0" w:line="240" w:lineRule="auto"/>
        <w:ind w:hanging="361"/>
        <w:contextualSpacing w:val="0"/>
        <w:rPr>
          <w:rFonts w:ascii="Arial" w:hAnsi="Arial" w:cs="Arial"/>
          <w:sz w:val="20"/>
          <w:szCs w:val="20"/>
        </w:rPr>
      </w:pPr>
      <w:r w:rsidRPr="001A7972">
        <w:rPr>
          <w:rFonts w:ascii="Arial" w:hAnsi="Arial" w:cs="Arial"/>
          <w:sz w:val="20"/>
          <w:szCs w:val="20"/>
        </w:rPr>
        <w:t>Environment Scan / SWOT</w:t>
      </w:r>
      <w:r w:rsidRPr="001A7972">
        <w:rPr>
          <w:rFonts w:ascii="Arial" w:hAnsi="Arial" w:cs="Arial"/>
          <w:spacing w:val="-5"/>
          <w:sz w:val="20"/>
          <w:szCs w:val="20"/>
        </w:rPr>
        <w:t xml:space="preserve"> </w:t>
      </w:r>
      <w:r w:rsidRPr="001A7972">
        <w:rPr>
          <w:rFonts w:ascii="Arial" w:hAnsi="Arial" w:cs="Arial"/>
          <w:sz w:val="20"/>
          <w:szCs w:val="20"/>
        </w:rPr>
        <w:t>Analysis</w:t>
      </w:r>
    </w:p>
    <w:p w14:paraId="61FAE4EC" w14:textId="77777777" w:rsidR="002D6804" w:rsidRPr="001A7972" w:rsidRDefault="002D6804" w:rsidP="002A3889">
      <w:pPr>
        <w:pStyle w:val="ListParagraph"/>
        <w:widowControl w:val="0"/>
        <w:numPr>
          <w:ilvl w:val="1"/>
          <w:numId w:val="460"/>
        </w:numPr>
        <w:tabs>
          <w:tab w:val="left" w:pos="1047"/>
          <w:tab w:val="left" w:pos="1048"/>
        </w:tabs>
        <w:autoSpaceDE w:val="0"/>
        <w:autoSpaceDN w:val="0"/>
        <w:spacing w:before="119" w:after="0" w:line="240" w:lineRule="auto"/>
        <w:ind w:hanging="361"/>
        <w:contextualSpacing w:val="0"/>
        <w:rPr>
          <w:rFonts w:ascii="Arial" w:hAnsi="Arial" w:cs="Arial"/>
          <w:sz w:val="20"/>
          <w:szCs w:val="20"/>
        </w:rPr>
      </w:pPr>
      <w:r w:rsidRPr="001A7972">
        <w:rPr>
          <w:rFonts w:ascii="Arial" w:hAnsi="Arial" w:cs="Arial"/>
          <w:sz w:val="20"/>
          <w:szCs w:val="20"/>
        </w:rPr>
        <w:t>Existing Strategies / Objectives /</w:t>
      </w:r>
      <w:r w:rsidRPr="001A7972">
        <w:rPr>
          <w:rFonts w:ascii="Arial" w:hAnsi="Arial" w:cs="Arial"/>
          <w:spacing w:val="-5"/>
          <w:sz w:val="20"/>
          <w:szCs w:val="20"/>
        </w:rPr>
        <w:t xml:space="preserve"> </w:t>
      </w:r>
      <w:r w:rsidRPr="001A7972">
        <w:rPr>
          <w:rFonts w:ascii="Arial" w:hAnsi="Arial" w:cs="Arial"/>
          <w:sz w:val="20"/>
          <w:szCs w:val="20"/>
        </w:rPr>
        <w:t>Goals</w:t>
      </w:r>
    </w:p>
    <w:p w14:paraId="712D1B61" w14:textId="77777777" w:rsidR="002D6804" w:rsidRDefault="002D6804" w:rsidP="002D6804">
      <w:pPr>
        <w:rPr>
          <w:sz w:val="20"/>
        </w:rPr>
        <w:sectPr w:rsidR="002D6804">
          <w:footerReference w:type="default" r:id="rId106"/>
          <w:pgSz w:w="11910" w:h="16840"/>
          <w:pgMar w:top="560" w:right="840" w:bottom="860" w:left="1080" w:header="0" w:footer="670" w:gutter="0"/>
          <w:cols w:space="720"/>
        </w:sectPr>
      </w:pPr>
    </w:p>
    <w:p w14:paraId="5974714C" w14:textId="77777777" w:rsidR="002D6804" w:rsidRPr="001A7972" w:rsidRDefault="002D6804" w:rsidP="002A3889">
      <w:pPr>
        <w:pStyle w:val="ListParagraph"/>
        <w:widowControl w:val="0"/>
        <w:numPr>
          <w:ilvl w:val="0"/>
          <w:numId w:val="460"/>
        </w:numPr>
        <w:tabs>
          <w:tab w:val="left" w:pos="699"/>
        </w:tabs>
        <w:autoSpaceDE w:val="0"/>
        <w:autoSpaceDN w:val="0"/>
        <w:spacing w:before="94" w:after="0" w:line="240" w:lineRule="auto"/>
        <w:ind w:left="698"/>
        <w:contextualSpacing w:val="0"/>
        <w:rPr>
          <w:rFonts w:ascii="Arial" w:hAnsi="Arial" w:cs="Arial"/>
          <w:sz w:val="20"/>
          <w:szCs w:val="20"/>
        </w:rPr>
      </w:pPr>
      <w:r w:rsidRPr="001A7972">
        <w:rPr>
          <w:rFonts w:ascii="Arial" w:hAnsi="Arial" w:cs="Arial"/>
          <w:color w:val="006F65"/>
          <w:sz w:val="20"/>
          <w:szCs w:val="20"/>
          <w:u w:val="single" w:color="006F65"/>
        </w:rPr>
        <w:lastRenderedPageBreak/>
        <w:t>Operational</w:t>
      </w:r>
      <w:r w:rsidRPr="001A7972">
        <w:rPr>
          <w:rFonts w:ascii="Arial" w:hAnsi="Arial" w:cs="Arial"/>
          <w:color w:val="006F65"/>
          <w:spacing w:val="-3"/>
          <w:sz w:val="20"/>
          <w:szCs w:val="20"/>
          <w:u w:val="single" w:color="006F65"/>
        </w:rPr>
        <w:t xml:space="preserve"> </w:t>
      </w:r>
      <w:r w:rsidRPr="001A7972">
        <w:rPr>
          <w:rFonts w:ascii="Arial" w:hAnsi="Arial" w:cs="Arial"/>
          <w:color w:val="006F65"/>
          <w:sz w:val="20"/>
          <w:szCs w:val="20"/>
          <w:u w:val="single" w:color="006F65"/>
        </w:rPr>
        <w:t>Context</w:t>
      </w:r>
    </w:p>
    <w:p w14:paraId="632B4820" w14:textId="77777777" w:rsidR="002D6804" w:rsidRPr="001A7972" w:rsidRDefault="002D6804" w:rsidP="002D6804">
      <w:pPr>
        <w:pStyle w:val="BodyText"/>
        <w:spacing w:before="121"/>
        <w:ind w:left="338" w:right="288" w:hanging="1"/>
        <w:jc w:val="both"/>
        <w:rPr>
          <w:rFonts w:cs="Arial"/>
          <w:sz w:val="20"/>
        </w:rPr>
      </w:pPr>
      <w:r w:rsidRPr="001A7972">
        <w:rPr>
          <w:rFonts w:cs="Arial"/>
          <w:sz w:val="20"/>
        </w:rPr>
        <w:t xml:space="preserve">The </w:t>
      </w:r>
      <w:proofErr w:type="gramStart"/>
      <w:r w:rsidRPr="001A7972">
        <w:rPr>
          <w:rFonts w:cs="Arial"/>
          <w:sz w:val="20"/>
        </w:rPr>
        <w:t>Town’s day</w:t>
      </w:r>
      <w:proofErr w:type="gramEnd"/>
      <w:r w:rsidRPr="001A7972">
        <w:rPr>
          <w:rFonts w:cs="Arial"/>
          <w:sz w:val="20"/>
        </w:rPr>
        <w:t xml:space="preserve"> to day activities, functions, infrastructure and services. Prior to identifying operational risks, the operational area should identify its Key Activities i.e. what is trying to be achieved. Note: these may already be documented in business plans, budgets etc.</w:t>
      </w:r>
    </w:p>
    <w:p w14:paraId="0E7AD376" w14:textId="77777777" w:rsidR="002D6804" w:rsidRPr="001A7972" w:rsidRDefault="002D6804" w:rsidP="002D6804">
      <w:pPr>
        <w:pStyle w:val="BodyText"/>
        <w:spacing w:before="3"/>
        <w:rPr>
          <w:rFonts w:cs="Arial"/>
          <w:sz w:val="20"/>
        </w:rPr>
      </w:pPr>
    </w:p>
    <w:p w14:paraId="190F158F" w14:textId="77777777" w:rsidR="002D6804" w:rsidRPr="001A7972" w:rsidRDefault="002D6804" w:rsidP="002A3889">
      <w:pPr>
        <w:pStyle w:val="ListParagraph"/>
        <w:widowControl w:val="0"/>
        <w:numPr>
          <w:ilvl w:val="0"/>
          <w:numId w:val="460"/>
        </w:numPr>
        <w:tabs>
          <w:tab w:val="left" w:pos="700"/>
        </w:tabs>
        <w:autoSpaceDE w:val="0"/>
        <w:autoSpaceDN w:val="0"/>
        <w:spacing w:after="0" w:line="240" w:lineRule="auto"/>
        <w:ind w:hanging="362"/>
        <w:contextualSpacing w:val="0"/>
        <w:rPr>
          <w:rFonts w:ascii="Arial" w:hAnsi="Arial" w:cs="Arial"/>
          <w:sz w:val="20"/>
          <w:szCs w:val="20"/>
        </w:rPr>
      </w:pPr>
      <w:r w:rsidRPr="001A7972">
        <w:rPr>
          <w:rFonts w:ascii="Arial" w:hAnsi="Arial" w:cs="Arial"/>
          <w:color w:val="006F65"/>
          <w:sz w:val="20"/>
          <w:szCs w:val="20"/>
          <w:u w:val="single" w:color="006F65"/>
        </w:rPr>
        <w:t>Project</w:t>
      </w:r>
      <w:r w:rsidRPr="001A7972">
        <w:rPr>
          <w:rFonts w:ascii="Arial" w:hAnsi="Arial" w:cs="Arial"/>
          <w:color w:val="006F65"/>
          <w:spacing w:val="-1"/>
          <w:sz w:val="20"/>
          <w:szCs w:val="20"/>
          <w:u w:val="single" w:color="006F65"/>
        </w:rPr>
        <w:t xml:space="preserve"> </w:t>
      </w:r>
      <w:r w:rsidRPr="001A7972">
        <w:rPr>
          <w:rFonts w:ascii="Arial" w:hAnsi="Arial" w:cs="Arial"/>
          <w:color w:val="006F65"/>
          <w:sz w:val="20"/>
          <w:szCs w:val="20"/>
          <w:u w:val="single" w:color="006F65"/>
        </w:rPr>
        <w:t>Context</w:t>
      </w:r>
    </w:p>
    <w:p w14:paraId="72BAD18F" w14:textId="77777777" w:rsidR="002D6804" w:rsidRPr="001A7972" w:rsidRDefault="002D6804" w:rsidP="002D6804">
      <w:pPr>
        <w:pStyle w:val="BodyText"/>
        <w:spacing w:before="119"/>
        <w:ind w:left="338"/>
        <w:jc w:val="both"/>
        <w:rPr>
          <w:rFonts w:cs="Arial"/>
          <w:sz w:val="20"/>
        </w:rPr>
      </w:pPr>
      <w:r w:rsidRPr="001A7972">
        <w:rPr>
          <w:rFonts w:cs="Arial"/>
          <w:sz w:val="20"/>
        </w:rPr>
        <w:t>Project Risk has two main components:</w:t>
      </w:r>
    </w:p>
    <w:p w14:paraId="04064726" w14:textId="77777777" w:rsidR="002D6804" w:rsidRPr="001A7972" w:rsidRDefault="002D6804" w:rsidP="002A3889">
      <w:pPr>
        <w:pStyle w:val="ListParagraph"/>
        <w:widowControl w:val="0"/>
        <w:numPr>
          <w:ilvl w:val="1"/>
          <w:numId w:val="460"/>
        </w:numPr>
        <w:tabs>
          <w:tab w:val="left" w:pos="1047"/>
          <w:tab w:val="left" w:pos="1048"/>
        </w:tabs>
        <w:autoSpaceDE w:val="0"/>
        <w:autoSpaceDN w:val="0"/>
        <w:spacing w:before="121" w:after="0" w:line="240" w:lineRule="auto"/>
        <w:ind w:right="288" w:hanging="358"/>
        <w:contextualSpacing w:val="0"/>
        <w:rPr>
          <w:rFonts w:ascii="Arial" w:hAnsi="Arial" w:cs="Arial"/>
          <w:sz w:val="20"/>
          <w:szCs w:val="20"/>
        </w:rPr>
      </w:pPr>
      <w:r w:rsidRPr="001A7972">
        <w:rPr>
          <w:rFonts w:ascii="Arial" w:hAnsi="Arial" w:cs="Arial"/>
          <w:b/>
          <w:sz w:val="20"/>
          <w:szCs w:val="20"/>
        </w:rPr>
        <w:t xml:space="preserve">Direct </w:t>
      </w:r>
      <w:r w:rsidRPr="001A7972">
        <w:rPr>
          <w:rFonts w:ascii="Arial" w:hAnsi="Arial" w:cs="Arial"/>
          <w:sz w:val="20"/>
          <w:szCs w:val="20"/>
        </w:rPr>
        <w:t xml:space="preserve">refers to the risks that may arise </w:t>
      </w:r>
      <w:proofErr w:type="gramStart"/>
      <w:r w:rsidRPr="001A7972">
        <w:rPr>
          <w:rFonts w:ascii="Arial" w:hAnsi="Arial" w:cs="Arial"/>
          <w:sz w:val="20"/>
          <w:szCs w:val="20"/>
        </w:rPr>
        <w:t>as a result of</w:t>
      </w:r>
      <w:proofErr w:type="gramEnd"/>
      <w:r w:rsidRPr="001A7972">
        <w:rPr>
          <w:rFonts w:ascii="Arial" w:hAnsi="Arial" w:cs="Arial"/>
          <w:sz w:val="20"/>
          <w:szCs w:val="20"/>
        </w:rPr>
        <w:t xml:space="preserve"> project activity (i.e. impacting on current or future</w:t>
      </w:r>
      <w:r w:rsidRPr="001A7972">
        <w:rPr>
          <w:rFonts w:ascii="Arial" w:hAnsi="Arial" w:cs="Arial"/>
          <w:spacing w:val="-4"/>
          <w:sz w:val="20"/>
          <w:szCs w:val="20"/>
        </w:rPr>
        <w:t xml:space="preserve"> </w:t>
      </w:r>
      <w:r w:rsidRPr="001A7972">
        <w:rPr>
          <w:rFonts w:ascii="Arial" w:hAnsi="Arial" w:cs="Arial"/>
          <w:sz w:val="20"/>
          <w:szCs w:val="20"/>
        </w:rPr>
        <w:t>process,</w:t>
      </w:r>
      <w:r w:rsidRPr="001A7972">
        <w:rPr>
          <w:rFonts w:ascii="Arial" w:hAnsi="Arial" w:cs="Arial"/>
          <w:spacing w:val="-4"/>
          <w:sz w:val="20"/>
          <w:szCs w:val="20"/>
        </w:rPr>
        <w:t xml:space="preserve"> </w:t>
      </w:r>
      <w:r w:rsidRPr="001A7972">
        <w:rPr>
          <w:rFonts w:ascii="Arial" w:hAnsi="Arial" w:cs="Arial"/>
          <w:sz w:val="20"/>
          <w:szCs w:val="20"/>
        </w:rPr>
        <w:t>resources</w:t>
      </w:r>
      <w:r w:rsidRPr="001A7972">
        <w:rPr>
          <w:rFonts w:ascii="Arial" w:hAnsi="Arial" w:cs="Arial"/>
          <w:spacing w:val="-4"/>
          <w:sz w:val="20"/>
          <w:szCs w:val="20"/>
        </w:rPr>
        <w:t xml:space="preserve"> </w:t>
      </w:r>
      <w:r w:rsidRPr="001A7972">
        <w:rPr>
          <w:rFonts w:ascii="Arial" w:hAnsi="Arial" w:cs="Arial"/>
          <w:sz w:val="20"/>
          <w:szCs w:val="20"/>
        </w:rPr>
        <w:t>or</w:t>
      </w:r>
      <w:r w:rsidRPr="001A7972">
        <w:rPr>
          <w:rFonts w:ascii="Arial" w:hAnsi="Arial" w:cs="Arial"/>
          <w:spacing w:val="-4"/>
          <w:sz w:val="20"/>
          <w:szCs w:val="20"/>
        </w:rPr>
        <w:t xml:space="preserve"> </w:t>
      </w:r>
      <w:r w:rsidRPr="001A7972">
        <w:rPr>
          <w:rFonts w:ascii="Arial" w:hAnsi="Arial" w:cs="Arial"/>
          <w:sz w:val="20"/>
          <w:szCs w:val="20"/>
        </w:rPr>
        <w:t>IT</w:t>
      </w:r>
      <w:r w:rsidRPr="001A7972">
        <w:rPr>
          <w:rFonts w:ascii="Arial" w:hAnsi="Arial" w:cs="Arial"/>
          <w:spacing w:val="-2"/>
          <w:sz w:val="20"/>
          <w:szCs w:val="20"/>
        </w:rPr>
        <w:t xml:space="preserve"> </w:t>
      </w:r>
      <w:r w:rsidRPr="001A7972">
        <w:rPr>
          <w:rFonts w:ascii="Arial" w:hAnsi="Arial" w:cs="Arial"/>
          <w:sz w:val="20"/>
          <w:szCs w:val="20"/>
        </w:rPr>
        <w:t>systems)</w:t>
      </w:r>
      <w:r w:rsidRPr="001A7972">
        <w:rPr>
          <w:rFonts w:ascii="Arial" w:hAnsi="Arial" w:cs="Arial"/>
          <w:spacing w:val="-3"/>
          <w:sz w:val="20"/>
          <w:szCs w:val="20"/>
        </w:rPr>
        <w:t xml:space="preserve"> </w:t>
      </w:r>
      <w:r w:rsidRPr="001A7972">
        <w:rPr>
          <w:rFonts w:ascii="Arial" w:hAnsi="Arial" w:cs="Arial"/>
          <w:sz w:val="20"/>
          <w:szCs w:val="20"/>
        </w:rPr>
        <w:t>which</w:t>
      </w:r>
      <w:r w:rsidRPr="001A7972">
        <w:rPr>
          <w:rFonts w:ascii="Arial" w:hAnsi="Arial" w:cs="Arial"/>
          <w:spacing w:val="-4"/>
          <w:sz w:val="20"/>
          <w:szCs w:val="20"/>
        </w:rPr>
        <w:t xml:space="preserve"> </w:t>
      </w:r>
      <w:r w:rsidRPr="001A7972">
        <w:rPr>
          <w:rFonts w:ascii="Arial" w:hAnsi="Arial" w:cs="Arial"/>
          <w:sz w:val="20"/>
          <w:szCs w:val="20"/>
        </w:rPr>
        <w:t>may</w:t>
      </w:r>
      <w:r w:rsidRPr="001A7972">
        <w:rPr>
          <w:rFonts w:ascii="Arial" w:hAnsi="Arial" w:cs="Arial"/>
          <w:spacing w:val="-5"/>
          <w:sz w:val="20"/>
          <w:szCs w:val="20"/>
        </w:rPr>
        <w:t xml:space="preserve"> </w:t>
      </w:r>
      <w:r w:rsidRPr="001A7972">
        <w:rPr>
          <w:rFonts w:ascii="Arial" w:hAnsi="Arial" w:cs="Arial"/>
          <w:sz w:val="20"/>
          <w:szCs w:val="20"/>
        </w:rPr>
        <w:t>prevent</w:t>
      </w:r>
      <w:r w:rsidRPr="001A7972">
        <w:rPr>
          <w:rFonts w:ascii="Arial" w:hAnsi="Arial" w:cs="Arial"/>
          <w:spacing w:val="-4"/>
          <w:sz w:val="20"/>
          <w:szCs w:val="20"/>
        </w:rPr>
        <w:t xml:space="preserve"> </w:t>
      </w:r>
      <w:r w:rsidRPr="001A7972">
        <w:rPr>
          <w:rFonts w:ascii="Arial" w:hAnsi="Arial" w:cs="Arial"/>
          <w:sz w:val="20"/>
          <w:szCs w:val="20"/>
        </w:rPr>
        <w:t>the</w:t>
      </w:r>
      <w:r w:rsidRPr="001A7972">
        <w:rPr>
          <w:rFonts w:ascii="Arial" w:hAnsi="Arial" w:cs="Arial"/>
          <w:spacing w:val="-3"/>
          <w:sz w:val="20"/>
          <w:szCs w:val="20"/>
        </w:rPr>
        <w:t xml:space="preserve"> </w:t>
      </w:r>
      <w:r w:rsidRPr="001A7972">
        <w:rPr>
          <w:rFonts w:ascii="Arial" w:hAnsi="Arial" w:cs="Arial"/>
          <w:sz w:val="20"/>
          <w:szCs w:val="20"/>
        </w:rPr>
        <w:t>Town</w:t>
      </w:r>
      <w:r w:rsidRPr="001A7972">
        <w:rPr>
          <w:rFonts w:ascii="Arial" w:hAnsi="Arial" w:cs="Arial"/>
          <w:spacing w:val="-4"/>
          <w:sz w:val="20"/>
          <w:szCs w:val="20"/>
        </w:rPr>
        <w:t xml:space="preserve"> </w:t>
      </w:r>
      <w:r w:rsidRPr="001A7972">
        <w:rPr>
          <w:rFonts w:ascii="Arial" w:hAnsi="Arial" w:cs="Arial"/>
          <w:sz w:val="20"/>
          <w:szCs w:val="20"/>
        </w:rPr>
        <w:t>from</w:t>
      </w:r>
      <w:r w:rsidRPr="001A7972">
        <w:rPr>
          <w:rFonts w:ascii="Arial" w:hAnsi="Arial" w:cs="Arial"/>
          <w:spacing w:val="-4"/>
          <w:sz w:val="20"/>
          <w:szCs w:val="20"/>
        </w:rPr>
        <w:t xml:space="preserve"> </w:t>
      </w:r>
      <w:r w:rsidRPr="001A7972">
        <w:rPr>
          <w:rFonts w:ascii="Arial" w:hAnsi="Arial" w:cs="Arial"/>
          <w:sz w:val="20"/>
          <w:szCs w:val="20"/>
        </w:rPr>
        <w:t>meeting</w:t>
      </w:r>
      <w:r w:rsidRPr="001A7972">
        <w:rPr>
          <w:rFonts w:ascii="Arial" w:hAnsi="Arial" w:cs="Arial"/>
          <w:spacing w:val="-4"/>
          <w:sz w:val="20"/>
          <w:szCs w:val="20"/>
        </w:rPr>
        <w:t xml:space="preserve"> </w:t>
      </w:r>
      <w:r w:rsidRPr="001A7972">
        <w:rPr>
          <w:rFonts w:ascii="Arial" w:hAnsi="Arial" w:cs="Arial"/>
          <w:sz w:val="20"/>
          <w:szCs w:val="20"/>
        </w:rPr>
        <w:t>its</w:t>
      </w:r>
      <w:r w:rsidRPr="001A7972">
        <w:rPr>
          <w:rFonts w:ascii="Arial" w:hAnsi="Arial" w:cs="Arial"/>
          <w:spacing w:val="-3"/>
          <w:sz w:val="20"/>
          <w:szCs w:val="20"/>
        </w:rPr>
        <w:t xml:space="preserve"> </w:t>
      </w:r>
      <w:r w:rsidRPr="001A7972">
        <w:rPr>
          <w:rFonts w:ascii="Arial" w:hAnsi="Arial" w:cs="Arial"/>
          <w:sz w:val="20"/>
          <w:szCs w:val="20"/>
        </w:rPr>
        <w:t>objectives</w:t>
      </w:r>
    </w:p>
    <w:p w14:paraId="7FE43B5E" w14:textId="77777777" w:rsidR="002D6804" w:rsidRPr="001A7972" w:rsidRDefault="002D6804" w:rsidP="002A3889">
      <w:pPr>
        <w:pStyle w:val="ListParagraph"/>
        <w:widowControl w:val="0"/>
        <w:numPr>
          <w:ilvl w:val="1"/>
          <w:numId w:val="460"/>
        </w:numPr>
        <w:tabs>
          <w:tab w:val="left" w:pos="1047"/>
          <w:tab w:val="left" w:pos="1048"/>
        </w:tabs>
        <w:autoSpaceDE w:val="0"/>
        <w:autoSpaceDN w:val="0"/>
        <w:spacing w:before="119" w:after="0" w:line="240" w:lineRule="auto"/>
        <w:ind w:hanging="361"/>
        <w:contextualSpacing w:val="0"/>
        <w:rPr>
          <w:rFonts w:ascii="Arial" w:hAnsi="Arial" w:cs="Arial"/>
          <w:sz w:val="20"/>
          <w:szCs w:val="20"/>
        </w:rPr>
      </w:pPr>
      <w:r w:rsidRPr="001A7972">
        <w:rPr>
          <w:rFonts w:ascii="Arial" w:hAnsi="Arial" w:cs="Arial"/>
          <w:b/>
          <w:sz w:val="20"/>
          <w:szCs w:val="20"/>
        </w:rPr>
        <w:t xml:space="preserve">Indirect </w:t>
      </w:r>
      <w:r w:rsidRPr="001A7972">
        <w:rPr>
          <w:rFonts w:ascii="Arial" w:hAnsi="Arial" w:cs="Arial"/>
          <w:sz w:val="20"/>
          <w:szCs w:val="20"/>
        </w:rPr>
        <w:t>refers to the risks which threaten the delivery of project</w:t>
      </w:r>
      <w:r w:rsidRPr="001A7972">
        <w:rPr>
          <w:rFonts w:ascii="Arial" w:hAnsi="Arial" w:cs="Arial"/>
          <w:spacing w:val="-13"/>
          <w:sz w:val="20"/>
          <w:szCs w:val="20"/>
        </w:rPr>
        <w:t xml:space="preserve"> </w:t>
      </w:r>
      <w:r w:rsidRPr="001A7972">
        <w:rPr>
          <w:rFonts w:ascii="Arial" w:hAnsi="Arial" w:cs="Arial"/>
          <w:sz w:val="20"/>
          <w:szCs w:val="20"/>
        </w:rPr>
        <w:t>outcomes.</w:t>
      </w:r>
    </w:p>
    <w:p w14:paraId="71C678AF" w14:textId="77777777" w:rsidR="002D6804" w:rsidRPr="001A7972" w:rsidRDefault="002D6804" w:rsidP="002D6804">
      <w:pPr>
        <w:pStyle w:val="BodyText"/>
        <w:spacing w:before="7"/>
        <w:rPr>
          <w:rFonts w:cs="Arial"/>
          <w:sz w:val="20"/>
        </w:rPr>
      </w:pPr>
    </w:p>
    <w:p w14:paraId="6610D55F" w14:textId="77777777" w:rsidR="002D6804" w:rsidRPr="001A7972" w:rsidRDefault="002D6804" w:rsidP="002D6804">
      <w:pPr>
        <w:pStyle w:val="BodyText"/>
        <w:ind w:left="338" w:right="289"/>
        <w:jc w:val="both"/>
        <w:rPr>
          <w:rFonts w:cs="Arial"/>
          <w:sz w:val="20"/>
        </w:rPr>
      </w:pPr>
      <w:r w:rsidRPr="001A7972">
        <w:rPr>
          <w:rFonts w:cs="Arial"/>
          <w:sz w:val="20"/>
        </w:rPr>
        <w:t>In addition to understanding what is to be assessed, it is also important to understand who are the key stakeholders or areas of expertise that may need to be included within the risk assessment.</w:t>
      </w:r>
    </w:p>
    <w:p w14:paraId="2ED68AD5" w14:textId="77777777" w:rsidR="002D6804" w:rsidRPr="001A7972" w:rsidRDefault="002D6804" w:rsidP="002D6804">
      <w:pPr>
        <w:pStyle w:val="BodyText"/>
        <w:spacing w:before="6"/>
        <w:rPr>
          <w:rFonts w:cs="Arial"/>
          <w:sz w:val="20"/>
        </w:rPr>
      </w:pPr>
    </w:p>
    <w:p w14:paraId="7798E7BD" w14:textId="77777777" w:rsidR="002D6804" w:rsidRPr="001A7972" w:rsidRDefault="002D6804" w:rsidP="001A7972">
      <w:pPr>
        <w:pStyle w:val="Heading4"/>
        <w:ind w:left="426"/>
        <w:jc w:val="both"/>
        <w:rPr>
          <w:rFonts w:ascii="Arial" w:hAnsi="Arial" w:cs="Arial"/>
          <w:b/>
          <w:bCs/>
          <w:i w:val="0"/>
          <w:iCs w:val="0"/>
          <w:sz w:val="20"/>
          <w:szCs w:val="20"/>
        </w:rPr>
      </w:pPr>
      <w:r w:rsidRPr="001A7972">
        <w:rPr>
          <w:rFonts w:ascii="Arial" w:hAnsi="Arial" w:cs="Arial"/>
          <w:b/>
          <w:bCs/>
          <w:i w:val="0"/>
          <w:iCs w:val="0"/>
          <w:color w:val="006F65"/>
          <w:sz w:val="20"/>
          <w:szCs w:val="20"/>
          <w:u w:val="thick" w:color="006F65"/>
        </w:rPr>
        <w:t>B: Risk Identification</w:t>
      </w:r>
    </w:p>
    <w:p w14:paraId="3FFF401C" w14:textId="77777777" w:rsidR="002D6804" w:rsidRPr="001A7972" w:rsidRDefault="002D6804" w:rsidP="002D6804">
      <w:pPr>
        <w:pStyle w:val="BodyText"/>
        <w:spacing w:before="118"/>
        <w:ind w:left="338" w:right="233"/>
        <w:rPr>
          <w:rFonts w:cs="Arial"/>
          <w:sz w:val="20"/>
        </w:rPr>
      </w:pPr>
      <w:r w:rsidRPr="001A7972">
        <w:rPr>
          <w:rFonts w:cs="Arial"/>
          <w:sz w:val="20"/>
        </w:rPr>
        <w:t>Using the specific risk assessment context as the foundation, and in conjunction with relevant stakeholders, answer the following questions, capture and review the information within each Risk Profile.</w:t>
      </w:r>
    </w:p>
    <w:p w14:paraId="3E4B5527"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20" w:after="0" w:line="240" w:lineRule="auto"/>
        <w:ind w:left="1058" w:hanging="361"/>
        <w:contextualSpacing w:val="0"/>
        <w:rPr>
          <w:rFonts w:ascii="Arial" w:hAnsi="Arial" w:cs="Arial"/>
          <w:sz w:val="20"/>
          <w:szCs w:val="20"/>
        </w:rPr>
      </w:pPr>
      <w:r w:rsidRPr="001A7972">
        <w:rPr>
          <w:rFonts w:ascii="Arial" w:hAnsi="Arial" w:cs="Arial"/>
          <w:sz w:val="20"/>
          <w:szCs w:val="20"/>
        </w:rPr>
        <w:t>What can go wrong? / What are areas of uncertainty? (Risk</w:t>
      </w:r>
      <w:r w:rsidRPr="001A7972">
        <w:rPr>
          <w:rFonts w:ascii="Arial" w:hAnsi="Arial" w:cs="Arial"/>
          <w:spacing w:val="-17"/>
          <w:sz w:val="20"/>
          <w:szCs w:val="20"/>
        </w:rPr>
        <w:t xml:space="preserve"> </w:t>
      </w:r>
      <w:r w:rsidRPr="001A7972">
        <w:rPr>
          <w:rFonts w:ascii="Arial" w:hAnsi="Arial" w:cs="Arial"/>
          <w:sz w:val="20"/>
          <w:szCs w:val="20"/>
        </w:rPr>
        <w:t>Description)</w:t>
      </w:r>
    </w:p>
    <w:p w14:paraId="6B0E90FB"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A7972">
        <w:rPr>
          <w:rFonts w:ascii="Arial" w:hAnsi="Arial" w:cs="Arial"/>
          <w:sz w:val="20"/>
          <w:szCs w:val="20"/>
        </w:rPr>
        <w:t>How could this risk eventuate? (Potential</w:t>
      </w:r>
      <w:r w:rsidRPr="001A7972">
        <w:rPr>
          <w:rFonts w:ascii="Arial" w:hAnsi="Arial" w:cs="Arial"/>
          <w:spacing w:val="-6"/>
          <w:sz w:val="20"/>
          <w:szCs w:val="20"/>
        </w:rPr>
        <w:t xml:space="preserve"> </w:t>
      </w:r>
      <w:r w:rsidRPr="001A7972">
        <w:rPr>
          <w:rFonts w:ascii="Arial" w:hAnsi="Arial" w:cs="Arial"/>
          <w:sz w:val="20"/>
          <w:szCs w:val="20"/>
        </w:rPr>
        <w:t>Causes)</w:t>
      </w:r>
    </w:p>
    <w:p w14:paraId="28DCE8E4"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7" w:after="0" w:line="240" w:lineRule="auto"/>
        <w:ind w:left="1058" w:hanging="361"/>
        <w:contextualSpacing w:val="0"/>
        <w:rPr>
          <w:rFonts w:ascii="Arial" w:hAnsi="Arial" w:cs="Arial"/>
          <w:sz w:val="20"/>
          <w:szCs w:val="20"/>
        </w:rPr>
      </w:pPr>
      <w:r w:rsidRPr="001A7972">
        <w:rPr>
          <w:rFonts w:ascii="Arial" w:hAnsi="Arial" w:cs="Arial"/>
          <w:sz w:val="20"/>
          <w:szCs w:val="20"/>
        </w:rPr>
        <w:t>What are the current measurable activities that mitigate this risk from eventuating?</w:t>
      </w:r>
      <w:r w:rsidRPr="001A7972">
        <w:rPr>
          <w:rFonts w:ascii="Arial" w:hAnsi="Arial" w:cs="Arial"/>
          <w:spacing w:val="-34"/>
          <w:sz w:val="20"/>
          <w:szCs w:val="20"/>
        </w:rPr>
        <w:t xml:space="preserve"> </w:t>
      </w:r>
      <w:r w:rsidRPr="001A7972">
        <w:rPr>
          <w:rFonts w:ascii="Arial" w:hAnsi="Arial" w:cs="Arial"/>
          <w:sz w:val="20"/>
          <w:szCs w:val="20"/>
        </w:rPr>
        <w:t>(Controls)</w:t>
      </w:r>
    </w:p>
    <w:p w14:paraId="3DDF4879"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A7972">
        <w:rPr>
          <w:rFonts w:ascii="Arial" w:hAnsi="Arial" w:cs="Arial"/>
          <w:sz w:val="20"/>
          <w:szCs w:val="20"/>
        </w:rPr>
        <w:t>What are the potential consequential outcomes of the risk eventuating?</w:t>
      </w:r>
      <w:r w:rsidRPr="001A7972">
        <w:rPr>
          <w:rFonts w:ascii="Arial" w:hAnsi="Arial" w:cs="Arial"/>
          <w:spacing w:val="-23"/>
          <w:sz w:val="20"/>
          <w:szCs w:val="20"/>
        </w:rPr>
        <w:t xml:space="preserve"> </w:t>
      </w:r>
      <w:r w:rsidRPr="001A7972">
        <w:rPr>
          <w:rFonts w:ascii="Arial" w:hAnsi="Arial" w:cs="Arial"/>
          <w:sz w:val="20"/>
          <w:szCs w:val="20"/>
        </w:rPr>
        <w:t>(Consequences)</w:t>
      </w:r>
    </w:p>
    <w:p w14:paraId="39EC1509" w14:textId="77777777" w:rsidR="002D6804" w:rsidRPr="001A7972" w:rsidRDefault="002D6804" w:rsidP="002D6804">
      <w:pPr>
        <w:pStyle w:val="BodyText"/>
        <w:spacing w:before="10"/>
        <w:rPr>
          <w:rFonts w:cs="Arial"/>
          <w:sz w:val="20"/>
        </w:rPr>
      </w:pPr>
    </w:p>
    <w:p w14:paraId="30EFD442" w14:textId="77777777" w:rsidR="002D6804" w:rsidRPr="001A7972" w:rsidRDefault="002D6804" w:rsidP="001A7972">
      <w:pPr>
        <w:pStyle w:val="Heading4"/>
        <w:ind w:left="426"/>
        <w:rPr>
          <w:rFonts w:ascii="Arial" w:hAnsi="Arial" w:cs="Arial"/>
          <w:b/>
          <w:bCs/>
          <w:i w:val="0"/>
          <w:iCs w:val="0"/>
          <w:sz w:val="20"/>
          <w:szCs w:val="20"/>
        </w:rPr>
      </w:pPr>
      <w:r w:rsidRPr="001A7972">
        <w:rPr>
          <w:rFonts w:ascii="Arial" w:hAnsi="Arial" w:cs="Arial"/>
          <w:b/>
          <w:bCs/>
          <w:i w:val="0"/>
          <w:iCs w:val="0"/>
          <w:color w:val="006F65"/>
          <w:sz w:val="20"/>
          <w:szCs w:val="20"/>
          <w:u w:val="thick" w:color="006F65"/>
        </w:rPr>
        <w:t>C: Risk Analysis</w:t>
      </w:r>
    </w:p>
    <w:p w14:paraId="7BAEC795" w14:textId="77777777" w:rsidR="002D6804" w:rsidRPr="001A7972" w:rsidRDefault="002D6804" w:rsidP="002D6804">
      <w:pPr>
        <w:pStyle w:val="BodyText"/>
        <w:spacing w:before="119"/>
        <w:ind w:left="338"/>
        <w:rPr>
          <w:rFonts w:cs="Arial"/>
          <w:sz w:val="20"/>
        </w:rPr>
      </w:pPr>
      <w:r w:rsidRPr="001A7972">
        <w:rPr>
          <w:rFonts w:cs="Arial"/>
          <w:sz w:val="20"/>
        </w:rPr>
        <w:t xml:space="preserve">To </w:t>
      </w:r>
      <w:proofErr w:type="spellStart"/>
      <w:r w:rsidRPr="001A7972">
        <w:rPr>
          <w:rFonts w:cs="Arial"/>
          <w:sz w:val="20"/>
        </w:rPr>
        <w:t>analyse</w:t>
      </w:r>
      <w:proofErr w:type="spellEnd"/>
      <w:r w:rsidRPr="001A7972">
        <w:rPr>
          <w:rFonts w:cs="Arial"/>
          <w:sz w:val="20"/>
        </w:rPr>
        <w:t xml:space="preserve"> the risks, the Town’s Risk Assessment and Acceptance Criteria (Appendix A) is applied:</w:t>
      </w:r>
    </w:p>
    <w:p w14:paraId="7B2B96A3"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20" w:after="0" w:line="240" w:lineRule="auto"/>
        <w:ind w:left="1058" w:hanging="361"/>
        <w:contextualSpacing w:val="0"/>
        <w:rPr>
          <w:rFonts w:ascii="Arial" w:hAnsi="Arial" w:cs="Arial"/>
          <w:sz w:val="20"/>
          <w:szCs w:val="20"/>
        </w:rPr>
      </w:pPr>
      <w:r w:rsidRPr="001A7972">
        <w:rPr>
          <w:rFonts w:ascii="Arial" w:hAnsi="Arial" w:cs="Arial"/>
          <w:sz w:val="20"/>
          <w:szCs w:val="20"/>
        </w:rPr>
        <w:t>Based on the documented controls, analyse the risk in terms of Existing Control</w:t>
      </w:r>
      <w:r w:rsidRPr="001A7972">
        <w:rPr>
          <w:rFonts w:ascii="Arial" w:hAnsi="Arial" w:cs="Arial"/>
          <w:spacing w:val="-20"/>
          <w:sz w:val="20"/>
          <w:szCs w:val="20"/>
        </w:rPr>
        <w:t xml:space="preserve"> </w:t>
      </w:r>
      <w:r w:rsidRPr="001A7972">
        <w:rPr>
          <w:rFonts w:ascii="Arial" w:hAnsi="Arial" w:cs="Arial"/>
          <w:sz w:val="20"/>
          <w:szCs w:val="20"/>
        </w:rPr>
        <w:t>Ratings</w:t>
      </w:r>
    </w:p>
    <w:p w14:paraId="523EE0A0"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8" w:after="0" w:line="240" w:lineRule="auto"/>
        <w:ind w:left="1058" w:right="290"/>
        <w:contextualSpacing w:val="0"/>
        <w:rPr>
          <w:rFonts w:ascii="Arial" w:hAnsi="Arial" w:cs="Arial"/>
          <w:sz w:val="20"/>
          <w:szCs w:val="20"/>
        </w:rPr>
      </w:pPr>
      <w:r w:rsidRPr="001A7972">
        <w:rPr>
          <w:rFonts w:ascii="Arial" w:hAnsi="Arial" w:cs="Arial"/>
          <w:sz w:val="20"/>
          <w:szCs w:val="20"/>
        </w:rPr>
        <w:t>Determine relevant consequence categories and rate how bad it could be if the risk eventuated with existing controls in place</w:t>
      </w:r>
      <w:r w:rsidRPr="001A7972">
        <w:rPr>
          <w:rFonts w:ascii="Arial" w:hAnsi="Arial" w:cs="Arial"/>
          <w:spacing w:val="-4"/>
          <w:sz w:val="20"/>
          <w:szCs w:val="20"/>
        </w:rPr>
        <w:t xml:space="preserve"> </w:t>
      </w:r>
      <w:r w:rsidRPr="001A7972">
        <w:rPr>
          <w:rFonts w:ascii="Arial" w:hAnsi="Arial" w:cs="Arial"/>
          <w:sz w:val="20"/>
          <w:szCs w:val="20"/>
        </w:rPr>
        <w:t>(Consequence)</w:t>
      </w:r>
    </w:p>
    <w:p w14:paraId="513C4C3D"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right="289" w:hanging="361"/>
        <w:contextualSpacing w:val="0"/>
        <w:rPr>
          <w:rFonts w:ascii="Arial" w:hAnsi="Arial" w:cs="Arial"/>
          <w:sz w:val="20"/>
          <w:szCs w:val="20"/>
        </w:rPr>
      </w:pPr>
      <w:r w:rsidRPr="001A7972">
        <w:rPr>
          <w:rFonts w:ascii="Arial" w:hAnsi="Arial" w:cs="Arial"/>
          <w:sz w:val="20"/>
          <w:szCs w:val="20"/>
        </w:rPr>
        <w:t>Determine how likely it is that the risk will eventuate to the determined level of consequence with existing controls in place</w:t>
      </w:r>
      <w:r w:rsidRPr="001A7972">
        <w:rPr>
          <w:rFonts w:ascii="Arial" w:hAnsi="Arial" w:cs="Arial"/>
          <w:spacing w:val="-5"/>
          <w:sz w:val="20"/>
          <w:szCs w:val="20"/>
        </w:rPr>
        <w:t xml:space="preserve"> </w:t>
      </w:r>
      <w:r w:rsidRPr="001A7972">
        <w:rPr>
          <w:rFonts w:ascii="Arial" w:hAnsi="Arial" w:cs="Arial"/>
          <w:sz w:val="20"/>
          <w:szCs w:val="20"/>
        </w:rPr>
        <w:t>(Likelihood)</w:t>
      </w:r>
    </w:p>
    <w:p w14:paraId="1145B281"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21" w:after="0" w:line="237" w:lineRule="auto"/>
        <w:ind w:left="1058" w:right="287"/>
        <w:contextualSpacing w:val="0"/>
        <w:rPr>
          <w:rFonts w:ascii="Arial" w:hAnsi="Arial" w:cs="Arial"/>
          <w:sz w:val="20"/>
          <w:szCs w:val="20"/>
        </w:rPr>
      </w:pPr>
      <w:r w:rsidRPr="001A7972">
        <w:rPr>
          <w:rFonts w:ascii="Arial" w:hAnsi="Arial" w:cs="Arial"/>
          <w:sz w:val="20"/>
          <w:szCs w:val="20"/>
        </w:rPr>
        <w:t>By combining the measures of consequence and likelihood, determine the risk rating (Level of Risk)</w:t>
      </w:r>
    </w:p>
    <w:p w14:paraId="39DDB962" w14:textId="77777777" w:rsidR="002D6804" w:rsidRPr="001A7972" w:rsidRDefault="002D6804" w:rsidP="002D6804">
      <w:pPr>
        <w:pStyle w:val="BodyText"/>
        <w:rPr>
          <w:rFonts w:cs="Arial"/>
          <w:sz w:val="20"/>
        </w:rPr>
      </w:pPr>
    </w:p>
    <w:p w14:paraId="0A1DB920" w14:textId="77777777" w:rsidR="002D6804" w:rsidRPr="001A7972" w:rsidRDefault="002D6804" w:rsidP="001A7972">
      <w:pPr>
        <w:pStyle w:val="Heading4"/>
        <w:ind w:left="426"/>
        <w:rPr>
          <w:rFonts w:ascii="Arial" w:hAnsi="Arial" w:cs="Arial"/>
          <w:b/>
          <w:bCs/>
          <w:i w:val="0"/>
          <w:iCs w:val="0"/>
          <w:sz w:val="20"/>
          <w:szCs w:val="20"/>
        </w:rPr>
      </w:pPr>
      <w:r w:rsidRPr="001A7972">
        <w:rPr>
          <w:rFonts w:ascii="Arial" w:hAnsi="Arial" w:cs="Arial"/>
          <w:b/>
          <w:bCs/>
          <w:i w:val="0"/>
          <w:iCs w:val="0"/>
          <w:color w:val="006F65"/>
          <w:sz w:val="20"/>
          <w:szCs w:val="20"/>
          <w:u w:val="thick" w:color="006F65"/>
        </w:rPr>
        <w:t>D: Risk Evaluation</w:t>
      </w:r>
    </w:p>
    <w:p w14:paraId="3153AFE8" w14:textId="77777777" w:rsidR="002D6804" w:rsidRPr="001A7972" w:rsidRDefault="002D6804" w:rsidP="002D6804">
      <w:pPr>
        <w:pStyle w:val="BodyText"/>
        <w:spacing w:before="120"/>
        <w:ind w:left="338"/>
        <w:rPr>
          <w:rFonts w:cs="Arial"/>
          <w:sz w:val="20"/>
        </w:rPr>
      </w:pPr>
      <w:r w:rsidRPr="001A7972">
        <w:rPr>
          <w:rFonts w:cs="Arial"/>
          <w:sz w:val="20"/>
        </w:rPr>
        <w:t>The Town is to verify the risk analysis and make a risk acceptance decision based on:</w:t>
      </w:r>
    </w:p>
    <w:p w14:paraId="7290225B"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8" w:after="0" w:line="240" w:lineRule="auto"/>
        <w:ind w:left="1058" w:right="288"/>
        <w:contextualSpacing w:val="0"/>
        <w:rPr>
          <w:rFonts w:ascii="Arial" w:hAnsi="Arial" w:cs="Arial"/>
          <w:sz w:val="20"/>
          <w:szCs w:val="20"/>
        </w:rPr>
      </w:pPr>
      <w:r w:rsidRPr="001A7972">
        <w:rPr>
          <w:rFonts w:ascii="Arial" w:hAnsi="Arial" w:cs="Arial"/>
          <w:sz w:val="20"/>
          <w:szCs w:val="20"/>
        </w:rPr>
        <w:t>Controls Assurance (i.e. are the existing controls in use, effective, documented, up to date and relevant)</w:t>
      </w:r>
    </w:p>
    <w:p w14:paraId="1E82FD6A"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A7972">
        <w:rPr>
          <w:rFonts w:ascii="Arial" w:hAnsi="Arial" w:cs="Arial"/>
          <w:sz w:val="20"/>
          <w:szCs w:val="20"/>
        </w:rPr>
        <w:t>Existing Control</w:t>
      </w:r>
      <w:r w:rsidRPr="001A7972">
        <w:rPr>
          <w:rFonts w:ascii="Arial" w:hAnsi="Arial" w:cs="Arial"/>
          <w:spacing w:val="-1"/>
          <w:sz w:val="20"/>
          <w:szCs w:val="20"/>
        </w:rPr>
        <w:t xml:space="preserve"> </w:t>
      </w:r>
      <w:r w:rsidRPr="001A7972">
        <w:rPr>
          <w:rFonts w:ascii="Arial" w:hAnsi="Arial" w:cs="Arial"/>
          <w:sz w:val="20"/>
          <w:szCs w:val="20"/>
        </w:rPr>
        <w:t>Rating</w:t>
      </w:r>
    </w:p>
    <w:p w14:paraId="224084D5"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A7972">
        <w:rPr>
          <w:rFonts w:ascii="Arial" w:hAnsi="Arial" w:cs="Arial"/>
          <w:sz w:val="20"/>
          <w:szCs w:val="20"/>
        </w:rPr>
        <w:t>Level of</w:t>
      </w:r>
      <w:r w:rsidRPr="001A7972">
        <w:rPr>
          <w:rFonts w:ascii="Arial" w:hAnsi="Arial" w:cs="Arial"/>
          <w:spacing w:val="-3"/>
          <w:sz w:val="20"/>
          <w:szCs w:val="20"/>
        </w:rPr>
        <w:t xml:space="preserve"> </w:t>
      </w:r>
      <w:r w:rsidRPr="001A7972">
        <w:rPr>
          <w:rFonts w:ascii="Arial" w:hAnsi="Arial" w:cs="Arial"/>
          <w:sz w:val="20"/>
          <w:szCs w:val="20"/>
        </w:rPr>
        <w:t>Risk</w:t>
      </w:r>
    </w:p>
    <w:p w14:paraId="20349122"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8" w:after="0" w:line="240" w:lineRule="auto"/>
        <w:ind w:left="1058" w:hanging="361"/>
        <w:contextualSpacing w:val="0"/>
        <w:rPr>
          <w:rFonts w:ascii="Arial" w:hAnsi="Arial" w:cs="Arial"/>
          <w:sz w:val="20"/>
          <w:szCs w:val="20"/>
        </w:rPr>
      </w:pPr>
      <w:r w:rsidRPr="001A7972">
        <w:rPr>
          <w:rFonts w:ascii="Arial" w:hAnsi="Arial" w:cs="Arial"/>
          <w:sz w:val="20"/>
          <w:szCs w:val="20"/>
        </w:rPr>
        <w:t>Risk Acceptance Criteria (Appendix</w:t>
      </w:r>
      <w:r w:rsidRPr="001A7972">
        <w:rPr>
          <w:rFonts w:ascii="Arial" w:hAnsi="Arial" w:cs="Arial"/>
          <w:spacing w:val="-6"/>
          <w:sz w:val="20"/>
          <w:szCs w:val="20"/>
        </w:rPr>
        <w:t xml:space="preserve"> </w:t>
      </w:r>
      <w:r w:rsidRPr="001A7972">
        <w:rPr>
          <w:rFonts w:ascii="Arial" w:hAnsi="Arial" w:cs="Arial"/>
          <w:sz w:val="20"/>
          <w:szCs w:val="20"/>
        </w:rPr>
        <w:t>A)</w:t>
      </w:r>
    </w:p>
    <w:p w14:paraId="1BB09035"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A7972">
        <w:rPr>
          <w:rFonts w:ascii="Arial" w:hAnsi="Arial" w:cs="Arial"/>
          <w:sz w:val="20"/>
          <w:szCs w:val="20"/>
        </w:rPr>
        <w:t>Risk versus Reward /</w:t>
      </w:r>
      <w:r w:rsidRPr="001A7972">
        <w:rPr>
          <w:rFonts w:ascii="Arial" w:hAnsi="Arial" w:cs="Arial"/>
          <w:spacing w:val="-5"/>
          <w:sz w:val="20"/>
          <w:szCs w:val="20"/>
        </w:rPr>
        <w:t xml:space="preserve"> </w:t>
      </w:r>
      <w:r w:rsidRPr="001A7972">
        <w:rPr>
          <w:rFonts w:ascii="Arial" w:hAnsi="Arial" w:cs="Arial"/>
          <w:sz w:val="20"/>
          <w:szCs w:val="20"/>
        </w:rPr>
        <w:t>Opportunity</w:t>
      </w:r>
    </w:p>
    <w:p w14:paraId="5F990656" w14:textId="77777777" w:rsidR="002D6804" w:rsidRDefault="002D6804" w:rsidP="002D6804">
      <w:pPr>
        <w:pStyle w:val="BodyText"/>
        <w:spacing w:before="117"/>
        <w:ind w:left="338" w:right="286"/>
        <w:jc w:val="both"/>
      </w:pPr>
      <w:r w:rsidRPr="001A7972">
        <w:rPr>
          <w:rFonts w:cs="Arial"/>
          <w:sz w:val="20"/>
        </w:rPr>
        <w:t xml:space="preserve">The risk acceptance decision needs to be </w:t>
      </w:r>
      <w:proofErr w:type="gramStart"/>
      <w:r w:rsidRPr="001A7972">
        <w:rPr>
          <w:rFonts w:cs="Arial"/>
          <w:sz w:val="20"/>
        </w:rPr>
        <w:t>documented</w:t>
      </w:r>
      <w:proofErr w:type="gramEnd"/>
      <w:r w:rsidRPr="001A7972">
        <w:rPr>
          <w:rFonts w:cs="Arial"/>
          <w:sz w:val="20"/>
        </w:rPr>
        <w:t xml:space="preserve"> and acceptable risks are then subject to the monitor and review process. Note: Individual Risks or Issues may need to be escalated due to urgency, level of risk or systemic nature.</w:t>
      </w:r>
    </w:p>
    <w:p w14:paraId="0C94FD38" w14:textId="77777777" w:rsidR="002D6804" w:rsidRDefault="002D6804" w:rsidP="002D6804">
      <w:pPr>
        <w:jc w:val="both"/>
        <w:sectPr w:rsidR="002D6804">
          <w:footerReference w:type="default" r:id="rId107"/>
          <w:pgSz w:w="11910" w:h="16840"/>
          <w:pgMar w:top="1600" w:right="840" w:bottom="1140" w:left="1080" w:header="0" w:footer="955" w:gutter="0"/>
          <w:pgNumType w:start="9"/>
          <w:cols w:space="720"/>
        </w:sectPr>
      </w:pPr>
    </w:p>
    <w:p w14:paraId="348ABAE7" w14:textId="77777777" w:rsidR="002D6804" w:rsidRPr="001A7972" w:rsidRDefault="002D6804" w:rsidP="001A7972">
      <w:pPr>
        <w:pStyle w:val="Heading4"/>
        <w:spacing w:before="94"/>
        <w:ind w:left="284"/>
        <w:rPr>
          <w:rFonts w:ascii="Arial" w:hAnsi="Arial" w:cs="Arial"/>
          <w:b/>
          <w:bCs/>
          <w:i w:val="0"/>
          <w:iCs w:val="0"/>
          <w:sz w:val="20"/>
          <w:szCs w:val="20"/>
        </w:rPr>
      </w:pPr>
      <w:r w:rsidRPr="001A7972">
        <w:rPr>
          <w:rFonts w:ascii="Arial" w:hAnsi="Arial" w:cs="Arial"/>
          <w:b/>
          <w:bCs/>
          <w:i w:val="0"/>
          <w:iCs w:val="0"/>
          <w:color w:val="006F65"/>
          <w:sz w:val="20"/>
          <w:szCs w:val="20"/>
          <w:u w:val="thick" w:color="006F65"/>
        </w:rPr>
        <w:lastRenderedPageBreak/>
        <w:t>E: Risk Treatment</w:t>
      </w:r>
    </w:p>
    <w:p w14:paraId="49310C14" w14:textId="77777777" w:rsidR="002D6804" w:rsidRPr="001A7972" w:rsidRDefault="002D6804" w:rsidP="002D6804">
      <w:pPr>
        <w:pStyle w:val="BodyText"/>
        <w:spacing w:before="120"/>
        <w:ind w:left="338"/>
        <w:rPr>
          <w:rFonts w:cs="Arial"/>
          <w:sz w:val="20"/>
        </w:rPr>
      </w:pPr>
      <w:r w:rsidRPr="001A7972">
        <w:rPr>
          <w:rFonts w:cs="Arial"/>
          <w:sz w:val="20"/>
        </w:rPr>
        <w:t>For unacceptable risks, determine treatment options that may improve existing controls and/or reduce consequence / likelihood to an acceptable level.</w:t>
      </w:r>
    </w:p>
    <w:p w14:paraId="79A94523" w14:textId="77777777" w:rsidR="002D6804" w:rsidRPr="001A7972" w:rsidRDefault="002D6804" w:rsidP="002D6804">
      <w:pPr>
        <w:pStyle w:val="BodyText"/>
        <w:spacing w:before="9"/>
        <w:rPr>
          <w:rFonts w:cs="Arial"/>
          <w:sz w:val="20"/>
        </w:rPr>
      </w:pPr>
    </w:p>
    <w:p w14:paraId="6DCE42CD" w14:textId="77777777" w:rsidR="002D6804" w:rsidRPr="001A7972" w:rsidRDefault="002D6804" w:rsidP="002D6804">
      <w:pPr>
        <w:pStyle w:val="BodyText"/>
        <w:ind w:left="338"/>
        <w:rPr>
          <w:rFonts w:cs="Arial"/>
          <w:sz w:val="20"/>
        </w:rPr>
      </w:pPr>
      <w:r w:rsidRPr="001A7972">
        <w:rPr>
          <w:rFonts w:cs="Arial"/>
          <w:sz w:val="20"/>
        </w:rPr>
        <w:t xml:space="preserve">Risk treatments may involve actions such as avoid, share, transfer or reduce the risk with the treatment selection and implementation to be based </w:t>
      </w:r>
      <w:proofErr w:type="gramStart"/>
      <w:r w:rsidRPr="001A7972">
        <w:rPr>
          <w:rFonts w:cs="Arial"/>
          <w:sz w:val="20"/>
        </w:rPr>
        <w:t>on;</w:t>
      </w:r>
      <w:proofErr w:type="gramEnd"/>
    </w:p>
    <w:p w14:paraId="1CE5B2AD"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20" w:after="0" w:line="240" w:lineRule="auto"/>
        <w:ind w:left="1058" w:hanging="361"/>
        <w:contextualSpacing w:val="0"/>
        <w:rPr>
          <w:rFonts w:ascii="Arial" w:hAnsi="Arial" w:cs="Arial"/>
          <w:sz w:val="20"/>
          <w:szCs w:val="20"/>
        </w:rPr>
      </w:pPr>
      <w:r w:rsidRPr="001A7972">
        <w:rPr>
          <w:rFonts w:ascii="Arial" w:hAnsi="Arial" w:cs="Arial"/>
          <w:sz w:val="20"/>
          <w:szCs w:val="20"/>
        </w:rPr>
        <w:t>Cost versus</w:t>
      </w:r>
      <w:r w:rsidRPr="001A7972">
        <w:rPr>
          <w:rFonts w:ascii="Arial" w:hAnsi="Arial" w:cs="Arial"/>
          <w:spacing w:val="-1"/>
          <w:sz w:val="20"/>
          <w:szCs w:val="20"/>
        </w:rPr>
        <w:t xml:space="preserve"> </w:t>
      </w:r>
      <w:r w:rsidRPr="001A7972">
        <w:rPr>
          <w:rFonts w:ascii="Arial" w:hAnsi="Arial" w:cs="Arial"/>
          <w:sz w:val="20"/>
          <w:szCs w:val="20"/>
        </w:rPr>
        <w:t>benefit</w:t>
      </w:r>
    </w:p>
    <w:p w14:paraId="33046898"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8" w:after="0" w:line="240" w:lineRule="auto"/>
        <w:ind w:left="1058" w:hanging="361"/>
        <w:contextualSpacing w:val="0"/>
        <w:rPr>
          <w:rFonts w:ascii="Arial" w:hAnsi="Arial" w:cs="Arial"/>
          <w:sz w:val="20"/>
          <w:szCs w:val="20"/>
        </w:rPr>
      </w:pPr>
      <w:r w:rsidRPr="001A7972">
        <w:rPr>
          <w:rFonts w:ascii="Arial" w:hAnsi="Arial" w:cs="Arial"/>
          <w:sz w:val="20"/>
          <w:szCs w:val="20"/>
        </w:rPr>
        <w:t>Ease of</w:t>
      </w:r>
      <w:r w:rsidRPr="001A7972">
        <w:rPr>
          <w:rFonts w:ascii="Arial" w:hAnsi="Arial" w:cs="Arial"/>
          <w:spacing w:val="-3"/>
          <w:sz w:val="20"/>
          <w:szCs w:val="20"/>
        </w:rPr>
        <w:t xml:space="preserve"> </w:t>
      </w:r>
      <w:r w:rsidRPr="001A7972">
        <w:rPr>
          <w:rFonts w:ascii="Arial" w:hAnsi="Arial" w:cs="Arial"/>
          <w:sz w:val="20"/>
          <w:szCs w:val="20"/>
        </w:rPr>
        <w:t>implementation</w:t>
      </w:r>
    </w:p>
    <w:p w14:paraId="4B2D6F94"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A7972">
        <w:rPr>
          <w:rFonts w:ascii="Arial" w:hAnsi="Arial" w:cs="Arial"/>
          <w:sz w:val="20"/>
          <w:szCs w:val="20"/>
        </w:rPr>
        <w:t>Alignment to organisational values /</w:t>
      </w:r>
      <w:r w:rsidRPr="001A7972">
        <w:rPr>
          <w:rFonts w:ascii="Arial" w:hAnsi="Arial" w:cs="Arial"/>
          <w:spacing w:val="-6"/>
          <w:sz w:val="20"/>
          <w:szCs w:val="20"/>
        </w:rPr>
        <w:t xml:space="preserve"> </w:t>
      </w:r>
      <w:r w:rsidRPr="001A7972">
        <w:rPr>
          <w:rFonts w:ascii="Arial" w:hAnsi="Arial" w:cs="Arial"/>
          <w:sz w:val="20"/>
          <w:szCs w:val="20"/>
        </w:rPr>
        <w:t>objectives</w:t>
      </w:r>
    </w:p>
    <w:p w14:paraId="291E4ADF" w14:textId="77777777" w:rsidR="002D6804" w:rsidRPr="001A7972" w:rsidRDefault="002D6804" w:rsidP="002D6804">
      <w:pPr>
        <w:pStyle w:val="BodyText"/>
        <w:spacing w:before="8"/>
        <w:rPr>
          <w:rFonts w:cs="Arial"/>
          <w:sz w:val="20"/>
        </w:rPr>
      </w:pPr>
    </w:p>
    <w:p w14:paraId="0A2B1924" w14:textId="77777777" w:rsidR="002D6804" w:rsidRPr="001A7972" w:rsidRDefault="002D6804" w:rsidP="002D6804">
      <w:pPr>
        <w:pStyle w:val="BodyText"/>
        <w:ind w:left="338" w:right="288"/>
        <w:jc w:val="both"/>
        <w:rPr>
          <w:rFonts w:cs="Arial"/>
          <w:sz w:val="20"/>
        </w:rPr>
      </w:pPr>
      <w:r w:rsidRPr="001A7972">
        <w:rPr>
          <w:rFonts w:cs="Arial"/>
          <w:sz w:val="20"/>
        </w:rPr>
        <w:t>Once a treatment has been fully implemented, the Executive Assistant Corporate Services is to review the risk information and acceptance decision with the treatment now noted as a control and those risks that are acceptable then become subject to the monitor and review process (Refer to Risk Acceptance</w:t>
      </w:r>
      <w:r w:rsidRPr="001A7972">
        <w:rPr>
          <w:rFonts w:cs="Arial"/>
          <w:spacing w:val="-24"/>
          <w:sz w:val="20"/>
        </w:rPr>
        <w:t xml:space="preserve"> </w:t>
      </w:r>
      <w:r w:rsidRPr="001A7972">
        <w:rPr>
          <w:rFonts w:cs="Arial"/>
          <w:sz w:val="20"/>
        </w:rPr>
        <w:t>section).</w:t>
      </w:r>
    </w:p>
    <w:p w14:paraId="32704289" w14:textId="77777777" w:rsidR="002D6804" w:rsidRPr="001A7972" w:rsidRDefault="002D6804" w:rsidP="002D6804">
      <w:pPr>
        <w:pStyle w:val="BodyText"/>
        <w:spacing w:before="5"/>
        <w:rPr>
          <w:rFonts w:cs="Arial"/>
          <w:sz w:val="20"/>
        </w:rPr>
      </w:pPr>
    </w:p>
    <w:p w14:paraId="17B54E0D" w14:textId="77777777" w:rsidR="002D6804" w:rsidRPr="001A7972" w:rsidRDefault="002D6804" w:rsidP="001A7972">
      <w:pPr>
        <w:pStyle w:val="Heading4"/>
        <w:ind w:left="426"/>
        <w:jc w:val="both"/>
        <w:rPr>
          <w:rFonts w:ascii="Arial" w:hAnsi="Arial" w:cs="Arial"/>
          <w:b/>
          <w:bCs/>
          <w:i w:val="0"/>
          <w:iCs w:val="0"/>
          <w:sz w:val="20"/>
          <w:szCs w:val="20"/>
        </w:rPr>
      </w:pPr>
      <w:r w:rsidRPr="001A7972">
        <w:rPr>
          <w:rFonts w:ascii="Arial" w:hAnsi="Arial" w:cs="Arial"/>
          <w:b/>
          <w:bCs/>
          <w:i w:val="0"/>
          <w:iCs w:val="0"/>
          <w:color w:val="006F65"/>
          <w:sz w:val="20"/>
          <w:szCs w:val="20"/>
          <w:u w:val="thick" w:color="006F65"/>
        </w:rPr>
        <w:t>F: Monitoring &amp; Review</w:t>
      </w:r>
    </w:p>
    <w:p w14:paraId="217FF8C1" w14:textId="77777777" w:rsidR="002D6804" w:rsidRPr="001A7972" w:rsidRDefault="002D6804" w:rsidP="002D6804">
      <w:pPr>
        <w:pStyle w:val="BodyText"/>
        <w:spacing w:before="120"/>
        <w:ind w:left="338" w:right="649"/>
        <w:rPr>
          <w:rFonts w:cs="Arial"/>
          <w:sz w:val="20"/>
        </w:rPr>
      </w:pPr>
      <w:r w:rsidRPr="001A7972">
        <w:rPr>
          <w:rFonts w:cs="Arial"/>
          <w:sz w:val="20"/>
        </w:rPr>
        <w:t xml:space="preserve">The Town is to review all Risk Profiles at least on a </w:t>
      </w:r>
      <w:proofErr w:type="gramStart"/>
      <w:r w:rsidRPr="001A7972">
        <w:rPr>
          <w:rFonts w:cs="Arial"/>
          <w:sz w:val="20"/>
        </w:rPr>
        <w:t>six monthly</w:t>
      </w:r>
      <w:proofErr w:type="gramEnd"/>
      <w:r w:rsidRPr="001A7972">
        <w:rPr>
          <w:rFonts w:cs="Arial"/>
          <w:sz w:val="20"/>
        </w:rPr>
        <w:t xml:space="preserve"> basis or if triggered by one of the following;</w:t>
      </w:r>
    </w:p>
    <w:p w14:paraId="4576C826"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A7972">
        <w:rPr>
          <w:rFonts w:ascii="Arial" w:hAnsi="Arial" w:cs="Arial"/>
          <w:sz w:val="20"/>
          <w:szCs w:val="20"/>
        </w:rPr>
        <w:t>Changes to</w:t>
      </w:r>
      <w:r w:rsidRPr="001A7972">
        <w:rPr>
          <w:rFonts w:ascii="Arial" w:hAnsi="Arial" w:cs="Arial"/>
          <w:spacing w:val="-2"/>
          <w:sz w:val="20"/>
          <w:szCs w:val="20"/>
        </w:rPr>
        <w:t xml:space="preserve"> </w:t>
      </w:r>
      <w:r w:rsidRPr="001A7972">
        <w:rPr>
          <w:rFonts w:ascii="Arial" w:hAnsi="Arial" w:cs="Arial"/>
          <w:sz w:val="20"/>
          <w:szCs w:val="20"/>
        </w:rPr>
        <w:t>context,</w:t>
      </w:r>
    </w:p>
    <w:p w14:paraId="78E930F1"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A7972">
        <w:rPr>
          <w:rFonts w:ascii="Arial" w:hAnsi="Arial" w:cs="Arial"/>
          <w:sz w:val="20"/>
          <w:szCs w:val="20"/>
        </w:rPr>
        <w:t>A treatment is</w:t>
      </w:r>
      <w:r w:rsidRPr="001A7972">
        <w:rPr>
          <w:rFonts w:ascii="Arial" w:hAnsi="Arial" w:cs="Arial"/>
          <w:spacing w:val="-4"/>
          <w:sz w:val="20"/>
          <w:szCs w:val="20"/>
        </w:rPr>
        <w:t xml:space="preserve"> </w:t>
      </w:r>
      <w:r w:rsidRPr="001A7972">
        <w:rPr>
          <w:rFonts w:ascii="Arial" w:hAnsi="Arial" w:cs="Arial"/>
          <w:sz w:val="20"/>
          <w:szCs w:val="20"/>
        </w:rPr>
        <w:t>implemented,</w:t>
      </w:r>
    </w:p>
    <w:p w14:paraId="25079745"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8" w:after="0" w:line="240" w:lineRule="auto"/>
        <w:ind w:left="1058" w:hanging="361"/>
        <w:contextualSpacing w:val="0"/>
        <w:rPr>
          <w:rFonts w:ascii="Arial" w:hAnsi="Arial" w:cs="Arial"/>
          <w:sz w:val="20"/>
          <w:szCs w:val="20"/>
        </w:rPr>
      </w:pPr>
      <w:r w:rsidRPr="001A7972">
        <w:rPr>
          <w:rFonts w:ascii="Arial" w:hAnsi="Arial" w:cs="Arial"/>
          <w:sz w:val="20"/>
          <w:szCs w:val="20"/>
        </w:rPr>
        <w:t>An incident occurs or due to audit/regulator</w:t>
      </w:r>
      <w:r w:rsidRPr="001A7972">
        <w:rPr>
          <w:rFonts w:ascii="Arial" w:hAnsi="Arial" w:cs="Arial"/>
          <w:spacing w:val="-9"/>
          <w:sz w:val="20"/>
          <w:szCs w:val="20"/>
        </w:rPr>
        <w:t xml:space="preserve"> </w:t>
      </w:r>
      <w:r w:rsidRPr="001A7972">
        <w:rPr>
          <w:rFonts w:ascii="Arial" w:hAnsi="Arial" w:cs="Arial"/>
          <w:sz w:val="20"/>
          <w:szCs w:val="20"/>
        </w:rPr>
        <w:t>findings.</w:t>
      </w:r>
    </w:p>
    <w:p w14:paraId="2F430683" w14:textId="77777777" w:rsidR="002D6804" w:rsidRPr="001A7972" w:rsidRDefault="002D6804" w:rsidP="002D6804">
      <w:pPr>
        <w:pStyle w:val="BodyText"/>
        <w:spacing w:before="9"/>
        <w:rPr>
          <w:rFonts w:cs="Arial"/>
          <w:sz w:val="20"/>
        </w:rPr>
      </w:pPr>
    </w:p>
    <w:p w14:paraId="395D9E44" w14:textId="77777777" w:rsidR="002D6804" w:rsidRPr="001A7972" w:rsidRDefault="002D6804" w:rsidP="002D6804">
      <w:pPr>
        <w:pStyle w:val="BodyText"/>
        <w:ind w:left="338" w:right="290"/>
        <w:jc w:val="both"/>
        <w:rPr>
          <w:rFonts w:cs="Arial"/>
          <w:sz w:val="20"/>
        </w:rPr>
      </w:pPr>
      <w:r w:rsidRPr="001A7972">
        <w:rPr>
          <w:rFonts w:cs="Arial"/>
          <w:sz w:val="20"/>
        </w:rPr>
        <w:t>The Executive Assistant Corporate Services is to monitor the status of risk treatment implementation and report on, if</w:t>
      </w:r>
      <w:r w:rsidRPr="001A7972">
        <w:rPr>
          <w:rFonts w:cs="Arial"/>
          <w:spacing w:val="-1"/>
          <w:sz w:val="20"/>
        </w:rPr>
        <w:t xml:space="preserve"> </w:t>
      </w:r>
      <w:r w:rsidRPr="001A7972">
        <w:rPr>
          <w:rFonts w:cs="Arial"/>
          <w:sz w:val="20"/>
        </w:rPr>
        <w:t>required.</w:t>
      </w:r>
    </w:p>
    <w:p w14:paraId="578D65E7" w14:textId="77777777" w:rsidR="002D6804" w:rsidRPr="001A7972" w:rsidRDefault="002D6804" w:rsidP="002D6804">
      <w:pPr>
        <w:pStyle w:val="BodyText"/>
        <w:spacing w:before="9"/>
        <w:rPr>
          <w:rFonts w:cs="Arial"/>
          <w:sz w:val="20"/>
        </w:rPr>
      </w:pPr>
    </w:p>
    <w:p w14:paraId="668B2888" w14:textId="77777777" w:rsidR="002D6804" w:rsidRPr="001A7972" w:rsidRDefault="002D6804" w:rsidP="002D6804">
      <w:pPr>
        <w:pStyle w:val="BodyText"/>
        <w:spacing w:before="1"/>
        <w:ind w:left="338" w:right="290" w:hanging="1"/>
        <w:jc w:val="both"/>
        <w:rPr>
          <w:rFonts w:cs="Arial"/>
          <w:sz w:val="20"/>
        </w:rPr>
      </w:pPr>
      <w:r w:rsidRPr="001A7972">
        <w:rPr>
          <w:rFonts w:cs="Arial"/>
          <w:sz w:val="20"/>
        </w:rPr>
        <w:t>The CEO &amp; Senior Staff Group will monitor significant risks and treatment implementation as part of their normal agenda item on a quarterly basis with specific attention given to risks that meet any of the following</w:t>
      </w:r>
      <w:r w:rsidRPr="001A7972">
        <w:rPr>
          <w:rFonts w:cs="Arial"/>
          <w:spacing w:val="-2"/>
          <w:sz w:val="20"/>
        </w:rPr>
        <w:t xml:space="preserve"> </w:t>
      </w:r>
      <w:r w:rsidRPr="001A7972">
        <w:rPr>
          <w:rFonts w:cs="Arial"/>
          <w:sz w:val="20"/>
        </w:rPr>
        <w:t>criteria:</w:t>
      </w:r>
    </w:p>
    <w:p w14:paraId="039ECC8A"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20" w:after="0" w:line="240" w:lineRule="auto"/>
        <w:ind w:left="1058" w:hanging="361"/>
        <w:contextualSpacing w:val="0"/>
        <w:rPr>
          <w:rFonts w:ascii="Arial" w:hAnsi="Arial" w:cs="Arial"/>
          <w:sz w:val="20"/>
          <w:szCs w:val="20"/>
        </w:rPr>
      </w:pPr>
      <w:r w:rsidRPr="001A7972">
        <w:rPr>
          <w:rFonts w:ascii="Arial" w:hAnsi="Arial" w:cs="Arial"/>
          <w:sz w:val="20"/>
          <w:szCs w:val="20"/>
        </w:rPr>
        <w:t>Risks with a Level of Risk of High or</w:t>
      </w:r>
      <w:r w:rsidRPr="001A7972">
        <w:rPr>
          <w:rFonts w:ascii="Arial" w:hAnsi="Arial" w:cs="Arial"/>
          <w:spacing w:val="-13"/>
          <w:sz w:val="20"/>
          <w:szCs w:val="20"/>
        </w:rPr>
        <w:t xml:space="preserve"> </w:t>
      </w:r>
      <w:r w:rsidRPr="001A7972">
        <w:rPr>
          <w:rFonts w:ascii="Arial" w:hAnsi="Arial" w:cs="Arial"/>
          <w:sz w:val="20"/>
          <w:szCs w:val="20"/>
        </w:rPr>
        <w:t>Extreme</w:t>
      </w:r>
    </w:p>
    <w:p w14:paraId="7E198985"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8" w:after="0" w:line="240" w:lineRule="auto"/>
        <w:ind w:left="1058" w:hanging="361"/>
        <w:contextualSpacing w:val="0"/>
        <w:rPr>
          <w:rFonts w:ascii="Arial" w:hAnsi="Arial" w:cs="Arial"/>
          <w:sz w:val="20"/>
          <w:szCs w:val="20"/>
        </w:rPr>
      </w:pPr>
      <w:r w:rsidRPr="001A7972">
        <w:rPr>
          <w:rFonts w:ascii="Arial" w:hAnsi="Arial" w:cs="Arial"/>
          <w:sz w:val="20"/>
          <w:szCs w:val="20"/>
        </w:rPr>
        <w:t>Risks with Inadequate Existing Control</w:t>
      </w:r>
      <w:r w:rsidRPr="001A7972">
        <w:rPr>
          <w:rFonts w:ascii="Arial" w:hAnsi="Arial" w:cs="Arial"/>
          <w:spacing w:val="-8"/>
          <w:sz w:val="20"/>
          <w:szCs w:val="20"/>
        </w:rPr>
        <w:t xml:space="preserve"> </w:t>
      </w:r>
      <w:r w:rsidRPr="001A7972">
        <w:rPr>
          <w:rFonts w:ascii="Arial" w:hAnsi="Arial" w:cs="Arial"/>
          <w:sz w:val="20"/>
          <w:szCs w:val="20"/>
        </w:rPr>
        <w:t>Rating</w:t>
      </w:r>
    </w:p>
    <w:p w14:paraId="34BDA6C8"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A7972">
        <w:rPr>
          <w:rFonts w:ascii="Arial" w:hAnsi="Arial" w:cs="Arial"/>
          <w:sz w:val="20"/>
          <w:szCs w:val="20"/>
        </w:rPr>
        <w:t>Risks with Consequence Rating of</w:t>
      </w:r>
      <w:r w:rsidRPr="001A7972">
        <w:rPr>
          <w:rFonts w:ascii="Arial" w:hAnsi="Arial" w:cs="Arial"/>
          <w:spacing w:val="-7"/>
          <w:sz w:val="20"/>
          <w:szCs w:val="20"/>
        </w:rPr>
        <w:t xml:space="preserve"> </w:t>
      </w:r>
      <w:r w:rsidRPr="001A7972">
        <w:rPr>
          <w:rFonts w:ascii="Arial" w:hAnsi="Arial" w:cs="Arial"/>
          <w:sz w:val="20"/>
          <w:szCs w:val="20"/>
        </w:rPr>
        <w:t>Extreme</w:t>
      </w:r>
    </w:p>
    <w:p w14:paraId="6AB41D0C" w14:textId="77777777" w:rsidR="002D6804" w:rsidRPr="001A7972" w:rsidRDefault="002D6804" w:rsidP="002A3889">
      <w:pPr>
        <w:pStyle w:val="ListParagraph"/>
        <w:widowControl w:val="0"/>
        <w:numPr>
          <w:ilvl w:val="1"/>
          <w:numId w:val="460"/>
        </w:numPr>
        <w:tabs>
          <w:tab w:val="left" w:pos="1058"/>
          <w:tab w:val="left" w:pos="1059"/>
        </w:tabs>
        <w:autoSpaceDE w:val="0"/>
        <w:autoSpaceDN w:val="0"/>
        <w:spacing w:before="118" w:after="0" w:line="240" w:lineRule="auto"/>
        <w:ind w:left="1058" w:hanging="361"/>
        <w:contextualSpacing w:val="0"/>
        <w:rPr>
          <w:rFonts w:ascii="Arial" w:hAnsi="Arial" w:cs="Arial"/>
          <w:sz w:val="20"/>
          <w:szCs w:val="20"/>
        </w:rPr>
      </w:pPr>
      <w:r w:rsidRPr="001A7972">
        <w:rPr>
          <w:rFonts w:ascii="Arial" w:hAnsi="Arial" w:cs="Arial"/>
          <w:sz w:val="20"/>
          <w:szCs w:val="20"/>
        </w:rPr>
        <w:t>Risks with Likelihood Rating of Almost</w:t>
      </w:r>
      <w:r w:rsidRPr="001A7972">
        <w:rPr>
          <w:rFonts w:ascii="Arial" w:hAnsi="Arial" w:cs="Arial"/>
          <w:spacing w:val="-5"/>
          <w:sz w:val="20"/>
          <w:szCs w:val="20"/>
        </w:rPr>
        <w:t xml:space="preserve"> </w:t>
      </w:r>
      <w:r w:rsidRPr="001A7972">
        <w:rPr>
          <w:rFonts w:ascii="Arial" w:hAnsi="Arial" w:cs="Arial"/>
          <w:sz w:val="20"/>
          <w:szCs w:val="20"/>
        </w:rPr>
        <w:t>Certain</w:t>
      </w:r>
    </w:p>
    <w:p w14:paraId="1ACB3FC3" w14:textId="77777777" w:rsidR="002D6804" w:rsidRPr="001A7972" w:rsidRDefault="002D6804" w:rsidP="002D6804">
      <w:pPr>
        <w:pStyle w:val="BodyText"/>
        <w:spacing w:before="7"/>
        <w:rPr>
          <w:rFonts w:cs="Arial"/>
          <w:sz w:val="20"/>
        </w:rPr>
      </w:pPr>
    </w:p>
    <w:p w14:paraId="0259CC9F" w14:textId="77777777" w:rsidR="002D6804" w:rsidRPr="001A7972" w:rsidRDefault="002D6804" w:rsidP="002D6804">
      <w:pPr>
        <w:pStyle w:val="BodyText"/>
        <w:spacing w:before="1"/>
        <w:ind w:left="338" w:right="286"/>
        <w:jc w:val="both"/>
        <w:rPr>
          <w:rFonts w:cs="Arial"/>
          <w:sz w:val="20"/>
        </w:rPr>
      </w:pPr>
      <w:r w:rsidRPr="001A7972">
        <w:rPr>
          <w:rFonts w:cs="Arial"/>
          <w:sz w:val="20"/>
        </w:rPr>
        <w:t>The design and focus of the Risk Summary report will be determined from time to time on the direction of the CEO &amp; Senior Staff Group. They will also monitor the effectiveness of the Risk Management Framework ensuring it is practical and appropriate to the Town.</w:t>
      </w:r>
    </w:p>
    <w:p w14:paraId="4A0BACC1" w14:textId="77777777" w:rsidR="002D6804" w:rsidRPr="001A7972" w:rsidRDefault="002D6804" w:rsidP="002D6804">
      <w:pPr>
        <w:pStyle w:val="BodyText"/>
        <w:spacing w:before="4"/>
        <w:rPr>
          <w:rFonts w:cs="Arial"/>
          <w:sz w:val="20"/>
        </w:rPr>
      </w:pPr>
    </w:p>
    <w:p w14:paraId="3CEF3C69" w14:textId="77777777" w:rsidR="002D6804" w:rsidRPr="001A7972" w:rsidRDefault="002D6804" w:rsidP="001A7972">
      <w:pPr>
        <w:pStyle w:val="Heading4"/>
        <w:spacing w:before="1"/>
        <w:ind w:left="284"/>
        <w:jc w:val="both"/>
        <w:rPr>
          <w:rFonts w:ascii="Arial" w:hAnsi="Arial" w:cs="Arial"/>
          <w:b/>
          <w:bCs/>
          <w:i w:val="0"/>
          <w:iCs w:val="0"/>
          <w:sz w:val="20"/>
          <w:szCs w:val="20"/>
        </w:rPr>
      </w:pPr>
      <w:r w:rsidRPr="001A7972">
        <w:rPr>
          <w:rFonts w:ascii="Arial" w:hAnsi="Arial" w:cs="Arial"/>
          <w:b/>
          <w:bCs/>
          <w:i w:val="0"/>
          <w:iCs w:val="0"/>
          <w:color w:val="006F65"/>
          <w:sz w:val="20"/>
          <w:szCs w:val="20"/>
          <w:u w:val="thick" w:color="006F65"/>
        </w:rPr>
        <w:t>G: Communication &amp; Consultation</w:t>
      </w:r>
    </w:p>
    <w:p w14:paraId="40ED5FE3" w14:textId="77777777" w:rsidR="002D6804" w:rsidRPr="001A7972" w:rsidRDefault="002D6804" w:rsidP="002D6804">
      <w:pPr>
        <w:pStyle w:val="BodyText"/>
        <w:spacing w:before="119"/>
        <w:ind w:left="338" w:right="288"/>
        <w:jc w:val="both"/>
        <w:rPr>
          <w:rFonts w:cs="Arial"/>
          <w:sz w:val="20"/>
        </w:rPr>
      </w:pPr>
      <w:r w:rsidRPr="001A7972">
        <w:rPr>
          <w:rFonts w:cs="Arial"/>
          <w:sz w:val="20"/>
        </w:rPr>
        <w:t>Throughout the risk management process, stakeholders will be identified, and where relevant, be involved in or informed of outputs from the risk management process.</w:t>
      </w:r>
    </w:p>
    <w:p w14:paraId="6D8455D6" w14:textId="77777777" w:rsidR="002D6804" w:rsidRDefault="002D6804" w:rsidP="002D6804">
      <w:pPr>
        <w:pStyle w:val="BodyText"/>
        <w:spacing w:before="9"/>
      </w:pPr>
    </w:p>
    <w:p w14:paraId="08DDF2CC" w14:textId="77777777" w:rsidR="002D6804" w:rsidRPr="001A7972" w:rsidRDefault="002D6804" w:rsidP="002D6804">
      <w:pPr>
        <w:pStyle w:val="BodyText"/>
        <w:spacing w:before="1"/>
        <w:ind w:left="338"/>
        <w:jc w:val="both"/>
        <w:rPr>
          <w:sz w:val="20"/>
        </w:rPr>
      </w:pPr>
      <w:r w:rsidRPr="001A7972">
        <w:rPr>
          <w:sz w:val="20"/>
        </w:rPr>
        <w:t>Risk management awareness and training will be provided to staff as part of their OS&amp;H Program.</w:t>
      </w:r>
    </w:p>
    <w:p w14:paraId="45B83FEB" w14:textId="77777777" w:rsidR="002D6804" w:rsidRDefault="002D6804" w:rsidP="002D6804">
      <w:pPr>
        <w:pStyle w:val="BodyText"/>
        <w:spacing w:before="10"/>
      </w:pPr>
    </w:p>
    <w:p w14:paraId="487902F9" w14:textId="77777777" w:rsidR="002D6804" w:rsidRPr="001A7972" w:rsidRDefault="002D6804" w:rsidP="002D6804">
      <w:pPr>
        <w:pStyle w:val="BodyText"/>
        <w:ind w:left="338" w:right="287"/>
        <w:jc w:val="both"/>
        <w:rPr>
          <w:sz w:val="20"/>
        </w:rPr>
      </w:pPr>
      <w:r w:rsidRPr="001A7972">
        <w:rPr>
          <w:sz w:val="20"/>
        </w:rPr>
        <w:t>Risk management will be included within the employee induction process to ensure new employees are introduced to the Town’s risk management culture.</w:t>
      </w:r>
    </w:p>
    <w:p w14:paraId="6573D3CF" w14:textId="77777777" w:rsidR="002D6804" w:rsidRDefault="002D6804" w:rsidP="002D6804">
      <w:pPr>
        <w:jc w:val="both"/>
        <w:sectPr w:rsidR="002D6804">
          <w:pgSz w:w="11910" w:h="16840"/>
          <w:pgMar w:top="1600" w:right="840" w:bottom="1140" w:left="1080" w:header="0" w:footer="955" w:gutter="0"/>
          <w:cols w:space="720"/>
        </w:sectPr>
      </w:pPr>
    </w:p>
    <w:p w14:paraId="2791A5BC" w14:textId="7B6925F1" w:rsidR="002D6804" w:rsidRDefault="002D6804" w:rsidP="002D6804">
      <w:pPr>
        <w:pStyle w:val="BodyText"/>
        <w:spacing w:before="5"/>
        <w:rPr>
          <w:sz w:val="25"/>
        </w:rPr>
      </w:pPr>
      <w:r>
        <w:rPr>
          <w:noProof/>
        </w:rPr>
        <w:lastRenderedPageBreak/>
        <mc:AlternateContent>
          <mc:Choice Requires="wps">
            <w:drawing>
              <wp:anchor distT="0" distB="0" distL="114300" distR="114300" simplePos="0" relativeHeight="251691008" behindDoc="0" locked="0" layoutInCell="1" allowOverlap="1" wp14:anchorId="4306D526" wp14:editId="26593FFE">
                <wp:simplePos x="0" y="0"/>
                <wp:positionH relativeFrom="page">
                  <wp:posOffset>1100455</wp:posOffset>
                </wp:positionH>
                <wp:positionV relativeFrom="page">
                  <wp:posOffset>3486150</wp:posOffset>
                </wp:positionV>
                <wp:extent cx="139065" cy="245745"/>
                <wp:effectExtent l="0" t="0" r="0" b="0"/>
                <wp:wrapNone/>
                <wp:docPr id="36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A6B7E" w14:textId="77777777" w:rsidR="00FD55D7" w:rsidRPr="00107197" w:rsidRDefault="00FD55D7" w:rsidP="002D6804">
                            <w:pPr>
                              <w:spacing w:before="14"/>
                              <w:ind w:left="20"/>
                              <w:rPr>
                                <w:rFonts w:ascii="Arial" w:hAnsi="Arial" w:cs="Arial"/>
                                <w:sz w:val="16"/>
                              </w:rPr>
                            </w:pPr>
                            <w:r w:rsidRPr="00107197">
                              <w:rPr>
                                <w:rFonts w:ascii="Arial" w:hAnsi="Arial" w:cs="Arial"/>
                                <w:sz w:val="16"/>
                              </w:rPr>
                              <w:t>CEO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6D526" id="Text Box 69" o:spid="_x0000_s1111" type="#_x0000_t202" style="position:absolute;left:0;text-align:left;margin-left:86.65pt;margin-top:274.5pt;width:10.95pt;height:19.3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" filled="f" stroked="f">
                <v:textbox style="layout-flow:vertical;mso-layout-flow-alt:bottom-to-top" inset="0,0,0,0">
                  <w:txbxContent>
                    <w:p w14:paraId="56CA6B7E" w14:textId="77777777" w:rsidR="00FD55D7" w:rsidRPr="00107197" w:rsidRDefault="00FD55D7" w:rsidP="002D6804">
                      <w:pPr>
                        <w:spacing w:before="14"/>
                        <w:ind w:left="20"/>
                        <w:rPr>
                          <w:rFonts w:ascii="Arial" w:hAnsi="Arial" w:cs="Arial"/>
                          <w:sz w:val="16"/>
                        </w:rPr>
                      </w:pPr>
                      <w:r w:rsidRPr="00107197">
                        <w:rPr>
                          <w:rFonts w:ascii="Arial" w:hAnsi="Arial" w:cs="Arial"/>
                          <w:sz w:val="16"/>
                        </w:rPr>
                        <w:t>CEO</w:t>
                      </w:r>
                    </w:p>
                  </w:txbxContent>
                </v:textbox>
                <w10:wrap anchorx="page" anchory="page"/>
              </v:shape>
            </w:pict>
          </mc:Fallback>
        </mc:AlternateContent>
      </w:r>
    </w:p>
    <w:p w14:paraId="198FE89A" w14:textId="77777777" w:rsidR="002D6804" w:rsidRPr="001A7972" w:rsidRDefault="002D6804" w:rsidP="001A7972">
      <w:pPr>
        <w:pStyle w:val="Heading2"/>
        <w:ind w:left="142"/>
        <w:rPr>
          <w:rFonts w:ascii="Arial" w:hAnsi="Arial" w:cs="Arial"/>
          <w:sz w:val="24"/>
          <w:szCs w:val="24"/>
        </w:rPr>
      </w:pPr>
      <w:r w:rsidRPr="001A7972">
        <w:rPr>
          <w:rFonts w:ascii="Arial" w:hAnsi="Arial" w:cs="Arial"/>
          <w:color w:val="006F65"/>
          <w:sz w:val="24"/>
          <w:szCs w:val="24"/>
        </w:rPr>
        <w:t>Reporting Requirements</w:t>
      </w:r>
    </w:p>
    <w:p w14:paraId="40DB247A" w14:textId="77777777" w:rsidR="002D6804" w:rsidRDefault="002D6804" w:rsidP="002D6804">
      <w:pPr>
        <w:pStyle w:val="BodyText"/>
        <w:spacing w:before="3"/>
        <w:rPr>
          <w:b/>
          <w:sz w:val="31"/>
        </w:rPr>
      </w:pPr>
    </w:p>
    <w:p w14:paraId="32132F91" w14:textId="77777777" w:rsidR="002D6804" w:rsidRPr="001A7972" w:rsidRDefault="002D6804" w:rsidP="001A7972">
      <w:pPr>
        <w:pStyle w:val="Heading3"/>
        <w:ind w:left="142"/>
        <w:rPr>
          <w:rFonts w:ascii="Arial" w:hAnsi="Arial" w:cs="Arial"/>
          <w:b/>
          <w:bCs/>
          <w:sz w:val="22"/>
          <w:szCs w:val="22"/>
        </w:rPr>
      </w:pPr>
      <w:r w:rsidRPr="001A7972">
        <w:rPr>
          <w:rFonts w:ascii="Arial" w:hAnsi="Arial" w:cs="Arial"/>
          <w:b/>
          <w:bCs/>
          <w:color w:val="00ACB8"/>
          <w:sz w:val="22"/>
          <w:szCs w:val="22"/>
        </w:rPr>
        <w:t>Coverage &amp; Frequency</w:t>
      </w:r>
    </w:p>
    <w:p w14:paraId="25149FF3" w14:textId="326B5262" w:rsidR="002D6804" w:rsidRDefault="002D6804" w:rsidP="002D6804">
      <w:pPr>
        <w:pStyle w:val="BodyText"/>
        <w:spacing w:before="59"/>
        <w:ind w:left="338"/>
      </w:pPr>
      <w:r w:rsidRPr="001A7972">
        <w:rPr>
          <w:noProof/>
          <w:sz w:val="20"/>
        </w:rPr>
        <mc:AlternateContent>
          <mc:Choice Requires="wps">
            <w:drawing>
              <wp:anchor distT="0" distB="0" distL="114300" distR="114300" simplePos="0" relativeHeight="251688960" behindDoc="0" locked="0" layoutInCell="1" allowOverlap="1" wp14:anchorId="36026934" wp14:editId="08DD77C3">
                <wp:simplePos x="0" y="0"/>
                <wp:positionH relativeFrom="page">
                  <wp:posOffset>1040765</wp:posOffset>
                </wp:positionH>
                <wp:positionV relativeFrom="paragraph">
                  <wp:posOffset>735965</wp:posOffset>
                </wp:positionV>
                <wp:extent cx="258445" cy="516255"/>
                <wp:effectExtent l="0" t="0" r="0" b="0"/>
                <wp:wrapNone/>
                <wp:docPr id="39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BDBAD" w14:textId="77777777" w:rsidR="00FD55D7" w:rsidRPr="00107197" w:rsidRDefault="00FD55D7" w:rsidP="002D6804">
                            <w:pPr>
                              <w:spacing w:before="14" w:line="244" w:lineRule="auto"/>
                              <w:ind w:left="20" w:right="-1" w:firstLine="205"/>
                              <w:rPr>
                                <w:rFonts w:ascii="Arial" w:hAnsi="Arial" w:cs="Arial"/>
                                <w:sz w:val="16"/>
                              </w:rPr>
                            </w:pPr>
                            <w:r w:rsidRPr="00107197">
                              <w:rPr>
                                <w:rFonts w:ascii="Arial" w:hAnsi="Arial" w:cs="Arial"/>
                                <w:sz w:val="16"/>
                              </w:rPr>
                              <w:t>Audit Committee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26934" id="Text Box 35" o:spid="_x0000_s1112" type="#_x0000_t202" style="position:absolute;left:0;text-align:left;margin-left:81.95pt;margin-top:57.95pt;width:20.35pt;height:40.6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" filled="f" stroked="f">
                <v:textbox style="layout-flow:vertical;mso-layout-flow-alt:bottom-to-top" inset="0,0,0,0">
                  <w:txbxContent>
                    <w:p w14:paraId="7C7BDBAD" w14:textId="77777777" w:rsidR="00FD55D7" w:rsidRPr="00107197" w:rsidRDefault="00FD55D7" w:rsidP="002D6804">
                      <w:pPr>
                        <w:spacing w:before="14" w:line="244" w:lineRule="auto"/>
                        <w:ind w:left="20" w:right="-1" w:firstLine="205"/>
                        <w:rPr>
                          <w:rFonts w:ascii="Arial" w:hAnsi="Arial" w:cs="Arial"/>
                          <w:sz w:val="16"/>
                        </w:rPr>
                      </w:pPr>
                      <w:r w:rsidRPr="00107197">
                        <w:rPr>
                          <w:rFonts w:ascii="Arial" w:hAnsi="Arial" w:cs="Arial"/>
                          <w:sz w:val="16"/>
                        </w:rPr>
                        <w:t>Audit Committee</w:t>
                      </w:r>
                    </w:p>
                  </w:txbxContent>
                </v:textbox>
                <w10:wrap anchorx="page"/>
              </v:shape>
            </w:pict>
          </mc:Fallback>
        </mc:AlternateContent>
      </w:r>
      <w:r w:rsidRPr="001A7972">
        <w:rPr>
          <w:sz w:val="20"/>
        </w:rPr>
        <w:t xml:space="preserve">The following diagram provides a </w:t>
      </w:r>
      <w:proofErr w:type="gramStart"/>
      <w:r w:rsidRPr="001A7972">
        <w:rPr>
          <w:sz w:val="20"/>
        </w:rPr>
        <w:t>high level</w:t>
      </w:r>
      <w:proofErr w:type="gramEnd"/>
      <w:r w:rsidRPr="001A7972">
        <w:rPr>
          <w:sz w:val="20"/>
        </w:rPr>
        <w:t xml:space="preserve"> view of the ongoing reporting process for Risk Management</w:t>
      </w:r>
      <w:r>
        <w:t>.</w:t>
      </w:r>
    </w:p>
    <w:p w14:paraId="2348F1B0" w14:textId="5A444A26" w:rsidR="002D6804" w:rsidRDefault="001A7972" w:rsidP="002D6804">
      <w:pPr>
        <w:pStyle w:val="BodyText"/>
      </w:pPr>
      <w:r w:rsidRPr="001A7972">
        <w:rPr>
          <w:noProof/>
          <w:sz w:val="20"/>
        </w:rPr>
        <mc:AlternateContent>
          <mc:Choice Requires="wpg">
            <w:drawing>
              <wp:anchor distT="0" distB="0" distL="114300" distR="114300" simplePos="0" relativeHeight="251685888" behindDoc="0" locked="0" layoutInCell="1" allowOverlap="1" wp14:anchorId="49615942" wp14:editId="2E7B3DF8">
                <wp:simplePos x="0" y="0"/>
                <wp:positionH relativeFrom="margin">
                  <wp:align>center</wp:align>
                </wp:positionH>
                <wp:positionV relativeFrom="paragraph">
                  <wp:posOffset>5080</wp:posOffset>
                </wp:positionV>
                <wp:extent cx="6015990" cy="4147820"/>
                <wp:effectExtent l="0" t="0" r="22860" b="24130"/>
                <wp:wrapNone/>
                <wp:docPr id="363"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5990" cy="4147820"/>
                          <a:chOff x="1305" y="537"/>
                          <a:chExt cx="9474" cy="6532"/>
                        </a:xfrm>
                      </wpg:grpSpPr>
                      <wps:wsp>
                        <wps:cNvPr id="364" name="Rectangle 68"/>
                        <wps:cNvSpPr>
                          <a:spLocks noChangeArrowheads="1"/>
                        </wps:cNvSpPr>
                        <wps:spPr bwMode="auto">
                          <a:xfrm>
                            <a:off x="1315" y="967"/>
                            <a:ext cx="950" cy="1192"/>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 name="AutoShape 67"/>
                        <wps:cNvSpPr>
                          <a:spLocks/>
                        </wps:cNvSpPr>
                        <wps:spPr bwMode="auto">
                          <a:xfrm>
                            <a:off x="1305" y="967"/>
                            <a:ext cx="969" cy="1192"/>
                          </a:xfrm>
                          <a:custGeom>
                            <a:avLst/>
                            <a:gdLst>
                              <a:gd name="T0" fmla="+- 0 1315 1306"/>
                              <a:gd name="T1" fmla="*/ T0 w 969"/>
                              <a:gd name="T2" fmla="+- 0 968 968"/>
                              <a:gd name="T3" fmla="*/ 968 h 1192"/>
                              <a:gd name="T4" fmla="+- 0 1306 1306"/>
                              <a:gd name="T5" fmla="*/ T4 w 969"/>
                              <a:gd name="T6" fmla="+- 0 968 968"/>
                              <a:gd name="T7" fmla="*/ 968 h 1192"/>
                              <a:gd name="T8" fmla="+- 0 1306 1306"/>
                              <a:gd name="T9" fmla="*/ T8 w 969"/>
                              <a:gd name="T10" fmla="+- 0 2159 968"/>
                              <a:gd name="T11" fmla="*/ 2159 h 1192"/>
                              <a:gd name="T12" fmla="+- 0 1315 1306"/>
                              <a:gd name="T13" fmla="*/ T12 w 969"/>
                              <a:gd name="T14" fmla="+- 0 2159 968"/>
                              <a:gd name="T15" fmla="*/ 2159 h 1192"/>
                              <a:gd name="T16" fmla="+- 0 1315 1306"/>
                              <a:gd name="T17" fmla="*/ T16 w 969"/>
                              <a:gd name="T18" fmla="+- 0 968 968"/>
                              <a:gd name="T19" fmla="*/ 968 h 1192"/>
                              <a:gd name="T20" fmla="+- 0 2274 1306"/>
                              <a:gd name="T21" fmla="*/ T20 w 969"/>
                              <a:gd name="T22" fmla="+- 0 968 968"/>
                              <a:gd name="T23" fmla="*/ 968 h 1192"/>
                              <a:gd name="T24" fmla="+- 0 2264 1306"/>
                              <a:gd name="T25" fmla="*/ T24 w 969"/>
                              <a:gd name="T26" fmla="+- 0 968 968"/>
                              <a:gd name="T27" fmla="*/ 968 h 1192"/>
                              <a:gd name="T28" fmla="+- 0 2264 1306"/>
                              <a:gd name="T29" fmla="*/ T28 w 969"/>
                              <a:gd name="T30" fmla="+- 0 2159 968"/>
                              <a:gd name="T31" fmla="*/ 2159 h 1192"/>
                              <a:gd name="T32" fmla="+- 0 2274 1306"/>
                              <a:gd name="T33" fmla="*/ T32 w 969"/>
                              <a:gd name="T34" fmla="+- 0 2159 968"/>
                              <a:gd name="T35" fmla="*/ 2159 h 1192"/>
                              <a:gd name="T36" fmla="+- 0 2274 1306"/>
                              <a:gd name="T37" fmla="*/ T36 w 969"/>
                              <a:gd name="T38" fmla="+- 0 968 968"/>
                              <a:gd name="T39" fmla="*/ 968 h 1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69" h="1192">
                                <a:moveTo>
                                  <a:pt x="9" y="0"/>
                                </a:moveTo>
                                <a:lnTo>
                                  <a:pt x="0" y="0"/>
                                </a:lnTo>
                                <a:lnTo>
                                  <a:pt x="0" y="1191"/>
                                </a:lnTo>
                                <a:lnTo>
                                  <a:pt x="9" y="1191"/>
                                </a:lnTo>
                                <a:lnTo>
                                  <a:pt x="9" y="0"/>
                                </a:lnTo>
                                <a:close/>
                                <a:moveTo>
                                  <a:pt x="968" y="0"/>
                                </a:moveTo>
                                <a:lnTo>
                                  <a:pt x="958" y="0"/>
                                </a:lnTo>
                                <a:lnTo>
                                  <a:pt x="958" y="1191"/>
                                </a:lnTo>
                                <a:lnTo>
                                  <a:pt x="968" y="1191"/>
                                </a:lnTo>
                                <a:lnTo>
                                  <a:pt x="9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Rectangle 66"/>
                        <wps:cNvSpPr>
                          <a:spLocks noChangeArrowheads="1"/>
                        </wps:cNvSpPr>
                        <wps:spPr bwMode="auto">
                          <a:xfrm>
                            <a:off x="1315" y="2169"/>
                            <a:ext cx="950" cy="1192"/>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Freeform 65"/>
                        <wps:cNvSpPr>
                          <a:spLocks/>
                        </wps:cNvSpPr>
                        <wps:spPr bwMode="auto">
                          <a:xfrm>
                            <a:off x="1305" y="967"/>
                            <a:ext cx="9474" cy="2393"/>
                          </a:xfrm>
                          <a:custGeom>
                            <a:avLst/>
                            <a:gdLst>
                              <a:gd name="T0" fmla="+- 0 10780 1306"/>
                              <a:gd name="T1" fmla="*/ T0 w 9474"/>
                              <a:gd name="T2" fmla="+- 0 968 968"/>
                              <a:gd name="T3" fmla="*/ 968 h 2393"/>
                              <a:gd name="T4" fmla="+- 0 10770 1306"/>
                              <a:gd name="T5" fmla="*/ T4 w 9474"/>
                              <a:gd name="T6" fmla="+- 0 968 968"/>
                              <a:gd name="T7" fmla="*/ 968 h 2393"/>
                              <a:gd name="T8" fmla="+- 0 10770 1306"/>
                              <a:gd name="T9" fmla="*/ T8 w 9474"/>
                              <a:gd name="T10" fmla="+- 0 2159 968"/>
                              <a:gd name="T11" fmla="*/ 2159 h 2393"/>
                              <a:gd name="T12" fmla="+- 0 1306 1306"/>
                              <a:gd name="T13" fmla="*/ T12 w 9474"/>
                              <a:gd name="T14" fmla="+- 0 2159 968"/>
                              <a:gd name="T15" fmla="*/ 2159 h 2393"/>
                              <a:gd name="T16" fmla="+- 0 1306 1306"/>
                              <a:gd name="T17" fmla="*/ T16 w 9474"/>
                              <a:gd name="T18" fmla="+- 0 2169 968"/>
                              <a:gd name="T19" fmla="*/ 2169 h 2393"/>
                              <a:gd name="T20" fmla="+- 0 1306 1306"/>
                              <a:gd name="T21" fmla="*/ T20 w 9474"/>
                              <a:gd name="T22" fmla="+- 0 3361 968"/>
                              <a:gd name="T23" fmla="*/ 3361 h 2393"/>
                              <a:gd name="T24" fmla="+- 0 1315 1306"/>
                              <a:gd name="T25" fmla="*/ T24 w 9474"/>
                              <a:gd name="T26" fmla="+- 0 3361 968"/>
                              <a:gd name="T27" fmla="*/ 3361 h 2393"/>
                              <a:gd name="T28" fmla="+- 0 1315 1306"/>
                              <a:gd name="T29" fmla="*/ T28 w 9474"/>
                              <a:gd name="T30" fmla="+- 0 2169 968"/>
                              <a:gd name="T31" fmla="*/ 2169 h 2393"/>
                              <a:gd name="T32" fmla="+- 0 2264 1306"/>
                              <a:gd name="T33" fmla="*/ T32 w 9474"/>
                              <a:gd name="T34" fmla="+- 0 2169 968"/>
                              <a:gd name="T35" fmla="*/ 2169 h 2393"/>
                              <a:gd name="T36" fmla="+- 0 2264 1306"/>
                              <a:gd name="T37" fmla="*/ T36 w 9474"/>
                              <a:gd name="T38" fmla="+- 0 3361 968"/>
                              <a:gd name="T39" fmla="*/ 3361 h 2393"/>
                              <a:gd name="T40" fmla="+- 0 2274 1306"/>
                              <a:gd name="T41" fmla="*/ T40 w 9474"/>
                              <a:gd name="T42" fmla="+- 0 3361 968"/>
                              <a:gd name="T43" fmla="*/ 3361 h 2393"/>
                              <a:gd name="T44" fmla="+- 0 2274 1306"/>
                              <a:gd name="T45" fmla="*/ T44 w 9474"/>
                              <a:gd name="T46" fmla="+- 0 2169 968"/>
                              <a:gd name="T47" fmla="*/ 2169 h 2393"/>
                              <a:gd name="T48" fmla="+- 0 10770 1306"/>
                              <a:gd name="T49" fmla="*/ T48 w 9474"/>
                              <a:gd name="T50" fmla="+- 0 2169 968"/>
                              <a:gd name="T51" fmla="*/ 2169 h 2393"/>
                              <a:gd name="T52" fmla="+- 0 10770 1306"/>
                              <a:gd name="T53" fmla="*/ T52 w 9474"/>
                              <a:gd name="T54" fmla="+- 0 3361 968"/>
                              <a:gd name="T55" fmla="*/ 3361 h 2393"/>
                              <a:gd name="T56" fmla="+- 0 10780 1306"/>
                              <a:gd name="T57" fmla="*/ T56 w 9474"/>
                              <a:gd name="T58" fmla="+- 0 3361 968"/>
                              <a:gd name="T59" fmla="*/ 3361 h 2393"/>
                              <a:gd name="T60" fmla="+- 0 10780 1306"/>
                              <a:gd name="T61" fmla="*/ T60 w 9474"/>
                              <a:gd name="T62" fmla="+- 0 2169 968"/>
                              <a:gd name="T63" fmla="*/ 2169 h 2393"/>
                              <a:gd name="T64" fmla="+- 0 10780 1306"/>
                              <a:gd name="T65" fmla="*/ T64 w 9474"/>
                              <a:gd name="T66" fmla="+- 0 2159 968"/>
                              <a:gd name="T67" fmla="*/ 2159 h 2393"/>
                              <a:gd name="T68" fmla="+- 0 10780 1306"/>
                              <a:gd name="T69" fmla="*/ T68 w 9474"/>
                              <a:gd name="T70" fmla="+- 0 968 968"/>
                              <a:gd name="T71" fmla="*/ 968 h 23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474" h="2393">
                                <a:moveTo>
                                  <a:pt x="9474" y="0"/>
                                </a:moveTo>
                                <a:lnTo>
                                  <a:pt x="9464" y="0"/>
                                </a:lnTo>
                                <a:lnTo>
                                  <a:pt x="9464" y="1191"/>
                                </a:lnTo>
                                <a:lnTo>
                                  <a:pt x="0" y="1191"/>
                                </a:lnTo>
                                <a:lnTo>
                                  <a:pt x="0" y="1201"/>
                                </a:lnTo>
                                <a:lnTo>
                                  <a:pt x="0" y="2393"/>
                                </a:lnTo>
                                <a:lnTo>
                                  <a:pt x="9" y="2393"/>
                                </a:lnTo>
                                <a:lnTo>
                                  <a:pt x="9" y="1201"/>
                                </a:lnTo>
                                <a:lnTo>
                                  <a:pt x="958" y="1201"/>
                                </a:lnTo>
                                <a:lnTo>
                                  <a:pt x="958" y="2393"/>
                                </a:lnTo>
                                <a:lnTo>
                                  <a:pt x="968" y="2393"/>
                                </a:lnTo>
                                <a:lnTo>
                                  <a:pt x="968" y="1201"/>
                                </a:lnTo>
                                <a:lnTo>
                                  <a:pt x="9464" y="1201"/>
                                </a:lnTo>
                                <a:lnTo>
                                  <a:pt x="9464" y="2393"/>
                                </a:lnTo>
                                <a:lnTo>
                                  <a:pt x="9474" y="2393"/>
                                </a:lnTo>
                                <a:lnTo>
                                  <a:pt x="9474" y="1201"/>
                                </a:lnTo>
                                <a:lnTo>
                                  <a:pt x="9474" y="1191"/>
                                </a:lnTo>
                                <a:lnTo>
                                  <a:pt x="94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Rectangle 368"/>
                        <wps:cNvSpPr>
                          <a:spLocks noChangeArrowheads="1"/>
                        </wps:cNvSpPr>
                        <wps:spPr bwMode="auto">
                          <a:xfrm>
                            <a:off x="1315" y="3370"/>
                            <a:ext cx="950" cy="119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9" name="Freeform 63"/>
                        <wps:cNvSpPr>
                          <a:spLocks/>
                        </wps:cNvSpPr>
                        <wps:spPr bwMode="auto">
                          <a:xfrm>
                            <a:off x="1305" y="3360"/>
                            <a:ext cx="9474" cy="1200"/>
                          </a:xfrm>
                          <a:custGeom>
                            <a:avLst/>
                            <a:gdLst>
                              <a:gd name="T0" fmla="+- 0 10780 1306"/>
                              <a:gd name="T1" fmla="*/ T0 w 9474"/>
                              <a:gd name="T2" fmla="+- 0 3361 3361"/>
                              <a:gd name="T3" fmla="*/ 3361 h 1200"/>
                              <a:gd name="T4" fmla="+- 0 1306 1306"/>
                              <a:gd name="T5" fmla="*/ T4 w 9474"/>
                              <a:gd name="T6" fmla="+- 0 3361 3361"/>
                              <a:gd name="T7" fmla="*/ 3361 h 1200"/>
                              <a:gd name="T8" fmla="+- 0 1306 1306"/>
                              <a:gd name="T9" fmla="*/ T8 w 9474"/>
                              <a:gd name="T10" fmla="+- 0 3370 3361"/>
                              <a:gd name="T11" fmla="*/ 3370 h 1200"/>
                              <a:gd name="T12" fmla="+- 0 1306 1306"/>
                              <a:gd name="T13" fmla="*/ T12 w 9474"/>
                              <a:gd name="T14" fmla="+- 0 4561 3361"/>
                              <a:gd name="T15" fmla="*/ 4561 h 1200"/>
                              <a:gd name="T16" fmla="+- 0 1315 1306"/>
                              <a:gd name="T17" fmla="*/ T16 w 9474"/>
                              <a:gd name="T18" fmla="+- 0 4561 3361"/>
                              <a:gd name="T19" fmla="*/ 4561 h 1200"/>
                              <a:gd name="T20" fmla="+- 0 1315 1306"/>
                              <a:gd name="T21" fmla="*/ T20 w 9474"/>
                              <a:gd name="T22" fmla="+- 0 3370 3361"/>
                              <a:gd name="T23" fmla="*/ 3370 h 1200"/>
                              <a:gd name="T24" fmla="+- 0 2264 1306"/>
                              <a:gd name="T25" fmla="*/ T24 w 9474"/>
                              <a:gd name="T26" fmla="+- 0 3370 3361"/>
                              <a:gd name="T27" fmla="*/ 3370 h 1200"/>
                              <a:gd name="T28" fmla="+- 0 2264 1306"/>
                              <a:gd name="T29" fmla="*/ T28 w 9474"/>
                              <a:gd name="T30" fmla="+- 0 4561 3361"/>
                              <a:gd name="T31" fmla="*/ 4561 h 1200"/>
                              <a:gd name="T32" fmla="+- 0 2274 1306"/>
                              <a:gd name="T33" fmla="*/ T32 w 9474"/>
                              <a:gd name="T34" fmla="+- 0 4561 3361"/>
                              <a:gd name="T35" fmla="*/ 4561 h 1200"/>
                              <a:gd name="T36" fmla="+- 0 2274 1306"/>
                              <a:gd name="T37" fmla="*/ T36 w 9474"/>
                              <a:gd name="T38" fmla="+- 0 3370 3361"/>
                              <a:gd name="T39" fmla="*/ 3370 h 1200"/>
                              <a:gd name="T40" fmla="+- 0 10770 1306"/>
                              <a:gd name="T41" fmla="*/ T40 w 9474"/>
                              <a:gd name="T42" fmla="+- 0 3370 3361"/>
                              <a:gd name="T43" fmla="*/ 3370 h 1200"/>
                              <a:gd name="T44" fmla="+- 0 10770 1306"/>
                              <a:gd name="T45" fmla="*/ T44 w 9474"/>
                              <a:gd name="T46" fmla="+- 0 4561 3361"/>
                              <a:gd name="T47" fmla="*/ 4561 h 1200"/>
                              <a:gd name="T48" fmla="+- 0 10780 1306"/>
                              <a:gd name="T49" fmla="*/ T48 w 9474"/>
                              <a:gd name="T50" fmla="+- 0 4561 3361"/>
                              <a:gd name="T51" fmla="*/ 4561 h 1200"/>
                              <a:gd name="T52" fmla="+- 0 10780 1306"/>
                              <a:gd name="T53" fmla="*/ T52 w 9474"/>
                              <a:gd name="T54" fmla="+- 0 3370 3361"/>
                              <a:gd name="T55" fmla="*/ 3370 h 1200"/>
                              <a:gd name="T56" fmla="+- 0 10780 1306"/>
                              <a:gd name="T57" fmla="*/ T56 w 9474"/>
                              <a:gd name="T58" fmla="+- 0 3361 3361"/>
                              <a:gd name="T59" fmla="*/ 3361 h 1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474" h="1200">
                                <a:moveTo>
                                  <a:pt x="9474" y="0"/>
                                </a:moveTo>
                                <a:lnTo>
                                  <a:pt x="0" y="0"/>
                                </a:lnTo>
                                <a:lnTo>
                                  <a:pt x="0" y="9"/>
                                </a:lnTo>
                                <a:lnTo>
                                  <a:pt x="0" y="1200"/>
                                </a:lnTo>
                                <a:lnTo>
                                  <a:pt x="9" y="1200"/>
                                </a:lnTo>
                                <a:lnTo>
                                  <a:pt x="9" y="9"/>
                                </a:lnTo>
                                <a:lnTo>
                                  <a:pt x="958" y="9"/>
                                </a:lnTo>
                                <a:lnTo>
                                  <a:pt x="958" y="1200"/>
                                </a:lnTo>
                                <a:lnTo>
                                  <a:pt x="968" y="1200"/>
                                </a:lnTo>
                                <a:lnTo>
                                  <a:pt x="968" y="9"/>
                                </a:lnTo>
                                <a:lnTo>
                                  <a:pt x="9464" y="9"/>
                                </a:lnTo>
                                <a:lnTo>
                                  <a:pt x="9464" y="1200"/>
                                </a:lnTo>
                                <a:lnTo>
                                  <a:pt x="9474" y="1200"/>
                                </a:lnTo>
                                <a:lnTo>
                                  <a:pt x="9474" y="9"/>
                                </a:lnTo>
                                <a:lnTo>
                                  <a:pt x="94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Rectangle 62"/>
                        <wps:cNvSpPr>
                          <a:spLocks noChangeArrowheads="1"/>
                        </wps:cNvSpPr>
                        <wps:spPr bwMode="auto">
                          <a:xfrm>
                            <a:off x="1315" y="4571"/>
                            <a:ext cx="950" cy="1287"/>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1" name="Freeform 61"/>
                        <wps:cNvSpPr>
                          <a:spLocks/>
                        </wps:cNvSpPr>
                        <wps:spPr bwMode="auto">
                          <a:xfrm>
                            <a:off x="1305" y="4560"/>
                            <a:ext cx="9474" cy="1298"/>
                          </a:xfrm>
                          <a:custGeom>
                            <a:avLst/>
                            <a:gdLst>
                              <a:gd name="T0" fmla="+- 0 10780 1306"/>
                              <a:gd name="T1" fmla="*/ T0 w 9474"/>
                              <a:gd name="T2" fmla="+- 0 4561 4561"/>
                              <a:gd name="T3" fmla="*/ 4561 h 1298"/>
                              <a:gd name="T4" fmla="+- 0 1306 1306"/>
                              <a:gd name="T5" fmla="*/ T4 w 9474"/>
                              <a:gd name="T6" fmla="+- 0 4561 4561"/>
                              <a:gd name="T7" fmla="*/ 4561 h 1298"/>
                              <a:gd name="T8" fmla="+- 0 1306 1306"/>
                              <a:gd name="T9" fmla="*/ T8 w 9474"/>
                              <a:gd name="T10" fmla="+- 0 4570 4561"/>
                              <a:gd name="T11" fmla="*/ 4570 h 1298"/>
                              <a:gd name="T12" fmla="+- 0 1306 1306"/>
                              <a:gd name="T13" fmla="*/ T12 w 9474"/>
                              <a:gd name="T14" fmla="+- 0 5858 4561"/>
                              <a:gd name="T15" fmla="*/ 5858 h 1298"/>
                              <a:gd name="T16" fmla="+- 0 1315 1306"/>
                              <a:gd name="T17" fmla="*/ T16 w 9474"/>
                              <a:gd name="T18" fmla="+- 0 5858 4561"/>
                              <a:gd name="T19" fmla="*/ 5858 h 1298"/>
                              <a:gd name="T20" fmla="+- 0 1315 1306"/>
                              <a:gd name="T21" fmla="*/ T20 w 9474"/>
                              <a:gd name="T22" fmla="+- 0 4570 4561"/>
                              <a:gd name="T23" fmla="*/ 4570 h 1298"/>
                              <a:gd name="T24" fmla="+- 0 2264 1306"/>
                              <a:gd name="T25" fmla="*/ T24 w 9474"/>
                              <a:gd name="T26" fmla="+- 0 4570 4561"/>
                              <a:gd name="T27" fmla="*/ 4570 h 1298"/>
                              <a:gd name="T28" fmla="+- 0 2264 1306"/>
                              <a:gd name="T29" fmla="*/ T28 w 9474"/>
                              <a:gd name="T30" fmla="+- 0 5858 4561"/>
                              <a:gd name="T31" fmla="*/ 5858 h 1298"/>
                              <a:gd name="T32" fmla="+- 0 2274 1306"/>
                              <a:gd name="T33" fmla="*/ T32 w 9474"/>
                              <a:gd name="T34" fmla="+- 0 5858 4561"/>
                              <a:gd name="T35" fmla="*/ 5858 h 1298"/>
                              <a:gd name="T36" fmla="+- 0 2274 1306"/>
                              <a:gd name="T37" fmla="*/ T36 w 9474"/>
                              <a:gd name="T38" fmla="+- 0 4570 4561"/>
                              <a:gd name="T39" fmla="*/ 4570 h 1298"/>
                              <a:gd name="T40" fmla="+- 0 10770 1306"/>
                              <a:gd name="T41" fmla="*/ T40 w 9474"/>
                              <a:gd name="T42" fmla="+- 0 4570 4561"/>
                              <a:gd name="T43" fmla="*/ 4570 h 1298"/>
                              <a:gd name="T44" fmla="+- 0 10770 1306"/>
                              <a:gd name="T45" fmla="*/ T44 w 9474"/>
                              <a:gd name="T46" fmla="+- 0 5858 4561"/>
                              <a:gd name="T47" fmla="*/ 5858 h 1298"/>
                              <a:gd name="T48" fmla="+- 0 10780 1306"/>
                              <a:gd name="T49" fmla="*/ T48 w 9474"/>
                              <a:gd name="T50" fmla="+- 0 5858 4561"/>
                              <a:gd name="T51" fmla="*/ 5858 h 1298"/>
                              <a:gd name="T52" fmla="+- 0 10780 1306"/>
                              <a:gd name="T53" fmla="*/ T52 w 9474"/>
                              <a:gd name="T54" fmla="+- 0 4570 4561"/>
                              <a:gd name="T55" fmla="*/ 4570 h 1298"/>
                              <a:gd name="T56" fmla="+- 0 10780 1306"/>
                              <a:gd name="T57" fmla="*/ T56 w 9474"/>
                              <a:gd name="T58" fmla="+- 0 4561 4561"/>
                              <a:gd name="T59" fmla="*/ 4561 h 1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474" h="1298">
                                <a:moveTo>
                                  <a:pt x="9474" y="0"/>
                                </a:moveTo>
                                <a:lnTo>
                                  <a:pt x="0" y="0"/>
                                </a:lnTo>
                                <a:lnTo>
                                  <a:pt x="0" y="9"/>
                                </a:lnTo>
                                <a:lnTo>
                                  <a:pt x="0" y="1297"/>
                                </a:lnTo>
                                <a:lnTo>
                                  <a:pt x="9" y="1297"/>
                                </a:lnTo>
                                <a:lnTo>
                                  <a:pt x="9" y="9"/>
                                </a:lnTo>
                                <a:lnTo>
                                  <a:pt x="958" y="9"/>
                                </a:lnTo>
                                <a:lnTo>
                                  <a:pt x="958" y="1297"/>
                                </a:lnTo>
                                <a:lnTo>
                                  <a:pt x="968" y="1297"/>
                                </a:lnTo>
                                <a:lnTo>
                                  <a:pt x="968" y="9"/>
                                </a:lnTo>
                                <a:lnTo>
                                  <a:pt x="9464" y="9"/>
                                </a:lnTo>
                                <a:lnTo>
                                  <a:pt x="9464" y="1297"/>
                                </a:lnTo>
                                <a:lnTo>
                                  <a:pt x="9474" y="1297"/>
                                </a:lnTo>
                                <a:lnTo>
                                  <a:pt x="9474" y="9"/>
                                </a:lnTo>
                                <a:lnTo>
                                  <a:pt x="94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Rectangle 60"/>
                        <wps:cNvSpPr>
                          <a:spLocks noChangeArrowheads="1"/>
                        </wps:cNvSpPr>
                        <wps:spPr bwMode="auto">
                          <a:xfrm>
                            <a:off x="1315" y="5868"/>
                            <a:ext cx="950" cy="119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AutoShape 59"/>
                        <wps:cNvSpPr>
                          <a:spLocks/>
                        </wps:cNvSpPr>
                        <wps:spPr bwMode="auto">
                          <a:xfrm>
                            <a:off x="1305" y="1851"/>
                            <a:ext cx="9474" cy="5218"/>
                          </a:xfrm>
                          <a:custGeom>
                            <a:avLst/>
                            <a:gdLst>
                              <a:gd name="T0" fmla="+- 0 3463 1306"/>
                              <a:gd name="T1" fmla="*/ T0 w 9474"/>
                              <a:gd name="T2" fmla="+- 0 1951 1851"/>
                              <a:gd name="T3" fmla="*/ 1951 h 5218"/>
                              <a:gd name="T4" fmla="+- 0 3353 1306"/>
                              <a:gd name="T5" fmla="*/ T4 w 9474"/>
                              <a:gd name="T6" fmla="+- 0 1972 1851"/>
                              <a:gd name="T7" fmla="*/ 1972 h 5218"/>
                              <a:gd name="T8" fmla="+- 0 3418 1306"/>
                              <a:gd name="T9" fmla="*/ T8 w 9474"/>
                              <a:gd name="T10" fmla="+- 0 2734 1851"/>
                              <a:gd name="T11" fmla="*/ 2734 h 5218"/>
                              <a:gd name="T12" fmla="+- 0 3420 1306"/>
                              <a:gd name="T13" fmla="*/ T12 w 9474"/>
                              <a:gd name="T14" fmla="+- 0 1971 1851"/>
                              <a:gd name="T15" fmla="*/ 1971 h 5218"/>
                              <a:gd name="T16" fmla="+- 0 9796 1306"/>
                              <a:gd name="T17" fmla="*/ T16 w 9474"/>
                              <a:gd name="T18" fmla="+- 0 4702 1851"/>
                              <a:gd name="T19" fmla="*/ 4702 h 5218"/>
                              <a:gd name="T20" fmla="+- 0 9743 1306"/>
                              <a:gd name="T21" fmla="*/ T20 w 9474"/>
                              <a:gd name="T22" fmla="+- 0 4282 1851"/>
                              <a:gd name="T23" fmla="*/ 4282 h 5218"/>
                              <a:gd name="T24" fmla="+- 0 9728 1306"/>
                              <a:gd name="T25" fmla="*/ T24 w 9474"/>
                              <a:gd name="T26" fmla="+- 0 4702 1851"/>
                              <a:gd name="T27" fmla="*/ 4702 h 5218"/>
                              <a:gd name="T28" fmla="+- 0 9736 1306"/>
                              <a:gd name="T29" fmla="*/ T28 w 9474"/>
                              <a:gd name="T30" fmla="+- 0 4822 1851"/>
                              <a:gd name="T31" fmla="*/ 4822 h 5218"/>
                              <a:gd name="T32" fmla="+- 0 9796 1306"/>
                              <a:gd name="T33" fmla="*/ T32 w 9474"/>
                              <a:gd name="T34" fmla="+- 0 4702 1851"/>
                              <a:gd name="T35" fmla="*/ 4702 h 5218"/>
                              <a:gd name="T36" fmla="+- 0 10770 1306"/>
                              <a:gd name="T37" fmla="*/ T36 w 9474"/>
                              <a:gd name="T38" fmla="+- 0 5858 1851"/>
                              <a:gd name="T39" fmla="*/ 5858 h 5218"/>
                              <a:gd name="T40" fmla="+- 0 10770 1306"/>
                              <a:gd name="T41" fmla="*/ T40 w 9474"/>
                              <a:gd name="T42" fmla="+- 0 7059 1851"/>
                              <a:gd name="T43" fmla="*/ 7059 h 5218"/>
                              <a:gd name="T44" fmla="+- 0 2274 1306"/>
                              <a:gd name="T45" fmla="*/ T44 w 9474"/>
                              <a:gd name="T46" fmla="+- 0 5867 1851"/>
                              <a:gd name="T47" fmla="*/ 5867 h 5218"/>
                              <a:gd name="T48" fmla="+- 0 4502 1306"/>
                              <a:gd name="T49" fmla="*/ T48 w 9474"/>
                              <a:gd name="T50" fmla="+- 0 5872 1851"/>
                              <a:gd name="T51" fmla="*/ 5872 h 5218"/>
                              <a:gd name="T52" fmla="+- 0 4517 1306"/>
                              <a:gd name="T53" fmla="*/ T52 w 9474"/>
                              <a:gd name="T54" fmla="+- 0 5867 1851"/>
                              <a:gd name="T55" fmla="*/ 5867 h 5218"/>
                              <a:gd name="T56" fmla="+- 0 9733 1306"/>
                              <a:gd name="T57" fmla="*/ T56 w 9474"/>
                              <a:gd name="T58" fmla="+- 0 6472 1851"/>
                              <a:gd name="T59" fmla="*/ 6472 h 5218"/>
                              <a:gd name="T60" fmla="+- 0 5694 1306"/>
                              <a:gd name="T61" fmla="*/ T60 w 9474"/>
                              <a:gd name="T62" fmla="+- 0 6419 1851"/>
                              <a:gd name="T63" fmla="*/ 6419 h 5218"/>
                              <a:gd name="T64" fmla="+- 0 5694 1306"/>
                              <a:gd name="T65" fmla="*/ T64 w 9474"/>
                              <a:gd name="T66" fmla="+- 0 6539 1851"/>
                              <a:gd name="T67" fmla="*/ 6539 h 5218"/>
                              <a:gd name="T68" fmla="+- 0 9745 1306"/>
                              <a:gd name="T69" fmla="*/ T68 w 9474"/>
                              <a:gd name="T70" fmla="+- 0 6487 1851"/>
                              <a:gd name="T71" fmla="*/ 6487 h 5218"/>
                              <a:gd name="T72" fmla="+- 0 9748 1306"/>
                              <a:gd name="T73" fmla="*/ T72 w 9474"/>
                              <a:gd name="T74" fmla="+- 0 6479 1851"/>
                              <a:gd name="T75" fmla="*/ 6479 h 5218"/>
                              <a:gd name="T76" fmla="+- 0 9748 1306"/>
                              <a:gd name="T77" fmla="*/ T76 w 9474"/>
                              <a:gd name="T78" fmla="+- 0 5867 1851"/>
                              <a:gd name="T79" fmla="*/ 5867 h 5218"/>
                              <a:gd name="T80" fmla="+- 0 10770 1306"/>
                              <a:gd name="T81" fmla="*/ T80 w 9474"/>
                              <a:gd name="T82" fmla="+- 0 5858 1851"/>
                              <a:gd name="T83" fmla="*/ 5858 h 5218"/>
                              <a:gd name="T84" fmla="+- 0 9748 1306"/>
                              <a:gd name="T85" fmla="*/ T84 w 9474"/>
                              <a:gd name="T86" fmla="+- 0 5491 1851"/>
                              <a:gd name="T87" fmla="*/ 5491 h 5218"/>
                              <a:gd name="T88" fmla="+- 0 9745 1306"/>
                              <a:gd name="T89" fmla="*/ T88 w 9474"/>
                              <a:gd name="T90" fmla="+- 0 5475 1851"/>
                              <a:gd name="T91" fmla="*/ 5475 h 5218"/>
                              <a:gd name="T92" fmla="+- 0 9737 1306"/>
                              <a:gd name="T93" fmla="*/ T92 w 9474"/>
                              <a:gd name="T94" fmla="+- 0 5486 1851"/>
                              <a:gd name="T95" fmla="*/ 5486 h 5218"/>
                              <a:gd name="T96" fmla="+- 0 9733 1306"/>
                              <a:gd name="T97" fmla="*/ T96 w 9474"/>
                              <a:gd name="T98" fmla="+- 0 5858 1851"/>
                              <a:gd name="T99" fmla="*/ 5858 h 5218"/>
                              <a:gd name="T100" fmla="+- 0 4517 1306"/>
                              <a:gd name="T101" fmla="*/ T100 w 9474"/>
                              <a:gd name="T102" fmla="+- 0 5159 1851"/>
                              <a:gd name="T103" fmla="*/ 5159 h 5218"/>
                              <a:gd name="T104" fmla="+- 0 4650 1306"/>
                              <a:gd name="T105" fmla="*/ T104 w 9474"/>
                              <a:gd name="T106" fmla="+- 0 5212 1851"/>
                              <a:gd name="T107" fmla="*/ 5212 h 5218"/>
                              <a:gd name="T108" fmla="+- 0 4770 1306"/>
                              <a:gd name="T109" fmla="*/ T108 w 9474"/>
                              <a:gd name="T110" fmla="+- 0 5152 1851"/>
                              <a:gd name="T111" fmla="*/ 5152 h 5218"/>
                              <a:gd name="T112" fmla="+- 0 4649 1306"/>
                              <a:gd name="T113" fmla="*/ T112 w 9474"/>
                              <a:gd name="T114" fmla="+- 0 5092 1851"/>
                              <a:gd name="T115" fmla="*/ 5092 h 5218"/>
                              <a:gd name="T116" fmla="+- 0 4506 1306"/>
                              <a:gd name="T117" fmla="*/ T116 w 9474"/>
                              <a:gd name="T118" fmla="+- 0 5145 1851"/>
                              <a:gd name="T119" fmla="*/ 5145 h 5218"/>
                              <a:gd name="T120" fmla="+- 0 4502 1306"/>
                              <a:gd name="T121" fmla="*/ T120 w 9474"/>
                              <a:gd name="T122" fmla="+- 0 5858 1851"/>
                              <a:gd name="T123" fmla="*/ 5858 h 5218"/>
                              <a:gd name="T124" fmla="+- 0 2264 1306"/>
                              <a:gd name="T125" fmla="*/ T124 w 9474"/>
                              <a:gd name="T126" fmla="+- 0 5867 1851"/>
                              <a:gd name="T127" fmla="*/ 5867 h 5218"/>
                              <a:gd name="T128" fmla="+- 0 1315 1306"/>
                              <a:gd name="T129" fmla="*/ T128 w 9474"/>
                              <a:gd name="T130" fmla="+- 0 7059 1851"/>
                              <a:gd name="T131" fmla="*/ 7059 h 5218"/>
                              <a:gd name="T132" fmla="+- 0 2264 1306"/>
                              <a:gd name="T133" fmla="*/ T132 w 9474"/>
                              <a:gd name="T134" fmla="+- 0 5867 1851"/>
                              <a:gd name="T135" fmla="*/ 5867 h 5218"/>
                              <a:gd name="T136" fmla="+- 0 1306 1306"/>
                              <a:gd name="T137" fmla="*/ T136 w 9474"/>
                              <a:gd name="T138" fmla="+- 0 5858 1851"/>
                              <a:gd name="T139" fmla="*/ 5858 h 5218"/>
                              <a:gd name="T140" fmla="+- 0 1306 1306"/>
                              <a:gd name="T141" fmla="*/ T140 w 9474"/>
                              <a:gd name="T142" fmla="+- 0 7059 1851"/>
                              <a:gd name="T143" fmla="*/ 7059 h 5218"/>
                              <a:gd name="T144" fmla="+- 0 1315 1306"/>
                              <a:gd name="T145" fmla="*/ T144 w 9474"/>
                              <a:gd name="T146" fmla="+- 0 7069 1851"/>
                              <a:gd name="T147" fmla="*/ 7069 h 5218"/>
                              <a:gd name="T148" fmla="+- 0 2274 1306"/>
                              <a:gd name="T149" fmla="*/ T148 w 9474"/>
                              <a:gd name="T150" fmla="+- 0 7069 1851"/>
                              <a:gd name="T151" fmla="*/ 7069 h 5218"/>
                              <a:gd name="T152" fmla="+- 0 10780 1306"/>
                              <a:gd name="T153" fmla="*/ T152 w 9474"/>
                              <a:gd name="T154" fmla="+- 0 7069 1851"/>
                              <a:gd name="T155" fmla="*/ 7069 h 5218"/>
                              <a:gd name="T156" fmla="+- 0 10780 1306"/>
                              <a:gd name="T157" fmla="*/ T156 w 9474"/>
                              <a:gd name="T158" fmla="+- 0 5867 1851"/>
                              <a:gd name="T159" fmla="*/ 5867 h 5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474" h="5218">
                                <a:moveTo>
                                  <a:pt x="2167" y="119"/>
                                </a:moveTo>
                                <a:lnTo>
                                  <a:pt x="2157" y="100"/>
                                </a:lnTo>
                                <a:lnTo>
                                  <a:pt x="2104" y="0"/>
                                </a:lnTo>
                                <a:lnTo>
                                  <a:pt x="2047" y="121"/>
                                </a:lnTo>
                                <a:lnTo>
                                  <a:pt x="2099" y="120"/>
                                </a:lnTo>
                                <a:lnTo>
                                  <a:pt x="2112" y="883"/>
                                </a:lnTo>
                                <a:lnTo>
                                  <a:pt x="2126" y="882"/>
                                </a:lnTo>
                                <a:lnTo>
                                  <a:pt x="2114" y="120"/>
                                </a:lnTo>
                                <a:lnTo>
                                  <a:pt x="2167" y="119"/>
                                </a:lnTo>
                                <a:close/>
                                <a:moveTo>
                                  <a:pt x="8490" y="2851"/>
                                </a:moveTo>
                                <a:lnTo>
                                  <a:pt x="8437" y="2851"/>
                                </a:lnTo>
                                <a:lnTo>
                                  <a:pt x="8437" y="2431"/>
                                </a:lnTo>
                                <a:lnTo>
                                  <a:pt x="8422" y="2431"/>
                                </a:lnTo>
                                <a:lnTo>
                                  <a:pt x="8422" y="2851"/>
                                </a:lnTo>
                                <a:lnTo>
                                  <a:pt x="8370" y="2851"/>
                                </a:lnTo>
                                <a:lnTo>
                                  <a:pt x="8430" y="2971"/>
                                </a:lnTo>
                                <a:lnTo>
                                  <a:pt x="8480" y="2870"/>
                                </a:lnTo>
                                <a:lnTo>
                                  <a:pt x="8490" y="2851"/>
                                </a:lnTo>
                                <a:close/>
                                <a:moveTo>
                                  <a:pt x="9474" y="4007"/>
                                </a:moveTo>
                                <a:lnTo>
                                  <a:pt x="9464" y="4007"/>
                                </a:lnTo>
                                <a:lnTo>
                                  <a:pt x="9464" y="4016"/>
                                </a:lnTo>
                                <a:lnTo>
                                  <a:pt x="9464" y="5208"/>
                                </a:lnTo>
                                <a:lnTo>
                                  <a:pt x="968" y="5208"/>
                                </a:lnTo>
                                <a:lnTo>
                                  <a:pt x="968" y="4016"/>
                                </a:lnTo>
                                <a:lnTo>
                                  <a:pt x="3196" y="4016"/>
                                </a:lnTo>
                                <a:lnTo>
                                  <a:pt x="3196" y="4021"/>
                                </a:lnTo>
                                <a:lnTo>
                                  <a:pt x="3211" y="4021"/>
                                </a:lnTo>
                                <a:lnTo>
                                  <a:pt x="3211" y="4016"/>
                                </a:lnTo>
                                <a:lnTo>
                                  <a:pt x="8427" y="4016"/>
                                </a:lnTo>
                                <a:lnTo>
                                  <a:pt x="8427" y="4621"/>
                                </a:lnTo>
                                <a:lnTo>
                                  <a:pt x="4388" y="4621"/>
                                </a:lnTo>
                                <a:lnTo>
                                  <a:pt x="4388" y="4568"/>
                                </a:lnTo>
                                <a:lnTo>
                                  <a:pt x="4268" y="4628"/>
                                </a:lnTo>
                                <a:lnTo>
                                  <a:pt x="4388" y="4688"/>
                                </a:lnTo>
                                <a:lnTo>
                                  <a:pt x="4388" y="4636"/>
                                </a:lnTo>
                                <a:lnTo>
                                  <a:pt x="8439" y="4636"/>
                                </a:lnTo>
                                <a:lnTo>
                                  <a:pt x="8442" y="4633"/>
                                </a:lnTo>
                                <a:lnTo>
                                  <a:pt x="8442" y="4628"/>
                                </a:lnTo>
                                <a:lnTo>
                                  <a:pt x="8442" y="4621"/>
                                </a:lnTo>
                                <a:lnTo>
                                  <a:pt x="8442" y="4016"/>
                                </a:lnTo>
                                <a:lnTo>
                                  <a:pt x="9464" y="4016"/>
                                </a:lnTo>
                                <a:lnTo>
                                  <a:pt x="9464" y="4007"/>
                                </a:lnTo>
                                <a:lnTo>
                                  <a:pt x="8442" y="4007"/>
                                </a:lnTo>
                                <a:lnTo>
                                  <a:pt x="8442" y="3640"/>
                                </a:lnTo>
                                <a:lnTo>
                                  <a:pt x="8442" y="3628"/>
                                </a:lnTo>
                                <a:lnTo>
                                  <a:pt x="8439" y="3624"/>
                                </a:lnTo>
                                <a:lnTo>
                                  <a:pt x="8431" y="3624"/>
                                </a:lnTo>
                                <a:lnTo>
                                  <a:pt x="8431" y="3635"/>
                                </a:lnTo>
                                <a:lnTo>
                                  <a:pt x="8427" y="3631"/>
                                </a:lnTo>
                                <a:lnTo>
                                  <a:pt x="8427" y="4007"/>
                                </a:lnTo>
                                <a:lnTo>
                                  <a:pt x="3211" y="4007"/>
                                </a:lnTo>
                                <a:lnTo>
                                  <a:pt x="3211" y="3308"/>
                                </a:lnTo>
                                <a:lnTo>
                                  <a:pt x="3343" y="3308"/>
                                </a:lnTo>
                                <a:lnTo>
                                  <a:pt x="3344" y="3361"/>
                                </a:lnTo>
                                <a:lnTo>
                                  <a:pt x="3450" y="3308"/>
                                </a:lnTo>
                                <a:lnTo>
                                  <a:pt x="3464" y="3301"/>
                                </a:lnTo>
                                <a:lnTo>
                                  <a:pt x="3449" y="3294"/>
                                </a:lnTo>
                                <a:lnTo>
                                  <a:pt x="3343" y="3241"/>
                                </a:lnTo>
                                <a:lnTo>
                                  <a:pt x="3343" y="3294"/>
                                </a:lnTo>
                                <a:lnTo>
                                  <a:pt x="3200" y="3294"/>
                                </a:lnTo>
                                <a:lnTo>
                                  <a:pt x="3196" y="3298"/>
                                </a:lnTo>
                                <a:lnTo>
                                  <a:pt x="3196" y="4007"/>
                                </a:lnTo>
                                <a:lnTo>
                                  <a:pt x="958" y="4007"/>
                                </a:lnTo>
                                <a:lnTo>
                                  <a:pt x="958" y="4016"/>
                                </a:lnTo>
                                <a:lnTo>
                                  <a:pt x="958" y="5208"/>
                                </a:lnTo>
                                <a:lnTo>
                                  <a:pt x="9" y="5208"/>
                                </a:lnTo>
                                <a:lnTo>
                                  <a:pt x="9" y="4016"/>
                                </a:lnTo>
                                <a:lnTo>
                                  <a:pt x="958" y="4016"/>
                                </a:lnTo>
                                <a:lnTo>
                                  <a:pt x="958" y="4007"/>
                                </a:lnTo>
                                <a:lnTo>
                                  <a:pt x="0" y="4007"/>
                                </a:lnTo>
                                <a:lnTo>
                                  <a:pt x="0" y="4016"/>
                                </a:lnTo>
                                <a:lnTo>
                                  <a:pt x="0" y="5208"/>
                                </a:lnTo>
                                <a:lnTo>
                                  <a:pt x="0" y="5218"/>
                                </a:lnTo>
                                <a:lnTo>
                                  <a:pt x="9" y="5218"/>
                                </a:lnTo>
                                <a:lnTo>
                                  <a:pt x="958" y="5218"/>
                                </a:lnTo>
                                <a:lnTo>
                                  <a:pt x="968" y="5218"/>
                                </a:lnTo>
                                <a:lnTo>
                                  <a:pt x="9464" y="5218"/>
                                </a:lnTo>
                                <a:lnTo>
                                  <a:pt x="9474" y="5218"/>
                                </a:lnTo>
                                <a:lnTo>
                                  <a:pt x="9474" y="5208"/>
                                </a:lnTo>
                                <a:lnTo>
                                  <a:pt x="9474" y="4016"/>
                                </a:lnTo>
                                <a:lnTo>
                                  <a:pt x="9474" y="40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4" name="Picture 5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5858" y="5092"/>
                            <a:ext cx="28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5" name="AutoShape 57"/>
                        <wps:cNvSpPr>
                          <a:spLocks/>
                        </wps:cNvSpPr>
                        <wps:spPr bwMode="auto">
                          <a:xfrm>
                            <a:off x="2388" y="1187"/>
                            <a:ext cx="2126" cy="671"/>
                          </a:xfrm>
                          <a:custGeom>
                            <a:avLst/>
                            <a:gdLst>
                              <a:gd name="T0" fmla="+- 0 4511 2388"/>
                              <a:gd name="T1" fmla="*/ T0 w 2126"/>
                              <a:gd name="T2" fmla="+- 0 1187 1187"/>
                              <a:gd name="T3" fmla="*/ 1187 h 671"/>
                              <a:gd name="T4" fmla="+- 0 2390 2388"/>
                              <a:gd name="T5" fmla="*/ T4 w 2126"/>
                              <a:gd name="T6" fmla="+- 0 1187 1187"/>
                              <a:gd name="T7" fmla="*/ 1187 h 671"/>
                              <a:gd name="T8" fmla="+- 0 2388 2388"/>
                              <a:gd name="T9" fmla="*/ T8 w 2126"/>
                              <a:gd name="T10" fmla="+- 0 1190 1187"/>
                              <a:gd name="T11" fmla="*/ 1190 h 671"/>
                              <a:gd name="T12" fmla="+- 0 2388 2388"/>
                              <a:gd name="T13" fmla="*/ T12 w 2126"/>
                              <a:gd name="T14" fmla="+- 0 1856 1187"/>
                              <a:gd name="T15" fmla="*/ 1856 h 671"/>
                              <a:gd name="T16" fmla="+- 0 2390 2388"/>
                              <a:gd name="T17" fmla="*/ T16 w 2126"/>
                              <a:gd name="T18" fmla="+- 0 1858 1187"/>
                              <a:gd name="T19" fmla="*/ 1858 h 671"/>
                              <a:gd name="T20" fmla="+- 0 4511 2388"/>
                              <a:gd name="T21" fmla="*/ T20 w 2126"/>
                              <a:gd name="T22" fmla="+- 0 1858 1187"/>
                              <a:gd name="T23" fmla="*/ 1858 h 671"/>
                              <a:gd name="T24" fmla="+- 0 4513 2388"/>
                              <a:gd name="T25" fmla="*/ T24 w 2126"/>
                              <a:gd name="T26" fmla="+- 0 1856 1187"/>
                              <a:gd name="T27" fmla="*/ 1856 h 671"/>
                              <a:gd name="T28" fmla="+- 0 4513 2388"/>
                              <a:gd name="T29" fmla="*/ T28 w 2126"/>
                              <a:gd name="T30" fmla="+- 0 1852 1187"/>
                              <a:gd name="T31" fmla="*/ 1852 h 671"/>
                              <a:gd name="T32" fmla="+- 0 2399 2388"/>
                              <a:gd name="T33" fmla="*/ T32 w 2126"/>
                              <a:gd name="T34" fmla="+- 0 1852 1187"/>
                              <a:gd name="T35" fmla="*/ 1852 h 671"/>
                              <a:gd name="T36" fmla="+- 0 2394 2388"/>
                              <a:gd name="T37" fmla="*/ T36 w 2126"/>
                              <a:gd name="T38" fmla="+- 0 1847 1187"/>
                              <a:gd name="T39" fmla="*/ 1847 h 671"/>
                              <a:gd name="T40" fmla="+- 0 2399 2388"/>
                              <a:gd name="T41" fmla="*/ T40 w 2126"/>
                              <a:gd name="T42" fmla="+- 0 1847 1187"/>
                              <a:gd name="T43" fmla="*/ 1847 h 671"/>
                              <a:gd name="T44" fmla="+- 0 2399 2388"/>
                              <a:gd name="T45" fmla="*/ T44 w 2126"/>
                              <a:gd name="T46" fmla="+- 0 1198 1187"/>
                              <a:gd name="T47" fmla="*/ 1198 h 671"/>
                              <a:gd name="T48" fmla="+- 0 2394 2388"/>
                              <a:gd name="T49" fmla="*/ T48 w 2126"/>
                              <a:gd name="T50" fmla="+- 0 1198 1187"/>
                              <a:gd name="T51" fmla="*/ 1198 h 671"/>
                              <a:gd name="T52" fmla="+- 0 2399 2388"/>
                              <a:gd name="T53" fmla="*/ T52 w 2126"/>
                              <a:gd name="T54" fmla="+- 0 1192 1187"/>
                              <a:gd name="T55" fmla="*/ 1192 h 671"/>
                              <a:gd name="T56" fmla="+- 0 4513 2388"/>
                              <a:gd name="T57" fmla="*/ T56 w 2126"/>
                              <a:gd name="T58" fmla="+- 0 1192 1187"/>
                              <a:gd name="T59" fmla="*/ 1192 h 671"/>
                              <a:gd name="T60" fmla="+- 0 4513 2388"/>
                              <a:gd name="T61" fmla="*/ T60 w 2126"/>
                              <a:gd name="T62" fmla="+- 0 1190 1187"/>
                              <a:gd name="T63" fmla="*/ 1190 h 671"/>
                              <a:gd name="T64" fmla="+- 0 4511 2388"/>
                              <a:gd name="T65" fmla="*/ T64 w 2126"/>
                              <a:gd name="T66" fmla="+- 0 1187 1187"/>
                              <a:gd name="T67" fmla="*/ 1187 h 671"/>
                              <a:gd name="T68" fmla="+- 0 2399 2388"/>
                              <a:gd name="T69" fmla="*/ T68 w 2126"/>
                              <a:gd name="T70" fmla="+- 0 1847 1187"/>
                              <a:gd name="T71" fmla="*/ 1847 h 671"/>
                              <a:gd name="T72" fmla="+- 0 2394 2388"/>
                              <a:gd name="T73" fmla="*/ T72 w 2126"/>
                              <a:gd name="T74" fmla="+- 0 1847 1187"/>
                              <a:gd name="T75" fmla="*/ 1847 h 671"/>
                              <a:gd name="T76" fmla="+- 0 2399 2388"/>
                              <a:gd name="T77" fmla="*/ T76 w 2126"/>
                              <a:gd name="T78" fmla="+- 0 1852 1187"/>
                              <a:gd name="T79" fmla="*/ 1852 h 671"/>
                              <a:gd name="T80" fmla="+- 0 2399 2388"/>
                              <a:gd name="T81" fmla="*/ T80 w 2126"/>
                              <a:gd name="T82" fmla="+- 0 1847 1187"/>
                              <a:gd name="T83" fmla="*/ 1847 h 671"/>
                              <a:gd name="T84" fmla="+- 0 4504 2388"/>
                              <a:gd name="T85" fmla="*/ T84 w 2126"/>
                              <a:gd name="T86" fmla="+- 0 1847 1187"/>
                              <a:gd name="T87" fmla="*/ 1847 h 671"/>
                              <a:gd name="T88" fmla="+- 0 2399 2388"/>
                              <a:gd name="T89" fmla="*/ T88 w 2126"/>
                              <a:gd name="T90" fmla="+- 0 1847 1187"/>
                              <a:gd name="T91" fmla="*/ 1847 h 671"/>
                              <a:gd name="T92" fmla="+- 0 2399 2388"/>
                              <a:gd name="T93" fmla="*/ T92 w 2126"/>
                              <a:gd name="T94" fmla="+- 0 1852 1187"/>
                              <a:gd name="T95" fmla="*/ 1852 h 671"/>
                              <a:gd name="T96" fmla="+- 0 4504 2388"/>
                              <a:gd name="T97" fmla="*/ T96 w 2126"/>
                              <a:gd name="T98" fmla="+- 0 1852 1187"/>
                              <a:gd name="T99" fmla="*/ 1852 h 671"/>
                              <a:gd name="T100" fmla="+- 0 4504 2388"/>
                              <a:gd name="T101" fmla="*/ T100 w 2126"/>
                              <a:gd name="T102" fmla="+- 0 1847 1187"/>
                              <a:gd name="T103" fmla="*/ 1847 h 671"/>
                              <a:gd name="T104" fmla="+- 0 4504 2388"/>
                              <a:gd name="T105" fmla="*/ T104 w 2126"/>
                              <a:gd name="T106" fmla="+- 0 1192 1187"/>
                              <a:gd name="T107" fmla="*/ 1192 h 671"/>
                              <a:gd name="T108" fmla="+- 0 4504 2388"/>
                              <a:gd name="T109" fmla="*/ T108 w 2126"/>
                              <a:gd name="T110" fmla="+- 0 1852 1187"/>
                              <a:gd name="T111" fmla="*/ 1852 h 671"/>
                              <a:gd name="T112" fmla="+- 0 4508 2388"/>
                              <a:gd name="T113" fmla="*/ T112 w 2126"/>
                              <a:gd name="T114" fmla="+- 0 1847 1187"/>
                              <a:gd name="T115" fmla="*/ 1847 h 671"/>
                              <a:gd name="T116" fmla="+- 0 4513 2388"/>
                              <a:gd name="T117" fmla="*/ T116 w 2126"/>
                              <a:gd name="T118" fmla="+- 0 1847 1187"/>
                              <a:gd name="T119" fmla="*/ 1847 h 671"/>
                              <a:gd name="T120" fmla="+- 0 4513 2388"/>
                              <a:gd name="T121" fmla="*/ T120 w 2126"/>
                              <a:gd name="T122" fmla="+- 0 1198 1187"/>
                              <a:gd name="T123" fmla="*/ 1198 h 671"/>
                              <a:gd name="T124" fmla="+- 0 4508 2388"/>
                              <a:gd name="T125" fmla="*/ T124 w 2126"/>
                              <a:gd name="T126" fmla="+- 0 1198 1187"/>
                              <a:gd name="T127" fmla="*/ 1198 h 671"/>
                              <a:gd name="T128" fmla="+- 0 4504 2388"/>
                              <a:gd name="T129" fmla="*/ T128 w 2126"/>
                              <a:gd name="T130" fmla="+- 0 1192 1187"/>
                              <a:gd name="T131" fmla="*/ 1192 h 671"/>
                              <a:gd name="T132" fmla="+- 0 4513 2388"/>
                              <a:gd name="T133" fmla="*/ T132 w 2126"/>
                              <a:gd name="T134" fmla="+- 0 1847 1187"/>
                              <a:gd name="T135" fmla="*/ 1847 h 671"/>
                              <a:gd name="T136" fmla="+- 0 4508 2388"/>
                              <a:gd name="T137" fmla="*/ T136 w 2126"/>
                              <a:gd name="T138" fmla="+- 0 1847 1187"/>
                              <a:gd name="T139" fmla="*/ 1847 h 671"/>
                              <a:gd name="T140" fmla="+- 0 4504 2388"/>
                              <a:gd name="T141" fmla="*/ T140 w 2126"/>
                              <a:gd name="T142" fmla="+- 0 1852 1187"/>
                              <a:gd name="T143" fmla="*/ 1852 h 671"/>
                              <a:gd name="T144" fmla="+- 0 4513 2388"/>
                              <a:gd name="T145" fmla="*/ T144 w 2126"/>
                              <a:gd name="T146" fmla="+- 0 1852 1187"/>
                              <a:gd name="T147" fmla="*/ 1852 h 671"/>
                              <a:gd name="T148" fmla="+- 0 4513 2388"/>
                              <a:gd name="T149" fmla="*/ T148 w 2126"/>
                              <a:gd name="T150" fmla="+- 0 1847 1187"/>
                              <a:gd name="T151" fmla="*/ 1847 h 671"/>
                              <a:gd name="T152" fmla="+- 0 2399 2388"/>
                              <a:gd name="T153" fmla="*/ T152 w 2126"/>
                              <a:gd name="T154" fmla="+- 0 1192 1187"/>
                              <a:gd name="T155" fmla="*/ 1192 h 671"/>
                              <a:gd name="T156" fmla="+- 0 2394 2388"/>
                              <a:gd name="T157" fmla="*/ T156 w 2126"/>
                              <a:gd name="T158" fmla="+- 0 1198 1187"/>
                              <a:gd name="T159" fmla="*/ 1198 h 671"/>
                              <a:gd name="T160" fmla="+- 0 2399 2388"/>
                              <a:gd name="T161" fmla="*/ T160 w 2126"/>
                              <a:gd name="T162" fmla="+- 0 1198 1187"/>
                              <a:gd name="T163" fmla="*/ 1198 h 671"/>
                              <a:gd name="T164" fmla="+- 0 2399 2388"/>
                              <a:gd name="T165" fmla="*/ T164 w 2126"/>
                              <a:gd name="T166" fmla="+- 0 1192 1187"/>
                              <a:gd name="T167" fmla="*/ 1192 h 671"/>
                              <a:gd name="T168" fmla="+- 0 4504 2388"/>
                              <a:gd name="T169" fmla="*/ T168 w 2126"/>
                              <a:gd name="T170" fmla="+- 0 1192 1187"/>
                              <a:gd name="T171" fmla="*/ 1192 h 671"/>
                              <a:gd name="T172" fmla="+- 0 2399 2388"/>
                              <a:gd name="T173" fmla="*/ T172 w 2126"/>
                              <a:gd name="T174" fmla="+- 0 1192 1187"/>
                              <a:gd name="T175" fmla="*/ 1192 h 671"/>
                              <a:gd name="T176" fmla="+- 0 2399 2388"/>
                              <a:gd name="T177" fmla="*/ T176 w 2126"/>
                              <a:gd name="T178" fmla="+- 0 1198 1187"/>
                              <a:gd name="T179" fmla="*/ 1198 h 671"/>
                              <a:gd name="T180" fmla="+- 0 4504 2388"/>
                              <a:gd name="T181" fmla="*/ T180 w 2126"/>
                              <a:gd name="T182" fmla="+- 0 1198 1187"/>
                              <a:gd name="T183" fmla="*/ 1198 h 671"/>
                              <a:gd name="T184" fmla="+- 0 4504 2388"/>
                              <a:gd name="T185" fmla="*/ T184 w 2126"/>
                              <a:gd name="T186" fmla="+- 0 1192 1187"/>
                              <a:gd name="T187" fmla="*/ 1192 h 671"/>
                              <a:gd name="T188" fmla="+- 0 4513 2388"/>
                              <a:gd name="T189" fmla="*/ T188 w 2126"/>
                              <a:gd name="T190" fmla="+- 0 1192 1187"/>
                              <a:gd name="T191" fmla="*/ 1192 h 671"/>
                              <a:gd name="T192" fmla="+- 0 4504 2388"/>
                              <a:gd name="T193" fmla="*/ T192 w 2126"/>
                              <a:gd name="T194" fmla="+- 0 1192 1187"/>
                              <a:gd name="T195" fmla="*/ 1192 h 671"/>
                              <a:gd name="T196" fmla="+- 0 4508 2388"/>
                              <a:gd name="T197" fmla="*/ T196 w 2126"/>
                              <a:gd name="T198" fmla="+- 0 1198 1187"/>
                              <a:gd name="T199" fmla="*/ 1198 h 671"/>
                              <a:gd name="T200" fmla="+- 0 4513 2388"/>
                              <a:gd name="T201" fmla="*/ T200 w 2126"/>
                              <a:gd name="T202" fmla="+- 0 1198 1187"/>
                              <a:gd name="T203" fmla="*/ 1198 h 671"/>
                              <a:gd name="T204" fmla="+- 0 4513 2388"/>
                              <a:gd name="T205" fmla="*/ T204 w 2126"/>
                              <a:gd name="T206" fmla="+- 0 1192 1187"/>
                              <a:gd name="T207" fmla="*/ 1192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126" h="671">
                                <a:moveTo>
                                  <a:pt x="2123" y="0"/>
                                </a:moveTo>
                                <a:lnTo>
                                  <a:pt x="2" y="0"/>
                                </a:lnTo>
                                <a:lnTo>
                                  <a:pt x="0" y="3"/>
                                </a:lnTo>
                                <a:lnTo>
                                  <a:pt x="0" y="669"/>
                                </a:lnTo>
                                <a:lnTo>
                                  <a:pt x="2" y="671"/>
                                </a:lnTo>
                                <a:lnTo>
                                  <a:pt x="2123" y="671"/>
                                </a:lnTo>
                                <a:lnTo>
                                  <a:pt x="2125" y="669"/>
                                </a:lnTo>
                                <a:lnTo>
                                  <a:pt x="2125" y="665"/>
                                </a:lnTo>
                                <a:lnTo>
                                  <a:pt x="11" y="665"/>
                                </a:lnTo>
                                <a:lnTo>
                                  <a:pt x="6" y="660"/>
                                </a:lnTo>
                                <a:lnTo>
                                  <a:pt x="11" y="660"/>
                                </a:lnTo>
                                <a:lnTo>
                                  <a:pt x="11" y="11"/>
                                </a:lnTo>
                                <a:lnTo>
                                  <a:pt x="6" y="11"/>
                                </a:lnTo>
                                <a:lnTo>
                                  <a:pt x="11" y="5"/>
                                </a:lnTo>
                                <a:lnTo>
                                  <a:pt x="2125" y="5"/>
                                </a:lnTo>
                                <a:lnTo>
                                  <a:pt x="2125" y="3"/>
                                </a:lnTo>
                                <a:lnTo>
                                  <a:pt x="2123" y="0"/>
                                </a:lnTo>
                                <a:close/>
                                <a:moveTo>
                                  <a:pt x="11" y="660"/>
                                </a:moveTo>
                                <a:lnTo>
                                  <a:pt x="6" y="660"/>
                                </a:lnTo>
                                <a:lnTo>
                                  <a:pt x="11" y="665"/>
                                </a:lnTo>
                                <a:lnTo>
                                  <a:pt x="11" y="660"/>
                                </a:lnTo>
                                <a:close/>
                                <a:moveTo>
                                  <a:pt x="2116" y="660"/>
                                </a:moveTo>
                                <a:lnTo>
                                  <a:pt x="11" y="660"/>
                                </a:lnTo>
                                <a:lnTo>
                                  <a:pt x="11" y="665"/>
                                </a:lnTo>
                                <a:lnTo>
                                  <a:pt x="2116" y="665"/>
                                </a:lnTo>
                                <a:lnTo>
                                  <a:pt x="2116" y="660"/>
                                </a:lnTo>
                                <a:close/>
                                <a:moveTo>
                                  <a:pt x="2116" y="5"/>
                                </a:moveTo>
                                <a:lnTo>
                                  <a:pt x="2116" y="665"/>
                                </a:lnTo>
                                <a:lnTo>
                                  <a:pt x="2120" y="660"/>
                                </a:lnTo>
                                <a:lnTo>
                                  <a:pt x="2125" y="660"/>
                                </a:lnTo>
                                <a:lnTo>
                                  <a:pt x="2125" y="11"/>
                                </a:lnTo>
                                <a:lnTo>
                                  <a:pt x="2120" y="11"/>
                                </a:lnTo>
                                <a:lnTo>
                                  <a:pt x="2116" y="5"/>
                                </a:lnTo>
                                <a:close/>
                                <a:moveTo>
                                  <a:pt x="2125" y="660"/>
                                </a:moveTo>
                                <a:lnTo>
                                  <a:pt x="2120" y="660"/>
                                </a:lnTo>
                                <a:lnTo>
                                  <a:pt x="2116" y="665"/>
                                </a:lnTo>
                                <a:lnTo>
                                  <a:pt x="2125" y="665"/>
                                </a:lnTo>
                                <a:lnTo>
                                  <a:pt x="2125" y="660"/>
                                </a:lnTo>
                                <a:close/>
                                <a:moveTo>
                                  <a:pt x="11" y="5"/>
                                </a:moveTo>
                                <a:lnTo>
                                  <a:pt x="6" y="11"/>
                                </a:lnTo>
                                <a:lnTo>
                                  <a:pt x="11" y="11"/>
                                </a:lnTo>
                                <a:lnTo>
                                  <a:pt x="11" y="5"/>
                                </a:lnTo>
                                <a:close/>
                                <a:moveTo>
                                  <a:pt x="2116" y="5"/>
                                </a:moveTo>
                                <a:lnTo>
                                  <a:pt x="11" y="5"/>
                                </a:lnTo>
                                <a:lnTo>
                                  <a:pt x="11" y="11"/>
                                </a:lnTo>
                                <a:lnTo>
                                  <a:pt x="2116" y="11"/>
                                </a:lnTo>
                                <a:lnTo>
                                  <a:pt x="2116" y="5"/>
                                </a:lnTo>
                                <a:close/>
                                <a:moveTo>
                                  <a:pt x="2125" y="5"/>
                                </a:moveTo>
                                <a:lnTo>
                                  <a:pt x="2116" y="5"/>
                                </a:lnTo>
                                <a:lnTo>
                                  <a:pt x="2120" y="11"/>
                                </a:lnTo>
                                <a:lnTo>
                                  <a:pt x="2125" y="11"/>
                                </a:lnTo>
                                <a:lnTo>
                                  <a:pt x="2125"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Rectangle 56"/>
                        <wps:cNvSpPr>
                          <a:spLocks noChangeArrowheads="1"/>
                        </wps:cNvSpPr>
                        <wps:spPr bwMode="auto">
                          <a:xfrm>
                            <a:off x="2406" y="2437"/>
                            <a:ext cx="2116" cy="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AutoShape 55"/>
                        <wps:cNvSpPr>
                          <a:spLocks/>
                        </wps:cNvSpPr>
                        <wps:spPr bwMode="auto">
                          <a:xfrm>
                            <a:off x="2401" y="1187"/>
                            <a:ext cx="8172" cy="5762"/>
                          </a:xfrm>
                          <a:custGeom>
                            <a:avLst/>
                            <a:gdLst>
                              <a:gd name="T0" fmla="+- 0 4517 2401"/>
                              <a:gd name="T1" fmla="*/ T0 w 8172"/>
                              <a:gd name="T2" fmla="+- 0 2443 1187"/>
                              <a:gd name="T3" fmla="*/ 2443 h 5762"/>
                              <a:gd name="T4" fmla="+- 0 4517 2401"/>
                              <a:gd name="T5" fmla="*/ T4 w 8172"/>
                              <a:gd name="T6" fmla="+- 0 2443 1187"/>
                              <a:gd name="T7" fmla="*/ 2443 h 5762"/>
                              <a:gd name="T8" fmla="+- 0 2401 2401"/>
                              <a:gd name="T9" fmla="*/ T8 w 8172"/>
                              <a:gd name="T10" fmla="+- 0 3100 1187"/>
                              <a:gd name="T11" fmla="*/ 3100 h 5762"/>
                              <a:gd name="T12" fmla="+- 0 4526 2401"/>
                              <a:gd name="T13" fmla="*/ T12 w 8172"/>
                              <a:gd name="T14" fmla="+- 0 3098 1187"/>
                              <a:gd name="T15" fmla="*/ 3098 h 5762"/>
                              <a:gd name="T16" fmla="+- 0 4526 2401"/>
                              <a:gd name="T17" fmla="*/ T16 w 8172"/>
                              <a:gd name="T18" fmla="+- 0 2435 1187"/>
                              <a:gd name="T19" fmla="*/ 2435 h 5762"/>
                              <a:gd name="T20" fmla="+- 0 5568 2401"/>
                              <a:gd name="T21" fmla="*/ T20 w 8172"/>
                              <a:gd name="T22" fmla="+- 0 5974 1187"/>
                              <a:gd name="T23" fmla="*/ 5974 h 5762"/>
                              <a:gd name="T24" fmla="+- 0 5568 2401"/>
                              <a:gd name="T25" fmla="*/ T24 w 8172"/>
                              <a:gd name="T26" fmla="+- 0 5974 1187"/>
                              <a:gd name="T27" fmla="*/ 5974 h 5762"/>
                              <a:gd name="T28" fmla="+- 0 3544 2401"/>
                              <a:gd name="T29" fmla="*/ T28 w 8172"/>
                              <a:gd name="T30" fmla="+- 0 6946 1187"/>
                              <a:gd name="T31" fmla="*/ 6946 h 5762"/>
                              <a:gd name="T32" fmla="+- 0 5579 2401"/>
                              <a:gd name="T33" fmla="*/ T32 w 8172"/>
                              <a:gd name="T34" fmla="+- 0 6944 1187"/>
                              <a:gd name="T35" fmla="*/ 6944 h 5762"/>
                              <a:gd name="T36" fmla="+- 0 5579 2401"/>
                              <a:gd name="T37" fmla="*/ T36 w 8172"/>
                              <a:gd name="T38" fmla="+- 0 5966 1187"/>
                              <a:gd name="T39" fmla="*/ 5966 h 5762"/>
                              <a:gd name="T40" fmla="+- 0 5845 2401"/>
                              <a:gd name="T41" fmla="*/ T40 w 8172"/>
                              <a:gd name="T42" fmla="+- 0 4828 1187"/>
                              <a:gd name="T43" fmla="*/ 4828 h 5762"/>
                              <a:gd name="T44" fmla="+- 0 5845 2401"/>
                              <a:gd name="T45" fmla="*/ T44 w 8172"/>
                              <a:gd name="T46" fmla="+- 0 4828 1187"/>
                              <a:gd name="T47" fmla="*/ 4828 h 5762"/>
                              <a:gd name="T48" fmla="+- 0 4765 2401"/>
                              <a:gd name="T49" fmla="*/ T48 w 8172"/>
                              <a:gd name="T50" fmla="+- 0 5486 1187"/>
                              <a:gd name="T51" fmla="*/ 5486 h 5762"/>
                              <a:gd name="T52" fmla="+- 0 5856 2401"/>
                              <a:gd name="T53" fmla="*/ T52 w 8172"/>
                              <a:gd name="T54" fmla="+- 0 5482 1187"/>
                              <a:gd name="T55" fmla="*/ 5482 h 5762"/>
                              <a:gd name="T56" fmla="+- 0 5856 2401"/>
                              <a:gd name="T57" fmla="*/ T56 w 8172"/>
                              <a:gd name="T58" fmla="+- 0 4820 1187"/>
                              <a:gd name="T59" fmla="*/ 4820 h 5762"/>
                              <a:gd name="T60" fmla="+- 0 6978 2401"/>
                              <a:gd name="T61" fmla="*/ T60 w 8172"/>
                              <a:gd name="T62" fmla="+- 0 1198 1187"/>
                              <a:gd name="T63" fmla="*/ 1198 h 5762"/>
                              <a:gd name="T64" fmla="+- 0 6978 2401"/>
                              <a:gd name="T65" fmla="*/ T64 w 8172"/>
                              <a:gd name="T66" fmla="+- 0 1198 1187"/>
                              <a:gd name="T67" fmla="*/ 1198 h 5762"/>
                              <a:gd name="T68" fmla="+- 0 5208 2401"/>
                              <a:gd name="T69" fmla="*/ T68 w 8172"/>
                              <a:gd name="T70" fmla="+- 0 1856 1187"/>
                              <a:gd name="T71" fmla="*/ 1856 h 5762"/>
                              <a:gd name="T72" fmla="+- 0 6989 2401"/>
                              <a:gd name="T73" fmla="*/ T72 w 8172"/>
                              <a:gd name="T74" fmla="+- 0 1852 1187"/>
                              <a:gd name="T75" fmla="*/ 1852 h 5762"/>
                              <a:gd name="T76" fmla="+- 0 6989 2401"/>
                              <a:gd name="T77" fmla="*/ T76 w 8172"/>
                              <a:gd name="T78" fmla="+- 0 1190 1187"/>
                              <a:gd name="T79" fmla="*/ 1190 h 5762"/>
                              <a:gd name="T80" fmla="+- 0 7324 2401"/>
                              <a:gd name="T81" fmla="*/ T80 w 8172"/>
                              <a:gd name="T82" fmla="+- 0 4813 1187"/>
                              <a:gd name="T83" fmla="*/ 4813 h 5762"/>
                              <a:gd name="T84" fmla="+- 0 7324 2401"/>
                              <a:gd name="T85" fmla="*/ T84 w 8172"/>
                              <a:gd name="T86" fmla="+- 0 4813 1187"/>
                              <a:gd name="T87" fmla="*/ 4813 h 5762"/>
                              <a:gd name="T88" fmla="+- 0 6124 2401"/>
                              <a:gd name="T89" fmla="*/ T88 w 8172"/>
                              <a:gd name="T90" fmla="+- 0 5470 1187"/>
                              <a:gd name="T91" fmla="*/ 5470 h 5762"/>
                              <a:gd name="T92" fmla="+- 0 7333 2401"/>
                              <a:gd name="T93" fmla="*/ T92 w 8172"/>
                              <a:gd name="T94" fmla="+- 0 5468 1187"/>
                              <a:gd name="T95" fmla="*/ 5468 h 5762"/>
                              <a:gd name="T96" fmla="+- 0 7333 2401"/>
                              <a:gd name="T97" fmla="*/ T96 w 8172"/>
                              <a:gd name="T98" fmla="+- 0 4805 1187"/>
                              <a:gd name="T99" fmla="*/ 4805 h 5762"/>
                              <a:gd name="T100" fmla="+- 0 7338 2401"/>
                              <a:gd name="T101" fmla="*/ T100 w 8172"/>
                              <a:gd name="T102" fmla="+- 0 3628 1187"/>
                              <a:gd name="T103" fmla="*/ 3628 h 5762"/>
                              <a:gd name="T104" fmla="+- 0 7338 2401"/>
                              <a:gd name="T105" fmla="*/ T104 w 8172"/>
                              <a:gd name="T106" fmla="+- 0 3628 1187"/>
                              <a:gd name="T107" fmla="*/ 3628 h 5762"/>
                              <a:gd name="T108" fmla="+- 0 6138 2401"/>
                              <a:gd name="T109" fmla="*/ T108 w 8172"/>
                              <a:gd name="T110" fmla="+- 0 4286 1187"/>
                              <a:gd name="T111" fmla="*/ 4286 h 5762"/>
                              <a:gd name="T112" fmla="+- 0 7349 2401"/>
                              <a:gd name="T113" fmla="*/ T112 w 8172"/>
                              <a:gd name="T114" fmla="+- 0 4282 1187"/>
                              <a:gd name="T115" fmla="*/ 4282 h 5762"/>
                              <a:gd name="T116" fmla="+- 0 7349 2401"/>
                              <a:gd name="T117" fmla="*/ T116 w 8172"/>
                              <a:gd name="T118" fmla="+- 0 3620 1187"/>
                              <a:gd name="T119" fmla="*/ 3620 h 5762"/>
                              <a:gd name="T120" fmla="+- 0 8794 2401"/>
                              <a:gd name="T121" fmla="*/ T120 w 8172"/>
                              <a:gd name="T122" fmla="+- 0 3628 1187"/>
                              <a:gd name="T123" fmla="*/ 3628 h 5762"/>
                              <a:gd name="T124" fmla="+- 0 8794 2401"/>
                              <a:gd name="T125" fmla="*/ T124 w 8172"/>
                              <a:gd name="T126" fmla="+- 0 3628 1187"/>
                              <a:gd name="T127" fmla="*/ 3628 h 5762"/>
                              <a:gd name="T128" fmla="+- 0 7594 2401"/>
                              <a:gd name="T129" fmla="*/ T128 w 8172"/>
                              <a:gd name="T130" fmla="+- 0 4286 1187"/>
                              <a:gd name="T131" fmla="*/ 4286 h 5762"/>
                              <a:gd name="T132" fmla="+- 0 8803 2401"/>
                              <a:gd name="T133" fmla="*/ T132 w 8172"/>
                              <a:gd name="T134" fmla="+- 0 4282 1187"/>
                              <a:gd name="T135" fmla="*/ 4282 h 5762"/>
                              <a:gd name="T136" fmla="+- 0 8803 2401"/>
                              <a:gd name="T137" fmla="*/ T136 w 8172"/>
                              <a:gd name="T138" fmla="+- 0 3620 1187"/>
                              <a:gd name="T139" fmla="*/ 3620 h 5762"/>
                              <a:gd name="T140" fmla="+- 0 8958 2401"/>
                              <a:gd name="T141" fmla="*/ T140 w 8172"/>
                              <a:gd name="T142" fmla="+- 0 4828 1187"/>
                              <a:gd name="T143" fmla="*/ 4828 h 5762"/>
                              <a:gd name="T144" fmla="+- 0 8958 2401"/>
                              <a:gd name="T145" fmla="*/ T144 w 8172"/>
                              <a:gd name="T146" fmla="+- 0 4828 1187"/>
                              <a:gd name="T147" fmla="*/ 4828 h 5762"/>
                              <a:gd name="T148" fmla="+- 0 7594 2401"/>
                              <a:gd name="T149" fmla="*/ T148 w 8172"/>
                              <a:gd name="T150" fmla="+- 0 5486 1187"/>
                              <a:gd name="T151" fmla="*/ 5486 h 5762"/>
                              <a:gd name="T152" fmla="+- 0 8969 2401"/>
                              <a:gd name="T153" fmla="*/ T152 w 8172"/>
                              <a:gd name="T154" fmla="+- 0 5482 1187"/>
                              <a:gd name="T155" fmla="*/ 5482 h 5762"/>
                              <a:gd name="T156" fmla="+- 0 8969 2401"/>
                              <a:gd name="T157" fmla="*/ T156 w 8172"/>
                              <a:gd name="T158" fmla="+- 0 4820 1187"/>
                              <a:gd name="T159" fmla="*/ 4820 h 5762"/>
                              <a:gd name="T160" fmla="+- 0 10294 2401"/>
                              <a:gd name="T161" fmla="*/ T160 w 8172"/>
                              <a:gd name="T162" fmla="+- 0 3628 1187"/>
                              <a:gd name="T163" fmla="*/ 3628 h 5762"/>
                              <a:gd name="T164" fmla="+- 0 10294 2401"/>
                              <a:gd name="T165" fmla="*/ T164 w 8172"/>
                              <a:gd name="T166" fmla="+- 0 3628 1187"/>
                              <a:gd name="T167" fmla="*/ 3628 h 5762"/>
                              <a:gd name="T168" fmla="+- 0 9094 2401"/>
                              <a:gd name="T169" fmla="*/ T168 w 8172"/>
                              <a:gd name="T170" fmla="+- 0 4286 1187"/>
                              <a:gd name="T171" fmla="*/ 4286 h 5762"/>
                              <a:gd name="T172" fmla="+- 0 10303 2401"/>
                              <a:gd name="T173" fmla="*/ T172 w 8172"/>
                              <a:gd name="T174" fmla="+- 0 4282 1187"/>
                              <a:gd name="T175" fmla="*/ 4282 h 5762"/>
                              <a:gd name="T176" fmla="+- 0 10303 2401"/>
                              <a:gd name="T177" fmla="*/ T176 w 8172"/>
                              <a:gd name="T178" fmla="+- 0 3620 1187"/>
                              <a:gd name="T179" fmla="*/ 3620 h 5762"/>
                              <a:gd name="T180" fmla="+- 0 10564 2401"/>
                              <a:gd name="T181" fmla="*/ T180 w 8172"/>
                              <a:gd name="T182" fmla="+- 0 4828 1187"/>
                              <a:gd name="T183" fmla="*/ 4828 h 5762"/>
                              <a:gd name="T184" fmla="+- 0 10564 2401"/>
                              <a:gd name="T185" fmla="*/ T184 w 8172"/>
                              <a:gd name="T186" fmla="+- 0 4828 1187"/>
                              <a:gd name="T187" fmla="*/ 4828 h 5762"/>
                              <a:gd name="T188" fmla="+- 0 9198 2401"/>
                              <a:gd name="T189" fmla="*/ T188 w 8172"/>
                              <a:gd name="T190" fmla="+- 0 5486 1187"/>
                              <a:gd name="T191" fmla="*/ 5486 h 5762"/>
                              <a:gd name="T192" fmla="+- 0 10573 2401"/>
                              <a:gd name="T193" fmla="*/ T192 w 8172"/>
                              <a:gd name="T194" fmla="+- 0 5482 1187"/>
                              <a:gd name="T195" fmla="*/ 5482 h 5762"/>
                              <a:gd name="T196" fmla="+- 0 10573 2401"/>
                              <a:gd name="T197" fmla="*/ T196 w 8172"/>
                              <a:gd name="T198" fmla="+- 0 4820 1187"/>
                              <a:gd name="T199" fmla="*/ 4820 h 5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172" h="5762">
                                <a:moveTo>
                                  <a:pt x="2125" y="1248"/>
                                </a:moveTo>
                                <a:lnTo>
                                  <a:pt x="2123" y="1246"/>
                                </a:lnTo>
                                <a:lnTo>
                                  <a:pt x="2116" y="1246"/>
                                </a:lnTo>
                                <a:lnTo>
                                  <a:pt x="2116" y="1256"/>
                                </a:lnTo>
                                <a:lnTo>
                                  <a:pt x="2116" y="1906"/>
                                </a:lnTo>
                                <a:lnTo>
                                  <a:pt x="11" y="1906"/>
                                </a:lnTo>
                                <a:lnTo>
                                  <a:pt x="11" y="1256"/>
                                </a:lnTo>
                                <a:lnTo>
                                  <a:pt x="2116" y="1256"/>
                                </a:lnTo>
                                <a:lnTo>
                                  <a:pt x="2116" y="1246"/>
                                </a:lnTo>
                                <a:lnTo>
                                  <a:pt x="3" y="1246"/>
                                </a:lnTo>
                                <a:lnTo>
                                  <a:pt x="0" y="1248"/>
                                </a:lnTo>
                                <a:lnTo>
                                  <a:pt x="0" y="1913"/>
                                </a:lnTo>
                                <a:lnTo>
                                  <a:pt x="3" y="1916"/>
                                </a:lnTo>
                                <a:lnTo>
                                  <a:pt x="2123" y="1916"/>
                                </a:lnTo>
                                <a:lnTo>
                                  <a:pt x="2125" y="1913"/>
                                </a:lnTo>
                                <a:lnTo>
                                  <a:pt x="2125" y="1911"/>
                                </a:lnTo>
                                <a:lnTo>
                                  <a:pt x="2125" y="1906"/>
                                </a:lnTo>
                                <a:lnTo>
                                  <a:pt x="2125" y="1256"/>
                                </a:lnTo>
                                <a:lnTo>
                                  <a:pt x="2125" y="1251"/>
                                </a:lnTo>
                                <a:lnTo>
                                  <a:pt x="2125" y="1248"/>
                                </a:lnTo>
                                <a:close/>
                                <a:moveTo>
                                  <a:pt x="3178" y="4779"/>
                                </a:moveTo>
                                <a:lnTo>
                                  <a:pt x="3175" y="4776"/>
                                </a:lnTo>
                                <a:lnTo>
                                  <a:pt x="3167" y="4776"/>
                                </a:lnTo>
                                <a:lnTo>
                                  <a:pt x="3167" y="4787"/>
                                </a:lnTo>
                                <a:lnTo>
                                  <a:pt x="3167" y="5752"/>
                                </a:lnTo>
                                <a:lnTo>
                                  <a:pt x="1152" y="5752"/>
                                </a:lnTo>
                                <a:lnTo>
                                  <a:pt x="1152" y="4787"/>
                                </a:lnTo>
                                <a:lnTo>
                                  <a:pt x="3167" y="4787"/>
                                </a:lnTo>
                                <a:lnTo>
                                  <a:pt x="3167" y="4776"/>
                                </a:lnTo>
                                <a:lnTo>
                                  <a:pt x="1145" y="4776"/>
                                </a:lnTo>
                                <a:lnTo>
                                  <a:pt x="1143" y="4779"/>
                                </a:lnTo>
                                <a:lnTo>
                                  <a:pt x="1143" y="5759"/>
                                </a:lnTo>
                                <a:lnTo>
                                  <a:pt x="1145" y="5762"/>
                                </a:lnTo>
                                <a:lnTo>
                                  <a:pt x="3175" y="5762"/>
                                </a:lnTo>
                                <a:lnTo>
                                  <a:pt x="3178" y="5759"/>
                                </a:lnTo>
                                <a:lnTo>
                                  <a:pt x="3178" y="5757"/>
                                </a:lnTo>
                                <a:lnTo>
                                  <a:pt x="3178" y="5752"/>
                                </a:lnTo>
                                <a:lnTo>
                                  <a:pt x="3178" y="4787"/>
                                </a:lnTo>
                                <a:lnTo>
                                  <a:pt x="3178" y="4781"/>
                                </a:lnTo>
                                <a:lnTo>
                                  <a:pt x="3178" y="4779"/>
                                </a:lnTo>
                                <a:close/>
                                <a:moveTo>
                                  <a:pt x="3455" y="3633"/>
                                </a:moveTo>
                                <a:lnTo>
                                  <a:pt x="3453" y="3630"/>
                                </a:lnTo>
                                <a:lnTo>
                                  <a:pt x="3444" y="3630"/>
                                </a:lnTo>
                                <a:lnTo>
                                  <a:pt x="3444" y="3641"/>
                                </a:lnTo>
                                <a:lnTo>
                                  <a:pt x="3444" y="4290"/>
                                </a:lnTo>
                                <a:lnTo>
                                  <a:pt x="2375" y="4290"/>
                                </a:lnTo>
                                <a:lnTo>
                                  <a:pt x="2375" y="3641"/>
                                </a:lnTo>
                                <a:lnTo>
                                  <a:pt x="3444" y="3641"/>
                                </a:lnTo>
                                <a:lnTo>
                                  <a:pt x="3444" y="3630"/>
                                </a:lnTo>
                                <a:lnTo>
                                  <a:pt x="2367" y="3630"/>
                                </a:lnTo>
                                <a:lnTo>
                                  <a:pt x="2364" y="3633"/>
                                </a:lnTo>
                                <a:lnTo>
                                  <a:pt x="2364" y="4299"/>
                                </a:lnTo>
                                <a:lnTo>
                                  <a:pt x="2367" y="4301"/>
                                </a:lnTo>
                                <a:lnTo>
                                  <a:pt x="3453" y="4301"/>
                                </a:lnTo>
                                <a:lnTo>
                                  <a:pt x="3455" y="4299"/>
                                </a:lnTo>
                                <a:lnTo>
                                  <a:pt x="3455" y="4295"/>
                                </a:lnTo>
                                <a:lnTo>
                                  <a:pt x="3455" y="4290"/>
                                </a:lnTo>
                                <a:lnTo>
                                  <a:pt x="3455" y="3641"/>
                                </a:lnTo>
                                <a:lnTo>
                                  <a:pt x="3455" y="3635"/>
                                </a:lnTo>
                                <a:lnTo>
                                  <a:pt x="3455" y="3633"/>
                                </a:lnTo>
                                <a:close/>
                                <a:moveTo>
                                  <a:pt x="4588" y="3"/>
                                </a:moveTo>
                                <a:lnTo>
                                  <a:pt x="4585" y="0"/>
                                </a:lnTo>
                                <a:lnTo>
                                  <a:pt x="4577" y="0"/>
                                </a:lnTo>
                                <a:lnTo>
                                  <a:pt x="4577" y="11"/>
                                </a:lnTo>
                                <a:lnTo>
                                  <a:pt x="4577" y="660"/>
                                </a:lnTo>
                                <a:lnTo>
                                  <a:pt x="2818" y="660"/>
                                </a:lnTo>
                                <a:lnTo>
                                  <a:pt x="2818" y="11"/>
                                </a:lnTo>
                                <a:lnTo>
                                  <a:pt x="4577" y="11"/>
                                </a:lnTo>
                                <a:lnTo>
                                  <a:pt x="4577" y="0"/>
                                </a:lnTo>
                                <a:lnTo>
                                  <a:pt x="2809" y="0"/>
                                </a:lnTo>
                                <a:lnTo>
                                  <a:pt x="2807" y="3"/>
                                </a:lnTo>
                                <a:lnTo>
                                  <a:pt x="2807" y="669"/>
                                </a:lnTo>
                                <a:lnTo>
                                  <a:pt x="2809" y="671"/>
                                </a:lnTo>
                                <a:lnTo>
                                  <a:pt x="4585" y="671"/>
                                </a:lnTo>
                                <a:lnTo>
                                  <a:pt x="4588" y="669"/>
                                </a:lnTo>
                                <a:lnTo>
                                  <a:pt x="4588" y="665"/>
                                </a:lnTo>
                                <a:lnTo>
                                  <a:pt x="4588" y="660"/>
                                </a:lnTo>
                                <a:lnTo>
                                  <a:pt x="4588" y="11"/>
                                </a:lnTo>
                                <a:lnTo>
                                  <a:pt x="4588" y="5"/>
                                </a:lnTo>
                                <a:lnTo>
                                  <a:pt x="4588" y="3"/>
                                </a:lnTo>
                                <a:close/>
                                <a:moveTo>
                                  <a:pt x="4932" y="3618"/>
                                </a:moveTo>
                                <a:lnTo>
                                  <a:pt x="4930" y="3616"/>
                                </a:lnTo>
                                <a:lnTo>
                                  <a:pt x="4923" y="3616"/>
                                </a:lnTo>
                                <a:lnTo>
                                  <a:pt x="4923" y="3626"/>
                                </a:lnTo>
                                <a:lnTo>
                                  <a:pt x="4923" y="4276"/>
                                </a:lnTo>
                                <a:lnTo>
                                  <a:pt x="3732" y="4276"/>
                                </a:lnTo>
                                <a:lnTo>
                                  <a:pt x="3732" y="3626"/>
                                </a:lnTo>
                                <a:lnTo>
                                  <a:pt x="4923" y="3626"/>
                                </a:lnTo>
                                <a:lnTo>
                                  <a:pt x="4923" y="3616"/>
                                </a:lnTo>
                                <a:lnTo>
                                  <a:pt x="3725" y="3616"/>
                                </a:lnTo>
                                <a:lnTo>
                                  <a:pt x="3723" y="3618"/>
                                </a:lnTo>
                                <a:lnTo>
                                  <a:pt x="3723" y="4283"/>
                                </a:lnTo>
                                <a:lnTo>
                                  <a:pt x="3725" y="4286"/>
                                </a:lnTo>
                                <a:lnTo>
                                  <a:pt x="4930" y="4286"/>
                                </a:lnTo>
                                <a:lnTo>
                                  <a:pt x="4932" y="4283"/>
                                </a:lnTo>
                                <a:lnTo>
                                  <a:pt x="4932" y="4281"/>
                                </a:lnTo>
                                <a:lnTo>
                                  <a:pt x="4932" y="4276"/>
                                </a:lnTo>
                                <a:lnTo>
                                  <a:pt x="4932" y="3626"/>
                                </a:lnTo>
                                <a:lnTo>
                                  <a:pt x="4932" y="3621"/>
                                </a:lnTo>
                                <a:lnTo>
                                  <a:pt x="4932" y="3618"/>
                                </a:lnTo>
                                <a:close/>
                                <a:moveTo>
                                  <a:pt x="4948" y="2433"/>
                                </a:moveTo>
                                <a:lnTo>
                                  <a:pt x="4945" y="2430"/>
                                </a:lnTo>
                                <a:lnTo>
                                  <a:pt x="4937" y="2430"/>
                                </a:lnTo>
                                <a:lnTo>
                                  <a:pt x="4937" y="2441"/>
                                </a:lnTo>
                                <a:lnTo>
                                  <a:pt x="4937" y="3090"/>
                                </a:lnTo>
                                <a:lnTo>
                                  <a:pt x="3748" y="3090"/>
                                </a:lnTo>
                                <a:lnTo>
                                  <a:pt x="3748" y="2441"/>
                                </a:lnTo>
                                <a:lnTo>
                                  <a:pt x="4937" y="2441"/>
                                </a:lnTo>
                                <a:lnTo>
                                  <a:pt x="4937" y="2430"/>
                                </a:lnTo>
                                <a:lnTo>
                                  <a:pt x="3739" y="2430"/>
                                </a:lnTo>
                                <a:lnTo>
                                  <a:pt x="3737" y="2433"/>
                                </a:lnTo>
                                <a:lnTo>
                                  <a:pt x="3737" y="3099"/>
                                </a:lnTo>
                                <a:lnTo>
                                  <a:pt x="3739" y="3101"/>
                                </a:lnTo>
                                <a:lnTo>
                                  <a:pt x="4945" y="3101"/>
                                </a:lnTo>
                                <a:lnTo>
                                  <a:pt x="4948" y="3099"/>
                                </a:lnTo>
                                <a:lnTo>
                                  <a:pt x="4948" y="3095"/>
                                </a:lnTo>
                                <a:lnTo>
                                  <a:pt x="4948" y="3090"/>
                                </a:lnTo>
                                <a:lnTo>
                                  <a:pt x="4948" y="2441"/>
                                </a:lnTo>
                                <a:lnTo>
                                  <a:pt x="4948" y="2435"/>
                                </a:lnTo>
                                <a:lnTo>
                                  <a:pt x="4948" y="2433"/>
                                </a:lnTo>
                                <a:close/>
                                <a:moveTo>
                                  <a:pt x="6402" y="2433"/>
                                </a:moveTo>
                                <a:lnTo>
                                  <a:pt x="6400" y="2430"/>
                                </a:lnTo>
                                <a:lnTo>
                                  <a:pt x="6393" y="2430"/>
                                </a:lnTo>
                                <a:lnTo>
                                  <a:pt x="6393" y="2441"/>
                                </a:lnTo>
                                <a:lnTo>
                                  <a:pt x="6393" y="3090"/>
                                </a:lnTo>
                                <a:lnTo>
                                  <a:pt x="5202" y="3090"/>
                                </a:lnTo>
                                <a:lnTo>
                                  <a:pt x="5202" y="2441"/>
                                </a:lnTo>
                                <a:lnTo>
                                  <a:pt x="6393" y="2441"/>
                                </a:lnTo>
                                <a:lnTo>
                                  <a:pt x="6393" y="2430"/>
                                </a:lnTo>
                                <a:lnTo>
                                  <a:pt x="5195" y="2430"/>
                                </a:lnTo>
                                <a:lnTo>
                                  <a:pt x="5193" y="2433"/>
                                </a:lnTo>
                                <a:lnTo>
                                  <a:pt x="5193" y="3099"/>
                                </a:lnTo>
                                <a:lnTo>
                                  <a:pt x="5195" y="3101"/>
                                </a:lnTo>
                                <a:lnTo>
                                  <a:pt x="6400" y="3101"/>
                                </a:lnTo>
                                <a:lnTo>
                                  <a:pt x="6402" y="3099"/>
                                </a:lnTo>
                                <a:lnTo>
                                  <a:pt x="6402" y="3095"/>
                                </a:lnTo>
                                <a:lnTo>
                                  <a:pt x="6402" y="3090"/>
                                </a:lnTo>
                                <a:lnTo>
                                  <a:pt x="6402" y="2441"/>
                                </a:lnTo>
                                <a:lnTo>
                                  <a:pt x="6402" y="2435"/>
                                </a:lnTo>
                                <a:lnTo>
                                  <a:pt x="6402" y="2433"/>
                                </a:lnTo>
                                <a:close/>
                                <a:moveTo>
                                  <a:pt x="6568" y="3633"/>
                                </a:moveTo>
                                <a:lnTo>
                                  <a:pt x="6565" y="3630"/>
                                </a:lnTo>
                                <a:lnTo>
                                  <a:pt x="6557" y="3630"/>
                                </a:lnTo>
                                <a:lnTo>
                                  <a:pt x="6557" y="3641"/>
                                </a:lnTo>
                                <a:lnTo>
                                  <a:pt x="6557" y="4290"/>
                                </a:lnTo>
                                <a:lnTo>
                                  <a:pt x="5202" y="4290"/>
                                </a:lnTo>
                                <a:lnTo>
                                  <a:pt x="5202" y="3641"/>
                                </a:lnTo>
                                <a:lnTo>
                                  <a:pt x="6557" y="3641"/>
                                </a:lnTo>
                                <a:lnTo>
                                  <a:pt x="6557" y="3630"/>
                                </a:lnTo>
                                <a:lnTo>
                                  <a:pt x="5195" y="3630"/>
                                </a:lnTo>
                                <a:lnTo>
                                  <a:pt x="5193" y="3633"/>
                                </a:lnTo>
                                <a:lnTo>
                                  <a:pt x="5193" y="4299"/>
                                </a:lnTo>
                                <a:lnTo>
                                  <a:pt x="5195" y="4301"/>
                                </a:lnTo>
                                <a:lnTo>
                                  <a:pt x="6565" y="4301"/>
                                </a:lnTo>
                                <a:lnTo>
                                  <a:pt x="6568" y="4299"/>
                                </a:lnTo>
                                <a:lnTo>
                                  <a:pt x="6568" y="4295"/>
                                </a:lnTo>
                                <a:lnTo>
                                  <a:pt x="6568" y="4290"/>
                                </a:lnTo>
                                <a:lnTo>
                                  <a:pt x="6568" y="3641"/>
                                </a:lnTo>
                                <a:lnTo>
                                  <a:pt x="6568" y="3635"/>
                                </a:lnTo>
                                <a:lnTo>
                                  <a:pt x="6568" y="3633"/>
                                </a:lnTo>
                                <a:close/>
                                <a:moveTo>
                                  <a:pt x="7902" y="2433"/>
                                </a:moveTo>
                                <a:lnTo>
                                  <a:pt x="7900" y="2430"/>
                                </a:lnTo>
                                <a:lnTo>
                                  <a:pt x="7893" y="2430"/>
                                </a:lnTo>
                                <a:lnTo>
                                  <a:pt x="7893" y="2441"/>
                                </a:lnTo>
                                <a:lnTo>
                                  <a:pt x="7893" y="3090"/>
                                </a:lnTo>
                                <a:lnTo>
                                  <a:pt x="6702" y="3090"/>
                                </a:lnTo>
                                <a:lnTo>
                                  <a:pt x="6702" y="2441"/>
                                </a:lnTo>
                                <a:lnTo>
                                  <a:pt x="7893" y="2441"/>
                                </a:lnTo>
                                <a:lnTo>
                                  <a:pt x="7893" y="2430"/>
                                </a:lnTo>
                                <a:lnTo>
                                  <a:pt x="6695" y="2430"/>
                                </a:lnTo>
                                <a:lnTo>
                                  <a:pt x="6693" y="2433"/>
                                </a:lnTo>
                                <a:lnTo>
                                  <a:pt x="6693" y="3099"/>
                                </a:lnTo>
                                <a:lnTo>
                                  <a:pt x="6695" y="3101"/>
                                </a:lnTo>
                                <a:lnTo>
                                  <a:pt x="7900" y="3101"/>
                                </a:lnTo>
                                <a:lnTo>
                                  <a:pt x="7902" y="3099"/>
                                </a:lnTo>
                                <a:lnTo>
                                  <a:pt x="7902" y="3095"/>
                                </a:lnTo>
                                <a:lnTo>
                                  <a:pt x="7902" y="3090"/>
                                </a:lnTo>
                                <a:lnTo>
                                  <a:pt x="7902" y="2441"/>
                                </a:lnTo>
                                <a:lnTo>
                                  <a:pt x="7902" y="2435"/>
                                </a:lnTo>
                                <a:lnTo>
                                  <a:pt x="7902" y="2433"/>
                                </a:lnTo>
                                <a:close/>
                                <a:moveTo>
                                  <a:pt x="8172" y="3633"/>
                                </a:moveTo>
                                <a:lnTo>
                                  <a:pt x="8170" y="3630"/>
                                </a:lnTo>
                                <a:lnTo>
                                  <a:pt x="8163" y="3630"/>
                                </a:lnTo>
                                <a:lnTo>
                                  <a:pt x="8163" y="3641"/>
                                </a:lnTo>
                                <a:lnTo>
                                  <a:pt x="8163" y="4290"/>
                                </a:lnTo>
                                <a:lnTo>
                                  <a:pt x="6808" y="4290"/>
                                </a:lnTo>
                                <a:lnTo>
                                  <a:pt x="6808" y="3641"/>
                                </a:lnTo>
                                <a:lnTo>
                                  <a:pt x="8163" y="3641"/>
                                </a:lnTo>
                                <a:lnTo>
                                  <a:pt x="8163" y="3630"/>
                                </a:lnTo>
                                <a:lnTo>
                                  <a:pt x="6799" y="3630"/>
                                </a:lnTo>
                                <a:lnTo>
                                  <a:pt x="6797" y="3633"/>
                                </a:lnTo>
                                <a:lnTo>
                                  <a:pt x="6797" y="4299"/>
                                </a:lnTo>
                                <a:lnTo>
                                  <a:pt x="6799" y="4301"/>
                                </a:lnTo>
                                <a:lnTo>
                                  <a:pt x="8170" y="4301"/>
                                </a:lnTo>
                                <a:lnTo>
                                  <a:pt x="8172" y="4299"/>
                                </a:lnTo>
                                <a:lnTo>
                                  <a:pt x="8172" y="4295"/>
                                </a:lnTo>
                                <a:lnTo>
                                  <a:pt x="8172" y="4290"/>
                                </a:lnTo>
                                <a:lnTo>
                                  <a:pt x="8172" y="3641"/>
                                </a:lnTo>
                                <a:lnTo>
                                  <a:pt x="8172" y="3635"/>
                                </a:lnTo>
                                <a:lnTo>
                                  <a:pt x="8172" y="36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8" name="Picture 5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7344" y="5076"/>
                            <a:ext cx="27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9" name="AutoShape 53"/>
                        <wps:cNvSpPr>
                          <a:spLocks/>
                        </wps:cNvSpPr>
                        <wps:spPr bwMode="auto">
                          <a:xfrm>
                            <a:off x="4524" y="1432"/>
                            <a:ext cx="690" cy="120"/>
                          </a:xfrm>
                          <a:custGeom>
                            <a:avLst/>
                            <a:gdLst>
                              <a:gd name="T0" fmla="+- 0 5094 4524"/>
                              <a:gd name="T1" fmla="*/ T0 w 690"/>
                              <a:gd name="T2" fmla="+- 0 1432 1432"/>
                              <a:gd name="T3" fmla="*/ 1432 h 120"/>
                              <a:gd name="T4" fmla="+- 0 5094 4524"/>
                              <a:gd name="T5" fmla="*/ T4 w 690"/>
                              <a:gd name="T6" fmla="+- 0 1552 1432"/>
                              <a:gd name="T7" fmla="*/ 1552 h 120"/>
                              <a:gd name="T8" fmla="+- 0 5200 4524"/>
                              <a:gd name="T9" fmla="*/ T8 w 690"/>
                              <a:gd name="T10" fmla="+- 0 1499 1432"/>
                              <a:gd name="T11" fmla="*/ 1499 h 120"/>
                              <a:gd name="T12" fmla="+- 0 5113 4524"/>
                              <a:gd name="T13" fmla="*/ T12 w 690"/>
                              <a:gd name="T14" fmla="+- 0 1499 1432"/>
                              <a:gd name="T15" fmla="*/ 1499 h 120"/>
                              <a:gd name="T16" fmla="+- 0 5113 4524"/>
                              <a:gd name="T17" fmla="*/ T16 w 690"/>
                              <a:gd name="T18" fmla="+- 0 1484 1432"/>
                              <a:gd name="T19" fmla="*/ 1484 h 120"/>
                              <a:gd name="T20" fmla="+- 0 5197 4524"/>
                              <a:gd name="T21" fmla="*/ T20 w 690"/>
                              <a:gd name="T22" fmla="+- 0 1484 1432"/>
                              <a:gd name="T23" fmla="*/ 1484 h 120"/>
                              <a:gd name="T24" fmla="+- 0 5094 4524"/>
                              <a:gd name="T25" fmla="*/ T24 w 690"/>
                              <a:gd name="T26" fmla="+- 0 1432 1432"/>
                              <a:gd name="T27" fmla="*/ 1432 h 120"/>
                              <a:gd name="T28" fmla="+- 0 5094 4524"/>
                              <a:gd name="T29" fmla="*/ T28 w 690"/>
                              <a:gd name="T30" fmla="+- 0 1484 1432"/>
                              <a:gd name="T31" fmla="*/ 1484 h 120"/>
                              <a:gd name="T32" fmla="+- 0 4524 4524"/>
                              <a:gd name="T33" fmla="*/ T32 w 690"/>
                              <a:gd name="T34" fmla="+- 0 1484 1432"/>
                              <a:gd name="T35" fmla="*/ 1484 h 120"/>
                              <a:gd name="T36" fmla="+- 0 4524 4524"/>
                              <a:gd name="T37" fmla="*/ T36 w 690"/>
                              <a:gd name="T38" fmla="+- 0 1499 1432"/>
                              <a:gd name="T39" fmla="*/ 1499 h 120"/>
                              <a:gd name="T40" fmla="+- 0 5094 4524"/>
                              <a:gd name="T41" fmla="*/ T40 w 690"/>
                              <a:gd name="T42" fmla="+- 0 1499 1432"/>
                              <a:gd name="T43" fmla="*/ 1499 h 120"/>
                              <a:gd name="T44" fmla="+- 0 5094 4524"/>
                              <a:gd name="T45" fmla="*/ T44 w 690"/>
                              <a:gd name="T46" fmla="+- 0 1484 1432"/>
                              <a:gd name="T47" fmla="*/ 1484 h 120"/>
                              <a:gd name="T48" fmla="+- 0 5197 4524"/>
                              <a:gd name="T49" fmla="*/ T48 w 690"/>
                              <a:gd name="T50" fmla="+- 0 1484 1432"/>
                              <a:gd name="T51" fmla="*/ 1484 h 120"/>
                              <a:gd name="T52" fmla="+- 0 5113 4524"/>
                              <a:gd name="T53" fmla="*/ T52 w 690"/>
                              <a:gd name="T54" fmla="+- 0 1484 1432"/>
                              <a:gd name="T55" fmla="*/ 1484 h 120"/>
                              <a:gd name="T56" fmla="+- 0 5113 4524"/>
                              <a:gd name="T57" fmla="*/ T56 w 690"/>
                              <a:gd name="T58" fmla="+- 0 1499 1432"/>
                              <a:gd name="T59" fmla="*/ 1499 h 120"/>
                              <a:gd name="T60" fmla="+- 0 5200 4524"/>
                              <a:gd name="T61" fmla="*/ T60 w 690"/>
                              <a:gd name="T62" fmla="+- 0 1499 1432"/>
                              <a:gd name="T63" fmla="*/ 1499 h 120"/>
                              <a:gd name="T64" fmla="+- 0 5214 4524"/>
                              <a:gd name="T65" fmla="*/ T64 w 690"/>
                              <a:gd name="T66" fmla="+- 0 1492 1432"/>
                              <a:gd name="T67" fmla="*/ 1492 h 120"/>
                              <a:gd name="T68" fmla="+- 0 5197 4524"/>
                              <a:gd name="T69" fmla="*/ T68 w 690"/>
                              <a:gd name="T70" fmla="+- 0 1484 1432"/>
                              <a:gd name="T71" fmla="*/ 148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90" h="120">
                                <a:moveTo>
                                  <a:pt x="570" y="0"/>
                                </a:moveTo>
                                <a:lnTo>
                                  <a:pt x="570" y="120"/>
                                </a:lnTo>
                                <a:lnTo>
                                  <a:pt x="676" y="67"/>
                                </a:lnTo>
                                <a:lnTo>
                                  <a:pt x="589" y="67"/>
                                </a:lnTo>
                                <a:lnTo>
                                  <a:pt x="589" y="52"/>
                                </a:lnTo>
                                <a:lnTo>
                                  <a:pt x="673" y="52"/>
                                </a:lnTo>
                                <a:lnTo>
                                  <a:pt x="570" y="0"/>
                                </a:lnTo>
                                <a:close/>
                                <a:moveTo>
                                  <a:pt x="570" y="52"/>
                                </a:moveTo>
                                <a:lnTo>
                                  <a:pt x="0" y="52"/>
                                </a:lnTo>
                                <a:lnTo>
                                  <a:pt x="0" y="67"/>
                                </a:lnTo>
                                <a:lnTo>
                                  <a:pt x="570" y="67"/>
                                </a:lnTo>
                                <a:lnTo>
                                  <a:pt x="570" y="52"/>
                                </a:lnTo>
                                <a:close/>
                                <a:moveTo>
                                  <a:pt x="673" y="52"/>
                                </a:moveTo>
                                <a:lnTo>
                                  <a:pt x="589" y="52"/>
                                </a:lnTo>
                                <a:lnTo>
                                  <a:pt x="589" y="67"/>
                                </a:lnTo>
                                <a:lnTo>
                                  <a:pt x="676" y="67"/>
                                </a:lnTo>
                                <a:lnTo>
                                  <a:pt x="690" y="60"/>
                                </a:lnTo>
                                <a:lnTo>
                                  <a:pt x="673"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0" name="Picture 5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7344" y="3885"/>
                            <a:ext cx="27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798" y="3876"/>
                            <a:ext cx="3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2" name="AutoShape 50"/>
                        <wps:cNvSpPr>
                          <a:spLocks/>
                        </wps:cNvSpPr>
                        <wps:spPr bwMode="auto">
                          <a:xfrm>
                            <a:off x="2307" y="3095"/>
                            <a:ext cx="6128" cy="2590"/>
                          </a:xfrm>
                          <a:custGeom>
                            <a:avLst/>
                            <a:gdLst>
                              <a:gd name="T0" fmla="+- 0 4433 2308"/>
                              <a:gd name="T1" fmla="*/ T0 w 6128"/>
                              <a:gd name="T2" fmla="+- 0 4772 3095"/>
                              <a:gd name="T3" fmla="*/ 4772 h 2590"/>
                              <a:gd name="T4" fmla="+- 0 4430 2308"/>
                              <a:gd name="T5" fmla="*/ T4 w 6128"/>
                              <a:gd name="T6" fmla="+- 0 4769 3095"/>
                              <a:gd name="T7" fmla="*/ 4769 h 2590"/>
                              <a:gd name="T8" fmla="+- 0 4422 2308"/>
                              <a:gd name="T9" fmla="*/ T8 w 6128"/>
                              <a:gd name="T10" fmla="+- 0 4769 3095"/>
                              <a:gd name="T11" fmla="*/ 4769 h 2590"/>
                              <a:gd name="T12" fmla="+- 0 4422 2308"/>
                              <a:gd name="T13" fmla="*/ T12 w 6128"/>
                              <a:gd name="T14" fmla="+- 0 4780 3095"/>
                              <a:gd name="T15" fmla="*/ 4780 h 2590"/>
                              <a:gd name="T16" fmla="+- 0 4422 2308"/>
                              <a:gd name="T17" fmla="*/ T16 w 6128"/>
                              <a:gd name="T18" fmla="+- 0 5429 3095"/>
                              <a:gd name="T19" fmla="*/ 5429 h 2590"/>
                              <a:gd name="T20" fmla="+- 0 2317 2308"/>
                              <a:gd name="T21" fmla="*/ T20 w 6128"/>
                              <a:gd name="T22" fmla="+- 0 5429 3095"/>
                              <a:gd name="T23" fmla="*/ 5429 h 2590"/>
                              <a:gd name="T24" fmla="+- 0 2317 2308"/>
                              <a:gd name="T25" fmla="*/ T24 w 6128"/>
                              <a:gd name="T26" fmla="+- 0 4780 3095"/>
                              <a:gd name="T27" fmla="*/ 4780 h 2590"/>
                              <a:gd name="T28" fmla="+- 0 4422 2308"/>
                              <a:gd name="T29" fmla="*/ T28 w 6128"/>
                              <a:gd name="T30" fmla="+- 0 4780 3095"/>
                              <a:gd name="T31" fmla="*/ 4780 h 2590"/>
                              <a:gd name="T32" fmla="+- 0 4422 2308"/>
                              <a:gd name="T33" fmla="*/ T32 w 6128"/>
                              <a:gd name="T34" fmla="+- 0 4769 3095"/>
                              <a:gd name="T35" fmla="*/ 4769 h 2590"/>
                              <a:gd name="T36" fmla="+- 0 3451 2308"/>
                              <a:gd name="T37" fmla="*/ T36 w 6128"/>
                              <a:gd name="T38" fmla="+- 0 4769 3095"/>
                              <a:gd name="T39" fmla="*/ 4769 h 2590"/>
                              <a:gd name="T40" fmla="+- 0 3451 2308"/>
                              <a:gd name="T41" fmla="*/ T40 w 6128"/>
                              <a:gd name="T42" fmla="+- 0 3215 3095"/>
                              <a:gd name="T43" fmla="*/ 3215 h 2590"/>
                              <a:gd name="T44" fmla="+- 0 3504 2308"/>
                              <a:gd name="T45" fmla="*/ T44 w 6128"/>
                              <a:gd name="T46" fmla="+- 0 3215 3095"/>
                              <a:gd name="T47" fmla="*/ 3215 h 2590"/>
                              <a:gd name="T48" fmla="+- 0 3494 2308"/>
                              <a:gd name="T49" fmla="*/ T48 w 6128"/>
                              <a:gd name="T50" fmla="+- 0 3196 3095"/>
                              <a:gd name="T51" fmla="*/ 3196 h 2590"/>
                              <a:gd name="T52" fmla="+- 0 3444 2308"/>
                              <a:gd name="T53" fmla="*/ T52 w 6128"/>
                              <a:gd name="T54" fmla="+- 0 3095 3095"/>
                              <a:gd name="T55" fmla="*/ 3095 h 2590"/>
                              <a:gd name="T56" fmla="+- 0 3384 2308"/>
                              <a:gd name="T57" fmla="*/ T56 w 6128"/>
                              <a:gd name="T58" fmla="+- 0 3215 3095"/>
                              <a:gd name="T59" fmla="*/ 3215 h 2590"/>
                              <a:gd name="T60" fmla="+- 0 3436 2308"/>
                              <a:gd name="T61" fmla="*/ T60 w 6128"/>
                              <a:gd name="T62" fmla="+- 0 3215 3095"/>
                              <a:gd name="T63" fmla="*/ 3215 h 2590"/>
                              <a:gd name="T64" fmla="+- 0 3436 2308"/>
                              <a:gd name="T65" fmla="*/ T64 w 6128"/>
                              <a:gd name="T66" fmla="+- 0 4769 3095"/>
                              <a:gd name="T67" fmla="*/ 4769 h 2590"/>
                              <a:gd name="T68" fmla="+- 0 2310 2308"/>
                              <a:gd name="T69" fmla="*/ T68 w 6128"/>
                              <a:gd name="T70" fmla="+- 0 4769 3095"/>
                              <a:gd name="T71" fmla="*/ 4769 h 2590"/>
                              <a:gd name="T72" fmla="+- 0 2308 2308"/>
                              <a:gd name="T73" fmla="*/ T72 w 6128"/>
                              <a:gd name="T74" fmla="+- 0 4772 3095"/>
                              <a:gd name="T75" fmla="*/ 4772 h 2590"/>
                              <a:gd name="T76" fmla="+- 0 2308 2308"/>
                              <a:gd name="T77" fmla="*/ T76 w 6128"/>
                              <a:gd name="T78" fmla="+- 0 5438 3095"/>
                              <a:gd name="T79" fmla="*/ 5438 h 2590"/>
                              <a:gd name="T80" fmla="+- 0 2310 2308"/>
                              <a:gd name="T81" fmla="*/ T80 w 6128"/>
                              <a:gd name="T82" fmla="+- 0 5440 3095"/>
                              <a:gd name="T83" fmla="*/ 5440 h 2590"/>
                              <a:gd name="T84" fmla="+- 0 4430 2308"/>
                              <a:gd name="T85" fmla="*/ T84 w 6128"/>
                              <a:gd name="T86" fmla="+- 0 5440 3095"/>
                              <a:gd name="T87" fmla="*/ 5440 h 2590"/>
                              <a:gd name="T88" fmla="+- 0 4433 2308"/>
                              <a:gd name="T89" fmla="*/ T88 w 6128"/>
                              <a:gd name="T90" fmla="+- 0 5438 3095"/>
                              <a:gd name="T91" fmla="*/ 5438 h 2590"/>
                              <a:gd name="T92" fmla="+- 0 4433 2308"/>
                              <a:gd name="T93" fmla="*/ T92 w 6128"/>
                              <a:gd name="T94" fmla="+- 0 5434 3095"/>
                              <a:gd name="T95" fmla="*/ 5434 h 2590"/>
                              <a:gd name="T96" fmla="+- 0 4433 2308"/>
                              <a:gd name="T97" fmla="*/ T96 w 6128"/>
                              <a:gd name="T98" fmla="+- 0 5429 3095"/>
                              <a:gd name="T99" fmla="*/ 5429 h 2590"/>
                              <a:gd name="T100" fmla="+- 0 4433 2308"/>
                              <a:gd name="T101" fmla="*/ T100 w 6128"/>
                              <a:gd name="T102" fmla="+- 0 4780 3095"/>
                              <a:gd name="T103" fmla="*/ 4780 h 2590"/>
                              <a:gd name="T104" fmla="+- 0 4433 2308"/>
                              <a:gd name="T105" fmla="*/ T104 w 6128"/>
                              <a:gd name="T106" fmla="+- 0 4774 3095"/>
                              <a:gd name="T107" fmla="*/ 4774 h 2590"/>
                              <a:gd name="T108" fmla="+- 0 4433 2308"/>
                              <a:gd name="T109" fmla="*/ T108 w 6128"/>
                              <a:gd name="T110" fmla="+- 0 4772 3095"/>
                              <a:gd name="T111" fmla="*/ 4772 h 2590"/>
                              <a:gd name="T112" fmla="+- 0 8368 2308"/>
                              <a:gd name="T113" fmla="*/ T112 w 6128"/>
                              <a:gd name="T114" fmla="+- 0 4628 3095"/>
                              <a:gd name="T115" fmla="*/ 4628 h 2590"/>
                              <a:gd name="T116" fmla="+- 0 8364 2308"/>
                              <a:gd name="T117" fmla="*/ T116 w 6128"/>
                              <a:gd name="T118" fmla="+- 0 4628 3095"/>
                              <a:gd name="T119" fmla="*/ 4628 h 2590"/>
                              <a:gd name="T120" fmla="+- 0 8364 2308"/>
                              <a:gd name="T121" fmla="*/ T120 w 6128"/>
                              <a:gd name="T122" fmla="+- 0 4621 3095"/>
                              <a:gd name="T123" fmla="*/ 4621 h 2590"/>
                              <a:gd name="T124" fmla="+- 0 6811 2308"/>
                              <a:gd name="T125" fmla="*/ T124 w 6128"/>
                              <a:gd name="T126" fmla="+- 0 4621 3095"/>
                              <a:gd name="T127" fmla="*/ 4621 h 2590"/>
                              <a:gd name="T128" fmla="+- 0 6811 2308"/>
                              <a:gd name="T129" fmla="*/ T128 w 6128"/>
                              <a:gd name="T130" fmla="+- 0 4403 3095"/>
                              <a:gd name="T131" fmla="*/ 4403 h 2590"/>
                              <a:gd name="T132" fmla="+- 0 6864 2308"/>
                              <a:gd name="T133" fmla="*/ T132 w 6128"/>
                              <a:gd name="T134" fmla="+- 0 4402 3095"/>
                              <a:gd name="T135" fmla="*/ 4402 h 2590"/>
                              <a:gd name="T136" fmla="+- 0 6854 2308"/>
                              <a:gd name="T137" fmla="*/ T136 w 6128"/>
                              <a:gd name="T138" fmla="+- 0 4383 3095"/>
                              <a:gd name="T139" fmla="*/ 4383 h 2590"/>
                              <a:gd name="T140" fmla="+- 0 6804 2308"/>
                              <a:gd name="T141" fmla="*/ T140 w 6128"/>
                              <a:gd name="T142" fmla="+- 0 4282 3095"/>
                              <a:gd name="T143" fmla="*/ 4282 h 2590"/>
                              <a:gd name="T144" fmla="+- 0 6744 2308"/>
                              <a:gd name="T145" fmla="*/ T144 w 6128"/>
                              <a:gd name="T146" fmla="+- 0 4403 3095"/>
                              <a:gd name="T147" fmla="*/ 4403 h 2590"/>
                              <a:gd name="T148" fmla="+- 0 6797 2308"/>
                              <a:gd name="T149" fmla="*/ T148 w 6128"/>
                              <a:gd name="T150" fmla="+- 0 4403 3095"/>
                              <a:gd name="T151" fmla="*/ 4403 h 2590"/>
                              <a:gd name="T152" fmla="+- 0 6797 2308"/>
                              <a:gd name="T153" fmla="*/ T152 w 6128"/>
                              <a:gd name="T154" fmla="+- 0 4631 3095"/>
                              <a:gd name="T155" fmla="*/ 4631 h 2590"/>
                              <a:gd name="T156" fmla="+- 0 6800 2308"/>
                              <a:gd name="T157" fmla="*/ T156 w 6128"/>
                              <a:gd name="T158" fmla="+- 0 4635 3095"/>
                              <a:gd name="T159" fmla="*/ 4635 h 2590"/>
                              <a:gd name="T160" fmla="+- 0 8353 2308"/>
                              <a:gd name="T161" fmla="*/ T160 w 6128"/>
                              <a:gd name="T162" fmla="+- 0 4635 3095"/>
                              <a:gd name="T163" fmla="*/ 4635 h 2590"/>
                              <a:gd name="T164" fmla="+- 0 8353 2308"/>
                              <a:gd name="T165" fmla="*/ T164 w 6128"/>
                              <a:gd name="T166" fmla="+- 0 4821 3095"/>
                              <a:gd name="T167" fmla="*/ 4821 h 2590"/>
                              <a:gd name="T168" fmla="+- 0 8368 2308"/>
                              <a:gd name="T169" fmla="*/ T168 w 6128"/>
                              <a:gd name="T170" fmla="+- 0 4821 3095"/>
                              <a:gd name="T171" fmla="*/ 4821 h 2590"/>
                              <a:gd name="T172" fmla="+- 0 8368 2308"/>
                              <a:gd name="T173" fmla="*/ T172 w 6128"/>
                              <a:gd name="T174" fmla="+- 0 4628 3095"/>
                              <a:gd name="T175" fmla="*/ 4628 h 2590"/>
                              <a:gd name="T176" fmla="+- 0 8435 2308"/>
                              <a:gd name="T177" fmla="*/ T176 w 6128"/>
                              <a:gd name="T178" fmla="+- 0 5601 3095"/>
                              <a:gd name="T179" fmla="*/ 5601 h 2590"/>
                              <a:gd name="T180" fmla="+- 0 8425 2308"/>
                              <a:gd name="T181" fmla="*/ T180 w 6128"/>
                              <a:gd name="T182" fmla="+- 0 5583 3095"/>
                              <a:gd name="T183" fmla="*/ 5583 h 2590"/>
                              <a:gd name="T184" fmla="+- 0 8371 2308"/>
                              <a:gd name="T185" fmla="*/ T184 w 6128"/>
                              <a:gd name="T186" fmla="+- 0 5482 3095"/>
                              <a:gd name="T187" fmla="*/ 5482 h 2590"/>
                              <a:gd name="T188" fmla="+- 0 8315 2308"/>
                              <a:gd name="T189" fmla="*/ T188 w 6128"/>
                              <a:gd name="T190" fmla="+- 0 5605 3095"/>
                              <a:gd name="T191" fmla="*/ 5605 h 2590"/>
                              <a:gd name="T192" fmla="+- 0 8367 2308"/>
                              <a:gd name="T193" fmla="*/ T192 w 6128"/>
                              <a:gd name="T194" fmla="+- 0 5603 3095"/>
                              <a:gd name="T195" fmla="*/ 5603 h 2590"/>
                              <a:gd name="T196" fmla="+- 0 8368 2308"/>
                              <a:gd name="T197" fmla="*/ T196 w 6128"/>
                              <a:gd name="T198" fmla="+- 0 5671 3095"/>
                              <a:gd name="T199" fmla="*/ 5671 h 2590"/>
                              <a:gd name="T200" fmla="+- 0 4508 2308"/>
                              <a:gd name="T201" fmla="*/ T200 w 6128"/>
                              <a:gd name="T202" fmla="+- 0 5671 3095"/>
                              <a:gd name="T203" fmla="*/ 5671 h 2590"/>
                              <a:gd name="T204" fmla="+- 0 4508 2308"/>
                              <a:gd name="T205" fmla="*/ T204 w 6128"/>
                              <a:gd name="T206" fmla="+- 0 5685 3095"/>
                              <a:gd name="T207" fmla="*/ 5685 h 2590"/>
                              <a:gd name="T208" fmla="+- 0 8378 2308"/>
                              <a:gd name="T209" fmla="*/ T208 w 6128"/>
                              <a:gd name="T210" fmla="+- 0 5685 3095"/>
                              <a:gd name="T211" fmla="*/ 5685 h 2590"/>
                              <a:gd name="T212" fmla="+- 0 8382 2308"/>
                              <a:gd name="T213" fmla="*/ T212 w 6128"/>
                              <a:gd name="T214" fmla="+- 0 5681 3095"/>
                              <a:gd name="T215" fmla="*/ 5681 h 2590"/>
                              <a:gd name="T216" fmla="+- 0 8382 2308"/>
                              <a:gd name="T217" fmla="*/ T216 w 6128"/>
                              <a:gd name="T218" fmla="+- 0 5678 3095"/>
                              <a:gd name="T219" fmla="*/ 5678 h 2590"/>
                              <a:gd name="T220" fmla="+- 0 8382 2308"/>
                              <a:gd name="T221" fmla="*/ T220 w 6128"/>
                              <a:gd name="T222" fmla="+- 0 5671 3095"/>
                              <a:gd name="T223" fmla="*/ 5671 h 2590"/>
                              <a:gd name="T224" fmla="+- 0 8382 2308"/>
                              <a:gd name="T225" fmla="*/ T224 w 6128"/>
                              <a:gd name="T226" fmla="+- 0 5603 3095"/>
                              <a:gd name="T227" fmla="*/ 5603 h 2590"/>
                              <a:gd name="T228" fmla="+- 0 8435 2308"/>
                              <a:gd name="T229" fmla="*/ T228 w 6128"/>
                              <a:gd name="T230" fmla="+- 0 5601 3095"/>
                              <a:gd name="T231" fmla="*/ 5601 h 2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128" h="2590">
                                <a:moveTo>
                                  <a:pt x="2125" y="1677"/>
                                </a:moveTo>
                                <a:lnTo>
                                  <a:pt x="2122" y="1674"/>
                                </a:lnTo>
                                <a:lnTo>
                                  <a:pt x="2114" y="1674"/>
                                </a:lnTo>
                                <a:lnTo>
                                  <a:pt x="2114" y="1685"/>
                                </a:lnTo>
                                <a:lnTo>
                                  <a:pt x="2114" y="2334"/>
                                </a:lnTo>
                                <a:lnTo>
                                  <a:pt x="9" y="2334"/>
                                </a:lnTo>
                                <a:lnTo>
                                  <a:pt x="9" y="1685"/>
                                </a:lnTo>
                                <a:lnTo>
                                  <a:pt x="2114" y="1685"/>
                                </a:lnTo>
                                <a:lnTo>
                                  <a:pt x="2114" y="1674"/>
                                </a:lnTo>
                                <a:lnTo>
                                  <a:pt x="1143" y="1674"/>
                                </a:lnTo>
                                <a:lnTo>
                                  <a:pt x="1143" y="120"/>
                                </a:lnTo>
                                <a:lnTo>
                                  <a:pt x="1196" y="120"/>
                                </a:lnTo>
                                <a:lnTo>
                                  <a:pt x="1186" y="101"/>
                                </a:lnTo>
                                <a:lnTo>
                                  <a:pt x="1136" y="0"/>
                                </a:lnTo>
                                <a:lnTo>
                                  <a:pt x="1076" y="120"/>
                                </a:lnTo>
                                <a:lnTo>
                                  <a:pt x="1128" y="120"/>
                                </a:lnTo>
                                <a:lnTo>
                                  <a:pt x="1128" y="1674"/>
                                </a:lnTo>
                                <a:lnTo>
                                  <a:pt x="2" y="1674"/>
                                </a:lnTo>
                                <a:lnTo>
                                  <a:pt x="0" y="1677"/>
                                </a:lnTo>
                                <a:lnTo>
                                  <a:pt x="0" y="2343"/>
                                </a:lnTo>
                                <a:lnTo>
                                  <a:pt x="2" y="2345"/>
                                </a:lnTo>
                                <a:lnTo>
                                  <a:pt x="2122" y="2345"/>
                                </a:lnTo>
                                <a:lnTo>
                                  <a:pt x="2125" y="2343"/>
                                </a:lnTo>
                                <a:lnTo>
                                  <a:pt x="2125" y="2339"/>
                                </a:lnTo>
                                <a:lnTo>
                                  <a:pt x="2125" y="2334"/>
                                </a:lnTo>
                                <a:lnTo>
                                  <a:pt x="2125" y="1685"/>
                                </a:lnTo>
                                <a:lnTo>
                                  <a:pt x="2125" y="1679"/>
                                </a:lnTo>
                                <a:lnTo>
                                  <a:pt x="2125" y="1677"/>
                                </a:lnTo>
                                <a:close/>
                                <a:moveTo>
                                  <a:pt x="6060" y="1533"/>
                                </a:moveTo>
                                <a:lnTo>
                                  <a:pt x="6056" y="1533"/>
                                </a:lnTo>
                                <a:lnTo>
                                  <a:pt x="6056" y="1526"/>
                                </a:lnTo>
                                <a:lnTo>
                                  <a:pt x="4503" y="1526"/>
                                </a:lnTo>
                                <a:lnTo>
                                  <a:pt x="4503" y="1308"/>
                                </a:lnTo>
                                <a:lnTo>
                                  <a:pt x="4556" y="1307"/>
                                </a:lnTo>
                                <a:lnTo>
                                  <a:pt x="4546" y="1288"/>
                                </a:lnTo>
                                <a:lnTo>
                                  <a:pt x="4496" y="1187"/>
                                </a:lnTo>
                                <a:lnTo>
                                  <a:pt x="4436" y="1308"/>
                                </a:lnTo>
                                <a:lnTo>
                                  <a:pt x="4489" y="1308"/>
                                </a:lnTo>
                                <a:lnTo>
                                  <a:pt x="4489" y="1536"/>
                                </a:lnTo>
                                <a:lnTo>
                                  <a:pt x="4492" y="1540"/>
                                </a:lnTo>
                                <a:lnTo>
                                  <a:pt x="6045" y="1540"/>
                                </a:lnTo>
                                <a:lnTo>
                                  <a:pt x="6045" y="1726"/>
                                </a:lnTo>
                                <a:lnTo>
                                  <a:pt x="6060" y="1726"/>
                                </a:lnTo>
                                <a:lnTo>
                                  <a:pt x="6060" y="1533"/>
                                </a:lnTo>
                                <a:close/>
                                <a:moveTo>
                                  <a:pt x="6127" y="2506"/>
                                </a:moveTo>
                                <a:lnTo>
                                  <a:pt x="6117" y="2488"/>
                                </a:lnTo>
                                <a:lnTo>
                                  <a:pt x="6063" y="2387"/>
                                </a:lnTo>
                                <a:lnTo>
                                  <a:pt x="6007" y="2510"/>
                                </a:lnTo>
                                <a:lnTo>
                                  <a:pt x="6059" y="2508"/>
                                </a:lnTo>
                                <a:lnTo>
                                  <a:pt x="6060" y="2576"/>
                                </a:lnTo>
                                <a:lnTo>
                                  <a:pt x="2200" y="2576"/>
                                </a:lnTo>
                                <a:lnTo>
                                  <a:pt x="2200" y="2590"/>
                                </a:lnTo>
                                <a:lnTo>
                                  <a:pt x="6070" y="2590"/>
                                </a:lnTo>
                                <a:lnTo>
                                  <a:pt x="6074" y="2586"/>
                                </a:lnTo>
                                <a:lnTo>
                                  <a:pt x="6074" y="2583"/>
                                </a:lnTo>
                                <a:lnTo>
                                  <a:pt x="6074" y="2576"/>
                                </a:lnTo>
                                <a:lnTo>
                                  <a:pt x="6074" y="2508"/>
                                </a:lnTo>
                                <a:lnTo>
                                  <a:pt x="6127" y="25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Text Box 49"/>
                        <wps:cNvSpPr txBox="1">
                          <a:spLocks noChangeArrowheads="1"/>
                        </wps:cNvSpPr>
                        <wps:spPr bwMode="auto">
                          <a:xfrm>
                            <a:off x="2269" y="5862"/>
                            <a:ext cx="8506" cy="120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A0C0029" w14:textId="77777777" w:rsidR="00FD55D7" w:rsidRPr="00107197" w:rsidRDefault="00FD55D7" w:rsidP="002D6804">
                              <w:pPr>
                                <w:spacing w:before="3"/>
                                <w:rPr>
                                  <w:sz w:val="5"/>
                                  <w:szCs w:val="12"/>
                                </w:rPr>
                              </w:pPr>
                            </w:p>
                            <w:p w14:paraId="596EF12C" w14:textId="77777777" w:rsidR="00FD55D7" w:rsidRPr="00107197" w:rsidRDefault="00FD55D7" w:rsidP="00107197">
                              <w:pPr>
                                <w:spacing w:after="0" w:line="161" w:lineRule="exact"/>
                                <w:ind w:left="1423"/>
                                <w:rPr>
                                  <w:rFonts w:ascii="Arial" w:hAnsi="Arial" w:cs="Arial"/>
                                  <w:sz w:val="14"/>
                                </w:rPr>
                              </w:pPr>
                              <w:r w:rsidRPr="00107197">
                                <w:rPr>
                                  <w:rFonts w:ascii="Arial" w:hAnsi="Arial" w:cs="Arial"/>
                                  <w:sz w:val="14"/>
                                </w:rPr>
                                <w:t>Provide updates on:</w:t>
                              </w:r>
                            </w:p>
                            <w:p w14:paraId="1026FB61" w14:textId="77777777" w:rsidR="00FD55D7" w:rsidRPr="00107197" w:rsidRDefault="00FD55D7" w:rsidP="002A3889">
                              <w:pPr>
                                <w:widowControl w:val="0"/>
                                <w:numPr>
                                  <w:ilvl w:val="0"/>
                                  <w:numId w:val="459"/>
                                </w:numPr>
                                <w:tabs>
                                  <w:tab w:val="left" w:pos="1580"/>
                                </w:tabs>
                                <w:autoSpaceDE w:val="0"/>
                                <w:autoSpaceDN w:val="0"/>
                                <w:spacing w:after="0" w:line="161" w:lineRule="exact"/>
                                <w:rPr>
                                  <w:rFonts w:ascii="Arial" w:hAnsi="Arial" w:cs="Arial"/>
                                  <w:sz w:val="14"/>
                                </w:rPr>
                              </w:pPr>
                              <w:r w:rsidRPr="00107197">
                                <w:rPr>
                                  <w:rFonts w:ascii="Arial" w:hAnsi="Arial" w:cs="Arial"/>
                                  <w:sz w:val="14"/>
                                </w:rPr>
                                <w:t>New / emerging</w:t>
                              </w:r>
                              <w:r w:rsidRPr="00107197">
                                <w:rPr>
                                  <w:rFonts w:ascii="Arial" w:hAnsi="Arial" w:cs="Arial"/>
                                  <w:spacing w:val="-5"/>
                                  <w:sz w:val="14"/>
                                </w:rPr>
                                <w:t xml:space="preserve"> </w:t>
                              </w:r>
                              <w:r w:rsidRPr="00107197">
                                <w:rPr>
                                  <w:rFonts w:ascii="Arial" w:hAnsi="Arial" w:cs="Arial"/>
                                  <w:sz w:val="14"/>
                                </w:rPr>
                                <w:t>risks</w:t>
                              </w:r>
                            </w:p>
                            <w:p w14:paraId="42867C46" w14:textId="77777777" w:rsidR="00FD55D7" w:rsidRPr="00107197" w:rsidRDefault="00FD55D7" w:rsidP="002A3889">
                              <w:pPr>
                                <w:widowControl w:val="0"/>
                                <w:numPr>
                                  <w:ilvl w:val="0"/>
                                  <w:numId w:val="459"/>
                                </w:numPr>
                                <w:tabs>
                                  <w:tab w:val="left" w:pos="1580"/>
                                </w:tabs>
                                <w:autoSpaceDE w:val="0"/>
                                <w:autoSpaceDN w:val="0"/>
                                <w:spacing w:after="0" w:line="240" w:lineRule="auto"/>
                                <w:ind w:left="1579"/>
                                <w:rPr>
                                  <w:rFonts w:ascii="Arial" w:hAnsi="Arial" w:cs="Arial"/>
                                  <w:sz w:val="14"/>
                                </w:rPr>
                              </w:pPr>
                              <w:r w:rsidRPr="00107197">
                                <w:rPr>
                                  <w:rFonts w:ascii="Arial" w:hAnsi="Arial" w:cs="Arial"/>
                                  <w:sz w:val="14"/>
                                </w:rPr>
                                <w:t>Control</w:t>
                              </w:r>
                              <w:r w:rsidRPr="00107197">
                                <w:rPr>
                                  <w:rFonts w:ascii="Arial" w:hAnsi="Arial" w:cs="Arial"/>
                                  <w:spacing w:val="-15"/>
                                  <w:sz w:val="14"/>
                                </w:rPr>
                                <w:t xml:space="preserve"> </w:t>
                              </w:r>
                              <w:r w:rsidRPr="00107197">
                                <w:rPr>
                                  <w:rFonts w:ascii="Arial" w:hAnsi="Arial" w:cs="Arial"/>
                                  <w:sz w:val="14"/>
                                </w:rPr>
                                <w:t>Adequacy</w:t>
                              </w:r>
                            </w:p>
                            <w:p w14:paraId="3C5A6092" w14:textId="77777777" w:rsidR="00FD55D7" w:rsidRPr="00107197" w:rsidRDefault="00FD55D7" w:rsidP="002A3889">
                              <w:pPr>
                                <w:widowControl w:val="0"/>
                                <w:numPr>
                                  <w:ilvl w:val="0"/>
                                  <w:numId w:val="459"/>
                                </w:numPr>
                                <w:tabs>
                                  <w:tab w:val="left" w:pos="1580"/>
                                </w:tabs>
                                <w:autoSpaceDE w:val="0"/>
                                <w:autoSpaceDN w:val="0"/>
                                <w:spacing w:before="1" w:after="0" w:line="240" w:lineRule="auto"/>
                                <w:rPr>
                                  <w:rFonts w:ascii="Arial" w:hAnsi="Arial" w:cs="Arial"/>
                                  <w:sz w:val="14"/>
                                </w:rPr>
                              </w:pPr>
                              <w:r w:rsidRPr="00107197">
                                <w:rPr>
                                  <w:rFonts w:ascii="Arial" w:hAnsi="Arial" w:cs="Arial"/>
                                  <w:sz w:val="14"/>
                                </w:rPr>
                                <w:t>Assigned</w:t>
                              </w:r>
                              <w:r w:rsidRPr="00107197">
                                <w:rPr>
                                  <w:rFonts w:ascii="Arial" w:hAnsi="Arial" w:cs="Arial"/>
                                  <w:spacing w:val="-8"/>
                                  <w:sz w:val="14"/>
                                </w:rPr>
                                <w:t xml:space="preserve"> </w:t>
                              </w:r>
                              <w:r w:rsidRPr="00107197">
                                <w:rPr>
                                  <w:rFonts w:ascii="Arial" w:hAnsi="Arial" w:cs="Arial"/>
                                  <w:sz w:val="14"/>
                                </w:rPr>
                                <w:t>Actions</w:t>
                              </w:r>
                            </w:p>
                          </w:txbxContent>
                        </wps:txbx>
                        <wps:bodyPr rot="0" vert="horz" wrap="square" lIns="0" tIns="0" rIns="0" bIns="0" anchor="t" anchorCtr="0" upright="1">
                          <a:noAutofit/>
                        </wps:bodyPr>
                      </wps:wsp>
                      <wps:wsp>
                        <wps:cNvPr id="384" name="Text Box 48"/>
                        <wps:cNvSpPr txBox="1">
                          <a:spLocks noChangeArrowheads="1"/>
                        </wps:cNvSpPr>
                        <wps:spPr bwMode="auto">
                          <a:xfrm>
                            <a:off x="9391" y="4912"/>
                            <a:ext cx="1010"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A8AFC" w14:textId="77777777" w:rsidR="00FD55D7" w:rsidRPr="00107197" w:rsidRDefault="00FD55D7" w:rsidP="002D6804">
                              <w:pPr>
                                <w:spacing w:line="242" w:lineRule="auto"/>
                                <w:ind w:right="18" w:hanging="5"/>
                                <w:jc w:val="center"/>
                                <w:rPr>
                                  <w:rFonts w:ascii="Arial" w:hAnsi="Arial" w:cs="Arial"/>
                                  <w:sz w:val="14"/>
                                </w:rPr>
                              </w:pPr>
                              <w:r w:rsidRPr="00107197">
                                <w:rPr>
                                  <w:rFonts w:ascii="Arial" w:hAnsi="Arial" w:cs="Arial"/>
                                  <w:sz w:val="14"/>
                                </w:rPr>
                                <w:t>Update Risk Profiles / Follow up Action</w:t>
                              </w:r>
                            </w:p>
                          </w:txbxContent>
                        </wps:txbx>
                        <wps:bodyPr rot="0" vert="horz" wrap="square" lIns="0" tIns="0" rIns="0" bIns="0" anchor="t" anchorCtr="0" upright="1">
                          <a:noAutofit/>
                        </wps:bodyPr>
                      </wps:wsp>
                      <wps:wsp>
                        <wps:cNvPr id="385" name="Text Box 47"/>
                        <wps:cNvSpPr txBox="1">
                          <a:spLocks noChangeArrowheads="1"/>
                        </wps:cNvSpPr>
                        <wps:spPr bwMode="auto">
                          <a:xfrm>
                            <a:off x="7750" y="4912"/>
                            <a:ext cx="107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4B39E" w14:textId="77777777" w:rsidR="00FD55D7" w:rsidRPr="00107197" w:rsidRDefault="00FD55D7" w:rsidP="002D6804">
                              <w:pPr>
                                <w:spacing w:line="242" w:lineRule="auto"/>
                                <w:ind w:right="18" w:hanging="2"/>
                                <w:jc w:val="center"/>
                                <w:rPr>
                                  <w:rFonts w:ascii="Arial" w:hAnsi="Arial" w:cs="Arial"/>
                                  <w:sz w:val="14"/>
                                </w:rPr>
                              </w:pPr>
                              <w:r w:rsidRPr="00107197">
                                <w:rPr>
                                  <w:rFonts w:ascii="Arial" w:hAnsi="Arial" w:cs="Arial"/>
                                  <w:sz w:val="14"/>
                                </w:rPr>
                                <w:t>Produce Risk Summary Report (Six-Monthly)</w:t>
                              </w:r>
                            </w:p>
                          </w:txbxContent>
                        </wps:txbx>
                        <wps:bodyPr rot="0" vert="horz" wrap="square" lIns="0" tIns="0" rIns="0" bIns="0" anchor="t" anchorCtr="0" upright="1">
                          <a:noAutofit/>
                        </wps:bodyPr>
                      </wps:wsp>
                      <wps:wsp>
                        <wps:cNvPr id="386" name="Text Box 46"/>
                        <wps:cNvSpPr txBox="1">
                          <a:spLocks noChangeArrowheads="1"/>
                        </wps:cNvSpPr>
                        <wps:spPr bwMode="auto">
                          <a:xfrm>
                            <a:off x="6315" y="4897"/>
                            <a:ext cx="93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914A0" w14:textId="77777777" w:rsidR="00FD55D7" w:rsidRPr="00107197" w:rsidRDefault="00FD55D7" w:rsidP="002D6804">
                              <w:pPr>
                                <w:ind w:right="18"/>
                                <w:jc w:val="center"/>
                                <w:rPr>
                                  <w:rFonts w:ascii="Arial" w:hAnsi="Arial" w:cs="Arial"/>
                                  <w:sz w:val="14"/>
                                </w:rPr>
                              </w:pPr>
                              <w:r w:rsidRPr="00107197">
                                <w:rPr>
                                  <w:rFonts w:ascii="Arial" w:hAnsi="Arial" w:cs="Arial"/>
                                  <w:sz w:val="14"/>
                                </w:rPr>
                                <w:t>Identify new / emerging risks</w:t>
                              </w:r>
                            </w:p>
                          </w:txbxContent>
                        </wps:txbx>
                        <wps:bodyPr rot="0" vert="horz" wrap="square" lIns="0" tIns="0" rIns="0" bIns="0" anchor="t" anchorCtr="0" upright="1">
                          <a:noAutofit/>
                        </wps:bodyPr>
                      </wps:wsp>
                      <wps:wsp>
                        <wps:cNvPr id="387" name="Text Box 45"/>
                        <wps:cNvSpPr txBox="1">
                          <a:spLocks noChangeArrowheads="1"/>
                        </wps:cNvSpPr>
                        <wps:spPr bwMode="auto">
                          <a:xfrm>
                            <a:off x="4959" y="4992"/>
                            <a:ext cx="72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85D00" w14:textId="77777777" w:rsidR="00FD55D7" w:rsidRPr="00107197" w:rsidRDefault="00FD55D7" w:rsidP="002D6804">
                              <w:pPr>
                                <w:spacing w:line="242" w:lineRule="auto"/>
                                <w:ind w:right="2" w:firstLine="15"/>
                                <w:rPr>
                                  <w:rFonts w:ascii="Arial" w:hAnsi="Arial" w:cs="Arial"/>
                                  <w:sz w:val="14"/>
                                </w:rPr>
                              </w:pPr>
                              <w:r w:rsidRPr="00107197">
                                <w:rPr>
                                  <w:rFonts w:ascii="Arial" w:hAnsi="Arial" w:cs="Arial"/>
                                  <w:sz w:val="14"/>
                                </w:rPr>
                                <w:t>Verify Risk Information</w:t>
                              </w:r>
                            </w:p>
                          </w:txbxContent>
                        </wps:txbx>
                        <wps:bodyPr rot="0" vert="horz" wrap="square" lIns="0" tIns="0" rIns="0" bIns="0" anchor="t" anchorCtr="0" upright="1">
                          <a:noAutofit/>
                        </wps:bodyPr>
                      </wps:wsp>
                      <wps:wsp>
                        <wps:cNvPr id="388" name="Text Box 44"/>
                        <wps:cNvSpPr txBox="1">
                          <a:spLocks noChangeArrowheads="1"/>
                        </wps:cNvSpPr>
                        <wps:spPr bwMode="auto">
                          <a:xfrm>
                            <a:off x="2618" y="4853"/>
                            <a:ext cx="1717"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FA9D6" w14:textId="77777777" w:rsidR="00FD55D7" w:rsidRPr="00107197" w:rsidRDefault="00FD55D7" w:rsidP="002D6804">
                              <w:pPr>
                                <w:ind w:right="18" w:hanging="1"/>
                                <w:jc w:val="center"/>
                                <w:rPr>
                                  <w:rFonts w:ascii="Arial" w:hAnsi="Arial" w:cs="Arial"/>
                                  <w:sz w:val="14"/>
                                </w:rPr>
                              </w:pPr>
                              <w:r w:rsidRPr="00107197">
                                <w:rPr>
                                  <w:rFonts w:ascii="Arial" w:hAnsi="Arial" w:cs="Arial"/>
                                  <w:sz w:val="14"/>
                                </w:rPr>
                                <w:t>Produces Biennial Risk Report as Appropriate &amp; Effective</w:t>
                              </w:r>
                            </w:p>
                          </w:txbxContent>
                        </wps:txbx>
                        <wps:bodyPr rot="0" vert="horz" wrap="square" lIns="0" tIns="0" rIns="0" bIns="0" anchor="t" anchorCtr="0" upright="1">
                          <a:noAutofit/>
                        </wps:bodyPr>
                      </wps:wsp>
                      <wps:wsp>
                        <wps:cNvPr id="389" name="Text Box 43"/>
                        <wps:cNvSpPr txBox="1">
                          <a:spLocks noChangeArrowheads="1"/>
                        </wps:cNvSpPr>
                        <wps:spPr bwMode="auto">
                          <a:xfrm>
                            <a:off x="9379" y="3712"/>
                            <a:ext cx="65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DBCB7" w14:textId="77777777" w:rsidR="00FD55D7" w:rsidRPr="00107197" w:rsidRDefault="00FD55D7" w:rsidP="002D6804">
                              <w:pPr>
                                <w:spacing w:line="242" w:lineRule="auto"/>
                                <w:ind w:right="18"/>
                                <w:jc w:val="center"/>
                                <w:rPr>
                                  <w:rFonts w:ascii="Arial" w:hAnsi="Arial" w:cs="Arial"/>
                                  <w:sz w:val="14"/>
                                </w:rPr>
                              </w:pPr>
                              <w:r w:rsidRPr="00107197">
                                <w:rPr>
                                  <w:rFonts w:ascii="Arial" w:hAnsi="Arial" w:cs="Arial"/>
                                  <w:sz w:val="14"/>
                                </w:rPr>
                                <w:t>Document meeting outcomes</w:t>
                              </w:r>
                            </w:p>
                          </w:txbxContent>
                        </wps:txbx>
                        <wps:bodyPr rot="0" vert="horz" wrap="square" lIns="0" tIns="0" rIns="0" bIns="0" anchor="t" anchorCtr="0" upright="1">
                          <a:noAutofit/>
                        </wps:bodyPr>
                      </wps:wsp>
                      <wps:wsp>
                        <wps:cNvPr id="390" name="Text Box 42"/>
                        <wps:cNvSpPr txBox="1">
                          <a:spLocks noChangeArrowheads="1"/>
                        </wps:cNvSpPr>
                        <wps:spPr bwMode="auto">
                          <a:xfrm>
                            <a:off x="7770" y="3712"/>
                            <a:ext cx="975"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A1A07" w14:textId="77777777" w:rsidR="00FD55D7" w:rsidRPr="00107197" w:rsidRDefault="00FD55D7" w:rsidP="00107197">
                              <w:pPr>
                                <w:spacing w:after="0" w:line="157" w:lineRule="exact"/>
                                <w:rPr>
                                  <w:rFonts w:ascii="Arial" w:hAnsi="Arial" w:cs="Arial"/>
                                  <w:sz w:val="14"/>
                                </w:rPr>
                              </w:pPr>
                              <w:r w:rsidRPr="00107197">
                                <w:rPr>
                                  <w:rFonts w:ascii="Arial" w:hAnsi="Arial" w:cs="Arial"/>
                                  <w:sz w:val="14"/>
                                </w:rPr>
                                <w:t>Identifies new</w:t>
                              </w:r>
                            </w:p>
                            <w:p w14:paraId="2D7534A5" w14:textId="77777777" w:rsidR="00FD55D7" w:rsidRDefault="00FD55D7" w:rsidP="002D6804">
                              <w:pPr>
                                <w:spacing w:before="1"/>
                                <w:ind w:left="284" w:right="100" w:hanging="188"/>
                                <w:rPr>
                                  <w:sz w:val="14"/>
                                </w:rPr>
                              </w:pPr>
                              <w:r w:rsidRPr="00107197">
                                <w:rPr>
                                  <w:rFonts w:ascii="Arial" w:hAnsi="Arial" w:cs="Arial"/>
                                  <w:sz w:val="14"/>
                                </w:rPr>
                                <w:t>/ emerging</w:t>
                              </w:r>
                              <w:r>
                                <w:rPr>
                                  <w:sz w:val="14"/>
                                </w:rPr>
                                <w:t xml:space="preserve"> </w:t>
                              </w:r>
                              <w:r w:rsidRPr="00107197">
                                <w:rPr>
                                  <w:rFonts w:ascii="Arial" w:hAnsi="Arial" w:cs="Arial"/>
                                  <w:sz w:val="14"/>
                                </w:rPr>
                                <w:t>risks</w:t>
                              </w:r>
                            </w:p>
                          </w:txbxContent>
                        </wps:txbx>
                        <wps:bodyPr rot="0" vert="horz" wrap="square" lIns="0" tIns="0" rIns="0" bIns="0" anchor="t" anchorCtr="0" upright="1">
                          <a:noAutofit/>
                        </wps:bodyPr>
                      </wps:wsp>
                      <wps:wsp>
                        <wps:cNvPr id="391" name="Text Box 41"/>
                        <wps:cNvSpPr txBox="1">
                          <a:spLocks noChangeArrowheads="1"/>
                        </wps:cNvSpPr>
                        <wps:spPr bwMode="auto">
                          <a:xfrm>
                            <a:off x="6513" y="3792"/>
                            <a:ext cx="479"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1FDFA" w14:textId="77777777" w:rsidR="00FD55D7" w:rsidRPr="00107197" w:rsidRDefault="00FD55D7" w:rsidP="002D6804">
                              <w:pPr>
                                <w:spacing w:line="242" w:lineRule="auto"/>
                                <w:ind w:left="19" w:hanging="20"/>
                                <w:rPr>
                                  <w:rFonts w:ascii="Arial" w:hAnsi="Arial" w:cs="Arial"/>
                                  <w:sz w:val="14"/>
                                </w:rPr>
                              </w:pPr>
                              <w:r w:rsidRPr="00107197">
                                <w:rPr>
                                  <w:rFonts w:ascii="Arial" w:hAnsi="Arial" w:cs="Arial"/>
                                  <w:sz w:val="14"/>
                                </w:rPr>
                                <w:t>Review Report</w:t>
                              </w:r>
                            </w:p>
                          </w:txbxContent>
                        </wps:txbx>
                        <wps:bodyPr rot="0" vert="horz" wrap="square" lIns="0" tIns="0" rIns="0" bIns="0" anchor="t" anchorCtr="0" upright="1">
                          <a:noAutofit/>
                        </wps:bodyPr>
                      </wps:wsp>
                      <wps:wsp>
                        <wps:cNvPr id="392" name="Text Box 40"/>
                        <wps:cNvSpPr txBox="1">
                          <a:spLocks noChangeArrowheads="1"/>
                        </wps:cNvSpPr>
                        <wps:spPr bwMode="auto">
                          <a:xfrm>
                            <a:off x="2269" y="2164"/>
                            <a:ext cx="8506" cy="120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3F99B3" w14:textId="77777777" w:rsidR="00FD55D7" w:rsidRPr="00107197" w:rsidRDefault="00FD55D7" w:rsidP="002D6804">
                              <w:pPr>
                                <w:rPr>
                                  <w:sz w:val="10"/>
                                  <w:szCs w:val="16"/>
                                </w:rPr>
                              </w:pPr>
                            </w:p>
                            <w:p w14:paraId="21584024" w14:textId="77777777" w:rsidR="00FD55D7" w:rsidRPr="00107197" w:rsidRDefault="00FD55D7" w:rsidP="002D6804">
                              <w:pPr>
                                <w:ind w:left="438" w:right="6553" w:hanging="1"/>
                                <w:jc w:val="center"/>
                                <w:rPr>
                                  <w:rFonts w:ascii="Arial" w:hAnsi="Arial" w:cs="Arial"/>
                                  <w:sz w:val="14"/>
                                </w:rPr>
                              </w:pPr>
                              <w:r w:rsidRPr="00107197">
                                <w:rPr>
                                  <w:rFonts w:ascii="Arial" w:hAnsi="Arial" w:cs="Arial"/>
                                  <w:sz w:val="14"/>
                                </w:rPr>
                                <w:t>Approve Biennial Risk Report as Appropriate &amp; Effective</w:t>
                              </w:r>
                            </w:p>
                          </w:txbxContent>
                        </wps:txbx>
                        <wps:bodyPr rot="0" vert="horz" wrap="square" lIns="0" tIns="0" rIns="0" bIns="0" anchor="t" anchorCtr="0" upright="1">
                          <a:noAutofit/>
                        </wps:bodyPr>
                      </wps:wsp>
                      <wps:wsp>
                        <wps:cNvPr id="393" name="Text Box 39"/>
                        <wps:cNvSpPr txBox="1">
                          <a:spLocks noChangeArrowheads="1"/>
                        </wps:cNvSpPr>
                        <wps:spPr bwMode="auto">
                          <a:xfrm>
                            <a:off x="5486" y="1362"/>
                            <a:ext cx="124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3DC7E" w14:textId="77777777" w:rsidR="00FD55D7" w:rsidRPr="00984648" w:rsidRDefault="00FD55D7" w:rsidP="002D6804">
                              <w:pPr>
                                <w:spacing w:line="242" w:lineRule="auto"/>
                                <w:ind w:left="97" w:hanging="98"/>
                                <w:rPr>
                                  <w:rFonts w:ascii="Arial" w:hAnsi="Arial" w:cs="Arial"/>
                                  <w:sz w:val="14"/>
                                </w:rPr>
                              </w:pPr>
                              <w:r w:rsidRPr="00984648">
                                <w:rPr>
                                  <w:rFonts w:ascii="Arial" w:hAnsi="Arial" w:cs="Arial"/>
                                  <w:sz w:val="14"/>
                                </w:rPr>
                                <w:t>Provide overview of report to Council</w:t>
                              </w:r>
                            </w:p>
                          </w:txbxContent>
                        </wps:txbx>
                        <wps:bodyPr rot="0" vert="horz" wrap="square" lIns="0" tIns="0" rIns="0" bIns="0" anchor="t" anchorCtr="0" upright="1">
                          <a:noAutofit/>
                        </wps:bodyPr>
                      </wps:wsp>
                      <wps:wsp>
                        <wps:cNvPr id="394" name="Text Box 38"/>
                        <wps:cNvSpPr txBox="1">
                          <a:spLocks noChangeArrowheads="1"/>
                        </wps:cNvSpPr>
                        <wps:spPr bwMode="auto">
                          <a:xfrm>
                            <a:off x="2565" y="1271"/>
                            <a:ext cx="1949"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CB91A" w14:textId="77777777" w:rsidR="00FD55D7" w:rsidRDefault="00FD55D7" w:rsidP="002D6804">
                              <w:pPr>
                                <w:ind w:left="-1" w:right="18"/>
                                <w:jc w:val="center"/>
                                <w:rPr>
                                  <w:sz w:val="14"/>
                                </w:rPr>
                              </w:pPr>
                              <w:r w:rsidRPr="001A7972">
                                <w:rPr>
                                  <w:rFonts w:ascii="Arial" w:hAnsi="Arial" w:cs="Arial"/>
                                  <w:sz w:val="14"/>
                                </w:rPr>
                                <w:t xml:space="preserve">Review Biennial Risk </w:t>
                              </w:r>
                              <w:r w:rsidRPr="001A7972">
                                <w:rPr>
                                  <w:rFonts w:ascii="Arial" w:hAnsi="Arial" w:cs="Arial"/>
                                  <w:spacing w:val="-4"/>
                                  <w:sz w:val="14"/>
                                </w:rPr>
                                <w:t xml:space="preserve">Report </w:t>
                              </w:r>
                              <w:r w:rsidRPr="001A7972">
                                <w:rPr>
                                  <w:rFonts w:ascii="Arial" w:hAnsi="Arial" w:cs="Arial"/>
                                  <w:sz w:val="14"/>
                                </w:rPr>
                                <w:t>for Appropriateness &amp;</w:t>
                              </w:r>
                              <w:r>
                                <w:rPr>
                                  <w:sz w:val="14"/>
                                </w:rPr>
                                <w:t xml:space="preserve"> </w:t>
                              </w:r>
                              <w:r w:rsidRPr="001A7972">
                                <w:rPr>
                                  <w:rFonts w:ascii="Arial" w:hAnsi="Arial" w:cs="Arial"/>
                                  <w:sz w:val="14"/>
                                </w:rPr>
                                <w:t>Effectiveness</w:t>
                              </w:r>
                            </w:p>
                          </w:txbxContent>
                        </wps:txbx>
                        <wps:bodyPr rot="0" vert="horz" wrap="square" lIns="0" tIns="0" rIns="0" bIns="0" anchor="t" anchorCtr="0" upright="1">
                          <a:noAutofit/>
                        </wps:bodyPr>
                      </wps:wsp>
                      <wps:wsp>
                        <wps:cNvPr id="395" name="Text Box 37"/>
                        <wps:cNvSpPr txBox="1">
                          <a:spLocks noChangeArrowheads="1"/>
                        </wps:cNvSpPr>
                        <wps:spPr bwMode="auto">
                          <a:xfrm>
                            <a:off x="1310" y="537"/>
                            <a:ext cx="9465" cy="426"/>
                          </a:xfrm>
                          <a:prstGeom prst="rect">
                            <a:avLst/>
                          </a:prstGeom>
                          <a:solidFill>
                            <a:srgbClr val="D9D9D9"/>
                          </a:solidFill>
                          <a:ln w="6096">
                            <a:solidFill>
                              <a:srgbClr val="000000"/>
                            </a:solidFill>
                            <a:prstDash val="solid"/>
                            <a:miter lim="800000"/>
                            <a:headEnd/>
                            <a:tailEnd/>
                          </a:ln>
                        </wps:spPr>
                        <wps:txbx>
                          <w:txbxContent>
                            <w:p w14:paraId="0E41DA4C" w14:textId="77777777" w:rsidR="00FD55D7" w:rsidRPr="001A7972" w:rsidRDefault="00FD55D7" w:rsidP="002D6804">
                              <w:pPr>
                                <w:spacing w:before="92"/>
                                <w:ind w:left="103"/>
                                <w:rPr>
                                  <w:b/>
                                </w:rPr>
                              </w:pPr>
                              <w:r w:rsidRPr="001A7972">
                                <w:rPr>
                                  <w:b/>
                                </w:rPr>
                                <w:t>Risk Management Reporting Workflow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615942" id="Group 36" o:spid="_x0000_s1113" style="position:absolute;left:0;text-align:left;margin-left:0;margin-top:.4pt;width:473.7pt;height:326.6pt;z-index:251685888;mso-position-horizontal:center;mso-position-horizontal-relative:margin" coordorigin="1305,537" coordsize="9474,6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">
                <v:rect id="Rectangle 68" o:spid="_x0000_s1114" style="position:absolute;left:1315;top:967;width:950;height:1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" fillcolor="#d9d9d9" stroked="f"/>
                <v:shape id="AutoShape 67" o:spid="_x0000_s1115" style="position:absolute;left:1305;top:967;width:969;height:1192;visibility:visible;mso-wrap-style:square;v-text-anchor:top" coordsize="969,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" path="m9,l,,,1191r9,l9,xm968,l958,r,1191l968,1191,968,xe" fillcolor="black" stroked="f">
                  <v:path arrowok="t" o:connecttype="custom" o:connectlocs="9,968;0,968;0,2159;9,2159;9,968;968,968;958,968;958,2159;968,2159;968,968" o:connectangles="0,0,0,0,0,0,0,0,0,0"/>
                </v:shape>
                <v:rect id="Rectangle 66" o:spid="_x0000_s1116" style="position:absolute;left:1315;top:2169;width:950;height:1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" fillcolor="#d9d9d9" stroked="f"/>
                <v:shape id="Freeform 65" o:spid="_x0000_s1117" style="position:absolute;left:1305;top:967;width:9474;height:2393;visibility:visible;mso-wrap-style:square;v-text-anchor:top" coordsize="9474,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" path="m9474,r-10,l9464,1191,,1191r,10l,2393r9,l9,1201r949,l958,2393r10,l968,1201r8496,l9464,2393r10,l9474,1201r,-10l9474,xe" fillcolor="black" stroked="f">
                  <v:path arrowok="t" o:connecttype="custom" o:connectlocs="9474,968;9464,968;9464,2159;0,2159;0,2169;0,3361;9,3361;9,2169;958,2169;958,3361;968,3361;968,2169;9464,2169;9464,3361;9474,3361;9474,2169;9474,2159;9474,968" o:connectangles="0,0,0,0,0,0,0,0,0,0,0,0,0,0,0,0,0,0"/>
                </v:shape>
                <v:rect id="Rectangle 368" o:spid="_x0000_s1118" style="position:absolute;left:1315;top:3370;width:950;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" fillcolor="#d9d9d9" stroked="f"/>
                <v:shape id="Freeform 63" o:spid="_x0000_s1119" style="position:absolute;left:1305;top:3360;width:9474;height:1200;visibility:visible;mso-wrap-style:square;v-text-anchor:top" coordsize="9474,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" path="m9474,l,,,9,,1200r9,l9,9r949,l958,1200r10,l968,9r8496,l9464,1200r10,l9474,9r,-9xe" fillcolor="black" stroked="f">
                  <v:path arrowok="t" o:connecttype="custom" o:connectlocs="9474,3361;0,3361;0,3370;0,4561;9,4561;9,3370;958,3370;958,4561;968,4561;968,3370;9464,3370;9464,4561;9474,4561;9474,3370;9474,3361" o:connectangles="0,0,0,0,0,0,0,0,0,0,0,0,0,0,0"/>
                </v:shape>
                <v:rect id="Rectangle 62" o:spid="_x0000_s1120" style="position:absolute;left:1315;top:4571;width:950;height:1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" fillcolor="#d9d9d9" stroked="f"/>
                <v:shape id="Freeform 61" o:spid="_x0000_s1121" style="position:absolute;left:1305;top:4560;width:9474;height:1298;visibility:visible;mso-wrap-style:square;v-text-anchor:top" coordsize="9474,1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" path="m9474,l,,,9,,1297r9,l9,9r949,l958,1297r10,l968,9r8496,l9464,1297r10,l9474,9r,-9xe" fillcolor="black" stroked="f">
                  <v:path arrowok="t" o:connecttype="custom" o:connectlocs="9474,4561;0,4561;0,4570;0,5858;9,5858;9,4570;958,4570;958,5858;968,5858;968,4570;9464,4570;9464,5858;9474,5858;9474,4570;9474,4561" o:connectangles="0,0,0,0,0,0,0,0,0,0,0,0,0,0,0"/>
                </v:shape>
                <v:rect id="Rectangle 60" o:spid="_x0000_s1122" style="position:absolute;left:1315;top:5868;width:950;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" fillcolor="#d9d9d9" stroked="f"/>
                <v:shape id="AutoShape 59" o:spid="_x0000_s1123" style="position:absolute;left:1305;top:1851;width:9474;height:5218;visibility:visible;mso-wrap-style:square;v-text-anchor:top" coordsize="9474,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" path="m2167,119r-10,-19l2104,r-57,121l2099,120r13,763l2126,882,2114,120r53,-1xm8490,2851r-53,l8437,2431r-15,l8422,2851r-52,l8430,2971r50,-101l8490,2851xm9474,4007r-10,l9464,4016r,1192l968,5208r,-1192l3196,4016r,5l3211,4021r,-5l8427,4016r,605l4388,4621r,-53l4268,4628r120,60l4388,4636r4051,l8442,4633r,-5l8442,4621r,-605l9464,4016r,-9l8442,4007r,-367l8442,3628r-3,-4l8431,3624r,11l8427,3631r,376l3211,4007r,-699l3343,3308r1,53l3450,3308r14,-7l3449,3294r-106,-53l3343,3294r-143,l3196,3298r,709l958,4007r,9l958,5208r-949,l9,4016r949,l958,4007,,4007r,9l,5208r,10l9,5218r949,l968,5218r8496,l9474,5218r,-10l9474,4016r,-9xe" fillcolor="black" stroked="f">
                  <v:path arrowok="t" o:connecttype="custom" o:connectlocs="2157,1951;2047,1972;2112,2734;2114,1971;8490,4702;8437,4282;8422,4702;8430,4822;8490,4702;9464,5858;9464,7059;968,5867;3196,5872;3211,5867;8427,6472;4388,6419;4388,6539;8439,6487;8442,6479;8442,5867;9464,5858;8442,5491;8439,5475;8431,5486;8427,5858;3211,5159;3344,5212;3464,5152;3343,5092;3200,5145;3196,5858;958,5867;9,7059;958,5867;0,5858;0,7059;9,7069;968,7069;9474,7069;9474,5867" o:connectangles="0,0,0,0,0,0,0,0,0,0,0,0,0,0,0,0,0,0,0,0,0,0,0,0,0,0,0,0,0,0,0,0,0,0,0,0,0,0,0,0"/>
                </v:shape>
                <v:shape id="Picture 58" o:spid="_x0000_s1124" type="#_x0000_t75" style="position:absolute;left:5858;top:5092;width:286;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">
                  <v:imagedata r:id="rId112" o:title=""/>
                </v:shape>
                <v:shape id="AutoShape 57" o:spid="_x0000_s1125" style="position:absolute;left:2388;top:1187;width:2126;height:671;visibility:visible;mso-wrap-style:square;v-text-anchor:top" coordsize="212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" path="m2123,l2,,,3,,669r2,2l2123,671r2,-2l2125,665,11,665,6,660r5,l11,11r-5,l11,5r2114,l2125,3,2123,xm11,660r-5,l11,665r,-5xm2116,660l11,660r,5l2116,665r,-5xm2116,5r,660l2120,660r5,l2125,11r-5,l2116,5xm2125,660r-5,l2116,665r9,l2125,660xm11,5l6,11r5,l11,5xm2116,5l11,5r,6l2116,11r,-6xm2125,5r-9,l2120,11r5,l2125,5xe" fillcolor="black" stroked="f">
                  <v:path arrowok="t" o:connecttype="custom" o:connectlocs="2123,1187;2,1187;0,1190;0,1856;2,1858;2123,1858;2125,1856;2125,1852;11,1852;6,1847;11,1847;11,1198;6,1198;11,1192;2125,1192;2125,1190;2123,1187;11,1847;6,1847;11,1852;11,1847;2116,1847;11,1847;11,1852;2116,1852;2116,1847;2116,1192;2116,1852;2120,1847;2125,1847;2125,1198;2120,1198;2116,1192;2125,1847;2120,1847;2116,1852;2125,1852;2125,1847;11,1192;6,1198;11,1198;11,1192;2116,1192;11,1192;11,1198;2116,1198;2116,1192;2125,1192;2116,1192;2120,1198;2125,1198;2125,1192" o:connectangles="0,0,0,0,0,0,0,0,0,0,0,0,0,0,0,0,0,0,0,0,0,0,0,0,0,0,0,0,0,0,0,0,0,0,0,0,0,0,0,0,0,0,0,0,0,0,0,0,0,0,0,0"/>
                </v:shape>
                <v:rect id="Rectangle 56" o:spid="_x0000_s1126" style="position:absolute;left:2406;top:2437;width:2116;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" stroked="f"/>
                <v:shape id="AutoShape 55" o:spid="_x0000_s1127" style="position:absolute;left:2401;top:1187;width:8172;height:5762;visibility:visible;mso-wrap-style:square;v-text-anchor:top" coordsize="8172,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" path="m2125,1248r-2,-2l2116,1246r,10l2116,1906r-2105,l11,1256r2105,l2116,1246,3,1246r-3,2l,1913r3,3l2123,1916r2,-3l2125,1911r,-5l2125,1256r,-5l2125,1248xm3178,4779r-3,-3l3167,4776r,11l3167,5752r-2015,l1152,4787r2015,l3167,4776r-2022,l1143,4779r,980l1145,5762r2030,l3178,5759r,-2l3178,5752r,-965l3178,4781r,-2xm3455,3633r-2,-3l3444,3630r,11l3444,4290r-1069,l2375,3641r1069,l3444,3630r-1077,l2364,3633r,666l2367,4301r1086,l3455,4299r,-4l3455,4290r,-649l3455,3635r,-2xm4588,3l4585,r-8,l4577,11r,649l2818,660r,-649l4577,11r,-11l2809,r-2,3l2807,669r2,2l4585,671r3,-2l4588,665r,-5l4588,11r,-6l4588,3xm4932,3618r-2,-2l4923,3616r,10l4923,4276r-1191,l3732,3626r1191,l4923,3616r-1198,l3723,3618r,665l3725,4286r1205,l4932,4283r,-2l4932,4276r,-650l4932,3621r,-3xm4948,2433r-3,-3l4937,2430r,11l4937,3090r-1189,l3748,2441r1189,l4937,2430r-1198,l3737,2433r,666l3739,3101r1206,l4948,3099r,-4l4948,3090r,-649l4948,2435r,-2xm6402,2433r-2,-3l6393,2430r,11l6393,3090r-1191,l5202,2441r1191,l6393,2430r-1198,l5193,2433r,666l5195,3101r1205,l6402,3099r,-4l6402,3090r,-649l6402,2435r,-2xm6568,3633r-3,-3l6557,3630r,11l6557,4290r-1355,l5202,3641r1355,l6557,3630r-1362,l5193,3633r,666l5195,4301r1370,l6568,4299r,-4l6568,4290r,-649l6568,3635r,-2xm7902,2433r-2,-3l7893,2430r,11l7893,3090r-1191,l6702,2441r1191,l7893,2430r-1198,l6693,2433r,666l6695,3101r1205,l7902,3099r,-4l7902,3090r,-649l7902,2435r,-2xm8172,3633r-2,-3l8163,3630r,11l8163,4290r-1355,l6808,3641r1355,l8163,3630r-1364,l6797,3633r,666l6799,4301r1371,l8172,4299r,-4l8172,4290r,-649l8172,3635r,-2xe" fillcolor="black" stroked="f">
                  <v:path arrowok="t" o:connecttype="custom" o:connectlocs="2116,2443;2116,2443;0,3100;2125,3098;2125,2435;3167,5974;3167,5974;1143,6946;3178,6944;3178,5966;3444,4828;3444,4828;2364,5486;3455,5482;3455,4820;4577,1198;4577,1198;2807,1856;4588,1852;4588,1190;4923,4813;4923,4813;3723,5470;4932,5468;4932,4805;4937,3628;4937,3628;3737,4286;4948,4282;4948,3620;6393,3628;6393,3628;5193,4286;6402,4282;6402,3620;6557,4828;6557,4828;5193,5486;6568,5482;6568,4820;7893,3628;7893,3628;6693,4286;7902,4282;7902,3620;8163,4828;8163,4828;6797,5486;8172,5482;8172,4820" o:connectangles="0,0,0,0,0,0,0,0,0,0,0,0,0,0,0,0,0,0,0,0,0,0,0,0,0,0,0,0,0,0,0,0,0,0,0,0,0,0,0,0,0,0,0,0,0,0,0,0,0,0"/>
                </v:shape>
                <v:shape id="Picture 54" o:spid="_x0000_s1128" type="#_x0000_t75" style="position:absolute;left:7344;top:5076;width:27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">
                  <v:imagedata r:id="rId113" o:title=""/>
                </v:shape>
                <v:shape id="AutoShape 53" o:spid="_x0000_s1129" style="position:absolute;left:4524;top:1432;width:690;height:120;visibility:visible;mso-wrap-style:square;v-text-anchor:top" coordsize="6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" path="m570,r,120l676,67r-87,l589,52r84,l570,xm570,52l,52,,67r570,l570,52xm673,52r-84,l589,67r87,l690,60,673,52xe" fillcolor="black" stroked="f">
                  <v:path arrowok="t" o:connecttype="custom" o:connectlocs="570,1432;570,1552;676,1499;589,1499;589,1484;673,1484;570,1432;570,1484;0,1484;0,1499;570,1499;570,1484;673,1484;589,1484;589,1499;676,1499;690,1492;673,1484" o:connectangles="0,0,0,0,0,0,0,0,0,0,0,0,0,0,0,0,0,0"/>
                </v:shape>
                <v:shape id="Picture 52" o:spid="_x0000_s1130" type="#_x0000_t75" style="position:absolute;left:7344;top:3885;width:27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">
                  <v:imagedata r:id="rId114" o:title=""/>
                </v:shape>
                <v:shape id="Picture 51" o:spid="_x0000_s1131" type="#_x0000_t75" style="position:absolute;left:8798;top:3876;width:3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">
                  <v:imagedata r:id="rId115" o:title=""/>
                </v:shape>
                <v:shape id="AutoShape 50" o:spid="_x0000_s1132" style="position:absolute;left:2307;top:3095;width:6128;height:2590;visibility:visible;mso-wrap-style:square;v-text-anchor:top" coordsize="6128,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" path="m2125,1677r-3,-3l2114,1674r,11l2114,2334,9,2334r,-649l2114,1685r,-11l1143,1674r,-1554l1196,120r-10,-19l1136,r-60,120l1128,120r,1554l2,1674r-2,3l,2343r2,2l2122,2345r3,-2l2125,2339r,-5l2125,1685r,-6l2125,1677xm6060,1533r-4,l6056,1526r-1553,l4503,1308r53,-1l4546,1288r-50,-101l4436,1308r53,l4489,1536r3,4l6045,1540r,186l6060,1726r,-193xm6127,2506r-10,-18l6063,2387r-56,123l6059,2508r1,68l2200,2576r,14l6070,2590r4,-4l6074,2583r,-7l6074,2508r53,-2xe" fillcolor="black" stroked="f">
                  <v:path arrowok="t" o:connecttype="custom" o:connectlocs="2125,4772;2122,4769;2114,4769;2114,4780;2114,5429;9,5429;9,4780;2114,4780;2114,4769;1143,4769;1143,3215;1196,3215;1186,3196;1136,3095;1076,3215;1128,3215;1128,4769;2,4769;0,4772;0,5438;2,5440;2122,5440;2125,5438;2125,5434;2125,5429;2125,4780;2125,4774;2125,4772;6060,4628;6056,4628;6056,4621;4503,4621;4503,4403;4556,4402;4546,4383;4496,4282;4436,4403;4489,4403;4489,4631;4492,4635;6045,4635;6045,4821;6060,4821;6060,4628;6127,5601;6117,5583;6063,5482;6007,5605;6059,5603;6060,5671;2200,5671;2200,5685;6070,5685;6074,5681;6074,5678;6074,5671;6074,5603;6127,5601" o:connectangles="0,0,0,0,0,0,0,0,0,0,0,0,0,0,0,0,0,0,0,0,0,0,0,0,0,0,0,0,0,0,0,0,0,0,0,0,0,0,0,0,0,0,0,0,0,0,0,0,0,0,0,0,0,0,0,0,0,0"/>
                </v:shape>
                <v:shape id="Text Box 49" o:spid="_x0000_s1133" type="#_x0000_t202" style="position:absolute;left:2269;top:5862;width:8506;height:1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" filled="f" strokeweight=".48pt">
                  <v:textbox inset="0,0,0,0">
                    <w:txbxContent>
                      <w:p w14:paraId="1A0C0029" w14:textId="77777777" w:rsidR="00FD55D7" w:rsidRPr="00107197" w:rsidRDefault="00FD55D7" w:rsidP="002D6804">
                        <w:pPr>
                          <w:spacing w:before="3"/>
                          <w:rPr>
                            <w:sz w:val="5"/>
                            <w:szCs w:val="12"/>
                          </w:rPr>
                        </w:pPr>
                      </w:p>
                      <w:p w14:paraId="596EF12C" w14:textId="77777777" w:rsidR="00FD55D7" w:rsidRPr="00107197" w:rsidRDefault="00FD55D7" w:rsidP="00107197">
                        <w:pPr>
                          <w:spacing w:after="0" w:line="161" w:lineRule="exact"/>
                          <w:ind w:left="1423"/>
                          <w:rPr>
                            <w:rFonts w:ascii="Arial" w:hAnsi="Arial" w:cs="Arial"/>
                            <w:sz w:val="14"/>
                          </w:rPr>
                        </w:pPr>
                        <w:r w:rsidRPr="00107197">
                          <w:rPr>
                            <w:rFonts w:ascii="Arial" w:hAnsi="Arial" w:cs="Arial"/>
                            <w:sz w:val="14"/>
                          </w:rPr>
                          <w:t>Provide updates on:</w:t>
                        </w:r>
                      </w:p>
                      <w:p w14:paraId="1026FB61" w14:textId="77777777" w:rsidR="00FD55D7" w:rsidRPr="00107197" w:rsidRDefault="00FD55D7" w:rsidP="002A3889">
                        <w:pPr>
                          <w:widowControl w:val="0"/>
                          <w:numPr>
                            <w:ilvl w:val="0"/>
                            <w:numId w:val="459"/>
                          </w:numPr>
                          <w:tabs>
                            <w:tab w:val="left" w:pos="1580"/>
                          </w:tabs>
                          <w:autoSpaceDE w:val="0"/>
                          <w:autoSpaceDN w:val="0"/>
                          <w:spacing w:after="0" w:line="161" w:lineRule="exact"/>
                          <w:rPr>
                            <w:rFonts w:ascii="Arial" w:hAnsi="Arial" w:cs="Arial"/>
                            <w:sz w:val="14"/>
                          </w:rPr>
                        </w:pPr>
                        <w:r w:rsidRPr="00107197">
                          <w:rPr>
                            <w:rFonts w:ascii="Arial" w:hAnsi="Arial" w:cs="Arial"/>
                            <w:sz w:val="14"/>
                          </w:rPr>
                          <w:t>New / emerging</w:t>
                        </w:r>
                        <w:r w:rsidRPr="00107197">
                          <w:rPr>
                            <w:rFonts w:ascii="Arial" w:hAnsi="Arial" w:cs="Arial"/>
                            <w:spacing w:val="-5"/>
                            <w:sz w:val="14"/>
                          </w:rPr>
                          <w:t xml:space="preserve"> </w:t>
                        </w:r>
                        <w:r w:rsidRPr="00107197">
                          <w:rPr>
                            <w:rFonts w:ascii="Arial" w:hAnsi="Arial" w:cs="Arial"/>
                            <w:sz w:val="14"/>
                          </w:rPr>
                          <w:t>risks</w:t>
                        </w:r>
                      </w:p>
                      <w:p w14:paraId="42867C46" w14:textId="77777777" w:rsidR="00FD55D7" w:rsidRPr="00107197" w:rsidRDefault="00FD55D7" w:rsidP="002A3889">
                        <w:pPr>
                          <w:widowControl w:val="0"/>
                          <w:numPr>
                            <w:ilvl w:val="0"/>
                            <w:numId w:val="459"/>
                          </w:numPr>
                          <w:tabs>
                            <w:tab w:val="left" w:pos="1580"/>
                          </w:tabs>
                          <w:autoSpaceDE w:val="0"/>
                          <w:autoSpaceDN w:val="0"/>
                          <w:spacing w:after="0" w:line="240" w:lineRule="auto"/>
                          <w:ind w:left="1579"/>
                          <w:rPr>
                            <w:rFonts w:ascii="Arial" w:hAnsi="Arial" w:cs="Arial"/>
                            <w:sz w:val="14"/>
                          </w:rPr>
                        </w:pPr>
                        <w:r w:rsidRPr="00107197">
                          <w:rPr>
                            <w:rFonts w:ascii="Arial" w:hAnsi="Arial" w:cs="Arial"/>
                            <w:sz w:val="14"/>
                          </w:rPr>
                          <w:t>Control</w:t>
                        </w:r>
                        <w:r w:rsidRPr="00107197">
                          <w:rPr>
                            <w:rFonts w:ascii="Arial" w:hAnsi="Arial" w:cs="Arial"/>
                            <w:spacing w:val="-15"/>
                            <w:sz w:val="14"/>
                          </w:rPr>
                          <w:t xml:space="preserve"> </w:t>
                        </w:r>
                        <w:r w:rsidRPr="00107197">
                          <w:rPr>
                            <w:rFonts w:ascii="Arial" w:hAnsi="Arial" w:cs="Arial"/>
                            <w:sz w:val="14"/>
                          </w:rPr>
                          <w:t>Adequacy</w:t>
                        </w:r>
                      </w:p>
                      <w:p w14:paraId="3C5A6092" w14:textId="77777777" w:rsidR="00FD55D7" w:rsidRPr="00107197" w:rsidRDefault="00FD55D7" w:rsidP="002A3889">
                        <w:pPr>
                          <w:widowControl w:val="0"/>
                          <w:numPr>
                            <w:ilvl w:val="0"/>
                            <w:numId w:val="459"/>
                          </w:numPr>
                          <w:tabs>
                            <w:tab w:val="left" w:pos="1580"/>
                          </w:tabs>
                          <w:autoSpaceDE w:val="0"/>
                          <w:autoSpaceDN w:val="0"/>
                          <w:spacing w:before="1" w:after="0" w:line="240" w:lineRule="auto"/>
                          <w:rPr>
                            <w:rFonts w:ascii="Arial" w:hAnsi="Arial" w:cs="Arial"/>
                            <w:sz w:val="14"/>
                          </w:rPr>
                        </w:pPr>
                        <w:r w:rsidRPr="00107197">
                          <w:rPr>
                            <w:rFonts w:ascii="Arial" w:hAnsi="Arial" w:cs="Arial"/>
                            <w:sz w:val="14"/>
                          </w:rPr>
                          <w:t>Assigned</w:t>
                        </w:r>
                        <w:r w:rsidRPr="00107197">
                          <w:rPr>
                            <w:rFonts w:ascii="Arial" w:hAnsi="Arial" w:cs="Arial"/>
                            <w:spacing w:val="-8"/>
                            <w:sz w:val="14"/>
                          </w:rPr>
                          <w:t xml:space="preserve"> </w:t>
                        </w:r>
                        <w:r w:rsidRPr="00107197">
                          <w:rPr>
                            <w:rFonts w:ascii="Arial" w:hAnsi="Arial" w:cs="Arial"/>
                            <w:sz w:val="14"/>
                          </w:rPr>
                          <w:t>Actions</w:t>
                        </w:r>
                      </w:p>
                    </w:txbxContent>
                  </v:textbox>
                </v:shape>
                <v:shape id="Text Box 48" o:spid="_x0000_s1134" type="#_x0000_t202" style="position:absolute;left:9391;top:4912;width:1010;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5BAA8AFC" w14:textId="77777777" w:rsidR="00FD55D7" w:rsidRPr="00107197" w:rsidRDefault="00FD55D7" w:rsidP="002D6804">
                        <w:pPr>
                          <w:spacing w:line="242" w:lineRule="auto"/>
                          <w:ind w:right="18" w:hanging="5"/>
                          <w:jc w:val="center"/>
                          <w:rPr>
                            <w:rFonts w:ascii="Arial" w:hAnsi="Arial" w:cs="Arial"/>
                            <w:sz w:val="14"/>
                          </w:rPr>
                        </w:pPr>
                        <w:r w:rsidRPr="00107197">
                          <w:rPr>
                            <w:rFonts w:ascii="Arial" w:hAnsi="Arial" w:cs="Arial"/>
                            <w:sz w:val="14"/>
                          </w:rPr>
                          <w:t>Update Risk Profiles / Follow up Action</w:t>
                        </w:r>
                      </w:p>
                    </w:txbxContent>
                  </v:textbox>
                </v:shape>
                <v:shape id="Text Box 47" o:spid="_x0000_s1135" type="#_x0000_t202" style="position:absolute;left:7750;top:4912;width:1079;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5894B39E" w14:textId="77777777" w:rsidR="00FD55D7" w:rsidRPr="00107197" w:rsidRDefault="00FD55D7" w:rsidP="002D6804">
                        <w:pPr>
                          <w:spacing w:line="242" w:lineRule="auto"/>
                          <w:ind w:right="18" w:hanging="2"/>
                          <w:jc w:val="center"/>
                          <w:rPr>
                            <w:rFonts w:ascii="Arial" w:hAnsi="Arial" w:cs="Arial"/>
                            <w:sz w:val="14"/>
                          </w:rPr>
                        </w:pPr>
                        <w:r w:rsidRPr="00107197">
                          <w:rPr>
                            <w:rFonts w:ascii="Arial" w:hAnsi="Arial" w:cs="Arial"/>
                            <w:sz w:val="14"/>
                          </w:rPr>
                          <w:t>Produce Risk Summary Report (Six-Monthly)</w:t>
                        </w:r>
                      </w:p>
                    </w:txbxContent>
                  </v:textbox>
                </v:shape>
                <v:shape id="Text Box 46" o:spid="_x0000_s1136" type="#_x0000_t202" style="position:absolute;left:6315;top:4897;width:93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448914A0" w14:textId="77777777" w:rsidR="00FD55D7" w:rsidRPr="00107197" w:rsidRDefault="00FD55D7" w:rsidP="002D6804">
                        <w:pPr>
                          <w:ind w:right="18"/>
                          <w:jc w:val="center"/>
                          <w:rPr>
                            <w:rFonts w:ascii="Arial" w:hAnsi="Arial" w:cs="Arial"/>
                            <w:sz w:val="14"/>
                          </w:rPr>
                        </w:pPr>
                        <w:r w:rsidRPr="00107197">
                          <w:rPr>
                            <w:rFonts w:ascii="Arial" w:hAnsi="Arial" w:cs="Arial"/>
                            <w:sz w:val="14"/>
                          </w:rPr>
                          <w:t>Identify new / emerging risks</w:t>
                        </w:r>
                      </w:p>
                    </w:txbxContent>
                  </v:textbox>
                </v:shape>
                <v:shape id="Text Box 45" o:spid="_x0000_s1137" type="#_x0000_t202" style="position:absolute;left:4959;top:4992;width:723;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5FF85D00" w14:textId="77777777" w:rsidR="00FD55D7" w:rsidRPr="00107197" w:rsidRDefault="00FD55D7" w:rsidP="002D6804">
                        <w:pPr>
                          <w:spacing w:line="242" w:lineRule="auto"/>
                          <w:ind w:right="2" w:firstLine="15"/>
                          <w:rPr>
                            <w:rFonts w:ascii="Arial" w:hAnsi="Arial" w:cs="Arial"/>
                            <w:sz w:val="14"/>
                          </w:rPr>
                        </w:pPr>
                        <w:r w:rsidRPr="00107197">
                          <w:rPr>
                            <w:rFonts w:ascii="Arial" w:hAnsi="Arial" w:cs="Arial"/>
                            <w:sz w:val="14"/>
                          </w:rPr>
                          <w:t>Verify Risk Information</w:t>
                        </w:r>
                      </w:p>
                    </w:txbxContent>
                  </v:textbox>
                </v:shape>
                <v:shape id="Text Box 44" o:spid="_x0000_s1138" type="#_x0000_t202" style="position:absolute;left:2618;top:4853;width:171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75BFA9D6" w14:textId="77777777" w:rsidR="00FD55D7" w:rsidRPr="00107197" w:rsidRDefault="00FD55D7" w:rsidP="002D6804">
                        <w:pPr>
                          <w:ind w:right="18" w:hanging="1"/>
                          <w:jc w:val="center"/>
                          <w:rPr>
                            <w:rFonts w:ascii="Arial" w:hAnsi="Arial" w:cs="Arial"/>
                            <w:sz w:val="14"/>
                          </w:rPr>
                        </w:pPr>
                        <w:r w:rsidRPr="00107197">
                          <w:rPr>
                            <w:rFonts w:ascii="Arial" w:hAnsi="Arial" w:cs="Arial"/>
                            <w:sz w:val="14"/>
                          </w:rPr>
                          <w:t>Produces Biennial Risk Report as Appropriate &amp; Effective</w:t>
                        </w:r>
                      </w:p>
                    </w:txbxContent>
                  </v:textbox>
                </v:shape>
                <v:shape id="Text Box 43" o:spid="_x0000_s1139" type="#_x0000_t202" style="position:absolute;left:9379;top:3712;width:659;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348DBCB7" w14:textId="77777777" w:rsidR="00FD55D7" w:rsidRPr="00107197" w:rsidRDefault="00FD55D7" w:rsidP="002D6804">
                        <w:pPr>
                          <w:spacing w:line="242" w:lineRule="auto"/>
                          <w:ind w:right="18"/>
                          <w:jc w:val="center"/>
                          <w:rPr>
                            <w:rFonts w:ascii="Arial" w:hAnsi="Arial" w:cs="Arial"/>
                            <w:sz w:val="14"/>
                          </w:rPr>
                        </w:pPr>
                        <w:r w:rsidRPr="00107197">
                          <w:rPr>
                            <w:rFonts w:ascii="Arial" w:hAnsi="Arial" w:cs="Arial"/>
                            <w:sz w:val="14"/>
                          </w:rPr>
                          <w:t>Document meeting outcomes</w:t>
                        </w:r>
                      </w:p>
                    </w:txbxContent>
                  </v:textbox>
                </v:shape>
                <v:shape id="Text Box 42" o:spid="_x0000_s1140" type="#_x0000_t202" style="position:absolute;left:7770;top:3712;width:975;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1C6A1A07" w14:textId="77777777" w:rsidR="00FD55D7" w:rsidRPr="00107197" w:rsidRDefault="00FD55D7" w:rsidP="00107197">
                        <w:pPr>
                          <w:spacing w:after="0" w:line="157" w:lineRule="exact"/>
                          <w:rPr>
                            <w:rFonts w:ascii="Arial" w:hAnsi="Arial" w:cs="Arial"/>
                            <w:sz w:val="14"/>
                          </w:rPr>
                        </w:pPr>
                        <w:r w:rsidRPr="00107197">
                          <w:rPr>
                            <w:rFonts w:ascii="Arial" w:hAnsi="Arial" w:cs="Arial"/>
                            <w:sz w:val="14"/>
                          </w:rPr>
                          <w:t>Identifies new</w:t>
                        </w:r>
                      </w:p>
                      <w:p w14:paraId="2D7534A5" w14:textId="77777777" w:rsidR="00FD55D7" w:rsidRDefault="00FD55D7" w:rsidP="002D6804">
                        <w:pPr>
                          <w:spacing w:before="1"/>
                          <w:ind w:left="284" w:right="100" w:hanging="188"/>
                          <w:rPr>
                            <w:sz w:val="14"/>
                          </w:rPr>
                        </w:pPr>
                        <w:r w:rsidRPr="00107197">
                          <w:rPr>
                            <w:rFonts w:ascii="Arial" w:hAnsi="Arial" w:cs="Arial"/>
                            <w:sz w:val="14"/>
                          </w:rPr>
                          <w:t>/ emerging</w:t>
                        </w:r>
                        <w:r>
                          <w:rPr>
                            <w:sz w:val="14"/>
                          </w:rPr>
                          <w:t xml:space="preserve"> </w:t>
                        </w:r>
                        <w:r w:rsidRPr="00107197">
                          <w:rPr>
                            <w:rFonts w:ascii="Arial" w:hAnsi="Arial" w:cs="Arial"/>
                            <w:sz w:val="14"/>
                          </w:rPr>
                          <w:t>risks</w:t>
                        </w:r>
                      </w:p>
                    </w:txbxContent>
                  </v:textbox>
                </v:shape>
                <v:shape id="Text Box 41" o:spid="_x0000_s1141" type="#_x0000_t202" style="position:absolute;left:6513;top:3792;width:479;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0B21FDFA" w14:textId="77777777" w:rsidR="00FD55D7" w:rsidRPr="00107197" w:rsidRDefault="00FD55D7" w:rsidP="002D6804">
                        <w:pPr>
                          <w:spacing w:line="242" w:lineRule="auto"/>
                          <w:ind w:left="19" w:hanging="20"/>
                          <w:rPr>
                            <w:rFonts w:ascii="Arial" w:hAnsi="Arial" w:cs="Arial"/>
                            <w:sz w:val="14"/>
                          </w:rPr>
                        </w:pPr>
                        <w:r w:rsidRPr="00107197">
                          <w:rPr>
                            <w:rFonts w:ascii="Arial" w:hAnsi="Arial" w:cs="Arial"/>
                            <w:sz w:val="14"/>
                          </w:rPr>
                          <w:t>Review Report</w:t>
                        </w:r>
                      </w:p>
                    </w:txbxContent>
                  </v:textbox>
                </v:shape>
                <v:shape id="Text Box 40" o:spid="_x0000_s1142" type="#_x0000_t202" style="position:absolute;left:2269;top:2164;width:8506;height:1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" filled="f" strokeweight=".48pt">
                  <v:textbox inset="0,0,0,0">
                    <w:txbxContent>
                      <w:p w14:paraId="073F99B3" w14:textId="77777777" w:rsidR="00FD55D7" w:rsidRPr="00107197" w:rsidRDefault="00FD55D7" w:rsidP="002D6804">
                        <w:pPr>
                          <w:rPr>
                            <w:sz w:val="10"/>
                            <w:szCs w:val="16"/>
                          </w:rPr>
                        </w:pPr>
                      </w:p>
                      <w:p w14:paraId="21584024" w14:textId="77777777" w:rsidR="00FD55D7" w:rsidRPr="00107197" w:rsidRDefault="00FD55D7" w:rsidP="002D6804">
                        <w:pPr>
                          <w:ind w:left="438" w:right="6553" w:hanging="1"/>
                          <w:jc w:val="center"/>
                          <w:rPr>
                            <w:rFonts w:ascii="Arial" w:hAnsi="Arial" w:cs="Arial"/>
                            <w:sz w:val="14"/>
                          </w:rPr>
                        </w:pPr>
                        <w:r w:rsidRPr="00107197">
                          <w:rPr>
                            <w:rFonts w:ascii="Arial" w:hAnsi="Arial" w:cs="Arial"/>
                            <w:sz w:val="14"/>
                          </w:rPr>
                          <w:t>Approve Biennial Risk Report as Appropriate &amp; Effective</w:t>
                        </w:r>
                      </w:p>
                    </w:txbxContent>
                  </v:textbox>
                </v:shape>
                <v:shape id="Text Box 39" o:spid="_x0000_s1143" type="#_x0000_t202" style="position:absolute;left:5486;top:1362;width:124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3A63DC7E" w14:textId="77777777" w:rsidR="00FD55D7" w:rsidRPr="00984648" w:rsidRDefault="00FD55D7" w:rsidP="002D6804">
                        <w:pPr>
                          <w:spacing w:line="242" w:lineRule="auto"/>
                          <w:ind w:left="97" w:hanging="98"/>
                          <w:rPr>
                            <w:rFonts w:ascii="Arial" w:hAnsi="Arial" w:cs="Arial"/>
                            <w:sz w:val="14"/>
                          </w:rPr>
                        </w:pPr>
                        <w:r w:rsidRPr="00984648">
                          <w:rPr>
                            <w:rFonts w:ascii="Arial" w:hAnsi="Arial" w:cs="Arial"/>
                            <w:sz w:val="14"/>
                          </w:rPr>
                          <w:t>Provide overview of report to Council</w:t>
                        </w:r>
                      </w:p>
                    </w:txbxContent>
                  </v:textbox>
                </v:shape>
                <v:shape id="Text Box 38" o:spid="_x0000_s1144" type="#_x0000_t202" style="position:absolute;left:2565;top:1271;width:1949;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622CB91A" w14:textId="77777777" w:rsidR="00FD55D7" w:rsidRDefault="00FD55D7" w:rsidP="002D6804">
                        <w:pPr>
                          <w:ind w:left="-1" w:right="18"/>
                          <w:jc w:val="center"/>
                          <w:rPr>
                            <w:sz w:val="14"/>
                          </w:rPr>
                        </w:pPr>
                        <w:r w:rsidRPr="001A7972">
                          <w:rPr>
                            <w:rFonts w:ascii="Arial" w:hAnsi="Arial" w:cs="Arial"/>
                            <w:sz w:val="14"/>
                          </w:rPr>
                          <w:t xml:space="preserve">Review Biennial Risk </w:t>
                        </w:r>
                        <w:r w:rsidRPr="001A7972">
                          <w:rPr>
                            <w:rFonts w:ascii="Arial" w:hAnsi="Arial" w:cs="Arial"/>
                            <w:spacing w:val="-4"/>
                            <w:sz w:val="14"/>
                          </w:rPr>
                          <w:t xml:space="preserve">Report </w:t>
                        </w:r>
                        <w:r w:rsidRPr="001A7972">
                          <w:rPr>
                            <w:rFonts w:ascii="Arial" w:hAnsi="Arial" w:cs="Arial"/>
                            <w:sz w:val="14"/>
                          </w:rPr>
                          <w:t>for Appropriateness &amp;</w:t>
                        </w:r>
                        <w:r>
                          <w:rPr>
                            <w:sz w:val="14"/>
                          </w:rPr>
                          <w:t xml:space="preserve"> </w:t>
                        </w:r>
                        <w:r w:rsidRPr="001A7972">
                          <w:rPr>
                            <w:rFonts w:ascii="Arial" w:hAnsi="Arial" w:cs="Arial"/>
                            <w:sz w:val="14"/>
                          </w:rPr>
                          <w:t>Effectiveness</w:t>
                        </w:r>
                      </w:p>
                    </w:txbxContent>
                  </v:textbox>
                </v:shape>
                <v:shape id="Text Box 37" o:spid="_x0000_s1145" type="#_x0000_t202" style="position:absolute;left:1310;top:537;width:9465;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" fillcolor="#d9d9d9" strokeweight=".48pt">
                  <v:textbox inset="0,0,0,0">
                    <w:txbxContent>
                      <w:p w14:paraId="0E41DA4C" w14:textId="77777777" w:rsidR="00FD55D7" w:rsidRPr="001A7972" w:rsidRDefault="00FD55D7" w:rsidP="002D6804">
                        <w:pPr>
                          <w:spacing w:before="92"/>
                          <w:ind w:left="103"/>
                          <w:rPr>
                            <w:b/>
                          </w:rPr>
                        </w:pPr>
                        <w:r w:rsidRPr="001A7972">
                          <w:rPr>
                            <w:b/>
                          </w:rPr>
                          <w:t>Risk Management Reporting Workflow</w:t>
                        </w:r>
                      </w:p>
                    </w:txbxContent>
                  </v:textbox>
                </v:shape>
                <w10:wrap anchorx="margin"/>
              </v:group>
            </w:pict>
          </mc:Fallback>
        </mc:AlternateContent>
      </w:r>
    </w:p>
    <w:p w14:paraId="406CC08F" w14:textId="77777777" w:rsidR="002D6804" w:rsidRDefault="002D6804" w:rsidP="002D6804">
      <w:pPr>
        <w:pStyle w:val="BodyText"/>
      </w:pPr>
    </w:p>
    <w:p w14:paraId="2723FCB3" w14:textId="77777777" w:rsidR="002D6804" w:rsidRDefault="002D6804" w:rsidP="002D6804">
      <w:pPr>
        <w:pStyle w:val="BodyText"/>
      </w:pPr>
    </w:p>
    <w:p w14:paraId="2AA23532" w14:textId="77777777" w:rsidR="002D6804" w:rsidRDefault="002D6804" w:rsidP="002D6804">
      <w:pPr>
        <w:pStyle w:val="BodyText"/>
      </w:pPr>
    </w:p>
    <w:p w14:paraId="2BDF94A9" w14:textId="77777777" w:rsidR="002D6804" w:rsidRDefault="002D6804" w:rsidP="002D6804">
      <w:pPr>
        <w:pStyle w:val="BodyText"/>
      </w:pPr>
    </w:p>
    <w:p w14:paraId="3B56D489" w14:textId="77777777" w:rsidR="002D6804" w:rsidRDefault="002D6804" w:rsidP="002D6804">
      <w:pPr>
        <w:pStyle w:val="BodyText"/>
      </w:pPr>
    </w:p>
    <w:p w14:paraId="0D246E01" w14:textId="77777777" w:rsidR="002D6804" w:rsidRDefault="002D6804" w:rsidP="002D6804">
      <w:pPr>
        <w:pStyle w:val="BodyText"/>
      </w:pPr>
    </w:p>
    <w:p w14:paraId="499CD4DC" w14:textId="0BE177AE" w:rsidR="002D6804" w:rsidRDefault="00107197" w:rsidP="002D6804">
      <w:pPr>
        <w:pStyle w:val="BodyText"/>
      </w:pPr>
      <w:r>
        <w:rPr>
          <w:noProof/>
        </w:rPr>
        <mc:AlternateContent>
          <mc:Choice Requires="wps">
            <w:drawing>
              <wp:anchor distT="0" distB="0" distL="114300" distR="114300" simplePos="0" relativeHeight="251686912" behindDoc="0" locked="0" layoutInCell="1" allowOverlap="1" wp14:anchorId="0FF1ADF1" wp14:editId="1441E928">
                <wp:simplePos x="0" y="0"/>
                <wp:positionH relativeFrom="page">
                  <wp:posOffset>981075</wp:posOffset>
                </wp:positionH>
                <wp:positionV relativeFrom="page">
                  <wp:posOffset>4171950</wp:posOffset>
                </wp:positionV>
                <wp:extent cx="379095" cy="590550"/>
                <wp:effectExtent l="0" t="0" r="1905" b="0"/>
                <wp:wrapNone/>
                <wp:docPr id="361"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3AE03" w14:textId="77777777" w:rsidR="00FD55D7" w:rsidRPr="00107197" w:rsidRDefault="00FD55D7" w:rsidP="00107197">
                            <w:pPr>
                              <w:spacing w:before="14" w:after="0"/>
                              <w:ind w:left="17" w:right="17"/>
                              <w:jc w:val="center"/>
                              <w:rPr>
                                <w:rFonts w:ascii="Arial" w:hAnsi="Arial" w:cs="Arial"/>
                                <w:sz w:val="16"/>
                              </w:rPr>
                            </w:pPr>
                            <w:r w:rsidRPr="00107197">
                              <w:rPr>
                                <w:rFonts w:ascii="Arial" w:hAnsi="Arial" w:cs="Arial"/>
                                <w:sz w:val="16"/>
                              </w:rPr>
                              <w:t>CEO</w:t>
                            </w:r>
                            <w:r w:rsidRPr="00107197">
                              <w:rPr>
                                <w:rFonts w:ascii="Arial" w:hAnsi="Arial" w:cs="Arial"/>
                                <w:spacing w:val="-2"/>
                                <w:sz w:val="16"/>
                              </w:rPr>
                              <w:t xml:space="preserve"> </w:t>
                            </w:r>
                            <w:r w:rsidRPr="00107197">
                              <w:rPr>
                                <w:rFonts w:ascii="Arial" w:hAnsi="Arial" w:cs="Arial"/>
                                <w:sz w:val="16"/>
                              </w:rPr>
                              <w:t>&amp;</w:t>
                            </w:r>
                          </w:p>
                          <w:p w14:paraId="7C6765A1" w14:textId="77777777" w:rsidR="00FD55D7" w:rsidRPr="00107197" w:rsidRDefault="00FD55D7" w:rsidP="002D6804">
                            <w:pPr>
                              <w:spacing w:before="5" w:line="247" w:lineRule="auto"/>
                              <w:ind w:left="20" w:right="18"/>
                              <w:jc w:val="center"/>
                              <w:rPr>
                                <w:rFonts w:ascii="Arial" w:hAnsi="Arial" w:cs="Arial"/>
                                <w:sz w:val="16"/>
                              </w:rPr>
                            </w:pPr>
                            <w:r w:rsidRPr="00107197">
                              <w:rPr>
                                <w:rFonts w:ascii="Arial" w:hAnsi="Arial" w:cs="Arial"/>
                                <w:sz w:val="16"/>
                              </w:rPr>
                              <w:t xml:space="preserve">Senior </w:t>
                            </w:r>
                            <w:r w:rsidRPr="00107197">
                              <w:rPr>
                                <w:rFonts w:ascii="Arial" w:hAnsi="Arial" w:cs="Arial"/>
                                <w:spacing w:val="-4"/>
                                <w:sz w:val="16"/>
                              </w:rPr>
                              <w:t xml:space="preserve">Staff </w:t>
                            </w:r>
                            <w:r w:rsidRPr="00107197">
                              <w:rPr>
                                <w:rFonts w:ascii="Arial" w:hAnsi="Arial" w:cs="Arial"/>
                                <w:sz w:val="16"/>
                              </w:rPr>
                              <w:t>Group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1ADF1" id="Text Box 70" o:spid="_x0000_s1146" type="#_x0000_t202" style="position:absolute;left:0;text-align:left;margin-left:77.25pt;margin-top:328.5pt;width:29.85pt;height:46.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" filled="f" stroked="f">
                <v:textbox style="layout-flow:vertical;mso-layout-flow-alt:bottom-to-top" inset="0,0,0,0">
                  <w:txbxContent>
                    <w:p w14:paraId="01F3AE03" w14:textId="77777777" w:rsidR="00FD55D7" w:rsidRPr="00107197" w:rsidRDefault="00FD55D7" w:rsidP="00107197">
                      <w:pPr>
                        <w:spacing w:before="14" w:after="0"/>
                        <w:ind w:left="17" w:right="17"/>
                        <w:jc w:val="center"/>
                        <w:rPr>
                          <w:rFonts w:ascii="Arial" w:hAnsi="Arial" w:cs="Arial"/>
                          <w:sz w:val="16"/>
                        </w:rPr>
                      </w:pPr>
                      <w:r w:rsidRPr="00107197">
                        <w:rPr>
                          <w:rFonts w:ascii="Arial" w:hAnsi="Arial" w:cs="Arial"/>
                          <w:sz w:val="16"/>
                        </w:rPr>
                        <w:t>CEO</w:t>
                      </w:r>
                      <w:r w:rsidRPr="00107197">
                        <w:rPr>
                          <w:rFonts w:ascii="Arial" w:hAnsi="Arial" w:cs="Arial"/>
                          <w:spacing w:val="-2"/>
                          <w:sz w:val="16"/>
                        </w:rPr>
                        <w:t xml:space="preserve"> </w:t>
                      </w:r>
                      <w:r w:rsidRPr="00107197">
                        <w:rPr>
                          <w:rFonts w:ascii="Arial" w:hAnsi="Arial" w:cs="Arial"/>
                          <w:sz w:val="16"/>
                        </w:rPr>
                        <w:t>&amp;</w:t>
                      </w:r>
                    </w:p>
                    <w:p w14:paraId="7C6765A1" w14:textId="77777777" w:rsidR="00FD55D7" w:rsidRPr="00107197" w:rsidRDefault="00FD55D7" w:rsidP="002D6804">
                      <w:pPr>
                        <w:spacing w:before="5" w:line="247" w:lineRule="auto"/>
                        <w:ind w:left="20" w:right="18"/>
                        <w:jc w:val="center"/>
                        <w:rPr>
                          <w:rFonts w:ascii="Arial" w:hAnsi="Arial" w:cs="Arial"/>
                          <w:sz w:val="16"/>
                        </w:rPr>
                      </w:pPr>
                      <w:r w:rsidRPr="00107197">
                        <w:rPr>
                          <w:rFonts w:ascii="Arial" w:hAnsi="Arial" w:cs="Arial"/>
                          <w:sz w:val="16"/>
                        </w:rPr>
                        <w:t xml:space="preserve">Senior </w:t>
                      </w:r>
                      <w:r w:rsidRPr="00107197">
                        <w:rPr>
                          <w:rFonts w:ascii="Arial" w:hAnsi="Arial" w:cs="Arial"/>
                          <w:spacing w:val="-4"/>
                          <w:sz w:val="16"/>
                        </w:rPr>
                        <w:t xml:space="preserve">Staff </w:t>
                      </w:r>
                      <w:r w:rsidRPr="00107197">
                        <w:rPr>
                          <w:rFonts w:ascii="Arial" w:hAnsi="Arial" w:cs="Arial"/>
                          <w:sz w:val="16"/>
                        </w:rPr>
                        <w:t>Group</w:t>
                      </w:r>
                    </w:p>
                  </w:txbxContent>
                </v:textbox>
                <w10:wrap anchorx="page" anchory="page"/>
              </v:shape>
            </w:pict>
          </mc:Fallback>
        </mc:AlternateContent>
      </w:r>
    </w:p>
    <w:p w14:paraId="209ED41D" w14:textId="77777777" w:rsidR="002D6804" w:rsidRDefault="002D6804" w:rsidP="002D6804">
      <w:pPr>
        <w:pStyle w:val="BodyText"/>
      </w:pPr>
    </w:p>
    <w:p w14:paraId="083C2E5C" w14:textId="77777777" w:rsidR="002D6804" w:rsidRDefault="002D6804" w:rsidP="002D6804">
      <w:pPr>
        <w:pStyle w:val="BodyText"/>
      </w:pPr>
    </w:p>
    <w:p w14:paraId="07CB4063" w14:textId="181CE047" w:rsidR="002D6804" w:rsidRDefault="00107197" w:rsidP="002D6804">
      <w:pPr>
        <w:pStyle w:val="BodyText"/>
      </w:pPr>
      <w:r>
        <w:rPr>
          <w:noProof/>
        </w:rPr>
        <mc:AlternateContent>
          <mc:Choice Requires="wps">
            <w:drawing>
              <wp:anchor distT="0" distB="0" distL="114300" distR="114300" simplePos="0" relativeHeight="251687936" behindDoc="0" locked="0" layoutInCell="1" allowOverlap="1" wp14:anchorId="04988895" wp14:editId="572CFEDA">
                <wp:simplePos x="0" y="0"/>
                <wp:positionH relativeFrom="page">
                  <wp:posOffset>838200</wp:posOffset>
                </wp:positionH>
                <wp:positionV relativeFrom="paragraph">
                  <wp:posOffset>189230</wp:posOffset>
                </wp:positionV>
                <wp:extent cx="607060" cy="733425"/>
                <wp:effectExtent l="0" t="0" r="2540" b="9525"/>
                <wp:wrapNone/>
                <wp:docPr id="39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2C40E" w14:textId="77777777" w:rsidR="00FD55D7" w:rsidRDefault="00FD55D7" w:rsidP="002D6804">
                            <w:pPr>
                              <w:spacing w:before="14" w:line="244" w:lineRule="auto"/>
                              <w:ind w:left="105" w:hanging="86"/>
                              <w:rPr>
                                <w:sz w:val="16"/>
                              </w:rPr>
                            </w:pPr>
                            <w:r w:rsidRPr="00107197">
                              <w:rPr>
                                <w:rFonts w:ascii="Arial" w:hAnsi="Arial" w:cs="Arial"/>
                                <w:sz w:val="16"/>
                              </w:rPr>
                              <w:t>Executive Assistant Corporate Services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88895" id="Text Box 34" o:spid="_x0000_s1147" type="#_x0000_t202" style="position:absolute;left:0;text-align:left;margin-left:66pt;margin-top:14.9pt;width:47.8pt;height:57.7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" filled="f" stroked="f">
                <v:textbox style="layout-flow:vertical;mso-layout-flow-alt:bottom-to-top" inset="0,0,0,0">
                  <w:txbxContent>
                    <w:p w14:paraId="5362C40E" w14:textId="77777777" w:rsidR="00FD55D7" w:rsidRDefault="00FD55D7" w:rsidP="002D6804">
                      <w:pPr>
                        <w:spacing w:before="14" w:line="244" w:lineRule="auto"/>
                        <w:ind w:left="105" w:hanging="86"/>
                        <w:rPr>
                          <w:sz w:val="16"/>
                        </w:rPr>
                      </w:pPr>
                      <w:r w:rsidRPr="00107197">
                        <w:rPr>
                          <w:rFonts w:ascii="Arial" w:hAnsi="Arial" w:cs="Arial"/>
                          <w:sz w:val="16"/>
                        </w:rPr>
                        <w:t>Executive Assistant Corporate Services</w:t>
                      </w:r>
                    </w:p>
                  </w:txbxContent>
                </v:textbox>
                <w10:wrap anchorx="page"/>
              </v:shape>
            </w:pict>
          </mc:Fallback>
        </mc:AlternateContent>
      </w:r>
    </w:p>
    <w:p w14:paraId="1B71DBF3" w14:textId="77777777" w:rsidR="002D6804" w:rsidRDefault="002D6804" w:rsidP="002D6804">
      <w:pPr>
        <w:pStyle w:val="BodyText"/>
      </w:pPr>
    </w:p>
    <w:p w14:paraId="7A0FC5C7" w14:textId="776DC13D" w:rsidR="002D6804" w:rsidRDefault="002D6804" w:rsidP="002D6804">
      <w:pPr>
        <w:pStyle w:val="BodyText"/>
      </w:pPr>
    </w:p>
    <w:p w14:paraId="4A234E97" w14:textId="77777777" w:rsidR="002D6804" w:rsidRDefault="002D6804" w:rsidP="002D6804">
      <w:pPr>
        <w:pStyle w:val="BodyText"/>
      </w:pPr>
    </w:p>
    <w:p w14:paraId="478AD4E4" w14:textId="1F4E8A64" w:rsidR="002D6804" w:rsidRDefault="00107197" w:rsidP="002D6804">
      <w:pPr>
        <w:pStyle w:val="BodyText"/>
      </w:pPr>
      <w:r>
        <w:rPr>
          <w:noProof/>
        </w:rPr>
        <mc:AlternateContent>
          <mc:Choice Requires="wps">
            <w:drawing>
              <wp:anchor distT="0" distB="0" distL="114300" distR="114300" simplePos="0" relativeHeight="251689984" behindDoc="0" locked="0" layoutInCell="1" allowOverlap="1" wp14:anchorId="5743BF50" wp14:editId="144BBA76">
                <wp:simplePos x="0" y="0"/>
                <wp:positionH relativeFrom="page">
                  <wp:posOffset>1043305</wp:posOffset>
                </wp:positionH>
                <wp:positionV relativeFrom="paragraph">
                  <wp:posOffset>175260</wp:posOffset>
                </wp:positionV>
                <wp:extent cx="139065" cy="555625"/>
                <wp:effectExtent l="0" t="0" r="0" b="0"/>
                <wp:wrapNone/>
                <wp:docPr id="39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 cy="55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84D36" w14:textId="77777777" w:rsidR="00FD55D7" w:rsidRPr="00107197" w:rsidRDefault="00FD55D7" w:rsidP="002D6804">
                            <w:pPr>
                              <w:spacing w:before="14"/>
                              <w:ind w:left="20"/>
                              <w:rPr>
                                <w:rFonts w:ascii="Arial" w:hAnsi="Arial" w:cs="Arial"/>
                                <w:sz w:val="16"/>
                              </w:rPr>
                            </w:pPr>
                            <w:r w:rsidRPr="00107197">
                              <w:rPr>
                                <w:rFonts w:ascii="Arial" w:hAnsi="Arial" w:cs="Arial"/>
                                <w:sz w:val="16"/>
                              </w:rPr>
                              <w:t>Work Areas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3BF50" id="Text Box 33" o:spid="_x0000_s1148" type="#_x0000_t202" style="position:absolute;left:0;text-align:left;margin-left:82.15pt;margin-top:13.8pt;width:10.95pt;height:43.7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" filled="f" stroked="f">
                <v:textbox style="layout-flow:vertical;mso-layout-flow-alt:bottom-to-top" inset="0,0,0,0">
                  <w:txbxContent>
                    <w:p w14:paraId="45F84D36" w14:textId="77777777" w:rsidR="00FD55D7" w:rsidRPr="00107197" w:rsidRDefault="00FD55D7" w:rsidP="002D6804">
                      <w:pPr>
                        <w:spacing w:before="14"/>
                        <w:ind w:left="20"/>
                        <w:rPr>
                          <w:rFonts w:ascii="Arial" w:hAnsi="Arial" w:cs="Arial"/>
                          <w:sz w:val="16"/>
                        </w:rPr>
                      </w:pPr>
                      <w:r w:rsidRPr="00107197">
                        <w:rPr>
                          <w:rFonts w:ascii="Arial" w:hAnsi="Arial" w:cs="Arial"/>
                          <w:sz w:val="16"/>
                        </w:rPr>
                        <w:t>Work Areas</w:t>
                      </w:r>
                    </w:p>
                  </w:txbxContent>
                </v:textbox>
                <w10:wrap anchorx="page"/>
              </v:shape>
            </w:pict>
          </mc:Fallback>
        </mc:AlternateContent>
      </w:r>
    </w:p>
    <w:p w14:paraId="34160718" w14:textId="77777777" w:rsidR="002D6804" w:rsidRDefault="002D6804" w:rsidP="002D6804">
      <w:pPr>
        <w:pStyle w:val="BodyText"/>
      </w:pPr>
    </w:p>
    <w:p w14:paraId="4C1AFC82" w14:textId="4329DFE3" w:rsidR="002D6804" w:rsidRDefault="002D6804" w:rsidP="002D6804">
      <w:pPr>
        <w:pStyle w:val="BodyText"/>
      </w:pPr>
    </w:p>
    <w:p w14:paraId="4255EA6F" w14:textId="77777777" w:rsidR="002D6804" w:rsidRDefault="002D6804" w:rsidP="002D6804">
      <w:pPr>
        <w:pStyle w:val="BodyText"/>
      </w:pPr>
    </w:p>
    <w:p w14:paraId="71766FC5" w14:textId="77777777" w:rsidR="002D6804" w:rsidRPr="00107197" w:rsidRDefault="002D6804" w:rsidP="002D6804">
      <w:pPr>
        <w:pStyle w:val="BodyText"/>
        <w:rPr>
          <w:rFonts w:cs="Arial"/>
          <w:sz w:val="20"/>
        </w:rPr>
      </w:pPr>
    </w:p>
    <w:p w14:paraId="67AAD76B" w14:textId="01150ADE" w:rsidR="002D6804" w:rsidRPr="00107197" w:rsidRDefault="002D6804" w:rsidP="002D6804">
      <w:pPr>
        <w:pStyle w:val="BodyText"/>
        <w:spacing w:before="94"/>
        <w:ind w:left="338"/>
        <w:rPr>
          <w:rFonts w:cs="Arial"/>
          <w:sz w:val="20"/>
        </w:rPr>
      </w:pPr>
      <w:r w:rsidRPr="00107197">
        <w:rPr>
          <w:rFonts w:cs="Arial"/>
          <w:sz w:val="20"/>
        </w:rPr>
        <w:t>Each Work Area is responsible for ensuring:</w:t>
      </w:r>
    </w:p>
    <w:p w14:paraId="201711A5" w14:textId="77777777" w:rsidR="002D6804" w:rsidRPr="00107197" w:rsidRDefault="002D6804" w:rsidP="002A3889">
      <w:pPr>
        <w:pStyle w:val="ListParagraph"/>
        <w:widowControl w:val="0"/>
        <w:numPr>
          <w:ilvl w:val="1"/>
          <w:numId w:val="460"/>
        </w:numPr>
        <w:tabs>
          <w:tab w:val="left" w:pos="1059"/>
        </w:tabs>
        <w:autoSpaceDE w:val="0"/>
        <w:autoSpaceDN w:val="0"/>
        <w:spacing w:before="120" w:after="0" w:line="240" w:lineRule="auto"/>
        <w:ind w:left="1058" w:right="289"/>
        <w:contextualSpacing w:val="0"/>
        <w:jc w:val="both"/>
        <w:rPr>
          <w:rFonts w:ascii="Arial" w:hAnsi="Arial" w:cs="Arial"/>
          <w:sz w:val="20"/>
          <w:szCs w:val="20"/>
        </w:rPr>
      </w:pPr>
      <w:r w:rsidRPr="00107197">
        <w:rPr>
          <w:rFonts w:ascii="Arial" w:hAnsi="Arial" w:cs="Arial"/>
          <w:sz w:val="20"/>
          <w:szCs w:val="20"/>
        </w:rPr>
        <w:t>They continually provide updates in relation to new and emerging risks, control effectiveness and indicator performance to the Executive Assistant Corporate Services.</w:t>
      </w:r>
    </w:p>
    <w:p w14:paraId="300C9E64" w14:textId="77777777" w:rsidR="002D6804" w:rsidRPr="00107197" w:rsidRDefault="002D6804" w:rsidP="002A3889">
      <w:pPr>
        <w:pStyle w:val="ListParagraph"/>
        <w:widowControl w:val="0"/>
        <w:numPr>
          <w:ilvl w:val="1"/>
          <w:numId w:val="460"/>
        </w:numPr>
        <w:tabs>
          <w:tab w:val="left" w:pos="1059"/>
        </w:tabs>
        <w:autoSpaceDE w:val="0"/>
        <w:autoSpaceDN w:val="0"/>
        <w:spacing w:before="118" w:after="0" w:line="240" w:lineRule="auto"/>
        <w:ind w:left="1058" w:right="288" w:hanging="361"/>
        <w:contextualSpacing w:val="0"/>
        <w:jc w:val="both"/>
        <w:rPr>
          <w:rFonts w:ascii="Arial" w:hAnsi="Arial" w:cs="Arial"/>
          <w:sz w:val="20"/>
          <w:szCs w:val="20"/>
        </w:rPr>
      </w:pPr>
      <w:r w:rsidRPr="00107197">
        <w:rPr>
          <w:rFonts w:ascii="Arial" w:hAnsi="Arial" w:cs="Arial"/>
          <w:sz w:val="20"/>
          <w:szCs w:val="20"/>
        </w:rPr>
        <w:t>Work through assigned actions and provide relevant updates to the Executive Assistant Corporate Services.</w:t>
      </w:r>
    </w:p>
    <w:p w14:paraId="6F2525B0" w14:textId="77777777" w:rsidR="002D6804" w:rsidRPr="00107197" w:rsidRDefault="002D6804" w:rsidP="002A3889">
      <w:pPr>
        <w:pStyle w:val="ListParagraph"/>
        <w:widowControl w:val="0"/>
        <w:numPr>
          <w:ilvl w:val="1"/>
          <w:numId w:val="460"/>
        </w:numPr>
        <w:tabs>
          <w:tab w:val="left" w:pos="1053"/>
        </w:tabs>
        <w:autoSpaceDE w:val="0"/>
        <w:autoSpaceDN w:val="0"/>
        <w:spacing w:before="119" w:after="0" w:line="240" w:lineRule="auto"/>
        <w:ind w:left="1052" w:right="288" w:hanging="358"/>
        <w:contextualSpacing w:val="0"/>
        <w:jc w:val="both"/>
        <w:rPr>
          <w:rFonts w:ascii="Arial" w:hAnsi="Arial" w:cs="Arial"/>
          <w:sz w:val="20"/>
          <w:szCs w:val="20"/>
        </w:rPr>
      </w:pPr>
      <w:r w:rsidRPr="00107197">
        <w:rPr>
          <w:rFonts w:ascii="Arial" w:hAnsi="Arial" w:cs="Arial"/>
          <w:sz w:val="20"/>
          <w:szCs w:val="20"/>
        </w:rPr>
        <w:t>Risks / Issues reported to the CEO &amp; Senior Staff Group are reflective of the current risk and control</w:t>
      </w:r>
      <w:r w:rsidRPr="00107197">
        <w:rPr>
          <w:rFonts w:ascii="Arial" w:hAnsi="Arial" w:cs="Arial"/>
          <w:spacing w:val="-2"/>
          <w:sz w:val="20"/>
          <w:szCs w:val="20"/>
        </w:rPr>
        <w:t xml:space="preserve"> </w:t>
      </w:r>
      <w:r w:rsidRPr="00107197">
        <w:rPr>
          <w:rFonts w:ascii="Arial" w:hAnsi="Arial" w:cs="Arial"/>
          <w:sz w:val="20"/>
          <w:szCs w:val="20"/>
        </w:rPr>
        <w:t>environment.</w:t>
      </w:r>
    </w:p>
    <w:p w14:paraId="7F23B616" w14:textId="77777777" w:rsidR="002D6804" w:rsidRPr="00107197" w:rsidRDefault="002D6804" w:rsidP="002D6804">
      <w:pPr>
        <w:pStyle w:val="BodyText"/>
        <w:spacing w:before="8"/>
        <w:rPr>
          <w:rFonts w:cs="Arial"/>
          <w:sz w:val="20"/>
        </w:rPr>
      </w:pPr>
    </w:p>
    <w:p w14:paraId="180D7297" w14:textId="77777777" w:rsidR="002D6804" w:rsidRPr="00107197" w:rsidRDefault="002D6804" w:rsidP="002D6804">
      <w:pPr>
        <w:pStyle w:val="BodyText"/>
        <w:ind w:left="338"/>
        <w:rPr>
          <w:rFonts w:cs="Arial"/>
          <w:sz w:val="20"/>
        </w:rPr>
      </w:pPr>
      <w:r w:rsidRPr="00107197">
        <w:rPr>
          <w:rFonts w:cs="Arial"/>
          <w:sz w:val="20"/>
        </w:rPr>
        <w:t>The Executive Assistant Corporate Services is responsible for:</w:t>
      </w:r>
    </w:p>
    <w:p w14:paraId="56F1C36D" w14:textId="77777777" w:rsidR="002D6804" w:rsidRPr="00107197" w:rsidRDefault="002D6804" w:rsidP="002A3889">
      <w:pPr>
        <w:pStyle w:val="ListParagraph"/>
        <w:widowControl w:val="0"/>
        <w:numPr>
          <w:ilvl w:val="1"/>
          <w:numId w:val="460"/>
        </w:numPr>
        <w:tabs>
          <w:tab w:val="left" w:pos="1059"/>
        </w:tabs>
        <w:autoSpaceDE w:val="0"/>
        <w:autoSpaceDN w:val="0"/>
        <w:spacing w:before="120" w:after="0" w:line="240" w:lineRule="auto"/>
        <w:ind w:left="1058" w:right="289"/>
        <w:contextualSpacing w:val="0"/>
        <w:jc w:val="both"/>
        <w:rPr>
          <w:rFonts w:ascii="Arial" w:hAnsi="Arial" w:cs="Arial"/>
          <w:sz w:val="20"/>
          <w:szCs w:val="20"/>
        </w:rPr>
      </w:pPr>
      <w:r w:rsidRPr="00107197">
        <w:rPr>
          <w:rFonts w:ascii="Arial" w:hAnsi="Arial" w:cs="Arial"/>
          <w:sz w:val="20"/>
          <w:szCs w:val="20"/>
        </w:rPr>
        <w:t xml:space="preserve">Ensuring Town Risk Profiles are formally reviewed and updated, at least on a six monthly </w:t>
      </w:r>
      <w:proofErr w:type="gramStart"/>
      <w:r w:rsidRPr="00107197">
        <w:rPr>
          <w:rFonts w:ascii="Arial" w:hAnsi="Arial" w:cs="Arial"/>
          <w:sz w:val="20"/>
          <w:szCs w:val="20"/>
        </w:rPr>
        <w:t>basis  or</w:t>
      </w:r>
      <w:proofErr w:type="gramEnd"/>
      <w:r w:rsidRPr="00107197">
        <w:rPr>
          <w:rFonts w:ascii="Arial" w:hAnsi="Arial" w:cs="Arial"/>
          <w:sz w:val="20"/>
          <w:szCs w:val="20"/>
        </w:rPr>
        <w:t xml:space="preserve"> when there has been a material restructure, change in risk ownership or change in the external environment.</w:t>
      </w:r>
    </w:p>
    <w:p w14:paraId="13E30BC2" w14:textId="77777777" w:rsidR="002D6804" w:rsidRPr="00107197" w:rsidRDefault="002D6804" w:rsidP="002A3889">
      <w:pPr>
        <w:pStyle w:val="ListParagraph"/>
        <w:widowControl w:val="0"/>
        <w:numPr>
          <w:ilvl w:val="1"/>
          <w:numId w:val="460"/>
        </w:numPr>
        <w:tabs>
          <w:tab w:val="left" w:pos="1059"/>
        </w:tabs>
        <w:autoSpaceDE w:val="0"/>
        <w:autoSpaceDN w:val="0"/>
        <w:spacing w:before="119" w:after="0" w:line="240" w:lineRule="auto"/>
        <w:ind w:left="1058" w:right="289"/>
        <w:contextualSpacing w:val="0"/>
        <w:jc w:val="both"/>
        <w:rPr>
          <w:rFonts w:ascii="Arial" w:hAnsi="Arial" w:cs="Arial"/>
          <w:sz w:val="20"/>
          <w:szCs w:val="20"/>
        </w:rPr>
      </w:pPr>
      <w:r w:rsidRPr="00107197">
        <w:rPr>
          <w:rFonts w:ascii="Arial" w:hAnsi="Arial" w:cs="Arial"/>
          <w:sz w:val="20"/>
          <w:szCs w:val="20"/>
        </w:rPr>
        <w:t>Producing a six-monthly Risk Report for the CEO &amp; Senior Staff Group which contains an overview Risk Summary for the</w:t>
      </w:r>
      <w:r w:rsidRPr="00107197">
        <w:rPr>
          <w:rFonts w:ascii="Arial" w:hAnsi="Arial" w:cs="Arial"/>
          <w:spacing w:val="-5"/>
          <w:sz w:val="20"/>
          <w:szCs w:val="20"/>
        </w:rPr>
        <w:t xml:space="preserve"> </w:t>
      </w:r>
      <w:r w:rsidRPr="00107197">
        <w:rPr>
          <w:rFonts w:ascii="Arial" w:hAnsi="Arial" w:cs="Arial"/>
          <w:sz w:val="20"/>
          <w:szCs w:val="20"/>
        </w:rPr>
        <w:t>Town.</w:t>
      </w:r>
    </w:p>
    <w:p w14:paraId="0846DF2E" w14:textId="77777777" w:rsidR="002D6804" w:rsidRPr="00107197" w:rsidRDefault="002D6804" w:rsidP="002A3889">
      <w:pPr>
        <w:pStyle w:val="ListParagraph"/>
        <w:widowControl w:val="0"/>
        <w:numPr>
          <w:ilvl w:val="1"/>
          <w:numId w:val="460"/>
        </w:numPr>
        <w:tabs>
          <w:tab w:val="left" w:pos="1059"/>
        </w:tabs>
        <w:autoSpaceDE w:val="0"/>
        <w:autoSpaceDN w:val="0"/>
        <w:spacing w:before="119" w:after="0" w:line="240" w:lineRule="auto"/>
        <w:ind w:left="1058" w:hanging="361"/>
        <w:contextualSpacing w:val="0"/>
        <w:jc w:val="both"/>
        <w:rPr>
          <w:rFonts w:ascii="Arial" w:hAnsi="Arial" w:cs="Arial"/>
          <w:sz w:val="20"/>
          <w:szCs w:val="20"/>
        </w:rPr>
      </w:pPr>
      <w:r w:rsidRPr="00107197">
        <w:rPr>
          <w:rFonts w:ascii="Arial" w:hAnsi="Arial" w:cs="Arial"/>
          <w:sz w:val="20"/>
          <w:szCs w:val="20"/>
        </w:rPr>
        <w:t>Annual Compliance Audit Return completion and</w:t>
      </w:r>
      <w:r w:rsidRPr="00107197">
        <w:rPr>
          <w:rFonts w:ascii="Arial" w:hAnsi="Arial" w:cs="Arial"/>
          <w:spacing w:val="-6"/>
          <w:sz w:val="20"/>
          <w:szCs w:val="20"/>
        </w:rPr>
        <w:t xml:space="preserve"> </w:t>
      </w:r>
      <w:r w:rsidRPr="00107197">
        <w:rPr>
          <w:rFonts w:ascii="Arial" w:hAnsi="Arial" w:cs="Arial"/>
          <w:sz w:val="20"/>
          <w:szCs w:val="20"/>
        </w:rPr>
        <w:t>lodgement.</w:t>
      </w:r>
    </w:p>
    <w:p w14:paraId="21ECA90D" w14:textId="77777777" w:rsidR="002D6804" w:rsidRDefault="002D6804" w:rsidP="002D6804">
      <w:pPr>
        <w:jc w:val="both"/>
        <w:rPr>
          <w:sz w:val="20"/>
        </w:rPr>
        <w:sectPr w:rsidR="002D6804">
          <w:pgSz w:w="11910" w:h="16840"/>
          <w:pgMar w:top="1600" w:right="840" w:bottom="1140" w:left="1080" w:header="0" w:footer="955" w:gutter="0"/>
          <w:cols w:space="720"/>
        </w:sectPr>
      </w:pPr>
    </w:p>
    <w:p w14:paraId="0F1E1A30" w14:textId="77777777" w:rsidR="002D6804" w:rsidRDefault="002D6804" w:rsidP="002D6804">
      <w:pPr>
        <w:pStyle w:val="BodyText"/>
        <w:spacing w:before="5"/>
        <w:rPr>
          <w:sz w:val="25"/>
        </w:rPr>
      </w:pPr>
    </w:p>
    <w:p w14:paraId="10DF5B56" w14:textId="77777777" w:rsidR="002D6804" w:rsidRPr="00107197" w:rsidRDefault="002D6804" w:rsidP="00107197">
      <w:pPr>
        <w:pStyle w:val="Heading2"/>
        <w:ind w:left="284"/>
        <w:rPr>
          <w:rFonts w:ascii="Arial" w:hAnsi="Arial" w:cs="Arial"/>
          <w:sz w:val="24"/>
          <w:szCs w:val="24"/>
        </w:rPr>
      </w:pPr>
      <w:r w:rsidRPr="00107197">
        <w:rPr>
          <w:rFonts w:ascii="Arial" w:hAnsi="Arial" w:cs="Arial"/>
          <w:color w:val="006F65"/>
          <w:sz w:val="24"/>
          <w:szCs w:val="24"/>
        </w:rPr>
        <w:t>Indicators</w:t>
      </w:r>
    </w:p>
    <w:p w14:paraId="63BFB90C" w14:textId="77777777" w:rsidR="002D6804" w:rsidRPr="00107197" w:rsidRDefault="002D6804" w:rsidP="002D6804">
      <w:pPr>
        <w:pStyle w:val="BodyText"/>
        <w:spacing w:before="118"/>
        <w:ind w:left="338" w:right="649"/>
        <w:rPr>
          <w:rFonts w:cs="Arial"/>
          <w:sz w:val="20"/>
        </w:rPr>
      </w:pPr>
      <w:r w:rsidRPr="00107197">
        <w:rPr>
          <w:rFonts w:cs="Arial"/>
          <w:sz w:val="20"/>
        </w:rPr>
        <w:t>Indicators are required to be used for monitoring and validating risks and controls. The following describes the process for the creation and reporting of</w:t>
      </w:r>
      <w:r w:rsidRPr="00107197">
        <w:rPr>
          <w:rFonts w:cs="Arial"/>
          <w:spacing w:val="-6"/>
          <w:sz w:val="20"/>
        </w:rPr>
        <w:t xml:space="preserve"> </w:t>
      </w:r>
      <w:r w:rsidRPr="00107197">
        <w:rPr>
          <w:rFonts w:cs="Arial"/>
          <w:sz w:val="20"/>
        </w:rPr>
        <w:t>Indicators:</w:t>
      </w:r>
    </w:p>
    <w:p w14:paraId="4D2AF426" w14:textId="77777777" w:rsidR="002D6804" w:rsidRPr="00107197" w:rsidRDefault="002D6804" w:rsidP="002D6804">
      <w:pPr>
        <w:pStyle w:val="BodyText"/>
        <w:spacing w:before="1"/>
        <w:rPr>
          <w:rFonts w:cs="Arial"/>
          <w:sz w:val="20"/>
        </w:rPr>
      </w:pPr>
    </w:p>
    <w:p w14:paraId="03E53A23" w14:textId="77777777" w:rsidR="002D6804" w:rsidRPr="00107197" w:rsidRDefault="002D6804" w:rsidP="00107197">
      <w:pPr>
        <w:pStyle w:val="Heading3"/>
        <w:ind w:left="284"/>
        <w:rPr>
          <w:rFonts w:ascii="Arial" w:hAnsi="Arial" w:cs="Arial"/>
          <w:b/>
          <w:bCs/>
          <w:sz w:val="22"/>
          <w:szCs w:val="22"/>
        </w:rPr>
      </w:pPr>
      <w:r w:rsidRPr="00107197">
        <w:rPr>
          <w:rFonts w:ascii="Arial" w:hAnsi="Arial" w:cs="Arial"/>
          <w:b/>
          <w:bCs/>
          <w:color w:val="00ACB8"/>
          <w:sz w:val="22"/>
          <w:szCs w:val="22"/>
        </w:rPr>
        <w:t>Identification</w:t>
      </w:r>
    </w:p>
    <w:p w14:paraId="0BF40C83" w14:textId="77777777" w:rsidR="002D6804" w:rsidRPr="00107197" w:rsidRDefault="002D6804" w:rsidP="002D6804">
      <w:pPr>
        <w:pStyle w:val="BodyText"/>
        <w:spacing w:before="58"/>
        <w:ind w:left="338"/>
        <w:rPr>
          <w:rFonts w:cs="Arial"/>
          <w:sz w:val="20"/>
        </w:rPr>
      </w:pPr>
      <w:r w:rsidRPr="00107197">
        <w:rPr>
          <w:rFonts w:cs="Arial"/>
          <w:sz w:val="20"/>
        </w:rPr>
        <w:t>The following represent the minimum standards when identifying appropriate Indicator risks and controls:</w:t>
      </w:r>
    </w:p>
    <w:p w14:paraId="2C90AF1E" w14:textId="77777777" w:rsidR="002D6804" w:rsidRPr="00107197"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07197">
        <w:rPr>
          <w:rFonts w:ascii="Arial" w:hAnsi="Arial" w:cs="Arial"/>
          <w:sz w:val="20"/>
          <w:szCs w:val="20"/>
        </w:rPr>
        <w:t>The risk description and casual factors are fully</w:t>
      </w:r>
      <w:r w:rsidRPr="00107197">
        <w:rPr>
          <w:rFonts w:ascii="Arial" w:hAnsi="Arial" w:cs="Arial"/>
          <w:spacing w:val="-7"/>
          <w:sz w:val="20"/>
          <w:szCs w:val="20"/>
        </w:rPr>
        <w:t xml:space="preserve"> </w:t>
      </w:r>
      <w:r w:rsidRPr="00107197">
        <w:rPr>
          <w:rFonts w:ascii="Arial" w:hAnsi="Arial" w:cs="Arial"/>
          <w:sz w:val="20"/>
          <w:szCs w:val="20"/>
        </w:rPr>
        <w:t>understood</w:t>
      </w:r>
    </w:p>
    <w:p w14:paraId="459AEE36" w14:textId="77777777" w:rsidR="002D6804" w:rsidRPr="00107197"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07197">
        <w:rPr>
          <w:rFonts w:ascii="Arial" w:hAnsi="Arial" w:cs="Arial"/>
          <w:sz w:val="20"/>
          <w:szCs w:val="20"/>
        </w:rPr>
        <w:t xml:space="preserve">The </w:t>
      </w:r>
      <w:proofErr w:type="gramStart"/>
      <w:r w:rsidRPr="00107197">
        <w:rPr>
          <w:rFonts w:ascii="Arial" w:hAnsi="Arial" w:cs="Arial"/>
          <w:sz w:val="20"/>
          <w:szCs w:val="20"/>
        </w:rPr>
        <w:t>Indicator</w:t>
      </w:r>
      <w:proofErr w:type="gramEnd"/>
      <w:r w:rsidRPr="00107197">
        <w:rPr>
          <w:rFonts w:ascii="Arial" w:hAnsi="Arial" w:cs="Arial"/>
          <w:sz w:val="20"/>
          <w:szCs w:val="20"/>
        </w:rPr>
        <w:t xml:space="preserve"> is fully relevant to the risk or</w:t>
      </w:r>
      <w:r w:rsidRPr="00107197">
        <w:rPr>
          <w:rFonts w:ascii="Arial" w:hAnsi="Arial" w:cs="Arial"/>
          <w:spacing w:val="-10"/>
          <w:sz w:val="20"/>
          <w:szCs w:val="20"/>
        </w:rPr>
        <w:t xml:space="preserve"> </w:t>
      </w:r>
      <w:r w:rsidRPr="00107197">
        <w:rPr>
          <w:rFonts w:ascii="Arial" w:hAnsi="Arial" w:cs="Arial"/>
          <w:sz w:val="20"/>
          <w:szCs w:val="20"/>
        </w:rPr>
        <w:t>control</w:t>
      </w:r>
    </w:p>
    <w:p w14:paraId="63B15F10" w14:textId="77777777" w:rsidR="002D6804" w:rsidRPr="00107197" w:rsidRDefault="002D6804" w:rsidP="002A3889">
      <w:pPr>
        <w:pStyle w:val="ListParagraph"/>
        <w:widowControl w:val="0"/>
        <w:numPr>
          <w:ilvl w:val="1"/>
          <w:numId w:val="460"/>
        </w:numPr>
        <w:tabs>
          <w:tab w:val="left" w:pos="1058"/>
          <w:tab w:val="left" w:pos="1059"/>
        </w:tabs>
        <w:autoSpaceDE w:val="0"/>
        <w:autoSpaceDN w:val="0"/>
        <w:spacing w:before="118" w:after="0" w:line="240" w:lineRule="auto"/>
        <w:ind w:left="1058" w:hanging="361"/>
        <w:contextualSpacing w:val="0"/>
        <w:rPr>
          <w:rFonts w:ascii="Arial" w:hAnsi="Arial" w:cs="Arial"/>
          <w:sz w:val="20"/>
          <w:szCs w:val="20"/>
        </w:rPr>
      </w:pPr>
      <w:r w:rsidRPr="00107197">
        <w:rPr>
          <w:rFonts w:ascii="Arial" w:hAnsi="Arial" w:cs="Arial"/>
          <w:sz w:val="20"/>
          <w:szCs w:val="20"/>
        </w:rPr>
        <w:t>Predictive Indicators are adopted wherever</w:t>
      </w:r>
      <w:r w:rsidRPr="00107197">
        <w:rPr>
          <w:rFonts w:ascii="Arial" w:hAnsi="Arial" w:cs="Arial"/>
          <w:spacing w:val="-3"/>
          <w:sz w:val="20"/>
          <w:szCs w:val="20"/>
        </w:rPr>
        <w:t xml:space="preserve"> </w:t>
      </w:r>
      <w:r w:rsidRPr="00107197">
        <w:rPr>
          <w:rFonts w:ascii="Arial" w:hAnsi="Arial" w:cs="Arial"/>
          <w:sz w:val="20"/>
          <w:szCs w:val="20"/>
        </w:rPr>
        <w:t>possible</w:t>
      </w:r>
    </w:p>
    <w:p w14:paraId="2698D3AA" w14:textId="77777777" w:rsidR="002D6804" w:rsidRPr="00107197"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hanging="361"/>
        <w:contextualSpacing w:val="0"/>
        <w:rPr>
          <w:rFonts w:ascii="Arial" w:hAnsi="Arial" w:cs="Arial"/>
          <w:sz w:val="20"/>
          <w:szCs w:val="20"/>
        </w:rPr>
      </w:pPr>
      <w:r w:rsidRPr="00107197">
        <w:rPr>
          <w:rFonts w:ascii="Arial" w:hAnsi="Arial" w:cs="Arial"/>
          <w:sz w:val="20"/>
          <w:szCs w:val="20"/>
        </w:rPr>
        <w:t>Indicators provide adequate coverage over monitoring risks and</w:t>
      </w:r>
      <w:r w:rsidRPr="00107197">
        <w:rPr>
          <w:rFonts w:ascii="Arial" w:hAnsi="Arial" w:cs="Arial"/>
          <w:spacing w:val="-4"/>
          <w:sz w:val="20"/>
          <w:szCs w:val="20"/>
        </w:rPr>
        <w:t xml:space="preserve"> </w:t>
      </w:r>
      <w:r w:rsidRPr="00107197">
        <w:rPr>
          <w:rFonts w:ascii="Arial" w:hAnsi="Arial" w:cs="Arial"/>
          <w:sz w:val="20"/>
          <w:szCs w:val="20"/>
        </w:rPr>
        <w:t>controls</w:t>
      </w:r>
    </w:p>
    <w:p w14:paraId="4FFCD4FB" w14:textId="77777777" w:rsidR="002D6804" w:rsidRPr="00107197" w:rsidRDefault="002D6804" w:rsidP="002D6804">
      <w:pPr>
        <w:pStyle w:val="BodyText"/>
        <w:spacing w:before="4"/>
        <w:rPr>
          <w:rFonts w:cs="Arial"/>
          <w:sz w:val="20"/>
        </w:rPr>
      </w:pPr>
    </w:p>
    <w:p w14:paraId="3183922D" w14:textId="77777777" w:rsidR="002D6804" w:rsidRPr="00107197" w:rsidRDefault="002D6804" w:rsidP="00107197">
      <w:pPr>
        <w:pStyle w:val="Heading3"/>
        <w:ind w:left="284"/>
        <w:rPr>
          <w:rFonts w:ascii="Arial" w:hAnsi="Arial" w:cs="Arial"/>
          <w:b/>
          <w:bCs/>
          <w:sz w:val="22"/>
          <w:szCs w:val="22"/>
        </w:rPr>
      </w:pPr>
      <w:r w:rsidRPr="00107197">
        <w:rPr>
          <w:rFonts w:ascii="Arial" w:hAnsi="Arial" w:cs="Arial"/>
          <w:b/>
          <w:bCs/>
          <w:color w:val="00ACB8"/>
          <w:sz w:val="22"/>
          <w:szCs w:val="22"/>
        </w:rPr>
        <w:t>Validity of Source</w:t>
      </w:r>
    </w:p>
    <w:p w14:paraId="1F8B9EE4" w14:textId="77777777" w:rsidR="002D6804" w:rsidRPr="00107197" w:rsidRDefault="002D6804" w:rsidP="002D6804">
      <w:pPr>
        <w:pStyle w:val="BodyText"/>
        <w:spacing w:before="59"/>
        <w:ind w:left="338" w:right="233"/>
        <w:rPr>
          <w:rFonts w:cs="Arial"/>
          <w:sz w:val="20"/>
        </w:rPr>
      </w:pPr>
      <w:r w:rsidRPr="00107197">
        <w:rPr>
          <w:rFonts w:cs="Arial"/>
          <w:sz w:val="20"/>
        </w:rPr>
        <w:t xml:space="preserve">In all cases an assessment of the data quality, integrity and frequency must be completed to ensure that the </w:t>
      </w:r>
      <w:proofErr w:type="gramStart"/>
      <w:r w:rsidRPr="00107197">
        <w:rPr>
          <w:rFonts w:cs="Arial"/>
          <w:sz w:val="20"/>
        </w:rPr>
        <w:t>Indicator</w:t>
      </w:r>
      <w:proofErr w:type="gramEnd"/>
      <w:r w:rsidRPr="00107197">
        <w:rPr>
          <w:rFonts w:cs="Arial"/>
          <w:sz w:val="20"/>
        </w:rPr>
        <w:t xml:space="preserve"> data is relevant to the risk or Control.</w:t>
      </w:r>
    </w:p>
    <w:p w14:paraId="4A5B62CD" w14:textId="77777777" w:rsidR="002D6804" w:rsidRPr="00107197" w:rsidRDefault="002D6804" w:rsidP="002D6804">
      <w:pPr>
        <w:pStyle w:val="BodyText"/>
        <w:spacing w:before="9"/>
        <w:rPr>
          <w:rFonts w:cs="Arial"/>
          <w:sz w:val="20"/>
        </w:rPr>
      </w:pPr>
    </w:p>
    <w:p w14:paraId="2EEA2160" w14:textId="77777777" w:rsidR="002D6804" w:rsidRPr="00107197" w:rsidRDefault="002D6804" w:rsidP="002D6804">
      <w:pPr>
        <w:pStyle w:val="BodyText"/>
        <w:ind w:left="338" w:right="649"/>
        <w:rPr>
          <w:rFonts w:cs="Arial"/>
          <w:sz w:val="20"/>
        </w:rPr>
      </w:pPr>
      <w:r w:rsidRPr="00107197">
        <w:rPr>
          <w:rFonts w:cs="Arial"/>
          <w:sz w:val="20"/>
        </w:rPr>
        <w:t>Where possible the source of the data (data owner) should be independent to the risk owner.  Overlapping Indicators can be used to provide a level of assurance on data</w:t>
      </w:r>
      <w:r w:rsidRPr="00107197">
        <w:rPr>
          <w:rFonts w:cs="Arial"/>
          <w:spacing w:val="-22"/>
          <w:sz w:val="20"/>
        </w:rPr>
        <w:t xml:space="preserve"> </w:t>
      </w:r>
      <w:r w:rsidRPr="00107197">
        <w:rPr>
          <w:rFonts w:cs="Arial"/>
          <w:sz w:val="20"/>
        </w:rPr>
        <w:t>integrity.</w:t>
      </w:r>
    </w:p>
    <w:p w14:paraId="670F1D9D" w14:textId="77777777" w:rsidR="002D6804" w:rsidRPr="00107197" w:rsidRDefault="002D6804" w:rsidP="002D6804">
      <w:pPr>
        <w:pStyle w:val="BodyText"/>
        <w:spacing w:before="10"/>
        <w:rPr>
          <w:rFonts w:cs="Arial"/>
          <w:sz w:val="20"/>
        </w:rPr>
      </w:pPr>
    </w:p>
    <w:p w14:paraId="49F003A6" w14:textId="77777777" w:rsidR="002D6804" w:rsidRPr="00107197" w:rsidRDefault="002D6804" w:rsidP="002D6804">
      <w:pPr>
        <w:pStyle w:val="BodyText"/>
        <w:ind w:left="338" w:right="649"/>
        <w:rPr>
          <w:rFonts w:cs="Arial"/>
          <w:sz w:val="20"/>
        </w:rPr>
      </w:pPr>
      <w:r w:rsidRPr="00107197">
        <w:rPr>
          <w:rFonts w:cs="Arial"/>
          <w:sz w:val="20"/>
        </w:rPr>
        <w:t xml:space="preserve">If the data or source changes during the life of the </w:t>
      </w:r>
      <w:proofErr w:type="gramStart"/>
      <w:r w:rsidRPr="00107197">
        <w:rPr>
          <w:rFonts w:cs="Arial"/>
          <w:sz w:val="20"/>
        </w:rPr>
        <w:t>Indicator</w:t>
      </w:r>
      <w:proofErr w:type="gramEnd"/>
      <w:r w:rsidRPr="00107197">
        <w:rPr>
          <w:rFonts w:cs="Arial"/>
          <w:sz w:val="20"/>
        </w:rPr>
        <w:t>, the data is required to be revalidated to ensure reporting of the Indicator against a consistent baseline.</w:t>
      </w:r>
    </w:p>
    <w:p w14:paraId="17C8DB90" w14:textId="77777777" w:rsidR="002D6804" w:rsidRPr="00107197" w:rsidRDefault="002D6804" w:rsidP="002D6804">
      <w:pPr>
        <w:pStyle w:val="BodyText"/>
        <w:spacing w:before="5"/>
        <w:rPr>
          <w:rFonts w:cs="Arial"/>
          <w:sz w:val="20"/>
        </w:rPr>
      </w:pPr>
    </w:p>
    <w:p w14:paraId="0F9BD824" w14:textId="77777777" w:rsidR="002D6804" w:rsidRPr="00107197" w:rsidRDefault="002D6804" w:rsidP="00107197">
      <w:pPr>
        <w:pStyle w:val="Heading3"/>
        <w:ind w:left="284"/>
        <w:rPr>
          <w:rFonts w:ascii="Arial" w:hAnsi="Arial" w:cs="Arial"/>
          <w:b/>
          <w:bCs/>
          <w:sz w:val="22"/>
          <w:szCs w:val="22"/>
        </w:rPr>
      </w:pPr>
      <w:r w:rsidRPr="00107197">
        <w:rPr>
          <w:rFonts w:ascii="Arial" w:hAnsi="Arial" w:cs="Arial"/>
          <w:b/>
          <w:bCs/>
          <w:color w:val="00ACB8"/>
          <w:sz w:val="22"/>
          <w:szCs w:val="22"/>
        </w:rPr>
        <w:t>Tolerances</w:t>
      </w:r>
    </w:p>
    <w:p w14:paraId="68BF92BA" w14:textId="77777777" w:rsidR="002D6804" w:rsidRPr="00107197" w:rsidRDefault="002D6804" w:rsidP="002D6804">
      <w:pPr>
        <w:pStyle w:val="BodyText"/>
        <w:spacing w:before="58"/>
        <w:ind w:left="338"/>
        <w:rPr>
          <w:rFonts w:cs="Arial"/>
          <w:sz w:val="20"/>
        </w:rPr>
      </w:pPr>
      <w:r w:rsidRPr="00107197">
        <w:rPr>
          <w:rFonts w:cs="Arial"/>
          <w:sz w:val="20"/>
        </w:rPr>
        <w:t>Tolerances are set based on the Town’s Risk Appetite. They may be set and agreed over three levels:</w:t>
      </w:r>
    </w:p>
    <w:p w14:paraId="186CC583" w14:textId="77777777" w:rsidR="002D6804" w:rsidRPr="00107197" w:rsidRDefault="002D6804" w:rsidP="002A3889">
      <w:pPr>
        <w:pStyle w:val="ListParagraph"/>
        <w:widowControl w:val="0"/>
        <w:numPr>
          <w:ilvl w:val="1"/>
          <w:numId w:val="460"/>
        </w:numPr>
        <w:tabs>
          <w:tab w:val="left" w:pos="1058"/>
          <w:tab w:val="left" w:pos="1059"/>
        </w:tabs>
        <w:autoSpaceDE w:val="0"/>
        <w:autoSpaceDN w:val="0"/>
        <w:spacing w:before="120" w:after="0" w:line="240" w:lineRule="auto"/>
        <w:ind w:left="1058" w:hanging="361"/>
        <w:contextualSpacing w:val="0"/>
        <w:rPr>
          <w:rFonts w:ascii="Arial" w:hAnsi="Arial" w:cs="Arial"/>
          <w:sz w:val="20"/>
          <w:szCs w:val="20"/>
        </w:rPr>
      </w:pPr>
      <w:r w:rsidRPr="00107197">
        <w:rPr>
          <w:rFonts w:ascii="Arial" w:hAnsi="Arial" w:cs="Arial"/>
          <w:sz w:val="20"/>
          <w:szCs w:val="20"/>
        </w:rPr>
        <w:t>Green – within appetite; no action</w:t>
      </w:r>
      <w:r w:rsidRPr="00107197">
        <w:rPr>
          <w:rFonts w:ascii="Arial" w:hAnsi="Arial" w:cs="Arial"/>
          <w:spacing w:val="-4"/>
          <w:sz w:val="20"/>
          <w:szCs w:val="20"/>
        </w:rPr>
        <w:t xml:space="preserve"> </w:t>
      </w:r>
      <w:r w:rsidRPr="00107197">
        <w:rPr>
          <w:rFonts w:ascii="Arial" w:hAnsi="Arial" w:cs="Arial"/>
          <w:sz w:val="20"/>
          <w:szCs w:val="20"/>
        </w:rPr>
        <w:t>required.</w:t>
      </w:r>
    </w:p>
    <w:p w14:paraId="1FE1E133" w14:textId="77777777" w:rsidR="002D6804" w:rsidRPr="00107197" w:rsidRDefault="002D6804" w:rsidP="002A3889">
      <w:pPr>
        <w:pStyle w:val="ListParagraph"/>
        <w:widowControl w:val="0"/>
        <w:numPr>
          <w:ilvl w:val="1"/>
          <w:numId w:val="460"/>
        </w:numPr>
        <w:tabs>
          <w:tab w:val="left" w:pos="1058"/>
          <w:tab w:val="left" w:pos="1059"/>
        </w:tabs>
        <w:autoSpaceDE w:val="0"/>
        <w:autoSpaceDN w:val="0"/>
        <w:spacing w:before="119" w:after="0" w:line="240" w:lineRule="auto"/>
        <w:ind w:left="1058" w:right="290" w:hanging="361"/>
        <w:contextualSpacing w:val="0"/>
        <w:rPr>
          <w:rFonts w:ascii="Arial" w:hAnsi="Arial" w:cs="Arial"/>
          <w:sz w:val="20"/>
          <w:szCs w:val="20"/>
        </w:rPr>
      </w:pPr>
      <w:r w:rsidRPr="00107197">
        <w:rPr>
          <w:rFonts w:ascii="Arial" w:hAnsi="Arial" w:cs="Arial"/>
          <w:sz w:val="20"/>
          <w:szCs w:val="20"/>
        </w:rPr>
        <w:t xml:space="preserve">Amber – the </w:t>
      </w:r>
      <w:proofErr w:type="gramStart"/>
      <w:r w:rsidRPr="00107197">
        <w:rPr>
          <w:rFonts w:ascii="Arial" w:hAnsi="Arial" w:cs="Arial"/>
          <w:sz w:val="20"/>
          <w:szCs w:val="20"/>
        </w:rPr>
        <w:t>Indicator</w:t>
      </w:r>
      <w:proofErr w:type="gramEnd"/>
      <w:r w:rsidRPr="00107197">
        <w:rPr>
          <w:rFonts w:ascii="Arial" w:hAnsi="Arial" w:cs="Arial"/>
          <w:sz w:val="20"/>
          <w:szCs w:val="20"/>
        </w:rPr>
        <w:t xml:space="preserve"> must be closely monitored and relevant actions set and implemented to bring the measure back within the green</w:t>
      </w:r>
      <w:r w:rsidRPr="00107197">
        <w:rPr>
          <w:rFonts w:ascii="Arial" w:hAnsi="Arial" w:cs="Arial"/>
          <w:spacing w:val="-6"/>
          <w:sz w:val="20"/>
          <w:szCs w:val="20"/>
        </w:rPr>
        <w:t xml:space="preserve"> </w:t>
      </w:r>
      <w:r w:rsidRPr="00107197">
        <w:rPr>
          <w:rFonts w:ascii="Arial" w:hAnsi="Arial" w:cs="Arial"/>
          <w:sz w:val="20"/>
          <w:szCs w:val="20"/>
        </w:rPr>
        <w:t>tolerance.</w:t>
      </w:r>
    </w:p>
    <w:p w14:paraId="37891441" w14:textId="77777777" w:rsidR="002D6804" w:rsidRPr="00107197" w:rsidRDefault="002D6804" w:rsidP="002A3889">
      <w:pPr>
        <w:pStyle w:val="ListParagraph"/>
        <w:widowControl w:val="0"/>
        <w:numPr>
          <w:ilvl w:val="1"/>
          <w:numId w:val="460"/>
        </w:numPr>
        <w:tabs>
          <w:tab w:val="left" w:pos="1059"/>
        </w:tabs>
        <w:autoSpaceDE w:val="0"/>
        <w:autoSpaceDN w:val="0"/>
        <w:spacing w:before="118" w:after="0" w:line="240" w:lineRule="auto"/>
        <w:ind w:left="1058" w:right="287"/>
        <w:contextualSpacing w:val="0"/>
        <w:jc w:val="both"/>
        <w:rPr>
          <w:rFonts w:ascii="Arial" w:hAnsi="Arial" w:cs="Arial"/>
          <w:sz w:val="20"/>
          <w:szCs w:val="20"/>
        </w:rPr>
      </w:pPr>
      <w:r w:rsidRPr="00107197">
        <w:rPr>
          <w:rFonts w:ascii="Arial" w:hAnsi="Arial" w:cs="Arial"/>
          <w:sz w:val="20"/>
          <w:szCs w:val="20"/>
        </w:rPr>
        <w:t xml:space="preserve">Red – outside risk appetite; the </w:t>
      </w:r>
      <w:proofErr w:type="gramStart"/>
      <w:r w:rsidRPr="00107197">
        <w:rPr>
          <w:rFonts w:ascii="Arial" w:hAnsi="Arial" w:cs="Arial"/>
          <w:sz w:val="20"/>
          <w:szCs w:val="20"/>
        </w:rPr>
        <w:t>Indicator</w:t>
      </w:r>
      <w:proofErr w:type="gramEnd"/>
      <w:r w:rsidRPr="00107197">
        <w:rPr>
          <w:rFonts w:ascii="Arial" w:hAnsi="Arial" w:cs="Arial"/>
          <w:sz w:val="20"/>
          <w:szCs w:val="20"/>
        </w:rPr>
        <w:t xml:space="preserve"> must be escalated to the CEO &amp; Senior Staff Group where appropriate management actions are to be set and implemented to bring the measure back within</w:t>
      </w:r>
      <w:r w:rsidRPr="00107197">
        <w:rPr>
          <w:rFonts w:ascii="Arial" w:hAnsi="Arial" w:cs="Arial"/>
          <w:spacing w:val="-2"/>
          <w:sz w:val="20"/>
          <w:szCs w:val="20"/>
        </w:rPr>
        <w:t xml:space="preserve"> </w:t>
      </w:r>
      <w:r w:rsidRPr="00107197">
        <w:rPr>
          <w:rFonts w:ascii="Arial" w:hAnsi="Arial" w:cs="Arial"/>
          <w:sz w:val="20"/>
          <w:szCs w:val="20"/>
        </w:rPr>
        <w:t>appetite.</w:t>
      </w:r>
    </w:p>
    <w:p w14:paraId="20DADA55" w14:textId="77777777" w:rsidR="002D6804" w:rsidRPr="00107197" w:rsidRDefault="002D6804" w:rsidP="002D6804">
      <w:pPr>
        <w:pStyle w:val="BodyText"/>
        <w:spacing w:before="5"/>
        <w:rPr>
          <w:rFonts w:cs="Arial"/>
          <w:sz w:val="20"/>
        </w:rPr>
      </w:pPr>
    </w:p>
    <w:p w14:paraId="06F6A4C2" w14:textId="77777777" w:rsidR="002D6804" w:rsidRPr="00107197" w:rsidRDefault="002D6804" w:rsidP="00107197">
      <w:pPr>
        <w:pStyle w:val="Heading3"/>
        <w:ind w:left="284"/>
        <w:rPr>
          <w:rFonts w:ascii="Arial" w:hAnsi="Arial" w:cs="Arial"/>
          <w:b/>
          <w:bCs/>
          <w:sz w:val="22"/>
          <w:szCs w:val="22"/>
        </w:rPr>
      </w:pPr>
      <w:r w:rsidRPr="00107197">
        <w:rPr>
          <w:rFonts w:ascii="Arial" w:hAnsi="Arial" w:cs="Arial"/>
          <w:b/>
          <w:bCs/>
          <w:color w:val="00ACB8"/>
          <w:sz w:val="22"/>
          <w:szCs w:val="22"/>
        </w:rPr>
        <w:t>Monitor &amp; Review</w:t>
      </w:r>
    </w:p>
    <w:p w14:paraId="3F1B4A98" w14:textId="77777777" w:rsidR="002D6804" w:rsidRPr="00107197" w:rsidRDefault="002D6804" w:rsidP="002D6804">
      <w:pPr>
        <w:pStyle w:val="BodyText"/>
        <w:spacing w:before="57"/>
        <w:ind w:left="338"/>
        <w:rPr>
          <w:rFonts w:cs="Arial"/>
          <w:sz w:val="20"/>
        </w:rPr>
      </w:pPr>
      <w:r w:rsidRPr="00107197">
        <w:rPr>
          <w:rFonts w:cs="Arial"/>
          <w:sz w:val="20"/>
        </w:rPr>
        <w:t>All active Indicators are updated as per their stated frequency of the data source.</w:t>
      </w:r>
    </w:p>
    <w:p w14:paraId="150971D4" w14:textId="77777777" w:rsidR="002D6804" w:rsidRPr="00107197" w:rsidRDefault="002D6804" w:rsidP="002D6804">
      <w:pPr>
        <w:pStyle w:val="BodyText"/>
        <w:spacing w:before="10"/>
        <w:rPr>
          <w:rFonts w:cs="Arial"/>
          <w:sz w:val="20"/>
        </w:rPr>
      </w:pPr>
    </w:p>
    <w:p w14:paraId="266085DE" w14:textId="77777777" w:rsidR="002D6804" w:rsidRPr="00107197" w:rsidRDefault="002D6804" w:rsidP="002D6804">
      <w:pPr>
        <w:pStyle w:val="BodyText"/>
        <w:spacing w:before="1"/>
        <w:ind w:left="338" w:right="288"/>
        <w:jc w:val="both"/>
        <w:rPr>
          <w:rFonts w:cs="Arial"/>
          <w:sz w:val="20"/>
        </w:rPr>
      </w:pPr>
      <w:r w:rsidRPr="00107197">
        <w:rPr>
          <w:rFonts w:cs="Arial"/>
          <w:sz w:val="20"/>
        </w:rPr>
        <w:t xml:space="preserve">When monitoring and reviewing Indicators, the overall trend should be considered over a longer timeframe than individual data movements. The trend of the </w:t>
      </w:r>
      <w:proofErr w:type="gramStart"/>
      <w:r w:rsidRPr="00107197">
        <w:rPr>
          <w:rFonts w:cs="Arial"/>
          <w:sz w:val="20"/>
        </w:rPr>
        <w:t>Indicators</w:t>
      </w:r>
      <w:proofErr w:type="gramEnd"/>
      <w:r w:rsidRPr="00107197">
        <w:rPr>
          <w:rFonts w:cs="Arial"/>
          <w:sz w:val="20"/>
        </w:rPr>
        <w:t xml:space="preserve"> is specifically used as an input to the risk and control</w:t>
      </w:r>
      <w:r w:rsidRPr="00107197">
        <w:rPr>
          <w:rFonts w:cs="Arial"/>
          <w:spacing w:val="-6"/>
          <w:sz w:val="20"/>
        </w:rPr>
        <w:t xml:space="preserve"> </w:t>
      </w:r>
      <w:r w:rsidRPr="00107197">
        <w:rPr>
          <w:rFonts w:cs="Arial"/>
          <w:sz w:val="20"/>
        </w:rPr>
        <w:t>assessment.</w:t>
      </w:r>
    </w:p>
    <w:p w14:paraId="5FFC63CC" w14:textId="77777777" w:rsidR="002D6804" w:rsidRDefault="002D6804" w:rsidP="002D6804">
      <w:pPr>
        <w:jc w:val="both"/>
        <w:sectPr w:rsidR="002D6804">
          <w:pgSz w:w="11910" w:h="16840"/>
          <w:pgMar w:top="1600" w:right="840" w:bottom="1140" w:left="1080" w:header="0" w:footer="955" w:gutter="0"/>
          <w:cols w:space="720"/>
        </w:sectPr>
      </w:pPr>
    </w:p>
    <w:p w14:paraId="708D7441" w14:textId="77777777" w:rsidR="002D6804" w:rsidRDefault="002D6804" w:rsidP="002D6804">
      <w:pPr>
        <w:pStyle w:val="BodyText"/>
        <w:spacing w:before="5"/>
        <w:rPr>
          <w:sz w:val="25"/>
        </w:rPr>
      </w:pPr>
    </w:p>
    <w:p w14:paraId="7DB1D812" w14:textId="77777777" w:rsidR="002D6804" w:rsidRPr="00A35BE7" w:rsidRDefault="002D6804" w:rsidP="00107197">
      <w:pPr>
        <w:pStyle w:val="Heading2"/>
        <w:ind w:left="284"/>
        <w:jc w:val="both"/>
        <w:rPr>
          <w:rFonts w:ascii="Arial" w:hAnsi="Arial" w:cs="Arial"/>
          <w:sz w:val="24"/>
          <w:szCs w:val="24"/>
        </w:rPr>
      </w:pPr>
      <w:r w:rsidRPr="00A35BE7">
        <w:rPr>
          <w:rFonts w:ascii="Arial" w:hAnsi="Arial" w:cs="Arial"/>
          <w:color w:val="006F65"/>
          <w:sz w:val="24"/>
          <w:szCs w:val="24"/>
        </w:rPr>
        <w:t>Risk Acceptance</w:t>
      </w:r>
    </w:p>
    <w:p w14:paraId="2ABB317D" w14:textId="77777777" w:rsidR="002D6804" w:rsidRPr="00A35BE7" w:rsidRDefault="002D6804" w:rsidP="002D6804">
      <w:pPr>
        <w:pStyle w:val="BodyText"/>
        <w:spacing w:before="118"/>
        <w:ind w:left="338" w:right="288"/>
        <w:jc w:val="both"/>
        <w:rPr>
          <w:rFonts w:cs="Arial"/>
          <w:sz w:val="20"/>
        </w:rPr>
      </w:pPr>
      <w:r w:rsidRPr="00A35BE7">
        <w:rPr>
          <w:rFonts w:cs="Arial"/>
          <w:sz w:val="20"/>
        </w:rPr>
        <w:t>Day-to-day operational management decisions are generally managed under the delegated authority framework of the Town.</w:t>
      </w:r>
    </w:p>
    <w:p w14:paraId="6A664121" w14:textId="77777777" w:rsidR="002D6804" w:rsidRPr="00A35BE7" w:rsidRDefault="002D6804" w:rsidP="002D6804">
      <w:pPr>
        <w:pStyle w:val="BodyText"/>
        <w:spacing w:before="11"/>
        <w:rPr>
          <w:rFonts w:cs="Arial"/>
          <w:sz w:val="20"/>
        </w:rPr>
      </w:pPr>
    </w:p>
    <w:p w14:paraId="6FDD7C15" w14:textId="77777777" w:rsidR="002D6804" w:rsidRPr="00A35BE7" w:rsidRDefault="002D6804" w:rsidP="002D6804">
      <w:pPr>
        <w:pStyle w:val="BodyText"/>
        <w:ind w:left="338" w:right="288"/>
        <w:jc w:val="both"/>
        <w:rPr>
          <w:rFonts w:cs="Arial"/>
          <w:sz w:val="20"/>
        </w:rPr>
      </w:pPr>
      <w:r w:rsidRPr="00A35BE7">
        <w:rPr>
          <w:rFonts w:cs="Arial"/>
          <w:sz w:val="20"/>
        </w:rPr>
        <w:t xml:space="preserve">Risk Acceptance outside of the appetite framework is a management decision to accept, within authority levels, material risks which will remain outside appetite framework (refer Appendix A – Risk Assessment &amp; Acceptance Criteria) for an extended </w:t>
      </w:r>
      <w:proofErr w:type="gramStart"/>
      <w:r w:rsidRPr="00A35BE7">
        <w:rPr>
          <w:rFonts w:cs="Arial"/>
          <w:sz w:val="20"/>
        </w:rPr>
        <w:t>period of time</w:t>
      </w:r>
      <w:proofErr w:type="gramEnd"/>
      <w:r w:rsidRPr="00A35BE7">
        <w:rPr>
          <w:rFonts w:cs="Arial"/>
          <w:sz w:val="20"/>
        </w:rPr>
        <w:t xml:space="preserve"> (generally 3 months or</w:t>
      </w:r>
      <w:r w:rsidRPr="00A35BE7">
        <w:rPr>
          <w:rFonts w:cs="Arial"/>
          <w:spacing w:val="-25"/>
          <w:sz w:val="20"/>
        </w:rPr>
        <w:t xml:space="preserve"> </w:t>
      </w:r>
      <w:r w:rsidRPr="00A35BE7">
        <w:rPr>
          <w:rFonts w:cs="Arial"/>
          <w:sz w:val="20"/>
        </w:rPr>
        <w:t>longer).</w:t>
      </w:r>
    </w:p>
    <w:p w14:paraId="1EEE1D74" w14:textId="77777777" w:rsidR="002D6804" w:rsidRPr="00A35BE7" w:rsidRDefault="002D6804" w:rsidP="002D6804">
      <w:pPr>
        <w:pStyle w:val="BodyText"/>
        <w:spacing w:before="10"/>
        <w:rPr>
          <w:rFonts w:cs="Arial"/>
          <w:sz w:val="20"/>
        </w:rPr>
      </w:pPr>
    </w:p>
    <w:p w14:paraId="2FECAD4E" w14:textId="77777777" w:rsidR="002D6804" w:rsidRPr="00A35BE7" w:rsidRDefault="002D6804" w:rsidP="002D6804">
      <w:pPr>
        <w:pStyle w:val="BodyText"/>
        <w:ind w:left="338" w:right="291"/>
        <w:jc w:val="both"/>
        <w:rPr>
          <w:rFonts w:cs="Arial"/>
          <w:sz w:val="20"/>
        </w:rPr>
      </w:pPr>
      <w:r w:rsidRPr="00A35BE7">
        <w:rPr>
          <w:rFonts w:cs="Arial"/>
          <w:sz w:val="20"/>
        </w:rPr>
        <w:t xml:space="preserve">The following process is designed to provide a framework for </w:t>
      </w:r>
      <w:proofErr w:type="gramStart"/>
      <w:r w:rsidRPr="00A35BE7">
        <w:rPr>
          <w:rFonts w:cs="Arial"/>
          <w:sz w:val="20"/>
        </w:rPr>
        <w:t>those outside appetite framework</w:t>
      </w:r>
      <w:proofErr w:type="gramEnd"/>
      <w:r w:rsidRPr="00A35BE7">
        <w:rPr>
          <w:rFonts w:cs="Arial"/>
          <w:sz w:val="20"/>
        </w:rPr>
        <w:t xml:space="preserve"> identified risks.</w:t>
      </w:r>
    </w:p>
    <w:p w14:paraId="25C14BB9" w14:textId="77777777" w:rsidR="002D6804" w:rsidRPr="00A35BE7" w:rsidRDefault="002D6804" w:rsidP="002D6804">
      <w:pPr>
        <w:pStyle w:val="BodyText"/>
        <w:spacing w:before="9"/>
        <w:rPr>
          <w:rFonts w:cs="Arial"/>
          <w:sz w:val="20"/>
        </w:rPr>
      </w:pPr>
    </w:p>
    <w:p w14:paraId="0382CF81" w14:textId="77777777" w:rsidR="002D6804" w:rsidRPr="00A35BE7" w:rsidRDefault="002D6804" w:rsidP="002D6804">
      <w:pPr>
        <w:pStyle w:val="BodyText"/>
        <w:ind w:left="338"/>
        <w:rPr>
          <w:rFonts w:cs="Arial"/>
          <w:sz w:val="20"/>
        </w:rPr>
      </w:pPr>
      <w:r w:rsidRPr="00A35BE7">
        <w:rPr>
          <w:rFonts w:cs="Arial"/>
          <w:sz w:val="20"/>
        </w:rPr>
        <w:t>The ‘Risk Acceptance’ must be in writing, signed by the relevant Manager and cover:</w:t>
      </w:r>
    </w:p>
    <w:p w14:paraId="4C5F2C6E" w14:textId="77777777" w:rsidR="002D6804" w:rsidRPr="00A35BE7" w:rsidRDefault="002D6804" w:rsidP="002A3889">
      <w:pPr>
        <w:pStyle w:val="ListParagraph"/>
        <w:widowControl w:val="0"/>
        <w:numPr>
          <w:ilvl w:val="1"/>
          <w:numId w:val="460"/>
        </w:numPr>
        <w:tabs>
          <w:tab w:val="left" w:pos="1058"/>
          <w:tab w:val="left" w:pos="1059"/>
        </w:tabs>
        <w:autoSpaceDE w:val="0"/>
        <w:autoSpaceDN w:val="0"/>
        <w:spacing w:before="121" w:after="0" w:line="240" w:lineRule="auto"/>
        <w:ind w:left="1058" w:hanging="361"/>
        <w:contextualSpacing w:val="0"/>
        <w:rPr>
          <w:rFonts w:ascii="Arial" w:hAnsi="Arial" w:cs="Arial"/>
          <w:sz w:val="20"/>
          <w:szCs w:val="20"/>
        </w:rPr>
      </w:pPr>
      <w:r w:rsidRPr="00A35BE7">
        <w:rPr>
          <w:rFonts w:ascii="Arial" w:hAnsi="Arial" w:cs="Arial"/>
          <w:sz w:val="20"/>
          <w:szCs w:val="20"/>
        </w:rPr>
        <w:t>A description of the</w:t>
      </w:r>
      <w:r w:rsidRPr="00A35BE7">
        <w:rPr>
          <w:rFonts w:ascii="Arial" w:hAnsi="Arial" w:cs="Arial"/>
          <w:spacing w:val="-5"/>
          <w:sz w:val="20"/>
          <w:szCs w:val="20"/>
        </w:rPr>
        <w:t xml:space="preserve"> </w:t>
      </w:r>
      <w:r w:rsidRPr="00A35BE7">
        <w:rPr>
          <w:rFonts w:ascii="Arial" w:hAnsi="Arial" w:cs="Arial"/>
          <w:sz w:val="20"/>
          <w:szCs w:val="20"/>
        </w:rPr>
        <w:t>risk.</w:t>
      </w:r>
    </w:p>
    <w:p w14:paraId="7A384403" w14:textId="77777777" w:rsidR="002D6804" w:rsidRPr="00A35BE7" w:rsidRDefault="002D6804" w:rsidP="002A3889">
      <w:pPr>
        <w:pStyle w:val="ListParagraph"/>
        <w:widowControl w:val="0"/>
        <w:numPr>
          <w:ilvl w:val="1"/>
          <w:numId w:val="460"/>
        </w:numPr>
        <w:tabs>
          <w:tab w:val="left" w:pos="1058"/>
          <w:tab w:val="left" w:pos="1059"/>
        </w:tabs>
        <w:autoSpaceDE w:val="0"/>
        <w:autoSpaceDN w:val="0"/>
        <w:spacing w:before="120" w:after="0" w:line="237" w:lineRule="auto"/>
        <w:ind w:left="1058" w:right="289"/>
        <w:contextualSpacing w:val="0"/>
        <w:rPr>
          <w:rFonts w:ascii="Arial" w:hAnsi="Arial" w:cs="Arial"/>
          <w:sz w:val="20"/>
          <w:szCs w:val="20"/>
        </w:rPr>
      </w:pPr>
      <w:r w:rsidRPr="00A35BE7">
        <w:rPr>
          <w:rFonts w:ascii="Arial" w:hAnsi="Arial" w:cs="Arial"/>
          <w:sz w:val="20"/>
          <w:szCs w:val="20"/>
        </w:rPr>
        <w:t>An assessment of the risk (e.g. Impact consequence, materiality, likelihood, working assumptions etc)</w:t>
      </w:r>
    </w:p>
    <w:p w14:paraId="5B960EF0" w14:textId="77777777" w:rsidR="002D6804" w:rsidRPr="00A35BE7" w:rsidRDefault="002D6804" w:rsidP="002A3889">
      <w:pPr>
        <w:pStyle w:val="ListParagraph"/>
        <w:widowControl w:val="0"/>
        <w:numPr>
          <w:ilvl w:val="1"/>
          <w:numId w:val="460"/>
        </w:numPr>
        <w:tabs>
          <w:tab w:val="left" w:pos="1058"/>
          <w:tab w:val="left" w:pos="1059"/>
        </w:tabs>
        <w:autoSpaceDE w:val="0"/>
        <w:autoSpaceDN w:val="0"/>
        <w:spacing w:before="121" w:after="0" w:line="240" w:lineRule="auto"/>
        <w:ind w:left="1058" w:hanging="361"/>
        <w:contextualSpacing w:val="0"/>
        <w:rPr>
          <w:rFonts w:ascii="Arial" w:hAnsi="Arial" w:cs="Arial"/>
          <w:sz w:val="20"/>
          <w:szCs w:val="20"/>
        </w:rPr>
      </w:pPr>
      <w:r w:rsidRPr="00A35BE7">
        <w:rPr>
          <w:rFonts w:ascii="Arial" w:hAnsi="Arial" w:cs="Arial"/>
          <w:sz w:val="20"/>
          <w:szCs w:val="20"/>
        </w:rPr>
        <w:t>Details of any mitigating action plans or treatment options in</w:t>
      </w:r>
      <w:r w:rsidRPr="00A35BE7">
        <w:rPr>
          <w:rFonts w:ascii="Arial" w:hAnsi="Arial" w:cs="Arial"/>
          <w:spacing w:val="-8"/>
          <w:sz w:val="20"/>
          <w:szCs w:val="20"/>
        </w:rPr>
        <w:t xml:space="preserve"> </w:t>
      </w:r>
      <w:r w:rsidRPr="00A35BE7">
        <w:rPr>
          <w:rFonts w:ascii="Arial" w:hAnsi="Arial" w:cs="Arial"/>
          <w:sz w:val="20"/>
          <w:szCs w:val="20"/>
        </w:rPr>
        <w:t>place</w:t>
      </w:r>
    </w:p>
    <w:p w14:paraId="26C8041A" w14:textId="77777777" w:rsidR="002D6804" w:rsidRPr="00A35BE7" w:rsidRDefault="002D6804" w:rsidP="002A3889">
      <w:pPr>
        <w:pStyle w:val="ListParagraph"/>
        <w:widowControl w:val="0"/>
        <w:numPr>
          <w:ilvl w:val="1"/>
          <w:numId w:val="460"/>
        </w:numPr>
        <w:tabs>
          <w:tab w:val="left" w:pos="1058"/>
          <w:tab w:val="left" w:pos="1059"/>
        </w:tabs>
        <w:autoSpaceDE w:val="0"/>
        <w:autoSpaceDN w:val="0"/>
        <w:spacing w:before="118" w:after="0" w:line="240" w:lineRule="auto"/>
        <w:ind w:left="1058" w:hanging="361"/>
        <w:contextualSpacing w:val="0"/>
        <w:rPr>
          <w:rFonts w:ascii="Arial" w:hAnsi="Arial" w:cs="Arial"/>
          <w:sz w:val="20"/>
          <w:szCs w:val="20"/>
        </w:rPr>
      </w:pPr>
      <w:r w:rsidRPr="00A35BE7">
        <w:rPr>
          <w:rFonts w:ascii="Arial" w:hAnsi="Arial" w:cs="Arial"/>
          <w:sz w:val="20"/>
          <w:szCs w:val="20"/>
        </w:rPr>
        <w:t>An estimate of the expected remediation</w:t>
      </w:r>
      <w:r w:rsidRPr="00A35BE7">
        <w:rPr>
          <w:rFonts w:ascii="Arial" w:hAnsi="Arial" w:cs="Arial"/>
          <w:spacing w:val="-7"/>
          <w:sz w:val="20"/>
          <w:szCs w:val="20"/>
        </w:rPr>
        <w:t xml:space="preserve"> </w:t>
      </w:r>
      <w:r w:rsidRPr="00A35BE7">
        <w:rPr>
          <w:rFonts w:ascii="Arial" w:hAnsi="Arial" w:cs="Arial"/>
          <w:sz w:val="20"/>
          <w:szCs w:val="20"/>
        </w:rPr>
        <w:t>date.</w:t>
      </w:r>
    </w:p>
    <w:p w14:paraId="62521709" w14:textId="77777777" w:rsidR="002D6804" w:rsidRPr="00A35BE7" w:rsidRDefault="002D6804" w:rsidP="002D6804">
      <w:pPr>
        <w:pStyle w:val="BodyText"/>
        <w:spacing w:before="9"/>
        <w:rPr>
          <w:rFonts w:cs="Arial"/>
          <w:sz w:val="20"/>
        </w:rPr>
      </w:pPr>
    </w:p>
    <w:p w14:paraId="024A99F4" w14:textId="77777777" w:rsidR="002D6804" w:rsidRPr="00A35BE7" w:rsidRDefault="002D6804" w:rsidP="002D6804">
      <w:pPr>
        <w:pStyle w:val="BodyText"/>
        <w:ind w:left="338" w:right="649"/>
        <w:rPr>
          <w:rFonts w:cs="Arial"/>
          <w:sz w:val="20"/>
        </w:rPr>
      </w:pPr>
      <w:r w:rsidRPr="00A35BE7">
        <w:rPr>
          <w:rFonts w:cs="Arial"/>
          <w:sz w:val="20"/>
        </w:rPr>
        <w:t xml:space="preserve">Reasonable action should be taken to mitigate the risk. A lack of budget to remediate a material risk outside of appetite is not sufficient justification </w:t>
      </w:r>
      <w:proofErr w:type="gramStart"/>
      <w:r w:rsidRPr="00A35BE7">
        <w:rPr>
          <w:rFonts w:cs="Arial"/>
          <w:sz w:val="20"/>
        </w:rPr>
        <w:t>in itself to</w:t>
      </w:r>
      <w:proofErr w:type="gramEnd"/>
      <w:r w:rsidRPr="00A35BE7">
        <w:rPr>
          <w:rFonts w:cs="Arial"/>
          <w:sz w:val="20"/>
        </w:rPr>
        <w:t xml:space="preserve"> accept a risk.</w:t>
      </w:r>
    </w:p>
    <w:p w14:paraId="0300C56A" w14:textId="77777777" w:rsidR="002D6804" w:rsidRPr="00A35BE7" w:rsidRDefault="002D6804" w:rsidP="002D6804">
      <w:pPr>
        <w:pStyle w:val="BodyText"/>
        <w:spacing w:before="9"/>
        <w:rPr>
          <w:rFonts w:cs="Arial"/>
          <w:sz w:val="20"/>
        </w:rPr>
      </w:pPr>
    </w:p>
    <w:p w14:paraId="4FA22796" w14:textId="77777777" w:rsidR="002D6804" w:rsidRPr="00A35BE7" w:rsidRDefault="002D6804" w:rsidP="002D6804">
      <w:pPr>
        <w:pStyle w:val="BodyText"/>
        <w:spacing w:before="1"/>
        <w:ind w:left="338" w:right="233"/>
        <w:rPr>
          <w:rFonts w:cs="Arial"/>
          <w:sz w:val="20"/>
        </w:rPr>
      </w:pPr>
      <w:r w:rsidRPr="00A35BE7">
        <w:rPr>
          <w:rFonts w:cs="Arial"/>
          <w:sz w:val="20"/>
        </w:rPr>
        <w:t>Accepted risks must be continually reviewed through standard operating reporting structure (i.e. Senior Staff Group)</w:t>
      </w:r>
    </w:p>
    <w:p w14:paraId="1AD5792F" w14:textId="77777777" w:rsidR="002D6804" w:rsidRDefault="002D6804" w:rsidP="002D6804">
      <w:pPr>
        <w:sectPr w:rsidR="002D6804">
          <w:pgSz w:w="11910" w:h="16840"/>
          <w:pgMar w:top="1600" w:right="840" w:bottom="1140" w:left="1080" w:header="0" w:footer="955" w:gutter="0"/>
          <w:cols w:space="720"/>
        </w:sectPr>
      </w:pPr>
    </w:p>
    <w:p w14:paraId="0A96CE27" w14:textId="77777777" w:rsidR="002D6804" w:rsidRDefault="002D6804" w:rsidP="002D6804">
      <w:pPr>
        <w:pStyle w:val="BodyText"/>
        <w:ind w:left="13743"/>
      </w:pPr>
      <w:r>
        <w:rPr>
          <w:noProof/>
        </w:rPr>
        <w:lastRenderedPageBreak/>
        <w:drawing>
          <wp:anchor distT="0" distB="0" distL="0" distR="0" simplePos="0" relativeHeight="251692032" behindDoc="0" locked="0" layoutInCell="1" allowOverlap="1" wp14:anchorId="2B472EF0" wp14:editId="64E076FD">
            <wp:simplePos x="0" y="0"/>
            <wp:positionH relativeFrom="page">
              <wp:posOffset>1409</wp:posOffset>
            </wp:positionH>
            <wp:positionV relativeFrom="page">
              <wp:posOffset>7135368</wp:posOffset>
            </wp:positionV>
            <wp:extent cx="10691622" cy="97535"/>
            <wp:effectExtent l="0" t="0" r="0" b="0"/>
            <wp:wrapNone/>
            <wp:docPr id="432"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6.png"/>
                    <pic:cNvPicPr/>
                  </pic:nvPicPr>
                  <pic:blipFill>
                    <a:blip r:embed="rId116" cstate="print"/>
                    <a:stretch>
                      <a:fillRect/>
                    </a:stretch>
                  </pic:blipFill>
                  <pic:spPr>
                    <a:xfrm>
                      <a:off x="0" y="0"/>
                      <a:ext cx="10691622" cy="97535"/>
                    </a:xfrm>
                    <a:prstGeom prst="rect">
                      <a:avLst/>
                    </a:prstGeom>
                  </pic:spPr>
                </pic:pic>
              </a:graphicData>
            </a:graphic>
          </wp:anchor>
        </w:drawing>
      </w:r>
      <w:r>
        <w:rPr>
          <w:noProof/>
        </w:rPr>
        <w:drawing>
          <wp:inline distT="0" distB="0" distL="0" distR="0" wp14:anchorId="1241C4E5" wp14:editId="002B37C6">
            <wp:extent cx="1299210" cy="710946"/>
            <wp:effectExtent l="0" t="0" r="0" b="0"/>
            <wp:docPr id="43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7.png"/>
                    <pic:cNvPicPr/>
                  </pic:nvPicPr>
                  <pic:blipFill>
                    <a:blip r:embed="rId117" cstate="print"/>
                    <a:stretch>
                      <a:fillRect/>
                    </a:stretch>
                  </pic:blipFill>
                  <pic:spPr>
                    <a:xfrm>
                      <a:off x="0" y="0"/>
                      <a:ext cx="1299210" cy="710946"/>
                    </a:xfrm>
                    <a:prstGeom prst="rect">
                      <a:avLst/>
                    </a:prstGeom>
                  </pic:spPr>
                </pic:pic>
              </a:graphicData>
            </a:graphic>
          </wp:inline>
        </w:drawing>
      </w:r>
    </w:p>
    <w:p w14:paraId="566F6BFC" w14:textId="77777777" w:rsidR="002D6804" w:rsidRDefault="002D6804" w:rsidP="002D6804">
      <w:pPr>
        <w:pStyle w:val="Heading1"/>
        <w:ind w:left="535"/>
      </w:pPr>
      <w:r>
        <w:rPr>
          <w:color w:val="00ACB8"/>
        </w:rPr>
        <w:t>Appendix A – Risk Assessment and Acceptance Criteria</w:t>
      </w:r>
    </w:p>
    <w:p w14:paraId="0B8E76C5" w14:textId="77777777" w:rsidR="002D6804" w:rsidRDefault="002D6804" w:rsidP="002D6804">
      <w:pPr>
        <w:pStyle w:val="BodyText"/>
        <w:spacing w:before="6"/>
        <w:rPr>
          <w:b/>
          <w:sz w:val="28"/>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3"/>
        <w:gridCol w:w="1560"/>
        <w:gridCol w:w="1560"/>
        <w:gridCol w:w="1559"/>
        <w:gridCol w:w="2269"/>
        <w:gridCol w:w="1901"/>
        <w:gridCol w:w="2152"/>
        <w:gridCol w:w="2268"/>
        <w:gridCol w:w="1459"/>
        <w:gridCol w:w="441"/>
      </w:tblGrid>
      <w:tr w:rsidR="002D6804" w14:paraId="1360827B" w14:textId="77777777" w:rsidTr="002D6804">
        <w:trPr>
          <w:trHeight w:val="396"/>
        </w:trPr>
        <w:tc>
          <w:tcPr>
            <w:tcW w:w="15161" w:type="dxa"/>
            <w:gridSpan w:val="9"/>
            <w:shd w:val="clear" w:color="auto" w:fill="00ACB8"/>
          </w:tcPr>
          <w:p w14:paraId="736F1D55" w14:textId="77777777" w:rsidR="002D6804" w:rsidRDefault="002D6804" w:rsidP="002D6804">
            <w:pPr>
              <w:pStyle w:val="TableParagraph"/>
              <w:spacing w:before="59"/>
              <w:ind w:left="4653" w:right="4643"/>
              <w:jc w:val="center"/>
              <w:rPr>
                <w:b/>
                <w:sz w:val="24"/>
              </w:rPr>
            </w:pPr>
            <w:r>
              <w:rPr>
                <w:b/>
                <w:color w:val="FFFFFF"/>
                <w:sz w:val="24"/>
              </w:rPr>
              <w:t>Town of East Fremantle Measures of Consequence</w:t>
            </w:r>
          </w:p>
        </w:tc>
        <w:tc>
          <w:tcPr>
            <w:tcW w:w="441" w:type="dxa"/>
            <w:tcBorders>
              <w:top w:val="nil"/>
              <w:right w:val="nil"/>
            </w:tcBorders>
          </w:tcPr>
          <w:p w14:paraId="08C547CF" w14:textId="77777777" w:rsidR="002D6804" w:rsidRDefault="002D6804" w:rsidP="002D6804">
            <w:pPr>
              <w:pStyle w:val="TableParagraph"/>
              <w:rPr>
                <w:rFonts w:ascii="Times New Roman"/>
                <w:sz w:val="20"/>
              </w:rPr>
            </w:pPr>
          </w:p>
        </w:tc>
      </w:tr>
      <w:tr w:rsidR="002D6804" w14:paraId="3130BBA2" w14:textId="77777777" w:rsidTr="002D6804">
        <w:trPr>
          <w:trHeight w:val="699"/>
        </w:trPr>
        <w:tc>
          <w:tcPr>
            <w:tcW w:w="433" w:type="dxa"/>
            <w:vMerge w:val="restart"/>
            <w:tcBorders>
              <w:left w:val="nil"/>
              <w:bottom w:val="nil"/>
            </w:tcBorders>
          </w:tcPr>
          <w:p w14:paraId="787A5796" w14:textId="77777777" w:rsidR="002D6804" w:rsidRDefault="002D6804" w:rsidP="002D6804">
            <w:pPr>
              <w:pStyle w:val="TableParagraph"/>
              <w:rPr>
                <w:rFonts w:ascii="Times New Roman"/>
                <w:sz w:val="20"/>
              </w:rPr>
            </w:pPr>
          </w:p>
        </w:tc>
        <w:tc>
          <w:tcPr>
            <w:tcW w:w="1560" w:type="dxa"/>
            <w:shd w:val="clear" w:color="auto" w:fill="B3B3B3"/>
          </w:tcPr>
          <w:p w14:paraId="087F0A75" w14:textId="77777777" w:rsidR="002D6804" w:rsidRDefault="002D6804" w:rsidP="002D6804">
            <w:pPr>
              <w:pStyle w:val="TableParagraph"/>
              <w:spacing w:before="58"/>
              <w:ind w:left="470"/>
              <w:rPr>
                <w:b/>
                <w:sz w:val="20"/>
              </w:rPr>
            </w:pPr>
            <w:r>
              <w:rPr>
                <w:b/>
                <w:sz w:val="20"/>
              </w:rPr>
              <w:t>Rating</w:t>
            </w:r>
          </w:p>
          <w:p w14:paraId="0CC0F2D0" w14:textId="77777777" w:rsidR="002D6804" w:rsidRDefault="002D6804" w:rsidP="002D6804">
            <w:pPr>
              <w:pStyle w:val="TableParagraph"/>
              <w:spacing w:before="120"/>
              <w:ind w:left="458"/>
              <w:rPr>
                <w:b/>
                <w:sz w:val="20"/>
              </w:rPr>
            </w:pPr>
            <w:r>
              <w:rPr>
                <w:b/>
                <w:sz w:val="20"/>
              </w:rPr>
              <w:t>(Level)</w:t>
            </w:r>
          </w:p>
        </w:tc>
        <w:tc>
          <w:tcPr>
            <w:tcW w:w="1560" w:type="dxa"/>
            <w:shd w:val="clear" w:color="auto" w:fill="B3B3B3"/>
          </w:tcPr>
          <w:p w14:paraId="612FD3E7" w14:textId="77777777" w:rsidR="002D6804" w:rsidRDefault="002D6804" w:rsidP="002D6804">
            <w:pPr>
              <w:pStyle w:val="TableParagraph"/>
              <w:spacing w:before="3"/>
              <w:rPr>
                <w:b/>
                <w:sz w:val="20"/>
              </w:rPr>
            </w:pPr>
          </w:p>
          <w:p w14:paraId="02E1238E" w14:textId="77777777" w:rsidR="002D6804" w:rsidRDefault="002D6804" w:rsidP="002D6804">
            <w:pPr>
              <w:pStyle w:val="TableParagraph"/>
              <w:ind w:left="475"/>
              <w:rPr>
                <w:b/>
                <w:sz w:val="20"/>
              </w:rPr>
            </w:pPr>
            <w:r>
              <w:rPr>
                <w:b/>
                <w:sz w:val="20"/>
              </w:rPr>
              <w:t>Health</w:t>
            </w:r>
          </w:p>
        </w:tc>
        <w:tc>
          <w:tcPr>
            <w:tcW w:w="1559" w:type="dxa"/>
            <w:shd w:val="clear" w:color="auto" w:fill="B3B3B3"/>
          </w:tcPr>
          <w:p w14:paraId="121DC1E0" w14:textId="77777777" w:rsidR="002D6804" w:rsidRDefault="002D6804" w:rsidP="002D6804">
            <w:pPr>
              <w:pStyle w:val="TableParagraph"/>
              <w:spacing w:before="118"/>
              <w:ind w:left="457" w:right="317" w:hanging="112"/>
              <w:rPr>
                <w:b/>
                <w:sz w:val="20"/>
              </w:rPr>
            </w:pPr>
            <w:r>
              <w:rPr>
                <w:b/>
                <w:sz w:val="20"/>
              </w:rPr>
              <w:t>Financial Impact</w:t>
            </w:r>
          </w:p>
        </w:tc>
        <w:tc>
          <w:tcPr>
            <w:tcW w:w="2269" w:type="dxa"/>
            <w:shd w:val="clear" w:color="auto" w:fill="B3B3B3"/>
          </w:tcPr>
          <w:p w14:paraId="1AA36634" w14:textId="77777777" w:rsidR="002D6804" w:rsidRDefault="002D6804" w:rsidP="002D6804">
            <w:pPr>
              <w:pStyle w:val="TableParagraph"/>
              <w:spacing w:before="3"/>
              <w:rPr>
                <w:b/>
                <w:sz w:val="20"/>
              </w:rPr>
            </w:pPr>
          </w:p>
          <w:p w14:paraId="0994895F" w14:textId="77777777" w:rsidR="002D6804" w:rsidRDefault="002D6804" w:rsidP="002D6804">
            <w:pPr>
              <w:pStyle w:val="TableParagraph"/>
              <w:ind w:left="189"/>
              <w:rPr>
                <w:b/>
                <w:sz w:val="20"/>
              </w:rPr>
            </w:pPr>
            <w:r>
              <w:rPr>
                <w:b/>
                <w:sz w:val="20"/>
              </w:rPr>
              <w:t>Service Interruption</w:t>
            </w:r>
          </w:p>
        </w:tc>
        <w:tc>
          <w:tcPr>
            <w:tcW w:w="1901" w:type="dxa"/>
            <w:shd w:val="clear" w:color="auto" w:fill="B3B3B3"/>
          </w:tcPr>
          <w:p w14:paraId="2266C8FF" w14:textId="77777777" w:rsidR="002D6804" w:rsidRDefault="002D6804" w:rsidP="002D6804">
            <w:pPr>
              <w:pStyle w:val="TableParagraph"/>
              <w:spacing w:before="3"/>
              <w:rPr>
                <w:b/>
                <w:sz w:val="20"/>
              </w:rPr>
            </w:pPr>
          </w:p>
          <w:p w14:paraId="5C399D0D" w14:textId="77777777" w:rsidR="002D6804" w:rsidRDefault="002D6804" w:rsidP="002D6804">
            <w:pPr>
              <w:pStyle w:val="TableParagraph"/>
              <w:ind w:left="382"/>
              <w:rPr>
                <w:b/>
                <w:sz w:val="20"/>
              </w:rPr>
            </w:pPr>
            <w:r>
              <w:rPr>
                <w:b/>
                <w:sz w:val="20"/>
              </w:rPr>
              <w:t>Compliance</w:t>
            </w:r>
          </w:p>
        </w:tc>
        <w:tc>
          <w:tcPr>
            <w:tcW w:w="2152" w:type="dxa"/>
            <w:shd w:val="clear" w:color="auto" w:fill="B3B3B3"/>
          </w:tcPr>
          <w:p w14:paraId="294AE154" w14:textId="77777777" w:rsidR="002D6804" w:rsidRDefault="002D6804" w:rsidP="002D6804">
            <w:pPr>
              <w:pStyle w:val="TableParagraph"/>
              <w:spacing w:before="3"/>
              <w:rPr>
                <w:b/>
                <w:sz w:val="20"/>
              </w:rPr>
            </w:pPr>
          </w:p>
          <w:p w14:paraId="38B312AE" w14:textId="77777777" w:rsidR="002D6804" w:rsidRDefault="002D6804" w:rsidP="002D6804">
            <w:pPr>
              <w:pStyle w:val="TableParagraph"/>
              <w:ind w:left="470"/>
              <w:rPr>
                <w:b/>
                <w:sz w:val="20"/>
              </w:rPr>
            </w:pPr>
            <w:r>
              <w:rPr>
                <w:b/>
                <w:sz w:val="20"/>
              </w:rPr>
              <w:t>Reputational</w:t>
            </w:r>
          </w:p>
        </w:tc>
        <w:tc>
          <w:tcPr>
            <w:tcW w:w="2268" w:type="dxa"/>
            <w:shd w:val="clear" w:color="auto" w:fill="B3B3B3"/>
          </w:tcPr>
          <w:p w14:paraId="48E07BC5" w14:textId="77777777" w:rsidR="002D6804" w:rsidRDefault="002D6804" w:rsidP="002D6804">
            <w:pPr>
              <w:pStyle w:val="TableParagraph"/>
              <w:spacing w:before="3"/>
              <w:rPr>
                <w:b/>
                <w:sz w:val="20"/>
              </w:rPr>
            </w:pPr>
          </w:p>
          <w:p w14:paraId="66F9173F" w14:textId="77777777" w:rsidR="002D6804" w:rsidRDefault="002D6804" w:rsidP="002D6804">
            <w:pPr>
              <w:pStyle w:val="TableParagraph"/>
              <w:ind w:left="721"/>
              <w:rPr>
                <w:b/>
                <w:sz w:val="20"/>
              </w:rPr>
            </w:pPr>
            <w:r>
              <w:rPr>
                <w:b/>
                <w:sz w:val="20"/>
              </w:rPr>
              <w:t>Property</w:t>
            </w:r>
          </w:p>
        </w:tc>
        <w:tc>
          <w:tcPr>
            <w:tcW w:w="1900" w:type="dxa"/>
            <w:gridSpan w:val="2"/>
            <w:shd w:val="clear" w:color="auto" w:fill="B3B3B3"/>
          </w:tcPr>
          <w:p w14:paraId="7CFDAE30" w14:textId="77777777" w:rsidR="002D6804" w:rsidRDefault="002D6804" w:rsidP="002D6804">
            <w:pPr>
              <w:pStyle w:val="TableParagraph"/>
              <w:spacing w:before="3"/>
              <w:rPr>
                <w:b/>
                <w:sz w:val="20"/>
              </w:rPr>
            </w:pPr>
          </w:p>
          <w:p w14:paraId="2B1073A1" w14:textId="77777777" w:rsidR="002D6804" w:rsidRDefault="002D6804" w:rsidP="002D6804">
            <w:pPr>
              <w:pStyle w:val="TableParagraph"/>
              <w:ind w:left="337"/>
              <w:rPr>
                <w:b/>
                <w:sz w:val="20"/>
              </w:rPr>
            </w:pPr>
            <w:r>
              <w:rPr>
                <w:b/>
                <w:sz w:val="20"/>
              </w:rPr>
              <w:t>Environment</w:t>
            </w:r>
          </w:p>
        </w:tc>
      </w:tr>
      <w:tr w:rsidR="002D6804" w14:paraId="11DDC324" w14:textId="77777777" w:rsidTr="002D6804">
        <w:trPr>
          <w:trHeight w:val="1040"/>
        </w:trPr>
        <w:tc>
          <w:tcPr>
            <w:tcW w:w="433" w:type="dxa"/>
            <w:vMerge/>
            <w:tcBorders>
              <w:top w:val="nil"/>
              <w:left w:val="nil"/>
              <w:bottom w:val="nil"/>
            </w:tcBorders>
          </w:tcPr>
          <w:p w14:paraId="359B0F04" w14:textId="77777777" w:rsidR="002D6804" w:rsidRDefault="002D6804" w:rsidP="002D6804">
            <w:pPr>
              <w:rPr>
                <w:sz w:val="2"/>
                <w:szCs w:val="2"/>
              </w:rPr>
            </w:pPr>
          </w:p>
        </w:tc>
        <w:tc>
          <w:tcPr>
            <w:tcW w:w="1560" w:type="dxa"/>
            <w:shd w:val="clear" w:color="auto" w:fill="BFBFBF"/>
          </w:tcPr>
          <w:p w14:paraId="189BEC24" w14:textId="77777777" w:rsidR="002D6804" w:rsidRDefault="002D6804" w:rsidP="002D6804">
            <w:pPr>
              <w:pStyle w:val="TableParagraph"/>
              <w:spacing w:before="10"/>
              <w:rPr>
                <w:b/>
                <w:sz w:val="19"/>
              </w:rPr>
            </w:pPr>
          </w:p>
          <w:p w14:paraId="30BED2D5" w14:textId="77777777" w:rsidR="002D6804" w:rsidRDefault="002D6804" w:rsidP="002D6804">
            <w:pPr>
              <w:pStyle w:val="TableParagraph"/>
              <w:spacing w:line="364" w:lineRule="auto"/>
              <w:ind w:left="658" w:right="161" w:hanging="467"/>
              <w:rPr>
                <w:b/>
                <w:sz w:val="20"/>
              </w:rPr>
            </w:pPr>
            <w:r>
              <w:rPr>
                <w:b/>
                <w:sz w:val="20"/>
              </w:rPr>
              <w:t>Insignificant (1)</w:t>
            </w:r>
          </w:p>
        </w:tc>
        <w:tc>
          <w:tcPr>
            <w:tcW w:w="1560" w:type="dxa"/>
          </w:tcPr>
          <w:p w14:paraId="23AB003C" w14:textId="77777777" w:rsidR="002D6804" w:rsidRDefault="002D6804" w:rsidP="002D6804">
            <w:pPr>
              <w:pStyle w:val="TableParagraph"/>
              <w:spacing w:before="11"/>
              <w:rPr>
                <w:b/>
                <w:sz w:val="24"/>
              </w:rPr>
            </w:pPr>
          </w:p>
          <w:p w14:paraId="7234C2E1" w14:textId="77777777" w:rsidR="002D6804" w:rsidRDefault="002D6804" w:rsidP="002D6804">
            <w:pPr>
              <w:pStyle w:val="TableParagraph"/>
              <w:ind w:left="414" w:right="178" w:hanging="207"/>
              <w:rPr>
                <w:sz w:val="20"/>
              </w:rPr>
            </w:pPr>
            <w:r>
              <w:rPr>
                <w:sz w:val="20"/>
              </w:rPr>
              <w:t>Near-Miss or First Aid</w:t>
            </w:r>
          </w:p>
        </w:tc>
        <w:tc>
          <w:tcPr>
            <w:tcW w:w="1559" w:type="dxa"/>
          </w:tcPr>
          <w:p w14:paraId="6D251DB5" w14:textId="77777777" w:rsidR="002D6804" w:rsidRDefault="002D6804" w:rsidP="002D6804">
            <w:pPr>
              <w:pStyle w:val="TableParagraph"/>
              <w:spacing w:before="11"/>
              <w:rPr>
                <w:b/>
                <w:sz w:val="24"/>
              </w:rPr>
            </w:pPr>
          </w:p>
          <w:p w14:paraId="43F19F37" w14:textId="77777777" w:rsidR="002D6804" w:rsidRDefault="002D6804" w:rsidP="002D6804">
            <w:pPr>
              <w:pStyle w:val="TableParagraph"/>
              <w:ind w:left="344"/>
              <w:rPr>
                <w:sz w:val="20"/>
              </w:rPr>
            </w:pPr>
            <w:r>
              <w:rPr>
                <w:sz w:val="20"/>
              </w:rPr>
              <w:t>Less than</w:t>
            </w:r>
          </w:p>
          <w:p w14:paraId="2775E191" w14:textId="77777777" w:rsidR="002D6804" w:rsidRDefault="002D6804" w:rsidP="002D6804">
            <w:pPr>
              <w:pStyle w:val="TableParagraph"/>
              <w:spacing w:before="1"/>
              <w:ind w:left="417"/>
              <w:rPr>
                <w:sz w:val="20"/>
              </w:rPr>
            </w:pPr>
            <w:r>
              <w:rPr>
                <w:sz w:val="20"/>
              </w:rPr>
              <w:t>$10,000</w:t>
            </w:r>
          </w:p>
        </w:tc>
        <w:tc>
          <w:tcPr>
            <w:tcW w:w="2269" w:type="dxa"/>
          </w:tcPr>
          <w:p w14:paraId="705B3052" w14:textId="77777777" w:rsidR="002D6804" w:rsidRDefault="002D6804" w:rsidP="002D6804">
            <w:pPr>
              <w:pStyle w:val="TableParagraph"/>
              <w:spacing w:before="11"/>
              <w:rPr>
                <w:b/>
                <w:sz w:val="24"/>
              </w:rPr>
            </w:pPr>
          </w:p>
          <w:p w14:paraId="75599FEA" w14:textId="77777777" w:rsidR="002D6804" w:rsidRDefault="002D6804" w:rsidP="002D6804">
            <w:pPr>
              <w:pStyle w:val="TableParagraph"/>
              <w:ind w:left="633" w:right="251" w:hanging="357"/>
              <w:rPr>
                <w:sz w:val="20"/>
              </w:rPr>
            </w:pPr>
            <w:r>
              <w:rPr>
                <w:sz w:val="20"/>
              </w:rPr>
              <w:t>No material service interruption</w:t>
            </w:r>
          </w:p>
        </w:tc>
        <w:tc>
          <w:tcPr>
            <w:tcW w:w="1901" w:type="dxa"/>
          </w:tcPr>
          <w:p w14:paraId="0A58C407" w14:textId="77777777" w:rsidR="002D6804" w:rsidRDefault="002D6804" w:rsidP="002D6804">
            <w:pPr>
              <w:pStyle w:val="TableParagraph"/>
              <w:spacing w:before="11"/>
              <w:rPr>
                <w:b/>
                <w:sz w:val="24"/>
              </w:rPr>
            </w:pPr>
          </w:p>
          <w:p w14:paraId="0A65094D" w14:textId="77777777" w:rsidR="002D6804" w:rsidRDefault="002D6804" w:rsidP="002D6804">
            <w:pPr>
              <w:pStyle w:val="TableParagraph"/>
              <w:ind w:left="244" w:right="83" w:hanging="135"/>
              <w:rPr>
                <w:sz w:val="20"/>
              </w:rPr>
            </w:pPr>
            <w:r>
              <w:rPr>
                <w:sz w:val="20"/>
              </w:rPr>
              <w:t>Minor regulatory or statutory impact</w:t>
            </w:r>
          </w:p>
        </w:tc>
        <w:tc>
          <w:tcPr>
            <w:tcW w:w="2152" w:type="dxa"/>
          </w:tcPr>
          <w:p w14:paraId="612290C2" w14:textId="77777777" w:rsidR="002D6804" w:rsidRDefault="002D6804" w:rsidP="002D6804">
            <w:pPr>
              <w:pStyle w:val="TableParagraph"/>
              <w:spacing w:before="172"/>
              <w:ind w:left="146" w:right="136"/>
              <w:jc w:val="center"/>
              <w:rPr>
                <w:sz w:val="20"/>
              </w:rPr>
            </w:pPr>
            <w:r>
              <w:rPr>
                <w:sz w:val="20"/>
              </w:rPr>
              <w:t>Unsubstantiated, low impact, low profile or ‘no news’ item</w:t>
            </w:r>
          </w:p>
        </w:tc>
        <w:tc>
          <w:tcPr>
            <w:tcW w:w="2268" w:type="dxa"/>
          </w:tcPr>
          <w:p w14:paraId="06184EC0" w14:textId="77777777" w:rsidR="002D6804" w:rsidRDefault="002D6804" w:rsidP="002D6804">
            <w:pPr>
              <w:pStyle w:val="TableParagraph"/>
              <w:spacing w:before="11"/>
              <w:rPr>
                <w:b/>
                <w:sz w:val="24"/>
              </w:rPr>
            </w:pPr>
          </w:p>
          <w:p w14:paraId="6D91E148" w14:textId="77777777" w:rsidR="002D6804" w:rsidRDefault="002D6804" w:rsidP="002D6804">
            <w:pPr>
              <w:pStyle w:val="TableParagraph"/>
              <w:ind w:left="743" w:right="404" w:hanging="311"/>
              <w:rPr>
                <w:sz w:val="20"/>
              </w:rPr>
            </w:pPr>
            <w:r>
              <w:rPr>
                <w:sz w:val="20"/>
              </w:rPr>
              <w:t>Inconsequential damage.</w:t>
            </w:r>
          </w:p>
        </w:tc>
        <w:tc>
          <w:tcPr>
            <w:tcW w:w="1900" w:type="dxa"/>
            <w:gridSpan w:val="2"/>
          </w:tcPr>
          <w:p w14:paraId="107C7694" w14:textId="77777777" w:rsidR="002D6804" w:rsidRDefault="002D6804" w:rsidP="002D6804">
            <w:pPr>
              <w:pStyle w:val="TableParagraph"/>
              <w:spacing w:before="58"/>
              <w:ind w:left="192" w:right="182"/>
              <w:jc w:val="center"/>
              <w:rPr>
                <w:sz w:val="20"/>
              </w:rPr>
            </w:pPr>
            <w:r>
              <w:rPr>
                <w:sz w:val="20"/>
              </w:rPr>
              <w:t>Contained, reversible impact managed by on site response</w:t>
            </w:r>
          </w:p>
        </w:tc>
      </w:tr>
      <w:tr w:rsidR="002D6804" w14:paraId="4D08422F" w14:textId="77777777" w:rsidTr="002D6804">
        <w:trPr>
          <w:trHeight w:val="1040"/>
        </w:trPr>
        <w:tc>
          <w:tcPr>
            <w:tcW w:w="433" w:type="dxa"/>
            <w:vMerge/>
            <w:tcBorders>
              <w:top w:val="nil"/>
              <w:left w:val="nil"/>
              <w:bottom w:val="nil"/>
            </w:tcBorders>
          </w:tcPr>
          <w:p w14:paraId="0393F879" w14:textId="77777777" w:rsidR="002D6804" w:rsidRDefault="002D6804" w:rsidP="002D6804">
            <w:pPr>
              <w:rPr>
                <w:sz w:val="2"/>
                <w:szCs w:val="2"/>
              </w:rPr>
            </w:pPr>
          </w:p>
        </w:tc>
        <w:tc>
          <w:tcPr>
            <w:tcW w:w="1560" w:type="dxa"/>
            <w:shd w:val="clear" w:color="auto" w:fill="BFBFBF"/>
          </w:tcPr>
          <w:p w14:paraId="5EAFFCDE" w14:textId="77777777" w:rsidR="002D6804" w:rsidRDefault="002D6804" w:rsidP="002D6804">
            <w:pPr>
              <w:pStyle w:val="TableParagraph"/>
              <w:spacing w:before="10"/>
              <w:rPr>
                <w:b/>
                <w:sz w:val="19"/>
              </w:rPr>
            </w:pPr>
          </w:p>
          <w:p w14:paraId="2084B25B" w14:textId="77777777" w:rsidR="002D6804" w:rsidRDefault="002D6804" w:rsidP="002D6804">
            <w:pPr>
              <w:pStyle w:val="TableParagraph"/>
              <w:spacing w:line="364" w:lineRule="auto"/>
              <w:ind w:left="658" w:right="477" w:hanging="150"/>
              <w:rPr>
                <w:b/>
                <w:sz w:val="20"/>
              </w:rPr>
            </w:pPr>
            <w:r>
              <w:rPr>
                <w:b/>
                <w:sz w:val="20"/>
              </w:rPr>
              <w:t>Minor (2)</w:t>
            </w:r>
          </w:p>
        </w:tc>
        <w:tc>
          <w:tcPr>
            <w:tcW w:w="1560" w:type="dxa"/>
          </w:tcPr>
          <w:p w14:paraId="1DBB2181" w14:textId="77777777" w:rsidR="002D6804" w:rsidRDefault="002D6804" w:rsidP="002D6804">
            <w:pPr>
              <w:pStyle w:val="TableParagraph"/>
              <w:spacing w:before="11"/>
              <w:rPr>
                <w:b/>
                <w:sz w:val="24"/>
              </w:rPr>
            </w:pPr>
          </w:p>
          <w:p w14:paraId="2F01208A" w14:textId="77777777" w:rsidR="002D6804" w:rsidRDefault="002D6804" w:rsidP="002D6804">
            <w:pPr>
              <w:pStyle w:val="TableParagraph"/>
              <w:ind w:left="463" w:right="189" w:hanging="245"/>
              <w:rPr>
                <w:sz w:val="20"/>
              </w:rPr>
            </w:pPr>
            <w:r>
              <w:rPr>
                <w:sz w:val="20"/>
              </w:rPr>
              <w:t>Medical type injuries</w:t>
            </w:r>
          </w:p>
        </w:tc>
        <w:tc>
          <w:tcPr>
            <w:tcW w:w="1559" w:type="dxa"/>
          </w:tcPr>
          <w:p w14:paraId="594A1D55" w14:textId="77777777" w:rsidR="002D6804" w:rsidRDefault="002D6804" w:rsidP="002D6804">
            <w:pPr>
              <w:pStyle w:val="TableParagraph"/>
              <w:spacing w:before="11"/>
              <w:rPr>
                <w:b/>
                <w:sz w:val="24"/>
              </w:rPr>
            </w:pPr>
          </w:p>
          <w:p w14:paraId="0B541F7F" w14:textId="77777777" w:rsidR="002D6804" w:rsidRDefault="002D6804" w:rsidP="002D6804">
            <w:pPr>
              <w:pStyle w:val="TableParagraph"/>
              <w:ind w:left="356"/>
              <w:rPr>
                <w:sz w:val="20"/>
              </w:rPr>
            </w:pPr>
            <w:r>
              <w:rPr>
                <w:sz w:val="20"/>
              </w:rPr>
              <w:t>$10,001 -</w:t>
            </w:r>
          </w:p>
          <w:p w14:paraId="354907E8" w14:textId="77777777" w:rsidR="002D6804" w:rsidRDefault="002D6804" w:rsidP="002D6804">
            <w:pPr>
              <w:pStyle w:val="TableParagraph"/>
              <w:spacing w:before="1"/>
              <w:ind w:left="417"/>
              <w:rPr>
                <w:sz w:val="20"/>
              </w:rPr>
            </w:pPr>
            <w:r>
              <w:rPr>
                <w:sz w:val="20"/>
              </w:rPr>
              <w:t>$50,000</w:t>
            </w:r>
          </w:p>
        </w:tc>
        <w:tc>
          <w:tcPr>
            <w:tcW w:w="2269" w:type="dxa"/>
          </w:tcPr>
          <w:p w14:paraId="4DC10EAC" w14:textId="77777777" w:rsidR="002D6804" w:rsidRDefault="002D6804" w:rsidP="002D6804">
            <w:pPr>
              <w:pStyle w:val="TableParagraph"/>
              <w:spacing w:before="172"/>
              <w:ind w:left="177" w:right="167" w:firstLine="2"/>
              <w:jc w:val="center"/>
              <w:rPr>
                <w:sz w:val="20"/>
              </w:rPr>
            </w:pPr>
            <w:r>
              <w:rPr>
                <w:sz w:val="20"/>
              </w:rPr>
              <w:t>Short term temporary interruption – backlog cleared &lt; 1 day</w:t>
            </w:r>
          </w:p>
        </w:tc>
        <w:tc>
          <w:tcPr>
            <w:tcW w:w="1901" w:type="dxa"/>
          </w:tcPr>
          <w:p w14:paraId="025CA997" w14:textId="77777777" w:rsidR="002D6804" w:rsidRDefault="002D6804" w:rsidP="002D6804">
            <w:pPr>
              <w:pStyle w:val="TableParagraph"/>
              <w:rPr>
                <w:b/>
                <w:sz w:val="25"/>
              </w:rPr>
            </w:pPr>
          </w:p>
          <w:p w14:paraId="37E2B5CF" w14:textId="77777777" w:rsidR="002D6804" w:rsidRDefault="002D6804" w:rsidP="002D6804">
            <w:pPr>
              <w:pStyle w:val="TableParagraph"/>
              <w:ind w:left="194" w:right="181" w:firstLine="16"/>
              <w:rPr>
                <w:sz w:val="20"/>
              </w:rPr>
            </w:pPr>
            <w:r>
              <w:rPr>
                <w:sz w:val="20"/>
              </w:rPr>
              <w:t>Some temporary non-compliances</w:t>
            </w:r>
          </w:p>
        </w:tc>
        <w:tc>
          <w:tcPr>
            <w:tcW w:w="2152" w:type="dxa"/>
          </w:tcPr>
          <w:p w14:paraId="0F65A9A2" w14:textId="77777777" w:rsidR="002D6804" w:rsidRDefault="002D6804" w:rsidP="002D6804">
            <w:pPr>
              <w:pStyle w:val="TableParagraph"/>
              <w:spacing w:before="172"/>
              <w:ind w:left="146" w:right="136"/>
              <w:jc w:val="center"/>
              <w:rPr>
                <w:sz w:val="20"/>
              </w:rPr>
            </w:pPr>
            <w:r>
              <w:rPr>
                <w:sz w:val="20"/>
              </w:rPr>
              <w:t>Substantiated, low impact, low news item</w:t>
            </w:r>
          </w:p>
        </w:tc>
        <w:tc>
          <w:tcPr>
            <w:tcW w:w="2268" w:type="dxa"/>
          </w:tcPr>
          <w:p w14:paraId="4A2977C1" w14:textId="77777777" w:rsidR="002D6804" w:rsidRDefault="002D6804" w:rsidP="002D6804">
            <w:pPr>
              <w:pStyle w:val="TableParagraph"/>
              <w:spacing w:before="172"/>
              <w:ind w:left="276" w:right="267" w:firstLine="44"/>
              <w:jc w:val="both"/>
              <w:rPr>
                <w:sz w:val="20"/>
              </w:rPr>
            </w:pPr>
            <w:proofErr w:type="spellStart"/>
            <w:r>
              <w:rPr>
                <w:sz w:val="20"/>
              </w:rPr>
              <w:t>Localised</w:t>
            </w:r>
            <w:proofErr w:type="spellEnd"/>
            <w:r>
              <w:rPr>
                <w:sz w:val="20"/>
              </w:rPr>
              <w:t xml:space="preserve"> damage rectified by routine internal procedures</w:t>
            </w:r>
          </w:p>
        </w:tc>
        <w:tc>
          <w:tcPr>
            <w:tcW w:w="1900" w:type="dxa"/>
            <w:gridSpan w:val="2"/>
          </w:tcPr>
          <w:p w14:paraId="33E40107" w14:textId="77777777" w:rsidR="002D6804" w:rsidRDefault="002D6804" w:rsidP="002D6804">
            <w:pPr>
              <w:pStyle w:val="TableParagraph"/>
              <w:spacing w:before="57"/>
              <w:ind w:left="181" w:right="171" w:hanging="2"/>
              <w:jc w:val="center"/>
              <w:rPr>
                <w:sz w:val="20"/>
              </w:rPr>
            </w:pPr>
            <w:r>
              <w:rPr>
                <w:sz w:val="20"/>
              </w:rPr>
              <w:t>Contained, reversible impact managed by internal response</w:t>
            </w:r>
          </w:p>
        </w:tc>
      </w:tr>
      <w:tr w:rsidR="002D6804" w14:paraId="322E1F76" w14:textId="77777777" w:rsidTr="002D6804">
        <w:trPr>
          <w:trHeight w:val="1499"/>
        </w:trPr>
        <w:tc>
          <w:tcPr>
            <w:tcW w:w="433" w:type="dxa"/>
            <w:vMerge/>
            <w:tcBorders>
              <w:top w:val="nil"/>
              <w:left w:val="nil"/>
              <w:bottom w:val="nil"/>
            </w:tcBorders>
          </w:tcPr>
          <w:p w14:paraId="50DFDA58" w14:textId="77777777" w:rsidR="002D6804" w:rsidRDefault="002D6804" w:rsidP="002D6804">
            <w:pPr>
              <w:rPr>
                <w:sz w:val="2"/>
                <w:szCs w:val="2"/>
              </w:rPr>
            </w:pPr>
          </w:p>
        </w:tc>
        <w:tc>
          <w:tcPr>
            <w:tcW w:w="1560" w:type="dxa"/>
            <w:shd w:val="clear" w:color="auto" w:fill="BFBFBF"/>
          </w:tcPr>
          <w:p w14:paraId="36C83092" w14:textId="77777777" w:rsidR="002D6804" w:rsidRDefault="002D6804" w:rsidP="002D6804">
            <w:pPr>
              <w:pStyle w:val="TableParagraph"/>
              <w:rPr>
                <w:b/>
              </w:rPr>
            </w:pPr>
          </w:p>
          <w:p w14:paraId="38FC1945" w14:textId="77777777" w:rsidR="002D6804" w:rsidRDefault="002D6804" w:rsidP="002D6804">
            <w:pPr>
              <w:pStyle w:val="TableParagraph"/>
              <w:spacing w:before="10"/>
              <w:rPr>
                <w:b/>
                <w:sz w:val="17"/>
              </w:rPr>
            </w:pPr>
          </w:p>
          <w:p w14:paraId="3A6249CD" w14:textId="77777777" w:rsidR="002D6804" w:rsidRDefault="002D6804" w:rsidP="002D6804">
            <w:pPr>
              <w:pStyle w:val="TableParagraph"/>
              <w:spacing w:line="364" w:lineRule="auto"/>
              <w:ind w:left="658" w:right="305" w:hanging="323"/>
              <w:rPr>
                <w:b/>
                <w:sz w:val="20"/>
              </w:rPr>
            </w:pPr>
            <w:r>
              <w:rPr>
                <w:b/>
                <w:sz w:val="20"/>
              </w:rPr>
              <w:t>Moderate (3)</w:t>
            </w:r>
          </w:p>
        </w:tc>
        <w:tc>
          <w:tcPr>
            <w:tcW w:w="1560" w:type="dxa"/>
          </w:tcPr>
          <w:p w14:paraId="67B6203A" w14:textId="77777777" w:rsidR="002D6804" w:rsidRDefault="002D6804" w:rsidP="002D6804">
            <w:pPr>
              <w:pStyle w:val="TableParagraph"/>
              <w:rPr>
                <w:b/>
              </w:rPr>
            </w:pPr>
          </w:p>
          <w:p w14:paraId="50FF3A58" w14:textId="77777777" w:rsidR="002D6804" w:rsidRDefault="002D6804" w:rsidP="002D6804">
            <w:pPr>
              <w:pStyle w:val="TableParagraph"/>
              <w:spacing w:before="149"/>
              <w:ind w:left="343" w:right="331" w:firstLine="2"/>
              <w:jc w:val="center"/>
              <w:rPr>
                <w:sz w:val="20"/>
              </w:rPr>
            </w:pPr>
            <w:r>
              <w:rPr>
                <w:sz w:val="20"/>
              </w:rPr>
              <w:t>Lost time injury &gt;14 Days</w:t>
            </w:r>
          </w:p>
        </w:tc>
        <w:tc>
          <w:tcPr>
            <w:tcW w:w="1559" w:type="dxa"/>
          </w:tcPr>
          <w:p w14:paraId="6A6E23AC" w14:textId="77777777" w:rsidR="002D6804" w:rsidRDefault="002D6804" w:rsidP="002D6804">
            <w:pPr>
              <w:pStyle w:val="TableParagraph"/>
              <w:rPr>
                <w:b/>
              </w:rPr>
            </w:pPr>
          </w:p>
          <w:p w14:paraId="1E5B784B" w14:textId="77777777" w:rsidR="002D6804" w:rsidRDefault="002D6804" w:rsidP="002D6804">
            <w:pPr>
              <w:pStyle w:val="TableParagraph"/>
              <w:rPr>
                <w:b/>
                <w:sz w:val="23"/>
              </w:rPr>
            </w:pPr>
          </w:p>
          <w:p w14:paraId="3622A3EC" w14:textId="77777777" w:rsidR="002D6804" w:rsidRDefault="002D6804" w:rsidP="002D6804">
            <w:pPr>
              <w:pStyle w:val="TableParagraph"/>
              <w:spacing w:line="230" w:lineRule="exact"/>
              <w:ind w:left="356"/>
              <w:rPr>
                <w:sz w:val="20"/>
              </w:rPr>
            </w:pPr>
            <w:r>
              <w:rPr>
                <w:sz w:val="20"/>
              </w:rPr>
              <w:t>$50,001</w:t>
            </w:r>
            <w:r>
              <w:rPr>
                <w:spacing w:val="-1"/>
                <w:sz w:val="20"/>
              </w:rPr>
              <w:t xml:space="preserve"> </w:t>
            </w:r>
            <w:r>
              <w:rPr>
                <w:sz w:val="20"/>
              </w:rPr>
              <w:t>-</w:t>
            </w:r>
          </w:p>
          <w:p w14:paraId="69F763EE" w14:textId="77777777" w:rsidR="002D6804" w:rsidRDefault="002D6804" w:rsidP="002D6804">
            <w:pPr>
              <w:pStyle w:val="TableParagraph"/>
              <w:spacing w:line="230" w:lineRule="exact"/>
              <w:ind w:left="362"/>
              <w:rPr>
                <w:sz w:val="20"/>
              </w:rPr>
            </w:pPr>
            <w:r>
              <w:rPr>
                <w:sz w:val="20"/>
              </w:rPr>
              <w:t>$250,000</w:t>
            </w:r>
          </w:p>
        </w:tc>
        <w:tc>
          <w:tcPr>
            <w:tcW w:w="2269" w:type="dxa"/>
          </w:tcPr>
          <w:p w14:paraId="52C1A170" w14:textId="77777777" w:rsidR="002D6804" w:rsidRDefault="002D6804" w:rsidP="002D6804">
            <w:pPr>
              <w:pStyle w:val="TableParagraph"/>
              <w:spacing w:before="172"/>
              <w:ind w:left="154" w:right="144" w:firstLine="1"/>
              <w:jc w:val="center"/>
              <w:rPr>
                <w:sz w:val="20"/>
              </w:rPr>
            </w:pPr>
            <w:r>
              <w:rPr>
                <w:sz w:val="20"/>
              </w:rPr>
              <w:t>Medium term temporary interruption</w:t>
            </w:r>
          </w:p>
          <w:p w14:paraId="695B28D1" w14:textId="77777777" w:rsidR="002D6804" w:rsidRDefault="002D6804" w:rsidP="002D6804">
            <w:pPr>
              <w:pStyle w:val="TableParagraph"/>
              <w:spacing w:before="1"/>
              <w:ind w:left="215" w:right="205"/>
              <w:jc w:val="center"/>
              <w:rPr>
                <w:sz w:val="20"/>
              </w:rPr>
            </w:pPr>
            <w:r>
              <w:rPr>
                <w:sz w:val="20"/>
              </w:rPr>
              <w:t>– backlog cleared by additional resources</w:t>
            </w:r>
          </w:p>
          <w:p w14:paraId="6939BFAD" w14:textId="77777777" w:rsidR="002D6804" w:rsidRDefault="002D6804" w:rsidP="002D6804">
            <w:pPr>
              <w:pStyle w:val="TableParagraph"/>
              <w:spacing w:line="230" w:lineRule="exact"/>
              <w:ind w:left="213" w:right="205"/>
              <w:jc w:val="center"/>
              <w:rPr>
                <w:sz w:val="20"/>
              </w:rPr>
            </w:pPr>
            <w:r>
              <w:rPr>
                <w:sz w:val="20"/>
              </w:rPr>
              <w:t>&lt; 1 week</w:t>
            </w:r>
          </w:p>
        </w:tc>
        <w:tc>
          <w:tcPr>
            <w:tcW w:w="1901" w:type="dxa"/>
          </w:tcPr>
          <w:p w14:paraId="677B434F" w14:textId="77777777" w:rsidR="002D6804" w:rsidRDefault="002D6804" w:rsidP="002D6804">
            <w:pPr>
              <w:pStyle w:val="TableParagraph"/>
              <w:spacing w:before="57"/>
              <w:ind w:left="255" w:right="242"/>
              <w:jc w:val="center"/>
              <w:rPr>
                <w:sz w:val="20"/>
              </w:rPr>
            </w:pPr>
            <w:r>
              <w:rPr>
                <w:sz w:val="20"/>
              </w:rPr>
              <w:t>Short term non- compliance but with significant regulatory requirements imposed</w:t>
            </w:r>
          </w:p>
        </w:tc>
        <w:tc>
          <w:tcPr>
            <w:tcW w:w="2152" w:type="dxa"/>
          </w:tcPr>
          <w:p w14:paraId="7ED22A60" w14:textId="77777777" w:rsidR="002D6804" w:rsidRDefault="002D6804" w:rsidP="002D6804">
            <w:pPr>
              <w:pStyle w:val="TableParagraph"/>
              <w:spacing w:before="172"/>
              <w:ind w:left="146" w:right="136"/>
              <w:jc w:val="center"/>
              <w:rPr>
                <w:sz w:val="20"/>
              </w:rPr>
            </w:pPr>
            <w:r>
              <w:rPr>
                <w:sz w:val="20"/>
              </w:rPr>
              <w:t>Substantiated, public embarrassment, moderate impact, moderate news profile</w:t>
            </w:r>
          </w:p>
        </w:tc>
        <w:tc>
          <w:tcPr>
            <w:tcW w:w="2268" w:type="dxa"/>
          </w:tcPr>
          <w:p w14:paraId="5FB0AEAB" w14:textId="77777777" w:rsidR="002D6804" w:rsidRDefault="002D6804" w:rsidP="002D6804">
            <w:pPr>
              <w:pStyle w:val="TableParagraph"/>
              <w:rPr>
                <w:b/>
              </w:rPr>
            </w:pPr>
          </w:p>
          <w:p w14:paraId="1829B176" w14:textId="77777777" w:rsidR="002D6804" w:rsidRDefault="002D6804" w:rsidP="002D6804">
            <w:pPr>
              <w:pStyle w:val="TableParagraph"/>
              <w:spacing w:before="150"/>
              <w:ind w:left="289" w:right="276" w:firstLine="32"/>
              <w:jc w:val="both"/>
              <w:rPr>
                <w:sz w:val="20"/>
              </w:rPr>
            </w:pPr>
            <w:proofErr w:type="spellStart"/>
            <w:r>
              <w:rPr>
                <w:sz w:val="20"/>
              </w:rPr>
              <w:t>Localised</w:t>
            </w:r>
            <w:proofErr w:type="spellEnd"/>
            <w:r>
              <w:rPr>
                <w:sz w:val="20"/>
              </w:rPr>
              <w:t xml:space="preserve"> damage requiring external resources to rectify</w:t>
            </w:r>
          </w:p>
        </w:tc>
        <w:tc>
          <w:tcPr>
            <w:tcW w:w="1900" w:type="dxa"/>
            <w:gridSpan w:val="2"/>
          </w:tcPr>
          <w:p w14:paraId="1289BF75" w14:textId="77777777" w:rsidR="002D6804" w:rsidRDefault="002D6804" w:rsidP="002D6804">
            <w:pPr>
              <w:pStyle w:val="TableParagraph"/>
              <w:rPr>
                <w:b/>
                <w:sz w:val="25"/>
              </w:rPr>
            </w:pPr>
          </w:p>
          <w:p w14:paraId="498298D6" w14:textId="77777777" w:rsidR="002D6804" w:rsidRDefault="002D6804" w:rsidP="002D6804">
            <w:pPr>
              <w:pStyle w:val="TableParagraph"/>
              <w:spacing w:before="1"/>
              <w:ind w:left="166" w:right="155" w:hanging="1"/>
              <w:jc w:val="center"/>
              <w:rPr>
                <w:sz w:val="20"/>
              </w:rPr>
            </w:pPr>
            <w:r>
              <w:rPr>
                <w:sz w:val="20"/>
              </w:rPr>
              <w:t>Contained, reversible impact managed by external agencies</w:t>
            </w:r>
          </w:p>
        </w:tc>
      </w:tr>
      <w:tr w:rsidR="002D6804" w14:paraId="14B8C99F" w14:textId="77777777" w:rsidTr="002D6804">
        <w:trPr>
          <w:trHeight w:val="1500"/>
        </w:trPr>
        <w:tc>
          <w:tcPr>
            <w:tcW w:w="433" w:type="dxa"/>
            <w:vMerge/>
            <w:tcBorders>
              <w:top w:val="nil"/>
              <w:left w:val="nil"/>
              <w:bottom w:val="nil"/>
            </w:tcBorders>
          </w:tcPr>
          <w:p w14:paraId="2E79C3EA" w14:textId="77777777" w:rsidR="002D6804" w:rsidRDefault="002D6804" w:rsidP="002D6804">
            <w:pPr>
              <w:rPr>
                <w:sz w:val="2"/>
                <w:szCs w:val="2"/>
              </w:rPr>
            </w:pPr>
          </w:p>
        </w:tc>
        <w:tc>
          <w:tcPr>
            <w:tcW w:w="1560" w:type="dxa"/>
            <w:shd w:val="clear" w:color="auto" w:fill="BFBFBF"/>
          </w:tcPr>
          <w:p w14:paraId="105DBDE1" w14:textId="77777777" w:rsidR="002D6804" w:rsidRDefault="002D6804" w:rsidP="002D6804">
            <w:pPr>
              <w:pStyle w:val="TableParagraph"/>
              <w:rPr>
                <w:b/>
              </w:rPr>
            </w:pPr>
          </w:p>
          <w:p w14:paraId="774A1A5B" w14:textId="77777777" w:rsidR="002D6804" w:rsidRDefault="002D6804" w:rsidP="002D6804">
            <w:pPr>
              <w:pStyle w:val="TableParagraph"/>
              <w:spacing w:before="10"/>
              <w:rPr>
                <w:b/>
                <w:sz w:val="17"/>
              </w:rPr>
            </w:pPr>
          </w:p>
          <w:p w14:paraId="70E2090C" w14:textId="77777777" w:rsidR="002D6804" w:rsidRDefault="002D6804" w:rsidP="002D6804">
            <w:pPr>
              <w:pStyle w:val="TableParagraph"/>
              <w:spacing w:line="364" w:lineRule="auto"/>
              <w:ind w:left="658" w:right="482" w:hanging="144"/>
              <w:rPr>
                <w:b/>
                <w:sz w:val="20"/>
              </w:rPr>
            </w:pPr>
            <w:r>
              <w:rPr>
                <w:b/>
                <w:sz w:val="20"/>
              </w:rPr>
              <w:t>Major (4)</w:t>
            </w:r>
          </w:p>
        </w:tc>
        <w:tc>
          <w:tcPr>
            <w:tcW w:w="1560" w:type="dxa"/>
          </w:tcPr>
          <w:p w14:paraId="2A81F218" w14:textId="77777777" w:rsidR="002D6804" w:rsidRDefault="002D6804" w:rsidP="002D6804">
            <w:pPr>
              <w:pStyle w:val="TableParagraph"/>
              <w:spacing w:before="11"/>
              <w:rPr>
                <w:b/>
                <w:sz w:val="24"/>
              </w:rPr>
            </w:pPr>
          </w:p>
          <w:p w14:paraId="56314960" w14:textId="77777777" w:rsidR="002D6804" w:rsidRDefault="002D6804" w:rsidP="002D6804">
            <w:pPr>
              <w:pStyle w:val="TableParagraph"/>
              <w:ind w:left="302" w:right="289"/>
              <w:jc w:val="center"/>
              <w:rPr>
                <w:sz w:val="20"/>
              </w:rPr>
            </w:pPr>
            <w:r>
              <w:rPr>
                <w:sz w:val="20"/>
              </w:rPr>
              <w:t>Long-term disability / multiple injuries</w:t>
            </w:r>
          </w:p>
        </w:tc>
        <w:tc>
          <w:tcPr>
            <w:tcW w:w="1559" w:type="dxa"/>
          </w:tcPr>
          <w:p w14:paraId="3BD8CCBB" w14:textId="77777777" w:rsidR="002D6804" w:rsidRDefault="002D6804" w:rsidP="002D6804">
            <w:pPr>
              <w:pStyle w:val="TableParagraph"/>
              <w:rPr>
                <w:b/>
              </w:rPr>
            </w:pPr>
          </w:p>
          <w:p w14:paraId="0732E825" w14:textId="77777777" w:rsidR="002D6804" w:rsidRDefault="002D6804" w:rsidP="002D6804">
            <w:pPr>
              <w:pStyle w:val="TableParagraph"/>
              <w:rPr>
                <w:b/>
                <w:sz w:val="23"/>
              </w:rPr>
            </w:pPr>
          </w:p>
          <w:p w14:paraId="47008E7C" w14:textId="77777777" w:rsidR="002D6804" w:rsidRDefault="002D6804" w:rsidP="002D6804">
            <w:pPr>
              <w:pStyle w:val="TableParagraph"/>
              <w:ind w:left="300"/>
              <w:rPr>
                <w:sz w:val="20"/>
              </w:rPr>
            </w:pPr>
            <w:r>
              <w:rPr>
                <w:sz w:val="20"/>
              </w:rPr>
              <w:t>$250,001</w:t>
            </w:r>
            <w:r>
              <w:rPr>
                <w:spacing w:val="-1"/>
                <w:sz w:val="20"/>
              </w:rPr>
              <w:t xml:space="preserve"> </w:t>
            </w:r>
            <w:r>
              <w:rPr>
                <w:sz w:val="20"/>
              </w:rPr>
              <w:t>-</w:t>
            </w:r>
          </w:p>
          <w:p w14:paraId="7B6709FA" w14:textId="77777777" w:rsidR="002D6804" w:rsidRDefault="002D6804" w:rsidP="002D6804">
            <w:pPr>
              <w:pStyle w:val="TableParagraph"/>
              <w:spacing w:before="1"/>
              <w:ind w:left="278"/>
              <w:rPr>
                <w:sz w:val="20"/>
              </w:rPr>
            </w:pPr>
            <w:r>
              <w:rPr>
                <w:sz w:val="20"/>
              </w:rPr>
              <w:t>$1,000,000</w:t>
            </w:r>
          </w:p>
        </w:tc>
        <w:tc>
          <w:tcPr>
            <w:tcW w:w="2269" w:type="dxa"/>
          </w:tcPr>
          <w:p w14:paraId="3AF6C158" w14:textId="77777777" w:rsidR="002D6804" w:rsidRDefault="002D6804" w:rsidP="002D6804">
            <w:pPr>
              <w:pStyle w:val="TableParagraph"/>
              <w:spacing w:before="172"/>
              <w:ind w:left="116" w:right="106" w:firstLine="2"/>
              <w:jc w:val="center"/>
              <w:rPr>
                <w:sz w:val="20"/>
              </w:rPr>
            </w:pPr>
            <w:r>
              <w:rPr>
                <w:sz w:val="20"/>
              </w:rPr>
              <w:t>Prolonged interruption of services – additional resources; performance affected</w:t>
            </w:r>
          </w:p>
          <w:p w14:paraId="27641AD2" w14:textId="77777777" w:rsidR="002D6804" w:rsidRDefault="002D6804" w:rsidP="002D6804">
            <w:pPr>
              <w:pStyle w:val="TableParagraph"/>
              <w:spacing w:before="1"/>
              <w:ind w:left="214" w:right="205"/>
              <w:jc w:val="center"/>
              <w:rPr>
                <w:sz w:val="20"/>
              </w:rPr>
            </w:pPr>
            <w:r>
              <w:rPr>
                <w:sz w:val="20"/>
              </w:rPr>
              <w:t>&lt; 1 month</w:t>
            </w:r>
          </w:p>
        </w:tc>
        <w:tc>
          <w:tcPr>
            <w:tcW w:w="1901" w:type="dxa"/>
          </w:tcPr>
          <w:p w14:paraId="4665B990" w14:textId="77777777" w:rsidR="002D6804" w:rsidRDefault="002D6804" w:rsidP="002D6804">
            <w:pPr>
              <w:pStyle w:val="TableParagraph"/>
              <w:spacing w:before="172"/>
              <w:ind w:left="144" w:right="134" w:firstLine="2"/>
              <w:jc w:val="center"/>
              <w:rPr>
                <w:sz w:val="20"/>
              </w:rPr>
            </w:pPr>
            <w:r>
              <w:rPr>
                <w:sz w:val="20"/>
              </w:rPr>
              <w:t>Non-compliance results in termination of services or imposed penalties</w:t>
            </w:r>
          </w:p>
        </w:tc>
        <w:tc>
          <w:tcPr>
            <w:tcW w:w="2152" w:type="dxa"/>
          </w:tcPr>
          <w:p w14:paraId="478CA9E5" w14:textId="77777777" w:rsidR="002D6804" w:rsidRDefault="002D6804" w:rsidP="002D6804">
            <w:pPr>
              <w:pStyle w:val="TableParagraph"/>
              <w:spacing w:before="173"/>
              <w:ind w:left="112" w:right="103"/>
              <w:jc w:val="center"/>
              <w:rPr>
                <w:sz w:val="20"/>
              </w:rPr>
            </w:pPr>
            <w:r>
              <w:rPr>
                <w:sz w:val="20"/>
              </w:rPr>
              <w:t>Substantiated, public embarrassment, high impact, high news profile, third party actions</w:t>
            </w:r>
          </w:p>
        </w:tc>
        <w:tc>
          <w:tcPr>
            <w:tcW w:w="2268" w:type="dxa"/>
          </w:tcPr>
          <w:p w14:paraId="7A5E9532" w14:textId="77777777" w:rsidR="002D6804" w:rsidRDefault="002D6804" w:rsidP="002D6804">
            <w:pPr>
              <w:pStyle w:val="TableParagraph"/>
              <w:rPr>
                <w:b/>
                <w:sz w:val="25"/>
              </w:rPr>
            </w:pPr>
          </w:p>
          <w:p w14:paraId="198EABA8" w14:textId="77777777" w:rsidR="002D6804" w:rsidRDefault="002D6804" w:rsidP="002D6804">
            <w:pPr>
              <w:pStyle w:val="TableParagraph"/>
              <w:spacing w:before="1"/>
              <w:ind w:left="198" w:right="189"/>
              <w:jc w:val="center"/>
              <w:rPr>
                <w:sz w:val="20"/>
              </w:rPr>
            </w:pPr>
            <w:r>
              <w:rPr>
                <w:sz w:val="20"/>
              </w:rPr>
              <w:t>Significant damage requiring internal &amp; external resources to rectify</w:t>
            </w:r>
          </w:p>
        </w:tc>
        <w:tc>
          <w:tcPr>
            <w:tcW w:w="1900" w:type="dxa"/>
            <w:gridSpan w:val="2"/>
          </w:tcPr>
          <w:p w14:paraId="115C15B0" w14:textId="77777777" w:rsidR="002D6804" w:rsidRDefault="002D6804" w:rsidP="002D6804">
            <w:pPr>
              <w:pStyle w:val="TableParagraph"/>
              <w:spacing w:before="59"/>
              <w:ind w:left="166" w:right="155" w:firstLine="3"/>
              <w:jc w:val="center"/>
              <w:rPr>
                <w:sz w:val="20"/>
              </w:rPr>
            </w:pPr>
            <w:r>
              <w:rPr>
                <w:sz w:val="20"/>
              </w:rPr>
              <w:t>Uncontained, reversible impact managed by a coordinated response from external agencies</w:t>
            </w:r>
          </w:p>
        </w:tc>
      </w:tr>
      <w:tr w:rsidR="002D6804" w14:paraId="6D7A2E8E" w14:textId="77777777" w:rsidTr="002D6804">
        <w:trPr>
          <w:trHeight w:val="1499"/>
        </w:trPr>
        <w:tc>
          <w:tcPr>
            <w:tcW w:w="433" w:type="dxa"/>
            <w:vMerge/>
            <w:tcBorders>
              <w:top w:val="nil"/>
              <w:left w:val="nil"/>
              <w:bottom w:val="nil"/>
            </w:tcBorders>
          </w:tcPr>
          <w:p w14:paraId="101B9395" w14:textId="77777777" w:rsidR="002D6804" w:rsidRDefault="002D6804" w:rsidP="002D6804">
            <w:pPr>
              <w:rPr>
                <w:sz w:val="2"/>
                <w:szCs w:val="2"/>
              </w:rPr>
            </w:pPr>
          </w:p>
        </w:tc>
        <w:tc>
          <w:tcPr>
            <w:tcW w:w="1560" w:type="dxa"/>
            <w:shd w:val="clear" w:color="auto" w:fill="BFBFBF"/>
          </w:tcPr>
          <w:p w14:paraId="0CF98529" w14:textId="77777777" w:rsidR="002D6804" w:rsidRDefault="002D6804" w:rsidP="002D6804">
            <w:pPr>
              <w:pStyle w:val="TableParagraph"/>
              <w:rPr>
                <w:b/>
              </w:rPr>
            </w:pPr>
          </w:p>
          <w:p w14:paraId="5B763B0D" w14:textId="77777777" w:rsidR="002D6804" w:rsidRDefault="002D6804" w:rsidP="002D6804">
            <w:pPr>
              <w:pStyle w:val="TableParagraph"/>
              <w:spacing w:before="9"/>
              <w:rPr>
                <w:b/>
                <w:sz w:val="17"/>
              </w:rPr>
            </w:pPr>
          </w:p>
          <w:p w14:paraId="61C454A9" w14:textId="77777777" w:rsidR="002D6804" w:rsidRDefault="002D6804" w:rsidP="002D6804">
            <w:pPr>
              <w:pStyle w:val="TableParagraph"/>
              <w:spacing w:line="364" w:lineRule="auto"/>
              <w:ind w:left="658" w:right="355" w:hanging="273"/>
              <w:rPr>
                <w:b/>
                <w:sz w:val="20"/>
              </w:rPr>
            </w:pPr>
            <w:r>
              <w:rPr>
                <w:b/>
                <w:sz w:val="20"/>
              </w:rPr>
              <w:t>Extreme (5)</w:t>
            </w:r>
          </w:p>
        </w:tc>
        <w:tc>
          <w:tcPr>
            <w:tcW w:w="1560" w:type="dxa"/>
          </w:tcPr>
          <w:p w14:paraId="43F0C9A9" w14:textId="77777777" w:rsidR="002D6804" w:rsidRDefault="002D6804" w:rsidP="002D6804">
            <w:pPr>
              <w:pStyle w:val="TableParagraph"/>
              <w:rPr>
                <w:b/>
              </w:rPr>
            </w:pPr>
          </w:p>
          <w:p w14:paraId="07753250" w14:textId="77777777" w:rsidR="002D6804" w:rsidRDefault="002D6804" w:rsidP="002D6804">
            <w:pPr>
              <w:pStyle w:val="TableParagraph"/>
              <w:spacing w:before="148"/>
              <w:ind w:left="302" w:right="289"/>
              <w:jc w:val="center"/>
              <w:rPr>
                <w:sz w:val="20"/>
              </w:rPr>
            </w:pPr>
            <w:r>
              <w:rPr>
                <w:sz w:val="20"/>
              </w:rPr>
              <w:t>Fatality, permanent disability</w:t>
            </w:r>
          </w:p>
        </w:tc>
        <w:tc>
          <w:tcPr>
            <w:tcW w:w="1559" w:type="dxa"/>
          </w:tcPr>
          <w:p w14:paraId="3617D957" w14:textId="77777777" w:rsidR="002D6804" w:rsidRDefault="002D6804" w:rsidP="002D6804">
            <w:pPr>
              <w:pStyle w:val="TableParagraph"/>
              <w:rPr>
                <w:b/>
              </w:rPr>
            </w:pPr>
          </w:p>
          <w:p w14:paraId="4BF9B3E0" w14:textId="77777777" w:rsidR="002D6804" w:rsidRDefault="002D6804" w:rsidP="002D6804">
            <w:pPr>
              <w:pStyle w:val="TableParagraph"/>
              <w:spacing w:before="10"/>
              <w:rPr>
                <w:b/>
              </w:rPr>
            </w:pPr>
          </w:p>
          <w:p w14:paraId="457666FA" w14:textId="77777777" w:rsidR="002D6804" w:rsidRDefault="002D6804" w:rsidP="002D6804">
            <w:pPr>
              <w:pStyle w:val="TableParagraph"/>
              <w:ind w:left="328"/>
              <w:rPr>
                <w:sz w:val="20"/>
              </w:rPr>
            </w:pPr>
            <w:r>
              <w:rPr>
                <w:sz w:val="20"/>
              </w:rPr>
              <w:t>More than</w:t>
            </w:r>
          </w:p>
          <w:p w14:paraId="6A594D0D" w14:textId="77777777" w:rsidR="002D6804" w:rsidRDefault="002D6804" w:rsidP="002D6804">
            <w:pPr>
              <w:pStyle w:val="TableParagraph"/>
              <w:spacing w:before="1"/>
              <w:ind w:left="278"/>
              <w:rPr>
                <w:sz w:val="20"/>
              </w:rPr>
            </w:pPr>
            <w:r>
              <w:rPr>
                <w:sz w:val="20"/>
              </w:rPr>
              <w:t>$1,000,000</w:t>
            </w:r>
          </w:p>
        </w:tc>
        <w:tc>
          <w:tcPr>
            <w:tcW w:w="2269" w:type="dxa"/>
          </w:tcPr>
          <w:p w14:paraId="7EEDC974" w14:textId="77777777" w:rsidR="002D6804" w:rsidRDefault="002D6804" w:rsidP="002D6804">
            <w:pPr>
              <w:pStyle w:val="TableParagraph"/>
              <w:spacing w:before="172"/>
              <w:ind w:left="160" w:right="149" w:firstLine="1"/>
              <w:jc w:val="center"/>
              <w:rPr>
                <w:sz w:val="20"/>
              </w:rPr>
            </w:pPr>
            <w:r>
              <w:rPr>
                <w:sz w:val="20"/>
              </w:rPr>
              <w:t>Indeterminate prolonged interruption of services – non- performance</w:t>
            </w:r>
          </w:p>
          <w:p w14:paraId="03567043" w14:textId="77777777" w:rsidR="002D6804" w:rsidRDefault="002D6804" w:rsidP="002D6804">
            <w:pPr>
              <w:pStyle w:val="TableParagraph"/>
              <w:spacing w:line="229" w:lineRule="exact"/>
              <w:ind w:left="214" w:right="205"/>
              <w:jc w:val="center"/>
              <w:rPr>
                <w:sz w:val="20"/>
              </w:rPr>
            </w:pPr>
            <w:r>
              <w:rPr>
                <w:sz w:val="20"/>
              </w:rPr>
              <w:t>&gt; 1 month</w:t>
            </w:r>
          </w:p>
        </w:tc>
        <w:tc>
          <w:tcPr>
            <w:tcW w:w="1901" w:type="dxa"/>
          </w:tcPr>
          <w:p w14:paraId="261D7D67" w14:textId="77777777" w:rsidR="002D6804" w:rsidRDefault="002D6804" w:rsidP="002D6804">
            <w:pPr>
              <w:pStyle w:val="TableParagraph"/>
              <w:spacing w:before="57"/>
              <w:ind w:left="127" w:right="117" w:firstLine="1"/>
              <w:jc w:val="center"/>
              <w:rPr>
                <w:sz w:val="20"/>
              </w:rPr>
            </w:pPr>
            <w:r>
              <w:rPr>
                <w:sz w:val="20"/>
              </w:rPr>
              <w:t>Non-compliance results in</w:t>
            </w:r>
            <w:r>
              <w:rPr>
                <w:spacing w:val="-16"/>
                <w:sz w:val="20"/>
              </w:rPr>
              <w:t xml:space="preserve"> </w:t>
            </w:r>
            <w:r>
              <w:rPr>
                <w:sz w:val="20"/>
              </w:rPr>
              <w:t>litigation, criminal charges or significant damages or penalties</w:t>
            </w:r>
          </w:p>
        </w:tc>
        <w:tc>
          <w:tcPr>
            <w:tcW w:w="2152" w:type="dxa"/>
          </w:tcPr>
          <w:p w14:paraId="5460A1B2" w14:textId="77777777" w:rsidR="002D6804" w:rsidRDefault="002D6804" w:rsidP="002D6804">
            <w:pPr>
              <w:pStyle w:val="TableParagraph"/>
              <w:spacing w:before="57"/>
              <w:ind w:left="113" w:right="103"/>
              <w:jc w:val="center"/>
              <w:rPr>
                <w:sz w:val="20"/>
              </w:rPr>
            </w:pPr>
            <w:r>
              <w:rPr>
                <w:sz w:val="20"/>
              </w:rPr>
              <w:t>Substantiated, public embarrassment, very high multiple impacts, high widespread multiple news profile, third party actions</w:t>
            </w:r>
          </w:p>
        </w:tc>
        <w:tc>
          <w:tcPr>
            <w:tcW w:w="2268" w:type="dxa"/>
          </w:tcPr>
          <w:p w14:paraId="1A281C3B" w14:textId="77777777" w:rsidR="002D6804" w:rsidRDefault="002D6804" w:rsidP="002D6804">
            <w:pPr>
              <w:pStyle w:val="TableParagraph"/>
              <w:spacing w:before="113"/>
              <w:ind w:left="270" w:right="261" w:firstLine="39"/>
              <w:jc w:val="both"/>
              <w:rPr>
                <w:sz w:val="20"/>
              </w:rPr>
            </w:pPr>
            <w:r>
              <w:rPr>
                <w:sz w:val="20"/>
              </w:rPr>
              <w:t>Extensive damage requiring prolonged period of restitution</w:t>
            </w:r>
          </w:p>
          <w:p w14:paraId="0FCFD2DC" w14:textId="77777777" w:rsidR="002D6804" w:rsidRDefault="002D6804" w:rsidP="002D6804">
            <w:pPr>
              <w:pStyle w:val="TableParagraph"/>
              <w:spacing w:before="120"/>
              <w:ind w:left="198" w:right="88" w:hanging="83"/>
              <w:rPr>
                <w:sz w:val="20"/>
              </w:rPr>
            </w:pPr>
            <w:r>
              <w:rPr>
                <w:sz w:val="20"/>
              </w:rPr>
              <w:t>Complete loss of plant, equipment &amp; building</w:t>
            </w:r>
          </w:p>
        </w:tc>
        <w:tc>
          <w:tcPr>
            <w:tcW w:w="1900" w:type="dxa"/>
            <w:gridSpan w:val="2"/>
          </w:tcPr>
          <w:p w14:paraId="32D90A14" w14:textId="77777777" w:rsidR="002D6804" w:rsidRDefault="002D6804" w:rsidP="002D6804">
            <w:pPr>
              <w:pStyle w:val="TableParagraph"/>
              <w:rPr>
                <w:b/>
              </w:rPr>
            </w:pPr>
          </w:p>
          <w:p w14:paraId="4B647808" w14:textId="77777777" w:rsidR="002D6804" w:rsidRDefault="002D6804" w:rsidP="002D6804">
            <w:pPr>
              <w:pStyle w:val="TableParagraph"/>
              <w:spacing w:before="11"/>
              <w:rPr>
                <w:b/>
              </w:rPr>
            </w:pPr>
          </w:p>
          <w:p w14:paraId="685DB1C8" w14:textId="77777777" w:rsidR="002D6804" w:rsidRDefault="002D6804" w:rsidP="002D6804">
            <w:pPr>
              <w:pStyle w:val="TableParagraph"/>
              <w:ind w:left="138" w:right="109" w:firstLine="221"/>
              <w:rPr>
                <w:sz w:val="20"/>
              </w:rPr>
            </w:pPr>
            <w:r>
              <w:rPr>
                <w:sz w:val="20"/>
              </w:rPr>
              <w:t>Uncontained, irreversible impact</w:t>
            </w:r>
          </w:p>
        </w:tc>
      </w:tr>
    </w:tbl>
    <w:p w14:paraId="0358E2D1" w14:textId="77777777" w:rsidR="002D6804" w:rsidRDefault="002D6804" w:rsidP="00624BF5">
      <w:pPr>
        <w:tabs>
          <w:tab w:val="left" w:pos="5670"/>
        </w:tabs>
        <w:rPr>
          <w:sz w:val="20"/>
        </w:rPr>
        <w:sectPr w:rsidR="002D6804">
          <w:footerReference w:type="default" r:id="rId118"/>
          <w:pgSz w:w="16840" w:h="11910" w:orient="landscape"/>
          <w:pgMar w:top="240" w:right="200" w:bottom="860" w:left="740" w:header="0" w:footer="667" w:gutter="0"/>
          <w:cols w:space="720"/>
        </w:sectPr>
      </w:pPr>
    </w:p>
    <w:p w14:paraId="04022EB1" w14:textId="77777777" w:rsidR="002D6804" w:rsidRDefault="002D6804" w:rsidP="002D6804">
      <w:pPr>
        <w:pStyle w:val="BodyText"/>
        <w:rPr>
          <w:b/>
        </w:rPr>
      </w:pPr>
      <w:r>
        <w:rPr>
          <w:noProof/>
        </w:rPr>
        <w:lastRenderedPageBreak/>
        <w:drawing>
          <wp:anchor distT="0" distB="0" distL="0" distR="0" simplePos="0" relativeHeight="251694080" behindDoc="1" locked="0" layoutInCell="1" allowOverlap="1" wp14:anchorId="15074B59" wp14:editId="53E25373">
            <wp:simplePos x="0" y="0"/>
            <wp:positionH relativeFrom="page">
              <wp:posOffset>9115691</wp:posOffset>
            </wp:positionH>
            <wp:positionV relativeFrom="page">
              <wp:posOffset>113537</wp:posOffset>
            </wp:positionV>
            <wp:extent cx="1299972" cy="710945"/>
            <wp:effectExtent l="0" t="0" r="0" b="0"/>
            <wp:wrapNone/>
            <wp:docPr id="434"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9.png"/>
                    <pic:cNvPicPr/>
                  </pic:nvPicPr>
                  <pic:blipFill>
                    <a:blip r:embed="rId119" cstate="print"/>
                    <a:stretch>
                      <a:fillRect/>
                    </a:stretch>
                  </pic:blipFill>
                  <pic:spPr>
                    <a:xfrm>
                      <a:off x="0" y="0"/>
                      <a:ext cx="1299972" cy="710945"/>
                    </a:xfrm>
                    <a:prstGeom prst="rect">
                      <a:avLst/>
                    </a:prstGeom>
                  </pic:spPr>
                </pic:pic>
              </a:graphicData>
            </a:graphic>
          </wp:anchor>
        </w:drawing>
      </w:r>
    </w:p>
    <w:p w14:paraId="62C5E9B5" w14:textId="77777777" w:rsidR="002D6804" w:rsidRDefault="002D6804" w:rsidP="002D6804">
      <w:pPr>
        <w:pStyle w:val="BodyText"/>
        <w:rPr>
          <w:b/>
        </w:rPr>
      </w:pPr>
    </w:p>
    <w:p w14:paraId="5DA3A170" w14:textId="77777777" w:rsidR="002D6804" w:rsidRDefault="002D6804" w:rsidP="002D6804">
      <w:pPr>
        <w:pStyle w:val="BodyText"/>
        <w:rPr>
          <w:b/>
        </w:rPr>
      </w:pPr>
    </w:p>
    <w:p w14:paraId="697539F9" w14:textId="77777777" w:rsidR="002D6804" w:rsidRDefault="002D6804" w:rsidP="002D6804">
      <w:pPr>
        <w:pStyle w:val="BodyText"/>
        <w:rPr>
          <w:b/>
        </w:rPr>
      </w:pPr>
    </w:p>
    <w:p w14:paraId="513E0210" w14:textId="77777777" w:rsidR="002D6804" w:rsidRDefault="002D6804" w:rsidP="002D6804">
      <w:pPr>
        <w:pStyle w:val="BodyText"/>
        <w:rPr>
          <w:b/>
          <w:sz w:val="27"/>
        </w:rPr>
      </w:pPr>
    </w:p>
    <w:tbl>
      <w:tblPr>
        <w:tblW w:w="0" w:type="auto"/>
        <w:tblInd w:w="1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2549"/>
        <w:gridCol w:w="5591"/>
        <w:gridCol w:w="3082"/>
      </w:tblGrid>
      <w:tr w:rsidR="002D6804" w14:paraId="4297E8D0" w14:textId="77777777" w:rsidTr="002D6804">
        <w:trPr>
          <w:trHeight w:val="395"/>
        </w:trPr>
        <w:tc>
          <w:tcPr>
            <w:tcW w:w="12324" w:type="dxa"/>
            <w:gridSpan w:val="4"/>
            <w:shd w:val="clear" w:color="auto" w:fill="00ACB8"/>
          </w:tcPr>
          <w:p w14:paraId="52E1FC46" w14:textId="77777777" w:rsidR="002D6804" w:rsidRDefault="002D6804" w:rsidP="002D6804">
            <w:pPr>
              <w:pStyle w:val="TableParagraph"/>
              <w:spacing w:before="59"/>
              <w:ind w:left="3421" w:right="3412"/>
              <w:jc w:val="center"/>
              <w:rPr>
                <w:b/>
                <w:sz w:val="24"/>
              </w:rPr>
            </w:pPr>
            <w:r>
              <w:rPr>
                <w:b/>
                <w:color w:val="FFFFFF"/>
                <w:sz w:val="24"/>
              </w:rPr>
              <w:t>Town of East Fremantle Measures of Likelihood</w:t>
            </w:r>
          </w:p>
        </w:tc>
      </w:tr>
      <w:tr w:rsidR="002D6804" w14:paraId="7A555EF5" w14:textId="77777777" w:rsidTr="002D6804">
        <w:trPr>
          <w:trHeight w:val="350"/>
        </w:trPr>
        <w:tc>
          <w:tcPr>
            <w:tcW w:w="1102" w:type="dxa"/>
            <w:shd w:val="clear" w:color="auto" w:fill="B3B3B3"/>
          </w:tcPr>
          <w:p w14:paraId="58CB562B" w14:textId="77777777" w:rsidR="002D6804" w:rsidRDefault="002D6804" w:rsidP="002D6804">
            <w:pPr>
              <w:pStyle w:val="TableParagraph"/>
              <w:spacing w:before="59"/>
              <w:ind w:left="274" w:right="265"/>
              <w:jc w:val="center"/>
              <w:rPr>
                <w:b/>
                <w:sz w:val="20"/>
              </w:rPr>
            </w:pPr>
            <w:r>
              <w:rPr>
                <w:b/>
                <w:sz w:val="20"/>
              </w:rPr>
              <w:t>Level</w:t>
            </w:r>
          </w:p>
        </w:tc>
        <w:tc>
          <w:tcPr>
            <w:tcW w:w="2549" w:type="dxa"/>
            <w:shd w:val="clear" w:color="auto" w:fill="B3B3B3"/>
          </w:tcPr>
          <w:p w14:paraId="0BB58AF6" w14:textId="77777777" w:rsidR="002D6804" w:rsidRDefault="002D6804" w:rsidP="002D6804">
            <w:pPr>
              <w:pStyle w:val="TableParagraph"/>
              <w:spacing w:before="59"/>
              <w:ind w:left="541" w:right="533"/>
              <w:jc w:val="center"/>
              <w:rPr>
                <w:b/>
                <w:sz w:val="20"/>
              </w:rPr>
            </w:pPr>
            <w:r>
              <w:rPr>
                <w:b/>
                <w:sz w:val="20"/>
              </w:rPr>
              <w:t>Rating</w:t>
            </w:r>
          </w:p>
        </w:tc>
        <w:tc>
          <w:tcPr>
            <w:tcW w:w="5591" w:type="dxa"/>
            <w:shd w:val="clear" w:color="auto" w:fill="B3B3B3"/>
          </w:tcPr>
          <w:p w14:paraId="4EA0C2F4" w14:textId="77777777" w:rsidR="002D6804" w:rsidRDefault="002D6804" w:rsidP="002D6804">
            <w:pPr>
              <w:pStyle w:val="TableParagraph"/>
              <w:spacing w:before="59"/>
              <w:ind w:left="2224" w:right="2215"/>
              <w:jc w:val="center"/>
              <w:rPr>
                <w:b/>
                <w:sz w:val="20"/>
              </w:rPr>
            </w:pPr>
            <w:r>
              <w:rPr>
                <w:b/>
                <w:sz w:val="20"/>
              </w:rPr>
              <w:t>Description</w:t>
            </w:r>
          </w:p>
        </w:tc>
        <w:tc>
          <w:tcPr>
            <w:tcW w:w="3082" w:type="dxa"/>
            <w:shd w:val="clear" w:color="auto" w:fill="B3B3B3"/>
          </w:tcPr>
          <w:p w14:paraId="0863DE57" w14:textId="77777777" w:rsidR="002D6804" w:rsidRDefault="002D6804" w:rsidP="002D6804">
            <w:pPr>
              <w:pStyle w:val="TableParagraph"/>
              <w:spacing w:before="59"/>
              <w:ind w:left="323" w:right="315"/>
              <w:jc w:val="center"/>
              <w:rPr>
                <w:b/>
                <w:sz w:val="20"/>
              </w:rPr>
            </w:pPr>
            <w:r>
              <w:rPr>
                <w:b/>
                <w:sz w:val="20"/>
              </w:rPr>
              <w:t>Frequency</w:t>
            </w:r>
          </w:p>
        </w:tc>
      </w:tr>
      <w:tr w:rsidR="002D6804" w14:paraId="75C60BCB" w14:textId="77777777" w:rsidTr="002D6804">
        <w:trPr>
          <w:trHeight w:val="350"/>
        </w:trPr>
        <w:tc>
          <w:tcPr>
            <w:tcW w:w="1102" w:type="dxa"/>
            <w:shd w:val="clear" w:color="auto" w:fill="BFBFBF"/>
          </w:tcPr>
          <w:p w14:paraId="3828D56A" w14:textId="77777777" w:rsidR="002D6804" w:rsidRDefault="002D6804" w:rsidP="002D6804">
            <w:pPr>
              <w:pStyle w:val="TableParagraph"/>
              <w:spacing w:before="59"/>
              <w:ind w:left="7"/>
              <w:jc w:val="center"/>
              <w:rPr>
                <w:b/>
                <w:sz w:val="20"/>
              </w:rPr>
            </w:pPr>
            <w:r>
              <w:rPr>
                <w:b/>
                <w:sz w:val="20"/>
              </w:rPr>
              <w:t>5</w:t>
            </w:r>
          </w:p>
        </w:tc>
        <w:tc>
          <w:tcPr>
            <w:tcW w:w="2549" w:type="dxa"/>
            <w:shd w:val="clear" w:color="auto" w:fill="BFBFBF"/>
          </w:tcPr>
          <w:p w14:paraId="11901974" w14:textId="77777777" w:rsidR="002D6804" w:rsidRDefault="002D6804" w:rsidP="002D6804">
            <w:pPr>
              <w:pStyle w:val="TableParagraph"/>
              <w:spacing w:before="59"/>
              <w:ind w:left="541" w:right="534"/>
              <w:jc w:val="center"/>
              <w:rPr>
                <w:b/>
                <w:sz w:val="20"/>
              </w:rPr>
            </w:pPr>
            <w:r>
              <w:rPr>
                <w:b/>
                <w:sz w:val="20"/>
              </w:rPr>
              <w:t>Almost Certain</w:t>
            </w:r>
          </w:p>
        </w:tc>
        <w:tc>
          <w:tcPr>
            <w:tcW w:w="5591" w:type="dxa"/>
          </w:tcPr>
          <w:p w14:paraId="602D37BA" w14:textId="77777777" w:rsidR="002D6804" w:rsidRDefault="002D6804" w:rsidP="00624BF5">
            <w:pPr>
              <w:pStyle w:val="TableParagraph"/>
              <w:spacing w:before="58"/>
              <w:ind w:left="122" w:right="404"/>
              <w:jc w:val="center"/>
              <w:rPr>
                <w:sz w:val="20"/>
              </w:rPr>
            </w:pPr>
            <w:r>
              <w:rPr>
                <w:sz w:val="20"/>
              </w:rPr>
              <w:t>The event is expected to occur in most circumstances</w:t>
            </w:r>
          </w:p>
        </w:tc>
        <w:tc>
          <w:tcPr>
            <w:tcW w:w="3082" w:type="dxa"/>
          </w:tcPr>
          <w:p w14:paraId="41BFCA70" w14:textId="77777777" w:rsidR="002D6804" w:rsidRDefault="002D6804" w:rsidP="002D6804">
            <w:pPr>
              <w:pStyle w:val="TableParagraph"/>
              <w:spacing w:before="58"/>
              <w:ind w:left="323" w:right="315"/>
              <w:jc w:val="center"/>
              <w:rPr>
                <w:sz w:val="20"/>
              </w:rPr>
            </w:pPr>
            <w:r>
              <w:rPr>
                <w:sz w:val="20"/>
              </w:rPr>
              <w:t>More than once per year</w:t>
            </w:r>
          </w:p>
        </w:tc>
      </w:tr>
      <w:tr w:rsidR="002D6804" w14:paraId="1DCEF41D" w14:textId="77777777" w:rsidTr="002D6804">
        <w:trPr>
          <w:trHeight w:val="350"/>
        </w:trPr>
        <w:tc>
          <w:tcPr>
            <w:tcW w:w="1102" w:type="dxa"/>
            <w:shd w:val="clear" w:color="auto" w:fill="BFBFBF"/>
          </w:tcPr>
          <w:p w14:paraId="49BF542C" w14:textId="77777777" w:rsidR="002D6804" w:rsidRDefault="002D6804" w:rsidP="002D6804">
            <w:pPr>
              <w:pStyle w:val="TableParagraph"/>
              <w:spacing w:before="59"/>
              <w:ind w:left="7"/>
              <w:jc w:val="center"/>
              <w:rPr>
                <w:b/>
                <w:sz w:val="20"/>
              </w:rPr>
            </w:pPr>
            <w:r>
              <w:rPr>
                <w:b/>
                <w:sz w:val="20"/>
              </w:rPr>
              <w:t>4</w:t>
            </w:r>
          </w:p>
        </w:tc>
        <w:tc>
          <w:tcPr>
            <w:tcW w:w="2549" w:type="dxa"/>
            <w:shd w:val="clear" w:color="auto" w:fill="BFBFBF"/>
          </w:tcPr>
          <w:p w14:paraId="4C0CE557" w14:textId="77777777" w:rsidR="002D6804" w:rsidRDefault="002D6804" w:rsidP="002D6804">
            <w:pPr>
              <w:pStyle w:val="TableParagraph"/>
              <w:spacing w:before="59"/>
              <w:ind w:left="541" w:right="530"/>
              <w:jc w:val="center"/>
              <w:rPr>
                <w:b/>
                <w:sz w:val="20"/>
              </w:rPr>
            </w:pPr>
            <w:r>
              <w:rPr>
                <w:b/>
                <w:sz w:val="20"/>
              </w:rPr>
              <w:t>Likely</w:t>
            </w:r>
          </w:p>
        </w:tc>
        <w:tc>
          <w:tcPr>
            <w:tcW w:w="5591" w:type="dxa"/>
          </w:tcPr>
          <w:p w14:paraId="25C70DC7" w14:textId="77777777" w:rsidR="002D6804" w:rsidRDefault="002D6804" w:rsidP="00624BF5">
            <w:pPr>
              <w:pStyle w:val="TableParagraph"/>
              <w:spacing w:before="58"/>
              <w:ind w:left="264"/>
              <w:jc w:val="center"/>
              <w:rPr>
                <w:sz w:val="20"/>
              </w:rPr>
            </w:pPr>
            <w:r>
              <w:rPr>
                <w:sz w:val="20"/>
              </w:rPr>
              <w:t>The event will probably occur in most circumstances</w:t>
            </w:r>
          </w:p>
        </w:tc>
        <w:tc>
          <w:tcPr>
            <w:tcW w:w="3082" w:type="dxa"/>
          </w:tcPr>
          <w:p w14:paraId="60685698" w14:textId="77777777" w:rsidR="002D6804" w:rsidRDefault="002D6804" w:rsidP="002D6804">
            <w:pPr>
              <w:pStyle w:val="TableParagraph"/>
              <w:spacing w:before="58"/>
              <w:ind w:left="323" w:right="317"/>
              <w:jc w:val="center"/>
              <w:rPr>
                <w:sz w:val="20"/>
              </w:rPr>
            </w:pPr>
            <w:r>
              <w:rPr>
                <w:sz w:val="20"/>
              </w:rPr>
              <w:t>At least once per year</w:t>
            </w:r>
          </w:p>
        </w:tc>
      </w:tr>
      <w:tr w:rsidR="002D6804" w14:paraId="4520EA9A" w14:textId="77777777" w:rsidTr="002D6804">
        <w:trPr>
          <w:trHeight w:val="350"/>
        </w:trPr>
        <w:tc>
          <w:tcPr>
            <w:tcW w:w="1102" w:type="dxa"/>
            <w:shd w:val="clear" w:color="auto" w:fill="BFBFBF"/>
          </w:tcPr>
          <w:p w14:paraId="2777CFC8" w14:textId="77777777" w:rsidR="002D6804" w:rsidRDefault="002D6804" w:rsidP="002D6804">
            <w:pPr>
              <w:pStyle w:val="TableParagraph"/>
              <w:spacing w:before="59"/>
              <w:ind w:left="7"/>
              <w:jc w:val="center"/>
              <w:rPr>
                <w:b/>
                <w:sz w:val="20"/>
              </w:rPr>
            </w:pPr>
            <w:r>
              <w:rPr>
                <w:b/>
                <w:sz w:val="20"/>
              </w:rPr>
              <w:t>3</w:t>
            </w:r>
          </w:p>
        </w:tc>
        <w:tc>
          <w:tcPr>
            <w:tcW w:w="2549" w:type="dxa"/>
            <w:shd w:val="clear" w:color="auto" w:fill="BFBFBF"/>
          </w:tcPr>
          <w:p w14:paraId="3A6AFDEE" w14:textId="77777777" w:rsidR="002D6804" w:rsidRDefault="002D6804" w:rsidP="002D6804">
            <w:pPr>
              <w:pStyle w:val="TableParagraph"/>
              <w:spacing w:before="59"/>
              <w:ind w:left="541" w:right="533"/>
              <w:jc w:val="center"/>
              <w:rPr>
                <w:b/>
                <w:sz w:val="20"/>
              </w:rPr>
            </w:pPr>
            <w:r>
              <w:rPr>
                <w:b/>
                <w:sz w:val="20"/>
              </w:rPr>
              <w:t>Possible</w:t>
            </w:r>
          </w:p>
        </w:tc>
        <w:tc>
          <w:tcPr>
            <w:tcW w:w="5591" w:type="dxa"/>
          </w:tcPr>
          <w:p w14:paraId="359C57DF" w14:textId="77777777" w:rsidR="002D6804" w:rsidRDefault="002D6804" w:rsidP="00624BF5">
            <w:pPr>
              <w:pStyle w:val="TableParagraph"/>
              <w:spacing w:before="58"/>
              <w:ind w:left="264"/>
              <w:jc w:val="center"/>
              <w:rPr>
                <w:sz w:val="20"/>
              </w:rPr>
            </w:pPr>
            <w:r>
              <w:rPr>
                <w:sz w:val="20"/>
              </w:rPr>
              <w:t>The event should occur at some time</w:t>
            </w:r>
          </w:p>
        </w:tc>
        <w:tc>
          <w:tcPr>
            <w:tcW w:w="3082" w:type="dxa"/>
          </w:tcPr>
          <w:p w14:paraId="49E3D9A2" w14:textId="77777777" w:rsidR="002D6804" w:rsidRDefault="002D6804" w:rsidP="002D6804">
            <w:pPr>
              <w:pStyle w:val="TableParagraph"/>
              <w:spacing w:before="58"/>
              <w:ind w:left="323" w:right="316"/>
              <w:jc w:val="center"/>
              <w:rPr>
                <w:sz w:val="20"/>
              </w:rPr>
            </w:pPr>
            <w:r>
              <w:rPr>
                <w:sz w:val="20"/>
              </w:rPr>
              <w:t>At least once in 3 years</w:t>
            </w:r>
          </w:p>
        </w:tc>
      </w:tr>
      <w:tr w:rsidR="002D6804" w14:paraId="257CB7B7" w14:textId="77777777" w:rsidTr="002D6804">
        <w:trPr>
          <w:trHeight w:val="350"/>
        </w:trPr>
        <w:tc>
          <w:tcPr>
            <w:tcW w:w="1102" w:type="dxa"/>
            <w:shd w:val="clear" w:color="auto" w:fill="BFBFBF"/>
          </w:tcPr>
          <w:p w14:paraId="1AD4EC1E" w14:textId="77777777" w:rsidR="002D6804" w:rsidRDefault="002D6804" w:rsidP="002D6804">
            <w:pPr>
              <w:pStyle w:val="TableParagraph"/>
              <w:spacing w:before="59"/>
              <w:ind w:left="7"/>
              <w:jc w:val="center"/>
              <w:rPr>
                <w:b/>
                <w:sz w:val="20"/>
              </w:rPr>
            </w:pPr>
            <w:r>
              <w:rPr>
                <w:b/>
                <w:sz w:val="20"/>
              </w:rPr>
              <w:t>2</w:t>
            </w:r>
          </w:p>
        </w:tc>
        <w:tc>
          <w:tcPr>
            <w:tcW w:w="2549" w:type="dxa"/>
            <w:shd w:val="clear" w:color="auto" w:fill="BFBFBF"/>
          </w:tcPr>
          <w:p w14:paraId="7572EA07" w14:textId="77777777" w:rsidR="002D6804" w:rsidRDefault="002D6804" w:rsidP="002D6804">
            <w:pPr>
              <w:pStyle w:val="TableParagraph"/>
              <w:spacing w:before="59"/>
              <w:ind w:left="541" w:right="532"/>
              <w:jc w:val="center"/>
              <w:rPr>
                <w:b/>
                <w:sz w:val="20"/>
              </w:rPr>
            </w:pPr>
            <w:r>
              <w:rPr>
                <w:b/>
                <w:sz w:val="20"/>
              </w:rPr>
              <w:t>Unlikely</w:t>
            </w:r>
          </w:p>
        </w:tc>
        <w:tc>
          <w:tcPr>
            <w:tcW w:w="5591" w:type="dxa"/>
          </w:tcPr>
          <w:p w14:paraId="5488F20C" w14:textId="77777777" w:rsidR="002D6804" w:rsidRDefault="002D6804" w:rsidP="00624BF5">
            <w:pPr>
              <w:pStyle w:val="TableParagraph"/>
              <w:spacing w:before="58"/>
              <w:ind w:left="264"/>
              <w:jc w:val="center"/>
              <w:rPr>
                <w:sz w:val="20"/>
              </w:rPr>
            </w:pPr>
            <w:r>
              <w:rPr>
                <w:sz w:val="20"/>
              </w:rPr>
              <w:t>The event could occur at some time</w:t>
            </w:r>
          </w:p>
        </w:tc>
        <w:tc>
          <w:tcPr>
            <w:tcW w:w="3082" w:type="dxa"/>
          </w:tcPr>
          <w:p w14:paraId="24BA9898" w14:textId="77777777" w:rsidR="002D6804" w:rsidRDefault="002D6804" w:rsidP="002D6804">
            <w:pPr>
              <w:pStyle w:val="TableParagraph"/>
              <w:spacing w:before="58"/>
              <w:ind w:left="323" w:right="317"/>
              <w:jc w:val="center"/>
              <w:rPr>
                <w:sz w:val="20"/>
              </w:rPr>
            </w:pPr>
            <w:r>
              <w:rPr>
                <w:sz w:val="20"/>
              </w:rPr>
              <w:t>At least once in 10 years</w:t>
            </w:r>
          </w:p>
        </w:tc>
      </w:tr>
      <w:tr w:rsidR="002D6804" w14:paraId="3ECA7E79" w14:textId="77777777" w:rsidTr="002D6804">
        <w:trPr>
          <w:trHeight w:val="351"/>
        </w:trPr>
        <w:tc>
          <w:tcPr>
            <w:tcW w:w="1102" w:type="dxa"/>
            <w:shd w:val="clear" w:color="auto" w:fill="BFBFBF"/>
          </w:tcPr>
          <w:p w14:paraId="3CA0BFAC" w14:textId="77777777" w:rsidR="002D6804" w:rsidRDefault="002D6804" w:rsidP="002D6804">
            <w:pPr>
              <w:pStyle w:val="TableParagraph"/>
              <w:spacing w:before="59"/>
              <w:ind w:left="7"/>
              <w:jc w:val="center"/>
              <w:rPr>
                <w:b/>
                <w:sz w:val="20"/>
              </w:rPr>
            </w:pPr>
            <w:r>
              <w:rPr>
                <w:b/>
                <w:sz w:val="20"/>
              </w:rPr>
              <w:t>1</w:t>
            </w:r>
          </w:p>
        </w:tc>
        <w:tc>
          <w:tcPr>
            <w:tcW w:w="2549" w:type="dxa"/>
            <w:shd w:val="clear" w:color="auto" w:fill="BFBFBF"/>
          </w:tcPr>
          <w:p w14:paraId="7DE5FB4D" w14:textId="77777777" w:rsidR="002D6804" w:rsidRDefault="002D6804" w:rsidP="002D6804">
            <w:pPr>
              <w:pStyle w:val="TableParagraph"/>
              <w:spacing w:before="59"/>
              <w:ind w:left="541" w:right="533"/>
              <w:jc w:val="center"/>
              <w:rPr>
                <w:b/>
                <w:sz w:val="20"/>
              </w:rPr>
            </w:pPr>
            <w:r>
              <w:rPr>
                <w:b/>
                <w:sz w:val="20"/>
              </w:rPr>
              <w:t>Rare</w:t>
            </w:r>
          </w:p>
        </w:tc>
        <w:tc>
          <w:tcPr>
            <w:tcW w:w="5591" w:type="dxa"/>
          </w:tcPr>
          <w:p w14:paraId="7AE6C6A9" w14:textId="77777777" w:rsidR="002D6804" w:rsidRDefault="002D6804" w:rsidP="00624BF5">
            <w:pPr>
              <w:pStyle w:val="TableParagraph"/>
              <w:spacing w:before="58"/>
              <w:ind w:left="264" w:right="333"/>
              <w:jc w:val="center"/>
              <w:rPr>
                <w:sz w:val="20"/>
              </w:rPr>
            </w:pPr>
            <w:r>
              <w:rPr>
                <w:sz w:val="20"/>
              </w:rPr>
              <w:t>The event may only occur in exceptional circumstances</w:t>
            </w:r>
          </w:p>
        </w:tc>
        <w:tc>
          <w:tcPr>
            <w:tcW w:w="3082" w:type="dxa"/>
          </w:tcPr>
          <w:p w14:paraId="02602DD2" w14:textId="77777777" w:rsidR="002D6804" w:rsidRDefault="002D6804" w:rsidP="002D6804">
            <w:pPr>
              <w:pStyle w:val="TableParagraph"/>
              <w:spacing w:before="58"/>
              <w:ind w:left="323" w:right="318"/>
              <w:jc w:val="center"/>
              <w:rPr>
                <w:sz w:val="20"/>
              </w:rPr>
            </w:pPr>
            <w:r>
              <w:rPr>
                <w:sz w:val="20"/>
              </w:rPr>
              <w:t>Less than once in 15 years</w:t>
            </w:r>
          </w:p>
        </w:tc>
      </w:tr>
    </w:tbl>
    <w:p w14:paraId="7962AFBD" w14:textId="77777777" w:rsidR="002D6804" w:rsidRDefault="002D6804" w:rsidP="002D6804">
      <w:pPr>
        <w:pStyle w:val="BodyText"/>
        <w:rPr>
          <w:b/>
        </w:rPr>
      </w:pPr>
    </w:p>
    <w:p w14:paraId="59FCD6F3" w14:textId="77777777" w:rsidR="002D6804" w:rsidRDefault="002D6804" w:rsidP="002D6804">
      <w:pPr>
        <w:pStyle w:val="BodyText"/>
        <w:rPr>
          <w:b/>
        </w:rPr>
      </w:pPr>
    </w:p>
    <w:p w14:paraId="53CF1AB1" w14:textId="77777777" w:rsidR="002D6804" w:rsidRDefault="002D6804" w:rsidP="002D6804">
      <w:pPr>
        <w:pStyle w:val="BodyText"/>
        <w:spacing w:before="10" w:after="1"/>
        <w:rPr>
          <w:b/>
          <w:sz w:val="13"/>
        </w:rPr>
      </w:pPr>
    </w:p>
    <w:tbl>
      <w:tblPr>
        <w:tblW w:w="0" w:type="auto"/>
        <w:tblInd w:w="1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1"/>
        <w:gridCol w:w="586"/>
        <w:gridCol w:w="1868"/>
        <w:gridCol w:w="2031"/>
        <w:gridCol w:w="2033"/>
        <w:gridCol w:w="2032"/>
        <w:gridCol w:w="2032"/>
      </w:tblGrid>
      <w:tr w:rsidR="002D6804" w14:paraId="6C870890" w14:textId="77777777" w:rsidTr="002D6804">
        <w:trPr>
          <w:trHeight w:val="515"/>
        </w:trPr>
        <w:tc>
          <w:tcPr>
            <w:tcW w:w="12363" w:type="dxa"/>
            <w:gridSpan w:val="7"/>
            <w:shd w:val="clear" w:color="auto" w:fill="00ACB8"/>
          </w:tcPr>
          <w:p w14:paraId="4B3FE027" w14:textId="77777777" w:rsidR="002D6804" w:rsidRDefault="002D6804" w:rsidP="002D6804">
            <w:pPr>
              <w:pStyle w:val="TableParagraph"/>
              <w:spacing w:before="119"/>
              <w:ind w:left="4133" w:right="4124"/>
              <w:jc w:val="center"/>
              <w:rPr>
                <w:b/>
                <w:sz w:val="24"/>
              </w:rPr>
            </w:pPr>
            <w:r>
              <w:rPr>
                <w:b/>
                <w:color w:val="FFFFFF"/>
                <w:sz w:val="24"/>
              </w:rPr>
              <w:t>Town of East Fremantle Risk Matrix</w:t>
            </w:r>
          </w:p>
        </w:tc>
      </w:tr>
      <w:tr w:rsidR="002D6804" w14:paraId="02F73191" w14:textId="77777777" w:rsidTr="002D6804">
        <w:trPr>
          <w:trHeight w:val="470"/>
        </w:trPr>
        <w:tc>
          <w:tcPr>
            <w:tcW w:w="2367" w:type="dxa"/>
            <w:gridSpan w:val="2"/>
            <w:vMerge w:val="restart"/>
            <w:shd w:val="clear" w:color="auto" w:fill="BFBFBF"/>
          </w:tcPr>
          <w:p w14:paraId="136078B2" w14:textId="77777777" w:rsidR="002D6804" w:rsidRDefault="002D6804" w:rsidP="002D6804">
            <w:pPr>
              <w:pStyle w:val="TableParagraph"/>
              <w:spacing w:before="119"/>
              <w:ind w:left="946"/>
              <w:rPr>
                <w:b/>
                <w:sz w:val="20"/>
              </w:rPr>
            </w:pPr>
            <w:r>
              <w:rPr>
                <w:b/>
                <w:sz w:val="20"/>
              </w:rPr>
              <w:t>Consequence</w:t>
            </w:r>
          </w:p>
          <w:p w14:paraId="77030C38" w14:textId="77777777" w:rsidR="002D6804" w:rsidRDefault="002D6804" w:rsidP="002D6804">
            <w:pPr>
              <w:pStyle w:val="TableParagraph"/>
              <w:spacing w:before="9"/>
              <w:rPr>
                <w:b/>
                <w:sz w:val="20"/>
              </w:rPr>
            </w:pPr>
          </w:p>
          <w:p w14:paraId="4AF8AC17" w14:textId="77777777" w:rsidR="002D6804" w:rsidRDefault="002D6804" w:rsidP="002D6804">
            <w:pPr>
              <w:pStyle w:val="TableParagraph"/>
              <w:ind w:left="107"/>
              <w:rPr>
                <w:b/>
                <w:sz w:val="20"/>
              </w:rPr>
            </w:pPr>
            <w:r>
              <w:rPr>
                <w:b/>
                <w:sz w:val="20"/>
              </w:rPr>
              <w:t>Likelihood</w:t>
            </w:r>
          </w:p>
        </w:tc>
        <w:tc>
          <w:tcPr>
            <w:tcW w:w="1868" w:type="dxa"/>
            <w:shd w:val="clear" w:color="auto" w:fill="BFBFBF"/>
          </w:tcPr>
          <w:p w14:paraId="40EECFFD" w14:textId="77777777" w:rsidR="002D6804" w:rsidRDefault="002D6804" w:rsidP="002D6804">
            <w:pPr>
              <w:pStyle w:val="TableParagraph"/>
              <w:spacing w:before="119"/>
              <w:ind w:left="317" w:right="311"/>
              <w:jc w:val="center"/>
              <w:rPr>
                <w:b/>
                <w:sz w:val="20"/>
              </w:rPr>
            </w:pPr>
            <w:r>
              <w:rPr>
                <w:b/>
                <w:sz w:val="20"/>
              </w:rPr>
              <w:t>Insignificant</w:t>
            </w:r>
          </w:p>
        </w:tc>
        <w:tc>
          <w:tcPr>
            <w:tcW w:w="2031" w:type="dxa"/>
            <w:shd w:val="clear" w:color="auto" w:fill="BFBFBF"/>
          </w:tcPr>
          <w:p w14:paraId="24ADEA63" w14:textId="77777777" w:rsidR="002D6804" w:rsidRDefault="002D6804" w:rsidP="002D6804">
            <w:pPr>
              <w:pStyle w:val="TableParagraph"/>
              <w:spacing w:before="119"/>
              <w:ind w:left="398" w:right="392"/>
              <w:jc w:val="center"/>
              <w:rPr>
                <w:b/>
                <w:sz w:val="20"/>
              </w:rPr>
            </w:pPr>
            <w:r>
              <w:rPr>
                <w:b/>
                <w:sz w:val="20"/>
              </w:rPr>
              <w:t>Minor</w:t>
            </w:r>
          </w:p>
        </w:tc>
        <w:tc>
          <w:tcPr>
            <w:tcW w:w="2033" w:type="dxa"/>
            <w:shd w:val="clear" w:color="auto" w:fill="BFBFBF"/>
          </w:tcPr>
          <w:p w14:paraId="3F05AAC3" w14:textId="77777777" w:rsidR="002D6804" w:rsidRDefault="002D6804" w:rsidP="002D6804">
            <w:pPr>
              <w:pStyle w:val="TableParagraph"/>
              <w:spacing w:before="119"/>
              <w:ind w:left="398" w:right="393"/>
              <w:jc w:val="center"/>
              <w:rPr>
                <w:b/>
                <w:sz w:val="20"/>
              </w:rPr>
            </w:pPr>
            <w:r>
              <w:rPr>
                <w:b/>
                <w:sz w:val="20"/>
              </w:rPr>
              <w:t>Moderate</w:t>
            </w:r>
          </w:p>
        </w:tc>
        <w:tc>
          <w:tcPr>
            <w:tcW w:w="2032" w:type="dxa"/>
            <w:shd w:val="clear" w:color="auto" w:fill="BFBFBF"/>
          </w:tcPr>
          <w:p w14:paraId="5774C9AA" w14:textId="77777777" w:rsidR="002D6804" w:rsidRDefault="002D6804" w:rsidP="002D6804">
            <w:pPr>
              <w:pStyle w:val="TableParagraph"/>
              <w:spacing w:before="119"/>
              <w:ind w:left="392" w:right="388"/>
              <w:jc w:val="center"/>
              <w:rPr>
                <w:b/>
                <w:sz w:val="20"/>
              </w:rPr>
            </w:pPr>
            <w:r>
              <w:rPr>
                <w:b/>
                <w:sz w:val="20"/>
              </w:rPr>
              <w:t>Major</w:t>
            </w:r>
          </w:p>
        </w:tc>
        <w:tc>
          <w:tcPr>
            <w:tcW w:w="2032" w:type="dxa"/>
            <w:shd w:val="clear" w:color="auto" w:fill="BFBFBF"/>
          </w:tcPr>
          <w:p w14:paraId="36695BE5" w14:textId="77777777" w:rsidR="002D6804" w:rsidRDefault="002D6804" w:rsidP="002D6804">
            <w:pPr>
              <w:pStyle w:val="TableParagraph"/>
              <w:spacing w:before="119"/>
              <w:ind w:left="390" w:right="388"/>
              <w:jc w:val="center"/>
              <w:rPr>
                <w:b/>
                <w:sz w:val="20"/>
              </w:rPr>
            </w:pPr>
            <w:r>
              <w:rPr>
                <w:b/>
                <w:sz w:val="20"/>
              </w:rPr>
              <w:t>Extreme</w:t>
            </w:r>
          </w:p>
        </w:tc>
      </w:tr>
      <w:tr w:rsidR="002D6804" w14:paraId="06AFFA84" w14:textId="77777777" w:rsidTr="002D6804">
        <w:trPr>
          <w:trHeight w:val="470"/>
        </w:trPr>
        <w:tc>
          <w:tcPr>
            <w:tcW w:w="2367" w:type="dxa"/>
            <w:gridSpan w:val="2"/>
            <w:vMerge/>
            <w:tcBorders>
              <w:top w:val="nil"/>
            </w:tcBorders>
            <w:shd w:val="clear" w:color="auto" w:fill="BFBFBF"/>
          </w:tcPr>
          <w:p w14:paraId="60354531" w14:textId="77777777" w:rsidR="002D6804" w:rsidRDefault="002D6804" w:rsidP="002D6804">
            <w:pPr>
              <w:rPr>
                <w:sz w:val="2"/>
                <w:szCs w:val="2"/>
              </w:rPr>
            </w:pPr>
          </w:p>
        </w:tc>
        <w:tc>
          <w:tcPr>
            <w:tcW w:w="1868" w:type="dxa"/>
            <w:shd w:val="clear" w:color="auto" w:fill="BFBFBF"/>
          </w:tcPr>
          <w:p w14:paraId="76AC4782" w14:textId="77777777" w:rsidR="002D6804" w:rsidRDefault="002D6804" w:rsidP="002D6804">
            <w:pPr>
              <w:pStyle w:val="TableParagraph"/>
              <w:spacing w:before="119"/>
              <w:ind w:left="317" w:right="308"/>
              <w:jc w:val="center"/>
              <w:rPr>
                <w:b/>
                <w:sz w:val="20"/>
              </w:rPr>
            </w:pPr>
            <w:r>
              <w:rPr>
                <w:b/>
                <w:color w:val="FF0000"/>
                <w:sz w:val="20"/>
              </w:rPr>
              <w:t>A?</w:t>
            </w:r>
          </w:p>
        </w:tc>
        <w:tc>
          <w:tcPr>
            <w:tcW w:w="2031" w:type="dxa"/>
            <w:shd w:val="clear" w:color="auto" w:fill="BFBFBF"/>
          </w:tcPr>
          <w:p w14:paraId="4A404DD9" w14:textId="77777777" w:rsidR="002D6804" w:rsidRDefault="002D6804" w:rsidP="002D6804">
            <w:pPr>
              <w:pStyle w:val="TableParagraph"/>
              <w:spacing w:before="119"/>
              <w:ind w:left="7"/>
              <w:jc w:val="center"/>
              <w:rPr>
                <w:b/>
                <w:sz w:val="20"/>
              </w:rPr>
            </w:pPr>
            <w:r>
              <w:rPr>
                <w:b/>
                <w:sz w:val="20"/>
              </w:rPr>
              <w:t>2</w:t>
            </w:r>
          </w:p>
        </w:tc>
        <w:tc>
          <w:tcPr>
            <w:tcW w:w="2033" w:type="dxa"/>
            <w:shd w:val="clear" w:color="auto" w:fill="BFBFBF"/>
          </w:tcPr>
          <w:p w14:paraId="1FF74EFB" w14:textId="77777777" w:rsidR="002D6804" w:rsidRDefault="002D6804" w:rsidP="002D6804">
            <w:pPr>
              <w:pStyle w:val="TableParagraph"/>
              <w:spacing w:before="119"/>
              <w:ind w:left="4"/>
              <w:jc w:val="center"/>
              <w:rPr>
                <w:b/>
                <w:sz w:val="20"/>
              </w:rPr>
            </w:pPr>
            <w:r>
              <w:rPr>
                <w:b/>
                <w:sz w:val="20"/>
              </w:rPr>
              <w:t>3</w:t>
            </w:r>
          </w:p>
        </w:tc>
        <w:tc>
          <w:tcPr>
            <w:tcW w:w="2032" w:type="dxa"/>
            <w:shd w:val="clear" w:color="auto" w:fill="BFBFBF"/>
          </w:tcPr>
          <w:p w14:paraId="6D9DC228" w14:textId="77777777" w:rsidR="002D6804" w:rsidRDefault="002D6804" w:rsidP="002D6804">
            <w:pPr>
              <w:pStyle w:val="TableParagraph"/>
              <w:spacing w:before="119"/>
              <w:ind w:left="4"/>
              <w:jc w:val="center"/>
              <w:rPr>
                <w:b/>
                <w:sz w:val="20"/>
              </w:rPr>
            </w:pPr>
            <w:r>
              <w:rPr>
                <w:b/>
                <w:sz w:val="20"/>
              </w:rPr>
              <w:t>4</w:t>
            </w:r>
          </w:p>
        </w:tc>
        <w:tc>
          <w:tcPr>
            <w:tcW w:w="2032" w:type="dxa"/>
            <w:shd w:val="clear" w:color="auto" w:fill="BFBFBF"/>
          </w:tcPr>
          <w:p w14:paraId="582E639A" w14:textId="77777777" w:rsidR="002D6804" w:rsidRDefault="002D6804" w:rsidP="002D6804">
            <w:pPr>
              <w:pStyle w:val="TableParagraph"/>
              <w:spacing w:before="119"/>
              <w:ind w:left="3"/>
              <w:jc w:val="center"/>
              <w:rPr>
                <w:b/>
                <w:sz w:val="20"/>
              </w:rPr>
            </w:pPr>
            <w:r>
              <w:rPr>
                <w:b/>
                <w:sz w:val="20"/>
              </w:rPr>
              <w:t>5</w:t>
            </w:r>
          </w:p>
        </w:tc>
      </w:tr>
      <w:tr w:rsidR="002D6804" w14:paraId="13123EF2" w14:textId="77777777" w:rsidTr="002D6804">
        <w:trPr>
          <w:trHeight w:val="470"/>
        </w:trPr>
        <w:tc>
          <w:tcPr>
            <w:tcW w:w="1781" w:type="dxa"/>
            <w:shd w:val="clear" w:color="auto" w:fill="BFBFBF"/>
          </w:tcPr>
          <w:p w14:paraId="282A5F30" w14:textId="77777777" w:rsidR="002D6804" w:rsidRDefault="002D6804" w:rsidP="002D6804">
            <w:pPr>
              <w:pStyle w:val="TableParagraph"/>
              <w:spacing w:before="119"/>
              <w:ind w:left="158" w:right="150"/>
              <w:jc w:val="center"/>
              <w:rPr>
                <w:b/>
                <w:sz w:val="20"/>
              </w:rPr>
            </w:pPr>
            <w:r>
              <w:rPr>
                <w:b/>
                <w:sz w:val="20"/>
              </w:rPr>
              <w:t>Almost Certain</w:t>
            </w:r>
          </w:p>
        </w:tc>
        <w:tc>
          <w:tcPr>
            <w:tcW w:w="586" w:type="dxa"/>
            <w:shd w:val="clear" w:color="auto" w:fill="BFBFBF"/>
          </w:tcPr>
          <w:p w14:paraId="7C9287FB" w14:textId="77777777" w:rsidR="002D6804" w:rsidRDefault="002D6804" w:rsidP="002D6804">
            <w:pPr>
              <w:pStyle w:val="TableParagraph"/>
              <w:spacing w:before="119"/>
              <w:ind w:left="9"/>
              <w:jc w:val="center"/>
              <w:rPr>
                <w:b/>
                <w:sz w:val="20"/>
              </w:rPr>
            </w:pPr>
            <w:r>
              <w:rPr>
                <w:b/>
                <w:sz w:val="20"/>
              </w:rPr>
              <w:t>5</w:t>
            </w:r>
          </w:p>
        </w:tc>
        <w:tc>
          <w:tcPr>
            <w:tcW w:w="1868" w:type="dxa"/>
            <w:shd w:val="clear" w:color="auto" w:fill="FFFF00"/>
          </w:tcPr>
          <w:p w14:paraId="1C779655" w14:textId="77777777" w:rsidR="002D6804" w:rsidRDefault="002D6804" w:rsidP="002D6804">
            <w:pPr>
              <w:pStyle w:val="TableParagraph"/>
              <w:spacing w:before="119"/>
              <w:ind w:left="317" w:right="311"/>
              <w:jc w:val="center"/>
              <w:rPr>
                <w:b/>
                <w:sz w:val="20"/>
              </w:rPr>
            </w:pPr>
            <w:r>
              <w:rPr>
                <w:b/>
                <w:sz w:val="20"/>
              </w:rPr>
              <w:t>Moderate (5)</w:t>
            </w:r>
          </w:p>
        </w:tc>
        <w:tc>
          <w:tcPr>
            <w:tcW w:w="2031" w:type="dxa"/>
            <w:shd w:val="clear" w:color="auto" w:fill="FF6500"/>
          </w:tcPr>
          <w:p w14:paraId="32CEEEF5" w14:textId="77777777" w:rsidR="002D6804" w:rsidRDefault="002D6804" w:rsidP="002D6804">
            <w:pPr>
              <w:pStyle w:val="TableParagraph"/>
              <w:spacing w:before="119"/>
              <w:ind w:left="399" w:right="392"/>
              <w:jc w:val="center"/>
              <w:rPr>
                <w:b/>
                <w:sz w:val="20"/>
              </w:rPr>
            </w:pPr>
            <w:r>
              <w:rPr>
                <w:b/>
                <w:sz w:val="20"/>
              </w:rPr>
              <w:t>High (10)</w:t>
            </w:r>
          </w:p>
        </w:tc>
        <w:tc>
          <w:tcPr>
            <w:tcW w:w="2033" w:type="dxa"/>
            <w:shd w:val="clear" w:color="auto" w:fill="FF6500"/>
          </w:tcPr>
          <w:p w14:paraId="47B1E9B2" w14:textId="77777777" w:rsidR="002D6804" w:rsidRDefault="002D6804" w:rsidP="002D6804">
            <w:pPr>
              <w:pStyle w:val="TableParagraph"/>
              <w:spacing w:before="119"/>
              <w:ind w:left="398" w:right="394"/>
              <w:jc w:val="center"/>
              <w:rPr>
                <w:b/>
                <w:sz w:val="20"/>
              </w:rPr>
            </w:pPr>
            <w:r>
              <w:rPr>
                <w:b/>
                <w:sz w:val="20"/>
              </w:rPr>
              <w:t>High (15)</w:t>
            </w:r>
          </w:p>
        </w:tc>
        <w:tc>
          <w:tcPr>
            <w:tcW w:w="2032" w:type="dxa"/>
            <w:shd w:val="clear" w:color="auto" w:fill="FF0000"/>
          </w:tcPr>
          <w:p w14:paraId="0F5F3074" w14:textId="77777777" w:rsidR="002D6804" w:rsidRDefault="002D6804" w:rsidP="002D6804">
            <w:pPr>
              <w:pStyle w:val="TableParagraph"/>
              <w:spacing w:before="119"/>
              <w:ind w:left="392" w:right="388"/>
              <w:jc w:val="center"/>
              <w:rPr>
                <w:b/>
                <w:sz w:val="20"/>
              </w:rPr>
            </w:pPr>
            <w:r>
              <w:rPr>
                <w:b/>
                <w:sz w:val="20"/>
              </w:rPr>
              <w:t>Extreme (20)</w:t>
            </w:r>
          </w:p>
        </w:tc>
        <w:tc>
          <w:tcPr>
            <w:tcW w:w="2032" w:type="dxa"/>
            <w:shd w:val="clear" w:color="auto" w:fill="FF0000"/>
          </w:tcPr>
          <w:p w14:paraId="51D27D00" w14:textId="77777777" w:rsidR="002D6804" w:rsidRDefault="002D6804" w:rsidP="002D6804">
            <w:pPr>
              <w:pStyle w:val="TableParagraph"/>
              <w:spacing w:before="119"/>
              <w:ind w:left="391" w:right="388"/>
              <w:jc w:val="center"/>
              <w:rPr>
                <w:b/>
                <w:sz w:val="20"/>
              </w:rPr>
            </w:pPr>
            <w:r>
              <w:rPr>
                <w:b/>
                <w:sz w:val="20"/>
              </w:rPr>
              <w:t>Extreme (25)</w:t>
            </w:r>
          </w:p>
        </w:tc>
      </w:tr>
      <w:tr w:rsidR="002D6804" w14:paraId="2B18D86E" w14:textId="77777777" w:rsidTr="002D6804">
        <w:trPr>
          <w:trHeight w:val="469"/>
        </w:trPr>
        <w:tc>
          <w:tcPr>
            <w:tcW w:w="1781" w:type="dxa"/>
            <w:shd w:val="clear" w:color="auto" w:fill="BFBFBF"/>
          </w:tcPr>
          <w:p w14:paraId="3E058A81" w14:textId="77777777" w:rsidR="002D6804" w:rsidRDefault="002D6804" w:rsidP="002D6804">
            <w:pPr>
              <w:pStyle w:val="TableParagraph"/>
              <w:spacing w:before="119"/>
              <w:ind w:left="158" w:right="147"/>
              <w:jc w:val="center"/>
              <w:rPr>
                <w:b/>
                <w:sz w:val="20"/>
              </w:rPr>
            </w:pPr>
            <w:r>
              <w:rPr>
                <w:b/>
                <w:sz w:val="20"/>
              </w:rPr>
              <w:t>Likely</w:t>
            </w:r>
          </w:p>
        </w:tc>
        <w:tc>
          <w:tcPr>
            <w:tcW w:w="586" w:type="dxa"/>
            <w:shd w:val="clear" w:color="auto" w:fill="BFBFBF"/>
          </w:tcPr>
          <w:p w14:paraId="759F405D" w14:textId="77777777" w:rsidR="002D6804" w:rsidRDefault="002D6804" w:rsidP="002D6804">
            <w:pPr>
              <w:pStyle w:val="TableParagraph"/>
              <w:spacing w:before="119"/>
              <w:ind w:left="9"/>
              <w:jc w:val="center"/>
              <w:rPr>
                <w:b/>
                <w:sz w:val="20"/>
              </w:rPr>
            </w:pPr>
            <w:r>
              <w:rPr>
                <w:b/>
                <w:sz w:val="20"/>
              </w:rPr>
              <w:t>4</w:t>
            </w:r>
          </w:p>
        </w:tc>
        <w:tc>
          <w:tcPr>
            <w:tcW w:w="1868" w:type="dxa"/>
            <w:shd w:val="clear" w:color="auto" w:fill="00B050"/>
          </w:tcPr>
          <w:p w14:paraId="79753741" w14:textId="77777777" w:rsidR="002D6804" w:rsidRDefault="002D6804" w:rsidP="002D6804">
            <w:pPr>
              <w:pStyle w:val="TableParagraph"/>
              <w:spacing w:before="119"/>
              <w:ind w:left="317" w:right="311"/>
              <w:jc w:val="center"/>
              <w:rPr>
                <w:b/>
                <w:sz w:val="20"/>
              </w:rPr>
            </w:pPr>
            <w:r>
              <w:rPr>
                <w:b/>
                <w:sz w:val="20"/>
              </w:rPr>
              <w:t>Low (4)</w:t>
            </w:r>
          </w:p>
        </w:tc>
        <w:tc>
          <w:tcPr>
            <w:tcW w:w="2031" w:type="dxa"/>
            <w:shd w:val="clear" w:color="auto" w:fill="FFFF00"/>
          </w:tcPr>
          <w:p w14:paraId="20D5A20A" w14:textId="77777777" w:rsidR="002D6804" w:rsidRDefault="002D6804" w:rsidP="002D6804">
            <w:pPr>
              <w:pStyle w:val="TableParagraph"/>
              <w:spacing w:before="119"/>
              <w:ind w:left="399" w:right="392"/>
              <w:jc w:val="center"/>
              <w:rPr>
                <w:b/>
                <w:sz w:val="20"/>
              </w:rPr>
            </w:pPr>
            <w:r>
              <w:rPr>
                <w:b/>
                <w:sz w:val="20"/>
              </w:rPr>
              <w:t>Moderate (8)</w:t>
            </w:r>
          </w:p>
        </w:tc>
        <w:tc>
          <w:tcPr>
            <w:tcW w:w="2033" w:type="dxa"/>
            <w:shd w:val="clear" w:color="auto" w:fill="FF6500"/>
          </w:tcPr>
          <w:p w14:paraId="3EB622FD" w14:textId="77777777" w:rsidR="002D6804" w:rsidRDefault="002D6804" w:rsidP="002D6804">
            <w:pPr>
              <w:pStyle w:val="TableParagraph"/>
              <w:spacing w:before="119"/>
              <w:ind w:left="398" w:right="394"/>
              <w:jc w:val="center"/>
              <w:rPr>
                <w:b/>
                <w:sz w:val="20"/>
              </w:rPr>
            </w:pPr>
            <w:r>
              <w:rPr>
                <w:b/>
                <w:sz w:val="20"/>
              </w:rPr>
              <w:t>High (12)</w:t>
            </w:r>
          </w:p>
        </w:tc>
        <w:tc>
          <w:tcPr>
            <w:tcW w:w="2032" w:type="dxa"/>
            <w:shd w:val="clear" w:color="auto" w:fill="FF6500"/>
          </w:tcPr>
          <w:p w14:paraId="6C691714" w14:textId="77777777" w:rsidR="002D6804" w:rsidRDefault="002D6804" w:rsidP="002D6804">
            <w:pPr>
              <w:pStyle w:val="TableParagraph"/>
              <w:spacing w:before="119"/>
              <w:ind w:left="392" w:right="388"/>
              <w:jc w:val="center"/>
              <w:rPr>
                <w:b/>
                <w:sz w:val="20"/>
              </w:rPr>
            </w:pPr>
            <w:r>
              <w:rPr>
                <w:b/>
                <w:sz w:val="20"/>
              </w:rPr>
              <w:t>High (16)</w:t>
            </w:r>
          </w:p>
        </w:tc>
        <w:tc>
          <w:tcPr>
            <w:tcW w:w="2032" w:type="dxa"/>
            <w:shd w:val="clear" w:color="auto" w:fill="FF0000"/>
          </w:tcPr>
          <w:p w14:paraId="16A74BEF" w14:textId="77777777" w:rsidR="002D6804" w:rsidRDefault="002D6804" w:rsidP="002D6804">
            <w:pPr>
              <w:pStyle w:val="TableParagraph"/>
              <w:spacing w:before="119"/>
              <w:ind w:left="391" w:right="388"/>
              <w:jc w:val="center"/>
              <w:rPr>
                <w:b/>
                <w:sz w:val="20"/>
              </w:rPr>
            </w:pPr>
            <w:r>
              <w:rPr>
                <w:b/>
                <w:sz w:val="20"/>
              </w:rPr>
              <w:t>Extreme (20)</w:t>
            </w:r>
          </w:p>
        </w:tc>
      </w:tr>
      <w:tr w:rsidR="002D6804" w14:paraId="44E6F5D2" w14:textId="77777777" w:rsidTr="002D6804">
        <w:trPr>
          <w:trHeight w:val="470"/>
        </w:trPr>
        <w:tc>
          <w:tcPr>
            <w:tcW w:w="1781" w:type="dxa"/>
            <w:shd w:val="clear" w:color="auto" w:fill="BFBFBF"/>
          </w:tcPr>
          <w:p w14:paraId="7333CE2C" w14:textId="77777777" w:rsidR="002D6804" w:rsidRDefault="002D6804" w:rsidP="002D6804">
            <w:pPr>
              <w:pStyle w:val="TableParagraph"/>
              <w:spacing w:before="119"/>
              <w:ind w:left="158" w:right="149"/>
              <w:jc w:val="center"/>
              <w:rPr>
                <w:b/>
                <w:sz w:val="20"/>
              </w:rPr>
            </w:pPr>
            <w:r>
              <w:rPr>
                <w:b/>
                <w:sz w:val="20"/>
              </w:rPr>
              <w:t>Possible</w:t>
            </w:r>
          </w:p>
        </w:tc>
        <w:tc>
          <w:tcPr>
            <w:tcW w:w="586" w:type="dxa"/>
            <w:shd w:val="clear" w:color="auto" w:fill="BFBFBF"/>
          </w:tcPr>
          <w:p w14:paraId="25796280" w14:textId="77777777" w:rsidR="002D6804" w:rsidRDefault="002D6804" w:rsidP="002D6804">
            <w:pPr>
              <w:pStyle w:val="TableParagraph"/>
              <w:spacing w:before="119"/>
              <w:ind w:left="9"/>
              <w:jc w:val="center"/>
              <w:rPr>
                <w:b/>
                <w:sz w:val="20"/>
              </w:rPr>
            </w:pPr>
            <w:r>
              <w:rPr>
                <w:b/>
                <w:sz w:val="20"/>
              </w:rPr>
              <w:t>3</w:t>
            </w:r>
          </w:p>
        </w:tc>
        <w:tc>
          <w:tcPr>
            <w:tcW w:w="1868" w:type="dxa"/>
            <w:shd w:val="clear" w:color="auto" w:fill="00B050"/>
          </w:tcPr>
          <w:p w14:paraId="3CC48D5C" w14:textId="77777777" w:rsidR="002D6804" w:rsidRDefault="002D6804" w:rsidP="002D6804">
            <w:pPr>
              <w:pStyle w:val="TableParagraph"/>
              <w:spacing w:before="119"/>
              <w:ind w:left="317" w:right="311"/>
              <w:jc w:val="center"/>
              <w:rPr>
                <w:b/>
                <w:sz w:val="20"/>
              </w:rPr>
            </w:pPr>
            <w:r>
              <w:rPr>
                <w:b/>
                <w:sz w:val="20"/>
              </w:rPr>
              <w:t>Low (3)</w:t>
            </w:r>
          </w:p>
        </w:tc>
        <w:tc>
          <w:tcPr>
            <w:tcW w:w="2031" w:type="dxa"/>
            <w:shd w:val="clear" w:color="auto" w:fill="FFFF00"/>
          </w:tcPr>
          <w:p w14:paraId="5B6FD97D" w14:textId="77777777" w:rsidR="002D6804" w:rsidRDefault="002D6804" w:rsidP="002D6804">
            <w:pPr>
              <w:pStyle w:val="TableParagraph"/>
              <w:spacing w:before="119"/>
              <w:ind w:left="399" w:right="392"/>
              <w:jc w:val="center"/>
              <w:rPr>
                <w:b/>
                <w:sz w:val="20"/>
              </w:rPr>
            </w:pPr>
            <w:r>
              <w:rPr>
                <w:b/>
                <w:sz w:val="20"/>
              </w:rPr>
              <w:t>Moderate (6)</w:t>
            </w:r>
          </w:p>
        </w:tc>
        <w:tc>
          <w:tcPr>
            <w:tcW w:w="2033" w:type="dxa"/>
            <w:shd w:val="clear" w:color="auto" w:fill="FFFF00"/>
          </w:tcPr>
          <w:p w14:paraId="6CF76CCB" w14:textId="77777777" w:rsidR="002D6804" w:rsidRDefault="002D6804" w:rsidP="002D6804">
            <w:pPr>
              <w:pStyle w:val="TableParagraph"/>
              <w:spacing w:before="119"/>
              <w:ind w:left="398" w:right="394"/>
              <w:jc w:val="center"/>
              <w:rPr>
                <w:b/>
                <w:sz w:val="20"/>
              </w:rPr>
            </w:pPr>
            <w:r>
              <w:rPr>
                <w:b/>
                <w:sz w:val="20"/>
              </w:rPr>
              <w:t>Moderate (9)</w:t>
            </w:r>
          </w:p>
        </w:tc>
        <w:tc>
          <w:tcPr>
            <w:tcW w:w="2032" w:type="dxa"/>
            <w:shd w:val="clear" w:color="auto" w:fill="FF6500"/>
          </w:tcPr>
          <w:p w14:paraId="6B15A686" w14:textId="77777777" w:rsidR="002D6804" w:rsidRDefault="002D6804" w:rsidP="002D6804">
            <w:pPr>
              <w:pStyle w:val="TableParagraph"/>
              <w:spacing w:before="119"/>
              <w:ind w:left="392" w:right="388"/>
              <w:jc w:val="center"/>
              <w:rPr>
                <w:b/>
                <w:sz w:val="20"/>
              </w:rPr>
            </w:pPr>
            <w:r>
              <w:rPr>
                <w:b/>
                <w:sz w:val="20"/>
              </w:rPr>
              <w:t>High (12)</w:t>
            </w:r>
          </w:p>
        </w:tc>
        <w:tc>
          <w:tcPr>
            <w:tcW w:w="2032" w:type="dxa"/>
            <w:shd w:val="clear" w:color="auto" w:fill="FF6500"/>
          </w:tcPr>
          <w:p w14:paraId="38A24968" w14:textId="77777777" w:rsidR="002D6804" w:rsidRDefault="002D6804" w:rsidP="002D6804">
            <w:pPr>
              <w:pStyle w:val="TableParagraph"/>
              <w:spacing w:before="119"/>
              <w:ind w:left="392" w:right="388"/>
              <w:jc w:val="center"/>
              <w:rPr>
                <w:b/>
                <w:sz w:val="20"/>
              </w:rPr>
            </w:pPr>
            <w:r>
              <w:rPr>
                <w:b/>
                <w:sz w:val="20"/>
              </w:rPr>
              <w:t>High (15)</w:t>
            </w:r>
          </w:p>
        </w:tc>
      </w:tr>
      <w:tr w:rsidR="002D6804" w14:paraId="463FB3D5" w14:textId="77777777" w:rsidTr="002D6804">
        <w:trPr>
          <w:trHeight w:val="470"/>
        </w:trPr>
        <w:tc>
          <w:tcPr>
            <w:tcW w:w="1781" w:type="dxa"/>
            <w:shd w:val="clear" w:color="auto" w:fill="BFBFBF"/>
          </w:tcPr>
          <w:p w14:paraId="6B71475D" w14:textId="77777777" w:rsidR="002D6804" w:rsidRDefault="002D6804" w:rsidP="002D6804">
            <w:pPr>
              <w:pStyle w:val="TableParagraph"/>
              <w:spacing w:before="119"/>
              <w:ind w:left="158" w:right="148"/>
              <w:jc w:val="center"/>
              <w:rPr>
                <w:b/>
                <w:sz w:val="20"/>
              </w:rPr>
            </w:pPr>
            <w:r>
              <w:rPr>
                <w:b/>
                <w:sz w:val="20"/>
              </w:rPr>
              <w:t>Unlikely</w:t>
            </w:r>
          </w:p>
        </w:tc>
        <w:tc>
          <w:tcPr>
            <w:tcW w:w="586" w:type="dxa"/>
            <w:shd w:val="clear" w:color="auto" w:fill="BFBFBF"/>
          </w:tcPr>
          <w:p w14:paraId="73CB9EF6" w14:textId="77777777" w:rsidR="002D6804" w:rsidRDefault="002D6804" w:rsidP="002D6804">
            <w:pPr>
              <w:pStyle w:val="TableParagraph"/>
              <w:spacing w:before="119"/>
              <w:ind w:left="9"/>
              <w:jc w:val="center"/>
              <w:rPr>
                <w:b/>
                <w:sz w:val="20"/>
              </w:rPr>
            </w:pPr>
            <w:r>
              <w:rPr>
                <w:b/>
                <w:sz w:val="20"/>
              </w:rPr>
              <w:t>2</w:t>
            </w:r>
          </w:p>
        </w:tc>
        <w:tc>
          <w:tcPr>
            <w:tcW w:w="1868" w:type="dxa"/>
            <w:shd w:val="clear" w:color="auto" w:fill="00B050"/>
          </w:tcPr>
          <w:p w14:paraId="659E3E06" w14:textId="77777777" w:rsidR="002D6804" w:rsidRDefault="002D6804" w:rsidP="002D6804">
            <w:pPr>
              <w:pStyle w:val="TableParagraph"/>
              <w:spacing w:before="119"/>
              <w:ind w:left="317" w:right="311"/>
              <w:jc w:val="center"/>
              <w:rPr>
                <w:b/>
                <w:sz w:val="20"/>
              </w:rPr>
            </w:pPr>
            <w:r>
              <w:rPr>
                <w:b/>
                <w:sz w:val="20"/>
              </w:rPr>
              <w:t>Low (2)</w:t>
            </w:r>
          </w:p>
        </w:tc>
        <w:tc>
          <w:tcPr>
            <w:tcW w:w="2031" w:type="dxa"/>
            <w:shd w:val="clear" w:color="auto" w:fill="00B050"/>
          </w:tcPr>
          <w:p w14:paraId="02BE535C" w14:textId="77777777" w:rsidR="002D6804" w:rsidRDefault="002D6804" w:rsidP="002D6804">
            <w:pPr>
              <w:pStyle w:val="TableParagraph"/>
              <w:spacing w:before="119"/>
              <w:ind w:left="399" w:right="392"/>
              <w:jc w:val="center"/>
              <w:rPr>
                <w:b/>
                <w:sz w:val="20"/>
              </w:rPr>
            </w:pPr>
            <w:r>
              <w:rPr>
                <w:b/>
                <w:sz w:val="20"/>
              </w:rPr>
              <w:t>Low (4)</w:t>
            </w:r>
          </w:p>
        </w:tc>
        <w:tc>
          <w:tcPr>
            <w:tcW w:w="2033" w:type="dxa"/>
            <w:shd w:val="clear" w:color="auto" w:fill="FFFF00"/>
          </w:tcPr>
          <w:p w14:paraId="5A90A878" w14:textId="77777777" w:rsidR="002D6804" w:rsidRDefault="002D6804" w:rsidP="002D6804">
            <w:pPr>
              <w:pStyle w:val="TableParagraph"/>
              <w:spacing w:before="119"/>
              <w:ind w:left="398" w:right="394"/>
              <w:jc w:val="center"/>
              <w:rPr>
                <w:b/>
                <w:sz w:val="20"/>
              </w:rPr>
            </w:pPr>
            <w:r>
              <w:rPr>
                <w:b/>
                <w:sz w:val="20"/>
              </w:rPr>
              <w:t>Moderate (6)</w:t>
            </w:r>
          </w:p>
        </w:tc>
        <w:tc>
          <w:tcPr>
            <w:tcW w:w="2032" w:type="dxa"/>
            <w:shd w:val="clear" w:color="auto" w:fill="FFFF00"/>
          </w:tcPr>
          <w:p w14:paraId="7A9BD856" w14:textId="77777777" w:rsidR="002D6804" w:rsidRDefault="002D6804" w:rsidP="002D6804">
            <w:pPr>
              <w:pStyle w:val="TableParagraph"/>
              <w:spacing w:before="119"/>
              <w:ind w:left="392" w:right="387"/>
              <w:jc w:val="center"/>
              <w:rPr>
                <w:b/>
                <w:sz w:val="20"/>
              </w:rPr>
            </w:pPr>
            <w:r>
              <w:rPr>
                <w:b/>
                <w:sz w:val="20"/>
              </w:rPr>
              <w:t>Moderate (8)</w:t>
            </w:r>
          </w:p>
        </w:tc>
        <w:tc>
          <w:tcPr>
            <w:tcW w:w="2032" w:type="dxa"/>
            <w:shd w:val="clear" w:color="auto" w:fill="FF6500"/>
          </w:tcPr>
          <w:p w14:paraId="47C75CCB" w14:textId="77777777" w:rsidR="002D6804" w:rsidRDefault="002D6804" w:rsidP="002D6804">
            <w:pPr>
              <w:pStyle w:val="TableParagraph"/>
              <w:spacing w:before="119"/>
              <w:ind w:left="392" w:right="388"/>
              <w:jc w:val="center"/>
              <w:rPr>
                <w:b/>
                <w:sz w:val="20"/>
              </w:rPr>
            </w:pPr>
            <w:r>
              <w:rPr>
                <w:b/>
                <w:sz w:val="20"/>
              </w:rPr>
              <w:t>High (10)</w:t>
            </w:r>
          </w:p>
        </w:tc>
      </w:tr>
      <w:tr w:rsidR="002D6804" w14:paraId="1BFBD1A5" w14:textId="77777777" w:rsidTr="002D6804">
        <w:trPr>
          <w:trHeight w:val="471"/>
        </w:trPr>
        <w:tc>
          <w:tcPr>
            <w:tcW w:w="1781" w:type="dxa"/>
            <w:shd w:val="clear" w:color="auto" w:fill="BFBFBF"/>
          </w:tcPr>
          <w:p w14:paraId="14E2D54A" w14:textId="77777777" w:rsidR="002D6804" w:rsidRDefault="002D6804" w:rsidP="002D6804">
            <w:pPr>
              <w:pStyle w:val="TableParagraph"/>
              <w:spacing w:before="119"/>
              <w:ind w:left="158" w:right="149"/>
              <w:jc w:val="center"/>
              <w:rPr>
                <w:b/>
                <w:sz w:val="20"/>
              </w:rPr>
            </w:pPr>
            <w:r>
              <w:rPr>
                <w:b/>
                <w:sz w:val="20"/>
              </w:rPr>
              <w:t>Rare</w:t>
            </w:r>
          </w:p>
        </w:tc>
        <w:tc>
          <w:tcPr>
            <w:tcW w:w="586" w:type="dxa"/>
            <w:shd w:val="clear" w:color="auto" w:fill="BFBFBF"/>
          </w:tcPr>
          <w:p w14:paraId="5D1D225E" w14:textId="77777777" w:rsidR="002D6804" w:rsidRDefault="002D6804" w:rsidP="002D6804">
            <w:pPr>
              <w:pStyle w:val="TableParagraph"/>
              <w:spacing w:before="119"/>
              <w:ind w:left="9"/>
              <w:jc w:val="center"/>
              <w:rPr>
                <w:b/>
                <w:sz w:val="20"/>
              </w:rPr>
            </w:pPr>
            <w:r>
              <w:rPr>
                <w:b/>
                <w:sz w:val="20"/>
              </w:rPr>
              <w:t>1</w:t>
            </w:r>
          </w:p>
        </w:tc>
        <w:tc>
          <w:tcPr>
            <w:tcW w:w="1868" w:type="dxa"/>
            <w:shd w:val="clear" w:color="auto" w:fill="00B050"/>
          </w:tcPr>
          <w:p w14:paraId="41BC499D" w14:textId="77777777" w:rsidR="002D6804" w:rsidRDefault="002D6804" w:rsidP="002D6804">
            <w:pPr>
              <w:pStyle w:val="TableParagraph"/>
              <w:spacing w:before="119"/>
              <w:ind w:left="317" w:right="311"/>
              <w:jc w:val="center"/>
              <w:rPr>
                <w:b/>
                <w:sz w:val="20"/>
              </w:rPr>
            </w:pPr>
            <w:r>
              <w:rPr>
                <w:b/>
                <w:sz w:val="20"/>
              </w:rPr>
              <w:t>Low (1)</w:t>
            </w:r>
          </w:p>
        </w:tc>
        <w:tc>
          <w:tcPr>
            <w:tcW w:w="2031" w:type="dxa"/>
            <w:shd w:val="clear" w:color="auto" w:fill="00B050"/>
          </w:tcPr>
          <w:p w14:paraId="6F60E13A" w14:textId="77777777" w:rsidR="002D6804" w:rsidRDefault="002D6804" w:rsidP="002D6804">
            <w:pPr>
              <w:pStyle w:val="TableParagraph"/>
              <w:spacing w:before="119"/>
              <w:ind w:left="399" w:right="392"/>
              <w:jc w:val="center"/>
              <w:rPr>
                <w:b/>
                <w:sz w:val="20"/>
              </w:rPr>
            </w:pPr>
            <w:r>
              <w:rPr>
                <w:b/>
                <w:sz w:val="20"/>
              </w:rPr>
              <w:t>Low (2)</w:t>
            </w:r>
          </w:p>
        </w:tc>
        <w:tc>
          <w:tcPr>
            <w:tcW w:w="2033" w:type="dxa"/>
            <w:shd w:val="clear" w:color="auto" w:fill="00B050"/>
          </w:tcPr>
          <w:p w14:paraId="72AD5C10" w14:textId="77777777" w:rsidR="002D6804" w:rsidRDefault="002D6804" w:rsidP="002D6804">
            <w:pPr>
              <w:pStyle w:val="TableParagraph"/>
              <w:spacing w:before="119"/>
              <w:ind w:left="398" w:right="394"/>
              <w:jc w:val="center"/>
              <w:rPr>
                <w:b/>
                <w:sz w:val="20"/>
              </w:rPr>
            </w:pPr>
            <w:r>
              <w:rPr>
                <w:b/>
                <w:sz w:val="20"/>
              </w:rPr>
              <w:t>Low (3)</w:t>
            </w:r>
          </w:p>
        </w:tc>
        <w:tc>
          <w:tcPr>
            <w:tcW w:w="2032" w:type="dxa"/>
            <w:shd w:val="clear" w:color="auto" w:fill="00B050"/>
          </w:tcPr>
          <w:p w14:paraId="7FB1C486" w14:textId="77777777" w:rsidR="002D6804" w:rsidRDefault="002D6804" w:rsidP="002D6804">
            <w:pPr>
              <w:pStyle w:val="TableParagraph"/>
              <w:spacing w:before="119"/>
              <w:ind w:left="392" w:right="388"/>
              <w:jc w:val="center"/>
              <w:rPr>
                <w:b/>
                <w:sz w:val="20"/>
              </w:rPr>
            </w:pPr>
            <w:r>
              <w:rPr>
                <w:b/>
                <w:sz w:val="20"/>
              </w:rPr>
              <w:t>Low (4)</w:t>
            </w:r>
          </w:p>
        </w:tc>
        <w:tc>
          <w:tcPr>
            <w:tcW w:w="2032" w:type="dxa"/>
            <w:shd w:val="clear" w:color="auto" w:fill="FFFF00"/>
          </w:tcPr>
          <w:p w14:paraId="61CD4C7A" w14:textId="77777777" w:rsidR="002D6804" w:rsidRDefault="002D6804" w:rsidP="002D6804">
            <w:pPr>
              <w:pStyle w:val="TableParagraph"/>
              <w:spacing w:before="119"/>
              <w:ind w:left="392" w:right="388"/>
              <w:jc w:val="center"/>
              <w:rPr>
                <w:b/>
                <w:sz w:val="20"/>
              </w:rPr>
            </w:pPr>
            <w:r>
              <w:rPr>
                <w:b/>
                <w:sz w:val="20"/>
              </w:rPr>
              <w:t>Moderate (5)</w:t>
            </w:r>
          </w:p>
        </w:tc>
      </w:tr>
    </w:tbl>
    <w:p w14:paraId="26A65AF2" w14:textId="77777777" w:rsidR="002D6804" w:rsidRDefault="002D6804" w:rsidP="002D6804">
      <w:pPr>
        <w:jc w:val="center"/>
        <w:rPr>
          <w:sz w:val="20"/>
        </w:rPr>
        <w:sectPr w:rsidR="002D6804">
          <w:footerReference w:type="default" r:id="rId120"/>
          <w:pgSz w:w="16840" w:h="11910" w:orient="landscape"/>
          <w:pgMar w:top="180" w:right="200" w:bottom="740" w:left="740" w:header="0" w:footer="552" w:gutter="0"/>
          <w:cols w:space="720"/>
        </w:sectPr>
      </w:pPr>
    </w:p>
    <w:p w14:paraId="56FBABA3" w14:textId="77777777" w:rsidR="002D6804" w:rsidRDefault="002D6804" w:rsidP="002D6804">
      <w:pPr>
        <w:pStyle w:val="BodyText"/>
        <w:ind w:left="13615"/>
      </w:pPr>
      <w:r>
        <w:rPr>
          <w:noProof/>
        </w:rPr>
        <w:lastRenderedPageBreak/>
        <w:drawing>
          <wp:inline distT="0" distB="0" distL="0" distR="0" wp14:anchorId="2CA83AE0" wp14:editId="4CE77618">
            <wp:extent cx="1306506" cy="710946"/>
            <wp:effectExtent l="0" t="0" r="0" b="0"/>
            <wp:docPr id="43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9.png"/>
                    <pic:cNvPicPr/>
                  </pic:nvPicPr>
                  <pic:blipFill>
                    <a:blip r:embed="rId119" cstate="print"/>
                    <a:stretch>
                      <a:fillRect/>
                    </a:stretch>
                  </pic:blipFill>
                  <pic:spPr>
                    <a:xfrm>
                      <a:off x="0" y="0"/>
                      <a:ext cx="1306506" cy="710946"/>
                    </a:xfrm>
                    <a:prstGeom prst="rect">
                      <a:avLst/>
                    </a:prstGeom>
                  </pic:spPr>
                </pic:pic>
              </a:graphicData>
            </a:graphic>
          </wp:inline>
        </w:drawing>
      </w:r>
    </w:p>
    <w:p w14:paraId="0FF46F20" w14:textId="77777777" w:rsidR="002D6804" w:rsidRDefault="002D6804" w:rsidP="002D6804">
      <w:pPr>
        <w:pStyle w:val="BodyText"/>
        <w:spacing w:before="7"/>
        <w:rPr>
          <w:b/>
          <w:sz w:val="27"/>
        </w:rPr>
      </w:pPr>
    </w:p>
    <w:tbl>
      <w:tblPr>
        <w:tblW w:w="0" w:type="auto"/>
        <w:tblInd w:w="9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1"/>
        <w:gridCol w:w="2143"/>
        <w:gridCol w:w="7605"/>
        <w:gridCol w:w="2506"/>
      </w:tblGrid>
      <w:tr w:rsidR="002D6804" w14:paraId="55CB10A3" w14:textId="77777777" w:rsidTr="002D6804">
        <w:trPr>
          <w:trHeight w:val="395"/>
        </w:trPr>
        <w:tc>
          <w:tcPr>
            <w:tcW w:w="13615" w:type="dxa"/>
            <w:gridSpan w:val="4"/>
            <w:shd w:val="clear" w:color="auto" w:fill="00ACB8"/>
          </w:tcPr>
          <w:p w14:paraId="2F57C91C" w14:textId="77777777" w:rsidR="002D6804" w:rsidRDefault="002D6804" w:rsidP="002D6804">
            <w:pPr>
              <w:pStyle w:val="TableParagraph"/>
              <w:spacing w:before="58"/>
              <w:ind w:left="3986" w:right="3977"/>
              <w:jc w:val="center"/>
              <w:rPr>
                <w:b/>
                <w:sz w:val="24"/>
              </w:rPr>
            </w:pPr>
            <w:r>
              <w:rPr>
                <w:b/>
                <w:color w:val="FFFFFF"/>
                <w:sz w:val="24"/>
              </w:rPr>
              <w:t>Town of East Fremantle Risk Acceptance Criteria</w:t>
            </w:r>
          </w:p>
        </w:tc>
      </w:tr>
      <w:tr w:rsidR="002D6804" w14:paraId="53E39A40" w14:textId="77777777" w:rsidTr="002D6804">
        <w:trPr>
          <w:trHeight w:val="350"/>
        </w:trPr>
        <w:tc>
          <w:tcPr>
            <w:tcW w:w="1361" w:type="dxa"/>
            <w:shd w:val="clear" w:color="auto" w:fill="B3B3B3"/>
          </w:tcPr>
          <w:p w14:paraId="6A4A1268" w14:textId="77777777" w:rsidR="002D6804" w:rsidRDefault="002D6804" w:rsidP="002D6804">
            <w:pPr>
              <w:pStyle w:val="TableParagraph"/>
              <w:spacing w:before="58"/>
              <w:ind w:left="33" w:right="184"/>
              <w:jc w:val="right"/>
              <w:rPr>
                <w:b/>
                <w:sz w:val="20"/>
              </w:rPr>
            </w:pPr>
            <w:r>
              <w:rPr>
                <w:b/>
                <w:sz w:val="20"/>
              </w:rPr>
              <w:t>Risk Rank</w:t>
            </w:r>
          </w:p>
        </w:tc>
        <w:tc>
          <w:tcPr>
            <w:tcW w:w="2143" w:type="dxa"/>
            <w:shd w:val="clear" w:color="auto" w:fill="B3B3B3"/>
          </w:tcPr>
          <w:p w14:paraId="36B10DC7" w14:textId="77777777" w:rsidR="002D6804" w:rsidRDefault="002D6804" w:rsidP="002D6804">
            <w:pPr>
              <w:pStyle w:val="TableParagraph"/>
              <w:spacing w:before="58"/>
              <w:ind w:left="438" w:right="429"/>
              <w:jc w:val="center"/>
              <w:rPr>
                <w:b/>
                <w:sz w:val="20"/>
              </w:rPr>
            </w:pPr>
            <w:r>
              <w:rPr>
                <w:b/>
                <w:sz w:val="20"/>
              </w:rPr>
              <w:t>Description</w:t>
            </w:r>
          </w:p>
        </w:tc>
        <w:tc>
          <w:tcPr>
            <w:tcW w:w="7605" w:type="dxa"/>
            <w:shd w:val="clear" w:color="auto" w:fill="B3B3B3"/>
          </w:tcPr>
          <w:p w14:paraId="416A57A5" w14:textId="77777777" w:rsidR="002D6804" w:rsidRDefault="002D6804" w:rsidP="002D6804">
            <w:pPr>
              <w:pStyle w:val="TableParagraph"/>
              <w:spacing w:before="58"/>
              <w:ind w:left="174" w:right="165"/>
              <w:jc w:val="center"/>
              <w:rPr>
                <w:b/>
                <w:sz w:val="20"/>
              </w:rPr>
            </w:pPr>
            <w:r>
              <w:rPr>
                <w:b/>
                <w:sz w:val="20"/>
              </w:rPr>
              <w:t>Criteria</w:t>
            </w:r>
          </w:p>
        </w:tc>
        <w:tc>
          <w:tcPr>
            <w:tcW w:w="2506" w:type="dxa"/>
            <w:shd w:val="clear" w:color="auto" w:fill="B3B3B3"/>
          </w:tcPr>
          <w:p w14:paraId="27B1324E" w14:textId="77777777" w:rsidR="002D6804" w:rsidRDefault="002D6804" w:rsidP="002D6804">
            <w:pPr>
              <w:pStyle w:val="TableParagraph"/>
              <w:spacing w:before="58"/>
              <w:ind w:left="295" w:right="280"/>
              <w:jc w:val="center"/>
              <w:rPr>
                <w:b/>
                <w:sz w:val="20"/>
              </w:rPr>
            </w:pPr>
            <w:r>
              <w:rPr>
                <w:b/>
                <w:sz w:val="20"/>
              </w:rPr>
              <w:t>Responsibility</w:t>
            </w:r>
          </w:p>
        </w:tc>
      </w:tr>
      <w:tr w:rsidR="002D6804" w14:paraId="795B76D3" w14:textId="77777777" w:rsidTr="002D6804">
        <w:trPr>
          <w:trHeight w:val="700"/>
        </w:trPr>
        <w:tc>
          <w:tcPr>
            <w:tcW w:w="1361" w:type="dxa"/>
            <w:shd w:val="clear" w:color="auto" w:fill="00B050"/>
          </w:tcPr>
          <w:p w14:paraId="5DA160C4" w14:textId="77777777" w:rsidR="002D6804" w:rsidRDefault="002D6804" w:rsidP="002D6804">
            <w:pPr>
              <w:pStyle w:val="TableParagraph"/>
              <w:spacing w:before="3"/>
              <w:ind w:left="33"/>
              <w:rPr>
                <w:b/>
                <w:sz w:val="20"/>
              </w:rPr>
            </w:pPr>
          </w:p>
          <w:p w14:paraId="130A1F0A" w14:textId="77777777" w:rsidR="002D6804" w:rsidRDefault="002D6804" w:rsidP="002D6804">
            <w:pPr>
              <w:pStyle w:val="TableParagraph"/>
              <w:ind w:left="33" w:right="197"/>
              <w:jc w:val="right"/>
              <w:rPr>
                <w:b/>
                <w:sz w:val="20"/>
              </w:rPr>
            </w:pPr>
            <w:r>
              <w:rPr>
                <w:b/>
                <w:sz w:val="20"/>
              </w:rPr>
              <w:t>LOW (1-4)</w:t>
            </w:r>
          </w:p>
        </w:tc>
        <w:tc>
          <w:tcPr>
            <w:tcW w:w="2143" w:type="dxa"/>
            <w:shd w:val="clear" w:color="auto" w:fill="00B050"/>
          </w:tcPr>
          <w:p w14:paraId="06558253" w14:textId="77777777" w:rsidR="002D6804" w:rsidRDefault="002D6804" w:rsidP="002D6804">
            <w:pPr>
              <w:pStyle w:val="TableParagraph"/>
              <w:spacing w:before="2"/>
              <w:rPr>
                <w:b/>
                <w:sz w:val="20"/>
              </w:rPr>
            </w:pPr>
          </w:p>
          <w:p w14:paraId="19756CC4" w14:textId="77777777" w:rsidR="002D6804" w:rsidRDefault="002D6804" w:rsidP="002D6804">
            <w:pPr>
              <w:pStyle w:val="TableParagraph"/>
              <w:ind w:left="438" w:right="429"/>
              <w:jc w:val="center"/>
              <w:rPr>
                <w:sz w:val="20"/>
              </w:rPr>
            </w:pPr>
            <w:r>
              <w:rPr>
                <w:sz w:val="20"/>
              </w:rPr>
              <w:t>Acceptable</w:t>
            </w:r>
          </w:p>
        </w:tc>
        <w:tc>
          <w:tcPr>
            <w:tcW w:w="7605" w:type="dxa"/>
            <w:shd w:val="clear" w:color="auto" w:fill="00B050"/>
          </w:tcPr>
          <w:p w14:paraId="48DA6109" w14:textId="77777777" w:rsidR="002D6804" w:rsidRDefault="002D6804" w:rsidP="002D6804">
            <w:pPr>
              <w:pStyle w:val="TableParagraph"/>
              <w:spacing w:before="117"/>
              <w:ind w:left="2552" w:right="376" w:hanging="2147"/>
              <w:rPr>
                <w:sz w:val="20"/>
              </w:rPr>
            </w:pPr>
            <w:r>
              <w:rPr>
                <w:sz w:val="20"/>
              </w:rPr>
              <w:t>Risk acceptable with adequate controls, managed by routine procedures and subject to annual monitoring</w:t>
            </w:r>
          </w:p>
        </w:tc>
        <w:tc>
          <w:tcPr>
            <w:tcW w:w="2506" w:type="dxa"/>
            <w:shd w:val="clear" w:color="auto" w:fill="00B050"/>
          </w:tcPr>
          <w:p w14:paraId="7CC97B32" w14:textId="77777777" w:rsidR="002D6804" w:rsidRDefault="002D6804" w:rsidP="002D6804">
            <w:pPr>
              <w:pStyle w:val="TableParagraph"/>
              <w:spacing w:before="2"/>
              <w:rPr>
                <w:b/>
                <w:sz w:val="20"/>
              </w:rPr>
            </w:pPr>
          </w:p>
          <w:p w14:paraId="588820B4" w14:textId="77777777" w:rsidR="002D6804" w:rsidRDefault="002D6804" w:rsidP="002D6804">
            <w:pPr>
              <w:pStyle w:val="TableParagraph"/>
              <w:ind w:left="295" w:right="282"/>
              <w:jc w:val="center"/>
              <w:rPr>
                <w:sz w:val="20"/>
              </w:rPr>
            </w:pPr>
            <w:r>
              <w:rPr>
                <w:sz w:val="20"/>
              </w:rPr>
              <w:t>Operational Manager</w:t>
            </w:r>
          </w:p>
        </w:tc>
      </w:tr>
      <w:tr w:rsidR="002D6804" w14:paraId="4547E112" w14:textId="77777777" w:rsidTr="002D6804">
        <w:trPr>
          <w:trHeight w:val="699"/>
        </w:trPr>
        <w:tc>
          <w:tcPr>
            <w:tcW w:w="1361" w:type="dxa"/>
            <w:shd w:val="clear" w:color="auto" w:fill="FFFF00"/>
          </w:tcPr>
          <w:p w14:paraId="44EA69E6" w14:textId="77777777" w:rsidR="002D6804" w:rsidRDefault="002D6804" w:rsidP="002D6804">
            <w:pPr>
              <w:pStyle w:val="TableParagraph"/>
              <w:spacing w:before="118"/>
              <w:ind w:left="468" w:right="95" w:hanging="362"/>
              <w:rPr>
                <w:b/>
                <w:sz w:val="20"/>
              </w:rPr>
            </w:pPr>
            <w:r>
              <w:rPr>
                <w:b/>
                <w:sz w:val="20"/>
              </w:rPr>
              <w:t>MODERATE (5-9)</w:t>
            </w:r>
          </w:p>
        </w:tc>
        <w:tc>
          <w:tcPr>
            <w:tcW w:w="2143" w:type="dxa"/>
            <w:shd w:val="clear" w:color="auto" w:fill="FFFF00"/>
          </w:tcPr>
          <w:p w14:paraId="6FED7019" w14:textId="77777777" w:rsidR="002D6804" w:rsidRDefault="002D6804" w:rsidP="002D6804">
            <w:pPr>
              <w:pStyle w:val="TableParagraph"/>
              <w:spacing w:before="2"/>
              <w:rPr>
                <w:b/>
                <w:sz w:val="20"/>
              </w:rPr>
            </w:pPr>
          </w:p>
          <w:p w14:paraId="02F25D3B" w14:textId="77777777" w:rsidR="002D6804" w:rsidRDefault="002D6804" w:rsidP="002D6804">
            <w:pPr>
              <w:pStyle w:val="TableParagraph"/>
              <w:ind w:left="438" w:right="430"/>
              <w:jc w:val="center"/>
              <w:rPr>
                <w:sz w:val="20"/>
              </w:rPr>
            </w:pPr>
            <w:r>
              <w:rPr>
                <w:sz w:val="20"/>
              </w:rPr>
              <w:t>Monitor</w:t>
            </w:r>
          </w:p>
        </w:tc>
        <w:tc>
          <w:tcPr>
            <w:tcW w:w="7605" w:type="dxa"/>
            <w:shd w:val="clear" w:color="auto" w:fill="FFFF00"/>
          </w:tcPr>
          <w:p w14:paraId="26EF5483" w14:textId="77777777" w:rsidR="002D6804" w:rsidRDefault="002D6804" w:rsidP="002D6804">
            <w:pPr>
              <w:pStyle w:val="TableParagraph"/>
              <w:spacing w:before="117"/>
              <w:ind w:left="2306" w:right="349" w:hanging="1929"/>
              <w:rPr>
                <w:sz w:val="20"/>
              </w:rPr>
            </w:pPr>
            <w:r>
              <w:rPr>
                <w:sz w:val="20"/>
              </w:rPr>
              <w:t>Risk acceptable with adequate controls, managed by specific procedures and subject to semi-annual monitoring</w:t>
            </w:r>
          </w:p>
        </w:tc>
        <w:tc>
          <w:tcPr>
            <w:tcW w:w="2506" w:type="dxa"/>
            <w:shd w:val="clear" w:color="auto" w:fill="FFFF00"/>
          </w:tcPr>
          <w:p w14:paraId="4689E249" w14:textId="77777777" w:rsidR="002D6804" w:rsidRDefault="002D6804" w:rsidP="002D6804">
            <w:pPr>
              <w:pStyle w:val="TableParagraph"/>
              <w:spacing w:before="2"/>
              <w:rPr>
                <w:b/>
                <w:sz w:val="20"/>
              </w:rPr>
            </w:pPr>
          </w:p>
          <w:p w14:paraId="32BAD9F2" w14:textId="77777777" w:rsidR="002D6804" w:rsidRDefault="002D6804" w:rsidP="002D6804">
            <w:pPr>
              <w:pStyle w:val="TableParagraph"/>
              <w:ind w:left="295" w:right="282"/>
              <w:jc w:val="center"/>
              <w:rPr>
                <w:sz w:val="20"/>
              </w:rPr>
            </w:pPr>
            <w:r>
              <w:rPr>
                <w:sz w:val="20"/>
              </w:rPr>
              <w:t>Operational Manager</w:t>
            </w:r>
          </w:p>
        </w:tc>
      </w:tr>
      <w:tr w:rsidR="002D6804" w14:paraId="5B86B8D8" w14:textId="77777777" w:rsidTr="002D6804">
        <w:trPr>
          <w:trHeight w:val="700"/>
        </w:trPr>
        <w:tc>
          <w:tcPr>
            <w:tcW w:w="1361" w:type="dxa"/>
            <w:shd w:val="clear" w:color="auto" w:fill="FF6500"/>
          </w:tcPr>
          <w:p w14:paraId="7192464E" w14:textId="77777777" w:rsidR="002D6804" w:rsidRDefault="002D6804" w:rsidP="002D6804">
            <w:pPr>
              <w:pStyle w:val="TableParagraph"/>
              <w:spacing w:before="119"/>
              <w:ind w:left="357" w:right="346" w:firstLine="72"/>
              <w:rPr>
                <w:b/>
                <w:sz w:val="20"/>
              </w:rPr>
            </w:pPr>
            <w:r>
              <w:rPr>
                <w:b/>
                <w:sz w:val="20"/>
              </w:rPr>
              <w:t>HIGH (10-16)</w:t>
            </w:r>
          </w:p>
        </w:tc>
        <w:tc>
          <w:tcPr>
            <w:tcW w:w="2143" w:type="dxa"/>
            <w:shd w:val="clear" w:color="auto" w:fill="FF6500"/>
          </w:tcPr>
          <w:p w14:paraId="13A00537" w14:textId="77777777" w:rsidR="002D6804" w:rsidRDefault="002D6804" w:rsidP="002D6804">
            <w:pPr>
              <w:pStyle w:val="TableParagraph"/>
              <w:spacing w:before="118"/>
              <w:ind w:left="665" w:right="320" w:hanging="318"/>
              <w:rPr>
                <w:sz w:val="20"/>
              </w:rPr>
            </w:pPr>
            <w:r>
              <w:rPr>
                <w:sz w:val="20"/>
              </w:rPr>
              <w:t>Urgent Attention Required</w:t>
            </w:r>
          </w:p>
        </w:tc>
        <w:tc>
          <w:tcPr>
            <w:tcW w:w="7605" w:type="dxa"/>
            <w:shd w:val="clear" w:color="auto" w:fill="FF6500"/>
          </w:tcPr>
          <w:p w14:paraId="7CF4D197" w14:textId="77777777" w:rsidR="002D6804" w:rsidRDefault="002D6804" w:rsidP="002D6804">
            <w:pPr>
              <w:pStyle w:val="TableParagraph"/>
              <w:spacing w:before="118"/>
              <w:ind w:left="1856" w:right="488" w:hanging="1340"/>
              <w:rPr>
                <w:sz w:val="20"/>
              </w:rPr>
            </w:pPr>
            <w:r>
              <w:rPr>
                <w:sz w:val="20"/>
              </w:rPr>
              <w:t>Risk acceptable with excellent controls, managed by senior management / executive and subject to monthly monitoring</w:t>
            </w:r>
          </w:p>
        </w:tc>
        <w:tc>
          <w:tcPr>
            <w:tcW w:w="2506" w:type="dxa"/>
            <w:shd w:val="clear" w:color="auto" w:fill="FF6500"/>
          </w:tcPr>
          <w:p w14:paraId="57197A0D" w14:textId="77777777" w:rsidR="002D6804" w:rsidRDefault="002D6804" w:rsidP="002D6804">
            <w:pPr>
              <w:pStyle w:val="TableParagraph"/>
              <w:spacing w:before="2"/>
              <w:rPr>
                <w:b/>
                <w:sz w:val="20"/>
              </w:rPr>
            </w:pPr>
          </w:p>
          <w:p w14:paraId="076C29A8" w14:textId="77777777" w:rsidR="002D6804" w:rsidRDefault="002D6804" w:rsidP="002D6804">
            <w:pPr>
              <w:pStyle w:val="TableParagraph"/>
              <w:ind w:left="294" w:right="282"/>
              <w:jc w:val="center"/>
              <w:rPr>
                <w:sz w:val="20"/>
              </w:rPr>
            </w:pPr>
            <w:r>
              <w:rPr>
                <w:sz w:val="20"/>
              </w:rPr>
              <w:t>Director / CEO</w:t>
            </w:r>
          </w:p>
        </w:tc>
      </w:tr>
      <w:tr w:rsidR="002D6804" w14:paraId="0750F75A" w14:textId="77777777" w:rsidTr="002D6804">
        <w:trPr>
          <w:trHeight w:val="929"/>
        </w:trPr>
        <w:tc>
          <w:tcPr>
            <w:tcW w:w="1361" w:type="dxa"/>
            <w:shd w:val="clear" w:color="auto" w:fill="FF0000"/>
          </w:tcPr>
          <w:p w14:paraId="5A6E13C1" w14:textId="77777777" w:rsidR="002D6804" w:rsidRDefault="002D6804" w:rsidP="002D6804">
            <w:pPr>
              <w:pStyle w:val="TableParagraph"/>
              <w:spacing w:before="3"/>
              <w:rPr>
                <w:b/>
                <w:sz w:val="20"/>
              </w:rPr>
            </w:pPr>
          </w:p>
          <w:p w14:paraId="4BF8B26C" w14:textId="77777777" w:rsidR="002D6804" w:rsidRDefault="002D6804" w:rsidP="002D6804">
            <w:pPr>
              <w:pStyle w:val="TableParagraph"/>
              <w:ind w:left="357" w:right="185" w:hanging="161"/>
              <w:rPr>
                <w:b/>
                <w:sz w:val="20"/>
              </w:rPr>
            </w:pPr>
            <w:r>
              <w:rPr>
                <w:b/>
                <w:sz w:val="20"/>
              </w:rPr>
              <w:t>EXTREME (17-25)</w:t>
            </w:r>
          </w:p>
        </w:tc>
        <w:tc>
          <w:tcPr>
            <w:tcW w:w="2143" w:type="dxa"/>
            <w:shd w:val="clear" w:color="auto" w:fill="FF0000"/>
          </w:tcPr>
          <w:p w14:paraId="1EE1B4E0" w14:textId="77777777" w:rsidR="002D6804" w:rsidRDefault="002D6804" w:rsidP="002D6804">
            <w:pPr>
              <w:pStyle w:val="TableParagraph"/>
              <w:spacing w:before="2"/>
              <w:rPr>
                <w:b/>
                <w:sz w:val="30"/>
              </w:rPr>
            </w:pPr>
          </w:p>
          <w:p w14:paraId="53E4AE78" w14:textId="77777777" w:rsidR="002D6804" w:rsidRDefault="002D6804" w:rsidP="002D6804">
            <w:pPr>
              <w:pStyle w:val="TableParagraph"/>
              <w:ind w:left="438" w:right="431"/>
              <w:jc w:val="center"/>
              <w:rPr>
                <w:sz w:val="20"/>
              </w:rPr>
            </w:pPr>
            <w:r>
              <w:rPr>
                <w:sz w:val="20"/>
              </w:rPr>
              <w:t>Unacceptable</w:t>
            </w:r>
          </w:p>
        </w:tc>
        <w:tc>
          <w:tcPr>
            <w:tcW w:w="7605" w:type="dxa"/>
            <w:shd w:val="clear" w:color="auto" w:fill="FF0000"/>
          </w:tcPr>
          <w:p w14:paraId="07061B2C" w14:textId="77777777" w:rsidR="002D6804" w:rsidRDefault="002D6804" w:rsidP="002D6804">
            <w:pPr>
              <w:pStyle w:val="TableParagraph"/>
              <w:spacing w:before="117"/>
              <w:ind w:left="177" w:right="165"/>
              <w:jc w:val="center"/>
              <w:rPr>
                <w:sz w:val="20"/>
              </w:rPr>
            </w:pPr>
            <w:r>
              <w:rPr>
                <w:sz w:val="20"/>
              </w:rPr>
              <w:t>Risk only acceptable with excellent controls and all treatment plans to be explored and implemented where possible, managed by highest level of authority and subject to continuous monitoring</w:t>
            </w:r>
          </w:p>
        </w:tc>
        <w:tc>
          <w:tcPr>
            <w:tcW w:w="2506" w:type="dxa"/>
            <w:shd w:val="clear" w:color="auto" w:fill="FF0000"/>
          </w:tcPr>
          <w:p w14:paraId="104D17D7" w14:textId="77777777" w:rsidR="002D6804" w:rsidRDefault="002D6804" w:rsidP="002D6804">
            <w:pPr>
              <w:pStyle w:val="TableParagraph"/>
              <w:spacing w:before="2"/>
              <w:rPr>
                <w:b/>
                <w:sz w:val="30"/>
              </w:rPr>
            </w:pPr>
          </w:p>
          <w:p w14:paraId="78985710" w14:textId="77777777" w:rsidR="002D6804" w:rsidRDefault="002D6804" w:rsidP="002D6804">
            <w:pPr>
              <w:pStyle w:val="TableParagraph"/>
              <w:ind w:left="294" w:right="282"/>
              <w:jc w:val="center"/>
              <w:rPr>
                <w:sz w:val="20"/>
              </w:rPr>
            </w:pPr>
            <w:r>
              <w:rPr>
                <w:sz w:val="20"/>
              </w:rPr>
              <w:t>CEO / Council</w:t>
            </w:r>
          </w:p>
        </w:tc>
      </w:tr>
    </w:tbl>
    <w:p w14:paraId="482DF8F5" w14:textId="77777777" w:rsidR="002D6804" w:rsidRDefault="002D6804" w:rsidP="002D6804">
      <w:pPr>
        <w:pStyle w:val="BodyText"/>
        <w:rPr>
          <w:b/>
        </w:rPr>
      </w:pPr>
    </w:p>
    <w:p w14:paraId="26B4B0DD" w14:textId="77777777" w:rsidR="002D6804" w:rsidRDefault="002D6804" w:rsidP="002D6804">
      <w:pPr>
        <w:pStyle w:val="BodyText"/>
        <w:rPr>
          <w:b/>
        </w:rPr>
      </w:pPr>
    </w:p>
    <w:p w14:paraId="7CF1CA4D" w14:textId="77777777" w:rsidR="002D6804" w:rsidRDefault="002D6804" w:rsidP="002D6804">
      <w:pPr>
        <w:pStyle w:val="BodyText"/>
        <w:rPr>
          <w:b/>
          <w:sz w:val="14"/>
        </w:rPr>
      </w:pPr>
    </w:p>
    <w:tbl>
      <w:tblPr>
        <w:tblW w:w="0" w:type="auto"/>
        <w:tblInd w:w="1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8"/>
        <w:gridCol w:w="4511"/>
        <w:gridCol w:w="5730"/>
      </w:tblGrid>
      <w:tr w:rsidR="002D6804" w14:paraId="668ACD83" w14:textId="77777777" w:rsidTr="002D6804">
        <w:trPr>
          <w:trHeight w:val="395"/>
        </w:trPr>
        <w:tc>
          <w:tcPr>
            <w:tcW w:w="11739" w:type="dxa"/>
            <w:gridSpan w:val="3"/>
            <w:shd w:val="clear" w:color="auto" w:fill="00ACB8"/>
          </w:tcPr>
          <w:p w14:paraId="62EAD8C4" w14:textId="77777777" w:rsidR="002D6804" w:rsidRDefault="002D6804" w:rsidP="002D6804">
            <w:pPr>
              <w:pStyle w:val="TableParagraph"/>
              <w:spacing w:before="58"/>
              <w:ind w:left="2996" w:right="2985"/>
              <w:jc w:val="center"/>
              <w:rPr>
                <w:b/>
                <w:sz w:val="24"/>
              </w:rPr>
            </w:pPr>
            <w:r>
              <w:rPr>
                <w:b/>
                <w:color w:val="FFFFFF"/>
                <w:sz w:val="24"/>
              </w:rPr>
              <w:t>Town of East Fremantle Existing Controls Ratings</w:t>
            </w:r>
          </w:p>
        </w:tc>
      </w:tr>
      <w:tr w:rsidR="002D6804" w14:paraId="2A6CD5C5" w14:textId="77777777" w:rsidTr="002D6804">
        <w:trPr>
          <w:trHeight w:val="349"/>
        </w:trPr>
        <w:tc>
          <w:tcPr>
            <w:tcW w:w="1498" w:type="dxa"/>
            <w:shd w:val="clear" w:color="auto" w:fill="B3B3B3"/>
          </w:tcPr>
          <w:p w14:paraId="75FB1385" w14:textId="77777777" w:rsidR="002D6804" w:rsidRDefault="002D6804" w:rsidP="002D6804">
            <w:pPr>
              <w:pStyle w:val="TableParagraph"/>
              <w:spacing w:before="59"/>
              <w:ind w:left="438"/>
              <w:rPr>
                <w:b/>
                <w:sz w:val="20"/>
              </w:rPr>
            </w:pPr>
            <w:r>
              <w:rPr>
                <w:b/>
                <w:sz w:val="20"/>
              </w:rPr>
              <w:t>Rating</w:t>
            </w:r>
          </w:p>
        </w:tc>
        <w:tc>
          <w:tcPr>
            <w:tcW w:w="4511" w:type="dxa"/>
            <w:shd w:val="clear" w:color="auto" w:fill="B3B3B3"/>
          </w:tcPr>
          <w:p w14:paraId="3C28DBF7" w14:textId="77777777" w:rsidR="002D6804" w:rsidRDefault="002D6804" w:rsidP="002D6804">
            <w:pPr>
              <w:pStyle w:val="TableParagraph"/>
              <w:spacing w:before="59"/>
              <w:ind w:left="1651" w:right="1642"/>
              <w:jc w:val="center"/>
              <w:rPr>
                <w:b/>
                <w:sz w:val="20"/>
              </w:rPr>
            </w:pPr>
            <w:r>
              <w:rPr>
                <w:b/>
                <w:sz w:val="20"/>
              </w:rPr>
              <w:t>Foreseeable</w:t>
            </w:r>
          </w:p>
        </w:tc>
        <w:tc>
          <w:tcPr>
            <w:tcW w:w="5730" w:type="dxa"/>
            <w:shd w:val="clear" w:color="auto" w:fill="B3B3B3"/>
          </w:tcPr>
          <w:p w14:paraId="068B55F2" w14:textId="77777777" w:rsidR="002D6804" w:rsidRDefault="002D6804" w:rsidP="002D6804">
            <w:pPr>
              <w:pStyle w:val="TableParagraph"/>
              <w:spacing w:before="59"/>
              <w:ind w:left="2294" w:right="2285"/>
              <w:jc w:val="center"/>
              <w:rPr>
                <w:b/>
                <w:sz w:val="20"/>
              </w:rPr>
            </w:pPr>
            <w:r>
              <w:rPr>
                <w:b/>
                <w:sz w:val="20"/>
              </w:rPr>
              <w:t>Description</w:t>
            </w:r>
          </w:p>
        </w:tc>
      </w:tr>
      <w:tr w:rsidR="002D6804" w14:paraId="0863249C" w14:textId="77777777" w:rsidTr="002D6804">
        <w:trPr>
          <w:trHeight w:val="1040"/>
        </w:trPr>
        <w:tc>
          <w:tcPr>
            <w:tcW w:w="1498" w:type="dxa"/>
          </w:tcPr>
          <w:p w14:paraId="2C51AA87" w14:textId="77777777" w:rsidR="002D6804" w:rsidRDefault="002D6804" w:rsidP="002D6804">
            <w:pPr>
              <w:pStyle w:val="TableParagraph"/>
              <w:ind w:left="80"/>
              <w:rPr>
                <w:b/>
              </w:rPr>
            </w:pPr>
          </w:p>
          <w:p w14:paraId="5407CD37" w14:textId="77777777" w:rsidR="002D6804" w:rsidRDefault="002D6804" w:rsidP="002D6804">
            <w:pPr>
              <w:pStyle w:val="TableParagraph"/>
              <w:spacing w:before="151"/>
              <w:ind w:left="80" w:right="319"/>
              <w:jc w:val="right"/>
              <w:rPr>
                <w:b/>
                <w:sz w:val="20"/>
              </w:rPr>
            </w:pPr>
            <w:r>
              <w:rPr>
                <w:b/>
                <w:sz w:val="20"/>
              </w:rPr>
              <w:t>Effective</w:t>
            </w:r>
          </w:p>
        </w:tc>
        <w:tc>
          <w:tcPr>
            <w:tcW w:w="4511" w:type="dxa"/>
          </w:tcPr>
          <w:p w14:paraId="4A589E75" w14:textId="77777777" w:rsidR="002D6804" w:rsidRDefault="002D6804" w:rsidP="002D6804">
            <w:pPr>
              <w:pStyle w:val="TableParagraph"/>
              <w:rPr>
                <w:b/>
              </w:rPr>
            </w:pPr>
          </w:p>
          <w:p w14:paraId="44C3C26C" w14:textId="77777777" w:rsidR="002D6804" w:rsidRDefault="002D6804" w:rsidP="002D6804">
            <w:pPr>
              <w:pStyle w:val="TableParagraph"/>
              <w:spacing w:before="149"/>
              <w:ind w:left="107"/>
              <w:rPr>
                <w:sz w:val="20"/>
              </w:rPr>
            </w:pPr>
            <w:r>
              <w:rPr>
                <w:sz w:val="20"/>
              </w:rPr>
              <w:t>There is little scope for improvement.</w:t>
            </w:r>
          </w:p>
        </w:tc>
        <w:tc>
          <w:tcPr>
            <w:tcW w:w="5730" w:type="dxa"/>
          </w:tcPr>
          <w:p w14:paraId="250693DC" w14:textId="77777777" w:rsidR="002D6804" w:rsidRDefault="002D6804" w:rsidP="002D6804">
            <w:pPr>
              <w:pStyle w:val="TableParagraph"/>
              <w:spacing w:before="58"/>
              <w:ind w:left="107" w:right="89"/>
              <w:rPr>
                <w:sz w:val="20"/>
              </w:rPr>
            </w:pPr>
            <w:r>
              <w:rPr>
                <w:sz w:val="20"/>
              </w:rPr>
              <w:t>Processes (Controls) operating as intended and / or aligned to Policies &amp; Procedures; are subject to ongoing maintenance and monitoring and are being continuously reviewed and tested.</w:t>
            </w:r>
          </w:p>
        </w:tc>
      </w:tr>
      <w:tr w:rsidR="002D6804" w14:paraId="166C6381" w14:textId="77777777" w:rsidTr="002D6804">
        <w:trPr>
          <w:trHeight w:val="809"/>
        </w:trPr>
        <w:tc>
          <w:tcPr>
            <w:tcW w:w="1498" w:type="dxa"/>
          </w:tcPr>
          <w:p w14:paraId="5E80254C" w14:textId="77777777" w:rsidR="002D6804" w:rsidRDefault="002D6804" w:rsidP="002D6804">
            <w:pPr>
              <w:pStyle w:val="TableParagraph"/>
              <w:spacing w:before="1"/>
              <w:ind w:left="80"/>
              <w:rPr>
                <w:b/>
                <w:sz w:val="25"/>
              </w:rPr>
            </w:pPr>
          </w:p>
          <w:p w14:paraId="7523D063" w14:textId="77777777" w:rsidR="002D6804" w:rsidRDefault="002D6804" w:rsidP="002D6804">
            <w:pPr>
              <w:pStyle w:val="TableParagraph"/>
              <w:ind w:left="80" w:right="280"/>
              <w:jc w:val="right"/>
              <w:rPr>
                <w:b/>
                <w:sz w:val="20"/>
              </w:rPr>
            </w:pPr>
            <w:r>
              <w:rPr>
                <w:b/>
                <w:sz w:val="20"/>
              </w:rPr>
              <w:t>Adequate</w:t>
            </w:r>
          </w:p>
        </w:tc>
        <w:tc>
          <w:tcPr>
            <w:tcW w:w="4511" w:type="dxa"/>
          </w:tcPr>
          <w:p w14:paraId="79FE68DD" w14:textId="77777777" w:rsidR="002D6804" w:rsidRDefault="002D6804" w:rsidP="002D6804">
            <w:pPr>
              <w:pStyle w:val="TableParagraph"/>
              <w:spacing w:before="11"/>
              <w:rPr>
                <w:b/>
                <w:sz w:val="24"/>
              </w:rPr>
            </w:pPr>
          </w:p>
          <w:p w14:paraId="3009CCB7" w14:textId="77777777" w:rsidR="002D6804" w:rsidRDefault="002D6804" w:rsidP="002D6804">
            <w:pPr>
              <w:pStyle w:val="TableParagraph"/>
              <w:ind w:left="107"/>
              <w:rPr>
                <w:sz w:val="20"/>
              </w:rPr>
            </w:pPr>
            <w:r>
              <w:rPr>
                <w:sz w:val="20"/>
              </w:rPr>
              <w:t>There is some scope for improvement.</w:t>
            </w:r>
          </w:p>
        </w:tc>
        <w:tc>
          <w:tcPr>
            <w:tcW w:w="5730" w:type="dxa"/>
          </w:tcPr>
          <w:p w14:paraId="02FF47A6" w14:textId="77777777" w:rsidR="002D6804" w:rsidRDefault="002D6804" w:rsidP="002D6804">
            <w:pPr>
              <w:pStyle w:val="TableParagraph"/>
              <w:spacing w:before="57"/>
              <w:ind w:left="107" w:right="312"/>
              <w:rPr>
                <w:sz w:val="20"/>
              </w:rPr>
            </w:pPr>
            <w:r>
              <w:rPr>
                <w:sz w:val="20"/>
              </w:rPr>
              <w:t>Whilst some inadequacies have been identified; Processes (Controls) are in place, are being addressed / complied with and are subject to periodic review and testing.</w:t>
            </w:r>
          </w:p>
        </w:tc>
      </w:tr>
      <w:tr w:rsidR="002D6804" w14:paraId="2EE93984" w14:textId="77777777" w:rsidTr="002D6804">
        <w:trPr>
          <w:trHeight w:val="810"/>
        </w:trPr>
        <w:tc>
          <w:tcPr>
            <w:tcW w:w="1498" w:type="dxa"/>
          </w:tcPr>
          <w:p w14:paraId="5732082F" w14:textId="77777777" w:rsidR="002D6804" w:rsidRDefault="002D6804" w:rsidP="002D6804">
            <w:pPr>
              <w:pStyle w:val="TableParagraph"/>
              <w:spacing w:before="1"/>
              <w:ind w:left="80"/>
              <w:rPr>
                <w:b/>
                <w:sz w:val="25"/>
              </w:rPr>
            </w:pPr>
          </w:p>
          <w:p w14:paraId="3570C605" w14:textId="77777777" w:rsidR="002D6804" w:rsidRDefault="002D6804" w:rsidP="002D6804">
            <w:pPr>
              <w:pStyle w:val="TableParagraph"/>
              <w:ind w:left="80" w:right="206"/>
              <w:jc w:val="right"/>
              <w:rPr>
                <w:b/>
                <w:sz w:val="20"/>
              </w:rPr>
            </w:pPr>
            <w:r>
              <w:rPr>
                <w:b/>
                <w:sz w:val="20"/>
              </w:rPr>
              <w:t>Inadequate</w:t>
            </w:r>
          </w:p>
        </w:tc>
        <w:tc>
          <w:tcPr>
            <w:tcW w:w="4511" w:type="dxa"/>
          </w:tcPr>
          <w:p w14:paraId="42698A94" w14:textId="77777777" w:rsidR="002D6804" w:rsidRDefault="002D6804" w:rsidP="002D6804">
            <w:pPr>
              <w:pStyle w:val="TableParagraph"/>
              <w:spacing w:before="173"/>
              <w:ind w:left="107" w:right="583"/>
              <w:rPr>
                <w:sz w:val="20"/>
              </w:rPr>
            </w:pPr>
            <w:r>
              <w:rPr>
                <w:sz w:val="20"/>
              </w:rPr>
              <w:t>A need for corrective and / or improvement actions exist.</w:t>
            </w:r>
          </w:p>
        </w:tc>
        <w:tc>
          <w:tcPr>
            <w:tcW w:w="5730" w:type="dxa"/>
          </w:tcPr>
          <w:p w14:paraId="65F624A8" w14:textId="77777777" w:rsidR="002D6804" w:rsidRDefault="002D6804" w:rsidP="002D6804">
            <w:pPr>
              <w:pStyle w:val="TableParagraph"/>
              <w:spacing w:before="58"/>
              <w:ind w:left="107" w:right="229"/>
              <w:jc w:val="both"/>
              <w:rPr>
                <w:sz w:val="20"/>
              </w:rPr>
            </w:pPr>
            <w:r>
              <w:rPr>
                <w:sz w:val="20"/>
              </w:rPr>
              <w:t>Processes (Controls) not operating as intended, do not exist, or are not being addressed / complied with, or have not been reviewed or tested for some time.</w:t>
            </w:r>
          </w:p>
        </w:tc>
      </w:tr>
    </w:tbl>
    <w:p w14:paraId="445059CA" w14:textId="77777777" w:rsidR="002D6804" w:rsidRDefault="002D6804" w:rsidP="002D6804">
      <w:pPr>
        <w:jc w:val="both"/>
        <w:rPr>
          <w:sz w:val="20"/>
        </w:rPr>
        <w:sectPr w:rsidR="002D6804">
          <w:pgSz w:w="16840" w:h="11910" w:orient="landscape"/>
          <w:pgMar w:top="180" w:right="200" w:bottom="740" w:left="740" w:header="0" w:footer="552" w:gutter="0"/>
          <w:cols w:space="720"/>
        </w:sectPr>
      </w:pPr>
    </w:p>
    <w:p w14:paraId="5991763E" w14:textId="77777777" w:rsidR="002D6804" w:rsidRDefault="002D6804" w:rsidP="002D6804">
      <w:pPr>
        <w:pStyle w:val="BodyText"/>
        <w:ind w:left="7433"/>
      </w:pPr>
      <w:r>
        <w:rPr>
          <w:noProof/>
        </w:rPr>
        <w:lastRenderedPageBreak/>
        <w:drawing>
          <wp:anchor distT="0" distB="0" distL="0" distR="0" simplePos="0" relativeHeight="251693056" behindDoc="0" locked="0" layoutInCell="1" allowOverlap="1" wp14:anchorId="66AA64F0" wp14:editId="31EF2C72">
            <wp:simplePos x="0" y="0"/>
            <wp:positionH relativeFrom="page">
              <wp:posOffset>5333</wp:posOffset>
            </wp:positionH>
            <wp:positionV relativeFrom="page">
              <wp:posOffset>10129266</wp:posOffset>
            </wp:positionV>
            <wp:extent cx="7551419" cy="561594"/>
            <wp:effectExtent l="0" t="0" r="0" b="0"/>
            <wp:wrapNone/>
            <wp:docPr id="436"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0.png"/>
                    <pic:cNvPicPr/>
                  </pic:nvPicPr>
                  <pic:blipFill>
                    <a:blip r:embed="rId121" cstate="print"/>
                    <a:stretch>
                      <a:fillRect/>
                    </a:stretch>
                  </pic:blipFill>
                  <pic:spPr>
                    <a:xfrm>
                      <a:off x="0" y="0"/>
                      <a:ext cx="7551419" cy="561594"/>
                    </a:xfrm>
                    <a:prstGeom prst="rect">
                      <a:avLst/>
                    </a:prstGeom>
                  </pic:spPr>
                </pic:pic>
              </a:graphicData>
            </a:graphic>
          </wp:anchor>
        </w:drawing>
      </w:r>
      <w:r>
        <w:rPr>
          <w:noProof/>
        </w:rPr>
        <w:drawing>
          <wp:inline distT="0" distB="0" distL="0" distR="0" wp14:anchorId="3F88E269" wp14:editId="0162BD8D">
            <wp:extent cx="1264433" cy="678084"/>
            <wp:effectExtent l="0" t="0" r="0" b="0"/>
            <wp:docPr id="43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1.png"/>
                    <pic:cNvPicPr/>
                  </pic:nvPicPr>
                  <pic:blipFill>
                    <a:blip r:embed="rId122" cstate="print"/>
                    <a:stretch>
                      <a:fillRect/>
                    </a:stretch>
                  </pic:blipFill>
                  <pic:spPr>
                    <a:xfrm>
                      <a:off x="0" y="0"/>
                      <a:ext cx="1264433" cy="678084"/>
                    </a:xfrm>
                    <a:prstGeom prst="rect">
                      <a:avLst/>
                    </a:prstGeom>
                  </pic:spPr>
                </pic:pic>
              </a:graphicData>
            </a:graphic>
          </wp:inline>
        </w:drawing>
      </w:r>
    </w:p>
    <w:p w14:paraId="3C721CE3" w14:textId="77777777" w:rsidR="002D6804" w:rsidRDefault="002D6804" w:rsidP="002D6804">
      <w:pPr>
        <w:spacing w:before="74"/>
        <w:ind w:left="138" w:right="4437"/>
        <w:rPr>
          <w:b/>
          <w:sz w:val="44"/>
        </w:rPr>
      </w:pPr>
      <w:r>
        <w:rPr>
          <w:b/>
          <w:color w:val="00ACB8"/>
          <w:sz w:val="44"/>
        </w:rPr>
        <w:t>Appendix B – Risk Profile Template</w:t>
      </w:r>
    </w:p>
    <w:p w14:paraId="00CB0DAE" w14:textId="77777777" w:rsidR="002D6804" w:rsidRDefault="002D6804" w:rsidP="002D6804">
      <w:pPr>
        <w:pStyle w:val="BodyText"/>
        <w:spacing w:before="6"/>
        <w:rPr>
          <w:b/>
          <w:sz w:val="17"/>
        </w:rPr>
      </w:pPr>
      <w:r>
        <w:rPr>
          <w:noProof/>
        </w:rPr>
        <mc:AlternateContent>
          <mc:Choice Requires="wpg">
            <w:drawing>
              <wp:anchor distT="0" distB="0" distL="0" distR="0" simplePos="0" relativeHeight="251700224" behindDoc="1" locked="0" layoutInCell="1" allowOverlap="1" wp14:anchorId="440E70D0" wp14:editId="790AA3F1">
                <wp:simplePos x="0" y="0"/>
                <wp:positionH relativeFrom="page">
                  <wp:posOffset>887730</wp:posOffset>
                </wp:positionH>
                <wp:positionV relativeFrom="paragraph">
                  <wp:posOffset>153035</wp:posOffset>
                </wp:positionV>
                <wp:extent cx="6162040" cy="841375"/>
                <wp:effectExtent l="0" t="0" r="0" b="0"/>
                <wp:wrapTopAndBottom/>
                <wp:docPr id="399"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040" cy="841375"/>
                          <a:chOff x="1398" y="241"/>
                          <a:chExt cx="9704" cy="1325"/>
                        </a:xfrm>
                      </wpg:grpSpPr>
                      <wps:wsp>
                        <wps:cNvPr id="400" name="Freeform 32"/>
                        <wps:cNvSpPr>
                          <a:spLocks/>
                        </wps:cNvSpPr>
                        <wps:spPr bwMode="auto">
                          <a:xfrm>
                            <a:off x="1398" y="240"/>
                            <a:ext cx="9704" cy="1325"/>
                          </a:xfrm>
                          <a:custGeom>
                            <a:avLst/>
                            <a:gdLst>
                              <a:gd name="T0" fmla="+- 0 11101 1398"/>
                              <a:gd name="T1" fmla="*/ T0 w 9704"/>
                              <a:gd name="T2" fmla="+- 0 691 241"/>
                              <a:gd name="T3" fmla="*/ 691 h 1325"/>
                              <a:gd name="T4" fmla="+- 0 11096 1398"/>
                              <a:gd name="T5" fmla="*/ T4 w 9704"/>
                              <a:gd name="T6" fmla="+- 0 691 241"/>
                              <a:gd name="T7" fmla="*/ 691 h 1325"/>
                              <a:gd name="T8" fmla="+- 0 11096 1398"/>
                              <a:gd name="T9" fmla="*/ T8 w 9704"/>
                              <a:gd name="T10" fmla="+- 0 241 241"/>
                              <a:gd name="T11" fmla="*/ 241 h 1325"/>
                              <a:gd name="T12" fmla="+- 0 11092 1398"/>
                              <a:gd name="T13" fmla="*/ T12 w 9704"/>
                              <a:gd name="T14" fmla="+- 0 241 241"/>
                              <a:gd name="T15" fmla="*/ 241 h 1325"/>
                              <a:gd name="T16" fmla="+- 0 11092 1398"/>
                              <a:gd name="T17" fmla="*/ T16 w 9704"/>
                              <a:gd name="T18" fmla="+- 0 700 241"/>
                              <a:gd name="T19" fmla="*/ 700 h 1325"/>
                              <a:gd name="T20" fmla="+- 0 11092 1398"/>
                              <a:gd name="T21" fmla="*/ T20 w 9704"/>
                              <a:gd name="T22" fmla="+- 0 1556 241"/>
                              <a:gd name="T23" fmla="*/ 1556 h 1325"/>
                              <a:gd name="T24" fmla="+- 0 9456 1398"/>
                              <a:gd name="T25" fmla="*/ T24 w 9704"/>
                              <a:gd name="T26" fmla="+- 0 1556 241"/>
                              <a:gd name="T27" fmla="*/ 1556 h 1325"/>
                              <a:gd name="T28" fmla="+- 0 7666 1398"/>
                              <a:gd name="T29" fmla="*/ T28 w 9704"/>
                              <a:gd name="T30" fmla="+- 0 1556 241"/>
                              <a:gd name="T31" fmla="*/ 1556 h 1325"/>
                              <a:gd name="T32" fmla="+- 0 1408 1398"/>
                              <a:gd name="T33" fmla="*/ T32 w 9704"/>
                              <a:gd name="T34" fmla="+- 0 1556 241"/>
                              <a:gd name="T35" fmla="*/ 1556 h 1325"/>
                              <a:gd name="T36" fmla="+- 0 1408 1398"/>
                              <a:gd name="T37" fmla="*/ T36 w 9704"/>
                              <a:gd name="T38" fmla="+- 0 700 241"/>
                              <a:gd name="T39" fmla="*/ 700 h 1325"/>
                              <a:gd name="T40" fmla="+- 0 11092 1398"/>
                              <a:gd name="T41" fmla="*/ T40 w 9704"/>
                              <a:gd name="T42" fmla="+- 0 700 241"/>
                              <a:gd name="T43" fmla="*/ 700 h 1325"/>
                              <a:gd name="T44" fmla="+- 0 11092 1398"/>
                              <a:gd name="T45" fmla="*/ T44 w 9704"/>
                              <a:gd name="T46" fmla="+- 0 241 241"/>
                              <a:gd name="T47" fmla="*/ 241 h 1325"/>
                              <a:gd name="T48" fmla="+- 0 9455 1398"/>
                              <a:gd name="T49" fmla="*/ T48 w 9704"/>
                              <a:gd name="T50" fmla="+- 0 241 241"/>
                              <a:gd name="T51" fmla="*/ 241 h 1325"/>
                              <a:gd name="T52" fmla="+- 0 1403 1398"/>
                              <a:gd name="T53" fmla="*/ T52 w 9704"/>
                              <a:gd name="T54" fmla="+- 0 241 241"/>
                              <a:gd name="T55" fmla="*/ 241 h 1325"/>
                              <a:gd name="T56" fmla="+- 0 1403 1398"/>
                              <a:gd name="T57" fmla="*/ T56 w 9704"/>
                              <a:gd name="T58" fmla="+- 0 691 241"/>
                              <a:gd name="T59" fmla="*/ 691 h 1325"/>
                              <a:gd name="T60" fmla="+- 0 1398 1398"/>
                              <a:gd name="T61" fmla="*/ T60 w 9704"/>
                              <a:gd name="T62" fmla="+- 0 691 241"/>
                              <a:gd name="T63" fmla="*/ 691 h 1325"/>
                              <a:gd name="T64" fmla="+- 0 1398 1398"/>
                              <a:gd name="T65" fmla="*/ T64 w 9704"/>
                              <a:gd name="T66" fmla="+- 0 700 241"/>
                              <a:gd name="T67" fmla="*/ 700 h 1325"/>
                              <a:gd name="T68" fmla="+- 0 1398 1398"/>
                              <a:gd name="T69" fmla="*/ T68 w 9704"/>
                              <a:gd name="T70" fmla="+- 0 1556 241"/>
                              <a:gd name="T71" fmla="*/ 1556 h 1325"/>
                              <a:gd name="T72" fmla="+- 0 1398 1398"/>
                              <a:gd name="T73" fmla="*/ T72 w 9704"/>
                              <a:gd name="T74" fmla="+- 0 1566 241"/>
                              <a:gd name="T75" fmla="*/ 1566 h 1325"/>
                              <a:gd name="T76" fmla="+- 0 1408 1398"/>
                              <a:gd name="T77" fmla="*/ T76 w 9704"/>
                              <a:gd name="T78" fmla="+- 0 1566 241"/>
                              <a:gd name="T79" fmla="*/ 1566 h 1325"/>
                              <a:gd name="T80" fmla="+- 0 7666 1398"/>
                              <a:gd name="T81" fmla="*/ T80 w 9704"/>
                              <a:gd name="T82" fmla="+- 0 1566 241"/>
                              <a:gd name="T83" fmla="*/ 1566 h 1325"/>
                              <a:gd name="T84" fmla="+- 0 9456 1398"/>
                              <a:gd name="T85" fmla="*/ T84 w 9704"/>
                              <a:gd name="T86" fmla="+- 0 1566 241"/>
                              <a:gd name="T87" fmla="*/ 1566 h 1325"/>
                              <a:gd name="T88" fmla="+- 0 11092 1398"/>
                              <a:gd name="T89" fmla="*/ T88 w 9704"/>
                              <a:gd name="T90" fmla="+- 0 1566 241"/>
                              <a:gd name="T91" fmla="*/ 1566 h 1325"/>
                              <a:gd name="T92" fmla="+- 0 11101 1398"/>
                              <a:gd name="T93" fmla="*/ T92 w 9704"/>
                              <a:gd name="T94" fmla="+- 0 1566 241"/>
                              <a:gd name="T95" fmla="*/ 1566 h 1325"/>
                              <a:gd name="T96" fmla="+- 0 11101 1398"/>
                              <a:gd name="T97" fmla="*/ T96 w 9704"/>
                              <a:gd name="T98" fmla="+- 0 1556 241"/>
                              <a:gd name="T99" fmla="*/ 1556 h 1325"/>
                              <a:gd name="T100" fmla="+- 0 11101 1398"/>
                              <a:gd name="T101" fmla="*/ T100 w 9704"/>
                              <a:gd name="T102" fmla="+- 0 700 241"/>
                              <a:gd name="T103" fmla="*/ 700 h 1325"/>
                              <a:gd name="T104" fmla="+- 0 11101 1398"/>
                              <a:gd name="T105" fmla="*/ T104 w 9704"/>
                              <a:gd name="T106" fmla="+- 0 691 241"/>
                              <a:gd name="T107" fmla="*/ 691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9704" h="1325">
                                <a:moveTo>
                                  <a:pt x="9703" y="450"/>
                                </a:moveTo>
                                <a:lnTo>
                                  <a:pt x="9698" y="450"/>
                                </a:lnTo>
                                <a:lnTo>
                                  <a:pt x="9698" y="0"/>
                                </a:lnTo>
                                <a:lnTo>
                                  <a:pt x="9694" y="0"/>
                                </a:lnTo>
                                <a:lnTo>
                                  <a:pt x="9694" y="459"/>
                                </a:lnTo>
                                <a:lnTo>
                                  <a:pt x="9694" y="1315"/>
                                </a:lnTo>
                                <a:lnTo>
                                  <a:pt x="8058" y="1315"/>
                                </a:lnTo>
                                <a:lnTo>
                                  <a:pt x="6268" y="1315"/>
                                </a:lnTo>
                                <a:lnTo>
                                  <a:pt x="10" y="1315"/>
                                </a:lnTo>
                                <a:lnTo>
                                  <a:pt x="10" y="459"/>
                                </a:lnTo>
                                <a:lnTo>
                                  <a:pt x="9694" y="459"/>
                                </a:lnTo>
                                <a:lnTo>
                                  <a:pt x="9694" y="0"/>
                                </a:lnTo>
                                <a:lnTo>
                                  <a:pt x="8057" y="0"/>
                                </a:lnTo>
                                <a:lnTo>
                                  <a:pt x="5" y="0"/>
                                </a:lnTo>
                                <a:lnTo>
                                  <a:pt x="5" y="450"/>
                                </a:lnTo>
                                <a:lnTo>
                                  <a:pt x="0" y="450"/>
                                </a:lnTo>
                                <a:lnTo>
                                  <a:pt x="0" y="459"/>
                                </a:lnTo>
                                <a:lnTo>
                                  <a:pt x="0" y="1315"/>
                                </a:lnTo>
                                <a:lnTo>
                                  <a:pt x="0" y="1325"/>
                                </a:lnTo>
                                <a:lnTo>
                                  <a:pt x="10" y="1325"/>
                                </a:lnTo>
                                <a:lnTo>
                                  <a:pt x="6268" y="1325"/>
                                </a:lnTo>
                                <a:lnTo>
                                  <a:pt x="8058" y="1325"/>
                                </a:lnTo>
                                <a:lnTo>
                                  <a:pt x="9694" y="1325"/>
                                </a:lnTo>
                                <a:lnTo>
                                  <a:pt x="9703" y="1325"/>
                                </a:lnTo>
                                <a:lnTo>
                                  <a:pt x="9703" y="1315"/>
                                </a:lnTo>
                                <a:lnTo>
                                  <a:pt x="9703" y="459"/>
                                </a:lnTo>
                                <a:lnTo>
                                  <a:pt x="9703" y="4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Text Box 31"/>
                        <wps:cNvSpPr txBox="1">
                          <a:spLocks noChangeArrowheads="1"/>
                        </wps:cNvSpPr>
                        <wps:spPr bwMode="auto">
                          <a:xfrm>
                            <a:off x="1407" y="700"/>
                            <a:ext cx="9684"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3476D" w14:textId="77777777" w:rsidR="00FD55D7" w:rsidRDefault="00FD55D7" w:rsidP="002D6804">
                              <w:pPr>
                                <w:spacing w:line="228" w:lineRule="exact"/>
                                <w:ind w:left="103"/>
                                <w:rPr>
                                  <w:b/>
                                  <w:sz w:val="20"/>
                                </w:rPr>
                              </w:pPr>
                              <w:r>
                                <w:rPr>
                                  <w:b/>
                                  <w:sz w:val="20"/>
                                  <w:u w:val="thick"/>
                                </w:rPr>
                                <w:t>This Risk Theme is defined as;</w:t>
                              </w:r>
                            </w:p>
                            <w:p w14:paraId="55E80740" w14:textId="77777777" w:rsidR="00FD55D7" w:rsidRDefault="00FD55D7" w:rsidP="002D6804">
                              <w:pPr>
                                <w:ind w:left="103"/>
                                <w:rPr>
                                  <w:i/>
                                  <w:sz w:val="20"/>
                                </w:rPr>
                              </w:pPr>
                              <w:r>
                                <w:rPr>
                                  <w:i/>
                                  <w:color w:val="00ACB8"/>
                                  <w:sz w:val="20"/>
                                </w:rPr>
                                <w:t>Definition of Theme</w:t>
                              </w:r>
                            </w:p>
                          </w:txbxContent>
                        </wps:txbx>
                        <wps:bodyPr rot="0" vert="horz" wrap="square" lIns="0" tIns="0" rIns="0" bIns="0" anchor="t" anchorCtr="0" upright="1">
                          <a:noAutofit/>
                        </wps:bodyPr>
                      </wps:wsp>
                      <wps:wsp>
                        <wps:cNvPr id="402" name="Text Box 30"/>
                        <wps:cNvSpPr txBox="1">
                          <a:spLocks noChangeArrowheads="1"/>
                        </wps:cNvSpPr>
                        <wps:spPr bwMode="auto">
                          <a:xfrm>
                            <a:off x="9885" y="268"/>
                            <a:ext cx="800"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59A1D" w14:textId="77777777" w:rsidR="00FD55D7" w:rsidRDefault="00FD55D7" w:rsidP="002D6804">
                              <w:pPr>
                                <w:spacing w:line="402" w:lineRule="exact"/>
                                <w:rPr>
                                  <w:b/>
                                  <w:sz w:val="36"/>
                                </w:rPr>
                              </w:pPr>
                              <w:r>
                                <w:rPr>
                                  <w:b/>
                                  <w:color w:val="FFFFFF"/>
                                  <w:sz w:val="36"/>
                                </w:rPr>
                                <w:t>Date</w:t>
                              </w:r>
                            </w:p>
                          </w:txbxContent>
                        </wps:txbx>
                        <wps:bodyPr rot="0" vert="horz" wrap="square" lIns="0" tIns="0" rIns="0" bIns="0" anchor="t" anchorCtr="0" upright="1">
                          <a:noAutofit/>
                        </wps:bodyPr>
                      </wps:wsp>
                      <wps:wsp>
                        <wps:cNvPr id="403" name="Text Box 29"/>
                        <wps:cNvSpPr txBox="1">
                          <a:spLocks noChangeArrowheads="1"/>
                        </wps:cNvSpPr>
                        <wps:spPr bwMode="auto">
                          <a:xfrm>
                            <a:off x="1510" y="268"/>
                            <a:ext cx="2041"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AB03D" w14:textId="77777777" w:rsidR="00FD55D7" w:rsidRDefault="00FD55D7" w:rsidP="002D6804">
                              <w:pPr>
                                <w:spacing w:line="402" w:lineRule="exact"/>
                                <w:rPr>
                                  <w:b/>
                                  <w:sz w:val="36"/>
                                </w:rPr>
                              </w:pPr>
                              <w:r>
                                <w:rPr>
                                  <w:b/>
                                  <w:color w:val="FFFFFF"/>
                                  <w:sz w:val="36"/>
                                </w:rPr>
                                <w:t>Risk Theme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0E70D0" id="Group 28" o:spid="_x0000_s1149" style="position:absolute;left:0;text-align:left;margin-left:69.9pt;margin-top:12.05pt;width:485.2pt;height:66.25pt;z-index:-251616256;mso-wrap-distance-left:0;mso-wrap-distance-right:0;mso-position-horizontal-relative:page" coordorigin="1398,241" coordsize="9704,1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">
                <v:shape id="Freeform 32" o:spid="_x0000_s1150" style="position:absolute;left:1398;top:240;width:9704;height:1325;visibility:visible;mso-wrap-style:square;v-text-anchor:top" coordsize="970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" path="m9703,450r-5,l9698,r-4,l9694,459r,856l8058,1315r-1790,l10,1315r,-856l9694,459,9694,,8057,,5,r,450l,450r,9l,1315r,10l10,1325r6258,l8058,1325r1636,l9703,1325r,-10l9703,459r,-9xe" fillcolor="black" stroked="f">
                  <v:path arrowok="t" o:connecttype="custom" o:connectlocs="9703,691;9698,691;9698,241;9694,241;9694,700;9694,1556;8058,1556;6268,1556;10,1556;10,700;9694,700;9694,241;8057,241;5,241;5,691;0,691;0,700;0,1556;0,1566;10,1566;6268,1566;8058,1566;9694,1566;9703,1566;9703,1556;9703,700;9703,691" o:connectangles="0,0,0,0,0,0,0,0,0,0,0,0,0,0,0,0,0,0,0,0,0,0,0,0,0,0,0"/>
                </v:shape>
                <v:shape id="Text Box 31" o:spid="_x0000_s1151" type="#_x0000_t202" style="position:absolute;left:1407;top:700;width:9684;height: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4053476D" w14:textId="77777777" w:rsidR="00FD55D7" w:rsidRDefault="00FD55D7" w:rsidP="002D6804">
                        <w:pPr>
                          <w:spacing w:line="228" w:lineRule="exact"/>
                          <w:ind w:left="103"/>
                          <w:rPr>
                            <w:b/>
                            <w:sz w:val="20"/>
                          </w:rPr>
                        </w:pPr>
                        <w:r>
                          <w:rPr>
                            <w:b/>
                            <w:sz w:val="20"/>
                            <w:u w:val="thick"/>
                          </w:rPr>
                          <w:t>This Risk Theme is defined as;</w:t>
                        </w:r>
                      </w:p>
                      <w:p w14:paraId="55E80740" w14:textId="77777777" w:rsidR="00FD55D7" w:rsidRDefault="00FD55D7" w:rsidP="002D6804">
                        <w:pPr>
                          <w:ind w:left="103"/>
                          <w:rPr>
                            <w:i/>
                            <w:sz w:val="20"/>
                          </w:rPr>
                        </w:pPr>
                        <w:r>
                          <w:rPr>
                            <w:i/>
                            <w:color w:val="00ACB8"/>
                            <w:sz w:val="20"/>
                          </w:rPr>
                          <w:t>Definition of Theme</w:t>
                        </w:r>
                      </w:p>
                    </w:txbxContent>
                  </v:textbox>
                </v:shape>
                <v:shape id="Text Box 30" o:spid="_x0000_s1152" type="#_x0000_t202" style="position:absolute;left:9885;top:268;width:800;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3F759A1D" w14:textId="77777777" w:rsidR="00FD55D7" w:rsidRDefault="00FD55D7" w:rsidP="002D6804">
                        <w:pPr>
                          <w:spacing w:line="402" w:lineRule="exact"/>
                          <w:rPr>
                            <w:b/>
                            <w:sz w:val="36"/>
                          </w:rPr>
                        </w:pPr>
                        <w:r>
                          <w:rPr>
                            <w:b/>
                            <w:color w:val="FFFFFF"/>
                            <w:sz w:val="36"/>
                          </w:rPr>
                          <w:t>Date</w:t>
                        </w:r>
                      </w:p>
                    </w:txbxContent>
                  </v:textbox>
                </v:shape>
                <v:shape id="Text Box 29" o:spid="_x0000_s1153" type="#_x0000_t202" style="position:absolute;left:1510;top:268;width:2041;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0BEAB03D" w14:textId="77777777" w:rsidR="00FD55D7" w:rsidRDefault="00FD55D7" w:rsidP="002D6804">
                        <w:pPr>
                          <w:spacing w:line="402" w:lineRule="exact"/>
                          <w:rPr>
                            <w:b/>
                            <w:sz w:val="36"/>
                          </w:rPr>
                        </w:pPr>
                        <w:r>
                          <w:rPr>
                            <w:b/>
                            <w:color w:val="FFFFFF"/>
                            <w:sz w:val="36"/>
                          </w:rPr>
                          <w:t>Risk Theme</w:t>
                        </w:r>
                      </w:p>
                    </w:txbxContent>
                  </v:textbox>
                </v:shape>
                <w10:wrap type="topAndBottom" anchorx="page"/>
              </v:group>
            </w:pict>
          </mc:Fallback>
        </mc:AlternateContent>
      </w:r>
      <w:r>
        <w:rPr>
          <w:noProof/>
        </w:rPr>
        <mc:AlternateContent>
          <mc:Choice Requires="wps">
            <w:drawing>
              <wp:anchor distT="0" distB="0" distL="0" distR="0" simplePos="0" relativeHeight="251701248" behindDoc="1" locked="0" layoutInCell="1" allowOverlap="1" wp14:anchorId="28404BB0" wp14:editId="45A47195">
                <wp:simplePos x="0" y="0"/>
                <wp:positionH relativeFrom="page">
                  <wp:posOffset>890905</wp:posOffset>
                </wp:positionH>
                <wp:positionV relativeFrom="paragraph">
                  <wp:posOffset>1083310</wp:posOffset>
                </wp:positionV>
                <wp:extent cx="6155690" cy="501650"/>
                <wp:effectExtent l="0" t="0" r="0" b="0"/>
                <wp:wrapTopAndBottom/>
                <wp:docPr id="40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5690" cy="5016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E01D799" w14:textId="77777777" w:rsidR="00FD55D7" w:rsidRDefault="00FD55D7" w:rsidP="002D6804">
                            <w:pPr>
                              <w:spacing w:before="78"/>
                              <w:ind w:left="103"/>
                              <w:rPr>
                                <w:b/>
                                <w:sz w:val="20"/>
                              </w:rPr>
                            </w:pPr>
                            <w:r>
                              <w:rPr>
                                <w:b/>
                                <w:sz w:val="20"/>
                                <w:u w:val="thick"/>
                              </w:rPr>
                              <w:t>Potential causes include;</w:t>
                            </w:r>
                          </w:p>
                          <w:p w14:paraId="47B8CA72" w14:textId="77777777" w:rsidR="00FD55D7" w:rsidRDefault="00FD55D7" w:rsidP="002D6804">
                            <w:pPr>
                              <w:spacing w:before="161"/>
                              <w:ind w:left="103"/>
                              <w:rPr>
                                <w:i/>
                                <w:sz w:val="20"/>
                              </w:rPr>
                            </w:pPr>
                            <w:r>
                              <w:rPr>
                                <w:i/>
                                <w:color w:val="00ACB8"/>
                                <w:sz w:val="20"/>
                              </w:rPr>
                              <w:t>List of potential causes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04BB0" id="Text Box 27" o:spid="_x0000_s1154" type="#_x0000_t202" style="position:absolute;left:0;text-align:left;margin-left:70.15pt;margin-top:85.3pt;width:484.7pt;height:39.5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" filled="f" strokeweight=".48pt">
                <v:textbox inset="0,0,0,0">
                  <w:txbxContent>
                    <w:p w14:paraId="1E01D799" w14:textId="77777777" w:rsidR="00FD55D7" w:rsidRDefault="00FD55D7" w:rsidP="002D6804">
                      <w:pPr>
                        <w:spacing w:before="78"/>
                        <w:ind w:left="103"/>
                        <w:rPr>
                          <w:b/>
                          <w:sz w:val="20"/>
                        </w:rPr>
                      </w:pPr>
                      <w:r>
                        <w:rPr>
                          <w:b/>
                          <w:sz w:val="20"/>
                          <w:u w:val="thick"/>
                        </w:rPr>
                        <w:t>Potential causes include;</w:t>
                      </w:r>
                    </w:p>
                    <w:p w14:paraId="47B8CA72" w14:textId="77777777" w:rsidR="00FD55D7" w:rsidRDefault="00FD55D7" w:rsidP="002D6804">
                      <w:pPr>
                        <w:spacing w:before="161"/>
                        <w:ind w:left="103"/>
                        <w:rPr>
                          <w:i/>
                          <w:sz w:val="20"/>
                        </w:rPr>
                      </w:pPr>
                      <w:r>
                        <w:rPr>
                          <w:i/>
                          <w:color w:val="00ACB8"/>
                          <w:sz w:val="20"/>
                        </w:rPr>
                        <w:t>List of potential causes</w:t>
                      </w:r>
                    </w:p>
                  </w:txbxContent>
                </v:textbox>
                <w10:wrap type="topAndBottom" anchorx="page"/>
              </v:shape>
            </w:pict>
          </mc:Fallback>
        </mc:AlternateContent>
      </w:r>
    </w:p>
    <w:p w14:paraId="08D87E31" w14:textId="77777777" w:rsidR="002D6804" w:rsidRDefault="002D6804" w:rsidP="002D6804">
      <w:pPr>
        <w:pStyle w:val="BodyText"/>
        <w:spacing w:before="9"/>
        <w:rPr>
          <w:b/>
          <w:sz w:val="5"/>
        </w:rPr>
      </w:pPr>
    </w:p>
    <w:p w14:paraId="746DD732" w14:textId="77777777" w:rsidR="002D6804" w:rsidRDefault="002D6804" w:rsidP="002D6804">
      <w:pPr>
        <w:pStyle w:val="BodyText"/>
        <w:spacing w:before="6"/>
        <w:rPr>
          <w:b/>
          <w:sz w:val="25"/>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8"/>
        <w:gridCol w:w="1984"/>
        <w:gridCol w:w="1799"/>
        <w:gridCol w:w="1639"/>
      </w:tblGrid>
      <w:tr w:rsidR="002D6804" w14:paraId="5B6C1EC1" w14:textId="77777777" w:rsidTr="002D6804">
        <w:trPr>
          <w:trHeight w:val="1099"/>
        </w:trPr>
        <w:tc>
          <w:tcPr>
            <w:tcW w:w="4268" w:type="dxa"/>
            <w:shd w:val="clear" w:color="auto" w:fill="D9D9D9"/>
          </w:tcPr>
          <w:p w14:paraId="34E583C0" w14:textId="77777777" w:rsidR="002D6804" w:rsidRDefault="002D6804" w:rsidP="002D6804">
            <w:pPr>
              <w:pStyle w:val="TableParagraph"/>
              <w:rPr>
                <w:b/>
              </w:rPr>
            </w:pPr>
          </w:p>
          <w:p w14:paraId="63FC323E" w14:textId="77777777" w:rsidR="002D6804" w:rsidRDefault="002D6804" w:rsidP="002D6804">
            <w:pPr>
              <w:pStyle w:val="TableParagraph"/>
              <w:spacing w:before="181"/>
              <w:ind w:left="1636" w:right="1626"/>
              <w:jc w:val="center"/>
              <w:rPr>
                <w:b/>
                <w:sz w:val="20"/>
              </w:rPr>
            </w:pPr>
            <w:r>
              <w:rPr>
                <w:b/>
                <w:sz w:val="20"/>
              </w:rPr>
              <w:t>Controls</w:t>
            </w:r>
          </w:p>
        </w:tc>
        <w:tc>
          <w:tcPr>
            <w:tcW w:w="1984" w:type="dxa"/>
            <w:shd w:val="clear" w:color="auto" w:fill="D9D9D9"/>
          </w:tcPr>
          <w:p w14:paraId="5D205807" w14:textId="77777777" w:rsidR="002D6804" w:rsidRDefault="002D6804" w:rsidP="002D6804">
            <w:pPr>
              <w:pStyle w:val="TableParagraph"/>
              <w:rPr>
                <w:b/>
              </w:rPr>
            </w:pPr>
          </w:p>
          <w:p w14:paraId="3CDDE6C6" w14:textId="77777777" w:rsidR="002D6804" w:rsidRDefault="002D6804" w:rsidP="002D6804">
            <w:pPr>
              <w:pStyle w:val="TableParagraph"/>
              <w:spacing w:before="181"/>
              <w:ind w:left="737" w:right="729"/>
              <w:jc w:val="center"/>
              <w:rPr>
                <w:b/>
                <w:sz w:val="20"/>
              </w:rPr>
            </w:pPr>
            <w:r>
              <w:rPr>
                <w:b/>
                <w:sz w:val="20"/>
              </w:rPr>
              <w:t>Type</w:t>
            </w:r>
          </w:p>
        </w:tc>
        <w:tc>
          <w:tcPr>
            <w:tcW w:w="1799" w:type="dxa"/>
            <w:shd w:val="clear" w:color="auto" w:fill="D9D9D9"/>
          </w:tcPr>
          <w:p w14:paraId="27EB18CA" w14:textId="77777777" w:rsidR="002D6804" w:rsidRDefault="002D6804" w:rsidP="002D6804">
            <w:pPr>
              <w:pStyle w:val="TableParagraph"/>
              <w:rPr>
                <w:b/>
              </w:rPr>
            </w:pPr>
          </w:p>
          <w:p w14:paraId="0122D594" w14:textId="77777777" w:rsidR="002D6804" w:rsidRDefault="002D6804" w:rsidP="002D6804">
            <w:pPr>
              <w:pStyle w:val="TableParagraph"/>
              <w:spacing w:before="181"/>
              <w:ind w:left="140" w:right="130"/>
              <w:jc w:val="center"/>
              <w:rPr>
                <w:b/>
                <w:sz w:val="20"/>
              </w:rPr>
            </w:pPr>
            <w:r>
              <w:rPr>
                <w:b/>
                <w:sz w:val="20"/>
              </w:rPr>
              <w:t>Date</w:t>
            </w:r>
          </w:p>
        </w:tc>
        <w:tc>
          <w:tcPr>
            <w:tcW w:w="1639" w:type="dxa"/>
            <w:shd w:val="clear" w:color="auto" w:fill="D9D9D9"/>
          </w:tcPr>
          <w:p w14:paraId="30683A3A" w14:textId="77777777" w:rsidR="002D6804" w:rsidRDefault="002D6804" w:rsidP="002D6804">
            <w:pPr>
              <w:pStyle w:val="TableParagraph"/>
              <w:rPr>
                <w:b/>
              </w:rPr>
            </w:pPr>
          </w:p>
          <w:p w14:paraId="298E8409" w14:textId="77777777" w:rsidR="002D6804" w:rsidRDefault="002D6804" w:rsidP="002D6804">
            <w:pPr>
              <w:pStyle w:val="TableParagraph"/>
              <w:spacing w:before="181"/>
              <w:ind w:left="221"/>
              <w:rPr>
                <w:b/>
                <w:sz w:val="20"/>
              </w:rPr>
            </w:pPr>
            <w:r>
              <w:rPr>
                <w:b/>
                <w:sz w:val="20"/>
              </w:rPr>
              <w:t>Town Rating</w:t>
            </w:r>
          </w:p>
        </w:tc>
      </w:tr>
      <w:tr w:rsidR="002D6804" w14:paraId="5758BDF5" w14:textId="77777777" w:rsidTr="002D6804">
        <w:trPr>
          <w:trHeight w:val="255"/>
        </w:trPr>
        <w:tc>
          <w:tcPr>
            <w:tcW w:w="4268" w:type="dxa"/>
          </w:tcPr>
          <w:p w14:paraId="5DE4AD43" w14:textId="77777777" w:rsidR="002D6804" w:rsidRDefault="002D6804" w:rsidP="002D6804">
            <w:pPr>
              <w:pStyle w:val="TableParagraph"/>
              <w:spacing w:before="23" w:line="212" w:lineRule="exact"/>
              <w:ind w:left="107"/>
              <w:rPr>
                <w:i/>
                <w:sz w:val="20"/>
              </w:rPr>
            </w:pPr>
            <w:r>
              <w:rPr>
                <w:i/>
                <w:color w:val="00ACB8"/>
                <w:sz w:val="20"/>
              </w:rPr>
              <w:t>List of Controls</w:t>
            </w:r>
          </w:p>
        </w:tc>
        <w:tc>
          <w:tcPr>
            <w:tcW w:w="1984" w:type="dxa"/>
          </w:tcPr>
          <w:p w14:paraId="28D7CF17" w14:textId="77777777" w:rsidR="002D6804" w:rsidRDefault="002D6804" w:rsidP="002D6804">
            <w:pPr>
              <w:pStyle w:val="TableParagraph"/>
              <w:rPr>
                <w:rFonts w:ascii="Times New Roman"/>
                <w:sz w:val="18"/>
              </w:rPr>
            </w:pPr>
          </w:p>
        </w:tc>
        <w:tc>
          <w:tcPr>
            <w:tcW w:w="1799" w:type="dxa"/>
          </w:tcPr>
          <w:p w14:paraId="7A306078" w14:textId="77777777" w:rsidR="002D6804" w:rsidRDefault="002D6804" w:rsidP="002D6804">
            <w:pPr>
              <w:pStyle w:val="TableParagraph"/>
              <w:rPr>
                <w:rFonts w:ascii="Times New Roman"/>
                <w:sz w:val="18"/>
              </w:rPr>
            </w:pPr>
          </w:p>
        </w:tc>
        <w:tc>
          <w:tcPr>
            <w:tcW w:w="1639" w:type="dxa"/>
          </w:tcPr>
          <w:p w14:paraId="2CF1E7DC" w14:textId="77777777" w:rsidR="002D6804" w:rsidRDefault="002D6804" w:rsidP="002D6804">
            <w:pPr>
              <w:pStyle w:val="TableParagraph"/>
              <w:rPr>
                <w:rFonts w:ascii="Times New Roman"/>
                <w:sz w:val="18"/>
              </w:rPr>
            </w:pPr>
          </w:p>
        </w:tc>
      </w:tr>
      <w:tr w:rsidR="002D6804" w14:paraId="3E857034" w14:textId="77777777" w:rsidTr="002D6804">
        <w:trPr>
          <w:trHeight w:val="253"/>
        </w:trPr>
        <w:tc>
          <w:tcPr>
            <w:tcW w:w="4268" w:type="dxa"/>
          </w:tcPr>
          <w:p w14:paraId="027C5472" w14:textId="77777777" w:rsidR="002D6804" w:rsidRDefault="002D6804" w:rsidP="002D6804">
            <w:pPr>
              <w:pStyle w:val="TableParagraph"/>
              <w:rPr>
                <w:rFonts w:ascii="Times New Roman"/>
                <w:sz w:val="18"/>
              </w:rPr>
            </w:pPr>
          </w:p>
        </w:tc>
        <w:tc>
          <w:tcPr>
            <w:tcW w:w="1984" w:type="dxa"/>
          </w:tcPr>
          <w:p w14:paraId="76C0573A" w14:textId="77777777" w:rsidR="002D6804" w:rsidRDefault="002D6804" w:rsidP="002D6804">
            <w:pPr>
              <w:pStyle w:val="TableParagraph"/>
              <w:rPr>
                <w:rFonts w:ascii="Times New Roman"/>
                <w:sz w:val="18"/>
              </w:rPr>
            </w:pPr>
          </w:p>
        </w:tc>
        <w:tc>
          <w:tcPr>
            <w:tcW w:w="1799" w:type="dxa"/>
          </w:tcPr>
          <w:p w14:paraId="4BDF46A8" w14:textId="77777777" w:rsidR="002D6804" w:rsidRDefault="002D6804" w:rsidP="002D6804">
            <w:pPr>
              <w:pStyle w:val="TableParagraph"/>
              <w:rPr>
                <w:rFonts w:ascii="Times New Roman"/>
                <w:sz w:val="18"/>
              </w:rPr>
            </w:pPr>
          </w:p>
        </w:tc>
        <w:tc>
          <w:tcPr>
            <w:tcW w:w="1639" w:type="dxa"/>
          </w:tcPr>
          <w:p w14:paraId="4FA66BE1" w14:textId="77777777" w:rsidR="002D6804" w:rsidRDefault="002D6804" w:rsidP="002D6804">
            <w:pPr>
              <w:pStyle w:val="TableParagraph"/>
              <w:rPr>
                <w:rFonts w:ascii="Times New Roman"/>
                <w:sz w:val="18"/>
              </w:rPr>
            </w:pPr>
          </w:p>
        </w:tc>
      </w:tr>
      <w:tr w:rsidR="002D6804" w14:paraId="6C2A8FA3" w14:textId="77777777" w:rsidTr="002D6804">
        <w:trPr>
          <w:trHeight w:val="255"/>
        </w:trPr>
        <w:tc>
          <w:tcPr>
            <w:tcW w:w="4268" w:type="dxa"/>
          </w:tcPr>
          <w:p w14:paraId="202E5016" w14:textId="77777777" w:rsidR="002D6804" w:rsidRDefault="002D6804" w:rsidP="002D6804">
            <w:pPr>
              <w:pStyle w:val="TableParagraph"/>
              <w:rPr>
                <w:rFonts w:ascii="Times New Roman"/>
                <w:sz w:val="18"/>
              </w:rPr>
            </w:pPr>
          </w:p>
        </w:tc>
        <w:tc>
          <w:tcPr>
            <w:tcW w:w="1984" w:type="dxa"/>
          </w:tcPr>
          <w:p w14:paraId="2BC323A0" w14:textId="77777777" w:rsidR="002D6804" w:rsidRDefault="002D6804" w:rsidP="002D6804">
            <w:pPr>
              <w:pStyle w:val="TableParagraph"/>
              <w:rPr>
                <w:rFonts w:ascii="Times New Roman"/>
                <w:sz w:val="18"/>
              </w:rPr>
            </w:pPr>
          </w:p>
        </w:tc>
        <w:tc>
          <w:tcPr>
            <w:tcW w:w="1799" w:type="dxa"/>
          </w:tcPr>
          <w:p w14:paraId="783A7D79" w14:textId="77777777" w:rsidR="002D6804" w:rsidRDefault="002D6804" w:rsidP="002D6804">
            <w:pPr>
              <w:pStyle w:val="TableParagraph"/>
              <w:rPr>
                <w:rFonts w:ascii="Times New Roman"/>
                <w:sz w:val="18"/>
              </w:rPr>
            </w:pPr>
          </w:p>
        </w:tc>
        <w:tc>
          <w:tcPr>
            <w:tcW w:w="1639" w:type="dxa"/>
          </w:tcPr>
          <w:p w14:paraId="76EC8EAE" w14:textId="77777777" w:rsidR="002D6804" w:rsidRDefault="002D6804" w:rsidP="002D6804">
            <w:pPr>
              <w:pStyle w:val="TableParagraph"/>
              <w:rPr>
                <w:rFonts w:ascii="Times New Roman"/>
                <w:sz w:val="18"/>
              </w:rPr>
            </w:pPr>
          </w:p>
        </w:tc>
      </w:tr>
    </w:tbl>
    <w:p w14:paraId="37D545BE" w14:textId="77777777" w:rsidR="002D6804" w:rsidRDefault="002D6804" w:rsidP="002D6804">
      <w:pPr>
        <w:pStyle w:val="BodyText"/>
        <w:spacing w:before="7"/>
        <w:rPr>
          <w:b/>
          <w:sz w:val="16"/>
        </w:rPr>
      </w:pPr>
      <w:r>
        <w:rPr>
          <w:noProof/>
        </w:rPr>
        <mc:AlternateContent>
          <mc:Choice Requires="wpg">
            <w:drawing>
              <wp:anchor distT="0" distB="0" distL="0" distR="0" simplePos="0" relativeHeight="251702272" behindDoc="1" locked="0" layoutInCell="1" allowOverlap="1" wp14:anchorId="50A64861" wp14:editId="1633969E">
                <wp:simplePos x="0" y="0"/>
                <wp:positionH relativeFrom="page">
                  <wp:posOffset>887730</wp:posOffset>
                </wp:positionH>
                <wp:positionV relativeFrom="paragraph">
                  <wp:posOffset>146050</wp:posOffset>
                </wp:positionV>
                <wp:extent cx="6162040" cy="299085"/>
                <wp:effectExtent l="0" t="0" r="0" b="0"/>
                <wp:wrapTopAndBottom/>
                <wp:docPr id="40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040" cy="299085"/>
                          <a:chOff x="1398" y="230"/>
                          <a:chExt cx="9704" cy="471"/>
                        </a:xfrm>
                      </wpg:grpSpPr>
                      <wps:wsp>
                        <wps:cNvPr id="406" name="Rectangle 26"/>
                        <wps:cNvSpPr>
                          <a:spLocks noChangeArrowheads="1"/>
                        </wps:cNvSpPr>
                        <wps:spPr bwMode="auto">
                          <a:xfrm>
                            <a:off x="1407" y="241"/>
                            <a:ext cx="8043" cy="4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7" name="Freeform 25"/>
                        <wps:cNvSpPr>
                          <a:spLocks/>
                        </wps:cNvSpPr>
                        <wps:spPr bwMode="auto">
                          <a:xfrm>
                            <a:off x="1398" y="230"/>
                            <a:ext cx="9704" cy="471"/>
                          </a:xfrm>
                          <a:custGeom>
                            <a:avLst/>
                            <a:gdLst>
                              <a:gd name="T0" fmla="+- 0 11101 1398"/>
                              <a:gd name="T1" fmla="*/ T0 w 9704"/>
                              <a:gd name="T2" fmla="+- 0 230 230"/>
                              <a:gd name="T3" fmla="*/ 230 h 471"/>
                              <a:gd name="T4" fmla="+- 0 11092 1398"/>
                              <a:gd name="T5" fmla="*/ T4 w 9704"/>
                              <a:gd name="T6" fmla="+- 0 230 230"/>
                              <a:gd name="T7" fmla="*/ 230 h 471"/>
                              <a:gd name="T8" fmla="+- 0 11092 1398"/>
                              <a:gd name="T9" fmla="*/ T8 w 9704"/>
                              <a:gd name="T10" fmla="+- 0 240 230"/>
                              <a:gd name="T11" fmla="*/ 240 h 471"/>
                              <a:gd name="T12" fmla="+- 0 11092 1398"/>
                              <a:gd name="T13" fmla="*/ T12 w 9704"/>
                              <a:gd name="T14" fmla="+- 0 691 230"/>
                              <a:gd name="T15" fmla="*/ 691 h 471"/>
                              <a:gd name="T16" fmla="+- 0 9461 1398"/>
                              <a:gd name="T17" fmla="*/ T16 w 9704"/>
                              <a:gd name="T18" fmla="+- 0 691 230"/>
                              <a:gd name="T19" fmla="*/ 691 h 471"/>
                              <a:gd name="T20" fmla="+- 0 9461 1398"/>
                              <a:gd name="T21" fmla="*/ T20 w 9704"/>
                              <a:gd name="T22" fmla="+- 0 240 230"/>
                              <a:gd name="T23" fmla="*/ 240 h 471"/>
                              <a:gd name="T24" fmla="+- 0 11092 1398"/>
                              <a:gd name="T25" fmla="*/ T24 w 9704"/>
                              <a:gd name="T26" fmla="+- 0 240 230"/>
                              <a:gd name="T27" fmla="*/ 240 h 471"/>
                              <a:gd name="T28" fmla="+- 0 11092 1398"/>
                              <a:gd name="T29" fmla="*/ T28 w 9704"/>
                              <a:gd name="T30" fmla="+- 0 230 230"/>
                              <a:gd name="T31" fmla="*/ 230 h 471"/>
                              <a:gd name="T32" fmla="+- 0 9451 1398"/>
                              <a:gd name="T33" fmla="*/ T32 w 9704"/>
                              <a:gd name="T34" fmla="+- 0 230 230"/>
                              <a:gd name="T35" fmla="*/ 230 h 471"/>
                              <a:gd name="T36" fmla="+- 0 7666 1398"/>
                              <a:gd name="T37" fmla="*/ T36 w 9704"/>
                              <a:gd name="T38" fmla="+- 0 230 230"/>
                              <a:gd name="T39" fmla="*/ 230 h 471"/>
                              <a:gd name="T40" fmla="+- 0 1398 1398"/>
                              <a:gd name="T41" fmla="*/ T40 w 9704"/>
                              <a:gd name="T42" fmla="+- 0 230 230"/>
                              <a:gd name="T43" fmla="*/ 230 h 471"/>
                              <a:gd name="T44" fmla="+- 0 1398 1398"/>
                              <a:gd name="T45" fmla="*/ T44 w 9704"/>
                              <a:gd name="T46" fmla="+- 0 240 230"/>
                              <a:gd name="T47" fmla="*/ 240 h 471"/>
                              <a:gd name="T48" fmla="+- 0 7666 1398"/>
                              <a:gd name="T49" fmla="*/ T48 w 9704"/>
                              <a:gd name="T50" fmla="+- 0 240 230"/>
                              <a:gd name="T51" fmla="*/ 240 h 471"/>
                              <a:gd name="T52" fmla="+- 0 9451 1398"/>
                              <a:gd name="T53" fmla="*/ T52 w 9704"/>
                              <a:gd name="T54" fmla="+- 0 240 230"/>
                              <a:gd name="T55" fmla="*/ 240 h 471"/>
                              <a:gd name="T56" fmla="+- 0 9451 1398"/>
                              <a:gd name="T57" fmla="*/ T56 w 9704"/>
                              <a:gd name="T58" fmla="+- 0 691 230"/>
                              <a:gd name="T59" fmla="*/ 691 h 471"/>
                              <a:gd name="T60" fmla="+- 0 7666 1398"/>
                              <a:gd name="T61" fmla="*/ T60 w 9704"/>
                              <a:gd name="T62" fmla="+- 0 691 230"/>
                              <a:gd name="T63" fmla="*/ 691 h 471"/>
                              <a:gd name="T64" fmla="+- 0 1398 1398"/>
                              <a:gd name="T65" fmla="*/ T64 w 9704"/>
                              <a:gd name="T66" fmla="+- 0 691 230"/>
                              <a:gd name="T67" fmla="*/ 691 h 471"/>
                              <a:gd name="T68" fmla="+- 0 1398 1398"/>
                              <a:gd name="T69" fmla="*/ T68 w 9704"/>
                              <a:gd name="T70" fmla="+- 0 701 230"/>
                              <a:gd name="T71" fmla="*/ 701 h 471"/>
                              <a:gd name="T72" fmla="+- 0 7666 1398"/>
                              <a:gd name="T73" fmla="*/ T72 w 9704"/>
                              <a:gd name="T74" fmla="+- 0 701 230"/>
                              <a:gd name="T75" fmla="*/ 701 h 471"/>
                              <a:gd name="T76" fmla="+- 0 9451 1398"/>
                              <a:gd name="T77" fmla="*/ T76 w 9704"/>
                              <a:gd name="T78" fmla="+- 0 701 230"/>
                              <a:gd name="T79" fmla="*/ 701 h 471"/>
                              <a:gd name="T80" fmla="+- 0 11092 1398"/>
                              <a:gd name="T81" fmla="*/ T80 w 9704"/>
                              <a:gd name="T82" fmla="+- 0 701 230"/>
                              <a:gd name="T83" fmla="*/ 701 h 471"/>
                              <a:gd name="T84" fmla="+- 0 11101 1398"/>
                              <a:gd name="T85" fmla="*/ T84 w 9704"/>
                              <a:gd name="T86" fmla="+- 0 701 230"/>
                              <a:gd name="T87" fmla="*/ 701 h 471"/>
                              <a:gd name="T88" fmla="+- 0 11101 1398"/>
                              <a:gd name="T89" fmla="*/ T88 w 9704"/>
                              <a:gd name="T90" fmla="+- 0 691 230"/>
                              <a:gd name="T91" fmla="*/ 691 h 471"/>
                              <a:gd name="T92" fmla="+- 0 11101 1398"/>
                              <a:gd name="T93" fmla="*/ T92 w 9704"/>
                              <a:gd name="T94" fmla="+- 0 240 230"/>
                              <a:gd name="T95" fmla="*/ 240 h 471"/>
                              <a:gd name="T96" fmla="+- 0 11101 1398"/>
                              <a:gd name="T97" fmla="*/ T96 w 9704"/>
                              <a:gd name="T98" fmla="+- 0 230 230"/>
                              <a:gd name="T99" fmla="*/ 230 h 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704" h="471">
                                <a:moveTo>
                                  <a:pt x="9703" y="0"/>
                                </a:moveTo>
                                <a:lnTo>
                                  <a:pt x="9694" y="0"/>
                                </a:lnTo>
                                <a:lnTo>
                                  <a:pt x="9694" y="10"/>
                                </a:lnTo>
                                <a:lnTo>
                                  <a:pt x="9694" y="461"/>
                                </a:lnTo>
                                <a:lnTo>
                                  <a:pt x="8063" y="461"/>
                                </a:lnTo>
                                <a:lnTo>
                                  <a:pt x="8063" y="10"/>
                                </a:lnTo>
                                <a:lnTo>
                                  <a:pt x="9694" y="10"/>
                                </a:lnTo>
                                <a:lnTo>
                                  <a:pt x="9694" y="0"/>
                                </a:lnTo>
                                <a:lnTo>
                                  <a:pt x="8053" y="0"/>
                                </a:lnTo>
                                <a:lnTo>
                                  <a:pt x="6268" y="0"/>
                                </a:lnTo>
                                <a:lnTo>
                                  <a:pt x="0" y="0"/>
                                </a:lnTo>
                                <a:lnTo>
                                  <a:pt x="0" y="10"/>
                                </a:lnTo>
                                <a:lnTo>
                                  <a:pt x="6268" y="10"/>
                                </a:lnTo>
                                <a:lnTo>
                                  <a:pt x="8053" y="10"/>
                                </a:lnTo>
                                <a:lnTo>
                                  <a:pt x="8053" y="461"/>
                                </a:lnTo>
                                <a:lnTo>
                                  <a:pt x="6268" y="461"/>
                                </a:lnTo>
                                <a:lnTo>
                                  <a:pt x="0" y="461"/>
                                </a:lnTo>
                                <a:lnTo>
                                  <a:pt x="0" y="471"/>
                                </a:lnTo>
                                <a:lnTo>
                                  <a:pt x="6268" y="471"/>
                                </a:lnTo>
                                <a:lnTo>
                                  <a:pt x="8053" y="471"/>
                                </a:lnTo>
                                <a:lnTo>
                                  <a:pt x="9694" y="471"/>
                                </a:lnTo>
                                <a:lnTo>
                                  <a:pt x="9703" y="471"/>
                                </a:lnTo>
                                <a:lnTo>
                                  <a:pt x="9703" y="461"/>
                                </a:lnTo>
                                <a:lnTo>
                                  <a:pt x="9703" y="10"/>
                                </a:lnTo>
                                <a:lnTo>
                                  <a:pt x="97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Text Box 24"/>
                        <wps:cNvSpPr txBox="1">
                          <a:spLocks noChangeArrowheads="1"/>
                        </wps:cNvSpPr>
                        <wps:spPr bwMode="auto">
                          <a:xfrm>
                            <a:off x="1402" y="235"/>
                            <a:ext cx="8054" cy="461"/>
                          </a:xfrm>
                          <a:prstGeom prst="rect">
                            <a:avLst/>
                          </a:prstGeom>
                          <a:solidFill>
                            <a:srgbClr val="D9D9D9"/>
                          </a:solidFill>
                          <a:ln w="6096">
                            <a:solidFill>
                              <a:srgbClr val="000000"/>
                            </a:solidFill>
                            <a:prstDash val="solid"/>
                            <a:miter lim="800000"/>
                            <a:headEnd/>
                            <a:tailEnd/>
                          </a:ln>
                        </wps:spPr>
                        <wps:txbx>
                          <w:txbxContent>
                            <w:p w14:paraId="57B7B2A8" w14:textId="77777777" w:rsidR="00FD55D7" w:rsidRDefault="00FD55D7" w:rsidP="002D6804">
                              <w:pPr>
                                <w:spacing w:before="110"/>
                                <w:ind w:right="102"/>
                                <w:jc w:val="right"/>
                                <w:rPr>
                                  <w:b/>
                                  <w:i/>
                                  <w:sz w:val="20"/>
                                </w:rPr>
                              </w:pPr>
                              <w:r>
                                <w:rPr>
                                  <w:b/>
                                  <w:i/>
                                  <w:sz w:val="20"/>
                                </w:rPr>
                                <w:t>Overall Control Ratings: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A64861" id="Group 23" o:spid="_x0000_s1155" style="position:absolute;left:0;text-align:left;margin-left:69.9pt;margin-top:11.5pt;width:485.2pt;height:23.55pt;z-index:-251614208;mso-wrap-distance-left:0;mso-wrap-distance-right:0;mso-position-horizontal-relative:page" coordorigin="1398,230" coordsize="9704,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">
                <v:rect id="Rectangle 26" o:spid="_x0000_s1156" style="position:absolute;left:1407;top:241;width:8043;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" fillcolor="#d9d9d9" stroked="f"/>
                <v:shape id="Freeform 25" o:spid="_x0000_s1157" style="position:absolute;left:1398;top:230;width:9704;height:471;visibility:visible;mso-wrap-style:square;v-text-anchor:top" coordsize="970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" path="m9703,r-9,l9694,10r,451l8063,461r,-451l9694,10r,-10l8053,,6268,,,,,10r6268,l8053,10r,451l6268,461,,461r,10l6268,471r1785,l9694,471r9,l9703,461r,-451l9703,xe" fillcolor="black" stroked="f">
                  <v:path arrowok="t" o:connecttype="custom" o:connectlocs="9703,230;9694,230;9694,240;9694,691;8063,691;8063,240;9694,240;9694,230;8053,230;6268,230;0,230;0,240;6268,240;8053,240;8053,691;6268,691;0,691;0,701;6268,701;8053,701;9694,701;9703,701;9703,691;9703,240;9703,230" o:connectangles="0,0,0,0,0,0,0,0,0,0,0,0,0,0,0,0,0,0,0,0,0,0,0,0,0"/>
                </v:shape>
                <v:shape id="Text Box 24" o:spid="_x0000_s1158" type="#_x0000_t202" style="position:absolute;left:1402;top:235;width:8054;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" fillcolor="#d9d9d9" strokeweight=".48pt">
                  <v:textbox inset="0,0,0,0">
                    <w:txbxContent>
                      <w:p w14:paraId="57B7B2A8" w14:textId="77777777" w:rsidR="00FD55D7" w:rsidRDefault="00FD55D7" w:rsidP="002D6804">
                        <w:pPr>
                          <w:spacing w:before="110"/>
                          <w:ind w:right="102"/>
                          <w:jc w:val="right"/>
                          <w:rPr>
                            <w:b/>
                            <w:i/>
                            <w:sz w:val="20"/>
                          </w:rPr>
                        </w:pPr>
                        <w:r>
                          <w:rPr>
                            <w:b/>
                            <w:i/>
                            <w:sz w:val="20"/>
                          </w:rPr>
                          <w:t>Overall Control Ratings:</w:t>
                        </w:r>
                      </w:p>
                    </w:txbxContent>
                  </v:textbox>
                </v:shape>
                <w10:wrap type="topAndBottom" anchorx="page"/>
              </v:group>
            </w:pict>
          </mc:Fallback>
        </mc:AlternateContent>
      </w:r>
    </w:p>
    <w:p w14:paraId="0BE168A9" w14:textId="77777777" w:rsidR="002D6804" w:rsidRDefault="002D6804" w:rsidP="002D6804">
      <w:pPr>
        <w:pStyle w:val="BodyText"/>
        <w:spacing w:before="5" w:after="1"/>
        <w:rPr>
          <w:b/>
          <w:sz w:val="10"/>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8"/>
        <w:gridCol w:w="3784"/>
        <w:gridCol w:w="1640"/>
      </w:tblGrid>
      <w:tr w:rsidR="002D6804" w14:paraId="78A9CCAF" w14:textId="77777777" w:rsidTr="002D6804">
        <w:trPr>
          <w:trHeight w:val="942"/>
        </w:trPr>
        <w:tc>
          <w:tcPr>
            <w:tcW w:w="4268" w:type="dxa"/>
            <w:shd w:val="clear" w:color="auto" w:fill="D9D9D9"/>
          </w:tcPr>
          <w:p w14:paraId="6178DEAE" w14:textId="77777777" w:rsidR="002D6804" w:rsidRDefault="002D6804" w:rsidP="002D6804">
            <w:pPr>
              <w:pStyle w:val="TableParagraph"/>
              <w:spacing w:before="9"/>
              <w:rPr>
                <w:b/>
                <w:sz w:val="30"/>
              </w:rPr>
            </w:pPr>
          </w:p>
          <w:p w14:paraId="75039765" w14:textId="77777777" w:rsidR="002D6804" w:rsidRDefault="002D6804" w:rsidP="002D6804">
            <w:pPr>
              <w:pStyle w:val="TableParagraph"/>
              <w:ind w:left="1044"/>
              <w:rPr>
                <w:b/>
                <w:sz w:val="20"/>
              </w:rPr>
            </w:pPr>
            <w:r>
              <w:rPr>
                <w:b/>
                <w:sz w:val="20"/>
              </w:rPr>
              <w:t>Consequence Category</w:t>
            </w:r>
          </w:p>
        </w:tc>
        <w:tc>
          <w:tcPr>
            <w:tcW w:w="3784" w:type="dxa"/>
            <w:shd w:val="clear" w:color="auto" w:fill="D9D9D9"/>
          </w:tcPr>
          <w:p w14:paraId="25D3E3E5" w14:textId="77777777" w:rsidR="002D6804" w:rsidRDefault="002D6804" w:rsidP="002D6804">
            <w:pPr>
              <w:pStyle w:val="TableParagraph"/>
              <w:spacing w:before="9"/>
              <w:rPr>
                <w:b/>
                <w:sz w:val="30"/>
              </w:rPr>
            </w:pPr>
          </w:p>
          <w:p w14:paraId="4CDA98BD" w14:textId="77777777" w:rsidR="002D6804" w:rsidRDefault="002D6804" w:rsidP="002D6804">
            <w:pPr>
              <w:pStyle w:val="TableParagraph"/>
              <w:ind w:left="1266" w:right="1256"/>
              <w:jc w:val="center"/>
              <w:rPr>
                <w:b/>
                <w:sz w:val="20"/>
              </w:rPr>
            </w:pPr>
            <w:r>
              <w:rPr>
                <w:b/>
                <w:sz w:val="20"/>
              </w:rPr>
              <w:t>Risk Ratings</w:t>
            </w:r>
          </w:p>
        </w:tc>
        <w:tc>
          <w:tcPr>
            <w:tcW w:w="1640" w:type="dxa"/>
            <w:shd w:val="clear" w:color="auto" w:fill="D9D9D9"/>
          </w:tcPr>
          <w:p w14:paraId="79226E9D" w14:textId="77777777" w:rsidR="002D6804" w:rsidRDefault="002D6804" w:rsidP="002D6804">
            <w:pPr>
              <w:pStyle w:val="TableParagraph"/>
              <w:spacing w:before="9"/>
              <w:rPr>
                <w:b/>
                <w:sz w:val="30"/>
              </w:rPr>
            </w:pPr>
          </w:p>
          <w:p w14:paraId="38FA62B7" w14:textId="77777777" w:rsidR="002D6804" w:rsidRDefault="002D6804" w:rsidP="002D6804">
            <w:pPr>
              <w:pStyle w:val="TableParagraph"/>
              <w:ind w:left="220"/>
              <w:rPr>
                <w:b/>
                <w:sz w:val="20"/>
              </w:rPr>
            </w:pPr>
            <w:r>
              <w:rPr>
                <w:b/>
                <w:sz w:val="20"/>
              </w:rPr>
              <w:t>Town Rating</w:t>
            </w:r>
          </w:p>
        </w:tc>
      </w:tr>
      <w:tr w:rsidR="002D6804" w14:paraId="16E904F8" w14:textId="77777777" w:rsidTr="002D6804">
        <w:trPr>
          <w:trHeight w:val="329"/>
        </w:trPr>
        <w:tc>
          <w:tcPr>
            <w:tcW w:w="4268" w:type="dxa"/>
          </w:tcPr>
          <w:p w14:paraId="251E5D59" w14:textId="77777777" w:rsidR="002D6804" w:rsidRDefault="002D6804" w:rsidP="002D6804">
            <w:pPr>
              <w:pStyle w:val="TableParagraph"/>
              <w:rPr>
                <w:rFonts w:ascii="Times New Roman"/>
              </w:rPr>
            </w:pPr>
          </w:p>
        </w:tc>
        <w:tc>
          <w:tcPr>
            <w:tcW w:w="3784" w:type="dxa"/>
          </w:tcPr>
          <w:p w14:paraId="18EFD7E8" w14:textId="77777777" w:rsidR="002D6804" w:rsidRDefault="002D6804" w:rsidP="002D6804">
            <w:pPr>
              <w:pStyle w:val="TableParagraph"/>
              <w:spacing w:before="49"/>
              <w:ind w:right="96"/>
              <w:jc w:val="right"/>
              <w:rPr>
                <w:b/>
                <w:i/>
                <w:sz w:val="20"/>
              </w:rPr>
            </w:pPr>
            <w:r>
              <w:rPr>
                <w:b/>
                <w:i/>
                <w:sz w:val="20"/>
              </w:rPr>
              <w:t>Consequence:</w:t>
            </w:r>
          </w:p>
        </w:tc>
        <w:tc>
          <w:tcPr>
            <w:tcW w:w="1640" w:type="dxa"/>
          </w:tcPr>
          <w:p w14:paraId="443A9814" w14:textId="77777777" w:rsidR="002D6804" w:rsidRDefault="002D6804" w:rsidP="002D6804">
            <w:pPr>
              <w:pStyle w:val="TableParagraph"/>
              <w:rPr>
                <w:rFonts w:ascii="Times New Roman"/>
              </w:rPr>
            </w:pPr>
          </w:p>
        </w:tc>
      </w:tr>
      <w:tr w:rsidR="002D6804" w14:paraId="2194D8F7" w14:textId="77777777" w:rsidTr="002D6804">
        <w:trPr>
          <w:trHeight w:val="330"/>
        </w:trPr>
        <w:tc>
          <w:tcPr>
            <w:tcW w:w="4268" w:type="dxa"/>
            <w:tcBorders>
              <w:left w:val="nil"/>
              <w:bottom w:val="nil"/>
            </w:tcBorders>
          </w:tcPr>
          <w:p w14:paraId="04705F6F" w14:textId="77777777" w:rsidR="002D6804" w:rsidRDefault="002D6804" w:rsidP="002D6804">
            <w:pPr>
              <w:pStyle w:val="TableParagraph"/>
              <w:rPr>
                <w:rFonts w:ascii="Times New Roman"/>
              </w:rPr>
            </w:pPr>
          </w:p>
        </w:tc>
        <w:tc>
          <w:tcPr>
            <w:tcW w:w="3784" w:type="dxa"/>
          </w:tcPr>
          <w:p w14:paraId="6609E7C9" w14:textId="77777777" w:rsidR="002D6804" w:rsidRDefault="002D6804" w:rsidP="002D6804">
            <w:pPr>
              <w:pStyle w:val="TableParagraph"/>
              <w:spacing w:before="49"/>
              <w:ind w:right="96"/>
              <w:jc w:val="right"/>
              <w:rPr>
                <w:b/>
                <w:i/>
                <w:sz w:val="20"/>
              </w:rPr>
            </w:pPr>
            <w:r>
              <w:rPr>
                <w:b/>
                <w:i/>
                <w:sz w:val="20"/>
              </w:rPr>
              <w:t>Likelihood:</w:t>
            </w:r>
          </w:p>
        </w:tc>
        <w:tc>
          <w:tcPr>
            <w:tcW w:w="1640" w:type="dxa"/>
          </w:tcPr>
          <w:p w14:paraId="250DE848" w14:textId="77777777" w:rsidR="002D6804" w:rsidRDefault="002D6804" w:rsidP="002D6804">
            <w:pPr>
              <w:pStyle w:val="TableParagraph"/>
              <w:rPr>
                <w:rFonts w:ascii="Times New Roman"/>
              </w:rPr>
            </w:pPr>
          </w:p>
        </w:tc>
      </w:tr>
    </w:tbl>
    <w:p w14:paraId="66544828" w14:textId="77777777" w:rsidR="002D6804" w:rsidRDefault="002D6804" w:rsidP="002D6804">
      <w:pPr>
        <w:pStyle w:val="BodyText"/>
        <w:spacing w:before="7"/>
        <w:rPr>
          <w:b/>
          <w:sz w:val="16"/>
        </w:rPr>
      </w:pPr>
      <w:r>
        <w:rPr>
          <w:noProof/>
        </w:rPr>
        <mc:AlternateContent>
          <mc:Choice Requires="wpg">
            <w:drawing>
              <wp:anchor distT="0" distB="0" distL="0" distR="0" simplePos="0" relativeHeight="251703296" behindDoc="1" locked="0" layoutInCell="1" allowOverlap="1" wp14:anchorId="5425FC05" wp14:editId="504236BD">
                <wp:simplePos x="0" y="0"/>
                <wp:positionH relativeFrom="page">
                  <wp:posOffset>3597910</wp:posOffset>
                </wp:positionH>
                <wp:positionV relativeFrom="paragraph">
                  <wp:posOffset>146050</wp:posOffset>
                </wp:positionV>
                <wp:extent cx="3451225" cy="422275"/>
                <wp:effectExtent l="0" t="0" r="0" b="0"/>
                <wp:wrapTopAndBottom/>
                <wp:docPr id="40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1225" cy="422275"/>
                          <a:chOff x="5666" y="230"/>
                          <a:chExt cx="5435" cy="665"/>
                        </a:xfrm>
                      </wpg:grpSpPr>
                      <wps:wsp>
                        <wps:cNvPr id="410" name="Rectangle 22"/>
                        <wps:cNvSpPr>
                          <a:spLocks noChangeArrowheads="1"/>
                        </wps:cNvSpPr>
                        <wps:spPr bwMode="auto">
                          <a:xfrm>
                            <a:off x="5676" y="240"/>
                            <a:ext cx="3774" cy="646"/>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1" name="Freeform 21"/>
                        <wps:cNvSpPr>
                          <a:spLocks/>
                        </wps:cNvSpPr>
                        <wps:spPr bwMode="auto">
                          <a:xfrm>
                            <a:off x="5666" y="230"/>
                            <a:ext cx="5435" cy="665"/>
                          </a:xfrm>
                          <a:custGeom>
                            <a:avLst/>
                            <a:gdLst>
                              <a:gd name="T0" fmla="+- 0 11101 5666"/>
                              <a:gd name="T1" fmla="*/ T0 w 5435"/>
                              <a:gd name="T2" fmla="+- 0 230 230"/>
                              <a:gd name="T3" fmla="*/ 230 h 665"/>
                              <a:gd name="T4" fmla="+- 0 11092 5666"/>
                              <a:gd name="T5" fmla="*/ T4 w 5435"/>
                              <a:gd name="T6" fmla="+- 0 230 230"/>
                              <a:gd name="T7" fmla="*/ 230 h 665"/>
                              <a:gd name="T8" fmla="+- 0 11092 5666"/>
                              <a:gd name="T9" fmla="*/ T8 w 5435"/>
                              <a:gd name="T10" fmla="+- 0 240 230"/>
                              <a:gd name="T11" fmla="*/ 240 h 665"/>
                              <a:gd name="T12" fmla="+- 0 11092 5666"/>
                              <a:gd name="T13" fmla="*/ T12 w 5435"/>
                              <a:gd name="T14" fmla="+- 0 886 230"/>
                              <a:gd name="T15" fmla="*/ 886 h 665"/>
                              <a:gd name="T16" fmla="+- 0 9461 5666"/>
                              <a:gd name="T17" fmla="*/ T16 w 5435"/>
                              <a:gd name="T18" fmla="+- 0 886 230"/>
                              <a:gd name="T19" fmla="*/ 886 h 665"/>
                              <a:gd name="T20" fmla="+- 0 9461 5666"/>
                              <a:gd name="T21" fmla="*/ T20 w 5435"/>
                              <a:gd name="T22" fmla="+- 0 240 230"/>
                              <a:gd name="T23" fmla="*/ 240 h 665"/>
                              <a:gd name="T24" fmla="+- 0 11092 5666"/>
                              <a:gd name="T25" fmla="*/ T24 w 5435"/>
                              <a:gd name="T26" fmla="+- 0 240 230"/>
                              <a:gd name="T27" fmla="*/ 240 h 665"/>
                              <a:gd name="T28" fmla="+- 0 11092 5666"/>
                              <a:gd name="T29" fmla="*/ T28 w 5435"/>
                              <a:gd name="T30" fmla="+- 0 230 230"/>
                              <a:gd name="T31" fmla="*/ 230 h 665"/>
                              <a:gd name="T32" fmla="+- 0 9451 5666"/>
                              <a:gd name="T33" fmla="*/ T32 w 5435"/>
                              <a:gd name="T34" fmla="+- 0 230 230"/>
                              <a:gd name="T35" fmla="*/ 230 h 665"/>
                              <a:gd name="T36" fmla="+- 0 7666 5666"/>
                              <a:gd name="T37" fmla="*/ T36 w 5435"/>
                              <a:gd name="T38" fmla="+- 0 230 230"/>
                              <a:gd name="T39" fmla="*/ 230 h 665"/>
                              <a:gd name="T40" fmla="+- 0 5666 5666"/>
                              <a:gd name="T41" fmla="*/ T40 w 5435"/>
                              <a:gd name="T42" fmla="+- 0 230 230"/>
                              <a:gd name="T43" fmla="*/ 230 h 665"/>
                              <a:gd name="T44" fmla="+- 0 5666 5666"/>
                              <a:gd name="T45" fmla="*/ T44 w 5435"/>
                              <a:gd name="T46" fmla="+- 0 240 230"/>
                              <a:gd name="T47" fmla="*/ 240 h 665"/>
                              <a:gd name="T48" fmla="+- 0 7666 5666"/>
                              <a:gd name="T49" fmla="*/ T48 w 5435"/>
                              <a:gd name="T50" fmla="+- 0 240 230"/>
                              <a:gd name="T51" fmla="*/ 240 h 665"/>
                              <a:gd name="T52" fmla="+- 0 9451 5666"/>
                              <a:gd name="T53" fmla="*/ T52 w 5435"/>
                              <a:gd name="T54" fmla="+- 0 240 230"/>
                              <a:gd name="T55" fmla="*/ 240 h 665"/>
                              <a:gd name="T56" fmla="+- 0 9451 5666"/>
                              <a:gd name="T57" fmla="*/ T56 w 5435"/>
                              <a:gd name="T58" fmla="+- 0 886 230"/>
                              <a:gd name="T59" fmla="*/ 886 h 665"/>
                              <a:gd name="T60" fmla="+- 0 7666 5666"/>
                              <a:gd name="T61" fmla="*/ T60 w 5435"/>
                              <a:gd name="T62" fmla="+- 0 886 230"/>
                              <a:gd name="T63" fmla="*/ 886 h 665"/>
                              <a:gd name="T64" fmla="+- 0 5666 5666"/>
                              <a:gd name="T65" fmla="*/ T64 w 5435"/>
                              <a:gd name="T66" fmla="+- 0 886 230"/>
                              <a:gd name="T67" fmla="*/ 886 h 665"/>
                              <a:gd name="T68" fmla="+- 0 5666 5666"/>
                              <a:gd name="T69" fmla="*/ T68 w 5435"/>
                              <a:gd name="T70" fmla="+- 0 895 230"/>
                              <a:gd name="T71" fmla="*/ 895 h 665"/>
                              <a:gd name="T72" fmla="+- 0 7666 5666"/>
                              <a:gd name="T73" fmla="*/ T72 w 5435"/>
                              <a:gd name="T74" fmla="+- 0 895 230"/>
                              <a:gd name="T75" fmla="*/ 895 h 665"/>
                              <a:gd name="T76" fmla="+- 0 9451 5666"/>
                              <a:gd name="T77" fmla="*/ T76 w 5435"/>
                              <a:gd name="T78" fmla="+- 0 895 230"/>
                              <a:gd name="T79" fmla="*/ 895 h 665"/>
                              <a:gd name="T80" fmla="+- 0 11092 5666"/>
                              <a:gd name="T81" fmla="*/ T80 w 5435"/>
                              <a:gd name="T82" fmla="+- 0 895 230"/>
                              <a:gd name="T83" fmla="*/ 895 h 665"/>
                              <a:gd name="T84" fmla="+- 0 11101 5666"/>
                              <a:gd name="T85" fmla="*/ T84 w 5435"/>
                              <a:gd name="T86" fmla="+- 0 895 230"/>
                              <a:gd name="T87" fmla="*/ 895 h 665"/>
                              <a:gd name="T88" fmla="+- 0 11101 5666"/>
                              <a:gd name="T89" fmla="*/ T88 w 5435"/>
                              <a:gd name="T90" fmla="+- 0 886 230"/>
                              <a:gd name="T91" fmla="*/ 886 h 665"/>
                              <a:gd name="T92" fmla="+- 0 11101 5666"/>
                              <a:gd name="T93" fmla="*/ T92 w 5435"/>
                              <a:gd name="T94" fmla="+- 0 240 230"/>
                              <a:gd name="T95" fmla="*/ 240 h 665"/>
                              <a:gd name="T96" fmla="+- 0 11101 5666"/>
                              <a:gd name="T97" fmla="*/ T96 w 5435"/>
                              <a:gd name="T98" fmla="+- 0 230 230"/>
                              <a:gd name="T99" fmla="*/ 230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35" h="665">
                                <a:moveTo>
                                  <a:pt x="5435" y="0"/>
                                </a:moveTo>
                                <a:lnTo>
                                  <a:pt x="5426" y="0"/>
                                </a:lnTo>
                                <a:lnTo>
                                  <a:pt x="5426" y="10"/>
                                </a:lnTo>
                                <a:lnTo>
                                  <a:pt x="5426" y="656"/>
                                </a:lnTo>
                                <a:lnTo>
                                  <a:pt x="3795" y="656"/>
                                </a:lnTo>
                                <a:lnTo>
                                  <a:pt x="3795" y="10"/>
                                </a:lnTo>
                                <a:lnTo>
                                  <a:pt x="5426" y="10"/>
                                </a:lnTo>
                                <a:lnTo>
                                  <a:pt x="5426" y="0"/>
                                </a:lnTo>
                                <a:lnTo>
                                  <a:pt x="3785" y="0"/>
                                </a:lnTo>
                                <a:lnTo>
                                  <a:pt x="2000" y="0"/>
                                </a:lnTo>
                                <a:lnTo>
                                  <a:pt x="0" y="0"/>
                                </a:lnTo>
                                <a:lnTo>
                                  <a:pt x="0" y="10"/>
                                </a:lnTo>
                                <a:lnTo>
                                  <a:pt x="2000" y="10"/>
                                </a:lnTo>
                                <a:lnTo>
                                  <a:pt x="3785" y="10"/>
                                </a:lnTo>
                                <a:lnTo>
                                  <a:pt x="3785" y="656"/>
                                </a:lnTo>
                                <a:lnTo>
                                  <a:pt x="2000" y="656"/>
                                </a:lnTo>
                                <a:lnTo>
                                  <a:pt x="0" y="656"/>
                                </a:lnTo>
                                <a:lnTo>
                                  <a:pt x="0" y="665"/>
                                </a:lnTo>
                                <a:lnTo>
                                  <a:pt x="2000" y="665"/>
                                </a:lnTo>
                                <a:lnTo>
                                  <a:pt x="3785" y="665"/>
                                </a:lnTo>
                                <a:lnTo>
                                  <a:pt x="5426" y="665"/>
                                </a:lnTo>
                                <a:lnTo>
                                  <a:pt x="5435" y="665"/>
                                </a:lnTo>
                                <a:lnTo>
                                  <a:pt x="5435" y="656"/>
                                </a:lnTo>
                                <a:lnTo>
                                  <a:pt x="5435" y="10"/>
                                </a:lnTo>
                                <a:lnTo>
                                  <a:pt x="54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Text Box 20"/>
                        <wps:cNvSpPr txBox="1">
                          <a:spLocks noChangeArrowheads="1"/>
                        </wps:cNvSpPr>
                        <wps:spPr bwMode="auto">
                          <a:xfrm>
                            <a:off x="5671" y="235"/>
                            <a:ext cx="3785" cy="656"/>
                          </a:xfrm>
                          <a:prstGeom prst="rect">
                            <a:avLst/>
                          </a:prstGeom>
                          <a:solidFill>
                            <a:srgbClr val="D9D9D9"/>
                          </a:solidFill>
                          <a:ln w="6096">
                            <a:solidFill>
                              <a:srgbClr val="000000"/>
                            </a:solidFill>
                            <a:prstDash val="solid"/>
                            <a:miter lim="800000"/>
                            <a:headEnd/>
                            <a:tailEnd/>
                          </a:ln>
                        </wps:spPr>
                        <wps:txbx>
                          <w:txbxContent>
                            <w:p w14:paraId="6BD166CA" w14:textId="77777777" w:rsidR="00FD55D7" w:rsidRDefault="00FD55D7" w:rsidP="002D6804">
                              <w:pPr>
                                <w:spacing w:before="183"/>
                                <w:ind w:left="1256"/>
                                <w:rPr>
                                  <w:b/>
                                  <w:i/>
                                  <w:sz w:val="24"/>
                                </w:rPr>
                              </w:pPr>
                              <w:r>
                                <w:rPr>
                                  <w:b/>
                                  <w:i/>
                                  <w:sz w:val="24"/>
                                </w:rPr>
                                <w:t>Overall Risk Ratings: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25FC05" id="Group 19" o:spid="_x0000_s1159" style="position:absolute;left:0;text-align:left;margin-left:283.3pt;margin-top:11.5pt;width:271.75pt;height:33.25pt;z-index:-251613184;mso-wrap-distance-left:0;mso-wrap-distance-right:0;mso-position-horizontal-relative:page" coordorigin="5666,230" coordsize="543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">
                <v:rect id="Rectangle 22" o:spid="_x0000_s1160" style="position:absolute;left:5676;top:240;width:3774;height: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" fillcolor="#d9d9d9" stroked="f"/>
                <v:shape id="Freeform 21" o:spid="_x0000_s1161" style="position:absolute;left:5666;top:230;width:5435;height:665;visibility:visible;mso-wrap-style:square;v-text-anchor:top" coordsize="543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" path="m5435,r-9,l5426,10r,646l3795,656r,-646l5426,10r,-10l3785,,2000,,,,,10r2000,l3785,10r,646l2000,656,,656r,9l2000,665r1785,l5426,665r9,l5435,656r,-646l5435,xe" fillcolor="black" stroked="f">
                  <v:path arrowok="t" o:connecttype="custom" o:connectlocs="5435,230;5426,230;5426,240;5426,886;3795,886;3795,240;5426,240;5426,230;3785,230;2000,230;0,230;0,240;2000,240;3785,240;3785,886;2000,886;0,886;0,895;2000,895;3785,895;5426,895;5435,895;5435,886;5435,240;5435,230" o:connectangles="0,0,0,0,0,0,0,0,0,0,0,0,0,0,0,0,0,0,0,0,0,0,0,0,0"/>
                </v:shape>
                <v:shape id="Text Box 20" o:spid="_x0000_s1162" type="#_x0000_t202" style="position:absolute;left:5671;top:235;width:3785;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" fillcolor="#d9d9d9" strokeweight=".48pt">
                  <v:textbox inset="0,0,0,0">
                    <w:txbxContent>
                      <w:p w14:paraId="6BD166CA" w14:textId="77777777" w:rsidR="00FD55D7" w:rsidRDefault="00FD55D7" w:rsidP="002D6804">
                        <w:pPr>
                          <w:spacing w:before="183"/>
                          <w:ind w:left="1256"/>
                          <w:rPr>
                            <w:b/>
                            <w:i/>
                            <w:sz w:val="24"/>
                          </w:rPr>
                        </w:pPr>
                        <w:r>
                          <w:rPr>
                            <w:b/>
                            <w:i/>
                            <w:sz w:val="24"/>
                          </w:rPr>
                          <w:t>Overall Risk Ratings:</w:t>
                        </w:r>
                      </w:p>
                    </w:txbxContent>
                  </v:textbox>
                </v:shape>
                <w10:wrap type="topAndBottom" anchorx="page"/>
              </v:group>
            </w:pict>
          </mc:Fallback>
        </mc:AlternateContent>
      </w:r>
    </w:p>
    <w:p w14:paraId="4A610ADC" w14:textId="77777777" w:rsidR="002D6804" w:rsidRDefault="002D6804" w:rsidP="002D6804">
      <w:pPr>
        <w:pStyle w:val="BodyText"/>
        <w:spacing w:before="6"/>
        <w:rPr>
          <w:b/>
          <w:sz w:val="19"/>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8"/>
        <w:gridCol w:w="1984"/>
        <w:gridCol w:w="1799"/>
        <w:gridCol w:w="1639"/>
      </w:tblGrid>
      <w:tr w:rsidR="002D6804" w14:paraId="0233B3D1" w14:textId="77777777" w:rsidTr="002D6804">
        <w:trPr>
          <w:trHeight w:val="840"/>
        </w:trPr>
        <w:tc>
          <w:tcPr>
            <w:tcW w:w="4268" w:type="dxa"/>
            <w:shd w:val="clear" w:color="auto" w:fill="D9D9D9"/>
          </w:tcPr>
          <w:p w14:paraId="07EA7C15" w14:textId="77777777" w:rsidR="002D6804" w:rsidRDefault="002D6804" w:rsidP="002D6804">
            <w:pPr>
              <w:pStyle w:val="TableParagraph"/>
              <w:spacing w:before="5"/>
              <w:rPr>
                <w:b/>
                <w:sz w:val="26"/>
              </w:rPr>
            </w:pPr>
          </w:p>
          <w:p w14:paraId="49A6E328" w14:textId="77777777" w:rsidR="002D6804" w:rsidRDefault="002D6804" w:rsidP="002D6804">
            <w:pPr>
              <w:pStyle w:val="TableParagraph"/>
              <w:ind w:left="1636" w:right="1626"/>
              <w:jc w:val="center"/>
              <w:rPr>
                <w:b/>
                <w:sz w:val="20"/>
              </w:rPr>
            </w:pPr>
            <w:r>
              <w:rPr>
                <w:b/>
                <w:sz w:val="20"/>
              </w:rPr>
              <w:t>Indicators</w:t>
            </w:r>
          </w:p>
        </w:tc>
        <w:tc>
          <w:tcPr>
            <w:tcW w:w="1984" w:type="dxa"/>
            <w:shd w:val="clear" w:color="auto" w:fill="D9D9D9"/>
          </w:tcPr>
          <w:p w14:paraId="226551D8" w14:textId="77777777" w:rsidR="002D6804" w:rsidRDefault="002D6804" w:rsidP="002D6804">
            <w:pPr>
              <w:pStyle w:val="TableParagraph"/>
              <w:spacing w:before="5"/>
              <w:rPr>
                <w:b/>
                <w:sz w:val="26"/>
              </w:rPr>
            </w:pPr>
          </w:p>
          <w:p w14:paraId="24019CEB" w14:textId="77777777" w:rsidR="002D6804" w:rsidRDefault="002D6804" w:rsidP="002D6804">
            <w:pPr>
              <w:pStyle w:val="TableParagraph"/>
              <w:ind w:left="519"/>
              <w:rPr>
                <w:b/>
                <w:sz w:val="20"/>
              </w:rPr>
            </w:pPr>
            <w:r>
              <w:rPr>
                <w:b/>
                <w:sz w:val="20"/>
              </w:rPr>
              <w:t>Tolerance</w:t>
            </w:r>
          </w:p>
        </w:tc>
        <w:tc>
          <w:tcPr>
            <w:tcW w:w="1799" w:type="dxa"/>
            <w:shd w:val="clear" w:color="auto" w:fill="D9D9D9"/>
          </w:tcPr>
          <w:p w14:paraId="6CEDA7DA" w14:textId="77777777" w:rsidR="002D6804" w:rsidRDefault="002D6804" w:rsidP="002D6804">
            <w:pPr>
              <w:pStyle w:val="TableParagraph"/>
              <w:spacing w:before="5"/>
              <w:rPr>
                <w:b/>
                <w:sz w:val="26"/>
              </w:rPr>
            </w:pPr>
          </w:p>
          <w:p w14:paraId="744D5725" w14:textId="77777777" w:rsidR="002D6804" w:rsidRDefault="002D6804" w:rsidP="002D6804">
            <w:pPr>
              <w:pStyle w:val="TableParagraph"/>
              <w:ind w:left="140" w:right="130"/>
              <w:jc w:val="center"/>
              <w:rPr>
                <w:b/>
                <w:sz w:val="20"/>
              </w:rPr>
            </w:pPr>
            <w:r>
              <w:rPr>
                <w:b/>
                <w:sz w:val="20"/>
              </w:rPr>
              <w:t>Date</w:t>
            </w:r>
          </w:p>
        </w:tc>
        <w:tc>
          <w:tcPr>
            <w:tcW w:w="1639" w:type="dxa"/>
            <w:shd w:val="clear" w:color="auto" w:fill="D9D9D9"/>
          </w:tcPr>
          <w:p w14:paraId="56151782" w14:textId="77777777" w:rsidR="002D6804" w:rsidRDefault="002D6804" w:rsidP="002D6804">
            <w:pPr>
              <w:pStyle w:val="TableParagraph"/>
              <w:spacing w:before="189"/>
              <w:ind w:left="515" w:right="161" w:hanging="323"/>
              <w:rPr>
                <w:b/>
                <w:sz w:val="20"/>
              </w:rPr>
            </w:pPr>
            <w:r>
              <w:rPr>
                <w:b/>
                <w:sz w:val="20"/>
              </w:rPr>
              <w:t>Overall Town Result</w:t>
            </w:r>
          </w:p>
        </w:tc>
      </w:tr>
      <w:tr w:rsidR="002D6804" w14:paraId="3B7D5E5F" w14:textId="77777777" w:rsidTr="002D6804">
        <w:trPr>
          <w:trHeight w:val="255"/>
        </w:trPr>
        <w:tc>
          <w:tcPr>
            <w:tcW w:w="4268" w:type="dxa"/>
          </w:tcPr>
          <w:p w14:paraId="14860762" w14:textId="77777777" w:rsidR="002D6804" w:rsidRDefault="002D6804" w:rsidP="002D6804">
            <w:pPr>
              <w:pStyle w:val="TableParagraph"/>
              <w:spacing w:before="23" w:line="212" w:lineRule="exact"/>
              <w:ind w:left="107"/>
              <w:rPr>
                <w:i/>
                <w:sz w:val="20"/>
              </w:rPr>
            </w:pPr>
            <w:r>
              <w:rPr>
                <w:i/>
                <w:color w:val="00ACB8"/>
                <w:sz w:val="20"/>
              </w:rPr>
              <w:t>List of Indicators</w:t>
            </w:r>
          </w:p>
        </w:tc>
        <w:tc>
          <w:tcPr>
            <w:tcW w:w="1984" w:type="dxa"/>
          </w:tcPr>
          <w:p w14:paraId="74D605C1" w14:textId="77777777" w:rsidR="002D6804" w:rsidRDefault="002D6804" w:rsidP="002D6804">
            <w:pPr>
              <w:pStyle w:val="TableParagraph"/>
              <w:rPr>
                <w:rFonts w:ascii="Times New Roman"/>
                <w:sz w:val="18"/>
              </w:rPr>
            </w:pPr>
          </w:p>
        </w:tc>
        <w:tc>
          <w:tcPr>
            <w:tcW w:w="1799" w:type="dxa"/>
          </w:tcPr>
          <w:p w14:paraId="51A7B513" w14:textId="77777777" w:rsidR="002D6804" w:rsidRDefault="002D6804" w:rsidP="002D6804">
            <w:pPr>
              <w:pStyle w:val="TableParagraph"/>
              <w:rPr>
                <w:rFonts w:ascii="Times New Roman"/>
                <w:sz w:val="18"/>
              </w:rPr>
            </w:pPr>
          </w:p>
        </w:tc>
        <w:tc>
          <w:tcPr>
            <w:tcW w:w="1639" w:type="dxa"/>
          </w:tcPr>
          <w:p w14:paraId="29DA6C66" w14:textId="77777777" w:rsidR="002D6804" w:rsidRDefault="002D6804" w:rsidP="002D6804">
            <w:pPr>
              <w:pStyle w:val="TableParagraph"/>
              <w:rPr>
                <w:rFonts w:ascii="Times New Roman"/>
                <w:sz w:val="18"/>
              </w:rPr>
            </w:pPr>
          </w:p>
        </w:tc>
      </w:tr>
      <w:tr w:rsidR="002D6804" w14:paraId="2BF726AA" w14:textId="77777777" w:rsidTr="002D6804">
        <w:trPr>
          <w:trHeight w:val="253"/>
        </w:trPr>
        <w:tc>
          <w:tcPr>
            <w:tcW w:w="4268" w:type="dxa"/>
          </w:tcPr>
          <w:p w14:paraId="539A29C5" w14:textId="77777777" w:rsidR="002D6804" w:rsidRDefault="002D6804" w:rsidP="002D6804">
            <w:pPr>
              <w:pStyle w:val="TableParagraph"/>
              <w:rPr>
                <w:rFonts w:ascii="Times New Roman"/>
                <w:sz w:val="18"/>
              </w:rPr>
            </w:pPr>
          </w:p>
        </w:tc>
        <w:tc>
          <w:tcPr>
            <w:tcW w:w="1984" w:type="dxa"/>
          </w:tcPr>
          <w:p w14:paraId="5C413A70" w14:textId="77777777" w:rsidR="002D6804" w:rsidRDefault="002D6804" w:rsidP="002D6804">
            <w:pPr>
              <w:pStyle w:val="TableParagraph"/>
              <w:rPr>
                <w:rFonts w:ascii="Times New Roman"/>
                <w:sz w:val="18"/>
              </w:rPr>
            </w:pPr>
          </w:p>
        </w:tc>
        <w:tc>
          <w:tcPr>
            <w:tcW w:w="1799" w:type="dxa"/>
          </w:tcPr>
          <w:p w14:paraId="4D6BCCA7" w14:textId="77777777" w:rsidR="002D6804" w:rsidRDefault="002D6804" w:rsidP="002D6804">
            <w:pPr>
              <w:pStyle w:val="TableParagraph"/>
              <w:rPr>
                <w:rFonts w:ascii="Times New Roman"/>
                <w:sz w:val="18"/>
              </w:rPr>
            </w:pPr>
          </w:p>
        </w:tc>
        <w:tc>
          <w:tcPr>
            <w:tcW w:w="1639" w:type="dxa"/>
          </w:tcPr>
          <w:p w14:paraId="3B970713" w14:textId="77777777" w:rsidR="002D6804" w:rsidRDefault="002D6804" w:rsidP="002D6804">
            <w:pPr>
              <w:pStyle w:val="TableParagraph"/>
              <w:rPr>
                <w:rFonts w:ascii="Times New Roman"/>
                <w:sz w:val="18"/>
              </w:rPr>
            </w:pPr>
          </w:p>
        </w:tc>
      </w:tr>
      <w:tr w:rsidR="002D6804" w14:paraId="2E0761DC" w14:textId="77777777" w:rsidTr="002D6804">
        <w:trPr>
          <w:trHeight w:val="729"/>
        </w:trPr>
        <w:tc>
          <w:tcPr>
            <w:tcW w:w="9690" w:type="dxa"/>
            <w:gridSpan w:val="4"/>
          </w:tcPr>
          <w:p w14:paraId="43931B87" w14:textId="77777777" w:rsidR="002D6804" w:rsidRDefault="002D6804" w:rsidP="002D6804">
            <w:pPr>
              <w:pStyle w:val="TableParagraph"/>
              <w:spacing w:before="24" w:line="230" w:lineRule="exact"/>
              <w:ind w:left="107"/>
              <w:rPr>
                <w:b/>
                <w:sz w:val="20"/>
              </w:rPr>
            </w:pPr>
            <w:r>
              <w:rPr>
                <w:b/>
                <w:sz w:val="20"/>
                <w:u w:val="thick"/>
              </w:rPr>
              <w:t>Comments</w:t>
            </w:r>
          </w:p>
          <w:p w14:paraId="7D93E6BA" w14:textId="77777777" w:rsidR="002D6804" w:rsidRDefault="002D6804" w:rsidP="002D6804">
            <w:pPr>
              <w:pStyle w:val="TableParagraph"/>
              <w:spacing w:line="230" w:lineRule="exact"/>
              <w:ind w:left="107"/>
              <w:rPr>
                <w:i/>
                <w:sz w:val="20"/>
              </w:rPr>
            </w:pPr>
            <w:r>
              <w:rPr>
                <w:i/>
                <w:color w:val="00ACB8"/>
                <w:sz w:val="20"/>
              </w:rPr>
              <w:t>Rationale for all above ratings</w:t>
            </w:r>
          </w:p>
        </w:tc>
      </w:tr>
    </w:tbl>
    <w:p w14:paraId="6C420B29" w14:textId="77777777" w:rsidR="002D6804" w:rsidRDefault="002D6804" w:rsidP="002D6804">
      <w:pPr>
        <w:pStyle w:val="BodyText"/>
        <w:spacing w:before="1"/>
        <w:rPr>
          <w:b/>
          <w:sz w:val="13"/>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53"/>
        <w:gridCol w:w="1800"/>
        <w:gridCol w:w="1640"/>
      </w:tblGrid>
      <w:tr w:rsidR="002D6804" w14:paraId="367742F8" w14:textId="77777777" w:rsidTr="002D6804">
        <w:trPr>
          <w:trHeight w:val="254"/>
        </w:trPr>
        <w:tc>
          <w:tcPr>
            <w:tcW w:w="6253" w:type="dxa"/>
            <w:shd w:val="clear" w:color="auto" w:fill="D9D9D9"/>
          </w:tcPr>
          <w:p w14:paraId="3CB326B8" w14:textId="77777777" w:rsidR="002D6804" w:rsidRDefault="002D6804" w:rsidP="002D6804">
            <w:pPr>
              <w:pStyle w:val="TableParagraph"/>
              <w:spacing w:before="10" w:line="224" w:lineRule="exact"/>
              <w:ind w:left="1352"/>
              <w:rPr>
                <w:b/>
                <w:sz w:val="20"/>
              </w:rPr>
            </w:pPr>
            <w:r>
              <w:rPr>
                <w:b/>
                <w:sz w:val="20"/>
              </w:rPr>
              <w:t>Current Issues / Actions / Treatments</w:t>
            </w:r>
          </w:p>
        </w:tc>
        <w:tc>
          <w:tcPr>
            <w:tcW w:w="1800" w:type="dxa"/>
            <w:shd w:val="clear" w:color="auto" w:fill="D9D9D9"/>
          </w:tcPr>
          <w:p w14:paraId="3FE14061" w14:textId="77777777" w:rsidR="002D6804" w:rsidRDefault="002D6804" w:rsidP="002D6804">
            <w:pPr>
              <w:pStyle w:val="TableParagraph"/>
              <w:spacing w:before="10" w:line="224" w:lineRule="exact"/>
              <w:ind w:left="106"/>
              <w:rPr>
                <w:b/>
                <w:sz w:val="20"/>
              </w:rPr>
            </w:pPr>
            <w:r>
              <w:rPr>
                <w:b/>
                <w:sz w:val="20"/>
              </w:rPr>
              <w:t>Due Date</w:t>
            </w:r>
          </w:p>
        </w:tc>
        <w:tc>
          <w:tcPr>
            <w:tcW w:w="1640" w:type="dxa"/>
            <w:shd w:val="clear" w:color="auto" w:fill="D9D9D9"/>
          </w:tcPr>
          <w:p w14:paraId="3F6F936B" w14:textId="77777777" w:rsidR="002D6804" w:rsidRDefault="002D6804" w:rsidP="002D6804">
            <w:pPr>
              <w:pStyle w:val="TableParagraph"/>
              <w:spacing w:before="10" w:line="224" w:lineRule="exact"/>
              <w:ind w:left="106"/>
              <w:rPr>
                <w:b/>
                <w:sz w:val="20"/>
              </w:rPr>
            </w:pPr>
            <w:r>
              <w:rPr>
                <w:b/>
                <w:sz w:val="20"/>
              </w:rPr>
              <w:t>Responsibility</w:t>
            </w:r>
          </w:p>
        </w:tc>
      </w:tr>
      <w:tr w:rsidR="002D6804" w14:paraId="6393FF39" w14:textId="77777777" w:rsidTr="002D6804">
        <w:trPr>
          <w:trHeight w:val="255"/>
        </w:trPr>
        <w:tc>
          <w:tcPr>
            <w:tcW w:w="6253" w:type="dxa"/>
          </w:tcPr>
          <w:p w14:paraId="1850E86E" w14:textId="77777777" w:rsidR="002D6804" w:rsidRDefault="002D6804" w:rsidP="002D6804">
            <w:pPr>
              <w:pStyle w:val="TableParagraph"/>
              <w:spacing w:before="24" w:line="211" w:lineRule="exact"/>
              <w:ind w:left="163"/>
              <w:rPr>
                <w:i/>
                <w:sz w:val="20"/>
              </w:rPr>
            </w:pPr>
            <w:r>
              <w:rPr>
                <w:i/>
                <w:color w:val="00ACB8"/>
                <w:sz w:val="20"/>
              </w:rPr>
              <w:t>List current issues / actions / treatments</w:t>
            </w:r>
          </w:p>
        </w:tc>
        <w:tc>
          <w:tcPr>
            <w:tcW w:w="1800" w:type="dxa"/>
          </w:tcPr>
          <w:p w14:paraId="72F1909C" w14:textId="77777777" w:rsidR="002D6804" w:rsidRDefault="002D6804" w:rsidP="002D6804">
            <w:pPr>
              <w:pStyle w:val="TableParagraph"/>
              <w:rPr>
                <w:rFonts w:ascii="Times New Roman"/>
                <w:sz w:val="18"/>
              </w:rPr>
            </w:pPr>
          </w:p>
        </w:tc>
        <w:tc>
          <w:tcPr>
            <w:tcW w:w="1640" w:type="dxa"/>
          </w:tcPr>
          <w:p w14:paraId="3845A9E8" w14:textId="77777777" w:rsidR="002D6804" w:rsidRDefault="002D6804" w:rsidP="002D6804">
            <w:pPr>
              <w:pStyle w:val="TableParagraph"/>
              <w:rPr>
                <w:rFonts w:ascii="Times New Roman"/>
                <w:sz w:val="18"/>
              </w:rPr>
            </w:pPr>
          </w:p>
        </w:tc>
      </w:tr>
      <w:tr w:rsidR="002D6804" w14:paraId="7C2094D1" w14:textId="77777777" w:rsidTr="002D6804">
        <w:trPr>
          <w:trHeight w:val="255"/>
        </w:trPr>
        <w:tc>
          <w:tcPr>
            <w:tcW w:w="6253" w:type="dxa"/>
          </w:tcPr>
          <w:p w14:paraId="3FB314A9" w14:textId="77777777" w:rsidR="002D6804" w:rsidRDefault="002D6804" w:rsidP="002D6804">
            <w:pPr>
              <w:pStyle w:val="TableParagraph"/>
              <w:rPr>
                <w:rFonts w:ascii="Times New Roman"/>
                <w:sz w:val="18"/>
              </w:rPr>
            </w:pPr>
          </w:p>
        </w:tc>
        <w:tc>
          <w:tcPr>
            <w:tcW w:w="1800" w:type="dxa"/>
          </w:tcPr>
          <w:p w14:paraId="542C60E6" w14:textId="77777777" w:rsidR="002D6804" w:rsidRDefault="002D6804" w:rsidP="002D6804">
            <w:pPr>
              <w:pStyle w:val="TableParagraph"/>
              <w:rPr>
                <w:rFonts w:ascii="Times New Roman"/>
                <w:sz w:val="18"/>
              </w:rPr>
            </w:pPr>
          </w:p>
        </w:tc>
        <w:tc>
          <w:tcPr>
            <w:tcW w:w="1640" w:type="dxa"/>
          </w:tcPr>
          <w:p w14:paraId="458E38A9" w14:textId="77777777" w:rsidR="002D6804" w:rsidRDefault="002D6804" w:rsidP="002D6804">
            <w:pPr>
              <w:pStyle w:val="TableParagraph"/>
              <w:rPr>
                <w:rFonts w:ascii="Times New Roman"/>
                <w:sz w:val="18"/>
              </w:rPr>
            </w:pPr>
          </w:p>
        </w:tc>
      </w:tr>
      <w:tr w:rsidR="002D6804" w14:paraId="3138095E" w14:textId="77777777" w:rsidTr="002D6804">
        <w:trPr>
          <w:trHeight w:val="255"/>
        </w:trPr>
        <w:tc>
          <w:tcPr>
            <w:tcW w:w="6253" w:type="dxa"/>
          </w:tcPr>
          <w:p w14:paraId="08FA0593" w14:textId="77777777" w:rsidR="002D6804" w:rsidRDefault="002D6804" w:rsidP="002D6804">
            <w:pPr>
              <w:pStyle w:val="TableParagraph"/>
              <w:rPr>
                <w:rFonts w:ascii="Times New Roman"/>
                <w:sz w:val="18"/>
              </w:rPr>
            </w:pPr>
          </w:p>
        </w:tc>
        <w:tc>
          <w:tcPr>
            <w:tcW w:w="1800" w:type="dxa"/>
          </w:tcPr>
          <w:p w14:paraId="7AB47E63" w14:textId="77777777" w:rsidR="002D6804" w:rsidRDefault="002D6804" w:rsidP="002D6804">
            <w:pPr>
              <w:pStyle w:val="TableParagraph"/>
              <w:rPr>
                <w:rFonts w:ascii="Times New Roman"/>
                <w:sz w:val="18"/>
              </w:rPr>
            </w:pPr>
          </w:p>
        </w:tc>
        <w:tc>
          <w:tcPr>
            <w:tcW w:w="1640" w:type="dxa"/>
          </w:tcPr>
          <w:p w14:paraId="79619FB0" w14:textId="77777777" w:rsidR="002D6804" w:rsidRDefault="002D6804" w:rsidP="002D6804">
            <w:pPr>
              <w:pStyle w:val="TableParagraph"/>
              <w:rPr>
                <w:rFonts w:ascii="Times New Roman"/>
                <w:sz w:val="18"/>
              </w:rPr>
            </w:pPr>
          </w:p>
        </w:tc>
      </w:tr>
      <w:tr w:rsidR="002D6804" w14:paraId="56F7645B" w14:textId="77777777" w:rsidTr="002D6804">
        <w:trPr>
          <w:trHeight w:val="255"/>
        </w:trPr>
        <w:tc>
          <w:tcPr>
            <w:tcW w:w="6253" w:type="dxa"/>
          </w:tcPr>
          <w:p w14:paraId="4DCC1A50" w14:textId="77777777" w:rsidR="002D6804" w:rsidRDefault="002D6804" w:rsidP="002D6804">
            <w:pPr>
              <w:pStyle w:val="TableParagraph"/>
              <w:rPr>
                <w:rFonts w:ascii="Times New Roman"/>
                <w:sz w:val="18"/>
              </w:rPr>
            </w:pPr>
          </w:p>
        </w:tc>
        <w:tc>
          <w:tcPr>
            <w:tcW w:w="1800" w:type="dxa"/>
          </w:tcPr>
          <w:p w14:paraId="2A1A4DA0" w14:textId="77777777" w:rsidR="002D6804" w:rsidRDefault="002D6804" w:rsidP="002D6804">
            <w:pPr>
              <w:pStyle w:val="TableParagraph"/>
              <w:rPr>
                <w:rFonts w:ascii="Times New Roman"/>
                <w:sz w:val="18"/>
              </w:rPr>
            </w:pPr>
          </w:p>
        </w:tc>
        <w:tc>
          <w:tcPr>
            <w:tcW w:w="1640" w:type="dxa"/>
          </w:tcPr>
          <w:p w14:paraId="4E20AF71" w14:textId="77777777" w:rsidR="002D6804" w:rsidRDefault="002D6804" w:rsidP="002D6804">
            <w:pPr>
              <w:pStyle w:val="TableParagraph"/>
              <w:rPr>
                <w:rFonts w:ascii="Times New Roman"/>
                <w:sz w:val="18"/>
              </w:rPr>
            </w:pPr>
          </w:p>
        </w:tc>
      </w:tr>
    </w:tbl>
    <w:p w14:paraId="6BD1DCE2" w14:textId="77777777" w:rsidR="002D6804" w:rsidRDefault="002D6804" w:rsidP="002D6804">
      <w:pPr>
        <w:rPr>
          <w:rFonts w:ascii="Times New Roman"/>
          <w:sz w:val="18"/>
        </w:rPr>
        <w:sectPr w:rsidR="002D6804">
          <w:footerReference w:type="default" r:id="rId123"/>
          <w:pgSz w:w="11910" w:h="16840"/>
          <w:pgMar w:top="760" w:right="680" w:bottom="0" w:left="1280" w:header="0" w:footer="0" w:gutter="0"/>
          <w:cols w:space="720"/>
        </w:sectPr>
      </w:pPr>
    </w:p>
    <w:p w14:paraId="6D13C488" w14:textId="77777777" w:rsidR="002D6804" w:rsidRDefault="002D6804" w:rsidP="002D6804">
      <w:pPr>
        <w:pStyle w:val="BodyText"/>
        <w:ind w:left="7480"/>
      </w:pPr>
      <w:r>
        <w:rPr>
          <w:noProof/>
        </w:rPr>
        <w:lastRenderedPageBreak/>
        <w:drawing>
          <wp:inline distT="0" distB="0" distL="0" distR="0" wp14:anchorId="173AD238" wp14:editId="469F74DA">
            <wp:extent cx="1301366" cy="710946"/>
            <wp:effectExtent l="0" t="0" r="0" b="0"/>
            <wp:docPr id="438"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3.png"/>
                    <pic:cNvPicPr/>
                  </pic:nvPicPr>
                  <pic:blipFill>
                    <a:blip r:embed="rId124" cstate="print"/>
                    <a:stretch>
                      <a:fillRect/>
                    </a:stretch>
                  </pic:blipFill>
                  <pic:spPr>
                    <a:xfrm>
                      <a:off x="0" y="0"/>
                      <a:ext cx="1301366" cy="710946"/>
                    </a:xfrm>
                    <a:prstGeom prst="rect">
                      <a:avLst/>
                    </a:prstGeom>
                  </pic:spPr>
                </pic:pic>
              </a:graphicData>
            </a:graphic>
          </wp:inline>
        </w:drawing>
      </w:r>
    </w:p>
    <w:p w14:paraId="2A678E1E" w14:textId="77777777" w:rsidR="002D6804" w:rsidRDefault="002D6804" w:rsidP="002D6804">
      <w:pPr>
        <w:pStyle w:val="BodyText"/>
        <w:rPr>
          <w:b/>
        </w:rPr>
      </w:pPr>
    </w:p>
    <w:p w14:paraId="61C3E059" w14:textId="77777777" w:rsidR="002D6804" w:rsidRDefault="002D6804" w:rsidP="002D6804">
      <w:pPr>
        <w:pStyle w:val="BodyText"/>
        <w:rPr>
          <w:b/>
        </w:rPr>
      </w:pPr>
    </w:p>
    <w:p w14:paraId="3282B32A" w14:textId="77777777" w:rsidR="002D6804" w:rsidRDefault="002D6804" w:rsidP="002D6804">
      <w:pPr>
        <w:pStyle w:val="BodyText"/>
        <w:rPr>
          <w:b/>
        </w:rPr>
      </w:pPr>
    </w:p>
    <w:p w14:paraId="5B201D42" w14:textId="77777777" w:rsidR="002D6804" w:rsidRDefault="002D6804" w:rsidP="002D6804">
      <w:pPr>
        <w:pStyle w:val="BodyText"/>
        <w:rPr>
          <w:b/>
        </w:rPr>
      </w:pPr>
    </w:p>
    <w:p w14:paraId="7A0F665B" w14:textId="77777777" w:rsidR="002D6804" w:rsidRDefault="002D6804" w:rsidP="002D6804">
      <w:pPr>
        <w:pStyle w:val="BodyText"/>
        <w:rPr>
          <w:b/>
        </w:rPr>
      </w:pPr>
    </w:p>
    <w:p w14:paraId="3BD6BB27" w14:textId="77777777" w:rsidR="002D6804" w:rsidRDefault="002D6804" w:rsidP="002D6804">
      <w:pPr>
        <w:pStyle w:val="BodyText"/>
        <w:rPr>
          <w:b/>
        </w:rPr>
      </w:pPr>
    </w:p>
    <w:p w14:paraId="37D69804" w14:textId="77777777" w:rsidR="002D6804" w:rsidRDefault="002D6804" w:rsidP="002D6804">
      <w:pPr>
        <w:pStyle w:val="BodyText"/>
        <w:rPr>
          <w:b/>
        </w:rPr>
      </w:pPr>
    </w:p>
    <w:p w14:paraId="3E92AAEB" w14:textId="77777777" w:rsidR="002D6804" w:rsidRDefault="002D6804" w:rsidP="002D6804">
      <w:pPr>
        <w:pStyle w:val="BodyText"/>
        <w:rPr>
          <w:b/>
        </w:rPr>
      </w:pPr>
    </w:p>
    <w:p w14:paraId="1BB3CE91" w14:textId="77777777" w:rsidR="002D6804" w:rsidRDefault="002D6804" w:rsidP="002D6804">
      <w:pPr>
        <w:pStyle w:val="BodyText"/>
        <w:spacing w:before="7"/>
        <w:rPr>
          <w:b/>
          <w:sz w:val="23"/>
        </w:rPr>
      </w:pPr>
    </w:p>
    <w:p w14:paraId="5C08584E" w14:textId="77777777" w:rsidR="002D6804" w:rsidRDefault="002D6804" w:rsidP="002D6804">
      <w:pPr>
        <w:spacing w:before="92"/>
        <w:ind w:left="138"/>
      </w:pPr>
      <w:r>
        <w:rPr>
          <w:noProof/>
        </w:rPr>
        <mc:AlternateContent>
          <mc:Choice Requires="wpg">
            <w:drawing>
              <wp:anchor distT="0" distB="0" distL="114300" distR="114300" simplePos="0" relativeHeight="251695104" behindDoc="1" locked="0" layoutInCell="1" allowOverlap="1" wp14:anchorId="6E52A61C" wp14:editId="2194899C">
                <wp:simplePos x="0" y="0"/>
                <wp:positionH relativeFrom="page">
                  <wp:posOffset>1274445</wp:posOffset>
                </wp:positionH>
                <wp:positionV relativeFrom="paragraph">
                  <wp:posOffset>614045</wp:posOffset>
                </wp:positionV>
                <wp:extent cx="4671060" cy="4934585"/>
                <wp:effectExtent l="0" t="0" r="0" b="0"/>
                <wp:wrapNone/>
                <wp:docPr id="4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1060" cy="4934585"/>
                          <a:chOff x="2007" y="967"/>
                          <a:chExt cx="7356" cy="7771"/>
                        </a:xfrm>
                      </wpg:grpSpPr>
                      <pic:pic xmlns:pic="http://schemas.openxmlformats.org/drawingml/2006/picture">
                        <pic:nvPicPr>
                          <pic:cNvPr id="414" name="Picture 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2007" y="5945"/>
                            <a:ext cx="2786" cy="2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5" name="Picture 1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3344" y="4667"/>
                            <a:ext cx="3061"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6" name="Picture 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4831" y="3519"/>
                            <a:ext cx="2879" cy="2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 name="Picture 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5782" y="2105"/>
                            <a:ext cx="2327" cy="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Picture 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6594" y="966"/>
                            <a:ext cx="2769" cy="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710DC72" id="Group 13" o:spid="_x0000_s1026" style="position:absolute;margin-left:100.35pt;margin-top:48.35pt;width:367.8pt;height:388.55pt;z-index:-251621376;mso-position-horizontal-relative:page" coordorigin="2007,967" coordsize="7356,7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">
                <v:shape id="Picture 18" o:spid="_x0000_s1027" type="#_x0000_t75" style="position:absolute;left:2007;top:5945;width:2786;height: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">
                  <v:imagedata r:id="rId130" o:title=""/>
                </v:shape>
                <v:shape id="Picture 17" o:spid="_x0000_s1028" type="#_x0000_t75" style="position:absolute;left:3344;top:4667;width:3061;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">
                  <v:imagedata r:id="rId131" o:title=""/>
                </v:shape>
                <v:shape id="Picture 16" o:spid="_x0000_s1029" type="#_x0000_t75" style="position:absolute;left:4831;top:3519;width:2879;height: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">
                  <v:imagedata r:id="rId132" o:title=""/>
                </v:shape>
                <v:shape id="Picture 15" o:spid="_x0000_s1030" type="#_x0000_t75" style="position:absolute;left:5782;top:2105;width:2327;height: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">
                  <v:imagedata r:id="rId133" o:title=""/>
                </v:shape>
                <v:shape id="Picture 14" o:spid="_x0000_s1031" type="#_x0000_t75" style="position:absolute;left:6594;top:966;width:2769;height:2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">
                  <v:imagedata r:id="rId134" o:title=""/>
                </v:shape>
                <w10:wrap anchorx="page"/>
              </v:group>
            </w:pict>
          </mc:Fallback>
        </mc:AlternateContent>
      </w:r>
      <w:r>
        <w:rPr>
          <w:color w:val="006F65"/>
        </w:rPr>
        <w:t>This page left blank intentionally.</w:t>
      </w:r>
    </w:p>
    <w:p w14:paraId="47309B0D" w14:textId="77777777" w:rsidR="002D6804" w:rsidRDefault="002D6804" w:rsidP="002D6804">
      <w:pPr>
        <w:pStyle w:val="BodyText"/>
        <w:spacing w:before="7"/>
        <w:rPr>
          <w:sz w:val="12"/>
        </w:rPr>
      </w:pPr>
      <w:r>
        <w:rPr>
          <w:noProof/>
        </w:rPr>
        <w:drawing>
          <wp:anchor distT="0" distB="0" distL="0" distR="0" simplePos="0" relativeHeight="251682816" behindDoc="0" locked="0" layoutInCell="1" allowOverlap="1" wp14:anchorId="7983C847" wp14:editId="4FA738D0">
            <wp:simplePos x="0" y="0"/>
            <wp:positionH relativeFrom="page">
              <wp:posOffset>896111</wp:posOffset>
            </wp:positionH>
            <wp:positionV relativeFrom="paragraph">
              <wp:posOffset>117157</wp:posOffset>
            </wp:positionV>
            <wp:extent cx="4588259" cy="3438144"/>
            <wp:effectExtent l="0" t="0" r="0" b="0"/>
            <wp:wrapTopAndBottom/>
            <wp:docPr id="43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9.png"/>
                    <pic:cNvPicPr/>
                  </pic:nvPicPr>
                  <pic:blipFill>
                    <a:blip r:embed="rId135" cstate="print"/>
                    <a:stretch>
                      <a:fillRect/>
                    </a:stretch>
                  </pic:blipFill>
                  <pic:spPr>
                    <a:xfrm>
                      <a:off x="0" y="0"/>
                      <a:ext cx="4588259" cy="3438144"/>
                    </a:xfrm>
                    <a:prstGeom prst="rect">
                      <a:avLst/>
                    </a:prstGeom>
                  </pic:spPr>
                </pic:pic>
              </a:graphicData>
            </a:graphic>
          </wp:anchor>
        </w:drawing>
      </w:r>
    </w:p>
    <w:p w14:paraId="2EB91F16" w14:textId="77777777" w:rsidR="002D6804" w:rsidRDefault="002D6804" w:rsidP="002D6804">
      <w:pPr>
        <w:rPr>
          <w:sz w:val="12"/>
        </w:rPr>
        <w:sectPr w:rsidR="002D6804">
          <w:pgSz w:w="11910" w:h="16840"/>
          <w:pgMar w:top="540" w:right="680" w:bottom="1060" w:left="1280" w:header="0" w:footer="875" w:gutter="0"/>
          <w:pgNumType w:start="2"/>
          <w:cols w:space="720"/>
        </w:sectPr>
      </w:pPr>
    </w:p>
    <w:p w14:paraId="0EEA4EE9" w14:textId="77777777" w:rsidR="002D6804" w:rsidRDefault="002D6804" w:rsidP="002D6804">
      <w:pPr>
        <w:pStyle w:val="BodyText"/>
        <w:ind w:left="7480"/>
      </w:pPr>
      <w:r>
        <w:rPr>
          <w:noProof/>
        </w:rPr>
        <w:lastRenderedPageBreak/>
        <w:drawing>
          <wp:inline distT="0" distB="0" distL="0" distR="0" wp14:anchorId="5D3B687D" wp14:editId="4B2476F3">
            <wp:extent cx="1301366" cy="710946"/>
            <wp:effectExtent l="0" t="0" r="0" b="0"/>
            <wp:docPr id="440"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128" cstate="print"/>
                    <a:stretch>
                      <a:fillRect/>
                    </a:stretch>
                  </pic:blipFill>
                  <pic:spPr>
                    <a:xfrm>
                      <a:off x="0" y="0"/>
                      <a:ext cx="1301366" cy="710946"/>
                    </a:xfrm>
                    <a:prstGeom prst="rect">
                      <a:avLst/>
                    </a:prstGeom>
                  </pic:spPr>
                </pic:pic>
              </a:graphicData>
            </a:graphic>
          </wp:inline>
        </w:drawing>
      </w:r>
    </w:p>
    <w:p w14:paraId="4DE1F1CC" w14:textId="77777777" w:rsidR="002D6804" w:rsidRDefault="002D6804" w:rsidP="002D6804">
      <w:pPr>
        <w:pStyle w:val="BodyText"/>
        <w:spacing w:before="5"/>
        <w:rPr>
          <w:sz w:val="7"/>
        </w:rPr>
      </w:pPr>
    </w:p>
    <w:p w14:paraId="7005FEF1" w14:textId="77777777" w:rsidR="002D6804" w:rsidRDefault="002D6804" w:rsidP="002D6804">
      <w:pPr>
        <w:spacing w:before="95" w:line="184" w:lineRule="exact"/>
        <w:ind w:left="138"/>
        <w:rPr>
          <w:b/>
          <w:sz w:val="16"/>
        </w:rPr>
      </w:pPr>
      <w:r>
        <w:rPr>
          <w:b/>
          <w:color w:val="006F65"/>
          <w:sz w:val="16"/>
        </w:rPr>
        <w:t>Echelon Australia Pty Ltd trading as LGIS Risk Management</w:t>
      </w:r>
    </w:p>
    <w:p w14:paraId="3112499B" w14:textId="77777777" w:rsidR="002D6804" w:rsidRDefault="002D6804" w:rsidP="002D6804">
      <w:pPr>
        <w:spacing w:line="184" w:lineRule="exact"/>
        <w:ind w:left="138"/>
        <w:rPr>
          <w:sz w:val="16"/>
        </w:rPr>
      </w:pPr>
      <w:r>
        <w:rPr>
          <w:sz w:val="16"/>
        </w:rPr>
        <w:t>ABN 96 085 720 056</w:t>
      </w:r>
    </w:p>
    <w:p w14:paraId="259E8212" w14:textId="77777777" w:rsidR="002D6804" w:rsidRDefault="002D6804" w:rsidP="002D6804">
      <w:pPr>
        <w:spacing w:before="89"/>
        <w:ind w:left="138"/>
        <w:rPr>
          <w:sz w:val="16"/>
        </w:rPr>
      </w:pPr>
      <w:r>
        <w:rPr>
          <w:sz w:val="16"/>
        </w:rPr>
        <w:t>Level 3</w:t>
      </w:r>
    </w:p>
    <w:p w14:paraId="4CF0C04F" w14:textId="77777777" w:rsidR="002D6804" w:rsidRDefault="002D6804" w:rsidP="002D6804">
      <w:pPr>
        <w:spacing w:before="1" w:line="184" w:lineRule="exact"/>
        <w:ind w:left="138"/>
        <w:rPr>
          <w:sz w:val="16"/>
        </w:rPr>
      </w:pPr>
      <w:r>
        <w:rPr>
          <w:sz w:val="16"/>
        </w:rPr>
        <w:t>170 Railway</w:t>
      </w:r>
      <w:r>
        <w:rPr>
          <w:spacing w:val="-4"/>
          <w:sz w:val="16"/>
        </w:rPr>
        <w:t xml:space="preserve"> </w:t>
      </w:r>
      <w:r>
        <w:rPr>
          <w:sz w:val="16"/>
        </w:rPr>
        <w:t>Parade</w:t>
      </w:r>
    </w:p>
    <w:p w14:paraId="4B0E7363" w14:textId="77777777" w:rsidR="002D6804" w:rsidRDefault="002D6804" w:rsidP="002D6804">
      <w:pPr>
        <w:tabs>
          <w:tab w:val="left" w:pos="592"/>
        </w:tabs>
        <w:ind w:left="138" w:right="7518"/>
        <w:rPr>
          <w:sz w:val="16"/>
        </w:rPr>
      </w:pPr>
      <w:r>
        <w:rPr>
          <w:sz w:val="16"/>
        </w:rPr>
        <w:t xml:space="preserve">WEST LEEDERVILLE WA </w:t>
      </w:r>
      <w:r>
        <w:rPr>
          <w:spacing w:val="-3"/>
          <w:sz w:val="16"/>
        </w:rPr>
        <w:t xml:space="preserve">6007 </w:t>
      </w:r>
      <w:r>
        <w:rPr>
          <w:sz w:val="16"/>
        </w:rPr>
        <w:t>Tel</w:t>
      </w:r>
      <w:r>
        <w:rPr>
          <w:sz w:val="16"/>
        </w:rPr>
        <w:tab/>
        <w:t>08 9483</w:t>
      </w:r>
      <w:r>
        <w:rPr>
          <w:spacing w:val="-1"/>
          <w:sz w:val="16"/>
        </w:rPr>
        <w:t xml:space="preserve"> </w:t>
      </w:r>
      <w:r>
        <w:rPr>
          <w:sz w:val="16"/>
        </w:rPr>
        <w:t>8888</w:t>
      </w:r>
    </w:p>
    <w:p w14:paraId="046D6AE5" w14:textId="77777777" w:rsidR="002D6804" w:rsidRDefault="002D6804" w:rsidP="002D6804">
      <w:pPr>
        <w:ind w:left="138"/>
        <w:rPr>
          <w:sz w:val="16"/>
        </w:rPr>
      </w:pPr>
      <w:r>
        <w:rPr>
          <w:sz w:val="16"/>
        </w:rPr>
        <w:t>Fax    08 9483</w:t>
      </w:r>
      <w:r>
        <w:rPr>
          <w:spacing w:val="6"/>
          <w:sz w:val="16"/>
        </w:rPr>
        <w:t xml:space="preserve"> </w:t>
      </w:r>
      <w:r>
        <w:rPr>
          <w:sz w:val="16"/>
        </w:rPr>
        <w:t>8898</w:t>
      </w:r>
    </w:p>
    <w:p w14:paraId="74AA8311" w14:textId="77777777" w:rsidR="002D6804" w:rsidRDefault="002D6804" w:rsidP="002D6804">
      <w:pPr>
        <w:pStyle w:val="BodyText"/>
        <w:rPr>
          <w:sz w:val="18"/>
        </w:rPr>
      </w:pPr>
    </w:p>
    <w:p w14:paraId="4C732600" w14:textId="77777777" w:rsidR="002D6804" w:rsidRDefault="002D6804" w:rsidP="002D6804">
      <w:pPr>
        <w:pStyle w:val="BodyText"/>
        <w:rPr>
          <w:sz w:val="18"/>
        </w:rPr>
      </w:pPr>
    </w:p>
    <w:p w14:paraId="7885AD88" w14:textId="77777777" w:rsidR="002D6804" w:rsidRDefault="002D6804" w:rsidP="002D6804">
      <w:pPr>
        <w:pStyle w:val="BodyText"/>
        <w:rPr>
          <w:sz w:val="18"/>
        </w:rPr>
      </w:pPr>
    </w:p>
    <w:p w14:paraId="3B5F2AF3" w14:textId="77777777" w:rsidR="002D6804" w:rsidRDefault="002D6804" w:rsidP="002D6804">
      <w:pPr>
        <w:pStyle w:val="BodyText"/>
        <w:rPr>
          <w:sz w:val="18"/>
        </w:rPr>
      </w:pPr>
    </w:p>
    <w:p w14:paraId="4CFF7F86" w14:textId="77777777" w:rsidR="002D6804" w:rsidRDefault="002D6804" w:rsidP="002D6804">
      <w:pPr>
        <w:pStyle w:val="BodyText"/>
        <w:rPr>
          <w:sz w:val="18"/>
        </w:rPr>
      </w:pPr>
    </w:p>
    <w:p w14:paraId="00CC09F5" w14:textId="77777777" w:rsidR="002D6804" w:rsidRDefault="002D6804" w:rsidP="002D6804">
      <w:pPr>
        <w:pStyle w:val="BodyText"/>
        <w:rPr>
          <w:sz w:val="18"/>
        </w:rPr>
      </w:pPr>
    </w:p>
    <w:p w14:paraId="2EA69A0D" w14:textId="77777777" w:rsidR="002D6804" w:rsidRDefault="002D6804" w:rsidP="002D6804">
      <w:pPr>
        <w:pStyle w:val="BodyText"/>
        <w:rPr>
          <w:sz w:val="18"/>
        </w:rPr>
      </w:pPr>
    </w:p>
    <w:p w14:paraId="4870B858" w14:textId="77777777" w:rsidR="002D6804" w:rsidRDefault="002D6804" w:rsidP="002D6804">
      <w:pPr>
        <w:pStyle w:val="BodyText"/>
        <w:rPr>
          <w:sz w:val="18"/>
        </w:rPr>
      </w:pPr>
    </w:p>
    <w:p w14:paraId="275CE239" w14:textId="77777777" w:rsidR="002D6804" w:rsidRDefault="002D6804" w:rsidP="002D6804">
      <w:pPr>
        <w:pStyle w:val="BodyText"/>
        <w:rPr>
          <w:sz w:val="18"/>
        </w:rPr>
      </w:pPr>
    </w:p>
    <w:p w14:paraId="315F6333" w14:textId="77777777" w:rsidR="002D6804" w:rsidRDefault="002D6804" w:rsidP="002D6804">
      <w:pPr>
        <w:pStyle w:val="BodyText"/>
        <w:rPr>
          <w:sz w:val="18"/>
        </w:rPr>
      </w:pPr>
    </w:p>
    <w:p w14:paraId="336D61BC" w14:textId="77777777" w:rsidR="002D6804" w:rsidRDefault="002D6804" w:rsidP="002D6804">
      <w:pPr>
        <w:pStyle w:val="BodyText"/>
        <w:rPr>
          <w:sz w:val="18"/>
        </w:rPr>
      </w:pPr>
    </w:p>
    <w:p w14:paraId="064B4AB5" w14:textId="77777777" w:rsidR="002D6804" w:rsidRDefault="002D6804" w:rsidP="002D6804">
      <w:pPr>
        <w:pStyle w:val="BodyText"/>
        <w:spacing w:before="6"/>
        <w:rPr>
          <w:sz w:val="24"/>
        </w:rPr>
      </w:pPr>
    </w:p>
    <w:p w14:paraId="117DBA54" w14:textId="77777777" w:rsidR="002D6804" w:rsidRDefault="002D6804" w:rsidP="002D6804">
      <w:pPr>
        <w:ind w:left="138"/>
        <w:rPr>
          <w:b/>
          <w:sz w:val="32"/>
        </w:rPr>
      </w:pPr>
      <w:r>
        <w:rPr>
          <w:noProof/>
        </w:rPr>
        <mc:AlternateContent>
          <mc:Choice Requires="wpg">
            <w:drawing>
              <wp:anchor distT="0" distB="0" distL="114300" distR="114300" simplePos="0" relativeHeight="251696128" behindDoc="1" locked="0" layoutInCell="1" allowOverlap="1" wp14:anchorId="50F42590" wp14:editId="19C47A4D">
                <wp:simplePos x="0" y="0"/>
                <wp:positionH relativeFrom="page">
                  <wp:posOffset>1274445</wp:posOffset>
                </wp:positionH>
                <wp:positionV relativeFrom="paragraph">
                  <wp:posOffset>-659130</wp:posOffset>
                </wp:positionV>
                <wp:extent cx="4671060" cy="4934585"/>
                <wp:effectExtent l="0" t="0" r="0" b="0"/>
                <wp:wrapNone/>
                <wp:docPr id="41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1060" cy="4934585"/>
                          <a:chOff x="2007" y="-1038"/>
                          <a:chExt cx="7356" cy="7771"/>
                        </a:xfrm>
                      </wpg:grpSpPr>
                      <pic:pic xmlns:pic="http://schemas.openxmlformats.org/drawingml/2006/picture">
                        <pic:nvPicPr>
                          <pic:cNvPr id="420" name="Picture 1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2007" y="3940"/>
                            <a:ext cx="2786" cy="2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1" name="Picture 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3344" y="2663"/>
                            <a:ext cx="3061"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2" name="Picture 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4831" y="1515"/>
                            <a:ext cx="2879" cy="2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5782" y="100"/>
                            <a:ext cx="2327" cy="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4" name="Picture 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6594" y="-1038"/>
                            <a:ext cx="2769" cy="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E43FD4" id="Group 7" o:spid="_x0000_s1026" style="position:absolute;margin-left:100.35pt;margin-top:-51.9pt;width:367.8pt;height:388.55pt;z-index:-251620352;mso-position-horizontal-relative:page" coordorigin="2007,-1038" coordsize="7356,7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">
                <v:shape id="Picture 12" o:spid="_x0000_s1027" type="#_x0000_t75" style="position:absolute;left:2007;top:3940;width:2786;height: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">
                  <v:imagedata r:id="rId141" o:title=""/>
                </v:shape>
                <v:shape id="Picture 11" o:spid="_x0000_s1028" type="#_x0000_t75" style="position:absolute;left:3344;top:2663;width:3061;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">
                  <v:imagedata r:id="rId142" o:title=""/>
                </v:shape>
                <v:shape id="Picture 10" o:spid="_x0000_s1029" type="#_x0000_t75" style="position:absolute;left:4831;top:1515;width:2879;height: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">
                  <v:imagedata r:id="rId143" o:title=""/>
                </v:shape>
                <v:shape id="Picture 9" o:spid="_x0000_s1030" type="#_x0000_t75" style="position:absolute;left:5782;top:100;width:2327;height: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">
                  <v:imagedata r:id="rId144" o:title=""/>
                </v:shape>
                <v:shape id="Picture 8" o:spid="_x0000_s1031" type="#_x0000_t75" style="position:absolute;left:6594;top:-1038;width:2769;height:2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">
                  <v:imagedata r:id="rId145" o:title=""/>
                </v:shape>
                <w10:wrap anchorx="page"/>
              </v:group>
            </w:pict>
          </mc:Fallback>
        </mc:AlternateContent>
      </w:r>
      <w:r>
        <w:rPr>
          <w:b/>
          <w:color w:val="00ACB8"/>
          <w:sz w:val="32"/>
        </w:rPr>
        <w:t>CONTACTS</w:t>
      </w:r>
    </w:p>
    <w:p w14:paraId="1F61E150" w14:textId="77777777" w:rsidR="002D6804" w:rsidRDefault="002D6804" w:rsidP="002D6804">
      <w:pPr>
        <w:spacing w:before="237"/>
        <w:ind w:left="138"/>
        <w:rPr>
          <w:sz w:val="16"/>
        </w:rPr>
      </w:pPr>
      <w:r>
        <w:rPr>
          <w:b/>
          <w:color w:val="006F65"/>
          <w:sz w:val="18"/>
        </w:rPr>
        <w:t xml:space="preserve">Michael Sparks </w:t>
      </w:r>
      <w:r>
        <w:rPr>
          <w:color w:val="006F65"/>
          <w:sz w:val="16"/>
        </w:rPr>
        <w:t>BCom, Dip FS, CBCI</w:t>
      </w:r>
    </w:p>
    <w:p w14:paraId="090D87C4" w14:textId="77777777" w:rsidR="002D6804" w:rsidRDefault="002D6804" w:rsidP="002D6804">
      <w:pPr>
        <w:spacing w:before="2"/>
        <w:ind w:left="138"/>
        <w:rPr>
          <w:sz w:val="18"/>
        </w:rPr>
      </w:pPr>
      <w:r>
        <w:rPr>
          <w:sz w:val="18"/>
        </w:rPr>
        <w:t>Senior Risk Consultant</w:t>
      </w:r>
    </w:p>
    <w:p w14:paraId="671E2B8A" w14:textId="77777777" w:rsidR="002D6804" w:rsidRDefault="002D6804" w:rsidP="002D6804">
      <w:pPr>
        <w:tabs>
          <w:tab w:val="left" w:pos="591"/>
        </w:tabs>
        <w:spacing w:before="89"/>
        <w:ind w:left="138"/>
        <w:rPr>
          <w:sz w:val="18"/>
        </w:rPr>
      </w:pPr>
      <w:r>
        <w:rPr>
          <w:sz w:val="18"/>
        </w:rPr>
        <w:t>Tel</w:t>
      </w:r>
      <w:r>
        <w:rPr>
          <w:sz w:val="18"/>
        </w:rPr>
        <w:tab/>
        <w:t>08 9483</w:t>
      </w:r>
      <w:r>
        <w:rPr>
          <w:spacing w:val="-7"/>
          <w:sz w:val="18"/>
        </w:rPr>
        <w:t xml:space="preserve"> </w:t>
      </w:r>
      <w:r>
        <w:rPr>
          <w:sz w:val="18"/>
        </w:rPr>
        <w:t>8820</w:t>
      </w:r>
    </w:p>
    <w:p w14:paraId="0B7935F6" w14:textId="77777777" w:rsidR="002D6804" w:rsidRDefault="002D6804" w:rsidP="002D6804">
      <w:pPr>
        <w:spacing w:before="1" w:line="207" w:lineRule="exact"/>
        <w:ind w:left="138"/>
        <w:rPr>
          <w:sz w:val="18"/>
        </w:rPr>
      </w:pPr>
      <w:proofErr w:type="gramStart"/>
      <w:r>
        <w:rPr>
          <w:sz w:val="18"/>
        </w:rPr>
        <w:t>Mob  0417</w:t>
      </w:r>
      <w:proofErr w:type="gramEnd"/>
      <w:r>
        <w:rPr>
          <w:sz w:val="18"/>
        </w:rPr>
        <w:t xml:space="preserve"> 331</w:t>
      </w:r>
      <w:r>
        <w:rPr>
          <w:spacing w:val="-6"/>
          <w:sz w:val="18"/>
        </w:rPr>
        <w:t xml:space="preserve"> </w:t>
      </w:r>
      <w:r>
        <w:rPr>
          <w:sz w:val="18"/>
        </w:rPr>
        <w:t>514</w:t>
      </w:r>
    </w:p>
    <w:p w14:paraId="4417D644" w14:textId="77777777" w:rsidR="002D6804" w:rsidRDefault="002D6804" w:rsidP="002D6804">
      <w:pPr>
        <w:spacing w:line="207" w:lineRule="exact"/>
        <w:ind w:left="138"/>
        <w:rPr>
          <w:sz w:val="18"/>
        </w:rPr>
      </w:pPr>
      <w:hyperlink r:id="rId146">
        <w:r>
          <w:rPr>
            <w:color w:val="006F65"/>
            <w:sz w:val="18"/>
            <w:u w:val="single" w:color="006F65"/>
          </w:rPr>
          <w:t>michael.sparks@jlta.com.au</w:t>
        </w:r>
      </w:hyperlink>
    </w:p>
    <w:p w14:paraId="6183B582" w14:textId="77777777" w:rsidR="002D6804" w:rsidRDefault="002D6804" w:rsidP="002D6804">
      <w:pPr>
        <w:pStyle w:val="BodyText"/>
      </w:pPr>
    </w:p>
    <w:p w14:paraId="14D72F05" w14:textId="77777777" w:rsidR="002D6804" w:rsidRDefault="002D6804" w:rsidP="002D6804">
      <w:pPr>
        <w:pStyle w:val="BodyText"/>
      </w:pPr>
    </w:p>
    <w:p w14:paraId="1E3390C9" w14:textId="77777777" w:rsidR="002D6804" w:rsidRDefault="002D6804" w:rsidP="002D6804">
      <w:pPr>
        <w:pStyle w:val="BodyText"/>
      </w:pPr>
    </w:p>
    <w:p w14:paraId="3B462AD0" w14:textId="77777777" w:rsidR="002D6804" w:rsidRDefault="002D6804" w:rsidP="002D6804">
      <w:pPr>
        <w:pStyle w:val="BodyText"/>
      </w:pPr>
    </w:p>
    <w:p w14:paraId="0DE54575" w14:textId="77777777" w:rsidR="002D6804" w:rsidRDefault="002D6804" w:rsidP="002D6804">
      <w:pPr>
        <w:pStyle w:val="BodyText"/>
      </w:pPr>
    </w:p>
    <w:p w14:paraId="2FA64F74" w14:textId="77777777" w:rsidR="002D6804" w:rsidRDefault="002D6804" w:rsidP="002D6804">
      <w:pPr>
        <w:pStyle w:val="BodyText"/>
        <w:spacing w:before="8"/>
        <w:rPr>
          <w:sz w:val="17"/>
        </w:rPr>
      </w:pPr>
    </w:p>
    <w:p w14:paraId="1A42E697" w14:textId="77777777" w:rsidR="002D6804" w:rsidRDefault="002D6804" w:rsidP="002D6804">
      <w:pPr>
        <w:spacing w:before="94"/>
        <w:ind w:left="2898" w:right="3210"/>
        <w:jc w:val="center"/>
        <w:rPr>
          <w:b/>
          <w:sz w:val="18"/>
        </w:rPr>
      </w:pPr>
      <w:r>
        <w:rPr>
          <w:b/>
          <w:sz w:val="18"/>
        </w:rPr>
        <w:t>MEASURES OF CONSEQUENCE (PROJECT)</w:t>
      </w:r>
    </w:p>
    <w:p w14:paraId="1394F358" w14:textId="77777777" w:rsidR="002D6804" w:rsidRDefault="002D6804" w:rsidP="002D6804">
      <w:pPr>
        <w:pStyle w:val="BodyText"/>
        <w:spacing w:before="9"/>
        <w:rPr>
          <w:b/>
          <w:sz w:val="10"/>
        </w:rPr>
      </w:pPr>
    </w:p>
    <w:tbl>
      <w:tblPr>
        <w:tblW w:w="0" w:type="auto"/>
        <w:tblInd w:w="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1"/>
        <w:gridCol w:w="1275"/>
        <w:gridCol w:w="1799"/>
        <w:gridCol w:w="1842"/>
        <w:gridCol w:w="3685"/>
      </w:tblGrid>
      <w:tr w:rsidR="002D6804" w14:paraId="7EF08F6A" w14:textId="77777777" w:rsidTr="002D6804">
        <w:trPr>
          <w:trHeight w:val="671"/>
        </w:trPr>
        <w:tc>
          <w:tcPr>
            <w:tcW w:w="751" w:type="dxa"/>
            <w:shd w:val="clear" w:color="auto" w:fill="B3B3B3"/>
          </w:tcPr>
          <w:p w14:paraId="54482B31" w14:textId="77777777" w:rsidR="002D6804" w:rsidRDefault="002D6804" w:rsidP="002D6804">
            <w:pPr>
              <w:pStyle w:val="TableParagraph"/>
              <w:spacing w:before="10"/>
              <w:rPr>
                <w:b/>
                <w:sz w:val="20"/>
              </w:rPr>
            </w:pPr>
          </w:p>
          <w:p w14:paraId="6FADE7CA" w14:textId="77777777" w:rsidR="002D6804" w:rsidRDefault="002D6804" w:rsidP="002D6804">
            <w:pPr>
              <w:pStyle w:val="TableParagraph"/>
              <w:spacing w:before="1"/>
              <w:ind w:left="97" w:right="87"/>
              <w:jc w:val="center"/>
              <w:rPr>
                <w:b/>
                <w:sz w:val="16"/>
              </w:rPr>
            </w:pPr>
            <w:r>
              <w:rPr>
                <w:b/>
                <w:sz w:val="16"/>
              </w:rPr>
              <w:t>LEVEL</w:t>
            </w:r>
          </w:p>
        </w:tc>
        <w:tc>
          <w:tcPr>
            <w:tcW w:w="1275" w:type="dxa"/>
            <w:shd w:val="clear" w:color="auto" w:fill="B3B3B3"/>
          </w:tcPr>
          <w:p w14:paraId="7DA22D49" w14:textId="77777777" w:rsidR="002D6804" w:rsidRDefault="002D6804" w:rsidP="002D6804">
            <w:pPr>
              <w:pStyle w:val="TableParagraph"/>
              <w:spacing w:before="10"/>
              <w:rPr>
                <w:b/>
                <w:sz w:val="20"/>
              </w:rPr>
            </w:pPr>
          </w:p>
          <w:p w14:paraId="51B041EE" w14:textId="77777777" w:rsidR="002D6804" w:rsidRDefault="002D6804" w:rsidP="002D6804">
            <w:pPr>
              <w:pStyle w:val="TableParagraph"/>
              <w:spacing w:before="1"/>
              <w:ind w:left="144" w:right="137"/>
              <w:jc w:val="center"/>
              <w:rPr>
                <w:b/>
                <w:sz w:val="16"/>
              </w:rPr>
            </w:pPr>
            <w:r>
              <w:rPr>
                <w:b/>
                <w:sz w:val="16"/>
              </w:rPr>
              <w:t>RATING</w:t>
            </w:r>
          </w:p>
        </w:tc>
        <w:tc>
          <w:tcPr>
            <w:tcW w:w="1799" w:type="dxa"/>
            <w:shd w:val="clear" w:color="auto" w:fill="B3B3B3"/>
          </w:tcPr>
          <w:p w14:paraId="71DE1D67" w14:textId="77777777" w:rsidR="002D6804" w:rsidRDefault="002D6804" w:rsidP="002D6804">
            <w:pPr>
              <w:pStyle w:val="TableParagraph"/>
              <w:spacing w:before="89"/>
              <w:ind w:left="142" w:right="130"/>
              <w:jc w:val="center"/>
              <w:rPr>
                <w:b/>
                <w:sz w:val="16"/>
              </w:rPr>
            </w:pPr>
            <w:r>
              <w:rPr>
                <w:b/>
                <w:sz w:val="16"/>
              </w:rPr>
              <w:t>Project</w:t>
            </w:r>
          </w:p>
          <w:p w14:paraId="711ADF5E" w14:textId="77777777" w:rsidR="002D6804" w:rsidRDefault="002D6804" w:rsidP="002D6804">
            <w:pPr>
              <w:pStyle w:val="TableParagraph"/>
              <w:spacing w:before="120"/>
              <w:ind w:left="142" w:right="130"/>
              <w:jc w:val="center"/>
              <w:rPr>
                <w:b/>
                <w:sz w:val="16"/>
              </w:rPr>
            </w:pPr>
            <w:r>
              <w:rPr>
                <w:b/>
                <w:sz w:val="16"/>
              </w:rPr>
              <w:t>TIME</w:t>
            </w:r>
          </w:p>
        </w:tc>
        <w:tc>
          <w:tcPr>
            <w:tcW w:w="1842" w:type="dxa"/>
            <w:shd w:val="clear" w:color="auto" w:fill="B3B3B3"/>
          </w:tcPr>
          <w:p w14:paraId="2EF8092B" w14:textId="77777777" w:rsidR="002D6804" w:rsidRDefault="002D6804" w:rsidP="002D6804">
            <w:pPr>
              <w:pStyle w:val="TableParagraph"/>
              <w:spacing w:before="89"/>
              <w:ind w:left="631" w:right="617"/>
              <w:jc w:val="center"/>
              <w:rPr>
                <w:b/>
                <w:sz w:val="16"/>
              </w:rPr>
            </w:pPr>
            <w:r>
              <w:rPr>
                <w:b/>
                <w:sz w:val="16"/>
              </w:rPr>
              <w:t>Project</w:t>
            </w:r>
          </w:p>
          <w:p w14:paraId="7C847F60" w14:textId="77777777" w:rsidR="002D6804" w:rsidRDefault="002D6804" w:rsidP="002D6804">
            <w:pPr>
              <w:pStyle w:val="TableParagraph"/>
              <w:spacing w:before="120"/>
              <w:ind w:left="630" w:right="617"/>
              <w:jc w:val="center"/>
              <w:rPr>
                <w:b/>
                <w:sz w:val="16"/>
              </w:rPr>
            </w:pPr>
            <w:r>
              <w:rPr>
                <w:b/>
                <w:sz w:val="16"/>
              </w:rPr>
              <w:t>COST</w:t>
            </w:r>
          </w:p>
        </w:tc>
        <w:tc>
          <w:tcPr>
            <w:tcW w:w="3685" w:type="dxa"/>
            <w:shd w:val="clear" w:color="auto" w:fill="B3B3B3"/>
          </w:tcPr>
          <w:p w14:paraId="02176E08" w14:textId="77777777" w:rsidR="002D6804" w:rsidRDefault="002D6804" w:rsidP="002D6804">
            <w:pPr>
              <w:pStyle w:val="TableParagraph"/>
              <w:spacing w:before="89"/>
              <w:ind w:left="149" w:right="132"/>
              <w:jc w:val="center"/>
              <w:rPr>
                <w:b/>
                <w:sz w:val="16"/>
              </w:rPr>
            </w:pPr>
            <w:r>
              <w:rPr>
                <w:b/>
                <w:sz w:val="16"/>
              </w:rPr>
              <w:t>Project</w:t>
            </w:r>
          </w:p>
          <w:p w14:paraId="57E4C89A" w14:textId="77777777" w:rsidR="002D6804" w:rsidRDefault="002D6804" w:rsidP="002D6804">
            <w:pPr>
              <w:pStyle w:val="TableParagraph"/>
              <w:spacing w:before="120"/>
              <w:ind w:left="147" w:right="132"/>
              <w:jc w:val="center"/>
              <w:rPr>
                <w:b/>
                <w:sz w:val="16"/>
              </w:rPr>
            </w:pPr>
            <w:r>
              <w:rPr>
                <w:b/>
                <w:sz w:val="16"/>
              </w:rPr>
              <w:t>SCOPE / QUALITY</w:t>
            </w:r>
          </w:p>
        </w:tc>
      </w:tr>
      <w:tr w:rsidR="002D6804" w14:paraId="3327A6D8" w14:textId="77777777" w:rsidTr="002D6804">
        <w:trPr>
          <w:trHeight w:val="671"/>
        </w:trPr>
        <w:tc>
          <w:tcPr>
            <w:tcW w:w="751" w:type="dxa"/>
          </w:tcPr>
          <w:p w14:paraId="6DBAD3AF" w14:textId="77777777" w:rsidR="002D6804" w:rsidRDefault="002D6804" w:rsidP="002D6804">
            <w:pPr>
              <w:pStyle w:val="TableParagraph"/>
              <w:rPr>
                <w:b/>
                <w:sz w:val="21"/>
              </w:rPr>
            </w:pPr>
          </w:p>
          <w:p w14:paraId="3357DC48" w14:textId="77777777" w:rsidR="002D6804" w:rsidRDefault="002D6804" w:rsidP="002D6804">
            <w:pPr>
              <w:pStyle w:val="TableParagraph"/>
              <w:ind w:left="9"/>
              <w:jc w:val="center"/>
              <w:rPr>
                <w:b/>
                <w:sz w:val="16"/>
              </w:rPr>
            </w:pPr>
            <w:r>
              <w:rPr>
                <w:b/>
                <w:w w:val="99"/>
                <w:sz w:val="16"/>
              </w:rPr>
              <w:t>1</w:t>
            </w:r>
          </w:p>
        </w:tc>
        <w:tc>
          <w:tcPr>
            <w:tcW w:w="1275" w:type="dxa"/>
          </w:tcPr>
          <w:p w14:paraId="4CAA8BCD" w14:textId="77777777" w:rsidR="002D6804" w:rsidRDefault="002D6804" w:rsidP="002D6804">
            <w:pPr>
              <w:pStyle w:val="TableParagraph"/>
              <w:rPr>
                <w:b/>
                <w:sz w:val="21"/>
              </w:rPr>
            </w:pPr>
          </w:p>
          <w:p w14:paraId="45C2028D" w14:textId="77777777" w:rsidR="002D6804" w:rsidRDefault="002D6804" w:rsidP="002D6804">
            <w:pPr>
              <w:pStyle w:val="TableParagraph"/>
              <w:ind w:left="145" w:right="137"/>
              <w:jc w:val="center"/>
              <w:rPr>
                <w:b/>
                <w:sz w:val="16"/>
              </w:rPr>
            </w:pPr>
            <w:r>
              <w:rPr>
                <w:b/>
                <w:sz w:val="16"/>
              </w:rPr>
              <w:t>Insignificant</w:t>
            </w:r>
          </w:p>
        </w:tc>
        <w:tc>
          <w:tcPr>
            <w:tcW w:w="1799" w:type="dxa"/>
          </w:tcPr>
          <w:p w14:paraId="3EE8B536" w14:textId="77777777" w:rsidR="002D6804" w:rsidRDefault="002D6804" w:rsidP="002D6804">
            <w:pPr>
              <w:pStyle w:val="TableParagraph"/>
              <w:spacing w:before="57"/>
              <w:ind w:left="142" w:right="130"/>
              <w:jc w:val="center"/>
              <w:rPr>
                <w:sz w:val="16"/>
              </w:rPr>
            </w:pPr>
            <w:r>
              <w:rPr>
                <w:sz w:val="16"/>
              </w:rPr>
              <w:t>Exceeds deadline by</w:t>
            </w:r>
          </w:p>
          <w:p w14:paraId="007CB83B" w14:textId="77777777" w:rsidR="002D6804" w:rsidRDefault="002D6804" w:rsidP="002D6804">
            <w:pPr>
              <w:pStyle w:val="TableParagraph"/>
              <w:spacing w:before="1"/>
              <w:ind w:left="142" w:right="128"/>
              <w:jc w:val="center"/>
              <w:rPr>
                <w:sz w:val="16"/>
              </w:rPr>
            </w:pPr>
            <w:r>
              <w:rPr>
                <w:sz w:val="16"/>
              </w:rPr>
              <w:t>&gt;5% of project timeline</w:t>
            </w:r>
          </w:p>
        </w:tc>
        <w:tc>
          <w:tcPr>
            <w:tcW w:w="1842" w:type="dxa"/>
          </w:tcPr>
          <w:p w14:paraId="4BB45A38" w14:textId="77777777" w:rsidR="002D6804" w:rsidRDefault="002D6804" w:rsidP="002D6804">
            <w:pPr>
              <w:pStyle w:val="TableParagraph"/>
              <w:spacing w:before="149"/>
              <w:ind w:left="433" w:right="320" w:hanging="80"/>
              <w:rPr>
                <w:sz w:val="16"/>
              </w:rPr>
            </w:pPr>
            <w:r>
              <w:rPr>
                <w:sz w:val="16"/>
              </w:rPr>
              <w:t>Exceeds project budget by 2%</w:t>
            </w:r>
          </w:p>
        </w:tc>
        <w:tc>
          <w:tcPr>
            <w:tcW w:w="3685" w:type="dxa"/>
          </w:tcPr>
          <w:p w14:paraId="60F5E551" w14:textId="77777777" w:rsidR="002D6804" w:rsidRDefault="002D6804" w:rsidP="002D6804">
            <w:pPr>
              <w:pStyle w:val="TableParagraph"/>
              <w:rPr>
                <w:b/>
                <w:sz w:val="21"/>
              </w:rPr>
            </w:pPr>
          </w:p>
          <w:p w14:paraId="546B4AF6" w14:textId="77777777" w:rsidR="002D6804" w:rsidRDefault="002D6804" w:rsidP="002D6804">
            <w:pPr>
              <w:pStyle w:val="TableParagraph"/>
              <w:ind w:left="347"/>
              <w:rPr>
                <w:sz w:val="16"/>
              </w:rPr>
            </w:pPr>
            <w:r>
              <w:rPr>
                <w:sz w:val="16"/>
              </w:rPr>
              <w:t>Minor variations to project scope or quality</w:t>
            </w:r>
          </w:p>
        </w:tc>
      </w:tr>
      <w:tr w:rsidR="002D6804" w14:paraId="1B7E409A" w14:textId="77777777" w:rsidTr="002D6804">
        <w:trPr>
          <w:trHeight w:val="792"/>
        </w:trPr>
        <w:tc>
          <w:tcPr>
            <w:tcW w:w="751" w:type="dxa"/>
          </w:tcPr>
          <w:p w14:paraId="13388064" w14:textId="77777777" w:rsidR="002D6804" w:rsidRDefault="002D6804" w:rsidP="002D6804">
            <w:pPr>
              <w:pStyle w:val="TableParagraph"/>
              <w:spacing w:before="3"/>
              <w:rPr>
                <w:b/>
                <w:sz w:val="26"/>
              </w:rPr>
            </w:pPr>
          </w:p>
          <w:p w14:paraId="79A24096" w14:textId="77777777" w:rsidR="002D6804" w:rsidRDefault="002D6804" w:rsidP="002D6804">
            <w:pPr>
              <w:pStyle w:val="TableParagraph"/>
              <w:ind w:left="9"/>
              <w:jc w:val="center"/>
              <w:rPr>
                <w:b/>
                <w:sz w:val="16"/>
              </w:rPr>
            </w:pPr>
            <w:r>
              <w:rPr>
                <w:b/>
                <w:w w:val="99"/>
                <w:sz w:val="16"/>
              </w:rPr>
              <w:t>2</w:t>
            </w:r>
          </w:p>
        </w:tc>
        <w:tc>
          <w:tcPr>
            <w:tcW w:w="1275" w:type="dxa"/>
          </w:tcPr>
          <w:p w14:paraId="6094A68A" w14:textId="77777777" w:rsidR="002D6804" w:rsidRDefault="002D6804" w:rsidP="002D6804">
            <w:pPr>
              <w:pStyle w:val="TableParagraph"/>
              <w:spacing w:before="3"/>
              <w:rPr>
                <w:b/>
                <w:sz w:val="26"/>
              </w:rPr>
            </w:pPr>
          </w:p>
          <w:p w14:paraId="41C5D346" w14:textId="77777777" w:rsidR="002D6804" w:rsidRDefault="002D6804" w:rsidP="002D6804">
            <w:pPr>
              <w:pStyle w:val="TableParagraph"/>
              <w:ind w:left="143" w:right="137"/>
              <w:jc w:val="center"/>
              <w:rPr>
                <w:b/>
                <w:sz w:val="16"/>
              </w:rPr>
            </w:pPr>
            <w:r>
              <w:rPr>
                <w:b/>
                <w:sz w:val="16"/>
              </w:rPr>
              <w:t>Minor</w:t>
            </w:r>
          </w:p>
        </w:tc>
        <w:tc>
          <w:tcPr>
            <w:tcW w:w="1799" w:type="dxa"/>
          </w:tcPr>
          <w:p w14:paraId="5D4707C8" w14:textId="77777777" w:rsidR="002D6804" w:rsidRDefault="002D6804" w:rsidP="002D6804">
            <w:pPr>
              <w:pStyle w:val="TableParagraph"/>
              <w:spacing w:before="118" w:line="184" w:lineRule="exact"/>
              <w:ind w:left="142" w:right="130"/>
              <w:jc w:val="center"/>
              <w:rPr>
                <w:sz w:val="16"/>
              </w:rPr>
            </w:pPr>
            <w:r>
              <w:rPr>
                <w:sz w:val="16"/>
              </w:rPr>
              <w:t>Exceeds deadline by</w:t>
            </w:r>
          </w:p>
          <w:p w14:paraId="09027E51" w14:textId="77777777" w:rsidR="002D6804" w:rsidRDefault="002D6804" w:rsidP="002D6804">
            <w:pPr>
              <w:pStyle w:val="TableParagraph"/>
              <w:ind w:left="142" w:right="128"/>
              <w:jc w:val="center"/>
              <w:rPr>
                <w:sz w:val="16"/>
              </w:rPr>
            </w:pPr>
            <w:r>
              <w:rPr>
                <w:sz w:val="16"/>
              </w:rPr>
              <w:t>&gt;10% of project timeline</w:t>
            </w:r>
          </w:p>
        </w:tc>
        <w:tc>
          <w:tcPr>
            <w:tcW w:w="1842" w:type="dxa"/>
          </w:tcPr>
          <w:p w14:paraId="3FB4AA2A" w14:textId="77777777" w:rsidR="002D6804" w:rsidRDefault="002D6804" w:rsidP="002D6804">
            <w:pPr>
              <w:pStyle w:val="TableParagraph"/>
              <w:spacing w:before="2"/>
              <w:rPr>
                <w:b/>
                <w:sz w:val="18"/>
              </w:rPr>
            </w:pPr>
          </w:p>
          <w:p w14:paraId="10F0E4B4" w14:textId="77777777" w:rsidR="002D6804" w:rsidRDefault="002D6804" w:rsidP="002D6804">
            <w:pPr>
              <w:pStyle w:val="TableParagraph"/>
              <w:ind w:left="433" w:right="320" w:hanging="80"/>
              <w:rPr>
                <w:sz w:val="16"/>
              </w:rPr>
            </w:pPr>
            <w:r>
              <w:rPr>
                <w:sz w:val="16"/>
              </w:rPr>
              <w:t>Exceeds project budget by 5%</w:t>
            </w:r>
          </w:p>
        </w:tc>
        <w:tc>
          <w:tcPr>
            <w:tcW w:w="3685" w:type="dxa"/>
          </w:tcPr>
          <w:p w14:paraId="04827FE5" w14:textId="77777777" w:rsidR="002D6804" w:rsidRDefault="002D6804" w:rsidP="002D6804">
            <w:pPr>
              <w:pStyle w:val="TableParagraph"/>
              <w:spacing w:before="58"/>
              <w:ind w:left="149" w:right="132"/>
              <w:jc w:val="center"/>
              <w:rPr>
                <w:sz w:val="16"/>
              </w:rPr>
            </w:pPr>
            <w:r>
              <w:rPr>
                <w:sz w:val="16"/>
              </w:rPr>
              <w:t>Scope creep requiring additional work, time or resources.</w:t>
            </w:r>
          </w:p>
          <w:p w14:paraId="1D713801" w14:textId="77777777" w:rsidR="002D6804" w:rsidRDefault="002D6804" w:rsidP="002D6804">
            <w:pPr>
              <w:pStyle w:val="TableParagraph"/>
              <w:spacing w:before="119"/>
              <w:ind w:left="149" w:right="132"/>
              <w:jc w:val="center"/>
              <w:rPr>
                <w:sz w:val="16"/>
              </w:rPr>
            </w:pPr>
            <w:r>
              <w:rPr>
                <w:sz w:val="16"/>
              </w:rPr>
              <w:t>Reduced perception of quality by Stakeholders.</w:t>
            </w:r>
          </w:p>
        </w:tc>
      </w:tr>
      <w:tr w:rsidR="002D6804" w14:paraId="3B4C5FED" w14:textId="77777777" w:rsidTr="002D6804">
        <w:trPr>
          <w:trHeight w:val="791"/>
        </w:trPr>
        <w:tc>
          <w:tcPr>
            <w:tcW w:w="751" w:type="dxa"/>
          </w:tcPr>
          <w:p w14:paraId="55811D4D" w14:textId="77777777" w:rsidR="002D6804" w:rsidRDefault="002D6804" w:rsidP="002D6804">
            <w:pPr>
              <w:pStyle w:val="TableParagraph"/>
              <w:spacing w:before="1"/>
              <w:rPr>
                <w:b/>
                <w:sz w:val="26"/>
              </w:rPr>
            </w:pPr>
          </w:p>
          <w:p w14:paraId="554DE624" w14:textId="77777777" w:rsidR="002D6804" w:rsidRDefault="002D6804" w:rsidP="002D6804">
            <w:pPr>
              <w:pStyle w:val="TableParagraph"/>
              <w:spacing w:before="1"/>
              <w:ind w:left="9"/>
              <w:jc w:val="center"/>
              <w:rPr>
                <w:b/>
                <w:sz w:val="16"/>
              </w:rPr>
            </w:pPr>
            <w:r>
              <w:rPr>
                <w:b/>
                <w:w w:val="99"/>
                <w:sz w:val="16"/>
              </w:rPr>
              <w:t>3</w:t>
            </w:r>
          </w:p>
        </w:tc>
        <w:tc>
          <w:tcPr>
            <w:tcW w:w="1275" w:type="dxa"/>
          </w:tcPr>
          <w:p w14:paraId="2882E4BF" w14:textId="77777777" w:rsidR="002D6804" w:rsidRDefault="002D6804" w:rsidP="002D6804">
            <w:pPr>
              <w:pStyle w:val="TableParagraph"/>
              <w:spacing w:before="1"/>
              <w:rPr>
                <w:b/>
                <w:sz w:val="26"/>
              </w:rPr>
            </w:pPr>
          </w:p>
          <w:p w14:paraId="408E3BEB" w14:textId="77777777" w:rsidR="002D6804" w:rsidRDefault="002D6804" w:rsidP="002D6804">
            <w:pPr>
              <w:pStyle w:val="TableParagraph"/>
              <w:spacing w:before="1"/>
              <w:ind w:left="143" w:right="137"/>
              <w:jc w:val="center"/>
              <w:rPr>
                <w:b/>
                <w:sz w:val="16"/>
              </w:rPr>
            </w:pPr>
            <w:r>
              <w:rPr>
                <w:b/>
                <w:sz w:val="16"/>
              </w:rPr>
              <w:t>Moderate</w:t>
            </w:r>
          </w:p>
        </w:tc>
        <w:tc>
          <w:tcPr>
            <w:tcW w:w="1799" w:type="dxa"/>
          </w:tcPr>
          <w:p w14:paraId="2B9D799E" w14:textId="77777777" w:rsidR="002D6804" w:rsidRDefault="002D6804" w:rsidP="002D6804">
            <w:pPr>
              <w:pStyle w:val="TableParagraph"/>
              <w:spacing w:before="117" w:line="184" w:lineRule="exact"/>
              <w:ind w:left="142" w:right="130"/>
              <w:jc w:val="center"/>
              <w:rPr>
                <w:sz w:val="16"/>
              </w:rPr>
            </w:pPr>
            <w:r>
              <w:rPr>
                <w:sz w:val="16"/>
              </w:rPr>
              <w:t>Exceeds deadline by</w:t>
            </w:r>
          </w:p>
          <w:p w14:paraId="534F74AB" w14:textId="77777777" w:rsidR="002D6804" w:rsidRDefault="002D6804" w:rsidP="002D6804">
            <w:pPr>
              <w:pStyle w:val="TableParagraph"/>
              <w:ind w:left="142" w:right="128"/>
              <w:jc w:val="center"/>
              <w:rPr>
                <w:sz w:val="16"/>
              </w:rPr>
            </w:pPr>
            <w:r>
              <w:rPr>
                <w:sz w:val="16"/>
              </w:rPr>
              <w:t>&gt;15% of project timeline</w:t>
            </w:r>
          </w:p>
        </w:tc>
        <w:tc>
          <w:tcPr>
            <w:tcW w:w="1842" w:type="dxa"/>
          </w:tcPr>
          <w:p w14:paraId="2A3BAEE5" w14:textId="77777777" w:rsidR="002D6804" w:rsidRDefault="002D6804" w:rsidP="002D6804">
            <w:pPr>
              <w:pStyle w:val="TableParagraph"/>
              <w:spacing w:before="2"/>
              <w:rPr>
                <w:b/>
                <w:sz w:val="18"/>
              </w:rPr>
            </w:pPr>
          </w:p>
          <w:p w14:paraId="4EB15AD0" w14:textId="77777777" w:rsidR="002D6804" w:rsidRDefault="002D6804" w:rsidP="002D6804">
            <w:pPr>
              <w:pStyle w:val="TableParagraph"/>
              <w:spacing w:before="1"/>
              <w:ind w:left="366" w:right="319" w:hanging="12"/>
              <w:rPr>
                <w:sz w:val="16"/>
              </w:rPr>
            </w:pPr>
            <w:r>
              <w:rPr>
                <w:sz w:val="16"/>
              </w:rPr>
              <w:t>Exceeds project budget by 7.5%</w:t>
            </w:r>
          </w:p>
        </w:tc>
        <w:tc>
          <w:tcPr>
            <w:tcW w:w="3685" w:type="dxa"/>
          </w:tcPr>
          <w:p w14:paraId="04F5AC51" w14:textId="77777777" w:rsidR="002D6804" w:rsidRDefault="002D6804" w:rsidP="002D6804">
            <w:pPr>
              <w:pStyle w:val="TableParagraph"/>
              <w:spacing w:before="57"/>
              <w:ind w:left="149" w:right="131"/>
              <w:jc w:val="center"/>
              <w:rPr>
                <w:sz w:val="16"/>
              </w:rPr>
            </w:pPr>
            <w:r>
              <w:rPr>
                <w:sz w:val="16"/>
              </w:rPr>
              <w:t>Scope creep requiring additional work, time and resources or shortcuts being taken.</w:t>
            </w:r>
          </w:p>
          <w:p w14:paraId="5FE04F3A" w14:textId="77777777" w:rsidR="002D6804" w:rsidRDefault="002D6804" w:rsidP="002D6804">
            <w:pPr>
              <w:pStyle w:val="TableParagraph"/>
              <w:spacing w:before="120"/>
              <w:ind w:left="147" w:right="132"/>
              <w:jc w:val="center"/>
              <w:rPr>
                <w:sz w:val="16"/>
              </w:rPr>
            </w:pPr>
            <w:r>
              <w:rPr>
                <w:sz w:val="16"/>
              </w:rPr>
              <w:t>Stakeholder concerns.</w:t>
            </w:r>
          </w:p>
        </w:tc>
      </w:tr>
      <w:tr w:rsidR="002D6804" w14:paraId="3DB2E642" w14:textId="77777777" w:rsidTr="002D6804">
        <w:trPr>
          <w:trHeight w:val="1096"/>
        </w:trPr>
        <w:tc>
          <w:tcPr>
            <w:tcW w:w="751" w:type="dxa"/>
          </w:tcPr>
          <w:p w14:paraId="7C08EA99" w14:textId="77777777" w:rsidR="002D6804" w:rsidRDefault="002D6804" w:rsidP="002D6804">
            <w:pPr>
              <w:pStyle w:val="TableParagraph"/>
              <w:rPr>
                <w:b/>
                <w:sz w:val="18"/>
              </w:rPr>
            </w:pPr>
          </w:p>
          <w:p w14:paraId="7D1CF82C" w14:textId="77777777" w:rsidR="002D6804" w:rsidRDefault="002D6804" w:rsidP="002D6804">
            <w:pPr>
              <w:pStyle w:val="TableParagraph"/>
              <w:spacing w:before="4"/>
              <w:rPr>
                <w:b/>
                <w:sz w:val="21"/>
              </w:rPr>
            </w:pPr>
          </w:p>
          <w:p w14:paraId="5B69B548" w14:textId="77777777" w:rsidR="002D6804" w:rsidRDefault="002D6804" w:rsidP="002D6804">
            <w:pPr>
              <w:pStyle w:val="TableParagraph"/>
              <w:spacing w:before="1"/>
              <w:ind w:left="9"/>
              <w:jc w:val="center"/>
              <w:rPr>
                <w:b/>
                <w:sz w:val="16"/>
              </w:rPr>
            </w:pPr>
            <w:r>
              <w:rPr>
                <w:b/>
                <w:w w:val="99"/>
                <w:sz w:val="16"/>
              </w:rPr>
              <w:t>4</w:t>
            </w:r>
          </w:p>
        </w:tc>
        <w:tc>
          <w:tcPr>
            <w:tcW w:w="1275" w:type="dxa"/>
          </w:tcPr>
          <w:p w14:paraId="015C6A65" w14:textId="77777777" w:rsidR="002D6804" w:rsidRDefault="002D6804" w:rsidP="002D6804">
            <w:pPr>
              <w:pStyle w:val="TableParagraph"/>
              <w:rPr>
                <w:b/>
                <w:sz w:val="18"/>
              </w:rPr>
            </w:pPr>
          </w:p>
          <w:p w14:paraId="516A52FF" w14:textId="77777777" w:rsidR="002D6804" w:rsidRDefault="002D6804" w:rsidP="002D6804">
            <w:pPr>
              <w:pStyle w:val="TableParagraph"/>
              <w:spacing w:before="4"/>
              <w:rPr>
                <w:b/>
                <w:sz w:val="21"/>
              </w:rPr>
            </w:pPr>
          </w:p>
          <w:p w14:paraId="76FEE437" w14:textId="77777777" w:rsidR="002D6804" w:rsidRDefault="002D6804" w:rsidP="002D6804">
            <w:pPr>
              <w:pStyle w:val="TableParagraph"/>
              <w:spacing w:before="1"/>
              <w:ind w:left="142" w:right="137"/>
              <w:jc w:val="center"/>
              <w:rPr>
                <w:b/>
                <w:sz w:val="16"/>
              </w:rPr>
            </w:pPr>
            <w:r>
              <w:rPr>
                <w:b/>
                <w:sz w:val="16"/>
              </w:rPr>
              <w:t>Major</w:t>
            </w:r>
          </w:p>
        </w:tc>
        <w:tc>
          <w:tcPr>
            <w:tcW w:w="1799" w:type="dxa"/>
          </w:tcPr>
          <w:p w14:paraId="2B8606A5" w14:textId="77777777" w:rsidR="002D6804" w:rsidRDefault="002D6804" w:rsidP="002D6804">
            <w:pPr>
              <w:pStyle w:val="TableParagraph"/>
              <w:spacing w:before="5"/>
              <w:rPr>
                <w:b/>
                <w:sz w:val="23"/>
              </w:rPr>
            </w:pPr>
          </w:p>
          <w:p w14:paraId="4FB9BABD" w14:textId="77777777" w:rsidR="002D6804" w:rsidRDefault="002D6804" w:rsidP="002D6804">
            <w:pPr>
              <w:pStyle w:val="TableParagraph"/>
              <w:spacing w:line="184" w:lineRule="exact"/>
              <w:ind w:left="142" w:right="130"/>
              <w:jc w:val="center"/>
              <w:rPr>
                <w:sz w:val="16"/>
              </w:rPr>
            </w:pPr>
            <w:r>
              <w:rPr>
                <w:sz w:val="16"/>
              </w:rPr>
              <w:t>Exceeds deadline by</w:t>
            </w:r>
          </w:p>
          <w:p w14:paraId="233DB37D" w14:textId="77777777" w:rsidR="002D6804" w:rsidRDefault="002D6804" w:rsidP="002D6804">
            <w:pPr>
              <w:pStyle w:val="TableParagraph"/>
              <w:ind w:left="142" w:right="128"/>
              <w:jc w:val="center"/>
              <w:rPr>
                <w:sz w:val="16"/>
              </w:rPr>
            </w:pPr>
            <w:r>
              <w:rPr>
                <w:sz w:val="16"/>
              </w:rPr>
              <w:t>&gt;20% of project timeline</w:t>
            </w:r>
          </w:p>
        </w:tc>
        <w:tc>
          <w:tcPr>
            <w:tcW w:w="1842" w:type="dxa"/>
          </w:tcPr>
          <w:p w14:paraId="111B7930" w14:textId="77777777" w:rsidR="002D6804" w:rsidRDefault="002D6804" w:rsidP="002D6804">
            <w:pPr>
              <w:pStyle w:val="TableParagraph"/>
              <w:rPr>
                <w:b/>
                <w:sz w:val="18"/>
              </w:rPr>
            </w:pPr>
          </w:p>
          <w:p w14:paraId="6604D172" w14:textId="77777777" w:rsidR="002D6804" w:rsidRDefault="002D6804" w:rsidP="002D6804">
            <w:pPr>
              <w:pStyle w:val="TableParagraph"/>
              <w:spacing w:before="155"/>
              <w:ind w:left="389" w:right="319" w:hanging="35"/>
              <w:rPr>
                <w:sz w:val="16"/>
              </w:rPr>
            </w:pPr>
            <w:r>
              <w:rPr>
                <w:sz w:val="16"/>
              </w:rPr>
              <w:t>Exceeds project budget by 15%</w:t>
            </w:r>
          </w:p>
        </w:tc>
        <w:tc>
          <w:tcPr>
            <w:tcW w:w="3685" w:type="dxa"/>
          </w:tcPr>
          <w:p w14:paraId="61E3E64B" w14:textId="77777777" w:rsidR="002D6804" w:rsidRDefault="002D6804" w:rsidP="002D6804">
            <w:pPr>
              <w:pStyle w:val="TableParagraph"/>
              <w:spacing w:before="57"/>
              <w:ind w:left="151" w:right="132"/>
              <w:jc w:val="center"/>
              <w:rPr>
                <w:sz w:val="16"/>
              </w:rPr>
            </w:pPr>
            <w:r>
              <w:rPr>
                <w:sz w:val="16"/>
              </w:rPr>
              <w:t>Project goals, deliverables, costs and/or deadline failures.</w:t>
            </w:r>
          </w:p>
          <w:p w14:paraId="7F06A9F4" w14:textId="77777777" w:rsidR="002D6804" w:rsidRDefault="002D6804" w:rsidP="002D6804">
            <w:pPr>
              <w:pStyle w:val="TableParagraph"/>
              <w:spacing w:before="4" w:line="300" w:lineRule="atLeast"/>
              <w:ind w:left="149" w:right="131"/>
              <w:jc w:val="center"/>
              <w:rPr>
                <w:sz w:val="16"/>
              </w:rPr>
            </w:pPr>
            <w:r>
              <w:rPr>
                <w:sz w:val="16"/>
              </w:rPr>
              <w:t>Project no longer aligned with the project scope Stakeholder intervention in project.</w:t>
            </w:r>
          </w:p>
        </w:tc>
      </w:tr>
      <w:tr w:rsidR="002D6804" w14:paraId="1C46048A" w14:textId="77777777" w:rsidTr="002D6804">
        <w:trPr>
          <w:trHeight w:val="1096"/>
        </w:trPr>
        <w:tc>
          <w:tcPr>
            <w:tcW w:w="751" w:type="dxa"/>
          </w:tcPr>
          <w:p w14:paraId="13384C1E" w14:textId="77777777" w:rsidR="002D6804" w:rsidRDefault="002D6804" w:rsidP="002D6804">
            <w:pPr>
              <w:pStyle w:val="TableParagraph"/>
              <w:rPr>
                <w:b/>
                <w:sz w:val="18"/>
              </w:rPr>
            </w:pPr>
          </w:p>
          <w:p w14:paraId="71CCE214" w14:textId="77777777" w:rsidR="002D6804" w:rsidRDefault="002D6804" w:rsidP="002D6804">
            <w:pPr>
              <w:pStyle w:val="TableParagraph"/>
              <w:spacing w:before="4"/>
              <w:rPr>
                <w:b/>
                <w:sz w:val="21"/>
              </w:rPr>
            </w:pPr>
          </w:p>
          <w:p w14:paraId="5C0A0888" w14:textId="77777777" w:rsidR="002D6804" w:rsidRDefault="002D6804" w:rsidP="002D6804">
            <w:pPr>
              <w:pStyle w:val="TableParagraph"/>
              <w:spacing w:before="1"/>
              <w:ind w:left="9"/>
              <w:jc w:val="center"/>
              <w:rPr>
                <w:b/>
                <w:sz w:val="16"/>
              </w:rPr>
            </w:pPr>
            <w:r>
              <w:rPr>
                <w:b/>
                <w:w w:val="99"/>
                <w:sz w:val="16"/>
              </w:rPr>
              <w:t>5</w:t>
            </w:r>
          </w:p>
        </w:tc>
        <w:tc>
          <w:tcPr>
            <w:tcW w:w="1275" w:type="dxa"/>
          </w:tcPr>
          <w:p w14:paraId="07F63F92" w14:textId="77777777" w:rsidR="002D6804" w:rsidRDefault="002D6804" w:rsidP="002D6804">
            <w:pPr>
              <w:pStyle w:val="TableParagraph"/>
              <w:rPr>
                <w:b/>
                <w:sz w:val="18"/>
              </w:rPr>
            </w:pPr>
          </w:p>
          <w:p w14:paraId="0CF188AD" w14:textId="77777777" w:rsidR="002D6804" w:rsidRDefault="002D6804" w:rsidP="002D6804">
            <w:pPr>
              <w:pStyle w:val="TableParagraph"/>
              <w:spacing w:before="4"/>
              <w:rPr>
                <w:b/>
                <w:sz w:val="21"/>
              </w:rPr>
            </w:pPr>
          </w:p>
          <w:p w14:paraId="29151703" w14:textId="77777777" w:rsidR="002D6804" w:rsidRDefault="002D6804" w:rsidP="002D6804">
            <w:pPr>
              <w:pStyle w:val="TableParagraph"/>
              <w:spacing w:before="1"/>
              <w:ind w:left="142" w:right="137"/>
              <w:jc w:val="center"/>
              <w:rPr>
                <w:b/>
                <w:sz w:val="16"/>
              </w:rPr>
            </w:pPr>
            <w:r>
              <w:rPr>
                <w:b/>
                <w:sz w:val="16"/>
              </w:rPr>
              <w:t>Extreme</w:t>
            </w:r>
          </w:p>
        </w:tc>
        <w:tc>
          <w:tcPr>
            <w:tcW w:w="1799" w:type="dxa"/>
          </w:tcPr>
          <w:p w14:paraId="2920907A" w14:textId="77777777" w:rsidR="002D6804" w:rsidRDefault="002D6804" w:rsidP="002D6804">
            <w:pPr>
              <w:pStyle w:val="TableParagraph"/>
              <w:spacing w:before="5"/>
              <w:rPr>
                <w:b/>
                <w:sz w:val="23"/>
              </w:rPr>
            </w:pPr>
          </w:p>
          <w:p w14:paraId="61536F9C" w14:textId="77777777" w:rsidR="002D6804" w:rsidRDefault="002D6804" w:rsidP="002D6804">
            <w:pPr>
              <w:pStyle w:val="TableParagraph"/>
              <w:ind w:left="142" w:right="128"/>
              <w:jc w:val="center"/>
              <w:rPr>
                <w:sz w:val="16"/>
              </w:rPr>
            </w:pPr>
            <w:r>
              <w:rPr>
                <w:sz w:val="16"/>
              </w:rPr>
              <w:t>Exceeds deadline by 25% of project timeline</w:t>
            </w:r>
          </w:p>
        </w:tc>
        <w:tc>
          <w:tcPr>
            <w:tcW w:w="1842" w:type="dxa"/>
          </w:tcPr>
          <w:p w14:paraId="58EDA4F6" w14:textId="77777777" w:rsidR="002D6804" w:rsidRDefault="002D6804" w:rsidP="002D6804">
            <w:pPr>
              <w:pStyle w:val="TableParagraph"/>
              <w:rPr>
                <w:b/>
                <w:sz w:val="18"/>
              </w:rPr>
            </w:pPr>
          </w:p>
          <w:p w14:paraId="2FDE63C9" w14:textId="77777777" w:rsidR="002D6804" w:rsidRDefault="002D6804" w:rsidP="002D6804">
            <w:pPr>
              <w:pStyle w:val="TableParagraph"/>
              <w:spacing w:before="154"/>
              <w:ind w:left="389" w:right="319" w:hanging="35"/>
              <w:rPr>
                <w:sz w:val="16"/>
              </w:rPr>
            </w:pPr>
            <w:r>
              <w:rPr>
                <w:sz w:val="16"/>
              </w:rPr>
              <w:t>Exceeds project budget by 20%</w:t>
            </w:r>
          </w:p>
        </w:tc>
        <w:tc>
          <w:tcPr>
            <w:tcW w:w="3685" w:type="dxa"/>
          </w:tcPr>
          <w:p w14:paraId="01A6D783" w14:textId="77777777" w:rsidR="002D6804" w:rsidRDefault="002D6804" w:rsidP="002D6804">
            <w:pPr>
              <w:pStyle w:val="TableParagraph"/>
              <w:spacing w:before="57"/>
              <w:ind w:left="149" w:right="132"/>
              <w:jc w:val="center"/>
              <w:rPr>
                <w:sz w:val="16"/>
              </w:rPr>
            </w:pPr>
            <w:r>
              <w:rPr>
                <w:sz w:val="16"/>
              </w:rPr>
              <w:t>Failure to meet project objectives.</w:t>
            </w:r>
          </w:p>
          <w:p w14:paraId="78A6669F" w14:textId="77777777" w:rsidR="002D6804" w:rsidRDefault="002D6804" w:rsidP="002D6804">
            <w:pPr>
              <w:pStyle w:val="TableParagraph"/>
              <w:spacing w:before="120"/>
              <w:ind w:left="149" w:right="131"/>
              <w:jc w:val="center"/>
              <w:rPr>
                <w:sz w:val="16"/>
              </w:rPr>
            </w:pPr>
            <w:r>
              <w:rPr>
                <w:sz w:val="16"/>
              </w:rPr>
              <w:t>Project outcomes negatively affecting the community or the environment.</w:t>
            </w:r>
          </w:p>
          <w:p w14:paraId="22BBDE25" w14:textId="77777777" w:rsidR="002D6804" w:rsidRDefault="002D6804" w:rsidP="002D6804">
            <w:pPr>
              <w:pStyle w:val="TableParagraph"/>
              <w:spacing w:before="120"/>
              <w:ind w:left="352"/>
              <w:rPr>
                <w:sz w:val="16"/>
              </w:rPr>
            </w:pPr>
            <w:r>
              <w:rPr>
                <w:sz w:val="16"/>
              </w:rPr>
              <w:t>Public embarrassment, third party actions.</w:t>
            </w:r>
          </w:p>
        </w:tc>
      </w:tr>
    </w:tbl>
    <w:p w14:paraId="4528E678" w14:textId="77777777" w:rsidR="002D6804" w:rsidRDefault="002D6804" w:rsidP="002D6804">
      <w:pPr>
        <w:rPr>
          <w:sz w:val="16"/>
        </w:rPr>
        <w:sectPr w:rsidR="002D6804">
          <w:pgSz w:w="11910" w:h="16840"/>
          <w:pgMar w:top="540" w:right="680" w:bottom="1140" w:left="1280" w:header="0" w:footer="875" w:gutter="0"/>
          <w:cols w:space="720"/>
        </w:sectPr>
      </w:pPr>
    </w:p>
    <w:p w14:paraId="4D1E563F" w14:textId="77777777" w:rsidR="002D6804" w:rsidRDefault="002D6804" w:rsidP="002D6804">
      <w:pPr>
        <w:pStyle w:val="BodyText"/>
        <w:ind w:left="7480"/>
      </w:pPr>
      <w:r>
        <w:rPr>
          <w:noProof/>
        </w:rPr>
        <w:lastRenderedPageBreak/>
        <mc:AlternateContent>
          <mc:Choice Requires="wpg">
            <w:drawing>
              <wp:anchor distT="0" distB="0" distL="114300" distR="114300" simplePos="0" relativeHeight="251697152" behindDoc="1" locked="0" layoutInCell="1" allowOverlap="1" wp14:anchorId="7DBC8365" wp14:editId="032ABDEA">
                <wp:simplePos x="0" y="0"/>
                <wp:positionH relativeFrom="page">
                  <wp:posOffset>1274445</wp:posOffset>
                </wp:positionH>
                <wp:positionV relativeFrom="page">
                  <wp:posOffset>3732530</wp:posOffset>
                </wp:positionV>
                <wp:extent cx="3874770" cy="4211320"/>
                <wp:effectExtent l="0" t="0" r="0" b="0"/>
                <wp:wrapNone/>
                <wp:docPr id="42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4770" cy="4211320"/>
                          <a:chOff x="2007" y="5878"/>
                          <a:chExt cx="6102" cy="6632"/>
                        </a:xfrm>
                      </wpg:grpSpPr>
                      <pic:pic xmlns:pic="http://schemas.openxmlformats.org/drawingml/2006/picture">
                        <pic:nvPicPr>
                          <pic:cNvPr id="426" name="Picture 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2007" y="9717"/>
                            <a:ext cx="2786" cy="2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Picture 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3344" y="8439"/>
                            <a:ext cx="3061"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4831" y="7291"/>
                            <a:ext cx="2879" cy="2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5782" y="5877"/>
                            <a:ext cx="2327" cy="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842AB4" id="Group 2" o:spid="_x0000_s1026" style="position:absolute;margin-left:100.35pt;margin-top:293.9pt;width:305.1pt;height:331.6pt;z-index:-251619328;mso-position-horizontal-relative:page;mso-position-vertical-relative:page" coordorigin="2007,5878" coordsize="6102,6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">
                <v:shape id="Picture 6" o:spid="_x0000_s1027" type="#_x0000_t75" style="position:absolute;left:2007;top:9717;width:2786;height: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">
                  <v:imagedata r:id="rId151" o:title=""/>
                </v:shape>
                <v:shape id="Picture 5" o:spid="_x0000_s1028" type="#_x0000_t75" style="position:absolute;left:3344;top:8439;width:3061;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">
                  <v:imagedata r:id="rId152" o:title=""/>
                </v:shape>
                <v:shape id="Picture 4" o:spid="_x0000_s1029" type="#_x0000_t75" style="position:absolute;left:4831;top:7291;width:2879;height: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">
                  <v:imagedata r:id="rId153" o:title=""/>
                </v:shape>
                <v:shape id="Picture 3" o:spid="_x0000_s1030" type="#_x0000_t75" style="position:absolute;left:5782;top:5877;width:2327;height: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">
                  <v:imagedata r:id="rId154" o:title=""/>
                </v:shape>
                <w10:wrap anchorx="page" anchory="page"/>
              </v:group>
            </w:pict>
          </mc:Fallback>
        </mc:AlternateContent>
      </w:r>
      <w:r>
        <w:rPr>
          <w:noProof/>
        </w:rPr>
        <w:drawing>
          <wp:anchor distT="0" distB="0" distL="0" distR="0" simplePos="0" relativeHeight="251698176" behindDoc="1" locked="0" layoutInCell="1" allowOverlap="1" wp14:anchorId="4504EE50" wp14:editId="69375837">
            <wp:simplePos x="0" y="0"/>
            <wp:positionH relativeFrom="page">
              <wp:posOffset>4187190</wp:posOffset>
            </wp:positionH>
            <wp:positionV relativeFrom="page">
              <wp:posOffset>3009138</wp:posOffset>
            </wp:positionV>
            <wp:extent cx="1757934" cy="1758695"/>
            <wp:effectExtent l="0" t="0" r="0" b="0"/>
            <wp:wrapNone/>
            <wp:docPr id="44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9.png"/>
                    <pic:cNvPicPr/>
                  </pic:nvPicPr>
                  <pic:blipFill>
                    <a:blip r:embed="rId155" cstate="print"/>
                    <a:stretch>
                      <a:fillRect/>
                    </a:stretch>
                  </pic:blipFill>
                  <pic:spPr>
                    <a:xfrm>
                      <a:off x="0" y="0"/>
                      <a:ext cx="1757934" cy="1758695"/>
                    </a:xfrm>
                    <a:prstGeom prst="rect">
                      <a:avLst/>
                    </a:prstGeom>
                  </pic:spPr>
                </pic:pic>
              </a:graphicData>
            </a:graphic>
          </wp:anchor>
        </w:drawing>
      </w:r>
      <w:r>
        <w:rPr>
          <w:noProof/>
        </w:rPr>
        <w:drawing>
          <wp:inline distT="0" distB="0" distL="0" distR="0" wp14:anchorId="0B401811" wp14:editId="34E7EEBC">
            <wp:extent cx="1301366" cy="710946"/>
            <wp:effectExtent l="0" t="0" r="0" b="0"/>
            <wp:docPr id="442"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3.png"/>
                    <pic:cNvPicPr/>
                  </pic:nvPicPr>
                  <pic:blipFill>
                    <a:blip r:embed="rId128" cstate="print"/>
                    <a:stretch>
                      <a:fillRect/>
                    </a:stretch>
                  </pic:blipFill>
                  <pic:spPr>
                    <a:xfrm>
                      <a:off x="0" y="0"/>
                      <a:ext cx="1301366" cy="710946"/>
                    </a:xfrm>
                    <a:prstGeom prst="rect">
                      <a:avLst/>
                    </a:prstGeom>
                  </pic:spPr>
                </pic:pic>
              </a:graphicData>
            </a:graphic>
          </wp:inline>
        </w:drawing>
      </w:r>
    </w:p>
    <w:p w14:paraId="1FDF81C2" w14:textId="77777777" w:rsidR="002D6804" w:rsidRDefault="002D6804" w:rsidP="002D6804">
      <w:pPr>
        <w:pStyle w:val="BodyText"/>
        <w:spacing w:before="10"/>
        <w:rPr>
          <w:b/>
          <w:sz w:val="15"/>
        </w:rPr>
      </w:pPr>
    </w:p>
    <w:tbl>
      <w:tblPr>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5"/>
        <w:gridCol w:w="1056"/>
        <w:gridCol w:w="524"/>
        <w:gridCol w:w="761"/>
        <w:gridCol w:w="524"/>
        <w:gridCol w:w="589"/>
        <w:gridCol w:w="752"/>
        <w:gridCol w:w="990"/>
        <w:gridCol w:w="524"/>
        <w:gridCol w:w="745"/>
        <w:gridCol w:w="819"/>
        <w:gridCol w:w="950"/>
      </w:tblGrid>
      <w:tr w:rsidR="002D6804" w14:paraId="4EF11460" w14:textId="77777777" w:rsidTr="002D6804">
        <w:trPr>
          <w:trHeight w:val="134"/>
        </w:trPr>
        <w:tc>
          <w:tcPr>
            <w:tcW w:w="1105" w:type="dxa"/>
            <w:tcBorders>
              <w:bottom w:val="single" w:sz="6" w:space="0" w:color="000000"/>
            </w:tcBorders>
            <w:shd w:val="clear" w:color="auto" w:fill="4F82BD"/>
          </w:tcPr>
          <w:p w14:paraId="5C81C545" w14:textId="77777777" w:rsidR="002D6804" w:rsidRDefault="002D6804" w:rsidP="002D6804">
            <w:pPr>
              <w:pStyle w:val="TableParagraph"/>
              <w:spacing w:before="13" w:line="101" w:lineRule="exact"/>
              <w:ind w:left="20"/>
              <w:rPr>
                <w:b/>
                <w:sz w:val="10"/>
              </w:rPr>
            </w:pPr>
            <w:proofErr w:type="spellStart"/>
            <w:r>
              <w:rPr>
                <w:b/>
                <w:color w:val="FFFFFF"/>
                <w:w w:val="105"/>
                <w:sz w:val="10"/>
              </w:rPr>
              <w:t>Programme</w:t>
            </w:r>
            <w:proofErr w:type="spellEnd"/>
            <w:r>
              <w:rPr>
                <w:b/>
                <w:color w:val="FFFFFF"/>
                <w:w w:val="105"/>
                <w:sz w:val="10"/>
              </w:rPr>
              <w:t>:</w:t>
            </w:r>
          </w:p>
        </w:tc>
        <w:tc>
          <w:tcPr>
            <w:tcW w:w="8234" w:type="dxa"/>
            <w:gridSpan w:val="11"/>
            <w:tcBorders>
              <w:bottom w:val="single" w:sz="6" w:space="0" w:color="000000"/>
            </w:tcBorders>
          </w:tcPr>
          <w:p w14:paraId="7979C114" w14:textId="77777777" w:rsidR="002D6804" w:rsidRDefault="002D6804" w:rsidP="002D6804">
            <w:pPr>
              <w:pStyle w:val="TableParagraph"/>
              <w:rPr>
                <w:rFonts w:ascii="Times New Roman"/>
                <w:sz w:val="8"/>
              </w:rPr>
            </w:pPr>
          </w:p>
        </w:tc>
      </w:tr>
      <w:tr w:rsidR="002D6804" w14:paraId="601D1DEF" w14:textId="77777777" w:rsidTr="002D6804">
        <w:trPr>
          <w:trHeight w:val="132"/>
        </w:trPr>
        <w:tc>
          <w:tcPr>
            <w:tcW w:w="1105" w:type="dxa"/>
            <w:tcBorders>
              <w:top w:val="single" w:sz="6" w:space="0" w:color="000000"/>
              <w:bottom w:val="single" w:sz="6" w:space="0" w:color="000000"/>
            </w:tcBorders>
            <w:shd w:val="clear" w:color="auto" w:fill="4F82BD"/>
          </w:tcPr>
          <w:p w14:paraId="11A78750" w14:textId="77777777" w:rsidR="002D6804" w:rsidRDefault="002D6804" w:rsidP="002D6804">
            <w:pPr>
              <w:pStyle w:val="TableParagraph"/>
              <w:spacing w:before="11" w:line="101" w:lineRule="exact"/>
              <w:ind w:left="20"/>
              <w:rPr>
                <w:b/>
                <w:sz w:val="10"/>
              </w:rPr>
            </w:pPr>
            <w:proofErr w:type="spellStart"/>
            <w:r>
              <w:rPr>
                <w:b/>
                <w:color w:val="FFFFFF"/>
                <w:w w:val="105"/>
                <w:sz w:val="10"/>
              </w:rPr>
              <w:t>Programme</w:t>
            </w:r>
            <w:proofErr w:type="spellEnd"/>
            <w:r>
              <w:rPr>
                <w:b/>
                <w:color w:val="FFFFFF"/>
                <w:w w:val="105"/>
                <w:sz w:val="10"/>
              </w:rPr>
              <w:t xml:space="preserve"> Owner:</w:t>
            </w:r>
          </w:p>
        </w:tc>
        <w:tc>
          <w:tcPr>
            <w:tcW w:w="8234" w:type="dxa"/>
            <w:gridSpan w:val="11"/>
            <w:tcBorders>
              <w:top w:val="single" w:sz="6" w:space="0" w:color="000000"/>
              <w:bottom w:val="single" w:sz="6" w:space="0" w:color="000000"/>
            </w:tcBorders>
          </w:tcPr>
          <w:p w14:paraId="62FEB2C5" w14:textId="77777777" w:rsidR="002D6804" w:rsidRDefault="002D6804" w:rsidP="002D6804">
            <w:pPr>
              <w:pStyle w:val="TableParagraph"/>
              <w:rPr>
                <w:rFonts w:ascii="Times New Roman"/>
                <w:sz w:val="8"/>
              </w:rPr>
            </w:pPr>
          </w:p>
        </w:tc>
      </w:tr>
      <w:tr w:rsidR="002D6804" w14:paraId="0E7D8231" w14:textId="77777777" w:rsidTr="002D6804">
        <w:trPr>
          <w:trHeight w:val="134"/>
        </w:trPr>
        <w:tc>
          <w:tcPr>
            <w:tcW w:w="1105" w:type="dxa"/>
            <w:tcBorders>
              <w:top w:val="single" w:sz="6" w:space="0" w:color="000000"/>
            </w:tcBorders>
            <w:shd w:val="clear" w:color="auto" w:fill="4F82BD"/>
          </w:tcPr>
          <w:p w14:paraId="58124904" w14:textId="77777777" w:rsidR="002D6804" w:rsidRDefault="002D6804" w:rsidP="002D6804">
            <w:pPr>
              <w:pStyle w:val="TableParagraph"/>
              <w:spacing w:before="10" w:line="104" w:lineRule="exact"/>
              <w:ind w:left="20"/>
              <w:rPr>
                <w:b/>
                <w:sz w:val="10"/>
              </w:rPr>
            </w:pPr>
            <w:r>
              <w:rPr>
                <w:b/>
                <w:color w:val="FFFFFF"/>
                <w:w w:val="105"/>
                <w:sz w:val="10"/>
              </w:rPr>
              <w:t>Project Ref:</w:t>
            </w:r>
          </w:p>
        </w:tc>
        <w:tc>
          <w:tcPr>
            <w:tcW w:w="8234" w:type="dxa"/>
            <w:gridSpan w:val="11"/>
            <w:tcBorders>
              <w:top w:val="single" w:sz="6" w:space="0" w:color="000000"/>
            </w:tcBorders>
          </w:tcPr>
          <w:p w14:paraId="50880D92" w14:textId="77777777" w:rsidR="002D6804" w:rsidRDefault="002D6804" w:rsidP="002D6804">
            <w:pPr>
              <w:pStyle w:val="TableParagraph"/>
              <w:rPr>
                <w:rFonts w:ascii="Times New Roman"/>
                <w:sz w:val="8"/>
              </w:rPr>
            </w:pPr>
          </w:p>
        </w:tc>
      </w:tr>
      <w:tr w:rsidR="002D6804" w14:paraId="258B1DBA" w14:textId="77777777" w:rsidTr="002D6804">
        <w:trPr>
          <w:trHeight w:val="137"/>
        </w:trPr>
        <w:tc>
          <w:tcPr>
            <w:tcW w:w="1105" w:type="dxa"/>
            <w:shd w:val="clear" w:color="auto" w:fill="4F82BD"/>
          </w:tcPr>
          <w:p w14:paraId="7FF857B5" w14:textId="77777777" w:rsidR="002D6804" w:rsidRDefault="002D6804" w:rsidP="002D6804">
            <w:pPr>
              <w:pStyle w:val="TableParagraph"/>
              <w:spacing w:before="13" w:line="104" w:lineRule="exact"/>
              <w:ind w:left="20"/>
              <w:rPr>
                <w:b/>
                <w:sz w:val="10"/>
              </w:rPr>
            </w:pPr>
            <w:r>
              <w:rPr>
                <w:b/>
                <w:color w:val="FFFFFF"/>
                <w:w w:val="105"/>
                <w:sz w:val="10"/>
              </w:rPr>
              <w:t>Project Name:</w:t>
            </w:r>
          </w:p>
        </w:tc>
        <w:tc>
          <w:tcPr>
            <w:tcW w:w="8234" w:type="dxa"/>
            <w:gridSpan w:val="11"/>
          </w:tcPr>
          <w:p w14:paraId="7549A6A6" w14:textId="77777777" w:rsidR="002D6804" w:rsidRDefault="002D6804" w:rsidP="002D6804">
            <w:pPr>
              <w:pStyle w:val="TableParagraph"/>
              <w:rPr>
                <w:rFonts w:ascii="Times New Roman"/>
                <w:sz w:val="8"/>
              </w:rPr>
            </w:pPr>
          </w:p>
        </w:tc>
      </w:tr>
      <w:tr w:rsidR="002D6804" w14:paraId="46E0F09C" w14:textId="77777777" w:rsidTr="002D6804">
        <w:trPr>
          <w:trHeight w:val="137"/>
        </w:trPr>
        <w:tc>
          <w:tcPr>
            <w:tcW w:w="1105" w:type="dxa"/>
            <w:shd w:val="clear" w:color="auto" w:fill="4F82BD"/>
          </w:tcPr>
          <w:p w14:paraId="65001FF1" w14:textId="77777777" w:rsidR="002D6804" w:rsidRDefault="002D6804" w:rsidP="002D6804">
            <w:pPr>
              <w:pStyle w:val="TableParagraph"/>
              <w:spacing w:before="13" w:line="104" w:lineRule="exact"/>
              <w:ind w:left="20"/>
              <w:rPr>
                <w:b/>
                <w:sz w:val="10"/>
              </w:rPr>
            </w:pPr>
            <w:r>
              <w:rPr>
                <w:b/>
                <w:color w:val="FFFFFF"/>
                <w:w w:val="105"/>
                <w:sz w:val="10"/>
              </w:rPr>
              <w:t>Project Manager:</w:t>
            </w:r>
          </w:p>
        </w:tc>
        <w:tc>
          <w:tcPr>
            <w:tcW w:w="8234" w:type="dxa"/>
            <w:gridSpan w:val="11"/>
          </w:tcPr>
          <w:p w14:paraId="50D6434E" w14:textId="77777777" w:rsidR="002D6804" w:rsidRDefault="002D6804" w:rsidP="002D6804">
            <w:pPr>
              <w:pStyle w:val="TableParagraph"/>
              <w:rPr>
                <w:rFonts w:ascii="Times New Roman"/>
                <w:sz w:val="8"/>
              </w:rPr>
            </w:pPr>
          </w:p>
        </w:tc>
      </w:tr>
      <w:tr w:rsidR="002D6804" w14:paraId="43FC5340" w14:textId="77777777" w:rsidTr="002D6804">
        <w:trPr>
          <w:trHeight w:val="137"/>
        </w:trPr>
        <w:tc>
          <w:tcPr>
            <w:tcW w:w="1105" w:type="dxa"/>
            <w:shd w:val="clear" w:color="auto" w:fill="4F82BD"/>
          </w:tcPr>
          <w:p w14:paraId="3E7B7261" w14:textId="77777777" w:rsidR="002D6804" w:rsidRDefault="002D6804" w:rsidP="002D6804">
            <w:pPr>
              <w:pStyle w:val="TableParagraph"/>
              <w:spacing w:before="13" w:line="104" w:lineRule="exact"/>
              <w:ind w:left="20"/>
              <w:rPr>
                <w:b/>
                <w:sz w:val="10"/>
              </w:rPr>
            </w:pPr>
            <w:r>
              <w:rPr>
                <w:b/>
                <w:color w:val="FFFFFF"/>
                <w:w w:val="105"/>
                <w:sz w:val="10"/>
              </w:rPr>
              <w:t>Directorate:</w:t>
            </w:r>
          </w:p>
        </w:tc>
        <w:tc>
          <w:tcPr>
            <w:tcW w:w="8234" w:type="dxa"/>
            <w:gridSpan w:val="11"/>
          </w:tcPr>
          <w:p w14:paraId="20DFC7AF" w14:textId="77777777" w:rsidR="002D6804" w:rsidRDefault="002D6804" w:rsidP="002D6804">
            <w:pPr>
              <w:pStyle w:val="TableParagraph"/>
              <w:rPr>
                <w:rFonts w:ascii="Times New Roman"/>
                <w:sz w:val="8"/>
              </w:rPr>
            </w:pPr>
          </w:p>
        </w:tc>
      </w:tr>
      <w:tr w:rsidR="002D6804" w14:paraId="31D13576" w14:textId="77777777" w:rsidTr="002D6804">
        <w:trPr>
          <w:trHeight w:val="137"/>
        </w:trPr>
        <w:tc>
          <w:tcPr>
            <w:tcW w:w="1105" w:type="dxa"/>
            <w:shd w:val="clear" w:color="auto" w:fill="4F82BD"/>
          </w:tcPr>
          <w:p w14:paraId="42128D73" w14:textId="77777777" w:rsidR="002D6804" w:rsidRDefault="002D6804" w:rsidP="002D6804">
            <w:pPr>
              <w:pStyle w:val="TableParagraph"/>
              <w:spacing w:before="13" w:line="104" w:lineRule="exact"/>
              <w:ind w:left="20"/>
              <w:rPr>
                <w:b/>
                <w:sz w:val="10"/>
              </w:rPr>
            </w:pPr>
            <w:r>
              <w:rPr>
                <w:b/>
                <w:color w:val="FFFFFF"/>
                <w:w w:val="105"/>
                <w:sz w:val="10"/>
              </w:rPr>
              <w:t>Business Unit:</w:t>
            </w:r>
          </w:p>
        </w:tc>
        <w:tc>
          <w:tcPr>
            <w:tcW w:w="8234" w:type="dxa"/>
            <w:gridSpan w:val="11"/>
          </w:tcPr>
          <w:p w14:paraId="5CC94E64" w14:textId="77777777" w:rsidR="002D6804" w:rsidRDefault="002D6804" w:rsidP="002D6804">
            <w:pPr>
              <w:pStyle w:val="TableParagraph"/>
              <w:rPr>
                <w:rFonts w:ascii="Times New Roman"/>
                <w:sz w:val="8"/>
              </w:rPr>
            </w:pPr>
          </w:p>
        </w:tc>
      </w:tr>
      <w:tr w:rsidR="002D6804" w14:paraId="3E2C8995" w14:textId="77777777" w:rsidTr="002D6804">
        <w:trPr>
          <w:trHeight w:val="137"/>
        </w:trPr>
        <w:tc>
          <w:tcPr>
            <w:tcW w:w="1105" w:type="dxa"/>
            <w:shd w:val="clear" w:color="auto" w:fill="4F82BD"/>
          </w:tcPr>
          <w:p w14:paraId="41FCAF42" w14:textId="77777777" w:rsidR="002D6804" w:rsidRDefault="002D6804" w:rsidP="002D6804">
            <w:pPr>
              <w:pStyle w:val="TableParagraph"/>
              <w:spacing w:before="13" w:line="104" w:lineRule="exact"/>
              <w:ind w:left="20"/>
              <w:rPr>
                <w:b/>
                <w:sz w:val="10"/>
              </w:rPr>
            </w:pPr>
            <w:r>
              <w:rPr>
                <w:b/>
                <w:color w:val="FFFFFF"/>
                <w:w w:val="105"/>
                <w:sz w:val="10"/>
              </w:rPr>
              <w:t>Date of Assessment:</w:t>
            </w:r>
          </w:p>
        </w:tc>
        <w:tc>
          <w:tcPr>
            <w:tcW w:w="8234" w:type="dxa"/>
            <w:gridSpan w:val="11"/>
          </w:tcPr>
          <w:p w14:paraId="15DC4415" w14:textId="77777777" w:rsidR="002D6804" w:rsidRDefault="002D6804" w:rsidP="002D6804">
            <w:pPr>
              <w:pStyle w:val="TableParagraph"/>
              <w:rPr>
                <w:rFonts w:ascii="Times New Roman"/>
                <w:sz w:val="8"/>
              </w:rPr>
            </w:pPr>
          </w:p>
        </w:tc>
      </w:tr>
      <w:tr w:rsidR="002D6804" w14:paraId="51875B99" w14:textId="77777777" w:rsidTr="002D6804">
        <w:trPr>
          <w:trHeight w:val="134"/>
        </w:trPr>
        <w:tc>
          <w:tcPr>
            <w:tcW w:w="1105" w:type="dxa"/>
            <w:tcBorders>
              <w:bottom w:val="single" w:sz="6" w:space="0" w:color="000000"/>
            </w:tcBorders>
            <w:shd w:val="clear" w:color="auto" w:fill="4F82BD"/>
          </w:tcPr>
          <w:p w14:paraId="4DA6FC8F" w14:textId="77777777" w:rsidR="002D6804" w:rsidRDefault="002D6804" w:rsidP="002D6804">
            <w:pPr>
              <w:pStyle w:val="TableParagraph"/>
              <w:spacing w:before="13" w:line="101" w:lineRule="exact"/>
              <w:ind w:left="20"/>
              <w:rPr>
                <w:b/>
                <w:sz w:val="10"/>
              </w:rPr>
            </w:pPr>
            <w:r>
              <w:rPr>
                <w:b/>
                <w:color w:val="FFFFFF"/>
                <w:w w:val="105"/>
                <w:sz w:val="10"/>
              </w:rPr>
              <w:t>Assessor:</w:t>
            </w:r>
          </w:p>
        </w:tc>
        <w:tc>
          <w:tcPr>
            <w:tcW w:w="8234" w:type="dxa"/>
            <w:gridSpan w:val="11"/>
            <w:tcBorders>
              <w:bottom w:val="single" w:sz="6" w:space="0" w:color="000000"/>
            </w:tcBorders>
          </w:tcPr>
          <w:p w14:paraId="1A33D537" w14:textId="77777777" w:rsidR="002D6804" w:rsidRDefault="002D6804" w:rsidP="002D6804">
            <w:pPr>
              <w:pStyle w:val="TableParagraph"/>
              <w:rPr>
                <w:rFonts w:ascii="Times New Roman"/>
                <w:sz w:val="8"/>
              </w:rPr>
            </w:pPr>
          </w:p>
        </w:tc>
      </w:tr>
      <w:tr w:rsidR="002D6804" w14:paraId="141BD292" w14:textId="77777777" w:rsidTr="002D6804">
        <w:trPr>
          <w:trHeight w:val="124"/>
        </w:trPr>
        <w:tc>
          <w:tcPr>
            <w:tcW w:w="1105" w:type="dxa"/>
            <w:tcBorders>
              <w:top w:val="single" w:sz="6" w:space="0" w:color="000000"/>
              <w:left w:val="single" w:sz="4" w:space="0" w:color="DADCDD"/>
              <w:bottom w:val="single" w:sz="6" w:space="0" w:color="000000"/>
              <w:right w:val="single" w:sz="4" w:space="0" w:color="DADCDD"/>
            </w:tcBorders>
          </w:tcPr>
          <w:p w14:paraId="50D1D466" w14:textId="77777777" w:rsidR="002D6804" w:rsidRDefault="002D6804" w:rsidP="002D6804">
            <w:pPr>
              <w:pStyle w:val="TableParagraph"/>
              <w:rPr>
                <w:rFonts w:ascii="Times New Roman"/>
                <w:sz w:val="6"/>
              </w:rPr>
            </w:pPr>
          </w:p>
        </w:tc>
        <w:tc>
          <w:tcPr>
            <w:tcW w:w="1056" w:type="dxa"/>
            <w:tcBorders>
              <w:top w:val="single" w:sz="6" w:space="0" w:color="000000"/>
              <w:left w:val="single" w:sz="4" w:space="0" w:color="DADCDD"/>
              <w:bottom w:val="single" w:sz="6" w:space="0" w:color="000000"/>
              <w:right w:val="single" w:sz="4" w:space="0" w:color="DADCDD"/>
            </w:tcBorders>
          </w:tcPr>
          <w:p w14:paraId="1CCE2267" w14:textId="77777777" w:rsidR="002D6804" w:rsidRDefault="002D6804" w:rsidP="002D6804">
            <w:pPr>
              <w:pStyle w:val="TableParagraph"/>
              <w:rPr>
                <w:rFonts w:ascii="Times New Roman"/>
                <w:sz w:val="6"/>
              </w:rPr>
            </w:pPr>
          </w:p>
        </w:tc>
        <w:tc>
          <w:tcPr>
            <w:tcW w:w="524" w:type="dxa"/>
            <w:tcBorders>
              <w:top w:val="single" w:sz="6" w:space="0" w:color="000000"/>
              <w:left w:val="single" w:sz="4" w:space="0" w:color="DADCDD"/>
              <w:bottom w:val="single" w:sz="6" w:space="0" w:color="000000"/>
              <w:right w:val="single" w:sz="4" w:space="0" w:color="DADCDD"/>
            </w:tcBorders>
          </w:tcPr>
          <w:p w14:paraId="2B0A78A0" w14:textId="77777777" w:rsidR="002D6804" w:rsidRDefault="002D6804" w:rsidP="002D6804">
            <w:pPr>
              <w:pStyle w:val="TableParagraph"/>
              <w:rPr>
                <w:rFonts w:ascii="Times New Roman"/>
                <w:sz w:val="6"/>
              </w:rPr>
            </w:pPr>
          </w:p>
        </w:tc>
        <w:tc>
          <w:tcPr>
            <w:tcW w:w="761" w:type="dxa"/>
            <w:tcBorders>
              <w:top w:val="single" w:sz="6" w:space="0" w:color="000000"/>
              <w:left w:val="single" w:sz="4" w:space="0" w:color="DADCDD"/>
              <w:bottom w:val="single" w:sz="6" w:space="0" w:color="000000"/>
              <w:right w:val="single" w:sz="6" w:space="0" w:color="DADCDD"/>
            </w:tcBorders>
          </w:tcPr>
          <w:p w14:paraId="4BC2563C" w14:textId="77777777" w:rsidR="002D6804" w:rsidRDefault="002D6804" w:rsidP="002D6804">
            <w:pPr>
              <w:pStyle w:val="TableParagraph"/>
              <w:rPr>
                <w:rFonts w:ascii="Times New Roman"/>
                <w:sz w:val="6"/>
              </w:rPr>
            </w:pPr>
          </w:p>
        </w:tc>
        <w:tc>
          <w:tcPr>
            <w:tcW w:w="524" w:type="dxa"/>
            <w:tcBorders>
              <w:top w:val="single" w:sz="6" w:space="0" w:color="000000"/>
              <w:left w:val="single" w:sz="6" w:space="0" w:color="DADCDD"/>
              <w:bottom w:val="single" w:sz="6" w:space="0" w:color="000000"/>
              <w:right w:val="single" w:sz="6" w:space="0" w:color="DADCDD"/>
            </w:tcBorders>
          </w:tcPr>
          <w:p w14:paraId="797319E7" w14:textId="77777777" w:rsidR="002D6804" w:rsidRDefault="002D6804" w:rsidP="002D6804">
            <w:pPr>
              <w:pStyle w:val="TableParagraph"/>
              <w:rPr>
                <w:rFonts w:ascii="Times New Roman"/>
                <w:sz w:val="6"/>
              </w:rPr>
            </w:pPr>
          </w:p>
        </w:tc>
        <w:tc>
          <w:tcPr>
            <w:tcW w:w="589" w:type="dxa"/>
            <w:tcBorders>
              <w:top w:val="single" w:sz="6" w:space="0" w:color="000000"/>
              <w:left w:val="single" w:sz="6" w:space="0" w:color="DADCDD"/>
              <w:bottom w:val="single" w:sz="6" w:space="0" w:color="000000"/>
              <w:right w:val="single" w:sz="4" w:space="0" w:color="DADCDD"/>
            </w:tcBorders>
          </w:tcPr>
          <w:p w14:paraId="4FB5B884" w14:textId="77777777" w:rsidR="002D6804" w:rsidRDefault="002D6804" w:rsidP="002D6804">
            <w:pPr>
              <w:pStyle w:val="TableParagraph"/>
              <w:rPr>
                <w:rFonts w:ascii="Times New Roman"/>
                <w:sz w:val="6"/>
              </w:rPr>
            </w:pPr>
          </w:p>
        </w:tc>
        <w:tc>
          <w:tcPr>
            <w:tcW w:w="752" w:type="dxa"/>
            <w:tcBorders>
              <w:top w:val="single" w:sz="6" w:space="0" w:color="000000"/>
              <w:left w:val="single" w:sz="4" w:space="0" w:color="DADCDD"/>
              <w:bottom w:val="single" w:sz="6" w:space="0" w:color="000000"/>
              <w:right w:val="single" w:sz="6" w:space="0" w:color="DADCDD"/>
            </w:tcBorders>
          </w:tcPr>
          <w:p w14:paraId="097474B3" w14:textId="77777777" w:rsidR="002D6804" w:rsidRDefault="002D6804" w:rsidP="002D6804">
            <w:pPr>
              <w:pStyle w:val="TableParagraph"/>
              <w:rPr>
                <w:rFonts w:ascii="Times New Roman"/>
                <w:sz w:val="6"/>
              </w:rPr>
            </w:pPr>
          </w:p>
        </w:tc>
        <w:tc>
          <w:tcPr>
            <w:tcW w:w="990" w:type="dxa"/>
            <w:tcBorders>
              <w:top w:val="single" w:sz="6" w:space="0" w:color="000000"/>
              <w:left w:val="single" w:sz="6" w:space="0" w:color="DADCDD"/>
              <w:bottom w:val="single" w:sz="6" w:space="0" w:color="000000"/>
              <w:right w:val="single" w:sz="4" w:space="0" w:color="DADCDD"/>
            </w:tcBorders>
          </w:tcPr>
          <w:p w14:paraId="53ADBB36" w14:textId="77777777" w:rsidR="002D6804" w:rsidRDefault="002D6804" w:rsidP="002D6804">
            <w:pPr>
              <w:pStyle w:val="TableParagraph"/>
              <w:rPr>
                <w:rFonts w:ascii="Times New Roman"/>
                <w:sz w:val="6"/>
              </w:rPr>
            </w:pPr>
          </w:p>
        </w:tc>
        <w:tc>
          <w:tcPr>
            <w:tcW w:w="524" w:type="dxa"/>
            <w:tcBorders>
              <w:top w:val="single" w:sz="6" w:space="0" w:color="000000"/>
              <w:left w:val="single" w:sz="4" w:space="0" w:color="DADCDD"/>
              <w:bottom w:val="single" w:sz="6" w:space="0" w:color="000000"/>
              <w:right w:val="single" w:sz="4" w:space="0" w:color="DADCDD"/>
            </w:tcBorders>
          </w:tcPr>
          <w:p w14:paraId="4AF3EBB2" w14:textId="77777777" w:rsidR="002D6804" w:rsidRDefault="002D6804" w:rsidP="002D6804">
            <w:pPr>
              <w:pStyle w:val="TableParagraph"/>
              <w:rPr>
                <w:rFonts w:ascii="Times New Roman"/>
                <w:sz w:val="6"/>
              </w:rPr>
            </w:pPr>
          </w:p>
        </w:tc>
        <w:tc>
          <w:tcPr>
            <w:tcW w:w="745" w:type="dxa"/>
            <w:tcBorders>
              <w:top w:val="single" w:sz="6" w:space="0" w:color="000000"/>
              <w:left w:val="single" w:sz="4" w:space="0" w:color="DADCDD"/>
              <w:bottom w:val="single" w:sz="6" w:space="0" w:color="000000"/>
              <w:right w:val="single" w:sz="4" w:space="0" w:color="DADCDD"/>
            </w:tcBorders>
          </w:tcPr>
          <w:p w14:paraId="0AA5E6C8" w14:textId="77777777" w:rsidR="002D6804" w:rsidRDefault="002D6804" w:rsidP="002D6804">
            <w:pPr>
              <w:pStyle w:val="TableParagraph"/>
              <w:rPr>
                <w:rFonts w:ascii="Times New Roman"/>
                <w:sz w:val="6"/>
              </w:rPr>
            </w:pPr>
          </w:p>
        </w:tc>
        <w:tc>
          <w:tcPr>
            <w:tcW w:w="819" w:type="dxa"/>
            <w:tcBorders>
              <w:top w:val="single" w:sz="6" w:space="0" w:color="000000"/>
              <w:left w:val="single" w:sz="4" w:space="0" w:color="DADCDD"/>
              <w:bottom w:val="single" w:sz="6" w:space="0" w:color="000000"/>
              <w:right w:val="single" w:sz="6" w:space="0" w:color="DADCDD"/>
            </w:tcBorders>
          </w:tcPr>
          <w:p w14:paraId="19933557" w14:textId="77777777" w:rsidR="002D6804" w:rsidRDefault="002D6804" w:rsidP="002D6804">
            <w:pPr>
              <w:pStyle w:val="TableParagraph"/>
              <w:rPr>
                <w:rFonts w:ascii="Times New Roman"/>
                <w:sz w:val="6"/>
              </w:rPr>
            </w:pPr>
          </w:p>
        </w:tc>
        <w:tc>
          <w:tcPr>
            <w:tcW w:w="950" w:type="dxa"/>
            <w:tcBorders>
              <w:top w:val="single" w:sz="6" w:space="0" w:color="000000"/>
              <w:left w:val="single" w:sz="6" w:space="0" w:color="DADCDD"/>
              <w:bottom w:val="single" w:sz="6" w:space="0" w:color="000000"/>
              <w:right w:val="single" w:sz="4" w:space="0" w:color="DADCDD"/>
            </w:tcBorders>
          </w:tcPr>
          <w:p w14:paraId="3F72044D" w14:textId="77777777" w:rsidR="002D6804" w:rsidRDefault="002D6804" w:rsidP="002D6804">
            <w:pPr>
              <w:pStyle w:val="TableParagraph"/>
              <w:rPr>
                <w:rFonts w:ascii="Times New Roman"/>
                <w:sz w:val="6"/>
              </w:rPr>
            </w:pPr>
          </w:p>
        </w:tc>
      </w:tr>
      <w:tr w:rsidR="002D6804" w14:paraId="5259650A" w14:textId="77777777" w:rsidTr="002D6804">
        <w:trPr>
          <w:trHeight w:val="806"/>
        </w:trPr>
        <w:tc>
          <w:tcPr>
            <w:tcW w:w="1105" w:type="dxa"/>
            <w:tcBorders>
              <w:top w:val="single" w:sz="6" w:space="0" w:color="000000"/>
            </w:tcBorders>
            <w:shd w:val="clear" w:color="auto" w:fill="4F82BD"/>
          </w:tcPr>
          <w:p w14:paraId="0A69E14A" w14:textId="77777777" w:rsidR="002D6804" w:rsidRDefault="002D6804" w:rsidP="002D6804">
            <w:pPr>
              <w:pStyle w:val="TableParagraph"/>
              <w:rPr>
                <w:b/>
                <w:sz w:val="14"/>
              </w:rPr>
            </w:pPr>
          </w:p>
          <w:p w14:paraId="1AF49AD8" w14:textId="77777777" w:rsidR="002D6804" w:rsidRDefault="002D6804" w:rsidP="002D6804">
            <w:pPr>
              <w:pStyle w:val="TableParagraph"/>
              <w:spacing w:before="1"/>
              <w:rPr>
                <w:b/>
                <w:sz w:val="15"/>
              </w:rPr>
            </w:pPr>
          </w:p>
          <w:p w14:paraId="34E50478" w14:textId="77777777" w:rsidR="002D6804" w:rsidRDefault="002D6804" w:rsidP="002D6804">
            <w:pPr>
              <w:pStyle w:val="TableParagraph"/>
              <w:ind w:left="323"/>
              <w:rPr>
                <w:b/>
                <w:sz w:val="12"/>
              </w:rPr>
            </w:pPr>
            <w:r>
              <w:rPr>
                <w:b/>
                <w:color w:val="FFFFFF"/>
                <w:sz w:val="12"/>
              </w:rPr>
              <w:t>Context</w:t>
            </w:r>
          </w:p>
        </w:tc>
        <w:tc>
          <w:tcPr>
            <w:tcW w:w="1056" w:type="dxa"/>
            <w:tcBorders>
              <w:top w:val="single" w:sz="6" w:space="0" w:color="000000"/>
            </w:tcBorders>
            <w:shd w:val="clear" w:color="auto" w:fill="4F82BD"/>
          </w:tcPr>
          <w:p w14:paraId="50E94BAE" w14:textId="77777777" w:rsidR="002D6804" w:rsidRDefault="002D6804" w:rsidP="002D6804">
            <w:pPr>
              <w:pStyle w:val="TableParagraph"/>
              <w:rPr>
                <w:b/>
                <w:sz w:val="14"/>
              </w:rPr>
            </w:pPr>
          </w:p>
          <w:p w14:paraId="2109351E" w14:textId="77777777" w:rsidR="002D6804" w:rsidRDefault="002D6804" w:rsidP="002D6804">
            <w:pPr>
              <w:pStyle w:val="TableParagraph"/>
              <w:spacing w:before="91" w:line="285" w:lineRule="auto"/>
              <w:ind w:left="258" w:right="116" w:hanging="34"/>
              <w:rPr>
                <w:b/>
                <w:sz w:val="12"/>
              </w:rPr>
            </w:pPr>
            <w:r>
              <w:rPr>
                <w:b/>
                <w:color w:val="FFFFFF"/>
                <w:sz w:val="12"/>
              </w:rPr>
              <w:t>Screening Question</w:t>
            </w:r>
          </w:p>
        </w:tc>
        <w:tc>
          <w:tcPr>
            <w:tcW w:w="524" w:type="dxa"/>
            <w:tcBorders>
              <w:top w:val="single" w:sz="6" w:space="0" w:color="000000"/>
            </w:tcBorders>
            <w:shd w:val="clear" w:color="auto" w:fill="4F82BD"/>
          </w:tcPr>
          <w:p w14:paraId="794790BE" w14:textId="77777777" w:rsidR="002D6804" w:rsidRDefault="002D6804" w:rsidP="002D6804">
            <w:pPr>
              <w:pStyle w:val="TableParagraph"/>
              <w:rPr>
                <w:b/>
                <w:sz w:val="14"/>
              </w:rPr>
            </w:pPr>
          </w:p>
          <w:p w14:paraId="4988C8DA" w14:textId="77777777" w:rsidR="002D6804" w:rsidRDefault="002D6804" w:rsidP="002D6804">
            <w:pPr>
              <w:pStyle w:val="TableParagraph"/>
              <w:spacing w:before="1"/>
              <w:rPr>
                <w:b/>
                <w:sz w:val="15"/>
              </w:rPr>
            </w:pPr>
          </w:p>
          <w:p w14:paraId="1F8E288A" w14:textId="77777777" w:rsidR="002D6804" w:rsidRDefault="002D6804" w:rsidP="002D6804">
            <w:pPr>
              <w:pStyle w:val="TableParagraph"/>
              <w:ind w:left="53"/>
              <w:rPr>
                <w:b/>
                <w:sz w:val="12"/>
              </w:rPr>
            </w:pPr>
            <w:r>
              <w:rPr>
                <w:b/>
                <w:color w:val="FFFFFF"/>
                <w:sz w:val="12"/>
              </w:rPr>
              <w:t>Yes/No</w:t>
            </w:r>
          </w:p>
        </w:tc>
        <w:tc>
          <w:tcPr>
            <w:tcW w:w="761" w:type="dxa"/>
            <w:tcBorders>
              <w:top w:val="single" w:sz="6" w:space="0" w:color="000000"/>
              <w:right w:val="single" w:sz="6" w:space="0" w:color="000000"/>
            </w:tcBorders>
            <w:shd w:val="clear" w:color="auto" w:fill="4F82BD"/>
          </w:tcPr>
          <w:p w14:paraId="2BB60BB4" w14:textId="77777777" w:rsidR="002D6804" w:rsidRDefault="002D6804" w:rsidP="002D6804">
            <w:pPr>
              <w:pStyle w:val="TableParagraph"/>
              <w:rPr>
                <w:b/>
                <w:sz w:val="14"/>
              </w:rPr>
            </w:pPr>
          </w:p>
          <w:p w14:paraId="01EBBC81" w14:textId="77777777" w:rsidR="002D6804" w:rsidRDefault="002D6804" w:rsidP="002D6804">
            <w:pPr>
              <w:pStyle w:val="TableParagraph"/>
              <w:spacing w:before="91" w:line="285" w:lineRule="auto"/>
              <w:ind w:left="193" w:right="148" w:hanging="24"/>
              <w:rPr>
                <w:b/>
                <w:sz w:val="12"/>
              </w:rPr>
            </w:pPr>
            <w:r>
              <w:rPr>
                <w:b/>
                <w:color w:val="FFFFFF"/>
                <w:sz w:val="12"/>
              </w:rPr>
              <w:t>Project Impact</w:t>
            </w:r>
          </w:p>
        </w:tc>
        <w:tc>
          <w:tcPr>
            <w:tcW w:w="524" w:type="dxa"/>
            <w:tcBorders>
              <w:top w:val="single" w:sz="6" w:space="0" w:color="000000"/>
              <w:left w:val="single" w:sz="6" w:space="0" w:color="000000"/>
              <w:right w:val="single" w:sz="6" w:space="0" w:color="000000"/>
            </w:tcBorders>
            <w:shd w:val="clear" w:color="auto" w:fill="4F82BD"/>
          </w:tcPr>
          <w:p w14:paraId="4BAB589C" w14:textId="77777777" w:rsidR="002D6804" w:rsidRDefault="002D6804" w:rsidP="002D6804">
            <w:pPr>
              <w:pStyle w:val="TableParagraph"/>
              <w:rPr>
                <w:b/>
                <w:sz w:val="14"/>
              </w:rPr>
            </w:pPr>
          </w:p>
          <w:p w14:paraId="077337E9" w14:textId="77777777" w:rsidR="002D6804" w:rsidRDefault="002D6804" w:rsidP="002D6804">
            <w:pPr>
              <w:pStyle w:val="TableParagraph"/>
              <w:spacing w:before="1"/>
              <w:rPr>
                <w:b/>
                <w:sz w:val="15"/>
              </w:rPr>
            </w:pPr>
          </w:p>
          <w:p w14:paraId="6A34AAF3" w14:textId="77777777" w:rsidR="002D6804" w:rsidRDefault="002D6804" w:rsidP="002D6804">
            <w:pPr>
              <w:pStyle w:val="TableParagraph"/>
              <w:ind w:left="52"/>
              <w:rPr>
                <w:b/>
                <w:sz w:val="12"/>
              </w:rPr>
            </w:pPr>
            <w:r>
              <w:rPr>
                <w:b/>
                <w:color w:val="FFFFFF"/>
                <w:sz w:val="12"/>
              </w:rPr>
              <w:t>Yes/No</w:t>
            </w:r>
          </w:p>
        </w:tc>
        <w:tc>
          <w:tcPr>
            <w:tcW w:w="589" w:type="dxa"/>
            <w:tcBorders>
              <w:top w:val="single" w:sz="6" w:space="0" w:color="000000"/>
              <w:left w:val="single" w:sz="6" w:space="0" w:color="000000"/>
            </w:tcBorders>
            <w:shd w:val="clear" w:color="auto" w:fill="4F82BD"/>
          </w:tcPr>
          <w:p w14:paraId="018F2D28" w14:textId="77777777" w:rsidR="002D6804" w:rsidRDefault="002D6804" w:rsidP="002D6804">
            <w:pPr>
              <w:pStyle w:val="TableParagraph"/>
              <w:spacing w:before="9"/>
              <w:rPr>
                <w:b/>
                <w:sz w:val="14"/>
              </w:rPr>
            </w:pPr>
          </w:p>
          <w:p w14:paraId="6CC41B30" w14:textId="77777777" w:rsidR="002D6804" w:rsidRDefault="002D6804" w:rsidP="002D6804">
            <w:pPr>
              <w:pStyle w:val="TableParagraph"/>
              <w:spacing w:line="285" w:lineRule="auto"/>
              <w:ind w:left="51" w:right="47"/>
              <w:jc w:val="center"/>
              <w:rPr>
                <w:b/>
                <w:sz w:val="12"/>
              </w:rPr>
            </w:pPr>
            <w:r>
              <w:rPr>
                <w:b/>
                <w:color w:val="FFFFFF"/>
                <w:sz w:val="12"/>
              </w:rPr>
              <w:t>Level of Project Risk</w:t>
            </w:r>
          </w:p>
        </w:tc>
        <w:tc>
          <w:tcPr>
            <w:tcW w:w="752" w:type="dxa"/>
            <w:tcBorders>
              <w:top w:val="single" w:sz="6" w:space="0" w:color="000000"/>
              <w:right w:val="single" w:sz="6" w:space="0" w:color="000000"/>
            </w:tcBorders>
            <w:shd w:val="clear" w:color="auto" w:fill="4F82BD"/>
          </w:tcPr>
          <w:p w14:paraId="3A540177" w14:textId="77777777" w:rsidR="002D6804" w:rsidRDefault="002D6804" w:rsidP="002D6804">
            <w:pPr>
              <w:pStyle w:val="TableParagraph"/>
              <w:rPr>
                <w:b/>
                <w:sz w:val="14"/>
              </w:rPr>
            </w:pPr>
          </w:p>
          <w:p w14:paraId="43C90F5E" w14:textId="77777777" w:rsidR="002D6804" w:rsidRDefault="002D6804" w:rsidP="002D6804">
            <w:pPr>
              <w:pStyle w:val="TableParagraph"/>
              <w:spacing w:before="1"/>
              <w:rPr>
                <w:b/>
                <w:sz w:val="15"/>
              </w:rPr>
            </w:pPr>
          </w:p>
          <w:p w14:paraId="135F5A86" w14:textId="77777777" w:rsidR="002D6804" w:rsidRDefault="002D6804" w:rsidP="002D6804">
            <w:pPr>
              <w:pStyle w:val="TableParagraph"/>
              <w:ind w:left="38"/>
              <w:rPr>
                <w:b/>
                <w:sz w:val="12"/>
              </w:rPr>
            </w:pPr>
            <w:r>
              <w:rPr>
                <w:b/>
                <w:color w:val="FFFFFF"/>
                <w:sz w:val="12"/>
              </w:rPr>
              <w:t>Instructions</w:t>
            </w:r>
          </w:p>
        </w:tc>
        <w:tc>
          <w:tcPr>
            <w:tcW w:w="990" w:type="dxa"/>
            <w:tcBorders>
              <w:top w:val="single" w:sz="6" w:space="0" w:color="000000"/>
              <w:left w:val="single" w:sz="6" w:space="0" w:color="000000"/>
            </w:tcBorders>
            <w:shd w:val="clear" w:color="auto" w:fill="4F82BD"/>
          </w:tcPr>
          <w:p w14:paraId="4C208432" w14:textId="77777777" w:rsidR="002D6804" w:rsidRDefault="002D6804" w:rsidP="002D6804">
            <w:pPr>
              <w:pStyle w:val="TableParagraph"/>
              <w:rPr>
                <w:b/>
                <w:sz w:val="14"/>
              </w:rPr>
            </w:pPr>
          </w:p>
          <w:p w14:paraId="167C50E0" w14:textId="77777777" w:rsidR="002D6804" w:rsidRDefault="002D6804" w:rsidP="002D6804">
            <w:pPr>
              <w:pStyle w:val="TableParagraph"/>
              <w:spacing w:before="91" w:line="285" w:lineRule="auto"/>
              <w:ind w:left="307" w:right="48" w:hanging="238"/>
              <w:rPr>
                <w:b/>
                <w:sz w:val="12"/>
              </w:rPr>
            </w:pPr>
            <w:proofErr w:type="spellStart"/>
            <w:r>
              <w:rPr>
                <w:b/>
                <w:color w:val="FFFFFF"/>
                <w:sz w:val="12"/>
              </w:rPr>
              <w:t>Organisational</w:t>
            </w:r>
            <w:proofErr w:type="spellEnd"/>
            <w:r>
              <w:rPr>
                <w:b/>
                <w:color w:val="FFFFFF"/>
                <w:sz w:val="12"/>
              </w:rPr>
              <w:t xml:space="preserve"> Impact</w:t>
            </w:r>
          </w:p>
        </w:tc>
        <w:tc>
          <w:tcPr>
            <w:tcW w:w="524" w:type="dxa"/>
            <w:tcBorders>
              <w:top w:val="single" w:sz="6" w:space="0" w:color="000000"/>
            </w:tcBorders>
            <w:shd w:val="clear" w:color="auto" w:fill="4F82BD"/>
          </w:tcPr>
          <w:p w14:paraId="3A376BA1" w14:textId="77777777" w:rsidR="002D6804" w:rsidRDefault="002D6804" w:rsidP="002D6804">
            <w:pPr>
              <w:pStyle w:val="TableParagraph"/>
              <w:rPr>
                <w:b/>
                <w:sz w:val="14"/>
              </w:rPr>
            </w:pPr>
          </w:p>
          <w:p w14:paraId="7B28D98C" w14:textId="77777777" w:rsidR="002D6804" w:rsidRDefault="002D6804" w:rsidP="002D6804">
            <w:pPr>
              <w:pStyle w:val="TableParagraph"/>
              <w:spacing w:before="1"/>
              <w:rPr>
                <w:b/>
                <w:sz w:val="15"/>
              </w:rPr>
            </w:pPr>
          </w:p>
          <w:p w14:paraId="692EDCCC" w14:textId="77777777" w:rsidR="002D6804" w:rsidRDefault="002D6804" w:rsidP="002D6804">
            <w:pPr>
              <w:pStyle w:val="TableParagraph"/>
              <w:ind w:left="56"/>
              <w:rPr>
                <w:b/>
                <w:sz w:val="12"/>
              </w:rPr>
            </w:pPr>
            <w:r>
              <w:rPr>
                <w:b/>
                <w:color w:val="FFFFFF"/>
                <w:sz w:val="12"/>
              </w:rPr>
              <w:t>Yes/No</w:t>
            </w:r>
          </w:p>
        </w:tc>
        <w:tc>
          <w:tcPr>
            <w:tcW w:w="745" w:type="dxa"/>
            <w:tcBorders>
              <w:top w:val="single" w:sz="6" w:space="0" w:color="000000"/>
            </w:tcBorders>
            <w:shd w:val="clear" w:color="auto" w:fill="4F82BD"/>
          </w:tcPr>
          <w:p w14:paraId="45D97193" w14:textId="77777777" w:rsidR="002D6804" w:rsidRDefault="002D6804" w:rsidP="002D6804">
            <w:pPr>
              <w:pStyle w:val="TableParagraph"/>
              <w:spacing w:before="89" w:line="285" w:lineRule="auto"/>
              <w:ind w:left="40" w:right="19" w:hanging="1"/>
              <w:jc w:val="center"/>
              <w:rPr>
                <w:b/>
                <w:sz w:val="12"/>
              </w:rPr>
            </w:pPr>
            <w:r>
              <w:rPr>
                <w:b/>
                <w:color w:val="FFFFFF"/>
                <w:sz w:val="12"/>
              </w:rPr>
              <w:t xml:space="preserve">Level of </w:t>
            </w:r>
            <w:proofErr w:type="spellStart"/>
            <w:r>
              <w:rPr>
                <w:b/>
                <w:color w:val="FFFFFF"/>
                <w:sz w:val="12"/>
              </w:rPr>
              <w:t>Organisatio</w:t>
            </w:r>
            <w:proofErr w:type="spellEnd"/>
            <w:r>
              <w:rPr>
                <w:b/>
                <w:color w:val="FFFFFF"/>
                <w:sz w:val="12"/>
              </w:rPr>
              <w:t xml:space="preserve"> </w:t>
            </w:r>
            <w:proofErr w:type="spellStart"/>
            <w:r>
              <w:rPr>
                <w:b/>
                <w:color w:val="FFFFFF"/>
                <w:sz w:val="12"/>
              </w:rPr>
              <w:t>nal</w:t>
            </w:r>
            <w:proofErr w:type="spellEnd"/>
          </w:p>
          <w:p w14:paraId="41E6EAB8" w14:textId="77777777" w:rsidR="002D6804" w:rsidRDefault="002D6804" w:rsidP="002D6804">
            <w:pPr>
              <w:pStyle w:val="TableParagraph"/>
              <w:spacing w:line="136" w:lineRule="exact"/>
              <w:ind w:left="235" w:right="206"/>
              <w:jc w:val="center"/>
              <w:rPr>
                <w:b/>
                <w:sz w:val="12"/>
              </w:rPr>
            </w:pPr>
            <w:r>
              <w:rPr>
                <w:b/>
                <w:color w:val="FFFFFF"/>
                <w:sz w:val="12"/>
              </w:rPr>
              <w:t>Risk</w:t>
            </w:r>
          </w:p>
        </w:tc>
        <w:tc>
          <w:tcPr>
            <w:tcW w:w="819" w:type="dxa"/>
            <w:tcBorders>
              <w:top w:val="single" w:sz="6" w:space="0" w:color="000000"/>
              <w:right w:val="single" w:sz="6" w:space="0" w:color="000000"/>
            </w:tcBorders>
            <w:shd w:val="clear" w:color="auto" w:fill="4F82BD"/>
          </w:tcPr>
          <w:p w14:paraId="52C77846" w14:textId="77777777" w:rsidR="002D6804" w:rsidRDefault="002D6804" w:rsidP="002D6804">
            <w:pPr>
              <w:pStyle w:val="TableParagraph"/>
              <w:rPr>
                <w:b/>
                <w:sz w:val="14"/>
              </w:rPr>
            </w:pPr>
          </w:p>
          <w:p w14:paraId="495DF0B1" w14:textId="77777777" w:rsidR="002D6804" w:rsidRDefault="002D6804" w:rsidP="002D6804">
            <w:pPr>
              <w:pStyle w:val="TableParagraph"/>
              <w:spacing w:before="1"/>
              <w:rPr>
                <w:b/>
                <w:sz w:val="15"/>
              </w:rPr>
            </w:pPr>
          </w:p>
          <w:p w14:paraId="33E79948" w14:textId="77777777" w:rsidR="002D6804" w:rsidRDefault="002D6804" w:rsidP="002D6804">
            <w:pPr>
              <w:pStyle w:val="TableParagraph"/>
              <w:ind w:left="74"/>
              <w:rPr>
                <w:b/>
                <w:sz w:val="12"/>
              </w:rPr>
            </w:pPr>
            <w:r>
              <w:rPr>
                <w:b/>
                <w:color w:val="FFFFFF"/>
                <w:sz w:val="12"/>
              </w:rPr>
              <w:t>Instructions</w:t>
            </w:r>
          </w:p>
        </w:tc>
        <w:tc>
          <w:tcPr>
            <w:tcW w:w="950" w:type="dxa"/>
            <w:tcBorders>
              <w:top w:val="single" w:sz="6" w:space="0" w:color="000000"/>
              <w:left w:val="single" w:sz="6" w:space="0" w:color="000000"/>
            </w:tcBorders>
            <w:shd w:val="clear" w:color="auto" w:fill="4F82BD"/>
          </w:tcPr>
          <w:p w14:paraId="56F036F9" w14:textId="77777777" w:rsidR="002D6804" w:rsidRDefault="002D6804" w:rsidP="002D6804">
            <w:pPr>
              <w:pStyle w:val="TableParagraph"/>
              <w:spacing w:before="9"/>
              <w:rPr>
                <w:b/>
                <w:sz w:val="14"/>
              </w:rPr>
            </w:pPr>
          </w:p>
          <w:p w14:paraId="5879C3CD" w14:textId="77777777" w:rsidR="002D6804" w:rsidRDefault="002D6804" w:rsidP="002D6804">
            <w:pPr>
              <w:pStyle w:val="TableParagraph"/>
              <w:spacing w:line="285" w:lineRule="auto"/>
              <w:ind w:left="152" w:right="135" w:firstLine="40"/>
              <w:jc w:val="both"/>
              <w:rPr>
                <w:b/>
                <w:sz w:val="12"/>
              </w:rPr>
            </w:pPr>
            <w:r>
              <w:rPr>
                <w:b/>
                <w:color w:val="FFFFFF"/>
                <w:sz w:val="12"/>
              </w:rPr>
              <w:t>Additional Supporting Comments</w:t>
            </w:r>
          </w:p>
        </w:tc>
      </w:tr>
      <w:tr w:rsidR="002D6804" w14:paraId="3249F01D" w14:textId="77777777" w:rsidTr="002D6804">
        <w:trPr>
          <w:trHeight w:val="381"/>
        </w:trPr>
        <w:tc>
          <w:tcPr>
            <w:tcW w:w="1105" w:type="dxa"/>
            <w:vMerge w:val="restart"/>
            <w:tcBorders>
              <w:bottom w:val="single" w:sz="6" w:space="0" w:color="000000"/>
            </w:tcBorders>
          </w:tcPr>
          <w:p w14:paraId="4A861B1B" w14:textId="77777777" w:rsidR="002D6804" w:rsidRDefault="002D6804" w:rsidP="002D6804">
            <w:pPr>
              <w:pStyle w:val="TableParagraph"/>
              <w:rPr>
                <w:b/>
                <w:sz w:val="14"/>
              </w:rPr>
            </w:pPr>
          </w:p>
          <w:p w14:paraId="15CAB8EC" w14:textId="77777777" w:rsidR="002D6804" w:rsidRDefault="002D6804" w:rsidP="002D6804">
            <w:pPr>
              <w:pStyle w:val="TableParagraph"/>
              <w:spacing w:before="7"/>
              <w:rPr>
                <w:b/>
                <w:sz w:val="13"/>
              </w:rPr>
            </w:pPr>
          </w:p>
          <w:p w14:paraId="1D24EE9B" w14:textId="77777777" w:rsidR="002D6804" w:rsidRDefault="002D6804" w:rsidP="002D6804">
            <w:pPr>
              <w:pStyle w:val="TableParagraph"/>
              <w:spacing w:before="1"/>
              <w:ind w:left="142"/>
              <w:rPr>
                <w:sz w:val="12"/>
              </w:rPr>
            </w:pPr>
            <w:r>
              <w:rPr>
                <w:sz w:val="12"/>
              </w:rPr>
              <w:t>Health &amp; Safety</w:t>
            </w:r>
          </w:p>
        </w:tc>
        <w:tc>
          <w:tcPr>
            <w:tcW w:w="1056" w:type="dxa"/>
            <w:vMerge w:val="restart"/>
            <w:tcBorders>
              <w:bottom w:val="single" w:sz="6" w:space="0" w:color="000000"/>
            </w:tcBorders>
          </w:tcPr>
          <w:p w14:paraId="2CE284FB" w14:textId="77777777" w:rsidR="002D6804" w:rsidRDefault="002D6804" w:rsidP="002D6804">
            <w:pPr>
              <w:pStyle w:val="TableParagraph"/>
              <w:spacing w:before="6" w:line="271" w:lineRule="auto"/>
              <w:ind w:left="20" w:right="116"/>
              <w:rPr>
                <w:sz w:val="12"/>
              </w:rPr>
            </w:pPr>
            <w:r>
              <w:rPr>
                <w:sz w:val="12"/>
              </w:rPr>
              <w:t xml:space="preserve">1. </w:t>
            </w:r>
            <w:r>
              <w:rPr>
                <w:spacing w:val="-6"/>
                <w:sz w:val="12"/>
              </w:rPr>
              <w:t xml:space="preserve">Is </w:t>
            </w:r>
            <w:r>
              <w:rPr>
                <w:sz w:val="12"/>
              </w:rPr>
              <w:t xml:space="preserve">there a risk </w:t>
            </w:r>
            <w:r>
              <w:rPr>
                <w:spacing w:val="-3"/>
                <w:sz w:val="12"/>
              </w:rPr>
              <w:t xml:space="preserve">that </w:t>
            </w:r>
            <w:r>
              <w:rPr>
                <w:sz w:val="12"/>
              </w:rPr>
              <w:t>the project may cause harm to persons</w:t>
            </w:r>
            <w:r>
              <w:rPr>
                <w:spacing w:val="-4"/>
                <w:sz w:val="12"/>
              </w:rPr>
              <w:t xml:space="preserve"> </w:t>
            </w:r>
            <w:r>
              <w:rPr>
                <w:sz w:val="12"/>
              </w:rPr>
              <w:t>(staff,</w:t>
            </w:r>
          </w:p>
          <w:p w14:paraId="09144E67" w14:textId="77777777" w:rsidR="002D6804" w:rsidRDefault="002D6804" w:rsidP="002D6804">
            <w:pPr>
              <w:pStyle w:val="TableParagraph"/>
              <w:spacing w:line="124" w:lineRule="exact"/>
              <w:ind w:left="20"/>
              <w:rPr>
                <w:sz w:val="12"/>
              </w:rPr>
            </w:pPr>
            <w:r>
              <w:rPr>
                <w:sz w:val="12"/>
              </w:rPr>
              <w:t>contractor,</w:t>
            </w:r>
            <w:r>
              <w:rPr>
                <w:spacing w:val="6"/>
                <w:sz w:val="12"/>
              </w:rPr>
              <w:t xml:space="preserve"> </w:t>
            </w:r>
            <w:r>
              <w:rPr>
                <w:spacing w:val="-3"/>
                <w:sz w:val="12"/>
              </w:rPr>
              <w:t>public</w:t>
            </w:r>
          </w:p>
        </w:tc>
        <w:tc>
          <w:tcPr>
            <w:tcW w:w="524" w:type="dxa"/>
            <w:vMerge w:val="restart"/>
            <w:tcBorders>
              <w:bottom w:val="single" w:sz="6" w:space="0" w:color="000000"/>
            </w:tcBorders>
          </w:tcPr>
          <w:p w14:paraId="6B108840" w14:textId="77777777" w:rsidR="002D6804" w:rsidRDefault="002D6804" w:rsidP="002D6804">
            <w:pPr>
              <w:pStyle w:val="TableParagraph"/>
              <w:rPr>
                <w:rFonts w:ascii="Times New Roman"/>
                <w:sz w:val="12"/>
              </w:rPr>
            </w:pPr>
          </w:p>
        </w:tc>
        <w:tc>
          <w:tcPr>
            <w:tcW w:w="761" w:type="dxa"/>
            <w:tcBorders>
              <w:right w:val="single" w:sz="6" w:space="0" w:color="000000"/>
            </w:tcBorders>
            <w:shd w:val="clear" w:color="auto" w:fill="D9D9D9"/>
          </w:tcPr>
          <w:p w14:paraId="74480059" w14:textId="77777777" w:rsidR="002D6804" w:rsidRDefault="002D6804" w:rsidP="002D6804">
            <w:pPr>
              <w:pStyle w:val="TableParagraph"/>
              <w:rPr>
                <w:rFonts w:ascii="Times New Roman"/>
                <w:sz w:val="12"/>
              </w:rPr>
            </w:pPr>
          </w:p>
        </w:tc>
        <w:tc>
          <w:tcPr>
            <w:tcW w:w="524" w:type="dxa"/>
            <w:tcBorders>
              <w:left w:val="single" w:sz="6" w:space="0" w:color="000000"/>
              <w:right w:val="single" w:sz="6" w:space="0" w:color="000000"/>
            </w:tcBorders>
            <w:shd w:val="clear" w:color="auto" w:fill="D9D9D9"/>
          </w:tcPr>
          <w:p w14:paraId="09425557" w14:textId="77777777" w:rsidR="002D6804" w:rsidRDefault="002D6804" w:rsidP="002D6804">
            <w:pPr>
              <w:pStyle w:val="TableParagraph"/>
              <w:rPr>
                <w:rFonts w:ascii="Times New Roman"/>
                <w:sz w:val="12"/>
              </w:rPr>
            </w:pPr>
          </w:p>
        </w:tc>
        <w:tc>
          <w:tcPr>
            <w:tcW w:w="589" w:type="dxa"/>
            <w:tcBorders>
              <w:left w:val="single" w:sz="6" w:space="0" w:color="000000"/>
            </w:tcBorders>
            <w:shd w:val="clear" w:color="auto" w:fill="D9D9D9"/>
          </w:tcPr>
          <w:p w14:paraId="50D09996" w14:textId="77777777" w:rsidR="002D6804" w:rsidRDefault="002D6804" w:rsidP="002D6804">
            <w:pPr>
              <w:pStyle w:val="TableParagraph"/>
              <w:rPr>
                <w:rFonts w:ascii="Times New Roman"/>
                <w:sz w:val="12"/>
              </w:rPr>
            </w:pPr>
          </w:p>
        </w:tc>
        <w:tc>
          <w:tcPr>
            <w:tcW w:w="752" w:type="dxa"/>
            <w:tcBorders>
              <w:right w:val="single" w:sz="6" w:space="0" w:color="000000"/>
            </w:tcBorders>
            <w:shd w:val="clear" w:color="auto" w:fill="D9D9D9"/>
          </w:tcPr>
          <w:p w14:paraId="6DA0E50F" w14:textId="77777777" w:rsidR="002D6804" w:rsidRDefault="002D6804" w:rsidP="002D6804">
            <w:pPr>
              <w:pStyle w:val="TableParagraph"/>
              <w:rPr>
                <w:rFonts w:ascii="Times New Roman"/>
                <w:sz w:val="12"/>
              </w:rPr>
            </w:pPr>
          </w:p>
        </w:tc>
        <w:tc>
          <w:tcPr>
            <w:tcW w:w="990" w:type="dxa"/>
            <w:tcBorders>
              <w:left w:val="single" w:sz="6" w:space="0" w:color="000000"/>
            </w:tcBorders>
          </w:tcPr>
          <w:p w14:paraId="50805AEC" w14:textId="77777777" w:rsidR="002D6804" w:rsidRDefault="002D6804" w:rsidP="002D6804">
            <w:pPr>
              <w:pStyle w:val="TableParagraph"/>
              <w:rPr>
                <w:rFonts w:ascii="Times New Roman"/>
                <w:sz w:val="12"/>
              </w:rPr>
            </w:pPr>
          </w:p>
        </w:tc>
        <w:tc>
          <w:tcPr>
            <w:tcW w:w="524" w:type="dxa"/>
          </w:tcPr>
          <w:p w14:paraId="672CEDEB" w14:textId="77777777" w:rsidR="002D6804" w:rsidRDefault="002D6804" w:rsidP="002D6804">
            <w:pPr>
              <w:pStyle w:val="TableParagraph"/>
              <w:rPr>
                <w:rFonts w:ascii="Times New Roman"/>
                <w:sz w:val="12"/>
              </w:rPr>
            </w:pPr>
          </w:p>
        </w:tc>
        <w:tc>
          <w:tcPr>
            <w:tcW w:w="745" w:type="dxa"/>
            <w:vMerge w:val="restart"/>
            <w:tcBorders>
              <w:bottom w:val="single" w:sz="6" w:space="0" w:color="000000"/>
            </w:tcBorders>
          </w:tcPr>
          <w:p w14:paraId="41B03693" w14:textId="77777777" w:rsidR="002D6804" w:rsidRDefault="002D6804" w:rsidP="002D6804">
            <w:pPr>
              <w:pStyle w:val="TableParagraph"/>
              <w:rPr>
                <w:rFonts w:ascii="Times New Roman"/>
                <w:sz w:val="12"/>
              </w:rPr>
            </w:pPr>
          </w:p>
        </w:tc>
        <w:tc>
          <w:tcPr>
            <w:tcW w:w="819" w:type="dxa"/>
            <w:vMerge w:val="restart"/>
            <w:tcBorders>
              <w:bottom w:val="single" w:sz="6" w:space="0" w:color="000000"/>
              <w:right w:val="single" w:sz="6" w:space="0" w:color="000000"/>
            </w:tcBorders>
          </w:tcPr>
          <w:p w14:paraId="202A75F4" w14:textId="77777777" w:rsidR="002D6804" w:rsidRDefault="002D6804" w:rsidP="002D6804">
            <w:pPr>
              <w:pStyle w:val="TableParagraph"/>
              <w:rPr>
                <w:rFonts w:ascii="Times New Roman"/>
                <w:sz w:val="12"/>
              </w:rPr>
            </w:pPr>
          </w:p>
        </w:tc>
        <w:tc>
          <w:tcPr>
            <w:tcW w:w="950" w:type="dxa"/>
            <w:vMerge w:val="restart"/>
            <w:tcBorders>
              <w:left w:val="single" w:sz="6" w:space="0" w:color="000000"/>
              <w:bottom w:val="single" w:sz="6" w:space="0" w:color="000000"/>
            </w:tcBorders>
          </w:tcPr>
          <w:p w14:paraId="17FBCF3C" w14:textId="77777777" w:rsidR="002D6804" w:rsidRDefault="002D6804" w:rsidP="002D6804">
            <w:pPr>
              <w:pStyle w:val="TableParagraph"/>
              <w:rPr>
                <w:rFonts w:ascii="Times New Roman"/>
                <w:sz w:val="12"/>
              </w:rPr>
            </w:pPr>
          </w:p>
        </w:tc>
      </w:tr>
      <w:tr w:rsidR="002D6804" w14:paraId="38FFC81D" w14:textId="77777777" w:rsidTr="002D6804">
        <w:trPr>
          <w:trHeight w:val="377"/>
        </w:trPr>
        <w:tc>
          <w:tcPr>
            <w:tcW w:w="1105" w:type="dxa"/>
            <w:vMerge/>
            <w:tcBorders>
              <w:top w:val="nil"/>
              <w:bottom w:val="single" w:sz="6" w:space="0" w:color="000000"/>
            </w:tcBorders>
          </w:tcPr>
          <w:p w14:paraId="598D4EAB" w14:textId="77777777" w:rsidR="002D6804" w:rsidRDefault="002D6804" w:rsidP="002D6804">
            <w:pPr>
              <w:rPr>
                <w:sz w:val="2"/>
                <w:szCs w:val="2"/>
              </w:rPr>
            </w:pPr>
          </w:p>
        </w:tc>
        <w:tc>
          <w:tcPr>
            <w:tcW w:w="1056" w:type="dxa"/>
            <w:vMerge/>
            <w:tcBorders>
              <w:top w:val="nil"/>
              <w:bottom w:val="single" w:sz="6" w:space="0" w:color="000000"/>
            </w:tcBorders>
          </w:tcPr>
          <w:p w14:paraId="1D0FD090" w14:textId="77777777" w:rsidR="002D6804" w:rsidRDefault="002D6804" w:rsidP="002D6804">
            <w:pPr>
              <w:rPr>
                <w:sz w:val="2"/>
                <w:szCs w:val="2"/>
              </w:rPr>
            </w:pPr>
          </w:p>
        </w:tc>
        <w:tc>
          <w:tcPr>
            <w:tcW w:w="524" w:type="dxa"/>
            <w:vMerge/>
            <w:tcBorders>
              <w:top w:val="nil"/>
              <w:bottom w:val="single" w:sz="6" w:space="0" w:color="000000"/>
            </w:tcBorders>
          </w:tcPr>
          <w:p w14:paraId="02C0E102" w14:textId="77777777" w:rsidR="002D6804" w:rsidRDefault="002D6804" w:rsidP="002D6804">
            <w:pPr>
              <w:rPr>
                <w:sz w:val="2"/>
                <w:szCs w:val="2"/>
              </w:rPr>
            </w:pPr>
          </w:p>
        </w:tc>
        <w:tc>
          <w:tcPr>
            <w:tcW w:w="761" w:type="dxa"/>
            <w:tcBorders>
              <w:bottom w:val="single" w:sz="6" w:space="0" w:color="000000"/>
              <w:right w:val="single" w:sz="6" w:space="0" w:color="000000"/>
            </w:tcBorders>
            <w:shd w:val="clear" w:color="auto" w:fill="D9D9D9"/>
          </w:tcPr>
          <w:p w14:paraId="3C84C226" w14:textId="77777777" w:rsidR="002D6804" w:rsidRDefault="002D6804" w:rsidP="002D6804">
            <w:pPr>
              <w:pStyle w:val="TableParagraph"/>
              <w:rPr>
                <w:rFonts w:ascii="Times New Roman"/>
                <w:sz w:val="12"/>
              </w:rPr>
            </w:pPr>
          </w:p>
        </w:tc>
        <w:tc>
          <w:tcPr>
            <w:tcW w:w="524" w:type="dxa"/>
            <w:tcBorders>
              <w:left w:val="single" w:sz="6" w:space="0" w:color="000000"/>
              <w:bottom w:val="single" w:sz="6" w:space="0" w:color="000000"/>
              <w:right w:val="single" w:sz="6" w:space="0" w:color="000000"/>
            </w:tcBorders>
            <w:shd w:val="clear" w:color="auto" w:fill="D9D9D9"/>
          </w:tcPr>
          <w:p w14:paraId="4C18FD07" w14:textId="77777777" w:rsidR="002D6804" w:rsidRDefault="002D6804" w:rsidP="002D6804">
            <w:pPr>
              <w:pStyle w:val="TableParagraph"/>
              <w:rPr>
                <w:rFonts w:ascii="Times New Roman"/>
                <w:sz w:val="12"/>
              </w:rPr>
            </w:pPr>
          </w:p>
        </w:tc>
        <w:tc>
          <w:tcPr>
            <w:tcW w:w="589" w:type="dxa"/>
            <w:tcBorders>
              <w:left w:val="single" w:sz="6" w:space="0" w:color="000000"/>
              <w:bottom w:val="single" w:sz="6" w:space="0" w:color="000000"/>
            </w:tcBorders>
            <w:shd w:val="clear" w:color="auto" w:fill="D9D9D9"/>
          </w:tcPr>
          <w:p w14:paraId="75AFE27C" w14:textId="77777777" w:rsidR="002D6804" w:rsidRDefault="002D6804" w:rsidP="002D6804">
            <w:pPr>
              <w:pStyle w:val="TableParagraph"/>
              <w:rPr>
                <w:rFonts w:ascii="Times New Roman"/>
                <w:sz w:val="12"/>
              </w:rPr>
            </w:pPr>
          </w:p>
        </w:tc>
        <w:tc>
          <w:tcPr>
            <w:tcW w:w="752" w:type="dxa"/>
            <w:tcBorders>
              <w:bottom w:val="single" w:sz="6" w:space="0" w:color="000000"/>
              <w:right w:val="single" w:sz="6" w:space="0" w:color="000000"/>
            </w:tcBorders>
            <w:shd w:val="clear" w:color="auto" w:fill="D9D9D9"/>
          </w:tcPr>
          <w:p w14:paraId="7790B34B" w14:textId="77777777" w:rsidR="002D6804" w:rsidRDefault="002D6804" w:rsidP="002D6804">
            <w:pPr>
              <w:pStyle w:val="TableParagraph"/>
              <w:rPr>
                <w:rFonts w:ascii="Times New Roman"/>
                <w:sz w:val="12"/>
              </w:rPr>
            </w:pPr>
          </w:p>
        </w:tc>
        <w:tc>
          <w:tcPr>
            <w:tcW w:w="990" w:type="dxa"/>
            <w:tcBorders>
              <w:left w:val="single" w:sz="6" w:space="0" w:color="000000"/>
              <w:bottom w:val="single" w:sz="6" w:space="0" w:color="000000"/>
            </w:tcBorders>
          </w:tcPr>
          <w:p w14:paraId="053B3504" w14:textId="77777777" w:rsidR="002D6804" w:rsidRDefault="002D6804" w:rsidP="002D6804">
            <w:pPr>
              <w:pStyle w:val="TableParagraph"/>
              <w:rPr>
                <w:rFonts w:ascii="Times New Roman"/>
                <w:sz w:val="12"/>
              </w:rPr>
            </w:pPr>
          </w:p>
        </w:tc>
        <w:tc>
          <w:tcPr>
            <w:tcW w:w="524" w:type="dxa"/>
            <w:tcBorders>
              <w:bottom w:val="single" w:sz="6" w:space="0" w:color="000000"/>
            </w:tcBorders>
          </w:tcPr>
          <w:p w14:paraId="4B6D9C2A" w14:textId="77777777" w:rsidR="002D6804" w:rsidRDefault="002D6804" w:rsidP="002D6804">
            <w:pPr>
              <w:pStyle w:val="TableParagraph"/>
              <w:rPr>
                <w:rFonts w:ascii="Times New Roman"/>
                <w:sz w:val="12"/>
              </w:rPr>
            </w:pPr>
          </w:p>
        </w:tc>
        <w:tc>
          <w:tcPr>
            <w:tcW w:w="745" w:type="dxa"/>
            <w:vMerge/>
            <w:tcBorders>
              <w:top w:val="nil"/>
              <w:bottom w:val="single" w:sz="6" w:space="0" w:color="000000"/>
            </w:tcBorders>
          </w:tcPr>
          <w:p w14:paraId="470CDC90" w14:textId="77777777" w:rsidR="002D6804" w:rsidRDefault="002D6804" w:rsidP="002D6804">
            <w:pPr>
              <w:rPr>
                <w:sz w:val="2"/>
                <w:szCs w:val="2"/>
              </w:rPr>
            </w:pPr>
          </w:p>
        </w:tc>
        <w:tc>
          <w:tcPr>
            <w:tcW w:w="819" w:type="dxa"/>
            <w:vMerge/>
            <w:tcBorders>
              <w:top w:val="nil"/>
              <w:bottom w:val="single" w:sz="6" w:space="0" w:color="000000"/>
              <w:right w:val="single" w:sz="6" w:space="0" w:color="000000"/>
            </w:tcBorders>
          </w:tcPr>
          <w:p w14:paraId="537649F7" w14:textId="77777777" w:rsidR="002D6804" w:rsidRDefault="002D6804" w:rsidP="002D6804">
            <w:pPr>
              <w:rPr>
                <w:sz w:val="2"/>
                <w:szCs w:val="2"/>
              </w:rPr>
            </w:pPr>
          </w:p>
        </w:tc>
        <w:tc>
          <w:tcPr>
            <w:tcW w:w="950" w:type="dxa"/>
            <w:vMerge/>
            <w:tcBorders>
              <w:top w:val="nil"/>
              <w:left w:val="single" w:sz="6" w:space="0" w:color="000000"/>
              <w:bottom w:val="single" w:sz="6" w:space="0" w:color="000000"/>
            </w:tcBorders>
          </w:tcPr>
          <w:p w14:paraId="7C0077C5" w14:textId="77777777" w:rsidR="002D6804" w:rsidRDefault="002D6804" w:rsidP="002D6804">
            <w:pPr>
              <w:rPr>
                <w:sz w:val="2"/>
                <w:szCs w:val="2"/>
              </w:rPr>
            </w:pPr>
          </w:p>
        </w:tc>
      </w:tr>
      <w:tr w:rsidR="002D6804" w14:paraId="6C494914" w14:textId="77777777" w:rsidTr="002D6804">
        <w:trPr>
          <w:trHeight w:val="380"/>
        </w:trPr>
        <w:tc>
          <w:tcPr>
            <w:tcW w:w="1105" w:type="dxa"/>
            <w:vMerge w:val="restart"/>
            <w:tcBorders>
              <w:top w:val="single" w:sz="6" w:space="0" w:color="000000"/>
            </w:tcBorders>
          </w:tcPr>
          <w:p w14:paraId="47ACCAA4" w14:textId="77777777" w:rsidR="002D6804" w:rsidRDefault="002D6804" w:rsidP="002D6804">
            <w:pPr>
              <w:pStyle w:val="TableParagraph"/>
              <w:rPr>
                <w:b/>
                <w:sz w:val="14"/>
              </w:rPr>
            </w:pPr>
          </w:p>
          <w:p w14:paraId="4AE6C1B4" w14:textId="77777777" w:rsidR="002D6804" w:rsidRDefault="002D6804" w:rsidP="002D6804">
            <w:pPr>
              <w:pStyle w:val="TableParagraph"/>
              <w:spacing w:before="4"/>
              <w:rPr>
                <w:b/>
                <w:sz w:val="13"/>
              </w:rPr>
            </w:pPr>
          </w:p>
          <w:p w14:paraId="11A20536" w14:textId="77777777" w:rsidR="002D6804" w:rsidRDefault="002D6804" w:rsidP="002D6804">
            <w:pPr>
              <w:pStyle w:val="TableParagraph"/>
              <w:spacing w:before="1"/>
              <w:ind w:left="314"/>
              <w:rPr>
                <w:sz w:val="12"/>
              </w:rPr>
            </w:pPr>
            <w:r>
              <w:rPr>
                <w:sz w:val="12"/>
              </w:rPr>
              <w:t>Financial</w:t>
            </w:r>
          </w:p>
        </w:tc>
        <w:tc>
          <w:tcPr>
            <w:tcW w:w="1056" w:type="dxa"/>
            <w:vMerge w:val="restart"/>
            <w:tcBorders>
              <w:top w:val="single" w:sz="6" w:space="0" w:color="000000"/>
            </w:tcBorders>
          </w:tcPr>
          <w:p w14:paraId="0FAEB4E6" w14:textId="77777777" w:rsidR="002D6804" w:rsidRDefault="002D6804" w:rsidP="002D6804">
            <w:pPr>
              <w:pStyle w:val="TableParagraph"/>
              <w:spacing w:before="77" w:line="271" w:lineRule="auto"/>
              <w:ind w:left="20" w:right="116"/>
              <w:rPr>
                <w:sz w:val="12"/>
              </w:rPr>
            </w:pPr>
            <w:r>
              <w:rPr>
                <w:sz w:val="12"/>
              </w:rPr>
              <w:t>2. Is there a risk that the project may exceed budget?</w:t>
            </w:r>
          </w:p>
        </w:tc>
        <w:tc>
          <w:tcPr>
            <w:tcW w:w="524" w:type="dxa"/>
            <w:vMerge w:val="restart"/>
            <w:tcBorders>
              <w:top w:val="single" w:sz="6" w:space="0" w:color="000000"/>
            </w:tcBorders>
          </w:tcPr>
          <w:p w14:paraId="3C5E8B96" w14:textId="77777777" w:rsidR="002D6804" w:rsidRDefault="002D6804" w:rsidP="002D6804">
            <w:pPr>
              <w:pStyle w:val="TableParagraph"/>
              <w:rPr>
                <w:rFonts w:ascii="Times New Roman"/>
                <w:sz w:val="12"/>
              </w:rPr>
            </w:pPr>
          </w:p>
        </w:tc>
        <w:tc>
          <w:tcPr>
            <w:tcW w:w="761" w:type="dxa"/>
            <w:tcBorders>
              <w:top w:val="single" w:sz="6" w:space="0" w:color="000000"/>
              <w:right w:val="single" w:sz="6" w:space="0" w:color="000000"/>
            </w:tcBorders>
          </w:tcPr>
          <w:p w14:paraId="121DBD88" w14:textId="77777777" w:rsidR="002D6804" w:rsidRDefault="002D6804" w:rsidP="002D6804">
            <w:pPr>
              <w:pStyle w:val="TableParagraph"/>
              <w:rPr>
                <w:rFonts w:ascii="Times New Roman"/>
                <w:sz w:val="12"/>
              </w:rPr>
            </w:pPr>
          </w:p>
        </w:tc>
        <w:tc>
          <w:tcPr>
            <w:tcW w:w="524" w:type="dxa"/>
            <w:tcBorders>
              <w:top w:val="single" w:sz="6" w:space="0" w:color="000000"/>
              <w:left w:val="single" w:sz="6" w:space="0" w:color="000000"/>
              <w:right w:val="single" w:sz="6" w:space="0" w:color="000000"/>
            </w:tcBorders>
          </w:tcPr>
          <w:p w14:paraId="19FCBB30" w14:textId="77777777" w:rsidR="002D6804" w:rsidRDefault="002D6804" w:rsidP="002D6804">
            <w:pPr>
              <w:pStyle w:val="TableParagraph"/>
              <w:rPr>
                <w:rFonts w:ascii="Times New Roman"/>
                <w:sz w:val="12"/>
              </w:rPr>
            </w:pPr>
          </w:p>
        </w:tc>
        <w:tc>
          <w:tcPr>
            <w:tcW w:w="589" w:type="dxa"/>
            <w:vMerge w:val="restart"/>
            <w:tcBorders>
              <w:top w:val="single" w:sz="6" w:space="0" w:color="000000"/>
              <w:left w:val="single" w:sz="6" w:space="0" w:color="000000"/>
            </w:tcBorders>
          </w:tcPr>
          <w:p w14:paraId="0FA5DD6F" w14:textId="77777777" w:rsidR="002D6804" w:rsidRDefault="002D6804" w:rsidP="002D6804">
            <w:pPr>
              <w:pStyle w:val="TableParagraph"/>
              <w:rPr>
                <w:rFonts w:ascii="Times New Roman"/>
                <w:sz w:val="12"/>
              </w:rPr>
            </w:pPr>
          </w:p>
        </w:tc>
        <w:tc>
          <w:tcPr>
            <w:tcW w:w="752" w:type="dxa"/>
            <w:vMerge w:val="restart"/>
            <w:tcBorders>
              <w:top w:val="single" w:sz="6" w:space="0" w:color="000000"/>
              <w:right w:val="single" w:sz="6" w:space="0" w:color="000000"/>
            </w:tcBorders>
          </w:tcPr>
          <w:p w14:paraId="692C9941" w14:textId="77777777" w:rsidR="002D6804" w:rsidRDefault="002D6804" w:rsidP="002D6804">
            <w:pPr>
              <w:pStyle w:val="TableParagraph"/>
              <w:rPr>
                <w:rFonts w:ascii="Times New Roman"/>
                <w:sz w:val="12"/>
              </w:rPr>
            </w:pPr>
          </w:p>
        </w:tc>
        <w:tc>
          <w:tcPr>
            <w:tcW w:w="990" w:type="dxa"/>
            <w:tcBorders>
              <w:top w:val="single" w:sz="6" w:space="0" w:color="000000"/>
              <w:left w:val="single" w:sz="6" w:space="0" w:color="000000"/>
            </w:tcBorders>
          </w:tcPr>
          <w:p w14:paraId="6F0039B6" w14:textId="77777777" w:rsidR="002D6804" w:rsidRDefault="002D6804" w:rsidP="002D6804">
            <w:pPr>
              <w:pStyle w:val="TableParagraph"/>
              <w:rPr>
                <w:rFonts w:ascii="Times New Roman"/>
                <w:sz w:val="12"/>
              </w:rPr>
            </w:pPr>
          </w:p>
        </w:tc>
        <w:tc>
          <w:tcPr>
            <w:tcW w:w="524" w:type="dxa"/>
            <w:tcBorders>
              <w:top w:val="single" w:sz="6" w:space="0" w:color="000000"/>
            </w:tcBorders>
          </w:tcPr>
          <w:p w14:paraId="76B2F8EB" w14:textId="77777777" w:rsidR="002D6804" w:rsidRDefault="002D6804" w:rsidP="002D6804">
            <w:pPr>
              <w:pStyle w:val="TableParagraph"/>
              <w:rPr>
                <w:rFonts w:ascii="Times New Roman"/>
                <w:sz w:val="12"/>
              </w:rPr>
            </w:pPr>
          </w:p>
        </w:tc>
        <w:tc>
          <w:tcPr>
            <w:tcW w:w="745" w:type="dxa"/>
            <w:vMerge w:val="restart"/>
            <w:tcBorders>
              <w:top w:val="single" w:sz="6" w:space="0" w:color="000000"/>
            </w:tcBorders>
          </w:tcPr>
          <w:p w14:paraId="4B044EAD" w14:textId="77777777" w:rsidR="002D6804" w:rsidRDefault="002D6804" w:rsidP="002D6804">
            <w:pPr>
              <w:pStyle w:val="TableParagraph"/>
              <w:rPr>
                <w:rFonts w:ascii="Times New Roman"/>
                <w:sz w:val="12"/>
              </w:rPr>
            </w:pPr>
          </w:p>
        </w:tc>
        <w:tc>
          <w:tcPr>
            <w:tcW w:w="819" w:type="dxa"/>
            <w:vMerge w:val="restart"/>
            <w:tcBorders>
              <w:top w:val="single" w:sz="6" w:space="0" w:color="000000"/>
              <w:right w:val="single" w:sz="6" w:space="0" w:color="000000"/>
            </w:tcBorders>
          </w:tcPr>
          <w:p w14:paraId="7F4B0DB3" w14:textId="77777777" w:rsidR="002D6804" w:rsidRDefault="002D6804" w:rsidP="002D6804">
            <w:pPr>
              <w:pStyle w:val="TableParagraph"/>
              <w:rPr>
                <w:rFonts w:ascii="Times New Roman"/>
                <w:sz w:val="12"/>
              </w:rPr>
            </w:pPr>
          </w:p>
        </w:tc>
        <w:tc>
          <w:tcPr>
            <w:tcW w:w="950" w:type="dxa"/>
            <w:vMerge w:val="restart"/>
            <w:tcBorders>
              <w:top w:val="single" w:sz="6" w:space="0" w:color="000000"/>
              <w:left w:val="single" w:sz="6" w:space="0" w:color="000000"/>
            </w:tcBorders>
          </w:tcPr>
          <w:p w14:paraId="7D597779" w14:textId="77777777" w:rsidR="002D6804" w:rsidRDefault="002D6804" w:rsidP="002D6804">
            <w:pPr>
              <w:pStyle w:val="TableParagraph"/>
              <w:rPr>
                <w:rFonts w:ascii="Times New Roman"/>
                <w:sz w:val="12"/>
              </w:rPr>
            </w:pPr>
          </w:p>
        </w:tc>
      </w:tr>
      <w:tr w:rsidR="002D6804" w14:paraId="29BE7DDE" w14:textId="77777777" w:rsidTr="002D6804">
        <w:trPr>
          <w:trHeight w:val="383"/>
        </w:trPr>
        <w:tc>
          <w:tcPr>
            <w:tcW w:w="1105" w:type="dxa"/>
            <w:vMerge/>
            <w:tcBorders>
              <w:top w:val="nil"/>
            </w:tcBorders>
          </w:tcPr>
          <w:p w14:paraId="5285624D" w14:textId="77777777" w:rsidR="002D6804" w:rsidRDefault="002D6804" w:rsidP="002D6804">
            <w:pPr>
              <w:rPr>
                <w:sz w:val="2"/>
                <w:szCs w:val="2"/>
              </w:rPr>
            </w:pPr>
          </w:p>
        </w:tc>
        <w:tc>
          <w:tcPr>
            <w:tcW w:w="1056" w:type="dxa"/>
            <w:vMerge/>
            <w:tcBorders>
              <w:top w:val="nil"/>
            </w:tcBorders>
          </w:tcPr>
          <w:p w14:paraId="6218FC50" w14:textId="77777777" w:rsidR="002D6804" w:rsidRDefault="002D6804" w:rsidP="002D6804">
            <w:pPr>
              <w:rPr>
                <w:sz w:val="2"/>
                <w:szCs w:val="2"/>
              </w:rPr>
            </w:pPr>
          </w:p>
        </w:tc>
        <w:tc>
          <w:tcPr>
            <w:tcW w:w="524" w:type="dxa"/>
            <w:vMerge/>
            <w:tcBorders>
              <w:top w:val="nil"/>
            </w:tcBorders>
          </w:tcPr>
          <w:p w14:paraId="739468D1" w14:textId="77777777" w:rsidR="002D6804" w:rsidRDefault="002D6804" w:rsidP="002D6804">
            <w:pPr>
              <w:rPr>
                <w:sz w:val="2"/>
                <w:szCs w:val="2"/>
              </w:rPr>
            </w:pPr>
          </w:p>
        </w:tc>
        <w:tc>
          <w:tcPr>
            <w:tcW w:w="761" w:type="dxa"/>
            <w:tcBorders>
              <w:right w:val="single" w:sz="6" w:space="0" w:color="000000"/>
            </w:tcBorders>
          </w:tcPr>
          <w:p w14:paraId="1F861F60" w14:textId="77777777" w:rsidR="002D6804" w:rsidRDefault="002D6804" w:rsidP="002D6804">
            <w:pPr>
              <w:pStyle w:val="TableParagraph"/>
              <w:rPr>
                <w:rFonts w:ascii="Times New Roman"/>
                <w:sz w:val="12"/>
              </w:rPr>
            </w:pPr>
          </w:p>
        </w:tc>
        <w:tc>
          <w:tcPr>
            <w:tcW w:w="524" w:type="dxa"/>
            <w:tcBorders>
              <w:left w:val="single" w:sz="6" w:space="0" w:color="000000"/>
              <w:right w:val="single" w:sz="6" w:space="0" w:color="000000"/>
            </w:tcBorders>
          </w:tcPr>
          <w:p w14:paraId="776E6CAE" w14:textId="77777777" w:rsidR="002D6804" w:rsidRDefault="002D6804" w:rsidP="002D6804">
            <w:pPr>
              <w:pStyle w:val="TableParagraph"/>
              <w:rPr>
                <w:rFonts w:ascii="Times New Roman"/>
                <w:sz w:val="12"/>
              </w:rPr>
            </w:pPr>
          </w:p>
        </w:tc>
        <w:tc>
          <w:tcPr>
            <w:tcW w:w="589" w:type="dxa"/>
            <w:vMerge/>
            <w:tcBorders>
              <w:top w:val="nil"/>
              <w:left w:val="single" w:sz="6" w:space="0" w:color="000000"/>
            </w:tcBorders>
          </w:tcPr>
          <w:p w14:paraId="624C4200" w14:textId="77777777" w:rsidR="002D6804" w:rsidRDefault="002D6804" w:rsidP="002D6804">
            <w:pPr>
              <w:rPr>
                <w:sz w:val="2"/>
                <w:szCs w:val="2"/>
              </w:rPr>
            </w:pPr>
          </w:p>
        </w:tc>
        <w:tc>
          <w:tcPr>
            <w:tcW w:w="752" w:type="dxa"/>
            <w:vMerge/>
            <w:tcBorders>
              <w:top w:val="nil"/>
              <w:right w:val="single" w:sz="6" w:space="0" w:color="000000"/>
            </w:tcBorders>
          </w:tcPr>
          <w:p w14:paraId="228CDE55" w14:textId="77777777" w:rsidR="002D6804" w:rsidRDefault="002D6804" w:rsidP="002D6804">
            <w:pPr>
              <w:rPr>
                <w:sz w:val="2"/>
                <w:szCs w:val="2"/>
              </w:rPr>
            </w:pPr>
          </w:p>
        </w:tc>
        <w:tc>
          <w:tcPr>
            <w:tcW w:w="990" w:type="dxa"/>
            <w:tcBorders>
              <w:left w:val="single" w:sz="6" w:space="0" w:color="000000"/>
            </w:tcBorders>
          </w:tcPr>
          <w:p w14:paraId="113A1EAD" w14:textId="77777777" w:rsidR="002D6804" w:rsidRDefault="002D6804" w:rsidP="002D6804">
            <w:pPr>
              <w:pStyle w:val="TableParagraph"/>
              <w:rPr>
                <w:rFonts w:ascii="Times New Roman"/>
                <w:sz w:val="12"/>
              </w:rPr>
            </w:pPr>
          </w:p>
        </w:tc>
        <w:tc>
          <w:tcPr>
            <w:tcW w:w="524" w:type="dxa"/>
          </w:tcPr>
          <w:p w14:paraId="7DB7845F" w14:textId="77777777" w:rsidR="002D6804" w:rsidRDefault="002D6804" w:rsidP="002D6804">
            <w:pPr>
              <w:pStyle w:val="TableParagraph"/>
              <w:rPr>
                <w:rFonts w:ascii="Times New Roman"/>
                <w:sz w:val="12"/>
              </w:rPr>
            </w:pPr>
          </w:p>
        </w:tc>
        <w:tc>
          <w:tcPr>
            <w:tcW w:w="745" w:type="dxa"/>
            <w:vMerge/>
            <w:tcBorders>
              <w:top w:val="nil"/>
            </w:tcBorders>
          </w:tcPr>
          <w:p w14:paraId="045E3331" w14:textId="77777777" w:rsidR="002D6804" w:rsidRDefault="002D6804" w:rsidP="002D6804">
            <w:pPr>
              <w:rPr>
                <w:sz w:val="2"/>
                <w:szCs w:val="2"/>
              </w:rPr>
            </w:pPr>
          </w:p>
        </w:tc>
        <w:tc>
          <w:tcPr>
            <w:tcW w:w="819" w:type="dxa"/>
            <w:vMerge/>
            <w:tcBorders>
              <w:top w:val="nil"/>
              <w:right w:val="single" w:sz="6" w:space="0" w:color="000000"/>
            </w:tcBorders>
          </w:tcPr>
          <w:p w14:paraId="2CDE89E3" w14:textId="77777777" w:rsidR="002D6804" w:rsidRDefault="002D6804" w:rsidP="002D6804">
            <w:pPr>
              <w:rPr>
                <w:sz w:val="2"/>
                <w:szCs w:val="2"/>
              </w:rPr>
            </w:pPr>
          </w:p>
        </w:tc>
        <w:tc>
          <w:tcPr>
            <w:tcW w:w="950" w:type="dxa"/>
            <w:vMerge/>
            <w:tcBorders>
              <w:top w:val="nil"/>
              <w:left w:val="single" w:sz="6" w:space="0" w:color="000000"/>
            </w:tcBorders>
          </w:tcPr>
          <w:p w14:paraId="705C8DF2" w14:textId="77777777" w:rsidR="002D6804" w:rsidRDefault="002D6804" w:rsidP="002D6804">
            <w:pPr>
              <w:rPr>
                <w:sz w:val="2"/>
                <w:szCs w:val="2"/>
              </w:rPr>
            </w:pPr>
          </w:p>
        </w:tc>
      </w:tr>
      <w:tr w:rsidR="002D6804" w14:paraId="26BA16ED" w14:textId="77777777" w:rsidTr="002D6804">
        <w:trPr>
          <w:trHeight w:val="380"/>
        </w:trPr>
        <w:tc>
          <w:tcPr>
            <w:tcW w:w="1105" w:type="dxa"/>
            <w:vMerge w:val="restart"/>
          </w:tcPr>
          <w:p w14:paraId="0BEF785B" w14:textId="77777777" w:rsidR="002D6804" w:rsidRDefault="002D6804" w:rsidP="002D6804">
            <w:pPr>
              <w:pStyle w:val="TableParagraph"/>
              <w:rPr>
                <w:b/>
                <w:sz w:val="14"/>
              </w:rPr>
            </w:pPr>
          </w:p>
          <w:p w14:paraId="7CE8F234" w14:textId="77777777" w:rsidR="002D6804" w:rsidRDefault="002D6804" w:rsidP="002D6804">
            <w:pPr>
              <w:pStyle w:val="TableParagraph"/>
              <w:spacing w:before="6"/>
              <w:rPr>
                <w:b/>
                <w:sz w:val="13"/>
              </w:rPr>
            </w:pPr>
          </w:p>
          <w:p w14:paraId="0FA0A91C" w14:textId="77777777" w:rsidR="002D6804" w:rsidRDefault="002D6804" w:rsidP="002D6804">
            <w:pPr>
              <w:pStyle w:val="TableParagraph"/>
              <w:spacing w:before="1"/>
              <w:ind w:left="404" w:right="383"/>
              <w:jc w:val="center"/>
              <w:rPr>
                <w:sz w:val="12"/>
              </w:rPr>
            </w:pPr>
            <w:r>
              <w:rPr>
                <w:sz w:val="12"/>
              </w:rPr>
              <w:t>Time</w:t>
            </w:r>
          </w:p>
        </w:tc>
        <w:tc>
          <w:tcPr>
            <w:tcW w:w="1056" w:type="dxa"/>
            <w:vMerge w:val="restart"/>
          </w:tcPr>
          <w:p w14:paraId="21844029" w14:textId="77777777" w:rsidR="002D6804" w:rsidRDefault="002D6804" w:rsidP="002D6804">
            <w:pPr>
              <w:pStyle w:val="TableParagraph"/>
              <w:spacing w:before="79" w:line="271" w:lineRule="auto"/>
              <w:ind w:left="20" w:right="116"/>
              <w:rPr>
                <w:sz w:val="12"/>
              </w:rPr>
            </w:pPr>
            <w:r>
              <w:rPr>
                <w:sz w:val="12"/>
              </w:rPr>
              <w:t>3. Is there a risk that the project deadline is exceeded?</w:t>
            </w:r>
          </w:p>
        </w:tc>
        <w:tc>
          <w:tcPr>
            <w:tcW w:w="524" w:type="dxa"/>
            <w:vMerge w:val="restart"/>
          </w:tcPr>
          <w:p w14:paraId="699E2614" w14:textId="77777777" w:rsidR="002D6804" w:rsidRDefault="002D6804" w:rsidP="002D6804">
            <w:pPr>
              <w:pStyle w:val="TableParagraph"/>
              <w:rPr>
                <w:rFonts w:ascii="Times New Roman"/>
                <w:sz w:val="12"/>
              </w:rPr>
            </w:pPr>
          </w:p>
        </w:tc>
        <w:tc>
          <w:tcPr>
            <w:tcW w:w="761" w:type="dxa"/>
            <w:tcBorders>
              <w:bottom w:val="single" w:sz="6" w:space="0" w:color="000000"/>
              <w:right w:val="single" w:sz="6" w:space="0" w:color="000000"/>
            </w:tcBorders>
          </w:tcPr>
          <w:p w14:paraId="7327CE84" w14:textId="77777777" w:rsidR="002D6804" w:rsidRDefault="002D6804" w:rsidP="002D6804">
            <w:pPr>
              <w:pStyle w:val="TableParagraph"/>
              <w:rPr>
                <w:rFonts w:ascii="Times New Roman"/>
                <w:sz w:val="12"/>
              </w:rPr>
            </w:pPr>
          </w:p>
        </w:tc>
        <w:tc>
          <w:tcPr>
            <w:tcW w:w="524" w:type="dxa"/>
            <w:tcBorders>
              <w:left w:val="single" w:sz="6" w:space="0" w:color="000000"/>
              <w:bottom w:val="single" w:sz="6" w:space="0" w:color="000000"/>
              <w:right w:val="single" w:sz="6" w:space="0" w:color="000000"/>
            </w:tcBorders>
          </w:tcPr>
          <w:p w14:paraId="592A8474" w14:textId="77777777" w:rsidR="002D6804" w:rsidRDefault="002D6804" w:rsidP="002D6804">
            <w:pPr>
              <w:pStyle w:val="TableParagraph"/>
              <w:rPr>
                <w:rFonts w:ascii="Times New Roman"/>
                <w:sz w:val="12"/>
              </w:rPr>
            </w:pPr>
          </w:p>
        </w:tc>
        <w:tc>
          <w:tcPr>
            <w:tcW w:w="589" w:type="dxa"/>
            <w:vMerge w:val="restart"/>
            <w:tcBorders>
              <w:left w:val="single" w:sz="6" w:space="0" w:color="000000"/>
            </w:tcBorders>
          </w:tcPr>
          <w:p w14:paraId="4F284290" w14:textId="77777777" w:rsidR="002D6804" w:rsidRDefault="002D6804" w:rsidP="002D6804">
            <w:pPr>
              <w:pStyle w:val="TableParagraph"/>
              <w:rPr>
                <w:rFonts w:ascii="Times New Roman"/>
                <w:sz w:val="12"/>
              </w:rPr>
            </w:pPr>
          </w:p>
        </w:tc>
        <w:tc>
          <w:tcPr>
            <w:tcW w:w="752" w:type="dxa"/>
            <w:vMerge w:val="restart"/>
            <w:tcBorders>
              <w:right w:val="single" w:sz="6" w:space="0" w:color="000000"/>
            </w:tcBorders>
          </w:tcPr>
          <w:p w14:paraId="568E61C8" w14:textId="77777777" w:rsidR="002D6804" w:rsidRDefault="002D6804" w:rsidP="002D6804">
            <w:pPr>
              <w:pStyle w:val="TableParagraph"/>
              <w:rPr>
                <w:rFonts w:ascii="Times New Roman"/>
                <w:sz w:val="12"/>
              </w:rPr>
            </w:pPr>
          </w:p>
        </w:tc>
        <w:tc>
          <w:tcPr>
            <w:tcW w:w="990" w:type="dxa"/>
            <w:tcBorders>
              <w:left w:val="single" w:sz="6" w:space="0" w:color="000000"/>
              <w:bottom w:val="single" w:sz="6" w:space="0" w:color="000000"/>
            </w:tcBorders>
          </w:tcPr>
          <w:p w14:paraId="2F4A1CD5" w14:textId="77777777" w:rsidR="002D6804" w:rsidRDefault="002D6804" w:rsidP="002D6804">
            <w:pPr>
              <w:pStyle w:val="TableParagraph"/>
              <w:rPr>
                <w:rFonts w:ascii="Times New Roman"/>
                <w:sz w:val="12"/>
              </w:rPr>
            </w:pPr>
          </w:p>
        </w:tc>
        <w:tc>
          <w:tcPr>
            <w:tcW w:w="524" w:type="dxa"/>
            <w:tcBorders>
              <w:bottom w:val="single" w:sz="6" w:space="0" w:color="000000"/>
            </w:tcBorders>
          </w:tcPr>
          <w:p w14:paraId="4940F5CA" w14:textId="77777777" w:rsidR="002D6804" w:rsidRDefault="002D6804" w:rsidP="002D6804">
            <w:pPr>
              <w:pStyle w:val="TableParagraph"/>
              <w:rPr>
                <w:rFonts w:ascii="Times New Roman"/>
                <w:sz w:val="12"/>
              </w:rPr>
            </w:pPr>
          </w:p>
        </w:tc>
        <w:tc>
          <w:tcPr>
            <w:tcW w:w="745" w:type="dxa"/>
            <w:vMerge w:val="restart"/>
          </w:tcPr>
          <w:p w14:paraId="5C221B20" w14:textId="77777777" w:rsidR="002D6804" w:rsidRDefault="002D6804" w:rsidP="002D6804">
            <w:pPr>
              <w:pStyle w:val="TableParagraph"/>
              <w:rPr>
                <w:rFonts w:ascii="Times New Roman"/>
                <w:sz w:val="12"/>
              </w:rPr>
            </w:pPr>
          </w:p>
        </w:tc>
        <w:tc>
          <w:tcPr>
            <w:tcW w:w="819" w:type="dxa"/>
            <w:vMerge w:val="restart"/>
            <w:tcBorders>
              <w:right w:val="single" w:sz="6" w:space="0" w:color="000000"/>
            </w:tcBorders>
          </w:tcPr>
          <w:p w14:paraId="2377852D" w14:textId="77777777" w:rsidR="002D6804" w:rsidRDefault="002D6804" w:rsidP="002D6804">
            <w:pPr>
              <w:pStyle w:val="TableParagraph"/>
              <w:rPr>
                <w:rFonts w:ascii="Times New Roman"/>
                <w:sz w:val="12"/>
              </w:rPr>
            </w:pPr>
          </w:p>
        </w:tc>
        <w:tc>
          <w:tcPr>
            <w:tcW w:w="950" w:type="dxa"/>
            <w:vMerge w:val="restart"/>
            <w:tcBorders>
              <w:left w:val="single" w:sz="6" w:space="0" w:color="000000"/>
            </w:tcBorders>
          </w:tcPr>
          <w:p w14:paraId="3B3CCE10" w14:textId="77777777" w:rsidR="002D6804" w:rsidRDefault="002D6804" w:rsidP="002D6804">
            <w:pPr>
              <w:pStyle w:val="TableParagraph"/>
              <w:rPr>
                <w:rFonts w:ascii="Times New Roman"/>
                <w:sz w:val="12"/>
              </w:rPr>
            </w:pPr>
          </w:p>
        </w:tc>
      </w:tr>
      <w:tr w:rsidR="002D6804" w14:paraId="44FD5EE6" w14:textId="77777777" w:rsidTr="002D6804">
        <w:trPr>
          <w:trHeight w:val="380"/>
        </w:trPr>
        <w:tc>
          <w:tcPr>
            <w:tcW w:w="1105" w:type="dxa"/>
            <w:vMerge/>
            <w:tcBorders>
              <w:top w:val="nil"/>
            </w:tcBorders>
          </w:tcPr>
          <w:p w14:paraId="4C0E5724" w14:textId="77777777" w:rsidR="002D6804" w:rsidRDefault="002D6804" w:rsidP="002D6804">
            <w:pPr>
              <w:rPr>
                <w:sz w:val="2"/>
                <w:szCs w:val="2"/>
              </w:rPr>
            </w:pPr>
          </w:p>
        </w:tc>
        <w:tc>
          <w:tcPr>
            <w:tcW w:w="1056" w:type="dxa"/>
            <w:vMerge/>
            <w:tcBorders>
              <w:top w:val="nil"/>
            </w:tcBorders>
          </w:tcPr>
          <w:p w14:paraId="5D31E022" w14:textId="77777777" w:rsidR="002D6804" w:rsidRDefault="002D6804" w:rsidP="002D6804">
            <w:pPr>
              <w:rPr>
                <w:sz w:val="2"/>
                <w:szCs w:val="2"/>
              </w:rPr>
            </w:pPr>
          </w:p>
        </w:tc>
        <w:tc>
          <w:tcPr>
            <w:tcW w:w="524" w:type="dxa"/>
            <w:vMerge/>
            <w:tcBorders>
              <w:top w:val="nil"/>
            </w:tcBorders>
          </w:tcPr>
          <w:p w14:paraId="5D70734F" w14:textId="77777777" w:rsidR="002D6804" w:rsidRDefault="002D6804" w:rsidP="002D6804">
            <w:pPr>
              <w:rPr>
                <w:sz w:val="2"/>
                <w:szCs w:val="2"/>
              </w:rPr>
            </w:pPr>
          </w:p>
        </w:tc>
        <w:tc>
          <w:tcPr>
            <w:tcW w:w="761" w:type="dxa"/>
            <w:tcBorders>
              <w:top w:val="single" w:sz="6" w:space="0" w:color="000000"/>
              <w:right w:val="single" w:sz="6" w:space="0" w:color="000000"/>
            </w:tcBorders>
          </w:tcPr>
          <w:p w14:paraId="3E047A50" w14:textId="77777777" w:rsidR="002D6804" w:rsidRDefault="002D6804" w:rsidP="002D6804">
            <w:pPr>
              <w:pStyle w:val="TableParagraph"/>
              <w:rPr>
                <w:rFonts w:ascii="Times New Roman"/>
                <w:sz w:val="12"/>
              </w:rPr>
            </w:pPr>
          </w:p>
        </w:tc>
        <w:tc>
          <w:tcPr>
            <w:tcW w:w="524" w:type="dxa"/>
            <w:tcBorders>
              <w:top w:val="single" w:sz="6" w:space="0" w:color="000000"/>
              <w:left w:val="single" w:sz="6" w:space="0" w:color="000000"/>
              <w:right w:val="single" w:sz="6" w:space="0" w:color="000000"/>
            </w:tcBorders>
          </w:tcPr>
          <w:p w14:paraId="4CD51605" w14:textId="77777777" w:rsidR="002D6804" w:rsidRDefault="002D6804" w:rsidP="002D6804">
            <w:pPr>
              <w:pStyle w:val="TableParagraph"/>
              <w:rPr>
                <w:rFonts w:ascii="Times New Roman"/>
                <w:sz w:val="12"/>
              </w:rPr>
            </w:pPr>
          </w:p>
        </w:tc>
        <w:tc>
          <w:tcPr>
            <w:tcW w:w="589" w:type="dxa"/>
            <w:vMerge/>
            <w:tcBorders>
              <w:top w:val="nil"/>
              <w:left w:val="single" w:sz="6" w:space="0" w:color="000000"/>
            </w:tcBorders>
          </w:tcPr>
          <w:p w14:paraId="25BA982F" w14:textId="77777777" w:rsidR="002D6804" w:rsidRDefault="002D6804" w:rsidP="002D6804">
            <w:pPr>
              <w:rPr>
                <w:sz w:val="2"/>
                <w:szCs w:val="2"/>
              </w:rPr>
            </w:pPr>
          </w:p>
        </w:tc>
        <w:tc>
          <w:tcPr>
            <w:tcW w:w="752" w:type="dxa"/>
            <w:vMerge/>
            <w:tcBorders>
              <w:top w:val="nil"/>
              <w:right w:val="single" w:sz="6" w:space="0" w:color="000000"/>
            </w:tcBorders>
          </w:tcPr>
          <w:p w14:paraId="026CF8CD" w14:textId="77777777" w:rsidR="002D6804" w:rsidRDefault="002D6804" w:rsidP="002D6804">
            <w:pPr>
              <w:rPr>
                <w:sz w:val="2"/>
                <w:szCs w:val="2"/>
              </w:rPr>
            </w:pPr>
          </w:p>
        </w:tc>
        <w:tc>
          <w:tcPr>
            <w:tcW w:w="990" w:type="dxa"/>
            <w:tcBorders>
              <w:top w:val="single" w:sz="6" w:space="0" w:color="000000"/>
              <w:left w:val="single" w:sz="6" w:space="0" w:color="000000"/>
            </w:tcBorders>
          </w:tcPr>
          <w:p w14:paraId="29918D04" w14:textId="77777777" w:rsidR="002D6804" w:rsidRDefault="002D6804" w:rsidP="002D6804">
            <w:pPr>
              <w:pStyle w:val="TableParagraph"/>
              <w:rPr>
                <w:rFonts w:ascii="Times New Roman"/>
                <w:sz w:val="12"/>
              </w:rPr>
            </w:pPr>
          </w:p>
        </w:tc>
        <w:tc>
          <w:tcPr>
            <w:tcW w:w="524" w:type="dxa"/>
            <w:tcBorders>
              <w:top w:val="single" w:sz="6" w:space="0" w:color="000000"/>
            </w:tcBorders>
          </w:tcPr>
          <w:p w14:paraId="4FDBA34D" w14:textId="77777777" w:rsidR="002D6804" w:rsidRDefault="002D6804" w:rsidP="002D6804">
            <w:pPr>
              <w:pStyle w:val="TableParagraph"/>
              <w:rPr>
                <w:rFonts w:ascii="Times New Roman"/>
                <w:sz w:val="12"/>
              </w:rPr>
            </w:pPr>
          </w:p>
        </w:tc>
        <w:tc>
          <w:tcPr>
            <w:tcW w:w="745" w:type="dxa"/>
            <w:vMerge/>
            <w:tcBorders>
              <w:top w:val="nil"/>
            </w:tcBorders>
          </w:tcPr>
          <w:p w14:paraId="3814B171" w14:textId="77777777" w:rsidR="002D6804" w:rsidRDefault="002D6804" w:rsidP="002D6804">
            <w:pPr>
              <w:rPr>
                <w:sz w:val="2"/>
                <w:szCs w:val="2"/>
              </w:rPr>
            </w:pPr>
          </w:p>
        </w:tc>
        <w:tc>
          <w:tcPr>
            <w:tcW w:w="819" w:type="dxa"/>
            <w:vMerge/>
            <w:tcBorders>
              <w:top w:val="nil"/>
              <w:right w:val="single" w:sz="6" w:space="0" w:color="000000"/>
            </w:tcBorders>
          </w:tcPr>
          <w:p w14:paraId="0CE8082E" w14:textId="77777777" w:rsidR="002D6804" w:rsidRDefault="002D6804" w:rsidP="002D6804">
            <w:pPr>
              <w:rPr>
                <w:sz w:val="2"/>
                <w:szCs w:val="2"/>
              </w:rPr>
            </w:pPr>
          </w:p>
        </w:tc>
        <w:tc>
          <w:tcPr>
            <w:tcW w:w="950" w:type="dxa"/>
            <w:vMerge/>
            <w:tcBorders>
              <w:top w:val="nil"/>
              <w:left w:val="single" w:sz="6" w:space="0" w:color="000000"/>
            </w:tcBorders>
          </w:tcPr>
          <w:p w14:paraId="3C8E952B" w14:textId="77777777" w:rsidR="002D6804" w:rsidRDefault="002D6804" w:rsidP="002D6804">
            <w:pPr>
              <w:rPr>
                <w:sz w:val="2"/>
                <w:szCs w:val="2"/>
              </w:rPr>
            </w:pPr>
          </w:p>
        </w:tc>
      </w:tr>
      <w:tr w:rsidR="002D6804" w14:paraId="1E96EFAC" w14:textId="77777777" w:rsidTr="002D6804">
        <w:trPr>
          <w:trHeight w:val="381"/>
        </w:trPr>
        <w:tc>
          <w:tcPr>
            <w:tcW w:w="1105" w:type="dxa"/>
            <w:vMerge w:val="restart"/>
            <w:tcBorders>
              <w:bottom w:val="single" w:sz="6" w:space="0" w:color="000000"/>
            </w:tcBorders>
          </w:tcPr>
          <w:p w14:paraId="472E73F2" w14:textId="77777777" w:rsidR="002D6804" w:rsidRDefault="002D6804" w:rsidP="002D6804">
            <w:pPr>
              <w:pStyle w:val="TableParagraph"/>
              <w:rPr>
                <w:b/>
                <w:sz w:val="14"/>
              </w:rPr>
            </w:pPr>
          </w:p>
          <w:p w14:paraId="5C22F550" w14:textId="77777777" w:rsidR="002D6804" w:rsidRDefault="002D6804" w:rsidP="002D6804">
            <w:pPr>
              <w:pStyle w:val="TableParagraph"/>
              <w:spacing w:before="8"/>
              <w:rPr>
                <w:b/>
                <w:sz w:val="13"/>
              </w:rPr>
            </w:pPr>
          </w:p>
          <w:p w14:paraId="4429D534" w14:textId="77777777" w:rsidR="002D6804" w:rsidRDefault="002D6804" w:rsidP="002D6804">
            <w:pPr>
              <w:pStyle w:val="TableParagraph"/>
              <w:ind w:left="151"/>
              <w:rPr>
                <w:sz w:val="12"/>
              </w:rPr>
            </w:pPr>
            <w:r>
              <w:rPr>
                <w:sz w:val="12"/>
              </w:rPr>
              <w:t>Scope / Quality</w:t>
            </w:r>
          </w:p>
        </w:tc>
        <w:tc>
          <w:tcPr>
            <w:tcW w:w="1056" w:type="dxa"/>
            <w:vMerge w:val="restart"/>
            <w:tcBorders>
              <w:bottom w:val="single" w:sz="6" w:space="0" w:color="000000"/>
            </w:tcBorders>
          </w:tcPr>
          <w:p w14:paraId="13E50F40" w14:textId="77777777" w:rsidR="002D6804" w:rsidRDefault="002D6804" w:rsidP="002D6804">
            <w:pPr>
              <w:pStyle w:val="TableParagraph"/>
              <w:spacing w:before="80" w:line="271" w:lineRule="auto"/>
              <w:ind w:left="20" w:right="116"/>
              <w:rPr>
                <w:sz w:val="12"/>
              </w:rPr>
            </w:pPr>
            <w:r>
              <w:rPr>
                <w:sz w:val="12"/>
              </w:rPr>
              <w:t>4. Is there a risk that the project scope or quality may vary?</w:t>
            </w:r>
          </w:p>
        </w:tc>
        <w:tc>
          <w:tcPr>
            <w:tcW w:w="524" w:type="dxa"/>
            <w:vMerge w:val="restart"/>
            <w:tcBorders>
              <w:bottom w:val="single" w:sz="6" w:space="0" w:color="000000"/>
            </w:tcBorders>
          </w:tcPr>
          <w:p w14:paraId="5586B82E" w14:textId="77777777" w:rsidR="002D6804" w:rsidRDefault="002D6804" w:rsidP="002D6804">
            <w:pPr>
              <w:pStyle w:val="TableParagraph"/>
              <w:rPr>
                <w:rFonts w:ascii="Times New Roman"/>
                <w:sz w:val="12"/>
              </w:rPr>
            </w:pPr>
          </w:p>
        </w:tc>
        <w:tc>
          <w:tcPr>
            <w:tcW w:w="761" w:type="dxa"/>
            <w:tcBorders>
              <w:right w:val="single" w:sz="6" w:space="0" w:color="000000"/>
            </w:tcBorders>
          </w:tcPr>
          <w:p w14:paraId="2C54A3D0" w14:textId="77777777" w:rsidR="002D6804" w:rsidRDefault="002D6804" w:rsidP="002D6804">
            <w:pPr>
              <w:pStyle w:val="TableParagraph"/>
              <w:rPr>
                <w:rFonts w:ascii="Times New Roman"/>
                <w:sz w:val="12"/>
              </w:rPr>
            </w:pPr>
          </w:p>
        </w:tc>
        <w:tc>
          <w:tcPr>
            <w:tcW w:w="524" w:type="dxa"/>
            <w:tcBorders>
              <w:left w:val="single" w:sz="6" w:space="0" w:color="000000"/>
              <w:right w:val="single" w:sz="6" w:space="0" w:color="000000"/>
            </w:tcBorders>
          </w:tcPr>
          <w:p w14:paraId="461D3A01" w14:textId="77777777" w:rsidR="002D6804" w:rsidRDefault="002D6804" w:rsidP="002D6804">
            <w:pPr>
              <w:pStyle w:val="TableParagraph"/>
              <w:rPr>
                <w:rFonts w:ascii="Times New Roman"/>
                <w:sz w:val="12"/>
              </w:rPr>
            </w:pPr>
          </w:p>
        </w:tc>
        <w:tc>
          <w:tcPr>
            <w:tcW w:w="589" w:type="dxa"/>
            <w:vMerge w:val="restart"/>
            <w:tcBorders>
              <w:left w:val="single" w:sz="6" w:space="0" w:color="000000"/>
              <w:bottom w:val="single" w:sz="6" w:space="0" w:color="000000"/>
            </w:tcBorders>
          </w:tcPr>
          <w:p w14:paraId="6A47113A" w14:textId="77777777" w:rsidR="002D6804" w:rsidRDefault="002D6804" w:rsidP="002D6804">
            <w:pPr>
              <w:pStyle w:val="TableParagraph"/>
              <w:rPr>
                <w:rFonts w:ascii="Times New Roman"/>
                <w:sz w:val="12"/>
              </w:rPr>
            </w:pPr>
          </w:p>
        </w:tc>
        <w:tc>
          <w:tcPr>
            <w:tcW w:w="752" w:type="dxa"/>
            <w:vMerge w:val="restart"/>
            <w:tcBorders>
              <w:bottom w:val="single" w:sz="6" w:space="0" w:color="000000"/>
              <w:right w:val="single" w:sz="6" w:space="0" w:color="000000"/>
            </w:tcBorders>
          </w:tcPr>
          <w:p w14:paraId="436CC83E" w14:textId="77777777" w:rsidR="002D6804" w:rsidRDefault="002D6804" w:rsidP="002D6804">
            <w:pPr>
              <w:pStyle w:val="TableParagraph"/>
              <w:rPr>
                <w:rFonts w:ascii="Times New Roman"/>
                <w:sz w:val="12"/>
              </w:rPr>
            </w:pPr>
          </w:p>
        </w:tc>
        <w:tc>
          <w:tcPr>
            <w:tcW w:w="990" w:type="dxa"/>
            <w:tcBorders>
              <w:left w:val="single" w:sz="6" w:space="0" w:color="000000"/>
            </w:tcBorders>
          </w:tcPr>
          <w:p w14:paraId="3F4ADB20" w14:textId="77777777" w:rsidR="002D6804" w:rsidRDefault="002D6804" w:rsidP="002D6804">
            <w:pPr>
              <w:pStyle w:val="TableParagraph"/>
              <w:rPr>
                <w:rFonts w:ascii="Times New Roman"/>
                <w:sz w:val="12"/>
              </w:rPr>
            </w:pPr>
          </w:p>
        </w:tc>
        <w:tc>
          <w:tcPr>
            <w:tcW w:w="524" w:type="dxa"/>
          </w:tcPr>
          <w:p w14:paraId="35C523FB" w14:textId="77777777" w:rsidR="002D6804" w:rsidRDefault="002D6804" w:rsidP="002D6804">
            <w:pPr>
              <w:pStyle w:val="TableParagraph"/>
              <w:rPr>
                <w:rFonts w:ascii="Times New Roman"/>
                <w:sz w:val="12"/>
              </w:rPr>
            </w:pPr>
          </w:p>
        </w:tc>
        <w:tc>
          <w:tcPr>
            <w:tcW w:w="745" w:type="dxa"/>
            <w:vMerge w:val="restart"/>
            <w:tcBorders>
              <w:bottom w:val="single" w:sz="6" w:space="0" w:color="000000"/>
            </w:tcBorders>
          </w:tcPr>
          <w:p w14:paraId="6702275A" w14:textId="77777777" w:rsidR="002D6804" w:rsidRDefault="002D6804" w:rsidP="002D6804">
            <w:pPr>
              <w:pStyle w:val="TableParagraph"/>
              <w:rPr>
                <w:rFonts w:ascii="Times New Roman"/>
                <w:sz w:val="12"/>
              </w:rPr>
            </w:pPr>
          </w:p>
        </w:tc>
        <w:tc>
          <w:tcPr>
            <w:tcW w:w="819" w:type="dxa"/>
            <w:vMerge w:val="restart"/>
            <w:tcBorders>
              <w:bottom w:val="single" w:sz="6" w:space="0" w:color="000000"/>
              <w:right w:val="single" w:sz="6" w:space="0" w:color="000000"/>
            </w:tcBorders>
          </w:tcPr>
          <w:p w14:paraId="58AC995C" w14:textId="77777777" w:rsidR="002D6804" w:rsidRDefault="002D6804" w:rsidP="002D6804">
            <w:pPr>
              <w:pStyle w:val="TableParagraph"/>
              <w:rPr>
                <w:rFonts w:ascii="Times New Roman"/>
                <w:sz w:val="12"/>
              </w:rPr>
            </w:pPr>
          </w:p>
        </w:tc>
        <w:tc>
          <w:tcPr>
            <w:tcW w:w="950" w:type="dxa"/>
            <w:vMerge w:val="restart"/>
            <w:tcBorders>
              <w:left w:val="single" w:sz="6" w:space="0" w:color="000000"/>
              <w:bottom w:val="single" w:sz="6" w:space="0" w:color="000000"/>
            </w:tcBorders>
          </w:tcPr>
          <w:p w14:paraId="70844D50" w14:textId="77777777" w:rsidR="002D6804" w:rsidRDefault="002D6804" w:rsidP="002D6804">
            <w:pPr>
              <w:pStyle w:val="TableParagraph"/>
              <w:rPr>
                <w:rFonts w:ascii="Times New Roman"/>
                <w:sz w:val="12"/>
              </w:rPr>
            </w:pPr>
          </w:p>
        </w:tc>
      </w:tr>
      <w:tr w:rsidR="002D6804" w14:paraId="6B8E75AF" w14:textId="77777777" w:rsidTr="002D6804">
        <w:trPr>
          <w:trHeight w:val="377"/>
        </w:trPr>
        <w:tc>
          <w:tcPr>
            <w:tcW w:w="1105" w:type="dxa"/>
            <w:vMerge/>
            <w:tcBorders>
              <w:top w:val="nil"/>
              <w:bottom w:val="single" w:sz="6" w:space="0" w:color="000000"/>
            </w:tcBorders>
          </w:tcPr>
          <w:p w14:paraId="1F756BD5" w14:textId="77777777" w:rsidR="002D6804" w:rsidRDefault="002D6804" w:rsidP="002D6804">
            <w:pPr>
              <w:rPr>
                <w:sz w:val="2"/>
                <w:szCs w:val="2"/>
              </w:rPr>
            </w:pPr>
          </w:p>
        </w:tc>
        <w:tc>
          <w:tcPr>
            <w:tcW w:w="1056" w:type="dxa"/>
            <w:vMerge/>
            <w:tcBorders>
              <w:top w:val="nil"/>
              <w:bottom w:val="single" w:sz="6" w:space="0" w:color="000000"/>
            </w:tcBorders>
          </w:tcPr>
          <w:p w14:paraId="76B695C1" w14:textId="77777777" w:rsidR="002D6804" w:rsidRDefault="002D6804" w:rsidP="002D6804">
            <w:pPr>
              <w:rPr>
                <w:sz w:val="2"/>
                <w:szCs w:val="2"/>
              </w:rPr>
            </w:pPr>
          </w:p>
        </w:tc>
        <w:tc>
          <w:tcPr>
            <w:tcW w:w="524" w:type="dxa"/>
            <w:vMerge/>
            <w:tcBorders>
              <w:top w:val="nil"/>
              <w:bottom w:val="single" w:sz="6" w:space="0" w:color="000000"/>
            </w:tcBorders>
          </w:tcPr>
          <w:p w14:paraId="559C02F9" w14:textId="77777777" w:rsidR="002D6804" w:rsidRDefault="002D6804" w:rsidP="002D6804">
            <w:pPr>
              <w:rPr>
                <w:sz w:val="2"/>
                <w:szCs w:val="2"/>
              </w:rPr>
            </w:pPr>
          </w:p>
        </w:tc>
        <w:tc>
          <w:tcPr>
            <w:tcW w:w="761" w:type="dxa"/>
            <w:tcBorders>
              <w:bottom w:val="single" w:sz="6" w:space="0" w:color="000000"/>
              <w:right w:val="single" w:sz="6" w:space="0" w:color="000000"/>
            </w:tcBorders>
          </w:tcPr>
          <w:p w14:paraId="5D2B0005" w14:textId="77777777" w:rsidR="002D6804" w:rsidRDefault="002D6804" w:rsidP="002D6804">
            <w:pPr>
              <w:pStyle w:val="TableParagraph"/>
              <w:rPr>
                <w:rFonts w:ascii="Times New Roman"/>
                <w:sz w:val="12"/>
              </w:rPr>
            </w:pPr>
          </w:p>
        </w:tc>
        <w:tc>
          <w:tcPr>
            <w:tcW w:w="524" w:type="dxa"/>
            <w:tcBorders>
              <w:left w:val="single" w:sz="6" w:space="0" w:color="000000"/>
              <w:bottom w:val="single" w:sz="6" w:space="0" w:color="000000"/>
              <w:right w:val="single" w:sz="6" w:space="0" w:color="000000"/>
            </w:tcBorders>
          </w:tcPr>
          <w:p w14:paraId="55AC996E" w14:textId="77777777" w:rsidR="002D6804" w:rsidRDefault="002D6804" w:rsidP="002D6804">
            <w:pPr>
              <w:pStyle w:val="TableParagraph"/>
              <w:rPr>
                <w:rFonts w:ascii="Times New Roman"/>
                <w:sz w:val="12"/>
              </w:rPr>
            </w:pPr>
          </w:p>
        </w:tc>
        <w:tc>
          <w:tcPr>
            <w:tcW w:w="589" w:type="dxa"/>
            <w:vMerge/>
            <w:tcBorders>
              <w:top w:val="nil"/>
              <w:left w:val="single" w:sz="6" w:space="0" w:color="000000"/>
              <w:bottom w:val="single" w:sz="6" w:space="0" w:color="000000"/>
            </w:tcBorders>
          </w:tcPr>
          <w:p w14:paraId="5986F417" w14:textId="77777777" w:rsidR="002D6804" w:rsidRDefault="002D6804" w:rsidP="002D6804">
            <w:pPr>
              <w:rPr>
                <w:sz w:val="2"/>
                <w:szCs w:val="2"/>
              </w:rPr>
            </w:pPr>
          </w:p>
        </w:tc>
        <w:tc>
          <w:tcPr>
            <w:tcW w:w="752" w:type="dxa"/>
            <w:vMerge/>
            <w:tcBorders>
              <w:top w:val="nil"/>
              <w:bottom w:val="single" w:sz="6" w:space="0" w:color="000000"/>
              <w:right w:val="single" w:sz="6" w:space="0" w:color="000000"/>
            </w:tcBorders>
          </w:tcPr>
          <w:p w14:paraId="294EFC1C" w14:textId="77777777" w:rsidR="002D6804" w:rsidRDefault="002D6804" w:rsidP="002D6804">
            <w:pPr>
              <w:rPr>
                <w:sz w:val="2"/>
                <w:szCs w:val="2"/>
              </w:rPr>
            </w:pPr>
          </w:p>
        </w:tc>
        <w:tc>
          <w:tcPr>
            <w:tcW w:w="990" w:type="dxa"/>
            <w:tcBorders>
              <w:left w:val="single" w:sz="6" w:space="0" w:color="000000"/>
              <w:bottom w:val="single" w:sz="6" w:space="0" w:color="000000"/>
            </w:tcBorders>
          </w:tcPr>
          <w:p w14:paraId="562A8B46" w14:textId="77777777" w:rsidR="002D6804" w:rsidRDefault="002D6804" w:rsidP="002D6804">
            <w:pPr>
              <w:pStyle w:val="TableParagraph"/>
              <w:rPr>
                <w:rFonts w:ascii="Times New Roman"/>
                <w:sz w:val="12"/>
              </w:rPr>
            </w:pPr>
          </w:p>
        </w:tc>
        <w:tc>
          <w:tcPr>
            <w:tcW w:w="524" w:type="dxa"/>
            <w:tcBorders>
              <w:bottom w:val="single" w:sz="6" w:space="0" w:color="000000"/>
            </w:tcBorders>
          </w:tcPr>
          <w:p w14:paraId="392DD2BF" w14:textId="77777777" w:rsidR="002D6804" w:rsidRDefault="002D6804" w:rsidP="002D6804">
            <w:pPr>
              <w:pStyle w:val="TableParagraph"/>
              <w:rPr>
                <w:rFonts w:ascii="Times New Roman"/>
                <w:sz w:val="12"/>
              </w:rPr>
            </w:pPr>
          </w:p>
        </w:tc>
        <w:tc>
          <w:tcPr>
            <w:tcW w:w="745" w:type="dxa"/>
            <w:vMerge/>
            <w:tcBorders>
              <w:top w:val="nil"/>
              <w:bottom w:val="single" w:sz="6" w:space="0" w:color="000000"/>
            </w:tcBorders>
          </w:tcPr>
          <w:p w14:paraId="2DFACCD1" w14:textId="77777777" w:rsidR="002D6804" w:rsidRDefault="002D6804" w:rsidP="002D6804">
            <w:pPr>
              <w:rPr>
                <w:sz w:val="2"/>
                <w:szCs w:val="2"/>
              </w:rPr>
            </w:pPr>
          </w:p>
        </w:tc>
        <w:tc>
          <w:tcPr>
            <w:tcW w:w="819" w:type="dxa"/>
            <w:vMerge/>
            <w:tcBorders>
              <w:top w:val="nil"/>
              <w:bottom w:val="single" w:sz="6" w:space="0" w:color="000000"/>
              <w:right w:val="single" w:sz="6" w:space="0" w:color="000000"/>
            </w:tcBorders>
          </w:tcPr>
          <w:p w14:paraId="09904931" w14:textId="77777777" w:rsidR="002D6804" w:rsidRDefault="002D6804" w:rsidP="002D6804">
            <w:pPr>
              <w:rPr>
                <w:sz w:val="2"/>
                <w:szCs w:val="2"/>
              </w:rPr>
            </w:pPr>
          </w:p>
        </w:tc>
        <w:tc>
          <w:tcPr>
            <w:tcW w:w="950" w:type="dxa"/>
            <w:vMerge/>
            <w:tcBorders>
              <w:top w:val="nil"/>
              <w:left w:val="single" w:sz="6" w:space="0" w:color="000000"/>
              <w:bottom w:val="single" w:sz="6" w:space="0" w:color="000000"/>
            </w:tcBorders>
          </w:tcPr>
          <w:p w14:paraId="7F54996A" w14:textId="77777777" w:rsidR="002D6804" w:rsidRDefault="002D6804" w:rsidP="002D6804">
            <w:pPr>
              <w:rPr>
                <w:sz w:val="2"/>
                <w:szCs w:val="2"/>
              </w:rPr>
            </w:pPr>
          </w:p>
        </w:tc>
      </w:tr>
      <w:tr w:rsidR="002D6804" w14:paraId="567F4F92" w14:textId="77777777" w:rsidTr="002D6804">
        <w:trPr>
          <w:trHeight w:val="380"/>
        </w:trPr>
        <w:tc>
          <w:tcPr>
            <w:tcW w:w="1105" w:type="dxa"/>
            <w:vMerge w:val="restart"/>
            <w:tcBorders>
              <w:top w:val="single" w:sz="6" w:space="0" w:color="000000"/>
            </w:tcBorders>
          </w:tcPr>
          <w:p w14:paraId="5345B648" w14:textId="77777777" w:rsidR="002D6804" w:rsidRDefault="002D6804" w:rsidP="002D6804">
            <w:pPr>
              <w:pStyle w:val="TableParagraph"/>
              <w:rPr>
                <w:b/>
                <w:sz w:val="14"/>
              </w:rPr>
            </w:pPr>
          </w:p>
          <w:p w14:paraId="346EBDCD" w14:textId="77777777" w:rsidR="002D6804" w:rsidRDefault="002D6804" w:rsidP="002D6804">
            <w:pPr>
              <w:pStyle w:val="TableParagraph"/>
              <w:spacing w:before="5"/>
              <w:rPr>
                <w:b/>
                <w:sz w:val="13"/>
              </w:rPr>
            </w:pPr>
          </w:p>
          <w:p w14:paraId="17742C8E" w14:textId="77777777" w:rsidR="002D6804" w:rsidRDefault="002D6804" w:rsidP="002D6804">
            <w:pPr>
              <w:pStyle w:val="TableParagraph"/>
              <w:ind w:left="216"/>
              <w:rPr>
                <w:sz w:val="12"/>
              </w:rPr>
            </w:pPr>
            <w:r>
              <w:rPr>
                <w:sz w:val="12"/>
              </w:rPr>
              <w:t>Environment</w:t>
            </w:r>
          </w:p>
        </w:tc>
        <w:tc>
          <w:tcPr>
            <w:tcW w:w="1056" w:type="dxa"/>
            <w:vMerge w:val="restart"/>
            <w:tcBorders>
              <w:top w:val="single" w:sz="6" w:space="0" w:color="000000"/>
            </w:tcBorders>
          </w:tcPr>
          <w:p w14:paraId="5EDDF736" w14:textId="77777777" w:rsidR="002D6804" w:rsidRDefault="002D6804" w:rsidP="002D6804">
            <w:pPr>
              <w:pStyle w:val="TableParagraph"/>
              <w:spacing w:before="4" w:line="271" w:lineRule="auto"/>
              <w:ind w:left="20" w:right="116"/>
              <w:rPr>
                <w:sz w:val="12"/>
              </w:rPr>
            </w:pPr>
            <w:r>
              <w:rPr>
                <w:sz w:val="12"/>
              </w:rPr>
              <w:t>5. Is there a risk that the project may impact the natural</w:t>
            </w:r>
          </w:p>
          <w:p w14:paraId="0461B23B" w14:textId="77777777" w:rsidR="002D6804" w:rsidRDefault="002D6804" w:rsidP="002D6804">
            <w:pPr>
              <w:pStyle w:val="TableParagraph"/>
              <w:spacing w:line="126" w:lineRule="exact"/>
              <w:ind w:left="20"/>
              <w:rPr>
                <w:sz w:val="12"/>
              </w:rPr>
            </w:pPr>
            <w:r>
              <w:rPr>
                <w:sz w:val="12"/>
              </w:rPr>
              <w:t>environment?</w:t>
            </w:r>
          </w:p>
        </w:tc>
        <w:tc>
          <w:tcPr>
            <w:tcW w:w="524" w:type="dxa"/>
            <w:vMerge w:val="restart"/>
            <w:tcBorders>
              <w:top w:val="single" w:sz="6" w:space="0" w:color="000000"/>
            </w:tcBorders>
          </w:tcPr>
          <w:p w14:paraId="32FF2C38" w14:textId="77777777" w:rsidR="002D6804" w:rsidRDefault="002D6804" w:rsidP="002D6804">
            <w:pPr>
              <w:pStyle w:val="TableParagraph"/>
              <w:rPr>
                <w:rFonts w:ascii="Times New Roman"/>
                <w:sz w:val="12"/>
              </w:rPr>
            </w:pPr>
          </w:p>
        </w:tc>
        <w:tc>
          <w:tcPr>
            <w:tcW w:w="761" w:type="dxa"/>
            <w:tcBorders>
              <w:top w:val="single" w:sz="6" w:space="0" w:color="000000"/>
              <w:right w:val="single" w:sz="6" w:space="0" w:color="000000"/>
            </w:tcBorders>
            <w:shd w:val="clear" w:color="auto" w:fill="D9D9D9"/>
          </w:tcPr>
          <w:p w14:paraId="02502F52" w14:textId="77777777" w:rsidR="002D6804" w:rsidRDefault="002D6804" w:rsidP="002D6804">
            <w:pPr>
              <w:pStyle w:val="TableParagraph"/>
              <w:rPr>
                <w:rFonts w:ascii="Times New Roman"/>
                <w:sz w:val="12"/>
              </w:rPr>
            </w:pPr>
          </w:p>
        </w:tc>
        <w:tc>
          <w:tcPr>
            <w:tcW w:w="524" w:type="dxa"/>
            <w:tcBorders>
              <w:top w:val="single" w:sz="6" w:space="0" w:color="000000"/>
              <w:left w:val="single" w:sz="6" w:space="0" w:color="000000"/>
              <w:right w:val="single" w:sz="6" w:space="0" w:color="000000"/>
            </w:tcBorders>
            <w:shd w:val="clear" w:color="auto" w:fill="D9D9D9"/>
          </w:tcPr>
          <w:p w14:paraId="5934217F" w14:textId="77777777" w:rsidR="002D6804" w:rsidRDefault="002D6804" w:rsidP="002D6804">
            <w:pPr>
              <w:pStyle w:val="TableParagraph"/>
              <w:rPr>
                <w:rFonts w:ascii="Times New Roman"/>
                <w:sz w:val="12"/>
              </w:rPr>
            </w:pPr>
          </w:p>
        </w:tc>
        <w:tc>
          <w:tcPr>
            <w:tcW w:w="589" w:type="dxa"/>
            <w:tcBorders>
              <w:top w:val="single" w:sz="6" w:space="0" w:color="000000"/>
              <w:left w:val="single" w:sz="6" w:space="0" w:color="000000"/>
            </w:tcBorders>
            <w:shd w:val="clear" w:color="auto" w:fill="D9D9D9"/>
          </w:tcPr>
          <w:p w14:paraId="3FF5F4A2" w14:textId="77777777" w:rsidR="002D6804" w:rsidRDefault="002D6804" w:rsidP="002D6804">
            <w:pPr>
              <w:pStyle w:val="TableParagraph"/>
              <w:rPr>
                <w:rFonts w:ascii="Times New Roman"/>
                <w:sz w:val="12"/>
              </w:rPr>
            </w:pPr>
          </w:p>
        </w:tc>
        <w:tc>
          <w:tcPr>
            <w:tcW w:w="752" w:type="dxa"/>
            <w:tcBorders>
              <w:top w:val="single" w:sz="6" w:space="0" w:color="000000"/>
              <w:right w:val="single" w:sz="6" w:space="0" w:color="000000"/>
            </w:tcBorders>
            <w:shd w:val="clear" w:color="auto" w:fill="D9D9D9"/>
          </w:tcPr>
          <w:p w14:paraId="59B6C01E" w14:textId="77777777" w:rsidR="002D6804" w:rsidRDefault="002D6804" w:rsidP="002D6804">
            <w:pPr>
              <w:pStyle w:val="TableParagraph"/>
              <w:rPr>
                <w:rFonts w:ascii="Times New Roman"/>
                <w:sz w:val="12"/>
              </w:rPr>
            </w:pPr>
          </w:p>
        </w:tc>
        <w:tc>
          <w:tcPr>
            <w:tcW w:w="990" w:type="dxa"/>
            <w:tcBorders>
              <w:top w:val="single" w:sz="6" w:space="0" w:color="000000"/>
              <w:left w:val="single" w:sz="6" w:space="0" w:color="000000"/>
            </w:tcBorders>
          </w:tcPr>
          <w:p w14:paraId="52F533DC" w14:textId="77777777" w:rsidR="002D6804" w:rsidRDefault="002D6804" w:rsidP="002D6804">
            <w:pPr>
              <w:pStyle w:val="TableParagraph"/>
              <w:rPr>
                <w:rFonts w:ascii="Times New Roman"/>
                <w:sz w:val="12"/>
              </w:rPr>
            </w:pPr>
          </w:p>
        </w:tc>
        <w:tc>
          <w:tcPr>
            <w:tcW w:w="524" w:type="dxa"/>
            <w:tcBorders>
              <w:top w:val="single" w:sz="6" w:space="0" w:color="000000"/>
            </w:tcBorders>
          </w:tcPr>
          <w:p w14:paraId="23D36D85" w14:textId="77777777" w:rsidR="002D6804" w:rsidRDefault="002D6804" w:rsidP="002D6804">
            <w:pPr>
              <w:pStyle w:val="TableParagraph"/>
              <w:rPr>
                <w:rFonts w:ascii="Times New Roman"/>
                <w:sz w:val="12"/>
              </w:rPr>
            </w:pPr>
          </w:p>
        </w:tc>
        <w:tc>
          <w:tcPr>
            <w:tcW w:w="745" w:type="dxa"/>
            <w:vMerge w:val="restart"/>
            <w:tcBorders>
              <w:top w:val="single" w:sz="6" w:space="0" w:color="000000"/>
            </w:tcBorders>
          </w:tcPr>
          <w:p w14:paraId="011D3EB1" w14:textId="77777777" w:rsidR="002D6804" w:rsidRDefault="002D6804" w:rsidP="002D6804">
            <w:pPr>
              <w:pStyle w:val="TableParagraph"/>
              <w:rPr>
                <w:rFonts w:ascii="Times New Roman"/>
                <w:sz w:val="12"/>
              </w:rPr>
            </w:pPr>
          </w:p>
        </w:tc>
        <w:tc>
          <w:tcPr>
            <w:tcW w:w="819" w:type="dxa"/>
            <w:vMerge w:val="restart"/>
            <w:tcBorders>
              <w:top w:val="single" w:sz="6" w:space="0" w:color="000000"/>
              <w:right w:val="single" w:sz="6" w:space="0" w:color="000000"/>
            </w:tcBorders>
          </w:tcPr>
          <w:p w14:paraId="59FAC8B1" w14:textId="77777777" w:rsidR="002D6804" w:rsidRDefault="002D6804" w:rsidP="002D6804">
            <w:pPr>
              <w:pStyle w:val="TableParagraph"/>
              <w:rPr>
                <w:rFonts w:ascii="Times New Roman"/>
                <w:sz w:val="12"/>
              </w:rPr>
            </w:pPr>
          </w:p>
        </w:tc>
        <w:tc>
          <w:tcPr>
            <w:tcW w:w="950" w:type="dxa"/>
            <w:vMerge w:val="restart"/>
            <w:tcBorders>
              <w:top w:val="single" w:sz="6" w:space="0" w:color="000000"/>
              <w:left w:val="single" w:sz="6" w:space="0" w:color="000000"/>
            </w:tcBorders>
          </w:tcPr>
          <w:p w14:paraId="04F21795" w14:textId="77777777" w:rsidR="002D6804" w:rsidRDefault="002D6804" w:rsidP="002D6804">
            <w:pPr>
              <w:pStyle w:val="TableParagraph"/>
              <w:rPr>
                <w:rFonts w:ascii="Times New Roman"/>
                <w:sz w:val="12"/>
              </w:rPr>
            </w:pPr>
          </w:p>
        </w:tc>
      </w:tr>
      <w:tr w:rsidR="002D6804" w14:paraId="3E14EE00" w14:textId="77777777" w:rsidTr="002D6804">
        <w:trPr>
          <w:trHeight w:val="383"/>
        </w:trPr>
        <w:tc>
          <w:tcPr>
            <w:tcW w:w="1105" w:type="dxa"/>
            <w:vMerge/>
            <w:tcBorders>
              <w:top w:val="nil"/>
            </w:tcBorders>
          </w:tcPr>
          <w:p w14:paraId="6D1C86D4" w14:textId="77777777" w:rsidR="002D6804" w:rsidRDefault="002D6804" w:rsidP="002D6804">
            <w:pPr>
              <w:rPr>
                <w:sz w:val="2"/>
                <w:szCs w:val="2"/>
              </w:rPr>
            </w:pPr>
          </w:p>
        </w:tc>
        <w:tc>
          <w:tcPr>
            <w:tcW w:w="1056" w:type="dxa"/>
            <w:vMerge/>
            <w:tcBorders>
              <w:top w:val="nil"/>
            </w:tcBorders>
          </w:tcPr>
          <w:p w14:paraId="7A6D5757" w14:textId="77777777" w:rsidR="002D6804" w:rsidRDefault="002D6804" w:rsidP="002D6804">
            <w:pPr>
              <w:rPr>
                <w:sz w:val="2"/>
                <w:szCs w:val="2"/>
              </w:rPr>
            </w:pPr>
          </w:p>
        </w:tc>
        <w:tc>
          <w:tcPr>
            <w:tcW w:w="524" w:type="dxa"/>
            <w:vMerge/>
            <w:tcBorders>
              <w:top w:val="nil"/>
            </w:tcBorders>
          </w:tcPr>
          <w:p w14:paraId="4FBCAD33" w14:textId="77777777" w:rsidR="002D6804" w:rsidRDefault="002D6804" w:rsidP="002D6804">
            <w:pPr>
              <w:rPr>
                <w:sz w:val="2"/>
                <w:szCs w:val="2"/>
              </w:rPr>
            </w:pPr>
          </w:p>
        </w:tc>
        <w:tc>
          <w:tcPr>
            <w:tcW w:w="761" w:type="dxa"/>
            <w:tcBorders>
              <w:right w:val="single" w:sz="6" w:space="0" w:color="000000"/>
            </w:tcBorders>
            <w:shd w:val="clear" w:color="auto" w:fill="D9D9D9"/>
          </w:tcPr>
          <w:p w14:paraId="144D5C77" w14:textId="77777777" w:rsidR="002D6804" w:rsidRDefault="002D6804" w:rsidP="002D6804">
            <w:pPr>
              <w:pStyle w:val="TableParagraph"/>
              <w:rPr>
                <w:rFonts w:ascii="Times New Roman"/>
                <w:sz w:val="12"/>
              </w:rPr>
            </w:pPr>
          </w:p>
        </w:tc>
        <w:tc>
          <w:tcPr>
            <w:tcW w:w="524" w:type="dxa"/>
            <w:tcBorders>
              <w:left w:val="single" w:sz="6" w:space="0" w:color="000000"/>
              <w:right w:val="single" w:sz="6" w:space="0" w:color="000000"/>
            </w:tcBorders>
            <w:shd w:val="clear" w:color="auto" w:fill="D9D9D9"/>
          </w:tcPr>
          <w:p w14:paraId="76E0FA06" w14:textId="77777777" w:rsidR="002D6804" w:rsidRDefault="002D6804" w:rsidP="002D6804">
            <w:pPr>
              <w:pStyle w:val="TableParagraph"/>
              <w:rPr>
                <w:rFonts w:ascii="Times New Roman"/>
                <w:sz w:val="12"/>
              </w:rPr>
            </w:pPr>
          </w:p>
        </w:tc>
        <w:tc>
          <w:tcPr>
            <w:tcW w:w="589" w:type="dxa"/>
            <w:tcBorders>
              <w:left w:val="single" w:sz="6" w:space="0" w:color="000000"/>
            </w:tcBorders>
            <w:shd w:val="clear" w:color="auto" w:fill="D9D9D9"/>
          </w:tcPr>
          <w:p w14:paraId="2FE4AC3F" w14:textId="77777777" w:rsidR="002D6804" w:rsidRDefault="002D6804" w:rsidP="002D6804">
            <w:pPr>
              <w:pStyle w:val="TableParagraph"/>
              <w:rPr>
                <w:rFonts w:ascii="Times New Roman"/>
                <w:sz w:val="12"/>
              </w:rPr>
            </w:pPr>
          </w:p>
        </w:tc>
        <w:tc>
          <w:tcPr>
            <w:tcW w:w="752" w:type="dxa"/>
            <w:tcBorders>
              <w:right w:val="single" w:sz="6" w:space="0" w:color="000000"/>
            </w:tcBorders>
            <w:shd w:val="clear" w:color="auto" w:fill="D9D9D9"/>
          </w:tcPr>
          <w:p w14:paraId="72B0AE4C" w14:textId="77777777" w:rsidR="002D6804" w:rsidRDefault="002D6804" w:rsidP="002D6804">
            <w:pPr>
              <w:pStyle w:val="TableParagraph"/>
              <w:rPr>
                <w:rFonts w:ascii="Times New Roman"/>
                <w:sz w:val="12"/>
              </w:rPr>
            </w:pPr>
          </w:p>
        </w:tc>
        <w:tc>
          <w:tcPr>
            <w:tcW w:w="990" w:type="dxa"/>
            <w:tcBorders>
              <w:left w:val="single" w:sz="6" w:space="0" w:color="000000"/>
            </w:tcBorders>
          </w:tcPr>
          <w:p w14:paraId="7F1B8966" w14:textId="77777777" w:rsidR="002D6804" w:rsidRDefault="002D6804" w:rsidP="002D6804">
            <w:pPr>
              <w:pStyle w:val="TableParagraph"/>
              <w:rPr>
                <w:rFonts w:ascii="Times New Roman"/>
                <w:sz w:val="12"/>
              </w:rPr>
            </w:pPr>
          </w:p>
        </w:tc>
        <w:tc>
          <w:tcPr>
            <w:tcW w:w="524" w:type="dxa"/>
          </w:tcPr>
          <w:p w14:paraId="5E730E8E" w14:textId="77777777" w:rsidR="002D6804" w:rsidRDefault="002D6804" w:rsidP="002D6804">
            <w:pPr>
              <w:pStyle w:val="TableParagraph"/>
              <w:rPr>
                <w:rFonts w:ascii="Times New Roman"/>
                <w:sz w:val="12"/>
              </w:rPr>
            </w:pPr>
          </w:p>
        </w:tc>
        <w:tc>
          <w:tcPr>
            <w:tcW w:w="745" w:type="dxa"/>
            <w:vMerge/>
            <w:tcBorders>
              <w:top w:val="nil"/>
            </w:tcBorders>
          </w:tcPr>
          <w:p w14:paraId="7F024B34" w14:textId="77777777" w:rsidR="002D6804" w:rsidRDefault="002D6804" w:rsidP="002D6804">
            <w:pPr>
              <w:rPr>
                <w:sz w:val="2"/>
                <w:szCs w:val="2"/>
              </w:rPr>
            </w:pPr>
          </w:p>
        </w:tc>
        <w:tc>
          <w:tcPr>
            <w:tcW w:w="819" w:type="dxa"/>
            <w:vMerge/>
            <w:tcBorders>
              <w:top w:val="nil"/>
              <w:right w:val="single" w:sz="6" w:space="0" w:color="000000"/>
            </w:tcBorders>
          </w:tcPr>
          <w:p w14:paraId="160C0021" w14:textId="77777777" w:rsidR="002D6804" w:rsidRDefault="002D6804" w:rsidP="002D6804">
            <w:pPr>
              <w:rPr>
                <w:sz w:val="2"/>
                <w:szCs w:val="2"/>
              </w:rPr>
            </w:pPr>
          </w:p>
        </w:tc>
        <w:tc>
          <w:tcPr>
            <w:tcW w:w="950" w:type="dxa"/>
            <w:vMerge/>
            <w:tcBorders>
              <w:top w:val="nil"/>
              <w:left w:val="single" w:sz="6" w:space="0" w:color="000000"/>
            </w:tcBorders>
          </w:tcPr>
          <w:p w14:paraId="656DBDBD" w14:textId="77777777" w:rsidR="002D6804" w:rsidRDefault="002D6804" w:rsidP="002D6804">
            <w:pPr>
              <w:rPr>
                <w:sz w:val="2"/>
                <w:szCs w:val="2"/>
              </w:rPr>
            </w:pPr>
          </w:p>
        </w:tc>
      </w:tr>
    </w:tbl>
    <w:p w14:paraId="43FB56E2" w14:textId="77777777" w:rsidR="002D6804" w:rsidRDefault="002D6804" w:rsidP="002D6804">
      <w:pPr>
        <w:pStyle w:val="BodyText"/>
        <w:rPr>
          <w:b/>
        </w:rPr>
      </w:pPr>
    </w:p>
    <w:p w14:paraId="6B3EF0BC" w14:textId="26FC3D3B" w:rsidR="007163B0" w:rsidRPr="007A1587" w:rsidRDefault="002D6804" w:rsidP="00624BF5">
      <w:pPr>
        <w:pStyle w:val="BodyText"/>
        <w:spacing w:before="7"/>
        <w:rPr>
          <w:rFonts w:cstheme="minorHAnsi"/>
        </w:rPr>
      </w:pPr>
      <w:r>
        <w:rPr>
          <w:noProof/>
        </w:rPr>
        <w:drawing>
          <wp:anchor distT="0" distB="0" distL="0" distR="0" simplePos="0" relativeHeight="251683840" behindDoc="0" locked="0" layoutInCell="1" allowOverlap="1" wp14:anchorId="40BE82BB" wp14:editId="67AA1101">
            <wp:simplePos x="0" y="0"/>
            <wp:positionH relativeFrom="page">
              <wp:posOffset>900683</wp:posOffset>
            </wp:positionH>
            <wp:positionV relativeFrom="paragraph">
              <wp:posOffset>168172</wp:posOffset>
            </wp:positionV>
            <wp:extent cx="5881180" cy="3253740"/>
            <wp:effectExtent l="0" t="0" r="0" b="0"/>
            <wp:wrapTopAndBottom/>
            <wp:docPr id="44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0.jpeg"/>
                    <pic:cNvPicPr/>
                  </pic:nvPicPr>
                  <pic:blipFill>
                    <a:blip r:embed="rId156" cstate="print"/>
                    <a:stretch>
                      <a:fillRect/>
                    </a:stretch>
                  </pic:blipFill>
                  <pic:spPr>
                    <a:xfrm>
                      <a:off x="0" y="0"/>
                      <a:ext cx="5881180" cy="3253740"/>
                    </a:xfrm>
                    <a:prstGeom prst="rect">
                      <a:avLst/>
                    </a:prstGeom>
                  </pic:spPr>
                </pic:pic>
              </a:graphicData>
            </a:graphic>
          </wp:anchor>
        </w:drawing>
      </w:r>
    </w:p>
    <w:p w14:paraId="68A65D52" w14:textId="77777777" w:rsidR="007B679F" w:rsidRDefault="007B679F">
      <w:pPr>
        <w:rPr>
          <w:rFonts w:cstheme="minorHAnsi"/>
        </w:rPr>
      </w:pPr>
      <w:r>
        <w:rPr>
          <w:rFonts w:cstheme="minorHAnsi"/>
        </w:rPr>
        <w:br w:type="page"/>
      </w:r>
    </w:p>
    <w:p w14:paraId="51570AE6" w14:textId="1D8D1CB3" w:rsidR="007B679F" w:rsidRDefault="00837116" w:rsidP="007B679F">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45952" behindDoc="1" locked="0" layoutInCell="1" allowOverlap="1" wp14:anchorId="0ABBAB72" wp14:editId="5573A531">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349F9EA" w14:textId="77777777" w:rsidR="007B679F" w:rsidRPr="007B679F" w:rsidRDefault="007B679F" w:rsidP="00B00D30">
      <w:pPr>
        <w:pStyle w:val="Title"/>
        <w:pBdr>
          <w:bottom w:val="none" w:sz="0" w:space="0" w:color="auto"/>
        </w:pBdr>
        <w:spacing w:before="240" w:after="0"/>
        <w:rPr>
          <w:rFonts w:ascii="Arial" w:hAnsi="Arial" w:cs="Arial"/>
          <w:b/>
          <w:sz w:val="16"/>
          <w:szCs w:val="28"/>
          <w:lang w:val="en-US"/>
        </w:rPr>
      </w:pPr>
    </w:p>
    <w:p w14:paraId="1CE7E440" w14:textId="77777777" w:rsidR="00837116" w:rsidRDefault="00837116" w:rsidP="00B00D30">
      <w:pPr>
        <w:pStyle w:val="Policy3"/>
      </w:pPr>
    </w:p>
    <w:p w14:paraId="47244362" w14:textId="77777777" w:rsidR="00837116" w:rsidRDefault="00837116" w:rsidP="00B00D30">
      <w:pPr>
        <w:pStyle w:val="Policy3"/>
      </w:pPr>
    </w:p>
    <w:p w14:paraId="1805501D" w14:textId="072C3CC7" w:rsidR="007B679F" w:rsidRPr="007B679F" w:rsidRDefault="007B679F" w:rsidP="00B00D30">
      <w:pPr>
        <w:pStyle w:val="Policy3"/>
      </w:pPr>
      <w:bookmarkStart w:id="419" w:name="_Toc216866705"/>
      <w:r>
        <w:t>2.2.5</w:t>
      </w:r>
      <w:r>
        <w:tab/>
      </w:r>
      <w:r w:rsidRPr="007B679F">
        <w:t>I</w:t>
      </w:r>
      <w:r w:rsidR="00B00D30">
        <w:t>nternal Audit Charter</w:t>
      </w:r>
      <w:bookmarkEnd w:id="419"/>
      <w:r w:rsidRPr="007B679F">
        <w:t xml:space="preserve"> </w:t>
      </w:r>
    </w:p>
    <w:tbl>
      <w:tblPr>
        <w:tblStyle w:val="TableGrid"/>
        <w:tblW w:w="0" w:type="auto"/>
        <w:tblLook w:val="04A0" w:firstRow="1" w:lastRow="0" w:firstColumn="1" w:lastColumn="0" w:noHBand="0" w:noVBand="1"/>
      </w:tblPr>
      <w:tblGrid>
        <w:gridCol w:w="3026"/>
        <w:gridCol w:w="5990"/>
      </w:tblGrid>
      <w:tr w:rsidR="007B679F" w:rsidRPr="007B679F" w14:paraId="786AD841" w14:textId="77777777" w:rsidTr="007B679F">
        <w:tc>
          <w:tcPr>
            <w:tcW w:w="3026" w:type="dxa"/>
          </w:tcPr>
          <w:p w14:paraId="1EDF34AA" w14:textId="77777777" w:rsidR="007B679F" w:rsidRPr="007B679F" w:rsidRDefault="007B679F" w:rsidP="009F1EDC">
            <w:pPr>
              <w:rPr>
                <w:rFonts w:cstheme="minorHAnsi"/>
                <w:b/>
                <w:lang w:val="en-US"/>
              </w:rPr>
            </w:pPr>
            <w:r w:rsidRPr="007B679F">
              <w:rPr>
                <w:rFonts w:cstheme="minorHAnsi"/>
                <w:b/>
                <w:lang w:val="en-US"/>
              </w:rPr>
              <w:t>Type:</w:t>
            </w:r>
          </w:p>
        </w:tc>
        <w:tc>
          <w:tcPr>
            <w:tcW w:w="5990" w:type="dxa"/>
          </w:tcPr>
          <w:p w14:paraId="73F42636" w14:textId="77777777" w:rsidR="007B679F" w:rsidRPr="007B679F" w:rsidRDefault="0029325F" w:rsidP="009F1EDC">
            <w:pPr>
              <w:rPr>
                <w:rFonts w:cstheme="minorHAnsi"/>
                <w:lang w:val="en-US"/>
              </w:rPr>
            </w:pPr>
            <w:r>
              <w:rPr>
                <w:rFonts w:cstheme="minorHAnsi"/>
                <w:lang w:val="en-US"/>
              </w:rPr>
              <w:t>Corporate Services</w:t>
            </w:r>
            <w:r w:rsidR="007B679F" w:rsidRPr="007B679F">
              <w:rPr>
                <w:rFonts w:cstheme="minorHAnsi"/>
                <w:lang w:val="en-US"/>
              </w:rPr>
              <w:t xml:space="preserve"> – Risk Management</w:t>
            </w:r>
          </w:p>
        </w:tc>
      </w:tr>
      <w:tr w:rsidR="007B679F" w:rsidRPr="007B679F" w14:paraId="7F80C7A6" w14:textId="77777777" w:rsidTr="007B679F">
        <w:tc>
          <w:tcPr>
            <w:tcW w:w="3026" w:type="dxa"/>
          </w:tcPr>
          <w:p w14:paraId="35F73285" w14:textId="77777777" w:rsidR="007B679F" w:rsidRPr="007B679F" w:rsidRDefault="007B679F" w:rsidP="009F1EDC">
            <w:pPr>
              <w:rPr>
                <w:rFonts w:cstheme="minorHAnsi"/>
                <w:b/>
                <w:lang w:val="en-US"/>
              </w:rPr>
            </w:pPr>
            <w:r w:rsidRPr="007B679F">
              <w:rPr>
                <w:rFonts w:cstheme="minorHAnsi"/>
                <w:b/>
                <w:lang w:val="en-US"/>
              </w:rPr>
              <w:t>Legislation:</w:t>
            </w:r>
          </w:p>
        </w:tc>
        <w:tc>
          <w:tcPr>
            <w:tcW w:w="5990" w:type="dxa"/>
          </w:tcPr>
          <w:p w14:paraId="6759EA5C" w14:textId="77777777" w:rsidR="007B679F" w:rsidRPr="007B679F" w:rsidRDefault="007B679F" w:rsidP="009F1EDC">
            <w:pPr>
              <w:rPr>
                <w:rFonts w:cstheme="minorHAnsi"/>
                <w:lang w:val="en-US"/>
              </w:rPr>
            </w:pPr>
            <w:r w:rsidRPr="007B679F">
              <w:rPr>
                <w:rFonts w:cstheme="minorHAnsi"/>
                <w:lang w:val="en-US"/>
              </w:rPr>
              <w:t>Local Government (Audit) Regulations</w:t>
            </w:r>
          </w:p>
        </w:tc>
      </w:tr>
      <w:tr w:rsidR="007B679F" w:rsidRPr="007B679F" w14:paraId="18DC7ADA" w14:textId="77777777" w:rsidTr="007B679F">
        <w:tc>
          <w:tcPr>
            <w:tcW w:w="3026" w:type="dxa"/>
          </w:tcPr>
          <w:p w14:paraId="0A7831A8" w14:textId="77777777" w:rsidR="007B679F" w:rsidRPr="007B679F" w:rsidRDefault="007B679F" w:rsidP="009F1EDC">
            <w:pPr>
              <w:rPr>
                <w:rFonts w:cstheme="minorHAnsi"/>
                <w:b/>
                <w:lang w:val="en-US"/>
              </w:rPr>
            </w:pPr>
            <w:r w:rsidRPr="007B679F">
              <w:rPr>
                <w:rFonts w:cstheme="minorHAnsi"/>
                <w:b/>
                <w:lang w:val="en-US"/>
              </w:rPr>
              <w:t>Delegation:</w:t>
            </w:r>
          </w:p>
        </w:tc>
        <w:tc>
          <w:tcPr>
            <w:tcW w:w="5990" w:type="dxa"/>
          </w:tcPr>
          <w:p w14:paraId="4015A15E" w14:textId="77777777" w:rsidR="007B679F" w:rsidRPr="007B679F" w:rsidRDefault="007B679F" w:rsidP="009F1EDC">
            <w:pPr>
              <w:rPr>
                <w:rFonts w:cstheme="minorHAnsi"/>
                <w:lang w:val="en-US"/>
              </w:rPr>
            </w:pPr>
            <w:r w:rsidRPr="007B679F">
              <w:rPr>
                <w:rFonts w:cstheme="minorHAnsi"/>
                <w:lang w:val="en-US"/>
              </w:rPr>
              <w:t>N/A</w:t>
            </w:r>
          </w:p>
        </w:tc>
      </w:tr>
      <w:tr w:rsidR="007B679F" w:rsidRPr="007B679F" w14:paraId="1A4DFA0E" w14:textId="77777777" w:rsidTr="007B679F">
        <w:tc>
          <w:tcPr>
            <w:tcW w:w="3026" w:type="dxa"/>
          </w:tcPr>
          <w:p w14:paraId="5D61BFA8" w14:textId="77777777" w:rsidR="007B679F" w:rsidRPr="007B679F" w:rsidRDefault="007B679F" w:rsidP="009F1EDC">
            <w:pPr>
              <w:rPr>
                <w:rFonts w:cstheme="minorHAnsi"/>
                <w:b/>
                <w:lang w:val="en-US"/>
              </w:rPr>
            </w:pPr>
            <w:r w:rsidRPr="007B679F">
              <w:rPr>
                <w:rFonts w:cstheme="minorHAnsi"/>
                <w:b/>
                <w:lang w:val="en-US"/>
              </w:rPr>
              <w:t>Other Related Document:</w:t>
            </w:r>
          </w:p>
        </w:tc>
        <w:tc>
          <w:tcPr>
            <w:tcW w:w="5990" w:type="dxa"/>
          </w:tcPr>
          <w:p w14:paraId="0A026E4B" w14:textId="77777777" w:rsidR="007B679F" w:rsidRPr="007B679F" w:rsidRDefault="007B679F" w:rsidP="009F1EDC">
            <w:pPr>
              <w:rPr>
                <w:rFonts w:cstheme="minorHAnsi"/>
                <w:lang w:val="en-US"/>
              </w:rPr>
            </w:pPr>
          </w:p>
        </w:tc>
      </w:tr>
    </w:tbl>
    <w:p w14:paraId="3C7EB783" w14:textId="77777777" w:rsidR="007B679F" w:rsidRPr="007B679F" w:rsidRDefault="007B679F" w:rsidP="007B679F">
      <w:pPr>
        <w:spacing w:before="240" w:after="0"/>
        <w:rPr>
          <w:b/>
          <w:sz w:val="28"/>
          <w:szCs w:val="28"/>
          <w:lang w:val="en-US"/>
        </w:rPr>
      </w:pPr>
      <w:r w:rsidRPr="007B679F">
        <w:rPr>
          <w:b/>
          <w:sz w:val="28"/>
          <w:szCs w:val="28"/>
          <w:lang w:val="en-US"/>
        </w:rPr>
        <w:t>Objective</w:t>
      </w:r>
    </w:p>
    <w:p w14:paraId="645300EB" w14:textId="77777777" w:rsidR="007B679F" w:rsidRPr="007B679F" w:rsidRDefault="007B679F" w:rsidP="007B679F">
      <w:pPr>
        <w:pStyle w:val="ListParagraph"/>
        <w:tabs>
          <w:tab w:val="left" w:pos="426"/>
        </w:tabs>
        <w:spacing w:after="60"/>
        <w:ind w:left="0"/>
        <w:contextualSpacing w:val="0"/>
        <w:jc w:val="both"/>
        <w:rPr>
          <w:rFonts w:cstheme="minorHAnsi"/>
          <w:lang w:val="en-US"/>
        </w:rPr>
      </w:pPr>
      <w:r w:rsidRPr="007B679F">
        <w:rPr>
          <w:rFonts w:cstheme="minorHAnsi"/>
          <w:lang w:val="en-US"/>
        </w:rPr>
        <w:t>Internal audit provides an independent and objective review and advisory service to:</w:t>
      </w:r>
    </w:p>
    <w:p w14:paraId="5F571987" w14:textId="77777777" w:rsidR="007B679F" w:rsidRPr="007B679F" w:rsidRDefault="007B679F" w:rsidP="002A3889">
      <w:pPr>
        <w:pStyle w:val="ListParagraph"/>
        <w:numPr>
          <w:ilvl w:val="0"/>
          <w:numId w:val="68"/>
        </w:numPr>
        <w:spacing w:after="60" w:line="240" w:lineRule="auto"/>
        <w:ind w:left="426" w:hanging="426"/>
        <w:contextualSpacing w:val="0"/>
        <w:jc w:val="both"/>
        <w:rPr>
          <w:rFonts w:cstheme="minorHAnsi"/>
          <w:lang w:val="en-US"/>
        </w:rPr>
      </w:pPr>
      <w:r w:rsidRPr="007B679F">
        <w:rPr>
          <w:rFonts w:cstheme="minorHAnsi"/>
          <w:lang w:val="en-US"/>
        </w:rPr>
        <w:t xml:space="preserve">provide assurance to Council and the Chief Executive Officer that the Town’s financial and operational controls designed to manage the </w:t>
      </w:r>
      <w:proofErr w:type="spellStart"/>
      <w:r w:rsidRPr="007B679F">
        <w:rPr>
          <w:rFonts w:cstheme="minorHAnsi"/>
          <w:lang w:val="en-US"/>
        </w:rPr>
        <w:t>organisation’s</w:t>
      </w:r>
      <w:proofErr w:type="spellEnd"/>
      <w:r w:rsidRPr="007B679F">
        <w:rPr>
          <w:rFonts w:cstheme="minorHAnsi"/>
          <w:lang w:val="en-US"/>
        </w:rPr>
        <w:t xml:space="preserve"> risks and achieve its objectives, are operating in an efficient, effective and ethical manner; and</w:t>
      </w:r>
    </w:p>
    <w:p w14:paraId="2B7B27EF" w14:textId="77777777" w:rsidR="007B679F" w:rsidRPr="007B679F" w:rsidRDefault="007B679F" w:rsidP="002A3889">
      <w:pPr>
        <w:pStyle w:val="ListParagraph"/>
        <w:numPr>
          <w:ilvl w:val="0"/>
          <w:numId w:val="68"/>
        </w:numPr>
        <w:spacing w:after="0" w:line="240" w:lineRule="auto"/>
        <w:ind w:left="426" w:hanging="426"/>
        <w:contextualSpacing w:val="0"/>
        <w:jc w:val="both"/>
        <w:rPr>
          <w:rFonts w:cstheme="minorHAnsi"/>
          <w:lang w:val="en-US"/>
        </w:rPr>
      </w:pPr>
      <w:r w:rsidRPr="007B679F">
        <w:rPr>
          <w:rFonts w:cstheme="minorHAnsi"/>
          <w:lang w:val="en-US"/>
        </w:rPr>
        <w:t>assist management in improving and monitoring the Town’s risk management, internal control and legislative compliance functions.</w:t>
      </w:r>
    </w:p>
    <w:p w14:paraId="2EB7D823" w14:textId="77777777" w:rsidR="007B679F" w:rsidRPr="007B679F" w:rsidRDefault="007B679F" w:rsidP="007B679F">
      <w:pPr>
        <w:spacing w:before="200" w:after="0"/>
        <w:rPr>
          <w:b/>
          <w:sz w:val="28"/>
          <w:szCs w:val="28"/>
          <w:lang w:val="en-US"/>
        </w:rPr>
      </w:pPr>
      <w:r w:rsidRPr="007B679F">
        <w:rPr>
          <w:b/>
          <w:sz w:val="28"/>
          <w:szCs w:val="28"/>
          <w:lang w:val="en-US"/>
        </w:rPr>
        <w:t>Definitions</w:t>
      </w:r>
    </w:p>
    <w:p w14:paraId="5DEB8829" w14:textId="77777777" w:rsidR="007B679F" w:rsidRPr="007B679F" w:rsidRDefault="007B679F" w:rsidP="007B679F">
      <w:pPr>
        <w:tabs>
          <w:tab w:val="left" w:pos="1080"/>
        </w:tabs>
        <w:jc w:val="both"/>
        <w:rPr>
          <w:rFonts w:cstheme="minorHAnsi"/>
        </w:rPr>
      </w:pPr>
      <w:r w:rsidRPr="007B679F">
        <w:rPr>
          <w:rFonts w:cstheme="minorHAnsi"/>
        </w:rPr>
        <w:t>“Risk”: AS/NZS ISO 31000:2009 defines risk as “the effect of uncertainty on objectives”.</w:t>
      </w:r>
    </w:p>
    <w:p w14:paraId="2FD377BE" w14:textId="77777777" w:rsidR="007B679F" w:rsidRPr="007B679F" w:rsidRDefault="007B679F" w:rsidP="007B679F">
      <w:pPr>
        <w:tabs>
          <w:tab w:val="left" w:pos="1080"/>
        </w:tabs>
        <w:jc w:val="both"/>
        <w:rPr>
          <w:rFonts w:cstheme="minorHAnsi"/>
        </w:rPr>
      </w:pPr>
      <w:r w:rsidRPr="007B679F">
        <w:rPr>
          <w:rFonts w:cstheme="minorHAnsi"/>
        </w:rPr>
        <w:t>A risk is often specified in terms of an event or circumstance and the consequences that may flow from it. An effect may be positive, negative, or a deviation from the expected. An objective may be financial, related to health and safety, or defined in other terms.</w:t>
      </w:r>
    </w:p>
    <w:p w14:paraId="5EA58E9C" w14:textId="77777777" w:rsidR="007B679F" w:rsidRPr="007B679F" w:rsidRDefault="007B679F" w:rsidP="007B679F">
      <w:pPr>
        <w:tabs>
          <w:tab w:val="left" w:pos="1080"/>
        </w:tabs>
        <w:spacing w:after="0"/>
        <w:jc w:val="both"/>
        <w:rPr>
          <w:rFonts w:cstheme="minorHAnsi"/>
        </w:rPr>
      </w:pPr>
      <w:r w:rsidRPr="007B679F">
        <w:rPr>
          <w:rFonts w:cstheme="minorHAnsi"/>
        </w:rPr>
        <w:t xml:space="preserve">“Risk Management”: The application of coordinated activities to direct and control an organisation </w:t>
      </w:r>
      <w:proofErr w:type="gramStart"/>
      <w:r w:rsidRPr="007B679F">
        <w:rPr>
          <w:rFonts w:cstheme="minorHAnsi"/>
        </w:rPr>
        <w:t>with regard to</w:t>
      </w:r>
      <w:proofErr w:type="gramEnd"/>
      <w:r w:rsidRPr="007B679F">
        <w:rPr>
          <w:rFonts w:cstheme="minorHAnsi"/>
        </w:rPr>
        <w:t xml:space="preserve"> risk.</w:t>
      </w:r>
    </w:p>
    <w:p w14:paraId="105CE7AB" w14:textId="77777777" w:rsidR="007B679F" w:rsidRPr="007B679F" w:rsidRDefault="007B679F" w:rsidP="007B679F">
      <w:pPr>
        <w:spacing w:before="200" w:after="0"/>
        <w:rPr>
          <w:b/>
          <w:sz w:val="28"/>
          <w:szCs w:val="28"/>
          <w:lang w:val="en-US"/>
        </w:rPr>
      </w:pPr>
      <w:r w:rsidRPr="007B679F">
        <w:rPr>
          <w:b/>
          <w:sz w:val="28"/>
          <w:szCs w:val="28"/>
          <w:lang w:val="en-US"/>
        </w:rPr>
        <w:t xml:space="preserve">Policy </w:t>
      </w:r>
    </w:p>
    <w:p w14:paraId="57303B4D" w14:textId="77777777" w:rsidR="007B679F" w:rsidRPr="007B679F" w:rsidRDefault="007B679F" w:rsidP="007B679F">
      <w:pPr>
        <w:tabs>
          <w:tab w:val="left" w:pos="426"/>
        </w:tabs>
        <w:spacing w:after="0"/>
        <w:rPr>
          <w:rFonts w:cstheme="minorHAnsi"/>
          <w:b/>
          <w:lang w:val="en-US"/>
        </w:rPr>
      </w:pPr>
      <w:r w:rsidRPr="007B679F">
        <w:rPr>
          <w:rFonts w:cstheme="minorHAnsi"/>
          <w:b/>
          <w:lang w:val="en-US"/>
        </w:rPr>
        <w:t>Scope of internal audit</w:t>
      </w:r>
    </w:p>
    <w:p w14:paraId="705FCAF1" w14:textId="77777777" w:rsidR="007B679F" w:rsidRPr="007B679F" w:rsidRDefault="007B679F" w:rsidP="007B679F">
      <w:pPr>
        <w:pStyle w:val="ListParagraph"/>
        <w:tabs>
          <w:tab w:val="left" w:pos="426"/>
        </w:tabs>
        <w:ind w:left="0"/>
        <w:contextualSpacing w:val="0"/>
        <w:jc w:val="both"/>
        <w:rPr>
          <w:rFonts w:cstheme="minorHAnsi"/>
          <w:lang w:val="en-US"/>
        </w:rPr>
      </w:pPr>
      <w:r w:rsidRPr="007B679F">
        <w:rPr>
          <w:rFonts w:cstheme="minorHAnsi"/>
          <w:lang w:val="en-US"/>
        </w:rPr>
        <w:t>Internal audits may cover any programs and activities of the Town and encompass the review of all financial and non-financial policies and operations.</w:t>
      </w:r>
    </w:p>
    <w:p w14:paraId="25F974D1" w14:textId="77777777" w:rsidR="007B679F" w:rsidRPr="007B679F" w:rsidRDefault="007B679F" w:rsidP="007B679F">
      <w:pPr>
        <w:tabs>
          <w:tab w:val="left" w:pos="426"/>
        </w:tabs>
        <w:spacing w:after="0"/>
        <w:rPr>
          <w:rFonts w:cstheme="minorHAnsi"/>
          <w:b/>
          <w:lang w:val="en-US"/>
        </w:rPr>
      </w:pPr>
      <w:r w:rsidRPr="007B679F">
        <w:rPr>
          <w:rFonts w:cstheme="minorHAnsi"/>
          <w:b/>
          <w:lang w:val="en-US"/>
        </w:rPr>
        <w:t>Independence</w:t>
      </w:r>
    </w:p>
    <w:p w14:paraId="6E0333BD" w14:textId="77777777" w:rsidR="007B679F" w:rsidRPr="007B679F" w:rsidRDefault="007B679F" w:rsidP="002A3889">
      <w:pPr>
        <w:pStyle w:val="ListParagraph"/>
        <w:numPr>
          <w:ilvl w:val="0"/>
          <w:numId w:val="69"/>
        </w:numPr>
        <w:tabs>
          <w:tab w:val="left" w:pos="567"/>
        </w:tabs>
        <w:spacing w:after="0" w:line="240" w:lineRule="auto"/>
        <w:ind w:left="567" w:hanging="425"/>
        <w:jc w:val="both"/>
        <w:rPr>
          <w:rFonts w:cstheme="minorHAnsi"/>
          <w:lang w:val="en-US"/>
        </w:rPr>
      </w:pPr>
      <w:r w:rsidRPr="007B679F">
        <w:rPr>
          <w:rFonts w:cstheme="minorHAnsi"/>
          <w:lang w:val="en-US"/>
        </w:rPr>
        <w:t>Independence is essential to the effectiveness of the internal audit function.</w:t>
      </w:r>
    </w:p>
    <w:p w14:paraId="0BE4D43F" w14:textId="77777777" w:rsidR="007B679F" w:rsidRPr="007B679F" w:rsidRDefault="007B679F" w:rsidP="002A3889">
      <w:pPr>
        <w:pStyle w:val="ListParagraph"/>
        <w:numPr>
          <w:ilvl w:val="0"/>
          <w:numId w:val="69"/>
        </w:numPr>
        <w:tabs>
          <w:tab w:val="left" w:pos="567"/>
        </w:tabs>
        <w:spacing w:after="0" w:line="240" w:lineRule="auto"/>
        <w:ind w:left="567" w:hanging="425"/>
        <w:jc w:val="both"/>
        <w:rPr>
          <w:rFonts w:cstheme="minorHAnsi"/>
          <w:lang w:val="en-US"/>
        </w:rPr>
      </w:pPr>
      <w:r w:rsidRPr="007B679F">
        <w:rPr>
          <w:rFonts w:cstheme="minorHAnsi"/>
          <w:lang w:val="en-US"/>
        </w:rPr>
        <w:t>Internal audits will be performed by either using a dedicated internal audit resource reporting to the Office of the Chief Executive Officer or independent external contractors.</w:t>
      </w:r>
    </w:p>
    <w:p w14:paraId="64AF2EA8" w14:textId="77777777" w:rsidR="007B679F" w:rsidRPr="007B679F" w:rsidRDefault="007B679F" w:rsidP="002A3889">
      <w:pPr>
        <w:pStyle w:val="ListParagraph"/>
        <w:numPr>
          <w:ilvl w:val="0"/>
          <w:numId w:val="69"/>
        </w:numPr>
        <w:tabs>
          <w:tab w:val="left" w:pos="567"/>
        </w:tabs>
        <w:spacing w:after="0" w:line="240" w:lineRule="auto"/>
        <w:ind w:left="567" w:hanging="425"/>
        <w:jc w:val="both"/>
        <w:rPr>
          <w:rFonts w:cstheme="minorHAnsi"/>
          <w:lang w:val="en-US"/>
        </w:rPr>
      </w:pPr>
      <w:r w:rsidRPr="007B679F">
        <w:rPr>
          <w:rFonts w:cstheme="minorHAnsi"/>
          <w:lang w:val="en-US"/>
        </w:rPr>
        <w:t xml:space="preserve">Internal auditors report functionally to Council through the Audit Committee and are accountable to the Chief Executive Officer for the efficient and effective operation of the internal audit function. </w:t>
      </w:r>
    </w:p>
    <w:p w14:paraId="2F9DBE98" w14:textId="77777777" w:rsidR="007B679F" w:rsidRPr="007B679F" w:rsidRDefault="007B679F" w:rsidP="007B679F">
      <w:pPr>
        <w:tabs>
          <w:tab w:val="left" w:pos="426"/>
        </w:tabs>
        <w:spacing w:before="200" w:after="0"/>
        <w:rPr>
          <w:rFonts w:cstheme="minorHAnsi"/>
          <w:b/>
          <w:lang w:val="en-US"/>
        </w:rPr>
      </w:pPr>
      <w:r w:rsidRPr="007B679F">
        <w:rPr>
          <w:rFonts w:cstheme="minorHAnsi"/>
          <w:b/>
          <w:lang w:val="en-US"/>
        </w:rPr>
        <w:t>Authority and confidentiality</w:t>
      </w:r>
    </w:p>
    <w:p w14:paraId="51A5A5B5" w14:textId="77777777" w:rsidR="007B679F" w:rsidRPr="007B679F" w:rsidRDefault="007B679F" w:rsidP="007B679F">
      <w:pPr>
        <w:tabs>
          <w:tab w:val="left" w:pos="426"/>
        </w:tabs>
        <w:spacing w:after="60"/>
        <w:rPr>
          <w:rFonts w:cstheme="minorHAnsi"/>
          <w:lang w:val="en-US"/>
        </w:rPr>
      </w:pPr>
      <w:r w:rsidRPr="007B679F">
        <w:rPr>
          <w:rFonts w:cstheme="minorHAnsi"/>
          <w:lang w:val="en-US"/>
        </w:rPr>
        <w:t xml:space="preserve">Internal auditors are </w:t>
      </w:r>
      <w:proofErr w:type="spellStart"/>
      <w:r w:rsidRPr="007B679F">
        <w:rPr>
          <w:rFonts w:cstheme="minorHAnsi"/>
          <w:lang w:val="en-US"/>
        </w:rPr>
        <w:t>authorised</w:t>
      </w:r>
      <w:proofErr w:type="spellEnd"/>
      <w:r w:rsidRPr="007B679F">
        <w:rPr>
          <w:rFonts w:cstheme="minorHAnsi"/>
          <w:lang w:val="en-US"/>
        </w:rPr>
        <w:t xml:space="preserve"> to:</w:t>
      </w:r>
    </w:p>
    <w:p w14:paraId="5AD2FE73" w14:textId="77777777" w:rsidR="007B679F" w:rsidRPr="007B679F" w:rsidRDefault="007B679F" w:rsidP="002A3889">
      <w:pPr>
        <w:pStyle w:val="ListParagraph"/>
        <w:numPr>
          <w:ilvl w:val="0"/>
          <w:numId w:val="70"/>
        </w:numPr>
        <w:tabs>
          <w:tab w:val="left" w:pos="426"/>
        </w:tabs>
        <w:spacing w:after="60" w:line="240" w:lineRule="auto"/>
        <w:ind w:left="426" w:hanging="426"/>
        <w:contextualSpacing w:val="0"/>
        <w:jc w:val="both"/>
        <w:rPr>
          <w:rFonts w:cstheme="minorHAnsi"/>
          <w:lang w:val="en-US"/>
        </w:rPr>
      </w:pPr>
      <w:r w:rsidRPr="007B679F">
        <w:rPr>
          <w:rFonts w:cstheme="minorHAnsi"/>
          <w:lang w:val="en-US"/>
        </w:rPr>
        <w:t xml:space="preserve">have full free and unrestricted access to </w:t>
      </w:r>
      <w:proofErr w:type="gramStart"/>
      <w:r w:rsidRPr="007B679F">
        <w:rPr>
          <w:rFonts w:cstheme="minorHAnsi"/>
          <w:lang w:val="en-US"/>
        </w:rPr>
        <w:t>any and all</w:t>
      </w:r>
      <w:proofErr w:type="gramEnd"/>
      <w:r w:rsidRPr="007B679F">
        <w:rPr>
          <w:rFonts w:cstheme="minorHAnsi"/>
          <w:lang w:val="en-US"/>
        </w:rPr>
        <w:t xml:space="preserve"> of the Town’s records and other documentation, premises and Town employees; and</w:t>
      </w:r>
    </w:p>
    <w:p w14:paraId="6B78589E" w14:textId="77777777" w:rsidR="007B679F" w:rsidRPr="007B679F" w:rsidRDefault="007B679F" w:rsidP="002A3889">
      <w:pPr>
        <w:pStyle w:val="ListParagraph"/>
        <w:numPr>
          <w:ilvl w:val="0"/>
          <w:numId w:val="70"/>
        </w:numPr>
        <w:tabs>
          <w:tab w:val="left" w:pos="426"/>
        </w:tabs>
        <w:spacing w:after="0" w:line="240" w:lineRule="auto"/>
        <w:ind w:left="426" w:hanging="426"/>
        <w:contextualSpacing w:val="0"/>
        <w:jc w:val="both"/>
        <w:rPr>
          <w:rFonts w:cstheme="minorHAnsi"/>
          <w:lang w:val="en-US"/>
        </w:rPr>
      </w:pPr>
      <w:r w:rsidRPr="007B679F">
        <w:rPr>
          <w:rFonts w:cstheme="minorHAnsi"/>
          <w:lang w:val="en-US"/>
        </w:rPr>
        <w:t>obtain assistance as required from Town employees.</w:t>
      </w:r>
    </w:p>
    <w:p w14:paraId="02EC933F" w14:textId="77777777" w:rsidR="007B679F" w:rsidRPr="007B679F" w:rsidRDefault="007B679F" w:rsidP="007B679F">
      <w:pPr>
        <w:pStyle w:val="ListParagraph"/>
        <w:tabs>
          <w:tab w:val="left" w:pos="426"/>
        </w:tabs>
        <w:spacing w:after="0"/>
        <w:ind w:left="426"/>
        <w:contextualSpacing w:val="0"/>
        <w:rPr>
          <w:rFonts w:cstheme="minorHAnsi"/>
          <w:lang w:val="en-US"/>
        </w:rPr>
      </w:pPr>
    </w:p>
    <w:p w14:paraId="48D99674" w14:textId="77777777" w:rsidR="007B679F" w:rsidRPr="007B679F" w:rsidRDefault="007B679F" w:rsidP="007B679F">
      <w:pPr>
        <w:tabs>
          <w:tab w:val="left" w:pos="426"/>
        </w:tabs>
        <w:spacing w:after="0"/>
        <w:jc w:val="both"/>
        <w:rPr>
          <w:rFonts w:cstheme="minorHAnsi"/>
          <w:lang w:val="en-US"/>
        </w:rPr>
      </w:pPr>
      <w:r w:rsidRPr="007B679F">
        <w:rPr>
          <w:rFonts w:cstheme="minorHAnsi"/>
          <w:lang w:val="en-US"/>
        </w:rPr>
        <w:lastRenderedPageBreak/>
        <w:t xml:space="preserve">Internal auditors are responsible and accountable for maintaining the confidentiality of the information they receive </w:t>
      </w:r>
      <w:proofErr w:type="gramStart"/>
      <w:r w:rsidRPr="007B679F">
        <w:rPr>
          <w:rFonts w:cstheme="minorHAnsi"/>
          <w:lang w:val="en-US"/>
        </w:rPr>
        <w:t>during the course of</w:t>
      </w:r>
      <w:proofErr w:type="gramEnd"/>
      <w:r w:rsidRPr="007B679F">
        <w:rPr>
          <w:rFonts w:cstheme="minorHAnsi"/>
          <w:lang w:val="en-US"/>
        </w:rPr>
        <w:t xml:space="preserve"> their work.</w:t>
      </w:r>
    </w:p>
    <w:p w14:paraId="5E6DAD51" w14:textId="77777777" w:rsidR="007B679F" w:rsidRPr="007B679F" w:rsidRDefault="007B679F" w:rsidP="007B679F">
      <w:pPr>
        <w:tabs>
          <w:tab w:val="left" w:pos="426"/>
        </w:tabs>
        <w:spacing w:before="200" w:after="0"/>
        <w:rPr>
          <w:rFonts w:cstheme="minorHAnsi"/>
          <w:b/>
          <w:lang w:val="en-US"/>
        </w:rPr>
      </w:pPr>
      <w:r w:rsidRPr="007B679F">
        <w:rPr>
          <w:rFonts w:cstheme="minorHAnsi"/>
          <w:b/>
          <w:lang w:val="en-US"/>
        </w:rPr>
        <w:t>Roles and responsibilities</w:t>
      </w:r>
    </w:p>
    <w:p w14:paraId="309EF0B7" w14:textId="77777777" w:rsidR="007B679F" w:rsidRPr="007B679F" w:rsidRDefault="007B679F" w:rsidP="007B679F">
      <w:pPr>
        <w:tabs>
          <w:tab w:val="left" w:pos="426"/>
        </w:tabs>
        <w:spacing w:after="60"/>
        <w:jc w:val="both"/>
        <w:rPr>
          <w:rFonts w:cstheme="minorHAnsi"/>
          <w:lang w:val="en-US"/>
        </w:rPr>
      </w:pPr>
      <w:r w:rsidRPr="007B679F">
        <w:rPr>
          <w:rFonts w:cstheme="minorHAnsi"/>
          <w:lang w:val="en-US"/>
        </w:rPr>
        <w:t>The internal audit activity encompasses, but is not limited to, the examination and evaluation of the adequacy and effectiveness of the Town’s governance, risk management and internal controls as well as the quality of performance in carrying out assigned responsibilities to achieve the Town’s strategic objectives. This may include:</w:t>
      </w:r>
    </w:p>
    <w:p w14:paraId="5C8572B9"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evaluating risk exposure relating to achievement of the Towns strategic </w:t>
      </w:r>
      <w:proofErr w:type="gramStart"/>
      <w:r w:rsidRPr="007B679F">
        <w:rPr>
          <w:rFonts w:cstheme="minorHAnsi"/>
          <w:lang w:val="en-US"/>
        </w:rPr>
        <w:t>objectives;</w:t>
      </w:r>
      <w:proofErr w:type="gramEnd"/>
    </w:p>
    <w:p w14:paraId="068EFFAC"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evaluating the reliability and integrity of information and the means used to identify, measure, classify and report such </w:t>
      </w:r>
      <w:proofErr w:type="gramStart"/>
      <w:r w:rsidRPr="007B679F">
        <w:rPr>
          <w:rFonts w:cstheme="minorHAnsi"/>
          <w:lang w:val="en-US"/>
        </w:rPr>
        <w:t>information;</w:t>
      </w:r>
      <w:proofErr w:type="gramEnd"/>
    </w:p>
    <w:p w14:paraId="36F32281"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evaluating the systems established to ensure compliance with those policies, plans, procedures, laws and regulations which could have a significant impact on the </w:t>
      </w:r>
      <w:proofErr w:type="spellStart"/>
      <w:proofErr w:type="gramStart"/>
      <w:r w:rsidRPr="007B679F">
        <w:rPr>
          <w:rFonts w:cstheme="minorHAnsi"/>
          <w:lang w:val="en-US"/>
        </w:rPr>
        <w:t>organisation</w:t>
      </w:r>
      <w:proofErr w:type="spellEnd"/>
      <w:r w:rsidRPr="007B679F">
        <w:rPr>
          <w:rFonts w:cstheme="minorHAnsi"/>
          <w:lang w:val="en-US"/>
        </w:rPr>
        <w:t>;</w:t>
      </w:r>
      <w:proofErr w:type="gramEnd"/>
    </w:p>
    <w:p w14:paraId="287F9178"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evaluating the means of safeguarding assets and – as appropriate – verifying the existence of such </w:t>
      </w:r>
      <w:proofErr w:type="gramStart"/>
      <w:r w:rsidRPr="007B679F">
        <w:rPr>
          <w:rFonts w:cstheme="minorHAnsi"/>
          <w:lang w:val="en-US"/>
        </w:rPr>
        <w:t>assets;</w:t>
      </w:r>
      <w:proofErr w:type="gramEnd"/>
    </w:p>
    <w:p w14:paraId="40FC83EE"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evaluating the effectiveness and efficiency with which resources are </w:t>
      </w:r>
      <w:proofErr w:type="gramStart"/>
      <w:r w:rsidRPr="007B679F">
        <w:rPr>
          <w:rFonts w:cstheme="minorHAnsi"/>
          <w:lang w:val="en-US"/>
        </w:rPr>
        <w:t>employed;</w:t>
      </w:r>
      <w:proofErr w:type="gramEnd"/>
    </w:p>
    <w:p w14:paraId="325E2B69"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evaluating operations or programs to ascertain whether results are consistent with established objectives and goals and whether the operations or programs are carried out as </w:t>
      </w:r>
      <w:proofErr w:type="gramStart"/>
      <w:r w:rsidRPr="007B679F">
        <w:rPr>
          <w:rFonts w:cstheme="minorHAnsi"/>
          <w:lang w:val="en-US"/>
        </w:rPr>
        <w:t>planned;</w:t>
      </w:r>
      <w:proofErr w:type="gramEnd"/>
    </w:p>
    <w:p w14:paraId="61B42ED6"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monitoring and evaluating governance </w:t>
      </w:r>
      <w:proofErr w:type="gramStart"/>
      <w:r w:rsidRPr="007B679F">
        <w:rPr>
          <w:rFonts w:cstheme="minorHAnsi"/>
          <w:lang w:val="en-US"/>
        </w:rPr>
        <w:t>processes;</w:t>
      </w:r>
      <w:proofErr w:type="gramEnd"/>
    </w:p>
    <w:p w14:paraId="5875C3D3"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monitoring and evaluating the effectiveness of the Towns risk management </w:t>
      </w:r>
      <w:proofErr w:type="gramStart"/>
      <w:r w:rsidRPr="007B679F">
        <w:rPr>
          <w:rFonts w:cstheme="minorHAnsi"/>
          <w:lang w:val="en-US"/>
        </w:rPr>
        <w:t>processes;</w:t>
      </w:r>
      <w:proofErr w:type="gramEnd"/>
    </w:p>
    <w:p w14:paraId="38E647B3"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evaluating the quality of performance of external auditors and the degree of coordination with internal </w:t>
      </w:r>
      <w:proofErr w:type="gramStart"/>
      <w:r w:rsidRPr="007B679F">
        <w:rPr>
          <w:rFonts w:cstheme="minorHAnsi"/>
          <w:lang w:val="en-US"/>
        </w:rPr>
        <w:t>audit;</w:t>
      </w:r>
      <w:proofErr w:type="gramEnd"/>
    </w:p>
    <w:p w14:paraId="755973E4"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 xml:space="preserve">providing advice related to governance, risk management and internal control as </w:t>
      </w:r>
      <w:proofErr w:type="gramStart"/>
      <w:r w:rsidRPr="007B679F">
        <w:rPr>
          <w:rFonts w:cstheme="minorHAnsi"/>
          <w:lang w:val="en-US"/>
        </w:rPr>
        <w:t>appropriate;</w:t>
      </w:r>
      <w:proofErr w:type="gramEnd"/>
    </w:p>
    <w:p w14:paraId="03BFF82E" w14:textId="77777777" w:rsidR="007B679F" w:rsidRPr="007B679F" w:rsidRDefault="007B679F" w:rsidP="002A3889">
      <w:pPr>
        <w:pStyle w:val="ListParagraph"/>
        <w:numPr>
          <w:ilvl w:val="0"/>
          <w:numId w:val="71"/>
        </w:numPr>
        <w:tabs>
          <w:tab w:val="left" w:pos="426"/>
        </w:tabs>
        <w:spacing w:after="60" w:line="240" w:lineRule="auto"/>
        <w:ind w:left="425" w:hanging="425"/>
        <w:contextualSpacing w:val="0"/>
        <w:jc w:val="both"/>
        <w:rPr>
          <w:rFonts w:cstheme="minorHAnsi"/>
          <w:lang w:val="en-US"/>
        </w:rPr>
      </w:pPr>
      <w:r w:rsidRPr="007B679F">
        <w:rPr>
          <w:rFonts w:cstheme="minorHAnsi"/>
          <w:lang w:val="en-US"/>
        </w:rPr>
        <w:t>reporting significant risk exposures and internal control issues, including fraud risks and governance issues; and</w:t>
      </w:r>
    </w:p>
    <w:p w14:paraId="76A0A40C" w14:textId="77777777" w:rsidR="007B679F" w:rsidRPr="007B679F" w:rsidRDefault="007B679F" w:rsidP="002A3889">
      <w:pPr>
        <w:pStyle w:val="ListParagraph"/>
        <w:numPr>
          <w:ilvl w:val="0"/>
          <w:numId w:val="71"/>
        </w:numPr>
        <w:tabs>
          <w:tab w:val="left" w:pos="426"/>
        </w:tabs>
        <w:spacing w:after="0" w:line="240" w:lineRule="auto"/>
        <w:ind w:left="426" w:hanging="426"/>
        <w:jc w:val="both"/>
        <w:rPr>
          <w:rFonts w:cstheme="minorHAnsi"/>
          <w:lang w:val="en-US"/>
        </w:rPr>
      </w:pPr>
      <w:r w:rsidRPr="007B679F">
        <w:rPr>
          <w:rFonts w:cstheme="minorHAnsi"/>
          <w:lang w:val="en-US"/>
        </w:rPr>
        <w:t>evaluating specific operations at the request of Council and the Chief Executive Officer.</w:t>
      </w:r>
    </w:p>
    <w:p w14:paraId="0BC24810" w14:textId="77777777" w:rsidR="007B679F" w:rsidRPr="007B679F" w:rsidRDefault="007B679F" w:rsidP="007B679F">
      <w:pPr>
        <w:pStyle w:val="ListParagraph"/>
        <w:spacing w:before="200" w:after="0"/>
        <w:ind w:left="0"/>
        <w:contextualSpacing w:val="0"/>
        <w:rPr>
          <w:rFonts w:cstheme="minorHAnsi"/>
          <w:b/>
          <w:lang w:val="en-US"/>
        </w:rPr>
      </w:pPr>
      <w:r w:rsidRPr="007B679F">
        <w:rPr>
          <w:rFonts w:cstheme="minorHAnsi"/>
          <w:b/>
          <w:lang w:val="en-US"/>
        </w:rPr>
        <w:t>Relationship with external audit</w:t>
      </w:r>
    </w:p>
    <w:p w14:paraId="37535046" w14:textId="77777777" w:rsidR="007B679F" w:rsidRPr="007B679F" w:rsidRDefault="007B679F" w:rsidP="007B679F">
      <w:pPr>
        <w:jc w:val="both"/>
        <w:rPr>
          <w:rFonts w:cstheme="minorHAnsi"/>
          <w:lang w:val="en-US"/>
        </w:rPr>
      </w:pPr>
      <w:r w:rsidRPr="007B679F">
        <w:rPr>
          <w:rFonts w:cstheme="minorHAnsi"/>
          <w:lang w:val="en-US"/>
        </w:rPr>
        <w:t xml:space="preserve">Internal and external audit activities will be coordinated to help ensure the adequacy of overall audit coverage and to </w:t>
      </w:r>
      <w:proofErr w:type="spellStart"/>
      <w:r w:rsidRPr="007B679F">
        <w:rPr>
          <w:rFonts w:cstheme="minorHAnsi"/>
          <w:lang w:val="en-US"/>
        </w:rPr>
        <w:t>minimise</w:t>
      </w:r>
      <w:proofErr w:type="spellEnd"/>
      <w:r w:rsidRPr="007B679F">
        <w:rPr>
          <w:rFonts w:cstheme="minorHAnsi"/>
          <w:lang w:val="en-US"/>
        </w:rPr>
        <w:t xml:space="preserve"> duplication of effort.</w:t>
      </w:r>
    </w:p>
    <w:p w14:paraId="123B6BB1" w14:textId="77777777" w:rsidR="007B679F" w:rsidRPr="007B679F" w:rsidRDefault="007B679F" w:rsidP="007B679F">
      <w:pPr>
        <w:tabs>
          <w:tab w:val="left" w:pos="426"/>
        </w:tabs>
        <w:rPr>
          <w:rFonts w:cstheme="minorHAnsi"/>
          <w:b/>
          <w:lang w:val="en-US"/>
        </w:rPr>
      </w:pPr>
    </w:p>
    <w:tbl>
      <w:tblPr>
        <w:tblStyle w:val="TableGrid"/>
        <w:tblW w:w="0" w:type="auto"/>
        <w:tblLook w:val="04A0" w:firstRow="1" w:lastRow="0" w:firstColumn="1" w:lastColumn="0" w:noHBand="0" w:noVBand="1"/>
      </w:tblPr>
      <w:tblGrid>
        <w:gridCol w:w="3114"/>
        <w:gridCol w:w="5902"/>
      </w:tblGrid>
      <w:tr w:rsidR="007B679F" w:rsidRPr="007B679F" w14:paraId="3679A3E9" w14:textId="77777777" w:rsidTr="009F1EDC">
        <w:tc>
          <w:tcPr>
            <w:tcW w:w="3114" w:type="dxa"/>
          </w:tcPr>
          <w:p w14:paraId="0C9F2C1D" w14:textId="77777777" w:rsidR="007B679F" w:rsidRPr="007B679F" w:rsidRDefault="007B679F" w:rsidP="009F1EDC">
            <w:pPr>
              <w:jc w:val="both"/>
              <w:rPr>
                <w:rFonts w:cstheme="minorHAnsi"/>
                <w:b/>
                <w:lang w:val="en-US"/>
              </w:rPr>
            </w:pPr>
            <w:r w:rsidRPr="007B679F">
              <w:rPr>
                <w:rFonts w:cstheme="minorHAnsi"/>
                <w:b/>
                <w:lang w:val="en-US"/>
              </w:rPr>
              <w:t>Responsible Directorate:</w:t>
            </w:r>
          </w:p>
        </w:tc>
        <w:tc>
          <w:tcPr>
            <w:tcW w:w="5902" w:type="dxa"/>
          </w:tcPr>
          <w:p w14:paraId="516BFA99" w14:textId="77777777" w:rsidR="007B679F" w:rsidRPr="007B679F" w:rsidRDefault="007B679F" w:rsidP="009F1EDC">
            <w:pPr>
              <w:jc w:val="both"/>
              <w:rPr>
                <w:rFonts w:cstheme="minorHAnsi"/>
                <w:lang w:val="en-US"/>
              </w:rPr>
            </w:pPr>
            <w:r w:rsidRPr="007B679F">
              <w:rPr>
                <w:rFonts w:cstheme="minorHAnsi"/>
                <w:lang w:val="en-US"/>
              </w:rPr>
              <w:t>Offic</w:t>
            </w:r>
            <w:r w:rsidR="00B00D30">
              <w:rPr>
                <w:rFonts w:cstheme="minorHAnsi"/>
                <w:lang w:val="en-US"/>
              </w:rPr>
              <w:t>e of the CEO</w:t>
            </w:r>
          </w:p>
        </w:tc>
      </w:tr>
      <w:tr w:rsidR="007B679F" w:rsidRPr="007B679F" w14:paraId="3829772C" w14:textId="77777777" w:rsidTr="009F1EDC">
        <w:tc>
          <w:tcPr>
            <w:tcW w:w="3114" w:type="dxa"/>
          </w:tcPr>
          <w:p w14:paraId="739203CC" w14:textId="77777777" w:rsidR="007B679F" w:rsidRPr="007B679F" w:rsidRDefault="007B679F" w:rsidP="009F1EDC">
            <w:pPr>
              <w:jc w:val="both"/>
              <w:rPr>
                <w:rFonts w:cstheme="minorHAnsi"/>
                <w:b/>
                <w:lang w:val="en-US"/>
              </w:rPr>
            </w:pPr>
            <w:r w:rsidRPr="007B679F">
              <w:rPr>
                <w:rFonts w:cstheme="minorHAnsi"/>
                <w:b/>
                <w:lang w:val="en-US"/>
              </w:rPr>
              <w:t>Reviewing Officer:</w:t>
            </w:r>
          </w:p>
        </w:tc>
        <w:tc>
          <w:tcPr>
            <w:tcW w:w="5902" w:type="dxa"/>
          </w:tcPr>
          <w:p w14:paraId="43A8A75D" w14:textId="77777777" w:rsidR="007B679F" w:rsidRPr="007B679F" w:rsidRDefault="007B679F" w:rsidP="009F1EDC">
            <w:pPr>
              <w:jc w:val="both"/>
              <w:rPr>
                <w:rFonts w:cstheme="minorHAnsi"/>
                <w:lang w:val="en-US"/>
              </w:rPr>
            </w:pPr>
            <w:r w:rsidRPr="007B679F">
              <w:rPr>
                <w:rFonts w:cstheme="minorHAnsi"/>
                <w:lang w:val="en-US"/>
              </w:rPr>
              <w:t>Executive Manager Corporate Services</w:t>
            </w:r>
          </w:p>
        </w:tc>
      </w:tr>
      <w:tr w:rsidR="007B679F" w:rsidRPr="007B679F" w14:paraId="621C299E" w14:textId="77777777" w:rsidTr="009F1EDC">
        <w:tc>
          <w:tcPr>
            <w:tcW w:w="3114" w:type="dxa"/>
          </w:tcPr>
          <w:p w14:paraId="29CDAB67" w14:textId="77777777" w:rsidR="007B679F" w:rsidRPr="007B679F" w:rsidRDefault="007B679F" w:rsidP="009F1EDC">
            <w:pPr>
              <w:jc w:val="both"/>
              <w:rPr>
                <w:rFonts w:cstheme="minorHAnsi"/>
                <w:b/>
                <w:lang w:val="en-US"/>
              </w:rPr>
            </w:pPr>
            <w:r w:rsidRPr="007B679F">
              <w:rPr>
                <w:rFonts w:cstheme="minorHAnsi"/>
                <w:b/>
                <w:lang w:val="en-US"/>
              </w:rPr>
              <w:t>Decision making Authority:</w:t>
            </w:r>
          </w:p>
        </w:tc>
        <w:tc>
          <w:tcPr>
            <w:tcW w:w="5902" w:type="dxa"/>
          </w:tcPr>
          <w:p w14:paraId="52354EC8" w14:textId="77777777" w:rsidR="007B679F" w:rsidRPr="007B679F" w:rsidRDefault="007B679F" w:rsidP="009F1EDC">
            <w:pPr>
              <w:jc w:val="both"/>
              <w:rPr>
                <w:rFonts w:cstheme="minorHAnsi"/>
                <w:lang w:val="en-US"/>
              </w:rPr>
            </w:pPr>
            <w:r w:rsidRPr="007B679F">
              <w:rPr>
                <w:rFonts w:cstheme="minorHAnsi"/>
                <w:lang w:val="en-US"/>
              </w:rPr>
              <w:t>Council</w:t>
            </w:r>
          </w:p>
        </w:tc>
      </w:tr>
      <w:tr w:rsidR="007B679F" w:rsidRPr="007B679F" w14:paraId="4682F11F" w14:textId="77777777" w:rsidTr="009F1EDC">
        <w:tc>
          <w:tcPr>
            <w:tcW w:w="3114" w:type="dxa"/>
          </w:tcPr>
          <w:p w14:paraId="6D757FDE" w14:textId="77777777" w:rsidR="007B679F" w:rsidRPr="007B679F" w:rsidRDefault="007B679F" w:rsidP="009F1EDC">
            <w:pPr>
              <w:jc w:val="both"/>
              <w:rPr>
                <w:rFonts w:cstheme="minorHAnsi"/>
                <w:b/>
                <w:lang w:val="en-US"/>
              </w:rPr>
            </w:pPr>
            <w:r w:rsidRPr="007B679F">
              <w:rPr>
                <w:rFonts w:cstheme="minorHAnsi"/>
                <w:b/>
                <w:lang w:val="en-US"/>
              </w:rPr>
              <w:t>Policy Adopted:</w:t>
            </w:r>
          </w:p>
        </w:tc>
        <w:tc>
          <w:tcPr>
            <w:tcW w:w="5902" w:type="dxa"/>
          </w:tcPr>
          <w:p w14:paraId="4FB74FF3" w14:textId="77777777" w:rsidR="007B679F" w:rsidRPr="007B679F" w:rsidRDefault="007B679F" w:rsidP="0029325F">
            <w:pPr>
              <w:jc w:val="both"/>
              <w:rPr>
                <w:rFonts w:cstheme="minorHAnsi"/>
                <w:lang w:val="en-US"/>
              </w:rPr>
            </w:pPr>
            <w:r w:rsidRPr="007B679F">
              <w:rPr>
                <w:rFonts w:cstheme="minorHAnsi"/>
                <w:lang w:val="en-US"/>
              </w:rPr>
              <w:t>20</w:t>
            </w:r>
            <w:r w:rsidR="0029325F">
              <w:rPr>
                <w:rFonts w:cstheme="minorHAnsi"/>
                <w:lang w:val="en-US"/>
              </w:rPr>
              <w:t>/11/</w:t>
            </w:r>
            <w:r w:rsidRPr="007B679F">
              <w:rPr>
                <w:rFonts w:cstheme="minorHAnsi"/>
                <w:lang w:val="en-US"/>
              </w:rPr>
              <w:t>18</w:t>
            </w:r>
          </w:p>
        </w:tc>
      </w:tr>
      <w:tr w:rsidR="007B679F" w:rsidRPr="007B679F" w14:paraId="15AC6EF8" w14:textId="77777777" w:rsidTr="009F1EDC">
        <w:tc>
          <w:tcPr>
            <w:tcW w:w="3114" w:type="dxa"/>
          </w:tcPr>
          <w:p w14:paraId="286915EB" w14:textId="77777777" w:rsidR="007B679F" w:rsidRPr="007B679F" w:rsidRDefault="007B679F" w:rsidP="009F1EDC">
            <w:pPr>
              <w:jc w:val="both"/>
              <w:rPr>
                <w:rFonts w:cstheme="minorHAnsi"/>
                <w:b/>
                <w:lang w:val="en-US"/>
              </w:rPr>
            </w:pPr>
            <w:r w:rsidRPr="007B679F">
              <w:rPr>
                <w:rFonts w:cstheme="minorHAnsi"/>
                <w:b/>
                <w:lang w:val="en-US"/>
              </w:rPr>
              <w:t>Policy Amended:</w:t>
            </w:r>
          </w:p>
        </w:tc>
        <w:tc>
          <w:tcPr>
            <w:tcW w:w="5902" w:type="dxa"/>
          </w:tcPr>
          <w:p w14:paraId="627AA22C" w14:textId="77777777" w:rsidR="007B679F" w:rsidRPr="007B679F" w:rsidRDefault="003C6BA5" w:rsidP="009F1EDC">
            <w:pPr>
              <w:jc w:val="both"/>
              <w:rPr>
                <w:rFonts w:cstheme="minorHAnsi"/>
                <w:lang w:val="en-US"/>
              </w:rPr>
            </w:pPr>
            <w:r>
              <w:rPr>
                <w:rFonts w:cstheme="minorHAnsi"/>
                <w:lang w:val="en-US"/>
              </w:rPr>
              <w:t>17/9/19</w:t>
            </w:r>
          </w:p>
        </w:tc>
      </w:tr>
      <w:tr w:rsidR="007B679F" w:rsidRPr="007B679F" w14:paraId="4B7F7DD1" w14:textId="77777777" w:rsidTr="009F1EDC">
        <w:tc>
          <w:tcPr>
            <w:tcW w:w="3114" w:type="dxa"/>
          </w:tcPr>
          <w:p w14:paraId="1329D2AC" w14:textId="77777777" w:rsidR="007B679F" w:rsidRPr="007B679F" w:rsidRDefault="0029325F" w:rsidP="009F1EDC">
            <w:pPr>
              <w:jc w:val="both"/>
              <w:rPr>
                <w:rFonts w:cstheme="minorHAnsi"/>
                <w:b/>
                <w:lang w:val="en-US"/>
              </w:rPr>
            </w:pPr>
            <w:r>
              <w:rPr>
                <w:rFonts w:cstheme="minorHAnsi"/>
                <w:b/>
                <w:lang w:val="en-US"/>
              </w:rPr>
              <w:t>Former Policy No.</w:t>
            </w:r>
          </w:p>
        </w:tc>
        <w:tc>
          <w:tcPr>
            <w:tcW w:w="5902" w:type="dxa"/>
          </w:tcPr>
          <w:p w14:paraId="4683DB43" w14:textId="77777777" w:rsidR="007B679F" w:rsidRPr="007B679F" w:rsidRDefault="009F1EDC" w:rsidP="009F1EDC">
            <w:pPr>
              <w:jc w:val="both"/>
              <w:rPr>
                <w:rFonts w:cstheme="minorHAnsi"/>
                <w:lang w:val="en-US"/>
              </w:rPr>
            </w:pPr>
            <w:r>
              <w:rPr>
                <w:rFonts w:cstheme="minorHAnsi"/>
                <w:lang w:val="en-US"/>
              </w:rPr>
              <w:t>4.3.5</w:t>
            </w:r>
          </w:p>
        </w:tc>
      </w:tr>
    </w:tbl>
    <w:p w14:paraId="750AAB04" w14:textId="77777777" w:rsidR="007B679F" w:rsidRPr="007B679F" w:rsidRDefault="007B679F" w:rsidP="007B679F">
      <w:pPr>
        <w:jc w:val="both"/>
        <w:rPr>
          <w:rFonts w:cstheme="minorHAnsi"/>
          <w:lang w:val="en-US"/>
        </w:rPr>
      </w:pPr>
    </w:p>
    <w:p w14:paraId="354FAE77" w14:textId="77777777" w:rsidR="0046441B" w:rsidRPr="007B679F" w:rsidRDefault="0046441B" w:rsidP="0046441B">
      <w:pPr>
        <w:rPr>
          <w:rFonts w:cstheme="minorHAnsi"/>
        </w:rPr>
      </w:pPr>
    </w:p>
    <w:p w14:paraId="4CE4E85E" w14:textId="77777777" w:rsidR="0029325F" w:rsidRDefault="0029325F">
      <w:pPr>
        <w:rPr>
          <w:rFonts w:cstheme="minorHAnsi"/>
        </w:rPr>
      </w:pPr>
      <w:r>
        <w:rPr>
          <w:rFonts w:cstheme="minorHAnsi"/>
        </w:rPr>
        <w:br w:type="page"/>
      </w:r>
    </w:p>
    <w:p w14:paraId="04B32F86" w14:textId="4897F6FA" w:rsidR="0016753D" w:rsidRDefault="00837116" w:rsidP="0016753D">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46976" behindDoc="1" locked="0" layoutInCell="1" allowOverlap="1" wp14:anchorId="27E2C68B" wp14:editId="2A67F190">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932E532" w14:textId="77777777" w:rsidR="0016753D" w:rsidRPr="0016753D" w:rsidRDefault="0016753D" w:rsidP="0016753D">
      <w:pPr>
        <w:pStyle w:val="Title"/>
        <w:pBdr>
          <w:bottom w:val="none" w:sz="0" w:space="0" w:color="auto"/>
        </w:pBdr>
        <w:spacing w:before="240" w:after="240"/>
        <w:rPr>
          <w:rFonts w:ascii="Arial" w:hAnsi="Arial" w:cs="Arial"/>
          <w:b/>
          <w:sz w:val="14"/>
          <w:szCs w:val="28"/>
          <w:lang w:val="en-US"/>
        </w:rPr>
      </w:pPr>
    </w:p>
    <w:p w14:paraId="303DE3EB" w14:textId="77777777" w:rsidR="00837116" w:rsidRDefault="00837116" w:rsidP="00B00D30">
      <w:pPr>
        <w:pStyle w:val="Policy3"/>
      </w:pPr>
    </w:p>
    <w:p w14:paraId="0ADDC133" w14:textId="77777777" w:rsidR="00837116" w:rsidRDefault="00837116" w:rsidP="00B00D30">
      <w:pPr>
        <w:pStyle w:val="Policy3"/>
      </w:pPr>
    </w:p>
    <w:p w14:paraId="608F8DDF" w14:textId="515D7EFE" w:rsidR="0016753D" w:rsidRPr="0016753D" w:rsidRDefault="0016753D" w:rsidP="00B00D30">
      <w:pPr>
        <w:pStyle w:val="Policy3"/>
      </w:pPr>
      <w:bookmarkStart w:id="420" w:name="_Toc216866706"/>
      <w:r>
        <w:t>2.2.6</w:t>
      </w:r>
      <w:r>
        <w:tab/>
      </w:r>
      <w:r w:rsidRPr="0016753D">
        <w:t>R</w:t>
      </w:r>
      <w:r w:rsidR="00B00D30">
        <w:t>equests for New or Capital Upgrades to Existing Community Buildings</w:t>
      </w:r>
      <w:bookmarkEnd w:id="420"/>
    </w:p>
    <w:tbl>
      <w:tblPr>
        <w:tblStyle w:val="TableGrid"/>
        <w:tblW w:w="0" w:type="auto"/>
        <w:tblLook w:val="04A0" w:firstRow="1" w:lastRow="0" w:firstColumn="1" w:lastColumn="0" w:noHBand="0" w:noVBand="1"/>
      </w:tblPr>
      <w:tblGrid>
        <w:gridCol w:w="3022"/>
        <w:gridCol w:w="5994"/>
      </w:tblGrid>
      <w:tr w:rsidR="0016753D" w:rsidRPr="009F1EDC" w14:paraId="2A370DF3" w14:textId="77777777" w:rsidTr="00734C83">
        <w:tc>
          <w:tcPr>
            <w:tcW w:w="3022" w:type="dxa"/>
          </w:tcPr>
          <w:p w14:paraId="7E4294A0" w14:textId="77777777" w:rsidR="0016753D" w:rsidRPr="009F1EDC" w:rsidRDefault="0016753D" w:rsidP="009F1EDC">
            <w:pPr>
              <w:rPr>
                <w:rFonts w:cs="Arial"/>
                <w:b/>
                <w:lang w:val="en-US"/>
              </w:rPr>
            </w:pPr>
            <w:r w:rsidRPr="009F1EDC">
              <w:rPr>
                <w:rFonts w:cs="Arial"/>
                <w:b/>
                <w:lang w:val="en-US"/>
              </w:rPr>
              <w:t>Type:</w:t>
            </w:r>
          </w:p>
        </w:tc>
        <w:tc>
          <w:tcPr>
            <w:tcW w:w="5994" w:type="dxa"/>
          </w:tcPr>
          <w:p w14:paraId="5B4CBE8D" w14:textId="77777777" w:rsidR="0016753D" w:rsidRPr="009F1EDC" w:rsidRDefault="00734C83" w:rsidP="009F1EDC">
            <w:pPr>
              <w:rPr>
                <w:rFonts w:cs="Arial"/>
                <w:lang w:val="en-US"/>
              </w:rPr>
            </w:pPr>
            <w:r>
              <w:rPr>
                <w:rFonts w:cs="Arial"/>
                <w:lang w:val="en-US"/>
              </w:rPr>
              <w:t>Corporate Services – Risk Management</w:t>
            </w:r>
          </w:p>
        </w:tc>
      </w:tr>
      <w:tr w:rsidR="0016753D" w:rsidRPr="009F1EDC" w14:paraId="798AA3C9" w14:textId="77777777" w:rsidTr="00734C83">
        <w:tc>
          <w:tcPr>
            <w:tcW w:w="3022" w:type="dxa"/>
          </w:tcPr>
          <w:p w14:paraId="1D1EFE3E" w14:textId="77777777" w:rsidR="0016753D" w:rsidRPr="009F1EDC" w:rsidRDefault="0016753D" w:rsidP="009F1EDC">
            <w:pPr>
              <w:rPr>
                <w:rFonts w:cs="Arial"/>
                <w:b/>
                <w:lang w:val="en-US"/>
              </w:rPr>
            </w:pPr>
            <w:r w:rsidRPr="009F1EDC">
              <w:rPr>
                <w:rFonts w:cs="Arial"/>
                <w:b/>
                <w:lang w:val="en-US"/>
              </w:rPr>
              <w:t>Legislation:</w:t>
            </w:r>
          </w:p>
        </w:tc>
        <w:tc>
          <w:tcPr>
            <w:tcW w:w="5994" w:type="dxa"/>
          </w:tcPr>
          <w:p w14:paraId="490C57A1" w14:textId="77777777" w:rsidR="0016753D" w:rsidRPr="009F1EDC" w:rsidRDefault="0016753D" w:rsidP="009F1EDC">
            <w:pPr>
              <w:rPr>
                <w:rFonts w:cs="Arial"/>
                <w:lang w:val="en-US"/>
              </w:rPr>
            </w:pPr>
          </w:p>
        </w:tc>
      </w:tr>
      <w:tr w:rsidR="0016753D" w:rsidRPr="009F1EDC" w14:paraId="7B531D3E" w14:textId="77777777" w:rsidTr="00734C83">
        <w:tc>
          <w:tcPr>
            <w:tcW w:w="3022" w:type="dxa"/>
          </w:tcPr>
          <w:p w14:paraId="56BA503A" w14:textId="77777777" w:rsidR="0016753D" w:rsidRPr="009F1EDC" w:rsidRDefault="0016753D" w:rsidP="009F1EDC">
            <w:pPr>
              <w:rPr>
                <w:rFonts w:cs="Arial"/>
                <w:b/>
                <w:lang w:val="en-US"/>
              </w:rPr>
            </w:pPr>
            <w:r w:rsidRPr="009F1EDC">
              <w:rPr>
                <w:rFonts w:cs="Arial"/>
                <w:b/>
                <w:lang w:val="en-US"/>
              </w:rPr>
              <w:t>Delegation:</w:t>
            </w:r>
          </w:p>
        </w:tc>
        <w:tc>
          <w:tcPr>
            <w:tcW w:w="5994" w:type="dxa"/>
          </w:tcPr>
          <w:p w14:paraId="44A4A4CD" w14:textId="77777777" w:rsidR="0016753D" w:rsidRPr="009F1EDC" w:rsidRDefault="0016753D" w:rsidP="009F1EDC">
            <w:pPr>
              <w:rPr>
                <w:rFonts w:cs="Arial"/>
                <w:lang w:val="en-US"/>
              </w:rPr>
            </w:pPr>
          </w:p>
        </w:tc>
      </w:tr>
      <w:tr w:rsidR="0016753D" w:rsidRPr="009F1EDC" w14:paraId="799C727F" w14:textId="77777777" w:rsidTr="00734C83">
        <w:tc>
          <w:tcPr>
            <w:tcW w:w="3022" w:type="dxa"/>
          </w:tcPr>
          <w:p w14:paraId="3E95CC62" w14:textId="77777777" w:rsidR="0016753D" w:rsidRPr="009F1EDC" w:rsidRDefault="0016753D" w:rsidP="009F1EDC">
            <w:pPr>
              <w:rPr>
                <w:rFonts w:cs="Arial"/>
                <w:b/>
                <w:lang w:val="en-US"/>
              </w:rPr>
            </w:pPr>
            <w:r w:rsidRPr="009F1EDC">
              <w:rPr>
                <w:rFonts w:cs="Arial"/>
                <w:b/>
                <w:lang w:val="en-US"/>
              </w:rPr>
              <w:t>Other Related Document:</w:t>
            </w:r>
          </w:p>
        </w:tc>
        <w:tc>
          <w:tcPr>
            <w:tcW w:w="5994" w:type="dxa"/>
          </w:tcPr>
          <w:p w14:paraId="13CEA4FE" w14:textId="77777777" w:rsidR="0016753D" w:rsidRPr="009F1EDC" w:rsidRDefault="0016753D" w:rsidP="009F1EDC">
            <w:pPr>
              <w:rPr>
                <w:rFonts w:cs="Arial"/>
                <w:lang w:val="en-US"/>
              </w:rPr>
            </w:pPr>
          </w:p>
        </w:tc>
      </w:tr>
    </w:tbl>
    <w:p w14:paraId="01E16442" w14:textId="77777777" w:rsidR="0016753D" w:rsidRPr="009F1EDC" w:rsidRDefault="0016753D" w:rsidP="009F1EDC">
      <w:pPr>
        <w:spacing w:before="240" w:after="0"/>
        <w:rPr>
          <w:b/>
          <w:sz w:val="28"/>
          <w:szCs w:val="28"/>
          <w:lang w:val="en-US"/>
        </w:rPr>
      </w:pPr>
      <w:r w:rsidRPr="009F1EDC">
        <w:rPr>
          <w:b/>
          <w:sz w:val="28"/>
          <w:szCs w:val="28"/>
          <w:lang w:val="en-US"/>
        </w:rPr>
        <w:t>Objective</w:t>
      </w:r>
    </w:p>
    <w:p w14:paraId="3ECFDDAA" w14:textId="77777777" w:rsidR="0016753D" w:rsidRPr="009F1EDC" w:rsidRDefault="0016753D" w:rsidP="0016753D">
      <w:pPr>
        <w:jc w:val="both"/>
        <w:rPr>
          <w:rFonts w:cs="Arial"/>
          <w:lang w:val="en-US"/>
        </w:rPr>
      </w:pPr>
      <w:r w:rsidRPr="009F1EDC">
        <w:rPr>
          <w:rFonts w:cs="Arial"/>
          <w:lang w:val="en-US"/>
        </w:rPr>
        <w:t>To provide a coordinated approach to the assessment and approval of requests for new or capital upgrades to existing community buildings.</w:t>
      </w:r>
    </w:p>
    <w:p w14:paraId="4777AA9C" w14:textId="77777777" w:rsidR="0016753D" w:rsidRPr="009F1EDC" w:rsidRDefault="0016753D" w:rsidP="009F1EDC">
      <w:pPr>
        <w:spacing w:before="200" w:after="0"/>
        <w:rPr>
          <w:b/>
          <w:sz w:val="28"/>
          <w:szCs w:val="28"/>
          <w:lang w:val="en-US"/>
        </w:rPr>
      </w:pPr>
      <w:r w:rsidRPr="009F1EDC">
        <w:rPr>
          <w:b/>
          <w:sz w:val="28"/>
          <w:szCs w:val="28"/>
          <w:lang w:val="en-US"/>
        </w:rPr>
        <w:t>Policy Scope</w:t>
      </w:r>
    </w:p>
    <w:p w14:paraId="54D90A12" w14:textId="77777777" w:rsidR="0016753D" w:rsidRPr="009F1EDC" w:rsidRDefault="0016753D" w:rsidP="0016753D">
      <w:pPr>
        <w:jc w:val="both"/>
        <w:rPr>
          <w:rFonts w:cs="Arial"/>
          <w:b/>
          <w:lang w:val="en-US"/>
        </w:rPr>
      </w:pPr>
      <w:r w:rsidRPr="009F1EDC">
        <w:rPr>
          <w:rFonts w:cs="Arial"/>
          <w:lang w:val="en-US"/>
        </w:rPr>
        <w:t xml:space="preserve">This Policy applies to all Town owned or managed sport and recreation facilities, clubrooms, community </w:t>
      </w:r>
      <w:proofErr w:type="spellStart"/>
      <w:r w:rsidRPr="009F1EDC">
        <w:rPr>
          <w:rFonts w:cs="Arial"/>
          <w:lang w:val="en-US"/>
        </w:rPr>
        <w:t>centres</w:t>
      </w:r>
      <w:proofErr w:type="spellEnd"/>
      <w:r w:rsidRPr="009F1EDC">
        <w:rPr>
          <w:rFonts w:cs="Arial"/>
          <w:lang w:val="en-US"/>
        </w:rPr>
        <w:t xml:space="preserve"> and community halls.</w:t>
      </w:r>
    </w:p>
    <w:p w14:paraId="256447DB" w14:textId="77777777" w:rsidR="0016753D" w:rsidRPr="009F1EDC" w:rsidRDefault="0016753D" w:rsidP="009F1EDC">
      <w:pPr>
        <w:spacing w:before="200" w:after="0"/>
        <w:rPr>
          <w:b/>
          <w:sz w:val="28"/>
          <w:szCs w:val="28"/>
          <w:lang w:val="en-US"/>
        </w:rPr>
      </w:pPr>
      <w:r w:rsidRPr="009F1EDC">
        <w:rPr>
          <w:b/>
          <w:sz w:val="28"/>
          <w:szCs w:val="28"/>
          <w:lang w:val="en-US"/>
        </w:rPr>
        <w:t xml:space="preserve">Policy </w:t>
      </w:r>
    </w:p>
    <w:p w14:paraId="132564F1" w14:textId="77777777" w:rsidR="0016753D" w:rsidRPr="009F1EDC" w:rsidRDefault="0016753D" w:rsidP="009F1EDC">
      <w:pPr>
        <w:spacing w:after="0"/>
        <w:ind w:left="425" w:hanging="425"/>
        <w:rPr>
          <w:rFonts w:cs="Arial"/>
          <w:b/>
        </w:rPr>
      </w:pPr>
      <w:r w:rsidRPr="009F1EDC">
        <w:rPr>
          <w:rFonts w:cs="Arial"/>
          <w:b/>
        </w:rPr>
        <w:t>1.</w:t>
      </w:r>
      <w:r w:rsidRPr="009F1EDC">
        <w:rPr>
          <w:rFonts w:cs="Arial"/>
          <w:b/>
        </w:rPr>
        <w:tab/>
        <w:t>Definitions:</w:t>
      </w:r>
    </w:p>
    <w:p w14:paraId="1C9E36DD" w14:textId="77777777" w:rsidR="0016753D" w:rsidRPr="009F1EDC" w:rsidRDefault="0016753D" w:rsidP="00734C83">
      <w:pPr>
        <w:spacing w:after="120"/>
        <w:ind w:left="425"/>
        <w:jc w:val="both"/>
        <w:rPr>
          <w:rFonts w:cs="Arial"/>
        </w:rPr>
      </w:pPr>
      <w:r w:rsidRPr="009F1EDC">
        <w:rPr>
          <w:rFonts w:cs="Arial"/>
          <w:b/>
        </w:rPr>
        <w:t>“</w:t>
      </w:r>
      <w:proofErr w:type="gramStart"/>
      <w:r w:rsidRPr="009F1EDC">
        <w:rPr>
          <w:rFonts w:cs="Arial"/>
          <w:b/>
        </w:rPr>
        <w:t>capital</w:t>
      </w:r>
      <w:proofErr w:type="gramEnd"/>
      <w:r w:rsidRPr="009F1EDC">
        <w:rPr>
          <w:rFonts w:cs="Arial"/>
          <w:b/>
        </w:rPr>
        <w:t xml:space="preserve"> upgrades” </w:t>
      </w:r>
      <w:r w:rsidRPr="009F1EDC">
        <w:rPr>
          <w:rFonts w:cs="Arial"/>
        </w:rPr>
        <w:t>means extensions or upgrades to existing assets to cater for growth or increased levels of service.</w:t>
      </w:r>
    </w:p>
    <w:p w14:paraId="7CAB706F" w14:textId="77777777" w:rsidR="0016753D" w:rsidRPr="009F1EDC" w:rsidRDefault="0016753D" w:rsidP="0016753D">
      <w:pPr>
        <w:ind w:left="426"/>
        <w:jc w:val="both"/>
        <w:rPr>
          <w:rFonts w:cs="Arial"/>
        </w:rPr>
      </w:pPr>
      <w:r w:rsidRPr="009F1EDC">
        <w:rPr>
          <w:rFonts w:cs="Arial"/>
          <w:b/>
        </w:rPr>
        <w:t>“</w:t>
      </w:r>
      <w:proofErr w:type="gramStart"/>
      <w:r w:rsidRPr="009F1EDC">
        <w:rPr>
          <w:rFonts w:cs="Arial"/>
          <w:b/>
        </w:rPr>
        <w:t>community</w:t>
      </w:r>
      <w:proofErr w:type="gramEnd"/>
      <w:r w:rsidRPr="009F1EDC">
        <w:rPr>
          <w:rFonts w:cs="Arial"/>
          <w:b/>
        </w:rPr>
        <w:t xml:space="preserve"> buildings” </w:t>
      </w:r>
      <w:r w:rsidRPr="009F1EDC">
        <w:rPr>
          <w:rFonts w:cs="Arial"/>
        </w:rPr>
        <w:t>means any Town owned or managed sport and recreation facilities, clubrooms, community centres and community halls.</w:t>
      </w:r>
    </w:p>
    <w:p w14:paraId="58053C59" w14:textId="77777777" w:rsidR="0016753D" w:rsidRPr="009F1EDC" w:rsidRDefault="0016753D" w:rsidP="009F1EDC">
      <w:pPr>
        <w:spacing w:after="0"/>
        <w:ind w:left="425" w:hanging="425"/>
        <w:jc w:val="both"/>
        <w:rPr>
          <w:rFonts w:cs="Arial"/>
          <w:b/>
          <w:lang w:val="en-US"/>
        </w:rPr>
      </w:pPr>
      <w:r w:rsidRPr="009F1EDC">
        <w:rPr>
          <w:rFonts w:cs="Arial"/>
          <w:b/>
          <w:lang w:val="en-US"/>
        </w:rPr>
        <w:t>2.</w:t>
      </w:r>
      <w:r w:rsidRPr="009F1EDC">
        <w:rPr>
          <w:rFonts w:cs="Arial"/>
          <w:b/>
          <w:lang w:val="en-US"/>
        </w:rPr>
        <w:tab/>
        <w:t>Statement:</w:t>
      </w:r>
    </w:p>
    <w:p w14:paraId="5BE8FD12" w14:textId="77777777" w:rsidR="0016753D" w:rsidRPr="009F1EDC" w:rsidRDefault="0016753D" w:rsidP="009F1EDC">
      <w:pPr>
        <w:pStyle w:val="BodyText"/>
        <w:spacing w:after="60"/>
        <w:ind w:left="425" w:right="-45"/>
        <w:jc w:val="both"/>
        <w:rPr>
          <w:rFonts w:asciiTheme="minorHAnsi" w:hAnsiTheme="minorHAnsi"/>
        </w:rPr>
      </w:pPr>
      <w:r w:rsidRPr="009F1EDC">
        <w:rPr>
          <w:rFonts w:asciiTheme="minorHAnsi" w:hAnsiTheme="minorHAnsi"/>
        </w:rPr>
        <w:t>In alignment with current asset management practices, it is the Town’s position that the development and upgrade of community buildings should seek to achieve the following:</w:t>
      </w:r>
    </w:p>
    <w:p w14:paraId="1441741B" w14:textId="77777777" w:rsidR="0016753D" w:rsidRPr="009F1EDC" w:rsidRDefault="0016753D" w:rsidP="002A3889">
      <w:pPr>
        <w:pStyle w:val="ListParagraph"/>
        <w:widowControl w:val="0"/>
        <w:numPr>
          <w:ilvl w:val="1"/>
          <w:numId w:val="72"/>
        </w:numPr>
        <w:autoSpaceDE w:val="0"/>
        <w:autoSpaceDN w:val="0"/>
        <w:spacing w:before="60" w:after="0" w:line="240" w:lineRule="auto"/>
        <w:ind w:left="850" w:hanging="425"/>
        <w:contextualSpacing w:val="0"/>
        <w:rPr>
          <w:rFonts w:cs="Arial"/>
        </w:rPr>
      </w:pPr>
      <w:r w:rsidRPr="009F1EDC">
        <w:rPr>
          <w:rFonts w:cs="Arial"/>
        </w:rPr>
        <w:t>value for</w:t>
      </w:r>
      <w:r w:rsidRPr="009F1EDC">
        <w:rPr>
          <w:rFonts w:cs="Arial"/>
          <w:spacing w:val="-5"/>
        </w:rPr>
        <w:t xml:space="preserve"> </w:t>
      </w:r>
      <w:proofErr w:type="gramStart"/>
      <w:r w:rsidRPr="009F1EDC">
        <w:rPr>
          <w:rFonts w:cs="Arial"/>
        </w:rPr>
        <w:t>money;</w:t>
      </w:r>
      <w:proofErr w:type="gramEnd"/>
    </w:p>
    <w:p w14:paraId="2E0FFE1C" w14:textId="77777777" w:rsidR="0016753D" w:rsidRPr="009F1EDC" w:rsidRDefault="0016753D" w:rsidP="002A3889">
      <w:pPr>
        <w:pStyle w:val="ListParagraph"/>
        <w:widowControl w:val="0"/>
        <w:numPr>
          <w:ilvl w:val="1"/>
          <w:numId w:val="72"/>
        </w:numPr>
        <w:autoSpaceDE w:val="0"/>
        <w:autoSpaceDN w:val="0"/>
        <w:spacing w:before="60" w:after="0" w:line="240" w:lineRule="auto"/>
        <w:ind w:left="850" w:hanging="425"/>
        <w:contextualSpacing w:val="0"/>
        <w:rPr>
          <w:rFonts w:cs="Arial"/>
        </w:rPr>
      </w:pPr>
      <w:r w:rsidRPr="009F1EDC">
        <w:rPr>
          <w:rFonts w:cs="Arial"/>
        </w:rPr>
        <w:t>sustainable utilisation</w:t>
      </w:r>
      <w:r w:rsidRPr="009F1EDC">
        <w:rPr>
          <w:rFonts w:cs="Arial"/>
          <w:spacing w:val="-18"/>
        </w:rPr>
        <w:t xml:space="preserve"> </w:t>
      </w:r>
      <w:proofErr w:type="gramStart"/>
      <w:r w:rsidRPr="009F1EDC">
        <w:rPr>
          <w:rFonts w:cs="Arial"/>
        </w:rPr>
        <w:t>levels;</w:t>
      </w:r>
      <w:proofErr w:type="gramEnd"/>
    </w:p>
    <w:p w14:paraId="36944AE5" w14:textId="77777777" w:rsidR="0016753D" w:rsidRPr="009F1EDC" w:rsidRDefault="0016753D" w:rsidP="002A3889">
      <w:pPr>
        <w:pStyle w:val="ListParagraph"/>
        <w:widowControl w:val="0"/>
        <w:numPr>
          <w:ilvl w:val="1"/>
          <w:numId w:val="72"/>
        </w:numPr>
        <w:autoSpaceDE w:val="0"/>
        <w:autoSpaceDN w:val="0"/>
        <w:spacing w:before="60" w:after="0" w:line="240" w:lineRule="auto"/>
        <w:ind w:left="850" w:hanging="425"/>
        <w:contextualSpacing w:val="0"/>
        <w:rPr>
          <w:rFonts w:cs="Arial"/>
        </w:rPr>
      </w:pPr>
      <w:r w:rsidRPr="009F1EDC">
        <w:rPr>
          <w:rFonts w:cs="Arial"/>
        </w:rPr>
        <w:t>provide “fit-for-purpose”</w:t>
      </w:r>
      <w:r w:rsidRPr="009F1EDC">
        <w:rPr>
          <w:rFonts w:cs="Arial"/>
          <w:spacing w:val="-7"/>
        </w:rPr>
        <w:t xml:space="preserve"> </w:t>
      </w:r>
      <w:proofErr w:type="gramStart"/>
      <w:r w:rsidRPr="009F1EDC">
        <w:rPr>
          <w:rFonts w:cs="Arial"/>
        </w:rPr>
        <w:t>use;</w:t>
      </w:r>
      <w:proofErr w:type="gramEnd"/>
    </w:p>
    <w:p w14:paraId="7209FB0B" w14:textId="77777777" w:rsidR="0016753D" w:rsidRPr="009F1EDC" w:rsidRDefault="0016753D" w:rsidP="002A3889">
      <w:pPr>
        <w:pStyle w:val="ListParagraph"/>
        <w:widowControl w:val="0"/>
        <w:numPr>
          <w:ilvl w:val="1"/>
          <w:numId w:val="72"/>
        </w:numPr>
        <w:autoSpaceDE w:val="0"/>
        <w:autoSpaceDN w:val="0"/>
        <w:spacing w:before="60" w:after="0" w:line="240" w:lineRule="auto"/>
        <w:ind w:left="850" w:hanging="425"/>
        <w:contextualSpacing w:val="0"/>
        <w:rPr>
          <w:rFonts w:cs="Arial"/>
        </w:rPr>
      </w:pPr>
      <w:r w:rsidRPr="009F1EDC">
        <w:rPr>
          <w:rFonts w:cs="Arial"/>
        </w:rPr>
        <w:t>meet current building</w:t>
      </w:r>
      <w:r w:rsidRPr="009F1EDC">
        <w:rPr>
          <w:rFonts w:cs="Arial"/>
          <w:spacing w:val="-23"/>
        </w:rPr>
        <w:t xml:space="preserve"> </w:t>
      </w:r>
      <w:proofErr w:type="gramStart"/>
      <w:r w:rsidRPr="009F1EDC">
        <w:rPr>
          <w:rFonts w:cs="Arial"/>
        </w:rPr>
        <w:t>standards;</w:t>
      </w:r>
      <w:proofErr w:type="gramEnd"/>
    </w:p>
    <w:p w14:paraId="03F0DC9F" w14:textId="77777777" w:rsidR="0016753D" w:rsidRPr="009F1EDC" w:rsidRDefault="0016753D" w:rsidP="002A3889">
      <w:pPr>
        <w:pStyle w:val="ListParagraph"/>
        <w:widowControl w:val="0"/>
        <w:numPr>
          <w:ilvl w:val="1"/>
          <w:numId w:val="72"/>
        </w:numPr>
        <w:autoSpaceDE w:val="0"/>
        <w:autoSpaceDN w:val="0"/>
        <w:spacing w:before="60" w:after="0" w:line="240" w:lineRule="auto"/>
        <w:ind w:left="850" w:hanging="425"/>
        <w:contextualSpacing w:val="0"/>
        <w:rPr>
          <w:rFonts w:cs="Arial"/>
        </w:rPr>
      </w:pPr>
      <w:r w:rsidRPr="009F1EDC">
        <w:rPr>
          <w:rFonts w:cs="Arial"/>
        </w:rPr>
        <w:t>promote the strategic planning principles endorsed by Council;</w:t>
      </w:r>
      <w:r w:rsidRPr="009F1EDC">
        <w:rPr>
          <w:rFonts w:cs="Arial"/>
          <w:spacing w:val="-38"/>
        </w:rPr>
        <w:t xml:space="preserve"> </w:t>
      </w:r>
      <w:r w:rsidRPr="009F1EDC">
        <w:rPr>
          <w:rFonts w:cs="Arial"/>
        </w:rPr>
        <w:t>and</w:t>
      </w:r>
    </w:p>
    <w:p w14:paraId="4A4C6A8C" w14:textId="77777777" w:rsidR="0016753D" w:rsidRPr="009F1EDC" w:rsidRDefault="0016753D" w:rsidP="002A3889">
      <w:pPr>
        <w:pStyle w:val="ListParagraph"/>
        <w:widowControl w:val="0"/>
        <w:numPr>
          <w:ilvl w:val="1"/>
          <w:numId w:val="72"/>
        </w:numPr>
        <w:autoSpaceDE w:val="0"/>
        <w:autoSpaceDN w:val="0"/>
        <w:spacing w:before="60" w:after="0" w:line="252" w:lineRule="exact"/>
        <w:ind w:left="850" w:hanging="425"/>
        <w:contextualSpacing w:val="0"/>
        <w:jc w:val="both"/>
        <w:rPr>
          <w:rFonts w:cs="Arial"/>
        </w:rPr>
      </w:pPr>
      <w:r w:rsidRPr="009F1EDC">
        <w:rPr>
          <w:rFonts w:cs="Arial"/>
        </w:rPr>
        <w:t xml:space="preserve">minimise impacts from activities held in the buildings that may adversely affect </w:t>
      </w:r>
      <w:proofErr w:type="gramStart"/>
      <w:r w:rsidRPr="009F1EDC">
        <w:rPr>
          <w:rFonts w:cs="Arial"/>
        </w:rPr>
        <w:t>local residents</w:t>
      </w:r>
      <w:proofErr w:type="gramEnd"/>
    </w:p>
    <w:p w14:paraId="70A04BD5" w14:textId="77777777" w:rsidR="0016753D" w:rsidRPr="009F1EDC" w:rsidRDefault="0016753D" w:rsidP="009F1EDC">
      <w:pPr>
        <w:tabs>
          <w:tab w:val="left" w:pos="426"/>
        </w:tabs>
        <w:spacing w:before="200" w:after="0"/>
        <w:ind w:left="425" w:hanging="425"/>
        <w:jc w:val="both"/>
        <w:rPr>
          <w:rFonts w:cs="Arial"/>
          <w:b/>
        </w:rPr>
      </w:pPr>
      <w:r w:rsidRPr="009F1EDC">
        <w:rPr>
          <w:rFonts w:cs="Arial"/>
          <w:b/>
          <w:lang w:val="en-US"/>
        </w:rPr>
        <w:t>3.</w:t>
      </w:r>
      <w:r w:rsidRPr="009F1EDC">
        <w:rPr>
          <w:rFonts w:cs="Arial"/>
          <w:lang w:val="en-US"/>
        </w:rPr>
        <w:tab/>
      </w:r>
      <w:r w:rsidRPr="009F1EDC">
        <w:rPr>
          <w:rFonts w:cs="Arial"/>
          <w:b/>
        </w:rPr>
        <w:t>Proposal</w:t>
      </w:r>
      <w:r w:rsidRPr="009F1EDC">
        <w:rPr>
          <w:rFonts w:cs="Arial"/>
          <w:b/>
          <w:spacing w:val="-5"/>
        </w:rPr>
        <w:t xml:space="preserve"> </w:t>
      </w:r>
      <w:r w:rsidRPr="009F1EDC">
        <w:rPr>
          <w:rFonts w:cs="Arial"/>
          <w:b/>
        </w:rPr>
        <w:t>Categories:</w:t>
      </w:r>
    </w:p>
    <w:p w14:paraId="508A1573" w14:textId="77777777" w:rsidR="0016753D" w:rsidRPr="009F1EDC" w:rsidRDefault="0016753D" w:rsidP="009F1EDC">
      <w:pPr>
        <w:widowControl w:val="0"/>
        <w:autoSpaceDE w:val="0"/>
        <w:autoSpaceDN w:val="0"/>
        <w:spacing w:before="1" w:after="60" w:line="240" w:lineRule="auto"/>
        <w:ind w:left="426"/>
        <w:jc w:val="both"/>
        <w:rPr>
          <w:rFonts w:cs="Arial"/>
        </w:rPr>
      </w:pPr>
      <w:r w:rsidRPr="009F1EDC">
        <w:rPr>
          <w:rFonts w:cs="Arial"/>
        </w:rPr>
        <w:t>Proposals for the construction of new community buildings or capital upgrades to existing</w:t>
      </w:r>
      <w:r w:rsidRPr="009F1EDC">
        <w:rPr>
          <w:rFonts w:cs="Arial"/>
          <w:spacing w:val="-6"/>
        </w:rPr>
        <w:t xml:space="preserve"> </w:t>
      </w:r>
      <w:r w:rsidRPr="009F1EDC">
        <w:rPr>
          <w:rFonts w:cs="Arial"/>
        </w:rPr>
        <w:t>facilities</w:t>
      </w:r>
      <w:r w:rsidRPr="009F1EDC">
        <w:rPr>
          <w:rFonts w:cs="Arial"/>
          <w:spacing w:val="-5"/>
        </w:rPr>
        <w:t xml:space="preserve"> </w:t>
      </w:r>
      <w:r w:rsidRPr="009F1EDC">
        <w:rPr>
          <w:rFonts w:cs="Arial"/>
        </w:rPr>
        <w:t>buildings</w:t>
      </w:r>
      <w:r w:rsidRPr="009F1EDC">
        <w:rPr>
          <w:rFonts w:cs="Arial"/>
          <w:spacing w:val="-5"/>
        </w:rPr>
        <w:t xml:space="preserve"> </w:t>
      </w:r>
      <w:r w:rsidRPr="009F1EDC">
        <w:rPr>
          <w:rFonts w:cs="Arial"/>
        </w:rPr>
        <w:t>generally</w:t>
      </w:r>
      <w:r w:rsidRPr="009F1EDC">
        <w:rPr>
          <w:rFonts w:cs="Arial"/>
          <w:spacing w:val="-6"/>
        </w:rPr>
        <w:t xml:space="preserve"> </w:t>
      </w:r>
      <w:r w:rsidRPr="009F1EDC">
        <w:rPr>
          <w:rFonts w:cs="Arial"/>
        </w:rPr>
        <w:t>fall</w:t>
      </w:r>
      <w:r w:rsidRPr="009F1EDC">
        <w:rPr>
          <w:rFonts w:cs="Arial"/>
          <w:spacing w:val="-6"/>
        </w:rPr>
        <w:t xml:space="preserve"> </w:t>
      </w:r>
      <w:r w:rsidRPr="009F1EDC">
        <w:rPr>
          <w:rFonts w:cs="Arial"/>
        </w:rPr>
        <w:t>into</w:t>
      </w:r>
      <w:r w:rsidRPr="009F1EDC">
        <w:rPr>
          <w:rFonts w:cs="Arial"/>
          <w:spacing w:val="-5"/>
        </w:rPr>
        <w:t xml:space="preserve"> </w:t>
      </w:r>
      <w:r w:rsidRPr="009F1EDC">
        <w:rPr>
          <w:rFonts w:cs="Arial"/>
        </w:rPr>
        <w:t>one</w:t>
      </w:r>
      <w:r w:rsidRPr="009F1EDC">
        <w:rPr>
          <w:rFonts w:cs="Arial"/>
          <w:spacing w:val="-6"/>
        </w:rPr>
        <w:t xml:space="preserve"> </w:t>
      </w:r>
      <w:r w:rsidRPr="009F1EDC">
        <w:rPr>
          <w:rFonts w:cs="Arial"/>
        </w:rPr>
        <w:t>of</w:t>
      </w:r>
      <w:r w:rsidRPr="009F1EDC">
        <w:rPr>
          <w:rFonts w:cs="Arial"/>
          <w:spacing w:val="-5"/>
        </w:rPr>
        <w:t xml:space="preserve"> </w:t>
      </w:r>
      <w:r w:rsidRPr="009F1EDC">
        <w:rPr>
          <w:rFonts w:cs="Arial"/>
        </w:rPr>
        <w:t>four</w:t>
      </w:r>
      <w:r w:rsidRPr="009F1EDC">
        <w:rPr>
          <w:rFonts w:cs="Arial"/>
          <w:spacing w:val="-5"/>
        </w:rPr>
        <w:t xml:space="preserve"> </w:t>
      </w:r>
      <w:r w:rsidRPr="009F1EDC">
        <w:rPr>
          <w:rFonts w:cs="Arial"/>
        </w:rPr>
        <w:t>categories:</w:t>
      </w:r>
    </w:p>
    <w:p w14:paraId="5C65CC58" w14:textId="77777777" w:rsidR="0016753D" w:rsidRPr="009F1EDC" w:rsidRDefault="0016753D" w:rsidP="009F1EDC">
      <w:pPr>
        <w:widowControl w:val="0"/>
        <w:autoSpaceDE w:val="0"/>
        <w:autoSpaceDN w:val="0"/>
        <w:spacing w:after="60" w:line="240" w:lineRule="auto"/>
        <w:ind w:left="851" w:hanging="425"/>
        <w:jc w:val="both"/>
        <w:rPr>
          <w:rFonts w:cs="Arial"/>
        </w:rPr>
      </w:pPr>
      <w:r w:rsidRPr="009F1EDC">
        <w:rPr>
          <w:rFonts w:cs="Arial"/>
        </w:rPr>
        <w:t>(</w:t>
      </w:r>
      <w:proofErr w:type="spellStart"/>
      <w:r w:rsidRPr="009F1EDC">
        <w:rPr>
          <w:rFonts w:cs="Arial"/>
        </w:rPr>
        <w:t>i</w:t>
      </w:r>
      <w:proofErr w:type="spellEnd"/>
      <w:r w:rsidRPr="009F1EDC">
        <w:rPr>
          <w:rFonts w:cs="Arial"/>
        </w:rPr>
        <w:t>)</w:t>
      </w:r>
      <w:r w:rsidRPr="009F1EDC">
        <w:rPr>
          <w:rFonts w:cs="Arial"/>
        </w:rPr>
        <w:tab/>
        <w:t xml:space="preserve">Proposals for facilities works where the Town provides </w:t>
      </w:r>
      <w:proofErr w:type="gramStart"/>
      <w:r w:rsidRPr="009F1EDC">
        <w:rPr>
          <w:rFonts w:cs="Arial"/>
        </w:rPr>
        <w:t xml:space="preserve">all </w:t>
      </w:r>
      <w:r w:rsidRPr="009F1EDC">
        <w:rPr>
          <w:rFonts w:cs="Arial"/>
          <w:spacing w:val="-40"/>
        </w:rPr>
        <w:t xml:space="preserve"> </w:t>
      </w:r>
      <w:r w:rsidRPr="009F1EDC">
        <w:rPr>
          <w:rFonts w:cs="Arial"/>
        </w:rPr>
        <w:t>funding</w:t>
      </w:r>
      <w:proofErr w:type="gramEnd"/>
      <w:r w:rsidRPr="009F1EDC">
        <w:rPr>
          <w:rFonts w:cs="Arial"/>
        </w:rPr>
        <w:t>.</w:t>
      </w:r>
    </w:p>
    <w:p w14:paraId="485D3791" w14:textId="77777777" w:rsidR="0016753D" w:rsidRPr="009F1EDC" w:rsidRDefault="0016753D" w:rsidP="009F1EDC">
      <w:pPr>
        <w:widowControl w:val="0"/>
        <w:autoSpaceDE w:val="0"/>
        <w:autoSpaceDN w:val="0"/>
        <w:spacing w:before="1" w:after="60" w:line="240" w:lineRule="auto"/>
        <w:ind w:left="851" w:right="104" w:hanging="425"/>
        <w:rPr>
          <w:rFonts w:cs="Arial"/>
        </w:rPr>
      </w:pPr>
      <w:r w:rsidRPr="009F1EDC">
        <w:rPr>
          <w:rFonts w:cs="Arial"/>
        </w:rPr>
        <w:t>(ii)</w:t>
      </w:r>
      <w:r w:rsidRPr="009F1EDC">
        <w:rPr>
          <w:rFonts w:cs="Arial"/>
        </w:rPr>
        <w:tab/>
        <w:t>Proposals for works where community-based organisations seek external funding (</w:t>
      </w:r>
      <w:proofErr w:type="spellStart"/>
      <w:r w:rsidRPr="009F1EDC">
        <w:rPr>
          <w:rFonts w:cs="Arial"/>
        </w:rPr>
        <w:t>eg</w:t>
      </w:r>
      <w:proofErr w:type="spellEnd"/>
      <w:r w:rsidRPr="009F1EDC">
        <w:rPr>
          <w:rFonts w:cs="Arial"/>
        </w:rPr>
        <w:t xml:space="preserve"> grants) which require Council support and/or</w:t>
      </w:r>
      <w:r w:rsidRPr="009F1EDC">
        <w:rPr>
          <w:rFonts w:cs="Arial"/>
          <w:spacing w:val="-38"/>
        </w:rPr>
        <w:t xml:space="preserve"> </w:t>
      </w:r>
      <w:r w:rsidRPr="009F1EDC">
        <w:rPr>
          <w:rFonts w:cs="Arial"/>
        </w:rPr>
        <w:t>contributions.</w:t>
      </w:r>
    </w:p>
    <w:p w14:paraId="3B298939" w14:textId="77777777" w:rsidR="0016753D" w:rsidRPr="009F1EDC" w:rsidRDefault="0016753D" w:rsidP="009F1EDC">
      <w:pPr>
        <w:widowControl w:val="0"/>
        <w:autoSpaceDE w:val="0"/>
        <w:autoSpaceDN w:val="0"/>
        <w:spacing w:after="60" w:line="240" w:lineRule="auto"/>
        <w:ind w:left="851" w:right="103" w:hanging="425"/>
        <w:jc w:val="both"/>
        <w:rPr>
          <w:rFonts w:cs="Arial"/>
        </w:rPr>
      </w:pPr>
      <w:r w:rsidRPr="009F1EDC">
        <w:rPr>
          <w:rFonts w:cs="Arial"/>
        </w:rPr>
        <w:t>(iii)</w:t>
      </w:r>
      <w:r w:rsidRPr="009F1EDC">
        <w:rPr>
          <w:rFonts w:cs="Arial"/>
        </w:rPr>
        <w:tab/>
        <w:t>Proposals for works where community-based organisations self-fund a portion of the works and seek Council contributions for the remaining cost of the project.</w:t>
      </w:r>
    </w:p>
    <w:p w14:paraId="4382177D" w14:textId="77777777" w:rsidR="0016753D" w:rsidRPr="009F1EDC" w:rsidRDefault="0016753D" w:rsidP="0016753D">
      <w:pPr>
        <w:widowControl w:val="0"/>
        <w:autoSpaceDE w:val="0"/>
        <w:autoSpaceDN w:val="0"/>
        <w:spacing w:after="0" w:line="240" w:lineRule="auto"/>
        <w:ind w:left="851" w:right="104" w:hanging="425"/>
        <w:rPr>
          <w:rFonts w:cs="Arial"/>
        </w:rPr>
      </w:pPr>
      <w:r w:rsidRPr="009F1EDC">
        <w:rPr>
          <w:rFonts w:cs="Arial"/>
        </w:rPr>
        <w:lastRenderedPageBreak/>
        <w:t>(iv)</w:t>
      </w:r>
      <w:r w:rsidRPr="009F1EDC">
        <w:rPr>
          <w:rFonts w:cs="Arial"/>
        </w:rPr>
        <w:tab/>
        <w:t>Proposals for works where community-based groups or lessees self-fund the whole</w:t>
      </w:r>
      <w:r w:rsidRPr="009F1EDC">
        <w:rPr>
          <w:rFonts w:cs="Arial"/>
          <w:spacing w:val="-18"/>
        </w:rPr>
        <w:t xml:space="preserve"> </w:t>
      </w:r>
      <w:r w:rsidRPr="009F1EDC">
        <w:rPr>
          <w:rFonts w:cs="Arial"/>
        </w:rPr>
        <w:t>development.</w:t>
      </w:r>
    </w:p>
    <w:p w14:paraId="70CBF0B2" w14:textId="77777777" w:rsidR="0016753D" w:rsidRPr="009F1EDC" w:rsidRDefault="0016753D" w:rsidP="009F1EDC">
      <w:pPr>
        <w:spacing w:before="200" w:after="0"/>
        <w:ind w:left="850" w:hanging="425"/>
        <w:jc w:val="both"/>
        <w:rPr>
          <w:rFonts w:cs="Arial"/>
          <w:b/>
        </w:rPr>
      </w:pPr>
      <w:r w:rsidRPr="009F1EDC">
        <w:rPr>
          <w:rFonts w:cs="Arial"/>
          <w:b/>
          <w:lang w:val="en-US"/>
        </w:rPr>
        <w:t>3.1</w:t>
      </w:r>
      <w:r w:rsidRPr="009F1EDC">
        <w:rPr>
          <w:rFonts w:cs="Arial"/>
          <w:b/>
          <w:lang w:val="en-US"/>
        </w:rPr>
        <w:tab/>
      </w:r>
      <w:r w:rsidRPr="009F1EDC">
        <w:rPr>
          <w:rFonts w:cs="Arial"/>
          <w:b/>
        </w:rPr>
        <w:t>Categories (</w:t>
      </w:r>
      <w:proofErr w:type="spellStart"/>
      <w:r w:rsidRPr="009F1EDC">
        <w:rPr>
          <w:rFonts w:cs="Arial"/>
          <w:b/>
        </w:rPr>
        <w:t>i</w:t>
      </w:r>
      <w:proofErr w:type="spellEnd"/>
      <w:r w:rsidRPr="009F1EDC">
        <w:rPr>
          <w:rFonts w:cs="Arial"/>
          <w:b/>
        </w:rPr>
        <w:t>), (ii) &amp; (iii) — Application</w:t>
      </w:r>
      <w:r w:rsidRPr="009F1EDC">
        <w:rPr>
          <w:rFonts w:cs="Arial"/>
          <w:b/>
          <w:spacing w:val="-27"/>
        </w:rPr>
        <w:t xml:space="preserve"> </w:t>
      </w:r>
      <w:r w:rsidRPr="009F1EDC">
        <w:rPr>
          <w:rFonts w:cs="Arial"/>
          <w:b/>
        </w:rPr>
        <w:t>Requirements:</w:t>
      </w:r>
    </w:p>
    <w:p w14:paraId="5ADDD825" w14:textId="77777777" w:rsidR="0016753D" w:rsidRPr="009F1EDC" w:rsidRDefault="0016753D" w:rsidP="009F1EDC">
      <w:pPr>
        <w:pStyle w:val="BodyText"/>
        <w:spacing w:after="60"/>
        <w:ind w:left="851" w:right="108"/>
        <w:jc w:val="both"/>
        <w:rPr>
          <w:rFonts w:asciiTheme="minorHAnsi" w:hAnsiTheme="minorHAnsi"/>
        </w:rPr>
      </w:pPr>
      <w:r w:rsidRPr="009F1EDC">
        <w:rPr>
          <w:rFonts w:asciiTheme="minorHAnsi" w:hAnsiTheme="minorHAnsi"/>
        </w:rPr>
        <w:t xml:space="preserve">Community </w:t>
      </w:r>
      <w:proofErr w:type="spellStart"/>
      <w:r w:rsidRPr="009F1EDC">
        <w:rPr>
          <w:rFonts w:asciiTheme="minorHAnsi" w:hAnsiTheme="minorHAnsi"/>
        </w:rPr>
        <w:t>organisations</w:t>
      </w:r>
      <w:proofErr w:type="spellEnd"/>
      <w:r w:rsidRPr="009F1EDC">
        <w:rPr>
          <w:rFonts w:asciiTheme="minorHAnsi" w:hAnsiTheme="minorHAnsi"/>
        </w:rPr>
        <w:t xml:space="preserve"> seeking external funding or Council support and/or contributions for new community buildings or capital upgrades to existing community buildings are required to:</w:t>
      </w:r>
    </w:p>
    <w:p w14:paraId="0BB9EA79" w14:textId="77777777" w:rsidR="0016753D" w:rsidRPr="009F1EDC" w:rsidRDefault="0016753D" w:rsidP="002A3889">
      <w:pPr>
        <w:pStyle w:val="ListParagraph"/>
        <w:widowControl w:val="0"/>
        <w:numPr>
          <w:ilvl w:val="3"/>
          <w:numId w:val="73"/>
        </w:numPr>
        <w:tabs>
          <w:tab w:val="left" w:pos="1134"/>
        </w:tabs>
        <w:autoSpaceDE w:val="0"/>
        <w:autoSpaceDN w:val="0"/>
        <w:spacing w:after="60" w:line="240" w:lineRule="auto"/>
        <w:ind w:left="2372" w:hanging="1521"/>
        <w:contextualSpacing w:val="0"/>
        <w:jc w:val="both"/>
        <w:rPr>
          <w:rFonts w:cs="Arial"/>
        </w:rPr>
      </w:pPr>
      <w:r w:rsidRPr="009F1EDC">
        <w:rPr>
          <w:rFonts w:cs="Arial"/>
        </w:rPr>
        <w:t>meet eligibility criteria set by the Town and/or funding agencies;</w:t>
      </w:r>
      <w:r w:rsidRPr="009F1EDC">
        <w:rPr>
          <w:rFonts w:cs="Arial"/>
          <w:spacing w:val="-33"/>
        </w:rPr>
        <w:t xml:space="preserve"> </w:t>
      </w:r>
      <w:r w:rsidRPr="009F1EDC">
        <w:rPr>
          <w:rFonts w:cs="Arial"/>
        </w:rPr>
        <w:t>and</w:t>
      </w:r>
    </w:p>
    <w:p w14:paraId="7664CE10" w14:textId="77777777" w:rsidR="0016753D" w:rsidRPr="009F1EDC" w:rsidRDefault="0016753D" w:rsidP="002A3889">
      <w:pPr>
        <w:pStyle w:val="ListParagraph"/>
        <w:widowControl w:val="0"/>
        <w:numPr>
          <w:ilvl w:val="3"/>
          <w:numId w:val="73"/>
        </w:numPr>
        <w:tabs>
          <w:tab w:val="left" w:pos="1134"/>
        </w:tabs>
        <w:autoSpaceDE w:val="0"/>
        <w:autoSpaceDN w:val="0"/>
        <w:spacing w:after="60" w:line="252" w:lineRule="exact"/>
        <w:ind w:left="1134" w:right="101" w:hanging="283"/>
        <w:contextualSpacing w:val="0"/>
        <w:rPr>
          <w:rFonts w:cs="Arial"/>
        </w:rPr>
      </w:pPr>
      <w:proofErr w:type="gramStart"/>
      <w:r w:rsidRPr="009F1EDC">
        <w:rPr>
          <w:rFonts w:cs="Arial"/>
        </w:rPr>
        <w:t>submit an application</w:t>
      </w:r>
      <w:proofErr w:type="gramEnd"/>
      <w:r w:rsidRPr="009F1EDC">
        <w:rPr>
          <w:rFonts w:cs="Arial"/>
        </w:rPr>
        <w:t xml:space="preserve"> form which includes a project plan, project budget (i.e. QS Report) and concept drawings.</w:t>
      </w:r>
    </w:p>
    <w:p w14:paraId="14423F2A" w14:textId="77777777" w:rsidR="0016753D" w:rsidRPr="009F1EDC" w:rsidRDefault="0016753D" w:rsidP="009F1EDC">
      <w:pPr>
        <w:pStyle w:val="BodyText"/>
        <w:spacing w:before="200" w:after="0"/>
        <w:ind w:left="851" w:right="108"/>
        <w:jc w:val="both"/>
        <w:rPr>
          <w:rFonts w:asciiTheme="minorHAnsi" w:hAnsiTheme="minorHAnsi"/>
        </w:rPr>
      </w:pPr>
      <w:r w:rsidRPr="009F1EDC">
        <w:rPr>
          <w:rFonts w:asciiTheme="minorHAnsi" w:hAnsiTheme="minorHAnsi"/>
        </w:rPr>
        <w:t>All proposals will be assessed on the criteria outlined below and must be completed to the satisfaction of the Chief Executive Officer.</w:t>
      </w:r>
    </w:p>
    <w:p w14:paraId="4C7DF1C5" w14:textId="77777777" w:rsidR="0016753D" w:rsidRPr="009F1EDC" w:rsidRDefault="0016753D" w:rsidP="009F1EDC">
      <w:pPr>
        <w:pStyle w:val="BodyText"/>
        <w:spacing w:before="200" w:after="0"/>
        <w:ind w:left="851" w:right="108"/>
        <w:jc w:val="both"/>
        <w:rPr>
          <w:rFonts w:asciiTheme="minorHAnsi" w:hAnsiTheme="minorHAnsi"/>
        </w:rPr>
      </w:pPr>
      <w:r w:rsidRPr="009F1EDC">
        <w:rPr>
          <w:rFonts w:asciiTheme="minorHAnsi" w:hAnsiTheme="minorHAnsi"/>
        </w:rPr>
        <w:t>Supported applications must be approved by Council. A decision to list such an application as a priority will not be reconsidered during the financial year in which the application was made.</w:t>
      </w:r>
    </w:p>
    <w:p w14:paraId="16B0DF4C" w14:textId="77777777" w:rsidR="0016753D" w:rsidRPr="009F1EDC" w:rsidRDefault="0016753D" w:rsidP="009F1EDC">
      <w:pPr>
        <w:spacing w:before="200" w:after="0" w:line="240" w:lineRule="auto"/>
        <w:ind w:left="851"/>
        <w:jc w:val="both"/>
        <w:rPr>
          <w:rFonts w:cs="Arial"/>
          <w:u w:val="single"/>
        </w:rPr>
      </w:pPr>
      <w:r w:rsidRPr="009F1EDC">
        <w:rPr>
          <w:rFonts w:cs="Arial"/>
          <w:u w:val="single"/>
        </w:rPr>
        <w:t>Needs Assessment</w:t>
      </w:r>
    </w:p>
    <w:p w14:paraId="1A731A16" w14:textId="77777777" w:rsidR="0016753D" w:rsidRPr="009F1EDC" w:rsidRDefault="0016753D" w:rsidP="009F1EDC">
      <w:pPr>
        <w:pStyle w:val="BodyText"/>
        <w:spacing w:after="200"/>
        <w:ind w:left="851" w:right="108"/>
        <w:jc w:val="both"/>
        <w:rPr>
          <w:rFonts w:asciiTheme="minorHAnsi" w:hAnsiTheme="minorHAnsi"/>
        </w:rPr>
      </w:pPr>
      <w:r w:rsidRPr="009F1EDC">
        <w:rPr>
          <w:rFonts w:asciiTheme="minorHAnsi" w:hAnsiTheme="minorHAnsi"/>
        </w:rPr>
        <w:t>Any building proposals within the Town, whether they are for new buildings or for capital upgrades, must demonstrate an alignment with the Town’s strategic objectives and planning priorities if they are to be supported.</w:t>
      </w:r>
    </w:p>
    <w:p w14:paraId="4CBC8FAA" w14:textId="77777777" w:rsidR="0016753D" w:rsidRPr="009F1EDC" w:rsidRDefault="0016753D" w:rsidP="009F1EDC">
      <w:pPr>
        <w:pStyle w:val="BodyText"/>
        <w:spacing w:after="60"/>
        <w:ind w:left="851" w:right="102"/>
        <w:jc w:val="both"/>
        <w:rPr>
          <w:rFonts w:asciiTheme="minorHAnsi" w:hAnsiTheme="minorHAnsi"/>
        </w:rPr>
      </w:pPr>
      <w:r w:rsidRPr="009F1EDC">
        <w:rPr>
          <w:rFonts w:asciiTheme="minorHAnsi" w:hAnsiTheme="minorHAnsi"/>
        </w:rPr>
        <w:t>A formal assessment matrix will be used to identify the need for the proposal at the direction of the Chief Executive Officer. The matrix will address, but will not be limited</w:t>
      </w:r>
      <w:r w:rsidRPr="009F1EDC">
        <w:rPr>
          <w:rFonts w:asciiTheme="minorHAnsi" w:hAnsiTheme="minorHAnsi"/>
          <w:spacing w:val="-5"/>
        </w:rPr>
        <w:t xml:space="preserve"> </w:t>
      </w:r>
      <w:r w:rsidRPr="009F1EDC">
        <w:rPr>
          <w:rFonts w:asciiTheme="minorHAnsi" w:hAnsiTheme="minorHAnsi"/>
        </w:rPr>
        <w:t>to:</w:t>
      </w:r>
    </w:p>
    <w:p w14:paraId="78E04625"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real and projected needs for the</w:t>
      </w:r>
      <w:r w:rsidRPr="009F1EDC">
        <w:rPr>
          <w:rFonts w:cs="Arial"/>
          <w:spacing w:val="-11"/>
        </w:rPr>
        <w:t xml:space="preserve"> </w:t>
      </w:r>
      <w:proofErr w:type="gramStart"/>
      <w:r w:rsidRPr="009F1EDC">
        <w:rPr>
          <w:rFonts w:cs="Arial"/>
        </w:rPr>
        <w:t>proposal;</w:t>
      </w:r>
      <w:proofErr w:type="gramEnd"/>
    </w:p>
    <w:p w14:paraId="4EEFEE07"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community benefits and</w:t>
      </w:r>
      <w:r w:rsidRPr="009F1EDC">
        <w:rPr>
          <w:rFonts w:cs="Arial"/>
          <w:spacing w:val="-20"/>
        </w:rPr>
        <w:t xml:space="preserve"> </w:t>
      </w:r>
      <w:proofErr w:type="gramStart"/>
      <w:r w:rsidRPr="009F1EDC">
        <w:rPr>
          <w:rFonts w:cs="Arial"/>
        </w:rPr>
        <w:t>impacts;</w:t>
      </w:r>
      <w:proofErr w:type="gramEnd"/>
    </w:p>
    <w:p w14:paraId="658B74A8"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alignment</w:t>
      </w:r>
      <w:r w:rsidRPr="009F1EDC">
        <w:rPr>
          <w:rFonts w:cs="Arial"/>
          <w:spacing w:val="-7"/>
        </w:rPr>
        <w:t xml:space="preserve"> </w:t>
      </w:r>
      <w:r w:rsidRPr="009F1EDC">
        <w:rPr>
          <w:rFonts w:cs="Arial"/>
        </w:rPr>
        <w:t>with</w:t>
      </w:r>
      <w:r w:rsidRPr="009F1EDC">
        <w:rPr>
          <w:rFonts w:cs="Arial"/>
          <w:spacing w:val="-7"/>
        </w:rPr>
        <w:t xml:space="preserve"> </w:t>
      </w:r>
      <w:r w:rsidRPr="009F1EDC">
        <w:rPr>
          <w:rFonts w:cs="Arial"/>
        </w:rPr>
        <w:t>planning</w:t>
      </w:r>
      <w:r w:rsidRPr="009F1EDC">
        <w:rPr>
          <w:rFonts w:cs="Arial"/>
          <w:spacing w:val="-6"/>
        </w:rPr>
        <w:t xml:space="preserve"> </w:t>
      </w:r>
      <w:r w:rsidRPr="009F1EDC">
        <w:rPr>
          <w:rFonts w:cs="Arial"/>
        </w:rPr>
        <w:t>documents</w:t>
      </w:r>
      <w:r w:rsidRPr="009F1EDC">
        <w:rPr>
          <w:rFonts w:cs="Arial"/>
          <w:spacing w:val="-6"/>
        </w:rPr>
        <w:t xml:space="preserve"> </w:t>
      </w:r>
      <w:r w:rsidRPr="009F1EDC">
        <w:rPr>
          <w:rFonts w:cs="Arial"/>
        </w:rPr>
        <w:t>and</w:t>
      </w:r>
      <w:r w:rsidRPr="009F1EDC">
        <w:rPr>
          <w:rFonts w:cs="Arial"/>
          <w:spacing w:val="-7"/>
        </w:rPr>
        <w:t xml:space="preserve"> </w:t>
      </w:r>
      <w:r w:rsidRPr="009F1EDC">
        <w:rPr>
          <w:rFonts w:cs="Arial"/>
        </w:rPr>
        <w:t>strategic planning</w:t>
      </w:r>
      <w:r w:rsidRPr="009F1EDC">
        <w:rPr>
          <w:rFonts w:cs="Arial"/>
          <w:spacing w:val="-2"/>
        </w:rPr>
        <w:t xml:space="preserve"> </w:t>
      </w:r>
      <w:proofErr w:type="gramStart"/>
      <w:r w:rsidRPr="009F1EDC">
        <w:rPr>
          <w:rFonts w:cs="Arial"/>
        </w:rPr>
        <w:t>principles;</w:t>
      </w:r>
      <w:proofErr w:type="gramEnd"/>
    </w:p>
    <w:p w14:paraId="3207435F"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financial</w:t>
      </w:r>
      <w:r w:rsidRPr="009F1EDC">
        <w:rPr>
          <w:rFonts w:cs="Arial"/>
          <w:spacing w:val="-9"/>
        </w:rPr>
        <w:t xml:space="preserve"> </w:t>
      </w:r>
      <w:r w:rsidRPr="009F1EDC">
        <w:rPr>
          <w:rFonts w:cs="Arial"/>
        </w:rPr>
        <w:t xml:space="preserve">impacts to the club/group and to </w:t>
      </w:r>
      <w:proofErr w:type="gramStart"/>
      <w:r w:rsidRPr="009F1EDC">
        <w:rPr>
          <w:rFonts w:cs="Arial"/>
        </w:rPr>
        <w:t>Council;;</w:t>
      </w:r>
      <w:proofErr w:type="gramEnd"/>
    </w:p>
    <w:p w14:paraId="5BB07465"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sustainability issues;</w:t>
      </w:r>
      <w:r w:rsidRPr="009F1EDC">
        <w:rPr>
          <w:rFonts w:cs="Arial"/>
          <w:spacing w:val="-18"/>
        </w:rPr>
        <w:t xml:space="preserve"> </w:t>
      </w:r>
      <w:r w:rsidRPr="009F1EDC">
        <w:rPr>
          <w:rFonts w:cs="Arial"/>
        </w:rPr>
        <w:t>and</w:t>
      </w:r>
    </w:p>
    <w:p w14:paraId="1B6E1B37" w14:textId="77777777" w:rsidR="0016753D" w:rsidRPr="009F1EDC" w:rsidRDefault="0016753D" w:rsidP="002A3889">
      <w:pPr>
        <w:pStyle w:val="ListParagraph"/>
        <w:widowControl w:val="0"/>
        <w:numPr>
          <w:ilvl w:val="3"/>
          <w:numId w:val="73"/>
        </w:numPr>
        <w:autoSpaceDE w:val="0"/>
        <w:autoSpaceDN w:val="0"/>
        <w:spacing w:after="0" w:line="240" w:lineRule="auto"/>
        <w:ind w:left="1276" w:hanging="425"/>
        <w:contextualSpacing w:val="0"/>
        <w:jc w:val="both"/>
        <w:rPr>
          <w:rFonts w:cs="Arial"/>
        </w:rPr>
      </w:pPr>
      <w:r w:rsidRPr="009F1EDC">
        <w:rPr>
          <w:rFonts w:cs="Arial"/>
        </w:rPr>
        <w:t>possible</w:t>
      </w:r>
      <w:r w:rsidRPr="009F1EDC">
        <w:rPr>
          <w:rFonts w:cs="Arial"/>
          <w:spacing w:val="-11"/>
        </w:rPr>
        <w:t xml:space="preserve"> </w:t>
      </w:r>
      <w:r w:rsidRPr="009F1EDC">
        <w:rPr>
          <w:rFonts w:cs="Arial"/>
        </w:rPr>
        <w:t>alternatives.</w:t>
      </w:r>
    </w:p>
    <w:p w14:paraId="6A16BC42" w14:textId="77777777" w:rsidR="0016753D" w:rsidRPr="009F1EDC" w:rsidRDefault="0016753D" w:rsidP="009F1EDC">
      <w:pPr>
        <w:pStyle w:val="BodyText"/>
        <w:spacing w:before="200" w:after="0"/>
        <w:ind w:left="851" w:right="108"/>
        <w:jc w:val="both"/>
        <w:rPr>
          <w:rFonts w:asciiTheme="minorHAnsi" w:hAnsiTheme="minorHAnsi"/>
        </w:rPr>
      </w:pPr>
      <w:r w:rsidRPr="009F1EDC">
        <w:rPr>
          <w:rFonts w:asciiTheme="minorHAnsi" w:hAnsiTheme="minorHAnsi"/>
        </w:rPr>
        <w:t xml:space="preserve">Minimum standards will be set for Town managed facilities </w:t>
      </w:r>
      <w:proofErr w:type="gramStart"/>
      <w:r w:rsidRPr="009F1EDC">
        <w:rPr>
          <w:rFonts w:asciiTheme="minorHAnsi" w:hAnsiTheme="minorHAnsi"/>
        </w:rPr>
        <w:t>with regard to</w:t>
      </w:r>
      <w:proofErr w:type="gramEnd"/>
      <w:r w:rsidRPr="009F1EDC">
        <w:rPr>
          <w:rFonts w:asciiTheme="minorHAnsi" w:hAnsiTheme="minorHAnsi"/>
        </w:rPr>
        <w:t xml:space="preserve"> site design and finishes in accordance with the Town’s Asset Management Plans. Any requirements over and above these standards are the responsibility of the </w:t>
      </w:r>
      <w:proofErr w:type="spellStart"/>
      <w:r w:rsidRPr="009F1EDC">
        <w:rPr>
          <w:rFonts w:asciiTheme="minorHAnsi" w:hAnsiTheme="minorHAnsi"/>
        </w:rPr>
        <w:t>organisation</w:t>
      </w:r>
      <w:proofErr w:type="spellEnd"/>
      <w:r w:rsidRPr="009F1EDC">
        <w:rPr>
          <w:rFonts w:asciiTheme="minorHAnsi" w:hAnsiTheme="minorHAnsi"/>
        </w:rPr>
        <w:t>/group leasing the facility to provide.</w:t>
      </w:r>
    </w:p>
    <w:p w14:paraId="0541216C" w14:textId="77777777" w:rsidR="0016753D" w:rsidRPr="009F1EDC" w:rsidRDefault="0016753D" w:rsidP="009F1EDC">
      <w:pPr>
        <w:pStyle w:val="BodyText"/>
        <w:spacing w:before="200" w:after="0"/>
        <w:ind w:left="851"/>
        <w:rPr>
          <w:rFonts w:asciiTheme="minorHAnsi" w:hAnsiTheme="minorHAnsi"/>
          <w:u w:val="single"/>
        </w:rPr>
      </w:pPr>
      <w:r w:rsidRPr="009F1EDC">
        <w:rPr>
          <w:rFonts w:asciiTheme="minorHAnsi" w:hAnsiTheme="minorHAnsi"/>
          <w:u w:val="single"/>
        </w:rPr>
        <w:t>Support for External Funding Applications</w:t>
      </w:r>
    </w:p>
    <w:p w14:paraId="2EABDFDD" w14:textId="77777777" w:rsidR="0016753D" w:rsidRPr="009F1EDC" w:rsidRDefault="0016753D" w:rsidP="0016753D">
      <w:pPr>
        <w:ind w:left="851"/>
        <w:jc w:val="both"/>
        <w:rPr>
          <w:rFonts w:cs="Arial"/>
          <w:lang w:val="en-US"/>
        </w:rPr>
      </w:pPr>
      <w:r w:rsidRPr="009F1EDC">
        <w:rPr>
          <w:rFonts w:cs="Arial"/>
          <w:lang w:val="en-US"/>
        </w:rPr>
        <w:t>Where the Town has supported external applications for funding and has committed to providing a portion of the funds, but the application is unsuccessful, the proposal may proceed if the applying body contributes all the remaining funds.</w:t>
      </w:r>
    </w:p>
    <w:p w14:paraId="12B7DA89" w14:textId="77777777" w:rsidR="0016753D" w:rsidRPr="009F1EDC" w:rsidRDefault="0016753D" w:rsidP="00A4127F">
      <w:pPr>
        <w:spacing w:after="0"/>
        <w:ind w:left="850" w:hanging="425"/>
        <w:jc w:val="both"/>
        <w:rPr>
          <w:rFonts w:cs="Arial"/>
          <w:b/>
          <w:lang w:val="en-US"/>
        </w:rPr>
      </w:pPr>
      <w:r w:rsidRPr="009F1EDC">
        <w:rPr>
          <w:rFonts w:cs="Arial"/>
          <w:b/>
          <w:lang w:val="en-US"/>
        </w:rPr>
        <w:t>3.2</w:t>
      </w:r>
      <w:r w:rsidRPr="009F1EDC">
        <w:rPr>
          <w:rFonts w:cs="Arial"/>
          <w:b/>
          <w:lang w:val="en-US"/>
        </w:rPr>
        <w:tab/>
        <w:t>Category (iv) – Self Funded Upgrades</w:t>
      </w:r>
    </w:p>
    <w:p w14:paraId="3247648E" w14:textId="77777777" w:rsidR="0016753D" w:rsidRPr="009F1EDC" w:rsidRDefault="0016753D" w:rsidP="00A4127F">
      <w:pPr>
        <w:pStyle w:val="BodyText"/>
        <w:spacing w:after="60"/>
        <w:ind w:left="851"/>
        <w:jc w:val="both"/>
        <w:rPr>
          <w:rFonts w:asciiTheme="minorHAnsi" w:hAnsiTheme="minorHAnsi"/>
        </w:rPr>
      </w:pPr>
      <w:r w:rsidRPr="009F1EDC">
        <w:rPr>
          <w:rFonts w:asciiTheme="minorHAnsi" w:hAnsiTheme="minorHAnsi"/>
        </w:rPr>
        <w:t xml:space="preserve">Local community </w:t>
      </w:r>
      <w:proofErr w:type="spellStart"/>
      <w:r w:rsidRPr="009F1EDC">
        <w:rPr>
          <w:rFonts w:asciiTheme="minorHAnsi" w:hAnsiTheme="minorHAnsi"/>
        </w:rPr>
        <w:t>organisations</w:t>
      </w:r>
      <w:proofErr w:type="spellEnd"/>
      <w:r w:rsidRPr="009F1EDC">
        <w:rPr>
          <w:rFonts w:asciiTheme="minorHAnsi" w:hAnsiTheme="minorHAnsi"/>
        </w:rPr>
        <w:t xml:space="preserve"> may make applications to the Town to self-fund an upgrade to a Town facility. The application to the Town must include the following:</w:t>
      </w:r>
    </w:p>
    <w:p w14:paraId="77E96A8F"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Application</w:t>
      </w:r>
      <w:r w:rsidRPr="009F1EDC">
        <w:rPr>
          <w:rFonts w:cs="Arial"/>
          <w:spacing w:val="-15"/>
        </w:rPr>
        <w:t xml:space="preserve"> </w:t>
      </w:r>
      <w:r w:rsidRPr="009F1EDC">
        <w:rPr>
          <w:rFonts w:cs="Arial"/>
        </w:rPr>
        <w:t>form</w:t>
      </w:r>
    </w:p>
    <w:p w14:paraId="50A9DB05"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Project</w:t>
      </w:r>
      <w:r w:rsidRPr="009F1EDC">
        <w:rPr>
          <w:rFonts w:cs="Arial"/>
          <w:spacing w:val="-11"/>
        </w:rPr>
        <w:t xml:space="preserve"> </w:t>
      </w:r>
      <w:r w:rsidRPr="009F1EDC">
        <w:rPr>
          <w:rFonts w:cs="Arial"/>
        </w:rPr>
        <w:t>budget</w:t>
      </w:r>
    </w:p>
    <w:p w14:paraId="1F443E63"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Compliance with all legislative</w:t>
      </w:r>
      <w:r w:rsidRPr="009F1EDC">
        <w:rPr>
          <w:rFonts w:cs="Arial"/>
          <w:spacing w:val="-25"/>
        </w:rPr>
        <w:t xml:space="preserve"> </w:t>
      </w:r>
      <w:r w:rsidRPr="009F1EDC">
        <w:rPr>
          <w:rFonts w:cs="Arial"/>
        </w:rPr>
        <w:t>requirements.</w:t>
      </w:r>
    </w:p>
    <w:p w14:paraId="181A2134"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Plans for the</w:t>
      </w:r>
      <w:r w:rsidRPr="009F1EDC">
        <w:rPr>
          <w:rFonts w:cs="Arial"/>
          <w:spacing w:val="-9"/>
        </w:rPr>
        <w:t xml:space="preserve"> </w:t>
      </w:r>
      <w:r w:rsidRPr="009F1EDC">
        <w:rPr>
          <w:rFonts w:cs="Arial"/>
        </w:rPr>
        <w:t>works.</w:t>
      </w:r>
    </w:p>
    <w:p w14:paraId="3D787513"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Demonstrated capacity to complete</w:t>
      </w:r>
      <w:r w:rsidRPr="009F1EDC">
        <w:rPr>
          <w:rFonts w:cs="Arial"/>
          <w:spacing w:val="-14"/>
        </w:rPr>
        <w:t xml:space="preserve"> </w:t>
      </w:r>
      <w:r w:rsidRPr="009F1EDC">
        <w:rPr>
          <w:rFonts w:cs="Arial"/>
        </w:rPr>
        <w:t>works.</w:t>
      </w:r>
    </w:p>
    <w:p w14:paraId="513021AF" w14:textId="77777777" w:rsidR="0016753D" w:rsidRPr="009F1EDC" w:rsidRDefault="0016753D" w:rsidP="00734C83">
      <w:pPr>
        <w:pStyle w:val="BodyText"/>
        <w:spacing w:before="200" w:after="60"/>
        <w:ind w:left="851" w:right="-45"/>
        <w:jc w:val="both"/>
        <w:rPr>
          <w:rFonts w:asciiTheme="minorHAnsi" w:hAnsiTheme="minorHAnsi"/>
        </w:rPr>
      </w:pPr>
      <w:r w:rsidRPr="009F1EDC">
        <w:rPr>
          <w:rFonts w:asciiTheme="minorHAnsi" w:hAnsiTheme="minorHAnsi"/>
        </w:rPr>
        <w:lastRenderedPageBreak/>
        <w:t xml:space="preserve">The Town will not guarantee that approval will be granted to requests for community </w:t>
      </w:r>
      <w:proofErr w:type="spellStart"/>
      <w:r w:rsidRPr="009F1EDC">
        <w:rPr>
          <w:rFonts w:asciiTheme="minorHAnsi" w:hAnsiTheme="minorHAnsi"/>
        </w:rPr>
        <w:t>organisations</w:t>
      </w:r>
      <w:proofErr w:type="spellEnd"/>
      <w:r w:rsidRPr="009F1EDC">
        <w:rPr>
          <w:rFonts w:asciiTheme="minorHAnsi" w:hAnsiTheme="minorHAnsi"/>
        </w:rPr>
        <w:t xml:space="preserve"> self-funded upgrades. In considering the application the Town will consider the following issues:</w:t>
      </w:r>
    </w:p>
    <w:p w14:paraId="3E8910DD"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Impact of facilities and associated user</w:t>
      </w:r>
      <w:r w:rsidRPr="009F1EDC">
        <w:rPr>
          <w:rFonts w:cs="Arial"/>
          <w:spacing w:val="-24"/>
        </w:rPr>
        <w:t xml:space="preserve"> </w:t>
      </w:r>
      <w:r w:rsidRPr="009F1EDC">
        <w:rPr>
          <w:rFonts w:cs="Arial"/>
        </w:rPr>
        <w:t>groups.</w:t>
      </w:r>
    </w:p>
    <w:p w14:paraId="2B58C368"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The proposed works and long-term impact on the life of the</w:t>
      </w:r>
      <w:r w:rsidRPr="009F1EDC">
        <w:rPr>
          <w:rFonts w:cs="Arial"/>
          <w:spacing w:val="-23"/>
        </w:rPr>
        <w:t xml:space="preserve"> </w:t>
      </w:r>
      <w:r w:rsidRPr="009F1EDC">
        <w:rPr>
          <w:rFonts w:cs="Arial"/>
        </w:rPr>
        <w:t>property.</w:t>
      </w:r>
    </w:p>
    <w:p w14:paraId="074D2D73"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Impact on local</w:t>
      </w:r>
      <w:r w:rsidRPr="009F1EDC">
        <w:rPr>
          <w:rFonts w:cs="Arial"/>
          <w:spacing w:val="-15"/>
        </w:rPr>
        <w:t xml:space="preserve"> </w:t>
      </w:r>
      <w:r w:rsidRPr="009F1EDC">
        <w:rPr>
          <w:rFonts w:cs="Arial"/>
        </w:rPr>
        <w:t>community.</w:t>
      </w:r>
    </w:p>
    <w:p w14:paraId="36D53EE3" w14:textId="77777777" w:rsidR="0016753D" w:rsidRPr="009F1EDC" w:rsidRDefault="0016753D" w:rsidP="002A3889">
      <w:pPr>
        <w:pStyle w:val="ListParagraph"/>
        <w:widowControl w:val="0"/>
        <w:numPr>
          <w:ilvl w:val="3"/>
          <w:numId w:val="73"/>
        </w:numPr>
        <w:autoSpaceDE w:val="0"/>
        <w:autoSpaceDN w:val="0"/>
        <w:spacing w:after="60" w:line="240" w:lineRule="auto"/>
        <w:ind w:left="1276" w:hanging="425"/>
        <w:contextualSpacing w:val="0"/>
        <w:jc w:val="both"/>
        <w:rPr>
          <w:rFonts w:cs="Arial"/>
        </w:rPr>
      </w:pPr>
      <w:r w:rsidRPr="009F1EDC">
        <w:rPr>
          <w:rFonts w:cs="Arial"/>
        </w:rPr>
        <w:t xml:space="preserve">Ability of community organisations to complete the </w:t>
      </w:r>
      <w:r w:rsidRPr="009F1EDC">
        <w:rPr>
          <w:rFonts w:cs="Arial"/>
          <w:spacing w:val="-35"/>
        </w:rPr>
        <w:t>works</w:t>
      </w:r>
      <w:r w:rsidRPr="009F1EDC">
        <w:rPr>
          <w:rFonts w:cs="Arial"/>
        </w:rPr>
        <w:t>.</w:t>
      </w:r>
    </w:p>
    <w:p w14:paraId="2DDA6774" w14:textId="77777777" w:rsidR="0016753D" w:rsidRPr="009F1EDC" w:rsidRDefault="0016753D" w:rsidP="002A3889">
      <w:pPr>
        <w:pStyle w:val="ListParagraph"/>
        <w:widowControl w:val="0"/>
        <w:numPr>
          <w:ilvl w:val="3"/>
          <w:numId w:val="73"/>
        </w:numPr>
        <w:autoSpaceDE w:val="0"/>
        <w:autoSpaceDN w:val="0"/>
        <w:spacing w:after="0" w:line="240" w:lineRule="auto"/>
        <w:ind w:left="1276" w:hanging="425"/>
        <w:contextualSpacing w:val="0"/>
        <w:jc w:val="both"/>
        <w:rPr>
          <w:rFonts w:cs="Arial"/>
        </w:rPr>
      </w:pPr>
      <w:r w:rsidRPr="009F1EDC">
        <w:rPr>
          <w:rFonts w:cs="Arial"/>
        </w:rPr>
        <w:t>Ongoing maintenance of proposed</w:t>
      </w:r>
      <w:r w:rsidRPr="009F1EDC">
        <w:rPr>
          <w:rFonts w:cs="Arial"/>
          <w:spacing w:val="-11"/>
        </w:rPr>
        <w:t xml:space="preserve"> </w:t>
      </w:r>
      <w:r w:rsidRPr="009F1EDC">
        <w:rPr>
          <w:rFonts w:cs="Arial"/>
        </w:rPr>
        <w:t>upgrade.</w:t>
      </w:r>
    </w:p>
    <w:p w14:paraId="2EBF9094" w14:textId="77777777" w:rsidR="0016753D" w:rsidRPr="009F1EDC" w:rsidRDefault="0016753D" w:rsidP="00734C83">
      <w:pPr>
        <w:spacing w:before="200" w:after="0"/>
        <w:ind w:left="425" w:hanging="425"/>
        <w:jc w:val="both"/>
        <w:rPr>
          <w:rFonts w:cs="Arial"/>
          <w:b/>
          <w:lang w:val="en-US"/>
        </w:rPr>
      </w:pPr>
      <w:r w:rsidRPr="009F1EDC">
        <w:rPr>
          <w:rFonts w:cs="Arial"/>
          <w:b/>
          <w:lang w:val="en-US"/>
        </w:rPr>
        <w:t>4.</w:t>
      </w:r>
      <w:r w:rsidRPr="009F1EDC">
        <w:rPr>
          <w:rFonts w:cs="Arial"/>
          <w:b/>
          <w:lang w:val="en-US"/>
        </w:rPr>
        <w:tab/>
        <w:t>Alterations to Leased Premises</w:t>
      </w:r>
    </w:p>
    <w:p w14:paraId="061A4387" w14:textId="77777777" w:rsidR="0016753D" w:rsidRPr="009F1EDC" w:rsidRDefault="0016753D" w:rsidP="0016753D">
      <w:pPr>
        <w:ind w:left="426"/>
        <w:jc w:val="both"/>
        <w:rPr>
          <w:rFonts w:cs="Arial"/>
          <w:lang w:val="en-US"/>
        </w:rPr>
      </w:pPr>
      <w:r w:rsidRPr="009F1EDC">
        <w:rPr>
          <w:rFonts w:cs="Arial"/>
          <w:lang w:val="en-US"/>
        </w:rPr>
        <w:t>Where alterations are proposed to any facility owned by the Town that is leased externally, the request will be dealt with in accordance with individual lease agreements and relevant approval processes.</w:t>
      </w:r>
    </w:p>
    <w:p w14:paraId="389D49A4" w14:textId="77777777" w:rsidR="0016753D" w:rsidRPr="009F1EDC" w:rsidRDefault="0016753D" w:rsidP="00734C83">
      <w:pPr>
        <w:spacing w:after="0"/>
        <w:ind w:left="425" w:hanging="425"/>
        <w:jc w:val="both"/>
        <w:rPr>
          <w:rFonts w:cs="Arial"/>
          <w:b/>
          <w:lang w:val="en-US"/>
        </w:rPr>
      </w:pPr>
      <w:r w:rsidRPr="009F1EDC">
        <w:rPr>
          <w:rFonts w:cs="Arial"/>
          <w:b/>
          <w:lang w:val="en-US"/>
        </w:rPr>
        <w:t>5.</w:t>
      </w:r>
      <w:r w:rsidRPr="009F1EDC">
        <w:rPr>
          <w:rFonts w:cs="Arial"/>
          <w:b/>
          <w:lang w:val="en-US"/>
        </w:rPr>
        <w:tab/>
        <w:t>Loans and Guarantees</w:t>
      </w:r>
    </w:p>
    <w:p w14:paraId="051EE9E1" w14:textId="77777777" w:rsidR="0016753D" w:rsidRPr="009F1EDC" w:rsidRDefault="0016753D" w:rsidP="0016753D">
      <w:pPr>
        <w:spacing w:after="0" w:line="240" w:lineRule="auto"/>
        <w:ind w:left="426"/>
        <w:jc w:val="both"/>
        <w:rPr>
          <w:rFonts w:cs="Arial"/>
        </w:rPr>
      </w:pPr>
      <w:r w:rsidRPr="009F1EDC">
        <w:rPr>
          <w:rFonts w:cs="Arial"/>
        </w:rPr>
        <w:t xml:space="preserve">In recognition of the risks associated with the provision of self-supporting loans or guarantees, the Town will generally not enter into any such agreements with any clubs, community organisations or external organisations. </w:t>
      </w:r>
    </w:p>
    <w:p w14:paraId="0DFF134A" w14:textId="77777777" w:rsidR="0016753D" w:rsidRPr="009F1EDC" w:rsidRDefault="0016753D" w:rsidP="0016753D">
      <w:pPr>
        <w:jc w:val="both"/>
        <w:rPr>
          <w:rFonts w:cs="Arial"/>
          <w:szCs w:val="24"/>
        </w:rPr>
      </w:pPr>
    </w:p>
    <w:tbl>
      <w:tblPr>
        <w:tblStyle w:val="TableGrid"/>
        <w:tblW w:w="0" w:type="auto"/>
        <w:tblLook w:val="04A0" w:firstRow="1" w:lastRow="0" w:firstColumn="1" w:lastColumn="0" w:noHBand="0" w:noVBand="1"/>
      </w:tblPr>
      <w:tblGrid>
        <w:gridCol w:w="3256"/>
        <w:gridCol w:w="5760"/>
      </w:tblGrid>
      <w:tr w:rsidR="0016753D" w:rsidRPr="009F1EDC" w14:paraId="59615CFD" w14:textId="77777777" w:rsidTr="009F1EDC">
        <w:tc>
          <w:tcPr>
            <w:tcW w:w="3256" w:type="dxa"/>
          </w:tcPr>
          <w:p w14:paraId="0D93BA5A" w14:textId="77777777" w:rsidR="0016753D" w:rsidRPr="009F1EDC" w:rsidRDefault="0016753D" w:rsidP="009F1EDC">
            <w:pPr>
              <w:jc w:val="both"/>
              <w:rPr>
                <w:rFonts w:cs="Arial"/>
                <w:b/>
                <w:lang w:val="en-US"/>
              </w:rPr>
            </w:pPr>
            <w:r w:rsidRPr="009F1EDC">
              <w:rPr>
                <w:rFonts w:cs="Arial"/>
                <w:b/>
                <w:lang w:val="en-US"/>
              </w:rPr>
              <w:t>Responsible Directorate:</w:t>
            </w:r>
          </w:p>
        </w:tc>
        <w:tc>
          <w:tcPr>
            <w:tcW w:w="5760" w:type="dxa"/>
          </w:tcPr>
          <w:p w14:paraId="7760D892" w14:textId="77777777" w:rsidR="0016753D" w:rsidRPr="009F1EDC" w:rsidRDefault="0016753D" w:rsidP="009F1EDC">
            <w:pPr>
              <w:jc w:val="both"/>
              <w:rPr>
                <w:rFonts w:cs="Arial"/>
                <w:lang w:val="en-US"/>
              </w:rPr>
            </w:pPr>
            <w:r w:rsidRPr="009F1EDC">
              <w:rPr>
                <w:rFonts w:cs="Arial"/>
                <w:lang w:val="en-US"/>
              </w:rPr>
              <w:t>Corporate Services</w:t>
            </w:r>
          </w:p>
        </w:tc>
      </w:tr>
      <w:tr w:rsidR="0016753D" w:rsidRPr="009F1EDC" w14:paraId="2C147DD7" w14:textId="77777777" w:rsidTr="009F1EDC">
        <w:tc>
          <w:tcPr>
            <w:tcW w:w="3256" w:type="dxa"/>
          </w:tcPr>
          <w:p w14:paraId="07392ACF" w14:textId="77777777" w:rsidR="0016753D" w:rsidRPr="009F1EDC" w:rsidRDefault="0016753D" w:rsidP="009F1EDC">
            <w:pPr>
              <w:jc w:val="both"/>
              <w:rPr>
                <w:rFonts w:cs="Arial"/>
                <w:b/>
                <w:lang w:val="en-US"/>
              </w:rPr>
            </w:pPr>
            <w:r w:rsidRPr="009F1EDC">
              <w:rPr>
                <w:rFonts w:cs="Arial"/>
                <w:b/>
                <w:lang w:val="en-US"/>
              </w:rPr>
              <w:t>Reviewing Officer:</w:t>
            </w:r>
          </w:p>
        </w:tc>
        <w:tc>
          <w:tcPr>
            <w:tcW w:w="5760" w:type="dxa"/>
          </w:tcPr>
          <w:p w14:paraId="372BF2F5" w14:textId="77777777" w:rsidR="0016753D" w:rsidRPr="009F1EDC" w:rsidRDefault="0016753D" w:rsidP="009F1EDC">
            <w:pPr>
              <w:jc w:val="both"/>
              <w:rPr>
                <w:rFonts w:cs="Arial"/>
                <w:lang w:val="en-US"/>
              </w:rPr>
            </w:pPr>
            <w:r w:rsidRPr="009F1EDC">
              <w:rPr>
                <w:rFonts w:cs="Arial"/>
                <w:lang w:val="en-US"/>
              </w:rPr>
              <w:t>Executive Manager Corporate Services</w:t>
            </w:r>
          </w:p>
        </w:tc>
      </w:tr>
      <w:tr w:rsidR="0016753D" w:rsidRPr="009F1EDC" w14:paraId="1680E9EF" w14:textId="77777777" w:rsidTr="009F1EDC">
        <w:tc>
          <w:tcPr>
            <w:tcW w:w="3256" w:type="dxa"/>
          </w:tcPr>
          <w:p w14:paraId="292C7CF8" w14:textId="77777777" w:rsidR="0016753D" w:rsidRPr="009F1EDC" w:rsidRDefault="0016753D" w:rsidP="009F1EDC">
            <w:pPr>
              <w:jc w:val="both"/>
              <w:rPr>
                <w:rFonts w:cs="Arial"/>
                <w:b/>
                <w:lang w:val="en-US"/>
              </w:rPr>
            </w:pPr>
            <w:r w:rsidRPr="009F1EDC">
              <w:rPr>
                <w:rFonts w:cs="Arial"/>
                <w:b/>
                <w:lang w:val="en-US"/>
              </w:rPr>
              <w:t>Decision making Authority:</w:t>
            </w:r>
          </w:p>
        </w:tc>
        <w:tc>
          <w:tcPr>
            <w:tcW w:w="5760" w:type="dxa"/>
          </w:tcPr>
          <w:p w14:paraId="2AC30419" w14:textId="77777777" w:rsidR="0016753D" w:rsidRPr="009F1EDC" w:rsidRDefault="0016753D" w:rsidP="009F1EDC">
            <w:pPr>
              <w:jc w:val="both"/>
              <w:rPr>
                <w:rFonts w:cs="Arial"/>
                <w:lang w:val="en-US"/>
              </w:rPr>
            </w:pPr>
            <w:r w:rsidRPr="009F1EDC">
              <w:rPr>
                <w:rFonts w:cs="Arial"/>
                <w:lang w:val="en-US"/>
              </w:rPr>
              <w:t>Council</w:t>
            </w:r>
          </w:p>
        </w:tc>
      </w:tr>
      <w:tr w:rsidR="0016753D" w:rsidRPr="009F1EDC" w14:paraId="4B188D84" w14:textId="77777777" w:rsidTr="009F1EDC">
        <w:tc>
          <w:tcPr>
            <w:tcW w:w="3256" w:type="dxa"/>
          </w:tcPr>
          <w:p w14:paraId="6A9B27CD" w14:textId="77777777" w:rsidR="0016753D" w:rsidRPr="009F1EDC" w:rsidRDefault="0016753D" w:rsidP="009F1EDC">
            <w:pPr>
              <w:jc w:val="both"/>
              <w:rPr>
                <w:rFonts w:cs="Arial"/>
                <w:b/>
                <w:lang w:val="en-US"/>
              </w:rPr>
            </w:pPr>
            <w:r w:rsidRPr="009F1EDC">
              <w:rPr>
                <w:rFonts w:cs="Arial"/>
                <w:b/>
                <w:lang w:val="en-US"/>
              </w:rPr>
              <w:t>Policy Adopted:</w:t>
            </w:r>
          </w:p>
        </w:tc>
        <w:tc>
          <w:tcPr>
            <w:tcW w:w="5760" w:type="dxa"/>
          </w:tcPr>
          <w:p w14:paraId="5D52C33B" w14:textId="77777777" w:rsidR="0016753D" w:rsidRPr="009F1EDC" w:rsidRDefault="0016753D" w:rsidP="00F55C58">
            <w:pPr>
              <w:jc w:val="both"/>
              <w:rPr>
                <w:rFonts w:cs="Arial"/>
                <w:lang w:val="en-US"/>
              </w:rPr>
            </w:pPr>
            <w:r w:rsidRPr="009F1EDC">
              <w:rPr>
                <w:rFonts w:cs="Arial"/>
                <w:lang w:val="en-US"/>
              </w:rPr>
              <w:t>18</w:t>
            </w:r>
            <w:r w:rsidR="00F55C58">
              <w:rPr>
                <w:rFonts w:cs="Arial"/>
                <w:lang w:val="en-US"/>
              </w:rPr>
              <w:t>/</w:t>
            </w:r>
            <w:r w:rsidR="00734C83">
              <w:rPr>
                <w:rFonts w:cs="Arial"/>
                <w:lang w:val="en-US"/>
              </w:rPr>
              <w:t>9/18</w:t>
            </w:r>
            <w:r w:rsidRPr="009F1EDC">
              <w:rPr>
                <w:rFonts w:cs="Arial"/>
                <w:lang w:val="en-US"/>
              </w:rPr>
              <w:t xml:space="preserve"> </w:t>
            </w:r>
          </w:p>
        </w:tc>
      </w:tr>
      <w:tr w:rsidR="0016753D" w:rsidRPr="009F1EDC" w14:paraId="78AE8328" w14:textId="77777777" w:rsidTr="009F1EDC">
        <w:tc>
          <w:tcPr>
            <w:tcW w:w="3256" w:type="dxa"/>
          </w:tcPr>
          <w:p w14:paraId="07F9EE0D" w14:textId="77777777" w:rsidR="0016753D" w:rsidRPr="009F1EDC" w:rsidRDefault="00734C83" w:rsidP="009F1EDC">
            <w:pPr>
              <w:jc w:val="both"/>
              <w:rPr>
                <w:rFonts w:cs="Arial"/>
                <w:b/>
                <w:lang w:val="en-US"/>
              </w:rPr>
            </w:pPr>
            <w:r>
              <w:rPr>
                <w:rFonts w:cs="Arial"/>
                <w:b/>
                <w:lang w:val="en-US"/>
              </w:rPr>
              <w:t>Policy Amended/Reviewed:</w:t>
            </w:r>
          </w:p>
        </w:tc>
        <w:tc>
          <w:tcPr>
            <w:tcW w:w="5760" w:type="dxa"/>
          </w:tcPr>
          <w:p w14:paraId="1A2E2E2F" w14:textId="77777777" w:rsidR="0016753D" w:rsidRPr="009F1EDC" w:rsidRDefault="00F55C58" w:rsidP="009F1EDC">
            <w:pPr>
              <w:jc w:val="both"/>
              <w:rPr>
                <w:rFonts w:cs="Arial"/>
                <w:lang w:val="en-US"/>
              </w:rPr>
            </w:pPr>
            <w:r>
              <w:rPr>
                <w:rFonts w:cs="Arial"/>
                <w:lang w:val="en-US"/>
              </w:rPr>
              <w:t>17/9/19</w:t>
            </w:r>
          </w:p>
        </w:tc>
      </w:tr>
      <w:tr w:rsidR="0016753D" w:rsidRPr="009F1EDC" w14:paraId="2BFEA1C4" w14:textId="77777777" w:rsidTr="009F1EDC">
        <w:tc>
          <w:tcPr>
            <w:tcW w:w="3256" w:type="dxa"/>
          </w:tcPr>
          <w:p w14:paraId="59EA9DAD" w14:textId="77777777" w:rsidR="0016753D" w:rsidRPr="009F1EDC" w:rsidRDefault="00734C83" w:rsidP="009F1EDC">
            <w:pPr>
              <w:jc w:val="both"/>
              <w:rPr>
                <w:rFonts w:cs="Arial"/>
                <w:b/>
                <w:lang w:val="en-US"/>
              </w:rPr>
            </w:pPr>
            <w:r>
              <w:rPr>
                <w:rFonts w:cs="Arial"/>
                <w:b/>
                <w:lang w:val="en-US"/>
              </w:rPr>
              <w:t>Former Policy No:</w:t>
            </w:r>
          </w:p>
        </w:tc>
        <w:tc>
          <w:tcPr>
            <w:tcW w:w="5760" w:type="dxa"/>
          </w:tcPr>
          <w:p w14:paraId="18AFD156" w14:textId="77777777" w:rsidR="0016753D" w:rsidRPr="009F1EDC" w:rsidRDefault="00734C83" w:rsidP="009F1EDC">
            <w:pPr>
              <w:jc w:val="both"/>
              <w:rPr>
                <w:rFonts w:cs="Arial"/>
                <w:lang w:val="en-US"/>
              </w:rPr>
            </w:pPr>
            <w:r>
              <w:rPr>
                <w:rFonts w:cs="Arial"/>
                <w:lang w:val="en-US"/>
              </w:rPr>
              <w:t>2.2.2</w:t>
            </w:r>
          </w:p>
        </w:tc>
      </w:tr>
    </w:tbl>
    <w:p w14:paraId="6290A7A7" w14:textId="77777777" w:rsidR="0016753D" w:rsidRDefault="0016753D" w:rsidP="0016753D">
      <w:pPr>
        <w:jc w:val="both"/>
        <w:rPr>
          <w:rFonts w:cs="Arial"/>
          <w:lang w:val="en-US"/>
        </w:rPr>
      </w:pPr>
    </w:p>
    <w:p w14:paraId="627CAE7F" w14:textId="77777777" w:rsidR="00060800" w:rsidRDefault="00060800">
      <w:pPr>
        <w:rPr>
          <w:rFonts w:cs="Arial"/>
          <w:lang w:val="en-US"/>
        </w:rPr>
      </w:pPr>
      <w:r>
        <w:rPr>
          <w:rFonts w:cs="Arial"/>
          <w:lang w:val="en-US"/>
        </w:rPr>
        <w:br w:type="page"/>
      </w:r>
    </w:p>
    <w:p w14:paraId="643F2F80" w14:textId="77777777" w:rsidR="00FF7372" w:rsidRDefault="00FF7372" w:rsidP="00FF7372">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24448" behindDoc="1" locked="0" layoutInCell="1" allowOverlap="1" wp14:anchorId="2E62E16C" wp14:editId="0A5C076C">
            <wp:simplePos x="0" y="0"/>
            <wp:positionH relativeFrom="column">
              <wp:posOffset>4019550</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70E3AE2" w14:textId="77777777" w:rsidR="00FF7372" w:rsidRPr="0016753D" w:rsidRDefault="00FF7372" w:rsidP="00FF7372">
      <w:pPr>
        <w:pStyle w:val="Title"/>
        <w:pBdr>
          <w:bottom w:val="none" w:sz="0" w:space="0" w:color="auto"/>
        </w:pBdr>
        <w:spacing w:before="240" w:after="240"/>
        <w:rPr>
          <w:rFonts w:ascii="Arial" w:hAnsi="Arial" w:cs="Arial"/>
          <w:b/>
          <w:sz w:val="14"/>
          <w:szCs w:val="28"/>
          <w:lang w:val="en-US"/>
        </w:rPr>
      </w:pPr>
    </w:p>
    <w:p w14:paraId="27F5D3D5" w14:textId="77777777" w:rsidR="00FF7372" w:rsidRDefault="00FF7372" w:rsidP="00FF7372">
      <w:pPr>
        <w:pStyle w:val="Policy3"/>
      </w:pPr>
      <w:bookmarkStart w:id="421" w:name="_Toc14942649"/>
    </w:p>
    <w:p w14:paraId="1CCC6327" w14:textId="77777777" w:rsidR="00FF7372" w:rsidRDefault="00FF7372" w:rsidP="00FF7372">
      <w:pPr>
        <w:pStyle w:val="Policy3"/>
      </w:pPr>
    </w:p>
    <w:p w14:paraId="6804A1A9" w14:textId="77777777" w:rsidR="00FF7372" w:rsidRPr="003F200D" w:rsidRDefault="00FF7372" w:rsidP="00FF7372">
      <w:pPr>
        <w:pStyle w:val="Policy3"/>
      </w:pPr>
      <w:bookmarkStart w:id="422" w:name="_Toc216866707"/>
      <w:r w:rsidRPr="003F200D">
        <w:t>2.2.</w:t>
      </w:r>
      <w:r>
        <w:t>7</w:t>
      </w:r>
      <w:r w:rsidRPr="003F200D">
        <w:tab/>
      </w:r>
      <w:bookmarkEnd w:id="421"/>
      <w:r>
        <w:t>Fraud and Corruption</w:t>
      </w:r>
      <w:bookmarkEnd w:id="422"/>
    </w:p>
    <w:tbl>
      <w:tblPr>
        <w:tblStyle w:val="TableGrid"/>
        <w:tblW w:w="0" w:type="auto"/>
        <w:tblLook w:val="04A0" w:firstRow="1" w:lastRow="0" w:firstColumn="1" w:lastColumn="0" w:noHBand="0" w:noVBand="1"/>
      </w:tblPr>
      <w:tblGrid>
        <w:gridCol w:w="3022"/>
        <w:gridCol w:w="5994"/>
      </w:tblGrid>
      <w:tr w:rsidR="00FF7372" w:rsidRPr="009F1EDC" w14:paraId="23BD64C5" w14:textId="77777777" w:rsidTr="00492C9F">
        <w:tc>
          <w:tcPr>
            <w:tcW w:w="3022" w:type="dxa"/>
          </w:tcPr>
          <w:p w14:paraId="14BAD013" w14:textId="77777777" w:rsidR="00FF7372" w:rsidRPr="009F1EDC" w:rsidRDefault="00FF7372" w:rsidP="00492C9F">
            <w:pPr>
              <w:rPr>
                <w:rFonts w:cs="Arial"/>
                <w:b/>
                <w:lang w:val="en-US"/>
              </w:rPr>
            </w:pPr>
            <w:r w:rsidRPr="009F1EDC">
              <w:rPr>
                <w:rFonts w:cs="Arial"/>
                <w:b/>
                <w:lang w:val="en-US"/>
              </w:rPr>
              <w:t>Type:</w:t>
            </w:r>
          </w:p>
        </w:tc>
        <w:tc>
          <w:tcPr>
            <w:tcW w:w="5994" w:type="dxa"/>
          </w:tcPr>
          <w:p w14:paraId="5DCD3028" w14:textId="77777777" w:rsidR="00FF7372" w:rsidRPr="009F1EDC" w:rsidRDefault="00FF7372" w:rsidP="00492C9F">
            <w:pPr>
              <w:rPr>
                <w:rFonts w:cs="Arial"/>
                <w:lang w:val="en-US"/>
              </w:rPr>
            </w:pPr>
            <w:r>
              <w:rPr>
                <w:rFonts w:cs="Arial"/>
                <w:lang w:val="en-US"/>
              </w:rPr>
              <w:t>Corporate Services – Risk Management</w:t>
            </w:r>
          </w:p>
        </w:tc>
      </w:tr>
      <w:tr w:rsidR="00FF7372" w:rsidRPr="009F1EDC" w14:paraId="792FC40F" w14:textId="77777777" w:rsidTr="00492C9F">
        <w:tc>
          <w:tcPr>
            <w:tcW w:w="3022" w:type="dxa"/>
          </w:tcPr>
          <w:p w14:paraId="33CFA52C" w14:textId="77777777" w:rsidR="00FF7372" w:rsidRPr="009F1EDC" w:rsidRDefault="00FF7372" w:rsidP="00492C9F">
            <w:pPr>
              <w:rPr>
                <w:rFonts w:cs="Arial"/>
                <w:b/>
                <w:lang w:val="en-US"/>
              </w:rPr>
            </w:pPr>
            <w:r w:rsidRPr="009F1EDC">
              <w:rPr>
                <w:rFonts w:cs="Arial"/>
                <w:b/>
                <w:lang w:val="en-US"/>
              </w:rPr>
              <w:t>Legislation:</w:t>
            </w:r>
          </w:p>
        </w:tc>
        <w:tc>
          <w:tcPr>
            <w:tcW w:w="5994" w:type="dxa"/>
          </w:tcPr>
          <w:p w14:paraId="40004706" w14:textId="77777777" w:rsidR="00FF7372" w:rsidRPr="008C3BF4" w:rsidRDefault="00FF7372" w:rsidP="00492C9F">
            <w:pPr>
              <w:pStyle w:val="TableParagraph"/>
              <w:ind w:left="0"/>
              <w:rPr>
                <w:rFonts w:asciiTheme="minorHAnsi" w:hAnsiTheme="minorHAnsi" w:cstheme="minorHAnsi"/>
                <w:i/>
              </w:rPr>
            </w:pPr>
            <w:r w:rsidRPr="008C3BF4">
              <w:rPr>
                <w:rFonts w:asciiTheme="minorHAnsi" w:hAnsiTheme="minorHAnsi" w:cstheme="minorHAnsi"/>
                <w:i/>
                <w:color w:val="010202"/>
              </w:rPr>
              <w:t>Local Government Act 1995</w:t>
            </w:r>
          </w:p>
          <w:p w14:paraId="65B19A4D" w14:textId="77777777" w:rsidR="00FF7372" w:rsidRPr="008C3BF4" w:rsidRDefault="00FF7372" w:rsidP="00492C9F">
            <w:pPr>
              <w:rPr>
                <w:rFonts w:cstheme="minorHAnsi"/>
                <w:i/>
                <w:color w:val="010202"/>
              </w:rPr>
            </w:pPr>
            <w:r w:rsidRPr="008C3BF4">
              <w:rPr>
                <w:rFonts w:cstheme="minorHAnsi"/>
                <w:i/>
                <w:color w:val="010202"/>
              </w:rPr>
              <w:t xml:space="preserve">Corruption, Crime and Misconduct Act 2003 </w:t>
            </w:r>
          </w:p>
          <w:p w14:paraId="6979761B" w14:textId="77777777" w:rsidR="00FF7372" w:rsidRPr="008C3BF4" w:rsidRDefault="00FF7372" w:rsidP="00492C9F">
            <w:pPr>
              <w:rPr>
                <w:rFonts w:cstheme="minorHAnsi"/>
                <w:i/>
                <w:color w:val="010202"/>
              </w:rPr>
            </w:pPr>
            <w:r w:rsidRPr="008C3BF4">
              <w:rPr>
                <w:rFonts w:cstheme="minorHAnsi"/>
                <w:i/>
                <w:color w:val="010202"/>
              </w:rPr>
              <w:t>Public Interest Disclosure Act 2003</w:t>
            </w:r>
          </w:p>
          <w:p w14:paraId="73B4C67E" w14:textId="77777777" w:rsidR="00FF7372" w:rsidRPr="008C3BF4" w:rsidRDefault="00FF7372" w:rsidP="00492C9F">
            <w:pPr>
              <w:rPr>
                <w:rFonts w:cstheme="minorHAnsi"/>
                <w:lang w:val="en-US"/>
              </w:rPr>
            </w:pPr>
            <w:r w:rsidRPr="008C3BF4">
              <w:rPr>
                <w:rFonts w:cstheme="minorHAnsi"/>
                <w:i/>
                <w:color w:val="010202"/>
              </w:rPr>
              <w:t>Local Government (Rules of Conduct) Regulations 2007 Australian National Audit Office.</w:t>
            </w:r>
            <w:r w:rsidRPr="008C3BF4">
              <w:rPr>
                <w:rFonts w:cstheme="minorHAnsi"/>
                <w:lang w:val="en-US"/>
              </w:rPr>
              <w:t xml:space="preserve"> </w:t>
            </w:r>
          </w:p>
        </w:tc>
      </w:tr>
      <w:tr w:rsidR="00FF7372" w:rsidRPr="009F1EDC" w14:paraId="2542AB1E" w14:textId="77777777" w:rsidTr="00492C9F">
        <w:tc>
          <w:tcPr>
            <w:tcW w:w="3022" w:type="dxa"/>
          </w:tcPr>
          <w:p w14:paraId="3881700E" w14:textId="77777777" w:rsidR="00FF7372" w:rsidRPr="009F1EDC" w:rsidRDefault="00FF7372" w:rsidP="00492C9F">
            <w:pPr>
              <w:rPr>
                <w:rFonts w:cs="Arial"/>
                <w:b/>
                <w:lang w:val="en-US"/>
              </w:rPr>
            </w:pPr>
            <w:r w:rsidRPr="009F1EDC">
              <w:rPr>
                <w:rFonts w:cs="Arial"/>
                <w:b/>
                <w:lang w:val="en-US"/>
              </w:rPr>
              <w:t>Delegation:</w:t>
            </w:r>
          </w:p>
        </w:tc>
        <w:tc>
          <w:tcPr>
            <w:tcW w:w="5994" w:type="dxa"/>
          </w:tcPr>
          <w:p w14:paraId="58B4A59F" w14:textId="77777777" w:rsidR="00FF7372" w:rsidRPr="009F1EDC" w:rsidRDefault="00FF7372" w:rsidP="00492C9F">
            <w:pPr>
              <w:rPr>
                <w:rFonts w:cs="Arial"/>
                <w:lang w:val="en-US"/>
              </w:rPr>
            </w:pPr>
          </w:p>
        </w:tc>
      </w:tr>
      <w:tr w:rsidR="00FF7372" w:rsidRPr="009F1EDC" w14:paraId="60519943" w14:textId="77777777" w:rsidTr="00492C9F">
        <w:tc>
          <w:tcPr>
            <w:tcW w:w="3022" w:type="dxa"/>
          </w:tcPr>
          <w:p w14:paraId="09AB5606" w14:textId="77777777" w:rsidR="00FF7372" w:rsidRPr="009F1EDC" w:rsidRDefault="00FF7372" w:rsidP="00492C9F">
            <w:pPr>
              <w:rPr>
                <w:rFonts w:cs="Arial"/>
                <w:b/>
                <w:lang w:val="en-US"/>
              </w:rPr>
            </w:pPr>
            <w:r w:rsidRPr="009F1EDC">
              <w:rPr>
                <w:rFonts w:cs="Arial"/>
                <w:b/>
                <w:lang w:val="en-US"/>
              </w:rPr>
              <w:t>Other Related Document</w:t>
            </w:r>
            <w:r>
              <w:rPr>
                <w:rFonts w:cs="Arial"/>
                <w:b/>
                <w:lang w:val="en-US"/>
              </w:rPr>
              <w:t>s</w:t>
            </w:r>
            <w:r w:rsidRPr="009F1EDC">
              <w:rPr>
                <w:rFonts w:cs="Arial"/>
                <w:b/>
                <w:lang w:val="en-US"/>
              </w:rPr>
              <w:t>:</w:t>
            </w:r>
          </w:p>
        </w:tc>
        <w:tc>
          <w:tcPr>
            <w:tcW w:w="5994" w:type="dxa"/>
          </w:tcPr>
          <w:p w14:paraId="0D0FD988" w14:textId="77777777" w:rsidR="00FF7372" w:rsidRDefault="00FF7372" w:rsidP="00492C9F">
            <w:pPr>
              <w:rPr>
                <w:rFonts w:cs="Arial"/>
                <w:lang w:val="en-US"/>
              </w:rPr>
            </w:pPr>
            <w:r>
              <w:rPr>
                <w:rFonts w:cs="Arial"/>
                <w:lang w:val="en-US"/>
              </w:rPr>
              <w:t xml:space="preserve">Fraud and Corruption Control Plan </w:t>
            </w:r>
          </w:p>
          <w:p w14:paraId="3418F679" w14:textId="77777777" w:rsidR="00FF7372" w:rsidRPr="008C3BF4" w:rsidRDefault="00FF7372" w:rsidP="00492C9F">
            <w:pPr>
              <w:rPr>
                <w:rFonts w:cstheme="minorHAnsi"/>
              </w:rPr>
            </w:pPr>
            <w:r w:rsidRPr="008C3BF4">
              <w:rPr>
                <w:rFonts w:cstheme="minorHAnsi"/>
                <w:color w:val="010202"/>
              </w:rPr>
              <w:t>Town of East Fremantle Strategic Community Plan 2017-2027 KRA: Leadership and Governance</w:t>
            </w:r>
          </w:p>
          <w:p w14:paraId="3CB43F0C" w14:textId="77777777" w:rsidR="00FF7372" w:rsidRPr="008C3BF4" w:rsidRDefault="00FF7372" w:rsidP="00492C9F">
            <w:pPr>
              <w:pStyle w:val="TableParagraph"/>
              <w:ind w:left="-17"/>
              <w:rPr>
                <w:rFonts w:asciiTheme="minorHAnsi" w:hAnsiTheme="minorHAnsi" w:cstheme="minorHAnsi"/>
                <w:i/>
                <w:iCs/>
                <w:color w:val="010202"/>
              </w:rPr>
            </w:pPr>
            <w:r w:rsidRPr="008C3BF4">
              <w:rPr>
                <w:rFonts w:asciiTheme="minorHAnsi" w:hAnsiTheme="minorHAnsi" w:cstheme="minorHAnsi"/>
                <w:i/>
                <w:iCs/>
                <w:color w:val="010202"/>
              </w:rPr>
              <w:t xml:space="preserve">5.1. Strengthen </w:t>
            </w:r>
            <w:proofErr w:type="spellStart"/>
            <w:r w:rsidRPr="008C3BF4">
              <w:rPr>
                <w:rFonts w:asciiTheme="minorHAnsi" w:hAnsiTheme="minorHAnsi" w:cstheme="minorHAnsi"/>
                <w:i/>
                <w:iCs/>
                <w:color w:val="010202"/>
              </w:rPr>
              <w:t>organisational</w:t>
            </w:r>
            <w:proofErr w:type="spellEnd"/>
            <w:r w:rsidRPr="008C3BF4">
              <w:rPr>
                <w:rFonts w:asciiTheme="minorHAnsi" w:hAnsiTheme="minorHAnsi" w:cstheme="minorHAnsi"/>
                <w:i/>
                <w:iCs/>
                <w:color w:val="010202"/>
              </w:rPr>
              <w:t xml:space="preserve"> accountability &amp; transparency</w:t>
            </w:r>
            <w:r w:rsidRPr="008C3BF4">
              <w:rPr>
                <w:rFonts w:asciiTheme="minorHAnsi" w:hAnsiTheme="minorHAnsi" w:cstheme="minorHAnsi"/>
                <w:i/>
                <w:iCs/>
                <w:color w:val="010202"/>
                <w:highlight w:val="yellow"/>
              </w:rPr>
              <w:t xml:space="preserve"> </w:t>
            </w:r>
          </w:p>
          <w:p w14:paraId="69E386F3" w14:textId="77777777" w:rsidR="00FF7372" w:rsidRDefault="00FF7372" w:rsidP="00492C9F">
            <w:pPr>
              <w:pStyle w:val="TableParagraph"/>
              <w:ind w:left="-17" w:right="406"/>
              <w:rPr>
                <w:rFonts w:asciiTheme="minorHAnsi" w:hAnsiTheme="minorHAnsi" w:cstheme="minorHAnsi"/>
                <w:color w:val="010202"/>
              </w:rPr>
            </w:pPr>
            <w:r w:rsidRPr="008C3BF4">
              <w:rPr>
                <w:rFonts w:asciiTheme="minorHAnsi" w:hAnsiTheme="minorHAnsi" w:cstheme="minorHAnsi"/>
                <w:color w:val="010202"/>
              </w:rPr>
              <w:t xml:space="preserve">Risk Management Policy </w:t>
            </w:r>
            <w:r>
              <w:rPr>
                <w:rFonts w:asciiTheme="minorHAnsi" w:hAnsiTheme="minorHAnsi" w:cstheme="minorHAnsi"/>
                <w:color w:val="010202"/>
              </w:rPr>
              <w:t>a</w:t>
            </w:r>
            <w:r w:rsidRPr="008C3BF4">
              <w:rPr>
                <w:rFonts w:asciiTheme="minorHAnsi" w:hAnsiTheme="minorHAnsi" w:cstheme="minorHAnsi"/>
                <w:color w:val="010202"/>
              </w:rPr>
              <w:t xml:space="preserve">nd Framework </w:t>
            </w:r>
          </w:p>
          <w:p w14:paraId="58BCFF14" w14:textId="77777777" w:rsidR="00FF7372" w:rsidRDefault="00FF7372" w:rsidP="00492C9F">
            <w:pPr>
              <w:pStyle w:val="TableParagraph"/>
              <w:ind w:left="-17" w:right="406"/>
              <w:rPr>
                <w:rFonts w:asciiTheme="minorHAnsi" w:hAnsiTheme="minorHAnsi" w:cstheme="minorHAnsi"/>
                <w:color w:val="010202"/>
              </w:rPr>
            </w:pPr>
            <w:r w:rsidRPr="008C3BF4">
              <w:rPr>
                <w:rFonts w:asciiTheme="minorHAnsi" w:hAnsiTheme="minorHAnsi" w:cstheme="minorHAnsi"/>
                <w:color w:val="010202"/>
              </w:rPr>
              <w:t>Code of Conduct</w:t>
            </w:r>
          </w:p>
          <w:p w14:paraId="65928432" w14:textId="77777777" w:rsidR="00FF7372" w:rsidRPr="008C3BF4" w:rsidRDefault="00FF7372" w:rsidP="00492C9F">
            <w:pPr>
              <w:pStyle w:val="TableParagraph"/>
              <w:ind w:left="-17" w:right="406"/>
              <w:rPr>
                <w:rFonts w:asciiTheme="minorHAnsi" w:hAnsiTheme="minorHAnsi" w:cstheme="minorHAnsi"/>
                <w:iCs/>
                <w:color w:val="010202"/>
              </w:rPr>
            </w:pPr>
            <w:r w:rsidRPr="008C3BF4">
              <w:rPr>
                <w:rFonts w:asciiTheme="minorHAnsi" w:hAnsiTheme="minorHAnsi" w:cstheme="minorHAnsi"/>
                <w:iCs/>
                <w:color w:val="010202"/>
              </w:rPr>
              <w:t xml:space="preserve">AS 8001 - 2008 Fraud and Corruption Control </w:t>
            </w:r>
          </w:p>
          <w:p w14:paraId="40E65B83" w14:textId="77777777" w:rsidR="00FF7372" w:rsidRPr="008C3BF4" w:rsidRDefault="00FF7372" w:rsidP="00492C9F">
            <w:pPr>
              <w:pStyle w:val="TableParagraph"/>
              <w:ind w:left="-17" w:right="406"/>
              <w:rPr>
                <w:rFonts w:asciiTheme="minorHAnsi" w:hAnsiTheme="minorHAnsi" w:cstheme="minorHAnsi"/>
              </w:rPr>
            </w:pPr>
            <w:r w:rsidRPr="008C3BF4">
              <w:rPr>
                <w:rFonts w:asciiTheme="minorHAnsi" w:hAnsiTheme="minorHAnsi" w:cstheme="minorHAnsi"/>
                <w:iCs/>
                <w:color w:val="010202"/>
              </w:rPr>
              <w:t>AS 8003 - 2003 Good Governance Principals</w:t>
            </w:r>
          </w:p>
        </w:tc>
      </w:tr>
    </w:tbl>
    <w:p w14:paraId="35719607" w14:textId="77777777" w:rsidR="00FF7372" w:rsidRPr="009F1EDC" w:rsidRDefault="00FF7372" w:rsidP="00FF7372">
      <w:pPr>
        <w:spacing w:before="240" w:after="0"/>
        <w:rPr>
          <w:b/>
          <w:sz w:val="28"/>
          <w:szCs w:val="28"/>
          <w:lang w:val="en-US"/>
        </w:rPr>
      </w:pPr>
      <w:r w:rsidRPr="009F1EDC">
        <w:rPr>
          <w:b/>
          <w:sz w:val="28"/>
          <w:szCs w:val="28"/>
          <w:lang w:val="en-US"/>
        </w:rPr>
        <w:t>Objective</w:t>
      </w:r>
    </w:p>
    <w:p w14:paraId="61955997" w14:textId="77777777" w:rsidR="00FF7372" w:rsidRPr="00691152" w:rsidRDefault="00FF7372" w:rsidP="00FF7372">
      <w:pPr>
        <w:pStyle w:val="BodyText"/>
        <w:tabs>
          <w:tab w:val="left" w:pos="9781"/>
        </w:tabs>
        <w:spacing w:after="200"/>
        <w:ind w:left="0" w:right="96"/>
        <w:jc w:val="both"/>
        <w:rPr>
          <w:rFonts w:asciiTheme="minorHAnsi" w:hAnsiTheme="minorHAnsi" w:cstheme="minorHAnsi"/>
        </w:rPr>
      </w:pPr>
      <w:r w:rsidRPr="00691152">
        <w:rPr>
          <w:rFonts w:asciiTheme="minorHAnsi" w:hAnsiTheme="minorHAnsi" w:cstheme="minorHAnsi"/>
          <w:color w:val="010202"/>
        </w:rPr>
        <w:t>The objective of this policy is to articulate the Town of East Fremantle's ("the Town") commitment to the prevention, detection, response and monitoring of fraud and corrupt activities.</w:t>
      </w:r>
    </w:p>
    <w:p w14:paraId="399AE7E6" w14:textId="77777777" w:rsidR="00FF7372" w:rsidRPr="00691152" w:rsidRDefault="00FF7372" w:rsidP="00FF7372">
      <w:pPr>
        <w:pStyle w:val="BodyText"/>
        <w:tabs>
          <w:tab w:val="left" w:pos="9781"/>
        </w:tabs>
        <w:spacing w:after="200"/>
        <w:ind w:left="0" w:right="96"/>
        <w:jc w:val="both"/>
        <w:rPr>
          <w:rFonts w:asciiTheme="minorHAnsi" w:hAnsiTheme="minorHAnsi" w:cstheme="minorHAnsi"/>
        </w:rPr>
      </w:pPr>
      <w:r w:rsidRPr="00691152">
        <w:rPr>
          <w:rFonts w:asciiTheme="minorHAnsi" w:hAnsiTheme="minorHAnsi" w:cstheme="minorHAnsi"/>
          <w:color w:val="010202"/>
        </w:rPr>
        <w:t xml:space="preserve">This policy, and the Fraud and Corruption Control Plan, are key components of good governance and will establish the structure to address fraud and corruption risks and to detect and respond to fraud and corruption in accordance with the best practice guidance as set out in the </w:t>
      </w:r>
      <w:r w:rsidRPr="00691152">
        <w:rPr>
          <w:rFonts w:asciiTheme="minorHAnsi" w:hAnsiTheme="minorHAnsi" w:cstheme="minorHAnsi"/>
          <w:i/>
          <w:color w:val="010202"/>
        </w:rPr>
        <w:t>Fraud and Corruption Control Standards (AS 8001-2008)</w:t>
      </w:r>
      <w:r w:rsidRPr="00691152">
        <w:rPr>
          <w:rFonts w:asciiTheme="minorHAnsi" w:hAnsiTheme="minorHAnsi" w:cstheme="minorHAnsi"/>
          <w:color w:val="010202"/>
        </w:rPr>
        <w:t>.</w:t>
      </w:r>
    </w:p>
    <w:p w14:paraId="06BF2791" w14:textId="77777777" w:rsidR="00FF7372" w:rsidRPr="009F1EDC" w:rsidRDefault="00FF7372" w:rsidP="00FF7372">
      <w:pPr>
        <w:spacing w:before="200" w:after="0"/>
        <w:rPr>
          <w:b/>
          <w:sz w:val="28"/>
          <w:szCs w:val="28"/>
          <w:lang w:val="en-US"/>
        </w:rPr>
      </w:pPr>
      <w:r w:rsidRPr="009F1EDC">
        <w:rPr>
          <w:b/>
          <w:sz w:val="28"/>
          <w:szCs w:val="28"/>
          <w:lang w:val="en-US"/>
        </w:rPr>
        <w:t>Policy Scope</w:t>
      </w:r>
    </w:p>
    <w:p w14:paraId="6E5DA450" w14:textId="77777777" w:rsidR="00FF7372" w:rsidRPr="00691152" w:rsidRDefault="00FF7372" w:rsidP="00FF7372">
      <w:pPr>
        <w:pStyle w:val="BodyText"/>
        <w:ind w:left="0"/>
        <w:jc w:val="both"/>
        <w:rPr>
          <w:rFonts w:asciiTheme="minorHAnsi" w:hAnsiTheme="minorHAnsi" w:cstheme="minorHAnsi"/>
        </w:rPr>
      </w:pPr>
      <w:r w:rsidRPr="00691152">
        <w:rPr>
          <w:rFonts w:asciiTheme="minorHAnsi" w:hAnsiTheme="minorHAnsi" w:cstheme="minorHAnsi"/>
          <w:color w:val="010202"/>
        </w:rPr>
        <w:t>This policy applies to:</w:t>
      </w:r>
    </w:p>
    <w:p w14:paraId="19758B93" w14:textId="77777777" w:rsidR="00FF7372" w:rsidRPr="00691152" w:rsidRDefault="00FF7372" w:rsidP="002A3889">
      <w:pPr>
        <w:pStyle w:val="ListParagraph"/>
        <w:widowControl w:val="0"/>
        <w:numPr>
          <w:ilvl w:val="3"/>
          <w:numId w:val="448"/>
        </w:numPr>
        <w:tabs>
          <w:tab w:val="left" w:pos="1461"/>
        </w:tabs>
        <w:autoSpaceDE w:val="0"/>
        <w:autoSpaceDN w:val="0"/>
        <w:spacing w:after="0" w:line="268" w:lineRule="exact"/>
        <w:ind w:left="426" w:hanging="426"/>
        <w:contextualSpacing w:val="0"/>
        <w:jc w:val="both"/>
        <w:rPr>
          <w:rFonts w:cstheme="minorHAnsi"/>
        </w:rPr>
      </w:pPr>
      <w:r w:rsidRPr="00691152">
        <w:rPr>
          <w:rFonts w:cstheme="minorHAnsi"/>
          <w:color w:val="010202"/>
        </w:rPr>
        <w:t>Elected</w:t>
      </w:r>
      <w:r w:rsidRPr="00691152">
        <w:rPr>
          <w:rFonts w:cstheme="minorHAnsi"/>
          <w:color w:val="010202"/>
          <w:spacing w:val="-8"/>
        </w:rPr>
        <w:t xml:space="preserve"> </w:t>
      </w:r>
      <w:proofErr w:type="gramStart"/>
      <w:r w:rsidRPr="00691152">
        <w:rPr>
          <w:rFonts w:cstheme="minorHAnsi"/>
          <w:color w:val="010202"/>
        </w:rPr>
        <w:t>Members;</w:t>
      </w:r>
      <w:proofErr w:type="gramEnd"/>
    </w:p>
    <w:p w14:paraId="4D783947" w14:textId="77777777" w:rsidR="00FF7372" w:rsidRPr="00691152" w:rsidRDefault="00FF7372" w:rsidP="002A3889">
      <w:pPr>
        <w:pStyle w:val="ListParagraph"/>
        <w:widowControl w:val="0"/>
        <w:numPr>
          <w:ilvl w:val="3"/>
          <w:numId w:val="448"/>
        </w:numPr>
        <w:tabs>
          <w:tab w:val="left" w:pos="1460"/>
          <w:tab w:val="left" w:pos="1461"/>
        </w:tabs>
        <w:autoSpaceDE w:val="0"/>
        <w:autoSpaceDN w:val="0"/>
        <w:spacing w:after="0" w:line="240" w:lineRule="auto"/>
        <w:ind w:left="426" w:right="95" w:hanging="426"/>
        <w:contextualSpacing w:val="0"/>
        <w:jc w:val="both"/>
        <w:rPr>
          <w:rFonts w:cstheme="minorHAnsi"/>
        </w:rPr>
      </w:pPr>
      <w:r>
        <w:rPr>
          <w:rFonts w:cstheme="minorHAnsi"/>
          <w:color w:val="010202"/>
        </w:rPr>
        <w:t>a</w:t>
      </w:r>
      <w:r w:rsidRPr="00691152">
        <w:rPr>
          <w:rFonts w:cstheme="minorHAnsi"/>
          <w:color w:val="010202"/>
        </w:rPr>
        <w:t>ll workers whether by way of appointment, secondment, contract, temporary arrangement or volunteering, work experience, trainees and</w:t>
      </w:r>
      <w:r w:rsidRPr="00691152">
        <w:rPr>
          <w:rFonts w:cstheme="minorHAnsi"/>
          <w:color w:val="010202"/>
          <w:spacing w:val="-30"/>
        </w:rPr>
        <w:t xml:space="preserve"> </w:t>
      </w:r>
      <w:proofErr w:type="gramStart"/>
      <w:r w:rsidRPr="00691152">
        <w:rPr>
          <w:rFonts w:cstheme="minorHAnsi"/>
          <w:color w:val="010202"/>
        </w:rPr>
        <w:t>interns;</w:t>
      </w:r>
      <w:proofErr w:type="gramEnd"/>
    </w:p>
    <w:p w14:paraId="183A3F73" w14:textId="77777777" w:rsidR="00FF7372" w:rsidRPr="00691152" w:rsidRDefault="00FF7372" w:rsidP="002A3889">
      <w:pPr>
        <w:pStyle w:val="ListParagraph"/>
        <w:widowControl w:val="0"/>
        <w:numPr>
          <w:ilvl w:val="3"/>
          <w:numId w:val="448"/>
        </w:numPr>
        <w:tabs>
          <w:tab w:val="left" w:pos="1461"/>
          <w:tab w:val="left" w:pos="1462"/>
        </w:tabs>
        <w:autoSpaceDE w:val="0"/>
        <w:autoSpaceDN w:val="0"/>
        <w:spacing w:after="0" w:line="240" w:lineRule="auto"/>
        <w:ind w:left="426" w:right="95" w:hanging="426"/>
        <w:contextualSpacing w:val="0"/>
        <w:jc w:val="both"/>
        <w:rPr>
          <w:rFonts w:cstheme="minorHAnsi"/>
        </w:rPr>
      </w:pPr>
      <w:r>
        <w:rPr>
          <w:rFonts w:cstheme="minorHAnsi"/>
          <w:color w:val="010202"/>
        </w:rPr>
        <w:t>a</w:t>
      </w:r>
      <w:r w:rsidRPr="00691152">
        <w:rPr>
          <w:rFonts w:cstheme="minorHAnsi"/>
          <w:color w:val="010202"/>
        </w:rPr>
        <w:t>ny external party involved in providing goods or services to the Town, such as contractors, consultants, outsourced service providers and</w:t>
      </w:r>
      <w:r w:rsidRPr="00691152">
        <w:rPr>
          <w:rFonts w:cstheme="minorHAnsi"/>
          <w:color w:val="010202"/>
          <w:spacing w:val="-33"/>
        </w:rPr>
        <w:t xml:space="preserve"> </w:t>
      </w:r>
      <w:r w:rsidRPr="00691152">
        <w:rPr>
          <w:rFonts w:cstheme="minorHAnsi"/>
          <w:color w:val="010202"/>
        </w:rPr>
        <w:t>suppliers.</w:t>
      </w:r>
    </w:p>
    <w:p w14:paraId="0DA0CC69" w14:textId="77777777" w:rsidR="00FF7372" w:rsidRDefault="00FF7372" w:rsidP="00FF7372">
      <w:pPr>
        <w:spacing w:before="200" w:after="0"/>
        <w:rPr>
          <w:b/>
          <w:sz w:val="28"/>
          <w:szCs w:val="28"/>
          <w:lang w:val="en-US"/>
        </w:rPr>
      </w:pPr>
      <w:r>
        <w:rPr>
          <w:b/>
          <w:sz w:val="28"/>
          <w:szCs w:val="28"/>
          <w:lang w:val="en-US"/>
        </w:rPr>
        <w:t>Definitions</w:t>
      </w:r>
    </w:p>
    <w:p w14:paraId="6CCEA35F" w14:textId="77777777" w:rsidR="00FF7372" w:rsidRPr="00940D30" w:rsidRDefault="00FF7372" w:rsidP="00FF7372">
      <w:pPr>
        <w:pStyle w:val="BodyText"/>
        <w:ind w:left="0"/>
        <w:jc w:val="both"/>
        <w:rPr>
          <w:rFonts w:asciiTheme="minorHAnsi" w:hAnsiTheme="minorHAnsi" w:cstheme="minorHAnsi"/>
        </w:rPr>
      </w:pPr>
      <w:r w:rsidRPr="00940D30">
        <w:rPr>
          <w:rFonts w:asciiTheme="minorHAnsi" w:hAnsiTheme="minorHAnsi" w:cstheme="minorHAnsi"/>
          <w:b/>
          <w:color w:val="010202"/>
        </w:rPr>
        <w:t xml:space="preserve">Fraud </w:t>
      </w:r>
      <w:r w:rsidRPr="00940D30">
        <w:rPr>
          <w:rFonts w:asciiTheme="minorHAnsi" w:hAnsiTheme="minorHAnsi" w:cstheme="minorHAnsi"/>
          <w:color w:val="010202"/>
        </w:rPr>
        <w:t>is defined by Australian Standard AS8001 – 2008 as:</w:t>
      </w:r>
    </w:p>
    <w:p w14:paraId="4E5E5B70" w14:textId="77777777" w:rsidR="00FF7372" w:rsidRPr="00940D30" w:rsidRDefault="00FF7372" w:rsidP="00FF7372">
      <w:pPr>
        <w:spacing w:after="120"/>
        <w:ind w:right="95"/>
        <w:jc w:val="both"/>
        <w:rPr>
          <w:rFonts w:cstheme="minorHAnsi"/>
          <w:i/>
        </w:rPr>
      </w:pPr>
      <w:r w:rsidRPr="00940D30">
        <w:rPr>
          <w:rFonts w:cstheme="minorHAnsi"/>
          <w:i/>
          <w:color w:val="010202"/>
        </w:rPr>
        <w:t>“Dishonest activity causing actual or potential financial loss to any person or entity including theft of monies or other property by employees or persons external to the entity and where deception is used at the time, immediately before or immediately following the activity.”</w:t>
      </w:r>
    </w:p>
    <w:p w14:paraId="14E6AF22" w14:textId="77777777" w:rsidR="00FF7372" w:rsidRPr="00940D30" w:rsidRDefault="00FF7372" w:rsidP="00FF7372">
      <w:pPr>
        <w:pStyle w:val="BodyText"/>
        <w:ind w:left="0"/>
        <w:jc w:val="both"/>
        <w:rPr>
          <w:rFonts w:asciiTheme="minorHAnsi" w:hAnsiTheme="minorHAnsi" w:cstheme="minorHAnsi"/>
        </w:rPr>
      </w:pPr>
      <w:r w:rsidRPr="00940D30">
        <w:rPr>
          <w:rFonts w:asciiTheme="minorHAnsi" w:hAnsiTheme="minorHAnsi" w:cstheme="minorHAnsi"/>
          <w:color w:val="010202"/>
        </w:rPr>
        <w:t>Fraud can take many forms including:</w:t>
      </w:r>
    </w:p>
    <w:p w14:paraId="70D95DDA" w14:textId="77777777" w:rsidR="00FF7372" w:rsidRPr="00940D30" w:rsidRDefault="00FF7372" w:rsidP="002A3889">
      <w:pPr>
        <w:pStyle w:val="ListParagraph"/>
        <w:widowControl w:val="0"/>
        <w:numPr>
          <w:ilvl w:val="1"/>
          <w:numId w:val="448"/>
        </w:numPr>
        <w:tabs>
          <w:tab w:val="left" w:pos="1461"/>
        </w:tabs>
        <w:autoSpaceDE w:val="0"/>
        <w:autoSpaceDN w:val="0"/>
        <w:spacing w:before="1" w:after="0" w:line="268" w:lineRule="exact"/>
        <w:ind w:left="426" w:hanging="426"/>
        <w:contextualSpacing w:val="0"/>
        <w:jc w:val="both"/>
        <w:rPr>
          <w:rFonts w:cstheme="minorHAnsi"/>
        </w:rPr>
      </w:pPr>
      <w:r w:rsidRPr="00940D30">
        <w:rPr>
          <w:rFonts w:cstheme="minorHAnsi"/>
          <w:color w:val="010202"/>
        </w:rPr>
        <w:t>the misappropriation of</w:t>
      </w:r>
      <w:r w:rsidRPr="00940D30">
        <w:rPr>
          <w:rFonts w:cstheme="minorHAnsi"/>
          <w:color w:val="010202"/>
          <w:spacing w:val="-19"/>
        </w:rPr>
        <w:t xml:space="preserve"> </w:t>
      </w:r>
      <w:proofErr w:type="gramStart"/>
      <w:r w:rsidRPr="00940D30">
        <w:rPr>
          <w:rFonts w:cstheme="minorHAnsi"/>
          <w:color w:val="010202"/>
        </w:rPr>
        <w:t>assets;</w:t>
      </w:r>
      <w:proofErr w:type="gramEnd"/>
    </w:p>
    <w:p w14:paraId="5DF25E5E" w14:textId="77777777" w:rsidR="00FF7372" w:rsidRPr="00940D30" w:rsidRDefault="00FF7372" w:rsidP="002A3889">
      <w:pPr>
        <w:pStyle w:val="ListParagraph"/>
        <w:widowControl w:val="0"/>
        <w:numPr>
          <w:ilvl w:val="1"/>
          <w:numId w:val="448"/>
        </w:numPr>
        <w:tabs>
          <w:tab w:val="left" w:pos="1461"/>
        </w:tabs>
        <w:autoSpaceDE w:val="0"/>
        <w:autoSpaceDN w:val="0"/>
        <w:spacing w:after="0" w:line="267" w:lineRule="exact"/>
        <w:ind w:left="426" w:hanging="426"/>
        <w:contextualSpacing w:val="0"/>
        <w:jc w:val="both"/>
        <w:rPr>
          <w:rFonts w:cstheme="minorHAnsi"/>
        </w:rPr>
      </w:pPr>
      <w:r w:rsidRPr="00940D30">
        <w:rPr>
          <w:rFonts w:cstheme="minorHAnsi"/>
          <w:color w:val="010202"/>
        </w:rPr>
        <w:t>the manipulation of financial reporting (either internal or external to the Town);</w:t>
      </w:r>
      <w:r w:rsidRPr="00940D30">
        <w:rPr>
          <w:rFonts w:cstheme="minorHAnsi"/>
          <w:color w:val="010202"/>
          <w:spacing w:val="-36"/>
        </w:rPr>
        <w:t xml:space="preserve"> </w:t>
      </w:r>
      <w:r w:rsidRPr="00940D30">
        <w:rPr>
          <w:rFonts w:cstheme="minorHAnsi"/>
          <w:color w:val="010202"/>
        </w:rPr>
        <w:t>and</w:t>
      </w:r>
    </w:p>
    <w:p w14:paraId="361B24D3" w14:textId="77777777" w:rsidR="00FF7372" w:rsidRPr="00940D30" w:rsidRDefault="00FF7372" w:rsidP="002A3889">
      <w:pPr>
        <w:pStyle w:val="ListParagraph"/>
        <w:widowControl w:val="0"/>
        <w:numPr>
          <w:ilvl w:val="1"/>
          <w:numId w:val="448"/>
        </w:numPr>
        <w:tabs>
          <w:tab w:val="left" w:pos="1461"/>
        </w:tabs>
        <w:autoSpaceDE w:val="0"/>
        <w:autoSpaceDN w:val="0"/>
        <w:spacing w:after="0" w:line="269" w:lineRule="exact"/>
        <w:ind w:left="426" w:hanging="426"/>
        <w:contextualSpacing w:val="0"/>
        <w:jc w:val="both"/>
        <w:rPr>
          <w:rFonts w:cstheme="minorHAnsi"/>
        </w:rPr>
      </w:pPr>
      <w:r w:rsidRPr="00940D30">
        <w:rPr>
          <w:rFonts w:cstheme="minorHAnsi"/>
          <w:color w:val="010202"/>
        </w:rPr>
        <w:t>corruption involving abuse of position for personal</w:t>
      </w:r>
      <w:r w:rsidRPr="00940D30">
        <w:rPr>
          <w:rFonts w:cstheme="minorHAnsi"/>
          <w:color w:val="010202"/>
          <w:spacing w:val="-26"/>
        </w:rPr>
        <w:t xml:space="preserve"> </w:t>
      </w:r>
      <w:r w:rsidRPr="00940D30">
        <w:rPr>
          <w:rFonts w:cstheme="minorHAnsi"/>
          <w:color w:val="010202"/>
        </w:rPr>
        <w:t>gain.</w:t>
      </w:r>
    </w:p>
    <w:p w14:paraId="4A6082FA" w14:textId="77777777" w:rsidR="00FF7372" w:rsidRPr="00940D30" w:rsidRDefault="00FF7372" w:rsidP="00FF7372">
      <w:pPr>
        <w:pStyle w:val="BodyText"/>
        <w:spacing w:before="200"/>
        <w:ind w:left="0"/>
        <w:jc w:val="both"/>
        <w:rPr>
          <w:rFonts w:asciiTheme="minorHAnsi" w:hAnsiTheme="minorHAnsi" w:cstheme="minorHAnsi"/>
        </w:rPr>
      </w:pPr>
      <w:r w:rsidRPr="00940D30">
        <w:rPr>
          <w:rFonts w:asciiTheme="minorHAnsi" w:hAnsiTheme="minorHAnsi" w:cstheme="minorHAnsi"/>
          <w:b/>
          <w:color w:val="010202"/>
        </w:rPr>
        <w:lastRenderedPageBreak/>
        <w:t xml:space="preserve">Corruption </w:t>
      </w:r>
      <w:r w:rsidRPr="00940D30">
        <w:rPr>
          <w:rFonts w:asciiTheme="minorHAnsi" w:hAnsiTheme="minorHAnsi" w:cstheme="minorHAnsi"/>
          <w:color w:val="010202"/>
        </w:rPr>
        <w:t>is defined by Australian Standard AS8001 – 2008 as:</w:t>
      </w:r>
    </w:p>
    <w:p w14:paraId="738D7FDE" w14:textId="77777777" w:rsidR="00FF7372" w:rsidRPr="00940D30" w:rsidRDefault="00FF7372" w:rsidP="00FF7372">
      <w:pPr>
        <w:spacing w:before="1"/>
        <w:ind w:right="95"/>
        <w:jc w:val="both"/>
        <w:rPr>
          <w:rFonts w:cstheme="minorHAnsi"/>
          <w:i/>
        </w:rPr>
      </w:pPr>
      <w:r w:rsidRPr="00940D30">
        <w:rPr>
          <w:rFonts w:cstheme="minorHAnsi"/>
          <w:i/>
          <w:color w:val="010202"/>
        </w:rPr>
        <w:t xml:space="preserve">“Corruption is dishonest activity in which an employee or contractor of the entity acts contrary to the interests of the entity and abuses their position of trust </w:t>
      </w:r>
      <w:proofErr w:type="gramStart"/>
      <w:r w:rsidRPr="00940D30">
        <w:rPr>
          <w:rFonts w:cstheme="minorHAnsi"/>
          <w:i/>
          <w:color w:val="010202"/>
        </w:rPr>
        <w:t>in order to</w:t>
      </w:r>
      <w:proofErr w:type="gramEnd"/>
      <w:r w:rsidRPr="00940D30">
        <w:rPr>
          <w:rFonts w:cstheme="minorHAnsi"/>
          <w:i/>
          <w:color w:val="010202"/>
        </w:rPr>
        <w:t xml:space="preserve"> achieve some personal gain or advantage for themselves or for another person or organisation. The concept of ‘corruption’ can also involve corrupt conduct by the entity, or a person purporting to act on behalf of and in the interests of the entity, </w:t>
      </w:r>
      <w:proofErr w:type="gramStart"/>
      <w:r w:rsidRPr="00940D30">
        <w:rPr>
          <w:rFonts w:cstheme="minorHAnsi"/>
          <w:i/>
          <w:color w:val="010202"/>
        </w:rPr>
        <w:t>in order to</w:t>
      </w:r>
      <w:proofErr w:type="gramEnd"/>
      <w:r w:rsidRPr="00940D30">
        <w:rPr>
          <w:rFonts w:cstheme="minorHAnsi"/>
          <w:i/>
          <w:color w:val="010202"/>
        </w:rPr>
        <w:t xml:space="preserve"> secure some form of improper advantage for the entity.”</w:t>
      </w:r>
    </w:p>
    <w:p w14:paraId="166F59B1" w14:textId="77777777" w:rsidR="00FF7372" w:rsidRPr="00940D30" w:rsidRDefault="00FF7372" w:rsidP="00FF7372">
      <w:pPr>
        <w:pStyle w:val="BodyText"/>
        <w:ind w:left="0" w:right="-46"/>
        <w:rPr>
          <w:rFonts w:asciiTheme="minorHAnsi" w:hAnsiTheme="minorHAnsi" w:cstheme="minorHAnsi"/>
        </w:rPr>
      </w:pPr>
      <w:r w:rsidRPr="00940D30">
        <w:rPr>
          <w:rFonts w:asciiTheme="minorHAnsi" w:hAnsiTheme="minorHAnsi" w:cstheme="minorHAnsi"/>
          <w:color w:val="010202"/>
        </w:rPr>
        <w:t>Corruption is any deliberate or intentional wrongdoing that is improper, dishonest or fraudulent and may include:</w:t>
      </w:r>
    </w:p>
    <w:p w14:paraId="48D0A076" w14:textId="77777777" w:rsidR="00FF7372" w:rsidRPr="00940D30" w:rsidRDefault="00FF7372" w:rsidP="002A3889">
      <w:pPr>
        <w:pStyle w:val="ListParagraph"/>
        <w:widowControl w:val="0"/>
        <w:numPr>
          <w:ilvl w:val="1"/>
          <w:numId w:val="448"/>
        </w:numPr>
        <w:tabs>
          <w:tab w:val="left" w:pos="1462"/>
        </w:tabs>
        <w:autoSpaceDE w:val="0"/>
        <w:autoSpaceDN w:val="0"/>
        <w:spacing w:after="0" w:line="268" w:lineRule="exact"/>
        <w:ind w:left="426" w:hanging="426"/>
        <w:contextualSpacing w:val="0"/>
        <w:jc w:val="both"/>
        <w:rPr>
          <w:rFonts w:cstheme="minorHAnsi"/>
        </w:rPr>
      </w:pPr>
      <w:r w:rsidRPr="00940D30">
        <w:rPr>
          <w:rFonts w:cstheme="minorHAnsi"/>
          <w:color w:val="010202"/>
        </w:rPr>
        <w:t>conflict of</w:t>
      </w:r>
      <w:r w:rsidRPr="00940D30">
        <w:rPr>
          <w:rFonts w:cstheme="minorHAnsi"/>
          <w:color w:val="010202"/>
          <w:spacing w:val="-6"/>
        </w:rPr>
        <w:t xml:space="preserve"> </w:t>
      </w:r>
      <w:proofErr w:type="gramStart"/>
      <w:r w:rsidRPr="00940D30">
        <w:rPr>
          <w:rFonts w:cstheme="minorHAnsi"/>
          <w:color w:val="010202"/>
        </w:rPr>
        <w:t>interest;</w:t>
      </w:r>
      <w:proofErr w:type="gramEnd"/>
    </w:p>
    <w:p w14:paraId="06A89B73" w14:textId="77777777" w:rsidR="00FF7372" w:rsidRPr="00940D30" w:rsidRDefault="00FF7372" w:rsidP="002A3889">
      <w:pPr>
        <w:pStyle w:val="ListParagraph"/>
        <w:widowControl w:val="0"/>
        <w:numPr>
          <w:ilvl w:val="1"/>
          <w:numId w:val="448"/>
        </w:numPr>
        <w:tabs>
          <w:tab w:val="left" w:pos="1462"/>
        </w:tabs>
        <w:autoSpaceDE w:val="0"/>
        <w:autoSpaceDN w:val="0"/>
        <w:spacing w:after="0" w:line="267" w:lineRule="exact"/>
        <w:ind w:left="426" w:hanging="426"/>
        <w:contextualSpacing w:val="0"/>
        <w:jc w:val="both"/>
        <w:rPr>
          <w:rFonts w:cstheme="minorHAnsi"/>
        </w:rPr>
      </w:pPr>
      <w:r w:rsidRPr="00940D30">
        <w:rPr>
          <w:rFonts w:cstheme="minorHAnsi"/>
          <w:color w:val="010202"/>
        </w:rPr>
        <w:t>failure to disclose acceptance of gifts or</w:t>
      </w:r>
      <w:r w:rsidRPr="00940D30">
        <w:rPr>
          <w:rFonts w:cstheme="minorHAnsi"/>
          <w:color w:val="010202"/>
          <w:spacing w:val="-25"/>
        </w:rPr>
        <w:t xml:space="preserve"> </w:t>
      </w:r>
      <w:proofErr w:type="gramStart"/>
      <w:r w:rsidRPr="00940D30">
        <w:rPr>
          <w:rFonts w:cstheme="minorHAnsi"/>
          <w:color w:val="010202"/>
        </w:rPr>
        <w:t>hospitality;</w:t>
      </w:r>
      <w:proofErr w:type="gramEnd"/>
    </w:p>
    <w:p w14:paraId="0D603052" w14:textId="77777777" w:rsidR="00FF7372" w:rsidRPr="00940D30" w:rsidRDefault="00FF7372" w:rsidP="002A3889">
      <w:pPr>
        <w:pStyle w:val="ListParagraph"/>
        <w:widowControl w:val="0"/>
        <w:numPr>
          <w:ilvl w:val="1"/>
          <w:numId w:val="448"/>
        </w:numPr>
        <w:tabs>
          <w:tab w:val="left" w:pos="1462"/>
        </w:tabs>
        <w:autoSpaceDE w:val="0"/>
        <w:autoSpaceDN w:val="0"/>
        <w:spacing w:after="0" w:line="269" w:lineRule="exact"/>
        <w:ind w:left="426" w:hanging="426"/>
        <w:contextualSpacing w:val="0"/>
        <w:jc w:val="both"/>
        <w:rPr>
          <w:rFonts w:cstheme="minorHAnsi"/>
        </w:rPr>
      </w:pPr>
      <w:r w:rsidRPr="00940D30">
        <w:rPr>
          <w:rFonts w:cstheme="minorHAnsi"/>
          <w:color w:val="010202"/>
        </w:rPr>
        <w:t>acceptance of a</w:t>
      </w:r>
      <w:r w:rsidRPr="00940D30">
        <w:rPr>
          <w:rFonts w:cstheme="minorHAnsi"/>
          <w:color w:val="010202"/>
          <w:spacing w:val="-12"/>
        </w:rPr>
        <w:t xml:space="preserve"> </w:t>
      </w:r>
      <w:proofErr w:type="gramStart"/>
      <w:r w:rsidRPr="00940D30">
        <w:rPr>
          <w:rFonts w:cstheme="minorHAnsi"/>
          <w:color w:val="010202"/>
        </w:rPr>
        <w:t>bribe;</w:t>
      </w:r>
      <w:proofErr w:type="gramEnd"/>
    </w:p>
    <w:p w14:paraId="3E2A6D57" w14:textId="77777777" w:rsidR="00FF7372" w:rsidRPr="00940D30" w:rsidRDefault="00FF7372" w:rsidP="002A3889">
      <w:pPr>
        <w:pStyle w:val="ListParagraph"/>
        <w:widowControl w:val="0"/>
        <w:numPr>
          <w:ilvl w:val="1"/>
          <w:numId w:val="448"/>
        </w:numPr>
        <w:tabs>
          <w:tab w:val="left" w:pos="1461"/>
        </w:tabs>
        <w:autoSpaceDE w:val="0"/>
        <w:autoSpaceDN w:val="0"/>
        <w:spacing w:after="0" w:line="268" w:lineRule="exact"/>
        <w:ind w:left="426" w:hanging="426"/>
        <w:contextualSpacing w:val="0"/>
        <w:jc w:val="both"/>
        <w:rPr>
          <w:rFonts w:cstheme="minorHAnsi"/>
        </w:rPr>
      </w:pPr>
      <w:r w:rsidRPr="00940D30">
        <w:rPr>
          <w:rFonts w:cstheme="minorHAnsi"/>
          <w:color w:val="010202"/>
        </w:rPr>
        <w:t>misuse of internet or email;</w:t>
      </w:r>
      <w:r w:rsidRPr="00940D30">
        <w:rPr>
          <w:rFonts w:cstheme="minorHAnsi"/>
          <w:color w:val="010202"/>
          <w:spacing w:val="-14"/>
        </w:rPr>
        <w:t xml:space="preserve"> </w:t>
      </w:r>
      <w:r w:rsidRPr="00940D30">
        <w:rPr>
          <w:rFonts w:cstheme="minorHAnsi"/>
          <w:color w:val="010202"/>
        </w:rPr>
        <w:t>or</w:t>
      </w:r>
    </w:p>
    <w:p w14:paraId="7CB17B3E" w14:textId="77777777" w:rsidR="00FF7372" w:rsidRPr="00940D30" w:rsidRDefault="00FF7372" w:rsidP="002A3889">
      <w:pPr>
        <w:pStyle w:val="ListParagraph"/>
        <w:widowControl w:val="0"/>
        <w:numPr>
          <w:ilvl w:val="1"/>
          <w:numId w:val="448"/>
        </w:numPr>
        <w:tabs>
          <w:tab w:val="left" w:pos="1461"/>
        </w:tabs>
        <w:autoSpaceDE w:val="0"/>
        <w:autoSpaceDN w:val="0"/>
        <w:spacing w:after="0" w:line="268" w:lineRule="exact"/>
        <w:ind w:left="426" w:hanging="426"/>
        <w:contextualSpacing w:val="0"/>
        <w:jc w:val="both"/>
        <w:rPr>
          <w:rFonts w:cstheme="minorHAnsi"/>
        </w:rPr>
      </w:pPr>
      <w:r w:rsidRPr="00940D30">
        <w:rPr>
          <w:rFonts w:cstheme="minorHAnsi"/>
          <w:color w:val="010202"/>
        </w:rPr>
        <w:t>release of confidential or private information or intellectual</w:t>
      </w:r>
      <w:r w:rsidRPr="00940D30">
        <w:rPr>
          <w:rFonts w:cstheme="minorHAnsi"/>
          <w:color w:val="010202"/>
          <w:spacing w:val="-29"/>
        </w:rPr>
        <w:t xml:space="preserve"> </w:t>
      </w:r>
      <w:r w:rsidRPr="00940D30">
        <w:rPr>
          <w:rFonts w:cstheme="minorHAnsi"/>
          <w:color w:val="010202"/>
        </w:rPr>
        <w:t>property.</w:t>
      </w:r>
    </w:p>
    <w:p w14:paraId="3FD1F528" w14:textId="77777777" w:rsidR="00FF7372" w:rsidRPr="00940D30" w:rsidRDefault="00FF7372" w:rsidP="00FF7372">
      <w:pPr>
        <w:pStyle w:val="BodyText"/>
        <w:spacing w:before="200" w:after="200"/>
        <w:ind w:left="0" w:right="-46"/>
        <w:jc w:val="both"/>
        <w:rPr>
          <w:rFonts w:asciiTheme="minorHAnsi" w:hAnsiTheme="minorHAnsi" w:cstheme="minorHAnsi"/>
        </w:rPr>
      </w:pPr>
      <w:r w:rsidRPr="00940D30">
        <w:rPr>
          <w:rFonts w:asciiTheme="minorHAnsi" w:hAnsiTheme="minorHAnsi" w:cstheme="minorHAnsi"/>
          <w:b/>
          <w:color w:val="010202"/>
        </w:rPr>
        <w:t xml:space="preserve">Corrupt conduct </w:t>
      </w:r>
      <w:r w:rsidRPr="00940D30">
        <w:rPr>
          <w:rFonts w:asciiTheme="minorHAnsi" w:hAnsiTheme="minorHAnsi" w:cstheme="minorHAnsi"/>
          <w:color w:val="010202"/>
        </w:rPr>
        <w:t>tends to show a deliberate intent or an improper purpose and motivation and may involve conduct such as the deliberate failure to perform the functions of office properly; the exercise of a power or duty for an improper purpose; or dishonesty.</w:t>
      </w:r>
    </w:p>
    <w:p w14:paraId="74B6CE47" w14:textId="77777777" w:rsidR="00FF7372" w:rsidRPr="009F1EDC" w:rsidRDefault="00FF7372" w:rsidP="00FF7372">
      <w:pPr>
        <w:spacing w:before="200" w:after="0"/>
        <w:rPr>
          <w:b/>
          <w:sz w:val="28"/>
          <w:szCs w:val="28"/>
          <w:lang w:val="en-US"/>
        </w:rPr>
      </w:pPr>
      <w:r w:rsidRPr="009F1EDC">
        <w:rPr>
          <w:b/>
          <w:sz w:val="28"/>
          <w:szCs w:val="28"/>
          <w:lang w:val="en-US"/>
        </w:rPr>
        <w:t xml:space="preserve">Policy </w:t>
      </w:r>
      <w:r>
        <w:rPr>
          <w:b/>
          <w:sz w:val="28"/>
          <w:szCs w:val="28"/>
          <w:lang w:val="en-US"/>
        </w:rPr>
        <w:t>Statement</w:t>
      </w:r>
    </w:p>
    <w:p w14:paraId="24147653" w14:textId="77777777" w:rsidR="00FF7372" w:rsidRPr="00195FBA" w:rsidRDefault="00FF7372" w:rsidP="00FF7372">
      <w:pPr>
        <w:pStyle w:val="BodyText"/>
        <w:spacing w:after="200"/>
        <w:ind w:left="0" w:right="-46"/>
        <w:jc w:val="both"/>
        <w:rPr>
          <w:rFonts w:asciiTheme="minorHAnsi" w:hAnsiTheme="minorHAnsi" w:cstheme="minorHAnsi"/>
        </w:rPr>
      </w:pPr>
      <w:r w:rsidRPr="00195FBA">
        <w:rPr>
          <w:rFonts w:asciiTheme="minorHAnsi" w:hAnsiTheme="minorHAnsi" w:cstheme="minorHAnsi"/>
          <w:color w:val="010202"/>
        </w:rPr>
        <w:t xml:space="preserve">The Town is committed to a strong culture and sound governance that will safeguard public funds and property. The Town considers fraud, corruption and misconduct to be serious matters. Such </w:t>
      </w:r>
      <w:proofErr w:type="spellStart"/>
      <w:r w:rsidRPr="00195FBA">
        <w:rPr>
          <w:rFonts w:asciiTheme="minorHAnsi" w:hAnsiTheme="minorHAnsi" w:cstheme="minorHAnsi"/>
          <w:color w:val="010202"/>
        </w:rPr>
        <w:t>behaviours</w:t>
      </w:r>
      <w:proofErr w:type="spellEnd"/>
      <w:r w:rsidRPr="00195FBA">
        <w:rPr>
          <w:rFonts w:asciiTheme="minorHAnsi" w:hAnsiTheme="minorHAnsi" w:cstheme="minorHAnsi"/>
          <w:color w:val="010202"/>
        </w:rPr>
        <w:t xml:space="preserve"> are considered unacceptable and a </w:t>
      </w:r>
      <w:proofErr w:type="gramStart"/>
      <w:r w:rsidRPr="00195FBA">
        <w:rPr>
          <w:rFonts w:asciiTheme="minorHAnsi" w:hAnsiTheme="minorHAnsi" w:cstheme="minorHAnsi"/>
          <w:color w:val="010202"/>
        </w:rPr>
        <w:t>zero tolerance</w:t>
      </w:r>
      <w:proofErr w:type="gramEnd"/>
      <w:r w:rsidRPr="00195FBA">
        <w:rPr>
          <w:rFonts w:asciiTheme="minorHAnsi" w:hAnsiTheme="minorHAnsi" w:cstheme="minorHAnsi"/>
          <w:color w:val="010202"/>
        </w:rPr>
        <w:t xml:space="preserve"> approach is adopted by the Town towards such </w:t>
      </w:r>
      <w:proofErr w:type="spellStart"/>
      <w:r w:rsidRPr="00195FBA">
        <w:rPr>
          <w:rFonts w:asciiTheme="minorHAnsi" w:hAnsiTheme="minorHAnsi" w:cstheme="minorHAnsi"/>
          <w:color w:val="010202"/>
        </w:rPr>
        <w:t>behaviour</w:t>
      </w:r>
      <w:proofErr w:type="spellEnd"/>
      <w:r w:rsidRPr="00195FBA">
        <w:rPr>
          <w:rFonts w:asciiTheme="minorHAnsi" w:hAnsiTheme="minorHAnsi" w:cstheme="minorHAnsi"/>
          <w:color w:val="010202"/>
        </w:rPr>
        <w:t>.</w:t>
      </w:r>
    </w:p>
    <w:p w14:paraId="400C23CC" w14:textId="77777777" w:rsidR="00FF7372" w:rsidRPr="00195FBA" w:rsidRDefault="00FF7372" w:rsidP="00FF7372">
      <w:pPr>
        <w:pStyle w:val="BodyText"/>
        <w:ind w:left="0"/>
        <w:jc w:val="both"/>
        <w:rPr>
          <w:rFonts w:asciiTheme="minorHAnsi" w:hAnsiTheme="minorHAnsi" w:cstheme="minorHAnsi"/>
        </w:rPr>
      </w:pPr>
      <w:r w:rsidRPr="00195FBA">
        <w:rPr>
          <w:rFonts w:asciiTheme="minorHAnsi" w:hAnsiTheme="minorHAnsi" w:cstheme="minorHAnsi"/>
          <w:color w:val="010202"/>
        </w:rPr>
        <w:t>Fraud and corruption are a risk to the Town, including in terms of:</w:t>
      </w:r>
    </w:p>
    <w:p w14:paraId="2CC61430" w14:textId="77777777" w:rsidR="00FF7372" w:rsidRPr="00195FBA" w:rsidRDefault="00FF7372" w:rsidP="002A3889">
      <w:pPr>
        <w:pStyle w:val="ListParagraph"/>
        <w:widowControl w:val="0"/>
        <w:numPr>
          <w:ilvl w:val="1"/>
          <w:numId w:val="448"/>
        </w:numPr>
        <w:autoSpaceDE w:val="0"/>
        <w:autoSpaceDN w:val="0"/>
        <w:spacing w:after="0" w:line="269" w:lineRule="exact"/>
        <w:ind w:left="426" w:hanging="426"/>
        <w:contextualSpacing w:val="0"/>
        <w:jc w:val="both"/>
        <w:rPr>
          <w:rFonts w:cstheme="minorHAnsi"/>
        </w:rPr>
      </w:pPr>
      <w:r w:rsidRPr="00195FBA">
        <w:rPr>
          <w:rFonts w:cstheme="minorHAnsi"/>
          <w:color w:val="010202"/>
        </w:rPr>
        <w:t>financial</w:t>
      </w:r>
      <w:r w:rsidRPr="00195FBA">
        <w:rPr>
          <w:rFonts w:cstheme="minorHAnsi"/>
          <w:color w:val="010202"/>
          <w:spacing w:val="-8"/>
        </w:rPr>
        <w:t xml:space="preserve"> </w:t>
      </w:r>
      <w:proofErr w:type="gramStart"/>
      <w:r w:rsidRPr="00195FBA">
        <w:rPr>
          <w:rFonts w:cstheme="minorHAnsi"/>
          <w:color w:val="010202"/>
        </w:rPr>
        <w:t>loss;</w:t>
      </w:r>
      <w:proofErr w:type="gramEnd"/>
    </w:p>
    <w:p w14:paraId="46014F6D" w14:textId="77777777" w:rsidR="00FF7372" w:rsidRPr="00195FBA" w:rsidRDefault="00FF7372" w:rsidP="002A3889">
      <w:pPr>
        <w:pStyle w:val="ListParagraph"/>
        <w:widowControl w:val="0"/>
        <w:numPr>
          <w:ilvl w:val="1"/>
          <w:numId w:val="448"/>
        </w:numPr>
        <w:autoSpaceDE w:val="0"/>
        <w:autoSpaceDN w:val="0"/>
        <w:spacing w:after="0" w:line="267" w:lineRule="exact"/>
        <w:ind w:left="426" w:hanging="426"/>
        <w:contextualSpacing w:val="0"/>
        <w:jc w:val="both"/>
        <w:rPr>
          <w:rFonts w:cstheme="minorHAnsi"/>
        </w:rPr>
      </w:pPr>
      <w:r w:rsidRPr="00195FBA">
        <w:rPr>
          <w:rFonts w:cstheme="minorHAnsi"/>
          <w:color w:val="010202"/>
        </w:rPr>
        <w:t>reputational</w:t>
      </w:r>
      <w:r w:rsidRPr="00195FBA">
        <w:rPr>
          <w:rFonts w:cstheme="minorHAnsi"/>
          <w:color w:val="010202"/>
          <w:spacing w:val="-10"/>
        </w:rPr>
        <w:t xml:space="preserve"> </w:t>
      </w:r>
      <w:proofErr w:type="gramStart"/>
      <w:r w:rsidRPr="00195FBA">
        <w:rPr>
          <w:rFonts w:cstheme="minorHAnsi"/>
          <w:color w:val="010202"/>
        </w:rPr>
        <w:t>impact;</w:t>
      </w:r>
      <w:proofErr w:type="gramEnd"/>
    </w:p>
    <w:p w14:paraId="3B50E835" w14:textId="77777777" w:rsidR="00FF7372" w:rsidRPr="00195FBA" w:rsidRDefault="00FF7372" w:rsidP="002A3889">
      <w:pPr>
        <w:pStyle w:val="ListParagraph"/>
        <w:widowControl w:val="0"/>
        <w:numPr>
          <w:ilvl w:val="1"/>
          <w:numId w:val="448"/>
        </w:numPr>
        <w:autoSpaceDE w:val="0"/>
        <w:autoSpaceDN w:val="0"/>
        <w:spacing w:after="0" w:line="267" w:lineRule="exact"/>
        <w:ind w:left="426" w:hanging="426"/>
        <w:contextualSpacing w:val="0"/>
        <w:jc w:val="both"/>
        <w:rPr>
          <w:rFonts w:cstheme="minorHAnsi"/>
        </w:rPr>
      </w:pPr>
      <w:r w:rsidRPr="00195FBA">
        <w:rPr>
          <w:rFonts w:cstheme="minorHAnsi"/>
          <w:color w:val="010202"/>
        </w:rPr>
        <w:t>diversion of management</w:t>
      </w:r>
      <w:r w:rsidRPr="00195FBA">
        <w:rPr>
          <w:rFonts w:cstheme="minorHAnsi"/>
          <w:color w:val="010202"/>
          <w:spacing w:val="-14"/>
        </w:rPr>
        <w:t xml:space="preserve"> </w:t>
      </w:r>
      <w:proofErr w:type="gramStart"/>
      <w:r w:rsidRPr="00195FBA">
        <w:rPr>
          <w:rFonts w:cstheme="minorHAnsi"/>
          <w:color w:val="010202"/>
        </w:rPr>
        <w:t>energy;</w:t>
      </w:r>
      <w:proofErr w:type="gramEnd"/>
    </w:p>
    <w:p w14:paraId="29E90A67" w14:textId="77777777" w:rsidR="00FF7372" w:rsidRPr="00195FBA" w:rsidRDefault="00FF7372" w:rsidP="002A3889">
      <w:pPr>
        <w:pStyle w:val="ListParagraph"/>
        <w:widowControl w:val="0"/>
        <w:numPr>
          <w:ilvl w:val="1"/>
          <w:numId w:val="448"/>
        </w:numPr>
        <w:autoSpaceDE w:val="0"/>
        <w:autoSpaceDN w:val="0"/>
        <w:spacing w:after="0" w:line="267" w:lineRule="exact"/>
        <w:ind w:left="426" w:hanging="426"/>
        <w:contextualSpacing w:val="0"/>
        <w:jc w:val="both"/>
        <w:rPr>
          <w:rFonts w:cstheme="minorHAnsi"/>
        </w:rPr>
      </w:pPr>
      <w:r w:rsidRPr="00195FBA">
        <w:rPr>
          <w:rFonts w:cstheme="minorHAnsi"/>
          <w:color w:val="010202"/>
        </w:rPr>
        <w:t>organisational</w:t>
      </w:r>
      <w:r w:rsidRPr="00195FBA">
        <w:rPr>
          <w:rFonts w:cstheme="minorHAnsi"/>
          <w:color w:val="010202"/>
          <w:spacing w:val="-10"/>
        </w:rPr>
        <w:t xml:space="preserve"> </w:t>
      </w:r>
      <w:proofErr w:type="gramStart"/>
      <w:r w:rsidRPr="00195FBA">
        <w:rPr>
          <w:rFonts w:cstheme="minorHAnsi"/>
          <w:color w:val="010202"/>
        </w:rPr>
        <w:t>morale;</w:t>
      </w:r>
      <w:proofErr w:type="gramEnd"/>
    </w:p>
    <w:p w14:paraId="6C40E064" w14:textId="77777777" w:rsidR="00FF7372" w:rsidRPr="00195FBA" w:rsidRDefault="00FF7372" w:rsidP="002A3889">
      <w:pPr>
        <w:pStyle w:val="ListParagraph"/>
        <w:widowControl w:val="0"/>
        <w:numPr>
          <w:ilvl w:val="1"/>
          <w:numId w:val="448"/>
        </w:numPr>
        <w:autoSpaceDE w:val="0"/>
        <w:autoSpaceDN w:val="0"/>
        <w:spacing w:after="0" w:line="267" w:lineRule="exact"/>
        <w:ind w:left="426" w:hanging="426"/>
        <w:contextualSpacing w:val="0"/>
        <w:jc w:val="both"/>
        <w:rPr>
          <w:rFonts w:cstheme="minorHAnsi"/>
        </w:rPr>
      </w:pPr>
      <w:r w:rsidRPr="00195FBA">
        <w:rPr>
          <w:rFonts w:cstheme="minorHAnsi"/>
          <w:color w:val="010202"/>
        </w:rPr>
        <w:t>organisational</w:t>
      </w:r>
      <w:r w:rsidRPr="00195FBA">
        <w:rPr>
          <w:rFonts w:cstheme="minorHAnsi"/>
          <w:color w:val="010202"/>
          <w:spacing w:val="-13"/>
        </w:rPr>
        <w:t xml:space="preserve"> </w:t>
      </w:r>
      <w:proofErr w:type="gramStart"/>
      <w:r w:rsidRPr="00195FBA">
        <w:rPr>
          <w:rFonts w:cstheme="minorHAnsi"/>
          <w:color w:val="010202"/>
        </w:rPr>
        <w:t>disruption;</w:t>
      </w:r>
      <w:proofErr w:type="gramEnd"/>
    </w:p>
    <w:p w14:paraId="0FED4767" w14:textId="77777777" w:rsidR="00FF7372" w:rsidRPr="00195FBA" w:rsidRDefault="00FF7372" w:rsidP="002A3889">
      <w:pPr>
        <w:pStyle w:val="ListParagraph"/>
        <w:widowControl w:val="0"/>
        <w:numPr>
          <w:ilvl w:val="1"/>
          <w:numId w:val="448"/>
        </w:numPr>
        <w:autoSpaceDE w:val="0"/>
        <w:autoSpaceDN w:val="0"/>
        <w:spacing w:after="0" w:line="269" w:lineRule="exact"/>
        <w:ind w:left="426" w:hanging="426"/>
        <w:contextualSpacing w:val="0"/>
        <w:jc w:val="both"/>
        <w:rPr>
          <w:rFonts w:cstheme="minorHAnsi"/>
        </w:rPr>
      </w:pPr>
      <w:r w:rsidRPr="00195FBA">
        <w:rPr>
          <w:rFonts w:cstheme="minorHAnsi"/>
          <w:color w:val="010202"/>
        </w:rPr>
        <w:t>loss of</w:t>
      </w:r>
      <w:r w:rsidRPr="00195FBA">
        <w:rPr>
          <w:rFonts w:cstheme="minorHAnsi"/>
          <w:color w:val="010202"/>
          <w:spacing w:val="-10"/>
        </w:rPr>
        <w:t xml:space="preserve"> </w:t>
      </w:r>
      <w:proofErr w:type="gramStart"/>
      <w:r w:rsidRPr="00195FBA">
        <w:rPr>
          <w:rFonts w:cstheme="minorHAnsi"/>
          <w:color w:val="010202"/>
        </w:rPr>
        <w:t>employment;</w:t>
      </w:r>
      <w:proofErr w:type="gramEnd"/>
    </w:p>
    <w:p w14:paraId="1CD903A0" w14:textId="77777777" w:rsidR="00FF7372" w:rsidRPr="00195FBA" w:rsidRDefault="00FF7372" w:rsidP="002A3889">
      <w:pPr>
        <w:pStyle w:val="ListParagraph"/>
        <w:widowControl w:val="0"/>
        <w:numPr>
          <w:ilvl w:val="1"/>
          <w:numId w:val="448"/>
        </w:numPr>
        <w:autoSpaceDE w:val="0"/>
        <w:autoSpaceDN w:val="0"/>
        <w:spacing w:after="0" w:line="267" w:lineRule="exact"/>
        <w:ind w:left="426" w:hanging="426"/>
        <w:contextualSpacing w:val="0"/>
        <w:jc w:val="both"/>
        <w:rPr>
          <w:rFonts w:cstheme="minorHAnsi"/>
        </w:rPr>
      </w:pPr>
      <w:r w:rsidRPr="00195FBA">
        <w:rPr>
          <w:rFonts w:cstheme="minorHAnsi"/>
          <w:color w:val="010202"/>
        </w:rPr>
        <w:t>reduced performance;</w:t>
      </w:r>
      <w:r w:rsidRPr="00195FBA">
        <w:rPr>
          <w:rFonts w:cstheme="minorHAnsi"/>
          <w:color w:val="010202"/>
          <w:spacing w:val="-12"/>
        </w:rPr>
        <w:t xml:space="preserve"> </w:t>
      </w:r>
      <w:r w:rsidRPr="00195FBA">
        <w:rPr>
          <w:rFonts w:cstheme="minorHAnsi"/>
          <w:color w:val="010202"/>
        </w:rPr>
        <w:t>and</w:t>
      </w:r>
    </w:p>
    <w:p w14:paraId="4C6CD65C" w14:textId="77777777" w:rsidR="00FF7372" w:rsidRPr="00195FBA" w:rsidRDefault="00FF7372" w:rsidP="002A3889">
      <w:pPr>
        <w:pStyle w:val="ListParagraph"/>
        <w:widowControl w:val="0"/>
        <w:numPr>
          <w:ilvl w:val="1"/>
          <w:numId w:val="448"/>
        </w:numPr>
        <w:autoSpaceDE w:val="0"/>
        <w:autoSpaceDN w:val="0"/>
        <w:spacing w:after="0" w:line="268" w:lineRule="exact"/>
        <w:ind w:left="426" w:hanging="426"/>
        <w:contextualSpacing w:val="0"/>
        <w:jc w:val="both"/>
        <w:rPr>
          <w:rFonts w:cstheme="minorHAnsi"/>
        </w:rPr>
      </w:pPr>
      <w:r w:rsidRPr="00195FBA">
        <w:rPr>
          <w:rFonts w:cstheme="minorHAnsi"/>
          <w:color w:val="010202"/>
        </w:rPr>
        <w:t>diminished</w:t>
      </w:r>
      <w:r w:rsidRPr="00195FBA">
        <w:rPr>
          <w:rFonts w:cstheme="minorHAnsi"/>
          <w:color w:val="010202"/>
          <w:spacing w:val="-10"/>
        </w:rPr>
        <w:t xml:space="preserve"> </w:t>
      </w:r>
      <w:r w:rsidRPr="00195FBA">
        <w:rPr>
          <w:rFonts w:cstheme="minorHAnsi"/>
          <w:color w:val="010202"/>
        </w:rPr>
        <w:t>safety.</w:t>
      </w:r>
    </w:p>
    <w:p w14:paraId="06685AF9" w14:textId="77777777" w:rsidR="00FF7372" w:rsidRPr="00195FBA" w:rsidRDefault="00FF7372" w:rsidP="00FF7372">
      <w:pPr>
        <w:pStyle w:val="BodyText"/>
        <w:spacing w:before="200" w:after="200"/>
        <w:ind w:left="0" w:right="95"/>
        <w:jc w:val="both"/>
        <w:rPr>
          <w:rFonts w:asciiTheme="minorHAnsi" w:hAnsiTheme="minorHAnsi" w:cstheme="minorHAnsi"/>
        </w:rPr>
      </w:pPr>
      <w:r w:rsidRPr="00195FBA">
        <w:rPr>
          <w:rFonts w:asciiTheme="minorHAnsi" w:hAnsiTheme="minorHAnsi" w:cstheme="minorHAnsi"/>
          <w:color w:val="010202"/>
        </w:rPr>
        <w:t>All employees are accountable for, and have a role to play in, fraud and corruption prevention and control. The Town encourages staff to disclose actual or suspected fraudulent or corrupt activity. When identified, any suspected fraudulent or corrupt activity will be promptly investigated, and where appropriate legal remedies available under the law will be pursued. All alleged incidences will be investigated thoroughly. Where appropriate, the Town will protect the anonymity of those reporting the activity.</w:t>
      </w:r>
    </w:p>
    <w:p w14:paraId="6C76A3DF" w14:textId="77777777" w:rsidR="00FF7372" w:rsidRPr="00195FBA" w:rsidRDefault="00FF7372" w:rsidP="00FF7372">
      <w:pPr>
        <w:pStyle w:val="BodyText"/>
        <w:spacing w:after="200"/>
        <w:ind w:left="0" w:right="-46"/>
        <w:jc w:val="both"/>
        <w:rPr>
          <w:rFonts w:asciiTheme="minorHAnsi" w:hAnsiTheme="minorHAnsi" w:cstheme="minorHAnsi"/>
        </w:rPr>
      </w:pPr>
      <w:r w:rsidRPr="00195FBA">
        <w:rPr>
          <w:rFonts w:asciiTheme="minorHAnsi" w:hAnsiTheme="minorHAnsi" w:cstheme="minorHAnsi"/>
          <w:color w:val="010202"/>
        </w:rPr>
        <w:t>Detrimental actions are not permitted against anyone who reports suspected or known incidents, consistent with the Town's Public Interest Disclosure procedures. The Town adopts a similar approach to those who maliciously and knowingly create a false allegation.</w:t>
      </w:r>
    </w:p>
    <w:p w14:paraId="1E79A2AA" w14:textId="77777777" w:rsidR="00FF7372" w:rsidRPr="00195FBA" w:rsidRDefault="00FF7372" w:rsidP="00FF7372">
      <w:pPr>
        <w:pStyle w:val="BodyText"/>
        <w:spacing w:after="200"/>
        <w:ind w:left="0" w:right="-46"/>
        <w:jc w:val="both"/>
        <w:rPr>
          <w:rFonts w:asciiTheme="minorHAnsi" w:hAnsiTheme="minorHAnsi" w:cstheme="minorHAnsi"/>
        </w:rPr>
      </w:pPr>
      <w:r w:rsidRPr="00195FBA">
        <w:rPr>
          <w:rFonts w:asciiTheme="minorHAnsi" w:hAnsiTheme="minorHAnsi" w:cstheme="minorHAnsi"/>
          <w:color w:val="010202"/>
        </w:rPr>
        <w:t>A Fraud and Corruption Control Plan has been developed to assist the Town to meet the objectives of this policy by ensuring that it has thorough, up-to-date processes in place to mitigate the risk of fraud or corruption occurring in the Town.</w:t>
      </w:r>
    </w:p>
    <w:p w14:paraId="3B6228F4" w14:textId="77777777" w:rsidR="00FF7372" w:rsidRDefault="00FF7372" w:rsidP="00FF7372">
      <w:pPr>
        <w:spacing w:after="160" w:line="259" w:lineRule="auto"/>
        <w:rPr>
          <w:b/>
          <w:sz w:val="28"/>
          <w:szCs w:val="28"/>
          <w:lang w:val="en-US"/>
        </w:rPr>
      </w:pPr>
      <w:r>
        <w:rPr>
          <w:b/>
          <w:sz w:val="28"/>
          <w:szCs w:val="28"/>
          <w:lang w:val="en-US"/>
        </w:rPr>
        <w:br w:type="page"/>
      </w:r>
    </w:p>
    <w:p w14:paraId="3FC9E046" w14:textId="77777777" w:rsidR="00FF7372" w:rsidRPr="009F1EDC" w:rsidRDefault="00FF7372" w:rsidP="00FF7372">
      <w:pPr>
        <w:spacing w:before="200" w:after="0"/>
        <w:rPr>
          <w:b/>
          <w:sz w:val="28"/>
          <w:szCs w:val="28"/>
          <w:lang w:val="en-US"/>
        </w:rPr>
      </w:pPr>
      <w:r>
        <w:rPr>
          <w:b/>
          <w:sz w:val="28"/>
          <w:szCs w:val="28"/>
          <w:lang w:val="en-US"/>
        </w:rPr>
        <w:lastRenderedPageBreak/>
        <w:t>Fraud and Corruption Management</w:t>
      </w:r>
    </w:p>
    <w:p w14:paraId="3EADA9C8" w14:textId="77777777" w:rsidR="00FF7372" w:rsidRPr="00A43F1B" w:rsidRDefault="00FF7372" w:rsidP="00FF7372">
      <w:pPr>
        <w:pStyle w:val="BodyText"/>
        <w:spacing w:after="60"/>
        <w:ind w:left="0"/>
        <w:jc w:val="both"/>
        <w:rPr>
          <w:rFonts w:asciiTheme="minorHAnsi" w:hAnsiTheme="minorHAnsi" w:cstheme="minorHAnsi"/>
          <w:szCs w:val="22"/>
        </w:rPr>
      </w:pPr>
      <w:r w:rsidRPr="00A43F1B">
        <w:rPr>
          <w:rFonts w:asciiTheme="minorHAnsi" w:hAnsiTheme="minorHAnsi" w:cstheme="minorHAnsi"/>
          <w:color w:val="010202"/>
          <w:szCs w:val="22"/>
        </w:rPr>
        <w:t xml:space="preserve">The Town will </w:t>
      </w:r>
      <w:proofErr w:type="spellStart"/>
      <w:r w:rsidRPr="00A43F1B">
        <w:rPr>
          <w:rFonts w:asciiTheme="minorHAnsi" w:hAnsiTheme="minorHAnsi" w:cstheme="minorHAnsi"/>
          <w:color w:val="010202"/>
          <w:szCs w:val="22"/>
        </w:rPr>
        <w:t>minimise</w:t>
      </w:r>
      <w:proofErr w:type="spellEnd"/>
      <w:r w:rsidRPr="00A43F1B">
        <w:rPr>
          <w:rFonts w:asciiTheme="minorHAnsi" w:hAnsiTheme="minorHAnsi" w:cstheme="minorHAnsi"/>
          <w:color w:val="010202"/>
          <w:szCs w:val="22"/>
        </w:rPr>
        <w:t xml:space="preserve"> fraud and corruption through:</w:t>
      </w:r>
    </w:p>
    <w:p w14:paraId="27573B05" w14:textId="77777777" w:rsidR="00FF7372" w:rsidRPr="00A43F1B" w:rsidRDefault="00FF7372" w:rsidP="002A3889">
      <w:pPr>
        <w:pStyle w:val="ListParagraph"/>
        <w:widowControl w:val="0"/>
        <w:numPr>
          <w:ilvl w:val="1"/>
          <w:numId w:val="448"/>
        </w:numPr>
        <w:autoSpaceDE w:val="0"/>
        <w:autoSpaceDN w:val="0"/>
        <w:spacing w:after="0" w:line="252" w:lineRule="exact"/>
        <w:ind w:left="426" w:right="95" w:hanging="426"/>
        <w:contextualSpacing w:val="0"/>
        <w:jc w:val="both"/>
        <w:rPr>
          <w:rFonts w:cstheme="minorHAnsi"/>
          <w:i/>
        </w:rPr>
      </w:pPr>
      <w:r w:rsidRPr="00A43F1B">
        <w:rPr>
          <w:rFonts w:cstheme="minorHAnsi"/>
          <w:color w:val="010202"/>
        </w:rPr>
        <w:t xml:space="preserve">adopting the Fraud and Corruption Control Plan, which is aligned with the </w:t>
      </w:r>
      <w:r w:rsidRPr="00A43F1B">
        <w:rPr>
          <w:rFonts w:cstheme="minorHAnsi"/>
          <w:i/>
          <w:color w:val="010202"/>
        </w:rPr>
        <w:t>Fraud and Corruption Control Standards (AS</w:t>
      </w:r>
      <w:r w:rsidRPr="00A43F1B">
        <w:rPr>
          <w:rFonts w:cstheme="minorHAnsi"/>
          <w:i/>
          <w:color w:val="010202"/>
          <w:spacing w:val="-24"/>
        </w:rPr>
        <w:t xml:space="preserve"> </w:t>
      </w:r>
      <w:r w:rsidRPr="00A43F1B">
        <w:rPr>
          <w:rFonts w:cstheme="minorHAnsi"/>
          <w:i/>
          <w:color w:val="010202"/>
        </w:rPr>
        <w:t>8001-2008</w:t>
      </w:r>
      <w:proofErr w:type="gramStart"/>
      <w:r w:rsidRPr="00A43F1B">
        <w:rPr>
          <w:rFonts w:cstheme="minorHAnsi"/>
          <w:i/>
          <w:color w:val="010202"/>
        </w:rPr>
        <w:t>);</w:t>
      </w:r>
      <w:proofErr w:type="gramEnd"/>
    </w:p>
    <w:p w14:paraId="587FEEBB" w14:textId="77777777" w:rsidR="00FF7372" w:rsidRPr="00A43F1B" w:rsidRDefault="00FF7372" w:rsidP="002A3889">
      <w:pPr>
        <w:pStyle w:val="ListParagraph"/>
        <w:widowControl w:val="0"/>
        <w:numPr>
          <w:ilvl w:val="1"/>
          <w:numId w:val="448"/>
        </w:numPr>
        <w:autoSpaceDE w:val="0"/>
        <w:autoSpaceDN w:val="0"/>
        <w:spacing w:after="0" w:line="240" w:lineRule="auto"/>
        <w:ind w:left="426" w:right="95" w:hanging="426"/>
        <w:contextualSpacing w:val="0"/>
        <w:jc w:val="both"/>
        <w:rPr>
          <w:rFonts w:cstheme="minorHAnsi"/>
        </w:rPr>
      </w:pPr>
      <w:r w:rsidRPr="00A43F1B">
        <w:rPr>
          <w:rFonts w:cstheme="minorHAnsi"/>
          <w:color w:val="010202"/>
        </w:rPr>
        <w:t>incorporating fraud and corruption risk identification and mitigation strategies as part of the integrated and reporting planning</w:t>
      </w:r>
      <w:r w:rsidRPr="00A43F1B">
        <w:rPr>
          <w:rFonts w:cstheme="minorHAnsi"/>
          <w:color w:val="010202"/>
          <w:spacing w:val="-24"/>
        </w:rPr>
        <w:t xml:space="preserve"> </w:t>
      </w:r>
      <w:proofErr w:type="gramStart"/>
      <w:r w:rsidRPr="00A43F1B">
        <w:rPr>
          <w:rFonts w:cstheme="minorHAnsi"/>
          <w:color w:val="010202"/>
        </w:rPr>
        <w:t>framework;</w:t>
      </w:r>
      <w:proofErr w:type="gramEnd"/>
    </w:p>
    <w:p w14:paraId="3EF65373" w14:textId="77777777" w:rsidR="00FF7372" w:rsidRPr="00A43F1B" w:rsidRDefault="00FF7372" w:rsidP="002A3889">
      <w:pPr>
        <w:pStyle w:val="ListParagraph"/>
        <w:widowControl w:val="0"/>
        <w:numPr>
          <w:ilvl w:val="1"/>
          <w:numId w:val="448"/>
        </w:numPr>
        <w:autoSpaceDE w:val="0"/>
        <w:autoSpaceDN w:val="0"/>
        <w:spacing w:after="0" w:line="252" w:lineRule="exact"/>
        <w:ind w:left="426" w:right="95" w:hanging="426"/>
        <w:contextualSpacing w:val="0"/>
        <w:jc w:val="both"/>
        <w:rPr>
          <w:rFonts w:cstheme="minorHAnsi"/>
        </w:rPr>
      </w:pPr>
      <w:r w:rsidRPr="00A43F1B">
        <w:rPr>
          <w:rFonts w:cstheme="minorHAnsi"/>
          <w:color w:val="010202"/>
        </w:rPr>
        <w:t>educating employees in accountable conduct and fraud awareness issues, including ongoing performance assessment and counselling;</w:t>
      </w:r>
      <w:r w:rsidRPr="00A43F1B">
        <w:rPr>
          <w:rFonts w:cstheme="minorHAnsi"/>
          <w:color w:val="010202"/>
          <w:spacing w:val="-24"/>
        </w:rPr>
        <w:t xml:space="preserve"> </w:t>
      </w:r>
      <w:r w:rsidRPr="00A43F1B">
        <w:rPr>
          <w:rFonts w:cstheme="minorHAnsi"/>
          <w:color w:val="010202"/>
        </w:rPr>
        <w:t>and</w:t>
      </w:r>
    </w:p>
    <w:p w14:paraId="0AEC429D" w14:textId="77777777" w:rsidR="00FF7372" w:rsidRPr="00A43F1B" w:rsidRDefault="00FF7372" w:rsidP="002A3889">
      <w:pPr>
        <w:pStyle w:val="ListParagraph"/>
        <w:widowControl w:val="0"/>
        <w:numPr>
          <w:ilvl w:val="1"/>
          <w:numId w:val="448"/>
        </w:numPr>
        <w:autoSpaceDE w:val="0"/>
        <w:autoSpaceDN w:val="0"/>
        <w:spacing w:after="0" w:line="240" w:lineRule="auto"/>
        <w:ind w:left="426" w:right="95" w:hanging="426"/>
        <w:contextualSpacing w:val="0"/>
        <w:rPr>
          <w:rFonts w:cstheme="minorHAnsi"/>
        </w:rPr>
      </w:pPr>
      <w:r w:rsidRPr="00A43F1B">
        <w:rPr>
          <w:rFonts w:cstheme="minorHAnsi"/>
          <w:color w:val="010202"/>
        </w:rPr>
        <w:t>monitoring, auditing and communicating</w:t>
      </w:r>
      <w:r w:rsidRPr="00A43F1B">
        <w:rPr>
          <w:rFonts w:cstheme="minorHAnsi"/>
          <w:color w:val="010202"/>
          <w:spacing w:val="-27"/>
        </w:rPr>
        <w:t xml:space="preserve"> </w:t>
      </w:r>
      <w:r w:rsidRPr="00A43F1B">
        <w:rPr>
          <w:rFonts w:cstheme="minorHAnsi"/>
          <w:color w:val="010202"/>
        </w:rPr>
        <w:t>processes.</w:t>
      </w:r>
    </w:p>
    <w:p w14:paraId="24C440BA" w14:textId="77777777" w:rsidR="00FF7372" w:rsidRPr="00B90F9B" w:rsidRDefault="00FF7372" w:rsidP="00FF7372">
      <w:pPr>
        <w:widowControl w:val="0"/>
        <w:tabs>
          <w:tab w:val="left" w:pos="1819"/>
          <w:tab w:val="left" w:pos="1820"/>
        </w:tabs>
        <w:autoSpaceDE w:val="0"/>
        <w:autoSpaceDN w:val="0"/>
        <w:spacing w:before="200" w:after="0" w:line="240" w:lineRule="auto"/>
        <w:ind w:left="1100" w:hanging="1100"/>
        <w:rPr>
          <w:rFonts w:cstheme="minorHAnsi"/>
          <w:b/>
        </w:rPr>
      </w:pPr>
      <w:r w:rsidRPr="00B90F9B">
        <w:rPr>
          <w:rFonts w:cstheme="minorHAnsi"/>
          <w:b/>
          <w:color w:val="010202"/>
        </w:rPr>
        <w:t>Fraud and Corruption Control</w:t>
      </w:r>
      <w:r w:rsidRPr="00B90F9B">
        <w:rPr>
          <w:rFonts w:cstheme="minorHAnsi"/>
          <w:b/>
          <w:color w:val="010202"/>
          <w:spacing w:val="-1"/>
        </w:rPr>
        <w:t xml:space="preserve"> </w:t>
      </w:r>
      <w:r w:rsidRPr="00B90F9B">
        <w:rPr>
          <w:rFonts w:cstheme="minorHAnsi"/>
          <w:b/>
          <w:color w:val="010202"/>
        </w:rPr>
        <w:t>Plan</w:t>
      </w:r>
    </w:p>
    <w:p w14:paraId="17F3E22F" w14:textId="77777777" w:rsidR="00FF7372" w:rsidRPr="00A43F1B" w:rsidRDefault="00FF7372" w:rsidP="00FF7372">
      <w:pPr>
        <w:pStyle w:val="BodyText"/>
        <w:spacing w:after="60"/>
        <w:ind w:left="0"/>
        <w:rPr>
          <w:rFonts w:asciiTheme="minorHAnsi" w:hAnsiTheme="minorHAnsi" w:cstheme="minorHAnsi"/>
          <w:szCs w:val="22"/>
        </w:rPr>
      </w:pPr>
      <w:r w:rsidRPr="00A43F1B">
        <w:rPr>
          <w:rFonts w:asciiTheme="minorHAnsi" w:hAnsiTheme="minorHAnsi" w:cstheme="minorHAnsi"/>
          <w:color w:val="010202"/>
          <w:szCs w:val="22"/>
        </w:rPr>
        <w:t>The objectives of the Fraud and Corruption Control Plan are to:</w:t>
      </w:r>
    </w:p>
    <w:p w14:paraId="0238EAE9" w14:textId="77777777" w:rsidR="00FF7372" w:rsidRPr="00A43F1B" w:rsidRDefault="00FF7372" w:rsidP="002A3889">
      <w:pPr>
        <w:pStyle w:val="ListParagraph"/>
        <w:widowControl w:val="0"/>
        <w:numPr>
          <w:ilvl w:val="2"/>
          <w:numId w:val="449"/>
        </w:numPr>
        <w:autoSpaceDE w:val="0"/>
        <w:autoSpaceDN w:val="0"/>
        <w:spacing w:after="0" w:line="269" w:lineRule="exact"/>
        <w:ind w:left="426" w:hanging="426"/>
        <w:contextualSpacing w:val="0"/>
        <w:rPr>
          <w:rFonts w:cstheme="minorHAnsi"/>
        </w:rPr>
      </w:pPr>
      <w:r w:rsidRPr="00A43F1B">
        <w:rPr>
          <w:rFonts w:cstheme="minorHAnsi"/>
          <w:color w:val="010202"/>
        </w:rPr>
        <w:t>reduce the potential for fraud and corruption within and against the</w:t>
      </w:r>
      <w:r w:rsidRPr="00A43F1B">
        <w:rPr>
          <w:rFonts w:cstheme="minorHAnsi"/>
          <w:color w:val="010202"/>
          <w:spacing w:val="-32"/>
        </w:rPr>
        <w:t xml:space="preserve"> </w:t>
      </w:r>
      <w:proofErr w:type="gramStart"/>
      <w:r w:rsidRPr="00A43F1B">
        <w:rPr>
          <w:rFonts w:cstheme="minorHAnsi"/>
          <w:color w:val="010202"/>
        </w:rPr>
        <w:t>Town;</w:t>
      </w:r>
      <w:proofErr w:type="gramEnd"/>
    </w:p>
    <w:p w14:paraId="5C98AB35" w14:textId="77777777" w:rsidR="00FF7372" w:rsidRPr="00A43F1B" w:rsidRDefault="00FF7372" w:rsidP="002A3889">
      <w:pPr>
        <w:pStyle w:val="ListParagraph"/>
        <w:widowControl w:val="0"/>
        <w:numPr>
          <w:ilvl w:val="2"/>
          <w:numId w:val="449"/>
        </w:numPr>
        <w:autoSpaceDE w:val="0"/>
        <w:autoSpaceDN w:val="0"/>
        <w:spacing w:after="0" w:line="267" w:lineRule="exact"/>
        <w:ind w:left="426" w:hanging="426"/>
        <w:contextualSpacing w:val="0"/>
        <w:rPr>
          <w:rFonts w:cstheme="minorHAnsi"/>
        </w:rPr>
      </w:pPr>
      <w:r w:rsidRPr="00A43F1B">
        <w:rPr>
          <w:rFonts w:cstheme="minorHAnsi"/>
          <w:color w:val="010202"/>
        </w:rPr>
        <w:t>build a culture which seeks to prevent fraud and</w:t>
      </w:r>
      <w:r w:rsidRPr="00A43F1B">
        <w:rPr>
          <w:rFonts w:cstheme="minorHAnsi"/>
          <w:color w:val="010202"/>
          <w:spacing w:val="-31"/>
        </w:rPr>
        <w:t xml:space="preserve"> </w:t>
      </w:r>
      <w:proofErr w:type="gramStart"/>
      <w:r w:rsidRPr="00A43F1B">
        <w:rPr>
          <w:rFonts w:cstheme="minorHAnsi"/>
          <w:color w:val="010202"/>
        </w:rPr>
        <w:t>corruption;</w:t>
      </w:r>
      <w:proofErr w:type="gramEnd"/>
    </w:p>
    <w:p w14:paraId="67ED03CB" w14:textId="77777777" w:rsidR="00FF7372" w:rsidRPr="00A43F1B" w:rsidRDefault="00FF7372" w:rsidP="002A3889">
      <w:pPr>
        <w:pStyle w:val="ListParagraph"/>
        <w:widowControl w:val="0"/>
        <w:numPr>
          <w:ilvl w:val="2"/>
          <w:numId w:val="449"/>
        </w:numPr>
        <w:autoSpaceDE w:val="0"/>
        <w:autoSpaceDN w:val="0"/>
        <w:spacing w:after="0" w:line="267" w:lineRule="exact"/>
        <w:ind w:left="426" w:hanging="426"/>
        <w:contextualSpacing w:val="0"/>
        <w:rPr>
          <w:rFonts w:cstheme="minorHAnsi"/>
        </w:rPr>
      </w:pPr>
      <w:r w:rsidRPr="00A43F1B">
        <w:rPr>
          <w:rFonts w:cstheme="minorHAnsi"/>
          <w:color w:val="010202"/>
        </w:rPr>
        <w:t>apply resources to the prevention of fraud and</w:t>
      </w:r>
      <w:r w:rsidRPr="00A43F1B">
        <w:rPr>
          <w:rFonts w:cstheme="minorHAnsi"/>
          <w:color w:val="010202"/>
          <w:spacing w:val="-30"/>
        </w:rPr>
        <w:t xml:space="preserve"> </w:t>
      </w:r>
      <w:proofErr w:type="gramStart"/>
      <w:r w:rsidRPr="00A43F1B">
        <w:rPr>
          <w:rFonts w:cstheme="minorHAnsi"/>
          <w:color w:val="010202"/>
        </w:rPr>
        <w:t>corruption;</w:t>
      </w:r>
      <w:proofErr w:type="gramEnd"/>
    </w:p>
    <w:p w14:paraId="0AB7770A" w14:textId="77777777" w:rsidR="00FF7372" w:rsidRPr="00A43F1B" w:rsidRDefault="00FF7372" w:rsidP="002A3889">
      <w:pPr>
        <w:pStyle w:val="ListParagraph"/>
        <w:widowControl w:val="0"/>
        <w:numPr>
          <w:ilvl w:val="2"/>
          <w:numId w:val="449"/>
        </w:numPr>
        <w:autoSpaceDE w:val="0"/>
        <w:autoSpaceDN w:val="0"/>
        <w:spacing w:after="0" w:line="240" w:lineRule="auto"/>
        <w:ind w:left="426" w:right="95" w:hanging="426"/>
        <w:contextualSpacing w:val="0"/>
        <w:rPr>
          <w:rFonts w:cstheme="minorHAnsi"/>
        </w:rPr>
      </w:pPr>
      <w:r w:rsidRPr="00A43F1B">
        <w:rPr>
          <w:rFonts w:cstheme="minorHAnsi"/>
          <w:color w:val="010202"/>
        </w:rPr>
        <w:t>explain how suspected fraud and corruption is dealt with through risk management practices;</w:t>
      </w:r>
      <w:r w:rsidRPr="00A43F1B">
        <w:rPr>
          <w:rFonts w:cstheme="minorHAnsi"/>
          <w:color w:val="010202"/>
          <w:spacing w:val="-15"/>
        </w:rPr>
        <w:t xml:space="preserve"> </w:t>
      </w:r>
      <w:r w:rsidRPr="00A43F1B">
        <w:rPr>
          <w:rFonts w:cstheme="minorHAnsi"/>
          <w:color w:val="010202"/>
        </w:rPr>
        <w:t>and</w:t>
      </w:r>
    </w:p>
    <w:p w14:paraId="3B5E6A83" w14:textId="77777777" w:rsidR="00FF7372" w:rsidRPr="00A43F1B" w:rsidRDefault="00FF7372" w:rsidP="002A3889">
      <w:pPr>
        <w:pStyle w:val="ListParagraph"/>
        <w:widowControl w:val="0"/>
        <w:numPr>
          <w:ilvl w:val="2"/>
          <w:numId w:val="449"/>
        </w:numPr>
        <w:autoSpaceDE w:val="0"/>
        <w:autoSpaceDN w:val="0"/>
        <w:spacing w:after="0" w:line="240" w:lineRule="auto"/>
        <w:ind w:left="426" w:right="95" w:hanging="426"/>
        <w:contextualSpacing w:val="0"/>
        <w:rPr>
          <w:rFonts w:cstheme="minorHAnsi"/>
        </w:rPr>
      </w:pPr>
      <w:r w:rsidRPr="00A43F1B">
        <w:rPr>
          <w:rFonts w:cstheme="minorHAnsi"/>
          <w:color w:val="010202"/>
        </w:rPr>
        <w:t>provide guidance on how any suspected instances of fraud or corruption are dealt</w:t>
      </w:r>
      <w:r w:rsidRPr="00A43F1B">
        <w:rPr>
          <w:rFonts w:cstheme="minorHAnsi"/>
          <w:color w:val="010202"/>
          <w:spacing w:val="-6"/>
        </w:rPr>
        <w:t xml:space="preserve"> </w:t>
      </w:r>
      <w:r w:rsidRPr="00A43F1B">
        <w:rPr>
          <w:rFonts w:cstheme="minorHAnsi"/>
          <w:color w:val="010202"/>
        </w:rPr>
        <w:t>with.</w:t>
      </w:r>
    </w:p>
    <w:p w14:paraId="3029000D" w14:textId="77777777" w:rsidR="00FF7372" w:rsidRPr="00A43F1B" w:rsidRDefault="00FF7372" w:rsidP="00FF7372">
      <w:pPr>
        <w:pStyle w:val="BodyText"/>
        <w:spacing w:before="200" w:after="0"/>
        <w:ind w:left="0" w:right="95" w:hanging="1"/>
        <w:jc w:val="both"/>
        <w:rPr>
          <w:rFonts w:asciiTheme="minorHAnsi" w:hAnsiTheme="minorHAnsi" w:cstheme="minorHAnsi"/>
          <w:szCs w:val="22"/>
        </w:rPr>
      </w:pPr>
      <w:r w:rsidRPr="00A43F1B">
        <w:rPr>
          <w:rFonts w:asciiTheme="minorHAnsi" w:hAnsiTheme="minorHAnsi" w:cstheme="minorHAnsi"/>
          <w:color w:val="010202"/>
          <w:szCs w:val="22"/>
        </w:rPr>
        <w:t>This Plan is comprised of four stages: planning and resourcing, prevention, detection and response; and details the Town's intended action in implementing and monitoring the fraud and corruption control initiatives.</w:t>
      </w:r>
    </w:p>
    <w:p w14:paraId="2FF3D21C" w14:textId="77777777" w:rsidR="00FF7372" w:rsidRPr="00A43F1B" w:rsidRDefault="00FF7372" w:rsidP="00FF7372">
      <w:pPr>
        <w:pStyle w:val="BodyText"/>
        <w:spacing w:before="200" w:after="60"/>
        <w:ind w:left="0" w:right="96"/>
        <w:jc w:val="both"/>
        <w:rPr>
          <w:rFonts w:asciiTheme="minorHAnsi" w:hAnsiTheme="minorHAnsi" w:cstheme="minorHAnsi"/>
          <w:szCs w:val="22"/>
        </w:rPr>
      </w:pPr>
      <w:r w:rsidRPr="00A43F1B">
        <w:rPr>
          <w:rFonts w:asciiTheme="minorHAnsi" w:hAnsiTheme="minorHAnsi" w:cstheme="minorHAnsi"/>
          <w:color w:val="010202"/>
          <w:szCs w:val="22"/>
        </w:rPr>
        <w:t>The strategies relating to planning and resourcing, prevention, detection and response of fraud and corruption control includes but is not limited to:</w:t>
      </w:r>
    </w:p>
    <w:p w14:paraId="37D0386A" w14:textId="77777777" w:rsidR="00FF7372" w:rsidRPr="00A43F1B" w:rsidRDefault="00FF7372" w:rsidP="002A3889">
      <w:pPr>
        <w:pStyle w:val="ListParagraph"/>
        <w:widowControl w:val="0"/>
        <w:numPr>
          <w:ilvl w:val="2"/>
          <w:numId w:val="449"/>
        </w:numPr>
        <w:autoSpaceDE w:val="0"/>
        <w:autoSpaceDN w:val="0"/>
        <w:spacing w:after="0" w:line="269" w:lineRule="exact"/>
        <w:ind w:left="426" w:hanging="426"/>
        <w:contextualSpacing w:val="0"/>
        <w:rPr>
          <w:rFonts w:cstheme="minorHAnsi"/>
        </w:rPr>
      </w:pPr>
      <w:r w:rsidRPr="00A43F1B">
        <w:rPr>
          <w:rFonts w:cstheme="minorHAnsi"/>
          <w:color w:val="010202"/>
        </w:rPr>
        <w:t>training and</w:t>
      </w:r>
      <w:r w:rsidRPr="00A43F1B">
        <w:rPr>
          <w:rFonts w:cstheme="minorHAnsi"/>
          <w:color w:val="010202"/>
          <w:spacing w:val="-13"/>
        </w:rPr>
        <w:t xml:space="preserve"> </w:t>
      </w:r>
      <w:proofErr w:type="gramStart"/>
      <w:r w:rsidRPr="00A43F1B">
        <w:rPr>
          <w:rFonts w:cstheme="minorHAnsi"/>
          <w:color w:val="010202"/>
        </w:rPr>
        <w:t>awareness;</w:t>
      </w:r>
      <w:proofErr w:type="gramEnd"/>
    </w:p>
    <w:p w14:paraId="4A1115D8" w14:textId="77777777" w:rsidR="00FF7372" w:rsidRPr="00A43F1B" w:rsidRDefault="00FF7372" w:rsidP="002A3889">
      <w:pPr>
        <w:pStyle w:val="ListParagraph"/>
        <w:widowControl w:val="0"/>
        <w:numPr>
          <w:ilvl w:val="2"/>
          <w:numId w:val="449"/>
        </w:numPr>
        <w:autoSpaceDE w:val="0"/>
        <w:autoSpaceDN w:val="0"/>
        <w:spacing w:after="0" w:line="267" w:lineRule="exact"/>
        <w:ind w:left="426" w:hanging="426"/>
        <w:contextualSpacing w:val="0"/>
        <w:rPr>
          <w:rFonts w:cstheme="minorHAnsi"/>
        </w:rPr>
      </w:pPr>
      <w:r w:rsidRPr="00A43F1B">
        <w:rPr>
          <w:rFonts w:cstheme="minorHAnsi"/>
          <w:color w:val="010202"/>
        </w:rPr>
        <w:t>pre-employment</w:t>
      </w:r>
      <w:r w:rsidRPr="00A43F1B">
        <w:rPr>
          <w:rFonts w:cstheme="minorHAnsi"/>
          <w:color w:val="010202"/>
          <w:spacing w:val="-16"/>
        </w:rPr>
        <w:t xml:space="preserve"> </w:t>
      </w:r>
      <w:proofErr w:type="gramStart"/>
      <w:r w:rsidRPr="00A43F1B">
        <w:rPr>
          <w:rFonts w:cstheme="minorHAnsi"/>
          <w:color w:val="010202"/>
        </w:rPr>
        <w:t>screening;</w:t>
      </w:r>
      <w:proofErr w:type="gramEnd"/>
    </w:p>
    <w:p w14:paraId="0C7FE96C" w14:textId="77777777" w:rsidR="00FF7372" w:rsidRPr="00A43F1B" w:rsidRDefault="00FF7372" w:rsidP="002A3889">
      <w:pPr>
        <w:pStyle w:val="ListParagraph"/>
        <w:widowControl w:val="0"/>
        <w:numPr>
          <w:ilvl w:val="2"/>
          <w:numId w:val="449"/>
        </w:numPr>
        <w:autoSpaceDE w:val="0"/>
        <w:autoSpaceDN w:val="0"/>
        <w:spacing w:after="0" w:line="267" w:lineRule="exact"/>
        <w:ind w:left="426" w:hanging="426"/>
        <w:contextualSpacing w:val="0"/>
        <w:rPr>
          <w:rFonts w:cstheme="minorHAnsi"/>
        </w:rPr>
      </w:pPr>
      <w:r w:rsidRPr="00A43F1B">
        <w:rPr>
          <w:rFonts w:cstheme="minorHAnsi"/>
          <w:color w:val="010202"/>
        </w:rPr>
        <w:t>risk</w:t>
      </w:r>
      <w:r w:rsidRPr="00A43F1B">
        <w:rPr>
          <w:rFonts w:cstheme="minorHAnsi"/>
          <w:color w:val="010202"/>
          <w:spacing w:val="-9"/>
        </w:rPr>
        <w:t xml:space="preserve"> </w:t>
      </w:r>
      <w:proofErr w:type="gramStart"/>
      <w:r w:rsidRPr="00A43F1B">
        <w:rPr>
          <w:rFonts w:cstheme="minorHAnsi"/>
          <w:color w:val="010202"/>
        </w:rPr>
        <w:t>assessment;</w:t>
      </w:r>
      <w:proofErr w:type="gramEnd"/>
    </w:p>
    <w:p w14:paraId="222A8191" w14:textId="77777777" w:rsidR="00FF7372" w:rsidRPr="00A43F1B" w:rsidRDefault="00FF7372" w:rsidP="002A3889">
      <w:pPr>
        <w:pStyle w:val="ListParagraph"/>
        <w:widowControl w:val="0"/>
        <w:numPr>
          <w:ilvl w:val="2"/>
          <w:numId w:val="449"/>
        </w:numPr>
        <w:autoSpaceDE w:val="0"/>
        <w:autoSpaceDN w:val="0"/>
        <w:spacing w:after="0" w:line="269" w:lineRule="exact"/>
        <w:ind w:left="426" w:hanging="426"/>
        <w:contextualSpacing w:val="0"/>
        <w:rPr>
          <w:rFonts w:cstheme="minorHAnsi"/>
        </w:rPr>
      </w:pPr>
      <w:r w:rsidRPr="00A43F1B">
        <w:rPr>
          <w:rFonts w:cstheme="minorHAnsi"/>
          <w:color w:val="010202"/>
        </w:rPr>
        <w:t>internal and external</w:t>
      </w:r>
      <w:r w:rsidRPr="00A43F1B">
        <w:rPr>
          <w:rFonts w:cstheme="minorHAnsi"/>
          <w:color w:val="010202"/>
          <w:spacing w:val="-13"/>
        </w:rPr>
        <w:t xml:space="preserve"> </w:t>
      </w:r>
      <w:proofErr w:type="gramStart"/>
      <w:r w:rsidRPr="00A43F1B">
        <w:rPr>
          <w:rFonts w:cstheme="minorHAnsi"/>
          <w:color w:val="010202"/>
        </w:rPr>
        <w:t>audit;</w:t>
      </w:r>
      <w:proofErr w:type="gramEnd"/>
    </w:p>
    <w:p w14:paraId="53B96D65" w14:textId="77777777" w:rsidR="00FF7372" w:rsidRPr="00A43F1B" w:rsidRDefault="00FF7372" w:rsidP="002A3889">
      <w:pPr>
        <w:pStyle w:val="ListParagraph"/>
        <w:widowControl w:val="0"/>
        <w:numPr>
          <w:ilvl w:val="2"/>
          <w:numId w:val="449"/>
        </w:numPr>
        <w:autoSpaceDE w:val="0"/>
        <w:autoSpaceDN w:val="0"/>
        <w:spacing w:after="0" w:line="267" w:lineRule="exact"/>
        <w:ind w:left="426" w:hanging="426"/>
        <w:contextualSpacing w:val="0"/>
        <w:rPr>
          <w:rFonts w:cstheme="minorHAnsi"/>
        </w:rPr>
      </w:pPr>
      <w:r w:rsidRPr="00A43F1B">
        <w:rPr>
          <w:rFonts w:cstheme="minorHAnsi"/>
          <w:color w:val="010202"/>
        </w:rPr>
        <w:t>whistleblowing;</w:t>
      </w:r>
      <w:r w:rsidRPr="00A43F1B">
        <w:rPr>
          <w:rFonts w:cstheme="minorHAnsi"/>
          <w:color w:val="010202"/>
          <w:spacing w:val="-7"/>
        </w:rPr>
        <w:t xml:space="preserve"> </w:t>
      </w:r>
      <w:r w:rsidRPr="00A43F1B">
        <w:rPr>
          <w:rFonts w:cstheme="minorHAnsi"/>
          <w:color w:val="010202"/>
        </w:rPr>
        <w:t>and</w:t>
      </w:r>
    </w:p>
    <w:p w14:paraId="0BA68DBE" w14:textId="77777777" w:rsidR="00FF7372" w:rsidRPr="00A43F1B" w:rsidRDefault="00FF7372" w:rsidP="002A3889">
      <w:pPr>
        <w:pStyle w:val="ListParagraph"/>
        <w:widowControl w:val="0"/>
        <w:numPr>
          <w:ilvl w:val="2"/>
          <w:numId w:val="449"/>
        </w:numPr>
        <w:autoSpaceDE w:val="0"/>
        <w:autoSpaceDN w:val="0"/>
        <w:spacing w:after="0" w:line="268" w:lineRule="exact"/>
        <w:ind w:left="426" w:hanging="426"/>
        <w:contextualSpacing w:val="0"/>
        <w:rPr>
          <w:rFonts w:cstheme="minorHAnsi"/>
        </w:rPr>
      </w:pPr>
      <w:r w:rsidRPr="00A43F1B">
        <w:rPr>
          <w:rFonts w:cstheme="minorHAnsi"/>
          <w:color w:val="010202"/>
        </w:rPr>
        <w:t>investigation</w:t>
      </w:r>
      <w:r w:rsidRPr="00A43F1B">
        <w:rPr>
          <w:rFonts w:cstheme="minorHAnsi"/>
          <w:color w:val="010202"/>
          <w:spacing w:val="-11"/>
        </w:rPr>
        <w:t xml:space="preserve"> </w:t>
      </w:r>
      <w:r w:rsidRPr="00A43F1B">
        <w:rPr>
          <w:rFonts w:cstheme="minorHAnsi"/>
          <w:color w:val="010202"/>
        </w:rPr>
        <w:t>procedures.</w:t>
      </w:r>
    </w:p>
    <w:p w14:paraId="0F986188" w14:textId="77777777" w:rsidR="00FF7372" w:rsidRPr="008C3BF4" w:rsidRDefault="00FF7372" w:rsidP="00FF7372">
      <w:pPr>
        <w:spacing w:before="200" w:after="0"/>
        <w:rPr>
          <w:b/>
          <w:sz w:val="28"/>
          <w:szCs w:val="28"/>
          <w:lang w:val="en-US"/>
        </w:rPr>
      </w:pPr>
      <w:r>
        <w:rPr>
          <w:b/>
          <w:sz w:val="28"/>
          <w:szCs w:val="28"/>
          <w:lang w:val="en-US"/>
        </w:rPr>
        <w:t>Roles and Responsibilities</w:t>
      </w:r>
    </w:p>
    <w:p w14:paraId="63E25806" w14:textId="77777777" w:rsidR="00FF7372" w:rsidRDefault="00FF7372" w:rsidP="00FF7372">
      <w:pPr>
        <w:spacing w:before="120" w:after="0"/>
        <w:ind w:left="426" w:hanging="426"/>
        <w:jc w:val="both"/>
        <w:rPr>
          <w:rFonts w:cs="Arial"/>
          <w:b/>
          <w:bCs/>
          <w:szCs w:val="24"/>
        </w:rPr>
      </w:pPr>
      <w:r>
        <w:rPr>
          <w:rFonts w:cs="Arial"/>
          <w:b/>
          <w:bCs/>
          <w:szCs w:val="24"/>
        </w:rPr>
        <w:t>1.</w:t>
      </w:r>
      <w:r>
        <w:rPr>
          <w:rFonts w:cs="Arial"/>
          <w:b/>
          <w:bCs/>
          <w:szCs w:val="24"/>
        </w:rPr>
        <w:tab/>
      </w:r>
      <w:r w:rsidRPr="008C3BF4">
        <w:rPr>
          <w:rFonts w:cs="Arial"/>
          <w:b/>
          <w:bCs/>
          <w:szCs w:val="24"/>
        </w:rPr>
        <w:t>Council</w:t>
      </w:r>
    </w:p>
    <w:p w14:paraId="7D57D22A" w14:textId="77777777" w:rsidR="00FF7372" w:rsidRDefault="00FF7372" w:rsidP="00FF7372">
      <w:pPr>
        <w:spacing w:after="0"/>
        <w:ind w:left="426"/>
        <w:jc w:val="both"/>
        <w:rPr>
          <w:rFonts w:cstheme="minorHAnsi"/>
          <w:color w:val="010202"/>
        </w:rPr>
      </w:pPr>
      <w:r w:rsidRPr="008C3BF4">
        <w:rPr>
          <w:rFonts w:cstheme="minorHAnsi"/>
          <w:color w:val="010202"/>
        </w:rPr>
        <w:t xml:space="preserve">Council has the responsibility to adopt the Fraud and Corruption policy. </w:t>
      </w:r>
    </w:p>
    <w:p w14:paraId="2D269C5B" w14:textId="77777777" w:rsidR="00FF7372" w:rsidRPr="008C3BF4" w:rsidRDefault="00FF7372" w:rsidP="00FF7372">
      <w:pPr>
        <w:spacing w:after="0"/>
        <w:ind w:left="426"/>
        <w:jc w:val="both"/>
        <w:rPr>
          <w:rFonts w:cstheme="minorHAnsi"/>
          <w:b/>
          <w:bCs/>
          <w:szCs w:val="24"/>
        </w:rPr>
      </w:pPr>
      <w:r w:rsidRPr="008C3BF4">
        <w:rPr>
          <w:rFonts w:cstheme="minorHAnsi"/>
          <w:color w:val="010202"/>
        </w:rPr>
        <w:t>Council has the responsibility to adhere to the Fraud and Corruption policy</w:t>
      </w:r>
    </w:p>
    <w:p w14:paraId="3D4915B7" w14:textId="77777777" w:rsidR="00FF7372" w:rsidRPr="008C3BF4" w:rsidRDefault="00FF7372" w:rsidP="00FF7372">
      <w:pPr>
        <w:spacing w:before="200" w:after="0"/>
        <w:ind w:left="426" w:hanging="426"/>
        <w:jc w:val="both"/>
        <w:rPr>
          <w:rFonts w:cs="Arial"/>
          <w:b/>
          <w:bCs/>
          <w:szCs w:val="24"/>
        </w:rPr>
      </w:pPr>
      <w:r>
        <w:rPr>
          <w:rFonts w:cs="Arial"/>
          <w:b/>
          <w:bCs/>
          <w:szCs w:val="24"/>
        </w:rPr>
        <w:t>2.</w:t>
      </w:r>
      <w:r>
        <w:rPr>
          <w:rFonts w:cs="Arial"/>
          <w:b/>
          <w:bCs/>
          <w:szCs w:val="24"/>
        </w:rPr>
        <w:tab/>
      </w:r>
      <w:r w:rsidRPr="008C3BF4">
        <w:rPr>
          <w:rFonts w:cs="Arial"/>
          <w:b/>
          <w:bCs/>
          <w:szCs w:val="24"/>
        </w:rPr>
        <w:t>Audit Committee</w:t>
      </w:r>
    </w:p>
    <w:p w14:paraId="37D2F256" w14:textId="77777777" w:rsidR="00FF7372" w:rsidRPr="009B7882" w:rsidRDefault="00FF7372" w:rsidP="00FF7372">
      <w:pPr>
        <w:pStyle w:val="BodyText"/>
        <w:spacing w:after="60"/>
        <w:ind w:left="425"/>
        <w:rPr>
          <w:rFonts w:asciiTheme="minorHAnsi" w:hAnsiTheme="minorHAnsi" w:cstheme="minorHAnsi"/>
        </w:rPr>
      </w:pPr>
      <w:r w:rsidRPr="009B7882">
        <w:rPr>
          <w:rFonts w:asciiTheme="minorHAnsi" w:hAnsiTheme="minorHAnsi" w:cstheme="minorHAnsi"/>
          <w:color w:val="010202"/>
        </w:rPr>
        <w:t>In relation to fraud control, the Audit Committee's responsibilities include:</w:t>
      </w:r>
    </w:p>
    <w:p w14:paraId="32A79373" w14:textId="77777777" w:rsidR="00FF7372" w:rsidRPr="009B7882" w:rsidRDefault="00FF7372" w:rsidP="002A3889">
      <w:pPr>
        <w:pStyle w:val="ListParagraph"/>
        <w:widowControl w:val="0"/>
        <w:numPr>
          <w:ilvl w:val="2"/>
          <w:numId w:val="449"/>
        </w:numPr>
        <w:autoSpaceDE w:val="0"/>
        <w:autoSpaceDN w:val="0"/>
        <w:spacing w:before="1" w:after="0" w:line="252" w:lineRule="exact"/>
        <w:ind w:left="851" w:right="95" w:hanging="425"/>
        <w:contextualSpacing w:val="0"/>
        <w:jc w:val="both"/>
        <w:rPr>
          <w:rFonts w:cstheme="minorHAnsi"/>
        </w:rPr>
      </w:pPr>
      <w:r w:rsidRPr="009B7882">
        <w:rPr>
          <w:rFonts w:cstheme="minorHAnsi"/>
          <w:color w:val="010202"/>
        </w:rPr>
        <w:t>reviewing risk management frameworks and associated procedures for the effective identification and management of fraud</w:t>
      </w:r>
      <w:r w:rsidRPr="009B7882">
        <w:rPr>
          <w:rFonts w:cstheme="minorHAnsi"/>
          <w:color w:val="010202"/>
          <w:spacing w:val="-22"/>
        </w:rPr>
        <w:t xml:space="preserve"> </w:t>
      </w:r>
      <w:proofErr w:type="gramStart"/>
      <w:r w:rsidRPr="009B7882">
        <w:rPr>
          <w:rFonts w:cstheme="minorHAnsi"/>
          <w:color w:val="010202"/>
        </w:rPr>
        <w:t>risks;</w:t>
      </w:r>
      <w:proofErr w:type="gramEnd"/>
    </w:p>
    <w:p w14:paraId="61D0842F" w14:textId="77777777" w:rsidR="00FF7372" w:rsidRPr="009B7882" w:rsidRDefault="00FF7372" w:rsidP="002A3889">
      <w:pPr>
        <w:pStyle w:val="ListParagraph"/>
        <w:widowControl w:val="0"/>
        <w:numPr>
          <w:ilvl w:val="2"/>
          <w:numId w:val="449"/>
        </w:numPr>
        <w:autoSpaceDE w:val="0"/>
        <w:autoSpaceDN w:val="0"/>
        <w:spacing w:after="0" w:line="240" w:lineRule="auto"/>
        <w:ind w:left="851" w:right="95" w:hanging="425"/>
        <w:contextualSpacing w:val="0"/>
        <w:jc w:val="both"/>
        <w:rPr>
          <w:rFonts w:cstheme="minorHAnsi"/>
        </w:rPr>
      </w:pPr>
      <w:r w:rsidRPr="009B7882">
        <w:rPr>
          <w:rFonts w:cstheme="minorHAnsi"/>
          <w:color w:val="010202"/>
        </w:rPr>
        <w:t>overseeing development and implementation of the fraud control plan, to provide assurance that the entity has appropriate processes and systems in place to prevent, detect and effectively respond to fraud-related information; and</w:t>
      </w:r>
    </w:p>
    <w:p w14:paraId="176BDE03" w14:textId="77777777" w:rsidR="00FF7372" w:rsidRPr="009B7882" w:rsidRDefault="00FF7372" w:rsidP="002A3889">
      <w:pPr>
        <w:pStyle w:val="ListParagraph"/>
        <w:widowControl w:val="0"/>
        <w:numPr>
          <w:ilvl w:val="2"/>
          <w:numId w:val="449"/>
        </w:numPr>
        <w:autoSpaceDE w:val="0"/>
        <w:autoSpaceDN w:val="0"/>
        <w:spacing w:before="8" w:after="0" w:line="240" w:lineRule="auto"/>
        <w:ind w:left="851" w:hanging="425"/>
        <w:contextualSpacing w:val="0"/>
        <w:rPr>
          <w:rFonts w:cstheme="minorHAnsi"/>
          <w:sz w:val="13"/>
        </w:rPr>
      </w:pPr>
      <w:r w:rsidRPr="009B7882">
        <w:rPr>
          <w:rFonts w:cstheme="minorHAnsi"/>
          <w:color w:val="010202"/>
        </w:rPr>
        <w:t>providing leadership in preventing fraud and</w:t>
      </w:r>
      <w:r w:rsidRPr="009B7882">
        <w:rPr>
          <w:rFonts w:cstheme="minorHAnsi"/>
          <w:color w:val="010202"/>
          <w:spacing w:val="-27"/>
        </w:rPr>
        <w:t xml:space="preserve"> </w:t>
      </w:r>
      <w:r w:rsidRPr="009B7882">
        <w:rPr>
          <w:rFonts w:cstheme="minorHAnsi"/>
          <w:color w:val="010202"/>
        </w:rPr>
        <w:t>corruption.</w:t>
      </w:r>
    </w:p>
    <w:p w14:paraId="2030D1E3" w14:textId="77777777" w:rsidR="00FF7372" w:rsidRPr="009B7882" w:rsidRDefault="00FF7372" w:rsidP="00FF7372">
      <w:pPr>
        <w:spacing w:before="200" w:after="0"/>
        <w:ind w:left="426" w:hanging="426"/>
        <w:jc w:val="both"/>
        <w:rPr>
          <w:rFonts w:cs="Arial"/>
          <w:b/>
          <w:bCs/>
          <w:szCs w:val="24"/>
        </w:rPr>
      </w:pPr>
      <w:r>
        <w:rPr>
          <w:rFonts w:cs="Arial"/>
          <w:b/>
          <w:bCs/>
          <w:szCs w:val="24"/>
        </w:rPr>
        <w:t>3.</w:t>
      </w:r>
      <w:r>
        <w:rPr>
          <w:rFonts w:cs="Arial"/>
          <w:b/>
          <w:bCs/>
          <w:szCs w:val="24"/>
        </w:rPr>
        <w:tab/>
        <w:t>Chief Executive Officer</w:t>
      </w:r>
    </w:p>
    <w:p w14:paraId="0BF0BF2B" w14:textId="77777777" w:rsidR="00FF7372" w:rsidRPr="009B7882" w:rsidRDefault="00FF7372" w:rsidP="00FF7372">
      <w:pPr>
        <w:pStyle w:val="BodyText"/>
        <w:spacing w:after="200"/>
        <w:ind w:left="425" w:right="95"/>
        <w:jc w:val="both"/>
        <w:rPr>
          <w:rFonts w:asciiTheme="minorHAnsi" w:hAnsiTheme="minorHAnsi" w:cstheme="minorHAnsi"/>
        </w:rPr>
      </w:pPr>
      <w:r w:rsidRPr="009B7882">
        <w:rPr>
          <w:rFonts w:asciiTheme="minorHAnsi" w:hAnsiTheme="minorHAnsi" w:cstheme="minorHAnsi"/>
          <w:color w:val="010202"/>
        </w:rPr>
        <w:t>The Chief Executive Officer applies the Town's resources to fraud prevention and ensures the implementation of adequate controls for managing fraud and corruption risks within the Town.</w:t>
      </w:r>
    </w:p>
    <w:p w14:paraId="2DE295F6" w14:textId="77777777" w:rsidR="00FF7372" w:rsidRPr="009B7882" w:rsidRDefault="00FF7372" w:rsidP="00FF7372">
      <w:pPr>
        <w:ind w:left="426" w:right="95"/>
        <w:jc w:val="both"/>
        <w:rPr>
          <w:rFonts w:cstheme="minorHAnsi"/>
        </w:rPr>
      </w:pPr>
      <w:r w:rsidRPr="009B7882">
        <w:rPr>
          <w:rFonts w:cstheme="minorHAnsi"/>
          <w:color w:val="010202"/>
        </w:rPr>
        <w:lastRenderedPageBreak/>
        <w:t xml:space="preserve">The Chief Executive Officer, under the </w:t>
      </w:r>
      <w:r w:rsidRPr="009B7882">
        <w:rPr>
          <w:rFonts w:cstheme="minorHAnsi"/>
          <w:i/>
          <w:color w:val="010202"/>
        </w:rPr>
        <w:t xml:space="preserve">Corruption, Crime and Misconduct Act 2003 </w:t>
      </w:r>
      <w:r w:rsidRPr="009B7882">
        <w:rPr>
          <w:rFonts w:cstheme="minorHAnsi"/>
          <w:color w:val="010202"/>
        </w:rPr>
        <w:t>must notify the Corruption and Crime Commission or the Public Sector Commission if misconduct is suspected.</w:t>
      </w:r>
    </w:p>
    <w:p w14:paraId="689FC0D4" w14:textId="77777777" w:rsidR="00FF7372" w:rsidRPr="009B7882" w:rsidRDefault="00FF7372" w:rsidP="00FF7372">
      <w:pPr>
        <w:spacing w:before="200" w:after="0"/>
        <w:ind w:left="426" w:hanging="426"/>
        <w:jc w:val="both"/>
        <w:rPr>
          <w:rFonts w:cstheme="minorHAnsi"/>
          <w:b/>
          <w:bCs/>
          <w:szCs w:val="24"/>
        </w:rPr>
      </w:pPr>
      <w:r w:rsidRPr="009B7882">
        <w:rPr>
          <w:rFonts w:cs="Arial"/>
          <w:b/>
          <w:bCs/>
          <w:szCs w:val="24"/>
        </w:rPr>
        <w:t>4.</w:t>
      </w:r>
      <w:r w:rsidRPr="009B7882">
        <w:rPr>
          <w:rFonts w:cs="Arial"/>
          <w:b/>
          <w:bCs/>
          <w:szCs w:val="24"/>
        </w:rPr>
        <w:tab/>
        <w:t xml:space="preserve">Leadership </w:t>
      </w:r>
      <w:r w:rsidRPr="009B7882">
        <w:rPr>
          <w:rFonts w:cstheme="minorHAnsi"/>
          <w:b/>
          <w:bCs/>
          <w:szCs w:val="24"/>
        </w:rPr>
        <w:t>Team (Executive Managers, Coordinators/Supervisors)</w:t>
      </w:r>
    </w:p>
    <w:p w14:paraId="53B56346" w14:textId="77777777" w:rsidR="00FF7372" w:rsidRPr="009B7882" w:rsidRDefault="00FF7372" w:rsidP="00FF7372">
      <w:pPr>
        <w:pStyle w:val="BodyText"/>
        <w:spacing w:after="60"/>
        <w:ind w:left="426" w:right="95" w:hanging="1"/>
        <w:jc w:val="both"/>
        <w:rPr>
          <w:rFonts w:asciiTheme="minorHAnsi" w:hAnsiTheme="minorHAnsi" w:cstheme="minorHAnsi"/>
        </w:rPr>
      </w:pPr>
      <w:r w:rsidRPr="009B7882">
        <w:rPr>
          <w:rFonts w:asciiTheme="minorHAnsi" w:hAnsiTheme="minorHAnsi" w:cstheme="minorHAnsi"/>
          <w:color w:val="010202"/>
        </w:rPr>
        <w:t xml:space="preserve">The Leadership Team is responsible for implementing the Fraud and Corruption Control Plan. </w:t>
      </w:r>
      <w:proofErr w:type="gramStart"/>
      <w:r w:rsidRPr="009B7882">
        <w:rPr>
          <w:rFonts w:asciiTheme="minorHAnsi" w:hAnsiTheme="minorHAnsi" w:cstheme="minorHAnsi"/>
          <w:color w:val="010202"/>
        </w:rPr>
        <w:t>In particular the</w:t>
      </w:r>
      <w:proofErr w:type="gramEnd"/>
      <w:r w:rsidRPr="009B7882">
        <w:rPr>
          <w:rFonts w:asciiTheme="minorHAnsi" w:hAnsiTheme="minorHAnsi" w:cstheme="minorHAnsi"/>
          <w:color w:val="010202"/>
        </w:rPr>
        <w:t xml:space="preserve"> Leadership Team must:</w:t>
      </w:r>
    </w:p>
    <w:p w14:paraId="70AE6199" w14:textId="77777777" w:rsidR="00FF7372" w:rsidRPr="009B7882" w:rsidRDefault="00FF7372" w:rsidP="002A3889">
      <w:pPr>
        <w:pStyle w:val="ListParagraph"/>
        <w:widowControl w:val="0"/>
        <w:numPr>
          <w:ilvl w:val="2"/>
          <w:numId w:val="449"/>
        </w:numPr>
        <w:tabs>
          <w:tab w:val="left" w:pos="2180"/>
          <w:tab w:val="left" w:pos="2181"/>
          <w:tab w:val="left" w:pos="9639"/>
        </w:tabs>
        <w:autoSpaceDE w:val="0"/>
        <w:autoSpaceDN w:val="0"/>
        <w:spacing w:after="0" w:line="252" w:lineRule="exact"/>
        <w:ind w:left="851" w:right="95" w:hanging="425"/>
        <w:contextualSpacing w:val="0"/>
        <w:rPr>
          <w:rFonts w:cstheme="minorHAnsi"/>
        </w:rPr>
      </w:pPr>
      <w:r w:rsidRPr="009B7882">
        <w:rPr>
          <w:rFonts w:cstheme="minorHAnsi"/>
          <w:color w:val="010202"/>
        </w:rPr>
        <w:t>provide leadership, guidance, training and support to employees in preventing fraud and</w:t>
      </w:r>
      <w:r w:rsidRPr="009B7882">
        <w:rPr>
          <w:rFonts w:cstheme="minorHAnsi"/>
          <w:color w:val="010202"/>
          <w:spacing w:val="-17"/>
        </w:rPr>
        <w:t xml:space="preserve"> </w:t>
      </w:r>
      <w:proofErr w:type="gramStart"/>
      <w:r w:rsidRPr="009B7882">
        <w:rPr>
          <w:rFonts w:cstheme="minorHAnsi"/>
          <w:color w:val="010202"/>
        </w:rPr>
        <w:t>corruption;</w:t>
      </w:r>
      <w:proofErr w:type="gramEnd"/>
    </w:p>
    <w:p w14:paraId="6CE31D5F" w14:textId="77777777" w:rsidR="00FF7372" w:rsidRPr="009B7882" w:rsidRDefault="00FF7372" w:rsidP="002A3889">
      <w:pPr>
        <w:pStyle w:val="ListParagraph"/>
        <w:widowControl w:val="0"/>
        <w:numPr>
          <w:ilvl w:val="2"/>
          <w:numId w:val="449"/>
        </w:numPr>
        <w:tabs>
          <w:tab w:val="left" w:pos="2181"/>
        </w:tabs>
        <w:autoSpaceDE w:val="0"/>
        <w:autoSpaceDN w:val="0"/>
        <w:spacing w:after="0" w:line="265" w:lineRule="exact"/>
        <w:ind w:left="851" w:hanging="425"/>
        <w:contextualSpacing w:val="0"/>
        <w:jc w:val="both"/>
        <w:rPr>
          <w:rFonts w:cstheme="minorHAnsi"/>
        </w:rPr>
      </w:pPr>
      <w:r w:rsidRPr="009B7882">
        <w:rPr>
          <w:rFonts w:cstheme="minorHAnsi"/>
          <w:color w:val="010202"/>
        </w:rPr>
        <w:t>identify high fraud risk</w:t>
      </w:r>
      <w:r w:rsidRPr="009B7882">
        <w:rPr>
          <w:rFonts w:cstheme="minorHAnsi"/>
          <w:color w:val="010202"/>
          <w:spacing w:val="-14"/>
        </w:rPr>
        <w:t xml:space="preserve"> </w:t>
      </w:r>
      <w:proofErr w:type="gramStart"/>
      <w:r w:rsidRPr="009B7882">
        <w:rPr>
          <w:rFonts w:cstheme="minorHAnsi"/>
          <w:color w:val="010202"/>
        </w:rPr>
        <w:t>areas;</w:t>
      </w:r>
      <w:proofErr w:type="gramEnd"/>
    </w:p>
    <w:p w14:paraId="5FEAA9D7" w14:textId="77777777" w:rsidR="00FF7372" w:rsidRPr="009B7882" w:rsidRDefault="00FF7372" w:rsidP="002A3889">
      <w:pPr>
        <w:pStyle w:val="ListParagraph"/>
        <w:widowControl w:val="0"/>
        <w:numPr>
          <w:ilvl w:val="2"/>
          <w:numId w:val="449"/>
        </w:numPr>
        <w:tabs>
          <w:tab w:val="left" w:pos="2181"/>
        </w:tabs>
        <w:autoSpaceDE w:val="0"/>
        <w:autoSpaceDN w:val="0"/>
        <w:spacing w:after="0" w:line="267" w:lineRule="exact"/>
        <w:ind w:left="851" w:hanging="425"/>
        <w:contextualSpacing w:val="0"/>
        <w:jc w:val="both"/>
        <w:rPr>
          <w:rFonts w:cstheme="minorHAnsi"/>
        </w:rPr>
      </w:pPr>
      <w:r w:rsidRPr="009B7882">
        <w:rPr>
          <w:rFonts w:cstheme="minorHAnsi"/>
          <w:color w:val="010202"/>
        </w:rPr>
        <w:t>participate in fraud and corruption risk assessment</w:t>
      </w:r>
      <w:r w:rsidRPr="009B7882">
        <w:rPr>
          <w:rFonts w:cstheme="minorHAnsi"/>
          <w:color w:val="010202"/>
          <w:spacing w:val="-36"/>
        </w:rPr>
        <w:t xml:space="preserve"> </w:t>
      </w:r>
      <w:proofErr w:type="gramStart"/>
      <w:r w:rsidRPr="009B7882">
        <w:rPr>
          <w:rFonts w:cstheme="minorHAnsi"/>
          <w:color w:val="010202"/>
        </w:rPr>
        <w:t>reviews;</w:t>
      </w:r>
      <w:proofErr w:type="gramEnd"/>
    </w:p>
    <w:p w14:paraId="48827F56" w14:textId="77777777" w:rsidR="00FF7372" w:rsidRPr="009B7882" w:rsidRDefault="00FF7372" w:rsidP="002A3889">
      <w:pPr>
        <w:pStyle w:val="ListParagraph"/>
        <w:widowControl w:val="0"/>
        <w:numPr>
          <w:ilvl w:val="2"/>
          <w:numId w:val="449"/>
        </w:numPr>
        <w:tabs>
          <w:tab w:val="left" w:pos="2181"/>
        </w:tabs>
        <w:autoSpaceDE w:val="0"/>
        <w:autoSpaceDN w:val="0"/>
        <w:spacing w:after="0" w:line="269" w:lineRule="exact"/>
        <w:ind w:left="851" w:hanging="425"/>
        <w:contextualSpacing w:val="0"/>
        <w:jc w:val="both"/>
        <w:rPr>
          <w:rFonts w:cstheme="minorHAnsi"/>
        </w:rPr>
      </w:pPr>
      <w:r w:rsidRPr="009B7882">
        <w:rPr>
          <w:rFonts w:cstheme="minorHAnsi"/>
          <w:color w:val="010202"/>
        </w:rPr>
        <w:t>monitor the continued operation of</w:t>
      </w:r>
      <w:r w:rsidRPr="009B7882">
        <w:rPr>
          <w:rFonts w:cstheme="minorHAnsi"/>
          <w:color w:val="010202"/>
          <w:spacing w:val="-19"/>
        </w:rPr>
        <w:t xml:space="preserve"> </w:t>
      </w:r>
      <w:proofErr w:type="gramStart"/>
      <w:r w:rsidRPr="009B7882">
        <w:rPr>
          <w:rFonts w:cstheme="minorHAnsi"/>
          <w:color w:val="010202"/>
        </w:rPr>
        <w:t>controls;</w:t>
      </w:r>
      <w:proofErr w:type="gramEnd"/>
    </w:p>
    <w:p w14:paraId="515BE51A" w14:textId="77777777" w:rsidR="00FF7372" w:rsidRPr="009B7882" w:rsidRDefault="00FF7372" w:rsidP="002A3889">
      <w:pPr>
        <w:pStyle w:val="ListParagraph"/>
        <w:widowControl w:val="0"/>
        <w:numPr>
          <w:ilvl w:val="2"/>
          <w:numId w:val="449"/>
        </w:numPr>
        <w:tabs>
          <w:tab w:val="left" w:pos="2180"/>
          <w:tab w:val="left" w:pos="2182"/>
        </w:tabs>
        <w:autoSpaceDE w:val="0"/>
        <w:autoSpaceDN w:val="0"/>
        <w:spacing w:before="19" w:after="0" w:line="252" w:lineRule="exact"/>
        <w:ind w:left="851" w:right="-46" w:hanging="425"/>
        <w:contextualSpacing w:val="0"/>
        <w:rPr>
          <w:rFonts w:cstheme="minorHAnsi"/>
        </w:rPr>
      </w:pPr>
      <w:r w:rsidRPr="009B7882">
        <w:rPr>
          <w:rFonts w:cstheme="minorHAnsi"/>
          <w:color w:val="010202"/>
        </w:rPr>
        <w:t>report suspected fraud and corruption promptly, maintaining confidentiality; and</w:t>
      </w:r>
    </w:p>
    <w:p w14:paraId="4D70EEA3" w14:textId="77777777" w:rsidR="00FF7372" w:rsidRPr="009B7882" w:rsidRDefault="00FF7372" w:rsidP="002A3889">
      <w:pPr>
        <w:pStyle w:val="ListParagraph"/>
        <w:widowControl w:val="0"/>
        <w:numPr>
          <w:ilvl w:val="2"/>
          <w:numId w:val="449"/>
        </w:numPr>
        <w:tabs>
          <w:tab w:val="left" w:pos="2181"/>
          <w:tab w:val="left" w:pos="2182"/>
        </w:tabs>
        <w:autoSpaceDE w:val="0"/>
        <w:autoSpaceDN w:val="0"/>
        <w:spacing w:before="16" w:after="0" w:line="252" w:lineRule="exact"/>
        <w:ind w:left="851" w:right="-46" w:hanging="425"/>
        <w:contextualSpacing w:val="0"/>
        <w:rPr>
          <w:rFonts w:cstheme="minorHAnsi"/>
        </w:rPr>
      </w:pPr>
      <w:r w:rsidRPr="009B7882">
        <w:rPr>
          <w:rFonts w:cstheme="minorHAnsi"/>
          <w:color w:val="010202"/>
        </w:rPr>
        <w:t>ensure the protection of complainants who report fraudulent and corrupt activities.</w:t>
      </w:r>
    </w:p>
    <w:p w14:paraId="007FB50A" w14:textId="77777777" w:rsidR="00FF7372" w:rsidRPr="007807CF" w:rsidRDefault="00FF7372" w:rsidP="00FF7372">
      <w:pPr>
        <w:spacing w:before="200" w:after="0"/>
        <w:ind w:left="426" w:hanging="426"/>
        <w:jc w:val="both"/>
        <w:rPr>
          <w:rFonts w:cstheme="minorHAnsi"/>
          <w:b/>
          <w:bCs/>
          <w:szCs w:val="24"/>
        </w:rPr>
      </w:pPr>
      <w:r w:rsidRPr="009B7882">
        <w:rPr>
          <w:rFonts w:cs="Arial"/>
          <w:b/>
          <w:bCs/>
          <w:szCs w:val="24"/>
        </w:rPr>
        <w:t>5.</w:t>
      </w:r>
      <w:r w:rsidRPr="009B7882">
        <w:rPr>
          <w:rFonts w:cs="Arial"/>
          <w:b/>
          <w:bCs/>
          <w:szCs w:val="24"/>
        </w:rPr>
        <w:tab/>
        <w:t xml:space="preserve">Public Interest </w:t>
      </w:r>
      <w:r w:rsidRPr="007807CF">
        <w:rPr>
          <w:rFonts w:cstheme="minorHAnsi"/>
          <w:b/>
          <w:bCs/>
          <w:szCs w:val="24"/>
        </w:rPr>
        <w:t>Disclosure (PID) Officer</w:t>
      </w:r>
    </w:p>
    <w:p w14:paraId="3E510199" w14:textId="77777777" w:rsidR="00FF7372" w:rsidRPr="007807CF" w:rsidRDefault="00FF7372" w:rsidP="00FF7372">
      <w:pPr>
        <w:ind w:left="426" w:right="-46"/>
        <w:jc w:val="both"/>
        <w:rPr>
          <w:rFonts w:cstheme="minorHAnsi"/>
        </w:rPr>
      </w:pPr>
      <w:r w:rsidRPr="007807CF">
        <w:rPr>
          <w:rFonts w:cstheme="minorHAnsi"/>
          <w:color w:val="010202"/>
        </w:rPr>
        <w:t xml:space="preserve">The Public Interest Disclosure Officer investigates </w:t>
      </w:r>
      <w:proofErr w:type="gramStart"/>
      <w:r w:rsidRPr="007807CF">
        <w:rPr>
          <w:rFonts w:cstheme="minorHAnsi"/>
          <w:color w:val="010202"/>
        </w:rPr>
        <w:t>disclosures, and</w:t>
      </w:r>
      <w:proofErr w:type="gramEnd"/>
      <w:r w:rsidRPr="007807CF">
        <w:rPr>
          <w:rFonts w:cstheme="minorHAnsi"/>
          <w:color w:val="010202"/>
        </w:rPr>
        <w:t xml:space="preserve"> take action following the completion of investigations under the </w:t>
      </w:r>
      <w:r w:rsidRPr="007807CF">
        <w:rPr>
          <w:rFonts w:cstheme="minorHAnsi"/>
          <w:i/>
          <w:color w:val="010202"/>
        </w:rPr>
        <w:t>Public Interest Disclosure Act 2003</w:t>
      </w:r>
      <w:r w:rsidRPr="007807CF">
        <w:rPr>
          <w:rFonts w:cstheme="minorHAnsi"/>
          <w:color w:val="010202"/>
        </w:rPr>
        <w:t>.</w:t>
      </w:r>
    </w:p>
    <w:p w14:paraId="44B71091" w14:textId="77777777" w:rsidR="00FF7372" w:rsidRDefault="00FF7372" w:rsidP="00FF7372">
      <w:pPr>
        <w:spacing w:before="200" w:after="0"/>
        <w:ind w:left="426" w:hanging="426"/>
        <w:jc w:val="both"/>
        <w:rPr>
          <w:rFonts w:cs="Arial"/>
          <w:b/>
          <w:bCs/>
          <w:szCs w:val="24"/>
        </w:rPr>
      </w:pPr>
      <w:r w:rsidRPr="007807CF">
        <w:rPr>
          <w:rFonts w:cs="Arial"/>
          <w:b/>
          <w:bCs/>
          <w:szCs w:val="24"/>
        </w:rPr>
        <w:t>6.</w:t>
      </w:r>
      <w:r w:rsidRPr="007807CF">
        <w:rPr>
          <w:rFonts w:cs="Arial"/>
          <w:b/>
          <w:bCs/>
          <w:szCs w:val="24"/>
        </w:rPr>
        <w:tab/>
        <w:t>Human Resources Coordinator</w:t>
      </w:r>
    </w:p>
    <w:p w14:paraId="3E0362A4" w14:textId="77777777" w:rsidR="00FF7372" w:rsidRPr="007807CF" w:rsidRDefault="00FF7372" w:rsidP="00FF7372">
      <w:pPr>
        <w:pStyle w:val="BodyText"/>
        <w:spacing w:after="60"/>
        <w:ind w:left="425" w:right="-45"/>
        <w:jc w:val="both"/>
        <w:rPr>
          <w:rFonts w:asciiTheme="minorHAnsi" w:hAnsiTheme="minorHAnsi" w:cstheme="minorHAnsi"/>
          <w:color w:val="010202"/>
        </w:rPr>
      </w:pPr>
      <w:r w:rsidRPr="007807CF">
        <w:rPr>
          <w:rFonts w:asciiTheme="minorHAnsi" w:hAnsiTheme="minorHAnsi" w:cstheme="minorHAnsi"/>
          <w:color w:val="010202"/>
        </w:rPr>
        <w:t>The Human Resources Coordinator or delegated officer, will manage the discipline process and be responsible for</w:t>
      </w:r>
      <w:r>
        <w:rPr>
          <w:rFonts w:asciiTheme="minorHAnsi" w:hAnsiTheme="minorHAnsi" w:cstheme="minorHAnsi"/>
          <w:color w:val="010202"/>
        </w:rPr>
        <w:t>:</w:t>
      </w:r>
    </w:p>
    <w:p w14:paraId="22EC10DC" w14:textId="77777777" w:rsidR="00FF7372" w:rsidRPr="007807CF" w:rsidRDefault="00FF7372" w:rsidP="002A3889">
      <w:pPr>
        <w:pStyle w:val="ListParagraph"/>
        <w:widowControl w:val="0"/>
        <w:numPr>
          <w:ilvl w:val="2"/>
          <w:numId w:val="449"/>
        </w:numPr>
        <w:tabs>
          <w:tab w:val="left" w:pos="2180"/>
          <w:tab w:val="left" w:pos="2181"/>
        </w:tabs>
        <w:autoSpaceDE w:val="0"/>
        <w:autoSpaceDN w:val="0"/>
        <w:spacing w:before="16" w:after="0" w:line="252" w:lineRule="exact"/>
        <w:ind w:left="851" w:right="-46" w:hanging="425"/>
        <w:contextualSpacing w:val="0"/>
        <w:jc w:val="both"/>
        <w:rPr>
          <w:rFonts w:cstheme="minorHAnsi"/>
        </w:rPr>
      </w:pPr>
      <w:r w:rsidRPr="007807CF">
        <w:rPr>
          <w:rFonts w:cstheme="minorHAnsi"/>
          <w:color w:val="010202"/>
        </w:rPr>
        <w:t>communicating the existence and importance of the Fraud and Corruption Control Plan;</w:t>
      </w:r>
      <w:r w:rsidRPr="007807CF">
        <w:rPr>
          <w:rFonts w:cstheme="minorHAnsi"/>
          <w:color w:val="010202"/>
          <w:spacing w:val="-6"/>
        </w:rPr>
        <w:t xml:space="preserve"> </w:t>
      </w:r>
      <w:r w:rsidRPr="007807CF">
        <w:rPr>
          <w:rFonts w:cstheme="minorHAnsi"/>
          <w:color w:val="010202"/>
        </w:rPr>
        <w:t>and</w:t>
      </w:r>
    </w:p>
    <w:p w14:paraId="554F953F" w14:textId="77777777" w:rsidR="00FF7372" w:rsidRPr="007807CF" w:rsidRDefault="00FF7372" w:rsidP="002A3889">
      <w:pPr>
        <w:pStyle w:val="ListParagraph"/>
        <w:widowControl w:val="0"/>
        <w:numPr>
          <w:ilvl w:val="2"/>
          <w:numId w:val="449"/>
        </w:numPr>
        <w:tabs>
          <w:tab w:val="left" w:pos="2181"/>
        </w:tabs>
        <w:autoSpaceDE w:val="0"/>
        <w:autoSpaceDN w:val="0"/>
        <w:spacing w:after="0" w:line="267" w:lineRule="exact"/>
        <w:ind w:left="851" w:hanging="425"/>
        <w:contextualSpacing w:val="0"/>
        <w:jc w:val="both"/>
        <w:rPr>
          <w:rFonts w:cstheme="minorHAnsi"/>
        </w:rPr>
      </w:pPr>
      <w:r w:rsidRPr="007807CF">
        <w:rPr>
          <w:rFonts w:cstheme="minorHAnsi"/>
          <w:color w:val="010202"/>
        </w:rPr>
        <w:t>delivering and/or coordinating fraud and corruption</w:t>
      </w:r>
      <w:r w:rsidRPr="007807CF">
        <w:rPr>
          <w:rFonts w:cstheme="minorHAnsi"/>
          <w:color w:val="010202"/>
          <w:spacing w:val="-28"/>
        </w:rPr>
        <w:t xml:space="preserve"> </w:t>
      </w:r>
      <w:r w:rsidRPr="007807CF">
        <w:rPr>
          <w:rFonts w:cstheme="minorHAnsi"/>
          <w:color w:val="010202"/>
        </w:rPr>
        <w:t>training.</w:t>
      </w:r>
    </w:p>
    <w:p w14:paraId="691D7D1B" w14:textId="77777777" w:rsidR="00FF7372" w:rsidRDefault="00FF7372" w:rsidP="00FF7372">
      <w:pPr>
        <w:spacing w:before="200" w:after="0"/>
        <w:ind w:left="426" w:hanging="426"/>
        <w:jc w:val="both"/>
        <w:rPr>
          <w:rFonts w:cs="Arial"/>
          <w:b/>
          <w:bCs/>
          <w:szCs w:val="24"/>
        </w:rPr>
      </w:pPr>
      <w:r>
        <w:rPr>
          <w:rFonts w:cs="Arial"/>
          <w:b/>
          <w:bCs/>
          <w:szCs w:val="24"/>
        </w:rPr>
        <w:t>7.</w:t>
      </w:r>
      <w:r>
        <w:rPr>
          <w:rFonts w:cs="Arial"/>
          <w:b/>
          <w:bCs/>
          <w:szCs w:val="24"/>
        </w:rPr>
        <w:tab/>
        <w:t>Employees</w:t>
      </w:r>
    </w:p>
    <w:p w14:paraId="2B55723D" w14:textId="77777777" w:rsidR="00FF7372" w:rsidRPr="007807CF" w:rsidRDefault="00FF7372" w:rsidP="00FF7372">
      <w:pPr>
        <w:pStyle w:val="BodyText"/>
        <w:ind w:left="426" w:right="-46"/>
        <w:jc w:val="both"/>
        <w:rPr>
          <w:rFonts w:asciiTheme="minorHAnsi" w:hAnsiTheme="minorHAnsi" w:cstheme="minorHAnsi"/>
        </w:rPr>
      </w:pPr>
      <w:r w:rsidRPr="007807CF">
        <w:rPr>
          <w:rFonts w:asciiTheme="minorHAnsi" w:hAnsiTheme="minorHAnsi" w:cstheme="minorHAnsi"/>
          <w:color w:val="010202"/>
        </w:rPr>
        <w:t xml:space="preserve">All employees have a responsibility to contribute to preventing fraud and corruption by following the Code of Conduct, complying with controls, policies, processes, resisting opportunities to engage in fraudulent or corrupt </w:t>
      </w:r>
      <w:proofErr w:type="spellStart"/>
      <w:r w:rsidRPr="007807CF">
        <w:rPr>
          <w:rFonts w:asciiTheme="minorHAnsi" w:hAnsiTheme="minorHAnsi" w:cstheme="minorHAnsi"/>
          <w:color w:val="010202"/>
        </w:rPr>
        <w:t>behaviour</w:t>
      </w:r>
      <w:proofErr w:type="spellEnd"/>
      <w:r w:rsidRPr="007807CF">
        <w:rPr>
          <w:rFonts w:asciiTheme="minorHAnsi" w:hAnsiTheme="minorHAnsi" w:cstheme="minorHAnsi"/>
          <w:color w:val="010202"/>
        </w:rPr>
        <w:t xml:space="preserve"> and reporting suspected fraudulent or corrupt incidents or </w:t>
      </w:r>
      <w:proofErr w:type="spellStart"/>
      <w:r w:rsidRPr="007807CF">
        <w:rPr>
          <w:rFonts w:asciiTheme="minorHAnsi" w:hAnsiTheme="minorHAnsi" w:cstheme="minorHAnsi"/>
          <w:color w:val="010202"/>
        </w:rPr>
        <w:t>behaviour</w:t>
      </w:r>
      <w:proofErr w:type="spellEnd"/>
      <w:r w:rsidRPr="007807CF">
        <w:rPr>
          <w:rFonts w:asciiTheme="minorHAnsi" w:hAnsiTheme="minorHAnsi" w:cstheme="minorHAnsi"/>
          <w:color w:val="010202"/>
        </w:rPr>
        <w:t>.</w:t>
      </w:r>
    </w:p>
    <w:p w14:paraId="080C6A8D" w14:textId="77777777" w:rsidR="00FF7372" w:rsidRDefault="00FF7372" w:rsidP="00FF7372">
      <w:pPr>
        <w:spacing w:before="200" w:after="0"/>
        <w:ind w:left="425" w:hanging="425"/>
        <w:jc w:val="both"/>
        <w:rPr>
          <w:rFonts w:cs="Arial"/>
          <w:b/>
          <w:bCs/>
          <w:szCs w:val="24"/>
        </w:rPr>
      </w:pPr>
      <w:r>
        <w:rPr>
          <w:rFonts w:cs="Arial"/>
          <w:b/>
          <w:bCs/>
          <w:szCs w:val="24"/>
        </w:rPr>
        <w:t>8.</w:t>
      </w:r>
      <w:r>
        <w:rPr>
          <w:rFonts w:cs="Arial"/>
          <w:b/>
          <w:bCs/>
          <w:szCs w:val="24"/>
        </w:rPr>
        <w:tab/>
        <w:t>Internal Audits</w:t>
      </w:r>
    </w:p>
    <w:p w14:paraId="5F605546" w14:textId="77777777" w:rsidR="00FF7372" w:rsidRPr="00B35B70" w:rsidRDefault="00FF7372" w:rsidP="00FF7372">
      <w:pPr>
        <w:pStyle w:val="BodyText"/>
        <w:spacing w:after="60"/>
        <w:ind w:left="426" w:right="-46"/>
        <w:jc w:val="both"/>
        <w:rPr>
          <w:rFonts w:asciiTheme="minorHAnsi" w:hAnsiTheme="minorHAnsi" w:cstheme="minorHAnsi"/>
        </w:rPr>
      </w:pPr>
      <w:r w:rsidRPr="00B35B70">
        <w:rPr>
          <w:rFonts w:asciiTheme="minorHAnsi" w:hAnsiTheme="minorHAnsi" w:cstheme="minorHAnsi"/>
          <w:color w:val="010202"/>
        </w:rPr>
        <w:t>Internal audits provide an independent and objective review and advisory service to:</w:t>
      </w:r>
    </w:p>
    <w:p w14:paraId="0DB44529" w14:textId="77777777" w:rsidR="00FF7372" w:rsidRPr="00B35B70" w:rsidRDefault="00FF7372" w:rsidP="002A3889">
      <w:pPr>
        <w:pStyle w:val="ListParagraph"/>
        <w:widowControl w:val="0"/>
        <w:numPr>
          <w:ilvl w:val="2"/>
          <w:numId w:val="450"/>
        </w:numPr>
        <w:autoSpaceDE w:val="0"/>
        <w:autoSpaceDN w:val="0"/>
        <w:spacing w:after="0" w:line="240" w:lineRule="auto"/>
        <w:ind w:left="851" w:right="95" w:hanging="425"/>
        <w:contextualSpacing w:val="0"/>
        <w:jc w:val="both"/>
        <w:rPr>
          <w:rFonts w:cstheme="minorHAnsi"/>
        </w:rPr>
      </w:pPr>
      <w:r w:rsidRPr="00B35B70">
        <w:rPr>
          <w:rFonts w:cstheme="minorHAnsi"/>
          <w:color w:val="010202"/>
        </w:rPr>
        <w:t>provide assurance to the Chief Executive Officer/Council that the financial and operational controls designed to manage the Town's risks and achieve the Town's objectives are operating in an efficient, effective and ethical manner;</w:t>
      </w:r>
      <w:r w:rsidRPr="00B35B70">
        <w:rPr>
          <w:rFonts w:cstheme="minorHAnsi"/>
          <w:color w:val="010202"/>
          <w:spacing w:val="-3"/>
        </w:rPr>
        <w:t xml:space="preserve"> </w:t>
      </w:r>
      <w:r w:rsidRPr="00B35B70">
        <w:rPr>
          <w:rFonts w:cstheme="minorHAnsi"/>
          <w:color w:val="010202"/>
        </w:rPr>
        <w:t>and</w:t>
      </w:r>
    </w:p>
    <w:p w14:paraId="57CDEA7E" w14:textId="77777777" w:rsidR="00FF7372" w:rsidRPr="00B35B70" w:rsidRDefault="00FF7372" w:rsidP="002A3889">
      <w:pPr>
        <w:pStyle w:val="ListParagraph"/>
        <w:numPr>
          <w:ilvl w:val="1"/>
          <w:numId w:val="450"/>
        </w:numPr>
        <w:spacing w:after="0"/>
        <w:ind w:left="851" w:right="1703" w:hanging="425"/>
        <w:jc w:val="both"/>
        <w:rPr>
          <w:rFonts w:cstheme="minorHAnsi"/>
          <w:szCs w:val="24"/>
        </w:rPr>
      </w:pPr>
      <w:r w:rsidRPr="00B35B70">
        <w:rPr>
          <w:rFonts w:cstheme="minorHAnsi"/>
          <w:color w:val="010202"/>
        </w:rPr>
        <w:t>assist management in improving the Town’s business</w:t>
      </w:r>
      <w:r w:rsidRPr="00B35B70">
        <w:rPr>
          <w:rFonts w:cstheme="minorHAnsi"/>
          <w:color w:val="010202"/>
          <w:spacing w:val="-37"/>
        </w:rPr>
        <w:t xml:space="preserve"> </w:t>
      </w:r>
      <w:r w:rsidRPr="00B35B70">
        <w:rPr>
          <w:rFonts w:cstheme="minorHAnsi"/>
          <w:color w:val="010202"/>
        </w:rPr>
        <w:t>performance</w:t>
      </w:r>
    </w:p>
    <w:p w14:paraId="11A9D13F" w14:textId="77777777" w:rsidR="00FF7372" w:rsidRPr="00B35B70" w:rsidRDefault="00FF7372" w:rsidP="00FF7372">
      <w:pPr>
        <w:spacing w:before="200" w:after="0"/>
        <w:ind w:left="426" w:hanging="426"/>
        <w:jc w:val="both"/>
        <w:rPr>
          <w:rFonts w:cs="Arial"/>
          <w:b/>
          <w:bCs/>
          <w:szCs w:val="24"/>
        </w:rPr>
      </w:pPr>
      <w:r w:rsidRPr="00B35B70">
        <w:rPr>
          <w:rFonts w:cs="Arial"/>
          <w:b/>
          <w:bCs/>
          <w:szCs w:val="24"/>
        </w:rPr>
        <w:t>9.</w:t>
      </w:r>
      <w:r w:rsidRPr="00B35B70">
        <w:rPr>
          <w:rFonts w:cs="Arial"/>
          <w:b/>
          <w:bCs/>
          <w:szCs w:val="24"/>
        </w:rPr>
        <w:tab/>
        <w:t>External Auditors</w:t>
      </w:r>
    </w:p>
    <w:p w14:paraId="3ACD1FD3" w14:textId="77777777" w:rsidR="00FF7372" w:rsidRPr="00B35B70" w:rsidRDefault="00FF7372" w:rsidP="00FF7372">
      <w:pPr>
        <w:pStyle w:val="BodyText"/>
        <w:spacing w:after="200"/>
        <w:ind w:left="425" w:right="-45"/>
        <w:jc w:val="both"/>
        <w:rPr>
          <w:rFonts w:asciiTheme="minorHAnsi" w:hAnsiTheme="minorHAnsi" w:cstheme="minorHAnsi"/>
          <w:szCs w:val="22"/>
        </w:rPr>
      </w:pPr>
      <w:r w:rsidRPr="00B35B70">
        <w:rPr>
          <w:rFonts w:asciiTheme="minorHAnsi" w:hAnsiTheme="minorHAnsi" w:cstheme="minorHAnsi"/>
          <w:color w:val="010202"/>
          <w:szCs w:val="22"/>
        </w:rPr>
        <w:t>External auditors provide an opinion on whether the Town's Annual Report represents a true and fair view of the financial position at a certain date.</w:t>
      </w:r>
    </w:p>
    <w:p w14:paraId="6A4AB57F" w14:textId="77777777" w:rsidR="00FF7372" w:rsidRDefault="00FF7372" w:rsidP="00FF7372">
      <w:pPr>
        <w:spacing w:after="0"/>
        <w:ind w:left="426" w:right="-46"/>
        <w:jc w:val="both"/>
        <w:rPr>
          <w:rFonts w:cstheme="minorHAnsi"/>
          <w:color w:val="010202"/>
        </w:rPr>
      </w:pPr>
      <w:r w:rsidRPr="00B35B70">
        <w:rPr>
          <w:rFonts w:cstheme="minorHAnsi"/>
          <w:color w:val="010202"/>
        </w:rPr>
        <w:t xml:space="preserve">Annual external audit of the Financial Reports assists in the detection of fraud under </w:t>
      </w:r>
      <w:r w:rsidRPr="00B35B70">
        <w:rPr>
          <w:rFonts w:cstheme="minorHAnsi"/>
          <w:i/>
          <w:color w:val="010202"/>
        </w:rPr>
        <w:t>Australian Auditing Standard ASA 240: The Auditors' Responsibility to Consider Fraud in an Audit of a Financial Report</w:t>
      </w:r>
      <w:r w:rsidRPr="00B35B70">
        <w:rPr>
          <w:rFonts w:cstheme="minorHAnsi"/>
          <w:color w:val="010202"/>
        </w:rPr>
        <w:t>.</w:t>
      </w:r>
    </w:p>
    <w:p w14:paraId="4F21ACCA" w14:textId="77777777" w:rsidR="00FF7372" w:rsidRPr="00B35B70" w:rsidRDefault="00FF7372" w:rsidP="00FF7372">
      <w:pPr>
        <w:spacing w:after="0"/>
        <w:ind w:left="426" w:right="-46"/>
        <w:jc w:val="both"/>
        <w:rPr>
          <w:rFonts w:cstheme="minorHAnsi"/>
        </w:rPr>
      </w:pPr>
    </w:p>
    <w:tbl>
      <w:tblPr>
        <w:tblStyle w:val="TableGrid"/>
        <w:tblW w:w="0" w:type="auto"/>
        <w:tblLook w:val="04A0" w:firstRow="1" w:lastRow="0" w:firstColumn="1" w:lastColumn="0" w:noHBand="0" w:noVBand="1"/>
      </w:tblPr>
      <w:tblGrid>
        <w:gridCol w:w="3256"/>
        <w:gridCol w:w="5760"/>
      </w:tblGrid>
      <w:tr w:rsidR="00FF7372" w:rsidRPr="009F1EDC" w14:paraId="6543C50B" w14:textId="77777777" w:rsidTr="00492C9F">
        <w:tc>
          <w:tcPr>
            <w:tcW w:w="3256" w:type="dxa"/>
          </w:tcPr>
          <w:p w14:paraId="59EEB18D" w14:textId="77777777" w:rsidR="00FF7372" w:rsidRPr="009F1EDC" w:rsidRDefault="00FF7372" w:rsidP="00492C9F">
            <w:pPr>
              <w:jc w:val="both"/>
              <w:rPr>
                <w:rFonts w:cs="Arial"/>
                <w:b/>
                <w:lang w:val="en-US"/>
              </w:rPr>
            </w:pPr>
            <w:r w:rsidRPr="009F1EDC">
              <w:rPr>
                <w:rFonts w:cs="Arial"/>
                <w:b/>
                <w:lang w:val="en-US"/>
              </w:rPr>
              <w:t>Responsible Directorate:</w:t>
            </w:r>
          </w:p>
        </w:tc>
        <w:tc>
          <w:tcPr>
            <w:tcW w:w="5760" w:type="dxa"/>
          </w:tcPr>
          <w:p w14:paraId="351E44D7" w14:textId="77777777" w:rsidR="00FF7372" w:rsidRPr="009F1EDC" w:rsidRDefault="00FF7372" w:rsidP="00492C9F">
            <w:pPr>
              <w:jc w:val="both"/>
              <w:rPr>
                <w:rFonts w:cs="Arial"/>
                <w:lang w:val="en-US"/>
              </w:rPr>
            </w:pPr>
            <w:r>
              <w:rPr>
                <w:rFonts w:cs="Arial"/>
                <w:lang w:val="en-US"/>
              </w:rPr>
              <w:t>Office of the CEO</w:t>
            </w:r>
          </w:p>
        </w:tc>
      </w:tr>
      <w:tr w:rsidR="00FF7372" w:rsidRPr="009F1EDC" w14:paraId="1A0766F9" w14:textId="77777777" w:rsidTr="00492C9F">
        <w:tc>
          <w:tcPr>
            <w:tcW w:w="3256" w:type="dxa"/>
          </w:tcPr>
          <w:p w14:paraId="73EB2823" w14:textId="77777777" w:rsidR="00FF7372" w:rsidRPr="009F1EDC" w:rsidRDefault="00FF7372" w:rsidP="00492C9F">
            <w:pPr>
              <w:jc w:val="both"/>
              <w:rPr>
                <w:rFonts w:cs="Arial"/>
                <w:b/>
                <w:lang w:val="en-US"/>
              </w:rPr>
            </w:pPr>
            <w:r w:rsidRPr="009F1EDC">
              <w:rPr>
                <w:rFonts w:cs="Arial"/>
                <w:b/>
                <w:lang w:val="en-US"/>
              </w:rPr>
              <w:t>Reviewing Officer:</w:t>
            </w:r>
          </w:p>
        </w:tc>
        <w:tc>
          <w:tcPr>
            <w:tcW w:w="5760" w:type="dxa"/>
          </w:tcPr>
          <w:p w14:paraId="1F6FAB32" w14:textId="77777777" w:rsidR="00FF7372" w:rsidRPr="009F1EDC" w:rsidRDefault="00FF7372" w:rsidP="00492C9F">
            <w:pPr>
              <w:jc w:val="both"/>
              <w:rPr>
                <w:rFonts w:cs="Arial"/>
                <w:lang w:val="en-US"/>
              </w:rPr>
            </w:pPr>
            <w:r>
              <w:rPr>
                <w:rFonts w:cs="Arial"/>
                <w:lang w:val="en-US"/>
              </w:rPr>
              <w:t>CEO</w:t>
            </w:r>
          </w:p>
        </w:tc>
      </w:tr>
      <w:tr w:rsidR="00FF7372" w:rsidRPr="009F1EDC" w14:paraId="0D534B3B" w14:textId="77777777" w:rsidTr="00492C9F">
        <w:tc>
          <w:tcPr>
            <w:tcW w:w="3256" w:type="dxa"/>
          </w:tcPr>
          <w:p w14:paraId="29060EB6" w14:textId="77777777" w:rsidR="00FF7372" w:rsidRPr="009F1EDC" w:rsidRDefault="00FF7372" w:rsidP="00492C9F">
            <w:pPr>
              <w:jc w:val="both"/>
              <w:rPr>
                <w:rFonts w:cs="Arial"/>
                <w:b/>
                <w:lang w:val="en-US"/>
              </w:rPr>
            </w:pPr>
            <w:r w:rsidRPr="009F1EDC">
              <w:rPr>
                <w:rFonts w:cs="Arial"/>
                <w:b/>
                <w:lang w:val="en-US"/>
              </w:rPr>
              <w:t>Decision making Authority:</w:t>
            </w:r>
          </w:p>
        </w:tc>
        <w:tc>
          <w:tcPr>
            <w:tcW w:w="5760" w:type="dxa"/>
          </w:tcPr>
          <w:p w14:paraId="686F350E" w14:textId="77777777" w:rsidR="00FF7372" w:rsidRPr="009F1EDC" w:rsidRDefault="00FF7372" w:rsidP="00492C9F">
            <w:pPr>
              <w:jc w:val="both"/>
              <w:rPr>
                <w:rFonts w:cs="Arial"/>
                <w:lang w:val="en-US"/>
              </w:rPr>
            </w:pPr>
            <w:r w:rsidRPr="009F1EDC">
              <w:rPr>
                <w:rFonts w:cs="Arial"/>
                <w:lang w:val="en-US"/>
              </w:rPr>
              <w:t>Council</w:t>
            </w:r>
          </w:p>
        </w:tc>
      </w:tr>
      <w:tr w:rsidR="00FF7372" w:rsidRPr="009F1EDC" w14:paraId="036AD64B" w14:textId="77777777" w:rsidTr="00492C9F">
        <w:tc>
          <w:tcPr>
            <w:tcW w:w="3256" w:type="dxa"/>
            <w:tcBorders>
              <w:bottom w:val="single" w:sz="4" w:space="0" w:color="auto"/>
            </w:tcBorders>
          </w:tcPr>
          <w:p w14:paraId="4F79D48C" w14:textId="77777777" w:rsidR="00FF7372" w:rsidRPr="009F1EDC" w:rsidRDefault="00FF7372" w:rsidP="00492C9F">
            <w:pPr>
              <w:jc w:val="both"/>
              <w:rPr>
                <w:rFonts w:cs="Arial"/>
                <w:b/>
                <w:lang w:val="en-US"/>
              </w:rPr>
            </w:pPr>
            <w:r w:rsidRPr="009F1EDC">
              <w:rPr>
                <w:rFonts w:cs="Arial"/>
                <w:b/>
                <w:lang w:val="en-US"/>
              </w:rPr>
              <w:t>Policy Adopted:</w:t>
            </w:r>
          </w:p>
        </w:tc>
        <w:tc>
          <w:tcPr>
            <w:tcW w:w="5760" w:type="dxa"/>
            <w:tcBorders>
              <w:bottom w:val="single" w:sz="4" w:space="0" w:color="auto"/>
            </w:tcBorders>
          </w:tcPr>
          <w:p w14:paraId="0FDBEEF5" w14:textId="77777777" w:rsidR="00FF7372" w:rsidRPr="009F1EDC" w:rsidRDefault="00FF7372" w:rsidP="00492C9F">
            <w:pPr>
              <w:jc w:val="both"/>
              <w:rPr>
                <w:rFonts w:cs="Arial"/>
                <w:lang w:val="en-US"/>
              </w:rPr>
            </w:pPr>
            <w:r>
              <w:rPr>
                <w:rFonts w:cs="Arial"/>
                <w:lang w:val="en-US"/>
              </w:rPr>
              <w:t>15/09/20</w:t>
            </w:r>
          </w:p>
        </w:tc>
      </w:tr>
      <w:tr w:rsidR="00FF7372" w:rsidRPr="009F1EDC" w14:paraId="6F7A1A6C" w14:textId="77777777" w:rsidTr="00492C9F">
        <w:tc>
          <w:tcPr>
            <w:tcW w:w="3256" w:type="dxa"/>
            <w:tcBorders>
              <w:bottom w:val="single" w:sz="4" w:space="0" w:color="auto"/>
            </w:tcBorders>
          </w:tcPr>
          <w:p w14:paraId="34ABB1F2" w14:textId="77777777" w:rsidR="00FF7372" w:rsidRPr="009F1EDC" w:rsidRDefault="00FF7372" w:rsidP="00492C9F">
            <w:pPr>
              <w:jc w:val="both"/>
              <w:rPr>
                <w:rFonts w:cs="Arial"/>
                <w:b/>
                <w:lang w:val="en-US"/>
              </w:rPr>
            </w:pPr>
            <w:r>
              <w:rPr>
                <w:rFonts w:cs="Arial"/>
                <w:b/>
                <w:lang w:val="en-US"/>
              </w:rPr>
              <w:t>Policy Amended/Reviewed:</w:t>
            </w:r>
          </w:p>
        </w:tc>
        <w:tc>
          <w:tcPr>
            <w:tcW w:w="5760" w:type="dxa"/>
            <w:tcBorders>
              <w:bottom w:val="single" w:sz="4" w:space="0" w:color="auto"/>
            </w:tcBorders>
          </w:tcPr>
          <w:p w14:paraId="39D65B52" w14:textId="77777777" w:rsidR="00FF7372" w:rsidRPr="009F1EDC" w:rsidRDefault="00FF7372" w:rsidP="00492C9F">
            <w:pPr>
              <w:jc w:val="both"/>
              <w:rPr>
                <w:rFonts w:cs="Arial"/>
                <w:lang w:val="en-US"/>
              </w:rPr>
            </w:pPr>
          </w:p>
        </w:tc>
      </w:tr>
    </w:tbl>
    <w:p w14:paraId="3A54A5EF" w14:textId="77777777" w:rsidR="00930CDF" w:rsidRDefault="00930CDF" w:rsidP="00930CDF">
      <w:r>
        <w:br w:type="page"/>
      </w:r>
    </w:p>
    <w:p w14:paraId="5C6E8FAC" w14:textId="77777777" w:rsidR="009E702C" w:rsidRDefault="009E702C" w:rsidP="009E702C">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25472" behindDoc="1" locked="0" layoutInCell="1" allowOverlap="1" wp14:anchorId="0A92A80A" wp14:editId="37454AEB">
            <wp:simplePos x="0" y="0"/>
            <wp:positionH relativeFrom="column">
              <wp:posOffset>4000500</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88AAF20" w14:textId="77777777" w:rsidR="009E702C" w:rsidRPr="00BE407A" w:rsidRDefault="009E702C" w:rsidP="009E702C">
      <w:pPr>
        <w:pStyle w:val="Title"/>
        <w:pBdr>
          <w:bottom w:val="none" w:sz="0" w:space="0" w:color="auto"/>
        </w:pBdr>
        <w:spacing w:before="240" w:after="0"/>
        <w:rPr>
          <w:rFonts w:asciiTheme="minorHAnsi" w:hAnsiTheme="minorHAnsi" w:cstheme="minorHAnsi"/>
          <w:b/>
          <w:sz w:val="26"/>
          <w:szCs w:val="28"/>
          <w:lang w:val="en-US"/>
        </w:rPr>
      </w:pPr>
    </w:p>
    <w:p w14:paraId="1B6D18D9" w14:textId="77777777" w:rsidR="009E702C" w:rsidRDefault="009E702C" w:rsidP="009E702C">
      <w:pPr>
        <w:pStyle w:val="Policy3"/>
      </w:pPr>
      <w:bookmarkStart w:id="423" w:name="_Toc14942646"/>
    </w:p>
    <w:p w14:paraId="435EF57A" w14:textId="77777777" w:rsidR="009E702C" w:rsidRDefault="009E702C" w:rsidP="009E702C">
      <w:pPr>
        <w:pStyle w:val="Policy3"/>
      </w:pPr>
    </w:p>
    <w:p w14:paraId="2CFC2F73" w14:textId="7BA26ADE" w:rsidR="009E702C" w:rsidRDefault="009E702C" w:rsidP="009E702C">
      <w:pPr>
        <w:pStyle w:val="Policy3"/>
      </w:pPr>
      <w:bookmarkStart w:id="424" w:name="_Toc216866708"/>
      <w:r>
        <w:t>2.2.8</w:t>
      </w:r>
      <w:r w:rsidRPr="00182D62">
        <w:tab/>
      </w:r>
      <w:bookmarkEnd w:id="423"/>
      <w:r>
        <w:t>Volunteer Management</w:t>
      </w:r>
      <w:bookmarkEnd w:id="424"/>
      <w:r>
        <w:t xml:space="preserve"> </w:t>
      </w:r>
    </w:p>
    <w:p w14:paraId="61B5185B" w14:textId="77777777" w:rsidR="009E702C" w:rsidRPr="009E702C" w:rsidRDefault="009E702C" w:rsidP="009E702C">
      <w:pPr>
        <w:pStyle w:val="Policy3"/>
        <w:rPr>
          <w:sz w:val="12"/>
          <w:szCs w:val="6"/>
        </w:rPr>
      </w:pPr>
    </w:p>
    <w:tbl>
      <w:tblPr>
        <w:tblStyle w:val="TableGrid"/>
        <w:tblW w:w="0" w:type="auto"/>
        <w:tblLook w:val="04A0" w:firstRow="1" w:lastRow="0" w:firstColumn="1" w:lastColumn="0" w:noHBand="0" w:noVBand="1"/>
      </w:tblPr>
      <w:tblGrid>
        <w:gridCol w:w="3024"/>
        <w:gridCol w:w="5992"/>
      </w:tblGrid>
      <w:tr w:rsidR="009E702C" w:rsidRPr="00B47F10" w14:paraId="5CFC7AAF" w14:textId="77777777" w:rsidTr="00492C9F">
        <w:tc>
          <w:tcPr>
            <w:tcW w:w="3024" w:type="dxa"/>
          </w:tcPr>
          <w:p w14:paraId="7B744321" w14:textId="77777777" w:rsidR="009E702C" w:rsidRPr="00B47F10" w:rsidRDefault="009E702C" w:rsidP="00492C9F">
            <w:pPr>
              <w:rPr>
                <w:rFonts w:cstheme="minorHAnsi"/>
                <w:b/>
                <w:lang w:val="en-US"/>
              </w:rPr>
            </w:pPr>
            <w:r w:rsidRPr="00B47F10">
              <w:rPr>
                <w:rFonts w:cstheme="minorHAnsi"/>
                <w:b/>
                <w:lang w:val="en-US"/>
              </w:rPr>
              <w:t>Type:</w:t>
            </w:r>
          </w:p>
        </w:tc>
        <w:tc>
          <w:tcPr>
            <w:tcW w:w="5992" w:type="dxa"/>
          </w:tcPr>
          <w:p w14:paraId="364054A8" w14:textId="77777777" w:rsidR="009E702C" w:rsidRPr="00B47F10" w:rsidRDefault="009E702C" w:rsidP="00492C9F">
            <w:pPr>
              <w:rPr>
                <w:rFonts w:cstheme="minorHAnsi"/>
                <w:lang w:val="en-US"/>
              </w:rPr>
            </w:pPr>
            <w:r>
              <w:rPr>
                <w:rFonts w:cstheme="minorHAnsi"/>
                <w:lang w:val="en-US"/>
              </w:rPr>
              <w:t xml:space="preserve">Corporate </w:t>
            </w:r>
            <w:proofErr w:type="gramStart"/>
            <w:r>
              <w:rPr>
                <w:rFonts w:cstheme="minorHAnsi"/>
                <w:lang w:val="en-US"/>
              </w:rPr>
              <w:t xml:space="preserve">Services </w:t>
            </w:r>
            <w:r w:rsidRPr="00B47F10">
              <w:rPr>
                <w:rFonts w:cstheme="minorHAnsi"/>
                <w:lang w:val="en-US"/>
              </w:rPr>
              <w:t xml:space="preserve"> –</w:t>
            </w:r>
            <w:proofErr w:type="gramEnd"/>
            <w:r w:rsidRPr="00B47F10">
              <w:rPr>
                <w:rFonts w:cstheme="minorHAnsi"/>
                <w:lang w:val="en-US"/>
              </w:rPr>
              <w:t xml:space="preserve"> Risk Management</w:t>
            </w:r>
          </w:p>
        </w:tc>
      </w:tr>
      <w:tr w:rsidR="009E702C" w:rsidRPr="00B47F10" w14:paraId="71AAA6A8" w14:textId="77777777" w:rsidTr="00492C9F">
        <w:tc>
          <w:tcPr>
            <w:tcW w:w="3024" w:type="dxa"/>
          </w:tcPr>
          <w:p w14:paraId="5CFB7A9E" w14:textId="77777777" w:rsidR="009E702C" w:rsidRPr="00B47F10" w:rsidRDefault="009E702C" w:rsidP="00492C9F">
            <w:pPr>
              <w:rPr>
                <w:rFonts w:cstheme="minorHAnsi"/>
                <w:b/>
                <w:lang w:val="en-US"/>
              </w:rPr>
            </w:pPr>
            <w:r w:rsidRPr="00B47F10">
              <w:rPr>
                <w:rFonts w:cstheme="minorHAnsi"/>
                <w:b/>
                <w:lang w:val="en-US"/>
              </w:rPr>
              <w:t>Legislation:</w:t>
            </w:r>
          </w:p>
        </w:tc>
        <w:tc>
          <w:tcPr>
            <w:tcW w:w="5992" w:type="dxa"/>
          </w:tcPr>
          <w:p w14:paraId="369BE095" w14:textId="77777777" w:rsidR="009E702C" w:rsidRDefault="009E702C" w:rsidP="00492C9F">
            <w:pPr>
              <w:rPr>
                <w:rFonts w:ascii="Calibri" w:hAnsi="Calibri" w:cs="Calibri"/>
              </w:rPr>
            </w:pPr>
            <w:r>
              <w:rPr>
                <w:rFonts w:ascii="Calibri" w:hAnsi="Calibri" w:cs="Calibri"/>
              </w:rPr>
              <w:t>Local Government Act 1995 (WA)</w:t>
            </w:r>
          </w:p>
          <w:p w14:paraId="15037E29" w14:textId="77777777" w:rsidR="009E702C" w:rsidRDefault="009E702C" w:rsidP="00492C9F">
            <w:pPr>
              <w:rPr>
                <w:rFonts w:ascii="Calibri" w:hAnsi="Calibri" w:cs="Calibri"/>
              </w:rPr>
            </w:pPr>
            <w:r>
              <w:rPr>
                <w:rFonts w:ascii="Calibri" w:hAnsi="Calibri" w:cs="Calibri"/>
              </w:rPr>
              <w:t>Equal Employment Opportunity Act 1985 (WA)</w:t>
            </w:r>
          </w:p>
          <w:p w14:paraId="420BB00E" w14:textId="77777777" w:rsidR="009E702C" w:rsidRDefault="009E702C" w:rsidP="00492C9F">
            <w:pPr>
              <w:rPr>
                <w:rFonts w:ascii="Calibri" w:hAnsi="Calibri" w:cs="Calibri"/>
              </w:rPr>
            </w:pPr>
            <w:r w:rsidRPr="00F67DF8">
              <w:rPr>
                <w:rFonts w:ascii="Calibri" w:hAnsi="Calibri" w:cs="Calibri"/>
              </w:rPr>
              <w:t>Volunteers and Food and Other Donors (Protection from Liability) Act 2002 (WA)</w:t>
            </w:r>
          </w:p>
          <w:p w14:paraId="556DD5A9" w14:textId="77777777" w:rsidR="009E702C" w:rsidRPr="00EC4E02" w:rsidRDefault="009E702C" w:rsidP="00492C9F">
            <w:pPr>
              <w:rPr>
                <w:rFonts w:ascii="Calibri" w:hAnsi="Calibri" w:cs="Calibri"/>
              </w:rPr>
            </w:pPr>
            <w:r>
              <w:rPr>
                <w:rFonts w:ascii="Calibri" w:hAnsi="Calibri" w:cs="Calibri"/>
              </w:rPr>
              <w:t>Occupational Safety and Health Act 1984 (WA)</w:t>
            </w:r>
          </w:p>
        </w:tc>
      </w:tr>
      <w:tr w:rsidR="009E702C" w:rsidRPr="00B47F10" w14:paraId="0C4304E1" w14:textId="77777777" w:rsidTr="00492C9F">
        <w:tc>
          <w:tcPr>
            <w:tcW w:w="3024" w:type="dxa"/>
          </w:tcPr>
          <w:p w14:paraId="3AC87B4F" w14:textId="77777777" w:rsidR="009E702C" w:rsidRPr="00B47F10" w:rsidRDefault="009E702C" w:rsidP="00492C9F">
            <w:pPr>
              <w:rPr>
                <w:rFonts w:cstheme="minorHAnsi"/>
                <w:b/>
                <w:lang w:val="en-US"/>
              </w:rPr>
            </w:pPr>
            <w:r w:rsidRPr="00B47F10">
              <w:rPr>
                <w:rFonts w:cstheme="minorHAnsi"/>
                <w:b/>
                <w:lang w:val="en-US"/>
              </w:rPr>
              <w:t>Delegation:</w:t>
            </w:r>
          </w:p>
        </w:tc>
        <w:tc>
          <w:tcPr>
            <w:tcW w:w="5992" w:type="dxa"/>
          </w:tcPr>
          <w:p w14:paraId="382F5E57" w14:textId="77777777" w:rsidR="009E702C" w:rsidRPr="00B47F10" w:rsidRDefault="009E702C" w:rsidP="00492C9F">
            <w:pPr>
              <w:rPr>
                <w:rFonts w:cstheme="minorHAnsi"/>
                <w:lang w:val="en-US"/>
              </w:rPr>
            </w:pPr>
            <w:r w:rsidRPr="00B47F10">
              <w:rPr>
                <w:rFonts w:cstheme="minorHAnsi"/>
                <w:lang w:val="en-US"/>
              </w:rPr>
              <w:t>N/A</w:t>
            </w:r>
          </w:p>
        </w:tc>
      </w:tr>
      <w:tr w:rsidR="009E702C" w:rsidRPr="00B47F10" w14:paraId="18221BB3" w14:textId="77777777" w:rsidTr="00492C9F">
        <w:tc>
          <w:tcPr>
            <w:tcW w:w="3024" w:type="dxa"/>
          </w:tcPr>
          <w:p w14:paraId="021ED3FB" w14:textId="77777777" w:rsidR="009E702C" w:rsidRPr="00B47F10" w:rsidRDefault="009E702C" w:rsidP="00492C9F">
            <w:pPr>
              <w:rPr>
                <w:rFonts w:cstheme="minorHAnsi"/>
                <w:b/>
                <w:lang w:val="en-US"/>
              </w:rPr>
            </w:pPr>
            <w:r w:rsidRPr="00B47F10">
              <w:rPr>
                <w:rFonts w:cstheme="minorHAnsi"/>
                <w:b/>
                <w:lang w:val="en-US"/>
              </w:rPr>
              <w:t>Other Related Document:</w:t>
            </w:r>
          </w:p>
        </w:tc>
        <w:tc>
          <w:tcPr>
            <w:tcW w:w="5992" w:type="dxa"/>
          </w:tcPr>
          <w:p w14:paraId="73B6E60C" w14:textId="77777777" w:rsidR="009E702C" w:rsidRDefault="009E702C" w:rsidP="00492C9F">
            <w:pPr>
              <w:jc w:val="both"/>
              <w:rPr>
                <w:rFonts w:ascii="Calibri" w:hAnsi="Calibri" w:cs="Calibri"/>
              </w:rPr>
            </w:pPr>
            <w:r>
              <w:rPr>
                <w:rFonts w:ascii="Calibri" w:hAnsi="Calibri" w:cs="Calibri"/>
              </w:rPr>
              <w:t>Volunteering Australia – The National Standards for Volunteer Involvement 2015</w:t>
            </w:r>
          </w:p>
          <w:p w14:paraId="4AA45E76" w14:textId="77777777" w:rsidR="009E702C" w:rsidRDefault="009E702C" w:rsidP="00492C9F">
            <w:pPr>
              <w:jc w:val="both"/>
              <w:rPr>
                <w:rFonts w:ascii="Calibri" w:hAnsi="Calibri" w:cs="Calibri"/>
                <w:i/>
              </w:rPr>
            </w:pPr>
            <w:r>
              <w:rPr>
                <w:rFonts w:ascii="Calibri" w:hAnsi="Calibri" w:cs="Calibri"/>
              </w:rPr>
              <w:t>Volunteer Australia’s ‘</w:t>
            </w:r>
            <w:r>
              <w:rPr>
                <w:rFonts w:ascii="Calibri" w:hAnsi="Calibri" w:cs="Calibri"/>
                <w:i/>
              </w:rPr>
              <w:t>Principles of Volunteering’</w:t>
            </w:r>
          </w:p>
          <w:p w14:paraId="1EC8A844" w14:textId="77777777" w:rsidR="009E702C" w:rsidRDefault="009E702C" w:rsidP="00492C9F">
            <w:pPr>
              <w:jc w:val="both"/>
              <w:rPr>
                <w:rFonts w:ascii="Calibri" w:hAnsi="Calibri" w:cs="Calibri"/>
              </w:rPr>
            </w:pPr>
            <w:r>
              <w:rPr>
                <w:rFonts w:ascii="Calibri" w:hAnsi="Calibri" w:cs="Calibri"/>
              </w:rPr>
              <w:t>Council’s Code of Conduct</w:t>
            </w:r>
          </w:p>
          <w:p w14:paraId="12EBF28D" w14:textId="77777777" w:rsidR="009E702C" w:rsidRDefault="009E702C" w:rsidP="00492C9F">
            <w:pPr>
              <w:jc w:val="both"/>
              <w:rPr>
                <w:rFonts w:ascii="Calibri" w:hAnsi="Calibri" w:cs="Calibri"/>
              </w:rPr>
            </w:pPr>
            <w:r>
              <w:rPr>
                <w:rFonts w:ascii="Calibri" w:hAnsi="Calibri" w:cs="Calibri"/>
              </w:rPr>
              <w:t>Council’s Occupational Safety and Health Policy</w:t>
            </w:r>
          </w:p>
          <w:p w14:paraId="00C4C765" w14:textId="77777777" w:rsidR="009E702C" w:rsidRPr="001E3F84" w:rsidRDefault="009E702C" w:rsidP="00492C9F">
            <w:pPr>
              <w:jc w:val="both"/>
              <w:rPr>
                <w:rFonts w:ascii="Calibri" w:hAnsi="Calibri" w:cs="Calibri"/>
              </w:rPr>
            </w:pPr>
            <w:r>
              <w:rPr>
                <w:rFonts w:ascii="Calibri" w:hAnsi="Calibri" w:cs="Calibri"/>
              </w:rPr>
              <w:t>Council’s Grievance Policy and Procedure</w:t>
            </w:r>
          </w:p>
        </w:tc>
      </w:tr>
    </w:tbl>
    <w:p w14:paraId="6F8D69BB" w14:textId="77777777" w:rsidR="009E702C" w:rsidRPr="00B8111F" w:rsidRDefault="009E702C" w:rsidP="009E702C">
      <w:pPr>
        <w:spacing w:before="240" w:after="0"/>
        <w:rPr>
          <w:b/>
          <w:sz w:val="28"/>
          <w:szCs w:val="28"/>
          <w:lang w:val="en-US"/>
        </w:rPr>
      </w:pPr>
      <w:r w:rsidRPr="00B8111F">
        <w:rPr>
          <w:b/>
          <w:sz w:val="28"/>
          <w:szCs w:val="28"/>
          <w:lang w:val="en-US"/>
        </w:rPr>
        <w:t>Objective</w:t>
      </w:r>
    </w:p>
    <w:p w14:paraId="1F1E301F" w14:textId="77777777" w:rsidR="009E702C" w:rsidRPr="00856DDE" w:rsidRDefault="009E702C" w:rsidP="009E702C">
      <w:pPr>
        <w:spacing w:line="240" w:lineRule="auto"/>
        <w:jc w:val="both"/>
        <w:rPr>
          <w:rFonts w:ascii="Calibri" w:hAnsi="Calibri" w:cs="Calibri"/>
        </w:rPr>
      </w:pPr>
      <w:r w:rsidRPr="00856DDE">
        <w:rPr>
          <w:rFonts w:ascii="Calibri" w:hAnsi="Calibri" w:cs="Calibri"/>
        </w:rPr>
        <w:t>To provide Council with guidance on the management of volunteers engaged by Council</w:t>
      </w:r>
      <w:r>
        <w:rPr>
          <w:rFonts w:ascii="Calibri" w:hAnsi="Calibri" w:cs="Calibri"/>
        </w:rPr>
        <w:t>.</w:t>
      </w:r>
    </w:p>
    <w:p w14:paraId="6428D6D2" w14:textId="77777777" w:rsidR="009E702C" w:rsidRDefault="009E702C" w:rsidP="009E702C">
      <w:pPr>
        <w:spacing w:after="0"/>
        <w:rPr>
          <w:b/>
          <w:sz w:val="28"/>
          <w:szCs w:val="28"/>
          <w:lang w:val="en-US"/>
        </w:rPr>
      </w:pPr>
      <w:r>
        <w:rPr>
          <w:b/>
          <w:sz w:val="28"/>
          <w:szCs w:val="28"/>
          <w:lang w:val="en-US"/>
        </w:rPr>
        <w:t>Policy Scope</w:t>
      </w:r>
    </w:p>
    <w:p w14:paraId="0DC63406" w14:textId="77777777" w:rsidR="009E702C" w:rsidRDefault="009E702C" w:rsidP="009E702C">
      <w:pPr>
        <w:spacing w:line="240" w:lineRule="auto"/>
        <w:jc w:val="both"/>
        <w:rPr>
          <w:rFonts w:ascii="Calibri" w:hAnsi="Calibri" w:cs="Calibri"/>
        </w:rPr>
      </w:pPr>
      <w:r>
        <w:rPr>
          <w:rFonts w:ascii="Calibri" w:hAnsi="Calibri" w:cs="Calibri"/>
        </w:rPr>
        <w:t>This policy applies to all volunteers.</w:t>
      </w:r>
    </w:p>
    <w:p w14:paraId="07C675B7" w14:textId="77777777" w:rsidR="009E702C" w:rsidRDefault="009E702C" w:rsidP="009E702C">
      <w:pPr>
        <w:spacing w:after="0"/>
        <w:rPr>
          <w:b/>
          <w:sz w:val="28"/>
          <w:szCs w:val="28"/>
          <w:lang w:val="en-US"/>
        </w:rPr>
      </w:pPr>
      <w:r w:rsidRPr="00B8111F">
        <w:rPr>
          <w:b/>
          <w:sz w:val="28"/>
          <w:szCs w:val="28"/>
          <w:lang w:val="en-US"/>
        </w:rPr>
        <w:t xml:space="preserve">Policy </w:t>
      </w:r>
    </w:p>
    <w:p w14:paraId="639EB569" w14:textId="77777777" w:rsidR="009E702C" w:rsidRPr="002162D5" w:rsidRDefault="009E702C" w:rsidP="002A3889">
      <w:pPr>
        <w:pStyle w:val="ListParagraph"/>
        <w:numPr>
          <w:ilvl w:val="0"/>
          <w:numId w:val="451"/>
        </w:numPr>
        <w:ind w:left="426" w:hanging="426"/>
        <w:rPr>
          <w:b/>
          <w:sz w:val="24"/>
          <w:szCs w:val="24"/>
        </w:rPr>
      </w:pPr>
      <w:r w:rsidRPr="002162D5">
        <w:rPr>
          <w:b/>
          <w:sz w:val="24"/>
          <w:szCs w:val="24"/>
        </w:rPr>
        <w:t>R</w:t>
      </w:r>
      <w:r>
        <w:rPr>
          <w:b/>
          <w:sz w:val="24"/>
          <w:szCs w:val="24"/>
        </w:rPr>
        <w:t>ecruiting Volunteers</w:t>
      </w:r>
    </w:p>
    <w:p w14:paraId="5AA2655E" w14:textId="77777777" w:rsidR="009E702C" w:rsidRDefault="009E702C" w:rsidP="009E702C">
      <w:pPr>
        <w:pStyle w:val="ListParagraph"/>
        <w:ind w:left="425"/>
        <w:contextualSpacing w:val="0"/>
        <w:jc w:val="both"/>
      </w:pPr>
      <w:r>
        <w:t xml:space="preserve">The Town will publicly advertise and promote volunteering opportunities, ensuring that wherever possible there is equity of </w:t>
      </w:r>
      <w:proofErr w:type="gramStart"/>
      <w:r>
        <w:t>access</w:t>
      </w:r>
      <w:proofErr w:type="gramEnd"/>
      <w:r>
        <w:t xml:space="preserve"> and that voluntary work is structured to be meaningful and rewarding.</w:t>
      </w:r>
    </w:p>
    <w:p w14:paraId="2317BA64" w14:textId="77777777" w:rsidR="009E702C" w:rsidRDefault="009E702C" w:rsidP="009E702C">
      <w:pPr>
        <w:pStyle w:val="ListParagraph"/>
        <w:spacing w:after="120"/>
        <w:ind w:left="425"/>
        <w:contextualSpacing w:val="0"/>
        <w:jc w:val="both"/>
      </w:pPr>
      <w:r>
        <w:t>The Town of East Fremantle will ensure that selection and screening processes are applied when recruiting volunteers, including:</w:t>
      </w:r>
    </w:p>
    <w:p w14:paraId="60564FBD" w14:textId="77777777" w:rsidR="009E702C" w:rsidRDefault="009E702C" w:rsidP="002A3889">
      <w:pPr>
        <w:pStyle w:val="ListParagraph"/>
        <w:numPr>
          <w:ilvl w:val="0"/>
          <w:numId w:val="452"/>
        </w:numPr>
        <w:ind w:left="851" w:hanging="425"/>
        <w:jc w:val="both"/>
      </w:pPr>
      <w:r>
        <w:t>Relevant background information</w:t>
      </w:r>
    </w:p>
    <w:p w14:paraId="6A3DF573" w14:textId="77777777" w:rsidR="009E702C" w:rsidRDefault="009E702C" w:rsidP="002A3889">
      <w:pPr>
        <w:pStyle w:val="ListParagraph"/>
        <w:numPr>
          <w:ilvl w:val="0"/>
          <w:numId w:val="452"/>
        </w:numPr>
        <w:ind w:left="851" w:hanging="425"/>
        <w:jc w:val="both"/>
      </w:pPr>
      <w:r>
        <w:t xml:space="preserve">Criminal record screening and </w:t>
      </w:r>
      <w:proofErr w:type="gramStart"/>
      <w:r>
        <w:t>three year</w:t>
      </w:r>
      <w:proofErr w:type="gramEnd"/>
      <w:r>
        <w:t xml:space="preserve"> Police clearance paid by Council to meet the requirements of the Town of East Fremantle’s policies and relevant legislation.</w:t>
      </w:r>
    </w:p>
    <w:p w14:paraId="65FE3D47" w14:textId="77777777" w:rsidR="009E702C" w:rsidRDefault="009E702C" w:rsidP="009E702C">
      <w:pPr>
        <w:ind w:left="426"/>
        <w:jc w:val="both"/>
      </w:pPr>
      <w:r>
        <w:t>Volunteers will not be used for Community Transport Services with respect to the Commonwealth Home Support Program (CHSP).</w:t>
      </w:r>
    </w:p>
    <w:p w14:paraId="6581BA56" w14:textId="77777777" w:rsidR="009E702C" w:rsidRDefault="009E702C" w:rsidP="002A3889">
      <w:pPr>
        <w:pStyle w:val="ListParagraph"/>
        <w:numPr>
          <w:ilvl w:val="0"/>
          <w:numId w:val="451"/>
        </w:numPr>
        <w:ind w:left="426" w:hanging="426"/>
        <w:rPr>
          <w:b/>
          <w:sz w:val="24"/>
          <w:szCs w:val="24"/>
        </w:rPr>
      </w:pPr>
      <w:r>
        <w:rPr>
          <w:b/>
          <w:sz w:val="24"/>
          <w:szCs w:val="24"/>
        </w:rPr>
        <w:t>Roles and Responsibilities</w:t>
      </w:r>
    </w:p>
    <w:p w14:paraId="3CD66483" w14:textId="77777777" w:rsidR="009E702C" w:rsidRPr="005346FF" w:rsidRDefault="009E702C" w:rsidP="009E702C">
      <w:pPr>
        <w:pStyle w:val="ListParagraph"/>
        <w:ind w:left="426"/>
        <w:rPr>
          <w:bCs/>
          <w:sz w:val="24"/>
          <w:szCs w:val="24"/>
          <w:u w:val="single"/>
        </w:rPr>
      </w:pPr>
      <w:r w:rsidRPr="005346FF">
        <w:rPr>
          <w:bCs/>
          <w:sz w:val="24"/>
          <w:szCs w:val="24"/>
          <w:u w:val="single"/>
        </w:rPr>
        <w:t>Council’s Responsibilities to Volunteers</w:t>
      </w:r>
    </w:p>
    <w:p w14:paraId="07DAC551" w14:textId="77777777" w:rsidR="009E702C" w:rsidRPr="002904B6" w:rsidRDefault="009E702C" w:rsidP="002A3889">
      <w:pPr>
        <w:pStyle w:val="ListParagraph"/>
        <w:numPr>
          <w:ilvl w:val="0"/>
          <w:numId w:val="389"/>
        </w:numPr>
        <w:spacing w:after="0" w:line="240" w:lineRule="auto"/>
        <w:ind w:left="851" w:hanging="425"/>
        <w:jc w:val="both"/>
        <w:rPr>
          <w:b/>
        </w:rPr>
      </w:pPr>
      <w:r>
        <w:t>Volunteers will be recruited in a fair, equitable and formal manner.</w:t>
      </w:r>
    </w:p>
    <w:p w14:paraId="6ED07217" w14:textId="77777777" w:rsidR="009E702C" w:rsidRPr="002904B6" w:rsidRDefault="009E702C" w:rsidP="002A3889">
      <w:pPr>
        <w:pStyle w:val="ListParagraph"/>
        <w:numPr>
          <w:ilvl w:val="0"/>
          <w:numId w:val="389"/>
        </w:numPr>
        <w:spacing w:after="0" w:line="240" w:lineRule="auto"/>
        <w:ind w:left="851" w:hanging="425"/>
        <w:jc w:val="both"/>
        <w:rPr>
          <w:b/>
        </w:rPr>
      </w:pPr>
      <w:proofErr w:type="gramStart"/>
      <w:r>
        <w:t>Volunteers</w:t>
      </w:r>
      <w:proofErr w:type="gramEnd"/>
      <w:r>
        <w:t xml:space="preserve"> knowledge and skills relevant to their roles will be identified and training and development opportunities provided to meet those needs.</w:t>
      </w:r>
    </w:p>
    <w:p w14:paraId="4DB5C900" w14:textId="77777777" w:rsidR="009E702C" w:rsidRPr="002904B6" w:rsidRDefault="009E702C" w:rsidP="002A3889">
      <w:pPr>
        <w:pStyle w:val="ListParagraph"/>
        <w:numPr>
          <w:ilvl w:val="0"/>
          <w:numId w:val="389"/>
        </w:numPr>
        <w:spacing w:after="0" w:line="240" w:lineRule="auto"/>
        <w:ind w:left="851" w:hanging="425"/>
        <w:jc w:val="both"/>
        <w:rPr>
          <w:b/>
        </w:rPr>
      </w:pPr>
      <w:r>
        <w:t>Volunteers will be provided with a safe workplace as per the legislative requirements of the Occupational and Safety Health Act 1984 (WA).</w:t>
      </w:r>
    </w:p>
    <w:p w14:paraId="51ECED86" w14:textId="77777777" w:rsidR="009E702C" w:rsidRPr="002904B6" w:rsidRDefault="009E702C" w:rsidP="002A3889">
      <w:pPr>
        <w:pStyle w:val="ListParagraph"/>
        <w:numPr>
          <w:ilvl w:val="0"/>
          <w:numId w:val="389"/>
        </w:numPr>
        <w:spacing w:after="0" w:line="240" w:lineRule="auto"/>
        <w:ind w:left="851" w:hanging="425"/>
        <w:jc w:val="both"/>
        <w:rPr>
          <w:b/>
        </w:rPr>
      </w:pPr>
      <w:r>
        <w:lastRenderedPageBreak/>
        <w:t>Volunteers will be provided with support and direction from the relevant Co-ordinator.</w:t>
      </w:r>
    </w:p>
    <w:p w14:paraId="0961166F" w14:textId="77777777" w:rsidR="009E702C" w:rsidRPr="00F5620E" w:rsidRDefault="009E702C" w:rsidP="002A3889">
      <w:pPr>
        <w:pStyle w:val="ListParagraph"/>
        <w:numPr>
          <w:ilvl w:val="0"/>
          <w:numId w:val="389"/>
        </w:numPr>
        <w:spacing w:after="0" w:line="240" w:lineRule="auto"/>
        <w:ind w:left="851" w:hanging="425"/>
        <w:jc w:val="both"/>
        <w:rPr>
          <w:b/>
        </w:rPr>
      </w:pPr>
      <w:r w:rsidRPr="00F5620E">
        <w:t>Volunteers will be provided with relevant insurance cover when they are registered and have the approval of Council whilst undertaking their designated volunteer roles.</w:t>
      </w:r>
    </w:p>
    <w:p w14:paraId="6CA65140" w14:textId="77777777" w:rsidR="009E702C" w:rsidRPr="00F67DF8" w:rsidRDefault="009E702C" w:rsidP="002A3889">
      <w:pPr>
        <w:pStyle w:val="ListParagraph"/>
        <w:numPr>
          <w:ilvl w:val="0"/>
          <w:numId w:val="389"/>
        </w:numPr>
        <w:spacing w:after="0" w:line="240" w:lineRule="auto"/>
        <w:ind w:left="851" w:hanging="425"/>
        <w:jc w:val="both"/>
        <w:rPr>
          <w:b/>
        </w:rPr>
      </w:pPr>
      <w:r w:rsidRPr="00F67DF8">
        <w:t>Volunteers will be provided with relevant induction prior to each project</w:t>
      </w:r>
      <w:r>
        <w:t>.</w:t>
      </w:r>
    </w:p>
    <w:p w14:paraId="4387F58B" w14:textId="77777777" w:rsidR="009E702C" w:rsidRPr="002904B6" w:rsidRDefault="009E702C" w:rsidP="002A3889">
      <w:pPr>
        <w:pStyle w:val="ListParagraph"/>
        <w:numPr>
          <w:ilvl w:val="0"/>
          <w:numId w:val="389"/>
        </w:numPr>
        <w:spacing w:after="0" w:line="240" w:lineRule="auto"/>
        <w:ind w:left="851" w:hanging="425"/>
        <w:jc w:val="both"/>
        <w:rPr>
          <w:b/>
        </w:rPr>
      </w:pPr>
      <w:r>
        <w:t>Volunteers will have their complaints and grievances addressed in accordance with Council’s policy and procedures.</w:t>
      </w:r>
    </w:p>
    <w:p w14:paraId="51E3A18C" w14:textId="77777777" w:rsidR="009E702C" w:rsidRPr="005346FF" w:rsidRDefault="009E702C" w:rsidP="009E702C">
      <w:pPr>
        <w:spacing w:before="200" w:after="0" w:line="240" w:lineRule="auto"/>
        <w:ind w:left="426"/>
        <w:rPr>
          <w:bCs/>
          <w:sz w:val="24"/>
          <w:szCs w:val="24"/>
          <w:u w:val="single"/>
        </w:rPr>
      </w:pPr>
      <w:r w:rsidRPr="005346FF">
        <w:rPr>
          <w:bCs/>
          <w:sz w:val="24"/>
          <w:szCs w:val="24"/>
          <w:u w:val="single"/>
        </w:rPr>
        <w:t>Volunteer’s Responsibilities to Council</w:t>
      </w:r>
    </w:p>
    <w:p w14:paraId="24B95FB6" w14:textId="77777777" w:rsidR="009E702C" w:rsidRDefault="009E702C" w:rsidP="002A3889">
      <w:pPr>
        <w:pStyle w:val="ListParagraph"/>
        <w:numPr>
          <w:ilvl w:val="0"/>
          <w:numId w:val="453"/>
        </w:numPr>
        <w:spacing w:line="240" w:lineRule="auto"/>
        <w:ind w:left="851" w:hanging="425"/>
        <w:jc w:val="both"/>
      </w:pPr>
      <w:r>
        <w:t>Volunteers must take reasonable care for the health and safety of themselves and others.</w:t>
      </w:r>
    </w:p>
    <w:p w14:paraId="76999983" w14:textId="77777777" w:rsidR="009E702C" w:rsidRDefault="009E702C" w:rsidP="002A3889">
      <w:pPr>
        <w:pStyle w:val="ListParagraph"/>
        <w:numPr>
          <w:ilvl w:val="0"/>
          <w:numId w:val="453"/>
        </w:numPr>
        <w:spacing w:line="240" w:lineRule="auto"/>
        <w:ind w:left="851" w:hanging="425"/>
        <w:jc w:val="both"/>
      </w:pPr>
      <w:r>
        <w:t>Volunteers must follow Council’s guidelines, policies and procedures relevant to the volunteering position.</w:t>
      </w:r>
    </w:p>
    <w:p w14:paraId="7DA332F8" w14:textId="77777777" w:rsidR="009E702C" w:rsidRDefault="009E702C" w:rsidP="002A3889">
      <w:pPr>
        <w:pStyle w:val="ListParagraph"/>
        <w:numPr>
          <w:ilvl w:val="0"/>
          <w:numId w:val="453"/>
        </w:numPr>
        <w:spacing w:line="240" w:lineRule="auto"/>
        <w:ind w:left="851" w:hanging="425"/>
        <w:jc w:val="both"/>
      </w:pPr>
      <w:r>
        <w:t>Volunteers must participate in training when it is defined as a mandatory and are encouraged to participate in training that is offered to assist in skill development.</w:t>
      </w:r>
    </w:p>
    <w:p w14:paraId="78E74203" w14:textId="77777777" w:rsidR="009E702C" w:rsidRDefault="009E702C" w:rsidP="002A3889">
      <w:pPr>
        <w:pStyle w:val="ListParagraph"/>
        <w:numPr>
          <w:ilvl w:val="0"/>
          <w:numId w:val="453"/>
        </w:numPr>
        <w:spacing w:line="240" w:lineRule="auto"/>
        <w:ind w:left="851" w:hanging="425"/>
        <w:jc w:val="both"/>
      </w:pPr>
      <w:r>
        <w:t>Volunteers must work within a team structure and report any unsafe conditions.</w:t>
      </w:r>
    </w:p>
    <w:p w14:paraId="5ADC58E9" w14:textId="77777777" w:rsidR="009E702C" w:rsidRDefault="009E702C" w:rsidP="002A3889">
      <w:pPr>
        <w:pStyle w:val="ListParagraph"/>
        <w:numPr>
          <w:ilvl w:val="0"/>
          <w:numId w:val="453"/>
        </w:numPr>
        <w:spacing w:line="240" w:lineRule="auto"/>
        <w:ind w:left="851" w:hanging="425"/>
        <w:jc w:val="both"/>
      </w:pPr>
      <w:r>
        <w:t>Volunteers must respect and maintain confidential information and perform their role to the expected standards defined within their role descriptions.</w:t>
      </w:r>
    </w:p>
    <w:p w14:paraId="524BCB2B" w14:textId="77777777" w:rsidR="009E702C" w:rsidRDefault="009E702C" w:rsidP="002A3889">
      <w:pPr>
        <w:pStyle w:val="ListParagraph"/>
        <w:numPr>
          <w:ilvl w:val="0"/>
          <w:numId w:val="453"/>
        </w:numPr>
        <w:spacing w:line="240" w:lineRule="auto"/>
        <w:ind w:left="851" w:hanging="425"/>
        <w:jc w:val="both"/>
      </w:pPr>
      <w:r>
        <w:t>Volunteers must abide by Council’s Code of Conduct and understand that unsatisfactory volunteer work and/or inappropriate behaviour may result in termination of the volunteer registration.</w:t>
      </w:r>
    </w:p>
    <w:p w14:paraId="40BE195F" w14:textId="77777777" w:rsidR="009E702C" w:rsidRDefault="009E702C" w:rsidP="002A3889">
      <w:pPr>
        <w:pStyle w:val="ListParagraph"/>
        <w:numPr>
          <w:ilvl w:val="0"/>
          <w:numId w:val="453"/>
        </w:numPr>
        <w:spacing w:line="240" w:lineRule="auto"/>
        <w:ind w:left="851" w:hanging="425"/>
        <w:jc w:val="both"/>
      </w:pPr>
      <w:r>
        <w:t xml:space="preserve">Volunteers must record attendance details in an attendance register, </w:t>
      </w:r>
      <w:proofErr w:type="gramStart"/>
      <w:r>
        <w:t>log book</w:t>
      </w:r>
      <w:proofErr w:type="gramEnd"/>
      <w:r>
        <w:t xml:space="preserve"> or minutes for a meeting for insurance purposes.</w:t>
      </w:r>
    </w:p>
    <w:p w14:paraId="57E028CD" w14:textId="77777777" w:rsidR="009E702C" w:rsidRDefault="009E702C" w:rsidP="002A3889">
      <w:pPr>
        <w:pStyle w:val="ListParagraph"/>
        <w:numPr>
          <w:ilvl w:val="0"/>
          <w:numId w:val="453"/>
        </w:numPr>
        <w:spacing w:line="240" w:lineRule="auto"/>
        <w:ind w:left="851" w:hanging="425"/>
        <w:jc w:val="both"/>
      </w:pPr>
      <w:r>
        <w:t>Volunteers must inform Council if they are unable to attend their volunteer activities at any time.</w:t>
      </w:r>
    </w:p>
    <w:p w14:paraId="4D8A31C4" w14:textId="77777777" w:rsidR="009E702C" w:rsidRDefault="009E702C" w:rsidP="002A3889">
      <w:pPr>
        <w:pStyle w:val="ListParagraph"/>
        <w:numPr>
          <w:ilvl w:val="0"/>
          <w:numId w:val="453"/>
        </w:numPr>
        <w:spacing w:line="240" w:lineRule="auto"/>
        <w:ind w:left="851" w:hanging="425"/>
        <w:jc w:val="both"/>
      </w:pPr>
      <w:r>
        <w:t>Volunteers must decline or withdraw from work if it is unsuitable or if it is placing excessive demands on them.</w:t>
      </w:r>
    </w:p>
    <w:p w14:paraId="49A3F841" w14:textId="77777777" w:rsidR="009E702C" w:rsidRDefault="009E702C" w:rsidP="002A3889">
      <w:pPr>
        <w:pStyle w:val="ListParagraph"/>
        <w:numPr>
          <w:ilvl w:val="0"/>
          <w:numId w:val="453"/>
        </w:numPr>
        <w:spacing w:line="240" w:lineRule="auto"/>
        <w:ind w:left="850" w:hanging="425"/>
        <w:contextualSpacing w:val="0"/>
        <w:jc w:val="both"/>
      </w:pPr>
      <w:r>
        <w:t>Volunteers will be personally responsible for any fine or suffer any civil or criminal penalty which may be imposed on them for her or her non-compliance with any legislation.</w:t>
      </w:r>
    </w:p>
    <w:p w14:paraId="3277BD77" w14:textId="77777777" w:rsidR="009E702C" w:rsidRPr="006167C2" w:rsidRDefault="009E702C" w:rsidP="002A3889">
      <w:pPr>
        <w:pStyle w:val="ListParagraph"/>
        <w:numPr>
          <w:ilvl w:val="0"/>
          <w:numId w:val="451"/>
        </w:numPr>
        <w:spacing w:after="0" w:line="240" w:lineRule="auto"/>
        <w:ind w:left="426" w:hanging="426"/>
        <w:rPr>
          <w:b/>
          <w:sz w:val="24"/>
          <w:szCs w:val="24"/>
        </w:rPr>
      </w:pPr>
      <w:r w:rsidRPr="006167C2">
        <w:rPr>
          <w:b/>
          <w:sz w:val="24"/>
          <w:szCs w:val="24"/>
        </w:rPr>
        <w:t>M</w:t>
      </w:r>
      <w:r>
        <w:rPr>
          <w:b/>
          <w:sz w:val="24"/>
          <w:szCs w:val="24"/>
        </w:rPr>
        <w:t>anaging Volunteer Code of Conduct Breaches</w:t>
      </w:r>
    </w:p>
    <w:p w14:paraId="36AC4EA1" w14:textId="77777777" w:rsidR="009E702C" w:rsidRDefault="009E702C" w:rsidP="009E702C">
      <w:pPr>
        <w:pStyle w:val="ListParagraph"/>
        <w:spacing w:after="120" w:line="240" w:lineRule="auto"/>
        <w:ind w:left="425"/>
        <w:contextualSpacing w:val="0"/>
        <w:jc w:val="both"/>
      </w:pPr>
      <w:r>
        <w:t>The Town endeavours to work cooperatively with volunteers to support them in being successful in their voluntary role, however the Town recognises that despite the best intentions of volunteers and the Town there are occasions where relationships may break down or behaviour is incompatible with the Town’s obligations to the community. In such circumstances the Town may:</w:t>
      </w:r>
    </w:p>
    <w:p w14:paraId="0B514C82" w14:textId="77777777" w:rsidR="009E702C" w:rsidRDefault="009E702C" w:rsidP="002A3889">
      <w:pPr>
        <w:pStyle w:val="ListParagraph"/>
        <w:numPr>
          <w:ilvl w:val="0"/>
          <w:numId w:val="454"/>
        </w:numPr>
        <w:spacing w:after="120" w:line="240" w:lineRule="auto"/>
        <w:ind w:left="850" w:hanging="425"/>
        <w:contextualSpacing w:val="0"/>
        <w:jc w:val="both"/>
      </w:pPr>
      <w:r>
        <w:t>Where a concern is identified, communicate the concern to the volunteer and provide them with support, encouragement or where appropriate training to over-come the concern.  This should be an ongoing communication, review and support arrangement to assist the volunteer in resolving the concern.</w:t>
      </w:r>
    </w:p>
    <w:p w14:paraId="48F0DEC8" w14:textId="77777777" w:rsidR="009E702C" w:rsidRDefault="009E702C" w:rsidP="002A3889">
      <w:pPr>
        <w:pStyle w:val="ListParagraph"/>
        <w:numPr>
          <w:ilvl w:val="0"/>
          <w:numId w:val="454"/>
        </w:numPr>
        <w:spacing w:after="120" w:line="240" w:lineRule="auto"/>
        <w:ind w:left="850" w:hanging="425"/>
        <w:contextualSpacing w:val="0"/>
        <w:jc w:val="both"/>
      </w:pPr>
      <w:r>
        <w:t>Where a concern is ongoing and has not been resolved through communication with a volunteer, provide written advice to the volunteer advising that if the concern cannot be resolved that the volunteer service arrangements may be either modified or terminated, at the Town’s discretion.</w:t>
      </w:r>
    </w:p>
    <w:p w14:paraId="5B9F8A67" w14:textId="77777777" w:rsidR="009E702C" w:rsidRDefault="009E702C" w:rsidP="002A3889">
      <w:pPr>
        <w:pStyle w:val="ListParagraph"/>
        <w:numPr>
          <w:ilvl w:val="0"/>
          <w:numId w:val="454"/>
        </w:numPr>
        <w:spacing w:after="0" w:line="240" w:lineRule="auto"/>
        <w:ind w:left="851" w:hanging="425"/>
        <w:jc w:val="both"/>
      </w:pPr>
      <w:r>
        <w:t>Where a concern has been unable to be resolved or in circumstances where a serious breach has occurred, the volunteer is to advise in writing of the unresolved concern or breach and the volunteer’s service arrangement may be either modified or terminated, at the Town’s discretion.</w:t>
      </w:r>
    </w:p>
    <w:p w14:paraId="128D72E7" w14:textId="77777777" w:rsidR="009E702C" w:rsidRDefault="009E702C" w:rsidP="009E702C">
      <w:pPr>
        <w:pStyle w:val="ListParagraph"/>
        <w:jc w:val="both"/>
      </w:pPr>
    </w:p>
    <w:p w14:paraId="577DC775" w14:textId="77777777" w:rsidR="009E702C" w:rsidRDefault="009E702C">
      <w:r>
        <w:br w:type="page"/>
      </w:r>
    </w:p>
    <w:p w14:paraId="0F59AE8C" w14:textId="77777777" w:rsidR="009E702C" w:rsidRPr="006167C2" w:rsidRDefault="009E702C" w:rsidP="009E702C">
      <w:pPr>
        <w:spacing w:after="0" w:line="240" w:lineRule="auto"/>
      </w:pPr>
    </w:p>
    <w:tbl>
      <w:tblPr>
        <w:tblStyle w:val="TableGrid"/>
        <w:tblW w:w="0" w:type="auto"/>
        <w:tblLook w:val="04A0" w:firstRow="1" w:lastRow="0" w:firstColumn="1" w:lastColumn="0" w:noHBand="0" w:noVBand="1"/>
      </w:tblPr>
      <w:tblGrid>
        <w:gridCol w:w="3114"/>
        <w:gridCol w:w="5902"/>
      </w:tblGrid>
      <w:tr w:rsidR="009E702C" w:rsidRPr="00B47F10" w14:paraId="66A761A3" w14:textId="77777777" w:rsidTr="00492C9F">
        <w:tc>
          <w:tcPr>
            <w:tcW w:w="3114" w:type="dxa"/>
          </w:tcPr>
          <w:p w14:paraId="7E89D891" w14:textId="77777777" w:rsidR="009E702C" w:rsidRPr="00B47F10" w:rsidRDefault="009E702C" w:rsidP="00492C9F">
            <w:pPr>
              <w:jc w:val="both"/>
              <w:rPr>
                <w:rFonts w:cstheme="minorHAnsi"/>
                <w:b/>
                <w:lang w:val="en-US"/>
              </w:rPr>
            </w:pPr>
            <w:r w:rsidRPr="00B47F10">
              <w:rPr>
                <w:rFonts w:cstheme="minorHAnsi"/>
                <w:b/>
                <w:lang w:val="en-US"/>
              </w:rPr>
              <w:t>Responsible Directorate:</w:t>
            </w:r>
          </w:p>
        </w:tc>
        <w:tc>
          <w:tcPr>
            <w:tcW w:w="5902" w:type="dxa"/>
          </w:tcPr>
          <w:p w14:paraId="09463D39" w14:textId="77777777" w:rsidR="009E702C" w:rsidRPr="00B47F10" w:rsidRDefault="009E702C" w:rsidP="00492C9F">
            <w:pPr>
              <w:jc w:val="both"/>
              <w:rPr>
                <w:rFonts w:cstheme="minorHAnsi"/>
                <w:lang w:val="en-US"/>
              </w:rPr>
            </w:pPr>
            <w:r>
              <w:rPr>
                <w:rFonts w:cstheme="minorHAnsi"/>
                <w:lang w:val="en-US"/>
              </w:rPr>
              <w:t>Executive Manager Corporate Services</w:t>
            </w:r>
          </w:p>
        </w:tc>
      </w:tr>
      <w:tr w:rsidR="009E702C" w:rsidRPr="00B47F10" w14:paraId="6BBCC883" w14:textId="77777777" w:rsidTr="00492C9F">
        <w:tc>
          <w:tcPr>
            <w:tcW w:w="3114" w:type="dxa"/>
          </w:tcPr>
          <w:p w14:paraId="3E599151" w14:textId="77777777" w:rsidR="009E702C" w:rsidRPr="00B47F10" w:rsidRDefault="009E702C" w:rsidP="00492C9F">
            <w:pPr>
              <w:jc w:val="both"/>
              <w:rPr>
                <w:rFonts w:cstheme="minorHAnsi"/>
                <w:b/>
                <w:lang w:val="en-US"/>
              </w:rPr>
            </w:pPr>
            <w:r w:rsidRPr="00B47F10">
              <w:rPr>
                <w:rFonts w:cstheme="minorHAnsi"/>
                <w:b/>
                <w:lang w:val="en-US"/>
              </w:rPr>
              <w:t>Reviewing Officer:</w:t>
            </w:r>
          </w:p>
        </w:tc>
        <w:tc>
          <w:tcPr>
            <w:tcW w:w="5902" w:type="dxa"/>
          </w:tcPr>
          <w:p w14:paraId="0D28A7DF" w14:textId="77777777" w:rsidR="009E702C" w:rsidRPr="00B47F10" w:rsidRDefault="009E702C" w:rsidP="00492C9F">
            <w:pPr>
              <w:jc w:val="both"/>
              <w:rPr>
                <w:rFonts w:cstheme="minorHAnsi"/>
                <w:lang w:val="en-US"/>
              </w:rPr>
            </w:pPr>
            <w:r w:rsidRPr="00B47F10">
              <w:rPr>
                <w:rFonts w:cstheme="minorHAnsi"/>
                <w:lang w:val="en-US"/>
              </w:rPr>
              <w:t>Chief Executive Officer</w:t>
            </w:r>
          </w:p>
        </w:tc>
      </w:tr>
      <w:tr w:rsidR="009E702C" w:rsidRPr="00B47F10" w14:paraId="3170A047" w14:textId="77777777" w:rsidTr="00492C9F">
        <w:tc>
          <w:tcPr>
            <w:tcW w:w="3114" w:type="dxa"/>
          </w:tcPr>
          <w:p w14:paraId="446533C3" w14:textId="77777777" w:rsidR="009E702C" w:rsidRPr="00B47F10" w:rsidRDefault="009E702C" w:rsidP="00492C9F">
            <w:pPr>
              <w:jc w:val="both"/>
              <w:rPr>
                <w:rFonts w:cstheme="minorHAnsi"/>
                <w:b/>
                <w:lang w:val="en-US"/>
              </w:rPr>
            </w:pPr>
            <w:r w:rsidRPr="00B47F10">
              <w:rPr>
                <w:rFonts w:cstheme="minorHAnsi"/>
                <w:b/>
                <w:lang w:val="en-US"/>
              </w:rPr>
              <w:t>Decision making Authority:</w:t>
            </w:r>
          </w:p>
        </w:tc>
        <w:tc>
          <w:tcPr>
            <w:tcW w:w="5902" w:type="dxa"/>
          </w:tcPr>
          <w:p w14:paraId="797FA883" w14:textId="77777777" w:rsidR="009E702C" w:rsidRPr="00B47F10" w:rsidRDefault="009E702C" w:rsidP="00492C9F">
            <w:pPr>
              <w:jc w:val="both"/>
              <w:rPr>
                <w:rFonts w:cstheme="minorHAnsi"/>
                <w:lang w:val="en-US"/>
              </w:rPr>
            </w:pPr>
            <w:r w:rsidRPr="00B47F10">
              <w:rPr>
                <w:rFonts w:cstheme="minorHAnsi"/>
                <w:lang w:val="en-US"/>
              </w:rPr>
              <w:t>Council</w:t>
            </w:r>
          </w:p>
        </w:tc>
      </w:tr>
      <w:tr w:rsidR="009E702C" w:rsidRPr="00B47F10" w14:paraId="257C5AD1" w14:textId="77777777" w:rsidTr="00492C9F">
        <w:tc>
          <w:tcPr>
            <w:tcW w:w="3114" w:type="dxa"/>
          </w:tcPr>
          <w:p w14:paraId="48C192D8" w14:textId="77777777" w:rsidR="009E702C" w:rsidRPr="00B47F10" w:rsidRDefault="009E702C" w:rsidP="00492C9F">
            <w:pPr>
              <w:jc w:val="both"/>
              <w:rPr>
                <w:rFonts w:cstheme="minorHAnsi"/>
                <w:b/>
                <w:lang w:val="en-US"/>
              </w:rPr>
            </w:pPr>
            <w:r w:rsidRPr="00B47F10">
              <w:rPr>
                <w:rFonts w:cstheme="minorHAnsi"/>
                <w:b/>
                <w:lang w:val="en-US"/>
              </w:rPr>
              <w:t>Policy Adopted:</w:t>
            </w:r>
          </w:p>
        </w:tc>
        <w:tc>
          <w:tcPr>
            <w:tcW w:w="5902" w:type="dxa"/>
          </w:tcPr>
          <w:p w14:paraId="452B3425" w14:textId="77777777" w:rsidR="009E702C" w:rsidRPr="00B47F10" w:rsidRDefault="009E702C" w:rsidP="00492C9F">
            <w:pPr>
              <w:jc w:val="both"/>
              <w:rPr>
                <w:rFonts w:cstheme="minorHAnsi"/>
                <w:lang w:val="en-US"/>
              </w:rPr>
            </w:pPr>
            <w:r>
              <w:rPr>
                <w:rFonts w:cstheme="minorHAnsi"/>
                <w:lang w:val="en-US"/>
              </w:rPr>
              <w:t>15/9/20</w:t>
            </w:r>
          </w:p>
        </w:tc>
      </w:tr>
      <w:tr w:rsidR="009E702C" w:rsidRPr="00B47F10" w14:paraId="74F43973" w14:textId="77777777" w:rsidTr="00492C9F">
        <w:tc>
          <w:tcPr>
            <w:tcW w:w="3114" w:type="dxa"/>
          </w:tcPr>
          <w:p w14:paraId="2EB4C291" w14:textId="77777777" w:rsidR="009E702C" w:rsidRPr="00B47F10" w:rsidRDefault="009E702C" w:rsidP="00492C9F">
            <w:pPr>
              <w:jc w:val="both"/>
              <w:rPr>
                <w:rFonts w:cstheme="minorHAnsi"/>
                <w:b/>
                <w:lang w:val="en-US"/>
              </w:rPr>
            </w:pPr>
            <w:r>
              <w:rPr>
                <w:rFonts w:cstheme="minorHAnsi"/>
                <w:b/>
                <w:lang w:val="en-US"/>
              </w:rPr>
              <w:t>Policy Amended/Reviewed:</w:t>
            </w:r>
          </w:p>
        </w:tc>
        <w:tc>
          <w:tcPr>
            <w:tcW w:w="5902" w:type="dxa"/>
          </w:tcPr>
          <w:p w14:paraId="679908D1" w14:textId="77777777" w:rsidR="009E702C" w:rsidRPr="00B47F10" w:rsidRDefault="009E702C" w:rsidP="00492C9F">
            <w:pPr>
              <w:jc w:val="both"/>
              <w:rPr>
                <w:rFonts w:cstheme="minorHAnsi"/>
                <w:lang w:val="en-US"/>
              </w:rPr>
            </w:pPr>
          </w:p>
        </w:tc>
      </w:tr>
      <w:tr w:rsidR="009E702C" w:rsidRPr="00B47F10" w14:paraId="43E3344A" w14:textId="77777777" w:rsidTr="00492C9F">
        <w:tc>
          <w:tcPr>
            <w:tcW w:w="3114" w:type="dxa"/>
          </w:tcPr>
          <w:p w14:paraId="584CF6D3" w14:textId="77777777" w:rsidR="009E702C" w:rsidRPr="00B47F10" w:rsidRDefault="009E702C" w:rsidP="00492C9F">
            <w:pPr>
              <w:jc w:val="both"/>
              <w:rPr>
                <w:rFonts w:cstheme="minorHAnsi"/>
                <w:b/>
                <w:lang w:val="en-US"/>
              </w:rPr>
            </w:pPr>
            <w:r>
              <w:rPr>
                <w:rFonts w:cstheme="minorHAnsi"/>
                <w:b/>
                <w:lang w:val="en-US"/>
              </w:rPr>
              <w:t>Former Policy No:</w:t>
            </w:r>
          </w:p>
        </w:tc>
        <w:tc>
          <w:tcPr>
            <w:tcW w:w="5902" w:type="dxa"/>
          </w:tcPr>
          <w:p w14:paraId="1BA5D4D8" w14:textId="77777777" w:rsidR="009E702C" w:rsidRPr="00B47F10" w:rsidRDefault="009E702C" w:rsidP="00492C9F">
            <w:pPr>
              <w:jc w:val="both"/>
              <w:rPr>
                <w:rFonts w:cstheme="minorHAnsi"/>
                <w:lang w:val="en-US"/>
              </w:rPr>
            </w:pPr>
          </w:p>
        </w:tc>
      </w:tr>
    </w:tbl>
    <w:p w14:paraId="7E59E235" w14:textId="77777777" w:rsidR="009E702C" w:rsidRPr="00B47F10" w:rsidRDefault="009E702C" w:rsidP="009E702C">
      <w:pPr>
        <w:jc w:val="both"/>
        <w:rPr>
          <w:rFonts w:cstheme="minorHAnsi"/>
          <w:lang w:val="en-US"/>
        </w:rPr>
      </w:pPr>
    </w:p>
    <w:p w14:paraId="5947F799" w14:textId="4E2FDEDD" w:rsidR="00C63DFC" w:rsidRDefault="00C63DFC">
      <w:r>
        <w:br w:type="page"/>
      </w:r>
    </w:p>
    <w:p w14:paraId="59885DAF" w14:textId="77777777" w:rsidR="00C63DFC" w:rsidRDefault="00C63DFC" w:rsidP="00C63DFC">
      <w:pPr>
        <w:pStyle w:val="Title"/>
        <w:pBdr>
          <w:bottom w:val="none" w:sz="0" w:space="0" w:color="auto"/>
        </w:pBdr>
        <w:spacing w:after="240"/>
        <w:jc w:val="right"/>
        <w:rPr>
          <w:rFonts w:ascii="Arial" w:hAnsi="Arial" w:cs="Arial"/>
          <w:b/>
          <w:sz w:val="28"/>
          <w:szCs w:val="28"/>
          <w:lang w:val="en-US"/>
        </w:rPr>
      </w:pPr>
      <w:r>
        <w:rPr>
          <w:noProof/>
        </w:rPr>
        <w:lastRenderedPageBreak/>
        <w:drawing>
          <wp:inline distT="0" distB="0" distL="0" distR="0" wp14:anchorId="67DBC161" wp14:editId="74968698">
            <wp:extent cx="1706797" cy="731935"/>
            <wp:effectExtent l="0" t="0" r="8255" b="0"/>
            <wp:docPr id="472" name="Picture 472"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72" name="Picture 472" descr="Logo&#10;&#10;Description automatically generated with medium confidence"/>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10768" cy="733638"/>
                    </a:xfrm>
                    <a:prstGeom prst="rect">
                      <a:avLst/>
                    </a:prstGeom>
                    <a:noFill/>
                    <a:ln>
                      <a:noFill/>
                    </a:ln>
                  </pic:spPr>
                </pic:pic>
              </a:graphicData>
            </a:graphic>
          </wp:inline>
        </w:drawing>
      </w:r>
    </w:p>
    <w:p w14:paraId="5F7EECD2" w14:textId="77777777" w:rsidR="00C63DFC" w:rsidRPr="009579A8" w:rsidRDefault="00C63DFC" w:rsidP="00C63DFC">
      <w:pPr>
        <w:pStyle w:val="Title"/>
        <w:pBdr>
          <w:bottom w:val="none" w:sz="0" w:space="0" w:color="auto"/>
        </w:pBdr>
        <w:spacing w:after="0"/>
        <w:rPr>
          <w:rFonts w:ascii="Arial" w:hAnsi="Arial" w:cs="Arial"/>
          <w:b/>
          <w:sz w:val="18"/>
          <w:szCs w:val="28"/>
          <w:lang w:val="en-US"/>
        </w:rPr>
      </w:pPr>
    </w:p>
    <w:p w14:paraId="235023DC" w14:textId="77777777" w:rsidR="00C63DFC" w:rsidRPr="002744D1" w:rsidRDefault="00C63DFC" w:rsidP="00C63DFC">
      <w:pPr>
        <w:pStyle w:val="Policy3"/>
      </w:pPr>
      <w:bookmarkStart w:id="425" w:name="_Toc216866709"/>
      <w:r>
        <w:t>2.2.9</w:t>
      </w:r>
      <w:r>
        <w:tab/>
        <w:t>Legislative Compliance Policy and Procedure</w:t>
      </w:r>
      <w:bookmarkEnd w:id="425"/>
      <w:r w:rsidRPr="002744D1">
        <w:t xml:space="preserve"> </w:t>
      </w:r>
    </w:p>
    <w:tbl>
      <w:tblPr>
        <w:tblStyle w:val="TableGrid"/>
        <w:tblW w:w="0" w:type="auto"/>
        <w:tblLook w:val="04A0" w:firstRow="1" w:lastRow="0" w:firstColumn="1" w:lastColumn="0" w:noHBand="0" w:noVBand="1"/>
      </w:tblPr>
      <w:tblGrid>
        <w:gridCol w:w="3024"/>
        <w:gridCol w:w="5992"/>
      </w:tblGrid>
      <w:tr w:rsidR="00C63DFC" w:rsidRPr="0096334F" w14:paraId="7F6D250B" w14:textId="77777777" w:rsidTr="00DC5B9C">
        <w:trPr>
          <w:trHeight w:val="459"/>
        </w:trPr>
        <w:tc>
          <w:tcPr>
            <w:tcW w:w="3024" w:type="dxa"/>
          </w:tcPr>
          <w:p w14:paraId="547C7428" w14:textId="77777777" w:rsidR="00C63DFC" w:rsidRPr="0096334F" w:rsidRDefault="00C63DFC" w:rsidP="00DC5B9C">
            <w:pPr>
              <w:rPr>
                <w:rFonts w:cstheme="minorHAnsi"/>
                <w:b/>
                <w:lang w:val="en-US"/>
              </w:rPr>
            </w:pPr>
            <w:r w:rsidRPr="0096334F">
              <w:rPr>
                <w:rFonts w:cstheme="minorHAnsi"/>
                <w:b/>
                <w:lang w:val="en-US"/>
              </w:rPr>
              <w:t>Type:</w:t>
            </w:r>
          </w:p>
        </w:tc>
        <w:tc>
          <w:tcPr>
            <w:tcW w:w="5992" w:type="dxa"/>
          </w:tcPr>
          <w:p w14:paraId="4580F614" w14:textId="77777777" w:rsidR="00C63DFC" w:rsidRPr="0096334F" w:rsidRDefault="00C63DFC" w:rsidP="00DC5B9C">
            <w:pPr>
              <w:rPr>
                <w:rFonts w:cstheme="minorHAnsi"/>
                <w:lang w:val="en-US"/>
              </w:rPr>
            </w:pPr>
            <w:r>
              <w:rPr>
                <w:rFonts w:cstheme="minorHAnsi"/>
                <w:lang w:val="en-US"/>
              </w:rPr>
              <w:t xml:space="preserve">Corporate </w:t>
            </w:r>
            <w:proofErr w:type="gramStart"/>
            <w:r>
              <w:rPr>
                <w:rFonts w:cstheme="minorHAnsi"/>
                <w:lang w:val="en-US"/>
              </w:rPr>
              <w:t>Services  –</w:t>
            </w:r>
            <w:proofErr w:type="gramEnd"/>
            <w:r>
              <w:rPr>
                <w:rFonts w:cstheme="minorHAnsi"/>
                <w:lang w:val="en-US"/>
              </w:rPr>
              <w:t xml:space="preserve"> Risk Management</w:t>
            </w:r>
          </w:p>
        </w:tc>
      </w:tr>
      <w:tr w:rsidR="00C63DFC" w:rsidRPr="0096334F" w14:paraId="3AC8C622" w14:textId="77777777" w:rsidTr="00DC5B9C">
        <w:tc>
          <w:tcPr>
            <w:tcW w:w="3024" w:type="dxa"/>
          </w:tcPr>
          <w:p w14:paraId="193317A7" w14:textId="77777777" w:rsidR="00C63DFC" w:rsidRPr="0096334F" w:rsidRDefault="00C63DFC" w:rsidP="00DC5B9C">
            <w:pPr>
              <w:rPr>
                <w:rFonts w:cstheme="minorHAnsi"/>
                <w:b/>
                <w:lang w:val="en-US"/>
              </w:rPr>
            </w:pPr>
            <w:r w:rsidRPr="0096334F">
              <w:rPr>
                <w:rFonts w:cstheme="minorHAnsi"/>
                <w:b/>
                <w:lang w:val="en-US"/>
              </w:rPr>
              <w:t>Legislation:</w:t>
            </w:r>
          </w:p>
        </w:tc>
        <w:tc>
          <w:tcPr>
            <w:tcW w:w="5992" w:type="dxa"/>
          </w:tcPr>
          <w:p w14:paraId="581F107F" w14:textId="77777777" w:rsidR="00C63DFC" w:rsidRPr="00AE12FD" w:rsidRDefault="00C63DFC" w:rsidP="00DC5B9C">
            <w:pPr>
              <w:rPr>
                <w:rFonts w:cstheme="minorHAnsi"/>
                <w:lang w:val="en-US"/>
              </w:rPr>
            </w:pPr>
            <w:r w:rsidRPr="0019279E">
              <w:rPr>
                <w:rFonts w:cstheme="minorHAnsi"/>
                <w:lang w:val="en-US"/>
              </w:rPr>
              <w:t>All current Acts and Regulations applicable to Local Government</w:t>
            </w:r>
          </w:p>
        </w:tc>
      </w:tr>
      <w:tr w:rsidR="00C63DFC" w:rsidRPr="0096334F" w14:paraId="27624C07" w14:textId="77777777" w:rsidTr="00DC5B9C">
        <w:tc>
          <w:tcPr>
            <w:tcW w:w="3024" w:type="dxa"/>
          </w:tcPr>
          <w:p w14:paraId="4365D2B4" w14:textId="77777777" w:rsidR="00C63DFC" w:rsidRPr="0096334F" w:rsidRDefault="00C63DFC" w:rsidP="00DC5B9C">
            <w:pPr>
              <w:rPr>
                <w:rFonts w:cstheme="minorHAnsi"/>
                <w:b/>
                <w:lang w:val="en-US"/>
              </w:rPr>
            </w:pPr>
            <w:r w:rsidRPr="0096334F">
              <w:rPr>
                <w:rFonts w:cstheme="minorHAnsi"/>
                <w:b/>
                <w:lang w:val="en-US"/>
              </w:rPr>
              <w:t>Delegation:</w:t>
            </w:r>
          </w:p>
        </w:tc>
        <w:tc>
          <w:tcPr>
            <w:tcW w:w="5992" w:type="dxa"/>
          </w:tcPr>
          <w:p w14:paraId="345120C1" w14:textId="77777777" w:rsidR="00C63DFC" w:rsidRPr="0096334F" w:rsidRDefault="00C63DFC" w:rsidP="00DC5B9C">
            <w:pPr>
              <w:rPr>
                <w:rFonts w:cstheme="minorHAnsi"/>
                <w:lang w:val="en-US"/>
              </w:rPr>
            </w:pPr>
            <w:r w:rsidRPr="0096334F">
              <w:rPr>
                <w:rFonts w:cstheme="minorHAnsi"/>
                <w:lang w:val="en-US"/>
              </w:rPr>
              <w:t>N/A</w:t>
            </w:r>
          </w:p>
        </w:tc>
      </w:tr>
      <w:tr w:rsidR="00C63DFC" w:rsidRPr="0096334F" w14:paraId="7DB77335" w14:textId="77777777" w:rsidTr="00DC5B9C">
        <w:tc>
          <w:tcPr>
            <w:tcW w:w="3024" w:type="dxa"/>
          </w:tcPr>
          <w:p w14:paraId="010B8010" w14:textId="77777777" w:rsidR="00C63DFC" w:rsidRPr="0096334F" w:rsidRDefault="00C63DFC" w:rsidP="00DC5B9C">
            <w:pPr>
              <w:rPr>
                <w:rFonts w:cstheme="minorHAnsi"/>
                <w:b/>
                <w:lang w:val="en-US"/>
              </w:rPr>
            </w:pPr>
            <w:r w:rsidRPr="0096334F">
              <w:rPr>
                <w:rFonts w:cstheme="minorHAnsi"/>
                <w:b/>
                <w:lang w:val="en-US"/>
              </w:rPr>
              <w:t>Other Related Document:</w:t>
            </w:r>
          </w:p>
        </w:tc>
        <w:tc>
          <w:tcPr>
            <w:tcW w:w="5992" w:type="dxa"/>
          </w:tcPr>
          <w:p w14:paraId="313C9F49" w14:textId="77777777" w:rsidR="00C63DFC" w:rsidRPr="0096334F" w:rsidRDefault="00C63DFC" w:rsidP="00DC5B9C">
            <w:pPr>
              <w:rPr>
                <w:rFonts w:cstheme="minorHAnsi"/>
                <w:lang w:val="en-US"/>
              </w:rPr>
            </w:pPr>
          </w:p>
        </w:tc>
      </w:tr>
    </w:tbl>
    <w:p w14:paraId="01CBACBC" w14:textId="77777777" w:rsidR="00C63DFC" w:rsidRPr="00B47F10" w:rsidRDefault="00C63DFC" w:rsidP="00C63DFC">
      <w:pPr>
        <w:spacing w:before="240" w:after="0"/>
        <w:rPr>
          <w:b/>
          <w:sz w:val="28"/>
          <w:szCs w:val="28"/>
          <w:lang w:val="en-US"/>
        </w:rPr>
      </w:pPr>
      <w:r w:rsidRPr="00B47F10">
        <w:rPr>
          <w:b/>
          <w:sz w:val="28"/>
          <w:szCs w:val="28"/>
          <w:lang w:val="en-US"/>
        </w:rPr>
        <w:t>Objective</w:t>
      </w:r>
    </w:p>
    <w:p w14:paraId="7DAE5686" w14:textId="77777777" w:rsidR="00C63DFC" w:rsidRPr="00A86401" w:rsidRDefault="00C63DFC" w:rsidP="00C63DFC">
      <w:pPr>
        <w:pStyle w:val="BodyText"/>
        <w:spacing w:after="200"/>
        <w:ind w:left="0" w:right="133"/>
        <w:jc w:val="both"/>
        <w:rPr>
          <w:rFonts w:asciiTheme="minorHAnsi" w:hAnsiTheme="minorHAnsi" w:cstheme="minorHAnsi"/>
          <w:szCs w:val="22"/>
        </w:rPr>
      </w:pPr>
      <w:r w:rsidRPr="00A86401">
        <w:rPr>
          <w:rFonts w:asciiTheme="minorHAnsi" w:hAnsiTheme="minorHAnsi" w:cstheme="minorHAnsi"/>
          <w:szCs w:val="22"/>
        </w:rPr>
        <w:t xml:space="preserve">The primary objective of this Policy is to ensure that </w:t>
      </w:r>
      <w:r>
        <w:rPr>
          <w:rFonts w:asciiTheme="minorHAnsi" w:hAnsiTheme="minorHAnsi" w:cstheme="minorHAnsi"/>
          <w:szCs w:val="22"/>
        </w:rPr>
        <w:t>the Town of East Fremantle</w:t>
      </w:r>
      <w:r w:rsidRPr="00A86401">
        <w:rPr>
          <w:rFonts w:asciiTheme="minorHAnsi" w:hAnsiTheme="minorHAnsi" w:cstheme="minorHAnsi"/>
          <w:szCs w:val="22"/>
        </w:rPr>
        <w:t xml:space="preserve"> </w:t>
      </w:r>
      <w:r>
        <w:rPr>
          <w:rFonts w:asciiTheme="minorHAnsi" w:hAnsiTheme="minorHAnsi" w:cstheme="minorHAnsi"/>
          <w:szCs w:val="22"/>
        </w:rPr>
        <w:t xml:space="preserve">(TOEF) </w:t>
      </w:r>
      <w:r w:rsidRPr="00A86401">
        <w:rPr>
          <w:rFonts w:asciiTheme="minorHAnsi" w:hAnsiTheme="minorHAnsi" w:cstheme="minorHAnsi"/>
          <w:szCs w:val="22"/>
        </w:rPr>
        <w:t>complies with its legislative and regulatory requirements. A fundamental principle of good public administration is that public officials comply with both the letter and the spirit of the law.</w:t>
      </w:r>
    </w:p>
    <w:p w14:paraId="243A55A9" w14:textId="77777777" w:rsidR="00C63DFC" w:rsidRPr="00A86401" w:rsidRDefault="00C63DFC" w:rsidP="00C63DFC">
      <w:pPr>
        <w:pStyle w:val="BodyText"/>
        <w:ind w:left="0" w:right="134"/>
        <w:jc w:val="both"/>
        <w:rPr>
          <w:rFonts w:asciiTheme="minorHAnsi" w:hAnsiTheme="minorHAnsi" w:cstheme="minorHAnsi"/>
          <w:szCs w:val="22"/>
        </w:rPr>
      </w:pPr>
      <w:r>
        <w:rPr>
          <w:rFonts w:asciiTheme="minorHAnsi" w:hAnsiTheme="minorHAnsi" w:cstheme="minorHAnsi"/>
          <w:szCs w:val="22"/>
        </w:rPr>
        <w:t xml:space="preserve">The Town </w:t>
      </w:r>
      <w:r w:rsidRPr="00A86401">
        <w:rPr>
          <w:rFonts w:asciiTheme="minorHAnsi" w:hAnsiTheme="minorHAnsi" w:cstheme="minorHAnsi"/>
          <w:szCs w:val="22"/>
        </w:rPr>
        <w:t>will maintain the highest standards of diligence in all areas of public accountability, through its policies and processes, to meet its legal obligations.</w:t>
      </w:r>
    </w:p>
    <w:p w14:paraId="6CF4EC10" w14:textId="77777777" w:rsidR="00C63DFC" w:rsidRPr="00B47F10" w:rsidRDefault="00C63DFC" w:rsidP="00C63DFC">
      <w:pPr>
        <w:spacing w:before="200" w:after="0"/>
        <w:jc w:val="both"/>
        <w:rPr>
          <w:b/>
          <w:sz w:val="28"/>
          <w:szCs w:val="28"/>
          <w:lang w:val="en-US"/>
        </w:rPr>
      </w:pPr>
      <w:r w:rsidRPr="00B47F10">
        <w:rPr>
          <w:b/>
          <w:sz w:val="28"/>
          <w:szCs w:val="28"/>
          <w:lang w:val="en-US"/>
        </w:rPr>
        <w:t>Policy Scope</w:t>
      </w:r>
    </w:p>
    <w:p w14:paraId="0B112072" w14:textId="77777777" w:rsidR="00C63DFC" w:rsidRPr="00A86401" w:rsidRDefault="00C63DFC" w:rsidP="00C63DFC">
      <w:pPr>
        <w:pStyle w:val="BodyText"/>
        <w:ind w:left="0"/>
        <w:jc w:val="both"/>
        <w:rPr>
          <w:rFonts w:asciiTheme="minorHAnsi" w:hAnsiTheme="minorHAnsi" w:cstheme="minorHAnsi"/>
          <w:szCs w:val="22"/>
        </w:rPr>
      </w:pPr>
      <w:r w:rsidRPr="00A86401">
        <w:rPr>
          <w:rFonts w:asciiTheme="minorHAnsi" w:hAnsiTheme="minorHAnsi" w:cstheme="minorHAnsi"/>
          <w:szCs w:val="22"/>
        </w:rPr>
        <w:t>This Policy, and the principles set out in this Policy, aim to:</w:t>
      </w:r>
    </w:p>
    <w:p w14:paraId="2B1667FE" w14:textId="77777777" w:rsidR="00C63DFC" w:rsidRDefault="00C63DFC" w:rsidP="00303E96">
      <w:pPr>
        <w:pStyle w:val="ListParagraph"/>
        <w:widowControl w:val="0"/>
        <w:numPr>
          <w:ilvl w:val="0"/>
          <w:numId w:val="483"/>
        </w:numPr>
        <w:autoSpaceDE w:val="0"/>
        <w:autoSpaceDN w:val="0"/>
        <w:spacing w:before="1" w:after="120" w:line="240" w:lineRule="auto"/>
        <w:ind w:left="567" w:right="136" w:hanging="567"/>
        <w:contextualSpacing w:val="0"/>
        <w:jc w:val="both"/>
        <w:rPr>
          <w:rFonts w:cstheme="minorHAnsi"/>
        </w:rPr>
      </w:pPr>
      <w:r>
        <w:rPr>
          <w:rFonts w:cstheme="minorHAnsi"/>
        </w:rPr>
        <w:t>outline TOEF’s commitment to legislative compliance</w:t>
      </w:r>
    </w:p>
    <w:p w14:paraId="15A0460E" w14:textId="77777777" w:rsidR="00C63DFC" w:rsidRPr="00A86401" w:rsidRDefault="00C63DFC" w:rsidP="00303E96">
      <w:pPr>
        <w:pStyle w:val="ListParagraph"/>
        <w:widowControl w:val="0"/>
        <w:numPr>
          <w:ilvl w:val="0"/>
          <w:numId w:val="483"/>
        </w:numPr>
        <w:autoSpaceDE w:val="0"/>
        <w:autoSpaceDN w:val="0"/>
        <w:spacing w:before="1" w:after="120" w:line="240" w:lineRule="auto"/>
        <w:ind w:left="567" w:right="136" w:hanging="567"/>
        <w:contextualSpacing w:val="0"/>
        <w:jc w:val="both"/>
        <w:rPr>
          <w:rFonts w:cstheme="minorHAnsi"/>
        </w:rPr>
      </w:pPr>
      <w:r>
        <w:rPr>
          <w:rFonts w:cstheme="minorHAnsi"/>
        </w:rPr>
        <w:t>p</w:t>
      </w:r>
      <w:r w:rsidRPr="00A86401">
        <w:rPr>
          <w:rFonts w:cstheme="minorHAnsi"/>
        </w:rPr>
        <w:t>revent,</w:t>
      </w:r>
      <w:r w:rsidRPr="00A86401">
        <w:rPr>
          <w:rFonts w:cstheme="minorHAnsi"/>
          <w:spacing w:val="-15"/>
        </w:rPr>
        <w:t xml:space="preserve"> </w:t>
      </w:r>
      <w:r w:rsidRPr="00A86401">
        <w:rPr>
          <w:rFonts w:cstheme="minorHAnsi"/>
        </w:rPr>
        <w:t>and</w:t>
      </w:r>
      <w:r w:rsidRPr="00A86401">
        <w:rPr>
          <w:rFonts w:cstheme="minorHAnsi"/>
          <w:spacing w:val="-15"/>
        </w:rPr>
        <w:t xml:space="preserve"> </w:t>
      </w:r>
      <w:r w:rsidRPr="00A86401">
        <w:rPr>
          <w:rFonts w:cstheme="minorHAnsi"/>
        </w:rPr>
        <w:t>where</w:t>
      </w:r>
      <w:r w:rsidRPr="00A86401">
        <w:rPr>
          <w:rFonts w:cstheme="minorHAnsi"/>
          <w:spacing w:val="-15"/>
        </w:rPr>
        <w:t xml:space="preserve"> </w:t>
      </w:r>
      <w:r w:rsidRPr="00A86401">
        <w:rPr>
          <w:rFonts w:cstheme="minorHAnsi"/>
        </w:rPr>
        <w:t>necessary,</w:t>
      </w:r>
      <w:r w:rsidRPr="00A86401">
        <w:rPr>
          <w:rFonts w:cstheme="minorHAnsi"/>
          <w:spacing w:val="-15"/>
        </w:rPr>
        <w:t xml:space="preserve"> </w:t>
      </w:r>
      <w:r w:rsidRPr="00A86401">
        <w:rPr>
          <w:rFonts w:cstheme="minorHAnsi"/>
        </w:rPr>
        <w:t>identify</w:t>
      </w:r>
      <w:r w:rsidRPr="00A86401">
        <w:rPr>
          <w:rFonts w:cstheme="minorHAnsi"/>
          <w:spacing w:val="-18"/>
        </w:rPr>
        <w:t xml:space="preserve"> </w:t>
      </w:r>
      <w:r w:rsidRPr="00A86401">
        <w:rPr>
          <w:rFonts w:cstheme="minorHAnsi"/>
        </w:rPr>
        <w:t>and</w:t>
      </w:r>
      <w:r w:rsidRPr="00A86401">
        <w:rPr>
          <w:rFonts w:cstheme="minorHAnsi"/>
          <w:spacing w:val="-15"/>
        </w:rPr>
        <w:t xml:space="preserve"> </w:t>
      </w:r>
      <w:r w:rsidRPr="00A86401">
        <w:rPr>
          <w:rFonts w:cstheme="minorHAnsi"/>
        </w:rPr>
        <w:t>respond</w:t>
      </w:r>
      <w:r w:rsidRPr="00A86401">
        <w:rPr>
          <w:rFonts w:cstheme="minorHAnsi"/>
          <w:spacing w:val="-15"/>
        </w:rPr>
        <w:t xml:space="preserve"> </w:t>
      </w:r>
      <w:r w:rsidRPr="00A86401">
        <w:rPr>
          <w:rFonts w:cstheme="minorHAnsi"/>
        </w:rPr>
        <w:t>to</w:t>
      </w:r>
      <w:r w:rsidRPr="00A86401">
        <w:rPr>
          <w:rFonts w:cstheme="minorHAnsi"/>
          <w:spacing w:val="-15"/>
        </w:rPr>
        <w:t xml:space="preserve"> </w:t>
      </w:r>
      <w:r w:rsidRPr="00A86401">
        <w:rPr>
          <w:rFonts w:cstheme="minorHAnsi"/>
        </w:rPr>
        <w:t>breaches</w:t>
      </w:r>
      <w:r w:rsidRPr="00A86401">
        <w:rPr>
          <w:rFonts w:cstheme="minorHAnsi"/>
          <w:spacing w:val="-16"/>
        </w:rPr>
        <w:t xml:space="preserve"> </w:t>
      </w:r>
      <w:r w:rsidRPr="00A86401">
        <w:rPr>
          <w:rFonts w:cstheme="minorHAnsi"/>
        </w:rPr>
        <w:t>of</w:t>
      </w:r>
      <w:r w:rsidRPr="00A86401">
        <w:rPr>
          <w:rFonts w:cstheme="minorHAnsi"/>
          <w:spacing w:val="-13"/>
        </w:rPr>
        <w:t xml:space="preserve"> </w:t>
      </w:r>
      <w:r w:rsidRPr="00A86401">
        <w:rPr>
          <w:rFonts w:cstheme="minorHAnsi"/>
        </w:rPr>
        <w:t>laws,</w:t>
      </w:r>
      <w:r w:rsidRPr="00A86401">
        <w:rPr>
          <w:rFonts w:cstheme="minorHAnsi"/>
          <w:spacing w:val="-15"/>
        </w:rPr>
        <w:t xml:space="preserve"> </w:t>
      </w:r>
      <w:r w:rsidRPr="00A86401">
        <w:rPr>
          <w:rFonts w:cstheme="minorHAnsi"/>
        </w:rPr>
        <w:t>regulations, codes</w:t>
      </w:r>
      <w:r w:rsidRPr="00A86401">
        <w:rPr>
          <w:rFonts w:cstheme="minorHAnsi"/>
          <w:spacing w:val="-7"/>
        </w:rPr>
        <w:t xml:space="preserve"> </w:t>
      </w:r>
      <w:r w:rsidRPr="00A86401">
        <w:rPr>
          <w:rFonts w:cstheme="minorHAnsi"/>
        </w:rPr>
        <w:t>or</w:t>
      </w:r>
      <w:r w:rsidRPr="00A86401">
        <w:rPr>
          <w:rFonts w:cstheme="minorHAnsi"/>
          <w:spacing w:val="-6"/>
        </w:rPr>
        <w:t xml:space="preserve"> </w:t>
      </w:r>
      <w:r w:rsidRPr="00A86401">
        <w:rPr>
          <w:rFonts w:cstheme="minorHAnsi"/>
        </w:rPr>
        <w:t>organisational</w:t>
      </w:r>
      <w:r w:rsidRPr="00A86401">
        <w:rPr>
          <w:rFonts w:cstheme="minorHAnsi"/>
          <w:spacing w:val="-6"/>
        </w:rPr>
        <w:t xml:space="preserve"> </w:t>
      </w:r>
      <w:r w:rsidRPr="00A86401">
        <w:rPr>
          <w:rFonts w:cstheme="minorHAnsi"/>
        </w:rPr>
        <w:t>standards</w:t>
      </w:r>
      <w:r w:rsidRPr="00A86401">
        <w:rPr>
          <w:rFonts w:cstheme="minorHAnsi"/>
          <w:spacing w:val="-5"/>
        </w:rPr>
        <w:t xml:space="preserve"> </w:t>
      </w:r>
      <w:r w:rsidRPr="00A86401">
        <w:rPr>
          <w:rFonts w:cstheme="minorHAnsi"/>
        </w:rPr>
        <w:t>occurring</w:t>
      </w:r>
      <w:r w:rsidRPr="00A86401">
        <w:rPr>
          <w:rFonts w:cstheme="minorHAnsi"/>
          <w:spacing w:val="-6"/>
        </w:rPr>
        <w:t xml:space="preserve"> </w:t>
      </w:r>
      <w:r w:rsidRPr="00A86401">
        <w:rPr>
          <w:rFonts w:cstheme="minorHAnsi"/>
        </w:rPr>
        <w:t>in</w:t>
      </w:r>
      <w:r w:rsidRPr="00A86401">
        <w:rPr>
          <w:rFonts w:cstheme="minorHAnsi"/>
          <w:spacing w:val="-4"/>
        </w:rPr>
        <w:t xml:space="preserve"> </w:t>
      </w:r>
      <w:r w:rsidRPr="00A86401">
        <w:rPr>
          <w:rFonts w:cstheme="minorHAnsi"/>
        </w:rPr>
        <w:t>the</w:t>
      </w:r>
      <w:r w:rsidRPr="00A86401">
        <w:rPr>
          <w:rFonts w:cstheme="minorHAnsi"/>
          <w:spacing w:val="-28"/>
        </w:rPr>
        <w:t xml:space="preserve"> </w:t>
      </w:r>
      <w:r w:rsidRPr="00A86401">
        <w:rPr>
          <w:rFonts w:cstheme="minorHAnsi"/>
        </w:rPr>
        <w:t>organisation.</w:t>
      </w:r>
    </w:p>
    <w:p w14:paraId="40AC4534" w14:textId="77777777" w:rsidR="00C63DFC" w:rsidRPr="00A86401" w:rsidRDefault="00C63DFC" w:rsidP="00303E96">
      <w:pPr>
        <w:pStyle w:val="ListParagraph"/>
        <w:widowControl w:val="0"/>
        <w:numPr>
          <w:ilvl w:val="0"/>
          <w:numId w:val="483"/>
        </w:numPr>
        <w:autoSpaceDE w:val="0"/>
        <w:autoSpaceDN w:val="0"/>
        <w:spacing w:after="120" w:line="240" w:lineRule="auto"/>
        <w:ind w:left="567" w:hanging="567"/>
        <w:contextualSpacing w:val="0"/>
        <w:jc w:val="both"/>
        <w:rPr>
          <w:rFonts w:cstheme="minorHAnsi"/>
        </w:rPr>
      </w:pPr>
      <w:r>
        <w:rPr>
          <w:rFonts w:cstheme="minorHAnsi"/>
        </w:rPr>
        <w:t>p</w:t>
      </w:r>
      <w:r w:rsidRPr="00A86401">
        <w:rPr>
          <w:rFonts w:cstheme="minorHAnsi"/>
        </w:rPr>
        <w:t>romote a culture of compliance within the organisation;</w:t>
      </w:r>
      <w:r w:rsidRPr="00A86401">
        <w:rPr>
          <w:rFonts w:cstheme="minorHAnsi"/>
          <w:spacing w:val="-37"/>
        </w:rPr>
        <w:t xml:space="preserve"> </w:t>
      </w:r>
      <w:r w:rsidRPr="00A86401">
        <w:rPr>
          <w:rFonts w:cstheme="minorHAnsi"/>
        </w:rPr>
        <w:t>and</w:t>
      </w:r>
    </w:p>
    <w:p w14:paraId="2BE7A59F" w14:textId="77777777" w:rsidR="00C63DFC" w:rsidRPr="00A86401" w:rsidRDefault="00C63DFC" w:rsidP="00303E96">
      <w:pPr>
        <w:pStyle w:val="ListParagraph"/>
        <w:widowControl w:val="0"/>
        <w:numPr>
          <w:ilvl w:val="0"/>
          <w:numId w:val="483"/>
        </w:numPr>
        <w:autoSpaceDE w:val="0"/>
        <w:autoSpaceDN w:val="0"/>
        <w:spacing w:after="0" w:line="240" w:lineRule="auto"/>
        <w:ind w:left="567" w:hanging="567"/>
        <w:contextualSpacing w:val="0"/>
        <w:jc w:val="both"/>
        <w:rPr>
          <w:rFonts w:cstheme="minorHAnsi"/>
        </w:rPr>
      </w:pPr>
      <w:r>
        <w:rPr>
          <w:rFonts w:cstheme="minorHAnsi"/>
        </w:rPr>
        <w:t>a</w:t>
      </w:r>
      <w:r w:rsidRPr="00A86401">
        <w:rPr>
          <w:rFonts w:cstheme="minorHAnsi"/>
        </w:rPr>
        <w:t xml:space="preserve">ssist the Council in achieving the highest standards </w:t>
      </w:r>
      <w:proofErr w:type="gramStart"/>
      <w:r w:rsidRPr="00A86401">
        <w:rPr>
          <w:rFonts w:cstheme="minorHAnsi"/>
        </w:rPr>
        <w:t>of</w:t>
      </w:r>
      <w:r>
        <w:rPr>
          <w:rFonts w:cstheme="minorHAnsi"/>
        </w:rPr>
        <w:t xml:space="preserve"> </w:t>
      </w:r>
      <w:r w:rsidRPr="00A86401">
        <w:rPr>
          <w:rFonts w:cstheme="minorHAnsi"/>
          <w:spacing w:val="-38"/>
        </w:rPr>
        <w:t xml:space="preserve"> </w:t>
      </w:r>
      <w:r w:rsidRPr="00A86401">
        <w:rPr>
          <w:rFonts w:cstheme="minorHAnsi"/>
        </w:rPr>
        <w:t>governance</w:t>
      </w:r>
      <w:proofErr w:type="gramEnd"/>
      <w:r w:rsidRPr="00A86401">
        <w:rPr>
          <w:rFonts w:cstheme="minorHAnsi"/>
        </w:rPr>
        <w:t>.</w:t>
      </w:r>
    </w:p>
    <w:p w14:paraId="70C99468" w14:textId="77777777" w:rsidR="00C63DFC" w:rsidRPr="00BD2E34" w:rsidRDefault="00C63DFC" w:rsidP="00C63DFC">
      <w:pPr>
        <w:spacing w:before="200" w:after="0"/>
        <w:jc w:val="both"/>
        <w:rPr>
          <w:b/>
          <w:sz w:val="28"/>
          <w:szCs w:val="28"/>
          <w:lang w:val="en-US"/>
        </w:rPr>
      </w:pPr>
      <w:r w:rsidRPr="00B47F10">
        <w:rPr>
          <w:b/>
          <w:sz w:val="28"/>
          <w:szCs w:val="28"/>
          <w:lang w:val="en-US"/>
        </w:rPr>
        <w:t xml:space="preserve">Policy </w:t>
      </w:r>
      <w:r w:rsidRPr="00BD2E34">
        <w:rPr>
          <w:b/>
          <w:sz w:val="28"/>
          <w:szCs w:val="28"/>
          <w:lang w:val="en-US"/>
        </w:rPr>
        <w:t>Statement</w:t>
      </w:r>
    </w:p>
    <w:p w14:paraId="004F5D36" w14:textId="77777777" w:rsidR="00C63DFC" w:rsidRPr="00A86401" w:rsidRDefault="00C63DFC" w:rsidP="00C63DFC">
      <w:pPr>
        <w:pStyle w:val="BodyText"/>
        <w:spacing w:after="200"/>
        <w:ind w:left="0"/>
        <w:jc w:val="both"/>
        <w:rPr>
          <w:rFonts w:asciiTheme="minorHAnsi" w:hAnsiTheme="minorHAnsi" w:cstheme="minorHAnsi"/>
          <w:szCs w:val="22"/>
        </w:rPr>
      </w:pPr>
      <w:r w:rsidRPr="00A86401">
        <w:rPr>
          <w:rFonts w:asciiTheme="minorHAnsi" w:hAnsiTheme="minorHAnsi" w:cstheme="minorHAnsi"/>
          <w:szCs w:val="22"/>
        </w:rPr>
        <w:t>Council shall have appropriate processes and structures to ensure that legislative requirements are achievable and are integrated into the everyday running of the Council.</w:t>
      </w:r>
    </w:p>
    <w:p w14:paraId="7FB784CE" w14:textId="77777777" w:rsidR="00C63DFC" w:rsidRPr="00A86401" w:rsidRDefault="00C63DFC" w:rsidP="00C63DFC">
      <w:pPr>
        <w:pStyle w:val="BodyText"/>
        <w:ind w:left="0"/>
        <w:jc w:val="both"/>
        <w:rPr>
          <w:rFonts w:asciiTheme="minorHAnsi" w:hAnsiTheme="minorHAnsi" w:cstheme="minorHAnsi"/>
          <w:szCs w:val="22"/>
        </w:rPr>
      </w:pPr>
      <w:r w:rsidRPr="00A86401">
        <w:rPr>
          <w:rFonts w:asciiTheme="minorHAnsi" w:hAnsiTheme="minorHAnsi" w:cstheme="minorHAnsi"/>
          <w:szCs w:val="22"/>
        </w:rPr>
        <w:t>These processes and structures will aim to:</w:t>
      </w:r>
    </w:p>
    <w:p w14:paraId="3E6EC8C6" w14:textId="77777777" w:rsidR="00C63DFC" w:rsidRPr="00A86401" w:rsidRDefault="00C63DFC" w:rsidP="00303E96">
      <w:pPr>
        <w:pStyle w:val="ListParagraph"/>
        <w:widowControl w:val="0"/>
        <w:numPr>
          <w:ilvl w:val="1"/>
          <w:numId w:val="483"/>
        </w:numPr>
        <w:autoSpaceDE w:val="0"/>
        <w:autoSpaceDN w:val="0"/>
        <w:spacing w:before="1" w:after="0" w:line="274" w:lineRule="exact"/>
        <w:ind w:left="567" w:right="141" w:hanging="567"/>
        <w:contextualSpacing w:val="0"/>
        <w:jc w:val="both"/>
        <w:rPr>
          <w:rFonts w:cstheme="minorHAnsi"/>
        </w:rPr>
      </w:pPr>
      <w:r>
        <w:rPr>
          <w:rFonts w:cstheme="minorHAnsi"/>
        </w:rPr>
        <w:t>d</w:t>
      </w:r>
      <w:r w:rsidRPr="00A86401">
        <w:rPr>
          <w:rFonts w:cstheme="minorHAnsi"/>
        </w:rPr>
        <w:t>evelop</w:t>
      </w:r>
      <w:r w:rsidRPr="00A86401">
        <w:rPr>
          <w:rFonts w:cstheme="minorHAnsi"/>
          <w:spacing w:val="-4"/>
        </w:rPr>
        <w:t xml:space="preserve"> </w:t>
      </w:r>
      <w:r w:rsidRPr="00A86401">
        <w:rPr>
          <w:rFonts w:cstheme="minorHAnsi"/>
        </w:rPr>
        <w:t>and</w:t>
      </w:r>
      <w:r w:rsidRPr="00A86401">
        <w:rPr>
          <w:rFonts w:cstheme="minorHAnsi"/>
          <w:spacing w:val="-9"/>
        </w:rPr>
        <w:t xml:space="preserve"> </w:t>
      </w:r>
      <w:r w:rsidRPr="00A86401">
        <w:rPr>
          <w:rFonts w:cstheme="minorHAnsi"/>
        </w:rPr>
        <w:t>maintain</w:t>
      </w:r>
      <w:r w:rsidRPr="00A86401">
        <w:rPr>
          <w:rFonts w:cstheme="minorHAnsi"/>
          <w:spacing w:val="-12"/>
        </w:rPr>
        <w:t xml:space="preserve"> </w:t>
      </w:r>
      <w:r w:rsidRPr="00A86401">
        <w:rPr>
          <w:rFonts w:cstheme="minorHAnsi"/>
        </w:rPr>
        <w:t>a</w:t>
      </w:r>
      <w:r w:rsidRPr="00A86401">
        <w:rPr>
          <w:rFonts w:cstheme="minorHAnsi"/>
          <w:spacing w:val="-4"/>
        </w:rPr>
        <w:t xml:space="preserve"> </w:t>
      </w:r>
      <w:r w:rsidRPr="00A86401">
        <w:rPr>
          <w:rFonts w:cstheme="minorHAnsi"/>
        </w:rPr>
        <w:t>system</w:t>
      </w:r>
      <w:r w:rsidRPr="00A86401">
        <w:rPr>
          <w:rFonts w:cstheme="minorHAnsi"/>
          <w:spacing w:val="-8"/>
        </w:rPr>
        <w:t xml:space="preserve"> </w:t>
      </w:r>
      <w:r w:rsidRPr="00A86401">
        <w:rPr>
          <w:rFonts w:cstheme="minorHAnsi"/>
        </w:rPr>
        <w:t>for</w:t>
      </w:r>
      <w:r w:rsidRPr="00A86401">
        <w:rPr>
          <w:rFonts w:cstheme="minorHAnsi"/>
          <w:spacing w:val="-8"/>
        </w:rPr>
        <w:t xml:space="preserve"> </w:t>
      </w:r>
      <w:r w:rsidRPr="00A86401">
        <w:rPr>
          <w:rFonts w:cstheme="minorHAnsi"/>
        </w:rPr>
        <w:t>identifying</w:t>
      </w:r>
      <w:r w:rsidRPr="00A86401">
        <w:rPr>
          <w:rFonts w:cstheme="minorHAnsi"/>
          <w:spacing w:val="-9"/>
        </w:rPr>
        <w:t xml:space="preserve"> </w:t>
      </w:r>
      <w:r w:rsidRPr="00A86401">
        <w:rPr>
          <w:rFonts w:cstheme="minorHAnsi"/>
        </w:rPr>
        <w:t>the</w:t>
      </w:r>
      <w:r w:rsidRPr="00A86401">
        <w:rPr>
          <w:rFonts w:cstheme="minorHAnsi"/>
          <w:spacing w:val="-7"/>
        </w:rPr>
        <w:t xml:space="preserve"> </w:t>
      </w:r>
      <w:r w:rsidRPr="00A86401">
        <w:rPr>
          <w:rFonts w:cstheme="minorHAnsi"/>
        </w:rPr>
        <w:t>legislation</w:t>
      </w:r>
      <w:r w:rsidRPr="00A86401">
        <w:rPr>
          <w:rFonts w:cstheme="minorHAnsi"/>
          <w:spacing w:val="-7"/>
        </w:rPr>
        <w:t xml:space="preserve"> </w:t>
      </w:r>
      <w:r w:rsidRPr="00A86401">
        <w:rPr>
          <w:rFonts w:cstheme="minorHAnsi"/>
        </w:rPr>
        <w:t>that</w:t>
      </w:r>
      <w:r w:rsidRPr="00A86401">
        <w:rPr>
          <w:rFonts w:cstheme="minorHAnsi"/>
          <w:spacing w:val="-10"/>
        </w:rPr>
        <w:t xml:space="preserve"> </w:t>
      </w:r>
      <w:r w:rsidRPr="00A86401">
        <w:rPr>
          <w:rFonts w:cstheme="minorHAnsi"/>
        </w:rPr>
        <w:t>applies</w:t>
      </w:r>
      <w:r w:rsidRPr="00A86401">
        <w:rPr>
          <w:rFonts w:cstheme="minorHAnsi"/>
          <w:spacing w:val="-8"/>
        </w:rPr>
        <w:t xml:space="preserve"> </w:t>
      </w:r>
      <w:r w:rsidRPr="00A86401">
        <w:rPr>
          <w:rFonts w:cstheme="minorHAnsi"/>
        </w:rPr>
        <w:t>to</w:t>
      </w:r>
      <w:r w:rsidRPr="00A86401">
        <w:rPr>
          <w:rFonts w:cstheme="minorHAnsi"/>
          <w:spacing w:val="-4"/>
        </w:rPr>
        <w:t xml:space="preserve"> </w:t>
      </w:r>
      <w:r w:rsidRPr="00A86401">
        <w:rPr>
          <w:rFonts w:cstheme="minorHAnsi"/>
        </w:rPr>
        <w:t>Council’s activities.</w:t>
      </w:r>
    </w:p>
    <w:p w14:paraId="3B193869" w14:textId="77777777" w:rsidR="00C63DFC" w:rsidRPr="00A86401" w:rsidRDefault="00C63DFC" w:rsidP="00303E96">
      <w:pPr>
        <w:pStyle w:val="ListParagraph"/>
        <w:widowControl w:val="0"/>
        <w:numPr>
          <w:ilvl w:val="1"/>
          <w:numId w:val="483"/>
        </w:numPr>
        <w:autoSpaceDE w:val="0"/>
        <w:autoSpaceDN w:val="0"/>
        <w:spacing w:after="60" w:line="242" w:lineRule="auto"/>
        <w:ind w:left="567" w:right="141" w:hanging="567"/>
        <w:contextualSpacing w:val="0"/>
        <w:jc w:val="both"/>
        <w:rPr>
          <w:rFonts w:cstheme="minorHAnsi"/>
        </w:rPr>
      </w:pPr>
      <w:r>
        <w:rPr>
          <w:rFonts w:cstheme="minorHAnsi"/>
        </w:rPr>
        <w:t>a</w:t>
      </w:r>
      <w:r w:rsidRPr="00A86401">
        <w:rPr>
          <w:rFonts w:cstheme="minorHAnsi"/>
        </w:rPr>
        <w:t>ssign</w:t>
      </w:r>
      <w:r w:rsidRPr="00A86401">
        <w:rPr>
          <w:rFonts w:cstheme="minorHAnsi"/>
          <w:spacing w:val="-10"/>
        </w:rPr>
        <w:t xml:space="preserve"> </w:t>
      </w:r>
      <w:r w:rsidRPr="00A86401">
        <w:rPr>
          <w:rFonts w:cstheme="minorHAnsi"/>
        </w:rPr>
        <w:t>responsibilities</w:t>
      </w:r>
      <w:r w:rsidRPr="00A86401">
        <w:rPr>
          <w:rFonts w:cstheme="minorHAnsi"/>
          <w:spacing w:val="-15"/>
        </w:rPr>
        <w:t xml:space="preserve"> </w:t>
      </w:r>
      <w:r w:rsidRPr="00A86401">
        <w:rPr>
          <w:rFonts w:cstheme="minorHAnsi"/>
        </w:rPr>
        <w:t>for</w:t>
      </w:r>
      <w:r w:rsidRPr="00A86401">
        <w:rPr>
          <w:rFonts w:cstheme="minorHAnsi"/>
          <w:spacing w:val="-12"/>
        </w:rPr>
        <w:t xml:space="preserve"> </w:t>
      </w:r>
      <w:r w:rsidRPr="00A86401">
        <w:rPr>
          <w:rFonts w:cstheme="minorHAnsi"/>
        </w:rPr>
        <w:t>ensuring</w:t>
      </w:r>
      <w:r w:rsidRPr="00A86401">
        <w:rPr>
          <w:rFonts w:cstheme="minorHAnsi"/>
          <w:spacing w:val="-15"/>
        </w:rPr>
        <w:t xml:space="preserve"> </w:t>
      </w:r>
      <w:r w:rsidRPr="00A86401">
        <w:rPr>
          <w:rFonts w:cstheme="minorHAnsi"/>
        </w:rPr>
        <w:t>that</w:t>
      </w:r>
      <w:r w:rsidRPr="00A86401">
        <w:rPr>
          <w:rFonts w:cstheme="minorHAnsi"/>
          <w:spacing w:val="-11"/>
        </w:rPr>
        <w:t xml:space="preserve"> </w:t>
      </w:r>
      <w:r w:rsidRPr="00A86401">
        <w:rPr>
          <w:rFonts w:cstheme="minorHAnsi"/>
        </w:rPr>
        <w:t>legislation</w:t>
      </w:r>
      <w:r w:rsidRPr="00A86401">
        <w:rPr>
          <w:rFonts w:cstheme="minorHAnsi"/>
          <w:spacing w:val="-13"/>
        </w:rPr>
        <w:t xml:space="preserve"> </w:t>
      </w:r>
      <w:r w:rsidRPr="00A86401">
        <w:rPr>
          <w:rFonts w:cstheme="minorHAnsi"/>
        </w:rPr>
        <w:t>and</w:t>
      </w:r>
      <w:r w:rsidRPr="00A86401">
        <w:rPr>
          <w:rFonts w:cstheme="minorHAnsi"/>
          <w:spacing w:val="-13"/>
        </w:rPr>
        <w:t xml:space="preserve"> </w:t>
      </w:r>
      <w:r w:rsidRPr="00A86401">
        <w:rPr>
          <w:rFonts w:cstheme="minorHAnsi"/>
        </w:rPr>
        <w:t>regulatory</w:t>
      </w:r>
      <w:r w:rsidRPr="00A86401">
        <w:rPr>
          <w:rFonts w:cstheme="minorHAnsi"/>
          <w:spacing w:val="-17"/>
        </w:rPr>
        <w:t xml:space="preserve"> </w:t>
      </w:r>
      <w:r w:rsidRPr="00A86401">
        <w:rPr>
          <w:rFonts w:cstheme="minorHAnsi"/>
        </w:rPr>
        <w:t>obligations</w:t>
      </w:r>
      <w:r w:rsidRPr="00A86401">
        <w:rPr>
          <w:rFonts w:cstheme="minorHAnsi"/>
          <w:spacing w:val="-11"/>
        </w:rPr>
        <w:t xml:space="preserve"> </w:t>
      </w:r>
      <w:r w:rsidRPr="00A86401">
        <w:rPr>
          <w:rFonts w:cstheme="minorHAnsi"/>
        </w:rPr>
        <w:t>are</w:t>
      </w:r>
      <w:r w:rsidRPr="00A86401">
        <w:rPr>
          <w:rFonts w:cstheme="minorHAnsi"/>
          <w:spacing w:val="-16"/>
        </w:rPr>
        <w:t xml:space="preserve"> </w:t>
      </w:r>
      <w:r w:rsidRPr="00A86401">
        <w:rPr>
          <w:rFonts w:cstheme="minorHAnsi"/>
        </w:rPr>
        <w:t>fully implemented in</w:t>
      </w:r>
      <w:r w:rsidRPr="00A86401">
        <w:rPr>
          <w:rFonts w:cstheme="minorHAnsi"/>
          <w:spacing w:val="-15"/>
        </w:rPr>
        <w:t xml:space="preserve"> </w:t>
      </w:r>
      <w:r w:rsidRPr="00A86401">
        <w:rPr>
          <w:rFonts w:cstheme="minorHAnsi"/>
        </w:rPr>
        <w:t>Council.</w:t>
      </w:r>
    </w:p>
    <w:p w14:paraId="5195DDE0" w14:textId="77777777" w:rsidR="00C63DFC" w:rsidRPr="00A86401" w:rsidRDefault="00C63DFC" w:rsidP="00303E96">
      <w:pPr>
        <w:pStyle w:val="ListParagraph"/>
        <w:widowControl w:val="0"/>
        <w:numPr>
          <w:ilvl w:val="1"/>
          <w:numId w:val="483"/>
        </w:numPr>
        <w:autoSpaceDE w:val="0"/>
        <w:autoSpaceDN w:val="0"/>
        <w:spacing w:after="60" w:line="240" w:lineRule="auto"/>
        <w:ind w:left="567" w:right="142" w:hanging="567"/>
        <w:contextualSpacing w:val="0"/>
        <w:jc w:val="both"/>
        <w:rPr>
          <w:rFonts w:cstheme="minorHAnsi"/>
        </w:rPr>
      </w:pPr>
      <w:r>
        <w:rPr>
          <w:rFonts w:cstheme="minorHAnsi"/>
        </w:rPr>
        <w:t>p</w:t>
      </w:r>
      <w:r w:rsidRPr="00A86401">
        <w:rPr>
          <w:rFonts w:cstheme="minorHAnsi"/>
        </w:rPr>
        <w:t xml:space="preserve">rovide training for relevant staff, </w:t>
      </w:r>
      <w:r>
        <w:rPr>
          <w:rFonts w:cstheme="minorHAnsi"/>
        </w:rPr>
        <w:t>elected members</w:t>
      </w:r>
      <w:r w:rsidRPr="00A86401">
        <w:rPr>
          <w:rFonts w:cstheme="minorHAnsi"/>
        </w:rPr>
        <w:t>, volunteers and other relevant people in the legislative requirements that affect</w:t>
      </w:r>
      <w:r w:rsidRPr="00A86401">
        <w:rPr>
          <w:rFonts w:cstheme="minorHAnsi"/>
          <w:spacing w:val="-29"/>
        </w:rPr>
        <w:t xml:space="preserve"> </w:t>
      </w:r>
      <w:r w:rsidRPr="00A86401">
        <w:rPr>
          <w:rFonts w:cstheme="minorHAnsi"/>
        </w:rPr>
        <w:t>them.</w:t>
      </w:r>
    </w:p>
    <w:p w14:paraId="7D6DAA05" w14:textId="77777777" w:rsidR="00C63DFC" w:rsidRPr="00A86401" w:rsidRDefault="00C63DFC" w:rsidP="00303E96">
      <w:pPr>
        <w:pStyle w:val="ListParagraph"/>
        <w:widowControl w:val="0"/>
        <w:numPr>
          <w:ilvl w:val="1"/>
          <w:numId w:val="483"/>
        </w:numPr>
        <w:autoSpaceDE w:val="0"/>
        <w:autoSpaceDN w:val="0"/>
        <w:spacing w:after="60" w:line="240" w:lineRule="auto"/>
        <w:ind w:left="567" w:right="137" w:hanging="567"/>
        <w:contextualSpacing w:val="0"/>
        <w:jc w:val="both"/>
        <w:rPr>
          <w:rFonts w:cstheme="minorHAnsi"/>
        </w:rPr>
      </w:pPr>
      <w:r>
        <w:rPr>
          <w:rFonts w:cstheme="minorHAnsi"/>
        </w:rPr>
        <w:t>p</w:t>
      </w:r>
      <w:r w:rsidRPr="00A86401">
        <w:rPr>
          <w:rFonts w:cstheme="minorHAnsi"/>
        </w:rPr>
        <w:t xml:space="preserve">rovide people with the resources to identify and remain </w:t>
      </w:r>
      <w:proofErr w:type="gramStart"/>
      <w:r w:rsidRPr="00A86401">
        <w:rPr>
          <w:rFonts w:cstheme="minorHAnsi"/>
        </w:rPr>
        <w:t>up-to-date</w:t>
      </w:r>
      <w:proofErr w:type="gramEnd"/>
      <w:r w:rsidRPr="00A86401">
        <w:rPr>
          <w:rFonts w:cstheme="minorHAnsi"/>
        </w:rPr>
        <w:t xml:space="preserve"> with new legislation.</w:t>
      </w:r>
    </w:p>
    <w:p w14:paraId="7320853D" w14:textId="77777777" w:rsidR="00C63DFC" w:rsidRPr="00A86401" w:rsidRDefault="00C63DFC" w:rsidP="00303E96">
      <w:pPr>
        <w:pStyle w:val="ListParagraph"/>
        <w:widowControl w:val="0"/>
        <w:numPr>
          <w:ilvl w:val="1"/>
          <w:numId w:val="483"/>
        </w:numPr>
        <w:autoSpaceDE w:val="0"/>
        <w:autoSpaceDN w:val="0"/>
        <w:spacing w:after="60" w:line="240" w:lineRule="auto"/>
        <w:ind w:left="567" w:hanging="567"/>
        <w:contextualSpacing w:val="0"/>
        <w:jc w:val="both"/>
        <w:rPr>
          <w:rFonts w:cstheme="minorHAnsi"/>
        </w:rPr>
      </w:pPr>
      <w:r>
        <w:rPr>
          <w:rFonts w:cstheme="minorHAnsi"/>
        </w:rPr>
        <w:t>c</w:t>
      </w:r>
      <w:r w:rsidRPr="00A86401">
        <w:rPr>
          <w:rFonts w:cstheme="minorHAnsi"/>
        </w:rPr>
        <w:t>onduct audits to ensure there is</w:t>
      </w:r>
      <w:r w:rsidRPr="00A86401">
        <w:rPr>
          <w:rFonts w:cstheme="minorHAnsi"/>
          <w:spacing w:val="-23"/>
        </w:rPr>
        <w:t xml:space="preserve"> </w:t>
      </w:r>
      <w:r w:rsidRPr="00A86401">
        <w:rPr>
          <w:rFonts w:cstheme="minorHAnsi"/>
        </w:rPr>
        <w:t>compliance.</w:t>
      </w:r>
    </w:p>
    <w:p w14:paraId="41A46614" w14:textId="77777777" w:rsidR="00C63DFC" w:rsidRPr="00A86401" w:rsidRDefault="00C63DFC" w:rsidP="00303E96">
      <w:pPr>
        <w:pStyle w:val="ListParagraph"/>
        <w:widowControl w:val="0"/>
        <w:numPr>
          <w:ilvl w:val="1"/>
          <w:numId w:val="483"/>
        </w:numPr>
        <w:autoSpaceDE w:val="0"/>
        <w:autoSpaceDN w:val="0"/>
        <w:spacing w:after="60" w:line="240" w:lineRule="auto"/>
        <w:ind w:left="567" w:hanging="567"/>
        <w:contextualSpacing w:val="0"/>
        <w:jc w:val="both"/>
        <w:rPr>
          <w:rFonts w:cstheme="minorHAnsi"/>
        </w:rPr>
      </w:pPr>
      <w:r>
        <w:rPr>
          <w:rFonts w:cstheme="minorHAnsi"/>
        </w:rPr>
        <w:t>e</w:t>
      </w:r>
      <w:r w:rsidRPr="00A86401">
        <w:rPr>
          <w:rFonts w:cstheme="minorHAnsi"/>
        </w:rPr>
        <w:t>stablish a mechanism for reporti</w:t>
      </w:r>
      <w:r>
        <w:rPr>
          <w:rFonts w:cstheme="minorHAnsi"/>
        </w:rPr>
        <w:t>ng non</w:t>
      </w:r>
      <w:r w:rsidRPr="00A86401">
        <w:rPr>
          <w:rFonts w:cstheme="minorHAnsi"/>
        </w:rPr>
        <w:t>-compliance.</w:t>
      </w:r>
    </w:p>
    <w:p w14:paraId="5AECDCEA" w14:textId="77777777" w:rsidR="00C63DFC" w:rsidRDefault="00C63DFC" w:rsidP="00303E96">
      <w:pPr>
        <w:pStyle w:val="ListParagraph"/>
        <w:widowControl w:val="0"/>
        <w:numPr>
          <w:ilvl w:val="1"/>
          <w:numId w:val="483"/>
        </w:numPr>
        <w:autoSpaceDE w:val="0"/>
        <w:autoSpaceDN w:val="0"/>
        <w:spacing w:after="60" w:line="240" w:lineRule="auto"/>
        <w:ind w:left="567" w:right="142" w:hanging="567"/>
        <w:contextualSpacing w:val="0"/>
        <w:jc w:val="both"/>
        <w:rPr>
          <w:rFonts w:cstheme="minorHAnsi"/>
        </w:rPr>
      </w:pPr>
      <w:r>
        <w:rPr>
          <w:rFonts w:cstheme="minorHAnsi"/>
        </w:rPr>
        <w:t>r</w:t>
      </w:r>
      <w:r w:rsidRPr="00A86401">
        <w:rPr>
          <w:rFonts w:cstheme="minorHAnsi"/>
        </w:rPr>
        <w:t>eview accidents, incidents and other situations where there may have been non- compliance.</w:t>
      </w:r>
    </w:p>
    <w:p w14:paraId="4BE3DA11" w14:textId="77777777" w:rsidR="00C63DFC" w:rsidRDefault="00C63DFC" w:rsidP="00C63DFC">
      <w:pPr>
        <w:spacing w:after="160" w:line="259" w:lineRule="auto"/>
        <w:rPr>
          <w:rFonts w:cstheme="minorHAnsi"/>
        </w:rPr>
      </w:pPr>
      <w:r>
        <w:rPr>
          <w:rFonts w:cstheme="minorHAnsi"/>
        </w:rPr>
        <w:br w:type="page"/>
      </w:r>
    </w:p>
    <w:p w14:paraId="7F31AEF0" w14:textId="77777777" w:rsidR="00C63DFC" w:rsidRDefault="00C63DFC" w:rsidP="00303E96">
      <w:pPr>
        <w:pStyle w:val="ListParagraph"/>
        <w:widowControl w:val="0"/>
        <w:numPr>
          <w:ilvl w:val="1"/>
          <w:numId w:val="483"/>
        </w:numPr>
        <w:autoSpaceDE w:val="0"/>
        <w:autoSpaceDN w:val="0"/>
        <w:spacing w:line="240" w:lineRule="auto"/>
        <w:ind w:left="567" w:right="138" w:hanging="567"/>
        <w:contextualSpacing w:val="0"/>
        <w:jc w:val="both"/>
        <w:rPr>
          <w:rFonts w:cstheme="minorHAnsi"/>
        </w:rPr>
      </w:pPr>
      <w:r>
        <w:rPr>
          <w:rFonts w:cstheme="minorHAnsi"/>
        </w:rPr>
        <w:lastRenderedPageBreak/>
        <w:t>r</w:t>
      </w:r>
      <w:r w:rsidRPr="00A86401">
        <w:rPr>
          <w:rFonts w:cstheme="minorHAnsi"/>
        </w:rPr>
        <w:t>eview audit reports, incident reports, complaints and other information to assess how the systems of compliance can be</w:t>
      </w:r>
      <w:r w:rsidRPr="00A86401">
        <w:rPr>
          <w:rFonts w:cstheme="minorHAnsi"/>
          <w:spacing w:val="-23"/>
        </w:rPr>
        <w:t xml:space="preserve"> </w:t>
      </w:r>
      <w:r w:rsidRPr="00A86401">
        <w:rPr>
          <w:rFonts w:cstheme="minorHAnsi"/>
        </w:rPr>
        <w:t>improved.</w:t>
      </w:r>
    </w:p>
    <w:p w14:paraId="30113B8D" w14:textId="77777777" w:rsidR="00C63DFC" w:rsidRPr="00BD2E34" w:rsidRDefault="00C63DFC" w:rsidP="00C63DFC">
      <w:pPr>
        <w:spacing w:before="200" w:after="0"/>
        <w:jc w:val="both"/>
        <w:rPr>
          <w:b/>
          <w:sz w:val="28"/>
          <w:szCs w:val="28"/>
          <w:lang w:val="en-US"/>
        </w:rPr>
      </w:pPr>
      <w:r w:rsidRPr="00BD2E34">
        <w:rPr>
          <w:b/>
          <w:sz w:val="28"/>
          <w:szCs w:val="28"/>
          <w:lang w:val="en-US"/>
        </w:rPr>
        <w:t>General Principles</w:t>
      </w:r>
    </w:p>
    <w:p w14:paraId="20266E8F" w14:textId="77777777" w:rsidR="00C63DFC" w:rsidRPr="00CC2BEB" w:rsidRDefault="00C63DFC" w:rsidP="00C63DFC">
      <w:pPr>
        <w:spacing w:after="120" w:line="240" w:lineRule="auto"/>
        <w:jc w:val="both"/>
        <w:rPr>
          <w:i/>
        </w:rPr>
      </w:pPr>
      <w:r w:rsidRPr="00CC2BEB">
        <w:t xml:space="preserve">Council has adopted the following principles based on the Australian Standards AS ISO 19600:2015 </w:t>
      </w:r>
      <w:r w:rsidRPr="00CC2BEB">
        <w:rPr>
          <w:i/>
        </w:rPr>
        <w:t>Compliance Management Systems - Guidelines.</w:t>
      </w:r>
    </w:p>
    <w:p w14:paraId="7D6C31B9" w14:textId="77777777" w:rsidR="00C63DFC" w:rsidRPr="00CC2BEB" w:rsidRDefault="00C63DFC" w:rsidP="00C63DFC">
      <w:pPr>
        <w:widowControl w:val="0"/>
        <w:autoSpaceDE w:val="0"/>
        <w:autoSpaceDN w:val="0"/>
        <w:spacing w:after="60" w:line="240" w:lineRule="auto"/>
        <w:ind w:left="567" w:hanging="567"/>
      </w:pPr>
      <w:r>
        <w:t>(a)</w:t>
      </w:r>
      <w:r>
        <w:tab/>
        <w:t>C</w:t>
      </w:r>
      <w:r w:rsidRPr="00CC2BEB">
        <w:t xml:space="preserve">ommit to achieving compliance in all areas of </w:t>
      </w:r>
      <w:proofErr w:type="spellStart"/>
      <w:proofErr w:type="gramStart"/>
      <w:r w:rsidRPr="00CC2BEB">
        <w:t>it</w:t>
      </w:r>
      <w:r>
        <w:t>’</w:t>
      </w:r>
      <w:r w:rsidRPr="00CC2BEB">
        <w:t>s</w:t>
      </w:r>
      <w:proofErr w:type="spellEnd"/>
      <w:r>
        <w:t xml:space="preserve"> </w:t>
      </w:r>
      <w:r w:rsidRPr="00422EBB">
        <w:rPr>
          <w:spacing w:val="-49"/>
        </w:rPr>
        <w:t xml:space="preserve"> </w:t>
      </w:r>
      <w:r w:rsidRPr="00CC2BEB">
        <w:t>operations</w:t>
      </w:r>
      <w:proofErr w:type="gramEnd"/>
      <w:r w:rsidRPr="00CC2BEB">
        <w:t>.</w:t>
      </w:r>
    </w:p>
    <w:p w14:paraId="3ABC74E0" w14:textId="77777777" w:rsidR="00C63DFC" w:rsidRPr="00CC2BEB" w:rsidRDefault="00C63DFC" w:rsidP="00C63DFC">
      <w:pPr>
        <w:widowControl w:val="0"/>
        <w:autoSpaceDE w:val="0"/>
        <w:autoSpaceDN w:val="0"/>
        <w:spacing w:after="60" w:line="240" w:lineRule="auto"/>
        <w:ind w:left="567" w:right="119" w:hanging="567"/>
        <w:jc w:val="both"/>
      </w:pPr>
      <w:r>
        <w:t>(b)</w:t>
      </w:r>
      <w:r>
        <w:tab/>
        <w:t>M</w:t>
      </w:r>
      <w:r w:rsidRPr="00CC2BEB">
        <w:t xml:space="preserve">aintain a </w:t>
      </w:r>
      <w:r w:rsidRPr="0065165D">
        <w:rPr>
          <w:iCs/>
        </w:rPr>
        <w:t>Legislative Compliance Policy</w:t>
      </w:r>
      <w:r w:rsidRPr="00422EBB">
        <w:rPr>
          <w:i/>
          <w:u w:val="single"/>
        </w:rPr>
        <w:t xml:space="preserve"> </w:t>
      </w:r>
      <w:r w:rsidRPr="00CC2BEB">
        <w:t>that sets out its commitment to compliance with applicable laws and</w:t>
      </w:r>
      <w:r w:rsidRPr="00422EBB">
        <w:rPr>
          <w:spacing w:val="-21"/>
        </w:rPr>
        <w:t xml:space="preserve"> </w:t>
      </w:r>
      <w:r w:rsidRPr="00CC2BEB">
        <w:t>regulations.</w:t>
      </w:r>
    </w:p>
    <w:p w14:paraId="6ADC9A27" w14:textId="77777777" w:rsidR="00C63DFC" w:rsidRPr="00CC2BEB" w:rsidRDefault="00C63DFC" w:rsidP="00C63DFC">
      <w:pPr>
        <w:widowControl w:val="0"/>
        <w:autoSpaceDE w:val="0"/>
        <w:autoSpaceDN w:val="0"/>
        <w:spacing w:after="60" w:line="240" w:lineRule="auto"/>
        <w:ind w:left="567" w:right="122" w:hanging="567"/>
        <w:jc w:val="both"/>
      </w:pPr>
      <w:r>
        <w:t>(c)</w:t>
      </w:r>
      <w:r>
        <w:tab/>
        <w:t>P</w:t>
      </w:r>
      <w:r w:rsidRPr="00CC2BEB">
        <w:t>rovide sufficient resources to ensure that this legislative compliance program can be implemented, maintained and</w:t>
      </w:r>
      <w:r w:rsidRPr="00422EBB">
        <w:rPr>
          <w:spacing w:val="-30"/>
        </w:rPr>
        <w:t xml:space="preserve"> </w:t>
      </w:r>
      <w:r w:rsidRPr="00CC2BEB">
        <w:t>improved.</w:t>
      </w:r>
    </w:p>
    <w:p w14:paraId="2C12AFC6" w14:textId="77777777" w:rsidR="00C63DFC" w:rsidRPr="00CC2BEB" w:rsidRDefault="00C63DFC" w:rsidP="00C63DFC">
      <w:pPr>
        <w:widowControl w:val="0"/>
        <w:autoSpaceDE w:val="0"/>
        <w:autoSpaceDN w:val="0"/>
        <w:spacing w:after="60" w:line="240" w:lineRule="auto"/>
        <w:ind w:left="567" w:right="118" w:hanging="567"/>
        <w:jc w:val="both"/>
      </w:pPr>
      <w:r>
        <w:t>(d)</w:t>
      </w:r>
      <w:r>
        <w:tab/>
        <w:t>E</w:t>
      </w:r>
      <w:r w:rsidRPr="00CC2BEB">
        <w:t xml:space="preserve">nsure that all managers, </w:t>
      </w:r>
      <w:r w:rsidRPr="006E0C2B">
        <w:t>supervisors a</w:t>
      </w:r>
      <w:r w:rsidRPr="00CC2BEB">
        <w:t>nd staff generally understand, promote</w:t>
      </w:r>
      <w:r w:rsidRPr="00422EBB">
        <w:rPr>
          <w:spacing w:val="-19"/>
        </w:rPr>
        <w:t xml:space="preserve"> </w:t>
      </w:r>
      <w:r w:rsidRPr="00CC2BEB">
        <w:t>and</w:t>
      </w:r>
      <w:r w:rsidRPr="00422EBB">
        <w:rPr>
          <w:spacing w:val="-19"/>
        </w:rPr>
        <w:t xml:space="preserve"> </w:t>
      </w:r>
      <w:r w:rsidRPr="00CC2BEB">
        <w:t>be</w:t>
      </w:r>
      <w:r w:rsidRPr="00422EBB">
        <w:rPr>
          <w:spacing w:val="-17"/>
        </w:rPr>
        <w:t xml:space="preserve"> </w:t>
      </w:r>
      <w:r w:rsidRPr="00CC2BEB">
        <w:t>responsible</w:t>
      </w:r>
      <w:r w:rsidRPr="00422EBB">
        <w:rPr>
          <w:spacing w:val="-19"/>
        </w:rPr>
        <w:t xml:space="preserve"> </w:t>
      </w:r>
      <w:r w:rsidRPr="00CC2BEB">
        <w:t>for</w:t>
      </w:r>
      <w:r w:rsidRPr="00422EBB">
        <w:rPr>
          <w:spacing w:val="-19"/>
        </w:rPr>
        <w:t xml:space="preserve"> </w:t>
      </w:r>
      <w:r w:rsidRPr="00CC2BEB">
        <w:t>compliance</w:t>
      </w:r>
      <w:r w:rsidRPr="00422EBB">
        <w:rPr>
          <w:spacing w:val="-17"/>
        </w:rPr>
        <w:t xml:space="preserve"> </w:t>
      </w:r>
      <w:r w:rsidRPr="00CC2BEB">
        <w:t>with</w:t>
      </w:r>
      <w:r w:rsidRPr="00422EBB">
        <w:rPr>
          <w:spacing w:val="-17"/>
        </w:rPr>
        <w:t xml:space="preserve"> </w:t>
      </w:r>
      <w:r w:rsidRPr="00CC2BEB">
        <w:t>relevant</w:t>
      </w:r>
      <w:r w:rsidRPr="00422EBB">
        <w:rPr>
          <w:spacing w:val="-18"/>
        </w:rPr>
        <w:t xml:space="preserve"> </w:t>
      </w:r>
      <w:r w:rsidRPr="00CC2BEB">
        <w:t>laws,</w:t>
      </w:r>
      <w:r w:rsidRPr="00422EBB">
        <w:rPr>
          <w:spacing w:val="-18"/>
        </w:rPr>
        <w:t xml:space="preserve"> </w:t>
      </w:r>
      <w:r w:rsidRPr="00CC2BEB">
        <w:t>regulations,</w:t>
      </w:r>
      <w:r w:rsidRPr="00422EBB">
        <w:rPr>
          <w:spacing w:val="-40"/>
        </w:rPr>
        <w:t xml:space="preserve"> </w:t>
      </w:r>
      <w:r w:rsidRPr="00CC2BEB">
        <w:t>codes</w:t>
      </w:r>
      <w:r w:rsidRPr="00422EBB">
        <w:rPr>
          <w:spacing w:val="-18"/>
        </w:rPr>
        <w:t xml:space="preserve"> </w:t>
      </w:r>
      <w:r w:rsidRPr="00CC2BEB">
        <w:t>and standards</w:t>
      </w:r>
      <w:r w:rsidRPr="00422EBB">
        <w:rPr>
          <w:spacing w:val="-5"/>
        </w:rPr>
        <w:t xml:space="preserve"> </w:t>
      </w:r>
      <w:r w:rsidRPr="00CC2BEB">
        <w:t>that</w:t>
      </w:r>
      <w:r w:rsidRPr="00422EBB">
        <w:rPr>
          <w:spacing w:val="-7"/>
        </w:rPr>
        <w:t xml:space="preserve"> </w:t>
      </w:r>
      <w:r w:rsidRPr="00CC2BEB">
        <w:t>apply</w:t>
      </w:r>
      <w:r w:rsidRPr="00422EBB">
        <w:rPr>
          <w:spacing w:val="-7"/>
        </w:rPr>
        <w:t xml:space="preserve"> </w:t>
      </w:r>
      <w:r w:rsidRPr="00CC2BEB">
        <w:t>to</w:t>
      </w:r>
      <w:r w:rsidRPr="00422EBB">
        <w:rPr>
          <w:spacing w:val="-4"/>
        </w:rPr>
        <w:t xml:space="preserve"> </w:t>
      </w:r>
      <w:r w:rsidRPr="00CC2BEB">
        <w:t>activities</w:t>
      </w:r>
      <w:r w:rsidRPr="00422EBB">
        <w:rPr>
          <w:spacing w:val="-5"/>
        </w:rPr>
        <w:t xml:space="preserve"> </w:t>
      </w:r>
      <w:r w:rsidRPr="00CC2BEB">
        <w:t>within</w:t>
      </w:r>
      <w:r w:rsidRPr="00422EBB">
        <w:rPr>
          <w:spacing w:val="-4"/>
        </w:rPr>
        <w:t xml:space="preserve"> </w:t>
      </w:r>
      <w:r w:rsidRPr="00CC2BEB">
        <w:t>their</w:t>
      </w:r>
      <w:r w:rsidRPr="00422EBB">
        <w:rPr>
          <w:spacing w:val="-6"/>
        </w:rPr>
        <w:t xml:space="preserve"> </w:t>
      </w:r>
      <w:r w:rsidRPr="00CC2BEB">
        <w:t>day-to-day</w:t>
      </w:r>
      <w:r w:rsidRPr="00422EBB">
        <w:rPr>
          <w:spacing w:val="-23"/>
        </w:rPr>
        <w:t xml:space="preserve"> </w:t>
      </w:r>
      <w:r w:rsidRPr="00CC2BEB">
        <w:t>responsibilities.</w:t>
      </w:r>
    </w:p>
    <w:p w14:paraId="63EDFE18" w14:textId="77777777" w:rsidR="00C63DFC" w:rsidRPr="00CC2BEB" w:rsidRDefault="00C63DFC" w:rsidP="00C63DFC">
      <w:pPr>
        <w:widowControl w:val="0"/>
        <w:autoSpaceDE w:val="0"/>
        <w:autoSpaceDN w:val="0"/>
        <w:spacing w:after="60" w:line="240" w:lineRule="auto"/>
        <w:ind w:left="567" w:right="119" w:hanging="567"/>
        <w:jc w:val="both"/>
      </w:pPr>
      <w:r>
        <w:t>(e)</w:t>
      </w:r>
      <w:r>
        <w:tab/>
        <w:t>U</w:t>
      </w:r>
      <w:r w:rsidRPr="00CC2BEB">
        <w:t>se</w:t>
      </w:r>
      <w:r w:rsidRPr="00422EBB">
        <w:rPr>
          <w:spacing w:val="-4"/>
        </w:rPr>
        <w:t xml:space="preserve"> </w:t>
      </w:r>
      <w:r w:rsidRPr="00CC2BEB">
        <w:t>its</w:t>
      </w:r>
      <w:r w:rsidRPr="00422EBB">
        <w:rPr>
          <w:spacing w:val="-5"/>
        </w:rPr>
        <w:t xml:space="preserve"> </w:t>
      </w:r>
      <w:r w:rsidRPr="00CC2BEB">
        <w:t>established</w:t>
      </w:r>
      <w:r w:rsidRPr="00422EBB">
        <w:rPr>
          <w:spacing w:val="-4"/>
        </w:rPr>
        <w:t xml:space="preserve"> </w:t>
      </w:r>
      <w:r w:rsidRPr="00CC2BEB">
        <w:t>risk</w:t>
      </w:r>
      <w:r w:rsidRPr="00422EBB">
        <w:rPr>
          <w:spacing w:val="-5"/>
        </w:rPr>
        <w:t xml:space="preserve"> </w:t>
      </w:r>
      <w:r w:rsidRPr="00CC2BEB">
        <w:t>management</w:t>
      </w:r>
      <w:r w:rsidRPr="00422EBB">
        <w:rPr>
          <w:spacing w:val="-5"/>
        </w:rPr>
        <w:t xml:space="preserve"> </w:t>
      </w:r>
      <w:r w:rsidRPr="00CC2BEB">
        <w:t>practices</w:t>
      </w:r>
      <w:r w:rsidRPr="00422EBB">
        <w:rPr>
          <w:spacing w:val="-5"/>
        </w:rPr>
        <w:t xml:space="preserve"> </w:t>
      </w:r>
      <w:r w:rsidRPr="00CC2BEB">
        <w:t>to</w:t>
      </w:r>
      <w:r w:rsidRPr="00422EBB">
        <w:rPr>
          <w:spacing w:val="-4"/>
        </w:rPr>
        <w:t xml:space="preserve"> </w:t>
      </w:r>
      <w:r w:rsidRPr="00CC2BEB">
        <w:t>accurately</w:t>
      </w:r>
      <w:r w:rsidRPr="00422EBB">
        <w:rPr>
          <w:spacing w:val="-33"/>
        </w:rPr>
        <w:t xml:space="preserve"> </w:t>
      </w:r>
      <w:r w:rsidRPr="00CC2BEB">
        <w:t>identify,</w:t>
      </w:r>
      <w:r w:rsidRPr="00422EBB">
        <w:rPr>
          <w:spacing w:val="-5"/>
        </w:rPr>
        <w:t xml:space="preserve"> </w:t>
      </w:r>
      <w:r w:rsidRPr="00CC2BEB">
        <w:t>rate and treat compliance</w:t>
      </w:r>
      <w:r w:rsidRPr="00422EBB">
        <w:rPr>
          <w:spacing w:val="-11"/>
        </w:rPr>
        <w:t xml:space="preserve"> </w:t>
      </w:r>
      <w:r w:rsidRPr="00CC2BEB">
        <w:t>risks.</w:t>
      </w:r>
    </w:p>
    <w:p w14:paraId="3C39BD47" w14:textId="77777777" w:rsidR="00C63DFC" w:rsidRPr="00CC2BEB" w:rsidRDefault="00C63DFC" w:rsidP="00C63DFC">
      <w:pPr>
        <w:widowControl w:val="0"/>
        <w:autoSpaceDE w:val="0"/>
        <w:autoSpaceDN w:val="0"/>
        <w:spacing w:after="60" w:line="240" w:lineRule="auto"/>
        <w:ind w:left="567" w:right="117" w:hanging="567"/>
        <w:jc w:val="both"/>
      </w:pPr>
      <w:r>
        <w:t>(f)</w:t>
      </w:r>
      <w:r>
        <w:tab/>
        <w:t>E</w:t>
      </w:r>
      <w:r w:rsidRPr="00CC2BEB">
        <w:t>nsure that compliance requirements are integrated into day-to-day operating procedures as</w:t>
      </w:r>
      <w:r w:rsidRPr="00422EBB">
        <w:rPr>
          <w:spacing w:val="-23"/>
        </w:rPr>
        <w:t xml:space="preserve"> </w:t>
      </w:r>
      <w:r w:rsidRPr="00CC2BEB">
        <w:t>appropriate.</w:t>
      </w:r>
    </w:p>
    <w:p w14:paraId="0E1F2F7A" w14:textId="77777777" w:rsidR="00C63DFC" w:rsidRPr="00CC2BEB" w:rsidRDefault="00C63DFC" w:rsidP="00C63DFC">
      <w:pPr>
        <w:widowControl w:val="0"/>
        <w:autoSpaceDE w:val="0"/>
        <w:autoSpaceDN w:val="0"/>
        <w:spacing w:after="60" w:line="240" w:lineRule="auto"/>
        <w:ind w:left="567" w:right="118" w:hanging="567"/>
        <w:jc w:val="both"/>
      </w:pPr>
      <w:r>
        <w:t>(g)</w:t>
      </w:r>
      <w:r>
        <w:tab/>
        <w:t>M</w:t>
      </w:r>
      <w:r w:rsidRPr="00CC2BEB">
        <w:t>aintain an effective complaints management system, including the coverage of compliance</w:t>
      </w:r>
      <w:r w:rsidRPr="00422EBB">
        <w:rPr>
          <w:spacing w:val="-18"/>
        </w:rPr>
        <w:t xml:space="preserve"> </w:t>
      </w:r>
      <w:r w:rsidRPr="00CC2BEB">
        <w:t>failures.</w:t>
      </w:r>
    </w:p>
    <w:p w14:paraId="5D6D1743" w14:textId="77777777" w:rsidR="00C63DFC" w:rsidRPr="00CC2BEB" w:rsidRDefault="00C63DFC" w:rsidP="00C63DFC">
      <w:pPr>
        <w:widowControl w:val="0"/>
        <w:autoSpaceDE w:val="0"/>
        <w:autoSpaceDN w:val="0"/>
        <w:spacing w:after="60" w:line="240" w:lineRule="auto"/>
        <w:ind w:left="567" w:right="118" w:hanging="567"/>
        <w:jc w:val="both"/>
      </w:pPr>
      <w:r>
        <w:t>(h)</w:t>
      </w:r>
      <w:r>
        <w:tab/>
      </w:r>
      <w:r w:rsidRPr="00CC2BEB">
        <w:t xml:space="preserve">Council will maintain a </w:t>
      </w:r>
      <w:r w:rsidRPr="0065165D">
        <w:rPr>
          <w:iCs/>
        </w:rPr>
        <w:t>Statute and Regulation Register</w:t>
      </w:r>
      <w:r w:rsidRPr="0065165D">
        <w:rPr>
          <w:i/>
          <w:u w:val="single"/>
        </w:rPr>
        <w:t xml:space="preserve"> </w:t>
      </w:r>
      <w:r w:rsidRPr="0065165D">
        <w:t>and</w:t>
      </w:r>
      <w:r w:rsidRPr="00CC2BEB">
        <w:t xml:space="preserve"> all identified legislation imposing compliance and impacting on Council will </w:t>
      </w:r>
      <w:proofErr w:type="gramStart"/>
      <w:r w:rsidRPr="00CC2BEB">
        <w:t>included</w:t>
      </w:r>
      <w:proofErr w:type="gramEnd"/>
      <w:r w:rsidRPr="00CC2BEB">
        <w:t xml:space="preserve"> on the</w:t>
      </w:r>
      <w:r w:rsidRPr="00422EBB">
        <w:rPr>
          <w:spacing w:val="-48"/>
        </w:rPr>
        <w:t xml:space="preserve"> </w:t>
      </w:r>
      <w:r w:rsidRPr="00CC2BEB">
        <w:t>Register.</w:t>
      </w:r>
    </w:p>
    <w:p w14:paraId="3D224B2B" w14:textId="77777777" w:rsidR="00C63DFC" w:rsidRPr="00CC2BEB" w:rsidRDefault="00C63DFC" w:rsidP="00C63DFC">
      <w:pPr>
        <w:widowControl w:val="0"/>
        <w:autoSpaceDE w:val="0"/>
        <w:autoSpaceDN w:val="0"/>
        <w:spacing w:after="60" w:line="240" w:lineRule="auto"/>
        <w:ind w:left="567" w:right="117" w:hanging="567"/>
      </w:pPr>
      <w:r>
        <w:t>(</w:t>
      </w:r>
      <w:proofErr w:type="spellStart"/>
      <w:r>
        <w:t>i</w:t>
      </w:r>
      <w:proofErr w:type="spellEnd"/>
      <w:r>
        <w:t>)</w:t>
      </w:r>
      <w:r>
        <w:tab/>
      </w:r>
      <w:r w:rsidRPr="009C0F0F">
        <w:t>Use the Annual Compliance Return as the register to record any non-compliance matters</w:t>
      </w:r>
      <w:r>
        <w:rPr>
          <w:spacing w:val="-13"/>
        </w:rPr>
        <w:t xml:space="preserve"> </w:t>
      </w:r>
    </w:p>
    <w:p w14:paraId="67AA84B0" w14:textId="77777777" w:rsidR="00C63DFC" w:rsidRDefault="00C63DFC" w:rsidP="00C63DFC">
      <w:pPr>
        <w:widowControl w:val="0"/>
        <w:autoSpaceDE w:val="0"/>
        <w:autoSpaceDN w:val="0"/>
        <w:spacing w:after="60" w:line="240" w:lineRule="auto"/>
        <w:ind w:left="567" w:hanging="567"/>
        <w:jc w:val="both"/>
      </w:pPr>
      <w:r>
        <w:t>(j)</w:t>
      </w:r>
      <w:r>
        <w:tab/>
        <w:t>W</w:t>
      </w:r>
      <w:r w:rsidRPr="00CC2BEB">
        <w:t xml:space="preserve">ill investigate, rectify and report all </w:t>
      </w:r>
      <w:proofErr w:type="gramStart"/>
      <w:r w:rsidRPr="00CC2BEB">
        <w:t>complia</w:t>
      </w:r>
      <w:r>
        <w:t xml:space="preserve">nce </w:t>
      </w:r>
      <w:r w:rsidRPr="00422EBB">
        <w:rPr>
          <w:spacing w:val="-39"/>
        </w:rPr>
        <w:t xml:space="preserve"> </w:t>
      </w:r>
      <w:r w:rsidRPr="00CC2BEB">
        <w:t>failures</w:t>
      </w:r>
      <w:proofErr w:type="gramEnd"/>
      <w:r w:rsidRPr="00CC2BEB">
        <w:t>.</w:t>
      </w:r>
    </w:p>
    <w:p w14:paraId="13B14C80" w14:textId="77777777" w:rsidR="00C63DFC" w:rsidRDefault="00C63DFC" w:rsidP="00C63DFC">
      <w:pPr>
        <w:widowControl w:val="0"/>
        <w:autoSpaceDE w:val="0"/>
        <w:autoSpaceDN w:val="0"/>
        <w:spacing w:after="60" w:line="240" w:lineRule="auto"/>
        <w:ind w:left="567" w:right="134" w:hanging="567"/>
        <w:jc w:val="both"/>
      </w:pPr>
      <w:r>
        <w:t>(l)</w:t>
      </w:r>
      <w:r>
        <w:tab/>
        <w:t>A</w:t>
      </w:r>
      <w:r w:rsidRPr="00CC2BEB">
        <w:t xml:space="preserve">ppropriate practical education and training of staff </w:t>
      </w:r>
      <w:r>
        <w:t xml:space="preserve">will be provided </w:t>
      </w:r>
      <w:proofErr w:type="gramStart"/>
      <w:r w:rsidRPr="00CC2BEB">
        <w:t>in order for</w:t>
      </w:r>
      <w:proofErr w:type="gramEnd"/>
      <w:r w:rsidRPr="00CC2BEB">
        <w:t xml:space="preserve"> them to meet their complian</w:t>
      </w:r>
      <w:r>
        <w:t>ce ob</w:t>
      </w:r>
      <w:r w:rsidRPr="00CC2BEB">
        <w:t>ligations</w:t>
      </w:r>
    </w:p>
    <w:p w14:paraId="13D087F2" w14:textId="77777777" w:rsidR="00C63DFC" w:rsidRPr="00F01918" w:rsidRDefault="00C63DFC" w:rsidP="00C63DFC">
      <w:pPr>
        <w:widowControl w:val="0"/>
        <w:autoSpaceDE w:val="0"/>
        <w:autoSpaceDN w:val="0"/>
        <w:spacing w:after="60" w:line="240" w:lineRule="auto"/>
        <w:ind w:left="567" w:right="135" w:hanging="567"/>
        <w:jc w:val="both"/>
      </w:pPr>
      <w:r>
        <w:t>(m)</w:t>
      </w:r>
      <w:r>
        <w:tab/>
        <w:t>A</w:t>
      </w:r>
      <w:r w:rsidRPr="00F01918">
        <w:t>ctively promote the importance of compliance to staff, contractors and other relevant third</w:t>
      </w:r>
      <w:r w:rsidRPr="00422EBB">
        <w:rPr>
          <w:spacing w:val="-18"/>
        </w:rPr>
        <w:t xml:space="preserve"> </w:t>
      </w:r>
      <w:r w:rsidRPr="00F01918">
        <w:t>parties.</w:t>
      </w:r>
    </w:p>
    <w:p w14:paraId="41FC004B" w14:textId="77777777" w:rsidR="00C63DFC" w:rsidRPr="00BD2E34" w:rsidRDefault="00C63DFC" w:rsidP="00C63DFC">
      <w:pPr>
        <w:spacing w:before="200" w:after="0"/>
        <w:jc w:val="both"/>
        <w:rPr>
          <w:b/>
          <w:sz w:val="28"/>
          <w:szCs w:val="28"/>
          <w:lang w:val="en-US"/>
        </w:rPr>
      </w:pPr>
      <w:r w:rsidRPr="00BD2E34">
        <w:rPr>
          <w:b/>
          <w:sz w:val="28"/>
          <w:szCs w:val="28"/>
          <w:lang w:val="en-US"/>
        </w:rPr>
        <w:t>Roles and Responsibilities</w:t>
      </w:r>
    </w:p>
    <w:p w14:paraId="7BA40B9E" w14:textId="77777777" w:rsidR="00C63DFC" w:rsidRPr="00A86401" w:rsidRDefault="00C63DFC" w:rsidP="00303E96">
      <w:pPr>
        <w:pStyle w:val="ListParagraph"/>
        <w:widowControl w:val="0"/>
        <w:numPr>
          <w:ilvl w:val="2"/>
          <w:numId w:val="484"/>
        </w:numPr>
        <w:autoSpaceDE w:val="0"/>
        <w:autoSpaceDN w:val="0"/>
        <w:spacing w:after="0" w:line="240" w:lineRule="auto"/>
        <w:ind w:left="567" w:hanging="567"/>
        <w:contextualSpacing w:val="0"/>
        <w:jc w:val="both"/>
        <w:rPr>
          <w:rFonts w:cstheme="minorHAnsi"/>
          <w:i/>
        </w:rPr>
      </w:pPr>
      <w:bookmarkStart w:id="426" w:name="3.1_Roles_and_Responsibilities"/>
      <w:bookmarkEnd w:id="426"/>
      <w:r>
        <w:rPr>
          <w:rFonts w:cstheme="minorHAnsi"/>
          <w:i/>
        </w:rPr>
        <w:t>Elected Members</w:t>
      </w:r>
      <w:r w:rsidRPr="00A86401">
        <w:rPr>
          <w:rFonts w:cstheme="minorHAnsi"/>
          <w:i/>
        </w:rPr>
        <w:t xml:space="preserve"> and Committee</w:t>
      </w:r>
      <w:r w:rsidRPr="00A86401">
        <w:rPr>
          <w:rFonts w:cstheme="minorHAnsi"/>
          <w:i/>
          <w:spacing w:val="-17"/>
        </w:rPr>
        <w:t xml:space="preserve"> </w:t>
      </w:r>
      <w:r w:rsidRPr="00A86401">
        <w:rPr>
          <w:rFonts w:cstheme="minorHAnsi"/>
          <w:i/>
        </w:rPr>
        <w:t>Members</w:t>
      </w:r>
    </w:p>
    <w:p w14:paraId="5F5EAC73" w14:textId="77777777" w:rsidR="00C63DFC" w:rsidRPr="00A86401" w:rsidRDefault="00C63DFC" w:rsidP="00303E96">
      <w:pPr>
        <w:pStyle w:val="BodyText"/>
        <w:widowControl w:val="0"/>
        <w:numPr>
          <w:ilvl w:val="0"/>
          <w:numId w:val="485"/>
        </w:numPr>
        <w:autoSpaceDE w:val="0"/>
        <w:autoSpaceDN w:val="0"/>
        <w:spacing w:after="200"/>
        <w:ind w:left="993" w:right="142" w:hanging="426"/>
        <w:jc w:val="both"/>
        <w:rPr>
          <w:rFonts w:asciiTheme="minorHAnsi" w:hAnsiTheme="minorHAnsi" w:cstheme="minorHAnsi"/>
          <w:szCs w:val="22"/>
        </w:rPr>
      </w:pPr>
      <w:r>
        <w:rPr>
          <w:rFonts w:asciiTheme="minorHAnsi" w:hAnsiTheme="minorHAnsi" w:cstheme="minorHAnsi"/>
          <w:szCs w:val="22"/>
        </w:rPr>
        <w:t>Elected members</w:t>
      </w:r>
      <w:r w:rsidRPr="00A86401">
        <w:rPr>
          <w:rFonts w:asciiTheme="minorHAnsi" w:hAnsiTheme="minorHAnsi" w:cstheme="minorHAnsi"/>
          <w:spacing w:val="-6"/>
          <w:szCs w:val="22"/>
        </w:rPr>
        <w:t xml:space="preserve"> </w:t>
      </w:r>
      <w:r w:rsidRPr="00A86401">
        <w:rPr>
          <w:rFonts w:asciiTheme="minorHAnsi" w:hAnsiTheme="minorHAnsi" w:cstheme="minorHAnsi"/>
          <w:szCs w:val="22"/>
        </w:rPr>
        <w:t>and</w:t>
      </w:r>
      <w:r w:rsidRPr="00A86401">
        <w:rPr>
          <w:rFonts w:asciiTheme="minorHAnsi" w:hAnsiTheme="minorHAnsi" w:cstheme="minorHAnsi"/>
          <w:spacing w:val="-5"/>
          <w:szCs w:val="22"/>
        </w:rPr>
        <w:t xml:space="preserve"> </w:t>
      </w:r>
      <w:r w:rsidRPr="00A86401">
        <w:rPr>
          <w:rFonts w:asciiTheme="minorHAnsi" w:hAnsiTheme="minorHAnsi" w:cstheme="minorHAnsi"/>
          <w:szCs w:val="22"/>
        </w:rPr>
        <w:t>Committee</w:t>
      </w:r>
      <w:r w:rsidRPr="00A86401">
        <w:rPr>
          <w:rFonts w:asciiTheme="minorHAnsi" w:hAnsiTheme="minorHAnsi" w:cstheme="minorHAnsi"/>
          <w:spacing w:val="-8"/>
          <w:szCs w:val="22"/>
        </w:rPr>
        <w:t xml:space="preserve"> </w:t>
      </w:r>
      <w:r w:rsidRPr="00A86401">
        <w:rPr>
          <w:rFonts w:asciiTheme="minorHAnsi" w:hAnsiTheme="minorHAnsi" w:cstheme="minorHAnsi"/>
          <w:szCs w:val="22"/>
        </w:rPr>
        <w:t>members</w:t>
      </w:r>
      <w:r w:rsidRPr="00A86401">
        <w:rPr>
          <w:rFonts w:asciiTheme="minorHAnsi" w:hAnsiTheme="minorHAnsi" w:cstheme="minorHAnsi"/>
          <w:spacing w:val="-6"/>
          <w:szCs w:val="22"/>
        </w:rPr>
        <w:t xml:space="preserve"> </w:t>
      </w:r>
      <w:r w:rsidRPr="00A86401">
        <w:rPr>
          <w:rFonts w:asciiTheme="minorHAnsi" w:hAnsiTheme="minorHAnsi" w:cstheme="minorHAnsi"/>
          <w:szCs w:val="22"/>
        </w:rPr>
        <w:t>have</w:t>
      </w:r>
      <w:r w:rsidRPr="00A86401">
        <w:rPr>
          <w:rFonts w:asciiTheme="minorHAnsi" w:hAnsiTheme="minorHAnsi" w:cstheme="minorHAnsi"/>
          <w:spacing w:val="-5"/>
          <w:szCs w:val="22"/>
        </w:rPr>
        <w:t xml:space="preserve"> </w:t>
      </w:r>
      <w:r w:rsidRPr="00A86401">
        <w:rPr>
          <w:rFonts w:asciiTheme="minorHAnsi" w:hAnsiTheme="minorHAnsi" w:cstheme="minorHAnsi"/>
          <w:szCs w:val="22"/>
        </w:rPr>
        <w:t>a</w:t>
      </w:r>
      <w:r w:rsidRPr="00A86401">
        <w:rPr>
          <w:rFonts w:asciiTheme="minorHAnsi" w:hAnsiTheme="minorHAnsi" w:cstheme="minorHAnsi"/>
          <w:spacing w:val="-5"/>
          <w:szCs w:val="22"/>
        </w:rPr>
        <w:t xml:space="preserve"> </w:t>
      </w:r>
      <w:r w:rsidRPr="00A86401">
        <w:rPr>
          <w:rFonts w:asciiTheme="minorHAnsi" w:hAnsiTheme="minorHAnsi" w:cstheme="minorHAnsi"/>
          <w:szCs w:val="22"/>
        </w:rPr>
        <w:t>responsibility</w:t>
      </w:r>
      <w:r w:rsidRPr="00A86401">
        <w:rPr>
          <w:rFonts w:asciiTheme="minorHAnsi" w:hAnsiTheme="minorHAnsi" w:cstheme="minorHAnsi"/>
          <w:spacing w:val="-9"/>
          <w:szCs w:val="22"/>
        </w:rPr>
        <w:t xml:space="preserve"> </w:t>
      </w:r>
      <w:r w:rsidRPr="00A86401">
        <w:rPr>
          <w:rFonts w:asciiTheme="minorHAnsi" w:hAnsiTheme="minorHAnsi" w:cstheme="minorHAnsi"/>
          <w:szCs w:val="22"/>
        </w:rPr>
        <w:t>to</w:t>
      </w:r>
      <w:r w:rsidRPr="00A86401">
        <w:rPr>
          <w:rFonts w:asciiTheme="minorHAnsi" w:hAnsiTheme="minorHAnsi" w:cstheme="minorHAnsi"/>
          <w:spacing w:val="-5"/>
          <w:szCs w:val="22"/>
        </w:rPr>
        <w:t xml:space="preserve"> </w:t>
      </w:r>
      <w:r w:rsidRPr="00A86401">
        <w:rPr>
          <w:rFonts w:asciiTheme="minorHAnsi" w:hAnsiTheme="minorHAnsi" w:cstheme="minorHAnsi"/>
          <w:szCs w:val="22"/>
        </w:rPr>
        <w:t>be</w:t>
      </w:r>
      <w:r w:rsidRPr="00A86401">
        <w:rPr>
          <w:rFonts w:asciiTheme="minorHAnsi" w:hAnsiTheme="minorHAnsi" w:cstheme="minorHAnsi"/>
          <w:spacing w:val="-8"/>
          <w:szCs w:val="22"/>
        </w:rPr>
        <w:t xml:space="preserve"> </w:t>
      </w:r>
      <w:r w:rsidRPr="00A86401">
        <w:rPr>
          <w:rFonts w:asciiTheme="minorHAnsi" w:hAnsiTheme="minorHAnsi" w:cstheme="minorHAnsi"/>
          <w:szCs w:val="22"/>
        </w:rPr>
        <w:t>aware</w:t>
      </w:r>
      <w:r w:rsidRPr="00A86401">
        <w:rPr>
          <w:rFonts w:asciiTheme="minorHAnsi" w:hAnsiTheme="minorHAnsi" w:cstheme="minorHAnsi"/>
          <w:spacing w:val="-5"/>
          <w:szCs w:val="22"/>
        </w:rPr>
        <w:t xml:space="preserve"> </w:t>
      </w:r>
      <w:r w:rsidRPr="00A86401">
        <w:rPr>
          <w:rFonts w:asciiTheme="minorHAnsi" w:hAnsiTheme="minorHAnsi" w:cstheme="minorHAnsi"/>
          <w:szCs w:val="22"/>
        </w:rPr>
        <w:t>of</w:t>
      </w:r>
      <w:r w:rsidRPr="00A86401">
        <w:rPr>
          <w:rFonts w:asciiTheme="minorHAnsi" w:hAnsiTheme="minorHAnsi" w:cstheme="minorHAnsi"/>
          <w:spacing w:val="-6"/>
          <w:szCs w:val="22"/>
        </w:rPr>
        <w:t xml:space="preserve"> </w:t>
      </w:r>
      <w:r w:rsidRPr="00A86401">
        <w:rPr>
          <w:rFonts w:asciiTheme="minorHAnsi" w:hAnsiTheme="minorHAnsi" w:cstheme="minorHAnsi"/>
          <w:szCs w:val="22"/>
        </w:rPr>
        <w:t>and abide by legislation applicable to their</w:t>
      </w:r>
      <w:r w:rsidRPr="00A86401">
        <w:rPr>
          <w:rFonts w:asciiTheme="minorHAnsi" w:hAnsiTheme="minorHAnsi" w:cstheme="minorHAnsi"/>
          <w:spacing w:val="-20"/>
          <w:szCs w:val="22"/>
        </w:rPr>
        <w:t xml:space="preserve"> </w:t>
      </w:r>
      <w:r w:rsidRPr="00A86401">
        <w:rPr>
          <w:rFonts w:asciiTheme="minorHAnsi" w:hAnsiTheme="minorHAnsi" w:cstheme="minorHAnsi"/>
          <w:szCs w:val="22"/>
        </w:rPr>
        <w:t>role.</w:t>
      </w:r>
    </w:p>
    <w:p w14:paraId="4E0AA1F3" w14:textId="77777777" w:rsidR="00C63DFC" w:rsidRPr="00A86401" w:rsidRDefault="00C63DFC" w:rsidP="00303E96">
      <w:pPr>
        <w:pStyle w:val="ListParagraph"/>
        <w:widowControl w:val="0"/>
        <w:numPr>
          <w:ilvl w:val="2"/>
          <w:numId w:val="484"/>
        </w:numPr>
        <w:autoSpaceDE w:val="0"/>
        <w:autoSpaceDN w:val="0"/>
        <w:spacing w:after="0" w:line="240" w:lineRule="auto"/>
        <w:ind w:left="567" w:hanging="567"/>
        <w:contextualSpacing w:val="0"/>
        <w:jc w:val="both"/>
        <w:rPr>
          <w:rFonts w:cstheme="minorHAnsi"/>
          <w:i/>
        </w:rPr>
      </w:pPr>
      <w:r w:rsidRPr="00A86401">
        <w:rPr>
          <w:rFonts w:cstheme="minorHAnsi"/>
          <w:i/>
        </w:rPr>
        <w:t>Senior Management Team (</w:t>
      </w:r>
      <w:r>
        <w:rPr>
          <w:rFonts w:cstheme="minorHAnsi"/>
          <w:i/>
        </w:rPr>
        <w:t xml:space="preserve">Executive </w:t>
      </w:r>
      <w:r w:rsidRPr="00A86401">
        <w:rPr>
          <w:rFonts w:cstheme="minorHAnsi"/>
          <w:i/>
        </w:rPr>
        <w:t>Manager</w:t>
      </w:r>
      <w:r>
        <w:rPr>
          <w:rFonts w:cstheme="minorHAnsi"/>
          <w:i/>
        </w:rPr>
        <w:t>s</w:t>
      </w:r>
      <w:r w:rsidRPr="00A86401">
        <w:rPr>
          <w:rFonts w:cstheme="minorHAnsi"/>
          <w:i/>
        </w:rPr>
        <w:t>)</w:t>
      </w:r>
    </w:p>
    <w:p w14:paraId="08F3CFE2" w14:textId="77777777" w:rsidR="00C63DFC" w:rsidRPr="00A86401" w:rsidRDefault="00C63DFC" w:rsidP="00303E96">
      <w:pPr>
        <w:pStyle w:val="BodyText"/>
        <w:widowControl w:val="0"/>
        <w:numPr>
          <w:ilvl w:val="0"/>
          <w:numId w:val="485"/>
        </w:numPr>
        <w:autoSpaceDE w:val="0"/>
        <w:autoSpaceDN w:val="0"/>
        <w:spacing w:after="200"/>
        <w:ind w:left="993" w:right="139" w:hanging="426"/>
        <w:jc w:val="both"/>
        <w:rPr>
          <w:rFonts w:asciiTheme="minorHAnsi" w:hAnsiTheme="minorHAnsi" w:cstheme="minorHAnsi"/>
          <w:szCs w:val="22"/>
        </w:rPr>
      </w:pPr>
      <w:r w:rsidRPr="00A86401">
        <w:rPr>
          <w:rFonts w:asciiTheme="minorHAnsi" w:hAnsiTheme="minorHAnsi" w:cstheme="minorHAnsi"/>
          <w:szCs w:val="22"/>
        </w:rPr>
        <w:t>Senior Management should ensure that directions relating to compliance are clear and unambiguous and that legal requirements which apply to each activity for which they are responsible are identified.</w:t>
      </w:r>
    </w:p>
    <w:p w14:paraId="0C7AB419" w14:textId="77777777" w:rsidR="00C63DFC" w:rsidRDefault="00C63DFC" w:rsidP="00303E96">
      <w:pPr>
        <w:pStyle w:val="BodyText"/>
        <w:widowControl w:val="0"/>
        <w:numPr>
          <w:ilvl w:val="0"/>
          <w:numId w:val="485"/>
        </w:numPr>
        <w:autoSpaceDE w:val="0"/>
        <w:autoSpaceDN w:val="0"/>
        <w:spacing w:after="200"/>
        <w:ind w:left="993" w:right="139" w:hanging="426"/>
        <w:jc w:val="both"/>
        <w:rPr>
          <w:rFonts w:asciiTheme="minorHAnsi" w:hAnsiTheme="minorHAnsi" w:cstheme="minorHAnsi"/>
          <w:szCs w:val="22"/>
        </w:rPr>
      </w:pPr>
      <w:r w:rsidRPr="00A86401">
        <w:rPr>
          <w:rFonts w:asciiTheme="minorHAnsi" w:hAnsiTheme="minorHAnsi" w:cstheme="minorHAnsi"/>
          <w:szCs w:val="22"/>
        </w:rPr>
        <w:t>Senior Management should have systems in place to ensure that all staff are given</w:t>
      </w:r>
      <w:r w:rsidRPr="00A86401">
        <w:rPr>
          <w:rFonts w:asciiTheme="minorHAnsi" w:hAnsiTheme="minorHAnsi" w:cstheme="minorHAnsi"/>
          <w:spacing w:val="-14"/>
          <w:szCs w:val="22"/>
        </w:rPr>
        <w:t xml:space="preserve"> </w:t>
      </w:r>
      <w:r w:rsidRPr="00A86401">
        <w:rPr>
          <w:rFonts w:asciiTheme="minorHAnsi" w:hAnsiTheme="minorHAnsi" w:cstheme="minorHAnsi"/>
          <w:szCs w:val="22"/>
        </w:rPr>
        <w:t>the</w:t>
      </w:r>
      <w:r w:rsidRPr="00A86401">
        <w:rPr>
          <w:rFonts w:asciiTheme="minorHAnsi" w:hAnsiTheme="minorHAnsi" w:cstheme="minorHAnsi"/>
          <w:spacing w:val="-16"/>
          <w:szCs w:val="22"/>
        </w:rPr>
        <w:t xml:space="preserve"> </w:t>
      </w:r>
      <w:r w:rsidRPr="00A86401">
        <w:rPr>
          <w:rFonts w:asciiTheme="minorHAnsi" w:hAnsiTheme="minorHAnsi" w:cstheme="minorHAnsi"/>
          <w:szCs w:val="22"/>
        </w:rPr>
        <w:t>opportunity</w:t>
      </w:r>
      <w:r w:rsidRPr="00A86401">
        <w:rPr>
          <w:rFonts w:asciiTheme="minorHAnsi" w:hAnsiTheme="minorHAnsi" w:cstheme="minorHAnsi"/>
          <w:spacing w:val="-17"/>
          <w:szCs w:val="22"/>
        </w:rPr>
        <w:t xml:space="preserve"> </w:t>
      </w:r>
      <w:r w:rsidRPr="00A86401">
        <w:rPr>
          <w:rFonts w:asciiTheme="minorHAnsi" w:hAnsiTheme="minorHAnsi" w:cstheme="minorHAnsi"/>
          <w:szCs w:val="22"/>
        </w:rPr>
        <w:t>to</w:t>
      </w:r>
      <w:r w:rsidRPr="00A86401">
        <w:rPr>
          <w:rFonts w:asciiTheme="minorHAnsi" w:hAnsiTheme="minorHAnsi" w:cstheme="minorHAnsi"/>
          <w:spacing w:val="-14"/>
          <w:szCs w:val="22"/>
        </w:rPr>
        <w:t xml:space="preserve"> </w:t>
      </w:r>
      <w:r w:rsidRPr="00A86401">
        <w:rPr>
          <w:rFonts w:asciiTheme="minorHAnsi" w:hAnsiTheme="minorHAnsi" w:cstheme="minorHAnsi"/>
          <w:szCs w:val="22"/>
        </w:rPr>
        <w:t>be</w:t>
      </w:r>
      <w:r w:rsidRPr="00A86401">
        <w:rPr>
          <w:rFonts w:asciiTheme="minorHAnsi" w:hAnsiTheme="minorHAnsi" w:cstheme="minorHAnsi"/>
          <w:spacing w:val="-14"/>
          <w:szCs w:val="22"/>
        </w:rPr>
        <w:t xml:space="preserve"> </w:t>
      </w:r>
      <w:r w:rsidRPr="00A86401">
        <w:rPr>
          <w:rFonts w:asciiTheme="minorHAnsi" w:hAnsiTheme="minorHAnsi" w:cstheme="minorHAnsi"/>
          <w:szCs w:val="22"/>
        </w:rPr>
        <w:t>kept</w:t>
      </w:r>
      <w:r w:rsidRPr="00A86401">
        <w:rPr>
          <w:rFonts w:asciiTheme="minorHAnsi" w:hAnsiTheme="minorHAnsi" w:cstheme="minorHAnsi"/>
          <w:spacing w:val="-17"/>
          <w:szCs w:val="22"/>
        </w:rPr>
        <w:t xml:space="preserve"> </w:t>
      </w:r>
      <w:r w:rsidRPr="00A86401">
        <w:rPr>
          <w:rFonts w:asciiTheme="minorHAnsi" w:hAnsiTheme="minorHAnsi" w:cstheme="minorHAnsi"/>
          <w:szCs w:val="22"/>
        </w:rPr>
        <w:t>fully</w:t>
      </w:r>
      <w:r w:rsidRPr="00A86401">
        <w:rPr>
          <w:rFonts w:asciiTheme="minorHAnsi" w:hAnsiTheme="minorHAnsi" w:cstheme="minorHAnsi"/>
          <w:spacing w:val="-17"/>
          <w:szCs w:val="22"/>
        </w:rPr>
        <w:t xml:space="preserve"> </w:t>
      </w:r>
      <w:r w:rsidRPr="00A86401">
        <w:rPr>
          <w:rFonts w:asciiTheme="minorHAnsi" w:hAnsiTheme="minorHAnsi" w:cstheme="minorHAnsi"/>
          <w:szCs w:val="22"/>
        </w:rPr>
        <w:t>informed,</w:t>
      </w:r>
      <w:r w:rsidRPr="00A86401">
        <w:rPr>
          <w:rFonts w:asciiTheme="minorHAnsi" w:hAnsiTheme="minorHAnsi" w:cstheme="minorHAnsi"/>
          <w:spacing w:val="-14"/>
          <w:szCs w:val="22"/>
        </w:rPr>
        <w:t xml:space="preserve"> </w:t>
      </w:r>
      <w:r w:rsidRPr="00A86401">
        <w:rPr>
          <w:rFonts w:asciiTheme="minorHAnsi" w:hAnsiTheme="minorHAnsi" w:cstheme="minorHAnsi"/>
          <w:szCs w:val="22"/>
        </w:rPr>
        <w:t>briefed</w:t>
      </w:r>
      <w:r w:rsidRPr="00A86401">
        <w:rPr>
          <w:rFonts w:asciiTheme="minorHAnsi" w:hAnsiTheme="minorHAnsi" w:cstheme="minorHAnsi"/>
          <w:spacing w:val="-16"/>
          <w:szCs w:val="22"/>
        </w:rPr>
        <w:t xml:space="preserve"> </w:t>
      </w:r>
      <w:r w:rsidRPr="00A86401">
        <w:rPr>
          <w:rFonts w:asciiTheme="minorHAnsi" w:hAnsiTheme="minorHAnsi" w:cstheme="minorHAnsi"/>
          <w:szCs w:val="22"/>
        </w:rPr>
        <w:t>and/or</w:t>
      </w:r>
      <w:r w:rsidRPr="00A86401">
        <w:rPr>
          <w:rFonts w:asciiTheme="minorHAnsi" w:hAnsiTheme="minorHAnsi" w:cstheme="minorHAnsi"/>
          <w:spacing w:val="-16"/>
          <w:szCs w:val="22"/>
        </w:rPr>
        <w:t xml:space="preserve"> </w:t>
      </w:r>
      <w:r w:rsidRPr="00A86401">
        <w:rPr>
          <w:rFonts w:asciiTheme="minorHAnsi" w:hAnsiTheme="minorHAnsi" w:cstheme="minorHAnsi"/>
          <w:szCs w:val="22"/>
        </w:rPr>
        <w:t>trained</w:t>
      </w:r>
      <w:r w:rsidRPr="00A86401">
        <w:rPr>
          <w:rFonts w:asciiTheme="minorHAnsi" w:hAnsiTheme="minorHAnsi" w:cstheme="minorHAnsi"/>
          <w:spacing w:val="-19"/>
          <w:szCs w:val="22"/>
        </w:rPr>
        <w:t xml:space="preserve"> </w:t>
      </w:r>
      <w:r w:rsidRPr="00A86401">
        <w:rPr>
          <w:rFonts w:asciiTheme="minorHAnsi" w:hAnsiTheme="minorHAnsi" w:cstheme="minorHAnsi"/>
          <w:szCs w:val="22"/>
        </w:rPr>
        <w:t>about</w:t>
      </w:r>
      <w:r w:rsidRPr="00A86401">
        <w:rPr>
          <w:rFonts w:asciiTheme="minorHAnsi" w:hAnsiTheme="minorHAnsi" w:cstheme="minorHAnsi"/>
          <w:spacing w:val="-14"/>
          <w:szCs w:val="22"/>
        </w:rPr>
        <w:t xml:space="preserve"> </w:t>
      </w:r>
      <w:r w:rsidRPr="00A86401">
        <w:rPr>
          <w:rFonts w:asciiTheme="minorHAnsi" w:hAnsiTheme="minorHAnsi" w:cstheme="minorHAnsi"/>
          <w:szCs w:val="22"/>
        </w:rPr>
        <w:t>key legal requirements relative to their work within the financial capacity to do</w:t>
      </w:r>
      <w:r w:rsidRPr="00A86401">
        <w:rPr>
          <w:rFonts w:asciiTheme="minorHAnsi" w:hAnsiTheme="minorHAnsi" w:cstheme="minorHAnsi"/>
          <w:spacing w:val="-34"/>
          <w:szCs w:val="22"/>
        </w:rPr>
        <w:t xml:space="preserve"> </w:t>
      </w:r>
      <w:r w:rsidRPr="00A86401">
        <w:rPr>
          <w:rFonts w:asciiTheme="minorHAnsi" w:hAnsiTheme="minorHAnsi" w:cstheme="minorHAnsi"/>
          <w:szCs w:val="22"/>
        </w:rPr>
        <w:t>so.</w:t>
      </w:r>
    </w:p>
    <w:p w14:paraId="5A5BCFE3" w14:textId="77777777" w:rsidR="00C63DFC" w:rsidRPr="00A86401" w:rsidRDefault="00C63DFC" w:rsidP="00303E96">
      <w:pPr>
        <w:pStyle w:val="ListParagraph"/>
        <w:widowControl w:val="0"/>
        <w:numPr>
          <w:ilvl w:val="2"/>
          <w:numId w:val="484"/>
        </w:numPr>
        <w:autoSpaceDE w:val="0"/>
        <w:autoSpaceDN w:val="0"/>
        <w:spacing w:before="92" w:after="0" w:line="240" w:lineRule="auto"/>
        <w:ind w:left="567" w:hanging="567"/>
        <w:contextualSpacing w:val="0"/>
        <w:rPr>
          <w:rFonts w:cstheme="minorHAnsi"/>
          <w:i/>
        </w:rPr>
      </w:pPr>
      <w:r w:rsidRPr="00A86401">
        <w:rPr>
          <w:rFonts w:cstheme="minorHAnsi"/>
          <w:i/>
        </w:rPr>
        <w:t>Employees</w:t>
      </w:r>
    </w:p>
    <w:p w14:paraId="0F432922" w14:textId="77777777" w:rsidR="00C63DFC" w:rsidRPr="0085522F" w:rsidRDefault="00C63DFC" w:rsidP="00303E96">
      <w:pPr>
        <w:pStyle w:val="ListParagraph"/>
        <w:numPr>
          <w:ilvl w:val="0"/>
          <w:numId w:val="486"/>
        </w:numPr>
        <w:tabs>
          <w:tab w:val="left" w:pos="993"/>
        </w:tabs>
        <w:autoSpaceDE w:val="0"/>
        <w:autoSpaceDN w:val="0"/>
        <w:adjustRightInd w:val="0"/>
        <w:spacing w:after="0" w:line="240" w:lineRule="auto"/>
        <w:ind w:left="993" w:hanging="426"/>
        <w:jc w:val="both"/>
        <w:rPr>
          <w:rFonts w:cstheme="minorHAnsi"/>
        </w:rPr>
      </w:pPr>
      <w:r w:rsidRPr="0085522F">
        <w:rPr>
          <w:rFonts w:eastAsia="Arial" w:cstheme="minorHAnsi"/>
          <w:lang w:val="en-US"/>
        </w:rPr>
        <w:t xml:space="preserve">Comply with relevant legislative obligations within the scope of their </w:t>
      </w:r>
      <w:r w:rsidRPr="0085522F">
        <w:rPr>
          <w:rFonts w:cstheme="minorHAnsi"/>
        </w:rPr>
        <w:t xml:space="preserve">roles and their delegated </w:t>
      </w:r>
      <w:proofErr w:type="gramStart"/>
      <w:r w:rsidRPr="0085522F">
        <w:rPr>
          <w:rFonts w:cstheme="minorHAnsi"/>
        </w:rPr>
        <w:t>authority;</w:t>
      </w:r>
      <w:proofErr w:type="gramEnd"/>
    </w:p>
    <w:p w14:paraId="1E8DC5E2" w14:textId="77777777" w:rsidR="00C63DFC" w:rsidRPr="009C0F0F" w:rsidRDefault="00C63DFC" w:rsidP="00303E96">
      <w:pPr>
        <w:pStyle w:val="ListParagraph"/>
        <w:numPr>
          <w:ilvl w:val="0"/>
          <w:numId w:val="486"/>
        </w:numPr>
        <w:autoSpaceDE w:val="0"/>
        <w:autoSpaceDN w:val="0"/>
        <w:adjustRightInd w:val="0"/>
        <w:spacing w:after="0" w:line="240" w:lineRule="auto"/>
        <w:ind w:left="993" w:hanging="426"/>
        <w:jc w:val="both"/>
        <w:rPr>
          <w:rFonts w:eastAsia="Arial" w:cstheme="minorHAnsi"/>
          <w:lang w:val="en-US"/>
        </w:rPr>
      </w:pPr>
      <w:r w:rsidRPr="009C0F0F">
        <w:rPr>
          <w:rFonts w:eastAsia="Arial" w:cstheme="minorHAnsi"/>
          <w:lang w:val="en-US"/>
        </w:rPr>
        <w:t>Follow relevant procedures, guidelines and checklists as far as practicable and implement this Policy</w:t>
      </w:r>
    </w:p>
    <w:p w14:paraId="3FED4259" w14:textId="77777777" w:rsidR="00C63DFC" w:rsidRPr="0085522F" w:rsidRDefault="00C63DFC" w:rsidP="00303E96">
      <w:pPr>
        <w:pStyle w:val="ListParagraph"/>
        <w:numPr>
          <w:ilvl w:val="0"/>
          <w:numId w:val="486"/>
        </w:numPr>
        <w:autoSpaceDE w:val="0"/>
        <w:autoSpaceDN w:val="0"/>
        <w:adjustRightInd w:val="0"/>
        <w:spacing w:after="0" w:line="240" w:lineRule="auto"/>
        <w:ind w:left="993" w:hanging="426"/>
        <w:jc w:val="both"/>
        <w:rPr>
          <w:rFonts w:cstheme="minorHAnsi"/>
        </w:rPr>
      </w:pPr>
      <w:r w:rsidRPr="0085522F">
        <w:rPr>
          <w:rFonts w:cstheme="minorHAnsi"/>
        </w:rPr>
        <w:t>Employees have a duty to seek information on legislative requirements applicable to their area of work and to comply with the legislation.</w:t>
      </w:r>
    </w:p>
    <w:p w14:paraId="0C17229B" w14:textId="77777777" w:rsidR="00C63DFC" w:rsidRPr="00AF390E" w:rsidRDefault="00C63DFC" w:rsidP="00303E96">
      <w:pPr>
        <w:pStyle w:val="ListParagraph"/>
        <w:numPr>
          <w:ilvl w:val="0"/>
          <w:numId w:val="486"/>
        </w:numPr>
        <w:autoSpaceDE w:val="0"/>
        <w:autoSpaceDN w:val="0"/>
        <w:adjustRightInd w:val="0"/>
        <w:spacing w:after="0" w:line="240" w:lineRule="auto"/>
        <w:ind w:left="993" w:hanging="426"/>
        <w:jc w:val="both"/>
        <w:rPr>
          <w:rFonts w:cstheme="minorHAnsi"/>
        </w:rPr>
      </w:pPr>
      <w:r w:rsidRPr="0085522F">
        <w:rPr>
          <w:rFonts w:cstheme="minorHAnsi"/>
        </w:rPr>
        <w:lastRenderedPageBreak/>
        <w:t>Employees shall report through their supervisors to senior management any areas of non-compliance that they become aware of.</w:t>
      </w:r>
    </w:p>
    <w:p w14:paraId="6E9758B7" w14:textId="77777777" w:rsidR="00C63DFC" w:rsidRPr="00DD5F1E" w:rsidRDefault="00C63DFC" w:rsidP="00C63DFC">
      <w:pPr>
        <w:spacing w:before="200" w:after="0"/>
        <w:jc w:val="both"/>
        <w:rPr>
          <w:b/>
          <w:sz w:val="28"/>
          <w:szCs w:val="28"/>
          <w:lang w:val="en-US"/>
        </w:rPr>
      </w:pPr>
      <w:r w:rsidRPr="00DD5F1E">
        <w:rPr>
          <w:b/>
          <w:sz w:val="28"/>
          <w:szCs w:val="28"/>
          <w:lang w:val="en-US"/>
        </w:rPr>
        <w:t>Procedure</w:t>
      </w:r>
    </w:p>
    <w:p w14:paraId="3F335E77" w14:textId="77777777" w:rsidR="00C63DFC" w:rsidRPr="00585C2D" w:rsidRDefault="00C63DFC" w:rsidP="00C63DFC">
      <w:pPr>
        <w:spacing w:after="60" w:line="240" w:lineRule="auto"/>
        <w:ind w:right="-23"/>
        <w:jc w:val="both"/>
        <w:rPr>
          <w:rFonts w:eastAsia="Arial" w:cstheme="minorHAnsi"/>
        </w:rPr>
      </w:pPr>
      <w:r>
        <w:t>As part of its Legislative Compliance Management System, Council will have in place a Legislative</w:t>
      </w:r>
      <w:r>
        <w:rPr>
          <w:spacing w:val="-5"/>
        </w:rPr>
        <w:t xml:space="preserve"> </w:t>
      </w:r>
      <w:r>
        <w:t>Compliance</w:t>
      </w:r>
      <w:r>
        <w:rPr>
          <w:spacing w:val="-5"/>
        </w:rPr>
        <w:t xml:space="preserve"> </w:t>
      </w:r>
      <w:r>
        <w:t>Procedure</w:t>
      </w:r>
      <w:r>
        <w:rPr>
          <w:spacing w:val="-5"/>
        </w:rPr>
        <w:t xml:space="preserve"> </w:t>
      </w:r>
      <w:r>
        <w:t>to</w:t>
      </w:r>
      <w:r>
        <w:rPr>
          <w:spacing w:val="-8"/>
        </w:rPr>
        <w:t xml:space="preserve"> </w:t>
      </w:r>
      <w:r>
        <w:t>ensure</w:t>
      </w:r>
      <w:r>
        <w:rPr>
          <w:spacing w:val="-8"/>
        </w:rPr>
        <w:t xml:space="preserve"> </w:t>
      </w:r>
      <w:r>
        <w:t>that</w:t>
      </w:r>
      <w:r>
        <w:rPr>
          <w:spacing w:val="-6"/>
        </w:rPr>
        <w:t xml:space="preserve"> </w:t>
      </w:r>
      <w:r>
        <w:t>staff</w:t>
      </w:r>
      <w:r>
        <w:rPr>
          <w:spacing w:val="-3"/>
        </w:rPr>
        <w:t xml:space="preserve"> </w:t>
      </w:r>
      <w:r>
        <w:t>utilise</w:t>
      </w:r>
      <w:r>
        <w:rPr>
          <w:spacing w:val="-5"/>
        </w:rPr>
        <w:t xml:space="preserve"> </w:t>
      </w:r>
      <w:r>
        <w:t>the</w:t>
      </w:r>
      <w:r>
        <w:rPr>
          <w:spacing w:val="-5"/>
        </w:rPr>
        <w:t xml:space="preserve"> </w:t>
      </w:r>
      <w:r>
        <w:t>latest</w:t>
      </w:r>
      <w:r>
        <w:rPr>
          <w:spacing w:val="-6"/>
        </w:rPr>
        <w:t xml:space="preserve"> </w:t>
      </w:r>
      <w:r>
        <w:t>version</w:t>
      </w:r>
      <w:r>
        <w:rPr>
          <w:spacing w:val="-5"/>
        </w:rPr>
        <w:t xml:space="preserve"> </w:t>
      </w:r>
      <w:r>
        <w:t>of</w:t>
      </w:r>
      <w:r>
        <w:rPr>
          <w:spacing w:val="-3"/>
        </w:rPr>
        <w:t xml:space="preserve"> </w:t>
      </w:r>
      <w:r>
        <w:t>legislation and</w:t>
      </w:r>
      <w:r>
        <w:rPr>
          <w:spacing w:val="-16"/>
        </w:rPr>
        <w:t xml:space="preserve"> </w:t>
      </w:r>
      <w:r>
        <w:t>when</w:t>
      </w:r>
      <w:r>
        <w:rPr>
          <w:spacing w:val="-16"/>
        </w:rPr>
        <w:t xml:space="preserve"> </w:t>
      </w:r>
      <w:r>
        <w:t>legislation</w:t>
      </w:r>
      <w:r>
        <w:rPr>
          <w:spacing w:val="-16"/>
        </w:rPr>
        <w:t xml:space="preserve"> </w:t>
      </w:r>
      <w:r>
        <w:t>changes,</w:t>
      </w:r>
      <w:r>
        <w:rPr>
          <w:spacing w:val="-17"/>
        </w:rPr>
        <w:t xml:space="preserve"> </w:t>
      </w:r>
      <w:r>
        <w:t>steps</w:t>
      </w:r>
      <w:r>
        <w:rPr>
          <w:spacing w:val="-17"/>
        </w:rPr>
        <w:t xml:space="preserve"> </w:t>
      </w:r>
      <w:r>
        <w:t>are</w:t>
      </w:r>
      <w:r>
        <w:rPr>
          <w:spacing w:val="-16"/>
        </w:rPr>
        <w:t xml:space="preserve"> </w:t>
      </w:r>
      <w:r>
        <w:t>taken</w:t>
      </w:r>
      <w:r>
        <w:rPr>
          <w:spacing w:val="-19"/>
        </w:rPr>
        <w:t xml:space="preserve"> </w:t>
      </w:r>
      <w:r>
        <w:t>to</w:t>
      </w:r>
      <w:r>
        <w:rPr>
          <w:spacing w:val="-16"/>
        </w:rPr>
        <w:t xml:space="preserve"> </w:t>
      </w:r>
      <w:r>
        <w:t>ensure</w:t>
      </w:r>
      <w:r>
        <w:rPr>
          <w:spacing w:val="-16"/>
        </w:rPr>
        <w:t xml:space="preserve"> </w:t>
      </w:r>
      <w:r>
        <w:t>that</w:t>
      </w:r>
      <w:r>
        <w:rPr>
          <w:spacing w:val="-17"/>
        </w:rPr>
        <w:t xml:space="preserve"> </w:t>
      </w:r>
      <w:r>
        <w:t>staff</w:t>
      </w:r>
      <w:r>
        <w:rPr>
          <w:spacing w:val="-15"/>
        </w:rPr>
        <w:t xml:space="preserve"> </w:t>
      </w:r>
      <w:r>
        <w:t>are</w:t>
      </w:r>
      <w:r>
        <w:rPr>
          <w:spacing w:val="-19"/>
        </w:rPr>
        <w:t xml:space="preserve"> </w:t>
      </w:r>
      <w:r>
        <w:t>aware</w:t>
      </w:r>
      <w:r>
        <w:rPr>
          <w:spacing w:val="-16"/>
        </w:rPr>
        <w:t xml:space="preserve"> </w:t>
      </w:r>
      <w:r>
        <w:t>of</w:t>
      </w:r>
      <w:r>
        <w:rPr>
          <w:spacing w:val="-17"/>
        </w:rPr>
        <w:t xml:space="preserve"> </w:t>
      </w:r>
      <w:r>
        <w:t>amendments to legislation. The Legislative Compliance Procedure is an attachment to this policy.</w:t>
      </w:r>
    </w:p>
    <w:p w14:paraId="30BBC9FB" w14:textId="77777777" w:rsidR="00C63DFC" w:rsidRPr="00585C2D" w:rsidRDefault="00C63DFC" w:rsidP="00C63DFC">
      <w:pPr>
        <w:spacing w:before="78" w:after="0" w:line="241" w:lineRule="auto"/>
        <w:ind w:right="1179"/>
        <w:rPr>
          <w:rFonts w:eastAsia="Arial" w:cstheme="minorHAnsi"/>
        </w:rPr>
      </w:pPr>
    </w:p>
    <w:tbl>
      <w:tblPr>
        <w:tblStyle w:val="TableGrid"/>
        <w:tblW w:w="0" w:type="auto"/>
        <w:tblLook w:val="04A0" w:firstRow="1" w:lastRow="0" w:firstColumn="1" w:lastColumn="0" w:noHBand="0" w:noVBand="1"/>
      </w:tblPr>
      <w:tblGrid>
        <w:gridCol w:w="3050"/>
        <w:gridCol w:w="5966"/>
      </w:tblGrid>
      <w:tr w:rsidR="00C63DFC" w:rsidRPr="0096334F" w14:paraId="160616F2" w14:textId="77777777" w:rsidTr="00DC5B9C">
        <w:tc>
          <w:tcPr>
            <w:tcW w:w="3050" w:type="dxa"/>
          </w:tcPr>
          <w:p w14:paraId="2F40785A" w14:textId="77777777" w:rsidR="00C63DFC" w:rsidRPr="0096334F" w:rsidRDefault="00C63DFC" w:rsidP="00DC5B9C">
            <w:pPr>
              <w:jc w:val="both"/>
              <w:rPr>
                <w:rFonts w:cstheme="minorHAnsi"/>
                <w:b/>
                <w:lang w:val="en-US"/>
              </w:rPr>
            </w:pPr>
            <w:r w:rsidRPr="0096334F">
              <w:rPr>
                <w:rFonts w:cstheme="minorHAnsi"/>
                <w:b/>
                <w:lang w:val="en-US"/>
              </w:rPr>
              <w:t>Responsible Directorate:</w:t>
            </w:r>
          </w:p>
        </w:tc>
        <w:tc>
          <w:tcPr>
            <w:tcW w:w="5966" w:type="dxa"/>
          </w:tcPr>
          <w:p w14:paraId="5755EA30" w14:textId="77777777" w:rsidR="00C63DFC" w:rsidRPr="0096334F" w:rsidRDefault="00C63DFC" w:rsidP="00DC5B9C">
            <w:pPr>
              <w:jc w:val="both"/>
              <w:rPr>
                <w:rFonts w:cstheme="minorHAnsi"/>
                <w:lang w:val="en-US"/>
              </w:rPr>
            </w:pPr>
            <w:r w:rsidRPr="0096334F">
              <w:rPr>
                <w:rFonts w:cstheme="minorHAnsi"/>
                <w:lang w:val="en-US"/>
              </w:rPr>
              <w:t>Office of the CEO</w:t>
            </w:r>
          </w:p>
        </w:tc>
      </w:tr>
      <w:tr w:rsidR="00C63DFC" w:rsidRPr="0096334F" w14:paraId="6DA46025" w14:textId="77777777" w:rsidTr="00DC5B9C">
        <w:tc>
          <w:tcPr>
            <w:tcW w:w="3050" w:type="dxa"/>
          </w:tcPr>
          <w:p w14:paraId="02AAFDC9" w14:textId="77777777" w:rsidR="00C63DFC" w:rsidRPr="0096334F" w:rsidRDefault="00C63DFC" w:rsidP="00DC5B9C">
            <w:pPr>
              <w:jc w:val="both"/>
              <w:rPr>
                <w:rFonts w:cstheme="minorHAnsi"/>
                <w:b/>
                <w:lang w:val="en-US"/>
              </w:rPr>
            </w:pPr>
            <w:r w:rsidRPr="0096334F">
              <w:rPr>
                <w:rFonts w:cstheme="minorHAnsi"/>
                <w:b/>
                <w:lang w:val="en-US"/>
              </w:rPr>
              <w:t>Reviewing Officer:</w:t>
            </w:r>
          </w:p>
        </w:tc>
        <w:tc>
          <w:tcPr>
            <w:tcW w:w="5966" w:type="dxa"/>
          </w:tcPr>
          <w:p w14:paraId="74D6C083" w14:textId="77777777" w:rsidR="00C63DFC" w:rsidRPr="0096334F" w:rsidRDefault="00C63DFC" w:rsidP="00DC5B9C">
            <w:pPr>
              <w:jc w:val="both"/>
              <w:rPr>
                <w:rFonts w:cstheme="minorHAnsi"/>
                <w:lang w:val="en-US"/>
              </w:rPr>
            </w:pPr>
            <w:r w:rsidRPr="0096334F">
              <w:rPr>
                <w:rFonts w:cstheme="minorHAnsi"/>
                <w:lang w:val="en-US"/>
              </w:rPr>
              <w:t>Chief Executive Officer</w:t>
            </w:r>
          </w:p>
        </w:tc>
      </w:tr>
      <w:tr w:rsidR="00C63DFC" w:rsidRPr="0096334F" w14:paraId="7AFFB468" w14:textId="77777777" w:rsidTr="00DC5B9C">
        <w:tc>
          <w:tcPr>
            <w:tcW w:w="3050" w:type="dxa"/>
          </w:tcPr>
          <w:p w14:paraId="56095444" w14:textId="77777777" w:rsidR="00C63DFC" w:rsidRPr="0096334F" w:rsidRDefault="00C63DFC" w:rsidP="00DC5B9C">
            <w:pPr>
              <w:jc w:val="both"/>
              <w:rPr>
                <w:rFonts w:cstheme="minorHAnsi"/>
                <w:b/>
                <w:lang w:val="en-US"/>
              </w:rPr>
            </w:pPr>
            <w:r w:rsidRPr="0096334F">
              <w:rPr>
                <w:rFonts w:cstheme="minorHAnsi"/>
                <w:b/>
                <w:lang w:val="en-US"/>
              </w:rPr>
              <w:t>Decision making Authority:</w:t>
            </w:r>
          </w:p>
        </w:tc>
        <w:tc>
          <w:tcPr>
            <w:tcW w:w="5966" w:type="dxa"/>
          </w:tcPr>
          <w:p w14:paraId="3EF2930A" w14:textId="77777777" w:rsidR="00C63DFC" w:rsidRPr="0096334F" w:rsidRDefault="00C63DFC" w:rsidP="00DC5B9C">
            <w:pPr>
              <w:jc w:val="both"/>
              <w:rPr>
                <w:rFonts w:cstheme="minorHAnsi"/>
                <w:lang w:val="en-US"/>
              </w:rPr>
            </w:pPr>
            <w:r>
              <w:rPr>
                <w:rFonts w:cstheme="minorHAnsi"/>
                <w:lang w:val="en-US"/>
              </w:rPr>
              <w:t xml:space="preserve">CEO </w:t>
            </w:r>
          </w:p>
        </w:tc>
      </w:tr>
      <w:tr w:rsidR="00C63DFC" w:rsidRPr="0096334F" w14:paraId="4849F530" w14:textId="77777777" w:rsidTr="00DC5B9C">
        <w:tc>
          <w:tcPr>
            <w:tcW w:w="3050" w:type="dxa"/>
          </w:tcPr>
          <w:p w14:paraId="3EB8E873" w14:textId="77777777" w:rsidR="00C63DFC" w:rsidRPr="0096334F" w:rsidRDefault="00C63DFC" w:rsidP="00DC5B9C">
            <w:pPr>
              <w:jc w:val="both"/>
              <w:rPr>
                <w:rFonts w:cstheme="minorHAnsi"/>
                <w:b/>
                <w:lang w:val="en-US"/>
              </w:rPr>
            </w:pPr>
            <w:r>
              <w:rPr>
                <w:rFonts w:cstheme="minorHAnsi"/>
                <w:b/>
                <w:lang w:val="en-US"/>
              </w:rPr>
              <w:t>Policy Adopted</w:t>
            </w:r>
          </w:p>
        </w:tc>
        <w:tc>
          <w:tcPr>
            <w:tcW w:w="5966" w:type="dxa"/>
          </w:tcPr>
          <w:p w14:paraId="56BA688E" w14:textId="77777777" w:rsidR="00C63DFC" w:rsidRDefault="00C63DFC" w:rsidP="00DC5B9C">
            <w:pPr>
              <w:jc w:val="both"/>
              <w:rPr>
                <w:rFonts w:cstheme="minorHAnsi"/>
                <w:lang w:val="en-US"/>
              </w:rPr>
            </w:pPr>
            <w:r>
              <w:rPr>
                <w:rFonts w:cstheme="minorHAnsi"/>
                <w:lang w:val="en-US"/>
              </w:rPr>
              <w:t>19/10/21</w:t>
            </w:r>
          </w:p>
        </w:tc>
      </w:tr>
      <w:tr w:rsidR="00C63DFC" w:rsidRPr="0096334F" w14:paraId="04A02291" w14:textId="77777777" w:rsidTr="00DC5B9C">
        <w:tc>
          <w:tcPr>
            <w:tcW w:w="3050" w:type="dxa"/>
          </w:tcPr>
          <w:p w14:paraId="585017F7" w14:textId="77777777" w:rsidR="00C63DFC" w:rsidRDefault="00C63DFC" w:rsidP="00DC5B9C">
            <w:pPr>
              <w:jc w:val="both"/>
              <w:rPr>
                <w:rFonts w:cstheme="minorHAnsi"/>
                <w:b/>
                <w:lang w:val="en-US"/>
              </w:rPr>
            </w:pPr>
            <w:r>
              <w:rPr>
                <w:rFonts w:cstheme="minorHAnsi"/>
                <w:b/>
                <w:lang w:val="en-US"/>
              </w:rPr>
              <w:t>Policy Amended/Reviewed</w:t>
            </w:r>
          </w:p>
        </w:tc>
        <w:tc>
          <w:tcPr>
            <w:tcW w:w="5966" w:type="dxa"/>
          </w:tcPr>
          <w:p w14:paraId="13B43D4B" w14:textId="77777777" w:rsidR="00C63DFC" w:rsidRDefault="00C63DFC" w:rsidP="00DC5B9C">
            <w:pPr>
              <w:jc w:val="both"/>
              <w:rPr>
                <w:rFonts w:cstheme="minorHAnsi"/>
                <w:lang w:val="en-US"/>
              </w:rPr>
            </w:pPr>
          </w:p>
        </w:tc>
      </w:tr>
    </w:tbl>
    <w:p w14:paraId="0E5AD09F" w14:textId="77777777" w:rsidR="00C63DFC" w:rsidRDefault="00C63DFC" w:rsidP="00C63DFC">
      <w:pPr>
        <w:jc w:val="both"/>
        <w:rPr>
          <w:rFonts w:cstheme="minorHAnsi"/>
          <w:lang w:val="en-US"/>
        </w:rPr>
      </w:pPr>
    </w:p>
    <w:p w14:paraId="4D02233A" w14:textId="77777777" w:rsidR="00C63DFC" w:rsidRDefault="00C63DFC" w:rsidP="00C63DFC">
      <w:pPr>
        <w:jc w:val="both"/>
        <w:rPr>
          <w:rFonts w:cstheme="minorHAnsi"/>
          <w:lang w:val="en-US"/>
        </w:rPr>
      </w:pPr>
    </w:p>
    <w:p w14:paraId="660E3C23" w14:textId="77777777" w:rsidR="00C63DFC" w:rsidRDefault="00C63DFC" w:rsidP="00C63DFC">
      <w:pPr>
        <w:spacing w:after="160" w:line="259" w:lineRule="auto"/>
        <w:rPr>
          <w:rFonts w:cstheme="minorHAnsi"/>
          <w:lang w:val="en-US"/>
        </w:rPr>
      </w:pPr>
      <w:r>
        <w:rPr>
          <w:rFonts w:cstheme="minorHAnsi"/>
          <w:lang w:val="en-US"/>
        </w:rPr>
        <w:br w:type="page"/>
      </w:r>
    </w:p>
    <w:p w14:paraId="4B260346" w14:textId="77777777" w:rsidR="00C63DFC" w:rsidRDefault="00C63DFC" w:rsidP="00C63DFC">
      <w:pPr>
        <w:pStyle w:val="BodyText"/>
        <w:ind w:left="7368"/>
        <w:rPr>
          <w:sz w:val="20"/>
        </w:rPr>
      </w:pPr>
      <w:r>
        <w:rPr>
          <w:noProof/>
          <w:sz w:val="20"/>
        </w:rPr>
        <w:lastRenderedPageBreak/>
        <w:drawing>
          <wp:anchor distT="0" distB="0" distL="114300" distR="114300" simplePos="0" relativeHeight="251706368" behindDoc="0" locked="0" layoutInCell="1" allowOverlap="1" wp14:anchorId="4DB665B0" wp14:editId="6967DD23">
            <wp:simplePos x="0" y="0"/>
            <wp:positionH relativeFrom="column">
              <wp:posOffset>3980142</wp:posOffset>
            </wp:positionH>
            <wp:positionV relativeFrom="paragraph">
              <wp:posOffset>332</wp:posOffset>
            </wp:positionV>
            <wp:extent cx="1615686" cy="688534"/>
            <wp:effectExtent l="0" t="0" r="3810" b="0"/>
            <wp:wrapSquare wrapText="bothSides"/>
            <wp:docPr id="473" name="image2.jpeg"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22016" cy="691232"/>
                    </a:xfrm>
                    <a:prstGeom prst="rect">
                      <a:avLst/>
                    </a:prstGeom>
                  </pic:spPr>
                </pic:pic>
              </a:graphicData>
            </a:graphic>
            <wp14:sizeRelH relativeFrom="margin">
              <wp14:pctWidth>0</wp14:pctWidth>
            </wp14:sizeRelH>
            <wp14:sizeRelV relativeFrom="margin">
              <wp14:pctHeight>0</wp14:pctHeight>
            </wp14:sizeRelV>
          </wp:anchor>
        </w:drawing>
      </w:r>
    </w:p>
    <w:p w14:paraId="0C58783D" w14:textId="77777777" w:rsidR="00C63DFC" w:rsidRDefault="00C63DFC" w:rsidP="00C63DFC">
      <w:pPr>
        <w:pStyle w:val="BodyText"/>
        <w:spacing w:before="7"/>
        <w:rPr>
          <w:sz w:val="14"/>
        </w:rPr>
      </w:pPr>
    </w:p>
    <w:p w14:paraId="39096D8A" w14:textId="77777777" w:rsidR="00C63DFC" w:rsidRPr="00F01918" w:rsidRDefault="00C63DFC" w:rsidP="00C63DFC">
      <w:pPr>
        <w:jc w:val="center"/>
        <w:rPr>
          <w:b/>
          <w:bCs/>
        </w:rPr>
      </w:pPr>
      <w:r>
        <w:rPr>
          <w:b/>
          <w:bCs/>
        </w:rPr>
        <w:t>LEGISLATIVE COMPLIANCE</w:t>
      </w:r>
      <w:r w:rsidRPr="00F01918">
        <w:rPr>
          <w:b/>
          <w:bCs/>
          <w:spacing w:val="-6"/>
        </w:rPr>
        <w:t xml:space="preserve"> </w:t>
      </w:r>
      <w:r w:rsidRPr="00F01918">
        <w:rPr>
          <w:b/>
          <w:bCs/>
        </w:rPr>
        <w:t>PROCEDURE</w:t>
      </w:r>
      <w:r>
        <w:rPr>
          <w:b/>
          <w:bCs/>
        </w:rPr>
        <w:t xml:space="preserve"> (PRO2.2.9)</w:t>
      </w:r>
    </w:p>
    <w:p w14:paraId="39BC1582" w14:textId="77777777" w:rsidR="00C63DFC" w:rsidRPr="00F01918" w:rsidRDefault="00C63DFC" w:rsidP="00C63DFC">
      <w:pPr>
        <w:pStyle w:val="BodyText"/>
        <w:spacing w:before="1"/>
        <w:rPr>
          <w:b/>
          <w:szCs w:val="22"/>
        </w:rPr>
      </w:pPr>
    </w:p>
    <w:p w14:paraId="7F91F5EA" w14:textId="77777777" w:rsidR="00C63DFC" w:rsidRPr="00F01918" w:rsidRDefault="00C63DFC" w:rsidP="00C63DFC">
      <w:pPr>
        <w:widowControl w:val="0"/>
        <w:tabs>
          <w:tab w:val="left" w:pos="952"/>
          <w:tab w:val="left" w:pos="953"/>
        </w:tabs>
        <w:autoSpaceDE w:val="0"/>
        <w:autoSpaceDN w:val="0"/>
        <w:spacing w:after="0" w:line="240" w:lineRule="auto"/>
        <w:ind w:left="426" w:hanging="426"/>
        <w:rPr>
          <w:b/>
        </w:rPr>
      </w:pPr>
      <w:r>
        <w:rPr>
          <w:b/>
        </w:rPr>
        <w:t>1.</w:t>
      </w:r>
      <w:r>
        <w:rPr>
          <w:b/>
        </w:rPr>
        <w:tab/>
      </w:r>
      <w:r w:rsidRPr="00F01918">
        <w:rPr>
          <w:b/>
        </w:rPr>
        <w:t>Identifying Current</w:t>
      </w:r>
      <w:r w:rsidRPr="00F01918">
        <w:rPr>
          <w:b/>
          <w:spacing w:val="-14"/>
        </w:rPr>
        <w:t xml:space="preserve"> </w:t>
      </w:r>
      <w:r w:rsidRPr="00F01918">
        <w:rPr>
          <w:b/>
        </w:rPr>
        <w:t>Legislation</w:t>
      </w:r>
    </w:p>
    <w:p w14:paraId="1D93FC1C" w14:textId="77777777" w:rsidR="00C63DFC" w:rsidRPr="00F01918" w:rsidRDefault="00C63DFC" w:rsidP="00C63DFC">
      <w:pPr>
        <w:widowControl w:val="0"/>
        <w:tabs>
          <w:tab w:val="left" w:pos="1651"/>
          <w:tab w:val="left" w:pos="1652"/>
        </w:tabs>
        <w:autoSpaceDE w:val="0"/>
        <w:autoSpaceDN w:val="0"/>
        <w:spacing w:after="0" w:line="240" w:lineRule="auto"/>
        <w:ind w:left="851" w:hanging="425"/>
        <w:rPr>
          <w:rFonts w:cstheme="minorHAnsi"/>
        </w:rPr>
      </w:pPr>
      <w:r>
        <w:rPr>
          <w:rFonts w:cstheme="minorHAnsi"/>
        </w:rPr>
        <w:t>1.1</w:t>
      </w:r>
      <w:r>
        <w:rPr>
          <w:rFonts w:cstheme="minorHAnsi"/>
        </w:rPr>
        <w:tab/>
      </w:r>
      <w:r w:rsidRPr="00B95018">
        <w:rPr>
          <w:rFonts w:cstheme="minorHAnsi"/>
          <w:u w:val="single"/>
        </w:rPr>
        <w:t>Electronic Versions of</w:t>
      </w:r>
      <w:r w:rsidRPr="00B95018">
        <w:rPr>
          <w:rFonts w:cstheme="minorHAnsi"/>
          <w:spacing w:val="-18"/>
          <w:u w:val="single"/>
        </w:rPr>
        <w:t xml:space="preserve"> </w:t>
      </w:r>
      <w:r w:rsidRPr="00B95018">
        <w:rPr>
          <w:rFonts w:cstheme="minorHAnsi"/>
          <w:u w:val="single"/>
        </w:rPr>
        <w:t>Legislation</w:t>
      </w:r>
    </w:p>
    <w:p w14:paraId="513B7970" w14:textId="77777777" w:rsidR="00C63DFC" w:rsidRPr="00F01918" w:rsidRDefault="00C63DFC" w:rsidP="00C63DFC">
      <w:pPr>
        <w:pStyle w:val="BodyText"/>
        <w:spacing w:after="0"/>
        <w:ind w:left="851" w:right="130"/>
        <w:jc w:val="both"/>
        <w:rPr>
          <w:rFonts w:asciiTheme="minorHAnsi" w:hAnsiTheme="minorHAnsi" w:cstheme="minorHAnsi"/>
          <w:szCs w:val="22"/>
        </w:rPr>
      </w:pPr>
      <w:r w:rsidRPr="00F01918">
        <w:rPr>
          <w:rFonts w:asciiTheme="minorHAnsi" w:hAnsiTheme="minorHAnsi" w:cstheme="minorHAnsi"/>
          <w:szCs w:val="22"/>
        </w:rPr>
        <w:t>Council</w:t>
      </w:r>
      <w:r w:rsidRPr="00F01918">
        <w:rPr>
          <w:rFonts w:asciiTheme="minorHAnsi" w:hAnsiTheme="minorHAnsi" w:cstheme="minorHAnsi"/>
          <w:spacing w:val="-15"/>
          <w:szCs w:val="22"/>
        </w:rPr>
        <w:t xml:space="preserve"> </w:t>
      </w:r>
      <w:r w:rsidRPr="00F01918">
        <w:rPr>
          <w:rFonts w:asciiTheme="minorHAnsi" w:hAnsiTheme="minorHAnsi" w:cstheme="minorHAnsi"/>
          <w:szCs w:val="22"/>
        </w:rPr>
        <w:t>accesses</w:t>
      </w:r>
      <w:r w:rsidRPr="00F01918">
        <w:rPr>
          <w:rFonts w:asciiTheme="minorHAnsi" w:hAnsiTheme="minorHAnsi" w:cstheme="minorHAnsi"/>
          <w:spacing w:val="-15"/>
          <w:szCs w:val="22"/>
        </w:rPr>
        <w:t xml:space="preserve"> </w:t>
      </w:r>
      <w:r w:rsidRPr="00F01918">
        <w:rPr>
          <w:rFonts w:asciiTheme="minorHAnsi" w:hAnsiTheme="minorHAnsi" w:cstheme="minorHAnsi"/>
          <w:szCs w:val="22"/>
        </w:rPr>
        <w:t>electronic</w:t>
      </w:r>
      <w:r w:rsidRPr="00F01918">
        <w:rPr>
          <w:rFonts w:asciiTheme="minorHAnsi" w:hAnsiTheme="minorHAnsi" w:cstheme="minorHAnsi"/>
          <w:spacing w:val="-15"/>
          <w:szCs w:val="22"/>
        </w:rPr>
        <w:t xml:space="preserve"> </w:t>
      </w:r>
      <w:r w:rsidRPr="00F01918">
        <w:rPr>
          <w:rFonts w:asciiTheme="minorHAnsi" w:hAnsiTheme="minorHAnsi" w:cstheme="minorHAnsi"/>
          <w:szCs w:val="22"/>
        </w:rPr>
        <w:t>up-to-date</w:t>
      </w:r>
      <w:r w:rsidRPr="00F01918">
        <w:rPr>
          <w:rFonts w:asciiTheme="minorHAnsi" w:hAnsiTheme="minorHAnsi" w:cstheme="minorHAnsi"/>
          <w:spacing w:val="-14"/>
          <w:szCs w:val="22"/>
        </w:rPr>
        <w:t xml:space="preserve"> </w:t>
      </w:r>
      <w:r w:rsidRPr="00F01918">
        <w:rPr>
          <w:rFonts w:asciiTheme="minorHAnsi" w:hAnsiTheme="minorHAnsi" w:cstheme="minorHAnsi"/>
          <w:szCs w:val="22"/>
        </w:rPr>
        <w:t>versions</w:t>
      </w:r>
      <w:r w:rsidRPr="00F01918">
        <w:rPr>
          <w:rFonts w:asciiTheme="minorHAnsi" w:hAnsiTheme="minorHAnsi" w:cstheme="minorHAnsi"/>
          <w:spacing w:val="-15"/>
          <w:szCs w:val="22"/>
        </w:rPr>
        <w:t xml:space="preserve"> </w:t>
      </w:r>
      <w:r w:rsidRPr="00F01918">
        <w:rPr>
          <w:rFonts w:asciiTheme="minorHAnsi" w:hAnsiTheme="minorHAnsi" w:cstheme="minorHAnsi"/>
          <w:szCs w:val="22"/>
        </w:rPr>
        <w:t>of</w:t>
      </w:r>
      <w:r w:rsidRPr="00F01918">
        <w:rPr>
          <w:rFonts w:asciiTheme="minorHAnsi" w:hAnsiTheme="minorHAnsi" w:cstheme="minorHAnsi"/>
          <w:spacing w:val="-12"/>
          <w:szCs w:val="22"/>
        </w:rPr>
        <w:t xml:space="preserve"> </w:t>
      </w:r>
      <w:r w:rsidRPr="00F01918">
        <w:rPr>
          <w:rFonts w:asciiTheme="minorHAnsi" w:hAnsiTheme="minorHAnsi" w:cstheme="minorHAnsi"/>
          <w:szCs w:val="22"/>
        </w:rPr>
        <w:t>legislation</w:t>
      </w:r>
      <w:r w:rsidRPr="00F01918">
        <w:rPr>
          <w:rFonts w:asciiTheme="minorHAnsi" w:hAnsiTheme="minorHAnsi" w:cstheme="minorHAnsi"/>
          <w:spacing w:val="-14"/>
          <w:szCs w:val="22"/>
        </w:rPr>
        <w:t xml:space="preserve"> </w:t>
      </w:r>
      <w:r w:rsidRPr="00F01918">
        <w:rPr>
          <w:rFonts w:asciiTheme="minorHAnsi" w:hAnsiTheme="minorHAnsi" w:cstheme="minorHAnsi"/>
          <w:szCs w:val="22"/>
        </w:rPr>
        <w:t>through</w:t>
      </w:r>
      <w:r w:rsidRPr="00F01918">
        <w:rPr>
          <w:rFonts w:asciiTheme="minorHAnsi" w:hAnsiTheme="minorHAnsi" w:cstheme="minorHAnsi"/>
          <w:spacing w:val="-14"/>
          <w:szCs w:val="22"/>
        </w:rPr>
        <w:t xml:space="preserve"> </w:t>
      </w:r>
      <w:r w:rsidRPr="00F01918">
        <w:rPr>
          <w:rFonts w:asciiTheme="minorHAnsi" w:hAnsiTheme="minorHAnsi" w:cstheme="minorHAnsi"/>
          <w:szCs w:val="22"/>
        </w:rPr>
        <w:t>the</w:t>
      </w:r>
      <w:r w:rsidRPr="00F01918">
        <w:rPr>
          <w:rFonts w:asciiTheme="minorHAnsi" w:hAnsiTheme="minorHAnsi" w:cstheme="minorHAnsi"/>
          <w:spacing w:val="-14"/>
          <w:szCs w:val="22"/>
        </w:rPr>
        <w:t xml:space="preserve"> </w:t>
      </w:r>
      <w:r>
        <w:rPr>
          <w:rFonts w:asciiTheme="minorHAnsi" w:hAnsiTheme="minorHAnsi" w:cstheme="minorHAnsi"/>
          <w:szCs w:val="22"/>
        </w:rPr>
        <w:t>Western Australian</w:t>
      </w:r>
      <w:r w:rsidRPr="00F01918">
        <w:rPr>
          <w:rFonts w:asciiTheme="minorHAnsi" w:hAnsiTheme="minorHAnsi" w:cstheme="minorHAnsi"/>
          <w:szCs w:val="22"/>
        </w:rPr>
        <w:t xml:space="preserve"> legislation website at </w:t>
      </w:r>
      <w:hyperlink r:id="rId157" w:history="1">
        <w:r w:rsidRPr="00C71DD4">
          <w:rPr>
            <w:rStyle w:val="Hyperlink"/>
            <w:rFonts w:asciiTheme="minorHAnsi" w:hAnsiTheme="minorHAnsi" w:cstheme="minorHAnsi"/>
            <w:szCs w:val="22"/>
          </w:rPr>
          <w:t>www.legislation.wa.gov.au</w:t>
        </w:r>
      </w:hyperlink>
      <w:r w:rsidRPr="00F01918">
        <w:rPr>
          <w:rFonts w:asciiTheme="minorHAnsi" w:hAnsiTheme="minorHAnsi" w:cstheme="minorHAnsi"/>
          <w:color w:val="2B4FA2"/>
          <w:szCs w:val="22"/>
          <w:u w:val="single" w:color="2B4FA2"/>
        </w:rPr>
        <w:t xml:space="preserve"> </w:t>
      </w:r>
      <w:r w:rsidRPr="00F01918">
        <w:rPr>
          <w:rFonts w:asciiTheme="minorHAnsi" w:hAnsiTheme="minorHAnsi" w:cstheme="minorHAnsi"/>
          <w:szCs w:val="22"/>
        </w:rPr>
        <w:t xml:space="preserve">The </w:t>
      </w:r>
      <w:r>
        <w:rPr>
          <w:rFonts w:asciiTheme="minorHAnsi" w:hAnsiTheme="minorHAnsi" w:cstheme="minorHAnsi"/>
          <w:spacing w:val="-4"/>
          <w:szCs w:val="22"/>
        </w:rPr>
        <w:t xml:space="preserve">WA </w:t>
      </w:r>
      <w:r w:rsidRPr="00F01918">
        <w:rPr>
          <w:rFonts w:asciiTheme="minorHAnsi" w:hAnsiTheme="minorHAnsi" w:cstheme="minorHAnsi"/>
          <w:szCs w:val="22"/>
        </w:rPr>
        <w:t xml:space="preserve">legislation website is the official </w:t>
      </w:r>
      <w:r>
        <w:rPr>
          <w:rFonts w:asciiTheme="minorHAnsi" w:hAnsiTheme="minorHAnsi" w:cstheme="minorHAnsi"/>
          <w:szCs w:val="22"/>
        </w:rPr>
        <w:t>WA</w:t>
      </w:r>
      <w:r w:rsidRPr="00F01918">
        <w:rPr>
          <w:rFonts w:asciiTheme="minorHAnsi" w:hAnsiTheme="minorHAnsi" w:cstheme="minorHAnsi"/>
          <w:szCs w:val="22"/>
        </w:rPr>
        <w:t xml:space="preserve"> Government site for the online publication of legislation and is provided and maintained by the Parliamentary Counsel’s</w:t>
      </w:r>
      <w:r w:rsidRPr="00F01918">
        <w:rPr>
          <w:rFonts w:asciiTheme="minorHAnsi" w:hAnsiTheme="minorHAnsi" w:cstheme="minorHAnsi"/>
          <w:spacing w:val="-7"/>
          <w:szCs w:val="22"/>
        </w:rPr>
        <w:t xml:space="preserve"> </w:t>
      </w:r>
      <w:r w:rsidRPr="00F01918">
        <w:rPr>
          <w:rFonts w:asciiTheme="minorHAnsi" w:hAnsiTheme="minorHAnsi" w:cstheme="minorHAnsi"/>
          <w:szCs w:val="22"/>
        </w:rPr>
        <w:t>Office.</w:t>
      </w:r>
    </w:p>
    <w:p w14:paraId="71AEB186" w14:textId="77777777" w:rsidR="00C63DFC" w:rsidRPr="00F01918" w:rsidRDefault="00C63DFC" w:rsidP="00C63DFC">
      <w:pPr>
        <w:pStyle w:val="BodyText"/>
        <w:spacing w:before="9" w:after="0"/>
        <w:ind w:left="851"/>
        <w:rPr>
          <w:rFonts w:asciiTheme="minorHAnsi" w:hAnsiTheme="minorHAnsi" w:cstheme="minorHAnsi"/>
          <w:szCs w:val="22"/>
        </w:rPr>
      </w:pPr>
    </w:p>
    <w:p w14:paraId="55DD5AD6" w14:textId="77777777" w:rsidR="00C63DFC" w:rsidRPr="0069081D" w:rsidRDefault="00C63DFC" w:rsidP="00C63DFC">
      <w:pPr>
        <w:pStyle w:val="BodyText"/>
        <w:spacing w:before="1" w:after="0"/>
        <w:ind w:left="851" w:right="130"/>
        <w:jc w:val="both"/>
        <w:rPr>
          <w:rFonts w:asciiTheme="minorHAnsi" w:hAnsiTheme="minorHAnsi" w:cstheme="minorHAnsi"/>
          <w:strike/>
          <w:szCs w:val="22"/>
        </w:rPr>
      </w:pPr>
      <w:r w:rsidRPr="00F01918">
        <w:rPr>
          <w:rFonts w:asciiTheme="minorHAnsi" w:hAnsiTheme="minorHAnsi" w:cstheme="minorHAnsi"/>
          <w:szCs w:val="22"/>
        </w:rPr>
        <w:t>Council</w:t>
      </w:r>
      <w:r w:rsidRPr="00F01918">
        <w:rPr>
          <w:rFonts w:asciiTheme="minorHAnsi" w:hAnsiTheme="minorHAnsi" w:cstheme="minorHAnsi"/>
          <w:spacing w:val="-6"/>
          <w:szCs w:val="22"/>
        </w:rPr>
        <w:t xml:space="preserve"> </w:t>
      </w:r>
      <w:r>
        <w:rPr>
          <w:rFonts w:asciiTheme="minorHAnsi" w:hAnsiTheme="minorHAnsi" w:cstheme="minorHAnsi"/>
          <w:szCs w:val="22"/>
        </w:rPr>
        <w:t>s</w:t>
      </w:r>
      <w:r w:rsidRPr="00F01918">
        <w:rPr>
          <w:rFonts w:asciiTheme="minorHAnsi" w:hAnsiTheme="minorHAnsi" w:cstheme="minorHAnsi"/>
          <w:szCs w:val="22"/>
        </w:rPr>
        <w:t>taff</w:t>
      </w:r>
      <w:r w:rsidRPr="00F01918">
        <w:rPr>
          <w:rFonts w:asciiTheme="minorHAnsi" w:hAnsiTheme="minorHAnsi" w:cstheme="minorHAnsi"/>
          <w:spacing w:val="-5"/>
          <w:szCs w:val="22"/>
        </w:rPr>
        <w:t xml:space="preserve"> </w:t>
      </w:r>
      <w:r w:rsidRPr="00F01918">
        <w:rPr>
          <w:rFonts w:asciiTheme="minorHAnsi" w:hAnsiTheme="minorHAnsi" w:cstheme="minorHAnsi"/>
          <w:szCs w:val="22"/>
        </w:rPr>
        <w:t>should</w:t>
      </w:r>
      <w:r w:rsidRPr="00F01918">
        <w:rPr>
          <w:rFonts w:asciiTheme="minorHAnsi" w:hAnsiTheme="minorHAnsi" w:cstheme="minorHAnsi"/>
          <w:spacing w:val="-7"/>
          <w:szCs w:val="22"/>
        </w:rPr>
        <w:t xml:space="preserve"> </w:t>
      </w:r>
      <w:proofErr w:type="spellStart"/>
      <w:r w:rsidRPr="00F01918">
        <w:rPr>
          <w:rFonts w:asciiTheme="minorHAnsi" w:hAnsiTheme="minorHAnsi" w:cstheme="minorHAnsi"/>
          <w:szCs w:val="22"/>
        </w:rPr>
        <w:t>utilise</w:t>
      </w:r>
      <w:proofErr w:type="spellEnd"/>
      <w:r w:rsidRPr="00F01918">
        <w:rPr>
          <w:rFonts w:asciiTheme="minorHAnsi" w:hAnsiTheme="minorHAnsi" w:cstheme="minorHAnsi"/>
          <w:spacing w:val="-4"/>
          <w:szCs w:val="22"/>
        </w:rPr>
        <w:t xml:space="preserve"> </w:t>
      </w:r>
      <w:r w:rsidRPr="00F01918">
        <w:rPr>
          <w:rFonts w:asciiTheme="minorHAnsi" w:hAnsiTheme="minorHAnsi" w:cstheme="minorHAnsi"/>
          <w:szCs w:val="22"/>
        </w:rPr>
        <w:t>this</w:t>
      </w:r>
      <w:r w:rsidRPr="00F01918">
        <w:rPr>
          <w:rFonts w:asciiTheme="minorHAnsi" w:hAnsiTheme="minorHAnsi" w:cstheme="minorHAnsi"/>
          <w:spacing w:val="-8"/>
          <w:szCs w:val="22"/>
        </w:rPr>
        <w:t xml:space="preserve"> </w:t>
      </w:r>
      <w:r w:rsidRPr="00F01918">
        <w:rPr>
          <w:rFonts w:asciiTheme="minorHAnsi" w:hAnsiTheme="minorHAnsi" w:cstheme="minorHAnsi"/>
          <w:szCs w:val="22"/>
        </w:rPr>
        <w:t>website</w:t>
      </w:r>
      <w:r w:rsidRPr="00F01918">
        <w:rPr>
          <w:rFonts w:asciiTheme="minorHAnsi" w:hAnsiTheme="minorHAnsi" w:cstheme="minorHAnsi"/>
          <w:spacing w:val="-4"/>
          <w:szCs w:val="22"/>
        </w:rPr>
        <w:t xml:space="preserve"> </w:t>
      </w:r>
      <w:r w:rsidRPr="00F01918">
        <w:rPr>
          <w:rFonts w:asciiTheme="minorHAnsi" w:hAnsiTheme="minorHAnsi" w:cstheme="minorHAnsi"/>
          <w:szCs w:val="22"/>
        </w:rPr>
        <w:t>as</w:t>
      </w:r>
      <w:r w:rsidRPr="00F01918">
        <w:rPr>
          <w:rFonts w:asciiTheme="minorHAnsi" w:hAnsiTheme="minorHAnsi" w:cstheme="minorHAnsi"/>
          <w:spacing w:val="-8"/>
          <w:szCs w:val="22"/>
        </w:rPr>
        <w:t xml:space="preserve"> </w:t>
      </w:r>
      <w:r w:rsidRPr="00F01918">
        <w:rPr>
          <w:rFonts w:asciiTheme="minorHAnsi" w:hAnsiTheme="minorHAnsi" w:cstheme="minorHAnsi"/>
          <w:szCs w:val="22"/>
        </w:rPr>
        <w:t>it</w:t>
      </w:r>
      <w:r w:rsidRPr="00F01918">
        <w:rPr>
          <w:rFonts w:asciiTheme="minorHAnsi" w:hAnsiTheme="minorHAnsi" w:cstheme="minorHAnsi"/>
          <w:spacing w:val="-7"/>
          <w:szCs w:val="22"/>
        </w:rPr>
        <w:t xml:space="preserve"> </w:t>
      </w:r>
      <w:r w:rsidRPr="00F01918">
        <w:rPr>
          <w:rFonts w:asciiTheme="minorHAnsi" w:hAnsiTheme="minorHAnsi" w:cstheme="minorHAnsi"/>
          <w:szCs w:val="22"/>
        </w:rPr>
        <w:t>is</w:t>
      </w:r>
      <w:r w:rsidRPr="00F01918">
        <w:rPr>
          <w:rFonts w:asciiTheme="minorHAnsi" w:hAnsiTheme="minorHAnsi" w:cstheme="minorHAnsi"/>
          <w:spacing w:val="-5"/>
          <w:szCs w:val="22"/>
        </w:rPr>
        <w:t xml:space="preserve"> </w:t>
      </w:r>
      <w:r w:rsidRPr="00F01918">
        <w:rPr>
          <w:rFonts w:asciiTheme="minorHAnsi" w:hAnsiTheme="minorHAnsi" w:cstheme="minorHAnsi"/>
          <w:szCs w:val="22"/>
        </w:rPr>
        <w:t>updated</w:t>
      </w:r>
      <w:r w:rsidRPr="00F01918">
        <w:rPr>
          <w:rFonts w:asciiTheme="minorHAnsi" w:hAnsiTheme="minorHAnsi" w:cstheme="minorHAnsi"/>
          <w:spacing w:val="-7"/>
          <w:szCs w:val="22"/>
        </w:rPr>
        <w:t xml:space="preserve"> </w:t>
      </w:r>
      <w:proofErr w:type="gramStart"/>
      <w:r w:rsidRPr="00F01918">
        <w:rPr>
          <w:rFonts w:asciiTheme="minorHAnsi" w:hAnsiTheme="minorHAnsi" w:cstheme="minorHAnsi"/>
          <w:szCs w:val="22"/>
        </w:rPr>
        <w:t>on</w:t>
      </w:r>
      <w:r w:rsidRPr="00F01918">
        <w:rPr>
          <w:rFonts w:asciiTheme="minorHAnsi" w:hAnsiTheme="minorHAnsi" w:cstheme="minorHAnsi"/>
          <w:spacing w:val="-7"/>
          <w:szCs w:val="22"/>
        </w:rPr>
        <w:t xml:space="preserve"> </w:t>
      </w:r>
      <w:r w:rsidRPr="00F01918">
        <w:rPr>
          <w:rFonts w:asciiTheme="minorHAnsi" w:hAnsiTheme="minorHAnsi" w:cstheme="minorHAnsi"/>
          <w:szCs w:val="22"/>
        </w:rPr>
        <w:t>a</w:t>
      </w:r>
      <w:r w:rsidRPr="00F01918">
        <w:rPr>
          <w:rFonts w:asciiTheme="minorHAnsi" w:hAnsiTheme="minorHAnsi" w:cstheme="minorHAnsi"/>
          <w:spacing w:val="-7"/>
          <w:szCs w:val="22"/>
        </w:rPr>
        <w:t xml:space="preserve"> </w:t>
      </w:r>
      <w:r w:rsidRPr="00F01918">
        <w:rPr>
          <w:rFonts w:asciiTheme="minorHAnsi" w:hAnsiTheme="minorHAnsi" w:cstheme="minorHAnsi"/>
          <w:szCs w:val="22"/>
        </w:rPr>
        <w:t>daily</w:t>
      </w:r>
      <w:r w:rsidRPr="00F01918">
        <w:rPr>
          <w:rFonts w:asciiTheme="minorHAnsi" w:hAnsiTheme="minorHAnsi" w:cstheme="minorHAnsi"/>
          <w:spacing w:val="-8"/>
          <w:szCs w:val="22"/>
        </w:rPr>
        <w:t xml:space="preserve"> </w:t>
      </w:r>
      <w:r w:rsidRPr="00F01918">
        <w:rPr>
          <w:rFonts w:asciiTheme="minorHAnsi" w:hAnsiTheme="minorHAnsi" w:cstheme="minorHAnsi"/>
          <w:szCs w:val="22"/>
        </w:rPr>
        <w:t>basis</w:t>
      </w:r>
      <w:proofErr w:type="gramEnd"/>
      <w:r w:rsidRPr="00F01918">
        <w:rPr>
          <w:rFonts w:asciiTheme="minorHAnsi" w:hAnsiTheme="minorHAnsi" w:cstheme="minorHAnsi"/>
          <w:szCs w:val="22"/>
        </w:rPr>
        <w:t>.</w:t>
      </w:r>
      <w:r w:rsidRPr="00F01918">
        <w:rPr>
          <w:rFonts w:asciiTheme="minorHAnsi" w:hAnsiTheme="minorHAnsi" w:cstheme="minorHAnsi"/>
          <w:spacing w:val="-5"/>
          <w:szCs w:val="22"/>
        </w:rPr>
        <w:t xml:space="preserve"> </w:t>
      </w:r>
    </w:p>
    <w:p w14:paraId="27F2B902" w14:textId="77777777" w:rsidR="00C63DFC" w:rsidRPr="00F01918" w:rsidRDefault="00C63DFC" w:rsidP="00C63DFC">
      <w:pPr>
        <w:pStyle w:val="BodyText"/>
        <w:spacing w:before="1" w:after="0"/>
        <w:ind w:left="851"/>
        <w:rPr>
          <w:rFonts w:asciiTheme="minorHAnsi" w:hAnsiTheme="minorHAnsi" w:cstheme="minorHAnsi"/>
          <w:szCs w:val="22"/>
        </w:rPr>
      </w:pPr>
    </w:p>
    <w:p w14:paraId="25B03F78" w14:textId="77777777" w:rsidR="00C63DFC" w:rsidRDefault="00C63DFC" w:rsidP="00C63DFC">
      <w:pPr>
        <w:pStyle w:val="BodyText"/>
        <w:spacing w:after="0"/>
        <w:ind w:left="851" w:right="130"/>
        <w:jc w:val="both"/>
        <w:rPr>
          <w:rFonts w:asciiTheme="minorHAnsi" w:hAnsiTheme="minorHAnsi" w:cstheme="minorHAnsi"/>
          <w:szCs w:val="22"/>
        </w:rPr>
      </w:pPr>
      <w:r w:rsidRPr="00F01918">
        <w:rPr>
          <w:rFonts w:asciiTheme="minorHAnsi" w:hAnsiTheme="minorHAnsi" w:cstheme="minorHAnsi"/>
          <w:szCs w:val="22"/>
        </w:rPr>
        <w:t xml:space="preserve">Federal laws and instruments should be accessed through the Federal Register of Legislation at </w:t>
      </w:r>
      <w:hyperlink r:id="rId158" w:history="1">
        <w:r w:rsidRPr="00C71DD4">
          <w:rPr>
            <w:rStyle w:val="Hyperlink"/>
            <w:rFonts w:asciiTheme="minorHAnsi" w:hAnsiTheme="minorHAnsi" w:cstheme="minorHAnsi"/>
            <w:szCs w:val="22"/>
          </w:rPr>
          <w:t>www.legislation.gov.au</w:t>
        </w:r>
      </w:hyperlink>
      <w:r>
        <w:rPr>
          <w:rFonts w:asciiTheme="minorHAnsi" w:hAnsiTheme="minorHAnsi" w:cstheme="minorHAnsi"/>
          <w:szCs w:val="22"/>
        </w:rPr>
        <w:t xml:space="preserve"> </w:t>
      </w:r>
    </w:p>
    <w:p w14:paraId="757FABD8" w14:textId="77777777" w:rsidR="00C63DFC" w:rsidRPr="00F01918" w:rsidRDefault="00C63DFC" w:rsidP="00C63DFC">
      <w:pPr>
        <w:pStyle w:val="BodyText"/>
        <w:spacing w:after="0"/>
        <w:ind w:left="851" w:right="130"/>
        <w:jc w:val="both"/>
        <w:rPr>
          <w:rFonts w:asciiTheme="minorHAnsi" w:hAnsiTheme="minorHAnsi" w:cstheme="minorHAnsi"/>
          <w:szCs w:val="22"/>
        </w:rPr>
      </w:pPr>
    </w:p>
    <w:p w14:paraId="3DF061B9" w14:textId="77777777" w:rsidR="00C63DFC" w:rsidRPr="00B95018" w:rsidRDefault="00C63DFC" w:rsidP="00C63DFC">
      <w:pPr>
        <w:widowControl w:val="0"/>
        <w:tabs>
          <w:tab w:val="left" w:pos="1651"/>
          <w:tab w:val="left" w:pos="1652"/>
        </w:tabs>
        <w:autoSpaceDE w:val="0"/>
        <w:autoSpaceDN w:val="0"/>
        <w:spacing w:after="0" w:line="240" w:lineRule="auto"/>
        <w:ind w:left="851" w:hanging="425"/>
        <w:rPr>
          <w:rFonts w:cstheme="minorHAnsi"/>
        </w:rPr>
      </w:pPr>
      <w:r>
        <w:rPr>
          <w:rFonts w:cstheme="minorHAnsi"/>
        </w:rPr>
        <w:t>1.2</w:t>
      </w:r>
      <w:r>
        <w:rPr>
          <w:rFonts w:cstheme="minorHAnsi"/>
        </w:rPr>
        <w:tab/>
      </w:r>
      <w:r w:rsidRPr="00B95018">
        <w:rPr>
          <w:rFonts w:cstheme="minorHAnsi"/>
          <w:u w:val="single"/>
        </w:rPr>
        <w:t>Australian</w:t>
      </w:r>
      <w:r w:rsidRPr="00B95018">
        <w:rPr>
          <w:rFonts w:cstheme="minorHAnsi"/>
          <w:spacing w:val="-12"/>
          <w:u w:val="single"/>
        </w:rPr>
        <w:t xml:space="preserve"> </w:t>
      </w:r>
      <w:r w:rsidRPr="00B95018">
        <w:rPr>
          <w:rFonts w:cstheme="minorHAnsi"/>
          <w:u w:val="single"/>
        </w:rPr>
        <w:t>Standards</w:t>
      </w:r>
    </w:p>
    <w:p w14:paraId="49E1D18B" w14:textId="77777777" w:rsidR="00C63DFC" w:rsidRPr="00F01918" w:rsidRDefault="00C63DFC" w:rsidP="00C63DFC">
      <w:pPr>
        <w:pStyle w:val="BodyText"/>
        <w:ind w:left="851" w:right="135"/>
        <w:jc w:val="both"/>
        <w:rPr>
          <w:rFonts w:asciiTheme="minorHAnsi" w:hAnsiTheme="minorHAnsi" w:cstheme="minorHAnsi"/>
          <w:szCs w:val="22"/>
        </w:rPr>
      </w:pPr>
      <w:r w:rsidRPr="00502690">
        <w:rPr>
          <w:rFonts w:asciiTheme="minorHAnsi" w:hAnsiTheme="minorHAnsi" w:cstheme="minorHAnsi"/>
          <w:szCs w:val="22"/>
        </w:rPr>
        <w:t>The Standards purchased by Council are made available to staff through the Y drive.</w:t>
      </w:r>
    </w:p>
    <w:p w14:paraId="212E081C" w14:textId="77777777" w:rsidR="00C63DFC" w:rsidRPr="00C63DFC" w:rsidRDefault="00C63DFC" w:rsidP="00C63DFC">
      <w:pPr>
        <w:pStyle w:val="Heading2"/>
        <w:tabs>
          <w:tab w:val="left" w:pos="952"/>
          <w:tab w:val="left" w:pos="953"/>
        </w:tabs>
        <w:ind w:left="426" w:hanging="426"/>
        <w:rPr>
          <w:rFonts w:asciiTheme="minorHAnsi" w:hAnsiTheme="minorHAnsi" w:cstheme="minorHAnsi"/>
          <w:color w:val="auto"/>
          <w:sz w:val="22"/>
          <w:szCs w:val="22"/>
        </w:rPr>
      </w:pPr>
      <w:bookmarkStart w:id="427" w:name="2._Identifying_New_or_Amended_Legislatio"/>
      <w:bookmarkEnd w:id="427"/>
      <w:r w:rsidRPr="00C63DFC">
        <w:rPr>
          <w:rFonts w:asciiTheme="minorHAnsi" w:hAnsiTheme="minorHAnsi" w:cstheme="minorHAnsi"/>
          <w:color w:val="auto"/>
          <w:sz w:val="22"/>
          <w:szCs w:val="22"/>
        </w:rPr>
        <w:t>2.</w:t>
      </w:r>
      <w:r w:rsidRPr="00C63DFC">
        <w:rPr>
          <w:rFonts w:asciiTheme="minorHAnsi" w:hAnsiTheme="minorHAnsi" w:cstheme="minorHAnsi"/>
          <w:color w:val="auto"/>
          <w:sz w:val="22"/>
          <w:szCs w:val="22"/>
        </w:rPr>
        <w:tab/>
        <w:t>Identifying New or Amended</w:t>
      </w:r>
      <w:r w:rsidRPr="00C63DFC">
        <w:rPr>
          <w:rFonts w:asciiTheme="minorHAnsi" w:hAnsiTheme="minorHAnsi" w:cstheme="minorHAnsi"/>
          <w:color w:val="auto"/>
          <w:spacing w:val="-12"/>
          <w:sz w:val="22"/>
          <w:szCs w:val="22"/>
        </w:rPr>
        <w:t xml:space="preserve"> </w:t>
      </w:r>
      <w:r w:rsidRPr="00C63DFC">
        <w:rPr>
          <w:rFonts w:asciiTheme="minorHAnsi" w:hAnsiTheme="minorHAnsi" w:cstheme="minorHAnsi"/>
          <w:color w:val="auto"/>
          <w:sz w:val="22"/>
          <w:szCs w:val="22"/>
        </w:rPr>
        <w:t>Legislation</w:t>
      </w:r>
    </w:p>
    <w:p w14:paraId="7DF9EFF6" w14:textId="77777777" w:rsidR="00C63DFC" w:rsidRPr="00B95018" w:rsidRDefault="00C63DFC" w:rsidP="00C63DFC">
      <w:pPr>
        <w:widowControl w:val="0"/>
        <w:tabs>
          <w:tab w:val="left" w:pos="1651"/>
          <w:tab w:val="left" w:pos="1652"/>
        </w:tabs>
        <w:autoSpaceDE w:val="0"/>
        <w:autoSpaceDN w:val="0"/>
        <w:spacing w:after="0" w:line="240" w:lineRule="auto"/>
        <w:ind w:left="851" w:hanging="425"/>
        <w:rPr>
          <w:rFonts w:cstheme="minorHAnsi"/>
        </w:rPr>
      </w:pPr>
      <w:r>
        <w:rPr>
          <w:rFonts w:cstheme="minorHAnsi"/>
        </w:rPr>
        <w:t>2.1</w:t>
      </w:r>
      <w:r>
        <w:rPr>
          <w:rFonts w:cstheme="minorHAnsi"/>
        </w:rPr>
        <w:tab/>
      </w:r>
      <w:r>
        <w:rPr>
          <w:rFonts w:cstheme="minorHAnsi"/>
          <w:u w:val="single"/>
        </w:rPr>
        <w:t>WA</w:t>
      </w:r>
      <w:r w:rsidRPr="00B95018">
        <w:rPr>
          <w:rFonts w:cstheme="minorHAnsi"/>
          <w:u w:val="single"/>
        </w:rPr>
        <w:t xml:space="preserve"> Government</w:t>
      </w:r>
      <w:r w:rsidRPr="00B95018">
        <w:rPr>
          <w:rFonts w:cstheme="minorHAnsi"/>
          <w:spacing w:val="-7"/>
          <w:u w:val="single"/>
        </w:rPr>
        <w:t xml:space="preserve"> </w:t>
      </w:r>
      <w:r w:rsidRPr="00B95018">
        <w:rPr>
          <w:rFonts w:cstheme="minorHAnsi"/>
          <w:u w:val="single"/>
        </w:rPr>
        <w:t>Gazette</w:t>
      </w:r>
    </w:p>
    <w:p w14:paraId="7877AFBE" w14:textId="77777777" w:rsidR="00C63DFC" w:rsidRPr="00F01918" w:rsidRDefault="00C63DFC" w:rsidP="00C63DFC">
      <w:pPr>
        <w:pStyle w:val="BodyText"/>
        <w:spacing w:before="1" w:after="0"/>
        <w:ind w:left="851" w:right="136"/>
        <w:jc w:val="both"/>
        <w:rPr>
          <w:rFonts w:asciiTheme="minorHAnsi" w:hAnsiTheme="minorHAnsi" w:cstheme="minorHAnsi"/>
          <w:szCs w:val="22"/>
        </w:rPr>
      </w:pPr>
      <w:r w:rsidRPr="00F01918">
        <w:rPr>
          <w:rFonts w:asciiTheme="minorHAnsi" w:hAnsiTheme="minorHAnsi" w:cstheme="minorHAnsi"/>
          <w:szCs w:val="22"/>
        </w:rPr>
        <w:t xml:space="preserve">Council provides website access for its staff to the </w:t>
      </w:r>
      <w:r>
        <w:rPr>
          <w:rFonts w:asciiTheme="minorHAnsi" w:hAnsiTheme="minorHAnsi" w:cstheme="minorHAnsi"/>
          <w:szCs w:val="22"/>
        </w:rPr>
        <w:t>WA</w:t>
      </w:r>
      <w:r w:rsidRPr="00F01918">
        <w:rPr>
          <w:rFonts w:asciiTheme="minorHAnsi" w:hAnsiTheme="minorHAnsi" w:cstheme="minorHAnsi"/>
          <w:szCs w:val="22"/>
        </w:rPr>
        <w:t xml:space="preserve"> Government Gazette which publishes all new or amended legislation applicable to </w:t>
      </w:r>
      <w:r>
        <w:rPr>
          <w:rFonts w:asciiTheme="minorHAnsi" w:hAnsiTheme="minorHAnsi" w:cstheme="minorHAnsi"/>
          <w:szCs w:val="22"/>
        </w:rPr>
        <w:t>Western Australia</w:t>
      </w:r>
      <w:r w:rsidRPr="00F01918">
        <w:rPr>
          <w:rFonts w:asciiTheme="minorHAnsi" w:hAnsiTheme="minorHAnsi" w:cstheme="minorHAnsi"/>
          <w:szCs w:val="22"/>
        </w:rPr>
        <w:t>.</w:t>
      </w:r>
    </w:p>
    <w:p w14:paraId="229E0423" w14:textId="77777777" w:rsidR="00C63DFC" w:rsidRPr="00F01918" w:rsidRDefault="00C63DFC" w:rsidP="00C63DFC">
      <w:pPr>
        <w:pStyle w:val="BodyText"/>
        <w:rPr>
          <w:rFonts w:asciiTheme="minorHAnsi" w:hAnsiTheme="minorHAnsi" w:cstheme="minorHAnsi"/>
          <w:szCs w:val="22"/>
        </w:rPr>
      </w:pPr>
    </w:p>
    <w:p w14:paraId="23116CC9" w14:textId="77777777" w:rsidR="00C63DFC" w:rsidRPr="00B95018" w:rsidRDefault="00C63DFC" w:rsidP="00C63DFC">
      <w:pPr>
        <w:widowControl w:val="0"/>
        <w:tabs>
          <w:tab w:val="left" w:pos="1672"/>
          <w:tab w:val="left" w:pos="1673"/>
        </w:tabs>
        <w:autoSpaceDE w:val="0"/>
        <w:autoSpaceDN w:val="0"/>
        <w:spacing w:after="0" w:line="240" w:lineRule="auto"/>
        <w:ind w:left="851" w:hanging="425"/>
        <w:rPr>
          <w:rFonts w:cstheme="minorHAnsi"/>
        </w:rPr>
      </w:pPr>
      <w:r>
        <w:rPr>
          <w:rFonts w:cstheme="minorHAnsi"/>
        </w:rPr>
        <w:t>2.2</w:t>
      </w:r>
      <w:r>
        <w:rPr>
          <w:rFonts w:cstheme="minorHAnsi"/>
        </w:rPr>
        <w:tab/>
      </w:r>
      <w:r w:rsidRPr="00B95018">
        <w:rPr>
          <w:rFonts w:cstheme="minorHAnsi"/>
          <w:u w:val="single"/>
        </w:rPr>
        <w:t>Department of Local</w:t>
      </w:r>
      <w:r w:rsidRPr="00B95018">
        <w:rPr>
          <w:rFonts w:cstheme="minorHAnsi"/>
          <w:spacing w:val="-19"/>
          <w:u w:val="single"/>
        </w:rPr>
        <w:t xml:space="preserve"> </w:t>
      </w:r>
      <w:r w:rsidRPr="009030CF">
        <w:rPr>
          <w:rFonts w:cstheme="minorHAnsi"/>
          <w:u w:val="single"/>
        </w:rPr>
        <w:t>Government, Sport and Cultural Industries</w:t>
      </w:r>
    </w:p>
    <w:p w14:paraId="6E872C17" w14:textId="77777777" w:rsidR="00C63DFC" w:rsidRPr="00F01918" w:rsidRDefault="00C63DFC" w:rsidP="00C63DFC">
      <w:pPr>
        <w:pStyle w:val="BodyText"/>
        <w:spacing w:after="0"/>
        <w:ind w:left="851" w:right="136"/>
        <w:jc w:val="both"/>
        <w:rPr>
          <w:rFonts w:asciiTheme="minorHAnsi" w:hAnsiTheme="minorHAnsi" w:cstheme="minorHAnsi"/>
          <w:szCs w:val="22"/>
        </w:rPr>
      </w:pPr>
      <w:r w:rsidRPr="00F01918">
        <w:rPr>
          <w:rFonts w:asciiTheme="minorHAnsi" w:hAnsiTheme="minorHAnsi" w:cstheme="minorHAnsi"/>
          <w:szCs w:val="22"/>
        </w:rPr>
        <w:t>Council receives regular circulars from the Department of Local Government</w:t>
      </w:r>
      <w:r w:rsidRPr="009030CF">
        <w:rPr>
          <w:rFonts w:asciiTheme="minorHAnsi" w:hAnsiTheme="minorHAnsi" w:cstheme="minorHAnsi"/>
          <w:szCs w:val="22"/>
        </w:rPr>
        <w:t>, Sport &amp; Cultural Industries on any new or amended legislation relevant to local government. Such</w:t>
      </w:r>
      <w:r w:rsidRPr="00F01918">
        <w:rPr>
          <w:rFonts w:asciiTheme="minorHAnsi" w:hAnsiTheme="minorHAnsi" w:cstheme="minorHAnsi"/>
          <w:szCs w:val="22"/>
        </w:rPr>
        <w:t xml:space="preserve"> </w:t>
      </w:r>
      <w:proofErr w:type="gramStart"/>
      <w:r w:rsidRPr="00F01918">
        <w:rPr>
          <w:rFonts w:asciiTheme="minorHAnsi" w:hAnsiTheme="minorHAnsi" w:cstheme="minorHAnsi"/>
          <w:szCs w:val="22"/>
        </w:rPr>
        <w:t>advices</w:t>
      </w:r>
      <w:proofErr w:type="gramEnd"/>
      <w:r>
        <w:rPr>
          <w:rFonts w:asciiTheme="minorHAnsi" w:hAnsiTheme="minorHAnsi" w:cstheme="minorHAnsi"/>
          <w:szCs w:val="22"/>
        </w:rPr>
        <w:t xml:space="preserve"> </w:t>
      </w:r>
      <w:r w:rsidRPr="00F01918">
        <w:rPr>
          <w:rFonts w:asciiTheme="minorHAnsi" w:hAnsiTheme="minorHAnsi" w:cstheme="minorHAnsi"/>
          <w:szCs w:val="22"/>
        </w:rPr>
        <w:t xml:space="preserve">are received through Council’s Records Section and must be distributed by the Records staff to the relevant Council Officers for implementation and </w:t>
      </w:r>
      <w:r>
        <w:rPr>
          <w:rFonts w:asciiTheme="minorHAnsi" w:hAnsiTheme="minorHAnsi" w:cstheme="minorHAnsi"/>
          <w:szCs w:val="22"/>
        </w:rPr>
        <w:t>elected members</w:t>
      </w:r>
      <w:r w:rsidRPr="00F01918">
        <w:rPr>
          <w:rFonts w:asciiTheme="minorHAnsi" w:hAnsiTheme="minorHAnsi" w:cstheme="minorHAnsi"/>
          <w:szCs w:val="22"/>
        </w:rPr>
        <w:t xml:space="preserve"> for information where applicable.</w:t>
      </w:r>
    </w:p>
    <w:p w14:paraId="52B35CB9" w14:textId="77777777" w:rsidR="00C63DFC" w:rsidRPr="00F01918" w:rsidRDefault="00C63DFC" w:rsidP="00C63DFC">
      <w:pPr>
        <w:pStyle w:val="BodyText"/>
        <w:ind w:left="110"/>
        <w:rPr>
          <w:rFonts w:asciiTheme="minorHAnsi" w:hAnsiTheme="minorHAnsi" w:cstheme="minorHAnsi"/>
          <w:szCs w:val="22"/>
        </w:rPr>
      </w:pPr>
    </w:p>
    <w:p w14:paraId="45F9147A" w14:textId="77777777" w:rsidR="00C63DFC" w:rsidRPr="00B95018" w:rsidRDefault="00C63DFC" w:rsidP="00C63DFC">
      <w:pPr>
        <w:widowControl w:val="0"/>
        <w:tabs>
          <w:tab w:val="left" w:pos="1673"/>
        </w:tabs>
        <w:autoSpaceDE w:val="0"/>
        <w:autoSpaceDN w:val="0"/>
        <w:spacing w:after="0" w:line="269" w:lineRule="exact"/>
        <w:ind w:left="851" w:hanging="425"/>
        <w:jc w:val="both"/>
        <w:rPr>
          <w:rFonts w:cstheme="minorHAnsi"/>
        </w:rPr>
      </w:pPr>
      <w:r>
        <w:rPr>
          <w:rFonts w:cstheme="minorHAnsi"/>
        </w:rPr>
        <w:t>2.3</w:t>
      </w:r>
      <w:r>
        <w:rPr>
          <w:rFonts w:cstheme="minorHAnsi"/>
        </w:rPr>
        <w:tab/>
      </w:r>
      <w:r w:rsidRPr="00B95018">
        <w:rPr>
          <w:rFonts w:cstheme="minorHAnsi"/>
          <w:u w:val="single"/>
        </w:rPr>
        <w:t>Department of</w:t>
      </w:r>
      <w:r w:rsidRPr="00B95018">
        <w:rPr>
          <w:rFonts w:cstheme="minorHAnsi"/>
          <w:spacing w:val="-17"/>
          <w:u w:val="single"/>
        </w:rPr>
        <w:t xml:space="preserve"> </w:t>
      </w:r>
      <w:r w:rsidRPr="00B95018">
        <w:rPr>
          <w:rFonts w:cstheme="minorHAnsi"/>
          <w:u w:val="single"/>
        </w:rPr>
        <w:t>Planning</w:t>
      </w:r>
    </w:p>
    <w:p w14:paraId="7F935C0A" w14:textId="77777777" w:rsidR="00C63DFC" w:rsidRPr="00F01918" w:rsidRDefault="00C63DFC" w:rsidP="00C63DFC">
      <w:pPr>
        <w:pStyle w:val="BodyText"/>
        <w:spacing w:after="0"/>
        <w:ind w:left="851" w:right="113"/>
        <w:jc w:val="both"/>
        <w:rPr>
          <w:rFonts w:asciiTheme="minorHAnsi" w:hAnsiTheme="minorHAnsi" w:cstheme="minorHAnsi"/>
          <w:szCs w:val="22"/>
        </w:rPr>
      </w:pPr>
      <w:r w:rsidRPr="00F01918">
        <w:rPr>
          <w:rFonts w:asciiTheme="minorHAnsi" w:hAnsiTheme="minorHAnsi" w:cstheme="minorHAnsi"/>
          <w:szCs w:val="22"/>
        </w:rPr>
        <w:t>Council</w:t>
      </w:r>
      <w:r w:rsidRPr="00F01918">
        <w:rPr>
          <w:rFonts w:asciiTheme="minorHAnsi" w:hAnsiTheme="minorHAnsi" w:cstheme="minorHAnsi"/>
          <w:spacing w:val="-18"/>
          <w:szCs w:val="22"/>
        </w:rPr>
        <w:t xml:space="preserve"> </w:t>
      </w:r>
      <w:r w:rsidRPr="00F01918">
        <w:rPr>
          <w:rFonts w:asciiTheme="minorHAnsi" w:hAnsiTheme="minorHAnsi" w:cstheme="minorHAnsi"/>
          <w:szCs w:val="22"/>
        </w:rPr>
        <w:t>receives</w:t>
      </w:r>
      <w:r w:rsidRPr="00F01918">
        <w:rPr>
          <w:rFonts w:asciiTheme="minorHAnsi" w:hAnsiTheme="minorHAnsi" w:cstheme="minorHAnsi"/>
          <w:spacing w:val="-17"/>
          <w:szCs w:val="22"/>
        </w:rPr>
        <w:t xml:space="preserve"> </w:t>
      </w:r>
      <w:r>
        <w:rPr>
          <w:rFonts w:asciiTheme="minorHAnsi" w:hAnsiTheme="minorHAnsi" w:cstheme="minorHAnsi"/>
          <w:spacing w:val="-17"/>
          <w:szCs w:val="22"/>
        </w:rPr>
        <w:t>n</w:t>
      </w:r>
      <w:r w:rsidRPr="009030CF">
        <w:rPr>
          <w:rFonts w:asciiTheme="minorHAnsi" w:hAnsiTheme="minorHAnsi" w:cstheme="minorHAnsi"/>
          <w:szCs w:val="22"/>
        </w:rPr>
        <w:t>otification</w:t>
      </w:r>
      <w:r>
        <w:rPr>
          <w:rFonts w:asciiTheme="minorHAnsi" w:hAnsiTheme="minorHAnsi" w:cstheme="minorHAnsi"/>
          <w:szCs w:val="22"/>
        </w:rPr>
        <w:t xml:space="preserve"> </w:t>
      </w:r>
      <w:r w:rsidRPr="00F01918">
        <w:rPr>
          <w:rFonts w:asciiTheme="minorHAnsi" w:hAnsiTheme="minorHAnsi" w:cstheme="minorHAnsi"/>
          <w:szCs w:val="22"/>
        </w:rPr>
        <w:t>from</w:t>
      </w:r>
      <w:r w:rsidRPr="00F01918">
        <w:rPr>
          <w:rFonts w:asciiTheme="minorHAnsi" w:hAnsiTheme="minorHAnsi" w:cstheme="minorHAnsi"/>
          <w:spacing w:val="-16"/>
          <w:szCs w:val="22"/>
        </w:rPr>
        <w:t xml:space="preserve"> </w:t>
      </w:r>
      <w:r w:rsidRPr="00F01918">
        <w:rPr>
          <w:rFonts w:asciiTheme="minorHAnsi" w:hAnsiTheme="minorHAnsi" w:cstheme="minorHAnsi"/>
          <w:szCs w:val="22"/>
        </w:rPr>
        <w:t>the</w:t>
      </w:r>
      <w:r w:rsidRPr="00F01918">
        <w:rPr>
          <w:rFonts w:asciiTheme="minorHAnsi" w:hAnsiTheme="minorHAnsi" w:cstheme="minorHAnsi"/>
          <w:spacing w:val="-19"/>
          <w:szCs w:val="22"/>
        </w:rPr>
        <w:t xml:space="preserve"> </w:t>
      </w:r>
      <w:r w:rsidRPr="00F01918">
        <w:rPr>
          <w:rFonts w:asciiTheme="minorHAnsi" w:hAnsiTheme="minorHAnsi" w:cstheme="minorHAnsi"/>
          <w:szCs w:val="22"/>
        </w:rPr>
        <w:t>Department</w:t>
      </w:r>
      <w:r w:rsidRPr="00F01918">
        <w:rPr>
          <w:rFonts w:asciiTheme="minorHAnsi" w:hAnsiTheme="minorHAnsi" w:cstheme="minorHAnsi"/>
          <w:spacing w:val="-19"/>
          <w:szCs w:val="22"/>
        </w:rPr>
        <w:t xml:space="preserve"> </w:t>
      </w:r>
      <w:r w:rsidRPr="00F01918">
        <w:rPr>
          <w:rFonts w:asciiTheme="minorHAnsi" w:hAnsiTheme="minorHAnsi" w:cstheme="minorHAnsi"/>
          <w:szCs w:val="22"/>
        </w:rPr>
        <w:t>of</w:t>
      </w:r>
      <w:r w:rsidRPr="00F01918">
        <w:rPr>
          <w:rFonts w:asciiTheme="minorHAnsi" w:hAnsiTheme="minorHAnsi" w:cstheme="minorHAnsi"/>
          <w:spacing w:val="-17"/>
          <w:szCs w:val="22"/>
        </w:rPr>
        <w:t xml:space="preserve"> </w:t>
      </w:r>
      <w:r w:rsidRPr="00F01918">
        <w:rPr>
          <w:rFonts w:asciiTheme="minorHAnsi" w:hAnsiTheme="minorHAnsi" w:cstheme="minorHAnsi"/>
          <w:szCs w:val="22"/>
        </w:rPr>
        <w:t>Planning</w:t>
      </w:r>
      <w:r w:rsidRPr="00F01918">
        <w:rPr>
          <w:rFonts w:asciiTheme="minorHAnsi" w:hAnsiTheme="minorHAnsi" w:cstheme="minorHAnsi"/>
          <w:spacing w:val="-19"/>
          <w:szCs w:val="22"/>
        </w:rPr>
        <w:t xml:space="preserve"> </w:t>
      </w:r>
      <w:r w:rsidRPr="00F01918">
        <w:rPr>
          <w:rFonts w:asciiTheme="minorHAnsi" w:hAnsiTheme="minorHAnsi" w:cstheme="minorHAnsi"/>
          <w:szCs w:val="22"/>
        </w:rPr>
        <w:t>on</w:t>
      </w:r>
      <w:r w:rsidRPr="00F01918">
        <w:rPr>
          <w:rFonts w:asciiTheme="minorHAnsi" w:hAnsiTheme="minorHAnsi" w:cstheme="minorHAnsi"/>
          <w:spacing w:val="-16"/>
          <w:szCs w:val="22"/>
        </w:rPr>
        <w:t xml:space="preserve"> </w:t>
      </w:r>
      <w:r w:rsidRPr="00F01918">
        <w:rPr>
          <w:rFonts w:asciiTheme="minorHAnsi" w:hAnsiTheme="minorHAnsi" w:cstheme="minorHAnsi"/>
          <w:szCs w:val="22"/>
        </w:rPr>
        <w:t>any</w:t>
      </w:r>
      <w:r w:rsidRPr="00F01918">
        <w:rPr>
          <w:rFonts w:asciiTheme="minorHAnsi" w:hAnsiTheme="minorHAnsi" w:cstheme="minorHAnsi"/>
          <w:spacing w:val="-20"/>
          <w:szCs w:val="22"/>
        </w:rPr>
        <w:t xml:space="preserve"> </w:t>
      </w:r>
      <w:r w:rsidRPr="00F01918">
        <w:rPr>
          <w:rFonts w:asciiTheme="minorHAnsi" w:hAnsiTheme="minorHAnsi" w:cstheme="minorHAnsi"/>
          <w:szCs w:val="22"/>
        </w:rPr>
        <w:t>new or</w:t>
      </w:r>
      <w:r w:rsidRPr="00F01918">
        <w:rPr>
          <w:rFonts w:asciiTheme="minorHAnsi" w:hAnsiTheme="minorHAnsi" w:cstheme="minorHAnsi"/>
          <w:spacing w:val="-10"/>
          <w:szCs w:val="22"/>
        </w:rPr>
        <w:t xml:space="preserve"> </w:t>
      </w:r>
      <w:r w:rsidRPr="00F01918">
        <w:rPr>
          <w:rFonts w:asciiTheme="minorHAnsi" w:hAnsiTheme="minorHAnsi" w:cstheme="minorHAnsi"/>
          <w:szCs w:val="22"/>
        </w:rPr>
        <w:t>amended</w:t>
      </w:r>
      <w:r w:rsidRPr="00F01918">
        <w:rPr>
          <w:rFonts w:asciiTheme="minorHAnsi" w:hAnsiTheme="minorHAnsi" w:cstheme="minorHAnsi"/>
          <w:spacing w:val="-11"/>
          <w:szCs w:val="22"/>
        </w:rPr>
        <w:t xml:space="preserve"> </w:t>
      </w:r>
      <w:r w:rsidRPr="00F01918">
        <w:rPr>
          <w:rFonts w:asciiTheme="minorHAnsi" w:hAnsiTheme="minorHAnsi" w:cstheme="minorHAnsi"/>
          <w:szCs w:val="22"/>
        </w:rPr>
        <w:t>legislation.</w:t>
      </w:r>
      <w:r w:rsidRPr="00F01918">
        <w:rPr>
          <w:rFonts w:asciiTheme="minorHAnsi" w:hAnsiTheme="minorHAnsi" w:cstheme="minorHAnsi"/>
          <w:spacing w:val="-9"/>
          <w:szCs w:val="22"/>
        </w:rPr>
        <w:t xml:space="preserve"> </w:t>
      </w:r>
      <w:r w:rsidRPr="00F01918">
        <w:rPr>
          <w:rFonts w:asciiTheme="minorHAnsi" w:hAnsiTheme="minorHAnsi" w:cstheme="minorHAnsi"/>
          <w:szCs w:val="22"/>
        </w:rPr>
        <w:t>Such</w:t>
      </w:r>
      <w:r w:rsidRPr="00F01918">
        <w:rPr>
          <w:rFonts w:asciiTheme="minorHAnsi" w:hAnsiTheme="minorHAnsi" w:cstheme="minorHAnsi"/>
          <w:spacing w:val="-9"/>
          <w:szCs w:val="22"/>
        </w:rPr>
        <w:t xml:space="preserve"> </w:t>
      </w:r>
      <w:r w:rsidRPr="00F01918">
        <w:rPr>
          <w:rFonts w:asciiTheme="minorHAnsi" w:hAnsiTheme="minorHAnsi" w:cstheme="minorHAnsi"/>
          <w:szCs w:val="22"/>
        </w:rPr>
        <w:t>ad</w:t>
      </w:r>
      <w:r>
        <w:rPr>
          <w:rFonts w:asciiTheme="minorHAnsi" w:hAnsiTheme="minorHAnsi" w:cstheme="minorHAnsi"/>
          <w:szCs w:val="22"/>
        </w:rPr>
        <w:t>vice is receiv</w:t>
      </w:r>
      <w:r w:rsidRPr="00F01918">
        <w:rPr>
          <w:rFonts w:asciiTheme="minorHAnsi" w:hAnsiTheme="minorHAnsi" w:cstheme="minorHAnsi"/>
          <w:szCs w:val="22"/>
        </w:rPr>
        <w:t>ed</w:t>
      </w:r>
      <w:r w:rsidRPr="00F01918">
        <w:rPr>
          <w:rFonts w:asciiTheme="minorHAnsi" w:hAnsiTheme="minorHAnsi" w:cstheme="minorHAnsi"/>
          <w:spacing w:val="-9"/>
          <w:szCs w:val="22"/>
        </w:rPr>
        <w:t xml:space="preserve"> </w:t>
      </w:r>
      <w:r w:rsidRPr="00F01918">
        <w:rPr>
          <w:rFonts w:asciiTheme="minorHAnsi" w:hAnsiTheme="minorHAnsi" w:cstheme="minorHAnsi"/>
          <w:szCs w:val="22"/>
        </w:rPr>
        <w:t>through</w:t>
      </w:r>
      <w:r w:rsidRPr="00F01918">
        <w:rPr>
          <w:rFonts w:asciiTheme="minorHAnsi" w:hAnsiTheme="minorHAnsi" w:cstheme="minorHAnsi"/>
          <w:spacing w:val="-9"/>
          <w:szCs w:val="22"/>
        </w:rPr>
        <w:t xml:space="preserve"> </w:t>
      </w:r>
      <w:r w:rsidRPr="00F01918">
        <w:rPr>
          <w:rFonts w:asciiTheme="minorHAnsi" w:hAnsiTheme="minorHAnsi" w:cstheme="minorHAnsi"/>
          <w:szCs w:val="22"/>
        </w:rPr>
        <w:t>Council’s</w:t>
      </w:r>
      <w:r w:rsidRPr="00F01918">
        <w:rPr>
          <w:rFonts w:asciiTheme="minorHAnsi" w:hAnsiTheme="minorHAnsi" w:cstheme="minorHAnsi"/>
          <w:spacing w:val="-10"/>
          <w:szCs w:val="22"/>
        </w:rPr>
        <w:t xml:space="preserve"> </w:t>
      </w:r>
      <w:r w:rsidRPr="00F01918">
        <w:rPr>
          <w:rFonts w:asciiTheme="minorHAnsi" w:hAnsiTheme="minorHAnsi" w:cstheme="minorHAnsi"/>
          <w:szCs w:val="22"/>
        </w:rPr>
        <w:t>Records Section and must be distributed by the Records staff to the relevant Council officers for</w:t>
      </w:r>
      <w:r w:rsidRPr="00F01918">
        <w:rPr>
          <w:rFonts w:asciiTheme="minorHAnsi" w:hAnsiTheme="minorHAnsi" w:cstheme="minorHAnsi"/>
          <w:spacing w:val="-12"/>
          <w:szCs w:val="22"/>
        </w:rPr>
        <w:t xml:space="preserve"> </w:t>
      </w:r>
      <w:r w:rsidRPr="00F01918">
        <w:rPr>
          <w:rFonts w:asciiTheme="minorHAnsi" w:hAnsiTheme="minorHAnsi" w:cstheme="minorHAnsi"/>
          <w:szCs w:val="22"/>
        </w:rPr>
        <w:t>implementation.</w:t>
      </w:r>
    </w:p>
    <w:p w14:paraId="533EF606" w14:textId="77777777" w:rsidR="00C63DFC" w:rsidRPr="00F01918" w:rsidRDefault="00C63DFC" w:rsidP="00C63DFC">
      <w:pPr>
        <w:pStyle w:val="BodyText"/>
        <w:rPr>
          <w:rFonts w:asciiTheme="minorHAnsi" w:hAnsiTheme="minorHAnsi" w:cstheme="minorHAnsi"/>
          <w:szCs w:val="22"/>
        </w:rPr>
      </w:pPr>
    </w:p>
    <w:p w14:paraId="317130E7" w14:textId="77777777" w:rsidR="00C63DFC" w:rsidRPr="00B95018" w:rsidRDefault="00C63DFC" w:rsidP="00C63DFC">
      <w:pPr>
        <w:widowControl w:val="0"/>
        <w:tabs>
          <w:tab w:val="left" w:pos="1673"/>
        </w:tabs>
        <w:autoSpaceDE w:val="0"/>
        <w:autoSpaceDN w:val="0"/>
        <w:spacing w:after="0" w:line="240" w:lineRule="auto"/>
        <w:ind w:left="851" w:hanging="425"/>
        <w:jc w:val="both"/>
        <w:rPr>
          <w:rFonts w:cstheme="minorHAnsi"/>
        </w:rPr>
      </w:pPr>
      <w:r>
        <w:rPr>
          <w:rFonts w:cstheme="minorHAnsi"/>
        </w:rPr>
        <w:t>2.4</w:t>
      </w:r>
      <w:r>
        <w:rPr>
          <w:rFonts w:cstheme="minorHAnsi"/>
        </w:rPr>
        <w:tab/>
      </w:r>
      <w:r w:rsidRPr="0021176F">
        <w:rPr>
          <w:rFonts w:cstheme="minorHAnsi"/>
          <w:u w:val="single"/>
        </w:rPr>
        <w:t>W</w:t>
      </w:r>
      <w:r>
        <w:rPr>
          <w:rFonts w:cstheme="minorHAnsi"/>
          <w:u w:val="single"/>
        </w:rPr>
        <w:t>A</w:t>
      </w:r>
      <w:r w:rsidRPr="0021176F">
        <w:rPr>
          <w:rFonts w:cstheme="minorHAnsi"/>
          <w:u w:val="single"/>
        </w:rPr>
        <w:t xml:space="preserve"> L</w:t>
      </w:r>
      <w:r w:rsidRPr="00B95018">
        <w:rPr>
          <w:rFonts w:cstheme="minorHAnsi"/>
          <w:u w:val="single"/>
        </w:rPr>
        <w:t>ocal Government</w:t>
      </w:r>
      <w:r w:rsidRPr="00B95018">
        <w:rPr>
          <w:rFonts w:cstheme="minorHAnsi"/>
          <w:spacing w:val="-20"/>
          <w:u w:val="single"/>
        </w:rPr>
        <w:t xml:space="preserve"> </w:t>
      </w:r>
      <w:r w:rsidRPr="00B95018">
        <w:rPr>
          <w:rFonts w:cstheme="minorHAnsi"/>
          <w:u w:val="single"/>
        </w:rPr>
        <w:t>Association</w:t>
      </w:r>
    </w:p>
    <w:p w14:paraId="5E6DD6E6" w14:textId="77777777" w:rsidR="00C63DFC" w:rsidRDefault="00C63DFC" w:rsidP="00C63DFC">
      <w:pPr>
        <w:pStyle w:val="BodyText"/>
        <w:spacing w:after="0"/>
        <w:ind w:left="851" w:right="113"/>
        <w:jc w:val="both"/>
        <w:rPr>
          <w:rFonts w:asciiTheme="minorHAnsi" w:hAnsiTheme="minorHAnsi" w:cstheme="minorHAnsi"/>
          <w:szCs w:val="22"/>
        </w:rPr>
      </w:pPr>
      <w:r w:rsidRPr="00F01918">
        <w:rPr>
          <w:rFonts w:asciiTheme="minorHAnsi" w:hAnsiTheme="minorHAnsi" w:cstheme="minorHAnsi"/>
          <w:szCs w:val="22"/>
        </w:rPr>
        <w:t xml:space="preserve">Council receives a weekly circular from the </w:t>
      </w:r>
      <w:r>
        <w:rPr>
          <w:rFonts w:asciiTheme="minorHAnsi" w:hAnsiTheme="minorHAnsi" w:cstheme="minorHAnsi"/>
          <w:szCs w:val="22"/>
        </w:rPr>
        <w:t xml:space="preserve">WA Local Government </w:t>
      </w:r>
      <w:r w:rsidRPr="00F01918">
        <w:rPr>
          <w:rFonts w:asciiTheme="minorHAnsi" w:hAnsiTheme="minorHAnsi" w:cstheme="minorHAnsi"/>
          <w:szCs w:val="22"/>
        </w:rPr>
        <w:t>Association.</w:t>
      </w:r>
      <w:r w:rsidRPr="00F01918">
        <w:rPr>
          <w:rFonts w:asciiTheme="minorHAnsi" w:hAnsiTheme="minorHAnsi" w:cstheme="minorHAnsi"/>
          <w:spacing w:val="-22"/>
          <w:szCs w:val="22"/>
        </w:rPr>
        <w:t xml:space="preserve"> </w:t>
      </w:r>
      <w:r w:rsidRPr="00F01918">
        <w:rPr>
          <w:rFonts w:asciiTheme="minorHAnsi" w:hAnsiTheme="minorHAnsi" w:cstheme="minorHAnsi"/>
          <w:szCs w:val="22"/>
        </w:rPr>
        <w:t>These</w:t>
      </w:r>
      <w:r w:rsidRPr="00F01918">
        <w:rPr>
          <w:rFonts w:asciiTheme="minorHAnsi" w:hAnsiTheme="minorHAnsi" w:cstheme="minorHAnsi"/>
          <w:spacing w:val="-19"/>
          <w:szCs w:val="22"/>
        </w:rPr>
        <w:t xml:space="preserve"> </w:t>
      </w:r>
      <w:r w:rsidRPr="00F01918">
        <w:rPr>
          <w:rFonts w:asciiTheme="minorHAnsi" w:hAnsiTheme="minorHAnsi" w:cstheme="minorHAnsi"/>
          <w:szCs w:val="22"/>
        </w:rPr>
        <w:t>circulars</w:t>
      </w:r>
      <w:r w:rsidRPr="00F01918">
        <w:rPr>
          <w:rFonts w:asciiTheme="minorHAnsi" w:hAnsiTheme="minorHAnsi" w:cstheme="minorHAnsi"/>
          <w:spacing w:val="-20"/>
          <w:szCs w:val="22"/>
        </w:rPr>
        <w:t xml:space="preserve"> </w:t>
      </w:r>
      <w:r w:rsidRPr="00F01918">
        <w:rPr>
          <w:rFonts w:asciiTheme="minorHAnsi" w:hAnsiTheme="minorHAnsi" w:cstheme="minorHAnsi"/>
          <w:szCs w:val="22"/>
        </w:rPr>
        <w:t>have</w:t>
      </w:r>
      <w:r w:rsidRPr="00F01918">
        <w:rPr>
          <w:rFonts w:asciiTheme="minorHAnsi" w:hAnsiTheme="minorHAnsi" w:cstheme="minorHAnsi"/>
          <w:spacing w:val="-19"/>
          <w:szCs w:val="22"/>
        </w:rPr>
        <w:t xml:space="preserve"> </w:t>
      </w:r>
      <w:r w:rsidRPr="00F01918">
        <w:rPr>
          <w:rFonts w:asciiTheme="minorHAnsi" w:hAnsiTheme="minorHAnsi" w:cstheme="minorHAnsi"/>
          <w:szCs w:val="22"/>
        </w:rPr>
        <w:t>sections</w:t>
      </w:r>
      <w:r w:rsidRPr="00F01918">
        <w:rPr>
          <w:rFonts w:asciiTheme="minorHAnsi" w:hAnsiTheme="minorHAnsi" w:cstheme="minorHAnsi"/>
          <w:spacing w:val="-20"/>
          <w:szCs w:val="22"/>
        </w:rPr>
        <w:t xml:space="preserve"> </w:t>
      </w:r>
      <w:r w:rsidRPr="00F01918">
        <w:rPr>
          <w:rFonts w:asciiTheme="minorHAnsi" w:hAnsiTheme="minorHAnsi" w:cstheme="minorHAnsi"/>
          <w:szCs w:val="22"/>
        </w:rPr>
        <w:t>on</w:t>
      </w:r>
      <w:r w:rsidRPr="00F01918">
        <w:rPr>
          <w:rFonts w:asciiTheme="minorHAnsi" w:hAnsiTheme="minorHAnsi" w:cstheme="minorHAnsi"/>
          <w:spacing w:val="-21"/>
          <w:szCs w:val="22"/>
        </w:rPr>
        <w:t xml:space="preserve"> </w:t>
      </w:r>
      <w:r>
        <w:rPr>
          <w:rFonts w:asciiTheme="minorHAnsi" w:hAnsiTheme="minorHAnsi" w:cstheme="minorHAnsi"/>
          <w:szCs w:val="22"/>
        </w:rPr>
        <w:t>finance, planning and e</w:t>
      </w:r>
      <w:r w:rsidRPr="00F01918">
        <w:rPr>
          <w:rFonts w:asciiTheme="minorHAnsi" w:hAnsiTheme="minorHAnsi" w:cstheme="minorHAnsi"/>
          <w:szCs w:val="22"/>
        </w:rPr>
        <w:t xml:space="preserve">nvironmental law that highlight changes in legislation applicable to Councils and must be distributed to relevant Council officers and </w:t>
      </w:r>
      <w:r>
        <w:rPr>
          <w:rFonts w:asciiTheme="minorHAnsi" w:hAnsiTheme="minorHAnsi" w:cstheme="minorHAnsi"/>
          <w:szCs w:val="22"/>
        </w:rPr>
        <w:t>elected members</w:t>
      </w:r>
      <w:r w:rsidRPr="00F01918">
        <w:rPr>
          <w:rFonts w:asciiTheme="minorHAnsi" w:hAnsiTheme="minorHAnsi" w:cstheme="minorHAnsi"/>
          <w:szCs w:val="22"/>
        </w:rPr>
        <w:t xml:space="preserve"> for</w:t>
      </w:r>
      <w:r w:rsidRPr="00F01918">
        <w:rPr>
          <w:rFonts w:asciiTheme="minorHAnsi" w:hAnsiTheme="minorHAnsi" w:cstheme="minorHAnsi"/>
          <w:spacing w:val="-8"/>
          <w:szCs w:val="22"/>
        </w:rPr>
        <w:t xml:space="preserve"> </w:t>
      </w:r>
      <w:r w:rsidRPr="00F01918">
        <w:rPr>
          <w:rFonts w:asciiTheme="minorHAnsi" w:hAnsiTheme="minorHAnsi" w:cstheme="minorHAnsi"/>
          <w:szCs w:val="22"/>
        </w:rPr>
        <w:t>information.</w:t>
      </w:r>
    </w:p>
    <w:p w14:paraId="36DA0C3F" w14:textId="77777777" w:rsidR="00C63DFC" w:rsidRDefault="00C63DFC" w:rsidP="00C63DFC">
      <w:pPr>
        <w:pStyle w:val="BodyText"/>
        <w:ind w:left="851" w:right="113"/>
        <w:jc w:val="both"/>
        <w:rPr>
          <w:rFonts w:asciiTheme="minorHAnsi" w:hAnsiTheme="minorHAnsi" w:cstheme="minorHAnsi"/>
          <w:szCs w:val="22"/>
        </w:rPr>
      </w:pPr>
    </w:p>
    <w:p w14:paraId="6614ACCB" w14:textId="77777777" w:rsidR="00C63DFC" w:rsidRPr="00C63DFC" w:rsidRDefault="00C63DFC" w:rsidP="00C63DFC">
      <w:pPr>
        <w:pStyle w:val="Heading2"/>
        <w:tabs>
          <w:tab w:val="left" w:pos="952"/>
          <w:tab w:val="left" w:pos="953"/>
        </w:tabs>
        <w:ind w:left="426" w:hanging="426"/>
        <w:rPr>
          <w:rFonts w:asciiTheme="minorHAnsi" w:hAnsiTheme="minorHAnsi" w:cstheme="minorHAnsi"/>
          <w:color w:val="auto"/>
          <w:sz w:val="22"/>
          <w:szCs w:val="22"/>
        </w:rPr>
      </w:pPr>
      <w:bookmarkStart w:id="428" w:name="3._Obtaining_Advice_on_Legislative_Provi"/>
      <w:bookmarkEnd w:id="428"/>
      <w:r w:rsidRPr="00C63DFC">
        <w:rPr>
          <w:rFonts w:asciiTheme="minorHAnsi" w:hAnsiTheme="minorHAnsi" w:cstheme="minorHAnsi"/>
          <w:color w:val="auto"/>
          <w:sz w:val="22"/>
          <w:szCs w:val="22"/>
        </w:rPr>
        <w:t>3.</w:t>
      </w:r>
      <w:r w:rsidRPr="00C63DFC">
        <w:rPr>
          <w:rFonts w:asciiTheme="minorHAnsi" w:hAnsiTheme="minorHAnsi" w:cstheme="minorHAnsi"/>
          <w:color w:val="auto"/>
          <w:sz w:val="22"/>
          <w:szCs w:val="22"/>
        </w:rPr>
        <w:tab/>
        <w:t>Obtaining Advice on Legislative</w:t>
      </w:r>
      <w:r w:rsidRPr="00C63DFC">
        <w:rPr>
          <w:rFonts w:asciiTheme="minorHAnsi" w:hAnsiTheme="minorHAnsi" w:cstheme="minorHAnsi"/>
          <w:color w:val="auto"/>
          <w:spacing w:val="-24"/>
          <w:sz w:val="22"/>
          <w:szCs w:val="22"/>
        </w:rPr>
        <w:t xml:space="preserve"> </w:t>
      </w:r>
      <w:r w:rsidRPr="00C63DFC">
        <w:rPr>
          <w:rFonts w:asciiTheme="minorHAnsi" w:hAnsiTheme="minorHAnsi" w:cstheme="minorHAnsi"/>
          <w:color w:val="auto"/>
          <w:sz w:val="22"/>
          <w:szCs w:val="22"/>
        </w:rPr>
        <w:t>Provisions</w:t>
      </w:r>
    </w:p>
    <w:p w14:paraId="4235D4C4" w14:textId="77777777" w:rsidR="00C63DFC" w:rsidRPr="00F01918" w:rsidRDefault="00C63DFC" w:rsidP="00C63DFC">
      <w:pPr>
        <w:pStyle w:val="BodyText"/>
        <w:ind w:left="426" w:right="115"/>
        <w:jc w:val="both"/>
        <w:rPr>
          <w:rFonts w:asciiTheme="minorHAnsi" w:hAnsiTheme="minorHAnsi" w:cstheme="minorHAnsi"/>
          <w:szCs w:val="22"/>
        </w:rPr>
      </w:pPr>
      <w:r w:rsidRPr="00F01918">
        <w:rPr>
          <w:rFonts w:asciiTheme="minorHAnsi" w:hAnsiTheme="minorHAnsi" w:cstheme="minorHAnsi"/>
          <w:szCs w:val="22"/>
        </w:rPr>
        <w:t>Advice on matters of legislative interpretation may be sought when deemed necessary. Contact may be made with the respective legal officer/solicitor from the following sources:</w:t>
      </w:r>
    </w:p>
    <w:p w14:paraId="2630480F" w14:textId="77777777" w:rsidR="00C63DFC" w:rsidRPr="009030CF" w:rsidRDefault="00C63DFC" w:rsidP="00C63DFC">
      <w:pPr>
        <w:widowControl w:val="0"/>
        <w:tabs>
          <w:tab w:val="left" w:pos="1652"/>
        </w:tabs>
        <w:autoSpaceDE w:val="0"/>
        <w:autoSpaceDN w:val="0"/>
        <w:spacing w:after="60" w:line="240" w:lineRule="auto"/>
        <w:ind w:left="940" w:hanging="514"/>
        <w:jc w:val="both"/>
        <w:rPr>
          <w:rFonts w:cstheme="minorHAnsi"/>
        </w:rPr>
      </w:pPr>
      <w:r w:rsidRPr="009030CF">
        <w:rPr>
          <w:rFonts w:cstheme="minorHAnsi"/>
        </w:rPr>
        <w:lastRenderedPageBreak/>
        <w:t>(a)</w:t>
      </w:r>
      <w:r w:rsidRPr="009030CF">
        <w:rPr>
          <w:rFonts w:cstheme="minorHAnsi"/>
        </w:rPr>
        <w:tab/>
        <w:t>WALGA (Legal</w:t>
      </w:r>
      <w:r w:rsidRPr="009030CF">
        <w:rPr>
          <w:rFonts w:cstheme="minorHAnsi"/>
          <w:spacing w:val="-27"/>
        </w:rPr>
        <w:t xml:space="preserve"> </w:t>
      </w:r>
      <w:r w:rsidRPr="009030CF">
        <w:rPr>
          <w:rFonts w:cstheme="minorHAnsi"/>
        </w:rPr>
        <w:t>Officer),</w:t>
      </w:r>
    </w:p>
    <w:p w14:paraId="25492DA9" w14:textId="77777777" w:rsidR="00C63DFC" w:rsidRPr="009030CF" w:rsidRDefault="00C63DFC" w:rsidP="00C63DFC">
      <w:pPr>
        <w:widowControl w:val="0"/>
        <w:tabs>
          <w:tab w:val="left" w:pos="1652"/>
        </w:tabs>
        <w:autoSpaceDE w:val="0"/>
        <w:autoSpaceDN w:val="0"/>
        <w:spacing w:after="60" w:line="240" w:lineRule="auto"/>
        <w:ind w:left="940" w:hanging="514"/>
        <w:jc w:val="both"/>
        <w:rPr>
          <w:rFonts w:cstheme="minorHAnsi"/>
        </w:rPr>
      </w:pPr>
      <w:r w:rsidRPr="009030CF">
        <w:rPr>
          <w:rFonts w:cstheme="minorHAnsi"/>
        </w:rPr>
        <w:t>(b)</w:t>
      </w:r>
      <w:r w:rsidRPr="009030CF">
        <w:rPr>
          <w:rFonts w:cstheme="minorHAnsi"/>
        </w:rPr>
        <w:tab/>
        <w:t>Department of Local Government (Legal Services Branch),</w:t>
      </w:r>
      <w:r w:rsidRPr="009030CF">
        <w:rPr>
          <w:rFonts w:cstheme="minorHAnsi"/>
          <w:spacing w:val="-26"/>
        </w:rPr>
        <w:t xml:space="preserve"> </w:t>
      </w:r>
      <w:r w:rsidRPr="009030CF">
        <w:rPr>
          <w:rFonts w:cstheme="minorHAnsi"/>
        </w:rPr>
        <w:t>or</w:t>
      </w:r>
    </w:p>
    <w:p w14:paraId="03696771" w14:textId="77777777" w:rsidR="00C63DFC" w:rsidRPr="009030CF" w:rsidRDefault="00C63DFC" w:rsidP="00C63DFC">
      <w:pPr>
        <w:widowControl w:val="0"/>
        <w:tabs>
          <w:tab w:val="left" w:pos="1652"/>
        </w:tabs>
        <w:autoSpaceDE w:val="0"/>
        <w:autoSpaceDN w:val="0"/>
        <w:spacing w:after="0" w:line="240" w:lineRule="auto"/>
        <w:ind w:left="940" w:hanging="514"/>
        <w:jc w:val="both"/>
        <w:rPr>
          <w:rFonts w:cstheme="minorHAnsi"/>
        </w:rPr>
      </w:pPr>
      <w:r w:rsidRPr="009030CF">
        <w:rPr>
          <w:rFonts w:cstheme="minorHAnsi"/>
        </w:rPr>
        <w:t>(c)</w:t>
      </w:r>
      <w:r w:rsidRPr="009030CF">
        <w:rPr>
          <w:rFonts w:cstheme="minorHAnsi"/>
        </w:rPr>
        <w:tab/>
        <w:t>Council’s Panel of</w:t>
      </w:r>
      <w:r w:rsidRPr="009030CF">
        <w:rPr>
          <w:rFonts w:cstheme="minorHAnsi"/>
          <w:spacing w:val="-16"/>
        </w:rPr>
        <w:t xml:space="preserve"> </w:t>
      </w:r>
      <w:r w:rsidRPr="009030CF">
        <w:rPr>
          <w:rFonts w:cstheme="minorHAnsi"/>
        </w:rPr>
        <w:t>Solicitors.</w:t>
      </w:r>
    </w:p>
    <w:p w14:paraId="7DB2129E" w14:textId="77777777" w:rsidR="00C63DFC" w:rsidRPr="009030CF" w:rsidRDefault="00C63DFC" w:rsidP="00C63DFC">
      <w:pPr>
        <w:pStyle w:val="BodyText"/>
        <w:spacing w:before="9"/>
        <w:rPr>
          <w:rFonts w:asciiTheme="minorHAnsi" w:hAnsiTheme="minorHAnsi" w:cstheme="minorHAnsi"/>
          <w:szCs w:val="22"/>
        </w:rPr>
      </w:pPr>
    </w:p>
    <w:p w14:paraId="33813CEC" w14:textId="77777777" w:rsidR="00C63DFC" w:rsidRPr="00F01918" w:rsidRDefault="00C63DFC" w:rsidP="00C63DFC">
      <w:pPr>
        <w:spacing w:after="0" w:line="240" w:lineRule="auto"/>
        <w:ind w:left="425" w:right="113"/>
        <w:jc w:val="both"/>
        <w:rPr>
          <w:rFonts w:cstheme="minorHAnsi"/>
          <w:b/>
          <w:i/>
        </w:rPr>
      </w:pPr>
      <w:r w:rsidRPr="009030CF">
        <w:rPr>
          <w:rFonts w:cstheme="minorHAnsi"/>
          <w:b/>
          <w:i/>
          <w:u w:val="thick"/>
        </w:rPr>
        <w:t>Note: Accessing of any legal advice must first be approved by the staff member’s relevant Manager</w:t>
      </w:r>
    </w:p>
    <w:p w14:paraId="000AF797" w14:textId="77777777" w:rsidR="00C63DFC" w:rsidRPr="00F01918" w:rsidRDefault="00C63DFC" w:rsidP="00C63DFC">
      <w:pPr>
        <w:pStyle w:val="BodyText"/>
        <w:rPr>
          <w:rFonts w:asciiTheme="minorHAnsi" w:hAnsiTheme="minorHAnsi" w:cstheme="minorHAnsi"/>
          <w:b/>
          <w:i/>
          <w:szCs w:val="22"/>
        </w:rPr>
      </w:pPr>
    </w:p>
    <w:p w14:paraId="3FC904C4" w14:textId="77777777" w:rsidR="00C63DFC" w:rsidRPr="00C63DFC" w:rsidRDefault="00C63DFC" w:rsidP="00C63DFC">
      <w:pPr>
        <w:spacing w:after="0"/>
        <w:ind w:left="426" w:hanging="426"/>
        <w:rPr>
          <w:b/>
          <w:bCs/>
        </w:rPr>
      </w:pPr>
      <w:r w:rsidRPr="00C63DFC">
        <w:rPr>
          <w:b/>
          <w:bCs/>
        </w:rPr>
        <w:t>4.</w:t>
      </w:r>
      <w:r w:rsidRPr="00C63DFC">
        <w:rPr>
          <w:b/>
          <w:bCs/>
        </w:rPr>
        <w:tab/>
        <w:t xml:space="preserve">Informing </w:t>
      </w:r>
      <w:r w:rsidRPr="00C63DFC">
        <w:rPr>
          <w:b/>
          <w:bCs/>
          <w:u w:val="thick"/>
        </w:rPr>
        <w:t xml:space="preserve">Council </w:t>
      </w:r>
      <w:r w:rsidRPr="00C63DFC">
        <w:rPr>
          <w:b/>
          <w:bCs/>
        </w:rPr>
        <w:t>of Legislative</w:t>
      </w:r>
      <w:r w:rsidRPr="00C63DFC">
        <w:rPr>
          <w:b/>
          <w:bCs/>
          <w:spacing w:val="-24"/>
        </w:rPr>
        <w:t xml:space="preserve"> </w:t>
      </w:r>
      <w:r w:rsidRPr="00C63DFC">
        <w:rPr>
          <w:b/>
          <w:bCs/>
        </w:rPr>
        <w:t>Change</w:t>
      </w:r>
    </w:p>
    <w:p w14:paraId="1DC8B3CA" w14:textId="77777777" w:rsidR="00C63DFC" w:rsidRPr="00F01918" w:rsidRDefault="00C63DFC" w:rsidP="00C63DFC">
      <w:pPr>
        <w:pStyle w:val="BodyText"/>
        <w:spacing w:after="0"/>
        <w:ind w:left="425" w:right="113"/>
        <w:jc w:val="both"/>
        <w:rPr>
          <w:rFonts w:asciiTheme="minorHAnsi" w:hAnsiTheme="minorHAnsi" w:cstheme="minorHAnsi"/>
          <w:szCs w:val="22"/>
        </w:rPr>
      </w:pPr>
      <w:r w:rsidRPr="00F01918">
        <w:rPr>
          <w:rFonts w:asciiTheme="minorHAnsi" w:hAnsiTheme="minorHAnsi" w:cstheme="minorHAnsi"/>
          <w:szCs w:val="22"/>
        </w:rPr>
        <w:t xml:space="preserve">If deemed necessary, the </w:t>
      </w:r>
      <w:r>
        <w:rPr>
          <w:rFonts w:asciiTheme="minorHAnsi" w:hAnsiTheme="minorHAnsi" w:cstheme="minorHAnsi"/>
          <w:szCs w:val="22"/>
        </w:rPr>
        <w:t>Executive</w:t>
      </w:r>
      <w:r w:rsidRPr="00F01918">
        <w:rPr>
          <w:rFonts w:asciiTheme="minorHAnsi" w:hAnsiTheme="minorHAnsi" w:cstheme="minorHAnsi"/>
          <w:szCs w:val="22"/>
        </w:rPr>
        <w:t xml:space="preserve"> Manager or a nominated officer, will, on receipt of advice of legislative amendments, </w:t>
      </w:r>
      <w:r w:rsidRPr="009030CF">
        <w:rPr>
          <w:rFonts w:asciiTheme="minorHAnsi" w:hAnsiTheme="minorHAnsi" w:cstheme="minorHAnsi"/>
          <w:szCs w:val="22"/>
        </w:rPr>
        <w:t>advice</w:t>
      </w:r>
      <w:r>
        <w:rPr>
          <w:rFonts w:asciiTheme="minorHAnsi" w:hAnsiTheme="minorHAnsi" w:cstheme="minorHAnsi"/>
          <w:szCs w:val="22"/>
        </w:rPr>
        <w:t xml:space="preserve"> </w:t>
      </w:r>
      <w:r w:rsidRPr="00F01918">
        <w:rPr>
          <w:rFonts w:asciiTheme="minorHAnsi" w:hAnsiTheme="minorHAnsi" w:cstheme="minorHAnsi"/>
          <w:szCs w:val="22"/>
        </w:rPr>
        <w:t xml:space="preserve">Council </w:t>
      </w:r>
      <w:r>
        <w:rPr>
          <w:rFonts w:asciiTheme="minorHAnsi" w:hAnsiTheme="minorHAnsi" w:cstheme="minorHAnsi"/>
          <w:szCs w:val="22"/>
        </w:rPr>
        <w:t xml:space="preserve">via a </w:t>
      </w:r>
      <w:r w:rsidRPr="009030CF">
        <w:rPr>
          <w:rFonts w:asciiTheme="minorHAnsi" w:hAnsiTheme="minorHAnsi" w:cstheme="minorHAnsi"/>
          <w:szCs w:val="22"/>
        </w:rPr>
        <w:t>Concept Forum</w:t>
      </w:r>
      <w:r>
        <w:rPr>
          <w:rFonts w:asciiTheme="minorHAnsi" w:hAnsiTheme="minorHAnsi" w:cstheme="minorHAnsi"/>
          <w:szCs w:val="22"/>
        </w:rPr>
        <w:t>/Briefing</w:t>
      </w:r>
      <w:r w:rsidRPr="00F01918">
        <w:rPr>
          <w:rFonts w:asciiTheme="minorHAnsi" w:hAnsiTheme="minorHAnsi" w:cstheme="minorHAnsi"/>
          <w:szCs w:val="22"/>
        </w:rPr>
        <w:t xml:space="preserve"> on the new or amended legislation where any changes will impact </w:t>
      </w:r>
      <w:r w:rsidRPr="00F01918">
        <w:rPr>
          <w:rFonts w:asciiTheme="minorHAnsi" w:hAnsiTheme="minorHAnsi" w:cstheme="minorHAnsi"/>
          <w:szCs w:val="22"/>
          <w:u w:val="single"/>
        </w:rPr>
        <w:t xml:space="preserve">significantly </w:t>
      </w:r>
      <w:r w:rsidRPr="00F01918">
        <w:rPr>
          <w:rFonts w:asciiTheme="minorHAnsi" w:hAnsiTheme="minorHAnsi" w:cstheme="minorHAnsi"/>
          <w:szCs w:val="22"/>
        </w:rPr>
        <w:t>on Council or its operations.</w:t>
      </w:r>
    </w:p>
    <w:p w14:paraId="37A612AB" w14:textId="77777777" w:rsidR="00C63DFC" w:rsidRPr="00F01918" w:rsidRDefault="00C63DFC" w:rsidP="00C63DFC">
      <w:pPr>
        <w:pStyle w:val="BodyText"/>
        <w:spacing w:before="1" w:after="0"/>
        <w:rPr>
          <w:rFonts w:asciiTheme="minorHAnsi" w:hAnsiTheme="minorHAnsi" w:cstheme="minorHAnsi"/>
          <w:szCs w:val="22"/>
        </w:rPr>
      </w:pPr>
    </w:p>
    <w:p w14:paraId="7926EC21" w14:textId="77777777" w:rsidR="00C63DFC" w:rsidRPr="00C63DFC" w:rsidRDefault="00C63DFC" w:rsidP="00C63DFC">
      <w:pPr>
        <w:pStyle w:val="Heading2"/>
        <w:tabs>
          <w:tab w:val="left" w:pos="952"/>
          <w:tab w:val="left" w:pos="953"/>
        </w:tabs>
        <w:spacing w:before="120"/>
        <w:ind w:left="426" w:hanging="426"/>
        <w:rPr>
          <w:rFonts w:asciiTheme="minorHAnsi" w:hAnsiTheme="minorHAnsi" w:cstheme="minorHAnsi"/>
          <w:color w:val="auto"/>
          <w:sz w:val="22"/>
          <w:szCs w:val="22"/>
        </w:rPr>
      </w:pPr>
      <w:bookmarkStart w:id="429" w:name="5._Review_of_Incidents_and_Complaints_fo"/>
      <w:bookmarkEnd w:id="429"/>
      <w:r w:rsidRPr="00C63DFC">
        <w:rPr>
          <w:rFonts w:asciiTheme="minorHAnsi" w:hAnsiTheme="minorHAnsi" w:cstheme="minorHAnsi"/>
          <w:color w:val="auto"/>
          <w:sz w:val="22"/>
          <w:szCs w:val="22"/>
        </w:rPr>
        <w:t>5.</w:t>
      </w:r>
      <w:r w:rsidRPr="00C63DFC">
        <w:rPr>
          <w:rFonts w:asciiTheme="minorHAnsi" w:hAnsiTheme="minorHAnsi" w:cstheme="minorHAnsi"/>
          <w:color w:val="auto"/>
          <w:sz w:val="22"/>
          <w:szCs w:val="22"/>
        </w:rPr>
        <w:tab/>
        <w:t>Review of Incidents and Complaints for</w:t>
      </w:r>
      <w:r w:rsidRPr="00C63DFC">
        <w:rPr>
          <w:rFonts w:asciiTheme="minorHAnsi" w:hAnsiTheme="minorHAnsi" w:cstheme="minorHAnsi"/>
          <w:color w:val="auto"/>
          <w:spacing w:val="-27"/>
          <w:sz w:val="22"/>
          <w:szCs w:val="22"/>
        </w:rPr>
        <w:t xml:space="preserve"> </w:t>
      </w:r>
      <w:r w:rsidRPr="00C63DFC">
        <w:rPr>
          <w:rFonts w:asciiTheme="minorHAnsi" w:hAnsiTheme="minorHAnsi" w:cstheme="minorHAnsi"/>
          <w:color w:val="auto"/>
          <w:sz w:val="22"/>
          <w:szCs w:val="22"/>
        </w:rPr>
        <w:t>Non-compliance</w:t>
      </w:r>
    </w:p>
    <w:p w14:paraId="653DAF2A" w14:textId="77777777" w:rsidR="00C63DFC" w:rsidRPr="00F01918" w:rsidRDefault="00C63DFC" w:rsidP="00C63DFC">
      <w:pPr>
        <w:pStyle w:val="BodyText"/>
        <w:spacing w:after="0"/>
        <w:ind w:left="425" w:right="113"/>
        <w:jc w:val="both"/>
        <w:rPr>
          <w:rFonts w:asciiTheme="minorHAnsi" w:hAnsiTheme="minorHAnsi" w:cstheme="minorHAnsi"/>
          <w:szCs w:val="22"/>
        </w:rPr>
      </w:pPr>
      <w:r w:rsidRPr="00F01918">
        <w:rPr>
          <w:rFonts w:asciiTheme="minorHAnsi" w:hAnsiTheme="minorHAnsi" w:cstheme="minorHAnsi"/>
          <w:szCs w:val="22"/>
        </w:rPr>
        <w:t>Council shall review all incidents and complaints in accordance with its incident reporting and complaint handling procedures. Such reviews and investigations will assess compliance with legislation, standards, policies and procedures that are applicable.</w:t>
      </w:r>
    </w:p>
    <w:p w14:paraId="0A75BDCC" w14:textId="77777777" w:rsidR="00C63DFC" w:rsidRPr="00F01918" w:rsidRDefault="00C63DFC" w:rsidP="00C63DFC">
      <w:pPr>
        <w:pStyle w:val="BodyText"/>
        <w:spacing w:before="9" w:after="0"/>
        <w:rPr>
          <w:rFonts w:asciiTheme="minorHAnsi" w:hAnsiTheme="minorHAnsi" w:cstheme="minorHAnsi"/>
          <w:szCs w:val="22"/>
        </w:rPr>
      </w:pPr>
    </w:p>
    <w:p w14:paraId="61FEDEEC" w14:textId="77777777" w:rsidR="00C63DFC" w:rsidRPr="00C63DFC" w:rsidRDefault="00C63DFC" w:rsidP="00C63DFC">
      <w:pPr>
        <w:pStyle w:val="Heading2"/>
        <w:tabs>
          <w:tab w:val="left" w:pos="952"/>
          <w:tab w:val="left" w:pos="953"/>
        </w:tabs>
        <w:spacing w:before="0"/>
        <w:ind w:left="425" w:hanging="425"/>
        <w:rPr>
          <w:rFonts w:asciiTheme="minorHAnsi" w:hAnsiTheme="minorHAnsi" w:cstheme="minorHAnsi"/>
          <w:color w:val="auto"/>
          <w:sz w:val="22"/>
          <w:szCs w:val="22"/>
        </w:rPr>
      </w:pPr>
      <w:bookmarkStart w:id="430" w:name="6._Reporting_of_Non-compliance"/>
      <w:bookmarkEnd w:id="430"/>
      <w:r w:rsidRPr="00C63DFC">
        <w:rPr>
          <w:rFonts w:asciiTheme="minorHAnsi" w:hAnsiTheme="minorHAnsi" w:cstheme="minorHAnsi"/>
          <w:color w:val="auto"/>
          <w:sz w:val="22"/>
          <w:szCs w:val="22"/>
        </w:rPr>
        <w:t>6.</w:t>
      </w:r>
      <w:r w:rsidRPr="00C63DFC">
        <w:rPr>
          <w:rFonts w:asciiTheme="minorHAnsi" w:hAnsiTheme="minorHAnsi" w:cstheme="minorHAnsi"/>
          <w:color w:val="auto"/>
          <w:sz w:val="22"/>
          <w:szCs w:val="22"/>
        </w:rPr>
        <w:tab/>
        <w:t>Reporting of</w:t>
      </w:r>
      <w:r w:rsidRPr="00C63DFC">
        <w:rPr>
          <w:rFonts w:asciiTheme="minorHAnsi" w:hAnsiTheme="minorHAnsi" w:cstheme="minorHAnsi"/>
          <w:color w:val="auto"/>
          <w:spacing w:val="-13"/>
          <w:sz w:val="22"/>
          <w:szCs w:val="22"/>
        </w:rPr>
        <w:t xml:space="preserve"> </w:t>
      </w:r>
      <w:r w:rsidRPr="00C63DFC">
        <w:rPr>
          <w:rFonts w:asciiTheme="minorHAnsi" w:hAnsiTheme="minorHAnsi" w:cstheme="minorHAnsi"/>
          <w:color w:val="auto"/>
          <w:sz w:val="22"/>
          <w:szCs w:val="22"/>
        </w:rPr>
        <w:t>Non-compliance</w:t>
      </w:r>
    </w:p>
    <w:p w14:paraId="09BAFD32" w14:textId="77777777" w:rsidR="00C63DFC" w:rsidRPr="00F01918" w:rsidRDefault="00C63DFC" w:rsidP="00C63DFC">
      <w:pPr>
        <w:pStyle w:val="BodyText"/>
        <w:spacing w:after="0"/>
        <w:ind w:left="850" w:right="113" w:hanging="425"/>
        <w:jc w:val="both"/>
        <w:rPr>
          <w:rFonts w:asciiTheme="minorHAnsi" w:hAnsiTheme="minorHAnsi" w:cstheme="minorHAnsi"/>
          <w:szCs w:val="22"/>
        </w:rPr>
      </w:pPr>
      <w:r>
        <w:rPr>
          <w:rFonts w:asciiTheme="minorHAnsi" w:hAnsiTheme="minorHAnsi" w:cstheme="minorHAnsi"/>
          <w:szCs w:val="22"/>
        </w:rPr>
        <w:t>6.1</w:t>
      </w:r>
      <w:r>
        <w:rPr>
          <w:rFonts w:asciiTheme="minorHAnsi" w:hAnsiTheme="minorHAnsi" w:cstheme="minorHAnsi"/>
          <w:szCs w:val="22"/>
        </w:rPr>
        <w:tab/>
      </w:r>
      <w:r w:rsidRPr="00F01918">
        <w:rPr>
          <w:rFonts w:asciiTheme="minorHAnsi" w:hAnsiTheme="minorHAnsi" w:cstheme="minorHAnsi"/>
          <w:szCs w:val="22"/>
        </w:rPr>
        <w:t xml:space="preserve">All instances of non-compliance shall be reported as soon as practicable to the respective </w:t>
      </w:r>
      <w:r w:rsidRPr="009030CF">
        <w:rPr>
          <w:rFonts w:asciiTheme="minorHAnsi" w:hAnsiTheme="minorHAnsi" w:cstheme="minorHAnsi"/>
          <w:szCs w:val="22"/>
        </w:rPr>
        <w:t>Executive Manager. The Executive</w:t>
      </w:r>
      <w:r>
        <w:rPr>
          <w:rFonts w:asciiTheme="minorHAnsi" w:hAnsiTheme="minorHAnsi" w:cstheme="minorHAnsi"/>
          <w:szCs w:val="22"/>
        </w:rPr>
        <w:t xml:space="preserve"> M</w:t>
      </w:r>
      <w:r w:rsidRPr="00F01918">
        <w:rPr>
          <w:rFonts w:asciiTheme="minorHAnsi" w:hAnsiTheme="minorHAnsi" w:cstheme="minorHAnsi"/>
          <w:szCs w:val="22"/>
        </w:rPr>
        <w:t xml:space="preserve">anager shall determine the appropriate response. If the matter is deemed a significant breach or significant fines and/or criminal sanctions apply, the matter must be reported immediately to the </w:t>
      </w:r>
      <w:r w:rsidRPr="009030CF">
        <w:rPr>
          <w:rFonts w:asciiTheme="minorHAnsi" w:hAnsiTheme="minorHAnsi" w:cstheme="minorHAnsi"/>
          <w:szCs w:val="22"/>
        </w:rPr>
        <w:t>Chief Executive Officer</w:t>
      </w:r>
      <w:r>
        <w:rPr>
          <w:rFonts w:asciiTheme="minorHAnsi" w:hAnsiTheme="minorHAnsi" w:cstheme="minorHAnsi"/>
          <w:szCs w:val="22"/>
        </w:rPr>
        <w:t>.</w:t>
      </w:r>
    </w:p>
    <w:p w14:paraId="65902B7F" w14:textId="77777777" w:rsidR="00C63DFC" w:rsidRPr="00F01918" w:rsidRDefault="00C63DFC" w:rsidP="00C63DFC">
      <w:pPr>
        <w:pStyle w:val="BodyText"/>
        <w:spacing w:after="0"/>
        <w:ind w:left="425"/>
        <w:rPr>
          <w:rFonts w:asciiTheme="minorHAnsi" w:hAnsiTheme="minorHAnsi" w:cstheme="minorHAnsi"/>
          <w:szCs w:val="22"/>
        </w:rPr>
      </w:pPr>
    </w:p>
    <w:p w14:paraId="66E19A26" w14:textId="77777777" w:rsidR="00C63DFC" w:rsidRDefault="00C63DFC" w:rsidP="00C63DFC">
      <w:pPr>
        <w:pStyle w:val="BodyText"/>
        <w:spacing w:before="1" w:after="0"/>
        <w:ind w:left="851" w:right="113"/>
        <w:jc w:val="both"/>
        <w:rPr>
          <w:rFonts w:asciiTheme="minorHAnsi" w:hAnsiTheme="minorHAnsi" w:cstheme="minorHAnsi"/>
          <w:szCs w:val="22"/>
        </w:rPr>
      </w:pPr>
      <w:r w:rsidRPr="009030CF">
        <w:rPr>
          <w:rFonts w:asciiTheme="minorHAnsi" w:hAnsiTheme="minorHAnsi" w:cstheme="minorHAnsi"/>
          <w:szCs w:val="22"/>
        </w:rPr>
        <w:t>The</w:t>
      </w:r>
      <w:r w:rsidRPr="009030CF">
        <w:rPr>
          <w:rFonts w:asciiTheme="minorHAnsi" w:hAnsiTheme="minorHAnsi" w:cstheme="minorHAnsi"/>
          <w:spacing w:val="-7"/>
          <w:szCs w:val="22"/>
        </w:rPr>
        <w:t xml:space="preserve"> </w:t>
      </w:r>
      <w:r w:rsidRPr="009030CF">
        <w:rPr>
          <w:rFonts w:asciiTheme="minorHAnsi" w:hAnsiTheme="minorHAnsi" w:cstheme="minorHAnsi"/>
          <w:szCs w:val="22"/>
        </w:rPr>
        <w:t>Chief Executive Officer</w:t>
      </w:r>
      <w:r w:rsidRPr="009030CF">
        <w:rPr>
          <w:rFonts w:asciiTheme="minorHAnsi" w:hAnsiTheme="minorHAnsi" w:cstheme="minorHAnsi"/>
          <w:spacing w:val="-8"/>
          <w:szCs w:val="22"/>
        </w:rPr>
        <w:t xml:space="preserve"> </w:t>
      </w:r>
      <w:r w:rsidRPr="009030CF">
        <w:rPr>
          <w:rFonts w:asciiTheme="minorHAnsi" w:hAnsiTheme="minorHAnsi" w:cstheme="minorHAnsi"/>
          <w:szCs w:val="22"/>
        </w:rPr>
        <w:t>may</w:t>
      </w:r>
      <w:r w:rsidRPr="009030CF">
        <w:rPr>
          <w:rFonts w:asciiTheme="minorHAnsi" w:hAnsiTheme="minorHAnsi" w:cstheme="minorHAnsi"/>
          <w:spacing w:val="-10"/>
          <w:szCs w:val="22"/>
        </w:rPr>
        <w:t xml:space="preserve"> </w:t>
      </w:r>
      <w:r w:rsidRPr="009030CF">
        <w:rPr>
          <w:rFonts w:asciiTheme="minorHAnsi" w:hAnsiTheme="minorHAnsi" w:cstheme="minorHAnsi"/>
          <w:szCs w:val="22"/>
        </w:rPr>
        <w:t>instigate</w:t>
      </w:r>
      <w:r w:rsidRPr="009030CF">
        <w:rPr>
          <w:rFonts w:asciiTheme="minorHAnsi" w:hAnsiTheme="minorHAnsi" w:cstheme="minorHAnsi"/>
          <w:spacing w:val="-7"/>
          <w:szCs w:val="22"/>
        </w:rPr>
        <w:t xml:space="preserve"> </w:t>
      </w:r>
      <w:r w:rsidRPr="009030CF">
        <w:rPr>
          <w:rFonts w:asciiTheme="minorHAnsi" w:hAnsiTheme="minorHAnsi" w:cstheme="minorHAnsi"/>
          <w:szCs w:val="22"/>
        </w:rPr>
        <w:t>an</w:t>
      </w:r>
      <w:r w:rsidRPr="009030CF">
        <w:rPr>
          <w:rFonts w:asciiTheme="minorHAnsi" w:hAnsiTheme="minorHAnsi" w:cstheme="minorHAnsi"/>
          <w:spacing w:val="-7"/>
          <w:szCs w:val="22"/>
        </w:rPr>
        <w:t xml:space="preserve"> </w:t>
      </w:r>
      <w:r w:rsidRPr="009030CF">
        <w:rPr>
          <w:rFonts w:asciiTheme="minorHAnsi" w:hAnsiTheme="minorHAnsi" w:cstheme="minorHAnsi"/>
          <w:szCs w:val="22"/>
        </w:rPr>
        <w:t>investigation</w:t>
      </w:r>
      <w:r w:rsidRPr="009030CF">
        <w:rPr>
          <w:rFonts w:asciiTheme="minorHAnsi" w:hAnsiTheme="minorHAnsi" w:cstheme="minorHAnsi"/>
          <w:spacing w:val="-7"/>
          <w:szCs w:val="22"/>
        </w:rPr>
        <w:t xml:space="preserve"> </w:t>
      </w:r>
      <w:r w:rsidRPr="009030CF">
        <w:rPr>
          <w:rFonts w:asciiTheme="minorHAnsi" w:hAnsiTheme="minorHAnsi" w:cstheme="minorHAnsi"/>
          <w:szCs w:val="22"/>
        </w:rPr>
        <w:t>into</w:t>
      </w:r>
      <w:r w:rsidRPr="009030CF">
        <w:rPr>
          <w:rFonts w:asciiTheme="minorHAnsi" w:hAnsiTheme="minorHAnsi" w:cstheme="minorHAnsi"/>
          <w:spacing w:val="-7"/>
          <w:szCs w:val="22"/>
        </w:rPr>
        <w:t xml:space="preserve"> </w:t>
      </w:r>
      <w:r w:rsidRPr="009030CF">
        <w:rPr>
          <w:rFonts w:asciiTheme="minorHAnsi" w:hAnsiTheme="minorHAnsi" w:cstheme="minorHAnsi"/>
          <w:szCs w:val="22"/>
        </w:rPr>
        <w:t>any</w:t>
      </w:r>
      <w:r w:rsidRPr="009030CF">
        <w:rPr>
          <w:rFonts w:asciiTheme="minorHAnsi" w:hAnsiTheme="minorHAnsi" w:cstheme="minorHAnsi"/>
          <w:spacing w:val="-10"/>
          <w:szCs w:val="22"/>
        </w:rPr>
        <w:t xml:space="preserve"> </w:t>
      </w:r>
      <w:r w:rsidRPr="009030CF">
        <w:rPr>
          <w:rFonts w:asciiTheme="minorHAnsi" w:hAnsiTheme="minorHAnsi" w:cstheme="minorHAnsi"/>
          <w:szCs w:val="22"/>
        </w:rPr>
        <w:t>non-compliance</w:t>
      </w:r>
      <w:r w:rsidRPr="009030CF">
        <w:rPr>
          <w:rFonts w:asciiTheme="minorHAnsi" w:hAnsiTheme="minorHAnsi" w:cstheme="minorHAnsi"/>
          <w:spacing w:val="-7"/>
          <w:szCs w:val="22"/>
        </w:rPr>
        <w:t xml:space="preserve"> </w:t>
      </w:r>
      <w:r w:rsidRPr="009030CF">
        <w:rPr>
          <w:rFonts w:asciiTheme="minorHAnsi" w:hAnsiTheme="minorHAnsi" w:cstheme="minorHAnsi"/>
          <w:szCs w:val="22"/>
        </w:rPr>
        <w:t>matter and will report significant non-compliance matters to the Council and external agencies as</w:t>
      </w:r>
      <w:r w:rsidRPr="009030CF">
        <w:rPr>
          <w:rFonts w:asciiTheme="minorHAnsi" w:hAnsiTheme="minorHAnsi" w:cstheme="minorHAnsi"/>
          <w:spacing w:val="-11"/>
          <w:szCs w:val="22"/>
        </w:rPr>
        <w:t xml:space="preserve"> </w:t>
      </w:r>
      <w:r w:rsidRPr="009030CF">
        <w:rPr>
          <w:rFonts w:asciiTheme="minorHAnsi" w:hAnsiTheme="minorHAnsi" w:cstheme="minorHAnsi"/>
          <w:szCs w:val="22"/>
        </w:rPr>
        <w:t>required.</w:t>
      </w:r>
    </w:p>
    <w:p w14:paraId="77E39D09" w14:textId="77777777" w:rsidR="00C63DFC" w:rsidRDefault="00C63DFC" w:rsidP="00C63DFC">
      <w:pPr>
        <w:pStyle w:val="BodyText"/>
        <w:spacing w:before="1"/>
        <w:ind w:left="851" w:right="114"/>
        <w:jc w:val="both"/>
        <w:rPr>
          <w:rFonts w:asciiTheme="minorHAnsi" w:hAnsiTheme="minorHAnsi" w:cstheme="minorHAnsi"/>
          <w:szCs w:val="22"/>
        </w:rPr>
      </w:pPr>
    </w:p>
    <w:p w14:paraId="720C5E6C" w14:textId="77777777" w:rsidR="00C63DFC" w:rsidRDefault="00C63DFC" w:rsidP="00C63DFC">
      <w:pPr>
        <w:pStyle w:val="BodyText"/>
        <w:spacing w:before="1"/>
        <w:ind w:left="851" w:right="114" w:hanging="425"/>
        <w:jc w:val="both"/>
        <w:rPr>
          <w:rFonts w:asciiTheme="minorHAnsi" w:hAnsiTheme="minorHAnsi" w:cstheme="minorHAnsi"/>
          <w:szCs w:val="22"/>
          <w:u w:val="single"/>
        </w:rPr>
      </w:pPr>
      <w:r>
        <w:rPr>
          <w:rFonts w:asciiTheme="minorHAnsi" w:hAnsiTheme="minorHAnsi" w:cstheme="minorHAnsi"/>
          <w:szCs w:val="22"/>
        </w:rPr>
        <w:t>6.2</w:t>
      </w:r>
      <w:r>
        <w:rPr>
          <w:rFonts w:asciiTheme="minorHAnsi" w:hAnsiTheme="minorHAnsi" w:cstheme="minorHAnsi"/>
          <w:szCs w:val="22"/>
        </w:rPr>
        <w:tab/>
      </w:r>
      <w:r>
        <w:rPr>
          <w:rFonts w:asciiTheme="minorHAnsi" w:hAnsiTheme="minorHAnsi" w:cstheme="minorHAnsi"/>
          <w:szCs w:val="22"/>
          <w:u w:val="single"/>
        </w:rPr>
        <w:t>Compliance Audit Return</w:t>
      </w:r>
    </w:p>
    <w:p w14:paraId="5F8F54B0" w14:textId="77777777" w:rsidR="00C63DFC" w:rsidRPr="00771C56" w:rsidRDefault="00C63DFC" w:rsidP="00C63DFC">
      <w:pPr>
        <w:pStyle w:val="BodyText"/>
        <w:spacing w:before="1" w:after="0"/>
        <w:ind w:left="851" w:right="113"/>
        <w:jc w:val="both"/>
        <w:rPr>
          <w:rFonts w:asciiTheme="minorHAnsi" w:hAnsiTheme="minorHAnsi" w:cstheme="minorHAnsi"/>
          <w:szCs w:val="22"/>
          <w:u w:val="single"/>
        </w:rPr>
      </w:pPr>
      <w:r>
        <w:rPr>
          <w:rFonts w:asciiTheme="minorHAnsi" w:hAnsiTheme="minorHAnsi" w:cstheme="minorHAnsi"/>
          <w:szCs w:val="22"/>
        </w:rPr>
        <w:t xml:space="preserve">Undertake annual review of compliance requirements in accordance with Regulation 14 of the </w:t>
      </w:r>
      <w:r>
        <w:rPr>
          <w:rFonts w:asciiTheme="minorHAnsi" w:hAnsiTheme="minorHAnsi" w:cstheme="minorHAnsi"/>
          <w:i/>
          <w:iCs/>
          <w:szCs w:val="22"/>
        </w:rPr>
        <w:t>Local Government (Audit) Regulations 1996.</w:t>
      </w:r>
      <w:r>
        <w:rPr>
          <w:rFonts w:asciiTheme="minorHAnsi" w:hAnsiTheme="minorHAnsi" w:cstheme="minorHAnsi"/>
          <w:szCs w:val="22"/>
        </w:rPr>
        <w:t xml:space="preserve"> </w:t>
      </w:r>
    </w:p>
    <w:p w14:paraId="18B0BCBB" w14:textId="77777777" w:rsidR="00C63DFC" w:rsidRPr="00F01918" w:rsidRDefault="00C63DFC" w:rsidP="00C63DFC">
      <w:pPr>
        <w:pStyle w:val="BodyText"/>
        <w:spacing w:after="0"/>
        <w:rPr>
          <w:rFonts w:asciiTheme="minorHAnsi" w:hAnsiTheme="minorHAnsi" w:cstheme="minorHAnsi"/>
          <w:szCs w:val="22"/>
        </w:rPr>
      </w:pPr>
    </w:p>
    <w:p w14:paraId="4F450EC6" w14:textId="77777777" w:rsidR="00C63DFC" w:rsidRPr="00C63DFC" w:rsidRDefault="00C63DFC" w:rsidP="00C63DFC">
      <w:pPr>
        <w:pStyle w:val="Heading2"/>
        <w:tabs>
          <w:tab w:val="left" w:pos="952"/>
          <w:tab w:val="left" w:pos="953"/>
        </w:tabs>
        <w:spacing w:before="0"/>
        <w:ind w:left="425" w:hanging="425"/>
        <w:rPr>
          <w:rFonts w:asciiTheme="minorHAnsi" w:hAnsiTheme="minorHAnsi" w:cstheme="minorHAnsi"/>
          <w:color w:val="auto"/>
          <w:sz w:val="22"/>
          <w:szCs w:val="22"/>
        </w:rPr>
      </w:pPr>
      <w:bookmarkStart w:id="431" w:name="7._Auditing_Legislative_Compliance"/>
      <w:bookmarkEnd w:id="431"/>
      <w:r w:rsidRPr="00C63DFC">
        <w:rPr>
          <w:rFonts w:asciiTheme="minorHAnsi" w:hAnsiTheme="minorHAnsi" w:cstheme="minorHAnsi"/>
          <w:color w:val="auto"/>
          <w:sz w:val="22"/>
          <w:szCs w:val="22"/>
        </w:rPr>
        <w:t>7.</w:t>
      </w:r>
      <w:r w:rsidRPr="00C63DFC">
        <w:rPr>
          <w:rFonts w:asciiTheme="minorHAnsi" w:hAnsiTheme="minorHAnsi" w:cstheme="minorHAnsi"/>
          <w:color w:val="auto"/>
          <w:sz w:val="22"/>
          <w:szCs w:val="22"/>
        </w:rPr>
        <w:tab/>
        <w:t>Auditing Legislative</w:t>
      </w:r>
      <w:r w:rsidRPr="00C63DFC">
        <w:rPr>
          <w:rFonts w:asciiTheme="minorHAnsi" w:hAnsiTheme="minorHAnsi" w:cstheme="minorHAnsi"/>
          <w:color w:val="auto"/>
          <w:spacing w:val="-15"/>
          <w:sz w:val="22"/>
          <w:szCs w:val="22"/>
        </w:rPr>
        <w:t xml:space="preserve"> </w:t>
      </w:r>
      <w:r w:rsidRPr="00C63DFC">
        <w:rPr>
          <w:rFonts w:asciiTheme="minorHAnsi" w:hAnsiTheme="minorHAnsi" w:cstheme="minorHAnsi"/>
          <w:color w:val="auto"/>
          <w:sz w:val="22"/>
          <w:szCs w:val="22"/>
        </w:rPr>
        <w:t>Compliance</w:t>
      </w:r>
    </w:p>
    <w:p w14:paraId="2754AEA7" w14:textId="77777777" w:rsidR="00C63DFC" w:rsidRPr="00F01918" w:rsidRDefault="00C63DFC" w:rsidP="00C63DFC">
      <w:pPr>
        <w:pStyle w:val="BodyText"/>
        <w:spacing w:after="0"/>
        <w:ind w:left="425" w:right="113"/>
        <w:jc w:val="both"/>
        <w:rPr>
          <w:rFonts w:asciiTheme="minorHAnsi" w:hAnsiTheme="minorHAnsi" w:cstheme="minorHAnsi"/>
          <w:szCs w:val="22"/>
        </w:rPr>
      </w:pPr>
      <w:r w:rsidRPr="00F01918">
        <w:rPr>
          <w:rFonts w:asciiTheme="minorHAnsi" w:hAnsiTheme="minorHAnsi" w:cstheme="minorHAnsi"/>
          <w:szCs w:val="22"/>
        </w:rPr>
        <w:t>Council shall incorporate a review of its processes to ensure legislative compliance is included in its internal audit function.</w:t>
      </w:r>
    </w:p>
    <w:p w14:paraId="76BD05A5" w14:textId="77777777" w:rsidR="00C63DFC" w:rsidRPr="00F01918" w:rsidRDefault="00C63DFC" w:rsidP="00C63DFC">
      <w:pPr>
        <w:pStyle w:val="BodyText"/>
        <w:spacing w:after="0"/>
        <w:rPr>
          <w:rFonts w:asciiTheme="minorHAnsi" w:hAnsiTheme="minorHAnsi" w:cstheme="minorHAnsi"/>
          <w:szCs w:val="22"/>
        </w:rPr>
      </w:pPr>
    </w:p>
    <w:p w14:paraId="4C8E87FF" w14:textId="77777777" w:rsidR="00C63DFC" w:rsidRPr="00C63DFC" w:rsidRDefault="00C63DFC" w:rsidP="00C63DFC">
      <w:pPr>
        <w:pStyle w:val="Heading2"/>
        <w:tabs>
          <w:tab w:val="left" w:pos="952"/>
          <w:tab w:val="left" w:pos="953"/>
        </w:tabs>
        <w:spacing w:before="0"/>
        <w:ind w:left="425" w:hanging="425"/>
        <w:rPr>
          <w:rFonts w:asciiTheme="minorHAnsi" w:hAnsiTheme="minorHAnsi" w:cstheme="minorHAnsi"/>
          <w:color w:val="auto"/>
          <w:sz w:val="22"/>
          <w:szCs w:val="22"/>
        </w:rPr>
      </w:pPr>
      <w:bookmarkStart w:id="432" w:name="8._Review_of_Legislative_Compliance_Proc"/>
      <w:bookmarkEnd w:id="432"/>
      <w:r w:rsidRPr="00C63DFC">
        <w:rPr>
          <w:rFonts w:asciiTheme="minorHAnsi" w:hAnsiTheme="minorHAnsi" w:cstheme="minorHAnsi"/>
          <w:color w:val="auto"/>
          <w:sz w:val="22"/>
          <w:szCs w:val="22"/>
        </w:rPr>
        <w:t>8.</w:t>
      </w:r>
      <w:r w:rsidRPr="00C63DFC">
        <w:rPr>
          <w:rFonts w:asciiTheme="minorHAnsi" w:hAnsiTheme="minorHAnsi" w:cstheme="minorHAnsi"/>
          <w:color w:val="auto"/>
          <w:sz w:val="22"/>
          <w:szCs w:val="22"/>
        </w:rPr>
        <w:tab/>
        <w:t>Corporate Calendar</w:t>
      </w:r>
    </w:p>
    <w:p w14:paraId="1304219F" w14:textId="77777777" w:rsidR="00C63DFC" w:rsidRPr="000A2550" w:rsidRDefault="00C63DFC" w:rsidP="00C63DFC">
      <w:pPr>
        <w:ind w:left="426"/>
        <w:rPr>
          <w:b/>
          <w:bCs/>
        </w:rPr>
      </w:pPr>
      <w:r>
        <w:t>Monthly review of Corporate Calendar to ensure all legislative requirements are being met.</w:t>
      </w:r>
    </w:p>
    <w:p w14:paraId="00EB1CB4" w14:textId="77777777" w:rsidR="00C63DFC" w:rsidRPr="00C63DFC" w:rsidRDefault="00C63DFC" w:rsidP="00C63DFC">
      <w:pPr>
        <w:pStyle w:val="Heading2"/>
        <w:tabs>
          <w:tab w:val="left" w:pos="952"/>
          <w:tab w:val="left" w:pos="953"/>
        </w:tabs>
        <w:ind w:left="426" w:hanging="426"/>
        <w:rPr>
          <w:rFonts w:asciiTheme="minorHAnsi" w:hAnsiTheme="minorHAnsi" w:cstheme="minorHAnsi"/>
          <w:color w:val="auto"/>
          <w:sz w:val="22"/>
          <w:szCs w:val="22"/>
        </w:rPr>
      </w:pPr>
      <w:r w:rsidRPr="00C63DFC">
        <w:rPr>
          <w:rFonts w:asciiTheme="minorHAnsi" w:hAnsiTheme="minorHAnsi" w:cstheme="minorHAnsi"/>
          <w:color w:val="auto"/>
          <w:sz w:val="22"/>
          <w:szCs w:val="22"/>
        </w:rPr>
        <w:t>9.</w:t>
      </w:r>
      <w:r w:rsidRPr="00C63DFC">
        <w:rPr>
          <w:rFonts w:asciiTheme="minorHAnsi" w:hAnsiTheme="minorHAnsi" w:cstheme="minorHAnsi"/>
          <w:color w:val="auto"/>
          <w:sz w:val="22"/>
          <w:szCs w:val="22"/>
        </w:rPr>
        <w:tab/>
        <w:t>Review of Legislative Compliance</w:t>
      </w:r>
      <w:r w:rsidRPr="00C63DFC">
        <w:rPr>
          <w:rFonts w:asciiTheme="minorHAnsi" w:hAnsiTheme="minorHAnsi" w:cstheme="minorHAnsi"/>
          <w:color w:val="auto"/>
          <w:spacing w:val="-16"/>
          <w:sz w:val="22"/>
          <w:szCs w:val="22"/>
        </w:rPr>
        <w:t xml:space="preserve"> </w:t>
      </w:r>
      <w:r w:rsidRPr="00C63DFC">
        <w:rPr>
          <w:rFonts w:asciiTheme="minorHAnsi" w:hAnsiTheme="minorHAnsi" w:cstheme="minorHAnsi"/>
          <w:color w:val="auto"/>
          <w:sz w:val="22"/>
          <w:szCs w:val="22"/>
        </w:rPr>
        <w:t>Procedures</w:t>
      </w:r>
    </w:p>
    <w:p w14:paraId="56B8C59C" w14:textId="77777777" w:rsidR="00C63DFC" w:rsidRPr="00F01918" w:rsidRDefault="00C63DFC" w:rsidP="00C63DFC">
      <w:pPr>
        <w:pStyle w:val="BodyText"/>
        <w:ind w:left="426"/>
        <w:jc w:val="both"/>
        <w:rPr>
          <w:rFonts w:asciiTheme="minorHAnsi" w:hAnsiTheme="minorHAnsi" w:cstheme="minorHAnsi"/>
          <w:b/>
          <w:i/>
          <w:szCs w:val="22"/>
        </w:rPr>
      </w:pPr>
      <w:r w:rsidRPr="00F01918">
        <w:rPr>
          <w:rFonts w:asciiTheme="minorHAnsi" w:hAnsiTheme="minorHAnsi" w:cstheme="minorHAnsi"/>
          <w:szCs w:val="22"/>
        </w:rPr>
        <w:t>This Procedure will be reviewed every two years</w:t>
      </w:r>
      <w:r w:rsidRPr="00F01918">
        <w:rPr>
          <w:rFonts w:asciiTheme="minorHAnsi" w:hAnsiTheme="minorHAnsi" w:cstheme="minorHAnsi"/>
          <w:b/>
          <w:i/>
          <w:szCs w:val="22"/>
        </w:rPr>
        <w:t>.</w:t>
      </w:r>
    </w:p>
    <w:p w14:paraId="6349AF5C" w14:textId="77777777" w:rsidR="005269D3" w:rsidRDefault="005269D3" w:rsidP="00C63DFC">
      <w:pPr>
        <w:jc w:val="both"/>
        <w:rPr>
          <w:rFonts w:cstheme="minorHAnsi"/>
          <w:lang w:val="en-US"/>
        </w:rPr>
        <w:sectPr w:rsidR="005269D3" w:rsidSect="001543AD">
          <w:footerReference w:type="default" r:id="rId159"/>
          <w:pgSz w:w="11906" w:h="16838"/>
          <w:pgMar w:top="1021" w:right="1440" w:bottom="1440" w:left="1440" w:header="709" w:footer="709" w:gutter="0"/>
          <w:cols w:space="708"/>
          <w:docGrid w:linePitch="360"/>
        </w:sectPr>
      </w:pPr>
    </w:p>
    <w:p w14:paraId="39BEAEEE" w14:textId="2504CE29" w:rsidR="005269D3" w:rsidRPr="00783E4C" w:rsidRDefault="00783E4C" w:rsidP="00783E4C">
      <w:r>
        <w:rPr>
          <w:noProof/>
        </w:rPr>
        <w:lastRenderedPageBreak/>
        <w:drawing>
          <wp:inline distT="0" distB="0" distL="0" distR="0" wp14:anchorId="23B86EC9" wp14:editId="64F2C5DF">
            <wp:extent cx="12077547" cy="8543925"/>
            <wp:effectExtent l="0" t="0" r="635" b="0"/>
            <wp:docPr id="807253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53569" name="Picture 807253569"/>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2089212" cy="8552177"/>
                    </a:xfrm>
                    <a:prstGeom prst="rect">
                      <a:avLst/>
                    </a:prstGeom>
                  </pic:spPr>
                </pic:pic>
              </a:graphicData>
            </a:graphic>
          </wp:inline>
        </w:drawing>
      </w:r>
      <w:r>
        <w:rPr>
          <w:noProof/>
        </w:rPr>
        <w:lastRenderedPageBreak/>
        <w:drawing>
          <wp:inline distT="0" distB="0" distL="0" distR="0" wp14:anchorId="1F343B67" wp14:editId="59B24D06">
            <wp:extent cx="12158333" cy="8601075"/>
            <wp:effectExtent l="0" t="0" r="0" b="0"/>
            <wp:docPr id="8497279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27907" name="Picture 849727907"/>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2166524" cy="8606870"/>
                    </a:xfrm>
                    <a:prstGeom prst="rect">
                      <a:avLst/>
                    </a:prstGeom>
                  </pic:spPr>
                </pic:pic>
              </a:graphicData>
            </a:graphic>
          </wp:inline>
        </w:drawing>
      </w:r>
      <w:r>
        <w:rPr>
          <w:noProof/>
        </w:rPr>
        <w:lastRenderedPageBreak/>
        <w:drawing>
          <wp:inline distT="0" distB="0" distL="0" distR="0" wp14:anchorId="36834A2C" wp14:editId="493F9D9B">
            <wp:extent cx="12198726" cy="8629650"/>
            <wp:effectExtent l="0" t="0" r="0" b="0"/>
            <wp:docPr id="1647315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15950" name="Picture 1647315950"/>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2204402" cy="8633665"/>
                    </a:xfrm>
                    <a:prstGeom prst="rect">
                      <a:avLst/>
                    </a:prstGeom>
                  </pic:spPr>
                </pic:pic>
              </a:graphicData>
            </a:graphic>
          </wp:inline>
        </w:drawing>
      </w:r>
      <w:r>
        <w:rPr>
          <w:noProof/>
        </w:rPr>
        <w:lastRenderedPageBreak/>
        <w:drawing>
          <wp:inline distT="0" distB="0" distL="0" distR="0" wp14:anchorId="463AC5FF" wp14:editId="2C8DD221">
            <wp:extent cx="11781331" cy="8334375"/>
            <wp:effectExtent l="0" t="0" r="0" b="0"/>
            <wp:docPr id="13182327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32768" name="Picture 1318232768"/>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1788644" cy="8339548"/>
                    </a:xfrm>
                    <a:prstGeom prst="rect">
                      <a:avLst/>
                    </a:prstGeom>
                  </pic:spPr>
                </pic:pic>
              </a:graphicData>
            </a:graphic>
          </wp:inline>
        </w:drawing>
      </w:r>
      <w:r>
        <w:rPr>
          <w:noProof/>
        </w:rPr>
        <w:lastRenderedPageBreak/>
        <w:drawing>
          <wp:inline distT="0" distB="0" distL="0" distR="0" wp14:anchorId="114BB1E5" wp14:editId="7549B587">
            <wp:extent cx="12575729" cy="8896350"/>
            <wp:effectExtent l="0" t="0" r="0" b="0"/>
            <wp:docPr id="5181085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08534" name="Picture 518108534"/>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2585335" cy="8903146"/>
                    </a:xfrm>
                    <a:prstGeom prst="rect">
                      <a:avLst/>
                    </a:prstGeom>
                  </pic:spPr>
                </pic:pic>
              </a:graphicData>
            </a:graphic>
          </wp:inline>
        </w:drawing>
      </w:r>
      <w:r>
        <w:rPr>
          <w:noProof/>
        </w:rPr>
        <w:lastRenderedPageBreak/>
        <w:drawing>
          <wp:inline distT="0" distB="0" distL="0" distR="0" wp14:anchorId="7CD688CE" wp14:editId="6E726224">
            <wp:extent cx="12521872" cy="8858250"/>
            <wp:effectExtent l="0" t="0" r="0" b="0"/>
            <wp:docPr id="1889738638" name="Picture 6"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738638" name="Picture 6" descr="A close-up of a chart&#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2532401" cy="8865699"/>
                    </a:xfrm>
                    <a:prstGeom prst="rect">
                      <a:avLst/>
                    </a:prstGeom>
                  </pic:spPr>
                </pic:pic>
              </a:graphicData>
            </a:graphic>
          </wp:inline>
        </w:drawing>
      </w:r>
    </w:p>
    <w:p w14:paraId="44AD332D" w14:textId="77777777" w:rsidR="005269D3" w:rsidRDefault="005269D3" w:rsidP="00C63DFC">
      <w:pPr>
        <w:jc w:val="both"/>
        <w:rPr>
          <w:rFonts w:cstheme="minorHAnsi"/>
          <w:lang w:val="en-US"/>
        </w:rPr>
        <w:sectPr w:rsidR="005269D3" w:rsidSect="00783E4C">
          <w:pgSz w:w="23811" w:h="16838" w:orient="landscape" w:code="8"/>
          <w:pgMar w:top="1440" w:right="1021" w:bottom="1440" w:left="1440" w:header="709" w:footer="709" w:gutter="0"/>
          <w:cols w:space="708"/>
          <w:docGrid w:linePitch="360"/>
        </w:sectPr>
      </w:pPr>
    </w:p>
    <w:p w14:paraId="6693F566" w14:textId="77777777" w:rsidR="0041150C" w:rsidRPr="001A6D71" w:rsidRDefault="0041150C" w:rsidP="0041150C">
      <w:pPr>
        <w:pStyle w:val="Title"/>
        <w:pBdr>
          <w:bottom w:val="none" w:sz="0" w:space="0" w:color="auto"/>
        </w:pBdr>
        <w:spacing w:after="240"/>
        <w:jc w:val="right"/>
        <w:rPr>
          <w:rFonts w:ascii="Arial" w:hAnsi="Arial" w:cs="Arial"/>
          <w:b/>
          <w:sz w:val="22"/>
          <w:szCs w:val="22"/>
        </w:rPr>
      </w:pPr>
      <w:bookmarkStart w:id="433" w:name="_Hlk133569349"/>
      <w:bookmarkEnd w:id="433"/>
      <w:r>
        <w:rPr>
          <w:noProof/>
        </w:rPr>
        <w:lastRenderedPageBreak/>
        <w:drawing>
          <wp:inline distT="0" distB="0" distL="0" distR="0" wp14:anchorId="6D9DF251" wp14:editId="5F660BAE">
            <wp:extent cx="1427865" cy="573773"/>
            <wp:effectExtent l="0" t="0" r="1270" b="0"/>
            <wp:docPr id="727524410"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24410" name="Picture 1" descr="Logo&#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66577" cy="589329"/>
                    </a:xfrm>
                    <a:prstGeom prst="rect">
                      <a:avLst/>
                    </a:prstGeom>
                    <a:noFill/>
                    <a:ln>
                      <a:noFill/>
                    </a:ln>
                  </pic:spPr>
                </pic:pic>
              </a:graphicData>
            </a:graphic>
          </wp:inline>
        </w:drawing>
      </w:r>
    </w:p>
    <w:p w14:paraId="553A337A" w14:textId="77777777" w:rsidR="0041150C" w:rsidRPr="001A6D71" w:rsidRDefault="0041150C" w:rsidP="0041150C">
      <w:pPr>
        <w:spacing w:after="0"/>
        <w:rPr>
          <w:sz w:val="12"/>
          <w:szCs w:val="12"/>
        </w:rPr>
      </w:pPr>
    </w:p>
    <w:p w14:paraId="34D5BEF7" w14:textId="1490CD89" w:rsidR="0041150C" w:rsidRPr="00AC0559" w:rsidRDefault="0041150C" w:rsidP="0041150C">
      <w:pPr>
        <w:pStyle w:val="Policy3"/>
      </w:pPr>
      <w:bookmarkStart w:id="434" w:name="_Toc216866710"/>
      <w:r>
        <w:t>2.2.10</w:t>
      </w:r>
      <w:r>
        <w:tab/>
      </w:r>
      <w:r w:rsidRPr="00AC0559">
        <w:t>Habitual or Vexatious Complaints</w:t>
      </w:r>
      <w:bookmarkEnd w:id="434"/>
      <w:r w:rsidRPr="00AC0559">
        <w:t xml:space="preserve"> </w:t>
      </w:r>
    </w:p>
    <w:tbl>
      <w:tblPr>
        <w:tblStyle w:val="TableGrid"/>
        <w:tblW w:w="0" w:type="auto"/>
        <w:tblLook w:val="04A0" w:firstRow="1" w:lastRow="0" w:firstColumn="1" w:lastColumn="0" w:noHBand="0" w:noVBand="1"/>
      </w:tblPr>
      <w:tblGrid>
        <w:gridCol w:w="3033"/>
        <w:gridCol w:w="5983"/>
      </w:tblGrid>
      <w:tr w:rsidR="0041150C" w:rsidRPr="00972588" w14:paraId="630BBC67" w14:textId="77777777" w:rsidTr="00823751">
        <w:tc>
          <w:tcPr>
            <w:tcW w:w="3033" w:type="dxa"/>
          </w:tcPr>
          <w:p w14:paraId="070BD5F0" w14:textId="77777777" w:rsidR="0041150C" w:rsidRPr="00342669" w:rsidRDefault="0041150C" w:rsidP="00823751">
            <w:pPr>
              <w:rPr>
                <w:rFonts w:cstheme="minorHAnsi"/>
                <w:b/>
              </w:rPr>
            </w:pPr>
            <w:r w:rsidRPr="00342669">
              <w:rPr>
                <w:rFonts w:cstheme="minorHAnsi"/>
                <w:b/>
              </w:rPr>
              <w:t>Type:</w:t>
            </w:r>
          </w:p>
        </w:tc>
        <w:tc>
          <w:tcPr>
            <w:tcW w:w="5983" w:type="dxa"/>
          </w:tcPr>
          <w:p w14:paraId="6C1B013F" w14:textId="77777777" w:rsidR="0041150C" w:rsidRPr="00342669" w:rsidRDefault="0041150C" w:rsidP="00823751">
            <w:pPr>
              <w:rPr>
                <w:rFonts w:cstheme="minorHAnsi"/>
              </w:rPr>
            </w:pPr>
            <w:r w:rsidRPr="00672DFF">
              <w:rPr>
                <w:rFonts w:cstheme="minorHAnsi"/>
              </w:rPr>
              <w:t>Co</w:t>
            </w:r>
            <w:r w:rsidRPr="004E4DB4">
              <w:rPr>
                <w:rFonts w:cstheme="minorHAnsi"/>
              </w:rPr>
              <w:t>rporate Services – Risk Management</w:t>
            </w:r>
          </w:p>
        </w:tc>
      </w:tr>
      <w:tr w:rsidR="0041150C" w:rsidRPr="00972588" w14:paraId="534BB416" w14:textId="77777777" w:rsidTr="00823751">
        <w:tc>
          <w:tcPr>
            <w:tcW w:w="3033" w:type="dxa"/>
          </w:tcPr>
          <w:p w14:paraId="5447B89F" w14:textId="77777777" w:rsidR="0041150C" w:rsidRPr="00342669" w:rsidRDefault="0041150C" w:rsidP="00823751">
            <w:pPr>
              <w:rPr>
                <w:rFonts w:cstheme="minorHAnsi"/>
                <w:b/>
              </w:rPr>
            </w:pPr>
            <w:r w:rsidRPr="00342669">
              <w:rPr>
                <w:rFonts w:cstheme="minorHAnsi"/>
                <w:b/>
              </w:rPr>
              <w:t>Legislation:</w:t>
            </w:r>
          </w:p>
        </w:tc>
        <w:tc>
          <w:tcPr>
            <w:tcW w:w="5983" w:type="dxa"/>
          </w:tcPr>
          <w:p w14:paraId="5E82999B" w14:textId="77777777" w:rsidR="0041150C" w:rsidRPr="0041150C" w:rsidRDefault="0041150C" w:rsidP="0041150C">
            <w:pPr>
              <w:pStyle w:val="TableParagraph"/>
              <w:spacing w:before="1"/>
              <w:ind w:left="-30"/>
              <w:rPr>
                <w:rFonts w:asciiTheme="minorHAnsi" w:hAnsiTheme="minorHAnsi" w:cstheme="minorHAnsi"/>
                <w:i/>
              </w:rPr>
            </w:pPr>
            <w:r w:rsidRPr="0041150C">
              <w:rPr>
                <w:rFonts w:asciiTheme="minorHAnsi" w:hAnsiTheme="minorHAnsi" w:cstheme="minorHAnsi"/>
                <w:i/>
              </w:rPr>
              <w:t>Local</w:t>
            </w:r>
            <w:r w:rsidRPr="0041150C">
              <w:rPr>
                <w:rFonts w:asciiTheme="minorHAnsi" w:hAnsiTheme="minorHAnsi" w:cstheme="minorHAnsi"/>
                <w:i/>
                <w:spacing w:val="-8"/>
              </w:rPr>
              <w:t xml:space="preserve"> </w:t>
            </w:r>
            <w:r w:rsidRPr="0041150C">
              <w:rPr>
                <w:rFonts w:asciiTheme="minorHAnsi" w:hAnsiTheme="minorHAnsi" w:cstheme="minorHAnsi"/>
                <w:i/>
              </w:rPr>
              <w:t>Government</w:t>
            </w:r>
            <w:r w:rsidRPr="0041150C">
              <w:rPr>
                <w:rFonts w:asciiTheme="minorHAnsi" w:hAnsiTheme="minorHAnsi" w:cstheme="minorHAnsi"/>
                <w:i/>
                <w:spacing w:val="-3"/>
              </w:rPr>
              <w:t xml:space="preserve"> </w:t>
            </w:r>
            <w:r w:rsidRPr="0041150C">
              <w:rPr>
                <w:rFonts w:asciiTheme="minorHAnsi" w:hAnsiTheme="minorHAnsi" w:cstheme="minorHAnsi"/>
                <w:i/>
              </w:rPr>
              <w:t>Act</w:t>
            </w:r>
            <w:r w:rsidRPr="0041150C">
              <w:rPr>
                <w:rFonts w:asciiTheme="minorHAnsi" w:hAnsiTheme="minorHAnsi" w:cstheme="minorHAnsi"/>
                <w:i/>
                <w:spacing w:val="-5"/>
              </w:rPr>
              <w:t xml:space="preserve"> </w:t>
            </w:r>
            <w:r w:rsidRPr="0041150C">
              <w:rPr>
                <w:rFonts w:asciiTheme="minorHAnsi" w:hAnsiTheme="minorHAnsi" w:cstheme="minorHAnsi"/>
                <w:i/>
                <w:spacing w:val="-4"/>
              </w:rPr>
              <w:t>1995</w:t>
            </w:r>
          </w:p>
        </w:tc>
      </w:tr>
      <w:tr w:rsidR="0041150C" w:rsidRPr="00972588" w14:paraId="26A4F6F3" w14:textId="77777777" w:rsidTr="00823751">
        <w:tc>
          <w:tcPr>
            <w:tcW w:w="3033" w:type="dxa"/>
          </w:tcPr>
          <w:p w14:paraId="1A489599" w14:textId="77777777" w:rsidR="0041150C" w:rsidRPr="00342669" w:rsidRDefault="0041150C" w:rsidP="00823751">
            <w:pPr>
              <w:rPr>
                <w:rFonts w:cstheme="minorHAnsi"/>
                <w:b/>
              </w:rPr>
            </w:pPr>
            <w:r w:rsidRPr="00342669">
              <w:rPr>
                <w:rFonts w:cstheme="minorHAnsi"/>
                <w:b/>
              </w:rPr>
              <w:t>Delegation:</w:t>
            </w:r>
          </w:p>
        </w:tc>
        <w:tc>
          <w:tcPr>
            <w:tcW w:w="5983" w:type="dxa"/>
          </w:tcPr>
          <w:p w14:paraId="6D9FCDBE" w14:textId="77777777" w:rsidR="0041150C" w:rsidRPr="00342669" w:rsidRDefault="0041150C" w:rsidP="00823751">
            <w:pPr>
              <w:rPr>
                <w:rFonts w:cstheme="minorHAnsi"/>
                <w:highlight w:val="yellow"/>
              </w:rPr>
            </w:pPr>
            <w:r w:rsidRPr="00AC0559">
              <w:rPr>
                <w:rFonts w:cstheme="minorHAnsi"/>
              </w:rPr>
              <w:t>N/A</w:t>
            </w:r>
          </w:p>
        </w:tc>
      </w:tr>
      <w:tr w:rsidR="0041150C" w:rsidRPr="00972588" w14:paraId="7EC5D749" w14:textId="77777777" w:rsidTr="00823751">
        <w:tc>
          <w:tcPr>
            <w:tcW w:w="3033" w:type="dxa"/>
          </w:tcPr>
          <w:p w14:paraId="21A284BF" w14:textId="77777777" w:rsidR="0041150C" w:rsidRPr="00342669" w:rsidRDefault="0041150C" w:rsidP="00823751">
            <w:pPr>
              <w:rPr>
                <w:rFonts w:cstheme="minorHAnsi"/>
                <w:b/>
              </w:rPr>
            </w:pPr>
            <w:r w:rsidRPr="00342669">
              <w:rPr>
                <w:rFonts w:cstheme="minorHAnsi"/>
                <w:b/>
              </w:rPr>
              <w:t>Other Related Document:</w:t>
            </w:r>
          </w:p>
        </w:tc>
        <w:tc>
          <w:tcPr>
            <w:tcW w:w="5983" w:type="dxa"/>
          </w:tcPr>
          <w:p w14:paraId="72CB5D43" w14:textId="77777777" w:rsidR="0041150C" w:rsidRPr="00342669" w:rsidRDefault="0041150C" w:rsidP="00823751">
            <w:pPr>
              <w:jc w:val="both"/>
              <w:rPr>
                <w:rFonts w:cstheme="minorHAnsi"/>
              </w:rPr>
            </w:pPr>
          </w:p>
        </w:tc>
      </w:tr>
    </w:tbl>
    <w:p w14:paraId="06E106C8" w14:textId="77777777" w:rsidR="0041150C" w:rsidRPr="00672DFF" w:rsidRDefault="0041150C" w:rsidP="0041150C">
      <w:pPr>
        <w:pStyle w:val="Heading1"/>
        <w:spacing w:before="360"/>
        <w:rPr>
          <w:rFonts w:asciiTheme="minorHAnsi" w:hAnsiTheme="minorHAnsi" w:cstheme="minorHAnsi"/>
          <w:color w:val="17365D" w:themeColor="text2" w:themeShade="BF"/>
        </w:rPr>
      </w:pPr>
      <w:r w:rsidRPr="00672DFF">
        <w:rPr>
          <w:rFonts w:asciiTheme="minorHAnsi" w:hAnsiTheme="minorHAnsi" w:cstheme="minorHAnsi"/>
          <w:color w:val="17365D" w:themeColor="text2" w:themeShade="BF"/>
        </w:rPr>
        <w:t>Purpose</w:t>
      </w:r>
    </w:p>
    <w:p w14:paraId="01CDD27E" w14:textId="77777777" w:rsidR="0041150C" w:rsidRPr="005E6CCE" w:rsidRDefault="0041150C" w:rsidP="0041150C">
      <w:pPr>
        <w:pStyle w:val="BodyText"/>
        <w:ind w:left="0" w:right="104"/>
        <w:jc w:val="both"/>
        <w:rPr>
          <w:rFonts w:asciiTheme="minorHAnsi" w:hAnsiTheme="minorHAnsi" w:cstheme="minorHAnsi"/>
          <w:szCs w:val="22"/>
        </w:rPr>
      </w:pPr>
      <w:r w:rsidRPr="005E6CCE">
        <w:rPr>
          <w:rFonts w:asciiTheme="minorHAnsi" w:hAnsiTheme="minorHAnsi" w:cstheme="minorHAnsi"/>
          <w:szCs w:val="22"/>
        </w:rPr>
        <w:t>Habitual or vexatious complaints can be a problem for Council staff and members. The difficulty in handling such complainants is that they are time consuming and wasteful of resources in terms of Officer and Member time and displace scarce human resources that could otherwise be spent on Council priorities.</w:t>
      </w:r>
      <w:r w:rsidRPr="005E6CCE">
        <w:rPr>
          <w:rFonts w:asciiTheme="minorHAnsi" w:hAnsiTheme="minorHAnsi" w:cstheme="minorHAnsi"/>
          <w:spacing w:val="40"/>
          <w:szCs w:val="22"/>
        </w:rPr>
        <w:t xml:space="preserve"> </w:t>
      </w:r>
      <w:r w:rsidRPr="005E6CCE">
        <w:rPr>
          <w:rFonts w:asciiTheme="minorHAnsi" w:hAnsiTheme="minorHAnsi" w:cstheme="minorHAnsi"/>
          <w:szCs w:val="22"/>
        </w:rPr>
        <w:t xml:space="preserve">Whilst the Council </w:t>
      </w:r>
      <w:proofErr w:type="spellStart"/>
      <w:r w:rsidRPr="005E6CCE">
        <w:rPr>
          <w:rFonts w:asciiTheme="minorHAnsi" w:hAnsiTheme="minorHAnsi" w:cstheme="minorHAnsi"/>
          <w:szCs w:val="22"/>
        </w:rPr>
        <w:t>endeavours</w:t>
      </w:r>
      <w:proofErr w:type="spellEnd"/>
      <w:r w:rsidRPr="005E6CCE">
        <w:rPr>
          <w:rFonts w:asciiTheme="minorHAnsi" w:hAnsiTheme="minorHAnsi" w:cstheme="minorHAnsi"/>
          <w:szCs w:val="22"/>
        </w:rPr>
        <w:t xml:space="preserve"> to respond with patience and sympathy to all needs of all complainants, there are times when there is nothing further which can reasonably be done to assist or to rectify a real or perceived problem.</w:t>
      </w:r>
    </w:p>
    <w:p w14:paraId="5010E937" w14:textId="77777777" w:rsidR="0041150C" w:rsidRPr="00672DFF" w:rsidRDefault="0041150C" w:rsidP="0041150C">
      <w:pPr>
        <w:pStyle w:val="Heading1"/>
        <w:spacing w:before="240"/>
        <w:rPr>
          <w:rFonts w:asciiTheme="minorHAnsi" w:hAnsiTheme="minorHAnsi" w:cstheme="minorHAnsi"/>
          <w:color w:val="17365D" w:themeColor="text2" w:themeShade="BF"/>
        </w:rPr>
      </w:pPr>
      <w:r w:rsidRPr="00672DFF">
        <w:rPr>
          <w:rFonts w:asciiTheme="minorHAnsi" w:hAnsiTheme="minorHAnsi" w:cstheme="minorHAnsi"/>
          <w:color w:val="17365D" w:themeColor="text2" w:themeShade="BF"/>
        </w:rPr>
        <w:t>Objective</w:t>
      </w:r>
    </w:p>
    <w:p w14:paraId="33CFBABA" w14:textId="77777777" w:rsidR="0041150C" w:rsidRPr="005E6CCE" w:rsidRDefault="0041150C" w:rsidP="00303E96">
      <w:pPr>
        <w:pStyle w:val="ListParagraph"/>
        <w:widowControl w:val="0"/>
        <w:numPr>
          <w:ilvl w:val="0"/>
          <w:numId w:val="519"/>
        </w:numPr>
        <w:tabs>
          <w:tab w:val="left" w:pos="947"/>
        </w:tabs>
        <w:autoSpaceDE w:val="0"/>
        <w:autoSpaceDN w:val="0"/>
        <w:spacing w:line="240" w:lineRule="auto"/>
        <w:ind w:left="426" w:right="108" w:hanging="426"/>
        <w:contextualSpacing w:val="0"/>
        <w:jc w:val="both"/>
        <w:rPr>
          <w:rFonts w:cstheme="minorHAnsi"/>
        </w:rPr>
      </w:pPr>
      <w:r w:rsidRPr="005E6CCE">
        <w:rPr>
          <w:rFonts w:cstheme="minorHAnsi"/>
        </w:rPr>
        <w:t xml:space="preserve">To identify situations where a complainant, either individually or as part of a group, or a group of complainants, might </w:t>
      </w:r>
      <w:proofErr w:type="gramStart"/>
      <w:r w:rsidRPr="005E6CCE">
        <w:rPr>
          <w:rFonts w:cstheme="minorHAnsi"/>
        </w:rPr>
        <w:t>be considered to be</w:t>
      </w:r>
      <w:proofErr w:type="gramEnd"/>
      <w:r w:rsidRPr="005E6CCE">
        <w:rPr>
          <w:rFonts w:cstheme="minorHAnsi"/>
        </w:rPr>
        <w:t xml:space="preserve"> “habitual or vexatious‟ and ways of responding to these situations.</w:t>
      </w:r>
    </w:p>
    <w:p w14:paraId="433B3096" w14:textId="77777777" w:rsidR="0041150C" w:rsidRPr="005E6CCE" w:rsidRDefault="0041150C" w:rsidP="00303E96">
      <w:pPr>
        <w:pStyle w:val="ListParagraph"/>
        <w:widowControl w:val="0"/>
        <w:numPr>
          <w:ilvl w:val="0"/>
          <w:numId w:val="519"/>
        </w:numPr>
        <w:tabs>
          <w:tab w:val="left" w:pos="947"/>
        </w:tabs>
        <w:autoSpaceDE w:val="0"/>
        <w:autoSpaceDN w:val="0"/>
        <w:spacing w:after="0" w:line="240" w:lineRule="auto"/>
        <w:ind w:left="426" w:right="108" w:hanging="426"/>
        <w:contextualSpacing w:val="0"/>
        <w:jc w:val="both"/>
        <w:rPr>
          <w:rFonts w:cstheme="minorHAnsi"/>
        </w:rPr>
      </w:pPr>
      <w:r w:rsidRPr="005E6CCE">
        <w:rPr>
          <w:rFonts w:cstheme="minorHAnsi"/>
        </w:rPr>
        <w:t>This policy is intended to assist in identifying and managing persons who seek to be disruptive to the Council through pursing an unreasonable course of conduct.</w:t>
      </w:r>
    </w:p>
    <w:p w14:paraId="50C3BB1D" w14:textId="77777777" w:rsidR="0041150C" w:rsidRPr="00672DFF" w:rsidRDefault="0041150C" w:rsidP="0041150C">
      <w:pPr>
        <w:pStyle w:val="Heading1"/>
        <w:spacing w:before="240"/>
        <w:jc w:val="both"/>
        <w:rPr>
          <w:rFonts w:asciiTheme="minorHAnsi" w:hAnsiTheme="minorHAnsi" w:cstheme="minorHAnsi"/>
          <w:color w:val="17365D" w:themeColor="text2" w:themeShade="BF"/>
        </w:rPr>
      </w:pPr>
      <w:r w:rsidRPr="00672DFF">
        <w:rPr>
          <w:rFonts w:asciiTheme="minorHAnsi" w:hAnsiTheme="minorHAnsi" w:cstheme="minorHAnsi"/>
          <w:color w:val="17365D" w:themeColor="text2" w:themeShade="BF"/>
        </w:rPr>
        <w:t>Policy Scope</w:t>
      </w:r>
    </w:p>
    <w:p w14:paraId="7FEE3274" w14:textId="77777777" w:rsidR="0041150C" w:rsidRPr="005E6CCE" w:rsidRDefault="0041150C" w:rsidP="00303E96">
      <w:pPr>
        <w:pStyle w:val="ListParagraph"/>
        <w:widowControl w:val="0"/>
        <w:numPr>
          <w:ilvl w:val="0"/>
          <w:numId w:val="520"/>
        </w:numPr>
        <w:autoSpaceDE w:val="0"/>
        <w:autoSpaceDN w:val="0"/>
        <w:spacing w:line="240" w:lineRule="auto"/>
        <w:ind w:left="426" w:right="106" w:hanging="426"/>
        <w:contextualSpacing w:val="0"/>
        <w:jc w:val="both"/>
        <w:rPr>
          <w:rFonts w:cstheme="minorHAnsi"/>
        </w:rPr>
      </w:pPr>
      <w:proofErr w:type="gramStart"/>
      <w:r w:rsidRPr="005E6CCE">
        <w:rPr>
          <w:rFonts w:cstheme="minorHAnsi"/>
        </w:rPr>
        <w:t>For the purpose of</w:t>
      </w:r>
      <w:proofErr w:type="gramEnd"/>
      <w:r w:rsidRPr="005E6CCE">
        <w:rPr>
          <w:rFonts w:cstheme="minorHAnsi"/>
        </w:rPr>
        <w:t xml:space="preserve"> this policy, the following definition of habitual or vexatious complainants will be used:</w:t>
      </w:r>
    </w:p>
    <w:p w14:paraId="7012940F" w14:textId="77777777" w:rsidR="0041150C" w:rsidRPr="005E6CCE" w:rsidRDefault="0041150C" w:rsidP="0041150C">
      <w:pPr>
        <w:pStyle w:val="BodyText"/>
        <w:ind w:left="426"/>
        <w:rPr>
          <w:rFonts w:asciiTheme="minorHAnsi" w:hAnsiTheme="minorHAnsi" w:cstheme="minorHAnsi"/>
          <w:szCs w:val="22"/>
        </w:rPr>
      </w:pPr>
      <w:r w:rsidRPr="005E6CCE">
        <w:rPr>
          <w:rFonts w:asciiTheme="minorHAnsi" w:hAnsiTheme="minorHAnsi" w:cstheme="minorHAnsi"/>
          <w:szCs w:val="22"/>
        </w:rPr>
        <w:t>The</w:t>
      </w:r>
      <w:r w:rsidRPr="005E6CCE">
        <w:rPr>
          <w:rFonts w:asciiTheme="minorHAnsi" w:hAnsiTheme="minorHAnsi" w:cstheme="minorHAnsi"/>
          <w:spacing w:val="-3"/>
          <w:szCs w:val="22"/>
        </w:rPr>
        <w:t xml:space="preserve"> </w:t>
      </w:r>
      <w:r w:rsidRPr="005E6CCE">
        <w:rPr>
          <w:rFonts w:asciiTheme="minorHAnsi" w:hAnsiTheme="minorHAnsi" w:cstheme="minorHAnsi"/>
          <w:szCs w:val="22"/>
        </w:rPr>
        <w:t>repeated</w:t>
      </w:r>
      <w:r w:rsidRPr="005E6CCE">
        <w:rPr>
          <w:rFonts w:asciiTheme="minorHAnsi" w:hAnsiTheme="minorHAnsi" w:cstheme="minorHAnsi"/>
          <w:spacing w:val="-4"/>
          <w:szCs w:val="22"/>
        </w:rPr>
        <w:t xml:space="preserve"> </w:t>
      </w:r>
      <w:r w:rsidRPr="005E6CCE">
        <w:rPr>
          <w:rFonts w:asciiTheme="minorHAnsi" w:hAnsiTheme="minorHAnsi" w:cstheme="minorHAnsi"/>
          <w:szCs w:val="22"/>
        </w:rPr>
        <w:t>and/or</w:t>
      </w:r>
      <w:r w:rsidRPr="005E6CCE">
        <w:rPr>
          <w:rFonts w:asciiTheme="minorHAnsi" w:hAnsiTheme="minorHAnsi" w:cstheme="minorHAnsi"/>
          <w:spacing w:val="-5"/>
          <w:szCs w:val="22"/>
        </w:rPr>
        <w:t xml:space="preserve"> </w:t>
      </w:r>
      <w:r w:rsidRPr="005E6CCE">
        <w:rPr>
          <w:rFonts w:asciiTheme="minorHAnsi" w:hAnsiTheme="minorHAnsi" w:cstheme="minorHAnsi"/>
          <w:szCs w:val="22"/>
        </w:rPr>
        <w:t>obsessive</w:t>
      </w:r>
      <w:r w:rsidRPr="005E6CCE">
        <w:rPr>
          <w:rFonts w:asciiTheme="minorHAnsi" w:hAnsiTheme="minorHAnsi" w:cstheme="minorHAnsi"/>
          <w:spacing w:val="-2"/>
          <w:szCs w:val="22"/>
        </w:rPr>
        <w:t xml:space="preserve"> </w:t>
      </w:r>
      <w:r w:rsidRPr="005E6CCE">
        <w:rPr>
          <w:rFonts w:asciiTheme="minorHAnsi" w:hAnsiTheme="minorHAnsi" w:cstheme="minorHAnsi"/>
          <w:szCs w:val="22"/>
        </w:rPr>
        <w:t>pursuit</w:t>
      </w:r>
      <w:r w:rsidRPr="005E6CCE">
        <w:rPr>
          <w:rFonts w:asciiTheme="minorHAnsi" w:hAnsiTheme="minorHAnsi" w:cstheme="minorHAnsi"/>
          <w:spacing w:val="-5"/>
          <w:szCs w:val="22"/>
        </w:rPr>
        <w:t xml:space="preserve"> of:</w:t>
      </w:r>
    </w:p>
    <w:p w14:paraId="13C6F079" w14:textId="77777777" w:rsidR="0041150C" w:rsidRPr="005E6CCE" w:rsidRDefault="0041150C" w:rsidP="00303E96">
      <w:pPr>
        <w:pStyle w:val="ListParagraph"/>
        <w:widowControl w:val="0"/>
        <w:numPr>
          <w:ilvl w:val="1"/>
          <w:numId w:val="520"/>
        </w:numPr>
        <w:autoSpaceDE w:val="0"/>
        <w:autoSpaceDN w:val="0"/>
        <w:spacing w:after="0" w:line="240" w:lineRule="auto"/>
        <w:ind w:left="993" w:hanging="567"/>
        <w:contextualSpacing w:val="0"/>
        <w:rPr>
          <w:rFonts w:cstheme="minorHAnsi"/>
        </w:rPr>
      </w:pPr>
      <w:r w:rsidRPr="005E6CCE">
        <w:rPr>
          <w:rFonts w:cstheme="minorHAnsi"/>
        </w:rPr>
        <w:t>unreasonable</w:t>
      </w:r>
      <w:r w:rsidRPr="005E6CCE">
        <w:rPr>
          <w:rFonts w:cstheme="minorHAnsi"/>
          <w:spacing w:val="-11"/>
        </w:rPr>
        <w:t xml:space="preserve"> </w:t>
      </w:r>
      <w:r w:rsidRPr="005E6CCE">
        <w:rPr>
          <w:rFonts w:cstheme="minorHAnsi"/>
        </w:rPr>
        <w:t>complaints</w:t>
      </w:r>
      <w:r w:rsidRPr="005E6CCE">
        <w:rPr>
          <w:rFonts w:cstheme="minorHAnsi"/>
          <w:spacing w:val="-12"/>
        </w:rPr>
        <w:t xml:space="preserve"> </w:t>
      </w:r>
      <w:r w:rsidRPr="005E6CCE">
        <w:rPr>
          <w:rFonts w:cstheme="minorHAnsi"/>
        </w:rPr>
        <w:t>and/or</w:t>
      </w:r>
      <w:r w:rsidRPr="005E6CCE">
        <w:rPr>
          <w:rFonts w:cstheme="minorHAnsi"/>
          <w:spacing w:val="-12"/>
        </w:rPr>
        <w:t xml:space="preserve"> </w:t>
      </w:r>
      <w:r w:rsidRPr="005E6CCE">
        <w:rPr>
          <w:rFonts w:cstheme="minorHAnsi"/>
        </w:rPr>
        <w:t>unrealistic</w:t>
      </w:r>
      <w:r w:rsidRPr="005E6CCE">
        <w:rPr>
          <w:rFonts w:cstheme="minorHAnsi"/>
          <w:spacing w:val="-11"/>
        </w:rPr>
        <w:t xml:space="preserve"> </w:t>
      </w:r>
      <w:r w:rsidRPr="005E6CCE">
        <w:rPr>
          <w:rFonts w:cstheme="minorHAnsi"/>
        </w:rPr>
        <w:t>outcomes;</w:t>
      </w:r>
      <w:r w:rsidRPr="005E6CCE">
        <w:rPr>
          <w:rFonts w:cstheme="minorHAnsi"/>
          <w:spacing w:val="-13"/>
        </w:rPr>
        <w:t xml:space="preserve"> </w:t>
      </w:r>
      <w:r w:rsidRPr="005E6CCE">
        <w:rPr>
          <w:rFonts w:cstheme="minorHAnsi"/>
          <w:spacing w:val="-2"/>
        </w:rPr>
        <w:t>and/or</w:t>
      </w:r>
    </w:p>
    <w:p w14:paraId="52041085" w14:textId="77777777" w:rsidR="0041150C" w:rsidRPr="005E6CCE" w:rsidRDefault="0041150C" w:rsidP="00303E96">
      <w:pPr>
        <w:pStyle w:val="ListParagraph"/>
        <w:widowControl w:val="0"/>
        <w:numPr>
          <w:ilvl w:val="1"/>
          <w:numId w:val="520"/>
        </w:numPr>
        <w:autoSpaceDE w:val="0"/>
        <w:autoSpaceDN w:val="0"/>
        <w:spacing w:after="0" w:line="240" w:lineRule="auto"/>
        <w:ind w:left="993" w:hanging="567"/>
        <w:contextualSpacing w:val="0"/>
        <w:rPr>
          <w:rFonts w:cstheme="minorHAnsi"/>
        </w:rPr>
      </w:pPr>
      <w:r w:rsidRPr="005E6CCE">
        <w:rPr>
          <w:rFonts w:cstheme="minorHAnsi"/>
        </w:rPr>
        <w:t>reasonable</w:t>
      </w:r>
      <w:r w:rsidRPr="005E6CCE">
        <w:rPr>
          <w:rFonts w:cstheme="minorHAnsi"/>
          <w:spacing w:val="-13"/>
        </w:rPr>
        <w:t xml:space="preserve"> </w:t>
      </w:r>
      <w:r w:rsidRPr="005E6CCE">
        <w:rPr>
          <w:rFonts w:cstheme="minorHAnsi"/>
        </w:rPr>
        <w:t>complaints</w:t>
      </w:r>
      <w:r w:rsidRPr="005E6CCE">
        <w:rPr>
          <w:rFonts w:cstheme="minorHAnsi"/>
          <w:spacing w:val="-14"/>
        </w:rPr>
        <w:t xml:space="preserve"> </w:t>
      </w:r>
      <w:r w:rsidRPr="005E6CCE">
        <w:rPr>
          <w:rFonts w:cstheme="minorHAnsi"/>
        </w:rPr>
        <w:t>in</w:t>
      </w:r>
      <w:r w:rsidRPr="005E6CCE">
        <w:rPr>
          <w:rFonts w:cstheme="minorHAnsi"/>
          <w:spacing w:val="-13"/>
        </w:rPr>
        <w:t xml:space="preserve"> </w:t>
      </w:r>
      <w:r w:rsidRPr="005E6CCE">
        <w:rPr>
          <w:rFonts w:cstheme="minorHAnsi"/>
        </w:rPr>
        <w:t>an</w:t>
      </w:r>
      <w:r w:rsidRPr="005E6CCE">
        <w:rPr>
          <w:rFonts w:cstheme="minorHAnsi"/>
          <w:spacing w:val="-13"/>
        </w:rPr>
        <w:t xml:space="preserve"> </w:t>
      </w:r>
      <w:r w:rsidRPr="005E6CCE">
        <w:rPr>
          <w:rFonts w:cstheme="minorHAnsi"/>
        </w:rPr>
        <w:t>unreasonable</w:t>
      </w:r>
      <w:r w:rsidRPr="005E6CCE">
        <w:rPr>
          <w:rFonts w:cstheme="minorHAnsi"/>
          <w:spacing w:val="-14"/>
        </w:rPr>
        <w:t xml:space="preserve"> </w:t>
      </w:r>
      <w:r w:rsidRPr="005E6CCE">
        <w:rPr>
          <w:rFonts w:cstheme="minorHAnsi"/>
          <w:spacing w:val="-2"/>
        </w:rPr>
        <w:t>manner.</w:t>
      </w:r>
    </w:p>
    <w:p w14:paraId="00FAB1DC" w14:textId="77777777" w:rsidR="0041150C" w:rsidRPr="005E6CCE" w:rsidRDefault="0041150C" w:rsidP="00303E96">
      <w:pPr>
        <w:pStyle w:val="ListParagraph"/>
        <w:widowControl w:val="0"/>
        <w:numPr>
          <w:ilvl w:val="0"/>
          <w:numId w:val="520"/>
        </w:numPr>
        <w:autoSpaceDE w:val="0"/>
        <w:autoSpaceDN w:val="0"/>
        <w:spacing w:before="200" w:after="0" w:line="240" w:lineRule="auto"/>
        <w:ind w:left="426" w:right="105" w:hanging="426"/>
        <w:contextualSpacing w:val="0"/>
        <w:jc w:val="both"/>
        <w:rPr>
          <w:rFonts w:cstheme="minorHAnsi"/>
        </w:rPr>
      </w:pPr>
      <w:r w:rsidRPr="005E6CCE">
        <w:rPr>
          <w:rFonts w:cstheme="minorHAnsi"/>
        </w:rPr>
        <w:t>Where complaints continue and have been identified as habitual or vexatious in accordance with the criteria set out in the attached document (Schedule A), the</w:t>
      </w:r>
      <w:r w:rsidRPr="005E6CCE">
        <w:rPr>
          <w:rFonts w:cstheme="minorHAnsi"/>
          <w:spacing w:val="-1"/>
        </w:rPr>
        <w:t xml:space="preserve"> </w:t>
      </w:r>
      <w:r w:rsidRPr="005E6CCE">
        <w:rPr>
          <w:rFonts w:cstheme="minorHAnsi"/>
        </w:rPr>
        <w:t>CEO, following discussions with the Executive Management Group, will seek agreement to treat the complainant as a habitual or vexatious complainant and for an appropriate course of action to be taken.</w:t>
      </w:r>
      <w:r w:rsidRPr="005E6CCE">
        <w:rPr>
          <w:rFonts w:cstheme="minorHAnsi"/>
          <w:spacing w:val="40"/>
        </w:rPr>
        <w:t xml:space="preserve"> </w:t>
      </w:r>
      <w:r w:rsidRPr="005E6CCE">
        <w:rPr>
          <w:rFonts w:cstheme="minorHAnsi"/>
        </w:rPr>
        <w:t xml:space="preserve">The attached schedule (B) details the options available for dealing with habitual or vexatious </w:t>
      </w:r>
      <w:r w:rsidRPr="005E6CCE">
        <w:rPr>
          <w:rFonts w:cstheme="minorHAnsi"/>
          <w:spacing w:val="-2"/>
        </w:rPr>
        <w:t>complaints.</w:t>
      </w:r>
    </w:p>
    <w:p w14:paraId="2C85FBD9" w14:textId="77777777" w:rsidR="0041150C" w:rsidRPr="00A46200" w:rsidRDefault="0041150C" w:rsidP="00303E96">
      <w:pPr>
        <w:pStyle w:val="ListParagraph"/>
        <w:widowControl w:val="0"/>
        <w:numPr>
          <w:ilvl w:val="0"/>
          <w:numId w:val="520"/>
        </w:numPr>
        <w:autoSpaceDE w:val="0"/>
        <w:autoSpaceDN w:val="0"/>
        <w:spacing w:before="200" w:after="0" w:line="240" w:lineRule="auto"/>
        <w:ind w:left="426" w:right="103" w:hanging="426"/>
        <w:contextualSpacing w:val="0"/>
        <w:jc w:val="both"/>
      </w:pPr>
      <w:r w:rsidRPr="00A46200">
        <w:t>The CEO will notify complainants, in writing, of the reasons why their complaint has been treated as habitual or vexatious, and the action that will be taken.</w:t>
      </w:r>
      <w:r w:rsidRPr="00A46200">
        <w:rPr>
          <w:spacing w:val="40"/>
        </w:rPr>
        <w:t xml:space="preserve"> </w:t>
      </w:r>
      <w:r w:rsidRPr="00A46200">
        <w:t xml:space="preserve">The CEO will also notify the Elected Members that a constituent has been designated as a habitual or vexatious </w:t>
      </w:r>
      <w:r w:rsidRPr="00A46200">
        <w:rPr>
          <w:spacing w:val="-2"/>
        </w:rPr>
        <w:t>complainant.</w:t>
      </w:r>
    </w:p>
    <w:p w14:paraId="2B1B6CC8" w14:textId="77777777" w:rsidR="0041150C" w:rsidRPr="00A46200" w:rsidRDefault="0041150C" w:rsidP="00303E96">
      <w:pPr>
        <w:pStyle w:val="ListParagraph"/>
        <w:widowControl w:val="0"/>
        <w:numPr>
          <w:ilvl w:val="0"/>
          <w:numId w:val="520"/>
        </w:numPr>
        <w:autoSpaceDE w:val="0"/>
        <w:autoSpaceDN w:val="0"/>
        <w:spacing w:before="200" w:after="0" w:line="240" w:lineRule="auto"/>
        <w:ind w:left="426" w:right="103" w:hanging="426"/>
        <w:contextualSpacing w:val="0"/>
        <w:jc w:val="both"/>
      </w:pPr>
      <w:r w:rsidRPr="00A46200">
        <w:t>Once a complainant has been determined to be habitual or vexatious, their status will be kept under review after one year and monitored by the CEO with reports being taken to Council as required.</w:t>
      </w:r>
      <w:r w:rsidRPr="00A46200">
        <w:rPr>
          <w:spacing w:val="40"/>
        </w:rPr>
        <w:t xml:space="preserve"> </w:t>
      </w:r>
      <w:r w:rsidRPr="00A46200">
        <w:t xml:space="preserve">If a complainant subsequently demonstrates a more reasonable </w:t>
      </w:r>
      <w:proofErr w:type="gramStart"/>
      <w:r w:rsidRPr="00A46200">
        <w:t>approach</w:t>
      </w:r>
      <w:proofErr w:type="gramEnd"/>
      <w:r w:rsidRPr="00A46200">
        <w:t xml:space="preserve"> then their status will be reviewed.</w:t>
      </w:r>
    </w:p>
    <w:p w14:paraId="5628F56E" w14:textId="77777777" w:rsidR="0041150C" w:rsidRPr="000B4917" w:rsidRDefault="0041150C" w:rsidP="0041150C">
      <w:pPr>
        <w:pStyle w:val="BodyText"/>
        <w:spacing w:after="0"/>
        <w:ind w:left="226"/>
        <w:rPr>
          <w:rFonts w:ascii="Calibri" w:hAnsi="Calibri" w:cs="Calibri"/>
          <w:szCs w:val="22"/>
        </w:rPr>
      </w:pPr>
      <w:r w:rsidRPr="000B4917">
        <w:rPr>
          <w:rFonts w:ascii="Calibri" w:hAnsi="Calibri" w:cs="Calibri"/>
          <w:szCs w:val="22"/>
          <w:u w:val="single"/>
        </w:rPr>
        <w:lastRenderedPageBreak/>
        <w:t>Schedule</w:t>
      </w:r>
      <w:r w:rsidRPr="000B4917">
        <w:rPr>
          <w:rFonts w:ascii="Calibri" w:hAnsi="Calibri" w:cs="Calibri"/>
          <w:spacing w:val="-3"/>
          <w:szCs w:val="22"/>
          <w:u w:val="single"/>
        </w:rPr>
        <w:t xml:space="preserve"> </w:t>
      </w:r>
      <w:r w:rsidRPr="000B4917">
        <w:rPr>
          <w:rFonts w:ascii="Calibri" w:hAnsi="Calibri" w:cs="Calibri"/>
          <w:szCs w:val="22"/>
          <w:u w:val="single"/>
        </w:rPr>
        <w:t>A</w:t>
      </w:r>
      <w:r w:rsidRPr="000B4917">
        <w:rPr>
          <w:rFonts w:ascii="Calibri" w:hAnsi="Calibri" w:cs="Calibri"/>
          <w:spacing w:val="-5"/>
          <w:szCs w:val="22"/>
          <w:u w:val="single"/>
        </w:rPr>
        <w:t xml:space="preserve"> </w:t>
      </w:r>
      <w:r w:rsidRPr="000B4917">
        <w:rPr>
          <w:rFonts w:ascii="Calibri" w:hAnsi="Calibri" w:cs="Calibri"/>
          <w:szCs w:val="22"/>
          <w:u w:val="single"/>
        </w:rPr>
        <w:t>–</w:t>
      </w:r>
      <w:r w:rsidRPr="000B4917">
        <w:rPr>
          <w:rFonts w:ascii="Calibri" w:hAnsi="Calibri" w:cs="Calibri"/>
          <w:spacing w:val="-2"/>
          <w:szCs w:val="22"/>
          <w:u w:val="single"/>
        </w:rPr>
        <w:t xml:space="preserve"> </w:t>
      </w:r>
      <w:r w:rsidRPr="000B4917">
        <w:rPr>
          <w:rFonts w:ascii="Calibri" w:hAnsi="Calibri" w:cs="Calibri"/>
          <w:szCs w:val="22"/>
          <w:u w:val="single"/>
        </w:rPr>
        <w:t>Criteria</w:t>
      </w:r>
      <w:r w:rsidRPr="000B4917">
        <w:rPr>
          <w:rFonts w:ascii="Calibri" w:hAnsi="Calibri" w:cs="Calibri"/>
          <w:spacing w:val="-4"/>
          <w:szCs w:val="22"/>
          <w:u w:val="single"/>
        </w:rPr>
        <w:t xml:space="preserve"> </w:t>
      </w:r>
      <w:r w:rsidRPr="000B4917">
        <w:rPr>
          <w:rFonts w:ascii="Calibri" w:hAnsi="Calibri" w:cs="Calibri"/>
          <w:szCs w:val="22"/>
          <w:u w:val="single"/>
        </w:rPr>
        <w:t>for</w:t>
      </w:r>
      <w:r w:rsidRPr="000B4917">
        <w:rPr>
          <w:rFonts w:ascii="Calibri" w:hAnsi="Calibri" w:cs="Calibri"/>
          <w:spacing w:val="-4"/>
          <w:szCs w:val="22"/>
          <w:u w:val="single"/>
        </w:rPr>
        <w:t xml:space="preserve"> </w:t>
      </w:r>
      <w:r w:rsidRPr="000B4917">
        <w:rPr>
          <w:rFonts w:ascii="Calibri" w:hAnsi="Calibri" w:cs="Calibri"/>
          <w:szCs w:val="22"/>
          <w:u w:val="single"/>
        </w:rPr>
        <w:t>Determining</w:t>
      </w:r>
      <w:r w:rsidRPr="000B4917">
        <w:rPr>
          <w:rFonts w:ascii="Calibri" w:hAnsi="Calibri" w:cs="Calibri"/>
          <w:spacing w:val="-4"/>
          <w:szCs w:val="22"/>
          <w:u w:val="single"/>
        </w:rPr>
        <w:t xml:space="preserve"> </w:t>
      </w:r>
      <w:r w:rsidRPr="000B4917">
        <w:rPr>
          <w:rFonts w:ascii="Calibri" w:hAnsi="Calibri" w:cs="Calibri"/>
          <w:szCs w:val="22"/>
          <w:u w:val="single"/>
        </w:rPr>
        <w:t>Habitual</w:t>
      </w:r>
      <w:r w:rsidRPr="000B4917">
        <w:rPr>
          <w:rFonts w:ascii="Calibri" w:hAnsi="Calibri" w:cs="Calibri"/>
          <w:spacing w:val="-3"/>
          <w:szCs w:val="22"/>
          <w:u w:val="single"/>
        </w:rPr>
        <w:t xml:space="preserve"> </w:t>
      </w:r>
      <w:r w:rsidRPr="000B4917">
        <w:rPr>
          <w:rFonts w:ascii="Calibri" w:hAnsi="Calibri" w:cs="Calibri"/>
          <w:szCs w:val="22"/>
          <w:u w:val="single"/>
        </w:rPr>
        <w:t>or</w:t>
      </w:r>
      <w:r w:rsidRPr="000B4917">
        <w:rPr>
          <w:rFonts w:ascii="Calibri" w:hAnsi="Calibri" w:cs="Calibri"/>
          <w:spacing w:val="-4"/>
          <w:szCs w:val="22"/>
          <w:u w:val="single"/>
        </w:rPr>
        <w:t xml:space="preserve"> </w:t>
      </w:r>
      <w:r w:rsidRPr="000B4917">
        <w:rPr>
          <w:rFonts w:ascii="Calibri" w:hAnsi="Calibri" w:cs="Calibri"/>
          <w:szCs w:val="22"/>
          <w:u w:val="single"/>
        </w:rPr>
        <w:t>Vexatious</w:t>
      </w:r>
      <w:r w:rsidRPr="000B4917">
        <w:rPr>
          <w:rFonts w:ascii="Calibri" w:hAnsi="Calibri" w:cs="Calibri"/>
          <w:spacing w:val="-5"/>
          <w:szCs w:val="22"/>
          <w:u w:val="single"/>
        </w:rPr>
        <w:t xml:space="preserve"> </w:t>
      </w:r>
      <w:r w:rsidRPr="000B4917">
        <w:rPr>
          <w:rFonts w:ascii="Calibri" w:hAnsi="Calibri" w:cs="Calibri"/>
          <w:spacing w:val="-2"/>
          <w:szCs w:val="22"/>
          <w:u w:val="single"/>
        </w:rPr>
        <w:t>Complaints</w:t>
      </w:r>
    </w:p>
    <w:p w14:paraId="7C5C6B11" w14:textId="77777777" w:rsidR="0041150C" w:rsidRPr="000B4917" w:rsidRDefault="0041150C" w:rsidP="0041150C">
      <w:pPr>
        <w:pStyle w:val="BodyText"/>
        <w:ind w:left="226"/>
        <w:rPr>
          <w:rFonts w:ascii="Calibri" w:hAnsi="Calibri" w:cs="Calibri"/>
          <w:szCs w:val="22"/>
        </w:rPr>
      </w:pPr>
      <w:r w:rsidRPr="000B4917">
        <w:rPr>
          <w:rFonts w:ascii="Calibri" w:hAnsi="Calibri" w:cs="Calibri"/>
          <w:szCs w:val="22"/>
        </w:rPr>
        <w:t>Complainants</w:t>
      </w:r>
      <w:r w:rsidRPr="000B4917">
        <w:rPr>
          <w:rFonts w:ascii="Calibri" w:hAnsi="Calibri" w:cs="Calibri"/>
          <w:spacing w:val="40"/>
          <w:szCs w:val="22"/>
        </w:rPr>
        <w:t xml:space="preserve"> </w:t>
      </w:r>
      <w:r w:rsidRPr="000B4917">
        <w:rPr>
          <w:rFonts w:ascii="Calibri" w:hAnsi="Calibri" w:cs="Calibri"/>
          <w:szCs w:val="22"/>
        </w:rPr>
        <w:t>(and/or</w:t>
      </w:r>
      <w:r w:rsidRPr="000B4917">
        <w:rPr>
          <w:rFonts w:ascii="Calibri" w:hAnsi="Calibri" w:cs="Calibri"/>
          <w:spacing w:val="40"/>
          <w:szCs w:val="22"/>
        </w:rPr>
        <w:t xml:space="preserve"> </w:t>
      </w:r>
      <w:r w:rsidRPr="000B4917">
        <w:rPr>
          <w:rFonts w:ascii="Calibri" w:hAnsi="Calibri" w:cs="Calibri"/>
          <w:szCs w:val="22"/>
        </w:rPr>
        <w:t>anyone</w:t>
      </w:r>
      <w:r w:rsidRPr="000B4917">
        <w:rPr>
          <w:rFonts w:ascii="Calibri" w:hAnsi="Calibri" w:cs="Calibri"/>
          <w:spacing w:val="40"/>
          <w:szCs w:val="22"/>
        </w:rPr>
        <w:t xml:space="preserve"> </w:t>
      </w:r>
      <w:r w:rsidRPr="000B4917">
        <w:rPr>
          <w:rFonts w:ascii="Calibri" w:hAnsi="Calibri" w:cs="Calibri"/>
          <w:szCs w:val="22"/>
        </w:rPr>
        <w:t>acting</w:t>
      </w:r>
      <w:r w:rsidRPr="000B4917">
        <w:rPr>
          <w:rFonts w:ascii="Calibri" w:hAnsi="Calibri" w:cs="Calibri"/>
          <w:spacing w:val="40"/>
          <w:szCs w:val="22"/>
        </w:rPr>
        <w:t xml:space="preserve"> </w:t>
      </w:r>
      <w:r w:rsidRPr="000B4917">
        <w:rPr>
          <w:rFonts w:ascii="Calibri" w:hAnsi="Calibri" w:cs="Calibri"/>
          <w:szCs w:val="22"/>
        </w:rPr>
        <w:t>on</w:t>
      </w:r>
      <w:r w:rsidRPr="000B4917">
        <w:rPr>
          <w:rFonts w:ascii="Calibri" w:hAnsi="Calibri" w:cs="Calibri"/>
          <w:spacing w:val="40"/>
          <w:szCs w:val="22"/>
        </w:rPr>
        <w:t xml:space="preserve"> </w:t>
      </w:r>
      <w:r w:rsidRPr="000B4917">
        <w:rPr>
          <w:rFonts w:ascii="Calibri" w:hAnsi="Calibri" w:cs="Calibri"/>
          <w:szCs w:val="22"/>
        </w:rPr>
        <w:t>their</w:t>
      </w:r>
      <w:r w:rsidRPr="000B4917">
        <w:rPr>
          <w:rFonts w:ascii="Calibri" w:hAnsi="Calibri" w:cs="Calibri"/>
          <w:spacing w:val="40"/>
          <w:szCs w:val="22"/>
        </w:rPr>
        <w:t xml:space="preserve"> </w:t>
      </w:r>
      <w:r w:rsidRPr="000B4917">
        <w:rPr>
          <w:rFonts w:ascii="Calibri" w:hAnsi="Calibri" w:cs="Calibri"/>
          <w:szCs w:val="22"/>
        </w:rPr>
        <w:t>behalf)</w:t>
      </w:r>
      <w:r w:rsidRPr="000B4917">
        <w:rPr>
          <w:rFonts w:ascii="Calibri" w:hAnsi="Calibri" w:cs="Calibri"/>
          <w:spacing w:val="40"/>
          <w:szCs w:val="22"/>
        </w:rPr>
        <w:t xml:space="preserve"> </w:t>
      </w:r>
      <w:r w:rsidRPr="000B4917">
        <w:rPr>
          <w:rFonts w:ascii="Calibri" w:hAnsi="Calibri" w:cs="Calibri"/>
          <w:szCs w:val="22"/>
        </w:rPr>
        <w:t>may</w:t>
      </w:r>
      <w:r w:rsidRPr="000B4917">
        <w:rPr>
          <w:rFonts w:ascii="Calibri" w:hAnsi="Calibri" w:cs="Calibri"/>
          <w:spacing w:val="40"/>
          <w:szCs w:val="22"/>
        </w:rPr>
        <w:t xml:space="preserve"> </w:t>
      </w:r>
      <w:r w:rsidRPr="000B4917">
        <w:rPr>
          <w:rFonts w:ascii="Calibri" w:hAnsi="Calibri" w:cs="Calibri"/>
          <w:szCs w:val="22"/>
        </w:rPr>
        <w:t>be</w:t>
      </w:r>
      <w:r w:rsidRPr="000B4917">
        <w:rPr>
          <w:rFonts w:ascii="Calibri" w:hAnsi="Calibri" w:cs="Calibri"/>
          <w:spacing w:val="40"/>
          <w:szCs w:val="22"/>
        </w:rPr>
        <w:t xml:space="preserve"> </w:t>
      </w:r>
      <w:r w:rsidRPr="000B4917">
        <w:rPr>
          <w:rFonts w:ascii="Calibri" w:hAnsi="Calibri" w:cs="Calibri"/>
          <w:szCs w:val="22"/>
        </w:rPr>
        <w:t>deemed</w:t>
      </w:r>
      <w:r w:rsidRPr="000B4917">
        <w:rPr>
          <w:rFonts w:ascii="Calibri" w:hAnsi="Calibri" w:cs="Calibri"/>
          <w:spacing w:val="40"/>
          <w:szCs w:val="22"/>
        </w:rPr>
        <w:t xml:space="preserve"> </w:t>
      </w:r>
      <w:r w:rsidRPr="000B4917">
        <w:rPr>
          <w:rFonts w:ascii="Calibri" w:hAnsi="Calibri" w:cs="Calibri"/>
          <w:szCs w:val="22"/>
        </w:rPr>
        <w:t>to</w:t>
      </w:r>
      <w:r w:rsidRPr="000B4917">
        <w:rPr>
          <w:rFonts w:ascii="Calibri" w:hAnsi="Calibri" w:cs="Calibri"/>
          <w:spacing w:val="40"/>
          <w:szCs w:val="22"/>
        </w:rPr>
        <w:t xml:space="preserve"> </w:t>
      </w:r>
      <w:r w:rsidRPr="000B4917">
        <w:rPr>
          <w:rFonts w:ascii="Calibri" w:hAnsi="Calibri" w:cs="Calibri"/>
          <w:szCs w:val="22"/>
        </w:rPr>
        <w:t>be</w:t>
      </w:r>
      <w:r w:rsidRPr="000B4917">
        <w:rPr>
          <w:rFonts w:ascii="Calibri" w:hAnsi="Calibri" w:cs="Calibri"/>
          <w:spacing w:val="40"/>
          <w:szCs w:val="22"/>
        </w:rPr>
        <w:t xml:space="preserve"> </w:t>
      </w:r>
      <w:r w:rsidRPr="000B4917">
        <w:rPr>
          <w:rFonts w:ascii="Calibri" w:hAnsi="Calibri" w:cs="Calibri"/>
          <w:szCs w:val="22"/>
        </w:rPr>
        <w:t>habitual</w:t>
      </w:r>
      <w:r w:rsidRPr="000B4917">
        <w:rPr>
          <w:rFonts w:ascii="Calibri" w:hAnsi="Calibri" w:cs="Calibri"/>
          <w:spacing w:val="40"/>
          <w:szCs w:val="22"/>
        </w:rPr>
        <w:t xml:space="preserve"> </w:t>
      </w:r>
      <w:r w:rsidRPr="000B4917">
        <w:rPr>
          <w:rFonts w:ascii="Calibri" w:hAnsi="Calibri" w:cs="Calibri"/>
          <w:szCs w:val="22"/>
        </w:rPr>
        <w:t>or</w:t>
      </w:r>
      <w:r w:rsidRPr="000B4917">
        <w:rPr>
          <w:rFonts w:ascii="Calibri" w:hAnsi="Calibri" w:cs="Calibri"/>
          <w:spacing w:val="40"/>
          <w:szCs w:val="22"/>
        </w:rPr>
        <w:t xml:space="preserve"> </w:t>
      </w:r>
      <w:r w:rsidRPr="000B4917">
        <w:rPr>
          <w:rFonts w:ascii="Calibri" w:hAnsi="Calibri" w:cs="Calibri"/>
          <w:szCs w:val="22"/>
        </w:rPr>
        <w:t>vexatious where previous or current contact with them shows how they meet one of the following criteria:</w:t>
      </w:r>
    </w:p>
    <w:p w14:paraId="00845521" w14:textId="77777777" w:rsidR="0041150C" w:rsidRPr="000B4917" w:rsidRDefault="0041150C" w:rsidP="0041150C">
      <w:pPr>
        <w:pStyle w:val="BodyText"/>
        <w:spacing w:before="200"/>
        <w:ind w:left="226"/>
        <w:rPr>
          <w:rFonts w:ascii="Calibri" w:hAnsi="Calibri" w:cs="Calibri"/>
          <w:szCs w:val="22"/>
        </w:rPr>
      </w:pPr>
      <w:r w:rsidRPr="000B4917">
        <w:rPr>
          <w:rFonts w:ascii="Calibri" w:hAnsi="Calibri" w:cs="Calibri"/>
          <w:szCs w:val="22"/>
        </w:rPr>
        <w:t xml:space="preserve">Where </w:t>
      </w:r>
      <w:r w:rsidRPr="000B4917">
        <w:rPr>
          <w:rFonts w:ascii="Calibri" w:hAnsi="Calibri" w:cs="Calibri"/>
          <w:spacing w:val="-2"/>
          <w:szCs w:val="22"/>
        </w:rPr>
        <w:t>complainants:</w:t>
      </w:r>
    </w:p>
    <w:p w14:paraId="6FC28078" w14:textId="77777777" w:rsidR="0041150C" w:rsidRPr="000B4917" w:rsidRDefault="0041150C" w:rsidP="00303E96">
      <w:pPr>
        <w:pStyle w:val="ListParagraph"/>
        <w:widowControl w:val="0"/>
        <w:numPr>
          <w:ilvl w:val="0"/>
          <w:numId w:val="521"/>
        </w:numPr>
        <w:tabs>
          <w:tab w:val="left" w:pos="947"/>
        </w:tabs>
        <w:autoSpaceDE w:val="0"/>
        <w:autoSpaceDN w:val="0"/>
        <w:spacing w:after="80" w:line="240" w:lineRule="auto"/>
        <w:ind w:right="104"/>
        <w:contextualSpacing w:val="0"/>
        <w:jc w:val="both"/>
        <w:rPr>
          <w:rFonts w:ascii="Calibri" w:hAnsi="Calibri" w:cs="Calibri"/>
        </w:rPr>
      </w:pPr>
      <w:r>
        <w:rPr>
          <w:rFonts w:ascii="Calibri" w:hAnsi="Calibri" w:cs="Calibri"/>
        </w:rPr>
        <w:t>p</w:t>
      </w:r>
      <w:r w:rsidRPr="000B4917">
        <w:rPr>
          <w:rFonts w:ascii="Calibri" w:hAnsi="Calibri" w:cs="Calibri"/>
        </w:rPr>
        <w:t>ersist in pursuing a complaint where the Council’s complaints process has been fully and properly implemented and exhausted.</w:t>
      </w:r>
    </w:p>
    <w:p w14:paraId="13C75F41" w14:textId="77777777" w:rsidR="0041150C" w:rsidRPr="000B4917" w:rsidRDefault="0041150C" w:rsidP="00303E96">
      <w:pPr>
        <w:pStyle w:val="ListParagraph"/>
        <w:widowControl w:val="0"/>
        <w:numPr>
          <w:ilvl w:val="0"/>
          <w:numId w:val="521"/>
        </w:numPr>
        <w:tabs>
          <w:tab w:val="left" w:pos="947"/>
        </w:tabs>
        <w:autoSpaceDE w:val="0"/>
        <w:autoSpaceDN w:val="0"/>
        <w:spacing w:after="80" w:line="240" w:lineRule="auto"/>
        <w:ind w:right="105"/>
        <w:contextualSpacing w:val="0"/>
        <w:jc w:val="both"/>
        <w:rPr>
          <w:rFonts w:ascii="Calibri" w:hAnsi="Calibri" w:cs="Calibri"/>
        </w:rPr>
      </w:pPr>
      <w:r>
        <w:rPr>
          <w:rFonts w:ascii="Calibri" w:hAnsi="Calibri" w:cs="Calibri"/>
        </w:rPr>
        <w:t>p</w:t>
      </w:r>
      <w:r w:rsidRPr="000B4917">
        <w:rPr>
          <w:rFonts w:ascii="Calibri" w:hAnsi="Calibri" w:cs="Calibri"/>
        </w:rPr>
        <w:t>ersistently change the substance of a complaint or continually raise new issues or seek to prolong contact by continually raising further concerns or questions whilst the complaint is being addressed.</w:t>
      </w:r>
      <w:r w:rsidRPr="000B4917">
        <w:rPr>
          <w:rFonts w:ascii="Calibri" w:hAnsi="Calibri" w:cs="Calibri"/>
          <w:spacing w:val="40"/>
        </w:rPr>
        <w:t xml:space="preserve"> </w:t>
      </w:r>
      <w:r w:rsidRPr="000B4917">
        <w:rPr>
          <w:rFonts w:ascii="Calibri" w:hAnsi="Calibri" w:cs="Calibri"/>
        </w:rPr>
        <w:t xml:space="preserve">(Care must be taken, however, not to disregard new issues which are significantly different from the original complaint as they need to be addressed as separate </w:t>
      </w:r>
      <w:r w:rsidRPr="000B4917">
        <w:rPr>
          <w:rFonts w:ascii="Calibri" w:hAnsi="Calibri" w:cs="Calibri"/>
          <w:spacing w:val="-2"/>
        </w:rPr>
        <w:t>complaints).</w:t>
      </w:r>
    </w:p>
    <w:p w14:paraId="629DEF97" w14:textId="77777777" w:rsidR="0041150C" w:rsidRPr="000B4917" w:rsidRDefault="0041150C" w:rsidP="00303E96">
      <w:pPr>
        <w:pStyle w:val="ListParagraph"/>
        <w:widowControl w:val="0"/>
        <w:numPr>
          <w:ilvl w:val="0"/>
          <w:numId w:val="521"/>
        </w:numPr>
        <w:tabs>
          <w:tab w:val="left" w:pos="947"/>
        </w:tabs>
        <w:autoSpaceDE w:val="0"/>
        <w:autoSpaceDN w:val="0"/>
        <w:spacing w:after="80" w:line="240" w:lineRule="auto"/>
        <w:ind w:right="104"/>
        <w:contextualSpacing w:val="0"/>
        <w:jc w:val="both"/>
        <w:rPr>
          <w:rFonts w:ascii="Calibri" w:hAnsi="Calibri" w:cs="Calibri"/>
        </w:rPr>
      </w:pPr>
      <w:r>
        <w:rPr>
          <w:rFonts w:ascii="Calibri" w:hAnsi="Calibri" w:cs="Calibri"/>
        </w:rPr>
        <w:t>a</w:t>
      </w:r>
      <w:r w:rsidRPr="000B4917">
        <w:rPr>
          <w:rFonts w:ascii="Calibri" w:hAnsi="Calibri" w:cs="Calibri"/>
        </w:rPr>
        <w:t>re repeatedly unwilling to accept documented evidence given as being</w:t>
      </w:r>
      <w:r w:rsidRPr="000B4917">
        <w:rPr>
          <w:rFonts w:ascii="Calibri" w:hAnsi="Calibri" w:cs="Calibri"/>
          <w:spacing w:val="-1"/>
        </w:rPr>
        <w:t xml:space="preserve"> </w:t>
      </w:r>
      <w:r w:rsidRPr="000B4917">
        <w:rPr>
          <w:rFonts w:ascii="Calibri" w:hAnsi="Calibri" w:cs="Calibri"/>
        </w:rPr>
        <w:t xml:space="preserve">factual or deny receipt of an adequate response </w:t>
      </w:r>
      <w:proofErr w:type="gramStart"/>
      <w:r w:rsidRPr="000B4917">
        <w:rPr>
          <w:rFonts w:ascii="Calibri" w:hAnsi="Calibri" w:cs="Calibri"/>
        </w:rPr>
        <w:t>in spite of</w:t>
      </w:r>
      <w:proofErr w:type="gramEnd"/>
      <w:r w:rsidRPr="000B4917">
        <w:rPr>
          <w:rFonts w:ascii="Calibri" w:hAnsi="Calibri" w:cs="Calibri"/>
        </w:rPr>
        <w:t xml:space="preserve"> correspondence specifically answering their questions or do not accept that facts can sometimes be difficult to verify when a long period of time has </w:t>
      </w:r>
      <w:r w:rsidRPr="000B4917">
        <w:rPr>
          <w:rFonts w:ascii="Calibri" w:hAnsi="Calibri" w:cs="Calibri"/>
          <w:spacing w:val="-2"/>
        </w:rPr>
        <w:t>elapsed.</w:t>
      </w:r>
    </w:p>
    <w:p w14:paraId="5FFD6FC9" w14:textId="77777777" w:rsidR="0041150C" w:rsidRPr="000B4917" w:rsidRDefault="0041150C" w:rsidP="00303E96">
      <w:pPr>
        <w:pStyle w:val="ListParagraph"/>
        <w:widowControl w:val="0"/>
        <w:numPr>
          <w:ilvl w:val="0"/>
          <w:numId w:val="521"/>
        </w:numPr>
        <w:tabs>
          <w:tab w:val="left" w:pos="947"/>
        </w:tabs>
        <w:autoSpaceDE w:val="0"/>
        <w:autoSpaceDN w:val="0"/>
        <w:spacing w:after="80" w:line="240" w:lineRule="auto"/>
        <w:ind w:right="109"/>
        <w:contextualSpacing w:val="0"/>
        <w:jc w:val="both"/>
        <w:rPr>
          <w:rFonts w:ascii="Calibri" w:hAnsi="Calibri" w:cs="Calibri"/>
        </w:rPr>
      </w:pPr>
      <w:r>
        <w:rPr>
          <w:rFonts w:ascii="Calibri" w:hAnsi="Calibri" w:cs="Calibri"/>
        </w:rPr>
        <w:t>r</w:t>
      </w:r>
      <w:r w:rsidRPr="000B4917">
        <w:rPr>
          <w:rFonts w:ascii="Calibri" w:hAnsi="Calibri" w:cs="Calibri"/>
        </w:rPr>
        <w:t>epeatedly do not clearly identify the precise issues which they wish to be investigated,</w:t>
      </w:r>
      <w:r w:rsidRPr="000B4917">
        <w:rPr>
          <w:rFonts w:ascii="Calibri" w:hAnsi="Calibri" w:cs="Calibri"/>
          <w:spacing w:val="40"/>
        </w:rPr>
        <w:t xml:space="preserve"> </w:t>
      </w:r>
      <w:r w:rsidRPr="000B4917">
        <w:rPr>
          <w:rFonts w:ascii="Calibri" w:hAnsi="Calibri" w:cs="Calibri"/>
        </w:rPr>
        <w:t>despite reasonable efforts of the Council to help them specify their concerns, and/or where the concerns identified are not within the remit of the Council to investigate.</w:t>
      </w:r>
    </w:p>
    <w:p w14:paraId="18B65C7F" w14:textId="77777777" w:rsidR="0041150C" w:rsidRPr="000B4917" w:rsidRDefault="0041150C" w:rsidP="00303E96">
      <w:pPr>
        <w:pStyle w:val="ListParagraph"/>
        <w:widowControl w:val="0"/>
        <w:numPr>
          <w:ilvl w:val="0"/>
          <w:numId w:val="521"/>
        </w:numPr>
        <w:tabs>
          <w:tab w:val="left" w:pos="947"/>
        </w:tabs>
        <w:autoSpaceDE w:val="0"/>
        <w:autoSpaceDN w:val="0"/>
        <w:spacing w:after="80" w:line="240" w:lineRule="auto"/>
        <w:ind w:right="105"/>
        <w:contextualSpacing w:val="0"/>
        <w:jc w:val="both"/>
        <w:rPr>
          <w:rFonts w:ascii="Calibri" w:hAnsi="Calibri" w:cs="Calibri"/>
        </w:rPr>
      </w:pPr>
      <w:r>
        <w:rPr>
          <w:rFonts w:ascii="Calibri" w:hAnsi="Calibri" w:cs="Calibri"/>
        </w:rPr>
        <w:t>r</w:t>
      </w:r>
      <w:r w:rsidRPr="000B4917">
        <w:rPr>
          <w:rFonts w:ascii="Calibri" w:hAnsi="Calibri" w:cs="Calibri"/>
        </w:rPr>
        <w:t>egularly focus on a trivial matter to an extent which is out of proportion to its significance and continue to focus on this point.</w:t>
      </w:r>
      <w:r w:rsidRPr="000B4917">
        <w:rPr>
          <w:rFonts w:ascii="Calibri" w:hAnsi="Calibri" w:cs="Calibri"/>
          <w:spacing w:val="40"/>
        </w:rPr>
        <w:t xml:space="preserve"> </w:t>
      </w:r>
      <w:r w:rsidRPr="000B4917">
        <w:rPr>
          <w:rFonts w:ascii="Calibri" w:hAnsi="Calibri" w:cs="Calibri"/>
        </w:rPr>
        <w:t xml:space="preserve">It is recognised that determining what is a trivial matter can be </w:t>
      </w:r>
      <w:proofErr w:type="gramStart"/>
      <w:r w:rsidRPr="000B4917">
        <w:rPr>
          <w:rFonts w:ascii="Calibri" w:hAnsi="Calibri" w:cs="Calibri"/>
        </w:rPr>
        <w:t>subjective</w:t>
      </w:r>
      <w:proofErr w:type="gramEnd"/>
      <w:r w:rsidRPr="000B4917">
        <w:rPr>
          <w:rFonts w:ascii="Calibri" w:hAnsi="Calibri" w:cs="Calibri"/>
        </w:rPr>
        <w:t xml:space="preserve"> and careful judgment will be used in applying this criteria.</w:t>
      </w:r>
    </w:p>
    <w:p w14:paraId="27072BE3" w14:textId="77777777" w:rsidR="0041150C" w:rsidRPr="000B4917" w:rsidRDefault="0041150C" w:rsidP="00303E96">
      <w:pPr>
        <w:pStyle w:val="ListParagraph"/>
        <w:widowControl w:val="0"/>
        <w:numPr>
          <w:ilvl w:val="0"/>
          <w:numId w:val="521"/>
        </w:numPr>
        <w:tabs>
          <w:tab w:val="left" w:pos="947"/>
        </w:tabs>
        <w:autoSpaceDE w:val="0"/>
        <w:autoSpaceDN w:val="0"/>
        <w:spacing w:before="1" w:after="80" w:line="240" w:lineRule="auto"/>
        <w:ind w:right="104"/>
        <w:contextualSpacing w:val="0"/>
        <w:jc w:val="both"/>
        <w:rPr>
          <w:rFonts w:ascii="Calibri" w:hAnsi="Calibri" w:cs="Calibri"/>
        </w:rPr>
      </w:pPr>
      <w:r>
        <w:rPr>
          <w:rFonts w:ascii="Calibri" w:hAnsi="Calibri" w:cs="Calibri"/>
        </w:rPr>
        <w:t>h</w:t>
      </w:r>
      <w:r w:rsidRPr="000B4917">
        <w:rPr>
          <w:rFonts w:ascii="Calibri" w:hAnsi="Calibri" w:cs="Calibri"/>
        </w:rPr>
        <w:t>ave threatened or used physical violence towards employees at any time.</w:t>
      </w:r>
      <w:r w:rsidRPr="000B4917">
        <w:rPr>
          <w:rFonts w:ascii="Calibri" w:hAnsi="Calibri" w:cs="Calibri"/>
          <w:spacing w:val="40"/>
        </w:rPr>
        <w:t xml:space="preserve"> </w:t>
      </w:r>
      <w:r w:rsidRPr="000B4917">
        <w:rPr>
          <w:rFonts w:ascii="Calibri" w:hAnsi="Calibri" w:cs="Calibri"/>
        </w:rPr>
        <w:t>This will</w:t>
      </w:r>
      <w:proofErr w:type="gramStart"/>
      <w:r w:rsidRPr="000B4917">
        <w:rPr>
          <w:rFonts w:ascii="Calibri" w:hAnsi="Calibri" w:cs="Calibri"/>
        </w:rPr>
        <w:t>, in itself, cause</w:t>
      </w:r>
      <w:proofErr w:type="gramEnd"/>
      <w:r w:rsidRPr="000B4917">
        <w:rPr>
          <w:rFonts w:ascii="Calibri" w:hAnsi="Calibri" w:cs="Calibri"/>
          <w:spacing w:val="-2"/>
        </w:rPr>
        <w:t xml:space="preserve"> </w:t>
      </w:r>
      <w:r w:rsidRPr="000B4917">
        <w:rPr>
          <w:rFonts w:ascii="Calibri" w:hAnsi="Calibri" w:cs="Calibri"/>
        </w:rPr>
        <w:t>personal</w:t>
      </w:r>
      <w:r w:rsidRPr="000B4917">
        <w:rPr>
          <w:rFonts w:ascii="Calibri" w:hAnsi="Calibri" w:cs="Calibri"/>
          <w:spacing w:val="-1"/>
        </w:rPr>
        <w:t xml:space="preserve"> </w:t>
      </w:r>
      <w:r w:rsidRPr="000B4917">
        <w:rPr>
          <w:rFonts w:ascii="Calibri" w:hAnsi="Calibri" w:cs="Calibri"/>
        </w:rPr>
        <w:t>contact with the complainant</w:t>
      </w:r>
      <w:r w:rsidRPr="000B4917">
        <w:rPr>
          <w:rFonts w:ascii="Calibri" w:hAnsi="Calibri" w:cs="Calibri"/>
          <w:spacing w:val="-2"/>
        </w:rPr>
        <w:t xml:space="preserve"> </w:t>
      </w:r>
      <w:r w:rsidRPr="000B4917">
        <w:rPr>
          <w:rFonts w:ascii="Calibri" w:hAnsi="Calibri" w:cs="Calibri"/>
        </w:rPr>
        <w:t>and/or</w:t>
      </w:r>
      <w:r w:rsidRPr="000B4917">
        <w:rPr>
          <w:rFonts w:ascii="Calibri" w:hAnsi="Calibri" w:cs="Calibri"/>
          <w:spacing w:val="-1"/>
        </w:rPr>
        <w:t xml:space="preserve"> </w:t>
      </w:r>
      <w:r w:rsidRPr="000B4917">
        <w:rPr>
          <w:rFonts w:ascii="Calibri" w:hAnsi="Calibri" w:cs="Calibri"/>
        </w:rPr>
        <w:t>their</w:t>
      </w:r>
      <w:r w:rsidRPr="000B4917">
        <w:rPr>
          <w:rFonts w:ascii="Calibri" w:hAnsi="Calibri" w:cs="Calibri"/>
          <w:spacing w:val="-1"/>
        </w:rPr>
        <w:t xml:space="preserve"> </w:t>
      </w:r>
      <w:r w:rsidRPr="000B4917">
        <w:rPr>
          <w:rFonts w:ascii="Calibri" w:hAnsi="Calibri" w:cs="Calibri"/>
        </w:rPr>
        <w:t>representative to be</w:t>
      </w:r>
      <w:r w:rsidRPr="000B4917">
        <w:rPr>
          <w:rFonts w:ascii="Calibri" w:hAnsi="Calibri" w:cs="Calibri"/>
          <w:spacing w:val="-2"/>
        </w:rPr>
        <w:t xml:space="preserve"> </w:t>
      </w:r>
      <w:r w:rsidRPr="000B4917">
        <w:rPr>
          <w:rFonts w:ascii="Calibri" w:hAnsi="Calibri" w:cs="Calibri"/>
        </w:rPr>
        <w:t>discontinued</w:t>
      </w:r>
      <w:r w:rsidRPr="000B4917">
        <w:rPr>
          <w:rFonts w:ascii="Calibri" w:hAnsi="Calibri" w:cs="Calibri"/>
          <w:spacing w:val="-2"/>
        </w:rPr>
        <w:t xml:space="preserve"> </w:t>
      </w:r>
      <w:r w:rsidRPr="000B4917">
        <w:rPr>
          <w:rFonts w:ascii="Calibri" w:hAnsi="Calibri" w:cs="Calibri"/>
        </w:rPr>
        <w:t>and the complaint will, thereafter, only be continued through written communication.</w:t>
      </w:r>
      <w:r w:rsidRPr="000B4917">
        <w:rPr>
          <w:rFonts w:ascii="Calibri" w:hAnsi="Calibri" w:cs="Calibri"/>
          <w:spacing w:val="40"/>
        </w:rPr>
        <w:t xml:space="preserve"> </w:t>
      </w:r>
      <w:r w:rsidRPr="000B4917">
        <w:rPr>
          <w:rFonts w:ascii="Calibri" w:hAnsi="Calibri" w:cs="Calibri"/>
        </w:rPr>
        <w:t>The Council has determined that any complainant who threatens or uses actual physical violence towards employees will be regarded as a vexatious complainant.</w:t>
      </w:r>
      <w:r w:rsidRPr="000B4917">
        <w:rPr>
          <w:rFonts w:ascii="Calibri" w:hAnsi="Calibri" w:cs="Calibri"/>
          <w:spacing w:val="40"/>
        </w:rPr>
        <w:t xml:space="preserve"> </w:t>
      </w:r>
      <w:r w:rsidRPr="000B4917">
        <w:rPr>
          <w:rFonts w:ascii="Calibri" w:hAnsi="Calibri" w:cs="Calibri"/>
        </w:rPr>
        <w:t>The complainant will be informed of this in writing together with notification of how future contact with the Council is to be made.</w:t>
      </w:r>
    </w:p>
    <w:p w14:paraId="592B5C56" w14:textId="77777777" w:rsidR="0041150C" w:rsidRPr="000B4917" w:rsidRDefault="0041150C" w:rsidP="00303E96">
      <w:pPr>
        <w:pStyle w:val="BodyText"/>
        <w:widowControl w:val="0"/>
        <w:numPr>
          <w:ilvl w:val="0"/>
          <w:numId w:val="521"/>
        </w:numPr>
        <w:autoSpaceDE w:val="0"/>
        <w:autoSpaceDN w:val="0"/>
        <w:spacing w:before="93" w:after="80"/>
        <w:rPr>
          <w:rFonts w:ascii="Calibri" w:hAnsi="Calibri" w:cs="Calibri"/>
          <w:szCs w:val="22"/>
        </w:rPr>
      </w:pPr>
      <w:r>
        <w:rPr>
          <w:rFonts w:ascii="Calibri" w:hAnsi="Calibri" w:cs="Calibri"/>
          <w:szCs w:val="22"/>
        </w:rPr>
        <w:t>h</w:t>
      </w:r>
      <w:r w:rsidRPr="000B4917">
        <w:rPr>
          <w:rFonts w:ascii="Calibri" w:hAnsi="Calibri" w:cs="Calibri"/>
          <w:szCs w:val="22"/>
        </w:rPr>
        <w:t>ave,</w:t>
      </w:r>
      <w:r w:rsidRPr="000B4917">
        <w:rPr>
          <w:rFonts w:ascii="Calibri" w:hAnsi="Calibri" w:cs="Calibri"/>
          <w:spacing w:val="-3"/>
          <w:szCs w:val="22"/>
        </w:rPr>
        <w:t xml:space="preserve"> </w:t>
      </w:r>
      <w:proofErr w:type="gramStart"/>
      <w:r w:rsidRPr="000B4917">
        <w:rPr>
          <w:rFonts w:ascii="Calibri" w:hAnsi="Calibri" w:cs="Calibri"/>
          <w:szCs w:val="22"/>
        </w:rPr>
        <w:t>in</w:t>
      </w:r>
      <w:r w:rsidRPr="000B4917">
        <w:rPr>
          <w:rFonts w:ascii="Calibri" w:hAnsi="Calibri" w:cs="Calibri"/>
          <w:spacing w:val="-2"/>
          <w:szCs w:val="22"/>
        </w:rPr>
        <w:t xml:space="preserve"> </w:t>
      </w:r>
      <w:r w:rsidRPr="000B4917">
        <w:rPr>
          <w:rFonts w:ascii="Calibri" w:hAnsi="Calibri" w:cs="Calibri"/>
          <w:szCs w:val="22"/>
        </w:rPr>
        <w:t>the</w:t>
      </w:r>
      <w:r w:rsidRPr="000B4917">
        <w:rPr>
          <w:rFonts w:ascii="Calibri" w:hAnsi="Calibri" w:cs="Calibri"/>
          <w:spacing w:val="-2"/>
          <w:szCs w:val="22"/>
        </w:rPr>
        <w:t xml:space="preserve"> </w:t>
      </w:r>
      <w:r w:rsidRPr="000B4917">
        <w:rPr>
          <w:rFonts w:ascii="Calibri" w:hAnsi="Calibri" w:cs="Calibri"/>
          <w:szCs w:val="22"/>
        </w:rPr>
        <w:t>course</w:t>
      </w:r>
      <w:r w:rsidRPr="000B4917">
        <w:rPr>
          <w:rFonts w:ascii="Calibri" w:hAnsi="Calibri" w:cs="Calibri"/>
          <w:spacing w:val="-2"/>
          <w:szCs w:val="22"/>
        </w:rPr>
        <w:t xml:space="preserve"> </w:t>
      </w:r>
      <w:r w:rsidRPr="000B4917">
        <w:rPr>
          <w:rFonts w:ascii="Calibri" w:hAnsi="Calibri" w:cs="Calibri"/>
          <w:szCs w:val="22"/>
        </w:rPr>
        <w:t>of</w:t>
      </w:r>
      <w:proofErr w:type="gramEnd"/>
      <w:r w:rsidRPr="000B4917">
        <w:rPr>
          <w:rFonts w:ascii="Calibri" w:hAnsi="Calibri" w:cs="Calibri"/>
          <w:spacing w:val="-5"/>
          <w:szCs w:val="22"/>
        </w:rPr>
        <w:t xml:space="preserve"> </w:t>
      </w:r>
      <w:r w:rsidRPr="000B4917">
        <w:rPr>
          <w:rFonts w:ascii="Calibri" w:hAnsi="Calibri" w:cs="Calibri"/>
          <w:szCs w:val="22"/>
        </w:rPr>
        <w:t>addressing</w:t>
      </w:r>
      <w:r w:rsidRPr="000B4917">
        <w:rPr>
          <w:rFonts w:ascii="Calibri" w:hAnsi="Calibri" w:cs="Calibri"/>
          <w:spacing w:val="-4"/>
          <w:szCs w:val="22"/>
        </w:rPr>
        <w:t xml:space="preserve"> </w:t>
      </w:r>
      <w:r w:rsidRPr="000B4917">
        <w:rPr>
          <w:rFonts w:ascii="Calibri" w:hAnsi="Calibri" w:cs="Calibri"/>
          <w:szCs w:val="22"/>
        </w:rPr>
        <w:t>a</w:t>
      </w:r>
      <w:r w:rsidRPr="000B4917">
        <w:rPr>
          <w:rFonts w:ascii="Calibri" w:hAnsi="Calibri" w:cs="Calibri"/>
          <w:spacing w:val="-2"/>
          <w:szCs w:val="22"/>
        </w:rPr>
        <w:t xml:space="preserve"> </w:t>
      </w:r>
      <w:r w:rsidRPr="000B4917">
        <w:rPr>
          <w:rFonts w:ascii="Calibri" w:hAnsi="Calibri" w:cs="Calibri"/>
          <w:szCs w:val="22"/>
        </w:rPr>
        <w:t>registered</w:t>
      </w:r>
      <w:r w:rsidRPr="000B4917">
        <w:rPr>
          <w:rFonts w:ascii="Calibri" w:hAnsi="Calibri" w:cs="Calibri"/>
          <w:spacing w:val="-2"/>
          <w:szCs w:val="22"/>
        </w:rPr>
        <w:t xml:space="preserve"> </w:t>
      </w:r>
      <w:r w:rsidRPr="000B4917">
        <w:rPr>
          <w:rFonts w:ascii="Calibri" w:hAnsi="Calibri" w:cs="Calibri"/>
          <w:szCs w:val="22"/>
        </w:rPr>
        <w:t>complaint,</w:t>
      </w:r>
      <w:r w:rsidRPr="000B4917">
        <w:rPr>
          <w:rFonts w:ascii="Calibri" w:hAnsi="Calibri" w:cs="Calibri"/>
          <w:spacing w:val="-2"/>
          <w:szCs w:val="22"/>
        </w:rPr>
        <w:t xml:space="preserve"> </w:t>
      </w:r>
      <w:r w:rsidRPr="000B4917">
        <w:rPr>
          <w:rFonts w:ascii="Calibri" w:hAnsi="Calibri" w:cs="Calibri"/>
          <w:szCs w:val="22"/>
        </w:rPr>
        <w:t>had</w:t>
      </w:r>
      <w:r w:rsidRPr="000B4917">
        <w:rPr>
          <w:rFonts w:ascii="Calibri" w:hAnsi="Calibri" w:cs="Calibri"/>
          <w:spacing w:val="-2"/>
          <w:szCs w:val="22"/>
        </w:rPr>
        <w:t xml:space="preserve"> </w:t>
      </w:r>
      <w:r w:rsidRPr="000B4917">
        <w:rPr>
          <w:rFonts w:ascii="Calibri" w:hAnsi="Calibri" w:cs="Calibri"/>
          <w:szCs w:val="22"/>
        </w:rPr>
        <w:t>an</w:t>
      </w:r>
      <w:r w:rsidRPr="000B4917">
        <w:rPr>
          <w:rFonts w:ascii="Calibri" w:hAnsi="Calibri" w:cs="Calibri"/>
          <w:spacing w:val="-2"/>
          <w:szCs w:val="22"/>
        </w:rPr>
        <w:t xml:space="preserve"> </w:t>
      </w:r>
      <w:r w:rsidRPr="000B4917">
        <w:rPr>
          <w:rFonts w:ascii="Calibri" w:hAnsi="Calibri" w:cs="Calibri"/>
          <w:szCs w:val="22"/>
        </w:rPr>
        <w:t>excessive</w:t>
      </w:r>
      <w:r w:rsidRPr="000B4917">
        <w:rPr>
          <w:rFonts w:ascii="Calibri" w:hAnsi="Calibri" w:cs="Calibri"/>
          <w:spacing w:val="-2"/>
          <w:szCs w:val="22"/>
        </w:rPr>
        <w:t xml:space="preserve"> </w:t>
      </w:r>
      <w:r w:rsidRPr="000B4917">
        <w:rPr>
          <w:rFonts w:ascii="Calibri" w:hAnsi="Calibri" w:cs="Calibri"/>
          <w:szCs w:val="22"/>
        </w:rPr>
        <w:t>number</w:t>
      </w:r>
      <w:r w:rsidRPr="000B4917">
        <w:rPr>
          <w:rFonts w:ascii="Calibri" w:hAnsi="Calibri" w:cs="Calibri"/>
          <w:spacing w:val="-4"/>
          <w:szCs w:val="22"/>
        </w:rPr>
        <w:t xml:space="preserve"> </w:t>
      </w:r>
      <w:r w:rsidRPr="000B4917">
        <w:rPr>
          <w:rFonts w:ascii="Calibri" w:hAnsi="Calibri" w:cs="Calibri"/>
          <w:szCs w:val="22"/>
        </w:rPr>
        <w:t>of contacts with the Council – placing unreasonable demands on employees.</w:t>
      </w:r>
      <w:r w:rsidRPr="000B4917">
        <w:rPr>
          <w:rFonts w:ascii="Calibri" w:hAnsi="Calibri" w:cs="Calibri"/>
          <w:spacing w:val="69"/>
          <w:szCs w:val="22"/>
        </w:rPr>
        <w:t xml:space="preserve"> </w:t>
      </w:r>
      <w:r w:rsidRPr="000B4917">
        <w:rPr>
          <w:rFonts w:ascii="Calibri" w:hAnsi="Calibri" w:cs="Calibri"/>
          <w:szCs w:val="22"/>
        </w:rPr>
        <w:t>A contact may be in person, by</w:t>
      </w:r>
      <w:r w:rsidRPr="000B4917">
        <w:rPr>
          <w:rFonts w:ascii="Calibri" w:hAnsi="Calibri" w:cs="Calibri"/>
          <w:spacing w:val="-2"/>
          <w:szCs w:val="22"/>
        </w:rPr>
        <w:t xml:space="preserve"> </w:t>
      </w:r>
      <w:r w:rsidRPr="000B4917">
        <w:rPr>
          <w:rFonts w:ascii="Calibri" w:hAnsi="Calibri" w:cs="Calibri"/>
          <w:szCs w:val="22"/>
        </w:rPr>
        <w:t>telephone, letter, email or</w:t>
      </w:r>
      <w:r w:rsidRPr="000B4917">
        <w:rPr>
          <w:rFonts w:ascii="Calibri" w:hAnsi="Calibri" w:cs="Calibri"/>
          <w:spacing w:val="-3"/>
          <w:szCs w:val="22"/>
        </w:rPr>
        <w:t xml:space="preserve"> </w:t>
      </w:r>
      <w:r w:rsidRPr="000B4917">
        <w:rPr>
          <w:rFonts w:ascii="Calibri" w:hAnsi="Calibri" w:cs="Calibri"/>
          <w:szCs w:val="22"/>
        </w:rPr>
        <w:t>fax.</w:t>
      </w:r>
      <w:r w:rsidRPr="000B4917">
        <w:rPr>
          <w:rFonts w:ascii="Calibri" w:hAnsi="Calibri" w:cs="Calibri"/>
          <w:spacing w:val="40"/>
          <w:szCs w:val="22"/>
        </w:rPr>
        <w:t xml:space="preserve"> </w:t>
      </w:r>
      <w:r w:rsidRPr="000B4917">
        <w:rPr>
          <w:rFonts w:ascii="Calibri" w:hAnsi="Calibri" w:cs="Calibri"/>
          <w:szCs w:val="22"/>
        </w:rPr>
        <w:t>Judgment</w:t>
      </w:r>
      <w:r w:rsidRPr="000B4917">
        <w:rPr>
          <w:rFonts w:ascii="Calibri" w:hAnsi="Calibri" w:cs="Calibri"/>
          <w:spacing w:val="-2"/>
          <w:szCs w:val="22"/>
        </w:rPr>
        <w:t xml:space="preserve"> </w:t>
      </w:r>
      <w:r w:rsidRPr="000B4917">
        <w:rPr>
          <w:rFonts w:ascii="Calibri" w:hAnsi="Calibri" w:cs="Calibri"/>
          <w:szCs w:val="22"/>
        </w:rPr>
        <w:t xml:space="preserve">will be used to determine excessive contact </w:t>
      </w:r>
      <w:proofErr w:type="gramStart"/>
      <w:r w:rsidRPr="000B4917">
        <w:rPr>
          <w:rFonts w:ascii="Calibri" w:hAnsi="Calibri" w:cs="Calibri"/>
          <w:szCs w:val="22"/>
        </w:rPr>
        <w:t>taking into account</w:t>
      </w:r>
      <w:proofErr w:type="gramEnd"/>
      <w:r w:rsidRPr="000B4917">
        <w:rPr>
          <w:rFonts w:ascii="Calibri" w:hAnsi="Calibri" w:cs="Calibri"/>
          <w:szCs w:val="22"/>
        </w:rPr>
        <w:t xml:space="preserve"> the specific circumstances of each individual case.</w:t>
      </w:r>
    </w:p>
    <w:p w14:paraId="6F8223E9" w14:textId="77777777" w:rsidR="0041150C" w:rsidRPr="000B4917" w:rsidRDefault="0041150C" w:rsidP="00303E96">
      <w:pPr>
        <w:pStyle w:val="ListParagraph"/>
        <w:widowControl w:val="0"/>
        <w:numPr>
          <w:ilvl w:val="0"/>
          <w:numId w:val="521"/>
        </w:numPr>
        <w:tabs>
          <w:tab w:val="left" w:pos="947"/>
        </w:tabs>
        <w:autoSpaceDE w:val="0"/>
        <w:autoSpaceDN w:val="0"/>
        <w:spacing w:after="80" w:line="240" w:lineRule="auto"/>
        <w:ind w:right="104"/>
        <w:contextualSpacing w:val="0"/>
        <w:jc w:val="both"/>
        <w:rPr>
          <w:rFonts w:ascii="Calibri" w:hAnsi="Calibri" w:cs="Calibri"/>
        </w:rPr>
      </w:pPr>
      <w:r>
        <w:rPr>
          <w:rFonts w:ascii="Calibri" w:hAnsi="Calibri" w:cs="Calibri"/>
        </w:rPr>
        <w:t>h</w:t>
      </w:r>
      <w:r w:rsidRPr="000B4917">
        <w:rPr>
          <w:rFonts w:ascii="Calibri" w:hAnsi="Calibri" w:cs="Calibri"/>
        </w:rPr>
        <w:t>ave harassed or been verbally abusive on more than one occasion towards employees dealing with the complaint.</w:t>
      </w:r>
      <w:r w:rsidRPr="000B4917">
        <w:rPr>
          <w:rFonts w:ascii="Calibri" w:hAnsi="Calibri" w:cs="Calibri"/>
          <w:spacing w:val="40"/>
        </w:rPr>
        <w:t xml:space="preserve"> </w:t>
      </w:r>
      <w:r w:rsidRPr="000B4917">
        <w:rPr>
          <w:rFonts w:ascii="Calibri" w:hAnsi="Calibri" w:cs="Calibri"/>
        </w:rPr>
        <w:t>Employees recognise that complainants may sometimes act out of character in times of stress, anxiety or distress and will make reasonable allowances for this. Some complainants may have a mental health disability and there is a need to be sensitive in circumstances of that kind.</w:t>
      </w:r>
    </w:p>
    <w:p w14:paraId="6EA88539" w14:textId="77777777" w:rsidR="0041150C" w:rsidRPr="000B4917" w:rsidRDefault="0041150C" w:rsidP="00303E96">
      <w:pPr>
        <w:pStyle w:val="ListParagraph"/>
        <w:widowControl w:val="0"/>
        <w:numPr>
          <w:ilvl w:val="0"/>
          <w:numId w:val="521"/>
        </w:numPr>
        <w:tabs>
          <w:tab w:val="left" w:pos="947"/>
        </w:tabs>
        <w:autoSpaceDE w:val="0"/>
        <w:autoSpaceDN w:val="0"/>
        <w:spacing w:after="80" w:line="240" w:lineRule="auto"/>
        <w:ind w:right="105"/>
        <w:contextualSpacing w:val="0"/>
        <w:jc w:val="both"/>
        <w:rPr>
          <w:rFonts w:ascii="Calibri" w:hAnsi="Calibri" w:cs="Calibri"/>
        </w:rPr>
      </w:pPr>
      <w:r>
        <w:rPr>
          <w:rFonts w:ascii="Calibri" w:hAnsi="Calibri" w:cs="Calibri"/>
        </w:rPr>
        <w:t>a</w:t>
      </w:r>
      <w:r w:rsidRPr="000B4917">
        <w:rPr>
          <w:rFonts w:ascii="Calibri" w:hAnsi="Calibri" w:cs="Calibri"/>
        </w:rPr>
        <w:t>re</w:t>
      </w:r>
      <w:r w:rsidRPr="000B4917">
        <w:rPr>
          <w:rFonts w:ascii="Calibri" w:hAnsi="Calibri" w:cs="Calibri"/>
          <w:spacing w:val="-2"/>
        </w:rPr>
        <w:t xml:space="preserve"> </w:t>
      </w:r>
      <w:r w:rsidRPr="000B4917">
        <w:rPr>
          <w:rFonts w:ascii="Calibri" w:hAnsi="Calibri" w:cs="Calibri"/>
        </w:rPr>
        <w:t>known</w:t>
      </w:r>
      <w:r w:rsidRPr="000B4917">
        <w:rPr>
          <w:rFonts w:ascii="Calibri" w:hAnsi="Calibri" w:cs="Calibri"/>
          <w:spacing w:val="-2"/>
        </w:rPr>
        <w:t xml:space="preserve"> </w:t>
      </w:r>
      <w:r w:rsidRPr="000B4917">
        <w:rPr>
          <w:rFonts w:ascii="Calibri" w:hAnsi="Calibri" w:cs="Calibri"/>
        </w:rPr>
        <w:t>to</w:t>
      </w:r>
      <w:r w:rsidRPr="000B4917">
        <w:rPr>
          <w:rFonts w:ascii="Calibri" w:hAnsi="Calibri" w:cs="Calibri"/>
          <w:spacing w:val="-2"/>
        </w:rPr>
        <w:t xml:space="preserve"> </w:t>
      </w:r>
      <w:r w:rsidRPr="000B4917">
        <w:rPr>
          <w:rFonts w:ascii="Calibri" w:hAnsi="Calibri" w:cs="Calibri"/>
        </w:rPr>
        <w:t>have</w:t>
      </w:r>
      <w:r w:rsidRPr="000B4917">
        <w:rPr>
          <w:rFonts w:ascii="Calibri" w:hAnsi="Calibri" w:cs="Calibri"/>
          <w:spacing w:val="-2"/>
        </w:rPr>
        <w:t xml:space="preserve"> </w:t>
      </w:r>
      <w:r w:rsidRPr="000B4917">
        <w:rPr>
          <w:rFonts w:ascii="Calibri" w:hAnsi="Calibri" w:cs="Calibri"/>
        </w:rPr>
        <w:t>recorded</w:t>
      </w:r>
      <w:r w:rsidRPr="000B4917">
        <w:rPr>
          <w:rFonts w:ascii="Calibri" w:hAnsi="Calibri" w:cs="Calibri"/>
          <w:spacing w:val="-4"/>
        </w:rPr>
        <w:t xml:space="preserve"> </w:t>
      </w:r>
      <w:r w:rsidRPr="000B4917">
        <w:rPr>
          <w:rFonts w:ascii="Calibri" w:hAnsi="Calibri" w:cs="Calibri"/>
        </w:rPr>
        <w:t>meetings</w:t>
      </w:r>
      <w:r w:rsidRPr="000B4917">
        <w:rPr>
          <w:rFonts w:ascii="Calibri" w:hAnsi="Calibri" w:cs="Calibri"/>
          <w:spacing w:val="-3"/>
        </w:rPr>
        <w:t xml:space="preserve"> </w:t>
      </w:r>
      <w:r w:rsidRPr="000B4917">
        <w:rPr>
          <w:rFonts w:ascii="Calibri" w:hAnsi="Calibri" w:cs="Calibri"/>
        </w:rPr>
        <w:t>or</w:t>
      </w:r>
      <w:r w:rsidRPr="000B4917">
        <w:rPr>
          <w:rFonts w:ascii="Calibri" w:hAnsi="Calibri" w:cs="Calibri"/>
          <w:spacing w:val="-6"/>
        </w:rPr>
        <w:t xml:space="preserve"> </w:t>
      </w:r>
      <w:r w:rsidRPr="000B4917">
        <w:rPr>
          <w:rFonts w:ascii="Calibri" w:hAnsi="Calibri" w:cs="Calibri"/>
        </w:rPr>
        <w:t>face-to-face/telephone</w:t>
      </w:r>
      <w:r w:rsidRPr="000B4917">
        <w:rPr>
          <w:rFonts w:ascii="Calibri" w:hAnsi="Calibri" w:cs="Calibri"/>
          <w:spacing w:val="-2"/>
        </w:rPr>
        <w:t xml:space="preserve"> </w:t>
      </w:r>
      <w:r w:rsidRPr="000B4917">
        <w:rPr>
          <w:rFonts w:ascii="Calibri" w:hAnsi="Calibri" w:cs="Calibri"/>
        </w:rPr>
        <w:t>conversations</w:t>
      </w:r>
      <w:r w:rsidRPr="000B4917">
        <w:rPr>
          <w:rFonts w:ascii="Calibri" w:hAnsi="Calibri" w:cs="Calibri"/>
          <w:spacing w:val="-3"/>
        </w:rPr>
        <w:t xml:space="preserve"> </w:t>
      </w:r>
      <w:r w:rsidRPr="000B4917">
        <w:rPr>
          <w:rFonts w:ascii="Calibri" w:hAnsi="Calibri" w:cs="Calibri"/>
        </w:rPr>
        <w:t>without</w:t>
      </w:r>
      <w:r w:rsidRPr="000B4917">
        <w:rPr>
          <w:rFonts w:ascii="Calibri" w:hAnsi="Calibri" w:cs="Calibri"/>
          <w:spacing w:val="-3"/>
        </w:rPr>
        <w:t xml:space="preserve"> </w:t>
      </w:r>
      <w:r w:rsidRPr="000B4917">
        <w:rPr>
          <w:rFonts w:ascii="Calibri" w:hAnsi="Calibri" w:cs="Calibri"/>
        </w:rPr>
        <w:t>the</w:t>
      </w:r>
      <w:r w:rsidRPr="000B4917">
        <w:rPr>
          <w:rFonts w:ascii="Calibri" w:hAnsi="Calibri" w:cs="Calibri"/>
          <w:spacing w:val="-4"/>
        </w:rPr>
        <w:t xml:space="preserve"> </w:t>
      </w:r>
      <w:r w:rsidRPr="000B4917">
        <w:rPr>
          <w:rFonts w:ascii="Calibri" w:hAnsi="Calibri" w:cs="Calibri"/>
        </w:rPr>
        <w:t>prior knowledge and consent of other parties involved.</w:t>
      </w:r>
    </w:p>
    <w:p w14:paraId="520BC4FB" w14:textId="77777777" w:rsidR="0041150C" w:rsidRPr="000B4917" w:rsidRDefault="0041150C" w:rsidP="00303E96">
      <w:pPr>
        <w:pStyle w:val="ListParagraph"/>
        <w:widowControl w:val="0"/>
        <w:numPr>
          <w:ilvl w:val="0"/>
          <w:numId w:val="521"/>
        </w:numPr>
        <w:tabs>
          <w:tab w:val="left" w:pos="947"/>
        </w:tabs>
        <w:autoSpaceDE w:val="0"/>
        <w:autoSpaceDN w:val="0"/>
        <w:spacing w:after="80" w:line="240" w:lineRule="auto"/>
        <w:ind w:right="105"/>
        <w:contextualSpacing w:val="0"/>
        <w:jc w:val="both"/>
        <w:rPr>
          <w:rFonts w:ascii="Calibri" w:hAnsi="Calibri" w:cs="Calibri"/>
        </w:rPr>
      </w:pPr>
      <w:r>
        <w:rPr>
          <w:rFonts w:ascii="Calibri" w:hAnsi="Calibri" w:cs="Calibri"/>
        </w:rPr>
        <w:t>m</w:t>
      </w:r>
      <w:r w:rsidRPr="000B4917">
        <w:rPr>
          <w:rFonts w:ascii="Calibri" w:hAnsi="Calibri" w:cs="Calibri"/>
        </w:rPr>
        <w:t>ake unreasonable demands on the Council and its employees and fail to accept that these may be unreasonable, for example, insist on responses to complaints or enquiries being provided more urgently than is reasonable or within the Council’s complaints procedure or normal recognised practice.</w:t>
      </w:r>
    </w:p>
    <w:p w14:paraId="2890B2F7" w14:textId="77777777" w:rsidR="0041150C" w:rsidRPr="000B4917" w:rsidRDefault="0041150C" w:rsidP="00303E96">
      <w:pPr>
        <w:pStyle w:val="ListParagraph"/>
        <w:widowControl w:val="0"/>
        <w:numPr>
          <w:ilvl w:val="0"/>
          <w:numId w:val="521"/>
        </w:numPr>
        <w:tabs>
          <w:tab w:val="left" w:pos="947"/>
        </w:tabs>
        <w:autoSpaceDE w:val="0"/>
        <w:autoSpaceDN w:val="0"/>
        <w:spacing w:after="0" w:line="240" w:lineRule="auto"/>
        <w:ind w:right="107"/>
        <w:contextualSpacing w:val="0"/>
        <w:jc w:val="both"/>
        <w:rPr>
          <w:rFonts w:ascii="Calibri" w:hAnsi="Calibri" w:cs="Calibri"/>
        </w:rPr>
      </w:pPr>
      <w:r>
        <w:rPr>
          <w:rFonts w:ascii="Calibri" w:hAnsi="Calibri" w:cs="Calibri"/>
        </w:rPr>
        <w:t>m</w:t>
      </w:r>
      <w:r w:rsidRPr="000B4917">
        <w:rPr>
          <w:rFonts w:ascii="Calibri" w:hAnsi="Calibri" w:cs="Calibri"/>
        </w:rPr>
        <w:t>ake unreasonable complaints which impose a significant burden on the human resources of the Council and where the complaint:</w:t>
      </w:r>
    </w:p>
    <w:p w14:paraId="522E8924" w14:textId="77777777" w:rsidR="0041150C" w:rsidRPr="000B4917" w:rsidRDefault="0041150C" w:rsidP="00303E96">
      <w:pPr>
        <w:pStyle w:val="ListParagraph"/>
        <w:widowControl w:val="0"/>
        <w:numPr>
          <w:ilvl w:val="1"/>
          <w:numId w:val="521"/>
        </w:numPr>
        <w:tabs>
          <w:tab w:val="left" w:pos="1666"/>
          <w:tab w:val="left" w:pos="1667"/>
        </w:tabs>
        <w:autoSpaceDE w:val="0"/>
        <w:autoSpaceDN w:val="0"/>
        <w:spacing w:after="0" w:line="293" w:lineRule="exact"/>
        <w:ind w:hanging="733"/>
        <w:contextualSpacing w:val="0"/>
        <w:rPr>
          <w:rFonts w:ascii="Calibri" w:hAnsi="Calibri" w:cs="Calibri"/>
        </w:rPr>
      </w:pPr>
      <w:r>
        <w:rPr>
          <w:rFonts w:ascii="Calibri" w:hAnsi="Calibri" w:cs="Calibri"/>
        </w:rPr>
        <w:t>c</w:t>
      </w:r>
      <w:r w:rsidRPr="000B4917">
        <w:rPr>
          <w:rFonts w:ascii="Calibri" w:hAnsi="Calibri" w:cs="Calibri"/>
        </w:rPr>
        <w:t>learly</w:t>
      </w:r>
      <w:r w:rsidRPr="000B4917">
        <w:rPr>
          <w:rFonts w:ascii="Calibri" w:hAnsi="Calibri" w:cs="Calibri"/>
          <w:spacing w:val="-5"/>
        </w:rPr>
        <w:t xml:space="preserve"> </w:t>
      </w:r>
      <w:r w:rsidRPr="000B4917">
        <w:rPr>
          <w:rFonts w:ascii="Calibri" w:hAnsi="Calibri" w:cs="Calibri"/>
        </w:rPr>
        <w:t>does</w:t>
      </w:r>
      <w:r w:rsidRPr="000B4917">
        <w:rPr>
          <w:rFonts w:ascii="Calibri" w:hAnsi="Calibri" w:cs="Calibri"/>
          <w:spacing w:val="-2"/>
        </w:rPr>
        <w:t xml:space="preserve"> </w:t>
      </w:r>
      <w:r w:rsidRPr="000B4917">
        <w:rPr>
          <w:rFonts w:ascii="Calibri" w:hAnsi="Calibri" w:cs="Calibri"/>
        </w:rPr>
        <w:t>not</w:t>
      </w:r>
      <w:r w:rsidRPr="000B4917">
        <w:rPr>
          <w:rFonts w:ascii="Calibri" w:hAnsi="Calibri" w:cs="Calibri"/>
          <w:spacing w:val="-4"/>
        </w:rPr>
        <w:t xml:space="preserve"> </w:t>
      </w:r>
      <w:r w:rsidRPr="000B4917">
        <w:rPr>
          <w:rFonts w:ascii="Calibri" w:hAnsi="Calibri" w:cs="Calibri"/>
        </w:rPr>
        <w:t>have</w:t>
      </w:r>
      <w:r w:rsidRPr="000B4917">
        <w:rPr>
          <w:rFonts w:ascii="Calibri" w:hAnsi="Calibri" w:cs="Calibri"/>
          <w:spacing w:val="-3"/>
        </w:rPr>
        <w:t xml:space="preserve"> </w:t>
      </w:r>
      <w:r w:rsidRPr="000B4917">
        <w:rPr>
          <w:rFonts w:ascii="Calibri" w:hAnsi="Calibri" w:cs="Calibri"/>
        </w:rPr>
        <w:t>any</w:t>
      </w:r>
      <w:r w:rsidRPr="000B4917">
        <w:rPr>
          <w:rFonts w:ascii="Calibri" w:hAnsi="Calibri" w:cs="Calibri"/>
          <w:spacing w:val="-4"/>
        </w:rPr>
        <w:t xml:space="preserve"> </w:t>
      </w:r>
      <w:r w:rsidRPr="000B4917">
        <w:rPr>
          <w:rFonts w:ascii="Calibri" w:hAnsi="Calibri" w:cs="Calibri"/>
        </w:rPr>
        <w:t>serious</w:t>
      </w:r>
      <w:r w:rsidRPr="000B4917">
        <w:rPr>
          <w:rFonts w:ascii="Calibri" w:hAnsi="Calibri" w:cs="Calibri"/>
          <w:spacing w:val="-2"/>
        </w:rPr>
        <w:t xml:space="preserve"> </w:t>
      </w:r>
      <w:r w:rsidRPr="000B4917">
        <w:rPr>
          <w:rFonts w:ascii="Calibri" w:hAnsi="Calibri" w:cs="Calibri"/>
        </w:rPr>
        <w:t>purpose</w:t>
      </w:r>
      <w:r w:rsidRPr="000B4917">
        <w:rPr>
          <w:rFonts w:ascii="Calibri" w:hAnsi="Calibri" w:cs="Calibri"/>
          <w:spacing w:val="-3"/>
        </w:rPr>
        <w:t xml:space="preserve"> </w:t>
      </w:r>
      <w:r w:rsidRPr="000B4917">
        <w:rPr>
          <w:rFonts w:ascii="Calibri" w:hAnsi="Calibri" w:cs="Calibri"/>
        </w:rPr>
        <w:t>or</w:t>
      </w:r>
      <w:r w:rsidRPr="000B4917">
        <w:rPr>
          <w:rFonts w:ascii="Calibri" w:hAnsi="Calibri" w:cs="Calibri"/>
          <w:spacing w:val="-5"/>
        </w:rPr>
        <w:t xml:space="preserve"> </w:t>
      </w:r>
      <w:r w:rsidRPr="000B4917">
        <w:rPr>
          <w:rFonts w:ascii="Calibri" w:hAnsi="Calibri" w:cs="Calibri"/>
        </w:rPr>
        <w:t>value;</w:t>
      </w:r>
      <w:r w:rsidRPr="000B4917">
        <w:rPr>
          <w:rFonts w:ascii="Calibri" w:hAnsi="Calibri" w:cs="Calibri"/>
          <w:spacing w:val="-2"/>
        </w:rPr>
        <w:t xml:space="preserve"> </w:t>
      </w:r>
      <w:r w:rsidRPr="000B4917">
        <w:rPr>
          <w:rFonts w:ascii="Calibri" w:hAnsi="Calibri" w:cs="Calibri"/>
          <w:spacing w:val="-5"/>
        </w:rPr>
        <w:t>or</w:t>
      </w:r>
    </w:p>
    <w:p w14:paraId="5E501AFE" w14:textId="77777777" w:rsidR="0041150C" w:rsidRPr="000B4917" w:rsidRDefault="0041150C" w:rsidP="00303E96">
      <w:pPr>
        <w:pStyle w:val="ListParagraph"/>
        <w:widowControl w:val="0"/>
        <w:numPr>
          <w:ilvl w:val="1"/>
          <w:numId w:val="521"/>
        </w:numPr>
        <w:tabs>
          <w:tab w:val="left" w:pos="1666"/>
          <w:tab w:val="left" w:pos="1667"/>
        </w:tabs>
        <w:autoSpaceDE w:val="0"/>
        <w:autoSpaceDN w:val="0"/>
        <w:spacing w:after="0" w:line="292" w:lineRule="exact"/>
        <w:ind w:hanging="733"/>
        <w:contextualSpacing w:val="0"/>
        <w:rPr>
          <w:rFonts w:ascii="Calibri" w:hAnsi="Calibri" w:cs="Calibri"/>
        </w:rPr>
      </w:pPr>
      <w:r>
        <w:rPr>
          <w:rFonts w:ascii="Calibri" w:hAnsi="Calibri" w:cs="Calibri"/>
        </w:rPr>
        <w:lastRenderedPageBreak/>
        <w:t>i</w:t>
      </w:r>
      <w:r w:rsidRPr="000B4917">
        <w:rPr>
          <w:rFonts w:ascii="Calibri" w:hAnsi="Calibri" w:cs="Calibri"/>
        </w:rPr>
        <w:t>s</w:t>
      </w:r>
      <w:r w:rsidRPr="000B4917">
        <w:rPr>
          <w:rFonts w:ascii="Calibri" w:hAnsi="Calibri" w:cs="Calibri"/>
          <w:spacing w:val="-5"/>
        </w:rPr>
        <w:t xml:space="preserve"> </w:t>
      </w:r>
      <w:r w:rsidRPr="000B4917">
        <w:rPr>
          <w:rFonts w:ascii="Calibri" w:hAnsi="Calibri" w:cs="Calibri"/>
        </w:rPr>
        <w:t>designed</w:t>
      </w:r>
      <w:r w:rsidRPr="000B4917">
        <w:rPr>
          <w:rFonts w:ascii="Calibri" w:hAnsi="Calibri" w:cs="Calibri"/>
          <w:spacing w:val="-4"/>
        </w:rPr>
        <w:t xml:space="preserve"> </w:t>
      </w:r>
      <w:r w:rsidRPr="000B4917">
        <w:rPr>
          <w:rFonts w:ascii="Calibri" w:hAnsi="Calibri" w:cs="Calibri"/>
        </w:rPr>
        <w:t>to</w:t>
      </w:r>
      <w:r w:rsidRPr="000B4917">
        <w:rPr>
          <w:rFonts w:ascii="Calibri" w:hAnsi="Calibri" w:cs="Calibri"/>
          <w:spacing w:val="-4"/>
        </w:rPr>
        <w:t xml:space="preserve"> </w:t>
      </w:r>
      <w:r w:rsidRPr="000B4917">
        <w:rPr>
          <w:rFonts w:ascii="Calibri" w:hAnsi="Calibri" w:cs="Calibri"/>
        </w:rPr>
        <w:t>cause</w:t>
      </w:r>
      <w:r w:rsidRPr="000B4917">
        <w:rPr>
          <w:rFonts w:ascii="Calibri" w:hAnsi="Calibri" w:cs="Calibri"/>
          <w:spacing w:val="-2"/>
        </w:rPr>
        <w:t xml:space="preserve"> </w:t>
      </w:r>
      <w:r w:rsidRPr="000B4917">
        <w:rPr>
          <w:rFonts w:ascii="Calibri" w:hAnsi="Calibri" w:cs="Calibri"/>
        </w:rPr>
        <w:t>disruption</w:t>
      </w:r>
      <w:r w:rsidRPr="000B4917">
        <w:rPr>
          <w:rFonts w:ascii="Calibri" w:hAnsi="Calibri" w:cs="Calibri"/>
          <w:spacing w:val="-4"/>
        </w:rPr>
        <w:t xml:space="preserve"> </w:t>
      </w:r>
      <w:r w:rsidRPr="000B4917">
        <w:rPr>
          <w:rFonts w:ascii="Calibri" w:hAnsi="Calibri" w:cs="Calibri"/>
        </w:rPr>
        <w:t>or</w:t>
      </w:r>
      <w:r w:rsidRPr="000B4917">
        <w:rPr>
          <w:rFonts w:ascii="Calibri" w:hAnsi="Calibri" w:cs="Calibri"/>
          <w:spacing w:val="-4"/>
        </w:rPr>
        <w:t xml:space="preserve"> </w:t>
      </w:r>
      <w:r w:rsidRPr="000B4917">
        <w:rPr>
          <w:rFonts w:ascii="Calibri" w:hAnsi="Calibri" w:cs="Calibri"/>
        </w:rPr>
        <w:t>annoyance;</w:t>
      </w:r>
      <w:r w:rsidRPr="000B4917">
        <w:rPr>
          <w:rFonts w:ascii="Calibri" w:hAnsi="Calibri" w:cs="Calibri"/>
          <w:spacing w:val="-4"/>
        </w:rPr>
        <w:t xml:space="preserve"> </w:t>
      </w:r>
      <w:r w:rsidRPr="000B4917">
        <w:rPr>
          <w:rFonts w:ascii="Calibri" w:hAnsi="Calibri" w:cs="Calibri"/>
          <w:spacing w:val="-5"/>
        </w:rPr>
        <w:t>or</w:t>
      </w:r>
    </w:p>
    <w:p w14:paraId="42287836" w14:textId="77777777" w:rsidR="0041150C" w:rsidRPr="000B4917" w:rsidRDefault="0041150C" w:rsidP="00303E96">
      <w:pPr>
        <w:pStyle w:val="ListParagraph"/>
        <w:widowControl w:val="0"/>
        <w:numPr>
          <w:ilvl w:val="1"/>
          <w:numId w:val="521"/>
        </w:numPr>
        <w:tabs>
          <w:tab w:val="left" w:pos="1666"/>
          <w:tab w:val="left" w:pos="1667"/>
        </w:tabs>
        <w:autoSpaceDE w:val="0"/>
        <w:autoSpaceDN w:val="0"/>
        <w:spacing w:after="0" w:line="292" w:lineRule="exact"/>
        <w:ind w:hanging="733"/>
        <w:contextualSpacing w:val="0"/>
        <w:rPr>
          <w:rFonts w:ascii="Calibri" w:hAnsi="Calibri" w:cs="Calibri"/>
        </w:rPr>
      </w:pPr>
      <w:r>
        <w:rPr>
          <w:rFonts w:ascii="Calibri" w:hAnsi="Calibri" w:cs="Calibri"/>
        </w:rPr>
        <w:t>h</w:t>
      </w:r>
      <w:r w:rsidRPr="000B4917">
        <w:rPr>
          <w:rFonts w:ascii="Calibri" w:hAnsi="Calibri" w:cs="Calibri"/>
        </w:rPr>
        <w:t>as</w:t>
      </w:r>
      <w:r w:rsidRPr="000B4917">
        <w:rPr>
          <w:rFonts w:ascii="Calibri" w:hAnsi="Calibri" w:cs="Calibri"/>
          <w:spacing w:val="-4"/>
        </w:rPr>
        <w:t xml:space="preserve"> </w:t>
      </w:r>
      <w:r w:rsidRPr="000B4917">
        <w:rPr>
          <w:rFonts w:ascii="Calibri" w:hAnsi="Calibri" w:cs="Calibri"/>
        </w:rPr>
        <w:t>the</w:t>
      </w:r>
      <w:r w:rsidRPr="000B4917">
        <w:rPr>
          <w:rFonts w:ascii="Calibri" w:hAnsi="Calibri" w:cs="Calibri"/>
          <w:spacing w:val="-4"/>
        </w:rPr>
        <w:t xml:space="preserve"> </w:t>
      </w:r>
      <w:r w:rsidRPr="000B4917">
        <w:rPr>
          <w:rFonts w:ascii="Calibri" w:hAnsi="Calibri" w:cs="Calibri"/>
        </w:rPr>
        <w:t>effect</w:t>
      </w:r>
      <w:r w:rsidRPr="000B4917">
        <w:rPr>
          <w:rFonts w:ascii="Calibri" w:hAnsi="Calibri" w:cs="Calibri"/>
          <w:spacing w:val="-5"/>
        </w:rPr>
        <w:t xml:space="preserve"> </w:t>
      </w:r>
      <w:r w:rsidRPr="000B4917">
        <w:rPr>
          <w:rFonts w:ascii="Calibri" w:hAnsi="Calibri" w:cs="Calibri"/>
        </w:rPr>
        <w:t>of harassing</w:t>
      </w:r>
      <w:r w:rsidRPr="000B4917">
        <w:rPr>
          <w:rFonts w:ascii="Calibri" w:hAnsi="Calibri" w:cs="Calibri"/>
          <w:spacing w:val="-4"/>
        </w:rPr>
        <w:t xml:space="preserve"> </w:t>
      </w:r>
      <w:r w:rsidRPr="000B4917">
        <w:rPr>
          <w:rFonts w:ascii="Calibri" w:hAnsi="Calibri" w:cs="Calibri"/>
        </w:rPr>
        <w:t>the</w:t>
      </w:r>
      <w:r w:rsidRPr="000B4917">
        <w:rPr>
          <w:rFonts w:ascii="Calibri" w:hAnsi="Calibri" w:cs="Calibri"/>
          <w:spacing w:val="-3"/>
        </w:rPr>
        <w:t xml:space="preserve"> </w:t>
      </w:r>
      <w:r w:rsidRPr="000B4917">
        <w:rPr>
          <w:rFonts w:ascii="Calibri" w:hAnsi="Calibri" w:cs="Calibri"/>
        </w:rPr>
        <w:t>public</w:t>
      </w:r>
      <w:r w:rsidRPr="000B4917">
        <w:rPr>
          <w:rFonts w:ascii="Calibri" w:hAnsi="Calibri" w:cs="Calibri"/>
          <w:spacing w:val="-3"/>
        </w:rPr>
        <w:t xml:space="preserve"> </w:t>
      </w:r>
      <w:r w:rsidRPr="000B4917">
        <w:rPr>
          <w:rFonts w:ascii="Calibri" w:hAnsi="Calibri" w:cs="Calibri"/>
        </w:rPr>
        <w:t>authority;</w:t>
      </w:r>
      <w:r w:rsidRPr="000B4917">
        <w:rPr>
          <w:rFonts w:ascii="Calibri" w:hAnsi="Calibri" w:cs="Calibri"/>
          <w:spacing w:val="-2"/>
        </w:rPr>
        <w:t xml:space="preserve"> </w:t>
      </w:r>
      <w:r w:rsidRPr="000B4917">
        <w:rPr>
          <w:rFonts w:ascii="Calibri" w:hAnsi="Calibri" w:cs="Calibri"/>
          <w:spacing w:val="-5"/>
        </w:rPr>
        <w:t>or</w:t>
      </w:r>
    </w:p>
    <w:p w14:paraId="259885B6" w14:textId="77777777" w:rsidR="0041150C" w:rsidRPr="000B4917" w:rsidRDefault="0041150C" w:rsidP="00303E96">
      <w:pPr>
        <w:pStyle w:val="ListParagraph"/>
        <w:widowControl w:val="0"/>
        <w:numPr>
          <w:ilvl w:val="1"/>
          <w:numId w:val="521"/>
        </w:numPr>
        <w:tabs>
          <w:tab w:val="left" w:pos="1666"/>
          <w:tab w:val="left" w:pos="1667"/>
        </w:tabs>
        <w:autoSpaceDE w:val="0"/>
        <w:autoSpaceDN w:val="0"/>
        <w:spacing w:after="0" w:line="293" w:lineRule="exact"/>
        <w:ind w:hanging="733"/>
        <w:contextualSpacing w:val="0"/>
        <w:rPr>
          <w:rFonts w:ascii="Calibri" w:hAnsi="Calibri" w:cs="Calibri"/>
        </w:rPr>
      </w:pPr>
      <w:r>
        <w:rPr>
          <w:rFonts w:ascii="Calibri" w:hAnsi="Calibri" w:cs="Calibri"/>
        </w:rPr>
        <w:t>c</w:t>
      </w:r>
      <w:r w:rsidRPr="000B4917">
        <w:rPr>
          <w:rFonts w:ascii="Calibri" w:hAnsi="Calibri" w:cs="Calibri"/>
        </w:rPr>
        <w:t>an</w:t>
      </w:r>
      <w:r w:rsidRPr="000B4917">
        <w:rPr>
          <w:rFonts w:ascii="Calibri" w:hAnsi="Calibri" w:cs="Calibri"/>
          <w:spacing w:val="-3"/>
        </w:rPr>
        <w:t xml:space="preserve"> </w:t>
      </w:r>
      <w:r w:rsidRPr="000B4917">
        <w:rPr>
          <w:rFonts w:ascii="Calibri" w:hAnsi="Calibri" w:cs="Calibri"/>
        </w:rPr>
        <w:t>otherwise</w:t>
      </w:r>
      <w:r w:rsidRPr="000B4917">
        <w:rPr>
          <w:rFonts w:ascii="Calibri" w:hAnsi="Calibri" w:cs="Calibri"/>
          <w:spacing w:val="-3"/>
        </w:rPr>
        <w:t xml:space="preserve"> </w:t>
      </w:r>
      <w:r w:rsidRPr="000B4917">
        <w:rPr>
          <w:rFonts w:ascii="Calibri" w:hAnsi="Calibri" w:cs="Calibri"/>
        </w:rPr>
        <w:t>fairly</w:t>
      </w:r>
      <w:r w:rsidRPr="000B4917">
        <w:rPr>
          <w:rFonts w:ascii="Calibri" w:hAnsi="Calibri" w:cs="Calibri"/>
          <w:spacing w:val="-6"/>
        </w:rPr>
        <w:t xml:space="preserve"> </w:t>
      </w:r>
      <w:r w:rsidRPr="000B4917">
        <w:rPr>
          <w:rFonts w:ascii="Calibri" w:hAnsi="Calibri" w:cs="Calibri"/>
        </w:rPr>
        <w:t>be</w:t>
      </w:r>
      <w:r w:rsidRPr="000B4917">
        <w:rPr>
          <w:rFonts w:ascii="Calibri" w:hAnsi="Calibri" w:cs="Calibri"/>
          <w:spacing w:val="-2"/>
        </w:rPr>
        <w:t xml:space="preserve"> </w:t>
      </w:r>
      <w:r w:rsidRPr="000B4917">
        <w:rPr>
          <w:rFonts w:ascii="Calibri" w:hAnsi="Calibri" w:cs="Calibri"/>
        </w:rPr>
        <w:t>characterised</w:t>
      </w:r>
      <w:r w:rsidRPr="000B4917">
        <w:rPr>
          <w:rFonts w:ascii="Calibri" w:hAnsi="Calibri" w:cs="Calibri"/>
          <w:spacing w:val="-3"/>
        </w:rPr>
        <w:t xml:space="preserve"> </w:t>
      </w:r>
      <w:r w:rsidRPr="000B4917">
        <w:rPr>
          <w:rFonts w:ascii="Calibri" w:hAnsi="Calibri" w:cs="Calibri"/>
        </w:rPr>
        <w:t>as</w:t>
      </w:r>
      <w:r w:rsidRPr="000B4917">
        <w:rPr>
          <w:rFonts w:ascii="Calibri" w:hAnsi="Calibri" w:cs="Calibri"/>
          <w:spacing w:val="-6"/>
        </w:rPr>
        <w:t xml:space="preserve"> </w:t>
      </w:r>
      <w:r w:rsidRPr="000B4917">
        <w:rPr>
          <w:rFonts w:ascii="Calibri" w:hAnsi="Calibri" w:cs="Calibri"/>
        </w:rPr>
        <w:t>obsessive</w:t>
      </w:r>
      <w:r w:rsidRPr="000B4917">
        <w:rPr>
          <w:rFonts w:ascii="Calibri" w:hAnsi="Calibri" w:cs="Calibri"/>
          <w:spacing w:val="-2"/>
        </w:rPr>
        <w:t xml:space="preserve"> </w:t>
      </w:r>
      <w:r w:rsidRPr="000B4917">
        <w:rPr>
          <w:rFonts w:ascii="Calibri" w:hAnsi="Calibri" w:cs="Calibri"/>
        </w:rPr>
        <w:t>or</w:t>
      </w:r>
      <w:r w:rsidRPr="000B4917">
        <w:rPr>
          <w:rFonts w:ascii="Calibri" w:hAnsi="Calibri" w:cs="Calibri"/>
          <w:spacing w:val="-5"/>
        </w:rPr>
        <w:t xml:space="preserve"> </w:t>
      </w:r>
      <w:r w:rsidRPr="000B4917">
        <w:rPr>
          <w:rFonts w:ascii="Calibri" w:hAnsi="Calibri" w:cs="Calibri"/>
        </w:rPr>
        <w:t>manifestly</w:t>
      </w:r>
      <w:r w:rsidRPr="000B4917">
        <w:rPr>
          <w:rFonts w:ascii="Calibri" w:hAnsi="Calibri" w:cs="Calibri"/>
          <w:spacing w:val="-6"/>
        </w:rPr>
        <w:t xml:space="preserve"> </w:t>
      </w:r>
      <w:r w:rsidRPr="000B4917">
        <w:rPr>
          <w:rFonts w:ascii="Calibri" w:hAnsi="Calibri" w:cs="Calibri"/>
          <w:spacing w:val="-2"/>
        </w:rPr>
        <w:t>unreasonable.</w:t>
      </w:r>
    </w:p>
    <w:p w14:paraId="674E65A4" w14:textId="77777777" w:rsidR="0041150C" w:rsidRPr="000B4917" w:rsidRDefault="0041150C" w:rsidP="00303E96">
      <w:pPr>
        <w:pStyle w:val="ListParagraph"/>
        <w:widowControl w:val="0"/>
        <w:numPr>
          <w:ilvl w:val="0"/>
          <w:numId w:val="521"/>
        </w:numPr>
        <w:tabs>
          <w:tab w:val="left" w:pos="935"/>
        </w:tabs>
        <w:autoSpaceDE w:val="0"/>
        <w:autoSpaceDN w:val="0"/>
        <w:spacing w:before="80" w:after="0" w:line="240" w:lineRule="auto"/>
        <w:ind w:left="934" w:right="107" w:hanging="708"/>
        <w:contextualSpacing w:val="0"/>
        <w:jc w:val="both"/>
        <w:rPr>
          <w:rFonts w:ascii="Calibri" w:hAnsi="Calibri" w:cs="Calibri"/>
        </w:rPr>
      </w:pPr>
      <w:r>
        <w:rPr>
          <w:rFonts w:ascii="Calibri" w:hAnsi="Calibri" w:cs="Calibri"/>
        </w:rPr>
        <w:t>m</w:t>
      </w:r>
      <w:r w:rsidRPr="000B4917">
        <w:rPr>
          <w:rFonts w:ascii="Calibri" w:hAnsi="Calibri" w:cs="Calibri"/>
        </w:rPr>
        <w:t>ake repetitive complaints and allegations which ignore the replies which Council Officers</w:t>
      </w:r>
      <w:r w:rsidRPr="000B4917">
        <w:rPr>
          <w:rFonts w:ascii="Calibri" w:hAnsi="Calibri" w:cs="Calibri"/>
          <w:spacing w:val="40"/>
        </w:rPr>
        <w:t xml:space="preserve"> </w:t>
      </w:r>
      <w:r w:rsidRPr="000B4917">
        <w:rPr>
          <w:rFonts w:ascii="Calibri" w:hAnsi="Calibri" w:cs="Calibri"/>
        </w:rPr>
        <w:t>have supplied in previous correspondence.</w:t>
      </w:r>
    </w:p>
    <w:p w14:paraId="459E2C34" w14:textId="77777777" w:rsidR="0041150C" w:rsidRPr="000B4917" w:rsidRDefault="0041150C" w:rsidP="0041150C">
      <w:pPr>
        <w:pStyle w:val="BodyText"/>
        <w:spacing w:before="200" w:after="0"/>
        <w:ind w:left="226"/>
        <w:rPr>
          <w:rFonts w:ascii="Calibri" w:hAnsi="Calibri" w:cs="Calibri"/>
          <w:szCs w:val="22"/>
        </w:rPr>
      </w:pPr>
      <w:r w:rsidRPr="000B4917">
        <w:rPr>
          <w:rFonts w:ascii="Calibri" w:hAnsi="Calibri" w:cs="Calibri"/>
          <w:szCs w:val="22"/>
          <w:u w:val="single"/>
        </w:rPr>
        <w:t>Schedule</w:t>
      </w:r>
      <w:r w:rsidRPr="000B4917">
        <w:rPr>
          <w:rFonts w:ascii="Calibri" w:hAnsi="Calibri" w:cs="Calibri"/>
          <w:spacing w:val="-2"/>
          <w:szCs w:val="22"/>
          <w:u w:val="single"/>
        </w:rPr>
        <w:t xml:space="preserve"> </w:t>
      </w:r>
      <w:r w:rsidRPr="000B4917">
        <w:rPr>
          <w:rFonts w:ascii="Calibri" w:hAnsi="Calibri" w:cs="Calibri"/>
          <w:szCs w:val="22"/>
          <w:u w:val="single"/>
        </w:rPr>
        <w:t>B</w:t>
      </w:r>
      <w:r w:rsidRPr="000B4917">
        <w:rPr>
          <w:rFonts w:ascii="Calibri" w:hAnsi="Calibri" w:cs="Calibri"/>
          <w:spacing w:val="-5"/>
          <w:szCs w:val="22"/>
          <w:u w:val="single"/>
        </w:rPr>
        <w:t xml:space="preserve"> </w:t>
      </w:r>
      <w:r w:rsidRPr="000B4917">
        <w:rPr>
          <w:rFonts w:ascii="Calibri" w:hAnsi="Calibri" w:cs="Calibri"/>
          <w:szCs w:val="22"/>
          <w:u w:val="single"/>
        </w:rPr>
        <w:t>–</w:t>
      </w:r>
      <w:r w:rsidRPr="000B4917">
        <w:rPr>
          <w:rFonts w:ascii="Calibri" w:hAnsi="Calibri" w:cs="Calibri"/>
          <w:spacing w:val="-3"/>
          <w:szCs w:val="22"/>
          <w:u w:val="single"/>
        </w:rPr>
        <w:t xml:space="preserve"> </w:t>
      </w:r>
      <w:r w:rsidRPr="000B4917">
        <w:rPr>
          <w:rFonts w:ascii="Calibri" w:hAnsi="Calibri" w:cs="Calibri"/>
          <w:szCs w:val="22"/>
          <w:u w:val="single"/>
        </w:rPr>
        <w:t>Options</w:t>
      </w:r>
      <w:r w:rsidRPr="000B4917">
        <w:rPr>
          <w:rFonts w:ascii="Calibri" w:hAnsi="Calibri" w:cs="Calibri"/>
          <w:spacing w:val="-5"/>
          <w:szCs w:val="22"/>
          <w:u w:val="single"/>
        </w:rPr>
        <w:t xml:space="preserve"> </w:t>
      </w:r>
      <w:r w:rsidRPr="000B4917">
        <w:rPr>
          <w:rFonts w:ascii="Calibri" w:hAnsi="Calibri" w:cs="Calibri"/>
          <w:szCs w:val="22"/>
          <w:u w:val="single"/>
        </w:rPr>
        <w:t>for</w:t>
      </w:r>
      <w:r w:rsidRPr="000B4917">
        <w:rPr>
          <w:rFonts w:ascii="Calibri" w:hAnsi="Calibri" w:cs="Calibri"/>
          <w:spacing w:val="-3"/>
          <w:szCs w:val="22"/>
          <w:u w:val="single"/>
        </w:rPr>
        <w:t xml:space="preserve"> </w:t>
      </w:r>
      <w:r w:rsidRPr="000B4917">
        <w:rPr>
          <w:rFonts w:ascii="Calibri" w:hAnsi="Calibri" w:cs="Calibri"/>
          <w:szCs w:val="22"/>
          <w:u w:val="single"/>
        </w:rPr>
        <w:t>Dealing</w:t>
      </w:r>
      <w:r w:rsidRPr="000B4917">
        <w:rPr>
          <w:rFonts w:ascii="Calibri" w:hAnsi="Calibri" w:cs="Calibri"/>
          <w:spacing w:val="-4"/>
          <w:szCs w:val="22"/>
          <w:u w:val="single"/>
        </w:rPr>
        <w:t xml:space="preserve"> </w:t>
      </w:r>
      <w:r w:rsidRPr="000B4917">
        <w:rPr>
          <w:rFonts w:ascii="Calibri" w:hAnsi="Calibri" w:cs="Calibri"/>
          <w:szCs w:val="22"/>
          <w:u w:val="single"/>
        </w:rPr>
        <w:t>with</w:t>
      </w:r>
      <w:r w:rsidRPr="000B4917">
        <w:rPr>
          <w:rFonts w:ascii="Calibri" w:hAnsi="Calibri" w:cs="Calibri"/>
          <w:spacing w:val="-2"/>
          <w:szCs w:val="22"/>
          <w:u w:val="single"/>
        </w:rPr>
        <w:t xml:space="preserve"> </w:t>
      </w:r>
      <w:r w:rsidRPr="000B4917">
        <w:rPr>
          <w:rFonts w:ascii="Calibri" w:hAnsi="Calibri" w:cs="Calibri"/>
          <w:szCs w:val="22"/>
          <w:u w:val="single"/>
        </w:rPr>
        <w:t>Habitual</w:t>
      </w:r>
      <w:r w:rsidRPr="000B4917">
        <w:rPr>
          <w:rFonts w:ascii="Calibri" w:hAnsi="Calibri" w:cs="Calibri"/>
          <w:spacing w:val="-2"/>
          <w:szCs w:val="22"/>
          <w:u w:val="single"/>
        </w:rPr>
        <w:t xml:space="preserve"> </w:t>
      </w:r>
      <w:r w:rsidRPr="000B4917">
        <w:rPr>
          <w:rFonts w:ascii="Calibri" w:hAnsi="Calibri" w:cs="Calibri"/>
          <w:szCs w:val="22"/>
          <w:u w:val="single"/>
        </w:rPr>
        <w:t>or</w:t>
      </w:r>
      <w:r w:rsidRPr="000B4917">
        <w:rPr>
          <w:rFonts w:ascii="Calibri" w:hAnsi="Calibri" w:cs="Calibri"/>
          <w:spacing w:val="-4"/>
          <w:szCs w:val="22"/>
          <w:u w:val="single"/>
        </w:rPr>
        <w:t xml:space="preserve"> </w:t>
      </w:r>
      <w:r w:rsidRPr="000B4917">
        <w:rPr>
          <w:rFonts w:ascii="Calibri" w:hAnsi="Calibri" w:cs="Calibri"/>
          <w:szCs w:val="22"/>
          <w:u w:val="single"/>
        </w:rPr>
        <w:t>Vexatious</w:t>
      </w:r>
      <w:r w:rsidRPr="000B4917">
        <w:rPr>
          <w:rFonts w:ascii="Calibri" w:hAnsi="Calibri" w:cs="Calibri"/>
          <w:spacing w:val="-4"/>
          <w:szCs w:val="22"/>
          <w:u w:val="single"/>
        </w:rPr>
        <w:t xml:space="preserve"> </w:t>
      </w:r>
      <w:r w:rsidRPr="000B4917">
        <w:rPr>
          <w:rFonts w:ascii="Calibri" w:hAnsi="Calibri" w:cs="Calibri"/>
          <w:spacing w:val="-2"/>
          <w:szCs w:val="22"/>
          <w:u w:val="single"/>
        </w:rPr>
        <w:t>Complainants</w:t>
      </w:r>
    </w:p>
    <w:p w14:paraId="6012A8BF" w14:textId="77777777" w:rsidR="0041150C" w:rsidRPr="000B4917" w:rsidRDefault="0041150C" w:rsidP="0041150C">
      <w:pPr>
        <w:pStyle w:val="BodyText"/>
        <w:ind w:left="226"/>
        <w:rPr>
          <w:rFonts w:ascii="Calibri" w:hAnsi="Calibri" w:cs="Calibri"/>
          <w:szCs w:val="22"/>
        </w:rPr>
      </w:pPr>
      <w:r w:rsidRPr="000B4917">
        <w:rPr>
          <w:rFonts w:ascii="Calibri" w:hAnsi="Calibri" w:cs="Calibri"/>
          <w:szCs w:val="22"/>
        </w:rPr>
        <w:t>The options below can be used singularly or in combination depending on the circumstances of the</w:t>
      </w:r>
      <w:r w:rsidRPr="000B4917">
        <w:rPr>
          <w:rFonts w:ascii="Calibri" w:hAnsi="Calibri" w:cs="Calibri"/>
          <w:spacing w:val="80"/>
          <w:szCs w:val="22"/>
        </w:rPr>
        <w:t xml:space="preserve"> </w:t>
      </w:r>
      <w:r w:rsidRPr="000B4917">
        <w:rPr>
          <w:rFonts w:ascii="Calibri" w:hAnsi="Calibri" w:cs="Calibri"/>
          <w:szCs w:val="22"/>
        </w:rPr>
        <w:t>case and whether the complaint process is ongoing or completed.</w:t>
      </w:r>
    </w:p>
    <w:p w14:paraId="46E089C4" w14:textId="77777777" w:rsidR="0041150C" w:rsidRPr="000B4917" w:rsidRDefault="0041150C" w:rsidP="00303E96">
      <w:pPr>
        <w:pStyle w:val="ListParagraph"/>
        <w:widowControl w:val="0"/>
        <w:numPr>
          <w:ilvl w:val="0"/>
          <w:numId w:val="522"/>
        </w:numPr>
        <w:tabs>
          <w:tab w:val="left" w:pos="947"/>
        </w:tabs>
        <w:autoSpaceDE w:val="0"/>
        <w:autoSpaceDN w:val="0"/>
        <w:spacing w:before="120" w:after="0" w:line="240" w:lineRule="auto"/>
        <w:ind w:right="105"/>
        <w:contextualSpacing w:val="0"/>
        <w:jc w:val="both"/>
        <w:rPr>
          <w:rFonts w:ascii="Calibri" w:hAnsi="Calibri" w:cs="Calibri"/>
        </w:rPr>
      </w:pPr>
      <w:r w:rsidRPr="000B4917">
        <w:rPr>
          <w:rFonts w:ascii="Calibri" w:hAnsi="Calibri" w:cs="Calibri"/>
        </w:rPr>
        <w:t>A letter to the complainant setting</w:t>
      </w:r>
      <w:r w:rsidRPr="000B4917">
        <w:rPr>
          <w:rFonts w:ascii="Calibri" w:hAnsi="Calibri" w:cs="Calibri"/>
          <w:spacing w:val="-1"/>
        </w:rPr>
        <w:t xml:space="preserve"> </w:t>
      </w:r>
      <w:r w:rsidRPr="000B4917">
        <w:rPr>
          <w:rFonts w:ascii="Calibri" w:hAnsi="Calibri" w:cs="Calibri"/>
        </w:rPr>
        <w:t>out responsibilities for the parties</w:t>
      </w:r>
      <w:r w:rsidRPr="000B4917">
        <w:rPr>
          <w:rFonts w:ascii="Calibri" w:hAnsi="Calibri" w:cs="Calibri"/>
          <w:spacing w:val="-2"/>
        </w:rPr>
        <w:t xml:space="preserve"> </w:t>
      </w:r>
      <w:r w:rsidRPr="000B4917">
        <w:rPr>
          <w:rFonts w:ascii="Calibri" w:hAnsi="Calibri" w:cs="Calibri"/>
        </w:rPr>
        <w:t>involved if the Council is to continue processing the complaint.</w:t>
      </w:r>
      <w:r w:rsidRPr="000B4917">
        <w:rPr>
          <w:rFonts w:ascii="Calibri" w:hAnsi="Calibri" w:cs="Calibri"/>
          <w:spacing w:val="80"/>
        </w:rPr>
        <w:t xml:space="preserve"> </w:t>
      </w:r>
      <w:r w:rsidRPr="000B4917">
        <w:rPr>
          <w:rFonts w:ascii="Calibri" w:hAnsi="Calibri" w:cs="Calibri"/>
        </w:rPr>
        <w:t>If terms are contravened, consideration will then be given to implementing other action as indicated below.</w:t>
      </w:r>
    </w:p>
    <w:p w14:paraId="2F121100" w14:textId="77777777" w:rsidR="0041150C" w:rsidRPr="000B4917" w:rsidRDefault="0041150C" w:rsidP="00303E96">
      <w:pPr>
        <w:pStyle w:val="ListParagraph"/>
        <w:widowControl w:val="0"/>
        <w:numPr>
          <w:ilvl w:val="0"/>
          <w:numId w:val="522"/>
        </w:numPr>
        <w:tabs>
          <w:tab w:val="left" w:pos="947"/>
        </w:tabs>
        <w:autoSpaceDE w:val="0"/>
        <w:autoSpaceDN w:val="0"/>
        <w:spacing w:before="120" w:after="0" w:line="240" w:lineRule="auto"/>
        <w:ind w:right="106"/>
        <w:contextualSpacing w:val="0"/>
        <w:jc w:val="both"/>
        <w:rPr>
          <w:rFonts w:ascii="Calibri" w:hAnsi="Calibri" w:cs="Calibri"/>
        </w:rPr>
      </w:pPr>
      <w:r w:rsidRPr="000B4917">
        <w:rPr>
          <w:rFonts w:ascii="Calibri" w:hAnsi="Calibri" w:cs="Calibri"/>
        </w:rPr>
        <w:t>Decline contact with the complainant, either in person, be telephone, by fax, by letter, by email or any combination of these, provided that one form of contact is maintained.</w:t>
      </w:r>
      <w:r w:rsidRPr="000B4917">
        <w:rPr>
          <w:rFonts w:ascii="Calibri" w:hAnsi="Calibri" w:cs="Calibri"/>
          <w:spacing w:val="40"/>
        </w:rPr>
        <w:t xml:space="preserve"> </w:t>
      </w:r>
      <w:r w:rsidRPr="000B4917">
        <w:rPr>
          <w:rFonts w:ascii="Calibri" w:hAnsi="Calibri" w:cs="Calibri"/>
        </w:rPr>
        <w:t>This may also mean that only one named officer will be nominated to maintain contact (and a named deputy in their absence).</w:t>
      </w:r>
      <w:r w:rsidRPr="000B4917">
        <w:rPr>
          <w:rFonts w:ascii="Calibri" w:hAnsi="Calibri" w:cs="Calibri"/>
          <w:spacing w:val="40"/>
        </w:rPr>
        <w:t xml:space="preserve"> </w:t>
      </w:r>
      <w:r w:rsidRPr="000B4917">
        <w:rPr>
          <w:rFonts w:ascii="Calibri" w:hAnsi="Calibri" w:cs="Calibri"/>
        </w:rPr>
        <w:t>The complainant will be notified of this in person.</w:t>
      </w:r>
    </w:p>
    <w:p w14:paraId="6322FCF2" w14:textId="77777777" w:rsidR="0041150C" w:rsidRPr="000B4917" w:rsidRDefault="0041150C" w:rsidP="00303E96">
      <w:pPr>
        <w:pStyle w:val="ListParagraph"/>
        <w:widowControl w:val="0"/>
        <w:numPr>
          <w:ilvl w:val="0"/>
          <w:numId w:val="522"/>
        </w:numPr>
        <w:tabs>
          <w:tab w:val="left" w:pos="947"/>
        </w:tabs>
        <w:autoSpaceDE w:val="0"/>
        <w:autoSpaceDN w:val="0"/>
        <w:spacing w:before="120" w:after="0" w:line="240" w:lineRule="auto"/>
        <w:ind w:right="103"/>
        <w:contextualSpacing w:val="0"/>
        <w:jc w:val="both"/>
        <w:rPr>
          <w:rFonts w:ascii="Calibri" w:hAnsi="Calibri" w:cs="Calibri"/>
        </w:rPr>
      </w:pPr>
      <w:r w:rsidRPr="000B4917">
        <w:rPr>
          <w:rFonts w:ascii="Calibri" w:hAnsi="Calibri" w:cs="Calibri"/>
        </w:rPr>
        <w:t>Notify the complainant, in writing, that the Council has responded fully to the points raised and has tried to resolve the complaint but there is nothing more to add and continuing contact on the matter will serve no useful purpose.</w:t>
      </w:r>
      <w:r w:rsidRPr="000B4917">
        <w:rPr>
          <w:rFonts w:ascii="Calibri" w:hAnsi="Calibri" w:cs="Calibri"/>
          <w:spacing w:val="40"/>
        </w:rPr>
        <w:t xml:space="preserve"> </w:t>
      </w:r>
      <w:r w:rsidRPr="000B4917">
        <w:rPr>
          <w:rFonts w:ascii="Calibri" w:hAnsi="Calibri" w:cs="Calibri"/>
        </w:rPr>
        <w:t>The complainant will also be notified that the correspondence</w:t>
      </w:r>
      <w:r w:rsidRPr="000B4917">
        <w:rPr>
          <w:rFonts w:ascii="Calibri" w:hAnsi="Calibri" w:cs="Calibri"/>
          <w:spacing w:val="-1"/>
        </w:rPr>
        <w:t xml:space="preserve"> </w:t>
      </w:r>
      <w:r w:rsidRPr="000B4917">
        <w:rPr>
          <w:rFonts w:ascii="Calibri" w:hAnsi="Calibri" w:cs="Calibri"/>
        </w:rPr>
        <w:t>is</w:t>
      </w:r>
      <w:r w:rsidRPr="000B4917">
        <w:rPr>
          <w:rFonts w:ascii="Calibri" w:hAnsi="Calibri" w:cs="Calibri"/>
          <w:spacing w:val="-2"/>
        </w:rPr>
        <w:t xml:space="preserve"> </w:t>
      </w:r>
      <w:r w:rsidRPr="000B4917">
        <w:rPr>
          <w:rFonts w:ascii="Calibri" w:hAnsi="Calibri" w:cs="Calibri"/>
        </w:rPr>
        <w:t>at</w:t>
      </w:r>
      <w:r w:rsidRPr="000B4917">
        <w:rPr>
          <w:rFonts w:ascii="Calibri" w:hAnsi="Calibri" w:cs="Calibri"/>
          <w:spacing w:val="-4"/>
        </w:rPr>
        <w:t xml:space="preserve"> </w:t>
      </w:r>
      <w:r w:rsidRPr="000B4917">
        <w:rPr>
          <w:rFonts w:ascii="Calibri" w:hAnsi="Calibri" w:cs="Calibri"/>
        </w:rPr>
        <w:t>an</w:t>
      </w:r>
      <w:r w:rsidRPr="000B4917">
        <w:rPr>
          <w:rFonts w:ascii="Calibri" w:hAnsi="Calibri" w:cs="Calibri"/>
          <w:spacing w:val="-1"/>
        </w:rPr>
        <w:t xml:space="preserve"> </w:t>
      </w:r>
      <w:r w:rsidRPr="000B4917">
        <w:rPr>
          <w:rFonts w:ascii="Calibri" w:hAnsi="Calibri" w:cs="Calibri"/>
        </w:rPr>
        <w:t>end,</w:t>
      </w:r>
      <w:r w:rsidRPr="000B4917">
        <w:rPr>
          <w:rFonts w:ascii="Calibri" w:hAnsi="Calibri" w:cs="Calibri"/>
          <w:spacing w:val="-2"/>
        </w:rPr>
        <w:t xml:space="preserve"> </w:t>
      </w:r>
      <w:r w:rsidRPr="000B4917">
        <w:rPr>
          <w:rFonts w:ascii="Calibri" w:hAnsi="Calibri" w:cs="Calibri"/>
        </w:rPr>
        <w:t>advising</w:t>
      </w:r>
      <w:r w:rsidRPr="000B4917">
        <w:rPr>
          <w:rFonts w:ascii="Calibri" w:hAnsi="Calibri" w:cs="Calibri"/>
          <w:spacing w:val="-3"/>
        </w:rPr>
        <w:t xml:space="preserve"> </w:t>
      </w:r>
      <w:r w:rsidRPr="000B4917">
        <w:rPr>
          <w:rFonts w:ascii="Calibri" w:hAnsi="Calibri" w:cs="Calibri"/>
        </w:rPr>
        <w:t>the</w:t>
      </w:r>
      <w:r w:rsidRPr="000B4917">
        <w:rPr>
          <w:rFonts w:ascii="Calibri" w:hAnsi="Calibri" w:cs="Calibri"/>
          <w:spacing w:val="-1"/>
        </w:rPr>
        <w:t xml:space="preserve"> </w:t>
      </w:r>
      <w:r w:rsidRPr="000B4917">
        <w:rPr>
          <w:rFonts w:ascii="Calibri" w:hAnsi="Calibri" w:cs="Calibri"/>
        </w:rPr>
        <w:t>complainant</w:t>
      </w:r>
      <w:r w:rsidRPr="000B4917">
        <w:rPr>
          <w:rFonts w:ascii="Calibri" w:hAnsi="Calibri" w:cs="Calibri"/>
          <w:spacing w:val="-4"/>
        </w:rPr>
        <w:t xml:space="preserve"> </w:t>
      </w:r>
      <w:r w:rsidRPr="000B4917">
        <w:rPr>
          <w:rFonts w:ascii="Calibri" w:hAnsi="Calibri" w:cs="Calibri"/>
        </w:rPr>
        <w:t>that</w:t>
      </w:r>
      <w:r w:rsidRPr="000B4917">
        <w:rPr>
          <w:rFonts w:ascii="Calibri" w:hAnsi="Calibri" w:cs="Calibri"/>
          <w:spacing w:val="-1"/>
        </w:rPr>
        <w:t xml:space="preserve"> </w:t>
      </w:r>
      <w:r w:rsidRPr="000B4917">
        <w:rPr>
          <w:rFonts w:ascii="Calibri" w:hAnsi="Calibri" w:cs="Calibri"/>
        </w:rPr>
        <w:t>they</w:t>
      </w:r>
      <w:r w:rsidRPr="000B4917">
        <w:rPr>
          <w:rFonts w:ascii="Calibri" w:hAnsi="Calibri" w:cs="Calibri"/>
          <w:spacing w:val="-4"/>
        </w:rPr>
        <w:t xml:space="preserve"> </w:t>
      </w:r>
      <w:r w:rsidRPr="000B4917">
        <w:rPr>
          <w:rFonts w:ascii="Calibri" w:hAnsi="Calibri" w:cs="Calibri"/>
        </w:rPr>
        <w:t>are</w:t>
      </w:r>
      <w:r w:rsidRPr="000B4917">
        <w:rPr>
          <w:rFonts w:ascii="Calibri" w:hAnsi="Calibri" w:cs="Calibri"/>
          <w:spacing w:val="-1"/>
        </w:rPr>
        <w:t xml:space="preserve"> </w:t>
      </w:r>
      <w:r w:rsidRPr="000B4917">
        <w:rPr>
          <w:rFonts w:ascii="Calibri" w:hAnsi="Calibri" w:cs="Calibri"/>
        </w:rPr>
        <w:t>being</w:t>
      </w:r>
      <w:r w:rsidRPr="000B4917">
        <w:rPr>
          <w:rFonts w:ascii="Calibri" w:hAnsi="Calibri" w:cs="Calibri"/>
          <w:spacing w:val="-3"/>
        </w:rPr>
        <w:t xml:space="preserve"> </w:t>
      </w:r>
      <w:r w:rsidRPr="000B4917">
        <w:rPr>
          <w:rFonts w:ascii="Calibri" w:hAnsi="Calibri" w:cs="Calibri"/>
        </w:rPr>
        <w:t>treated</w:t>
      </w:r>
      <w:r w:rsidRPr="000B4917">
        <w:rPr>
          <w:rFonts w:ascii="Calibri" w:hAnsi="Calibri" w:cs="Calibri"/>
          <w:spacing w:val="-3"/>
        </w:rPr>
        <w:t xml:space="preserve"> </w:t>
      </w:r>
      <w:r w:rsidRPr="000B4917">
        <w:rPr>
          <w:rFonts w:ascii="Calibri" w:hAnsi="Calibri" w:cs="Calibri"/>
        </w:rPr>
        <w:t>as</w:t>
      </w:r>
      <w:r w:rsidRPr="000B4917">
        <w:rPr>
          <w:rFonts w:ascii="Calibri" w:hAnsi="Calibri" w:cs="Calibri"/>
          <w:spacing w:val="-2"/>
        </w:rPr>
        <w:t xml:space="preserve"> </w:t>
      </w:r>
      <w:r w:rsidRPr="000B4917">
        <w:rPr>
          <w:rFonts w:ascii="Calibri" w:hAnsi="Calibri" w:cs="Calibri"/>
        </w:rPr>
        <w:t>a</w:t>
      </w:r>
      <w:r w:rsidRPr="000B4917">
        <w:rPr>
          <w:rFonts w:ascii="Calibri" w:hAnsi="Calibri" w:cs="Calibri"/>
          <w:spacing w:val="-3"/>
        </w:rPr>
        <w:t xml:space="preserve"> </w:t>
      </w:r>
      <w:r w:rsidRPr="000B4917">
        <w:rPr>
          <w:rFonts w:ascii="Calibri" w:hAnsi="Calibri" w:cs="Calibri"/>
        </w:rPr>
        <w:t>habitual or vexatious complainant and as such the Council does not intend to engage in further correspondence dealing with the complaint.</w:t>
      </w:r>
    </w:p>
    <w:p w14:paraId="504EC8D9" w14:textId="77777777" w:rsidR="0041150C" w:rsidRPr="000B4917" w:rsidRDefault="0041150C" w:rsidP="00303E96">
      <w:pPr>
        <w:pStyle w:val="ListParagraph"/>
        <w:widowControl w:val="0"/>
        <w:numPr>
          <w:ilvl w:val="0"/>
          <w:numId w:val="522"/>
        </w:numPr>
        <w:tabs>
          <w:tab w:val="left" w:pos="947"/>
        </w:tabs>
        <w:autoSpaceDE w:val="0"/>
        <w:autoSpaceDN w:val="0"/>
        <w:spacing w:before="120" w:after="0" w:line="240" w:lineRule="auto"/>
        <w:ind w:right="104"/>
        <w:contextualSpacing w:val="0"/>
        <w:jc w:val="both"/>
        <w:rPr>
          <w:rFonts w:ascii="Calibri" w:hAnsi="Calibri" w:cs="Calibri"/>
        </w:rPr>
      </w:pPr>
      <w:r w:rsidRPr="000B4917">
        <w:rPr>
          <w:rFonts w:ascii="Calibri" w:hAnsi="Calibri" w:cs="Calibri"/>
        </w:rPr>
        <w:t>Inform the complainant that in extreme circumstances the Council will seek legal advice on habitual or vexatious complaints.</w:t>
      </w:r>
    </w:p>
    <w:p w14:paraId="797C0D1D" w14:textId="77777777" w:rsidR="0041150C" w:rsidRPr="000B4917" w:rsidRDefault="0041150C" w:rsidP="00303E96">
      <w:pPr>
        <w:pStyle w:val="ListParagraph"/>
        <w:widowControl w:val="0"/>
        <w:numPr>
          <w:ilvl w:val="0"/>
          <w:numId w:val="522"/>
        </w:numPr>
        <w:tabs>
          <w:tab w:val="left" w:pos="947"/>
        </w:tabs>
        <w:autoSpaceDE w:val="0"/>
        <w:autoSpaceDN w:val="0"/>
        <w:spacing w:before="120" w:after="0" w:line="240" w:lineRule="auto"/>
        <w:ind w:right="105"/>
        <w:contextualSpacing w:val="0"/>
        <w:jc w:val="both"/>
        <w:rPr>
          <w:rFonts w:ascii="Calibri" w:hAnsi="Calibri" w:cs="Calibri"/>
        </w:rPr>
      </w:pPr>
      <w:r w:rsidRPr="000B4917">
        <w:rPr>
          <w:rFonts w:ascii="Calibri" w:hAnsi="Calibri" w:cs="Calibri"/>
        </w:rPr>
        <w:t>Temporarily suspend all contact with the complainant, in connection with the issues relating to the complaint being considered habitual or vexatious, while seeking legal advice or guidance from its solicitor or other relevant agencies.</w:t>
      </w:r>
    </w:p>
    <w:p w14:paraId="270FFB09" w14:textId="77777777" w:rsidR="0041150C" w:rsidRPr="00672DFF" w:rsidRDefault="0041150C" w:rsidP="0041150C">
      <w:pPr>
        <w:pStyle w:val="Heading1"/>
        <w:spacing w:before="240"/>
        <w:rPr>
          <w:rFonts w:asciiTheme="minorHAnsi" w:hAnsiTheme="minorHAnsi" w:cstheme="minorHAnsi"/>
          <w:color w:val="17365D" w:themeColor="text2" w:themeShade="BF"/>
        </w:rPr>
      </w:pPr>
      <w:r w:rsidRPr="00672DFF">
        <w:rPr>
          <w:rFonts w:asciiTheme="minorHAnsi" w:hAnsiTheme="minorHAnsi" w:cstheme="minorHAnsi"/>
          <w:color w:val="17365D" w:themeColor="text2" w:themeShade="BF"/>
          <w:spacing w:val="-2"/>
        </w:rPr>
        <w:t>Definitions</w:t>
      </w:r>
    </w:p>
    <w:p w14:paraId="2B1E5885" w14:textId="77777777" w:rsidR="0041150C" w:rsidRPr="00A347C5" w:rsidRDefault="0041150C" w:rsidP="0041150C">
      <w:pPr>
        <w:pStyle w:val="BodyText"/>
        <w:ind w:left="0" w:right="105"/>
        <w:jc w:val="both"/>
        <w:rPr>
          <w:rFonts w:asciiTheme="minorHAnsi" w:hAnsiTheme="minorHAnsi" w:cstheme="minorHAnsi"/>
          <w:szCs w:val="22"/>
        </w:rPr>
      </w:pPr>
      <w:r w:rsidRPr="00A347C5">
        <w:rPr>
          <w:rFonts w:asciiTheme="minorHAnsi" w:hAnsiTheme="minorHAnsi" w:cstheme="minorHAnsi"/>
          <w:b/>
          <w:i/>
          <w:szCs w:val="22"/>
        </w:rPr>
        <w:t xml:space="preserve">“habitual” </w:t>
      </w:r>
      <w:r w:rsidRPr="00A347C5">
        <w:rPr>
          <w:rFonts w:asciiTheme="minorHAnsi" w:hAnsiTheme="minorHAnsi" w:cstheme="minorHAnsi"/>
          <w:szCs w:val="22"/>
        </w:rPr>
        <w:t>means “done repeatedly or as a habit‟.</w:t>
      </w:r>
      <w:r w:rsidRPr="00A347C5">
        <w:rPr>
          <w:rFonts w:asciiTheme="minorHAnsi" w:hAnsiTheme="minorHAnsi" w:cstheme="minorHAnsi"/>
          <w:spacing w:val="80"/>
          <w:szCs w:val="22"/>
        </w:rPr>
        <w:t xml:space="preserve"> </w:t>
      </w:r>
      <w:r w:rsidRPr="00A347C5">
        <w:rPr>
          <w:rFonts w:asciiTheme="minorHAnsi" w:hAnsiTheme="minorHAnsi" w:cstheme="minorHAnsi"/>
          <w:szCs w:val="22"/>
        </w:rPr>
        <w:t xml:space="preserve">The term vexatious is </w:t>
      </w:r>
      <w:proofErr w:type="spellStart"/>
      <w:r w:rsidRPr="00A347C5">
        <w:rPr>
          <w:rFonts w:asciiTheme="minorHAnsi" w:hAnsiTheme="minorHAnsi" w:cstheme="minorHAnsi"/>
          <w:szCs w:val="22"/>
        </w:rPr>
        <w:t>recognised</w:t>
      </w:r>
      <w:proofErr w:type="spellEnd"/>
      <w:r w:rsidRPr="00A347C5">
        <w:rPr>
          <w:rFonts w:asciiTheme="minorHAnsi" w:hAnsiTheme="minorHAnsi" w:cstheme="minorHAnsi"/>
          <w:szCs w:val="22"/>
        </w:rPr>
        <w:t xml:space="preserve"> in law and means “denoting an action or the bringer of an action that is brought without sufficient grounds for winning, purely to cause annoyance to the defendant‟.</w:t>
      </w:r>
    </w:p>
    <w:p w14:paraId="4636AE66" w14:textId="77777777" w:rsidR="0041150C" w:rsidRDefault="0041150C" w:rsidP="0041150C">
      <w:pPr>
        <w:pStyle w:val="BodyText"/>
      </w:pPr>
    </w:p>
    <w:p w14:paraId="3ACD4EDB" w14:textId="77777777" w:rsidR="0041150C" w:rsidRPr="00BA0919" w:rsidRDefault="0041150C" w:rsidP="0041150C">
      <w:pPr>
        <w:spacing w:after="0" w:line="240" w:lineRule="auto"/>
        <w:jc w:val="both"/>
        <w:rPr>
          <w:rFonts w:cstheme="minorHAnsi"/>
        </w:rPr>
      </w:pPr>
    </w:p>
    <w:tbl>
      <w:tblPr>
        <w:tblStyle w:val="TableGrid"/>
        <w:tblW w:w="0" w:type="auto"/>
        <w:tblLook w:val="04A0" w:firstRow="1" w:lastRow="0" w:firstColumn="1" w:lastColumn="0" w:noHBand="0" w:noVBand="1"/>
      </w:tblPr>
      <w:tblGrid>
        <w:gridCol w:w="3038"/>
        <w:gridCol w:w="5978"/>
      </w:tblGrid>
      <w:tr w:rsidR="0041150C" w:rsidRPr="00342669" w14:paraId="306FE4FA" w14:textId="77777777" w:rsidTr="00823751">
        <w:tc>
          <w:tcPr>
            <w:tcW w:w="3038" w:type="dxa"/>
          </w:tcPr>
          <w:p w14:paraId="7156EC31" w14:textId="77777777" w:rsidR="0041150C" w:rsidRPr="00342669" w:rsidRDefault="0041150C" w:rsidP="00823751">
            <w:pPr>
              <w:jc w:val="both"/>
              <w:rPr>
                <w:rFonts w:cstheme="minorHAnsi"/>
                <w:b/>
              </w:rPr>
            </w:pPr>
            <w:r w:rsidRPr="00342669">
              <w:rPr>
                <w:rFonts w:cstheme="minorHAnsi"/>
                <w:b/>
              </w:rPr>
              <w:t>Responsible Directorate:</w:t>
            </w:r>
          </w:p>
        </w:tc>
        <w:tc>
          <w:tcPr>
            <w:tcW w:w="5978" w:type="dxa"/>
          </w:tcPr>
          <w:p w14:paraId="2EAFFC54" w14:textId="77777777" w:rsidR="0041150C" w:rsidRPr="00342669" w:rsidRDefault="0041150C" w:rsidP="00823751">
            <w:pPr>
              <w:jc w:val="both"/>
              <w:rPr>
                <w:rFonts w:cstheme="minorHAnsi"/>
              </w:rPr>
            </w:pPr>
            <w:r w:rsidRPr="00342669">
              <w:rPr>
                <w:rFonts w:cstheme="minorHAnsi"/>
              </w:rPr>
              <w:t>Corporate Services</w:t>
            </w:r>
          </w:p>
        </w:tc>
      </w:tr>
      <w:tr w:rsidR="0041150C" w:rsidRPr="00342669" w14:paraId="0383821E" w14:textId="77777777" w:rsidTr="00823751">
        <w:tc>
          <w:tcPr>
            <w:tcW w:w="3038" w:type="dxa"/>
          </w:tcPr>
          <w:p w14:paraId="4FB02914" w14:textId="77777777" w:rsidR="0041150C" w:rsidRPr="00342669" w:rsidRDefault="0041150C" w:rsidP="00823751">
            <w:pPr>
              <w:jc w:val="both"/>
              <w:rPr>
                <w:rFonts w:cstheme="minorHAnsi"/>
                <w:b/>
              </w:rPr>
            </w:pPr>
            <w:r w:rsidRPr="00342669">
              <w:rPr>
                <w:rFonts w:cstheme="minorHAnsi"/>
                <w:b/>
              </w:rPr>
              <w:t>Reviewing Officer:</w:t>
            </w:r>
          </w:p>
        </w:tc>
        <w:tc>
          <w:tcPr>
            <w:tcW w:w="5978" w:type="dxa"/>
          </w:tcPr>
          <w:p w14:paraId="3424D170" w14:textId="77777777" w:rsidR="0041150C" w:rsidRPr="00342669" w:rsidRDefault="0041150C" w:rsidP="00823751">
            <w:pPr>
              <w:jc w:val="both"/>
              <w:rPr>
                <w:rFonts w:cstheme="minorHAnsi"/>
              </w:rPr>
            </w:pPr>
            <w:r w:rsidRPr="00342669">
              <w:rPr>
                <w:rFonts w:cstheme="minorHAnsi"/>
              </w:rPr>
              <w:t>Executive Manager Corporate Services</w:t>
            </w:r>
          </w:p>
        </w:tc>
      </w:tr>
      <w:tr w:rsidR="0041150C" w:rsidRPr="00342669" w14:paraId="01C96CF2" w14:textId="77777777" w:rsidTr="00823751">
        <w:tc>
          <w:tcPr>
            <w:tcW w:w="3038" w:type="dxa"/>
          </w:tcPr>
          <w:p w14:paraId="672376DD" w14:textId="77777777" w:rsidR="0041150C" w:rsidRPr="00342669" w:rsidRDefault="0041150C" w:rsidP="00823751">
            <w:pPr>
              <w:rPr>
                <w:rFonts w:cstheme="minorHAnsi"/>
                <w:b/>
              </w:rPr>
            </w:pPr>
            <w:r w:rsidRPr="00342669">
              <w:rPr>
                <w:rFonts w:cstheme="minorHAnsi"/>
                <w:b/>
              </w:rPr>
              <w:t>Decision making Authority:</w:t>
            </w:r>
          </w:p>
        </w:tc>
        <w:tc>
          <w:tcPr>
            <w:tcW w:w="5978" w:type="dxa"/>
          </w:tcPr>
          <w:p w14:paraId="5693DE71" w14:textId="77777777" w:rsidR="0041150C" w:rsidRPr="00342669" w:rsidRDefault="0041150C" w:rsidP="00823751">
            <w:pPr>
              <w:jc w:val="both"/>
              <w:rPr>
                <w:rFonts w:cstheme="minorHAnsi"/>
              </w:rPr>
            </w:pPr>
            <w:r w:rsidRPr="00342669">
              <w:rPr>
                <w:rFonts w:cstheme="minorHAnsi"/>
              </w:rPr>
              <w:t>Council</w:t>
            </w:r>
          </w:p>
        </w:tc>
      </w:tr>
      <w:tr w:rsidR="0041150C" w:rsidRPr="00342669" w14:paraId="7DEA77C8" w14:textId="77777777" w:rsidTr="00823751">
        <w:tc>
          <w:tcPr>
            <w:tcW w:w="3038" w:type="dxa"/>
          </w:tcPr>
          <w:p w14:paraId="276535DD" w14:textId="77777777" w:rsidR="0041150C" w:rsidRPr="00342669" w:rsidRDefault="0041150C" w:rsidP="00823751">
            <w:pPr>
              <w:jc w:val="both"/>
              <w:rPr>
                <w:rFonts w:cstheme="minorHAnsi"/>
                <w:b/>
              </w:rPr>
            </w:pPr>
            <w:r w:rsidRPr="00342669">
              <w:rPr>
                <w:rFonts w:cstheme="minorHAnsi"/>
                <w:b/>
              </w:rPr>
              <w:t>Policy Adopted:</w:t>
            </w:r>
          </w:p>
        </w:tc>
        <w:tc>
          <w:tcPr>
            <w:tcW w:w="5978" w:type="dxa"/>
          </w:tcPr>
          <w:p w14:paraId="70D030BB" w14:textId="77777777" w:rsidR="0041150C" w:rsidRPr="00342669" w:rsidRDefault="0041150C" w:rsidP="00823751">
            <w:pPr>
              <w:jc w:val="both"/>
              <w:rPr>
                <w:rFonts w:cstheme="minorHAnsi"/>
              </w:rPr>
            </w:pPr>
            <w:r>
              <w:rPr>
                <w:rFonts w:cstheme="minorHAnsi"/>
              </w:rPr>
              <w:t>15/08/23</w:t>
            </w:r>
          </w:p>
        </w:tc>
      </w:tr>
      <w:tr w:rsidR="0041150C" w:rsidRPr="00342669" w14:paraId="31BE1082" w14:textId="77777777" w:rsidTr="00823751">
        <w:tc>
          <w:tcPr>
            <w:tcW w:w="3038" w:type="dxa"/>
          </w:tcPr>
          <w:p w14:paraId="27022B9E" w14:textId="77777777" w:rsidR="0041150C" w:rsidRPr="00342669" w:rsidRDefault="0041150C" w:rsidP="00823751">
            <w:pPr>
              <w:jc w:val="both"/>
              <w:rPr>
                <w:rFonts w:cstheme="minorHAnsi"/>
                <w:b/>
              </w:rPr>
            </w:pPr>
            <w:r w:rsidRPr="00342669">
              <w:rPr>
                <w:rFonts w:cstheme="minorHAnsi"/>
                <w:b/>
              </w:rPr>
              <w:t>Policy Amended:</w:t>
            </w:r>
          </w:p>
        </w:tc>
        <w:tc>
          <w:tcPr>
            <w:tcW w:w="5978" w:type="dxa"/>
          </w:tcPr>
          <w:p w14:paraId="19501EE6" w14:textId="77777777" w:rsidR="0041150C" w:rsidRPr="00342669" w:rsidRDefault="0041150C" w:rsidP="00823751">
            <w:pPr>
              <w:jc w:val="both"/>
              <w:rPr>
                <w:rFonts w:cstheme="minorHAnsi"/>
              </w:rPr>
            </w:pPr>
          </w:p>
        </w:tc>
      </w:tr>
      <w:tr w:rsidR="0041150C" w:rsidRPr="00342669" w14:paraId="1EB39F57" w14:textId="77777777" w:rsidTr="00823751">
        <w:tc>
          <w:tcPr>
            <w:tcW w:w="3038" w:type="dxa"/>
          </w:tcPr>
          <w:p w14:paraId="638C127B" w14:textId="77777777" w:rsidR="0041150C" w:rsidRPr="00342669" w:rsidRDefault="0041150C" w:rsidP="00823751">
            <w:pPr>
              <w:jc w:val="both"/>
              <w:rPr>
                <w:rFonts w:cstheme="minorHAnsi"/>
                <w:b/>
              </w:rPr>
            </w:pPr>
            <w:r>
              <w:rPr>
                <w:rFonts w:cstheme="minorHAnsi"/>
                <w:b/>
              </w:rPr>
              <w:t>Next Review Date:</w:t>
            </w:r>
          </w:p>
        </w:tc>
        <w:tc>
          <w:tcPr>
            <w:tcW w:w="5978" w:type="dxa"/>
          </w:tcPr>
          <w:p w14:paraId="0FADEEEC" w14:textId="77777777" w:rsidR="0041150C" w:rsidRPr="00342669" w:rsidRDefault="0041150C" w:rsidP="00823751">
            <w:pPr>
              <w:jc w:val="both"/>
              <w:rPr>
                <w:rFonts w:cstheme="minorHAnsi"/>
              </w:rPr>
            </w:pPr>
          </w:p>
        </w:tc>
      </w:tr>
    </w:tbl>
    <w:p w14:paraId="6BF48AA5" w14:textId="77777777" w:rsidR="0041150C" w:rsidRDefault="0041150C" w:rsidP="0041150C">
      <w:pPr>
        <w:rPr>
          <w:rFonts w:ascii="Arial" w:hAnsi="Arial" w:cs="Arial"/>
        </w:rPr>
        <w:sectPr w:rsidR="0041150C" w:rsidSect="0041150C">
          <w:footerReference w:type="default" r:id="rId167"/>
          <w:pgSz w:w="11906" w:h="16838"/>
          <w:pgMar w:top="1021" w:right="1440" w:bottom="1440" w:left="1440" w:header="709" w:footer="709" w:gutter="0"/>
          <w:cols w:space="708"/>
          <w:docGrid w:linePitch="360"/>
        </w:sectPr>
      </w:pPr>
    </w:p>
    <w:p w14:paraId="1F77C511" w14:textId="77777777" w:rsidR="0041150C" w:rsidRDefault="0041150C" w:rsidP="0041150C">
      <w:pPr>
        <w:jc w:val="right"/>
        <w:rPr>
          <w:rFonts w:ascii="Arial" w:hAnsi="Arial" w:cs="Arial"/>
        </w:rPr>
      </w:pPr>
    </w:p>
    <w:p w14:paraId="50CFF105" w14:textId="77777777" w:rsidR="0041150C" w:rsidRPr="00FB54FA" w:rsidRDefault="0041150C" w:rsidP="0041150C">
      <w:pPr>
        <w:rPr>
          <w:b/>
          <w:bCs/>
          <w:sz w:val="32"/>
          <w:szCs w:val="32"/>
        </w:rPr>
      </w:pPr>
      <w:r w:rsidRPr="00FB54FA">
        <w:rPr>
          <w:b/>
          <w:bCs/>
          <w:sz w:val="32"/>
          <w:szCs w:val="32"/>
        </w:rPr>
        <w:t>VEXATIOUS COMPLAINTS MATRIX</w:t>
      </w:r>
    </w:p>
    <w:tbl>
      <w:tblPr>
        <w:tblStyle w:val="TableGrid"/>
        <w:tblW w:w="10060" w:type="dxa"/>
        <w:tblLayout w:type="fixed"/>
        <w:tblLook w:val="04A0" w:firstRow="1" w:lastRow="0" w:firstColumn="1" w:lastColumn="0" w:noHBand="0" w:noVBand="1"/>
      </w:tblPr>
      <w:tblGrid>
        <w:gridCol w:w="3114"/>
        <w:gridCol w:w="3118"/>
        <w:gridCol w:w="3828"/>
      </w:tblGrid>
      <w:tr w:rsidR="0041150C" w14:paraId="509BABCA" w14:textId="77777777" w:rsidTr="00823751">
        <w:tc>
          <w:tcPr>
            <w:tcW w:w="3114" w:type="dxa"/>
          </w:tcPr>
          <w:p w14:paraId="545E3078" w14:textId="77777777" w:rsidR="0041150C" w:rsidRDefault="0041150C" w:rsidP="00823751">
            <w:pPr>
              <w:rPr>
                <w:b/>
                <w:bCs/>
              </w:rPr>
            </w:pPr>
            <w:r>
              <w:rPr>
                <w:b/>
                <w:bCs/>
              </w:rPr>
              <w:t>Date of Initial Complaint</w:t>
            </w:r>
          </w:p>
          <w:p w14:paraId="3C765BC3" w14:textId="77777777" w:rsidR="0041150C" w:rsidRDefault="0041150C" w:rsidP="00823751">
            <w:pPr>
              <w:rPr>
                <w:b/>
                <w:bCs/>
              </w:rPr>
            </w:pPr>
          </w:p>
          <w:p w14:paraId="23AB1E76" w14:textId="77777777" w:rsidR="0041150C" w:rsidRDefault="0041150C" w:rsidP="00823751">
            <w:pPr>
              <w:rPr>
                <w:b/>
                <w:bCs/>
              </w:rPr>
            </w:pPr>
          </w:p>
          <w:p w14:paraId="76BC4771" w14:textId="77777777" w:rsidR="0041150C" w:rsidRDefault="0041150C" w:rsidP="00823751">
            <w:pPr>
              <w:rPr>
                <w:b/>
                <w:bCs/>
              </w:rPr>
            </w:pPr>
          </w:p>
          <w:p w14:paraId="176D5B6F" w14:textId="77777777" w:rsidR="0041150C" w:rsidRDefault="0041150C" w:rsidP="00823751">
            <w:pPr>
              <w:rPr>
                <w:b/>
                <w:bCs/>
              </w:rPr>
            </w:pPr>
          </w:p>
          <w:p w14:paraId="595962A0" w14:textId="77777777" w:rsidR="0041150C" w:rsidRDefault="0041150C" w:rsidP="00823751">
            <w:pPr>
              <w:rPr>
                <w:b/>
                <w:bCs/>
              </w:rPr>
            </w:pPr>
          </w:p>
          <w:p w14:paraId="3CFE45B9" w14:textId="77777777" w:rsidR="0041150C" w:rsidRPr="005E6CCE" w:rsidRDefault="0041150C" w:rsidP="00823751">
            <w:pPr>
              <w:rPr>
                <w:b/>
                <w:bCs/>
              </w:rPr>
            </w:pPr>
          </w:p>
        </w:tc>
        <w:tc>
          <w:tcPr>
            <w:tcW w:w="3118" w:type="dxa"/>
          </w:tcPr>
          <w:p w14:paraId="01C5AF5D" w14:textId="77777777" w:rsidR="0041150C" w:rsidRPr="005E6CCE" w:rsidRDefault="0041150C" w:rsidP="00823751">
            <w:pPr>
              <w:rPr>
                <w:b/>
                <w:bCs/>
              </w:rPr>
            </w:pPr>
            <w:r>
              <w:rPr>
                <w:b/>
                <w:bCs/>
              </w:rPr>
              <w:t>Number of Complaints</w:t>
            </w:r>
          </w:p>
        </w:tc>
        <w:tc>
          <w:tcPr>
            <w:tcW w:w="3828" w:type="dxa"/>
          </w:tcPr>
          <w:p w14:paraId="17E53E81" w14:textId="77777777" w:rsidR="0041150C" w:rsidRPr="005E6CCE" w:rsidRDefault="0041150C" w:rsidP="00823751">
            <w:pPr>
              <w:rPr>
                <w:b/>
                <w:bCs/>
              </w:rPr>
            </w:pPr>
            <w:r>
              <w:rPr>
                <w:b/>
                <w:bCs/>
              </w:rPr>
              <w:t>Synergy Record Number</w:t>
            </w:r>
          </w:p>
        </w:tc>
      </w:tr>
      <w:tr w:rsidR="0041150C" w14:paraId="162E05F4" w14:textId="77777777" w:rsidTr="00823751">
        <w:tc>
          <w:tcPr>
            <w:tcW w:w="10060" w:type="dxa"/>
            <w:gridSpan w:val="3"/>
          </w:tcPr>
          <w:p w14:paraId="7F1A3574" w14:textId="77777777" w:rsidR="0041150C" w:rsidRDefault="0041150C" w:rsidP="00823751">
            <w:pPr>
              <w:rPr>
                <w:b/>
                <w:bCs/>
              </w:rPr>
            </w:pPr>
            <w:r>
              <w:rPr>
                <w:b/>
                <w:bCs/>
              </w:rPr>
              <w:t>Are the complaints of the same nature?</w:t>
            </w:r>
          </w:p>
          <w:p w14:paraId="2B819183"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24B8177F"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456A32DC" w14:textId="77777777" w:rsidR="0041150C" w:rsidRPr="005E6CCE" w:rsidRDefault="0041150C" w:rsidP="00823751">
            <w:pPr>
              <w:rPr>
                <w:b/>
                <w:bCs/>
              </w:rPr>
            </w:pPr>
            <w:r w:rsidRPr="00050490">
              <w:rPr>
                <w:rFonts w:ascii="Corbel" w:hAnsi="Corbel"/>
              </w:rPr>
              <w:t xml:space="preserve"> </w:t>
            </w:r>
          </w:p>
        </w:tc>
      </w:tr>
      <w:tr w:rsidR="0041150C" w14:paraId="30F81192" w14:textId="77777777" w:rsidTr="00823751">
        <w:tc>
          <w:tcPr>
            <w:tcW w:w="10060" w:type="dxa"/>
            <w:gridSpan w:val="3"/>
          </w:tcPr>
          <w:p w14:paraId="7EA727EB" w14:textId="77777777" w:rsidR="0041150C" w:rsidRDefault="0041150C" w:rsidP="00823751">
            <w:pPr>
              <w:rPr>
                <w:b/>
                <w:bCs/>
              </w:rPr>
            </w:pPr>
            <w:r>
              <w:rPr>
                <w:b/>
                <w:bCs/>
              </w:rPr>
              <w:t xml:space="preserve">Has the complaint </w:t>
            </w:r>
            <w:proofErr w:type="gramStart"/>
            <w:r>
              <w:rPr>
                <w:b/>
                <w:bCs/>
              </w:rPr>
              <w:t>be</w:t>
            </w:r>
            <w:proofErr w:type="gramEnd"/>
            <w:r>
              <w:rPr>
                <w:b/>
                <w:bCs/>
              </w:rPr>
              <w:t xml:space="preserve"> ongoing for more than three months?</w:t>
            </w:r>
          </w:p>
          <w:p w14:paraId="6DB3711B"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18071A10"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637F9806" w14:textId="77777777" w:rsidR="0041150C" w:rsidRDefault="0041150C" w:rsidP="00823751">
            <w:pPr>
              <w:rPr>
                <w:b/>
                <w:bCs/>
              </w:rPr>
            </w:pPr>
          </w:p>
        </w:tc>
      </w:tr>
      <w:tr w:rsidR="0041150C" w14:paraId="15AD5CBC" w14:textId="77777777" w:rsidTr="00823751">
        <w:tc>
          <w:tcPr>
            <w:tcW w:w="10060" w:type="dxa"/>
            <w:gridSpan w:val="3"/>
          </w:tcPr>
          <w:p w14:paraId="37C6DD64" w14:textId="77777777" w:rsidR="0041150C" w:rsidRDefault="0041150C" w:rsidP="00823751">
            <w:pPr>
              <w:rPr>
                <w:b/>
                <w:bCs/>
              </w:rPr>
            </w:pPr>
            <w:r>
              <w:rPr>
                <w:b/>
                <w:bCs/>
              </w:rPr>
              <w:t>Is the complainant demonstrating an unreasonable manner or requesting unrealistic outcomes?</w:t>
            </w:r>
          </w:p>
          <w:p w14:paraId="63280684"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118ED0D8"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2EEEAE9C" w14:textId="77777777" w:rsidR="0041150C" w:rsidRDefault="0041150C" w:rsidP="00823751">
            <w:pPr>
              <w:rPr>
                <w:b/>
                <w:bCs/>
              </w:rPr>
            </w:pPr>
          </w:p>
        </w:tc>
      </w:tr>
      <w:tr w:rsidR="0041150C" w14:paraId="602252FB" w14:textId="77777777" w:rsidTr="00823751">
        <w:tc>
          <w:tcPr>
            <w:tcW w:w="10060" w:type="dxa"/>
            <w:gridSpan w:val="3"/>
          </w:tcPr>
          <w:p w14:paraId="36CB4568" w14:textId="77777777" w:rsidR="0041150C" w:rsidRDefault="0041150C" w:rsidP="00823751">
            <w:pPr>
              <w:rPr>
                <w:b/>
                <w:bCs/>
              </w:rPr>
            </w:pPr>
            <w:r>
              <w:rPr>
                <w:b/>
                <w:bCs/>
              </w:rPr>
              <w:t>Is the complaint a matter of Community Safety?</w:t>
            </w:r>
          </w:p>
          <w:p w14:paraId="2F326798"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3BBD10A1"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5F33C53B" w14:textId="77777777" w:rsidR="0041150C" w:rsidRDefault="0041150C" w:rsidP="00823751">
            <w:pPr>
              <w:rPr>
                <w:b/>
                <w:bCs/>
              </w:rPr>
            </w:pPr>
          </w:p>
        </w:tc>
      </w:tr>
      <w:tr w:rsidR="0041150C" w14:paraId="6869DFD0" w14:textId="77777777" w:rsidTr="00823751">
        <w:tc>
          <w:tcPr>
            <w:tcW w:w="10060" w:type="dxa"/>
            <w:gridSpan w:val="3"/>
          </w:tcPr>
          <w:p w14:paraId="1FD64C44" w14:textId="77777777" w:rsidR="0041150C" w:rsidRDefault="0041150C" w:rsidP="00823751">
            <w:pPr>
              <w:rPr>
                <w:b/>
                <w:bCs/>
              </w:rPr>
            </w:pPr>
            <w:r>
              <w:rPr>
                <w:b/>
                <w:bCs/>
              </w:rPr>
              <w:t>Has the Town received complaints of a similar nature from other residents?</w:t>
            </w:r>
          </w:p>
          <w:p w14:paraId="7B388173"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41CB142F"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26D22F36" w14:textId="77777777" w:rsidR="0041150C" w:rsidRDefault="0041150C" w:rsidP="00823751">
            <w:pPr>
              <w:rPr>
                <w:b/>
                <w:bCs/>
              </w:rPr>
            </w:pPr>
          </w:p>
        </w:tc>
      </w:tr>
      <w:tr w:rsidR="0041150C" w14:paraId="2C469352" w14:textId="77777777" w:rsidTr="00823751">
        <w:tc>
          <w:tcPr>
            <w:tcW w:w="10060" w:type="dxa"/>
            <w:gridSpan w:val="3"/>
          </w:tcPr>
          <w:p w14:paraId="40BC2D6B" w14:textId="77777777" w:rsidR="0041150C" w:rsidRDefault="0041150C" w:rsidP="00823751">
            <w:pPr>
              <w:rPr>
                <w:b/>
                <w:bCs/>
              </w:rPr>
            </w:pPr>
            <w:r>
              <w:rPr>
                <w:b/>
                <w:bCs/>
              </w:rPr>
              <w:t>What actions has the Town taken in relation to the complaint?</w:t>
            </w:r>
          </w:p>
          <w:p w14:paraId="0E272935" w14:textId="77777777" w:rsidR="0041150C" w:rsidRDefault="0041150C" w:rsidP="00823751">
            <w:pPr>
              <w:rPr>
                <w:b/>
                <w:bCs/>
              </w:rPr>
            </w:pPr>
          </w:p>
          <w:p w14:paraId="0F6486BC" w14:textId="77777777" w:rsidR="0041150C" w:rsidRDefault="0041150C" w:rsidP="00823751">
            <w:pPr>
              <w:rPr>
                <w:b/>
                <w:bCs/>
              </w:rPr>
            </w:pPr>
          </w:p>
          <w:p w14:paraId="1E91A1C8" w14:textId="77777777" w:rsidR="0041150C" w:rsidRDefault="0041150C" w:rsidP="00823751">
            <w:pPr>
              <w:rPr>
                <w:b/>
                <w:bCs/>
              </w:rPr>
            </w:pPr>
          </w:p>
          <w:p w14:paraId="53F83412" w14:textId="77777777" w:rsidR="0041150C" w:rsidRDefault="0041150C" w:rsidP="00823751">
            <w:pPr>
              <w:rPr>
                <w:b/>
                <w:bCs/>
              </w:rPr>
            </w:pPr>
          </w:p>
          <w:p w14:paraId="73F27C24" w14:textId="77777777" w:rsidR="0041150C" w:rsidRDefault="0041150C" w:rsidP="00823751">
            <w:pPr>
              <w:rPr>
                <w:b/>
                <w:bCs/>
              </w:rPr>
            </w:pPr>
          </w:p>
          <w:p w14:paraId="3891569B" w14:textId="77777777" w:rsidR="0041150C" w:rsidRDefault="0041150C" w:rsidP="00823751">
            <w:pPr>
              <w:rPr>
                <w:b/>
                <w:bCs/>
              </w:rPr>
            </w:pPr>
          </w:p>
          <w:p w14:paraId="3AB456F2" w14:textId="77777777" w:rsidR="0041150C" w:rsidRDefault="0041150C" w:rsidP="00823751">
            <w:pPr>
              <w:rPr>
                <w:b/>
                <w:bCs/>
              </w:rPr>
            </w:pPr>
          </w:p>
          <w:p w14:paraId="33784533" w14:textId="77777777" w:rsidR="0041150C" w:rsidRDefault="0041150C" w:rsidP="00823751">
            <w:pPr>
              <w:rPr>
                <w:b/>
                <w:bCs/>
              </w:rPr>
            </w:pPr>
          </w:p>
          <w:p w14:paraId="280393B7" w14:textId="77777777" w:rsidR="0041150C" w:rsidRDefault="0041150C" w:rsidP="00823751">
            <w:pPr>
              <w:rPr>
                <w:b/>
                <w:bCs/>
              </w:rPr>
            </w:pPr>
          </w:p>
        </w:tc>
      </w:tr>
      <w:tr w:rsidR="0041150C" w14:paraId="3F31F162" w14:textId="77777777" w:rsidTr="00823751">
        <w:tc>
          <w:tcPr>
            <w:tcW w:w="10060" w:type="dxa"/>
            <w:gridSpan w:val="3"/>
          </w:tcPr>
          <w:p w14:paraId="2A8E8157" w14:textId="77777777" w:rsidR="0041150C" w:rsidRDefault="0041150C" w:rsidP="00823751">
            <w:pPr>
              <w:rPr>
                <w:b/>
                <w:bCs/>
              </w:rPr>
            </w:pPr>
            <w:r>
              <w:rPr>
                <w:b/>
                <w:bCs/>
              </w:rPr>
              <w:t>Number of interactions phone/in person/outwards correspondence generated by the Town</w:t>
            </w:r>
          </w:p>
          <w:p w14:paraId="3804A433" w14:textId="77777777" w:rsidR="0041150C" w:rsidRDefault="0041150C" w:rsidP="00823751">
            <w:pPr>
              <w:rPr>
                <w:b/>
                <w:bCs/>
              </w:rPr>
            </w:pPr>
          </w:p>
          <w:p w14:paraId="251BF7D8" w14:textId="77777777" w:rsidR="0041150C" w:rsidRDefault="0041150C" w:rsidP="00823751">
            <w:pPr>
              <w:rPr>
                <w:b/>
                <w:bCs/>
              </w:rPr>
            </w:pPr>
          </w:p>
          <w:p w14:paraId="3CFFDF9A" w14:textId="77777777" w:rsidR="0041150C" w:rsidRDefault="0041150C" w:rsidP="00823751">
            <w:pPr>
              <w:rPr>
                <w:b/>
                <w:bCs/>
              </w:rPr>
            </w:pPr>
          </w:p>
        </w:tc>
      </w:tr>
      <w:tr w:rsidR="0041150C" w14:paraId="6E81FC3A" w14:textId="77777777" w:rsidTr="00823751">
        <w:tc>
          <w:tcPr>
            <w:tcW w:w="10060" w:type="dxa"/>
            <w:gridSpan w:val="3"/>
          </w:tcPr>
          <w:p w14:paraId="7A061FA7" w14:textId="77777777" w:rsidR="0041150C" w:rsidRDefault="0041150C" w:rsidP="00823751">
            <w:pPr>
              <w:rPr>
                <w:b/>
                <w:bCs/>
              </w:rPr>
            </w:pPr>
            <w:r>
              <w:rPr>
                <w:b/>
                <w:bCs/>
              </w:rPr>
              <w:t>Is the complainant unwilling to accept documented evidence given as being factual?</w:t>
            </w:r>
          </w:p>
          <w:p w14:paraId="57F94ED0"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1251793A"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5AA45C9E" w14:textId="77777777" w:rsidR="0041150C" w:rsidRDefault="0041150C" w:rsidP="00823751">
            <w:pPr>
              <w:rPr>
                <w:b/>
                <w:bCs/>
              </w:rPr>
            </w:pPr>
          </w:p>
        </w:tc>
      </w:tr>
      <w:tr w:rsidR="0041150C" w14:paraId="6148EDA7" w14:textId="77777777" w:rsidTr="00823751">
        <w:tc>
          <w:tcPr>
            <w:tcW w:w="10060" w:type="dxa"/>
            <w:gridSpan w:val="3"/>
          </w:tcPr>
          <w:p w14:paraId="0BB62D51" w14:textId="77777777" w:rsidR="0041150C" w:rsidRDefault="0041150C" w:rsidP="00823751">
            <w:pPr>
              <w:rPr>
                <w:b/>
                <w:bCs/>
              </w:rPr>
            </w:pPr>
            <w:r>
              <w:rPr>
                <w:b/>
                <w:bCs/>
              </w:rPr>
              <w:lastRenderedPageBreak/>
              <w:t>Does the Town deem the complaints to be of an unreasonable nature which is imposing a significant burden on resources within the Town?</w:t>
            </w:r>
          </w:p>
          <w:p w14:paraId="66F533CC"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67D0FBDD"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575B368F" w14:textId="77777777" w:rsidR="0041150C" w:rsidRDefault="0041150C" w:rsidP="00823751">
            <w:pPr>
              <w:rPr>
                <w:b/>
                <w:bCs/>
              </w:rPr>
            </w:pPr>
          </w:p>
        </w:tc>
      </w:tr>
      <w:tr w:rsidR="0041150C" w14:paraId="21D67A31" w14:textId="77777777" w:rsidTr="00823751">
        <w:tc>
          <w:tcPr>
            <w:tcW w:w="10060" w:type="dxa"/>
            <w:gridSpan w:val="3"/>
          </w:tcPr>
          <w:p w14:paraId="45D21A7A" w14:textId="77777777" w:rsidR="0041150C" w:rsidRDefault="0041150C" w:rsidP="00823751">
            <w:pPr>
              <w:rPr>
                <w:b/>
                <w:bCs/>
              </w:rPr>
            </w:pPr>
            <w:r>
              <w:rPr>
                <w:b/>
                <w:bCs/>
              </w:rPr>
              <w:t>Does the Town require legal advice in relation to habitual or vexatious complaints?</w:t>
            </w:r>
          </w:p>
          <w:p w14:paraId="284E88FF"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67EA6DD5"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2784845C" w14:textId="77777777" w:rsidR="0041150C" w:rsidRDefault="0041150C" w:rsidP="00823751">
            <w:pPr>
              <w:rPr>
                <w:b/>
                <w:bCs/>
              </w:rPr>
            </w:pPr>
          </w:p>
        </w:tc>
      </w:tr>
      <w:tr w:rsidR="0041150C" w14:paraId="5FA7CA68" w14:textId="77777777" w:rsidTr="00823751">
        <w:tc>
          <w:tcPr>
            <w:tcW w:w="10060" w:type="dxa"/>
            <w:gridSpan w:val="3"/>
          </w:tcPr>
          <w:p w14:paraId="3C1A6931" w14:textId="77777777" w:rsidR="0041150C" w:rsidRDefault="0041150C" w:rsidP="00823751">
            <w:pPr>
              <w:rPr>
                <w:b/>
                <w:bCs/>
              </w:rPr>
            </w:pPr>
            <w:r>
              <w:rPr>
                <w:b/>
                <w:bCs/>
              </w:rPr>
              <w:t>Is the matter an area or issue of the Town’s jurisdiction?</w:t>
            </w:r>
          </w:p>
          <w:p w14:paraId="5C4249E7"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7619F93B"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5D7B563A" w14:textId="77777777" w:rsidR="0041150C" w:rsidRPr="007C67C8" w:rsidRDefault="0041150C" w:rsidP="00823751">
            <w:pPr>
              <w:rPr>
                <w:b/>
                <w:bCs/>
              </w:rPr>
            </w:pPr>
          </w:p>
        </w:tc>
      </w:tr>
      <w:tr w:rsidR="0041150C" w14:paraId="02974AD8" w14:textId="77777777" w:rsidTr="00823751">
        <w:tc>
          <w:tcPr>
            <w:tcW w:w="10060" w:type="dxa"/>
            <w:gridSpan w:val="3"/>
          </w:tcPr>
          <w:p w14:paraId="430CE1BB" w14:textId="77777777" w:rsidR="0041150C" w:rsidRDefault="0041150C" w:rsidP="00823751">
            <w:pPr>
              <w:rPr>
                <w:b/>
                <w:bCs/>
              </w:rPr>
            </w:pPr>
            <w:r>
              <w:rPr>
                <w:b/>
                <w:bCs/>
              </w:rPr>
              <w:t>Is the complainant personally affected by the action or decision?</w:t>
            </w:r>
          </w:p>
          <w:p w14:paraId="603C96A0"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0F6B7436"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2855E74D" w14:textId="77777777" w:rsidR="0041150C" w:rsidRDefault="0041150C" w:rsidP="00823751">
            <w:pPr>
              <w:rPr>
                <w:b/>
                <w:bCs/>
              </w:rPr>
            </w:pPr>
          </w:p>
        </w:tc>
      </w:tr>
      <w:tr w:rsidR="0041150C" w14:paraId="7B57A137" w14:textId="77777777" w:rsidTr="00823751">
        <w:tc>
          <w:tcPr>
            <w:tcW w:w="10060" w:type="dxa"/>
            <w:gridSpan w:val="3"/>
          </w:tcPr>
          <w:p w14:paraId="011EFA18" w14:textId="77777777" w:rsidR="0041150C" w:rsidRDefault="0041150C" w:rsidP="00823751">
            <w:pPr>
              <w:rPr>
                <w:b/>
                <w:bCs/>
              </w:rPr>
            </w:pPr>
            <w:r>
              <w:rPr>
                <w:b/>
                <w:bCs/>
              </w:rPr>
              <w:t>Has the Town acted in accordance with the relevant head of power including local laws, policies and State Government legislation?</w:t>
            </w:r>
          </w:p>
          <w:p w14:paraId="1C6D11FC"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1F57C1EA"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04B6FEBF" w14:textId="77777777" w:rsidR="0041150C" w:rsidRDefault="0041150C" w:rsidP="00823751">
            <w:pPr>
              <w:rPr>
                <w:b/>
                <w:bCs/>
              </w:rPr>
            </w:pPr>
          </w:p>
        </w:tc>
      </w:tr>
      <w:tr w:rsidR="0041150C" w14:paraId="1D637BAA" w14:textId="77777777" w:rsidTr="00823751">
        <w:tc>
          <w:tcPr>
            <w:tcW w:w="10060" w:type="dxa"/>
            <w:gridSpan w:val="3"/>
          </w:tcPr>
          <w:p w14:paraId="6BD0A989" w14:textId="77777777" w:rsidR="0041150C" w:rsidRDefault="0041150C" w:rsidP="00823751">
            <w:pPr>
              <w:rPr>
                <w:b/>
                <w:bCs/>
              </w:rPr>
            </w:pPr>
            <w:r>
              <w:rPr>
                <w:b/>
                <w:bCs/>
              </w:rPr>
              <w:t>Has the Town acted reasonably and justly?</w:t>
            </w:r>
          </w:p>
          <w:p w14:paraId="3F04DA3D"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38353E89"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6DACE895" w14:textId="77777777" w:rsidR="0041150C" w:rsidRDefault="0041150C" w:rsidP="00823751">
            <w:pPr>
              <w:rPr>
                <w:b/>
                <w:bCs/>
              </w:rPr>
            </w:pPr>
          </w:p>
        </w:tc>
      </w:tr>
      <w:tr w:rsidR="0041150C" w14:paraId="48A1DFBA" w14:textId="77777777" w:rsidTr="00823751">
        <w:tc>
          <w:tcPr>
            <w:tcW w:w="10060" w:type="dxa"/>
            <w:gridSpan w:val="3"/>
          </w:tcPr>
          <w:p w14:paraId="0C8BF304" w14:textId="77777777" w:rsidR="0041150C" w:rsidRDefault="0041150C" w:rsidP="00823751">
            <w:pPr>
              <w:rPr>
                <w:b/>
                <w:bCs/>
              </w:rPr>
            </w:pPr>
            <w:r>
              <w:rPr>
                <w:b/>
                <w:bCs/>
              </w:rPr>
              <w:t>Has the Town provided reasons for a decision?</w:t>
            </w:r>
          </w:p>
          <w:p w14:paraId="6FF69427" w14:textId="77777777" w:rsidR="0041150C" w:rsidRPr="00FB54FA"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Yes</w:t>
            </w:r>
          </w:p>
          <w:p w14:paraId="619E82BE" w14:textId="77777777" w:rsidR="0041150C" w:rsidRPr="00050490" w:rsidRDefault="0041150C" w:rsidP="00823751">
            <w:pPr>
              <w:pStyle w:val="TableParagraph"/>
              <w:tabs>
                <w:tab w:val="left" w:pos="348"/>
              </w:tabs>
              <w:spacing w:before="24"/>
              <w:rPr>
                <w:rFonts w:ascii="Corbel" w:hAnsi="Corbel"/>
              </w:rPr>
            </w:pPr>
            <w:r w:rsidRPr="00FB54FA">
              <w:rPr>
                <w:rFonts w:ascii="Segoe UI Symbol" w:hAnsi="Segoe UI Symbol" w:cs="Segoe UI Symbol"/>
              </w:rPr>
              <w:t>☐</w:t>
            </w:r>
            <w:r w:rsidRPr="00FB54FA">
              <w:rPr>
                <w:rFonts w:ascii="Corbel" w:hAnsi="Corbel"/>
              </w:rPr>
              <w:tab/>
              <w:t xml:space="preserve"> No </w:t>
            </w:r>
          </w:p>
          <w:p w14:paraId="190AA67E" w14:textId="77777777" w:rsidR="0041150C" w:rsidRDefault="0041150C" w:rsidP="00823751">
            <w:pPr>
              <w:rPr>
                <w:b/>
                <w:bCs/>
              </w:rPr>
            </w:pPr>
          </w:p>
        </w:tc>
      </w:tr>
    </w:tbl>
    <w:p w14:paraId="0510C601" w14:textId="77777777" w:rsidR="0041150C" w:rsidRDefault="0041150C" w:rsidP="0041150C"/>
    <w:p w14:paraId="6F88C943" w14:textId="77777777" w:rsidR="0041150C" w:rsidRPr="00972588" w:rsidRDefault="0041150C" w:rsidP="0041150C">
      <w:pPr>
        <w:jc w:val="both"/>
        <w:rPr>
          <w:rFonts w:ascii="Arial" w:hAnsi="Arial" w:cs="Arial"/>
        </w:rPr>
      </w:pPr>
    </w:p>
    <w:p w14:paraId="3B95B28A" w14:textId="77777777" w:rsidR="0041150C" w:rsidRDefault="0041150C" w:rsidP="00C63DFC">
      <w:pPr>
        <w:jc w:val="both"/>
        <w:rPr>
          <w:rFonts w:cstheme="minorHAnsi"/>
          <w:lang w:val="en-US"/>
        </w:rPr>
      </w:pPr>
    </w:p>
    <w:p w14:paraId="4E480F74" w14:textId="77777777" w:rsidR="001A685E" w:rsidRDefault="001A685E" w:rsidP="0016753D">
      <w:pPr>
        <w:jc w:val="both"/>
        <w:rPr>
          <w:rFonts w:cs="Arial"/>
          <w:lang w:val="en-US"/>
        </w:rPr>
      </w:pPr>
    </w:p>
    <w:p w14:paraId="3D85AAEF" w14:textId="77777777" w:rsidR="00930CDF" w:rsidRDefault="00930CDF" w:rsidP="0016753D">
      <w:pPr>
        <w:jc w:val="both"/>
        <w:rPr>
          <w:rFonts w:cs="Arial"/>
          <w:lang w:val="en-US"/>
        </w:rPr>
        <w:sectPr w:rsidR="00930CDF" w:rsidSect="001543AD">
          <w:pgSz w:w="11906" w:h="16838"/>
          <w:pgMar w:top="1021" w:right="1440" w:bottom="1440" w:left="1440" w:header="709" w:footer="709" w:gutter="0"/>
          <w:cols w:space="708"/>
          <w:docGrid w:linePitch="360"/>
        </w:sectPr>
      </w:pPr>
    </w:p>
    <w:p w14:paraId="4BFB6BD7" w14:textId="17693E80" w:rsidR="00C22959" w:rsidRPr="00324F70" w:rsidRDefault="00837116" w:rsidP="00F74526">
      <w:pPr>
        <w:jc w:val="right"/>
        <w:rPr>
          <w:rFonts w:cstheme="minorHAnsi"/>
          <w:sz w:val="28"/>
          <w:szCs w:val="28"/>
          <w:lang w:val="en-US"/>
        </w:rPr>
      </w:pPr>
      <w:r>
        <w:rPr>
          <w:noProof/>
          <w:lang w:eastAsia="en-AU"/>
        </w:rPr>
        <w:lastRenderedPageBreak/>
        <w:drawing>
          <wp:anchor distT="0" distB="0" distL="114300" distR="114300" simplePos="0" relativeHeight="251648000" behindDoc="1" locked="0" layoutInCell="1" allowOverlap="1" wp14:anchorId="36428BB7" wp14:editId="1B1D97D0">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0846EB7A" w14:textId="77777777" w:rsidR="00837116" w:rsidRDefault="00837116" w:rsidP="00B00D30">
      <w:pPr>
        <w:pStyle w:val="Policy1"/>
        <w:spacing w:after="120"/>
      </w:pPr>
    </w:p>
    <w:p w14:paraId="40BF000E" w14:textId="77777777" w:rsidR="00837116" w:rsidRDefault="00837116" w:rsidP="00B00D30">
      <w:pPr>
        <w:pStyle w:val="Policy1"/>
        <w:spacing w:after="120"/>
      </w:pPr>
    </w:p>
    <w:p w14:paraId="0764E8DB" w14:textId="23C46763" w:rsidR="00B00D30" w:rsidRPr="00C0368D" w:rsidRDefault="00B00D30" w:rsidP="00B00D30">
      <w:pPr>
        <w:pStyle w:val="Policy1"/>
        <w:spacing w:after="120"/>
      </w:pPr>
      <w:bookmarkStart w:id="435" w:name="_Toc216866711"/>
      <w:r w:rsidRPr="00C0368D">
        <w:t>3.</w:t>
      </w:r>
      <w:r w:rsidRPr="00C0368D">
        <w:tab/>
        <w:t>REGULATORY SERVICES</w:t>
      </w:r>
      <w:bookmarkEnd w:id="435"/>
    </w:p>
    <w:p w14:paraId="4545D38E" w14:textId="77777777" w:rsidR="00B00D30" w:rsidRDefault="00B00D30" w:rsidP="00B00D30">
      <w:pPr>
        <w:pStyle w:val="Policy2"/>
        <w:spacing w:after="120"/>
      </w:pPr>
      <w:bookmarkStart w:id="436" w:name="_Toc216866712"/>
      <w:r>
        <w:t>3.1</w:t>
      </w:r>
      <w:r>
        <w:tab/>
        <w:t>PLANNING</w:t>
      </w:r>
      <w:bookmarkEnd w:id="436"/>
    </w:p>
    <w:p w14:paraId="22D1B8B1" w14:textId="77777777" w:rsidR="00C22959" w:rsidRPr="0016753D" w:rsidRDefault="00C22959" w:rsidP="00B00D30">
      <w:pPr>
        <w:pStyle w:val="Policy3"/>
      </w:pPr>
      <w:bookmarkStart w:id="437" w:name="_Toc216866713"/>
      <w:r>
        <w:t>3.1.1</w:t>
      </w:r>
      <w:r>
        <w:tab/>
        <w:t>R</w:t>
      </w:r>
      <w:r w:rsidR="00B00D30">
        <w:t>esidential Design Guidelines</w:t>
      </w:r>
      <w:bookmarkEnd w:id="437"/>
    </w:p>
    <w:tbl>
      <w:tblPr>
        <w:tblStyle w:val="TableGrid"/>
        <w:tblW w:w="0" w:type="auto"/>
        <w:tblLook w:val="04A0" w:firstRow="1" w:lastRow="0" w:firstColumn="1" w:lastColumn="0" w:noHBand="0" w:noVBand="1"/>
      </w:tblPr>
      <w:tblGrid>
        <w:gridCol w:w="3022"/>
        <w:gridCol w:w="5994"/>
      </w:tblGrid>
      <w:tr w:rsidR="00C22959" w:rsidRPr="009F1EDC" w14:paraId="02188327" w14:textId="77777777" w:rsidTr="00760D17">
        <w:tc>
          <w:tcPr>
            <w:tcW w:w="3022" w:type="dxa"/>
          </w:tcPr>
          <w:p w14:paraId="62A72A6D" w14:textId="77777777" w:rsidR="00C22959" w:rsidRPr="009F1EDC" w:rsidRDefault="00C22959" w:rsidP="00760D17">
            <w:pPr>
              <w:rPr>
                <w:rFonts w:cs="Arial"/>
                <w:b/>
                <w:lang w:val="en-US"/>
              </w:rPr>
            </w:pPr>
            <w:r w:rsidRPr="009F1EDC">
              <w:rPr>
                <w:rFonts w:cs="Arial"/>
                <w:b/>
                <w:lang w:val="en-US"/>
              </w:rPr>
              <w:t>Type:</w:t>
            </w:r>
          </w:p>
        </w:tc>
        <w:tc>
          <w:tcPr>
            <w:tcW w:w="5994" w:type="dxa"/>
          </w:tcPr>
          <w:p w14:paraId="4213866B" w14:textId="77777777" w:rsidR="00C22959" w:rsidRPr="009F1EDC" w:rsidRDefault="00C22959" w:rsidP="00760D17">
            <w:pPr>
              <w:rPr>
                <w:rFonts w:cs="Arial"/>
                <w:lang w:val="en-US"/>
              </w:rPr>
            </w:pPr>
            <w:r>
              <w:rPr>
                <w:rFonts w:cs="Arial"/>
                <w:lang w:val="en-US"/>
              </w:rPr>
              <w:t>Regulatory Services - Planning</w:t>
            </w:r>
          </w:p>
        </w:tc>
      </w:tr>
      <w:tr w:rsidR="00C22959" w:rsidRPr="009F1EDC" w14:paraId="0E15A64A" w14:textId="77777777" w:rsidTr="00760D17">
        <w:tc>
          <w:tcPr>
            <w:tcW w:w="3022" w:type="dxa"/>
          </w:tcPr>
          <w:p w14:paraId="016C1F33" w14:textId="77777777" w:rsidR="00C22959" w:rsidRPr="009F1EDC" w:rsidRDefault="00C22959" w:rsidP="00760D17">
            <w:pPr>
              <w:rPr>
                <w:rFonts w:cs="Arial"/>
                <w:b/>
                <w:lang w:val="en-US"/>
              </w:rPr>
            </w:pPr>
            <w:r w:rsidRPr="009F1EDC">
              <w:rPr>
                <w:rFonts w:cs="Arial"/>
                <w:b/>
                <w:lang w:val="en-US"/>
              </w:rPr>
              <w:t>Legislation:</w:t>
            </w:r>
          </w:p>
        </w:tc>
        <w:tc>
          <w:tcPr>
            <w:tcW w:w="5994" w:type="dxa"/>
          </w:tcPr>
          <w:p w14:paraId="2BF5AB91" w14:textId="77777777" w:rsidR="00C22959" w:rsidRDefault="00C22959" w:rsidP="00760D17">
            <w:pPr>
              <w:rPr>
                <w:rFonts w:cs="Arial"/>
                <w:lang w:val="en-US"/>
              </w:rPr>
            </w:pPr>
            <w:r>
              <w:rPr>
                <w:rFonts w:cs="Arial"/>
                <w:lang w:val="en-US"/>
              </w:rPr>
              <w:t xml:space="preserve">Town Planning &amp; Development </w:t>
            </w:r>
            <w:r w:rsidR="00C558AD">
              <w:rPr>
                <w:rFonts w:cs="Arial"/>
                <w:lang w:val="en-US"/>
              </w:rPr>
              <w:t xml:space="preserve">Act </w:t>
            </w:r>
            <w:r>
              <w:rPr>
                <w:rFonts w:cs="Arial"/>
                <w:lang w:val="en-US"/>
              </w:rPr>
              <w:t>2005</w:t>
            </w:r>
          </w:p>
          <w:p w14:paraId="0AC3A174" w14:textId="77777777" w:rsidR="00C558AD" w:rsidRPr="009F1EDC" w:rsidRDefault="00C558AD" w:rsidP="00C558AD">
            <w:pPr>
              <w:rPr>
                <w:rFonts w:cs="Arial"/>
                <w:lang w:val="en-US"/>
              </w:rPr>
            </w:pPr>
            <w:r>
              <w:rPr>
                <w:rFonts w:cs="Arial"/>
                <w:lang w:val="en-US"/>
              </w:rPr>
              <w:t>Planning &amp; Development (Local Planning Schemes) Regs 2015</w:t>
            </w:r>
          </w:p>
        </w:tc>
      </w:tr>
      <w:tr w:rsidR="00C22959" w:rsidRPr="009F1EDC" w14:paraId="591EC5F3" w14:textId="77777777" w:rsidTr="00760D17">
        <w:tc>
          <w:tcPr>
            <w:tcW w:w="3022" w:type="dxa"/>
          </w:tcPr>
          <w:p w14:paraId="6F99171F" w14:textId="77777777" w:rsidR="00C22959" w:rsidRPr="009F1EDC" w:rsidRDefault="00C22959" w:rsidP="00760D17">
            <w:pPr>
              <w:rPr>
                <w:rFonts w:cs="Arial"/>
                <w:b/>
                <w:lang w:val="en-US"/>
              </w:rPr>
            </w:pPr>
            <w:r w:rsidRPr="009F1EDC">
              <w:rPr>
                <w:rFonts w:cs="Arial"/>
                <w:b/>
                <w:lang w:val="en-US"/>
              </w:rPr>
              <w:t>Delegation:</w:t>
            </w:r>
          </w:p>
        </w:tc>
        <w:tc>
          <w:tcPr>
            <w:tcW w:w="5994" w:type="dxa"/>
          </w:tcPr>
          <w:p w14:paraId="5F18E53A" w14:textId="77777777" w:rsidR="00C22959" w:rsidRPr="009F1EDC" w:rsidRDefault="00C22959" w:rsidP="00760D17">
            <w:pPr>
              <w:rPr>
                <w:rFonts w:cs="Arial"/>
                <w:lang w:val="en-US"/>
              </w:rPr>
            </w:pPr>
          </w:p>
        </w:tc>
      </w:tr>
      <w:tr w:rsidR="00C22959" w:rsidRPr="009F1EDC" w14:paraId="1D91EA53" w14:textId="77777777" w:rsidTr="00760D17">
        <w:tc>
          <w:tcPr>
            <w:tcW w:w="3022" w:type="dxa"/>
          </w:tcPr>
          <w:p w14:paraId="0C9CD9FD" w14:textId="77777777" w:rsidR="00C22959" w:rsidRPr="009F1EDC" w:rsidRDefault="00C22959" w:rsidP="00760D17">
            <w:pPr>
              <w:rPr>
                <w:rFonts w:cs="Arial"/>
                <w:b/>
                <w:lang w:val="en-US"/>
              </w:rPr>
            </w:pPr>
            <w:r w:rsidRPr="009F1EDC">
              <w:rPr>
                <w:rFonts w:cs="Arial"/>
                <w:b/>
                <w:lang w:val="en-US"/>
              </w:rPr>
              <w:t>Other Related Document:</w:t>
            </w:r>
          </w:p>
        </w:tc>
        <w:tc>
          <w:tcPr>
            <w:tcW w:w="5994" w:type="dxa"/>
          </w:tcPr>
          <w:p w14:paraId="78638929" w14:textId="77777777" w:rsidR="00C22959" w:rsidRPr="009F1EDC" w:rsidRDefault="00C558AD" w:rsidP="00760D17">
            <w:pPr>
              <w:rPr>
                <w:rFonts w:cs="Arial"/>
                <w:lang w:val="en-US"/>
              </w:rPr>
            </w:pPr>
            <w:r>
              <w:rPr>
                <w:rFonts w:cs="Arial"/>
                <w:lang w:val="en-US"/>
              </w:rPr>
              <w:t>Local Planning Scheme No 3</w:t>
            </w:r>
          </w:p>
        </w:tc>
      </w:tr>
    </w:tbl>
    <w:p w14:paraId="01D73285" w14:textId="77777777" w:rsidR="00C22959" w:rsidRDefault="00C22959" w:rsidP="0016753D">
      <w:pPr>
        <w:jc w:val="both"/>
        <w:rPr>
          <w:rFonts w:cs="Arial"/>
          <w:lang w:val="en-US"/>
        </w:rPr>
      </w:pPr>
    </w:p>
    <w:p w14:paraId="37B9CCEB" w14:textId="77777777" w:rsidR="00C22959" w:rsidRDefault="00C22959" w:rsidP="0016753D">
      <w:pPr>
        <w:jc w:val="both"/>
        <w:rPr>
          <w:rFonts w:cs="Arial"/>
          <w:lang w:val="en-US"/>
        </w:rPr>
      </w:pPr>
      <w:r w:rsidRPr="00842387">
        <w:rPr>
          <w:noProof/>
          <w:sz w:val="2"/>
          <w:lang w:eastAsia="en-AU"/>
        </w:rPr>
        <w:drawing>
          <wp:inline distT="0" distB="0" distL="0" distR="0" wp14:anchorId="40AF5DEE" wp14:editId="22B3576B">
            <wp:extent cx="5731510" cy="4356100"/>
            <wp:effectExtent l="0" t="0" r="2540" b="6350"/>
            <wp:docPr id="134" name="Picture 3" descr="google river 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river shot.jpg"/>
                    <pic:cNvPicPr/>
                  </pic:nvPicPr>
                  <pic:blipFill>
                    <a:blip r:embed="rId168" cstate="print"/>
                    <a:stretch>
                      <a:fillRect/>
                    </a:stretch>
                  </pic:blipFill>
                  <pic:spPr>
                    <a:xfrm>
                      <a:off x="0" y="0"/>
                      <a:ext cx="5731510" cy="4356100"/>
                    </a:xfrm>
                    <a:prstGeom prst="rect">
                      <a:avLst/>
                    </a:prstGeom>
                  </pic:spPr>
                </pic:pic>
              </a:graphicData>
            </a:graphic>
          </wp:inline>
        </w:drawing>
      </w:r>
    </w:p>
    <w:tbl>
      <w:tblPr>
        <w:tblStyle w:val="TableGrid"/>
        <w:tblW w:w="0" w:type="auto"/>
        <w:tblLook w:val="04A0" w:firstRow="1" w:lastRow="0" w:firstColumn="1" w:lastColumn="0" w:noHBand="0" w:noVBand="1"/>
      </w:tblPr>
      <w:tblGrid>
        <w:gridCol w:w="3256"/>
        <w:gridCol w:w="5760"/>
      </w:tblGrid>
      <w:tr w:rsidR="00C22959" w:rsidRPr="009F1EDC" w14:paraId="4540F9FA" w14:textId="77777777" w:rsidTr="00760D17">
        <w:tc>
          <w:tcPr>
            <w:tcW w:w="3256" w:type="dxa"/>
          </w:tcPr>
          <w:p w14:paraId="6DF71A7A" w14:textId="77777777" w:rsidR="00C22959" w:rsidRPr="009F1EDC" w:rsidRDefault="00C22959" w:rsidP="00760D17">
            <w:pPr>
              <w:jc w:val="both"/>
              <w:rPr>
                <w:rFonts w:cs="Arial"/>
                <w:b/>
                <w:lang w:val="en-US"/>
              </w:rPr>
            </w:pPr>
            <w:r w:rsidRPr="009F1EDC">
              <w:rPr>
                <w:rFonts w:cs="Arial"/>
                <w:b/>
                <w:lang w:val="en-US"/>
              </w:rPr>
              <w:t>Responsible Directorate:</w:t>
            </w:r>
          </w:p>
        </w:tc>
        <w:tc>
          <w:tcPr>
            <w:tcW w:w="5760" w:type="dxa"/>
          </w:tcPr>
          <w:p w14:paraId="3BBFB9A0" w14:textId="77777777" w:rsidR="00C22959" w:rsidRPr="009F1EDC" w:rsidRDefault="00C22959" w:rsidP="00760D17">
            <w:pPr>
              <w:jc w:val="both"/>
              <w:rPr>
                <w:rFonts w:cs="Arial"/>
                <w:lang w:val="en-US"/>
              </w:rPr>
            </w:pPr>
            <w:r>
              <w:rPr>
                <w:rFonts w:cs="Arial"/>
                <w:lang w:val="en-US"/>
              </w:rPr>
              <w:t xml:space="preserve">Regulatory </w:t>
            </w:r>
            <w:r w:rsidRPr="009F1EDC">
              <w:rPr>
                <w:rFonts w:cs="Arial"/>
                <w:lang w:val="en-US"/>
              </w:rPr>
              <w:t>Services</w:t>
            </w:r>
          </w:p>
        </w:tc>
      </w:tr>
      <w:tr w:rsidR="00C22959" w:rsidRPr="009F1EDC" w14:paraId="6369B7DF" w14:textId="77777777" w:rsidTr="00760D17">
        <w:tc>
          <w:tcPr>
            <w:tcW w:w="3256" w:type="dxa"/>
          </w:tcPr>
          <w:p w14:paraId="68C2D744" w14:textId="77777777" w:rsidR="00C22959" w:rsidRPr="009F1EDC" w:rsidRDefault="00C22959" w:rsidP="00760D17">
            <w:pPr>
              <w:jc w:val="both"/>
              <w:rPr>
                <w:rFonts w:cs="Arial"/>
                <w:b/>
                <w:lang w:val="en-US"/>
              </w:rPr>
            </w:pPr>
            <w:r w:rsidRPr="009F1EDC">
              <w:rPr>
                <w:rFonts w:cs="Arial"/>
                <w:b/>
                <w:lang w:val="en-US"/>
              </w:rPr>
              <w:t>Reviewing Officer:</w:t>
            </w:r>
          </w:p>
        </w:tc>
        <w:tc>
          <w:tcPr>
            <w:tcW w:w="5760" w:type="dxa"/>
          </w:tcPr>
          <w:p w14:paraId="15C937AD" w14:textId="77777777" w:rsidR="00C22959" w:rsidRPr="009F1EDC" w:rsidRDefault="00C22959" w:rsidP="00C22959">
            <w:pPr>
              <w:jc w:val="both"/>
              <w:rPr>
                <w:rFonts w:cs="Arial"/>
                <w:lang w:val="en-US"/>
              </w:rPr>
            </w:pPr>
            <w:r w:rsidRPr="009F1EDC">
              <w:rPr>
                <w:rFonts w:cs="Arial"/>
                <w:lang w:val="en-US"/>
              </w:rPr>
              <w:t xml:space="preserve">Executive Manager </w:t>
            </w:r>
            <w:r>
              <w:rPr>
                <w:rFonts w:cs="Arial"/>
                <w:lang w:val="en-US"/>
              </w:rPr>
              <w:t>Regulatory</w:t>
            </w:r>
            <w:r w:rsidRPr="009F1EDC">
              <w:rPr>
                <w:rFonts w:cs="Arial"/>
                <w:lang w:val="en-US"/>
              </w:rPr>
              <w:t xml:space="preserve"> Services</w:t>
            </w:r>
          </w:p>
        </w:tc>
      </w:tr>
      <w:tr w:rsidR="00C22959" w:rsidRPr="009F1EDC" w14:paraId="1A92797A" w14:textId="77777777" w:rsidTr="00760D17">
        <w:tc>
          <w:tcPr>
            <w:tcW w:w="3256" w:type="dxa"/>
          </w:tcPr>
          <w:p w14:paraId="69BFBF8C" w14:textId="77777777" w:rsidR="00C22959" w:rsidRPr="009F1EDC" w:rsidRDefault="00C22959" w:rsidP="00760D17">
            <w:pPr>
              <w:jc w:val="both"/>
              <w:rPr>
                <w:rFonts w:cs="Arial"/>
                <w:b/>
                <w:lang w:val="en-US"/>
              </w:rPr>
            </w:pPr>
            <w:r w:rsidRPr="009F1EDC">
              <w:rPr>
                <w:rFonts w:cs="Arial"/>
                <w:b/>
                <w:lang w:val="en-US"/>
              </w:rPr>
              <w:t>Decision making Authority:</w:t>
            </w:r>
          </w:p>
        </w:tc>
        <w:tc>
          <w:tcPr>
            <w:tcW w:w="5760" w:type="dxa"/>
          </w:tcPr>
          <w:p w14:paraId="7C246062" w14:textId="77777777" w:rsidR="00C22959" w:rsidRPr="009F1EDC" w:rsidRDefault="00C22959" w:rsidP="00760D17">
            <w:pPr>
              <w:jc w:val="both"/>
              <w:rPr>
                <w:rFonts w:cs="Arial"/>
                <w:lang w:val="en-US"/>
              </w:rPr>
            </w:pPr>
            <w:r w:rsidRPr="009F1EDC">
              <w:rPr>
                <w:rFonts w:cs="Arial"/>
                <w:lang w:val="en-US"/>
              </w:rPr>
              <w:t>Council</w:t>
            </w:r>
          </w:p>
        </w:tc>
      </w:tr>
      <w:tr w:rsidR="00C22959" w:rsidRPr="009F1EDC" w14:paraId="219E0818" w14:textId="77777777" w:rsidTr="00760D17">
        <w:tc>
          <w:tcPr>
            <w:tcW w:w="3256" w:type="dxa"/>
          </w:tcPr>
          <w:p w14:paraId="004B0A20" w14:textId="77777777" w:rsidR="00C22959" w:rsidRPr="009F1EDC" w:rsidRDefault="00C22959" w:rsidP="00760D17">
            <w:pPr>
              <w:jc w:val="both"/>
              <w:rPr>
                <w:rFonts w:cs="Arial"/>
                <w:b/>
                <w:lang w:val="en-US"/>
              </w:rPr>
            </w:pPr>
            <w:r w:rsidRPr="009F1EDC">
              <w:rPr>
                <w:rFonts w:cs="Arial"/>
                <w:b/>
                <w:lang w:val="en-US"/>
              </w:rPr>
              <w:t>Policy Adopted:</w:t>
            </w:r>
          </w:p>
        </w:tc>
        <w:tc>
          <w:tcPr>
            <w:tcW w:w="5760" w:type="dxa"/>
          </w:tcPr>
          <w:p w14:paraId="59D02811" w14:textId="77777777" w:rsidR="00C22959" w:rsidRPr="009F1EDC" w:rsidRDefault="00C22959" w:rsidP="00760D17">
            <w:pPr>
              <w:jc w:val="both"/>
              <w:rPr>
                <w:rFonts w:cs="Arial"/>
                <w:lang w:val="en-US"/>
              </w:rPr>
            </w:pPr>
            <w:r>
              <w:rPr>
                <w:rFonts w:cs="Arial"/>
                <w:lang w:val="en-US"/>
              </w:rPr>
              <w:t>18/09/12</w:t>
            </w:r>
          </w:p>
        </w:tc>
      </w:tr>
      <w:tr w:rsidR="00C22959" w:rsidRPr="009F1EDC" w14:paraId="6E0E733F" w14:textId="77777777" w:rsidTr="00760D17">
        <w:tc>
          <w:tcPr>
            <w:tcW w:w="3256" w:type="dxa"/>
          </w:tcPr>
          <w:p w14:paraId="46A94281" w14:textId="77777777" w:rsidR="00C22959" w:rsidRPr="009F1EDC" w:rsidRDefault="00C22959" w:rsidP="00760D17">
            <w:pPr>
              <w:jc w:val="both"/>
              <w:rPr>
                <w:rFonts w:cs="Arial"/>
                <w:b/>
                <w:lang w:val="en-US"/>
              </w:rPr>
            </w:pPr>
            <w:r>
              <w:rPr>
                <w:rFonts w:cs="Arial"/>
                <w:b/>
                <w:lang w:val="en-US"/>
              </w:rPr>
              <w:t>Policy Amended/Reviewed:</w:t>
            </w:r>
          </w:p>
        </w:tc>
        <w:tc>
          <w:tcPr>
            <w:tcW w:w="5760" w:type="dxa"/>
          </w:tcPr>
          <w:p w14:paraId="66693B22" w14:textId="77777777" w:rsidR="00C22959" w:rsidRPr="009F1EDC" w:rsidRDefault="00C22959" w:rsidP="00760D17">
            <w:pPr>
              <w:jc w:val="both"/>
              <w:rPr>
                <w:rFonts w:cs="Arial"/>
                <w:lang w:val="en-US"/>
              </w:rPr>
            </w:pPr>
            <w:r>
              <w:rPr>
                <w:rFonts w:cs="Arial"/>
                <w:lang w:val="en-US"/>
              </w:rPr>
              <w:t>18/03/13, 17/03/15, 17/05/16</w:t>
            </w:r>
          </w:p>
        </w:tc>
      </w:tr>
      <w:tr w:rsidR="00C22959" w:rsidRPr="009F1EDC" w14:paraId="3AA0CA4C" w14:textId="77777777" w:rsidTr="00760D17">
        <w:tc>
          <w:tcPr>
            <w:tcW w:w="3256" w:type="dxa"/>
          </w:tcPr>
          <w:p w14:paraId="3B68274E" w14:textId="77777777" w:rsidR="00C22959" w:rsidRPr="009F1EDC" w:rsidRDefault="00C22959" w:rsidP="00760D17">
            <w:pPr>
              <w:jc w:val="both"/>
              <w:rPr>
                <w:rFonts w:cs="Arial"/>
                <w:b/>
                <w:lang w:val="en-US"/>
              </w:rPr>
            </w:pPr>
            <w:r>
              <w:rPr>
                <w:rFonts w:cs="Arial"/>
                <w:b/>
                <w:lang w:val="en-US"/>
              </w:rPr>
              <w:t>Former Policy No:</w:t>
            </w:r>
          </w:p>
        </w:tc>
        <w:tc>
          <w:tcPr>
            <w:tcW w:w="5760" w:type="dxa"/>
          </w:tcPr>
          <w:p w14:paraId="25B8B913" w14:textId="77777777" w:rsidR="00C22959" w:rsidRPr="009F1EDC" w:rsidRDefault="00C22959" w:rsidP="00760D17">
            <w:pPr>
              <w:jc w:val="both"/>
              <w:rPr>
                <w:rFonts w:cs="Arial"/>
                <w:lang w:val="en-US"/>
              </w:rPr>
            </w:pPr>
            <w:r>
              <w:rPr>
                <w:rFonts w:cs="Arial"/>
                <w:lang w:val="en-US"/>
              </w:rPr>
              <w:t>2.2.2</w:t>
            </w:r>
          </w:p>
        </w:tc>
      </w:tr>
    </w:tbl>
    <w:p w14:paraId="457D8885" w14:textId="77777777" w:rsidR="002C6E58" w:rsidRDefault="002C6E58" w:rsidP="002C6E58">
      <w:pPr>
        <w:pStyle w:val="Title"/>
        <w:pBdr>
          <w:bottom w:val="none" w:sz="0" w:space="0" w:color="auto"/>
        </w:pBdr>
        <w:spacing w:after="240"/>
        <w:jc w:val="right"/>
        <w:rPr>
          <w:rFonts w:ascii="Arial" w:hAnsi="Arial" w:cs="Arial"/>
          <w:b/>
          <w:sz w:val="28"/>
          <w:szCs w:val="28"/>
          <w:lang w:val="en-US"/>
        </w:rPr>
      </w:pPr>
    </w:p>
    <w:p w14:paraId="7BEB3805" w14:textId="77777777" w:rsidR="00B46EF1" w:rsidRPr="00842387" w:rsidRDefault="00B46EF1" w:rsidP="002A3889">
      <w:pPr>
        <w:pStyle w:val="Heading1"/>
        <w:keepNext w:val="0"/>
        <w:keepLines w:val="0"/>
        <w:numPr>
          <w:ilvl w:val="0"/>
          <w:numId w:val="273"/>
        </w:numPr>
        <w:autoSpaceDE w:val="0"/>
        <w:autoSpaceDN w:val="0"/>
        <w:spacing w:before="0" w:line="360" w:lineRule="auto"/>
      </w:pPr>
      <w:bookmarkStart w:id="438" w:name="_Toc452727421"/>
      <w:r w:rsidRPr="00842387">
        <w:lastRenderedPageBreak/>
        <w:t>Table of Contents</w:t>
      </w:r>
      <w:bookmarkEnd w:id="438"/>
    </w:p>
    <w:sdt>
      <w:sdtPr>
        <w:id w:val="7712110"/>
        <w:docPartObj>
          <w:docPartGallery w:val="Table of Contents"/>
          <w:docPartUnique/>
        </w:docPartObj>
      </w:sdtPr>
      <w:sdtEndPr/>
      <w:sdtContent>
        <w:p w14:paraId="09D112A1" w14:textId="39E1C5F9" w:rsidR="00B46EF1" w:rsidRDefault="00B46EF1" w:rsidP="00B46EF1">
          <w:pPr>
            <w:pStyle w:val="TOC1"/>
            <w:rPr>
              <w:rFonts w:eastAsiaTheme="minorEastAsia"/>
              <w:noProof/>
              <w:sz w:val="22"/>
              <w:lang w:eastAsia="en-AU"/>
            </w:rPr>
          </w:pPr>
          <w:r w:rsidRPr="00842387">
            <w:fldChar w:fldCharType="begin"/>
          </w:r>
          <w:r w:rsidRPr="00842387">
            <w:instrText xml:space="preserve"> TOC \o "1-3" \h \z \u </w:instrText>
          </w:r>
          <w:r w:rsidRPr="00842387">
            <w:fldChar w:fldCharType="separate"/>
          </w:r>
          <w:hyperlink w:anchor="_Toc452727421" w:history="1">
            <w:r w:rsidRPr="005C6E11">
              <w:rPr>
                <w:rStyle w:val="Hyperlink"/>
                <w:noProof/>
              </w:rPr>
              <w:t>1.0</w:t>
            </w:r>
            <w:r>
              <w:rPr>
                <w:rFonts w:eastAsiaTheme="minorEastAsia"/>
                <w:noProof/>
                <w:sz w:val="22"/>
                <w:lang w:eastAsia="en-AU"/>
              </w:rPr>
              <w:tab/>
            </w:r>
            <w:r w:rsidRPr="005C6E11">
              <w:rPr>
                <w:rStyle w:val="Hyperlink"/>
                <w:noProof/>
              </w:rPr>
              <w:t>Table of Contents</w:t>
            </w:r>
            <w:r>
              <w:rPr>
                <w:noProof/>
                <w:webHidden/>
              </w:rPr>
              <w:tab/>
            </w:r>
            <w:r>
              <w:rPr>
                <w:noProof/>
                <w:webHidden/>
              </w:rPr>
              <w:fldChar w:fldCharType="begin"/>
            </w:r>
            <w:r>
              <w:rPr>
                <w:noProof/>
                <w:webHidden/>
              </w:rPr>
              <w:instrText xml:space="preserve"> PAGEREF _Toc452727421 \h </w:instrText>
            </w:r>
            <w:r>
              <w:rPr>
                <w:noProof/>
                <w:webHidden/>
              </w:rPr>
            </w:r>
            <w:r>
              <w:rPr>
                <w:noProof/>
                <w:webHidden/>
              </w:rPr>
              <w:fldChar w:fldCharType="separate"/>
            </w:r>
            <w:r w:rsidR="00EC605B">
              <w:rPr>
                <w:noProof/>
                <w:webHidden/>
              </w:rPr>
              <w:t>2</w:t>
            </w:r>
            <w:r>
              <w:rPr>
                <w:noProof/>
                <w:webHidden/>
              </w:rPr>
              <w:fldChar w:fldCharType="end"/>
            </w:r>
          </w:hyperlink>
        </w:p>
        <w:p w14:paraId="34C452E0" w14:textId="43499D31" w:rsidR="00B46EF1" w:rsidRDefault="00B46EF1" w:rsidP="00B46EF1">
          <w:pPr>
            <w:pStyle w:val="TOC1"/>
            <w:rPr>
              <w:rFonts w:eastAsiaTheme="minorEastAsia"/>
              <w:noProof/>
              <w:sz w:val="22"/>
              <w:lang w:eastAsia="en-AU"/>
            </w:rPr>
          </w:pPr>
          <w:hyperlink w:anchor="_Toc452727422" w:history="1">
            <w:r w:rsidRPr="005C6E11">
              <w:rPr>
                <w:rStyle w:val="Hyperlink"/>
                <w:noProof/>
              </w:rPr>
              <w:t>2.0</w:t>
            </w:r>
            <w:r>
              <w:rPr>
                <w:rFonts w:eastAsiaTheme="minorEastAsia"/>
                <w:noProof/>
                <w:sz w:val="22"/>
                <w:lang w:eastAsia="en-AU"/>
              </w:rPr>
              <w:tab/>
            </w:r>
            <w:r w:rsidRPr="005C6E11">
              <w:rPr>
                <w:rStyle w:val="Hyperlink"/>
                <w:noProof/>
              </w:rPr>
              <w:t>Introduction</w:t>
            </w:r>
            <w:r>
              <w:rPr>
                <w:noProof/>
                <w:webHidden/>
              </w:rPr>
              <w:tab/>
            </w:r>
            <w:r>
              <w:rPr>
                <w:noProof/>
                <w:webHidden/>
              </w:rPr>
              <w:fldChar w:fldCharType="begin"/>
            </w:r>
            <w:r>
              <w:rPr>
                <w:noProof/>
                <w:webHidden/>
              </w:rPr>
              <w:instrText xml:space="preserve"> PAGEREF _Toc452727422 \h </w:instrText>
            </w:r>
            <w:r>
              <w:rPr>
                <w:noProof/>
                <w:webHidden/>
              </w:rPr>
            </w:r>
            <w:r>
              <w:rPr>
                <w:noProof/>
                <w:webHidden/>
              </w:rPr>
              <w:fldChar w:fldCharType="separate"/>
            </w:r>
            <w:r w:rsidR="00EC605B">
              <w:rPr>
                <w:noProof/>
                <w:webHidden/>
              </w:rPr>
              <w:t>3</w:t>
            </w:r>
            <w:r>
              <w:rPr>
                <w:noProof/>
                <w:webHidden/>
              </w:rPr>
              <w:fldChar w:fldCharType="end"/>
            </w:r>
          </w:hyperlink>
        </w:p>
        <w:p w14:paraId="6AAC318A" w14:textId="34533066" w:rsidR="00B46EF1" w:rsidRDefault="00B46EF1" w:rsidP="00B46EF1">
          <w:pPr>
            <w:pStyle w:val="TOC1"/>
            <w:rPr>
              <w:rFonts w:eastAsiaTheme="minorEastAsia"/>
              <w:noProof/>
              <w:sz w:val="22"/>
              <w:lang w:eastAsia="en-AU"/>
            </w:rPr>
          </w:pPr>
          <w:hyperlink w:anchor="_Toc452727423" w:history="1">
            <w:r w:rsidRPr="005C6E11">
              <w:rPr>
                <w:rStyle w:val="Hyperlink"/>
                <w:noProof/>
              </w:rPr>
              <w:t>3.0</w:t>
            </w:r>
            <w:r>
              <w:rPr>
                <w:rFonts w:eastAsiaTheme="minorEastAsia"/>
                <w:noProof/>
                <w:sz w:val="22"/>
                <w:lang w:eastAsia="en-AU"/>
              </w:rPr>
              <w:tab/>
            </w:r>
            <w:r w:rsidRPr="005C6E11">
              <w:rPr>
                <w:rStyle w:val="Hyperlink"/>
                <w:noProof/>
              </w:rPr>
              <w:t>Local Planning Policy (Design Guidelines for Residential Development)</w:t>
            </w:r>
            <w:r>
              <w:rPr>
                <w:noProof/>
                <w:webHidden/>
              </w:rPr>
              <w:tab/>
            </w:r>
            <w:r>
              <w:rPr>
                <w:noProof/>
                <w:webHidden/>
              </w:rPr>
              <w:fldChar w:fldCharType="begin"/>
            </w:r>
            <w:r>
              <w:rPr>
                <w:noProof/>
                <w:webHidden/>
              </w:rPr>
              <w:instrText xml:space="preserve"> PAGEREF _Toc452727423 \h </w:instrText>
            </w:r>
            <w:r>
              <w:rPr>
                <w:noProof/>
                <w:webHidden/>
              </w:rPr>
            </w:r>
            <w:r>
              <w:rPr>
                <w:noProof/>
                <w:webHidden/>
              </w:rPr>
              <w:fldChar w:fldCharType="separate"/>
            </w:r>
            <w:r w:rsidR="00EC605B">
              <w:rPr>
                <w:noProof/>
                <w:webHidden/>
              </w:rPr>
              <w:t>3</w:t>
            </w:r>
            <w:r>
              <w:rPr>
                <w:noProof/>
                <w:webHidden/>
              </w:rPr>
              <w:fldChar w:fldCharType="end"/>
            </w:r>
          </w:hyperlink>
        </w:p>
        <w:p w14:paraId="6AF576FD" w14:textId="4CC956E7" w:rsidR="00B46EF1" w:rsidRDefault="00B46EF1" w:rsidP="00543E1B">
          <w:pPr>
            <w:pStyle w:val="TOC2"/>
            <w:rPr>
              <w:rFonts w:eastAsiaTheme="minorEastAsia"/>
              <w:noProof/>
              <w:lang w:eastAsia="en-AU"/>
            </w:rPr>
          </w:pPr>
          <w:hyperlink w:anchor="_Toc452727424" w:history="1">
            <w:r w:rsidRPr="005C6E11">
              <w:rPr>
                <w:rStyle w:val="Hyperlink"/>
                <w:noProof/>
              </w:rPr>
              <w:t>3.1</w:t>
            </w:r>
            <w:r>
              <w:rPr>
                <w:rFonts w:eastAsiaTheme="minorEastAsia"/>
                <w:noProof/>
                <w:lang w:eastAsia="en-AU"/>
              </w:rPr>
              <w:tab/>
            </w:r>
            <w:r w:rsidRPr="005C6E11">
              <w:rPr>
                <w:rStyle w:val="Hyperlink"/>
                <w:noProof/>
              </w:rPr>
              <w:t>Introduction</w:t>
            </w:r>
            <w:r>
              <w:rPr>
                <w:noProof/>
                <w:webHidden/>
              </w:rPr>
              <w:tab/>
            </w:r>
            <w:r>
              <w:rPr>
                <w:noProof/>
                <w:webHidden/>
              </w:rPr>
              <w:fldChar w:fldCharType="begin"/>
            </w:r>
            <w:r>
              <w:rPr>
                <w:noProof/>
                <w:webHidden/>
              </w:rPr>
              <w:instrText xml:space="preserve"> PAGEREF _Toc452727424 \h </w:instrText>
            </w:r>
            <w:r>
              <w:rPr>
                <w:noProof/>
                <w:webHidden/>
              </w:rPr>
            </w:r>
            <w:r>
              <w:rPr>
                <w:noProof/>
                <w:webHidden/>
              </w:rPr>
              <w:fldChar w:fldCharType="separate"/>
            </w:r>
            <w:r w:rsidR="00EC605B">
              <w:rPr>
                <w:noProof/>
                <w:webHidden/>
              </w:rPr>
              <w:t>3</w:t>
            </w:r>
            <w:r>
              <w:rPr>
                <w:noProof/>
                <w:webHidden/>
              </w:rPr>
              <w:fldChar w:fldCharType="end"/>
            </w:r>
          </w:hyperlink>
        </w:p>
        <w:p w14:paraId="65E2AB6A" w14:textId="18C70EAD" w:rsidR="00B46EF1" w:rsidRDefault="00B46EF1" w:rsidP="00543E1B">
          <w:pPr>
            <w:pStyle w:val="TOC2"/>
            <w:rPr>
              <w:rFonts w:eastAsiaTheme="minorEastAsia"/>
              <w:noProof/>
              <w:lang w:eastAsia="en-AU"/>
            </w:rPr>
          </w:pPr>
          <w:hyperlink w:anchor="_Toc452727425" w:history="1">
            <w:r w:rsidRPr="005C6E11">
              <w:rPr>
                <w:rStyle w:val="Hyperlink"/>
                <w:noProof/>
              </w:rPr>
              <w:t>3.2</w:t>
            </w:r>
            <w:r>
              <w:rPr>
                <w:rFonts w:eastAsiaTheme="minorEastAsia"/>
                <w:noProof/>
                <w:lang w:eastAsia="en-AU"/>
              </w:rPr>
              <w:tab/>
            </w:r>
            <w:r w:rsidRPr="005C6E11">
              <w:rPr>
                <w:rStyle w:val="Hyperlink"/>
                <w:noProof/>
              </w:rPr>
              <w:t>Purpose of this Policy</w:t>
            </w:r>
            <w:r>
              <w:rPr>
                <w:noProof/>
                <w:webHidden/>
              </w:rPr>
              <w:tab/>
            </w:r>
            <w:r>
              <w:rPr>
                <w:noProof/>
                <w:webHidden/>
              </w:rPr>
              <w:fldChar w:fldCharType="begin"/>
            </w:r>
            <w:r>
              <w:rPr>
                <w:noProof/>
                <w:webHidden/>
              </w:rPr>
              <w:instrText xml:space="preserve"> PAGEREF _Toc452727425 \h </w:instrText>
            </w:r>
            <w:r>
              <w:rPr>
                <w:noProof/>
                <w:webHidden/>
              </w:rPr>
            </w:r>
            <w:r>
              <w:rPr>
                <w:noProof/>
                <w:webHidden/>
              </w:rPr>
              <w:fldChar w:fldCharType="separate"/>
            </w:r>
            <w:r w:rsidR="00EC605B">
              <w:rPr>
                <w:noProof/>
                <w:webHidden/>
              </w:rPr>
              <w:t>3</w:t>
            </w:r>
            <w:r>
              <w:rPr>
                <w:noProof/>
                <w:webHidden/>
              </w:rPr>
              <w:fldChar w:fldCharType="end"/>
            </w:r>
          </w:hyperlink>
        </w:p>
        <w:p w14:paraId="43D6E3BD" w14:textId="55DEE4EF" w:rsidR="00B46EF1" w:rsidRDefault="00B46EF1" w:rsidP="00543E1B">
          <w:pPr>
            <w:pStyle w:val="TOC2"/>
            <w:rPr>
              <w:rFonts w:eastAsiaTheme="minorEastAsia"/>
              <w:noProof/>
              <w:lang w:eastAsia="en-AU"/>
            </w:rPr>
          </w:pPr>
          <w:hyperlink w:anchor="_Toc452727426" w:history="1">
            <w:r w:rsidRPr="005C6E11">
              <w:rPr>
                <w:rStyle w:val="Hyperlink"/>
                <w:noProof/>
              </w:rPr>
              <w:t>3.3</w:t>
            </w:r>
            <w:r>
              <w:rPr>
                <w:rFonts w:eastAsiaTheme="minorEastAsia"/>
                <w:noProof/>
                <w:lang w:eastAsia="en-AU"/>
              </w:rPr>
              <w:tab/>
            </w:r>
            <w:r w:rsidRPr="005C6E11">
              <w:rPr>
                <w:rStyle w:val="Hyperlink"/>
                <w:noProof/>
              </w:rPr>
              <w:t>Objectives of this Policy</w:t>
            </w:r>
            <w:r>
              <w:rPr>
                <w:noProof/>
                <w:webHidden/>
              </w:rPr>
              <w:tab/>
            </w:r>
            <w:r>
              <w:rPr>
                <w:noProof/>
                <w:webHidden/>
              </w:rPr>
              <w:fldChar w:fldCharType="begin"/>
            </w:r>
            <w:r>
              <w:rPr>
                <w:noProof/>
                <w:webHidden/>
              </w:rPr>
              <w:instrText xml:space="preserve"> PAGEREF _Toc452727426 \h </w:instrText>
            </w:r>
            <w:r>
              <w:rPr>
                <w:noProof/>
                <w:webHidden/>
              </w:rPr>
            </w:r>
            <w:r>
              <w:rPr>
                <w:noProof/>
                <w:webHidden/>
              </w:rPr>
              <w:fldChar w:fldCharType="separate"/>
            </w:r>
            <w:r w:rsidR="00EC605B">
              <w:rPr>
                <w:noProof/>
                <w:webHidden/>
              </w:rPr>
              <w:t>3</w:t>
            </w:r>
            <w:r>
              <w:rPr>
                <w:noProof/>
                <w:webHidden/>
              </w:rPr>
              <w:fldChar w:fldCharType="end"/>
            </w:r>
          </w:hyperlink>
        </w:p>
        <w:p w14:paraId="25EBA885" w14:textId="04C1F73B" w:rsidR="00B46EF1" w:rsidRDefault="00B46EF1" w:rsidP="00543E1B">
          <w:pPr>
            <w:pStyle w:val="TOC2"/>
            <w:rPr>
              <w:rFonts w:eastAsiaTheme="minorEastAsia"/>
              <w:noProof/>
              <w:lang w:eastAsia="en-AU"/>
            </w:rPr>
          </w:pPr>
          <w:hyperlink w:anchor="_Toc452727427" w:history="1">
            <w:r w:rsidRPr="005C6E11">
              <w:rPr>
                <w:rStyle w:val="Hyperlink"/>
                <w:noProof/>
              </w:rPr>
              <w:t>3.4</w:t>
            </w:r>
            <w:r>
              <w:rPr>
                <w:rFonts w:eastAsiaTheme="minorEastAsia"/>
                <w:noProof/>
                <w:lang w:eastAsia="en-AU"/>
              </w:rPr>
              <w:tab/>
            </w:r>
            <w:r w:rsidRPr="005C6E11">
              <w:rPr>
                <w:rStyle w:val="Hyperlink"/>
                <w:noProof/>
              </w:rPr>
              <w:t>Local Planning Policy Area</w:t>
            </w:r>
            <w:r>
              <w:rPr>
                <w:noProof/>
                <w:webHidden/>
              </w:rPr>
              <w:tab/>
            </w:r>
            <w:r>
              <w:rPr>
                <w:noProof/>
                <w:webHidden/>
              </w:rPr>
              <w:fldChar w:fldCharType="begin"/>
            </w:r>
            <w:r>
              <w:rPr>
                <w:noProof/>
                <w:webHidden/>
              </w:rPr>
              <w:instrText xml:space="preserve"> PAGEREF _Toc452727427 \h </w:instrText>
            </w:r>
            <w:r>
              <w:rPr>
                <w:noProof/>
                <w:webHidden/>
              </w:rPr>
            </w:r>
            <w:r>
              <w:rPr>
                <w:noProof/>
                <w:webHidden/>
              </w:rPr>
              <w:fldChar w:fldCharType="separate"/>
            </w:r>
            <w:r w:rsidR="00EC605B">
              <w:rPr>
                <w:noProof/>
                <w:webHidden/>
              </w:rPr>
              <w:t>5</w:t>
            </w:r>
            <w:r>
              <w:rPr>
                <w:noProof/>
                <w:webHidden/>
              </w:rPr>
              <w:fldChar w:fldCharType="end"/>
            </w:r>
          </w:hyperlink>
        </w:p>
        <w:p w14:paraId="5CACCE81" w14:textId="5F2BE934" w:rsidR="00B46EF1" w:rsidRDefault="00B46EF1" w:rsidP="00543E1B">
          <w:pPr>
            <w:pStyle w:val="TOC2"/>
            <w:rPr>
              <w:rFonts w:eastAsiaTheme="minorEastAsia"/>
              <w:noProof/>
              <w:lang w:eastAsia="en-AU"/>
            </w:rPr>
          </w:pPr>
          <w:hyperlink w:anchor="_Toc452727428" w:history="1">
            <w:r w:rsidRPr="005C6E11">
              <w:rPr>
                <w:rStyle w:val="Hyperlink"/>
                <w:noProof/>
              </w:rPr>
              <w:t>3.5</w:t>
            </w:r>
            <w:r>
              <w:rPr>
                <w:rFonts w:eastAsiaTheme="minorEastAsia"/>
                <w:noProof/>
                <w:lang w:eastAsia="en-AU"/>
              </w:rPr>
              <w:tab/>
            </w:r>
            <w:r w:rsidRPr="005C6E11">
              <w:rPr>
                <w:rStyle w:val="Hyperlink"/>
                <w:noProof/>
              </w:rPr>
              <w:t>Precincts</w:t>
            </w:r>
            <w:r>
              <w:rPr>
                <w:noProof/>
                <w:webHidden/>
              </w:rPr>
              <w:tab/>
            </w:r>
            <w:r>
              <w:rPr>
                <w:noProof/>
                <w:webHidden/>
              </w:rPr>
              <w:fldChar w:fldCharType="begin"/>
            </w:r>
            <w:r>
              <w:rPr>
                <w:noProof/>
                <w:webHidden/>
              </w:rPr>
              <w:instrText xml:space="preserve"> PAGEREF _Toc452727428 \h </w:instrText>
            </w:r>
            <w:r>
              <w:rPr>
                <w:noProof/>
                <w:webHidden/>
              </w:rPr>
            </w:r>
            <w:r>
              <w:rPr>
                <w:noProof/>
                <w:webHidden/>
              </w:rPr>
              <w:fldChar w:fldCharType="separate"/>
            </w:r>
            <w:r w:rsidR="00EC605B">
              <w:rPr>
                <w:noProof/>
                <w:webHidden/>
              </w:rPr>
              <w:t>6</w:t>
            </w:r>
            <w:r>
              <w:rPr>
                <w:noProof/>
                <w:webHidden/>
              </w:rPr>
              <w:fldChar w:fldCharType="end"/>
            </w:r>
          </w:hyperlink>
        </w:p>
        <w:p w14:paraId="6C7B230C" w14:textId="4066BEAB" w:rsidR="00B46EF1" w:rsidRDefault="00B46EF1" w:rsidP="00543E1B">
          <w:pPr>
            <w:pStyle w:val="TOC2"/>
            <w:rPr>
              <w:rFonts w:eastAsiaTheme="minorEastAsia"/>
              <w:noProof/>
              <w:lang w:eastAsia="en-AU"/>
            </w:rPr>
          </w:pPr>
          <w:hyperlink w:anchor="_Toc452727429" w:history="1">
            <w:r w:rsidRPr="005C6E11">
              <w:rPr>
                <w:rStyle w:val="Hyperlink"/>
                <w:noProof/>
              </w:rPr>
              <w:t>3.6</w:t>
            </w:r>
            <w:r>
              <w:rPr>
                <w:rFonts w:eastAsiaTheme="minorEastAsia"/>
                <w:noProof/>
                <w:lang w:eastAsia="en-AU"/>
              </w:rPr>
              <w:tab/>
            </w:r>
            <w:r w:rsidRPr="005C6E11">
              <w:rPr>
                <w:rStyle w:val="Hyperlink"/>
                <w:noProof/>
              </w:rPr>
              <w:t>Status/Application of this Policy</w:t>
            </w:r>
            <w:r>
              <w:rPr>
                <w:noProof/>
                <w:webHidden/>
              </w:rPr>
              <w:tab/>
            </w:r>
            <w:r>
              <w:rPr>
                <w:noProof/>
                <w:webHidden/>
              </w:rPr>
              <w:fldChar w:fldCharType="begin"/>
            </w:r>
            <w:r>
              <w:rPr>
                <w:noProof/>
                <w:webHidden/>
              </w:rPr>
              <w:instrText xml:space="preserve"> PAGEREF _Toc452727429 \h </w:instrText>
            </w:r>
            <w:r>
              <w:rPr>
                <w:noProof/>
                <w:webHidden/>
              </w:rPr>
            </w:r>
            <w:r>
              <w:rPr>
                <w:noProof/>
                <w:webHidden/>
              </w:rPr>
              <w:fldChar w:fldCharType="separate"/>
            </w:r>
            <w:r w:rsidR="00EC605B">
              <w:rPr>
                <w:noProof/>
                <w:webHidden/>
              </w:rPr>
              <w:t>8</w:t>
            </w:r>
            <w:r>
              <w:rPr>
                <w:noProof/>
                <w:webHidden/>
              </w:rPr>
              <w:fldChar w:fldCharType="end"/>
            </w:r>
          </w:hyperlink>
        </w:p>
        <w:p w14:paraId="4AFC6AAF" w14:textId="48C4B7B4" w:rsidR="00B46EF1" w:rsidRDefault="00B46EF1" w:rsidP="00543E1B">
          <w:pPr>
            <w:pStyle w:val="TOC2"/>
            <w:rPr>
              <w:rFonts w:eastAsiaTheme="minorEastAsia"/>
              <w:noProof/>
              <w:lang w:eastAsia="en-AU"/>
            </w:rPr>
          </w:pPr>
          <w:hyperlink w:anchor="_Toc452727430" w:history="1">
            <w:r w:rsidRPr="005C6E11">
              <w:rPr>
                <w:rStyle w:val="Hyperlink"/>
                <w:noProof/>
              </w:rPr>
              <w:t>3.7</w:t>
            </w:r>
            <w:r>
              <w:rPr>
                <w:rFonts w:eastAsiaTheme="minorEastAsia"/>
                <w:noProof/>
                <w:lang w:eastAsia="en-AU"/>
              </w:rPr>
              <w:tab/>
            </w:r>
            <w:r w:rsidRPr="005C6E11">
              <w:rPr>
                <w:rStyle w:val="Hyperlink"/>
                <w:noProof/>
              </w:rPr>
              <w:t>General Standards for Land Use &amp; Development/Policy Statement</w:t>
            </w:r>
            <w:r>
              <w:rPr>
                <w:noProof/>
                <w:webHidden/>
              </w:rPr>
              <w:tab/>
            </w:r>
            <w:r>
              <w:rPr>
                <w:noProof/>
                <w:webHidden/>
              </w:rPr>
              <w:fldChar w:fldCharType="begin"/>
            </w:r>
            <w:r>
              <w:rPr>
                <w:noProof/>
                <w:webHidden/>
              </w:rPr>
              <w:instrText xml:space="preserve"> PAGEREF _Toc452727430 \h </w:instrText>
            </w:r>
            <w:r>
              <w:rPr>
                <w:noProof/>
                <w:webHidden/>
              </w:rPr>
            </w:r>
            <w:r>
              <w:rPr>
                <w:noProof/>
                <w:webHidden/>
              </w:rPr>
              <w:fldChar w:fldCharType="separate"/>
            </w:r>
            <w:r w:rsidR="00EC605B">
              <w:rPr>
                <w:noProof/>
                <w:webHidden/>
              </w:rPr>
              <w:t>8</w:t>
            </w:r>
            <w:r>
              <w:rPr>
                <w:noProof/>
                <w:webHidden/>
              </w:rPr>
              <w:fldChar w:fldCharType="end"/>
            </w:r>
          </w:hyperlink>
        </w:p>
        <w:p w14:paraId="5095A7FF" w14:textId="173DCF70" w:rsidR="00B46EF1" w:rsidRDefault="00B46EF1" w:rsidP="00B00094">
          <w:pPr>
            <w:pStyle w:val="TOC3"/>
            <w:rPr>
              <w:rFonts w:eastAsiaTheme="minorEastAsia"/>
              <w:noProof/>
              <w:lang w:eastAsia="en-AU"/>
            </w:rPr>
          </w:pPr>
          <w:hyperlink w:anchor="_Toc452727431" w:history="1">
            <w:r w:rsidRPr="005C6E11">
              <w:rPr>
                <w:rStyle w:val="Hyperlink"/>
                <w:noProof/>
              </w:rPr>
              <w:t>3.7.1</w:t>
            </w:r>
            <w:r>
              <w:rPr>
                <w:rFonts w:eastAsiaTheme="minorEastAsia"/>
                <w:noProof/>
                <w:lang w:eastAsia="en-AU"/>
              </w:rPr>
              <w:tab/>
            </w:r>
            <w:r w:rsidRPr="005C6E11">
              <w:rPr>
                <w:rStyle w:val="Hyperlink"/>
                <w:noProof/>
              </w:rPr>
              <w:t>Residential Development in the Town of East Fremantle Policy Area</w:t>
            </w:r>
            <w:r>
              <w:rPr>
                <w:noProof/>
                <w:webHidden/>
              </w:rPr>
              <w:tab/>
            </w:r>
            <w:r>
              <w:rPr>
                <w:noProof/>
                <w:webHidden/>
              </w:rPr>
              <w:fldChar w:fldCharType="begin"/>
            </w:r>
            <w:r>
              <w:rPr>
                <w:noProof/>
                <w:webHidden/>
              </w:rPr>
              <w:instrText xml:space="preserve"> PAGEREF _Toc452727431 \h </w:instrText>
            </w:r>
            <w:r>
              <w:rPr>
                <w:noProof/>
                <w:webHidden/>
              </w:rPr>
            </w:r>
            <w:r>
              <w:rPr>
                <w:noProof/>
                <w:webHidden/>
              </w:rPr>
              <w:fldChar w:fldCharType="separate"/>
            </w:r>
            <w:r w:rsidR="00EC605B">
              <w:rPr>
                <w:noProof/>
                <w:webHidden/>
              </w:rPr>
              <w:t>8</w:t>
            </w:r>
            <w:r>
              <w:rPr>
                <w:noProof/>
                <w:webHidden/>
              </w:rPr>
              <w:fldChar w:fldCharType="end"/>
            </w:r>
          </w:hyperlink>
        </w:p>
        <w:p w14:paraId="185AB51C" w14:textId="3441B367" w:rsidR="00B46EF1" w:rsidRDefault="00B46EF1" w:rsidP="00B00094">
          <w:pPr>
            <w:pStyle w:val="TOC3"/>
            <w:rPr>
              <w:rFonts w:eastAsiaTheme="minorEastAsia"/>
              <w:noProof/>
              <w:lang w:eastAsia="en-AU"/>
            </w:rPr>
          </w:pPr>
          <w:hyperlink w:anchor="_Toc452727432" w:history="1">
            <w:r w:rsidRPr="005C6E11">
              <w:rPr>
                <w:rStyle w:val="Hyperlink"/>
                <w:noProof/>
              </w:rPr>
              <w:t>3.7.2</w:t>
            </w:r>
            <w:r>
              <w:rPr>
                <w:rFonts w:eastAsiaTheme="minorEastAsia"/>
                <w:noProof/>
                <w:lang w:eastAsia="en-AU"/>
              </w:rPr>
              <w:tab/>
            </w:r>
            <w:r w:rsidRPr="005C6E11">
              <w:rPr>
                <w:rStyle w:val="Hyperlink"/>
                <w:noProof/>
              </w:rPr>
              <w:t>Additions and Alterations to Existing Buildings</w:t>
            </w:r>
            <w:r>
              <w:rPr>
                <w:noProof/>
                <w:webHidden/>
              </w:rPr>
              <w:tab/>
            </w:r>
            <w:r>
              <w:rPr>
                <w:noProof/>
                <w:webHidden/>
              </w:rPr>
              <w:fldChar w:fldCharType="begin"/>
            </w:r>
            <w:r>
              <w:rPr>
                <w:noProof/>
                <w:webHidden/>
              </w:rPr>
              <w:instrText xml:space="preserve"> PAGEREF _Toc452727432 \h </w:instrText>
            </w:r>
            <w:r>
              <w:rPr>
                <w:noProof/>
                <w:webHidden/>
              </w:rPr>
            </w:r>
            <w:r>
              <w:rPr>
                <w:noProof/>
                <w:webHidden/>
              </w:rPr>
              <w:fldChar w:fldCharType="separate"/>
            </w:r>
            <w:r w:rsidR="00EC605B">
              <w:rPr>
                <w:noProof/>
                <w:webHidden/>
              </w:rPr>
              <w:t>8</w:t>
            </w:r>
            <w:r>
              <w:rPr>
                <w:noProof/>
                <w:webHidden/>
              </w:rPr>
              <w:fldChar w:fldCharType="end"/>
            </w:r>
          </w:hyperlink>
        </w:p>
        <w:p w14:paraId="6AE2B3FC" w14:textId="2DA6B93E" w:rsidR="00B46EF1" w:rsidRDefault="00B46EF1" w:rsidP="00B00094">
          <w:pPr>
            <w:pStyle w:val="TOC3"/>
            <w:rPr>
              <w:rFonts w:eastAsiaTheme="minorEastAsia"/>
              <w:noProof/>
              <w:lang w:eastAsia="en-AU"/>
            </w:rPr>
          </w:pPr>
          <w:hyperlink w:anchor="_Toc452727433" w:history="1">
            <w:r w:rsidRPr="005C6E11">
              <w:rPr>
                <w:rStyle w:val="Hyperlink"/>
                <w:noProof/>
              </w:rPr>
              <w:t>3.7.3</w:t>
            </w:r>
            <w:r>
              <w:rPr>
                <w:rFonts w:eastAsiaTheme="minorEastAsia"/>
                <w:noProof/>
                <w:lang w:eastAsia="en-AU"/>
              </w:rPr>
              <w:tab/>
            </w:r>
            <w:r w:rsidRPr="005C6E11">
              <w:rPr>
                <w:rStyle w:val="Hyperlink"/>
                <w:noProof/>
              </w:rPr>
              <w:t>Development of Existing Buildings</w:t>
            </w:r>
            <w:r>
              <w:rPr>
                <w:noProof/>
                <w:webHidden/>
              </w:rPr>
              <w:tab/>
            </w:r>
            <w:r>
              <w:rPr>
                <w:noProof/>
                <w:webHidden/>
              </w:rPr>
              <w:fldChar w:fldCharType="begin"/>
            </w:r>
            <w:r>
              <w:rPr>
                <w:noProof/>
                <w:webHidden/>
              </w:rPr>
              <w:instrText xml:space="preserve"> PAGEREF _Toc452727433 \h </w:instrText>
            </w:r>
            <w:r>
              <w:rPr>
                <w:noProof/>
                <w:webHidden/>
              </w:rPr>
            </w:r>
            <w:r>
              <w:rPr>
                <w:noProof/>
                <w:webHidden/>
              </w:rPr>
              <w:fldChar w:fldCharType="separate"/>
            </w:r>
            <w:r w:rsidR="00EC605B">
              <w:rPr>
                <w:noProof/>
                <w:webHidden/>
              </w:rPr>
              <w:t>15</w:t>
            </w:r>
            <w:r>
              <w:rPr>
                <w:noProof/>
                <w:webHidden/>
              </w:rPr>
              <w:fldChar w:fldCharType="end"/>
            </w:r>
          </w:hyperlink>
        </w:p>
        <w:p w14:paraId="161FA8F6" w14:textId="411CF834" w:rsidR="00B46EF1" w:rsidRDefault="00B46EF1" w:rsidP="00B00094">
          <w:pPr>
            <w:pStyle w:val="TOC3"/>
            <w:rPr>
              <w:rFonts w:eastAsiaTheme="minorEastAsia"/>
              <w:noProof/>
              <w:lang w:eastAsia="en-AU"/>
            </w:rPr>
          </w:pPr>
          <w:hyperlink w:anchor="_Toc452727434" w:history="1">
            <w:r w:rsidRPr="005C6E11">
              <w:rPr>
                <w:rStyle w:val="Hyperlink"/>
                <w:noProof/>
              </w:rPr>
              <w:t>3.7.4</w:t>
            </w:r>
            <w:r>
              <w:rPr>
                <w:rFonts w:eastAsiaTheme="minorEastAsia"/>
                <w:noProof/>
                <w:lang w:eastAsia="en-AU"/>
              </w:rPr>
              <w:tab/>
            </w:r>
            <w:r w:rsidRPr="005C6E11">
              <w:rPr>
                <w:rStyle w:val="Hyperlink"/>
                <w:noProof/>
              </w:rPr>
              <w:t>Site Works</w:t>
            </w:r>
            <w:r>
              <w:rPr>
                <w:noProof/>
                <w:webHidden/>
              </w:rPr>
              <w:tab/>
            </w:r>
            <w:r>
              <w:rPr>
                <w:noProof/>
                <w:webHidden/>
              </w:rPr>
              <w:fldChar w:fldCharType="begin"/>
            </w:r>
            <w:r>
              <w:rPr>
                <w:noProof/>
                <w:webHidden/>
              </w:rPr>
              <w:instrText xml:space="preserve"> PAGEREF _Toc452727434 \h </w:instrText>
            </w:r>
            <w:r>
              <w:rPr>
                <w:noProof/>
                <w:webHidden/>
              </w:rPr>
            </w:r>
            <w:r>
              <w:rPr>
                <w:noProof/>
                <w:webHidden/>
              </w:rPr>
              <w:fldChar w:fldCharType="separate"/>
            </w:r>
            <w:r w:rsidR="00EC605B">
              <w:rPr>
                <w:noProof/>
                <w:webHidden/>
              </w:rPr>
              <w:t>17</w:t>
            </w:r>
            <w:r>
              <w:rPr>
                <w:noProof/>
                <w:webHidden/>
              </w:rPr>
              <w:fldChar w:fldCharType="end"/>
            </w:r>
          </w:hyperlink>
        </w:p>
        <w:p w14:paraId="57A193BF" w14:textId="5E02FB2D" w:rsidR="00B46EF1" w:rsidRDefault="00B46EF1" w:rsidP="00B00094">
          <w:pPr>
            <w:pStyle w:val="TOC3"/>
            <w:rPr>
              <w:rFonts w:eastAsiaTheme="minorEastAsia"/>
              <w:noProof/>
              <w:lang w:eastAsia="en-AU"/>
            </w:rPr>
          </w:pPr>
          <w:hyperlink w:anchor="_Toc452727435" w:history="1">
            <w:r w:rsidRPr="005C6E11">
              <w:rPr>
                <w:rStyle w:val="Hyperlink"/>
                <w:noProof/>
              </w:rPr>
              <w:t>3.7.5</w:t>
            </w:r>
            <w:r>
              <w:rPr>
                <w:rFonts w:eastAsiaTheme="minorEastAsia"/>
                <w:noProof/>
                <w:lang w:eastAsia="en-AU"/>
              </w:rPr>
              <w:tab/>
            </w:r>
            <w:r w:rsidRPr="005C6E11">
              <w:rPr>
                <w:rStyle w:val="Hyperlink"/>
                <w:noProof/>
              </w:rPr>
              <w:t>Demolition</w:t>
            </w:r>
            <w:r>
              <w:rPr>
                <w:noProof/>
                <w:webHidden/>
              </w:rPr>
              <w:tab/>
            </w:r>
            <w:r>
              <w:rPr>
                <w:noProof/>
                <w:webHidden/>
              </w:rPr>
              <w:fldChar w:fldCharType="begin"/>
            </w:r>
            <w:r>
              <w:rPr>
                <w:noProof/>
                <w:webHidden/>
              </w:rPr>
              <w:instrText xml:space="preserve"> PAGEREF _Toc452727435 \h </w:instrText>
            </w:r>
            <w:r>
              <w:rPr>
                <w:noProof/>
                <w:webHidden/>
              </w:rPr>
            </w:r>
            <w:r>
              <w:rPr>
                <w:noProof/>
                <w:webHidden/>
              </w:rPr>
              <w:fldChar w:fldCharType="separate"/>
            </w:r>
            <w:r w:rsidR="00EC605B">
              <w:rPr>
                <w:noProof/>
                <w:webHidden/>
              </w:rPr>
              <w:t>18</w:t>
            </w:r>
            <w:r>
              <w:rPr>
                <w:noProof/>
                <w:webHidden/>
              </w:rPr>
              <w:fldChar w:fldCharType="end"/>
            </w:r>
          </w:hyperlink>
        </w:p>
        <w:p w14:paraId="6CADF0EF" w14:textId="77A912AB" w:rsidR="00B46EF1" w:rsidRDefault="00B46EF1" w:rsidP="00B00094">
          <w:pPr>
            <w:pStyle w:val="TOC3"/>
            <w:rPr>
              <w:rFonts w:eastAsiaTheme="minorEastAsia"/>
              <w:noProof/>
              <w:lang w:eastAsia="en-AU"/>
            </w:rPr>
          </w:pPr>
          <w:hyperlink w:anchor="_Toc452727436" w:history="1">
            <w:r w:rsidRPr="005C6E11">
              <w:rPr>
                <w:rStyle w:val="Hyperlink"/>
                <w:noProof/>
              </w:rPr>
              <w:t>3.7.6</w:t>
            </w:r>
            <w:r>
              <w:rPr>
                <w:rFonts w:eastAsiaTheme="minorEastAsia"/>
                <w:noProof/>
                <w:lang w:eastAsia="en-AU"/>
              </w:rPr>
              <w:tab/>
            </w:r>
            <w:r w:rsidRPr="005C6E11">
              <w:rPr>
                <w:rStyle w:val="Hyperlink"/>
                <w:noProof/>
              </w:rPr>
              <w:t>Construction of New Buildings</w:t>
            </w:r>
            <w:r>
              <w:rPr>
                <w:noProof/>
                <w:webHidden/>
              </w:rPr>
              <w:tab/>
            </w:r>
            <w:r>
              <w:rPr>
                <w:noProof/>
                <w:webHidden/>
              </w:rPr>
              <w:fldChar w:fldCharType="begin"/>
            </w:r>
            <w:r>
              <w:rPr>
                <w:noProof/>
                <w:webHidden/>
              </w:rPr>
              <w:instrText xml:space="preserve"> PAGEREF _Toc452727436 \h </w:instrText>
            </w:r>
            <w:r>
              <w:rPr>
                <w:noProof/>
                <w:webHidden/>
              </w:rPr>
            </w:r>
            <w:r>
              <w:rPr>
                <w:noProof/>
                <w:webHidden/>
              </w:rPr>
              <w:fldChar w:fldCharType="separate"/>
            </w:r>
            <w:r w:rsidR="00EC605B">
              <w:rPr>
                <w:noProof/>
                <w:webHidden/>
              </w:rPr>
              <w:t>20</w:t>
            </w:r>
            <w:r>
              <w:rPr>
                <w:noProof/>
                <w:webHidden/>
              </w:rPr>
              <w:fldChar w:fldCharType="end"/>
            </w:r>
          </w:hyperlink>
        </w:p>
        <w:p w14:paraId="6800E5E6" w14:textId="728BB0B4" w:rsidR="00B46EF1" w:rsidRDefault="00B46EF1" w:rsidP="00B00094">
          <w:pPr>
            <w:pStyle w:val="TOC3"/>
            <w:rPr>
              <w:rFonts w:eastAsiaTheme="minorEastAsia"/>
              <w:noProof/>
              <w:lang w:eastAsia="en-AU"/>
            </w:rPr>
          </w:pPr>
          <w:hyperlink w:anchor="_Toc452727437" w:history="1">
            <w:r w:rsidRPr="005C6E11">
              <w:rPr>
                <w:rStyle w:val="Hyperlink"/>
                <w:noProof/>
              </w:rPr>
              <w:t>3.7.7</w:t>
            </w:r>
            <w:r>
              <w:rPr>
                <w:rFonts w:eastAsiaTheme="minorEastAsia"/>
                <w:noProof/>
                <w:lang w:eastAsia="en-AU"/>
              </w:rPr>
              <w:tab/>
            </w:r>
            <w:r w:rsidRPr="005C6E11">
              <w:rPr>
                <w:rStyle w:val="Hyperlink"/>
                <w:noProof/>
              </w:rPr>
              <w:t>Building Setbacks and Orientation</w:t>
            </w:r>
            <w:r>
              <w:rPr>
                <w:noProof/>
                <w:webHidden/>
              </w:rPr>
              <w:tab/>
            </w:r>
            <w:r>
              <w:rPr>
                <w:noProof/>
                <w:webHidden/>
              </w:rPr>
              <w:fldChar w:fldCharType="begin"/>
            </w:r>
            <w:r>
              <w:rPr>
                <w:noProof/>
                <w:webHidden/>
              </w:rPr>
              <w:instrText xml:space="preserve"> PAGEREF _Toc452727437 \h </w:instrText>
            </w:r>
            <w:r>
              <w:rPr>
                <w:noProof/>
                <w:webHidden/>
              </w:rPr>
            </w:r>
            <w:r>
              <w:rPr>
                <w:noProof/>
                <w:webHidden/>
              </w:rPr>
              <w:fldChar w:fldCharType="separate"/>
            </w:r>
            <w:r w:rsidR="00EC605B">
              <w:rPr>
                <w:noProof/>
                <w:webHidden/>
              </w:rPr>
              <w:t>22</w:t>
            </w:r>
            <w:r>
              <w:rPr>
                <w:noProof/>
                <w:webHidden/>
              </w:rPr>
              <w:fldChar w:fldCharType="end"/>
            </w:r>
          </w:hyperlink>
        </w:p>
        <w:p w14:paraId="0580AA1C" w14:textId="601E5D2C" w:rsidR="00B46EF1" w:rsidRDefault="00B46EF1" w:rsidP="00B00094">
          <w:pPr>
            <w:pStyle w:val="TOC3"/>
            <w:rPr>
              <w:rFonts w:eastAsiaTheme="minorEastAsia"/>
              <w:noProof/>
              <w:lang w:eastAsia="en-AU"/>
            </w:rPr>
          </w:pPr>
          <w:hyperlink w:anchor="_Toc452727438" w:history="1">
            <w:r w:rsidRPr="005C6E11">
              <w:rPr>
                <w:rStyle w:val="Hyperlink"/>
                <w:noProof/>
              </w:rPr>
              <w:t>3.7.8</w:t>
            </w:r>
            <w:r>
              <w:rPr>
                <w:rFonts w:eastAsiaTheme="minorEastAsia"/>
                <w:noProof/>
                <w:lang w:eastAsia="en-AU"/>
              </w:rPr>
              <w:tab/>
            </w:r>
            <w:r w:rsidRPr="005C6E11">
              <w:rPr>
                <w:rStyle w:val="Hyperlink"/>
                <w:noProof/>
              </w:rPr>
              <w:t>Roof Form and Pitch</w:t>
            </w:r>
            <w:r>
              <w:rPr>
                <w:noProof/>
                <w:webHidden/>
              </w:rPr>
              <w:tab/>
            </w:r>
            <w:r>
              <w:rPr>
                <w:noProof/>
                <w:webHidden/>
              </w:rPr>
              <w:fldChar w:fldCharType="begin"/>
            </w:r>
            <w:r>
              <w:rPr>
                <w:noProof/>
                <w:webHidden/>
              </w:rPr>
              <w:instrText xml:space="preserve"> PAGEREF _Toc452727438 \h </w:instrText>
            </w:r>
            <w:r>
              <w:rPr>
                <w:noProof/>
                <w:webHidden/>
              </w:rPr>
            </w:r>
            <w:r>
              <w:rPr>
                <w:noProof/>
                <w:webHidden/>
              </w:rPr>
              <w:fldChar w:fldCharType="separate"/>
            </w:r>
            <w:r w:rsidR="00EC605B">
              <w:rPr>
                <w:noProof/>
                <w:webHidden/>
              </w:rPr>
              <w:t>25</w:t>
            </w:r>
            <w:r>
              <w:rPr>
                <w:noProof/>
                <w:webHidden/>
              </w:rPr>
              <w:fldChar w:fldCharType="end"/>
            </w:r>
          </w:hyperlink>
        </w:p>
        <w:p w14:paraId="340AA9D2" w14:textId="514C8457" w:rsidR="00B46EF1" w:rsidRDefault="00B46EF1" w:rsidP="00B00094">
          <w:pPr>
            <w:pStyle w:val="TOC3"/>
            <w:rPr>
              <w:rFonts w:eastAsiaTheme="minorEastAsia"/>
              <w:noProof/>
              <w:lang w:eastAsia="en-AU"/>
            </w:rPr>
          </w:pPr>
          <w:hyperlink w:anchor="_Toc452727439" w:history="1">
            <w:r w:rsidRPr="005C6E11">
              <w:rPr>
                <w:rStyle w:val="Hyperlink"/>
                <w:noProof/>
              </w:rPr>
              <w:t>3.7.9</w:t>
            </w:r>
            <w:r>
              <w:rPr>
                <w:rFonts w:eastAsiaTheme="minorEastAsia"/>
                <w:noProof/>
                <w:lang w:eastAsia="en-AU"/>
              </w:rPr>
              <w:tab/>
            </w:r>
            <w:r w:rsidRPr="005C6E11">
              <w:rPr>
                <w:rStyle w:val="Hyperlink"/>
                <w:noProof/>
              </w:rPr>
              <w:t>Materials and Colours</w:t>
            </w:r>
            <w:r>
              <w:rPr>
                <w:noProof/>
                <w:webHidden/>
              </w:rPr>
              <w:tab/>
            </w:r>
            <w:r>
              <w:rPr>
                <w:noProof/>
                <w:webHidden/>
              </w:rPr>
              <w:fldChar w:fldCharType="begin"/>
            </w:r>
            <w:r>
              <w:rPr>
                <w:noProof/>
                <w:webHidden/>
              </w:rPr>
              <w:instrText xml:space="preserve"> PAGEREF _Toc452727439 \h </w:instrText>
            </w:r>
            <w:r>
              <w:rPr>
                <w:noProof/>
                <w:webHidden/>
              </w:rPr>
            </w:r>
            <w:r>
              <w:rPr>
                <w:noProof/>
                <w:webHidden/>
              </w:rPr>
              <w:fldChar w:fldCharType="separate"/>
            </w:r>
            <w:r w:rsidR="00EC605B">
              <w:rPr>
                <w:noProof/>
                <w:webHidden/>
              </w:rPr>
              <w:t>27</w:t>
            </w:r>
            <w:r>
              <w:rPr>
                <w:noProof/>
                <w:webHidden/>
              </w:rPr>
              <w:fldChar w:fldCharType="end"/>
            </w:r>
          </w:hyperlink>
        </w:p>
        <w:p w14:paraId="1821B93B" w14:textId="14477129" w:rsidR="00B46EF1" w:rsidRDefault="00B46EF1" w:rsidP="00B00094">
          <w:pPr>
            <w:pStyle w:val="TOC3"/>
            <w:rPr>
              <w:rFonts w:eastAsiaTheme="minorEastAsia"/>
              <w:noProof/>
              <w:lang w:eastAsia="en-AU"/>
            </w:rPr>
          </w:pPr>
          <w:hyperlink w:anchor="_Toc452727440" w:history="1">
            <w:r w:rsidRPr="005C6E11">
              <w:rPr>
                <w:rStyle w:val="Hyperlink"/>
                <w:noProof/>
              </w:rPr>
              <w:t>3.7.10</w:t>
            </w:r>
            <w:r>
              <w:rPr>
                <w:rFonts w:eastAsiaTheme="minorEastAsia"/>
                <w:noProof/>
                <w:lang w:eastAsia="en-AU"/>
              </w:rPr>
              <w:tab/>
            </w:r>
            <w:r w:rsidRPr="005C6E11">
              <w:rPr>
                <w:rStyle w:val="Hyperlink"/>
                <w:noProof/>
              </w:rPr>
              <w:t>Landscape Guidelines</w:t>
            </w:r>
            <w:r>
              <w:rPr>
                <w:noProof/>
                <w:webHidden/>
              </w:rPr>
              <w:tab/>
            </w:r>
            <w:r>
              <w:rPr>
                <w:noProof/>
                <w:webHidden/>
              </w:rPr>
              <w:fldChar w:fldCharType="begin"/>
            </w:r>
            <w:r>
              <w:rPr>
                <w:noProof/>
                <w:webHidden/>
              </w:rPr>
              <w:instrText xml:space="preserve"> PAGEREF _Toc452727440 \h </w:instrText>
            </w:r>
            <w:r>
              <w:rPr>
                <w:noProof/>
                <w:webHidden/>
              </w:rPr>
            </w:r>
            <w:r>
              <w:rPr>
                <w:noProof/>
                <w:webHidden/>
              </w:rPr>
              <w:fldChar w:fldCharType="separate"/>
            </w:r>
            <w:r w:rsidR="00EC605B">
              <w:rPr>
                <w:noProof/>
                <w:webHidden/>
              </w:rPr>
              <w:t>29</w:t>
            </w:r>
            <w:r>
              <w:rPr>
                <w:noProof/>
                <w:webHidden/>
              </w:rPr>
              <w:fldChar w:fldCharType="end"/>
            </w:r>
          </w:hyperlink>
        </w:p>
        <w:p w14:paraId="60CBBB0A" w14:textId="67E4376A" w:rsidR="00B46EF1" w:rsidRDefault="00B46EF1" w:rsidP="00B00094">
          <w:pPr>
            <w:pStyle w:val="TOC3"/>
            <w:rPr>
              <w:rFonts w:eastAsiaTheme="minorEastAsia"/>
              <w:noProof/>
              <w:lang w:eastAsia="en-AU"/>
            </w:rPr>
          </w:pPr>
          <w:hyperlink w:anchor="_Toc452727441" w:history="1">
            <w:r w:rsidRPr="005C6E11">
              <w:rPr>
                <w:rStyle w:val="Hyperlink"/>
                <w:noProof/>
              </w:rPr>
              <w:t>3.7.10.1</w:t>
            </w:r>
            <w:r>
              <w:rPr>
                <w:rFonts w:eastAsiaTheme="minorEastAsia"/>
                <w:noProof/>
                <w:lang w:eastAsia="en-AU"/>
              </w:rPr>
              <w:tab/>
            </w:r>
            <w:r w:rsidRPr="005C6E11">
              <w:rPr>
                <w:rStyle w:val="Hyperlink"/>
                <w:noProof/>
              </w:rPr>
              <w:t>Statement</w:t>
            </w:r>
            <w:r>
              <w:rPr>
                <w:noProof/>
                <w:webHidden/>
              </w:rPr>
              <w:tab/>
            </w:r>
            <w:r>
              <w:rPr>
                <w:noProof/>
                <w:webHidden/>
              </w:rPr>
              <w:fldChar w:fldCharType="begin"/>
            </w:r>
            <w:r>
              <w:rPr>
                <w:noProof/>
                <w:webHidden/>
              </w:rPr>
              <w:instrText xml:space="preserve"> PAGEREF _Toc452727441 \h </w:instrText>
            </w:r>
            <w:r>
              <w:rPr>
                <w:noProof/>
                <w:webHidden/>
              </w:rPr>
            </w:r>
            <w:r>
              <w:rPr>
                <w:noProof/>
                <w:webHidden/>
              </w:rPr>
              <w:fldChar w:fldCharType="separate"/>
            </w:r>
            <w:r w:rsidR="00EC605B">
              <w:rPr>
                <w:noProof/>
                <w:webHidden/>
              </w:rPr>
              <w:t>29</w:t>
            </w:r>
            <w:r>
              <w:rPr>
                <w:noProof/>
                <w:webHidden/>
              </w:rPr>
              <w:fldChar w:fldCharType="end"/>
            </w:r>
          </w:hyperlink>
        </w:p>
        <w:p w14:paraId="02D347BA" w14:textId="5565C1AA" w:rsidR="00B46EF1" w:rsidRDefault="00B46EF1" w:rsidP="00B00094">
          <w:pPr>
            <w:pStyle w:val="TOC3"/>
            <w:rPr>
              <w:rFonts w:eastAsiaTheme="minorEastAsia"/>
              <w:noProof/>
              <w:lang w:eastAsia="en-AU"/>
            </w:rPr>
          </w:pPr>
          <w:hyperlink w:anchor="_Toc452727442" w:history="1">
            <w:r w:rsidRPr="005C6E11">
              <w:rPr>
                <w:rStyle w:val="Hyperlink"/>
                <w:noProof/>
              </w:rPr>
              <w:t>3.7.10.2</w:t>
            </w:r>
            <w:r>
              <w:rPr>
                <w:rFonts w:eastAsiaTheme="minorEastAsia"/>
                <w:noProof/>
                <w:lang w:eastAsia="en-AU"/>
              </w:rPr>
              <w:tab/>
            </w:r>
            <w:r w:rsidRPr="005C6E11">
              <w:rPr>
                <w:rStyle w:val="Hyperlink"/>
                <w:noProof/>
              </w:rPr>
              <w:t>Desired Development Outcomes</w:t>
            </w:r>
            <w:r>
              <w:rPr>
                <w:noProof/>
                <w:webHidden/>
              </w:rPr>
              <w:tab/>
            </w:r>
            <w:r>
              <w:rPr>
                <w:noProof/>
                <w:webHidden/>
              </w:rPr>
              <w:fldChar w:fldCharType="begin"/>
            </w:r>
            <w:r>
              <w:rPr>
                <w:noProof/>
                <w:webHidden/>
              </w:rPr>
              <w:instrText xml:space="preserve"> PAGEREF _Toc452727442 \h </w:instrText>
            </w:r>
            <w:r>
              <w:rPr>
                <w:noProof/>
                <w:webHidden/>
              </w:rPr>
            </w:r>
            <w:r>
              <w:rPr>
                <w:noProof/>
                <w:webHidden/>
              </w:rPr>
              <w:fldChar w:fldCharType="separate"/>
            </w:r>
            <w:r w:rsidR="00EC605B">
              <w:rPr>
                <w:noProof/>
                <w:webHidden/>
              </w:rPr>
              <w:t>29</w:t>
            </w:r>
            <w:r>
              <w:rPr>
                <w:noProof/>
                <w:webHidden/>
              </w:rPr>
              <w:fldChar w:fldCharType="end"/>
            </w:r>
          </w:hyperlink>
        </w:p>
        <w:p w14:paraId="7E735CEB" w14:textId="5FAAC12B" w:rsidR="00B46EF1" w:rsidRDefault="00B46EF1" w:rsidP="00B00094">
          <w:pPr>
            <w:pStyle w:val="TOC3"/>
            <w:rPr>
              <w:rFonts w:eastAsiaTheme="minorEastAsia"/>
              <w:noProof/>
              <w:lang w:eastAsia="en-AU"/>
            </w:rPr>
          </w:pPr>
          <w:hyperlink w:anchor="_Toc452727443" w:history="1">
            <w:r w:rsidRPr="005C6E11">
              <w:rPr>
                <w:rStyle w:val="Hyperlink"/>
                <w:noProof/>
              </w:rPr>
              <w:t>3.7.10.3</w:t>
            </w:r>
            <w:r>
              <w:rPr>
                <w:rFonts w:eastAsiaTheme="minorEastAsia"/>
                <w:noProof/>
                <w:lang w:eastAsia="en-AU"/>
              </w:rPr>
              <w:tab/>
            </w:r>
            <w:r w:rsidRPr="005C6E11">
              <w:rPr>
                <w:rStyle w:val="Hyperlink"/>
                <w:noProof/>
              </w:rPr>
              <w:t>Performance Criteria and Acceptable Development Provisions</w:t>
            </w:r>
            <w:r>
              <w:rPr>
                <w:noProof/>
                <w:webHidden/>
              </w:rPr>
              <w:tab/>
            </w:r>
            <w:r>
              <w:rPr>
                <w:noProof/>
                <w:webHidden/>
              </w:rPr>
              <w:fldChar w:fldCharType="begin"/>
            </w:r>
            <w:r>
              <w:rPr>
                <w:noProof/>
                <w:webHidden/>
              </w:rPr>
              <w:instrText xml:space="preserve"> PAGEREF _Toc452727443 \h </w:instrText>
            </w:r>
            <w:r>
              <w:rPr>
                <w:noProof/>
                <w:webHidden/>
              </w:rPr>
            </w:r>
            <w:r>
              <w:rPr>
                <w:noProof/>
                <w:webHidden/>
              </w:rPr>
              <w:fldChar w:fldCharType="separate"/>
            </w:r>
            <w:r w:rsidR="00EC605B">
              <w:rPr>
                <w:noProof/>
                <w:webHidden/>
              </w:rPr>
              <w:t>29</w:t>
            </w:r>
            <w:r>
              <w:rPr>
                <w:noProof/>
                <w:webHidden/>
              </w:rPr>
              <w:fldChar w:fldCharType="end"/>
            </w:r>
          </w:hyperlink>
        </w:p>
        <w:p w14:paraId="2AC0A5FA" w14:textId="5928C414" w:rsidR="00B46EF1" w:rsidRDefault="00B46EF1" w:rsidP="00B00094">
          <w:pPr>
            <w:pStyle w:val="TOC3"/>
            <w:rPr>
              <w:rFonts w:eastAsiaTheme="minorEastAsia"/>
              <w:noProof/>
              <w:lang w:eastAsia="en-AU"/>
            </w:rPr>
          </w:pPr>
          <w:hyperlink w:anchor="_Toc452727444" w:history="1">
            <w:r w:rsidRPr="005C6E11">
              <w:rPr>
                <w:rStyle w:val="Hyperlink"/>
                <w:noProof/>
              </w:rPr>
              <w:t>3.7.11</w:t>
            </w:r>
            <w:r>
              <w:rPr>
                <w:rFonts w:eastAsiaTheme="minorEastAsia"/>
                <w:noProof/>
                <w:lang w:eastAsia="en-AU"/>
              </w:rPr>
              <w:tab/>
            </w:r>
            <w:r w:rsidRPr="005C6E11">
              <w:rPr>
                <w:rStyle w:val="Hyperlink"/>
                <w:noProof/>
              </w:rPr>
              <w:t>Front Fences</w:t>
            </w:r>
            <w:r>
              <w:rPr>
                <w:noProof/>
                <w:webHidden/>
              </w:rPr>
              <w:tab/>
            </w:r>
            <w:r>
              <w:rPr>
                <w:noProof/>
                <w:webHidden/>
              </w:rPr>
              <w:fldChar w:fldCharType="begin"/>
            </w:r>
            <w:r>
              <w:rPr>
                <w:noProof/>
                <w:webHidden/>
              </w:rPr>
              <w:instrText xml:space="preserve"> PAGEREF _Toc452727444 \h </w:instrText>
            </w:r>
            <w:r>
              <w:rPr>
                <w:noProof/>
                <w:webHidden/>
              </w:rPr>
            </w:r>
            <w:r>
              <w:rPr>
                <w:noProof/>
                <w:webHidden/>
              </w:rPr>
              <w:fldChar w:fldCharType="separate"/>
            </w:r>
            <w:r w:rsidR="00EC605B">
              <w:rPr>
                <w:noProof/>
                <w:webHidden/>
              </w:rPr>
              <w:t>30</w:t>
            </w:r>
            <w:r>
              <w:rPr>
                <w:noProof/>
                <w:webHidden/>
              </w:rPr>
              <w:fldChar w:fldCharType="end"/>
            </w:r>
          </w:hyperlink>
        </w:p>
        <w:p w14:paraId="3BAC22F0" w14:textId="6A95F0B8" w:rsidR="00B46EF1" w:rsidRDefault="00B46EF1" w:rsidP="00B00094">
          <w:pPr>
            <w:pStyle w:val="TOC3"/>
            <w:rPr>
              <w:rFonts w:eastAsiaTheme="minorEastAsia"/>
              <w:noProof/>
              <w:lang w:eastAsia="en-AU"/>
            </w:rPr>
          </w:pPr>
          <w:hyperlink w:anchor="_Toc452727445" w:history="1">
            <w:r w:rsidRPr="005C6E11">
              <w:rPr>
                <w:rStyle w:val="Hyperlink"/>
                <w:noProof/>
              </w:rPr>
              <w:t>3.7.12</w:t>
            </w:r>
            <w:r>
              <w:rPr>
                <w:rFonts w:eastAsiaTheme="minorEastAsia"/>
                <w:noProof/>
                <w:lang w:eastAsia="en-AU"/>
              </w:rPr>
              <w:tab/>
            </w:r>
            <w:r w:rsidRPr="005C6E11">
              <w:rPr>
                <w:rStyle w:val="Hyperlink"/>
                <w:noProof/>
              </w:rPr>
              <w:t>Pergolas</w:t>
            </w:r>
            <w:r>
              <w:rPr>
                <w:noProof/>
                <w:webHidden/>
              </w:rPr>
              <w:tab/>
            </w:r>
            <w:r>
              <w:rPr>
                <w:noProof/>
                <w:webHidden/>
              </w:rPr>
              <w:fldChar w:fldCharType="begin"/>
            </w:r>
            <w:r>
              <w:rPr>
                <w:noProof/>
                <w:webHidden/>
              </w:rPr>
              <w:instrText xml:space="preserve"> PAGEREF _Toc452727445 \h </w:instrText>
            </w:r>
            <w:r>
              <w:rPr>
                <w:noProof/>
                <w:webHidden/>
              </w:rPr>
            </w:r>
            <w:r>
              <w:rPr>
                <w:noProof/>
                <w:webHidden/>
              </w:rPr>
              <w:fldChar w:fldCharType="separate"/>
            </w:r>
            <w:r w:rsidR="00EC605B">
              <w:rPr>
                <w:noProof/>
                <w:webHidden/>
              </w:rPr>
              <w:t>33</w:t>
            </w:r>
            <w:r>
              <w:rPr>
                <w:noProof/>
                <w:webHidden/>
              </w:rPr>
              <w:fldChar w:fldCharType="end"/>
            </w:r>
          </w:hyperlink>
        </w:p>
        <w:p w14:paraId="55C53717" w14:textId="7CE9D016" w:rsidR="00B46EF1" w:rsidRDefault="00B46EF1" w:rsidP="00B00094">
          <w:pPr>
            <w:pStyle w:val="TOC3"/>
            <w:rPr>
              <w:rFonts w:eastAsiaTheme="minorEastAsia"/>
              <w:noProof/>
              <w:lang w:eastAsia="en-AU"/>
            </w:rPr>
          </w:pPr>
          <w:hyperlink w:anchor="_Toc452727446" w:history="1">
            <w:r w:rsidRPr="005C6E11">
              <w:rPr>
                <w:rStyle w:val="Hyperlink"/>
                <w:noProof/>
              </w:rPr>
              <w:t>3.7.13</w:t>
            </w:r>
            <w:r>
              <w:rPr>
                <w:rFonts w:eastAsiaTheme="minorEastAsia"/>
                <w:noProof/>
                <w:lang w:eastAsia="en-AU"/>
              </w:rPr>
              <w:tab/>
            </w:r>
            <w:r w:rsidRPr="005C6E11">
              <w:rPr>
                <w:rStyle w:val="Hyperlink"/>
                <w:noProof/>
              </w:rPr>
              <w:t>Incidental Development Requirements</w:t>
            </w:r>
            <w:r>
              <w:rPr>
                <w:noProof/>
                <w:webHidden/>
              </w:rPr>
              <w:tab/>
            </w:r>
            <w:r>
              <w:rPr>
                <w:noProof/>
                <w:webHidden/>
              </w:rPr>
              <w:fldChar w:fldCharType="begin"/>
            </w:r>
            <w:r>
              <w:rPr>
                <w:noProof/>
                <w:webHidden/>
              </w:rPr>
              <w:instrText xml:space="preserve"> PAGEREF _Toc452727446 \h </w:instrText>
            </w:r>
            <w:r>
              <w:rPr>
                <w:noProof/>
                <w:webHidden/>
              </w:rPr>
            </w:r>
            <w:r>
              <w:rPr>
                <w:noProof/>
                <w:webHidden/>
              </w:rPr>
              <w:fldChar w:fldCharType="separate"/>
            </w:r>
            <w:r w:rsidR="00EC605B">
              <w:rPr>
                <w:noProof/>
                <w:webHidden/>
              </w:rPr>
              <w:t>35</w:t>
            </w:r>
            <w:r>
              <w:rPr>
                <w:noProof/>
                <w:webHidden/>
              </w:rPr>
              <w:fldChar w:fldCharType="end"/>
            </w:r>
          </w:hyperlink>
        </w:p>
        <w:p w14:paraId="09DF4866" w14:textId="58BEE83F" w:rsidR="00B46EF1" w:rsidRDefault="00B46EF1" w:rsidP="00B00094">
          <w:pPr>
            <w:pStyle w:val="TOC3"/>
            <w:rPr>
              <w:rFonts w:eastAsiaTheme="minorEastAsia"/>
              <w:noProof/>
              <w:lang w:eastAsia="en-AU"/>
            </w:rPr>
          </w:pPr>
          <w:hyperlink w:anchor="_Toc452727447" w:history="1">
            <w:r w:rsidRPr="005C6E11">
              <w:rPr>
                <w:rStyle w:val="Hyperlink"/>
                <w:noProof/>
              </w:rPr>
              <w:t>3.7.14</w:t>
            </w:r>
            <w:r>
              <w:rPr>
                <w:rFonts w:eastAsiaTheme="minorEastAsia"/>
                <w:noProof/>
                <w:lang w:eastAsia="en-AU"/>
              </w:rPr>
              <w:tab/>
            </w:r>
            <w:r w:rsidRPr="005C6E11">
              <w:rPr>
                <w:rStyle w:val="Hyperlink"/>
                <w:noProof/>
              </w:rPr>
              <w:t>Footpaths and Crossovers</w:t>
            </w:r>
            <w:r>
              <w:rPr>
                <w:noProof/>
                <w:webHidden/>
              </w:rPr>
              <w:tab/>
            </w:r>
            <w:r>
              <w:rPr>
                <w:noProof/>
                <w:webHidden/>
              </w:rPr>
              <w:fldChar w:fldCharType="begin"/>
            </w:r>
            <w:r>
              <w:rPr>
                <w:noProof/>
                <w:webHidden/>
              </w:rPr>
              <w:instrText xml:space="preserve"> PAGEREF _Toc452727447 \h </w:instrText>
            </w:r>
            <w:r>
              <w:rPr>
                <w:noProof/>
                <w:webHidden/>
              </w:rPr>
            </w:r>
            <w:r>
              <w:rPr>
                <w:noProof/>
                <w:webHidden/>
              </w:rPr>
              <w:fldChar w:fldCharType="separate"/>
            </w:r>
            <w:r w:rsidR="00EC605B">
              <w:rPr>
                <w:noProof/>
                <w:webHidden/>
              </w:rPr>
              <w:t>39</w:t>
            </w:r>
            <w:r>
              <w:rPr>
                <w:noProof/>
                <w:webHidden/>
              </w:rPr>
              <w:fldChar w:fldCharType="end"/>
            </w:r>
          </w:hyperlink>
        </w:p>
        <w:p w14:paraId="55E918C4" w14:textId="76C292BA" w:rsidR="00B46EF1" w:rsidRDefault="00B46EF1" w:rsidP="00B00094">
          <w:pPr>
            <w:pStyle w:val="TOC3"/>
            <w:rPr>
              <w:rFonts w:eastAsiaTheme="minorEastAsia"/>
              <w:noProof/>
              <w:lang w:eastAsia="en-AU"/>
            </w:rPr>
          </w:pPr>
          <w:hyperlink w:anchor="_Toc452727448" w:history="1">
            <w:r w:rsidRPr="005C6E11">
              <w:rPr>
                <w:rStyle w:val="Hyperlink"/>
                <w:noProof/>
              </w:rPr>
              <w:t>3.7.15</w:t>
            </w:r>
            <w:r>
              <w:rPr>
                <w:rFonts w:eastAsiaTheme="minorEastAsia"/>
                <w:noProof/>
                <w:lang w:eastAsia="en-AU"/>
              </w:rPr>
              <w:tab/>
            </w:r>
            <w:r w:rsidRPr="005C6E11">
              <w:rPr>
                <w:rStyle w:val="Hyperlink"/>
                <w:noProof/>
              </w:rPr>
              <w:t>Woodside &amp; Richmond Precincts</w:t>
            </w:r>
            <w:r>
              <w:rPr>
                <w:noProof/>
                <w:webHidden/>
              </w:rPr>
              <w:tab/>
            </w:r>
            <w:r>
              <w:rPr>
                <w:noProof/>
                <w:webHidden/>
              </w:rPr>
              <w:fldChar w:fldCharType="begin"/>
            </w:r>
            <w:r>
              <w:rPr>
                <w:noProof/>
                <w:webHidden/>
              </w:rPr>
              <w:instrText xml:space="preserve"> PAGEREF _Toc452727448 \h </w:instrText>
            </w:r>
            <w:r>
              <w:rPr>
                <w:noProof/>
                <w:webHidden/>
              </w:rPr>
            </w:r>
            <w:r>
              <w:rPr>
                <w:noProof/>
                <w:webHidden/>
              </w:rPr>
              <w:fldChar w:fldCharType="separate"/>
            </w:r>
            <w:r w:rsidR="00EC605B">
              <w:rPr>
                <w:noProof/>
                <w:webHidden/>
              </w:rPr>
              <w:t>41</w:t>
            </w:r>
            <w:r>
              <w:rPr>
                <w:noProof/>
                <w:webHidden/>
              </w:rPr>
              <w:fldChar w:fldCharType="end"/>
            </w:r>
          </w:hyperlink>
        </w:p>
        <w:p w14:paraId="6A67FB61" w14:textId="37198E92" w:rsidR="00B46EF1" w:rsidRDefault="00B46EF1" w:rsidP="00B00094">
          <w:pPr>
            <w:pStyle w:val="TOC3"/>
            <w:rPr>
              <w:rFonts w:eastAsiaTheme="minorEastAsia"/>
              <w:noProof/>
              <w:lang w:eastAsia="en-AU"/>
            </w:rPr>
          </w:pPr>
          <w:hyperlink w:anchor="_Toc452727449" w:history="1">
            <w:r w:rsidRPr="005C6E11">
              <w:rPr>
                <w:rStyle w:val="Hyperlink"/>
                <w:noProof/>
              </w:rPr>
              <w:t>3.7.16</w:t>
            </w:r>
            <w:r>
              <w:rPr>
                <w:rFonts w:eastAsiaTheme="minorEastAsia"/>
                <w:noProof/>
                <w:lang w:eastAsia="en-AU"/>
              </w:rPr>
              <w:tab/>
            </w:r>
            <w:r w:rsidRPr="005C6E11">
              <w:rPr>
                <w:rStyle w:val="Hyperlink"/>
                <w:noProof/>
              </w:rPr>
              <w:t>Plympton Precinct</w:t>
            </w:r>
            <w:r>
              <w:rPr>
                <w:noProof/>
                <w:webHidden/>
              </w:rPr>
              <w:tab/>
            </w:r>
            <w:r>
              <w:rPr>
                <w:noProof/>
                <w:webHidden/>
              </w:rPr>
              <w:fldChar w:fldCharType="begin"/>
            </w:r>
            <w:r>
              <w:rPr>
                <w:noProof/>
                <w:webHidden/>
              </w:rPr>
              <w:instrText xml:space="preserve"> PAGEREF _Toc452727449 \h </w:instrText>
            </w:r>
            <w:r>
              <w:rPr>
                <w:noProof/>
                <w:webHidden/>
              </w:rPr>
            </w:r>
            <w:r>
              <w:rPr>
                <w:noProof/>
                <w:webHidden/>
              </w:rPr>
              <w:fldChar w:fldCharType="separate"/>
            </w:r>
            <w:r w:rsidR="00EC605B">
              <w:rPr>
                <w:noProof/>
                <w:webHidden/>
              </w:rPr>
              <w:t>54</w:t>
            </w:r>
            <w:r>
              <w:rPr>
                <w:noProof/>
                <w:webHidden/>
              </w:rPr>
              <w:fldChar w:fldCharType="end"/>
            </w:r>
          </w:hyperlink>
        </w:p>
        <w:p w14:paraId="3223B2D2" w14:textId="080F76CD" w:rsidR="00B46EF1" w:rsidRDefault="00B46EF1" w:rsidP="00B00094">
          <w:pPr>
            <w:pStyle w:val="TOC3"/>
            <w:rPr>
              <w:rFonts w:eastAsiaTheme="minorEastAsia"/>
              <w:noProof/>
              <w:lang w:eastAsia="en-AU"/>
            </w:rPr>
          </w:pPr>
          <w:hyperlink w:anchor="_Toc452727450" w:history="1">
            <w:r w:rsidRPr="005C6E11">
              <w:rPr>
                <w:rStyle w:val="Hyperlink"/>
                <w:noProof/>
              </w:rPr>
              <w:t>3.7.17</w:t>
            </w:r>
            <w:r>
              <w:rPr>
                <w:rFonts w:eastAsiaTheme="minorEastAsia"/>
                <w:noProof/>
                <w:lang w:eastAsia="en-AU"/>
              </w:rPr>
              <w:tab/>
            </w:r>
            <w:r w:rsidRPr="005C6E11">
              <w:rPr>
                <w:rStyle w:val="Hyperlink"/>
                <w:noProof/>
              </w:rPr>
              <w:t>Richmond Hill Precinct</w:t>
            </w:r>
            <w:r>
              <w:rPr>
                <w:noProof/>
                <w:webHidden/>
              </w:rPr>
              <w:tab/>
            </w:r>
            <w:r>
              <w:rPr>
                <w:noProof/>
                <w:webHidden/>
              </w:rPr>
              <w:fldChar w:fldCharType="begin"/>
            </w:r>
            <w:r>
              <w:rPr>
                <w:noProof/>
                <w:webHidden/>
              </w:rPr>
              <w:instrText xml:space="preserve"> PAGEREF _Toc452727450 \h </w:instrText>
            </w:r>
            <w:r>
              <w:rPr>
                <w:noProof/>
                <w:webHidden/>
              </w:rPr>
            </w:r>
            <w:r>
              <w:rPr>
                <w:noProof/>
                <w:webHidden/>
              </w:rPr>
              <w:fldChar w:fldCharType="separate"/>
            </w:r>
            <w:r w:rsidR="00EC605B">
              <w:rPr>
                <w:noProof/>
                <w:webHidden/>
              </w:rPr>
              <w:t>64</w:t>
            </w:r>
            <w:r>
              <w:rPr>
                <w:noProof/>
                <w:webHidden/>
              </w:rPr>
              <w:fldChar w:fldCharType="end"/>
            </w:r>
          </w:hyperlink>
        </w:p>
        <w:p w14:paraId="1E90026D" w14:textId="414F8E40" w:rsidR="00B46EF1" w:rsidRDefault="00B46EF1" w:rsidP="00B00094">
          <w:pPr>
            <w:pStyle w:val="TOC3"/>
            <w:rPr>
              <w:rFonts w:eastAsiaTheme="minorEastAsia"/>
              <w:noProof/>
              <w:lang w:eastAsia="en-AU"/>
            </w:rPr>
          </w:pPr>
          <w:hyperlink w:anchor="_Toc452727451" w:history="1">
            <w:r w:rsidRPr="005C6E11">
              <w:rPr>
                <w:rStyle w:val="Hyperlink"/>
                <w:noProof/>
              </w:rPr>
              <w:t>3.7.18</w:t>
            </w:r>
            <w:r>
              <w:rPr>
                <w:rFonts w:eastAsiaTheme="minorEastAsia"/>
                <w:noProof/>
                <w:lang w:eastAsia="en-AU"/>
              </w:rPr>
              <w:tab/>
            </w:r>
            <w:r w:rsidRPr="005C6E11">
              <w:rPr>
                <w:rStyle w:val="Hyperlink"/>
                <w:noProof/>
              </w:rPr>
              <w:t>Riverside</w:t>
            </w:r>
            <w:r>
              <w:rPr>
                <w:noProof/>
                <w:webHidden/>
              </w:rPr>
              <w:tab/>
            </w:r>
            <w:r>
              <w:rPr>
                <w:noProof/>
                <w:webHidden/>
              </w:rPr>
              <w:fldChar w:fldCharType="begin"/>
            </w:r>
            <w:r>
              <w:rPr>
                <w:noProof/>
                <w:webHidden/>
              </w:rPr>
              <w:instrText xml:space="preserve"> PAGEREF _Toc452727451 \h </w:instrText>
            </w:r>
            <w:r>
              <w:rPr>
                <w:noProof/>
                <w:webHidden/>
              </w:rPr>
            </w:r>
            <w:r>
              <w:rPr>
                <w:noProof/>
                <w:webHidden/>
              </w:rPr>
              <w:fldChar w:fldCharType="separate"/>
            </w:r>
            <w:r w:rsidR="00EC605B">
              <w:rPr>
                <w:noProof/>
                <w:webHidden/>
              </w:rPr>
              <w:t>74</w:t>
            </w:r>
            <w:r>
              <w:rPr>
                <w:noProof/>
                <w:webHidden/>
              </w:rPr>
              <w:fldChar w:fldCharType="end"/>
            </w:r>
          </w:hyperlink>
        </w:p>
        <w:p w14:paraId="15B9C4CD" w14:textId="42C0E73C" w:rsidR="00B46EF1" w:rsidRDefault="00B46EF1" w:rsidP="00B00094">
          <w:pPr>
            <w:pStyle w:val="TOC3"/>
            <w:rPr>
              <w:rFonts w:eastAsiaTheme="minorEastAsia"/>
              <w:noProof/>
              <w:lang w:eastAsia="en-AU"/>
            </w:rPr>
          </w:pPr>
          <w:hyperlink w:anchor="_Toc452727452" w:history="1">
            <w:r w:rsidRPr="005C6E11">
              <w:rPr>
                <w:rStyle w:val="Hyperlink"/>
                <w:noProof/>
              </w:rPr>
              <w:t>3.7.19</w:t>
            </w:r>
            <w:r>
              <w:rPr>
                <w:rFonts w:eastAsiaTheme="minorEastAsia"/>
                <w:noProof/>
                <w:lang w:eastAsia="en-AU"/>
              </w:rPr>
              <w:tab/>
            </w:r>
            <w:r w:rsidRPr="005C6E11">
              <w:rPr>
                <w:rStyle w:val="Hyperlink"/>
                <w:noProof/>
              </w:rPr>
              <w:t>Preston Point Precinct</w:t>
            </w:r>
            <w:r>
              <w:rPr>
                <w:noProof/>
                <w:webHidden/>
              </w:rPr>
              <w:tab/>
            </w:r>
            <w:r>
              <w:rPr>
                <w:noProof/>
                <w:webHidden/>
              </w:rPr>
              <w:fldChar w:fldCharType="begin"/>
            </w:r>
            <w:r>
              <w:rPr>
                <w:noProof/>
                <w:webHidden/>
              </w:rPr>
              <w:instrText xml:space="preserve"> PAGEREF _Toc452727452 \h </w:instrText>
            </w:r>
            <w:r>
              <w:rPr>
                <w:noProof/>
                <w:webHidden/>
              </w:rPr>
            </w:r>
            <w:r>
              <w:rPr>
                <w:noProof/>
                <w:webHidden/>
              </w:rPr>
              <w:fldChar w:fldCharType="separate"/>
            </w:r>
            <w:r w:rsidR="00EC605B">
              <w:rPr>
                <w:noProof/>
                <w:webHidden/>
              </w:rPr>
              <w:t>87</w:t>
            </w:r>
            <w:r>
              <w:rPr>
                <w:noProof/>
                <w:webHidden/>
              </w:rPr>
              <w:fldChar w:fldCharType="end"/>
            </w:r>
          </w:hyperlink>
        </w:p>
        <w:p w14:paraId="12BF9E9A" w14:textId="6C3F2B4A" w:rsidR="00B46EF1" w:rsidRDefault="00B46EF1" w:rsidP="00B00094">
          <w:pPr>
            <w:pStyle w:val="TOC3"/>
            <w:rPr>
              <w:rFonts w:eastAsiaTheme="minorEastAsia"/>
              <w:noProof/>
              <w:lang w:eastAsia="en-AU"/>
            </w:rPr>
          </w:pPr>
          <w:hyperlink w:anchor="_Toc452727453" w:history="1">
            <w:r w:rsidRPr="005C6E11">
              <w:rPr>
                <w:rStyle w:val="Hyperlink"/>
                <w:noProof/>
              </w:rPr>
              <w:t>3.7.20</w:t>
            </w:r>
            <w:r>
              <w:rPr>
                <w:rFonts w:eastAsiaTheme="minorEastAsia"/>
                <w:noProof/>
                <w:lang w:eastAsia="en-AU"/>
              </w:rPr>
              <w:tab/>
            </w:r>
            <w:r w:rsidRPr="005C6E11">
              <w:rPr>
                <w:rStyle w:val="Hyperlink"/>
                <w:noProof/>
              </w:rPr>
              <w:t>Richmond Raceway Precinct</w:t>
            </w:r>
            <w:r>
              <w:rPr>
                <w:noProof/>
                <w:webHidden/>
              </w:rPr>
              <w:tab/>
            </w:r>
            <w:r>
              <w:rPr>
                <w:noProof/>
                <w:webHidden/>
              </w:rPr>
              <w:fldChar w:fldCharType="begin"/>
            </w:r>
            <w:r>
              <w:rPr>
                <w:noProof/>
                <w:webHidden/>
              </w:rPr>
              <w:instrText xml:space="preserve"> PAGEREF _Toc452727453 \h </w:instrText>
            </w:r>
            <w:r>
              <w:rPr>
                <w:noProof/>
                <w:webHidden/>
              </w:rPr>
            </w:r>
            <w:r>
              <w:rPr>
                <w:noProof/>
                <w:webHidden/>
              </w:rPr>
              <w:fldChar w:fldCharType="separate"/>
            </w:r>
            <w:r w:rsidR="00EC605B">
              <w:rPr>
                <w:noProof/>
                <w:webHidden/>
              </w:rPr>
              <w:t>88</w:t>
            </w:r>
            <w:r>
              <w:rPr>
                <w:noProof/>
                <w:webHidden/>
              </w:rPr>
              <w:fldChar w:fldCharType="end"/>
            </w:r>
          </w:hyperlink>
        </w:p>
        <w:p w14:paraId="5C344147" w14:textId="23C841D2" w:rsidR="00B46EF1" w:rsidRDefault="00B46EF1" w:rsidP="00B00094">
          <w:pPr>
            <w:pStyle w:val="TOC3"/>
            <w:rPr>
              <w:rFonts w:eastAsiaTheme="minorEastAsia"/>
              <w:noProof/>
              <w:lang w:eastAsia="en-AU"/>
            </w:rPr>
          </w:pPr>
          <w:hyperlink w:anchor="_Toc452727454" w:history="1">
            <w:r w:rsidRPr="005C6E11">
              <w:rPr>
                <w:rStyle w:val="Hyperlink"/>
                <w:noProof/>
              </w:rPr>
              <w:t>3.7.21</w:t>
            </w:r>
            <w:r>
              <w:rPr>
                <w:rFonts w:eastAsiaTheme="minorEastAsia"/>
                <w:noProof/>
                <w:lang w:eastAsia="en-AU"/>
              </w:rPr>
              <w:tab/>
            </w:r>
            <w:r w:rsidRPr="005C6E11">
              <w:rPr>
                <w:rStyle w:val="Hyperlink"/>
                <w:noProof/>
              </w:rPr>
              <w:t>Development Applications</w:t>
            </w:r>
            <w:r>
              <w:rPr>
                <w:noProof/>
                <w:webHidden/>
              </w:rPr>
              <w:tab/>
            </w:r>
            <w:r>
              <w:rPr>
                <w:noProof/>
                <w:webHidden/>
              </w:rPr>
              <w:fldChar w:fldCharType="begin"/>
            </w:r>
            <w:r>
              <w:rPr>
                <w:noProof/>
                <w:webHidden/>
              </w:rPr>
              <w:instrText xml:space="preserve"> PAGEREF _Toc452727454 \h </w:instrText>
            </w:r>
            <w:r>
              <w:rPr>
                <w:noProof/>
                <w:webHidden/>
              </w:rPr>
            </w:r>
            <w:r>
              <w:rPr>
                <w:noProof/>
                <w:webHidden/>
              </w:rPr>
              <w:fldChar w:fldCharType="separate"/>
            </w:r>
            <w:r w:rsidR="00EC605B">
              <w:rPr>
                <w:noProof/>
                <w:webHidden/>
              </w:rPr>
              <w:t>97</w:t>
            </w:r>
            <w:r>
              <w:rPr>
                <w:noProof/>
                <w:webHidden/>
              </w:rPr>
              <w:fldChar w:fldCharType="end"/>
            </w:r>
          </w:hyperlink>
        </w:p>
        <w:p w14:paraId="5BB917A2" w14:textId="4B2A726F" w:rsidR="00B46EF1" w:rsidRDefault="00B46EF1" w:rsidP="00543E1B">
          <w:pPr>
            <w:pStyle w:val="TOC2"/>
            <w:rPr>
              <w:rFonts w:eastAsiaTheme="minorEastAsia"/>
              <w:noProof/>
              <w:lang w:eastAsia="en-AU"/>
            </w:rPr>
          </w:pPr>
          <w:hyperlink w:anchor="_Toc452727455" w:history="1">
            <w:r w:rsidRPr="005C6E11">
              <w:rPr>
                <w:rStyle w:val="Hyperlink"/>
                <w:noProof/>
              </w:rPr>
              <w:t>3.8</w:t>
            </w:r>
            <w:r>
              <w:rPr>
                <w:rFonts w:eastAsiaTheme="minorEastAsia"/>
                <w:noProof/>
                <w:lang w:eastAsia="en-AU"/>
              </w:rPr>
              <w:tab/>
            </w:r>
            <w:r w:rsidRPr="005C6E11">
              <w:rPr>
                <w:rStyle w:val="Hyperlink"/>
                <w:noProof/>
              </w:rPr>
              <w:t>Policy Date Review</w:t>
            </w:r>
            <w:r>
              <w:rPr>
                <w:noProof/>
                <w:webHidden/>
              </w:rPr>
              <w:tab/>
            </w:r>
            <w:r>
              <w:rPr>
                <w:noProof/>
                <w:webHidden/>
              </w:rPr>
              <w:fldChar w:fldCharType="begin"/>
            </w:r>
            <w:r>
              <w:rPr>
                <w:noProof/>
                <w:webHidden/>
              </w:rPr>
              <w:instrText xml:space="preserve"> PAGEREF _Toc452727455 \h </w:instrText>
            </w:r>
            <w:r>
              <w:rPr>
                <w:noProof/>
                <w:webHidden/>
              </w:rPr>
            </w:r>
            <w:r>
              <w:rPr>
                <w:noProof/>
                <w:webHidden/>
              </w:rPr>
              <w:fldChar w:fldCharType="separate"/>
            </w:r>
            <w:r w:rsidR="00EC605B">
              <w:rPr>
                <w:noProof/>
                <w:webHidden/>
              </w:rPr>
              <w:t>98</w:t>
            </w:r>
            <w:r>
              <w:rPr>
                <w:noProof/>
                <w:webHidden/>
              </w:rPr>
              <w:fldChar w:fldCharType="end"/>
            </w:r>
          </w:hyperlink>
        </w:p>
        <w:p w14:paraId="66CC8FB2" w14:textId="5FABB21B" w:rsidR="00B46EF1" w:rsidRDefault="00B46EF1" w:rsidP="00543E1B">
          <w:pPr>
            <w:pStyle w:val="TOC2"/>
            <w:rPr>
              <w:rFonts w:eastAsiaTheme="minorEastAsia"/>
              <w:noProof/>
              <w:lang w:eastAsia="en-AU"/>
            </w:rPr>
          </w:pPr>
          <w:hyperlink w:anchor="_Toc452727456" w:history="1">
            <w:r w:rsidRPr="005C6E11">
              <w:rPr>
                <w:rStyle w:val="Hyperlink"/>
                <w:noProof/>
              </w:rPr>
              <w:t>3.9</w:t>
            </w:r>
            <w:r>
              <w:rPr>
                <w:rFonts w:eastAsiaTheme="minorEastAsia"/>
                <w:noProof/>
                <w:lang w:eastAsia="en-AU"/>
              </w:rPr>
              <w:tab/>
            </w:r>
            <w:r w:rsidRPr="005C6E11">
              <w:rPr>
                <w:rStyle w:val="Hyperlink"/>
                <w:noProof/>
              </w:rPr>
              <w:t>APPENDIX A – Development Impact Statement</w:t>
            </w:r>
            <w:r>
              <w:rPr>
                <w:noProof/>
                <w:webHidden/>
              </w:rPr>
              <w:tab/>
            </w:r>
            <w:r>
              <w:rPr>
                <w:noProof/>
                <w:webHidden/>
              </w:rPr>
              <w:fldChar w:fldCharType="begin"/>
            </w:r>
            <w:r>
              <w:rPr>
                <w:noProof/>
                <w:webHidden/>
              </w:rPr>
              <w:instrText xml:space="preserve"> PAGEREF _Toc452727456 \h </w:instrText>
            </w:r>
            <w:r>
              <w:rPr>
                <w:noProof/>
                <w:webHidden/>
              </w:rPr>
            </w:r>
            <w:r>
              <w:rPr>
                <w:noProof/>
                <w:webHidden/>
              </w:rPr>
              <w:fldChar w:fldCharType="separate"/>
            </w:r>
            <w:r w:rsidR="00EC605B">
              <w:rPr>
                <w:noProof/>
                <w:webHidden/>
              </w:rPr>
              <w:t>99</w:t>
            </w:r>
            <w:r>
              <w:rPr>
                <w:noProof/>
                <w:webHidden/>
              </w:rPr>
              <w:fldChar w:fldCharType="end"/>
            </w:r>
          </w:hyperlink>
        </w:p>
        <w:p w14:paraId="50B18471" w14:textId="2E0B5301" w:rsidR="00B46EF1" w:rsidRDefault="00B46EF1" w:rsidP="00543E1B">
          <w:pPr>
            <w:pStyle w:val="TOC2"/>
            <w:rPr>
              <w:rFonts w:eastAsiaTheme="minorEastAsia"/>
              <w:noProof/>
              <w:lang w:eastAsia="en-AU"/>
            </w:rPr>
          </w:pPr>
          <w:hyperlink w:anchor="_Toc452727457" w:history="1">
            <w:r w:rsidRPr="005C6E11">
              <w:rPr>
                <w:rStyle w:val="Hyperlink"/>
                <w:noProof/>
              </w:rPr>
              <w:t>3.10</w:t>
            </w:r>
            <w:r>
              <w:rPr>
                <w:rFonts w:eastAsiaTheme="minorEastAsia"/>
                <w:noProof/>
                <w:lang w:eastAsia="en-AU"/>
              </w:rPr>
              <w:tab/>
            </w:r>
            <w:r w:rsidRPr="005C6E11">
              <w:rPr>
                <w:rStyle w:val="Hyperlink"/>
                <w:noProof/>
              </w:rPr>
              <w:t>GLOSSARY</w:t>
            </w:r>
            <w:r>
              <w:rPr>
                <w:noProof/>
                <w:webHidden/>
              </w:rPr>
              <w:tab/>
            </w:r>
            <w:r>
              <w:rPr>
                <w:noProof/>
                <w:webHidden/>
              </w:rPr>
              <w:fldChar w:fldCharType="begin"/>
            </w:r>
            <w:r>
              <w:rPr>
                <w:noProof/>
                <w:webHidden/>
              </w:rPr>
              <w:instrText xml:space="preserve"> PAGEREF _Toc452727457 \h </w:instrText>
            </w:r>
            <w:r>
              <w:rPr>
                <w:noProof/>
                <w:webHidden/>
              </w:rPr>
            </w:r>
            <w:r>
              <w:rPr>
                <w:noProof/>
                <w:webHidden/>
              </w:rPr>
              <w:fldChar w:fldCharType="separate"/>
            </w:r>
            <w:r w:rsidR="00EC605B">
              <w:rPr>
                <w:noProof/>
                <w:webHidden/>
              </w:rPr>
              <w:t>102</w:t>
            </w:r>
            <w:r>
              <w:rPr>
                <w:noProof/>
                <w:webHidden/>
              </w:rPr>
              <w:fldChar w:fldCharType="end"/>
            </w:r>
          </w:hyperlink>
        </w:p>
        <w:p w14:paraId="4532C8A7" w14:textId="77777777" w:rsidR="00B46EF1" w:rsidRPr="00842387" w:rsidRDefault="00B46EF1" w:rsidP="00B46EF1">
          <w:pPr>
            <w:pStyle w:val="TOC1"/>
          </w:pPr>
          <w:r w:rsidRPr="00842387">
            <w:fldChar w:fldCharType="end"/>
          </w:r>
        </w:p>
      </w:sdtContent>
    </w:sdt>
    <w:p w14:paraId="48489432" w14:textId="77777777" w:rsidR="00B46EF1" w:rsidRDefault="00B46EF1" w:rsidP="00B46EF1">
      <w:r>
        <w:br w:type="page"/>
      </w:r>
    </w:p>
    <w:p w14:paraId="236A20BA" w14:textId="77777777" w:rsidR="00B46EF1" w:rsidRPr="00890492" w:rsidRDefault="00B46EF1" w:rsidP="002A3889">
      <w:pPr>
        <w:pStyle w:val="Heading1"/>
        <w:keepNext w:val="0"/>
        <w:keepLines w:val="0"/>
        <w:numPr>
          <w:ilvl w:val="0"/>
          <w:numId w:val="273"/>
        </w:numPr>
        <w:autoSpaceDE w:val="0"/>
        <w:autoSpaceDN w:val="0"/>
        <w:spacing w:before="0" w:after="200" w:line="360" w:lineRule="auto"/>
        <w:rPr>
          <w:rFonts w:ascii="Avenir LT 65 Medium" w:eastAsia="Times New Roman" w:hAnsi="Avenir LT 65 Medium" w:cs="Arial"/>
          <w:b w:val="0"/>
          <w:color w:val="auto"/>
          <w:sz w:val="24"/>
          <w:szCs w:val="20"/>
          <w:lang w:val="en-US"/>
        </w:rPr>
      </w:pPr>
      <w:bookmarkStart w:id="439" w:name="_Toc452727422"/>
      <w:r w:rsidRPr="00890492">
        <w:rPr>
          <w:rFonts w:ascii="Avenir LT 65 Medium" w:eastAsia="Times New Roman" w:hAnsi="Avenir LT 65 Medium" w:cs="Arial"/>
          <w:b w:val="0"/>
          <w:color w:val="auto"/>
          <w:sz w:val="24"/>
          <w:szCs w:val="20"/>
          <w:lang w:val="en-US"/>
        </w:rPr>
        <w:lastRenderedPageBreak/>
        <w:t>Introduction</w:t>
      </w:r>
      <w:bookmarkEnd w:id="439"/>
    </w:p>
    <w:p w14:paraId="39763BE3"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The following document was the product of a report on Residential Development Guidelines December 2011.  The Residential Development Guidelines were part two of a two stage process.  The Residential Development Guidelines describes the background to, and the development of, new Residential Design Guidelines for the Town of East Fremantle (the Town).</w:t>
      </w:r>
    </w:p>
    <w:p w14:paraId="07E455C6" w14:textId="77777777" w:rsidR="00B46EF1" w:rsidRPr="00890492" w:rsidRDefault="00B46EF1" w:rsidP="002A3889">
      <w:pPr>
        <w:pStyle w:val="Heading1"/>
        <w:keepNext w:val="0"/>
        <w:keepLines w:val="0"/>
        <w:numPr>
          <w:ilvl w:val="0"/>
          <w:numId w:val="273"/>
        </w:numPr>
        <w:autoSpaceDE w:val="0"/>
        <w:autoSpaceDN w:val="0"/>
        <w:spacing w:before="0" w:after="200" w:line="360" w:lineRule="auto"/>
        <w:rPr>
          <w:rFonts w:ascii="Avenir LT 65 Medium" w:eastAsia="Times New Roman" w:hAnsi="Avenir LT 65 Medium" w:cs="Arial"/>
          <w:b w:val="0"/>
          <w:color w:val="auto"/>
          <w:sz w:val="24"/>
          <w:szCs w:val="20"/>
          <w:lang w:val="en-US"/>
        </w:rPr>
      </w:pPr>
      <w:bookmarkStart w:id="440" w:name="_Toc452727423"/>
      <w:r w:rsidRPr="00890492">
        <w:rPr>
          <w:rFonts w:ascii="Avenir LT 65 Medium" w:eastAsia="Times New Roman" w:hAnsi="Avenir LT 65 Medium" w:cs="Arial"/>
          <w:b w:val="0"/>
          <w:color w:val="auto"/>
          <w:sz w:val="24"/>
          <w:szCs w:val="20"/>
          <w:lang w:val="en-US"/>
        </w:rPr>
        <w:t>Local Planning Policy (Design Guidelines for Residential Development)</w:t>
      </w:r>
      <w:bookmarkEnd w:id="440"/>
    </w:p>
    <w:p w14:paraId="5DBB4C64" w14:textId="77777777" w:rsidR="00B46EF1" w:rsidRPr="00890492" w:rsidRDefault="00B46EF1" w:rsidP="002A3889">
      <w:pPr>
        <w:pStyle w:val="Heading2"/>
        <w:keepNext w:val="0"/>
        <w:keepLines w:val="0"/>
        <w:numPr>
          <w:ilvl w:val="1"/>
          <w:numId w:val="273"/>
        </w:numPr>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41" w:name="_Toc452727424"/>
      <w:r w:rsidRPr="00890492">
        <w:rPr>
          <w:rFonts w:ascii="Avenir LT 65 Medium" w:eastAsia="Times New Roman" w:hAnsi="Avenir LT 65 Medium" w:cs="Times New Roman"/>
          <w:b w:val="0"/>
          <w:color w:val="000000"/>
          <w:sz w:val="22"/>
          <w:szCs w:val="24"/>
          <w:lang w:val="en-US"/>
        </w:rPr>
        <w:t>Introduction</w:t>
      </w:r>
      <w:bookmarkEnd w:id="441"/>
      <w:r w:rsidRPr="00890492">
        <w:rPr>
          <w:rFonts w:ascii="Avenir LT 65 Medium" w:eastAsia="Times New Roman" w:hAnsi="Avenir LT 65 Medium" w:cs="Times New Roman"/>
          <w:b w:val="0"/>
          <w:color w:val="000000"/>
          <w:sz w:val="22"/>
          <w:szCs w:val="24"/>
          <w:lang w:val="en-US"/>
        </w:rPr>
        <w:t xml:space="preserve"> </w:t>
      </w:r>
    </w:p>
    <w:p w14:paraId="756E92C2"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Residential development within the Town has previously been controlled by the provisions of the Town of East Fremantle Town Planning Scheme No. 3, the Residential Design Codes and more than twenty Local Planning Policies.</w:t>
      </w:r>
    </w:p>
    <w:p w14:paraId="2E01150A"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This Local Planning Policy has been prepared by the Town to build on the development requirements contained in those documents, and consolidates them into a single, comprehensive and updated Policy.</w:t>
      </w:r>
    </w:p>
    <w:p w14:paraId="7A90DE25"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 xml:space="preserve">The new Policy has taken into consideration community concerns regarding the incompatibility of some new dwellings and additions to existing dwellings.  Community forums have raised the issue that some recent developments have disrupted or adversely impacted on traditional streetscapes and neighbourhood character from time to time.  </w:t>
      </w:r>
    </w:p>
    <w:p w14:paraId="22A73684"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 xml:space="preserve">Relevant principles contained in State Planning Policy 3.5 ‘Historic Heritage Conservation’ have also been included in this Policy where appropriate. </w:t>
      </w:r>
    </w:p>
    <w:p w14:paraId="03E33036" w14:textId="77777777" w:rsidR="00B46EF1" w:rsidRPr="00890492" w:rsidRDefault="00B46EF1" w:rsidP="002A3889">
      <w:pPr>
        <w:pStyle w:val="Heading2"/>
        <w:keepNext w:val="0"/>
        <w:keepLines w:val="0"/>
        <w:numPr>
          <w:ilvl w:val="1"/>
          <w:numId w:val="273"/>
        </w:numPr>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42" w:name="_Toc452727425"/>
      <w:r w:rsidRPr="00890492">
        <w:rPr>
          <w:rFonts w:ascii="Avenir LT 65 Medium" w:eastAsia="Times New Roman" w:hAnsi="Avenir LT 65 Medium" w:cs="Times New Roman"/>
          <w:b w:val="0"/>
          <w:color w:val="000000"/>
          <w:sz w:val="22"/>
          <w:szCs w:val="24"/>
          <w:lang w:val="en-US"/>
        </w:rPr>
        <w:t>Purpose of this Policy</w:t>
      </w:r>
      <w:bookmarkEnd w:id="442"/>
      <w:r w:rsidRPr="00890492">
        <w:rPr>
          <w:rFonts w:ascii="Avenir LT 65 Medium" w:eastAsia="Times New Roman" w:hAnsi="Avenir LT 65 Medium" w:cs="Times New Roman"/>
          <w:b w:val="0"/>
          <w:color w:val="000000"/>
          <w:sz w:val="22"/>
          <w:szCs w:val="24"/>
          <w:lang w:val="en-US"/>
        </w:rPr>
        <w:t xml:space="preserve"> </w:t>
      </w:r>
    </w:p>
    <w:p w14:paraId="3DBD3B51" w14:textId="77777777" w:rsidR="00B46EF1" w:rsidRPr="006112BF" w:rsidRDefault="00B46EF1" w:rsidP="00B46EF1">
      <w:pPr>
        <w:rPr>
          <w:rFonts w:ascii="Avenir LT 45 Book" w:hAnsi="Avenir LT 45 Book"/>
          <w:sz w:val="20"/>
          <w:szCs w:val="20"/>
        </w:rPr>
      </w:pPr>
      <w:r w:rsidRPr="006112BF">
        <w:rPr>
          <w:rFonts w:ascii="Avenir LT 45 Book" w:hAnsi="Avenir LT 45 Book"/>
          <w:sz w:val="20"/>
          <w:szCs w:val="20"/>
        </w:rPr>
        <w:t>The purpose of this Local Planning Policy is:</w:t>
      </w:r>
    </w:p>
    <w:p w14:paraId="1F997901" w14:textId="77777777" w:rsidR="00B46EF1" w:rsidRPr="006112BF" w:rsidRDefault="00B46EF1" w:rsidP="002A3889">
      <w:pPr>
        <w:pStyle w:val="ListParagraph"/>
        <w:numPr>
          <w:ilvl w:val="0"/>
          <w:numId w:val="115"/>
        </w:numPr>
        <w:spacing w:line="360" w:lineRule="auto"/>
        <w:rPr>
          <w:rFonts w:ascii="Avenir LT 45 Book" w:hAnsi="Avenir LT 45 Book"/>
          <w:sz w:val="20"/>
          <w:szCs w:val="20"/>
        </w:rPr>
      </w:pPr>
      <w:r w:rsidRPr="006112BF">
        <w:rPr>
          <w:rFonts w:ascii="Avenir LT 45 Book" w:hAnsi="Avenir LT 45 Book"/>
          <w:sz w:val="20"/>
          <w:szCs w:val="20"/>
        </w:rPr>
        <w:t>to ensure orderly development within the Town,</w:t>
      </w:r>
    </w:p>
    <w:p w14:paraId="5DC3E863" w14:textId="77777777" w:rsidR="00B46EF1" w:rsidRPr="006112BF" w:rsidRDefault="00B46EF1" w:rsidP="002A3889">
      <w:pPr>
        <w:pStyle w:val="ListParagraph"/>
        <w:numPr>
          <w:ilvl w:val="0"/>
          <w:numId w:val="115"/>
        </w:numPr>
        <w:spacing w:line="360" w:lineRule="auto"/>
        <w:rPr>
          <w:rFonts w:ascii="Avenir LT 45 Book" w:hAnsi="Avenir LT 45 Book"/>
          <w:sz w:val="20"/>
          <w:szCs w:val="20"/>
        </w:rPr>
      </w:pPr>
      <w:r w:rsidRPr="006112BF">
        <w:rPr>
          <w:rFonts w:ascii="Avenir LT 45 Book" w:hAnsi="Avenir LT 45 Book"/>
          <w:sz w:val="20"/>
          <w:szCs w:val="20"/>
        </w:rPr>
        <w:t xml:space="preserve">to ensure that the preparation and assessment of applications for planning approval for residential development in the Policy Area (refer glossary) achieve the objectives of the Policy in an accountable, comparable and consistent </w:t>
      </w:r>
      <w:proofErr w:type="gramStart"/>
      <w:r w:rsidRPr="006112BF">
        <w:rPr>
          <w:rFonts w:ascii="Avenir LT 45 Book" w:hAnsi="Avenir LT 45 Book"/>
          <w:sz w:val="20"/>
          <w:szCs w:val="20"/>
        </w:rPr>
        <w:t>manner;</w:t>
      </w:r>
      <w:proofErr w:type="gramEnd"/>
    </w:p>
    <w:p w14:paraId="3FB713AD" w14:textId="77777777" w:rsidR="00B46EF1" w:rsidRPr="006112BF" w:rsidRDefault="00B46EF1" w:rsidP="002A3889">
      <w:pPr>
        <w:pStyle w:val="ListParagraph"/>
        <w:numPr>
          <w:ilvl w:val="0"/>
          <w:numId w:val="115"/>
        </w:numPr>
        <w:spacing w:line="360" w:lineRule="auto"/>
        <w:rPr>
          <w:rFonts w:ascii="Avenir LT 45 Book" w:hAnsi="Avenir LT 45 Book"/>
          <w:sz w:val="20"/>
          <w:szCs w:val="20"/>
        </w:rPr>
      </w:pPr>
      <w:r w:rsidRPr="006112BF">
        <w:rPr>
          <w:rFonts w:ascii="Avenir LT 45 Book" w:hAnsi="Avenir LT 45 Book"/>
          <w:sz w:val="20"/>
          <w:szCs w:val="20"/>
        </w:rPr>
        <w:t xml:space="preserve">to provide guidance to landowners and the Town in preparing and assessing applications for planning approval within the Policy </w:t>
      </w:r>
      <w:proofErr w:type="gramStart"/>
      <w:r w:rsidRPr="006112BF">
        <w:rPr>
          <w:rFonts w:ascii="Avenir LT 45 Book" w:hAnsi="Avenir LT 45 Book"/>
          <w:sz w:val="20"/>
          <w:szCs w:val="20"/>
        </w:rPr>
        <w:t>Area;</w:t>
      </w:r>
      <w:proofErr w:type="gramEnd"/>
    </w:p>
    <w:p w14:paraId="6D7ABB65" w14:textId="77777777" w:rsidR="00B46EF1" w:rsidRPr="006112BF" w:rsidRDefault="00B46EF1" w:rsidP="002A3889">
      <w:pPr>
        <w:pStyle w:val="ListParagraph"/>
        <w:numPr>
          <w:ilvl w:val="0"/>
          <w:numId w:val="115"/>
        </w:numPr>
        <w:spacing w:line="360" w:lineRule="auto"/>
        <w:rPr>
          <w:rFonts w:ascii="Avenir LT 45 Book" w:hAnsi="Avenir LT 45 Book"/>
          <w:sz w:val="20"/>
          <w:szCs w:val="20"/>
        </w:rPr>
      </w:pPr>
      <w:r w:rsidRPr="006112BF">
        <w:rPr>
          <w:rFonts w:ascii="Avenir LT 45 Book" w:hAnsi="Avenir LT 45 Book"/>
          <w:sz w:val="20"/>
          <w:szCs w:val="20"/>
        </w:rPr>
        <w:t>to ensure that places of heritage (refer glossary) value that contribute to the domestic scale and architectural character of the Policy Area are retained and that, where adaptations or extensions are necessary to ensure their ongoing viability, development does not reduce the heritage value of the places or their contribution to the streetscape and character of the Policy Area; and,</w:t>
      </w:r>
    </w:p>
    <w:p w14:paraId="187412F2" w14:textId="77777777" w:rsidR="00B46EF1" w:rsidRPr="006112BF" w:rsidRDefault="00B46EF1" w:rsidP="002A3889">
      <w:pPr>
        <w:pStyle w:val="ListParagraph"/>
        <w:numPr>
          <w:ilvl w:val="0"/>
          <w:numId w:val="115"/>
        </w:numPr>
        <w:spacing w:line="360" w:lineRule="auto"/>
        <w:rPr>
          <w:rFonts w:ascii="Avenir LT 45 Book" w:hAnsi="Avenir LT 45 Book"/>
          <w:sz w:val="20"/>
          <w:szCs w:val="20"/>
        </w:rPr>
      </w:pPr>
      <w:r w:rsidRPr="006112BF">
        <w:rPr>
          <w:rFonts w:ascii="Avenir LT 45 Book" w:hAnsi="Avenir LT 45 Book"/>
          <w:sz w:val="20"/>
          <w:szCs w:val="20"/>
        </w:rPr>
        <w:t>to provide added protection for the established residential character of each of the Precincts that make up the Policy Area.</w:t>
      </w:r>
    </w:p>
    <w:p w14:paraId="38078E21" w14:textId="77777777" w:rsidR="00B46EF1" w:rsidRPr="001D7345" w:rsidRDefault="00B46EF1" w:rsidP="00B46EF1">
      <w:pPr>
        <w:rPr>
          <w:rFonts w:ascii="Avenir LT 45 Book" w:hAnsi="Avenir LT 45 Book"/>
        </w:rPr>
      </w:pPr>
      <w:r w:rsidRPr="006112BF">
        <w:rPr>
          <w:rFonts w:ascii="Avenir LT 45 Book" w:hAnsi="Avenir LT 45 Book"/>
          <w:sz w:val="20"/>
          <w:szCs w:val="20"/>
        </w:rPr>
        <w:t xml:space="preserve">This Local Planning Policy builds on the development requirements (Acceptable Development and Performance Criteria) of State Planning Policy 3.1 ‘Residential Design Codes’, </w:t>
      </w:r>
      <w:proofErr w:type="gramStart"/>
      <w:r w:rsidRPr="006112BF">
        <w:rPr>
          <w:rFonts w:ascii="Avenir LT 45 Book" w:hAnsi="Avenir LT 45 Book"/>
          <w:sz w:val="20"/>
          <w:szCs w:val="20"/>
        </w:rPr>
        <w:t>in order to</w:t>
      </w:r>
      <w:proofErr w:type="gramEnd"/>
      <w:r w:rsidRPr="006112BF">
        <w:rPr>
          <w:rFonts w:ascii="Avenir LT 45 Book" w:hAnsi="Avenir LT 45 Book"/>
          <w:sz w:val="20"/>
          <w:szCs w:val="20"/>
        </w:rPr>
        <w:t xml:space="preserve"> ensure consistency between State and Local Planning Policy approaches</w:t>
      </w:r>
      <w:r w:rsidRPr="001D7345">
        <w:rPr>
          <w:rFonts w:ascii="Avenir LT 45 Book" w:hAnsi="Avenir LT 45 Book"/>
        </w:rPr>
        <w:t xml:space="preserve"> </w:t>
      </w:r>
      <w:r w:rsidRPr="006112BF">
        <w:rPr>
          <w:rFonts w:ascii="Avenir LT 45 Book" w:hAnsi="Avenir LT 45 Book"/>
          <w:sz w:val="20"/>
          <w:szCs w:val="20"/>
        </w:rPr>
        <w:t>in conserving the character and</w:t>
      </w:r>
      <w:r w:rsidRPr="001D7345">
        <w:rPr>
          <w:rFonts w:ascii="Avenir LT 45 Book" w:hAnsi="Avenir LT 45 Book"/>
        </w:rPr>
        <w:t xml:space="preserve"> </w:t>
      </w:r>
      <w:r w:rsidRPr="006112BF">
        <w:rPr>
          <w:rFonts w:ascii="Avenir LT 45 Book" w:hAnsi="Avenir LT 45 Book"/>
          <w:sz w:val="20"/>
          <w:szCs w:val="20"/>
        </w:rPr>
        <w:t xml:space="preserve">amenity of the Policy Area.  Relevant provisions of State Planning Policy 3.5 ‘Historic Heritage Conservation’ have also been included in this Policy where appropriate. </w:t>
      </w:r>
    </w:p>
    <w:p w14:paraId="14E45504" w14:textId="77777777" w:rsidR="00B46EF1" w:rsidRPr="00890492" w:rsidRDefault="00B46EF1" w:rsidP="002A3889">
      <w:pPr>
        <w:pStyle w:val="Heading2"/>
        <w:keepNext w:val="0"/>
        <w:keepLines w:val="0"/>
        <w:numPr>
          <w:ilvl w:val="1"/>
          <w:numId w:val="273"/>
        </w:numPr>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43" w:name="_Toc452727426"/>
      <w:r w:rsidRPr="00890492">
        <w:rPr>
          <w:rFonts w:ascii="Avenir LT 65 Medium" w:eastAsia="Times New Roman" w:hAnsi="Avenir LT 65 Medium" w:cs="Times New Roman"/>
          <w:b w:val="0"/>
          <w:color w:val="000000"/>
          <w:sz w:val="22"/>
          <w:szCs w:val="24"/>
          <w:lang w:val="en-US"/>
        </w:rPr>
        <w:t>Objectives of this Policy</w:t>
      </w:r>
      <w:bookmarkEnd w:id="443"/>
      <w:r w:rsidRPr="00890492">
        <w:rPr>
          <w:rFonts w:ascii="Avenir LT 65 Medium" w:eastAsia="Times New Roman" w:hAnsi="Avenir LT 65 Medium" w:cs="Times New Roman"/>
          <w:b w:val="0"/>
          <w:color w:val="000000"/>
          <w:sz w:val="22"/>
          <w:szCs w:val="24"/>
          <w:lang w:val="en-US"/>
        </w:rPr>
        <w:t xml:space="preserve"> </w:t>
      </w:r>
    </w:p>
    <w:p w14:paraId="169E49CE" w14:textId="77777777" w:rsidR="00B46EF1" w:rsidRPr="006112BF" w:rsidRDefault="00B46EF1" w:rsidP="002A3889">
      <w:pPr>
        <w:pStyle w:val="ListParagraph"/>
        <w:numPr>
          <w:ilvl w:val="0"/>
          <w:numId w:val="116"/>
        </w:numPr>
        <w:spacing w:line="360" w:lineRule="auto"/>
        <w:rPr>
          <w:rFonts w:ascii="Avenir LT 45 Book" w:hAnsi="Avenir LT 45 Book"/>
          <w:sz w:val="20"/>
          <w:szCs w:val="20"/>
        </w:rPr>
      </w:pPr>
      <w:r w:rsidRPr="006112BF">
        <w:rPr>
          <w:rFonts w:ascii="Avenir LT 45 Book" w:hAnsi="Avenir LT 45 Book"/>
          <w:sz w:val="20"/>
          <w:szCs w:val="20"/>
        </w:rPr>
        <w:t xml:space="preserve">To conserve and protect individual residences considered to have significant heritage </w:t>
      </w:r>
      <w:proofErr w:type="gramStart"/>
      <w:r w:rsidRPr="006112BF">
        <w:rPr>
          <w:rFonts w:ascii="Avenir LT 45 Book" w:hAnsi="Avenir LT 45 Book"/>
          <w:sz w:val="20"/>
          <w:szCs w:val="20"/>
        </w:rPr>
        <w:t>value;</w:t>
      </w:r>
      <w:proofErr w:type="gramEnd"/>
    </w:p>
    <w:p w14:paraId="51822506" w14:textId="77777777" w:rsidR="00B46EF1" w:rsidRPr="006112BF" w:rsidRDefault="00B46EF1" w:rsidP="002A3889">
      <w:pPr>
        <w:pStyle w:val="ListParagraph"/>
        <w:numPr>
          <w:ilvl w:val="0"/>
          <w:numId w:val="116"/>
        </w:numPr>
        <w:spacing w:line="360" w:lineRule="auto"/>
        <w:rPr>
          <w:rFonts w:ascii="Avenir LT 45 Book" w:hAnsi="Avenir LT 45 Book"/>
          <w:sz w:val="20"/>
          <w:szCs w:val="20"/>
        </w:rPr>
      </w:pPr>
      <w:r w:rsidRPr="006112BF">
        <w:rPr>
          <w:rFonts w:ascii="Avenir LT 45 Book" w:hAnsi="Avenir LT 45 Book"/>
          <w:sz w:val="20"/>
          <w:szCs w:val="20"/>
        </w:rPr>
        <w:lastRenderedPageBreak/>
        <w:t xml:space="preserve">To provide development and design guidance to landowners wanting to extend or refurbish existing dwellings of heritage </w:t>
      </w:r>
      <w:proofErr w:type="gramStart"/>
      <w:r w:rsidRPr="006112BF">
        <w:rPr>
          <w:rFonts w:ascii="Avenir LT 45 Book" w:hAnsi="Avenir LT 45 Book"/>
          <w:sz w:val="20"/>
          <w:szCs w:val="20"/>
        </w:rPr>
        <w:t>significance;</w:t>
      </w:r>
      <w:proofErr w:type="gramEnd"/>
    </w:p>
    <w:p w14:paraId="08D33212" w14:textId="77777777" w:rsidR="00B46EF1" w:rsidRPr="006112BF" w:rsidRDefault="00B46EF1" w:rsidP="002A3889">
      <w:pPr>
        <w:pStyle w:val="ListParagraph"/>
        <w:numPr>
          <w:ilvl w:val="0"/>
          <w:numId w:val="116"/>
        </w:numPr>
        <w:spacing w:line="360" w:lineRule="auto"/>
        <w:rPr>
          <w:rFonts w:ascii="Avenir LT 45 Book" w:hAnsi="Avenir LT 45 Book"/>
          <w:sz w:val="20"/>
          <w:szCs w:val="20"/>
        </w:rPr>
      </w:pPr>
      <w:r w:rsidRPr="006112BF">
        <w:rPr>
          <w:rFonts w:ascii="Avenir LT 45 Book" w:hAnsi="Avenir LT 45 Book"/>
          <w:sz w:val="20"/>
          <w:szCs w:val="20"/>
        </w:rPr>
        <w:t xml:space="preserve">To guide additions to existing dwellings, which do not adversely affect the significance of the dwelling, or of neighbouring heritage </w:t>
      </w:r>
      <w:proofErr w:type="gramStart"/>
      <w:r w:rsidRPr="006112BF">
        <w:rPr>
          <w:rFonts w:ascii="Avenir LT 45 Book" w:hAnsi="Avenir LT 45 Book"/>
          <w:sz w:val="20"/>
          <w:szCs w:val="20"/>
        </w:rPr>
        <w:t>places;</w:t>
      </w:r>
      <w:proofErr w:type="gramEnd"/>
    </w:p>
    <w:p w14:paraId="29349CAE" w14:textId="77777777" w:rsidR="00B46EF1" w:rsidRPr="006112BF" w:rsidRDefault="00B46EF1" w:rsidP="002A3889">
      <w:pPr>
        <w:pStyle w:val="ListParagraph"/>
        <w:numPr>
          <w:ilvl w:val="0"/>
          <w:numId w:val="116"/>
        </w:numPr>
        <w:spacing w:line="360" w:lineRule="auto"/>
        <w:rPr>
          <w:rFonts w:ascii="Avenir LT 45 Book" w:hAnsi="Avenir LT 45 Book"/>
          <w:sz w:val="20"/>
          <w:szCs w:val="20"/>
        </w:rPr>
      </w:pPr>
      <w:r w:rsidRPr="006112BF">
        <w:rPr>
          <w:rFonts w:ascii="Avenir LT 45 Book" w:hAnsi="Avenir LT 45 Book"/>
          <w:sz w:val="20"/>
          <w:szCs w:val="20"/>
        </w:rPr>
        <w:t>To guide new dwellings and additions/alterations to existing dwellings (particularly second storey additions), which are compatible with the character, form and scale of existing residential development in the locality, and harmonise with the existing streetscape; and,</w:t>
      </w:r>
    </w:p>
    <w:p w14:paraId="626B8544" w14:textId="77777777" w:rsidR="00B46EF1" w:rsidRPr="006112BF" w:rsidRDefault="00B46EF1" w:rsidP="002A3889">
      <w:pPr>
        <w:pStyle w:val="ListParagraph"/>
        <w:numPr>
          <w:ilvl w:val="0"/>
          <w:numId w:val="116"/>
        </w:numPr>
        <w:spacing w:line="360" w:lineRule="auto"/>
        <w:rPr>
          <w:rFonts w:ascii="Avenir LT 45 Book" w:hAnsi="Avenir LT 45 Book"/>
          <w:sz w:val="20"/>
          <w:szCs w:val="20"/>
        </w:rPr>
      </w:pPr>
      <w:r w:rsidRPr="006112BF">
        <w:rPr>
          <w:rFonts w:ascii="Avenir LT 45 Book" w:hAnsi="Avenir LT 45 Book"/>
          <w:sz w:val="20"/>
          <w:szCs w:val="20"/>
        </w:rPr>
        <w:t xml:space="preserve">To encourage creative design solutions of quality that meet the standards of this Policy, and which enhance the character of the residential precincts and Policy Area. </w:t>
      </w:r>
    </w:p>
    <w:p w14:paraId="51E47B89" w14:textId="77777777" w:rsidR="00B46EF1" w:rsidRPr="001D7345" w:rsidRDefault="00B46EF1" w:rsidP="00B46EF1">
      <w:pPr>
        <w:rPr>
          <w:rFonts w:ascii="Avenir LT 45 Book" w:hAnsi="Avenir LT 45 Book"/>
        </w:rPr>
      </w:pPr>
      <w:r w:rsidRPr="001D7345">
        <w:rPr>
          <w:rFonts w:ascii="Avenir LT 45 Book" w:hAnsi="Avenir LT 45 Book"/>
        </w:rPr>
        <w:br w:type="page"/>
      </w:r>
    </w:p>
    <w:p w14:paraId="45641DF2" w14:textId="77777777" w:rsidR="00B46EF1" w:rsidRPr="00890492" w:rsidRDefault="00B46EF1" w:rsidP="002A3889">
      <w:pPr>
        <w:pStyle w:val="Heading2"/>
        <w:keepNext w:val="0"/>
        <w:keepLines w:val="0"/>
        <w:numPr>
          <w:ilvl w:val="1"/>
          <w:numId w:val="273"/>
        </w:numPr>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44" w:name="_Toc452727427"/>
      <w:r w:rsidRPr="00890492">
        <w:rPr>
          <w:rFonts w:ascii="Avenir LT 65 Medium" w:eastAsia="Times New Roman" w:hAnsi="Avenir LT 65 Medium" w:cs="Times New Roman"/>
          <w:b w:val="0"/>
          <w:color w:val="000000"/>
          <w:sz w:val="22"/>
          <w:szCs w:val="24"/>
          <w:lang w:val="en-US"/>
        </w:rPr>
        <w:lastRenderedPageBreak/>
        <w:t>Local Planning Policy Area</w:t>
      </w:r>
      <w:bookmarkEnd w:id="444"/>
      <w:r w:rsidRPr="00890492">
        <w:rPr>
          <w:rFonts w:ascii="Avenir LT 65 Medium" w:eastAsia="Times New Roman" w:hAnsi="Avenir LT 65 Medium" w:cs="Times New Roman"/>
          <w:b w:val="0"/>
          <w:color w:val="000000"/>
          <w:sz w:val="22"/>
          <w:szCs w:val="24"/>
          <w:lang w:val="en-US"/>
        </w:rPr>
        <w:t xml:space="preserve"> </w:t>
      </w:r>
    </w:p>
    <w:p w14:paraId="2CDDAB53" w14:textId="77777777" w:rsidR="00B46EF1" w:rsidRPr="001D7345" w:rsidRDefault="00B46EF1" w:rsidP="00B46EF1">
      <w:pPr>
        <w:rPr>
          <w:rFonts w:ascii="Avenir LT 45 Book" w:hAnsi="Avenir LT 45 Book"/>
        </w:rPr>
      </w:pPr>
      <w:r w:rsidRPr="001D7345">
        <w:rPr>
          <w:rFonts w:ascii="Avenir LT 45 Book" w:hAnsi="Avenir LT 45 Book"/>
          <w:noProof/>
          <w:lang w:eastAsia="en-AU"/>
        </w:rPr>
        <w:drawing>
          <wp:inline distT="0" distB="0" distL="0" distR="0" wp14:anchorId="552D632F" wp14:editId="4942EE92">
            <wp:extent cx="5458966" cy="7645940"/>
            <wp:effectExtent l="19050" t="0" r="8384" b="0"/>
            <wp:docPr id="137" name="Picture 1" descr="NEARMAP LOCATION Z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RMAP LOCATION ZONE 1.png"/>
                    <pic:cNvPicPr/>
                  </pic:nvPicPr>
                  <pic:blipFill>
                    <a:blip r:embed="rId169" cstate="print"/>
                    <a:stretch>
                      <a:fillRect/>
                    </a:stretch>
                  </pic:blipFill>
                  <pic:spPr>
                    <a:xfrm>
                      <a:off x="0" y="0"/>
                      <a:ext cx="5458966" cy="7645940"/>
                    </a:xfrm>
                    <a:prstGeom prst="rect">
                      <a:avLst/>
                    </a:prstGeom>
                  </pic:spPr>
                </pic:pic>
              </a:graphicData>
            </a:graphic>
          </wp:inline>
        </w:drawing>
      </w:r>
    </w:p>
    <w:p w14:paraId="4F0263E5" w14:textId="0A94F34E" w:rsidR="00B46EF1" w:rsidRPr="001D7345" w:rsidRDefault="00B46EF1" w:rsidP="00B46EF1">
      <w:pPr>
        <w:pStyle w:val="Figure"/>
        <w:rPr>
          <w:lang w:val="en-AU"/>
        </w:rPr>
      </w:pPr>
      <w:r w:rsidRPr="001D7345">
        <w:rPr>
          <w:b/>
          <w:lang w:val="en-AU"/>
        </w:rPr>
        <w:t xml:space="preserve">Figure </w:t>
      </w:r>
      <w:r w:rsidRPr="001D7345">
        <w:rPr>
          <w:b/>
          <w:lang w:val="en-AU"/>
        </w:rPr>
        <w:fldChar w:fldCharType="begin"/>
      </w:r>
      <w:r w:rsidRPr="001D7345">
        <w:rPr>
          <w:b/>
          <w:lang w:val="en-AU"/>
        </w:rPr>
        <w:instrText xml:space="preserve"> SEQ Figure \* ARABIC </w:instrText>
      </w:r>
      <w:r w:rsidRPr="001D7345">
        <w:rPr>
          <w:b/>
          <w:lang w:val="en-AU"/>
        </w:rPr>
        <w:fldChar w:fldCharType="separate"/>
      </w:r>
      <w:r w:rsidR="004D51B7">
        <w:rPr>
          <w:b/>
          <w:noProof/>
          <w:lang w:val="en-AU"/>
        </w:rPr>
        <w:t>1</w:t>
      </w:r>
      <w:r w:rsidRPr="001D7345">
        <w:rPr>
          <w:b/>
          <w:lang w:val="en-AU"/>
        </w:rPr>
        <w:fldChar w:fldCharType="end"/>
      </w:r>
      <w:r w:rsidRPr="001D7345">
        <w:rPr>
          <w:b/>
          <w:lang w:val="en-AU"/>
        </w:rPr>
        <w:t xml:space="preserve"> </w:t>
      </w:r>
      <w:r w:rsidRPr="001D7345">
        <w:rPr>
          <w:lang w:val="en-AU"/>
        </w:rPr>
        <w:t xml:space="preserve">– East Fremantle Satellite Photograph– </w:t>
      </w:r>
      <w:proofErr w:type="spellStart"/>
      <w:r w:rsidRPr="001D7345">
        <w:rPr>
          <w:i/>
          <w:lang w:val="en-AU"/>
        </w:rPr>
        <w:t>Nearmap</w:t>
      </w:r>
      <w:proofErr w:type="spellEnd"/>
      <w:r w:rsidRPr="001D7345">
        <w:rPr>
          <w:i/>
          <w:lang w:val="en-AU"/>
        </w:rPr>
        <w:t xml:space="preserve"> - November 2011</w:t>
      </w:r>
    </w:p>
    <w:p w14:paraId="29BF32BE" w14:textId="77777777" w:rsidR="006112BF" w:rsidRDefault="00B46EF1" w:rsidP="006112BF">
      <w:pPr>
        <w:pStyle w:val="Figure"/>
        <w:rPr>
          <w:lang w:val="en-AU"/>
        </w:rPr>
      </w:pPr>
      <w:r w:rsidRPr="006112BF">
        <w:rPr>
          <w:lang w:val="en-AU"/>
        </w:rPr>
        <w:t xml:space="preserve">The Local Planning Policy Area is bound by </w:t>
      </w:r>
      <w:proofErr w:type="spellStart"/>
      <w:r w:rsidRPr="006112BF">
        <w:rPr>
          <w:lang w:val="en-AU"/>
        </w:rPr>
        <w:t>Jerrat</w:t>
      </w:r>
      <w:proofErr w:type="spellEnd"/>
      <w:r w:rsidRPr="006112BF">
        <w:rPr>
          <w:lang w:val="en-AU"/>
        </w:rPr>
        <w:t xml:space="preserve"> Drive, Petra Street, Marmion Street, East Street and Riverside Road.</w:t>
      </w:r>
    </w:p>
    <w:p w14:paraId="270A61BE" w14:textId="77777777" w:rsidR="006112BF" w:rsidRDefault="006112BF" w:rsidP="006112BF">
      <w:pPr>
        <w:rPr>
          <w:rFonts w:ascii="Avenir LT 45 Book" w:eastAsia="Calibri" w:hAnsi="Avenir LT 45 Book" w:cs="Times New Roman"/>
          <w:sz w:val="20"/>
          <w:szCs w:val="20"/>
        </w:rPr>
      </w:pPr>
      <w:r>
        <w:br w:type="page"/>
      </w:r>
    </w:p>
    <w:p w14:paraId="54546AC6" w14:textId="77777777" w:rsidR="00B46EF1" w:rsidRPr="006112BF" w:rsidRDefault="00B46EF1" w:rsidP="006112BF">
      <w:pPr>
        <w:pStyle w:val="Figure"/>
      </w:pPr>
    </w:p>
    <w:p w14:paraId="459102F9" w14:textId="77777777" w:rsidR="00B46EF1" w:rsidRPr="00DE26EC" w:rsidRDefault="00B46EF1" w:rsidP="002A3889">
      <w:pPr>
        <w:pStyle w:val="Heading2"/>
        <w:keepNext w:val="0"/>
        <w:keepLines w:val="0"/>
        <w:numPr>
          <w:ilvl w:val="1"/>
          <w:numId w:val="273"/>
        </w:numPr>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45" w:name="_Toc452727428"/>
      <w:r w:rsidRPr="00DE26EC">
        <w:rPr>
          <w:rFonts w:ascii="Avenir LT 65 Medium" w:eastAsia="Times New Roman" w:hAnsi="Avenir LT 65 Medium" w:cs="Times New Roman"/>
          <w:b w:val="0"/>
          <w:color w:val="000000"/>
          <w:sz w:val="22"/>
          <w:szCs w:val="24"/>
          <w:lang w:val="en-US"/>
        </w:rPr>
        <w:t>Precincts</w:t>
      </w:r>
      <w:bookmarkEnd w:id="445"/>
    </w:p>
    <w:p w14:paraId="672BEA83" w14:textId="77777777" w:rsidR="00B46EF1" w:rsidRPr="00DE26EC" w:rsidRDefault="00B46EF1" w:rsidP="00DE26EC">
      <w:pPr>
        <w:spacing w:after="120" w:line="360" w:lineRule="auto"/>
        <w:jc w:val="both"/>
        <w:rPr>
          <w:rFonts w:ascii="Avenir LT 45 Book" w:eastAsia="Calibri" w:hAnsi="Avenir LT 45 Book"/>
          <w:sz w:val="20"/>
        </w:rPr>
      </w:pPr>
      <w:r w:rsidRPr="00DE26EC">
        <w:rPr>
          <w:rFonts w:ascii="Avenir LT 45 Book" w:eastAsia="Calibri" w:hAnsi="Avenir LT 45 Book"/>
          <w:sz w:val="20"/>
        </w:rPr>
        <w:t>The Local Planning Policy and its guidelines apply to the following precincts:</w:t>
      </w:r>
    </w:p>
    <w:p w14:paraId="1AD09E8D" w14:textId="77777777" w:rsidR="00B46EF1" w:rsidRPr="00DE26EC" w:rsidRDefault="00B46EF1" w:rsidP="002A3889">
      <w:pPr>
        <w:pStyle w:val="ListParagraph"/>
        <w:numPr>
          <w:ilvl w:val="0"/>
          <w:numId w:val="366"/>
        </w:numPr>
        <w:spacing w:after="120" w:line="360" w:lineRule="auto"/>
        <w:jc w:val="both"/>
        <w:rPr>
          <w:rFonts w:ascii="Avenir LT 45 Book" w:eastAsia="Calibri" w:hAnsi="Avenir LT 45 Book"/>
          <w:sz w:val="20"/>
        </w:rPr>
      </w:pPr>
      <w:proofErr w:type="gramStart"/>
      <w:r w:rsidRPr="00DE26EC">
        <w:rPr>
          <w:rFonts w:ascii="Avenir LT 45 Book" w:eastAsia="Calibri" w:hAnsi="Avenir LT 45 Book"/>
          <w:sz w:val="20"/>
        </w:rPr>
        <w:t>Plympton;</w:t>
      </w:r>
      <w:proofErr w:type="gramEnd"/>
    </w:p>
    <w:p w14:paraId="505F3D78" w14:textId="77777777" w:rsidR="00B46EF1" w:rsidRPr="00DE26EC" w:rsidRDefault="00B46EF1" w:rsidP="002A3889">
      <w:pPr>
        <w:pStyle w:val="ListParagraph"/>
        <w:numPr>
          <w:ilvl w:val="0"/>
          <w:numId w:val="366"/>
        </w:numPr>
        <w:spacing w:after="120" w:line="360" w:lineRule="auto"/>
        <w:jc w:val="both"/>
        <w:rPr>
          <w:rFonts w:ascii="Avenir LT 45 Book" w:eastAsia="Calibri" w:hAnsi="Avenir LT 45 Book"/>
          <w:sz w:val="20"/>
        </w:rPr>
      </w:pPr>
      <w:proofErr w:type="gramStart"/>
      <w:r w:rsidRPr="00DE26EC">
        <w:rPr>
          <w:rFonts w:ascii="Avenir LT 45 Book" w:eastAsia="Calibri" w:hAnsi="Avenir LT 45 Book"/>
          <w:sz w:val="20"/>
        </w:rPr>
        <w:t>Woodside;</w:t>
      </w:r>
      <w:proofErr w:type="gramEnd"/>
    </w:p>
    <w:p w14:paraId="70C611E9" w14:textId="77777777" w:rsidR="00B46EF1" w:rsidRPr="00DE26EC" w:rsidRDefault="00B46EF1" w:rsidP="002A3889">
      <w:pPr>
        <w:pStyle w:val="ListParagraph"/>
        <w:numPr>
          <w:ilvl w:val="0"/>
          <w:numId w:val="366"/>
        </w:numPr>
        <w:spacing w:after="120" w:line="360" w:lineRule="auto"/>
        <w:jc w:val="both"/>
        <w:rPr>
          <w:rFonts w:ascii="Avenir LT 45 Book" w:eastAsia="Calibri" w:hAnsi="Avenir LT 45 Book"/>
          <w:sz w:val="20"/>
        </w:rPr>
      </w:pPr>
      <w:proofErr w:type="gramStart"/>
      <w:r w:rsidRPr="00DE26EC">
        <w:rPr>
          <w:rFonts w:ascii="Avenir LT 45 Book" w:eastAsia="Calibri" w:hAnsi="Avenir LT 45 Book"/>
          <w:sz w:val="20"/>
        </w:rPr>
        <w:t>Richmond;</w:t>
      </w:r>
      <w:proofErr w:type="gramEnd"/>
    </w:p>
    <w:p w14:paraId="79AA185E" w14:textId="77777777" w:rsidR="00B46EF1" w:rsidRPr="00DE26EC" w:rsidRDefault="00B46EF1" w:rsidP="002A3889">
      <w:pPr>
        <w:pStyle w:val="ListParagraph"/>
        <w:numPr>
          <w:ilvl w:val="0"/>
          <w:numId w:val="366"/>
        </w:numPr>
        <w:spacing w:after="120" w:line="360" w:lineRule="auto"/>
        <w:jc w:val="both"/>
        <w:rPr>
          <w:rFonts w:ascii="Avenir LT 45 Book" w:eastAsia="Calibri" w:hAnsi="Avenir LT 45 Book"/>
          <w:sz w:val="20"/>
        </w:rPr>
      </w:pPr>
      <w:r w:rsidRPr="00DE26EC">
        <w:rPr>
          <w:rFonts w:ascii="Avenir LT 45 Book" w:eastAsia="Calibri" w:hAnsi="Avenir LT 45 Book"/>
          <w:sz w:val="20"/>
        </w:rPr>
        <w:t xml:space="preserve">Richmond </w:t>
      </w:r>
      <w:proofErr w:type="gramStart"/>
      <w:r w:rsidRPr="00DE26EC">
        <w:rPr>
          <w:rFonts w:ascii="Avenir LT 45 Book" w:eastAsia="Calibri" w:hAnsi="Avenir LT 45 Book"/>
          <w:sz w:val="20"/>
        </w:rPr>
        <w:t>Hill;</w:t>
      </w:r>
      <w:proofErr w:type="gramEnd"/>
    </w:p>
    <w:p w14:paraId="0D75D0C0" w14:textId="77777777" w:rsidR="00B46EF1" w:rsidRPr="00DE26EC" w:rsidRDefault="00B46EF1" w:rsidP="002A3889">
      <w:pPr>
        <w:pStyle w:val="ListParagraph"/>
        <w:numPr>
          <w:ilvl w:val="0"/>
          <w:numId w:val="366"/>
        </w:numPr>
        <w:spacing w:after="120" w:line="360" w:lineRule="auto"/>
        <w:jc w:val="both"/>
        <w:rPr>
          <w:rFonts w:ascii="Avenir LT 45 Book" w:eastAsia="Calibri" w:hAnsi="Avenir LT 45 Book"/>
          <w:sz w:val="20"/>
        </w:rPr>
      </w:pPr>
      <w:proofErr w:type="gramStart"/>
      <w:r w:rsidRPr="00DE26EC">
        <w:rPr>
          <w:rFonts w:ascii="Avenir LT 45 Book" w:eastAsia="Calibri" w:hAnsi="Avenir LT 45 Book"/>
          <w:sz w:val="20"/>
        </w:rPr>
        <w:t>Riverside;</w:t>
      </w:r>
      <w:proofErr w:type="gramEnd"/>
    </w:p>
    <w:p w14:paraId="7BD6204D" w14:textId="77777777" w:rsidR="00B46EF1" w:rsidRPr="00DE26EC" w:rsidRDefault="00B46EF1" w:rsidP="002A3889">
      <w:pPr>
        <w:pStyle w:val="ListParagraph"/>
        <w:numPr>
          <w:ilvl w:val="0"/>
          <w:numId w:val="366"/>
        </w:numPr>
        <w:spacing w:after="120" w:line="360" w:lineRule="auto"/>
        <w:jc w:val="both"/>
        <w:rPr>
          <w:rFonts w:ascii="Avenir LT 45 Book" w:eastAsia="Calibri" w:hAnsi="Avenir LT 45 Book"/>
          <w:sz w:val="20"/>
        </w:rPr>
      </w:pPr>
      <w:r w:rsidRPr="00DE26EC">
        <w:rPr>
          <w:rFonts w:ascii="Avenir LT 45 Book" w:eastAsia="Calibri" w:hAnsi="Avenir LT 45 Book"/>
          <w:sz w:val="20"/>
        </w:rPr>
        <w:t>Preston Point; and,</w:t>
      </w:r>
    </w:p>
    <w:p w14:paraId="60A21FE8" w14:textId="77777777" w:rsidR="00B46EF1" w:rsidRPr="00DE26EC" w:rsidRDefault="00B46EF1" w:rsidP="002A3889">
      <w:pPr>
        <w:pStyle w:val="ListParagraph"/>
        <w:numPr>
          <w:ilvl w:val="0"/>
          <w:numId w:val="366"/>
        </w:numPr>
        <w:spacing w:after="120" w:line="360" w:lineRule="auto"/>
        <w:jc w:val="both"/>
        <w:rPr>
          <w:rFonts w:ascii="Avenir LT 45 Book" w:eastAsia="Calibri" w:hAnsi="Avenir LT 45 Book"/>
          <w:sz w:val="20"/>
        </w:rPr>
      </w:pPr>
      <w:r w:rsidRPr="00DE26EC">
        <w:rPr>
          <w:rFonts w:ascii="Avenir LT 45 Book" w:eastAsia="Calibri" w:hAnsi="Avenir LT 45 Book"/>
          <w:sz w:val="20"/>
        </w:rPr>
        <w:t>Richmond Raceway.</w:t>
      </w:r>
    </w:p>
    <w:p w14:paraId="46AF03E3" w14:textId="77777777" w:rsidR="00B46EF1" w:rsidRPr="00DE26EC" w:rsidRDefault="00B46EF1" w:rsidP="00B46EF1">
      <w:pPr>
        <w:rPr>
          <w:rFonts w:ascii="Avenir LT 45 Book" w:eastAsia="Calibri" w:hAnsi="Avenir LT 45 Book"/>
          <w:sz w:val="20"/>
        </w:rPr>
      </w:pPr>
      <w:r w:rsidRPr="00DE26EC">
        <w:rPr>
          <w:rFonts w:ascii="Avenir LT 45 Book" w:eastAsia="Calibri" w:hAnsi="Avenir LT 45 Book"/>
          <w:sz w:val="20"/>
        </w:rPr>
        <w:t>Refer Figure 2 for precinct boundaries.</w:t>
      </w:r>
    </w:p>
    <w:p w14:paraId="4334F7ED" w14:textId="77777777" w:rsidR="00B46EF1" w:rsidRDefault="00B46EF1" w:rsidP="00B46EF1">
      <w:r>
        <w:br w:type="page"/>
      </w:r>
    </w:p>
    <w:p w14:paraId="62181E7B" w14:textId="77777777" w:rsidR="00B46EF1" w:rsidRPr="00842387" w:rsidRDefault="00B46EF1" w:rsidP="00B46EF1">
      <w:pPr>
        <w:jc w:val="both"/>
      </w:pPr>
      <w:r w:rsidRPr="00842387">
        <w:rPr>
          <w:noProof/>
          <w:lang w:eastAsia="en-AU"/>
        </w:rPr>
        <w:lastRenderedPageBreak/>
        <w:drawing>
          <wp:inline distT="0" distB="0" distL="0" distR="0" wp14:anchorId="27C7317B" wp14:editId="1FC1F861">
            <wp:extent cx="5052013" cy="7727387"/>
            <wp:effectExtent l="19050" t="0" r="0" b="0"/>
            <wp:docPr id="138" name="Picture 4" descr="11206-ZONE MAP2-Mode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6-ZONE MAP2-Model.eps"/>
                    <pic:cNvPicPr/>
                  </pic:nvPicPr>
                  <pic:blipFill>
                    <a:blip r:embed="rId170"/>
                    <a:stretch>
                      <a:fillRect/>
                    </a:stretch>
                  </pic:blipFill>
                  <pic:spPr>
                    <a:xfrm>
                      <a:off x="0" y="0"/>
                      <a:ext cx="5052013" cy="7727387"/>
                    </a:xfrm>
                    <a:prstGeom prst="rect">
                      <a:avLst/>
                    </a:prstGeom>
                  </pic:spPr>
                </pic:pic>
              </a:graphicData>
            </a:graphic>
          </wp:inline>
        </w:drawing>
      </w:r>
    </w:p>
    <w:p w14:paraId="5256374A" w14:textId="2728A52B" w:rsidR="00B46EF1" w:rsidRPr="00842387" w:rsidRDefault="00B46EF1" w:rsidP="00B46EF1">
      <w:pPr>
        <w:pStyle w:val="Figure"/>
        <w:spacing w:after="200"/>
        <w:jc w:val="left"/>
        <w:rPr>
          <w:lang w:val="en-AU"/>
        </w:rPr>
      </w:pPr>
      <w:r w:rsidRPr="00842387">
        <w:rPr>
          <w:rFonts w:ascii="Avenir LT 65 Medium" w:hAnsi="Avenir LT 65 Medium"/>
          <w:lang w:val="en-AU"/>
        </w:rPr>
        <w:t xml:space="preserve">Figure </w:t>
      </w:r>
      <w:r w:rsidRPr="00842387">
        <w:rPr>
          <w:rFonts w:ascii="Avenir LT 65 Medium" w:hAnsi="Avenir LT 65 Medium"/>
          <w:lang w:val="en-AU"/>
        </w:rPr>
        <w:fldChar w:fldCharType="begin"/>
      </w:r>
      <w:r w:rsidRPr="00842387">
        <w:rPr>
          <w:rFonts w:ascii="Avenir LT 65 Medium" w:hAnsi="Avenir LT 65 Medium"/>
          <w:lang w:val="en-AU"/>
        </w:rPr>
        <w:instrText xml:space="preserve"> SEQ Figure \* ARABIC </w:instrText>
      </w:r>
      <w:r w:rsidRPr="00842387">
        <w:rPr>
          <w:rFonts w:ascii="Avenir LT 65 Medium" w:hAnsi="Avenir LT 65 Medium"/>
          <w:lang w:val="en-AU"/>
        </w:rPr>
        <w:fldChar w:fldCharType="separate"/>
      </w:r>
      <w:r w:rsidR="004D51B7">
        <w:rPr>
          <w:rFonts w:ascii="Avenir LT 65 Medium" w:hAnsi="Avenir LT 65 Medium"/>
          <w:noProof/>
          <w:lang w:val="en-AU"/>
        </w:rPr>
        <w:t>2</w:t>
      </w:r>
      <w:r w:rsidRPr="00842387">
        <w:rPr>
          <w:rFonts w:ascii="Avenir LT 65 Medium" w:hAnsi="Avenir LT 65 Medium"/>
          <w:lang w:val="en-AU"/>
        </w:rPr>
        <w:fldChar w:fldCharType="end"/>
      </w:r>
      <w:r w:rsidRPr="00842387">
        <w:rPr>
          <w:b/>
          <w:lang w:val="en-AU"/>
        </w:rPr>
        <w:t xml:space="preserve"> </w:t>
      </w:r>
      <w:r w:rsidRPr="00842387">
        <w:rPr>
          <w:lang w:val="en-AU"/>
        </w:rPr>
        <w:t xml:space="preserve">– East Fremantle Precinct Location Plan – </w:t>
      </w:r>
      <w:r w:rsidRPr="00842387">
        <w:rPr>
          <w:i/>
          <w:lang w:val="en-AU"/>
        </w:rPr>
        <w:t>Griffiths Architects</w:t>
      </w:r>
      <w:r w:rsidRPr="00842387">
        <w:rPr>
          <w:lang w:val="en-AU"/>
        </w:rPr>
        <w:t xml:space="preserve"> - November 2011</w:t>
      </w:r>
    </w:p>
    <w:p w14:paraId="5093ED38" w14:textId="77777777" w:rsidR="00B46EF1" w:rsidRPr="001D7345" w:rsidRDefault="00B46EF1" w:rsidP="00B46EF1">
      <w:pPr>
        <w:rPr>
          <w:rFonts w:ascii="Avenir LT 45 Book" w:hAnsi="Avenir LT 45 Book" w:cs="Times New Roman"/>
          <w:szCs w:val="20"/>
        </w:rPr>
      </w:pPr>
      <w:r w:rsidRPr="00DE26EC">
        <w:rPr>
          <w:rFonts w:ascii="Avenir LT 45 Book" w:eastAsia="Calibri" w:hAnsi="Avenir LT 45 Book"/>
          <w:sz w:val="20"/>
        </w:rPr>
        <w:t>Identifies the major residential precincts; Plympton, Woodside, Richmond, Richmond Hill, Riverside, Preston Point and Richmond Raceway and their locations within the Town of East Fremantle boundaries.</w:t>
      </w:r>
      <w:r w:rsidRPr="001D7345">
        <w:rPr>
          <w:rFonts w:ascii="Avenir LT 45 Book" w:hAnsi="Avenir LT 45 Book"/>
        </w:rPr>
        <w:br w:type="page"/>
      </w:r>
    </w:p>
    <w:p w14:paraId="5600674B" w14:textId="77777777" w:rsidR="00B46EF1" w:rsidRPr="00DE26EC" w:rsidRDefault="00B46EF1" w:rsidP="002A3889">
      <w:pPr>
        <w:pStyle w:val="Heading2"/>
        <w:keepNext w:val="0"/>
        <w:keepLines w:val="0"/>
        <w:numPr>
          <w:ilvl w:val="1"/>
          <w:numId w:val="273"/>
        </w:numPr>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46" w:name="_Toc452727429"/>
      <w:r w:rsidRPr="00DE26EC">
        <w:rPr>
          <w:rFonts w:ascii="Avenir LT 65 Medium" w:eastAsia="Times New Roman" w:hAnsi="Avenir LT 65 Medium" w:cs="Times New Roman"/>
          <w:b w:val="0"/>
          <w:color w:val="000000"/>
          <w:sz w:val="22"/>
          <w:szCs w:val="24"/>
          <w:lang w:val="en-US"/>
        </w:rPr>
        <w:lastRenderedPageBreak/>
        <w:t>Status/Application of this Policy</w:t>
      </w:r>
      <w:bookmarkEnd w:id="446"/>
    </w:p>
    <w:p w14:paraId="68877BF0"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This Local Planning Policy has been adopted under Clause 2.4 of Town Planning Scheme No. 3.  From this point on, Town Planning Scheme No.3, shall be referred to as “the Scheme”.  This means that both the Town and prospective applicants are obliged to take the Policy into account.  Variations and departures from the Policy will need to be suitably justified by both the applicant and the Town.</w:t>
      </w:r>
    </w:p>
    <w:p w14:paraId="30AAA245"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With the exception of those aspects of development to which the Residential Design Codes apply (in respect to the Policies desired outcomes and performance criteria), the provisions of this Local Planning Policy apply to all development and/or use of land in the Policy Area (refer glossary) excluding the Town Centre Precinct where indicated as permitted or discretionary under the Zoning Table in the Scheme.</w:t>
      </w:r>
    </w:p>
    <w:p w14:paraId="1D20031E"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Subject to Part 5 ‘Local Planning Policies of the Residential Design Codes’, the provisions of this Local Planning Policy augment the Codes by providing additional Performance Criteria and Acceptable Development provisions for aspects related to heritage, streetscapes, building design/appearance, boundary walls, site works, building heights and external fixtures.</w:t>
      </w:r>
    </w:p>
    <w:p w14:paraId="70244566"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Subject to the Scheme, development and use of land within the Policy Area excluding the Town Centre Precinct shall be in accordance with the standards and requirements of this Local Planning Policy, and except as otherwise provided, shall require the prior planning approval of the Town in accordance with the provisions of the Scheme.</w:t>
      </w:r>
    </w:p>
    <w:p w14:paraId="3A876067"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In considering an application for planning approval where a variation is proposed to one or more Acceptable Development requirements prescribed under the Residential Design Codes and/or this Local Planning Policy, the Town shall, unless it otherwise determines, as part of any application for planning approval require the lodgement of a Development Impact Statement which has been prepared at the applicant’s expense by a suitably qualified and experienced consultant, with the Statement being to the Council’s satisfaction.</w:t>
      </w:r>
    </w:p>
    <w:p w14:paraId="768A1D1E" w14:textId="77777777" w:rsidR="00B46EF1" w:rsidRPr="006112BF" w:rsidRDefault="00B46EF1" w:rsidP="006112BF">
      <w:pPr>
        <w:spacing w:line="360" w:lineRule="auto"/>
        <w:rPr>
          <w:rFonts w:ascii="Avenir LT 45 Book" w:hAnsi="Avenir LT 45 Book"/>
          <w:sz w:val="20"/>
          <w:szCs w:val="20"/>
        </w:rPr>
      </w:pPr>
      <w:r w:rsidRPr="006112BF">
        <w:rPr>
          <w:rFonts w:ascii="Avenir LT 45 Book" w:hAnsi="Avenir LT 45 Book"/>
          <w:sz w:val="20"/>
          <w:szCs w:val="20"/>
        </w:rPr>
        <w:t xml:space="preserve">This Local Planning Policy applies to all places within the Policy Area excluding the Town Centre Precinct, including those places entered in the State Register of Heritage Places and Commonwealth Heritage List. </w:t>
      </w:r>
    </w:p>
    <w:p w14:paraId="2B8BEF9A" w14:textId="77777777" w:rsidR="00B46EF1" w:rsidRPr="00397A83" w:rsidRDefault="00B46EF1" w:rsidP="002A3889">
      <w:pPr>
        <w:pStyle w:val="Heading2"/>
        <w:keepNext w:val="0"/>
        <w:keepLines w:val="0"/>
        <w:numPr>
          <w:ilvl w:val="1"/>
          <w:numId w:val="273"/>
        </w:numPr>
        <w:tabs>
          <w:tab w:val="left" w:pos="709"/>
          <w:tab w:val="left" w:pos="1418"/>
        </w:tabs>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47" w:name="_Toc452727430"/>
      <w:r w:rsidRPr="00397A83">
        <w:rPr>
          <w:rFonts w:ascii="Avenir LT 65 Medium" w:eastAsia="Times New Roman" w:hAnsi="Avenir LT 65 Medium" w:cs="Times New Roman"/>
          <w:b w:val="0"/>
          <w:color w:val="000000"/>
          <w:sz w:val="22"/>
          <w:szCs w:val="24"/>
          <w:lang w:val="en-US"/>
        </w:rPr>
        <w:t>General Standards for Land Use &amp; Development/Policy Statement</w:t>
      </w:r>
      <w:bookmarkEnd w:id="447"/>
    </w:p>
    <w:p w14:paraId="3273A968" w14:textId="77777777" w:rsidR="00B46EF1" w:rsidRPr="00397A83" w:rsidRDefault="00397A83" w:rsidP="00397A83">
      <w:pPr>
        <w:pStyle w:val="Heading2"/>
        <w:keepNext w:val="0"/>
        <w:keepLines w:val="0"/>
        <w:tabs>
          <w:tab w:val="left" w:pos="709"/>
          <w:tab w:val="left" w:pos="1418"/>
        </w:tabs>
        <w:autoSpaceDE w:val="0"/>
        <w:autoSpaceDN w:val="0"/>
        <w:spacing w:before="0" w:after="200" w:line="360" w:lineRule="auto"/>
        <w:ind w:left="709" w:hanging="709"/>
        <w:jc w:val="both"/>
        <w:rPr>
          <w:rFonts w:ascii="Avenir LT 65 Medium" w:eastAsia="Times New Roman" w:hAnsi="Avenir LT 65 Medium" w:cs="Times New Roman"/>
          <w:b w:val="0"/>
          <w:color w:val="000000"/>
          <w:sz w:val="22"/>
          <w:szCs w:val="24"/>
          <w:lang w:val="en-US"/>
        </w:rPr>
      </w:pPr>
      <w:bookmarkStart w:id="448" w:name="_Toc452727431"/>
      <w:r>
        <w:rPr>
          <w:rFonts w:ascii="Avenir LT 65 Medium" w:eastAsia="Times New Roman" w:hAnsi="Avenir LT 65 Medium" w:cs="Times New Roman"/>
          <w:b w:val="0"/>
          <w:color w:val="000000"/>
          <w:sz w:val="22"/>
          <w:szCs w:val="24"/>
          <w:lang w:val="en-US"/>
        </w:rPr>
        <w:t>3.7.1</w:t>
      </w:r>
      <w:r>
        <w:rPr>
          <w:rFonts w:ascii="Avenir LT 65 Medium" w:eastAsia="Times New Roman" w:hAnsi="Avenir LT 65 Medium" w:cs="Times New Roman"/>
          <w:b w:val="0"/>
          <w:color w:val="000000"/>
          <w:sz w:val="22"/>
          <w:szCs w:val="24"/>
          <w:lang w:val="en-US"/>
        </w:rPr>
        <w:tab/>
      </w:r>
      <w:r w:rsidR="00B46EF1" w:rsidRPr="00397A83">
        <w:rPr>
          <w:rFonts w:ascii="Avenir LT 65 Medium" w:eastAsia="Times New Roman" w:hAnsi="Avenir LT 65 Medium" w:cs="Times New Roman"/>
          <w:b w:val="0"/>
          <w:color w:val="000000"/>
          <w:sz w:val="22"/>
          <w:szCs w:val="24"/>
          <w:lang w:val="en-US"/>
        </w:rPr>
        <w:t>Residential Development in the Town of East Fremantle Policy Area</w:t>
      </w:r>
      <w:bookmarkEnd w:id="448"/>
    </w:p>
    <w:p w14:paraId="1A36D90B" w14:textId="77777777" w:rsidR="00B46EF1" w:rsidRPr="00BC5BBF" w:rsidRDefault="00B46EF1" w:rsidP="00B46EF1">
      <w:pPr>
        <w:rPr>
          <w:rFonts w:ascii="Avenir LT 45 Book" w:hAnsi="Avenir LT 45 Book"/>
          <w:sz w:val="20"/>
          <w:szCs w:val="20"/>
        </w:rPr>
      </w:pPr>
      <w:r w:rsidRPr="00BC5BBF">
        <w:rPr>
          <w:rFonts w:ascii="Avenir LT 45 Book" w:hAnsi="Avenir LT 45 Book"/>
          <w:sz w:val="20"/>
          <w:szCs w:val="20"/>
        </w:rPr>
        <w:t>The development of residential land is to be in accordance with the requirements of the following:</w:t>
      </w:r>
    </w:p>
    <w:p w14:paraId="453141CE" w14:textId="77777777" w:rsidR="00B46EF1" w:rsidRPr="00BC5BBF" w:rsidRDefault="00B46EF1" w:rsidP="002A3889">
      <w:pPr>
        <w:pStyle w:val="ListParagraph"/>
        <w:numPr>
          <w:ilvl w:val="0"/>
          <w:numId w:val="117"/>
        </w:numPr>
        <w:spacing w:line="360" w:lineRule="auto"/>
        <w:rPr>
          <w:rFonts w:ascii="Avenir LT 45 Book" w:hAnsi="Avenir LT 45 Book"/>
          <w:sz w:val="20"/>
          <w:szCs w:val="20"/>
        </w:rPr>
      </w:pPr>
      <w:r w:rsidRPr="00BC5BBF">
        <w:rPr>
          <w:rFonts w:ascii="Avenir LT 45 Book" w:hAnsi="Avenir LT 45 Book"/>
          <w:sz w:val="20"/>
          <w:szCs w:val="20"/>
        </w:rPr>
        <w:t xml:space="preserve">This Local Planning </w:t>
      </w:r>
      <w:proofErr w:type="gramStart"/>
      <w:r w:rsidRPr="00BC5BBF">
        <w:rPr>
          <w:rFonts w:ascii="Avenir LT 45 Book" w:hAnsi="Avenir LT 45 Book"/>
          <w:sz w:val="20"/>
          <w:szCs w:val="20"/>
        </w:rPr>
        <w:t>Policy;</w:t>
      </w:r>
      <w:proofErr w:type="gramEnd"/>
    </w:p>
    <w:p w14:paraId="0DB64844" w14:textId="77777777" w:rsidR="00B46EF1" w:rsidRPr="00BC5BBF" w:rsidRDefault="00B46EF1" w:rsidP="002A3889">
      <w:pPr>
        <w:pStyle w:val="ListParagraph"/>
        <w:numPr>
          <w:ilvl w:val="0"/>
          <w:numId w:val="117"/>
        </w:numPr>
        <w:spacing w:line="360" w:lineRule="auto"/>
        <w:rPr>
          <w:rFonts w:ascii="Avenir LT 45 Book" w:hAnsi="Avenir LT 45 Book"/>
          <w:sz w:val="20"/>
          <w:szCs w:val="20"/>
        </w:rPr>
      </w:pPr>
      <w:r w:rsidRPr="00BC5BBF">
        <w:rPr>
          <w:rFonts w:ascii="Avenir LT 45 Book" w:hAnsi="Avenir LT 45 Book"/>
          <w:sz w:val="20"/>
          <w:szCs w:val="20"/>
        </w:rPr>
        <w:t xml:space="preserve">The R-Codes for residential development, subject to the </w:t>
      </w:r>
      <w:proofErr w:type="gramStart"/>
      <w:r w:rsidRPr="00BC5BBF">
        <w:rPr>
          <w:rFonts w:ascii="Avenir LT 45 Book" w:hAnsi="Avenir LT 45 Book"/>
          <w:sz w:val="20"/>
          <w:szCs w:val="20"/>
        </w:rPr>
        <w:t>variations;</w:t>
      </w:r>
      <w:proofErr w:type="gramEnd"/>
    </w:p>
    <w:p w14:paraId="24FF16AC" w14:textId="77777777" w:rsidR="00B46EF1" w:rsidRPr="00BC5BBF" w:rsidRDefault="00B46EF1" w:rsidP="002A3889">
      <w:pPr>
        <w:pStyle w:val="ListParagraph"/>
        <w:numPr>
          <w:ilvl w:val="0"/>
          <w:numId w:val="117"/>
        </w:numPr>
        <w:spacing w:line="360" w:lineRule="auto"/>
        <w:rPr>
          <w:rFonts w:ascii="Avenir LT 45 Book" w:hAnsi="Avenir LT 45 Book"/>
          <w:sz w:val="20"/>
          <w:szCs w:val="20"/>
        </w:rPr>
      </w:pPr>
      <w:r w:rsidRPr="00BC5BBF">
        <w:rPr>
          <w:rFonts w:ascii="Avenir LT 45 Book" w:hAnsi="Avenir LT 45 Book"/>
          <w:sz w:val="20"/>
          <w:szCs w:val="20"/>
        </w:rPr>
        <w:t xml:space="preserve">The applicable zone provisions under the </w:t>
      </w:r>
      <w:proofErr w:type="gramStart"/>
      <w:r w:rsidRPr="00BC5BBF">
        <w:rPr>
          <w:rFonts w:ascii="Avenir LT 45 Book" w:hAnsi="Avenir LT 45 Book"/>
          <w:sz w:val="20"/>
          <w:szCs w:val="20"/>
        </w:rPr>
        <w:t>Scheme;</w:t>
      </w:r>
      <w:proofErr w:type="gramEnd"/>
    </w:p>
    <w:p w14:paraId="69158046" w14:textId="77777777" w:rsidR="00B46EF1" w:rsidRPr="00BC5BBF" w:rsidRDefault="00B46EF1" w:rsidP="002A3889">
      <w:pPr>
        <w:pStyle w:val="ListParagraph"/>
        <w:numPr>
          <w:ilvl w:val="0"/>
          <w:numId w:val="117"/>
        </w:numPr>
        <w:spacing w:line="360" w:lineRule="auto"/>
        <w:rPr>
          <w:rFonts w:ascii="Avenir LT 45 Book" w:hAnsi="Avenir LT 45 Book"/>
          <w:sz w:val="20"/>
          <w:szCs w:val="20"/>
        </w:rPr>
      </w:pPr>
      <w:r w:rsidRPr="00BC5BBF">
        <w:rPr>
          <w:rFonts w:ascii="Avenir LT 45 Book" w:hAnsi="Avenir LT 45 Book"/>
          <w:sz w:val="20"/>
          <w:szCs w:val="20"/>
        </w:rPr>
        <w:t xml:space="preserve">Relevant Local Planning Policies or Local </w:t>
      </w:r>
      <w:proofErr w:type="gramStart"/>
      <w:r w:rsidRPr="00BC5BBF">
        <w:rPr>
          <w:rFonts w:ascii="Avenir LT 45 Book" w:hAnsi="Avenir LT 45 Book"/>
          <w:sz w:val="20"/>
          <w:szCs w:val="20"/>
        </w:rPr>
        <w:t>Laws;</w:t>
      </w:r>
      <w:proofErr w:type="gramEnd"/>
    </w:p>
    <w:p w14:paraId="78E6FBAE" w14:textId="77777777" w:rsidR="00B46EF1" w:rsidRPr="00BC5BBF" w:rsidRDefault="00B46EF1" w:rsidP="002A3889">
      <w:pPr>
        <w:pStyle w:val="ListParagraph"/>
        <w:numPr>
          <w:ilvl w:val="0"/>
          <w:numId w:val="117"/>
        </w:numPr>
        <w:spacing w:line="360" w:lineRule="auto"/>
        <w:rPr>
          <w:rFonts w:ascii="Avenir LT 45 Book" w:hAnsi="Avenir LT 45 Book"/>
          <w:sz w:val="20"/>
          <w:szCs w:val="20"/>
        </w:rPr>
      </w:pPr>
      <w:r w:rsidRPr="00BC5BBF">
        <w:rPr>
          <w:rFonts w:ascii="Avenir LT 45 Book" w:hAnsi="Avenir LT 45 Book"/>
          <w:sz w:val="20"/>
          <w:szCs w:val="20"/>
        </w:rPr>
        <w:t xml:space="preserve">State Planning Policy 3.5 – Historic Heritage </w:t>
      </w:r>
      <w:proofErr w:type="gramStart"/>
      <w:r w:rsidRPr="00BC5BBF">
        <w:rPr>
          <w:rFonts w:ascii="Avenir LT 45 Book" w:hAnsi="Avenir LT 45 Book"/>
          <w:sz w:val="20"/>
          <w:szCs w:val="20"/>
        </w:rPr>
        <w:t>Character;</w:t>
      </w:r>
      <w:proofErr w:type="gramEnd"/>
    </w:p>
    <w:p w14:paraId="505244E3" w14:textId="77777777" w:rsidR="00B46EF1" w:rsidRPr="00BC5BBF" w:rsidRDefault="00B46EF1" w:rsidP="002A3889">
      <w:pPr>
        <w:pStyle w:val="ListParagraph"/>
        <w:numPr>
          <w:ilvl w:val="0"/>
          <w:numId w:val="117"/>
        </w:numPr>
        <w:spacing w:line="360" w:lineRule="auto"/>
        <w:rPr>
          <w:rFonts w:ascii="Avenir LT 45 Book" w:hAnsi="Avenir LT 45 Book"/>
          <w:sz w:val="20"/>
          <w:szCs w:val="20"/>
        </w:rPr>
      </w:pPr>
      <w:r w:rsidRPr="00BC5BBF">
        <w:rPr>
          <w:rFonts w:ascii="Avenir LT 45 Book" w:hAnsi="Avenir LT 45 Book"/>
          <w:sz w:val="20"/>
          <w:szCs w:val="20"/>
        </w:rPr>
        <w:t>Applicable Australian Standards; and,</w:t>
      </w:r>
    </w:p>
    <w:p w14:paraId="7F2989E9" w14:textId="77777777" w:rsidR="00B46EF1" w:rsidRPr="00BC5BBF" w:rsidRDefault="00B46EF1" w:rsidP="002A3889">
      <w:pPr>
        <w:pStyle w:val="ListParagraph"/>
        <w:numPr>
          <w:ilvl w:val="0"/>
          <w:numId w:val="117"/>
        </w:numPr>
        <w:spacing w:line="360" w:lineRule="auto"/>
        <w:rPr>
          <w:rFonts w:ascii="Avenir LT 45 Book" w:hAnsi="Avenir LT 45 Book"/>
          <w:sz w:val="20"/>
          <w:szCs w:val="20"/>
        </w:rPr>
      </w:pPr>
      <w:r w:rsidRPr="00BC5BBF">
        <w:rPr>
          <w:rFonts w:ascii="Avenir LT 45 Book" w:hAnsi="Avenir LT 45 Book"/>
          <w:sz w:val="20"/>
          <w:szCs w:val="20"/>
        </w:rPr>
        <w:t>Burra Charter principles in the case of heritage premises.</w:t>
      </w:r>
    </w:p>
    <w:p w14:paraId="779C9A7D" w14:textId="77777777" w:rsidR="00BC5BBF" w:rsidRDefault="00B46EF1" w:rsidP="00BC5BBF">
      <w:pPr>
        <w:spacing w:line="360" w:lineRule="auto"/>
        <w:rPr>
          <w:rFonts w:ascii="Avenir LT 45 Book" w:eastAsia="Calibri" w:hAnsi="Avenir LT 45 Book"/>
          <w:sz w:val="20"/>
        </w:rPr>
      </w:pPr>
      <w:r w:rsidRPr="00BC5BBF">
        <w:rPr>
          <w:rFonts w:ascii="Avenir LT 45 Book" w:eastAsia="Calibri" w:hAnsi="Avenir LT 45 Book"/>
          <w:sz w:val="20"/>
        </w:rPr>
        <w:t>The following provisions apply to development within all Precincts of the Policy Area except for the Preston Point Precinct and the Town Centre Precinct.  In areas subject to the LPP Town Centre Redevelopment Guidelines, those Guidelines take precedence and are additional to the requirements of this document.</w:t>
      </w:r>
    </w:p>
    <w:p w14:paraId="4DDFAE83" w14:textId="77777777" w:rsidR="00B46EF1" w:rsidRPr="00BC5BBF" w:rsidRDefault="00BC5BBF" w:rsidP="00BC5BBF">
      <w:pPr>
        <w:pStyle w:val="Heading3"/>
        <w:keepNext w:val="0"/>
        <w:keepLines w:val="0"/>
        <w:tabs>
          <w:tab w:val="left" w:pos="1418"/>
        </w:tabs>
        <w:autoSpaceDE w:val="0"/>
        <w:autoSpaceDN w:val="0"/>
        <w:spacing w:before="0" w:after="200" w:line="360" w:lineRule="auto"/>
        <w:ind w:left="1418" w:hanging="1418"/>
        <w:jc w:val="both"/>
        <w:rPr>
          <w:rFonts w:ascii="Avenir LT 65 Medium" w:eastAsia="Times New Roman" w:hAnsi="Avenir LT 65 Medium" w:cs="Times New Roman"/>
          <w:bCs/>
          <w:color w:val="000000"/>
          <w:sz w:val="22"/>
        </w:rPr>
      </w:pPr>
      <w:bookmarkStart w:id="449" w:name="_Toc452727432"/>
      <w:r>
        <w:rPr>
          <w:rFonts w:ascii="Avenir LT 65 Medium" w:eastAsia="Times New Roman" w:hAnsi="Avenir LT 65 Medium" w:cs="Times New Roman"/>
          <w:bCs/>
          <w:color w:val="000000"/>
          <w:sz w:val="22"/>
        </w:rPr>
        <w:t>3.7.2</w:t>
      </w:r>
      <w:r>
        <w:rPr>
          <w:rFonts w:ascii="Avenir LT 65 Medium" w:eastAsia="Times New Roman" w:hAnsi="Avenir LT 65 Medium" w:cs="Times New Roman"/>
          <w:bCs/>
          <w:color w:val="000000"/>
          <w:sz w:val="22"/>
        </w:rPr>
        <w:tab/>
      </w:r>
      <w:r w:rsidR="00B46EF1" w:rsidRPr="00BC5BBF">
        <w:rPr>
          <w:rFonts w:ascii="Avenir LT 65 Medium" w:eastAsia="Times New Roman" w:hAnsi="Avenir LT 65 Medium" w:cs="Times New Roman"/>
          <w:bCs/>
          <w:color w:val="000000"/>
          <w:sz w:val="22"/>
        </w:rPr>
        <w:t>Additions and Alterations to Existing Buildings</w:t>
      </w:r>
      <w:bookmarkEnd w:id="449"/>
    </w:p>
    <w:p w14:paraId="1936B03C" w14:textId="77777777" w:rsidR="00B46EF1" w:rsidRPr="00BC5BBF" w:rsidRDefault="00BC5BBF" w:rsidP="00BC5BBF">
      <w:pPr>
        <w:pStyle w:val="Heading3"/>
        <w:keepNext w:val="0"/>
        <w:keepLines w:val="0"/>
        <w:tabs>
          <w:tab w:val="left" w:pos="1418"/>
        </w:tabs>
        <w:autoSpaceDE w:val="0"/>
        <w:autoSpaceDN w:val="0"/>
        <w:spacing w:before="0" w:after="200" w:line="360" w:lineRule="auto"/>
        <w:jc w:val="both"/>
        <w:rPr>
          <w:rFonts w:ascii="Avenir LT 65 Medium" w:eastAsia="Times New Roman" w:hAnsi="Avenir LT 65 Medium" w:cs="Times New Roman"/>
          <w:bCs/>
          <w:color w:val="000000"/>
          <w:sz w:val="22"/>
        </w:rPr>
      </w:pPr>
      <w:r>
        <w:rPr>
          <w:rFonts w:ascii="Avenir LT 65 Medium" w:eastAsia="Times New Roman" w:hAnsi="Avenir LT 65 Medium" w:cs="Times New Roman"/>
          <w:bCs/>
          <w:color w:val="000000"/>
          <w:sz w:val="22"/>
        </w:rPr>
        <w:lastRenderedPageBreak/>
        <w:t>3.7.2.1</w:t>
      </w:r>
      <w:r>
        <w:rPr>
          <w:rFonts w:ascii="Avenir LT 65 Medium" w:eastAsia="Times New Roman" w:hAnsi="Avenir LT 65 Medium" w:cs="Times New Roman"/>
          <w:bCs/>
          <w:color w:val="000000"/>
          <w:sz w:val="22"/>
        </w:rPr>
        <w:tab/>
      </w:r>
      <w:r w:rsidR="00B46EF1" w:rsidRPr="00BC5BBF">
        <w:rPr>
          <w:rFonts w:ascii="Avenir LT 65 Medium" w:eastAsia="Times New Roman" w:hAnsi="Avenir LT 65 Medium" w:cs="Times New Roman"/>
          <w:bCs/>
          <w:color w:val="000000"/>
          <w:sz w:val="22"/>
        </w:rPr>
        <w:t>Statement</w:t>
      </w:r>
    </w:p>
    <w:p w14:paraId="62139CB3" w14:textId="77777777" w:rsidR="00B46EF1" w:rsidRPr="009F458E" w:rsidRDefault="00B46EF1" w:rsidP="009F458E">
      <w:pPr>
        <w:spacing w:line="360" w:lineRule="auto"/>
        <w:rPr>
          <w:rFonts w:ascii="Avenir LT 45 Book" w:eastAsia="Calibri" w:hAnsi="Avenir LT 45 Book"/>
          <w:i/>
          <w:sz w:val="20"/>
        </w:rPr>
      </w:pPr>
      <w:r w:rsidRPr="009F458E">
        <w:rPr>
          <w:rFonts w:ascii="Avenir LT 45 Book" w:eastAsia="Calibri" w:hAnsi="Avenir LT 45 Book"/>
          <w:i/>
          <w:sz w:val="20"/>
        </w:rPr>
        <w:t>The Town supports well designed alterations and additions to existing buildings within the Policy Area.  Lean-to additions are generally acceptable.</w:t>
      </w:r>
    </w:p>
    <w:p w14:paraId="256F73FE" w14:textId="77777777" w:rsidR="00B46EF1" w:rsidRPr="009F458E" w:rsidRDefault="00B46EF1" w:rsidP="009F458E">
      <w:pPr>
        <w:spacing w:line="360" w:lineRule="auto"/>
        <w:rPr>
          <w:rFonts w:ascii="Avenir LT 45 Book" w:eastAsia="Calibri" w:hAnsi="Avenir LT 45 Book"/>
          <w:i/>
          <w:sz w:val="20"/>
        </w:rPr>
      </w:pPr>
      <w:r w:rsidRPr="009F458E">
        <w:rPr>
          <w:rFonts w:ascii="Avenir LT 45 Book" w:eastAsia="Calibri" w:hAnsi="Avenir LT 45 Book"/>
          <w:i/>
          <w:sz w:val="20"/>
        </w:rPr>
        <w:t>Second storey additions are acceptable within the Policy Area.  For traditional contributory buildings additions must either be accommodated within the existing roof space or not be dominant from the primary street.</w:t>
      </w:r>
    </w:p>
    <w:p w14:paraId="3FC19F81" w14:textId="77777777" w:rsidR="00B46EF1" w:rsidRPr="00842387" w:rsidRDefault="00B46EF1" w:rsidP="00B46EF1">
      <w:r>
        <w:rPr>
          <w:noProof/>
          <w:lang w:eastAsia="en-AU"/>
        </w:rPr>
        <w:drawing>
          <wp:inline distT="0" distB="0" distL="0" distR="0" wp14:anchorId="6F6259A8" wp14:editId="2B16799E">
            <wp:extent cx="2524125" cy="1800225"/>
            <wp:effectExtent l="19050" t="0" r="9525" b="0"/>
            <wp:docPr id="155" name="Picture 16" descr="Z:\2011 JOBS\11206-EAST FREMANTLE GUIDELINES\11206-PHOTOS\PROCESSED\PLYMPTON\KING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2011 JOBS\11206-EAST FREMANTLE GUIDELINES\11206-PHOTOS\PROCESSED\PLYMPTON\KING STREET.jpg"/>
                    <pic:cNvPicPr>
                      <a:picLocks noChangeAspect="1" noChangeArrowheads="1"/>
                    </pic:cNvPicPr>
                  </pic:nvPicPr>
                  <pic:blipFill>
                    <a:blip r:embed="rId171"/>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18447858" wp14:editId="15C9888F">
            <wp:extent cx="2524125" cy="1800225"/>
            <wp:effectExtent l="19050" t="0" r="9525" b="0"/>
            <wp:docPr id="48" name="Picture 17" descr="Z:\2011 JOBS\11206-EAST FREMANTLE GUIDELINES\11206-PHOTOS\PROCESSED\RICHMOND\CORNER OF EASTON AND FRAS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2011 JOBS\11206-EAST FREMANTLE GUIDELINES\11206-PHOTOS\PROCESSED\RICHMOND\CORNER OF EASTON AND FRASER STREET.jpg"/>
                    <pic:cNvPicPr>
                      <a:picLocks noChangeAspect="1" noChangeArrowheads="1"/>
                    </pic:cNvPicPr>
                  </pic:nvPicPr>
                  <pic:blipFill>
                    <a:blip r:embed="rId172"/>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0210F59A" w14:textId="77777777" w:rsidR="00B46EF1" w:rsidRPr="00BC5BBF" w:rsidRDefault="00BC5BBF" w:rsidP="00BC5BBF">
      <w:pPr>
        <w:pStyle w:val="Heading4"/>
        <w:tabs>
          <w:tab w:val="left" w:pos="1418"/>
        </w:tabs>
        <w:spacing w:before="120" w:after="200" w:line="360" w:lineRule="auto"/>
        <w:ind w:left="1418" w:hanging="1418"/>
        <w:rPr>
          <w:rFonts w:ascii="Avenir LT 65 Medium" w:hAnsi="Avenir LT 65 Medium"/>
          <w:bCs/>
          <w:i w:val="0"/>
          <w:color w:val="auto"/>
        </w:rPr>
      </w:pPr>
      <w:r>
        <w:rPr>
          <w:rFonts w:ascii="Avenir LT 65 Medium" w:hAnsi="Avenir LT 65 Medium"/>
          <w:bCs/>
          <w:i w:val="0"/>
          <w:color w:val="auto"/>
        </w:rPr>
        <w:t>3.7.2.2</w:t>
      </w:r>
      <w:r>
        <w:rPr>
          <w:rFonts w:ascii="Avenir LT 65 Medium" w:hAnsi="Avenir LT 65 Medium"/>
          <w:bCs/>
          <w:i w:val="0"/>
          <w:color w:val="auto"/>
        </w:rPr>
        <w:tab/>
      </w:r>
      <w:r w:rsidR="00B46EF1" w:rsidRPr="00BC5BBF">
        <w:rPr>
          <w:rFonts w:ascii="Avenir LT 65 Medium" w:hAnsi="Avenir LT 65 Medium"/>
          <w:bCs/>
          <w:i w:val="0"/>
          <w:color w:val="auto"/>
        </w:rPr>
        <w:t>Desired Development Outcomes</w:t>
      </w:r>
    </w:p>
    <w:p w14:paraId="5FAAD156" w14:textId="77777777" w:rsidR="00B46EF1" w:rsidRPr="00BC5BBF" w:rsidRDefault="00B46EF1" w:rsidP="002A3889">
      <w:pPr>
        <w:pStyle w:val="ListParagraph"/>
        <w:numPr>
          <w:ilvl w:val="0"/>
          <w:numId w:val="141"/>
        </w:numPr>
        <w:spacing w:line="360" w:lineRule="auto"/>
        <w:ind w:hanging="357"/>
        <w:contextualSpacing w:val="0"/>
        <w:rPr>
          <w:rFonts w:ascii="Avenir LT 45 Book" w:hAnsi="Avenir LT 45 Book"/>
          <w:sz w:val="20"/>
          <w:szCs w:val="20"/>
        </w:rPr>
      </w:pPr>
      <w:r w:rsidRPr="00BC5BBF">
        <w:rPr>
          <w:rFonts w:ascii="Avenir LT 45 Book" w:hAnsi="Avenir LT 45 Book"/>
          <w:sz w:val="20"/>
          <w:szCs w:val="20"/>
        </w:rPr>
        <w:t xml:space="preserve">Additions and alteration should take into account the significance and character of the existing building and its contribution to the character of the </w:t>
      </w:r>
      <w:proofErr w:type="gramStart"/>
      <w:r w:rsidRPr="00BC5BBF">
        <w:rPr>
          <w:rFonts w:ascii="Avenir LT 45 Book" w:hAnsi="Avenir LT 45 Book"/>
          <w:sz w:val="20"/>
          <w:szCs w:val="20"/>
        </w:rPr>
        <w:t>Precinct;</w:t>
      </w:r>
      <w:proofErr w:type="gramEnd"/>
    </w:p>
    <w:p w14:paraId="372DB985" w14:textId="77777777" w:rsidR="00B46EF1" w:rsidRPr="00BC5BBF" w:rsidRDefault="00B46EF1" w:rsidP="002A3889">
      <w:pPr>
        <w:pStyle w:val="ListParagraph"/>
        <w:numPr>
          <w:ilvl w:val="0"/>
          <w:numId w:val="141"/>
        </w:numPr>
        <w:spacing w:line="360" w:lineRule="auto"/>
        <w:ind w:hanging="357"/>
        <w:contextualSpacing w:val="0"/>
        <w:rPr>
          <w:rFonts w:ascii="Avenir LT 45 Book" w:hAnsi="Avenir LT 45 Book"/>
          <w:sz w:val="20"/>
          <w:szCs w:val="20"/>
        </w:rPr>
      </w:pPr>
      <w:r w:rsidRPr="00BC5BBF">
        <w:rPr>
          <w:rFonts w:ascii="Avenir LT 45 Book" w:hAnsi="Avenir LT 45 Book"/>
          <w:sz w:val="20"/>
          <w:szCs w:val="20"/>
        </w:rPr>
        <w:t xml:space="preserve">Additions and alterations should be well designed with minimal interference to the existing </w:t>
      </w:r>
      <w:proofErr w:type="gramStart"/>
      <w:r w:rsidRPr="00BC5BBF">
        <w:rPr>
          <w:rFonts w:ascii="Avenir LT 45 Book" w:hAnsi="Avenir LT 45 Book"/>
          <w:sz w:val="20"/>
          <w:szCs w:val="20"/>
        </w:rPr>
        <w:t>building;</w:t>
      </w:r>
      <w:proofErr w:type="gramEnd"/>
    </w:p>
    <w:p w14:paraId="7032F5A9" w14:textId="77777777" w:rsidR="00B46EF1" w:rsidRPr="00BC5BBF" w:rsidRDefault="00B46EF1" w:rsidP="002A3889">
      <w:pPr>
        <w:pStyle w:val="ListParagraph"/>
        <w:numPr>
          <w:ilvl w:val="0"/>
          <w:numId w:val="141"/>
        </w:numPr>
        <w:spacing w:line="360" w:lineRule="auto"/>
        <w:ind w:hanging="357"/>
        <w:contextualSpacing w:val="0"/>
        <w:rPr>
          <w:rFonts w:ascii="Avenir LT 45 Book" w:hAnsi="Avenir LT 45 Book"/>
          <w:sz w:val="20"/>
          <w:szCs w:val="20"/>
        </w:rPr>
      </w:pPr>
      <w:r w:rsidRPr="00BC5BBF">
        <w:rPr>
          <w:rFonts w:ascii="Avenir LT 45 Book" w:hAnsi="Avenir LT 45 Book"/>
          <w:sz w:val="20"/>
          <w:szCs w:val="20"/>
        </w:rPr>
        <w:t>Single storey additions and second storey additions and alterations to existing dwellings are acceptable.  Second storey additions shall be supported but are required to:</w:t>
      </w:r>
    </w:p>
    <w:p w14:paraId="6E074622" w14:textId="77777777" w:rsidR="00B46EF1" w:rsidRPr="00BC5BBF" w:rsidRDefault="00B46EF1" w:rsidP="002A3889">
      <w:pPr>
        <w:pStyle w:val="ListParagraph"/>
        <w:numPr>
          <w:ilvl w:val="0"/>
          <w:numId w:val="142"/>
        </w:numPr>
        <w:spacing w:line="360" w:lineRule="auto"/>
        <w:ind w:hanging="357"/>
        <w:contextualSpacing w:val="0"/>
        <w:rPr>
          <w:rFonts w:ascii="Avenir LT 45 Book" w:hAnsi="Avenir LT 45 Book"/>
          <w:sz w:val="20"/>
          <w:szCs w:val="20"/>
        </w:rPr>
      </w:pPr>
      <w:r w:rsidRPr="00BC5BBF">
        <w:rPr>
          <w:rFonts w:ascii="Avenir LT 45 Book" w:hAnsi="Avenir LT 45 Book"/>
          <w:sz w:val="20"/>
          <w:szCs w:val="20"/>
        </w:rPr>
        <w:t>Be constructed within the existing roof space, or towards the rear of the dwelling and must not impact upon significant fabric of the dwelling; and,</w:t>
      </w:r>
    </w:p>
    <w:p w14:paraId="281A7C5E" w14:textId="77777777" w:rsidR="006112BF" w:rsidRDefault="00B46EF1" w:rsidP="002A3889">
      <w:pPr>
        <w:pStyle w:val="ListParagraph"/>
        <w:numPr>
          <w:ilvl w:val="0"/>
          <w:numId w:val="142"/>
        </w:numPr>
        <w:spacing w:line="360" w:lineRule="auto"/>
        <w:ind w:hanging="357"/>
        <w:contextualSpacing w:val="0"/>
        <w:rPr>
          <w:rFonts w:ascii="Avenir LT 45 Book" w:hAnsi="Avenir LT 45 Book"/>
          <w:sz w:val="20"/>
          <w:szCs w:val="20"/>
        </w:rPr>
      </w:pPr>
      <w:r w:rsidRPr="00BC5BBF">
        <w:rPr>
          <w:rFonts w:ascii="Avenir LT 45 Book" w:hAnsi="Avenir LT 45 Book"/>
          <w:sz w:val="20"/>
          <w:szCs w:val="20"/>
        </w:rPr>
        <w:t>Not be dominant from the primary street.</w:t>
      </w:r>
    </w:p>
    <w:p w14:paraId="1B21D8EC" w14:textId="77777777" w:rsidR="006112BF" w:rsidRDefault="006112BF" w:rsidP="006112BF">
      <w:r>
        <w:br w:type="page"/>
      </w:r>
    </w:p>
    <w:p w14:paraId="7C8BA71A" w14:textId="77777777" w:rsidR="00B46EF1" w:rsidRPr="00BC5BBF" w:rsidRDefault="00B46EF1" w:rsidP="002A3889">
      <w:pPr>
        <w:pStyle w:val="ListParagraph"/>
        <w:numPr>
          <w:ilvl w:val="0"/>
          <w:numId w:val="141"/>
        </w:numPr>
        <w:spacing w:line="360" w:lineRule="auto"/>
        <w:ind w:hanging="357"/>
        <w:contextualSpacing w:val="0"/>
        <w:rPr>
          <w:rFonts w:ascii="Avenir LT 45 Book" w:hAnsi="Avenir LT 45 Book"/>
          <w:sz w:val="20"/>
          <w:szCs w:val="20"/>
        </w:rPr>
      </w:pPr>
      <w:r w:rsidRPr="00BC5BBF">
        <w:rPr>
          <w:rFonts w:ascii="Avenir LT 45 Book" w:hAnsi="Avenir LT 45 Book"/>
          <w:sz w:val="20"/>
          <w:szCs w:val="20"/>
        </w:rPr>
        <w:lastRenderedPageBreak/>
        <w:t>Additions and alterations should visually contrast to a contributory dwelling.  Differentiation may be major or subtle; and,</w:t>
      </w:r>
    </w:p>
    <w:p w14:paraId="14969AB1" w14:textId="77777777" w:rsidR="00B46EF1" w:rsidRPr="00BC5BBF" w:rsidRDefault="00B46EF1" w:rsidP="002A3889">
      <w:pPr>
        <w:pStyle w:val="ListParagraph"/>
        <w:numPr>
          <w:ilvl w:val="0"/>
          <w:numId w:val="141"/>
        </w:numPr>
        <w:spacing w:line="360" w:lineRule="auto"/>
        <w:ind w:hanging="357"/>
        <w:contextualSpacing w:val="0"/>
        <w:rPr>
          <w:rFonts w:ascii="Avenir LT 45 Book" w:hAnsi="Avenir LT 45 Book"/>
          <w:sz w:val="20"/>
          <w:szCs w:val="20"/>
        </w:rPr>
      </w:pPr>
      <w:r w:rsidRPr="00BC5BBF">
        <w:rPr>
          <w:rFonts w:ascii="Avenir LT 45 Book" w:hAnsi="Avenir LT 45 Book"/>
          <w:sz w:val="20"/>
          <w:szCs w:val="20"/>
        </w:rPr>
        <w:t>Additions and alterations should always respect scale, bulk and proportions of the existing dwelling.</w:t>
      </w:r>
    </w:p>
    <w:p w14:paraId="70B930B8" w14:textId="77777777" w:rsidR="00B46EF1" w:rsidRPr="00BC5BBF" w:rsidRDefault="00B46EF1" w:rsidP="00B46EF1">
      <w:pPr>
        <w:rPr>
          <w:rFonts w:ascii="Avenir LT 45 Book" w:hAnsi="Avenir LT 45 Book"/>
          <w:sz w:val="20"/>
          <w:szCs w:val="20"/>
        </w:rPr>
      </w:pPr>
      <w:r w:rsidRPr="00BC5BBF">
        <w:rPr>
          <w:rFonts w:ascii="Avenir LT 45 Book" w:hAnsi="Avenir LT 45 Book"/>
          <w:sz w:val="20"/>
          <w:szCs w:val="20"/>
        </w:rPr>
        <w:t>NOTE: All applications for planning approval for additions and alterations are to comply with all other design elements of this LPP.</w:t>
      </w:r>
    </w:p>
    <w:p w14:paraId="0B8EFA6F" w14:textId="77777777" w:rsidR="00B46EF1" w:rsidRPr="00842387" w:rsidRDefault="00B46EF1" w:rsidP="00B46EF1">
      <w:pPr>
        <w:rPr>
          <w:rFonts w:ascii="Avenir LT 65 Medium" w:hAnsi="Avenir LT 65 Medium"/>
        </w:rPr>
      </w:pPr>
      <w:r w:rsidRPr="00842387">
        <w:rPr>
          <w:rFonts w:ascii="Avenir LT 65 Medium" w:hAnsi="Avenir LT 65 Medium"/>
          <w:noProof/>
          <w:lang w:eastAsia="en-AU"/>
        </w:rPr>
        <w:drawing>
          <wp:inline distT="0" distB="0" distL="0" distR="0" wp14:anchorId="6F889F74" wp14:editId="675A063F">
            <wp:extent cx="5867866" cy="2774315"/>
            <wp:effectExtent l="0" t="0" r="0" b="0"/>
            <wp:docPr id="52" name="Picture 25" descr="ADDITIONS AND ALTERATIONS 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ONS AND ALTERATIONS 1.eps"/>
                    <pic:cNvPicPr/>
                  </pic:nvPicPr>
                  <pic:blipFill>
                    <a:blip r:embed="rId173"/>
                    <a:stretch>
                      <a:fillRect/>
                    </a:stretch>
                  </pic:blipFill>
                  <pic:spPr>
                    <a:xfrm>
                      <a:off x="0" y="0"/>
                      <a:ext cx="5867866" cy="2774315"/>
                    </a:xfrm>
                    <a:prstGeom prst="rect">
                      <a:avLst/>
                    </a:prstGeom>
                  </pic:spPr>
                </pic:pic>
              </a:graphicData>
            </a:graphic>
          </wp:inline>
        </w:drawing>
      </w:r>
    </w:p>
    <w:p w14:paraId="072A23E8" w14:textId="77777777" w:rsidR="00B46EF1" w:rsidRPr="001D7345" w:rsidRDefault="00B46EF1" w:rsidP="00BC5BBF">
      <w:pPr>
        <w:spacing w:after="240"/>
        <w:rPr>
          <w:rFonts w:ascii="Avenir LT 45 Book" w:hAnsi="Avenir LT 45 Book"/>
          <w:sz w:val="20"/>
          <w:szCs w:val="20"/>
        </w:rPr>
      </w:pPr>
      <w:r w:rsidRPr="001D7345">
        <w:rPr>
          <w:rFonts w:ascii="Avenir LT 45 Book" w:hAnsi="Avenir LT 45 Book"/>
          <w:sz w:val="20"/>
          <w:szCs w:val="20"/>
        </w:rPr>
        <w:t>Figure 3 – Elevations illustrating compatible alterations and additions –</w:t>
      </w:r>
      <w:r w:rsidRPr="001D7345">
        <w:rPr>
          <w:rFonts w:ascii="Avenir LT 45 Book" w:hAnsi="Avenir LT 45 Book"/>
          <w:i/>
          <w:sz w:val="20"/>
          <w:szCs w:val="20"/>
        </w:rPr>
        <w:t xml:space="preserve"> Griffiths Architects 2012.  </w:t>
      </w:r>
      <w:r w:rsidRPr="001D7345">
        <w:rPr>
          <w:rFonts w:ascii="Avenir LT 45 Book" w:hAnsi="Avenir LT 45 Book"/>
          <w:sz w:val="20"/>
          <w:szCs w:val="20"/>
        </w:rPr>
        <w:t>The actual configuration of such an extension is subject also to R Code setback provisions.</w:t>
      </w:r>
    </w:p>
    <w:p w14:paraId="76B03BDE" w14:textId="77777777" w:rsidR="00B46EF1" w:rsidRPr="00842387" w:rsidRDefault="00B46EF1" w:rsidP="00B46EF1">
      <w:r w:rsidRPr="00842387">
        <w:rPr>
          <w:noProof/>
          <w:lang w:eastAsia="en-AU"/>
        </w:rPr>
        <w:drawing>
          <wp:inline distT="0" distB="0" distL="0" distR="0" wp14:anchorId="03AE8851" wp14:editId="59B02E57">
            <wp:extent cx="5868035" cy="3169651"/>
            <wp:effectExtent l="19050" t="0" r="0" b="0"/>
            <wp:docPr id="54" name="Picture 26" descr="ADDITIONS AND ALTERATIONS 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ONS AND ALTERATIONS 2.eps"/>
                    <pic:cNvPicPr/>
                  </pic:nvPicPr>
                  <pic:blipFill>
                    <a:blip r:embed="rId174"/>
                    <a:stretch>
                      <a:fillRect/>
                    </a:stretch>
                  </pic:blipFill>
                  <pic:spPr>
                    <a:xfrm>
                      <a:off x="0" y="0"/>
                      <a:ext cx="5868035" cy="3169651"/>
                    </a:xfrm>
                    <a:prstGeom prst="rect">
                      <a:avLst/>
                    </a:prstGeom>
                  </pic:spPr>
                </pic:pic>
              </a:graphicData>
            </a:graphic>
          </wp:inline>
        </w:drawing>
      </w:r>
    </w:p>
    <w:p w14:paraId="61F5A384" w14:textId="77777777" w:rsidR="00B46EF1" w:rsidRPr="006112BF" w:rsidRDefault="00B46EF1" w:rsidP="00B46EF1">
      <w:pPr>
        <w:rPr>
          <w:rFonts w:ascii="Avenir LT 45 Book" w:hAnsi="Avenir LT 45 Book"/>
          <w:i/>
          <w:sz w:val="20"/>
          <w:szCs w:val="20"/>
        </w:rPr>
      </w:pPr>
      <w:r w:rsidRPr="001D7345">
        <w:rPr>
          <w:rFonts w:ascii="Avenir LT 45 Book" w:hAnsi="Avenir LT 45 Book"/>
        </w:rPr>
        <w:t xml:space="preserve">Figure 4 – </w:t>
      </w:r>
      <w:r w:rsidRPr="006112BF">
        <w:rPr>
          <w:rFonts w:ascii="Avenir LT 45 Book" w:hAnsi="Avenir LT 45 Book"/>
          <w:sz w:val="20"/>
          <w:szCs w:val="20"/>
        </w:rPr>
        <w:t>Elevations illustrating compatible alterations and additions –</w:t>
      </w:r>
      <w:r w:rsidRPr="006112BF">
        <w:rPr>
          <w:rFonts w:ascii="Avenir LT 45 Book" w:hAnsi="Avenir LT 45 Book"/>
          <w:i/>
          <w:sz w:val="20"/>
          <w:szCs w:val="20"/>
        </w:rPr>
        <w:t xml:space="preserve"> Griffiths Architects 2012.</w:t>
      </w:r>
    </w:p>
    <w:p w14:paraId="278EE023" w14:textId="77777777" w:rsidR="00B46EF1" w:rsidRPr="00842387" w:rsidRDefault="00B46EF1" w:rsidP="00B46EF1">
      <w:r w:rsidRPr="00842387">
        <w:rPr>
          <w:noProof/>
          <w:lang w:eastAsia="en-AU"/>
        </w:rPr>
        <w:lastRenderedPageBreak/>
        <w:drawing>
          <wp:inline distT="0" distB="0" distL="0" distR="0" wp14:anchorId="56EEB22B" wp14:editId="1E361169">
            <wp:extent cx="5439338" cy="2832989"/>
            <wp:effectExtent l="19050" t="0" r="8962" b="0"/>
            <wp:docPr id="59" name="Picture 27" descr="ADDITIONS AND ALTERATIONS 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ONS AND ALTERATIONS 3.eps"/>
                    <pic:cNvPicPr/>
                  </pic:nvPicPr>
                  <pic:blipFill>
                    <a:blip r:embed="rId175"/>
                    <a:stretch>
                      <a:fillRect/>
                    </a:stretch>
                  </pic:blipFill>
                  <pic:spPr>
                    <a:xfrm>
                      <a:off x="0" y="0"/>
                      <a:ext cx="5439338" cy="2832989"/>
                    </a:xfrm>
                    <a:prstGeom prst="rect">
                      <a:avLst/>
                    </a:prstGeom>
                  </pic:spPr>
                </pic:pic>
              </a:graphicData>
            </a:graphic>
          </wp:inline>
        </w:drawing>
      </w:r>
    </w:p>
    <w:p w14:paraId="2F3968BF" w14:textId="77777777" w:rsidR="00B46EF1" w:rsidRPr="001D7345" w:rsidRDefault="00B46EF1" w:rsidP="00FC3385">
      <w:pPr>
        <w:spacing w:line="360" w:lineRule="auto"/>
        <w:rPr>
          <w:rFonts w:ascii="Avenir LT 65 Medium" w:hAnsi="Avenir LT 65 Medium"/>
          <w:sz w:val="20"/>
          <w:szCs w:val="20"/>
        </w:rPr>
      </w:pPr>
      <w:r w:rsidRPr="001D7345">
        <w:rPr>
          <w:rFonts w:ascii="Avenir LT 65 Medium" w:hAnsi="Avenir LT 65 Medium"/>
          <w:sz w:val="20"/>
          <w:szCs w:val="20"/>
        </w:rPr>
        <w:t xml:space="preserve">Figure 5 – </w:t>
      </w:r>
      <w:r w:rsidRPr="00FC3385">
        <w:rPr>
          <w:rFonts w:ascii="Avenir LT 45 Book" w:eastAsia="Calibri" w:hAnsi="Avenir LT 45 Book"/>
          <w:sz w:val="20"/>
        </w:rPr>
        <w:t xml:space="preserve">Elevations illustrating compatible alterations and additions – </w:t>
      </w:r>
      <w:r w:rsidRPr="00FC3385">
        <w:rPr>
          <w:rFonts w:ascii="Avenir LT 45 Book" w:eastAsia="Calibri" w:hAnsi="Avenir LT 45 Book"/>
          <w:i/>
          <w:sz w:val="20"/>
        </w:rPr>
        <w:t>Griffiths Architects 2012</w:t>
      </w:r>
      <w:r w:rsidRPr="001D7345">
        <w:rPr>
          <w:rFonts w:ascii="Avenir LT 65 Medium" w:hAnsi="Avenir LT 65 Medium"/>
          <w:i/>
          <w:sz w:val="20"/>
          <w:szCs w:val="20"/>
        </w:rPr>
        <w:t>.</w:t>
      </w:r>
    </w:p>
    <w:p w14:paraId="48742C8C" w14:textId="77777777" w:rsidR="00B46EF1" w:rsidRPr="00842387" w:rsidRDefault="00B46EF1" w:rsidP="00B46EF1">
      <w:pPr>
        <w:rPr>
          <w:i/>
        </w:rPr>
      </w:pPr>
      <w:r w:rsidRPr="00842387">
        <w:rPr>
          <w:i/>
          <w:noProof/>
          <w:lang w:eastAsia="en-AU"/>
        </w:rPr>
        <w:drawing>
          <wp:inline distT="0" distB="0" distL="0" distR="0" wp14:anchorId="1B46B14E" wp14:editId="020CADBE">
            <wp:extent cx="5505450" cy="4877885"/>
            <wp:effectExtent l="0" t="0" r="0" b="0"/>
            <wp:docPr id="65" name="Picture 29" descr="ADDITIONS AND ALTERATIONS 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ONS AND ALTERATIONS 7.eps"/>
                    <pic:cNvPicPr/>
                  </pic:nvPicPr>
                  <pic:blipFill>
                    <a:blip r:embed="rId176"/>
                    <a:stretch>
                      <a:fillRect/>
                    </a:stretch>
                  </pic:blipFill>
                  <pic:spPr>
                    <a:xfrm>
                      <a:off x="0" y="0"/>
                      <a:ext cx="5505450" cy="4877885"/>
                    </a:xfrm>
                    <a:prstGeom prst="rect">
                      <a:avLst/>
                    </a:prstGeom>
                  </pic:spPr>
                </pic:pic>
              </a:graphicData>
            </a:graphic>
          </wp:inline>
        </w:drawing>
      </w:r>
    </w:p>
    <w:p w14:paraId="2BDDC370" w14:textId="77777777" w:rsidR="00B46EF1" w:rsidRPr="001D7345" w:rsidRDefault="00B46EF1" w:rsidP="00B46EF1">
      <w:pPr>
        <w:rPr>
          <w:rFonts w:ascii="Avenir LT 65 Medium" w:hAnsi="Avenir LT 65 Medium"/>
          <w:sz w:val="20"/>
          <w:szCs w:val="20"/>
        </w:rPr>
      </w:pPr>
      <w:r w:rsidRPr="001D7345">
        <w:rPr>
          <w:rFonts w:ascii="Avenir LT 45 Book" w:hAnsi="Avenir LT 45 Book"/>
          <w:sz w:val="20"/>
          <w:szCs w:val="20"/>
        </w:rPr>
        <w:t xml:space="preserve">Figure 6 – Plan and elevations illustrating compatible alterations and additions – </w:t>
      </w:r>
      <w:r w:rsidRPr="001D7345">
        <w:rPr>
          <w:rFonts w:ascii="Avenir LT 45 Book" w:hAnsi="Avenir LT 45 Book"/>
          <w:i/>
          <w:sz w:val="20"/>
          <w:szCs w:val="20"/>
        </w:rPr>
        <w:t>Griffiths Architects 2012</w:t>
      </w:r>
      <w:r w:rsidRPr="001D7345">
        <w:rPr>
          <w:rFonts w:ascii="Avenir LT 65 Medium" w:hAnsi="Avenir LT 65 Medium"/>
          <w:sz w:val="20"/>
          <w:szCs w:val="20"/>
        </w:rPr>
        <w:t>.</w:t>
      </w:r>
    </w:p>
    <w:p w14:paraId="759F6B96" w14:textId="77777777" w:rsidR="00B46EF1" w:rsidRPr="00842387" w:rsidRDefault="00B46EF1" w:rsidP="00B46EF1">
      <w:r>
        <w:rPr>
          <w:noProof/>
          <w:lang w:eastAsia="en-AU"/>
        </w:rPr>
        <w:lastRenderedPageBreak/>
        <w:drawing>
          <wp:inline distT="0" distB="0" distL="0" distR="0" wp14:anchorId="3B72128A" wp14:editId="223DFAAC">
            <wp:extent cx="5868035" cy="3162300"/>
            <wp:effectExtent l="19050" t="0" r="0" b="0"/>
            <wp:docPr id="156" name="Picture 31" descr="ADDITIONS AND ALTERATIONS 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ONS AND ALTERATIONS 5.eps"/>
                    <pic:cNvPicPr/>
                  </pic:nvPicPr>
                  <pic:blipFill>
                    <a:blip r:embed="rId177"/>
                    <a:stretch>
                      <a:fillRect/>
                    </a:stretch>
                  </pic:blipFill>
                  <pic:spPr>
                    <a:xfrm>
                      <a:off x="0" y="0"/>
                      <a:ext cx="5868035" cy="3162300"/>
                    </a:xfrm>
                    <a:prstGeom prst="rect">
                      <a:avLst/>
                    </a:prstGeom>
                  </pic:spPr>
                </pic:pic>
              </a:graphicData>
            </a:graphic>
          </wp:inline>
        </w:drawing>
      </w:r>
    </w:p>
    <w:p w14:paraId="7FEF59C4" w14:textId="77777777" w:rsidR="00B46EF1" w:rsidRPr="001D7345" w:rsidRDefault="00B46EF1" w:rsidP="00B46EF1">
      <w:pPr>
        <w:rPr>
          <w:rFonts w:ascii="Avenir LT 45 Book" w:hAnsi="Avenir LT 45 Book"/>
          <w:sz w:val="20"/>
          <w:szCs w:val="20"/>
        </w:rPr>
      </w:pPr>
      <w:r w:rsidRPr="001D7345">
        <w:rPr>
          <w:rFonts w:ascii="Avenir LT 45 Book" w:hAnsi="Avenir LT 45 Book"/>
          <w:sz w:val="20"/>
          <w:szCs w:val="20"/>
        </w:rPr>
        <w:t xml:space="preserve">Figure 7 – Elevations illustrating compatible alterations and additions – </w:t>
      </w:r>
      <w:r w:rsidRPr="001D7345">
        <w:rPr>
          <w:rFonts w:ascii="Avenir LT 45 Book" w:hAnsi="Avenir LT 45 Book"/>
          <w:i/>
          <w:sz w:val="20"/>
          <w:szCs w:val="20"/>
        </w:rPr>
        <w:t>Griffiths Architects 2012</w:t>
      </w:r>
      <w:r w:rsidRPr="001D7345">
        <w:rPr>
          <w:rFonts w:ascii="Avenir LT 45 Book" w:hAnsi="Avenir LT 45 Book"/>
          <w:sz w:val="20"/>
          <w:szCs w:val="20"/>
        </w:rPr>
        <w:t>.</w:t>
      </w:r>
    </w:p>
    <w:p w14:paraId="1C53B336" w14:textId="77777777" w:rsidR="00B46EF1" w:rsidRPr="00842387" w:rsidRDefault="00B46EF1" w:rsidP="00B46EF1">
      <w:r w:rsidRPr="00842387">
        <w:rPr>
          <w:noProof/>
          <w:lang w:eastAsia="en-AU"/>
        </w:rPr>
        <w:drawing>
          <wp:inline distT="0" distB="0" distL="0" distR="0" wp14:anchorId="3EC66E5A" wp14:editId="5D8452AD">
            <wp:extent cx="5868035" cy="3594100"/>
            <wp:effectExtent l="0" t="0" r="0" b="0"/>
            <wp:docPr id="70" name="Picture 31" descr="ADDITIONS AND ALTERATIONS 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ONS AND ALTERATIONS 4.eps"/>
                    <pic:cNvPicPr/>
                  </pic:nvPicPr>
                  <pic:blipFill>
                    <a:blip r:embed="rId178"/>
                    <a:stretch>
                      <a:fillRect/>
                    </a:stretch>
                  </pic:blipFill>
                  <pic:spPr>
                    <a:xfrm>
                      <a:off x="0" y="0"/>
                      <a:ext cx="5868035" cy="3594100"/>
                    </a:xfrm>
                    <a:prstGeom prst="rect">
                      <a:avLst/>
                    </a:prstGeom>
                  </pic:spPr>
                </pic:pic>
              </a:graphicData>
            </a:graphic>
          </wp:inline>
        </w:drawing>
      </w:r>
    </w:p>
    <w:p w14:paraId="520ECD99" w14:textId="77777777" w:rsidR="00B46EF1" w:rsidRPr="00A2336B" w:rsidRDefault="00B46EF1" w:rsidP="00B46EF1">
      <w:pPr>
        <w:rPr>
          <w:rFonts w:ascii="Avenir LT 45 Book" w:hAnsi="Avenir LT 45 Book"/>
          <w:sz w:val="20"/>
          <w:szCs w:val="20"/>
        </w:rPr>
      </w:pPr>
      <w:r w:rsidRPr="00A2336B">
        <w:rPr>
          <w:rFonts w:ascii="Avenir LT 45 Book" w:hAnsi="Avenir LT 45 Book"/>
          <w:sz w:val="20"/>
          <w:szCs w:val="20"/>
        </w:rPr>
        <w:t xml:space="preserve">Figure 8 – Elevations illustrating incompatible alterations and additions – </w:t>
      </w:r>
      <w:r w:rsidRPr="00A2336B">
        <w:rPr>
          <w:rFonts w:ascii="Avenir LT 45 Book" w:hAnsi="Avenir LT 45 Book"/>
          <w:i/>
          <w:sz w:val="20"/>
          <w:szCs w:val="20"/>
        </w:rPr>
        <w:t>Griffiths Architects 2012</w:t>
      </w:r>
      <w:r w:rsidRPr="00A2336B">
        <w:rPr>
          <w:rFonts w:ascii="Avenir LT 45 Book" w:hAnsi="Avenir LT 45 Book"/>
          <w:sz w:val="20"/>
          <w:szCs w:val="20"/>
        </w:rPr>
        <w:t>.</w:t>
      </w:r>
    </w:p>
    <w:p w14:paraId="1CF23C27" w14:textId="77777777" w:rsidR="00B46EF1" w:rsidRPr="00842387" w:rsidRDefault="00B46EF1" w:rsidP="00B46EF1">
      <w:r w:rsidRPr="00842387">
        <w:rPr>
          <w:noProof/>
          <w:lang w:eastAsia="en-AU"/>
        </w:rPr>
        <w:lastRenderedPageBreak/>
        <w:drawing>
          <wp:inline distT="0" distB="0" distL="0" distR="0" wp14:anchorId="3864AAD6" wp14:editId="08FAB47A">
            <wp:extent cx="5868035" cy="7691120"/>
            <wp:effectExtent l="19050" t="0" r="0" b="0"/>
            <wp:docPr id="74" name="Picture 32" descr="ADDITIONS AND ALTERATIONS 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ONS AND ALTERATIONS 6.eps"/>
                    <pic:cNvPicPr/>
                  </pic:nvPicPr>
                  <pic:blipFill>
                    <a:blip r:embed="rId179"/>
                    <a:stretch>
                      <a:fillRect/>
                    </a:stretch>
                  </pic:blipFill>
                  <pic:spPr>
                    <a:xfrm>
                      <a:off x="0" y="0"/>
                      <a:ext cx="5868035" cy="7691120"/>
                    </a:xfrm>
                    <a:prstGeom prst="rect">
                      <a:avLst/>
                    </a:prstGeom>
                  </pic:spPr>
                </pic:pic>
              </a:graphicData>
            </a:graphic>
          </wp:inline>
        </w:drawing>
      </w:r>
    </w:p>
    <w:p w14:paraId="13FA6848" w14:textId="77777777" w:rsidR="00B46EF1" w:rsidRPr="00842387" w:rsidRDefault="00B46EF1" w:rsidP="00B46EF1">
      <w:r w:rsidRPr="00A2336B">
        <w:rPr>
          <w:rFonts w:ascii="Avenir LT 45 Book" w:hAnsi="Avenir LT 45 Book"/>
          <w:sz w:val="20"/>
          <w:szCs w:val="20"/>
        </w:rPr>
        <w:t xml:space="preserve">Figure 9 – Plans and elevations illustrating incompatible alterations and additions – </w:t>
      </w:r>
      <w:r w:rsidRPr="00A2336B">
        <w:rPr>
          <w:rFonts w:ascii="Avenir LT 45 Book" w:hAnsi="Avenir LT 45 Book"/>
          <w:i/>
          <w:sz w:val="20"/>
          <w:szCs w:val="20"/>
        </w:rPr>
        <w:t>Griffiths</w:t>
      </w:r>
      <w:r w:rsidRPr="00A2336B">
        <w:rPr>
          <w:i/>
        </w:rPr>
        <w:t xml:space="preserve"> </w:t>
      </w:r>
      <w:r w:rsidRPr="00A2336B">
        <w:rPr>
          <w:rFonts w:ascii="Avenir LT 45 Book" w:hAnsi="Avenir LT 45 Book"/>
          <w:i/>
          <w:sz w:val="20"/>
          <w:szCs w:val="20"/>
        </w:rPr>
        <w:t>Architects 2012</w:t>
      </w:r>
      <w:r w:rsidRPr="00A2336B">
        <w:rPr>
          <w:rFonts w:ascii="Avenir LT 45 Book" w:hAnsi="Avenir LT 45 Book"/>
          <w:sz w:val="20"/>
          <w:szCs w:val="20"/>
        </w:rPr>
        <w:t>.</w:t>
      </w:r>
    </w:p>
    <w:p w14:paraId="087F49E8" w14:textId="77777777" w:rsidR="00B46EF1" w:rsidRPr="00842387" w:rsidRDefault="00B46EF1" w:rsidP="00B46EF1">
      <w:r w:rsidRPr="00842387">
        <w:rPr>
          <w:noProof/>
          <w:lang w:eastAsia="en-AU"/>
        </w:rPr>
        <w:lastRenderedPageBreak/>
        <w:drawing>
          <wp:inline distT="0" distB="0" distL="0" distR="0" wp14:anchorId="14EA72E8" wp14:editId="0146E5CF">
            <wp:extent cx="5562513" cy="3087370"/>
            <wp:effectExtent l="19050" t="0" r="87" b="0"/>
            <wp:docPr id="78" name="Picture 41" descr="LOFT CONVERSION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FT CONVERSIONS.eps"/>
                    <pic:cNvPicPr/>
                  </pic:nvPicPr>
                  <pic:blipFill>
                    <a:blip r:embed="rId180"/>
                    <a:stretch>
                      <a:fillRect/>
                    </a:stretch>
                  </pic:blipFill>
                  <pic:spPr>
                    <a:xfrm>
                      <a:off x="0" y="0"/>
                      <a:ext cx="5562513" cy="3087370"/>
                    </a:xfrm>
                    <a:prstGeom prst="rect">
                      <a:avLst/>
                    </a:prstGeom>
                  </pic:spPr>
                </pic:pic>
              </a:graphicData>
            </a:graphic>
          </wp:inline>
        </w:drawing>
      </w:r>
    </w:p>
    <w:p w14:paraId="16430228" w14:textId="77777777" w:rsidR="00B46EF1" w:rsidRPr="00A2336B" w:rsidRDefault="00B46EF1" w:rsidP="00A2336B">
      <w:pPr>
        <w:rPr>
          <w:rFonts w:ascii="Avenir LT 45 Book" w:hAnsi="Avenir LT 45 Book"/>
          <w:sz w:val="20"/>
          <w:szCs w:val="20"/>
        </w:rPr>
      </w:pPr>
      <w:r w:rsidRPr="00A2336B">
        <w:rPr>
          <w:rFonts w:ascii="Avenir LT 45 Book" w:hAnsi="Avenir LT 45 Book"/>
          <w:sz w:val="20"/>
          <w:szCs w:val="20"/>
        </w:rPr>
        <w:t xml:space="preserve">Figure 10 – Plan illustrating compatible and incompatible roof conversions – </w:t>
      </w:r>
      <w:r w:rsidRPr="00A2336B">
        <w:rPr>
          <w:rFonts w:ascii="Avenir LT 45 Book" w:hAnsi="Avenir LT 45 Book"/>
          <w:i/>
          <w:sz w:val="20"/>
          <w:szCs w:val="20"/>
        </w:rPr>
        <w:t>Griffiths Architects 2012</w:t>
      </w:r>
      <w:r w:rsidRPr="00A2336B">
        <w:rPr>
          <w:rFonts w:ascii="Avenir LT 45 Book" w:hAnsi="Avenir LT 45 Book"/>
          <w:sz w:val="20"/>
          <w:szCs w:val="20"/>
        </w:rPr>
        <w:t>.</w:t>
      </w:r>
    </w:p>
    <w:p w14:paraId="23B666D7" w14:textId="77777777" w:rsidR="00B46EF1" w:rsidRPr="00A2336B" w:rsidRDefault="00FC3385" w:rsidP="00FC3385">
      <w:pPr>
        <w:pStyle w:val="Heading4"/>
        <w:tabs>
          <w:tab w:val="left" w:pos="1418"/>
        </w:tabs>
        <w:spacing w:before="240" w:after="200" w:line="360" w:lineRule="auto"/>
        <w:rPr>
          <w:rFonts w:ascii="Avenir LT 65 Medium" w:hAnsi="Avenir LT 65 Medium"/>
          <w:bCs/>
          <w:i w:val="0"/>
          <w:color w:val="auto"/>
        </w:rPr>
      </w:pPr>
      <w:r>
        <w:rPr>
          <w:rFonts w:ascii="Avenir LT 65 Medium" w:hAnsi="Avenir LT 65 Medium"/>
          <w:bCs/>
          <w:i w:val="0"/>
          <w:color w:val="auto"/>
        </w:rPr>
        <w:t>3.7.2.3</w:t>
      </w:r>
      <w:r>
        <w:rPr>
          <w:rFonts w:ascii="Avenir LT 65 Medium" w:hAnsi="Avenir LT 65 Medium"/>
          <w:bCs/>
          <w:i w:val="0"/>
          <w:color w:val="auto"/>
        </w:rPr>
        <w:tab/>
      </w:r>
      <w:r w:rsidR="00B46EF1" w:rsidRPr="00A2336B">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7"/>
        <w:gridCol w:w="4519"/>
      </w:tblGrid>
      <w:tr w:rsidR="00B46EF1" w:rsidRPr="00A2336B" w14:paraId="473349A6" w14:textId="77777777" w:rsidTr="006112BF">
        <w:tc>
          <w:tcPr>
            <w:tcW w:w="4507" w:type="dxa"/>
          </w:tcPr>
          <w:p w14:paraId="27940353" w14:textId="77777777" w:rsidR="00B46EF1" w:rsidRPr="00A2336B" w:rsidRDefault="00B46EF1" w:rsidP="00A2336B">
            <w:pPr>
              <w:spacing w:line="360" w:lineRule="auto"/>
              <w:rPr>
                <w:rFonts w:ascii="Avenir LT 65 Medium" w:eastAsia="Calibri" w:hAnsi="Avenir LT 65 Medium"/>
              </w:rPr>
            </w:pPr>
            <w:r w:rsidRPr="00A2336B">
              <w:rPr>
                <w:rFonts w:ascii="Avenir LT 65 Medium" w:eastAsia="Calibri" w:hAnsi="Avenir LT 65 Medium"/>
              </w:rPr>
              <w:t>Performance Criteria</w:t>
            </w:r>
          </w:p>
        </w:tc>
        <w:tc>
          <w:tcPr>
            <w:tcW w:w="4519" w:type="dxa"/>
          </w:tcPr>
          <w:p w14:paraId="745049FC" w14:textId="77777777" w:rsidR="00B46EF1" w:rsidRPr="00A2336B" w:rsidRDefault="00B46EF1" w:rsidP="00A2336B">
            <w:pPr>
              <w:spacing w:line="360" w:lineRule="auto"/>
              <w:rPr>
                <w:rFonts w:ascii="Avenir LT 65 Medium" w:eastAsia="Calibri" w:hAnsi="Avenir LT 65 Medium"/>
              </w:rPr>
            </w:pPr>
            <w:r w:rsidRPr="00A2336B">
              <w:rPr>
                <w:rFonts w:ascii="Avenir LT 65 Medium" w:eastAsia="Calibri" w:hAnsi="Avenir LT 65 Medium"/>
              </w:rPr>
              <w:t>Acceptable Development Provisions</w:t>
            </w:r>
          </w:p>
        </w:tc>
      </w:tr>
      <w:tr w:rsidR="00B46EF1" w:rsidRPr="00A2336B" w14:paraId="24694064" w14:textId="77777777" w:rsidTr="006112BF">
        <w:trPr>
          <w:trHeight w:val="4977"/>
        </w:trPr>
        <w:tc>
          <w:tcPr>
            <w:tcW w:w="4507" w:type="dxa"/>
            <w:tcBorders>
              <w:bottom w:val="nil"/>
            </w:tcBorders>
          </w:tcPr>
          <w:p w14:paraId="159D3DF3" w14:textId="77777777" w:rsidR="00B46EF1" w:rsidRPr="00A2336B" w:rsidRDefault="00B46EF1" w:rsidP="002A3889">
            <w:pPr>
              <w:pStyle w:val="ListParagraph"/>
              <w:numPr>
                <w:ilvl w:val="1"/>
                <w:numId w:val="143"/>
              </w:numPr>
              <w:spacing w:before="120" w:line="360" w:lineRule="auto"/>
              <w:ind w:left="567" w:hanging="504"/>
              <w:contextualSpacing w:val="0"/>
              <w:rPr>
                <w:rFonts w:ascii="Avenir LT 45 Book" w:hAnsi="Avenir LT 45 Book"/>
                <w:sz w:val="20"/>
                <w:szCs w:val="20"/>
              </w:rPr>
            </w:pPr>
            <w:r w:rsidRPr="00A2336B">
              <w:rPr>
                <w:rFonts w:ascii="Avenir LT 45 Book" w:hAnsi="Avenir LT 45 Book"/>
                <w:sz w:val="20"/>
                <w:szCs w:val="20"/>
              </w:rPr>
              <w:t xml:space="preserve">Additions and alterations to contributory buildings are designed to ensure that the existing building remains the dominant element when viewed from the primary street and to ensure that the existing building’s contribution to the streetscape is maintained.  The council shall allow additions to be located in the front setback zone where there is no other </w:t>
            </w:r>
            <w:proofErr w:type="gramStart"/>
            <w:r w:rsidRPr="00A2336B">
              <w:rPr>
                <w:rFonts w:ascii="Avenir LT 45 Book" w:hAnsi="Avenir LT 45 Book"/>
                <w:sz w:val="20"/>
                <w:szCs w:val="20"/>
              </w:rPr>
              <w:t>option</w:t>
            </w:r>
            <w:proofErr w:type="gramEnd"/>
            <w:r w:rsidRPr="00A2336B">
              <w:rPr>
                <w:rFonts w:ascii="Avenir LT 45 Book" w:hAnsi="Avenir LT 45 Book"/>
                <w:sz w:val="20"/>
                <w:szCs w:val="20"/>
              </w:rPr>
              <w:t xml:space="preserve"> and the addition is demonstrably compatible with the existing streetscape character and not impact on the heritage value of a particular place.  All applications to include site plans, plans and street elevations.</w:t>
            </w:r>
          </w:p>
          <w:p w14:paraId="4C5E422F" w14:textId="77777777" w:rsidR="00B46EF1" w:rsidRPr="00FC3385" w:rsidRDefault="00FC3385" w:rsidP="00FC3385">
            <w:pPr>
              <w:spacing w:line="360" w:lineRule="auto"/>
              <w:ind w:left="604" w:hanging="541"/>
              <w:rPr>
                <w:rFonts w:ascii="Avenir LT 45 Book" w:hAnsi="Avenir LT 45 Book"/>
              </w:rPr>
            </w:pPr>
            <w:r w:rsidRPr="00FC3385">
              <w:rPr>
                <w:rFonts w:ascii="Avenir LT 85 Heavy" w:hAnsi="Avenir LT 85 Heavy"/>
                <w:sz w:val="20"/>
                <w:szCs w:val="20"/>
              </w:rPr>
              <w:t>P.1.2</w:t>
            </w:r>
            <w:r>
              <w:rPr>
                <w:rFonts w:ascii="Avenir LT 45 Book" w:hAnsi="Avenir LT 45 Book"/>
                <w:sz w:val="20"/>
                <w:szCs w:val="20"/>
              </w:rPr>
              <w:tab/>
            </w:r>
            <w:r w:rsidR="00B46EF1" w:rsidRPr="00FC3385">
              <w:rPr>
                <w:rFonts w:ascii="Avenir LT 45 Book" w:hAnsi="Avenir LT 45 Book"/>
                <w:sz w:val="20"/>
                <w:szCs w:val="20"/>
              </w:rPr>
              <w:t>Replacement of, or construction of, elements such as carports shall not obscure the original dwelling.</w:t>
            </w:r>
          </w:p>
        </w:tc>
        <w:tc>
          <w:tcPr>
            <w:tcW w:w="4519" w:type="dxa"/>
            <w:tcBorders>
              <w:bottom w:val="nil"/>
            </w:tcBorders>
          </w:tcPr>
          <w:p w14:paraId="571DD3AC" w14:textId="77777777" w:rsidR="00B46EF1" w:rsidRPr="00A2336B" w:rsidRDefault="00B46EF1" w:rsidP="002A3889">
            <w:pPr>
              <w:pStyle w:val="ListParagraph"/>
              <w:numPr>
                <w:ilvl w:val="1"/>
                <w:numId w:val="144"/>
              </w:numPr>
              <w:spacing w:before="120" w:line="360" w:lineRule="auto"/>
              <w:ind w:left="624" w:hanging="505"/>
              <w:contextualSpacing w:val="0"/>
              <w:rPr>
                <w:rFonts w:ascii="Avenir LT 45 Book" w:hAnsi="Avenir LT 45 Book"/>
                <w:sz w:val="20"/>
                <w:szCs w:val="20"/>
              </w:rPr>
            </w:pPr>
            <w:r w:rsidRPr="00A2336B">
              <w:rPr>
                <w:rFonts w:ascii="Avenir LT 45 Book" w:hAnsi="Avenir LT 45 Book"/>
                <w:sz w:val="20"/>
                <w:szCs w:val="20"/>
              </w:rPr>
              <w:t xml:space="preserve">Single storey additions located behind the primary dwelling and not visible from the primary street. </w:t>
            </w:r>
          </w:p>
          <w:p w14:paraId="2E4E5C14" w14:textId="77777777" w:rsidR="00B46EF1" w:rsidRPr="00A2336B" w:rsidRDefault="00B46EF1" w:rsidP="002A3889">
            <w:pPr>
              <w:pStyle w:val="ListParagraph"/>
              <w:numPr>
                <w:ilvl w:val="1"/>
                <w:numId w:val="144"/>
              </w:numPr>
              <w:spacing w:line="360" w:lineRule="auto"/>
              <w:ind w:left="624" w:hanging="505"/>
              <w:contextualSpacing w:val="0"/>
              <w:rPr>
                <w:rFonts w:ascii="Avenir LT 45 Book" w:hAnsi="Avenir LT 45 Book"/>
                <w:sz w:val="20"/>
                <w:szCs w:val="20"/>
              </w:rPr>
            </w:pPr>
            <w:r w:rsidRPr="00A2336B">
              <w:rPr>
                <w:rFonts w:ascii="Avenir LT 45 Book" w:hAnsi="Avenir LT 45 Book"/>
                <w:sz w:val="20"/>
                <w:szCs w:val="20"/>
              </w:rPr>
              <w:t>Second storey additions that are:</w:t>
            </w:r>
          </w:p>
          <w:p w14:paraId="0F2F4901" w14:textId="77777777" w:rsidR="00B46EF1" w:rsidRPr="00A2336B" w:rsidRDefault="00B46EF1" w:rsidP="002A3889">
            <w:pPr>
              <w:pStyle w:val="ListParagraph"/>
              <w:numPr>
                <w:ilvl w:val="0"/>
                <w:numId w:val="145"/>
              </w:numPr>
              <w:spacing w:line="360" w:lineRule="auto"/>
              <w:contextualSpacing w:val="0"/>
              <w:rPr>
                <w:rFonts w:ascii="Avenir LT 45 Book" w:hAnsi="Avenir LT 45 Book"/>
                <w:sz w:val="20"/>
                <w:szCs w:val="20"/>
              </w:rPr>
            </w:pPr>
            <w:r w:rsidRPr="00A2336B">
              <w:rPr>
                <w:rFonts w:ascii="Avenir LT 45 Book" w:hAnsi="Avenir LT 45 Book"/>
                <w:sz w:val="20"/>
                <w:szCs w:val="20"/>
              </w:rPr>
              <w:t>Accommodated within the existing roof (without changes to the roof geometry); and,</w:t>
            </w:r>
          </w:p>
          <w:p w14:paraId="241067C2" w14:textId="77777777" w:rsidR="00B46EF1" w:rsidRPr="00A2336B" w:rsidRDefault="00B46EF1" w:rsidP="002A3889">
            <w:pPr>
              <w:pStyle w:val="ListParagraph"/>
              <w:numPr>
                <w:ilvl w:val="0"/>
                <w:numId w:val="145"/>
              </w:numPr>
              <w:spacing w:line="360" w:lineRule="auto"/>
              <w:contextualSpacing w:val="0"/>
              <w:rPr>
                <w:rFonts w:ascii="Avenir LT 45 Book" w:hAnsi="Avenir LT 45 Book"/>
              </w:rPr>
            </w:pPr>
            <w:r w:rsidRPr="00A2336B">
              <w:rPr>
                <w:rFonts w:ascii="Avenir LT 45 Book" w:hAnsi="Avenir LT 45 Book"/>
                <w:sz w:val="20"/>
                <w:szCs w:val="20"/>
              </w:rPr>
              <w:t xml:space="preserve">Built behind the existing building and not visible from the opposite side of the street.  A minor variation to this may be permitted </w:t>
            </w:r>
            <w:proofErr w:type="gramStart"/>
            <w:r w:rsidRPr="00A2336B">
              <w:rPr>
                <w:rFonts w:ascii="Avenir LT 45 Book" w:hAnsi="Avenir LT 45 Book"/>
                <w:sz w:val="20"/>
                <w:szCs w:val="20"/>
              </w:rPr>
              <w:t>on the basis of</w:t>
            </w:r>
            <w:proofErr w:type="gramEnd"/>
            <w:r w:rsidRPr="00A2336B">
              <w:rPr>
                <w:rFonts w:ascii="Avenir LT 45 Book" w:hAnsi="Avenir LT 45 Book"/>
                <w:sz w:val="20"/>
                <w:szCs w:val="20"/>
              </w:rPr>
              <w:t xml:space="preserve"> its impact on the streetscape.</w:t>
            </w:r>
          </w:p>
        </w:tc>
      </w:tr>
    </w:tbl>
    <w:p w14:paraId="74D7F7AB" w14:textId="77777777" w:rsidR="006112BF" w:rsidRDefault="006112BF">
      <w:r>
        <w:br w:type="page"/>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7"/>
        <w:gridCol w:w="4519"/>
      </w:tblGrid>
      <w:tr w:rsidR="00B46EF1" w:rsidRPr="00842387" w14:paraId="7AD79FC8" w14:textId="77777777" w:rsidTr="006112BF">
        <w:tc>
          <w:tcPr>
            <w:tcW w:w="4507" w:type="dxa"/>
            <w:tcBorders>
              <w:top w:val="nil"/>
              <w:bottom w:val="nil"/>
            </w:tcBorders>
          </w:tcPr>
          <w:p w14:paraId="1C4555EE" w14:textId="77777777" w:rsidR="00B46EF1" w:rsidRDefault="00FC3385" w:rsidP="00FC3385">
            <w:pPr>
              <w:spacing w:line="360" w:lineRule="auto"/>
              <w:ind w:left="604" w:hanging="541"/>
            </w:pPr>
            <w:r w:rsidRPr="00FC3385">
              <w:rPr>
                <w:rFonts w:ascii="Avenir LT 85 Heavy" w:hAnsi="Avenir LT 85 Heavy"/>
                <w:sz w:val="20"/>
                <w:szCs w:val="20"/>
              </w:rPr>
              <w:lastRenderedPageBreak/>
              <w:t>P2</w:t>
            </w:r>
            <w:r>
              <w:rPr>
                <w:rFonts w:ascii="Avenir LT 45 Book" w:hAnsi="Avenir LT 45 Book"/>
                <w:sz w:val="20"/>
                <w:szCs w:val="20"/>
              </w:rPr>
              <w:tab/>
            </w:r>
            <w:r w:rsidR="00B46EF1" w:rsidRPr="00FC3385">
              <w:rPr>
                <w:rFonts w:ascii="Avenir LT 45 Book" w:hAnsi="Avenir LT 45 Book"/>
                <w:sz w:val="20"/>
                <w:szCs w:val="20"/>
              </w:rPr>
              <w:t>Alterations to openings, or new openings, facing the street to have a vertical profile (refer glossary) or to be composed of vertical modules</w:t>
            </w:r>
            <w:r w:rsidR="00B46EF1" w:rsidRPr="00842387">
              <w:t>.</w:t>
            </w:r>
          </w:p>
        </w:tc>
        <w:tc>
          <w:tcPr>
            <w:tcW w:w="4519" w:type="dxa"/>
            <w:tcBorders>
              <w:top w:val="nil"/>
              <w:bottom w:val="nil"/>
            </w:tcBorders>
          </w:tcPr>
          <w:p w14:paraId="2AFE5A36" w14:textId="77777777" w:rsidR="00B46EF1" w:rsidRDefault="00FC3385" w:rsidP="00FC3385">
            <w:pPr>
              <w:spacing w:line="360" w:lineRule="auto"/>
              <w:ind w:left="768" w:hanging="705"/>
            </w:pPr>
            <w:r w:rsidRPr="00FC3385">
              <w:rPr>
                <w:rFonts w:ascii="Avenir LT 85 Heavy" w:eastAsia="Calibri" w:hAnsi="Avenir LT 85 Heavy" w:cs="Times New Roman"/>
                <w:sz w:val="20"/>
              </w:rPr>
              <w:t>A2</w:t>
            </w:r>
            <w:r>
              <w:rPr>
                <w:rFonts w:ascii="Avenir LT 45 Book" w:hAnsi="Avenir LT 45 Book"/>
                <w:sz w:val="20"/>
                <w:szCs w:val="20"/>
              </w:rPr>
              <w:tab/>
            </w:r>
            <w:r w:rsidR="00B46EF1" w:rsidRPr="00FC3385">
              <w:rPr>
                <w:rFonts w:ascii="Avenir LT 45 Book" w:hAnsi="Avenir LT 45 Book"/>
                <w:sz w:val="20"/>
                <w:szCs w:val="20"/>
              </w:rPr>
              <w:t>New openings to primary façade to be of a vertical proportion.</w:t>
            </w:r>
          </w:p>
        </w:tc>
      </w:tr>
    </w:tbl>
    <w:p w14:paraId="3D19B783" w14:textId="77777777" w:rsidR="006112BF" w:rsidRDefault="006112BF" w:rsidP="00FC3385">
      <w:pPr>
        <w:spacing w:line="360" w:lineRule="auto"/>
        <w:ind w:left="1418" w:hanging="1418"/>
        <w:rPr>
          <w:rFonts w:ascii="Avenir LT 65 Medium" w:eastAsia="Times New Roman" w:hAnsi="Avenir LT 65 Medium" w:cs="Times New Roman"/>
          <w:bCs/>
          <w:color w:val="000000"/>
        </w:rPr>
      </w:pPr>
      <w:bookmarkStart w:id="450" w:name="_Toc452727433"/>
    </w:p>
    <w:p w14:paraId="1EA2002C" w14:textId="77777777" w:rsidR="00B46EF1" w:rsidRPr="003D4055" w:rsidRDefault="00FC3385" w:rsidP="00FC3385">
      <w:pPr>
        <w:spacing w:line="360" w:lineRule="auto"/>
        <w:ind w:left="1418" w:hanging="1418"/>
        <w:rPr>
          <w:rFonts w:ascii="Avenir LT 45 Book" w:eastAsia="Calibri" w:hAnsi="Avenir LT 45 Book"/>
          <w:sz w:val="20"/>
        </w:rPr>
      </w:pPr>
      <w:r>
        <w:rPr>
          <w:rFonts w:ascii="Avenir LT 65 Medium" w:eastAsia="Times New Roman" w:hAnsi="Avenir LT 65 Medium" w:cs="Times New Roman"/>
          <w:bCs/>
          <w:color w:val="000000"/>
        </w:rPr>
        <w:t>3.7.3</w:t>
      </w:r>
      <w:r>
        <w:rPr>
          <w:rFonts w:ascii="Avenir LT 65 Medium" w:eastAsia="Times New Roman" w:hAnsi="Avenir LT 65 Medium" w:cs="Times New Roman"/>
          <w:bCs/>
          <w:color w:val="000000"/>
        </w:rPr>
        <w:tab/>
      </w:r>
      <w:r w:rsidR="00B46EF1" w:rsidRPr="003D4055">
        <w:rPr>
          <w:rFonts w:ascii="Avenir LT 65 Medium" w:eastAsia="Times New Roman" w:hAnsi="Avenir LT 65 Medium" w:cs="Times New Roman"/>
          <w:bCs/>
          <w:color w:val="000000"/>
        </w:rPr>
        <w:t>Development of Existing Buildings</w:t>
      </w:r>
      <w:bookmarkEnd w:id="450"/>
    </w:p>
    <w:p w14:paraId="47ED5AD2" w14:textId="77777777" w:rsidR="00B46EF1" w:rsidRPr="003D4055" w:rsidRDefault="00B46EF1" w:rsidP="00FC3385">
      <w:pPr>
        <w:spacing w:line="360" w:lineRule="auto"/>
        <w:rPr>
          <w:rFonts w:ascii="Avenir LT 45 Book" w:eastAsia="Calibri" w:hAnsi="Avenir LT 45 Book"/>
          <w:sz w:val="20"/>
        </w:rPr>
      </w:pPr>
      <w:r w:rsidRPr="003D4055">
        <w:rPr>
          <w:rFonts w:ascii="Avenir LT 45 Book" w:eastAsia="Calibri" w:hAnsi="Avenir LT 45 Book"/>
          <w:sz w:val="20"/>
        </w:rPr>
        <w:t xml:space="preserve">For specific provisions regarding additions and alterations to existing buildings refer section </w:t>
      </w:r>
      <w:r w:rsidRPr="003D4055">
        <w:rPr>
          <w:rFonts w:ascii="Avenir LT 45 Book" w:eastAsia="Calibri" w:hAnsi="Avenir LT 45 Book"/>
          <w:i/>
          <w:sz w:val="20"/>
        </w:rPr>
        <w:t>Additions and Alterations.</w:t>
      </w:r>
    </w:p>
    <w:p w14:paraId="77C20506" w14:textId="77777777" w:rsidR="00B46EF1" w:rsidRPr="003D4055" w:rsidRDefault="00FC3385" w:rsidP="00FC3385">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3.7.3.1</w:t>
      </w:r>
      <w:r>
        <w:rPr>
          <w:rFonts w:ascii="Avenir LT 65 Medium" w:hAnsi="Avenir LT 65 Medium"/>
          <w:bCs/>
          <w:i w:val="0"/>
          <w:color w:val="auto"/>
        </w:rPr>
        <w:tab/>
      </w:r>
      <w:r w:rsidR="00B46EF1" w:rsidRPr="003D4055">
        <w:rPr>
          <w:rFonts w:ascii="Avenir LT 65 Medium" w:hAnsi="Avenir LT 65 Medium"/>
          <w:bCs/>
          <w:i w:val="0"/>
          <w:color w:val="auto"/>
        </w:rPr>
        <w:t>Statement</w:t>
      </w:r>
    </w:p>
    <w:p w14:paraId="6947B61B" w14:textId="77777777" w:rsidR="00B46EF1" w:rsidRPr="003D4055" w:rsidRDefault="00B46EF1" w:rsidP="003D4055">
      <w:pPr>
        <w:spacing w:line="360" w:lineRule="auto"/>
        <w:rPr>
          <w:rFonts w:ascii="Avenir LT 45 Book" w:eastAsia="Calibri" w:hAnsi="Avenir LT 45 Book"/>
          <w:i/>
          <w:sz w:val="20"/>
        </w:rPr>
      </w:pPr>
      <w:r w:rsidRPr="003D4055">
        <w:rPr>
          <w:rFonts w:ascii="Avenir LT 45 Book" w:eastAsia="Calibri" w:hAnsi="Avenir LT 45 Book"/>
          <w:i/>
          <w:sz w:val="20"/>
        </w:rPr>
        <w:t xml:space="preserve">The Policy Area retains a large amount of original building fabric in the Plympton, Woodside, Richmond and Riverside Precincts.  Richmond Hill retains a small amount of original building fabric.  The Richmond Raceway and Preston Point Precincts contain the newest developments in the Policy Area.  </w:t>
      </w:r>
      <w:proofErr w:type="gramStart"/>
      <w:r w:rsidRPr="003D4055">
        <w:rPr>
          <w:rFonts w:ascii="Avenir LT 45 Book" w:eastAsia="Calibri" w:hAnsi="Avenir LT 45 Book"/>
          <w:i/>
          <w:sz w:val="20"/>
        </w:rPr>
        <w:t>Overall</w:t>
      </w:r>
      <w:proofErr w:type="gramEnd"/>
      <w:r w:rsidRPr="003D4055">
        <w:rPr>
          <w:rFonts w:ascii="Avenir LT 45 Book" w:eastAsia="Calibri" w:hAnsi="Avenir LT 45 Book"/>
          <w:i/>
          <w:sz w:val="20"/>
        </w:rPr>
        <w:t xml:space="preserve"> the Policy Area has a high heritage value.  This value depends heavily on the conservation and maintenance of its heritage fabric.  Many of the traditional residences in the Policy Area have been conserved, adapted or altered in a sympathetic manner.</w:t>
      </w:r>
    </w:p>
    <w:p w14:paraId="7F221E9E" w14:textId="77777777" w:rsidR="00B46EF1" w:rsidRPr="00842387" w:rsidRDefault="00B46EF1" w:rsidP="00B46EF1">
      <w:r>
        <w:rPr>
          <w:noProof/>
          <w:lang w:eastAsia="en-AU"/>
        </w:rPr>
        <w:drawing>
          <wp:inline distT="0" distB="0" distL="0" distR="0" wp14:anchorId="17EADA2B" wp14:editId="27C05E4B">
            <wp:extent cx="2524125" cy="1800225"/>
            <wp:effectExtent l="19050" t="0" r="9525" b="0"/>
            <wp:docPr id="81" name="Picture 3" descr="Z:\2011 JOBS\11206-EAST FREMANTLE GUIDELINES\11206-PHOTOS\PROCESSED\WOODSIDE\32 ALLEN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2011 JOBS\11206-EAST FREMANTLE GUIDELINES\11206-PHOTOS\PROCESSED\WOODSIDE\32 ALLEN ST.jpg"/>
                    <pic:cNvPicPr>
                      <a:picLocks noChangeAspect="1" noChangeArrowheads="1"/>
                    </pic:cNvPicPr>
                  </pic:nvPicPr>
                  <pic:blipFill>
                    <a:blip r:embed="rId181"/>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19EE2AD8" wp14:editId="60EE5627">
            <wp:extent cx="2524125" cy="1800225"/>
            <wp:effectExtent l="19050" t="0" r="9525" b="0"/>
            <wp:docPr id="118" name="Picture 15" descr="Z:\2011 JOBS\11206-EAST FREMANTLE GUIDELINES\11206-PHOTOS\PROCESSED\WOODSIDE\75 FORTESCUE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2011 JOBS\11206-EAST FREMANTLE GUIDELINES\11206-PHOTOS\PROCESSED\WOODSIDE\75 FORTESCUE ST.jpg"/>
                    <pic:cNvPicPr>
                      <a:picLocks noChangeAspect="1" noChangeArrowheads="1"/>
                    </pic:cNvPicPr>
                  </pic:nvPicPr>
                  <pic:blipFill>
                    <a:blip r:embed="rId182"/>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5AFD9A6B" w14:textId="77777777" w:rsidR="00B46EF1" w:rsidRPr="003D4055" w:rsidRDefault="00FC3385" w:rsidP="00FC3385">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3.7.3.2</w:t>
      </w:r>
      <w:r>
        <w:rPr>
          <w:rFonts w:ascii="Avenir LT 65 Medium" w:hAnsi="Avenir LT 65 Medium"/>
          <w:bCs/>
          <w:i w:val="0"/>
          <w:color w:val="auto"/>
        </w:rPr>
        <w:tab/>
      </w:r>
      <w:r w:rsidR="00B46EF1" w:rsidRPr="003D4055">
        <w:rPr>
          <w:rFonts w:ascii="Avenir LT 65 Medium" w:hAnsi="Avenir LT 65 Medium"/>
          <w:bCs/>
          <w:i w:val="0"/>
          <w:color w:val="auto"/>
        </w:rPr>
        <w:t>Desired Outcomes</w:t>
      </w:r>
    </w:p>
    <w:p w14:paraId="4E19E0FF" w14:textId="77777777" w:rsidR="00B46EF1" w:rsidRPr="003D4055" w:rsidRDefault="00B46EF1" w:rsidP="002A3889">
      <w:pPr>
        <w:pStyle w:val="ListParagraph"/>
        <w:numPr>
          <w:ilvl w:val="0"/>
          <w:numId w:val="89"/>
        </w:numPr>
        <w:spacing w:line="360" w:lineRule="auto"/>
        <w:ind w:left="714" w:hanging="357"/>
        <w:contextualSpacing w:val="0"/>
        <w:rPr>
          <w:rFonts w:ascii="Avenir LT 45 Book" w:eastAsia="Calibri" w:hAnsi="Avenir LT 45 Book" w:cs="Times New Roman"/>
          <w:sz w:val="20"/>
        </w:rPr>
      </w:pPr>
      <w:r w:rsidRPr="003D4055">
        <w:rPr>
          <w:rFonts w:ascii="Avenir LT 45 Book" w:eastAsia="Calibri" w:hAnsi="Avenir LT 45 Book" w:cs="Times New Roman"/>
          <w:sz w:val="20"/>
        </w:rPr>
        <w:t xml:space="preserve">Retention of original building </w:t>
      </w:r>
      <w:proofErr w:type="gramStart"/>
      <w:r w:rsidRPr="003D4055">
        <w:rPr>
          <w:rFonts w:ascii="Avenir LT 45 Book" w:eastAsia="Calibri" w:hAnsi="Avenir LT 45 Book" w:cs="Times New Roman"/>
          <w:sz w:val="20"/>
        </w:rPr>
        <w:t>fabric;</w:t>
      </w:r>
      <w:proofErr w:type="gramEnd"/>
    </w:p>
    <w:p w14:paraId="51D98694" w14:textId="77777777" w:rsidR="00B46EF1" w:rsidRPr="003D4055" w:rsidRDefault="00B46EF1" w:rsidP="002A3889">
      <w:pPr>
        <w:pStyle w:val="ListParagraph"/>
        <w:numPr>
          <w:ilvl w:val="0"/>
          <w:numId w:val="89"/>
        </w:numPr>
        <w:spacing w:line="360" w:lineRule="auto"/>
        <w:ind w:left="714" w:hanging="357"/>
        <w:contextualSpacing w:val="0"/>
        <w:rPr>
          <w:rFonts w:ascii="Avenir LT 45 Book" w:eastAsia="Calibri" w:hAnsi="Avenir LT 45 Book" w:cs="Times New Roman"/>
          <w:sz w:val="20"/>
        </w:rPr>
      </w:pPr>
      <w:r w:rsidRPr="003D4055">
        <w:rPr>
          <w:rFonts w:ascii="Avenir LT 45 Book" w:eastAsia="Calibri" w:hAnsi="Avenir LT 45 Book" w:cs="Times New Roman"/>
          <w:sz w:val="20"/>
        </w:rPr>
        <w:t xml:space="preserve">Restoration of contributory buildings to their original or earlier form.  This should be based on historical evidence where </w:t>
      </w:r>
      <w:proofErr w:type="gramStart"/>
      <w:r w:rsidRPr="003D4055">
        <w:rPr>
          <w:rFonts w:ascii="Avenir LT 45 Book" w:eastAsia="Calibri" w:hAnsi="Avenir LT 45 Book" w:cs="Times New Roman"/>
          <w:sz w:val="20"/>
        </w:rPr>
        <w:t>possible;</w:t>
      </w:r>
      <w:proofErr w:type="gramEnd"/>
    </w:p>
    <w:p w14:paraId="210CC3D8" w14:textId="77777777" w:rsidR="00B46EF1" w:rsidRPr="003D4055" w:rsidRDefault="00B46EF1" w:rsidP="002A3889">
      <w:pPr>
        <w:pStyle w:val="ListParagraph"/>
        <w:numPr>
          <w:ilvl w:val="0"/>
          <w:numId w:val="89"/>
        </w:numPr>
        <w:spacing w:line="360" w:lineRule="auto"/>
        <w:ind w:left="714" w:hanging="357"/>
        <w:contextualSpacing w:val="0"/>
        <w:rPr>
          <w:rFonts w:ascii="Avenir LT 45 Book" w:eastAsia="Calibri" w:hAnsi="Avenir LT 45 Book" w:cs="Times New Roman"/>
          <w:sz w:val="20"/>
        </w:rPr>
      </w:pPr>
      <w:r w:rsidRPr="003D4055">
        <w:rPr>
          <w:rFonts w:ascii="Avenir LT 45 Book" w:eastAsia="Calibri" w:hAnsi="Avenir LT 45 Book" w:cs="Times New Roman"/>
          <w:sz w:val="20"/>
        </w:rPr>
        <w:t xml:space="preserve">Removal of intrusive elements to contributory </w:t>
      </w:r>
      <w:proofErr w:type="gramStart"/>
      <w:r w:rsidRPr="003D4055">
        <w:rPr>
          <w:rFonts w:ascii="Avenir LT 45 Book" w:eastAsia="Calibri" w:hAnsi="Avenir LT 45 Book" w:cs="Times New Roman"/>
          <w:sz w:val="20"/>
        </w:rPr>
        <w:t>buildings;</w:t>
      </w:r>
      <w:proofErr w:type="gramEnd"/>
    </w:p>
    <w:p w14:paraId="01C1F46A" w14:textId="77777777" w:rsidR="00B46EF1" w:rsidRPr="003D4055" w:rsidRDefault="00B46EF1" w:rsidP="002A3889">
      <w:pPr>
        <w:pStyle w:val="ListParagraph"/>
        <w:numPr>
          <w:ilvl w:val="0"/>
          <w:numId w:val="89"/>
        </w:numPr>
        <w:spacing w:line="360" w:lineRule="auto"/>
        <w:ind w:left="714" w:hanging="357"/>
        <w:contextualSpacing w:val="0"/>
        <w:rPr>
          <w:rFonts w:ascii="Avenir LT 45 Book" w:eastAsia="Calibri" w:hAnsi="Avenir LT 45 Book" w:cs="Times New Roman"/>
          <w:sz w:val="20"/>
        </w:rPr>
      </w:pPr>
      <w:r w:rsidRPr="003D4055">
        <w:rPr>
          <w:rFonts w:ascii="Avenir LT 45 Book" w:eastAsia="Calibri" w:hAnsi="Avenir LT 45 Book" w:cs="Times New Roman"/>
          <w:sz w:val="20"/>
        </w:rPr>
        <w:t xml:space="preserve">Streetscape presence of heritage buildings to be retained and not have their prominence reduced by additional works when viewed from the street or significant vantage points such as from the </w:t>
      </w:r>
      <w:proofErr w:type="gramStart"/>
      <w:r w:rsidRPr="003D4055">
        <w:rPr>
          <w:rFonts w:ascii="Avenir LT 45 Book" w:eastAsia="Calibri" w:hAnsi="Avenir LT 45 Book" w:cs="Times New Roman"/>
          <w:sz w:val="20"/>
        </w:rPr>
        <w:t>river;</w:t>
      </w:r>
      <w:proofErr w:type="gramEnd"/>
    </w:p>
    <w:p w14:paraId="08CA29CE" w14:textId="77777777" w:rsidR="00B46EF1" w:rsidRPr="003D4055" w:rsidRDefault="00B46EF1" w:rsidP="002A3889">
      <w:pPr>
        <w:pStyle w:val="ListParagraph"/>
        <w:numPr>
          <w:ilvl w:val="0"/>
          <w:numId w:val="89"/>
        </w:numPr>
        <w:spacing w:line="360" w:lineRule="auto"/>
        <w:ind w:left="714" w:hanging="357"/>
        <w:contextualSpacing w:val="0"/>
        <w:rPr>
          <w:rFonts w:ascii="Avenir LT 45 Book" w:eastAsia="Calibri" w:hAnsi="Avenir LT 45 Book" w:cs="Times New Roman"/>
          <w:sz w:val="20"/>
        </w:rPr>
      </w:pPr>
      <w:r w:rsidRPr="003D4055">
        <w:rPr>
          <w:rFonts w:ascii="Avenir LT 45 Book" w:eastAsia="Calibri" w:hAnsi="Avenir LT 45 Book" w:cs="Times New Roman"/>
          <w:sz w:val="20"/>
        </w:rPr>
        <w:t>Updating of services to existing buildings with the least amount of change to the fabric; and,</w:t>
      </w:r>
    </w:p>
    <w:p w14:paraId="4EB26628" w14:textId="77777777" w:rsidR="00B46EF1" w:rsidRPr="003D4055" w:rsidRDefault="00B46EF1" w:rsidP="002A3889">
      <w:pPr>
        <w:pStyle w:val="ListParagraph"/>
        <w:numPr>
          <w:ilvl w:val="0"/>
          <w:numId w:val="89"/>
        </w:numPr>
        <w:spacing w:line="360" w:lineRule="auto"/>
        <w:ind w:left="714" w:hanging="357"/>
        <w:contextualSpacing w:val="0"/>
        <w:rPr>
          <w:rFonts w:ascii="Avenir LT 45 Book" w:eastAsia="Calibri" w:hAnsi="Avenir LT 45 Book" w:cs="Times New Roman"/>
          <w:sz w:val="20"/>
        </w:rPr>
      </w:pPr>
      <w:r w:rsidRPr="003D4055">
        <w:rPr>
          <w:rFonts w:ascii="Avenir LT 45 Book" w:eastAsia="Calibri" w:hAnsi="Avenir LT 45 Book" w:cs="Times New Roman"/>
          <w:sz w:val="20"/>
        </w:rPr>
        <w:t>Replacement of deteriorated building fabric to match original detail.</w:t>
      </w:r>
    </w:p>
    <w:p w14:paraId="2D05DE58" w14:textId="77777777" w:rsidR="00B46EF1" w:rsidRPr="00842387" w:rsidRDefault="00FC3385" w:rsidP="00FC3385">
      <w:pPr>
        <w:pStyle w:val="Heading4"/>
        <w:tabs>
          <w:tab w:val="left" w:pos="1418"/>
        </w:tabs>
        <w:spacing w:before="120" w:after="200" w:line="360" w:lineRule="auto"/>
        <w:ind w:left="1418" w:hanging="1418"/>
      </w:pPr>
      <w:r>
        <w:rPr>
          <w:rFonts w:ascii="Avenir LT 65 Medium" w:hAnsi="Avenir LT 65 Medium"/>
          <w:bCs/>
          <w:i w:val="0"/>
          <w:color w:val="auto"/>
        </w:rPr>
        <w:t>3.7.3.3</w:t>
      </w:r>
      <w:r>
        <w:rPr>
          <w:rFonts w:ascii="Avenir LT 65 Medium" w:hAnsi="Avenir LT 65 Medium"/>
          <w:bCs/>
          <w:i w:val="0"/>
          <w:color w:val="auto"/>
        </w:rPr>
        <w:tab/>
      </w:r>
      <w:r w:rsidR="00B46EF1" w:rsidRPr="00A373E9">
        <w:rPr>
          <w:rFonts w:ascii="Avenir LT 65 Medium" w:hAnsi="Avenir LT 65 Medium"/>
          <w:bCs/>
          <w:i w:val="0"/>
          <w:color w:val="auto"/>
        </w:rPr>
        <w:t>Performance Criteria</w:t>
      </w:r>
      <w:r w:rsidR="00B46EF1" w:rsidRPr="00842387">
        <w:t xml:space="preserve"> </w:t>
      </w:r>
      <w:r w:rsidR="00B46EF1" w:rsidRPr="00A373E9">
        <w:rPr>
          <w:rFonts w:ascii="Avenir LT 65 Medium" w:hAnsi="Avenir LT 65 Medium"/>
          <w:bCs/>
          <w:i w:val="0"/>
          <w:color w:val="auto"/>
        </w:rPr>
        <w:t>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678"/>
        <w:gridCol w:w="4348"/>
      </w:tblGrid>
      <w:tr w:rsidR="00B46EF1" w:rsidRPr="00842387" w14:paraId="4CE87C06" w14:textId="77777777" w:rsidTr="00057396">
        <w:tc>
          <w:tcPr>
            <w:tcW w:w="4678" w:type="dxa"/>
            <w:tcBorders>
              <w:bottom w:val="single" w:sz="4" w:space="0" w:color="auto"/>
            </w:tcBorders>
          </w:tcPr>
          <w:p w14:paraId="552FAE02" w14:textId="77777777" w:rsidR="00B46EF1" w:rsidRPr="00842387" w:rsidRDefault="00B46EF1" w:rsidP="008048CE">
            <w:pPr>
              <w:rPr>
                <w:rFonts w:ascii="Avenir LT 65 Medium" w:hAnsi="Avenir LT 65 Medium"/>
              </w:rPr>
            </w:pPr>
            <w:r w:rsidRPr="00842387">
              <w:rPr>
                <w:rFonts w:ascii="Avenir LT 65 Medium" w:hAnsi="Avenir LT 65 Medium"/>
              </w:rPr>
              <w:t>Performance Criteria</w:t>
            </w:r>
          </w:p>
        </w:tc>
        <w:tc>
          <w:tcPr>
            <w:tcW w:w="4348" w:type="dxa"/>
            <w:tcBorders>
              <w:bottom w:val="single" w:sz="4" w:space="0" w:color="auto"/>
            </w:tcBorders>
          </w:tcPr>
          <w:p w14:paraId="21336CFA" w14:textId="77777777" w:rsidR="00B46EF1" w:rsidRPr="00842387" w:rsidRDefault="00B46EF1" w:rsidP="008048CE">
            <w:r w:rsidRPr="00842387">
              <w:rPr>
                <w:rFonts w:ascii="Avenir LT 65 Medium" w:hAnsi="Avenir LT 65 Medium"/>
              </w:rPr>
              <w:t>Acceptable Development Provisions</w:t>
            </w:r>
          </w:p>
        </w:tc>
      </w:tr>
      <w:tr w:rsidR="00B46EF1" w:rsidRPr="00842387" w14:paraId="03B975E4" w14:textId="77777777" w:rsidTr="00057396">
        <w:tc>
          <w:tcPr>
            <w:tcW w:w="4678" w:type="dxa"/>
            <w:tcBorders>
              <w:top w:val="single" w:sz="4" w:space="0" w:color="auto"/>
              <w:bottom w:val="nil"/>
            </w:tcBorders>
          </w:tcPr>
          <w:p w14:paraId="0DEADDC8" w14:textId="77777777" w:rsidR="00B46EF1" w:rsidRPr="00842387" w:rsidRDefault="00B46EF1" w:rsidP="002A3889">
            <w:pPr>
              <w:pStyle w:val="ListParagraph"/>
              <w:numPr>
                <w:ilvl w:val="0"/>
                <w:numId w:val="90"/>
              </w:numPr>
              <w:spacing w:before="120" w:line="360" w:lineRule="auto"/>
              <w:ind w:left="567" w:hanging="504"/>
            </w:pPr>
            <w:r w:rsidRPr="00A373E9">
              <w:rPr>
                <w:rFonts w:ascii="Avenir LT 45 Book" w:eastAsia="Calibri" w:hAnsi="Avenir LT 45 Book" w:cs="Times New Roman"/>
                <w:sz w:val="20"/>
              </w:rPr>
              <w:lastRenderedPageBreak/>
              <w:t xml:space="preserve">Additions and alterations to contributory buildings to retain as much original building and its fabric as possible </w:t>
            </w:r>
            <w:proofErr w:type="gramStart"/>
            <w:r w:rsidRPr="00A373E9">
              <w:rPr>
                <w:rFonts w:ascii="Avenir LT 45 Book" w:eastAsia="Calibri" w:hAnsi="Avenir LT 45 Book" w:cs="Times New Roman"/>
                <w:sz w:val="20"/>
              </w:rPr>
              <w:t>and also</w:t>
            </w:r>
            <w:proofErr w:type="gramEnd"/>
            <w:r w:rsidRPr="00A373E9">
              <w:rPr>
                <w:rFonts w:ascii="Avenir LT 45 Book" w:eastAsia="Calibri" w:hAnsi="Avenir LT 45 Book" w:cs="Times New Roman"/>
                <w:sz w:val="20"/>
              </w:rPr>
              <w:t xml:space="preserve"> to retain historically significant additions.</w:t>
            </w:r>
          </w:p>
        </w:tc>
        <w:tc>
          <w:tcPr>
            <w:tcW w:w="4348" w:type="dxa"/>
            <w:tcBorders>
              <w:top w:val="single" w:sz="4" w:space="0" w:color="auto"/>
              <w:bottom w:val="nil"/>
            </w:tcBorders>
          </w:tcPr>
          <w:p w14:paraId="064AEED8" w14:textId="77777777" w:rsidR="00B46EF1" w:rsidRDefault="00057396" w:rsidP="00A373E9">
            <w:pPr>
              <w:spacing w:before="120" w:line="360" w:lineRule="auto"/>
              <w:ind w:left="768" w:hanging="705"/>
            </w:pPr>
            <w:r>
              <w:rPr>
                <w:rFonts w:ascii="Avenir LT 85 Heavy" w:eastAsia="Calibri" w:hAnsi="Avenir LT 85 Heavy" w:cs="Times New Roman"/>
                <w:sz w:val="20"/>
              </w:rPr>
              <w:t>A1</w:t>
            </w:r>
            <w:r>
              <w:rPr>
                <w:rFonts w:ascii="Avenir LT 85 Heavy" w:eastAsia="Calibri" w:hAnsi="Avenir LT 85 Heavy" w:cs="Times New Roman"/>
                <w:sz w:val="20"/>
              </w:rPr>
              <w:tab/>
            </w:r>
            <w:r w:rsidR="00B46EF1" w:rsidRPr="00A373E9">
              <w:rPr>
                <w:rFonts w:ascii="Avenir LT 45 Book" w:eastAsia="Calibri" w:hAnsi="Avenir LT 45 Book" w:cs="Times New Roman"/>
                <w:sz w:val="20"/>
              </w:rPr>
              <w:t>Relevant drawings to illustrate impact of additions and alterations on heritage fabric.  This shall include existing and proposed plans, elevations and possible sections.  Existing photos shall also be included.</w:t>
            </w:r>
          </w:p>
        </w:tc>
      </w:tr>
      <w:tr w:rsidR="00B46EF1" w:rsidRPr="00842387" w14:paraId="24A07276" w14:textId="77777777" w:rsidTr="00057396">
        <w:tc>
          <w:tcPr>
            <w:tcW w:w="4678" w:type="dxa"/>
            <w:tcBorders>
              <w:top w:val="nil"/>
              <w:bottom w:val="nil"/>
            </w:tcBorders>
          </w:tcPr>
          <w:p w14:paraId="7CEC5FC0" w14:textId="77777777" w:rsidR="00B46EF1" w:rsidRPr="00842387" w:rsidRDefault="00B46EF1" w:rsidP="002A3889">
            <w:pPr>
              <w:pStyle w:val="ListParagraph"/>
              <w:numPr>
                <w:ilvl w:val="0"/>
                <w:numId w:val="90"/>
              </w:numPr>
              <w:spacing w:before="120" w:line="360" w:lineRule="auto"/>
              <w:ind w:left="567" w:hanging="504"/>
            </w:pPr>
            <w:r w:rsidRPr="00A373E9">
              <w:rPr>
                <w:rFonts w:ascii="Avenir LT 45 Book" w:eastAsia="Calibri" w:hAnsi="Avenir LT 45 Book" w:cs="Times New Roman"/>
                <w:sz w:val="20"/>
              </w:rPr>
              <w:t>Restoration of contributory buildings to their original or earlier form.</w:t>
            </w:r>
          </w:p>
        </w:tc>
        <w:tc>
          <w:tcPr>
            <w:tcW w:w="4348" w:type="dxa"/>
            <w:tcBorders>
              <w:top w:val="nil"/>
              <w:bottom w:val="nil"/>
            </w:tcBorders>
          </w:tcPr>
          <w:p w14:paraId="1322443C" w14:textId="77777777" w:rsidR="00B46EF1" w:rsidRPr="00842387" w:rsidRDefault="00057396" w:rsidP="00057396">
            <w:pPr>
              <w:spacing w:before="120" w:line="360" w:lineRule="auto"/>
              <w:ind w:left="768" w:hanging="705"/>
            </w:pPr>
            <w:r w:rsidRPr="00057396">
              <w:rPr>
                <w:rFonts w:ascii="Avenir LT 85 Heavy" w:eastAsia="Calibri" w:hAnsi="Avenir LT 85 Heavy" w:cs="Times New Roman"/>
                <w:sz w:val="20"/>
              </w:rPr>
              <w:t>A2</w:t>
            </w:r>
            <w:r>
              <w:rPr>
                <w:rFonts w:ascii="Avenir LT 45 Book" w:eastAsia="Calibri" w:hAnsi="Avenir LT 45 Book" w:cs="Times New Roman"/>
                <w:sz w:val="20"/>
              </w:rPr>
              <w:tab/>
            </w:r>
            <w:r w:rsidR="00FC3385">
              <w:rPr>
                <w:rFonts w:ascii="Avenir LT 45 Book" w:eastAsia="Calibri" w:hAnsi="Avenir LT 45 Book" w:cs="Times New Roman"/>
                <w:sz w:val="20"/>
              </w:rPr>
              <w:t>P</w:t>
            </w:r>
            <w:r w:rsidR="00B46EF1" w:rsidRPr="00A373E9">
              <w:rPr>
                <w:rFonts w:ascii="Avenir LT 45 Book" w:eastAsia="Calibri" w:hAnsi="Avenir LT 45 Book" w:cs="Times New Roman"/>
                <w:sz w:val="20"/>
              </w:rPr>
              <w:t>rovide relevant historic information to support proposed restoration and/or reconstruction.  This shall include historic plans, elevations and photos where possible.</w:t>
            </w:r>
          </w:p>
        </w:tc>
      </w:tr>
      <w:tr w:rsidR="00B46EF1" w:rsidRPr="00842387" w14:paraId="619709A7" w14:textId="77777777" w:rsidTr="00057396">
        <w:tc>
          <w:tcPr>
            <w:tcW w:w="4678" w:type="dxa"/>
            <w:tcBorders>
              <w:top w:val="nil"/>
              <w:bottom w:val="nil"/>
            </w:tcBorders>
          </w:tcPr>
          <w:p w14:paraId="3A53E957" w14:textId="77777777" w:rsidR="00B46EF1" w:rsidRPr="00842387" w:rsidRDefault="00B46EF1" w:rsidP="002A3889">
            <w:pPr>
              <w:pStyle w:val="ListParagraph"/>
              <w:numPr>
                <w:ilvl w:val="0"/>
                <w:numId w:val="90"/>
              </w:numPr>
              <w:spacing w:before="120" w:line="360" w:lineRule="auto"/>
              <w:ind w:left="567" w:hanging="504"/>
            </w:pPr>
            <w:r w:rsidRPr="00A373E9">
              <w:rPr>
                <w:rFonts w:ascii="Avenir LT 45 Book" w:eastAsia="Calibri" w:hAnsi="Avenir LT 45 Book" w:cs="Times New Roman"/>
                <w:sz w:val="20"/>
              </w:rPr>
              <w:t>Streetscape presence of heritage buildings to be retained.</w:t>
            </w:r>
          </w:p>
        </w:tc>
        <w:tc>
          <w:tcPr>
            <w:tcW w:w="4348" w:type="dxa"/>
            <w:tcBorders>
              <w:top w:val="nil"/>
              <w:bottom w:val="nil"/>
            </w:tcBorders>
          </w:tcPr>
          <w:p w14:paraId="402B8B97" w14:textId="77777777" w:rsidR="00B46EF1" w:rsidRPr="00842387" w:rsidRDefault="00057396" w:rsidP="00057396">
            <w:pPr>
              <w:spacing w:before="120" w:line="360" w:lineRule="auto"/>
              <w:ind w:left="768" w:hanging="705"/>
            </w:pPr>
            <w:r w:rsidRPr="00057396">
              <w:rPr>
                <w:rFonts w:ascii="Avenir LT 85 Heavy" w:eastAsia="Calibri" w:hAnsi="Avenir LT 85 Heavy" w:cs="Times New Roman"/>
                <w:sz w:val="20"/>
              </w:rPr>
              <w:t>A3</w:t>
            </w:r>
            <w:r>
              <w:rPr>
                <w:rFonts w:ascii="Avenir LT 45 Book" w:eastAsia="Calibri" w:hAnsi="Avenir LT 45 Book" w:cs="Times New Roman"/>
                <w:sz w:val="20"/>
              </w:rPr>
              <w:tab/>
            </w:r>
            <w:r w:rsidR="00B46EF1" w:rsidRPr="00A373E9">
              <w:rPr>
                <w:rFonts w:ascii="Avenir LT 45 Book" w:eastAsia="Calibri" w:hAnsi="Avenir LT 45 Book" w:cs="Times New Roman"/>
                <w:sz w:val="20"/>
              </w:rPr>
              <w:t>Relevant drawings to illustrate streetscape presence of heritage building to be retained.  This shall include existing and proposed site plans and street elevations.  Street elevations to include a minimum of the subject lot and two neighbouring lots.</w:t>
            </w:r>
          </w:p>
        </w:tc>
      </w:tr>
      <w:tr w:rsidR="00B46EF1" w:rsidRPr="00842387" w14:paraId="51F97692" w14:textId="77777777" w:rsidTr="00057396">
        <w:tc>
          <w:tcPr>
            <w:tcW w:w="4678" w:type="dxa"/>
            <w:tcBorders>
              <w:top w:val="nil"/>
            </w:tcBorders>
          </w:tcPr>
          <w:p w14:paraId="7A5A37C9" w14:textId="77777777" w:rsidR="00B46EF1" w:rsidRPr="00057396" w:rsidRDefault="00057396" w:rsidP="00057396">
            <w:pPr>
              <w:spacing w:before="120" w:line="360" w:lineRule="auto"/>
              <w:ind w:left="604" w:hanging="541"/>
              <w:rPr>
                <w:rFonts w:ascii="Avenir LT 45 Book" w:eastAsia="Calibri" w:hAnsi="Avenir LT 45 Book" w:cs="Times New Roman"/>
                <w:sz w:val="20"/>
              </w:rPr>
            </w:pPr>
            <w:r w:rsidRPr="00057396">
              <w:rPr>
                <w:rFonts w:ascii="Avenir LT 85 Heavy" w:eastAsia="Calibri" w:hAnsi="Avenir LT 85 Heavy" w:cs="Times New Roman"/>
                <w:sz w:val="20"/>
              </w:rPr>
              <w:t>P4.1</w:t>
            </w:r>
            <w:r>
              <w:rPr>
                <w:rFonts w:ascii="Avenir LT 45 Book" w:eastAsia="Calibri" w:hAnsi="Avenir LT 45 Book" w:cs="Times New Roman"/>
                <w:sz w:val="20"/>
              </w:rPr>
              <w:tab/>
            </w:r>
            <w:r w:rsidR="00B46EF1" w:rsidRPr="00057396">
              <w:rPr>
                <w:rFonts w:ascii="Avenir LT 45 Book" w:eastAsia="Calibri" w:hAnsi="Avenir LT 45 Book" w:cs="Times New Roman"/>
                <w:sz w:val="20"/>
              </w:rPr>
              <w:t>Replacement of deteriorated building fabric with either:</w:t>
            </w:r>
          </w:p>
          <w:p w14:paraId="721B1E57" w14:textId="77777777" w:rsidR="00B46EF1" w:rsidRPr="00057396" w:rsidRDefault="00057396" w:rsidP="00057396">
            <w:pPr>
              <w:spacing w:before="120" w:line="360" w:lineRule="auto"/>
              <w:ind w:left="604" w:hanging="541"/>
              <w:rPr>
                <w:rFonts w:ascii="Avenir LT 45 Book" w:eastAsia="Calibri" w:hAnsi="Avenir LT 45 Book" w:cs="Times New Roman"/>
                <w:sz w:val="20"/>
              </w:rPr>
            </w:pPr>
            <w:proofErr w:type="spellStart"/>
            <w:r>
              <w:rPr>
                <w:rFonts w:ascii="Avenir LT 45 Book" w:eastAsia="Calibri" w:hAnsi="Avenir LT 45 Book" w:cs="Times New Roman"/>
                <w:sz w:val="20"/>
              </w:rPr>
              <w:t>i</w:t>
            </w:r>
            <w:proofErr w:type="spellEnd"/>
            <w:r>
              <w:rPr>
                <w:rFonts w:ascii="Avenir LT 45 Book" w:eastAsia="Calibri" w:hAnsi="Avenir LT 45 Book" w:cs="Times New Roman"/>
                <w:sz w:val="20"/>
              </w:rPr>
              <w:t>.</w:t>
            </w:r>
            <w:r>
              <w:rPr>
                <w:rFonts w:ascii="Avenir LT 45 Book" w:eastAsia="Calibri" w:hAnsi="Avenir LT 45 Book" w:cs="Times New Roman"/>
                <w:sz w:val="20"/>
              </w:rPr>
              <w:tab/>
            </w:r>
            <w:r w:rsidR="00B46EF1" w:rsidRPr="00057396">
              <w:rPr>
                <w:rFonts w:ascii="Avenir LT 45 Book" w:eastAsia="Calibri" w:hAnsi="Avenir LT 45 Book" w:cs="Times New Roman"/>
                <w:sz w:val="20"/>
              </w:rPr>
              <w:t>A ‘like for like’ approach; or,</w:t>
            </w:r>
          </w:p>
          <w:p w14:paraId="1567E76B" w14:textId="77777777" w:rsidR="00B46EF1" w:rsidRPr="00057396" w:rsidRDefault="00057396" w:rsidP="00057396">
            <w:pPr>
              <w:spacing w:before="120" w:line="360" w:lineRule="auto"/>
              <w:ind w:left="604" w:hanging="541"/>
              <w:rPr>
                <w:rFonts w:ascii="Avenir LT 45 Book" w:eastAsia="Calibri" w:hAnsi="Avenir LT 45 Book" w:cs="Times New Roman"/>
                <w:sz w:val="20"/>
              </w:rPr>
            </w:pPr>
            <w:r>
              <w:rPr>
                <w:rFonts w:ascii="Avenir LT 45 Book" w:eastAsia="Calibri" w:hAnsi="Avenir LT 45 Book" w:cs="Times New Roman"/>
                <w:sz w:val="20"/>
              </w:rPr>
              <w:t>ii.</w:t>
            </w:r>
            <w:r>
              <w:rPr>
                <w:rFonts w:ascii="Avenir LT 45 Book" w:eastAsia="Calibri" w:hAnsi="Avenir LT 45 Book" w:cs="Times New Roman"/>
                <w:sz w:val="20"/>
              </w:rPr>
              <w:tab/>
            </w:r>
            <w:r w:rsidR="00B46EF1" w:rsidRPr="00057396">
              <w:rPr>
                <w:rFonts w:ascii="Avenir LT 45 Book" w:eastAsia="Calibri" w:hAnsi="Avenir LT 45 Book" w:cs="Times New Roman"/>
                <w:sz w:val="20"/>
              </w:rPr>
              <w:t>In a similar but not identical fashion where appropriate.</w:t>
            </w:r>
          </w:p>
          <w:p w14:paraId="4E25B86E" w14:textId="77777777" w:rsidR="00B46EF1" w:rsidRPr="00057396" w:rsidRDefault="00057396" w:rsidP="00057396">
            <w:pPr>
              <w:spacing w:line="360" w:lineRule="auto"/>
              <w:ind w:left="604" w:hanging="541"/>
              <w:rPr>
                <w:rFonts w:ascii="Avenir LT 45 Book" w:eastAsia="Calibri" w:hAnsi="Avenir LT 45 Book" w:cs="Times New Roman"/>
                <w:sz w:val="20"/>
              </w:rPr>
            </w:pPr>
            <w:r w:rsidRPr="00057396">
              <w:rPr>
                <w:rFonts w:ascii="Avenir LT 85 Heavy" w:eastAsia="Calibri" w:hAnsi="Avenir LT 85 Heavy" w:cs="Times New Roman"/>
                <w:sz w:val="20"/>
              </w:rPr>
              <w:t>P4.2</w:t>
            </w:r>
            <w:r>
              <w:rPr>
                <w:rFonts w:ascii="Avenir LT 45 Book" w:eastAsia="Calibri" w:hAnsi="Avenir LT 45 Book" w:cs="Times New Roman"/>
                <w:sz w:val="20"/>
              </w:rPr>
              <w:tab/>
            </w:r>
            <w:r w:rsidR="00B46EF1" w:rsidRPr="00057396">
              <w:rPr>
                <w:rFonts w:ascii="Avenir LT 45 Book" w:eastAsia="Calibri" w:hAnsi="Avenir LT 45 Book" w:cs="Times New Roman"/>
                <w:sz w:val="20"/>
              </w:rPr>
              <w:t>Example of material replacement:</w:t>
            </w:r>
          </w:p>
          <w:p w14:paraId="18213585" w14:textId="77777777" w:rsidR="00B46EF1" w:rsidRPr="00057396" w:rsidRDefault="00057396" w:rsidP="00057396">
            <w:pPr>
              <w:spacing w:line="360" w:lineRule="auto"/>
              <w:ind w:left="604" w:hanging="567"/>
              <w:rPr>
                <w:rFonts w:ascii="Avenir LT 45 Book" w:eastAsia="Calibri" w:hAnsi="Avenir LT 45 Book" w:cs="Times New Roman"/>
                <w:sz w:val="20"/>
              </w:rPr>
            </w:pPr>
            <w:proofErr w:type="spellStart"/>
            <w:r>
              <w:rPr>
                <w:rFonts w:ascii="Avenir LT 45 Book" w:eastAsia="Calibri" w:hAnsi="Avenir LT 45 Book" w:cs="Times New Roman"/>
                <w:sz w:val="20"/>
              </w:rPr>
              <w:t>i</w:t>
            </w:r>
            <w:proofErr w:type="spellEnd"/>
            <w:r>
              <w:rPr>
                <w:rFonts w:ascii="Avenir LT 45 Book" w:eastAsia="Calibri" w:hAnsi="Avenir LT 45 Book" w:cs="Times New Roman"/>
                <w:sz w:val="20"/>
              </w:rPr>
              <w:t>.</w:t>
            </w:r>
            <w:r>
              <w:rPr>
                <w:rFonts w:ascii="Avenir LT 45 Book" w:eastAsia="Calibri" w:hAnsi="Avenir LT 45 Book" w:cs="Times New Roman"/>
                <w:sz w:val="20"/>
              </w:rPr>
              <w:tab/>
            </w:r>
            <w:r w:rsidR="00B46EF1" w:rsidRPr="00057396">
              <w:rPr>
                <w:rFonts w:ascii="Avenir LT 45 Book" w:eastAsia="Calibri" w:hAnsi="Avenir LT 45 Book" w:cs="Times New Roman"/>
                <w:sz w:val="20"/>
              </w:rPr>
              <w:t xml:space="preserve">Replacement of corrugated iron roofing with </w:t>
            </w:r>
            <w:proofErr w:type="spellStart"/>
            <w:r w:rsidR="00B46EF1" w:rsidRPr="00057396">
              <w:rPr>
                <w:rFonts w:ascii="Avenir LT 45 Book" w:eastAsia="Calibri" w:hAnsi="Avenir LT 45 Book" w:cs="Times New Roman"/>
                <w:sz w:val="20"/>
              </w:rPr>
              <w:t>Colorbond</w:t>
            </w:r>
            <w:proofErr w:type="spellEnd"/>
            <w:r w:rsidR="00B46EF1" w:rsidRPr="00057396">
              <w:rPr>
                <w:rFonts w:ascii="Avenir LT 45 Book" w:eastAsia="Calibri" w:hAnsi="Avenir LT 45 Book" w:cs="Times New Roman"/>
                <w:sz w:val="20"/>
              </w:rPr>
              <w:t xml:space="preserve">, Galvanised steel or </w:t>
            </w:r>
            <w:proofErr w:type="spellStart"/>
            <w:r w:rsidR="00B46EF1" w:rsidRPr="00057396">
              <w:rPr>
                <w:rFonts w:ascii="Avenir LT 45 Book" w:eastAsia="Calibri" w:hAnsi="Avenir LT 45 Book" w:cs="Times New Roman"/>
                <w:sz w:val="20"/>
              </w:rPr>
              <w:t>Zincalume</w:t>
            </w:r>
            <w:proofErr w:type="spellEnd"/>
            <w:r w:rsidR="00B46EF1" w:rsidRPr="00057396">
              <w:rPr>
                <w:rFonts w:ascii="Avenir LT 45 Book" w:eastAsia="Calibri" w:hAnsi="Avenir LT 45 Book" w:cs="Times New Roman"/>
                <w:sz w:val="20"/>
              </w:rPr>
              <w:t xml:space="preserve"> roof sheeting.  On places of high significance, Galvanised steel is the preferred option, laid in short length sheets.</w:t>
            </w:r>
          </w:p>
        </w:tc>
        <w:tc>
          <w:tcPr>
            <w:tcW w:w="4348" w:type="dxa"/>
            <w:tcBorders>
              <w:top w:val="nil"/>
            </w:tcBorders>
          </w:tcPr>
          <w:p w14:paraId="4D0EF5D3" w14:textId="77777777" w:rsidR="00B46EF1" w:rsidRPr="00842387" w:rsidRDefault="00057396" w:rsidP="00057396">
            <w:pPr>
              <w:spacing w:before="120" w:line="360" w:lineRule="auto"/>
              <w:ind w:left="768" w:hanging="705"/>
            </w:pPr>
            <w:r w:rsidRPr="00057396">
              <w:rPr>
                <w:rFonts w:ascii="Avenir LT 85 Heavy" w:eastAsia="Calibri" w:hAnsi="Avenir LT 85 Heavy" w:cs="Times New Roman"/>
                <w:sz w:val="20"/>
              </w:rPr>
              <w:t>A4</w:t>
            </w:r>
            <w:r>
              <w:rPr>
                <w:rFonts w:ascii="Avenir LT 45 Book" w:eastAsia="Calibri" w:hAnsi="Avenir LT 45 Book" w:cs="Times New Roman"/>
                <w:sz w:val="20"/>
              </w:rPr>
              <w:tab/>
            </w:r>
            <w:r w:rsidR="00B46EF1" w:rsidRPr="00057396">
              <w:rPr>
                <w:rFonts w:ascii="Avenir LT 45 Book" w:eastAsia="Calibri" w:hAnsi="Avenir LT 45 Book" w:cs="Times New Roman"/>
                <w:sz w:val="20"/>
              </w:rPr>
              <w:t>Replacement of corrugated iron roofing with Galvanised steel.</w:t>
            </w:r>
          </w:p>
        </w:tc>
      </w:tr>
    </w:tbl>
    <w:p w14:paraId="6A468D7D" w14:textId="77777777" w:rsidR="00B46EF1" w:rsidRDefault="00B46EF1" w:rsidP="00B46EF1">
      <w:pPr>
        <w:rPr>
          <w:rFonts w:eastAsia="Times New Roman" w:cs="Times New Roman"/>
          <w:bCs/>
          <w:color w:val="000000"/>
          <w:szCs w:val="24"/>
        </w:rPr>
      </w:pPr>
      <w:r>
        <w:br w:type="page"/>
      </w:r>
    </w:p>
    <w:p w14:paraId="2FAED512" w14:textId="77777777" w:rsidR="00B46EF1" w:rsidRPr="00057396" w:rsidRDefault="00FC3385" w:rsidP="00FC3385">
      <w:pPr>
        <w:pStyle w:val="Heading4"/>
        <w:tabs>
          <w:tab w:val="left" w:pos="1418"/>
        </w:tabs>
        <w:spacing w:before="120" w:after="200" w:line="360" w:lineRule="auto"/>
        <w:rPr>
          <w:rFonts w:ascii="Avenir LT 65 Medium" w:hAnsi="Avenir LT 65 Medium"/>
          <w:bCs/>
          <w:i w:val="0"/>
          <w:color w:val="auto"/>
        </w:rPr>
      </w:pPr>
      <w:bookmarkStart w:id="451" w:name="_Toc452727434"/>
      <w:r>
        <w:rPr>
          <w:rFonts w:ascii="Avenir LT 65 Medium" w:hAnsi="Avenir LT 65 Medium"/>
          <w:bCs/>
          <w:i w:val="0"/>
          <w:color w:val="auto"/>
        </w:rPr>
        <w:lastRenderedPageBreak/>
        <w:t>3.7.4</w:t>
      </w:r>
      <w:r>
        <w:rPr>
          <w:rFonts w:ascii="Avenir LT 65 Medium" w:hAnsi="Avenir LT 65 Medium"/>
          <w:bCs/>
          <w:i w:val="0"/>
          <w:color w:val="auto"/>
        </w:rPr>
        <w:tab/>
      </w:r>
      <w:r w:rsidR="00B46EF1" w:rsidRPr="00057396">
        <w:rPr>
          <w:rFonts w:ascii="Avenir LT 65 Medium" w:hAnsi="Avenir LT 65 Medium"/>
          <w:bCs/>
          <w:i w:val="0"/>
          <w:color w:val="auto"/>
        </w:rPr>
        <w:t>Site Works</w:t>
      </w:r>
      <w:bookmarkEnd w:id="451"/>
    </w:p>
    <w:p w14:paraId="6130D327" w14:textId="77777777" w:rsidR="00B46EF1" w:rsidRPr="00057396" w:rsidRDefault="00FC3385" w:rsidP="00FC3385">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3.7.4.1</w:t>
      </w:r>
      <w:r>
        <w:rPr>
          <w:rFonts w:ascii="Avenir LT 65 Medium" w:hAnsi="Avenir LT 65 Medium"/>
          <w:bCs/>
          <w:i w:val="0"/>
          <w:color w:val="auto"/>
        </w:rPr>
        <w:tab/>
      </w:r>
      <w:r w:rsidR="00B46EF1" w:rsidRPr="00057396">
        <w:rPr>
          <w:rFonts w:ascii="Avenir LT 65 Medium" w:hAnsi="Avenir LT 65 Medium"/>
          <w:bCs/>
          <w:i w:val="0"/>
          <w:color w:val="auto"/>
        </w:rPr>
        <w:t>Statement</w:t>
      </w:r>
    </w:p>
    <w:p w14:paraId="2921612D" w14:textId="77777777" w:rsidR="00B46EF1" w:rsidRPr="00057396" w:rsidRDefault="00B46EF1" w:rsidP="00057396">
      <w:pPr>
        <w:spacing w:line="360" w:lineRule="auto"/>
        <w:rPr>
          <w:rFonts w:ascii="Avenir LT 45 Book" w:eastAsia="Calibri" w:hAnsi="Avenir LT 45 Book"/>
          <w:i/>
          <w:sz w:val="20"/>
        </w:rPr>
      </w:pPr>
      <w:r w:rsidRPr="00057396">
        <w:rPr>
          <w:rFonts w:ascii="Avenir LT 45 Book" w:eastAsia="Calibri" w:hAnsi="Avenir LT 45 Book"/>
          <w:i/>
          <w:sz w:val="20"/>
        </w:rPr>
        <w:t xml:space="preserve">The Policy Area has a distinct undulating landscape.  Residential construction varies throughout the Area due to the undulating nature of the topography.  </w:t>
      </w:r>
      <w:proofErr w:type="gramStart"/>
      <w:r w:rsidRPr="00057396">
        <w:rPr>
          <w:rFonts w:ascii="Avenir LT 45 Book" w:eastAsia="Calibri" w:hAnsi="Avenir LT 45 Book"/>
          <w:i/>
          <w:sz w:val="20"/>
        </w:rPr>
        <w:t>A number of</w:t>
      </w:r>
      <w:proofErr w:type="gramEnd"/>
      <w:r w:rsidRPr="00057396">
        <w:rPr>
          <w:rFonts w:ascii="Avenir LT 45 Book" w:eastAsia="Calibri" w:hAnsi="Avenir LT 45 Book"/>
          <w:i/>
          <w:sz w:val="20"/>
        </w:rPr>
        <w:t xml:space="preserve"> residences are constructed above and below the level of the road depending on the topography.  Residences however are generally sited consistently on their lots and provide a high level of visual coherence.  </w:t>
      </w:r>
      <w:proofErr w:type="gramStart"/>
      <w:r w:rsidRPr="00057396">
        <w:rPr>
          <w:rFonts w:ascii="Avenir LT 45 Book" w:eastAsia="Calibri" w:hAnsi="Avenir LT 45 Book"/>
          <w:i/>
          <w:sz w:val="20"/>
        </w:rPr>
        <w:t>Generally</w:t>
      </w:r>
      <w:proofErr w:type="gramEnd"/>
      <w:r w:rsidRPr="00057396">
        <w:rPr>
          <w:rFonts w:ascii="Avenir LT 45 Book" w:eastAsia="Calibri" w:hAnsi="Avenir LT 45 Book"/>
          <w:i/>
          <w:sz w:val="20"/>
        </w:rPr>
        <w:t xml:space="preserve"> heights of residences on sloping streetscapes are evenly staggered. </w:t>
      </w:r>
    </w:p>
    <w:p w14:paraId="0099C54E" w14:textId="77777777" w:rsidR="00B46EF1" w:rsidRPr="00842387" w:rsidRDefault="00B46EF1" w:rsidP="00B46EF1">
      <w:r>
        <w:rPr>
          <w:noProof/>
          <w:lang w:eastAsia="en-AU"/>
        </w:rPr>
        <w:drawing>
          <wp:inline distT="0" distB="0" distL="0" distR="0" wp14:anchorId="326C08C6" wp14:editId="7599539E">
            <wp:extent cx="2524125" cy="1800225"/>
            <wp:effectExtent l="19050" t="0" r="9525" b="0"/>
            <wp:docPr id="102" name="Picture 39" descr="Z:\2011 JOBS\11206-EAST FREMANTLE GUIDELINES\11206-PHOTOS\PROCESSED\RICHMOND\WOLSELY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2011 JOBS\11206-EAST FREMANTLE GUIDELINES\11206-PHOTOS\PROCESSED\RICHMOND\WOLSELY ROAD.jpg"/>
                    <pic:cNvPicPr>
                      <a:picLocks noChangeAspect="1" noChangeArrowheads="1"/>
                    </pic:cNvPicPr>
                  </pic:nvPicPr>
                  <pic:blipFill>
                    <a:blip r:embed="rId183"/>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1629BD60" wp14:editId="5A52D1C8">
            <wp:extent cx="2524125" cy="1800225"/>
            <wp:effectExtent l="19050" t="0" r="9525" b="0"/>
            <wp:docPr id="157" name="Picture 1" descr="Z:\2011 JOBS\11206-EAST FREMANTLE GUIDELINES\11206-PHOTOS\PROCESSED\PLYMPTON\78 SEWEL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2011 JOBS\11206-EAST FREMANTLE GUIDELINES\11206-PHOTOS\PROCESSED\PLYMPTON\78 SEWEL ST.jpg"/>
                    <pic:cNvPicPr>
                      <a:picLocks noChangeAspect="1" noChangeArrowheads="1"/>
                    </pic:cNvPicPr>
                  </pic:nvPicPr>
                  <pic:blipFill>
                    <a:blip r:embed="rId184"/>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2632FF87" w14:textId="77777777" w:rsidR="00B46EF1" w:rsidRPr="00057396" w:rsidRDefault="00505ACC" w:rsidP="00505ACC">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3.7.4.2</w:t>
      </w:r>
      <w:r>
        <w:rPr>
          <w:rFonts w:ascii="Avenir LT 65 Medium" w:hAnsi="Avenir LT 65 Medium"/>
          <w:bCs/>
          <w:i w:val="0"/>
          <w:color w:val="auto"/>
        </w:rPr>
        <w:tab/>
      </w:r>
      <w:r w:rsidR="00B46EF1" w:rsidRPr="00057396">
        <w:rPr>
          <w:rFonts w:ascii="Avenir LT 65 Medium" w:hAnsi="Avenir LT 65 Medium"/>
          <w:bCs/>
          <w:i w:val="0"/>
          <w:color w:val="auto"/>
        </w:rPr>
        <w:t>Desired Outcomes</w:t>
      </w:r>
    </w:p>
    <w:p w14:paraId="0D81AEBF" w14:textId="77777777" w:rsidR="00B46EF1" w:rsidRPr="00057396" w:rsidRDefault="00B46EF1" w:rsidP="002A3889">
      <w:pPr>
        <w:pStyle w:val="ListParagraph"/>
        <w:numPr>
          <w:ilvl w:val="0"/>
          <w:numId w:val="80"/>
        </w:numPr>
        <w:spacing w:line="360" w:lineRule="auto"/>
        <w:ind w:left="714" w:hanging="357"/>
        <w:contextualSpacing w:val="0"/>
        <w:rPr>
          <w:rFonts w:ascii="Avenir LT 45 Book" w:eastAsia="Calibri" w:hAnsi="Avenir LT 45 Book" w:cs="Times New Roman"/>
          <w:sz w:val="20"/>
        </w:rPr>
      </w:pPr>
      <w:r w:rsidRPr="00057396">
        <w:rPr>
          <w:rFonts w:ascii="Avenir LT 45 Book" w:eastAsia="Calibri" w:hAnsi="Avenir LT 45 Book" w:cs="Times New Roman"/>
          <w:sz w:val="20"/>
        </w:rPr>
        <w:t xml:space="preserve">New developments are to be sited to reflect the immediate locality to retain a high level of visual coherence in </w:t>
      </w:r>
      <w:proofErr w:type="gramStart"/>
      <w:r w:rsidRPr="00057396">
        <w:rPr>
          <w:rFonts w:ascii="Avenir LT 45 Book" w:eastAsia="Calibri" w:hAnsi="Avenir LT 45 Book" w:cs="Times New Roman"/>
          <w:sz w:val="20"/>
        </w:rPr>
        <w:t>streetscapes;</w:t>
      </w:r>
      <w:proofErr w:type="gramEnd"/>
    </w:p>
    <w:p w14:paraId="4319860E" w14:textId="77777777" w:rsidR="00B46EF1" w:rsidRPr="00057396" w:rsidRDefault="00B46EF1" w:rsidP="002A3889">
      <w:pPr>
        <w:pStyle w:val="ListParagraph"/>
        <w:numPr>
          <w:ilvl w:val="0"/>
          <w:numId w:val="80"/>
        </w:numPr>
        <w:spacing w:line="360" w:lineRule="auto"/>
        <w:ind w:left="714" w:hanging="357"/>
        <w:contextualSpacing w:val="0"/>
        <w:rPr>
          <w:rFonts w:ascii="Avenir LT 45 Book" w:eastAsia="Calibri" w:hAnsi="Avenir LT 45 Book" w:cs="Times New Roman"/>
          <w:sz w:val="20"/>
        </w:rPr>
      </w:pPr>
      <w:r w:rsidRPr="00057396">
        <w:rPr>
          <w:rFonts w:ascii="Avenir LT 45 Book" w:eastAsia="Calibri" w:hAnsi="Avenir LT 45 Book" w:cs="Times New Roman"/>
          <w:sz w:val="20"/>
        </w:rPr>
        <w:t>New developments are to maintain the prevailing natural ground level (refer glossary) of the site and to minimise the need for cutting and filling of the site and boundary retaining walls; and,</w:t>
      </w:r>
    </w:p>
    <w:p w14:paraId="45388CCF" w14:textId="77777777" w:rsidR="00B46EF1" w:rsidRPr="00057396" w:rsidRDefault="00B46EF1" w:rsidP="002A3889">
      <w:pPr>
        <w:pStyle w:val="ListParagraph"/>
        <w:numPr>
          <w:ilvl w:val="0"/>
          <w:numId w:val="80"/>
        </w:numPr>
        <w:spacing w:line="360" w:lineRule="auto"/>
        <w:ind w:left="714" w:hanging="357"/>
        <w:contextualSpacing w:val="0"/>
        <w:rPr>
          <w:rFonts w:ascii="Avenir LT 45 Book" w:eastAsia="Calibri" w:hAnsi="Avenir LT 45 Book" w:cs="Times New Roman"/>
          <w:sz w:val="20"/>
        </w:rPr>
      </w:pPr>
      <w:r w:rsidRPr="00057396">
        <w:rPr>
          <w:rFonts w:ascii="Avenir LT 45 Book" w:eastAsia="Calibri" w:hAnsi="Avenir LT 45 Book" w:cs="Times New Roman"/>
          <w:sz w:val="20"/>
        </w:rPr>
        <w:t>New developments, additions and alterations are to be designed so that a strong level of visual privacy is retained.</w:t>
      </w:r>
    </w:p>
    <w:p w14:paraId="257EA888" w14:textId="77777777" w:rsidR="00B46EF1" w:rsidRPr="00842387" w:rsidRDefault="00B46EF1" w:rsidP="00B46EF1">
      <w:r w:rsidRPr="00842387">
        <w:rPr>
          <w:noProof/>
          <w:lang w:eastAsia="en-AU"/>
        </w:rPr>
        <w:drawing>
          <wp:inline distT="0" distB="0" distL="0" distR="0" wp14:anchorId="3646D18E" wp14:editId="55E1FDA4">
            <wp:extent cx="5000625" cy="2047875"/>
            <wp:effectExtent l="0" t="0" r="0" b="0"/>
            <wp:docPr id="158" name="Picture 21" descr="NATURAL GROUND LEVE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L GROUND LEVEL.eps"/>
                    <pic:cNvPicPr/>
                  </pic:nvPicPr>
                  <pic:blipFill>
                    <a:blip r:embed="rId185"/>
                    <a:stretch>
                      <a:fillRect/>
                    </a:stretch>
                  </pic:blipFill>
                  <pic:spPr>
                    <a:xfrm>
                      <a:off x="0" y="0"/>
                      <a:ext cx="5000625" cy="2047875"/>
                    </a:xfrm>
                    <a:prstGeom prst="rect">
                      <a:avLst/>
                    </a:prstGeom>
                  </pic:spPr>
                </pic:pic>
              </a:graphicData>
            </a:graphic>
          </wp:inline>
        </w:drawing>
      </w:r>
    </w:p>
    <w:p w14:paraId="07144040" w14:textId="77777777" w:rsidR="00057396" w:rsidRDefault="00B46EF1" w:rsidP="00057396">
      <w:pPr>
        <w:spacing w:after="120" w:line="360" w:lineRule="auto"/>
        <w:rPr>
          <w:rFonts w:ascii="Avenir LT 45 Book" w:eastAsia="Calibri" w:hAnsi="Avenir LT 45 Book"/>
          <w:sz w:val="20"/>
        </w:rPr>
      </w:pPr>
      <w:r w:rsidRPr="00057396">
        <w:rPr>
          <w:rFonts w:ascii="Avenir LT 45 Book" w:eastAsia="Calibri" w:hAnsi="Avenir LT 45 Book"/>
          <w:sz w:val="20"/>
        </w:rPr>
        <w:t xml:space="preserve">Figure 11 – Street elevation illustrating ground floor level for new developments – </w:t>
      </w:r>
      <w:r w:rsidRPr="00505ACC">
        <w:rPr>
          <w:rFonts w:ascii="Avenir LT 45 Book" w:eastAsia="Calibri" w:hAnsi="Avenir LT 45 Book"/>
          <w:i/>
          <w:sz w:val="20"/>
        </w:rPr>
        <w:t>Griffiths Architects 2012.</w:t>
      </w:r>
    </w:p>
    <w:p w14:paraId="2EF19EBC" w14:textId="77777777" w:rsidR="00B46EF1" w:rsidRPr="00057396" w:rsidRDefault="00505ACC" w:rsidP="00505ACC">
      <w:pPr>
        <w:pStyle w:val="Heading4"/>
        <w:tabs>
          <w:tab w:val="left" w:pos="1418"/>
        </w:tabs>
        <w:spacing w:before="0" w:after="160" w:line="360" w:lineRule="auto"/>
        <w:rPr>
          <w:rFonts w:ascii="Avenir LT 65 Medium" w:hAnsi="Avenir LT 65 Medium"/>
          <w:bCs/>
          <w:i w:val="0"/>
          <w:color w:val="auto"/>
        </w:rPr>
      </w:pPr>
      <w:r>
        <w:rPr>
          <w:rFonts w:ascii="Avenir LT 65 Medium" w:hAnsi="Avenir LT 65 Medium"/>
          <w:bCs/>
          <w:i w:val="0"/>
          <w:color w:val="auto"/>
        </w:rPr>
        <w:t>3.7.4.3</w:t>
      </w:r>
      <w:r>
        <w:rPr>
          <w:rFonts w:ascii="Avenir LT 65 Medium" w:hAnsi="Avenir LT 65 Medium"/>
          <w:bCs/>
          <w:i w:val="0"/>
          <w:color w:val="auto"/>
        </w:rPr>
        <w:tab/>
      </w:r>
      <w:r w:rsidR="00B46EF1" w:rsidRPr="00057396">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09"/>
        <w:gridCol w:w="4517"/>
      </w:tblGrid>
      <w:tr w:rsidR="00B46EF1" w:rsidRPr="00842387" w14:paraId="752BE75E" w14:textId="77777777" w:rsidTr="008048CE">
        <w:trPr>
          <w:trHeight w:val="455"/>
        </w:trPr>
        <w:tc>
          <w:tcPr>
            <w:tcW w:w="4621" w:type="dxa"/>
            <w:tcBorders>
              <w:bottom w:val="single" w:sz="4" w:space="0" w:color="auto"/>
            </w:tcBorders>
          </w:tcPr>
          <w:p w14:paraId="066350B7" w14:textId="77777777" w:rsidR="00B46EF1" w:rsidRDefault="00B46EF1" w:rsidP="008048CE">
            <w:pPr>
              <w:rPr>
                <w:rFonts w:ascii="Avenir LT 65 Medium" w:hAnsi="Avenir LT 65 Medium" w:cs="Times New Roman"/>
              </w:rPr>
            </w:pPr>
            <w:r w:rsidRPr="00842387">
              <w:rPr>
                <w:rFonts w:ascii="Avenir LT 65 Medium" w:hAnsi="Avenir LT 65 Medium"/>
              </w:rPr>
              <w:t>Performance Criteria</w:t>
            </w:r>
          </w:p>
        </w:tc>
        <w:tc>
          <w:tcPr>
            <w:tcW w:w="4621" w:type="dxa"/>
            <w:tcBorders>
              <w:bottom w:val="single" w:sz="4" w:space="0" w:color="auto"/>
            </w:tcBorders>
          </w:tcPr>
          <w:p w14:paraId="2B1C3BB9" w14:textId="77777777" w:rsidR="00B46EF1" w:rsidRDefault="00B46EF1" w:rsidP="008048CE">
            <w:pPr>
              <w:rPr>
                <w:rFonts w:cs="Times New Roman"/>
              </w:rPr>
            </w:pPr>
            <w:r w:rsidRPr="00842387">
              <w:rPr>
                <w:rFonts w:ascii="Avenir LT 65 Medium" w:hAnsi="Avenir LT 65 Medium"/>
              </w:rPr>
              <w:t>Acceptable Development Provisions</w:t>
            </w:r>
          </w:p>
        </w:tc>
      </w:tr>
      <w:tr w:rsidR="00B46EF1" w:rsidRPr="00842387" w14:paraId="2B6CDD65" w14:textId="77777777" w:rsidTr="008048CE">
        <w:tc>
          <w:tcPr>
            <w:tcW w:w="4621" w:type="dxa"/>
            <w:tcBorders>
              <w:top w:val="single" w:sz="4" w:space="0" w:color="auto"/>
            </w:tcBorders>
          </w:tcPr>
          <w:p w14:paraId="30580613" w14:textId="77777777" w:rsidR="00B46EF1" w:rsidRDefault="00B46EF1" w:rsidP="002A3889">
            <w:pPr>
              <w:pStyle w:val="ListParagraph"/>
              <w:numPr>
                <w:ilvl w:val="0"/>
                <w:numId w:val="82"/>
              </w:numPr>
              <w:spacing w:before="120" w:line="360" w:lineRule="auto"/>
              <w:ind w:left="426" w:hanging="426"/>
            </w:pPr>
            <w:r w:rsidRPr="00057396">
              <w:rPr>
                <w:rFonts w:ascii="Avenir LT 45 Book" w:eastAsia="Calibri" w:hAnsi="Avenir LT 45 Book" w:cs="Times New Roman"/>
                <w:sz w:val="20"/>
              </w:rPr>
              <w:lastRenderedPageBreak/>
              <w:t>Siting of new developments is to be consistent with the immediate locality and shall not negatively impact on the streetscape character and amenity.</w:t>
            </w:r>
          </w:p>
        </w:tc>
        <w:tc>
          <w:tcPr>
            <w:tcW w:w="4621" w:type="dxa"/>
            <w:tcBorders>
              <w:top w:val="single" w:sz="4" w:space="0" w:color="auto"/>
            </w:tcBorders>
          </w:tcPr>
          <w:p w14:paraId="3BEDC35F" w14:textId="77777777" w:rsidR="00B46EF1" w:rsidRDefault="00B46EF1" w:rsidP="002A3889">
            <w:pPr>
              <w:pStyle w:val="Style5"/>
              <w:numPr>
                <w:ilvl w:val="0"/>
                <w:numId w:val="91"/>
              </w:numPr>
              <w:ind w:left="624" w:hanging="505"/>
            </w:pPr>
            <w:r w:rsidRPr="00B3109C">
              <w:t>Dwellings are to be constructed on a plinth (refer glossary) limited in area to, and within the boundaries of, the fully covered roof area.</w:t>
            </w:r>
          </w:p>
        </w:tc>
      </w:tr>
      <w:tr w:rsidR="00B46EF1" w:rsidRPr="00842387" w14:paraId="2C2E19A8" w14:textId="77777777" w:rsidTr="008048CE">
        <w:tc>
          <w:tcPr>
            <w:tcW w:w="4621" w:type="dxa"/>
          </w:tcPr>
          <w:p w14:paraId="0A7622EB" w14:textId="77777777" w:rsidR="00B46EF1" w:rsidRDefault="00B46EF1" w:rsidP="008048CE">
            <w:pPr>
              <w:pStyle w:val="Style3"/>
              <w:ind w:left="426" w:hanging="426"/>
              <w:rPr>
                <w:rFonts w:cs="Times New Roman"/>
              </w:rPr>
            </w:pPr>
            <w:r w:rsidRPr="00842387">
              <w:t>New developments are to maintain the prevailing natural ground level of the site.</w:t>
            </w:r>
          </w:p>
        </w:tc>
        <w:tc>
          <w:tcPr>
            <w:tcW w:w="4621" w:type="dxa"/>
          </w:tcPr>
          <w:p w14:paraId="71263FD3" w14:textId="77777777" w:rsidR="00B46EF1" w:rsidRPr="00057396" w:rsidRDefault="00B46EF1" w:rsidP="002A3889">
            <w:pPr>
              <w:pStyle w:val="ListParagraph"/>
              <w:numPr>
                <w:ilvl w:val="1"/>
                <w:numId w:val="92"/>
              </w:numPr>
              <w:spacing w:line="360" w:lineRule="auto"/>
              <w:ind w:left="624" w:hanging="505"/>
              <w:contextualSpacing w:val="0"/>
              <w:rPr>
                <w:rFonts w:ascii="Avenir LT 45 Book" w:eastAsia="Calibri" w:hAnsi="Avenir LT 45 Book" w:cs="Times New Roman"/>
                <w:sz w:val="20"/>
              </w:rPr>
            </w:pPr>
            <w:r w:rsidRPr="00057396">
              <w:rPr>
                <w:rFonts w:ascii="Avenir LT 45 Book" w:eastAsia="Calibri" w:hAnsi="Avenir LT 45 Book" w:cs="Times New Roman"/>
                <w:sz w:val="20"/>
              </w:rPr>
              <w:t>Where a new development is on a significant slope the ground floor level shall be the average height between the ground floor levels of the two adjacent dwellings.</w:t>
            </w:r>
          </w:p>
          <w:p w14:paraId="636B732B" w14:textId="77777777" w:rsidR="00B46EF1" w:rsidRDefault="00B46EF1" w:rsidP="002A3889">
            <w:pPr>
              <w:pStyle w:val="ListParagraph"/>
              <w:numPr>
                <w:ilvl w:val="1"/>
                <w:numId w:val="92"/>
              </w:numPr>
              <w:spacing w:line="360" w:lineRule="auto"/>
              <w:ind w:left="624" w:hanging="505"/>
              <w:contextualSpacing w:val="0"/>
            </w:pPr>
            <w:r w:rsidRPr="00DD096A">
              <w:rPr>
                <w:rFonts w:ascii="Avenir LT 45 Book" w:eastAsia="Calibri" w:hAnsi="Avenir LT 45 Book" w:cs="Times New Roman"/>
                <w:sz w:val="20"/>
              </w:rPr>
              <w:t>Where there are no adjacent dwellings the ground floor level shall be located to minimise the impact on the need for cutting and filling of the site without adversely impacting the streetscape.  This is to be demonstrated by a drawing(s) including site section and street elevation.  Street elevations are to be a minimum of the subject lot and two neighbouring lots</w:t>
            </w:r>
            <w:r>
              <w:t>.</w:t>
            </w:r>
          </w:p>
        </w:tc>
      </w:tr>
      <w:tr w:rsidR="00B46EF1" w:rsidRPr="00842387" w14:paraId="2D5FDB72" w14:textId="77777777" w:rsidTr="008048CE">
        <w:trPr>
          <w:trHeight w:val="1060"/>
        </w:trPr>
        <w:tc>
          <w:tcPr>
            <w:tcW w:w="4621" w:type="dxa"/>
          </w:tcPr>
          <w:p w14:paraId="7F9AFE1F" w14:textId="77777777" w:rsidR="00B46EF1" w:rsidRDefault="00B46EF1" w:rsidP="00B46EF1">
            <w:pPr>
              <w:pStyle w:val="Style3"/>
              <w:ind w:left="426" w:hanging="426"/>
              <w:rPr>
                <w:rFonts w:cs="Times New Roman"/>
              </w:rPr>
            </w:pPr>
            <w:r w:rsidRPr="00842387">
              <w:t>New developments, additions and alterations are to be designed so that a strong level of visual privacy is retained.</w:t>
            </w:r>
          </w:p>
        </w:tc>
        <w:tc>
          <w:tcPr>
            <w:tcW w:w="4621" w:type="dxa"/>
          </w:tcPr>
          <w:p w14:paraId="7813DF06" w14:textId="77777777" w:rsidR="00B46EF1" w:rsidRDefault="00505ACC" w:rsidP="00505ACC">
            <w:pPr>
              <w:spacing w:line="360" w:lineRule="auto"/>
              <w:ind w:left="768" w:hanging="649"/>
            </w:pPr>
            <w:r w:rsidRPr="00505ACC">
              <w:rPr>
                <w:rFonts w:ascii="Avenir LT 85 Heavy" w:eastAsia="Calibri" w:hAnsi="Avenir LT 85 Heavy" w:cs="Times New Roman"/>
                <w:sz w:val="20"/>
              </w:rPr>
              <w:t>A3</w:t>
            </w:r>
            <w:r>
              <w:rPr>
                <w:rFonts w:ascii="Avenir LT 45 Book" w:eastAsia="Calibri" w:hAnsi="Avenir LT 45 Book" w:cs="Times New Roman"/>
                <w:sz w:val="20"/>
              </w:rPr>
              <w:tab/>
            </w:r>
            <w:r w:rsidR="00B46EF1" w:rsidRPr="00505ACC">
              <w:rPr>
                <w:rFonts w:ascii="Avenir LT 45 Book" w:eastAsia="Calibri" w:hAnsi="Avenir LT 45 Book" w:cs="Times New Roman"/>
                <w:sz w:val="20"/>
              </w:rPr>
              <w:t>Refer R Codes for acceptable development provisions on visual privacy.</w:t>
            </w:r>
          </w:p>
        </w:tc>
      </w:tr>
    </w:tbl>
    <w:p w14:paraId="51727E67" w14:textId="77777777" w:rsidR="00B46EF1" w:rsidRPr="00DD096A" w:rsidRDefault="00505ACC" w:rsidP="00505ACC">
      <w:pPr>
        <w:pStyle w:val="Heading3"/>
        <w:keepNext w:val="0"/>
        <w:keepLines w:val="0"/>
        <w:tabs>
          <w:tab w:val="left" w:pos="1418"/>
        </w:tabs>
        <w:autoSpaceDE w:val="0"/>
        <w:autoSpaceDN w:val="0"/>
        <w:spacing w:before="0" w:after="200" w:line="360" w:lineRule="auto"/>
        <w:jc w:val="both"/>
        <w:rPr>
          <w:rFonts w:ascii="Avenir LT 65 Medium" w:eastAsia="Times New Roman" w:hAnsi="Avenir LT 65 Medium" w:cs="Times New Roman"/>
          <w:bCs/>
          <w:color w:val="000000"/>
          <w:sz w:val="22"/>
        </w:rPr>
      </w:pPr>
      <w:bookmarkStart w:id="452" w:name="_Toc452727435"/>
      <w:r>
        <w:rPr>
          <w:rFonts w:ascii="Avenir LT 65 Medium" w:eastAsia="Times New Roman" w:hAnsi="Avenir LT 65 Medium" w:cs="Times New Roman"/>
          <w:bCs/>
          <w:color w:val="000000"/>
          <w:sz w:val="22"/>
        </w:rPr>
        <w:t>3.7.5</w:t>
      </w:r>
      <w:r>
        <w:rPr>
          <w:rFonts w:ascii="Avenir LT 65 Medium" w:eastAsia="Times New Roman" w:hAnsi="Avenir LT 65 Medium" w:cs="Times New Roman"/>
          <w:bCs/>
          <w:color w:val="000000"/>
          <w:sz w:val="22"/>
        </w:rPr>
        <w:tab/>
      </w:r>
      <w:r w:rsidR="00B46EF1" w:rsidRPr="00DD096A">
        <w:rPr>
          <w:rFonts w:ascii="Avenir LT 65 Medium" w:eastAsia="Times New Roman" w:hAnsi="Avenir LT 65 Medium" w:cs="Times New Roman"/>
          <w:bCs/>
          <w:color w:val="000000"/>
          <w:sz w:val="22"/>
        </w:rPr>
        <w:t>Demolition</w:t>
      </w:r>
      <w:bookmarkEnd w:id="452"/>
    </w:p>
    <w:p w14:paraId="30681507" w14:textId="77777777" w:rsidR="00B46EF1" w:rsidRPr="00DD096A" w:rsidRDefault="00505ACC" w:rsidP="00505ACC">
      <w:pPr>
        <w:pStyle w:val="Heading3"/>
        <w:keepNext w:val="0"/>
        <w:keepLines w:val="0"/>
        <w:tabs>
          <w:tab w:val="left" w:pos="1418"/>
        </w:tabs>
        <w:autoSpaceDE w:val="0"/>
        <w:autoSpaceDN w:val="0"/>
        <w:spacing w:before="0" w:after="200" w:line="360" w:lineRule="auto"/>
        <w:jc w:val="both"/>
        <w:rPr>
          <w:rFonts w:ascii="Avenir LT 65 Medium" w:eastAsia="Times New Roman" w:hAnsi="Avenir LT 65 Medium" w:cs="Times New Roman"/>
          <w:bCs/>
          <w:color w:val="000000"/>
          <w:sz w:val="22"/>
        </w:rPr>
      </w:pPr>
      <w:r>
        <w:rPr>
          <w:rFonts w:ascii="Avenir LT 65 Medium" w:eastAsia="Times New Roman" w:hAnsi="Avenir LT 65 Medium" w:cs="Times New Roman"/>
          <w:bCs/>
          <w:color w:val="000000"/>
          <w:sz w:val="22"/>
        </w:rPr>
        <w:t>3.7.5.1</w:t>
      </w:r>
      <w:r>
        <w:rPr>
          <w:rFonts w:ascii="Avenir LT 65 Medium" w:eastAsia="Times New Roman" w:hAnsi="Avenir LT 65 Medium" w:cs="Times New Roman"/>
          <w:bCs/>
          <w:color w:val="000000"/>
          <w:sz w:val="22"/>
        </w:rPr>
        <w:tab/>
      </w:r>
      <w:r w:rsidR="00B46EF1" w:rsidRPr="00DD096A">
        <w:rPr>
          <w:rFonts w:ascii="Avenir LT 65 Medium" w:eastAsia="Times New Roman" w:hAnsi="Avenir LT 65 Medium" w:cs="Times New Roman"/>
          <w:bCs/>
          <w:color w:val="000000"/>
          <w:sz w:val="22"/>
        </w:rPr>
        <w:t>Statement</w:t>
      </w:r>
    </w:p>
    <w:p w14:paraId="23FB7EB1" w14:textId="77777777" w:rsidR="00766830" w:rsidRDefault="00B46EF1" w:rsidP="00DD096A">
      <w:pPr>
        <w:spacing w:line="360" w:lineRule="auto"/>
        <w:rPr>
          <w:rFonts w:ascii="Avenir LT 45 Book" w:eastAsia="Calibri" w:hAnsi="Avenir LT 45 Book"/>
          <w:i/>
          <w:sz w:val="20"/>
        </w:rPr>
      </w:pPr>
      <w:r w:rsidRPr="00DD096A">
        <w:rPr>
          <w:rFonts w:ascii="Avenir LT 45 Book" w:eastAsia="Calibri" w:hAnsi="Avenir LT 45 Book"/>
          <w:i/>
          <w:sz w:val="20"/>
        </w:rPr>
        <w:t xml:space="preserve">The Policy Area retains much of its original building fabric.  The demolition of traditional buildings has been minimal.  Traditional buildings contribute significantly to the character of the Policy Area and are vital to the retention of heritage values of the town.  </w:t>
      </w:r>
      <w:proofErr w:type="gramStart"/>
      <w:r w:rsidRPr="00DD096A">
        <w:rPr>
          <w:rFonts w:ascii="Avenir LT 45 Book" w:eastAsia="Calibri" w:hAnsi="Avenir LT 45 Book"/>
          <w:i/>
          <w:sz w:val="20"/>
        </w:rPr>
        <w:t>Therefore</w:t>
      </w:r>
      <w:proofErr w:type="gramEnd"/>
      <w:r w:rsidRPr="00DD096A">
        <w:rPr>
          <w:rFonts w:ascii="Avenir LT 45 Book" w:eastAsia="Calibri" w:hAnsi="Avenir LT 45 Book"/>
          <w:i/>
          <w:sz w:val="20"/>
        </w:rPr>
        <w:t xml:space="preserve"> the demolition of heritage places, part demolition of individually contributory buildings (refer glossary) and the demolition of contributory elements is discouraged.  </w:t>
      </w:r>
      <w:proofErr w:type="gramStart"/>
      <w:r w:rsidRPr="00DD096A">
        <w:rPr>
          <w:rFonts w:ascii="Avenir LT 45 Book" w:eastAsia="Calibri" w:hAnsi="Avenir LT 45 Book"/>
          <w:i/>
          <w:sz w:val="20"/>
        </w:rPr>
        <w:t>However</w:t>
      </w:r>
      <w:proofErr w:type="gramEnd"/>
      <w:r w:rsidRPr="00DD096A">
        <w:rPr>
          <w:rFonts w:ascii="Avenir LT 45 Book" w:eastAsia="Calibri" w:hAnsi="Avenir LT 45 Book"/>
          <w:i/>
          <w:sz w:val="20"/>
        </w:rPr>
        <w:t xml:space="preserve"> the removal of inappropriate alterations, additions and works that detract from the cultural significance of the place and its proper presentation is encouraged.</w:t>
      </w:r>
    </w:p>
    <w:p w14:paraId="02381B48" w14:textId="77777777" w:rsidR="00766830" w:rsidRDefault="00766830" w:rsidP="00766830">
      <w:r>
        <w:br w:type="page"/>
      </w:r>
    </w:p>
    <w:p w14:paraId="3D7B3781" w14:textId="77777777" w:rsidR="00B46EF1" w:rsidRPr="00DD096A" w:rsidRDefault="00DF00DB" w:rsidP="00505ACC">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lastRenderedPageBreak/>
        <w:t>3.7.5.</w:t>
      </w:r>
      <w:r w:rsidR="00D15A29">
        <w:rPr>
          <w:rFonts w:ascii="Avenir LT 65 Medium" w:hAnsi="Avenir LT 65 Medium"/>
          <w:bCs/>
          <w:i w:val="0"/>
          <w:color w:val="auto"/>
        </w:rPr>
        <w:t>2</w:t>
      </w:r>
      <w:r>
        <w:rPr>
          <w:rFonts w:ascii="Avenir LT 65 Medium" w:hAnsi="Avenir LT 65 Medium"/>
          <w:bCs/>
          <w:i w:val="0"/>
          <w:color w:val="auto"/>
        </w:rPr>
        <w:tab/>
      </w:r>
      <w:r w:rsidR="00B46EF1" w:rsidRPr="00DD096A">
        <w:rPr>
          <w:rFonts w:ascii="Avenir LT 65 Medium" w:hAnsi="Avenir LT 65 Medium"/>
          <w:bCs/>
          <w:i w:val="0"/>
          <w:color w:val="auto"/>
        </w:rPr>
        <w:t>Desired Outcomes</w:t>
      </w:r>
    </w:p>
    <w:p w14:paraId="3B0D18FF" w14:textId="77777777" w:rsidR="00B46EF1" w:rsidRPr="00DD096A" w:rsidRDefault="00B46EF1" w:rsidP="002A3889">
      <w:pPr>
        <w:pStyle w:val="ListParagraph"/>
        <w:numPr>
          <w:ilvl w:val="0"/>
          <w:numId w:val="78"/>
        </w:numPr>
        <w:spacing w:line="360" w:lineRule="auto"/>
        <w:ind w:left="426" w:hanging="426"/>
        <w:contextualSpacing w:val="0"/>
        <w:rPr>
          <w:rFonts w:ascii="Avenir LT 45 Book" w:eastAsia="Calibri" w:hAnsi="Avenir LT 45 Book" w:cs="Times New Roman"/>
          <w:sz w:val="20"/>
        </w:rPr>
      </w:pPr>
      <w:r w:rsidRPr="00DD096A">
        <w:rPr>
          <w:rFonts w:ascii="Avenir LT 45 Book" w:eastAsia="Calibri" w:hAnsi="Avenir LT 45 Book" w:cs="Times New Roman"/>
          <w:sz w:val="20"/>
        </w:rPr>
        <w:t>Conservation of significant and contributory places; and,</w:t>
      </w:r>
    </w:p>
    <w:p w14:paraId="0084C3E9" w14:textId="77777777" w:rsidR="00B46EF1" w:rsidRPr="00DD096A" w:rsidRDefault="00B46EF1" w:rsidP="002A3889">
      <w:pPr>
        <w:pStyle w:val="ListParagraph"/>
        <w:numPr>
          <w:ilvl w:val="0"/>
          <w:numId w:val="78"/>
        </w:numPr>
        <w:spacing w:line="360" w:lineRule="auto"/>
        <w:ind w:left="426" w:hanging="426"/>
        <w:contextualSpacing w:val="0"/>
        <w:rPr>
          <w:rFonts w:ascii="Avenir LT 45 Book" w:eastAsia="Calibri" w:hAnsi="Avenir LT 45 Book" w:cs="Times New Roman"/>
          <w:sz w:val="20"/>
        </w:rPr>
      </w:pPr>
      <w:r w:rsidRPr="00DD096A">
        <w:rPr>
          <w:rFonts w:ascii="Avenir LT 45 Book" w:eastAsia="Calibri" w:hAnsi="Avenir LT 45 Book" w:cs="Times New Roman"/>
          <w:sz w:val="20"/>
        </w:rPr>
        <w:t>The removal of inappropriate alterations, additions and works that detract from the cultural significance of the place.</w:t>
      </w:r>
    </w:p>
    <w:p w14:paraId="005C69E3" w14:textId="77777777" w:rsidR="00B46EF1" w:rsidRPr="00DF00DB" w:rsidRDefault="00DF00DB" w:rsidP="00DF00DB">
      <w:pPr>
        <w:pStyle w:val="Heading4"/>
        <w:tabs>
          <w:tab w:val="left" w:pos="1418"/>
        </w:tabs>
        <w:spacing w:before="120" w:line="360" w:lineRule="auto"/>
        <w:rPr>
          <w:rFonts w:ascii="Avenir LT 65 Medium" w:hAnsi="Avenir LT 65 Medium"/>
          <w:bCs/>
          <w:i w:val="0"/>
          <w:color w:val="auto"/>
        </w:rPr>
      </w:pPr>
      <w:r>
        <w:rPr>
          <w:rFonts w:ascii="Avenir LT 65 Medium" w:hAnsi="Avenir LT 65 Medium"/>
          <w:bCs/>
          <w:i w:val="0"/>
          <w:color w:val="auto"/>
        </w:rPr>
        <w:t>3.7.5.3</w:t>
      </w:r>
      <w:r>
        <w:rPr>
          <w:rFonts w:ascii="Avenir LT 65 Medium" w:hAnsi="Avenir LT 65 Medium"/>
          <w:bCs/>
          <w:i w:val="0"/>
          <w:color w:val="auto"/>
        </w:rPr>
        <w:tab/>
      </w:r>
      <w:r w:rsidR="00B46EF1" w:rsidRPr="00DF00DB">
        <w:rPr>
          <w:rFonts w:ascii="Avenir LT 65 Medium" w:hAnsi="Avenir LT 65 Medium"/>
          <w:bCs/>
          <w:i w:val="0"/>
          <w:color w:val="auto"/>
        </w:rPr>
        <w:t>Performance Criteria and Acceptable Development Provisions</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820"/>
        <w:gridCol w:w="4206"/>
        <w:gridCol w:w="188"/>
      </w:tblGrid>
      <w:tr w:rsidR="00B46EF1" w:rsidRPr="00842387" w14:paraId="230AE6D3" w14:textId="77777777" w:rsidTr="00D15A29">
        <w:trPr>
          <w:gridAfter w:val="1"/>
          <w:wAfter w:w="188" w:type="dxa"/>
        </w:trPr>
        <w:tc>
          <w:tcPr>
            <w:tcW w:w="4820" w:type="dxa"/>
            <w:tcBorders>
              <w:bottom w:val="single" w:sz="4" w:space="0" w:color="auto"/>
            </w:tcBorders>
          </w:tcPr>
          <w:p w14:paraId="7456CB55"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206" w:type="dxa"/>
            <w:tcBorders>
              <w:bottom w:val="single" w:sz="4" w:space="0" w:color="auto"/>
            </w:tcBorders>
          </w:tcPr>
          <w:p w14:paraId="40C3651D" w14:textId="77777777" w:rsidR="00B46EF1" w:rsidRDefault="00B46EF1" w:rsidP="008048CE">
            <w:r w:rsidRPr="00842387">
              <w:rPr>
                <w:rFonts w:ascii="Avenir LT 65 Medium" w:hAnsi="Avenir LT 65 Medium"/>
              </w:rPr>
              <w:t>Acceptable Development Provisions</w:t>
            </w:r>
          </w:p>
        </w:tc>
      </w:tr>
      <w:tr w:rsidR="00B46EF1" w:rsidRPr="00842387" w14:paraId="328813EE" w14:textId="77777777" w:rsidTr="00D15A29">
        <w:tc>
          <w:tcPr>
            <w:tcW w:w="4820" w:type="dxa"/>
            <w:tcBorders>
              <w:top w:val="single" w:sz="4" w:space="0" w:color="auto"/>
              <w:bottom w:val="nil"/>
            </w:tcBorders>
          </w:tcPr>
          <w:p w14:paraId="7445E598" w14:textId="77777777" w:rsidR="00B46EF1" w:rsidRDefault="00B46EF1" w:rsidP="002A3889">
            <w:pPr>
              <w:pStyle w:val="Style3"/>
              <w:numPr>
                <w:ilvl w:val="1"/>
                <w:numId w:val="84"/>
              </w:numPr>
              <w:spacing w:before="120" w:after="120"/>
              <w:ind w:left="567" w:hanging="567"/>
            </w:pPr>
            <w:r w:rsidRPr="00842387">
              <w:t xml:space="preserve">Demolition of any building or place </w:t>
            </w:r>
            <w:r>
              <w:t xml:space="preserve">on the Heritage List </w:t>
            </w:r>
            <w:r w:rsidRPr="00842387">
              <w:t xml:space="preserve">requires the development approval of the </w:t>
            </w:r>
            <w:r>
              <w:t>Town</w:t>
            </w:r>
            <w:r w:rsidRPr="00842387">
              <w:t xml:space="preserve">. The </w:t>
            </w:r>
            <w:r>
              <w:t>Town</w:t>
            </w:r>
            <w:r w:rsidRPr="00842387">
              <w:t xml:space="preserve"> </w:t>
            </w:r>
            <w:r w:rsidRPr="005D221C">
              <w:t>shall</w:t>
            </w:r>
            <w:r w:rsidRPr="00842387">
              <w:t xml:space="preserve"> not approve demolition of a building until there is a planning approval granted for a new building that complies with this Local Planning Policy.  Where no other development is proposed the owner of the listed building will be requested to give reasons for the planning application for demolition so that Council </w:t>
            </w:r>
            <w:r w:rsidRPr="005D221C">
              <w:t>shall</w:t>
            </w:r>
            <w:r w:rsidRPr="00842387">
              <w:t xml:space="preserve"> be fully informed in its decision-making.</w:t>
            </w:r>
          </w:p>
          <w:p w14:paraId="3885FA38" w14:textId="77777777" w:rsidR="00B46EF1" w:rsidRDefault="00B46EF1" w:rsidP="002A3889">
            <w:pPr>
              <w:pStyle w:val="Style3"/>
              <w:numPr>
                <w:ilvl w:val="1"/>
                <w:numId w:val="84"/>
              </w:numPr>
              <w:ind w:left="567" w:hanging="567"/>
            </w:pPr>
            <w:r w:rsidRPr="00842387">
              <w:t xml:space="preserve">The Local Government </w:t>
            </w:r>
            <w:r w:rsidRPr="005D221C">
              <w:t>shall</w:t>
            </w:r>
            <w:r w:rsidRPr="00842387">
              <w:t xml:space="preserve"> not approve demolition if the proposed development, addition(s) and/or alterations do not conform to this Local Planning Policy.</w:t>
            </w:r>
          </w:p>
        </w:tc>
        <w:tc>
          <w:tcPr>
            <w:tcW w:w="4394" w:type="dxa"/>
            <w:gridSpan w:val="2"/>
            <w:tcBorders>
              <w:top w:val="single" w:sz="4" w:space="0" w:color="auto"/>
              <w:bottom w:val="nil"/>
            </w:tcBorders>
          </w:tcPr>
          <w:p w14:paraId="06DD15E2" w14:textId="77777777" w:rsidR="00B46EF1" w:rsidRDefault="00B46EF1" w:rsidP="002A3889">
            <w:pPr>
              <w:pStyle w:val="ListParagraph"/>
              <w:numPr>
                <w:ilvl w:val="1"/>
                <w:numId w:val="86"/>
              </w:numPr>
              <w:spacing w:before="120" w:after="120" w:line="360" w:lineRule="auto"/>
              <w:ind w:left="624" w:hanging="567"/>
              <w:contextualSpacing w:val="0"/>
            </w:pPr>
            <w:r w:rsidRPr="00DF00DB">
              <w:rPr>
                <w:rFonts w:ascii="Avenir LT 45 Book" w:eastAsia="Calibri" w:hAnsi="Avenir LT 45 Book" w:cs="Times New Roman"/>
                <w:sz w:val="20"/>
              </w:rPr>
              <w:t>Relevant</w:t>
            </w:r>
            <w:r w:rsidRPr="00842387">
              <w:t xml:space="preserve"> </w:t>
            </w:r>
            <w:r w:rsidRPr="00DF00DB">
              <w:rPr>
                <w:rFonts w:ascii="Avenir LT 45 Book" w:eastAsia="Calibri" w:hAnsi="Avenir LT 45 Book" w:cs="Times New Roman"/>
                <w:sz w:val="20"/>
              </w:rPr>
              <w:t>information of new development, additions or alterations submitted with planning application for demolition.</w:t>
            </w:r>
          </w:p>
          <w:p w14:paraId="6A9D22EA" w14:textId="77777777" w:rsidR="00B46EF1" w:rsidRDefault="00B46EF1" w:rsidP="002A3889">
            <w:pPr>
              <w:pStyle w:val="ListParagraph"/>
              <w:numPr>
                <w:ilvl w:val="1"/>
                <w:numId w:val="86"/>
              </w:numPr>
              <w:spacing w:before="120" w:line="360" w:lineRule="auto"/>
              <w:ind w:left="624" w:hanging="567"/>
              <w:contextualSpacing w:val="0"/>
            </w:pPr>
            <w:r w:rsidRPr="00DF00DB">
              <w:rPr>
                <w:rFonts w:ascii="Avenir LT 45 Book" w:eastAsia="Calibri" w:hAnsi="Avenir LT 45 Book" w:cs="Times New Roman"/>
                <w:sz w:val="20"/>
              </w:rPr>
              <w:t>Relevant drawings illustrating the demolition area and zones of significance (refer glossary) of the existing building.  This is to include demolition plans and elevations and possible sections.  Street elevations are to be included including a minimum of the subject lot and two neighbouring lots.</w:t>
            </w:r>
          </w:p>
          <w:p w14:paraId="29516478" w14:textId="77777777" w:rsidR="00B46EF1" w:rsidRDefault="00B46EF1" w:rsidP="008048CE"/>
        </w:tc>
      </w:tr>
      <w:tr w:rsidR="00B46EF1" w:rsidRPr="00842387" w14:paraId="5B23D893" w14:textId="77777777" w:rsidTr="00D15A29">
        <w:tc>
          <w:tcPr>
            <w:tcW w:w="4820" w:type="dxa"/>
            <w:tcBorders>
              <w:top w:val="nil"/>
              <w:bottom w:val="nil"/>
            </w:tcBorders>
          </w:tcPr>
          <w:p w14:paraId="29715E1D" w14:textId="77777777" w:rsidR="00B46EF1" w:rsidRDefault="00B46EF1" w:rsidP="002A3889">
            <w:pPr>
              <w:pStyle w:val="ListParagraph"/>
              <w:numPr>
                <w:ilvl w:val="0"/>
                <w:numId w:val="87"/>
              </w:numPr>
              <w:spacing w:after="120" w:line="360" w:lineRule="auto"/>
              <w:ind w:left="567" w:hanging="567"/>
            </w:pPr>
            <w:r w:rsidRPr="00DF00DB">
              <w:rPr>
                <w:rFonts w:ascii="Avenir LT 45 Book" w:eastAsia="Calibri" w:hAnsi="Avenir LT 45 Book" w:cs="Times New Roman"/>
                <w:sz w:val="20"/>
              </w:rPr>
              <w:t>Applications for demolition of all or part of an existing contributory building must demonstrate the cultural heritage significance of the existing building and the proposed demolition area(s) are not adversely affected by the demolition.</w:t>
            </w:r>
          </w:p>
        </w:tc>
        <w:tc>
          <w:tcPr>
            <w:tcW w:w="4394" w:type="dxa"/>
            <w:gridSpan w:val="2"/>
            <w:tcBorders>
              <w:top w:val="nil"/>
              <w:bottom w:val="nil"/>
            </w:tcBorders>
          </w:tcPr>
          <w:p w14:paraId="7D345167" w14:textId="77777777" w:rsidR="00B46EF1" w:rsidRDefault="00DF00DB" w:rsidP="00DF00DB">
            <w:pPr>
              <w:spacing w:line="360" w:lineRule="auto"/>
              <w:ind w:left="611" w:hanging="634"/>
            </w:pPr>
            <w:r w:rsidRPr="00DF00DB">
              <w:rPr>
                <w:rFonts w:ascii="Avenir LT 85 Heavy" w:eastAsia="Calibri" w:hAnsi="Avenir LT 85 Heavy" w:cs="Times New Roman"/>
                <w:sz w:val="20"/>
              </w:rPr>
              <w:t>A2</w:t>
            </w:r>
            <w:r>
              <w:rPr>
                <w:rFonts w:ascii="Avenir LT 45 Book" w:eastAsia="Calibri" w:hAnsi="Avenir LT 45 Book" w:cs="Times New Roman"/>
                <w:sz w:val="20"/>
              </w:rPr>
              <w:tab/>
            </w:r>
            <w:r w:rsidR="00B46EF1" w:rsidRPr="00DF00DB">
              <w:rPr>
                <w:rFonts w:ascii="Avenir LT 45 Book" w:eastAsia="Calibri" w:hAnsi="Avenir LT 45 Book" w:cs="Times New Roman"/>
                <w:sz w:val="20"/>
              </w:rPr>
              <w:t>For contributory buildings a comprehensive Development Impact Statement that addresses the implications of the demolition is to be provided.  An acceptable format is attached in Appendix A.</w:t>
            </w:r>
          </w:p>
        </w:tc>
      </w:tr>
      <w:tr w:rsidR="00B46EF1" w:rsidRPr="00842387" w14:paraId="297741A6" w14:textId="77777777" w:rsidTr="00D15A29">
        <w:tc>
          <w:tcPr>
            <w:tcW w:w="4820" w:type="dxa"/>
            <w:tcBorders>
              <w:top w:val="nil"/>
              <w:bottom w:val="nil"/>
            </w:tcBorders>
          </w:tcPr>
          <w:p w14:paraId="0938587F" w14:textId="77777777" w:rsidR="00B46EF1" w:rsidRPr="005D221C" w:rsidRDefault="00B46EF1" w:rsidP="002A3889">
            <w:pPr>
              <w:pStyle w:val="ListParagraph"/>
              <w:numPr>
                <w:ilvl w:val="1"/>
                <w:numId w:val="93"/>
              </w:numPr>
              <w:spacing w:after="120" w:line="360" w:lineRule="auto"/>
              <w:ind w:left="567" w:hanging="567"/>
              <w:contextualSpacing w:val="0"/>
            </w:pPr>
            <w:r w:rsidRPr="00DF00DB">
              <w:rPr>
                <w:rFonts w:ascii="Avenir LT 45 Book" w:eastAsia="Calibri" w:hAnsi="Avenir LT 45 Book" w:cs="Times New Roman"/>
                <w:sz w:val="20"/>
              </w:rPr>
              <w:t>Planning application for demolition will not be approved for a contributory building on the grounds of neglect, poor condition or economic/other gain for redevelopment of the land.</w:t>
            </w:r>
          </w:p>
        </w:tc>
        <w:tc>
          <w:tcPr>
            <w:tcW w:w="4394" w:type="dxa"/>
            <w:gridSpan w:val="2"/>
            <w:tcBorders>
              <w:top w:val="nil"/>
              <w:bottom w:val="nil"/>
            </w:tcBorders>
          </w:tcPr>
          <w:p w14:paraId="51A7B27D" w14:textId="77777777" w:rsidR="00B46EF1" w:rsidRPr="00842387" w:rsidRDefault="00DF00DB" w:rsidP="00DF00DB">
            <w:pPr>
              <w:spacing w:line="360" w:lineRule="auto"/>
              <w:ind w:left="611" w:hanging="634"/>
            </w:pPr>
            <w:r w:rsidRPr="00DF00DB">
              <w:rPr>
                <w:rFonts w:ascii="Avenir LT 85 Heavy" w:eastAsia="Calibri" w:hAnsi="Avenir LT 85 Heavy" w:cs="Times New Roman"/>
                <w:sz w:val="20"/>
              </w:rPr>
              <w:t>A3</w:t>
            </w:r>
            <w:r>
              <w:rPr>
                <w:rFonts w:ascii="Avenir LT 45 Book" w:eastAsia="Calibri" w:hAnsi="Avenir LT 45 Book" w:cs="Times New Roman"/>
                <w:sz w:val="20"/>
              </w:rPr>
              <w:tab/>
            </w:r>
            <w:r w:rsidR="00B46EF1" w:rsidRPr="00DF00DB">
              <w:rPr>
                <w:rFonts w:ascii="Avenir LT 45 Book" w:eastAsia="Calibri" w:hAnsi="Avenir LT 45 Book" w:cs="Times New Roman"/>
                <w:sz w:val="20"/>
              </w:rPr>
              <w:t>If a place is included on the Municipal Inventory, in a designated heritage area, or included a TPS Schedule of heritage places, relevant information is required from suitably qualified consultants, such as a structural engineer or heritage architect, to assess demolition applications.</w:t>
            </w:r>
          </w:p>
        </w:tc>
      </w:tr>
      <w:tr w:rsidR="00B46EF1" w:rsidRPr="00842387" w14:paraId="4F32BB32" w14:textId="77777777" w:rsidTr="00D15A29">
        <w:tc>
          <w:tcPr>
            <w:tcW w:w="4820" w:type="dxa"/>
            <w:tcBorders>
              <w:top w:val="nil"/>
              <w:bottom w:val="nil"/>
            </w:tcBorders>
          </w:tcPr>
          <w:p w14:paraId="5F1E47C8" w14:textId="77777777" w:rsidR="00B46EF1" w:rsidRPr="00DF00DB" w:rsidRDefault="00B46EF1" w:rsidP="002A3889">
            <w:pPr>
              <w:pStyle w:val="ListParagraph"/>
              <w:numPr>
                <w:ilvl w:val="1"/>
                <w:numId w:val="94"/>
              </w:numPr>
              <w:spacing w:after="120" w:line="360" w:lineRule="auto"/>
              <w:ind w:left="567" w:hanging="567"/>
              <w:contextualSpacing w:val="0"/>
              <w:rPr>
                <w:rFonts w:ascii="Avenir LT 45 Book" w:eastAsia="Calibri" w:hAnsi="Avenir LT 45 Book" w:cs="Times New Roman"/>
                <w:sz w:val="20"/>
              </w:rPr>
            </w:pPr>
            <w:r w:rsidRPr="00DF00DB">
              <w:rPr>
                <w:rFonts w:ascii="Avenir LT 45 Book" w:eastAsia="Calibri" w:hAnsi="Avenir LT 45 Book" w:cs="Times New Roman"/>
                <w:sz w:val="20"/>
              </w:rPr>
              <w:t>Part demolition of individually significant or contributory buildings or removal of contributory elements will not be approved unless it is demonstrated to the Council’s satisfaction:</w:t>
            </w:r>
          </w:p>
          <w:p w14:paraId="27B4B2A0" w14:textId="77777777" w:rsidR="00B46EF1" w:rsidRPr="00DF00DB" w:rsidRDefault="00B46EF1" w:rsidP="002A3889">
            <w:pPr>
              <w:pStyle w:val="ListParagraph"/>
              <w:numPr>
                <w:ilvl w:val="0"/>
                <w:numId w:val="88"/>
              </w:numPr>
              <w:spacing w:after="120" w:line="360" w:lineRule="auto"/>
              <w:contextualSpacing w:val="0"/>
              <w:rPr>
                <w:rFonts w:ascii="Avenir LT 45 Book" w:eastAsia="Calibri" w:hAnsi="Avenir LT 45 Book" w:cs="Times New Roman"/>
                <w:sz w:val="20"/>
              </w:rPr>
            </w:pPr>
            <w:r w:rsidRPr="00DF00DB">
              <w:rPr>
                <w:rFonts w:ascii="Avenir LT 45 Book" w:eastAsia="Calibri" w:hAnsi="Avenir LT 45 Book" w:cs="Times New Roman"/>
                <w:sz w:val="20"/>
              </w:rPr>
              <w:t>that part of the heritage place has been changed beyond recognition of its original or subsequent contributory character(s),</w:t>
            </w:r>
          </w:p>
          <w:p w14:paraId="5A357E56" w14:textId="77777777" w:rsidR="00B46EF1" w:rsidRPr="00DF00DB" w:rsidRDefault="00B46EF1" w:rsidP="002A3889">
            <w:pPr>
              <w:pStyle w:val="ListParagraph"/>
              <w:numPr>
                <w:ilvl w:val="0"/>
                <w:numId w:val="88"/>
              </w:numPr>
              <w:spacing w:after="120" w:line="360" w:lineRule="auto"/>
              <w:contextualSpacing w:val="0"/>
              <w:rPr>
                <w:rFonts w:ascii="Avenir LT 45 Book" w:eastAsia="Calibri" w:hAnsi="Avenir LT 45 Book" w:cs="Times New Roman"/>
                <w:sz w:val="20"/>
              </w:rPr>
            </w:pPr>
            <w:r w:rsidRPr="00DF00DB">
              <w:rPr>
                <w:rFonts w:ascii="Avenir LT 45 Book" w:eastAsia="Calibri" w:hAnsi="Avenir LT 45 Book" w:cs="Times New Roman"/>
                <w:sz w:val="20"/>
              </w:rPr>
              <w:t>that part is not visible from a street frontage, park or public open space</w:t>
            </w:r>
            <w:r w:rsidRPr="00842387">
              <w:t xml:space="preserve"> </w:t>
            </w:r>
            <w:r w:rsidRPr="00DF00DB">
              <w:rPr>
                <w:rFonts w:ascii="Avenir LT 45 Book" w:eastAsia="Calibri" w:hAnsi="Avenir LT 45 Book" w:cs="Times New Roman"/>
                <w:sz w:val="20"/>
              </w:rPr>
              <w:t>and the main</w:t>
            </w:r>
            <w:r w:rsidRPr="00842387">
              <w:t xml:space="preserve"> </w:t>
            </w:r>
            <w:r w:rsidRPr="00DF00DB">
              <w:rPr>
                <w:rFonts w:ascii="Avenir LT 45 Book" w:eastAsia="Calibri" w:hAnsi="Avenir LT 45 Book" w:cs="Times New Roman"/>
                <w:sz w:val="20"/>
              </w:rPr>
              <w:t>building form including roof form is maintained,</w:t>
            </w:r>
          </w:p>
          <w:p w14:paraId="513C9DC1" w14:textId="77777777" w:rsidR="00B46EF1" w:rsidRPr="00DF00DB" w:rsidRDefault="00B46EF1" w:rsidP="002A3889">
            <w:pPr>
              <w:pStyle w:val="ListParagraph"/>
              <w:numPr>
                <w:ilvl w:val="0"/>
                <w:numId w:val="88"/>
              </w:numPr>
              <w:spacing w:after="160" w:line="360" w:lineRule="auto"/>
              <w:contextualSpacing w:val="0"/>
              <w:rPr>
                <w:rFonts w:ascii="Avenir LT 45 Book" w:eastAsia="Calibri" w:hAnsi="Avenir LT 45 Book" w:cs="Times New Roman"/>
                <w:sz w:val="20"/>
              </w:rPr>
            </w:pPr>
            <w:r w:rsidRPr="00DF00DB">
              <w:rPr>
                <w:rFonts w:ascii="Avenir LT 45 Book" w:eastAsia="Calibri" w:hAnsi="Avenir LT 45 Book" w:cs="Times New Roman"/>
                <w:sz w:val="20"/>
              </w:rPr>
              <w:lastRenderedPageBreak/>
              <w:t>the removal of the part would not adversely affect the contribution of</w:t>
            </w:r>
            <w:r w:rsidRPr="00842387">
              <w:t xml:space="preserve"> </w:t>
            </w:r>
            <w:r w:rsidRPr="00DF00DB">
              <w:rPr>
                <w:rFonts w:ascii="Avenir LT 45 Book" w:eastAsia="Calibri" w:hAnsi="Avenir LT 45 Book" w:cs="Times New Roman"/>
                <w:sz w:val="20"/>
              </w:rPr>
              <w:t>the building to the heritage place, and</w:t>
            </w:r>
          </w:p>
          <w:p w14:paraId="1D7CE043" w14:textId="77777777" w:rsidR="00B46EF1" w:rsidRDefault="00B46EF1" w:rsidP="002A3889">
            <w:pPr>
              <w:pStyle w:val="ListParagraph"/>
              <w:numPr>
                <w:ilvl w:val="0"/>
                <w:numId w:val="88"/>
              </w:numPr>
              <w:spacing w:after="120" w:line="360" w:lineRule="auto"/>
              <w:contextualSpacing w:val="0"/>
            </w:pPr>
            <w:r w:rsidRPr="00D15A29">
              <w:rPr>
                <w:rFonts w:ascii="Avenir LT 45 Book" w:eastAsia="Calibri" w:hAnsi="Avenir LT 45 Book" w:cs="Times New Roman"/>
                <w:sz w:val="20"/>
              </w:rPr>
              <w:t>for individually significant building or works, it can be demonstrated that the removal of part of the building does not negatively affect the significance of the place.</w:t>
            </w:r>
          </w:p>
        </w:tc>
        <w:tc>
          <w:tcPr>
            <w:tcW w:w="4394" w:type="dxa"/>
            <w:gridSpan w:val="2"/>
            <w:tcBorders>
              <w:top w:val="nil"/>
              <w:bottom w:val="nil"/>
            </w:tcBorders>
          </w:tcPr>
          <w:p w14:paraId="5AB43A70" w14:textId="77777777" w:rsidR="00B46EF1" w:rsidRDefault="00B46EF1" w:rsidP="008048CE">
            <w:pPr>
              <w:pStyle w:val="ListParagraph"/>
              <w:ind w:left="624"/>
            </w:pPr>
          </w:p>
        </w:tc>
      </w:tr>
    </w:tbl>
    <w:p w14:paraId="68444534" w14:textId="77777777" w:rsidR="00B46EF1" w:rsidRDefault="00B46EF1" w:rsidP="00B46EF1">
      <w:pPr>
        <w:spacing w:before="240" w:after="360"/>
        <w:ind w:left="709" w:hanging="709"/>
      </w:pPr>
      <w:r w:rsidRPr="00D15A29">
        <w:rPr>
          <w:rFonts w:ascii="Avenir LT 65 Medium" w:eastAsia="Calibri" w:hAnsi="Avenir LT 65 Medium"/>
          <w:sz w:val="20"/>
        </w:rPr>
        <w:t>NOTE:</w:t>
      </w:r>
      <w:r w:rsidRPr="00842387">
        <w:t xml:space="preserve">  </w:t>
      </w:r>
      <w:r w:rsidRPr="00D15A29">
        <w:rPr>
          <w:rFonts w:ascii="Avenir LT 45 Book" w:eastAsia="Calibri" w:hAnsi="Avenir LT 45 Book"/>
          <w:sz w:val="20"/>
        </w:rPr>
        <w:t>Refer Town of East Fremantle Town Planning Scheme for developments that require planning approval.</w:t>
      </w:r>
    </w:p>
    <w:p w14:paraId="1E1FC624" w14:textId="77777777" w:rsidR="00B46EF1" w:rsidRPr="00D15A29" w:rsidRDefault="00D15A29" w:rsidP="00D15A29">
      <w:pPr>
        <w:pStyle w:val="Heading3"/>
        <w:keepNext w:val="0"/>
        <w:keepLines w:val="0"/>
        <w:tabs>
          <w:tab w:val="left" w:pos="1418"/>
        </w:tabs>
        <w:autoSpaceDE w:val="0"/>
        <w:autoSpaceDN w:val="0"/>
        <w:spacing w:before="0" w:after="200" w:line="360" w:lineRule="auto"/>
        <w:jc w:val="both"/>
        <w:rPr>
          <w:rFonts w:ascii="Avenir LT 65 Medium" w:eastAsia="Times New Roman" w:hAnsi="Avenir LT 65 Medium" w:cs="Times New Roman"/>
          <w:bCs/>
          <w:color w:val="000000"/>
          <w:sz w:val="22"/>
        </w:rPr>
      </w:pPr>
      <w:bookmarkStart w:id="453" w:name="_Toc452727436"/>
      <w:r>
        <w:rPr>
          <w:rFonts w:ascii="Avenir LT 65 Medium" w:eastAsia="Times New Roman" w:hAnsi="Avenir LT 65 Medium" w:cs="Times New Roman"/>
          <w:bCs/>
          <w:color w:val="000000"/>
          <w:sz w:val="22"/>
        </w:rPr>
        <w:t>3.7.6</w:t>
      </w:r>
      <w:r>
        <w:rPr>
          <w:rFonts w:ascii="Avenir LT 65 Medium" w:eastAsia="Times New Roman" w:hAnsi="Avenir LT 65 Medium" w:cs="Times New Roman"/>
          <w:bCs/>
          <w:color w:val="000000"/>
          <w:sz w:val="22"/>
        </w:rPr>
        <w:tab/>
      </w:r>
      <w:r w:rsidR="00B46EF1" w:rsidRPr="00D15A29">
        <w:rPr>
          <w:rFonts w:ascii="Avenir LT 65 Medium" w:eastAsia="Times New Roman" w:hAnsi="Avenir LT 65 Medium" w:cs="Times New Roman"/>
          <w:bCs/>
          <w:color w:val="000000"/>
          <w:sz w:val="22"/>
        </w:rPr>
        <w:t>Construction of New Buildings</w:t>
      </w:r>
      <w:bookmarkEnd w:id="453"/>
    </w:p>
    <w:p w14:paraId="44011C48" w14:textId="77777777" w:rsidR="00B46EF1" w:rsidRPr="00D15A29" w:rsidRDefault="00D15A29" w:rsidP="00D15A29">
      <w:pPr>
        <w:pStyle w:val="Heading3"/>
        <w:keepNext w:val="0"/>
        <w:keepLines w:val="0"/>
        <w:tabs>
          <w:tab w:val="left" w:pos="1418"/>
        </w:tabs>
        <w:autoSpaceDE w:val="0"/>
        <w:autoSpaceDN w:val="0"/>
        <w:spacing w:before="0" w:after="200" w:line="360" w:lineRule="auto"/>
        <w:jc w:val="both"/>
        <w:rPr>
          <w:rFonts w:ascii="Avenir LT 65 Medium" w:eastAsia="Times New Roman" w:hAnsi="Avenir LT 65 Medium" w:cs="Times New Roman"/>
          <w:bCs/>
          <w:color w:val="000000"/>
          <w:sz w:val="22"/>
        </w:rPr>
      </w:pPr>
      <w:r>
        <w:rPr>
          <w:rFonts w:ascii="Avenir LT 65 Medium" w:eastAsia="Times New Roman" w:hAnsi="Avenir LT 65 Medium" w:cs="Times New Roman"/>
          <w:bCs/>
          <w:color w:val="000000"/>
          <w:sz w:val="22"/>
        </w:rPr>
        <w:t>3.7.6.1</w:t>
      </w:r>
      <w:r>
        <w:rPr>
          <w:rFonts w:ascii="Avenir LT 65 Medium" w:eastAsia="Times New Roman" w:hAnsi="Avenir LT 65 Medium" w:cs="Times New Roman"/>
          <w:bCs/>
          <w:color w:val="000000"/>
          <w:sz w:val="22"/>
        </w:rPr>
        <w:tab/>
      </w:r>
      <w:r w:rsidR="00B46EF1" w:rsidRPr="00D15A29">
        <w:rPr>
          <w:rFonts w:ascii="Avenir LT 65 Medium" w:eastAsia="Times New Roman" w:hAnsi="Avenir LT 65 Medium" w:cs="Times New Roman"/>
          <w:bCs/>
          <w:color w:val="000000"/>
          <w:sz w:val="22"/>
        </w:rPr>
        <w:t>Statement</w:t>
      </w:r>
    </w:p>
    <w:p w14:paraId="79A6E1C0" w14:textId="77777777" w:rsidR="00B46EF1" w:rsidRPr="00D15A29" w:rsidRDefault="00B46EF1" w:rsidP="00D15A29">
      <w:pPr>
        <w:spacing w:line="360" w:lineRule="auto"/>
        <w:rPr>
          <w:rFonts w:ascii="Avenir LT 45 Book" w:eastAsia="Calibri" w:hAnsi="Avenir LT 45 Book"/>
          <w:i/>
          <w:sz w:val="20"/>
          <w:szCs w:val="20"/>
        </w:rPr>
      </w:pPr>
      <w:r w:rsidRPr="00D15A29">
        <w:rPr>
          <w:rFonts w:ascii="Avenir LT 45 Book" w:eastAsia="Calibri" w:hAnsi="Avenir LT 45 Book"/>
          <w:i/>
          <w:sz w:val="20"/>
          <w:szCs w:val="20"/>
        </w:rPr>
        <w:t>The building fabric of the Policy Area is from the late 1890s to the present day.  The successive layers of buildings and styles contribute to the significance and character of the Policy Area.</w:t>
      </w:r>
    </w:p>
    <w:p w14:paraId="122F7CA9" w14:textId="77777777" w:rsidR="00A903A5" w:rsidRDefault="00B46EF1" w:rsidP="00D15A29">
      <w:pPr>
        <w:spacing w:line="360" w:lineRule="auto"/>
        <w:rPr>
          <w:rFonts w:ascii="Avenir LT 45 Book" w:eastAsia="Calibri" w:hAnsi="Avenir LT 45 Book"/>
          <w:i/>
          <w:sz w:val="20"/>
          <w:szCs w:val="20"/>
        </w:rPr>
      </w:pPr>
      <w:r w:rsidRPr="00D15A29">
        <w:rPr>
          <w:rFonts w:ascii="Avenir LT 45 Book" w:eastAsia="Calibri" w:hAnsi="Avenir LT 45 Book"/>
          <w:i/>
          <w:sz w:val="20"/>
          <w:szCs w:val="20"/>
        </w:rPr>
        <w:t xml:space="preserve">New developments should respect the immediate locality and should not replicate traditional building forms.  Faux (refer glossary) or imitation heritage buildings should be avoided.  </w:t>
      </w:r>
      <w:proofErr w:type="gramStart"/>
      <w:r w:rsidRPr="00D15A29">
        <w:rPr>
          <w:rFonts w:ascii="Avenir LT 45 Book" w:eastAsia="Calibri" w:hAnsi="Avenir LT 45 Book"/>
          <w:i/>
          <w:sz w:val="20"/>
          <w:szCs w:val="20"/>
        </w:rPr>
        <w:t>Generally</w:t>
      </w:r>
      <w:proofErr w:type="gramEnd"/>
      <w:r w:rsidRPr="00D15A29">
        <w:rPr>
          <w:rFonts w:ascii="Avenir LT 45 Book" w:eastAsia="Calibri" w:hAnsi="Avenir LT 45 Book"/>
          <w:i/>
          <w:sz w:val="20"/>
          <w:szCs w:val="20"/>
        </w:rPr>
        <w:t xml:space="preserve"> this type of design is unconvincing in comparison to the original historic types and devalues the authentic buildings.  Designs that do not follow the established pattern in terms of form, scale, bulk, or other design features shall not be supported.</w:t>
      </w:r>
    </w:p>
    <w:p w14:paraId="42CE2740" w14:textId="77777777" w:rsidR="00A903A5" w:rsidRDefault="00A903A5" w:rsidP="00A903A5">
      <w:r>
        <w:br w:type="page"/>
      </w:r>
    </w:p>
    <w:p w14:paraId="79C4A381" w14:textId="77777777" w:rsidR="00B46EF1" w:rsidRPr="00D15A29" w:rsidRDefault="00B46EF1" w:rsidP="00D15A29">
      <w:pPr>
        <w:spacing w:line="360" w:lineRule="auto"/>
        <w:rPr>
          <w:rFonts w:ascii="Avenir LT 45 Book" w:eastAsia="Calibri" w:hAnsi="Avenir LT 45 Book"/>
          <w:i/>
          <w:sz w:val="20"/>
          <w:szCs w:val="20"/>
        </w:rPr>
      </w:pPr>
      <w:r w:rsidRPr="00D15A29">
        <w:rPr>
          <w:rFonts w:ascii="Avenir LT 45 Book" w:eastAsia="Calibri" w:hAnsi="Avenir LT 45 Book"/>
          <w:i/>
          <w:sz w:val="20"/>
          <w:szCs w:val="20"/>
        </w:rPr>
        <w:lastRenderedPageBreak/>
        <w:t>Where relevant, viewsheds may be significant and a study may be required by Council to demonstrate compatibility with viewsheds.  Precincts where this is most likely to be a requirement include Riverside, Preston Point and Richmond Hill north abutting Preston Point Road.</w:t>
      </w:r>
    </w:p>
    <w:p w14:paraId="07C1833A" w14:textId="77777777" w:rsidR="00B46EF1" w:rsidRPr="00842387" w:rsidRDefault="00B46EF1" w:rsidP="00B46EF1">
      <w:r>
        <w:rPr>
          <w:noProof/>
          <w:lang w:eastAsia="en-AU"/>
        </w:rPr>
        <w:drawing>
          <wp:inline distT="0" distB="0" distL="0" distR="0" wp14:anchorId="59CC5A3D" wp14:editId="0FAEB1F3">
            <wp:extent cx="2524125" cy="1800225"/>
            <wp:effectExtent l="19050" t="0" r="9525" b="0"/>
            <wp:docPr id="130" name="Picture 20" descr="Z:\2011 JOBS\11206-EAST FREMANTLE GUIDELINES\11206-PHOTOS\PROCESSED\WOODSIDE\36 IRWIN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2011 JOBS\11206-EAST FREMANTLE GUIDELINES\11206-PHOTOS\PROCESSED\WOODSIDE\36 IRWIN ST.jpg"/>
                    <pic:cNvPicPr>
                      <a:picLocks noChangeAspect="1" noChangeArrowheads="1"/>
                    </pic:cNvPicPr>
                  </pic:nvPicPr>
                  <pic:blipFill>
                    <a:blip r:embed="rId186"/>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3BED7E4F" wp14:editId="21137E09">
            <wp:extent cx="2524125" cy="1800225"/>
            <wp:effectExtent l="19050" t="0" r="9525" b="0"/>
            <wp:docPr id="131" name="Picture 21" descr="Z:\2011 JOBS\11206-EAST FREMANTLE GUIDELINES\11206-PHOTOS\PROCESSED\RICHMOND HILL\52 PI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2011 JOBS\11206-EAST FREMANTLE GUIDELINES\11206-PHOTOS\PROCESSED\RICHMOND HILL\52 PIER STREET.jpg"/>
                    <pic:cNvPicPr>
                      <a:picLocks noChangeAspect="1" noChangeArrowheads="1"/>
                    </pic:cNvPicPr>
                  </pic:nvPicPr>
                  <pic:blipFill>
                    <a:blip r:embed="rId187"/>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25D4092F" w14:textId="77777777" w:rsidR="00B46EF1" w:rsidRPr="00D15A29" w:rsidRDefault="00D15A29" w:rsidP="00D15A29">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3.7.6.2</w:t>
      </w:r>
      <w:r>
        <w:rPr>
          <w:rFonts w:ascii="Avenir LT 65 Medium" w:hAnsi="Avenir LT 65 Medium"/>
          <w:bCs/>
          <w:i w:val="0"/>
          <w:color w:val="auto"/>
        </w:rPr>
        <w:tab/>
      </w:r>
      <w:r w:rsidR="00B46EF1" w:rsidRPr="00D15A29">
        <w:rPr>
          <w:rFonts w:ascii="Avenir LT 65 Medium" w:hAnsi="Avenir LT 65 Medium"/>
          <w:bCs/>
          <w:i w:val="0"/>
          <w:color w:val="auto"/>
        </w:rPr>
        <w:t>Desired Development Outcomes</w:t>
      </w:r>
    </w:p>
    <w:p w14:paraId="527123FE" w14:textId="77777777" w:rsidR="00B46EF1" w:rsidRPr="00D15A29" w:rsidRDefault="00B46EF1" w:rsidP="002A3889">
      <w:pPr>
        <w:pStyle w:val="ListParagraph"/>
        <w:numPr>
          <w:ilvl w:val="0"/>
          <w:numId w:val="146"/>
        </w:numPr>
        <w:spacing w:line="360" w:lineRule="auto"/>
        <w:ind w:left="714" w:hanging="357"/>
        <w:contextualSpacing w:val="0"/>
        <w:rPr>
          <w:rFonts w:ascii="Avenir LT 45 Book" w:eastAsia="Calibri" w:hAnsi="Avenir LT 45 Book" w:cs="Times New Roman"/>
          <w:sz w:val="20"/>
        </w:rPr>
      </w:pPr>
      <w:r w:rsidRPr="00D15A29">
        <w:rPr>
          <w:rFonts w:ascii="Avenir LT 45 Book" w:eastAsia="Calibri" w:hAnsi="Avenir LT 45 Book" w:cs="Times New Roman"/>
          <w:sz w:val="20"/>
        </w:rPr>
        <w:t>New developments should not replicate traditional building form (refer note 2 below</w:t>
      </w:r>
      <w:proofErr w:type="gramStart"/>
      <w:r w:rsidRPr="00D15A29">
        <w:rPr>
          <w:rFonts w:ascii="Avenir LT 45 Book" w:eastAsia="Calibri" w:hAnsi="Avenir LT 45 Book" w:cs="Times New Roman"/>
          <w:sz w:val="20"/>
        </w:rPr>
        <w:t>);</w:t>
      </w:r>
      <w:proofErr w:type="gramEnd"/>
    </w:p>
    <w:p w14:paraId="597EB1E5" w14:textId="77777777" w:rsidR="00B46EF1" w:rsidRPr="00D15A29" w:rsidRDefault="00B46EF1" w:rsidP="002A3889">
      <w:pPr>
        <w:pStyle w:val="ListParagraph"/>
        <w:numPr>
          <w:ilvl w:val="0"/>
          <w:numId w:val="146"/>
        </w:numPr>
        <w:spacing w:line="360" w:lineRule="auto"/>
        <w:ind w:left="714" w:hanging="357"/>
        <w:contextualSpacing w:val="0"/>
        <w:rPr>
          <w:rFonts w:ascii="Avenir LT 45 Book" w:eastAsia="Calibri" w:hAnsi="Avenir LT 45 Book" w:cs="Times New Roman"/>
          <w:sz w:val="20"/>
        </w:rPr>
      </w:pPr>
      <w:r w:rsidRPr="00D15A29">
        <w:rPr>
          <w:rFonts w:ascii="Avenir LT 45 Book" w:eastAsia="Calibri" w:hAnsi="Avenir LT 45 Book" w:cs="Times New Roman"/>
          <w:sz w:val="20"/>
        </w:rPr>
        <w:t>New developments should respect and reflect the established development pattern; and,</w:t>
      </w:r>
    </w:p>
    <w:p w14:paraId="6C7B8A3C" w14:textId="77777777" w:rsidR="00B46EF1" w:rsidRPr="00D15A29" w:rsidRDefault="00B46EF1" w:rsidP="002A3889">
      <w:pPr>
        <w:pStyle w:val="ListParagraph"/>
        <w:numPr>
          <w:ilvl w:val="0"/>
          <w:numId w:val="146"/>
        </w:numPr>
        <w:spacing w:line="360" w:lineRule="auto"/>
        <w:ind w:left="714" w:hanging="357"/>
        <w:contextualSpacing w:val="0"/>
        <w:rPr>
          <w:rFonts w:ascii="Avenir LT 45 Book" w:eastAsia="Calibri" w:hAnsi="Avenir LT 45 Book" w:cs="Times New Roman"/>
          <w:sz w:val="20"/>
        </w:rPr>
      </w:pPr>
      <w:r w:rsidRPr="00D15A29">
        <w:rPr>
          <w:rFonts w:ascii="Avenir LT 45 Book" w:eastAsia="Calibri" w:hAnsi="Avenir LT 45 Book" w:cs="Times New Roman"/>
          <w:sz w:val="20"/>
        </w:rPr>
        <w:t>New developments should not negatively impact on the streetscape character.</w:t>
      </w:r>
    </w:p>
    <w:p w14:paraId="5A731D27" w14:textId="77777777" w:rsidR="00D15A29" w:rsidRDefault="00B46EF1" w:rsidP="00B46EF1">
      <w:pPr>
        <w:ind w:left="851" w:hanging="851"/>
        <w:rPr>
          <w:rFonts w:ascii="Avenir LT 45 Book" w:eastAsia="Calibri" w:hAnsi="Avenir LT 45 Book"/>
          <w:sz w:val="20"/>
        </w:rPr>
      </w:pPr>
      <w:r w:rsidRPr="00D15A29">
        <w:rPr>
          <w:rFonts w:ascii="Avenir LT 65 Medium" w:eastAsia="Calibri" w:hAnsi="Avenir LT 65 Medium"/>
          <w:sz w:val="20"/>
        </w:rPr>
        <w:t>NOTE 1:</w:t>
      </w:r>
      <w:r w:rsidRPr="00842387">
        <w:t xml:space="preserve">  </w:t>
      </w:r>
      <w:r w:rsidRPr="00D15A29">
        <w:rPr>
          <w:rFonts w:ascii="Avenir LT 45 Book" w:eastAsia="Calibri" w:hAnsi="Avenir LT 45 Book"/>
          <w:sz w:val="20"/>
        </w:rPr>
        <w:t>Applications for planning approval for new buildings are to comply with all other design elements of this LPP.</w:t>
      </w:r>
    </w:p>
    <w:p w14:paraId="0D3236AA" w14:textId="77777777" w:rsidR="00B46EF1" w:rsidRPr="00842387" w:rsidRDefault="00B46EF1" w:rsidP="00B46EF1">
      <w:pPr>
        <w:ind w:left="851" w:hanging="851"/>
      </w:pPr>
      <w:r w:rsidRPr="00D15A29">
        <w:rPr>
          <w:rFonts w:ascii="Avenir LT 65 Medium" w:eastAsia="Calibri" w:hAnsi="Avenir LT 65 Medium"/>
          <w:sz w:val="20"/>
        </w:rPr>
        <w:t>NOTE 2:</w:t>
      </w:r>
      <w:r w:rsidRPr="00842387">
        <w:t xml:space="preserve">  </w:t>
      </w:r>
      <w:r w:rsidRPr="00D15A29">
        <w:rPr>
          <w:rFonts w:ascii="Avenir LT 45 Book" w:eastAsia="Calibri" w:hAnsi="Avenir LT 45 Book"/>
          <w:sz w:val="20"/>
        </w:rPr>
        <w:t xml:space="preserve">For </w:t>
      </w:r>
      <w:proofErr w:type="gramStart"/>
      <w:r w:rsidRPr="00D15A29">
        <w:rPr>
          <w:rFonts w:ascii="Avenir LT 45 Book" w:eastAsia="Calibri" w:hAnsi="Avenir LT 45 Book"/>
          <w:sz w:val="20"/>
        </w:rPr>
        <w:t>example</w:t>
      </w:r>
      <w:proofErr w:type="gramEnd"/>
      <w:r w:rsidRPr="00D15A29">
        <w:rPr>
          <w:rFonts w:ascii="Avenir LT 45 Book" w:eastAsia="Calibri" w:hAnsi="Avenir LT 45 Book"/>
          <w:sz w:val="20"/>
        </w:rPr>
        <w:t xml:space="preserve"> where the immediate locality is of traditional built form, such as Interwar Californian Bungalows, new developments should be of a contemporary style without traditional influences.  New </w:t>
      </w:r>
      <w:proofErr w:type="gramStart"/>
      <w:r w:rsidRPr="00D15A29">
        <w:rPr>
          <w:rFonts w:ascii="Avenir LT 45 Book" w:eastAsia="Calibri" w:hAnsi="Avenir LT 45 Book"/>
          <w:sz w:val="20"/>
        </w:rPr>
        <w:t>developments</w:t>
      </w:r>
      <w:proofErr w:type="gramEnd"/>
      <w:r w:rsidRPr="00D15A29">
        <w:rPr>
          <w:rFonts w:ascii="Avenir LT 45 Book" w:eastAsia="Calibri" w:hAnsi="Avenir LT 45 Book"/>
          <w:sz w:val="20"/>
        </w:rPr>
        <w:t xml:space="preserve"> however, should reflect the traditional setbacks, scale and bulk of the traditional buildings.</w:t>
      </w:r>
    </w:p>
    <w:p w14:paraId="5A67D4E6" w14:textId="77777777" w:rsidR="00B46EF1" w:rsidRPr="00842387" w:rsidRDefault="00B46EF1" w:rsidP="00B46EF1">
      <w:r w:rsidRPr="00842387">
        <w:rPr>
          <w:noProof/>
          <w:lang w:eastAsia="en-AU"/>
        </w:rPr>
        <w:drawing>
          <wp:inline distT="0" distB="0" distL="0" distR="0" wp14:anchorId="03D6D0E0" wp14:editId="6317DE4A">
            <wp:extent cx="5868035" cy="1862264"/>
            <wp:effectExtent l="19050" t="0" r="0" b="0"/>
            <wp:docPr id="132" name="Picture 55" descr="FAUX HERITAG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UX HERITAGE.eps"/>
                    <pic:cNvPicPr/>
                  </pic:nvPicPr>
                  <pic:blipFill>
                    <a:blip r:embed="rId188"/>
                    <a:stretch>
                      <a:fillRect/>
                    </a:stretch>
                  </pic:blipFill>
                  <pic:spPr>
                    <a:xfrm>
                      <a:off x="0" y="0"/>
                      <a:ext cx="5868035" cy="1862264"/>
                    </a:xfrm>
                    <a:prstGeom prst="rect">
                      <a:avLst/>
                    </a:prstGeom>
                  </pic:spPr>
                </pic:pic>
              </a:graphicData>
            </a:graphic>
          </wp:inline>
        </w:drawing>
      </w:r>
    </w:p>
    <w:p w14:paraId="5C5F5DC9" w14:textId="77777777" w:rsidR="00A903A5" w:rsidRDefault="00B46EF1" w:rsidP="00D15A29">
      <w:pPr>
        <w:pStyle w:val="Heading4"/>
        <w:tabs>
          <w:tab w:val="left" w:pos="1418"/>
        </w:tabs>
        <w:spacing w:before="120" w:after="200" w:line="360" w:lineRule="auto"/>
        <w:rPr>
          <w:rFonts w:ascii="Avenir LT 45 Book" w:eastAsia="Calibri" w:hAnsi="Avenir LT 45 Book" w:cstheme="minorBidi"/>
          <w:i w:val="0"/>
          <w:iCs w:val="0"/>
          <w:color w:val="auto"/>
          <w:sz w:val="20"/>
        </w:rPr>
      </w:pPr>
      <w:r w:rsidRPr="00D15A29">
        <w:rPr>
          <w:rFonts w:ascii="Avenir LT 65 Medium" w:eastAsia="Calibri" w:hAnsi="Avenir LT 65 Medium" w:cstheme="minorBidi"/>
          <w:i w:val="0"/>
          <w:iCs w:val="0"/>
          <w:color w:val="auto"/>
          <w:sz w:val="20"/>
        </w:rPr>
        <w:t>Figure 12</w:t>
      </w:r>
      <w:r w:rsidRPr="00842387">
        <w:t xml:space="preserve"> </w:t>
      </w:r>
      <w:r w:rsidRPr="00D15A29">
        <w:rPr>
          <w:rFonts w:ascii="Avenir LT 45 Book" w:eastAsia="Calibri" w:hAnsi="Avenir LT 45 Book" w:cstheme="minorBidi"/>
          <w:i w:val="0"/>
          <w:iCs w:val="0"/>
          <w:color w:val="auto"/>
          <w:sz w:val="20"/>
        </w:rPr>
        <w:t>– Street elevation illustrating incompatible faux heritage development – Griffiths Architects 2012.  Faux styles devalue the authentic places.  Contemporary requirements associated with new homes, results in faux heritage not having the same qualities as authentic places.</w:t>
      </w:r>
    </w:p>
    <w:p w14:paraId="519DC6E1" w14:textId="77777777" w:rsidR="00A903A5" w:rsidRDefault="00A903A5" w:rsidP="00A903A5">
      <w:r>
        <w:br w:type="page"/>
      </w:r>
    </w:p>
    <w:p w14:paraId="2CE37DEE" w14:textId="77777777" w:rsidR="00B46EF1" w:rsidRPr="00D15A29" w:rsidRDefault="00D15A29" w:rsidP="00D15A29">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lastRenderedPageBreak/>
        <w:t>3.7.6.3</w:t>
      </w:r>
      <w:r>
        <w:rPr>
          <w:rFonts w:ascii="Avenir LT 65 Medium" w:hAnsi="Avenir LT 65 Medium"/>
          <w:bCs/>
          <w:i w:val="0"/>
          <w:color w:val="auto"/>
        </w:rPr>
        <w:tab/>
      </w:r>
      <w:r w:rsidR="00B46EF1" w:rsidRPr="00D15A29">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0"/>
        <w:gridCol w:w="4516"/>
      </w:tblGrid>
      <w:tr w:rsidR="00B46EF1" w:rsidRPr="00842387" w14:paraId="40B77508" w14:textId="77777777" w:rsidTr="008048CE">
        <w:tc>
          <w:tcPr>
            <w:tcW w:w="4621" w:type="dxa"/>
          </w:tcPr>
          <w:p w14:paraId="2E62E549" w14:textId="77777777" w:rsidR="00B46EF1" w:rsidRDefault="00B46EF1" w:rsidP="008048CE">
            <w:pPr>
              <w:rPr>
                <w:rFonts w:ascii="Avenir LT 65 Medium" w:hAnsi="Avenir LT 65 Medium" w:cs="Times New Roman"/>
              </w:rPr>
            </w:pPr>
            <w:r w:rsidRPr="00842387">
              <w:rPr>
                <w:rFonts w:ascii="Avenir LT 65 Medium" w:hAnsi="Avenir LT 65 Medium"/>
              </w:rPr>
              <w:t>Performance Criteria</w:t>
            </w:r>
          </w:p>
        </w:tc>
        <w:tc>
          <w:tcPr>
            <w:tcW w:w="4621" w:type="dxa"/>
          </w:tcPr>
          <w:p w14:paraId="2302E27C" w14:textId="77777777" w:rsidR="00B46EF1" w:rsidRDefault="00B46EF1" w:rsidP="008048CE">
            <w:pPr>
              <w:rPr>
                <w:rFonts w:cs="Times New Roman"/>
              </w:rPr>
            </w:pPr>
            <w:r w:rsidRPr="00842387">
              <w:rPr>
                <w:rFonts w:ascii="Avenir LT 65 Medium" w:hAnsi="Avenir LT 65 Medium"/>
              </w:rPr>
              <w:t>Acceptable Development Provisions</w:t>
            </w:r>
          </w:p>
        </w:tc>
      </w:tr>
      <w:tr w:rsidR="00B46EF1" w:rsidRPr="00842387" w14:paraId="4B3B20F3" w14:textId="77777777" w:rsidTr="008048CE">
        <w:trPr>
          <w:trHeight w:val="976"/>
        </w:trPr>
        <w:tc>
          <w:tcPr>
            <w:tcW w:w="4621" w:type="dxa"/>
            <w:tcBorders>
              <w:bottom w:val="nil"/>
            </w:tcBorders>
          </w:tcPr>
          <w:p w14:paraId="59118068" w14:textId="77777777" w:rsidR="00B46EF1" w:rsidRDefault="00B46EF1" w:rsidP="008048CE">
            <w:pPr>
              <w:spacing w:before="120"/>
              <w:rPr>
                <w:rFonts w:cs="Times New Roman"/>
              </w:rPr>
            </w:pPr>
            <w:r w:rsidRPr="00842387">
              <w:rPr>
                <w:rFonts w:ascii="Avenir LT 65 Medium" w:hAnsi="Avenir LT 65 Medium"/>
              </w:rPr>
              <w:t>All Dwellings</w:t>
            </w:r>
          </w:p>
          <w:p w14:paraId="0F780115" w14:textId="77777777" w:rsidR="00B46EF1" w:rsidRDefault="00B46EF1" w:rsidP="002A3889">
            <w:pPr>
              <w:pStyle w:val="ListParagraph"/>
              <w:numPr>
                <w:ilvl w:val="0"/>
                <w:numId w:val="147"/>
              </w:numPr>
              <w:spacing w:before="120" w:line="360" w:lineRule="auto"/>
              <w:contextualSpacing w:val="0"/>
            </w:pPr>
            <w:r w:rsidRPr="00D15A29">
              <w:rPr>
                <w:rFonts w:ascii="Avenir LT 45 Book" w:eastAsia="Calibri" w:hAnsi="Avenir LT 45 Book" w:cs="Times New Roman"/>
                <w:sz w:val="20"/>
              </w:rPr>
              <w:t>New buildings are to be designed and constructed in a style compatible with, but which does not overtly mimic, the traditional building styles found in the Town.</w:t>
            </w:r>
          </w:p>
        </w:tc>
        <w:tc>
          <w:tcPr>
            <w:tcW w:w="4621" w:type="dxa"/>
            <w:tcBorders>
              <w:bottom w:val="nil"/>
            </w:tcBorders>
          </w:tcPr>
          <w:p w14:paraId="09CE3A4E" w14:textId="77777777" w:rsidR="00B46EF1" w:rsidRDefault="00B46EF1" w:rsidP="008048CE">
            <w:pPr>
              <w:spacing w:before="120"/>
              <w:rPr>
                <w:rFonts w:cs="Times New Roman"/>
              </w:rPr>
            </w:pPr>
            <w:r w:rsidRPr="00842387">
              <w:rPr>
                <w:rFonts w:ascii="Avenir LT 65 Medium" w:hAnsi="Avenir LT 65 Medium"/>
              </w:rPr>
              <w:t>All Dwellings</w:t>
            </w:r>
          </w:p>
          <w:p w14:paraId="479F743D" w14:textId="77777777" w:rsidR="00B46EF1" w:rsidRDefault="00B46EF1" w:rsidP="002A3889">
            <w:pPr>
              <w:pStyle w:val="ListParagraph"/>
              <w:numPr>
                <w:ilvl w:val="0"/>
                <w:numId w:val="148"/>
              </w:numPr>
              <w:spacing w:before="120" w:line="360" w:lineRule="auto"/>
              <w:contextualSpacing w:val="0"/>
            </w:pPr>
            <w:r w:rsidRPr="00D15A29">
              <w:rPr>
                <w:rFonts w:ascii="Avenir LT 45 Book" w:eastAsia="Calibri" w:hAnsi="Avenir LT 45 Book" w:cs="Times New Roman"/>
                <w:sz w:val="20"/>
              </w:rPr>
              <w:t>Developments to comply with all design elements of this Local Planning Policy and are compatible with the context in terms of bulk, scale, materials and design.</w:t>
            </w:r>
          </w:p>
        </w:tc>
      </w:tr>
      <w:tr w:rsidR="00B46EF1" w:rsidRPr="00842387" w14:paraId="58B882C3" w14:textId="77777777" w:rsidTr="008048CE">
        <w:trPr>
          <w:trHeight w:val="976"/>
        </w:trPr>
        <w:tc>
          <w:tcPr>
            <w:tcW w:w="4621" w:type="dxa"/>
            <w:tcBorders>
              <w:top w:val="nil"/>
              <w:bottom w:val="nil"/>
            </w:tcBorders>
          </w:tcPr>
          <w:p w14:paraId="366BED7C" w14:textId="77777777" w:rsidR="00B46EF1" w:rsidRDefault="00B46EF1" w:rsidP="002A3889">
            <w:pPr>
              <w:pStyle w:val="ListParagraph"/>
              <w:numPr>
                <w:ilvl w:val="0"/>
                <w:numId w:val="147"/>
              </w:numPr>
              <w:spacing w:line="360" w:lineRule="auto"/>
              <w:rPr>
                <w:rFonts w:ascii="Avenir LT 65 Medium" w:hAnsi="Avenir LT 65 Medium"/>
              </w:rPr>
            </w:pPr>
            <w:r w:rsidRPr="00D15A29">
              <w:rPr>
                <w:rFonts w:ascii="Avenir LT 45 Book" w:eastAsia="Calibri" w:hAnsi="Avenir LT 45 Book" w:cs="Times New Roman"/>
                <w:sz w:val="20"/>
              </w:rPr>
              <w:t>New buildings shall be compatible with and not adversely impact the view sheds in the Town.</w:t>
            </w:r>
          </w:p>
        </w:tc>
        <w:tc>
          <w:tcPr>
            <w:tcW w:w="4621" w:type="dxa"/>
            <w:tcBorders>
              <w:top w:val="nil"/>
              <w:bottom w:val="nil"/>
            </w:tcBorders>
          </w:tcPr>
          <w:p w14:paraId="65827467" w14:textId="77777777" w:rsidR="00B46EF1" w:rsidRPr="00E10E8A" w:rsidRDefault="00B46EF1" w:rsidP="002A3889">
            <w:pPr>
              <w:pStyle w:val="ListParagraph"/>
              <w:numPr>
                <w:ilvl w:val="0"/>
                <w:numId w:val="148"/>
              </w:numPr>
              <w:spacing w:before="120" w:line="360" w:lineRule="auto"/>
            </w:pPr>
            <w:r w:rsidRPr="00D15A29">
              <w:rPr>
                <w:rFonts w:ascii="Avenir LT 45 Book" w:eastAsia="Calibri" w:hAnsi="Avenir LT 45 Book" w:cs="Times New Roman"/>
                <w:sz w:val="20"/>
              </w:rPr>
              <w:t>Relevant information demonstrating development compatibility with existing view sheds.  This is to include a photo montage of the proposed development within the existing viewshed.</w:t>
            </w:r>
          </w:p>
        </w:tc>
      </w:tr>
    </w:tbl>
    <w:p w14:paraId="397D4988" w14:textId="77777777" w:rsidR="00B46EF1" w:rsidRPr="00D15A29" w:rsidRDefault="00D15A29" w:rsidP="00D15A29">
      <w:pPr>
        <w:pStyle w:val="Heading3"/>
        <w:keepNext w:val="0"/>
        <w:keepLines w:val="0"/>
        <w:tabs>
          <w:tab w:val="left" w:pos="1418"/>
        </w:tabs>
        <w:autoSpaceDE w:val="0"/>
        <w:autoSpaceDN w:val="0"/>
        <w:spacing w:before="360" w:after="200" w:line="360" w:lineRule="auto"/>
        <w:jc w:val="both"/>
        <w:rPr>
          <w:rFonts w:ascii="Avenir LT 65 Medium" w:eastAsia="Times New Roman" w:hAnsi="Avenir LT 65 Medium" w:cs="Times New Roman"/>
          <w:bCs/>
          <w:color w:val="000000"/>
          <w:sz w:val="22"/>
        </w:rPr>
      </w:pPr>
      <w:bookmarkStart w:id="454" w:name="_Toc452727437"/>
      <w:r>
        <w:rPr>
          <w:rFonts w:ascii="Avenir LT 65 Medium" w:eastAsia="Times New Roman" w:hAnsi="Avenir LT 65 Medium" w:cs="Times New Roman"/>
          <w:bCs/>
          <w:color w:val="000000"/>
          <w:sz w:val="22"/>
        </w:rPr>
        <w:t>3.7.7</w:t>
      </w:r>
      <w:r>
        <w:rPr>
          <w:rFonts w:ascii="Avenir LT 65 Medium" w:eastAsia="Times New Roman" w:hAnsi="Avenir LT 65 Medium" w:cs="Times New Roman"/>
          <w:bCs/>
          <w:color w:val="000000"/>
          <w:sz w:val="22"/>
        </w:rPr>
        <w:tab/>
      </w:r>
      <w:r w:rsidR="00B46EF1" w:rsidRPr="00D15A29">
        <w:rPr>
          <w:rFonts w:ascii="Avenir LT 65 Medium" w:eastAsia="Times New Roman" w:hAnsi="Avenir LT 65 Medium" w:cs="Times New Roman"/>
          <w:bCs/>
          <w:color w:val="000000"/>
          <w:sz w:val="22"/>
        </w:rPr>
        <w:t>Building Setbacks and Orientation</w:t>
      </w:r>
      <w:bookmarkEnd w:id="454"/>
    </w:p>
    <w:p w14:paraId="167AC651" w14:textId="77777777" w:rsidR="00B46EF1" w:rsidRPr="00D15A29" w:rsidRDefault="00D15A29" w:rsidP="00D15A29">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3.7.7.1</w:t>
      </w:r>
      <w:r>
        <w:rPr>
          <w:rFonts w:ascii="Avenir LT 65 Medium" w:hAnsi="Avenir LT 65 Medium"/>
          <w:bCs/>
          <w:i w:val="0"/>
          <w:color w:val="auto"/>
        </w:rPr>
        <w:tab/>
      </w:r>
      <w:r w:rsidR="00B46EF1" w:rsidRPr="00D15A29">
        <w:rPr>
          <w:rFonts w:ascii="Avenir LT 65 Medium" w:hAnsi="Avenir LT 65 Medium"/>
          <w:bCs/>
          <w:i w:val="0"/>
          <w:color w:val="auto"/>
        </w:rPr>
        <w:t>Statement</w:t>
      </w:r>
    </w:p>
    <w:p w14:paraId="7F16D814" w14:textId="77777777" w:rsidR="00B46EF1" w:rsidRPr="00D15A29" w:rsidRDefault="00B46EF1" w:rsidP="00D15A29">
      <w:pPr>
        <w:spacing w:line="360" w:lineRule="auto"/>
        <w:rPr>
          <w:rFonts w:ascii="Avenir LT 45 Book" w:eastAsia="Calibri" w:hAnsi="Avenir LT 45 Book"/>
          <w:i/>
          <w:sz w:val="20"/>
          <w:szCs w:val="20"/>
        </w:rPr>
      </w:pPr>
      <w:r w:rsidRPr="00D15A29">
        <w:rPr>
          <w:rFonts w:ascii="Avenir LT 45 Book" w:eastAsia="Calibri" w:hAnsi="Avenir LT 45 Book"/>
          <w:i/>
          <w:sz w:val="20"/>
          <w:szCs w:val="20"/>
        </w:rPr>
        <w:t>The Policy Area has a predominantly grid-like pattern with residences addressing the street.  Buildings in the Precincts of Richmond Hill Riverside and Preston Point are also orientated to the Swan River where possible.  Setback patterns differ in each precinct but are predominantly consistent. The pattern of setback is critical to the character of each Precinct. While there are some variations between streets, there is little opportunity for development within the street setback area. Side setbacks are generally consistent within each Precinct.</w:t>
      </w:r>
    </w:p>
    <w:p w14:paraId="2A6C827C" w14:textId="77777777" w:rsidR="00B46EF1" w:rsidRPr="00842387" w:rsidRDefault="00B46EF1" w:rsidP="00B46EF1">
      <w:r>
        <w:rPr>
          <w:noProof/>
          <w:lang w:eastAsia="en-AU"/>
        </w:rPr>
        <w:drawing>
          <wp:inline distT="0" distB="0" distL="0" distR="0" wp14:anchorId="25B7B093" wp14:editId="12FDBC44">
            <wp:extent cx="5857875" cy="1028700"/>
            <wp:effectExtent l="19050" t="0" r="9525" b="0"/>
            <wp:docPr id="133" name="Picture 22" descr="Z:\2011 JOBS\11206-EAST FREMANTLE GUIDELINES\11206-PHOTOS\GLYDE STREET 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2011 JOBS\11206-EAST FREMANTLE GUIDELINES\11206-PHOTOS\GLYDE STREET STITCH.jpg"/>
                    <pic:cNvPicPr>
                      <a:picLocks noChangeAspect="1" noChangeArrowheads="1"/>
                    </pic:cNvPicPr>
                  </pic:nvPicPr>
                  <pic:blipFill>
                    <a:blip r:embed="rId189" cstate="print"/>
                    <a:srcRect/>
                    <a:stretch>
                      <a:fillRect/>
                    </a:stretch>
                  </pic:blipFill>
                  <pic:spPr bwMode="auto">
                    <a:xfrm>
                      <a:off x="0" y="0"/>
                      <a:ext cx="5857875" cy="1028700"/>
                    </a:xfrm>
                    <a:prstGeom prst="rect">
                      <a:avLst/>
                    </a:prstGeom>
                    <a:noFill/>
                    <a:ln w="9525">
                      <a:noFill/>
                      <a:miter lim="800000"/>
                      <a:headEnd/>
                      <a:tailEnd/>
                    </a:ln>
                  </pic:spPr>
                </pic:pic>
              </a:graphicData>
            </a:graphic>
          </wp:inline>
        </w:drawing>
      </w:r>
    </w:p>
    <w:p w14:paraId="1FD69568" w14:textId="77777777" w:rsidR="00B46EF1" w:rsidRPr="00D15A29" w:rsidRDefault="00D15A29" w:rsidP="00D15A29">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3.7.7.2</w:t>
      </w:r>
      <w:r>
        <w:rPr>
          <w:rFonts w:ascii="Avenir LT 65 Medium" w:hAnsi="Avenir LT 65 Medium"/>
          <w:bCs/>
          <w:i w:val="0"/>
          <w:color w:val="auto"/>
        </w:rPr>
        <w:tab/>
      </w:r>
      <w:r w:rsidR="00B46EF1" w:rsidRPr="00D15A29">
        <w:rPr>
          <w:rFonts w:ascii="Avenir LT 65 Medium" w:hAnsi="Avenir LT 65 Medium"/>
          <w:bCs/>
          <w:i w:val="0"/>
          <w:color w:val="auto"/>
        </w:rPr>
        <w:t>Desired Development Outcomes</w:t>
      </w:r>
    </w:p>
    <w:p w14:paraId="062E7FC4" w14:textId="77777777" w:rsidR="00B46EF1" w:rsidRPr="00D15A29" w:rsidRDefault="00B46EF1" w:rsidP="002A3889">
      <w:pPr>
        <w:pStyle w:val="ListParagraph"/>
        <w:numPr>
          <w:ilvl w:val="0"/>
          <w:numId w:val="149"/>
        </w:numPr>
        <w:spacing w:line="360" w:lineRule="auto"/>
        <w:ind w:left="714" w:hanging="357"/>
        <w:contextualSpacing w:val="0"/>
        <w:rPr>
          <w:rFonts w:ascii="Avenir LT 45 Book" w:eastAsia="Calibri" w:hAnsi="Avenir LT 45 Book" w:cs="Times New Roman"/>
          <w:sz w:val="20"/>
        </w:rPr>
      </w:pPr>
      <w:r w:rsidRPr="00D15A29">
        <w:rPr>
          <w:rFonts w:ascii="Avenir LT 45 Book" w:eastAsia="Calibri" w:hAnsi="Avenir LT 45 Book" w:cs="Times New Roman"/>
          <w:sz w:val="20"/>
        </w:rPr>
        <w:t>No additions to existing dwellings shall be constructed within the front setback area; and,</w:t>
      </w:r>
    </w:p>
    <w:p w14:paraId="40E83288" w14:textId="77777777" w:rsidR="00B46EF1" w:rsidRPr="00D15A29" w:rsidRDefault="00B46EF1" w:rsidP="002A3889">
      <w:pPr>
        <w:pStyle w:val="ListParagraph"/>
        <w:numPr>
          <w:ilvl w:val="0"/>
          <w:numId w:val="149"/>
        </w:numPr>
        <w:spacing w:line="360" w:lineRule="auto"/>
        <w:ind w:left="714" w:hanging="357"/>
        <w:contextualSpacing w:val="0"/>
        <w:rPr>
          <w:rFonts w:ascii="Avenir LT 45 Book" w:eastAsia="Calibri" w:hAnsi="Avenir LT 45 Book" w:cs="Times New Roman"/>
          <w:sz w:val="20"/>
        </w:rPr>
      </w:pPr>
      <w:r w:rsidRPr="00D15A29">
        <w:rPr>
          <w:rFonts w:ascii="Avenir LT 45 Book" w:eastAsia="Calibri" w:hAnsi="Avenir LT 45 Book" w:cs="Times New Roman"/>
          <w:sz w:val="20"/>
        </w:rPr>
        <w:t>New developments are to be constructed with front and side setbacks to match the traditional setbacks of the streetscapes.</w:t>
      </w:r>
    </w:p>
    <w:p w14:paraId="26E76B51" w14:textId="77777777" w:rsidR="00B46EF1" w:rsidRPr="00842387" w:rsidRDefault="00B46EF1" w:rsidP="00B46EF1">
      <w:pPr>
        <w:pStyle w:val="ListParagraph"/>
        <w:ind w:left="714"/>
        <w:contextualSpacing w:val="0"/>
      </w:pPr>
      <w:r w:rsidRPr="00842387">
        <w:rPr>
          <w:noProof/>
          <w:lang w:eastAsia="en-AU"/>
        </w:rPr>
        <w:lastRenderedPageBreak/>
        <w:drawing>
          <wp:inline distT="0" distB="0" distL="0" distR="0" wp14:anchorId="2B2C2D68" wp14:editId="58D6CB2B">
            <wp:extent cx="5314950" cy="6181725"/>
            <wp:effectExtent l="0" t="0" r="0" b="0"/>
            <wp:docPr id="159" name="Picture 42" descr="GARAGES 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2.eps"/>
                    <pic:cNvPicPr/>
                  </pic:nvPicPr>
                  <pic:blipFill>
                    <a:blip r:embed="rId190"/>
                    <a:stretch>
                      <a:fillRect/>
                    </a:stretch>
                  </pic:blipFill>
                  <pic:spPr>
                    <a:xfrm>
                      <a:off x="0" y="0"/>
                      <a:ext cx="5317316" cy="6184477"/>
                    </a:xfrm>
                    <a:prstGeom prst="rect">
                      <a:avLst/>
                    </a:prstGeom>
                  </pic:spPr>
                </pic:pic>
              </a:graphicData>
            </a:graphic>
          </wp:inline>
        </w:drawing>
      </w:r>
    </w:p>
    <w:p w14:paraId="170CC916" w14:textId="77777777" w:rsidR="00B46EF1" w:rsidRPr="00842387" w:rsidRDefault="00B46EF1" w:rsidP="00B46EF1">
      <w:pPr>
        <w:rPr>
          <w:i/>
        </w:rPr>
      </w:pPr>
      <w:r w:rsidRPr="00D15A29">
        <w:rPr>
          <w:rFonts w:ascii="Avenir LT 65 Medium" w:eastAsia="Calibri" w:hAnsi="Avenir LT 65 Medium"/>
          <w:sz w:val="20"/>
        </w:rPr>
        <w:t>Figure 13</w:t>
      </w:r>
      <w:r w:rsidRPr="00842387">
        <w:t xml:space="preserve"> – </w:t>
      </w:r>
      <w:r w:rsidRPr="00D15A29">
        <w:rPr>
          <w:rFonts w:ascii="Avenir LT 45 Book" w:eastAsia="Calibri" w:hAnsi="Avenir LT 45 Book"/>
          <w:sz w:val="20"/>
        </w:rPr>
        <w:t xml:space="preserve">Site plans illustrating existing setback patterns and compatible new developments – </w:t>
      </w:r>
      <w:r w:rsidRPr="00D15A29">
        <w:rPr>
          <w:rFonts w:ascii="Avenir LT 45 Book" w:eastAsia="Calibri" w:hAnsi="Avenir LT 45 Book"/>
          <w:i/>
          <w:sz w:val="20"/>
        </w:rPr>
        <w:t>Griffiths Architects 2012.</w:t>
      </w:r>
    </w:p>
    <w:p w14:paraId="608B0F7B" w14:textId="77777777" w:rsidR="00B46EF1" w:rsidRPr="00842387" w:rsidRDefault="00D15A29" w:rsidP="00D15A29">
      <w:pPr>
        <w:pStyle w:val="Heading4"/>
        <w:tabs>
          <w:tab w:val="left" w:pos="1418"/>
        </w:tabs>
        <w:spacing w:before="0" w:after="240"/>
      </w:pPr>
      <w:r>
        <w:rPr>
          <w:rFonts w:ascii="Avenir LT 65 Medium" w:hAnsi="Avenir LT 65 Medium"/>
          <w:bCs/>
          <w:i w:val="0"/>
          <w:color w:val="auto"/>
        </w:rPr>
        <w:t>3.7.7.3</w:t>
      </w:r>
      <w:r>
        <w:rPr>
          <w:rFonts w:ascii="Avenir LT 65 Medium" w:hAnsi="Avenir LT 65 Medium"/>
          <w:bCs/>
          <w:i w:val="0"/>
          <w:color w:val="auto"/>
        </w:rPr>
        <w:tab/>
      </w:r>
      <w:r w:rsidR="00B46EF1" w:rsidRPr="00D15A29">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04"/>
        <w:gridCol w:w="4522"/>
      </w:tblGrid>
      <w:tr w:rsidR="00B46EF1" w:rsidRPr="00842387" w14:paraId="081C1FC1" w14:textId="77777777" w:rsidTr="008048CE">
        <w:tc>
          <w:tcPr>
            <w:tcW w:w="4621" w:type="dxa"/>
            <w:tcBorders>
              <w:bottom w:val="single" w:sz="4" w:space="0" w:color="auto"/>
            </w:tcBorders>
          </w:tcPr>
          <w:p w14:paraId="51DDCE41"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Borders>
              <w:bottom w:val="single" w:sz="4" w:space="0" w:color="auto"/>
            </w:tcBorders>
          </w:tcPr>
          <w:p w14:paraId="453E7505" w14:textId="77777777" w:rsidR="00B46EF1" w:rsidRDefault="00B46EF1" w:rsidP="008048CE">
            <w:r w:rsidRPr="00842387">
              <w:rPr>
                <w:rFonts w:ascii="Avenir LT 65 Medium" w:hAnsi="Avenir LT 65 Medium"/>
              </w:rPr>
              <w:t>Acceptable Development Provisions</w:t>
            </w:r>
          </w:p>
        </w:tc>
      </w:tr>
      <w:tr w:rsidR="00B46EF1" w:rsidRPr="00842387" w14:paraId="65456908" w14:textId="77777777" w:rsidTr="008048CE">
        <w:tc>
          <w:tcPr>
            <w:tcW w:w="4621" w:type="dxa"/>
            <w:tcBorders>
              <w:top w:val="single" w:sz="4" w:space="0" w:color="auto"/>
            </w:tcBorders>
          </w:tcPr>
          <w:p w14:paraId="39FAE7E9" w14:textId="77777777" w:rsidR="00B46EF1" w:rsidRPr="00D15A29" w:rsidRDefault="00B46EF1" w:rsidP="002A3889">
            <w:pPr>
              <w:pStyle w:val="ListParagraph"/>
              <w:numPr>
                <w:ilvl w:val="1"/>
                <w:numId w:val="150"/>
              </w:numPr>
              <w:spacing w:before="120" w:line="360" w:lineRule="auto"/>
              <w:ind w:left="567" w:hanging="567"/>
              <w:contextualSpacing w:val="0"/>
              <w:rPr>
                <w:rFonts w:ascii="Avenir LT 45 Book" w:eastAsia="Calibri" w:hAnsi="Avenir LT 45 Book" w:cs="Times New Roman"/>
                <w:sz w:val="20"/>
              </w:rPr>
            </w:pPr>
            <w:r w:rsidRPr="00D15A29">
              <w:rPr>
                <w:rFonts w:ascii="Avenir LT 45 Book" w:eastAsia="Calibri" w:hAnsi="Avenir LT 45 Book" w:cs="Times New Roman"/>
                <w:sz w:val="20"/>
              </w:rPr>
              <w:t>The primary street setback of new developments or additions to non-contributory buildings is to match the traditional setback of the immediate locality.</w:t>
            </w:r>
          </w:p>
          <w:p w14:paraId="699FA358" w14:textId="77777777" w:rsidR="00B46EF1" w:rsidRPr="00D15A29" w:rsidRDefault="00B46EF1" w:rsidP="002A3889">
            <w:pPr>
              <w:pStyle w:val="ListParagraph"/>
              <w:numPr>
                <w:ilvl w:val="1"/>
                <w:numId w:val="150"/>
              </w:numPr>
              <w:spacing w:before="120" w:after="580" w:line="360" w:lineRule="auto"/>
              <w:ind w:left="567" w:hanging="567"/>
              <w:contextualSpacing w:val="0"/>
              <w:rPr>
                <w:rFonts w:ascii="Avenir LT 45 Book" w:eastAsia="Calibri" w:hAnsi="Avenir LT 45 Book" w:cs="Times New Roman"/>
                <w:sz w:val="20"/>
              </w:rPr>
            </w:pPr>
            <w:r w:rsidRPr="00D15A29">
              <w:rPr>
                <w:rFonts w:ascii="Avenir LT 45 Book" w:eastAsia="Calibri" w:hAnsi="Avenir LT 45 Book" w:cs="Times New Roman"/>
                <w:sz w:val="20"/>
              </w:rPr>
              <w:t xml:space="preserve">Additions to existing contributory buildings shall be setback </w:t>
            </w:r>
            <w:proofErr w:type="gramStart"/>
            <w:r w:rsidRPr="00D15A29">
              <w:rPr>
                <w:rFonts w:ascii="Avenir LT 45 Book" w:eastAsia="Calibri" w:hAnsi="Avenir LT 45 Book" w:cs="Times New Roman"/>
                <w:sz w:val="20"/>
              </w:rPr>
              <w:t>so as to</w:t>
            </w:r>
            <w:proofErr w:type="gramEnd"/>
            <w:r w:rsidRPr="00D15A29">
              <w:rPr>
                <w:rFonts w:ascii="Avenir LT 45 Book" w:eastAsia="Calibri" w:hAnsi="Avenir LT 45 Book" w:cs="Times New Roman"/>
                <w:sz w:val="20"/>
              </w:rPr>
              <w:t xml:space="preserve"> not adversely affect its visual presence.</w:t>
            </w:r>
          </w:p>
          <w:p w14:paraId="2C4A4EAC" w14:textId="77777777" w:rsidR="00B46EF1" w:rsidRDefault="00B46EF1" w:rsidP="002A3889">
            <w:pPr>
              <w:pStyle w:val="ListParagraph"/>
              <w:numPr>
                <w:ilvl w:val="1"/>
                <w:numId w:val="150"/>
              </w:numPr>
              <w:spacing w:line="360" w:lineRule="auto"/>
              <w:ind w:left="567" w:hanging="567"/>
              <w:contextualSpacing w:val="0"/>
            </w:pPr>
            <w:r w:rsidRPr="00D15A29">
              <w:rPr>
                <w:rFonts w:ascii="Avenir LT 45 Book" w:eastAsia="Calibri" w:hAnsi="Avenir LT 45 Book" w:cs="Times New Roman"/>
                <w:sz w:val="20"/>
              </w:rPr>
              <w:lastRenderedPageBreak/>
              <w:t>Developments are to have side setbacks complementary with the predominant streetscape.</w:t>
            </w:r>
          </w:p>
        </w:tc>
        <w:tc>
          <w:tcPr>
            <w:tcW w:w="4621" w:type="dxa"/>
            <w:tcBorders>
              <w:top w:val="single" w:sz="4" w:space="0" w:color="auto"/>
            </w:tcBorders>
          </w:tcPr>
          <w:p w14:paraId="39B8DEF2" w14:textId="77777777" w:rsidR="00B46EF1" w:rsidRPr="00D15A29" w:rsidRDefault="00B46EF1" w:rsidP="002A3889">
            <w:pPr>
              <w:pStyle w:val="ListParagraph"/>
              <w:numPr>
                <w:ilvl w:val="1"/>
                <w:numId w:val="151"/>
              </w:numPr>
              <w:spacing w:before="120" w:after="580" w:line="360" w:lineRule="auto"/>
              <w:ind w:left="624" w:hanging="567"/>
              <w:contextualSpacing w:val="0"/>
              <w:rPr>
                <w:rFonts w:ascii="Avenir LT 45 Book" w:eastAsia="Calibri" w:hAnsi="Avenir LT 45 Book" w:cs="Times New Roman"/>
                <w:sz w:val="20"/>
              </w:rPr>
            </w:pPr>
            <w:r w:rsidRPr="00D15A29">
              <w:rPr>
                <w:rFonts w:ascii="Avenir LT 45 Book" w:eastAsia="Calibri" w:hAnsi="Avenir LT 45 Book" w:cs="Times New Roman"/>
                <w:sz w:val="20"/>
              </w:rPr>
              <w:lastRenderedPageBreak/>
              <w:t>New developments, additions and alterations are to match the existing front and side setbacks of the immediate locality.</w:t>
            </w:r>
          </w:p>
          <w:p w14:paraId="044DC82E" w14:textId="77777777" w:rsidR="00B46EF1" w:rsidRPr="00D15A29" w:rsidRDefault="00B46EF1" w:rsidP="002A3889">
            <w:pPr>
              <w:pStyle w:val="ListParagraph"/>
              <w:numPr>
                <w:ilvl w:val="1"/>
                <w:numId w:val="151"/>
              </w:numPr>
              <w:spacing w:before="120" w:line="360" w:lineRule="auto"/>
              <w:ind w:left="624" w:hanging="567"/>
              <w:contextualSpacing w:val="0"/>
              <w:rPr>
                <w:rFonts w:ascii="Avenir LT 45 Book" w:eastAsia="Calibri" w:hAnsi="Avenir LT 45 Book" w:cs="Times New Roman"/>
                <w:sz w:val="20"/>
              </w:rPr>
            </w:pPr>
            <w:r w:rsidRPr="00D15A29">
              <w:rPr>
                <w:rFonts w:ascii="Avenir LT 45 Book" w:eastAsia="Calibri" w:hAnsi="Avenir LT 45 Book" w:cs="Times New Roman"/>
                <w:sz w:val="20"/>
              </w:rPr>
              <w:t>Additions to contributory buildings are to be setback a minimum of 100mm from the primary frontage of the existing building.</w:t>
            </w:r>
          </w:p>
          <w:p w14:paraId="37052D28" w14:textId="77777777" w:rsidR="00B46EF1" w:rsidRPr="00D15A29" w:rsidRDefault="00B46EF1" w:rsidP="002A3889">
            <w:pPr>
              <w:pStyle w:val="ListParagraph"/>
              <w:numPr>
                <w:ilvl w:val="1"/>
                <w:numId w:val="151"/>
              </w:numPr>
              <w:spacing w:after="120" w:line="360" w:lineRule="auto"/>
              <w:ind w:left="624" w:hanging="567"/>
              <w:contextualSpacing w:val="0"/>
              <w:rPr>
                <w:rFonts w:ascii="Avenir LT 45 Book" w:eastAsia="Calibri" w:hAnsi="Avenir LT 45 Book" w:cs="Times New Roman"/>
                <w:sz w:val="20"/>
              </w:rPr>
            </w:pPr>
            <w:r w:rsidRPr="00D15A29">
              <w:rPr>
                <w:rFonts w:ascii="Avenir LT 45 Book" w:eastAsia="Calibri" w:hAnsi="Avenir LT 45 Book" w:cs="Times New Roman"/>
                <w:sz w:val="20"/>
              </w:rPr>
              <w:lastRenderedPageBreak/>
              <w:t>Where instances of front setbacks of adjacent residences vary, the front setback of the new development shall either:</w:t>
            </w:r>
          </w:p>
          <w:p w14:paraId="5CA223F5" w14:textId="77777777" w:rsidR="00B46EF1" w:rsidRPr="00D15A29" w:rsidRDefault="00B46EF1" w:rsidP="002A3889">
            <w:pPr>
              <w:pStyle w:val="ListParagraph"/>
              <w:numPr>
                <w:ilvl w:val="0"/>
                <w:numId w:val="152"/>
              </w:numPr>
              <w:spacing w:after="120" w:line="360" w:lineRule="auto"/>
              <w:contextualSpacing w:val="0"/>
              <w:rPr>
                <w:rFonts w:ascii="Avenir LT 45 Book" w:eastAsia="Calibri" w:hAnsi="Avenir LT 45 Book" w:cs="Times New Roman"/>
                <w:sz w:val="20"/>
              </w:rPr>
            </w:pPr>
            <w:r w:rsidRPr="00D15A29">
              <w:rPr>
                <w:rFonts w:ascii="Avenir LT 45 Book" w:eastAsia="Calibri" w:hAnsi="Avenir LT 45 Book" w:cs="Times New Roman"/>
                <w:sz w:val="20"/>
              </w:rPr>
              <w:t xml:space="preserve">Match the front setback of one existing </w:t>
            </w:r>
            <w:proofErr w:type="gramStart"/>
            <w:r w:rsidRPr="00D15A29">
              <w:rPr>
                <w:rFonts w:ascii="Avenir LT 45 Book" w:eastAsia="Calibri" w:hAnsi="Avenir LT 45 Book" w:cs="Times New Roman"/>
                <w:sz w:val="20"/>
              </w:rPr>
              <w:t>dwelling;</w:t>
            </w:r>
            <w:proofErr w:type="gramEnd"/>
            <w:r w:rsidRPr="00D15A29">
              <w:rPr>
                <w:rFonts w:ascii="Avenir LT 45 Book" w:eastAsia="Calibri" w:hAnsi="Avenir LT 45 Book" w:cs="Times New Roman"/>
                <w:sz w:val="20"/>
              </w:rPr>
              <w:t xml:space="preserve"> or,</w:t>
            </w:r>
          </w:p>
          <w:p w14:paraId="534A5255" w14:textId="77777777" w:rsidR="00B46EF1" w:rsidRDefault="00B46EF1" w:rsidP="002A3889">
            <w:pPr>
              <w:pStyle w:val="ListParagraph"/>
              <w:numPr>
                <w:ilvl w:val="0"/>
                <w:numId w:val="152"/>
              </w:numPr>
              <w:spacing w:after="120" w:line="360" w:lineRule="auto"/>
              <w:contextualSpacing w:val="0"/>
            </w:pPr>
            <w:r w:rsidRPr="00D15A29">
              <w:rPr>
                <w:rFonts w:ascii="Avenir LT 45 Book" w:eastAsia="Calibri" w:hAnsi="Avenir LT 45 Book" w:cs="Times New Roman"/>
                <w:sz w:val="20"/>
              </w:rPr>
              <w:t>Be the average of the two setbacks</w:t>
            </w:r>
          </w:p>
        </w:tc>
      </w:tr>
      <w:tr w:rsidR="00B46EF1" w:rsidRPr="00842387" w14:paraId="49D6A5B3" w14:textId="77777777" w:rsidTr="008048CE">
        <w:tc>
          <w:tcPr>
            <w:tcW w:w="4621" w:type="dxa"/>
          </w:tcPr>
          <w:p w14:paraId="32DB5629" w14:textId="77777777" w:rsidR="00B46EF1" w:rsidRPr="00D15A29" w:rsidRDefault="00B46EF1" w:rsidP="002A3889">
            <w:pPr>
              <w:pStyle w:val="ListParagraph"/>
              <w:numPr>
                <w:ilvl w:val="0"/>
                <w:numId w:val="150"/>
              </w:numPr>
              <w:spacing w:line="360" w:lineRule="auto"/>
              <w:ind w:left="567" w:hanging="504"/>
              <w:contextualSpacing w:val="0"/>
              <w:rPr>
                <w:rFonts w:ascii="Avenir LT 45 Book" w:eastAsia="Calibri" w:hAnsi="Avenir LT 45 Book" w:cs="Times New Roman"/>
                <w:sz w:val="20"/>
              </w:rPr>
            </w:pPr>
            <w:r w:rsidRPr="00D15A29">
              <w:rPr>
                <w:rFonts w:ascii="Avenir LT 45 Book" w:eastAsia="Calibri" w:hAnsi="Avenir LT 45 Book" w:cs="Times New Roman"/>
                <w:sz w:val="20"/>
              </w:rPr>
              <w:lastRenderedPageBreak/>
              <w:t>Developments to be orientated to address the street.</w:t>
            </w:r>
          </w:p>
        </w:tc>
        <w:tc>
          <w:tcPr>
            <w:tcW w:w="4621" w:type="dxa"/>
          </w:tcPr>
          <w:p w14:paraId="23853F35" w14:textId="77777777" w:rsidR="00B46EF1" w:rsidRDefault="00B46EF1" w:rsidP="002A3889">
            <w:pPr>
              <w:pStyle w:val="ListParagraph"/>
              <w:numPr>
                <w:ilvl w:val="0"/>
                <w:numId w:val="151"/>
              </w:numPr>
              <w:spacing w:line="360" w:lineRule="auto"/>
              <w:ind w:left="624" w:hanging="567"/>
              <w:contextualSpacing w:val="0"/>
            </w:pPr>
            <w:r w:rsidRPr="00D15A29">
              <w:rPr>
                <w:rFonts w:ascii="Avenir LT 45 Book" w:eastAsia="Calibri" w:hAnsi="Avenir LT 45 Book" w:cs="Times New Roman"/>
                <w:sz w:val="20"/>
              </w:rPr>
              <w:t>Developments to be at a right angle to the street.</w:t>
            </w:r>
          </w:p>
        </w:tc>
      </w:tr>
      <w:tr w:rsidR="00B46EF1" w:rsidRPr="00842387" w14:paraId="2332CBF2" w14:textId="77777777" w:rsidTr="008048CE">
        <w:trPr>
          <w:trHeight w:val="6416"/>
        </w:trPr>
        <w:tc>
          <w:tcPr>
            <w:tcW w:w="4621" w:type="dxa"/>
          </w:tcPr>
          <w:p w14:paraId="4A9FAEE0" w14:textId="77777777" w:rsidR="00B46EF1" w:rsidRPr="00D15A29" w:rsidRDefault="00B46EF1" w:rsidP="002A3889">
            <w:pPr>
              <w:pStyle w:val="ListParagraph"/>
              <w:numPr>
                <w:ilvl w:val="0"/>
                <w:numId w:val="150"/>
              </w:numPr>
              <w:spacing w:line="360" w:lineRule="auto"/>
              <w:ind w:left="567" w:hanging="504"/>
              <w:contextualSpacing w:val="0"/>
              <w:rPr>
                <w:rFonts w:ascii="Avenir LT 45 Book" w:eastAsia="Calibri" w:hAnsi="Avenir LT 45 Book" w:cs="Times New Roman"/>
                <w:sz w:val="20"/>
              </w:rPr>
            </w:pPr>
            <w:r w:rsidRPr="00D15A29">
              <w:rPr>
                <w:rFonts w:ascii="Avenir LT 45 Book" w:eastAsia="Calibri" w:hAnsi="Avenir LT 45 Book" w:cs="Times New Roman"/>
                <w:sz w:val="20"/>
              </w:rPr>
              <w:t>Wall heights to reflect the immediate locality.</w:t>
            </w:r>
          </w:p>
        </w:tc>
        <w:tc>
          <w:tcPr>
            <w:tcW w:w="4621" w:type="dxa"/>
          </w:tcPr>
          <w:p w14:paraId="6B04A1F6" w14:textId="77777777" w:rsidR="00B46EF1" w:rsidRPr="005B51CF" w:rsidRDefault="005B51CF" w:rsidP="005B51CF">
            <w:pPr>
              <w:spacing w:after="120" w:line="360" w:lineRule="auto"/>
              <w:ind w:left="641" w:hanging="567"/>
              <w:rPr>
                <w:rFonts w:ascii="Avenir LT 45 Book" w:eastAsia="Calibri" w:hAnsi="Avenir LT 45 Book" w:cs="Times New Roman"/>
                <w:sz w:val="20"/>
              </w:rPr>
            </w:pPr>
            <w:r w:rsidRPr="005B51CF">
              <w:rPr>
                <w:rFonts w:ascii="Avenir LT 85 Heavy" w:eastAsia="Calibri" w:hAnsi="Avenir LT 85 Heavy" w:cs="Times New Roman"/>
                <w:sz w:val="20"/>
              </w:rPr>
              <w:t>A3</w:t>
            </w:r>
            <w:r>
              <w:rPr>
                <w:rFonts w:ascii="Avenir LT 45 Book" w:eastAsia="Calibri" w:hAnsi="Avenir LT 45 Book" w:cs="Times New Roman"/>
                <w:sz w:val="20"/>
              </w:rPr>
              <w:tab/>
            </w:r>
            <w:r w:rsidR="00B46EF1" w:rsidRPr="005B51CF">
              <w:rPr>
                <w:rFonts w:ascii="Avenir LT 45 Book" w:eastAsia="Calibri" w:hAnsi="Avenir LT 45 Book" w:cs="Times New Roman"/>
                <w:sz w:val="20"/>
              </w:rPr>
              <w:t>A wall may be situated closer to an adjoining residential boundary than the standards prescribed in Tables 1, 2a or 2b of the Residential Design Codes where the following are observed:</w:t>
            </w:r>
          </w:p>
          <w:p w14:paraId="2BC64B5C" w14:textId="77777777" w:rsidR="00B46EF1" w:rsidRPr="00D15A29" w:rsidRDefault="00B46EF1" w:rsidP="002A3889">
            <w:pPr>
              <w:pStyle w:val="ListParagraph"/>
              <w:numPr>
                <w:ilvl w:val="0"/>
                <w:numId w:val="153"/>
              </w:numPr>
              <w:spacing w:after="120" w:line="360" w:lineRule="auto"/>
              <w:ind w:left="1066" w:hanging="283"/>
              <w:contextualSpacing w:val="0"/>
              <w:rPr>
                <w:rFonts w:ascii="Avenir LT 45 Book" w:eastAsia="Calibri" w:hAnsi="Avenir LT 45 Book" w:cs="Times New Roman"/>
                <w:sz w:val="20"/>
              </w:rPr>
            </w:pPr>
            <w:r w:rsidRPr="00D15A29">
              <w:rPr>
                <w:rFonts w:ascii="Avenir LT 45 Book" w:eastAsia="Calibri" w:hAnsi="Avenir LT 45 Book" w:cs="Times New Roman"/>
                <w:sz w:val="20"/>
              </w:rPr>
              <w:t xml:space="preserve">Walls are not higher than 3m and up to 9m in length up to one side </w:t>
            </w:r>
            <w:proofErr w:type="gramStart"/>
            <w:r w:rsidRPr="00D15A29">
              <w:rPr>
                <w:rFonts w:ascii="Avenir LT 45 Book" w:eastAsia="Calibri" w:hAnsi="Avenir LT 45 Book" w:cs="Times New Roman"/>
                <w:sz w:val="20"/>
              </w:rPr>
              <w:t>boundary;</w:t>
            </w:r>
            <w:proofErr w:type="gramEnd"/>
          </w:p>
          <w:p w14:paraId="7145DEF6" w14:textId="77777777" w:rsidR="00B46EF1" w:rsidRPr="00D15A29" w:rsidRDefault="00B46EF1" w:rsidP="002A3889">
            <w:pPr>
              <w:pStyle w:val="ListParagraph"/>
              <w:numPr>
                <w:ilvl w:val="0"/>
                <w:numId w:val="153"/>
              </w:numPr>
              <w:spacing w:after="120" w:line="360" w:lineRule="auto"/>
              <w:ind w:left="1066" w:hanging="283"/>
              <w:contextualSpacing w:val="0"/>
              <w:rPr>
                <w:rFonts w:ascii="Avenir LT 45 Book" w:eastAsia="Calibri" w:hAnsi="Avenir LT 45 Book" w:cs="Times New Roman"/>
                <w:sz w:val="20"/>
              </w:rPr>
            </w:pPr>
            <w:r w:rsidRPr="00D15A29">
              <w:rPr>
                <w:rFonts w:ascii="Avenir LT 45 Book" w:eastAsia="Calibri" w:hAnsi="Avenir LT 45 Book" w:cs="Times New Roman"/>
                <w:sz w:val="20"/>
              </w:rPr>
              <w:t xml:space="preserve">Walls are behind the main </w:t>
            </w:r>
            <w:proofErr w:type="gramStart"/>
            <w:r w:rsidRPr="00D15A29">
              <w:rPr>
                <w:rFonts w:ascii="Avenir LT 45 Book" w:eastAsia="Calibri" w:hAnsi="Avenir LT 45 Book" w:cs="Times New Roman"/>
                <w:sz w:val="20"/>
              </w:rPr>
              <w:t>dwelling;</w:t>
            </w:r>
            <w:proofErr w:type="gramEnd"/>
          </w:p>
          <w:p w14:paraId="20877BB4" w14:textId="77777777" w:rsidR="00B46EF1" w:rsidRPr="00D15A29" w:rsidRDefault="00B46EF1" w:rsidP="002A3889">
            <w:pPr>
              <w:pStyle w:val="ListParagraph"/>
              <w:numPr>
                <w:ilvl w:val="0"/>
                <w:numId w:val="153"/>
              </w:numPr>
              <w:spacing w:after="120" w:line="360" w:lineRule="auto"/>
              <w:ind w:left="1066" w:hanging="283"/>
              <w:contextualSpacing w:val="0"/>
              <w:rPr>
                <w:rFonts w:ascii="Avenir LT 45 Book" w:eastAsia="Calibri" w:hAnsi="Avenir LT 45 Book" w:cs="Times New Roman"/>
                <w:sz w:val="20"/>
              </w:rPr>
            </w:pPr>
            <w:r w:rsidRPr="00D15A29">
              <w:rPr>
                <w:rFonts w:ascii="Avenir LT 45 Book" w:eastAsia="Calibri" w:hAnsi="Avenir LT 45 Book" w:cs="Times New Roman"/>
                <w:sz w:val="20"/>
              </w:rPr>
              <w:t xml:space="preserve">Subject to the overshadow provisions of the Residential Design Codes – Design Element </w:t>
            </w:r>
            <w:proofErr w:type="gramStart"/>
            <w:r w:rsidRPr="00D15A29">
              <w:rPr>
                <w:rFonts w:ascii="Avenir LT 45 Book" w:eastAsia="Calibri" w:hAnsi="Avenir LT 45 Book" w:cs="Times New Roman"/>
                <w:sz w:val="20"/>
              </w:rPr>
              <w:t>6.9;</w:t>
            </w:r>
            <w:proofErr w:type="gramEnd"/>
          </w:p>
          <w:p w14:paraId="08A17772" w14:textId="77777777" w:rsidR="00B46EF1" w:rsidRPr="005B51CF" w:rsidRDefault="00B46EF1" w:rsidP="002A3889">
            <w:pPr>
              <w:pStyle w:val="ListParagraph"/>
              <w:numPr>
                <w:ilvl w:val="0"/>
                <w:numId w:val="153"/>
              </w:numPr>
              <w:spacing w:after="120" w:line="360" w:lineRule="auto"/>
              <w:ind w:left="1066" w:hanging="283"/>
              <w:contextualSpacing w:val="0"/>
              <w:rPr>
                <w:rFonts w:ascii="Avenir LT 45 Book" w:eastAsia="Calibri" w:hAnsi="Avenir LT 45 Book" w:cs="Times New Roman"/>
                <w:sz w:val="20"/>
              </w:rPr>
            </w:pPr>
            <w:r w:rsidRPr="005B51CF">
              <w:rPr>
                <w:rFonts w:ascii="Avenir LT 45 Book" w:eastAsia="Calibri" w:hAnsi="Avenir LT 45 Book" w:cs="Times New Roman"/>
                <w:sz w:val="20"/>
              </w:rPr>
              <w:t>In the opinion of the Council, the wall would be consistent with the character of development in the immediate locality and not adversely affect the amenity of adjoining property(s) having regard for views; and,</w:t>
            </w:r>
          </w:p>
          <w:p w14:paraId="356FF5BB" w14:textId="77777777" w:rsidR="00B46EF1" w:rsidRDefault="00B46EF1" w:rsidP="002A3889">
            <w:pPr>
              <w:pStyle w:val="ListParagraph"/>
              <w:numPr>
                <w:ilvl w:val="0"/>
                <w:numId w:val="153"/>
              </w:numPr>
              <w:tabs>
                <w:tab w:val="left" w:pos="1034"/>
              </w:tabs>
              <w:spacing w:line="360" w:lineRule="auto"/>
              <w:ind w:left="1049" w:hanging="283"/>
              <w:contextualSpacing w:val="0"/>
            </w:pPr>
            <w:r w:rsidRPr="005B51CF">
              <w:rPr>
                <w:rFonts w:ascii="Avenir LT 45 Book" w:eastAsia="Calibri" w:hAnsi="Avenir LT 45 Book" w:cs="Times New Roman"/>
                <w:sz w:val="20"/>
              </w:rPr>
              <w:t>Where the wall abuts an existing or simultaneously constructed wall of similar or greater dimensions.</w:t>
            </w:r>
          </w:p>
        </w:tc>
      </w:tr>
    </w:tbl>
    <w:p w14:paraId="6EC6C18D" w14:textId="77777777" w:rsidR="00B46EF1" w:rsidRDefault="00B46EF1" w:rsidP="00B46EF1">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22"/>
        <w:gridCol w:w="4504"/>
      </w:tblGrid>
      <w:tr w:rsidR="00B46EF1" w:rsidRPr="00842387" w14:paraId="2E6679A3" w14:textId="77777777" w:rsidTr="008048CE">
        <w:tc>
          <w:tcPr>
            <w:tcW w:w="4621" w:type="dxa"/>
          </w:tcPr>
          <w:p w14:paraId="59FC38BB" w14:textId="77777777" w:rsidR="00B46EF1" w:rsidRDefault="00B46EF1" w:rsidP="002A3889">
            <w:pPr>
              <w:pStyle w:val="ListParagraph"/>
              <w:numPr>
                <w:ilvl w:val="0"/>
                <w:numId w:val="150"/>
              </w:numPr>
              <w:spacing w:line="360" w:lineRule="auto"/>
              <w:ind w:left="567" w:hanging="504"/>
              <w:contextualSpacing w:val="0"/>
            </w:pPr>
            <w:r w:rsidRPr="005B51CF">
              <w:rPr>
                <w:rFonts w:ascii="Avenir LT 45 Book" w:eastAsia="Calibri" w:hAnsi="Avenir LT 45 Book" w:cs="Times New Roman"/>
                <w:sz w:val="20"/>
              </w:rPr>
              <w:lastRenderedPageBreak/>
              <w:t>Where river views are possible, new developments are to be orientated towards the river.</w:t>
            </w:r>
          </w:p>
        </w:tc>
        <w:tc>
          <w:tcPr>
            <w:tcW w:w="4621" w:type="dxa"/>
          </w:tcPr>
          <w:p w14:paraId="3C19372C" w14:textId="77777777" w:rsidR="00B46EF1" w:rsidRPr="005B51CF" w:rsidRDefault="005B51CF" w:rsidP="005B51CF">
            <w:pPr>
              <w:spacing w:line="360" w:lineRule="auto"/>
              <w:ind w:left="119"/>
              <w:rPr>
                <w:rFonts w:cs="Arial"/>
              </w:rPr>
            </w:pPr>
            <w:r w:rsidRPr="005B51CF">
              <w:rPr>
                <w:rFonts w:ascii="Avenir LT 85 Heavy" w:eastAsia="Calibri" w:hAnsi="Avenir LT 85 Heavy" w:cs="Arial"/>
                <w:sz w:val="20"/>
              </w:rPr>
              <w:t>A4</w:t>
            </w:r>
            <w:r>
              <w:rPr>
                <w:rFonts w:ascii="Avenir LT 45 Book" w:eastAsia="Calibri" w:hAnsi="Avenir LT 45 Book" w:cs="Arial"/>
                <w:sz w:val="20"/>
              </w:rPr>
              <w:tab/>
            </w:r>
            <w:r w:rsidR="00B46EF1" w:rsidRPr="005B51CF">
              <w:rPr>
                <w:rFonts w:ascii="Avenir LT 45 Book" w:eastAsia="Calibri" w:hAnsi="Avenir LT 45 Book" w:cs="Arial"/>
                <w:sz w:val="20"/>
              </w:rPr>
              <w:t>Orient development towards the river.</w:t>
            </w:r>
          </w:p>
        </w:tc>
      </w:tr>
    </w:tbl>
    <w:p w14:paraId="2C553636" w14:textId="77777777" w:rsidR="00B46EF1" w:rsidRPr="005B51CF" w:rsidRDefault="005B51CF" w:rsidP="005B51CF">
      <w:pPr>
        <w:pStyle w:val="Heading3"/>
        <w:keepNext w:val="0"/>
        <w:keepLines w:val="0"/>
        <w:tabs>
          <w:tab w:val="left" w:pos="1418"/>
        </w:tabs>
        <w:autoSpaceDE w:val="0"/>
        <w:autoSpaceDN w:val="0"/>
        <w:spacing w:before="240" w:after="200" w:line="360" w:lineRule="auto"/>
        <w:jc w:val="both"/>
        <w:rPr>
          <w:rFonts w:ascii="Avenir LT 65 Medium" w:eastAsia="Times New Roman" w:hAnsi="Avenir LT 65 Medium" w:cs="Times New Roman"/>
          <w:bCs/>
          <w:color w:val="000000"/>
          <w:sz w:val="22"/>
        </w:rPr>
      </w:pPr>
      <w:bookmarkStart w:id="455" w:name="_Toc452727438"/>
      <w:r>
        <w:rPr>
          <w:rFonts w:ascii="Avenir LT 65 Medium" w:eastAsia="Times New Roman" w:hAnsi="Avenir LT 65 Medium" w:cs="Times New Roman"/>
          <w:bCs/>
          <w:color w:val="000000"/>
          <w:sz w:val="22"/>
        </w:rPr>
        <w:t>3.7.8</w:t>
      </w:r>
      <w:r>
        <w:rPr>
          <w:rFonts w:ascii="Avenir LT 65 Medium" w:eastAsia="Times New Roman" w:hAnsi="Avenir LT 65 Medium" w:cs="Times New Roman"/>
          <w:bCs/>
          <w:color w:val="000000"/>
          <w:sz w:val="22"/>
        </w:rPr>
        <w:tab/>
      </w:r>
      <w:r w:rsidR="00B46EF1" w:rsidRPr="005B51CF">
        <w:rPr>
          <w:rFonts w:ascii="Avenir LT 65 Medium" w:eastAsia="Times New Roman" w:hAnsi="Avenir LT 65 Medium" w:cs="Times New Roman"/>
          <w:bCs/>
          <w:color w:val="000000"/>
          <w:sz w:val="22"/>
        </w:rPr>
        <w:t>Roof Form and Pitch</w:t>
      </w:r>
      <w:bookmarkEnd w:id="455"/>
    </w:p>
    <w:p w14:paraId="5C0D80D8" w14:textId="77777777" w:rsidR="00B46EF1" w:rsidRPr="005B51CF" w:rsidRDefault="005B51CF" w:rsidP="005B51CF">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3.7.8.1</w:t>
      </w:r>
      <w:r>
        <w:rPr>
          <w:rFonts w:ascii="Avenir LT 65 Medium" w:hAnsi="Avenir LT 65 Medium"/>
          <w:bCs/>
          <w:i w:val="0"/>
          <w:color w:val="auto"/>
        </w:rPr>
        <w:tab/>
      </w:r>
      <w:r w:rsidR="00B46EF1" w:rsidRPr="005B51CF">
        <w:rPr>
          <w:rFonts w:ascii="Avenir LT 65 Medium" w:hAnsi="Avenir LT 65 Medium"/>
          <w:bCs/>
          <w:i w:val="0"/>
          <w:color w:val="auto"/>
        </w:rPr>
        <w:t>Statement</w:t>
      </w:r>
    </w:p>
    <w:p w14:paraId="0D14C666" w14:textId="77777777" w:rsidR="00B46EF1" w:rsidRPr="005B51CF" w:rsidRDefault="00B46EF1" w:rsidP="005B51CF">
      <w:pPr>
        <w:spacing w:line="360" w:lineRule="auto"/>
        <w:rPr>
          <w:rFonts w:ascii="Avenir LT 45 Book" w:eastAsia="Calibri" w:hAnsi="Avenir LT 45 Book"/>
          <w:i/>
          <w:sz w:val="20"/>
        </w:rPr>
      </w:pPr>
      <w:r w:rsidRPr="005B51CF">
        <w:rPr>
          <w:rFonts w:ascii="Avenir LT 45 Book" w:eastAsia="Calibri" w:hAnsi="Avenir LT 45 Book"/>
          <w:i/>
          <w:sz w:val="20"/>
        </w:rPr>
        <w:t xml:space="preserve">The Town’s roof forms are predominantly gable, gambrel and hipped.  Roofs have overhanging eaves and are pitched between 28˚ and 36˚ (approx.).  The council shall approve contemporary roof forms, including skillion, flat roofs or parapet, on new developments </w:t>
      </w:r>
      <w:proofErr w:type="gramStart"/>
      <w:r w:rsidRPr="005B51CF">
        <w:rPr>
          <w:rFonts w:ascii="Avenir LT 45 Book" w:eastAsia="Calibri" w:hAnsi="Avenir LT 45 Book"/>
          <w:i/>
          <w:sz w:val="20"/>
        </w:rPr>
        <w:t>where</w:t>
      </w:r>
      <w:proofErr w:type="gramEnd"/>
      <w:r w:rsidRPr="005B51CF">
        <w:rPr>
          <w:rFonts w:ascii="Avenir LT 45 Book" w:eastAsia="Calibri" w:hAnsi="Avenir LT 45 Book"/>
          <w:i/>
          <w:sz w:val="20"/>
        </w:rPr>
        <w:t xml:space="preserve"> demonstrated to be compatible with the existing and surrounding residences.</w:t>
      </w:r>
    </w:p>
    <w:p w14:paraId="710BE80E" w14:textId="77777777" w:rsidR="00B46EF1" w:rsidRDefault="00B46EF1" w:rsidP="00B46EF1">
      <w:r>
        <w:rPr>
          <w:noProof/>
          <w:lang w:eastAsia="en-AU"/>
        </w:rPr>
        <w:drawing>
          <wp:inline distT="0" distB="0" distL="0" distR="0" wp14:anchorId="433D0909" wp14:editId="17908500">
            <wp:extent cx="2524125" cy="1800225"/>
            <wp:effectExtent l="19050" t="0" r="9525" b="0"/>
            <wp:docPr id="139" name="Picture 10" descr="Z:\2011 JOBS\11206-EAST FREMANTLE GUIDELINES\11206-PHOTOS\PROCESSED\RICHMOND\7A STRATFORD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2011 JOBS\11206-EAST FREMANTLE GUIDELINES\11206-PHOTOS\PROCESSED\RICHMOND\7A STRATFORD STREET.jpg"/>
                    <pic:cNvPicPr>
                      <a:picLocks noChangeAspect="1" noChangeArrowheads="1"/>
                    </pic:cNvPicPr>
                  </pic:nvPicPr>
                  <pic:blipFill>
                    <a:blip r:embed="rId191"/>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1E4B059A" wp14:editId="3F22AC0D">
            <wp:extent cx="2524125" cy="1800225"/>
            <wp:effectExtent l="19050" t="0" r="9525" b="0"/>
            <wp:docPr id="140" name="Picture 11" descr="Z:\2011 JOBS\11206-EAST FREMANTLE GUIDELINES\11206-PHOTOS\PROCESSED\RICHMOND HILL\150 PRESTON POINT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2011 JOBS\11206-EAST FREMANTLE GUIDELINES\11206-PHOTOS\PROCESSED\RICHMOND HILL\150 PRESTON POINT ROAD.jpg"/>
                    <pic:cNvPicPr>
                      <a:picLocks noChangeAspect="1" noChangeArrowheads="1"/>
                    </pic:cNvPicPr>
                  </pic:nvPicPr>
                  <pic:blipFill>
                    <a:blip r:embed="rId192"/>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70D25958" w14:textId="77777777" w:rsidR="00B46EF1" w:rsidRPr="005B51CF" w:rsidRDefault="005B51CF" w:rsidP="005B51CF">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3.7.8.2</w:t>
      </w:r>
      <w:r>
        <w:rPr>
          <w:rFonts w:ascii="Avenir LT 65 Medium" w:hAnsi="Avenir LT 65 Medium"/>
          <w:bCs/>
          <w:i w:val="0"/>
          <w:color w:val="auto"/>
        </w:rPr>
        <w:tab/>
      </w:r>
      <w:r w:rsidR="00B46EF1" w:rsidRPr="005B51CF">
        <w:rPr>
          <w:rFonts w:ascii="Avenir LT 65 Medium" w:hAnsi="Avenir LT 65 Medium"/>
          <w:bCs/>
          <w:i w:val="0"/>
          <w:color w:val="auto"/>
        </w:rPr>
        <w:t>Desired Development Outcomes</w:t>
      </w:r>
    </w:p>
    <w:p w14:paraId="50BA7356" w14:textId="77777777" w:rsidR="00B46EF1" w:rsidRPr="005B51CF" w:rsidRDefault="00B46EF1" w:rsidP="002A3889">
      <w:pPr>
        <w:pStyle w:val="ListParagraph"/>
        <w:numPr>
          <w:ilvl w:val="0"/>
          <w:numId w:val="130"/>
        </w:numPr>
        <w:spacing w:line="360" w:lineRule="auto"/>
        <w:ind w:left="714" w:hanging="357"/>
        <w:contextualSpacing w:val="0"/>
        <w:rPr>
          <w:rFonts w:ascii="Avenir LT 45 Book" w:eastAsia="Calibri" w:hAnsi="Avenir LT 45 Book" w:cs="Times New Roman"/>
          <w:sz w:val="20"/>
        </w:rPr>
      </w:pPr>
      <w:r w:rsidRPr="005B51CF">
        <w:rPr>
          <w:rFonts w:ascii="Avenir LT 45 Book" w:eastAsia="Calibri" w:hAnsi="Avenir LT 45 Book" w:cs="Times New Roman"/>
          <w:sz w:val="20"/>
        </w:rPr>
        <w:t xml:space="preserve">Retention of the traditional pattern of development with consistent roof </w:t>
      </w:r>
      <w:proofErr w:type="gramStart"/>
      <w:r w:rsidRPr="005B51CF">
        <w:rPr>
          <w:rFonts w:ascii="Avenir LT 45 Book" w:eastAsia="Calibri" w:hAnsi="Avenir LT 45 Book" w:cs="Times New Roman"/>
          <w:sz w:val="20"/>
        </w:rPr>
        <w:t>forms;</w:t>
      </w:r>
      <w:proofErr w:type="gramEnd"/>
    </w:p>
    <w:p w14:paraId="1BE79983" w14:textId="77777777" w:rsidR="00B46EF1" w:rsidRPr="005B51CF" w:rsidRDefault="00B46EF1" w:rsidP="002A3889">
      <w:pPr>
        <w:pStyle w:val="ListParagraph"/>
        <w:numPr>
          <w:ilvl w:val="0"/>
          <w:numId w:val="130"/>
        </w:numPr>
        <w:spacing w:line="360" w:lineRule="auto"/>
        <w:ind w:left="714" w:hanging="357"/>
        <w:contextualSpacing w:val="0"/>
        <w:rPr>
          <w:rFonts w:ascii="Avenir LT 45 Book" w:eastAsia="Calibri" w:hAnsi="Avenir LT 45 Book" w:cs="Times New Roman"/>
          <w:sz w:val="20"/>
        </w:rPr>
      </w:pPr>
      <w:r w:rsidRPr="005B51CF">
        <w:rPr>
          <w:rFonts w:ascii="Avenir LT 45 Book" w:eastAsia="Calibri" w:hAnsi="Avenir LT 45 Book" w:cs="Times New Roman"/>
          <w:sz w:val="20"/>
        </w:rPr>
        <w:t xml:space="preserve">Contemporary roofs to the Richmond Hill and Riverside </w:t>
      </w:r>
      <w:proofErr w:type="gramStart"/>
      <w:r w:rsidRPr="005B51CF">
        <w:rPr>
          <w:rFonts w:ascii="Avenir LT 45 Book" w:eastAsia="Calibri" w:hAnsi="Avenir LT 45 Book" w:cs="Times New Roman"/>
          <w:sz w:val="20"/>
        </w:rPr>
        <w:t>Precincts;</w:t>
      </w:r>
      <w:proofErr w:type="gramEnd"/>
    </w:p>
    <w:p w14:paraId="1EF90651" w14:textId="77777777" w:rsidR="00B46EF1" w:rsidRPr="005B51CF" w:rsidRDefault="00B46EF1" w:rsidP="002A3889">
      <w:pPr>
        <w:pStyle w:val="ListParagraph"/>
        <w:numPr>
          <w:ilvl w:val="0"/>
          <w:numId w:val="130"/>
        </w:numPr>
        <w:spacing w:line="360" w:lineRule="auto"/>
        <w:ind w:left="714" w:hanging="357"/>
        <w:contextualSpacing w:val="0"/>
        <w:rPr>
          <w:rFonts w:ascii="Avenir LT 45 Book" w:eastAsia="Calibri" w:hAnsi="Avenir LT 45 Book" w:cs="Times New Roman"/>
          <w:sz w:val="20"/>
        </w:rPr>
      </w:pPr>
      <w:r w:rsidRPr="005B51CF">
        <w:rPr>
          <w:rFonts w:ascii="Avenir LT 45 Book" w:eastAsia="Calibri" w:hAnsi="Avenir LT 45 Book" w:cs="Times New Roman"/>
          <w:sz w:val="20"/>
        </w:rPr>
        <w:t>New developments with contemporary roof forms that are compatible with the immediate locality; and,</w:t>
      </w:r>
    </w:p>
    <w:p w14:paraId="52740F17" w14:textId="77777777" w:rsidR="00B46EF1" w:rsidRPr="005B51CF" w:rsidRDefault="00B46EF1" w:rsidP="002A3889">
      <w:pPr>
        <w:pStyle w:val="ListParagraph"/>
        <w:numPr>
          <w:ilvl w:val="0"/>
          <w:numId w:val="130"/>
        </w:numPr>
        <w:spacing w:line="360" w:lineRule="auto"/>
        <w:ind w:left="714" w:hanging="357"/>
        <w:contextualSpacing w:val="0"/>
        <w:rPr>
          <w:rFonts w:ascii="Avenir LT 45 Book" w:eastAsia="Calibri" w:hAnsi="Avenir LT 45 Book" w:cs="Times New Roman"/>
          <w:sz w:val="20"/>
        </w:rPr>
      </w:pPr>
      <w:r w:rsidRPr="005B51CF">
        <w:rPr>
          <w:rFonts w:ascii="Avenir LT 45 Book" w:eastAsia="Calibri" w:hAnsi="Avenir LT 45 Book" w:cs="Times New Roman"/>
          <w:sz w:val="20"/>
        </w:rPr>
        <w:t>Roof forms of additions and alterations that positively contribute to the existing dwelling (refer note below).</w:t>
      </w:r>
    </w:p>
    <w:p w14:paraId="4973D200" w14:textId="77777777" w:rsidR="00B46EF1" w:rsidRPr="00842387" w:rsidRDefault="00B46EF1" w:rsidP="00B46EF1">
      <w:r w:rsidRPr="00842387">
        <w:rPr>
          <w:noProof/>
          <w:lang w:eastAsia="en-AU"/>
        </w:rPr>
        <w:drawing>
          <wp:inline distT="0" distB="0" distL="0" distR="0" wp14:anchorId="302F5706" wp14:editId="232A5507">
            <wp:extent cx="5868035" cy="1315720"/>
            <wp:effectExtent l="19050" t="0" r="0" b="0"/>
            <wp:docPr id="141" name="Picture 23" descr="ROOF FORM 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F FORM 1.eps"/>
                    <pic:cNvPicPr/>
                  </pic:nvPicPr>
                  <pic:blipFill>
                    <a:blip r:embed="rId193"/>
                    <a:stretch>
                      <a:fillRect/>
                    </a:stretch>
                  </pic:blipFill>
                  <pic:spPr>
                    <a:xfrm>
                      <a:off x="0" y="0"/>
                      <a:ext cx="5868035" cy="1315720"/>
                    </a:xfrm>
                    <a:prstGeom prst="rect">
                      <a:avLst/>
                    </a:prstGeom>
                  </pic:spPr>
                </pic:pic>
              </a:graphicData>
            </a:graphic>
          </wp:inline>
        </w:drawing>
      </w:r>
    </w:p>
    <w:p w14:paraId="7B4C325F" w14:textId="77777777" w:rsidR="00B46EF1" w:rsidRPr="00842387" w:rsidRDefault="00B46EF1" w:rsidP="00B46EF1">
      <w:pPr>
        <w:rPr>
          <w:i/>
        </w:rPr>
      </w:pPr>
      <w:r w:rsidRPr="005B51CF">
        <w:rPr>
          <w:rFonts w:ascii="Avenir LT 65 Medium" w:eastAsia="Calibri" w:hAnsi="Avenir LT 65 Medium"/>
          <w:sz w:val="20"/>
        </w:rPr>
        <w:t>Figure 14</w:t>
      </w:r>
      <w:r w:rsidRPr="00842387">
        <w:t xml:space="preserve"> </w:t>
      </w:r>
      <w:r w:rsidRPr="005B51CF">
        <w:rPr>
          <w:rFonts w:ascii="Avenir LT 45 Book" w:eastAsia="Calibri" w:hAnsi="Avenir LT 45 Book"/>
          <w:sz w:val="20"/>
        </w:rPr>
        <w:t xml:space="preserve">– Street elevation illustration compatible roof envelopes – </w:t>
      </w:r>
      <w:r w:rsidRPr="005B51CF">
        <w:rPr>
          <w:rFonts w:ascii="Avenir LT 45 Book" w:eastAsia="Calibri" w:hAnsi="Avenir LT 45 Book"/>
          <w:i/>
          <w:sz w:val="20"/>
        </w:rPr>
        <w:t>Griffiths Architects 2012.</w:t>
      </w:r>
    </w:p>
    <w:p w14:paraId="353567B0" w14:textId="77777777" w:rsidR="00B46EF1" w:rsidRPr="005061AE" w:rsidRDefault="00B46EF1" w:rsidP="00B46EF1">
      <w:pPr>
        <w:rPr>
          <w:sz w:val="16"/>
          <w:szCs w:val="16"/>
        </w:rPr>
      </w:pPr>
      <w:r w:rsidRPr="00842387">
        <w:rPr>
          <w:noProof/>
          <w:lang w:eastAsia="en-AU"/>
        </w:rPr>
        <w:lastRenderedPageBreak/>
        <w:drawing>
          <wp:inline distT="0" distB="0" distL="0" distR="0" wp14:anchorId="2A0CAAD6" wp14:editId="43029D8C">
            <wp:extent cx="5868035" cy="2242185"/>
            <wp:effectExtent l="0" t="0" r="0" b="0"/>
            <wp:docPr id="142" name="Picture 24" descr="ROOF FORM 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F FORM 2.eps"/>
                    <pic:cNvPicPr/>
                  </pic:nvPicPr>
                  <pic:blipFill>
                    <a:blip r:embed="rId194"/>
                    <a:stretch>
                      <a:fillRect/>
                    </a:stretch>
                  </pic:blipFill>
                  <pic:spPr>
                    <a:xfrm>
                      <a:off x="0" y="0"/>
                      <a:ext cx="5868035" cy="2242185"/>
                    </a:xfrm>
                    <a:prstGeom prst="rect">
                      <a:avLst/>
                    </a:prstGeom>
                  </pic:spPr>
                </pic:pic>
              </a:graphicData>
            </a:graphic>
          </wp:inline>
        </w:drawing>
      </w:r>
    </w:p>
    <w:p w14:paraId="5CD7AA78" w14:textId="77777777" w:rsidR="00B46EF1" w:rsidRPr="00BC6147" w:rsidRDefault="00B46EF1" w:rsidP="00BC6147">
      <w:pPr>
        <w:spacing w:after="120" w:line="360" w:lineRule="auto"/>
        <w:rPr>
          <w:rFonts w:ascii="Avenir LT 45 Book" w:eastAsia="Calibri" w:hAnsi="Avenir LT 45 Book"/>
          <w:sz w:val="20"/>
        </w:rPr>
      </w:pPr>
      <w:r w:rsidRPr="00BC6147">
        <w:rPr>
          <w:rFonts w:ascii="Avenir LT 65 Medium" w:eastAsia="Calibri" w:hAnsi="Avenir LT 65 Medium"/>
          <w:sz w:val="20"/>
        </w:rPr>
        <w:t>Figure 15 –</w:t>
      </w:r>
      <w:r w:rsidRPr="00842387">
        <w:t xml:space="preserve"> </w:t>
      </w:r>
      <w:r w:rsidRPr="00BC6147">
        <w:rPr>
          <w:rFonts w:ascii="Avenir LT 45 Book" w:eastAsia="Calibri" w:hAnsi="Avenir LT 45 Book"/>
          <w:sz w:val="20"/>
        </w:rPr>
        <w:t xml:space="preserve">Side elevation illustrating compatible roof envelope – </w:t>
      </w:r>
      <w:r w:rsidRPr="00BC6147">
        <w:rPr>
          <w:rFonts w:ascii="Avenir LT 45 Book" w:eastAsia="Calibri" w:hAnsi="Avenir LT 45 Book"/>
          <w:i/>
          <w:sz w:val="20"/>
        </w:rPr>
        <w:t>Griffiths Architects 2012.</w:t>
      </w:r>
    </w:p>
    <w:p w14:paraId="58B3AE23" w14:textId="77777777" w:rsidR="00B46EF1" w:rsidRPr="00BC6147" w:rsidRDefault="00B46EF1" w:rsidP="00BC6147">
      <w:pPr>
        <w:spacing w:after="120" w:line="360" w:lineRule="auto"/>
        <w:rPr>
          <w:rFonts w:ascii="Avenir LT 45 Book" w:eastAsia="Calibri" w:hAnsi="Avenir LT 45 Book"/>
          <w:sz w:val="20"/>
        </w:rPr>
      </w:pPr>
      <w:r w:rsidRPr="00BC6147">
        <w:rPr>
          <w:rFonts w:ascii="Avenir LT 65 Medium" w:eastAsia="Calibri" w:hAnsi="Avenir LT 65 Medium"/>
          <w:sz w:val="20"/>
        </w:rPr>
        <w:t>NOTE:</w:t>
      </w:r>
      <w:r w:rsidRPr="00842387">
        <w:t xml:space="preserve"> </w:t>
      </w:r>
      <w:r w:rsidRPr="00BC6147">
        <w:rPr>
          <w:rFonts w:ascii="Avenir LT 45 Book" w:eastAsia="Calibri" w:hAnsi="Avenir LT 45 Book"/>
          <w:sz w:val="20"/>
        </w:rPr>
        <w:t>Acceptable roof forms for addition to existing houses may be, but are not limited to the following:</w:t>
      </w:r>
    </w:p>
    <w:p w14:paraId="002C47D1" w14:textId="77777777" w:rsidR="00B46EF1" w:rsidRPr="00BC6147" w:rsidRDefault="00B46EF1" w:rsidP="002A3889">
      <w:pPr>
        <w:pStyle w:val="ListParagraph"/>
        <w:numPr>
          <w:ilvl w:val="0"/>
          <w:numId w:val="367"/>
        </w:numPr>
        <w:spacing w:after="120" w:line="360" w:lineRule="auto"/>
        <w:rPr>
          <w:rFonts w:ascii="Avenir LT 45 Book" w:eastAsia="Calibri" w:hAnsi="Avenir LT 45 Book"/>
          <w:sz w:val="20"/>
        </w:rPr>
      </w:pPr>
      <w:r w:rsidRPr="00BC6147">
        <w:rPr>
          <w:rFonts w:ascii="Avenir LT 45 Book" w:eastAsia="Calibri" w:hAnsi="Avenir LT 45 Book"/>
          <w:sz w:val="20"/>
        </w:rPr>
        <w:t>A lean-to roof that sits below the roof line of an existing hipped roof; and,</w:t>
      </w:r>
    </w:p>
    <w:p w14:paraId="3DCBBAE6" w14:textId="77777777" w:rsidR="00B46EF1" w:rsidRPr="00BC6147" w:rsidRDefault="00B46EF1" w:rsidP="002A3889">
      <w:pPr>
        <w:pStyle w:val="ListParagraph"/>
        <w:numPr>
          <w:ilvl w:val="0"/>
          <w:numId w:val="367"/>
        </w:numPr>
        <w:spacing w:after="120" w:line="360" w:lineRule="auto"/>
        <w:rPr>
          <w:rFonts w:ascii="Avenir LT 45 Book" w:eastAsia="Calibri" w:hAnsi="Avenir LT 45 Book"/>
          <w:sz w:val="20"/>
        </w:rPr>
      </w:pPr>
      <w:r w:rsidRPr="00BC6147">
        <w:rPr>
          <w:rFonts w:ascii="Avenir LT 45 Book" w:eastAsia="Calibri" w:hAnsi="Avenir LT 45 Book"/>
          <w:sz w:val="20"/>
        </w:rPr>
        <w:t>An existing dwelling with a gable roof could have a rear addition with a skillion roof that reflects the existing dwelling.</w:t>
      </w:r>
    </w:p>
    <w:p w14:paraId="4BCDD635" w14:textId="77777777" w:rsidR="00B46EF1" w:rsidRPr="00BC6147" w:rsidRDefault="00BC6147" w:rsidP="00BC6147">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3.7.8.3</w:t>
      </w:r>
      <w:r>
        <w:rPr>
          <w:rFonts w:ascii="Avenir LT 65 Medium" w:hAnsi="Avenir LT 65 Medium"/>
          <w:bCs/>
          <w:i w:val="0"/>
          <w:color w:val="auto"/>
        </w:rPr>
        <w:tab/>
      </w:r>
      <w:r w:rsidR="00B46EF1" w:rsidRPr="00BC6147">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1"/>
        <w:gridCol w:w="4515"/>
      </w:tblGrid>
      <w:tr w:rsidR="00B46EF1" w:rsidRPr="005061AE" w14:paraId="4370DBE5" w14:textId="77777777" w:rsidTr="008048CE">
        <w:tc>
          <w:tcPr>
            <w:tcW w:w="4621" w:type="dxa"/>
            <w:tcBorders>
              <w:bottom w:val="single" w:sz="4" w:space="0" w:color="auto"/>
            </w:tcBorders>
          </w:tcPr>
          <w:p w14:paraId="329F9083" w14:textId="77777777" w:rsidR="00B46EF1" w:rsidRPr="00842387" w:rsidRDefault="00B46EF1" w:rsidP="008048CE">
            <w:pPr>
              <w:rPr>
                <w:rFonts w:ascii="Avenir LT 65 Medium" w:hAnsi="Avenir LT 65 Medium"/>
              </w:rPr>
            </w:pPr>
            <w:r w:rsidRPr="00842387">
              <w:rPr>
                <w:rFonts w:ascii="Avenir LT 65 Medium" w:hAnsi="Avenir LT 65 Medium"/>
              </w:rPr>
              <w:t>Performance Criteria</w:t>
            </w:r>
          </w:p>
        </w:tc>
        <w:tc>
          <w:tcPr>
            <w:tcW w:w="4621" w:type="dxa"/>
            <w:tcBorders>
              <w:bottom w:val="single" w:sz="4" w:space="0" w:color="auto"/>
            </w:tcBorders>
          </w:tcPr>
          <w:p w14:paraId="2E77C297" w14:textId="77777777" w:rsidR="00B46EF1" w:rsidRPr="00842387" w:rsidRDefault="00B46EF1" w:rsidP="008048CE">
            <w:r w:rsidRPr="00842387">
              <w:rPr>
                <w:rFonts w:ascii="Avenir LT 65 Medium" w:hAnsi="Avenir LT 65 Medium"/>
              </w:rPr>
              <w:t>Acceptable Development Provisions</w:t>
            </w:r>
          </w:p>
        </w:tc>
      </w:tr>
      <w:tr w:rsidR="00B46EF1" w:rsidRPr="00842387" w14:paraId="2764B3C3" w14:textId="77777777" w:rsidTr="008048CE">
        <w:tc>
          <w:tcPr>
            <w:tcW w:w="4621" w:type="dxa"/>
            <w:tcBorders>
              <w:top w:val="single" w:sz="4" w:space="0" w:color="auto"/>
              <w:bottom w:val="nil"/>
            </w:tcBorders>
          </w:tcPr>
          <w:p w14:paraId="5BB0AD24" w14:textId="77777777" w:rsidR="00B46EF1" w:rsidRPr="00842387" w:rsidRDefault="00B46EF1" w:rsidP="008048CE">
            <w:pPr>
              <w:spacing w:before="200"/>
              <w:rPr>
                <w:rFonts w:ascii="Avenir LT 65 Medium" w:hAnsi="Avenir LT 65 Medium"/>
              </w:rPr>
            </w:pPr>
            <w:r w:rsidRPr="00842387">
              <w:rPr>
                <w:rFonts w:ascii="Avenir LT 65 Medium" w:hAnsi="Avenir LT 65 Medium"/>
              </w:rPr>
              <w:t>All Precincts</w:t>
            </w:r>
          </w:p>
          <w:p w14:paraId="23EF2CD3" w14:textId="77777777" w:rsidR="00B46EF1" w:rsidRPr="002F5890" w:rsidRDefault="00B46EF1" w:rsidP="002A3889">
            <w:pPr>
              <w:pStyle w:val="ListParagraph"/>
              <w:numPr>
                <w:ilvl w:val="0"/>
                <w:numId w:val="131"/>
              </w:numPr>
              <w:spacing w:before="200" w:line="360" w:lineRule="auto"/>
              <w:ind w:left="567" w:hanging="504"/>
              <w:contextualSpacing w:val="0"/>
              <w:rPr>
                <w:rFonts w:ascii="Avenir LT 65 Medium" w:hAnsi="Avenir LT 65 Medium"/>
              </w:rPr>
            </w:pPr>
            <w:r w:rsidRPr="00BC6147">
              <w:rPr>
                <w:rFonts w:ascii="Avenir LT 45 Book" w:eastAsia="Calibri" w:hAnsi="Avenir LT 45 Book" w:cs="Times New Roman"/>
                <w:sz w:val="20"/>
              </w:rPr>
              <w:t>Roof forms of additions and alterations positively contribute to the existing dwelling.</w:t>
            </w:r>
          </w:p>
        </w:tc>
        <w:tc>
          <w:tcPr>
            <w:tcW w:w="4621" w:type="dxa"/>
            <w:tcBorders>
              <w:top w:val="single" w:sz="4" w:space="0" w:color="auto"/>
              <w:bottom w:val="nil"/>
            </w:tcBorders>
          </w:tcPr>
          <w:p w14:paraId="29975FF6" w14:textId="77777777" w:rsidR="00B46EF1" w:rsidRPr="00842387" w:rsidRDefault="00B46EF1" w:rsidP="008048CE">
            <w:pPr>
              <w:spacing w:before="200"/>
              <w:rPr>
                <w:rFonts w:ascii="Avenir LT 65 Medium" w:hAnsi="Avenir LT 65 Medium"/>
              </w:rPr>
            </w:pPr>
            <w:r w:rsidRPr="00842387">
              <w:rPr>
                <w:rFonts w:ascii="Avenir LT 65 Medium" w:hAnsi="Avenir LT 65 Medium"/>
              </w:rPr>
              <w:t>All Precincts</w:t>
            </w:r>
          </w:p>
          <w:p w14:paraId="2F493AE2" w14:textId="77777777" w:rsidR="00B46EF1" w:rsidRPr="00F9382A" w:rsidRDefault="00B46EF1" w:rsidP="002A3889">
            <w:pPr>
              <w:pStyle w:val="ListParagraph"/>
              <w:numPr>
                <w:ilvl w:val="0"/>
                <w:numId w:val="132"/>
              </w:numPr>
              <w:spacing w:before="200" w:line="360" w:lineRule="auto"/>
              <w:ind w:left="624" w:hanging="567"/>
              <w:contextualSpacing w:val="0"/>
              <w:rPr>
                <w:rFonts w:ascii="Avenir LT 65 Medium" w:hAnsi="Avenir LT 65 Medium"/>
              </w:rPr>
            </w:pPr>
            <w:r w:rsidRPr="00BC6147">
              <w:rPr>
                <w:rFonts w:ascii="Avenir LT 45 Book" w:eastAsia="Calibri" w:hAnsi="Avenir LT 45 Book" w:cs="Times New Roman"/>
                <w:sz w:val="20"/>
              </w:rPr>
              <w:t>Additions and alterations to a contributory building are to match the original roof pitch.</w:t>
            </w:r>
          </w:p>
        </w:tc>
      </w:tr>
      <w:tr w:rsidR="00B46EF1" w:rsidRPr="00842387" w14:paraId="464FB94A" w14:textId="77777777" w:rsidTr="008048CE">
        <w:tc>
          <w:tcPr>
            <w:tcW w:w="4621" w:type="dxa"/>
            <w:tcBorders>
              <w:top w:val="nil"/>
              <w:bottom w:val="nil"/>
            </w:tcBorders>
          </w:tcPr>
          <w:p w14:paraId="5D511A80" w14:textId="77777777" w:rsidR="00B46EF1" w:rsidRPr="00BC6147" w:rsidRDefault="00B46EF1" w:rsidP="002A3889">
            <w:pPr>
              <w:pStyle w:val="ListParagraph"/>
              <w:numPr>
                <w:ilvl w:val="0"/>
                <w:numId w:val="131"/>
              </w:numPr>
              <w:spacing w:before="200" w:line="360" w:lineRule="auto"/>
              <w:ind w:left="567" w:hanging="504"/>
              <w:contextualSpacing w:val="0"/>
              <w:rPr>
                <w:rFonts w:ascii="Avenir LT 45 Book" w:eastAsia="Calibri" w:hAnsi="Avenir LT 45 Book" w:cs="Times New Roman"/>
                <w:sz w:val="20"/>
              </w:rPr>
            </w:pPr>
            <w:r w:rsidRPr="00BC6147">
              <w:rPr>
                <w:rFonts w:ascii="Avenir LT 45 Book" w:eastAsia="Calibri" w:hAnsi="Avenir LT 45 Book" w:cs="Times New Roman"/>
                <w:sz w:val="20"/>
              </w:rPr>
              <w:t>The eaves of alterations and additions are to complement the eaves of the existing building.</w:t>
            </w:r>
          </w:p>
        </w:tc>
        <w:tc>
          <w:tcPr>
            <w:tcW w:w="4621" w:type="dxa"/>
            <w:tcBorders>
              <w:top w:val="nil"/>
              <w:bottom w:val="nil"/>
            </w:tcBorders>
          </w:tcPr>
          <w:p w14:paraId="0B729877" w14:textId="77777777" w:rsidR="00B46EF1" w:rsidRPr="00BC6147" w:rsidRDefault="00B46EF1" w:rsidP="002A3889">
            <w:pPr>
              <w:pStyle w:val="ListParagraph"/>
              <w:numPr>
                <w:ilvl w:val="0"/>
                <w:numId w:val="132"/>
              </w:numPr>
              <w:spacing w:before="200" w:line="360" w:lineRule="auto"/>
              <w:ind w:left="624" w:hanging="567"/>
              <w:contextualSpacing w:val="0"/>
              <w:rPr>
                <w:rFonts w:ascii="Avenir LT 45 Book" w:eastAsia="Calibri" w:hAnsi="Avenir LT 45 Book" w:cs="Times New Roman"/>
                <w:sz w:val="20"/>
              </w:rPr>
            </w:pPr>
            <w:r w:rsidRPr="00BC6147">
              <w:rPr>
                <w:rFonts w:ascii="Avenir LT 45 Book" w:eastAsia="Calibri" w:hAnsi="Avenir LT 45 Book" w:cs="Times New Roman"/>
                <w:sz w:val="20"/>
              </w:rPr>
              <w:t>Eaves to new developments, additions and alterations are unlined.</w:t>
            </w:r>
          </w:p>
        </w:tc>
      </w:tr>
      <w:tr w:rsidR="00B46EF1" w:rsidRPr="00842387" w14:paraId="0EF56337" w14:textId="77777777" w:rsidTr="008048CE">
        <w:tc>
          <w:tcPr>
            <w:tcW w:w="4621" w:type="dxa"/>
            <w:tcBorders>
              <w:top w:val="nil"/>
              <w:bottom w:val="nil"/>
            </w:tcBorders>
          </w:tcPr>
          <w:p w14:paraId="7B841E3A" w14:textId="77777777" w:rsidR="00B46EF1" w:rsidRPr="00BC6147" w:rsidRDefault="00B46EF1" w:rsidP="002A3889">
            <w:pPr>
              <w:pStyle w:val="ListParagraph"/>
              <w:numPr>
                <w:ilvl w:val="0"/>
                <w:numId w:val="131"/>
              </w:numPr>
              <w:spacing w:before="200" w:line="360" w:lineRule="auto"/>
              <w:ind w:left="567" w:hanging="504"/>
              <w:contextualSpacing w:val="0"/>
              <w:rPr>
                <w:rFonts w:ascii="Avenir LT 45 Book" w:eastAsia="Calibri" w:hAnsi="Avenir LT 45 Book" w:cs="Times New Roman"/>
                <w:sz w:val="20"/>
              </w:rPr>
            </w:pPr>
            <w:r w:rsidRPr="00BC6147">
              <w:rPr>
                <w:rFonts w:ascii="Avenir LT 45 Book" w:eastAsia="Calibri" w:hAnsi="Avenir LT 45 Book" w:cs="Times New Roman"/>
                <w:sz w:val="20"/>
              </w:rPr>
              <w:t xml:space="preserve">The eaves of new developments are sympathetic with immediate locality </w:t>
            </w:r>
            <w:proofErr w:type="gramStart"/>
            <w:r w:rsidRPr="00BC6147">
              <w:rPr>
                <w:rFonts w:ascii="Avenir LT 45 Book" w:eastAsia="Calibri" w:hAnsi="Avenir LT 45 Book" w:cs="Times New Roman"/>
                <w:sz w:val="20"/>
              </w:rPr>
              <w:t>in regard to</w:t>
            </w:r>
            <w:proofErr w:type="gramEnd"/>
            <w:r w:rsidRPr="00BC6147">
              <w:rPr>
                <w:rFonts w:ascii="Avenir LT 45 Book" w:eastAsia="Calibri" w:hAnsi="Avenir LT 45 Book" w:cs="Times New Roman"/>
                <w:sz w:val="20"/>
              </w:rPr>
              <w:t xml:space="preserve"> size of overhang.</w:t>
            </w:r>
          </w:p>
        </w:tc>
        <w:tc>
          <w:tcPr>
            <w:tcW w:w="4621" w:type="dxa"/>
            <w:tcBorders>
              <w:top w:val="nil"/>
              <w:bottom w:val="nil"/>
            </w:tcBorders>
          </w:tcPr>
          <w:p w14:paraId="168888D0" w14:textId="77777777" w:rsidR="00B46EF1" w:rsidRPr="00BC6147" w:rsidRDefault="00B46EF1" w:rsidP="002A3889">
            <w:pPr>
              <w:pStyle w:val="ListParagraph"/>
              <w:numPr>
                <w:ilvl w:val="0"/>
                <w:numId w:val="132"/>
              </w:numPr>
              <w:spacing w:before="200" w:line="360" w:lineRule="auto"/>
              <w:ind w:left="624" w:hanging="505"/>
              <w:contextualSpacing w:val="0"/>
              <w:rPr>
                <w:rFonts w:ascii="Avenir LT 45 Book" w:eastAsia="Calibri" w:hAnsi="Avenir LT 45 Book" w:cs="Times New Roman"/>
                <w:sz w:val="20"/>
              </w:rPr>
            </w:pPr>
            <w:r w:rsidRPr="00BC6147">
              <w:rPr>
                <w:rFonts w:ascii="Avenir LT 45 Book" w:eastAsia="Calibri" w:hAnsi="Avenir LT 45 Book" w:cs="Times New Roman"/>
                <w:sz w:val="20"/>
              </w:rPr>
              <w:t>Size and overhang of eaves to new developments, additions and alterations to match the immediate locality.</w:t>
            </w:r>
          </w:p>
        </w:tc>
      </w:tr>
      <w:tr w:rsidR="00B46EF1" w:rsidRPr="00842387" w14:paraId="29A1E9D5" w14:textId="77777777" w:rsidTr="008048CE">
        <w:tc>
          <w:tcPr>
            <w:tcW w:w="4621" w:type="dxa"/>
            <w:tcBorders>
              <w:top w:val="nil"/>
              <w:bottom w:val="nil"/>
            </w:tcBorders>
          </w:tcPr>
          <w:p w14:paraId="76EBEBAD" w14:textId="77777777" w:rsidR="00B46EF1" w:rsidRPr="00842387" w:rsidRDefault="00B46EF1" w:rsidP="008048CE">
            <w:pPr>
              <w:spacing w:before="200"/>
              <w:rPr>
                <w:rFonts w:ascii="Avenir LT 65 Medium" w:hAnsi="Avenir LT 65 Medium"/>
              </w:rPr>
            </w:pPr>
            <w:r w:rsidRPr="00842387">
              <w:rPr>
                <w:rFonts w:ascii="Avenir LT 65 Medium" w:hAnsi="Avenir LT 65 Medium"/>
              </w:rPr>
              <w:t>Woodside, Richmond, Plympton and Raceway</w:t>
            </w:r>
          </w:p>
          <w:p w14:paraId="53BD3C9D" w14:textId="77777777" w:rsidR="00B46EF1" w:rsidRPr="00842387" w:rsidRDefault="00B46EF1" w:rsidP="002A3889">
            <w:pPr>
              <w:pStyle w:val="ListParagraph"/>
              <w:numPr>
                <w:ilvl w:val="0"/>
                <w:numId w:val="131"/>
              </w:numPr>
              <w:spacing w:before="200" w:line="360" w:lineRule="auto"/>
              <w:ind w:left="567" w:hanging="504"/>
              <w:contextualSpacing w:val="0"/>
            </w:pPr>
            <w:r w:rsidRPr="00BC6147">
              <w:rPr>
                <w:rFonts w:ascii="Avenir LT 45 Book" w:eastAsia="Calibri" w:hAnsi="Avenir LT 45 Book" w:cs="Times New Roman"/>
                <w:sz w:val="20"/>
              </w:rPr>
              <w:t>Roof forms of new buildings complement the traditional form of surrounding development in the immediate locality</w:t>
            </w:r>
            <w:r w:rsidRPr="00842387">
              <w:t>.</w:t>
            </w:r>
          </w:p>
        </w:tc>
        <w:tc>
          <w:tcPr>
            <w:tcW w:w="4621" w:type="dxa"/>
            <w:tcBorders>
              <w:top w:val="nil"/>
              <w:bottom w:val="nil"/>
            </w:tcBorders>
          </w:tcPr>
          <w:p w14:paraId="1DCB3B1D" w14:textId="77777777" w:rsidR="00B46EF1" w:rsidRPr="00842387" w:rsidRDefault="00B46EF1" w:rsidP="008048CE">
            <w:pPr>
              <w:spacing w:before="200"/>
              <w:rPr>
                <w:rFonts w:ascii="Avenir LT 65 Medium" w:hAnsi="Avenir LT 65 Medium"/>
              </w:rPr>
            </w:pPr>
            <w:r w:rsidRPr="00842387">
              <w:rPr>
                <w:rFonts w:ascii="Avenir LT 65 Medium" w:hAnsi="Avenir LT 65 Medium"/>
              </w:rPr>
              <w:t>Woodside, Richmond, Plympton and Raceway</w:t>
            </w:r>
          </w:p>
          <w:p w14:paraId="18A7867A" w14:textId="77777777" w:rsidR="00B46EF1" w:rsidRPr="00BC6147" w:rsidRDefault="00B46EF1" w:rsidP="002A3889">
            <w:pPr>
              <w:pStyle w:val="ListParagraph"/>
              <w:numPr>
                <w:ilvl w:val="1"/>
                <w:numId w:val="133"/>
              </w:numPr>
              <w:spacing w:before="200" w:line="360" w:lineRule="auto"/>
              <w:ind w:left="624" w:hanging="567"/>
              <w:contextualSpacing w:val="0"/>
              <w:rPr>
                <w:rFonts w:ascii="Avenir LT 45 Book" w:eastAsia="Calibri" w:hAnsi="Avenir LT 45 Book" w:cs="Times New Roman"/>
                <w:sz w:val="20"/>
              </w:rPr>
            </w:pPr>
            <w:r w:rsidRPr="00BC6147">
              <w:rPr>
                <w:rFonts w:ascii="Avenir LT 45 Book" w:eastAsia="Calibri" w:hAnsi="Avenir LT 45 Book" w:cs="Times New Roman"/>
                <w:sz w:val="20"/>
              </w:rPr>
              <w:t>Roof forms of new developments should be pitched between 28˚ and 36˚ and are of consistent scale and form with the prevailing building typology in the immediate locality.</w:t>
            </w:r>
          </w:p>
          <w:p w14:paraId="6DDEBFF9" w14:textId="77777777" w:rsidR="00B46EF1" w:rsidRPr="00842387" w:rsidRDefault="00B46EF1" w:rsidP="002A3889">
            <w:pPr>
              <w:pStyle w:val="ListParagraph"/>
              <w:numPr>
                <w:ilvl w:val="1"/>
                <w:numId w:val="133"/>
              </w:numPr>
              <w:spacing w:before="200" w:line="360" w:lineRule="auto"/>
              <w:ind w:left="624" w:hanging="567"/>
              <w:contextualSpacing w:val="0"/>
            </w:pPr>
            <w:r w:rsidRPr="00BC6147">
              <w:rPr>
                <w:rFonts w:ascii="Avenir LT 45 Book" w:eastAsia="Calibri" w:hAnsi="Avenir LT 45 Book" w:cs="Times New Roman"/>
                <w:sz w:val="20"/>
              </w:rPr>
              <w:t>A contemporary roof form or roof pitch that is less than 28˚ or greater than 36˚ shall be approved where the applicant</w:t>
            </w:r>
            <w:r w:rsidRPr="00842387">
              <w:t xml:space="preserve"> </w:t>
            </w:r>
            <w:r w:rsidRPr="00BC6147">
              <w:rPr>
                <w:rFonts w:ascii="Avenir LT 45 Book" w:eastAsia="Calibri" w:hAnsi="Avenir LT 45 Book" w:cs="Times New Roman"/>
                <w:sz w:val="20"/>
              </w:rPr>
              <w:t>demonstrates compatibility with the immediate locality.</w:t>
            </w:r>
          </w:p>
          <w:p w14:paraId="1577A281" w14:textId="77777777" w:rsidR="00B46EF1" w:rsidRPr="00842387" w:rsidRDefault="00B46EF1" w:rsidP="002A3889">
            <w:pPr>
              <w:pStyle w:val="ListParagraph"/>
              <w:numPr>
                <w:ilvl w:val="1"/>
                <w:numId w:val="133"/>
              </w:numPr>
              <w:spacing w:before="200" w:line="360" w:lineRule="auto"/>
              <w:ind w:left="624" w:hanging="567"/>
              <w:contextualSpacing w:val="0"/>
            </w:pPr>
            <w:r w:rsidRPr="00BC6147">
              <w:rPr>
                <w:rFonts w:ascii="Avenir LT 45 Book" w:eastAsia="Calibri" w:hAnsi="Avenir LT 45 Book" w:cs="Times New Roman"/>
                <w:sz w:val="20"/>
              </w:rPr>
              <w:lastRenderedPageBreak/>
              <w:t>Chimney(s) of contributory buildings are retained.</w:t>
            </w:r>
          </w:p>
        </w:tc>
      </w:tr>
      <w:tr w:rsidR="00B46EF1" w:rsidRPr="00842387" w14:paraId="00868632" w14:textId="77777777" w:rsidTr="008048CE">
        <w:trPr>
          <w:trHeight w:val="3061"/>
        </w:trPr>
        <w:tc>
          <w:tcPr>
            <w:tcW w:w="4621" w:type="dxa"/>
            <w:tcBorders>
              <w:top w:val="nil"/>
              <w:bottom w:val="nil"/>
            </w:tcBorders>
          </w:tcPr>
          <w:p w14:paraId="43946858" w14:textId="77777777" w:rsidR="00B46EF1" w:rsidRPr="00842387" w:rsidRDefault="00B46EF1" w:rsidP="008048CE">
            <w:pPr>
              <w:spacing w:before="200"/>
              <w:rPr>
                <w:rFonts w:ascii="Avenir LT 65 Medium" w:hAnsi="Avenir LT 65 Medium"/>
              </w:rPr>
            </w:pPr>
            <w:r w:rsidRPr="00842387">
              <w:rPr>
                <w:rFonts w:ascii="Avenir LT 65 Medium" w:hAnsi="Avenir LT 65 Medium"/>
              </w:rPr>
              <w:lastRenderedPageBreak/>
              <w:t xml:space="preserve">Richmond Hill and Riverside </w:t>
            </w:r>
          </w:p>
          <w:p w14:paraId="2F73DB40" w14:textId="77777777" w:rsidR="00B46EF1" w:rsidRPr="00F9382A" w:rsidRDefault="00B46EF1" w:rsidP="002A3889">
            <w:pPr>
              <w:pStyle w:val="ListParagraph"/>
              <w:numPr>
                <w:ilvl w:val="0"/>
                <w:numId w:val="131"/>
              </w:numPr>
              <w:spacing w:before="200" w:line="360" w:lineRule="auto"/>
              <w:ind w:left="567" w:hanging="504"/>
              <w:contextualSpacing w:val="0"/>
              <w:rPr>
                <w:rFonts w:ascii="Avenir LT 65 Medium" w:hAnsi="Avenir LT 65 Medium"/>
              </w:rPr>
            </w:pPr>
            <w:r w:rsidRPr="00BC6147">
              <w:rPr>
                <w:rFonts w:ascii="Avenir LT 45 Book" w:eastAsia="Calibri" w:hAnsi="Avenir LT 45 Book" w:cs="Times New Roman"/>
                <w:sz w:val="20"/>
              </w:rPr>
              <w:t>Roof forms not to be restricted to traditional roof forms.  Roof forms are to not adversely affect the immediate locality.</w:t>
            </w:r>
          </w:p>
        </w:tc>
        <w:tc>
          <w:tcPr>
            <w:tcW w:w="4621" w:type="dxa"/>
            <w:tcBorders>
              <w:top w:val="nil"/>
              <w:bottom w:val="nil"/>
            </w:tcBorders>
          </w:tcPr>
          <w:p w14:paraId="0AAEF394" w14:textId="77777777" w:rsidR="00B46EF1" w:rsidRPr="00842387" w:rsidRDefault="00B46EF1" w:rsidP="008048CE">
            <w:pPr>
              <w:spacing w:before="200"/>
              <w:rPr>
                <w:rFonts w:ascii="Avenir LT 65 Medium" w:hAnsi="Avenir LT 65 Medium"/>
              </w:rPr>
            </w:pPr>
            <w:r w:rsidRPr="00842387">
              <w:rPr>
                <w:rFonts w:ascii="Avenir LT 65 Medium" w:hAnsi="Avenir LT 65 Medium"/>
              </w:rPr>
              <w:t xml:space="preserve">Richmond Hill and Riverside </w:t>
            </w:r>
          </w:p>
          <w:p w14:paraId="74C3399F" w14:textId="77777777" w:rsidR="00B46EF1" w:rsidRPr="001C6283" w:rsidRDefault="00B46EF1" w:rsidP="002A3889">
            <w:pPr>
              <w:pStyle w:val="ListParagraph"/>
              <w:numPr>
                <w:ilvl w:val="0"/>
                <w:numId w:val="133"/>
              </w:numPr>
              <w:spacing w:before="200" w:line="360" w:lineRule="auto"/>
              <w:ind w:left="624" w:hanging="567"/>
              <w:contextualSpacing w:val="0"/>
            </w:pPr>
            <w:r w:rsidRPr="00BC6147">
              <w:rPr>
                <w:rFonts w:ascii="Avenir LT 45 Book" w:eastAsia="Calibri" w:hAnsi="Avenir LT 45 Book" w:cs="Times New Roman"/>
                <w:sz w:val="20"/>
              </w:rPr>
              <w:t>Relevant information demonstrating impact of roof on the immediate locality to be provided.  This is to include site plans, roof plans, elevations and sections.  Photos of the streetscape should also be provided.  Street elevations are to be included including a minimum of the subject lot and two neighbouring lots.</w:t>
            </w:r>
          </w:p>
        </w:tc>
      </w:tr>
    </w:tbl>
    <w:p w14:paraId="43D6E256" w14:textId="77777777" w:rsidR="00B46EF1" w:rsidRPr="00BC6147" w:rsidRDefault="00B46EF1" w:rsidP="00BC6147">
      <w:pPr>
        <w:pStyle w:val="Heading3"/>
        <w:keepNext w:val="0"/>
        <w:keepLines w:val="0"/>
        <w:tabs>
          <w:tab w:val="left" w:pos="1418"/>
        </w:tabs>
        <w:autoSpaceDE w:val="0"/>
        <w:autoSpaceDN w:val="0"/>
        <w:spacing w:before="0" w:after="200" w:line="360" w:lineRule="auto"/>
        <w:jc w:val="both"/>
        <w:rPr>
          <w:rFonts w:ascii="Avenir LT 65 Medium" w:eastAsia="Times New Roman" w:hAnsi="Avenir LT 65 Medium" w:cs="Times New Roman"/>
          <w:bCs/>
          <w:color w:val="000000"/>
          <w:sz w:val="22"/>
        </w:rPr>
      </w:pPr>
    </w:p>
    <w:p w14:paraId="25B5E399" w14:textId="77777777" w:rsidR="00B46EF1" w:rsidRPr="00BC6147" w:rsidRDefault="00BC6147" w:rsidP="00BC6147">
      <w:pPr>
        <w:pStyle w:val="Heading4"/>
        <w:tabs>
          <w:tab w:val="left" w:pos="1418"/>
        </w:tabs>
        <w:spacing w:before="120" w:after="200" w:line="360" w:lineRule="auto"/>
        <w:rPr>
          <w:rFonts w:ascii="Avenir LT 65 Medium" w:hAnsi="Avenir LT 65 Medium"/>
          <w:bCs/>
          <w:i w:val="0"/>
          <w:color w:val="auto"/>
        </w:rPr>
      </w:pPr>
      <w:bookmarkStart w:id="456" w:name="_Toc452727439"/>
      <w:r>
        <w:rPr>
          <w:rFonts w:ascii="Avenir LT 65 Medium" w:hAnsi="Avenir LT 65 Medium"/>
          <w:bCs/>
          <w:i w:val="0"/>
          <w:color w:val="auto"/>
        </w:rPr>
        <w:t>3.7.9</w:t>
      </w:r>
      <w:r>
        <w:rPr>
          <w:rFonts w:ascii="Avenir LT 65 Medium" w:hAnsi="Avenir LT 65 Medium"/>
          <w:bCs/>
          <w:i w:val="0"/>
          <w:color w:val="auto"/>
        </w:rPr>
        <w:tab/>
      </w:r>
      <w:r w:rsidR="00B46EF1" w:rsidRPr="00BC6147">
        <w:rPr>
          <w:rFonts w:ascii="Avenir LT 65 Medium" w:hAnsi="Avenir LT 65 Medium"/>
          <w:bCs/>
          <w:i w:val="0"/>
          <w:color w:val="auto"/>
        </w:rPr>
        <w:t>Materials and Colours</w:t>
      </w:r>
      <w:bookmarkEnd w:id="456"/>
    </w:p>
    <w:p w14:paraId="4DE9282B" w14:textId="77777777" w:rsidR="00B46EF1" w:rsidRPr="00BC6147" w:rsidRDefault="00BC6147" w:rsidP="00BC6147">
      <w:pPr>
        <w:pStyle w:val="Heading4"/>
        <w:tabs>
          <w:tab w:val="left" w:pos="1418"/>
        </w:tabs>
        <w:spacing w:before="120" w:after="200" w:line="360" w:lineRule="auto"/>
        <w:rPr>
          <w:rFonts w:ascii="Avenir LT 65 Medium" w:hAnsi="Avenir LT 65 Medium"/>
          <w:bCs/>
          <w:i w:val="0"/>
          <w:color w:val="auto"/>
        </w:rPr>
      </w:pPr>
      <w:r>
        <w:rPr>
          <w:rFonts w:ascii="Avenir LT 65 Medium" w:hAnsi="Avenir LT 65 Medium"/>
          <w:bCs/>
          <w:i w:val="0"/>
          <w:color w:val="auto"/>
        </w:rPr>
        <w:t>3.7.9.1</w:t>
      </w:r>
      <w:r>
        <w:rPr>
          <w:rFonts w:ascii="Avenir LT 65 Medium" w:hAnsi="Avenir LT 65 Medium"/>
          <w:bCs/>
          <w:i w:val="0"/>
          <w:color w:val="auto"/>
        </w:rPr>
        <w:tab/>
      </w:r>
      <w:r w:rsidR="00B46EF1" w:rsidRPr="00BC6147">
        <w:rPr>
          <w:rFonts w:ascii="Avenir LT 65 Medium" w:hAnsi="Avenir LT 65 Medium"/>
          <w:bCs/>
          <w:i w:val="0"/>
          <w:color w:val="auto"/>
        </w:rPr>
        <w:t>Statement</w:t>
      </w:r>
    </w:p>
    <w:p w14:paraId="04B6CD52" w14:textId="77777777" w:rsidR="00B46EF1" w:rsidRPr="00BC6147" w:rsidRDefault="00B46EF1" w:rsidP="00BC6147">
      <w:pPr>
        <w:spacing w:line="360" w:lineRule="auto"/>
        <w:rPr>
          <w:rFonts w:ascii="Avenir LT 45 Book" w:eastAsia="Calibri" w:hAnsi="Avenir LT 45 Book"/>
          <w:i/>
          <w:sz w:val="20"/>
        </w:rPr>
      </w:pPr>
      <w:r w:rsidRPr="00BC6147">
        <w:rPr>
          <w:rFonts w:ascii="Avenir LT 45 Book" w:eastAsia="Calibri" w:hAnsi="Avenir LT 45 Book"/>
          <w:i/>
          <w:sz w:val="20"/>
        </w:rPr>
        <w:t xml:space="preserve">Residences in the Policy Area are predominantly of timber, brick and limestone construction with corrugated iron and Marseille tiled roofs.  </w:t>
      </w:r>
      <w:proofErr w:type="gramStart"/>
      <w:r w:rsidRPr="00BC6147">
        <w:rPr>
          <w:rFonts w:ascii="Avenir LT 45 Book" w:eastAsia="Calibri" w:hAnsi="Avenir LT 45 Book"/>
          <w:i/>
          <w:sz w:val="20"/>
        </w:rPr>
        <w:t>Face brick,</w:t>
      </w:r>
      <w:proofErr w:type="gramEnd"/>
      <w:r w:rsidRPr="00BC6147">
        <w:rPr>
          <w:rFonts w:ascii="Avenir LT 45 Book" w:eastAsia="Calibri" w:hAnsi="Avenir LT 45 Book"/>
          <w:i/>
          <w:sz w:val="20"/>
        </w:rPr>
        <w:t xml:space="preserve"> rendered brick and painted brick finishes are evident throughout the Policy Area.  Some corrugated iron roofs have been replaced with </w:t>
      </w:r>
      <w:proofErr w:type="spellStart"/>
      <w:r w:rsidRPr="00BC6147">
        <w:rPr>
          <w:rFonts w:ascii="Avenir LT 45 Book" w:eastAsia="Calibri" w:hAnsi="Avenir LT 45 Book"/>
          <w:i/>
          <w:sz w:val="20"/>
        </w:rPr>
        <w:t>Colorbond</w:t>
      </w:r>
      <w:proofErr w:type="spellEnd"/>
      <w:r w:rsidRPr="00BC6147">
        <w:rPr>
          <w:rFonts w:ascii="Avenir LT 45 Book" w:eastAsia="Calibri" w:hAnsi="Avenir LT 45 Book"/>
          <w:i/>
          <w:sz w:val="20"/>
        </w:rPr>
        <w:t xml:space="preserve"> or </w:t>
      </w:r>
      <w:proofErr w:type="spellStart"/>
      <w:r w:rsidRPr="00BC6147">
        <w:rPr>
          <w:rFonts w:ascii="Avenir LT 45 Book" w:eastAsia="Calibri" w:hAnsi="Avenir LT 45 Book"/>
          <w:i/>
          <w:sz w:val="20"/>
        </w:rPr>
        <w:t>Zincalume</w:t>
      </w:r>
      <w:proofErr w:type="spellEnd"/>
      <w:r w:rsidRPr="00BC6147">
        <w:rPr>
          <w:rFonts w:ascii="Avenir LT 45 Book" w:eastAsia="Calibri" w:hAnsi="Avenir LT 45 Book"/>
          <w:i/>
          <w:sz w:val="20"/>
        </w:rPr>
        <w:t>.</w:t>
      </w:r>
    </w:p>
    <w:p w14:paraId="73EF7224" w14:textId="77777777" w:rsidR="00B46EF1" w:rsidRPr="00BC6147" w:rsidRDefault="00B46EF1" w:rsidP="00BC6147">
      <w:pPr>
        <w:spacing w:line="360" w:lineRule="auto"/>
        <w:rPr>
          <w:rFonts w:ascii="Avenir LT 45 Book" w:eastAsia="Calibri" w:hAnsi="Avenir LT 45 Book"/>
          <w:i/>
          <w:sz w:val="20"/>
        </w:rPr>
      </w:pPr>
      <w:r w:rsidRPr="00BC6147">
        <w:rPr>
          <w:rFonts w:ascii="Avenir LT 45 Book" w:eastAsia="Calibri" w:hAnsi="Avenir LT 45 Book"/>
          <w:i/>
          <w:sz w:val="20"/>
        </w:rPr>
        <w:t>For a specific existing material palette for each Precinct refer to the Town of East Fremantle Precinct Survey.</w:t>
      </w:r>
    </w:p>
    <w:p w14:paraId="43FAC77D" w14:textId="77777777" w:rsidR="00B46EF1" w:rsidRPr="00BC6147" w:rsidRDefault="00B46EF1" w:rsidP="00BC6147">
      <w:pPr>
        <w:spacing w:line="360" w:lineRule="auto"/>
        <w:rPr>
          <w:rFonts w:ascii="Avenir LT 45 Book" w:eastAsia="Calibri" w:hAnsi="Avenir LT 45 Book"/>
          <w:i/>
          <w:sz w:val="20"/>
        </w:rPr>
      </w:pPr>
      <w:r w:rsidRPr="00BC6147">
        <w:rPr>
          <w:rFonts w:ascii="Avenir LT 45 Book" w:eastAsia="Calibri" w:hAnsi="Avenir LT 45 Book"/>
          <w:i/>
          <w:sz w:val="20"/>
        </w:rPr>
        <w:t xml:space="preserve">External face brick or stone walls are defining elements or characteristics of a building and should not be coated, rendered or painted.  Full authentic restoration of original colour schemes is not required in the Policy Area.  Original cladding materials should not be removed.  Where repairs or replacement are necessary, this should be undertaken using materials consistent with the existing fabric.  </w:t>
      </w:r>
    </w:p>
    <w:p w14:paraId="06C3DC5B" w14:textId="77777777" w:rsidR="00B46EF1" w:rsidRPr="002E2944" w:rsidRDefault="00B46EF1" w:rsidP="00BC6147">
      <w:pPr>
        <w:spacing w:line="360" w:lineRule="auto"/>
        <w:rPr>
          <w:rFonts w:ascii="Avenir LT 45 Book" w:eastAsia="Calibri" w:hAnsi="Avenir LT 45 Book"/>
          <w:sz w:val="20"/>
        </w:rPr>
      </w:pPr>
      <w:r w:rsidRPr="002E2944">
        <w:rPr>
          <w:rFonts w:ascii="Avenir LT 45 Book" w:eastAsia="Calibri" w:hAnsi="Avenir LT 45 Book"/>
          <w:sz w:val="20"/>
        </w:rPr>
        <w:t>NOTE: Asbestos removal should be carried out in accordance with statutory regulations.</w:t>
      </w:r>
    </w:p>
    <w:p w14:paraId="22E94FA6" w14:textId="77777777" w:rsidR="00B46EF1" w:rsidRPr="00842387" w:rsidRDefault="00B46EF1" w:rsidP="00B46EF1">
      <w:pPr>
        <w:rPr>
          <w:rFonts w:cs="Swiss721BT-Light"/>
          <w:szCs w:val="20"/>
          <w:lang w:eastAsia="en-AU"/>
        </w:rPr>
      </w:pPr>
      <w:r>
        <w:rPr>
          <w:rFonts w:cs="Swiss721BT-Light"/>
          <w:noProof/>
          <w:szCs w:val="20"/>
          <w:lang w:eastAsia="en-AU"/>
        </w:rPr>
        <w:drawing>
          <wp:inline distT="0" distB="0" distL="0" distR="0" wp14:anchorId="5662DA7A" wp14:editId="29645343">
            <wp:extent cx="2524125" cy="1800225"/>
            <wp:effectExtent l="19050" t="0" r="9525" b="0"/>
            <wp:docPr id="143" name="Picture 60" descr="Z:\2011 JOBS\11206-EAST FREMANTLE GUIDELINES\11206-PHOTOS\PROCESSED\RACEWAY\59 MOSS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2011 JOBS\11206-EAST FREMANTLE GUIDELINES\11206-PHOTOS\PROCESSED\RACEWAY\59 MOSS STREET.jpg"/>
                    <pic:cNvPicPr>
                      <a:picLocks noChangeAspect="1" noChangeArrowheads="1"/>
                    </pic:cNvPicPr>
                  </pic:nvPicPr>
                  <pic:blipFill>
                    <a:blip r:embed="rId195"/>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rPr>
          <w:rFonts w:cs="Swiss721BT-Light"/>
          <w:szCs w:val="20"/>
          <w:lang w:eastAsia="en-AU"/>
        </w:rPr>
        <w:t xml:space="preserve">      </w:t>
      </w:r>
      <w:r>
        <w:rPr>
          <w:rFonts w:cs="Swiss721BT-Light"/>
          <w:noProof/>
          <w:szCs w:val="20"/>
          <w:lang w:eastAsia="en-AU"/>
        </w:rPr>
        <w:drawing>
          <wp:inline distT="0" distB="0" distL="0" distR="0" wp14:anchorId="08DAFC1F" wp14:editId="5406EF60">
            <wp:extent cx="2524125" cy="1800225"/>
            <wp:effectExtent l="19050" t="0" r="9525" b="0"/>
            <wp:docPr id="144" name="Picture 14" descr="Z:\2011 JOBS\11206-EAST FREMANTLE GUIDELINES\11206-PHOTOS\PROCESSED\PLYMPTON\SEWELL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2011 JOBS\11206-EAST FREMANTLE GUIDELINES\11206-PHOTOS\PROCESSED\PLYMPTON\SEWELL ST.jpg"/>
                    <pic:cNvPicPr>
                      <a:picLocks noChangeAspect="1" noChangeArrowheads="1"/>
                    </pic:cNvPicPr>
                  </pic:nvPicPr>
                  <pic:blipFill>
                    <a:blip r:embed="rId196"/>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6BA15CCF" w14:textId="77777777" w:rsidR="00B46EF1" w:rsidRPr="00BC6147" w:rsidRDefault="009F458E" w:rsidP="002E2944">
      <w:pPr>
        <w:pStyle w:val="Heading4"/>
        <w:tabs>
          <w:tab w:val="left" w:pos="1418"/>
        </w:tabs>
        <w:spacing w:before="120" w:after="120" w:line="360" w:lineRule="auto"/>
        <w:rPr>
          <w:rFonts w:ascii="Avenir LT 65 Medium" w:hAnsi="Avenir LT 65 Medium"/>
          <w:bCs/>
          <w:i w:val="0"/>
          <w:color w:val="auto"/>
        </w:rPr>
      </w:pPr>
      <w:r>
        <w:rPr>
          <w:rFonts w:ascii="Avenir LT 65 Medium" w:hAnsi="Avenir LT 65 Medium"/>
          <w:bCs/>
          <w:i w:val="0"/>
          <w:color w:val="auto"/>
        </w:rPr>
        <w:t>3.7.9.2</w:t>
      </w:r>
      <w:r>
        <w:rPr>
          <w:rFonts w:ascii="Avenir LT 65 Medium" w:hAnsi="Avenir LT 65 Medium"/>
          <w:bCs/>
          <w:i w:val="0"/>
          <w:color w:val="auto"/>
        </w:rPr>
        <w:tab/>
      </w:r>
      <w:r w:rsidR="00B46EF1" w:rsidRPr="00BC6147">
        <w:rPr>
          <w:rFonts w:ascii="Avenir LT 65 Medium" w:hAnsi="Avenir LT 65 Medium"/>
          <w:bCs/>
          <w:i w:val="0"/>
          <w:color w:val="auto"/>
        </w:rPr>
        <w:t>Desired Development Outcomes</w:t>
      </w:r>
    </w:p>
    <w:p w14:paraId="2872524F" w14:textId="77777777" w:rsidR="00B46EF1" w:rsidRPr="00FD23E1" w:rsidRDefault="00B46EF1" w:rsidP="002A3889">
      <w:pPr>
        <w:pStyle w:val="ListParagraph"/>
        <w:numPr>
          <w:ilvl w:val="0"/>
          <w:numId w:val="134"/>
        </w:numPr>
        <w:spacing w:line="360" w:lineRule="auto"/>
        <w:ind w:left="714" w:hanging="357"/>
        <w:contextualSpacing w:val="0"/>
        <w:rPr>
          <w:rFonts w:ascii="Avenir LT 45 Book" w:eastAsia="Calibri" w:hAnsi="Avenir LT 45 Book" w:cs="Times New Roman"/>
          <w:sz w:val="20"/>
        </w:rPr>
      </w:pPr>
      <w:r w:rsidRPr="00FD23E1">
        <w:rPr>
          <w:rFonts w:ascii="Avenir LT 45 Book" w:eastAsia="Calibri" w:hAnsi="Avenir LT 45 Book" w:cs="Times New Roman"/>
          <w:sz w:val="20"/>
        </w:rPr>
        <w:t xml:space="preserve">For existing contributory buildings, retain original materials where possible.  Where materials require replacement, the policy of replacing ‘like for like’ should be </w:t>
      </w:r>
      <w:proofErr w:type="gramStart"/>
      <w:r w:rsidRPr="00FD23E1">
        <w:rPr>
          <w:rFonts w:ascii="Avenir LT 45 Book" w:eastAsia="Calibri" w:hAnsi="Avenir LT 45 Book" w:cs="Times New Roman"/>
          <w:sz w:val="20"/>
        </w:rPr>
        <w:t>applied;</w:t>
      </w:r>
      <w:proofErr w:type="gramEnd"/>
    </w:p>
    <w:p w14:paraId="44CC63C3" w14:textId="77777777" w:rsidR="00B46EF1" w:rsidRPr="00FD23E1" w:rsidRDefault="00B46EF1" w:rsidP="002A3889">
      <w:pPr>
        <w:pStyle w:val="ListParagraph"/>
        <w:numPr>
          <w:ilvl w:val="0"/>
          <w:numId w:val="134"/>
        </w:numPr>
        <w:spacing w:line="360" w:lineRule="auto"/>
        <w:ind w:left="714" w:hanging="357"/>
        <w:contextualSpacing w:val="0"/>
        <w:rPr>
          <w:rFonts w:ascii="Avenir LT 45 Book" w:eastAsia="Calibri" w:hAnsi="Avenir LT 45 Book" w:cs="Times New Roman"/>
          <w:sz w:val="20"/>
        </w:rPr>
      </w:pPr>
      <w:r w:rsidRPr="00FD23E1">
        <w:rPr>
          <w:rFonts w:ascii="Avenir LT 45 Book" w:eastAsia="Calibri" w:hAnsi="Avenir LT 45 Book" w:cs="Times New Roman"/>
          <w:sz w:val="20"/>
        </w:rPr>
        <w:t xml:space="preserve">External colour schemes to existing buildings should be appropriate to the architectural period and style of the building, based on historical evidence where </w:t>
      </w:r>
      <w:proofErr w:type="gramStart"/>
      <w:r w:rsidRPr="00FD23E1">
        <w:rPr>
          <w:rFonts w:ascii="Avenir LT 45 Book" w:eastAsia="Calibri" w:hAnsi="Avenir LT 45 Book" w:cs="Times New Roman"/>
          <w:sz w:val="20"/>
        </w:rPr>
        <w:t>possible;</w:t>
      </w:r>
      <w:proofErr w:type="gramEnd"/>
    </w:p>
    <w:p w14:paraId="701BF91E" w14:textId="77777777" w:rsidR="00B46EF1" w:rsidRPr="00FD23E1" w:rsidRDefault="00B46EF1" w:rsidP="002A3889">
      <w:pPr>
        <w:pStyle w:val="ListParagraph"/>
        <w:numPr>
          <w:ilvl w:val="0"/>
          <w:numId w:val="134"/>
        </w:numPr>
        <w:spacing w:line="360" w:lineRule="auto"/>
        <w:ind w:left="714" w:hanging="357"/>
        <w:contextualSpacing w:val="0"/>
        <w:rPr>
          <w:rFonts w:ascii="Avenir LT 45 Book" w:eastAsia="Calibri" w:hAnsi="Avenir LT 45 Book" w:cs="Times New Roman"/>
          <w:sz w:val="20"/>
        </w:rPr>
      </w:pPr>
      <w:r w:rsidRPr="00FD23E1">
        <w:rPr>
          <w:rFonts w:ascii="Avenir LT 45 Book" w:eastAsia="Calibri" w:hAnsi="Avenir LT 45 Book" w:cs="Times New Roman"/>
          <w:sz w:val="20"/>
        </w:rPr>
        <w:lastRenderedPageBreak/>
        <w:t>New materials and colours that are compatible but distinguish the addition and alteration from the existing building are preferred; and,</w:t>
      </w:r>
    </w:p>
    <w:p w14:paraId="7C30E676" w14:textId="77777777" w:rsidR="00B46EF1" w:rsidRPr="00FD23E1" w:rsidRDefault="00B46EF1" w:rsidP="002A3889">
      <w:pPr>
        <w:pStyle w:val="ListParagraph"/>
        <w:numPr>
          <w:ilvl w:val="0"/>
          <w:numId w:val="134"/>
        </w:numPr>
        <w:spacing w:line="360" w:lineRule="auto"/>
        <w:ind w:left="714" w:hanging="357"/>
        <w:contextualSpacing w:val="0"/>
        <w:rPr>
          <w:rFonts w:ascii="Avenir LT 45 Book" w:eastAsia="Calibri" w:hAnsi="Avenir LT 45 Book" w:cs="Times New Roman"/>
          <w:sz w:val="20"/>
        </w:rPr>
      </w:pPr>
      <w:r w:rsidRPr="00FD23E1">
        <w:rPr>
          <w:rFonts w:ascii="Avenir LT 45 Book" w:eastAsia="Calibri" w:hAnsi="Avenir LT 45 Book" w:cs="Times New Roman"/>
          <w:sz w:val="20"/>
        </w:rPr>
        <w:t>New materials should be easily distinguishable from existing materials without detracting from the character and heritage significance of the Precinct.</w:t>
      </w:r>
    </w:p>
    <w:p w14:paraId="7B0632BA" w14:textId="77777777" w:rsidR="00B46EF1" w:rsidRPr="00FD23E1" w:rsidRDefault="00FD23E1" w:rsidP="00FD23E1">
      <w:pPr>
        <w:pStyle w:val="Heading4"/>
        <w:tabs>
          <w:tab w:val="left" w:pos="1418"/>
        </w:tabs>
        <w:spacing w:before="120" w:after="160" w:line="360" w:lineRule="auto"/>
        <w:rPr>
          <w:rFonts w:ascii="Avenir LT 65 Medium" w:hAnsi="Avenir LT 65 Medium"/>
          <w:bCs/>
          <w:i w:val="0"/>
          <w:color w:val="auto"/>
        </w:rPr>
      </w:pPr>
      <w:r>
        <w:rPr>
          <w:rFonts w:ascii="Avenir LT 65 Medium" w:hAnsi="Avenir LT 65 Medium"/>
          <w:bCs/>
          <w:i w:val="0"/>
          <w:color w:val="auto"/>
        </w:rPr>
        <w:t>3.7.9.3</w:t>
      </w:r>
      <w:r>
        <w:rPr>
          <w:rFonts w:ascii="Avenir LT 65 Medium" w:hAnsi="Avenir LT 65 Medium"/>
          <w:bCs/>
          <w:i w:val="0"/>
          <w:color w:val="auto"/>
        </w:rPr>
        <w:tab/>
      </w:r>
      <w:r w:rsidR="00B46EF1" w:rsidRPr="00FD23E1">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12"/>
        <w:gridCol w:w="4514"/>
      </w:tblGrid>
      <w:tr w:rsidR="00B46EF1" w:rsidRPr="00842387" w14:paraId="71FE8ABB" w14:textId="77777777" w:rsidTr="002E2944">
        <w:trPr>
          <w:trHeight w:val="548"/>
        </w:trPr>
        <w:tc>
          <w:tcPr>
            <w:tcW w:w="4511" w:type="dxa"/>
            <w:tcBorders>
              <w:bottom w:val="single" w:sz="4" w:space="0" w:color="auto"/>
            </w:tcBorders>
          </w:tcPr>
          <w:p w14:paraId="37D4FF22" w14:textId="77777777" w:rsidR="00B46EF1" w:rsidRDefault="00B46EF1" w:rsidP="008048CE">
            <w:pPr>
              <w:spacing w:after="160"/>
              <w:rPr>
                <w:rFonts w:ascii="Avenir LT 65 Medium" w:hAnsi="Avenir LT 65 Medium"/>
              </w:rPr>
            </w:pPr>
            <w:r w:rsidRPr="00842387">
              <w:rPr>
                <w:rFonts w:ascii="Avenir LT 65 Medium" w:hAnsi="Avenir LT 65 Medium"/>
              </w:rPr>
              <w:t>Performance Criteria</w:t>
            </w:r>
          </w:p>
        </w:tc>
        <w:tc>
          <w:tcPr>
            <w:tcW w:w="4515" w:type="dxa"/>
            <w:tcBorders>
              <w:bottom w:val="single" w:sz="4" w:space="0" w:color="auto"/>
            </w:tcBorders>
          </w:tcPr>
          <w:p w14:paraId="014C950B" w14:textId="77777777" w:rsidR="00B46EF1" w:rsidRDefault="00B46EF1" w:rsidP="008048CE">
            <w:pPr>
              <w:spacing w:after="160"/>
            </w:pPr>
            <w:r w:rsidRPr="00842387">
              <w:rPr>
                <w:rFonts w:ascii="Avenir LT 65 Medium" w:hAnsi="Avenir LT 65 Medium"/>
              </w:rPr>
              <w:t>Acceptable Development Provisions</w:t>
            </w:r>
          </w:p>
        </w:tc>
      </w:tr>
      <w:tr w:rsidR="00B46EF1" w:rsidRPr="00842387" w14:paraId="1D057927" w14:textId="77777777" w:rsidTr="002E2944">
        <w:tc>
          <w:tcPr>
            <w:tcW w:w="4511" w:type="dxa"/>
            <w:tcBorders>
              <w:top w:val="single" w:sz="4" w:space="0" w:color="auto"/>
              <w:bottom w:val="nil"/>
            </w:tcBorders>
          </w:tcPr>
          <w:p w14:paraId="4D1D0991" w14:textId="77777777" w:rsidR="00B46EF1" w:rsidRDefault="00B46EF1" w:rsidP="008048CE">
            <w:pPr>
              <w:spacing w:before="120" w:after="160"/>
              <w:rPr>
                <w:rFonts w:ascii="Avenir LT 65 Medium" w:hAnsi="Avenir LT 65 Medium"/>
              </w:rPr>
            </w:pPr>
            <w:r w:rsidRPr="00842387">
              <w:rPr>
                <w:rFonts w:ascii="Avenir LT 65 Medium" w:hAnsi="Avenir LT 65 Medium"/>
              </w:rPr>
              <w:t>Existing Buildings:</w:t>
            </w:r>
          </w:p>
          <w:p w14:paraId="6E04D8C3" w14:textId="77777777" w:rsidR="00B46EF1" w:rsidRDefault="00B46EF1" w:rsidP="002A3889">
            <w:pPr>
              <w:pStyle w:val="ListParagraph"/>
              <w:numPr>
                <w:ilvl w:val="0"/>
                <w:numId w:val="135"/>
              </w:numPr>
              <w:spacing w:after="160" w:line="360" w:lineRule="auto"/>
              <w:ind w:left="567" w:hanging="567"/>
              <w:contextualSpacing w:val="0"/>
            </w:pPr>
            <w:r w:rsidRPr="008C14DB">
              <w:rPr>
                <w:rFonts w:ascii="Avenir LT 45 Book" w:eastAsia="Calibri" w:hAnsi="Avenir LT 45 Book" w:cs="Times New Roman"/>
                <w:sz w:val="20"/>
              </w:rPr>
              <w:t>Where possible existing materials should be retained.  For contributory buildings where original materials require replacement, the policy of replacing ‘like for like’ should be applied.</w:t>
            </w:r>
          </w:p>
        </w:tc>
        <w:tc>
          <w:tcPr>
            <w:tcW w:w="4515" w:type="dxa"/>
            <w:tcBorders>
              <w:top w:val="single" w:sz="4" w:space="0" w:color="auto"/>
              <w:bottom w:val="nil"/>
            </w:tcBorders>
          </w:tcPr>
          <w:p w14:paraId="4AFCAFEB" w14:textId="77777777" w:rsidR="00B46EF1" w:rsidRDefault="00B46EF1" w:rsidP="008048CE">
            <w:pPr>
              <w:spacing w:before="120" w:after="160"/>
              <w:rPr>
                <w:rFonts w:ascii="Avenir LT 65 Medium" w:hAnsi="Avenir LT 65 Medium"/>
              </w:rPr>
            </w:pPr>
            <w:r w:rsidRPr="00842387">
              <w:rPr>
                <w:rFonts w:ascii="Avenir LT 65 Medium" w:hAnsi="Avenir LT 65 Medium"/>
              </w:rPr>
              <w:t>Existing Buildings:</w:t>
            </w:r>
          </w:p>
          <w:p w14:paraId="5AF5A69B" w14:textId="77777777" w:rsidR="00B46EF1" w:rsidRDefault="00B46EF1" w:rsidP="002A3889">
            <w:pPr>
              <w:pStyle w:val="ListParagraph"/>
              <w:numPr>
                <w:ilvl w:val="0"/>
                <w:numId w:val="137"/>
              </w:numPr>
              <w:spacing w:line="360" w:lineRule="auto"/>
              <w:ind w:left="624" w:hanging="567"/>
              <w:contextualSpacing w:val="0"/>
            </w:pPr>
            <w:r w:rsidRPr="008C14DB">
              <w:rPr>
                <w:rFonts w:ascii="Avenir LT 45 Book" w:eastAsia="Calibri" w:hAnsi="Avenir LT 45 Book" w:cs="Times New Roman"/>
                <w:sz w:val="20"/>
              </w:rPr>
              <w:t>Existing face brick and stonework is retained.</w:t>
            </w:r>
            <w:r w:rsidRPr="00842387">
              <w:t xml:space="preserve"> </w:t>
            </w:r>
          </w:p>
        </w:tc>
      </w:tr>
      <w:tr w:rsidR="00B46EF1" w:rsidRPr="00842387" w14:paraId="5DE1F676" w14:textId="77777777" w:rsidTr="002E2944">
        <w:tc>
          <w:tcPr>
            <w:tcW w:w="4511" w:type="dxa"/>
            <w:tcBorders>
              <w:top w:val="nil"/>
            </w:tcBorders>
          </w:tcPr>
          <w:p w14:paraId="760595C5" w14:textId="77777777" w:rsidR="00B46EF1" w:rsidRPr="008C14DB" w:rsidRDefault="00B46EF1" w:rsidP="002A3889">
            <w:pPr>
              <w:pStyle w:val="ListParagraph"/>
              <w:numPr>
                <w:ilvl w:val="0"/>
                <w:numId w:val="135"/>
              </w:numPr>
              <w:spacing w:after="160" w:line="360" w:lineRule="auto"/>
              <w:ind w:left="567" w:hanging="567"/>
              <w:contextualSpacing w:val="0"/>
              <w:rPr>
                <w:rFonts w:ascii="Avenir LT 45 Book" w:eastAsia="Calibri" w:hAnsi="Avenir LT 45 Book" w:cs="Times New Roman"/>
                <w:sz w:val="20"/>
              </w:rPr>
            </w:pPr>
            <w:r w:rsidRPr="008C14DB">
              <w:rPr>
                <w:rFonts w:ascii="Avenir LT 45 Book" w:eastAsia="Calibri" w:hAnsi="Avenir LT 45 Book" w:cs="Times New Roman"/>
                <w:sz w:val="20"/>
              </w:rPr>
              <w:t>Replacement of existing materials with new materials shall be approved if demonstrably compatible with the immediate locality.</w:t>
            </w:r>
          </w:p>
        </w:tc>
        <w:tc>
          <w:tcPr>
            <w:tcW w:w="4515" w:type="dxa"/>
            <w:tcBorders>
              <w:top w:val="nil"/>
            </w:tcBorders>
          </w:tcPr>
          <w:p w14:paraId="4F4FA725" w14:textId="77777777" w:rsidR="00B46EF1" w:rsidRPr="008C14DB" w:rsidRDefault="00B46EF1" w:rsidP="002A3889">
            <w:pPr>
              <w:pStyle w:val="ListParagraph"/>
              <w:numPr>
                <w:ilvl w:val="1"/>
                <w:numId w:val="138"/>
              </w:numPr>
              <w:spacing w:after="80" w:line="360" w:lineRule="auto"/>
              <w:ind w:left="624" w:hanging="567"/>
              <w:contextualSpacing w:val="0"/>
              <w:rPr>
                <w:rFonts w:ascii="Avenir LT 45 Book" w:eastAsia="Calibri" w:hAnsi="Avenir LT 45 Book" w:cs="Swiss721BT-Light"/>
                <w:sz w:val="20"/>
                <w:szCs w:val="20"/>
                <w:lang w:eastAsia="en-AU"/>
              </w:rPr>
            </w:pPr>
            <w:r w:rsidRPr="008C14DB">
              <w:rPr>
                <w:rFonts w:ascii="Avenir LT 45 Book" w:eastAsia="Calibri" w:hAnsi="Avenir LT 45 Book" w:cs="Swiss721BT-Light"/>
                <w:sz w:val="20"/>
                <w:szCs w:val="20"/>
                <w:lang w:eastAsia="en-AU"/>
              </w:rPr>
              <w:t>Original cladding materials should not be removed.  Where repairs or replacement is necessary, this should be undertaken using materials consistent with existing fabric.</w:t>
            </w:r>
          </w:p>
          <w:p w14:paraId="3DCC0498" w14:textId="77777777" w:rsidR="00B46EF1" w:rsidRPr="008C14DB" w:rsidRDefault="00B46EF1" w:rsidP="002A3889">
            <w:pPr>
              <w:pStyle w:val="ListParagraph"/>
              <w:numPr>
                <w:ilvl w:val="1"/>
                <w:numId w:val="138"/>
              </w:numPr>
              <w:spacing w:after="80" w:line="360" w:lineRule="auto"/>
              <w:ind w:left="624" w:hanging="567"/>
              <w:contextualSpacing w:val="0"/>
              <w:rPr>
                <w:rFonts w:ascii="Avenir LT 45 Book" w:eastAsia="Calibri" w:hAnsi="Avenir LT 45 Book" w:cs="Swiss721BT-Light"/>
                <w:sz w:val="20"/>
                <w:szCs w:val="20"/>
                <w:lang w:eastAsia="en-AU"/>
              </w:rPr>
            </w:pPr>
            <w:r w:rsidRPr="008C14DB">
              <w:rPr>
                <w:rFonts w:ascii="Avenir LT 45 Book" w:eastAsia="Calibri" w:hAnsi="Avenir LT 45 Book" w:cs="Swiss721BT-Light"/>
                <w:sz w:val="20"/>
                <w:szCs w:val="20"/>
                <w:lang w:eastAsia="en-AU"/>
              </w:rPr>
              <w:t xml:space="preserve">Existing timber joinery retained or replaced with new timber joinery to match existing where required.  </w:t>
            </w:r>
          </w:p>
          <w:p w14:paraId="56D90000" w14:textId="77777777" w:rsidR="00B46EF1" w:rsidRDefault="00B46EF1" w:rsidP="002A3889">
            <w:pPr>
              <w:pStyle w:val="ListParagraph"/>
              <w:numPr>
                <w:ilvl w:val="1"/>
                <w:numId w:val="138"/>
              </w:numPr>
              <w:spacing w:after="80" w:line="360" w:lineRule="auto"/>
              <w:ind w:left="624" w:hanging="567"/>
              <w:contextualSpacing w:val="0"/>
              <w:rPr>
                <w:rFonts w:ascii="Avenir LT 65 Medium" w:hAnsi="Avenir LT 65 Medium"/>
              </w:rPr>
            </w:pPr>
            <w:r w:rsidRPr="008C14DB">
              <w:rPr>
                <w:rFonts w:ascii="Avenir LT 45 Book" w:eastAsia="Calibri" w:hAnsi="Avenir LT 45 Book" w:cs="Swiss721BT-Light"/>
                <w:sz w:val="20"/>
                <w:szCs w:val="20"/>
                <w:lang w:eastAsia="en-AU"/>
              </w:rPr>
              <w:t>Existing roof material is retained or replaced as required.  Replacement materials should match existing for contributory buildings.  New materials will have to be demonstrated as compatible with the immediate locality.</w:t>
            </w:r>
          </w:p>
        </w:tc>
      </w:tr>
      <w:tr w:rsidR="00B46EF1" w:rsidRPr="00842387" w14:paraId="29DB2242" w14:textId="77777777" w:rsidTr="002E2944">
        <w:tc>
          <w:tcPr>
            <w:tcW w:w="4511" w:type="dxa"/>
            <w:tcBorders>
              <w:top w:val="nil"/>
            </w:tcBorders>
          </w:tcPr>
          <w:p w14:paraId="40B8ED60" w14:textId="77777777" w:rsidR="00B46EF1" w:rsidRDefault="00B46EF1" w:rsidP="002A3889">
            <w:pPr>
              <w:pStyle w:val="ListParagraph"/>
              <w:numPr>
                <w:ilvl w:val="0"/>
                <w:numId w:val="135"/>
              </w:numPr>
              <w:spacing w:after="160" w:line="360" w:lineRule="auto"/>
              <w:ind w:left="567" w:hanging="567"/>
              <w:contextualSpacing w:val="0"/>
            </w:pPr>
            <w:r w:rsidRPr="008C14DB">
              <w:rPr>
                <w:rFonts w:ascii="Avenir LT 45 Book" w:eastAsia="Calibri" w:hAnsi="Avenir LT 45 Book" w:cs="Times New Roman"/>
                <w:sz w:val="20"/>
              </w:rPr>
              <w:t>Reinstatement of original colour is encouraged for contributory buildings.  Where possible this should be informed by historical evidence including photos and paint scrapes.</w:t>
            </w:r>
          </w:p>
        </w:tc>
        <w:tc>
          <w:tcPr>
            <w:tcW w:w="4515" w:type="dxa"/>
            <w:tcBorders>
              <w:top w:val="nil"/>
            </w:tcBorders>
          </w:tcPr>
          <w:p w14:paraId="117753EB" w14:textId="77777777" w:rsidR="00B46EF1" w:rsidRDefault="00B46EF1" w:rsidP="002A3889">
            <w:pPr>
              <w:pStyle w:val="ListParagraph"/>
              <w:numPr>
                <w:ilvl w:val="0"/>
                <w:numId w:val="138"/>
              </w:numPr>
              <w:spacing w:after="80" w:line="360" w:lineRule="auto"/>
              <w:ind w:left="624" w:hanging="567"/>
              <w:contextualSpacing w:val="0"/>
              <w:rPr>
                <w:rFonts w:cs="Swiss721BT-Light"/>
                <w:szCs w:val="20"/>
                <w:lang w:eastAsia="en-AU"/>
              </w:rPr>
            </w:pPr>
            <w:r w:rsidRPr="008C14DB">
              <w:rPr>
                <w:rFonts w:ascii="Avenir LT 45 Book" w:eastAsia="Calibri" w:hAnsi="Avenir LT 45 Book" w:cs="Swiss721BT-Light"/>
                <w:sz w:val="20"/>
                <w:szCs w:val="20"/>
                <w:lang w:eastAsia="en-AU"/>
              </w:rPr>
              <w:t>Retain or reinstate original colour(s) of the residence.</w:t>
            </w:r>
          </w:p>
        </w:tc>
      </w:tr>
      <w:tr w:rsidR="00B46EF1" w:rsidRPr="00842387" w14:paraId="3D3583C4" w14:textId="77777777" w:rsidTr="002E2944">
        <w:tc>
          <w:tcPr>
            <w:tcW w:w="4511" w:type="dxa"/>
          </w:tcPr>
          <w:p w14:paraId="56BE072E" w14:textId="77777777" w:rsidR="00B46EF1" w:rsidRDefault="00B46EF1" w:rsidP="008048CE">
            <w:pPr>
              <w:spacing w:after="160"/>
              <w:rPr>
                <w:rFonts w:ascii="Avenir LT 65 Medium" w:hAnsi="Avenir LT 65 Medium"/>
              </w:rPr>
            </w:pPr>
            <w:r w:rsidRPr="00842387">
              <w:rPr>
                <w:rFonts w:ascii="Avenir LT 65 Medium" w:hAnsi="Avenir LT 65 Medium"/>
              </w:rPr>
              <w:t>Additions and Alterations:</w:t>
            </w:r>
          </w:p>
          <w:p w14:paraId="53265B4F" w14:textId="77777777" w:rsidR="00B46EF1" w:rsidRPr="001F7A82" w:rsidRDefault="00B46EF1" w:rsidP="002A3889">
            <w:pPr>
              <w:pStyle w:val="ListParagraph"/>
              <w:numPr>
                <w:ilvl w:val="1"/>
                <w:numId w:val="136"/>
              </w:numPr>
              <w:spacing w:line="360" w:lineRule="auto"/>
              <w:ind w:left="567" w:hanging="567"/>
              <w:contextualSpacing w:val="0"/>
            </w:pPr>
            <w:r w:rsidRPr="008C14DB">
              <w:rPr>
                <w:rFonts w:ascii="Avenir LT 45 Book" w:eastAsia="Calibri" w:hAnsi="Avenir LT 45 Book" w:cs="Times New Roman"/>
                <w:sz w:val="20"/>
              </w:rPr>
              <w:t>Materials and colours to additions and alterations should either match the original or be compatible with the immediate locality. New materials and colours that are compatible but</w:t>
            </w:r>
            <w:r w:rsidRPr="00842387">
              <w:t xml:space="preserve"> </w:t>
            </w:r>
            <w:r w:rsidRPr="008C14DB">
              <w:rPr>
                <w:rFonts w:ascii="Avenir LT 45 Book" w:eastAsia="Calibri" w:hAnsi="Avenir LT 45 Book" w:cs="Times New Roman"/>
                <w:sz w:val="20"/>
              </w:rPr>
              <w:t>distinguish the addition and</w:t>
            </w:r>
            <w:r w:rsidRPr="00842387">
              <w:t xml:space="preserve"> </w:t>
            </w:r>
            <w:r w:rsidRPr="008C14DB">
              <w:rPr>
                <w:rFonts w:ascii="Avenir LT 45 Book" w:eastAsia="Calibri" w:hAnsi="Avenir LT 45 Book" w:cs="Times New Roman"/>
                <w:sz w:val="20"/>
              </w:rPr>
              <w:t>alteration from the existing building are preferred.</w:t>
            </w:r>
          </w:p>
        </w:tc>
        <w:tc>
          <w:tcPr>
            <w:tcW w:w="4515" w:type="dxa"/>
          </w:tcPr>
          <w:p w14:paraId="0189B940" w14:textId="77777777" w:rsidR="00B46EF1" w:rsidRDefault="00B46EF1" w:rsidP="008048CE">
            <w:pPr>
              <w:spacing w:after="160"/>
              <w:rPr>
                <w:rFonts w:ascii="Avenir LT 65 Medium" w:hAnsi="Avenir LT 65 Medium"/>
              </w:rPr>
            </w:pPr>
            <w:r w:rsidRPr="00842387">
              <w:rPr>
                <w:rFonts w:ascii="Avenir LT 65 Medium" w:hAnsi="Avenir LT 65 Medium"/>
              </w:rPr>
              <w:t>Additions and Alterations:</w:t>
            </w:r>
          </w:p>
          <w:p w14:paraId="1B946DAC" w14:textId="77777777" w:rsidR="00B46EF1" w:rsidRPr="008C14DB" w:rsidRDefault="00B46EF1" w:rsidP="002A3889">
            <w:pPr>
              <w:pStyle w:val="ListParagraph"/>
              <w:numPr>
                <w:ilvl w:val="1"/>
                <w:numId w:val="139"/>
              </w:numPr>
              <w:spacing w:after="80" w:line="360" w:lineRule="auto"/>
              <w:ind w:left="624" w:hanging="567"/>
              <w:contextualSpacing w:val="0"/>
              <w:rPr>
                <w:rFonts w:ascii="Avenir LT 45 Book" w:eastAsia="Calibri" w:hAnsi="Avenir LT 45 Book" w:cs="Times New Roman"/>
                <w:sz w:val="20"/>
              </w:rPr>
            </w:pPr>
            <w:r w:rsidRPr="008C14DB">
              <w:rPr>
                <w:rFonts w:ascii="Avenir LT 45 Book" w:eastAsia="Calibri" w:hAnsi="Avenir LT 45 Book" w:cs="Times New Roman"/>
                <w:sz w:val="20"/>
              </w:rPr>
              <w:t>For alterations to existing dwellings the materials should match the materials of the original dwelling.</w:t>
            </w:r>
          </w:p>
          <w:p w14:paraId="2840136A" w14:textId="77777777" w:rsidR="00B46EF1" w:rsidRDefault="00B46EF1" w:rsidP="002A3889">
            <w:pPr>
              <w:pStyle w:val="ListParagraph"/>
              <w:numPr>
                <w:ilvl w:val="1"/>
                <w:numId w:val="139"/>
              </w:numPr>
              <w:spacing w:line="360" w:lineRule="auto"/>
              <w:ind w:left="624" w:hanging="624"/>
              <w:contextualSpacing w:val="0"/>
            </w:pPr>
            <w:r w:rsidRPr="008C14DB">
              <w:rPr>
                <w:rFonts w:ascii="Avenir LT 45 Book" w:eastAsia="Calibri" w:hAnsi="Avenir LT 45 Book" w:cs="Times New Roman"/>
                <w:sz w:val="20"/>
              </w:rPr>
              <w:t>For additions to existing dwellings the materials should be compatible but distinguishable from the existing. This</w:t>
            </w:r>
            <w:r>
              <w:t xml:space="preserve"> </w:t>
            </w:r>
            <w:r w:rsidRPr="008C14DB">
              <w:rPr>
                <w:rFonts w:ascii="Avenir LT 45 Book" w:eastAsia="Calibri" w:hAnsi="Avenir LT 45 Book" w:cs="Times New Roman"/>
                <w:sz w:val="20"/>
              </w:rPr>
              <w:t>to be demonstrated in relevant elevations.</w:t>
            </w:r>
          </w:p>
        </w:tc>
      </w:tr>
      <w:tr w:rsidR="00B46EF1" w:rsidRPr="00842387" w14:paraId="100D56D0" w14:textId="77777777" w:rsidTr="002E2944">
        <w:tc>
          <w:tcPr>
            <w:tcW w:w="4514" w:type="dxa"/>
          </w:tcPr>
          <w:p w14:paraId="490CC584" w14:textId="77777777" w:rsidR="00B46EF1" w:rsidRDefault="00B46EF1" w:rsidP="002A3889">
            <w:pPr>
              <w:pStyle w:val="ListParagraph"/>
              <w:numPr>
                <w:ilvl w:val="1"/>
                <w:numId w:val="136"/>
              </w:numPr>
              <w:spacing w:after="120" w:line="360" w:lineRule="auto"/>
              <w:ind w:left="567" w:hanging="567"/>
              <w:contextualSpacing w:val="0"/>
              <w:rPr>
                <w:rFonts w:ascii="Avenir LT 65 Medium" w:hAnsi="Avenir LT 65 Medium"/>
              </w:rPr>
            </w:pPr>
            <w:r w:rsidRPr="00AF13D5">
              <w:rPr>
                <w:rFonts w:ascii="Avenir LT 45 Book" w:eastAsia="Calibri" w:hAnsi="Avenir LT 45 Book" w:cs="Times New Roman"/>
                <w:sz w:val="20"/>
              </w:rPr>
              <w:t>Roofs of alterations or additions should be clad in materials that do not detract from the built form of the existing dwelling.</w:t>
            </w:r>
          </w:p>
        </w:tc>
        <w:tc>
          <w:tcPr>
            <w:tcW w:w="4512" w:type="dxa"/>
          </w:tcPr>
          <w:p w14:paraId="0A0229E1" w14:textId="77777777" w:rsidR="00B46EF1" w:rsidRDefault="00B46EF1" w:rsidP="008048CE">
            <w:pPr>
              <w:rPr>
                <w:rFonts w:ascii="Avenir LT 65 Medium" w:hAnsi="Avenir LT 65 Medium"/>
              </w:rPr>
            </w:pPr>
          </w:p>
        </w:tc>
      </w:tr>
      <w:tr w:rsidR="00B46EF1" w:rsidRPr="00842387" w14:paraId="4E670594" w14:textId="77777777" w:rsidTr="002E2944">
        <w:tc>
          <w:tcPr>
            <w:tcW w:w="4514" w:type="dxa"/>
          </w:tcPr>
          <w:p w14:paraId="6AC81445" w14:textId="77777777" w:rsidR="00B46EF1" w:rsidRDefault="00B46EF1" w:rsidP="007E7A1B">
            <w:pPr>
              <w:spacing w:after="120"/>
              <w:rPr>
                <w:rFonts w:ascii="Avenir LT 65 Medium" w:hAnsi="Avenir LT 65 Medium"/>
              </w:rPr>
            </w:pPr>
            <w:r>
              <w:rPr>
                <w:rFonts w:ascii="Avenir LT 65 Medium" w:hAnsi="Avenir LT 65 Medium"/>
              </w:rPr>
              <w:lastRenderedPageBreak/>
              <w:t>New D</w:t>
            </w:r>
            <w:r w:rsidRPr="00354FAF">
              <w:rPr>
                <w:rFonts w:ascii="Avenir LT 65 Medium" w:hAnsi="Avenir LT 65 Medium"/>
              </w:rPr>
              <w:t>evelopments:</w:t>
            </w:r>
          </w:p>
          <w:p w14:paraId="18BE8970" w14:textId="77777777" w:rsidR="00B46EF1" w:rsidRDefault="00B46EF1" w:rsidP="002A3889">
            <w:pPr>
              <w:pStyle w:val="ListParagraph"/>
              <w:numPr>
                <w:ilvl w:val="0"/>
                <w:numId w:val="136"/>
              </w:numPr>
              <w:spacing w:after="120" w:line="360" w:lineRule="auto"/>
              <w:ind w:left="567" w:hanging="567"/>
              <w:contextualSpacing w:val="0"/>
              <w:rPr>
                <w:rFonts w:ascii="Avenir LT 65 Medium" w:hAnsi="Avenir LT 65 Medium"/>
              </w:rPr>
            </w:pPr>
            <w:r w:rsidRPr="00AF13D5">
              <w:rPr>
                <w:rFonts w:ascii="Avenir LT 45 Book" w:eastAsia="Calibri" w:hAnsi="Avenir LT 45 Book" w:cs="Swiss721BT-Light"/>
                <w:sz w:val="20"/>
                <w:szCs w:val="20"/>
                <w:lang w:eastAsia="en-AU"/>
              </w:rPr>
              <w:t xml:space="preserve">Materials incorporated </w:t>
            </w:r>
            <w:proofErr w:type="gramStart"/>
            <w:r w:rsidRPr="00AF13D5">
              <w:rPr>
                <w:rFonts w:ascii="Avenir LT 45 Book" w:eastAsia="Calibri" w:hAnsi="Avenir LT 45 Book" w:cs="Swiss721BT-Light"/>
                <w:sz w:val="20"/>
                <w:szCs w:val="20"/>
                <w:lang w:eastAsia="en-AU"/>
              </w:rPr>
              <w:t>in to</w:t>
            </w:r>
            <w:proofErr w:type="gramEnd"/>
            <w:r w:rsidRPr="00AF13D5">
              <w:rPr>
                <w:rFonts w:ascii="Avenir LT 45 Book" w:eastAsia="Calibri" w:hAnsi="Avenir LT 45 Book" w:cs="Swiss721BT-Light"/>
                <w:sz w:val="20"/>
                <w:szCs w:val="20"/>
                <w:lang w:eastAsia="en-AU"/>
              </w:rPr>
              <w:t xml:space="preserve"> new developments are to be compatible with the colour and finishes of existing materials in the immediate locality</w:t>
            </w:r>
            <w:r w:rsidRPr="00354FAF">
              <w:rPr>
                <w:rFonts w:cs="Swiss721BT-Light"/>
                <w:szCs w:val="20"/>
                <w:lang w:eastAsia="en-AU"/>
              </w:rPr>
              <w:t>.</w:t>
            </w:r>
          </w:p>
        </w:tc>
        <w:tc>
          <w:tcPr>
            <w:tcW w:w="4512" w:type="dxa"/>
          </w:tcPr>
          <w:p w14:paraId="60AB5697" w14:textId="77777777" w:rsidR="00B46EF1" w:rsidRDefault="00B46EF1" w:rsidP="007E7A1B">
            <w:pPr>
              <w:spacing w:after="120"/>
              <w:rPr>
                <w:rFonts w:ascii="Avenir LT 65 Medium" w:hAnsi="Avenir LT 65 Medium"/>
              </w:rPr>
            </w:pPr>
            <w:r>
              <w:rPr>
                <w:rFonts w:ascii="Avenir LT 65 Medium" w:hAnsi="Avenir LT 65 Medium"/>
              </w:rPr>
              <w:t>New D</w:t>
            </w:r>
            <w:r w:rsidRPr="00842387">
              <w:rPr>
                <w:rFonts w:ascii="Avenir LT 65 Medium" w:hAnsi="Avenir LT 65 Medium"/>
              </w:rPr>
              <w:t>evelopments:</w:t>
            </w:r>
          </w:p>
          <w:p w14:paraId="2825D4F2" w14:textId="77777777" w:rsidR="00B46EF1" w:rsidRDefault="00B46EF1" w:rsidP="002A3889">
            <w:pPr>
              <w:pStyle w:val="ListParagraph"/>
              <w:numPr>
                <w:ilvl w:val="0"/>
                <w:numId w:val="140"/>
              </w:numPr>
              <w:spacing w:line="360" w:lineRule="auto"/>
              <w:ind w:left="624" w:hanging="624"/>
              <w:contextualSpacing w:val="0"/>
            </w:pPr>
            <w:r w:rsidRPr="00AF13D5">
              <w:rPr>
                <w:rFonts w:ascii="Avenir LT 45 Book" w:eastAsia="Calibri" w:hAnsi="Avenir LT 45 Book" w:cs="Times New Roman"/>
                <w:sz w:val="20"/>
              </w:rPr>
              <w:t>Assessment will be case-by-case based on the Performance Criteria.</w:t>
            </w:r>
          </w:p>
        </w:tc>
      </w:tr>
    </w:tbl>
    <w:p w14:paraId="614DEB69" w14:textId="77777777" w:rsidR="00B46EF1" w:rsidRPr="00AF13D5" w:rsidRDefault="00AF13D5" w:rsidP="00AF13D5">
      <w:pPr>
        <w:pStyle w:val="Heading3"/>
        <w:keepNext w:val="0"/>
        <w:keepLines w:val="0"/>
        <w:autoSpaceDE w:val="0"/>
        <w:autoSpaceDN w:val="0"/>
        <w:spacing w:before="360" w:after="120" w:line="360" w:lineRule="auto"/>
        <w:ind w:left="1418" w:hanging="1418"/>
        <w:jc w:val="both"/>
        <w:rPr>
          <w:rFonts w:ascii="Avenir LT 65 Medium" w:eastAsia="Times New Roman" w:hAnsi="Avenir LT 65 Medium" w:cs="Times New Roman"/>
          <w:bCs/>
          <w:color w:val="000000"/>
          <w:sz w:val="22"/>
        </w:rPr>
      </w:pPr>
      <w:bookmarkStart w:id="457" w:name="_Toc452727440"/>
      <w:r>
        <w:rPr>
          <w:rFonts w:ascii="Avenir LT 65 Medium" w:eastAsia="Times New Roman" w:hAnsi="Avenir LT 65 Medium" w:cs="Times New Roman"/>
          <w:bCs/>
          <w:color w:val="000000"/>
          <w:sz w:val="22"/>
        </w:rPr>
        <w:t>3.7.10</w:t>
      </w:r>
      <w:r>
        <w:rPr>
          <w:rFonts w:ascii="Avenir LT 65 Medium" w:eastAsia="Times New Roman" w:hAnsi="Avenir LT 65 Medium" w:cs="Times New Roman"/>
          <w:bCs/>
          <w:color w:val="000000"/>
          <w:sz w:val="22"/>
        </w:rPr>
        <w:tab/>
      </w:r>
      <w:r w:rsidR="00B46EF1" w:rsidRPr="00AF13D5">
        <w:rPr>
          <w:rFonts w:ascii="Avenir LT 65 Medium" w:eastAsia="Times New Roman" w:hAnsi="Avenir LT 65 Medium" w:cs="Times New Roman"/>
          <w:bCs/>
          <w:color w:val="000000"/>
          <w:sz w:val="22"/>
        </w:rPr>
        <w:t>Landscape Guidelines</w:t>
      </w:r>
      <w:bookmarkEnd w:id="457"/>
    </w:p>
    <w:p w14:paraId="054D0386" w14:textId="77777777" w:rsidR="00B46EF1" w:rsidRDefault="00AF13D5" w:rsidP="007E7A1B">
      <w:pPr>
        <w:pStyle w:val="Heading3"/>
        <w:spacing w:after="240"/>
      </w:pPr>
      <w:bookmarkStart w:id="458" w:name="_Toc452727441"/>
      <w:r>
        <w:rPr>
          <w:rFonts w:ascii="Avenir LT 65 Medium" w:eastAsia="Times New Roman" w:hAnsi="Avenir LT 65 Medium" w:cs="Times New Roman"/>
          <w:bCs/>
          <w:color w:val="000000"/>
          <w:sz w:val="22"/>
        </w:rPr>
        <w:t>3.7.10.1</w:t>
      </w:r>
      <w:r>
        <w:rPr>
          <w:rFonts w:ascii="Avenir LT 65 Medium" w:eastAsia="Times New Roman" w:hAnsi="Avenir LT 65 Medium" w:cs="Times New Roman"/>
          <w:bCs/>
          <w:color w:val="000000"/>
          <w:sz w:val="22"/>
        </w:rPr>
        <w:tab/>
      </w:r>
      <w:r w:rsidR="00B46EF1" w:rsidRPr="00AF13D5">
        <w:rPr>
          <w:rFonts w:ascii="Avenir LT 65 Medium" w:eastAsia="Times New Roman" w:hAnsi="Avenir LT 65 Medium" w:cs="Times New Roman"/>
          <w:bCs/>
          <w:color w:val="000000"/>
          <w:sz w:val="22"/>
        </w:rPr>
        <w:t>Statement</w:t>
      </w:r>
      <w:bookmarkEnd w:id="458"/>
    </w:p>
    <w:p w14:paraId="768CE020" w14:textId="77777777" w:rsidR="00B46EF1" w:rsidRPr="00AF13D5" w:rsidRDefault="00B46EF1" w:rsidP="009F458E">
      <w:pPr>
        <w:spacing w:after="0" w:line="360" w:lineRule="auto"/>
        <w:rPr>
          <w:rFonts w:ascii="Avenir LT 45 Book" w:eastAsia="Calibri" w:hAnsi="Avenir LT 45 Book"/>
          <w:i/>
          <w:sz w:val="20"/>
        </w:rPr>
      </w:pPr>
      <w:r w:rsidRPr="00AF13D5">
        <w:rPr>
          <w:rFonts w:ascii="Avenir LT 45 Book" w:eastAsia="Calibri" w:hAnsi="Avenir LT 45 Book"/>
          <w:i/>
          <w:sz w:val="20"/>
        </w:rPr>
        <w:t xml:space="preserve">Established vegetation makes a valuable contribution to the amenity of the community, </w:t>
      </w:r>
      <w:proofErr w:type="gramStart"/>
      <w:r w:rsidRPr="00AF13D5">
        <w:rPr>
          <w:rFonts w:ascii="Avenir LT 45 Book" w:eastAsia="Calibri" w:hAnsi="Avenir LT 45 Book"/>
          <w:i/>
          <w:sz w:val="20"/>
        </w:rPr>
        <w:t>in particular with</w:t>
      </w:r>
      <w:proofErr w:type="gramEnd"/>
      <w:r w:rsidRPr="00AF13D5">
        <w:rPr>
          <w:rFonts w:ascii="Avenir LT 45 Book" w:eastAsia="Calibri" w:hAnsi="Avenir LT 45 Book"/>
          <w:i/>
          <w:sz w:val="20"/>
        </w:rPr>
        <w:t xml:space="preserve"> respect to shade, privacy, aesthetics and their contribution towards minimising greenhouse gases, maintaining ground water levels and providing habitats for birds and fauna.</w:t>
      </w:r>
    </w:p>
    <w:p w14:paraId="157F3186" w14:textId="77777777" w:rsidR="00B46EF1" w:rsidRPr="00AF13D5" w:rsidRDefault="00B46EF1" w:rsidP="009F458E">
      <w:pPr>
        <w:spacing w:after="0" w:line="360" w:lineRule="auto"/>
        <w:rPr>
          <w:rFonts w:ascii="Avenir LT 45 Book" w:eastAsia="Calibri" w:hAnsi="Avenir LT 45 Book"/>
          <w:i/>
          <w:sz w:val="20"/>
        </w:rPr>
      </w:pPr>
      <w:r w:rsidRPr="00AF13D5">
        <w:rPr>
          <w:rFonts w:ascii="Avenir LT 45 Book" w:eastAsia="Calibri" w:hAnsi="Avenir LT 45 Book"/>
          <w:i/>
          <w:sz w:val="20"/>
        </w:rPr>
        <w:t>The retention of existing trees, shrubs and hedges on private property is encouraged.  Development proposals should avoid the removal of, or taking of any action which will damage, existing mature trees on the site.</w:t>
      </w:r>
    </w:p>
    <w:p w14:paraId="4B9BABEF" w14:textId="77777777" w:rsidR="00B46EF1" w:rsidRDefault="00AF13D5" w:rsidP="00AF13D5">
      <w:pPr>
        <w:pStyle w:val="Heading3"/>
        <w:tabs>
          <w:tab w:val="left" w:pos="1418"/>
        </w:tabs>
        <w:spacing w:before="240" w:after="120"/>
      </w:pPr>
      <w:bookmarkStart w:id="459" w:name="_Toc452727442"/>
      <w:r>
        <w:t>3.7.10.2</w:t>
      </w:r>
      <w:r>
        <w:tab/>
      </w:r>
      <w:r w:rsidR="00B46EF1" w:rsidRPr="00AF13D5">
        <w:rPr>
          <w:rFonts w:ascii="Avenir LT 65 Medium" w:eastAsia="Times New Roman" w:hAnsi="Avenir LT 65 Medium" w:cs="Times New Roman"/>
          <w:bCs/>
          <w:color w:val="000000"/>
          <w:sz w:val="22"/>
        </w:rPr>
        <w:t>Desired Development Outcomes</w:t>
      </w:r>
      <w:bookmarkEnd w:id="459"/>
    </w:p>
    <w:p w14:paraId="2E1FC9E4" w14:textId="77777777" w:rsidR="00B46EF1" w:rsidRPr="00AF13D5" w:rsidRDefault="00B46EF1" w:rsidP="002A3889">
      <w:pPr>
        <w:numPr>
          <w:ilvl w:val="0"/>
          <w:numId w:val="268"/>
        </w:numPr>
        <w:spacing w:after="0" w:line="360" w:lineRule="auto"/>
        <w:ind w:left="709" w:hanging="425"/>
        <w:rPr>
          <w:rFonts w:ascii="Avenir LT 45 Book" w:eastAsia="Calibri" w:hAnsi="Avenir LT 45 Book"/>
          <w:sz w:val="20"/>
        </w:rPr>
      </w:pPr>
      <w:r w:rsidRPr="00AF13D5">
        <w:rPr>
          <w:rFonts w:ascii="Avenir LT 45 Book" w:eastAsia="Calibri" w:hAnsi="Avenir LT 45 Book"/>
          <w:sz w:val="20"/>
        </w:rPr>
        <w:t>Established</w:t>
      </w:r>
      <w:r w:rsidRPr="00AF13D5">
        <w:t xml:space="preserve"> </w:t>
      </w:r>
      <w:r w:rsidRPr="00AF13D5">
        <w:rPr>
          <w:rFonts w:ascii="Avenir LT 45 Book" w:eastAsia="Calibri" w:hAnsi="Avenir LT 45 Book"/>
          <w:sz w:val="20"/>
        </w:rPr>
        <w:t>vegetation, particularly mature trees, shrubs and hedges, is to be retained.</w:t>
      </w:r>
    </w:p>
    <w:p w14:paraId="1490F00B" w14:textId="77777777" w:rsidR="00B46EF1" w:rsidRPr="00AF13D5" w:rsidRDefault="00B46EF1" w:rsidP="002A3889">
      <w:pPr>
        <w:numPr>
          <w:ilvl w:val="0"/>
          <w:numId w:val="268"/>
        </w:numPr>
        <w:spacing w:after="0" w:line="360" w:lineRule="auto"/>
        <w:ind w:left="709" w:hanging="425"/>
        <w:rPr>
          <w:rFonts w:ascii="Avenir LT 45 Book" w:eastAsia="Calibri" w:hAnsi="Avenir LT 45 Book"/>
          <w:sz w:val="20"/>
        </w:rPr>
      </w:pPr>
      <w:r w:rsidRPr="00AF13D5">
        <w:rPr>
          <w:rFonts w:ascii="Avenir LT 45 Book" w:eastAsia="Calibri" w:hAnsi="Avenir LT 45 Book"/>
          <w:sz w:val="20"/>
        </w:rPr>
        <w:t>Landscaping is to be compatible with the character of the immediate locality.</w:t>
      </w:r>
    </w:p>
    <w:p w14:paraId="1755A306" w14:textId="77777777" w:rsidR="00B46EF1" w:rsidRPr="007E7A1B" w:rsidRDefault="00B46EF1" w:rsidP="007E7A1B">
      <w:pPr>
        <w:pStyle w:val="Heading3"/>
        <w:tabs>
          <w:tab w:val="left" w:pos="1418"/>
        </w:tabs>
        <w:spacing w:before="240" w:after="240"/>
        <w:ind w:left="1418" w:hanging="1418"/>
        <w:rPr>
          <w:rFonts w:ascii="Avenir LT 65 Medium" w:eastAsia="Times New Roman" w:hAnsi="Avenir LT 65 Medium" w:cs="Times New Roman"/>
          <w:bCs/>
          <w:color w:val="000000"/>
          <w:sz w:val="22"/>
        </w:rPr>
      </w:pPr>
      <w:bookmarkStart w:id="460" w:name="_Toc452727443"/>
      <w:r>
        <w:t>3.7.10.3</w:t>
      </w:r>
      <w:r>
        <w:tab/>
      </w:r>
      <w:r w:rsidRPr="007E7A1B">
        <w:rPr>
          <w:rFonts w:ascii="Avenir LT 65 Medium" w:eastAsia="Times New Roman" w:hAnsi="Avenir LT 65 Medium" w:cs="Times New Roman"/>
          <w:bCs/>
          <w:color w:val="000000"/>
          <w:sz w:val="22"/>
        </w:rPr>
        <w:t>Performance Criteria and Acceptable Development Provisions</w:t>
      </w:r>
      <w:bookmarkEnd w:id="460"/>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09"/>
        <w:gridCol w:w="4517"/>
      </w:tblGrid>
      <w:tr w:rsidR="00B46EF1" w14:paraId="7DA1481A" w14:textId="77777777" w:rsidTr="008048CE">
        <w:trPr>
          <w:trHeight w:val="363"/>
        </w:trPr>
        <w:tc>
          <w:tcPr>
            <w:tcW w:w="4621" w:type="dxa"/>
            <w:tcBorders>
              <w:bottom w:val="single" w:sz="4" w:space="0" w:color="auto"/>
            </w:tcBorders>
          </w:tcPr>
          <w:p w14:paraId="4B5BEC87"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Borders>
              <w:bottom w:val="single" w:sz="4" w:space="0" w:color="auto"/>
            </w:tcBorders>
          </w:tcPr>
          <w:p w14:paraId="208DDE99" w14:textId="77777777" w:rsidR="00B46EF1" w:rsidRDefault="00B46EF1" w:rsidP="008048CE">
            <w:r w:rsidRPr="00842387">
              <w:rPr>
                <w:rFonts w:ascii="Avenir LT 65 Medium" w:hAnsi="Avenir LT 65 Medium"/>
              </w:rPr>
              <w:t>Acceptable Development Provisions</w:t>
            </w:r>
          </w:p>
        </w:tc>
      </w:tr>
      <w:tr w:rsidR="00B46EF1" w14:paraId="2CA36A95" w14:textId="77777777" w:rsidTr="008048CE">
        <w:tc>
          <w:tcPr>
            <w:tcW w:w="4621" w:type="dxa"/>
            <w:tcBorders>
              <w:top w:val="single" w:sz="4" w:space="0" w:color="auto"/>
              <w:bottom w:val="nil"/>
            </w:tcBorders>
          </w:tcPr>
          <w:p w14:paraId="2F581A50" w14:textId="77777777" w:rsidR="00B46EF1" w:rsidRDefault="00B46EF1" w:rsidP="008048CE">
            <w:pPr>
              <w:spacing w:before="120" w:after="120"/>
              <w:rPr>
                <w:rFonts w:ascii="Avenir LT 65 Medium" w:hAnsi="Avenir LT 65 Medium"/>
              </w:rPr>
            </w:pPr>
            <w:r w:rsidRPr="00842387">
              <w:rPr>
                <w:rFonts w:ascii="Avenir LT 65 Medium" w:hAnsi="Avenir LT 65 Medium"/>
              </w:rPr>
              <w:t>Existing Buildings:</w:t>
            </w:r>
          </w:p>
          <w:p w14:paraId="61F6351E" w14:textId="77777777" w:rsidR="00B46EF1" w:rsidRDefault="00B46EF1" w:rsidP="002A3889">
            <w:pPr>
              <w:pStyle w:val="ListParagraph"/>
              <w:numPr>
                <w:ilvl w:val="0"/>
                <w:numId w:val="269"/>
              </w:numPr>
              <w:spacing w:after="160" w:line="360" w:lineRule="auto"/>
              <w:ind w:hanging="720"/>
              <w:contextualSpacing w:val="0"/>
            </w:pPr>
            <w:r w:rsidRPr="007E7A1B">
              <w:rPr>
                <w:rFonts w:ascii="Avenir LT 45 Book" w:eastAsia="Calibri" w:hAnsi="Avenir LT 45 Book" w:cs="Times New Roman"/>
                <w:sz w:val="20"/>
              </w:rPr>
              <w:t>Development shall be designed around significant established vegetation.</w:t>
            </w:r>
          </w:p>
        </w:tc>
        <w:tc>
          <w:tcPr>
            <w:tcW w:w="4621" w:type="dxa"/>
            <w:tcBorders>
              <w:top w:val="single" w:sz="4" w:space="0" w:color="auto"/>
              <w:bottom w:val="nil"/>
            </w:tcBorders>
          </w:tcPr>
          <w:p w14:paraId="3D60B9BB" w14:textId="77777777" w:rsidR="00B46EF1" w:rsidRDefault="00B46EF1" w:rsidP="008048CE">
            <w:pPr>
              <w:tabs>
                <w:tab w:val="left" w:pos="764"/>
              </w:tabs>
              <w:spacing w:before="120" w:after="120"/>
              <w:rPr>
                <w:rFonts w:ascii="Avenir LT 65 Medium" w:hAnsi="Avenir LT 65 Medium"/>
              </w:rPr>
            </w:pPr>
            <w:r w:rsidRPr="00842387">
              <w:rPr>
                <w:rFonts w:ascii="Avenir LT 65 Medium" w:hAnsi="Avenir LT 65 Medium"/>
              </w:rPr>
              <w:t>Existing Buildings:</w:t>
            </w:r>
          </w:p>
          <w:p w14:paraId="42C2221C" w14:textId="77777777" w:rsidR="00B46EF1" w:rsidRDefault="00B46EF1" w:rsidP="009F458E">
            <w:pPr>
              <w:tabs>
                <w:tab w:val="left" w:pos="57"/>
              </w:tabs>
              <w:spacing w:line="360" w:lineRule="auto"/>
              <w:ind w:left="766" w:hanging="709"/>
            </w:pPr>
            <w:r w:rsidRPr="00324ECB">
              <w:rPr>
                <w:rFonts w:ascii="Avenir LT 85 Heavy" w:hAnsi="Avenir LT 85 Heavy"/>
              </w:rPr>
              <w:t>A1.1</w:t>
            </w:r>
            <w:r>
              <w:rPr>
                <w:rFonts w:ascii="Avenir LT 85 Heavy" w:hAnsi="Avenir LT 85 Heavy"/>
              </w:rPr>
              <w:tab/>
            </w:r>
            <w:r w:rsidRPr="007E7A1B">
              <w:rPr>
                <w:rFonts w:ascii="Avenir LT 45 Book" w:eastAsia="Calibri" w:hAnsi="Avenir LT 45 Book"/>
                <w:sz w:val="20"/>
              </w:rPr>
              <w:t>Development applications are to be accompanied by a site survey including the location of existing mature trees, shrubs, hedges and other significant vegetation.</w:t>
            </w:r>
          </w:p>
        </w:tc>
      </w:tr>
      <w:tr w:rsidR="00B46EF1" w14:paraId="08F66AF3" w14:textId="77777777" w:rsidTr="008048CE">
        <w:tc>
          <w:tcPr>
            <w:tcW w:w="4621" w:type="dxa"/>
            <w:tcBorders>
              <w:top w:val="nil"/>
              <w:bottom w:val="nil"/>
            </w:tcBorders>
          </w:tcPr>
          <w:p w14:paraId="143CAAE0" w14:textId="77777777" w:rsidR="00B46EF1" w:rsidRDefault="00B46EF1" w:rsidP="008048CE">
            <w:pPr>
              <w:pStyle w:val="ListParagraph"/>
              <w:ind w:left="567"/>
              <w:contextualSpacing w:val="0"/>
              <w:rPr>
                <w:rFonts w:ascii="Avenir LT 65 Medium" w:hAnsi="Avenir LT 65 Medium"/>
              </w:rPr>
            </w:pPr>
          </w:p>
        </w:tc>
        <w:tc>
          <w:tcPr>
            <w:tcW w:w="4621" w:type="dxa"/>
            <w:tcBorders>
              <w:top w:val="nil"/>
              <w:bottom w:val="nil"/>
            </w:tcBorders>
          </w:tcPr>
          <w:p w14:paraId="7674178F" w14:textId="77777777" w:rsidR="007E7A1B" w:rsidRDefault="00B46EF1" w:rsidP="009F458E">
            <w:pPr>
              <w:spacing w:after="160" w:line="360" w:lineRule="auto"/>
              <w:ind w:left="766" w:hanging="709"/>
              <w:rPr>
                <w:rFonts w:ascii="Avenir LT 45 Book" w:eastAsia="Calibri" w:hAnsi="Avenir LT 45 Book"/>
                <w:sz w:val="20"/>
              </w:rPr>
            </w:pPr>
            <w:r w:rsidRPr="00B65A0D">
              <w:rPr>
                <w:rFonts w:ascii="Avenir LT 85 Heavy" w:hAnsi="Avenir LT 85 Heavy"/>
              </w:rPr>
              <w:t>A1.2</w:t>
            </w:r>
            <w:r>
              <w:rPr>
                <w:rFonts w:ascii="Avenir LT 85 Heavy" w:hAnsi="Avenir LT 85 Heavy"/>
              </w:rPr>
              <w:tab/>
            </w:r>
            <w:r w:rsidRPr="007E7A1B">
              <w:rPr>
                <w:rFonts w:ascii="Avenir LT 45 Book" w:eastAsia="Calibri" w:hAnsi="Avenir LT 45 Book"/>
                <w:sz w:val="20"/>
              </w:rPr>
              <w:t>Any proposal to remove existing significant vegetation shall be accompanied by a tree survey justifying removal of the vegetation and prepared by a suitably qualified consultant or by a landscape plan demonstrating compensating re-vegetation of the site</w:t>
            </w:r>
          </w:p>
          <w:p w14:paraId="5EB8AE07" w14:textId="77777777" w:rsidR="007E7A1B" w:rsidRDefault="007E7A1B" w:rsidP="008048CE">
            <w:pPr>
              <w:spacing w:after="160"/>
              <w:ind w:left="766" w:hanging="709"/>
              <w:rPr>
                <w:rFonts w:ascii="Avenir LT 45 Book" w:eastAsia="Calibri" w:hAnsi="Avenir LT 45 Book"/>
                <w:sz w:val="20"/>
              </w:rPr>
            </w:pPr>
          </w:p>
          <w:p w14:paraId="6DF91DBA" w14:textId="77777777" w:rsidR="00B46EF1" w:rsidRPr="00B65A0D" w:rsidRDefault="00B46EF1" w:rsidP="007E7A1B">
            <w:pPr>
              <w:spacing w:after="160"/>
              <w:rPr>
                <w:rFonts w:ascii="Avenir LT 85 Heavy" w:hAnsi="Avenir LT 85 Heavy"/>
              </w:rPr>
            </w:pPr>
            <w:r w:rsidRPr="007E7A1B">
              <w:rPr>
                <w:rFonts w:ascii="Avenir LT 45 Book" w:eastAsia="Calibri" w:hAnsi="Avenir LT 45 Book"/>
                <w:sz w:val="20"/>
              </w:rPr>
              <w:t>.</w:t>
            </w:r>
          </w:p>
        </w:tc>
      </w:tr>
    </w:tbl>
    <w:p w14:paraId="7071A1D9" w14:textId="77777777" w:rsidR="00B46EF1" w:rsidRPr="00842387" w:rsidRDefault="00B46EF1" w:rsidP="00B46EF1">
      <w:r>
        <w:rPr>
          <w:noProof/>
          <w:lang w:eastAsia="en-AU"/>
        </w:rPr>
        <w:lastRenderedPageBreak/>
        <w:drawing>
          <wp:inline distT="0" distB="0" distL="0" distR="0" wp14:anchorId="291A25F8" wp14:editId="6B2F6ABD">
            <wp:extent cx="2524125" cy="1800225"/>
            <wp:effectExtent l="19050" t="0" r="9525" b="0"/>
            <wp:docPr id="145" name="Picture 61" descr="Z:\2011 JOBS\11206-EAST FREMANTLE GUIDELINES\11206-PHOTOS\PROCESSED\RICHMOND\12 WINDSOR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2011 JOBS\11206-EAST FREMANTLE GUIDELINES\11206-PHOTOS\PROCESSED\RICHMOND\12 WINDSOR ROAD.jpg"/>
                    <pic:cNvPicPr>
                      <a:picLocks noChangeAspect="1" noChangeArrowheads="1"/>
                    </pic:cNvPicPr>
                  </pic:nvPicPr>
                  <pic:blipFill>
                    <a:blip r:embed="rId197"/>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151ED816" wp14:editId="5B548E8B">
            <wp:extent cx="2524125" cy="1800225"/>
            <wp:effectExtent l="19050" t="0" r="9525" b="0"/>
            <wp:docPr id="146" name="Picture 3" descr="Z:\2011 JOBS\11206-EAST FREMANTLE GUIDELINES\11206-PHOTOS\PROCESSED\RICHMOND\20 OSBOURNE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2011 JOBS\11206-EAST FREMANTLE GUIDELINES\11206-PHOTOS\PROCESSED\RICHMOND\20 OSBOURNE ROAD.jpg"/>
                    <pic:cNvPicPr>
                      <a:picLocks noChangeAspect="1" noChangeArrowheads="1"/>
                    </pic:cNvPicPr>
                  </pic:nvPicPr>
                  <pic:blipFill>
                    <a:blip r:embed="rId198"/>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525AFD2A" w14:textId="77777777" w:rsidR="00B46EF1" w:rsidRDefault="00B46EF1" w:rsidP="007E7A1B">
      <w:pPr>
        <w:spacing w:before="120" w:after="240"/>
      </w:pPr>
    </w:p>
    <w:p w14:paraId="07AF0D80" w14:textId="77777777" w:rsidR="00B46EF1" w:rsidRPr="007E7A1B" w:rsidRDefault="007E7A1B" w:rsidP="007E7A1B">
      <w:pPr>
        <w:pStyle w:val="Heading3"/>
        <w:keepNext w:val="0"/>
        <w:keepLines w:val="0"/>
        <w:autoSpaceDE w:val="0"/>
        <w:autoSpaceDN w:val="0"/>
        <w:spacing w:before="120" w:after="200" w:line="360" w:lineRule="auto"/>
        <w:ind w:left="1418" w:hanging="1418"/>
        <w:jc w:val="both"/>
        <w:rPr>
          <w:rFonts w:ascii="Avenir LT 65 Medium" w:eastAsia="Times New Roman" w:hAnsi="Avenir LT 65 Medium" w:cs="Times New Roman"/>
          <w:bCs/>
          <w:color w:val="000000"/>
          <w:sz w:val="22"/>
        </w:rPr>
      </w:pPr>
      <w:bookmarkStart w:id="461" w:name="_Toc452727444"/>
      <w:r>
        <w:rPr>
          <w:rFonts w:ascii="Avenir LT 65 Medium" w:eastAsia="Times New Roman" w:hAnsi="Avenir LT 65 Medium" w:cs="Times New Roman"/>
          <w:bCs/>
          <w:color w:val="000000"/>
          <w:sz w:val="22"/>
        </w:rPr>
        <w:t>3.7.11</w:t>
      </w:r>
      <w:r>
        <w:rPr>
          <w:rFonts w:ascii="Avenir LT 65 Medium" w:eastAsia="Times New Roman" w:hAnsi="Avenir LT 65 Medium" w:cs="Times New Roman"/>
          <w:bCs/>
          <w:color w:val="000000"/>
          <w:sz w:val="22"/>
        </w:rPr>
        <w:tab/>
      </w:r>
      <w:r w:rsidR="00B46EF1" w:rsidRPr="007E7A1B">
        <w:rPr>
          <w:rFonts w:ascii="Avenir LT 65 Medium" w:eastAsia="Times New Roman" w:hAnsi="Avenir LT 65 Medium" w:cs="Times New Roman"/>
          <w:bCs/>
          <w:color w:val="000000"/>
          <w:sz w:val="22"/>
        </w:rPr>
        <w:t>Front Fences</w:t>
      </w:r>
      <w:bookmarkEnd w:id="461"/>
    </w:p>
    <w:p w14:paraId="61A5A7C9" w14:textId="77777777" w:rsidR="00B46EF1" w:rsidRPr="007E7A1B" w:rsidRDefault="007E7A1B" w:rsidP="007E7A1B">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3.7.11.1</w:t>
      </w:r>
      <w:r>
        <w:rPr>
          <w:rFonts w:ascii="Avenir LT 65 Medium" w:hAnsi="Avenir LT 65 Medium"/>
          <w:bCs/>
          <w:i w:val="0"/>
          <w:color w:val="auto"/>
        </w:rPr>
        <w:tab/>
      </w:r>
      <w:r w:rsidR="00B46EF1" w:rsidRPr="007E7A1B">
        <w:rPr>
          <w:rFonts w:ascii="Avenir LT 65 Medium" w:hAnsi="Avenir LT 65 Medium"/>
          <w:bCs/>
          <w:i w:val="0"/>
          <w:color w:val="auto"/>
        </w:rPr>
        <w:t>Statement</w:t>
      </w:r>
    </w:p>
    <w:p w14:paraId="2B22C461" w14:textId="77777777" w:rsidR="00B46EF1" w:rsidRPr="007E7A1B" w:rsidRDefault="00B46EF1" w:rsidP="007E7A1B">
      <w:pPr>
        <w:spacing w:after="240"/>
        <w:rPr>
          <w:rFonts w:ascii="Avenir LT 45 Book" w:eastAsia="Calibri" w:hAnsi="Avenir LT 45 Book"/>
          <w:i/>
          <w:sz w:val="20"/>
        </w:rPr>
      </w:pPr>
      <w:r w:rsidRPr="007E7A1B">
        <w:rPr>
          <w:rFonts w:ascii="Avenir LT 45 Book" w:eastAsia="Calibri" w:hAnsi="Avenir LT 45 Book"/>
          <w:i/>
          <w:sz w:val="20"/>
        </w:rPr>
        <w:t>There is a variety of fencing styles in the Policy Area that contribute to its overall character.  Front fences are predominantly low, permeable and reflect the period of the individual residence.  Traditional fence types are a combination of brick and brick piers (face brick, painted and rendered brick finishes), limestone, timber (painted and sealed), steel frame and wire mesh.  Heights range between 600mm and 1200mm.  Some areas of Richmond Hill have no front fences. Front lawns in this area often transition into verges seamlessly.</w:t>
      </w:r>
    </w:p>
    <w:p w14:paraId="6FD48877" w14:textId="77777777" w:rsidR="00B46EF1" w:rsidRPr="007E7A1B" w:rsidRDefault="00B46EF1" w:rsidP="007E7A1B">
      <w:pPr>
        <w:spacing w:after="240"/>
        <w:rPr>
          <w:rFonts w:ascii="Avenir LT 45 Book" w:eastAsia="Calibri" w:hAnsi="Avenir LT 45 Book"/>
          <w:i/>
          <w:sz w:val="20"/>
        </w:rPr>
      </w:pPr>
      <w:proofErr w:type="spellStart"/>
      <w:r w:rsidRPr="007E7A1B">
        <w:rPr>
          <w:rFonts w:ascii="Avenir LT 45 Book" w:eastAsia="Calibri" w:hAnsi="Avenir LT 45 Book"/>
          <w:i/>
          <w:sz w:val="20"/>
        </w:rPr>
        <w:t>Well designed</w:t>
      </w:r>
      <w:proofErr w:type="spellEnd"/>
      <w:r w:rsidRPr="007E7A1B">
        <w:rPr>
          <w:rFonts w:ascii="Avenir LT 45 Book" w:eastAsia="Calibri" w:hAnsi="Avenir LT 45 Book"/>
          <w:i/>
          <w:sz w:val="20"/>
        </w:rPr>
        <w:t xml:space="preserve"> contemporary front fences are evident in many Precincts (refer photos below).  Contemporary materials and forms may be explored in fences without detracting from the streetscape. There are positive examples of new fences that fit comfortably within the Precincts.</w:t>
      </w:r>
    </w:p>
    <w:p w14:paraId="47842528" w14:textId="77777777" w:rsidR="00B46EF1" w:rsidRPr="007E7A1B" w:rsidRDefault="007E7A1B" w:rsidP="007E7A1B">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3.7.11.2</w:t>
      </w:r>
      <w:r>
        <w:rPr>
          <w:rFonts w:ascii="Avenir LT 65 Medium" w:hAnsi="Avenir LT 65 Medium"/>
          <w:bCs/>
          <w:i w:val="0"/>
          <w:color w:val="auto"/>
        </w:rPr>
        <w:tab/>
      </w:r>
      <w:r w:rsidR="00B46EF1" w:rsidRPr="007E7A1B">
        <w:rPr>
          <w:rFonts w:ascii="Avenir LT 65 Medium" w:hAnsi="Avenir LT 65 Medium"/>
          <w:bCs/>
          <w:i w:val="0"/>
          <w:color w:val="auto"/>
        </w:rPr>
        <w:t>Traditional Fence Types</w:t>
      </w:r>
    </w:p>
    <w:tbl>
      <w:tblPr>
        <w:tblW w:w="0" w:type="auto"/>
        <w:tblLook w:val="04A0" w:firstRow="1" w:lastRow="0" w:firstColumn="1" w:lastColumn="0" w:noHBand="0" w:noVBand="1"/>
      </w:tblPr>
      <w:tblGrid>
        <w:gridCol w:w="4512"/>
        <w:gridCol w:w="4514"/>
      </w:tblGrid>
      <w:tr w:rsidR="00B46EF1" w:rsidRPr="00842387" w14:paraId="23EF0EF7" w14:textId="77777777" w:rsidTr="008048CE">
        <w:trPr>
          <w:trHeight w:val="2832"/>
        </w:trPr>
        <w:tc>
          <w:tcPr>
            <w:tcW w:w="4620" w:type="dxa"/>
          </w:tcPr>
          <w:p w14:paraId="339246F9" w14:textId="77777777" w:rsidR="00B46EF1" w:rsidRPr="00842387" w:rsidRDefault="00B46EF1" w:rsidP="008048CE">
            <w:pPr>
              <w:autoSpaceDE w:val="0"/>
              <w:autoSpaceDN w:val="0"/>
              <w:adjustRightInd w:val="0"/>
              <w:spacing w:after="0" w:line="240" w:lineRule="auto"/>
              <w:jc w:val="both"/>
              <w:rPr>
                <w:szCs w:val="20"/>
              </w:rPr>
            </w:pPr>
            <w:r w:rsidRPr="00842387">
              <w:rPr>
                <w:noProof/>
                <w:szCs w:val="20"/>
                <w:lang w:eastAsia="en-AU"/>
              </w:rPr>
              <w:drawing>
                <wp:inline distT="0" distB="0" distL="0" distR="0" wp14:anchorId="55ED606F" wp14:editId="0E99586C">
                  <wp:extent cx="2519680" cy="1889760"/>
                  <wp:effectExtent l="19050" t="0" r="0" b="0"/>
                  <wp:docPr id="147" name="Picture 0" descr="37 HAMILTON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HAMILTON STREET.jpg"/>
                          <pic:cNvPicPr/>
                        </pic:nvPicPr>
                        <pic:blipFill>
                          <a:blip r:embed="rId199" cstate="print"/>
                          <a:stretch>
                            <a:fillRect/>
                          </a:stretch>
                        </pic:blipFill>
                        <pic:spPr>
                          <a:xfrm>
                            <a:off x="0" y="0"/>
                            <a:ext cx="2519680" cy="1889760"/>
                          </a:xfrm>
                          <a:prstGeom prst="rect">
                            <a:avLst/>
                          </a:prstGeom>
                        </pic:spPr>
                      </pic:pic>
                    </a:graphicData>
                  </a:graphic>
                </wp:inline>
              </w:drawing>
            </w:r>
          </w:p>
        </w:tc>
        <w:tc>
          <w:tcPr>
            <w:tcW w:w="4622" w:type="dxa"/>
          </w:tcPr>
          <w:p w14:paraId="0DB99753" w14:textId="77777777" w:rsidR="00B46EF1" w:rsidRPr="00842387" w:rsidRDefault="00B46EF1" w:rsidP="008048CE">
            <w:pPr>
              <w:autoSpaceDE w:val="0"/>
              <w:autoSpaceDN w:val="0"/>
              <w:adjustRightInd w:val="0"/>
              <w:spacing w:after="0" w:line="240" w:lineRule="auto"/>
              <w:jc w:val="both"/>
              <w:rPr>
                <w:szCs w:val="20"/>
              </w:rPr>
            </w:pPr>
            <w:r w:rsidRPr="00842387">
              <w:rPr>
                <w:noProof/>
                <w:szCs w:val="20"/>
                <w:lang w:eastAsia="en-AU"/>
              </w:rPr>
              <w:drawing>
                <wp:inline distT="0" distB="0" distL="0" distR="0" wp14:anchorId="2BE1CF66" wp14:editId="10DE3D52">
                  <wp:extent cx="2519680" cy="1889760"/>
                  <wp:effectExtent l="19050" t="0" r="0" b="0"/>
                  <wp:docPr id="148" name="Picture 1" descr="25 OSBOURN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OSBOURNE STREET.jpg"/>
                          <pic:cNvPicPr/>
                        </pic:nvPicPr>
                        <pic:blipFill>
                          <a:blip r:embed="rId200" cstate="print"/>
                          <a:stretch>
                            <a:fillRect/>
                          </a:stretch>
                        </pic:blipFill>
                        <pic:spPr>
                          <a:xfrm>
                            <a:off x="0" y="0"/>
                            <a:ext cx="2519680" cy="1889760"/>
                          </a:xfrm>
                          <a:prstGeom prst="rect">
                            <a:avLst/>
                          </a:prstGeom>
                        </pic:spPr>
                      </pic:pic>
                    </a:graphicData>
                  </a:graphic>
                </wp:inline>
              </w:drawing>
            </w:r>
          </w:p>
        </w:tc>
      </w:tr>
      <w:tr w:rsidR="00B46EF1" w:rsidRPr="00842387" w14:paraId="007C5D96" w14:textId="77777777" w:rsidTr="008048CE">
        <w:trPr>
          <w:trHeight w:val="135"/>
        </w:trPr>
        <w:tc>
          <w:tcPr>
            <w:tcW w:w="4620" w:type="dxa"/>
          </w:tcPr>
          <w:p w14:paraId="251DDBF8" w14:textId="77777777" w:rsidR="00B46EF1" w:rsidRPr="007E7A1B" w:rsidRDefault="00B46EF1" w:rsidP="008048CE">
            <w:pPr>
              <w:autoSpaceDE w:val="0"/>
              <w:autoSpaceDN w:val="0"/>
              <w:adjustRightInd w:val="0"/>
              <w:spacing w:before="60" w:after="60" w:line="240" w:lineRule="auto"/>
              <w:jc w:val="both"/>
              <w:rPr>
                <w:rFonts w:ascii="Avenir LT 45 Book" w:eastAsia="Calibri" w:hAnsi="Avenir LT 45 Book"/>
                <w:sz w:val="18"/>
                <w:szCs w:val="18"/>
              </w:rPr>
            </w:pPr>
            <w:r w:rsidRPr="007E7A1B">
              <w:rPr>
                <w:rFonts w:ascii="Avenir LT 45 Book" w:eastAsia="Calibri" w:hAnsi="Avenir LT 45 Book"/>
                <w:sz w:val="18"/>
                <w:szCs w:val="18"/>
              </w:rPr>
              <w:t>37 Hamilton Street</w:t>
            </w:r>
          </w:p>
        </w:tc>
        <w:tc>
          <w:tcPr>
            <w:tcW w:w="4622" w:type="dxa"/>
          </w:tcPr>
          <w:p w14:paraId="058C8274" w14:textId="77777777" w:rsidR="00B46EF1" w:rsidRPr="007E7A1B" w:rsidRDefault="00B46EF1" w:rsidP="008048CE">
            <w:pPr>
              <w:autoSpaceDE w:val="0"/>
              <w:autoSpaceDN w:val="0"/>
              <w:adjustRightInd w:val="0"/>
              <w:spacing w:before="60" w:after="0" w:line="240" w:lineRule="auto"/>
              <w:jc w:val="both"/>
              <w:rPr>
                <w:rFonts w:ascii="Avenir LT 45 Book" w:eastAsia="Calibri" w:hAnsi="Avenir LT 45 Book"/>
                <w:sz w:val="18"/>
                <w:szCs w:val="18"/>
              </w:rPr>
            </w:pPr>
            <w:r w:rsidRPr="007E7A1B">
              <w:rPr>
                <w:rFonts w:ascii="Avenir LT 45 Book" w:eastAsia="Calibri" w:hAnsi="Avenir LT 45 Book"/>
                <w:sz w:val="18"/>
                <w:szCs w:val="18"/>
              </w:rPr>
              <w:t>25 Osborne Road</w:t>
            </w:r>
          </w:p>
          <w:p w14:paraId="7A7548F2" w14:textId="77777777" w:rsidR="007E7A1B" w:rsidRPr="007E7A1B" w:rsidRDefault="007E7A1B" w:rsidP="008048CE">
            <w:pPr>
              <w:autoSpaceDE w:val="0"/>
              <w:autoSpaceDN w:val="0"/>
              <w:adjustRightInd w:val="0"/>
              <w:spacing w:before="60" w:after="0" w:line="240" w:lineRule="auto"/>
              <w:jc w:val="both"/>
              <w:rPr>
                <w:rFonts w:ascii="Avenir LT 45 Book" w:eastAsia="Calibri" w:hAnsi="Avenir LT 45 Book"/>
                <w:sz w:val="18"/>
                <w:szCs w:val="18"/>
              </w:rPr>
            </w:pPr>
          </w:p>
        </w:tc>
      </w:tr>
      <w:tr w:rsidR="00B46EF1" w:rsidRPr="00842387" w14:paraId="003E7635" w14:textId="77777777" w:rsidTr="008048CE">
        <w:trPr>
          <w:trHeight w:val="2818"/>
        </w:trPr>
        <w:tc>
          <w:tcPr>
            <w:tcW w:w="4620" w:type="dxa"/>
          </w:tcPr>
          <w:p w14:paraId="3E1EE5BC" w14:textId="77777777" w:rsidR="00B46EF1" w:rsidRPr="00842387" w:rsidRDefault="00B46EF1" w:rsidP="008048CE">
            <w:pPr>
              <w:autoSpaceDE w:val="0"/>
              <w:autoSpaceDN w:val="0"/>
              <w:adjustRightInd w:val="0"/>
              <w:spacing w:after="0" w:line="240" w:lineRule="auto"/>
              <w:jc w:val="both"/>
              <w:rPr>
                <w:szCs w:val="20"/>
              </w:rPr>
            </w:pPr>
            <w:r w:rsidRPr="00842387">
              <w:rPr>
                <w:noProof/>
                <w:szCs w:val="20"/>
                <w:lang w:eastAsia="en-AU"/>
              </w:rPr>
              <w:lastRenderedPageBreak/>
              <w:drawing>
                <wp:inline distT="0" distB="0" distL="0" distR="0" wp14:anchorId="38E32E48" wp14:editId="7E736289">
                  <wp:extent cx="2519680" cy="1889760"/>
                  <wp:effectExtent l="19050" t="0" r="0" b="0"/>
                  <wp:docPr id="149" name="Picture 8" descr="117 GEORG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 GEORGE STREET.jpg"/>
                          <pic:cNvPicPr/>
                        </pic:nvPicPr>
                        <pic:blipFill>
                          <a:blip r:embed="rId201" cstate="print"/>
                          <a:stretch>
                            <a:fillRect/>
                          </a:stretch>
                        </pic:blipFill>
                        <pic:spPr>
                          <a:xfrm>
                            <a:off x="0" y="0"/>
                            <a:ext cx="2519680" cy="1889760"/>
                          </a:xfrm>
                          <a:prstGeom prst="rect">
                            <a:avLst/>
                          </a:prstGeom>
                        </pic:spPr>
                      </pic:pic>
                    </a:graphicData>
                  </a:graphic>
                </wp:inline>
              </w:drawing>
            </w:r>
          </w:p>
        </w:tc>
        <w:tc>
          <w:tcPr>
            <w:tcW w:w="4622" w:type="dxa"/>
          </w:tcPr>
          <w:p w14:paraId="42603783" w14:textId="77777777" w:rsidR="00B46EF1" w:rsidRPr="00842387" w:rsidRDefault="00B46EF1" w:rsidP="008048CE">
            <w:pPr>
              <w:autoSpaceDE w:val="0"/>
              <w:autoSpaceDN w:val="0"/>
              <w:adjustRightInd w:val="0"/>
              <w:spacing w:after="0" w:line="240" w:lineRule="auto"/>
              <w:jc w:val="both"/>
              <w:rPr>
                <w:szCs w:val="20"/>
              </w:rPr>
            </w:pPr>
            <w:r w:rsidRPr="00842387">
              <w:rPr>
                <w:noProof/>
                <w:szCs w:val="20"/>
                <w:lang w:eastAsia="en-AU"/>
              </w:rPr>
              <w:drawing>
                <wp:inline distT="0" distB="0" distL="0" distR="0" wp14:anchorId="2B980E91" wp14:editId="0373A0A1">
                  <wp:extent cx="2519680" cy="1889760"/>
                  <wp:effectExtent l="19050" t="0" r="0" b="0"/>
                  <wp:docPr id="150" name="Picture 9" descr="27 WINDSOR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WINDSOR ROAD.jpg"/>
                          <pic:cNvPicPr/>
                        </pic:nvPicPr>
                        <pic:blipFill>
                          <a:blip r:embed="rId202" cstate="print"/>
                          <a:stretch>
                            <a:fillRect/>
                          </a:stretch>
                        </pic:blipFill>
                        <pic:spPr>
                          <a:xfrm>
                            <a:off x="0" y="0"/>
                            <a:ext cx="2519680" cy="1889760"/>
                          </a:xfrm>
                          <a:prstGeom prst="rect">
                            <a:avLst/>
                          </a:prstGeom>
                        </pic:spPr>
                      </pic:pic>
                    </a:graphicData>
                  </a:graphic>
                </wp:inline>
              </w:drawing>
            </w:r>
          </w:p>
        </w:tc>
      </w:tr>
      <w:tr w:rsidR="00B46EF1" w:rsidRPr="00842387" w14:paraId="5EB09986" w14:textId="77777777" w:rsidTr="008048CE">
        <w:trPr>
          <w:trHeight w:val="353"/>
        </w:trPr>
        <w:tc>
          <w:tcPr>
            <w:tcW w:w="4620" w:type="dxa"/>
          </w:tcPr>
          <w:p w14:paraId="77498C05" w14:textId="77777777" w:rsidR="00B46EF1" w:rsidRPr="007E7A1B" w:rsidRDefault="00B46EF1" w:rsidP="007E7A1B">
            <w:pPr>
              <w:autoSpaceDE w:val="0"/>
              <w:autoSpaceDN w:val="0"/>
              <w:adjustRightInd w:val="0"/>
              <w:spacing w:before="60" w:after="0" w:line="240" w:lineRule="auto"/>
              <w:jc w:val="both"/>
              <w:rPr>
                <w:rFonts w:ascii="Avenir LT 45 Book" w:eastAsia="Calibri" w:hAnsi="Avenir LT 45 Book"/>
                <w:sz w:val="18"/>
                <w:szCs w:val="18"/>
              </w:rPr>
            </w:pPr>
            <w:r w:rsidRPr="007E7A1B">
              <w:rPr>
                <w:rFonts w:ascii="Avenir LT 45 Book" w:eastAsia="Calibri" w:hAnsi="Avenir LT 45 Book"/>
                <w:sz w:val="18"/>
                <w:szCs w:val="18"/>
              </w:rPr>
              <w:t>117 George Street</w:t>
            </w:r>
          </w:p>
        </w:tc>
        <w:tc>
          <w:tcPr>
            <w:tcW w:w="4622" w:type="dxa"/>
          </w:tcPr>
          <w:p w14:paraId="5B8D8192" w14:textId="77777777" w:rsidR="00B46EF1" w:rsidRPr="007E7A1B" w:rsidRDefault="00B46EF1" w:rsidP="007E7A1B">
            <w:pPr>
              <w:autoSpaceDE w:val="0"/>
              <w:autoSpaceDN w:val="0"/>
              <w:adjustRightInd w:val="0"/>
              <w:spacing w:before="60" w:after="0" w:line="240" w:lineRule="auto"/>
              <w:jc w:val="both"/>
              <w:rPr>
                <w:rFonts w:ascii="Avenir LT 45 Book" w:eastAsia="Calibri" w:hAnsi="Avenir LT 45 Book"/>
                <w:sz w:val="18"/>
                <w:szCs w:val="18"/>
              </w:rPr>
            </w:pPr>
            <w:r w:rsidRPr="007E7A1B">
              <w:rPr>
                <w:rFonts w:ascii="Avenir LT 45 Book" w:eastAsia="Calibri" w:hAnsi="Avenir LT 45 Book"/>
                <w:sz w:val="18"/>
                <w:szCs w:val="18"/>
              </w:rPr>
              <w:t>27 Windsor Road</w:t>
            </w:r>
          </w:p>
        </w:tc>
      </w:tr>
    </w:tbl>
    <w:p w14:paraId="37FEA191" w14:textId="77777777" w:rsidR="00B46EF1" w:rsidRPr="007E7A1B" w:rsidRDefault="007E7A1B" w:rsidP="007E7A1B">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3.7.11.3</w:t>
      </w:r>
      <w:r>
        <w:rPr>
          <w:rFonts w:ascii="Avenir LT 65 Medium" w:hAnsi="Avenir LT 65 Medium"/>
          <w:bCs/>
          <w:i w:val="0"/>
          <w:color w:val="auto"/>
        </w:rPr>
        <w:tab/>
      </w:r>
      <w:r w:rsidR="00B46EF1" w:rsidRPr="007E7A1B">
        <w:rPr>
          <w:rFonts w:ascii="Avenir LT 65 Medium" w:hAnsi="Avenir LT 65 Medium"/>
          <w:bCs/>
          <w:i w:val="0"/>
          <w:color w:val="auto"/>
        </w:rPr>
        <w:t>Contemporary Fences</w:t>
      </w:r>
    </w:p>
    <w:tbl>
      <w:tblPr>
        <w:tblW w:w="0" w:type="auto"/>
        <w:tblLook w:val="04A0" w:firstRow="1" w:lastRow="0" w:firstColumn="1" w:lastColumn="0" w:noHBand="0" w:noVBand="1"/>
      </w:tblPr>
      <w:tblGrid>
        <w:gridCol w:w="4512"/>
        <w:gridCol w:w="4514"/>
      </w:tblGrid>
      <w:tr w:rsidR="00B46EF1" w:rsidRPr="00842387" w14:paraId="120E5683" w14:textId="77777777" w:rsidTr="008048CE">
        <w:trPr>
          <w:trHeight w:val="2832"/>
        </w:trPr>
        <w:tc>
          <w:tcPr>
            <w:tcW w:w="4620" w:type="dxa"/>
          </w:tcPr>
          <w:p w14:paraId="3E890321" w14:textId="77777777" w:rsidR="00B46EF1" w:rsidRPr="00842387" w:rsidRDefault="00B46EF1" w:rsidP="008048CE">
            <w:pPr>
              <w:autoSpaceDE w:val="0"/>
              <w:autoSpaceDN w:val="0"/>
              <w:adjustRightInd w:val="0"/>
              <w:spacing w:after="0" w:line="240" w:lineRule="auto"/>
              <w:jc w:val="both"/>
              <w:rPr>
                <w:szCs w:val="20"/>
              </w:rPr>
            </w:pPr>
            <w:r w:rsidRPr="00842387">
              <w:rPr>
                <w:noProof/>
                <w:szCs w:val="20"/>
                <w:lang w:eastAsia="en-AU"/>
              </w:rPr>
              <w:drawing>
                <wp:inline distT="0" distB="0" distL="0" distR="0" wp14:anchorId="05E5ECB3" wp14:editId="60B648F2">
                  <wp:extent cx="2519680" cy="1798320"/>
                  <wp:effectExtent l="19050" t="0" r="0" b="0"/>
                  <wp:docPr id="151" name="Picture 0" descr="37 HAMILTON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HAMILTON STREET.jpg"/>
                          <pic:cNvPicPr/>
                        </pic:nvPicPr>
                        <pic:blipFill>
                          <a:blip r:embed="rId203" cstate="print"/>
                          <a:stretch>
                            <a:fillRect/>
                          </a:stretch>
                        </pic:blipFill>
                        <pic:spPr>
                          <a:xfrm>
                            <a:off x="0" y="0"/>
                            <a:ext cx="2519680" cy="1798320"/>
                          </a:xfrm>
                          <a:prstGeom prst="rect">
                            <a:avLst/>
                          </a:prstGeom>
                        </pic:spPr>
                      </pic:pic>
                    </a:graphicData>
                  </a:graphic>
                </wp:inline>
              </w:drawing>
            </w:r>
          </w:p>
        </w:tc>
        <w:tc>
          <w:tcPr>
            <w:tcW w:w="4622" w:type="dxa"/>
          </w:tcPr>
          <w:p w14:paraId="2949DF75" w14:textId="77777777" w:rsidR="00B46EF1" w:rsidRPr="00842387" w:rsidRDefault="00B46EF1" w:rsidP="008048CE">
            <w:pPr>
              <w:autoSpaceDE w:val="0"/>
              <w:autoSpaceDN w:val="0"/>
              <w:adjustRightInd w:val="0"/>
              <w:spacing w:after="0" w:line="240" w:lineRule="auto"/>
              <w:jc w:val="both"/>
              <w:rPr>
                <w:szCs w:val="20"/>
              </w:rPr>
            </w:pPr>
            <w:r w:rsidRPr="00842387">
              <w:rPr>
                <w:noProof/>
                <w:szCs w:val="20"/>
                <w:lang w:eastAsia="en-AU"/>
              </w:rPr>
              <w:drawing>
                <wp:inline distT="0" distB="0" distL="0" distR="0" wp14:anchorId="4C19556A" wp14:editId="02EE93C3">
                  <wp:extent cx="2519680" cy="1798320"/>
                  <wp:effectExtent l="19050" t="0" r="0" b="0"/>
                  <wp:docPr id="152" name="Picture 1" descr="25 OSBOURN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OSBOURNE STREET.jpg"/>
                          <pic:cNvPicPr/>
                        </pic:nvPicPr>
                        <pic:blipFill>
                          <a:blip r:embed="rId204" cstate="print"/>
                          <a:stretch>
                            <a:fillRect/>
                          </a:stretch>
                        </pic:blipFill>
                        <pic:spPr>
                          <a:xfrm>
                            <a:off x="0" y="0"/>
                            <a:ext cx="2519680" cy="1798320"/>
                          </a:xfrm>
                          <a:prstGeom prst="rect">
                            <a:avLst/>
                          </a:prstGeom>
                        </pic:spPr>
                      </pic:pic>
                    </a:graphicData>
                  </a:graphic>
                </wp:inline>
              </w:drawing>
            </w:r>
          </w:p>
        </w:tc>
      </w:tr>
      <w:tr w:rsidR="00B46EF1" w:rsidRPr="007E7A1B" w14:paraId="1F74E07C" w14:textId="77777777" w:rsidTr="008048CE">
        <w:trPr>
          <w:trHeight w:val="135"/>
        </w:trPr>
        <w:tc>
          <w:tcPr>
            <w:tcW w:w="4620" w:type="dxa"/>
          </w:tcPr>
          <w:p w14:paraId="4B198C3F" w14:textId="77777777" w:rsidR="00B46EF1" w:rsidRPr="007E7A1B" w:rsidRDefault="00B46EF1" w:rsidP="008048CE">
            <w:pPr>
              <w:autoSpaceDE w:val="0"/>
              <w:autoSpaceDN w:val="0"/>
              <w:adjustRightInd w:val="0"/>
              <w:spacing w:before="60" w:line="240" w:lineRule="auto"/>
              <w:jc w:val="both"/>
              <w:rPr>
                <w:rFonts w:ascii="Avenir LT 45 Book" w:eastAsia="Calibri" w:hAnsi="Avenir LT 45 Book"/>
                <w:sz w:val="18"/>
                <w:szCs w:val="18"/>
              </w:rPr>
            </w:pPr>
            <w:r w:rsidRPr="007E7A1B">
              <w:rPr>
                <w:rFonts w:ascii="Avenir LT 45 Book" w:eastAsia="Calibri" w:hAnsi="Avenir LT 45 Book"/>
                <w:sz w:val="18"/>
                <w:szCs w:val="18"/>
              </w:rPr>
              <w:t>30 Hubble Street</w:t>
            </w:r>
          </w:p>
        </w:tc>
        <w:tc>
          <w:tcPr>
            <w:tcW w:w="4622" w:type="dxa"/>
          </w:tcPr>
          <w:p w14:paraId="2E26309E" w14:textId="77777777" w:rsidR="00B46EF1" w:rsidRPr="007E7A1B" w:rsidRDefault="00B46EF1" w:rsidP="008048CE">
            <w:pPr>
              <w:autoSpaceDE w:val="0"/>
              <w:autoSpaceDN w:val="0"/>
              <w:adjustRightInd w:val="0"/>
              <w:spacing w:before="60" w:after="0" w:line="240" w:lineRule="auto"/>
              <w:jc w:val="both"/>
              <w:rPr>
                <w:rFonts w:ascii="Avenir LT 45 Book" w:eastAsia="Calibri" w:hAnsi="Avenir LT 45 Book"/>
                <w:sz w:val="18"/>
                <w:szCs w:val="18"/>
              </w:rPr>
            </w:pPr>
            <w:r w:rsidRPr="007E7A1B">
              <w:rPr>
                <w:rFonts w:ascii="Avenir LT 45 Book" w:eastAsia="Calibri" w:hAnsi="Avenir LT 45 Book"/>
                <w:sz w:val="18"/>
                <w:szCs w:val="18"/>
              </w:rPr>
              <w:t xml:space="preserve">63 Richmond Circus </w:t>
            </w:r>
          </w:p>
          <w:p w14:paraId="0A23EE2D" w14:textId="77777777" w:rsidR="00B46EF1" w:rsidRPr="007E7A1B" w:rsidRDefault="00B46EF1" w:rsidP="008048CE">
            <w:pPr>
              <w:autoSpaceDE w:val="0"/>
              <w:autoSpaceDN w:val="0"/>
              <w:adjustRightInd w:val="0"/>
              <w:spacing w:before="60" w:after="0" w:line="240" w:lineRule="auto"/>
              <w:jc w:val="both"/>
              <w:rPr>
                <w:rFonts w:ascii="Avenir LT 45 Book" w:eastAsia="Calibri" w:hAnsi="Avenir LT 45 Book"/>
                <w:sz w:val="18"/>
                <w:szCs w:val="18"/>
              </w:rPr>
            </w:pPr>
          </w:p>
        </w:tc>
      </w:tr>
    </w:tbl>
    <w:p w14:paraId="61D4A7FF" w14:textId="77777777" w:rsidR="00B46EF1" w:rsidRPr="007E7A1B" w:rsidRDefault="007E7A1B" w:rsidP="007E7A1B">
      <w:pPr>
        <w:pStyle w:val="Heading4"/>
        <w:spacing w:before="480" w:after="200" w:line="360" w:lineRule="auto"/>
        <w:rPr>
          <w:rFonts w:ascii="Avenir LT 65 Medium" w:hAnsi="Avenir LT 65 Medium"/>
          <w:bCs/>
          <w:i w:val="0"/>
          <w:color w:val="auto"/>
        </w:rPr>
      </w:pPr>
      <w:r>
        <w:rPr>
          <w:rFonts w:ascii="Avenir LT 65 Medium" w:hAnsi="Avenir LT 65 Medium"/>
          <w:bCs/>
          <w:i w:val="0"/>
          <w:color w:val="auto"/>
        </w:rPr>
        <w:t>3.7.11.4</w:t>
      </w:r>
      <w:r>
        <w:rPr>
          <w:rFonts w:ascii="Avenir LT 65 Medium" w:hAnsi="Avenir LT 65 Medium"/>
          <w:bCs/>
          <w:i w:val="0"/>
          <w:color w:val="auto"/>
        </w:rPr>
        <w:tab/>
      </w:r>
      <w:r w:rsidR="00B46EF1" w:rsidRPr="007E7A1B">
        <w:rPr>
          <w:rFonts w:ascii="Avenir LT 65 Medium" w:hAnsi="Avenir LT 65 Medium"/>
          <w:bCs/>
          <w:i w:val="0"/>
          <w:color w:val="auto"/>
        </w:rPr>
        <w:t>Desired Development Outcomes</w:t>
      </w:r>
    </w:p>
    <w:p w14:paraId="363DCF42" w14:textId="77777777" w:rsidR="00B46EF1" w:rsidRPr="007E7A1B" w:rsidRDefault="008416B7" w:rsidP="008416B7">
      <w:pPr>
        <w:spacing w:line="360" w:lineRule="auto"/>
        <w:ind w:left="709" w:hanging="501"/>
        <w:rPr>
          <w:rFonts w:ascii="Avenir LT 45 Book" w:eastAsia="Calibri" w:hAnsi="Avenir LT 45 Book" w:cs="Times New Roman"/>
          <w:sz w:val="20"/>
        </w:rPr>
      </w:pPr>
      <w:proofErr w:type="spellStart"/>
      <w:r>
        <w:rPr>
          <w:rFonts w:ascii="Avenir LT 45 Book" w:eastAsia="Calibri" w:hAnsi="Avenir LT 45 Book" w:cs="Times New Roman"/>
          <w:sz w:val="20"/>
        </w:rPr>
        <w:t>i</w:t>
      </w:r>
      <w:proofErr w:type="spellEnd"/>
      <w:r>
        <w:rPr>
          <w:rFonts w:ascii="Avenir LT 45 Book" w:eastAsia="Calibri" w:hAnsi="Avenir LT 45 Book" w:cs="Times New Roman"/>
          <w:sz w:val="20"/>
        </w:rPr>
        <w:t>.</w:t>
      </w:r>
      <w:r>
        <w:rPr>
          <w:rFonts w:ascii="Avenir LT 45 Book" w:eastAsia="Calibri" w:hAnsi="Avenir LT 45 Book" w:cs="Times New Roman"/>
          <w:sz w:val="20"/>
        </w:rPr>
        <w:tab/>
      </w:r>
      <w:r w:rsidR="00B46EF1" w:rsidRPr="007E7A1B">
        <w:rPr>
          <w:rFonts w:ascii="Avenir LT 45 Book" w:eastAsia="Calibri" w:hAnsi="Avenir LT 45 Book" w:cs="Times New Roman"/>
          <w:sz w:val="20"/>
        </w:rPr>
        <w:t xml:space="preserve">Where an original fence </w:t>
      </w:r>
      <w:proofErr w:type="gramStart"/>
      <w:r w:rsidR="00B46EF1" w:rsidRPr="007E7A1B">
        <w:rPr>
          <w:rFonts w:ascii="Avenir LT 45 Book" w:eastAsia="Calibri" w:hAnsi="Avenir LT 45 Book" w:cs="Times New Roman"/>
          <w:sz w:val="20"/>
        </w:rPr>
        <w:t>remains</w:t>
      </w:r>
      <w:proofErr w:type="gramEnd"/>
      <w:r w:rsidR="00B46EF1" w:rsidRPr="007E7A1B">
        <w:rPr>
          <w:rFonts w:ascii="Avenir LT 45 Book" w:eastAsia="Calibri" w:hAnsi="Avenir LT 45 Book" w:cs="Times New Roman"/>
          <w:sz w:val="20"/>
        </w:rPr>
        <w:t xml:space="preserve"> it should be retained and restored where required.  In the event an original fence requires replacing a ‘like for like’ approach should be </w:t>
      </w:r>
      <w:proofErr w:type="gramStart"/>
      <w:r w:rsidR="00B46EF1" w:rsidRPr="007E7A1B">
        <w:rPr>
          <w:rFonts w:ascii="Avenir LT 45 Book" w:eastAsia="Calibri" w:hAnsi="Avenir LT 45 Book" w:cs="Times New Roman"/>
          <w:sz w:val="20"/>
        </w:rPr>
        <w:t>encouraged;</w:t>
      </w:r>
      <w:proofErr w:type="gramEnd"/>
    </w:p>
    <w:p w14:paraId="7C44E6D9" w14:textId="77777777" w:rsidR="00B46EF1" w:rsidRPr="007E7A1B" w:rsidRDefault="008416B7" w:rsidP="008416B7">
      <w:pPr>
        <w:spacing w:line="360" w:lineRule="auto"/>
        <w:ind w:left="709" w:hanging="501"/>
        <w:rPr>
          <w:rFonts w:ascii="Avenir LT 45 Book" w:eastAsia="Calibri" w:hAnsi="Avenir LT 45 Book" w:cs="Times New Roman"/>
          <w:sz w:val="20"/>
        </w:rPr>
      </w:pPr>
      <w:r>
        <w:rPr>
          <w:rFonts w:ascii="Avenir LT 45 Book" w:eastAsia="Calibri" w:hAnsi="Avenir LT 45 Book" w:cs="Times New Roman"/>
          <w:sz w:val="20"/>
        </w:rPr>
        <w:t>ii.</w:t>
      </w:r>
      <w:r>
        <w:rPr>
          <w:rFonts w:ascii="Avenir LT 45 Book" w:eastAsia="Calibri" w:hAnsi="Avenir LT 45 Book" w:cs="Times New Roman"/>
          <w:sz w:val="20"/>
        </w:rPr>
        <w:tab/>
      </w:r>
      <w:r w:rsidR="00B46EF1" w:rsidRPr="007E7A1B">
        <w:rPr>
          <w:rFonts w:ascii="Avenir LT 45 Book" w:eastAsia="Calibri" w:hAnsi="Avenir LT 45 Book" w:cs="Times New Roman"/>
          <w:sz w:val="20"/>
        </w:rPr>
        <w:t>Fences are no higher than 1.</w:t>
      </w:r>
      <w:proofErr w:type="gramStart"/>
      <w:r w:rsidR="00B46EF1" w:rsidRPr="007E7A1B">
        <w:rPr>
          <w:rFonts w:ascii="Avenir LT 45 Book" w:eastAsia="Calibri" w:hAnsi="Avenir LT 45 Book" w:cs="Times New Roman"/>
          <w:sz w:val="20"/>
        </w:rPr>
        <w:t>8m;</w:t>
      </w:r>
      <w:proofErr w:type="gramEnd"/>
    </w:p>
    <w:p w14:paraId="7A5904CB" w14:textId="77777777" w:rsidR="00B46EF1" w:rsidRPr="007E7A1B" w:rsidRDefault="008416B7" w:rsidP="008416B7">
      <w:pPr>
        <w:spacing w:line="360" w:lineRule="auto"/>
        <w:ind w:left="709" w:hanging="501"/>
        <w:rPr>
          <w:rFonts w:ascii="Avenir LT 45 Book" w:eastAsia="Calibri" w:hAnsi="Avenir LT 45 Book" w:cs="Times New Roman"/>
          <w:sz w:val="20"/>
        </w:rPr>
      </w:pPr>
      <w:r>
        <w:rPr>
          <w:rFonts w:ascii="Avenir LT 45 Book" w:eastAsia="Calibri" w:hAnsi="Avenir LT 45 Book" w:cs="Times New Roman"/>
          <w:sz w:val="20"/>
        </w:rPr>
        <w:t>iii.</w:t>
      </w:r>
      <w:r>
        <w:rPr>
          <w:rFonts w:ascii="Avenir LT 45 Book" w:eastAsia="Calibri" w:hAnsi="Avenir LT 45 Book" w:cs="Times New Roman"/>
          <w:sz w:val="20"/>
        </w:rPr>
        <w:tab/>
      </w:r>
      <w:r w:rsidR="00B46EF1" w:rsidRPr="007E7A1B">
        <w:rPr>
          <w:rFonts w:ascii="Avenir LT 45 Book" w:eastAsia="Calibri" w:hAnsi="Avenir LT 45 Book" w:cs="Times New Roman"/>
          <w:sz w:val="20"/>
        </w:rPr>
        <w:t xml:space="preserve">Permeable front boundary </w:t>
      </w:r>
      <w:proofErr w:type="gramStart"/>
      <w:r w:rsidR="00B46EF1" w:rsidRPr="007E7A1B">
        <w:rPr>
          <w:rFonts w:ascii="Avenir LT 45 Book" w:eastAsia="Calibri" w:hAnsi="Avenir LT 45 Book" w:cs="Times New Roman"/>
          <w:sz w:val="20"/>
        </w:rPr>
        <w:t>fences;</w:t>
      </w:r>
      <w:proofErr w:type="gramEnd"/>
    </w:p>
    <w:p w14:paraId="4419EA97" w14:textId="77777777" w:rsidR="00B46EF1" w:rsidRPr="007E7A1B" w:rsidRDefault="008416B7" w:rsidP="008416B7">
      <w:pPr>
        <w:spacing w:line="360" w:lineRule="auto"/>
        <w:ind w:left="709" w:hanging="501"/>
        <w:rPr>
          <w:rFonts w:ascii="Avenir LT 45 Book" w:eastAsia="Calibri" w:hAnsi="Avenir LT 45 Book" w:cs="Times New Roman"/>
          <w:sz w:val="20"/>
        </w:rPr>
      </w:pPr>
      <w:r>
        <w:rPr>
          <w:rFonts w:ascii="Avenir LT 45 Book" w:eastAsia="Calibri" w:hAnsi="Avenir LT 45 Book" w:cs="Times New Roman"/>
          <w:sz w:val="20"/>
        </w:rPr>
        <w:t>iv.</w:t>
      </w:r>
      <w:r>
        <w:rPr>
          <w:rFonts w:ascii="Avenir LT 45 Book" w:eastAsia="Calibri" w:hAnsi="Avenir LT 45 Book" w:cs="Times New Roman"/>
          <w:sz w:val="20"/>
        </w:rPr>
        <w:tab/>
      </w:r>
      <w:r w:rsidR="00B46EF1" w:rsidRPr="007E7A1B">
        <w:rPr>
          <w:rFonts w:ascii="Avenir LT 45 Book" w:eastAsia="Calibri" w:hAnsi="Avenir LT 45 Book" w:cs="Times New Roman"/>
          <w:sz w:val="20"/>
        </w:rPr>
        <w:t xml:space="preserve">Hedges are </w:t>
      </w:r>
      <w:proofErr w:type="gramStart"/>
      <w:r w:rsidR="00B46EF1" w:rsidRPr="007E7A1B">
        <w:rPr>
          <w:rFonts w:ascii="Avenir LT 45 Book" w:eastAsia="Calibri" w:hAnsi="Avenir LT 45 Book" w:cs="Times New Roman"/>
          <w:sz w:val="20"/>
        </w:rPr>
        <w:t>permitted</w:t>
      </w:r>
      <w:proofErr w:type="gramEnd"/>
      <w:r w:rsidR="00B46EF1" w:rsidRPr="007E7A1B">
        <w:rPr>
          <w:rFonts w:ascii="Avenir LT 45 Book" w:eastAsia="Calibri" w:hAnsi="Avenir LT 45 Book" w:cs="Times New Roman"/>
          <w:sz w:val="20"/>
        </w:rPr>
        <w:t xml:space="preserve"> and reinstatement should be encouraged; and,</w:t>
      </w:r>
    </w:p>
    <w:p w14:paraId="31496CA9" w14:textId="77777777" w:rsidR="00B46EF1" w:rsidRDefault="008416B7" w:rsidP="008416B7">
      <w:pPr>
        <w:spacing w:line="360" w:lineRule="auto"/>
        <w:ind w:left="709" w:hanging="501"/>
      </w:pPr>
      <w:r>
        <w:rPr>
          <w:rFonts w:ascii="Avenir LT 45 Book" w:eastAsia="Calibri" w:hAnsi="Avenir LT 45 Book" w:cs="Times New Roman"/>
          <w:sz w:val="20"/>
        </w:rPr>
        <w:t>v.</w:t>
      </w:r>
      <w:r>
        <w:rPr>
          <w:rFonts w:ascii="Avenir LT 45 Book" w:eastAsia="Calibri" w:hAnsi="Avenir LT 45 Book" w:cs="Times New Roman"/>
          <w:sz w:val="20"/>
        </w:rPr>
        <w:tab/>
      </w:r>
      <w:r w:rsidR="00B46EF1" w:rsidRPr="007E7A1B">
        <w:rPr>
          <w:rFonts w:ascii="Avenir LT 45 Book" w:eastAsia="Calibri" w:hAnsi="Avenir LT 45 Book" w:cs="Times New Roman"/>
          <w:sz w:val="20"/>
        </w:rPr>
        <w:t>Fences should be designed to complement the design of the</w:t>
      </w:r>
      <w:r w:rsidR="00B46EF1" w:rsidRPr="00842387">
        <w:t xml:space="preserve"> </w:t>
      </w:r>
      <w:r w:rsidR="00B46EF1" w:rsidRPr="007E7A1B">
        <w:rPr>
          <w:rFonts w:ascii="Avenir LT 45 Book" w:eastAsia="Calibri" w:hAnsi="Avenir LT 45 Book" w:cs="Times New Roman"/>
          <w:sz w:val="20"/>
        </w:rPr>
        <w:t>existing dwelling.  Both traditional and contemporary fence styles can be appropriate.</w:t>
      </w:r>
    </w:p>
    <w:p w14:paraId="68DA6602" w14:textId="77777777" w:rsidR="00B46EF1" w:rsidRDefault="00B46EF1" w:rsidP="00B46EF1">
      <w:pPr>
        <w:rPr>
          <w:rFonts w:cs="Times New Roman"/>
        </w:rPr>
      </w:pPr>
      <w:r>
        <w:br w:type="page"/>
      </w:r>
    </w:p>
    <w:p w14:paraId="1D885A08" w14:textId="77777777" w:rsidR="00B46EF1" w:rsidRPr="008416B7" w:rsidRDefault="008416B7" w:rsidP="0008185E">
      <w:pPr>
        <w:pStyle w:val="Heading4"/>
        <w:tabs>
          <w:tab w:val="left" w:pos="1418"/>
        </w:tabs>
        <w:spacing w:before="120" w:after="120" w:line="360" w:lineRule="auto"/>
        <w:rPr>
          <w:rFonts w:ascii="Avenir LT 65 Medium" w:hAnsi="Avenir LT 65 Medium"/>
          <w:bCs/>
          <w:i w:val="0"/>
          <w:color w:val="auto"/>
        </w:rPr>
      </w:pPr>
      <w:r>
        <w:rPr>
          <w:rFonts w:ascii="Avenir LT 65 Medium" w:hAnsi="Avenir LT 65 Medium"/>
          <w:bCs/>
          <w:i w:val="0"/>
          <w:color w:val="auto"/>
        </w:rPr>
        <w:lastRenderedPageBreak/>
        <w:t>3.7.11.5</w:t>
      </w:r>
      <w:r>
        <w:rPr>
          <w:rFonts w:ascii="Avenir LT 65 Medium" w:hAnsi="Avenir LT 65 Medium"/>
          <w:bCs/>
          <w:i w:val="0"/>
          <w:color w:val="auto"/>
        </w:rPr>
        <w:tab/>
      </w:r>
      <w:r w:rsidR="00B46EF1" w:rsidRPr="008416B7">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678"/>
        <w:gridCol w:w="4348"/>
      </w:tblGrid>
      <w:tr w:rsidR="00B46EF1" w:rsidRPr="00842387" w14:paraId="63772FD0" w14:textId="77777777" w:rsidTr="008416B7">
        <w:tc>
          <w:tcPr>
            <w:tcW w:w="4678" w:type="dxa"/>
            <w:tcBorders>
              <w:bottom w:val="single" w:sz="4" w:space="0" w:color="auto"/>
            </w:tcBorders>
          </w:tcPr>
          <w:p w14:paraId="12F2AFB0"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348" w:type="dxa"/>
            <w:tcBorders>
              <w:bottom w:val="single" w:sz="4" w:space="0" w:color="auto"/>
            </w:tcBorders>
          </w:tcPr>
          <w:p w14:paraId="034AB10F" w14:textId="77777777" w:rsidR="00B46EF1" w:rsidRDefault="00B46EF1" w:rsidP="008048CE">
            <w:r w:rsidRPr="00842387">
              <w:rPr>
                <w:rFonts w:ascii="Avenir LT 65 Medium" w:hAnsi="Avenir LT 65 Medium"/>
              </w:rPr>
              <w:t>Acceptable Development Provisions</w:t>
            </w:r>
          </w:p>
        </w:tc>
      </w:tr>
      <w:tr w:rsidR="00B46EF1" w:rsidRPr="00842387" w14:paraId="7C24C001" w14:textId="77777777" w:rsidTr="008416B7">
        <w:tc>
          <w:tcPr>
            <w:tcW w:w="4678" w:type="dxa"/>
            <w:tcBorders>
              <w:top w:val="single" w:sz="4" w:space="0" w:color="auto"/>
            </w:tcBorders>
          </w:tcPr>
          <w:p w14:paraId="6E723493" w14:textId="77777777" w:rsidR="00B46EF1" w:rsidRDefault="00B46EF1" w:rsidP="002A3889">
            <w:pPr>
              <w:pStyle w:val="ListParagraph"/>
              <w:numPr>
                <w:ilvl w:val="0"/>
                <w:numId w:val="118"/>
              </w:numPr>
              <w:spacing w:before="120" w:after="120" w:line="360" w:lineRule="auto"/>
              <w:ind w:left="567" w:hanging="567"/>
              <w:contextualSpacing w:val="0"/>
            </w:pPr>
            <w:r w:rsidRPr="008416B7">
              <w:rPr>
                <w:rFonts w:ascii="Avenir LT 45 Book" w:eastAsia="Calibri" w:hAnsi="Avenir LT 45 Book" w:cs="Times New Roman"/>
                <w:sz w:val="20"/>
              </w:rPr>
              <w:t>Contributory existing fences should be retained and restored where required.</w:t>
            </w:r>
          </w:p>
        </w:tc>
        <w:tc>
          <w:tcPr>
            <w:tcW w:w="4348" w:type="dxa"/>
            <w:tcBorders>
              <w:top w:val="single" w:sz="4" w:space="0" w:color="auto"/>
            </w:tcBorders>
          </w:tcPr>
          <w:p w14:paraId="2E57DF78" w14:textId="77777777" w:rsidR="00B46EF1" w:rsidRDefault="00B46EF1" w:rsidP="002A3889">
            <w:pPr>
              <w:pStyle w:val="ListParagraph"/>
              <w:numPr>
                <w:ilvl w:val="0"/>
                <w:numId w:val="123"/>
              </w:numPr>
              <w:spacing w:before="120" w:after="120" w:line="360" w:lineRule="auto"/>
              <w:ind w:left="567" w:hanging="567"/>
              <w:contextualSpacing w:val="0"/>
            </w:pPr>
            <w:r w:rsidRPr="008416B7">
              <w:rPr>
                <w:rFonts w:ascii="Avenir LT 45 Book" w:eastAsia="Calibri" w:hAnsi="Avenir LT 45 Book" w:cs="Times New Roman"/>
                <w:sz w:val="20"/>
              </w:rPr>
              <w:t>Retain existing contributory fence (refer glossary) or restore where required with a ‘like for like’ approach.</w:t>
            </w:r>
          </w:p>
        </w:tc>
      </w:tr>
      <w:tr w:rsidR="00B46EF1" w:rsidRPr="00842387" w14:paraId="02070CB8" w14:textId="77777777" w:rsidTr="008416B7">
        <w:tc>
          <w:tcPr>
            <w:tcW w:w="4678" w:type="dxa"/>
          </w:tcPr>
          <w:p w14:paraId="28E6D628" w14:textId="77777777" w:rsidR="00B46EF1" w:rsidRPr="008416B7" w:rsidRDefault="00B46EF1" w:rsidP="002A3889">
            <w:pPr>
              <w:pStyle w:val="ListParagraph"/>
              <w:numPr>
                <w:ilvl w:val="0"/>
                <w:numId w:val="118"/>
              </w:numPr>
              <w:spacing w:after="80" w:line="360" w:lineRule="auto"/>
              <w:ind w:left="567" w:hanging="567"/>
              <w:contextualSpacing w:val="0"/>
              <w:rPr>
                <w:rFonts w:ascii="Avenir LT 45 Book" w:eastAsia="Calibri" w:hAnsi="Avenir LT 45 Book" w:cs="Times New Roman"/>
                <w:sz w:val="20"/>
              </w:rPr>
            </w:pPr>
            <w:r w:rsidRPr="008416B7">
              <w:rPr>
                <w:rFonts w:ascii="Avenir LT 45 Book" w:eastAsia="Calibri" w:hAnsi="Avenir LT 45 Book" w:cs="Times New Roman"/>
                <w:sz w:val="20"/>
              </w:rPr>
              <w:t>Fences along the street boundary are low and complement the individual building and the immediate locality.  Fences should demonstrate the following:</w:t>
            </w:r>
          </w:p>
          <w:p w14:paraId="3AB296AC" w14:textId="77777777" w:rsidR="00B46EF1" w:rsidRPr="008416B7" w:rsidRDefault="00B46EF1" w:rsidP="002A3889">
            <w:pPr>
              <w:pStyle w:val="ListParagraph"/>
              <w:numPr>
                <w:ilvl w:val="0"/>
                <w:numId w:val="119"/>
              </w:numPr>
              <w:spacing w:after="80" w:line="360" w:lineRule="auto"/>
              <w:contextualSpacing w:val="0"/>
              <w:rPr>
                <w:rFonts w:ascii="Avenir LT 45 Book" w:eastAsia="Calibri" w:hAnsi="Avenir LT 45 Book" w:cs="Times New Roman"/>
                <w:sz w:val="20"/>
              </w:rPr>
            </w:pPr>
            <w:r w:rsidRPr="008416B7">
              <w:rPr>
                <w:rFonts w:ascii="Avenir LT 45 Book" w:eastAsia="Calibri" w:hAnsi="Avenir LT 45 Book" w:cs="Times New Roman"/>
                <w:sz w:val="20"/>
              </w:rPr>
              <w:t xml:space="preserve">Appropriate height, material and </w:t>
            </w:r>
            <w:proofErr w:type="gramStart"/>
            <w:r w:rsidRPr="008416B7">
              <w:rPr>
                <w:rFonts w:ascii="Avenir LT 45 Book" w:eastAsia="Calibri" w:hAnsi="Avenir LT 45 Book" w:cs="Times New Roman"/>
                <w:sz w:val="20"/>
              </w:rPr>
              <w:t>colour;</w:t>
            </w:r>
            <w:proofErr w:type="gramEnd"/>
          </w:p>
          <w:p w14:paraId="704B0BAA" w14:textId="77777777" w:rsidR="00B46EF1" w:rsidRPr="008416B7" w:rsidRDefault="00B46EF1" w:rsidP="002A3889">
            <w:pPr>
              <w:pStyle w:val="ListParagraph"/>
              <w:numPr>
                <w:ilvl w:val="0"/>
                <w:numId w:val="119"/>
              </w:numPr>
              <w:spacing w:after="80" w:line="360" w:lineRule="auto"/>
              <w:contextualSpacing w:val="0"/>
              <w:rPr>
                <w:rFonts w:ascii="Avenir LT 45 Book" w:eastAsia="Calibri" w:hAnsi="Avenir LT 45 Book" w:cs="Times New Roman"/>
                <w:sz w:val="20"/>
              </w:rPr>
            </w:pPr>
            <w:r w:rsidRPr="008416B7">
              <w:rPr>
                <w:rFonts w:ascii="Avenir LT 45 Book" w:eastAsia="Calibri" w:hAnsi="Avenir LT 45 Book" w:cs="Times New Roman"/>
                <w:sz w:val="20"/>
              </w:rPr>
              <w:t xml:space="preserve">Adequate sight lines around intersections for pedestrian and </w:t>
            </w:r>
            <w:proofErr w:type="gramStart"/>
            <w:r w:rsidRPr="008416B7">
              <w:rPr>
                <w:rFonts w:ascii="Avenir LT 45 Book" w:eastAsia="Calibri" w:hAnsi="Avenir LT 45 Book" w:cs="Times New Roman"/>
                <w:sz w:val="20"/>
              </w:rPr>
              <w:t>vehicles;</w:t>
            </w:r>
            <w:proofErr w:type="gramEnd"/>
          </w:p>
          <w:p w14:paraId="0A0B6808" w14:textId="77777777" w:rsidR="00B46EF1" w:rsidRPr="008416B7" w:rsidRDefault="00B46EF1" w:rsidP="002A3889">
            <w:pPr>
              <w:pStyle w:val="ListParagraph"/>
              <w:numPr>
                <w:ilvl w:val="0"/>
                <w:numId w:val="119"/>
              </w:numPr>
              <w:spacing w:after="80" w:line="360" w:lineRule="auto"/>
              <w:contextualSpacing w:val="0"/>
              <w:rPr>
                <w:rFonts w:ascii="Avenir LT 45 Book" w:eastAsia="Calibri" w:hAnsi="Avenir LT 45 Book" w:cs="Times New Roman"/>
                <w:sz w:val="20"/>
              </w:rPr>
            </w:pPr>
            <w:r w:rsidRPr="008416B7">
              <w:rPr>
                <w:rFonts w:ascii="Avenir LT 45 Book" w:eastAsia="Calibri" w:hAnsi="Avenir LT 45 Book" w:cs="Times New Roman"/>
                <w:sz w:val="20"/>
              </w:rPr>
              <w:t>Complies with requirements under the Residential Design Codes; and,</w:t>
            </w:r>
          </w:p>
          <w:p w14:paraId="72A2A457" w14:textId="77777777" w:rsidR="00B46EF1" w:rsidRDefault="00B46EF1" w:rsidP="002A3889">
            <w:pPr>
              <w:pStyle w:val="ListParagraph"/>
              <w:numPr>
                <w:ilvl w:val="0"/>
                <w:numId w:val="119"/>
              </w:numPr>
              <w:spacing w:after="80" w:line="360" w:lineRule="auto"/>
              <w:contextualSpacing w:val="0"/>
            </w:pPr>
            <w:r w:rsidRPr="008416B7">
              <w:rPr>
                <w:rFonts w:ascii="Avenir LT 45 Book" w:eastAsia="Calibri" w:hAnsi="Avenir LT 45 Book" w:cs="Times New Roman"/>
                <w:sz w:val="20"/>
              </w:rPr>
              <w:t>Maximum height of 1.8m to the satisfaction of the Local Government.</w:t>
            </w:r>
          </w:p>
        </w:tc>
        <w:tc>
          <w:tcPr>
            <w:tcW w:w="4348" w:type="dxa"/>
          </w:tcPr>
          <w:p w14:paraId="6487889A" w14:textId="77777777" w:rsidR="00B46EF1" w:rsidRPr="008416B7" w:rsidRDefault="00B46EF1" w:rsidP="002A3889">
            <w:pPr>
              <w:pStyle w:val="ListParagraph"/>
              <w:numPr>
                <w:ilvl w:val="1"/>
                <w:numId w:val="124"/>
              </w:numPr>
              <w:spacing w:after="60" w:line="360" w:lineRule="auto"/>
              <w:ind w:left="624" w:hanging="567"/>
              <w:contextualSpacing w:val="0"/>
              <w:rPr>
                <w:rFonts w:ascii="Avenir LT 45 Book" w:eastAsia="Calibri" w:hAnsi="Avenir LT 45 Book" w:cs="Times New Roman"/>
                <w:sz w:val="20"/>
              </w:rPr>
            </w:pPr>
            <w:r w:rsidRPr="008416B7">
              <w:rPr>
                <w:rFonts w:ascii="Avenir LT 45 Book" w:eastAsia="Calibri" w:hAnsi="Avenir LT 45 Book" w:cs="Times New Roman"/>
                <w:sz w:val="20"/>
              </w:rPr>
              <w:t>Appropriate materials for fence construction are as follows:</w:t>
            </w:r>
          </w:p>
          <w:p w14:paraId="3E906478" w14:textId="77777777" w:rsidR="00B46EF1" w:rsidRPr="008416B7" w:rsidRDefault="00B46EF1" w:rsidP="002A3889">
            <w:pPr>
              <w:pStyle w:val="ListParagraph"/>
              <w:numPr>
                <w:ilvl w:val="0"/>
                <w:numId w:val="125"/>
              </w:numPr>
              <w:spacing w:after="60" w:line="360" w:lineRule="auto"/>
              <w:ind w:left="1191" w:hanging="283"/>
              <w:contextualSpacing w:val="0"/>
              <w:rPr>
                <w:rFonts w:ascii="Avenir LT 45 Book" w:eastAsia="Calibri" w:hAnsi="Avenir LT 45 Book" w:cs="Times New Roman"/>
                <w:sz w:val="20"/>
              </w:rPr>
            </w:pPr>
            <w:r w:rsidRPr="008416B7">
              <w:rPr>
                <w:rFonts w:ascii="Avenir LT 45 Book" w:eastAsia="Calibri" w:hAnsi="Avenir LT 45 Book" w:cs="Times New Roman"/>
                <w:sz w:val="20"/>
              </w:rPr>
              <w:t xml:space="preserve">Timber </w:t>
            </w:r>
            <w:proofErr w:type="gramStart"/>
            <w:r w:rsidRPr="008416B7">
              <w:rPr>
                <w:rFonts w:ascii="Avenir LT 45 Book" w:eastAsia="Calibri" w:hAnsi="Avenir LT 45 Book" w:cs="Times New Roman"/>
                <w:sz w:val="20"/>
              </w:rPr>
              <w:t>pickets;</w:t>
            </w:r>
            <w:proofErr w:type="gramEnd"/>
          </w:p>
          <w:p w14:paraId="446B3858" w14:textId="77777777" w:rsidR="00B46EF1" w:rsidRPr="008416B7" w:rsidRDefault="00B46EF1" w:rsidP="002A3889">
            <w:pPr>
              <w:pStyle w:val="ListParagraph"/>
              <w:numPr>
                <w:ilvl w:val="0"/>
                <w:numId w:val="125"/>
              </w:numPr>
              <w:spacing w:after="60" w:line="360" w:lineRule="auto"/>
              <w:ind w:left="1191" w:hanging="283"/>
              <w:contextualSpacing w:val="0"/>
              <w:rPr>
                <w:rFonts w:ascii="Avenir LT 45 Book" w:eastAsia="Calibri" w:hAnsi="Avenir LT 45 Book" w:cs="Times New Roman"/>
                <w:sz w:val="20"/>
              </w:rPr>
            </w:pPr>
            <w:r w:rsidRPr="008416B7">
              <w:rPr>
                <w:rFonts w:ascii="Avenir LT 45 Book" w:eastAsia="Calibri" w:hAnsi="Avenir LT 45 Book" w:cs="Times New Roman"/>
                <w:sz w:val="20"/>
              </w:rPr>
              <w:t xml:space="preserve">Woven </w:t>
            </w:r>
            <w:proofErr w:type="gramStart"/>
            <w:r w:rsidRPr="008416B7">
              <w:rPr>
                <w:rFonts w:ascii="Avenir LT 45 Book" w:eastAsia="Calibri" w:hAnsi="Avenir LT 45 Book" w:cs="Times New Roman"/>
                <w:sz w:val="20"/>
              </w:rPr>
              <w:t>wire;</w:t>
            </w:r>
            <w:proofErr w:type="gramEnd"/>
          </w:p>
          <w:p w14:paraId="605D5F42" w14:textId="77777777" w:rsidR="00B46EF1" w:rsidRPr="008416B7" w:rsidRDefault="00B46EF1" w:rsidP="002A3889">
            <w:pPr>
              <w:pStyle w:val="ListParagraph"/>
              <w:numPr>
                <w:ilvl w:val="0"/>
                <w:numId w:val="125"/>
              </w:numPr>
              <w:spacing w:after="60" w:line="360" w:lineRule="auto"/>
              <w:ind w:left="1191" w:hanging="283"/>
              <w:contextualSpacing w:val="0"/>
              <w:rPr>
                <w:rFonts w:ascii="Avenir LT 45 Book" w:eastAsia="Calibri" w:hAnsi="Avenir LT 45 Book" w:cs="Times New Roman"/>
                <w:sz w:val="20"/>
              </w:rPr>
            </w:pPr>
            <w:r w:rsidRPr="008416B7">
              <w:rPr>
                <w:rFonts w:ascii="Avenir LT 45 Book" w:eastAsia="Calibri" w:hAnsi="Avenir LT 45 Book" w:cs="Times New Roman"/>
                <w:sz w:val="20"/>
              </w:rPr>
              <w:t xml:space="preserve">Link </w:t>
            </w:r>
            <w:proofErr w:type="gramStart"/>
            <w:r w:rsidRPr="008416B7">
              <w:rPr>
                <w:rFonts w:ascii="Avenir LT 45 Book" w:eastAsia="Calibri" w:hAnsi="Avenir LT 45 Book" w:cs="Times New Roman"/>
                <w:sz w:val="20"/>
              </w:rPr>
              <w:t>mesh;</w:t>
            </w:r>
            <w:proofErr w:type="gramEnd"/>
          </w:p>
          <w:p w14:paraId="791C5844" w14:textId="77777777" w:rsidR="00B46EF1" w:rsidRPr="008416B7" w:rsidRDefault="00B46EF1" w:rsidP="002A3889">
            <w:pPr>
              <w:pStyle w:val="ListParagraph"/>
              <w:numPr>
                <w:ilvl w:val="0"/>
                <w:numId w:val="125"/>
              </w:numPr>
              <w:spacing w:after="60" w:line="360" w:lineRule="auto"/>
              <w:ind w:left="1191" w:hanging="283"/>
              <w:contextualSpacing w:val="0"/>
              <w:rPr>
                <w:rFonts w:ascii="Avenir LT 45 Book" w:eastAsia="Calibri" w:hAnsi="Avenir LT 45 Book" w:cs="Times New Roman"/>
                <w:sz w:val="20"/>
              </w:rPr>
            </w:pPr>
            <w:r w:rsidRPr="008416B7">
              <w:rPr>
                <w:rFonts w:ascii="Avenir LT 45 Book" w:eastAsia="Calibri" w:hAnsi="Avenir LT 45 Book" w:cs="Times New Roman"/>
                <w:sz w:val="20"/>
              </w:rPr>
              <w:t>Brick or stone of maximum height 1.2m with piers to 1.8m, with infill of timber pickets or metal railings; or,</w:t>
            </w:r>
          </w:p>
          <w:p w14:paraId="4F731B1E" w14:textId="77777777" w:rsidR="00B46EF1" w:rsidRPr="008416B7" w:rsidRDefault="00B46EF1" w:rsidP="002A3889">
            <w:pPr>
              <w:pStyle w:val="ListParagraph"/>
              <w:numPr>
                <w:ilvl w:val="0"/>
                <w:numId w:val="125"/>
              </w:numPr>
              <w:spacing w:after="120" w:line="360" w:lineRule="auto"/>
              <w:ind w:left="1191" w:hanging="284"/>
              <w:contextualSpacing w:val="0"/>
              <w:rPr>
                <w:rFonts w:ascii="Avenir LT 45 Book" w:eastAsia="Calibri" w:hAnsi="Avenir LT 45 Book" w:cs="Times New Roman"/>
                <w:sz w:val="20"/>
              </w:rPr>
            </w:pPr>
            <w:r w:rsidRPr="008416B7">
              <w:rPr>
                <w:rFonts w:ascii="Avenir LT 45 Book" w:eastAsia="Calibri" w:hAnsi="Avenir LT 45 Book" w:cs="Times New Roman"/>
                <w:sz w:val="20"/>
              </w:rPr>
              <w:t>Hedges where they are maintained to a height that allows passive surveillance of the street.</w:t>
            </w:r>
          </w:p>
          <w:p w14:paraId="0DE435D4" w14:textId="77777777" w:rsidR="00B46EF1" w:rsidRPr="008416B7" w:rsidRDefault="00B46EF1" w:rsidP="002A3889">
            <w:pPr>
              <w:pStyle w:val="ListParagraph"/>
              <w:numPr>
                <w:ilvl w:val="1"/>
                <w:numId w:val="126"/>
              </w:numPr>
              <w:spacing w:after="120" w:line="360" w:lineRule="auto"/>
              <w:ind w:left="624" w:hanging="567"/>
              <w:contextualSpacing w:val="0"/>
              <w:rPr>
                <w:rFonts w:ascii="Avenir LT 45 Book" w:eastAsia="Calibri" w:hAnsi="Avenir LT 45 Book" w:cs="Times New Roman"/>
                <w:sz w:val="20"/>
              </w:rPr>
            </w:pPr>
            <w:r w:rsidRPr="008416B7">
              <w:rPr>
                <w:rFonts w:ascii="Avenir LT 45 Book" w:eastAsia="Calibri" w:hAnsi="Avenir LT 45 Book" w:cs="Times New Roman"/>
                <w:sz w:val="20"/>
              </w:rPr>
              <w:t>Materials not included in the above list shall be approved by council where demonstrably compatible with the immediate locality.  All submissions are to include a street elevation with a minimum of the subject lot and two adjacent properties.</w:t>
            </w:r>
          </w:p>
          <w:p w14:paraId="06F1B706" w14:textId="77777777" w:rsidR="00B46EF1" w:rsidRDefault="00B46EF1" w:rsidP="002A3889">
            <w:pPr>
              <w:pStyle w:val="ListParagraph"/>
              <w:numPr>
                <w:ilvl w:val="1"/>
                <w:numId w:val="127"/>
              </w:numPr>
              <w:spacing w:after="120" w:line="360" w:lineRule="auto"/>
              <w:ind w:left="624" w:hanging="567"/>
              <w:contextualSpacing w:val="0"/>
            </w:pPr>
            <w:r w:rsidRPr="008416B7">
              <w:rPr>
                <w:rFonts w:ascii="Avenir LT 45 Book" w:eastAsia="Calibri" w:hAnsi="Avenir LT 45 Book" w:cs="Times New Roman"/>
                <w:sz w:val="20"/>
              </w:rPr>
              <w:t>Relevant information illustrating fence construction.  This is to include photos and a street elevation of the immediate locality.  Street elevations are to include a minimum of the subject lot and two neighbouring lots.</w:t>
            </w:r>
          </w:p>
        </w:tc>
      </w:tr>
      <w:tr w:rsidR="00B46EF1" w:rsidRPr="00842387" w14:paraId="7152C463" w14:textId="77777777" w:rsidTr="008416B7">
        <w:tc>
          <w:tcPr>
            <w:tcW w:w="4678" w:type="dxa"/>
          </w:tcPr>
          <w:p w14:paraId="637F9069" w14:textId="77777777" w:rsidR="00B46EF1" w:rsidRDefault="00B46EF1" w:rsidP="002A3889">
            <w:pPr>
              <w:pStyle w:val="ListParagraph"/>
              <w:numPr>
                <w:ilvl w:val="0"/>
                <w:numId w:val="118"/>
              </w:numPr>
              <w:spacing w:line="360" w:lineRule="auto"/>
              <w:ind w:left="567" w:hanging="567"/>
              <w:contextualSpacing w:val="0"/>
            </w:pPr>
            <w:r w:rsidRPr="008416B7">
              <w:rPr>
                <w:rFonts w:ascii="Avenir LT 45 Book" w:eastAsia="Calibri" w:hAnsi="Avenir LT 45 Book" w:cs="Times New Roman"/>
                <w:sz w:val="20"/>
              </w:rPr>
              <w:t>Fences above 1.2m are to be visually permeable to allow passive surveillance to the street.</w:t>
            </w:r>
          </w:p>
        </w:tc>
        <w:tc>
          <w:tcPr>
            <w:tcW w:w="4348" w:type="dxa"/>
          </w:tcPr>
          <w:p w14:paraId="2FD3F460" w14:textId="77777777" w:rsidR="00B46EF1" w:rsidRDefault="00B46EF1" w:rsidP="002A3889">
            <w:pPr>
              <w:pStyle w:val="ListParagraph"/>
              <w:numPr>
                <w:ilvl w:val="0"/>
                <w:numId w:val="128"/>
              </w:numPr>
              <w:spacing w:after="120" w:line="360" w:lineRule="auto"/>
              <w:ind w:left="624" w:hanging="567"/>
              <w:contextualSpacing w:val="0"/>
            </w:pPr>
            <w:r w:rsidRPr="008416B7">
              <w:rPr>
                <w:rFonts w:ascii="Avenir LT 45 Book" w:eastAsia="Calibri" w:hAnsi="Avenir LT 45 Book" w:cs="Times New Roman"/>
                <w:sz w:val="20"/>
              </w:rPr>
              <w:t>Fence area above 1.2m should be at least 60% permeable.  Permeability is to be evenly distributed across fence length and area</w:t>
            </w:r>
            <w:r w:rsidRPr="00842387">
              <w:t>.</w:t>
            </w:r>
          </w:p>
        </w:tc>
      </w:tr>
      <w:tr w:rsidR="00B46EF1" w:rsidRPr="00842387" w14:paraId="24DA3438" w14:textId="77777777" w:rsidTr="008416B7">
        <w:tc>
          <w:tcPr>
            <w:tcW w:w="4678" w:type="dxa"/>
          </w:tcPr>
          <w:p w14:paraId="0F450F0A" w14:textId="77777777" w:rsidR="00B46EF1" w:rsidRPr="008416B7" w:rsidRDefault="00B46EF1" w:rsidP="002A3889">
            <w:pPr>
              <w:pStyle w:val="ListParagraph"/>
              <w:numPr>
                <w:ilvl w:val="1"/>
                <w:numId w:val="120"/>
              </w:numPr>
              <w:spacing w:after="60" w:line="360" w:lineRule="auto"/>
              <w:ind w:left="567" w:hanging="567"/>
              <w:contextualSpacing w:val="0"/>
              <w:rPr>
                <w:rFonts w:ascii="Avenir LT 45 Book" w:eastAsia="Calibri" w:hAnsi="Avenir LT 45 Book" w:cs="Times New Roman"/>
                <w:sz w:val="20"/>
              </w:rPr>
            </w:pPr>
            <w:r w:rsidRPr="008416B7">
              <w:rPr>
                <w:rFonts w:ascii="Avenir LT 45 Book" w:eastAsia="Calibri" w:hAnsi="Avenir LT 45 Book" w:cs="Times New Roman"/>
                <w:sz w:val="20"/>
              </w:rPr>
              <w:t>Less permeable fences above 1.2m may be approved when they meet the following:</w:t>
            </w:r>
          </w:p>
          <w:p w14:paraId="675EBCE2" w14:textId="77777777" w:rsidR="00B46EF1" w:rsidRPr="008416B7" w:rsidRDefault="00B46EF1" w:rsidP="002A3889">
            <w:pPr>
              <w:pStyle w:val="ListParagraph"/>
              <w:numPr>
                <w:ilvl w:val="0"/>
                <w:numId w:val="121"/>
              </w:numPr>
              <w:spacing w:line="360" w:lineRule="auto"/>
              <w:ind w:left="993" w:hanging="284"/>
              <w:contextualSpacing w:val="0"/>
              <w:rPr>
                <w:rFonts w:ascii="Avenir LT 45 Book" w:eastAsia="Calibri" w:hAnsi="Avenir LT 45 Book" w:cs="Times New Roman"/>
                <w:sz w:val="20"/>
              </w:rPr>
            </w:pPr>
            <w:r w:rsidRPr="008416B7">
              <w:rPr>
                <w:rFonts w:ascii="Avenir LT 45 Book" w:eastAsia="Calibri" w:hAnsi="Avenir LT 45 Book" w:cs="Times New Roman"/>
                <w:sz w:val="20"/>
              </w:rPr>
              <w:t xml:space="preserve">A higher fence/wall is required for noise </w:t>
            </w:r>
            <w:proofErr w:type="gramStart"/>
            <w:r w:rsidRPr="008416B7">
              <w:rPr>
                <w:rFonts w:ascii="Avenir LT 45 Book" w:eastAsia="Calibri" w:hAnsi="Avenir LT 45 Book" w:cs="Times New Roman"/>
                <w:sz w:val="20"/>
              </w:rPr>
              <w:t>attenuation;</w:t>
            </w:r>
            <w:proofErr w:type="gramEnd"/>
          </w:p>
          <w:p w14:paraId="38812A88" w14:textId="77777777" w:rsidR="00B46EF1" w:rsidRPr="008416B7" w:rsidRDefault="00B46EF1" w:rsidP="002A3889">
            <w:pPr>
              <w:pStyle w:val="ListParagraph"/>
              <w:numPr>
                <w:ilvl w:val="0"/>
                <w:numId w:val="121"/>
              </w:numPr>
              <w:spacing w:line="360" w:lineRule="auto"/>
              <w:ind w:left="993" w:hanging="284"/>
              <w:contextualSpacing w:val="0"/>
              <w:rPr>
                <w:rFonts w:ascii="Avenir LT 45 Book" w:eastAsia="Calibri" w:hAnsi="Avenir LT 45 Book" w:cs="Times New Roman"/>
                <w:sz w:val="20"/>
              </w:rPr>
            </w:pPr>
            <w:r w:rsidRPr="008416B7">
              <w:rPr>
                <w:rFonts w:ascii="Avenir LT 45 Book" w:eastAsia="Calibri" w:hAnsi="Avenir LT 45 Book" w:cs="Times New Roman"/>
                <w:sz w:val="20"/>
              </w:rPr>
              <w:t>A less permeable fence would aid in reducing, headlight glare from motor vehicles.  This would apply more particularly where the subject</w:t>
            </w:r>
            <w:r w:rsidRPr="00842387">
              <w:t xml:space="preserve"> </w:t>
            </w:r>
            <w:r w:rsidRPr="008416B7">
              <w:rPr>
                <w:rFonts w:ascii="Avenir LT 45 Book" w:eastAsia="Calibri" w:hAnsi="Avenir LT 45 Book" w:cs="Times New Roman"/>
                <w:sz w:val="20"/>
              </w:rPr>
              <w:t xml:space="preserve">is opposite or adjacent to an intersection which could lead to intrusion of light into windows of habitable </w:t>
            </w:r>
            <w:proofErr w:type="gramStart"/>
            <w:r w:rsidRPr="008416B7">
              <w:rPr>
                <w:rFonts w:ascii="Avenir LT 45 Book" w:eastAsia="Calibri" w:hAnsi="Avenir LT 45 Book" w:cs="Times New Roman"/>
                <w:sz w:val="20"/>
              </w:rPr>
              <w:t>rooms;</w:t>
            </w:r>
            <w:proofErr w:type="gramEnd"/>
          </w:p>
          <w:p w14:paraId="4E49639F" w14:textId="77777777" w:rsidR="00B46EF1" w:rsidRPr="0008185E" w:rsidRDefault="00B46EF1" w:rsidP="002A3889">
            <w:pPr>
              <w:pStyle w:val="ListParagraph"/>
              <w:numPr>
                <w:ilvl w:val="0"/>
                <w:numId w:val="121"/>
              </w:numPr>
              <w:spacing w:line="360" w:lineRule="auto"/>
              <w:ind w:left="993" w:hanging="284"/>
              <w:contextualSpacing w:val="0"/>
              <w:rPr>
                <w:rFonts w:ascii="Avenir LT 45 Book" w:eastAsia="Calibri" w:hAnsi="Avenir LT 45 Book" w:cs="Times New Roman"/>
                <w:sz w:val="20"/>
              </w:rPr>
            </w:pPr>
            <w:r w:rsidRPr="008416B7">
              <w:rPr>
                <w:rFonts w:ascii="Avenir LT 45 Book" w:eastAsia="Calibri" w:hAnsi="Avenir LT 45 Book" w:cs="Times New Roman"/>
                <w:sz w:val="20"/>
              </w:rPr>
              <w:lastRenderedPageBreak/>
              <w:t>Where the contours of the ground or the difference in levels between one side of the fence and the</w:t>
            </w:r>
            <w:r w:rsidRPr="00842387">
              <w:t xml:space="preserve"> </w:t>
            </w:r>
            <w:r w:rsidRPr="008416B7">
              <w:rPr>
                <w:rFonts w:ascii="Avenir LT 45 Book" w:eastAsia="Calibri" w:hAnsi="Avenir LT 45 Book" w:cs="Times New Roman"/>
                <w:sz w:val="20"/>
              </w:rPr>
              <w:t xml:space="preserve">other </w:t>
            </w:r>
            <w:r w:rsidRPr="0008185E">
              <w:rPr>
                <w:rFonts w:ascii="Avenir LT 45 Book" w:eastAsia="Calibri" w:hAnsi="Avenir LT 45 Book" w:cs="Times New Roman"/>
                <w:sz w:val="20"/>
              </w:rPr>
              <w:t xml:space="preserve">side warrant consideration of a higher </w:t>
            </w:r>
            <w:proofErr w:type="gramStart"/>
            <w:r w:rsidRPr="0008185E">
              <w:rPr>
                <w:rFonts w:ascii="Avenir LT 45 Book" w:eastAsia="Calibri" w:hAnsi="Avenir LT 45 Book" w:cs="Times New Roman"/>
                <w:sz w:val="20"/>
              </w:rPr>
              <w:t>fence;</w:t>
            </w:r>
            <w:proofErr w:type="gramEnd"/>
          </w:p>
          <w:p w14:paraId="707F97C9" w14:textId="77777777" w:rsidR="00B46EF1" w:rsidRPr="0008185E" w:rsidRDefault="00B46EF1" w:rsidP="002A3889">
            <w:pPr>
              <w:pStyle w:val="ListParagraph"/>
              <w:numPr>
                <w:ilvl w:val="0"/>
                <w:numId w:val="121"/>
              </w:numPr>
              <w:spacing w:line="360" w:lineRule="auto"/>
              <w:ind w:left="993" w:hanging="284"/>
              <w:contextualSpacing w:val="0"/>
              <w:rPr>
                <w:rFonts w:ascii="Avenir LT 45 Book" w:eastAsia="Calibri" w:hAnsi="Avenir LT 45 Book" w:cs="Times New Roman"/>
                <w:sz w:val="20"/>
              </w:rPr>
            </w:pPr>
            <w:r w:rsidRPr="0008185E">
              <w:rPr>
                <w:rFonts w:ascii="Avenir LT 45 Book" w:eastAsia="Calibri" w:hAnsi="Avenir LT 45 Book" w:cs="Times New Roman"/>
                <w:sz w:val="20"/>
              </w:rPr>
              <w:t>Where the applicant can demonstrate to the Council that there is a need to provide visual screening to an outdoor living area.  This shall apply in situations where there is no alternative private living space other than in the front of the residence or for part of the secondary side boundary of a corner lot.</w:t>
            </w:r>
          </w:p>
          <w:p w14:paraId="69EEEFBB" w14:textId="77777777" w:rsidR="00B46EF1" w:rsidRPr="0008185E" w:rsidRDefault="00B46EF1" w:rsidP="002A3889">
            <w:pPr>
              <w:pStyle w:val="ListParagraph"/>
              <w:numPr>
                <w:ilvl w:val="1"/>
                <w:numId w:val="122"/>
              </w:numPr>
              <w:spacing w:line="360" w:lineRule="auto"/>
              <w:ind w:left="604" w:hanging="567"/>
              <w:contextualSpacing w:val="0"/>
              <w:rPr>
                <w:rFonts w:ascii="Avenir LT 45 Book" w:eastAsia="Calibri" w:hAnsi="Avenir LT 45 Book" w:cs="Times New Roman"/>
                <w:sz w:val="20"/>
              </w:rPr>
            </w:pPr>
            <w:r w:rsidRPr="0008185E">
              <w:rPr>
                <w:rFonts w:ascii="Avenir LT 45 Book" w:eastAsia="Calibri" w:hAnsi="Avenir LT 45 Book" w:cs="Times New Roman"/>
                <w:sz w:val="20"/>
              </w:rPr>
              <w:t>Where a lot has frontage to two streets a fence/wall shall not be constructed within the first 6m of the secondary frontage from the primary frontage unless it complements the design of the fence/wall along the primary frontage.</w:t>
            </w:r>
          </w:p>
          <w:p w14:paraId="0E6FC090" w14:textId="77777777" w:rsidR="00B46EF1" w:rsidRDefault="00B46EF1" w:rsidP="002A3889">
            <w:pPr>
              <w:pStyle w:val="ListParagraph"/>
              <w:numPr>
                <w:ilvl w:val="1"/>
                <w:numId w:val="122"/>
              </w:numPr>
              <w:spacing w:line="360" w:lineRule="auto"/>
              <w:ind w:left="567" w:hanging="567"/>
              <w:contextualSpacing w:val="0"/>
            </w:pPr>
            <w:r w:rsidRPr="0008185E">
              <w:rPr>
                <w:rFonts w:ascii="Avenir LT 45 Book" w:eastAsia="Calibri" w:hAnsi="Avenir LT 45 Book" w:cs="Times New Roman"/>
                <w:sz w:val="20"/>
              </w:rPr>
              <w:t>A person shall not erect any fence/wall or structure within a 6m truncation of intersecting road reserves (or their prolongation where a truncation has already been set aside) to a height greater than 0·75m unless approval of the Council has been obtained in writing.</w:t>
            </w:r>
          </w:p>
        </w:tc>
        <w:tc>
          <w:tcPr>
            <w:tcW w:w="4348" w:type="dxa"/>
          </w:tcPr>
          <w:p w14:paraId="703B0FCE" w14:textId="77777777" w:rsidR="00B46EF1" w:rsidRDefault="00B46EF1" w:rsidP="002A3889">
            <w:pPr>
              <w:pStyle w:val="ListParagraph"/>
              <w:numPr>
                <w:ilvl w:val="0"/>
                <w:numId w:val="128"/>
              </w:numPr>
              <w:spacing w:line="360" w:lineRule="auto"/>
              <w:ind w:left="624" w:hanging="567"/>
              <w:contextualSpacing w:val="0"/>
            </w:pPr>
            <w:r w:rsidRPr="008416B7">
              <w:rPr>
                <w:rFonts w:ascii="Avenir LT 45 Book" w:eastAsia="Calibri" w:hAnsi="Avenir LT 45 Book" w:cs="Times New Roman"/>
                <w:sz w:val="20"/>
              </w:rPr>
              <w:lastRenderedPageBreak/>
              <w:t xml:space="preserve">Demonstration of reasons for requiring a less permeable fence </w:t>
            </w:r>
            <w:proofErr w:type="gramStart"/>
            <w:r w:rsidRPr="008416B7">
              <w:rPr>
                <w:rFonts w:ascii="Avenir LT 45 Book" w:eastAsia="Calibri" w:hAnsi="Avenir LT 45 Book" w:cs="Times New Roman"/>
                <w:sz w:val="20"/>
              </w:rPr>
              <w:t>in regards to</w:t>
            </w:r>
            <w:proofErr w:type="gramEnd"/>
            <w:r w:rsidRPr="008416B7">
              <w:rPr>
                <w:rFonts w:ascii="Avenir LT 45 Book" w:eastAsia="Calibri" w:hAnsi="Avenir LT 45 Book" w:cs="Times New Roman"/>
                <w:sz w:val="20"/>
              </w:rPr>
              <w:t xml:space="preserve"> the performance criteria.</w:t>
            </w:r>
          </w:p>
        </w:tc>
      </w:tr>
    </w:tbl>
    <w:p w14:paraId="62120ED9" w14:textId="77777777" w:rsidR="00B46EF1" w:rsidRPr="00842387" w:rsidRDefault="00B46EF1" w:rsidP="00B46EF1">
      <w:pPr>
        <w:spacing w:before="120"/>
        <w:rPr>
          <w:szCs w:val="20"/>
        </w:rPr>
      </w:pPr>
      <w:r w:rsidRPr="0008185E">
        <w:rPr>
          <w:rFonts w:ascii="Avenir LT 65 Medium" w:eastAsia="Calibri" w:hAnsi="Avenir LT 65 Medium"/>
          <w:sz w:val="20"/>
          <w:szCs w:val="20"/>
        </w:rPr>
        <w:t>NOTE</w:t>
      </w:r>
      <w:r w:rsidRPr="0008185E">
        <w:rPr>
          <w:rFonts w:ascii="Avenir LT 45 Book" w:eastAsia="Calibri" w:hAnsi="Avenir LT 45 Book"/>
          <w:sz w:val="20"/>
          <w:szCs w:val="20"/>
        </w:rPr>
        <w:t>: The height of a fence is defined as the vertical distance between:</w:t>
      </w:r>
    </w:p>
    <w:p w14:paraId="69D0981C" w14:textId="77777777" w:rsidR="00B46EF1" w:rsidRPr="0008185E" w:rsidRDefault="00B46EF1" w:rsidP="002A3889">
      <w:pPr>
        <w:pStyle w:val="ListParagraph"/>
        <w:numPr>
          <w:ilvl w:val="1"/>
          <w:numId w:val="129"/>
        </w:numPr>
        <w:spacing w:line="360" w:lineRule="auto"/>
        <w:ind w:left="993" w:hanging="284"/>
        <w:contextualSpacing w:val="0"/>
        <w:rPr>
          <w:rFonts w:ascii="Avenir LT 45 Book" w:eastAsia="Calibri" w:hAnsi="Avenir LT 45 Book" w:cs="Times New Roman"/>
          <w:sz w:val="20"/>
          <w:szCs w:val="20"/>
        </w:rPr>
      </w:pPr>
      <w:r w:rsidRPr="0008185E">
        <w:rPr>
          <w:rFonts w:ascii="Avenir LT 45 Book" w:eastAsia="Calibri" w:hAnsi="Avenir LT 45 Book" w:cs="Times New Roman"/>
          <w:sz w:val="20"/>
          <w:szCs w:val="20"/>
        </w:rPr>
        <w:t>The top of the fence at any point; and,</w:t>
      </w:r>
    </w:p>
    <w:p w14:paraId="02685EFD" w14:textId="77777777" w:rsidR="00B46EF1" w:rsidRPr="0008185E" w:rsidRDefault="00B46EF1" w:rsidP="002A3889">
      <w:pPr>
        <w:pStyle w:val="ListParagraph"/>
        <w:numPr>
          <w:ilvl w:val="1"/>
          <w:numId w:val="129"/>
        </w:numPr>
        <w:spacing w:line="360" w:lineRule="auto"/>
        <w:ind w:left="993" w:hanging="284"/>
        <w:contextualSpacing w:val="0"/>
        <w:rPr>
          <w:rFonts w:ascii="Avenir LT 45 Book" w:eastAsia="Calibri" w:hAnsi="Avenir LT 45 Book" w:cs="Times New Roman"/>
          <w:sz w:val="20"/>
          <w:szCs w:val="20"/>
        </w:rPr>
      </w:pPr>
      <w:r w:rsidRPr="0008185E">
        <w:rPr>
          <w:rFonts w:ascii="Avenir LT 45 Book" w:eastAsia="Calibri" w:hAnsi="Avenir LT 45 Book" w:cs="Times New Roman"/>
          <w:sz w:val="20"/>
          <w:szCs w:val="20"/>
        </w:rPr>
        <w:t>The ground level immediately below that point. Where the ground levels on each side of the fence are not the same the lower ground level should be chosen.</w:t>
      </w:r>
    </w:p>
    <w:p w14:paraId="7910CA34" w14:textId="77777777" w:rsidR="00B46EF1" w:rsidRPr="0008185E" w:rsidRDefault="0008185E" w:rsidP="002E2944">
      <w:pPr>
        <w:pStyle w:val="Heading3"/>
        <w:keepNext w:val="0"/>
        <w:keepLines w:val="0"/>
        <w:tabs>
          <w:tab w:val="left" w:pos="1418"/>
        </w:tabs>
        <w:autoSpaceDE w:val="0"/>
        <w:autoSpaceDN w:val="0"/>
        <w:spacing w:before="360" w:after="200" w:line="360" w:lineRule="auto"/>
        <w:jc w:val="both"/>
        <w:rPr>
          <w:rFonts w:ascii="Avenir LT 65 Medium" w:eastAsia="Times New Roman" w:hAnsi="Avenir LT 65 Medium" w:cs="Times New Roman"/>
          <w:bCs/>
          <w:color w:val="000000"/>
          <w:sz w:val="22"/>
        </w:rPr>
      </w:pPr>
      <w:bookmarkStart w:id="462" w:name="_Toc452727445"/>
      <w:r>
        <w:rPr>
          <w:rFonts w:ascii="Avenir LT 65 Medium" w:eastAsia="Times New Roman" w:hAnsi="Avenir LT 65 Medium" w:cs="Times New Roman"/>
          <w:bCs/>
          <w:color w:val="000000"/>
          <w:sz w:val="22"/>
        </w:rPr>
        <w:t>3.7.12</w:t>
      </w:r>
      <w:r>
        <w:rPr>
          <w:rFonts w:ascii="Avenir LT 65 Medium" w:eastAsia="Times New Roman" w:hAnsi="Avenir LT 65 Medium" w:cs="Times New Roman"/>
          <w:bCs/>
          <w:color w:val="000000"/>
          <w:sz w:val="22"/>
        </w:rPr>
        <w:tab/>
      </w:r>
      <w:r w:rsidR="00B46EF1" w:rsidRPr="0008185E">
        <w:rPr>
          <w:rFonts w:ascii="Avenir LT 65 Medium" w:eastAsia="Times New Roman" w:hAnsi="Avenir LT 65 Medium" w:cs="Times New Roman"/>
          <w:bCs/>
          <w:color w:val="000000"/>
          <w:sz w:val="22"/>
        </w:rPr>
        <w:t>Pergolas</w:t>
      </w:r>
      <w:bookmarkEnd w:id="462"/>
    </w:p>
    <w:p w14:paraId="142A12E0" w14:textId="77777777" w:rsidR="00B46EF1" w:rsidRPr="00842387" w:rsidRDefault="0008185E" w:rsidP="0008185E">
      <w:pPr>
        <w:pStyle w:val="Heading4"/>
        <w:spacing w:before="120" w:after="200" w:line="360" w:lineRule="auto"/>
      </w:pPr>
      <w:r>
        <w:rPr>
          <w:rFonts w:ascii="Avenir LT 65 Medium" w:hAnsi="Avenir LT 65 Medium"/>
          <w:bCs/>
          <w:i w:val="0"/>
          <w:color w:val="auto"/>
        </w:rPr>
        <w:t>3.7.12.1</w:t>
      </w:r>
      <w:r>
        <w:rPr>
          <w:rFonts w:ascii="Avenir LT 65 Medium" w:hAnsi="Avenir LT 65 Medium"/>
          <w:bCs/>
          <w:i w:val="0"/>
          <w:color w:val="auto"/>
        </w:rPr>
        <w:tab/>
      </w:r>
      <w:r w:rsidR="00B46EF1" w:rsidRPr="0008185E">
        <w:rPr>
          <w:rFonts w:ascii="Avenir LT 65 Medium" w:hAnsi="Avenir LT 65 Medium"/>
          <w:bCs/>
          <w:i w:val="0"/>
          <w:color w:val="auto"/>
        </w:rPr>
        <w:t>Statement</w:t>
      </w:r>
    </w:p>
    <w:p w14:paraId="2D22C7A9" w14:textId="77777777" w:rsidR="00B46EF1" w:rsidRPr="0008185E" w:rsidRDefault="00B46EF1" w:rsidP="0008185E">
      <w:pPr>
        <w:spacing w:line="360" w:lineRule="auto"/>
        <w:rPr>
          <w:rFonts w:ascii="Avenir LT 45 Book" w:eastAsia="Calibri" w:hAnsi="Avenir LT 45 Book"/>
          <w:i/>
          <w:sz w:val="20"/>
        </w:rPr>
      </w:pPr>
      <w:r w:rsidRPr="0008185E">
        <w:rPr>
          <w:rFonts w:ascii="Avenir LT 45 Book" w:eastAsia="Calibri" w:hAnsi="Avenir LT 45 Book"/>
          <w:i/>
          <w:sz w:val="20"/>
        </w:rPr>
        <w:t>Pergolas are not commonly visually evident within the streetscapes of the Policy Area.  Pergolas are generally located to the rear or side of residences and are not dominant features on the streetscape.</w:t>
      </w:r>
    </w:p>
    <w:p w14:paraId="2A525F49" w14:textId="77777777" w:rsidR="00B46EF1" w:rsidRPr="00842387" w:rsidRDefault="00B46EF1" w:rsidP="00B46EF1">
      <w:r>
        <w:rPr>
          <w:noProof/>
          <w:lang w:eastAsia="en-AU"/>
        </w:rPr>
        <w:drawing>
          <wp:inline distT="0" distB="0" distL="0" distR="0" wp14:anchorId="15A7418F" wp14:editId="4C8ADAC0">
            <wp:extent cx="2524125" cy="1800225"/>
            <wp:effectExtent l="19050" t="0" r="9525" b="0"/>
            <wp:docPr id="192" name="Picture 5" descr="Z:\2011 JOBS\11206-EAST FREMANTLE GUIDELINES\11206-PHOTOS\PROCESSED\RIVERSIDE\ANGWIN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2011 JOBS\11206-EAST FREMANTLE GUIDELINES\11206-PHOTOS\PROCESSED\RIVERSIDE\ANGWIN STREET.jpg"/>
                    <pic:cNvPicPr>
                      <a:picLocks noChangeAspect="1" noChangeArrowheads="1"/>
                    </pic:cNvPicPr>
                  </pic:nvPicPr>
                  <pic:blipFill>
                    <a:blip r:embed="rId205"/>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351E3289" w14:textId="77777777" w:rsidR="00B46EF1" w:rsidRPr="0008185E" w:rsidRDefault="0008185E" w:rsidP="0008185E">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lastRenderedPageBreak/>
        <w:t>3.7.12.2</w:t>
      </w:r>
      <w:r>
        <w:rPr>
          <w:rFonts w:ascii="Avenir LT 65 Medium" w:hAnsi="Avenir LT 65 Medium"/>
          <w:bCs/>
          <w:i w:val="0"/>
          <w:color w:val="auto"/>
        </w:rPr>
        <w:tab/>
      </w:r>
      <w:r w:rsidR="00B46EF1" w:rsidRPr="0008185E">
        <w:rPr>
          <w:rFonts w:ascii="Avenir LT 65 Medium" w:hAnsi="Avenir LT 65 Medium"/>
          <w:bCs/>
          <w:i w:val="0"/>
          <w:color w:val="auto"/>
        </w:rPr>
        <w:t>Desired Outcomes</w:t>
      </w:r>
    </w:p>
    <w:p w14:paraId="62858264" w14:textId="77777777" w:rsidR="00B46EF1" w:rsidRPr="0008185E" w:rsidRDefault="00B46EF1" w:rsidP="002A3889">
      <w:pPr>
        <w:pStyle w:val="ListParagraph"/>
        <w:numPr>
          <w:ilvl w:val="0"/>
          <w:numId w:val="95"/>
        </w:numPr>
        <w:spacing w:line="360" w:lineRule="auto"/>
        <w:ind w:left="714" w:hanging="357"/>
        <w:contextualSpacing w:val="0"/>
        <w:rPr>
          <w:rFonts w:ascii="Avenir LT 45 Book" w:eastAsia="Calibri" w:hAnsi="Avenir LT 45 Book" w:cs="Times New Roman"/>
          <w:sz w:val="20"/>
        </w:rPr>
      </w:pPr>
      <w:r w:rsidRPr="0008185E">
        <w:rPr>
          <w:rFonts w:ascii="Avenir LT 45 Book" w:eastAsia="Calibri" w:hAnsi="Avenir LT 45 Book" w:cs="Times New Roman"/>
          <w:sz w:val="20"/>
        </w:rPr>
        <w:t xml:space="preserve">Pergolas are designed and located where possible to minimise their visual impact on the character of the building and the immediate </w:t>
      </w:r>
      <w:proofErr w:type="gramStart"/>
      <w:r w:rsidRPr="0008185E">
        <w:rPr>
          <w:rFonts w:ascii="Avenir LT 45 Book" w:eastAsia="Calibri" w:hAnsi="Avenir LT 45 Book" w:cs="Times New Roman"/>
          <w:sz w:val="20"/>
        </w:rPr>
        <w:t>locality;</w:t>
      </w:r>
      <w:proofErr w:type="gramEnd"/>
    </w:p>
    <w:p w14:paraId="36E82140" w14:textId="77777777" w:rsidR="00B46EF1" w:rsidRPr="0008185E" w:rsidRDefault="00B46EF1" w:rsidP="002A3889">
      <w:pPr>
        <w:pStyle w:val="ListParagraph"/>
        <w:numPr>
          <w:ilvl w:val="0"/>
          <w:numId w:val="95"/>
        </w:numPr>
        <w:spacing w:line="360" w:lineRule="auto"/>
        <w:ind w:left="714" w:hanging="357"/>
        <w:contextualSpacing w:val="0"/>
        <w:rPr>
          <w:rFonts w:ascii="Avenir LT 45 Book" w:eastAsia="Calibri" w:hAnsi="Avenir LT 45 Book" w:cs="Times New Roman"/>
          <w:sz w:val="20"/>
        </w:rPr>
      </w:pPr>
      <w:r w:rsidRPr="0008185E">
        <w:rPr>
          <w:rFonts w:ascii="Avenir LT 45 Book" w:eastAsia="Calibri" w:hAnsi="Avenir LT 45 Book" w:cs="Times New Roman"/>
          <w:sz w:val="20"/>
        </w:rPr>
        <w:t>Pergolas are to be incorporated within landscaping of residences and designed to reflect the existing dwelling; and,</w:t>
      </w:r>
    </w:p>
    <w:p w14:paraId="025075D0" w14:textId="77777777" w:rsidR="00B46EF1" w:rsidRPr="0008185E" w:rsidRDefault="00B46EF1" w:rsidP="002A3889">
      <w:pPr>
        <w:pStyle w:val="ListParagraph"/>
        <w:numPr>
          <w:ilvl w:val="0"/>
          <w:numId w:val="95"/>
        </w:numPr>
        <w:spacing w:line="360" w:lineRule="auto"/>
        <w:ind w:left="714" w:hanging="357"/>
        <w:contextualSpacing w:val="0"/>
        <w:rPr>
          <w:rFonts w:ascii="Avenir LT 45 Book" w:eastAsia="Calibri" w:hAnsi="Avenir LT 45 Book" w:cs="Times New Roman"/>
          <w:sz w:val="20"/>
        </w:rPr>
      </w:pPr>
      <w:proofErr w:type="gramStart"/>
      <w:r w:rsidRPr="0008185E">
        <w:rPr>
          <w:rFonts w:ascii="Avenir LT 45 Book" w:eastAsia="Calibri" w:hAnsi="Avenir LT 45 Book" w:cs="Times New Roman"/>
          <w:sz w:val="20"/>
        </w:rPr>
        <w:t>Pergolas</w:t>
      </w:r>
      <w:proofErr w:type="gramEnd"/>
      <w:r w:rsidRPr="0008185E">
        <w:rPr>
          <w:rFonts w:ascii="Avenir LT 45 Book" w:eastAsia="Calibri" w:hAnsi="Avenir LT 45 Book" w:cs="Times New Roman"/>
          <w:sz w:val="20"/>
        </w:rPr>
        <w:t xml:space="preserve"> construction method not to be detrimental to the existing building fabric.</w:t>
      </w:r>
    </w:p>
    <w:p w14:paraId="63C44CB4" w14:textId="77777777" w:rsidR="00B46EF1" w:rsidRPr="0008185E" w:rsidRDefault="0008185E" w:rsidP="0008185E">
      <w:pPr>
        <w:pStyle w:val="Heading4"/>
        <w:spacing w:before="120" w:after="160" w:line="360" w:lineRule="auto"/>
        <w:rPr>
          <w:rFonts w:ascii="Avenir LT 65 Medium" w:hAnsi="Avenir LT 65 Medium"/>
          <w:bCs/>
          <w:i w:val="0"/>
          <w:color w:val="auto"/>
        </w:rPr>
      </w:pPr>
      <w:r>
        <w:rPr>
          <w:rFonts w:ascii="Avenir LT 65 Medium" w:hAnsi="Avenir LT 65 Medium"/>
          <w:bCs/>
          <w:i w:val="0"/>
          <w:color w:val="auto"/>
        </w:rPr>
        <w:t>3.7.12.3</w:t>
      </w:r>
      <w:r>
        <w:rPr>
          <w:rFonts w:ascii="Avenir LT 65 Medium" w:hAnsi="Avenir LT 65 Medium"/>
          <w:bCs/>
          <w:i w:val="0"/>
          <w:color w:val="auto"/>
        </w:rPr>
        <w:tab/>
      </w:r>
      <w:r w:rsidR="00B46EF1" w:rsidRPr="0008185E">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18"/>
        <w:gridCol w:w="4508"/>
      </w:tblGrid>
      <w:tr w:rsidR="00B46EF1" w:rsidRPr="00842387" w14:paraId="04D28FEF" w14:textId="77777777" w:rsidTr="008048CE">
        <w:tc>
          <w:tcPr>
            <w:tcW w:w="4621" w:type="dxa"/>
            <w:tcBorders>
              <w:bottom w:val="single" w:sz="4" w:space="0" w:color="auto"/>
            </w:tcBorders>
          </w:tcPr>
          <w:p w14:paraId="7CBF92AB" w14:textId="77777777" w:rsidR="00B46EF1" w:rsidRDefault="00B46EF1" w:rsidP="008048CE">
            <w:pPr>
              <w:spacing w:after="120"/>
              <w:rPr>
                <w:rFonts w:ascii="Avenir LT 65 Medium" w:hAnsi="Avenir LT 65 Medium"/>
              </w:rPr>
            </w:pPr>
            <w:r w:rsidRPr="00842387">
              <w:rPr>
                <w:rFonts w:ascii="Avenir LT 65 Medium" w:hAnsi="Avenir LT 65 Medium"/>
              </w:rPr>
              <w:t>Performance Criteria</w:t>
            </w:r>
          </w:p>
        </w:tc>
        <w:tc>
          <w:tcPr>
            <w:tcW w:w="4621" w:type="dxa"/>
            <w:tcBorders>
              <w:bottom w:val="single" w:sz="4" w:space="0" w:color="auto"/>
            </w:tcBorders>
          </w:tcPr>
          <w:p w14:paraId="5C6AB5F0" w14:textId="77777777" w:rsidR="00B46EF1" w:rsidRDefault="00B46EF1" w:rsidP="008048CE">
            <w:pPr>
              <w:spacing w:after="120"/>
            </w:pPr>
            <w:r w:rsidRPr="00842387">
              <w:rPr>
                <w:rFonts w:ascii="Avenir LT 65 Medium" w:hAnsi="Avenir LT 65 Medium"/>
              </w:rPr>
              <w:t>Acceptable Development Provisions</w:t>
            </w:r>
          </w:p>
        </w:tc>
      </w:tr>
      <w:tr w:rsidR="00B46EF1" w:rsidRPr="00842387" w14:paraId="43CBC80F" w14:textId="77777777" w:rsidTr="008048CE">
        <w:tc>
          <w:tcPr>
            <w:tcW w:w="4621" w:type="dxa"/>
            <w:tcBorders>
              <w:top w:val="single" w:sz="4" w:space="0" w:color="auto"/>
              <w:bottom w:val="nil"/>
            </w:tcBorders>
          </w:tcPr>
          <w:p w14:paraId="1CE86BD7" w14:textId="77777777" w:rsidR="00B46EF1" w:rsidRDefault="00B46EF1" w:rsidP="002A3889">
            <w:pPr>
              <w:pStyle w:val="ListParagraph"/>
              <w:numPr>
                <w:ilvl w:val="0"/>
                <w:numId w:val="96"/>
              </w:numPr>
              <w:spacing w:after="120" w:line="360" w:lineRule="auto"/>
              <w:ind w:left="567" w:hanging="504"/>
              <w:contextualSpacing w:val="0"/>
            </w:pPr>
            <w:r w:rsidRPr="0008185E">
              <w:rPr>
                <w:rFonts w:ascii="Avenir LT 45 Book" w:eastAsia="Calibri" w:hAnsi="Avenir LT 45 Book" w:cs="Times New Roman"/>
                <w:sz w:val="20"/>
              </w:rPr>
              <w:t>Pergola construction to the standards of the Building Code of Australia and Australian Standards.</w:t>
            </w:r>
          </w:p>
        </w:tc>
        <w:tc>
          <w:tcPr>
            <w:tcW w:w="4621" w:type="dxa"/>
            <w:tcBorders>
              <w:top w:val="single" w:sz="4" w:space="0" w:color="auto"/>
              <w:bottom w:val="nil"/>
            </w:tcBorders>
          </w:tcPr>
          <w:p w14:paraId="1B7DCA6F" w14:textId="77777777" w:rsidR="00B46EF1" w:rsidRDefault="00B46EF1" w:rsidP="002A3889">
            <w:pPr>
              <w:pStyle w:val="ListParagraph"/>
              <w:numPr>
                <w:ilvl w:val="0"/>
                <w:numId w:val="264"/>
              </w:numPr>
              <w:spacing w:before="240" w:after="120" w:line="360" w:lineRule="auto"/>
              <w:ind w:left="624" w:hanging="624"/>
            </w:pPr>
            <w:r w:rsidRPr="0008185E">
              <w:rPr>
                <w:rFonts w:ascii="Avenir LT 45 Book" w:eastAsia="Calibri" w:hAnsi="Avenir LT 45 Book" w:cs="Times New Roman"/>
                <w:sz w:val="20"/>
              </w:rPr>
              <w:t xml:space="preserve">Plans and construction details are </w:t>
            </w:r>
            <w:proofErr w:type="gramStart"/>
            <w:r w:rsidRPr="0008185E">
              <w:rPr>
                <w:rFonts w:ascii="Avenir LT 45 Book" w:eastAsia="Calibri" w:hAnsi="Avenir LT 45 Book" w:cs="Times New Roman"/>
                <w:sz w:val="20"/>
              </w:rPr>
              <w:t>submitted</w:t>
            </w:r>
            <w:proofErr w:type="gramEnd"/>
            <w:r w:rsidRPr="0008185E">
              <w:rPr>
                <w:rFonts w:ascii="Avenir LT 45 Book" w:eastAsia="Calibri" w:hAnsi="Avenir LT 45 Book" w:cs="Times New Roman"/>
                <w:sz w:val="20"/>
              </w:rPr>
              <w:t xml:space="preserve"> and a planning approval is obtained (Refer the Town of East Fremantle Town Planning Scheme for planning approval requirements).</w:t>
            </w:r>
          </w:p>
        </w:tc>
      </w:tr>
      <w:tr w:rsidR="00B46EF1" w:rsidRPr="00842387" w14:paraId="3666F6C1" w14:textId="77777777" w:rsidTr="008048CE">
        <w:tc>
          <w:tcPr>
            <w:tcW w:w="4621" w:type="dxa"/>
            <w:tcBorders>
              <w:top w:val="nil"/>
            </w:tcBorders>
          </w:tcPr>
          <w:p w14:paraId="7BC6C914" w14:textId="77777777" w:rsidR="00B46EF1" w:rsidRDefault="00B46EF1" w:rsidP="002A3889">
            <w:pPr>
              <w:pStyle w:val="ListParagraph"/>
              <w:numPr>
                <w:ilvl w:val="0"/>
                <w:numId w:val="96"/>
              </w:numPr>
              <w:spacing w:after="120" w:line="360" w:lineRule="auto"/>
              <w:ind w:left="567" w:hanging="504"/>
              <w:contextualSpacing w:val="0"/>
            </w:pPr>
            <w:r w:rsidRPr="0008185E">
              <w:rPr>
                <w:rFonts w:ascii="Avenir LT 45 Book" w:eastAsia="Calibri" w:hAnsi="Avenir LT 45 Book" w:cs="Times New Roman"/>
                <w:sz w:val="20"/>
              </w:rPr>
              <w:t>Landscape design to be sympathetic to the natural ground level.</w:t>
            </w:r>
          </w:p>
        </w:tc>
        <w:tc>
          <w:tcPr>
            <w:tcW w:w="4621" w:type="dxa"/>
            <w:tcBorders>
              <w:top w:val="nil"/>
            </w:tcBorders>
          </w:tcPr>
          <w:p w14:paraId="141CF81C" w14:textId="77777777" w:rsidR="00B46EF1" w:rsidRDefault="00B46EF1" w:rsidP="002A3889">
            <w:pPr>
              <w:pStyle w:val="ListParagraph"/>
              <w:numPr>
                <w:ilvl w:val="0"/>
                <w:numId w:val="264"/>
              </w:numPr>
              <w:spacing w:after="120" w:line="360" w:lineRule="auto"/>
              <w:ind w:left="624" w:hanging="567"/>
            </w:pPr>
            <w:r w:rsidRPr="0008185E">
              <w:rPr>
                <w:rFonts w:ascii="Avenir LT 45 Book" w:eastAsia="Calibri" w:hAnsi="Avenir LT 45 Book" w:cs="Times New Roman"/>
                <w:sz w:val="20"/>
              </w:rPr>
              <w:t>Landscape to be terraced.</w:t>
            </w:r>
          </w:p>
        </w:tc>
      </w:tr>
      <w:tr w:rsidR="00B46EF1" w:rsidRPr="00842387" w14:paraId="04BF0D31" w14:textId="77777777" w:rsidTr="008048CE">
        <w:tc>
          <w:tcPr>
            <w:tcW w:w="4621" w:type="dxa"/>
          </w:tcPr>
          <w:p w14:paraId="271526E0" w14:textId="77777777" w:rsidR="00B46EF1" w:rsidRDefault="00B46EF1" w:rsidP="002A3889">
            <w:pPr>
              <w:pStyle w:val="ListParagraph"/>
              <w:numPr>
                <w:ilvl w:val="0"/>
                <w:numId w:val="96"/>
              </w:numPr>
              <w:spacing w:after="120" w:line="360" w:lineRule="auto"/>
              <w:ind w:left="567" w:hanging="504"/>
              <w:contextualSpacing w:val="0"/>
            </w:pPr>
            <w:r w:rsidRPr="0008185E">
              <w:rPr>
                <w:rFonts w:ascii="Avenir LT 45 Book" w:eastAsia="Calibri" w:hAnsi="Avenir LT 45 Book" w:cs="Times New Roman"/>
                <w:sz w:val="20"/>
              </w:rPr>
              <w:t>Roofing to pergolas to be permeable.</w:t>
            </w:r>
          </w:p>
        </w:tc>
        <w:tc>
          <w:tcPr>
            <w:tcW w:w="4621" w:type="dxa"/>
          </w:tcPr>
          <w:p w14:paraId="71813444" w14:textId="77777777" w:rsidR="00B46EF1" w:rsidRDefault="00B46EF1" w:rsidP="002A3889">
            <w:pPr>
              <w:pStyle w:val="ListParagraph"/>
              <w:numPr>
                <w:ilvl w:val="0"/>
                <w:numId w:val="264"/>
              </w:numPr>
              <w:spacing w:after="120" w:line="360" w:lineRule="auto"/>
              <w:ind w:left="624" w:hanging="567"/>
            </w:pPr>
            <w:r w:rsidRPr="0008185E">
              <w:rPr>
                <w:rFonts w:ascii="Avenir LT 45 Book" w:eastAsia="Calibri" w:hAnsi="Avenir LT 45 Book" w:cs="Times New Roman"/>
                <w:sz w:val="20"/>
              </w:rPr>
              <w:t>Pergolas to be roofed with shade cloth.</w:t>
            </w:r>
          </w:p>
        </w:tc>
      </w:tr>
      <w:tr w:rsidR="00B46EF1" w:rsidRPr="00842387" w14:paraId="7DC19F3E" w14:textId="77777777" w:rsidTr="008048CE">
        <w:tc>
          <w:tcPr>
            <w:tcW w:w="4621" w:type="dxa"/>
          </w:tcPr>
          <w:p w14:paraId="3069C746" w14:textId="77777777" w:rsidR="00B46EF1" w:rsidRDefault="00B46EF1" w:rsidP="002A3889">
            <w:pPr>
              <w:pStyle w:val="ListParagraph"/>
              <w:numPr>
                <w:ilvl w:val="0"/>
                <w:numId w:val="96"/>
              </w:numPr>
              <w:spacing w:after="120" w:line="360" w:lineRule="auto"/>
              <w:ind w:left="567" w:hanging="504"/>
              <w:contextualSpacing w:val="0"/>
            </w:pPr>
            <w:r w:rsidRPr="0008185E">
              <w:rPr>
                <w:rFonts w:ascii="Avenir LT 45 Book" w:eastAsia="Calibri" w:hAnsi="Avenir LT 45 Book" w:cs="Times New Roman"/>
                <w:sz w:val="20"/>
              </w:rPr>
              <w:t>Pergola construction method to not be detrimental to the existing building fabric.</w:t>
            </w:r>
          </w:p>
        </w:tc>
        <w:tc>
          <w:tcPr>
            <w:tcW w:w="4621" w:type="dxa"/>
          </w:tcPr>
          <w:p w14:paraId="650EA44A" w14:textId="77777777" w:rsidR="00B46EF1" w:rsidRDefault="00B46EF1" w:rsidP="002A3889">
            <w:pPr>
              <w:pStyle w:val="ListParagraph"/>
              <w:numPr>
                <w:ilvl w:val="0"/>
                <w:numId w:val="264"/>
              </w:numPr>
              <w:spacing w:after="120" w:line="360" w:lineRule="auto"/>
              <w:ind w:left="624" w:hanging="567"/>
            </w:pPr>
            <w:r w:rsidRPr="0008185E">
              <w:rPr>
                <w:rFonts w:ascii="Avenir LT 45 Book" w:eastAsia="Calibri" w:hAnsi="Avenir LT 45 Book" w:cs="Times New Roman"/>
                <w:sz w:val="20"/>
              </w:rPr>
              <w:t>Relevant information from suitably qualified consultants, such as a structural engineer or heritage architect, to assess the impact of the pergola on the existing building fabric of a building on the MHI and is proposed to be built in the front setback.</w:t>
            </w:r>
          </w:p>
        </w:tc>
      </w:tr>
      <w:tr w:rsidR="00B46EF1" w:rsidRPr="00842387" w14:paraId="1AA742FF" w14:textId="77777777" w:rsidTr="008048CE">
        <w:tc>
          <w:tcPr>
            <w:tcW w:w="4621" w:type="dxa"/>
          </w:tcPr>
          <w:p w14:paraId="0807111A" w14:textId="77777777" w:rsidR="00B46EF1" w:rsidRDefault="00B46EF1" w:rsidP="002A3889">
            <w:pPr>
              <w:pStyle w:val="ListParagraph"/>
              <w:numPr>
                <w:ilvl w:val="0"/>
                <w:numId w:val="96"/>
              </w:numPr>
              <w:spacing w:after="120" w:line="360" w:lineRule="auto"/>
              <w:ind w:left="567" w:hanging="504"/>
              <w:contextualSpacing w:val="0"/>
            </w:pPr>
            <w:r w:rsidRPr="0008185E">
              <w:rPr>
                <w:rFonts w:ascii="Avenir LT 45 Book" w:eastAsia="Calibri" w:hAnsi="Avenir LT 45 Book" w:cs="Times New Roman"/>
                <w:sz w:val="20"/>
              </w:rPr>
              <w:t>Pergolas supports are to provide sufficient clearance from side and rear boundaries.</w:t>
            </w:r>
          </w:p>
        </w:tc>
        <w:tc>
          <w:tcPr>
            <w:tcW w:w="4621" w:type="dxa"/>
          </w:tcPr>
          <w:p w14:paraId="1227C46D" w14:textId="77777777" w:rsidR="00B46EF1" w:rsidRDefault="00B46EF1" w:rsidP="002A3889">
            <w:pPr>
              <w:pStyle w:val="ListParagraph"/>
              <w:numPr>
                <w:ilvl w:val="0"/>
                <w:numId w:val="264"/>
              </w:numPr>
              <w:tabs>
                <w:tab w:val="left" w:pos="59"/>
              </w:tabs>
              <w:spacing w:after="120" w:line="360" w:lineRule="auto"/>
              <w:ind w:left="624" w:hanging="567"/>
            </w:pPr>
            <w:r w:rsidRPr="0008185E">
              <w:rPr>
                <w:rFonts w:ascii="Avenir LT 45 Book" w:eastAsia="Calibri" w:hAnsi="Avenir LT 45 Book" w:cs="Times New Roman"/>
                <w:sz w:val="20"/>
              </w:rPr>
              <w:t>Pergola supports to be a minimum of 1200mm away from side and rear boundaries.</w:t>
            </w:r>
          </w:p>
        </w:tc>
      </w:tr>
      <w:tr w:rsidR="00B46EF1" w:rsidRPr="00842387" w14:paraId="2BF2465D" w14:textId="77777777" w:rsidTr="008048CE">
        <w:tc>
          <w:tcPr>
            <w:tcW w:w="4621" w:type="dxa"/>
          </w:tcPr>
          <w:p w14:paraId="1DC1E95C" w14:textId="77777777" w:rsidR="00B46EF1" w:rsidRDefault="00B46EF1" w:rsidP="002A3889">
            <w:pPr>
              <w:pStyle w:val="ListParagraph"/>
              <w:numPr>
                <w:ilvl w:val="0"/>
                <w:numId w:val="96"/>
              </w:numPr>
              <w:spacing w:after="120" w:line="360" w:lineRule="auto"/>
              <w:ind w:left="567" w:hanging="504"/>
              <w:contextualSpacing w:val="0"/>
            </w:pPr>
            <w:r w:rsidRPr="0008185E">
              <w:rPr>
                <w:rFonts w:ascii="Avenir LT 45 Book" w:eastAsia="Calibri" w:hAnsi="Avenir LT 45 Book" w:cs="Times New Roman"/>
                <w:sz w:val="20"/>
              </w:rPr>
              <w:t>The size and scale of a pergola is to not visually dominate the existing building or obstruct established views from adjacent properties.</w:t>
            </w:r>
          </w:p>
        </w:tc>
        <w:tc>
          <w:tcPr>
            <w:tcW w:w="4621" w:type="dxa"/>
          </w:tcPr>
          <w:p w14:paraId="33223528" w14:textId="77777777" w:rsidR="00B46EF1" w:rsidRPr="0008185E" w:rsidRDefault="00B46EF1" w:rsidP="002A3889">
            <w:pPr>
              <w:pStyle w:val="ListParagraph"/>
              <w:numPr>
                <w:ilvl w:val="1"/>
                <w:numId w:val="97"/>
              </w:numPr>
              <w:spacing w:after="120" w:line="360" w:lineRule="auto"/>
              <w:ind w:left="624" w:hanging="624"/>
              <w:rPr>
                <w:rFonts w:ascii="Avenir LT 45 Book" w:eastAsia="Calibri" w:hAnsi="Avenir LT 45 Book" w:cs="Times New Roman"/>
                <w:sz w:val="20"/>
              </w:rPr>
            </w:pPr>
            <w:r w:rsidRPr="0008185E">
              <w:rPr>
                <w:rFonts w:ascii="Avenir LT 45 Book" w:eastAsia="Calibri" w:hAnsi="Avenir LT 45 Book" w:cs="Times New Roman"/>
                <w:sz w:val="20"/>
              </w:rPr>
              <w:t>Relevant drawings to illustrate visual presence of pergola on the existing building and immediate locality.</w:t>
            </w:r>
          </w:p>
          <w:p w14:paraId="425E04FD" w14:textId="77777777" w:rsidR="00B46EF1" w:rsidRDefault="00B46EF1" w:rsidP="002A3889">
            <w:pPr>
              <w:pStyle w:val="ListParagraph"/>
              <w:numPr>
                <w:ilvl w:val="0"/>
                <w:numId w:val="266"/>
              </w:numPr>
              <w:spacing w:line="360" w:lineRule="auto"/>
              <w:ind w:left="624" w:hanging="567"/>
            </w:pPr>
            <w:r w:rsidRPr="0008185E">
              <w:rPr>
                <w:rFonts w:ascii="Avenir LT 45 Book" w:eastAsia="Calibri" w:hAnsi="Avenir LT 45 Book" w:cs="Times New Roman"/>
                <w:sz w:val="20"/>
              </w:rPr>
              <w:t>Pergolas</w:t>
            </w:r>
            <w:r w:rsidRPr="009416F7">
              <w:rPr>
                <w:rFonts w:ascii="Avenir LT 45 Book" w:eastAsia="Calibri" w:hAnsi="Avenir LT 45 Book" w:cs="Times New Roman"/>
                <w:sz w:val="20"/>
              </w:rPr>
              <w:t xml:space="preserve"> are not to be located within the front setback area.  The council shall approve pergolas in the front setback area where the applicant can demonstrate that pergolas in the front setback zone are an established feature of the streetscape.  Dwellings deemed of high heritage value shall not have pergolas in the front setback area.</w:t>
            </w:r>
          </w:p>
        </w:tc>
      </w:tr>
      <w:tr w:rsidR="00B46EF1" w:rsidRPr="00842387" w14:paraId="7EC75068" w14:textId="77777777" w:rsidTr="008048CE">
        <w:tc>
          <w:tcPr>
            <w:tcW w:w="4621" w:type="dxa"/>
          </w:tcPr>
          <w:p w14:paraId="08821935" w14:textId="77777777" w:rsidR="00B46EF1" w:rsidRPr="009416F7" w:rsidRDefault="00B46EF1" w:rsidP="002A3889">
            <w:pPr>
              <w:pStyle w:val="ListParagraph"/>
              <w:numPr>
                <w:ilvl w:val="0"/>
                <w:numId w:val="97"/>
              </w:numPr>
              <w:spacing w:after="120" w:line="360" w:lineRule="auto"/>
              <w:ind w:left="567" w:hanging="505"/>
              <w:contextualSpacing w:val="0"/>
              <w:rPr>
                <w:rFonts w:ascii="Avenir LT 45 Book" w:eastAsia="Calibri" w:hAnsi="Avenir LT 45 Book" w:cs="Times New Roman"/>
                <w:sz w:val="20"/>
              </w:rPr>
            </w:pPr>
            <w:r w:rsidRPr="009416F7">
              <w:rPr>
                <w:rFonts w:ascii="Avenir LT 45 Book" w:eastAsia="Calibri" w:hAnsi="Avenir LT 45 Book" w:cs="Times New Roman"/>
                <w:sz w:val="20"/>
              </w:rPr>
              <w:t>Pergolas are designed so as:</w:t>
            </w:r>
          </w:p>
          <w:p w14:paraId="020DBB4F" w14:textId="77777777" w:rsidR="00B46EF1" w:rsidRPr="009416F7" w:rsidRDefault="00B46EF1" w:rsidP="002A3889">
            <w:pPr>
              <w:pStyle w:val="ListParagraph"/>
              <w:numPr>
                <w:ilvl w:val="1"/>
                <w:numId w:val="98"/>
              </w:numPr>
              <w:spacing w:after="120" w:line="360" w:lineRule="auto"/>
              <w:ind w:left="993" w:hanging="284"/>
              <w:contextualSpacing w:val="0"/>
              <w:rPr>
                <w:rFonts w:ascii="Avenir LT 45 Book" w:eastAsia="Calibri" w:hAnsi="Avenir LT 45 Book" w:cs="Times New Roman"/>
                <w:sz w:val="20"/>
              </w:rPr>
            </w:pPr>
            <w:r w:rsidRPr="009416F7">
              <w:rPr>
                <w:rFonts w:ascii="Avenir LT 45 Book" w:eastAsia="Calibri" w:hAnsi="Avenir LT 45 Book" w:cs="Times New Roman"/>
                <w:sz w:val="20"/>
              </w:rPr>
              <w:t xml:space="preserve">Not to create a traffic </w:t>
            </w:r>
            <w:proofErr w:type="gramStart"/>
            <w:r w:rsidRPr="009416F7">
              <w:rPr>
                <w:rFonts w:ascii="Avenir LT 45 Book" w:eastAsia="Calibri" w:hAnsi="Avenir LT 45 Book" w:cs="Times New Roman"/>
                <w:sz w:val="20"/>
              </w:rPr>
              <w:t>hazard;</w:t>
            </w:r>
            <w:proofErr w:type="gramEnd"/>
          </w:p>
          <w:p w14:paraId="63D769E3" w14:textId="77777777" w:rsidR="00B46EF1" w:rsidRPr="009416F7" w:rsidRDefault="00B46EF1" w:rsidP="002A3889">
            <w:pPr>
              <w:pStyle w:val="ListParagraph"/>
              <w:numPr>
                <w:ilvl w:val="1"/>
                <w:numId w:val="98"/>
              </w:numPr>
              <w:spacing w:after="120" w:line="360" w:lineRule="auto"/>
              <w:ind w:left="993" w:hanging="284"/>
              <w:contextualSpacing w:val="0"/>
              <w:rPr>
                <w:rFonts w:ascii="Avenir LT 45 Book" w:eastAsia="Calibri" w:hAnsi="Avenir LT 45 Book" w:cs="Times New Roman"/>
                <w:sz w:val="20"/>
              </w:rPr>
            </w:pPr>
            <w:r w:rsidRPr="009416F7">
              <w:rPr>
                <w:rFonts w:ascii="Avenir LT 45 Book" w:eastAsia="Calibri" w:hAnsi="Avenir LT 45 Book" w:cs="Times New Roman"/>
                <w:sz w:val="20"/>
              </w:rPr>
              <w:t>Not to be constructed over underground services; and,</w:t>
            </w:r>
          </w:p>
          <w:p w14:paraId="5A061F67" w14:textId="77777777" w:rsidR="00B46EF1" w:rsidRPr="009416F7" w:rsidRDefault="00B46EF1" w:rsidP="002A3889">
            <w:pPr>
              <w:pStyle w:val="ListParagraph"/>
              <w:numPr>
                <w:ilvl w:val="1"/>
                <w:numId w:val="98"/>
              </w:numPr>
              <w:spacing w:after="120" w:line="360" w:lineRule="auto"/>
              <w:ind w:left="993" w:hanging="284"/>
              <w:contextualSpacing w:val="0"/>
              <w:rPr>
                <w:rFonts w:ascii="Avenir LT 45 Book" w:eastAsia="Calibri" w:hAnsi="Avenir LT 45 Book" w:cs="Times New Roman"/>
                <w:sz w:val="20"/>
              </w:rPr>
            </w:pPr>
            <w:r w:rsidRPr="009416F7">
              <w:rPr>
                <w:rFonts w:ascii="Avenir LT 45 Book" w:eastAsia="Calibri" w:hAnsi="Avenir LT 45 Book" w:cs="Times New Roman"/>
                <w:sz w:val="20"/>
              </w:rPr>
              <w:lastRenderedPageBreak/>
              <w:t>Not to be constructed under power lines.</w:t>
            </w:r>
          </w:p>
        </w:tc>
        <w:tc>
          <w:tcPr>
            <w:tcW w:w="4621" w:type="dxa"/>
          </w:tcPr>
          <w:p w14:paraId="37EF9F84" w14:textId="77777777" w:rsidR="00B46EF1" w:rsidRDefault="00B46EF1" w:rsidP="002A3889">
            <w:pPr>
              <w:pStyle w:val="ListParagraph"/>
              <w:numPr>
                <w:ilvl w:val="0"/>
                <w:numId w:val="267"/>
              </w:numPr>
              <w:spacing w:line="360" w:lineRule="auto"/>
              <w:ind w:left="624" w:hanging="567"/>
            </w:pPr>
            <w:r w:rsidRPr="009416F7">
              <w:lastRenderedPageBreak/>
              <w:t>R</w:t>
            </w:r>
            <w:r w:rsidRPr="009416F7">
              <w:rPr>
                <w:rFonts w:ascii="Avenir LT 45 Book" w:eastAsia="Calibri" w:hAnsi="Avenir LT 45 Book" w:cs="Times New Roman"/>
                <w:sz w:val="20"/>
              </w:rPr>
              <w:t>elevant drawings to illustrate position of pergola in relation to power lines, underground services and potential traffic.</w:t>
            </w:r>
          </w:p>
        </w:tc>
      </w:tr>
      <w:tr w:rsidR="00B46EF1" w:rsidRPr="00842387" w14:paraId="2D125428" w14:textId="77777777" w:rsidTr="008048CE">
        <w:tc>
          <w:tcPr>
            <w:tcW w:w="4621" w:type="dxa"/>
          </w:tcPr>
          <w:p w14:paraId="3F64B498" w14:textId="77777777" w:rsidR="00B46EF1" w:rsidRDefault="00B46EF1" w:rsidP="002A3889">
            <w:pPr>
              <w:pStyle w:val="ListParagraph"/>
              <w:numPr>
                <w:ilvl w:val="0"/>
                <w:numId w:val="97"/>
              </w:numPr>
              <w:spacing w:line="360" w:lineRule="auto"/>
              <w:ind w:left="567" w:hanging="505"/>
            </w:pPr>
            <w:r w:rsidRPr="009416F7">
              <w:rPr>
                <w:rFonts w:ascii="Avenir LT 45 Book" w:eastAsia="Calibri" w:hAnsi="Avenir LT 45 Book" w:cs="Times New Roman"/>
                <w:sz w:val="20"/>
              </w:rPr>
              <w:t>Pergolas proposed to be erected on corner lots are to be determined by Council which will approve the erection of such structures only after it is satisfied that the proposal meets all the requirements by other Statutory Authorities and creates no additional hazards, does not interfere with views and complies with the setbacks and truncations required under the Metropolitan Region Scheme and the Town Planning Scheme.</w:t>
            </w:r>
          </w:p>
        </w:tc>
        <w:tc>
          <w:tcPr>
            <w:tcW w:w="4621" w:type="dxa"/>
          </w:tcPr>
          <w:p w14:paraId="15710D27" w14:textId="77777777" w:rsidR="00B46EF1" w:rsidRDefault="00B46EF1" w:rsidP="002A3889">
            <w:pPr>
              <w:pStyle w:val="ListParagraph"/>
              <w:numPr>
                <w:ilvl w:val="0"/>
                <w:numId w:val="267"/>
              </w:numPr>
              <w:spacing w:line="360" w:lineRule="auto"/>
              <w:ind w:left="624" w:hanging="567"/>
            </w:pPr>
            <w:r w:rsidRPr="009416F7">
              <w:rPr>
                <w:rFonts w:ascii="Avenir LT 45 Book" w:eastAsia="Calibri" w:hAnsi="Avenir LT 45 Book" w:cs="Times New Roman"/>
                <w:sz w:val="20"/>
              </w:rPr>
              <w:t>All construction materials must be described on applicant’s drawings.</w:t>
            </w:r>
          </w:p>
        </w:tc>
      </w:tr>
    </w:tbl>
    <w:p w14:paraId="333344D8" w14:textId="77777777" w:rsidR="00B46EF1" w:rsidRDefault="00B46EF1" w:rsidP="00B46EF1">
      <w:pPr>
        <w:rPr>
          <w:rFonts w:eastAsia="Times New Roman" w:cs="Times New Roman"/>
          <w:bCs/>
          <w:color w:val="000000"/>
          <w:szCs w:val="24"/>
        </w:rPr>
      </w:pPr>
    </w:p>
    <w:p w14:paraId="50E4E2CB" w14:textId="77777777" w:rsidR="00B46EF1" w:rsidRPr="009416F7" w:rsidRDefault="009416F7" w:rsidP="009416F7">
      <w:pPr>
        <w:pStyle w:val="Heading3"/>
        <w:keepNext w:val="0"/>
        <w:keepLines w:val="0"/>
        <w:autoSpaceDE w:val="0"/>
        <w:autoSpaceDN w:val="0"/>
        <w:spacing w:before="0" w:after="200" w:line="360" w:lineRule="auto"/>
        <w:ind w:left="1418" w:hanging="1418"/>
        <w:jc w:val="both"/>
        <w:rPr>
          <w:rFonts w:ascii="Avenir LT 65 Medium" w:eastAsia="Times New Roman" w:hAnsi="Avenir LT 65 Medium" w:cs="Times New Roman"/>
          <w:bCs/>
          <w:color w:val="000000"/>
          <w:sz w:val="22"/>
        </w:rPr>
      </w:pPr>
      <w:bookmarkStart w:id="463" w:name="_Toc452727446"/>
      <w:r>
        <w:rPr>
          <w:rFonts w:ascii="Avenir LT 65 Medium" w:eastAsia="Times New Roman" w:hAnsi="Avenir LT 65 Medium" w:cs="Times New Roman"/>
          <w:bCs/>
          <w:color w:val="000000"/>
          <w:sz w:val="22"/>
        </w:rPr>
        <w:t>3.7.13</w:t>
      </w:r>
      <w:r>
        <w:rPr>
          <w:rFonts w:ascii="Avenir LT 65 Medium" w:eastAsia="Times New Roman" w:hAnsi="Avenir LT 65 Medium" w:cs="Times New Roman"/>
          <w:bCs/>
          <w:color w:val="000000"/>
          <w:sz w:val="22"/>
        </w:rPr>
        <w:tab/>
      </w:r>
      <w:r w:rsidR="00B46EF1" w:rsidRPr="009416F7">
        <w:rPr>
          <w:rFonts w:ascii="Avenir LT 65 Medium" w:eastAsia="Times New Roman" w:hAnsi="Avenir LT 65 Medium" w:cs="Times New Roman"/>
          <w:bCs/>
          <w:color w:val="000000"/>
          <w:sz w:val="22"/>
        </w:rPr>
        <w:t>Incidental Development Requirements</w:t>
      </w:r>
      <w:bookmarkEnd w:id="463"/>
    </w:p>
    <w:p w14:paraId="77DD54CB" w14:textId="77777777" w:rsidR="00B46EF1" w:rsidRPr="009416F7" w:rsidRDefault="009416F7" w:rsidP="009416F7">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3.7.13.1</w:t>
      </w:r>
      <w:r>
        <w:rPr>
          <w:rFonts w:ascii="Avenir LT 65 Medium" w:hAnsi="Avenir LT 65 Medium"/>
          <w:bCs/>
          <w:i w:val="0"/>
          <w:color w:val="auto"/>
        </w:rPr>
        <w:tab/>
      </w:r>
      <w:r w:rsidR="00B46EF1" w:rsidRPr="009416F7">
        <w:rPr>
          <w:rFonts w:ascii="Avenir LT 65 Medium" w:hAnsi="Avenir LT 65 Medium"/>
          <w:bCs/>
          <w:i w:val="0"/>
          <w:color w:val="auto"/>
        </w:rPr>
        <w:t>Statement</w:t>
      </w:r>
    </w:p>
    <w:p w14:paraId="010AE1CB" w14:textId="77777777" w:rsidR="00B46EF1" w:rsidRPr="009416F7" w:rsidRDefault="00B46EF1" w:rsidP="009416F7">
      <w:pPr>
        <w:spacing w:line="360" w:lineRule="auto"/>
        <w:rPr>
          <w:rFonts w:ascii="Avenir LT 45 Book" w:eastAsia="Calibri" w:hAnsi="Avenir LT 45 Book"/>
          <w:i/>
          <w:sz w:val="20"/>
        </w:rPr>
      </w:pPr>
      <w:r w:rsidRPr="009416F7">
        <w:rPr>
          <w:rFonts w:ascii="Avenir LT 45 Book" w:eastAsia="Calibri" w:hAnsi="Avenir LT 45 Book"/>
          <w:i/>
          <w:sz w:val="20"/>
        </w:rPr>
        <w:t>The purpose of this section is to protect the quality of streetscapes and the amenity of nearby residents by minimising the visual impact of structures such as satellite dishes, microwave antennae, television antennae, air conditioners, solar collectors, rainwater tanks and tower masts.</w:t>
      </w:r>
    </w:p>
    <w:p w14:paraId="1984C78B" w14:textId="77777777" w:rsidR="00B46EF1" w:rsidRPr="009416F7" w:rsidRDefault="00B46EF1" w:rsidP="009416F7">
      <w:pPr>
        <w:spacing w:line="360" w:lineRule="auto"/>
        <w:rPr>
          <w:rFonts w:ascii="Avenir LT 45 Book" w:eastAsia="Calibri" w:hAnsi="Avenir LT 45 Book"/>
          <w:i/>
          <w:sz w:val="20"/>
        </w:rPr>
      </w:pPr>
      <w:r w:rsidRPr="009416F7">
        <w:rPr>
          <w:rFonts w:ascii="Avenir LT 45 Book" w:eastAsia="Calibri" w:hAnsi="Avenir LT 45 Book"/>
          <w:i/>
          <w:sz w:val="20"/>
        </w:rPr>
        <w:t xml:space="preserve">The above fixtures shall be erected in such a manner as to minimise the visual impact on the subject site, streetscape and immediate locality in terms of design, scale, bulk, colour, height and general appearance.  The location of the </w:t>
      </w:r>
      <w:proofErr w:type="gramStart"/>
      <w:r w:rsidRPr="009416F7">
        <w:rPr>
          <w:rFonts w:ascii="Avenir LT 45 Book" w:eastAsia="Calibri" w:hAnsi="Avenir LT 45 Book"/>
          <w:i/>
          <w:sz w:val="20"/>
        </w:rPr>
        <w:t>aforementioned fixtures</w:t>
      </w:r>
      <w:proofErr w:type="gramEnd"/>
      <w:r w:rsidRPr="009416F7">
        <w:rPr>
          <w:rFonts w:ascii="Avenir LT 45 Book" w:eastAsia="Calibri" w:hAnsi="Avenir LT 45 Book"/>
          <w:i/>
          <w:sz w:val="20"/>
        </w:rPr>
        <w:t xml:space="preserve"> shall not have an adverse impact on the architectural integrity of the existing building and the immediate locality.</w:t>
      </w:r>
    </w:p>
    <w:p w14:paraId="15E7EC14" w14:textId="77777777" w:rsidR="00B46EF1" w:rsidRPr="00842387" w:rsidRDefault="00B46EF1" w:rsidP="00B46EF1">
      <w:r>
        <w:rPr>
          <w:noProof/>
          <w:lang w:eastAsia="en-AU"/>
        </w:rPr>
        <w:drawing>
          <wp:inline distT="0" distB="0" distL="0" distR="0" wp14:anchorId="05F6D364" wp14:editId="69185C6C">
            <wp:extent cx="2524125" cy="1800225"/>
            <wp:effectExtent l="19050" t="0" r="9525" b="0"/>
            <wp:docPr id="193" name="Picture 9" descr="Z:\2011 JOBS\11206-EAST FREMANTLE GUIDELINES\11206-PHOTOS\PROCESSED\RICHMOND\ALCESTER STR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2011 JOBS\11206-EAST FREMANTLE GUIDELINES\11206-PHOTOS\PROCESSED\RICHMOND\ALCESTER STREET 1.jpg"/>
                    <pic:cNvPicPr>
                      <a:picLocks noChangeAspect="1" noChangeArrowheads="1"/>
                    </pic:cNvPicPr>
                  </pic:nvPicPr>
                  <pic:blipFill>
                    <a:blip r:embed="rId206"/>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7D586C4E" w14:textId="77777777" w:rsidR="00B46EF1" w:rsidRPr="009416F7" w:rsidRDefault="009416F7" w:rsidP="009416F7">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3.7.13.2</w:t>
      </w:r>
      <w:r>
        <w:rPr>
          <w:rFonts w:ascii="Avenir LT 65 Medium" w:hAnsi="Avenir LT 65 Medium"/>
          <w:bCs/>
          <w:i w:val="0"/>
          <w:color w:val="auto"/>
        </w:rPr>
        <w:tab/>
      </w:r>
      <w:r w:rsidR="00B46EF1" w:rsidRPr="009416F7">
        <w:rPr>
          <w:rFonts w:ascii="Avenir LT 65 Medium" w:hAnsi="Avenir LT 65 Medium"/>
          <w:bCs/>
          <w:i w:val="0"/>
          <w:color w:val="auto"/>
        </w:rPr>
        <w:t>Desired Development Outcomes</w:t>
      </w:r>
    </w:p>
    <w:p w14:paraId="443FD4E6" w14:textId="77777777" w:rsidR="00B46EF1" w:rsidRPr="00842387" w:rsidRDefault="00B46EF1" w:rsidP="002A3889">
      <w:pPr>
        <w:pStyle w:val="ListParagraph"/>
        <w:numPr>
          <w:ilvl w:val="0"/>
          <w:numId w:val="106"/>
        </w:numPr>
        <w:spacing w:line="360" w:lineRule="auto"/>
      </w:pPr>
      <w:r w:rsidRPr="009416F7">
        <w:rPr>
          <w:rFonts w:ascii="Avenir LT 45 Book" w:eastAsia="Calibri" w:hAnsi="Avenir LT 45 Book" w:cs="Times New Roman"/>
          <w:sz w:val="20"/>
        </w:rPr>
        <w:t xml:space="preserve">Incidental items such as television aerials, satellite dishes, solar panels are to be located away from the primary street </w:t>
      </w:r>
      <w:proofErr w:type="gramStart"/>
      <w:r w:rsidRPr="009416F7">
        <w:rPr>
          <w:rFonts w:ascii="Avenir LT 45 Book" w:eastAsia="Calibri" w:hAnsi="Avenir LT 45 Book" w:cs="Times New Roman"/>
          <w:sz w:val="20"/>
        </w:rPr>
        <w:t>in order to</w:t>
      </w:r>
      <w:proofErr w:type="gramEnd"/>
      <w:r w:rsidRPr="009416F7">
        <w:rPr>
          <w:rFonts w:ascii="Avenir LT 45 Book" w:eastAsia="Calibri" w:hAnsi="Avenir LT 45 Book" w:cs="Times New Roman"/>
          <w:sz w:val="20"/>
        </w:rPr>
        <w:t xml:space="preserve"> minimise their impact on contributory buildings and the character of Policy Area.</w:t>
      </w:r>
    </w:p>
    <w:p w14:paraId="5FD754A5" w14:textId="77777777" w:rsidR="00B46EF1" w:rsidRPr="00842387" w:rsidRDefault="00B46EF1" w:rsidP="00B46EF1">
      <w:r w:rsidRPr="00842387">
        <w:rPr>
          <w:noProof/>
          <w:lang w:eastAsia="en-AU"/>
        </w:rPr>
        <w:lastRenderedPageBreak/>
        <w:drawing>
          <wp:inline distT="0" distB="0" distL="0" distR="0" wp14:anchorId="669E84CE" wp14:editId="6A59D06A">
            <wp:extent cx="2990850" cy="2247900"/>
            <wp:effectExtent l="19050" t="0" r="0" b="0"/>
            <wp:docPr id="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cstate="print"/>
                    <a:srcRect/>
                    <a:stretch>
                      <a:fillRect/>
                    </a:stretch>
                  </pic:blipFill>
                  <pic:spPr bwMode="auto">
                    <a:xfrm>
                      <a:off x="0" y="0"/>
                      <a:ext cx="2990850" cy="2247900"/>
                    </a:xfrm>
                    <a:prstGeom prst="rect">
                      <a:avLst/>
                    </a:prstGeom>
                    <a:noFill/>
                    <a:ln w="9525">
                      <a:noFill/>
                      <a:miter lim="800000"/>
                      <a:headEnd/>
                      <a:tailEnd/>
                    </a:ln>
                  </pic:spPr>
                </pic:pic>
              </a:graphicData>
            </a:graphic>
          </wp:inline>
        </w:drawing>
      </w:r>
    </w:p>
    <w:p w14:paraId="62D716A8" w14:textId="77777777" w:rsidR="00B46EF1" w:rsidRPr="009416F7" w:rsidRDefault="00B46EF1" w:rsidP="00B46EF1">
      <w:pPr>
        <w:pStyle w:val="Figure"/>
        <w:spacing w:after="200" w:line="360" w:lineRule="auto"/>
        <w:jc w:val="left"/>
        <w:rPr>
          <w:i/>
          <w:lang w:val="en-AU"/>
        </w:rPr>
      </w:pPr>
      <w:r w:rsidRPr="009416F7">
        <w:rPr>
          <w:rFonts w:ascii="Avenir LT 65 Medium" w:hAnsi="Avenir LT 65 Medium"/>
          <w:lang w:val="en-AU"/>
        </w:rPr>
        <w:t>Figure 16</w:t>
      </w:r>
      <w:r w:rsidRPr="009416F7">
        <w:rPr>
          <w:lang w:val="en-AU"/>
        </w:rPr>
        <w:t xml:space="preserve"> – Percentage of power theoretically generated by solar arrays.</w:t>
      </w:r>
      <w:r w:rsidRPr="009416F7">
        <w:rPr>
          <w:i/>
          <w:lang w:val="en-AU"/>
        </w:rPr>
        <w:t xml:space="preserve"> Colin Mendoza, Solar Power Brochure.  BP Solar and Solar Partners.</w:t>
      </w:r>
    </w:p>
    <w:p w14:paraId="708D0744" w14:textId="77777777" w:rsidR="00B46EF1" w:rsidRPr="00842387" w:rsidRDefault="00B46EF1" w:rsidP="00B46EF1">
      <w:pPr>
        <w:pStyle w:val="Figure"/>
        <w:spacing w:after="200" w:line="360" w:lineRule="auto"/>
        <w:jc w:val="left"/>
        <w:rPr>
          <w:i/>
          <w:lang w:val="en-AU"/>
        </w:rPr>
      </w:pPr>
      <w:r>
        <w:rPr>
          <w:i/>
          <w:noProof/>
          <w:lang w:val="en-AU" w:eastAsia="en-AU"/>
        </w:rPr>
        <w:drawing>
          <wp:inline distT="0" distB="0" distL="0" distR="0" wp14:anchorId="129D5CD6" wp14:editId="39FF278E">
            <wp:extent cx="5381625" cy="3609975"/>
            <wp:effectExtent l="19050" t="0" r="9525" b="0"/>
            <wp:docPr id="195" name="Picture 9" descr="INCIDENTAL DEVELOPMENT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IDENTAL DEVELOPMENTS.eps"/>
                    <pic:cNvPicPr/>
                  </pic:nvPicPr>
                  <pic:blipFill>
                    <a:blip r:embed="rId208"/>
                    <a:stretch>
                      <a:fillRect/>
                    </a:stretch>
                  </pic:blipFill>
                  <pic:spPr>
                    <a:xfrm>
                      <a:off x="0" y="0"/>
                      <a:ext cx="5381625" cy="3609975"/>
                    </a:xfrm>
                    <a:prstGeom prst="rect">
                      <a:avLst/>
                    </a:prstGeom>
                  </pic:spPr>
                </pic:pic>
              </a:graphicData>
            </a:graphic>
          </wp:inline>
        </w:drawing>
      </w:r>
    </w:p>
    <w:p w14:paraId="6D5CAC8B" w14:textId="77777777" w:rsidR="00B46EF1" w:rsidRDefault="00B46EF1" w:rsidP="00B46EF1">
      <w:pPr>
        <w:pStyle w:val="Figure"/>
        <w:spacing w:after="200"/>
        <w:jc w:val="left"/>
        <w:rPr>
          <w:i/>
          <w:lang w:val="en-AU"/>
        </w:rPr>
      </w:pPr>
      <w:r w:rsidRPr="00842387">
        <w:rPr>
          <w:rFonts w:ascii="Avenir LT 65 Medium" w:hAnsi="Avenir LT 65 Medium"/>
          <w:lang w:val="en-AU"/>
        </w:rPr>
        <w:t xml:space="preserve">Figure </w:t>
      </w:r>
      <w:r>
        <w:rPr>
          <w:rFonts w:ascii="Avenir LT 65 Medium" w:hAnsi="Avenir LT 65 Medium"/>
          <w:lang w:val="en-AU"/>
        </w:rPr>
        <w:t>17</w:t>
      </w:r>
      <w:r w:rsidRPr="00842387">
        <w:rPr>
          <w:lang w:val="en-AU"/>
        </w:rPr>
        <w:t xml:space="preserve"> – Location of incidental developments –</w:t>
      </w:r>
      <w:r w:rsidRPr="00842387">
        <w:rPr>
          <w:i/>
          <w:lang w:val="en-AU"/>
        </w:rPr>
        <w:t xml:space="preserve"> Griffiths Architects 2012.</w:t>
      </w:r>
    </w:p>
    <w:p w14:paraId="17543F9E" w14:textId="77777777" w:rsidR="00B46EF1" w:rsidRDefault="00B46EF1" w:rsidP="00B46EF1">
      <w:pPr>
        <w:rPr>
          <w:rFonts w:cs="Times New Roman"/>
          <w:i/>
          <w:szCs w:val="20"/>
        </w:rPr>
      </w:pPr>
      <w:r>
        <w:rPr>
          <w:i/>
        </w:rPr>
        <w:br w:type="page"/>
      </w:r>
    </w:p>
    <w:p w14:paraId="16195243" w14:textId="77777777" w:rsidR="00B46EF1" w:rsidRPr="00400D24" w:rsidRDefault="00400D24" w:rsidP="00400D24">
      <w:pPr>
        <w:pStyle w:val="Heading4"/>
        <w:spacing w:before="120" w:after="200" w:line="360" w:lineRule="auto"/>
        <w:ind w:left="1418" w:hanging="1418"/>
        <w:rPr>
          <w:rFonts w:ascii="Avenir LT 65 Medium" w:hAnsi="Avenir LT 65 Medium"/>
          <w:bCs/>
          <w:i w:val="0"/>
          <w:color w:val="auto"/>
        </w:rPr>
      </w:pPr>
      <w:r>
        <w:rPr>
          <w:rFonts w:ascii="Avenir LT 65 Medium" w:hAnsi="Avenir LT 65 Medium"/>
          <w:bCs/>
          <w:i w:val="0"/>
          <w:color w:val="auto"/>
        </w:rPr>
        <w:lastRenderedPageBreak/>
        <w:t>3.7.13.3</w:t>
      </w:r>
      <w:r>
        <w:rPr>
          <w:rFonts w:ascii="Avenir LT 65 Medium" w:hAnsi="Avenir LT 65 Medium"/>
          <w:bCs/>
          <w:i w:val="0"/>
          <w:color w:val="auto"/>
        </w:rPr>
        <w:tab/>
      </w:r>
      <w:r w:rsidR="00B46EF1" w:rsidRPr="00400D24">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111"/>
        <w:gridCol w:w="4915"/>
      </w:tblGrid>
      <w:tr w:rsidR="00B46EF1" w:rsidRPr="00842387" w14:paraId="6C8EB5E7" w14:textId="77777777" w:rsidTr="002F6B25">
        <w:tc>
          <w:tcPr>
            <w:tcW w:w="4111" w:type="dxa"/>
            <w:tcBorders>
              <w:bottom w:val="single" w:sz="4" w:space="0" w:color="auto"/>
            </w:tcBorders>
          </w:tcPr>
          <w:p w14:paraId="6475A137" w14:textId="77777777" w:rsidR="00B46EF1" w:rsidRDefault="00B46EF1" w:rsidP="008048CE">
            <w:pPr>
              <w:rPr>
                <w:rFonts w:ascii="Avenir LT 65 Medium" w:eastAsia="Times New Roman" w:hAnsi="Avenir LT 65 Medium" w:cs="Times New Roman"/>
                <w:szCs w:val="24"/>
              </w:rPr>
            </w:pPr>
            <w:r w:rsidRPr="00842387">
              <w:rPr>
                <w:rFonts w:ascii="Avenir LT 65 Medium" w:hAnsi="Avenir LT 65 Medium"/>
              </w:rPr>
              <w:t>Performance Criteria</w:t>
            </w:r>
          </w:p>
        </w:tc>
        <w:tc>
          <w:tcPr>
            <w:tcW w:w="4915" w:type="dxa"/>
            <w:tcBorders>
              <w:bottom w:val="single" w:sz="4" w:space="0" w:color="auto"/>
            </w:tcBorders>
          </w:tcPr>
          <w:p w14:paraId="0FB6A2C2" w14:textId="77777777" w:rsidR="00B46EF1" w:rsidRDefault="00B46EF1" w:rsidP="008048CE">
            <w:pPr>
              <w:rPr>
                <w:rFonts w:eastAsia="Times New Roman" w:cs="Times New Roman"/>
                <w:szCs w:val="24"/>
              </w:rPr>
            </w:pPr>
            <w:r w:rsidRPr="00842387">
              <w:rPr>
                <w:rFonts w:ascii="Avenir LT 65 Medium" w:hAnsi="Avenir LT 65 Medium"/>
              </w:rPr>
              <w:t>Acceptable Development Provisions</w:t>
            </w:r>
          </w:p>
        </w:tc>
      </w:tr>
      <w:tr w:rsidR="00B46EF1" w:rsidRPr="002F6B25" w14:paraId="14CD49C7" w14:textId="77777777" w:rsidTr="002F6B25">
        <w:tc>
          <w:tcPr>
            <w:tcW w:w="4111" w:type="dxa"/>
            <w:tcBorders>
              <w:top w:val="single" w:sz="4" w:space="0" w:color="auto"/>
            </w:tcBorders>
          </w:tcPr>
          <w:p w14:paraId="39E55F6C" w14:textId="77777777" w:rsidR="00B46EF1" w:rsidRDefault="00B46EF1" w:rsidP="002A3889">
            <w:pPr>
              <w:pStyle w:val="ListParagraph"/>
              <w:numPr>
                <w:ilvl w:val="0"/>
                <w:numId w:val="107"/>
              </w:numPr>
              <w:spacing w:before="120" w:line="360" w:lineRule="auto"/>
              <w:ind w:left="567" w:hanging="505"/>
              <w:contextualSpacing w:val="0"/>
              <w:rPr>
                <w:rFonts w:eastAsia="Times New Roman"/>
                <w:szCs w:val="24"/>
              </w:rPr>
            </w:pPr>
            <w:r w:rsidRPr="00400D24">
              <w:rPr>
                <w:rFonts w:ascii="Avenir LT 45 Book" w:eastAsia="Calibri" w:hAnsi="Avenir LT 45 Book" w:cs="Times New Roman"/>
                <w:sz w:val="20"/>
              </w:rPr>
              <w:t>Incidental development such as solar collectors, water tanks, satellite dishes, microwave and radio masts, air conditioners and TV antennae are located to minimise their impact on the character of the building and the immediate locality.  Wherever practical, opportunities for concealment of incidental developments shall be utilised – such as ‘hiding’ them in roof valleys, on rear roof planes or behind parapets.</w:t>
            </w:r>
          </w:p>
        </w:tc>
        <w:tc>
          <w:tcPr>
            <w:tcW w:w="4915" w:type="dxa"/>
            <w:tcBorders>
              <w:top w:val="single" w:sz="4" w:space="0" w:color="auto"/>
            </w:tcBorders>
          </w:tcPr>
          <w:p w14:paraId="2F8A797E" w14:textId="77777777" w:rsidR="00B46EF1" w:rsidRPr="002F6B25" w:rsidRDefault="00B46EF1" w:rsidP="002A3889">
            <w:pPr>
              <w:pStyle w:val="ListParagraph"/>
              <w:numPr>
                <w:ilvl w:val="1"/>
                <w:numId w:val="108"/>
              </w:numPr>
              <w:spacing w:line="360" w:lineRule="auto"/>
              <w:ind w:left="624" w:hanging="567"/>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Solar collectors, satellite dishes, microwave masts, radio masts and antennae are not to be visible from the primary street.</w:t>
            </w:r>
          </w:p>
          <w:p w14:paraId="6E63A6A5" w14:textId="77777777" w:rsidR="00B46EF1" w:rsidRPr="002F6B25" w:rsidRDefault="00B46EF1" w:rsidP="002A3889">
            <w:pPr>
              <w:pStyle w:val="ListParagraph"/>
              <w:numPr>
                <w:ilvl w:val="1"/>
                <w:numId w:val="108"/>
              </w:numPr>
              <w:spacing w:after="120" w:line="360" w:lineRule="auto"/>
              <w:ind w:left="624" w:hanging="567"/>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Rainwater tanks should:</w:t>
            </w:r>
          </w:p>
          <w:p w14:paraId="7FFCF9E7" w14:textId="77777777" w:rsidR="00B46EF1" w:rsidRPr="002F6B25" w:rsidRDefault="00B46EF1" w:rsidP="002A3889">
            <w:pPr>
              <w:pStyle w:val="ListParagraph"/>
              <w:numPr>
                <w:ilvl w:val="0"/>
                <w:numId w:val="110"/>
              </w:numPr>
              <w:spacing w:after="120" w:line="360" w:lineRule="auto"/>
              <w:ind w:left="624" w:hanging="312"/>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 xml:space="preserve">Be behind the building line and not visually dominate the building as viewed from the </w:t>
            </w:r>
            <w:proofErr w:type="gramStart"/>
            <w:r w:rsidRPr="002F6B25">
              <w:rPr>
                <w:rFonts w:ascii="Avenir LT 45 Book" w:eastAsia="Calibri" w:hAnsi="Avenir LT 45 Book" w:cs="Times New Roman"/>
                <w:sz w:val="20"/>
                <w:szCs w:val="20"/>
              </w:rPr>
              <w:t>street;</w:t>
            </w:r>
            <w:proofErr w:type="gramEnd"/>
          </w:p>
          <w:p w14:paraId="270C1DC3" w14:textId="77777777" w:rsidR="00B46EF1" w:rsidRPr="002F6B25" w:rsidRDefault="00B46EF1" w:rsidP="002A3889">
            <w:pPr>
              <w:pStyle w:val="ListParagraph"/>
              <w:numPr>
                <w:ilvl w:val="0"/>
                <w:numId w:val="110"/>
              </w:numPr>
              <w:spacing w:after="120" w:line="360" w:lineRule="auto"/>
              <w:ind w:left="624" w:hanging="312"/>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Not exceed 5000L capacity (above 5000L requires a planning approval</w:t>
            </w:r>
            <w:proofErr w:type="gramStart"/>
            <w:r w:rsidRPr="002F6B25">
              <w:rPr>
                <w:rFonts w:ascii="Avenir LT 45 Book" w:eastAsia="Calibri" w:hAnsi="Avenir LT 45 Book" w:cs="Times New Roman"/>
                <w:sz w:val="20"/>
                <w:szCs w:val="20"/>
              </w:rPr>
              <w:t>);</w:t>
            </w:r>
            <w:proofErr w:type="gramEnd"/>
          </w:p>
          <w:p w14:paraId="16DE8BA6" w14:textId="77777777" w:rsidR="00B46EF1" w:rsidRPr="002F6B25" w:rsidRDefault="00B46EF1" w:rsidP="002A3889">
            <w:pPr>
              <w:pStyle w:val="ListParagraph"/>
              <w:numPr>
                <w:ilvl w:val="0"/>
                <w:numId w:val="110"/>
              </w:numPr>
              <w:spacing w:after="120" w:line="360" w:lineRule="auto"/>
              <w:ind w:left="624" w:hanging="312"/>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 xml:space="preserve">Set 1m away from any </w:t>
            </w:r>
            <w:proofErr w:type="gramStart"/>
            <w:r w:rsidRPr="002F6B25">
              <w:rPr>
                <w:rFonts w:ascii="Avenir LT 45 Book" w:eastAsia="Calibri" w:hAnsi="Avenir LT 45 Book" w:cs="Times New Roman"/>
                <w:sz w:val="20"/>
                <w:szCs w:val="20"/>
              </w:rPr>
              <w:t>boundary;</w:t>
            </w:r>
            <w:proofErr w:type="gramEnd"/>
          </w:p>
          <w:p w14:paraId="72A00F8E" w14:textId="77777777" w:rsidR="00B46EF1" w:rsidRPr="002F6B25" w:rsidRDefault="00B46EF1" w:rsidP="002A3889">
            <w:pPr>
              <w:pStyle w:val="ListParagraph"/>
              <w:numPr>
                <w:ilvl w:val="0"/>
                <w:numId w:val="110"/>
              </w:numPr>
              <w:spacing w:after="120" w:line="360" w:lineRule="auto"/>
              <w:ind w:left="624" w:hanging="312"/>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 xml:space="preserve">Be constructed and retained to the relevant Australian </w:t>
            </w:r>
            <w:proofErr w:type="gramStart"/>
            <w:r w:rsidRPr="002F6B25">
              <w:rPr>
                <w:rFonts w:ascii="Avenir LT 45 Book" w:eastAsia="Calibri" w:hAnsi="Avenir LT 45 Book" w:cs="Times New Roman"/>
                <w:sz w:val="20"/>
                <w:szCs w:val="20"/>
              </w:rPr>
              <w:t>Standard;</w:t>
            </w:r>
            <w:proofErr w:type="gramEnd"/>
          </w:p>
          <w:p w14:paraId="0181B9E5" w14:textId="77777777" w:rsidR="00B46EF1" w:rsidRPr="002F6B25" w:rsidRDefault="00B46EF1" w:rsidP="002A3889">
            <w:pPr>
              <w:pStyle w:val="ListParagraph"/>
              <w:numPr>
                <w:ilvl w:val="0"/>
                <w:numId w:val="110"/>
              </w:numPr>
              <w:spacing w:after="120" w:line="360" w:lineRule="auto"/>
              <w:ind w:left="624" w:hanging="312"/>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Have an overflow that is directed to a soak well within the property; and,</w:t>
            </w:r>
          </w:p>
          <w:p w14:paraId="68C52AAE" w14:textId="77777777" w:rsidR="00B46EF1" w:rsidRPr="002F6B25" w:rsidRDefault="00B46EF1" w:rsidP="002A3889">
            <w:pPr>
              <w:pStyle w:val="ListParagraph"/>
              <w:numPr>
                <w:ilvl w:val="0"/>
                <w:numId w:val="110"/>
              </w:numPr>
              <w:spacing w:line="360" w:lineRule="auto"/>
              <w:ind w:left="624" w:hanging="310"/>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Not exceed a height of 2.4m from the ground floor level of the dwelling.</w:t>
            </w:r>
          </w:p>
          <w:p w14:paraId="6F0340A8" w14:textId="77777777" w:rsidR="00B46EF1" w:rsidRPr="002F6B25" w:rsidRDefault="00B46EF1" w:rsidP="002A3889">
            <w:pPr>
              <w:pStyle w:val="ListParagraph"/>
              <w:numPr>
                <w:ilvl w:val="1"/>
                <w:numId w:val="108"/>
              </w:numPr>
              <w:spacing w:line="360" w:lineRule="auto"/>
              <w:ind w:left="624" w:hanging="567"/>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The diameter of a satellite dish is to be less than 1.2m.  Where the diameter of a satellite dish is greater than 1.2m but less than 1.5m it shall be permitted if it can be demonstrated that it does not adversely impact on the visual amenity of the adjacent area. Where the diameter of a satellite dish is greater than 1.5m they are to be located at ground level and have a maximum height of 3m from natural ground level and not be visible from the street.</w:t>
            </w:r>
          </w:p>
          <w:p w14:paraId="6AD46477" w14:textId="77777777" w:rsidR="00B46EF1" w:rsidRPr="002F6B25" w:rsidRDefault="00B46EF1" w:rsidP="002A3889">
            <w:pPr>
              <w:pStyle w:val="ListParagraph"/>
              <w:numPr>
                <w:ilvl w:val="1"/>
                <w:numId w:val="108"/>
              </w:numPr>
              <w:spacing w:line="360" w:lineRule="auto"/>
              <w:ind w:left="624" w:hanging="567"/>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The erection of a tower mast for the transmission and reception of radio si</w:t>
            </w:r>
            <w:r w:rsidRPr="00400D24">
              <w:rPr>
                <w:rFonts w:ascii="Avenir LT 45 Book" w:eastAsia="Calibri" w:hAnsi="Avenir LT 45 Book" w:cs="Times New Roman"/>
                <w:sz w:val="20"/>
                <w:szCs w:val="20"/>
              </w:rPr>
              <w:t xml:space="preserve">gnals </w:t>
            </w:r>
            <w:proofErr w:type="gramStart"/>
            <w:r w:rsidRPr="00400D24">
              <w:rPr>
                <w:rFonts w:ascii="Avenir LT 45 Book" w:eastAsia="Calibri" w:hAnsi="Avenir LT 45 Book" w:cs="Times New Roman"/>
                <w:sz w:val="20"/>
                <w:szCs w:val="20"/>
              </w:rPr>
              <w:t>in excess of</w:t>
            </w:r>
            <w:proofErr w:type="gramEnd"/>
            <w:r w:rsidRPr="00400D24">
              <w:rPr>
                <w:rFonts w:ascii="Avenir LT 45 Book" w:eastAsia="Calibri" w:hAnsi="Avenir LT 45 Book" w:cs="Times New Roman"/>
                <w:sz w:val="20"/>
                <w:szCs w:val="20"/>
              </w:rPr>
              <w:t xml:space="preserve"> 5 metres from site datum and/or natural ground level is not permitted unless no written objections are received by the Town and the owners and occupants of the affected properties.</w:t>
            </w:r>
          </w:p>
          <w:p w14:paraId="711F17BF" w14:textId="77777777" w:rsidR="00B46EF1" w:rsidRPr="002F6B25" w:rsidRDefault="00B46EF1" w:rsidP="002A3889">
            <w:pPr>
              <w:pStyle w:val="ListParagraph"/>
              <w:numPr>
                <w:ilvl w:val="1"/>
                <w:numId w:val="108"/>
              </w:numPr>
              <w:spacing w:line="360" w:lineRule="auto"/>
              <w:ind w:left="624" w:hanging="567"/>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Microwave antennae to have an area less than 0.6m2 and to not project higher than 3m above the ridge line.</w:t>
            </w:r>
          </w:p>
          <w:p w14:paraId="50DEF797" w14:textId="77777777" w:rsidR="00B46EF1" w:rsidRPr="002F6B25" w:rsidRDefault="00B46EF1" w:rsidP="002A3889">
            <w:pPr>
              <w:pStyle w:val="ListParagraph"/>
              <w:numPr>
                <w:ilvl w:val="1"/>
                <w:numId w:val="108"/>
              </w:numPr>
              <w:spacing w:line="360" w:lineRule="auto"/>
              <w:ind w:left="624" w:hanging="567"/>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 xml:space="preserve">Air conditioners are not to </w:t>
            </w:r>
            <w:proofErr w:type="gramStart"/>
            <w:r w:rsidRPr="002F6B25">
              <w:rPr>
                <w:rFonts w:ascii="Avenir LT 45 Book" w:eastAsia="Calibri" w:hAnsi="Avenir LT 45 Book" w:cs="Times New Roman"/>
                <w:sz w:val="20"/>
                <w:szCs w:val="20"/>
              </w:rPr>
              <w:t>be located in</w:t>
            </w:r>
            <w:proofErr w:type="gramEnd"/>
            <w:r w:rsidRPr="002F6B25">
              <w:rPr>
                <w:rFonts w:ascii="Avenir LT 45 Book" w:eastAsia="Calibri" w:hAnsi="Avenir LT 45 Book" w:cs="Times New Roman"/>
                <w:sz w:val="20"/>
                <w:szCs w:val="20"/>
              </w:rPr>
              <w:t xml:space="preserve"> the front setback area. Air conditioning noise levels shall be in accordance with the Environmental Protection Act and associated noise regulations.</w:t>
            </w:r>
          </w:p>
        </w:tc>
      </w:tr>
      <w:tr w:rsidR="00B46EF1" w:rsidRPr="00842387" w14:paraId="5837747D" w14:textId="77777777" w:rsidTr="002F6B25">
        <w:tc>
          <w:tcPr>
            <w:tcW w:w="4111" w:type="dxa"/>
          </w:tcPr>
          <w:p w14:paraId="22941CAE" w14:textId="77777777" w:rsidR="00B46EF1" w:rsidRPr="002F6B25" w:rsidRDefault="00B46EF1" w:rsidP="002A3889">
            <w:pPr>
              <w:pStyle w:val="ListParagraph"/>
              <w:numPr>
                <w:ilvl w:val="0"/>
                <w:numId w:val="107"/>
              </w:numPr>
              <w:spacing w:line="360" w:lineRule="auto"/>
              <w:ind w:left="567" w:hanging="505"/>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All solar panels shall be positioned to avoid existing shadows cast from nearby buildings, structures and trees.</w:t>
            </w:r>
          </w:p>
        </w:tc>
        <w:tc>
          <w:tcPr>
            <w:tcW w:w="4915" w:type="dxa"/>
          </w:tcPr>
          <w:p w14:paraId="271CFA55" w14:textId="77777777" w:rsidR="00B46EF1" w:rsidRPr="002F6B25" w:rsidRDefault="00B46EF1" w:rsidP="002A3889">
            <w:pPr>
              <w:pStyle w:val="ListParagraph"/>
              <w:numPr>
                <w:ilvl w:val="1"/>
                <w:numId w:val="109"/>
              </w:numPr>
              <w:spacing w:line="360" w:lineRule="auto"/>
              <w:ind w:left="624" w:hanging="567"/>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Solar collectors shall not be located on the primary street facade.</w:t>
            </w:r>
          </w:p>
          <w:p w14:paraId="1DBC4E6C" w14:textId="77777777" w:rsidR="00B46EF1" w:rsidRPr="002F6B25" w:rsidRDefault="00B46EF1" w:rsidP="002A3889">
            <w:pPr>
              <w:pStyle w:val="ListParagraph"/>
              <w:numPr>
                <w:ilvl w:val="1"/>
                <w:numId w:val="109"/>
              </w:numPr>
              <w:spacing w:after="80" w:line="360" w:lineRule="auto"/>
              <w:ind w:left="624" w:hanging="567"/>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Application for solar collector approval requires the following:</w:t>
            </w:r>
          </w:p>
          <w:p w14:paraId="5C1939E8" w14:textId="77777777" w:rsidR="00B46EF1" w:rsidRPr="002F6B25" w:rsidRDefault="00B46EF1" w:rsidP="002A3889">
            <w:pPr>
              <w:pStyle w:val="ListParagraph"/>
              <w:numPr>
                <w:ilvl w:val="0"/>
                <w:numId w:val="111"/>
              </w:numPr>
              <w:spacing w:after="80" w:line="360" w:lineRule="auto"/>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lastRenderedPageBreak/>
              <w:t xml:space="preserve">Site plan showing roof form and proposed location of solar </w:t>
            </w:r>
            <w:proofErr w:type="gramStart"/>
            <w:r w:rsidRPr="002F6B25">
              <w:rPr>
                <w:rFonts w:ascii="Avenir LT 45 Book" w:eastAsia="Calibri" w:hAnsi="Avenir LT 45 Book" w:cs="Times New Roman"/>
                <w:sz w:val="20"/>
                <w:szCs w:val="20"/>
              </w:rPr>
              <w:t>collectors;</w:t>
            </w:r>
            <w:proofErr w:type="gramEnd"/>
          </w:p>
          <w:p w14:paraId="4ECF6DB8" w14:textId="77777777" w:rsidR="00B46EF1" w:rsidRPr="002F6B25" w:rsidRDefault="00B46EF1" w:rsidP="002A3889">
            <w:pPr>
              <w:pStyle w:val="ListParagraph"/>
              <w:numPr>
                <w:ilvl w:val="0"/>
                <w:numId w:val="111"/>
              </w:numPr>
              <w:spacing w:after="80" w:line="360" w:lineRule="auto"/>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 xml:space="preserve">Type/Brand of solar </w:t>
            </w:r>
            <w:proofErr w:type="gramStart"/>
            <w:r w:rsidRPr="002F6B25">
              <w:rPr>
                <w:rFonts w:ascii="Avenir LT 45 Book" w:eastAsia="Calibri" w:hAnsi="Avenir LT 45 Book" w:cs="Times New Roman"/>
                <w:sz w:val="20"/>
                <w:szCs w:val="20"/>
              </w:rPr>
              <w:t>unit;</w:t>
            </w:r>
            <w:proofErr w:type="gramEnd"/>
          </w:p>
          <w:p w14:paraId="06B11007" w14:textId="77777777" w:rsidR="00B46EF1" w:rsidRPr="002F6B25" w:rsidRDefault="00B46EF1" w:rsidP="002A3889">
            <w:pPr>
              <w:pStyle w:val="ListParagraph"/>
              <w:numPr>
                <w:ilvl w:val="0"/>
                <w:numId w:val="111"/>
              </w:numPr>
              <w:spacing w:after="80" w:line="360" w:lineRule="auto"/>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 xml:space="preserve">Extent of solar </w:t>
            </w:r>
            <w:proofErr w:type="gramStart"/>
            <w:r w:rsidRPr="002F6B25">
              <w:rPr>
                <w:rFonts w:ascii="Avenir LT 45 Book" w:eastAsia="Calibri" w:hAnsi="Avenir LT 45 Book" w:cs="Times New Roman"/>
                <w:sz w:val="20"/>
                <w:szCs w:val="20"/>
              </w:rPr>
              <w:t>collectors;</w:t>
            </w:r>
            <w:proofErr w:type="gramEnd"/>
          </w:p>
          <w:p w14:paraId="51C08A66" w14:textId="77777777" w:rsidR="00B46EF1" w:rsidRPr="002F6B25" w:rsidRDefault="00B46EF1" w:rsidP="002A3889">
            <w:pPr>
              <w:pStyle w:val="ListParagraph"/>
              <w:numPr>
                <w:ilvl w:val="0"/>
                <w:numId w:val="111"/>
              </w:numPr>
              <w:spacing w:after="80" w:line="360" w:lineRule="auto"/>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 xml:space="preserve">Details of frame </w:t>
            </w:r>
            <w:proofErr w:type="gramStart"/>
            <w:r w:rsidRPr="002F6B25">
              <w:rPr>
                <w:rFonts w:ascii="Avenir LT 45 Book" w:eastAsia="Calibri" w:hAnsi="Avenir LT 45 Book" w:cs="Times New Roman"/>
                <w:sz w:val="20"/>
                <w:szCs w:val="20"/>
              </w:rPr>
              <w:t>support;</w:t>
            </w:r>
            <w:proofErr w:type="gramEnd"/>
          </w:p>
          <w:p w14:paraId="628A4B30" w14:textId="77777777" w:rsidR="00B46EF1" w:rsidRPr="002F6B25" w:rsidRDefault="00B46EF1" w:rsidP="002A3889">
            <w:pPr>
              <w:pStyle w:val="ListParagraph"/>
              <w:numPr>
                <w:ilvl w:val="0"/>
                <w:numId w:val="111"/>
              </w:numPr>
              <w:spacing w:after="80" w:line="360" w:lineRule="auto"/>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t>Current drawings/photos of existing building and immediate locality; and,</w:t>
            </w:r>
          </w:p>
          <w:p w14:paraId="6E734BFF" w14:textId="77777777" w:rsidR="00B46EF1" w:rsidRDefault="00B46EF1" w:rsidP="002A3889">
            <w:pPr>
              <w:pStyle w:val="ListParagraph"/>
              <w:numPr>
                <w:ilvl w:val="0"/>
                <w:numId w:val="111"/>
              </w:numPr>
              <w:spacing w:after="80" w:line="360" w:lineRule="auto"/>
              <w:contextualSpacing w:val="0"/>
              <w:rPr>
                <w:rFonts w:eastAsia="Times New Roman"/>
                <w:szCs w:val="20"/>
              </w:rPr>
            </w:pPr>
            <w:r w:rsidRPr="002F6B25">
              <w:rPr>
                <w:rFonts w:ascii="Avenir LT 45 Book" w:eastAsia="Calibri" w:hAnsi="Avenir LT 45 Book" w:cs="Times New Roman"/>
                <w:sz w:val="20"/>
                <w:szCs w:val="20"/>
              </w:rPr>
              <w:t>Heritage status of existing building (refer MHI).</w:t>
            </w:r>
          </w:p>
        </w:tc>
      </w:tr>
      <w:tr w:rsidR="00B46EF1" w:rsidRPr="00842387" w14:paraId="4254C895" w14:textId="77777777" w:rsidTr="002F6B25">
        <w:tc>
          <w:tcPr>
            <w:tcW w:w="4111" w:type="dxa"/>
          </w:tcPr>
          <w:p w14:paraId="627CCD2E" w14:textId="77777777" w:rsidR="00B46EF1" w:rsidRPr="002F6B25" w:rsidRDefault="00B46EF1" w:rsidP="002A3889">
            <w:pPr>
              <w:pStyle w:val="ListParagraph"/>
              <w:numPr>
                <w:ilvl w:val="0"/>
                <w:numId w:val="107"/>
              </w:numPr>
              <w:spacing w:line="360" w:lineRule="auto"/>
              <w:ind w:left="567" w:hanging="505"/>
              <w:contextualSpacing w:val="0"/>
              <w:rPr>
                <w:rFonts w:ascii="Avenir LT 45 Book" w:eastAsia="Calibri" w:hAnsi="Avenir LT 45 Book" w:cs="Times New Roman"/>
                <w:sz w:val="20"/>
                <w:szCs w:val="20"/>
              </w:rPr>
            </w:pPr>
            <w:r w:rsidRPr="002F6B25">
              <w:rPr>
                <w:rFonts w:ascii="Avenir LT 45 Book" w:eastAsia="Calibri" w:hAnsi="Avenir LT 45 Book" w:cs="Times New Roman"/>
                <w:sz w:val="20"/>
                <w:szCs w:val="20"/>
              </w:rPr>
              <w:lastRenderedPageBreak/>
              <w:t>Incidental developments are to be constructed behind the front setback zone.</w:t>
            </w:r>
          </w:p>
        </w:tc>
        <w:tc>
          <w:tcPr>
            <w:tcW w:w="4915" w:type="dxa"/>
          </w:tcPr>
          <w:p w14:paraId="68D83B85" w14:textId="77777777" w:rsidR="00B46EF1" w:rsidRPr="002F6B25" w:rsidRDefault="00B46EF1" w:rsidP="002A3889">
            <w:pPr>
              <w:pStyle w:val="ListParagraph"/>
              <w:numPr>
                <w:ilvl w:val="0"/>
                <w:numId w:val="112"/>
              </w:numPr>
              <w:spacing w:after="120" w:line="360" w:lineRule="auto"/>
              <w:ind w:left="624" w:hanging="567"/>
              <w:contextualSpacing w:val="0"/>
              <w:rPr>
                <w:rFonts w:ascii="Avenir LT 45 Book" w:eastAsia="Calibri" w:hAnsi="Avenir LT 45 Book" w:cs="Times New Roman"/>
                <w:sz w:val="20"/>
              </w:rPr>
            </w:pPr>
            <w:r w:rsidRPr="002F6B25">
              <w:rPr>
                <w:rFonts w:ascii="Avenir LT 45 Book" w:eastAsia="Calibri" w:hAnsi="Avenir LT 45 Book" w:cs="Times New Roman"/>
                <w:sz w:val="20"/>
              </w:rPr>
              <w:t>Incidental developments must not to be within the front setback zone unless:</w:t>
            </w:r>
          </w:p>
          <w:p w14:paraId="4A70470A" w14:textId="77777777" w:rsidR="00B46EF1" w:rsidRPr="002F6B25" w:rsidRDefault="00B46EF1" w:rsidP="002A3889">
            <w:pPr>
              <w:pStyle w:val="ListParagraph"/>
              <w:numPr>
                <w:ilvl w:val="0"/>
                <w:numId w:val="113"/>
              </w:numPr>
              <w:spacing w:after="80" w:line="360" w:lineRule="auto"/>
              <w:contextualSpacing w:val="0"/>
              <w:rPr>
                <w:rFonts w:ascii="Avenir LT 45 Book" w:eastAsia="Calibri" w:hAnsi="Avenir LT 45 Book" w:cs="Times New Roman"/>
                <w:sz w:val="20"/>
              </w:rPr>
            </w:pPr>
            <w:r w:rsidRPr="002F6B25">
              <w:rPr>
                <w:rFonts w:ascii="Avenir LT 45 Book" w:eastAsia="Calibri" w:hAnsi="Avenir LT 45 Book" w:cs="Times New Roman"/>
                <w:sz w:val="20"/>
              </w:rPr>
              <w:t xml:space="preserve">The location of incidental development is not practicable behind the building </w:t>
            </w:r>
            <w:proofErr w:type="gramStart"/>
            <w:r w:rsidRPr="002F6B25">
              <w:rPr>
                <w:rFonts w:ascii="Avenir LT 45 Book" w:eastAsia="Calibri" w:hAnsi="Avenir LT 45 Book" w:cs="Times New Roman"/>
                <w:sz w:val="20"/>
              </w:rPr>
              <w:t>line;</w:t>
            </w:r>
            <w:proofErr w:type="gramEnd"/>
          </w:p>
          <w:p w14:paraId="50622FC9" w14:textId="77777777" w:rsidR="00B46EF1" w:rsidRPr="002F6B25" w:rsidRDefault="00B46EF1" w:rsidP="002A3889">
            <w:pPr>
              <w:pStyle w:val="ListParagraph"/>
              <w:numPr>
                <w:ilvl w:val="0"/>
                <w:numId w:val="113"/>
              </w:numPr>
              <w:spacing w:after="80" w:line="360" w:lineRule="auto"/>
              <w:contextualSpacing w:val="0"/>
              <w:rPr>
                <w:rFonts w:ascii="Avenir LT 45 Book" w:eastAsia="Calibri" w:hAnsi="Avenir LT 45 Book" w:cs="Times New Roman"/>
                <w:sz w:val="20"/>
              </w:rPr>
            </w:pPr>
            <w:r w:rsidRPr="002F6B25">
              <w:rPr>
                <w:rFonts w:ascii="Avenir LT 45 Book" w:eastAsia="Calibri" w:hAnsi="Avenir LT 45 Book" w:cs="Times New Roman"/>
                <w:sz w:val="20"/>
              </w:rPr>
              <w:t xml:space="preserve">The height, scale and colour of the structure is compatible with the </w:t>
            </w:r>
            <w:proofErr w:type="gramStart"/>
            <w:r w:rsidRPr="002F6B25">
              <w:rPr>
                <w:rFonts w:ascii="Avenir LT 45 Book" w:eastAsia="Calibri" w:hAnsi="Avenir LT 45 Book" w:cs="Times New Roman"/>
                <w:sz w:val="20"/>
              </w:rPr>
              <w:t>building;</w:t>
            </w:r>
            <w:proofErr w:type="gramEnd"/>
          </w:p>
          <w:p w14:paraId="61D01419" w14:textId="77777777" w:rsidR="00B46EF1" w:rsidRPr="002F6B25" w:rsidRDefault="00B46EF1" w:rsidP="002A3889">
            <w:pPr>
              <w:pStyle w:val="ListParagraph"/>
              <w:numPr>
                <w:ilvl w:val="0"/>
                <w:numId w:val="113"/>
              </w:numPr>
              <w:spacing w:after="80" w:line="360" w:lineRule="auto"/>
              <w:contextualSpacing w:val="0"/>
              <w:rPr>
                <w:rFonts w:ascii="Avenir LT 45 Book" w:eastAsia="Calibri" w:hAnsi="Avenir LT 45 Book" w:cs="Times New Roman"/>
                <w:sz w:val="20"/>
              </w:rPr>
            </w:pPr>
            <w:r w:rsidRPr="002F6B25">
              <w:rPr>
                <w:rFonts w:ascii="Avenir LT 45 Book" w:eastAsia="Calibri" w:hAnsi="Avenir LT 45 Book" w:cs="Times New Roman"/>
                <w:sz w:val="20"/>
              </w:rPr>
              <w:t>The structure does not limit sight lines between premises and the road reserve; and,</w:t>
            </w:r>
          </w:p>
          <w:p w14:paraId="069FFA5F" w14:textId="77777777" w:rsidR="00B46EF1" w:rsidRDefault="00B46EF1" w:rsidP="002A3889">
            <w:pPr>
              <w:pStyle w:val="ListParagraph"/>
              <w:numPr>
                <w:ilvl w:val="0"/>
                <w:numId w:val="113"/>
              </w:numPr>
              <w:spacing w:after="80" w:line="360" w:lineRule="auto"/>
              <w:contextualSpacing w:val="0"/>
              <w:rPr>
                <w:rFonts w:eastAsia="Times New Roman"/>
                <w:szCs w:val="20"/>
              </w:rPr>
            </w:pPr>
            <w:r w:rsidRPr="002F6B25">
              <w:rPr>
                <w:rFonts w:ascii="Avenir LT 45 Book" w:eastAsia="Calibri" w:hAnsi="Avenir LT 45 Book" w:cs="Times New Roman"/>
                <w:sz w:val="20"/>
              </w:rPr>
              <w:t>The structure does not dominate the original building as viewed from the street</w:t>
            </w:r>
            <w:r w:rsidRPr="00801DC7">
              <w:t>.</w:t>
            </w:r>
          </w:p>
        </w:tc>
      </w:tr>
      <w:tr w:rsidR="00B46EF1" w:rsidRPr="00842387" w14:paraId="3B253F63" w14:textId="77777777" w:rsidTr="002F6B25">
        <w:tc>
          <w:tcPr>
            <w:tcW w:w="4111" w:type="dxa"/>
          </w:tcPr>
          <w:p w14:paraId="499FCD33" w14:textId="77777777" w:rsidR="00B46EF1" w:rsidRDefault="00B46EF1" w:rsidP="002A3889">
            <w:pPr>
              <w:pStyle w:val="ListParagraph"/>
              <w:numPr>
                <w:ilvl w:val="0"/>
                <w:numId w:val="107"/>
              </w:numPr>
              <w:spacing w:line="360" w:lineRule="auto"/>
              <w:ind w:left="567" w:hanging="505"/>
              <w:contextualSpacing w:val="0"/>
              <w:rPr>
                <w:rFonts w:eastAsia="Times New Roman"/>
                <w:szCs w:val="24"/>
              </w:rPr>
            </w:pPr>
            <w:r w:rsidRPr="002F6B25">
              <w:rPr>
                <w:rFonts w:ascii="Avenir LT 45 Book" w:eastAsia="Calibri" w:hAnsi="Avenir LT 45 Book" w:cs="Times New Roman"/>
                <w:sz w:val="20"/>
              </w:rPr>
              <w:t>Incidental developments are not to project above the ridge line of the building except for TV antennae.</w:t>
            </w:r>
          </w:p>
        </w:tc>
        <w:tc>
          <w:tcPr>
            <w:tcW w:w="4915" w:type="dxa"/>
          </w:tcPr>
          <w:p w14:paraId="12900BE6" w14:textId="77777777" w:rsidR="00B46EF1" w:rsidRDefault="00B46EF1" w:rsidP="002A3889">
            <w:pPr>
              <w:pStyle w:val="ListParagraph"/>
              <w:numPr>
                <w:ilvl w:val="0"/>
                <w:numId w:val="114"/>
              </w:numPr>
              <w:spacing w:line="360" w:lineRule="auto"/>
              <w:ind w:left="624" w:hanging="567"/>
              <w:contextualSpacing w:val="0"/>
              <w:rPr>
                <w:rFonts w:eastAsia="Times New Roman"/>
                <w:szCs w:val="20"/>
              </w:rPr>
            </w:pPr>
            <w:r w:rsidRPr="009F458E">
              <w:rPr>
                <w:rFonts w:ascii="Avenir LT 45 Book" w:eastAsia="Calibri" w:hAnsi="Avenir LT 45 Book" w:cs="Times New Roman"/>
                <w:sz w:val="20"/>
                <w:szCs w:val="20"/>
              </w:rPr>
              <w:t>Incidental developments are to be erected on the back facade and not project above the ridge line.</w:t>
            </w:r>
          </w:p>
        </w:tc>
      </w:tr>
      <w:tr w:rsidR="00B46EF1" w:rsidRPr="00842387" w14:paraId="374A978C" w14:textId="77777777" w:rsidTr="002F6B25">
        <w:tc>
          <w:tcPr>
            <w:tcW w:w="4111" w:type="dxa"/>
          </w:tcPr>
          <w:p w14:paraId="1EFD81B9" w14:textId="77777777" w:rsidR="00B46EF1" w:rsidRDefault="00B46EF1" w:rsidP="002A3889">
            <w:pPr>
              <w:pStyle w:val="ListParagraph"/>
              <w:numPr>
                <w:ilvl w:val="0"/>
                <w:numId w:val="107"/>
              </w:numPr>
              <w:spacing w:line="360" w:lineRule="auto"/>
              <w:ind w:left="567" w:hanging="505"/>
              <w:contextualSpacing w:val="0"/>
              <w:rPr>
                <w:rFonts w:eastAsia="Times New Roman"/>
                <w:szCs w:val="24"/>
              </w:rPr>
            </w:pPr>
            <w:r w:rsidRPr="002F6B25">
              <w:rPr>
                <w:rFonts w:ascii="Avenir LT 45 Book" w:eastAsia="Calibri" w:hAnsi="Avenir LT 45 Book" w:cs="Times New Roman"/>
                <w:sz w:val="20"/>
              </w:rPr>
              <w:t xml:space="preserve">The historic fabric of a building should not be unnecessarily disturbed or destroyed, in line with minimum intervention and reversibility principles.  For </w:t>
            </w:r>
            <w:proofErr w:type="gramStart"/>
            <w:r w:rsidRPr="002F6B25">
              <w:rPr>
                <w:rFonts w:ascii="Avenir LT 45 Book" w:eastAsia="Calibri" w:hAnsi="Avenir LT 45 Book" w:cs="Times New Roman"/>
                <w:sz w:val="20"/>
              </w:rPr>
              <w:t>example</w:t>
            </w:r>
            <w:proofErr w:type="gramEnd"/>
            <w:r w:rsidRPr="002F6B25">
              <w:rPr>
                <w:rFonts w:ascii="Avenir LT 45 Book" w:eastAsia="Calibri" w:hAnsi="Avenir LT 45 Book" w:cs="Times New Roman"/>
                <w:sz w:val="20"/>
              </w:rPr>
              <w:t xml:space="preserve"> when a system is removed the building should be able to be fully restored.  All incidental developments are incorporated into</w:t>
            </w:r>
            <w:r w:rsidRPr="00842387">
              <w:t xml:space="preserve"> </w:t>
            </w:r>
            <w:r w:rsidRPr="002F6B25">
              <w:rPr>
                <w:rFonts w:ascii="Avenir LT 45 Book" w:eastAsia="Calibri" w:hAnsi="Avenir LT 45 Book" w:cs="Times New Roman"/>
                <w:sz w:val="20"/>
              </w:rPr>
              <w:t>the overall landscaping of the development and are screened from view from adjoining properties and streets.</w:t>
            </w:r>
          </w:p>
        </w:tc>
        <w:tc>
          <w:tcPr>
            <w:tcW w:w="4915" w:type="dxa"/>
          </w:tcPr>
          <w:p w14:paraId="7E6657FE" w14:textId="77777777" w:rsidR="00B46EF1" w:rsidRDefault="00B46EF1" w:rsidP="002A3889">
            <w:pPr>
              <w:pStyle w:val="ListParagraph"/>
              <w:numPr>
                <w:ilvl w:val="0"/>
                <w:numId w:val="114"/>
              </w:numPr>
              <w:spacing w:line="360" w:lineRule="auto"/>
              <w:ind w:left="624" w:hanging="567"/>
              <w:contextualSpacing w:val="0"/>
              <w:rPr>
                <w:rFonts w:eastAsia="Times New Roman"/>
                <w:szCs w:val="20"/>
              </w:rPr>
            </w:pPr>
            <w:r w:rsidRPr="002F6B25">
              <w:rPr>
                <w:rFonts w:ascii="Avenir LT 45 Book" w:eastAsia="Calibri" w:hAnsi="Avenir LT 45 Book" w:cs="Times New Roman"/>
                <w:sz w:val="20"/>
                <w:szCs w:val="20"/>
              </w:rPr>
              <w:t>Relevant drawings illustrating the proposed incidental developments to be provided.  This is to include a site plan, plan(s) and elevation(s) as required.</w:t>
            </w:r>
          </w:p>
        </w:tc>
      </w:tr>
      <w:tr w:rsidR="00B46EF1" w:rsidRPr="00842387" w14:paraId="4F22F8F0" w14:textId="77777777" w:rsidTr="002E2944">
        <w:tc>
          <w:tcPr>
            <w:tcW w:w="4111" w:type="dxa"/>
          </w:tcPr>
          <w:p w14:paraId="43A49B78" w14:textId="77777777" w:rsidR="00B46EF1" w:rsidRDefault="00B46EF1" w:rsidP="002A3889">
            <w:pPr>
              <w:pStyle w:val="ListParagraph"/>
              <w:numPr>
                <w:ilvl w:val="0"/>
                <w:numId w:val="107"/>
              </w:numPr>
              <w:spacing w:line="360" w:lineRule="auto"/>
              <w:ind w:left="567" w:hanging="505"/>
              <w:contextualSpacing w:val="0"/>
              <w:rPr>
                <w:rFonts w:eastAsia="Times New Roman"/>
                <w:szCs w:val="24"/>
              </w:rPr>
            </w:pPr>
            <w:r w:rsidRPr="002F6B25">
              <w:rPr>
                <w:rFonts w:ascii="Avenir LT 45 Book" w:eastAsia="Calibri" w:hAnsi="Avenir LT 45 Book" w:cs="Times New Roman"/>
                <w:sz w:val="20"/>
              </w:rPr>
              <w:t>All incidental elements are to be designed and constructed in accordance with the provisions of the Residential Design Codes.</w:t>
            </w:r>
          </w:p>
        </w:tc>
        <w:tc>
          <w:tcPr>
            <w:tcW w:w="4915" w:type="dxa"/>
          </w:tcPr>
          <w:p w14:paraId="1CED1A9F" w14:textId="77777777" w:rsidR="00B46EF1" w:rsidRDefault="00B46EF1" w:rsidP="002A3889">
            <w:pPr>
              <w:pStyle w:val="ListParagraph"/>
              <w:numPr>
                <w:ilvl w:val="0"/>
                <w:numId w:val="114"/>
              </w:numPr>
              <w:spacing w:line="360" w:lineRule="auto"/>
              <w:ind w:left="624" w:hanging="567"/>
              <w:contextualSpacing w:val="0"/>
              <w:rPr>
                <w:rFonts w:eastAsia="Times New Roman"/>
                <w:szCs w:val="20"/>
              </w:rPr>
            </w:pPr>
            <w:r w:rsidRPr="002F6B25">
              <w:rPr>
                <w:rFonts w:ascii="Avenir LT 45 Book" w:eastAsia="Calibri" w:hAnsi="Avenir LT 45 Book" w:cs="Times New Roman"/>
                <w:sz w:val="20"/>
                <w:szCs w:val="20"/>
              </w:rPr>
              <w:t>Relevant information illustrating performance against relevant R-Code design elements to be provided.</w:t>
            </w:r>
          </w:p>
        </w:tc>
      </w:tr>
      <w:tr w:rsidR="00B46EF1" w:rsidRPr="00842387" w14:paraId="70A980FA" w14:textId="77777777" w:rsidTr="002E2944">
        <w:tc>
          <w:tcPr>
            <w:tcW w:w="4111" w:type="dxa"/>
          </w:tcPr>
          <w:p w14:paraId="0BB4EB5A" w14:textId="77777777" w:rsidR="00B46EF1" w:rsidRDefault="00B46EF1" w:rsidP="002A3889">
            <w:pPr>
              <w:pStyle w:val="ListParagraph"/>
              <w:numPr>
                <w:ilvl w:val="0"/>
                <w:numId w:val="107"/>
              </w:numPr>
              <w:spacing w:line="360" w:lineRule="auto"/>
              <w:ind w:left="567" w:hanging="505"/>
              <w:contextualSpacing w:val="0"/>
              <w:rPr>
                <w:rFonts w:eastAsia="Times New Roman"/>
                <w:szCs w:val="24"/>
              </w:rPr>
            </w:pPr>
            <w:r w:rsidRPr="002F6B25">
              <w:rPr>
                <w:rFonts w:ascii="Avenir LT 45 Book" w:eastAsia="Calibri" w:hAnsi="Avenir LT 45 Book" w:cs="Times New Roman"/>
                <w:sz w:val="20"/>
              </w:rPr>
              <w:t>Incidental developments should not display any form of advertising if visible from street level.</w:t>
            </w:r>
          </w:p>
        </w:tc>
        <w:tc>
          <w:tcPr>
            <w:tcW w:w="4915" w:type="dxa"/>
          </w:tcPr>
          <w:p w14:paraId="36B59F35" w14:textId="77777777" w:rsidR="00B46EF1" w:rsidRDefault="00B46EF1" w:rsidP="002A3889">
            <w:pPr>
              <w:pStyle w:val="ListParagraph"/>
              <w:numPr>
                <w:ilvl w:val="0"/>
                <w:numId w:val="114"/>
              </w:numPr>
              <w:spacing w:line="360" w:lineRule="auto"/>
              <w:ind w:left="624" w:hanging="567"/>
              <w:contextualSpacing w:val="0"/>
              <w:rPr>
                <w:rFonts w:eastAsia="Times New Roman"/>
                <w:szCs w:val="24"/>
              </w:rPr>
            </w:pPr>
            <w:r w:rsidRPr="002F6B25">
              <w:rPr>
                <w:rFonts w:ascii="Avenir LT 45 Book" w:eastAsia="Calibri" w:hAnsi="Avenir LT 45 Book" w:cs="Times New Roman"/>
                <w:sz w:val="20"/>
              </w:rPr>
              <w:t>Discrete product brand names are acceptable.</w:t>
            </w:r>
          </w:p>
        </w:tc>
      </w:tr>
    </w:tbl>
    <w:p w14:paraId="31C5F706" w14:textId="77777777" w:rsidR="00B46EF1" w:rsidRDefault="00B46EF1" w:rsidP="00B46EF1">
      <w:pPr>
        <w:spacing w:after="0"/>
        <w:rPr>
          <w:rFonts w:ascii="Avenir LT 65 Medium" w:eastAsia="Times New Roman" w:hAnsi="Avenir LT 65 Medium" w:cs="Times New Roman"/>
          <w:bCs/>
          <w:color w:val="000000"/>
          <w:szCs w:val="24"/>
        </w:rPr>
      </w:pPr>
      <w:bookmarkStart w:id="464" w:name="_Toc314478165"/>
      <w:bookmarkStart w:id="465" w:name="_Toc314478170"/>
      <w:bookmarkEnd w:id="464"/>
      <w:bookmarkEnd w:id="465"/>
    </w:p>
    <w:p w14:paraId="12A272EE" w14:textId="77777777" w:rsidR="00B46EF1" w:rsidRPr="002F6B25" w:rsidRDefault="002F6B25" w:rsidP="002F6B25">
      <w:pPr>
        <w:pStyle w:val="Heading4"/>
        <w:spacing w:before="120" w:after="200" w:line="360" w:lineRule="auto"/>
        <w:ind w:left="1418" w:hanging="1418"/>
        <w:rPr>
          <w:rFonts w:ascii="Avenir LT 65 Medium" w:hAnsi="Avenir LT 65 Medium"/>
          <w:bCs/>
          <w:i w:val="0"/>
          <w:color w:val="auto"/>
        </w:rPr>
      </w:pPr>
      <w:bookmarkStart w:id="466" w:name="_Toc452727447"/>
      <w:r>
        <w:rPr>
          <w:rFonts w:ascii="Avenir LT 65 Medium" w:hAnsi="Avenir LT 65 Medium"/>
          <w:bCs/>
          <w:i w:val="0"/>
          <w:color w:val="auto"/>
        </w:rPr>
        <w:lastRenderedPageBreak/>
        <w:t>3.7.14</w:t>
      </w:r>
      <w:r>
        <w:rPr>
          <w:rFonts w:ascii="Avenir LT 65 Medium" w:hAnsi="Avenir LT 65 Medium"/>
          <w:bCs/>
          <w:i w:val="0"/>
          <w:color w:val="auto"/>
        </w:rPr>
        <w:tab/>
      </w:r>
      <w:r w:rsidR="00B46EF1" w:rsidRPr="002F6B25">
        <w:rPr>
          <w:rFonts w:ascii="Avenir LT 65 Medium" w:hAnsi="Avenir LT 65 Medium"/>
          <w:bCs/>
          <w:i w:val="0"/>
          <w:color w:val="auto"/>
        </w:rPr>
        <w:t>Footpaths and Crossovers</w:t>
      </w:r>
      <w:bookmarkEnd w:id="466"/>
    </w:p>
    <w:p w14:paraId="7D1FCE74" w14:textId="77777777" w:rsidR="00B46EF1" w:rsidRPr="002F6B25" w:rsidRDefault="002F6B25" w:rsidP="002F6B25">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3.7.14.1</w:t>
      </w:r>
      <w:r>
        <w:rPr>
          <w:rFonts w:ascii="Avenir LT 65 Medium" w:hAnsi="Avenir LT 65 Medium"/>
          <w:bCs/>
          <w:i w:val="0"/>
          <w:color w:val="auto"/>
        </w:rPr>
        <w:tab/>
      </w:r>
      <w:r w:rsidR="00B46EF1" w:rsidRPr="002F6B25">
        <w:rPr>
          <w:rFonts w:ascii="Avenir LT 65 Medium" w:hAnsi="Avenir LT 65 Medium"/>
          <w:bCs/>
          <w:i w:val="0"/>
          <w:color w:val="auto"/>
        </w:rPr>
        <w:t>Statement</w:t>
      </w:r>
    </w:p>
    <w:p w14:paraId="4840289C" w14:textId="77777777" w:rsidR="00B46EF1" w:rsidRPr="00BE12E0" w:rsidRDefault="00B46EF1" w:rsidP="00B46EF1">
      <w:pPr>
        <w:rPr>
          <w:i/>
        </w:rPr>
      </w:pPr>
      <w:r w:rsidRPr="002F6B25">
        <w:rPr>
          <w:rFonts w:ascii="Avenir LT 45 Book" w:eastAsia="Calibri" w:hAnsi="Avenir LT 45 Book"/>
          <w:i/>
          <w:sz w:val="20"/>
        </w:rPr>
        <w:t xml:space="preserve">The streetscapes in the Policy Area predominantly feature single houses on single lots with a single crossover.  Crossovers are predominantly </w:t>
      </w:r>
      <w:proofErr w:type="gramStart"/>
      <w:r w:rsidRPr="002F6B25">
        <w:rPr>
          <w:rFonts w:ascii="Avenir LT 45 Book" w:eastAsia="Calibri" w:hAnsi="Avenir LT 45 Book"/>
          <w:i/>
          <w:sz w:val="20"/>
        </w:rPr>
        <w:t>asphalt</w:t>
      </w:r>
      <w:proofErr w:type="gramEnd"/>
      <w:r w:rsidRPr="002F6B25">
        <w:rPr>
          <w:rFonts w:ascii="Avenir LT 45 Book" w:eastAsia="Calibri" w:hAnsi="Avenir LT 45 Book"/>
          <w:i/>
          <w:sz w:val="20"/>
        </w:rPr>
        <w:t xml:space="preserve"> bitumen.  Footpaths are evident in streetscapes and are generally of concrete or laterite finish</w:t>
      </w:r>
      <w:r w:rsidRPr="00BE12E0">
        <w:rPr>
          <w:i/>
        </w:rPr>
        <w:t>.</w:t>
      </w:r>
    </w:p>
    <w:p w14:paraId="6062B4DF" w14:textId="77777777" w:rsidR="00B46EF1" w:rsidRPr="00842387" w:rsidRDefault="00B46EF1" w:rsidP="00B46EF1">
      <w:r>
        <w:rPr>
          <w:noProof/>
          <w:lang w:eastAsia="en-AU"/>
        </w:rPr>
        <w:drawing>
          <wp:inline distT="0" distB="0" distL="0" distR="0" wp14:anchorId="0C9D33B4" wp14:editId="05D52DF3">
            <wp:extent cx="2524125" cy="1885950"/>
            <wp:effectExtent l="19050" t="0" r="9525" b="0"/>
            <wp:docPr id="153" name="Picture 7" descr="Z:\2011 JOBS\11206-EAST FREMANTLE GUIDELINES\11206-PHOTOS\PROCESSED\GOOD FENCE EXAMPLES\32 ALLEN 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2011 JOBS\11206-EAST FREMANTLE GUIDELINES\11206-PHOTOS\PROCESSED\GOOD FENCE EXAMPLES\32 ALLEN ST (1).jpg"/>
                    <pic:cNvPicPr>
                      <a:picLocks noChangeAspect="1" noChangeArrowheads="1"/>
                    </pic:cNvPicPr>
                  </pic:nvPicPr>
                  <pic:blipFill>
                    <a:blip r:embed="rId209"/>
                    <a:srcRect/>
                    <a:stretch>
                      <a:fillRect/>
                    </a:stretch>
                  </pic:blipFill>
                  <pic:spPr bwMode="auto">
                    <a:xfrm>
                      <a:off x="0" y="0"/>
                      <a:ext cx="2524125" cy="1885950"/>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5E508789" wp14:editId="526C7ED1">
            <wp:extent cx="2644321" cy="1885950"/>
            <wp:effectExtent l="19050" t="0" r="3629" b="0"/>
            <wp:docPr id="154" name="Picture 8" descr="Z:\2011 JOBS\11206-EAST FREMANTLE GUIDELINES\11206-PHOTOS\PROCESSED\RICHMOND\ALCEST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2011 JOBS\11206-EAST FREMANTLE GUIDELINES\11206-PHOTOS\PROCESSED\RICHMOND\ALCESTER STREET.jpg"/>
                    <pic:cNvPicPr>
                      <a:picLocks noChangeAspect="1" noChangeArrowheads="1"/>
                    </pic:cNvPicPr>
                  </pic:nvPicPr>
                  <pic:blipFill>
                    <a:blip r:embed="rId210"/>
                    <a:srcRect/>
                    <a:stretch>
                      <a:fillRect/>
                    </a:stretch>
                  </pic:blipFill>
                  <pic:spPr bwMode="auto">
                    <a:xfrm>
                      <a:off x="0" y="0"/>
                      <a:ext cx="2644321" cy="1885950"/>
                    </a:xfrm>
                    <a:prstGeom prst="rect">
                      <a:avLst/>
                    </a:prstGeom>
                    <a:noFill/>
                    <a:ln w="9525">
                      <a:noFill/>
                      <a:miter lim="800000"/>
                      <a:headEnd/>
                      <a:tailEnd/>
                    </a:ln>
                  </pic:spPr>
                </pic:pic>
              </a:graphicData>
            </a:graphic>
          </wp:inline>
        </w:drawing>
      </w:r>
    </w:p>
    <w:p w14:paraId="45C1C4CD" w14:textId="77777777" w:rsidR="00B46EF1" w:rsidRPr="002F6B25" w:rsidRDefault="00597090" w:rsidP="00597090">
      <w:pPr>
        <w:pStyle w:val="Heading4"/>
        <w:spacing w:before="120" w:after="160" w:line="360" w:lineRule="auto"/>
        <w:ind w:left="1418" w:hanging="1560"/>
        <w:rPr>
          <w:rFonts w:ascii="Avenir LT 65 Medium" w:hAnsi="Avenir LT 65 Medium"/>
          <w:bCs/>
          <w:i w:val="0"/>
          <w:color w:val="auto"/>
        </w:rPr>
      </w:pPr>
      <w:r>
        <w:rPr>
          <w:rFonts w:ascii="Avenir LT 65 Medium" w:hAnsi="Avenir LT 65 Medium"/>
          <w:bCs/>
          <w:i w:val="0"/>
          <w:color w:val="auto"/>
        </w:rPr>
        <w:t>3.7.14.2</w:t>
      </w:r>
      <w:r>
        <w:rPr>
          <w:rFonts w:ascii="Avenir LT 65 Medium" w:hAnsi="Avenir LT 65 Medium"/>
          <w:bCs/>
          <w:i w:val="0"/>
          <w:color w:val="auto"/>
        </w:rPr>
        <w:tab/>
      </w:r>
      <w:r w:rsidR="00B46EF1" w:rsidRPr="002F6B25">
        <w:rPr>
          <w:rFonts w:ascii="Avenir LT 65 Medium" w:hAnsi="Avenir LT 65 Medium"/>
          <w:bCs/>
          <w:i w:val="0"/>
          <w:color w:val="auto"/>
        </w:rPr>
        <w:t>Desired Outcomes</w:t>
      </w:r>
    </w:p>
    <w:p w14:paraId="35A7B4A1" w14:textId="77777777" w:rsidR="00B46EF1" w:rsidRPr="002F6B25" w:rsidRDefault="00B46EF1" w:rsidP="002A3889">
      <w:pPr>
        <w:pStyle w:val="ListParagraph"/>
        <w:numPr>
          <w:ilvl w:val="0"/>
          <w:numId w:val="99"/>
        </w:numPr>
        <w:spacing w:after="120" w:line="360" w:lineRule="auto"/>
        <w:ind w:left="714" w:hanging="357"/>
        <w:contextualSpacing w:val="0"/>
        <w:rPr>
          <w:rFonts w:ascii="Avenir LT 45 Book" w:eastAsia="Calibri" w:hAnsi="Avenir LT 45 Book" w:cs="Times New Roman"/>
          <w:sz w:val="20"/>
        </w:rPr>
      </w:pPr>
      <w:r w:rsidRPr="002F6B25">
        <w:rPr>
          <w:rFonts w:ascii="Avenir LT 45 Book" w:eastAsia="Calibri" w:hAnsi="Avenir LT 45 Book" w:cs="Times New Roman"/>
          <w:sz w:val="20"/>
        </w:rPr>
        <w:t xml:space="preserve">New footpaths and crossovers to match existing </w:t>
      </w:r>
      <w:proofErr w:type="gramStart"/>
      <w:r w:rsidRPr="002F6B25">
        <w:rPr>
          <w:rFonts w:ascii="Avenir LT 45 Book" w:eastAsia="Calibri" w:hAnsi="Avenir LT 45 Book" w:cs="Times New Roman"/>
          <w:sz w:val="20"/>
        </w:rPr>
        <w:t>streetscapes;</w:t>
      </w:r>
      <w:proofErr w:type="gramEnd"/>
    </w:p>
    <w:p w14:paraId="7DC95B40" w14:textId="77777777" w:rsidR="00B46EF1" w:rsidRPr="002F6B25" w:rsidRDefault="00B46EF1" w:rsidP="002A3889">
      <w:pPr>
        <w:pStyle w:val="ListParagraph"/>
        <w:numPr>
          <w:ilvl w:val="0"/>
          <w:numId w:val="99"/>
        </w:numPr>
        <w:spacing w:after="120" w:line="360" w:lineRule="auto"/>
        <w:ind w:left="714" w:hanging="357"/>
        <w:contextualSpacing w:val="0"/>
        <w:rPr>
          <w:rFonts w:ascii="Avenir LT 45 Book" w:eastAsia="Calibri" w:hAnsi="Avenir LT 45 Book" w:cs="Times New Roman"/>
          <w:sz w:val="20"/>
        </w:rPr>
      </w:pPr>
      <w:r w:rsidRPr="002F6B25">
        <w:rPr>
          <w:rFonts w:ascii="Avenir LT 45 Book" w:eastAsia="Calibri" w:hAnsi="Avenir LT 45 Book" w:cs="Times New Roman"/>
          <w:sz w:val="20"/>
        </w:rPr>
        <w:t xml:space="preserve">Maintenance of existing footpaths and </w:t>
      </w:r>
      <w:proofErr w:type="gramStart"/>
      <w:r w:rsidRPr="002F6B25">
        <w:rPr>
          <w:rFonts w:ascii="Avenir LT 45 Book" w:eastAsia="Calibri" w:hAnsi="Avenir LT 45 Book" w:cs="Times New Roman"/>
          <w:sz w:val="20"/>
        </w:rPr>
        <w:t>crossovers;</w:t>
      </w:r>
      <w:proofErr w:type="gramEnd"/>
    </w:p>
    <w:p w14:paraId="30BEB37E" w14:textId="77777777" w:rsidR="00B46EF1" w:rsidRPr="002F6B25" w:rsidRDefault="00B46EF1" w:rsidP="002A3889">
      <w:pPr>
        <w:pStyle w:val="ListParagraph"/>
        <w:numPr>
          <w:ilvl w:val="0"/>
          <w:numId w:val="99"/>
        </w:numPr>
        <w:spacing w:after="120" w:line="360" w:lineRule="auto"/>
        <w:ind w:left="714" w:hanging="357"/>
        <w:contextualSpacing w:val="0"/>
        <w:rPr>
          <w:rFonts w:ascii="Avenir LT 45 Book" w:eastAsia="Calibri" w:hAnsi="Avenir LT 45 Book" w:cs="Times New Roman"/>
          <w:sz w:val="20"/>
        </w:rPr>
      </w:pPr>
      <w:r w:rsidRPr="002F6B25">
        <w:rPr>
          <w:rFonts w:ascii="Avenir LT 45 Book" w:eastAsia="Calibri" w:hAnsi="Avenir LT 45 Book" w:cs="Times New Roman"/>
          <w:sz w:val="20"/>
        </w:rPr>
        <w:t>Maximum of one crossover per lot or subdivided lot; and,</w:t>
      </w:r>
    </w:p>
    <w:p w14:paraId="1EF8AB63" w14:textId="77777777" w:rsidR="00B46EF1" w:rsidRPr="002F6B25" w:rsidRDefault="00B46EF1" w:rsidP="002A3889">
      <w:pPr>
        <w:pStyle w:val="ListParagraph"/>
        <w:numPr>
          <w:ilvl w:val="0"/>
          <w:numId w:val="99"/>
        </w:numPr>
        <w:spacing w:after="120" w:line="360" w:lineRule="auto"/>
        <w:ind w:left="714" w:hanging="357"/>
        <w:contextualSpacing w:val="0"/>
        <w:rPr>
          <w:rFonts w:ascii="Avenir LT 45 Book" w:eastAsia="Calibri" w:hAnsi="Avenir LT 45 Book" w:cs="Times New Roman"/>
          <w:sz w:val="20"/>
        </w:rPr>
      </w:pPr>
      <w:r w:rsidRPr="002F6B25">
        <w:rPr>
          <w:rFonts w:ascii="Avenir LT 45 Book" w:eastAsia="Calibri" w:hAnsi="Avenir LT 45 Book" w:cs="Times New Roman"/>
          <w:sz w:val="20"/>
        </w:rPr>
        <w:t>Street trees to be conserved or replaced where a new crossover requires their removal.</w:t>
      </w:r>
    </w:p>
    <w:p w14:paraId="44D3BACC" w14:textId="77777777" w:rsidR="00B46EF1" w:rsidRPr="00597090" w:rsidRDefault="00597090" w:rsidP="00597090">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3.7.14.3</w:t>
      </w:r>
      <w:r>
        <w:rPr>
          <w:rFonts w:ascii="Avenir LT 65 Medium" w:hAnsi="Avenir LT 65 Medium"/>
          <w:bCs/>
          <w:i w:val="0"/>
          <w:color w:val="auto"/>
        </w:rPr>
        <w:tab/>
      </w:r>
      <w:r w:rsidR="00B46EF1" w:rsidRPr="00597090">
        <w:rPr>
          <w:rFonts w:ascii="Avenir LT 65 Medium" w:hAnsi="Avenir LT 65 Medium"/>
          <w:bCs/>
          <w:i w:val="0"/>
          <w:color w:val="auto"/>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03"/>
        <w:gridCol w:w="8"/>
        <w:gridCol w:w="4515"/>
      </w:tblGrid>
      <w:tr w:rsidR="00B46EF1" w:rsidRPr="00842387" w14:paraId="53138F7C" w14:textId="77777777" w:rsidTr="002E2944">
        <w:tc>
          <w:tcPr>
            <w:tcW w:w="4511" w:type="dxa"/>
            <w:gridSpan w:val="2"/>
            <w:tcBorders>
              <w:bottom w:val="single" w:sz="4" w:space="0" w:color="auto"/>
            </w:tcBorders>
          </w:tcPr>
          <w:p w14:paraId="09B2090B" w14:textId="77777777" w:rsidR="00B46EF1" w:rsidRDefault="00B46EF1" w:rsidP="008048CE">
            <w:pPr>
              <w:spacing w:after="120"/>
              <w:rPr>
                <w:rFonts w:ascii="Avenir LT 65 Medium" w:hAnsi="Avenir LT 65 Medium"/>
              </w:rPr>
            </w:pPr>
            <w:r w:rsidRPr="00842387">
              <w:rPr>
                <w:rFonts w:ascii="Avenir LT 65 Medium" w:hAnsi="Avenir LT 65 Medium"/>
              </w:rPr>
              <w:t>Performance Criteria</w:t>
            </w:r>
          </w:p>
        </w:tc>
        <w:tc>
          <w:tcPr>
            <w:tcW w:w="4515" w:type="dxa"/>
            <w:tcBorders>
              <w:bottom w:val="single" w:sz="4" w:space="0" w:color="auto"/>
            </w:tcBorders>
          </w:tcPr>
          <w:p w14:paraId="0E1191D0" w14:textId="77777777" w:rsidR="00B46EF1" w:rsidRDefault="00B46EF1" w:rsidP="008048CE">
            <w:pPr>
              <w:spacing w:after="120"/>
            </w:pPr>
            <w:r w:rsidRPr="00842387">
              <w:rPr>
                <w:rFonts w:ascii="Avenir LT 65 Medium" w:hAnsi="Avenir LT 65 Medium"/>
              </w:rPr>
              <w:t>Acceptable Development Provisions</w:t>
            </w:r>
          </w:p>
        </w:tc>
      </w:tr>
      <w:tr w:rsidR="00B46EF1" w:rsidRPr="00842387" w14:paraId="36EB3120" w14:textId="77777777" w:rsidTr="002E2944">
        <w:tc>
          <w:tcPr>
            <w:tcW w:w="4511" w:type="dxa"/>
            <w:gridSpan w:val="2"/>
            <w:tcBorders>
              <w:top w:val="single" w:sz="4" w:space="0" w:color="auto"/>
            </w:tcBorders>
          </w:tcPr>
          <w:p w14:paraId="3074675B" w14:textId="77777777" w:rsidR="00B46EF1" w:rsidRDefault="00B46EF1" w:rsidP="002A3889">
            <w:pPr>
              <w:pStyle w:val="ListParagraph"/>
              <w:numPr>
                <w:ilvl w:val="0"/>
                <w:numId w:val="100"/>
              </w:numPr>
              <w:spacing w:before="120" w:after="160" w:line="360" w:lineRule="auto"/>
              <w:ind w:left="567" w:hanging="504"/>
              <w:contextualSpacing w:val="0"/>
            </w:pPr>
            <w:r w:rsidRPr="00597090">
              <w:rPr>
                <w:rFonts w:ascii="Avenir LT 45 Book" w:eastAsia="Calibri" w:hAnsi="Avenir LT 45 Book" w:cs="Times New Roman"/>
                <w:sz w:val="20"/>
              </w:rPr>
              <w:t xml:space="preserve">Pedestrian </w:t>
            </w:r>
            <w:proofErr w:type="gramStart"/>
            <w:r w:rsidRPr="00597090">
              <w:rPr>
                <w:rFonts w:ascii="Avenir LT 45 Book" w:eastAsia="Calibri" w:hAnsi="Avenir LT 45 Book" w:cs="Times New Roman"/>
                <w:sz w:val="20"/>
              </w:rPr>
              <w:t>walk ways</w:t>
            </w:r>
            <w:proofErr w:type="gramEnd"/>
            <w:r w:rsidRPr="00597090">
              <w:rPr>
                <w:rFonts w:ascii="Avenir LT 45 Book" w:eastAsia="Calibri" w:hAnsi="Avenir LT 45 Book" w:cs="Times New Roman"/>
                <w:sz w:val="20"/>
              </w:rPr>
              <w:t xml:space="preserve"> will take priority over vehicular access.  Re-kerbing is to be done wherever footpaths are replaced.</w:t>
            </w:r>
          </w:p>
        </w:tc>
        <w:tc>
          <w:tcPr>
            <w:tcW w:w="4515" w:type="dxa"/>
            <w:tcBorders>
              <w:top w:val="single" w:sz="4" w:space="0" w:color="auto"/>
            </w:tcBorders>
          </w:tcPr>
          <w:p w14:paraId="7CADE9B1" w14:textId="77777777" w:rsidR="00B46EF1" w:rsidRDefault="00B46EF1" w:rsidP="002A3889">
            <w:pPr>
              <w:pStyle w:val="ListParagraph"/>
              <w:numPr>
                <w:ilvl w:val="0"/>
                <w:numId w:val="101"/>
              </w:numPr>
              <w:spacing w:before="120" w:after="120" w:line="360" w:lineRule="auto"/>
              <w:ind w:left="624" w:hanging="505"/>
              <w:contextualSpacing w:val="0"/>
            </w:pPr>
            <w:r w:rsidRPr="00597090">
              <w:rPr>
                <w:rFonts w:ascii="Avenir LT 45 Book" w:eastAsia="Calibri" w:hAnsi="Avenir LT 45 Book" w:cs="Times New Roman"/>
                <w:sz w:val="20"/>
              </w:rPr>
              <w:t>Crossovers to stop at footpaths and preserve footpath continuity and pedestrian priority.</w:t>
            </w:r>
          </w:p>
        </w:tc>
      </w:tr>
      <w:tr w:rsidR="00B46EF1" w:rsidRPr="00842387" w14:paraId="582A6644" w14:textId="77777777" w:rsidTr="002E2944">
        <w:tc>
          <w:tcPr>
            <w:tcW w:w="4503" w:type="dxa"/>
          </w:tcPr>
          <w:p w14:paraId="77C85BFC" w14:textId="77777777" w:rsidR="00B46EF1" w:rsidRDefault="00B46EF1" w:rsidP="002A3889">
            <w:pPr>
              <w:pStyle w:val="ListParagraph"/>
              <w:numPr>
                <w:ilvl w:val="0"/>
                <w:numId w:val="100"/>
              </w:numPr>
              <w:spacing w:line="360" w:lineRule="auto"/>
              <w:ind w:left="567" w:hanging="504"/>
              <w:contextualSpacing w:val="0"/>
            </w:pPr>
            <w:r w:rsidRPr="00597090">
              <w:rPr>
                <w:rFonts w:ascii="Avenir LT 45 Book" w:eastAsia="Calibri" w:hAnsi="Avenir LT 45 Book" w:cs="Times New Roman"/>
                <w:sz w:val="20"/>
              </w:rPr>
              <w:t>Footpaths and crossovers to match the existing relevant Precincts</w:t>
            </w:r>
            <w:r w:rsidRPr="00842387">
              <w:t xml:space="preserve">. </w:t>
            </w:r>
          </w:p>
        </w:tc>
        <w:tc>
          <w:tcPr>
            <w:tcW w:w="4523" w:type="dxa"/>
            <w:gridSpan w:val="2"/>
          </w:tcPr>
          <w:p w14:paraId="5C7DB7B3" w14:textId="77777777" w:rsidR="00B46EF1" w:rsidRPr="00597090" w:rsidRDefault="00B46EF1" w:rsidP="002A3889">
            <w:pPr>
              <w:pStyle w:val="ListParagraph"/>
              <w:numPr>
                <w:ilvl w:val="1"/>
                <w:numId w:val="102"/>
              </w:numPr>
              <w:spacing w:after="120" w:line="360" w:lineRule="auto"/>
              <w:ind w:left="766" w:hanging="647"/>
              <w:contextualSpacing w:val="0"/>
              <w:rPr>
                <w:rFonts w:ascii="Avenir LT 45 Book" w:eastAsia="Calibri" w:hAnsi="Avenir LT 45 Book" w:cs="Times New Roman"/>
                <w:sz w:val="20"/>
              </w:rPr>
            </w:pPr>
            <w:r w:rsidRPr="00597090">
              <w:rPr>
                <w:rFonts w:ascii="Avenir LT 45 Book" w:eastAsia="Calibri" w:hAnsi="Avenir LT 45 Book" w:cs="Times New Roman"/>
                <w:sz w:val="20"/>
              </w:rPr>
              <w:t>Footpaths to be between 1.2m and 2m wide. Footpaths are to have a clearly defined edge.</w:t>
            </w:r>
          </w:p>
          <w:p w14:paraId="5DFD3042" w14:textId="77777777" w:rsidR="00B46EF1" w:rsidRDefault="00B46EF1" w:rsidP="002A3889">
            <w:pPr>
              <w:pStyle w:val="ListParagraph"/>
              <w:widowControl w:val="0"/>
              <w:numPr>
                <w:ilvl w:val="1"/>
                <w:numId w:val="102"/>
              </w:numPr>
              <w:spacing w:after="120" w:line="360" w:lineRule="auto"/>
              <w:ind w:left="766" w:hanging="647"/>
              <w:contextualSpacing w:val="0"/>
            </w:pPr>
            <w:r w:rsidRPr="00597090">
              <w:rPr>
                <w:rFonts w:ascii="Avenir LT 45 Book" w:eastAsia="Calibri" w:hAnsi="Avenir LT 45 Book" w:cs="Times New Roman"/>
                <w:sz w:val="20"/>
              </w:rPr>
              <w:t>The following outlines the prescribed maximum crossover widths:</w:t>
            </w:r>
          </w:p>
          <w:p w14:paraId="553132D6" w14:textId="77777777" w:rsidR="00B46EF1" w:rsidRPr="00597090" w:rsidRDefault="00B46EF1" w:rsidP="002A3889">
            <w:pPr>
              <w:pStyle w:val="ListParagraph"/>
              <w:widowControl w:val="0"/>
              <w:numPr>
                <w:ilvl w:val="0"/>
                <w:numId w:val="271"/>
              </w:numPr>
              <w:spacing w:after="120" w:line="360" w:lineRule="auto"/>
              <w:ind w:hanging="314"/>
              <w:contextualSpacing w:val="0"/>
              <w:rPr>
                <w:rFonts w:ascii="Avenir LT 45 Book" w:eastAsia="Calibri" w:hAnsi="Avenir LT 45 Book" w:cs="Times New Roman"/>
                <w:sz w:val="20"/>
              </w:rPr>
            </w:pPr>
            <w:r w:rsidRPr="00597090">
              <w:rPr>
                <w:rFonts w:ascii="Avenir LT 45 Book" w:eastAsia="Calibri" w:hAnsi="Avenir LT 45 Book" w:cs="Times New Roman"/>
                <w:sz w:val="20"/>
              </w:rPr>
              <w:t>For lots 12 metres in width or less the maximum width is 3.0 metres; and</w:t>
            </w:r>
          </w:p>
          <w:p w14:paraId="5B7813EE" w14:textId="77777777" w:rsidR="00B46EF1" w:rsidRPr="00597090" w:rsidRDefault="00B46EF1" w:rsidP="002A3889">
            <w:pPr>
              <w:pStyle w:val="ListParagraph"/>
              <w:widowControl w:val="0"/>
              <w:numPr>
                <w:ilvl w:val="0"/>
                <w:numId w:val="271"/>
              </w:numPr>
              <w:spacing w:after="120" w:line="360" w:lineRule="auto"/>
              <w:ind w:hanging="314"/>
              <w:contextualSpacing w:val="0"/>
              <w:rPr>
                <w:rFonts w:ascii="Avenir LT 45 Book" w:eastAsia="Calibri" w:hAnsi="Avenir LT 45 Book" w:cs="Times New Roman"/>
                <w:sz w:val="20"/>
              </w:rPr>
            </w:pPr>
            <w:r w:rsidRPr="00597090">
              <w:rPr>
                <w:rFonts w:ascii="Avenir LT 45 Book" w:eastAsia="Calibri" w:hAnsi="Avenir LT 45 Book" w:cs="Times New Roman"/>
                <w:sz w:val="20"/>
              </w:rPr>
              <w:t>For lots 12 metres or more the maximum width is 30% of the lot frontage up to a maximum width of 5.0 metres.  No crossovers are to be constructed over the maximum width of 5.0 metres.</w:t>
            </w:r>
          </w:p>
          <w:p w14:paraId="28A189A6" w14:textId="77777777" w:rsidR="00B46EF1" w:rsidRDefault="00B46EF1" w:rsidP="002A3889">
            <w:pPr>
              <w:pStyle w:val="ListParagraph"/>
              <w:numPr>
                <w:ilvl w:val="1"/>
                <w:numId w:val="102"/>
              </w:numPr>
              <w:spacing w:line="360" w:lineRule="auto"/>
              <w:ind w:left="766" w:hanging="647"/>
              <w:contextualSpacing w:val="0"/>
            </w:pPr>
            <w:r w:rsidRPr="00EC67FC">
              <w:rPr>
                <w:rFonts w:ascii="Avenir LT 45 Book" w:eastAsia="Calibri" w:hAnsi="Avenir LT 45 Book" w:cs="Times New Roman"/>
                <w:sz w:val="20"/>
              </w:rPr>
              <w:lastRenderedPageBreak/>
              <w:t>All crossover materials will be at the discretion of the Chief Executive Officer.  Crossovers are to be constructed as per Council’s Crossover Specification requirements.</w:t>
            </w:r>
          </w:p>
        </w:tc>
      </w:tr>
      <w:tr w:rsidR="00B46EF1" w:rsidRPr="00EC67FC" w14:paraId="02DD9C15" w14:textId="77777777" w:rsidTr="002E2944">
        <w:tc>
          <w:tcPr>
            <w:tcW w:w="4503" w:type="dxa"/>
          </w:tcPr>
          <w:p w14:paraId="6DA22B0C" w14:textId="77777777" w:rsidR="00B46EF1" w:rsidRPr="00EC67FC" w:rsidRDefault="00B46EF1" w:rsidP="002A3889">
            <w:pPr>
              <w:pStyle w:val="ListParagraph"/>
              <w:numPr>
                <w:ilvl w:val="0"/>
                <w:numId w:val="100"/>
              </w:numPr>
              <w:spacing w:line="360" w:lineRule="auto"/>
              <w:ind w:left="567" w:hanging="504"/>
              <w:contextualSpacing w:val="0"/>
              <w:rPr>
                <w:rFonts w:ascii="Avenir LT 45 Book" w:eastAsia="Calibri" w:hAnsi="Avenir LT 45 Book" w:cs="Times New Roman"/>
                <w:sz w:val="20"/>
              </w:rPr>
            </w:pPr>
            <w:r w:rsidRPr="00EC67FC">
              <w:rPr>
                <w:rFonts w:ascii="Avenir LT 45 Book" w:eastAsia="Calibri" w:hAnsi="Avenir LT 45 Book" w:cs="Times New Roman"/>
                <w:sz w:val="20"/>
              </w:rPr>
              <w:lastRenderedPageBreak/>
              <w:t>All crossovers, ramps and footpaths to the requirement of Australian Standards.</w:t>
            </w:r>
          </w:p>
        </w:tc>
        <w:tc>
          <w:tcPr>
            <w:tcW w:w="4523" w:type="dxa"/>
            <w:gridSpan w:val="2"/>
          </w:tcPr>
          <w:p w14:paraId="015A5E3B" w14:textId="77777777" w:rsidR="00B46EF1" w:rsidRPr="00EC67FC" w:rsidRDefault="00B46EF1" w:rsidP="002A3889">
            <w:pPr>
              <w:pStyle w:val="ListParagraph"/>
              <w:numPr>
                <w:ilvl w:val="0"/>
                <w:numId w:val="103"/>
              </w:numPr>
              <w:spacing w:line="360" w:lineRule="auto"/>
              <w:ind w:left="766" w:hanging="647"/>
              <w:contextualSpacing w:val="0"/>
              <w:rPr>
                <w:rFonts w:ascii="Avenir LT 45 Book" w:eastAsia="Calibri" w:hAnsi="Avenir LT 45 Book" w:cs="Times New Roman"/>
                <w:sz w:val="20"/>
              </w:rPr>
            </w:pPr>
            <w:r w:rsidRPr="00EC67FC">
              <w:rPr>
                <w:rFonts w:ascii="Avenir LT 45 Book" w:eastAsia="Calibri" w:hAnsi="Avenir LT 45 Book" w:cs="Times New Roman"/>
                <w:sz w:val="20"/>
              </w:rPr>
              <w:t>All crossovers, ramps and footpaths shall be to Australian Standards.</w:t>
            </w:r>
          </w:p>
        </w:tc>
      </w:tr>
      <w:tr w:rsidR="00B46EF1" w:rsidRPr="00842387" w14:paraId="3F9CC4F0" w14:textId="77777777" w:rsidTr="002E2944">
        <w:tc>
          <w:tcPr>
            <w:tcW w:w="4503" w:type="dxa"/>
          </w:tcPr>
          <w:p w14:paraId="0AB99046" w14:textId="77777777" w:rsidR="00B46EF1" w:rsidRPr="00EC67FC" w:rsidRDefault="00B46EF1" w:rsidP="002A3889">
            <w:pPr>
              <w:pStyle w:val="ListParagraph"/>
              <w:numPr>
                <w:ilvl w:val="0"/>
                <w:numId w:val="100"/>
              </w:numPr>
              <w:spacing w:line="360" w:lineRule="auto"/>
              <w:ind w:left="567" w:hanging="504"/>
              <w:contextualSpacing w:val="0"/>
              <w:rPr>
                <w:rFonts w:ascii="Avenir LT 45 Book" w:eastAsia="Calibri" w:hAnsi="Avenir LT 45 Book" w:cs="Times New Roman"/>
                <w:sz w:val="20"/>
              </w:rPr>
            </w:pPr>
            <w:r w:rsidRPr="00EC67FC">
              <w:rPr>
                <w:rFonts w:ascii="Avenir LT 45 Book" w:eastAsia="Calibri" w:hAnsi="Avenir LT 45 Book" w:cs="Times New Roman"/>
                <w:sz w:val="20"/>
              </w:rPr>
              <w:t>No street trees will be removed for a crossover unless approved by the Council and an approved replacement tree is planted.</w:t>
            </w:r>
          </w:p>
        </w:tc>
        <w:tc>
          <w:tcPr>
            <w:tcW w:w="4523" w:type="dxa"/>
            <w:gridSpan w:val="2"/>
          </w:tcPr>
          <w:p w14:paraId="0BE086B7" w14:textId="77777777" w:rsidR="00B46EF1" w:rsidRDefault="00B46EF1" w:rsidP="002A3889">
            <w:pPr>
              <w:pStyle w:val="ListParagraph"/>
              <w:numPr>
                <w:ilvl w:val="0"/>
                <w:numId w:val="103"/>
              </w:numPr>
              <w:spacing w:line="360" w:lineRule="auto"/>
              <w:ind w:left="766" w:hanging="647"/>
              <w:contextualSpacing w:val="0"/>
            </w:pPr>
            <w:r w:rsidRPr="00EC67FC">
              <w:rPr>
                <w:rFonts w:ascii="Avenir LT 45 Book" w:eastAsia="Calibri" w:hAnsi="Avenir LT 45 Book" w:cs="Times New Roman"/>
                <w:sz w:val="20"/>
              </w:rPr>
              <w:t>Retain existing trees or replace existing tree where required.</w:t>
            </w:r>
          </w:p>
        </w:tc>
      </w:tr>
      <w:tr w:rsidR="00B46EF1" w:rsidRPr="00842387" w14:paraId="42D4E920" w14:textId="77777777" w:rsidTr="002E2944">
        <w:tc>
          <w:tcPr>
            <w:tcW w:w="4503" w:type="dxa"/>
          </w:tcPr>
          <w:p w14:paraId="7C3BFD3D" w14:textId="77777777" w:rsidR="00B46EF1" w:rsidRPr="00EC67FC" w:rsidRDefault="00B46EF1" w:rsidP="002A3889">
            <w:pPr>
              <w:pStyle w:val="ListParagraph"/>
              <w:numPr>
                <w:ilvl w:val="0"/>
                <w:numId w:val="100"/>
              </w:numPr>
              <w:spacing w:line="360" w:lineRule="auto"/>
              <w:ind w:left="567" w:hanging="504"/>
              <w:contextualSpacing w:val="0"/>
              <w:rPr>
                <w:rFonts w:ascii="Avenir LT 45 Book" w:eastAsia="Calibri" w:hAnsi="Avenir LT 45 Book" w:cs="Times New Roman"/>
                <w:sz w:val="20"/>
              </w:rPr>
            </w:pPr>
            <w:r w:rsidRPr="00EC67FC">
              <w:rPr>
                <w:rFonts w:ascii="Avenir LT 45 Book" w:eastAsia="Calibri" w:hAnsi="Avenir LT 45 Book" w:cs="Times New Roman"/>
                <w:sz w:val="20"/>
              </w:rPr>
              <w:t xml:space="preserve">Installation of crossovers and removal of redundant crossovers to be carried out after consultation with the owner of the property.  Redundant crossovers to be removed, at the </w:t>
            </w:r>
            <w:proofErr w:type="gramStart"/>
            <w:r w:rsidRPr="00EC67FC">
              <w:rPr>
                <w:rFonts w:ascii="Avenir LT 45 Book" w:eastAsia="Calibri" w:hAnsi="Avenir LT 45 Book" w:cs="Times New Roman"/>
                <w:sz w:val="20"/>
              </w:rPr>
              <w:t>applicants</w:t>
            </w:r>
            <w:proofErr w:type="gramEnd"/>
            <w:r w:rsidRPr="00EC67FC">
              <w:rPr>
                <w:rFonts w:ascii="Avenir LT 45 Book" w:eastAsia="Calibri" w:hAnsi="Avenir LT 45 Book" w:cs="Times New Roman"/>
                <w:sz w:val="20"/>
              </w:rPr>
              <w:t xml:space="preserve"> cost, prior to the issue of a building permit for the relevant property.</w:t>
            </w:r>
          </w:p>
        </w:tc>
        <w:tc>
          <w:tcPr>
            <w:tcW w:w="4523" w:type="dxa"/>
            <w:gridSpan w:val="2"/>
          </w:tcPr>
          <w:p w14:paraId="246F18AE" w14:textId="77777777" w:rsidR="00B46EF1" w:rsidRPr="00EC67FC" w:rsidRDefault="00B46EF1" w:rsidP="002A3889">
            <w:pPr>
              <w:pStyle w:val="ListParagraph"/>
              <w:numPr>
                <w:ilvl w:val="1"/>
                <w:numId w:val="104"/>
              </w:numPr>
              <w:spacing w:line="360" w:lineRule="auto"/>
              <w:ind w:left="766" w:hanging="647"/>
              <w:contextualSpacing w:val="0"/>
              <w:rPr>
                <w:rFonts w:ascii="Avenir LT 45 Book" w:eastAsia="Calibri" w:hAnsi="Avenir LT 45 Book" w:cs="Times New Roman"/>
                <w:sz w:val="20"/>
              </w:rPr>
            </w:pPr>
            <w:r w:rsidRPr="00EC67FC">
              <w:rPr>
                <w:rFonts w:ascii="Avenir LT 45 Book" w:eastAsia="Calibri" w:hAnsi="Avenir LT 45 Book" w:cs="Times New Roman"/>
                <w:sz w:val="20"/>
              </w:rPr>
              <w:t>Maximum of one crossover per lot or subdivided lot unless approved by the council.</w:t>
            </w:r>
          </w:p>
          <w:p w14:paraId="55128714" w14:textId="77777777" w:rsidR="00B46EF1" w:rsidRDefault="00B46EF1" w:rsidP="002A3889">
            <w:pPr>
              <w:pStyle w:val="ListParagraph"/>
              <w:numPr>
                <w:ilvl w:val="1"/>
                <w:numId w:val="104"/>
              </w:numPr>
              <w:spacing w:line="360" w:lineRule="auto"/>
              <w:ind w:left="766" w:hanging="647"/>
              <w:contextualSpacing w:val="0"/>
            </w:pPr>
            <w:r w:rsidRPr="00EC67FC">
              <w:rPr>
                <w:rFonts w:ascii="Avenir LT 45 Book" w:eastAsia="Calibri" w:hAnsi="Avenir LT 45 Book" w:cs="Times New Roman"/>
                <w:sz w:val="20"/>
              </w:rPr>
              <w:t>Relevant drawings indicating location of existing and proposed crossover where required.  This is to include existing and proposed site plans.</w:t>
            </w:r>
          </w:p>
        </w:tc>
      </w:tr>
    </w:tbl>
    <w:p w14:paraId="7D0048D0" w14:textId="77777777" w:rsidR="00B46EF1" w:rsidRPr="00EC67FC" w:rsidRDefault="00B46EF1" w:rsidP="00EC67FC">
      <w:pPr>
        <w:pStyle w:val="Heading4"/>
        <w:numPr>
          <w:ilvl w:val="3"/>
          <w:numId w:val="0"/>
        </w:numPr>
        <w:spacing w:before="0" w:after="120" w:line="360" w:lineRule="auto"/>
        <w:rPr>
          <w:rFonts w:ascii="Avenir LT 65 Medium" w:hAnsi="Avenir LT 65 Medium"/>
          <w:bCs/>
          <w:i w:val="0"/>
          <w:color w:val="auto"/>
        </w:rPr>
      </w:pPr>
      <w:r w:rsidRPr="00EC67FC">
        <w:rPr>
          <w:rFonts w:ascii="Avenir LT 65 Medium" w:hAnsi="Avenir LT 65 Medium"/>
          <w:bCs/>
          <w:i w:val="0"/>
          <w:color w:val="auto"/>
        </w:rPr>
        <w:t>Costs</w:t>
      </w:r>
    </w:p>
    <w:p w14:paraId="0EF64BC0" w14:textId="77777777" w:rsidR="00B46EF1" w:rsidRPr="00EC67FC" w:rsidRDefault="00B46EF1" w:rsidP="002A3889">
      <w:pPr>
        <w:pStyle w:val="ListParagraph"/>
        <w:numPr>
          <w:ilvl w:val="0"/>
          <w:numId w:val="105"/>
        </w:numPr>
        <w:spacing w:after="120" w:line="360" w:lineRule="auto"/>
        <w:ind w:left="714" w:hanging="357"/>
        <w:contextualSpacing w:val="0"/>
        <w:rPr>
          <w:rFonts w:ascii="Avenir LT 45 Book" w:eastAsia="Calibri" w:hAnsi="Avenir LT 45 Book" w:cs="Times New Roman"/>
          <w:sz w:val="20"/>
        </w:rPr>
      </w:pPr>
      <w:r w:rsidRPr="00EC67FC">
        <w:rPr>
          <w:rFonts w:ascii="Avenir LT 45 Book" w:eastAsia="Calibri" w:hAnsi="Avenir LT 45 Book" w:cs="Times New Roman"/>
          <w:sz w:val="20"/>
        </w:rPr>
        <w:t xml:space="preserve">Minor maintenance of approved bitumen or concrete crossovers will be undertaken at the Town’s expense.  Where liability for damage is established, repairs may be undertaken by the Town at the relevant property owner’s </w:t>
      </w:r>
      <w:proofErr w:type="gramStart"/>
      <w:r w:rsidRPr="00EC67FC">
        <w:rPr>
          <w:rFonts w:ascii="Avenir LT 45 Book" w:eastAsia="Calibri" w:hAnsi="Avenir LT 45 Book" w:cs="Times New Roman"/>
          <w:sz w:val="20"/>
        </w:rPr>
        <w:t>expense;</w:t>
      </w:r>
      <w:proofErr w:type="gramEnd"/>
    </w:p>
    <w:p w14:paraId="19C4C5B7" w14:textId="77777777" w:rsidR="00B46EF1" w:rsidRPr="00EC67FC" w:rsidRDefault="00B46EF1" w:rsidP="002A3889">
      <w:pPr>
        <w:pStyle w:val="ListParagraph"/>
        <w:numPr>
          <w:ilvl w:val="0"/>
          <w:numId w:val="105"/>
        </w:numPr>
        <w:spacing w:after="120" w:line="360" w:lineRule="auto"/>
        <w:ind w:left="714" w:hanging="357"/>
        <w:contextualSpacing w:val="0"/>
        <w:rPr>
          <w:rFonts w:ascii="Avenir LT 45 Book" w:eastAsia="Calibri" w:hAnsi="Avenir LT 45 Book" w:cs="Times New Roman"/>
          <w:sz w:val="20"/>
        </w:rPr>
      </w:pPr>
      <w:r w:rsidRPr="00EC67FC">
        <w:rPr>
          <w:rFonts w:ascii="Avenir LT 45 Book" w:eastAsia="Calibri" w:hAnsi="Avenir LT 45 Book" w:cs="Times New Roman"/>
          <w:sz w:val="20"/>
        </w:rPr>
        <w:t xml:space="preserve">Maintenance of non-standard or non-approved crossovers will be at the property owner’s </w:t>
      </w:r>
      <w:proofErr w:type="gramStart"/>
      <w:r w:rsidRPr="00EC67FC">
        <w:rPr>
          <w:rFonts w:ascii="Avenir LT 45 Book" w:eastAsia="Calibri" w:hAnsi="Avenir LT 45 Book" w:cs="Times New Roman"/>
          <w:sz w:val="20"/>
        </w:rPr>
        <w:t>expense;</w:t>
      </w:r>
      <w:proofErr w:type="gramEnd"/>
    </w:p>
    <w:p w14:paraId="2CE1C377" w14:textId="77777777" w:rsidR="00B46EF1" w:rsidRPr="00EC67FC" w:rsidRDefault="00B46EF1" w:rsidP="002A3889">
      <w:pPr>
        <w:pStyle w:val="ListParagraph"/>
        <w:numPr>
          <w:ilvl w:val="0"/>
          <w:numId w:val="105"/>
        </w:numPr>
        <w:spacing w:after="120" w:line="360" w:lineRule="auto"/>
        <w:ind w:left="714" w:hanging="357"/>
        <w:contextualSpacing w:val="0"/>
        <w:rPr>
          <w:rFonts w:ascii="Avenir LT 45 Book" w:eastAsia="Calibri" w:hAnsi="Avenir LT 45 Book" w:cs="Times New Roman"/>
          <w:sz w:val="20"/>
        </w:rPr>
      </w:pPr>
      <w:r w:rsidRPr="00EC67FC">
        <w:rPr>
          <w:rFonts w:ascii="Avenir LT 45 Book" w:eastAsia="Calibri" w:hAnsi="Avenir LT 45 Book" w:cs="Times New Roman"/>
          <w:sz w:val="20"/>
        </w:rPr>
        <w:t>Property owners to pay a fee representing the cost of constructing a new crossover or full replacement of an existing crossover.  This fee is to be included in Council’s annual scale of fees and charges; and,</w:t>
      </w:r>
    </w:p>
    <w:p w14:paraId="6C1478BB" w14:textId="77777777" w:rsidR="00B46EF1" w:rsidRPr="00EC67FC" w:rsidRDefault="00B46EF1" w:rsidP="002A3889">
      <w:pPr>
        <w:pStyle w:val="ListParagraph"/>
        <w:numPr>
          <w:ilvl w:val="0"/>
          <w:numId w:val="105"/>
        </w:numPr>
        <w:spacing w:after="120" w:line="360" w:lineRule="auto"/>
        <w:ind w:left="714" w:hanging="357"/>
        <w:contextualSpacing w:val="0"/>
        <w:rPr>
          <w:rFonts w:ascii="Avenir LT 45 Book" w:eastAsia="Calibri" w:hAnsi="Avenir LT 45 Book" w:cs="Times New Roman"/>
          <w:sz w:val="20"/>
        </w:rPr>
      </w:pPr>
      <w:r w:rsidRPr="00EC67FC">
        <w:rPr>
          <w:rFonts w:ascii="Avenir LT 45 Book" w:eastAsia="Calibri" w:hAnsi="Avenir LT 45 Book" w:cs="Times New Roman"/>
          <w:sz w:val="20"/>
        </w:rPr>
        <w:t>Council may, in the future, introduce an application fee and annual inspection fee for brick paved crossovers.</w:t>
      </w:r>
    </w:p>
    <w:p w14:paraId="6868893B" w14:textId="77777777" w:rsidR="00DE350B" w:rsidRDefault="00B46EF1" w:rsidP="00B46EF1">
      <w:pPr>
        <w:ind w:left="709" w:hanging="709"/>
        <w:rPr>
          <w:rFonts w:ascii="Avenir LT 45 Book" w:eastAsia="Calibri" w:hAnsi="Avenir LT 45 Book"/>
          <w:sz w:val="20"/>
        </w:rPr>
      </w:pPr>
      <w:r w:rsidRPr="00EC67FC">
        <w:rPr>
          <w:rFonts w:ascii="Avenir LT 65 Medium" w:eastAsia="Calibri" w:hAnsi="Avenir LT 65 Medium"/>
          <w:sz w:val="20"/>
        </w:rPr>
        <w:t>NOTE</w:t>
      </w:r>
      <w:r w:rsidRPr="00842387">
        <w:t xml:space="preserve">:  </w:t>
      </w:r>
      <w:r w:rsidRPr="00EC67FC">
        <w:rPr>
          <w:rFonts w:ascii="Avenir LT 45 Book" w:eastAsia="Calibri" w:hAnsi="Avenir LT 45 Book"/>
          <w:sz w:val="20"/>
        </w:rPr>
        <w:t>This section does not apply to Canning Highway, which is subject to separate requirements.</w:t>
      </w:r>
    </w:p>
    <w:p w14:paraId="0D657A79" w14:textId="77777777" w:rsidR="00DE350B" w:rsidRDefault="00DE350B" w:rsidP="00DE350B">
      <w:r>
        <w:br w:type="page"/>
      </w:r>
    </w:p>
    <w:p w14:paraId="091825DD" w14:textId="77777777" w:rsidR="00B46EF1" w:rsidRPr="00EC67FC" w:rsidRDefault="00EC67FC" w:rsidP="00EC67FC">
      <w:pPr>
        <w:pStyle w:val="Heading3"/>
        <w:keepNext w:val="0"/>
        <w:keepLines w:val="0"/>
        <w:tabs>
          <w:tab w:val="left" w:pos="1418"/>
        </w:tabs>
        <w:autoSpaceDE w:val="0"/>
        <w:autoSpaceDN w:val="0"/>
        <w:spacing w:before="0" w:after="200" w:line="360" w:lineRule="auto"/>
        <w:ind w:left="1418" w:hanging="1418"/>
        <w:jc w:val="both"/>
        <w:rPr>
          <w:rFonts w:ascii="Avenir LT 65 Medium" w:eastAsia="Times New Roman" w:hAnsi="Avenir LT 65 Medium" w:cs="Times New Roman"/>
          <w:bCs/>
          <w:color w:val="000000"/>
          <w:sz w:val="22"/>
        </w:rPr>
      </w:pPr>
      <w:bookmarkStart w:id="467" w:name="_Toc452727448"/>
      <w:r>
        <w:rPr>
          <w:rFonts w:ascii="Avenir LT 65 Medium" w:eastAsia="Times New Roman" w:hAnsi="Avenir LT 65 Medium" w:cs="Times New Roman"/>
          <w:bCs/>
          <w:color w:val="000000"/>
          <w:sz w:val="22"/>
        </w:rPr>
        <w:lastRenderedPageBreak/>
        <w:t>3.7.15</w:t>
      </w:r>
      <w:r>
        <w:rPr>
          <w:rFonts w:ascii="Avenir LT 65 Medium" w:eastAsia="Times New Roman" w:hAnsi="Avenir LT 65 Medium" w:cs="Times New Roman"/>
          <w:bCs/>
          <w:color w:val="000000"/>
          <w:sz w:val="22"/>
        </w:rPr>
        <w:tab/>
      </w:r>
      <w:r w:rsidR="00B46EF1" w:rsidRPr="00EC67FC">
        <w:rPr>
          <w:rFonts w:ascii="Avenir LT 65 Medium" w:eastAsia="Times New Roman" w:hAnsi="Avenir LT 65 Medium" w:cs="Times New Roman"/>
          <w:bCs/>
          <w:color w:val="000000"/>
          <w:sz w:val="22"/>
        </w:rPr>
        <w:t>Woodside &amp; Richmond Precincts</w:t>
      </w:r>
      <w:bookmarkEnd w:id="467"/>
    </w:p>
    <w:p w14:paraId="7E7141B5" w14:textId="77777777" w:rsidR="00B46EF1" w:rsidRPr="00EC67FC" w:rsidRDefault="00EC67FC" w:rsidP="00EC67FC">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3.7.15.1</w:t>
      </w:r>
      <w:r>
        <w:rPr>
          <w:rFonts w:ascii="Avenir LT 65 Medium" w:hAnsi="Avenir LT 65 Medium"/>
          <w:bCs/>
          <w:i w:val="0"/>
          <w:color w:val="auto"/>
        </w:rPr>
        <w:tab/>
      </w:r>
      <w:r w:rsidR="00B46EF1" w:rsidRPr="00EC67FC">
        <w:rPr>
          <w:rFonts w:ascii="Avenir LT 65 Medium" w:hAnsi="Avenir LT 65 Medium"/>
          <w:bCs/>
          <w:i w:val="0"/>
          <w:color w:val="auto"/>
        </w:rPr>
        <w:t>Statement of Desired Future Character</w:t>
      </w:r>
    </w:p>
    <w:p w14:paraId="59F2C652" w14:textId="77777777" w:rsidR="00B46EF1" w:rsidRDefault="00EC67FC" w:rsidP="00EC67FC">
      <w:pPr>
        <w:pStyle w:val="Heading4"/>
        <w:spacing w:before="120" w:after="200" w:line="360" w:lineRule="auto"/>
      </w:pPr>
      <w:r>
        <w:rPr>
          <w:rFonts w:ascii="Avenir LT 65 Medium" w:hAnsi="Avenir LT 65 Medium"/>
          <w:bCs/>
          <w:i w:val="0"/>
          <w:color w:val="auto"/>
        </w:rPr>
        <w:t>3.7.15.1.1</w:t>
      </w:r>
      <w:r>
        <w:rPr>
          <w:rFonts w:ascii="Avenir LT 65 Medium" w:hAnsi="Avenir LT 65 Medium"/>
          <w:bCs/>
          <w:i w:val="0"/>
          <w:color w:val="auto"/>
        </w:rPr>
        <w:tab/>
      </w:r>
      <w:r w:rsidR="00B46EF1" w:rsidRPr="00EC67FC">
        <w:rPr>
          <w:rFonts w:ascii="Avenir LT 65 Medium" w:hAnsi="Avenir LT 65 Medium"/>
          <w:bCs/>
          <w:i w:val="0"/>
          <w:color w:val="auto"/>
        </w:rPr>
        <w:t>Woodside &amp; Richmond</w:t>
      </w:r>
    </w:p>
    <w:p w14:paraId="51AF2482" w14:textId="77777777" w:rsidR="00B46EF1" w:rsidRPr="00EC67FC" w:rsidRDefault="00B46EF1" w:rsidP="00EC67FC">
      <w:pPr>
        <w:spacing w:line="360" w:lineRule="auto"/>
        <w:rPr>
          <w:rFonts w:ascii="Avenir LT 45 Book" w:eastAsia="Calibri" w:hAnsi="Avenir LT 45 Book"/>
          <w:i/>
          <w:sz w:val="20"/>
          <w:szCs w:val="20"/>
        </w:rPr>
      </w:pPr>
      <w:r w:rsidRPr="00EC67FC">
        <w:rPr>
          <w:rFonts w:ascii="Avenir LT 45 Book" w:eastAsia="Calibri" w:hAnsi="Avenir LT 45 Book"/>
          <w:i/>
          <w:sz w:val="20"/>
          <w:szCs w:val="20"/>
        </w:rPr>
        <w:t>The desired future character of Woodside and Richmond is the maintenance of its predominantly single storey Federation and Interwar period buildings, cohabiting with more recent infill buildings and additions in a leafy streetscape.</w:t>
      </w:r>
    </w:p>
    <w:p w14:paraId="47187E92" w14:textId="77777777" w:rsidR="00B46EF1" w:rsidRDefault="00B46EF1" w:rsidP="00B46EF1">
      <w:pPr>
        <w:rPr>
          <w:szCs w:val="20"/>
        </w:rPr>
      </w:pPr>
      <w:r>
        <w:rPr>
          <w:noProof/>
          <w:szCs w:val="20"/>
          <w:lang w:eastAsia="en-AU"/>
        </w:rPr>
        <w:drawing>
          <wp:inline distT="0" distB="0" distL="0" distR="0" wp14:anchorId="2749EEEB" wp14:editId="5A5F82CA">
            <wp:extent cx="2524125" cy="1800225"/>
            <wp:effectExtent l="19050" t="0" r="9525" b="0"/>
            <wp:docPr id="207" name="Picture 2" descr="Z:\2011 JOBS\11206-EAST FREMANTLE GUIDELINES\11206-PHOTOS\PROCESSED\WOODSIDE\DALGETY 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2011 JOBS\11206-EAST FREMANTLE GUIDELINES\11206-PHOTOS\PROCESSED\WOODSIDE\DALGETY HOSPITAL.jpg"/>
                    <pic:cNvPicPr>
                      <a:picLocks noChangeAspect="1" noChangeArrowheads="1"/>
                    </pic:cNvPicPr>
                  </pic:nvPicPr>
                  <pic:blipFill>
                    <a:blip r:embed="rId211"/>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rPr>
          <w:szCs w:val="20"/>
        </w:rPr>
        <w:t xml:space="preserve">      </w:t>
      </w:r>
      <w:r>
        <w:rPr>
          <w:noProof/>
          <w:szCs w:val="20"/>
          <w:lang w:eastAsia="en-AU"/>
        </w:rPr>
        <w:drawing>
          <wp:inline distT="0" distB="0" distL="0" distR="0" wp14:anchorId="1D295BEC" wp14:editId="56B82CB9">
            <wp:extent cx="2524125" cy="1800225"/>
            <wp:effectExtent l="19050" t="0" r="9525" b="0"/>
            <wp:docPr id="211" name="Picture 1" descr="Z:\2011 JOBS\11206-EAST FREMANTLE GUIDELINES\11206-PHOTOS\PROCESSED\RICHMOND\7 ALGATE P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2011 JOBS\11206-EAST FREMANTLE GUIDELINES\11206-PHOTOS\PROCESSED\RICHMOND\7 ALGATE PLACE.jpg"/>
                    <pic:cNvPicPr>
                      <a:picLocks noChangeAspect="1" noChangeArrowheads="1"/>
                    </pic:cNvPicPr>
                  </pic:nvPicPr>
                  <pic:blipFill>
                    <a:blip r:embed="rId212"/>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rPr>
          <w:szCs w:val="20"/>
        </w:rPr>
        <w:t xml:space="preserve"> </w:t>
      </w:r>
    </w:p>
    <w:p w14:paraId="11BC7DBC" w14:textId="77777777" w:rsidR="00B46EF1" w:rsidRDefault="00EC67FC" w:rsidP="00EC67FC">
      <w:pPr>
        <w:pStyle w:val="Heading5"/>
      </w:pPr>
      <w:r>
        <w:t>3.7.15.2</w:t>
      </w:r>
      <w:r>
        <w:tab/>
      </w:r>
      <w:r w:rsidR="00B46EF1" w:rsidRPr="00842387">
        <w:t>Access, Parking and Rights-of-Way</w:t>
      </w:r>
    </w:p>
    <w:p w14:paraId="07304ED8" w14:textId="77777777" w:rsidR="00B46EF1" w:rsidRPr="00EC67FC" w:rsidRDefault="00EC67FC" w:rsidP="00EC67FC">
      <w:pPr>
        <w:pStyle w:val="Heading5"/>
      </w:pPr>
      <w:r w:rsidRPr="00EC67FC">
        <w:t>3.7.15.2.1</w:t>
      </w:r>
      <w:r w:rsidRPr="00EC67FC">
        <w:tab/>
      </w:r>
      <w:r w:rsidR="00B46EF1" w:rsidRPr="00EC67FC">
        <w:t>Statement</w:t>
      </w:r>
    </w:p>
    <w:p w14:paraId="634D7B20" w14:textId="77777777" w:rsidR="00B46EF1" w:rsidRPr="00EC67FC" w:rsidRDefault="00B46EF1" w:rsidP="00EC67FC">
      <w:pPr>
        <w:spacing w:line="360" w:lineRule="auto"/>
        <w:rPr>
          <w:rFonts w:ascii="Avenir LT 45 Book" w:eastAsia="Calibri" w:hAnsi="Avenir LT 45 Book"/>
          <w:i/>
          <w:sz w:val="20"/>
        </w:rPr>
      </w:pPr>
      <w:r w:rsidRPr="00EC67FC">
        <w:rPr>
          <w:rFonts w:ascii="Avenir LT 45 Book" w:eastAsia="Calibri" w:hAnsi="Avenir LT 45 Book"/>
          <w:i/>
          <w:sz w:val="20"/>
        </w:rPr>
        <w:t>Residences in Woodside and Richmond have access via a single cross over.  Traditional building patterns have parking located at the rear of the block.  Parking to new developments sometimes occurs in the front setback area, in contrast to the traditional built pattern.</w:t>
      </w:r>
    </w:p>
    <w:p w14:paraId="2E795F7B" w14:textId="77777777" w:rsidR="00B46EF1" w:rsidRDefault="00B46EF1" w:rsidP="00B46EF1">
      <w:r>
        <w:rPr>
          <w:noProof/>
          <w:lang w:eastAsia="en-AU"/>
        </w:rPr>
        <w:drawing>
          <wp:inline distT="0" distB="0" distL="0" distR="0" wp14:anchorId="729893B0" wp14:editId="6266C903">
            <wp:extent cx="2524125" cy="1800225"/>
            <wp:effectExtent l="19050" t="0" r="9525" b="0"/>
            <wp:docPr id="64" name="Picture 4" descr="Z:\2011 JOBS\11206-EAST FREMANTLE GUIDELINES\11206-PHOTOS\PROCESSED\WOODSIDE\17 DALGETY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2011 JOBS\11206-EAST FREMANTLE GUIDELINES\11206-PHOTOS\PROCESSED\WOODSIDE\17 DALGETY ST.jpg"/>
                    <pic:cNvPicPr>
                      <a:picLocks noChangeAspect="1" noChangeArrowheads="1"/>
                    </pic:cNvPicPr>
                  </pic:nvPicPr>
                  <pic:blipFill>
                    <a:blip r:embed="rId213"/>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1C3A5E85" wp14:editId="0648D369">
            <wp:extent cx="2524125" cy="1800225"/>
            <wp:effectExtent l="19050" t="0" r="9525" b="0"/>
            <wp:docPr id="129" name="Picture 66" descr="Z:\2011 JOBS\11206-EAST FREMANTLE GUIDELINES\11206-PHOTOS\PROCESSED\RICHMOND\PRESTON POINT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Z:\2011 JOBS\11206-EAST FREMANTLE GUIDELINES\11206-PHOTOS\PROCESSED\RICHMOND\PRESTON POINT ROAD.jpg"/>
                    <pic:cNvPicPr>
                      <a:picLocks noChangeAspect="1" noChangeArrowheads="1"/>
                    </pic:cNvPicPr>
                  </pic:nvPicPr>
                  <pic:blipFill>
                    <a:blip r:embed="rId214"/>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0150B7E5" w14:textId="77777777" w:rsidR="00B46EF1" w:rsidRDefault="00B46EF1" w:rsidP="00B46EF1">
      <w:r>
        <w:br w:type="page"/>
      </w:r>
    </w:p>
    <w:p w14:paraId="10AB873D" w14:textId="77777777" w:rsidR="00B46EF1" w:rsidRDefault="00EC67FC" w:rsidP="00EC67FC">
      <w:pPr>
        <w:pStyle w:val="Heading5"/>
        <w:ind w:left="1418" w:hanging="1418"/>
      </w:pPr>
      <w:r>
        <w:lastRenderedPageBreak/>
        <w:t>3.7.15.2.2</w:t>
      </w:r>
      <w:r>
        <w:tab/>
      </w:r>
      <w:r w:rsidR="00B46EF1" w:rsidRPr="00842387">
        <w:t>Desired Development Outcomes</w:t>
      </w:r>
    </w:p>
    <w:p w14:paraId="1F6FE7BC" w14:textId="77777777" w:rsidR="00B46EF1" w:rsidRPr="00EC67FC" w:rsidRDefault="00B46EF1" w:rsidP="002A3889">
      <w:pPr>
        <w:pStyle w:val="ListParagraph"/>
        <w:numPr>
          <w:ilvl w:val="0"/>
          <w:numId w:val="154"/>
        </w:numPr>
        <w:spacing w:line="360" w:lineRule="auto"/>
        <w:ind w:left="714" w:hanging="357"/>
        <w:contextualSpacing w:val="0"/>
        <w:rPr>
          <w:rFonts w:ascii="Avenir LT 45 Book" w:eastAsia="Calibri" w:hAnsi="Avenir LT 45 Book" w:cs="Times New Roman"/>
          <w:sz w:val="20"/>
        </w:rPr>
      </w:pPr>
      <w:r w:rsidRPr="00EC67FC">
        <w:rPr>
          <w:rFonts w:ascii="Avenir LT 45 Book" w:eastAsia="Calibri" w:hAnsi="Avenir LT 45 Book" w:cs="Times New Roman"/>
          <w:sz w:val="20"/>
        </w:rPr>
        <w:t xml:space="preserve">Parking areas of lots and development sites shall reflect the existing streetscape where </w:t>
      </w:r>
      <w:proofErr w:type="gramStart"/>
      <w:r w:rsidRPr="00EC67FC">
        <w:rPr>
          <w:rFonts w:ascii="Avenir LT 45 Book" w:eastAsia="Calibri" w:hAnsi="Avenir LT 45 Book" w:cs="Times New Roman"/>
          <w:sz w:val="20"/>
        </w:rPr>
        <w:t>possible;</w:t>
      </w:r>
      <w:proofErr w:type="gramEnd"/>
    </w:p>
    <w:p w14:paraId="2319DB99" w14:textId="77777777" w:rsidR="00B46EF1" w:rsidRPr="00EC67FC" w:rsidRDefault="00B46EF1" w:rsidP="002A3889">
      <w:pPr>
        <w:pStyle w:val="ListParagraph"/>
        <w:numPr>
          <w:ilvl w:val="0"/>
          <w:numId w:val="154"/>
        </w:numPr>
        <w:spacing w:line="360" w:lineRule="auto"/>
        <w:ind w:left="714" w:hanging="357"/>
        <w:contextualSpacing w:val="0"/>
        <w:rPr>
          <w:rFonts w:ascii="Avenir LT 45 Book" w:eastAsia="Calibri" w:hAnsi="Avenir LT 45 Book" w:cs="Times New Roman"/>
          <w:sz w:val="20"/>
        </w:rPr>
      </w:pPr>
      <w:r w:rsidRPr="00EC67FC">
        <w:rPr>
          <w:rFonts w:ascii="Avenir LT 45 Book" w:eastAsia="Calibri" w:hAnsi="Avenir LT 45 Book" w:cs="Times New Roman"/>
          <w:sz w:val="20"/>
        </w:rPr>
        <w:t>Where possible, parking is to be located to the rear of any new developments; and,</w:t>
      </w:r>
    </w:p>
    <w:p w14:paraId="320A3292" w14:textId="77777777" w:rsidR="00B46EF1" w:rsidRPr="00EC67FC" w:rsidRDefault="00B46EF1" w:rsidP="002A3889">
      <w:pPr>
        <w:pStyle w:val="ListParagraph"/>
        <w:numPr>
          <w:ilvl w:val="0"/>
          <w:numId w:val="154"/>
        </w:numPr>
        <w:spacing w:line="360" w:lineRule="auto"/>
        <w:ind w:left="714" w:hanging="357"/>
        <w:contextualSpacing w:val="0"/>
        <w:rPr>
          <w:rFonts w:ascii="Avenir LT 45 Book" w:eastAsia="Calibri" w:hAnsi="Avenir LT 45 Book" w:cs="Times New Roman"/>
          <w:sz w:val="20"/>
        </w:rPr>
      </w:pPr>
      <w:r w:rsidRPr="00EC67FC">
        <w:rPr>
          <w:rFonts w:ascii="Avenir LT 45 Book" w:eastAsia="Calibri" w:hAnsi="Avenir LT 45 Book" w:cs="Times New Roman"/>
          <w:sz w:val="20"/>
        </w:rPr>
        <w:t>Number of crossovers is to be minimised.</w:t>
      </w:r>
    </w:p>
    <w:p w14:paraId="4C42CCCA" w14:textId="77777777" w:rsidR="00B46EF1" w:rsidRDefault="00EC67FC" w:rsidP="00EC67FC">
      <w:pPr>
        <w:pStyle w:val="Heading5"/>
      </w:pPr>
      <w:r>
        <w:t>3.7.15.2.3</w:t>
      </w:r>
      <w:r>
        <w:tab/>
      </w:r>
      <w:r w:rsidR="00B46EF1" w:rsidRPr="00842387">
        <w:t>Performance Criteria and Acceptable Development</w:t>
      </w:r>
      <w:r w:rsidR="00B46EF1">
        <w:t xml:space="preserve">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7"/>
        <w:gridCol w:w="4509"/>
      </w:tblGrid>
      <w:tr w:rsidR="00B46EF1" w:rsidRPr="00842387" w14:paraId="636932BD" w14:textId="77777777" w:rsidTr="008048CE">
        <w:tc>
          <w:tcPr>
            <w:tcW w:w="4621" w:type="dxa"/>
          </w:tcPr>
          <w:p w14:paraId="39B736FD"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44C562B9" w14:textId="77777777" w:rsidR="00B46EF1" w:rsidRDefault="00B46EF1" w:rsidP="008048CE">
            <w:r w:rsidRPr="00842387">
              <w:rPr>
                <w:rFonts w:ascii="Avenir LT 65 Medium" w:hAnsi="Avenir LT 65 Medium"/>
              </w:rPr>
              <w:t>Acceptable Development Provisions</w:t>
            </w:r>
          </w:p>
        </w:tc>
      </w:tr>
      <w:tr w:rsidR="00B46EF1" w:rsidRPr="00842387" w14:paraId="09F2719C" w14:textId="77777777" w:rsidTr="008048CE">
        <w:tc>
          <w:tcPr>
            <w:tcW w:w="4621" w:type="dxa"/>
          </w:tcPr>
          <w:p w14:paraId="55CC6D34" w14:textId="77777777" w:rsidR="00B46EF1" w:rsidRPr="00EC67FC" w:rsidRDefault="00B46EF1" w:rsidP="002A3889">
            <w:pPr>
              <w:pStyle w:val="ListParagraph"/>
              <w:numPr>
                <w:ilvl w:val="1"/>
                <w:numId w:val="155"/>
              </w:numPr>
              <w:spacing w:before="120" w:line="360" w:lineRule="auto"/>
              <w:ind w:left="624" w:hanging="505"/>
              <w:contextualSpacing w:val="0"/>
              <w:rPr>
                <w:rFonts w:ascii="Avenir LT 45 Book" w:eastAsia="Calibri" w:hAnsi="Avenir LT 45 Book" w:cs="Times New Roman"/>
                <w:sz w:val="20"/>
              </w:rPr>
            </w:pPr>
            <w:r w:rsidRPr="00EC67FC">
              <w:rPr>
                <w:rFonts w:ascii="Avenir LT 45 Book" w:eastAsia="Calibri" w:hAnsi="Avenir LT 45 Book" w:cs="Times New Roman"/>
                <w:sz w:val="20"/>
              </w:rPr>
              <w:t>Access and parking for the building is to be adequately provided for within the boundaries of the lot/development site, and does not negatively impact on:</w:t>
            </w:r>
          </w:p>
          <w:p w14:paraId="1E8636FD" w14:textId="77777777" w:rsidR="00B46EF1" w:rsidRPr="00EC67FC" w:rsidRDefault="00B46EF1" w:rsidP="002A3889">
            <w:pPr>
              <w:pStyle w:val="ListParagraph"/>
              <w:numPr>
                <w:ilvl w:val="0"/>
                <w:numId w:val="157"/>
              </w:numPr>
              <w:spacing w:line="360" w:lineRule="auto"/>
              <w:ind w:left="624" w:hanging="303"/>
              <w:contextualSpacing w:val="0"/>
              <w:rPr>
                <w:rFonts w:ascii="Avenir LT 45 Book" w:eastAsia="Calibri" w:hAnsi="Avenir LT 45 Book" w:cs="Times New Roman"/>
                <w:sz w:val="20"/>
              </w:rPr>
            </w:pPr>
            <w:r w:rsidRPr="00EC67FC">
              <w:rPr>
                <w:rFonts w:ascii="Avenir LT 45 Book" w:eastAsia="Calibri" w:hAnsi="Avenir LT 45 Book" w:cs="Times New Roman"/>
                <w:sz w:val="20"/>
              </w:rPr>
              <w:t>The streetscape character and amenity; and,</w:t>
            </w:r>
          </w:p>
          <w:p w14:paraId="1DF84C3F" w14:textId="77777777" w:rsidR="00B46EF1" w:rsidRPr="00EC67FC" w:rsidRDefault="00B46EF1" w:rsidP="002A3889">
            <w:pPr>
              <w:pStyle w:val="ListParagraph"/>
              <w:numPr>
                <w:ilvl w:val="0"/>
                <w:numId w:val="157"/>
              </w:numPr>
              <w:spacing w:line="360" w:lineRule="auto"/>
              <w:ind w:left="624" w:hanging="303"/>
              <w:contextualSpacing w:val="0"/>
              <w:rPr>
                <w:rFonts w:ascii="Avenir LT 45 Book" w:eastAsia="Calibri" w:hAnsi="Avenir LT 45 Book" w:cs="Times New Roman"/>
                <w:sz w:val="20"/>
              </w:rPr>
            </w:pPr>
            <w:r w:rsidRPr="00EC67FC">
              <w:rPr>
                <w:rFonts w:ascii="Avenir LT 45 Book" w:eastAsia="Calibri" w:hAnsi="Avenir LT 45 Book" w:cs="Times New Roman"/>
                <w:sz w:val="20"/>
              </w:rPr>
              <w:t>The availability of on-street parking in the locality.</w:t>
            </w:r>
          </w:p>
          <w:p w14:paraId="5991D98A" w14:textId="77777777" w:rsidR="00B46EF1" w:rsidRPr="00EC67FC" w:rsidRDefault="00B46EF1" w:rsidP="002A3889">
            <w:pPr>
              <w:pStyle w:val="ListParagraph"/>
              <w:numPr>
                <w:ilvl w:val="1"/>
                <w:numId w:val="155"/>
              </w:numPr>
              <w:spacing w:line="360" w:lineRule="auto"/>
              <w:ind w:left="624" w:hanging="505"/>
              <w:contextualSpacing w:val="0"/>
              <w:rPr>
                <w:rFonts w:ascii="Avenir LT 45 Book" w:eastAsia="Calibri" w:hAnsi="Avenir LT 45 Book" w:cs="Times New Roman"/>
                <w:sz w:val="20"/>
              </w:rPr>
            </w:pPr>
            <w:r w:rsidRPr="00EC67FC">
              <w:rPr>
                <w:rFonts w:ascii="Avenir LT 45 Book" w:eastAsia="Calibri" w:hAnsi="Avenir LT 45 Book" w:cs="Times New Roman"/>
                <w:sz w:val="20"/>
              </w:rPr>
              <w:t>Council shall exercise its discretion to vary scheme requirements for places with heritage value where compliance would adversely impact on heritage places.</w:t>
            </w:r>
          </w:p>
        </w:tc>
        <w:tc>
          <w:tcPr>
            <w:tcW w:w="4621" w:type="dxa"/>
          </w:tcPr>
          <w:p w14:paraId="4B535601" w14:textId="77777777" w:rsidR="00B46EF1" w:rsidRPr="00EC67FC" w:rsidRDefault="00B46EF1" w:rsidP="002A3889">
            <w:pPr>
              <w:pStyle w:val="ListParagraph"/>
              <w:numPr>
                <w:ilvl w:val="1"/>
                <w:numId w:val="156"/>
              </w:numPr>
              <w:spacing w:before="120" w:line="360" w:lineRule="auto"/>
              <w:ind w:left="624" w:hanging="505"/>
              <w:contextualSpacing w:val="0"/>
              <w:rPr>
                <w:rFonts w:ascii="Avenir LT 45 Book" w:eastAsia="Calibri" w:hAnsi="Avenir LT 45 Book" w:cs="Times New Roman"/>
                <w:sz w:val="20"/>
              </w:rPr>
            </w:pPr>
            <w:r w:rsidRPr="00EC67FC">
              <w:rPr>
                <w:rFonts w:ascii="Avenir LT 45 Book" w:eastAsia="Calibri" w:hAnsi="Avenir LT 45 Book" w:cs="Times New Roman"/>
                <w:sz w:val="20"/>
              </w:rPr>
              <w:t>Parking to be located at the rear of the block.</w:t>
            </w:r>
          </w:p>
          <w:p w14:paraId="57173A28" w14:textId="77777777" w:rsidR="00B46EF1" w:rsidRPr="00EC67FC" w:rsidRDefault="00B46EF1" w:rsidP="002A3889">
            <w:pPr>
              <w:pStyle w:val="ListParagraph"/>
              <w:numPr>
                <w:ilvl w:val="1"/>
                <w:numId w:val="156"/>
              </w:numPr>
              <w:spacing w:before="120" w:line="360" w:lineRule="auto"/>
              <w:ind w:left="624" w:hanging="505"/>
              <w:contextualSpacing w:val="0"/>
              <w:rPr>
                <w:rFonts w:ascii="Avenir LT 45 Book" w:eastAsia="Calibri" w:hAnsi="Avenir LT 45 Book" w:cs="Times New Roman"/>
                <w:sz w:val="20"/>
              </w:rPr>
            </w:pPr>
            <w:r w:rsidRPr="00EC67FC">
              <w:rPr>
                <w:rFonts w:ascii="Avenir LT 45 Book" w:eastAsia="Calibri" w:hAnsi="Avenir LT 45 Book" w:cs="Times New Roman"/>
                <w:sz w:val="20"/>
              </w:rPr>
              <w:t>Additions and alterations to existing buildings shall address any additional parking requirements with reference to the R-Codes.</w:t>
            </w:r>
          </w:p>
          <w:p w14:paraId="311EE98C" w14:textId="77777777" w:rsidR="00B46EF1" w:rsidRPr="00EC67FC" w:rsidRDefault="00B46EF1" w:rsidP="002A3889">
            <w:pPr>
              <w:pStyle w:val="ListParagraph"/>
              <w:numPr>
                <w:ilvl w:val="1"/>
                <w:numId w:val="156"/>
              </w:numPr>
              <w:spacing w:line="360" w:lineRule="auto"/>
              <w:ind w:left="624" w:hanging="505"/>
              <w:contextualSpacing w:val="0"/>
              <w:rPr>
                <w:rFonts w:ascii="Avenir LT 45 Book" w:eastAsia="Calibri" w:hAnsi="Avenir LT 45 Book" w:cs="Times New Roman"/>
                <w:sz w:val="20"/>
              </w:rPr>
            </w:pPr>
            <w:r w:rsidRPr="00EC67FC">
              <w:rPr>
                <w:rFonts w:ascii="Avenir LT 45 Book" w:eastAsia="Calibri" w:hAnsi="Avenir LT 45 Book" w:cs="Times New Roman"/>
                <w:sz w:val="20"/>
              </w:rPr>
              <w:t>Parking areas of lots and development sites for grouped or multiple dwellings are accessed from a shared access way.</w:t>
            </w:r>
          </w:p>
        </w:tc>
      </w:tr>
    </w:tbl>
    <w:p w14:paraId="34FD27AB" w14:textId="77777777" w:rsidR="00B46EF1" w:rsidRDefault="00B46EF1" w:rsidP="00B46EF1">
      <w:pPr>
        <w:rPr>
          <w:rFonts w:ascii="Avenir LT 65 Medium" w:eastAsia="Times New Roman" w:hAnsi="Avenir LT 65 Medium" w:cs="Times New Roman"/>
          <w:bCs/>
          <w:color w:val="000000"/>
          <w:szCs w:val="24"/>
          <w:lang w:val="en-US"/>
        </w:rPr>
      </w:pPr>
      <w:r>
        <w:br w:type="page"/>
      </w:r>
    </w:p>
    <w:p w14:paraId="6EE79539" w14:textId="77777777" w:rsidR="00B46EF1" w:rsidRPr="00F25EA0" w:rsidRDefault="00F25EA0" w:rsidP="00F25EA0">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lastRenderedPageBreak/>
        <w:t>3.7.15.3</w:t>
      </w:r>
      <w:r>
        <w:rPr>
          <w:rFonts w:ascii="Avenir LT 65 Medium" w:hAnsi="Avenir LT 65 Medium"/>
          <w:bCs/>
          <w:i w:val="0"/>
          <w:color w:val="auto"/>
        </w:rPr>
        <w:tab/>
      </w:r>
      <w:r w:rsidR="00B46EF1" w:rsidRPr="00F25EA0">
        <w:rPr>
          <w:rFonts w:ascii="Avenir LT 65 Medium" w:hAnsi="Avenir LT 65 Medium"/>
          <w:bCs/>
          <w:i w:val="0"/>
          <w:color w:val="auto"/>
        </w:rPr>
        <w:t>Garages, Carports and Outbuildings</w:t>
      </w:r>
    </w:p>
    <w:p w14:paraId="45549E33" w14:textId="77777777" w:rsidR="00B46EF1" w:rsidRPr="00F25EA0" w:rsidRDefault="00F25EA0" w:rsidP="00F25EA0">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3.7.15.3.1</w:t>
      </w:r>
      <w:r>
        <w:rPr>
          <w:rFonts w:ascii="Avenir LT 65 Medium" w:hAnsi="Avenir LT 65 Medium"/>
          <w:bCs/>
          <w:i w:val="0"/>
          <w:color w:val="auto"/>
        </w:rPr>
        <w:tab/>
      </w:r>
      <w:r w:rsidR="00B46EF1" w:rsidRPr="00F25EA0">
        <w:rPr>
          <w:rFonts w:ascii="Avenir LT 65 Medium" w:hAnsi="Avenir LT 65 Medium"/>
          <w:bCs/>
          <w:i w:val="0"/>
          <w:color w:val="auto"/>
        </w:rPr>
        <w:t>Statement</w:t>
      </w:r>
    </w:p>
    <w:p w14:paraId="5A45D2FB" w14:textId="77777777" w:rsidR="00B46EF1" w:rsidRPr="00F25EA0" w:rsidRDefault="00B46EF1" w:rsidP="00F25EA0">
      <w:pPr>
        <w:spacing w:line="360" w:lineRule="auto"/>
        <w:rPr>
          <w:rFonts w:ascii="Avenir LT 45 Book" w:eastAsia="Calibri" w:hAnsi="Avenir LT 45 Book"/>
          <w:i/>
          <w:sz w:val="20"/>
        </w:rPr>
      </w:pPr>
      <w:r w:rsidRPr="00F25EA0">
        <w:rPr>
          <w:rFonts w:ascii="Avenir LT 45 Book" w:eastAsia="Calibri" w:hAnsi="Avenir LT 45 Book"/>
          <w:i/>
          <w:sz w:val="20"/>
        </w:rPr>
        <w:t>Garages, carports and outbuildings in the Woodside and Richmond Precincts are generally located at the rear or side of the original dwelling and are not dominant features of the landscape.  More recent developments incorporate garages and carports into their front facades in contrast to the traditional pattern.</w:t>
      </w:r>
    </w:p>
    <w:p w14:paraId="43BBD9D3" w14:textId="77777777" w:rsidR="00B46EF1" w:rsidRPr="00842387" w:rsidRDefault="00B46EF1" w:rsidP="00B46EF1">
      <w:r w:rsidRPr="00F25EA0">
        <w:rPr>
          <w:rFonts w:ascii="Avenir LT 45 Book" w:eastAsia="Calibri" w:hAnsi="Avenir LT 45 Book" w:cs="Times New Roman"/>
          <w:noProof/>
          <w:sz w:val="20"/>
          <w:lang w:eastAsia="en-AU"/>
        </w:rPr>
        <w:drawing>
          <wp:inline distT="0" distB="0" distL="0" distR="0" wp14:anchorId="32E31460" wp14:editId="4C916750">
            <wp:extent cx="2524125" cy="1800225"/>
            <wp:effectExtent l="19050" t="0" r="9525" b="0"/>
            <wp:docPr id="66" name="Picture 6" descr="Z:\2011 JOBS\11206-EAST FREMANTLE GUIDELINES\11206-PHOTOS\PROCESSED\WOODSIDE\FORTESCU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2011 JOBS\11206-EAST FREMANTLE GUIDELINES\11206-PHOTOS\PROCESSED\WOODSIDE\FORTESCUE STREET.jpg"/>
                    <pic:cNvPicPr>
                      <a:picLocks noChangeAspect="1" noChangeArrowheads="1"/>
                    </pic:cNvPicPr>
                  </pic:nvPicPr>
                  <pic:blipFill>
                    <a:blip r:embed="rId215"/>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013549FF" wp14:editId="74647E9F">
            <wp:extent cx="2522349" cy="1800225"/>
            <wp:effectExtent l="19050" t="0" r="0" b="0"/>
            <wp:docPr id="67" name="Picture 7" descr="Z:\2011 JOBS\11206-EAST FREMANTLE GUIDELINES\11206-PHOTOS\PROCESSED\RICHMOND\FRAS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2011 JOBS\11206-EAST FREMANTLE GUIDELINES\11206-PHOTOS\PROCESSED\RICHMOND\FRASER STREET.jpg"/>
                    <pic:cNvPicPr>
                      <a:picLocks noChangeAspect="1" noChangeArrowheads="1"/>
                    </pic:cNvPicPr>
                  </pic:nvPicPr>
                  <pic:blipFill>
                    <a:blip r:embed="rId216"/>
                    <a:stretch>
                      <a:fillRect/>
                    </a:stretch>
                  </pic:blipFill>
                  <pic:spPr bwMode="auto">
                    <a:xfrm>
                      <a:off x="0" y="0"/>
                      <a:ext cx="2522349" cy="1800225"/>
                    </a:xfrm>
                    <a:prstGeom prst="rect">
                      <a:avLst/>
                    </a:prstGeom>
                    <a:noFill/>
                    <a:ln w="9525">
                      <a:noFill/>
                      <a:miter lim="800000"/>
                      <a:headEnd/>
                      <a:tailEnd/>
                    </a:ln>
                  </pic:spPr>
                </pic:pic>
              </a:graphicData>
            </a:graphic>
          </wp:inline>
        </w:drawing>
      </w:r>
    </w:p>
    <w:p w14:paraId="18A04A0C" w14:textId="77777777" w:rsidR="00B46EF1" w:rsidRDefault="00F25EA0" w:rsidP="00F25EA0">
      <w:pPr>
        <w:pStyle w:val="Heading5"/>
      </w:pPr>
      <w:r>
        <w:t>3.7.15.3.2</w:t>
      </w:r>
      <w:r>
        <w:tab/>
      </w:r>
      <w:r w:rsidR="00B46EF1" w:rsidRPr="00842387">
        <w:t>Desired Development Outcomes</w:t>
      </w:r>
    </w:p>
    <w:p w14:paraId="58457265" w14:textId="77777777" w:rsidR="00B46EF1" w:rsidRPr="00F25EA0" w:rsidRDefault="00B46EF1" w:rsidP="002A3889">
      <w:pPr>
        <w:pStyle w:val="ListParagraph"/>
        <w:numPr>
          <w:ilvl w:val="0"/>
          <w:numId w:val="158"/>
        </w:numPr>
        <w:spacing w:line="360" w:lineRule="auto"/>
        <w:ind w:left="714" w:hanging="357"/>
        <w:contextualSpacing w:val="0"/>
        <w:rPr>
          <w:rFonts w:ascii="Avenir LT 45 Book" w:eastAsia="Calibri" w:hAnsi="Avenir LT 45 Book" w:cs="Times New Roman"/>
          <w:sz w:val="20"/>
        </w:rPr>
      </w:pPr>
      <w:r w:rsidRPr="00F25EA0">
        <w:rPr>
          <w:rFonts w:ascii="Avenir LT 45 Book" w:eastAsia="Calibri" w:hAnsi="Avenir LT 45 Book" w:cs="Times New Roman"/>
          <w:sz w:val="20"/>
        </w:rPr>
        <w:t xml:space="preserve">Where garages and carports are part of a development they must be incorporated into, and be compatible with the design of the </w:t>
      </w:r>
      <w:proofErr w:type="gramStart"/>
      <w:r w:rsidRPr="00F25EA0">
        <w:rPr>
          <w:rFonts w:ascii="Avenir LT 45 Book" w:eastAsia="Calibri" w:hAnsi="Avenir LT 45 Book" w:cs="Times New Roman"/>
          <w:sz w:val="20"/>
        </w:rPr>
        <w:t>dwelling;</w:t>
      </w:r>
      <w:proofErr w:type="gramEnd"/>
    </w:p>
    <w:p w14:paraId="7B4263D4" w14:textId="77777777" w:rsidR="00B46EF1" w:rsidRPr="00F25EA0" w:rsidRDefault="00B46EF1" w:rsidP="002A3889">
      <w:pPr>
        <w:pStyle w:val="ListParagraph"/>
        <w:numPr>
          <w:ilvl w:val="0"/>
          <w:numId w:val="158"/>
        </w:numPr>
        <w:spacing w:line="360" w:lineRule="auto"/>
        <w:ind w:left="714" w:hanging="357"/>
        <w:contextualSpacing w:val="0"/>
        <w:rPr>
          <w:rFonts w:ascii="Avenir LT 45 Book" w:eastAsia="Calibri" w:hAnsi="Avenir LT 45 Book" w:cs="Times New Roman"/>
          <w:sz w:val="20"/>
        </w:rPr>
      </w:pPr>
      <w:r w:rsidRPr="00F25EA0">
        <w:rPr>
          <w:rFonts w:ascii="Avenir LT 45 Book" w:eastAsia="Calibri" w:hAnsi="Avenir LT 45 Book" w:cs="Times New Roman"/>
          <w:sz w:val="20"/>
        </w:rPr>
        <w:t xml:space="preserve">Garages and carports shall not visually dominate the dwelling as viewed from the </w:t>
      </w:r>
      <w:proofErr w:type="gramStart"/>
      <w:r w:rsidRPr="00F25EA0">
        <w:rPr>
          <w:rFonts w:ascii="Avenir LT 45 Book" w:eastAsia="Calibri" w:hAnsi="Avenir LT 45 Book" w:cs="Times New Roman"/>
          <w:sz w:val="20"/>
        </w:rPr>
        <w:t>street;</w:t>
      </w:r>
      <w:proofErr w:type="gramEnd"/>
    </w:p>
    <w:p w14:paraId="3CFCC5BC" w14:textId="77777777" w:rsidR="00B46EF1" w:rsidRPr="00F25EA0" w:rsidRDefault="00B46EF1" w:rsidP="002A3889">
      <w:pPr>
        <w:pStyle w:val="ListParagraph"/>
        <w:numPr>
          <w:ilvl w:val="0"/>
          <w:numId w:val="158"/>
        </w:numPr>
        <w:spacing w:line="360" w:lineRule="auto"/>
        <w:ind w:left="714" w:hanging="357"/>
        <w:contextualSpacing w:val="0"/>
        <w:rPr>
          <w:rFonts w:ascii="Avenir LT 45 Book" w:eastAsia="Calibri" w:hAnsi="Avenir LT 45 Book" w:cs="Times New Roman"/>
          <w:sz w:val="20"/>
        </w:rPr>
      </w:pPr>
      <w:r w:rsidRPr="00F25EA0">
        <w:rPr>
          <w:rFonts w:ascii="Avenir LT 45 Book" w:eastAsia="Calibri" w:hAnsi="Avenir LT 45 Book" w:cs="Times New Roman"/>
          <w:sz w:val="20"/>
        </w:rPr>
        <w:t>Materials should not detract visually from the streetscape; and,</w:t>
      </w:r>
    </w:p>
    <w:p w14:paraId="483A91BE" w14:textId="77777777" w:rsidR="00B46EF1" w:rsidRPr="00F25EA0" w:rsidRDefault="00B46EF1" w:rsidP="002A3889">
      <w:pPr>
        <w:pStyle w:val="ListParagraph"/>
        <w:numPr>
          <w:ilvl w:val="0"/>
          <w:numId w:val="158"/>
        </w:numPr>
        <w:spacing w:line="360" w:lineRule="auto"/>
        <w:ind w:left="714" w:hanging="357"/>
        <w:contextualSpacing w:val="0"/>
        <w:rPr>
          <w:rFonts w:ascii="Avenir LT 45 Book" w:eastAsia="Calibri" w:hAnsi="Avenir LT 45 Book" w:cs="Times New Roman"/>
          <w:sz w:val="20"/>
        </w:rPr>
      </w:pPr>
      <w:r w:rsidRPr="00F25EA0">
        <w:rPr>
          <w:rFonts w:ascii="Avenir LT 45 Book" w:eastAsia="Calibri" w:hAnsi="Avenir LT 45 Book" w:cs="Times New Roman"/>
          <w:sz w:val="20"/>
        </w:rPr>
        <w:t>Carports associated with existing residences are not required to mimic or match the materials of the house.</w:t>
      </w:r>
    </w:p>
    <w:p w14:paraId="09F5F4B4" w14:textId="77777777" w:rsidR="00B46EF1" w:rsidRPr="00842387" w:rsidRDefault="00B46EF1" w:rsidP="00B46EF1">
      <w:pPr>
        <w:rPr>
          <w:rFonts w:ascii="Avenir LT 65 Medium" w:hAnsi="Avenir LT 65 Medium"/>
        </w:rPr>
      </w:pPr>
      <w:r>
        <w:rPr>
          <w:rFonts w:ascii="Avenir LT 65 Medium" w:hAnsi="Avenir LT 65 Medium"/>
          <w:noProof/>
          <w:lang w:eastAsia="en-AU"/>
        </w:rPr>
        <w:lastRenderedPageBreak/>
        <w:drawing>
          <wp:inline distT="0" distB="0" distL="0" distR="0" wp14:anchorId="4E5A8270" wp14:editId="014ADEA1">
            <wp:extent cx="5105400" cy="4352925"/>
            <wp:effectExtent l="19050" t="0" r="0" b="0"/>
            <wp:docPr id="212" name="Picture 5" descr="GARAGES 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7.eps"/>
                    <pic:cNvPicPr/>
                  </pic:nvPicPr>
                  <pic:blipFill>
                    <a:blip r:embed="rId217"/>
                    <a:stretch>
                      <a:fillRect/>
                    </a:stretch>
                  </pic:blipFill>
                  <pic:spPr>
                    <a:xfrm>
                      <a:off x="0" y="0"/>
                      <a:ext cx="5105400" cy="4352925"/>
                    </a:xfrm>
                    <a:prstGeom prst="rect">
                      <a:avLst/>
                    </a:prstGeom>
                  </pic:spPr>
                </pic:pic>
              </a:graphicData>
            </a:graphic>
          </wp:inline>
        </w:drawing>
      </w:r>
    </w:p>
    <w:p w14:paraId="3BB9463A" w14:textId="77777777" w:rsidR="00B46EF1" w:rsidRPr="00842387" w:rsidRDefault="00B46EF1" w:rsidP="00B46EF1">
      <w:r w:rsidRPr="00842387">
        <w:rPr>
          <w:rFonts w:ascii="Avenir LT 65 Medium" w:hAnsi="Avenir LT 65 Medium"/>
        </w:rPr>
        <w:t>Figure 18</w:t>
      </w:r>
      <w:r w:rsidRPr="00842387">
        <w:t xml:space="preserve"> – </w:t>
      </w:r>
      <w:r w:rsidRPr="00F25EA0">
        <w:rPr>
          <w:rFonts w:ascii="Avenir LT 45 Book" w:eastAsia="Calibri" w:hAnsi="Avenir LT 45 Book"/>
          <w:sz w:val="20"/>
        </w:rPr>
        <w:t xml:space="preserve">Plan illustrating compatible garage in new developments – </w:t>
      </w:r>
      <w:r w:rsidRPr="00F25EA0">
        <w:rPr>
          <w:rFonts w:ascii="Avenir LT 45 Book" w:eastAsia="Calibri" w:hAnsi="Avenir LT 45 Book"/>
          <w:i/>
          <w:sz w:val="20"/>
        </w:rPr>
        <w:t>Griffiths Architects 2012.</w:t>
      </w:r>
    </w:p>
    <w:p w14:paraId="4DC7F8AF" w14:textId="77777777" w:rsidR="00B46EF1" w:rsidRDefault="00B46EF1" w:rsidP="00B46EF1">
      <w:pPr>
        <w:rPr>
          <w:noProof/>
          <w:lang w:eastAsia="en-AU"/>
        </w:rPr>
      </w:pPr>
      <w:r>
        <w:rPr>
          <w:noProof/>
          <w:lang w:eastAsia="en-AU"/>
        </w:rPr>
        <w:lastRenderedPageBreak/>
        <w:drawing>
          <wp:inline distT="0" distB="0" distL="0" distR="0" wp14:anchorId="304B7518" wp14:editId="59D7F2CF">
            <wp:extent cx="5868035" cy="5160645"/>
            <wp:effectExtent l="19050" t="0" r="0" b="0"/>
            <wp:docPr id="213" name="Picture 23" descr="GARAGES 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5.eps"/>
                    <pic:cNvPicPr/>
                  </pic:nvPicPr>
                  <pic:blipFill>
                    <a:blip r:embed="rId218"/>
                    <a:stretch>
                      <a:fillRect/>
                    </a:stretch>
                  </pic:blipFill>
                  <pic:spPr>
                    <a:xfrm>
                      <a:off x="0" y="0"/>
                      <a:ext cx="5868035" cy="5160645"/>
                    </a:xfrm>
                    <a:prstGeom prst="rect">
                      <a:avLst/>
                    </a:prstGeom>
                  </pic:spPr>
                </pic:pic>
              </a:graphicData>
            </a:graphic>
          </wp:inline>
        </w:drawing>
      </w:r>
    </w:p>
    <w:p w14:paraId="0B9C34B5" w14:textId="77777777" w:rsidR="00B46EF1" w:rsidRPr="00F25EA0" w:rsidRDefault="00B46EF1" w:rsidP="00B46EF1">
      <w:pPr>
        <w:rPr>
          <w:rFonts w:ascii="Avenir LT 45 Book" w:eastAsia="Calibri" w:hAnsi="Avenir LT 45 Book"/>
          <w:i/>
          <w:sz w:val="20"/>
        </w:rPr>
      </w:pPr>
      <w:r w:rsidRPr="00842387">
        <w:rPr>
          <w:rFonts w:ascii="Avenir LT 65 Medium" w:hAnsi="Avenir LT 65 Medium"/>
        </w:rPr>
        <w:t>Figure 19</w:t>
      </w:r>
      <w:r w:rsidRPr="00842387">
        <w:t xml:space="preserve"> – </w:t>
      </w:r>
      <w:r w:rsidRPr="00F25EA0">
        <w:rPr>
          <w:rFonts w:ascii="Avenir LT 45 Book" w:eastAsia="Calibri" w:hAnsi="Avenir LT 45 Book"/>
          <w:sz w:val="20"/>
        </w:rPr>
        <w:t xml:space="preserve">Site plan illustrating compatible garages in residential developments – </w:t>
      </w:r>
      <w:r w:rsidRPr="00F25EA0">
        <w:rPr>
          <w:rFonts w:ascii="Avenir LT 45 Book" w:eastAsia="Calibri" w:hAnsi="Avenir LT 45 Book"/>
          <w:i/>
          <w:sz w:val="20"/>
        </w:rPr>
        <w:t>Griffiths Architects 2012.</w:t>
      </w:r>
    </w:p>
    <w:p w14:paraId="029EC326" w14:textId="77777777" w:rsidR="00B46EF1" w:rsidRDefault="00B46EF1" w:rsidP="00B46EF1">
      <w:r>
        <w:br w:type="page"/>
      </w:r>
    </w:p>
    <w:p w14:paraId="1FB12F8B" w14:textId="77777777" w:rsidR="00B46EF1" w:rsidRDefault="00097FF1" w:rsidP="00097FF1">
      <w:pPr>
        <w:pStyle w:val="Heading5"/>
      </w:pPr>
      <w:r>
        <w:lastRenderedPageBreak/>
        <w:t>3.7.15.3.3</w:t>
      </w:r>
      <w:r>
        <w:tab/>
      </w:r>
      <w:r w:rsidR="00B46EF1" w:rsidRPr="00842387">
        <w:t>Performance Criteria and Acceptable Development</w:t>
      </w:r>
      <w:r w:rsidR="00B46EF1">
        <w:t xml:space="preserve">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3"/>
        <w:gridCol w:w="4513"/>
      </w:tblGrid>
      <w:tr w:rsidR="00B46EF1" w:rsidRPr="00842387" w14:paraId="4DD8DEFB" w14:textId="77777777" w:rsidTr="008048CE">
        <w:tc>
          <w:tcPr>
            <w:tcW w:w="4621" w:type="dxa"/>
            <w:tcBorders>
              <w:bottom w:val="single" w:sz="4" w:space="0" w:color="auto"/>
            </w:tcBorders>
          </w:tcPr>
          <w:p w14:paraId="6B79BDD0"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Borders>
              <w:bottom w:val="single" w:sz="4" w:space="0" w:color="auto"/>
            </w:tcBorders>
          </w:tcPr>
          <w:p w14:paraId="3873CEFF" w14:textId="77777777" w:rsidR="00B46EF1" w:rsidRDefault="00B46EF1" w:rsidP="008048CE">
            <w:r w:rsidRPr="00842387">
              <w:rPr>
                <w:rFonts w:ascii="Avenir LT 65 Medium" w:hAnsi="Avenir LT 65 Medium"/>
              </w:rPr>
              <w:t>Acceptable Development Provisions</w:t>
            </w:r>
          </w:p>
        </w:tc>
      </w:tr>
      <w:tr w:rsidR="00B46EF1" w:rsidRPr="00842387" w14:paraId="1164C94F" w14:textId="77777777" w:rsidTr="008048CE">
        <w:tc>
          <w:tcPr>
            <w:tcW w:w="4621" w:type="dxa"/>
            <w:tcBorders>
              <w:top w:val="single" w:sz="4" w:space="0" w:color="auto"/>
              <w:bottom w:val="nil"/>
            </w:tcBorders>
          </w:tcPr>
          <w:p w14:paraId="13EF34EE" w14:textId="77777777" w:rsidR="00B46EF1" w:rsidRDefault="00B46EF1" w:rsidP="008048CE">
            <w:pPr>
              <w:spacing w:before="120"/>
              <w:rPr>
                <w:szCs w:val="20"/>
              </w:rPr>
            </w:pPr>
            <w:r w:rsidRPr="00842387">
              <w:rPr>
                <w:rFonts w:ascii="Avenir LT 65 Medium" w:hAnsi="Avenir LT 65 Medium"/>
                <w:szCs w:val="20"/>
              </w:rPr>
              <w:t>All Dwellings</w:t>
            </w:r>
          </w:p>
          <w:p w14:paraId="5ACE3798" w14:textId="77777777" w:rsidR="00B46EF1" w:rsidRDefault="00B46EF1" w:rsidP="002A3889">
            <w:pPr>
              <w:pStyle w:val="ListParagraph"/>
              <w:numPr>
                <w:ilvl w:val="0"/>
                <w:numId w:val="159"/>
              </w:numPr>
              <w:spacing w:before="120" w:line="360" w:lineRule="auto"/>
              <w:ind w:left="567" w:hanging="504"/>
              <w:contextualSpacing w:val="0"/>
            </w:pPr>
            <w:r w:rsidRPr="00097FF1">
              <w:rPr>
                <w:rFonts w:ascii="Avenir LT 45 Book" w:eastAsia="Calibri" w:hAnsi="Avenir LT 45 Book" w:cs="Times New Roman"/>
                <w:sz w:val="20"/>
              </w:rPr>
              <w:t>Garages, carports or outbuildings should comply with the recommended building materials for the Precinct.</w:t>
            </w:r>
          </w:p>
        </w:tc>
        <w:tc>
          <w:tcPr>
            <w:tcW w:w="4621" w:type="dxa"/>
            <w:tcBorders>
              <w:top w:val="single" w:sz="4" w:space="0" w:color="auto"/>
              <w:bottom w:val="nil"/>
            </w:tcBorders>
          </w:tcPr>
          <w:p w14:paraId="3437B7B5" w14:textId="77777777" w:rsidR="00B46EF1" w:rsidRDefault="00B46EF1" w:rsidP="008048CE">
            <w:pPr>
              <w:spacing w:before="120"/>
              <w:rPr>
                <w:szCs w:val="20"/>
              </w:rPr>
            </w:pPr>
            <w:r w:rsidRPr="00842387">
              <w:rPr>
                <w:rFonts w:ascii="Avenir LT 65 Medium" w:hAnsi="Avenir LT 65 Medium"/>
                <w:szCs w:val="20"/>
              </w:rPr>
              <w:t>All Dwellings</w:t>
            </w:r>
          </w:p>
          <w:p w14:paraId="588F6D66" w14:textId="77777777" w:rsidR="00B46EF1" w:rsidRDefault="00B46EF1" w:rsidP="002A3889">
            <w:pPr>
              <w:pStyle w:val="ListParagraph"/>
              <w:numPr>
                <w:ilvl w:val="0"/>
                <w:numId w:val="161"/>
              </w:numPr>
              <w:spacing w:before="120" w:line="360" w:lineRule="auto"/>
              <w:ind w:left="624" w:hanging="505"/>
              <w:contextualSpacing w:val="0"/>
            </w:pPr>
            <w:r w:rsidRPr="00097FF1">
              <w:rPr>
                <w:rFonts w:ascii="Avenir LT 45 Book" w:eastAsia="Calibri" w:hAnsi="Avenir LT 45 Book" w:cs="Times New Roman"/>
                <w:sz w:val="20"/>
              </w:rPr>
              <w:t>Refer to applicable Materials and Colours section for relevant precinct.  Plans, elevations and section drawings are to be provided to demonstrate the impact of the garage or carport on the existing dwelling.</w:t>
            </w:r>
          </w:p>
        </w:tc>
      </w:tr>
      <w:tr w:rsidR="00B46EF1" w:rsidRPr="00842387" w14:paraId="6BC0DC42" w14:textId="77777777" w:rsidTr="008048CE">
        <w:tc>
          <w:tcPr>
            <w:tcW w:w="4621" w:type="dxa"/>
            <w:tcBorders>
              <w:top w:val="nil"/>
              <w:bottom w:val="nil"/>
            </w:tcBorders>
          </w:tcPr>
          <w:p w14:paraId="628B9AB6" w14:textId="77777777" w:rsidR="00B46EF1" w:rsidRDefault="00B46EF1" w:rsidP="008048CE">
            <w:r w:rsidRPr="00842387">
              <w:rPr>
                <w:rFonts w:ascii="Avenir LT 65 Medium" w:hAnsi="Avenir LT 65 Medium"/>
                <w:szCs w:val="20"/>
              </w:rPr>
              <w:t>New Dwellings</w:t>
            </w:r>
            <w:r w:rsidRPr="00842387">
              <w:t xml:space="preserve"> </w:t>
            </w:r>
          </w:p>
          <w:p w14:paraId="20BB2F1B" w14:textId="77777777" w:rsidR="00B46EF1" w:rsidRDefault="00B46EF1" w:rsidP="002A3889">
            <w:pPr>
              <w:pStyle w:val="ListParagraph"/>
              <w:numPr>
                <w:ilvl w:val="0"/>
                <w:numId w:val="159"/>
              </w:numPr>
              <w:spacing w:line="360" w:lineRule="auto"/>
              <w:ind w:left="567" w:hanging="504"/>
              <w:contextualSpacing w:val="0"/>
            </w:pPr>
            <w:r w:rsidRPr="00097FF1">
              <w:rPr>
                <w:rFonts w:ascii="Avenir LT 45 Book" w:eastAsia="Calibri" w:hAnsi="Avenir LT 45 Book" w:cs="Times New Roman"/>
                <w:sz w:val="20"/>
              </w:rPr>
              <w:t>Garages and carports are designed to be incorporated into, and compatible with, the design of the dwelling.</w:t>
            </w:r>
          </w:p>
        </w:tc>
        <w:tc>
          <w:tcPr>
            <w:tcW w:w="4621" w:type="dxa"/>
            <w:tcBorders>
              <w:top w:val="nil"/>
              <w:bottom w:val="nil"/>
            </w:tcBorders>
          </w:tcPr>
          <w:p w14:paraId="480AE35E" w14:textId="77777777" w:rsidR="00B46EF1" w:rsidRDefault="00B46EF1" w:rsidP="008048CE">
            <w:r w:rsidRPr="00842387">
              <w:rPr>
                <w:rFonts w:ascii="Avenir LT 65 Medium" w:hAnsi="Avenir LT 65 Medium"/>
                <w:szCs w:val="20"/>
              </w:rPr>
              <w:t>New Dwellings</w:t>
            </w:r>
            <w:r w:rsidRPr="00842387">
              <w:t xml:space="preserve"> </w:t>
            </w:r>
          </w:p>
          <w:p w14:paraId="64C16EB4" w14:textId="77777777" w:rsidR="00B46EF1" w:rsidRDefault="00B46EF1" w:rsidP="002A3889">
            <w:pPr>
              <w:pStyle w:val="ListParagraph"/>
              <w:numPr>
                <w:ilvl w:val="0"/>
                <w:numId w:val="161"/>
              </w:numPr>
              <w:spacing w:line="360" w:lineRule="auto"/>
              <w:ind w:left="624" w:hanging="505"/>
              <w:contextualSpacing w:val="0"/>
            </w:pPr>
            <w:r w:rsidRPr="00097FF1">
              <w:rPr>
                <w:rFonts w:ascii="Avenir LT 45 Book" w:eastAsia="Calibri" w:hAnsi="Avenir LT 45 Book" w:cs="Times New Roman"/>
                <w:sz w:val="20"/>
              </w:rPr>
              <w:t>Plans, elevations and section drawings are to be provided to demonstrate the impact of the garage or carport on the new dwelling.</w:t>
            </w:r>
          </w:p>
        </w:tc>
      </w:tr>
      <w:tr w:rsidR="00B46EF1" w:rsidRPr="00842387" w14:paraId="2306DC6C" w14:textId="77777777" w:rsidTr="008048CE">
        <w:tc>
          <w:tcPr>
            <w:tcW w:w="4621" w:type="dxa"/>
            <w:tcBorders>
              <w:top w:val="nil"/>
              <w:bottom w:val="nil"/>
            </w:tcBorders>
          </w:tcPr>
          <w:p w14:paraId="60CECD41" w14:textId="77777777" w:rsidR="00B46EF1" w:rsidRDefault="00B46EF1" w:rsidP="008048CE">
            <w:r w:rsidRPr="00842387">
              <w:rPr>
                <w:rFonts w:ascii="Avenir LT 65 Medium" w:hAnsi="Avenir LT 65 Medium"/>
                <w:szCs w:val="20"/>
              </w:rPr>
              <w:t>Existing Dwellings</w:t>
            </w:r>
            <w:r w:rsidRPr="00842387">
              <w:t xml:space="preserve"> </w:t>
            </w:r>
          </w:p>
          <w:p w14:paraId="78A52B6C" w14:textId="77777777" w:rsidR="00B46EF1" w:rsidRPr="00097FF1" w:rsidRDefault="00B46EF1" w:rsidP="002A3889">
            <w:pPr>
              <w:pStyle w:val="ListParagraph"/>
              <w:numPr>
                <w:ilvl w:val="0"/>
                <w:numId w:val="159"/>
              </w:numPr>
              <w:spacing w:before="120" w:line="360" w:lineRule="auto"/>
              <w:ind w:left="567" w:hanging="504"/>
              <w:contextualSpacing w:val="0"/>
              <w:rPr>
                <w:rFonts w:ascii="Avenir LT 45 Book" w:eastAsia="Calibri" w:hAnsi="Avenir LT 45 Book" w:cs="Times New Roman"/>
                <w:sz w:val="20"/>
              </w:rPr>
            </w:pPr>
            <w:r w:rsidRPr="00097FF1">
              <w:rPr>
                <w:rFonts w:ascii="Avenir LT 45 Book" w:eastAsia="Calibri" w:hAnsi="Avenir LT 45 Book" w:cs="Times New Roman"/>
                <w:sz w:val="20"/>
              </w:rPr>
              <w:t>For existing buildings where there are no alternatives, carports may be located forward of the building line, provided they:</w:t>
            </w:r>
          </w:p>
          <w:p w14:paraId="737FD541" w14:textId="77777777" w:rsidR="00B46EF1" w:rsidRPr="00097FF1" w:rsidRDefault="00B46EF1" w:rsidP="002A3889">
            <w:pPr>
              <w:pStyle w:val="ListParagraph"/>
              <w:numPr>
                <w:ilvl w:val="0"/>
                <w:numId w:val="160"/>
              </w:numPr>
              <w:spacing w:line="360" w:lineRule="auto"/>
              <w:contextualSpacing w:val="0"/>
              <w:rPr>
                <w:rFonts w:ascii="Avenir LT 45 Book" w:eastAsia="Calibri" w:hAnsi="Avenir LT 45 Book" w:cs="Times New Roman"/>
                <w:sz w:val="20"/>
              </w:rPr>
            </w:pPr>
            <w:r w:rsidRPr="00097FF1">
              <w:rPr>
                <w:rFonts w:ascii="Avenir LT 45 Book" w:eastAsia="Calibri" w:hAnsi="Avenir LT 45 Book" w:cs="Times New Roman"/>
                <w:sz w:val="20"/>
              </w:rPr>
              <w:t>Do not visually dominate the streetscape or the buildings to which they belong; and,</w:t>
            </w:r>
          </w:p>
          <w:p w14:paraId="0A2504BF" w14:textId="77777777" w:rsidR="00B46EF1" w:rsidRDefault="00B46EF1" w:rsidP="002A3889">
            <w:pPr>
              <w:pStyle w:val="ListParagraph"/>
              <w:numPr>
                <w:ilvl w:val="0"/>
                <w:numId w:val="160"/>
              </w:numPr>
              <w:spacing w:line="360" w:lineRule="auto"/>
              <w:contextualSpacing w:val="0"/>
            </w:pPr>
            <w:r w:rsidRPr="00097FF1">
              <w:rPr>
                <w:rFonts w:ascii="Avenir LT 45 Book" w:eastAsia="Calibri" w:hAnsi="Avenir LT 45 Book" w:cs="Times New Roman"/>
                <w:sz w:val="20"/>
              </w:rPr>
              <w:t>Do not detract from the heritage character of a contributory building. Street elevations are to be included including a minimum of the subject lot and two neighbouring lots.</w:t>
            </w:r>
          </w:p>
        </w:tc>
        <w:tc>
          <w:tcPr>
            <w:tcW w:w="4621" w:type="dxa"/>
            <w:tcBorders>
              <w:top w:val="nil"/>
              <w:bottom w:val="nil"/>
            </w:tcBorders>
          </w:tcPr>
          <w:p w14:paraId="4933B6AD" w14:textId="77777777" w:rsidR="00B46EF1" w:rsidRDefault="00B46EF1" w:rsidP="008048CE">
            <w:r w:rsidRPr="00842387">
              <w:rPr>
                <w:rFonts w:ascii="Avenir LT 65 Medium" w:hAnsi="Avenir LT 65 Medium"/>
                <w:szCs w:val="20"/>
              </w:rPr>
              <w:t>Existing Dwellings</w:t>
            </w:r>
            <w:r w:rsidRPr="00842387">
              <w:t xml:space="preserve"> </w:t>
            </w:r>
          </w:p>
          <w:p w14:paraId="5FF3F9E4" w14:textId="77777777" w:rsidR="00B46EF1" w:rsidRPr="00097FF1" w:rsidRDefault="00B46EF1" w:rsidP="002A3889">
            <w:pPr>
              <w:pStyle w:val="ListParagraph"/>
              <w:numPr>
                <w:ilvl w:val="0"/>
                <w:numId w:val="161"/>
              </w:numPr>
              <w:spacing w:before="120" w:line="360" w:lineRule="auto"/>
              <w:ind w:left="624" w:hanging="505"/>
              <w:contextualSpacing w:val="0"/>
              <w:rPr>
                <w:rFonts w:ascii="Avenir LT 45 Book" w:eastAsia="Calibri" w:hAnsi="Avenir LT 45 Book" w:cs="Times New Roman"/>
                <w:sz w:val="20"/>
              </w:rPr>
            </w:pPr>
            <w:r w:rsidRPr="00097FF1">
              <w:rPr>
                <w:rFonts w:ascii="Avenir LT 45 Book" w:eastAsia="Calibri" w:hAnsi="Avenir LT 45 Book" w:cs="Times New Roman"/>
                <w:sz w:val="20"/>
              </w:rPr>
              <w:t>For existing buildings garages and carports are constructed behind the building line and comply with the following:</w:t>
            </w:r>
          </w:p>
          <w:p w14:paraId="2DC68103" w14:textId="77777777" w:rsidR="00B46EF1" w:rsidRPr="00097FF1" w:rsidRDefault="00B46EF1" w:rsidP="002A3889">
            <w:pPr>
              <w:pStyle w:val="ListParagraph"/>
              <w:numPr>
                <w:ilvl w:val="0"/>
                <w:numId w:val="162"/>
              </w:numPr>
              <w:spacing w:line="360" w:lineRule="auto"/>
              <w:contextualSpacing w:val="0"/>
              <w:rPr>
                <w:rFonts w:ascii="Avenir LT 45 Book" w:eastAsia="Calibri" w:hAnsi="Avenir LT 45 Book" w:cs="Times New Roman"/>
                <w:sz w:val="20"/>
              </w:rPr>
            </w:pPr>
            <w:r w:rsidRPr="00097FF1">
              <w:rPr>
                <w:rFonts w:ascii="Avenir LT 45 Book" w:eastAsia="Calibri" w:hAnsi="Avenir LT 45 Book" w:cs="Times New Roman"/>
                <w:sz w:val="20"/>
              </w:rPr>
              <w:t>Setback a minimum distance of 1.2m behind the building line; and,</w:t>
            </w:r>
          </w:p>
          <w:p w14:paraId="33501A1F" w14:textId="77777777" w:rsidR="00B46EF1" w:rsidRDefault="00B46EF1" w:rsidP="002A3889">
            <w:pPr>
              <w:pStyle w:val="ListParagraph"/>
              <w:numPr>
                <w:ilvl w:val="0"/>
                <w:numId w:val="162"/>
              </w:numPr>
              <w:spacing w:line="360" w:lineRule="auto"/>
              <w:contextualSpacing w:val="0"/>
            </w:pPr>
            <w:r w:rsidRPr="00097FF1">
              <w:rPr>
                <w:rFonts w:ascii="Avenir LT 45 Book" w:eastAsia="Calibri" w:hAnsi="Avenir LT 45 Book" w:cs="Times New Roman"/>
                <w:sz w:val="20"/>
              </w:rPr>
              <w:t>The width of garages and carports are not greater than 30% of the frontage of the lot.</w:t>
            </w:r>
          </w:p>
        </w:tc>
      </w:tr>
      <w:tr w:rsidR="00B46EF1" w:rsidRPr="00842387" w14:paraId="4F441FE6" w14:textId="77777777" w:rsidTr="008048CE">
        <w:tc>
          <w:tcPr>
            <w:tcW w:w="4621" w:type="dxa"/>
            <w:tcBorders>
              <w:top w:val="nil"/>
              <w:bottom w:val="nil"/>
            </w:tcBorders>
          </w:tcPr>
          <w:p w14:paraId="5942E7CF" w14:textId="77777777" w:rsidR="00B46EF1" w:rsidRDefault="00B46EF1" w:rsidP="008048CE">
            <w:pPr>
              <w:rPr>
                <w:rFonts w:ascii="Avenir LT 65 Medium" w:hAnsi="Avenir LT 65 Medium"/>
                <w:szCs w:val="20"/>
              </w:rPr>
            </w:pPr>
            <w:r w:rsidRPr="00842387">
              <w:rPr>
                <w:rFonts w:ascii="Avenir LT 65 Medium" w:hAnsi="Avenir LT 65 Medium"/>
                <w:szCs w:val="20"/>
              </w:rPr>
              <w:t>Multiple and Grouped Dwellings</w:t>
            </w:r>
          </w:p>
          <w:p w14:paraId="76C3E276" w14:textId="77777777" w:rsidR="00B46EF1" w:rsidRDefault="00B46EF1" w:rsidP="002A3889">
            <w:pPr>
              <w:pStyle w:val="ListParagraph"/>
              <w:numPr>
                <w:ilvl w:val="0"/>
                <w:numId w:val="159"/>
              </w:numPr>
              <w:spacing w:line="360" w:lineRule="auto"/>
              <w:ind w:left="567" w:hanging="504"/>
              <w:contextualSpacing w:val="0"/>
            </w:pPr>
            <w:r w:rsidRPr="00097FF1">
              <w:rPr>
                <w:rFonts w:ascii="Avenir LT 45 Book" w:eastAsia="Calibri" w:hAnsi="Avenir LT 45 Book" w:cs="Times New Roman"/>
                <w:sz w:val="20"/>
              </w:rPr>
              <w:t>Adequate car and bicycle parking provided on-site in accordance with development requirements.</w:t>
            </w:r>
          </w:p>
        </w:tc>
        <w:tc>
          <w:tcPr>
            <w:tcW w:w="4621" w:type="dxa"/>
            <w:tcBorders>
              <w:top w:val="nil"/>
              <w:bottom w:val="nil"/>
            </w:tcBorders>
          </w:tcPr>
          <w:p w14:paraId="53D3C925" w14:textId="77777777" w:rsidR="00B46EF1" w:rsidRDefault="00B46EF1" w:rsidP="008048CE">
            <w:pPr>
              <w:rPr>
                <w:rFonts w:ascii="Avenir LT 65 Medium" w:hAnsi="Avenir LT 65 Medium"/>
                <w:szCs w:val="20"/>
              </w:rPr>
            </w:pPr>
            <w:r w:rsidRPr="00842387">
              <w:rPr>
                <w:rFonts w:ascii="Avenir LT 65 Medium" w:hAnsi="Avenir LT 65 Medium"/>
                <w:szCs w:val="20"/>
              </w:rPr>
              <w:t>Multiple and Grouped Dwellings</w:t>
            </w:r>
          </w:p>
          <w:p w14:paraId="7ED86914" w14:textId="77777777" w:rsidR="00B46EF1" w:rsidRDefault="00B46EF1" w:rsidP="002A3889">
            <w:pPr>
              <w:pStyle w:val="ListParagraph"/>
              <w:numPr>
                <w:ilvl w:val="0"/>
                <w:numId w:val="161"/>
              </w:numPr>
              <w:spacing w:line="360" w:lineRule="auto"/>
              <w:ind w:left="624" w:hanging="505"/>
              <w:contextualSpacing w:val="0"/>
            </w:pPr>
            <w:r w:rsidRPr="00097FF1">
              <w:rPr>
                <w:rFonts w:ascii="Avenir LT 45 Book" w:eastAsia="Calibri" w:hAnsi="Avenir LT 45 Book" w:cs="Times New Roman"/>
                <w:sz w:val="20"/>
              </w:rPr>
              <w:t>Refer R Codes for car space and bicycle space requirements.</w:t>
            </w:r>
          </w:p>
        </w:tc>
      </w:tr>
      <w:tr w:rsidR="00B46EF1" w:rsidRPr="00842387" w14:paraId="6145695B" w14:textId="77777777" w:rsidTr="008048CE">
        <w:trPr>
          <w:trHeight w:val="80"/>
        </w:trPr>
        <w:tc>
          <w:tcPr>
            <w:tcW w:w="4621" w:type="dxa"/>
            <w:tcBorders>
              <w:top w:val="nil"/>
            </w:tcBorders>
          </w:tcPr>
          <w:p w14:paraId="0388894F" w14:textId="77777777" w:rsidR="00B46EF1" w:rsidRDefault="00B46EF1" w:rsidP="002A3889">
            <w:pPr>
              <w:pStyle w:val="ListParagraph"/>
              <w:numPr>
                <w:ilvl w:val="0"/>
                <w:numId w:val="159"/>
              </w:numPr>
              <w:spacing w:line="360" w:lineRule="auto"/>
              <w:ind w:left="567" w:hanging="504"/>
              <w:contextualSpacing w:val="0"/>
              <w:rPr>
                <w:rFonts w:ascii="Avenir LT 65 Medium" w:hAnsi="Avenir LT 65 Medium"/>
                <w:szCs w:val="20"/>
              </w:rPr>
            </w:pPr>
            <w:r w:rsidRPr="00097FF1">
              <w:rPr>
                <w:rFonts w:ascii="Avenir LT 45 Book" w:eastAsia="Calibri" w:hAnsi="Avenir LT 45 Book" w:cs="Times New Roman"/>
                <w:sz w:val="20"/>
              </w:rPr>
              <w:t>Garages and carports shall not be prominent on the primary street façade.</w:t>
            </w:r>
          </w:p>
        </w:tc>
        <w:tc>
          <w:tcPr>
            <w:tcW w:w="4621" w:type="dxa"/>
            <w:tcBorders>
              <w:top w:val="nil"/>
            </w:tcBorders>
          </w:tcPr>
          <w:p w14:paraId="28084B81" w14:textId="77777777" w:rsidR="00B46EF1" w:rsidRDefault="00B46EF1" w:rsidP="002A3889">
            <w:pPr>
              <w:pStyle w:val="ListParagraph"/>
              <w:numPr>
                <w:ilvl w:val="0"/>
                <w:numId w:val="161"/>
              </w:numPr>
              <w:spacing w:line="360" w:lineRule="auto"/>
              <w:ind w:left="624" w:hanging="505"/>
              <w:contextualSpacing w:val="0"/>
              <w:rPr>
                <w:rFonts w:ascii="Avenir LT 65 Medium" w:hAnsi="Avenir LT 65 Medium"/>
                <w:szCs w:val="20"/>
              </w:rPr>
            </w:pPr>
            <w:r w:rsidRPr="00097FF1">
              <w:rPr>
                <w:rFonts w:ascii="Avenir LT 45 Book" w:eastAsia="Calibri" w:hAnsi="Avenir LT 45 Book" w:cs="Times New Roman"/>
                <w:sz w:val="20"/>
              </w:rPr>
              <w:t>Garages designed at the rear of the lot.</w:t>
            </w:r>
          </w:p>
        </w:tc>
      </w:tr>
    </w:tbl>
    <w:p w14:paraId="3EE7AB90" w14:textId="77777777" w:rsidR="00B46EF1" w:rsidRDefault="00B46EF1" w:rsidP="00B46EF1">
      <w:pPr>
        <w:pStyle w:val="Heading4"/>
        <w:rPr>
          <w:highlight w:val="lightGray"/>
        </w:rPr>
      </w:pPr>
    </w:p>
    <w:p w14:paraId="58AD958B" w14:textId="77777777" w:rsidR="00B46EF1" w:rsidRDefault="00B46EF1" w:rsidP="00B46EF1">
      <w:pPr>
        <w:rPr>
          <w:rFonts w:ascii="Avenir LT 65 Medium" w:eastAsiaTheme="majorEastAsia" w:hAnsi="Avenir LT 65 Medium" w:cstheme="majorBidi"/>
          <w:bCs/>
          <w:iCs/>
          <w:highlight w:val="lightGray"/>
        </w:rPr>
      </w:pPr>
      <w:r>
        <w:rPr>
          <w:highlight w:val="lightGray"/>
        </w:rPr>
        <w:br w:type="page"/>
      </w:r>
    </w:p>
    <w:p w14:paraId="164ED45C" w14:textId="77777777" w:rsidR="00B46EF1" w:rsidRDefault="006F1F28" w:rsidP="006F1F28">
      <w:pPr>
        <w:pStyle w:val="Heading4"/>
        <w:spacing w:after="240"/>
      </w:pPr>
      <w:r>
        <w:rPr>
          <w:rFonts w:ascii="Avenir LT 65 Medium" w:hAnsi="Avenir LT 65 Medium"/>
          <w:bCs/>
          <w:i w:val="0"/>
          <w:color w:val="auto"/>
        </w:rPr>
        <w:lastRenderedPageBreak/>
        <w:t>3.7.15.4</w:t>
      </w:r>
      <w:r>
        <w:rPr>
          <w:rFonts w:ascii="Avenir LT 65 Medium" w:hAnsi="Avenir LT 65 Medium"/>
          <w:bCs/>
          <w:i w:val="0"/>
          <w:color w:val="auto"/>
        </w:rPr>
        <w:tab/>
      </w:r>
      <w:r w:rsidR="00B46EF1" w:rsidRPr="00097FF1">
        <w:rPr>
          <w:rFonts w:ascii="Avenir LT 65 Medium" w:hAnsi="Avenir LT 65 Medium"/>
          <w:bCs/>
          <w:i w:val="0"/>
          <w:color w:val="auto"/>
        </w:rPr>
        <w:t>Building Design Requirements</w:t>
      </w:r>
    </w:p>
    <w:p w14:paraId="69357F3F" w14:textId="77777777" w:rsidR="00B46EF1" w:rsidRDefault="006F1F28" w:rsidP="00097FF1">
      <w:pPr>
        <w:pStyle w:val="Heading5"/>
      </w:pPr>
      <w:r>
        <w:t>3.7.15.4.1</w:t>
      </w:r>
      <w:r>
        <w:tab/>
      </w:r>
      <w:r w:rsidR="00B46EF1" w:rsidRPr="00842387">
        <w:t xml:space="preserve">Building </w:t>
      </w:r>
      <w:r w:rsidR="00B46EF1">
        <w:t xml:space="preserve">Height, </w:t>
      </w:r>
      <w:r w:rsidR="00B46EF1" w:rsidRPr="00842387">
        <w:t xml:space="preserve">Form, Scale </w:t>
      </w:r>
      <w:r w:rsidR="00B46EF1">
        <w:t>and</w:t>
      </w:r>
      <w:r w:rsidR="00B46EF1" w:rsidRPr="00842387">
        <w:t xml:space="preserve"> Bulk</w:t>
      </w:r>
    </w:p>
    <w:p w14:paraId="445F8C12" w14:textId="77777777" w:rsidR="00B46EF1" w:rsidRPr="009C48FD" w:rsidRDefault="006F1F28" w:rsidP="00B46EF1">
      <w:pPr>
        <w:ind w:left="1418" w:hanging="1418"/>
        <w:rPr>
          <w:rFonts w:ascii="Avenir LT 65 Medium" w:hAnsi="Avenir LT 65 Medium"/>
        </w:rPr>
      </w:pPr>
      <w:r>
        <w:rPr>
          <w:rFonts w:ascii="Avenir LT 65 Medium" w:hAnsi="Avenir LT 65 Medium"/>
        </w:rPr>
        <w:t>3.7.15.4.1.1</w:t>
      </w:r>
      <w:r>
        <w:rPr>
          <w:rFonts w:ascii="Avenir LT 65 Medium" w:hAnsi="Avenir LT 65 Medium"/>
        </w:rPr>
        <w:tab/>
      </w:r>
      <w:r w:rsidR="00B46EF1" w:rsidRPr="009C48FD">
        <w:rPr>
          <w:rFonts w:ascii="Avenir LT 65 Medium" w:hAnsi="Avenir LT 65 Medium"/>
        </w:rPr>
        <w:t>Statement</w:t>
      </w:r>
    </w:p>
    <w:p w14:paraId="208D75DE" w14:textId="77777777" w:rsidR="00B46EF1" w:rsidRPr="006F1F28" w:rsidRDefault="00B46EF1" w:rsidP="006F1F28">
      <w:pPr>
        <w:spacing w:line="360" w:lineRule="auto"/>
        <w:rPr>
          <w:rFonts w:ascii="Avenir LT 45 Book" w:eastAsia="Calibri" w:hAnsi="Avenir LT 45 Book"/>
          <w:i/>
          <w:sz w:val="20"/>
        </w:rPr>
      </w:pPr>
      <w:r w:rsidRPr="006F1F28">
        <w:rPr>
          <w:rFonts w:ascii="Avenir LT 45 Book" w:eastAsia="Calibri" w:hAnsi="Avenir LT 45 Book"/>
          <w:i/>
          <w:sz w:val="20"/>
        </w:rPr>
        <w:t>Dwellings that contribute positively to the character and significance of the Woodside and Richmond Precincts are generally of similar form, bulk and scale.  The prevailing building typology is modest single storey residences facing the street.  This is such a strong characteristic that single storey, and compatible two storey development, should be the maximum building envelope.  Lot sizes and setbacks are also consistent throughout both Precincts.  In any new development, the form, bulk and scale will need to be demonstrably compatible with the existing and surrounding residences.</w:t>
      </w:r>
    </w:p>
    <w:p w14:paraId="6DEF8BA1" w14:textId="77777777" w:rsidR="00B46EF1" w:rsidRDefault="00B46EF1" w:rsidP="00B46EF1">
      <w:r>
        <w:rPr>
          <w:noProof/>
          <w:lang w:eastAsia="en-AU"/>
        </w:rPr>
        <w:drawing>
          <wp:inline distT="0" distB="0" distL="0" distR="0" wp14:anchorId="4C8AD36A" wp14:editId="04DD745C">
            <wp:extent cx="2524125" cy="1800225"/>
            <wp:effectExtent l="19050" t="0" r="9525" b="0"/>
            <wp:docPr id="68" name="Picture 8" descr="Z:\2011 JOBS\11206-EAST FREMANTLE GUIDELINES\11206-PHOTOS\PROCESSED\WOODSIDE\38 OAKOVER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2011 JOBS\11206-EAST FREMANTLE GUIDELINES\11206-PHOTOS\PROCESSED\WOODSIDE\38 OAKOVER ST.jpg"/>
                    <pic:cNvPicPr>
                      <a:picLocks noChangeAspect="1" noChangeArrowheads="1"/>
                    </pic:cNvPicPr>
                  </pic:nvPicPr>
                  <pic:blipFill>
                    <a:blip r:embed="rId219"/>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3EC5A1A6" wp14:editId="3ED727EF">
            <wp:extent cx="2524125" cy="1800225"/>
            <wp:effectExtent l="19050" t="0" r="9525" b="0"/>
            <wp:docPr id="71" name="Picture 10" descr="Z:\2011 JOBS\11206-EAST FREMANTLE GUIDELINES\11206-PHOTOS\PROCESSED\RICHMOND\29-31 STATON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2011 JOBS\11206-EAST FREMANTLE GUIDELINES\11206-PHOTOS\PROCESSED\RICHMOND\29-31 STATON ROAD.jpg"/>
                    <pic:cNvPicPr>
                      <a:picLocks noChangeAspect="1" noChangeArrowheads="1"/>
                    </pic:cNvPicPr>
                  </pic:nvPicPr>
                  <pic:blipFill>
                    <a:blip r:embed="rId220"/>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19CC925B" w14:textId="77777777" w:rsidR="00B46EF1" w:rsidRPr="009C48FD" w:rsidRDefault="006F1F28" w:rsidP="00B46EF1">
      <w:pPr>
        <w:ind w:left="1418" w:hanging="1418"/>
        <w:rPr>
          <w:rFonts w:ascii="Avenir LT 65 Medium" w:hAnsi="Avenir LT 65 Medium"/>
        </w:rPr>
      </w:pPr>
      <w:r>
        <w:rPr>
          <w:rFonts w:ascii="Avenir LT 65 Medium" w:hAnsi="Avenir LT 65 Medium"/>
        </w:rPr>
        <w:t>3.7.15.4.1.2</w:t>
      </w:r>
      <w:r>
        <w:rPr>
          <w:rFonts w:ascii="Avenir LT 65 Medium" w:hAnsi="Avenir LT 65 Medium"/>
        </w:rPr>
        <w:tab/>
      </w:r>
      <w:r w:rsidR="00B46EF1">
        <w:rPr>
          <w:rFonts w:ascii="Avenir LT 65 Medium" w:hAnsi="Avenir LT 65 Medium"/>
        </w:rPr>
        <w:t>Desired Development Outcomes</w:t>
      </w:r>
    </w:p>
    <w:p w14:paraId="58177211" w14:textId="77777777" w:rsidR="00B46EF1" w:rsidRPr="006F1F28" w:rsidRDefault="00B46EF1" w:rsidP="002A3889">
      <w:pPr>
        <w:pStyle w:val="ListParagraph"/>
        <w:numPr>
          <w:ilvl w:val="0"/>
          <w:numId w:val="163"/>
        </w:numPr>
        <w:spacing w:line="360" w:lineRule="auto"/>
        <w:ind w:left="714" w:hanging="357"/>
        <w:contextualSpacing w:val="0"/>
        <w:rPr>
          <w:rFonts w:ascii="Avenir LT 45 Book" w:eastAsia="Calibri" w:hAnsi="Avenir LT 45 Book" w:cs="Times New Roman"/>
          <w:sz w:val="20"/>
        </w:rPr>
      </w:pPr>
      <w:r w:rsidRPr="006F1F28">
        <w:rPr>
          <w:rFonts w:ascii="Avenir LT 45 Book" w:eastAsia="Calibri" w:hAnsi="Avenir LT 45 Book" w:cs="Times New Roman"/>
          <w:sz w:val="20"/>
        </w:rPr>
        <w:t xml:space="preserve">New developments should reflect the prevailing form, bulk and scale of the immediate </w:t>
      </w:r>
      <w:proofErr w:type="gramStart"/>
      <w:r w:rsidRPr="006F1F28">
        <w:rPr>
          <w:rFonts w:ascii="Avenir LT 45 Book" w:eastAsia="Calibri" w:hAnsi="Avenir LT 45 Book" w:cs="Times New Roman"/>
          <w:sz w:val="20"/>
        </w:rPr>
        <w:t>locality;</w:t>
      </w:r>
      <w:proofErr w:type="gramEnd"/>
    </w:p>
    <w:p w14:paraId="167FDB2F" w14:textId="77777777" w:rsidR="00B46EF1" w:rsidRPr="006F1F28" w:rsidRDefault="00B46EF1" w:rsidP="002A3889">
      <w:pPr>
        <w:pStyle w:val="ListParagraph"/>
        <w:numPr>
          <w:ilvl w:val="0"/>
          <w:numId w:val="163"/>
        </w:numPr>
        <w:spacing w:line="360" w:lineRule="auto"/>
        <w:ind w:left="714" w:hanging="357"/>
        <w:contextualSpacing w:val="0"/>
        <w:rPr>
          <w:rFonts w:ascii="Avenir LT 45 Book" w:eastAsia="Calibri" w:hAnsi="Avenir LT 45 Book" w:cs="Times New Roman"/>
          <w:sz w:val="20"/>
        </w:rPr>
      </w:pPr>
      <w:r w:rsidRPr="006F1F28">
        <w:rPr>
          <w:rFonts w:ascii="Avenir LT 45 Book" w:eastAsia="Calibri" w:hAnsi="Avenir LT 45 Book" w:cs="Times New Roman"/>
          <w:sz w:val="20"/>
        </w:rPr>
        <w:t>New developments shall respect and follow the predominant street pattern in terms of roof pitch, orientation and articulation; and,</w:t>
      </w:r>
    </w:p>
    <w:p w14:paraId="420847DB" w14:textId="77777777" w:rsidR="00B46EF1" w:rsidRPr="006F1F28" w:rsidRDefault="00B46EF1" w:rsidP="002A3889">
      <w:pPr>
        <w:pStyle w:val="ListParagraph"/>
        <w:numPr>
          <w:ilvl w:val="0"/>
          <w:numId w:val="163"/>
        </w:numPr>
        <w:spacing w:line="360" w:lineRule="auto"/>
        <w:ind w:left="714" w:hanging="357"/>
        <w:contextualSpacing w:val="0"/>
        <w:rPr>
          <w:rFonts w:ascii="Avenir LT 45 Book" w:eastAsia="Calibri" w:hAnsi="Avenir LT 45 Book" w:cs="Times New Roman"/>
          <w:sz w:val="20"/>
        </w:rPr>
      </w:pPr>
      <w:r w:rsidRPr="006F1F28">
        <w:rPr>
          <w:rFonts w:ascii="Avenir LT 45 Book" w:eastAsia="Calibri" w:hAnsi="Avenir LT 45 Book" w:cs="Times New Roman"/>
          <w:sz w:val="20"/>
        </w:rPr>
        <w:t>The bulk of two storey developments and additions should be located towards the rear of the lot and not be visually dominant when viewed from the primary street.</w:t>
      </w:r>
    </w:p>
    <w:p w14:paraId="52B975B9" w14:textId="77777777" w:rsidR="00B46EF1" w:rsidRPr="009C48FD" w:rsidRDefault="00B46EF1" w:rsidP="00CD43A9">
      <w:pPr>
        <w:spacing w:after="120"/>
        <w:ind w:left="1418" w:hanging="1418"/>
        <w:rPr>
          <w:rFonts w:ascii="Avenir LT 65 Medium" w:hAnsi="Avenir LT 65 Medium"/>
        </w:rPr>
      </w:pPr>
      <w:r w:rsidRPr="009C48FD">
        <w:rPr>
          <w:rFonts w:ascii="Avenir LT 65 Medium" w:hAnsi="Avenir LT 65 Medium"/>
        </w:rPr>
        <w:t>3.7.15.4.1.</w:t>
      </w:r>
      <w:r>
        <w:rPr>
          <w:rFonts w:ascii="Avenir LT 65 Medium" w:hAnsi="Avenir LT 65 Medium"/>
        </w:rPr>
        <w:t>3</w:t>
      </w:r>
      <w:r w:rsidRPr="009C48FD">
        <w:rPr>
          <w:rFonts w:ascii="Avenir LT 65 Medium" w:hAnsi="Avenir LT 65 Medium"/>
        </w:rPr>
        <w:tab/>
      </w:r>
      <w:r>
        <w:rPr>
          <w:rFonts w:ascii="Avenir LT 65 Medium" w:hAnsi="Avenir LT 65 Medium"/>
        </w:rPr>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5"/>
        <w:gridCol w:w="4521"/>
      </w:tblGrid>
      <w:tr w:rsidR="00B46EF1" w:rsidRPr="00842387" w14:paraId="18AF69C5" w14:textId="77777777" w:rsidTr="008048CE">
        <w:tc>
          <w:tcPr>
            <w:tcW w:w="4621" w:type="dxa"/>
          </w:tcPr>
          <w:p w14:paraId="2FE619E4" w14:textId="77777777" w:rsidR="00B46EF1" w:rsidRDefault="00B46EF1" w:rsidP="008048CE">
            <w:pPr>
              <w:spacing w:after="20"/>
              <w:rPr>
                <w:rFonts w:ascii="Avenir LT 65 Medium" w:hAnsi="Avenir LT 65 Medium"/>
              </w:rPr>
            </w:pPr>
            <w:r w:rsidRPr="00842387">
              <w:rPr>
                <w:rFonts w:ascii="Avenir LT 65 Medium" w:hAnsi="Avenir LT 65 Medium"/>
              </w:rPr>
              <w:t>Performance Criteria</w:t>
            </w:r>
          </w:p>
        </w:tc>
        <w:tc>
          <w:tcPr>
            <w:tcW w:w="4621" w:type="dxa"/>
          </w:tcPr>
          <w:p w14:paraId="297C17F2" w14:textId="77777777" w:rsidR="00B46EF1" w:rsidRDefault="00B46EF1" w:rsidP="008048CE">
            <w:pPr>
              <w:spacing w:after="20"/>
            </w:pPr>
            <w:r w:rsidRPr="00842387">
              <w:rPr>
                <w:rFonts w:ascii="Avenir LT 65 Medium" w:hAnsi="Avenir LT 65 Medium"/>
              </w:rPr>
              <w:t>Acceptable Development Provisions</w:t>
            </w:r>
          </w:p>
        </w:tc>
      </w:tr>
      <w:tr w:rsidR="00B46EF1" w:rsidRPr="00842387" w14:paraId="07218435" w14:textId="77777777" w:rsidTr="008048CE">
        <w:tc>
          <w:tcPr>
            <w:tcW w:w="4621" w:type="dxa"/>
          </w:tcPr>
          <w:p w14:paraId="1C796FA7" w14:textId="77777777" w:rsidR="00B46EF1" w:rsidRDefault="00B46EF1" w:rsidP="002A3889">
            <w:pPr>
              <w:pStyle w:val="ListParagraph"/>
              <w:numPr>
                <w:ilvl w:val="0"/>
                <w:numId w:val="164"/>
              </w:numPr>
              <w:spacing w:before="120" w:line="360" w:lineRule="auto"/>
              <w:ind w:left="567" w:hanging="504"/>
              <w:contextualSpacing w:val="0"/>
            </w:pPr>
            <w:r w:rsidRPr="006F1F28">
              <w:rPr>
                <w:rFonts w:ascii="Avenir LT 45 Book" w:eastAsia="Calibri" w:hAnsi="Avenir LT 45 Book" w:cs="Times New Roman"/>
                <w:sz w:val="20"/>
              </w:rPr>
              <w:t>New developments, additions and alterations to be of a compatible form, bulk and scale to traditional development in the immediate locality.</w:t>
            </w:r>
          </w:p>
        </w:tc>
        <w:tc>
          <w:tcPr>
            <w:tcW w:w="4621" w:type="dxa"/>
          </w:tcPr>
          <w:p w14:paraId="79BD1F46" w14:textId="77777777" w:rsidR="00B46EF1" w:rsidRPr="006F1F28" w:rsidRDefault="00B46EF1" w:rsidP="002A3889">
            <w:pPr>
              <w:pStyle w:val="ListParagraph"/>
              <w:numPr>
                <w:ilvl w:val="1"/>
                <w:numId w:val="165"/>
              </w:numPr>
              <w:spacing w:before="120" w:after="20" w:line="360" w:lineRule="auto"/>
              <w:ind w:left="766" w:hanging="709"/>
              <w:contextualSpacing w:val="0"/>
              <w:rPr>
                <w:rFonts w:ascii="Avenir LT 45 Book" w:eastAsia="Calibri" w:hAnsi="Avenir LT 45 Book" w:cs="Times New Roman"/>
                <w:sz w:val="20"/>
              </w:rPr>
            </w:pPr>
            <w:r w:rsidRPr="006F1F28">
              <w:rPr>
                <w:rFonts w:ascii="Avenir LT 45 Book" w:eastAsia="Calibri" w:hAnsi="Avenir LT 45 Book" w:cs="Times New Roman"/>
                <w:sz w:val="20"/>
              </w:rPr>
              <w:t>Developments to comply with all design elements of this Local Planning Policy.</w:t>
            </w:r>
          </w:p>
          <w:p w14:paraId="6765B6D0" w14:textId="77777777" w:rsidR="00B46EF1" w:rsidRPr="006F1F28" w:rsidRDefault="00B46EF1" w:rsidP="002A3889">
            <w:pPr>
              <w:pStyle w:val="ListParagraph"/>
              <w:numPr>
                <w:ilvl w:val="1"/>
                <w:numId w:val="165"/>
              </w:numPr>
              <w:spacing w:after="20" w:line="360" w:lineRule="auto"/>
              <w:ind w:left="766" w:hanging="709"/>
              <w:contextualSpacing w:val="0"/>
              <w:rPr>
                <w:rFonts w:ascii="Avenir LT 45 Book" w:eastAsia="Calibri" w:hAnsi="Avenir LT 45 Book" w:cs="Times New Roman"/>
                <w:sz w:val="20"/>
              </w:rPr>
            </w:pPr>
            <w:r w:rsidRPr="006F1F28">
              <w:rPr>
                <w:rFonts w:ascii="Avenir LT 45 Book" w:eastAsia="Calibri" w:hAnsi="Avenir LT 45 Book" w:cs="Times New Roman"/>
                <w:sz w:val="20"/>
              </w:rPr>
              <w:t>Additions and alterations are single storey or designed so that the upper storey is not visually dominant when viewed from the primary street.</w:t>
            </w:r>
          </w:p>
          <w:p w14:paraId="44234977" w14:textId="77777777" w:rsidR="00B46EF1" w:rsidRPr="006F1F28" w:rsidRDefault="00B46EF1" w:rsidP="002A3889">
            <w:pPr>
              <w:pStyle w:val="ListParagraph"/>
              <w:numPr>
                <w:ilvl w:val="1"/>
                <w:numId w:val="165"/>
              </w:numPr>
              <w:spacing w:after="20" w:line="360" w:lineRule="auto"/>
              <w:ind w:left="766" w:hanging="709"/>
              <w:contextualSpacing w:val="0"/>
              <w:rPr>
                <w:rFonts w:ascii="Avenir LT 45 Book" w:eastAsia="Calibri" w:hAnsi="Avenir LT 45 Book" w:cs="Times New Roman"/>
                <w:sz w:val="20"/>
              </w:rPr>
            </w:pPr>
            <w:r w:rsidRPr="006F1F28">
              <w:rPr>
                <w:rFonts w:ascii="Avenir LT 45 Book" w:eastAsia="Calibri" w:hAnsi="Avenir LT 45 Book" w:cs="Times New Roman"/>
                <w:sz w:val="20"/>
              </w:rPr>
              <w:t>Two storey developments to comply with the following:</w:t>
            </w:r>
          </w:p>
          <w:p w14:paraId="18C63665" w14:textId="77777777" w:rsidR="00B46EF1" w:rsidRPr="004F3169" w:rsidRDefault="00B46EF1" w:rsidP="002A3889">
            <w:pPr>
              <w:pStyle w:val="ListParagraph"/>
              <w:numPr>
                <w:ilvl w:val="0"/>
                <w:numId w:val="167"/>
              </w:numPr>
              <w:spacing w:after="20" w:line="360" w:lineRule="auto"/>
              <w:ind w:left="766" w:hanging="425"/>
              <w:contextualSpacing w:val="0"/>
            </w:pPr>
            <w:r w:rsidRPr="006F1F28">
              <w:rPr>
                <w:rFonts w:ascii="Avenir LT 45 Book" w:eastAsia="Calibri" w:hAnsi="Avenir LT 45 Book" w:cs="Times New Roman"/>
                <w:sz w:val="20"/>
              </w:rPr>
              <w:t>Second storey is setback so that the roof line is below the line of sight of a person standing on the opposite side of the primary street.</w:t>
            </w:r>
          </w:p>
        </w:tc>
      </w:tr>
      <w:tr w:rsidR="00B46EF1" w:rsidRPr="00842387" w14:paraId="42E48281" w14:textId="77777777" w:rsidTr="008048CE">
        <w:trPr>
          <w:trHeight w:val="12039"/>
        </w:trPr>
        <w:tc>
          <w:tcPr>
            <w:tcW w:w="4621" w:type="dxa"/>
            <w:tcBorders>
              <w:bottom w:val="nil"/>
            </w:tcBorders>
          </w:tcPr>
          <w:p w14:paraId="2BD98B9E" w14:textId="77777777" w:rsidR="00B46EF1" w:rsidRDefault="00B46EF1" w:rsidP="008048CE">
            <w:pPr>
              <w:pStyle w:val="ListParagraph"/>
              <w:spacing w:before="120"/>
              <w:ind w:left="567"/>
              <w:contextualSpacing w:val="0"/>
            </w:pPr>
          </w:p>
        </w:tc>
        <w:tc>
          <w:tcPr>
            <w:tcW w:w="4621" w:type="dxa"/>
            <w:tcBorders>
              <w:bottom w:val="nil"/>
            </w:tcBorders>
          </w:tcPr>
          <w:p w14:paraId="53CE063D" w14:textId="77777777" w:rsidR="00B46EF1" w:rsidRPr="006F1F28" w:rsidRDefault="00B46EF1" w:rsidP="002A3889">
            <w:pPr>
              <w:pStyle w:val="ListParagraph"/>
              <w:numPr>
                <w:ilvl w:val="1"/>
                <w:numId w:val="165"/>
              </w:numPr>
              <w:spacing w:after="20" w:line="360" w:lineRule="auto"/>
              <w:ind w:left="766" w:hanging="709"/>
              <w:contextualSpacing w:val="0"/>
              <w:rPr>
                <w:rFonts w:ascii="Avenir LT 45 Book" w:eastAsia="Calibri" w:hAnsi="Avenir LT 45 Book" w:cs="Arial"/>
                <w:sz w:val="20"/>
              </w:rPr>
            </w:pPr>
            <w:r w:rsidRPr="006F1F28">
              <w:rPr>
                <w:rFonts w:ascii="Avenir LT 45 Book" w:eastAsia="Calibri" w:hAnsi="Avenir LT 45 Book" w:cs="Arial"/>
                <w:sz w:val="20"/>
              </w:rPr>
              <w:t>Category ‘B’ provisions as set out within Table 3 – Maximum Building Heights of the Residential Design Codes are applicable as the ‘Acceptable Development’ standards where:</w:t>
            </w:r>
          </w:p>
          <w:p w14:paraId="21D223D6" w14:textId="77777777" w:rsidR="00B46EF1" w:rsidRPr="006F1F28" w:rsidRDefault="00B46EF1" w:rsidP="006F1F28">
            <w:pPr>
              <w:pStyle w:val="ListParagraph"/>
              <w:spacing w:after="20" w:line="360" w:lineRule="auto"/>
              <w:ind w:left="766" w:hanging="567"/>
              <w:contextualSpacing w:val="0"/>
              <w:rPr>
                <w:rFonts w:ascii="Avenir LT 45 Book" w:eastAsia="Calibri" w:hAnsi="Avenir LT 45 Book" w:cs="Arial"/>
                <w:sz w:val="20"/>
              </w:rPr>
            </w:pPr>
            <w:proofErr w:type="spellStart"/>
            <w:r>
              <w:rPr>
                <w:rFonts w:cs="Arial"/>
              </w:rPr>
              <w:t>i</w:t>
            </w:r>
            <w:proofErr w:type="spellEnd"/>
            <w:r>
              <w:rPr>
                <w:rFonts w:cs="Arial"/>
              </w:rPr>
              <w:t>.</w:t>
            </w:r>
            <w:r>
              <w:rPr>
                <w:rFonts w:cs="Arial"/>
              </w:rPr>
              <w:tab/>
            </w:r>
            <w:r w:rsidRPr="006F1F28">
              <w:rPr>
                <w:rFonts w:ascii="Avenir LT 45 Book" w:eastAsia="Calibri" w:hAnsi="Avenir LT 45 Book" w:cs="Arial"/>
                <w:sz w:val="20"/>
              </w:rPr>
              <w:t xml:space="preserve">significant water views from neighbouring properties will not be </w:t>
            </w:r>
            <w:proofErr w:type="gramStart"/>
            <w:r w:rsidRPr="006F1F28">
              <w:rPr>
                <w:rFonts w:ascii="Avenir LT 45 Book" w:eastAsia="Calibri" w:hAnsi="Avenir LT 45 Book" w:cs="Arial"/>
                <w:sz w:val="20"/>
              </w:rPr>
              <w:t>affected;</w:t>
            </w:r>
            <w:proofErr w:type="gramEnd"/>
          </w:p>
          <w:p w14:paraId="15B57BC5" w14:textId="77777777" w:rsidR="00B46EF1" w:rsidRPr="006F1F28" w:rsidRDefault="00B46EF1" w:rsidP="006F1F28">
            <w:pPr>
              <w:pStyle w:val="ListParagraph"/>
              <w:spacing w:after="20" w:line="360" w:lineRule="auto"/>
              <w:ind w:left="766" w:hanging="567"/>
              <w:contextualSpacing w:val="0"/>
              <w:rPr>
                <w:rFonts w:ascii="Avenir LT 45 Book" w:eastAsia="Calibri" w:hAnsi="Avenir LT 45 Book" w:cs="Arial"/>
                <w:sz w:val="20"/>
              </w:rPr>
            </w:pPr>
            <w:r w:rsidRPr="006F1F28">
              <w:rPr>
                <w:rFonts w:ascii="Avenir LT 45 Book" w:eastAsia="Calibri" w:hAnsi="Avenir LT 45 Book" w:cs="Arial"/>
                <w:sz w:val="20"/>
              </w:rPr>
              <w:t>ii.</w:t>
            </w:r>
            <w:r w:rsidRPr="006F1F28">
              <w:rPr>
                <w:rFonts w:ascii="Avenir LT 45 Book" w:eastAsia="Calibri" w:hAnsi="Avenir LT 45 Book" w:cs="Arial"/>
                <w:sz w:val="20"/>
              </w:rPr>
              <w:tab/>
              <w:t xml:space="preserve">the ‘Acceptable Development’ standards of Residential Design Codes – Element 9 – Design for Climate and Element 8 – Privacy </w:t>
            </w:r>
            <w:proofErr w:type="gramStart"/>
            <w:r w:rsidRPr="006F1F28">
              <w:rPr>
                <w:rFonts w:ascii="Avenir LT 45 Book" w:eastAsia="Calibri" w:hAnsi="Avenir LT 45 Book" w:cs="Arial"/>
                <w:sz w:val="20"/>
              </w:rPr>
              <w:t>are</w:t>
            </w:r>
            <w:proofErr w:type="gramEnd"/>
            <w:r w:rsidRPr="006F1F28">
              <w:rPr>
                <w:rFonts w:ascii="Avenir LT 45 Book" w:eastAsia="Calibri" w:hAnsi="Avenir LT 45 Book" w:cs="Arial"/>
                <w:sz w:val="20"/>
              </w:rPr>
              <w:t xml:space="preserve"> met.</w:t>
            </w:r>
          </w:p>
          <w:p w14:paraId="6E5A02CA" w14:textId="77777777" w:rsidR="00B46EF1" w:rsidRPr="006F1F28" w:rsidRDefault="00B46EF1" w:rsidP="006F1F28">
            <w:pPr>
              <w:pStyle w:val="ListParagraph"/>
              <w:spacing w:after="20" w:line="360" w:lineRule="auto"/>
              <w:ind w:left="766" w:hanging="567"/>
              <w:contextualSpacing w:val="0"/>
              <w:rPr>
                <w:rFonts w:ascii="Avenir LT 45 Book" w:eastAsia="Calibri" w:hAnsi="Avenir LT 45 Book" w:cs="Arial"/>
                <w:sz w:val="20"/>
              </w:rPr>
            </w:pPr>
            <w:r w:rsidRPr="006F1F28">
              <w:rPr>
                <w:rFonts w:ascii="Avenir LT 45 Book" w:eastAsia="Calibri" w:hAnsi="Avenir LT 45 Book" w:cs="Arial"/>
                <w:sz w:val="20"/>
              </w:rPr>
              <w:t>iii.</w:t>
            </w:r>
            <w:r w:rsidRPr="006F1F28">
              <w:rPr>
                <w:rFonts w:ascii="Avenir LT 45 Book" w:eastAsia="Calibri" w:hAnsi="Avenir LT 45 Book" w:cs="Arial"/>
                <w:sz w:val="20"/>
              </w:rPr>
              <w:tab/>
              <w:t>the subject site is not a battle-axe lot.</w:t>
            </w:r>
          </w:p>
          <w:p w14:paraId="0E29F181" w14:textId="77777777" w:rsidR="00B46EF1" w:rsidRPr="006F1F28" w:rsidRDefault="00B46EF1" w:rsidP="002A3889">
            <w:pPr>
              <w:pStyle w:val="ListParagraph"/>
              <w:numPr>
                <w:ilvl w:val="1"/>
                <w:numId w:val="165"/>
              </w:numPr>
              <w:spacing w:after="20" w:line="360" w:lineRule="auto"/>
              <w:ind w:left="766" w:hanging="709"/>
              <w:contextualSpacing w:val="0"/>
              <w:rPr>
                <w:rFonts w:ascii="Avenir LT 45 Book" w:eastAsia="Calibri" w:hAnsi="Avenir LT 45 Book" w:cs="Arial"/>
                <w:sz w:val="20"/>
              </w:rPr>
            </w:pPr>
            <w:r w:rsidRPr="006F1F28">
              <w:rPr>
                <w:rFonts w:ascii="Avenir LT 45 Book" w:eastAsia="Calibri" w:hAnsi="Avenir LT 45 Book" w:cs="Arial"/>
                <w:sz w:val="20"/>
              </w:rPr>
              <w:t>In localities where views are an important part of the amenity of the area and neighbours existing views are to be affected, or the subject site is a ‘battle-axe’ lot, then the maximum building heights are as follows:</w:t>
            </w:r>
          </w:p>
          <w:p w14:paraId="7A22878D" w14:textId="77777777" w:rsidR="00B46EF1" w:rsidRPr="006F1F28" w:rsidRDefault="00B46EF1" w:rsidP="006F1F28">
            <w:pPr>
              <w:pStyle w:val="ListParagraph"/>
              <w:spacing w:line="360" w:lineRule="auto"/>
              <w:ind w:left="1049" w:hanging="283"/>
              <w:contextualSpacing w:val="0"/>
              <w:rPr>
                <w:rFonts w:ascii="Avenir LT 45 Book" w:eastAsia="Calibri" w:hAnsi="Avenir LT 45 Book" w:cs="Arial"/>
                <w:sz w:val="20"/>
              </w:rPr>
            </w:pPr>
            <w:r w:rsidRPr="002261DF">
              <w:rPr>
                <w:rFonts w:cs="Arial"/>
                <w:b/>
              </w:rPr>
              <w:t>..</w:t>
            </w:r>
            <w:r>
              <w:rPr>
                <w:rFonts w:cs="Arial"/>
              </w:rPr>
              <w:tab/>
            </w:r>
            <w:r w:rsidRPr="006F1F28">
              <w:rPr>
                <w:rFonts w:ascii="Avenir LT 45 Book" w:eastAsia="Calibri" w:hAnsi="Avenir LT 45 Book" w:cs="Arial"/>
                <w:sz w:val="20"/>
              </w:rPr>
              <w:t>8.1m to the top of a pitched roof</w:t>
            </w:r>
          </w:p>
          <w:p w14:paraId="19B71413" w14:textId="77777777" w:rsidR="00B46EF1" w:rsidRPr="006F1F28" w:rsidRDefault="00B46EF1" w:rsidP="006F1F28">
            <w:pPr>
              <w:pStyle w:val="ListParagraph"/>
              <w:spacing w:line="360" w:lineRule="auto"/>
              <w:ind w:left="1049" w:hanging="283"/>
              <w:contextualSpacing w:val="0"/>
              <w:rPr>
                <w:rFonts w:ascii="Avenir LT 45 Book" w:eastAsia="Calibri" w:hAnsi="Avenir LT 45 Book" w:cs="Arial"/>
                <w:sz w:val="20"/>
              </w:rPr>
            </w:pPr>
            <w:r w:rsidRPr="006F1F28">
              <w:rPr>
                <w:rFonts w:ascii="Avenir LT 45 Book" w:eastAsia="Calibri" w:hAnsi="Avenir LT 45 Book" w:cs="Arial"/>
                <w:sz w:val="20"/>
              </w:rPr>
              <w:t>..</w:t>
            </w:r>
            <w:r w:rsidRPr="006F1F28">
              <w:rPr>
                <w:rFonts w:ascii="Avenir LT 45 Book" w:eastAsia="Calibri" w:hAnsi="Avenir LT 45 Book" w:cs="Arial"/>
                <w:sz w:val="20"/>
              </w:rPr>
              <w:tab/>
              <w:t>6.5m to the top of an external wall (concealed roof)</w:t>
            </w:r>
          </w:p>
          <w:p w14:paraId="1F89ED74" w14:textId="77777777" w:rsidR="00B46EF1" w:rsidRPr="006F1F28" w:rsidRDefault="00B46EF1" w:rsidP="006F1F28">
            <w:pPr>
              <w:pStyle w:val="ListParagraph"/>
              <w:spacing w:line="360" w:lineRule="auto"/>
              <w:ind w:left="1049" w:hanging="283"/>
              <w:contextualSpacing w:val="0"/>
              <w:rPr>
                <w:rFonts w:ascii="Avenir LT 45 Book" w:eastAsia="Calibri" w:hAnsi="Avenir LT 45 Book" w:cs="Arial"/>
                <w:sz w:val="20"/>
              </w:rPr>
            </w:pPr>
            <w:r w:rsidRPr="006F1F28">
              <w:rPr>
                <w:rFonts w:ascii="Avenir LT 45 Book" w:eastAsia="Calibri" w:hAnsi="Avenir LT 45 Book" w:cs="Arial"/>
                <w:sz w:val="20"/>
              </w:rPr>
              <w:t>..</w:t>
            </w:r>
            <w:r w:rsidRPr="006F1F28">
              <w:rPr>
                <w:rFonts w:ascii="Avenir LT 45 Book" w:eastAsia="Calibri" w:hAnsi="Avenir LT 45 Book" w:cs="Arial"/>
                <w:sz w:val="20"/>
              </w:rPr>
              <w:tab/>
              <w:t>5.6m to the top of an external wall; and where the following apply:</w:t>
            </w:r>
          </w:p>
          <w:p w14:paraId="096738BC" w14:textId="77777777" w:rsidR="00B46EF1" w:rsidRPr="006F1F28" w:rsidRDefault="00B46EF1" w:rsidP="002A3889">
            <w:pPr>
              <w:pStyle w:val="ListParagraph"/>
              <w:numPr>
                <w:ilvl w:val="0"/>
                <w:numId w:val="166"/>
              </w:numPr>
              <w:spacing w:after="20" w:line="360" w:lineRule="auto"/>
              <w:ind w:left="766" w:hanging="406"/>
              <w:contextualSpacing w:val="0"/>
              <w:rPr>
                <w:rFonts w:ascii="Avenir LT 45 Book" w:eastAsia="Calibri" w:hAnsi="Avenir LT 45 Book" w:cs="Arial"/>
                <w:sz w:val="20"/>
              </w:rPr>
            </w:pPr>
            <w:r w:rsidRPr="006F1F28">
              <w:rPr>
                <w:rFonts w:ascii="Avenir LT 45 Book" w:eastAsia="Calibri" w:hAnsi="Avenir LT 45 Book" w:cs="Arial"/>
                <w:sz w:val="20"/>
              </w:rPr>
              <w:t xml:space="preserve">The proposal demonstrates design, bulk and scale that responds to adjacent development and the established character of the area or other site specific </w:t>
            </w:r>
            <w:proofErr w:type="gramStart"/>
            <w:r w:rsidRPr="006F1F28">
              <w:rPr>
                <w:rFonts w:ascii="Avenir LT 45 Book" w:eastAsia="Calibri" w:hAnsi="Avenir LT 45 Book" w:cs="Arial"/>
                <w:sz w:val="20"/>
              </w:rPr>
              <w:t>circumstances;</w:t>
            </w:r>
            <w:proofErr w:type="gramEnd"/>
          </w:p>
          <w:p w14:paraId="57F8439C" w14:textId="77777777" w:rsidR="00B46EF1" w:rsidRPr="006F1F28" w:rsidRDefault="00B46EF1" w:rsidP="002A3889">
            <w:pPr>
              <w:pStyle w:val="ListParagraph"/>
              <w:numPr>
                <w:ilvl w:val="0"/>
                <w:numId w:val="166"/>
              </w:numPr>
              <w:spacing w:after="20" w:line="360" w:lineRule="auto"/>
              <w:ind w:left="766" w:hanging="406"/>
              <w:contextualSpacing w:val="0"/>
              <w:rPr>
                <w:rFonts w:ascii="Avenir LT 45 Book" w:eastAsia="Calibri" w:hAnsi="Avenir LT 45 Book" w:cs="Arial"/>
                <w:sz w:val="20"/>
              </w:rPr>
            </w:pPr>
            <w:r w:rsidRPr="006F1F28">
              <w:rPr>
                <w:rFonts w:ascii="Avenir LT 45 Book" w:eastAsia="Calibri" w:hAnsi="Avenir LT 45 Book" w:cs="Arial"/>
                <w:sz w:val="20"/>
              </w:rPr>
              <w:t>The provision of a landscaping plan demonstrating a minimum of 50% of the effective lot area being landscaped; and,</w:t>
            </w:r>
          </w:p>
          <w:p w14:paraId="6A46A42A" w14:textId="77777777" w:rsidR="00B46EF1" w:rsidRPr="006F1F28" w:rsidRDefault="00B46EF1" w:rsidP="002A3889">
            <w:pPr>
              <w:pStyle w:val="ListParagraph"/>
              <w:numPr>
                <w:ilvl w:val="0"/>
                <w:numId w:val="166"/>
              </w:numPr>
              <w:spacing w:after="20" w:line="360" w:lineRule="auto"/>
              <w:ind w:left="766" w:hanging="406"/>
              <w:contextualSpacing w:val="0"/>
              <w:rPr>
                <w:rFonts w:ascii="Avenir LT 45 Book" w:eastAsia="Calibri" w:hAnsi="Avenir LT 45 Book" w:cs="Arial"/>
                <w:sz w:val="20"/>
              </w:rPr>
            </w:pPr>
            <w:r w:rsidRPr="006F1F28">
              <w:rPr>
                <w:rFonts w:ascii="Avenir LT 45 Book" w:eastAsia="Calibri" w:hAnsi="Avenir LT 45 Book" w:cs="Arial"/>
                <w:sz w:val="20"/>
              </w:rPr>
              <w:t>Subject to the ‘Acceptable Development’ standards of Residential Design Codes – Element 9 – Design for Climate and Element 8 – Privacy being met.</w:t>
            </w:r>
          </w:p>
          <w:p w14:paraId="3314E010" w14:textId="77777777" w:rsidR="00B46EF1" w:rsidRPr="004F3169" w:rsidRDefault="00B46EF1" w:rsidP="006F1F28">
            <w:pPr>
              <w:pStyle w:val="ListParagraph"/>
              <w:widowControl w:val="0"/>
              <w:spacing w:after="120" w:line="360" w:lineRule="auto"/>
              <w:ind w:left="766" w:hanging="709"/>
              <w:contextualSpacing w:val="0"/>
              <w:rPr>
                <w:rFonts w:cs="Arial"/>
              </w:rPr>
            </w:pPr>
            <w:r>
              <w:rPr>
                <w:rFonts w:ascii="Avenir LT 85 Heavy" w:hAnsi="Avenir LT 85 Heavy" w:cs="Arial"/>
              </w:rPr>
              <w:t>A1.6</w:t>
            </w:r>
            <w:r>
              <w:rPr>
                <w:rFonts w:ascii="Avenir LT 85 Heavy" w:hAnsi="Avenir LT 85 Heavy" w:cs="Arial"/>
              </w:rPr>
              <w:tab/>
            </w:r>
            <w:r w:rsidRPr="006F1F28">
              <w:rPr>
                <w:rFonts w:ascii="Avenir LT 45 Book" w:eastAsia="Calibri" w:hAnsi="Avenir LT 45 Book" w:cs="Arial"/>
                <w:sz w:val="20"/>
              </w:rPr>
              <w:t>Category ‘A’ provisions as set out within Table 3 – Maximum Building Heights of the Residential Design Codes are applicable for development which does not meet the requirements of A1.4 and A1.5 above.</w:t>
            </w:r>
          </w:p>
        </w:tc>
      </w:tr>
    </w:tbl>
    <w:p w14:paraId="536F6DA6" w14:textId="77777777" w:rsidR="00B46EF1" w:rsidRDefault="00B46EF1" w:rsidP="00B46EF1">
      <w:pPr>
        <w:rPr>
          <w:rFonts w:ascii="Avenir LT 65 Medium" w:eastAsiaTheme="majorEastAsia" w:hAnsi="Avenir LT 65 Medium" w:cs="Times New Roman"/>
          <w:bCs/>
          <w:color w:val="000000"/>
        </w:rPr>
      </w:pPr>
      <w:r>
        <w:br w:type="page"/>
      </w:r>
    </w:p>
    <w:p w14:paraId="74CE4A86" w14:textId="77777777" w:rsidR="00B46EF1" w:rsidRDefault="00B46EF1" w:rsidP="00B46EF1">
      <w:pPr>
        <w:pStyle w:val="Heading5"/>
      </w:pPr>
      <w:r>
        <w:lastRenderedPageBreak/>
        <w:t>3.7.15.4.2</w:t>
      </w:r>
      <w:r>
        <w:tab/>
      </w:r>
      <w:proofErr w:type="spellStart"/>
      <w:r w:rsidRPr="00842387">
        <w:t>Verandahs</w:t>
      </w:r>
      <w:proofErr w:type="spellEnd"/>
      <w:r w:rsidRPr="00842387">
        <w:t xml:space="preserve"> and Porches</w:t>
      </w:r>
    </w:p>
    <w:p w14:paraId="290DF2FD" w14:textId="77777777" w:rsidR="00B46EF1" w:rsidRPr="009C48FD" w:rsidRDefault="00B46EF1" w:rsidP="00B46EF1">
      <w:pPr>
        <w:ind w:left="1418" w:hanging="1418"/>
        <w:rPr>
          <w:rFonts w:ascii="Avenir LT 65 Medium" w:hAnsi="Avenir LT 65 Medium"/>
        </w:rPr>
      </w:pPr>
      <w:r>
        <w:rPr>
          <w:rFonts w:ascii="Avenir LT 65 Medium" w:hAnsi="Avenir LT 65 Medium"/>
        </w:rPr>
        <w:t>3.7.15.4.2.1</w:t>
      </w:r>
      <w:r w:rsidRPr="009C48FD">
        <w:rPr>
          <w:rFonts w:ascii="Avenir LT 65 Medium" w:hAnsi="Avenir LT 65 Medium"/>
        </w:rPr>
        <w:tab/>
      </w:r>
      <w:r>
        <w:rPr>
          <w:rFonts w:ascii="Avenir LT 65 Medium" w:hAnsi="Avenir LT 65 Medium"/>
        </w:rPr>
        <w:t>Statement</w:t>
      </w:r>
    </w:p>
    <w:p w14:paraId="172F9493" w14:textId="77777777" w:rsidR="00B46EF1" w:rsidRPr="006F1F28" w:rsidRDefault="00B46EF1" w:rsidP="006F1F28">
      <w:pPr>
        <w:spacing w:line="360" w:lineRule="auto"/>
        <w:rPr>
          <w:rFonts w:ascii="Avenir LT 45 Book" w:eastAsia="Calibri" w:hAnsi="Avenir LT 45 Book"/>
          <w:i/>
          <w:sz w:val="20"/>
          <w:szCs w:val="20"/>
        </w:rPr>
      </w:pPr>
      <w:proofErr w:type="spellStart"/>
      <w:r w:rsidRPr="006F1F28">
        <w:rPr>
          <w:rFonts w:ascii="Avenir LT 45 Book" w:eastAsia="Calibri" w:hAnsi="Avenir LT 45 Book"/>
          <w:i/>
          <w:sz w:val="20"/>
          <w:szCs w:val="20"/>
        </w:rPr>
        <w:t>Verandahs</w:t>
      </w:r>
      <w:proofErr w:type="spellEnd"/>
      <w:r w:rsidRPr="006F1F28">
        <w:rPr>
          <w:rFonts w:ascii="Avenir LT 45 Book" w:eastAsia="Calibri" w:hAnsi="Avenir LT 45 Book"/>
          <w:i/>
          <w:sz w:val="20"/>
          <w:szCs w:val="20"/>
        </w:rPr>
        <w:t xml:space="preserve"> and porches are a strong contributor to the character of the Woodside and Richmond Precincts and should be encouraged in new developments.  This feature is an essential unifying element that contributes to the streetscape character of both Precincts.  </w:t>
      </w:r>
    </w:p>
    <w:p w14:paraId="17639BE1" w14:textId="77777777" w:rsidR="00B46EF1" w:rsidRDefault="00B46EF1" w:rsidP="00B46EF1">
      <w:r>
        <w:rPr>
          <w:noProof/>
          <w:szCs w:val="20"/>
          <w:lang w:eastAsia="en-AU"/>
        </w:rPr>
        <w:drawing>
          <wp:inline distT="0" distB="0" distL="0" distR="0" wp14:anchorId="5F23D25D" wp14:editId="7C4A321E">
            <wp:extent cx="2524125" cy="1800225"/>
            <wp:effectExtent l="19050" t="0" r="9525" b="0"/>
            <wp:docPr id="72" name="Picture 11" descr="Z:\2011 JOBS\11206-EAST FREMANTLE GUIDELINES\11206-PHOTOS\PROCESSED\WOODSIDE\MAY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2011 JOBS\11206-EAST FREMANTLE GUIDELINES\11206-PHOTOS\PROCESSED\WOODSIDE\MAY ST.jpg"/>
                    <pic:cNvPicPr>
                      <a:picLocks noChangeAspect="1" noChangeArrowheads="1"/>
                    </pic:cNvPicPr>
                  </pic:nvPicPr>
                  <pic:blipFill>
                    <a:blip r:embed="rId221"/>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45719E29" wp14:editId="32CD6F13">
            <wp:extent cx="2524125" cy="1800225"/>
            <wp:effectExtent l="19050" t="0" r="9525" b="0"/>
            <wp:docPr id="73" name="Picture 12" descr="Z:\2011 JOBS\11206-EAST FREMANTLE GUIDELINES\11206-PHOTOS\PROCESSED\RICHMOND\24 PRESTON POINT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2011 JOBS\11206-EAST FREMANTLE GUIDELINES\11206-PHOTOS\PROCESSED\RICHMOND\24 PRESTON POINT ROAD.jpg"/>
                    <pic:cNvPicPr>
                      <a:picLocks noChangeAspect="1" noChangeArrowheads="1"/>
                    </pic:cNvPicPr>
                  </pic:nvPicPr>
                  <pic:blipFill>
                    <a:blip r:embed="rId222"/>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635FBD5C" w14:textId="77777777" w:rsidR="00B46EF1" w:rsidRDefault="00B46EF1" w:rsidP="00B46EF1">
      <w:pPr>
        <w:pStyle w:val="Heading5"/>
        <w:ind w:left="1418" w:hanging="1418"/>
      </w:pPr>
      <w:r>
        <w:t>3.7.15.4.2.2</w:t>
      </w:r>
      <w:r>
        <w:tab/>
        <w:t>Desired Development Outcomes</w:t>
      </w:r>
    </w:p>
    <w:p w14:paraId="6AF05C38" w14:textId="77777777" w:rsidR="00B46EF1" w:rsidRPr="006F1F28" w:rsidRDefault="00B46EF1" w:rsidP="002A3889">
      <w:pPr>
        <w:pStyle w:val="ListParagraph"/>
        <w:numPr>
          <w:ilvl w:val="0"/>
          <w:numId w:val="168"/>
        </w:numPr>
        <w:spacing w:line="360" w:lineRule="auto"/>
        <w:ind w:left="714" w:hanging="357"/>
        <w:contextualSpacing w:val="0"/>
        <w:rPr>
          <w:rFonts w:ascii="Avenir LT 45 Book" w:eastAsia="Calibri" w:hAnsi="Avenir LT 45 Book" w:cs="Times New Roman"/>
          <w:sz w:val="20"/>
        </w:rPr>
      </w:pPr>
      <w:proofErr w:type="spellStart"/>
      <w:r w:rsidRPr="006F1F28">
        <w:rPr>
          <w:rFonts w:ascii="Avenir LT 45 Book" w:eastAsia="Calibri" w:hAnsi="Avenir LT 45 Book" w:cs="Times New Roman"/>
          <w:sz w:val="20"/>
        </w:rPr>
        <w:t>Verandahs</w:t>
      </w:r>
      <w:proofErr w:type="spellEnd"/>
      <w:r w:rsidRPr="006F1F28">
        <w:rPr>
          <w:rFonts w:ascii="Avenir LT 45 Book" w:eastAsia="Calibri" w:hAnsi="Avenir LT 45 Book" w:cs="Times New Roman"/>
          <w:sz w:val="20"/>
        </w:rPr>
        <w:t xml:space="preserve"> and porches to be encouraged in new developments.  They should complement the immediate locality; and,</w:t>
      </w:r>
    </w:p>
    <w:p w14:paraId="220EBC78" w14:textId="77777777" w:rsidR="00B46EF1" w:rsidRPr="006F1F28" w:rsidRDefault="00B46EF1" w:rsidP="002A3889">
      <w:pPr>
        <w:pStyle w:val="ListParagraph"/>
        <w:numPr>
          <w:ilvl w:val="0"/>
          <w:numId w:val="168"/>
        </w:numPr>
        <w:spacing w:line="360" w:lineRule="auto"/>
        <w:ind w:left="714" w:hanging="357"/>
        <w:contextualSpacing w:val="0"/>
        <w:rPr>
          <w:rFonts w:ascii="Avenir LT 45 Book" w:eastAsia="Calibri" w:hAnsi="Avenir LT 45 Book" w:cs="Times New Roman"/>
          <w:sz w:val="20"/>
        </w:rPr>
      </w:pPr>
      <w:r w:rsidRPr="006F1F28">
        <w:rPr>
          <w:rFonts w:ascii="Avenir LT 45 Book" w:eastAsia="Calibri" w:hAnsi="Avenir LT 45 Book" w:cs="Times New Roman"/>
          <w:sz w:val="20"/>
        </w:rPr>
        <w:t xml:space="preserve">Existing </w:t>
      </w:r>
      <w:proofErr w:type="spellStart"/>
      <w:r w:rsidRPr="006F1F28">
        <w:rPr>
          <w:rFonts w:ascii="Avenir LT 45 Book" w:eastAsia="Calibri" w:hAnsi="Avenir LT 45 Book" w:cs="Times New Roman"/>
          <w:sz w:val="20"/>
        </w:rPr>
        <w:t>verandahs</w:t>
      </w:r>
      <w:proofErr w:type="spellEnd"/>
      <w:r w:rsidRPr="006F1F28">
        <w:rPr>
          <w:rFonts w:ascii="Avenir LT 45 Book" w:eastAsia="Calibri" w:hAnsi="Avenir LT 45 Book" w:cs="Times New Roman"/>
          <w:sz w:val="20"/>
        </w:rPr>
        <w:t xml:space="preserve"> and porches should be conserved, and missing </w:t>
      </w:r>
      <w:proofErr w:type="spellStart"/>
      <w:r w:rsidRPr="006F1F28">
        <w:rPr>
          <w:rFonts w:ascii="Avenir LT 45 Book" w:eastAsia="Calibri" w:hAnsi="Avenir LT 45 Book" w:cs="Times New Roman"/>
          <w:sz w:val="20"/>
        </w:rPr>
        <w:t>verandahs</w:t>
      </w:r>
      <w:proofErr w:type="spellEnd"/>
      <w:r w:rsidRPr="006F1F28">
        <w:rPr>
          <w:rFonts w:ascii="Avenir LT 45 Book" w:eastAsia="Calibri" w:hAnsi="Avenir LT 45 Book" w:cs="Times New Roman"/>
          <w:sz w:val="20"/>
        </w:rPr>
        <w:t xml:space="preserve"> reinstated.</w:t>
      </w:r>
    </w:p>
    <w:p w14:paraId="2A60FF44" w14:textId="77777777" w:rsidR="00B46EF1" w:rsidRDefault="00B46EF1" w:rsidP="00B46EF1">
      <w:pPr>
        <w:pStyle w:val="Heading5"/>
        <w:ind w:left="1418" w:hanging="1418"/>
      </w:pPr>
      <w:r>
        <w:t>3.7.15.4.2.3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8"/>
        <w:gridCol w:w="4518"/>
      </w:tblGrid>
      <w:tr w:rsidR="00B46EF1" w:rsidRPr="00842387" w14:paraId="6EBFBE4E" w14:textId="77777777" w:rsidTr="008048CE">
        <w:tc>
          <w:tcPr>
            <w:tcW w:w="4621" w:type="dxa"/>
          </w:tcPr>
          <w:p w14:paraId="662DABF7"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012B21E3" w14:textId="77777777" w:rsidR="00B46EF1" w:rsidRDefault="00B46EF1" w:rsidP="008048CE">
            <w:r w:rsidRPr="00842387">
              <w:rPr>
                <w:rFonts w:ascii="Avenir LT 65 Medium" w:hAnsi="Avenir LT 65 Medium"/>
              </w:rPr>
              <w:t>Acceptable Development Provisions</w:t>
            </w:r>
          </w:p>
        </w:tc>
      </w:tr>
      <w:tr w:rsidR="00B46EF1" w:rsidRPr="00842387" w14:paraId="6948BD48" w14:textId="77777777" w:rsidTr="008048CE">
        <w:tc>
          <w:tcPr>
            <w:tcW w:w="4621" w:type="dxa"/>
          </w:tcPr>
          <w:p w14:paraId="4CF4A30F" w14:textId="77777777" w:rsidR="00B46EF1" w:rsidRPr="006F1F28" w:rsidRDefault="00B46EF1" w:rsidP="002A3889">
            <w:pPr>
              <w:pStyle w:val="ListParagraph"/>
              <w:numPr>
                <w:ilvl w:val="1"/>
                <w:numId w:val="169"/>
              </w:numPr>
              <w:spacing w:before="120" w:line="360" w:lineRule="auto"/>
              <w:ind w:left="567" w:hanging="504"/>
              <w:contextualSpacing w:val="0"/>
              <w:rPr>
                <w:rFonts w:ascii="Avenir LT 45 Book" w:eastAsia="Calibri" w:hAnsi="Avenir LT 45 Book" w:cs="Times New Roman"/>
                <w:sz w:val="20"/>
              </w:rPr>
            </w:pPr>
            <w:r w:rsidRPr="006F1F28">
              <w:rPr>
                <w:rFonts w:ascii="Avenir LT 45 Book" w:eastAsia="Calibri" w:hAnsi="Avenir LT 45 Book" w:cs="Times New Roman"/>
                <w:sz w:val="20"/>
              </w:rPr>
              <w:t xml:space="preserve">The </w:t>
            </w:r>
            <w:proofErr w:type="gramStart"/>
            <w:r w:rsidRPr="006F1F28">
              <w:rPr>
                <w:rFonts w:ascii="Avenir LT 45 Book" w:eastAsia="Calibri" w:hAnsi="Avenir LT 45 Book" w:cs="Times New Roman"/>
                <w:sz w:val="20"/>
              </w:rPr>
              <w:t>principle</w:t>
            </w:r>
            <w:proofErr w:type="gramEnd"/>
            <w:r w:rsidRPr="006F1F28">
              <w:rPr>
                <w:rFonts w:ascii="Avenir LT 45 Book" w:eastAsia="Calibri" w:hAnsi="Avenir LT 45 Book" w:cs="Times New Roman"/>
                <w:sz w:val="20"/>
              </w:rPr>
              <w:t xml:space="preserve"> façade and main entrance of a new building should address the street in a manner that reflects the predominant character of the traditional development in the immediate locality.</w:t>
            </w:r>
          </w:p>
          <w:p w14:paraId="60204B0B" w14:textId="77777777" w:rsidR="00B46EF1" w:rsidRPr="006F1F28" w:rsidRDefault="00B46EF1" w:rsidP="002A3889">
            <w:pPr>
              <w:pStyle w:val="ListParagraph"/>
              <w:numPr>
                <w:ilvl w:val="1"/>
                <w:numId w:val="169"/>
              </w:numPr>
              <w:spacing w:line="360" w:lineRule="auto"/>
              <w:ind w:left="567" w:hanging="504"/>
              <w:contextualSpacing w:val="0"/>
              <w:rPr>
                <w:rFonts w:ascii="Avenir LT 45 Book" w:eastAsia="Calibri" w:hAnsi="Avenir LT 45 Book" w:cs="Times New Roman"/>
                <w:sz w:val="20"/>
              </w:rPr>
            </w:pPr>
            <w:r w:rsidRPr="006F1F28">
              <w:rPr>
                <w:rFonts w:ascii="Avenir LT 45 Book" w:eastAsia="Calibri" w:hAnsi="Avenir LT 45 Book" w:cs="Times New Roman"/>
                <w:sz w:val="20"/>
              </w:rPr>
              <w:t xml:space="preserve">Contributory buildings retain their primary access and conserve the traditional detailing of </w:t>
            </w:r>
            <w:proofErr w:type="spellStart"/>
            <w:r w:rsidRPr="006F1F28">
              <w:rPr>
                <w:rFonts w:ascii="Avenir LT 45 Book" w:eastAsia="Calibri" w:hAnsi="Avenir LT 45 Book" w:cs="Times New Roman"/>
                <w:sz w:val="20"/>
              </w:rPr>
              <w:t>verandahs</w:t>
            </w:r>
            <w:proofErr w:type="spellEnd"/>
            <w:r w:rsidRPr="006F1F28">
              <w:rPr>
                <w:rFonts w:ascii="Avenir LT 45 Book" w:eastAsia="Calibri" w:hAnsi="Avenir LT 45 Book" w:cs="Times New Roman"/>
                <w:sz w:val="20"/>
              </w:rPr>
              <w:t xml:space="preserve"> and porches.</w:t>
            </w:r>
          </w:p>
          <w:p w14:paraId="51EBC19B" w14:textId="77777777" w:rsidR="00B46EF1" w:rsidRDefault="00B46EF1" w:rsidP="002A3889">
            <w:pPr>
              <w:pStyle w:val="ListParagraph"/>
              <w:numPr>
                <w:ilvl w:val="1"/>
                <w:numId w:val="169"/>
              </w:numPr>
              <w:spacing w:line="360" w:lineRule="auto"/>
              <w:ind w:left="567" w:hanging="504"/>
              <w:contextualSpacing w:val="0"/>
            </w:pPr>
            <w:r w:rsidRPr="006F1F28">
              <w:rPr>
                <w:rFonts w:ascii="Avenir LT 45 Book" w:eastAsia="Calibri" w:hAnsi="Avenir LT 45 Book" w:cs="Times New Roman"/>
                <w:sz w:val="20"/>
              </w:rPr>
              <w:t xml:space="preserve">Missing </w:t>
            </w:r>
            <w:proofErr w:type="spellStart"/>
            <w:r w:rsidRPr="006F1F28">
              <w:rPr>
                <w:rFonts w:ascii="Avenir LT 45 Book" w:eastAsia="Calibri" w:hAnsi="Avenir LT 45 Book" w:cs="Times New Roman"/>
                <w:sz w:val="20"/>
              </w:rPr>
              <w:t>verandahs</w:t>
            </w:r>
            <w:proofErr w:type="spellEnd"/>
            <w:r w:rsidRPr="006F1F28">
              <w:rPr>
                <w:rFonts w:ascii="Avenir LT 45 Book" w:eastAsia="Calibri" w:hAnsi="Avenir LT 45 Book" w:cs="Times New Roman"/>
                <w:sz w:val="20"/>
              </w:rPr>
              <w:t xml:space="preserve"> to be reinstated.</w:t>
            </w:r>
          </w:p>
        </w:tc>
        <w:tc>
          <w:tcPr>
            <w:tcW w:w="4621" w:type="dxa"/>
          </w:tcPr>
          <w:p w14:paraId="5C6F44A1" w14:textId="77777777" w:rsidR="00B46EF1" w:rsidRPr="006F1F28" w:rsidRDefault="00B46EF1" w:rsidP="002A3889">
            <w:pPr>
              <w:pStyle w:val="ListParagraph"/>
              <w:numPr>
                <w:ilvl w:val="1"/>
                <w:numId w:val="170"/>
              </w:numPr>
              <w:spacing w:before="120" w:line="360" w:lineRule="auto"/>
              <w:ind w:left="624" w:hanging="505"/>
              <w:contextualSpacing w:val="0"/>
              <w:rPr>
                <w:rFonts w:ascii="Avenir LT 45 Book" w:eastAsia="Calibri" w:hAnsi="Avenir LT 45 Book" w:cs="Times New Roman"/>
                <w:sz w:val="20"/>
              </w:rPr>
            </w:pPr>
            <w:r w:rsidRPr="006F1F28">
              <w:rPr>
                <w:rFonts w:ascii="Avenir LT 45 Book" w:eastAsia="Calibri" w:hAnsi="Avenir LT 45 Book" w:cs="Times New Roman"/>
                <w:sz w:val="20"/>
              </w:rPr>
              <w:t xml:space="preserve">New developments to include a </w:t>
            </w:r>
            <w:proofErr w:type="spellStart"/>
            <w:r w:rsidRPr="006F1F28">
              <w:rPr>
                <w:rFonts w:ascii="Avenir LT 45 Book" w:eastAsia="Calibri" w:hAnsi="Avenir LT 45 Book" w:cs="Times New Roman"/>
                <w:sz w:val="20"/>
              </w:rPr>
              <w:t>verandah</w:t>
            </w:r>
            <w:proofErr w:type="spellEnd"/>
            <w:r w:rsidRPr="006F1F28">
              <w:rPr>
                <w:rFonts w:ascii="Avenir LT 45 Book" w:eastAsia="Calibri" w:hAnsi="Avenir LT 45 Book" w:cs="Times New Roman"/>
                <w:sz w:val="20"/>
              </w:rPr>
              <w:t xml:space="preserve"> or porch that addresses the primary street and comprises the primary access to the building.</w:t>
            </w:r>
          </w:p>
          <w:p w14:paraId="33A8AEDA" w14:textId="77777777" w:rsidR="00B46EF1" w:rsidRDefault="00B46EF1" w:rsidP="002A3889">
            <w:pPr>
              <w:pStyle w:val="ListParagraph"/>
              <w:numPr>
                <w:ilvl w:val="1"/>
                <w:numId w:val="170"/>
              </w:numPr>
              <w:spacing w:line="360" w:lineRule="auto"/>
              <w:ind w:left="624" w:hanging="505"/>
              <w:contextualSpacing w:val="0"/>
            </w:pPr>
            <w:r w:rsidRPr="006F1F28">
              <w:rPr>
                <w:rFonts w:ascii="Avenir LT 45 Book" w:eastAsia="Calibri" w:hAnsi="Avenir LT 45 Book" w:cs="Times New Roman"/>
                <w:sz w:val="20"/>
              </w:rPr>
              <w:t xml:space="preserve">Additions and alterations to a contributory building to retain or reinstate the existing </w:t>
            </w:r>
            <w:proofErr w:type="spellStart"/>
            <w:r w:rsidRPr="006F1F28">
              <w:rPr>
                <w:rFonts w:ascii="Avenir LT 45 Book" w:eastAsia="Calibri" w:hAnsi="Avenir LT 45 Book" w:cs="Times New Roman"/>
                <w:sz w:val="20"/>
              </w:rPr>
              <w:t>verandah</w:t>
            </w:r>
            <w:proofErr w:type="spellEnd"/>
            <w:r w:rsidRPr="006F1F28">
              <w:rPr>
                <w:rFonts w:ascii="Avenir LT 45 Book" w:eastAsia="Calibri" w:hAnsi="Avenir LT 45 Book" w:cs="Times New Roman"/>
                <w:sz w:val="20"/>
              </w:rPr>
              <w:t xml:space="preserve"> or porch.  Where appropriate and information available restore/reinstate their original detailing.</w:t>
            </w:r>
          </w:p>
        </w:tc>
      </w:tr>
    </w:tbl>
    <w:p w14:paraId="26925610" w14:textId="77777777" w:rsidR="009F6D58" w:rsidRDefault="009F6D58" w:rsidP="00B46EF1">
      <w:pPr>
        <w:pStyle w:val="Heading5"/>
      </w:pPr>
    </w:p>
    <w:p w14:paraId="56FC74A9" w14:textId="77777777" w:rsidR="009F6D58" w:rsidRDefault="009F6D58" w:rsidP="009F6D58">
      <w:pPr>
        <w:rPr>
          <w:rFonts w:ascii="Avenir LT 65 Medium" w:eastAsiaTheme="majorEastAsia" w:hAnsi="Avenir LT 65 Medium" w:cs="Times New Roman"/>
          <w:color w:val="000000"/>
        </w:rPr>
      </w:pPr>
      <w:r>
        <w:br w:type="page"/>
      </w:r>
    </w:p>
    <w:p w14:paraId="2E1450DC" w14:textId="77777777" w:rsidR="00B46EF1" w:rsidRDefault="00B46EF1" w:rsidP="00B46EF1">
      <w:pPr>
        <w:pStyle w:val="Heading5"/>
      </w:pPr>
      <w:r>
        <w:lastRenderedPageBreak/>
        <w:t>3.7.15.4.3</w:t>
      </w:r>
      <w:r>
        <w:tab/>
      </w:r>
      <w:r w:rsidRPr="00842387">
        <w:t>Fremantle Port Buffer</w:t>
      </w:r>
    </w:p>
    <w:p w14:paraId="5C6EDD1D" w14:textId="77777777" w:rsidR="00B46EF1" w:rsidRDefault="00B46EF1" w:rsidP="00B46EF1">
      <w:pPr>
        <w:pStyle w:val="Heading5"/>
        <w:ind w:left="1418" w:hanging="1418"/>
      </w:pPr>
      <w:r>
        <w:t>3.7.15.4.3.1</w:t>
      </w:r>
      <w:r>
        <w:tab/>
        <w:t>Statement</w:t>
      </w:r>
    </w:p>
    <w:p w14:paraId="24258F88" w14:textId="77777777" w:rsidR="00B46EF1" w:rsidRPr="00265622" w:rsidRDefault="00B46EF1" w:rsidP="00265622">
      <w:pPr>
        <w:spacing w:line="360" w:lineRule="auto"/>
        <w:rPr>
          <w:rFonts w:ascii="Avenir LT 45 Book" w:eastAsia="Calibri" w:hAnsi="Avenir LT 45 Book"/>
          <w:i/>
          <w:sz w:val="20"/>
        </w:rPr>
      </w:pPr>
      <w:r w:rsidRPr="00265622">
        <w:rPr>
          <w:rFonts w:ascii="Avenir LT 45 Book" w:eastAsia="Calibri" w:hAnsi="Avenir LT 45 Book"/>
          <w:i/>
          <w:sz w:val="20"/>
        </w:rPr>
        <w:t>Fremantle Ports undertook the Fremantle Inner Harbour Definition Study (May 2002), which identified the need for an offsite buffer around the Port. The buffer was determined on a range of potential amenity impacts and risks including noise, odour and public risk.</w:t>
      </w:r>
    </w:p>
    <w:p w14:paraId="500020C2" w14:textId="77777777" w:rsidR="00B46EF1" w:rsidRPr="00265622" w:rsidRDefault="00B46EF1" w:rsidP="00265622">
      <w:pPr>
        <w:spacing w:line="360" w:lineRule="auto"/>
        <w:rPr>
          <w:rFonts w:ascii="Avenir LT 45 Book" w:eastAsia="Calibri" w:hAnsi="Avenir LT 45 Book"/>
          <w:i/>
          <w:sz w:val="20"/>
        </w:rPr>
      </w:pPr>
      <w:r w:rsidRPr="00265622">
        <w:rPr>
          <w:rFonts w:ascii="Avenir LT 45 Book" w:eastAsia="Calibri" w:hAnsi="Avenir LT 45 Book"/>
          <w:i/>
          <w:sz w:val="20"/>
        </w:rPr>
        <w:t>Three buffer areas around the Port have been identified; Area1, Area 2 and Area 3. For the purposes of these Guidelines these areas will be known as Buffer Area 1, Buffer Area 2 and Buffer Area 3.  The buffer area relevant to the Woodside and Richmond Precincts is Buffer Area 3 (refer figures 20 and 21).</w:t>
      </w:r>
    </w:p>
    <w:p w14:paraId="2FF58FD7" w14:textId="77777777" w:rsidR="00B46EF1" w:rsidRPr="00265622" w:rsidRDefault="00B46EF1" w:rsidP="00265622">
      <w:pPr>
        <w:spacing w:line="360" w:lineRule="auto"/>
        <w:rPr>
          <w:rFonts w:ascii="Avenir LT 45 Book" w:eastAsia="Calibri" w:hAnsi="Avenir LT 45 Book"/>
          <w:i/>
          <w:sz w:val="20"/>
        </w:rPr>
      </w:pPr>
      <w:proofErr w:type="gramStart"/>
      <w:r w:rsidRPr="00265622">
        <w:rPr>
          <w:rFonts w:ascii="Avenir LT 45 Book" w:eastAsia="Calibri" w:hAnsi="Avenir LT 45 Book"/>
          <w:i/>
          <w:sz w:val="20"/>
        </w:rPr>
        <w:t>Generally</w:t>
      </w:r>
      <w:proofErr w:type="gramEnd"/>
      <w:r w:rsidRPr="00265622">
        <w:rPr>
          <w:rFonts w:ascii="Avenir LT 45 Book" w:eastAsia="Calibri" w:hAnsi="Avenir LT 45 Book"/>
          <w:i/>
          <w:sz w:val="20"/>
        </w:rPr>
        <w:t xml:space="preserve"> the potential risk and amenity impacts from the Port are considerably less in Buffer Area 3. Nevertheless, the Fremantle Inner Harbour Buffer Definition Study has identified the potential for some noise and odour impacts in this area.</w:t>
      </w:r>
    </w:p>
    <w:p w14:paraId="7A9BEB04" w14:textId="77777777" w:rsidR="00B46EF1" w:rsidRPr="00265622" w:rsidRDefault="00B46EF1" w:rsidP="00265622">
      <w:pPr>
        <w:spacing w:line="360" w:lineRule="auto"/>
        <w:rPr>
          <w:rFonts w:ascii="Avenir LT 45 Book" w:eastAsia="Calibri" w:hAnsi="Avenir LT 45 Book"/>
          <w:i/>
          <w:sz w:val="20"/>
        </w:rPr>
      </w:pPr>
      <w:r w:rsidRPr="00265622">
        <w:rPr>
          <w:rFonts w:ascii="Avenir LT 45 Book" w:eastAsia="Calibri" w:hAnsi="Avenir LT 45 Book"/>
          <w:i/>
          <w:sz w:val="20"/>
        </w:rPr>
        <w:t>The intent of Buffer Area 3 is the management, as opposed to the control, of sensitive uses.</w:t>
      </w:r>
    </w:p>
    <w:p w14:paraId="4A93F655" w14:textId="77777777" w:rsidR="00B46EF1" w:rsidRDefault="00B46EF1" w:rsidP="00B46EF1">
      <w:r>
        <w:rPr>
          <w:noProof/>
          <w:lang w:eastAsia="en-AU"/>
        </w:rPr>
        <w:drawing>
          <wp:inline distT="0" distB="0" distL="0" distR="0" wp14:anchorId="0E2B0020" wp14:editId="22B08566">
            <wp:extent cx="2524125" cy="1800225"/>
            <wp:effectExtent l="19050" t="0" r="9525" b="0"/>
            <wp:docPr id="75" name="Picture 13" descr="Z:\2011 JOBS\11206-EAST FREMANTLE GUIDELINES\11206-PHOTOS\PROCESSED\WOODSIDE\27 HAMILTON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2011 JOBS\11206-EAST FREMANTLE GUIDELINES\11206-PHOTOS\PROCESSED\WOODSIDE\27 HAMILTON STREET.jpg"/>
                    <pic:cNvPicPr>
                      <a:picLocks noChangeAspect="1" noChangeArrowheads="1"/>
                    </pic:cNvPicPr>
                  </pic:nvPicPr>
                  <pic:blipFill>
                    <a:blip r:embed="rId223"/>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68FA4F40" wp14:editId="65BF491A">
            <wp:extent cx="2524125" cy="1800225"/>
            <wp:effectExtent l="19050" t="0" r="9525" b="0"/>
            <wp:docPr id="76" name="Picture 14" descr="Z:\2011 JOBS\11206-EAST FREMANTLE GUIDELINES\11206-PHOTOS\PROCESSED\RICHMOND\STATON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2011 JOBS\11206-EAST FREMANTLE GUIDELINES\11206-PHOTOS\PROCESSED\RICHMOND\STATON STREET.jpg"/>
                    <pic:cNvPicPr>
                      <a:picLocks noChangeAspect="1" noChangeArrowheads="1"/>
                    </pic:cNvPicPr>
                  </pic:nvPicPr>
                  <pic:blipFill>
                    <a:blip r:embed="rId224"/>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295DFAB7" w14:textId="77777777" w:rsidR="00B46EF1" w:rsidRDefault="00B46EF1" w:rsidP="00B46EF1">
      <w:pPr>
        <w:spacing w:before="120" w:after="240" w:line="240" w:lineRule="auto"/>
        <w:rPr>
          <w:i/>
        </w:rPr>
      </w:pPr>
      <w:r w:rsidRPr="00842387">
        <w:rPr>
          <w:noProof/>
          <w:lang w:eastAsia="en-AU"/>
        </w:rPr>
        <w:lastRenderedPageBreak/>
        <w:drawing>
          <wp:inline distT="0" distB="0" distL="0" distR="0" wp14:anchorId="76645823" wp14:editId="029633ED">
            <wp:extent cx="5724525" cy="4762500"/>
            <wp:effectExtent l="0" t="0" r="0" b="0"/>
            <wp:docPr id="214" name="Picture 11" descr="11206-BUFFER ZONE WOODSID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6-BUFFER ZONE WOODSIDE.eps"/>
                    <pic:cNvPicPr/>
                  </pic:nvPicPr>
                  <pic:blipFill>
                    <a:blip r:embed="rId225" cstate="print"/>
                    <a:stretch>
                      <a:fillRect/>
                    </a:stretch>
                  </pic:blipFill>
                  <pic:spPr>
                    <a:xfrm>
                      <a:off x="0" y="0"/>
                      <a:ext cx="5724525" cy="4762500"/>
                    </a:xfrm>
                    <a:prstGeom prst="rect">
                      <a:avLst/>
                    </a:prstGeom>
                  </pic:spPr>
                </pic:pic>
              </a:graphicData>
            </a:graphic>
          </wp:inline>
        </w:drawing>
      </w:r>
      <w:r w:rsidRPr="00842387">
        <w:rPr>
          <w:i/>
        </w:rPr>
        <w:t xml:space="preserve"> </w:t>
      </w:r>
    </w:p>
    <w:p w14:paraId="1567FE2C" w14:textId="77777777" w:rsidR="00B46EF1" w:rsidRDefault="00B46EF1" w:rsidP="00B46EF1">
      <w:pPr>
        <w:spacing w:before="120" w:after="240" w:line="240" w:lineRule="auto"/>
        <w:rPr>
          <w:i/>
        </w:rPr>
      </w:pPr>
      <w:r>
        <w:rPr>
          <w:rFonts w:ascii="Avenir LT 65 Medium" w:hAnsi="Avenir LT 65 Medium"/>
        </w:rPr>
        <w:t>Fi</w:t>
      </w:r>
      <w:r w:rsidRPr="00842387">
        <w:rPr>
          <w:rFonts w:ascii="Avenir LT 65 Medium" w:hAnsi="Avenir LT 65 Medium"/>
        </w:rPr>
        <w:t>gure 20</w:t>
      </w:r>
      <w:r w:rsidRPr="00842387">
        <w:t xml:space="preserve">- Fremantle Port Buffer Zone Area 3 affecting the Woodside Precinct.  </w:t>
      </w:r>
      <w:r w:rsidRPr="00842387">
        <w:rPr>
          <w:i/>
        </w:rPr>
        <w:t>Griffiths Architects 2011</w:t>
      </w:r>
    </w:p>
    <w:p w14:paraId="518EA098" w14:textId="77777777" w:rsidR="00B46EF1" w:rsidRPr="00F34992" w:rsidRDefault="00B46EF1" w:rsidP="00B46EF1">
      <w:pPr>
        <w:spacing w:before="120" w:after="240" w:line="240" w:lineRule="auto"/>
        <w:rPr>
          <w:rFonts w:ascii="Avenir LT 65 Medium" w:hAnsi="Avenir LT 65 Medium"/>
        </w:rPr>
      </w:pPr>
    </w:p>
    <w:p w14:paraId="67B3D36A" w14:textId="77777777" w:rsidR="00B46EF1" w:rsidRPr="00842387" w:rsidRDefault="00B46EF1" w:rsidP="00B46EF1">
      <w:pPr>
        <w:pStyle w:val="Figure"/>
        <w:rPr>
          <w:lang w:val="en-AU"/>
        </w:rPr>
      </w:pPr>
      <w:r w:rsidRPr="00842387">
        <w:rPr>
          <w:noProof/>
          <w:lang w:val="en-AU" w:eastAsia="en-AU"/>
        </w:rPr>
        <w:lastRenderedPageBreak/>
        <w:drawing>
          <wp:inline distT="0" distB="0" distL="0" distR="0" wp14:anchorId="5752AC4A" wp14:editId="19A87EA2">
            <wp:extent cx="5868035" cy="4264660"/>
            <wp:effectExtent l="19050" t="0" r="0" b="0"/>
            <wp:docPr id="215" name="Picture 12" descr="11206-BUFFER ZONE RICHMON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6-BUFFER ZONE RICHMOND.eps"/>
                    <pic:cNvPicPr/>
                  </pic:nvPicPr>
                  <pic:blipFill>
                    <a:blip r:embed="rId226" cstate="print"/>
                    <a:stretch>
                      <a:fillRect/>
                    </a:stretch>
                  </pic:blipFill>
                  <pic:spPr>
                    <a:xfrm>
                      <a:off x="0" y="0"/>
                      <a:ext cx="5868035" cy="4264660"/>
                    </a:xfrm>
                    <a:prstGeom prst="rect">
                      <a:avLst/>
                    </a:prstGeom>
                  </pic:spPr>
                </pic:pic>
              </a:graphicData>
            </a:graphic>
          </wp:inline>
        </w:drawing>
      </w:r>
    </w:p>
    <w:p w14:paraId="78C26E6F" w14:textId="77777777" w:rsidR="00B46EF1" w:rsidRPr="00842387" w:rsidRDefault="00B46EF1" w:rsidP="00B46EF1">
      <w:pPr>
        <w:pStyle w:val="Figure"/>
        <w:spacing w:before="120"/>
        <w:jc w:val="left"/>
        <w:rPr>
          <w:i/>
          <w:lang w:val="en-AU"/>
        </w:rPr>
      </w:pPr>
      <w:r w:rsidRPr="00842387">
        <w:rPr>
          <w:rFonts w:ascii="Avenir LT 65 Medium" w:hAnsi="Avenir LT 65 Medium"/>
          <w:lang w:val="en-AU"/>
        </w:rPr>
        <w:t>Figure 21</w:t>
      </w:r>
      <w:r w:rsidRPr="00842387">
        <w:rPr>
          <w:lang w:val="en-AU"/>
        </w:rPr>
        <w:t xml:space="preserve">- Fremantle Port Buffer Zone Area 3 affecting the Richmond Precinct.  </w:t>
      </w:r>
      <w:r w:rsidRPr="00842387">
        <w:rPr>
          <w:i/>
          <w:lang w:val="en-AU"/>
        </w:rPr>
        <w:t>Griffiths Architects 2011</w:t>
      </w:r>
    </w:p>
    <w:p w14:paraId="56138BDD" w14:textId="77777777" w:rsidR="00B46EF1" w:rsidRDefault="00B46EF1" w:rsidP="00B46EF1">
      <w:pPr>
        <w:pStyle w:val="Heading5"/>
        <w:spacing w:before="360"/>
        <w:ind w:left="1418" w:hanging="1418"/>
      </w:pPr>
      <w:r>
        <w:t>3.7.15.4.3.2</w:t>
      </w:r>
      <w:r>
        <w:tab/>
        <w:t>Desired Development Outcomes</w:t>
      </w:r>
    </w:p>
    <w:p w14:paraId="46E97AB8" w14:textId="77777777" w:rsidR="00B46EF1" w:rsidRPr="00265622" w:rsidRDefault="00B46EF1" w:rsidP="002A3889">
      <w:pPr>
        <w:pStyle w:val="ListParagraph"/>
        <w:numPr>
          <w:ilvl w:val="0"/>
          <w:numId w:val="173"/>
        </w:numPr>
        <w:spacing w:line="360" w:lineRule="auto"/>
        <w:ind w:left="714" w:hanging="357"/>
        <w:contextualSpacing w:val="0"/>
        <w:rPr>
          <w:rFonts w:ascii="Avenir LT 45 Book" w:eastAsia="Calibri" w:hAnsi="Avenir LT 45 Book" w:cs="Times New Roman"/>
          <w:sz w:val="20"/>
        </w:rPr>
      </w:pPr>
      <w:r w:rsidRPr="00265622">
        <w:rPr>
          <w:rFonts w:ascii="Avenir LT 45 Book" w:eastAsia="Calibri" w:hAnsi="Avenir LT 45 Book" w:cs="Times New Roman"/>
          <w:sz w:val="20"/>
        </w:rPr>
        <w:t xml:space="preserve">To minimise potential impacts that may arise from the </w:t>
      </w:r>
      <w:proofErr w:type="gramStart"/>
      <w:r w:rsidRPr="00265622">
        <w:rPr>
          <w:rFonts w:ascii="Avenir LT 45 Book" w:eastAsia="Calibri" w:hAnsi="Avenir LT 45 Book" w:cs="Times New Roman"/>
          <w:sz w:val="20"/>
        </w:rPr>
        <w:t>Port;</w:t>
      </w:r>
      <w:proofErr w:type="gramEnd"/>
    </w:p>
    <w:p w14:paraId="0615D218" w14:textId="77777777" w:rsidR="00B46EF1" w:rsidRPr="00265622" w:rsidRDefault="00B46EF1" w:rsidP="002A3889">
      <w:pPr>
        <w:pStyle w:val="ListParagraph"/>
        <w:numPr>
          <w:ilvl w:val="0"/>
          <w:numId w:val="173"/>
        </w:numPr>
        <w:spacing w:line="360" w:lineRule="auto"/>
        <w:ind w:left="714" w:hanging="357"/>
        <w:contextualSpacing w:val="0"/>
        <w:rPr>
          <w:rFonts w:ascii="Avenir LT 45 Book" w:eastAsia="Calibri" w:hAnsi="Avenir LT 45 Book" w:cs="Times New Roman"/>
          <w:sz w:val="20"/>
        </w:rPr>
      </w:pPr>
      <w:r w:rsidRPr="00265622">
        <w:rPr>
          <w:rFonts w:ascii="Avenir LT 45 Book" w:eastAsia="Calibri" w:hAnsi="Avenir LT 45 Book" w:cs="Times New Roman"/>
          <w:sz w:val="20"/>
        </w:rPr>
        <w:t>To define separate land use and built form requirements for each buffer area; and,</w:t>
      </w:r>
    </w:p>
    <w:p w14:paraId="0E298FC1" w14:textId="77777777" w:rsidR="00B46EF1" w:rsidRPr="00265622" w:rsidRDefault="00B46EF1" w:rsidP="002A3889">
      <w:pPr>
        <w:pStyle w:val="ListParagraph"/>
        <w:numPr>
          <w:ilvl w:val="0"/>
          <w:numId w:val="173"/>
        </w:numPr>
        <w:spacing w:line="360" w:lineRule="auto"/>
        <w:ind w:left="714" w:hanging="357"/>
        <w:contextualSpacing w:val="0"/>
        <w:rPr>
          <w:rFonts w:ascii="Avenir LT 45 Book" w:eastAsia="Calibri" w:hAnsi="Avenir LT 45 Book" w:cs="Times New Roman"/>
          <w:sz w:val="20"/>
        </w:rPr>
      </w:pPr>
      <w:r w:rsidRPr="00265622">
        <w:rPr>
          <w:rFonts w:ascii="Avenir LT 45 Book" w:eastAsia="Calibri" w:hAnsi="Avenir LT 45 Book" w:cs="Times New Roman"/>
          <w:sz w:val="20"/>
        </w:rPr>
        <w:t>To manage sensitive uses.</w:t>
      </w:r>
    </w:p>
    <w:p w14:paraId="6B7C98F5" w14:textId="77777777" w:rsidR="00B46EF1" w:rsidRDefault="00B46EF1" w:rsidP="00B46EF1">
      <w:pPr>
        <w:pStyle w:val="Heading5"/>
        <w:ind w:left="1418" w:hanging="1418"/>
      </w:pPr>
      <w:r>
        <w:t>3.7.15.4.3.3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8"/>
        <w:gridCol w:w="4518"/>
      </w:tblGrid>
      <w:tr w:rsidR="00B46EF1" w:rsidRPr="00842387" w14:paraId="40F091A8" w14:textId="77777777" w:rsidTr="008048CE">
        <w:tc>
          <w:tcPr>
            <w:tcW w:w="4621" w:type="dxa"/>
          </w:tcPr>
          <w:p w14:paraId="2604D189"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21E74937" w14:textId="77777777" w:rsidR="00B46EF1" w:rsidRDefault="00B46EF1" w:rsidP="008048CE">
            <w:r w:rsidRPr="00842387">
              <w:rPr>
                <w:rFonts w:ascii="Avenir LT 65 Medium" w:hAnsi="Avenir LT 65 Medium"/>
              </w:rPr>
              <w:t>Acceptable Development Provisions</w:t>
            </w:r>
          </w:p>
        </w:tc>
      </w:tr>
      <w:tr w:rsidR="00B46EF1" w:rsidRPr="00842387" w14:paraId="4B7F7A2A" w14:textId="77777777" w:rsidTr="008048CE">
        <w:tc>
          <w:tcPr>
            <w:tcW w:w="4621" w:type="dxa"/>
          </w:tcPr>
          <w:p w14:paraId="6810A93A" w14:textId="77777777" w:rsidR="00B46EF1" w:rsidRDefault="00B46EF1" w:rsidP="002A3889">
            <w:pPr>
              <w:pStyle w:val="ListParagraph"/>
              <w:numPr>
                <w:ilvl w:val="0"/>
                <w:numId w:val="171"/>
              </w:numPr>
              <w:spacing w:before="120" w:line="360" w:lineRule="auto"/>
              <w:ind w:left="567" w:hanging="504"/>
              <w:contextualSpacing w:val="0"/>
            </w:pPr>
            <w:r w:rsidRPr="00265622">
              <w:rPr>
                <w:rFonts w:ascii="Avenir LT 45 Book" w:eastAsia="Calibri" w:hAnsi="Avenir LT 45 Book" w:cs="Arial"/>
                <w:sz w:val="20"/>
              </w:rPr>
              <w:t>There are no general buffer-related development controls for Buffer Area 3.  However, where a specific location within this area is known to be impacted from port operations (e.g. through a history of formal complaints), Council</w:t>
            </w:r>
            <w:r w:rsidRPr="004C2BA0">
              <w:rPr>
                <w:rFonts w:cs="Arial"/>
              </w:rPr>
              <w:t xml:space="preserve"> </w:t>
            </w:r>
            <w:r w:rsidRPr="00265622">
              <w:rPr>
                <w:rFonts w:ascii="Avenir LT 45 Book" w:eastAsia="Calibri" w:hAnsi="Avenir LT 45 Book" w:cs="Arial"/>
                <w:sz w:val="20"/>
              </w:rPr>
              <w:t>may, in consultation with</w:t>
            </w:r>
            <w:r w:rsidRPr="004C2BA0">
              <w:rPr>
                <w:rFonts w:cs="Arial"/>
              </w:rPr>
              <w:t xml:space="preserve"> </w:t>
            </w:r>
            <w:r w:rsidRPr="00265622">
              <w:rPr>
                <w:rFonts w:ascii="Avenir LT 45 Book" w:eastAsia="Calibri" w:hAnsi="Avenir LT 45 Book" w:cs="Arial"/>
                <w:sz w:val="20"/>
              </w:rPr>
              <w:t>Fremantle Ports,</w:t>
            </w:r>
            <w:r w:rsidRPr="004C2BA0">
              <w:rPr>
                <w:rFonts w:cs="Arial"/>
              </w:rPr>
              <w:t xml:space="preserve"> </w:t>
            </w:r>
            <w:r w:rsidRPr="00265622">
              <w:rPr>
                <w:rFonts w:ascii="Avenir LT 45 Book" w:eastAsia="Calibri" w:hAnsi="Avenir LT 45 Book" w:cs="Arial"/>
                <w:sz w:val="20"/>
              </w:rPr>
              <w:t>apply</w:t>
            </w:r>
            <w:r w:rsidRPr="004C2BA0">
              <w:rPr>
                <w:rFonts w:cs="Arial"/>
              </w:rPr>
              <w:t xml:space="preserve"> </w:t>
            </w:r>
            <w:r w:rsidRPr="00C03873">
              <w:rPr>
                <w:rFonts w:ascii="Avenir LT 45 Book" w:eastAsia="Calibri" w:hAnsi="Avenir LT 45 Book" w:cs="Arial"/>
                <w:sz w:val="20"/>
              </w:rPr>
              <w:t xml:space="preserve">some or </w:t>
            </w:r>
            <w:proofErr w:type="gramStart"/>
            <w:r w:rsidRPr="00C03873">
              <w:rPr>
                <w:rFonts w:ascii="Avenir LT 45 Book" w:eastAsia="Calibri" w:hAnsi="Avenir LT 45 Book" w:cs="Arial"/>
                <w:sz w:val="20"/>
              </w:rPr>
              <w:t>all of</w:t>
            </w:r>
            <w:proofErr w:type="gramEnd"/>
            <w:r w:rsidRPr="00C03873">
              <w:rPr>
                <w:rFonts w:ascii="Avenir LT 45 Book" w:eastAsia="Calibri" w:hAnsi="Avenir LT 45 Book" w:cs="Arial"/>
                <w:sz w:val="20"/>
              </w:rPr>
              <w:t xml:space="preserve"> the development controls of Buffer Area 2.</w:t>
            </w:r>
          </w:p>
        </w:tc>
        <w:tc>
          <w:tcPr>
            <w:tcW w:w="4621" w:type="dxa"/>
          </w:tcPr>
          <w:p w14:paraId="6239160C" w14:textId="77777777" w:rsidR="00B46EF1" w:rsidRPr="00265622" w:rsidRDefault="00B46EF1" w:rsidP="002A3889">
            <w:pPr>
              <w:pStyle w:val="ListParagraph"/>
              <w:numPr>
                <w:ilvl w:val="1"/>
                <w:numId w:val="172"/>
              </w:numPr>
              <w:spacing w:before="120" w:line="360" w:lineRule="auto"/>
              <w:ind w:left="624" w:hanging="505"/>
              <w:contextualSpacing w:val="0"/>
              <w:rPr>
                <w:rFonts w:ascii="Avenir LT 45 Book" w:eastAsia="Calibri" w:hAnsi="Avenir LT 45 Book" w:cs="Times New Roman"/>
                <w:sz w:val="20"/>
              </w:rPr>
            </w:pPr>
            <w:r w:rsidRPr="00265622">
              <w:rPr>
                <w:rFonts w:ascii="Avenir LT 45 Book" w:eastAsia="Calibri" w:hAnsi="Avenir LT 45 Book" w:cs="Times New Roman"/>
                <w:sz w:val="20"/>
              </w:rPr>
              <w:t>Developments, additions and alterations must comply with the Fremantle Buffer Area requirements.</w:t>
            </w:r>
          </w:p>
          <w:p w14:paraId="430FAD7D" w14:textId="77777777" w:rsidR="00B46EF1" w:rsidRDefault="00B46EF1" w:rsidP="002A3889">
            <w:pPr>
              <w:pStyle w:val="ListParagraph"/>
              <w:numPr>
                <w:ilvl w:val="1"/>
                <w:numId w:val="172"/>
              </w:numPr>
              <w:spacing w:line="360" w:lineRule="auto"/>
              <w:ind w:left="624" w:hanging="505"/>
              <w:contextualSpacing w:val="0"/>
            </w:pPr>
            <w:r w:rsidRPr="00265622">
              <w:rPr>
                <w:rFonts w:ascii="Avenir LT 45 Book" w:eastAsia="Calibri" w:hAnsi="Avenir LT 45 Book" w:cs="Times New Roman"/>
                <w:sz w:val="20"/>
              </w:rPr>
              <w:t>Council may accept alternative built form treatments subject to the applicant satisfactorily demonstrating fulfilment of the potential risk and amenity</w:t>
            </w:r>
            <w:r w:rsidRPr="00842387">
              <w:t xml:space="preserve"> </w:t>
            </w:r>
            <w:r w:rsidRPr="00265622">
              <w:rPr>
                <w:rFonts w:ascii="Avenir LT 45 Book" w:eastAsia="Calibri" w:hAnsi="Avenir LT 45 Book" w:cs="Times New Roman"/>
                <w:sz w:val="20"/>
              </w:rPr>
              <w:t>considerations outlined above.</w:t>
            </w:r>
            <w:r w:rsidRPr="00842387">
              <w:t xml:space="preserve"> </w:t>
            </w:r>
            <w:r w:rsidRPr="00265622">
              <w:rPr>
                <w:rFonts w:ascii="Avenir LT 45 Book" w:eastAsia="Calibri" w:hAnsi="Avenir LT 45 Book" w:cs="Times New Roman"/>
                <w:sz w:val="20"/>
              </w:rPr>
              <w:t>Alternative treatments shall be</w:t>
            </w:r>
            <w:r w:rsidRPr="00842387">
              <w:t xml:space="preserve"> </w:t>
            </w:r>
            <w:r w:rsidRPr="00C03873">
              <w:rPr>
                <w:rFonts w:ascii="Avenir LT 45 Book" w:eastAsia="Calibri" w:hAnsi="Avenir LT 45 Book" w:cs="Times New Roman"/>
                <w:sz w:val="20"/>
              </w:rPr>
              <w:t>justified to Council through submission of professionally prepared and certified reports.</w:t>
            </w:r>
          </w:p>
        </w:tc>
      </w:tr>
    </w:tbl>
    <w:p w14:paraId="747E6A5B" w14:textId="77777777" w:rsidR="00B46EF1" w:rsidRDefault="00B46EF1" w:rsidP="00B46EF1">
      <w:pPr>
        <w:pStyle w:val="Heading5"/>
        <w:spacing w:before="360"/>
        <w:ind w:left="1418" w:hanging="1418"/>
      </w:pPr>
      <w:r>
        <w:lastRenderedPageBreak/>
        <w:t>3.7.15.4.3.4</w:t>
      </w:r>
      <w:r>
        <w:tab/>
        <w:t>Administrative Procedures</w:t>
      </w:r>
    </w:p>
    <w:p w14:paraId="30C321BE" w14:textId="77777777" w:rsidR="00B46EF1" w:rsidRPr="00C03873" w:rsidRDefault="00B46EF1" w:rsidP="00C03873">
      <w:pPr>
        <w:spacing w:line="360" w:lineRule="auto"/>
        <w:rPr>
          <w:rFonts w:ascii="Avenir LT 45 Book" w:eastAsia="Calibri" w:hAnsi="Avenir LT 45 Book"/>
          <w:sz w:val="20"/>
        </w:rPr>
      </w:pPr>
      <w:r w:rsidRPr="00C03873">
        <w:rPr>
          <w:rFonts w:ascii="Avenir LT 45 Book" w:eastAsia="Calibri" w:hAnsi="Avenir LT 45 Book"/>
          <w:sz w:val="20"/>
        </w:rPr>
        <w:t>Where applicable, applicants should be advised as soon as possible of the requirements of this policy. Ideally, this should be prior to lodging a formal application for development, including proposals for subdivision and scheme amendments.</w:t>
      </w:r>
    </w:p>
    <w:p w14:paraId="48F23317" w14:textId="77777777" w:rsidR="00B46EF1" w:rsidRPr="00C03873" w:rsidRDefault="00B46EF1" w:rsidP="00C03873">
      <w:pPr>
        <w:spacing w:line="360" w:lineRule="auto"/>
        <w:rPr>
          <w:rFonts w:ascii="Avenir LT 45 Book" w:eastAsia="Calibri" w:hAnsi="Avenir LT 45 Book"/>
          <w:sz w:val="20"/>
        </w:rPr>
      </w:pPr>
      <w:r w:rsidRPr="00C03873">
        <w:rPr>
          <w:rFonts w:ascii="Avenir LT 45 Book" w:eastAsia="Calibri" w:hAnsi="Avenir LT 45 Book"/>
          <w:sz w:val="20"/>
        </w:rPr>
        <w:t xml:space="preserve">Applicants should be encouraged to liaise with relevant staff including those at Fremantle Ports, </w:t>
      </w:r>
      <w:proofErr w:type="gramStart"/>
      <w:r w:rsidRPr="00C03873">
        <w:rPr>
          <w:rFonts w:ascii="Avenir LT 45 Book" w:eastAsia="Calibri" w:hAnsi="Avenir LT 45 Book"/>
          <w:sz w:val="20"/>
        </w:rPr>
        <w:t>in order to</w:t>
      </w:r>
      <w:proofErr w:type="gramEnd"/>
      <w:r w:rsidRPr="00C03873">
        <w:rPr>
          <w:rFonts w:ascii="Avenir LT 45 Book" w:eastAsia="Calibri" w:hAnsi="Avenir LT 45 Book"/>
          <w:sz w:val="20"/>
        </w:rPr>
        <w:t xml:space="preserve"> understand the requirements of this policy.</w:t>
      </w:r>
    </w:p>
    <w:p w14:paraId="0E9ED49F" w14:textId="77777777" w:rsidR="00B46EF1" w:rsidRPr="00C03873" w:rsidRDefault="00B46EF1" w:rsidP="00C03873">
      <w:pPr>
        <w:spacing w:line="360" w:lineRule="auto"/>
        <w:rPr>
          <w:rFonts w:ascii="Avenir LT 45 Book" w:eastAsia="Calibri" w:hAnsi="Avenir LT 45 Book"/>
          <w:sz w:val="20"/>
        </w:rPr>
      </w:pPr>
      <w:r w:rsidRPr="00C03873">
        <w:rPr>
          <w:rFonts w:ascii="Avenir LT 45 Book" w:eastAsia="Calibri" w:hAnsi="Avenir LT 45 Book"/>
          <w:sz w:val="20"/>
        </w:rPr>
        <w:t>Council shall refer a proposal to Fremantle Ports where a proponent seeks any significant variation to the development controls contained within these guidelines.</w:t>
      </w:r>
    </w:p>
    <w:p w14:paraId="7E4F9460" w14:textId="77777777" w:rsidR="00B46EF1" w:rsidRPr="00C03873" w:rsidRDefault="00B46EF1" w:rsidP="00C03873">
      <w:pPr>
        <w:spacing w:line="360" w:lineRule="auto"/>
        <w:rPr>
          <w:rFonts w:ascii="Avenir LT 45 Book" w:eastAsia="Calibri" w:hAnsi="Avenir LT 45 Book"/>
          <w:sz w:val="20"/>
        </w:rPr>
      </w:pPr>
      <w:r w:rsidRPr="00C03873">
        <w:rPr>
          <w:rFonts w:ascii="Avenir LT 45 Book" w:eastAsia="Calibri" w:hAnsi="Avenir LT 45 Book"/>
          <w:sz w:val="20"/>
        </w:rPr>
        <w:t>Fremantle Port shall within 14 days of notification, advise the Town of its assessment of a development proposal referred as per the requirements outlined above.</w:t>
      </w:r>
    </w:p>
    <w:p w14:paraId="4DFC250E" w14:textId="77777777" w:rsidR="00B46EF1" w:rsidRPr="00C03873" w:rsidRDefault="00B46EF1" w:rsidP="00C03873">
      <w:pPr>
        <w:spacing w:line="360" w:lineRule="auto"/>
        <w:rPr>
          <w:rFonts w:ascii="Avenir LT 45 Book" w:eastAsia="Calibri" w:hAnsi="Avenir LT 45 Book"/>
          <w:sz w:val="20"/>
        </w:rPr>
      </w:pPr>
      <w:r w:rsidRPr="00C03873">
        <w:rPr>
          <w:rFonts w:ascii="Avenir LT 45 Book" w:eastAsia="Calibri" w:hAnsi="Avenir LT 45 Book"/>
          <w:sz w:val="20"/>
        </w:rPr>
        <w:t>In terms of conditions of development approval that arise from the requirements of this policy, Council shall require a building surveyor or suitably qualified structural engineer to certify that the requirements of the conditions have been fulfilled in accordance with the approved plans.</w:t>
      </w:r>
    </w:p>
    <w:p w14:paraId="5D265F6E" w14:textId="77777777" w:rsidR="00B46EF1" w:rsidRPr="00C03873" w:rsidRDefault="00B46EF1" w:rsidP="00C03873">
      <w:pPr>
        <w:spacing w:line="360" w:lineRule="auto"/>
        <w:rPr>
          <w:rFonts w:ascii="Avenir LT 45 Book" w:eastAsia="Calibri" w:hAnsi="Avenir LT 45 Book"/>
          <w:sz w:val="20"/>
        </w:rPr>
      </w:pPr>
      <w:r w:rsidRPr="00C03873">
        <w:rPr>
          <w:rFonts w:ascii="Avenir LT 45 Book" w:eastAsia="Calibri" w:hAnsi="Avenir LT 45 Book"/>
          <w:sz w:val="20"/>
        </w:rPr>
        <w:t>Where appropriate, certification shall be provided prior to the issue of a building permit, certificate of clearance / classification or strata / subdivision clearance.</w:t>
      </w:r>
    </w:p>
    <w:p w14:paraId="2427D488" w14:textId="77777777" w:rsidR="00B46EF1" w:rsidRPr="00C03873" w:rsidRDefault="00B46EF1" w:rsidP="00C03873">
      <w:pPr>
        <w:spacing w:line="360" w:lineRule="auto"/>
        <w:rPr>
          <w:rFonts w:ascii="Avenir LT 45 Book" w:eastAsia="Calibri" w:hAnsi="Avenir LT 45 Book"/>
          <w:sz w:val="20"/>
        </w:rPr>
      </w:pPr>
      <w:r w:rsidRPr="00C03873">
        <w:rPr>
          <w:rFonts w:ascii="Avenir LT 45 Book" w:eastAsia="Calibri" w:hAnsi="Avenir LT 45 Book"/>
          <w:sz w:val="20"/>
        </w:rPr>
        <w:t>The applicant shall arrange for certification to be endorsed by Fremantle Ports prior to lodgement of appropriate documentation with the Town.</w:t>
      </w:r>
    </w:p>
    <w:p w14:paraId="27112985" w14:textId="77777777" w:rsidR="00B46EF1" w:rsidRPr="00C03873" w:rsidRDefault="00B46EF1" w:rsidP="00C03873">
      <w:pPr>
        <w:spacing w:line="360" w:lineRule="auto"/>
        <w:rPr>
          <w:rFonts w:ascii="Avenir LT 45 Book" w:eastAsia="Calibri" w:hAnsi="Avenir LT 45 Book"/>
          <w:sz w:val="20"/>
          <w:u w:val="single"/>
        </w:rPr>
      </w:pPr>
      <w:r w:rsidRPr="00C03873">
        <w:rPr>
          <w:rFonts w:ascii="Avenir LT 45 Book" w:eastAsia="Calibri" w:hAnsi="Avenir LT 45 Book"/>
          <w:sz w:val="20"/>
          <w:u w:val="single"/>
        </w:rPr>
        <w:t>Buffer Area 3</w:t>
      </w:r>
    </w:p>
    <w:p w14:paraId="58728B10" w14:textId="77777777" w:rsidR="00B46EF1" w:rsidRPr="00C03873" w:rsidRDefault="00B46EF1" w:rsidP="00C03873">
      <w:pPr>
        <w:spacing w:line="360" w:lineRule="auto"/>
        <w:rPr>
          <w:rFonts w:ascii="Avenir LT 45 Book" w:eastAsia="Calibri" w:hAnsi="Avenir LT 45 Book"/>
          <w:sz w:val="20"/>
        </w:rPr>
      </w:pPr>
      <w:r w:rsidRPr="00C03873">
        <w:rPr>
          <w:rFonts w:ascii="Avenir LT 45 Book" w:eastAsia="Calibri" w:hAnsi="Avenir LT 45 Book"/>
          <w:sz w:val="20"/>
        </w:rPr>
        <w:t>Council shall refer a proposal to Fremantle Ports where the proposal falls within a specific location that has been formally notified to Council as being impacted from port operations.</w:t>
      </w:r>
    </w:p>
    <w:p w14:paraId="3D4DC40C" w14:textId="77777777" w:rsidR="00B46EF1" w:rsidRPr="00C03873" w:rsidRDefault="00B46EF1" w:rsidP="00C03873">
      <w:pPr>
        <w:spacing w:line="360" w:lineRule="auto"/>
        <w:rPr>
          <w:rFonts w:ascii="Avenir LT 45 Book" w:eastAsia="Calibri" w:hAnsi="Avenir LT 45 Book"/>
          <w:sz w:val="20"/>
        </w:rPr>
      </w:pPr>
      <w:r w:rsidRPr="00C03873">
        <w:rPr>
          <w:rFonts w:ascii="Avenir LT 45 Book" w:eastAsia="Calibri" w:hAnsi="Avenir LT 45 Book"/>
          <w:sz w:val="20"/>
        </w:rPr>
        <w:t>In the case of scheme amendments that would result in an increase or intensification of sensitive uses, Council shall notify Fremantle Ports as soon as practicable prior to initiating the amendment.</w:t>
      </w:r>
    </w:p>
    <w:p w14:paraId="6B66D507" w14:textId="77777777" w:rsidR="00B46EF1" w:rsidRPr="00842387" w:rsidRDefault="00B46EF1" w:rsidP="00B46EF1"/>
    <w:p w14:paraId="6307511F" w14:textId="77777777" w:rsidR="00B46EF1" w:rsidRDefault="00B46EF1" w:rsidP="00B46EF1">
      <w:pPr>
        <w:sectPr w:rsidR="00B46EF1" w:rsidSect="00FF449F">
          <w:footerReference w:type="default" r:id="rId227"/>
          <w:pgSz w:w="11906" w:h="16838"/>
          <w:pgMar w:top="1440" w:right="1440" w:bottom="1276" w:left="1440" w:header="708" w:footer="708" w:gutter="0"/>
          <w:pgNumType w:start="1"/>
          <w:cols w:space="708"/>
          <w:docGrid w:linePitch="360"/>
        </w:sectPr>
      </w:pPr>
    </w:p>
    <w:p w14:paraId="2ABFFB8A" w14:textId="49A0FD60" w:rsidR="00B46EF1" w:rsidRPr="00C03873" w:rsidRDefault="00C03873" w:rsidP="00C03873">
      <w:pPr>
        <w:pStyle w:val="Heading4"/>
        <w:spacing w:before="120" w:after="200" w:line="360" w:lineRule="auto"/>
        <w:ind w:left="1418" w:hanging="1418"/>
        <w:rPr>
          <w:rFonts w:ascii="Avenir LT 65 Medium" w:hAnsi="Avenir LT 65 Medium"/>
          <w:bCs/>
          <w:i w:val="0"/>
          <w:color w:val="auto"/>
        </w:rPr>
      </w:pPr>
      <w:bookmarkStart w:id="468" w:name="_Toc452727449"/>
      <w:r>
        <w:rPr>
          <w:rFonts w:ascii="Avenir LT 65 Medium" w:hAnsi="Avenir LT 65 Medium"/>
          <w:bCs/>
          <w:i w:val="0"/>
          <w:color w:val="auto"/>
        </w:rPr>
        <w:lastRenderedPageBreak/>
        <w:t>3.7.16</w:t>
      </w:r>
      <w:r>
        <w:rPr>
          <w:rFonts w:ascii="Avenir LT 65 Medium" w:hAnsi="Avenir LT 65 Medium"/>
          <w:bCs/>
          <w:i w:val="0"/>
          <w:color w:val="auto"/>
        </w:rPr>
        <w:tab/>
      </w:r>
      <w:r w:rsidR="00B46EF1" w:rsidRPr="00C03873">
        <w:rPr>
          <w:rFonts w:ascii="Avenir LT 65 Medium" w:hAnsi="Avenir LT 65 Medium"/>
          <w:bCs/>
          <w:i w:val="0"/>
          <w:color w:val="auto"/>
        </w:rPr>
        <w:t>Plympton Precinct</w:t>
      </w:r>
      <w:bookmarkEnd w:id="468"/>
    </w:p>
    <w:p w14:paraId="2221987A" w14:textId="77777777" w:rsidR="00B46EF1" w:rsidRPr="00C03873" w:rsidRDefault="00C03873" w:rsidP="00C03873">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3.7.16.1</w:t>
      </w:r>
      <w:r>
        <w:rPr>
          <w:rFonts w:ascii="Avenir LT 65 Medium" w:hAnsi="Avenir LT 65 Medium"/>
          <w:bCs/>
          <w:i w:val="0"/>
          <w:color w:val="auto"/>
        </w:rPr>
        <w:tab/>
      </w:r>
      <w:r w:rsidR="00B46EF1" w:rsidRPr="00C03873">
        <w:rPr>
          <w:rFonts w:ascii="Avenir LT 65 Medium" w:hAnsi="Avenir LT 65 Medium"/>
          <w:bCs/>
          <w:i w:val="0"/>
          <w:color w:val="auto"/>
        </w:rPr>
        <w:t>Statement of Desired Future Character</w:t>
      </w:r>
    </w:p>
    <w:p w14:paraId="7DE354C3" w14:textId="77777777" w:rsidR="00B46EF1" w:rsidRPr="00C03873" w:rsidRDefault="00C03873" w:rsidP="00C03873">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3.7.16.1.1</w:t>
      </w:r>
      <w:r>
        <w:rPr>
          <w:rFonts w:ascii="Avenir LT 65 Medium" w:hAnsi="Avenir LT 65 Medium"/>
          <w:bCs/>
          <w:i w:val="0"/>
          <w:color w:val="auto"/>
        </w:rPr>
        <w:tab/>
      </w:r>
      <w:r w:rsidR="00B46EF1" w:rsidRPr="00C03873">
        <w:rPr>
          <w:rFonts w:ascii="Avenir LT 65 Medium" w:hAnsi="Avenir LT 65 Medium"/>
          <w:bCs/>
          <w:i w:val="0"/>
          <w:color w:val="auto"/>
        </w:rPr>
        <w:t>Plympton</w:t>
      </w:r>
    </w:p>
    <w:p w14:paraId="1537B1E1" w14:textId="77777777" w:rsidR="00B46EF1" w:rsidRPr="00C03873" w:rsidRDefault="00B46EF1" w:rsidP="00C03873">
      <w:pPr>
        <w:spacing w:line="360" w:lineRule="auto"/>
        <w:rPr>
          <w:rFonts w:ascii="Avenir LT 45 Book" w:eastAsia="Calibri" w:hAnsi="Avenir LT 45 Book"/>
          <w:i/>
          <w:sz w:val="20"/>
        </w:rPr>
      </w:pPr>
      <w:r w:rsidRPr="00C03873">
        <w:rPr>
          <w:rFonts w:ascii="Avenir LT 45 Book" w:eastAsia="Calibri" w:hAnsi="Avenir LT 45 Book"/>
          <w:i/>
          <w:sz w:val="20"/>
        </w:rPr>
        <w:t xml:space="preserve">The desired future character of Plympton is the maintenance of its predominant single storey gold boom period buildings, cohabiting with sympathetic infill and additions in a leafy streetscape. </w:t>
      </w:r>
      <w:proofErr w:type="gramStart"/>
      <w:r w:rsidRPr="00C03873">
        <w:rPr>
          <w:rFonts w:ascii="Avenir LT 45 Book" w:eastAsia="Calibri" w:hAnsi="Avenir LT 45 Book"/>
          <w:i/>
          <w:sz w:val="20"/>
        </w:rPr>
        <w:t>Similarly</w:t>
      </w:r>
      <w:proofErr w:type="gramEnd"/>
      <w:r w:rsidRPr="00C03873">
        <w:rPr>
          <w:rFonts w:ascii="Avenir LT 45 Book" w:eastAsia="Calibri" w:hAnsi="Avenir LT 45 Book"/>
          <w:i/>
          <w:sz w:val="20"/>
        </w:rPr>
        <w:t xml:space="preserve"> the George Street Precinct should retain its heritage and seek to encourage new development or redevelopment that makes a complementary and positive contribution to the streetscape.</w:t>
      </w:r>
    </w:p>
    <w:p w14:paraId="14AFD417" w14:textId="77777777" w:rsidR="00B46EF1" w:rsidRPr="00C03873" w:rsidRDefault="00B46EF1" w:rsidP="00C03873">
      <w:pPr>
        <w:pStyle w:val="Heading4"/>
        <w:spacing w:before="120" w:after="200" w:line="360" w:lineRule="auto"/>
        <w:rPr>
          <w:rFonts w:ascii="Avenir LT 65 Medium" w:hAnsi="Avenir LT 65 Medium"/>
          <w:bCs/>
          <w:i w:val="0"/>
          <w:color w:val="auto"/>
        </w:rPr>
      </w:pPr>
      <w:r w:rsidRPr="00C03873">
        <w:rPr>
          <w:rFonts w:ascii="Avenir LT 65 Medium" w:hAnsi="Avenir LT 65 Medium"/>
          <w:bCs/>
          <w:i w:val="0"/>
          <w:noProof/>
          <w:color w:val="auto"/>
          <w:lang w:eastAsia="en-AU"/>
        </w:rPr>
        <w:drawing>
          <wp:inline distT="0" distB="0" distL="0" distR="0" wp14:anchorId="700EDEF8" wp14:editId="058CD34C">
            <wp:extent cx="5731510" cy="3223974"/>
            <wp:effectExtent l="19050" t="0" r="2540" b="0"/>
            <wp:docPr id="216" name="Picture 1" descr="E:\P10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1010019.JPG"/>
                    <pic:cNvPicPr>
                      <a:picLocks noChangeAspect="1" noChangeArrowheads="1"/>
                    </pic:cNvPicPr>
                  </pic:nvPicPr>
                  <pic:blipFill>
                    <a:blip r:embed="rId228"/>
                    <a:srcRect/>
                    <a:stretch>
                      <a:fillRect/>
                    </a:stretch>
                  </pic:blipFill>
                  <pic:spPr bwMode="auto">
                    <a:xfrm>
                      <a:off x="0" y="0"/>
                      <a:ext cx="5739564" cy="3228504"/>
                    </a:xfrm>
                    <a:prstGeom prst="rect">
                      <a:avLst/>
                    </a:prstGeom>
                    <a:noFill/>
                    <a:ln w="9525">
                      <a:noFill/>
                      <a:miter lim="800000"/>
                      <a:headEnd/>
                      <a:tailEnd/>
                    </a:ln>
                  </pic:spPr>
                </pic:pic>
              </a:graphicData>
            </a:graphic>
          </wp:inline>
        </w:drawing>
      </w:r>
    </w:p>
    <w:p w14:paraId="3868378B" w14:textId="77777777" w:rsidR="00B46EF1" w:rsidRPr="00C03873" w:rsidRDefault="00C03873" w:rsidP="00C03873">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3.7.16.2</w:t>
      </w:r>
      <w:r>
        <w:rPr>
          <w:rFonts w:ascii="Avenir LT 65 Medium" w:hAnsi="Avenir LT 65 Medium"/>
          <w:bCs/>
          <w:i w:val="0"/>
          <w:color w:val="auto"/>
        </w:rPr>
        <w:tab/>
      </w:r>
      <w:r w:rsidR="00B46EF1" w:rsidRPr="00C03873">
        <w:rPr>
          <w:rFonts w:ascii="Avenir LT 65 Medium" w:hAnsi="Avenir LT 65 Medium"/>
          <w:bCs/>
          <w:i w:val="0"/>
          <w:color w:val="auto"/>
        </w:rPr>
        <w:t>Access, Parking and Rights-of-Way</w:t>
      </w:r>
    </w:p>
    <w:p w14:paraId="1127AA63" w14:textId="77777777" w:rsidR="00B46EF1" w:rsidRDefault="00C03873" w:rsidP="00C03873">
      <w:pPr>
        <w:pStyle w:val="Heading5"/>
      </w:pPr>
      <w:r>
        <w:t>3.7.16.2.1</w:t>
      </w:r>
      <w:r>
        <w:tab/>
      </w:r>
      <w:r w:rsidR="00B46EF1" w:rsidRPr="00842387">
        <w:t>Statement</w:t>
      </w:r>
    </w:p>
    <w:p w14:paraId="39C0581B" w14:textId="77777777" w:rsidR="00B46EF1" w:rsidRPr="00C03873" w:rsidRDefault="00B46EF1" w:rsidP="00C03873">
      <w:pPr>
        <w:spacing w:line="360" w:lineRule="auto"/>
        <w:rPr>
          <w:rFonts w:ascii="Avenir LT 45 Book" w:eastAsia="Calibri" w:hAnsi="Avenir LT 45 Book"/>
          <w:i/>
          <w:sz w:val="20"/>
        </w:rPr>
      </w:pPr>
      <w:r w:rsidRPr="00C03873">
        <w:rPr>
          <w:rFonts w:ascii="Avenir LT 45 Book" w:eastAsia="Calibri" w:hAnsi="Avenir LT 45 Book"/>
          <w:i/>
          <w:sz w:val="20"/>
        </w:rPr>
        <w:t>Residences in Plympton have access via a single cross over.  Traditional building patterns have parking located on street.  Parking to new developments sometimes occurs in the front setback area, in contrast to the traditional built pattern.</w:t>
      </w:r>
    </w:p>
    <w:p w14:paraId="2300C9DE" w14:textId="77777777" w:rsidR="00B46EF1" w:rsidRPr="00842387" w:rsidRDefault="00B46EF1" w:rsidP="00B46EF1">
      <w:r>
        <w:rPr>
          <w:noProof/>
          <w:szCs w:val="20"/>
          <w:lang w:eastAsia="en-AU"/>
        </w:rPr>
        <w:drawing>
          <wp:inline distT="0" distB="0" distL="0" distR="0" wp14:anchorId="0692C030" wp14:editId="46E3A00B">
            <wp:extent cx="2524125" cy="1800225"/>
            <wp:effectExtent l="19050" t="0" r="9525" b="0"/>
            <wp:docPr id="79" name="Picture 16" descr="Z:\2011 JOBS\11206-EAST FREMANTLE GUIDELINES\11206-PHOTOS\PROCESSED\PLYMPTON\88 HUBBL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2011 JOBS\11206-EAST FREMANTLE GUIDELINES\11206-PHOTOS\PROCESSED\PLYMPTON\88 HUBBLE STREET.jpg"/>
                    <pic:cNvPicPr>
                      <a:picLocks noChangeAspect="1" noChangeArrowheads="1"/>
                    </pic:cNvPicPr>
                  </pic:nvPicPr>
                  <pic:blipFill>
                    <a:blip r:embed="rId229"/>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257F9F16" wp14:editId="2C06E7B5">
            <wp:extent cx="2524125" cy="1800225"/>
            <wp:effectExtent l="19050" t="0" r="9525" b="0"/>
            <wp:docPr id="80" name="Picture 17" descr="Z:\2011 JOBS\11206-EAST FREMANTLE GUIDELINES\11206-PHOTOS\PROCESSED\PLYMPTON\SEWELL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2011 JOBS\11206-EAST FREMANTLE GUIDELINES\11206-PHOTOS\PROCESSED\PLYMPTON\SEWELL STREET.jpg"/>
                    <pic:cNvPicPr>
                      <a:picLocks noChangeAspect="1" noChangeArrowheads="1"/>
                    </pic:cNvPicPr>
                  </pic:nvPicPr>
                  <pic:blipFill>
                    <a:blip r:embed="rId230"/>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704D1D1E" w14:textId="77777777" w:rsidR="00B46EF1" w:rsidRDefault="00862AB2" w:rsidP="00C03873">
      <w:pPr>
        <w:pStyle w:val="Heading5"/>
      </w:pPr>
      <w:r>
        <w:t>3.7.16.2.2</w:t>
      </w:r>
      <w:r>
        <w:tab/>
      </w:r>
      <w:r w:rsidR="00B46EF1" w:rsidRPr="00842387">
        <w:t>Desired Development Outcomes</w:t>
      </w:r>
    </w:p>
    <w:p w14:paraId="5962EF13" w14:textId="77777777" w:rsidR="00B46EF1" w:rsidRPr="00862AB2" w:rsidRDefault="00B46EF1" w:rsidP="002A3889">
      <w:pPr>
        <w:pStyle w:val="ListParagraph"/>
        <w:numPr>
          <w:ilvl w:val="0"/>
          <w:numId w:val="174"/>
        </w:numPr>
        <w:spacing w:line="360" w:lineRule="auto"/>
        <w:ind w:left="714" w:hanging="357"/>
        <w:contextualSpacing w:val="0"/>
        <w:rPr>
          <w:rFonts w:ascii="Avenir LT 45 Book" w:eastAsia="Calibri" w:hAnsi="Avenir LT 45 Book" w:cs="Times New Roman"/>
          <w:sz w:val="20"/>
        </w:rPr>
      </w:pPr>
      <w:r w:rsidRPr="00862AB2">
        <w:rPr>
          <w:rFonts w:ascii="Avenir LT 45 Book" w:eastAsia="Calibri" w:hAnsi="Avenir LT 45 Book" w:cs="Times New Roman"/>
          <w:sz w:val="20"/>
        </w:rPr>
        <w:lastRenderedPageBreak/>
        <w:t xml:space="preserve">Parking areas of lots and development sites shall reflect the existing streetscape where </w:t>
      </w:r>
      <w:proofErr w:type="gramStart"/>
      <w:r w:rsidRPr="00862AB2">
        <w:rPr>
          <w:rFonts w:ascii="Avenir LT 45 Book" w:eastAsia="Calibri" w:hAnsi="Avenir LT 45 Book" w:cs="Times New Roman"/>
          <w:sz w:val="20"/>
        </w:rPr>
        <w:t>possible;</w:t>
      </w:r>
      <w:proofErr w:type="gramEnd"/>
    </w:p>
    <w:p w14:paraId="437A8A63" w14:textId="77777777" w:rsidR="00B46EF1" w:rsidRPr="00862AB2" w:rsidRDefault="00B46EF1" w:rsidP="002A3889">
      <w:pPr>
        <w:pStyle w:val="ListParagraph"/>
        <w:numPr>
          <w:ilvl w:val="0"/>
          <w:numId w:val="174"/>
        </w:numPr>
        <w:spacing w:line="360" w:lineRule="auto"/>
        <w:ind w:left="714" w:hanging="357"/>
        <w:contextualSpacing w:val="0"/>
        <w:rPr>
          <w:rFonts w:ascii="Avenir LT 45 Book" w:eastAsia="Calibri" w:hAnsi="Avenir LT 45 Book" w:cs="Times New Roman"/>
          <w:sz w:val="20"/>
        </w:rPr>
      </w:pPr>
      <w:r w:rsidRPr="00862AB2">
        <w:rPr>
          <w:rFonts w:ascii="Avenir LT 45 Book" w:eastAsia="Calibri" w:hAnsi="Avenir LT 45 Book" w:cs="Times New Roman"/>
          <w:sz w:val="20"/>
        </w:rPr>
        <w:t>Where possible, parking is to be located to the side of any new developments; and,</w:t>
      </w:r>
    </w:p>
    <w:p w14:paraId="4F1BD3AD" w14:textId="77777777" w:rsidR="00B46EF1" w:rsidRPr="00862AB2" w:rsidRDefault="00B46EF1" w:rsidP="002A3889">
      <w:pPr>
        <w:pStyle w:val="ListParagraph"/>
        <w:numPr>
          <w:ilvl w:val="0"/>
          <w:numId w:val="174"/>
        </w:numPr>
        <w:spacing w:line="360" w:lineRule="auto"/>
        <w:ind w:left="714" w:hanging="357"/>
        <w:contextualSpacing w:val="0"/>
        <w:rPr>
          <w:rFonts w:ascii="Avenir LT 45 Book" w:eastAsia="Calibri" w:hAnsi="Avenir LT 45 Book" w:cs="Times New Roman"/>
          <w:sz w:val="20"/>
        </w:rPr>
      </w:pPr>
      <w:r w:rsidRPr="00862AB2">
        <w:rPr>
          <w:rFonts w:ascii="Avenir LT 45 Book" w:eastAsia="Calibri" w:hAnsi="Avenir LT 45 Book" w:cs="Times New Roman"/>
          <w:sz w:val="20"/>
        </w:rPr>
        <w:t>Number of crossovers is to be minimised.</w:t>
      </w:r>
    </w:p>
    <w:p w14:paraId="79947A45" w14:textId="77777777" w:rsidR="00B46EF1" w:rsidRDefault="00862AB2" w:rsidP="00862AB2">
      <w:pPr>
        <w:pStyle w:val="Heading5"/>
      </w:pPr>
      <w:r>
        <w:t>3.7.16.2.3</w:t>
      </w:r>
      <w:r>
        <w:tab/>
      </w:r>
      <w:r w:rsidR="00B46EF1" w:rsidRPr="00842387">
        <w:t>Performance Criteria and Acceptable Development</w:t>
      </w:r>
      <w:r w:rsidR="00B46EF1">
        <w:t xml:space="preserve">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6"/>
        <w:gridCol w:w="4510"/>
      </w:tblGrid>
      <w:tr w:rsidR="00B46EF1" w:rsidRPr="00842387" w14:paraId="7DEF41D7" w14:textId="77777777" w:rsidTr="008048CE">
        <w:tc>
          <w:tcPr>
            <w:tcW w:w="4621" w:type="dxa"/>
          </w:tcPr>
          <w:p w14:paraId="5023B4E2"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04DF19D9" w14:textId="77777777" w:rsidR="00B46EF1" w:rsidRDefault="00B46EF1" w:rsidP="008048CE">
            <w:r w:rsidRPr="00842387">
              <w:rPr>
                <w:rFonts w:ascii="Avenir LT 65 Medium" w:hAnsi="Avenir LT 65 Medium"/>
              </w:rPr>
              <w:t>Acceptable Development Provisions</w:t>
            </w:r>
          </w:p>
        </w:tc>
      </w:tr>
      <w:tr w:rsidR="00B46EF1" w:rsidRPr="00842387" w14:paraId="67CB7431" w14:textId="77777777" w:rsidTr="008048CE">
        <w:tc>
          <w:tcPr>
            <w:tcW w:w="4621" w:type="dxa"/>
          </w:tcPr>
          <w:p w14:paraId="5EBDD528" w14:textId="77777777" w:rsidR="00B46EF1" w:rsidRPr="00862AB2" w:rsidRDefault="00B46EF1" w:rsidP="002A3889">
            <w:pPr>
              <w:pStyle w:val="ListParagraph"/>
              <w:numPr>
                <w:ilvl w:val="1"/>
                <w:numId w:val="175"/>
              </w:numPr>
              <w:spacing w:before="120" w:line="360" w:lineRule="auto"/>
              <w:ind w:left="709" w:hanging="646"/>
              <w:contextualSpacing w:val="0"/>
              <w:rPr>
                <w:rFonts w:ascii="Avenir LT 45 Book" w:eastAsia="Calibri" w:hAnsi="Avenir LT 45 Book" w:cs="Times New Roman"/>
                <w:sz w:val="20"/>
              </w:rPr>
            </w:pPr>
            <w:r w:rsidRPr="00862AB2">
              <w:rPr>
                <w:rFonts w:ascii="Avenir LT 45 Book" w:eastAsia="Calibri" w:hAnsi="Avenir LT 45 Book" w:cs="Times New Roman"/>
                <w:sz w:val="20"/>
              </w:rPr>
              <w:t>Access and parking for the building is to be adequately provided for within the boundaries of the lot/development site, and does not negatively impact on:</w:t>
            </w:r>
          </w:p>
          <w:p w14:paraId="33A749B5" w14:textId="77777777" w:rsidR="00B46EF1" w:rsidRPr="00862AB2" w:rsidRDefault="00B46EF1" w:rsidP="002A3889">
            <w:pPr>
              <w:pStyle w:val="ListParagraph"/>
              <w:numPr>
                <w:ilvl w:val="0"/>
                <w:numId w:val="176"/>
              </w:numPr>
              <w:spacing w:line="360" w:lineRule="auto"/>
              <w:contextualSpacing w:val="0"/>
              <w:rPr>
                <w:rFonts w:ascii="Avenir LT 45 Book" w:eastAsia="Calibri" w:hAnsi="Avenir LT 45 Book" w:cs="Times New Roman"/>
                <w:sz w:val="20"/>
              </w:rPr>
            </w:pPr>
            <w:r w:rsidRPr="00862AB2">
              <w:rPr>
                <w:rFonts w:ascii="Avenir LT 45 Book" w:eastAsia="Calibri" w:hAnsi="Avenir LT 45 Book" w:cs="Times New Roman"/>
                <w:sz w:val="20"/>
              </w:rPr>
              <w:t>The streetscape character and amenity; and,</w:t>
            </w:r>
          </w:p>
          <w:p w14:paraId="33C366FE" w14:textId="77777777" w:rsidR="00B46EF1" w:rsidRPr="00862AB2" w:rsidRDefault="00B46EF1" w:rsidP="002A3889">
            <w:pPr>
              <w:pStyle w:val="ListParagraph"/>
              <w:numPr>
                <w:ilvl w:val="0"/>
                <w:numId w:val="176"/>
              </w:numPr>
              <w:spacing w:line="360" w:lineRule="auto"/>
              <w:contextualSpacing w:val="0"/>
              <w:rPr>
                <w:rFonts w:ascii="Avenir LT 45 Book" w:eastAsia="Calibri" w:hAnsi="Avenir LT 45 Book" w:cs="Times New Roman"/>
                <w:sz w:val="20"/>
              </w:rPr>
            </w:pPr>
            <w:r w:rsidRPr="00862AB2">
              <w:rPr>
                <w:rFonts w:ascii="Avenir LT 45 Book" w:eastAsia="Calibri" w:hAnsi="Avenir LT 45 Book" w:cs="Times New Roman"/>
                <w:sz w:val="20"/>
              </w:rPr>
              <w:t>The availability of on-street parking in the locality.</w:t>
            </w:r>
          </w:p>
          <w:p w14:paraId="6A52E7A0" w14:textId="77777777" w:rsidR="00B46EF1" w:rsidRDefault="00B46EF1" w:rsidP="002A3889">
            <w:pPr>
              <w:pStyle w:val="ListParagraph"/>
              <w:numPr>
                <w:ilvl w:val="1"/>
                <w:numId w:val="175"/>
              </w:numPr>
              <w:spacing w:line="360" w:lineRule="auto"/>
              <w:ind w:left="709" w:hanging="646"/>
              <w:contextualSpacing w:val="0"/>
            </w:pPr>
            <w:r w:rsidRPr="00862AB2">
              <w:rPr>
                <w:rFonts w:ascii="Avenir LT 45 Book" w:eastAsia="Calibri" w:hAnsi="Avenir LT 45 Book" w:cs="Times New Roman"/>
                <w:sz w:val="20"/>
              </w:rPr>
              <w:t>Council shall exercise its discretion to vary scheme requirements for places with heritage value where compliance would adversely impact on heritage places.</w:t>
            </w:r>
          </w:p>
        </w:tc>
        <w:tc>
          <w:tcPr>
            <w:tcW w:w="4621" w:type="dxa"/>
          </w:tcPr>
          <w:p w14:paraId="098CDEAA" w14:textId="77777777" w:rsidR="00B46EF1" w:rsidRPr="00862AB2" w:rsidRDefault="00B46EF1" w:rsidP="002A3889">
            <w:pPr>
              <w:pStyle w:val="ListParagraph"/>
              <w:numPr>
                <w:ilvl w:val="1"/>
                <w:numId w:val="177"/>
              </w:numPr>
              <w:spacing w:before="120" w:line="360" w:lineRule="auto"/>
              <w:ind w:left="766" w:hanging="647"/>
              <w:contextualSpacing w:val="0"/>
              <w:rPr>
                <w:rFonts w:ascii="Avenir LT 45 Book" w:eastAsia="Calibri" w:hAnsi="Avenir LT 45 Book" w:cs="Times New Roman"/>
                <w:sz w:val="20"/>
              </w:rPr>
            </w:pPr>
            <w:r w:rsidRPr="00862AB2">
              <w:rPr>
                <w:rFonts w:ascii="Avenir LT 45 Book" w:eastAsia="Calibri" w:hAnsi="Avenir LT 45 Book" w:cs="Times New Roman"/>
                <w:sz w:val="20"/>
              </w:rPr>
              <w:t>Parking to be located to the side of the dwelling.</w:t>
            </w:r>
          </w:p>
          <w:p w14:paraId="7C46C4B2" w14:textId="77777777" w:rsidR="00B46EF1" w:rsidRPr="00862AB2" w:rsidRDefault="00B46EF1" w:rsidP="002A3889">
            <w:pPr>
              <w:pStyle w:val="ListParagraph"/>
              <w:numPr>
                <w:ilvl w:val="1"/>
                <w:numId w:val="177"/>
              </w:numPr>
              <w:spacing w:before="120" w:line="360" w:lineRule="auto"/>
              <w:ind w:left="766" w:hanging="647"/>
              <w:contextualSpacing w:val="0"/>
              <w:rPr>
                <w:rFonts w:ascii="Avenir LT 45 Book" w:eastAsia="Calibri" w:hAnsi="Avenir LT 45 Book" w:cs="Times New Roman"/>
                <w:sz w:val="20"/>
              </w:rPr>
            </w:pPr>
            <w:r w:rsidRPr="00862AB2">
              <w:rPr>
                <w:rFonts w:ascii="Avenir LT 45 Book" w:eastAsia="Calibri" w:hAnsi="Avenir LT 45 Book" w:cs="Times New Roman"/>
                <w:sz w:val="20"/>
              </w:rPr>
              <w:t>Additions and alterations to existing buildings shall address any additional parking requirements with reference to the R-Codes.</w:t>
            </w:r>
          </w:p>
          <w:p w14:paraId="41F4CF8F" w14:textId="77777777" w:rsidR="00B46EF1" w:rsidRDefault="00B46EF1" w:rsidP="002A3889">
            <w:pPr>
              <w:pStyle w:val="ListParagraph"/>
              <w:numPr>
                <w:ilvl w:val="1"/>
                <w:numId w:val="177"/>
              </w:numPr>
              <w:spacing w:line="360" w:lineRule="auto"/>
              <w:ind w:left="766" w:hanging="647"/>
              <w:contextualSpacing w:val="0"/>
            </w:pPr>
            <w:r w:rsidRPr="00862AB2">
              <w:rPr>
                <w:rFonts w:ascii="Avenir LT 45 Book" w:eastAsia="Calibri" w:hAnsi="Avenir LT 45 Book" w:cs="Times New Roman"/>
                <w:sz w:val="20"/>
              </w:rPr>
              <w:t>Parking areas of lots and development sites for grouped or multiple dwellings are accessed from a shared access way.</w:t>
            </w:r>
          </w:p>
        </w:tc>
      </w:tr>
    </w:tbl>
    <w:p w14:paraId="03357470" w14:textId="77777777" w:rsidR="00B46EF1" w:rsidRPr="00862AB2" w:rsidRDefault="00862AB2" w:rsidP="00862AB2">
      <w:pPr>
        <w:pStyle w:val="Heading4"/>
        <w:spacing w:before="360" w:after="200" w:line="360" w:lineRule="auto"/>
        <w:rPr>
          <w:rFonts w:ascii="Avenir LT 65 Medium" w:hAnsi="Avenir LT 65 Medium"/>
          <w:bCs/>
          <w:i w:val="0"/>
          <w:color w:val="auto"/>
        </w:rPr>
      </w:pPr>
      <w:r>
        <w:rPr>
          <w:rFonts w:ascii="Avenir LT 65 Medium" w:hAnsi="Avenir LT 65 Medium"/>
          <w:bCs/>
          <w:i w:val="0"/>
          <w:color w:val="auto"/>
        </w:rPr>
        <w:t>3.7.16.3</w:t>
      </w:r>
      <w:r>
        <w:rPr>
          <w:rFonts w:ascii="Avenir LT 65 Medium" w:hAnsi="Avenir LT 65 Medium"/>
          <w:bCs/>
          <w:i w:val="0"/>
          <w:color w:val="auto"/>
        </w:rPr>
        <w:tab/>
      </w:r>
      <w:r w:rsidR="00B46EF1" w:rsidRPr="00862AB2">
        <w:rPr>
          <w:rFonts w:ascii="Avenir LT 65 Medium" w:hAnsi="Avenir LT 65 Medium"/>
          <w:bCs/>
          <w:i w:val="0"/>
          <w:color w:val="auto"/>
        </w:rPr>
        <w:t>Garages, Carports and Outbuildings</w:t>
      </w:r>
    </w:p>
    <w:p w14:paraId="34C0B119" w14:textId="77777777" w:rsidR="00B46EF1" w:rsidRDefault="00862AB2" w:rsidP="00862AB2">
      <w:pPr>
        <w:pStyle w:val="Heading5"/>
      </w:pPr>
      <w:r>
        <w:t>3.7.16.3.1</w:t>
      </w:r>
      <w:r>
        <w:tab/>
      </w:r>
      <w:r w:rsidR="00B46EF1" w:rsidRPr="00842387">
        <w:t>Statement</w:t>
      </w:r>
    </w:p>
    <w:p w14:paraId="5F56DFB4" w14:textId="77777777" w:rsidR="00B46EF1" w:rsidRPr="00862AB2" w:rsidRDefault="00B46EF1" w:rsidP="00862AB2">
      <w:pPr>
        <w:spacing w:line="360" w:lineRule="auto"/>
        <w:rPr>
          <w:rFonts w:ascii="Avenir LT 45 Book" w:eastAsia="Calibri" w:hAnsi="Avenir LT 45 Book"/>
          <w:i/>
          <w:sz w:val="20"/>
        </w:rPr>
      </w:pPr>
      <w:r w:rsidRPr="00862AB2">
        <w:rPr>
          <w:rFonts w:ascii="Avenir LT 45 Book" w:eastAsia="Calibri" w:hAnsi="Avenir LT 45 Book"/>
          <w:i/>
          <w:sz w:val="20"/>
        </w:rPr>
        <w:t xml:space="preserve">Garages, carports and outbuildings are a rare occurrence in the Plympton Precincts.  Where garages and carports do </w:t>
      </w:r>
      <w:proofErr w:type="gramStart"/>
      <w:r w:rsidRPr="00862AB2">
        <w:rPr>
          <w:rFonts w:ascii="Avenir LT 45 Book" w:eastAsia="Calibri" w:hAnsi="Avenir LT 45 Book"/>
          <w:i/>
          <w:sz w:val="20"/>
        </w:rPr>
        <w:t>occur</w:t>
      </w:r>
      <w:proofErr w:type="gramEnd"/>
      <w:r w:rsidRPr="00862AB2">
        <w:rPr>
          <w:rFonts w:ascii="Avenir LT 45 Book" w:eastAsia="Calibri" w:hAnsi="Avenir LT 45 Book"/>
          <w:i/>
          <w:sz w:val="20"/>
        </w:rPr>
        <w:t xml:space="preserve"> they are associated with more recent developments.  Garages and carports are incorporated into the design of the dwelling and are not dominant features of the streetscape.</w:t>
      </w:r>
    </w:p>
    <w:p w14:paraId="22D0E225" w14:textId="77777777" w:rsidR="00B46EF1" w:rsidRPr="00862AB2" w:rsidRDefault="00B46EF1" w:rsidP="00862AB2">
      <w:pPr>
        <w:spacing w:line="360" w:lineRule="auto"/>
        <w:rPr>
          <w:rFonts w:ascii="Avenir LT 45 Book" w:eastAsia="Calibri" w:hAnsi="Avenir LT 45 Book"/>
          <w:i/>
          <w:sz w:val="20"/>
        </w:rPr>
      </w:pPr>
      <w:r w:rsidRPr="00862AB2">
        <w:rPr>
          <w:rFonts w:ascii="Avenir LT 45 Book" w:eastAsia="Calibri" w:hAnsi="Avenir LT 45 Book"/>
          <w:i/>
          <w:sz w:val="20"/>
        </w:rPr>
        <w:t>Garages and carports are discouraged in the Plympton Precinct.</w:t>
      </w:r>
    </w:p>
    <w:p w14:paraId="4280728B" w14:textId="77777777" w:rsidR="00B46EF1" w:rsidRDefault="00B46EF1" w:rsidP="00B46EF1">
      <w:r>
        <w:rPr>
          <w:noProof/>
          <w:lang w:eastAsia="en-AU"/>
        </w:rPr>
        <w:drawing>
          <wp:inline distT="0" distB="0" distL="0" distR="0" wp14:anchorId="1FF3E6FE" wp14:editId="6AF168C0">
            <wp:extent cx="2524125" cy="1800225"/>
            <wp:effectExtent l="19050" t="0" r="9525" b="0"/>
            <wp:docPr id="82" name="Picture 19" descr="Z:\2011 JOBS\11206-EAST FREMANTLE GUIDELINES\11206-PHOTOS\PROCESSED\PLYMPTON\HUBBL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2011 JOBS\11206-EAST FREMANTLE GUIDELINES\11206-PHOTOS\PROCESSED\PLYMPTON\HUBBLE STREET.jpg"/>
                    <pic:cNvPicPr>
                      <a:picLocks noChangeAspect="1" noChangeArrowheads="1"/>
                    </pic:cNvPicPr>
                  </pic:nvPicPr>
                  <pic:blipFill>
                    <a:blip r:embed="rId231"/>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4A4C7CB8" wp14:editId="73597921">
            <wp:extent cx="2524125" cy="1800225"/>
            <wp:effectExtent l="19050" t="0" r="9525" b="0"/>
            <wp:docPr id="83" name="Picture 20" descr="Z:\2011 JOBS\11206-EAST FREMANTLE GUIDELINES\11206-PHOTOS\PROCESSED\PLYMPTON\GLYD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2011 JOBS\11206-EAST FREMANTLE GUIDELINES\11206-PHOTOS\PROCESSED\PLYMPTON\GLYDE STREET.jpg"/>
                    <pic:cNvPicPr>
                      <a:picLocks noChangeAspect="1" noChangeArrowheads="1"/>
                    </pic:cNvPicPr>
                  </pic:nvPicPr>
                  <pic:blipFill>
                    <a:blip r:embed="rId232"/>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54B714D0" w14:textId="77777777" w:rsidR="00B46EF1" w:rsidRDefault="00862AB2" w:rsidP="009F6D58">
      <w:pPr>
        <w:pStyle w:val="Heading5"/>
        <w:spacing w:before="240" w:after="120"/>
      </w:pPr>
      <w:r>
        <w:t>3.7.16.3.2</w:t>
      </w:r>
      <w:r>
        <w:tab/>
      </w:r>
      <w:r w:rsidR="00B46EF1" w:rsidRPr="00842387">
        <w:t>Desired Development Outcomes</w:t>
      </w:r>
    </w:p>
    <w:p w14:paraId="0EA652FF" w14:textId="77777777" w:rsidR="00B46EF1" w:rsidRPr="00862AB2" w:rsidRDefault="00B46EF1" w:rsidP="002A3889">
      <w:pPr>
        <w:pStyle w:val="ListParagraph"/>
        <w:numPr>
          <w:ilvl w:val="0"/>
          <w:numId w:val="178"/>
        </w:numPr>
        <w:spacing w:line="360" w:lineRule="auto"/>
        <w:rPr>
          <w:rFonts w:ascii="Avenir LT 45 Book" w:eastAsia="Calibri" w:hAnsi="Avenir LT 45 Book" w:cs="Times New Roman"/>
          <w:sz w:val="20"/>
        </w:rPr>
      </w:pPr>
      <w:r w:rsidRPr="00862AB2">
        <w:rPr>
          <w:rFonts w:ascii="Avenir LT 45 Book" w:eastAsia="Calibri" w:hAnsi="Avenir LT 45 Book" w:cs="Times New Roman"/>
          <w:sz w:val="20"/>
        </w:rPr>
        <w:t xml:space="preserve">Absence of garages and carports in the </w:t>
      </w:r>
      <w:proofErr w:type="gramStart"/>
      <w:r w:rsidRPr="00862AB2">
        <w:rPr>
          <w:rFonts w:ascii="Avenir LT 45 Book" w:eastAsia="Calibri" w:hAnsi="Avenir LT 45 Book" w:cs="Times New Roman"/>
          <w:sz w:val="20"/>
        </w:rPr>
        <w:t>streetscape;</w:t>
      </w:r>
      <w:proofErr w:type="gramEnd"/>
    </w:p>
    <w:p w14:paraId="1DCAB58A" w14:textId="77777777" w:rsidR="00B46EF1" w:rsidRPr="00862AB2" w:rsidRDefault="00B46EF1" w:rsidP="002A3889">
      <w:pPr>
        <w:pStyle w:val="ListParagraph"/>
        <w:numPr>
          <w:ilvl w:val="0"/>
          <w:numId w:val="178"/>
        </w:numPr>
        <w:spacing w:line="360" w:lineRule="auto"/>
        <w:rPr>
          <w:rFonts w:ascii="Avenir LT 45 Book" w:eastAsia="Calibri" w:hAnsi="Avenir LT 45 Book" w:cs="Times New Roman"/>
          <w:sz w:val="20"/>
        </w:rPr>
      </w:pPr>
      <w:r w:rsidRPr="00862AB2">
        <w:rPr>
          <w:rFonts w:ascii="Avenir LT 45 Book" w:eastAsia="Calibri" w:hAnsi="Avenir LT 45 Book" w:cs="Times New Roman"/>
          <w:sz w:val="20"/>
        </w:rPr>
        <w:t xml:space="preserve">Where garages and carports are part of a development they must be incorporated and be compatible with the design of the </w:t>
      </w:r>
      <w:proofErr w:type="gramStart"/>
      <w:r w:rsidRPr="00862AB2">
        <w:rPr>
          <w:rFonts w:ascii="Avenir LT 45 Book" w:eastAsia="Calibri" w:hAnsi="Avenir LT 45 Book" w:cs="Times New Roman"/>
          <w:sz w:val="20"/>
        </w:rPr>
        <w:t>dwelling;</w:t>
      </w:r>
      <w:proofErr w:type="gramEnd"/>
    </w:p>
    <w:p w14:paraId="04A32BC1" w14:textId="77777777" w:rsidR="00B46EF1" w:rsidRPr="00862AB2" w:rsidRDefault="00B46EF1" w:rsidP="002A3889">
      <w:pPr>
        <w:pStyle w:val="ListParagraph"/>
        <w:numPr>
          <w:ilvl w:val="0"/>
          <w:numId w:val="178"/>
        </w:numPr>
        <w:spacing w:line="360" w:lineRule="auto"/>
        <w:rPr>
          <w:rFonts w:ascii="Avenir LT 45 Book" w:eastAsia="Calibri" w:hAnsi="Avenir LT 45 Book" w:cs="Times New Roman"/>
          <w:sz w:val="20"/>
        </w:rPr>
      </w:pPr>
      <w:r w:rsidRPr="00862AB2">
        <w:rPr>
          <w:rFonts w:ascii="Avenir LT 45 Book" w:eastAsia="Calibri" w:hAnsi="Avenir LT 45 Book" w:cs="Times New Roman"/>
          <w:sz w:val="20"/>
        </w:rPr>
        <w:t xml:space="preserve">Garages and carports shall not visually dominate the dwelling as viewed from the </w:t>
      </w:r>
      <w:proofErr w:type="gramStart"/>
      <w:r w:rsidRPr="00862AB2">
        <w:rPr>
          <w:rFonts w:ascii="Avenir LT 45 Book" w:eastAsia="Calibri" w:hAnsi="Avenir LT 45 Book" w:cs="Times New Roman"/>
          <w:sz w:val="20"/>
        </w:rPr>
        <w:t>street;</w:t>
      </w:r>
      <w:proofErr w:type="gramEnd"/>
    </w:p>
    <w:p w14:paraId="02D23C92" w14:textId="77777777" w:rsidR="00B46EF1" w:rsidRPr="00862AB2" w:rsidRDefault="00B46EF1" w:rsidP="002A3889">
      <w:pPr>
        <w:pStyle w:val="ListParagraph"/>
        <w:numPr>
          <w:ilvl w:val="0"/>
          <w:numId w:val="178"/>
        </w:numPr>
        <w:spacing w:line="360" w:lineRule="auto"/>
        <w:rPr>
          <w:rFonts w:ascii="Avenir LT 45 Book" w:eastAsia="Calibri" w:hAnsi="Avenir LT 45 Book" w:cs="Times New Roman"/>
          <w:sz w:val="20"/>
        </w:rPr>
      </w:pPr>
      <w:r w:rsidRPr="00862AB2">
        <w:rPr>
          <w:rFonts w:ascii="Avenir LT 45 Book" w:eastAsia="Calibri" w:hAnsi="Avenir LT 45 Book" w:cs="Times New Roman"/>
          <w:sz w:val="20"/>
        </w:rPr>
        <w:t>Materials should not detract visually from the streetscape; and,</w:t>
      </w:r>
    </w:p>
    <w:p w14:paraId="566A5C05" w14:textId="77777777" w:rsidR="00B46EF1" w:rsidRPr="00862AB2" w:rsidRDefault="00B46EF1" w:rsidP="002A3889">
      <w:pPr>
        <w:pStyle w:val="ListParagraph"/>
        <w:numPr>
          <w:ilvl w:val="0"/>
          <w:numId w:val="178"/>
        </w:numPr>
        <w:spacing w:after="0" w:line="360" w:lineRule="auto"/>
        <w:ind w:left="714" w:hanging="357"/>
        <w:contextualSpacing w:val="0"/>
        <w:rPr>
          <w:rFonts w:ascii="Avenir LT 45 Book" w:eastAsia="Calibri" w:hAnsi="Avenir LT 45 Book" w:cs="Times New Roman"/>
          <w:sz w:val="20"/>
        </w:rPr>
      </w:pPr>
      <w:r w:rsidRPr="00862AB2">
        <w:rPr>
          <w:rFonts w:ascii="Avenir LT 45 Book" w:eastAsia="Calibri" w:hAnsi="Avenir LT 45 Book" w:cs="Times New Roman"/>
          <w:sz w:val="20"/>
        </w:rPr>
        <w:lastRenderedPageBreak/>
        <w:t>Carports associated with existing residences are not required to mimic or match the materials of the house.</w:t>
      </w:r>
    </w:p>
    <w:p w14:paraId="49590163" w14:textId="77777777" w:rsidR="00B46EF1" w:rsidRDefault="00B46EF1" w:rsidP="00862AB2">
      <w:pPr>
        <w:pStyle w:val="ListParagraph"/>
        <w:spacing w:after="0" w:line="240" w:lineRule="auto"/>
        <w:ind w:left="714"/>
        <w:contextualSpacing w:val="0"/>
      </w:pPr>
    </w:p>
    <w:p w14:paraId="76970E13" w14:textId="77777777" w:rsidR="00B46EF1" w:rsidRDefault="00B46EF1" w:rsidP="00B46EF1">
      <w:pPr>
        <w:pStyle w:val="ListParagraph"/>
      </w:pPr>
      <w:r w:rsidRPr="00745C85">
        <w:rPr>
          <w:noProof/>
          <w:lang w:eastAsia="en-AU"/>
        </w:rPr>
        <w:drawing>
          <wp:inline distT="0" distB="0" distL="0" distR="0" wp14:anchorId="4A88E278" wp14:editId="0064FCA0">
            <wp:extent cx="5105400" cy="4352925"/>
            <wp:effectExtent l="19050" t="0" r="0" b="0"/>
            <wp:docPr id="217" name="Picture 20" descr="GARAGES 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7.eps"/>
                    <pic:cNvPicPr/>
                  </pic:nvPicPr>
                  <pic:blipFill>
                    <a:blip r:embed="rId217"/>
                    <a:stretch>
                      <a:fillRect/>
                    </a:stretch>
                  </pic:blipFill>
                  <pic:spPr>
                    <a:xfrm>
                      <a:off x="0" y="0"/>
                      <a:ext cx="5105400" cy="4352925"/>
                    </a:xfrm>
                    <a:prstGeom prst="rect">
                      <a:avLst/>
                    </a:prstGeom>
                  </pic:spPr>
                </pic:pic>
              </a:graphicData>
            </a:graphic>
          </wp:inline>
        </w:drawing>
      </w:r>
    </w:p>
    <w:p w14:paraId="1C03EA50" w14:textId="77777777" w:rsidR="00B46EF1" w:rsidRPr="00862AB2" w:rsidRDefault="00B46EF1" w:rsidP="00B46EF1">
      <w:pPr>
        <w:pStyle w:val="ListParagraph"/>
        <w:widowControl w:val="0"/>
        <w:spacing w:before="60" w:after="360" w:line="240" w:lineRule="auto"/>
        <w:ind w:left="0"/>
        <w:rPr>
          <w:i/>
        </w:rPr>
      </w:pPr>
      <w:r w:rsidRPr="00842387">
        <w:rPr>
          <w:rFonts w:ascii="Avenir LT 65 Medium" w:hAnsi="Avenir LT 65 Medium"/>
        </w:rPr>
        <w:t>Figure 22</w:t>
      </w:r>
      <w:r w:rsidRPr="00842387">
        <w:t xml:space="preserve"> – </w:t>
      </w:r>
      <w:r w:rsidRPr="00862AB2">
        <w:rPr>
          <w:rFonts w:ascii="Avenir LT 45 Book" w:eastAsia="Calibri" w:hAnsi="Avenir LT 45 Book" w:cs="Times New Roman"/>
          <w:sz w:val="20"/>
        </w:rPr>
        <w:t xml:space="preserve">Plan illustrating compatible garage in new developments – </w:t>
      </w:r>
      <w:r w:rsidRPr="00862AB2">
        <w:rPr>
          <w:rFonts w:ascii="Avenir LT 45 Book" w:eastAsia="Calibri" w:hAnsi="Avenir LT 45 Book" w:cs="Times New Roman"/>
          <w:i/>
          <w:sz w:val="20"/>
        </w:rPr>
        <w:t>Griffiths Architects 2012.</w:t>
      </w:r>
    </w:p>
    <w:p w14:paraId="5D40B8D5" w14:textId="77777777" w:rsidR="009F6D58" w:rsidRDefault="009F6D58">
      <w:pPr>
        <w:rPr>
          <w:rFonts w:ascii="Avenir LT 65 Medium" w:eastAsiaTheme="majorEastAsia" w:hAnsi="Avenir LT 65 Medium" w:cs="Times New Roman"/>
          <w:bCs/>
          <w:color w:val="000000"/>
        </w:rPr>
      </w:pPr>
      <w:r>
        <w:br w:type="page"/>
      </w:r>
    </w:p>
    <w:p w14:paraId="16FF9EF2" w14:textId="77777777" w:rsidR="00B46EF1" w:rsidRDefault="00862AB2" w:rsidP="00862AB2">
      <w:pPr>
        <w:pStyle w:val="Heading5"/>
        <w:spacing w:before="240" w:after="120"/>
      </w:pPr>
      <w:r>
        <w:lastRenderedPageBreak/>
        <w:t>3.7.16.3.3</w:t>
      </w:r>
      <w:r>
        <w:tab/>
      </w:r>
      <w:r w:rsidR="00B46EF1" w:rsidRPr="00842387">
        <w:t>Performance Criteria and Acceptable Development</w:t>
      </w:r>
      <w:r w:rsidR="00B46EF1">
        <w:t xml:space="preserve"> Provisions</w:t>
      </w:r>
    </w:p>
    <w:tbl>
      <w:tblPr>
        <w:tblStyle w:val="TableGrid"/>
        <w:tblW w:w="921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5"/>
        <w:gridCol w:w="4511"/>
        <w:gridCol w:w="188"/>
      </w:tblGrid>
      <w:tr w:rsidR="00B46EF1" w:rsidRPr="00842387" w14:paraId="7D02425B" w14:textId="77777777" w:rsidTr="00862AB2">
        <w:tc>
          <w:tcPr>
            <w:tcW w:w="4515" w:type="dxa"/>
            <w:tcBorders>
              <w:bottom w:val="single" w:sz="4" w:space="0" w:color="auto"/>
            </w:tcBorders>
          </w:tcPr>
          <w:p w14:paraId="67815C0A" w14:textId="77777777" w:rsidR="00B46EF1" w:rsidRDefault="00B46EF1" w:rsidP="008048CE">
            <w:pPr>
              <w:spacing w:after="120"/>
              <w:rPr>
                <w:rFonts w:ascii="Avenir LT 65 Medium" w:hAnsi="Avenir LT 65 Medium"/>
              </w:rPr>
            </w:pPr>
            <w:r w:rsidRPr="00842387">
              <w:rPr>
                <w:rFonts w:ascii="Avenir LT 65 Medium" w:hAnsi="Avenir LT 65 Medium"/>
              </w:rPr>
              <w:t>Performance Criteria</w:t>
            </w:r>
          </w:p>
        </w:tc>
        <w:tc>
          <w:tcPr>
            <w:tcW w:w="4699" w:type="dxa"/>
            <w:gridSpan w:val="2"/>
            <w:tcBorders>
              <w:bottom w:val="single" w:sz="4" w:space="0" w:color="auto"/>
            </w:tcBorders>
          </w:tcPr>
          <w:p w14:paraId="68B4D953" w14:textId="77777777" w:rsidR="00B46EF1" w:rsidRDefault="00B46EF1" w:rsidP="008048CE">
            <w:pPr>
              <w:spacing w:after="120"/>
            </w:pPr>
            <w:r w:rsidRPr="00842387">
              <w:rPr>
                <w:rFonts w:ascii="Avenir LT 65 Medium" w:hAnsi="Avenir LT 65 Medium"/>
              </w:rPr>
              <w:t>Acceptable Development Provisions</w:t>
            </w:r>
          </w:p>
        </w:tc>
      </w:tr>
      <w:tr w:rsidR="00B46EF1" w:rsidRPr="00842387" w14:paraId="38E2EA37" w14:textId="77777777" w:rsidTr="00862AB2">
        <w:tc>
          <w:tcPr>
            <w:tcW w:w="4515" w:type="dxa"/>
            <w:tcBorders>
              <w:top w:val="single" w:sz="4" w:space="0" w:color="auto"/>
              <w:bottom w:val="nil"/>
            </w:tcBorders>
          </w:tcPr>
          <w:p w14:paraId="5AB88AE7" w14:textId="77777777" w:rsidR="00B46EF1" w:rsidRDefault="00B46EF1" w:rsidP="008048CE">
            <w:pPr>
              <w:spacing w:before="120" w:after="120"/>
              <w:rPr>
                <w:szCs w:val="20"/>
              </w:rPr>
            </w:pPr>
            <w:r w:rsidRPr="00842387">
              <w:rPr>
                <w:rFonts w:ascii="Avenir LT 65 Medium" w:hAnsi="Avenir LT 65 Medium"/>
                <w:szCs w:val="20"/>
              </w:rPr>
              <w:t>All Dwellings</w:t>
            </w:r>
          </w:p>
          <w:p w14:paraId="74B5A4D8" w14:textId="77777777" w:rsidR="00B46EF1" w:rsidRDefault="00B46EF1" w:rsidP="002A3889">
            <w:pPr>
              <w:pStyle w:val="ListParagraph"/>
              <w:numPr>
                <w:ilvl w:val="0"/>
                <w:numId w:val="179"/>
              </w:numPr>
              <w:spacing w:before="120" w:line="360" w:lineRule="auto"/>
              <w:ind w:left="709" w:hanging="646"/>
              <w:contextualSpacing w:val="0"/>
            </w:pPr>
            <w:r w:rsidRPr="00862AB2">
              <w:rPr>
                <w:rFonts w:ascii="Avenir LT 45 Book" w:eastAsia="Calibri" w:hAnsi="Avenir LT 45 Book" w:cs="Times New Roman"/>
                <w:sz w:val="20"/>
              </w:rPr>
              <w:t>Garage and carports are to not adversely impact the streetscape.</w:t>
            </w:r>
          </w:p>
        </w:tc>
        <w:tc>
          <w:tcPr>
            <w:tcW w:w="4699" w:type="dxa"/>
            <w:gridSpan w:val="2"/>
            <w:tcBorders>
              <w:top w:val="single" w:sz="4" w:space="0" w:color="auto"/>
              <w:bottom w:val="nil"/>
            </w:tcBorders>
          </w:tcPr>
          <w:p w14:paraId="7781E601" w14:textId="77777777" w:rsidR="00B46EF1" w:rsidRDefault="00B46EF1" w:rsidP="008048CE">
            <w:pPr>
              <w:spacing w:before="120" w:after="120"/>
              <w:rPr>
                <w:szCs w:val="20"/>
              </w:rPr>
            </w:pPr>
            <w:r w:rsidRPr="00842387">
              <w:rPr>
                <w:rFonts w:ascii="Avenir LT 65 Medium" w:hAnsi="Avenir LT 65 Medium"/>
                <w:szCs w:val="20"/>
              </w:rPr>
              <w:t>All Dwellings</w:t>
            </w:r>
          </w:p>
          <w:p w14:paraId="4D61B829" w14:textId="77777777" w:rsidR="00B46EF1" w:rsidRDefault="00B46EF1" w:rsidP="002A3889">
            <w:pPr>
              <w:pStyle w:val="ListParagraph"/>
              <w:numPr>
                <w:ilvl w:val="0"/>
                <w:numId w:val="180"/>
              </w:numPr>
              <w:spacing w:before="120" w:line="360" w:lineRule="auto"/>
              <w:ind w:left="624" w:hanging="505"/>
              <w:contextualSpacing w:val="0"/>
            </w:pPr>
            <w:r w:rsidRPr="00862AB2">
              <w:rPr>
                <w:rFonts w:ascii="Avenir LT 45 Book" w:eastAsia="Calibri" w:hAnsi="Avenir LT 45 Book" w:cs="Times New Roman"/>
                <w:sz w:val="20"/>
              </w:rPr>
              <w:t>On street parking.</w:t>
            </w:r>
          </w:p>
        </w:tc>
      </w:tr>
      <w:tr w:rsidR="00B46EF1" w:rsidRPr="00862AB2" w14:paraId="50D3C211" w14:textId="77777777" w:rsidTr="00862AB2">
        <w:tc>
          <w:tcPr>
            <w:tcW w:w="4515" w:type="dxa"/>
            <w:tcBorders>
              <w:top w:val="nil"/>
              <w:bottom w:val="nil"/>
            </w:tcBorders>
          </w:tcPr>
          <w:p w14:paraId="74401A57" w14:textId="77777777" w:rsidR="00B46EF1" w:rsidRDefault="00B46EF1" w:rsidP="002A3889">
            <w:pPr>
              <w:pStyle w:val="ListParagraph"/>
              <w:numPr>
                <w:ilvl w:val="0"/>
                <w:numId w:val="179"/>
              </w:numPr>
              <w:spacing w:before="120" w:line="360" w:lineRule="auto"/>
              <w:ind w:left="709" w:hanging="646"/>
              <w:contextualSpacing w:val="0"/>
              <w:rPr>
                <w:rFonts w:ascii="Avenir LT 65 Medium" w:hAnsi="Avenir LT 65 Medium"/>
                <w:szCs w:val="20"/>
              </w:rPr>
            </w:pPr>
            <w:r w:rsidRPr="00862AB2">
              <w:rPr>
                <w:rFonts w:ascii="Avenir LT 45 Book" w:eastAsia="Calibri" w:hAnsi="Avenir LT 45 Book" w:cs="Times New Roman"/>
                <w:sz w:val="20"/>
              </w:rPr>
              <w:t>Garages, carports or outbuildings should comply with the recommended building materials for the Precinct.</w:t>
            </w:r>
          </w:p>
        </w:tc>
        <w:tc>
          <w:tcPr>
            <w:tcW w:w="4699" w:type="dxa"/>
            <w:gridSpan w:val="2"/>
            <w:tcBorders>
              <w:top w:val="nil"/>
              <w:bottom w:val="nil"/>
            </w:tcBorders>
          </w:tcPr>
          <w:p w14:paraId="5A3F7E0E" w14:textId="77777777" w:rsidR="00B46EF1" w:rsidRPr="00862AB2" w:rsidRDefault="00B46EF1" w:rsidP="002A3889">
            <w:pPr>
              <w:pStyle w:val="ListParagraph"/>
              <w:numPr>
                <w:ilvl w:val="0"/>
                <w:numId w:val="180"/>
              </w:numPr>
              <w:spacing w:before="120" w:line="360" w:lineRule="auto"/>
              <w:ind w:left="624" w:hanging="505"/>
              <w:contextualSpacing w:val="0"/>
              <w:rPr>
                <w:rFonts w:ascii="Avenir LT 45 Book" w:eastAsia="Calibri" w:hAnsi="Avenir LT 45 Book" w:cs="Times New Roman"/>
                <w:sz w:val="20"/>
              </w:rPr>
            </w:pPr>
            <w:r w:rsidRPr="00862AB2">
              <w:rPr>
                <w:rFonts w:ascii="Avenir LT 45 Book" w:eastAsia="Calibri" w:hAnsi="Avenir LT 45 Book" w:cs="Times New Roman"/>
                <w:sz w:val="20"/>
              </w:rPr>
              <w:t>Refer Section Materials and Colours.  Plans, elevations and section drawings are to be provided to demonstrate the impact of the garage or carport on the existing dwelling.</w:t>
            </w:r>
          </w:p>
        </w:tc>
      </w:tr>
      <w:tr w:rsidR="00B46EF1" w:rsidRPr="00842387" w14:paraId="0BFE1714" w14:textId="77777777" w:rsidTr="00862AB2">
        <w:trPr>
          <w:gridAfter w:val="1"/>
          <w:wAfter w:w="188" w:type="dxa"/>
        </w:trPr>
        <w:tc>
          <w:tcPr>
            <w:tcW w:w="4515" w:type="dxa"/>
            <w:tcBorders>
              <w:top w:val="nil"/>
              <w:bottom w:val="nil"/>
            </w:tcBorders>
          </w:tcPr>
          <w:p w14:paraId="66C8DDFD" w14:textId="77777777" w:rsidR="00B46EF1" w:rsidRDefault="00B46EF1" w:rsidP="008048CE">
            <w:pPr>
              <w:spacing w:before="120" w:after="80"/>
              <w:rPr>
                <w:szCs w:val="20"/>
              </w:rPr>
            </w:pPr>
            <w:r w:rsidRPr="00842387">
              <w:rPr>
                <w:rFonts w:ascii="Avenir LT 65 Medium" w:hAnsi="Avenir LT 65 Medium"/>
                <w:szCs w:val="20"/>
              </w:rPr>
              <w:t>New Dwellings</w:t>
            </w:r>
          </w:p>
          <w:p w14:paraId="42F92E9E" w14:textId="77777777" w:rsidR="00B46EF1" w:rsidRDefault="00B46EF1" w:rsidP="002A3889">
            <w:pPr>
              <w:pStyle w:val="ListParagraph"/>
              <w:numPr>
                <w:ilvl w:val="0"/>
                <w:numId w:val="179"/>
              </w:numPr>
              <w:spacing w:after="120" w:line="360" w:lineRule="auto"/>
              <w:ind w:left="709" w:hanging="646"/>
              <w:contextualSpacing w:val="0"/>
            </w:pPr>
            <w:r w:rsidRPr="00862AB2">
              <w:rPr>
                <w:rFonts w:ascii="Avenir LT 45 Book" w:eastAsia="Calibri" w:hAnsi="Avenir LT 45 Book" w:cs="Times New Roman"/>
                <w:sz w:val="20"/>
              </w:rPr>
              <w:t xml:space="preserve">Where garages and carports are </w:t>
            </w:r>
            <w:proofErr w:type="gramStart"/>
            <w:r w:rsidRPr="00862AB2">
              <w:rPr>
                <w:rFonts w:ascii="Avenir LT 45 Book" w:eastAsia="Calibri" w:hAnsi="Avenir LT 45 Book" w:cs="Times New Roman"/>
                <w:sz w:val="20"/>
              </w:rPr>
              <w:t>required</w:t>
            </w:r>
            <w:proofErr w:type="gramEnd"/>
            <w:r w:rsidRPr="00862AB2">
              <w:rPr>
                <w:rFonts w:ascii="Avenir LT 45 Book" w:eastAsia="Calibri" w:hAnsi="Avenir LT 45 Book" w:cs="Times New Roman"/>
                <w:sz w:val="20"/>
              </w:rPr>
              <w:t xml:space="preserve"> they are to be designed to be incorporated into, and compatible with, the design of the dwelling.</w:t>
            </w:r>
          </w:p>
        </w:tc>
        <w:tc>
          <w:tcPr>
            <w:tcW w:w="4511" w:type="dxa"/>
            <w:tcBorders>
              <w:top w:val="nil"/>
              <w:bottom w:val="nil"/>
            </w:tcBorders>
          </w:tcPr>
          <w:p w14:paraId="6C7E38F7" w14:textId="77777777" w:rsidR="00B46EF1" w:rsidRDefault="00B46EF1" w:rsidP="008048CE">
            <w:pPr>
              <w:spacing w:before="120" w:after="80"/>
              <w:rPr>
                <w:szCs w:val="20"/>
              </w:rPr>
            </w:pPr>
            <w:r w:rsidRPr="00842387">
              <w:rPr>
                <w:rFonts w:ascii="Avenir LT 65 Medium" w:hAnsi="Avenir LT 65 Medium"/>
                <w:szCs w:val="20"/>
              </w:rPr>
              <w:t>New Dwellings</w:t>
            </w:r>
          </w:p>
          <w:p w14:paraId="415C4634" w14:textId="77777777" w:rsidR="00B46EF1" w:rsidRDefault="00B46EF1" w:rsidP="002A3889">
            <w:pPr>
              <w:pStyle w:val="ListParagraph"/>
              <w:numPr>
                <w:ilvl w:val="0"/>
                <w:numId w:val="180"/>
              </w:numPr>
              <w:spacing w:line="360" w:lineRule="auto"/>
              <w:ind w:left="624" w:hanging="505"/>
              <w:contextualSpacing w:val="0"/>
            </w:pPr>
            <w:r w:rsidRPr="00862AB2">
              <w:rPr>
                <w:rFonts w:ascii="Avenir LT 45 Book" w:eastAsia="Calibri" w:hAnsi="Avenir LT 45 Book" w:cs="Times New Roman"/>
                <w:sz w:val="20"/>
              </w:rPr>
              <w:t>Plans, elevations and section drawings are to be provided to demonstrate the impact of the garage or carport on the new dwelling.</w:t>
            </w:r>
            <w:r>
              <w:t xml:space="preserve">  </w:t>
            </w:r>
          </w:p>
        </w:tc>
      </w:tr>
      <w:tr w:rsidR="00B46EF1" w:rsidRPr="00842387" w14:paraId="2A9F8871" w14:textId="77777777" w:rsidTr="00862AB2">
        <w:trPr>
          <w:gridAfter w:val="1"/>
          <w:wAfter w:w="188" w:type="dxa"/>
        </w:trPr>
        <w:tc>
          <w:tcPr>
            <w:tcW w:w="4515" w:type="dxa"/>
            <w:tcBorders>
              <w:top w:val="nil"/>
              <w:bottom w:val="nil"/>
            </w:tcBorders>
          </w:tcPr>
          <w:p w14:paraId="2DC81A1B" w14:textId="77777777" w:rsidR="00B46EF1" w:rsidRDefault="00B46EF1" w:rsidP="008048CE">
            <w:pPr>
              <w:rPr>
                <w:rFonts w:ascii="Avenir LT 65 Medium" w:hAnsi="Avenir LT 65 Medium"/>
                <w:szCs w:val="20"/>
              </w:rPr>
            </w:pPr>
            <w:r w:rsidRPr="00842387">
              <w:rPr>
                <w:rFonts w:ascii="Avenir LT 65 Medium" w:hAnsi="Avenir LT 65 Medium"/>
                <w:szCs w:val="20"/>
              </w:rPr>
              <w:t>Multiple and Grouped Dwellings</w:t>
            </w:r>
          </w:p>
          <w:p w14:paraId="709E4E5B" w14:textId="77777777" w:rsidR="00B46EF1" w:rsidRDefault="00B46EF1" w:rsidP="002A3889">
            <w:pPr>
              <w:pStyle w:val="ListParagraph"/>
              <w:numPr>
                <w:ilvl w:val="0"/>
                <w:numId w:val="179"/>
              </w:numPr>
              <w:spacing w:after="120" w:line="360" w:lineRule="auto"/>
              <w:ind w:left="709" w:hanging="646"/>
              <w:contextualSpacing w:val="0"/>
            </w:pPr>
            <w:r w:rsidRPr="00562FFF">
              <w:rPr>
                <w:rFonts w:ascii="Avenir LT 45 Book" w:eastAsia="Calibri" w:hAnsi="Avenir LT 45 Book" w:cs="Times New Roman"/>
                <w:sz w:val="20"/>
              </w:rPr>
              <w:t>Adequate car and bicycle parking provided on-site in accordance with development requirements.</w:t>
            </w:r>
          </w:p>
        </w:tc>
        <w:tc>
          <w:tcPr>
            <w:tcW w:w="4511" w:type="dxa"/>
            <w:tcBorders>
              <w:top w:val="nil"/>
              <w:bottom w:val="nil"/>
            </w:tcBorders>
          </w:tcPr>
          <w:p w14:paraId="0430DD04" w14:textId="77777777" w:rsidR="00B46EF1" w:rsidRDefault="00B46EF1" w:rsidP="008048CE">
            <w:pPr>
              <w:rPr>
                <w:rFonts w:ascii="Avenir LT 65 Medium" w:hAnsi="Avenir LT 65 Medium"/>
                <w:szCs w:val="20"/>
              </w:rPr>
            </w:pPr>
            <w:r w:rsidRPr="00842387">
              <w:rPr>
                <w:rFonts w:ascii="Avenir LT 65 Medium" w:hAnsi="Avenir LT 65 Medium"/>
                <w:szCs w:val="20"/>
              </w:rPr>
              <w:t>Multiple and Grouped Dwellings</w:t>
            </w:r>
          </w:p>
          <w:p w14:paraId="619BA1EA" w14:textId="77777777" w:rsidR="00B46EF1" w:rsidRDefault="00B46EF1" w:rsidP="002A3889">
            <w:pPr>
              <w:pStyle w:val="ListParagraph"/>
              <w:numPr>
                <w:ilvl w:val="0"/>
                <w:numId w:val="180"/>
              </w:numPr>
              <w:spacing w:line="360" w:lineRule="auto"/>
              <w:ind w:left="624" w:hanging="505"/>
              <w:contextualSpacing w:val="0"/>
            </w:pPr>
            <w:r w:rsidRPr="00862AB2">
              <w:rPr>
                <w:rFonts w:ascii="Avenir LT 45 Book" w:eastAsia="Calibri" w:hAnsi="Avenir LT 45 Book" w:cs="Times New Roman"/>
                <w:sz w:val="20"/>
              </w:rPr>
              <w:t>Refer R Codes for car space and bicycle space requirements.</w:t>
            </w:r>
          </w:p>
        </w:tc>
      </w:tr>
      <w:tr w:rsidR="00B46EF1" w:rsidRPr="00842387" w14:paraId="12F3130B" w14:textId="77777777" w:rsidTr="00862AB2">
        <w:trPr>
          <w:gridAfter w:val="1"/>
          <w:wAfter w:w="188" w:type="dxa"/>
        </w:trPr>
        <w:tc>
          <w:tcPr>
            <w:tcW w:w="4515" w:type="dxa"/>
            <w:tcBorders>
              <w:top w:val="nil"/>
            </w:tcBorders>
          </w:tcPr>
          <w:p w14:paraId="4542293F" w14:textId="77777777" w:rsidR="00B46EF1" w:rsidRDefault="00B46EF1" w:rsidP="002A3889">
            <w:pPr>
              <w:pStyle w:val="ListParagraph"/>
              <w:numPr>
                <w:ilvl w:val="0"/>
                <w:numId w:val="179"/>
              </w:numPr>
              <w:spacing w:after="120" w:line="360" w:lineRule="auto"/>
              <w:ind w:left="709" w:hanging="646"/>
              <w:contextualSpacing w:val="0"/>
              <w:rPr>
                <w:rFonts w:ascii="Avenir LT 65 Medium" w:hAnsi="Avenir LT 65 Medium"/>
                <w:szCs w:val="20"/>
              </w:rPr>
            </w:pPr>
            <w:r w:rsidRPr="00562FFF">
              <w:rPr>
                <w:rFonts w:ascii="Avenir LT 45 Book" w:eastAsia="Calibri" w:hAnsi="Avenir LT 45 Book" w:cs="Times New Roman"/>
                <w:sz w:val="20"/>
              </w:rPr>
              <w:t>Garages and carports shall not be prominent on the primary street façade. Street elevations may be required where a place is included in the MHI.</w:t>
            </w:r>
          </w:p>
        </w:tc>
        <w:tc>
          <w:tcPr>
            <w:tcW w:w="4511" w:type="dxa"/>
            <w:tcBorders>
              <w:top w:val="nil"/>
            </w:tcBorders>
          </w:tcPr>
          <w:p w14:paraId="163539B2" w14:textId="77777777" w:rsidR="00B46EF1" w:rsidRDefault="00B46EF1" w:rsidP="002A3889">
            <w:pPr>
              <w:pStyle w:val="ListParagraph"/>
              <w:numPr>
                <w:ilvl w:val="0"/>
                <w:numId w:val="180"/>
              </w:numPr>
              <w:spacing w:line="360" w:lineRule="auto"/>
              <w:ind w:left="624" w:hanging="505"/>
              <w:contextualSpacing w:val="0"/>
              <w:rPr>
                <w:rFonts w:ascii="Avenir LT 65 Medium" w:hAnsi="Avenir LT 65 Medium"/>
                <w:szCs w:val="20"/>
              </w:rPr>
            </w:pPr>
            <w:r w:rsidRPr="00562FFF">
              <w:rPr>
                <w:rFonts w:ascii="Avenir LT 45 Book" w:eastAsia="Calibri" w:hAnsi="Avenir LT 45 Book" w:cs="Times New Roman"/>
                <w:sz w:val="20"/>
              </w:rPr>
              <w:t>Garages designed at the rear of the lot.</w:t>
            </w:r>
          </w:p>
        </w:tc>
      </w:tr>
    </w:tbl>
    <w:p w14:paraId="122E5B60" w14:textId="77777777" w:rsidR="00B46EF1" w:rsidRPr="00562FFF" w:rsidRDefault="00562FFF" w:rsidP="00562FFF">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3.7.16.4</w:t>
      </w:r>
      <w:r>
        <w:rPr>
          <w:rFonts w:ascii="Avenir LT 65 Medium" w:hAnsi="Avenir LT 65 Medium"/>
          <w:bCs/>
          <w:i w:val="0"/>
          <w:color w:val="auto"/>
        </w:rPr>
        <w:tab/>
      </w:r>
      <w:r w:rsidR="00B46EF1" w:rsidRPr="00562FFF">
        <w:rPr>
          <w:rFonts w:ascii="Avenir LT 65 Medium" w:hAnsi="Avenir LT 65 Medium"/>
          <w:bCs/>
          <w:i w:val="0"/>
          <w:color w:val="auto"/>
        </w:rPr>
        <w:t>Building Design Requirements</w:t>
      </w:r>
    </w:p>
    <w:p w14:paraId="17742534" w14:textId="77777777" w:rsidR="00B46EF1" w:rsidRDefault="00562FFF" w:rsidP="00562FFF">
      <w:pPr>
        <w:pStyle w:val="Heading5"/>
      </w:pPr>
      <w:r>
        <w:t>3.7.16.4.1</w:t>
      </w:r>
      <w:r>
        <w:tab/>
      </w:r>
      <w:r w:rsidR="00B46EF1" w:rsidRPr="00842387">
        <w:t xml:space="preserve">Building </w:t>
      </w:r>
      <w:r w:rsidR="00B46EF1">
        <w:t xml:space="preserve">Height, </w:t>
      </w:r>
      <w:r w:rsidR="00B46EF1" w:rsidRPr="00842387">
        <w:t>Form, Scale &amp; Bulk</w:t>
      </w:r>
    </w:p>
    <w:p w14:paraId="5DC3FFA0" w14:textId="77777777" w:rsidR="00B46EF1" w:rsidRDefault="00B46EF1" w:rsidP="00B46EF1">
      <w:pPr>
        <w:pStyle w:val="Heading5"/>
        <w:ind w:left="1418" w:hanging="1418"/>
      </w:pPr>
      <w:r>
        <w:t>3.7.16.4.1.1</w:t>
      </w:r>
      <w:r>
        <w:tab/>
        <w:t>Statement</w:t>
      </w:r>
    </w:p>
    <w:p w14:paraId="43327EC2" w14:textId="77777777" w:rsidR="00B46EF1" w:rsidRPr="00562FFF" w:rsidRDefault="00B46EF1" w:rsidP="00562FFF">
      <w:pPr>
        <w:spacing w:line="360" w:lineRule="auto"/>
        <w:rPr>
          <w:rFonts w:ascii="Avenir LT 45 Book" w:eastAsia="Calibri" w:hAnsi="Avenir LT 45 Book"/>
          <w:i/>
          <w:sz w:val="20"/>
        </w:rPr>
      </w:pPr>
      <w:r w:rsidRPr="00562FFF">
        <w:rPr>
          <w:rFonts w:ascii="Avenir LT 45 Book" w:eastAsia="Calibri" w:hAnsi="Avenir LT 45 Book"/>
          <w:i/>
          <w:sz w:val="20"/>
        </w:rPr>
        <w:t>Dwellings that contribute positively to the character and significance of the Plympton Precinct are generally of similar form, bulk and scale.  The prevailing building typology is narrow single storey residences facing the street.  This is such a strong characteristic that single storey, and compatible two storey development, should be the maximum building envelope (refer glossary).  Two storey developments are evident in the Plympton Precinct.  Lot sizes and setbacks are also consistent throughout both Precincts.  In any new development, the form, bulk and scale will need to be demonstrably compatible with the existing and surrounding residences.</w:t>
      </w:r>
    </w:p>
    <w:p w14:paraId="0335A5F5" w14:textId="77777777" w:rsidR="00B46EF1" w:rsidRDefault="00B46EF1" w:rsidP="00B46EF1">
      <w:r>
        <w:rPr>
          <w:noProof/>
          <w:lang w:eastAsia="en-AU"/>
        </w:rPr>
        <w:drawing>
          <wp:inline distT="0" distB="0" distL="0" distR="0" wp14:anchorId="3D3C303C" wp14:editId="49134AC9">
            <wp:extent cx="2524125" cy="1800225"/>
            <wp:effectExtent l="19050" t="0" r="9525" b="0"/>
            <wp:docPr id="84" name="Picture 21" descr="Z:\2011 JOBS\11206-EAST FREMANTLE GUIDELINES\11206-PHOTOS\PROCESSED\PLYMPTON\KING STRE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2011 JOBS\11206-EAST FREMANTLE GUIDELINES\11206-PHOTOS\PROCESSED\PLYMPTON\KING STREET 2.jpg"/>
                    <pic:cNvPicPr>
                      <a:picLocks noChangeAspect="1" noChangeArrowheads="1"/>
                    </pic:cNvPicPr>
                  </pic:nvPicPr>
                  <pic:blipFill>
                    <a:blip r:embed="rId233"/>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0428D2D8" wp14:editId="2D2D696F">
            <wp:extent cx="2524125" cy="1800225"/>
            <wp:effectExtent l="19050" t="0" r="9525" b="0"/>
            <wp:docPr id="85" name="Picture 22" descr="Z:\2011 JOBS\11206-EAST FREMANTLE GUIDELINES\11206-PHOTOS\PROCESSED\PLYMPTON\KING STR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2011 JOBS\11206-EAST FREMANTLE GUIDELINES\11206-PHOTOS\PROCESSED\PLYMPTON\KING STREET 1.jpg"/>
                    <pic:cNvPicPr>
                      <a:picLocks noChangeAspect="1" noChangeArrowheads="1"/>
                    </pic:cNvPicPr>
                  </pic:nvPicPr>
                  <pic:blipFill>
                    <a:blip r:embed="rId234"/>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3C2C5470" w14:textId="77777777" w:rsidR="00B46EF1" w:rsidRDefault="00B46EF1" w:rsidP="00B46EF1">
      <w:pPr>
        <w:pStyle w:val="Heading5"/>
        <w:ind w:left="1418" w:hanging="1418"/>
      </w:pPr>
      <w:r>
        <w:lastRenderedPageBreak/>
        <w:t>3.7.16.4.1.2</w:t>
      </w:r>
      <w:r>
        <w:tab/>
        <w:t>Desired Development Outcomes</w:t>
      </w:r>
    </w:p>
    <w:p w14:paraId="0BB01B85" w14:textId="77777777" w:rsidR="00B46EF1" w:rsidRPr="006849D6" w:rsidRDefault="00B46EF1" w:rsidP="002A3889">
      <w:pPr>
        <w:pStyle w:val="ListParagraph"/>
        <w:numPr>
          <w:ilvl w:val="0"/>
          <w:numId w:val="181"/>
        </w:numPr>
        <w:spacing w:line="360" w:lineRule="auto"/>
        <w:contextualSpacing w:val="0"/>
        <w:rPr>
          <w:rFonts w:ascii="Avenir LT 45 Book" w:eastAsia="Calibri" w:hAnsi="Avenir LT 45 Book" w:cs="Times New Roman"/>
          <w:sz w:val="20"/>
        </w:rPr>
      </w:pPr>
      <w:r w:rsidRPr="006849D6">
        <w:rPr>
          <w:rFonts w:ascii="Avenir LT 45 Book" w:eastAsia="Calibri" w:hAnsi="Avenir LT 45 Book" w:cs="Times New Roman"/>
          <w:sz w:val="20"/>
        </w:rPr>
        <w:t xml:space="preserve">New developments should reflect the prevailing form, bulk and scale of the immediate </w:t>
      </w:r>
      <w:proofErr w:type="gramStart"/>
      <w:r w:rsidRPr="006849D6">
        <w:rPr>
          <w:rFonts w:ascii="Avenir LT 45 Book" w:eastAsia="Calibri" w:hAnsi="Avenir LT 45 Book" w:cs="Times New Roman"/>
          <w:sz w:val="20"/>
        </w:rPr>
        <w:t>locality;</w:t>
      </w:r>
      <w:proofErr w:type="gramEnd"/>
    </w:p>
    <w:p w14:paraId="7E1C64BA" w14:textId="77777777" w:rsidR="00B46EF1" w:rsidRPr="006849D6" w:rsidRDefault="00B46EF1" w:rsidP="002A3889">
      <w:pPr>
        <w:pStyle w:val="ListParagraph"/>
        <w:numPr>
          <w:ilvl w:val="0"/>
          <w:numId w:val="181"/>
        </w:numPr>
        <w:spacing w:line="360" w:lineRule="auto"/>
        <w:contextualSpacing w:val="0"/>
        <w:rPr>
          <w:rFonts w:ascii="Avenir LT 45 Book" w:eastAsia="Calibri" w:hAnsi="Avenir LT 45 Book" w:cs="Times New Roman"/>
          <w:sz w:val="20"/>
        </w:rPr>
      </w:pPr>
      <w:r w:rsidRPr="006849D6">
        <w:rPr>
          <w:rFonts w:ascii="Avenir LT 45 Book" w:eastAsia="Calibri" w:hAnsi="Avenir LT 45 Book" w:cs="Times New Roman"/>
          <w:sz w:val="20"/>
        </w:rPr>
        <w:t>New developments shall respect and follow the predominant street pattern in terms of roof pitch, orientation and articulation; and,</w:t>
      </w:r>
    </w:p>
    <w:p w14:paraId="2251223E" w14:textId="77777777" w:rsidR="00B46EF1" w:rsidRPr="006849D6" w:rsidRDefault="00B46EF1" w:rsidP="002A3889">
      <w:pPr>
        <w:pStyle w:val="ListParagraph"/>
        <w:numPr>
          <w:ilvl w:val="0"/>
          <w:numId w:val="181"/>
        </w:numPr>
        <w:spacing w:line="360" w:lineRule="auto"/>
        <w:contextualSpacing w:val="0"/>
        <w:rPr>
          <w:rFonts w:ascii="Avenir LT 45 Book" w:eastAsia="Calibri" w:hAnsi="Avenir LT 45 Book" w:cs="Times New Roman"/>
          <w:sz w:val="20"/>
        </w:rPr>
      </w:pPr>
      <w:r w:rsidRPr="006849D6">
        <w:rPr>
          <w:rFonts w:ascii="Avenir LT 45 Book" w:eastAsia="Calibri" w:hAnsi="Avenir LT 45 Book" w:cs="Times New Roman"/>
          <w:sz w:val="20"/>
        </w:rPr>
        <w:t>Two storey developments and additions that are well designed and do not visually dominant the immediate locality.</w:t>
      </w:r>
    </w:p>
    <w:p w14:paraId="1D9B62F1" w14:textId="77777777" w:rsidR="00B46EF1" w:rsidRDefault="00B46EF1" w:rsidP="006849D6">
      <w:pPr>
        <w:pStyle w:val="Heading5"/>
        <w:ind w:left="1418" w:hanging="1418"/>
      </w:pPr>
      <w:r>
        <w:t>3.7.16.4.1.3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9"/>
        <w:gridCol w:w="4517"/>
      </w:tblGrid>
      <w:tr w:rsidR="00B46EF1" w:rsidRPr="00842387" w14:paraId="307BB148" w14:textId="77777777" w:rsidTr="008048CE">
        <w:tc>
          <w:tcPr>
            <w:tcW w:w="4621" w:type="dxa"/>
          </w:tcPr>
          <w:p w14:paraId="6D2F76CA"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50ED08E9" w14:textId="77777777" w:rsidR="00B46EF1" w:rsidRDefault="00B46EF1" w:rsidP="008048CE">
            <w:r w:rsidRPr="00842387">
              <w:rPr>
                <w:rFonts w:ascii="Avenir LT 65 Medium" w:hAnsi="Avenir LT 65 Medium"/>
              </w:rPr>
              <w:t>Acceptable Development Provisions</w:t>
            </w:r>
          </w:p>
        </w:tc>
      </w:tr>
      <w:tr w:rsidR="00B46EF1" w:rsidRPr="00842387" w14:paraId="01FC8995" w14:textId="77777777" w:rsidTr="008048CE">
        <w:tc>
          <w:tcPr>
            <w:tcW w:w="4621" w:type="dxa"/>
            <w:tcBorders>
              <w:bottom w:val="nil"/>
            </w:tcBorders>
          </w:tcPr>
          <w:p w14:paraId="144CDA72" w14:textId="77777777" w:rsidR="00B46EF1" w:rsidRDefault="00B46EF1" w:rsidP="002A3889">
            <w:pPr>
              <w:pStyle w:val="ListParagraph"/>
              <w:numPr>
                <w:ilvl w:val="0"/>
                <w:numId w:val="182"/>
              </w:numPr>
              <w:spacing w:before="120" w:line="360" w:lineRule="auto"/>
              <w:ind w:left="567" w:hanging="504"/>
              <w:contextualSpacing w:val="0"/>
            </w:pPr>
            <w:r w:rsidRPr="006849D6">
              <w:rPr>
                <w:rFonts w:ascii="Avenir LT 45 Book" w:eastAsia="Calibri" w:hAnsi="Avenir LT 45 Book" w:cs="Times New Roman"/>
                <w:sz w:val="20"/>
              </w:rPr>
              <w:t>New developments, additions and alterations to be of a compatible form, bulk and scale to traditional development in the immediate locality.</w:t>
            </w:r>
          </w:p>
        </w:tc>
        <w:tc>
          <w:tcPr>
            <w:tcW w:w="4621" w:type="dxa"/>
            <w:tcBorders>
              <w:bottom w:val="nil"/>
            </w:tcBorders>
          </w:tcPr>
          <w:p w14:paraId="6364FF3C" w14:textId="77777777" w:rsidR="00B46EF1" w:rsidRPr="006849D6" w:rsidRDefault="00B46EF1" w:rsidP="002A3889">
            <w:pPr>
              <w:pStyle w:val="ListParagraph"/>
              <w:numPr>
                <w:ilvl w:val="1"/>
                <w:numId w:val="183"/>
              </w:numPr>
              <w:spacing w:before="120" w:line="360" w:lineRule="auto"/>
              <w:ind w:left="766" w:hanging="647"/>
              <w:contextualSpacing w:val="0"/>
              <w:rPr>
                <w:rFonts w:ascii="Avenir LT 45 Book" w:eastAsia="Calibri" w:hAnsi="Avenir LT 45 Book" w:cs="Times New Roman"/>
                <w:sz w:val="20"/>
              </w:rPr>
            </w:pPr>
            <w:r w:rsidRPr="006849D6">
              <w:rPr>
                <w:rFonts w:ascii="Avenir LT 45 Book" w:eastAsia="Calibri" w:hAnsi="Avenir LT 45 Book" w:cs="Times New Roman"/>
                <w:sz w:val="20"/>
              </w:rPr>
              <w:t>Developments to comply with all design elements of this Local Planning Policy.</w:t>
            </w:r>
          </w:p>
          <w:p w14:paraId="34A08700" w14:textId="77777777" w:rsidR="00B46EF1" w:rsidRPr="006849D6" w:rsidRDefault="00B46EF1" w:rsidP="002A3889">
            <w:pPr>
              <w:pStyle w:val="ListParagraph"/>
              <w:numPr>
                <w:ilvl w:val="1"/>
                <w:numId w:val="183"/>
              </w:numPr>
              <w:spacing w:line="360" w:lineRule="auto"/>
              <w:ind w:left="766" w:hanging="647"/>
              <w:contextualSpacing w:val="0"/>
              <w:rPr>
                <w:rFonts w:ascii="Avenir LT 45 Book" w:eastAsia="Calibri" w:hAnsi="Avenir LT 45 Book" w:cs="Times New Roman"/>
                <w:sz w:val="20"/>
              </w:rPr>
            </w:pPr>
            <w:r w:rsidRPr="006849D6">
              <w:rPr>
                <w:rFonts w:ascii="Avenir LT 45 Book" w:eastAsia="Calibri" w:hAnsi="Avenir LT 45 Book" w:cs="Times New Roman"/>
                <w:sz w:val="20"/>
              </w:rPr>
              <w:t>Additions and alterations to a contributory dwelling are single storey and leave the existing building completely intact.</w:t>
            </w:r>
          </w:p>
          <w:p w14:paraId="0D67DB8D" w14:textId="77777777" w:rsidR="00B46EF1" w:rsidRPr="006849D6" w:rsidRDefault="00B46EF1" w:rsidP="002A3889">
            <w:pPr>
              <w:pStyle w:val="ListParagraph"/>
              <w:numPr>
                <w:ilvl w:val="1"/>
                <w:numId w:val="183"/>
              </w:numPr>
              <w:spacing w:line="360" w:lineRule="auto"/>
              <w:ind w:left="766" w:hanging="647"/>
              <w:contextualSpacing w:val="0"/>
              <w:rPr>
                <w:rFonts w:ascii="Avenir LT 45 Book" w:eastAsia="Calibri" w:hAnsi="Avenir LT 45 Book" w:cs="Times New Roman"/>
                <w:sz w:val="20"/>
              </w:rPr>
            </w:pPr>
            <w:r w:rsidRPr="006849D6">
              <w:rPr>
                <w:rFonts w:ascii="Avenir LT 45 Book" w:eastAsia="Calibri" w:hAnsi="Avenir LT 45 Book" w:cs="Times New Roman"/>
                <w:sz w:val="20"/>
              </w:rPr>
              <w:t>The bulk of two storey developments to be located at the rear half of the lot.</w:t>
            </w:r>
          </w:p>
          <w:p w14:paraId="645E6DD0" w14:textId="77777777" w:rsidR="00B46EF1" w:rsidRPr="006849D6" w:rsidRDefault="00B46EF1" w:rsidP="002A3889">
            <w:pPr>
              <w:pStyle w:val="ListParagraph"/>
              <w:numPr>
                <w:ilvl w:val="1"/>
                <w:numId w:val="183"/>
              </w:numPr>
              <w:spacing w:line="360" w:lineRule="auto"/>
              <w:ind w:left="766" w:hanging="647"/>
              <w:contextualSpacing w:val="0"/>
              <w:rPr>
                <w:rFonts w:ascii="Avenir LT 45 Book" w:eastAsia="Calibri" w:hAnsi="Avenir LT 45 Book" w:cs="Times New Roman"/>
                <w:sz w:val="20"/>
              </w:rPr>
            </w:pPr>
            <w:r w:rsidRPr="006849D6">
              <w:rPr>
                <w:rFonts w:ascii="Avenir LT 45 Book" w:eastAsia="Calibri" w:hAnsi="Avenir LT 45 Book" w:cs="Times New Roman"/>
                <w:sz w:val="20"/>
              </w:rPr>
              <w:t>Category ‘A’ provisions as set out within Table 3 – Maximum Building Heights of the Residential Design Codes are applicable as the ‘Acceptable Development’ standards unless otherwise varied by application under A1.5.</w:t>
            </w:r>
          </w:p>
          <w:p w14:paraId="15A7AA3E" w14:textId="77777777" w:rsidR="00B46EF1" w:rsidRPr="006849D6" w:rsidRDefault="00B46EF1" w:rsidP="002A3889">
            <w:pPr>
              <w:pStyle w:val="ListParagraph"/>
              <w:numPr>
                <w:ilvl w:val="1"/>
                <w:numId w:val="183"/>
              </w:numPr>
              <w:spacing w:line="360" w:lineRule="auto"/>
              <w:ind w:left="766" w:hanging="647"/>
              <w:contextualSpacing w:val="0"/>
              <w:rPr>
                <w:rFonts w:ascii="Avenir LT 45 Book" w:eastAsia="Calibri" w:hAnsi="Avenir LT 45 Book" w:cs="Times New Roman"/>
                <w:sz w:val="20"/>
              </w:rPr>
            </w:pPr>
            <w:r w:rsidRPr="006849D6">
              <w:rPr>
                <w:rFonts w:ascii="Avenir LT 45 Book" w:eastAsia="Calibri" w:hAnsi="Avenir LT 45 Book" w:cs="Times New Roman"/>
                <w:sz w:val="20"/>
              </w:rPr>
              <w:t>Category ‘B’ will apply as set out within Table 3 – Maximum Building Heights of the Residential Design Codes.</w:t>
            </w:r>
          </w:p>
          <w:p w14:paraId="5C3AD2A8" w14:textId="77777777" w:rsidR="00B46EF1" w:rsidRPr="00430340" w:rsidRDefault="00B46EF1" w:rsidP="002A3889">
            <w:pPr>
              <w:pStyle w:val="ListParagraph"/>
              <w:numPr>
                <w:ilvl w:val="0"/>
                <w:numId w:val="184"/>
              </w:numPr>
              <w:spacing w:line="360" w:lineRule="auto"/>
              <w:contextualSpacing w:val="0"/>
              <w:rPr>
                <w:rFonts w:ascii="Avenir LT 45 Book" w:eastAsia="Calibri" w:hAnsi="Avenir LT 45 Book" w:cs="Arial"/>
                <w:sz w:val="20"/>
              </w:rPr>
            </w:pPr>
            <w:r w:rsidRPr="00430340">
              <w:rPr>
                <w:rFonts w:ascii="Avenir LT 45 Book" w:eastAsia="Calibri" w:hAnsi="Avenir LT 45 Book" w:cs="Arial"/>
                <w:sz w:val="20"/>
              </w:rPr>
              <w:t>The proposal demonstrates design, bulk and scale that responds to neighbouring developments and the established character of the existing development on</w:t>
            </w:r>
            <w:r w:rsidR="00430340">
              <w:rPr>
                <w:rFonts w:ascii="Avenir LT 45 Book" w:eastAsia="Calibri" w:hAnsi="Avenir LT 45 Book" w:cs="Arial"/>
                <w:sz w:val="20"/>
              </w:rPr>
              <w:t xml:space="preserve"> </w:t>
            </w:r>
            <w:r w:rsidRPr="00430340">
              <w:rPr>
                <w:rFonts w:ascii="Avenir LT 45 Book" w:eastAsia="Calibri" w:hAnsi="Avenir LT 45 Book" w:cs="Arial"/>
                <w:sz w:val="20"/>
              </w:rPr>
              <w:t xml:space="preserve">the site or other site specific </w:t>
            </w:r>
            <w:proofErr w:type="gramStart"/>
            <w:r w:rsidRPr="00430340">
              <w:rPr>
                <w:rFonts w:ascii="Avenir LT 45 Book" w:eastAsia="Calibri" w:hAnsi="Avenir LT 45 Book" w:cs="Arial"/>
                <w:sz w:val="20"/>
              </w:rPr>
              <w:t>circumstances;</w:t>
            </w:r>
            <w:proofErr w:type="gramEnd"/>
          </w:p>
          <w:p w14:paraId="57B05178" w14:textId="77777777" w:rsidR="00B46EF1" w:rsidRPr="00146C70" w:rsidRDefault="00B46EF1" w:rsidP="002A3889">
            <w:pPr>
              <w:pStyle w:val="ListParagraph"/>
              <w:numPr>
                <w:ilvl w:val="0"/>
                <w:numId w:val="184"/>
              </w:numPr>
              <w:spacing w:line="360" w:lineRule="auto"/>
              <w:contextualSpacing w:val="0"/>
            </w:pPr>
            <w:r w:rsidRPr="006849D6">
              <w:rPr>
                <w:rFonts w:ascii="Avenir LT 45 Book" w:eastAsia="Calibri" w:hAnsi="Avenir LT 45 Book" w:cs="Arial"/>
                <w:sz w:val="20"/>
              </w:rPr>
              <w:t>Subject to compliance with the ‘Acceptable Development’ standards of Residential Design Codes – Element 9 –</w:t>
            </w:r>
            <w:r w:rsidRPr="00842387">
              <w:rPr>
                <w:rFonts w:cs="Arial"/>
              </w:rPr>
              <w:t xml:space="preserve"> </w:t>
            </w:r>
            <w:r w:rsidRPr="006849D6">
              <w:rPr>
                <w:rFonts w:ascii="Avenir LT 45 Book" w:eastAsia="Calibri" w:hAnsi="Avenir LT 45 Book" w:cs="Arial"/>
                <w:sz w:val="20"/>
              </w:rPr>
              <w:t>Design for Climate and Element 8 – Privacy.</w:t>
            </w:r>
          </w:p>
          <w:p w14:paraId="22324BA7" w14:textId="77777777" w:rsidR="00B46EF1" w:rsidRPr="006849D6" w:rsidRDefault="00B46EF1" w:rsidP="002A3889">
            <w:pPr>
              <w:pStyle w:val="ListParagraph"/>
              <w:numPr>
                <w:ilvl w:val="0"/>
                <w:numId w:val="184"/>
              </w:numPr>
              <w:spacing w:line="360" w:lineRule="auto"/>
              <w:contextualSpacing w:val="0"/>
              <w:rPr>
                <w:rFonts w:ascii="Avenir LT 45 Book" w:eastAsia="Calibri" w:hAnsi="Avenir LT 45 Book" w:cs="Arial"/>
                <w:sz w:val="20"/>
              </w:rPr>
            </w:pPr>
            <w:r w:rsidRPr="006849D6">
              <w:rPr>
                <w:rFonts w:ascii="Avenir LT 45 Book" w:eastAsia="Calibri" w:hAnsi="Avenir LT 45 Book" w:cs="Arial"/>
                <w:sz w:val="20"/>
              </w:rPr>
              <w:t>The proposed development does not unreasonably impact upon the amenity</w:t>
            </w:r>
            <w:r>
              <w:rPr>
                <w:rFonts w:cs="Arial"/>
              </w:rPr>
              <w:t xml:space="preserve"> </w:t>
            </w:r>
            <w:r w:rsidRPr="006849D6">
              <w:rPr>
                <w:rFonts w:ascii="Avenir LT 45 Book" w:eastAsia="Calibri" w:hAnsi="Avenir LT 45 Book" w:cs="Arial"/>
                <w:sz w:val="20"/>
              </w:rPr>
              <w:t>of the principal</w:t>
            </w:r>
            <w:r>
              <w:rPr>
                <w:rFonts w:cs="Arial"/>
              </w:rPr>
              <w:t xml:space="preserve"> </w:t>
            </w:r>
            <w:r w:rsidRPr="006849D6">
              <w:rPr>
                <w:rFonts w:ascii="Avenir LT 45 Book" w:eastAsia="Calibri" w:hAnsi="Avenir LT 45 Book" w:cs="Arial"/>
                <w:sz w:val="20"/>
              </w:rPr>
              <w:t>outdoor living area of adjacent properties.</w:t>
            </w:r>
          </w:p>
          <w:p w14:paraId="7E8CFE16" w14:textId="77777777" w:rsidR="00B46EF1" w:rsidRDefault="00B46EF1" w:rsidP="002A3889">
            <w:pPr>
              <w:pStyle w:val="ListParagraph"/>
              <w:numPr>
                <w:ilvl w:val="0"/>
                <w:numId w:val="184"/>
              </w:numPr>
              <w:spacing w:line="360" w:lineRule="auto"/>
              <w:contextualSpacing w:val="0"/>
            </w:pPr>
            <w:r w:rsidRPr="00430340">
              <w:rPr>
                <w:rFonts w:ascii="Avenir LT 45 Book" w:eastAsia="Calibri" w:hAnsi="Avenir LT 45 Book" w:cs="Arial"/>
                <w:sz w:val="20"/>
              </w:rPr>
              <w:t>The subject lot is not a battle axe lot.</w:t>
            </w:r>
          </w:p>
        </w:tc>
      </w:tr>
    </w:tbl>
    <w:p w14:paraId="5036C8B5" w14:textId="77777777" w:rsidR="00B46EF1" w:rsidRDefault="00B46EF1" w:rsidP="00B46EF1">
      <w:pPr>
        <w:tabs>
          <w:tab w:val="left" w:pos="709"/>
        </w:tabs>
      </w:pPr>
      <w:r>
        <w:tab/>
      </w:r>
    </w:p>
    <w:p w14:paraId="60BEAEB5" w14:textId="77777777" w:rsidR="00B46EF1" w:rsidRPr="00430340" w:rsidRDefault="00B46EF1" w:rsidP="00B46EF1">
      <w:pPr>
        <w:tabs>
          <w:tab w:val="left" w:pos="709"/>
        </w:tabs>
        <w:rPr>
          <w:rFonts w:ascii="Avenir LT 45 Book" w:eastAsia="Calibri" w:hAnsi="Avenir LT 45 Book"/>
          <w:sz w:val="20"/>
        </w:rPr>
      </w:pPr>
      <w:r w:rsidRPr="00430340">
        <w:rPr>
          <w:rFonts w:ascii="Avenir LT 45 Book" w:eastAsia="Calibri" w:hAnsi="Avenir LT 45 Book"/>
          <w:sz w:val="20"/>
        </w:rPr>
        <w:t>NOTE:</w:t>
      </w:r>
      <w:r>
        <w:tab/>
      </w:r>
      <w:r w:rsidRPr="00430340">
        <w:rPr>
          <w:rFonts w:ascii="Avenir LT 45 Book" w:eastAsia="Calibri" w:hAnsi="Avenir LT 45 Book"/>
          <w:sz w:val="20"/>
        </w:rPr>
        <w:t>Refer to the Town Centre Redevelopment Guidelines for lots adjacent to Canning Highway.</w:t>
      </w:r>
    </w:p>
    <w:p w14:paraId="0E413644" w14:textId="77777777" w:rsidR="00B46EF1" w:rsidRDefault="00430340" w:rsidP="00430340">
      <w:pPr>
        <w:pStyle w:val="Heading5"/>
        <w:spacing w:before="360"/>
        <w:ind w:left="1418" w:hanging="1418"/>
      </w:pPr>
      <w:r>
        <w:t>3.7.16.4.2</w:t>
      </w:r>
      <w:r>
        <w:tab/>
      </w:r>
      <w:proofErr w:type="spellStart"/>
      <w:r w:rsidR="00B46EF1" w:rsidRPr="00842387">
        <w:t>Verandahs</w:t>
      </w:r>
      <w:proofErr w:type="spellEnd"/>
      <w:r w:rsidR="00B46EF1" w:rsidRPr="00842387">
        <w:t xml:space="preserve"> and Porches</w:t>
      </w:r>
    </w:p>
    <w:p w14:paraId="76CB8061" w14:textId="77777777" w:rsidR="00B46EF1" w:rsidRDefault="00B46EF1" w:rsidP="00B46EF1">
      <w:pPr>
        <w:pStyle w:val="Heading5"/>
        <w:ind w:left="1418" w:hanging="1418"/>
      </w:pPr>
      <w:r>
        <w:lastRenderedPageBreak/>
        <w:t>3.7.16.4.2.1</w:t>
      </w:r>
      <w:r>
        <w:tab/>
        <w:t>Statement</w:t>
      </w:r>
    </w:p>
    <w:p w14:paraId="7808F37C" w14:textId="77777777" w:rsidR="00B46EF1" w:rsidRPr="00430340" w:rsidRDefault="00B46EF1" w:rsidP="00430340">
      <w:pPr>
        <w:spacing w:line="360" w:lineRule="auto"/>
        <w:rPr>
          <w:rFonts w:ascii="Avenir LT 45 Book" w:eastAsia="Calibri" w:hAnsi="Avenir LT 45 Book"/>
          <w:i/>
          <w:sz w:val="20"/>
          <w:szCs w:val="20"/>
        </w:rPr>
      </w:pPr>
      <w:proofErr w:type="spellStart"/>
      <w:r w:rsidRPr="00430340">
        <w:rPr>
          <w:rFonts w:ascii="Avenir LT 45 Book" w:eastAsia="Calibri" w:hAnsi="Avenir LT 45 Book"/>
          <w:i/>
          <w:sz w:val="20"/>
          <w:szCs w:val="20"/>
        </w:rPr>
        <w:t>Verandahs</w:t>
      </w:r>
      <w:proofErr w:type="spellEnd"/>
      <w:r w:rsidRPr="00430340">
        <w:rPr>
          <w:rFonts w:ascii="Avenir LT 45 Book" w:eastAsia="Calibri" w:hAnsi="Avenir LT 45 Book"/>
          <w:i/>
          <w:sz w:val="20"/>
          <w:szCs w:val="20"/>
        </w:rPr>
        <w:t xml:space="preserve"> and porches are a strong contributor to the character of the Plympton Precinct and should be encouraged in new developments.  This feature is an essential unifying element that contributes to the streetscape character of both Precincts.  </w:t>
      </w:r>
    </w:p>
    <w:p w14:paraId="0A71CBC5" w14:textId="77777777" w:rsidR="00B46EF1" w:rsidRPr="00842387" w:rsidRDefault="00B46EF1" w:rsidP="00B46EF1">
      <w:r>
        <w:rPr>
          <w:noProof/>
          <w:szCs w:val="20"/>
          <w:lang w:eastAsia="en-AU"/>
        </w:rPr>
        <w:drawing>
          <wp:inline distT="0" distB="0" distL="0" distR="0" wp14:anchorId="42328D4F" wp14:editId="2863DC34">
            <wp:extent cx="2524125" cy="1800225"/>
            <wp:effectExtent l="19050" t="0" r="9525" b="0"/>
            <wp:docPr id="86" name="Picture 23" descr="Z:\2011 JOBS\11206-EAST FREMANTLE GUIDELINES\11206-PHOTOS\PROCESSED\PLYMPTON\DUK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2011 JOBS\11206-EAST FREMANTLE GUIDELINES\11206-PHOTOS\PROCESSED\PLYMPTON\DUKE STREET.jpg"/>
                    <pic:cNvPicPr>
                      <a:picLocks noChangeAspect="1" noChangeArrowheads="1"/>
                    </pic:cNvPicPr>
                  </pic:nvPicPr>
                  <pic:blipFill>
                    <a:blip r:embed="rId235"/>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1A037BD4" wp14:editId="12B22BB1">
            <wp:extent cx="2524125" cy="1800225"/>
            <wp:effectExtent l="19050" t="0" r="9525" b="0"/>
            <wp:docPr id="87" name="Picture 24" descr="Z:\2011 JOBS\11206-EAST FREMANTLE GUIDELINES\11206-PHOTOS\PROCESSED\PLYMPTON\DUKE STR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2011 JOBS\11206-EAST FREMANTLE GUIDELINES\11206-PHOTOS\PROCESSED\PLYMPTON\DUKE STREET 1.jpg"/>
                    <pic:cNvPicPr>
                      <a:picLocks noChangeAspect="1" noChangeArrowheads="1"/>
                    </pic:cNvPicPr>
                  </pic:nvPicPr>
                  <pic:blipFill>
                    <a:blip r:embed="rId236"/>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4AA2F173" w14:textId="77777777" w:rsidR="00B46EF1" w:rsidRDefault="00B46EF1" w:rsidP="00430340">
      <w:pPr>
        <w:pStyle w:val="Heading5"/>
        <w:spacing w:before="360"/>
        <w:ind w:left="1418" w:hanging="1418"/>
      </w:pPr>
      <w:r>
        <w:t>3.7.16.4.2.2</w:t>
      </w:r>
      <w:r>
        <w:tab/>
        <w:t>Desired Development Outcomes</w:t>
      </w:r>
    </w:p>
    <w:p w14:paraId="68159B0C" w14:textId="77777777" w:rsidR="00B46EF1" w:rsidRPr="00430340" w:rsidRDefault="00B46EF1" w:rsidP="002A3889">
      <w:pPr>
        <w:pStyle w:val="ListParagraph"/>
        <w:numPr>
          <w:ilvl w:val="0"/>
          <w:numId w:val="185"/>
        </w:numPr>
        <w:spacing w:line="360" w:lineRule="auto"/>
        <w:rPr>
          <w:rFonts w:ascii="Avenir LT 45 Book" w:eastAsia="Calibri" w:hAnsi="Avenir LT 45 Book" w:cs="Times New Roman"/>
          <w:sz w:val="20"/>
        </w:rPr>
      </w:pPr>
      <w:proofErr w:type="spellStart"/>
      <w:r w:rsidRPr="00430340">
        <w:rPr>
          <w:rFonts w:ascii="Avenir LT 45 Book" w:eastAsia="Calibri" w:hAnsi="Avenir LT 45 Book" w:cs="Times New Roman"/>
          <w:sz w:val="20"/>
        </w:rPr>
        <w:t>Verandahs</w:t>
      </w:r>
      <w:proofErr w:type="spellEnd"/>
      <w:r w:rsidRPr="00430340">
        <w:rPr>
          <w:rFonts w:ascii="Avenir LT 45 Book" w:eastAsia="Calibri" w:hAnsi="Avenir LT 45 Book" w:cs="Times New Roman"/>
          <w:sz w:val="20"/>
        </w:rPr>
        <w:t xml:space="preserve"> and porches are to be encouraged in new developments.  They should complement the immediate locality; and,</w:t>
      </w:r>
    </w:p>
    <w:p w14:paraId="1FEA0622" w14:textId="77777777" w:rsidR="00B46EF1" w:rsidRPr="00430340" w:rsidRDefault="00B46EF1" w:rsidP="002A3889">
      <w:pPr>
        <w:pStyle w:val="ListParagraph"/>
        <w:numPr>
          <w:ilvl w:val="0"/>
          <w:numId w:val="185"/>
        </w:numPr>
        <w:spacing w:line="360" w:lineRule="auto"/>
        <w:rPr>
          <w:rFonts w:ascii="Avenir LT 45 Book" w:eastAsia="Calibri" w:hAnsi="Avenir LT 45 Book" w:cs="Times New Roman"/>
          <w:sz w:val="20"/>
        </w:rPr>
      </w:pPr>
      <w:r w:rsidRPr="00430340">
        <w:rPr>
          <w:rFonts w:ascii="Avenir LT 45 Book" w:eastAsia="Calibri" w:hAnsi="Avenir LT 45 Book" w:cs="Times New Roman"/>
          <w:sz w:val="20"/>
        </w:rPr>
        <w:t xml:space="preserve">Existing </w:t>
      </w:r>
      <w:proofErr w:type="spellStart"/>
      <w:r w:rsidRPr="00430340">
        <w:rPr>
          <w:rFonts w:ascii="Avenir LT 45 Book" w:eastAsia="Calibri" w:hAnsi="Avenir LT 45 Book" w:cs="Times New Roman"/>
          <w:sz w:val="20"/>
        </w:rPr>
        <w:t>verandahs</w:t>
      </w:r>
      <w:proofErr w:type="spellEnd"/>
      <w:r w:rsidRPr="00430340">
        <w:rPr>
          <w:rFonts w:ascii="Avenir LT 45 Book" w:eastAsia="Calibri" w:hAnsi="Avenir LT 45 Book" w:cs="Times New Roman"/>
          <w:sz w:val="20"/>
        </w:rPr>
        <w:t xml:space="preserve"> and porches should be conserved, and missing </w:t>
      </w:r>
      <w:proofErr w:type="spellStart"/>
      <w:r w:rsidRPr="00430340">
        <w:rPr>
          <w:rFonts w:ascii="Avenir LT 45 Book" w:eastAsia="Calibri" w:hAnsi="Avenir LT 45 Book" w:cs="Times New Roman"/>
          <w:sz w:val="20"/>
        </w:rPr>
        <w:t>verandahs</w:t>
      </w:r>
      <w:proofErr w:type="spellEnd"/>
      <w:r w:rsidRPr="00430340">
        <w:rPr>
          <w:rFonts w:ascii="Avenir LT 45 Book" w:eastAsia="Calibri" w:hAnsi="Avenir LT 45 Book" w:cs="Times New Roman"/>
          <w:sz w:val="20"/>
        </w:rPr>
        <w:t xml:space="preserve"> reinstated.</w:t>
      </w:r>
    </w:p>
    <w:p w14:paraId="6FFA19F8" w14:textId="77777777" w:rsidR="00B46EF1" w:rsidRDefault="00B46EF1" w:rsidP="008C2868">
      <w:pPr>
        <w:pStyle w:val="Heading5"/>
        <w:spacing w:before="360"/>
        <w:ind w:left="1418" w:hanging="1418"/>
      </w:pPr>
      <w:r>
        <w:t>3.7.16.4.2.3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5"/>
        <w:gridCol w:w="4521"/>
      </w:tblGrid>
      <w:tr w:rsidR="00B46EF1" w:rsidRPr="00842387" w14:paraId="31DE0399" w14:textId="77777777" w:rsidTr="008C2868">
        <w:tc>
          <w:tcPr>
            <w:tcW w:w="4505" w:type="dxa"/>
          </w:tcPr>
          <w:p w14:paraId="68C33434"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521" w:type="dxa"/>
          </w:tcPr>
          <w:p w14:paraId="23B6AB80" w14:textId="77777777" w:rsidR="00B46EF1" w:rsidRDefault="00B46EF1" w:rsidP="008048CE">
            <w:r w:rsidRPr="00842387">
              <w:rPr>
                <w:rFonts w:ascii="Avenir LT 65 Medium" w:hAnsi="Avenir LT 65 Medium"/>
              </w:rPr>
              <w:t>Acceptable Development Provisions</w:t>
            </w:r>
          </w:p>
        </w:tc>
      </w:tr>
      <w:tr w:rsidR="00B46EF1" w:rsidRPr="00842387" w14:paraId="39C38795" w14:textId="77777777" w:rsidTr="008C2868">
        <w:tc>
          <w:tcPr>
            <w:tcW w:w="4505" w:type="dxa"/>
            <w:tcBorders>
              <w:bottom w:val="nil"/>
            </w:tcBorders>
          </w:tcPr>
          <w:p w14:paraId="2D3CE3F8" w14:textId="77777777" w:rsidR="00B46EF1" w:rsidRPr="00430340" w:rsidRDefault="00B46EF1" w:rsidP="002A3889">
            <w:pPr>
              <w:pStyle w:val="ListParagraph"/>
              <w:numPr>
                <w:ilvl w:val="0"/>
                <w:numId w:val="186"/>
              </w:numPr>
              <w:spacing w:before="120" w:line="360" w:lineRule="auto"/>
              <w:ind w:left="567" w:hanging="504"/>
              <w:contextualSpacing w:val="0"/>
              <w:rPr>
                <w:rFonts w:ascii="Avenir LT 45 Book" w:eastAsia="Calibri" w:hAnsi="Avenir LT 45 Book" w:cs="Times New Roman"/>
                <w:sz w:val="20"/>
              </w:rPr>
            </w:pPr>
            <w:r w:rsidRPr="00430340">
              <w:rPr>
                <w:rFonts w:ascii="Avenir LT 45 Book" w:eastAsia="Calibri" w:hAnsi="Avenir LT 45 Book" w:cs="Times New Roman"/>
                <w:sz w:val="20"/>
              </w:rPr>
              <w:t xml:space="preserve">The </w:t>
            </w:r>
            <w:proofErr w:type="gramStart"/>
            <w:r w:rsidRPr="00430340">
              <w:rPr>
                <w:rFonts w:ascii="Avenir LT 45 Book" w:eastAsia="Calibri" w:hAnsi="Avenir LT 45 Book" w:cs="Times New Roman"/>
                <w:sz w:val="20"/>
              </w:rPr>
              <w:t>principle</w:t>
            </w:r>
            <w:proofErr w:type="gramEnd"/>
            <w:r w:rsidRPr="00430340">
              <w:rPr>
                <w:rFonts w:ascii="Avenir LT 45 Book" w:eastAsia="Calibri" w:hAnsi="Avenir LT 45 Book" w:cs="Times New Roman"/>
                <w:sz w:val="20"/>
              </w:rPr>
              <w:t xml:space="preserve"> façade and main entrance of a new building should address the street in a manner that reflects the predominant character of the traditional development in the immediate locality.</w:t>
            </w:r>
          </w:p>
        </w:tc>
        <w:tc>
          <w:tcPr>
            <w:tcW w:w="4521" w:type="dxa"/>
            <w:tcBorders>
              <w:bottom w:val="nil"/>
            </w:tcBorders>
          </w:tcPr>
          <w:p w14:paraId="14025D57" w14:textId="77777777" w:rsidR="00B46EF1" w:rsidRDefault="00B46EF1" w:rsidP="002A3889">
            <w:pPr>
              <w:pStyle w:val="ListParagraph"/>
              <w:numPr>
                <w:ilvl w:val="0"/>
                <w:numId w:val="187"/>
              </w:numPr>
              <w:spacing w:before="120" w:line="360" w:lineRule="auto"/>
              <w:ind w:left="624" w:hanging="505"/>
              <w:contextualSpacing w:val="0"/>
            </w:pPr>
            <w:r w:rsidRPr="00430340">
              <w:rPr>
                <w:rFonts w:ascii="Avenir LT 45 Book" w:eastAsia="Calibri" w:hAnsi="Avenir LT 45 Book" w:cs="Times New Roman"/>
                <w:sz w:val="20"/>
              </w:rPr>
              <w:t xml:space="preserve">New developments to include a </w:t>
            </w:r>
            <w:proofErr w:type="spellStart"/>
            <w:r w:rsidRPr="00430340">
              <w:rPr>
                <w:rFonts w:ascii="Avenir LT 45 Book" w:eastAsia="Calibri" w:hAnsi="Avenir LT 45 Book" w:cs="Times New Roman"/>
                <w:sz w:val="20"/>
              </w:rPr>
              <w:t>verandah</w:t>
            </w:r>
            <w:proofErr w:type="spellEnd"/>
            <w:r w:rsidRPr="00430340">
              <w:rPr>
                <w:rFonts w:ascii="Avenir LT 45 Book" w:eastAsia="Calibri" w:hAnsi="Avenir LT 45 Book" w:cs="Times New Roman"/>
                <w:sz w:val="20"/>
              </w:rPr>
              <w:t xml:space="preserve"> or porch that address the primary street and comprises the primary access to the building.</w:t>
            </w:r>
          </w:p>
        </w:tc>
      </w:tr>
      <w:tr w:rsidR="00B46EF1" w:rsidRPr="00842387" w14:paraId="79048610" w14:textId="77777777" w:rsidTr="008C2868">
        <w:tc>
          <w:tcPr>
            <w:tcW w:w="4505" w:type="dxa"/>
            <w:tcBorders>
              <w:top w:val="nil"/>
              <w:bottom w:val="nil"/>
            </w:tcBorders>
          </w:tcPr>
          <w:p w14:paraId="1D3522B7" w14:textId="77777777" w:rsidR="00B46EF1" w:rsidRPr="00430340" w:rsidRDefault="00B46EF1" w:rsidP="002A3889">
            <w:pPr>
              <w:pStyle w:val="ListParagraph"/>
              <w:numPr>
                <w:ilvl w:val="0"/>
                <w:numId w:val="186"/>
              </w:numPr>
              <w:spacing w:before="120" w:line="360" w:lineRule="auto"/>
              <w:ind w:left="567" w:hanging="504"/>
              <w:contextualSpacing w:val="0"/>
              <w:rPr>
                <w:rFonts w:ascii="Avenir LT 45 Book" w:eastAsia="Calibri" w:hAnsi="Avenir LT 45 Book" w:cs="Times New Roman"/>
                <w:sz w:val="20"/>
              </w:rPr>
            </w:pPr>
            <w:r w:rsidRPr="00430340">
              <w:rPr>
                <w:rFonts w:ascii="Avenir LT 45 Book" w:eastAsia="Calibri" w:hAnsi="Avenir LT 45 Book" w:cs="Times New Roman"/>
                <w:sz w:val="20"/>
              </w:rPr>
              <w:t xml:space="preserve">Contributory buildings retain their primary access and conserve the traditional detailing of </w:t>
            </w:r>
            <w:proofErr w:type="spellStart"/>
            <w:r w:rsidRPr="00430340">
              <w:rPr>
                <w:rFonts w:ascii="Avenir LT 45 Book" w:eastAsia="Calibri" w:hAnsi="Avenir LT 45 Book" w:cs="Times New Roman"/>
                <w:sz w:val="20"/>
              </w:rPr>
              <w:t>verandahs</w:t>
            </w:r>
            <w:proofErr w:type="spellEnd"/>
            <w:r w:rsidRPr="00430340">
              <w:rPr>
                <w:rFonts w:ascii="Avenir LT 45 Book" w:eastAsia="Calibri" w:hAnsi="Avenir LT 45 Book" w:cs="Times New Roman"/>
                <w:sz w:val="20"/>
              </w:rPr>
              <w:t xml:space="preserve"> and porches.</w:t>
            </w:r>
          </w:p>
        </w:tc>
        <w:tc>
          <w:tcPr>
            <w:tcW w:w="4521" w:type="dxa"/>
            <w:tcBorders>
              <w:top w:val="nil"/>
              <w:bottom w:val="nil"/>
            </w:tcBorders>
          </w:tcPr>
          <w:p w14:paraId="1A819A2E" w14:textId="77777777" w:rsidR="00B46EF1" w:rsidRDefault="00B46EF1" w:rsidP="002A3889">
            <w:pPr>
              <w:pStyle w:val="ListParagraph"/>
              <w:numPr>
                <w:ilvl w:val="0"/>
                <w:numId w:val="187"/>
              </w:numPr>
              <w:spacing w:line="360" w:lineRule="auto"/>
              <w:ind w:left="624" w:hanging="505"/>
              <w:contextualSpacing w:val="0"/>
            </w:pPr>
            <w:r w:rsidRPr="00430340">
              <w:rPr>
                <w:rFonts w:ascii="Avenir LT 45 Book" w:eastAsia="Calibri" w:hAnsi="Avenir LT 45 Book" w:cs="Times New Roman"/>
                <w:sz w:val="20"/>
              </w:rPr>
              <w:t xml:space="preserve">Additions and alterations to a contributory building to retain or reinstate the existing </w:t>
            </w:r>
            <w:proofErr w:type="spellStart"/>
            <w:r w:rsidRPr="00430340">
              <w:rPr>
                <w:rFonts w:ascii="Avenir LT 45 Book" w:eastAsia="Calibri" w:hAnsi="Avenir LT 45 Book" w:cs="Times New Roman"/>
                <w:sz w:val="20"/>
              </w:rPr>
              <w:t>verandah</w:t>
            </w:r>
            <w:proofErr w:type="spellEnd"/>
            <w:r w:rsidRPr="00430340">
              <w:rPr>
                <w:rFonts w:ascii="Avenir LT 45 Book" w:eastAsia="Calibri" w:hAnsi="Avenir LT 45 Book" w:cs="Times New Roman"/>
                <w:sz w:val="20"/>
              </w:rPr>
              <w:t xml:space="preserve"> or porch.  Where appropriate and information available restore/reinstate their original detailing.</w:t>
            </w:r>
          </w:p>
        </w:tc>
      </w:tr>
      <w:tr w:rsidR="00B46EF1" w:rsidRPr="00842387" w14:paraId="2F671342" w14:textId="77777777" w:rsidTr="008C2868">
        <w:tc>
          <w:tcPr>
            <w:tcW w:w="4505" w:type="dxa"/>
            <w:tcBorders>
              <w:top w:val="nil"/>
              <w:bottom w:val="nil"/>
            </w:tcBorders>
          </w:tcPr>
          <w:p w14:paraId="3D980C39" w14:textId="77777777" w:rsidR="00B46EF1" w:rsidRDefault="00B46EF1" w:rsidP="002A3889">
            <w:pPr>
              <w:pStyle w:val="ListParagraph"/>
              <w:numPr>
                <w:ilvl w:val="0"/>
                <w:numId w:val="186"/>
              </w:numPr>
              <w:spacing w:before="120" w:line="360" w:lineRule="auto"/>
              <w:ind w:left="567" w:hanging="504"/>
              <w:contextualSpacing w:val="0"/>
            </w:pPr>
            <w:r w:rsidRPr="008C2868">
              <w:rPr>
                <w:rFonts w:ascii="Avenir LT 45 Book" w:eastAsia="Calibri" w:hAnsi="Avenir LT 45 Book" w:cs="Times New Roman"/>
                <w:sz w:val="20"/>
              </w:rPr>
              <w:t xml:space="preserve">Missing </w:t>
            </w:r>
            <w:proofErr w:type="spellStart"/>
            <w:r w:rsidRPr="008C2868">
              <w:rPr>
                <w:rFonts w:ascii="Avenir LT 45 Book" w:eastAsia="Calibri" w:hAnsi="Avenir LT 45 Book" w:cs="Times New Roman"/>
                <w:sz w:val="20"/>
              </w:rPr>
              <w:t>verandahs</w:t>
            </w:r>
            <w:proofErr w:type="spellEnd"/>
            <w:r w:rsidRPr="008C2868">
              <w:rPr>
                <w:rFonts w:ascii="Avenir LT 45 Book" w:eastAsia="Calibri" w:hAnsi="Avenir LT 45 Book" w:cs="Times New Roman"/>
                <w:sz w:val="20"/>
              </w:rPr>
              <w:t xml:space="preserve"> to be reinstated.</w:t>
            </w:r>
          </w:p>
        </w:tc>
        <w:tc>
          <w:tcPr>
            <w:tcW w:w="4521" w:type="dxa"/>
            <w:tcBorders>
              <w:top w:val="nil"/>
              <w:bottom w:val="nil"/>
            </w:tcBorders>
          </w:tcPr>
          <w:p w14:paraId="0D19BCA7" w14:textId="77777777" w:rsidR="00B46EF1" w:rsidRDefault="00B46EF1" w:rsidP="002A3889">
            <w:pPr>
              <w:pStyle w:val="ListParagraph"/>
              <w:numPr>
                <w:ilvl w:val="0"/>
                <w:numId w:val="187"/>
              </w:numPr>
              <w:spacing w:line="360" w:lineRule="auto"/>
              <w:ind w:left="624" w:hanging="505"/>
              <w:contextualSpacing w:val="0"/>
            </w:pPr>
            <w:r w:rsidRPr="008C2868">
              <w:rPr>
                <w:rFonts w:ascii="Avenir LT 45 Book" w:eastAsia="Calibri" w:hAnsi="Avenir LT 45 Book" w:cs="Times New Roman"/>
                <w:sz w:val="20"/>
              </w:rPr>
              <w:t xml:space="preserve">Reinstate missing </w:t>
            </w:r>
            <w:proofErr w:type="spellStart"/>
            <w:r w:rsidRPr="008C2868">
              <w:rPr>
                <w:rFonts w:ascii="Avenir LT 45 Book" w:eastAsia="Calibri" w:hAnsi="Avenir LT 45 Book" w:cs="Times New Roman"/>
                <w:sz w:val="20"/>
              </w:rPr>
              <w:t>verandahs</w:t>
            </w:r>
            <w:proofErr w:type="spellEnd"/>
            <w:r w:rsidRPr="008C2868">
              <w:rPr>
                <w:rFonts w:ascii="Avenir LT 45 Book" w:eastAsia="Calibri" w:hAnsi="Avenir LT 45 Book" w:cs="Times New Roman"/>
                <w:sz w:val="20"/>
              </w:rPr>
              <w:t>.</w:t>
            </w:r>
          </w:p>
        </w:tc>
      </w:tr>
    </w:tbl>
    <w:p w14:paraId="205A947C" w14:textId="77777777" w:rsidR="00B46EF1" w:rsidRDefault="008C2868" w:rsidP="008C2868">
      <w:pPr>
        <w:pStyle w:val="Heading5"/>
        <w:spacing w:before="360"/>
        <w:ind w:left="1418" w:hanging="1418"/>
      </w:pPr>
      <w:r>
        <w:t>3.7.16.4.3</w:t>
      </w:r>
      <w:r>
        <w:tab/>
      </w:r>
      <w:r w:rsidR="00B46EF1" w:rsidRPr="00842387">
        <w:t>Fremantle Port Buffer</w:t>
      </w:r>
    </w:p>
    <w:p w14:paraId="4DFF13CA" w14:textId="77777777" w:rsidR="00B46EF1" w:rsidRDefault="00B46EF1" w:rsidP="00B46EF1">
      <w:pPr>
        <w:pStyle w:val="Heading5"/>
        <w:ind w:left="1418" w:hanging="1418"/>
      </w:pPr>
      <w:r>
        <w:t>3.7.16.4.3.1</w:t>
      </w:r>
      <w:r>
        <w:tab/>
        <w:t>Statement</w:t>
      </w:r>
    </w:p>
    <w:p w14:paraId="4DA715CE" w14:textId="77777777" w:rsidR="00B46EF1" w:rsidRPr="008C2868" w:rsidRDefault="00B46EF1" w:rsidP="008C2868">
      <w:pPr>
        <w:spacing w:line="360" w:lineRule="auto"/>
        <w:rPr>
          <w:rFonts w:ascii="Avenir LT 45 Book" w:eastAsia="Calibri" w:hAnsi="Avenir LT 45 Book"/>
          <w:i/>
          <w:sz w:val="20"/>
        </w:rPr>
      </w:pPr>
      <w:r w:rsidRPr="008C2868">
        <w:rPr>
          <w:rFonts w:ascii="Avenir LT 45 Book" w:eastAsia="Calibri" w:hAnsi="Avenir LT 45 Book"/>
          <w:i/>
          <w:sz w:val="20"/>
        </w:rPr>
        <w:t>Fremantle Ports undertook the Fremantle Inner Harbour Definition Study (May 2002), which identified the need for an offsite buffer around the Port. The buffer was determined on a range of potential amenity impacts and risks including noise, odour and public risk.</w:t>
      </w:r>
    </w:p>
    <w:p w14:paraId="1DFC6F7B" w14:textId="77777777" w:rsidR="00B46EF1" w:rsidRPr="008C2868" w:rsidRDefault="00B46EF1" w:rsidP="008C2868">
      <w:pPr>
        <w:spacing w:line="360" w:lineRule="auto"/>
        <w:rPr>
          <w:rFonts w:ascii="Avenir LT 45 Book" w:eastAsia="Calibri" w:hAnsi="Avenir LT 45 Book"/>
          <w:i/>
          <w:sz w:val="20"/>
        </w:rPr>
      </w:pPr>
      <w:r w:rsidRPr="008C2868">
        <w:rPr>
          <w:rFonts w:ascii="Avenir LT 45 Book" w:eastAsia="Calibri" w:hAnsi="Avenir LT 45 Book"/>
          <w:i/>
          <w:sz w:val="20"/>
        </w:rPr>
        <w:t>Three buffer areas around the Port have been identified; Area1, Area 2 and Area 3. For the purposes of these Guidelines these areas will be known as Buffer Area 1, Buffer Area 2 and Buffer Area 3.  The buffer areas relevant to the Plympton Precinct are Buffer Area 2 and 3 (refer figure 23).</w:t>
      </w:r>
    </w:p>
    <w:p w14:paraId="784D8DE2" w14:textId="77777777" w:rsidR="00B46EF1" w:rsidRPr="008C2868" w:rsidRDefault="00B46EF1" w:rsidP="008C2868">
      <w:pPr>
        <w:spacing w:line="360" w:lineRule="auto"/>
        <w:rPr>
          <w:rFonts w:ascii="Avenir LT 45 Book" w:eastAsia="Calibri" w:hAnsi="Avenir LT 45 Book"/>
          <w:i/>
          <w:sz w:val="20"/>
        </w:rPr>
      </w:pPr>
      <w:r w:rsidRPr="008C2868">
        <w:rPr>
          <w:rFonts w:ascii="Avenir LT 45 Book" w:eastAsia="Calibri" w:hAnsi="Avenir LT 45 Book"/>
          <w:i/>
          <w:sz w:val="20"/>
        </w:rPr>
        <w:lastRenderedPageBreak/>
        <w:t>For buildings within Buffer Area 2 consideration is given to the following potential impacts:</w:t>
      </w:r>
    </w:p>
    <w:p w14:paraId="52490CE3" w14:textId="77777777" w:rsidR="00B46EF1" w:rsidRPr="008C2868" w:rsidRDefault="00B46EF1" w:rsidP="002A3889">
      <w:pPr>
        <w:pStyle w:val="ListParagraph"/>
        <w:numPr>
          <w:ilvl w:val="0"/>
          <w:numId w:val="368"/>
        </w:numPr>
        <w:spacing w:line="360" w:lineRule="auto"/>
        <w:rPr>
          <w:rFonts w:ascii="Avenir LT 45 Book" w:eastAsia="Calibri" w:hAnsi="Avenir LT 45 Book"/>
          <w:i/>
          <w:sz w:val="20"/>
        </w:rPr>
      </w:pPr>
      <w:r w:rsidRPr="008C2868">
        <w:rPr>
          <w:rFonts w:ascii="Avenir LT 45 Book" w:eastAsia="Calibri" w:hAnsi="Avenir LT 45 Book"/>
          <w:i/>
          <w:sz w:val="20"/>
        </w:rPr>
        <w:t xml:space="preserve">Ingress of toxic gases in the event of an incident within the </w:t>
      </w:r>
      <w:proofErr w:type="gramStart"/>
      <w:r w:rsidRPr="008C2868">
        <w:rPr>
          <w:rFonts w:ascii="Avenir LT 45 Book" w:eastAsia="Calibri" w:hAnsi="Avenir LT 45 Book"/>
          <w:i/>
          <w:sz w:val="20"/>
        </w:rPr>
        <w:t>Port;</w:t>
      </w:r>
      <w:proofErr w:type="gramEnd"/>
    </w:p>
    <w:p w14:paraId="57804EFC" w14:textId="77777777" w:rsidR="00B46EF1" w:rsidRPr="008C2868" w:rsidRDefault="00B46EF1" w:rsidP="002A3889">
      <w:pPr>
        <w:pStyle w:val="ListParagraph"/>
        <w:numPr>
          <w:ilvl w:val="0"/>
          <w:numId w:val="368"/>
        </w:numPr>
        <w:spacing w:line="360" w:lineRule="auto"/>
        <w:rPr>
          <w:rFonts w:ascii="Avenir LT 45 Book" w:eastAsia="Calibri" w:hAnsi="Avenir LT 45 Book"/>
          <w:i/>
          <w:sz w:val="20"/>
        </w:rPr>
      </w:pPr>
      <w:r w:rsidRPr="008C2868">
        <w:rPr>
          <w:rFonts w:ascii="Avenir LT 45 Book" w:eastAsia="Calibri" w:hAnsi="Avenir LT 45 Book"/>
          <w:i/>
          <w:sz w:val="20"/>
        </w:rPr>
        <w:t xml:space="preserve">Shattering or flying glass as a consequence of explosion within the </w:t>
      </w:r>
      <w:proofErr w:type="gramStart"/>
      <w:r w:rsidRPr="008C2868">
        <w:rPr>
          <w:rFonts w:ascii="Avenir LT 45 Book" w:eastAsia="Calibri" w:hAnsi="Avenir LT 45 Book"/>
          <w:i/>
          <w:sz w:val="20"/>
        </w:rPr>
        <w:t>Port;</w:t>
      </w:r>
      <w:proofErr w:type="gramEnd"/>
    </w:p>
    <w:p w14:paraId="7062F050" w14:textId="77777777" w:rsidR="00B46EF1" w:rsidRPr="008C2868" w:rsidRDefault="00B46EF1" w:rsidP="002A3889">
      <w:pPr>
        <w:pStyle w:val="ListParagraph"/>
        <w:numPr>
          <w:ilvl w:val="0"/>
          <w:numId w:val="368"/>
        </w:numPr>
        <w:spacing w:line="360" w:lineRule="auto"/>
        <w:rPr>
          <w:rFonts w:ascii="Avenir LT 45 Book" w:eastAsia="Calibri" w:hAnsi="Avenir LT 45 Book"/>
          <w:i/>
          <w:sz w:val="20"/>
        </w:rPr>
      </w:pPr>
      <w:r w:rsidRPr="008C2868">
        <w:rPr>
          <w:rFonts w:ascii="Avenir LT 45 Book" w:eastAsia="Calibri" w:hAnsi="Avenir LT 45 Book"/>
          <w:i/>
          <w:sz w:val="20"/>
        </w:rPr>
        <w:t>Noise transmission emanating from the Port (attenuation in the order of 30dB(A) is required; and,</w:t>
      </w:r>
    </w:p>
    <w:p w14:paraId="1EAA13F1" w14:textId="77777777" w:rsidR="00B46EF1" w:rsidRPr="008C2868" w:rsidRDefault="00B46EF1" w:rsidP="002A3889">
      <w:pPr>
        <w:pStyle w:val="ListParagraph"/>
        <w:numPr>
          <w:ilvl w:val="0"/>
          <w:numId w:val="368"/>
        </w:numPr>
        <w:spacing w:line="360" w:lineRule="auto"/>
        <w:rPr>
          <w:rFonts w:ascii="Avenir LT 45 Book" w:eastAsia="Calibri" w:hAnsi="Avenir LT 45 Book"/>
          <w:i/>
          <w:sz w:val="20"/>
        </w:rPr>
      </w:pPr>
      <w:r w:rsidRPr="008C2868">
        <w:rPr>
          <w:rFonts w:ascii="Avenir LT 45 Book" w:eastAsia="Calibri" w:hAnsi="Avenir LT 45 Book"/>
          <w:i/>
          <w:sz w:val="20"/>
        </w:rPr>
        <w:t>Odour.</w:t>
      </w:r>
    </w:p>
    <w:p w14:paraId="7DCBC729" w14:textId="77777777" w:rsidR="00B46EF1" w:rsidRPr="008C2868" w:rsidRDefault="00B46EF1" w:rsidP="00A766F0">
      <w:pPr>
        <w:spacing w:after="0" w:line="360" w:lineRule="auto"/>
        <w:rPr>
          <w:rFonts w:ascii="Avenir LT 45 Book" w:eastAsia="Calibri" w:hAnsi="Avenir LT 45 Book"/>
          <w:i/>
          <w:sz w:val="20"/>
        </w:rPr>
      </w:pPr>
      <w:proofErr w:type="gramStart"/>
      <w:r w:rsidRPr="008C2868">
        <w:rPr>
          <w:rFonts w:ascii="Avenir LT 45 Book" w:eastAsia="Calibri" w:hAnsi="Avenir LT 45 Book"/>
          <w:i/>
          <w:sz w:val="20"/>
        </w:rPr>
        <w:t>Generally</w:t>
      </w:r>
      <w:proofErr w:type="gramEnd"/>
      <w:r w:rsidRPr="008C2868">
        <w:rPr>
          <w:rFonts w:ascii="Avenir LT 45 Book" w:eastAsia="Calibri" w:hAnsi="Avenir LT 45 Book"/>
          <w:i/>
          <w:sz w:val="20"/>
        </w:rPr>
        <w:t xml:space="preserve"> the potential risk and amenity impacts from the Port are considerably less in Buffer Area 3. Nevertheless, the Fremantle Inner Harbour Buffer Definition Study has identified the potential for some noise and odour impacts in this area.</w:t>
      </w:r>
    </w:p>
    <w:p w14:paraId="0DA45C18" w14:textId="77777777" w:rsidR="00B46EF1" w:rsidRPr="008C2868" w:rsidRDefault="00B46EF1" w:rsidP="00A766F0">
      <w:pPr>
        <w:spacing w:after="0" w:line="360" w:lineRule="auto"/>
        <w:rPr>
          <w:rFonts w:ascii="Avenir LT 45 Book" w:eastAsia="Calibri" w:hAnsi="Avenir LT 45 Book"/>
          <w:i/>
          <w:sz w:val="20"/>
        </w:rPr>
      </w:pPr>
      <w:r w:rsidRPr="008C2868">
        <w:rPr>
          <w:rFonts w:ascii="Avenir LT 45 Book" w:eastAsia="Calibri" w:hAnsi="Avenir LT 45 Book"/>
          <w:i/>
          <w:sz w:val="20"/>
        </w:rPr>
        <w:t>The intent of Buffer Area 3 is the management, as opposed to the control, of sensitive uses.</w:t>
      </w:r>
    </w:p>
    <w:p w14:paraId="756DC348" w14:textId="77777777" w:rsidR="00B46EF1" w:rsidRDefault="00B46EF1" w:rsidP="00B46EF1">
      <w:r>
        <w:rPr>
          <w:noProof/>
          <w:lang w:eastAsia="en-AU"/>
        </w:rPr>
        <w:drawing>
          <wp:inline distT="0" distB="0" distL="0" distR="0" wp14:anchorId="5842D734" wp14:editId="1746BEAF">
            <wp:extent cx="2524125" cy="1800225"/>
            <wp:effectExtent l="19050" t="0" r="9525" b="0"/>
            <wp:docPr id="88" name="Picture 25" descr="Z:\2011 JOBS\11206-EAST FREMANTLE GUIDELINES\11206-PHOTOS\PROCESSED\PLYMPTON\HUBBLE STR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2011 JOBS\11206-EAST FREMANTLE GUIDELINES\11206-PHOTOS\PROCESSED\PLYMPTON\HUBBLE STREET 1.jpg"/>
                    <pic:cNvPicPr>
                      <a:picLocks noChangeAspect="1" noChangeArrowheads="1"/>
                    </pic:cNvPicPr>
                  </pic:nvPicPr>
                  <pic:blipFill>
                    <a:blip r:embed="rId237"/>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100DFC6B" wp14:editId="03995B3C">
            <wp:extent cx="2524125" cy="1800225"/>
            <wp:effectExtent l="19050" t="0" r="9525" b="0"/>
            <wp:docPr id="89" name="Picture 26" descr="Z:\2011 JOBS\11206-EAST FREMANTLE GUIDELINES\11206-PHOTOS\PROCESSED\PLYMPTON\CANNING HIGH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2011 JOBS\11206-EAST FREMANTLE GUIDELINES\11206-PHOTOS\PROCESSED\PLYMPTON\CANNING HIGHWAY.jpg"/>
                    <pic:cNvPicPr>
                      <a:picLocks noChangeAspect="1" noChangeArrowheads="1"/>
                    </pic:cNvPicPr>
                  </pic:nvPicPr>
                  <pic:blipFill>
                    <a:blip r:embed="rId238"/>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0EE994B3" w14:textId="77777777" w:rsidR="00B46EF1" w:rsidRPr="00A766F0" w:rsidRDefault="00B46EF1" w:rsidP="00A766F0">
      <w:pPr>
        <w:spacing w:before="120"/>
        <w:rPr>
          <w:rFonts w:ascii="Avenir LT 65 Medium" w:hAnsi="Avenir LT 65 Medium"/>
        </w:rPr>
      </w:pPr>
      <w:r w:rsidRPr="00842387">
        <w:rPr>
          <w:noProof/>
          <w:lang w:eastAsia="en-AU"/>
        </w:rPr>
        <w:lastRenderedPageBreak/>
        <w:drawing>
          <wp:inline distT="0" distB="0" distL="0" distR="0" wp14:anchorId="2D4DAF6A" wp14:editId="184F4C34">
            <wp:extent cx="4098376" cy="5688330"/>
            <wp:effectExtent l="19050" t="0" r="0" b="0"/>
            <wp:docPr id="218" name="Picture 11" descr="11206-BUFFER ZONE WOODSID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6-BUFFER ZONE WOODSIDE.eps"/>
                    <pic:cNvPicPr/>
                  </pic:nvPicPr>
                  <pic:blipFill>
                    <a:blip r:embed="rId239" cstate="print"/>
                    <a:stretch>
                      <a:fillRect/>
                    </a:stretch>
                  </pic:blipFill>
                  <pic:spPr>
                    <a:xfrm>
                      <a:off x="0" y="0"/>
                      <a:ext cx="4098376" cy="5688330"/>
                    </a:xfrm>
                    <a:prstGeom prst="rect">
                      <a:avLst/>
                    </a:prstGeom>
                  </pic:spPr>
                </pic:pic>
              </a:graphicData>
            </a:graphic>
          </wp:inline>
        </w:drawing>
      </w:r>
      <w:r w:rsidR="00A766F0">
        <w:rPr>
          <w:rFonts w:ascii="Avenir LT 65 Medium" w:hAnsi="Avenir LT 65 Medium"/>
        </w:rPr>
        <w:t>F</w:t>
      </w:r>
      <w:r w:rsidRPr="00842387">
        <w:rPr>
          <w:rFonts w:ascii="Avenir LT 65 Medium" w:hAnsi="Avenir LT 65 Medium"/>
        </w:rPr>
        <w:t>igure 23</w:t>
      </w:r>
      <w:r w:rsidRPr="00842387">
        <w:t xml:space="preserve">- </w:t>
      </w:r>
      <w:r w:rsidRPr="008C2868">
        <w:rPr>
          <w:rFonts w:ascii="Avenir LT 45 Book" w:eastAsia="Calibri" w:hAnsi="Avenir LT 45 Book"/>
          <w:sz w:val="20"/>
        </w:rPr>
        <w:t xml:space="preserve">Fremantle Port Buffer Zone Area 2 and Area 3 affecting the Plympton Precinct.  </w:t>
      </w:r>
      <w:r w:rsidRPr="008C2868">
        <w:rPr>
          <w:rFonts w:ascii="Avenir LT 45 Book" w:eastAsia="Calibri" w:hAnsi="Avenir LT 45 Book"/>
          <w:i/>
          <w:sz w:val="20"/>
        </w:rPr>
        <w:t>Griffiths Architects 2011</w:t>
      </w:r>
      <w:r w:rsidRPr="008C2868">
        <w:rPr>
          <w:rFonts w:ascii="Avenir LT 45 Book" w:eastAsia="Calibri" w:hAnsi="Avenir LT 45 Book"/>
          <w:sz w:val="20"/>
        </w:rPr>
        <w:t xml:space="preserve"> </w:t>
      </w:r>
    </w:p>
    <w:p w14:paraId="31FA4E1A" w14:textId="77777777" w:rsidR="00B46EF1" w:rsidRDefault="00B46EF1" w:rsidP="00B46EF1">
      <w:pPr>
        <w:pStyle w:val="Heading5"/>
        <w:spacing w:before="360"/>
        <w:ind w:left="1418" w:hanging="1418"/>
      </w:pPr>
      <w:r>
        <w:t>3.7.16.4.3.2</w:t>
      </w:r>
      <w:r>
        <w:tab/>
        <w:t>Desired Development Outcomes</w:t>
      </w:r>
    </w:p>
    <w:p w14:paraId="6A930253" w14:textId="77777777" w:rsidR="00B46EF1" w:rsidRPr="008C2868" w:rsidRDefault="00B46EF1" w:rsidP="002A3889">
      <w:pPr>
        <w:pStyle w:val="ListParagraph"/>
        <w:numPr>
          <w:ilvl w:val="0"/>
          <w:numId w:val="188"/>
        </w:numPr>
        <w:spacing w:line="360" w:lineRule="auto"/>
        <w:ind w:left="714" w:hanging="357"/>
        <w:contextualSpacing w:val="0"/>
        <w:rPr>
          <w:rFonts w:ascii="Avenir LT 45 Book" w:eastAsia="Calibri" w:hAnsi="Avenir LT 45 Book" w:cs="Times New Roman"/>
          <w:sz w:val="20"/>
        </w:rPr>
      </w:pPr>
      <w:r w:rsidRPr="008C2868">
        <w:rPr>
          <w:rFonts w:ascii="Avenir LT 45 Book" w:eastAsia="Calibri" w:hAnsi="Avenir LT 45 Book" w:cs="Times New Roman"/>
          <w:sz w:val="20"/>
        </w:rPr>
        <w:t xml:space="preserve">To minimise potential impacts that may arise from the </w:t>
      </w:r>
      <w:proofErr w:type="gramStart"/>
      <w:r w:rsidRPr="008C2868">
        <w:rPr>
          <w:rFonts w:ascii="Avenir LT 45 Book" w:eastAsia="Calibri" w:hAnsi="Avenir LT 45 Book" w:cs="Times New Roman"/>
          <w:sz w:val="20"/>
        </w:rPr>
        <w:t>Port;</w:t>
      </w:r>
      <w:proofErr w:type="gramEnd"/>
    </w:p>
    <w:p w14:paraId="24CD23EA" w14:textId="77777777" w:rsidR="00B46EF1" w:rsidRPr="008C2868" w:rsidRDefault="00B46EF1" w:rsidP="002A3889">
      <w:pPr>
        <w:pStyle w:val="ListParagraph"/>
        <w:numPr>
          <w:ilvl w:val="0"/>
          <w:numId w:val="188"/>
        </w:numPr>
        <w:spacing w:line="360" w:lineRule="auto"/>
        <w:ind w:left="714" w:hanging="357"/>
        <w:contextualSpacing w:val="0"/>
        <w:rPr>
          <w:rFonts w:ascii="Avenir LT 45 Book" w:eastAsia="Calibri" w:hAnsi="Avenir LT 45 Book" w:cs="Times New Roman"/>
          <w:sz w:val="20"/>
        </w:rPr>
      </w:pPr>
      <w:r w:rsidRPr="008C2868">
        <w:rPr>
          <w:rFonts w:ascii="Avenir LT 45 Book" w:eastAsia="Calibri" w:hAnsi="Avenir LT 45 Book" w:cs="Times New Roman"/>
          <w:sz w:val="20"/>
        </w:rPr>
        <w:t>To define separate land use and built form requirements for each buffer area; and,</w:t>
      </w:r>
    </w:p>
    <w:p w14:paraId="6CE781DA" w14:textId="77777777" w:rsidR="00B46EF1" w:rsidRPr="008C2868" w:rsidRDefault="00B46EF1" w:rsidP="002A3889">
      <w:pPr>
        <w:pStyle w:val="ListParagraph"/>
        <w:numPr>
          <w:ilvl w:val="0"/>
          <w:numId w:val="188"/>
        </w:numPr>
        <w:spacing w:line="360" w:lineRule="auto"/>
        <w:ind w:left="714" w:hanging="357"/>
        <w:contextualSpacing w:val="0"/>
        <w:rPr>
          <w:rFonts w:ascii="Avenir LT 45 Book" w:eastAsia="Calibri" w:hAnsi="Avenir LT 45 Book" w:cs="Times New Roman"/>
          <w:sz w:val="20"/>
        </w:rPr>
      </w:pPr>
      <w:r w:rsidRPr="008C2868">
        <w:rPr>
          <w:rFonts w:ascii="Avenir LT 45 Book" w:eastAsia="Calibri" w:hAnsi="Avenir LT 45 Book" w:cs="Times New Roman"/>
          <w:sz w:val="20"/>
        </w:rPr>
        <w:t>To manage sensitive uses.</w:t>
      </w:r>
    </w:p>
    <w:p w14:paraId="086D6ABB" w14:textId="77777777" w:rsidR="00B46EF1" w:rsidRDefault="00B46EF1" w:rsidP="00B46EF1">
      <w:pPr>
        <w:pStyle w:val="Heading5"/>
        <w:ind w:left="1418" w:hanging="1418"/>
      </w:pPr>
      <w:r>
        <w:t>3.7.16.4.3.3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10"/>
        <w:gridCol w:w="4516"/>
      </w:tblGrid>
      <w:tr w:rsidR="00B46EF1" w:rsidRPr="00842387" w14:paraId="1B2CEF31" w14:textId="77777777" w:rsidTr="008048CE">
        <w:tc>
          <w:tcPr>
            <w:tcW w:w="4621" w:type="dxa"/>
            <w:tcBorders>
              <w:bottom w:val="single" w:sz="4" w:space="0" w:color="auto"/>
            </w:tcBorders>
          </w:tcPr>
          <w:p w14:paraId="68A43603"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Borders>
              <w:bottom w:val="single" w:sz="4" w:space="0" w:color="auto"/>
            </w:tcBorders>
          </w:tcPr>
          <w:p w14:paraId="7EB90620" w14:textId="77777777" w:rsidR="00B46EF1" w:rsidRDefault="00B46EF1" w:rsidP="008048CE">
            <w:r w:rsidRPr="00842387">
              <w:rPr>
                <w:rFonts w:ascii="Avenir LT 65 Medium" w:hAnsi="Avenir LT 65 Medium"/>
              </w:rPr>
              <w:t>Acceptable Development Provisions</w:t>
            </w:r>
          </w:p>
        </w:tc>
      </w:tr>
      <w:tr w:rsidR="00B46EF1" w:rsidRPr="00842387" w14:paraId="4F57FFD3" w14:textId="77777777" w:rsidTr="008048CE">
        <w:tc>
          <w:tcPr>
            <w:tcW w:w="4621" w:type="dxa"/>
            <w:tcBorders>
              <w:top w:val="single" w:sz="4" w:space="0" w:color="auto"/>
            </w:tcBorders>
          </w:tcPr>
          <w:p w14:paraId="25E0DE21" w14:textId="77777777" w:rsidR="00B46EF1" w:rsidRDefault="00B46EF1" w:rsidP="002A3889">
            <w:pPr>
              <w:pStyle w:val="ListParagraph"/>
              <w:numPr>
                <w:ilvl w:val="0"/>
                <w:numId w:val="189"/>
              </w:numPr>
              <w:spacing w:before="120" w:line="360" w:lineRule="auto"/>
              <w:ind w:left="567" w:hanging="504"/>
              <w:contextualSpacing w:val="0"/>
              <w:rPr>
                <w:rFonts w:ascii="Avenir LT 65 Medium" w:hAnsi="Avenir LT 65 Medium"/>
              </w:rPr>
            </w:pPr>
            <w:r w:rsidRPr="008C2868">
              <w:rPr>
                <w:rFonts w:ascii="Avenir LT 45 Book" w:eastAsia="Calibri" w:hAnsi="Avenir LT 45 Book" w:cs="Times New Roman"/>
                <w:sz w:val="20"/>
              </w:rPr>
              <w:t>Buffer Area 2 built form requirements shall apply to all residential development other than alterations and additions to existing dwellings</w:t>
            </w:r>
            <w:r w:rsidRPr="00842387">
              <w:t>.</w:t>
            </w:r>
          </w:p>
        </w:tc>
        <w:tc>
          <w:tcPr>
            <w:tcW w:w="4621" w:type="dxa"/>
            <w:tcBorders>
              <w:top w:val="single" w:sz="4" w:space="0" w:color="auto"/>
            </w:tcBorders>
          </w:tcPr>
          <w:p w14:paraId="3EB65BB9" w14:textId="77777777" w:rsidR="00B46EF1" w:rsidRDefault="00B46EF1" w:rsidP="008048CE">
            <w:pPr>
              <w:pStyle w:val="ListParagraph"/>
              <w:spacing w:before="120"/>
              <w:ind w:left="624" w:hanging="624"/>
              <w:contextualSpacing w:val="0"/>
            </w:pPr>
            <w:r w:rsidRPr="00705C2E">
              <w:rPr>
                <w:rFonts w:ascii="Avenir LT 85 Heavy" w:hAnsi="Avenir LT 85 Heavy"/>
                <w:b/>
              </w:rPr>
              <w:t>A1</w:t>
            </w:r>
            <w:r>
              <w:rPr>
                <w:rFonts w:ascii="Avenir LT 85 Heavy" w:hAnsi="Avenir LT 85 Heavy"/>
                <w:b/>
              </w:rPr>
              <w:tab/>
            </w:r>
            <w:r w:rsidRPr="008C2868">
              <w:rPr>
                <w:rFonts w:ascii="Avenir LT 45 Book" w:eastAsia="Calibri" w:hAnsi="Avenir LT 45 Book" w:cs="Times New Roman"/>
                <w:sz w:val="20"/>
              </w:rPr>
              <w:t>Buffer Area 2 built form requirements</w:t>
            </w:r>
          </w:p>
          <w:p w14:paraId="74E9A9D6" w14:textId="77777777" w:rsidR="00B46EF1" w:rsidRPr="008C2868" w:rsidRDefault="00B46EF1" w:rsidP="002A3889">
            <w:pPr>
              <w:pStyle w:val="ListParagraph"/>
              <w:numPr>
                <w:ilvl w:val="0"/>
                <w:numId w:val="191"/>
              </w:numPr>
              <w:spacing w:line="360" w:lineRule="auto"/>
              <w:ind w:left="624" w:hanging="264"/>
              <w:contextualSpacing w:val="0"/>
              <w:rPr>
                <w:rFonts w:ascii="Avenir LT 45 Book" w:eastAsia="Calibri" w:hAnsi="Avenir LT 45 Book" w:cs="Times New Roman"/>
                <w:sz w:val="20"/>
              </w:rPr>
            </w:pPr>
            <w:r w:rsidRPr="008C2868">
              <w:rPr>
                <w:rFonts w:ascii="Avenir LT 45 Book" w:eastAsia="Calibri" w:hAnsi="Avenir LT 45 Book" w:cs="Times New Roman"/>
                <w:sz w:val="20"/>
              </w:rPr>
              <w:t>Windows and opening requirements:</w:t>
            </w:r>
          </w:p>
          <w:p w14:paraId="43256A95" w14:textId="77777777" w:rsidR="00B46EF1" w:rsidRPr="008C2868" w:rsidRDefault="00B46EF1" w:rsidP="002A3889">
            <w:pPr>
              <w:pStyle w:val="ListParagraph"/>
              <w:numPr>
                <w:ilvl w:val="0"/>
                <w:numId w:val="191"/>
              </w:numPr>
              <w:spacing w:line="360" w:lineRule="auto"/>
              <w:ind w:left="624" w:hanging="264"/>
              <w:contextualSpacing w:val="0"/>
              <w:rPr>
                <w:rFonts w:ascii="Avenir LT 45 Book" w:eastAsia="Calibri" w:hAnsi="Avenir LT 45 Book" w:cs="Times New Roman"/>
                <w:sz w:val="20"/>
              </w:rPr>
            </w:pPr>
            <w:r w:rsidRPr="008C2868">
              <w:rPr>
                <w:rFonts w:ascii="Avenir LT 45 Book" w:eastAsia="Calibri" w:hAnsi="Avenir LT 45 Book" w:cs="Times New Roman"/>
                <w:sz w:val="20"/>
              </w:rPr>
              <w:lastRenderedPageBreak/>
              <w:t>Any glass used for windows or other openings shall be laminated safety glass of minimum thickness of 6mm or “double glazed” utilising laminated or toughened safety glass of a minimum thickness of 3mm; and,</w:t>
            </w:r>
          </w:p>
          <w:p w14:paraId="0D76A914" w14:textId="77777777" w:rsidR="00B46EF1" w:rsidRPr="008C2868" w:rsidRDefault="00B46EF1" w:rsidP="002A3889">
            <w:pPr>
              <w:pStyle w:val="ListParagraph"/>
              <w:numPr>
                <w:ilvl w:val="0"/>
                <w:numId w:val="191"/>
              </w:numPr>
              <w:spacing w:line="360" w:lineRule="auto"/>
              <w:ind w:left="624" w:hanging="264"/>
              <w:contextualSpacing w:val="0"/>
              <w:rPr>
                <w:rFonts w:ascii="Avenir LT 45 Book" w:eastAsia="Calibri" w:hAnsi="Avenir LT 45 Book" w:cs="Times New Roman"/>
                <w:sz w:val="20"/>
              </w:rPr>
            </w:pPr>
            <w:r w:rsidRPr="008C2868">
              <w:rPr>
                <w:rFonts w:ascii="Avenir LT 45 Book" w:eastAsia="Calibri" w:hAnsi="Avenir LT 45 Book" w:cs="Times New Roman"/>
                <w:sz w:val="20"/>
              </w:rPr>
              <w:t>All safety glass shall be manufactured and installed to an appropriate Australian Standard.</w:t>
            </w:r>
          </w:p>
          <w:p w14:paraId="1C411AAB" w14:textId="77777777" w:rsidR="00B46EF1" w:rsidRPr="008C2868" w:rsidRDefault="00B46EF1" w:rsidP="002A3889">
            <w:pPr>
              <w:pStyle w:val="ListParagraph"/>
              <w:numPr>
                <w:ilvl w:val="0"/>
                <w:numId w:val="191"/>
              </w:numPr>
              <w:spacing w:line="360" w:lineRule="auto"/>
              <w:ind w:left="624" w:hanging="264"/>
              <w:contextualSpacing w:val="0"/>
              <w:rPr>
                <w:rFonts w:ascii="Avenir LT 45 Book" w:eastAsia="Calibri" w:hAnsi="Avenir LT 45 Book" w:cs="Times New Roman"/>
                <w:sz w:val="20"/>
              </w:rPr>
            </w:pPr>
            <w:r w:rsidRPr="008C2868">
              <w:rPr>
                <w:rFonts w:ascii="Avenir LT 45 Book" w:eastAsia="Calibri" w:hAnsi="Avenir LT 45 Book" w:cs="Times New Roman"/>
                <w:sz w:val="20"/>
              </w:rPr>
              <w:t>Air Conditioning Requirements:</w:t>
            </w:r>
          </w:p>
          <w:p w14:paraId="08A8C0A8" w14:textId="77777777" w:rsidR="00B46EF1" w:rsidRPr="008C2868" w:rsidRDefault="00B46EF1" w:rsidP="008C2868">
            <w:pPr>
              <w:spacing w:line="360" w:lineRule="auto"/>
              <w:ind w:left="624" w:hanging="283"/>
              <w:rPr>
                <w:rFonts w:ascii="Avenir LT 45 Book" w:eastAsia="Calibri" w:hAnsi="Avenir LT 45 Book"/>
                <w:sz w:val="20"/>
              </w:rPr>
            </w:pPr>
            <w:r w:rsidRPr="002A1F8D">
              <w:rPr>
                <w:rFonts w:ascii="Avenir LT 45 Book" w:eastAsia="Calibri" w:hAnsi="Avenir LT 45 Book"/>
                <w:sz w:val="20"/>
              </w:rPr>
              <w:t>(a)</w:t>
            </w:r>
            <w:r>
              <w:tab/>
            </w:r>
            <w:r w:rsidRPr="008C2868">
              <w:rPr>
                <w:rFonts w:ascii="Avenir LT 45 Book" w:eastAsia="Calibri" w:hAnsi="Avenir LT 45 Book"/>
                <w:sz w:val="20"/>
              </w:rPr>
              <w:t>Multiple systems to have internally centrally located shut down point and associated procedures for emergency use; and,</w:t>
            </w:r>
          </w:p>
          <w:p w14:paraId="4CF398CA" w14:textId="77777777" w:rsidR="00B46EF1" w:rsidRDefault="00B46EF1" w:rsidP="008C2868">
            <w:pPr>
              <w:spacing w:line="360" w:lineRule="auto"/>
              <w:ind w:left="624" w:hanging="283"/>
            </w:pPr>
            <w:r w:rsidRPr="008C2868">
              <w:rPr>
                <w:rFonts w:ascii="Avenir LT 45 Book" w:eastAsia="Calibri" w:hAnsi="Avenir LT 45 Book"/>
                <w:sz w:val="20"/>
              </w:rPr>
              <w:t>(b)</w:t>
            </w:r>
            <w:r w:rsidRPr="008C2868">
              <w:rPr>
                <w:rFonts w:ascii="Avenir LT 45 Book" w:eastAsia="Calibri" w:hAnsi="Avenir LT 45 Book"/>
                <w:sz w:val="20"/>
              </w:rPr>
              <w:tab/>
              <w:t>Preference for split</w:t>
            </w:r>
            <w:r w:rsidRPr="00842387">
              <w:t xml:space="preserve"> “</w:t>
            </w:r>
            <w:r w:rsidRPr="008C2868">
              <w:rPr>
                <w:rFonts w:ascii="Avenir LT 45 Book" w:eastAsia="Calibri" w:hAnsi="Avenir LT 45 Book"/>
                <w:sz w:val="20"/>
              </w:rPr>
              <w:t>refrigerative” systems.</w:t>
            </w:r>
          </w:p>
          <w:p w14:paraId="38395A38" w14:textId="77777777" w:rsidR="00B46EF1" w:rsidRPr="008C2868" w:rsidRDefault="00B46EF1" w:rsidP="002A3889">
            <w:pPr>
              <w:pStyle w:val="ListParagraph"/>
              <w:numPr>
                <w:ilvl w:val="0"/>
                <w:numId w:val="191"/>
              </w:numPr>
              <w:spacing w:line="360" w:lineRule="auto"/>
              <w:ind w:left="624" w:hanging="264"/>
              <w:contextualSpacing w:val="0"/>
              <w:rPr>
                <w:rFonts w:ascii="Avenir LT 45 Book" w:eastAsia="Calibri" w:hAnsi="Avenir LT 45 Book" w:cs="Times New Roman"/>
                <w:sz w:val="20"/>
              </w:rPr>
            </w:pPr>
            <w:r w:rsidRPr="008C2868">
              <w:rPr>
                <w:rFonts w:ascii="Avenir LT 45 Book" w:eastAsia="Calibri" w:hAnsi="Avenir LT 45 Book" w:cs="Times New Roman"/>
                <w:sz w:val="20"/>
              </w:rPr>
              <w:t>Construction requirements:</w:t>
            </w:r>
          </w:p>
          <w:p w14:paraId="0B46F236" w14:textId="77777777" w:rsidR="00B46EF1" w:rsidRPr="008C2868" w:rsidRDefault="00B46EF1" w:rsidP="008C2868">
            <w:pPr>
              <w:spacing w:line="360" w:lineRule="auto"/>
              <w:ind w:left="624" w:hanging="283"/>
              <w:rPr>
                <w:rFonts w:ascii="Avenir LT 45 Book" w:eastAsia="Calibri" w:hAnsi="Avenir LT 45 Book"/>
                <w:sz w:val="20"/>
              </w:rPr>
            </w:pPr>
            <w:r w:rsidRPr="002A1F8D">
              <w:rPr>
                <w:rFonts w:ascii="Avenir LT 45 Book" w:eastAsia="Calibri" w:hAnsi="Avenir LT 45 Book"/>
                <w:sz w:val="20"/>
              </w:rPr>
              <w:t>(a)</w:t>
            </w:r>
            <w:r w:rsidRPr="002A1F8D">
              <w:rPr>
                <w:rFonts w:ascii="Avenir LT 45 Book" w:eastAsia="Calibri" w:hAnsi="Avenir LT 45 Book"/>
                <w:sz w:val="20"/>
              </w:rPr>
              <w:tab/>
            </w:r>
            <w:r w:rsidRPr="008C2868">
              <w:rPr>
                <w:rFonts w:ascii="Avenir LT 45 Book" w:eastAsia="Calibri" w:hAnsi="Avenir LT 45 Book"/>
                <w:sz w:val="20"/>
              </w:rPr>
              <w:t>Adopt the general principles of quiet house design for residential developments; and,</w:t>
            </w:r>
          </w:p>
          <w:p w14:paraId="3BC6A941" w14:textId="77777777" w:rsidR="00B46EF1" w:rsidRDefault="00B46EF1" w:rsidP="002A1F8D">
            <w:pPr>
              <w:spacing w:after="120" w:line="360" w:lineRule="auto"/>
              <w:ind w:left="624" w:hanging="284"/>
            </w:pPr>
            <w:r w:rsidRPr="008C2868">
              <w:rPr>
                <w:rFonts w:ascii="Avenir LT 45 Book" w:eastAsia="Calibri" w:hAnsi="Avenir LT 45 Book"/>
                <w:sz w:val="20"/>
              </w:rPr>
              <w:t>(b)</w:t>
            </w:r>
            <w:r w:rsidRPr="008C2868">
              <w:rPr>
                <w:rFonts w:ascii="Avenir LT 45 Book" w:eastAsia="Calibri" w:hAnsi="Avenir LT 45 Book"/>
                <w:sz w:val="20"/>
              </w:rPr>
              <w:tab/>
              <w:t>All developments shall incorporate roof insulation.</w:t>
            </w:r>
          </w:p>
        </w:tc>
      </w:tr>
      <w:tr w:rsidR="00B46EF1" w:rsidRPr="00842387" w14:paraId="2087B0C0" w14:textId="77777777" w:rsidTr="008048CE">
        <w:tc>
          <w:tcPr>
            <w:tcW w:w="4621" w:type="dxa"/>
          </w:tcPr>
          <w:p w14:paraId="7DFE19FD" w14:textId="77777777" w:rsidR="00B46EF1" w:rsidRDefault="00B46EF1" w:rsidP="002A3889">
            <w:pPr>
              <w:pStyle w:val="ListParagraph"/>
              <w:numPr>
                <w:ilvl w:val="0"/>
                <w:numId w:val="189"/>
              </w:numPr>
              <w:spacing w:line="360" w:lineRule="auto"/>
              <w:ind w:left="567" w:hanging="504"/>
              <w:contextualSpacing w:val="0"/>
              <w:rPr>
                <w:rFonts w:cs="Arial"/>
              </w:rPr>
            </w:pPr>
            <w:r w:rsidRPr="008C2868">
              <w:rPr>
                <w:rFonts w:ascii="Avenir LT 45 Book" w:eastAsia="Calibri" w:hAnsi="Avenir LT 45 Book" w:cs="Arial"/>
                <w:sz w:val="20"/>
              </w:rPr>
              <w:lastRenderedPageBreak/>
              <w:t>There are no general buffer-related development controls for Buffer Area 3.  However, where a specific location within this area is known to be impacted from port operations (</w:t>
            </w:r>
            <w:proofErr w:type="spellStart"/>
            <w:r w:rsidRPr="008C2868">
              <w:rPr>
                <w:rFonts w:ascii="Avenir LT 45 Book" w:eastAsia="Calibri" w:hAnsi="Avenir LT 45 Book" w:cs="Arial"/>
                <w:sz w:val="20"/>
              </w:rPr>
              <w:t>eg</w:t>
            </w:r>
            <w:proofErr w:type="spellEnd"/>
            <w:r w:rsidRPr="008C2868">
              <w:rPr>
                <w:rFonts w:ascii="Avenir LT 45 Book" w:eastAsia="Calibri" w:hAnsi="Avenir LT 45 Book" w:cs="Arial"/>
                <w:sz w:val="20"/>
              </w:rPr>
              <w:t xml:space="preserve"> through a history of formal complaints), Council may, in consultation with Fremantle Ports, apply some or </w:t>
            </w:r>
            <w:proofErr w:type="gramStart"/>
            <w:r w:rsidRPr="008C2868">
              <w:rPr>
                <w:rFonts w:ascii="Avenir LT 45 Book" w:eastAsia="Calibri" w:hAnsi="Avenir LT 45 Book" w:cs="Arial"/>
                <w:sz w:val="20"/>
              </w:rPr>
              <w:t>all of</w:t>
            </w:r>
            <w:proofErr w:type="gramEnd"/>
            <w:r w:rsidRPr="008C2868">
              <w:rPr>
                <w:rFonts w:ascii="Avenir LT 45 Book" w:eastAsia="Calibri" w:hAnsi="Avenir LT 45 Book" w:cs="Arial"/>
                <w:sz w:val="20"/>
              </w:rPr>
              <w:t xml:space="preserve"> the development controls of Buffer Area 2.</w:t>
            </w:r>
          </w:p>
        </w:tc>
        <w:tc>
          <w:tcPr>
            <w:tcW w:w="4621" w:type="dxa"/>
          </w:tcPr>
          <w:p w14:paraId="18380509" w14:textId="77777777" w:rsidR="00B46EF1" w:rsidRPr="008C2868" w:rsidRDefault="00B46EF1" w:rsidP="002A3889">
            <w:pPr>
              <w:pStyle w:val="ListParagraph"/>
              <w:numPr>
                <w:ilvl w:val="1"/>
                <w:numId w:val="192"/>
              </w:numPr>
              <w:spacing w:line="360" w:lineRule="auto"/>
              <w:ind w:left="624" w:hanging="624"/>
              <w:contextualSpacing w:val="0"/>
              <w:rPr>
                <w:rFonts w:ascii="Avenir LT 45 Book" w:eastAsia="Calibri" w:hAnsi="Avenir LT 45 Book" w:cs="Times New Roman"/>
                <w:sz w:val="20"/>
              </w:rPr>
            </w:pPr>
            <w:r w:rsidRPr="008C2868">
              <w:rPr>
                <w:rFonts w:ascii="Avenir LT 45 Book" w:eastAsia="Calibri" w:hAnsi="Avenir LT 45 Book" w:cs="Times New Roman"/>
                <w:sz w:val="20"/>
              </w:rPr>
              <w:t>Developments, additions and alterations must comply with the Fremantle Buffer Area requirements.</w:t>
            </w:r>
          </w:p>
          <w:p w14:paraId="3825E324" w14:textId="77777777" w:rsidR="00B46EF1" w:rsidRDefault="00B46EF1" w:rsidP="002A3889">
            <w:pPr>
              <w:pStyle w:val="ListParagraph"/>
              <w:numPr>
                <w:ilvl w:val="1"/>
                <w:numId w:val="192"/>
              </w:numPr>
              <w:spacing w:line="360" w:lineRule="auto"/>
              <w:ind w:left="624" w:hanging="567"/>
              <w:contextualSpacing w:val="0"/>
            </w:pPr>
            <w:r w:rsidRPr="008C2868">
              <w:rPr>
                <w:rFonts w:ascii="Avenir LT 45 Book" w:eastAsia="Calibri" w:hAnsi="Avenir LT 45 Book" w:cs="Times New Roman"/>
                <w:sz w:val="20"/>
              </w:rPr>
              <w:t>Council may accept alternative built form treatments subject to the applicant satisfactorily demonstrating fulfilment of the potential risk and amenity considerations outlined above. Alternative treatments shall be justified to Council through submission of professionally prepared and certified reports.</w:t>
            </w:r>
          </w:p>
        </w:tc>
      </w:tr>
    </w:tbl>
    <w:p w14:paraId="109472F8" w14:textId="77777777" w:rsidR="00B46EF1" w:rsidRPr="008C2868" w:rsidRDefault="00B46EF1" w:rsidP="00506633">
      <w:pPr>
        <w:spacing w:before="120" w:after="240"/>
        <w:ind w:left="709" w:hanging="709"/>
        <w:rPr>
          <w:rFonts w:ascii="Avenir LT 45 Book" w:eastAsia="Calibri" w:hAnsi="Avenir LT 45 Book"/>
          <w:sz w:val="20"/>
        </w:rPr>
      </w:pPr>
      <w:r w:rsidRPr="00842387">
        <w:rPr>
          <w:rFonts w:ascii="Avenir LT 65 Medium" w:hAnsi="Avenir LT 65 Medium"/>
        </w:rPr>
        <w:t>NOTE</w:t>
      </w:r>
      <w:r w:rsidRPr="008C2868">
        <w:rPr>
          <w:rFonts w:ascii="Avenir LT 65 Medium" w:eastAsia="Calibri" w:hAnsi="Avenir LT 65 Medium"/>
          <w:sz w:val="20"/>
        </w:rPr>
        <w:t>:</w:t>
      </w:r>
      <w:r w:rsidRPr="00842387">
        <w:t xml:space="preserve">  </w:t>
      </w:r>
      <w:r w:rsidRPr="008C2868">
        <w:rPr>
          <w:rFonts w:ascii="Avenir LT 45 Book" w:eastAsia="Calibri" w:hAnsi="Avenir LT 45 Book"/>
          <w:sz w:val="20"/>
        </w:rPr>
        <w:t>Council recognises that these requirements may not be possible to achieve in the case of the proposals involving some buildings of conservation and heritage significance.</w:t>
      </w:r>
    </w:p>
    <w:p w14:paraId="2A0B56EE" w14:textId="77777777" w:rsidR="00B46EF1" w:rsidRPr="008C2868" w:rsidRDefault="00B46EF1" w:rsidP="008C2868">
      <w:pPr>
        <w:spacing w:line="360" w:lineRule="auto"/>
        <w:rPr>
          <w:rFonts w:ascii="Avenir LT 45 Book" w:eastAsia="Calibri" w:hAnsi="Avenir LT 45 Book"/>
          <w:sz w:val="20"/>
        </w:rPr>
      </w:pPr>
      <w:r w:rsidRPr="008C2868">
        <w:rPr>
          <w:rFonts w:ascii="Avenir LT 45 Book" w:eastAsia="Calibri" w:hAnsi="Avenir LT 45 Book"/>
          <w:sz w:val="20"/>
        </w:rPr>
        <w:t xml:space="preserve">All residential development approvals shall be conditioned </w:t>
      </w:r>
      <w:proofErr w:type="gramStart"/>
      <w:r w:rsidRPr="008C2868">
        <w:rPr>
          <w:rFonts w:ascii="Avenir LT 45 Book" w:eastAsia="Calibri" w:hAnsi="Avenir LT 45 Book"/>
          <w:sz w:val="20"/>
        </w:rPr>
        <w:t>in order to</w:t>
      </w:r>
      <w:proofErr w:type="gramEnd"/>
      <w:r w:rsidRPr="008C2868">
        <w:rPr>
          <w:rFonts w:ascii="Avenir LT 45 Book" w:eastAsia="Calibri" w:hAnsi="Avenir LT 45 Book"/>
          <w:sz w:val="20"/>
        </w:rPr>
        <w:t xml:space="preserve"> require a notification to be placed on title advising of the potential amenity impacts associated with living / working in proximity of the Port.</w:t>
      </w:r>
    </w:p>
    <w:p w14:paraId="1012C334" w14:textId="77777777" w:rsidR="00B46EF1" w:rsidRPr="002A1F8D" w:rsidRDefault="00B46EF1" w:rsidP="002A1F8D">
      <w:pPr>
        <w:spacing w:line="360" w:lineRule="auto"/>
        <w:rPr>
          <w:rFonts w:ascii="Avenir LT 45 Book" w:eastAsia="Calibri" w:hAnsi="Avenir LT 45 Book"/>
          <w:sz w:val="20"/>
        </w:rPr>
      </w:pPr>
      <w:r w:rsidRPr="002A1F8D">
        <w:rPr>
          <w:rFonts w:ascii="Avenir LT 45 Book" w:eastAsia="Calibri" w:hAnsi="Avenir LT 45 Book"/>
          <w:sz w:val="20"/>
        </w:rPr>
        <w:t>In the case of all residential subdivision, Council and Fremantle Ports shall request the Western Australian Planning Commission to support the placing of memorials on new titles advising of the potential amenity impacts</w:t>
      </w:r>
      <w:r w:rsidRPr="00842387">
        <w:t xml:space="preserve"> </w:t>
      </w:r>
      <w:r w:rsidRPr="002A1F8D">
        <w:rPr>
          <w:rFonts w:ascii="Avenir LT 45 Book" w:eastAsia="Calibri" w:hAnsi="Avenir LT 45 Book"/>
          <w:sz w:val="20"/>
        </w:rPr>
        <w:t>associated with living in proximity of the Port.</w:t>
      </w:r>
    </w:p>
    <w:p w14:paraId="3AD75418" w14:textId="77777777" w:rsidR="00B46EF1" w:rsidRDefault="00B46EF1" w:rsidP="00B46EF1">
      <w:pPr>
        <w:pStyle w:val="Heading5"/>
        <w:ind w:left="1418" w:hanging="1418"/>
      </w:pPr>
      <w:r>
        <w:t>3.7.16.4.3.4</w:t>
      </w:r>
      <w:r>
        <w:tab/>
        <w:t>Administrative Procedures</w:t>
      </w:r>
    </w:p>
    <w:p w14:paraId="71C1EB04" w14:textId="77777777" w:rsidR="00B46EF1" w:rsidRPr="00506633" w:rsidRDefault="00B46EF1" w:rsidP="00506633">
      <w:pPr>
        <w:spacing w:line="360" w:lineRule="auto"/>
        <w:rPr>
          <w:rFonts w:ascii="Avenir LT 45 Book" w:eastAsia="Calibri" w:hAnsi="Avenir LT 45 Book"/>
          <w:sz w:val="20"/>
        </w:rPr>
      </w:pPr>
      <w:r w:rsidRPr="00506633">
        <w:rPr>
          <w:rFonts w:ascii="Avenir LT 45 Book" w:eastAsia="Calibri" w:hAnsi="Avenir LT 45 Book"/>
          <w:sz w:val="20"/>
        </w:rPr>
        <w:t>Where applicable, applicants should be advised as soon as possible of the requirements of this policy. Ideally, this should be prior to lodging a formal application for development, including proposals for subdivision and scheme amendments.</w:t>
      </w:r>
    </w:p>
    <w:p w14:paraId="3761F18A" w14:textId="77777777" w:rsidR="00B46EF1" w:rsidRPr="00506633" w:rsidRDefault="00B46EF1" w:rsidP="00506633">
      <w:pPr>
        <w:spacing w:line="360" w:lineRule="auto"/>
        <w:rPr>
          <w:rFonts w:ascii="Avenir LT 45 Book" w:eastAsia="Calibri" w:hAnsi="Avenir LT 45 Book"/>
          <w:sz w:val="20"/>
        </w:rPr>
      </w:pPr>
      <w:r w:rsidRPr="00506633">
        <w:rPr>
          <w:rFonts w:ascii="Avenir LT 45 Book" w:eastAsia="Calibri" w:hAnsi="Avenir LT 45 Book"/>
          <w:sz w:val="20"/>
        </w:rPr>
        <w:t xml:space="preserve">Applicants should be encouraged to liaise with relevant staff including those at Fremantle Ports, </w:t>
      </w:r>
      <w:proofErr w:type="gramStart"/>
      <w:r w:rsidRPr="00506633">
        <w:rPr>
          <w:rFonts w:ascii="Avenir LT 45 Book" w:eastAsia="Calibri" w:hAnsi="Avenir LT 45 Book"/>
          <w:sz w:val="20"/>
        </w:rPr>
        <w:t>in order to</w:t>
      </w:r>
      <w:proofErr w:type="gramEnd"/>
      <w:r w:rsidRPr="00506633">
        <w:rPr>
          <w:rFonts w:ascii="Avenir LT 45 Book" w:eastAsia="Calibri" w:hAnsi="Avenir LT 45 Book"/>
          <w:sz w:val="20"/>
        </w:rPr>
        <w:t xml:space="preserve"> understand the requirements of this policy.</w:t>
      </w:r>
    </w:p>
    <w:p w14:paraId="437C02FD" w14:textId="77777777" w:rsidR="00B46EF1" w:rsidRPr="00506633" w:rsidRDefault="00B46EF1" w:rsidP="00506633">
      <w:pPr>
        <w:spacing w:line="360" w:lineRule="auto"/>
        <w:rPr>
          <w:rFonts w:ascii="Avenir LT 45 Book" w:eastAsia="Calibri" w:hAnsi="Avenir LT 45 Book"/>
          <w:sz w:val="20"/>
        </w:rPr>
      </w:pPr>
      <w:r w:rsidRPr="00506633">
        <w:rPr>
          <w:rFonts w:ascii="Avenir LT 45 Book" w:eastAsia="Calibri" w:hAnsi="Avenir LT 45 Book"/>
          <w:sz w:val="20"/>
        </w:rPr>
        <w:t>Council shall refer a proposal to Fremantle Ports where a proponent seeks any significant variation to the development controls contained within these guidelines.</w:t>
      </w:r>
    </w:p>
    <w:p w14:paraId="078B852C" w14:textId="77777777" w:rsidR="00B46EF1" w:rsidRPr="00506633" w:rsidRDefault="00B46EF1" w:rsidP="00506633">
      <w:pPr>
        <w:spacing w:line="360" w:lineRule="auto"/>
        <w:rPr>
          <w:rFonts w:ascii="Avenir LT 45 Book" w:eastAsia="Calibri" w:hAnsi="Avenir LT 45 Book"/>
          <w:sz w:val="20"/>
        </w:rPr>
      </w:pPr>
      <w:r w:rsidRPr="00506633">
        <w:rPr>
          <w:rFonts w:ascii="Avenir LT 45 Book" w:eastAsia="Calibri" w:hAnsi="Avenir LT 45 Book"/>
          <w:sz w:val="20"/>
        </w:rPr>
        <w:lastRenderedPageBreak/>
        <w:t>Fremantle Port shall within 14 days of notification, advise the Town of its assessment of a development proposal referred as per the requirements outlined above.</w:t>
      </w:r>
    </w:p>
    <w:p w14:paraId="0E80939F" w14:textId="77777777" w:rsidR="00B46EF1" w:rsidRPr="00506633" w:rsidRDefault="00B46EF1" w:rsidP="00506633">
      <w:pPr>
        <w:spacing w:line="360" w:lineRule="auto"/>
        <w:rPr>
          <w:rFonts w:ascii="Avenir LT 45 Book" w:eastAsia="Calibri" w:hAnsi="Avenir LT 45 Book"/>
          <w:sz w:val="20"/>
        </w:rPr>
      </w:pPr>
      <w:r w:rsidRPr="00506633">
        <w:rPr>
          <w:rFonts w:ascii="Avenir LT 45 Book" w:eastAsia="Calibri" w:hAnsi="Avenir LT 45 Book"/>
          <w:sz w:val="20"/>
        </w:rPr>
        <w:t>In terms of conditions of development approval that arise from the requirements of this policy, Council shall require a building surveyor or suitably qualified structural engineer to certify that the requirements of the conditions have been fulfilled in accordance with the approved plans.</w:t>
      </w:r>
    </w:p>
    <w:p w14:paraId="75ABFBCC" w14:textId="77777777" w:rsidR="00B46EF1" w:rsidRPr="00506633" w:rsidRDefault="00B46EF1" w:rsidP="00506633">
      <w:pPr>
        <w:spacing w:line="360" w:lineRule="auto"/>
        <w:rPr>
          <w:rFonts w:ascii="Avenir LT 45 Book" w:eastAsia="Calibri" w:hAnsi="Avenir LT 45 Book"/>
          <w:sz w:val="20"/>
        </w:rPr>
      </w:pPr>
      <w:r w:rsidRPr="00506633">
        <w:rPr>
          <w:rFonts w:ascii="Avenir LT 45 Book" w:eastAsia="Calibri" w:hAnsi="Avenir LT 45 Book"/>
          <w:sz w:val="20"/>
        </w:rPr>
        <w:t>Where appropriate, certification shall be provided prior to the issue of a building permit, certificate of clearance / classification or strata / subdivision clearance.</w:t>
      </w:r>
    </w:p>
    <w:p w14:paraId="61E7B46C" w14:textId="77777777" w:rsidR="00B46EF1" w:rsidRPr="00506633" w:rsidRDefault="00B46EF1" w:rsidP="00506633">
      <w:pPr>
        <w:spacing w:line="360" w:lineRule="auto"/>
        <w:rPr>
          <w:rFonts w:ascii="Avenir LT 45 Book" w:eastAsia="Calibri" w:hAnsi="Avenir LT 45 Book"/>
          <w:sz w:val="20"/>
        </w:rPr>
      </w:pPr>
      <w:r w:rsidRPr="00506633">
        <w:rPr>
          <w:rFonts w:ascii="Avenir LT 45 Book" w:eastAsia="Calibri" w:hAnsi="Avenir LT 45 Book"/>
          <w:sz w:val="20"/>
        </w:rPr>
        <w:t>The applicant shall arrange for certification to be endorsed by Fremantle Ports prior to lodgement of appropriate documentation with the Town.</w:t>
      </w:r>
    </w:p>
    <w:p w14:paraId="1101820E" w14:textId="77777777" w:rsidR="00B46EF1" w:rsidRPr="00506633" w:rsidRDefault="00B46EF1" w:rsidP="00B46EF1">
      <w:pPr>
        <w:rPr>
          <w:rFonts w:ascii="Avenir LT 45 Book" w:eastAsia="Calibri" w:hAnsi="Avenir LT 45 Book"/>
          <w:u w:val="single"/>
        </w:rPr>
      </w:pPr>
      <w:r w:rsidRPr="00506633">
        <w:rPr>
          <w:rFonts w:ascii="Avenir LT 45 Book" w:eastAsia="Calibri" w:hAnsi="Avenir LT 45 Book"/>
          <w:u w:val="single"/>
        </w:rPr>
        <w:t>Buffer Area 3</w:t>
      </w:r>
    </w:p>
    <w:p w14:paraId="01E71F5E" w14:textId="77777777" w:rsidR="00B46EF1" w:rsidRPr="00506633" w:rsidRDefault="00B46EF1" w:rsidP="00506633">
      <w:pPr>
        <w:spacing w:line="360" w:lineRule="auto"/>
        <w:rPr>
          <w:rFonts w:ascii="Avenir LT 45 Book" w:eastAsia="Calibri" w:hAnsi="Avenir LT 45 Book"/>
          <w:sz w:val="20"/>
        </w:rPr>
      </w:pPr>
      <w:r w:rsidRPr="00506633">
        <w:rPr>
          <w:rFonts w:ascii="Avenir LT 45 Book" w:eastAsia="Calibri" w:hAnsi="Avenir LT 45 Book"/>
          <w:sz w:val="20"/>
        </w:rPr>
        <w:t>Council shall refer a proposal to Fremantle Ports where the</w:t>
      </w:r>
      <w:r w:rsidRPr="00842387">
        <w:t xml:space="preserve"> </w:t>
      </w:r>
      <w:r w:rsidRPr="00506633">
        <w:rPr>
          <w:rFonts w:ascii="Avenir LT 45 Book" w:eastAsia="Calibri" w:hAnsi="Avenir LT 45 Book"/>
          <w:sz w:val="20"/>
        </w:rPr>
        <w:t>proposal falls within a specific location that has been formally notified to Council as being impacted from port operations.</w:t>
      </w:r>
    </w:p>
    <w:p w14:paraId="1AAB092E" w14:textId="77777777" w:rsidR="00B46EF1" w:rsidRPr="00506633" w:rsidRDefault="00B46EF1" w:rsidP="00506633">
      <w:pPr>
        <w:spacing w:line="360" w:lineRule="auto"/>
        <w:rPr>
          <w:rFonts w:ascii="Avenir LT 45 Book" w:eastAsia="Calibri" w:hAnsi="Avenir LT 45 Book"/>
          <w:sz w:val="20"/>
        </w:rPr>
      </w:pPr>
      <w:r w:rsidRPr="00506633">
        <w:rPr>
          <w:rFonts w:ascii="Avenir LT 45 Book" w:eastAsia="Calibri" w:hAnsi="Avenir LT 45 Book"/>
          <w:sz w:val="20"/>
        </w:rPr>
        <w:t>In the case of scheme amendments that would result in an increase or intensification of sensitive uses, Council shall notify Fremantle Ports as soon as practicable prior to initiating the amendment.</w:t>
      </w:r>
    </w:p>
    <w:p w14:paraId="2E8BEDC0" w14:textId="77777777" w:rsidR="00B46EF1" w:rsidRDefault="00B46EF1" w:rsidP="00B46EF1"/>
    <w:p w14:paraId="492CA688" w14:textId="77777777" w:rsidR="00B46EF1" w:rsidRDefault="00B46EF1" w:rsidP="00B46EF1">
      <w:pPr>
        <w:sectPr w:rsidR="00B46EF1" w:rsidSect="008048CE">
          <w:footerReference w:type="default" r:id="rId240"/>
          <w:pgSz w:w="11906" w:h="16838"/>
          <w:pgMar w:top="1440" w:right="1440" w:bottom="1276" w:left="1440" w:header="708" w:footer="708" w:gutter="0"/>
          <w:cols w:space="708"/>
          <w:docGrid w:linePitch="360"/>
        </w:sectPr>
      </w:pPr>
    </w:p>
    <w:p w14:paraId="50FD89B2" w14:textId="59D964AB" w:rsidR="00B46EF1" w:rsidRPr="00C045DD" w:rsidRDefault="00C045DD" w:rsidP="00C045DD">
      <w:pPr>
        <w:pStyle w:val="Heading3"/>
        <w:keepNext w:val="0"/>
        <w:keepLines w:val="0"/>
        <w:autoSpaceDE w:val="0"/>
        <w:autoSpaceDN w:val="0"/>
        <w:spacing w:before="0" w:after="200" w:line="360" w:lineRule="auto"/>
        <w:ind w:left="1418" w:hanging="1418"/>
        <w:jc w:val="both"/>
        <w:rPr>
          <w:rFonts w:ascii="Avenir LT 65 Medium" w:eastAsia="Times New Roman" w:hAnsi="Avenir LT 65 Medium" w:cs="Times New Roman"/>
          <w:bCs/>
          <w:color w:val="000000"/>
          <w:sz w:val="22"/>
        </w:rPr>
      </w:pPr>
      <w:bookmarkStart w:id="469" w:name="_Toc452727450"/>
      <w:r>
        <w:rPr>
          <w:rFonts w:ascii="Avenir LT 65 Medium" w:eastAsia="Times New Roman" w:hAnsi="Avenir LT 65 Medium" w:cs="Times New Roman"/>
          <w:bCs/>
          <w:color w:val="000000"/>
          <w:sz w:val="22"/>
        </w:rPr>
        <w:lastRenderedPageBreak/>
        <w:t>3.7.17</w:t>
      </w:r>
      <w:r>
        <w:rPr>
          <w:rFonts w:ascii="Avenir LT 65 Medium" w:eastAsia="Times New Roman" w:hAnsi="Avenir LT 65 Medium" w:cs="Times New Roman"/>
          <w:bCs/>
          <w:color w:val="000000"/>
          <w:sz w:val="22"/>
        </w:rPr>
        <w:tab/>
      </w:r>
      <w:r w:rsidR="00B46EF1" w:rsidRPr="00C045DD">
        <w:rPr>
          <w:rFonts w:ascii="Avenir LT 65 Medium" w:eastAsia="Times New Roman" w:hAnsi="Avenir LT 65 Medium" w:cs="Times New Roman"/>
          <w:bCs/>
          <w:color w:val="000000"/>
          <w:sz w:val="22"/>
        </w:rPr>
        <w:t>Richmond Hill Precinct</w:t>
      </w:r>
      <w:bookmarkEnd w:id="469"/>
    </w:p>
    <w:p w14:paraId="299846C9" w14:textId="77777777" w:rsidR="00B46EF1" w:rsidRPr="00C045DD" w:rsidRDefault="00C045DD" w:rsidP="00C045DD">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3.7.17.1</w:t>
      </w:r>
      <w:r>
        <w:rPr>
          <w:rFonts w:ascii="Avenir LT 65 Medium" w:hAnsi="Avenir LT 65 Medium"/>
          <w:bCs/>
          <w:i w:val="0"/>
          <w:color w:val="auto"/>
        </w:rPr>
        <w:tab/>
      </w:r>
      <w:r w:rsidR="00B46EF1" w:rsidRPr="00C045DD">
        <w:rPr>
          <w:rFonts w:ascii="Avenir LT 65 Medium" w:hAnsi="Avenir LT 65 Medium"/>
          <w:bCs/>
          <w:i w:val="0"/>
          <w:color w:val="auto"/>
        </w:rPr>
        <w:t>Statement of Desired Future Character</w:t>
      </w:r>
    </w:p>
    <w:p w14:paraId="51E04DAF" w14:textId="77777777" w:rsidR="00B46EF1" w:rsidRDefault="00C045DD" w:rsidP="00C045DD">
      <w:pPr>
        <w:pStyle w:val="Heading5"/>
      </w:pPr>
      <w:r>
        <w:t>3.7.17.1.1</w:t>
      </w:r>
      <w:r>
        <w:tab/>
      </w:r>
      <w:r w:rsidR="00B46EF1" w:rsidRPr="00842387">
        <w:t>Richmond Hill</w:t>
      </w:r>
    </w:p>
    <w:p w14:paraId="2511030D" w14:textId="77777777" w:rsidR="00B46EF1" w:rsidRPr="00C045DD" w:rsidRDefault="00B46EF1" w:rsidP="00C045DD">
      <w:pPr>
        <w:spacing w:line="360" w:lineRule="auto"/>
        <w:rPr>
          <w:rFonts w:ascii="Avenir LT 45 Book" w:eastAsia="Calibri" w:hAnsi="Avenir LT 45 Book"/>
          <w:i/>
          <w:sz w:val="20"/>
        </w:rPr>
      </w:pPr>
      <w:r w:rsidRPr="00C045DD">
        <w:rPr>
          <w:rFonts w:ascii="Avenir LT 45 Book" w:eastAsia="Calibri" w:hAnsi="Avenir LT 45 Book"/>
          <w:i/>
          <w:sz w:val="20"/>
        </w:rPr>
        <w:t>The desired future character of Richmond Hill is the maintenance of its traditional buildings, cohabiting with developments that are river orientated, a sympathetic scale and are of contemporary architectural style.</w:t>
      </w:r>
    </w:p>
    <w:p w14:paraId="18AEC059" w14:textId="77777777" w:rsidR="00B46EF1" w:rsidRPr="00842387" w:rsidRDefault="00B46EF1" w:rsidP="00B46EF1">
      <w:pPr>
        <w:rPr>
          <w:szCs w:val="20"/>
        </w:rPr>
      </w:pPr>
      <w:r>
        <w:rPr>
          <w:noProof/>
          <w:lang w:eastAsia="en-AU"/>
        </w:rPr>
        <w:drawing>
          <wp:inline distT="0" distB="0" distL="0" distR="0" wp14:anchorId="352B2070" wp14:editId="52882F58">
            <wp:extent cx="2524125" cy="1800225"/>
            <wp:effectExtent l="19050" t="0" r="9525" b="0"/>
            <wp:docPr id="90" name="Picture 27" descr="Z:\2011 JOBS\11206-EAST FREMANTLE GUIDELINES\11206-PHOTOS\PROCESSED\RICHMOND HILL\51 VIEW TER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2011 JOBS\11206-EAST FREMANTLE GUIDELINES\11206-PHOTOS\PROCESSED\RICHMOND HILL\51 VIEW TERRACE.jpg"/>
                    <pic:cNvPicPr>
                      <a:picLocks noChangeAspect="1" noChangeArrowheads="1"/>
                    </pic:cNvPicPr>
                  </pic:nvPicPr>
                  <pic:blipFill>
                    <a:blip r:embed="rId241"/>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rPr>
          <w:szCs w:val="20"/>
        </w:rPr>
        <w:t xml:space="preserve">      </w:t>
      </w:r>
      <w:r>
        <w:rPr>
          <w:noProof/>
          <w:szCs w:val="20"/>
          <w:lang w:eastAsia="en-AU"/>
        </w:rPr>
        <w:drawing>
          <wp:inline distT="0" distB="0" distL="0" distR="0" wp14:anchorId="4D8D27D2" wp14:editId="3B3D8FDC">
            <wp:extent cx="2524125" cy="1800225"/>
            <wp:effectExtent l="19050" t="0" r="9525" b="0"/>
            <wp:docPr id="91" name="Picture 28" descr="Z:\2011 JOBS\11206-EAST FREMANTLE GUIDELINES\11206-PHOTOS\PROCESSED\RICHMOND HILL\PARK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2011 JOBS\11206-EAST FREMANTLE GUIDELINES\11206-PHOTOS\PROCESSED\RICHMOND HILL\PARKER STREET.jpg"/>
                    <pic:cNvPicPr>
                      <a:picLocks noChangeAspect="1" noChangeArrowheads="1"/>
                    </pic:cNvPicPr>
                  </pic:nvPicPr>
                  <pic:blipFill>
                    <a:blip r:embed="rId242"/>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0315D9C6" w14:textId="77777777" w:rsidR="00B46EF1" w:rsidRPr="00C045DD" w:rsidRDefault="00C045DD" w:rsidP="00C045DD">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3.7.17.2</w:t>
      </w:r>
      <w:r>
        <w:rPr>
          <w:rFonts w:ascii="Avenir LT 65 Medium" w:hAnsi="Avenir LT 65 Medium"/>
          <w:bCs/>
          <w:i w:val="0"/>
          <w:color w:val="auto"/>
        </w:rPr>
        <w:tab/>
      </w:r>
      <w:r w:rsidR="00B46EF1" w:rsidRPr="00C045DD">
        <w:rPr>
          <w:rFonts w:ascii="Avenir LT 65 Medium" w:hAnsi="Avenir LT 65 Medium"/>
          <w:bCs/>
          <w:i w:val="0"/>
          <w:color w:val="auto"/>
        </w:rPr>
        <w:t>Access, Parking and Rights-of-Way</w:t>
      </w:r>
    </w:p>
    <w:p w14:paraId="78502052" w14:textId="77777777" w:rsidR="00B46EF1" w:rsidRDefault="00C045DD" w:rsidP="00C045DD">
      <w:pPr>
        <w:pStyle w:val="Heading5"/>
      </w:pPr>
      <w:r>
        <w:t>3.7.17.2.1</w:t>
      </w:r>
      <w:r>
        <w:tab/>
      </w:r>
      <w:r w:rsidR="00B46EF1" w:rsidRPr="00842387">
        <w:t>Statement</w:t>
      </w:r>
    </w:p>
    <w:p w14:paraId="34F4EE1E" w14:textId="77777777" w:rsidR="00B46EF1" w:rsidRPr="00C045DD" w:rsidRDefault="00B46EF1" w:rsidP="00C045DD">
      <w:pPr>
        <w:spacing w:line="360" w:lineRule="auto"/>
        <w:rPr>
          <w:rFonts w:ascii="Avenir LT 45 Book" w:eastAsia="Calibri" w:hAnsi="Avenir LT 45 Book"/>
          <w:i/>
          <w:sz w:val="20"/>
        </w:rPr>
      </w:pPr>
      <w:r w:rsidRPr="00C045DD">
        <w:rPr>
          <w:rFonts w:ascii="Avenir LT 45 Book" w:eastAsia="Calibri" w:hAnsi="Avenir LT 45 Book"/>
          <w:i/>
          <w:sz w:val="20"/>
        </w:rPr>
        <w:t>Residences in the Richmond Hill Precinct have access predominantly via a single cross over.  Multiple dwellings occur in the western area of Richmond Hill.  Parking to multiple dwellings occurs at the rear via a shared access.  Some multiple dwellings have multiple crossovers.  Traditional building patterns have parking located at the rear of the block.  Parking to new single developments often occurs in the front setback area, in contrast to the traditional built pattern.</w:t>
      </w:r>
    </w:p>
    <w:p w14:paraId="335FB6E9" w14:textId="77777777" w:rsidR="00B46EF1" w:rsidRDefault="00B46EF1" w:rsidP="00B46EF1">
      <w:r>
        <w:rPr>
          <w:noProof/>
          <w:lang w:eastAsia="en-AU"/>
        </w:rPr>
        <w:drawing>
          <wp:inline distT="0" distB="0" distL="0" distR="0" wp14:anchorId="43C4CC54" wp14:editId="6FDF9172">
            <wp:extent cx="2524125" cy="1800225"/>
            <wp:effectExtent l="19050" t="0" r="9525" b="0"/>
            <wp:docPr id="92" name="Picture 29" descr="Z:\2011 JOBS\11206-EAST FREMANTLE GUIDELINES\11206-PHOTOS\PROCESSED\RICHMOND HILL\32 PI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2011 JOBS\11206-EAST FREMANTLE GUIDELINES\11206-PHOTOS\PROCESSED\RICHMOND HILL\32 PIER STREET.jpg"/>
                    <pic:cNvPicPr>
                      <a:picLocks noChangeAspect="1" noChangeArrowheads="1"/>
                    </pic:cNvPicPr>
                  </pic:nvPicPr>
                  <pic:blipFill>
                    <a:blip r:embed="rId243"/>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6EDBC7EF" wp14:editId="0092100B">
            <wp:extent cx="2524125" cy="1800225"/>
            <wp:effectExtent l="19050" t="0" r="9525" b="0"/>
            <wp:docPr id="93" name="Picture 30" descr="Z:\2011 JOBS\11206-EAST FREMANTLE GUIDELINES\11206-PHOTOS\PROCESSED\RICHMOND HILL\PI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2011 JOBS\11206-EAST FREMANTLE GUIDELINES\11206-PHOTOS\PROCESSED\RICHMOND HILL\PIER STREET.jpg"/>
                    <pic:cNvPicPr>
                      <a:picLocks noChangeAspect="1" noChangeArrowheads="1"/>
                    </pic:cNvPicPr>
                  </pic:nvPicPr>
                  <pic:blipFill>
                    <a:blip r:embed="rId244"/>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79F8E374" w14:textId="77777777" w:rsidR="00B46EF1" w:rsidRDefault="00C045DD" w:rsidP="00C045DD">
      <w:pPr>
        <w:pStyle w:val="Heading5"/>
      </w:pPr>
      <w:r>
        <w:t>3.7.17.2.2</w:t>
      </w:r>
      <w:r>
        <w:tab/>
      </w:r>
      <w:r w:rsidR="00B46EF1" w:rsidRPr="00842387">
        <w:t>Desired Development Outcomes</w:t>
      </w:r>
    </w:p>
    <w:p w14:paraId="5C3ADF09" w14:textId="77777777" w:rsidR="00B46EF1" w:rsidRPr="00C045DD" w:rsidRDefault="00B46EF1" w:rsidP="002A3889">
      <w:pPr>
        <w:pStyle w:val="ListParagraph"/>
        <w:numPr>
          <w:ilvl w:val="0"/>
          <w:numId w:val="193"/>
        </w:numPr>
        <w:spacing w:line="360" w:lineRule="auto"/>
        <w:ind w:left="714" w:hanging="357"/>
        <w:contextualSpacing w:val="0"/>
        <w:rPr>
          <w:rFonts w:ascii="Avenir LT 45 Book" w:eastAsia="Calibri" w:hAnsi="Avenir LT 45 Book" w:cs="Times New Roman"/>
          <w:sz w:val="20"/>
        </w:rPr>
      </w:pPr>
      <w:r w:rsidRPr="00C045DD">
        <w:rPr>
          <w:rFonts w:ascii="Avenir LT 45 Book" w:eastAsia="Calibri" w:hAnsi="Avenir LT 45 Book" w:cs="Times New Roman"/>
          <w:sz w:val="20"/>
        </w:rPr>
        <w:t xml:space="preserve">Parking areas of lots and development sites shall reflect the existing streetscape where </w:t>
      </w:r>
      <w:proofErr w:type="gramStart"/>
      <w:r w:rsidRPr="00C045DD">
        <w:rPr>
          <w:rFonts w:ascii="Avenir LT 45 Book" w:eastAsia="Calibri" w:hAnsi="Avenir LT 45 Book" w:cs="Times New Roman"/>
          <w:sz w:val="20"/>
        </w:rPr>
        <w:t>possible;</w:t>
      </w:r>
      <w:proofErr w:type="gramEnd"/>
    </w:p>
    <w:p w14:paraId="598B4CE3" w14:textId="77777777" w:rsidR="00B46EF1" w:rsidRPr="00C045DD" w:rsidRDefault="00B46EF1" w:rsidP="002A3889">
      <w:pPr>
        <w:pStyle w:val="ListParagraph"/>
        <w:numPr>
          <w:ilvl w:val="0"/>
          <w:numId w:val="193"/>
        </w:numPr>
        <w:spacing w:line="360" w:lineRule="auto"/>
        <w:ind w:left="714" w:hanging="357"/>
        <w:contextualSpacing w:val="0"/>
        <w:rPr>
          <w:rFonts w:ascii="Avenir LT 45 Book" w:eastAsia="Calibri" w:hAnsi="Avenir LT 45 Book" w:cs="Times New Roman"/>
          <w:sz w:val="20"/>
        </w:rPr>
      </w:pPr>
      <w:r w:rsidRPr="00C045DD">
        <w:rPr>
          <w:rFonts w:ascii="Avenir LT 45 Book" w:eastAsia="Calibri" w:hAnsi="Avenir LT 45 Book" w:cs="Times New Roman"/>
          <w:sz w:val="20"/>
        </w:rPr>
        <w:t>Where possible, parking to multiple dwelling to occur at the rear or side of the lot; and,</w:t>
      </w:r>
    </w:p>
    <w:p w14:paraId="50117A87" w14:textId="77777777" w:rsidR="00B46EF1" w:rsidRPr="00C045DD" w:rsidRDefault="00B46EF1" w:rsidP="002A3889">
      <w:pPr>
        <w:pStyle w:val="ListParagraph"/>
        <w:numPr>
          <w:ilvl w:val="0"/>
          <w:numId w:val="193"/>
        </w:numPr>
        <w:spacing w:line="360" w:lineRule="auto"/>
        <w:ind w:left="714" w:hanging="357"/>
        <w:contextualSpacing w:val="0"/>
        <w:rPr>
          <w:rFonts w:ascii="Avenir LT 45 Book" w:eastAsia="Calibri" w:hAnsi="Avenir LT 45 Book" w:cs="Times New Roman"/>
          <w:sz w:val="20"/>
        </w:rPr>
      </w:pPr>
      <w:r w:rsidRPr="00C045DD">
        <w:rPr>
          <w:rFonts w:ascii="Avenir LT 45 Book" w:eastAsia="Calibri" w:hAnsi="Avenir LT 45 Book" w:cs="Times New Roman"/>
          <w:sz w:val="20"/>
        </w:rPr>
        <w:t>Number of crossovers is to be minimized.</w:t>
      </w:r>
    </w:p>
    <w:p w14:paraId="4996739F" w14:textId="77777777" w:rsidR="00B46EF1" w:rsidRDefault="00C045DD" w:rsidP="00C045DD">
      <w:pPr>
        <w:pStyle w:val="Heading5"/>
      </w:pPr>
      <w:r>
        <w:lastRenderedPageBreak/>
        <w:t>3.7.17.2.3</w:t>
      </w:r>
      <w:r>
        <w:tab/>
      </w:r>
      <w:r w:rsidR="00B46EF1" w:rsidRPr="00842387">
        <w:t>Performance Criteria and Acceptable Development</w:t>
      </w:r>
      <w:r w:rsidR="00B46EF1">
        <w:t xml:space="preserve">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3"/>
        <w:gridCol w:w="4513"/>
      </w:tblGrid>
      <w:tr w:rsidR="00B46EF1" w:rsidRPr="00842387" w14:paraId="5B71107C" w14:textId="77777777" w:rsidTr="008048CE">
        <w:tc>
          <w:tcPr>
            <w:tcW w:w="4621" w:type="dxa"/>
          </w:tcPr>
          <w:p w14:paraId="2BDE67CA"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0E407FBC" w14:textId="77777777" w:rsidR="00B46EF1" w:rsidRDefault="00B46EF1" w:rsidP="008048CE">
            <w:r w:rsidRPr="00842387">
              <w:rPr>
                <w:rFonts w:ascii="Avenir LT 65 Medium" w:hAnsi="Avenir LT 65 Medium"/>
              </w:rPr>
              <w:t>Acceptable Development Provisions</w:t>
            </w:r>
          </w:p>
        </w:tc>
      </w:tr>
      <w:tr w:rsidR="00B46EF1" w:rsidRPr="00842387" w14:paraId="7B451E93" w14:textId="77777777" w:rsidTr="008048CE">
        <w:tc>
          <w:tcPr>
            <w:tcW w:w="4621" w:type="dxa"/>
            <w:tcBorders>
              <w:bottom w:val="nil"/>
            </w:tcBorders>
          </w:tcPr>
          <w:p w14:paraId="1B923FF0" w14:textId="77777777" w:rsidR="00B46EF1" w:rsidRPr="00C045DD" w:rsidRDefault="00B46EF1" w:rsidP="002A3889">
            <w:pPr>
              <w:pStyle w:val="ListParagraph"/>
              <w:numPr>
                <w:ilvl w:val="0"/>
                <w:numId w:val="262"/>
              </w:numPr>
              <w:spacing w:before="120" w:line="360" w:lineRule="auto"/>
              <w:ind w:left="567" w:hanging="505"/>
              <w:contextualSpacing w:val="0"/>
              <w:rPr>
                <w:rFonts w:ascii="Avenir LT 45 Book" w:eastAsia="Calibri" w:hAnsi="Avenir LT 45 Book" w:cs="Times New Roman"/>
                <w:sz w:val="20"/>
              </w:rPr>
            </w:pPr>
            <w:r w:rsidRPr="00C045DD">
              <w:rPr>
                <w:rFonts w:ascii="Avenir LT 45 Book" w:eastAsia="Calibri" w:hAnsi="Avenir LT 45 Book" w:cs="Times New Roman"/>
                <w:sz w:val="20"/>
              </w:rPr>
              <w:t>Access and parking for the building is to be adequately provided for within the boundaries</w:t>
            </w:r>
            <w:r w:rsidRPr="00842387">
              <w:t xml:space="preserve"> </w:t>
            </w:r>
            <w:r w:rsidRPr="00C045DD">
              <w:rPr>
                <w:rFonts w:ascii="Avenir LT 45 Book" w:eastAsia="Calibri" w:hAnsi="Avenir LT 45 Book" w:cs="Times New Roman"/>
                <w:sz w:val="20"/>
              </w:rPr>
              <w:t>of the lot/development site, and does not negatively impact on:</w:t>
            </w:r>
          </w:p>
          <w:p w14:paraId="54AB9A53" w14:textId="77777777" w:rsidR="00B46EF1" w:rsidRPr="00C045DD" w:rsidRDefault="00B46EF1" w:rsidP="002A3889">
            <w:pPr>
              <w:pStyle w:val="ListParagraph"/>
              <w:numPr>
                <w:ilvl w:val="0"/>
                <w:numId w:val="194"/>
              </w:numPr>
              <w:spacing w:line="360" w:lineRule="auto"/>
              <w:contextualSpacing w:val="0"/>
              <w:rPr>
                <w:rFonts w:ascii="Avenir LT 45 Book" w:eastAsia="Calibri" w:hAnsi="Avenir LT 45 Book" w:cs="Times New Roman"/>
                <w:sz w:val="20"/>
              </w:rPr>
            </w:pPr>
            <w:r w:rsidRPr="00C045DD">
              <w:rPr>
                <w:rFonts w:ascii="Avenir LT 45 Book" w:eastAsia="Calibri" w:hAnsi="Avenir LT 45 Book" w:cs="Times New Roman"/>
                <w:sz w:val="20"/>
              </w:rPr>
              <w:t>The streetscape character and amenity; and,</w:t>
            </w:r>
          </w:p>
          <w:p w14:paraId="564C4E93" w14:textId="77777777" w:rsidR="00B46EF1" w:rsidRDefault="00B46EF1" w:rsidP="002A3889">
            <w:pPr>
              <w:pStyle w:val="ListParagraph"/>
              <w:numPr>
                <w:ilvl w:val="0"/>
                <w:numId w:val="194"/>
              </w:numPr>
              <w:spacing w:line="360" w:lineRule="auto"/>
              <w:contextualSpacing w:val="0"/>
            </w:pPr>
            <w:r w:rsidRPr="00C045DD">
              <w:rPr>
                <w:rFonts w:ascii="Avenir LT 45 Book" w:eastAsia="Calibri" w:hAnsi="Avenir LT 45 Book" w:cs="Times New Roman"/>
                <w:sz w:val="20"/>
              </w:rPr>
              <w:t>The availability of on-street parking in the locality.</w:t>
            </w:r>
          </w:p>
        </w:tc>
        <w:tc>
          <w:tcPr>
            <w:tcW w:w="4621" w:type="dxa"/>
            <w:tcBorders>
              <w:bottom w:val="nil"/>
            </w:tcBorders>
          </w:tcPr>
          <w:p w14:paraId="486F30DF" w14:textId="77777777" w:rsidR="00B46EF1" w:rsidRPr="00C045DD" w:rsidRDefault="00B46EF1" w:rsidP="002A3889">
            <w:pPr>
              <w:pStyle w:val="ListParagraph"/>
              <w:numPr>
                <w:ilvl w:val="1"/>
                <w:numId w:val="190"/>
              </w:numPr>
              <w:spacing w:before="120" w:line="360" w:lineRule="auto"/>
              <w:ind w:left="766" w:hanging="647"/>
              <w:contextualSpacing w:val="0"/>
              <w:rPr>
                <w:rFonts w:ascii="Avenir LT 45 Book" w:eastAsia="Calibri" w:hAnsi="Avenir LT 45 Book" w:cs="Times New Roman"/>
                <w:sz w:val="20"/>
              </w:rPr>
            </w:pPr>
            <w:r w:rsidRPr="00C045DD">
              <w:rPr>
                <w:rFonts w:ascii="Avenir LT 45 Book" w:eastAsia="Calibri" w:hAnsi="Avenir LT 45 Book" w:cs="Times New Roman"/>
                <w:sz w:val="20"/>
              </w:rPr>
              <w:t>Parking to occur at the rear of the lot.</w:t>
            </w:r>
          </w:p>
          <w:p w14:paraId="6CB2C230" w14:textId="77777777" w:rsidR="00B46EF1" w:rsidRPr="00C045DD" w:rsidRDefault="00B46EF1" w:rsidP="002A3889">
            <w:pPr>
              <w:pStyle w:val="ListParagraph"/>
              <w:numPr>
                <w:ilvl w:val="1"/>
                <w:numId w:val="190"/>
              </w:numPr>
              <w:spacing w:before="120" w:line="360" w:lineRule="auto"/>
              <w:ind w:left="766" w:hanging="647"/>
              <w:contextualSpacing w:val="0"/>
              <w:rPr>
                <w:rFonts w:ascii="Avenir LT 45 Book" w:eastAsia="Calibri" w:hAnsi="Avenir LT 45 Book" w:cs="Times New Roman"/>
                <w:sz w:val="20"/>
              </w:rPr>
            </w:pPr>
            <w:r w:rsidRPr="00C045DD">
              <w:rPr>
                <w:rFonts w:ascii="Avenir LT 45 Book" w:eastAsia="Calibri" w:hAnsi="Avenir LT 45 Book" w:cs="Times New Roman"/>
                <w:sz w:val="20"/>
              </w:rPr>
              <w:t>Additions and alterations to existing buildings shall address any additional parking requirements with reference to the R-Codes.</w:t>
            </w:r>
          </w:p>
          <w:p w14:paraId="20D089D9" w14:textId="77777777" w:rsidR="00B46EF1" w:rsidRDefault="00B46EF1" w:rsidP="002A3889">
            <w:pPr>
              <w:pStyle w:val="ListParagraph"/>
              <w:numPr>
                <w:ilvl w:val="1"/>
                <w:numId w:val="190"/>
              </w:numPr>
              <w:spacing w:before="120" w:line="360" w:lineRule="auto"/>
              <w:ind w:left="766" w:hanging="647"/>
              <w:contextualSpacing w:val="0"/>
            </w:pPr>
            <w:r w:rsidRPr="00C045DD">
              <w:rPr>
                <w:rFonts w:ascii="Avenir LT 45 Book" w:eastAsia="Calibri" w:hAnsi="Avenir LT 45 Book" w:cs="Times New Roman"/>
                <w:sz w:val="20"/>
              </w:rPr>
              <w:t>Parking areas of lots and development sites for grouped or multiple dwellings are accessed from a shared access way.</w:t>
            </w:r>
          </w:p>
        </w:tc>
      </w:tr>
      <w:tr w:rsidR="00B46EF1" w:rsidRPr="00842387" w14:paraId="58E9BFE9" w14:textId="77777777" w:rsidTr="008048CE">
        <w:tc>
          <w:tcPr>
            <w:tcW w:w="4621" w:type="dxa"/>
            <w:tcBorders>
              <w:top w:val="nil"/>
              <w:bottom w:val="nil"/>
            </w:tcBorders>
          </w:tcPr>
          <w:p w14:paraId="25B2D7F4" w14:textId="77777777" w:rsidR="00B46EF1" w:rsidRDefault="00B46EF1" w:rsidP="002A3889">
            <w:pPr>
              <w:pStyle w:val="ListParagraph"/>
              <w:numPr>
                <w:ilvl w:val="0"/>
                <w:numId w:val="262"/>
              </w:numPr>
              <w:spacing w:before="120" w:line="360" w:lineRule="auto"/>
              <w:ind w:left="567" w:hanging="505"/>
              <w:contextualSpacing w:val="0"/>
              <w:rPr>
                <w:rFonts w:ascii="Avenir LT 65 Medium" w:hAnsi="Avenir LT 65 Medium"/>
                <w:szCs w:val="20"/>
              </w:rPr>
            </w:pPr>
            <w:r w:rsidRPr="00C045DD">
              <w:rPr>
                <w:rFonts w:ascii="Avenir LT 45 Book" w:eastAsia="Calibri" w:hAnsi="Avenir LT 45 Book" w:cs="Times New Roman"/>
                <w:sz w:val="20"/>
              </w:rPr>
              <w:t>Garages and carports shall not be prominent on the primary street façade. Street elevations may be required where a place is included in the MHI.</w:t>
            </w:r>
          </w:p>
        </w:tc>
        <w:tc>
          <w:tcPr>
            <w:tcW w:w="4621" w:type="dxa"/>
            <w:tcBorders>
              <w:top w:val="nil"/>
              <w:bottom w:val="nil"/>
            </w:tcBorders>
          </w:tcPr>
          <w:p w14:paraId="59136A81" w14:textId="77777777" w:rsidR="00B46EF1" w:rsidRDefault="00B46EF1" w:rsidP="008048CE">
            <w:pPr>
              <w:pStyle w:val="ListParagraph"/>
              <w:ind w:left="766" w:hanging="567"/>
              <w:contextualSpacing w:val="0"/>
              <w:rPr>
                <w:rFonts w:ascii="Avenir LT 65 Medium" w:hAnsi="Avenir LT 65 Medium"/>
                <w:szCs w:val="20"/>
              </w:rPr>
            </w:pPr>
            <w:r w:rsidRPr="00705C2E">
              <w:rPr>
                <w:rFonts w:ascii="Avenir LT 85 Heavy" w:hAnsi="Avenir LT 85 Heavy"/>
                <w:b/>
              </w:rPr>
              <w:t>A</w:t>
            </w:r>
            <w:r>
              <w:rPr>
                <w:rFonts w:ascii="Avenir LT 85 Heavy" w:hAnsi="Avenir LT 85 Heavy"/>
                <w:b/>
              </w:rPr>
              <w:t>2</w:t>
            </w:r>
            <w:r>
              <w:rPr>
                <w:rFonts w:ascii="Avenir LT 85 Heavy" w:hAnsi="Avenir LT 85 Heavy"/>
                <w:b/>
              </w:rPr>
              <w:tab/>
            </w:r>
            <w:r w:rsidRPr="00C045DD">
              <w:rPr>
                <w:rFonts w:ascii="Avenir LT 45 Book" w:eastAsia="Calibri" w:hAnsi="Avenir LT 45 Book" w:cs="Times New Roman"/>
                <w:sz w:val="20"/>
              </w:rPr>
              <w:t>Garages designed at the rear of the lot</w:t>
            </w:r>
            <w:r w:rsidRPr="00E37D85">
              <w:t>.</w:t>
            </w:r>
          </w:p>
        </w:tc>
      </w:tr>
    </w:tbl>
    <w:p w14:paraId="1A7440D0" w14:textId="77777777" w:rsidR="00B46EF1" w:rsidRPr="00C045DD" w:rsidRDefault="00C045DD" w:rsidP="00C045DD">
      <w:pPr>
        <w:pStyle w:val="Heading4"/>
        <w:spacing w:before="240" w:after="200" w:line="360" w:lineRule="auto"/>
        <w:rPr>
          <w:rFonts w:ascii="Avenir LT 65 Medium" w:hAnsi="Avenir LT 65 Medium"/>
          <w:bCs/>
          <w:i w:val="0"/>
          <w:color w:val="auto"/>
        </w:rPr>
      </w:pPr>
      <w:r>
        <w:rPr>
          <w:rFonts w:ascii="Avenir LT 65 Medium" w:hAnsi="Avenir LT 65 Medium"/>
          <w:bCs/>
          <w:i w:val="0"/>
          <w:color w:val="auto"/>
        </w:rPr>
        <w:t>3.7.17.3</w:t>
      </w:r>
      <w:r>
        <w:rPr>
          <w:rFonts w:ascii="Avenir LT 65 Medium" w:hAnsi="Avenir LT 65 Medium"/>
          <w:bCs/>
          <w:i w:val="0"/>
          <w:color w:val="auto"/>
        </w:rPr>
        <w:tab/>
      </w:r>
      <w:r w:rsidR="00B46EF1" w:rsidRPr="00C045DD">
        <w:rPr>
          <w:rFonts w:ascii="Avenir LT 65 Medium" w:hAnsi="Avenir LT 65 Medium"/>
          <w:bCs/>
          <w:i w:val="0"/>
          <w:color w:val="auto"/>
        </w:rPr>
        <w:t>Garages, Carports and Outbuildings</w:t>
      </w:r>
    </w:p>
    <w:p w14:paraId="78E72601" w14:textId="77777777" w:rsidR="00B46EF1" w:rsidRDefault="00C045DD" w:rsidP="00C045DD">
      <w:pPr>
        <w:pStyle w:val="Heading5"/>
      </w:pPr>
      <w:r>
        <w:t>3.7.17.3.1</w:t>
      </w:r>
      <w:r>
        <w:tab/>
      </w:r>
      <w:r w:rsidR="00B46EF1" w:rsidRPr="00842387">
        <w:t>Statement</w:t>
      </w:r>
    </w:p>
    <w:p w14:paraId="56A9E847" w14:textId="77777777" w:rsidR="00B46EF1" w:rsidRPr="00C045DD" w:rsidRDefault="00B46EF1" w:rsidP="00C045DD">
      <w:pPr>
        <w:spacing w:line="360" w:lineRule="auto"/>
        <w:rPr>
          <w:rFonts w:ascii="Avenir LT 45 Book" w:eastAsia="Calibri" w:hAnsi="Avenir LT 45 Book"/>
          <w:i/>
          <w:sz w:val="20"/>
        </w:rPr>
      </w:pPr>
      <w:r w:rsidRPr="00C045DD">
        <w:rPr>
          <w:rFonts w:ascii="Avenir LT 45 Book" w:eastAsia="Calibri" w:hAnsi="Avenir LT 45 Book"/>
          <w:i/>
          <w:sz w:val="20"/>
        </w:rPr>
        <w:t>Garages, carports and outbuildings in the Richmond Hill Precinct are generally incorporated into the front facade.  Parking is located to the rear and sides of the traditional buildings.</w:t>
      </w:r>
    </w:p>
    <w:p w14:paraId="4F40C5A2" w14:textId="77777777" w:rsidR="00B46EF1" w:rsidRPr="00C045DD" w:rsidRDefault="00B46EF1" w:rsidP="00C045DD">
      <w:pPr>
        <w:spacing w:line="360" w:lineRule="auto"/>
        <w:rPr>
          <w:rFonts w:ascii="Avenir LT 45 Book" w:eastAsia="Calibri" w:hAnsi="Avenir LT 45 Book"/>
          <w:i/>
          <w:sz w:val="20"/>
        </w:rPr>
      </w:pPr>
      <w:r w:rsidRPr="00C045DD">
        <w:rPr>
          <w:rFonts w:ascii="Avenir LT 45 Book" w:eastAsia="Calibri" w:hAnsi="Avenir LT 45 Book"/>
          <w:i/>
          <w:sz w:val="20"/>
        </w:rPr>
        <w:t>Garages and carports are compatible with the Richmond Hill Precinct.</w:t>
      </w:r>
    </w:p>
    <w:p w14:paraId="02EAA987" w14:textId="77777777" w:rsidR="00B46EF1" w:rsidRPr="00842387" w:rsidRDefault="00B46EF1" w:rsidP="00B46EF1">
      <w:r>
        <w:rPr>
          <w:noProof/>
          <w:lang w:eastAsia="en-AU"/>
        </w:rPr>
        <w:drawing>
          <wp:inline distT="0" distB="0" distL="0" distR="0" wp14:anchorId="7E7E1EFA" wp14:editId="47776ABC">
            <wp:extent cx="2524125" cy="1800225"/>
            <wp:effectExtent l="19050" t="0" r="9525" b="0"/>
            <wp:docPr id="94" name="Picture 31" descr="Z:\2011 JOBS\11206-EAST FREMANTLE GUIDELINES\11206-PHOTOS\PROCESSED\RICHMOND HILL\PRESTON POINT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2011 JOBS\11206-EAST FREMANTLE GUIDELINES\11206-PHOTOS\PROCESSED\RICHMOND HILL\PRESTON POINT ROAD.jpg"/>
                    <pic:cNvPicPr>
                      <a:picLocks noChangeAspect="1" noChangeArrowheads="1"/>
                    </pic:cNvPicPr>
                  </pic:nvPicPr>
                  <pic:blipFill>
                    <a:blip r:embed="rId245"/>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4B4694B9" wp14:editId="6DC462A8">
            <wp:extent cx="2524125" cy="1800225"/>
            <wp:effectExtent l="19050" t="0" r="9525" b="0"/>
            <wp:docPr id="95" name="Picture 32" descr="Z:\2011 JOBS\11206-EAST FREMANTLE GUIDELINES\11206-PHOTOS\PROCESSED\RICHMOND HILL\PARKER STR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2011 JOBS\11206-EAST FREMANTLE GUIDELINES\11206-PHOTOS\PROCESSED\RICHMOND HILL\PARKER STREET 1.jpg"/>
                    <pic:cNvPicPr>
                      <a:picLocks noChangeAspect="1" noChangeArrowheads="1"/>
                    </pic:cNvPicPr>
                  </pic:nvPicPr>
                  <pic:blipFill>
                    <a:blip r:embed="rId246"/>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7F765311" w14:textId="77777777" w:rsidR="00B46EF1" w:rsidRDefault="00B46EF1" w:rsidP="00B46EF1">
      <w:pPr>
        <w:pStyle w:val="Heading5"/>
        <w:spacing w:after="0"/>
        <w:ind w:left="1418" w:hanging="1418"/>
      </w:pPr>
      <w:r>
        <w:t>3.7.17.3.2</w:t>
      </w:r>
      <w:r>
        <w:tab/>
        <w:t>Desired Development Outcomes</w:t>
      </w:r>
    </w:p>
    <w:p w14:paraId="795DA7C3" w14:textId="77777777" w:rsidR="00B46EF1" w:rsidRPr="00C045DD" w:rsidRDefault="00B46EF1" w:rsidP="002A3889">
      <w:pPr>
        <w:pStyle w:val="ListParagraph"/>
        <w:numPr>
          <w:ilvl w:val="0"/>
          <w:numId w:val="195"/>
        </w:numPr>
        <w:spacing w:line="360" w:lineRule="auto"/>
        <w:rPr>
          <w:rFonts w:ascii="Avenir LT 45 Book" w:eastAsia="Calibri" w:hAnsi="Avenir LT 45 Book" w:cs="Times New Roman"/>
          <w:sz w:val="20"/>
        </w:rPr>
      </w:pPr>
      <w:r w:rsidRPr="00C045DD">
        <w:rPr>
          <w:rFonts w:ascii="Avenir LT 45 Book" w:eastAsia="Calibri" w:hAnsi="Avenir LT 45 Book" w:cs="Times New Roman"/>
          <w:sz w:val="20"/>
        </w:rPr>
        <w:t xml:space="preserve">Garages and carports shall be incorporated into and be compatible with, the design of the </w:t>
      </w:r>
      <w:proofErr w:type="gramStart"/>
      <w:r w:rsidRPr="00C045DD">
        <w:rPr>
          <w:rFonts w:ascii="Avenir LT 45 Book" w:eastAsia="Calibri" w:hAnsi="Avenir LT 45 Book" w:cs="Times New Roman"/>
          <w:sz w:val="20"/>
        </w:rPr>
        <w:t>dwelling;</w:t>
      </w:r>
      <w:proofErr w:type="gramEnd"/>
    </w:p>
    <w:p w14:paraId="18F9ED09" w14:textId="77777777" w:rsidR="00B46EF1" w:rsidRPr="00C045DD" w:rsidRDefault="00B46EF1" w:rsidP="002A3889">
      <w:pPr>
        <w:pStyle w:val="ListParagraph"/>
        <w:numPr>
          <w:ilvl w:val="0"/>
          <w:numId w:val="195"/>
        </w:numPr>
        <w:spacing w:line="360" w:lineRule="auto"/>
        <w:rPr>
          <w:rFonts w:ascii="Avenir LT 45 Book" w:eastAsia="Calibri" w:hAnsi="Avenir LT 45 Book" w:cs="Times New Roman"/>
          <w:sz w:val="20"/>
        </w:rPr>
      </w:pPr>
      <w:r w:rsidRPr="00C045DD">
        <w:rPr>
          <w:rFonts w:ascii="Avenir LT 45 Book" w:eastAsia="Calibri" w:hAnsi="Avenir LT 45 Book" w:cs="Times New Roman"/>
          <w:sz w:val="20"/>
        </w:rPr>
        <w:t xml:space="preserve">Garages and carports shall not visually dominate the dwelling as viewed from the </w:t>
      </w:r>
      <w:proofErr w:type="gramStart"/>
      <w:r w:rsidRPr="00C045DD">
        <w:rPr>
          <w:rFonts w:ascii="Avenir LT 45 Book" w:eastAsia="Calibri" w:hAnsi="Avenir LT 45 Book" w:cs="Times New Roman"/>
          <w:sz w:val="20"/>
        </w:rPr>
        <w:t>street;</w:t>
      </w:r>
      <w:proofErr w:type="gramEnd"/>
    </w:p>
    <w:p w14:paraId="47073C39" w14:textId="77777777" w:rsidR="00B46EF1" w:rsidRPr="00C045DD" w:rsidRDefault="00B46EF1" w:rsidP="002A3889">
      <w:pPr>
        <w:pStyle w:val="ListParagraph"/>
        <w:numPr>
          <w:ilvl w:val="0"/>
          <w:numId w:val="195"/>
        </w:numPr>
        <w:spacing w:line="360" w:lineRule="auto"/>
        <w:rPr>
          <w:rFonts w:ascii="Avenir LT 45 Book" w:eastAsia="Calibri" w:hAnsi="Avenir LT 45 Book" w:cs="Times New Roman"/>
          <w:sz w:val="20"/>
        </w:rPr>
      </w:pPr>
      <w:r w:rsidRPr="00C045DD">
        <w:rPr>
          <w:rFonts w:ascii="Avenir LT 45 Book" w:eastAsia="Calibri" w:hAnsi="Avenir LT 45 Book" w:cs="Times New Roman"/>
          <w:sz w:val="20"/>
        </w:rPr>
        <w:t xml:space="preserve">Where possible garages and carports to multiple dwellings to occur at the rear and side of the </w:t>
      </w:r>
      <w:proofErr w:type="gramStart"/>
      <w:r w:rsidRPr="00C045DD">
        <w:rPr>
          <w:rFonts w:ascii="Avenir LT 45 Book" w:eastAsia="Calibri" w:hAnsi="Avenir LT 45 Book" w:cs="Times New Roman"/>
          <w:sz w:val="20"/>
        </w:rPr>
        <w:t>lot;</w:t>
      </w:r>
      <w:proofErr w:type="gramEnd"/>
    </w:p>
    <w:p w14:paraId="7B9E3B42" w14:textId="77777777" w:rsidR="00B46EF1" w:rsidRPr="00C045DD" w:rsidRDefault="00B46EF1" w:rsidP="002A3889">
      <w:pPr>
        <w:pStyle w:val="ListParagraph"/>
        <w:numPr>
          <w:ilvl w:val="0"/>
          <w:numId w:val="195"/>
        </w:numPr>
        <w:spacing w:line="360" w:lineRule="auto"/>
        <w:rPr>
          <w:rFonts w:ascii="Avenir LT 45 Book" w:eastAsia="Calibri" w:hAnsi="Avenir LT 45 Book" w:cs="Times New Roman"/>
          <w:sz w:val="20"/>
        </w:rPr>
      </w:pPr>
      <w:r w:rsidRPr="00C045DD">
        <w:rPr>
          <w:rFonts w:ascii="Avenir LT 45 Book" w:eastAsia="Calibri" w:hAnsi="Avenir LT 45 Book" w:cs="Times New Roman"/>
          <w:sz w:val="20"/>
        </w:rPr>
        <w:t>Materials should not detract visually from the streetscape; and,</w:t>
      </w:r>
    </w:p>
    <w:p w14:paraId="00544A0B" w14:textId="77777777" w:rsidR="00B46EF1" w:rsidRPr="00C045DD" w:rsidRDefault="00B46EF1" w:rsidP="002A3889">
      <w:pPr>
        <w:pStyle w:val="ListParagraph"/>
        <w:numPr>
          <w:ilvl w:val="0"/>
          <w:numId w:val="195"/>
        </w:numPr>
        <w:spacing w:line="360" w:lineRule="auto"/>
        <w:rPr>
          <w:rFonts w:ascii="Avenir LT 45 Book" w:eastAsia="Calibri" w:hAnsi="Avenir LT 45 Book" w:cs="Times New Roman"/>
          <w:sz w:val="20"/>
        </w:rPr>
      </w:pPr>
      <w:r w:rsidRPr="00C045DD">
        <w:rPr>
          <w:rFonts w:ascii="Avenir LT 45 Book" w:eastAsia="Calibri" w:hAnsi="Avenir LT 45 Book" w:cs="Times New Roman"/>
          <w:sz w:val="20"/>
        </w:rPr>
        <w:t>Carports associated with existing residences are not required to mimic or match the materials of the house.</w:t>
      </w:r>
    </w:p>
    <w:p w14:paraId="3CA92D3C" w14:textId="77777777" w:rsidR="00B46EF1" w:rsidRPr="00C045DD" w:rsidRDefault="00B46EF1" w:rsidP="00C045DD">
      <w:pPr>
        <w:pStyle w:val="ListParagraph"/>
        <w:widowControl w:val="0"/>
        <w:tabs>
          <w:tab w:val="right" w:pos="9072"/>
        </w:tabs>
        <w:spacing w:before="240" w:after="0" w:line="240" w:lineRule="auto"/>
        <w:ind w:hanging="720"/>
        <w:rPr>
          <w:rFonts w:ascii="Avenir LT 65 Medium" w:eastAsia="Calibri" w:hAnsi="Avenir LT 65 Medium" w:cs="Times New Roman"/>
          <w:sz w:val="20"/>
        </w:rPr>
      </w:pPr>
      <w:r w:rsidRPr="00C045DD">
        <w:rPr>
          <w:rFonts w:ascii="Avenir LT 65 Medium" w:eastAsia="Calibri" w:hAnsi="Avenir LT 65 Medium" w:cs="Times New Roman"/>
          <w:noProof/>
          <w:sz w:val="20"/>
          <w:lang w:eastAsia="en-AU"/>
        </w:rPr>
        <w:lastRenderedPageBreak/>
        <w:drawing>
          <wp:inline distT="0" distB="0" distL="0" distR="0" wp14:anchorId="2209C4FD" wp14:editId="6BD6DE6C">
            <wp:extent cx="5105400" cy="4933950"/>
            <wp:effectExtent l="0" t="0" r="0" b="0"/>
            <wp:docPr id="219" name="Picture 20" descr="GARAGES 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7.eps"/>
                    <pic:cNvPicPr/>
                  </pic:nvPicPr>
                  <pic:blipFill>
                    <a:blip r:embed="rId217"/>
                    <a:stretch>
                      <a:fillRect/>
                    </a:stretch>
                  </pic:blipFill>
                  <pic:spPr>
                    <a:xfrm>
                      <a:off x="0" y="0"/>
                      <a:ext cx="5105400" cy="4933950"/>
                    </a:xfrm>
                    <a:prstGeom prst="rect">
                      <a:avLst/>
                    </a:prstGeom>
                  </pic:spPr>
                </pic:pic>
              </a:graphicData>
            </a:graphic>
          </wp:inline>
        </w:drawing>
      </w:r>
    </w:p>
    <w:p w14:paraId="41393B34" w14:textId="77777777" w:rsidR="00C045DD" w:rsidRDefault="00C045DD" w:rsidP="00B46EF1">
      <w:pPr>
        <w:pStyle w:val="ListParagraph"/>
        <w:widowControl w:val="0"/>
        <w:tabs>
          <w:tab w:val="right" w:pos="9072"/>
        </w:tabs>
        <w:spacing w:before="240" w:after="0" w:line="240" w:lineRule="auto"/>
        <w:ind w:hanging="720"/>
        <w:rPr>
          <w:rFonts w:ascii="Avenir LT 65 Medium" w:hAnsi="Avenir LT 65 Medium"/>
        </w:rPr>
      </w:pPr>
    </w:p>
    <w:p w14:paraId="4BA10B0A" w14:textId="77777777" w:rsidR="00B46EF1" w:rsidRPr="00C045DD" w:rsidRDefault="00B46EF1" w:rsidP="00B46EF1">
      <w:pPr>
        <w:pStyle w:val="ListParagraph"/>
        <w:widowControl w:val="0"/>
        <w:tabs>
          <w:tab w:val="right" w:pos="9072"/>
        </w:tabs>
        <w:spacing w:before="240" w:after="0" w:line="240" w:lineRule="auto"/>
        <w:ind w:hanging="720"/>
        <w:rPr>
          <w:rFonts w:ascii="Avenir LT 45 Book" w:eastAsia="Calibri" w:hAnsi="Avenir LT 45 Book" w:cs="Times New Roman"/>
          <w:sz w:val="20"/>
        </w:rPr>
      </w:pPr>
      <w:r w:rsidRPr="00C045DD">
        <w:rPr>
          <w:rFonts w:ascii="Avenir LT 65 Medium" w:eastAsia="Calibri" w:hAnsi="Avenir LT 65 Medium" w:cs="Times New Roman"/>
          <w:sz w:val="20"/>
        </w:rPr>
        <w:t>Figure 24</w:t>
      </w:r>
      <w:r w:rsidRPr="00842387">
        <w:t xml:space="preserve"> – </w:t>
      </w:r>
      <w:r w:rsidRPr="00C045DD">
        <w:rPr>
          <w:rFonts w:ascii="Avenir LT 45 Book" w:eastAsia="Calibri" w:hAnsi="Avenir LT 45 Book" w:cs="Times New Roman"/>
          <w:sz w:val="20"/>
        </w:rPr>
        <w:t xml:space="preserve">Plan illustrating compatible garage in new developments – </w:t>
      </w:r>
      <w:r w:rsidRPr="00C045DD">
        <w:rPr>
          <w:rFonts w:ascii="Avenir LT 45 Book" w:eastAsia="Calibri" w:hAnsi="Avenir LT 45 Book" w:cs="Times New Roman"/>
          <w:i/>
          <w:sz w:val="20"/>
        </w:rPr>
        <w:t>Griffiths Architects 2012.</w:t>
      </w:r>
    </w:p>
    <w:p w14:paraId="7C314D9B" w14:textId="77777777" w:rsidR="00B46EF1" w:rsidRPr="000864EE" w:rsidRDefault="00B46EF1" w:rsidP="00B46EF1">
      <w:pPr>
        <w:pStyle w:val="ListParagraph"/>
        <w:widowControl w:val="0"/>
        <w:tabs>
          <w:tab w:val="right" w:pos="9072"/>
        </w:tabs>
        <w:spacing w:before="240" w:after="0" w:line="240" w:lineRule="auto"/>
        <w:ind w:hanging="720"/>
      </w:pPr>
    </w:p>
    <w:p w14:paraId="0A7B1E62" w14:textId="77777777" w:rsidR="00B46EF1" w:rsidRPr="00842387" w:rsidRDefault="00B46EF1" w:rsidP="00B46EF1">
      <w:r>
        <w:rPr>
          <w:noProof/>
          <w:lang w:eastAsia="en-AU"/>
        </w:rPr>
        <w:lastRenderedPageBreak/>
        <w:drawing>
          <wp:inline distT="0" distB="0" distL="0" distR="0" wp14:anchorId="2D1FBE23" wp14:editId="35CE0395">
            <wp:extent cx="5724525" cy="5467350"/>
            <wp:effectExtent l="0" t="0" r="0" b="0"/>
            <wp:docPr id="220" name="Picture 24" descr="GARAGES 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5.eps"/>
                    <pic:cNvPicPr/>
                  </pic:nvPicPr>
                  <pic:blipFill>
                    <a:blip r:embed="rId218"/>
                    <a:stretch>
                      <a:fillRect/>
                    </a:stretch>
                  </pic:blipFill>
                  <pic:spPr>
                    <a:xfrm>
                      <a:off x="0" y="0"/>
                      <a:ext cx="5729344" cy="5471953"/>
                    </a:xfrm>
                    <a:prstGeom prst="rect">
                      <a:avLst/>
                    </a:prstGeom>
                  </pic:spPr>
                </pic:pic>
              </a:graphicData>
            </a:graphic>
          </wp:inline>
        </w:drawing>
      </w:r>
    </w:p>
    <w:p w14:paraId="30495ECF" w14:textId="77777777" w:rsidR="00B46EF1" w:rsidRPr="00C045DD" w:rsidRDefault="00B46EF1" w:rsidP="00B46EF1">
      <w:pPr>
        <w:rPr>
          <w:rFonts w:ascii="Avenir LT 45 Book" w:eastAsia="Calibri" w:hAnsi="Avenir LT 45 Book"/>
          <w:sz w:val="20"/>
        </w:rPr>
      </w:pPr>
      <w:r w:rsidRPr="00C045DD">
        <w:rPr>
          <w:rFonts w:ascii="Avenir LT 65 Medium" w:eastAsia="Calibri" w:hAnsi="Avenir LT 65 Medium"/>
          <w:sz w:val="20"/>
        </w:rPr>
        <w:t>Figure 25</w:t>
      </w:r>
      <w:r w:rsidRPr="00842387">
        <w:t xml:space="preserve"> – </w:t>
      </w:r>
      <w:r w:rsidRPr="00C045DD">
        <w:rPr>
          <w:rFonts w:ascii="Avenir LT 45 Book" w:eastAsia="Calibri" w:hAnsi="Avenir LT 45 Book"/>
          <w:sz w:val="20"/>
        </w:rPr>
        <w:t xml:space="preserve">Site plan illustrating compatible garage locations in residential developments </w:t>
      </w:r>
      <w:r w:rsidRPr="00C045DD">
        <w:rPr>
          <w:rFonts w:ascii="Avenir LT 45 Book" w:eastAsia="Calibri" w:hAnsi="Avenir LT 45 Book"/>
          <w:i/>
          <w:sz w:val="20"/>
        </w:rPr>
        <w:t>– Griffiths Architects 2012</w:t>
      </w:r>
      <w:r w:rsidRPr="00C045DD">
        <w:rPr>
          <w:rFonts w:ascii="Avenir LT 45 Book" w:eastAsia="Calibri" w:hAnsi="Avenir LT 45 Book"/>
          <w:sz w:val="20"/>
        </w:rPr>
        <w:t>.</w:t>
      </w:r>
    </w:p>
    <w:p w14:paraId="09C6F070" w14:textId="77777777" w:rsidR="00B46EF1" w:rsidRDefault="00B46EF1" w:rsidP="00B46EF1">
      <w:pPr>
        <w:pStyle w:val="Heading5"/>
        <w:spacing w:before="360" w:after="120"/>
        <w:ind w:left="1418" w:hanging="1418"/>
      </w:pPr>
      <w:r>
        <w:t>3.7.17.3.3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95"/>
        <w:gridCol w:w="117"/>
        <w:gridCol w:w="4514"/>
      </w:tblGrid>
      <w:tr w:rsidR="00B46EF1" w:rsidRPr="00842387" w14:paraId="1743FD0A" w14:textId="77777777" w:rsidTr="00C045DD">
        <w:tc>
          <w:tcPr>
            <w:tcW w:w="4395" w:type="dxa"/>
            <w:tcBorders>
              <w:bottom w:val="single" w:sz="4" w:space="0" w:color="auto"/>
            </w:tcBorders>
          </w:tcPr>
          <w:p w14:paraId="3002A5DF" w14:textId="77777777" w:rsidR="00B46EF1" w:rsidRDefault="00B46EF1" w:rsidP="008048CE">
            <w:pPr>
              <w:spacing w:after="120"/>
              <w:rPr>
                <w:rFonts w:ascii="Avenir LT 65 Medium" w:hAnsi="Avenir LT 65 Medium"/>
              </w:rPr>
            </w:pPr>
            <w:r w:rsidRPr="00842387">
              <w:rPr>
                <w:rFonts w:ascii="Avenir LT 65 Medium" w:hAnsi="Avenir LT 65 Medium"/>
              </w:rPr>
              <w:t>Performance Criteria</w:t>
            </w:r>
          </w:p>
        </w:tc>
        <w:tc>
          <w:tcPr>
            <w:tcW w:w="4631" w:type="dxa"/>
            <w:gridSpan w:val="2"/>
            <w:tcBorders>
              <w:bottom w:val="single" w:sz="4" w:space="0" w:color="auto"/>
            </w:tcBorders>
          </w:tcPr>
          <w:p w14:paraId="70A223CA" w14:textId="77777777" w:rsidR="00B46EF1" w:rsidRDefault="00B46EF1" w:rsidP="008048CE">
            <w:pPr>
              <w:spacing w:after="120"/>
            </w:pPr>
            <w:r w:rsidRPr="00842387">
              <w:rPr>
                <w:rFonts w:ascii="Avenir LT 65 Medium" w:hAnsi="Avenir LT 65 Medium"/>
              </w:rPr>
              <w:t>Acceptable Development Provisions</w:t>
            </w:r>
          </w:p>
        </w:tc>
      </w:tr>
      <w:tr w:rsidR="00B46EF1" w:rsidRPr="00842387" w14:paraId="51C55CAE" w14:textId="77777777" w:rsidTr="00C045DD">
        <w:tc>
          <w:tcPr>
            <w:tcW w:w="4395" w:type="dxa"/>
            <w:tcBorders>
              <w:top w:val="single" w:sz="4" w:space="0" w:color="auto"/>
              <w:bottom w:val="nil"/>
            </w:tcBorders>
          </w:tcPr>
          <w:p w14:paraId="264F1777" w14:textId="77777777" w:rsidR="00B46EF1" w:rsidRDefault="00B46EF1" w:rsidP="008048CE">
            <w:pPr>
              <w:spacing w:before="120"/>
              <w:rPr>
                <w:szCs w:val="20"/>
              </w:rPr>
            </w:pPr>
            <w:r w:rsidRPr="00842387">
              <w:rPr>
                <w:rFonts w:ascii="Avenir LT 65 Medium" w:hAnsi="Avenir LT 65 Medium"/>
                <w:szCs w:val="20"/>
              </w:rPr>
              <w:t>All Dwellings</w:t>
            </w:r>
          </w:p>
          <w:p w14:paraId="4343F7DD" w14:textId="77777777" w:rsidR="00B46EF1" w:rsidRDefault="00B46EF1" w:rsidP="002A3889">
            <w:pPr>
              <w:pStyle w:val="ListParagraph"/>
              <w:numPr>
                <w:ilvl w:val="0"/>
                <w:numId w:val="196"/>
              </w:numPr>
              <w:spacing w:before="120" w:line="360" w:lineRule="auto"/>
              <w:ind w:left="567" w:hanging="504"/>
              <w:contextualSpacing w:val="0"/>
            </w:pPr>
            <w:r w:rsidRPr="00C045DD">
              <w:rPr>
                <w:rFonts w:ascii="Avenir LT 45 Book" w:eastAsia="Calibri" w:hAnsi="Avenir LT 45 Book" w:cs="Times New Roman"/>
                <w:sz w:val="20"/>
              </w:rPr>
              <w:t>Garages to new developments do not visually detract from the streetscape.</w:t>
            </w:r>
          </w:p>
        </w:tc>
        <w:tc>
          <w:tcPr>
            <w:tcW w:w="4631" w:type="dxa"/>
            <w:gridSpan w:val="2"/>
            <w:tcBorders>
              <w:top w:val="single" w:sz="4" w:space="0" w:color="auto"/>
              <w:bottom w:val="nil"/>
            </w:tcBorders>
          </w:tcPr>
          <w:p w14:paraId="2188A5A4" w14:textId="77777777" w:rsidR="00B46EF1" w:rsidRDefault="00B46EF1" w:rsidP="008048CE">
            <w:pPr>
              <w:spacing w:before="120"/>
              <w:rPr>
                <w:szCs w:val="20"/>
              </w:rPr>
            </w:pPr>
            <w:r w:rsidRPr="00842387">
              <w:rPr>
                <w:rFonts w:ascii="Avenir LT 65 Medium" w:hAnsi="Avenir LT 65 Medium"/>
                <w:szCs w:val="20"/>
              </w:rPr>
              <w:t>All Dwellings</w:t>
            </w:r>
          </w:p>
          <w:p w14:paraId="12473B94" w14:textId="77777777" w:rsidR="00B46EF1" w:rsidRDefault="00B46EF1" w:rsidP="002A3889">
            <w:pPr>
              <w:pStyle w:val="ListParagraph"/>
              <w:numPr>
                <w:ilvl w:val="0"/>
                <w:numId w:val="197"/>
              </w:numPr>
              <w:spacing w:before="120" w:after="120" w:line="360" w:lineRule="auto"/>
              <w:ind w:left="624" w:hanging="505"/>
              <w:contextualSpacing w:val="0"/>
            </w:pPr>
            <w:r w:rsidRPr="00C045DD">
              <w:rPr>
                <w:rFonts w:ascii="Avenir LT 45 Book" w:eastAsia="Calibri" w:hAnsi="Avenir LT 45 Book" w:cs="Times New Roman"/>
                <w:sz w:val="20"/>
              </w:rPr>
              <w:t>Garages are incorporated into the front façade.</w:t>
            </w:r>
          </w:p>
        </w:tc>
      </w:tr>
      <w:tr w:rsidR="00B46EF1" w:rsidRPr="00842387" w14:paraId="444E3E78" w14:textId="77777777" w:rsidTr="00C045DD">
        <w:tc>
          <w:tcPr>
            <w:tcW w:w="4395" w:type="dxa"/>
            <w:tcBorders>
              <w:top w:val="nil"/>
              <w:bottom w:val="nil"/>
            </w:tcBorders>
          </w:tcPr>
          <w:p w14:paraId="1B8156BB" w14:textId="77777777" w:rsidR="00B46EF1" w:rsidRDefault="00B46EF1" w:rsidP="002A3889">
            <w:pPr>
              <w:pStyle w:val="ListParagraph"/>
              <w:numPr>
                <w:ilvl w:val="0"/>
                <w:numId w:val="196"/>
              </w:numPr>
              <w:spacing w:before="120" w:line="360" w:lineRule="auto"/>
              <w:ind w:left="567" w:hanging="504"/>
              <w:contextualSpacing w:val="0"/>
              <w:rPr>
                <w:rFonts w:ascii="Avenir LT 65 Medium" w:hAnsi="Avenir LT 65 Medium"/>
                <w:szCs w:val="20"/>
              </w:rPr>
            </w:pPr>
            <w:r w:rsidRPr="00C045DD">
              <w:rPr>
                <w:rFonts w:ascii="Avenir LT 45 Book" w:eastAsia="Calibri" w:hAnsi="Avenir LT 45 Book" w:cs="Times New Roman"/>
                <w:sz w:val="20"/>
              </w:rPr>
              <w:t>Garages, carports or outbuildings should comply with the recommended building materials for the Precinct.</w:t>
            </w:r>
          </w:p>
        </w:tc>
        <w:tc>
          <w:tcPr>
            <w:tcW w:w="4631" w:type="dxa"/>
            <w:gridSpan w:val="2"/>
            <w:tcBorders>
              <w:top w:val="nil"/>
              <w:bottom w:val="nil"/>
            </w:tcBorders>
          </w:tcPr>
          <w:p w14:paraId="4BE8FD67" w14:textId="77777777" w:rsidR="00B46EF1" w:rsidRDefault="00B46EF1" w:rsidP="002A3889">
            <w:pPr>
              <w:pStyle w:val="ListParagraph"/>
              <w:numPr>
                <w:ilvl w:val="0"/>
                <w:numId w:val="197"/>
              </w:numPr>
              <w:spacing w:after="120" w:line="360" w:lineRule="auto"/>
              <w:ind w:left="624" w:hanging="505"/>
              <w:contextualSpacing w:val="0"/>
              <w:rPr>
                <w:rFonts w:ascii="Avenir LT 65 Medium" w:hAnsi="Avenir LT 65 Medium"/>
                <w:szCs w:val="20"/>
              </w:rPr>
            </w:pPr>
            <w:r w:rsidRPr="00C045DD">
              <w:rPr>
                <w:rFonts w:ascii="Avenir LT 45 Book" w:eastAsia="Calibri" w:hAnsi="Avenir LT 45 Book" w:cs="Times New Roman"/>
                <w:sz w:val="20"/>
              </w:rPr>
              <w:t>Refer Section Materials and Colours.  Plans, elevations and section drawings are to be provided to demonstrate the impact of the garage or carport on the existing dwelling.</w:t>
            </w:r>
          </w:p>
        </w:tc>
      </w:tr>
      <w:tr w:rsidR="00B46EF1" w:rsidRPr="00220B1B" w14:paraId="57702044" w14:textId="77777777" w:rsidTr="00A766F0">
        <w:tc>
          <w:tcPr>
            <w:tcW w:w="4512" w:type="dxa"/>
            <w:gridSpan w:val="2"/>
            <w:tcBorders>
              <w:top w:val="nil"/>
              <w:bottom w:val="nil"/>
            </w:tcBorders>
          </w:tcPr>
          <w:p w14:paraId="08BF6A92" w14:textId="77777777" w:rsidR="00B46EF1" w:rsidRDefault="00B46EF1" w:rsidP="008048CE">
            <w:pPr>
              <w:spacing w:before="120"/>
              <w:rPr>
                <w:szCs w:val="20"/>
              </w:rPr>
            </w:pPr>
            <w:r w:rsidRPr="00842387">
              <w:rPr>
                <w:rFonts w:ascii="Avenir LT 65 Medium" w:hAnsi="Avenir LT 65 Medium"/>
                <w:szCs w:val="20"/>
              </w:rPr>
              <w:t>Existing Dwellings</w:t>
            </w:r>
          </w:p>
          <w:p w14:paraId="326828E0" w14:textId="77777777" w:rsidR="00B46EF1" w:rsidRPr="00220B1B" w:rsidRDefault="00B46EF1" w:rsidP="002A3889">
            <w:pPr>
              <w:pStyle w:val="ListParagraph"/>
              <w:numPr>
                <w:ilvl w:val="0"/>
                <w:numId w:val="196"/>
              </w:numPr>
              <w:spacing w:before="120" w:line="360" w:lineRule="auto"/>
              <w:ind w:left="567" w:hanging="504"/>
              <w:contextualSpacing w:val="0"/>
              <w:rPr>
                <w:rFonts w:ascii="Avenir LT 45 Book" w:eastAsia="Calibri" w:hAnsi="Avenir LT 45 Book" w:cs="Times New Roman"/>
                <w:sz w:val="20"/>
              </w:rPr>
            </w:pPr>
            <w:r w:rsidRPr="00220B1B">
              <w:rPr>
                <w:rFonts w:ascii="Avenir LT 45 Book" w:eastAsia="Calibri" w:hAnsi="Avenir LT 45 Book" w:cs="Times New Roman"/>
                <w:sz w:val="20"/>
              </w:rPr>
              <w:lastRenderedPageBreak/>
              <w:t>For existing contributory buildings where there are no alternatives, carports may be located forward of the building line, provided they:</w:t>
            </w:r>
          </w:p>
          <w:p w14:paraId="60F4D7F0" w14:textId="77777777" w:rsidR="00B46EF1" w:rsidRPr="00220B1B" w:rsidRDefault="00B46EF1" w:rsidP="002A3889">
            <w:pPr>
              <w:pStyle w:val="ListParagraph"/>
              <w:numPr>
                <w:ilvl w:val="0"/>
                <w:numId w:val="199"/>
              </w:numPr>
              <w:spacing w:line="360" w:lineRule="auto"/>
              <w:contextualSpacing w:val="0"/>
              <w:rPr>
                <w:rFonts w:ascii="Avenir LT 45 Book" w:eastAsia="Calibri" w:hAnsi="Avenir LT 45 Book" w:cs="Times New Roman"/>
                <w:sz w:val="20"/>
              </w:rPr>
            </w:pPr>
            <w:r w:rsidRPr="00220B1B">
              <w:rPr>
                <w:rFonts w:ascii="Avenir LT 45 Book" w:eastAsia="Calibri" w:hAnsi="Avenir LT 45 Book" w:cs="Times New Roman"/>
                <w:sz w:val="20"/>
              </w:rPr>
              <w:t>Do not visually dominate the streetscape or the buildings to which they belong; and,</w:t>
            </w:r>
          </w:p>
          <w:p w14:paraId="2C0D05BA" w14:textId="77777777" w:rsidR="00B46EF1" w:rsidRDefault="00B46EF1" w:rsidP="002A3889">
            <w:pPr>
              <w:pStyle w:val="ListParagraph"/>
              <w:numPr>
                <w:ilvl w:val="0"/>
                <w:numId w:val="199"/>
              </w:numPr>
              <w:spacing w:line="360" w:lineRule="auto"/>
              <w:contextualSpacing w:val="0"/>
            </w:pPr>
            <w:r w:rsidRPr="00220B1B">
              <w:rPr>
                <w:rFonts w:ascii="Avenir LT 45 Book" w:eastAsia="Calibri" w:hAnsi="Avenir LT 45 Book" w:cs="Times New Roman"/>
                <w:sz w:val="20"/>
              </w:rPr>
              <w:t>Do not detract from the heritage character of a contributory</w:t>
            </w:r>
            <w:r w:rsidRPr="00842387">
              <w:t xml:space="preserve"> </w:t>
            </w:r>
            <w:r w:rsidRPr="00220B1B">
              <w:rPr>
                <w:rFonts w:ascii="Avenir LT 45 Book" w:eastAsia="Calibri" w:hAnsi="Avenir LT 45 Book" w:cs="Times New Roman"/>
                <w:sz w:val="20"/>
              </w:rPr>
              <w:t>building</w:t>
            </w:r>
            <w:r w:rsidRPr="00842387">
              <w:t>.</w:t>
            </w:r>
          </w:p>
        </w:tc>
        <w:tc>
          <w:tcPr>
            <w:tcW w:w="4514" w:type="dxa"/>
            <w:tcBorders>
              <w:top w:val="nil"/>
              <w:bottom w:val="nil"/>
            </w:tcBorders>
          </w:tcPr>
          <w:p w14:paraId="0AA18DDC" w14:textId="77777777" w:rsidR="00B46EF1" w:rsidRDefault="00B46EF1" w:rsidP="008048CE">
            <w:pPr>
              <w:spacing w:before="120"/>
              <w:rPr>
                <w:szCs w:val="20"/>
              </w:rPr>
            </w:pPr>
            <w:r w:rsidRPr="00842387">
              <w:rPr>
                <w:rFonts w:ascii="Avenir LT 65 Medium" w:hAnsi="Avenir LT 65 Medium"/>
                <w:szCs w:val="20"/>
              </w:rPr>
              <w:lastRenderedPageBreak/>
              <w:t>Existing Dwellings</w:t>
            </w:r>
          </w:p>
          <w:p w14:paraId="72CBE9DD" w14:textId="77777777" w:rsidR="00B46EF1" w:rsidRPr="00220B1B" w:rsidRDefault="00B46EF1" w:rsidP="002A3889">
            <w:pPr>
              <w:pStyle w:val="ListParagraph"/>
              <w:numPr>
                <w:ilvl w:val="0"/>
                <w:numId w:val="197"/>
              </w:numPr>
              <w:spacing w:before="120" w:line="360" w:lineRule="auto"/>
              <w:ind w:left="624" w:hanging="505"/>
              <w:contextualSpacing w:val="0"/>
              <w:rPr>
                <w:rFonts w:ascii="Avenir LT 45 Book" w:eastAsia="Calibri" w:hAnsi="Avenir LT 45 Book" w:cs="Times New Roman"/>
                <w:sz w:val="20"/>
              </w:rPr>
            </w:pPr>
            <w:r w:rsidRPr="00220B1B">
              <w:rPr>
                <w:rFonts w:ascii="Avenir LT 45 Book" w:eastAsia="Calibri" w:hAnsi="Avenir LT 45 Book" w:cs="Times New Roman"/>
                <w:sz w:val="20"/>
              </w:rPr>
              <w:t>Garages and carports are constructed behind the building line and comply with the following:</w:t>
            </w:r>
          </w:p>
          <w:p w14:paraId="13D7C54A" w14:textId="77777777" w:rsidR="00B46EF1" w:rsidRPr="00220B1B" w:rsidRDefault="00B46EF1" w:rsidP="002A3889">
            <w:pPr>
              <w:pStyle w:val="ListParagraph"/>
              <w:numPr>
                <w:ilvl w:val="0"/>
                <w:numId w:val="198"/>
              </w:numPr>
              <w:spacing w:line="360" w:lineRule="auto"/>
              <w:contextualSpacing w:val="0"/>
              <w:rPr>
                <w:rFonts w:ascii="Avenir LT 45 Book" w:eastAsia="Calibri" w:hAnsi="Avenir LT 45 Book" w:cs="Times New Roman"/>
                <w:sz w:val="20"/>
              </w:rPr>
            </w:pPr>
            <w:r w:rsidRPr="00220B1B">
              <w:rPr>
                <w:rFonts w:ascii="Avenir LT 45 Book" w:eastAsia="Calibri" w:hAnsi="Avenir LT 45 Book" w:cs="Times New Roman"/>
                <w:sz w:val="20"/>
              </w:rPr>
              <w:lastRenderedPageBreak/>
              <w:t>Setback a minimum distance of 1.2m behind the building line; and,</w:t>
            </w:r>
          </w:p>
          <w:p w14:paraId="57B8610D" w14:textId="77777777" w:rsidR="00B46EF1" w:rsidRDefault="00B46EF1" w:rsidP="002A3889">
            <w:pPr>
              <w:pStyle w:val="ListParagraph"/>
              <w:numPr>
                <w:ilvl w:val="0"/>
                <w:numId w:val="198"/>
              </w:numPr>
              <w:spacing w:line="360" w:lineRule="auto"/>
              <w:contextualSpacing w:val="0"/>
            </w:pPr>
            <w:r w:rsidRPr="00220B1B">
              <w:rPr>
                <w:rFonts w:ascii="Avenir LT 45 Book" w:eastAsia="Calibri" w:hAnsi="Avenir LT 45 Book" w:cs="Times New Roman"/>
                <w:sz w:val="20"/>
              </w:rPr>
              <w:t>The width of garages and carports are not greater than 30% of the frontage of the lot.</w:t>
            </w:r>
          </w:p>
        </w:tc>
      </w:tr>
      <w:tr w:rsidR="00B46EF1" w:rsidRPr="00842387" w14:paraId="5803BFF8" w14:textId="77777777" w:rsidTr="00A766F0">
        <w:tc>
          <w:tcPr>
            <w:tcW w:w="4512" w:type="dxa"/>
            <w:gridSpan w:val="2"/>
            <w:tcBorders>
              <w:top w:val="nil"/>
              <w:bottom w:val="nil"/>
            </w:tcBorders>
          </w:tcPr>
          <w:p w14:paraId="0392A3CD" w14:textId="77777777" w:rsidR="00B46EF1" w:rsidRDefault="00B46EF1" w:rsidP="008048CE">
            <w:pPr>
              <w:spacing w:before="120"/>
              <w:rPr>
                <w:szCs w:val="20"/>
              </w:rPr>
            </w:pPr>
            <w:r w:rsidRPr="00842387">
              <w:rPr>
                <w:rFonts w:ascii="Avenir LT 65 Medium" w:hAnsi="Avenir LT 65 Medium"/>
                <w:szCs w:val="20"/>
              </w:rPr>
              <w:lastRenderedPageBreak/>
              <w:t>New Dwellings</w:t>
            </w:r>
          </w:p>
          <w:p w14:paraId="2BA2B3CF" w14:textId="77777777" w:rsidR="00B46EF1" w:rsidRDefault="00B46EF1" w:rsidP="002A3889">
            <w:pPr>
              <w:pStyle w:val="ListParagraph"/>
              <w:numPr>
                <w:ilvl w:val="0"/>
                <w:numId w:val="196"/>
              </w:numPr>
              <w:spacing w:line="360" w:lineRule="auto"/>
              <w:ind w:left="567" w:hanging="504"/>
              <w:contextualSpacing w:val="0"/>
            </w:pPr>
            <w:r w:rsidRPr="00220B1B">
              <w:rPr>
                <w:rFonts w:ascii="Avenir LT 45 Book" w:eastAsia="Calibri" w:hAnsi="Avenir LT 45 Book" w:cs="Times New Roman"/>
                <w:sz w:val="20"/>
              </w:rPr>
              <w:t>Garages and carports are designed to be incorporated into, and compatible with, the design of the dwelling.</w:t>
            </w:r>
          </w:p>
        </w:tc>
        <w:tc>
          <w:tcPr>
            <w:tcW w:w="4514" w:type="dxa"/>
            <w:tcBorders>
              <w:top w:val="nil"/>
              <w:bottom w:val="nil"/>
            </w:tcBorders>
          </w:tcPr>
          <w:p w14:paraId="1BD8D8DA" w14:textId="77777777" w:rsidR="00B46EF1" w:rsidRDefault="00B46EF1" w:rsidP="008048CE">
            <w:pPr>
              <w:spacing w:before="120"/>
              <w:rPr>
                <w:szCs w:val="20"/>
              </w:rPr>
            </w:pPr>
            <w:r w:rsidRPr="00842387">
              <w:rPr>
                <w:rFonts w:ascii="Avenir LT 65 Medium" w:hAnsi="Avenir LT 65 Medium"/>
                <w:szCs w:val="20"/>
              </w:rPr>
              <w:t>New Dwellings</w:t>
            </w:r>
          </w:p>
          <w:p w14:paraId="6903F610" w14:textId="77777777" w:rsidR="00B46EF1" w:rsidRDefault="00B46EF1" w:rsidP="002A3889">
            <w:pPr>
              <w:pStyle w:val="ListParagraph"/>
              <w:numPr>
                <w:ilvl w:val="0"/>
                <w:numId w:val="197"/>
              </w:numPr>
              <w:spacing w:after="120" w:line="360" w:lineRule="auto"/>
              <w:ind w:left="624" w:hanging="505"/>
              <w:contextualSpacing w:val="0"/>
            </w:pPr>
            <w:r w:rsidRPr="00220B1B">
              <w:rPr>
                <w:rFonts w:ascii="Avenir LT 45 Book" w:eastAsia="Calibri" w:hAnsi="Avenir LT 45 Book" w:cs="Times New Roman"/>
                <w:sz w:val="20"/>
              </w:rPr>
              <w:t>Plans, elevations and section drawings are to be provided to demonstrate the impact of the garage or carport on the new dwelling.</w:t>
            </w:r>
          </w:p>
        </w:tc>
      </w:tr>
      <w:tr w:rsidR="00B46EF1" w:rsidRPr="00842387" w14:paraId="15F13FC3" w14:textId="77777777" w:rsidTr="00A766F0">
        <w:tc>
          <w:tcPr>
            <w:tcW w:w="4512" w:type="dxa"/>
            <w:gridSpan w:val="2"/>
            <w:tcBorders>
              <w:top w:val="nil"/>
              <w:bottom w:val="nil"/>
            </w:tcBorders>
          </w:tcPr>
          <w:p w14:paraId="22E8661C" w14:textId="77777777" w:rsidR="00B46EF1" w:rsidRDefault="00B46EF1" w:rsidP="008048CE">
            <w:pPr>
              <w:spacing w:before="120"/>
              <w:rPr>
                <w:szCs w:val="20"/>
              </w:rPr>
            </w:pPr>
            <w:r w:rsidRPr="00842387">
              <w:rPr>
                <w:rFonts w:ascii="Avenir LT 65 Medium" w:hAnsi="Avenir LT 65 Medium"/>
                <w:szCs w:val="20"/>
              </w:rPr>
              <w:t>Multiple and Grouped Dwellings</w:t>
            </w:r>
          </w:p>
          <w:p w14:paraId="48A211EB" w14:textId="77777777" w:rsidR="00B46EF1" w:rsidRDefault="00B46EF1" w:rsidP="002A3889">
            <w:pPr>
              <w:pStyle w:val="ListParagraph"/>
              <w:numPr>
                <w:ilvl w:val="0"/>
                <w:numId w:val="196"/>
              </w:numPr>
              <w:spacing w:line="360" w:lineRule="auto"/>
              <w:ind w:left="567" w:hanging="504"/>
              <w:contextualSpacing w:val="0"/>
            </w:pPr>
            <w:r w:rsidRPr="00220B1B">
              <w:rPr>
                <w:rFonts w:ascii="Avenir LT 45 Book" w:eastAsia="Calibri" w:hAnsi="Avenir LT 45 Book" w:cs="Times New Roman"/>
                <w:sz w:val="20"/>
              </w:rPr>
              <w:t>Adequate car and bicycle parking provided on-site in accordance with development requirements.</w:t>
            </w:r>
          </w:p>
        </w:tc>
        <w:tc>
          <w:tcPr>
            <w:tcW w:w="4514" w:type="dxa"/>
            <w:tcBorders>
              <w:top w:val="nil"/>
              <w:bottom w:val="nil"/>
            </w:tcBorders>
          </w:tcPr>
          <w:p w14:paraId="0C9644BB" w14:textId="77777777" w:rsidR="00B46EF1" w:rsidRDefault="00B46EF1" w:rsidP="008048CE">
            <w:pPr>
              <w:spacing w:before="120"/>
              <w:rPr>
                <w:szCs w:val="20"/>
              </w:rPr>
            </w:pPr>
            <w:r w:rsidRPr="00842387">
              <w:rPr>
                <w:rFonts w:ascii="Avenir LT 65 Medium" w:hAnsi="Avenir LT 65 Medium"/>
                <w:szCs w:val="20"/>
              </w:rPr>
              <w:t>Multiple and Grouped Dwellings</w:t>
            </w:r>
          </w:p>
          <w:p w14:paraId="7BD78409" w14:textId="77777777" w:rsidR="00B46EF1" w:rsidRDefault="00B46EF1" w:rsidP="002A3889">
            <w:pPr>
              <w:pStyle w:val="ListParagraph"/>
              <w:numPr>
                <w:ilvl w:val="0"/>
                <w:numId w:val="197"/>
              </w:numPr>
              <w:spacing w:after="120" w:line="360" w:lineRule="auto"/>
              <w:ind w:left="624" w:hanging="505"/>
              <w:contextualSpacing w:val="0"/>
            </w:pPr>
            <w:r w:rsidRPr="00220B1B">
              <w:rPr>
                <w:rFonts w:ascii="Avenir LT 45 Book" w:eastAsia="Calibri" w:hAnsi="Avenir LT 45 Book" w:cs="Times New Roman"/>
                <w:sz w:val="20"/>
              </w:rPr>
              <w:t>Refer R Codes for car space and bicycle space requirements.</w:t>
            </w:r>
          </w:p>
        </w:tc>
      </w:tr>
      <w:tr w:rsidR="00B46EF1" w:rsidRPr="00842387" w14:paraId="7397F1DB" w14:textId="77777777" w:rsidTr="00A766F0">
        <w:tc>
          <w:tcPr>
            <w:tcW w:w="4512" w:type="dxa"/>
            <w:gridSpan w:val="2"/>
            <w:tcBorders>
              <w:top w:val="nil"/>
            </w:tcBorders>
          </w:tcPr>
          <w:p w14:paraId="6327E44B" w14:textId="77777777" w:rsidR="00B46EF1" w:rsidRDefault="00B46EF1" w:rsidP="002A3889">
            <w:pPr>
              <w:pStyle w:val="ListParagraph"/>
              <w:numPr>
                <w:ilvl w:val="0"/>
                <w:numId w:val="196"/>
              </w:numPr>
              <w:spacing w:line="360" w:lineRule="auto"/>
              <w:ind w:left="567" w:hanging="504"/>
              <w:contextualSpacing w:val="0"/>
              <w:rPr>
                <w:rFonts w:ascii="Avenir LT 65 Medium" w:hAnsi="Avenir LT 65 Medium"/>
                <w:szCs w:val="20"/>
              </w:rPr>
            </w:pPr>
            <w:r w:rsidRPr="00220B1B">
              <w:rPr>
                <w:rFonts w:ascii="Avenir LT 45 Book" w:eastAsia="Calibri" w:hAnsi="Avenir LT 45 Book" w:cs="Times New Roman"/>
                <w:sz w:val="20"/>
              </w:rPr>
              <w:t>Garages and carports shall not be prominent on the primary street façade.</w:t>
            </w:r>
          </w:p>
        </w:tc>
        <w:tc>
          <w:tcPr>
            <w:tcW w:w="4514" w:type="dxa"/>
            <w:tcBorders>
              <w:top w:val="nil"/>
            </w:tcBorders>
          </w:tcPr>
          <w:p w14:paraId="0C6E03E4" w14:textId="77777777" w:rsidR="00B46EF1" w:rsidRDefault="00B46EF1" w:rsidP="002A3889">
            <w:pPr>
              <w:pStyle w:val="ListParagraph"/>
              <w:numPr>
                <w:ilvl w:val="0"/>
                <w:numId w:val="197"/>
              </w:numPr>
              <w:spacing w:line="360" w:lineRule="auto"/>
              <w:ind w:left="624" w:hanging="505"/>
              <w:contextualSpacing w:val="0"/>
              <w:rPr>
                <w:rFonts w:ascii="Avenir LT 65 Medium" w:hAnsi="Avenir LT 65 Medium"/>
                <w:szCs w:val="20"/>
              </w:rPr>
            </w:pPr>
            <w:r w:rsidRPr="00220B1B">
              <w:rPr>
                <w:rFonts w:ascii="Avenir LT 45 Book" w:eastAsia="Calibri" w:hAnsi="Avenir LT 45 Book" w:cs="Times New Roman"/>
                <w:sz w:val="20"/>
              </w:rPr>
              <w:t>Garages designed at the rear of the lot</w:t>
            </w:r>
            <w:r w:rsidRPr="00E37D85">
              <w:t>.</w:t>
            </w:r>
          </w:p>
        </w:tc>
      </w:tr>
    </w:tbl>
    <w:p w14:paraId="272648F5" w14:textId="77777777" w:rsidR="00B46EF1" w:rsidRDefault="00B46EF1" w:rsidP="00B46EF1">
      <w:pPr>
        <w:pStyle w:val="Heading5"/>
        <w:spacing w:before="360"/>
        <w:ind w:left="1418" w:hanging="1418"/>
      </w:pPr>
      <w:r>
        <w:t>3.7.17.4</w:t>
      </w:r>
      <w:r>
        <w:tab/>
        <w:t>Building Design Requirements</w:t>
      </w:r>
    </w:p>
    <w:p w14:paraId="02C9B626" w14:textId="77777777" w:rsidR="00B46EF1" w:rsidRDefault="00B46EF1" w:rsidP="00B46EF1">
      <w:pPr>
        <w:pStyle w:val="Heading5"/>
        <w:ind w:left="1418" w:hanging="1418"/>
      </w:pPr>
      <w:r>
        <w:t>3.7.17.4.1</w:t>
      </w:r>
      <w:r>
        <w:tab/>
        <w:t>Building Height, Form, Scale &amp; Bulk</w:t>
      </w:r>
    </w:p>
    <w:p w14:paraId="0F5D8CCD" w14:textId="77777777" w:rsidR="00B46EF1" w:rsidRDefault="00B46EF1" w:rsidP="00B46EF1">
      <w:pPr>
        <w:pStyle w:val="Heading5"/>
        <w:ind w:left="1418" w:hanging="1418"/>
      </w:pPr>
      <w:r>
        <w:t>3.7.17.4.1.1</w:t>
      </w:r>
      <w:r>
        <w:tab/>
        <w:t>Statement</w:t>
      </w:r>
    </w:p>
    <w:p w14:paraId="12EF4269" w14:textId="77777777" w:rsidR="00B46EF1" w:rsidRPr="00220B1B" w:rsidRDefault="00B46EF1" w:rsidP="00220B1B">
      <w:pPr>
        <w:spacing w:line="360" w:lineRule="auto"/>
        <w:rPr>
          <w:rFonts w:ascii="Avenir LT 45 Book" w:eastAsia="Calibri" w:hAnsi="Avenir LT 45 Book"/>
          <w:i/>
          <w:sz w:val="20"/>
        </w:rPr>
      </w:pPr>
      <w:r w:rsidRPr="00220B1B">
        <w:rPr>
          <w:rFonts w:ascii="Avenir LT 45 Book" w:eastAsia="Calibri" w:hAnsi="Avenir LT 45 Book"/>
          <w:i/>
          <w:sz w:val="20"/>
        </w:rPr>
        <w:t>Dwellings that contribute positively to the character and significance of the Richmond Hill Precinct are generally of similar form, bulk and scale.  The prevailing form is substantial single and double storey residences orientated towards the river.  Residences with river views are such a strong characteristic that the scale of new developments should reflect the scale of the immediate locality.  Single and two storey dwellings are compatible in the Richmond Hill Precinct.  Lot sizes and setbacks are also consistent throughout the Precinct.  In any new development, the form, bulk and scale will need to be demonstrably compatible with the existing and surrounding residences.</w:t>
      </w:r>
    </w:p>
    <w:p w14:paraId="7FD36785" w14:textId="77777777" w:rsidR="00B46EF1" w:rsidRDefault="00B46EF1" w:rsidP="00B46EF1">
      <w:r>
        <w:rPr>
          <w:noProof/>
          <w:lang w:eastAsia="en-AU"/>
        </w:rPr>
        <w:drawing>
          <wp:inline distT="0" distB="0" distL="0" distR="0" wp14:anchorId="3B6C2DD1" wp14:editId="402677BA">
            <wp:extent cx="2524125" cy="1800225"/>
            <wp:effectExtent l="19050" t="0" r="9525" b="0"/>
            <wp:docPr id="125" name="Picture 62" descr="Z:\2011 JOBS\11206-EAST FREMANTLE GUIDELINES\11206-PHOTOS\PROCESSED\RICHMOND HILL\52 VIEW TER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Z:\2011 JOBS\11206-EAST FREMANTLE GUIDELINES\11206-PHOTOS\PROCESSED\RICHMOND HILL\52 VIEW TERRACE.jpg"/>
                    <pic:cNvPicPr>
                      <a:picLocks noChangeAspect="1" noChangeArrowheads="1"/>
                    </pic:cNvPicPr>
                  </pic:nvPicPr>
                  <pic:blipFill>
                    <a:blip r:embed="rId247"/>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1ECBFB61" wp14:editId="127785CB">
            <wp:extent cx="2524125" cy="1800225"/>
            <wp:effectExtent l="19050" t="0" r="9525" b="0"/>
            <wp:docPr id="126" name="Picture 63" descr="Z:\2011 JOBS\11206-EAST FREMANTLE GUIDELINES\11206-PHOTOS\PROCESSED\RICHMOND HILL\2 VIEW TER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2011 JOBS\11206-EAST FREMANTLE GUIDELINES\11206-PHOTOS\PROCESSED\RICHMOND HILL\2 VIEW TERRACE.jpg"/>
                    <pic:cNvPicPr>
                      <a:picLocks noChangeAspect="1" noChangeArrowheads="1"/>
                    </pic:cNvPicPr>
                  </pic:nvPicPr>
                  <pic:blipFill>
                    <a:blip r:embed="rId248"/>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6C374E0D" w14:textId="77777777" w:rsidR="00B46EF1" w:rsidRDefault="00B46EF1" w:rsidP="00220B1B">
      <w:pPr>
        <w:pStyle w:val="Heading5"/>
        <w:spacing w:before="240"/>
        <w:ind w:left="1418" w:hanging="1418"/>
      </w:pPr>
      <w:r>
        <w:t>3.7.17.4.1.2</w:t>
      </w:r>
      <w:r>
        <w:tab/>
        <w:t>Desired Development Outcomes</w:t>
      </w:r>
    </w:p>
    <w:p w14:paraId="20BA48ED" w14:textId="77777777" w:rsidR="00B46EF1" w:rsidRPr="00220B1B" w:rsidRDefault="00B46EF1" w:rsidP="002A3889">
      <w:pPr>
        <w:pStyle w:val="ListParagraph"/>
        <w:numPr>
          <w:ilvl w:val="0"/>
          <w:numId w:val="200"/>
        </w:numPr>
        <w:spacing w:line="360" w:lineRule="auto"/>
        <w:ind w:left="714" w:hanging="357"/>
        <w:contextualSpacing w:val="0"/>
        <w:rPr>
          <w:rFonts w:ascii="Avenir LT 45 Book" w:eastAsia="Calibri" w:hAnsi="Avenir LT 45 Book" w:cs="Times New Roman"/>
          <w:sz w:val="20"/>
        </w:rPr>
      </w:pPr>
      <w:r w:rsidRPr="00220B1B">
        <w:rPr>
          <w:rFonts w:ascii="Avenir LT 45 Book" w:eastAsia="Calibri" w:hAnsi="Avenir LT 45 Book" w:cs="Times New Roman"/>
          <w:sz w:val="20"/>
        </w:rPr>
        <w:lastRenderedPageBreak/>
        <w:t>New developments should reflect the prevailing form, bulk and scale of the immediate locality; and,</w:t>
      </w:r>
    </w:p>
    <w:p w14:paraId="258C7DD9" w14:textId="77777777" w:rsidR="00B46EF1" w:rsidRPr="00220B1B" w:rsidRDefault="00B46EF1" w:rsidP="002A3889">
      <w:pPr>
        <w:pStyle w:val="ListParagraph"/>
        <w:numPr>
          <w:ilvl w:val="0"/>
          <w:numId w:val="200"/>
        </w:numPr>
        <w:spacing w:line="360" w:lineRule="auto"/>
        <w:ind w:left="714" w:hanging="357"/>
        <w:contextualSpacing w:val="0"/>
        <w:rPr>
          <w:rFonts w:ascii="Avenir LT 45 Book" w:eastAsia="Calibri" w:hAnsi="Avenir LT 45 Book" w:cs="Times New Roman"/>
          <w:sz w:val="20"/>
        </w:rPr>
      </w:pPr>
      <w:r w:rsidRPr="00220B1B">
        <w:rPr>
          <w:rFonts w:ascii="Avenir LT 45 Book" w:eastAsia="Calibri" w:hAnsi="Avenir LT 45 Book" w:cs="Times New Roman"/>
          <w:sz w:val="20"/>
        </w:rPr>
        <w:t>New developments shall respect and follow the predominant street pattern in terms of roof pitch, orientation and articulation.</w:t>
      </w:r>
    </w:p>
    <w:p w14:paraId="19C4A7D4" w14:textId="77777777" w:rsidR="00B46EF1" w:rsidRDefault="00B46EF1" w:rsidP="00B46EF1">
      <w:pPr>
        <w:pStyle w:val="Heading5"/>
        <w:spacing w:before="360"/>
        <w:ind w:left="1418" w:hanging="1418"/>
      </w:pPr>
      <w:r>
        <w:t>3.7.17.4.1.3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95"/>
        <w:gridCol w:w="4631"/>
      </w:tblGrid>
      <w:tr w:rsidR="00B46EF1" w:rsidRPr="00842387" w14:paraId="3C165BC9" w14:textId="77777777" w:rsidTr="00220B1B">
        <w:tc>
          <w:tcPr>
            <w:tcW w:w="4395" w:type="dxa"/>
          </w:tcPr>
          <w:p w14:paraId="28673A1F"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31" w:type="dxa"/>
          </w:tcPr>
          <w:p w14:paraId="1B2D8364" w14:textId="77777777" w:rsidR="00B46EF1" w:rsidRDefault="00B46EF1" w:rsidP="008048CE">
            <w:r w:rsidRPr="00842387">
              <w:rPr>
                <w:rFonts w:ascii="Avenir LT 65 Medium" w:hAnsi="Avenir LT 65 Medium"/>
              </w:rPr>
              <w:t>Acceptable Development Provisions</w:t>
            </w:r>
          </w:p>
        </w:tc>
      </w:tr>
      <w:tr w:rsidR="00B46EF1" w:rsidRPr="00842387" w14:paraId="75AC8E31" w14:textId="77777777" w:rsidTr="00220B1B">
        <w:tc>
          <w:tcPr>
            <w:tcW w:w="4395" w:type="dxa"/>
            <w:tcBorders>
              <w:bottom w:val="nil"/>
            </w:tcBorders>
          </w:tcPr>
          <w:p w14:paraId="40CBFA4C" w14:textId="77777777" w:rsidR="00B46EF1" w:rsidRDefault="00B46EF1" w:rsidP="002A3889">
            <w:pPr>
              <w:pStyle w:val="ListParagraph"/>
              <w:numPr>
                <w:ilvl w:val="0"/>
                <w:numId w:val="201"/>
              </w:numPr>
              <w:spacing w:before="120" w:line="360" w:lineRule="auto"/>
              <w:ind w:left="567" w:hanging="504"/>
              <w:contextualSpacing w:val="0"/>
            </w:pPr>
            <w:r w:rsidRPr="00220B1B">
              <w:rPr>
                <w:rFonts w:ascii="Avenir LT 45 Book" w:eastAsia="Calibri" w:hAnsi="Avenir LT 45 Book" w:cs="Times New Roman"/>
                <w:sz w:val="20"/>
              </w:rPr>
              <w:t>New developments, additions and alterations to be of a compatible form, bulk and scale to traditional development in the immediate locality.</w:t>
            </w:r>
          </w:p>
        </w:tc>
        <w:tc>
          <w:tcPr>
            <w:tcW w:w="4631" w:type="dxa"/>
            <w:tcBorders>
              <w:bottom w:val="nil"/>
            </w:tcBorders>
          </w:tcPr>
          <w:p w14:paraId="6C4E0C00" w14:textId="77777777" w:rsidR="00B46EF1" w:rsidRPr="00220B1B" w:rsidRDefault="00B46EF1" w:rsidP="002A3889">
            <w:pPr>
              <w:pStyle w:val="ListParagraph"/>
              <w:numPr>
                <w:ilvl w:val="1"/>
                <w:numId w:val="202"/>
              </w:numPr>
              <w:spacing w:before="120" w:line="360" w:lineRule="auto"/>
              <w:ind w:left="766" w:hanging="647"/>
              <w:contextualSpacing w:val="0"/>
              <w:rPr>
                <w:rFonts w:ascii="Avenir LT 45 Book" w:eastAsia="Calibri" w:hAnsi="Avenir LT 45 Book" w:cs="Times New Roman"/>
                <w:sz w:val="20"/>
              </w:rPr>
            </w:pPr>
            <w:r w:rsidRPr="00220B1B">
              <w:rPr>
                <w:rFonts w:ascii="Avenir LT 45 Book" w:eastAsia="Calibri" w:hAnsi="Avenir LT 45 Book" w:cs="Times New Roman"/>
                <w:sz w:val="20"/>
              </w:rPr>
              <w:t>Developments to comply with all design elements of this Local Planning Policy.</w:t>
            </w:r>
          </w:p>
          <w:p w14:paraId="092F4667" w14:textId="77777777" w:rsidR="00B46EF1" w:rsidRDefault="00B46EF1" w:rsidP="002A3889">
            <w:pPr>
              <w:pStyle w:val="ListParagraph"/>
              <w:numPr>
                <w:ilvl w:val="1"/>
                <w:numId w:val="202"/>
              </w:numPr>
              <w:spacing w:line="360" w:lineRule="auto"/>
              <w:ind w:left="766" w:hanging="647"/>
              <w:contextualSpacing w:val="0"/>
            </w:pPr>
            <w:r w:rsidRPr="00220B1B">
              <w:rPr>
                <w:rFonts w:ascii="Avenir LT 45 Book" w:eastAsia="Calibri" w:hAnsi="Avenir LT 45 Book" w:cs="Times New Roman"/>
                <w:sz w:val="20"/>
              </w:rPr>
              <w:t>Additions and alterations are single storey and located at the rear of the</w:t>
            </w:r>
            <w:r w:rsidRPr="00842387">
              <w:t xml:space="preserve"> </w:t>
            </w:r>
            <w:r w:rsidRPr="00220B1B">
              <w:rPr>
                <w:rFonts w:ascii="Avenir LT 45 Book" w:eastAsia="Calibri" w:hAnsi="Avenir LT 45 Book" w:cs="Times New Roman"/>
                <w:sz w:val="20"/>
              </w:rPr>
              <w:t>existing dwelling.  The existing building remains intact.</w:t>
            </w:r>
          </w:p>
        </w:tc>
      </w:tr>
      <w:tr w:rsidR="00B46EF1" w:rsidRPr="00842387" w14:paraId="36DD8E59" w14:textId="77777777" w:rsidTr="00220B1B">
        <w:tc>
          <w:tcPr>
            <w:tcW w:w="4395" w:type="dxa"/>
            <w:tcBorders>
              <w:top w:val="nil"/>
              <w:bottom w:val="nil"/>
            </w:tcBorders>
          </w:tcPr>
          <w:p w14:paraId="77D7F784" w14:textId="77777777" w:rsidR="00B46EF1" w:rsidRDefault="00B46EF1" w:rsidP="008048CE">
            <w:pPr>
              <w:spacing w:before="120"/>
            </w:pPr>
          </w:p>
        </w:tc>
        <w:tc>
          <w:tcPr>
            <w:tcW w:w="4631" w:type="dxa"/>
            <w:tcBorders>
              <w:top w:val="nil"/>
              <w:bottom w:val="nil"/>
            </w:tcBorders>
          </w:tcPr>
          <w:p w14:paraId="333F7DC3" w14:textId="77777777" w:rsidR="00B46EF1" w:rsidRPr="00220B1B" w:rsidRDefault="00B46EF1" w:rsidP="002A3889">
            <w:pPr>
              <w:pStyle w:val="ListParagraph"/>
              <w:numPr>
                <w:ilvl w:val="1"/>
                <w:numId w:val="202"/>
              </w:numPr>
              <w:spacing w:line="360" w:lineRule="auto"/>
              <w:ind w:left="766" w:hanging="647"/>
              <w:contextualSpacing w:val="0"/>
              <w:rPr>
                <w:rFonts w:ascii="Avenir LT 45 Book" w:eastAsia="Calibri" w:hAnsi="Avenir LT 45 Book" w:cs="Times New Roman"/>
                <w:sz w:val="20"/>
              </w:rPr>
            </w:pPr>
            <w:r w:rsidRPr="00220B1B">
              <w:rPr>
                <w:rFonts w:ascii="Avenir LT 45 Book" w:eastAsia="Calibri" w:hAnsi="Avenir LT 45 Book" w:cs="Times New Roman"/>
                <w:sz w:val="20"/>
              </w:rPr>
              <w:t>Category ‘B’ provisions as set out within Table 3 – Maximum Building Heights of the Residential Design Codes are applicable as the ‘Acceptable Development’ standards where:</w:t>
            </w:r>
          </w:p>
          <w:p w14:paraId="25C87097" w14:textId="77777777" w:rsidR="00B46EF1" w:rsidRPr="00220B1B" w:rsidRDefault="00B46EF1" w:rsidP="002A3889">
            <w:pPr>
              <w:pStyle w:val="ListParagraph"/>
              <w:numPr>
                <w:ilvl w:val="0"/>
                <w:numId w:val="203"/>
              </w:numPr>
              <w:spacing w:line="360" w:lineRule="auto"/>
              <w:contextualSpacing w:val="0"/>
              <w:rPr>
                <w:rFonts w:ascii="Avenir LT 45 Book" w:eastAsia="Calibri" w:hAnsi="Avenir LT 45 Book" w:cs="Arial"/>
                <w:sz w:val="20"/>
              </w:rPr>
            </w:pPr>
            <w:r w:rsidRPr="00220B1B">
              <w:rPr>
                <w:rFonts w:ascii="Avenir LT 45 Book" w:eastAsia="Calibri" w:hAnsi="Avenir LT 45 Book" w:cs="Arial"/>
                <w:sz w:val="20"/>
              </w:rPr>
              <w:t>significant water views from neighbouring properties will not be affected</w:t>
            </w:r>
          </w:p>
          <w:p w14:paraId="15942707" w14:textId="77777777" w:rsidR="00B46EF1" w:rsidRPr="00220B1B" w:rsidRDefault="00B46EF1" w:rsidP="002A3889">
            <w:pPr>
              <w:pStyle w:val="ListParagraph"/>
              <w:numPr>
                <w:ilvl w:val="0"/>
                <w:numId w:val="203"/>
              </w:numPr>
              <w:spacing w:line="360" w:lineRule="auto"/>
              <w:contextualSpacing w:val="0"/>
              <w:rPr>
                <w:rFonts w:ascii="Avenir LT 45 Book" w:eastAsia="Calibri" w:hAnsi="Avenir LT 45 Book" w:cs="Arial"/>
                <w:sz w:val="20"/>
              </w:rPr>
            </w:pPr>
            <w:r w:rsidRPr="00220B1B">
              <w:rPr>
                <w:rFonts w:ascii="Avenir LT 45 Book" w:eastAsia="Calibri" w:hAnsi="Avenir LT 45 Book" w:cs="Arial"/>
                <w:sz w:val="20"/>
              </w:rPr>
              <w:t>the ‘Acceptable Development’ standards of Residential Design Codes – Element 9 – Design for Climate and Element 8 – Privacy are met.</w:t>
            </w:r>
          </w:p>
          <w:p w14:paraId="6FA9E6AC" w14:textId="77777777" w:rsidR="00B46EF1" w:rsidRPr="00220B1B" w:rsidRDefault="00B46EF1" w:rsidP="002A3889">
            <w:pPr>
              <w:pStyle w:val="ListParagraph"/>
              <w:numPr>
                <w:ilvl w:val="0"/>
                <w:numId w:val="203"/>
              </w:numPr>
              <w:spacing w:line="360" w:lineRule="auto"/>
              <w:contextualSpacing w:val="0"/>
              <w:rPr>
                <w:rFonts w:ascii="Avenir LT 45 Book" w:eastAsia="Calibri" w:hAnsi="Avenir LT 45 Book" w:cs="Arial"/>
                <w:sz w:val="20"/>
              </w:rPr>
            </w:pPr>
            <w:r w:rsidRPr="00220B1B">
              <w:rPr>
                <w:rFonts w:ascii="Avenir LT 45 Book" w:eastAsia="Calibri" w:hAnsi="Avenir LT 45 Book" w:cs="Arial"/>
                <w:sz w:val="20"/>
              </w:rPr>
              <w:t>the subject site is not a battle axe lot.</w:t>
            </w:r>
          </w:p>
          <w:p w14:paraId="640337FD" w14:textId="77777777" w:rsidR="00B46EF1" w:rsidRPr="00220B1B" w:rsidRDefault="00B46EF1" w:rsidP="002A3889">
            <w:pPr>
              <w:pStyle w:val="ListParagraph"/>
              <w:numPr>
                <w:ilvl w:val="1"/>
                <w:numId w:val="202"/>
              </w:numPr>
              <w:spacing w:line="360" w:lineRule="auto"/>
              <w:ind w:left="766" w:hanging="647"/>
              <w:contextualSpacing w:val="0"/>
              <w:rPr>
                <w:rFonts w:ascii="Avenir LT 45 Book" w:eastAsia="Calibri" w:hAnsi="Avenir LT 45 Book" w:cs="Arial"/>
                <w:sz w:val="20"/>
              </w:rPr>
            </w:pPr>
            <w:r w:rsidRPr="00220B1B">
              <w:rPr>
                <w:rFonts w:ascii="Avenir LT 45 Book" w:eastAsia="Calibri" w:hAnsi="Avenir LT 45 Book" w:cs="Arial"/>
                <w:sz w:val="20"/>
              </w:rPr>
              <w:t>In localities where views are an important part of the amenity of the area and neighbours existing views are</w:t>
            </w:r>
            <w:r>
              <w:rPr>
                <w:rFonts w:cs="Arial"/>
              </w:rPr>
              <w:t xml:space="preserve"> </w:t>
            </w:r>
            <w:r w:rsidRPr="00220B1B">
              <w:rPr>
                <w:rFonts w:ascii="Avenir LT 45 Book" w:eastAsia="Calibri" w:hAnsi="Avenir LT 45 Book" w:cs="Arial"/>
                <w:sz w:val="20"/>
              </w:rPr>
              <w:t>to be affected, or the subject site is a</w:t>
            </w:r>
            <w:r>
              <w:rPr>
                <w:rFonts w:cs="Arial"/>
              </w:rPr>
              <w:t xml:space="preserve"> ‘</w:t>
            </w:r>
            <w:r w:rsidRPr="00220B1B">
              <w:rPr>
                <w:rFonts w:ascii="Avenir LT 45 Book" w:eastAsia="Calibri" w:hAnsi="Avenir LT 45 Book" w:cs="Arial"/>
                <w:sz w:val="20"/>
              </w:rPr>
              <w:t>battle axe’</w:t>
            </w:r>
            <w:r>
              <w:rPr>
                <w:rFonts w:cs="Arial"/>
              </w:rPr>
              <w:t xml:space="preserve"> </w:t>
            </w:r>
            <w:r w:rsidRPr="00220B1B">
              <w:rPr>
                <w:rFonts w:ascii="Avenir LT 45 Book" w:eastAsia="Calibri" w:hAnsi="Avenir LT 45 Book" w:cs="Arial"/>
                <w:sz w:val="20"/>
              </w:rPr>
              <w:t>lot,</w:t>
            </w:r>
            <w:r>
              <w:rPr>
                <w:rFonts w:cs="Arial"/>
              </w:rPr>
              <w:t xml:space="preserve"> </w:t>
            </w:r>
            <w:r w:rsidRPr="00220B1B">
              <w:rPr>
                <w:rFonts w:ascii="Avenir LT 45 Book" w:eastAsia="Calibri" w:hAnsi="Avenir LT 45 Book" w:cs="Arial"/>
                <w:sz w:val="20"/>
              </w:rPr>
              <w:t>then the maximum building heights are as follows:</w:t>
            </w:r>
          </w:p>
          <w:p w14:paraId="6A87C724" w14:textId="77777777" w:rsidR="00B46EF1" w:rsidRPr="00220B1B" w:rsidRDefault="00B46EF1" w:rsidP="00220B1B">
            <w:pPr>
              <w:pStyle w:val="ListParagraph"/>
              <w:spacing w:line="360" w:lineRule="auto"/>
              <w:ind w:left="1049" w:hanging="283"/>
              <w:contextualSpacing w:val="0"/>
              <w:rPr>
                <w:rFonts w:ascii="Avenir LT 45 Book" w:eastAsia="Calibri" w:hAnsi="Avenir LT 45 Book" w:cs="Arial"/>
                <w:sz w:val="20"/>
              </w:rPr>
            </w:pPr>
            <w:r w:rsidRPr="002261DF">
              <w:rPr>
                <w:rFonts w:cs="Arial"/>
                <w:b/>
              </w:rPr>
              <w:t>..</w:t>
            </w:r>
            <w:r>
              <w:rPr>
                <w:rFonts w:cs="Arial"/>
              </w:rPr>
              <w:tab/>
            </w:r>
            <w:r w:rsidRPr="00220B1B">
              <w:rPr>
                <w:rFonts w:ascii="Avenir LT 45 Book" w:eastAsia="Calibri" w:hAnsi="Avenir LT 45 Book" w:cs="Arial"/>
                <w:sz w:val="20"/>
              </w:rPr>
              <w:t>8.1m to the top of a pitched roof</w:t>
            </w:r>
          </w:p>
          <w:p w14:paraId="75EF8EEF" w14:textId="77777777" w:rsidR="00B46EF1" w:rsidRPr="00220B1B" w:rsidRDefault="00B46EF1" w:rsidP="00220B1B">
            <w:pPr>
              <w:pStyle w:val="ListParagraph"/>
              <w:spacing w:line="360" w:lineRule="auto"/>
              <w:ind w:left="1049" w:hanging="283"/>
              <w:contextualSpacing w:val="0"/>
              <w:rPr>
                <w:rFonts w:ascii="Avenir LT 45 Book" w:eastAsia="Calibri" w:hAnsi="Avenir LT 45 Book" w:cs="Arial"/>
                <w:sz w:val="20"/>
              </w:rPr>
            </w:pPr>
            <w:r w:rsidRPr="00220B1B">
              <w:rPr>
                <w:rFonts w:ascii="Avenir LT 45 Book" w:eastAsia="Calibri" w:hAnsi="Avenir LT 45 Book" w:cs="Arial"/>
                <w:sz w:val="20"/>
              </w:rPr>
              <w:t>..</w:t>
            </w:r>
            <w:r w:rsidRPr="00220B1B">
              <w:rPr>
                <w:rFonts w:ascii="Avenir LT 45 Book" w:eastAsia="Calibri" w:hAnsi="Avenir LT 45 Book" w:cs="Arial"/>
                <w:sz w:val="20"/>
              </w:rPr>
              <w:tab/>
              <w:t>6.5m to the top of an external wall (concealed roof)</w:t>
            </w:r>
          </w:p>
          <w:p w14:paraId="024B6562" w14:textId="77777777" w:rsidR="00B46EF1" w:rsidRPr="00220B1B" w:rsidRDefault="00B46EF1" w:rsidP="00220B1B">
            <w:pPr>
              <w:pStyle w:val="ListParagraph"/>
              <w:spacing w:line="360" w:lineRule="auto"/>
              <w:ind w:left="1049" w:hanging="283"/>
              <w:contextualSpacing w:val="0"/>
              <w:rPr>
                <w:rFonts w:ascii="Avenir LT 45 Book" w:eastAsia="Calibri" w:hAnsi="Avenir LT 45 Book" w:cs="Arial"/>
                <w:sz w:val="20"/>
              </w:rPr>
            </w:pPr>
            <w:r w:rsidRPr="00220B1B">
              <w:rPr>
                <w:rFonts w:ascii="Avenir LT 45 Book" w:eastAsia="Calibri" w:hAnsi="Avenir LT 45 Book" w:cs="Arial"/>
                <w:sz w:val="20"/>
              </w:rPr>
              <w:t>..</w:t>
            </w:r>
            <w:r w:rsidRPr="00220B1B">
              <w:rPr>
                <w:rFonts w:ascii="Avenir LT 45 Book" w:eastAsia="Calibri" w:hAnsi="Avenir LT 45 Book" w:cs="Arial"/>
                <w:sz w:val="20"/>
              </w:rPr>
              <w:tab/>
              <w:t>5.6m to the top of an external wall; and where the following apply.</w:t>
            </w:r>
          </w:p>
          <w:p w14:paraId="217D0C23" w14:textId="77777777" w:rsidR="00B46EF1" w:rsidRPr="00220B1B" w:rsidRDefault="00B46EF1" w:rsidP="002A3889">
            <w:pPr>
              <w:pStyle w:val="ListParagraph"/>
              <w:numPr>
                <w:ilvl w:val="0"/>
                <w:numId w:val="270"/>
              </w:numPr>
              <w:spacing w:line="360" w:lineRule="auto"/>
              <w:contextualSpacing w:val="0"/>
              <w:rPr>
                <w:rFonts w:ascii="Avenir LT 45 Book" w:eastAsia="Calibri" w:hAnsi="Avenir LT 45 Book" w:cs="Arial"/>
                <w:sz w:val="20"/>
              </w:rPr>
            </w:pPr>
            <w:r w:rsidRPr="00220B1B">
              <w:rPr>
                <w:rFonts w:ascii="Avenir LT 45 Book" w:eastAsia="Calibri" w:hAnsi="Avenir LT 45 Book" w:cs="Arial"/>
                <w:sz w:val="20"/>
              </w:rPr>
              <w:t xml:space="preserve">The proposal demonstrates design, bulk and scale that responds to adjacent development and the established character of the area or other site specific </w:t>
            </w:r>
            <w:proofErr w:type="gramStart"/>
            <w:r w:rsidRPr="00220B1B">
              <w:rPr>
                <w:rFonts w:ascii="Avenir LT 45 Book" w:eastAsia="Calibri" w:hAnsi="Avenir LT 45 Book" w:cs="Arial"/>
                <w:sz w:val="20"/>
              </w:rPr>
              <w:t>circumstances;</w:t>
            </w:r>
            <w:proofErr w:type="gramEnd"/>
          </w:p>
          <w:p w14:paraId="554762A6" w14:textId="77777777" w:rsidR="00B46EF1" w:rsidRPr="00220B1B" w:rsidRDefault="00B46EF1" w:rsidP="002A3889">
            <w:pPr>
              <w:pStyle w:val="ListParagraph"/>
              <w:numPr>
                <w:ilvl w:val="0"/>
                <w:numId w:val="270"/>
              </w:numPr>
              <w:spacing w:line="360" w:lineRule="auto"/>
              <w:contextualSpacing w:val="0"/>
              <w:rPr>
                <w:rFonts w:ascii="Avenir LT 45 Book" w:eastAsia="Calibri" w:hAnsi="Avenir LT 45 Book" w:cs="Arial"/>
                <w:sz w:val="20"/>
              </w:rPr>
            </w:pPr>
            <w:r w:rsidRPr="00220B1B">
              <w:rPr>
                <w:rFonts w:ascii="Avenir LT 45 Book" w:eastAsia="Calibri" w:hAnsi="Avenir LT 45 Book" w:cs="Arial"/>
                <w:sz w:val="20"/>
              </w:rPr>
              <w:t>The provision of a landscaping plan demonstrating a minimum of 50% of the effective lot area being landscaped; and,</w:t>
            </w:r>
          </w:p>
          <w:p w14:paraId="2EA0532C" w14:textId="77777777" w:rsidR="00B46EF1" w:rsidRPr="00220B1B" w:rsidRDefault="00B46EF1" w:rsidP="002A3889">
            <w:pPr>
              <w:pStyle w:val="ListParagraph"/>
              <w:numPr>
                <w:ilvl w:val="0"/>
                <w:numId w:val="270"/>
              </w:numPr>
              <w:spacing w:line="360" w:lineRule="auto"/>
              <w:contextualSpacing w:val="0"/>
              <w:rPr>
                <w:rFonts w:ascii="Avenir LT 45 Book" w:eastAsia="Calibri" w:hAnsi="Avenir LT 45 Book" w:cs="Arial"/>
                <w:sz w:val="20"/>
              </w:rPr>
            </w:pPr>
            <w:r w:rsidRPr="00220B1B">
              <w:rPr>
                <w:rFonts w:ascii="Avenir LT 45 Book" w:eastAsia="Calibri" w:hAnsi="Avenir LT 45 Book" w:cs="Arial"/>
                <w:sz w:val="20"/>
              </w:rPr>
              <w:t>Subject to the ‘Acceptable Development’ standards of Residential Design Codes – Element 9 – Design for Climate and Element 8 – Privacy being met.</w:t>
            </w:r>
          </w:p>
          <w:p w14:paraId="57A382CB" w14:textId="77777777" w:rsidR="00B46EF1" w:rsidRPr="00D920B9" w:rsidRDefault="00B46EF1" w:rsidP="002A3889">
            <w:pPr>
              <w:pStyle w:val="ListParagraph"/>
              <w:numPr>
                <w:ilvl w:val="1"/>
                <w:numId w:val="202"/>
              </w:numPr>
              <w:spacing w:line="360" w:lineRule="auto"/>
              <w:ind w:left="766" w:hanging="647"/>
              <w:contextualSpacing w:val="0"/>
              <w:rPr>
                <w:rFonts w:cs="Arial"/>
              </w:rPr>
            </w:pPr>
            <w:r w:rsidRPr="00220B1B">
              <w:rPr>
                <w:rFonts w:ascii="Avenir LT 45 Book" w:eastAsia="Calibri" w:hAnsi="Avenir LT 45 Book" w:cs="Arial"/>
                <w:sz w:val="20"/>
              </w:rPr>
              <w:lastRenderedPageBreak/>
              <w:t>Category ‘A’ provisions as set out within Table 3 – Maximum Building Heights of the Residential Design Codes are applicable for development which does not meet the requirements of A1.3 and A1.4 above.</w:t>
            </w:r>
          </w:p>
        </w:tc>
      </w:tr>
    </w:tbl>
    <w:p w14:paraId="6CAAB5AF" w14:textId="77777777" w:rsidR="00B46EF1" w:rsidRDefault="00B46EF1" w:rsidP="00B46EF1">
      <w:pPr>
        <w:pStyle w:val="Heading5"/>
        <w:spacing w:before="360"/>
        <w:ind w:left="1418" w:hanging="1418"/>
      </w:pPr>
      <w:r>
        <w:lastRenderedPageBreak/>
        <w:t>3.7.17.4.2</w:t>
      </w:r>
      <w:r>
        <w:tab/>
      </w:r>
      <w:proofErr w:type="spellStart"/>
      <w:r>
        <w:t>Verandahs</w:t>
      </w:r>
      <w:proofErr w:type="spellEnd"/>
      <w:r>
        <w:t xml:space="preserve"> and Porches</w:t>
      </w:r>
    </w:p>
    <w:p w14:paraId="6C08F41B" w14:textId="77777777" w:rsidR="00B46EF1" w:rsidRDefault="00B46EF1" w:rsidP="00B46EF1">
      <w:pPr>
        <w:pStyle w:val="Heading5"/>
        <w:ind w:left="1418" w:hanging="1418"/>
      </w:pPr>
      <w:r>
        <w:t>3.7.17.4.2.1</w:t>
      </w:r>
      <w:r>
        <w:tab/>
        <w:t>Statement</w:t>
      </w:r>
    </w:p>
    <w:p w14:paraId="2E89A1A0" w14:textId="77777777" w:rsidR="00B46EF1" w:rsidRPr="00220B1B" w:rsidRDefault="00B46EF1" w:rsidP="00220B1B">
      <w:pPr>
        <w:spacing w:line="360" w:lineRule="auto"/>
        <w:rPr>
          <w:rFonts w:ascii="Avenir LT 45 Book" w:eastAsia="Calibri" w:hAnsi="Avenir LT 45 Book"/>
          <w:i/>
          <w:sz w:val="20"/>
          <w:szCs w:val="20"/>
        </w:rPr>
      </w:pPr>
      <w:proofErr w:type="spellStart"/>
      <w:r w:rsidRPr="00220B1B">
        <w:rPr>
          <w:rFonts w:ascii="Avenir LT 45 Book" w:eastAsia="Calibri" w:hAnsi="Avenir LT 45 Book"/>
          <w:i/>
          <w:sz w:val="20"/>
          <w:szCs w:val="20"/>
        </w:rPr>
        <w:t>Verandahs</w:t>
      </w:r>
      <w:proofErr w:type="spellEnd"/>
      <w:r w:rsidRPr="00220B1B">
        <w:rPr>
          <w:rFonts w:ascii="Avenir LT 45 Book" w:eastAsia="Calibri" w:hAnsi="Avenir LT 45 Book"/>
          <w:i/>
          <w:sz w:val="20"/>
          <w:szCs w:val="20"/>
        </w:rPr>
        <w:t xml:space="preserve"> generally occur in the Federation building forms. Porches are present in the Post World War II era buildings.  These should be conserved and missing examples reinstated.  Although </w:t>
      </w:r>
      <w:proofErr w:type="spellStart"/>
      <w:r w:rsidRPr="00220B1B">
        <w:rPr>
          <w:rFonts w:ascii="Avenir LT 45 Book" w:eastAsia="Calibri" w:hAnsi="Avenir LT 45 Book"/>
          <w:i/>
          <w:sz w:val="20"/>
          <w:szCs w:val="20"/>
        </w:rPr>
        <w:t>verandahs</w:t>
      </w:r>
      <w:proofErr w:type="spellEnd"/>
      <w:r w:rsidRPr="00220B1B">
        <w:rPr>
          <w:rFonts w:ascii="Avenir LT 45 Book" w:eastAsia="Calibri" w:hAnsi="Avenir LT 45 Book"/>
          <w:i/>
          <w:sz w:val="20"/>
          <w:szCs w:val="20"/>
        </w:rPr>
        <w:t xml:space="preserve"> and porches are evident in the Richmond Hill </w:t>
      </w:r>
      <w:proofErr w:type="gramStart"/>
      <w:r w:rsidRPr="00220B1B">
        <w:rPr>
          <w:rFonts w:ascii="Avenir LT 45 Book" w:eastAsia="Calibri" w:hAnsi="Avenir LT 45 Book"/>
          <w:i/>
          <w:sz w:val="20"/>
          <w:szCs w:val="20"/>
        </w:rPr>
        <w:t>Precinct</w:t>
      </w:r>
      <w:proofErr w:type="gramEnd"/>
      <w:r w:rsidRPr="00220B1B">
        <w:rPr>
          <w:rFonts w:ascii="Avenir LT 45 Book" w:eastAsia="Calibri" w:hAnsi="Avenir LT 45 Book"/>
          <w:i/>
          <w:sz w:val="20"/>
          <w:szCs w:val="20"/>
        </w:rPr>
        <w:t xml:space="preserve"> they are not a strong contributor to the overall streetscape character.  However, </w:t>
      </w:r>
      <w:proofErr w:type="spellStart"/>
      <w:r w:rsidRPr="00220B1B">
        <w:rPr>
          <w:rFonts w:ascii="Avenir LT 45 Book" w:eastAsia="Calibri" w:hAnsi="Avenir LT 45 Book"/>
          <w:i/>
          <w:sz w:val="20"/>
          <w:szCs w:val="20"/>
        </w:rPr>
        <w:t>verandahs</w:t>
      </w:r>
      <w:proofErr w:type="spellEnd"/>
      <w:r w:rsidRPr="00220B1B">
        <w:rPr>
          <w:rFonts w:ascii="Avenir LT 45 Book" w:eastAsia="Calibri" w:hAnsi="Avenir LT 45 Book"/>
          <w:i/>
          <w:sz w:val="20"/>
          <w:szCs w:val="20"/>
        </w:rPr>
        <w:t xml:space="preserve"> and porches are a preferred façade feature.</w:t>
      </w:r>
    </w:p>
    <w:p w14:paraId="710A4DAA" w14:textId="77777777" w:rsidR="00B46EF1" w:rsidRPr="00842387" w:rsidRDefault="00B46EF1" w:rsidP="00B46EF1">
      <w:r>
        <w:rPr>
          <w:noProof/>
          <w:lang w:eastAsia="en-AU"/>
        </w:rPr>
        <w:drawing>
          <wp:inline distT="0" distB="0" distL="0" distR="0" wp14:anchorId="0E547026" wp14:editId="585F2C82">
            <wp:extent cx="2524125" cy="1800225"/>
            <wp:effectExtent l="19050" t="0" r="9525" b="0"/>
            <wp:docPr id="96" name="Picture 33" descr="Z:\2011 JOBS\11206-EAST FREMANTLE GUIDELINES\11206-PHOTOS\PROCESSED\RICHMOND HILL\169 PETRA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2011 JOBS\11206-EAST FREMANTLE GUIDELINES\11206-PHOTOS\PROCESSED\RICHMOND HILL\169 PETRA STREET.jpg"/>
                    <pic:cNvPicPr>
                      <a:picLocks noChangeAspect="1" noChangeArrowheads="1"/>
                    </pic:cNvPicPr>
                  </pic:nvPicPr>
                  <pic:blipFill>
                    <a:blip r:embed="rId249"/>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563B54BC" wp14:editId="3D2EA483">
            <wp:extent cx="2524125" cy="1800225"/>
            <wp:effectExtent l="19050" t="0" r="9525" b="0"/>
            <wp:docPr id="97" name="Picture 34" descr="Z:\2011 JOBS\11206-EAST FREMANTLE GUIDELINES\11206-PHOTOS\PROCESSED\RICHMOND HILL\19 PI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2011 JOBS\11206-EAST FREMANTLE GUIDELINES\11206-PHOTOS\PROCESSED\RICHMOND HILL\19 PIER STREET.jpg"/>
                    <pic:cNvPicPr>
                      <a:picLocks noChangeAspect="1" noChangeArrowheads="1"/>
                    </pic:cNvPicPr>
                  </pic:nvPicPr>
                  <pic:blipFill>
                    <a:blip r:embed="rId250"/>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33526B18" w14:textId="77777777" w:rsidR="00B46EF1" w:rsidRDefault="00B46EF1" w:rsidP="00B46EF1">
      <w:pPr>
        <w:pStyle w:val="Heading5"/>
        <w:ind w:left="1418" w:hanging="1418"/>
      </w:pPr>
    </w:p>
    <w:p w14:paraId="7BE346C4" w14:textId="77777777" w:rsidR="00B46EF1" w:rsidRDefault="00B46EF1" w:rsidP="003623C6">
      <w:pPr>
        <w:pStyle w:val="Heading5"/>
        <w:spacing w:after="120"/>
        <w:ind w:left="1418" w:hanging="1418"/>
      </w:pPr>
      <w:r>
        <w:t>3.7.17.4.2.2</w:t>
      </w:r>
      <w:r>
        <w:tab/>
        <w:t>Desired Development Outcomes</w:t>
      </w:r>
    </w:p>
    <w:p w14:paraId="591EBF3E" w14:textId="77777777" w:rsidR="00B46EF1" w:rsidRPr="003623C6" w:rsidRDefault="00B46EF1" w:rsidP="002A3889">
      <w:pPr>
        <w:pStyle w:val="ListParagraph"/>
        <w:numPr>
          <w:ilvl w:val="0"/>
          <w:numId w:val="204"/>
        </w:numPr>
        <w:spacing w:line="360" w:lineRule="auto"/>
        <w:ind w:left="714" w:hanging="357"/>
        <w:contextualSpacing w:val="0"/>
        <w:rPr>
          <w:rFonts w:ascii="Avenir LT 45 Book" w:eastAsia="Calibri" w:hAnsi="Avenir LT 45 Book" w:cs="Times New Roman"/>
          <w:sz w:val="20"/>
        </w:rPr>
      </w:pPr>
      <w:proofErr w:type="spellStart"/>
      <w:r w:rsidRPr="003623C6">
        <w:rPr>
          <w:rFonts w:ascii="Avenir LT 45 Book" w:eastAsia="Calibri" w:hAnsi="Avenir LT 45 Book" w:cs="Times New Roman"/>
          <w:sz w:val="20"/>
        </w:rPr>
        <w:t>Verandahs</w:t>
      </w:r>
      <w:proofErr w:type="spellEnd"/>
      <w:r w:rsidRPr="003623C6">
        <w:rPr>
          <w:rFonts w:ascii="Avenir LT 45 Book" w:eastAsia="Calibri" w:hAnsi="Avenir LT 45 Book" w:cs="Times New Roman"/>
          <w:sz w:val="20"/>
        </w:rPr>
        <w:t xml:space="preserve"> and porches to be preferred in new developments.  </w:t>
      </w:r>
      <w:proofErr w:type="spellStart"/>
      <w:r w:rsidRPr="003623C6">
        <w:rPr>
          <w:rFonts w:ascii="Avenir LT 45 Book" w:eastAsia="Calibri" w:hAnsi="Avenir LT 45 Book" w:cs="Times New Roman"/>
          <w:sz w:val="20"/>
        </w:rPr>
        <w:t>Verandahs</w:t>
      </w:r>
      <w:proofErr w:type="spellEnd"/>
      <w:r w:rsidRPr="003623C6">
        <w:rPr>
          <w:rFonts w:ascii="Avenir LT 45 Book" w:eastAsia="Calibri" w:hAnsi="Avenir LT 45 Book" w:cs="Times New Roman"/>
          <w:sz w:val="20"/>
        </w:rPr>
        <w:t xml:space="preserve"> and porches to reflect architectural period of construction without negatively impacting on the immediate locality; and,</w:t>
      </w:r>
    </w:p>
    <w:p w14:paraId="0B9B990D" w14:textId="77777777" w:rsidR="00B46EF1" w:rsidRPr="003623C6" w:rsidRDefault="00B46EF1" w:rsidP="002A3889">
      <w:pPr>
        <w:pStyle w:val="ListParagraph"/>
        <w:numPr>
          <w:ilvl w:val="0"/>
          <w:numId w:val="204"/>
        </w:numPr>
        <w:spacing w:line="360" w:lineRule="auto"/>
        <w:ind w:left="714" w:hanging="357"/>
        <w:contextualSpacing w:val="0"/>
        <w:rPr>
          <w:rFonts w:ascii="Avenir LT 45 Book" w:eastAsia="Calibri" w:hAnsi="Avenir LT 45 Book" w:cs="Times New Roman"/>
          <w:sz w:val="20"/>
        </w:rPr>
      </w:pPr>
      <w:r w:rsidRPr="003623C6">
        <w:rPr>
          <w:rFonts w:ascii="Avenir LT 45 Book" w:eastAsia="Calibri" w:hAnsi="Avenir LT 45 Book" w:cs="Times New Roman"/>
          <w:sz w:val="20"/>
        </w:rPr>
        <w:t xml:space="preserve">Existing </w:t>
      </w:r>
      <w:proofErr w:type="spellStart"/>
      <w:r w:rsidRPr="003623C6">
        <w:rPr>
          <w:rFonts w:ascii="Avenir LT 45 Book" w:eastAsia="Calibri" w:hAnsi="Avenir LT 45 Book" w:cs="Times New Roman"/>
          <w:sz w:val="20"/>
        </w:rPr>
        <w:t>verandahs</w:t>
      </w:r>
      <w:proofErr w:type="spellEnd"/>
      <w:r w:rsidRPr="003623C6">
        <w:rPr>
          <w:rFonts w:ascii="Avenir LT 45 Book" w:eastAsia="Calibri" w:hAnsi="Avenir LT 45 Book" w:cs="Times New Roman"/>
          <w:sz w:val="20"/>
        </w:rPr>
        <w:t xml:space="preserve"> and porches should be conserved, and missing </w:t>
      </w:r>
      <w:proofErr w:type="spellStart"/>
      <w:r w:rsidRPr="003623C6">
        <w:rPr>
          <w:rFonts w:ascii="Avenir LT 45 Book" w:eastAsia="Calibri" w:hAnsi="Avenir LT 45 Book" w:cs="Times New Roman"/>
          <w:sz w:val="20"/>
        </w:rPr>
        <w:t>verandahs</w:t>
      </w:r>
      <w:proofErr w:type="spellEnd"/>
      <w:r w:rsidRPr="003623C6">
        <w:rPr>
          <w:rFonts w:ascii="Avenir LT 45 Book" w:eastAsia="Calibri" w:hAnsi="Avenir LT 45 Book" w:cs="Times New Roman"/>
          <w:sz w:val="20"/>
        </w:rPr>
        <w:t xml:space="preserve"> reinstated.</w:t>
      </w:r>
    </w:p>
    <w:p w14:paraId="6B4B2DEF" w14:textId="77777777" w:rsidR="00B46EF1" w:rsidRDefault="00B46EF1" w:rsidP="00B46EF1">
      <w:pPr>
        <w:pStyle w:val="Heading5"/>
        <w:spacing w:before="360"/>
        <w:ind w:left="1418" w:hanging="1418"/>
      </w:pPr>
      <w:r>
        <w:t>3.7.17.4.2.3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8"/>
        <w:gridCol w:w="4518"/>
      </w:tblGrid>
      <w:tr w:rsidR="00B46EF1" w:rsidRPr="00842387" w14:paraId="1C2DA794" w14:textId="77777777" w:rsidTr="008048CE">
        <w:tc>
          <w:tcPr>
            <w:tcW w:w="4621" w:type="dxa"/>
          </w:tcPr>
          <w:p w14:paraId="3E2E1C17"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09F87859" w14:textId="77777777" w:rsidR="00B46EF1" w:rsidRDefault="00B46EF1" w:rsidP="008048CE">
            <w:r w:rsidRPr="00842387">
              <w:rPr>
                <w:rFonts w:ascii="Avenir LT 65 Medium" w:hAnsi="Avenir LT 65 Medium"/>
              </w:rPr>
              <w:t>Acceptable Development Provisions</w:t>
            </w:r>
          </w:p>
        </w:tc>
      </w:tr>
      <w:tr w:rsidR="00B46EF1" w:rsidRPr="00842387" w14:paraId="190C3C42" w14:textId="77777777" w:rsidTr="008048CE">
        <w:tc>
          <w:tcPr>
            <w:tcW w:w="4621" w:type="dxa"/>
            <w:tcBorders>
              <w:bottom w:val="nil"/>
            </w:tcBorders>
          </w:tcPr>
          <w:p w14:paraId="1E82A9EA" w14:textId="77777777" w:rsidR="00B46EF1" w:rsidRPr="003623C6" w:rsidRDefault="00B46EF1" w:rsidP="002A3889">
            <w:pPr>
              <w:pStyle w:val="ListParagraph"/>
              <w:numPr>
                <w:ilvl w:val="0"/>
                <w:numId w:val="205"/>
              </w:numPr>
              <w:spacing w:before="120" w:line="360" w:lineRule="auto"/>
              <w:ind w:left="567" w:hanging="504"/>
              <w:contextualSpacing w:val="0"/>
              <w:rPr>
                <w:rFonts w:ascii="Avenir LT 45 Book" w:eastAsia="Calibri" w:hAnsi="Avenir LT 45 Book" w:cs="Times New Roman"/>
                <w:sz w:val="20"/>
              </w:rPr>
            </w:pPr>
            <w:r w:rsidRPr="003623C6">
              <w:rPr>
                <w:rFonts w:ascii="Avenir LT 45 Book" w:eastAsia="Calibri" w:hAnsi="Avenir LT 45 Book" w:cs="Times New Roman"/>
                <w:sz w:val="20"/>
              </w:rPr>
              <w:t xml:space="preserve">The </w:t>
            </w:r>
            <w:proofErr w:type="gramStart"/>
            <w:r w:rsidRPr="003623C6">
              <w:rPr>
                <w:rFonts w:ascii="Avenir LT 45 Book" w:eastAsia="Calibri" w:hAnsi="Avenir LT 45 Book" w:cs="Times New Roman"/>
                <w:sz w:val="20"/>
              </w:rPr>
              <w:t>principle</w:t>
            </w:r>
            <w:proofErr w:type="gramEnd"/>
            <w:r w:rsidRPr="003623C6">
              <w:rPr>
                <w:rFonts w:ascii="Avenir LT 45 Book" w:eastAsia="Calibri" w:hAnsi="Avenir LT 45 Book" w:cs="Times New Roman"/>
                <w:sz w:val="20"/>
              </w:rPr>
              <w:t xml:space="preserve"> façade and main entrance of a new building should address the street in a manner that reflects the predominant character of the traditional development in the immediate locality.</w:t>
            </w:r>
          </w:p>
        </w:tc>
        <w:tc>
          <w:tcPr>
            <w:tcW w:w="4621" w:type="dxa"/>
            <w:tcBorders>
              <w:bottom w:val="nil"/>
            </w:tcBorders>
          </w:tcPr>
          <w:p w14:paraId="15BD44FC" w14:textId="77777777" w:rsidR="00B46EF1" w:rsidRDefault="00B46EF1" w:rsidP="002A3889">
            <w:pPr>
              <w:pStyle w:val="ListParagraph"/>
              <w:numPr>
                <w:ilvl w:val="0"/>
                <w:numId w:val="207"/>
              </w:numPr>
              <w:spacing w:before="120" w:line="360" w:lineRule="auto"/>
              <w:ind w:left="624" w:hanging="505"/>
              <w:contextualSpacing w:val="0"/>
            </w:pPr>
            <w:r w:rsidRPr="003623C6">
              <w:rPr>
                <w:rFonts w:ascii="Avenir LT 45 Book" w:eastAsia="Calibri" w:hAnsi="Avenir LT 45 Book" w:cs="Times New Roman"/>
                <w:sz w:val="20"/>
              </w:rPr>
              <w:t xml:space="preserve">New developments to include a </w:t>
            </w:r>
            <w:proofErr w:type="spellStart"/>
            <w:r w:rsidRPr="003623C6">
              <w:rPr>
                <w:rFonts w:ascii="Avenir LT 45 Book" w:eastAsia="Calibri" w:hAnsi="Avenir LT 45 Book" w:cs="Times New Roman"/>
                <w:sz w:val="20"/>
              </w:rPr>
              <w:t>verandah</w:t>
            </w:r>
            <w:proofErr w:type="spellEnd"/>
            <w:r w:rsidRPr="003623C6">
              <w:rPr>
                <w:rFonts w:ascii="Avenir LT 45 Book" w:eastAsia="Calibri" w:hAnsi="Avenir LT 45 Book" w:cs="Times New Roman"/>
                <w:sz w:val="20"/>
              </w:rPr>
              <w:t xml:space="preserve"> or porch that address the primary street and comprises the primary access to the building.</w:t>
            </w:r>
          </w:p>
        </w:tc>
      </w:tr>
      <w:tr w:rsidR="00B46EF1" w:rsidRPr="00842387" w14:paraId="0988D15B" w14:textId="77777777" w:rsidTr="008048CE">
        <w:tc>
          <w:tcPr>
            <w:tcW w:w="4621" w:type="dxa"/>
            <w:tcBorders>
              <w:top w:val="nil"/>
              <w:bottom w:val="nil"/>
            </w:tcBorders>
          </w:tcPr>
          <w:p w14:paraId="0570791C" w14:textId="77777777" w:rsidR="00B46EF1" w:rsidRDefault="00B46EF1" w:rsidP="002A3889">
            <w:pPr>
              <w:pStyle w:val="ListParagraph"/>
              <w:numPr>
                <w:ilvl w:val="0"/>
                <w:numId w:val="205"/>
              </w:numPr>
              <w:spacing w:line="360" w:lineRule="auto"/>
              <w:ind w:left="567" w:hanging="504"/>
              <w:contextualSpacing w:val="0"/>
            </w:pPr>
            <w:r w:rsidRPr="003623C6">
              <w:rPr>
                <w:rFonts w:ascii="Avenir LT 45 Book" w:eastAsia="Calibri" w:hAnsi="Avenir LT 45 Book" w:cs="Times New Roman"/>
                <w:sz w:val="20"/>
              </w:rPr>
              <w:t xml:space="preserve">Where </w:t>
            </w:r>
            <w:proofErr w:type="spellStart"/>
            <w:r w:rsidRPr="003623C6">
              <w:rPr>
                <w:rFonts w:ascii="Avenir LT 45 Book" w:eastAsia="Calibri" w:hAnsi="Avenir LT 45 Book" w:cs="Times New Roman"/>
                <w:sz w:val="20"/>
              </w:rPr>
              <w:t>verandahs</w:t>
            </w:r>
            <w:proofErr w:type="spellEnd"/>
            <w:r w:rsidRPr="003623C6">
              <w:rPr>
                <w:rFonts w:ascii="Avenir LT 45 Book" w:eastAsia="Calibri" w:hAnsi="Avenir LT 45 Book" w:cs="Times New Roman"/>
                <w:sz w:val="20"/>
              </w:rPr>
              <w:t xml:space="preserve"> or porches are included in new </w:t>
            </w:r>
            <w:proofErr w:type="gramStart"/>
            <w:r w:rsidRPr="003623C6">
              <w:rPr>
                <w:rFonts w:ascii="Avenir LT 45 Book" w:eastAsia="Calibri" w:hAnsi="Avenir LT 45 Book" w:cs="Times New Roman"/>
                <w:sz w:val="20"/>
              </w:rPr>
              <w:t>developments</w:t>
            </w:r>
            <w:proofErr w:type="gramEnd"/>
            <w:r w:rsidRPr="003623C6">
              <w:rPr>
                <w:rFonts w:ascii="Avenir LT 45 Book" w:eastAsia="Calibri" w:hAnsi="Avenir LT 45 Book" w:cs="Times New Roman"/>
                <w:sz w:val="20"/>
              </w:rPr>
              <w:t xml:space="preserve"> they are to reflect the architectural period of construction and do not adversely affect the immediate locality.</w:t>
            </w:r>
          </w:p>
        </w:tc>
        <w:tc>
          <w:tcPr>
            <w:tcW w:w="4621" w:type="dxa"/>
            <w:tcBorders>
              <w:top w:val="nil"/>
              <w:bottom w:val="nil"/>
            </w:tcBorders>
          </w:tcPr>
          <w:p w14:paraId="46E2E570" w14:textId="77777777" w:rsidR="00B46EF1" w:rsidRDefault="00B46EF1" w:rsidP="002A3889">
            <w:pPr>
              <w:pStyle w:val="ListParagraph"/>
              <w:numPr>
                <w:ilvl w:val="0"/>
                <w:numId w:val="207"/>
              </w:numPr>
              <w:spacing w:line="360" w:lineRule="auto"/>
              <w:ind w:left="624" w:hanging="505"/>
              <w:contextualSpacing w:val="0"/>
            </w:pPr>
            <w:r w:rsidRPr="003623C6">
              <w:rPr>
                <w:rFonts w:ascii="Avenir LT 45 Book" w:eastAsia="Calibri" w:hAnsi="Avenir LT 45 Book" w:cs="Times New Roman"/>
                <w:sz w:val="20"/>
              </w:rPr>
              <w:t>Relevant drawings to demonstrate impact on immediate locality to be provided.  This is to include plans, elevations and possible sections.</w:t>
            </w:r>
          </w:p>
        </w:tc>
      </w:tr>
      <w:tr w:rsidR="00B46EF1" w:rsidRPr="00842387" w14:paraId="124BEB37" w14:textId="77777777" w:rsidTr="008048CE">
        <w:trPr>
          <w:trHeight w:val="80"/>
        </w:trPr>
        <w:tc>
          <w:tcPr>
            <w:tcW w:w="4621" w:type="dxa"/>
            <w:tcBorders>
              <w:top w:val="nil"/>
            </w:tcBorders>
          </w:tcPr>
          <w:p w14:paraId="60D45777" w14:textId="77777777" w:rsidR="00B46EF1" w:rsidRPr="003623C6" w:rsidRDefault="00B46EF1" w:rsidP="002A3889">
            <w:pPr>
              <w:pStyle w:val="ListParagraph"/>
              <w:numPr>
                <w:ilvl w:val="1"/>
                <w:numId w:val="206"/>
              </w:numPr>
              <w:spacing w:line="360" w:lineRule="auto"/>
              <w:ind w:left="567" w:hanging="504"/>
              <w:contextualSpacing w:val="0"/>
              <w:rPr>
                <w:rFonts w:ascii="Avenir LT 45 Book" w:eastAsia="Calibri" w:hAnsi="Avenir LT 45 Book" w:cs="Times New Roman"/>
                <w:sz w:val="20"/>
              </w:rPr>
            </w:pPr>
            <w:r w:rsidRPr="003623C6">
              <w:rPr>
                <w:rFonts w:ascii="Avenir LT 45 Book" w:eastAsia="Calibri" w:hAnsi="Avenir LT 45 Book" w:cs="Times New Roman"/>
                <w:sz w:val="20"/>
              </w:rPr>
              <w:lastRenderedPageBreak/>
              <w:t xml:space="preserve">Contributory buildings retain their primary access and conserve the traditional detailing of </w:t>
            </w:r>
            <w:proofErr w:type="spellStart"/>
            <w:r w:rsidRPr="003623C6">
              <w:rPr>
                <w:rFonts w:ascii="Avenir LT 45 Book" w:eastAsia="Calibri" w:hAnsi="Avenir LT 45 Book" w:cs="Times New Roman"/>
                <w:sz w:val="20"/>
              </w:rPr>
              <w:t>verandahs</w:t>
            </w:r>
            <w:proofErr w:type="spellEnd"/>
            <w:r w:rsidRPr="003623C6">
              <w:rPr>
                <w:rFonts w:ascii="Avenir LT 45 Book" w:eastAsia="Calibri" w:hAnsi="Avenir LT 45 Book" w:cs="Times New Roman"/>
                <w:sz w:val="20"/>
              </w:rPr>
              <w:t xml:space="preserve"> and porches.</w:t>
            </w:r>
          </w:p>
          <w:p w14:paraId="4D2C4E0A" w14:textId="77777777" w:rsidR="00B46EF1" w:rsidRDefault="00B46EF1" w:rsidP="002A3889">
            <w:pPr>
              <w:pStyle w:val="ListParagraph"/>
              <w:numPr>
                <w:ilvl w:val="1"/>
                <w:numId w:val="206"/>
              </w:numPr>
              <w:spacing w:after="120" w:line="360" w:lineRule="auto"/>
              <w:ind w:left="567" w:hanging="505"/>
              <w:contextualSpacing w:val="0"/>
            </w:pPr>
            <w:r w:rsidRPr="003623C6">
              <w:rPr>
                <w:rFonts w:ascii="Avenir LT 45 Book" w:eastAsia="Calibri" w:hAnsi="Avenir LT 45 Book" w:cs="Times New Roman"/>
                <w:sz w:val="20"/>
              </w:rPr>
              <w:t xml:space="preserve">Missing </w:t>
            </w:r>
            <w:proofErr w:type="spellStart"/>
            <w:r w:rsidRPr="003623C6">
              <w:rPr>
                <w:rFonts w:ascii="Avenir LT 45 Book" w:eastAsia="Calibri" w:hAnsi="Avenir LT 45 Book" w:cs="Times New Roman"/>
                <w:sz w:val="20"/>
              </w:rPr>
              <w:t>verandahs</w:t>
            </w:r>
            <w:proofErr w:type="spellEnd"/>
            <w:r w:rsidRPr="003623C6">
              <w:rPr>
                <w:rFonts w:ascii="Avenir LT 45 Book" w:eastAsia="Calibri" w:hAnsi="Avenir LT 45 Book" w:cs="Times New Roman"/>
                <w:sz w:val="20"/>
              </w:rPr>
              <w:t xml:space="preserve"> to be reinstated</w:t>
            </w:r>
            <w:r w:rsidRPr="00842387">
              <w:t>.</w:t>
            </w:r>
          </w:p>
        </w:tc>
        <w:tc>
          <w:tcPr>
            <w:tcW w:w="4621" w:type="dxa"/>
            <w:tcBorders>
              <w:top w:val="nil"/>
            </w:tcBorders>
          </w:tcPr>
          <w:p w14:paraId="37BABF5C" w14:textId="77777777" w:rsidR="00B46EF1" w:rsidRDefault="00B46EF1" w:rsidP="002A3889">
            <w:pPr>
              <w:pStyle w:val="ListParagraph"/>
              <w:numPr>
                <w:ilvl w:val="0"/>
                <w:numId w:val="207"/>
              </w:numPr>
              <w:spacing w:line="360" w:lineRule="auto"/>
              <w:ind w:left="624" w:hanging="505"/>
              <w:contextualSpacing w:val="0"/>
            </w:pPr>
            <w:r w:rsidRPr="003623C6">
              <w:rPr>
                <w:rFonts w:ascii="Avenir LT 45 Book" w:eastAsia="Calibri" w:hAnsi="Avenir LT 45 Book" w:cs="Times New Roman"/>
                <w:sz w:val="20"/>
              </w:rPr>
              <w:t xml:space="preserve">Additions and alterations to a contributory building to retain or reinstate the existing </w:t>
            </w:r>
            <w:proofErr w:type="spellStart"/>
            <w:r w:rsidRPr="003623C6">
              <w:rPr>
                <w:rFonts w:ascii="Avenir LT 45 Book" w:eastAsia="Calibri" w:hAnsi="Avenir LT 45 Book" w:cs="Times New Roman"/>
                <w:sz w:val="20"/>
              </w:rPr>
              <w:t>verandah</w:t>
            </w:r>
            <w:proofErr w:type="spellEnd"/>
            <w:r w:rsidRPr="003623C6">
              <w:rPr>
                <w:rFonts w:ascii="Avenir LT 45 Book" w:eastAsia="Calibri" w:hAnsi="Avenir LT 45 Book" w:cs="Times New Roman"/>
                <w:sz w:val="20"/>
              </w:rPr>
              <w:t xml:space="preserve"> or porch.  Where appropriate and information available restore/reinstate their original detailing.</w:t>
            </w:r>
          </w:p>
        </w:tc>
      </w:tr>
    </w:tbl>
    <w:p w14:paraId="058B58B4" w14:textId="77777777" w:rsidR="00B46EF1" w:rsidRDefault="00B46EF1" w:rsidP="00B46EF1">
      <w:pPr>
        <w:pStyle w:val="Heading5"/>
        <w:spacing w:before="360"/>
      </w:pPr>
      <w:r>
        <w:t>3.7.17.4.3</w:t>
      </w:r>
      <w:r>
        <w:tab/>
      </w:r>
      <w:r w:rsidRPr="00842387">
        <w:t>Fremantle Port Buffer</w:t>
      </w:r>
    </w:p>
    <w:p w14:paraId="4DD69BF3" w14:textId="77777777" w:rsidR="00B46EF1" w:rsidRDefault="00B46EF1" w:rsidP="00B46EF1">
      <w:pPr>
        <w:pStyle w:val="Heading5"/>
        <w:ind w:left="1418" w:hanging="1418"/>
      </w:pPr>
      <w:r>
        <w:t>3.7.17.4.3.1</w:t>
      </w:r>
      <w:r>
        <w:tab/>
        <w:t>Statement</w:t>
      </w:r>
    </w:p>
    <w:p w14:paraId="3D2999B6" w14:textId="77777777" w:rsidR="00B46EF1" w:rsidRPr="003623C6" w:rsidRDefault="00B46EF1" w:rsidP="003623C6">
      <w:pPr>
        <w:spacing w:line="360" w:lineRule="auto"/>
        <w:rPr>
          <w:rFonts w:ascii="Avenir LT 45 Book" w:eastAsia="Calibri" w:hAnsi="Avenir LT 45 Book"/>
          <w:i/>
          <w:sz w:val="20"/>
        </w:rPr>
      </w:pPr>
      <w:r w:rsidRPr="003623C6">
        <w:rPr>
          <w:rFonts w:ascii="Avenir LT 45 Book" w:eastAsia="Calibri" w:hAnsi="Avenir LT 45 Book"/>
          <w:i/>
          <w:sz w:val="20"/>
        </w:rPr>
        <w:t>Fremantle Ports undertook the Fremantle Inner Harbour Definition Study (May 2002), which identified the need for an offsite buffer around the Port. The buffer was determined on a range of potential amenity impacts and risks including noise, odour and public risk.</w:t>
      </w:r>
    </w:p>
    <w:p w14:paraId="7FFAAC30" w14:textId="77777777" w:rsidR="00B46EF1" w:rsidRPr="003623C6" w:rsidRDefault="00B46EF1" w:rsidP="003623C6">
      <w:pPr>
        <w:spacing w:line="360" w:lineRule="auto"/>
        <w:rPr>
          <w:rFonts w:ascii="Avenir LT 45 Book" w:eastAsia="Calibri" w:hAnsi="Avenir LT 45 Book"/>
          <w:i/>
          <w:sz w:val="20"/>
        </w:rPr>
      </w:pPr>
      <w:r w:rsidRPr="003623C6">
        <w:rPr>
          <w:rFonts w:ascii="Avenir LT 45 Book" w:eastAsia="Calibri" w:hAnsi="Avenir LT 45 Book"/>
          <w:i/>
          <w:sz w:val="20"/>
        </w:rPr>
        <w:t>Three buffer areas around the Port have been identified; Area1, Area 2 and Area 3. For the purposes of these Guidelines these areas will be known as Buffer Area 1, Buffer Area 2 and Buffer Area 3.  The buffer area relevant to the Richmond Hill Precinct is Buffer Area 3 (refer figure 26).</w:t>
      </w:r>
    </w:p>
    <w:p w14:paraId="4EAC9BCE" w14:textId="77777777" w:rsidR="00B46EF1" w:rsidRPr="003623C6" w:rsidRDefault="00B46EF1" w:rsidP="003623C6">
      <w:pPr>
        <w:spacing w:line="360" w:lineRule="auto"/>
        <w:rPr>
          <w:rFonts w:ascii="Avenir LT 45 Book" w:eastAsia="Calibri" w:hAnsi="Avenir LT 45 Book"/>
          <w:i/>
          <w:sz w:val="20"/>
        </w:rPr>
      </w:pPr>
      <w:proofErr w:type="gramStart"/>
      <w:r w:rsidRPr="003623C6">
        <w:rPr>
          <w:rFonts w:ascii="Avenir LT 45 Book" w:eastAsia="Calibri" w:hAnsi="Avenir LT 45 Book"/>
          <w:i/>
          <w:sz w:val="20"/>
        </w:rPr>
        <w:t>Generally</w:t>
      </w:r>
      <w:proofErr w:type="gramEnd"/>
      <w:r w:rsidRPr="003623C6">
        <w:rPr>
          <w:rFonts w:ascii="Avenir LT 45 Book" w:eastAsia="Calibri" w:hAnsi="Avenir LT 45 Book"/>
          <w:i/>
          <w:sz w:val="20"/>
        </w:rPr>
        <w:t xml:space="preserve"> the potential risk and amenity impacts from the Port are considerably less in Buffer Area 3. Nevertheless, the Fremantle Inner Harbour Buffer Definition Study has identified the potential for some noise and odour impacts in this area.</w:t>
      </w:r>
    </w:p>
    <w:p w14:paraId="4EE21D1B" w14:textId="77777777" w:rsidR="00B46EF1" w:rsidRDefault="00B46EF1" w:rsidP="003623C6">
      <w:pPr>
        <w:spacing w:line="360" w:lineRule="auto"/>
        <w:rPr>
          <w:rFonts w:cs="Times New Roman"/>
          <w:szCs w:val="20"/>
        </w:rPr>
      </w:pPr>
      <w:r w:rsidRPr="003623C6">
        <w:rPr>
          <w:rFonts w:ascii="Avenir LT 45 Book" w:eastAsia="Calibri" w:hAnsi="Avenir LT 45 Book"/>
          <w:i/>
          <w:sz w:val="20"/>
        </w:rPr>
        <w:t>The intent of Buffer Area 3 is the management, as opposed to the control, of sensitive uses.</w:t>
      </w:r>
    </w:p>
    <w:p w14:paraId="53836488" w14:textId="77777777" w:rsidR="00B46EF1" w:rsidRPr="00842387" w:rsidRDefault="00B46EF1" w:rsidP="00B46EF1">
      <w:pPr>
        <w:pStyle w:val="Figure"/>
        <w:rPr>
          <w:lang w:val="en-AU"/>
        </w:rPr>
      </w:pPr>
      <w:r w:rsidRPr="00842387">
        <w:rPr>
          <w:noProof/>
          <w:lang w:val="en-AU" w:eastAsia="en-AU"/>
        </w:rPr>
        <w:drawing>
          <wp:inline distT="0" distB="0" distL="0" distR="0" wp14:anchorId="416A04DD" wp14:editId="1B4972DF">
            <wp:extent cx="5657850" cy="4019550"/>
            <wp:effectExtent l="0" t="0" r="0" b="0"/>
            <wp:docPr id="221" name="Picture 12" descr="11206-BUFFER ZONE RICHMON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6-BUFFER ZONE RICHMOND.eps"/>
                    <pic:cNvPicPr/>
                  </pic:nvPicPr>
                  <pic:blipFill>
                    <a:blip r:embed="rId251" cstate="print"/>
                    <a:stretch>
                      <a:fillRect/>
                    </a:stretch>
                  </pic:blipFill>
                  <pic:spPr>
                    <a:xfrm>
                      <a:off x="0" y="0"/>
                      <a:ext cx="5656213" cy="4018387"/>
                    </a:xfrm>
                    <a:prstGeom prst="rect">
                      <a:avLst/>
                    </a:prstGeom>
                  </pic:spPr>
                </pic:pic>
              </a:graphicData>
            </a:graphic>
          </wp:inline>
        </w:drawing>
      </w:r>
    </w:p>
    <w:p w14:paraId="72B4996F" w14:textId="77777777" w:rsidR="00B46EF1" w:rsidRPr="00842387" w:rsidRDefault="00B46EF1" w:rsidP="00B46EF1">
      <w:pPr>
        <w:pStyle w:val="Figure"/>
        <w:spacing w:before="120"/>
        <w:jc w:val="left"/>
        <w:rPr>
          <w:lang w:val="en-AU"/>
        </w:rPr>
      </w:pPr>
      <w:r w:rsidRPr="00842387">
        <w:rPr>
          <w:rFonts w:ascii="Avenir LT 65 Medium" w:hAnsi="Avenir LT 65 Medium"/>
          <w:lang w:val="en-AU"/>
        </w:rPr>
        <w:t>Figure 26</w:t>
      </w:r>
      <w:r w:rsidRPr="00842387">
        <w:rPr>
          <w:lang w:val="en-AU"/>
        </w:rPr>
        <w:t xml:space="preserve">- Fremantle Port Buffer Zone Area 3 affecting the Richmond Hill Precinct.  </w:t>
      </w:r>
      <w:r w:rsidRPr="00842387">
        <w:rPr>
          <w:i/>
          <w:lang w:val="en-AU"/>
        </w:rPr>
        <w:t>Griffiths Architects 2011</w:t>
      </w:r>
    </w:p>
    <w:p w14:paraId="156F23F9" w14:textId="77777777" w:rsidR="00B46EF1" w:rsidRDefault="00B46EF1" w:rsidP="00736719">
      <w:pPr>
        <w:pStyle w:val="Heading5"/>
        <w:spacing w:before="360" w:after="120"/>
        <w:ind w:left="1418" w:hanging="1418"/>
      </w:pPr>
      <w:r>
        <w:lastRenderedPageBreak/>
        <w:t>3.7.17.4.3.2</w:t>
      </w:r>
      <w:r>
        <w:tab/>
        <w:t>Desired Development Outcomes</w:t>
      </w:r>
    </w:p>
    <w:p w14:paraId="63C3C99E" w14:textId="77777777" w:rsidR="00B46EF1" w:rsidRPr="003623C6" w:rsidRDefault="00B46EF1" w:rsidP="002A3889">
      <w:pPr>
        <w:pStyle w:val="ListParagraph"/>
        <w:numPr>
          <w:ilvl w:val="0"/>
          <w:numId w:val="208"/>
        </w:numPr>
        <w:spacing w:line="360" w:lineRule="auto"/>
        <w:ind w:left="714" w:hanging="357"/>
        <w:contextualSpacing w:val="0"/>
        <w:rPr>
          <w:rFonts w:ascii="Avenir LT 45 Book" w:eastAsia="Calibri" w:hAnsi="Avenir LT 45 Book" w:cs="Times New Roman"/>
          <w:sz w:val="20"/>
        </w:rPr>
      </w:pPr>
      <w:r w:rsidRPr="003623C6">
        <w:rPr>
          <w:rFonts w:ascii="Avenir LT 45 Book" w:eastAsia="Calibri" w:hAnsi="Avenir LT 45 Book" w:cs="Times New Roman"/>
          <w:sz w:val="20"/>
        </w:rPr>
        <w:t xml:space="preserve">To minimise potential impacts that may arise from the </w:t>
      </w:r>
      <w:proofErr w:type="gramStart"/>
      <w:r w:rsidRPr="003623C6">
        <w:rPr>
          <w:rFonts w:ascii="Avenir LT 45 Book" w:eastAsia="Calibri" w:hAnsi="Avenir LT 45 Book" w:cs="Times New Roman"/>
          <w:sz w:val="20"/>
        </w:rPr>
        <w:t>Port;</w:t>
      </w:r>
      <w:proofErr w:type="gramEnd"/>
    </w:p>
    <w:p w14:paraId="691A9B25" w14:textId="77777777" w:rsidR="00B46EF1" w:rsidRPr="003623C6" w:rsidRDefault="00B46EF1" w:rsidP="002A3889">
      <w:pPr>
        <w:pStyle w:val="ListParagraph"/>
        <w:numPr>
          <w:ilvl w:val="0"/>
          <w:numId w:val="208"/>
        </w:numPr>
        <w:spacing w:line="360" w:lineRule="auto"/>
        <w:ind w:left="714" w:hanging="357"/>
        <w:contextualSpacing w:val="0"/>
        <w:rPr>
          <w:rFonts w:ascii="Avenir LT 45 Book" w:eastAsia="Calibri" w:hAnsi="Avenir LT 45 Book" w:cs="Times New Roman"/>
          <w:sz w:val="20"/>
        </w:rPr>
      </w:pPr>
      <w:r w:rsidRPr="003623C6">
        <w:rPr>
          <w:rFonts w:ascii="Avenir LT 45 Book" w:eastAsia="Calibri" w:hAnsi="Avenir LT 45 Book" w:cs="Times New Roman"/>
          <w:sz w:val="20"/>
        </w:rPr>
        <w:t>To define separate land use and built form requirements for each buffer area; and,</w:t>
      </w:r>
    </w:p>
    <w:p w14:paraId="3CBED819" w14:textId="77777777" w:rsidR="00B46EF1" w:rsidRPr="003623C6" w:rsidRDefault="00B46EF1" w:rsidP="002A3889">
      <w:pPr>
        <w:pStyle w:val="ListParagraph"/>
        <w:numPr>
          <w:ilvl w:val="0"/>
          <w:numId w:val="208"/>
        </w:numPr>
        <w:spacing w:line="360" w:lineRule="auto"/>
        <w:ind w:left="714" w:hanging="357"/>
        <w:contextualSpacing w:val="0"/>
        <w:rPr>
          <w:rFonts w:ascii="Avenir LT 45 Book" w:eastAsia="Calibri" w:hAnsi="Avenir LT 45 Book" w:cs="Times New Roman"/>
          <w:sz w:val="20"/>
        </w:rPr>
      </w:pPr>
      <w:r w:rsidRPr="003623C6">
        <w:rPr>
          <w:rFonts w:ascii="Avenir LT 45 Book" w:eastAsia="Calibri" w:hAnsi="Avenir LT 45 Book" w:cs="Times New Roman"/>
          <w:sz w:val="20"/>
        </w:rPr>
        <w:t>To manage sensitive uses.</w:t>
      </w:r>
    </w:p>
    <w:p w14:paraId="00750204" w14:textId="77777777" w:rsidR="00B46EF1" w:rsidRDefault="00B46EF1" w:rsidP="00736719">
      <w:pPr>
        <w:pStyle w:val="Heading5"/>
        <w:spacing w:before="240" w:after="120"/>
        <w:ind w:left="1418" w:hanging="1418"/>
      </w:pPr>
      <w:r>
        <w:t>3.7.17.4.3.3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7"/>
        <w:gridCol w:w="4519"/>
      </w:tblGrid>
      <w:tr w:rsidR="00B46EF1" w:rsidRPr="00842387" w14:paraId="3FE0A35C" w14:textId="77777777" w:rsidTr="008048CE">
        <w:tc>
          <w:tcPr>
            <w:tcW w:w="4621" w:type="dxa"/>
          </w:tcPr>
          <w:p w14:paraId="23DAF925"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2294C1EF" w14:textId="77777777" w:rsidR="00B46EF1" w:rsidRDefault="00B46EF1" w:rsidP="008048CE">
            <w:r w:rsidRPr="00842387">
              <w:rPr>
                <w:rFonts w:ascii="Avenir LT 65 Medium" w:hAnsi="Avenir LT 65 Medium"/>
              </w:rPr>
              <w:t>Acceptable Development Provisions</w:t>
            </w:r>
          </w:p>
        </w:tc>
      </w:tr>
      <w:tr w:rsidR="00B46EF1" w:rsidRPr="00842387" w14:paraId="2EE1E744" w14:textId="77777777" w:rsidTr="008048CE">
        <w:trPr>
          <w:trHeight w:val="274"/>
        </w:trPr>
        <w:tc>
          <w:tcPr>
            <w:tcW w:w="4621" w:type="dxa"/>
          </w:tcPr>
          <w:p w14:paraId="27E7E517" w14:textId="77777777" w:rsidR="00B46EF1" w:rsidRDefault="00B46EF1" w:rsidP="002A3889">
            <w:pPr>
              <w:pStyle w:val="ListParagraph"/>
              <w:numPr>
                <w:ilvl w:val="0"/>
                <w:numId w:val="209"/>
              </w:numPr>
              <w:spacing w:before="120" w:line="360" w:lineRule="auto"/>
              <w:ind w:left="567" w:hanging="504"/>
              <w:contextualSpacing w:val="0"/>
            </w:pPr>
            <w:r w:rsidRPr="00736719">
              <w:rPr>
                <w:rFonts w:ascii="Avenir LT 45 Book" w:eastAsia="Calibri" w:hAnsi="Avenir LT 45 Book" w:cs="Arial"/>
                <w:sz w:val="20"/>
              </w:rPr>
              <w:t xml:space="preserve">There are no general buffer related development controls for Buffer Area 3.  However, where a specific location within this area is known to be impacted from port operations (e.g. through a history of formal complaints), Council may, in consultation with Fremantle Ports, apply some or </w:t>
            </w:r>
            <w:proofErr w:type="gramStart"/>
            <w:r w:rsidRPr="00736719">
              <w:rPr>
                <w:rFonts w:ascii="Avenir LT 45 Book" w:eastAsia="Calibri" w:hAnsi="Avenir LT 45 Book" w:cs="Arial"/>
                <w:sz w:val="20"/>
              </w:rPr>
              <w:t>all of</w:t>
            </w:r>
            <w:proofErr w:type="gramEnd"/>
            <w:r w:rsidRPr="00736719">
              <w:rPr>
                <w:rFonts w:ascii="Avenir LT 45 Book" w:eastAsia="Calibri" w:hAnsi="Avenir LT 45 Book" w:cs="Arial"/>
                <w:sz w:val="20"/>
              </w:rPr>
              <w:t xml:space="preserve"> the development controls of Buffer Area 2.</w:t>
            </w:r>
          </w:p>
        </w:tc>
        <w:tc>
          <w:tcPr>
            <w:tcW w:w="4621" w:type="dxa"/>
          </w:tcPr>
          <w:p w14:paraId="064C6B4A" w14:textId="77777777" w:rsidR="00B46EF1" w:rsidRPr="00736719" w:rsidRDefault="00B46EF1" w:rsidP="002A3889">
            <w:pPr>
              <w:pStyle w:val="ListParagraph"/>
              <w:numPr>
                <w:ilvl w:val="1"/>
                <w:numId w:val="210"/>
              </w:numPr>
              <w:spacing w:before="120" w:line="360" w:lineRule="auto"/>
              <w:ind w:left="766" w:hanging="647"/>
              <w:contextualSpacing w:val="0"/>
              <w:rPr>
                <w:rFonts w:ascii="Avenir LT 45 Book" w:eastAsia="Calibri" w:hAnsi="Avenir LT 45 Book" w:cs="Times New Roman"/>
                <w:sz w:val="20"/>
              </w:rPr>
            </w:pPr>
            <w:r w:rsidRPr="00736719">
              <w:rPr>
                <w:rFonts w:ascii="Avenir LT 45 Book" w:eastAsia="Calibri" w:hAnsi="Avenir LT 45 Book" w:cs="Times New Roman"/>
                <w:sz w:val="20"/>
              </w:rPr>
              <w:t>Developments, additions and alterations must comply with the Fremantle Buffer Area requirements.</w:t>
            </w:r>
          </w:p>
          <w:p w14:paraId="3CBCB7BF" w14:textId="77777777" w:rsidR="00B46EF1" w:rsidRDefault="00B46EF1" w:rsidP="002A3889">
            <w:pPr>
              <w:pStyle w:val="ListParagraph"/>
              <w:numPr>
                <w:ilvl w:val="1"/>
                <w:numId w:val="210"/>
              </w:numPr>
              <w:spacing w:line="360" w:lineRule="auto"/>
              <w:ind w:left="766" w:hanging="647"/>
              <w:contextualSpacing w:val="0"/>
            </w:pPr>
            <w:r w:rsidRPr="00736719">
              <w:rPr>
                <w:rFonts w:ascii="Avenir LT 45 Book" w:eastAsia="Calibri" w:hAnsi="Avenir LT 45 Book" w:cs="Times New Roman"/>
                <w:sz w:val="20"/>
              </w:rPr>
              <w:t>Council may accept alternative built form treatments subject to the applicant satisfactorily demonstrating fulfilment of the potential risk and amenity considerations outlined above. Alternative treatments shall be justified</w:t>
            </w:r>
            <w:r w:rsidRPr="00842387">
              <w:t xml:space="preserve"> </w:t>
            </w:r>
            <w:r w:rsidRPr="00736719">
              <w:rPr>
                <w:rFonts w:ascii="Avenir LT 45 Book" w:eastAsia="Calibri" w:hAnsi="Avenir LT 45 Book" w:cs="Times New Roman"/>
                <w:sz w:val="20"/>
              </w:rPr>
              <w:t>to Council through</w:t>
            </w:r>
            <w:r w:rsidRPr="00842387">
              <w:t xml:space="preserve"> </w:t>
            </w:r>
            <w:r w:rsidRPr="00736719">
              <w:rPr>
                <w:rFonts w:ascii="Avenir LT 45 Book" w:eastAsia="Calibri" w:hAnsi="Avenir LT 45 Book" w:cs="Times New Roman"/>
                <w:sz w:val="20"/>
              </w:rPr>
              <w:t>submission of</w:t>
            </w:r>
            <w:r w:rsidRPr="00842387">
              <w:t xml:space="preserve"> </w:t>
            </w:r>
            <w:r w:rsidRPr="00736719">
              <w:rPr>
                <w:rFonts w:ascii="Avenir LT 45 Book" w:eastAsia="Calibri" w:hAnsi="Avenir LT 45 Book" w:cs="Times New Roman"/>
                <w:sz w:val="20"/>
              </w:rPr>
              <w:t>professionally prepared and certified reports.</w:t>
            </w:r>
          </w:p>
        </w:tc>
      </w:tr>
    </w:tbl>
    <w:p w14:paraId="2B71DD1E" w14:textId="77777777" w:rsidR="00736719" w:rsidRDefault="00736719" w:rsidP="00B46EF1">
      <w:pPr>
        <w:pStyle w:val="Heading5"/>
        <w:ind w:left="1418" w:hanging="1418"/>
      </w:pPr>
    </w:p>
    <w:p w14:paraId="4A3C9154" w14:textId="77777777" w:rsidR="00B46EF1" w:rsidRDefault="00B46EF1" w:rsidP="00B46EF1">
      <w:pPr>
        <w:pStyle w:val="Heading5"/>
        <w:ind w:left="1418" w:hanging="1418"/>
      </w:pPr>
      <w:r>
        <w:t>3.7.17.4.3.4</w:t>
      </w:r>
      <w:r>
        <w:tab/>
        <w:t>Administrative Procedures</w:t>
      </w:r>
    </w:p>
    <w:p w14:paraId="10A01DA8" w14:textId="77777777" w:rsidR="00B46EF1" w:rsidRPr="00736719" w:rsidRDefault="00B46EF1" w:rsidP="00736719">
      <w:pPr>
        <w:spacing w:line="360" w:lineRule="auto"/>
        <w:rPr>
          <w:rFonts w:ascii="Avenir LT 45 Book" w:eastAsia="Calibri" w:hAnsi="Avenir LT 45 Book"/>
          <w:sz w:val="20"/>
        </w:rPr>
      </w:pPr>
      <w:r w:rsidRPr="00736719">
        <w:rPr>
          <w:rFonts w:ascii="Avenir LT 45 Book" w:eastAsia="Calibri" w:hAnsi="Avenir LT 45 Book"/>
          <w:sz w:val="20"/>
        </w:rPr>
        <w:t>Where applicable, applicants should be advised as soon as possible of the requirements of this policy. Ideally, this should be prior to lodging a formal application for development, including proposals for subdivision and scheme amendments.</w:t>
      </w:r>
    </w:p>
    <w:p w14:paraId="699E7D36" w14:textId="77777777" w:rsidR="00B46EF1" w:rsidRPr="00736719" w:rsidRDefault="00B46EF1" w:rsidP="00736719">
      <w:pPr>
        <w:spacing w:line="360" w:lineRule="auto"/>
        <w:rPr>
          <w:rFonts w:ascii="Avenir LT 45 Book" w:eastAsia="Calibri" w:hAnsi="Avenir LT 45 Book"/>
          <w:sz w:val="20"/>
        </w:rPr>
      </w:pPr>
      <w:r w:rsidRPr="00736719">
        <w:rPr>
          <w:rFonts w:ascii="Avenir LT 45 Book" w:eastAsia="Calibri" w:hAnsi="Avenir LT 45 Book"/>
          <w:sz w:val="20"/>
        </w:rPr>
        <w:t xml:space="preserve">Applicants should be encouraged to liaise with relevant staff including those at Fremantle Ports, </w:t>
      </w:r>
      <w:proofErr w:type="gramStart"/>
      <w:r w:rsidRPr="00736719">
        <w:rPr>
          <w:rFonts w:ascii="Avenir LT 45 Book" w:eastAsia="Calibri" w:hAnsi="Avenir LT 45 Book"/>
          <w:sz w:val="20"/>
        </w:rPr>
        <w:t>in order to</w:t>
      </w:r>
      <w:proofErr w:type="gramEnd"/>
      <w:r w:rsidRPr="00736719">
        <w:rPr>
          <w:rFonts w:ascii="Avenir LT 45 Book" w:eastAsia="Calibri" w:hAnsi="Avenir LT 45 Book"/>
          <w:sz w:val="20"/>
        </w:rPr>
        <w:t xml:space="preserve"> understand the requirements of this policy.</w:t>
      </w:r>
    </w:p>
    <w:p w14:paraId="00366FE4" w14:textId="77777777" w:rsidR="00B46EF1" w:rsidRPr="00736719" w:rsidRDefault="00B46EF1" w:rsidP="00736719">
      <w:pPr>
        <w:spacing w:line="360" w:lineRule="auto"/>
        <w:rPr>
          <w:rFonts w:ascii="Avenir LT 45 Book" w:eastAsia="Calibri" w:hAnsi="Avenir LT 45 Book"/>
          <w:sz w:val="20"/>
        </w:rPr>
      </w:pPr>
      <w:r w:rsidRPr="00736719">
        <w:rPr>
          <w:rFonts w:ascii="Avenir LT 45 Book" w:eastAsia="Calibri" w:hAnsi="Avenir LT 45 Book"/>
          <w:sz w:val="20"/>
        </w:rPr>
        <w:t>Council shall refer a proposal to Fremantle Ports where a proponent seeks any significant variation to the development controls contained within these guidelines.</w:t>
      </w:r>
    </w:p>
    <w:p w14:paraId="436F2730" w14:textId="77777777" w:rsidR="00B46EF1" w:rsidRPr="00736719" w:rsidRDefault="00B46EF1" w:rsidP="00736719">
      <w:pPr>
        <w:spacing w:line="360" w:lineRule="auto"/>
        <w:rPr>
          <w:rFonts w:ascii="Avenir LT 45 Book" w:eastAsia="Calibri" w:hAnsi="Avenir LT 45 Book"/>
          <w:sz w:val="20"/>
        </w:rPr>
      </w:pPr>
      <w:r w:rsidRPr="00736719">
        <w:rPr>
          <w:rFonts w:ascii="Avenir LT 45 Book" w:eastAsia="Calibri" w:hAnsi="Avenir LT 45 Book"/>
          <w:sz w:val="20"/>
        </w:rPr>
        <w:t>Fremantle Port shall within 14 days of notification, advise the Town of its assessment of a development proposal referred as per the requirements outlined above.</w:t>
      </w:r>
    </w:p>
    <w:p w14:paraId="1A3F4079" w14:textId="77777777" w:rsidR="00B46EF1" w:rsidRPr="00736719" w:rsidRDefault="00B46EF1" w:rsidP="00736719">
      <w:pPr>
        <w:spacing w:line="360" w:lineRule="auto"/>
        <w:rPr>
          <w:rFonts w:ascii="Avenir LT 45 Book" w:eastAsia="Calibri" w:hAnsi="Avenir LT 45 Book"/>
          <w:sz w:val="20"/>
        </w:rPr>
      </w:pPr>
      <w:r w:rsidRPr="00736719">
        <w:rPr>
          <w:rFonts w:ascii="Avenir LT 45 Book" w:eastAsia="Calibri" w:hAnsi="Avenir LT 45 Book"/>
          <w:sz w:val="20"/>
        </w:rPr>
        <w:t>In terms of conditions of development approval that arise from the requirements of this policy, Council shall require a building surveyor or suitably qualified structural engineer to certify that the requirements of the conditions have been fulfilled in accordance with the approved plans.</w:t>
      </w:r>
    </w:p>
    <w:p w14:paraId="07991044" w14:textId="77777777" w:rsidR="00B46EF1" w:rsidRPr="00736719" w:rsidRDefault="00B46EF1" w:rsidP="00736719">
      <w:pPr>
        <w:spacing w:line="360" w:lineRule="auto"/>
        <w:rPr>
          <w:rFonts w:ascii="Avenir LT 45 Book" w:eastAsia="Calibri" w:hAnsi="Avenir LT 45 Book"/>
          <w:sz w:val="20"/>
        </w:rPr>
      </w:pPr>
      <w:r w:rsidRPr="00736719">
        <w:rPr>
          <w:rFonts w:ascii="Avenir LT 45 Book" w:eastAsia="Calibri" w:hAnsi="Avenir LT 45 Book"/>
          <w:sz w:val="20"/>
        </w:rPr>
        <w:t>Where appropriate, certification shall be provided prior to the issue of a building permit, certificate of clearance / classification or strata / subdivision clearance.</w:t>
      </w:r>
    </w:p>
    <w:p w14:paraId="1611BDEC" w14:textId="77777777" w:rsidR="00B46EF1" w:rsidRPr="00736719" w:rsidRDefault="00B46EF1" w:rsidP="00736719">
      <w:pPr>
        <w:spacing w:line="360" w:lineRule="auto"/>
        <w:rPr>
          <w:rFonts w:ascii="Avenir LT 45 Book" w:eastAsia="Calibri" w:hAnsi="Avenir LT 45 Book"/>
          <w:sz w:val="20"/>
        </w:rPr>
      </w:pPr>
      <w:r w:rsidRPr="00736719">
        <w:rPr>
          <w:rFonts w:ascii="Avenir LT 45 Book" w:eastAsia="Calibri" w:hAnsi="Avenir LT 45 Book"/>
          <w:sz w:val="20"/>
        </w:rPr>
        <w:t>The applicant shall arrange for certification to be endorsed by Fremantle Ports prior to lodgement of appropriate documentation with the Town.</w:t>
      </w:r>
    </w:p>
    <w:p w14:paraId="41AFC992" w14:textId="77777777" w:rsidR="00B46EF1" w:rsidRPr="00736719" w:rsidRDefault="00B46EF1" w:rsidP="00736719">
      <w:pPr>
        <w:spacing w:line="360" w:lineRule="auto"/>
        <w:rPr>
          <w:rFonts w:ascii="Avenir LT 45 Book" w:eastAsia="Calibri" w:hAnsi="Avenir LT 45 Book"/>
          <w:u w:val="single"/>
        </w:rPr>
      </w:pPr>
      <w:r w:rsidRPr="00736719">
        <w:rPr>
          <w:rFonts w:ascii="Avenir LT 45 Book" w:eastAsia="Calibri" w:hAnsi="Avenir LT 45 Book"/>
          <w:u w:val="single"/>
        </w:rPr>
        <w:lastRenderedPageBreak/>
        <w:t>Buffer Area 3</w:t>
      </w:r>
    </w:p>
    <w:p w14:paraId="0FD4C0C8" w14:textId="77777777" w:rsidR="00B46EF1" w:rsidRPr="00736719" w:rsidRDefault="00B46EF1" w:rsidP="00736719">
      <w:pPr>
        <w:spacing w:line="360" w:lineRule="auto"/>
        <w:rPr>
          <w:rFonts w:ascii="Avenir LT 45 Book" w:eastAsia="Calibri" w:hAnsi="Avenir LT 45 Book"/>
          <w:sz w:val="20"/>
        </w:rPr>
      </w:pPr>
      <w:r w:rsidRPr="00736719">
        <w:rPr>
          <w:rFonts w:ascii="Avenir LT 45 Book" w:eastAsia="Calibri" w:hAnsi="Avenir LT 45 Book"/>
          <w:sz w:val="20"/>
        </w:rPr>
        <w:t>Council shall refer a proposal to Fremantle Ports where the proposal falls within a specific location that has been formally notified to Council as being impacted from port operations.</w:t>
      </w:r>
    </w:p>
    <w:p w14:paraId="6FF46ADB" w14:textId="77777777" w:rsidR="00B46EF1" w:rsidRPr="00842387" w:rsidRDefault="00B46EF1" w:rsidP="00736719">
      <w:pPr>
        <w:spacing w:line="360" w:lineRule="auto"/>
      </w:pPr>
      <w:r w:rsidRPr="00736719">
        <w:rPr>
          <w:rFonts w:ascii="Avenir LT 45 Book" w:eastAsia="Calibri" w:hAnsi="Avenir LT 45 Book"/>
          <w:sz w:val="20"/>
        </w:rPr>
        <w:t>In the case of scheme amendments that would result in an increase or intensification of sensitive uses, Council shall notify Fremantle Ports as soon as practicable prior to initiating the amendment</w:t>
      </w:r>
      <w:r w:rsidRPr="00842387">
        <w:t>.</w:t>
      </w:r>
    </w:p>
    <w:p w14:paraId="0EB4483A" w14:textId="77777777" w:rsidR="00B46EF1" w:rsidRDefault="00B46EF1" w:rsidP="00B46EF1"/>
    <w:p w14:paraId="35438581" w14:textId="77777777" w:rsidR="00B46EF1" w:rsidRDefault="00B46EF1" w:rsidP="00B46EF1">
      <w:pPr>
        <w:pStyle w:val="Heading1"/>
        <w:sectPr w:rsidR="00B46EF1" w:rsidSect="008048CE">
          <w:footerReference w:type="default" r:id="rId252"/>
          <w:pgSz w:w="11906" w:h="16838"/>
          <w:pgMar w:top="1440" w:right="1440" w:bottom="1276" w:left="1440" w:header="708" w:footer="708" w:gutter="0"/>
          <w:cols w:space="708"/>
          <w:docGrid w:linePitch="360"/>
        </w:sectPr>
      </w:pPr>
    </w:p>
    <w:p w14:paraId="7A6574AF" w14:textId="3E833BFE" w:rsidR="00B46EF1" w:rsidRPr="00B046F0" w:rsidRDefault="00B046F0" w:rsidP="00B046F0">
      <w:pPr>
        <w:pStyle w:val="Heading3"/>
        <w:keepNext w:val="0"/>
        <w:keepLines w:val="0"/>
        <w:autoSpaceDE w:val="0"/>
        <w:autoSpaceDN w:val="0"/>
        <w:spacing w:before="0" w:after="200" w:line="360" w:lineRule="auto"/>
        <w:ind w:left="1418" w:hanging="1418"/>
        <w:jc w:val="both"/>
        <w:rPr>
          <w:rFonts w:ascii="Avenir LT 65 Medium" w:eastAsia="Times New Roman" w:hAnsi="Avenir LT 65 Medium" w:cs="Times New Roman"/>
          <w:bCs/>
          <w:color w:val="000000"/>
          <w:sz w:val="22"/>
        </w:rPr>
      </w:pPr>
      <w:bookmarkStart w:id="470" w:name="_Toc452727451"/>
      <w:r>
        <w:rPr>
          <w:rFonts w:ascii="Avenir LT 65 Medium" w:eastAsia="Times New Roman" w:hAnsi="Avenir LT 65 Medium" w:cs="Times New Roman"/>
          <w:bCs/>
          <w:color w:val="000000"/>
          <w:sz w:val="22"/>
        </w:rPr>
        <w:lastRenderedPageBreak/>
        <w:t>3.7.18</w:t>
      </w:r>
      <w:r>
        <w:rPr>
          <w:rFonts w:ascii="Avenir LT 65 Medium" w:eastAsia="Times New Roman" w:hAnsi="Avenir LT 65 Medium" w:cs="Times New Roman"/>
          <w:bCs/>
          <w:color w:val="000000"/>
          <w:sz w:val="22"/>
        </w:rPr>
        <w:tab/>
      </w:r>
      <w:r w:rsidR="00B46EF1" w:rsidRPr="00B046F0">
        <w:rPr>
          <w:rFonts w:ascii="Avenir LT 65 Medium" w:eastAsia="Times New Roman" w:hAnsi="Avenir LT 65 Medium" w:cs="Times New Roman"/>
          <w:bCs/>
          <w:color w:val="000000"/>
          <w:sz w:val="22"/>
        </w:rPr>
        <w:t>Riverside</w:t>
      </w:r>
      <w:bookmarkEnd w:id="470"/>
    </w:p>
    <w:p w14:paraId="213A6113" w14:textId="77777777" w:rsidR="00B46EF1" w:rsidRPr="00B046F0" w:rsidRDefault="00B046F0" w:rsidP="00B046F0">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3.7.18.1</w:t>
      </w:r>
      <w:r>
        <w:rPr>
          <w:rFonts w:ascii="Avenir LT 65 Medium" w:hAnsi="Avenir LT 65 Medium"/>
          <w:bCs/>
          <w:i w:val="0"/>
          <w:color w:val="auto"/>
        </w:rPr>
        <w:tab/>
      </w:r>
      <w:r w:rsidR="00B46EF1" w:rsidRPr="00B046F0">
        <w:rPr>
          <w:rFonts w:ascii="Avenir LT 65 Medium" w:hAnsi="Avenir LT 65 Medium"/>
          <w:bCs/>
          <w:i w:val="0"/>
          <w:color w:val="auto"/>
        </w:rPr>
        <w:t>Statement of Desired Future Character</w:t>
      </w:r>
    </w:p>
    <w:p w14:paraId="57AAE759" w14:textId="77777777" w:rsidR="00B46EF1" w:rsidRDefault="00B046F0" w:rsidP="00B046F0">
      <w:pPr>
        <w:pStyle w:val="Heading5"/>
      </w:pPr>
      <w:r>
        <w:t>3.7.18.1.1</w:t>
      </w:r>
      <w:r>
        <w:tab/>
      </w:r>
      <w:r w:rsidR="00B46EF1" w:rsidRPr="00842387">
        <w:t>Riverside</w:t>
      </w:r>
    </w:p>
    <w:p w14:paraId="527A2C2E" w14:textId="77777777" w:rsidR="00B46EF1" w:rsidRPr="00B046F0" w:rsidRDefault="00B46EF1" w:rsidP="00B046F0">
      <w:pPr>
        <w:spacing w:line="360" w:lineRule="auto"/>
        <w:rPr>
          <w:rFonts w:ascii="Avenir LT 45 Book" w:eastAsia="Calibri" w:hAnsi="Avenir LT 45 Book"/>
          <w:i/>
          <w:sz w:val="20"/>
        </w:rPr>
      </w:pPr>
      <w:r w:rsidRPr="00B046F0">
        <w:rPr>
          <w:rFonts w:ascii="Avenir LT 45 Book" w:eastAsia="Calibri" w:hAnsi="Avenir LT 45 Book"/>
          <w:i/>
          <w:sz w:val="20"/>
        </w:rPr>
        <w:t>The desired future character of Riverside is the maintenance of its limited number of single storey Federation period buildings, cohabiting with sympathetic, appropriate scale infill and additions in narrow streetscapes.</w:t>
      </w:r>
    </w:p>
    <w:p w14:paraId="33FDBB4D" w14:textId="77777777" w:rsidR="00B46EF1" w:rsidRPr="00842387" w:rsidRDefault="00B46EF1" w:rsidP="00B46EF1">
      <w:pPr>
        <w:rPr>
          <w:szCs w:val="20"/>
        </w:rPr>
      </w:pPr>
      <w:r>
        <w:rPr>
          <w:noProof/>
          <w:lang w:eastAsia="en-AU"/>
        </w:rPr>
        <w:drawing>
          <wp:inline distT="0" distB="0" distL="0" distR="0" wp14:anchorId="6BC88DA8" wp14:editId="07EF4C2A">
            <wp:extent cx="2524125" cy="1800225"/>
            <wp:effectExtent l="19050" t="0" r="9525" b="0"/>
            <wp:docPr id="98" name="Picture 35" descr="Z:\2011 JOBS\11206-EAST FREMANTLE GUIDELINES\11206-PHOTOS\PROCESSED\RIVERSIDE\ANGWIN STR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2011 JOBS\11206-EAST FREMANTLE GUIDELINES\11206-PHOTOS\PROCESSED\RIVERSIDE\ANGWIN STREET 1.jpg"/>
                    <pic:cNvPicPr>
                      <a:picLocks noChangeAspect="1" noChangeArrowheads="1"/>
                    </pic:cNvPicPr>
                  </pic:nvPicPr>
                  <pic:blipFill>
                    <a:blip r:embed="rId253"/>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rPr>
          <w:szCs w:val="20"/>
        </w:rPr>
        <w:t xml:space="preserve">      </w:t>
      </w:r>
      <w:r>
        <w:rPr>
          <w:noProof/>
          <w:szCs w:val="20"/>
          <w:lang w:eastAsia="en-AU"/>
        </w:rPr>
        <w:drawing>
          <wp:inline distT="0" distB="0" distL="0" distR="0" wp14:anchorId="02498A8E" wp14:editId="5A550BE7">
            <wp:extent cx="2524125" cy="1800225"/>
            <wp:effectExtent l="19050" t="0" r="9525" b="0"/>
            <wp:docPr id="99" name="Picture 36" descr="Z:\2011 JOBS\11206-EAST FREMANTLE GUIDELINES\11206-PHOTOS\PROCESSED\RIVERSIDE\SURBITON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2011 JOBS\11206-EAST FREMANTLE GUIDELINES\11206-PHOTOS\PROCESSED\RIVERSIDE\SURBITON ROAD.jpg"/>
                    <pic:cNvPicPr>
                      <a:picLocks noChangeAspect="1" noChangeArrowheads="1"/>
                    </pic:cNvPicPr>
                  </pic:nvPicPr>
                  <pic:blipFill>
                    <a:blip r:embed="rId254"/>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2807439A" w14:textId="77777777" w:rsidR="00B46EF1" w:rsidRPr="00B046F0" w:rsidRDefault="00B046F0" w:rsidP="00B046F0">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3.7.18.2</w:t>
      </w:r>
      <w:r>
        <w:rPr>
          <w:rFonts w:ascii="Avenir LT 65 Medium" w:hAnsi="Avenir LT 65 Medium"/>
          <w:bCs/>
          <w:i w:val="0"/>
          <w:color w:val="auto"/>
        </w:rPr>
        <w:tab/>
      </w:r>
      <w:r w:rsidR="00B46EF1" w:rsidRPr="00B046F0">
        <w:rPr>
          <w:rFonts w:ascii="Avenir LT 65 Medium" w:hAnsi="Avenir LT 65 Medium"/>
          <w:bCs/>
          <w:i w:val="0"/>
          <w:color w:val="auto"/>
        </w:rPr>
        <w:t>Access, Parking and Rights-of-Way</w:t>
      </w:r>
    </w:p>
    <w:p w14:paraId="39B9417D" w14:textId="77777777" w:rsidR="00B46EF1" w:rsidRDefault="00B046F0" w:rsidP="00B046F0">
      <w:pPr>
        <w:pStyle w:val="Heading5"/>
      </w:pPr>
      <w:r>
        <w:t>3.7.18.2.1</w:t>
      </w:r>
      <w:r>
        <w:tab/>
      </w:r>
      <w:r w:rsidR="00B46EF1" w:rsidRPr="00842387">
        <w:t>Statement</w:t>
      </w:r>
    </w:p>
    <w:p w14:paraId="13122A63" w14:textId="77777777" w:rsidR="00B46EF1" w:rsidRDefault="00B46EF1" w:rsidP="00B46EF1">
      <w:pPr>
        <w:pStyle w:val="Heading5"/>
        <w:ind w:left="1418" w:hanging="1418"/>
      </w:pPr>
      <w:r>
        <w:t>3.7.18.2.1.1</w:t>
      </w:r>
      <w:r>
        <w:tab/>
        <w:t>Riverside South</w:t>
      </w:r>
    </w:p>
    <w:p w14:paraId="3AF0C080" w14:textId="77777777" w:rsidR="00B46EF1" w:rsidRPr="00B046F0" w:rsidRDefault="00B46EF1" w:rsidP="00B046F0">
      <w:pPr>
        <w:spacing w:line="360" w:lineRule="auto"/>
        <w:jc w:val="both"/>
        <w:rPr>
          <w:rFonts w:ascii="Avenir LT 45 Book" w:eastAsia="Calibri" w:hAnsi="Avenir LT 45 Book"/>
          <w:i/>
          <w:sz w:val="20"/>
        </w:rPr>
      </w:pPr>
      <w:r w:rsidRPr="00B046F0">
        <w:rPr>
          <w:rFonts w:ascii="Avenir LT 45 Book" w:eastAsia="Calibri" w:hAnsi="Avenir LT 45 Book"/>
          <w:i/>
          <w:sz w:val="20"/>
        </w:rPr>
        <w:t>Riverside South is bounded by Stirling Highway (north inclusive), Riverside Road (east inclusive), Preston Point Road (west inclusive), Bolton Street (south inclusive) and Canning Highway (north inclusive).</w:t>
      </w:r>
    </w:p>
    <w:p w14:paraId="4115D29B" w14:textId="77777777" w:rsidR="00B46EF1" w:rsidRPr="00B046F0" w:rsidRDefault="00B46EF1" w:rsidP="00B046F0">
      <w:pPr>
        <w:spacing w:line="360" w:lineRule="auto"/>
        <w:jc w:val="both"/>
        <w:rPr>
          <w:rFonts w:ascii="Avenir LT 45 Book" w:eastAsia="Calibri" w:hAnsi="Avenir LT 45 Book"/>
          <w:i/>
          <w:sz w:val="20"/>
        </w:rPr>
      </w:pPr>
      <w:r w:rsidRPr="00B046F0">
        <w:rPr>
          <w:rFonts w:ascii="Avenir LT 45 Book" w:eastAsia="Calibri" w:hAnsi="Avenir LT 45 Book"/>
          <w:i/>
          <w:sz w:val="20"/>
        </w:rPr>
        <w:t>Residences in Riverside South have access via a single cross over.  Traditional building patterns have parking located at the front of the block.  Parking to new developments sometimes occurs in the rear setback area, in contrast to the traditional built pattern.</w:t>
      </w:r>
    </w:p>
    <w:p w14:paraId="7D3D518E" w14:textId="77777777" w:rsidR="00B46EF1" w:rsidRDefault="00B46EF1" w:rsidP="00B46EF1">
      <w:r>
        <w:rPr>
          <w:noProof/>
          <w:lang w:eastAsia="en-AU"/>
        </w:rPr>
        <w:drawing>
          <wp:inline distT="0" distB="0" distL="0" distR="0" wp14:anchorId="0BB67E1B" wp14:editId="73108C7A">
            <wp:extent cx="2524125" cy="1800225"/>
            <wp:effectExtent l="19050" t="0" r="9525" b="0"/>
            <wp:docPr id="100" name="Picture 37" descr="Z:\2011 JOBS\11206-EAST FREMANTLE GUIDELINES\11206-PHOTOS\PROCESSED\RIVERSIDE\BOLTON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2011 JOBS\11206-EAST FREMANTLE GUIDELINES\11206-PHOTOS\PROCESSED\RIVERSIDE\BOLTON STREET.jpg"/>
                    <pic:cNvPicPr>
                      <a:picLocks noChangeAspect="1" noChangeArrowheads="1"/>
                    </pic:cNvPicPr>
                  </pic:nvPicPr>
                  <pic:blipFill>
                    <a:blip r:embed="rId255"/>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5CEA06C6" wp14:editId="1912CDD9">
            <wp:extent cx="2524125" cy="1800225"/>
            <wp:effectExtent l="19050" t="0" r="9525" b="0"/>
            <wp:docPr id="101" name="Picture 38" descr="Z:\2011 JOBS\11206-EAST FREMANTLE GUIDELINES\11206-PHOTOS\PROCESSED\RIVERSIDE\PRESTON POINT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2011 JOBS\11206-EAST FREMANTLE GUIDELINES\11206-PHOTOS\PROCESSED\RIVERSIDE\PRESTON POINT ROAD.jpg"/>
                    <pic:cNvPicPr>
                      <a:picLocks noChangeAspect="1" noChangeArrowheads="1"/>
                    </pic:cNvPicPr>
                  </pic:nvPicPr>
                  <pic:blipFill>
                    <a:blip r:embed="rId256"/>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346EBF34" w14:textId="77777777" w:rsidR="00B46EF1" w:rsidRDefault="00B46EF1" w:rsidP="00B46EF1">
      <w:pPr>
        <w:rPr>
          <w:rFonts w:ascii="Avenir LT 65 Medium" w:eastAsiaTheme="majorEastAsia" w:hAnsi="Avenir LT 65 Medium" w:cs="Times New Roman"/>
          <w:bCs/>
          <w:color w:val="000000"/>
        </w:rPr>
      </w:pPr>
      <w:r>
        <w:br w:type="page"/>
      </w:r>
    </w:p>
    <w:p w14:paraId="17AA093B" w14:textId="77777777" w:rsidR="00B46EF1" w:rsidRDefault="00B46EF1" w:rsidP="00B46EF1">
      <w:pPr>
        <w:pStyle w:val="Heading5"/>
        <w:ind w:left="1418" w:hanging="1418"/>
      </w:pPr>
      <w:r>
        <w:lastRenderedPageBreak/>
        <w:t>3.7.18.2.1.2</w:t>
      </w:r>
      <w:r>
        <w:tab/>
        <w:t>Riverside North</w:t>
      </w:r>
    </w:p>
    <w:p w14:paraId="7130E004" w14:textId="77777777" w:rsidR="00B46EF1" w:rsidRPr="00B046F0" w:rsidRDefault="00B46EF1" w:rsidP="00B046F0">
      <w:pPr>
        <w:spacing w:line="360" w:lineRule="auto"/>
        <w:jc w:val="both"/>
        <w:rPr>
          <w:rFonts w:ascii="Avenir LT 45 Book" w:eastAsia="Calibri" w:hAnsi="Avenir LT 45 Book"/>
          <w:i/>
          <w:sz w:val="20"/>
        </w:rPr>
      </w:pPr>
      <w:r w:rsidRPr="00B046F0">
        <w:rPr>
          <w:rFonts w:ascii="Avenir LT 45 Book" w:eastAsia="Calibri" w:hAnsi="Avenir LT 45 Book"/>
          <w:i/>
          <w:sz w:val="20"/>
        </w:rPr>
        <w:t>Riverside North is bounded by Riverside Road (east inclusive), Preston Point Road (west inclusive) and Bolton Street (north inclusive).</w:t>
      </w:r>
    </w:p>
    <w:p w14:paraId="7B0EF382" w14:textId="77777777" w:rsidR="00B46EF1" w:rsidRPr="00B046F0" w:rsidRDefault="00B46EF1" w:rsidP="00B046F0">
      <w:pPr>
        <w:spacing w:line="360" w:lineRule="auto"/>
        <w:jc w:val="both"/>
        <w:rPr>
          <w:rFonts w:ascii="Avenir LT 45 Book" w:eastAsia="Calibri" w:hAnsi="Avenir LT 45 Book"/>
          <w:i/>
          <w:sz w:val="20"/>
        </w:rPr>
      </w:pPr>
      <w:r w:rsidRPr="00B046F0">
        <w:rPr>
          <w:rFonts w:ascii="Avenir LT 45 Book" w:eastAsia="Calibri" w:hAnsi="Avenir LT 45 Book"/>
          <w:i/>
          <w:sz w:val="20"/>
        </w:rPr>
        <w:t>Residences in Riverside North have access via a single shared cross over.  Parking to multiple dwellings occurs at the front of lots and within the front setback area.</w:t>
      </w:r>
    </w:p>
    <w:p w14:paraId="07A0BE63" w14:textId="77777777" w:rsidR="00B46EF1" w:rsidRDefault="00B046F0" w:rsidP="00B046F0">
      <w:pPr>
        <w:pStyle w:val="Heading5"/>
      </w:pPr>
      <w:r>
        <w:t>3.7.18.2.2</w:t>
      </w:r>
      <w:r>
        <w:tab/>
      </w:r>
      <w:r w:rsidR="00B46EF1" w:rsidRPr="00842387">
        <w:t>Desired Development Outcomes</w:t>
      </w:r>
    </w:p>
    <w:p w14:paraId="3CB48EB1" w14:textId="77777777" w:rsidR="00B46EF1" w:rsidRPr="00B046F0" w:rsidRDefault="00B46EF1" w:rsidP="002A3889">
      <w:pPr>
        <w:pStyle w:val="ListParagraph"/>
        <w:numPr>
          <w:ilvl w:val="0"/>
          <w:numId w:val="211"/>
        </w:numPr>
        <w:spacing w:line="360" w:lineRule="auto"/>
        <w:ind w:left="714" w:hanging="357"/>
        <w:contextualSpacing w:val="0"/>
        <w:jc w:val="both"/>
        <w:rPr>
          <w:rFonts w:ascii="Avenir LT 45 Book" w:eastAsia="Calibri" w:hAnsi="Avenir LT 45 Book" w:cs="Times New Roman"/>
          <w:sz w:val="20"/>
        </w:rPr>
      </w:pPr>
      <w:r w:rsidRPr="00B046F0">
        <w:rPr>
          <w:rFonts w:ascii="Avenir LT 45 Book" w:eastAsia="Calibri" w:hAnsi="Avenir LT 45 Book" w:cs="Times New Roman"/>
          <w:sz w:val="20"/>
        </w:rPr>
        <w:t xml:space="preserve">Parking areas of lots and development sites shall reflect the existing streetscape where </w:t>
      </w:r>
      <w:proofErr w:type="gramStart"/>
      <w:r w:rsidRPr="00B046F0">
        <w:rPr>
          <w:rFonts w:ascii="Avenir LT 45 Book" w:eastAsia="Calibri" w:hAnsi="Avenir LT 45 Book" w:cs="Times New Roman"/>
          <w:sz w:val="20"/>
        </w:rPr>
        <w:t>possible;</w:t>
      </w:r>
      <w:proofErr w:type="gramEnd"/>
    </w:p>
    <w:p w14:paraId="75D2F503" w14:textId="77777777" w:rsidR="00B46EF1" w:rsidRPr="00B046F0" w:rsidRDefault="00B46EF1" w:rsidP="002A3889">
      <w:pPr>
        <w:pStyle w:val="ListParagraph"/>
        <w:numPr>
          <w:ilvl w:val="0"/>
          <w:numId w:val="211"/>
        </w:numPr>
        <w:spacing w:line="360" w:lineRule="auto"/>
        <w:ind w:left="714" w:hanging="357"/>
        <w:contextualSpacing w:val="0"/>
        <w:jc w:val="both"/>
        <w:rPr>
          <w:rFonts w:ascii="Avenir LT 45 Book" w:eastAsia="Calibri" w:hAnsi="Avenir LT 45 Book" w:cs="Times New Roman"/>
          <w:sz w:val="20"/>
        </w:rPr>
      </w:pPr>
      <w:r w:rsidRPr="00B046F0">
        <w:rPr>
          <w:rFonts w:ascii="Avenir LT 45 Book" w:eastAsia="Calibri" w:hAnsi="Avenir LT 45 Book" w:cs="Times New Roman"/>
          <w:sz w:val="20"/>
        </w:rPr>
        <w:t>Where possible, parking is to be located to the side of any new developments; and,</w:t>
      </w:r>
    </w:p>
    <w:p w14:paraId="390E76B1" w14:textId="77777777" w:rsidR="00B46EF1" w:rsidRPr="00B046F0" w:rsidRDefault="00B46EF1" w:rsidP="002A3889">
      <w:pPr>
        <w:pStyle w:val="ListParagraph"/>
        <w:numPr>
          <w:ilvl w:val="0"/>
          <w:numId w:val="211"/>
        </w:numPr>
        <w:spacing w:line="360" w:lineRule="auto"/>
        <w:ind w:left="714" w:hanging="357"/>
        <w:contextualSpacing w:val="0"/>
        <w:jc w:val="both"/>
        <w:rPr>
          <w:rFonts w:ascii="Avenir LT 45 Book" w:eastAsia="Calibri" w:hAnsi="Avenir LT 45 Book" w:cs="Times New Roman"/>
          <w:sz w:val="20"/>
        </w:rPr>
      </w:pPr>
      <w:r w:rsidRPr="00B046F0">
        <w:rPr>
          <w:rFonts w:ascii="Avenir LT 45 Book" w:eastAsia="Calibri" w:hAnsi="Avenir LT 45 Book" w:cs="Times New Roman"/>
          <w:sz w:val="20"/>
        </w:rPr>
        <w:t>Number of crossovers is to be minimised.</w:t>
      </w:r>
    </w:p>
    <w:p w14:paraId="7AEC2EDA" w14:textId="77777777" w:rsidR="00B46EF1" w:rsidRDefault="00B046F0" w:rsidP="00B046F0">
      <w:pPr>
        <w:pStyle w:val="Heading5"/>
      </w:pPr>
      <w:r>
        <w:t>3.7.18.2.3</w:t>
      </w:r>
      <w:r>
        <w:tab/>
      </w:r>
      <w:r w:rsidR="00B46EF1" w:rsidRPr="00842387">
        <w:t>Performance Criteria and Acceptable Development</w:t>
      </w:r>
      <w:r w:rsidR="00B46EF1">
        <w:t xml:space="preserve">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2"/>
        <w:gridCol w:w="4514"/>
      </w:tblGrid>
      <w:tr w:rsidR="00B46EF1" w:rsidRPr="00842387" w14:paraId="143868AF" w14:textId="77777777" w:rsidTr="00B046F0">
        <w:tc>
          <w:tcPr>
            <w:tcW w:w="4512" w:type="dxa"/>
          </w:tcPr>
          <w:p w14:paraId="51CE5722"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514" w:type="dxa"/>
          </w:tcPr>
          <w:p w14:paraId="73F18997" w14:textId="77777777" w:rsidR="00B46EF1" w:rsidRDefault="00B46EF1" w:rsidP="008048CE">
            <w:r w:rsidRPr="00842387">
              <w:rPr>
                <w:rFonts w:ascii="Avenir LT 65 Medium" w:hAnsi="Avenir LT 65 Medium"/>
              </w:rPr>
              <w:t>Acceptable Development Provisions</w:t>
            </w:r>
          </w:p>
        </w:tc>
      </w:tr>
      <w:tr w:rsidR="00B46EF1" w:rsidRPr="00842387" w14:paraId="11E03221" w14:textId="77777777" w:rsidTr="00B046F0">
        <w:tc>
          <w:tcPr>
            <w:tcW w:w="4512" w:type="dxa"/>
            <w:tcBorders>
              <w:bottom w:val="nil"/>
            </w:tcBorders>
          </w:tcPr>
          <w:p w14:paraId="5314BABE" w14:textId="77777777" w:rsidR="00B46EF1" w:rsidRPr="00B046F0" w:rsidRDefault="00B46EF1" w:rsidP="002A3889">
            <w:pPr>
              <w:pStyle w:val="ListParagraph"/>
              <w:numPr>
                <w:ilvl w:val="0"/>
                <w:numId w:val="212"/>
              </w:numPr>
              <w:spacing w:before="120" w:after="120" w:line="360" w:lineRule="auto"/>
              <w:ind w:left="567" w:hanging="504"/>
              <w:contextualSpacing w:val="0"/>
              <w:rPr>
                <w:rFonts w:ascii="Avenir LT 45 Book" w:eastAsia="Calibri" w:hAnsi="Avenir LT 45 Book" w:cs="Times New Roman"/>
                <w:sz w:val="20"/>
              </w:rPr>
            </w:pPr>
            <w:r w:rsidRPr="00B046F0">
              <w:rPr>
                <w:rFonts w:ascii="Avenir LT 45 Book" w:eastAsia="Calibri" w:hAnsi="Avenir LT 45 Book" w:cs="Times New Roman"/>
                <w:sz w:val="20"/>
              </w:rPr>
              <w:t>Access and parking for the building is to be adequately provided for within the boundaries of the lot/development site, and does not negatively impact on:</w:t>
            </w:r>
          </w:p>
          <w:p w14:paraId="5D4CFB90" w14:textId="77777777" w:rsidR="00B46EF1" w:rsidRPr="00B046F0" w:rsidRDefault="00B46EF1" w:rsidP="002A3889">
            <w:pPr>
              <w:pStyle w:val="ListParagraph"/>
              <w:numPr>
                <w:ilvl w:val="0"/>
                <w:numId w:val="215"/>
              </w:numPr>
              <w:spacing w:after="120" w:line="360" w:lineRule="auto"/>
              <w:ind w:left="567" w:hanging="207"/>
              <w:contextualSpacing w:val="0"/>
              <w:rPr>
                <w:rFonts w:ascii="Avenir LT 45 Book" w:eastAsia="Calibri" w:hAnsi="Avenir LT 45 Book" w:cs="Times New Roman"/>
                <w:sz w:val="20"/>
              </w:rPr>
            </w:pPr>
            <w:r w:rsidRPr="00B046F0">
              <w:rPr>
                <w:rFonts w:ascii="Avenir LT 45 Book" w:eastAsia="Calibri" w:hAnsi="Avenir LT 45 Book" w:cs="Times New Roman"/>
                <w:sz w:val="20"/>
              </w:rPr>
              <w:t>The streetscape character and amenity; and,</w:t>
            </w:r>
          </w:p>
          <w:p w14:paraId="6D5BBCC5" w14:textId="77777777" w:rsidR="00B46EF1" w:rsidRDefault="00B46EF1" w:rsidP="002A3889">
            <w:pPr>
              <w:pStyle w:val="ListParagraph"/>
              <w:numPr>
                <w:ilvl w:val="0"/>
                <w:numId w:val="215"/>
              </w:numPr>
              <w:spacing w:after="120" w:line="360" w:lineRule="auto"/>
              <w:ind w:left="567" w:hanging="207"/>
              <w:contextualSpacing w:val="0"/>
            </w:pPr>
            <w:r w:rsidRPr="00B046F0">
              <w:rPr>
                <w:rFonts w:ascii="Avenir LT 45 Book" w:eastAsia="Calibri" w:hAnsi="Avenir LT 45 Book" w:cs="Times New Roman"/>
                <w:sz w:val="20"/>
              </w:rPr>
              <w:t>The availability of on-street parking in the locality.</w:t>
            </w:r>
          </w:p>
        </w:tc>
        <w:tc>
          <w:tcPr>
            <w:tcW w:w="4514" w:type="dxa"/>
            <w:tcBorders>
              <w:bottom w:val="nil"/>
            </w:tcBorders>
          </w:tcPr>
          <w:p w14:paraId="7365BC43" w14:textId="77777777" w:rsidR="00B46EF1" w:rsidRPr="00B046F0" w:rsidRDefault="00B46EF1" w:rsidP="002A3889">
            <w:pPr>
              <w:pStyle w:val="ListParagraph"/>
              <w:numPr>
                <w:ilvl w:val="1"/>
                <w:numId w:val="214"/>
              </w:numPr>
              <w:spacing w:before="120" w:after="120" w:line="360" w:lineRule="auto"/>
              <w:ind w:left="766" w:hanging="647"/>
              <w:contextualSpacing w:val="0"/>
              <w:rPr>
                <w:rFonts w:ascii="Avenir LT 45 Book" w:eastAsia="Calibri" w:hAnsi="Avenir LT 45 Book" w:cs="Times New Roman"/>
                <w:sz w:val="20"/>
              </w:rPr>
            </w:pPr>
            <w:r w:rsidRPr="00B046F0">
              <w:rPr>
                <w:rFonts w:ascii="Avenir LT 45 Book" w:eastAsia="Calibri" w:hAnsi="Avenir LT 45 Book" w:cs="Times New Roman"/>
                <w:sz w:val="20"/>
              </w:rPr>
              <w:t>Parking areas associated with developments shall reflect the existing streetscapes.</w:t>
            </w:r>
          </w:p>
          <w:p w14:paraId="20F4495B" w14:textId="77777777" w:rsidR="00B46EF1" w:rsidRPr="00B046F0" w:rsidRDefault="00B46EF1" w:rsidP="002A3889">
            <w:pPr>
              <w:pStyle w:val="ListParagraph"/>
              <w:numPr>
                <w:ilvl w:val="1"/>
                <w:numId w:val="214"/>
              </w:numPr>
              <w:spacing w:before="120" w:after="120" w:line="360" w:lineRule="auto"/>
              <w:ind w:left="766" w:hanging="647"/>
              <w:contextualSpacing w:val="0"/>
              <w:rPr>
                <w:rFonts w:ascii="Avenir LT 45 Book" w:eastAsia="Calibri" w:hAnsi="Avenir LT 45 Book" w:cs="Times New Roman"/>
                <w:sz w:val="20"/>
              </w:rPr>
            </w:pPr>
            <w:r w:rsidRPr="00B046F0">
              <w:rPr>
                <w:rFonts w:ascii="Avenir LT 45 Book" w:eastAsia="Calibri" w:hAnsi="Avenir LT 45 Book" w:cs="Times New Roman"/>
                <w:sz w:val="20"/>
              </w:rPr>
              <w:t>Additions and alterations to existing buildings shall address any additional parking requirements with reference to the R-Codes.</w:t>
            </w:r>
          </w:p>
          <w:p w14:paraId="56AEFB01" w14:textId="77777777" w:rsidR="00B46EF1" w:rsidRDefault="00B46EF1" w:rsidP="002A3889">
            <w:pPr>
              <w:pStyle w:val="ListParagraph"/>
              <w:numPr>
                <w:ilvl w:val="1"/>
                <w:numId w:val="214"/>
              </w:numPr>
              <w:spacing w:line="360" w:lineRule="auto"/>
              <w:ind w:left="766" w:hanging="647"/>
              <w:contextualSpacing w:val="0"/>
            </w:pPr>
            <w:r w:rsidRPr="00B046F0">
              <w:rPr>
                <w:rFonts w:ascii="Avenir LT 45 Book" w:eastAsia="Calibri" w:hAnsi="Avenir LT 45 Book" w:cs="Times New Roman"/>
                <w:sz w:val="20"/>
              </w:rPr>
              <w:t>Parking areas of lots and development sites for grouped or multiple dwellings are accessed from a shared access way</w:t>
            </w:r>
            <w:r w:rsidRPr="00842387">
              <w:t>.</w:t>
            </w:r>
          </w:p>
        </w:tc>
      </w:tr>
      <w:tr w:rsidR="00B46EF1" w:rsidRPr="00842387" w14:paraId="4E59938B" w14:textId="77777777" w:rsidTr="00B046F0">
        <w:tc>
          <w:tcPr>
            <w:tcW w:w="4512" w:type="dxa"/>
            <w:tcBorders>
              <w:top w:val="nil"/>
              <w:bottom w:val="nil"/>
            </w:tcBorders>
          </w:tcPr>
          <w:p w14:paraId="60EFCA84" w14:textId="77777777" w:rsidR="00B46EF1" w:rsidRPr="00B046F0" w:rsidRDefault="00B46EF1" w:rsidP="002A3889">
            <w:pPr>
              <w:pStyle w:val="ListParagraph"/>
              <w:numPr>
                <w:ilvl w:val="1"/>
                <w:numId w:val="213"/>
              </w:numPr>
              <w:spacing w:line="360" w:lineRule="auto"/>
              <w:ind w:left="709" w:hanging="635"/>
              <w:contextualSpacing w:val="0"/>
              <w:rPr>
                <w:rFonts w:ascii="Avenir LT 45 Book" w:eastAsia="Calibri" w:hAnsi="Avenir LT 45 Book" w:cs="Times New Roman"/>
                <w:sz w:val="20"/>
              </w:rPr>
            </w:pPr>
            <w:r w:rsidRPr="00B046F0">
              <w:rPr>
                <w:rFonts w:ascii="Avenir LT 45 Book" w:eastAsia="Calibri" w:hAnsi="Avenir LT 45 Book" w:cs="Times New Roman"/>
                <w:sz w:val="20"/>
              </w:rPr>
              <w:t>Where possible parking to multiple dwellings to occur on the lot where appropriate to allow access to river views but still presenting an agreeable streetscape elevation.</w:t>
            </w:r>
          </w:p>
          <w:p w14:paraId="6A392270" w14:textId="77777777" w:rsidR="00B46EF1" w:rsidRDefault="00B46EF1" w:rsidP="002A3889">
            <w:pPr>
              <w:pStyle w:val="ListParagraph"/>
              <w:numPr>
                <w:ilvl w:val="1"/>
                <w:numId w:val="213"/>
              </w:numPr>
              <w:spacing w:before="120" w:line="360" w:lineRule="auto"/>
              <w:ind w:left="709" w:hanging="635"/>
              <w:contextualSpacing w:val="0"/>
            </w:pPr>
            <w:r w:rsidRPr="00B046F0">
              <w:rPr>
                <w:rFonts w:ascii="Avenir LT 45 Book" w:eastAsia="Calibri" w:hAnsi="Avenir LT 45 Book" w:cs="Times New Roman"/>
                <w:sz w:val="20"/>
              </w:rPr>
              <w:t>Council shall exercise its discretion to vary scheme requirements for places with heritage value where compliance would adversely impact on heritage places.</w:t>
            </w:r>
          </w:p>
        </w:tc>
        <w:tc>
          <w:tcPr>
            <w:tcW w:w="4514" w:type="dxa"/>
            <w:tcBorders>
              <w:top w:val="nil"/>
              <w:bottom w:val="nil"/>
            </w:tcBorders>
          </w:tcPr>
          <w:p w14:paraId="2CEAFF86" w14:textId="77777777" w:rsidR="00B46EF1" w:rsidRDefault="00B46EF1" w:rsidP="002A3889">
            <w:pPr>
              <w:pStyle w:val="ListParagraph"/>
              <w:numPr>
                <w:ilvl w:val="0"/>
                <w:numId w:val="214"/>
              </w:numPr>
              <w:spacing w:line="360" w:lineRule="auto"/>
              <w:ind w:left="766" w:hanging="647"/>
              <w:contextualSpacing w:val="0"/>
            </w:pPr>
            <w:r w:rsidRPr="00B046F0">
              <w:rPr>
                <w:rFonts w:ascii="Avenir LT 45 Book" w:eastAsia="Calibri" w:hAnsi="Avenir LT 45 Book" w:cs="Times New Roman"/>
                <w:sz w:val="20"/>
              </w:rPr>
              <w:t xml:space="preserve">Parking to multiple dwelling is designed so that dwellings have maximum access to views.  </w:t>
            </w:r>
            <w:proofErr w:type="gramStart"/>
            <w:r w:rsidRPr="00B046F0">
              <w:rPr>
                <w:rFonts w:ascii="Avenir LT 45 Book" w:eastAsia="Calibri" w:hAnsi="Avenir LT 45 Book" w:cs="Times New Roman"/>
                <w:sz w:val="20"/>
              </w:rPr>
              <w:t>However</w:t>
            </w:r>
            <w:proofErr w:type="gramEnd"/>
            <w:r w:rsidRPr="00B046F0">
              <w:rPr>
                <w:rFonts w:ascii="Avenir LT 45 Book" w:eastAsia="Calibri" w:hAnsi="Avenir LT 45 Book" w:cs="Times New Roman"/>
                <w:sz w:val="20"/>
              </w:rPr>
              <w:t xml:space="preserve"> the design of multiple dwellings should not negate the streetscape in favour of views.</w:t>
            </w:r>
            <w:r w:rsidRPr="00611EFA">
              <w:t xml:space="preserve"> </w:t>
            </w:r>
          </w:p>
        </w:tc>
      </w:tr>
    </w:tbl>
    <w:p w14:paraId="5D7E097F" w14:textId="77777777" w:rsidR="00B46EF1" w:rsidRPr="00B046F0" w:rsidRDefault="00B046F0" w:rsidP="00B046F0">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3.7.18.3</w:t>
      </w:r>
      <w:r>
        <w:rPr>
          <w:rFonts w:ascii="Avenir LT 65 Medium" w:hAnsi="Avenir LT 65 Medium"/>
          <w:bCs/>
          <w:i w:val="0"/>
          <w:color w:val="auto"/>
        </w:rPr>
        <w:tab/>
      </w:r>
      <w:r w:rsidR="00B46EF1" w:rsidRPr="00B046F0">
        <w:rPr>
          <w:rFonts w:ascii="Avenir LT 65 Medium" w:hAnsi="Avenir LT 65 Medium"/>
          <w:bCs/>
          <w:i w:val="0"/>
          <w:color w:val="auto"/>
        </w:rPr>
        <w:t>Garages, Carports and Outbuildings</w:t>
      </w:r>
    </w:p>
    <w:p w14:paraId="473F2A59" w14:textId="77777777" w:rsidR="00B46EF1" w:rsidRDefault="00B046F0" w:rsidP="00B046F0">
      <w:pPr>
        <w:pStyle w:val="Heading5"/>
      </w:pPr>
      <w:r>
        <w:t>3.7.18.3.1</w:t>
      </w:r>
      <w:r>
        <w:tab/>
      </w:r>
      <w:r w:rsidR="00B46EF1" w:rsidRPr="00842387">
        <w:t>Statement</w:t>
      </w:r>
    </w:p>
    <w:p w14:paraId="5D4870AC" w14:textId="77777777" w:rsidR="00B46EF1" w:rsidRPr="00B046F0" w:rsidRDefault="00B46EF1" w:rsidP="00B046F0">
      <w:pPr>
        <w:spacing w:line="360" w:lineRule="auto"/>
        <w:rPr>
          <w:rFonts w:ascii="Avenir LT 45 Book" w:eastAsia="Calibri" w:hAnsi="Avenir LT 45 Book"/>
          <w:i/>
          <w:sz w:val="20"/>
        </w:rPr>
      </w:pPr>
      <w:r w:rsidRPr="00B046F0">
        <w:rPr>
          <w:rFonts w:ascii="Avenir LT 45 Book" w:eastAsia="Calibri" w:hAnsi="Avenir LT 45 Book"/>
          <w:i/>
          <w:sz w:val="20"/>
        </w:rPr>
        <w:t xml:space="preserve">The location of garages, carports and outbuildings in the Riverside Precinct are mixed i.e. they are not predominantly located to the front rear or side.  In some locations they are dominant features of the landscape.  </w:t>
      </w:r>
    </w:p>
    <w:p w14:paraId="3F17563E" w14:textId="77777777" w:rsidR="00B46EF1" w:rsidRPr="00B046F0" w:rsidRDefault="00B46EF1" w:rsidP="00B046F0">
      <w:pPr>
        <w:spacing w:line="360" w:lineRule="auto"/>
        <w:rPr>
          <w:rFonts w:ascii="Avenir LT 45 Book" w:eastAsia="Calibri" w:hAnsi="Avenir LT 45 Book"/>
          <w:i/>
          <w:sz w:val="20"/>
        </w:rPr>
      </w:pPr>
      <w:r w:rsidRPr="00B046F0">
        <w:rPr>
          <w:rFonts w:ascii="Avenir LT 45 Book" w:eastAsia="Calibri" w:hAnsi="Avenir LT 45 Book"/>
          <w:i/>
          <w:sz w:val="20"/>
        </w:rPr>
        <w:t>Garages and carports are compatible in the Riverside Precinct.</w:t>
      </w:r>
    </w:p>
    <w:p w14:paraId="7D54679B" w14:textId="77777777" w:rsidR="00B46EF1" w:rsidRPr="00842387" w:rsidRDefault="00B46EF1" w:rsidP="00B46EF1">
      <w:r>
        <w:rPr>
          <w:noProof/>
          <w:lang w:eastAsia="en-AU"/>
        </w:rPr>
        <w:lastRenderedPageBreak/>
        <w:drawing>
          <wp:inline distT="0" distB="0" distL="0" distR="0" wp14:anchorId="016FB13D" wp14:editId="34EF1580">
            <wp:extent cx="2524125" cy="1800225"/>
            <wp:effectExtent l="19050" t="0" r="9525" b="0"/>
            <wp:docPr id="103" name="Picture 40" descr="Z:\2011 JOBS\11206-EAST FREMANTLE GUIDELINES\11206-PHOTOS\PROCESSED\RIVERSIDE\8 SURBITON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2011 JOBS\11206-EAST FREMANTLE GUIDELINES\11206-PHOTOS\PROCESSED\RIVERSIDE\8 SURBITON ROAD.jpg"/>
                    <pic:cNvPicPr>
                      <a:picLocks noChangeAspect="1" noChangeArrowheads="1"/>
                    </pic:cNvPicPr>
                  </pic:nvPicPr>
                  <pic:blipFill>
                    <a:blip r:embed="rId257"/>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5318AD03" wp14:editId="74B22570">
            <wp:extent cx="2524125" cy="1800225"/>
            <wp:effectExtent l="19050" t="0" r="9525" b="0"/>
            <wp:docPr id="104" name="Picture 41" descr="Z:\2011 JOBS\11206-EAST FREMANTLE GUIDELINES\11206-PHOTOS\PROCESSED\RIVERSIDE\REYNOLDS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2011 JOBS\11206-EAST FREMANTLE GUIDELINES\11206-PHOTOS\PROCESSED\RIVERSIDE\REYNOLDS STREET.jpg"/>
                    <pic:cNvPicPr>
                      <a:picLocks noChangeAspect="1" noChangeArrowheads="1"/>
                    </pic:cNvPicPr>
                  </pic:nvPicPr>
                  <pic:blipFill>
                    <a:blip r:embed="rId258"/>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2A179268" w14:textId="77777777" w:rsidR="00B46EF1" w:rsidRDefault="00B046F0" w:rsidP="00B046F0">
      <w:pPr>
        <w:pStyle w:val="Heading5"/>
      </w:pPr>
      <w:r>
        <w:t>3.7.18.3.2</w:t>
      </w:r>
      <w:r>
        <w:tab/>
      </w:r>
      <w:r w:rsidR="00B46EF1" w:rsidRPr="00842387">
        <w:t>Desired Development Outcomes</w:t>
      </w:r>
    </w:p>
    <w:p w14:paraId="6558653D" w14:textId="77777777" w:rsidR="00B46EF1" w:rsidRPr="00B046F0" w:rsidRDefault="00B46EF1" w:rsidP="002A3889">
      <w:pPr>
        <w:pStyle w:val="ListParagraph"/>
        <w:numPr>
          <w:ilvl w:val="0"/>
          <w:numId w:val="216"/>
        </w:numPr>
        <w:spacing w:after="0" w:line="360" w:lineRule="auto"/>
        <w:rPr>
          <w:rFonts w:ascii="Avenir LT 45 Book" w:eastAsia="Calibri" w:hAnsi="Avenir LT 45 Book" w:cs="Times New Roman"/>
          <w:sz w:val="20"/>
        </w:rPr>
      </w:pPr>
      <w:r w:rsidRPr="00B046F0">
        <w:rPr>
          <w:rFonts w:ascii="Avenir LT 45 Book" w:eastAsia="Calibri" w:hAnsi="Avenir LT 45 Book" w:cs="Times New Roman"/>
          <w:sz w:val="20"/>
        </w:rPr>
        <w:t xml:space="preserve">Where garages and carports are part of a development they must be incorporated into, and be compatible with the design of the </w:t>
      </w:r>
      <w:proofErr w:type="gramStart"/>
      <w:r w:rsidRPr="00B046F0">
        <w:rPr>
          <w:rFonts w:ascii="Avenir LT 45 Book" w:eastAsia="Calibri" w:hAnsi="Avenir LT 45 Book" w:cs="Times New Roman"/>
          <w:sz w:val="20"/>
        </w:rPr>
        <w:t>dwelling;</w:t>
      </w:r>
      <w:proofErr w:type="gramEnd"/>
    </w:p>
    <w:p w14:paraId="0B30BD9D" w14:textId="77777777" w:rsidR="00B46EF1" w:rsidRPr="00B046F0" w:rsidRDefault="00B46EF1" w:rsidP="002A3889">
      <w:pPr>
        <w:pStyle w:val="ListParagraph"/>
        <w:numPr>
          <w:ilvl w:val="0"/>
          <w:numId w:val="216"/>
        </w:numPr>
        <w:spacing w:after="0" w:line="360" w:lineRule="auto"/>
        <w:rPr>
          <w:rFonts w:ascii="Avenir LT 45 Book" w:eastAsia="Calibri" w:hAnsi="Avenir LT 45 Book" w:cs="Times New Roman"/>
          <w:sz w:val="20"/>
        </w:rPr>
      </w:pPr>
      <w:r w:rsidRPr="00B046F0">
        <w:rPr>
          <w:rFonts w:ascii="Avenir LT 45 Book" w:eastAsia="Calibri" w:hAnsi="Avenir LT 45 Book" w:cs="Times New Roman"/>
          <w:sz w:val="20"/>
        </w:rPr>
        <w:t xml:space="preserve">Garages and carports shall not visually dominate the dwelling as viewed from the </w:t>
      </w:r>
      <w:proofErr w:type="gramStart"/>
      <w:r w:rsidRPr="00B046F0">
        <w:rPr>
          <w:rFonts w:ascii="Avenir LT 45 Book" w:eastAsia="Calibri" w:hAnsi="Avenir LT 45 Book" w:cs="Times New Roman"/>
          <w:sz w:val="20"/>
        </w:rPr>
        <w:t>street;</w:t>
      </w:r>
      <w:proofErr w:type="gramEnd"/>
    </w:p>
    <w:p w14:paraId="67E6EB74" w14:textId="77777777" w:rsidR="00B46EF1" w:rsidRPr="00B046F0" w:rsidRDefault="00B46EF1" w:rsidP="002A3889">
      <w:pPr>
        <w:pStyle w:val="ListParagraph"/>
        <w:numPr>
          <w:ilvl w:val="0"/>
          <w:numId w:val="216"/>
        </w:numPr>
        <w:spacing w:after="0" w:line="360" w:lineRule="auto"/>
        <w:rPr>
          <w:rFonts w:ascii="Avenir LT 45 Book" w:eastAsia="Calibri" w:hAnsi="Avenir LT 45 Book" w:cs="Times New Roman"/>
          <w:sz w:val="20"/>
        </w:rPr>
      </w:pPr>
      <w:r w:rsidRPr="00B046F0">
        <w:rPr>
          <w:rFonts w:ascii="Avenir LT 45 Book" w:eastAsia="Calibri" w:hAnsi="Avenir LT 45 Book" w:cs="Times New Roman"/>
          <w:sz w:val="20"/>
        </w:rPr>
        <w:t xml:space="preserve">Where possible garages and carports to multiple dwellings shall not visually dominate the dwelling as viewed from the </w:t>
      </w:r>
      <w:proofErr w:type="gramStart"/>
      <w:r w:rsidRPr="00B046F0">
        <w:rPr>
          <w:rFonts w:ascii="Avenir LT 45 Book" w:eastAsia="Calibri" w:hAnsi="Avenir LT 45 Book" w:cs="Times New Roman"/>
          <w:sz w:val="20"/>
        </w:rPr>
        <w:t>street;</w:t>
      </w:r>
      <w:proofErr w:type="gramEnd"/>
    </w:p>
    <w:p w14:paraId="20E39C8E" w14:textId="77777777" w:rsidR="00B46EF1" w:rsidRPr="00B046F0" w:rsidRDefault="00B46EF1" w:rsidP="002A3889">
      <w:pPr>
        <w:pStyle w:val="ListParagraph"/>
        <w:numPr>
          <w:ilvl w:val="0"/>
          <w:numId w:val="216"/>
        </w:numPr>
        <w:spacing w:after="0" w:line="360" w:lineRule="auto"/>
        <w:rPr>
          <w:rFonts w:ascii="Avenir LT 45 Book" w:eastAsia="Calibri" w:hAnsi="Avenir LT 45 Book" w:cs="Times New Roman"/>
          <w:sz w:val="20"/>
        </w:rPr>
      </w:pPr>
      <w:r w:rsidRPr="00B046F0">
        <w:rPr>
          <w:rFonts w:ascii="Avenir LT 45 Book" w:eastAsia="Calibri" w:hAnsi="Avenir LT 45 Book" w:cs="Times New Roman"/>
          <w:sz w:val="20"/>
        </w:rPr>
        <w:t>Materials should not detract visually from the streetscape; and,</w:t>
      </w:r>
    </w:p>
    <w:p w14:paraId="56F9BE23" w14:textId="77777777" w:rsidR="00B46EF1" w:rsidRPr="00B046F0" w:rsidRDefault="00B46EF1" w:rsidP="002A3889">
      <w:pPr>
        <w:pStyle w:val="ListParagraph"/>
        <w:numPr>
          <w:ilvl w:val="0"/>
          <w:numId w:val="216"/>
        </w:numPr>
        <w:spacing w:after="0" w:line="360" w:lineRule="auto"/>
        <w:rPr>
          <w:rFonts w:ascii="Avenir LT 45 Book" w:eastAsia="Calibri" w:hAnsi="Avenir LT 45 Book" w:cs="Times New Roman"/>
          <w:sz w:val="20"/>
        </w:rPr>
      </w:pPr>
      <w:r w:rsidRPr="00B046F0">
        <w:rPr>
          <w:rFonts w:ascii="Avenir LT 45 Book" w:eastAsia="Calibri" w:hAnsi="Avenir LT 45 Book" w:cs="Times New Roman"/>
          <w:sz w:val="20"/>
        </w:rPr>
        <w:t>Carports associated with existing residences are not required to mimic or match the materials of the house.</w:t>
      </w:r>
    </w:p>
    <w:p w14:paraId="46003AA7" w14:textId="77777777" w:rsidR="00B46EF1" w:rsidRDefault="00B46EF1" w:rsidP="00B46EF1">
      <w:pPr>
        <w:pStyle w:val="ListParagraph"/>
        <w:spacing w:after="0"/>
      </w:pPr>
    </w:p>
    <w:p w14:paraId="11D6EEC4" w14:textId="77777777" w:rsidR="00B46EF1" w:rsidRPr="00842387" w:rsidRDefault="00B46EF1" w:rsidP="00B46EF1">
      <w:pPr>
        <w:pStyle w:val="ListParagraph"/>
        <w:spacing w:after="0"/>
      </w:pPr>
      <w:r w:rsidRPr="002E5EF9">
        <w:rPr>
          <w:noProof/>
          <w:lang w:eastAsia="en-AU"/>
        </w:rPr>
        <w:drawing>
          <wp:inline distT="0" distB="0" distL="0" distR="0" wp14:anchorId="71533E02" wp14:editId="217ECA8A">
            <wp:extent cx="5105400" cy="4352925"/>
            <wp:effectExtent l="19050" t="0" r="0" b="0"/>
            <wp:docPr id="222" name="Picture 20" descr="GARAGES 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7.eps"/>
                    <pic:cNvPicPr/>
                  </pic:nvPicPr>
                  <pic:blipFill>
                    <a:blip r:embed="rId217"/>
                    <a:stretch>
                      <a:fillRect/>
                    </a:stretch>
                  </pic:blipFill>
                  <pic:spPr>
                    <a:xfrm>
                      <a:off x="0" y="0"/>
                      <a:ext cx="5105400" cy="4352925"/>
                    </a:xfrm>
                    <a:prstGeom prst="rect">
                      <a:avLst/>
                    </a:prstGeom>
                  </pic:spPr>
                </pic:pic>
              </a:graphicData>
            </a:graphic>
          </wp:inline>
        </w:drawing>
      </w:r>
    </w:p>
    <w:p w14:paraId="7D927D5C" w14:textId="77777777" w:rsidR="00B46EF1" w:rsidRDefault="00B46EF1" w:rsidP="00B46EF1">
      <w:pPr>
        <w:pStyle w:val="ListParagraph"/>
        <w:widowControl w:val="0"/>
        <w:spacing w:before="100" w:beforeAutospacing="1" w:line="240" w:lineRule="auto"/>
        <w:ind w:hanging="720"/>
        <w:rPr>
          <w:i/>
        </w:rPr>
      </w:pPr>
      <w:r w:rsidRPr="00C61310">
        <w:rPr>
          <w:rFonts w:ascii="Avenir LT 65 Medium" w:hAnsi="Avenir LT 65 Medium"/>
        </w:rPr>
        <w:t>Figure 27</w:t>
      </w:r>
      <w:r w:rsidRPr="00842387">
        <w:t xml:space="preserve"> – </w:t>
      </w:r>
      <w:r w:rsidRPr="00B046F0">
        <w:rPr>
          <w:rFonts w:ascii="Avenir LT 45 Book" w:eastAsia="Calibri" w:hAnsi="Avenir LT 45 Book" w:cs="Times New Roman"/>
          <w:sz w:val="20"/>
        </w:rPr>
        <w:t xml:space="preserve">Plan illustrating compatible garage in new developments </w:t>
      </w:r>
      <w:r w:rsidRPr="00B046F0">
        <w:rPr>
          <w:rFonts w:ascii="Avenir LT 45 Book" w:eastAsia="Calibri" w:hAnsi="Avenir LT 45 Book" w:cs="Times New Roman"/>
          <w:i/>
          <w:sz w:val="20"/>
        </w:rPr>
        <w:t>– Griffiths Architects 2012</w:t>
      </w:r>
      <w:r w:rsidRPr="00C61310">
        <w:rPr>
          <w:i/>
        </w:rPr>
        <w:t>.</w:t>
      </w:r>
    </w:p>
    <w:p w14:paraId="77E04068" w14:textId="77777777" w:rsidR="00B46EF1" w:rsidRDefault="00B46EF1" w:rsidP="00B46EF1">
      <w:pPr>
        <w:rPr>
          <w:rFonts w:cs="Times New Roman"/>
          <w:i/>
        </w:rPr>
      </w:pPr>
      <w:r>
        <w:rPr>
          <w:i/>
        </w:rPr>
        <w:br w:type="page"/>
      </w:r>
    </w:p>
    <w:p w14:paraId="7113DE13" w14:textId="77777777" w:rsidR="00B46EF1" w:rsidRPr="00842387" w:rsidRDefault="00B46EF1" w:rsidP="00B46EF1">
      <w:r>
        <w:rPr>
          <w:noProof/>
          <w:lang w:eastAsia="en-AU"/>
        </w:rPr>
        <w:lastRenderedPageBreak/>
        <w:drawing>
          <wp:inline distT="0" distB="0" distL="0" distR="0" wp14:anchorId="182CD4B2" wp14:editId="0AE86BDC">
            <wp:extent cx="5731510" cy="5040630"/>
            <wp:effectExtent l="19050" t="0" r="2540" b="0"/>
            <wp:docPr id="223" name="Picture 25" descr="GARAGES 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5.eps"/>
                    <pic:cNvPicPr/>
                  </pic:nvPicPr>
                  <pic:blipFill>
                    <a:blip r:embed="rId218"/>
                    <a:stretch>
                      <a:fillRect/>
                    </a:stretch>
                  </pic:blipFill>
                  <pic:spPr>
                    <a:xfrm>
                      <a:off x="0" y="0"/>
                      <a:ext cx="5731510" cy="5040630"/>
                    </a:xfrm>
                    <a:prstGeom prst="rect">
                      <a:avLst/>
                    </a:prstGeom>
                  </pic:spPr>
                </pic:pic>
              </a:graphicData>
            </a:graphic>
          </wp:inline>
        </w:drawing>
      </w:r>
    </w:p>
    <w:p w14:paraId="223B6854" w14:textId="77777777" w:rsidR="00B46EF1" w:rsidRPr="00B046F0" w:rsidRDefault="00B46EF1" w:rsidP="00B46EF1">
      <w:pPr>
        <w:spacing w:after="100" w:afterAutospacing="1" w:line="240" w:lineRule="auto"/>
        <w:rPr>
          <w:rFonts w:ascii="Avenir LT 45 Book" w:eastAsia="Calibri" w:hAnsi="Avenir LT 45 Book"/>
          <w:i/>
          <w:sz w:val="20"/>
        </w:rPr>
      </w:pPr>
      <w:r w:rsidRPr="00B046F0">
        <w:rPr>
          <w:rFonts w:ascii="Avenir LT 65 Medium" w:eastAsia="Calibri" w:hAnsi="Avenir LT 65 Medium"/>
          <w:sz w:val="20"/>
        </w:rPr>
        <w:t>Figure 28</w:t>
      </w:r>
      <w:r w:rsidRPr="00842387">
        <w:t xml:space="preserve"> – </w:t>
      </w:r>
      <w:r w:rsidRPr="00B046F0">
        <w:rPr>
          <w:rFonts w:ascii="Avenir LT 45 Book" w:eastAsia="Calibri" w:hAnsi="Avenir LT 45 Book"/>
          <w:sz w:val="20"/>
        </w:rPr>
        <w:t xml:space="preserve">Site plan illustrating compatible garage locations in residential developments – </w:t>
      </w:r>
      <w:r w:rsidRPr="00B046F0">
        <w:rPr>
          <w:rFonts w:ascii="Avenir LT 45 Book" w:eastAsia="Calibri" w:hAnsi="Avenir LT 45 Book"/>
          <w:i/>
          <w:sz w:val="20"/>
        </w:rPr>
        <w:t>Griffiths Architects 2012.</w:t>
      </w:r>
    </w:p>
    <w:p w14:paraId="5C1E27DE" w14:textId="77777777" w:rsidR="00B46EF1" w:rsidRDefault="00B046F0" w:rsidP="00B046F0">
      <w:pPr>
        <w:pStyle w:val="Heading5"/>
        <w:spacing w:before="360"/>
      </w:pPr>
      <w:r>
        <w:t>3.7.18.3.3</w:t>
      </w:r>
      <w:r>
        <w:tab/>
      </w:r>
      <w:r w:rsidR="00B46EF1" w:rsidRPr="00842387">
        <w:t>Performance Criteria and Acceptable Development</w:t>
      </w:r>
      <w:r w:rsidR="00B46EF1">
        <w:t xml:space="preserve">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2"/>
        <w:gridCol w:w="4514"/>
      </w:tblGrid>
      <w:tr w:rsidR="00B46EF1" w:rsidRPr="00842387" w14:paraId="203780C5" w14:textId="77777777" w:rsidTr="008048CE">
        <w:tc>
          <w:tcPr>
            <w:tcW w:w="4621" w:type="dxa"/>
            <w:tcBorders>
              <w:bottom w:val="single" w:sz="4" w:space="0" w:color="auto"/>
            </w:tcBorders>
          </w:tcPr>
          <w:p w14:paraId="0BEC6930"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Borders>
              <w:bottom w:val="single" w:sz="4" w:space="0" w:color="auto"/>
            </w:tcBorders>
          </w:tcPr>
          <w:p w14:paraId="078BFB62" w14:textId="77777777" w:rsidR="00B46EF1" w:rsidRDefault="00B46EF1" w:rsidP="008048CE">
            <w:r w:rsidRPr="00842387">
              <w:rPr>
                <w:rFonts w:ascii="Avenir LT 65 Medium" w:hAnsi="Avenir LT 65 Medium"/>
              </w:rPr>
              <w:t>Acceptable Development Provisions</w:t>
            </w:r>
          </w:p>
        </w:tc>
      </w:tr>
      <w:tr w:rsidR="00B46EF1" w:rsidRPr="00842387" w14:paraId="09668223" w14:textId="77777777" w:rsidTr="008048CE">
        <w:tc>
          <w:tcPr>
            <w:tcW w:w="4621" w:type="dxa"/>
            <w:tcBorders>
              <w:top w:val="single" w:sz="4" w:space="0" w:color="auto"/>
              <w:bottom w:val="nil"/>
            </w:tcBorders>
          </w:tcPr>
          <w:p w14:paraId="0C53D8D1" w14:textId="77777777" w:rsidR="00B46EF1" w:rsidRDefault="00B46EF1" w:rsidP="008048CE">
            <w:pPr>
              <w:spacing w:before="120"/>
              <w:rPr>
                <w:szCs w:val="20"/>
              </w:rPr>
            </w:pPr>
            <w:r w:rsidRPr="00842387">
              <w:rPr>
                <w:rFonts w:ascii="Avenir LT 65 Medium" w:hAnsi="Avenir LT 65 Medium"/>
                <w:szCs w:val="20"/>
              </w:rPr>
              <w:t>All Dwellings</w:t>
            </w:r>
          </w:p>
          <w:p w14:paraId="07B175D6" w14:textId="77777777" w:rsidR="00B46EF1" w:rsidRDefault="00B46EF1" w:rsidP="002A3889">
            <w:pPr>
              <w:pStyle w:val="ListParagraph"/>
              <w:numPr>
                <w:ilvl w:val="0"/>
                <w:numId w:val="217"/>
              </w:numPr>
              <w:spacing w:line="360" w:lineRule="auto"/>
              <w:ind w:left="567" w:hanging="504"/>
              <w:contextualSpacing w:val="0"/>
            </w:pPr>
            <w:r w:rsidRPr="00B046F0">
              <w:rPr>
                <w:rFonts w:ascii="Avenir LT 45 Book" w:eastAsia="Calibri" w:hAnsi="Avenir LT 45 Book" w:cs="Times New Roman"/>
                <w:sz w:val="20"/>
              </w:rPr>
              <w:t>Garages, carports or outbuildings should comply with the recommended building materials for the Precinct.</w:t>
            </w:r>
          </w:p>
        </w:tc>
        <w:tc>
          <w:tcPr>
            <w:tcW w:w="4621" w:type="dxa"/>
            <w:tcBorders>
              <w:top w:val="single" w:sz="4" w:space="0" w:color="auto"/>
              <w:bottom w:val="nil"/>
            </w:tcBorders>
          </w:tcPr>
          <w:p w14:paraId="3E025727" w14:textId="77777777" w:rsidR="00B46EF1" w:rsidRDefault="00B46EF1" w:rsidP="008048CE">
            <w:pPr>
              <w:spacing w:before="120"/>
              <w:rPr>
                <w:szCs w:val="20"/>
              </w:rPr>
            </w:pPr>
            <w:r w:rsidRPr="00842387">
              <w:rPr>
                <w:rFonts w:ascii="Avenir LT 65 Medium" w:hAnsi="Avenir LT 65 Medium"/>
                <w:szCs w:val="20"/>
              </w:rPr>
              <w:t>All Dwellings</w:t>
            </w:r>
          </w:p>
          <w:p w14:paraId="7AD646C9" w14:textId="77777777" w:rsidR="00B46EF1" w:rsidRDefault="00B46EF1" w:rsidP="002A3889">
            <w:pPr>
              <w:pStyle w:val="ListParagraph"/>
              <w:numPr>
                <w:ilvl w:val="0"/>
                <w:numId w:val="218"/>
              </w:numPr>
              <w:spacing w:line="360" w:lineRule="auto"/>
              <w:ind w:left="624" w:hanging="505"/>
              <w:contextualSpacing w:val="0"/>
            </w:pPr>
            <w:r w:rsidRPr="00B046F0">
              <w:rPr>
                <w:rFonts w:ascii="Avenir LT 45 Book" w:eastAsia="Calibri" w:hAnsi="Avenir LT 45 Book" w:cs="Times New Roman"/>
                <w:sz w:val="20"/>
              </w:rPr>
              <w:t>Refer Section on Materials and Colours.  Plans, elevations and section drawings are to be provided to demonstrate the impact of the garage or carport on the existing dwelling.</w:t>
            </w:r>
          </w:p>
        </w:tc>
      </w:tr>
      <w:tr w:rsidR="00B46EF1" w:rsidRPr="00842387" w14:paraId="1873219F" w14:textId="77777777" w:rsidTr="008048CE">
        <w:tc>
          <w:tcPr>
            <w:tcW w:w="4621" w:type="dxa"/>
            <w:tcBorders>
              <w:top w:val="nil"/>
              <w:bottom w:val="nil"/>
            </w:tcBorders>
          </w:tcPr>
          <w:p w14:paraId="3C9B2898" w14:textId="77777777" w:rsidR="00B46EF1" w:rsidRPr="00B046F0" w:rsidRDefault="00B46EF1" w:rsidP="002A3889">
            <w:pPr>
              <w:pStyle w:val="ListParagraph"/>
              <w:numPr>
                <w:ilvl w:val="0"/>
                <w:numId w:val="217"/>
              </w:numPr>
              <w:spacing w:line="360" w:lineRule="auto"/>
              <w:ind w:left="567" w:hanging="504"/>
              <w:contextualSpacing w:val="0"/>
              <w:rPr>
                <w:rFonts w:ascii="Avenir LT 45 Book" w:eastAsia="Calibri" w:hAnsi="Avenir LT 45 Book" w:cs="Times New Roman"/>
                <w:sz w:val="20"/>
              </w:rPr>
            </w:pPr>
            <w:r w:rsidRPr="00B046F0">
              <w:rPr>
                <w:rFonts w:ascii="Avenir LT 45 Book" w:eastAsia="Calibri" w:hAnsi="Avenir LT 45 Book" w:cs="Times New Roman"/>
                <w:sz w:val="20"/>
              </w:rPr>
              <w:t>For existing buildings where there are no alternatives, carports may be located</w:t>
            </w:r>
            <w:r w:rsidRPr="00842387">
              <w:t xml:space="preserve"> </w:t>
            </w:r>
            <w:r w:rsidRPr="00B046F0">
              <w:rPr>
                <w:rFonts w:ascii="Avenir LT 45 Book" w:eastAsia="Calibri" w:hAnsi="Avenir LT 45 Book" w:cs="Times New Roman"/>
                <w:sz w:val="20"/>
              </w:rPr>
              <w:t>forward of the building line, provided they:</w:t>
            </w:r>
          </w:p>
          <w:p w14:paraId="27712BAF" w14:textId="77777777" w:rsidR="00B46EF1" w:rsidRPr="00B71509" w:rsidRDefault="00B46EF1" w:rsidP="002A3889">
            <w:pPr>
              <w:pStyle w:val="ListParagraph"/>
              <w:numPr>
                <w:ilvl w:val="0"/>
                <w:numId w:val="220"/>
              </w:numPr>
              <w:spacing w:line="360" w:lineRule="auto"/>
              <w:ind w:left="567" w:hanging="207"/>
              <w:contextualSpacing w:val="0"/>
              <w:rPr>
                <w:rFonts w:ascii="Avenir LT 45 Book" w:eastAsia="Calibri" w:hAnsi="Avenir LT 45 Book" w:cs="Times New Roman"/>
                <w:sz w:val="20"/>
              </w:rPr>
            </w:pPr>
            <w:r w:rsidRPr="00B71509">
              <w:rPr>
                <w:rFonts w:ascii="Avenir LT 45 Book" w:eastAsia="Calibri" w:hAnsi="Avenir LT 45 Book" w:cs="Times New Roman"/>
                <w:sz w:val="20"/>
              </w:rPr>
              <w:t>Do not visually dominate the streetscape or the buildings to which they belong; and,</w:t>
            </w:r>
          </w:p>
          <w:p w14:paraId="3BA59198" w14:textId="77777777" w:rsidR="00B46EF1" w:rsidRDefault="00B46EF1" w:rsidP="002A3889">
            <w:pPr>
              <w:pStyle w:val="ListParagraph"/>
              <w:numPr>
                <w:ilvl w:val="0"/>
                <w:numId w:val="220"/>
              </w:numPr>
              <w:spacing w:line="360" w:lineRule="auto"/>
              <w:ind w:left="567" w:hanging="207"/>
              <w:contextualSpacing w:val="0"/>
            </w:pPr>
            <w:r w:rsidRPr="00B71509">
              <w:rPr>
                <w:rFonts w:ascii="Avenir LT 45 Book" w:eastAsia="Calibri" w:hAnsi="Avenir LT 45 Book" w:cs="Times New Roman"/>
                <w:sz w:val="20"/>
              </w:rPr>
              <w:lastRenderedPageBreak/>
              <w:t>Do not detract from the heritage character of a contributory building. Street elevations may be required where a place is included in the MHI</w:t>
            </w:r>
            <w:r>
              <w:t>.</w:t>
            </w:r>
          </w:p>
        </w:tc>
        <w:tc>
          <w:tcPr>
            <w:tcW w:w="4621" w:type="dxa"/>
            <w:tcBorders>
              <w:top w:val="nil"/>
              <w:bottom w:val="nil"/>
            </w:tcBorders>
          </w:tcPr>
          <w:p w14:paraId="59CF56D3" w14:textId="77777777" w:rsidR="00B46EF1" w:rsidRPr="00B046F0" w:rsidRDefault="00B46EF1" w:rsidP="002A3889">
            <w:pPr>
              <w:pStyle w:val="ListParagraph"/>
              <w:numPr>
                <w:ilvl w:val="0"/>
                <w:numId w:val="218"/>
              </w:numPr>
              <w:spacing w:line="360" w:lineRule="auto"/>
              <w:ind w:left="624" w:hanging="505"/>
              <w:contextualSpacing w:val="0"/>
              <w:rPr>
                <w:rFonts w:ascii="Avenir LT 45 Book" w:eastAsia="Calibri" w:hAnsi="Avenir LT 45 Book" w:cs="Times New Roman"/>
                <w:sz w:val="20"/>
              </w:rPr>
            </w:pPr>
            <w:r w:rsidRPr="00B046F0">
              <w:rPr>
                <w:rFonts w:ascii="Avenir LT 45 Book" w:eastAsia="Calibri" w:hAnsi="Avenir LT 45 Book" w:cs="Times New Roman"/>
                <w:sz w:val="20"/>
              </w:rPr>
              <w:lastRenderedPageBreak/>
              <w:t>Garages and carports are constructed behind the building line and comply with the following:</w:t>
            </w:r>
          </w:p>
          <w:p w14:paraId="0242B7FE" w14:textId="77777777" w:rsidR="00B46EF1" w:rsidRPr="00B046F0" w:rsidRDefault="00B46EF1" w:rsidP="002A3889">
            <w:pPr>
              <w:pStyle w:val="ListParagraph"/>
              <w:numPr>
                <w:ilvl w:val="0"/>
                <w:numId w:val="219"/>
              </w:numPr>
              <w:spacing w:line="360" w:lineRule="auto"/>
              <w:ind w:left="624" w:hanging="264"/>
              <w:contextualSpacing w:val="0"/>
              <w:rPr>
                <w:rFonts w:ascii="Avenir LT 45 Book" w:eastAsia="Calibri" w:hAnsi="Avenir LT 45 Book" w:cs="Times New Roman"/>
                <w:sz w:val="20"/>
              </w:rPr>
            </w:pPr>
            <w:r w:rsidRPr="00B046F0">
              <w:rPr>
                <w:rFonts w:ascii="Avenir LT 45 Book" w:eastAsia="Calibri" w:hAnsi="Avenir LT 45 Book" w:cs="Times New Roman"/>
                <w:sz w:val="20"/>
              </w:rPr>
              <w:t>Setback a minimum distance of 1.2m behind the building line; and,</w:t>
            </w:r>
          </w:p>
          <w:p w14:paraId="54994EDC" w14:textId="77777777" w:rsidR="00B46EF1" w:rsidRDefault="00B46EF1" w:rsidP="002A3889">
            <w:pPr>
              <w:pStyle w:val="ListParagraph"/>
              <w:numPr>
                <w:ilvl w:val="0"/>
                <w:numId w:val="219"/>
              </w:numPr>
              <w:spacing w:line="360" w:lineRule="auto"/>
              <w:ind w:left="624" w:hanging="264"/>
              <w:contextualSpacing w:val="0"/>
            </w:pPr>
            <w:r w:rsidRPr="00B71509">
              <w:rPr>
                <w:rFonts w:ascii="Avenir LT 45 Book" w:eastAsia="Calibri" w:hAnsi="Avenir LT 45 Book" w:cs="Times New Roman"/>
                <w:sz w:val="20"/>
              </w:rPr>
              <w:t>The width of garages and carports are not greater than 30% of the frontage of the lot.</w:t>
            </w:r>
          </w:p>
        </w:tc>
      </w:tr>
      <w:tr w:rsidR="00B46EF1" w:rsidRPr="00842387" w14:paraId="5CD5D07C" w14:textId="77777777" w:rsidTr="008048CE">
        <w:tc>
          <w:tcPr>
            <w:tcW w:w="4621" w:type="dxa"/>
            <w:tcBorders>
              <w:top w:val="nil"/>
              <w:bottom w:val="nil"/>
            </w:tcBorders>
          </w:tcPr>
          <w:p w14:paraId="13DD971F" w14:textId="77777777" w:rsidR="00B46EF1" w:rsidRDefault="00B46EF1" w:rsidP="008048CE">
            <w:pPr>
              <w:rPr>
                <w:szCs w:val="20"/>
              </w:rPr>
            </w:pPr>
            <w:r w:rsidRPr="00842387">
              <w:rPr>
                <w:rFonts w:ascii="Avenir LT 65 Medium" w:hAnsi="Avenir LT 65 Medium"/>
                <w:szCs w:val="20"/>
              </w:rPr>
              <w:t>New Dwellings</w:t>
            </w:r>
          </w:p>
          <w:p w14:paraId="36FB493E" w14:textId="77777777" w:rsidR="00B46EF1" w:rsidRDefault="00B46EF1" w:rsidP="002A3889">
            <w:pPr>
              <w:pStyle w:val="ListParagraph"/>
              <w:numPr>
                <w:ilvl w:val="0"/>
                <w:numId w:val="217"/>
              </w:numPr>
              <w:spacing w:line="360" w:lineRule="auto"/>
              <w:ind w:left="567" w:hanging="504"/>
              <w:contextualSpacing w:val="0"/>
            </w:pPr>
            <w:r w:rsidRPr="00B71509">
              <w:rPr>
                <w:rFonts w:ascii="Avenir LT 45 Book" w:eastAsia="Calibri" w:hAnsi="Avenir LT 45 Book" w:cs="Times New Roman"/>
                <w:sz w:val="20"/>
              </w:rPr>
              <w:t>Garages and carports are designed to be incorporated into, and compatible with, the design of the dwelling.</w:t>
            </w:r>
          </w:p>
        </w:tc>
        <w:tc>
          <w:tcPr>
            <w:tcW w:w="4621" w:type="dxa"/>
            <w:tcBorders>
              <w:top w:val="nil"/>
              <w:bottom w:val="nil"/>
            </w:tcBorders>
          </w:tcPr>
          <w:p w14:paraId="6135A637" w14:textId="77777777" w:rsidR="00B46EF1" w:rsidRDefault="00B46EF1" w:rsidP="008048CE">
            <w:pPr>
              <w:rPr>
                <w:szCs w:val="20"/>
              </w:rPr>
            </w:pPr>
            <w:r w:rsidRPr="00842387">
              <w:rPr>
                <w:rFonts w:ascii="Avenir LT 65 Medium" w:hAnsi="Avenir LT 65 Medium"/>
                <w:szCs w:val="20"/>
              </w:rPr>
              <w:t>New Dwellings</w:t>
            </w:r>
          </w:p>
          <w:p w14:paraId="62366BE3" w14:textId="77777777" w:rsidR="00B46EF1" w:rsidRDefault="00B46EF1" w:rsidP="002A3889">
            <w:pPr>
              <w:pStyle w:val="ListParagraph"/>
              <w:numPr>
                <w:ilvl w:val="0"/>
                <w:numId w:val="218"/>
              </w:numPr>
              <w:spacing w:line="360" w:lineRule="auto"/>
              <w:ind w:left="624" w:hanging="505"/>
              <w:contextualSpacing w:val="0"/>
            </w:pPr>
            <w:r w:rsidRPr="00B71509">
              <w:rPr>
                <w:rFonts w:ascii="Avenir LT 45 Book" w:eastAsia="Calibri" w:hAnsi="Avenir LT 45 Book" w:cs="Times New Roman"/>
                <w:sz w:val="20"/>
              </w:rPr>
              <w:t>Plans, elevations and section drawings are to be provided to demonstrate the impact of the garage on the new dwelling.</w:t>
            </w:r>
          </w:p>
        </w:tc>
      </w:tr>
      <w:tr w:rsidR="00B46EF1" w:rsidRPr="00842387" w14:paraId="25886644" w14:textId="77777777" w:rsidTr="008048CE">
        <w:tc>
          <w:tcPr>
            <w:tcW w:w="4621" w:type="dxa"/>
            <w:tcBorders>
              <w:top w:val="nil"/>
              <w:bottom w:val="nil"/>
            </w:tcBorders>
          </w:tcPr>
          <w:p w14:paraId="11AC09E7" w14:textId="77777777" w:rsidR="00B46EF1" w:rsidRDefault="00B46EF1" w:rsidP="008048CE">
            <w:pPr>
              <w:rPr>
                <w:rFonts w:ascii="Avenir LT 65 Medium" w:hAnsi="Avenir LT 65 Medium"/>
                <w:szCs w:val="20"/>
              </w:rPr>
            </w:pPr>
            <w:r w:rsidRPr="00842387">
              <w:rPr>
                <w:rFonts w:ascii="Avenir LT 65 Medium" w:hAnsi="Avenir LT 65 Medium"/>
                <w:szCs w:val="20"/>
              </w:rPr>
              <w:t>Multiple and Grouped Dwellings</w:t>
            </w:r>
          </w:p>
          <w:p w14:paraId="1004A921" w14:textId="77777777" w:rsidR="00B46EF1" w:rsidRDefault="00B46EF1" w:rsidP="002A3889">
            <w:pPr>
              <w:pStyle w:val="ListParagraph"/>
              <w:numPr>
                <w:ilvl w:val="0"/>
                <w:numId w:val="217"/>
              </w:numPr>
              <w:spacing w:line="360" w:lineRule="auto"/>
              <w:ind w:left="567" w:hanging="504"/>
              <w:contextualSpacing w:val="0"/>
            </w:pPr>
            <w:r w:rsidRPr="00B71509">
              <w:rPr>
                <w:rFonts w:ascii="Avenir LT 45 Book" w:eastAsia="Calibri" w:hAnsi="Avenir LT 45 Book" w:cs="Times New Roman"/>
                <w:sz w:val="20"/>
              </w:rPr>
              <w:t>Adequate car and bicycle parking provided on-site in accordance with development requirements.</w:t>
            </w:r>
          </w:p>
        </w:tc>
        <w:tc>
          <w:tcPr>
            <w:tcW w:w="4621" w:type="dxa"/>
            <w:tcBorders>
              <w:top w:val="nil"/>
              <w:bottom w:val="nil"/>
            </w:tcBorders>
          </w:tcPr>
          <w:p w14:paraId="1DD91209" w14:textId="77777777" w:rsidR="00B46EF1" w:rsidRDefault="00B46EF1" w:rsidP="008048CE">
            <w:pPr>
              <w:rPr>
                <w:rFonts w:ascii="Avenir LT 65 Medium" w:hAnsi="Avenir LT 65 Medium"/>
                <w:szCs w:val="20"/>
              </w:rPr>
            </w:pPr>
            <w:r w:rsidRPr="00842387">
              <w:rPr>
                <w:rFonts w:ascii="Avenir LT 65 Medium" w:hAnsi="Avenir LT 65 Medium"/>
                <w:szCs w:val="20"/>
              </w:rPr>
              <w:t>Multiple and Grouped Dwellings</w:t>
            </w:r>
          </w:p>
          <w:p w14:paraId="2B959BD8" w14:textId="77777777" w:rsidR="00B46EF1" w:rsidRDefault="00B46EF1" w:rsidP="002A3889">
            <w:pPr>
              <w:pStyle w:val="ListParagraph"/>
              <w:numPr>
                <w:ilvl w:val="0"/>
                <w:numId w:val="218"/>
              </w:numPr>
              <w:spacing w:line="360" w:lineRule="auto"/>
              <w:ind w:left="624" w:hanging="505"/>
              <w:contextualSpacing w:val="0"/>
            </w:pPr>
            <w:r w:rsidRPr="00B71509">
              <w:rPr>
                <w:rFonts w:ascii="Avenir LT 45 Book" w:eastAsia="Calibri" w:hAnsi="Avenir LT 45 Book" w:cs="Times New Roman"/>
                <w:sz w:val="20"/>
              </w:rPr>
              <w:t>Refer R Codes for car space and bicycle space requirements.</w:t>
            </w:r>
          </w:p>
        </w:tc>
      </w:tr>
      <w:tr w:rsidR="00B46EF1" w:rsidRPr="00842387" w14:paraId="47346EB9" w14:textId="77777777" w:rsidTr="008048CE">
        <w:tc>
          <w:tcPr>
            <w:tcW w:w="4621" w:type="dxa"/>
            <w:tcBorders>
              <w:top w:val="nil"/>
            </w:tcBorders>
          </w:tcPr>
          <w:p w14:paraId="7CC80C66" w14:textId="77777777" w:rsidR="00B46EF1" w:rsidRPr="00B71509" w:rsidRDefault="00B46EF1" w:rsidP="002A3889">
            <w:pPr>
              <w:pStyle w:val="ListParagraph"/>
              <w:numPr>
                <w:ilvl w:val="0"/>
                <w:numId w:val="217"/>
              </w:numPr>
              <w:spacing w:line="360" w:lineRule="auto"/>
              <w:ind w:left="567" w:hanging="504"/>
              <w:contextualSpacing w:val="0"/>
              <w:rPr>
                <w:rFonts w:ascii="Avenir LT 45 Book" w:eastAsia="Calibri" w:hAnsi="Avenir LT 45 Book" w:cs="Times New Roman"/>
                <w:sz w:val="20"/>
              </w:rPr>
            </w:pPr>
            <w:r w:rsidRPr="00B71509">
              <w:rPr>
                <w:rFonts w:ascii="Avenir LT 45 Book" w:eastAsia="Calibri" w:hAnsi="Avenir LT 45 Book" w:cs="Times New Roman"/>
                <w:sz w:val="20"/>
              </w:rPr>
              <w:t>Where possible garages and carports to multiple dwellings to occur at the rear and side of the lot.</w:t>
            </w:r>
          </w:p>
        </w:tc>
        <w:tc>
          <w:tcPr>
            <w:tcW w:w="4621" w:type="dxa"/>
            <w:tcBorders>
              <w:top w:val="nil"/>
            </w:tcBorders>
          </w:tcPr>
          <w:p w14:paraId="2190B31F" w14:textId="77777777" w:rsidR="00B46EF1" w:rsidRPr="00B71509" w:rsidRDefault="00B46EF1" w:rsidP="002A3889">
            <w:pPr>
              <w:pStyle w:val="ListParagraph"/>
              <w:numPr>
                <w:ilvl w:val="0"/>
                <w:numId w:val="218"/>
              </w:numPr>
              <w:spacing w:line="360" w:lineRule="auto"/>
              <w:ind w:left="624" w:hanging="505"/>
              <w:contextualSpacing w:val="0"/>
              <w:rPr>
                <w:rFonts w:ascii="Avenir LT 45 Book" w:eastAsia="Calibri" w:hAnsi="Avenir LT 45 Book" w:cs="Times New Roman"/>
                <w:sz w:val="20"/>
              </w:rPr>
            </w:pPr>
            <w:r w:rsidRPr="00B71509">
              <w:rPr>
                <w:rFonts w:ascii="Avenir LT 45 Book" w:eastAsia="Calibri" w:hAnsi="Avenir LT 45 Book" w:cs="Times New Roman"/>
                <w:sz w:val="20"/>
              </w:rPr>
              <w:t xml:space="preserve">Garages to multiple dwelling are designed so that dwellings have maximum access to views.  </w:t>
            </w:r>
            <w:proofErr w:type="gramStart"/>
            <w:r w:rsidRPr="00B71509">
              <w:rPr>
                <w:rFonts w:ascii="Avenir LT 45 Book" w:eastAsia="Calibri" w:hAnsi="Avenir LT 45 Book" w:cs="Times New Roman"/>
                <w:sz w:val="20"/>
              </w:rPr>
              <w:t>However</w:t>
            </w:r>
            <w:proofErr w:type="gramEnd"/>
            <w:r w:rsidRPr="00B71509">
              <w:rPr>
                <w:rFonts w:ascii="Avenir LT 45 Book" w:eastAsia="Calibri" w:hAnsi="Avenir LT 45 Book" w:cs="Times New Roman"/>
                <w:sz w:val="20"/>
              </w:rPr>
              <w:t xml:space="preserve"> the design of multiple dwellings should not negate the streetscape in favour of views. </w:t>
            </w:r>
          </w:p>
        </w:tc>
      </w:tr>
    </w:tbl>
    <w:p w14:paraId="41888D78" w14:textId="77777777" w:rsidR="00B46EF1" w:rsidRPr="00B71509" w:rsidRDefault="00B71509" w:rsidP="00B71509">
      <w:pPr>
        <w:pStyle w:val="Heading4"/>
        <w:spacing w:before="360" w:after="200" w:line="360" w:lineRule="auto"/>
        <w:rPr>
          <w:rFonts w:ascii="Avenir LT 65 Medium" w:hAnsi="Avenir LT 65 Medium"/>
          <w:bCs/>
          <w:i w:val="0"/>
          <w:color w:val="auto"/>
        </w:rPr>
      </w:pPr>
      <w:r>
        <w:rPr>
          <w:rFonts w:ascii="Avenir LT 65 Medium" w:hAnsi="Avenir LT 65 Medium"/>
          <w:bCs/>
          <w:i w:val="0"/>
          <w:color w:val="auto"/>
        </w:rPr>
        <w:t>3.7.18.4</w:t>
      </w:r>
      <w:r>
        <w:rPr>
          <w:rFonts w:ascii="Avenir LT 65 Medium" w:hAnsi="Avenir LT 65 Medium"/>
          <w:bCs/>
          <w:i w:val="0"/>
          <w:color w:val="auto"/>
        </w:rPr>
        <w:tab/>
      </w:r>
      <w:r w:rsidR="00B46EF1" w:rsidRPr="00B71509">
        <w:rPr>
          <w:rFonts w:ascii="Avenir LT 65 Medium" w:hAnsi="Avenir LT 65 Medium"/>
          <w:bCs/>
          <w:i w:val="0"/>
          <w:color w:val="auto"/>
        </w:rPr>
        <w:t>Building Design Requirements</w:t>
      </w:r>
    </w:p>
    <w:p w14:paraId="2EA7FB67" w14:textId="77777777" w:rsidR="00B46EF1" w:rsidRDefault="00B71509" w:rsidP="00B71509">
      <w:pPr>
        <w:pStyle w:val="Heading5"/>
      </w:pPr>
      <w:r>
        <w:t>3.7.18.4.1</w:t>
      </w:r>
      <w:r>
        <w:tab/>
      </w:r>
      <w:r w:rsidR="00B46EF1" w:rsidRPr="00842387">
        <w:t xml:space="preserve">Building </w:t>
      </w:r>
      <w:r w:rsidR="00B46EF1">
        <w:t xml:space="preserve">Height, </w:t>
      </w:r>
      <w:r w:rsidR="00B46EF1" w:rsidRPr="00842387">
        <w:t>Form, Scale &amp; Bulk</w:t>
      </w:r>
    </w:p>
    <w:p w14:paraId="7D646AD7" w14:textId="77777777" w:rsidR="00B46EF1" w:rsidRDefault="00B46EF1" w:rsidP="00B46EF1">
      <w:pPr>
        <w:pStyle w:val="Heading5"/>
        <w:ind w:left="1418" w:hanging="1418"/>
      </w:pPr>
      <w:r>
        <w:t>3.7.18.4.1.1</w:t>
      </w:r>
      <w:r>
        <w:tab/>
        <w:t>Statement</w:t>
      </w:r>
    </w:p>
    <w:p w14:paraId="1063C4CD" w14:textId="77777777" w:rsidR="00B46EF1" w:rsidRDefault="00B46EF1" w:rsidP="00B46EF1">
      <w:pPr>
        <w:pStyle w:val="Heading5"/>
        <w:ind w:left="1418" w:hanging="1418"/>
      </w:pPr>
      <w:r>
        <w:t>3.7.18.4.1.1.1</w:t>
      </w:r>
      <w:r>
        <w:tab/>
        <w:t>Riverside South</w:t>
      </w:r>
    </w:p>
    <w:p w14:paraId="5E81A857" w14:textId="77777777" w:rsidR="00B46EF1" w:rsidRPr="00B71509" w:rsidRDefault="00B46EF1" w:rsidP="00B71509">
      <w:pPr>
        <w:spacing w:line="360" w:lineRule="auto"/>
        <w:rPr>
          <w:rFonts w:ascii="Avenir LT 45 Book" w:eastAsia="Calibri" w:hAnsi="Avenir LT 45 Book"/>
          <w:i/>
          <w:sz w:val="20"/>
        </w:rPr>
      </w:pPr>
      <w:r w:rsidRPr="00B71509">
        <w:rPr>
          <w:rFonts w:ascii="Avenir LT 45 Book" w:eastAsia="Calibri" w:hAnsi="Avenir LT 45 Book"/>
          <w:i/>
          <w:sz w:val="20"/>
        </w:rPr>
        <w:t>The prevailing built form is large multiple storey residences built along the crest of a hill.  Developments display a variety of construction methods with varying scale and bulk.  Lot sizes and setbacks vary depending on the topography of the area.  Building bulk and orientation is predominantly defined by river views.</w:t>
      </w:r>
    </w:p>
    <w:p w14:paraId="2F23F077" w14:textId="77777777" w:rsidR="00B46EF1" w:rsidRPr="00842387" w:rsidRDefault="00B46EF1" w:rsidP="00B46EF1">
      <w:r>
        <w:rPr>
          <w:noProof/>
          <w:lang w:eastAsia="en-AU"/>
        </w:rPr>
        <w:drawing>
          <wp:inline distT="0" distB="0" distL="0" distR="0" wp14:anchorId="117E9D6F" wp14:editId="416A5BE1">
            <wp:extent cx="5857875" cy="1704975"/>
            <wp:effectExtent l="19050" t="0" r="9525" b="0"/>
            <wp:docPr id="105" name="Picture 42" descr="Z:\2011 JOBS\11206-EAST FREMANTLE GUIDELINES\11206-PHOTOS\PROCESSED\RIVERSIDE\RIVERSIDE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2011 JOBS\11206-EAST FREMANTLE GUIDELINES\11206-PHOTOS\PROCESSED\RIVERSIDE\RIVERSIDE ROAD.jpg"/>
                    <pic:cNvPicPr>
                      <a:picLocks noChangeAspect="1" noChangeArrowheads="1"/>
                    </pic:cNvPicPr>
                  </pic:nvPicPr>
                  <pic:blipFill>
                    <a:blip r:embed="rId259"/>
                    <a:srcRect/>
                    <a:stretch>
                      <a:fillRect/>
                    </a:stretch>
                  </pic:blipFill>
                  <pic:spPr bwMode="auto">
                    <a:xfrm>
                      <a:off x="0" y="0"/>
                      <a:ext cx="5857875" cy="1704975"/>
                    </a:xfrm>
                    <a:prstGeom prst="rect">
                      <a:avLst/>
                    </a:prstGeom>
                    <a:noFill/>
                    <a:ln w="9525">
                      <a:noFill/>
                      <a:miter lim="800000"/>
                      <a:headEnd/>
                      <a:tailEnd/>
                    </a:ln>
                  </pic:spPr>
                </pic:pic>
              </a:graphicData>
            </a:graphic>
          </wp:inline>
        </w:drawing>
      </w:r>
    </w:p>
    <w:p w14:paraId="10CCDD6D" w14:textId="77777777" w:rsidR="00B46EF1" w:rsidRDefault="00B46EF1" w:rsidP="00B46EF1">
      <w:pPr>
        <w:rPr>
          <w:i/>
        </w:rPr>
      </w:pPr>
    </w:p>
    <w:p w14:paraId="1E574A0F" w14:textId="77777777" w:rsidR="00B46EF1" w:rsidRDefault="00B46EF1" w:rsidP="00B46EF1">
      <w:pPr>
        <w:pStyle w:val="Heading5"/>
        <w:ind w:left="1418" w:hanging="1418"/>
      </w:pPr>
      <w:r>
        <w:t>3.7.18.4.1.1.2</w:t>
      </w:r>
      <w:r>
        <w:tab/>
        <w:t>Riverside North</w:t>
      </w:r>
    </w:p>
    <w:p w14:paraId="15C0E26A" w14:textId="77777777" w:rsidR="00B46EF1" w:rsidRPr="00B71509" w:rsidRDefault="00B46EF1" w:rsidP="00B71509">
      <w:pPr>
        <w:spacing w:line="360" w:lineRule="auto"/>
        <w:rPr>
          <w:rFonts w:ascii="Avenir LT 45 Book" w:eastAsia="Calibri" w:hAnsi="Avenir LT 45 Book"/>
          <w:i/>
          <w:sz w:val="20"/>
        </w:rPr>
      </w:pPr>
      <w:r w:rsidRPr="00B71509">
        <w:rPr>
          <w:rFonts w:ascii="Avenir LT 45 Book" w:eastAsia="Calibri" w:hAnsi="Avenir LT 45 Book"/>
          <w:i/>
          <w:sz w:val="20"/>
        </w:rPr>
        <w:t>The prevailing building typology is double storey masonry construction with tiles and corrugated iron roofing.  The prevailing building stock is from the last 30 years.</w:t>
      </w:r>
    </w:p>
    <w:p w14:paraId="23BAC27E" w14:textId="77777777" w:rsidR="00B46EF1" w:rsidRDefault="00B46EF1" w:rsidP="00B46EF1">
      <w:r>
        <w:rPr>
          <w:noProof/>
          <w:lang w:eastAsia="en-AU"/>
        </w:rPr>
        <w:lastRenderedPageBreak/>
        <w:drawing>
          <wp:inline distT="0" distB="0" distL="0" distR="0" wp14:anchorId="28539531" wp14:editId="298F3319">
            <wp:extent cx="5857875" cy="1704975"/>
            <wp:effectExtent l="19050" t="0" r="9525" b="0"/>
            <wp:docPr id="106" name="Picture 43" descr="Z:\2011 JOBS\11206-EAST FREMANTLE GUIDELINES\11206-PHOTOS\PROCESSED\RIVERSIDE\RIVERSIDE R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2011 JOBS\11206-EAST FREMANTLE GUIDELINES\11206-PHOTOS\PROCESSED\RIVERSIDE\RIVERSIDE ROAD 1.jpg"/>
                    <pic:cNvPicPr>
                      <a:picLocks noChangeAspect="1" noChangeArrowheads="1"/>
                    </pic:cNvPicPr>
                  </pic:nvPicPr>
                  <pic:blipFill>
                    <a:blip r:embed="rId260"/>
                    <a:srcRect/>
                    <a:stretch>
                      <a:fillRect/>
                    </a:stretch>
                  </pic:blipFill>
                  <pic:spPr bwMode="auto">
                    <a:xfrm>
                      <a:off x="0" y="0"/>
                      <a:ext cx="5857875" cy="1704975"/>
                    </a:xfrm>
                    <a:prstGeom prst="rect">
                      <a:avLst/>
                    </a:prstGeom>
                    <a:noFill/>
                    <a:ln w="9525">
                      <a:noFill/>
                      <a:miter lim="800000"/>
                      <a:headEnd/>
                      <a:tailEnd/>
                    </a:ln>
                  </pic:spPr>
                </pic:pic>
              </a:graphicData>
            </a:graphic>
          </wp:inline>
        </w:drawing>
      </w:r>
    </w:p>
    <w:p w14:paraId="4EC42846" w14:textId="77777777" w:rsidR="00B46EF1" w:rsidRDefault="00B46EF1" w:rsidP="00B46EF1">
      <w:pPr>
        <w:pStyle w:val="Heading5"/>
        <w:ind w:left="1418" w:hanging="1418"/>
      </w:pPr>
      <w:r>
        <w:t>3.7.18.4.1.2</w:t>
      </w:r>
      <w:r>
        <w:tab/>
        <w:t>Desired Development Outcomes</w:t>
      </w:r>
    </w:p>
    <w:p w14:paraId="5649F0BA" w14:textId="77777777" w:rsidR="00B46EF1" w:rsidRPr="00B71509" w:rsidRDefault="00B46EF1" w:rsidP="002A3889">
      <w:pPr>
        <w:pStyle w:val="ListParagraph"/>
        <w:numPr>
          <w:ilvl w:val="0"/>
          <w:numId w:val="221"/>
        </w:numPr>
        <w:spacing w:line="360" w:lineRule="auto"/>
        <w:rPr>
          <w:rFonts w:ascii="Avenir LT 45 Book" w:eastAsia="Calibri" w:hAnsi="Avenir LT 45 Book" w:cs="Times New Roman"/>
          <w:sz w:val="20"/>
        </w:rPr>
      </w:pPr>
      <w:r w:rsidRPr="00B71509">
        <w:rPr>
          <w:rFonts w:ascii="Avenir LT 45 Book" w:eastAsia="Calibri" w:hAnsi="Avenir LT 45 Book" w:cs="Times New Roman"/>
          <w:sz w:val="20"/>
        </w:rPr>
        <w:t xml:space="preserve">Appropriate design approach to the topography of the </w:t>
      </w:r>
      <w:proofErr w:type="gramStart"/>
      <w:r w:rsidRPr="00B71509">
        <w:rPr>
          <w:rFonts w:ascii="Avenir LT 45 Book" w:eastAsia="Calibri" w:hAnsi="Avenir LT 45 Book" w:cs="Times New Roman"/>
          <w:sz w:val="20"/>
        </w:rPr>
        <w:t>landscape;</w:t>
      </w:r>
      <w:proofErr w:type="gramEnd"/>
    </w:p>
    <w:p w14:paraId="6DA4ED9A" w14:textId="77777777" w:rsidR="00B46EF1" w:rsidRPr="00B71509" w:rsidRDefault="00B46EF1" w:rsidP="002A3889">
      <w:pPr>
        <w:pStyle w:val="ListParagraph"/>
        <w:numPr>
          <w:ilvl w:val="0"/>
          <w:numId w:val="221"/>
        </w:numPr>
        <w:spacing w:line="360" w:lineRule="auto"/>
        <w:rPr>
          <w:rFonts w:ascii="Avenir LT 45 Book" w:eastAsia="Calibri" w:hAnsi="Avenir LT 45 Book" w:cs="Times New Roman"/>
          <w:sz w:val="20"/>
        </w:rPr>
      </w:pPr>
      <w:r w:rsidRPr="00B71509">
        <w:rPr>
          <w:rFonts w:ascii="Avenir LT 45 Book" w:eastAsia="Calibri" w:hAnsi="Avenir LT 45 Book" w:cs="Times New Roman"/>
          <w:sz w:val="20"/>
        </w:rPr>
        <w:t xml:space="preserve">New developments should reflect the prevailing form, bulk and scale of the immediate </w:t>
      </w:r>
      <w:proofErr w:type="gramStart"/>
      <w:r w:rsidRPr="00B71509">
        <w:rPr>
          <w:rFonts w:ascii="Avenir LT 45 Book" w:eastAsia="Calibri" w:hAnsi="Avenir LT 45 Book" w:cs="Times New Roman"/>
          <w:sz w:val="20"/>
        </w:rPr>
        <w:t>locality;</w:t>
      </w:r>
      <w:proofErr w:type="gramEnd"/>
    </w:p>
    <w:p w14:paraId="6B3C2B92" w14:textId="77777777" w:rsidR="00B46EF1" w:rsidRPr="00B71509" w:rsidRDefault="00B46EF1" w:rsidP="002A3889">
      <w:pPr>
        <w:pStyle w:val="ListParagraph"/>
        <w:numPr>
          <w:ilvl w:val="0"/>
          <w:numId w:val="221"/>
        </w:numPr>
        <w:spacing w:line="360" w:lineRule="auto"/>
        <w:rPr>
          <w:rFonts w:ascii="Avenir LT 45 Book" w:eastAsia="Calibri" w:hAnsi="Avenir LT 45 Book" w:cs="Times New Roman"/>
          <w:sz w:val="20"/>
        </w:rPr>
      </w:pPr>
      <w:r w:rsidRPr="00B71509">
        <w:rPr>
          <w:rFonts w:ascii="Avenir LT 45 Book" w:eastAsia="Calibri" w:hAnsi="Avenir LT 45 Book" w:cs="Times New Roman"/>
          <w:sz w:val="20"/>
        </w:rPr>
        <w:t>New developments shall respect and follow the immediate locality in terms of roof pitch, orientation and articulation; and,</w:t>
      </w:r>
    </w:p>
    <w:p w14:paraId="7E607F57" w14:textId="77777777" w:rsidR="00B46EF1" w:rsidRPr="00B71509" w:rsidRDefault="00B46EF1" w:rsidP="002A3889">
      <w:pPr>
        <w:pStyle w:val="ListParagraph"/>
        <w:numPr>
          <w:ilvl w:val="0"/>
          <w:numId w:val="221"/>
        </w:numPr>
        <w:spacing w:line="360" w:lineRule="auto"/>
        <w:rPr>
          <w:rFonts w:ascii="Avenir LT 45 Book" w:eastAsia="Calibri" w:hAnsi="Avenir LT 45 Book" w:cs="Times New Roman"/>
          <w:sz w:val="20"/>
        </w:rPr>
      </w:pPr>
      <w:r w:rsidRPr="00B71509">
        <w:rPr>
          <w:rFonts w:ascii="Avenir LT 45 Book" w:eastAsia="Calibri" w:hAnsi="Avenir LT 45 Book" w:cs="Times New Roman"/>
          <w:sz w:val="20"/>
        </w:rPr>
        <w:t>The bulk of multiple storey developments and additions should be appropriate to the topography of the landscape.</w:t>
      </w:r>
    </w:p>
    <w:p w14:paraId="57021DD2" w14:textId="77777777" w:rsidR="00B46EF1" w:rsidRDefault="00B46EF1" w:rsidP="00B46EF1">
      <w:pPr>
        <w:pStyle w:val="Heading5"/>
        <w:spacing w:before="360" w:after="120"/>
        <w:ind w:left="1418" w:hanging="1418"/>
      </w:pPr>
      <w:r>
        <w:t>3.7.18.4.1.3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95"/>
        <w:gridCol w:w="4631"/>
      </w:tblGrid>
      <w:tr w:rsidR="00B46EF1" w:rsidRPr="00842387" w14:paraId="397E94FB" w14:textId="77777777" w:rsidTr="00B71509">
        <w:tc>
          <w:tcPr>
            <w:tcW w:w="4395" w:type="dxa"/>
          </w:tcPr>
          <w:p w14:paraId="073EECD1" w14:textId="77777777" w:rsidR="00B46EF1" w:rsidRDefault="00B46EF1" w:rsidP="008048CE">
            <w:pPr>
              <w:spacing w:after="120"/>
              <w:rPr>
                <w:rFonts w:ascii="Avenir LT 65 Medium" w:hAnsi="Avenir LT 65 Medium"/>
              </w:rPr>
            </w:pPr>
            <w:r w:rsidRPr="00842387">
              <w:rPr>
                <w:rFonts w:ascii="Avenir LT 65 Medium" w:hAnsi="Avenir LT 65 Medium"/>
              </w:rPr>
              <w:t>Performance Criteria</w:t>
            </w:r>
          </w:p>
        </w:tc>
        <w:tc>
          <w:tcPr>
            <w:tcW w:w="4631" w:type="dxa"/>
          </w:tcPr>
          <w:p w14:paraId="140FB424" w14:textId="77777777" w:rsidR="00B46EF1" w:rsidRDefault="00B46EF1" w:rsidP="008048CE">
            <w:pPr>
              <w:spacing w:after="120"/>
            </w:pPr>
            <w:r w:rsidRPr="00842387">
              <w:rPr>
                <w:rFonts w:ascii="Avenir LT 65 Medium" w:hAnsi="Avenir LT 65 Medium"/>
              </w:rPr>
              <w:t>Acceptable Development Provisions</w:t>
            </w:r>
          </w:p>
        </w:tc>
      </w:tr>
      <w:tr w:rsidR="00B46EF1" w:rsidRPr="00842387" w14:paraId="0E476313" w14:textId="77777777" w:rsidTr="00B71509">
        <w:tc>
          <w:tcPr>
            <w:tcW w:w="4395" w:type="dxa"/>
            <w:tcBorders>
              <w:bottom w:val="nil"/>
            </w:tcBorders>
          </w:tcPr>
          <w:p w14:paraId="48263B19" w14:textId="77777777" w:rsidR="00B46EF1" w:rsidRPr="00B71509" w:rsidRDefault="00B46EF1" w:rsidP="002A3889">
            <w:pPr>
              <w:pStyle w:val="ListParagraph"/>
              <w:numPr>
                <w:ilvl w:val="0"/>
                <w:numId w:val="222"/>
              </w:numPr>
              <w:spacing w:before="120" w:line="360" w:lineRule="auto"/>
              <w:ind w:left="567" w:hanging="504"/>
              <w:contextualSpacing w:val="0"/>
              <w:rPr>
                <w:rFonts w:ascii="Avenir LT 45 Book" w:eastAsia="Calibri" w:hAnsi="Avenir LT 45 Book" w:cs="Times New Roman"/>
                <w:sz w:val="20"/>
              </w:rPr>
            </w:pPr>
            <w:r w:rsidRPr="00B71509">
              <w:rPr>
                <w:rFonts w:ascii="Avenir LT 45 Book" w:eastAsia="Calibri" w:hAnsi="Avenir LT 45 Book" w:cs="Times New Roman"/>
                <w:sz w:val="20"/>
              </w:rPr>
              <w:t>New developments, additions and alterations to be of a compatible form, bulk and scale to traditional development in the immediate locality.</w:t>
            </w:r>
          </w:p>
        </w:tc>
        <w:tc>
          <w:tcPr>
            <w:tcW w:w="4631" w:type="dxa"/>
            <w:tcBorders>
              <w:bottom w:val="nil"/>
            </w:tcBorders>
          </w:tcPr>
          <w:p w14:paraId="7DB606B8" w14:textId="77777777" w:rsidR="00B46EF1" w:rsidRPr="00B71509" w:rsidRDefault="00B46EF1" w:rsidP="002A3889">
            <w:pPr>
              <w:pStyle w:val="ListParagraph"/>
              <w:numPr>
                <w:ilvl w:val="1"/>
                <w:numId w:val="223"/>
              </w:numPr>
              <w:spacing w:before="120" w:line="360" w:lineRule="auto"/>
              <w:ind w:left="624" w:hanging="624"/>
              <w:contextualSpacing w:val="0"/>
              <w:rPr>
                <w:rFonts w:ascii="Avenir LT 45 Book" w:eastAsia="Calibri" w:hAnsi="Avenir LT 45 Book" w:cs="Times New Roman"/>
                <w:sz w:val="20"/>
              </w:rPr>
            </w:pPr>
            <w:r w:rsidRPr="00B71509">
              <w:rPr>
                <w:rFonts w:ascii="Avenir LT 45 Book" w:eastAsia="Calibri" w:hAnsi="Avenir LT 45 Book" w:cs="Times New Roman"/>
                <w:sz w:val="20"/>
              </w:rPr>
              <w:t>Developments to comply with all design elements of this Local Planning Policy.</w:t>
            </w:r>
          </w:p>
          <w:p w14:paraId="4B2CBC7A" w14:textId="77777777" w:rsidR="00B46EF1" w:rsidRDefault="00B46EF1" w:rsidP="002A3889">
            <w:pPr>
              <w:pStyle w:val="ListParagraph"/>
              <w:numPr>
                <w:ilvl w:val="1"/>
                <w:numId w:val="223"/>
              </w:numPr>
              <w:spacing w:before="120" w:line="360" w:lineRule="auto"/>
              <w:ind w:left="624" w:hanging="624"/>
              <w:contextualSpacing w:val="0"/>
            </w:pPr>
            <w:r w:rsidRPr="00B71509">
              <w:rPr>
                <w:rFonts w:ascii="Avenir LT 45 Book" w:eastAsia="Calibri" w:hAnsi="Avenir LT 45 Book" w:cs="Times New Roman"/>
                <w:sz w:val="20"/>
              </w:rPr>
              <w:t>Additions and alterations are single storey and located at the rear of the existing dwelling.  The existing building remains intact.</w:t>
            </w:r>
          </w:p>
        </w:tc>
      </w:tr>
      <w:tr w:rsidR="00B46EF1" w:rsidRPr="00842387" w14:paraId="3B4F0C64" w14:textId="77777777" w:rsidTr="00B71509">
        <w:tc>
          <w:tcPr>
            <w:tcW w:w="4395" w:type="dxa"/>
            <w:tcBorders>
              <w:top w:val="nil"/>
              <w:bottom w:val="nil"/>
            </w:tcBorders>
          </w:tcPr>
          <w:p w14:paraId="63B07FB4" w14:textId="77777777" w:rsidR="00B46EF1" w:rsidRPr="00B71509" w:rsidRDefault="00B46EF1" w:rsidP="002A3889">
            <w:pPr>
              <w:pStyle w:val="ListParagraph"/>
              <w:numPr>
                <w:ilvl w:val="0"/>
                <w:numId w:val="222"/>
              </w:numPr>
              <w:spacing w:before="120" w:line="360" w:lineRule="auto"/>
              <w:ind w:left="567" w:hanging="504"/>
              <w:contextualSpacing w:val="0"/>
              <w:rPr>
                <w:rFonts w:ascii="Avenir LT 45 Book" w:eastAsia="Calibri" w:hAnsi="Avenir LT 45 Book" w:cs="Times New Roman"/>
                <w:sz w:val="20"/>
              </w:rPr>
            </w:pPr>
            <w:r w:rsidRPr="00B71509">
              <w:rPr>
                <w:rFonts w:ascii="Avenir LT 45 Book" w:eastAsia="Calibri" w:hAnsi="Avenir LT 45 Book" w:cs="Times New Roman"/>
                <w:sz w:val="20"/>
              </w:rPr>
              <w:t>Form and bulk of new developments to be designed appropriately to the topography of the landscape.</w:t>
            </w:r>
          </w:p>
        </w:tc>
        <w:tc>
          <w:tcPr>
            <w:tcW w:w="4631" w:type="dxa"/>
            <w:tcBorders>
              <w:top w:val="nil"/>
              <w:bottom w:val="nil"/>
            </w:tcBorders>
          </w:tcPr>
          <w:p w14:paraId="05201840" w14:textId="77777777" w:rsidR="00B46EF1" w:rsidRDefault="00B46EF1" w:rsidP="002A3889">
            <w:pPr>
              <w:pStyle w:val="ListParagraph"/>
              <w:numPr>
                <w:ilvl w:val="1"/>
                <w:numId w:val="224"/>
              </w:numPr>
              <w:spacing w:line="360" w:lineRule="auto"/>
              <w:ind w:left="482" w:hanging="482"/>
              <w:contextualSpacing w:val="0"/>
            </w:pPr>
            <w:r w:rsidRPr="00B71509">
              <w:rPr>
                <w:rFonts w:ascii="Avenir LT 45 Book" w:eastAsia="Calibri" w:hAnsi="Avenir LT 45 Book" w:cs="Times New Roman"/>
                <w:sz w:val="20"/>
              </w:rPr>
              <w:t>Relevant drawings to demonstrate impact on the existing topography to be provided.  This is to include site plans, plans, elevations and sections.</w:t>
            </w:r>
          </w:p>
        </w:tc>
      </w:tr>
      <w:tr w:rsidR="00B46EF1" w:rsidRPr="00842387" w14:paraId="78A8DA71" w14:textId="77777777" w:rsidTr="00B71509">
        <w:tc>
          <w:tcPr>
            <w:tcW w:w="4395" w:type="dxa"/>
            <w:tcBorders>
              <w:top w:val="nil"/>
              <w:bottom w:val="nil"/>
            </w:tcBorders>
          </w:tcPr>
          <w:p w14:paraId="629B3A8F" w14:textId="77777777" w:rsidR="00B46EF1" w:rsidRDefault="00B46EF1" w:rsidP="008048CE">
            <w:pPr>
              <w:spacing w:before="120"/>
            </w:pPr>
          </w:p>
        </w:tc>
        <w:tc>
          <w:tcPr>
            <w:tcW w:w="4631" w:type="dxa"/>
            <w:tcBorders>
              <w:top w:val="nil"/>
              <w:bottom w:val="nil"/>
            </w:tcBorders>
          </w:tcPr>
          <w:p w14:paraId="78225ECE" w14:textId="77777777" w:rsidR="00B46EF1" w:rsidRPr="00B71509" w:rsidRDefault="00B46EF1" w:rsidP="002A3889">
            <w:pPr>
              <w:pStyle w:val="ListParagraph"/>
              <w:numPr>
                <w:ilvl w:val="1"/>
                <w:numId w:val="224"/>
              </w:numPr>
              <w:spacing w:line="360" w:lineRule="auto"/>
              <w:ind w:left="624" w:hanging="567"/>
              <w:contextualSpacing w:val="0"/>
              <w:rPr>
                <w:rFonts w:ascii="Avenir LT 45 Book" w:eastAsia="Calibri" w:hAnsi="Avenir LT 45 Book" w:cs="Times New Roman"/>
                <w:sz w:val="20"/>
              </w:rPr>
            </w:pPr>
            <w:r w:rsidRPr="00B71509">
              <w:rPr>
                <w:rFonts w:ascii="Avenir LT 45 Book" w:eastAsia="Calibri" w:hAnsi="Avenir LT 45 Book" w:cs="Times New Roman"/>
                <w:sz w:val="20"/>
              </w:rPr>
              <w:t>Two storey developments comply with the following:</w:t>
            </w:r>
          </w:p>
          <w:p w14:paraId="599C0363" w14:textId="77777777" w:rsidR="00B46EF1" w:rsidRPr="00B71509" w:rsidRDefault="00B46EF1" w:rsidP="002A3889">
            <w:pPr>
              <w:pStyle w:val="ListParagraph"/>
              <w:numPr>
                <w:ilvl w:val="0"/>
                <w:numId w:val="225"/>
              </w:numPr>
              <w:spacing w:line="360" w:lineRule="auto"/>
              <w:ind w:left="624" w:hanging="264"/>
              <w:contextualSpacing w:val="0"/>
              <w:rPr>
                <w:rFonts w:ascii="Avenir LT 45 Book" w:eastAsia="Calibri" w:hAnsi="Avenir LT 45 Book" w:cs="Times New Roman"/>
                <w:sz w:val="20"/>
              </w:rPr>
            </w:pPr>
            <w:r w:rsidRPr="00B71509">
              <w:rPr>
                <w:rFonts w:ascii="Avenir LT 45 Book" w:eastAsia="Calibri" w:hAnsi="Avenir LT 45 Book" w:cs="Times New Roman"/>
                <w:sz w:val="20"/>
              </w:rPr>
              <w:t>Reflect the immediate locality in terms of setbacks and form; and,</w:t>
            </w:r>
          </w:p>
          <w:p w14:paraId="513AE539" w14:textId="77777777" w:rsidR="00B46EF1" w:rsidRPr="00B71509" w:rsidRDefault="00B46EF1" w:rsidP="002A3889">
            <w:pPr>
              <w:pStyle w:val="ListParagraph"/>
              <w:numPr>
                <w:ilvl w:val="0"/>
                <w:numId w:val="225"/>
              </w:numPr>
              <w:spacing w:line="360" w:lineRule="auto"/>
              <w:ind w:left="624" w:hanging="264"/>
              <w:contextualSpacing w:val="0"/>
              <w:rPr>
                <w:rFonts w:ascii="Avenir LT 45 Book" w:eastAsia="Calibri" w:hAnsi="Avenir LT 45 Book" w:cs="Times New Roman"/>
                <w:sz w:val="20"/>
              </w:rPr>
            </w:pPr>
            <w:r w:rsidRPr="00B71509">
              <w:rPr>
                <w:rFonts w:ascii="Avenir LT 45 Book" w:eastAsia="Calibri" w:hAnsi="Avenir LT 45 Book" w:cs="Times New Roman"/>
                <w:sz w:val="20"/>
              </w:rPr>
              <w:t>They do not visually dominate the streetscape.</w:t>
            </w:r>
          </w:p>
          <w:p w14:paraId="5B78AA00" w14:textId="77777777" w:rsidR="00B46EF1" w:rsidRDefault="00B46EF1" w:rsidP="002A3889">
            <w:pPr>
              <w:pStyle w:val="ListParagraph"/>
              <w:numPr>
                <w:ilvl w:val="1"/>
                <w:numId w:val="224"/>
              </w:numPr>
              <w:spacing w:after="120" w:line="360" w:lineRule="auto"/>
              <w:ind w:left="624" w:hanging="567"/>
              <w:contextualSpacing w:val="0"/>
              <w:rPr>
                <w:rFonts w:cs="Arial"/>
              </w:rPr>
            </w:pPr>
            <w:r w:rsidRPr="00B71509">
              <w:rPr>
                <w:rFonts w:ascii="Avenir LT 45 Book" w:eastAsia="Calibri" w:hAnsi="Avenir LT 45 Book" w:cs="Arial"/>
                <w:sz w:val="20"/>
              </w:rPr>
              <w:t>Category ‘B’ provisions as set out within Table 3 – Maximum Building Heights of</w:t>
            </w:r>
            <w:r w:rsidRPr="002C4BFC">
              <w:rPr>
                <w:rFonts w:cs="Arial"/>
              </w:rPr>
              <w:t xml:space="preserve"> </w:t>
            </w:r>
            <w:r w:rsidRPr="00B71509">
              <w:rPr>
                <w:rFonts w:ascii="Avenir LT 45 Book" w:eastAsia="Calibri" w:hAnsi="Avenir LT 45 Book" w:cs="Arial"/>
                <w:sz w:val="20"/>
              </w:rPr>
              <w:t>the Residential Design Codes are</w:t>
            </w:r>
            <w:r w:rsidRPr="002C4BFC">
              <w:rPr>
                <w:rFonts w:cs="Arial"/>
              </w:rPr>
              <w:t xml:space="preserve"> </w:t>
            </w:r>
            <w:r w:rsidRPr="00B71509">
              <w:rPr>
                <w:rFonts w:ascii="Avenir LT 45 Book" w:eastAsia="Calibri" w:hAnsi="Avenir LT 45 Book" w:cs="Arial"/>
                <w:sz w:val="20"/>
              </w:rPr>
              <w:t>applicable as the ‘Acceptable Development’ standards where:</w:t>
            </w:r>
          </w:p>
          <w:p w14:paraId="3F1EAA3A" w14:textId="77777777" w:rsidR="00B46EF1" w:rsidRPr="00B71509" w:rsidRDefault="00B46EF1" w:rsidP="00B71509">
            <w:pPr>
              <w:pStyle w:val="ListParagraph"/>
              <w:spacing w:after="120" w:line="360" w:lineRule="auto"/>
              <w:ind w:left="624" w:hanging="425"/>
              <w:contextualSpacing w:val="0"/>
              <w:rPr>
                <w:rFonts w:ascii="Avenir LT 45 Book" w:eastAsia="Calibri" w:hAnsi="Avenir LT 45 Book" w:cs="Arial"/>
                <w:sz w:val="20"/>
              </w:rPr>
            </w:pPr>
            <w:r>
              <w:rPr>
                <w:rFonts w:cs="Arial"/>
              </w:rPr>
              <w:t>I.</w:t>
            </w:r>
            <w:r>
              <w:rPr>
                <w:rFonts w:cs="Arial"/>
              </w:rPr>
              <w:tab/>
            </w:r>
            <w:r w:rsidRPr="00B71509">
              <w:rPr>
                <w:rFonts w:ascii="Avenir LT 45 Book" w:eastAsia="Calibri" w:hAnsi="Avenir LT 45 Book" w:cs="Arial"/>
                <w:sz w:val="20"/>
              </w:rPr>
              <w:t xml:space="preserve">significant water views from neighbouring properties will not be </w:t>
            </w:r>
            <w:proofErr w:type="gramStart"/>
            <w:r w:rsidRPr="00B71509">
              <w:rPr>
                <w:rFonts w:ascii="Avenir LT 45 Book" w:eastAsia="Calibri" w:hAnsi="Avenir LT 45 Book" w:cs="Arial"/>
                <w:sz w:val="20"/>
              </w:rPr>
              <w:t>affected;</w:t>
            </w:r>
            <w:proofErr w:type="gramEnd"/>
          </w:p>
          <w:p w14:paraId="16753FF3" w14:textId="77777777" w:rsidR="00B46EF1" w:rsidRPr="00B71509" w:rsidRDefault="00B46EF1" w:rsidP="00B71509">
            <w:pPr>
              <w:pStyle w:val="ListParagraph"/>
              <w:spacing w:after="120" w:line="360" w:lineRule="auto"/>
              <w:ind w:left="624" w:hanging="425"/>
              <w:contextualSpacing w:val="0"/>
              <w:rPr>
                <w:rFonts w:ascii="Avenir LT 45 Book" w:eastAsia="Calibri" w:hAnsi="Avenir LT 45 Book" w:cs="Arial"/>
                <w:sz w:val="20"/>
              </w:rPr>
            </w:pPr>
            <w:r w:rsidRPr="00B71509">
              <w:rPr>
                <w:rFonts w:ascii="Avenir LT 45 Book" w:eastAsia="Calibri" w:hAnsi="Avenir LT 45 Book" w:cs="Arial"/>
                <w:sz w:val="20"/>
              </w:rPr>
              <w:lastRenderedPageBreak/>
              <w:t>ii.</w:t>
            </w:r>
            <w:r w:rsidRPr="00B71509">
              <w:rPr>
                <w:rFonts w:ascii="Avenir LT 45 Book" w:eastAsia="Calibri" w:hAnsi="Avenir LT 45 Book" w:cs="Arial"/>
                <w:sz w:val="20"/>
              </w:rPr>
              <w:tab/>
              <w:t xml:space="preserve">the ‘Acceptable Development’ standards of Residential Design Codes – Element 9 – Design for Climate and Element 8 – Privacy </w:t>
            </w:r>
            <w:proofErr w:type="gramStart"/>
            <w:r w:rsidRPr="00B71509">
              <w:rPr>
                <w:rFonts w:ascii="Avenir LT 45 Book" w:eastAsia="Calibri" w:hAnsi="Avenir LT 45 Book" w:cs="Arial"/>
                <w:sz w:val="20"/>
              </w:rPr>
              <w:t>are</w:t>
            </w:r>
            <w:proofErr w:type="gramEnd"/>
            <w:r w:rsidRPr="00B71509">
              <w:rPr>
                <w:rFonts w:ascii="Avenir LT 45 Book" w:eastAsia="Calibri" w:hAnsi="Avenir LT 45 Book" w:cs="Arial"/>
                <w:sz w:val="20"/>
              </w:rPr>
              <w:t xml:space="preserve"> met; and</w:t>
            </w:r>
          </w:p>
          <w:p w14:paraId="2B230EB1" w14:textId="77777777" w:rsidR="00B46EF1" w:rsidRPr="007E149B" w:rsidRDefault="00B46EF1" w:rsidP="00B71509">
            <w:pPr>
              <w:pStyle w:val="ListParagraph"/>
              <w:spacing w:after="120" w:line="360" w:lineRule="auto"/>
              <w:ind w:left="624" w:hanging="425"/>
              <w:contextualSpacing w:val="0"/>
            </w:pPr>
            <w:r w:rsidRPr="00B71509">
              <w:rPr>
                <w:rFonts w:ascii="Avenir LT 45 Book" w:eastAsia="Calibri" w:hAnsi="Avenir LT 45 Book" w:cs="Arial"/>
                <w:sz w:val="20"/>
              </w:rPr>
              <w:t>iii.</w:t>
            </w:r>
            <w:r w:rsidRPr="00B71509">
              <w:rPr>
                <w:rFonts w:ascii="Avenir LT 45 Book" w:eastAsia="Calibri" w:hAnsi="Avenir LT 45 Book" w:cs="Arial"/>
                <w:sz w:val="20"/>
              </w:rPr>
              <w:tab/>
              <w:t>the subject site is not a battle axe lot</w:t>
            </w:r>
            <w:r w:rsidRPr="002261DF">
              <w:rPr>
                <w:rFonts w:cs="Arial"/>
              </w:rPr>
              <w:t>.</w:t>
            </w:r>
          </w:p>
          <w:p w14:paraId="7AF765BA" w14:textId="77777777" w:rsidR="00B46EF1" w:rsidRPr="00B71509" w:rsidRDefault="00B46EF1" w:rsidP="002A3889">
            <w:pPr>
              <w:pStyle w:val="ListParagraph"/>
              <w:numPr>
                <w:ilvl w:val="1"/>
                <w:numId w:val="224"/>
              </w:numPr>
              <w:spacing w:line="360" w:lineRule="auto"/>
              <w:ind w:left="624" w:hanging="567"/>
              <w:contextualSpacing w:val="0"/>
              <w:rPr>
                <w:rFonts w:ascii="Avenir LT 45 Book" w:eastAsia="Calibri" w:hAnsi="Avenir LT 45 Book" w:cs="Arial"/>
                <w:sz w:val="20"/>
              </w:rPr>
            </w:pPr>
            <w:r w:rsidRPr="00B71509">
              <w:rPr>
                <w:rFonts w:ascii="Avenir LT 45 Book" w:eastAsia="Calibri" w:hAnsi="Avenir LT 45 Book" w:cs="Arial"/>
                <w:sz w:val="20"/>
              </w:rPr>
              <w:t>In localities where views are an important part of the amenity of the area and neighbours existing views are to be affected, or the subject site is a ‘battle-axe’ lot, then the maximum building heights are as follows:</w:t>
            </w:r>
          </w:p>
          <w:p w14:paraId="00069114" w14:textId="77777777" w:rsidR="00B46EF1" w:rsidRPr="00B71509" w:rsidRDefault="00B46EF1" w:rsidP="00B71509">
            <w:pPr>
              <w:pStyle w:val="ListParagraph"/>
              <w:spacing w:line="360" w:lineRule="auto"/>
              <w:ind w:left="908" w:hanging="284"/>
              <w:contextualSpacing w:val="0"/>
              <w:rPr>
                <w:rFonts w:ascii="Avenir LT 45 Book" w:eastAsia="Calibri" w:hAnsi="Avenir LT 45 Book" w:cs="Arial"/>
                <w:sz w:val="20"/>
              </w:rPr>
            </w:pPr>
            <w:r w:rsidRPr="002261DF">
              <w:rPr>
                <w:rFonts w:cs="Arial"/>
                <w:b/>
              </w:rPr>
              <w:t>..</w:t>
            </w:r>
            <w:r>
              <w:rPr>
                <w:rFonts w:cs="Arial"/>
              </w:rPr>
              <w:tab/>
            </w:r>
            <w:r w:rsidRPr="00B71509">
              <w:rPr>
                <w:rFonts w:ascii="Avenir LT 45 Book" w:eastAsia="Calibri" w:hAnsi="Avenir LT 45 Book" w:cs="Arial"/>
                <w:sz w:val="20"/>
              </w:rPr>
              <w:t>8.1m to the top of a pitched roof</w:t>
            </w:r>
          </w:p>
          <w:p w14:paraId="16F84D29" w14:textId="77777777" w:rsidR="00B46EF1" w:rsidRPr="00B71509" w:rsidRDefault="00B46EF1" w:rsidP="00B71509">
            <w:pPr>
              <w:pStyle w:val="ListParagraph"/>
              <w:spacing w:line="360" w:lineRule="auto"/>
              <w:ind w:left="908" w:hanging="284"/>
              <w:contextualSpacing w:val="0"/>
              <w:rPr>
                <w:rFonts w:ascii="Avenir LT 45 Book" w:eastAsia="Calibri" w:hAnsi="Avenir LT 45 Book" w:cs="Arial"/>
                <w:sz w:val="20"/>
              </w:rPr>
            </w:pPr>
            <w:r w:rsidRPr="00B71509">
              <w:rPr>
                <w:rFonts w:ascii="Avenir LT 45 Book" w:eastAsia="Calibri" w:hAnsi="Avenir LT 45 Book" w:cs="Arial"/>
                <w:sz w:val="20"/>
              </w:rPr>
              <w:t>..</w:t>
            </w:r>
            <w:r w:rsidRPr="00B71509">
              <w:rPr>
                <w:rFonts w:ascii="Avenir LT 45 Book" w:eastAsia="Calibri" w:hAnsi="Avenir LT 45 Book" w:cs="Arial"/>
                <w:sz w:val="20"/>
              </w:rPr>
              <w:tab/>
              <w:t>6.5m to the top of an external wall (concealed roof)</w:t>
            </w:r>
          </w:p>
          <w:p w14:paraId="4EB4EDC5" w14:textId="77777777" w:rsidR="00B46EF1" w:rsidRDefault="00B46EF1" w:rsidP="00B71509">
            <w:pPr>
              <w:pStyle w:val="ListParagraph"/>
              <w:spacing w:line="360" w:lineRule="auto"/>
              <w:ind w:left="908" w:hanging="284"/>
              <w:contextualSpacing w:val="0"/>
              <w:rPr>
                <w:rFonts w:cs="Arial"/>
              </w:rPr>
            </w:pPr>
            <w:r w:rsidRPr="00B71509">
              <w:rPr>
                <w:rFonts w:ascii="Avenir LT 45 Book" w:eastAsia="Calibri" w:hAnsi="Avenir LT 45 Book" w:cs="Arial"/>
                <w:sz w:val="20"/>
              </w:rPr>
              <w:t>..</w:t>
            </w:r>
            <w:r w:rsidRPr="00B71509">
              <w:rPr>
                <w:rFonts w:ascii="Avenir LT 45 Book" w:eastAsia="Calibri" w:hAnsi="Avenir LT 45 Book" w:cs="Arial"/>
                <w:sz w:val="20"/>
              </w:rPr>
              <w:tab/>
              <w:t>5.6m to the top of an external wall; and where the following apply</w:t>
            </w:r>
            <w:r>
              <w:rPr>
                <w:rFonts w:cs="Arial"/>
              </w:rPr>
              <w:t>.</w:t>
            </w:r>
          </w:p>
          <w:p w14:paraId="0E1277D4" w14:textId="77777777" w:rsidR="00B46EF1" w:rsidRPr="00B71509" w:rsidRDefault="00B46EF1" w:rsidP="00B71509">
            <w:pPr>
              <w:spacing w:line="360" w:lineRule="auto"/>
              <w:ind w:left="624" w:hanging="425"/>
              <w:rPr>
                <w:rFonts w:ascii="Avenir LT 45 Book" w:eastAsia="Calibri" w:hAnsi="Avenir LT 45 Book" w:cs="Arial"/>
                <w:sz w:val="20"/>
              </w:rPr>
            </w:pPr>
            <w:proofErr w:type="spellStart"/>
            <w:r>
              <w:rPr>
                <w:rFonts w:cs="Arial"/>
              </w:rPr>
              <w:t>i</w:t>
            </w:r>
            <w:proofErr w:type="spellEnd"/>
            <w:r>
              <w:rPr>
                <w:rFonts w:cs="Arial"/>
              </w:rPr>
              <w:t>.</w:t>
            </w:r>
            <w:r>
              <w:rPr>
                <w:rFonts w:cs="Arial"/>
              </w:rPr>
              <w:tab/>
            </w:r>
            <w:r w:rsidRPr="00B71509">
              <w:rPr>
                <w:rFonts w:ascii="Avenir LT 45 Book" w:eastAsia="Calibri" w:hAnsi="Avenir LT 45 Book" w:cs="Arial"/>
                <w:sz w:val="20"/>
              </w:rPr>
              <w:t xml:space="preserve">The proposal demonstrates design, bulk and scale that responds to adjacent development and the established character of the area or other site specific </w:t>
            </w:r>
            <w:proofErr w:type="gramStart"/>
            <w:r w:rsidRPr="00B71509">
              <w:rPr>
                <w:rFonts w:ascii="Avenir LT 45 Book" w:eastAsia="Calibri" w:hAnsi="Avenir LT 45 Book" w:cs="Arial"/>
                <w:sz w:val="20"/>
              </w:rPr>
              <w:t>circumstances;</w:t>
            </w:r>
            <w:proofErr w:type="gramEnd"/>
          </w:p>
          <w:p w14:paraId="758BB86F" w14:textId="77777777" w:rsidR="00B46EF1" w:rsidRPr="00B71509" w:rsidRDefault="00B46EF1" w:rsidP="00B71509">
            <w:pPr>
              <w:spacing w:line="360" w:lineRule="auto"/>
              <w:ind w:left="624" w:hanging="425"/>
              <w:rPr>
                <w:rFonts w:ascii="Avenir LT 45 Book" w:eastAsia="Calibri" w:hAnsi="Avenir LT 45 Book" w:cs="Arial"/>
                <w:sz w:val="20"/>
              </w:rPr>
            </w:pPr>
            <w:r w:rsidRPr="00B71509">
              <w:rPr>
                <w:rFonts w:ascii="Avenir LT 45 Book" w:eastAsia="Calibri" w:hAnsi="Avenir LT 45 Book" w:cs="Arial"/>
                <w:sz w:val="20"/>
              </w:rPr>
              <w:t>ii.</w:t>
            </w:r>
            <w:r w:rsidRPr="00B71509">
              <w:rPr>
                <w:rFonts w:ascii="Avenir LT 45 Book" w:eastAsia="Calibri" w:hAnsi="Avenir LT 45 Book" w:cs="Arial"/>
                <w:sz w:val="20"/>
              </w:rPr>
              <w:tab/>
              <w:t>The provision of a landscaping plan demonstrating a minimum of 50% of the effective lot area being landscaped; and,</w:t>
            </w:r>
          </w:p>
          <w:p w14:paraId="0C2F71EA" w14:textId="77777777" w:rsidR="00B46EF1" w:rsidRPr="007E149B" w:rsidRDefault="00B46EF1" w:rsidP="00B71509">
            <w:pPr>
              <w:spacing w:line="360" w:lineRule="auto"/>
              <w:ind w:left="624" w:hanging="425"/>
              <w:rPr>
                <w:rFonts w:cs="Times New Roman"/>
              </w:rPr>
            </w:pPr>
            <w:r w:rsidRPr="00B71509">
              <w:rPr>
                <w:rFonts w:ascii="Avenir LT 45 Book" w:eastAsia="Calibri" w:hAnsi="Avenir LT 45 Book" w:cs="Arial"/>
                <w:sz w:val="20"/>
              </w:rPr>
              <w:t>iii.</w:t>
            </w:r>
            <w:r w:rsidRPr="00B71509">
              <w:rPr>
                <w:rFonts w:ascii="Avenir LT 45 Book" w:eastAsia="Calibri" w:hAnsi="Avenir LT 45 Book" w:cs="Arial"/>
                <w:sz w:val="20"/>
              </w:rPr>
              <w:tab/>
              <w:t>Subject to the ‘Acceptable Development’ standards of Residential Design Codes – Element 9 – Design for Climate and Element 8 – Privacy being met</w:t>
            </w:r>
            <w:r w:rsidRPr="007E149B">
              <w:rPr>
                <w:rFonts w:cs="Arial"/>
              </w:rPr>
              <w:t>.</w:t>
            </w:r>
          </w:p>
          <w:p w14:paraId="1331CD97" w14:textId="77777777" w:rsidR="00B46EF1" w:rsidRPr="00D920B9" w:rsidRDefault="00B46EF1" w:rsidP="002A3889">
            <w:pPr>
              <w:pStyle w:val="ListParagraph"/>
              <w:numPr>
                <w:ilvl w:val="1"/>
                <w:numId w:val="224"/>
              </w:numPr>
              <w:spacing w:line="360" w:lineRule="auto"/>
              <w:ind w:left="624" w:hanging="567"/>
              <w:contextualSpacing w:val="0"/>
              <w:rPr>
                <w:rFonts w:cs="Arial"/>
              </w:rPr>
            </w:pPr>
            <w:r w:rsidRPr="00B71509">
              <w:rPr>
                <w:rFonts w:ascii="Avenir LT 45 Book" w:eastAsia="Calibri" w:hAnsi="Avenir LT 45 Book" w:cs="Arial"/>
                <w:sz w:val="20"/>
              </w:rPr>
              <w:t>Category ‘A’ provisions as set out within Table 3 – Maximum Building Heights of the Residential Design Codes are applicable for development which does not meet the requirements of A2.3 and A2.4 above</w:t>
            </w:r>
            <w:r>
              <w:rPr>
                <w:rFonts w:cs="Arial"/>
              </w:rPr>
              <w:t>.</w:t>
            </w:r>
          </w:p>
        </w:tc>
      </w:tr>
    </w:tbl>
    <w:p w14:paraId="00D110EC" w14:textId="77777777" w:rsidR="00B46EF1" w:rsidRDefault="00F333C3" w:rsidP="00B71509">
      <w:pPr>
        <w:pStyle w:val="Heading5"/>
      </w:pPr>
      <w:r>
        <w:lastRenderedPageBreak/>
        <w:t>3.7.18.4.2</w:t>
      </w:r>
      <w:r>
        <w:tab/>
      </w:r>
      <w:proofErr w:type="spellStart"/>
      <w:r w:rsidR="00B46EF1" w:rsidRPr="00842387">
        <w:t>Verandahs</w:t>
      </w:r>
      <w:proofErr w:type="spellEnd"/>
      <w:r w:rsidR="00B46EF1" w:rsidRPr="00842387">
        <w:t xml:space="preserve"> and Porches</w:t>
      </w:r>
    </w:p>
    <w:p w14:paraId="6F82E88D" w14:textId="77777777" w:rsidR="00B46EF1" w:rsidRDefault="00B46EF1" w:rsidP="00B46EF1">
      <w:pPr>
        <w:pStyle w:val="Heading5"/>
        <w:ind w:left="1418" w:hanging="1418"/>
      </w:pPr>
      <w:r>
        <w:t>3.7.18.4.2.1</w:t>
      </w:r>
      <w:r>
        <w:tab/>
        <w:t>Statement</w:t>
      </w:r>
    </w:p>
    <w:p w14:paraId="0C20599F" w14:textId="77777777" w:rsidR="00B46EF1" w:rsidRDefault="00B46EF1" w:rsidP="00B46EF1">
      <w:pPr>
        <w:pStyle w:val="Heading5"/>
        <w:ind w:left="1418" w:hanging="1418"/>
      </w:pPr>
      <w:r>
        <w:t>3.7.18.4.2.1.1</w:t>
      </w:r>
      <w:r>
        <w:tab/>
        <w:t>Riverside South</w:t>
      </w:r>
    </w:p>
    <w:p w14:paraId="501AD318" w14:textId="77777777" w:rsidR="00B46EF1" w:rsidRPr="00F333C3" w:rsidRDefault="00B46EF1" w:rsidP="00F333C3">
      <w:pPr>
        <w:spacing w:line="360" w:lineRule="auto"/>
        <w:rPr>
          <w:rFonts w:ascii="Avenir LT 45 Book" w:eastAsia="Calibri" w:hAnsi="Avenir LT 45 Book"/>
          <w:i/>
          <w:sz w:val="20"/>
          <w:szCs w:val="20"/>
        </w:rPr>
      </w:pPr>
      <w:proofErr w:type="spellStart"/>
      <w:r w:rsidRPr="00F333C3">
        <w:rPr>
          <w:rFonts w:ascii="Avenir LT 45 Book" w:eastAsia="Calibri" w:hAnsi="Avenir LT 45 Book"/>
          <w:i/>
          <w:sz w:val="20"/>
          <w:szCs w:val="20"/>
        </w:rPr>
        <w:t>Verandahs</w:t>
      </w:r>
      <w:proofErr w:type="spellEnd"/>
      <w:r w:rsidRPr="00F333C3">
        <w:rPr>
          <w:rFonts w:ascii="Avenir LT 45 Book" w:eastAsia="Calibri" w:hAnsi="Avenir LT 45 Book"/>
          <w:i/>
          <w:sz w:val="20"/>
          <w:szCs w:val="20"/>
        </w:rPr>
        <w:t xml:space="preserve"> and porches are a strong contributor to the character of the Riverside South and should be encouraged in new developments.  This feature is an essential unifying element that contributes to the streetscape character of both Precincts.  </w:t>
      </w:r>
    </w:p>
    <w:p w14:paraId="3021319C" w14:textId="77777777" w:rsidR="00B46EF1" w:rsidRDefault="00B46EF1" w:rsidP="00B46EF1">
      <w:pPr>
        <w:rPr>
          <w:szCs w:val="20"/>
        </w:rPr>
      </w:pPr>
      <w:r>
        <w:rPr>
          <w:noProof/>
          <w:szCs w:val="20"/>
          <w:lang w:eastAsia="en-AU"/>
        </w:rPr>
        <w:lastRenderedPageBreak/>
        <w:drawing>
          <wp:inline distT="0" distB="0" distL="0" distR="0" wp14:anchorId="75A805B1" wp14:editId="49EF5FAC">
            <wp:extent cx="2524125" cy="1800225"/>
            <wp:effectExtent l="19050" t="0" r="9525" b="0"/>
            <wp:docPr id="107" name="Picture 44" descr="Z:\2011 JOBS\11206-EAST FREMANTLE GUIDELINES\11206-PHOTOS\PROCESSED\RIVERSIDE\27 PRESTON POINT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2011 JOBS\11206-EAST FREMANTLE GUIDELINES\11206-PHOTOS\PROCESSED\RIVERSIDE\27 PRESTON POINT ROAD.jpg"/>
                    <pic:cNvPicPr>
                      <a:picLocks noChangeAspect="1" noChangeArrowheads="1"/>
                    </pic:cNvPicPr>
                  </pic:nvPicPr>
                  <pic:blipFill>
                    <a:blip r:embed="rId261"/>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rPr>
          <w:szCs w:val="20"/>
        </w:rPr>
        <w:t xml:space="preserve">      </w:t>
      </w:r>
      <w:r>
        <w:rPr>
          <w:noProof/>
          <w:szCs w:val="20"/>
          <w:lang w:eastAsia="en-AU"/>
        </w:rPr>
        <w:drawing>
          <wp:inline distT="0" distB="0" distL="0" distR="0" wp14:anchorId="7F36136F" wp14:editId="5894943D">
            <wp:extent cx="2524125" cy="1800225"/>
            <wp:effectExtent l="19050" t="0" r="9525" b="0"/>
            <wp:docPr id="108" name="Picture 45" descr="Z:\2011 JOBS\11206-EAST FREMANTLE GUIDELINES\11206-PHOTOS\PROCESSED\RIVERSIDE\5 PRESTON POINT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2011 JOBS\11206-EAST FREMANTLE GUIDELINES\11206-PHOTOS\PROCESSED\RIVERSIDE\5 PRESTON POINT ROAD.jpg"/>
                    <pic:cNvPicPr>
                      <a:picLocks noChangeAspect="1" noChangeArrowheads="1"/>
                    </pic:cNvPicPr>
                  </pic:nvPicPr>
                  <pic:blipFill>
                    <a:blip r:embed="rId262"/>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04790B1D" w14:textId="77777777" w:rsidR="00B46EF1" w:rsidRDefault="00B46EF1" w:rsidP="00B46EF1">
      <w:pPr>
        <w:pStyle w:val="Heading5"/>
        <w:ind w:left="1418" w:hanging="1418"/>
      </w:pPr>
      <w:r>
        <w:t>3.7.18.4.2.1.2</w:t>
      </w:r>
      <w:r>
        <w:tab/>
        <w:t>Riverside North</w:t>
      </w:r>
    </w:p>
    <w:p w14:paraId="32ABF80E" w14:textId="77777777" w:rsidR="00B46EF1" w:rsidRDefault="00B46EF1" w:rsidP="00B46EF1">
      <w:pPr>
        <w:rPr>
          <w:i/>
          <w:szCs w:val="20"/>
        </w:rPr>
      </w:pPr>
      <w:proofErr w:type="spellStart"/>
      <w:r w:rsidRPr="00F333C3">
        <w:rPr>
          <w:rFonts w:ascii="Avenir LT 45 Book" w:eastAsia="Calibri" w:hAnsi="Avenir LT 45 Book"/>
          <w:i/>
          <w:sz w:val="20"/>
          <w:szCs w:val="20"/>
        </w:rPr>
        <w:t>Verandahs</w:t>
      </w:r>
      <w:proofErr w:type="spellEnd"/>
      <w:r w:rsidRPr="00F333C3">
        <w:rPr>
          <w:rFonts w:ascii="Avenir LT 45 Book" w:eastAsia="Calibri" w:hAnsi="Avenir LT 45 Book"/>
          <w:i/>
          <w:sz w:val="20"/>
          <w:szCs w:val="20"/>
        </w:rPr>
        <w:t xml:space="preserve"> and porches do not contribute to the character of Riverside North and are not required in new developments</w:t>
      </w:r>
      <w:r w:rsidRPr="0035785B">
        <w:rPr>
          <w:i/>
          <w:szCs w:val="20"/>
        </w:rPr>
        <w:t xml:space="preserve">.  </w:t>
      </w:r>
    </w:p>
    <w:p w14:paraId="0A58047C" w14:textId="77777777" w:rsidR="00B46EF1" w:rsidRDefault="00B46EF1" w:rsidP="007759BD">
      <w:pPr>
        <w:pStyle w:val="Heading5"/>
        <w:spacing w:before="360" w:after="120"/>
        <w:ind w:left="1418" w:hanging="1418"/>
      </w:pPr>
      <w:r>
        <w:t>3.7.18.4.2.2</w:t>
      </w:r>
      <w:r>
        <w:tab/>
        <w:t>Desired Development Outcomes</w:t>
      </w:r>
    </w:p>
    <w:p w14:paraId="6DB0C2E4" w14:textId="77777777" w:rsidR="00B46EF1" w:rsidRPr="00F333C3" w:rsidRDefault="00B46EF1" w:rsidP="002A3889">
      <w:pPr>
        <w:pStyle w:val="ListParagraph"/>
        <w:numPr>
          <w:ilvl w:val="0"/>
          <w:numId w:val="226"/>
        </w:numPr>
        <w:spacing w:line="360" w:lineRule="auto"/>
        <w:rPr>
          <w:rFonts w:ascii="Avenir LT 45 Book" w:eastAsia="Calibri" w:hAnsi="Avenir LT 45 Book" w:cs="Times New Roman"/>
          <w:sz w:val="20"/>
        </w:rPr>
      </w:pPr>
      <w:proofErr w:type="spellStart"/>
      <w:r w:rsidRPr="00F333C3">
        <w:rPr>
          <w:rFonts w:ascii="Avenir LT 45 Book" w:eastAsia="Calibri" w:hAnsi="Avenir LT 45 Book" w:cs="Times New Roman"/>
          <w:sz w:val="20"/>
        </w:rPr>
        <w:t>Verandahs</w:t>
      </w:r>
      <w:proofErr w:type="spellEnd"/>
      <w:r w:rsidRPr="00F333C3">
        <w:rPr>
          <w:rFonts w:ascii="Avenir LT 45 Book" w:eastAsia="Calibri" w:hAnsi="Avenir LT 45 Book" w:cs="Times New Roman"/>
          <w:sz w:val="20"/>
        </w:rPr>
        <w:t xml:space="preserve"> and porches to be encouraged in new developments in Riverside South.  They should complement the immediate locality; and,</w:t>
      </w:r>
    </w:p>
    <w:p w14:paraId="3131875C" w14:textId="77777777" w:rsidR="00B46EF1" w:rsidRPr="00F820EB" w:rsidRDefault="00B46EF1" w:rsidP="002A3889">
      <w:pPr>
        <w:pStyle w:val="ListParagraph"/>
        <w:numPr>
          <w:ilvl w:val="0"/>
          <w:numId w:val="226"/>
        </w:numPr>
        <w:spacing w:line="360" w:lineRule="auto"/>
      </w:pPr>
      <w:r w:rsidRPr="00F333C3">
        <w:rPr>
          <w:rFonts w:ascii="Avenir LT 45 Book" w:eastAsia="Calibri" w:hAnsi="Avenir LT 45 Book" w:cs="Times New Roman"/>
          <w:sz w:val="20"/>
        </w:rPr>
        <w:t xml:space="preserve">Existing </w:t>
      </w:r>
      <w:proofErr w:type="spellStart"/>
      <w:r w:rsidRPr="00F333C3">
        <w:rPr>
          <w:rFonts w:ascii="Avenir LT 45 Book" w:eastAsia="Calibri" w:hAnsi="Avenir LT 45 Book" w:cs="Times New Roman"/>
          <w:sz w:val="20"/>
        </w:rPr>
        <w:t>verandahs</w:t>
      </w:r>
      <w:proofErr w:type="spellEnd"/>
      <w:r w:rsidRPr="00F333C3">
        <w:rPr>
          <w:rFonts w:ascii="Avenir LT 45 Book" w:eastAsia="Calibri" w:hAnsi="Avenir LT 45 Book" w:cs="Times New Roman"/>
          <w:sz w:val="20"/>
        </w:rPr>
        <w:t xml:space="preserve"> and porches should be conserved, and missing </w:t>
      </w:r>
      <w:proofErr w:type="spellStart"/>
      <w:r w:rsidRPr="00F333C3">
        <w:rPr>
          <w:rFonts w:ascii="Avenir LT 45 Book" w:eastAsia="Calibri" w:hAnsi="Avenir LT 45 Book" w:cs="Times New Roman"/>
          <w:sz w:val="20"/>
        </w:rPr>
        <w:t>verandahs</w:t>
      </w:r>
      <w:proofErr w:type="spellEnd"/>
      <w:r w:rsidRPr="00F333C3">
        <w:rPr>
          <w:rFonts w:ascii="Avenir LT 45 Book" w:eastAsia="Calibri" w:hAnsi="Avenir LT 45 Book" w:cs="Times New Roman"/>
          <w:sz w:val="20"/>
        </w:rPr>
        <w:t xml:space="preserve"> reinstated</w:t>
      </w:r>
      <w:r w:rsidRPr="00842387">
        <w:rPr>
          <w:szCs w:val="20"/>
        </w:rPr>
        <w:t>.</w:t>
      </w:r>
    </w:p>
    <w:p w14:paraId="5422A8DD" w14:textId="77777777" w:rsidR="00B46EF1" w:rsidRDefault="00B46EF1" w:rsidP="00B46EF1">
      <w:pPr>
        <w:pStyle w:val="Heading5"/>
        <w:ind w:left="1418" w:hanging="1418"/>
      </w:pPr>
      <w:r>
        <w:t>3.7.18.4.2.3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8"/>
        <w:gridCol w:w="4518"/>
      </w:tblGrid>
      <w:tr w:rsidR="00B46EF1" w:rsidRPr="00842387" w14:paraId="6AC16C4F" w14:textId="77777777" w:rsidTr="008048CE">
        <w:tc>
          <w:tcPr>
            <w:tcW w:w="4621" w:type="dxa"/>
          </w:tcPr>
          <w:p w14:paraId="50B51B53"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4EE60E5A" w14:textId="77777777" w:rsidR="00B46EF1" w:rsidRDefault="00B46EF1" w:rsidP="008048CE">
            <w:r w:rsidRPr="00842387">
              <w:rPr>
                <w:rFonts w:ascii="Avenir LT 65 Medium" w:hAnsi="Avenir LT 65 Medium"/>
              </w:rPr>
              <w:t>Acceptable Development Provisions</w:t>
            </w:r>
          </w:p>
        </w:tc>
      </w:tr>
      <w:tr w:rsidR="00B46EF1" w:rsidRPr="00842387" w14:paraId="31556F6B" w14:textId="77777777" w:rsidTr="008048CE">
        <w:tc>
          <w:tcPr>
            <w:tcW w:w="4621" w:type="dxa"/>
            <w:tcBorders>
              <w:bottom w:val="nil"/>
            </w:tcBorders>
          </w:tcPr>
          <w:p w14:paraId="1964F5D5" w14:textId="77777777" w:rsidR="00B46EF1" w:rsidRDefault="00B46EF1" w:rsidP="008048CE">
            <w:pPr>
              <w:spacing w:before="120"/>
              <w:rPr>
                <w:rFonts w:ascii="Avenir LT 65 Medium" w:hAnsi="Avenir LT 65 Medium"/>
              </w:rPr>
            </w:pPr>
            <w:r w:rsidRPr="00842387">
              <w:rPr>
                <w:rFonts w:ascii="Avenir LT 65 Medium" w:hAnsi="Avenir LT 65 Medium"/>
              </w:rPr>
              <w:t>Riverside South</w:t>
            </w:r>
          </w:p>
          <w:p w14:paraId="5137ABC4" w14:textId="77777777" w:rsidR="00B46EF1" w:rsidRPr="00F333C3" w:rsidRDefault="00B46EF1" w:rsidP="002A3889">
            <w:pPr>
              <w:pStyle w:val="ListParagraph"/>
              <w:numPr>
                <w:ilvl w:val="1"/>
                <w:numId w:val="227"/>
              </w:numPr>
              <w:spacing w:before="120" w:line="360" w:lineRule="auto"/>
              <w:ind w:left="709" w:hanging="646"/>
              <w:contextualSpacing w:val="0"/>
              <w:rPr>
                <w:rFonts w:ascii="Avenir LT 45 Book" w:eastAsia="Calibri" w:hAnsi="Avenir LT 45 Book" w:cs="Times New Roman"/>
                <w:sz w:val="20"/>
              </w:rPr>
            </w:pPr>
            <w:r w:rsidRPr="00F333C3">
              <w:rPr>
                <w:rFonts w:ascii="Avenir LT 45 Book" w:eastAsia="Calibri" w:hAnsi="Avenir LT 45 Book" w:cs="Times New Roman"/>
                <w:sz w:val="20"/>
              </w:rPr>
              <w:t xml:space="preserve">The </w:t>
            </w:r>
            <w:proofErr w:type="gramStart"/>
            <w:r w:rsidRPr="00F333C3">
              <w:rPr>
                <w:rFonts w:ascii="Avenir LT 45 Book" w:eastAsia="Calibri" w:hAnsi="Avenir LT 45 Book" w:cs="Times New Roman"/>
                <w:sz w:val="20"/>
              </w:rPr>
              <w:t>principle</w:t>
            </w:r>
            <w:proofErr w:type="gramEnd"/>
            <w:r w:rsidRPr="00F333C3">
              <w:rPr>
                <w:rFonts w:ascii="Avenir LT 45 Book" w:eastAsia="Calibri" w:hAnsi="Avenir LT 45 Book" w:cs="Times New Roman"/>
                <w:sz w:val="20"/>
              </w:rPr>
              <w:t xml:space="preserve"> façade and main entrance of a new building should address the street in a manner that reflects the predominant character of the traditional development in the immediate locality.</w:t>
            </w:r>
          </w:p>
          <w:p w14:paraId="5FC571AA" w14:textId="77777777" w:rsidR="00B46EF1" w:rsidRDefault="00B46EF1" w:rsidP="002A3889">
            <w:pPr>
              <w:pStyle w:val="ListParagraph"/>
              <w:numPr>
                <w:ilvl w:val="1"/>
                <w:numId w:val="227"/>
              </w:numPr>
              <w:spacing w:before="120" w:line="360" w:lineRule="auto"/>
              <w:ind w:left="709" w:hanging="646"/>
              <w:contextualSpacing w:val="0"/>
              <w:rPr>
                <w:rFonts w:ascii="Avenir LT 45 Book" w:eastAsia="Calibri" w:hAnsi="Avenir LT 45 Book" w:cs="Times New Roman"/>
                <w:sz w:val="20"/>
              </w:rPr>
            </w:pPr>
            <w:r w:rsidRPr="00F333C3">
              <w:rPr>
                <w:rFonts w:ascii="Avenir LT 45 Book" w:eastAsia="Calibri" w:hAnsi="Avenir LT 45 Book" w:cs="Times New Roman"/>
                <w:sz w:val="20"/>
              </w:rPr>
              <w:t>Contributory buildings retain their primary access and conserve the</w:t>
            </w:r>
            <w:r w:rsidRPr="00842387">
              <w:t xml:space="preserve"> </w:t>
            </w:r>
            <w:r w:rsidRPr="00F333C3">
              <w:rPr>
                <w:rFonts w:ascii="Avenir LT 45 Book" w:eastAsia="Calibri" w:hAnsi="Avenir LT 45 Book" w:cs="Times New Roman"/>
                <w:sz w:val="20"/>
              </w:rPr>
              <w:t xml:space="preserve">traditional detailing of </w:t>
            </w:r>
            <w:proofErr w:type="spellStart"/>
            <w:r w:rsidRPr="00F333C3">
              <w:rPr>
                <w:rFonts w:ascii="Avenir LT 45 Book" w:eastAsia="Calibri" w:hAnsi="Avenir LT 45 Book" w:cs="Times New Roman"/>
                <w:sz w:val="20"/>
              </w:rPr>
              <w:t>verandahs</w:t>
            </w:r>
            <w:proofErr w:type="spellEnd"/>
            <w:r w:rsidRPr="00F333C3">
              <w:rPr>
                <w:rFonts w:ascii="Avenir LT 45 Book" w:eastAsia="Calibri" w:hAnsi="Avenir LT 45 Book" w:cs="Times New Roman"/>
                <w:sz w:val="20"/>
              </w:rPr>
              <w:t xml:space="preserve"> and porches.</w:t>
            </w:r>
          </w:p>
          <w:p w14:paraId="34A68371" w14:textId="77777777" w:rsidR="00F333C3" w:rsidRPr="00F333C3" w:rsidRDefault="00F333C3" w:rsidP="00F333C3">
            <w:pPr>
              <w:spacing w:before="120" w:line="360" w:lineRule="auto"/>
              <w:rPr>
                <w:rFonts w:ascii="Avenir LT 45 Book" w:eastAsia="Calibri" w:hAnsi="Avenir LT 45 Book" w:cs="Times New Roman"/>
                <w:sz w:val="20"/>
              </w:rPr>
            </w:pPr>
          </w:p>
          <w:p w14:paraId="730D431D" w14:textId="77777777" w:rsidR="00B46EF1" w:rsidRDefault="00B46EF1" w:rsidP="002A3889">
            <w:pPr>
              <w:pStyle w:val="ListParagraph"/>
              <w:numPr>
                <w:ilvl w:val="1"/>
                <w:numId w:val="227"/>
              </w:numPr>
              <w:spacing w:before="120" w:line="360" w:lineRule="auto"/>
              <w:ind w:left="709" w:hanging="646"/>
              <w:contextualSpacing w:val="0"/>
            </w:pPr>
            <w:r w:rsidRPr="00F333C3">
              <w:rPr>
                <w:rFonts w:ascii="Avenir LT 45 Book" w:eastAsia="Calibri" w:hAnsi="Avenir LT 45 Book" w:cs="Times New Roman"/>
                <w:sz w:val="20"/>
              </w:rPr>
              <w:t xml:space="preserve">Missing </w:t>
            </w:r>
            <w:proofErr w:type="spellStart"/>
            <w:r w:rsidRPr="00F333C3">
              <w:rPr>
                <w:rFonts w:ascii="Avenir LT 45 Book" w:eastAsia="Calibri" w:hAnsi="Avenir LT 45 Book" w:cs="Times New Roman"/>
                <w:sz w:val="20"/>
              </w:rPr>
              <w:t>verandahs</w:t>
            </w:r>
            <w:proofErr w:type="spellEnd"/>
            <w:r w:rsidRPr="00F333C3">
              <w:rPr>
                <w:rFonts w:ascii="Avenir LT 45 Book" w:eastAsia="Calibri" w:hAnsi="Avenir LT 45 Book" w:cs="Times New Roman"/>
                <w:sz w:val="20"/>
              </w:rPr>
              <w:t xml:space="preserve"> to be reinstated</w:t>
            </w:r>
            <w:r w:rsidRPr="00842387">
              <w:t>.</w:t>
            </w:r>
          </w:p>
        </w:tc>
        <w:tc>
          <w:tcPr>
            <w:tcW w:w="4621" w:type="dxa"/>
            <w:tcBorders>
              <w:bottom w:val="nil"/>
            </w:tcBorders>
          </w:tcPr>
          <w:p w14:paraId="5ED4B129" w14:textId="77777777" w:rsidR="00B46EF1" w:rsidRDefault="00B46EF1" w:rsidP="008048CE">
            <w:pPr>
              <w:spacing w:before="120"/>
              <w:rPr>
                <w:rFonts w:ascii="Avenir LT 65 Medium" w:hAnsi="Avenir LT 65 Medium"/>
              </w:rPr>
            </w:pPr>
            <w:r w:rsidRPr="00842387">
              <w:rPr>
                <w:rFonts w:ascii="Avenir LT 65 Medium" w:hAnsi="Avenir LT 65 Medium"/>
              </w:rPr>
              <w:t>Riverside South</w:t>
            </w:r>
          </w:p>
          <w:p w14:paraId="209D5507" w14:textId="77777777" w:rsidR="00B46EF1" w:rsidRPr="00F333C3" w:rsidRDefault="00B46EF1" w:rsidP="002A3889">
            <w:pPr>
              <w:pStyle w:val="ListParagraph"/>
              <w:numPr>
                <w:ilvl w:val="1"/>
                <w:numId w:val="228"/>
              </w:numPr>
              <w:spacing w:before="120" w:line="360" w:lineRule="auto"/>
              <w:ind w:left="624" w:hanging="567"/>
              <w:contextualSpacing w:val="0"/>
              <w:rPr>
                <w:rFonts w:ascii="Avenir LT 45 Book" w:eastAsia="Calibri" w:hAnsi="Avenir LT 45 Book" w:cs="Times New Roman"/>
                <w:sz w:val="20"/>
              </w:rPr>
            </w:pPr>
            <w:r w:rsidRPr="00F333C3">
              <w:rPr>
                <w:rFonts w:ascii="Avenir LT 45 Book" w:eastAsia="Calibri" w:hAnsi="Avenir LT 45 Book" w:cs="Times New Roman"/>
                <w:sz w:val="20"/>
              </w:rPr>
              <w:t xml:space="preserve">New developments to include a </w:t>
            </w:r>
            <w:proofErr w:type="spellStart"/>
            <w:r w:rsidRPr="00F333C3">
              <w:rPr>
                <w:rFonts w:ascii="Avenir LT 45 Book" w:eastAsia="Calibri" w:hAnsi="Avenir LT 45 Book" w:cs="Times New Roman"/>
                <w:sz w:val="20"/>
              </w:rPr>
              <w:t>verandah</w:t>
            </w:r>
            <w:proofErr w:type="spellEnd"/>
            <w:r w:rsidRPr="00F333C3">
              <w:rPr>
                <w:rFonts w:ascii="Avenir LT 45 Book" w:eastAsia="Calibri" w:hAnsi="Avenir LT 45 Book" w:cs="Times New Roman"/>
                <w:sz w:val="20"/>
              </w:rPr>
              <w:t xml:space="preserve"> or porch that address the primary street and comprises the primary access to the building.</w:t>
            </w:r>
          </w:p>
          <w:p w14:paraId="4ED3ACEF" w14:textId="77777777" w:rsidR="00B46EF1" w:rsidRPr="00F333C3" w:rsidRDefault="00B46EF1" w:rsidP="002A3889">
            <w:pPr>
              <w:pStyle w:val="ListParagraph"/>
              <w:numPr>
                <w:ilvl w:val="1"/>
                <w:numId w:val="228"/>
              </w:numPr>
              <w:spacing w:before="120" w:line="360" w:lineRule="auto"/>
              <w:ind w:left="624" w:hanging="567"/>
              <w:contextualSpacing w:val="0"/>
            </w:pPr>
            <w:r w:rsidRPr="00F333C3">
              <w:rPr>
                <w:rFonts w:ascii="Avenir LT 45 Book" w:eastAsia="Calibri" w:hAnsi="Avenir LT 45 Book" w:cs="Times New Roman"/>
                <w:sz w:val="20"/>
              </w:rPr>
              <w:t xml:space="preserve">Additions and alterations to a contributory building to retain or reinstate the existing </w:t>
            </w:r>
            <w:proofErr w:type="spellStart"/>
            <w:r w:rsidRPr="00F333C3">
              <w:rPr>
                <w:rFonts w:ascii="Avenir LT 45 Book" w:eastAsia="Calibri" w:hAnsi="Avenir LT 45 Book" w:cs="Times New Roman"/>
                <w:sz w:val="20"/>
              </w:rPr>
              <w:t>verandah</w:t>
            </w:r>
            <w:proofErr w:type="spellEnd"/>
            <w:r w:rsidRPr="00F333C3">
              <w:rPr>
                <w:rFonts w:ascii="Avenir LT 45 Book" w:eastAsia="Calibri" w:hAnsi="Avenir LT 45 Book" w:cs="Times New Roman"/>
                <w:sz w:val="20"/>
              </w:rPr>
              <w:t xml:space="preserve"> or porch.  Where appropriate and information</w:t>
            </w:r>
            <w:r w:rsidRPr="00842387">
              <w:t xml:space="preserve"> </w:t>
            </w:r>
            <w:r w:rsidRPr="00F333C3">
              <w:rPr>
                <w:rFonts w:ascii="Avenir LT 45 Book" w:eastAsia="Calibri" w:hAnsi="Avenir LT 45 Book" w:cs="Times New Roman"/>
                <w:sz w:val="20"/>
              </w:rPr>
              <w:t>available restore/reinstate their original detailing.</w:t>
            </w:r>
          </w:p>
          <w:p w14:paraId="299E19ED" w14:textId="77777777" w:rsidR="00F333C3" w:rsidRDefault="00F333C3" w:rsidP="00F333C3">
            <w:pPr>
              <w:spacing w:before="120" w:line="360" w:lineRule="auto"/>
            </w:pPr>
          </w:p>
        </w:tc>
      </w:tr>
      <w:tr w:rsidR="00B46EF1" w:rsidRPr="00842387" w14:paraId="0E395498" w14:textId="77777777" w:rsidTr="008048CE">
        <w:tc>
          <w:tcPr>
            <w:tcW w:w="4621" w:type="dxa"/>
            <w:tcBorders>
              <w:top w:val="nil"/>
              <w:bottom w:val="nil"/>
            </w:tcBorders>
          </w:tcPr>
          <w:p w14:paraId="35A018F0" w14:textId="77777777" w:rsidR="00B46EF1" w:rsidRDefault="00B46EF1" w:rsidP="008048CE">
            <w:pPr>
              <w:spacing w:before="120"/>
              <w:rPr>
                <w:rFonts w:ascii="Avenir LT 65 Medium" w:hAnsi="Avenir LT 65 Medium"/>
              </w:rPr>
            </w:pPr>
            <w:r w:rsidRPr="00842387">
              <w:rPr>
                <w:rFonts w:ascii="Avenir LT 65 Medium" w:hAnsi="Avenir LT 65 Medium"/>
              </w:rPr>
              <w:t>Riverside North</w:t>
            </w:r>
          </w:p>
          <w:p w14:paraId="59E98A73" w14:textId="77777777" w:rsidR="00B46EF1" w:rsidRDefault="00B46EF1" w:rsidP="002A3889">
            <w:pPr>
              <w:pStyle w:val="ListParagraph"/>
              <w:numPr>
                <w:ilvl w:val="0"/>
                <w:numId w:val="227"/>
              </w:numPr>
              <w:spacing w:before="120" w:line="360" w:lineRule="auto"/>
              <w:ind w:left="567" w:hanging="504"/>
              <w:contextualSpacing w:val="0"/>
              <w:rPr>
                <w:rFonts w:ascii="Avenir LT 65 Medium" w:hAnsi="Avenir LT 65 Medium"/>
              </w:rPr>
            </w:pPr>
            <w:r w:rsidRPr="00F333C3">
              <w:rPr>
                <w:rFonts w:ascii="Avenir LT 45 Book" w:eastAsia="Calibri" w:hAnsi="Avenir LT 45 Book" w:cs="Times New Roman"/>
                <w:sz w:val="20"/>
              </w:rPr>
              <w:t xml:space="preserve">The </w:t>
            </w:r>
            <w:proofErr w:type="gramStart"/>
            <w:r w:rsidRPr="00F333C3">
              <w:rPr>
                <w:rFonts w:ascii="Avenir LT 45 Book" w:eastAsia="Calibri" w:hAnsi="Avenir LT 45 Book" w:cs="Times New Roman"/>
                <w:sz w:val="20"/>
              </w:rPr>
              <w:t>principle</w:t>
            </w:r>
            <w:proofErr w:type="gramEnd"/>
            <w:r w:rsidRPr="00F333C3">
              <w:rPr>
                <w:rFonts w:ascii="Avenir LT 45 Book" w:eastAsia="Calibri" w:hAnsi="Avenir LT 45 Book" w:cs="Times New Roman"/>
                <w:sz w:val="20"/>
              </w:rPr>
              <w:t xml:space="preserve"> façade and main entrance of a new building should address the street in a manner that reflects the predominant character of the traditional development in the immediate locality.</w:t>
            </w:r>
          </w:p>
        </w:tc>
        <w:tc>
          <w:tcPr>
            <w:tcW w:w="4621" w:type="dxa"/>
            <w:tcBorders>
              <w:top w:val="nil"/>
              <w:bottom w:val="nil"/>
            </w:tcBorders>
          </w:tcPr>
          <w:p w14:paraId="6F7140C1" w14:textId="77777777" w:rsidR="00B46EF1" w:rsidRDefault="00B46EF1" w:rsidP="008048CE">
            <w:pPr>
              <w:spacing w:before="120"/>
              <w:rPr>
                <w:rFonts w:ascii="Avenir LT 65 Medium" w:hAnsi="Avenir LT 65 Medium"/>
              </w:rPr>
            </w:pPr>
            <w:r w:rsidRPr="00842387">
              <w:rPr>
                <w:rFonts w:ascii="Avenir LT 65 Medium" w:hAnsi="Avenir LT 65 Medium"/>
              </w:rPr>
              <w:t>Riverside North</w:t>
            </w:r>
          </w:p>
          <w:p w14:paraId="66CE2A4A" w14:textId="77777777" w:rsidR="00B46EF1" w:rsidRDefault="00B46EF1" w:rsidP="002A3889">
            <w:pPr>
              <w:pStyle w:val="ListParagraph"/>
              <w:numPr>
                <w:ilvl w:val="0"/>
                <w:numId w:val="228"/>
              </w:numPr>
              <w:spacing w:before="120" w:line="360" w:lineRule="auto"/>
              <w:ind w:left="624" w:hanging="567"/>
              <w:contextualSpacing w:val="0"/>
              <w:rPr>
                <w:rFonts w:ascii="Avenir LT 65 Medium" w:hAnsi="Avenir LT 65 Medium"/>
              </w:rPr>
            </w:pPr>
            <w:r w:rsidRPr="00F333C3">
              <w:rPr>
                <w:rFonts w:ascii="Avenir LT 45 Book" w:eastAsia="Calibri" w:hAnsi="Avenir LT 45 Book" w:cs="Times New Roman"/>
                <w:sz w:val="20"/>
              </w:rPr>
              <w:t>New developments to have openings that are prominent to the street.</w:t>
            </w:r>
          </w:p>
        </w:tc>
      </w:tr>
    </w:tbl>
    <w:p w14:paraId="486EFA6C" w14:textId="77777777" w:rsidR="00B46EF1" w:rsidRDefault="00F333C3" w:rsidP="00F333C3">
      <w:pPr>
        <w:pStyle w:val="Heading5"/>
        <w:spacing w:before="360"/>
      </w:pPr>
      <w:r>
        <w:t>3.7.18.4.3</w:t>
      </w:r>
      <w:r>
        <w:tab/>
      </w:r>
      <w:r w:rsidR="00B46EF1" w:rsidRPr="00842387">
        <w:t>Fremantle Port Buffer</w:t>
      </w:r>
    </w:p>
    <w:p w14:paraId="6489EBB5" w14:textId="77777777" w:rsidR="00B46EF1" w:rsidRDefault="00B46EF1" w:rsidP="00B46EF1">
      <w:pPr>
        <w:pStyle w:val="Heading5"/>
        <w:ind w:left="1418" w:hanging="1418"/>
      </w:pPr>
      <w:r>
        <w:lastRenderedPageBreak/>
        <w:t>3.7.18.4.3.1</w:t>
      </w:r>
      <w:r>
        <w:tab/>
        <w:t>Statement</w:t>
      </w:r>
    </w:p>
    <w:p w14:paraId="1A245CDE" w14:textId="77777777" w:rsidR="00B46EF1" w:rsidRPr="00F336BA" w:rsidRDefault="00B46EF1" w:rsidP="00F336BA">
      <w:pPr>
        <w:spacing w:line="360" w:lineRule="auto"/>
        <w:rPr>
          <w:rFonts w:ascii="Avenir LT 45 Book" w:eastAsia="Calibri" w:hAnsi="Avenir LT 45 Book"/>
          <w:i/>
          <w:sz w:val="20"/>
        </w:rPr>
      </w:pPr>
      <w:r w:rsidRPr="00F336BA">
        <w:rPr>
          <w:rFonts w:ascii="Avenir LT 45 Book" w:eastAsia="Calibri" w:hAnsi="Avenir LT 45 Book"/>
          <w:i/>
          <w:sz w:val="20"/>
        </w:rPr>
        <w:t>Fremantle Ports undertook the Fremantle Inner Harbour Definition Study (May 2002), which identified the need for an offsite buffer around the Port. The buffer was determined on a range of potential amenity impacts and risks including noise, odour and public risk.</w:t>
      </w:r>
    </w:p>
    <w:p w14:paraId="000B6986" w14:textId="77777777" w:rsidR="00B46EF1" w:rsidRPr="00F336BA" w:rsidRDefault="00B46EF1" w:rsidP="00F336BA">
      <w:pPr>
        <w:spacing w:line="360" w:lineRule="auto"/>
        <w:rPr>
          <w:rFonts w:ascii="Avenir LT 45 Book" w:eastAsia="Calibri" w:hAnsi="Avenir LT 45 Book"/>
          <w:i/>
          <w:sz w:val="20"/>
        </w:rPr>
      </w:pPr>
      <w:r w:rsidRPr="00F336BA">
        <w:rPr>
          <w:rFonts w:ascii="Avenir LT 45 Book" w:eastAsia="Calibri" w:hAnsi="Avenir LT 45 Book"/>
          <w:i/>
          <w:sz w:val="20"/>
        </w:rPr>
        <w:t>Three buffer areas around the Port have been identified; Area1, Area 2 and Area 3. For the purposes of these Guidelines these areas will be known as Buffer Area 1, Buffer Area 2 and Buffer Area 3.  The buffer area relevant to the Riverside Precinct is Buffer Area 2 and 3 (refer figure 29).</w:t>
      </w:r>
    </w:p>
    <w:p w14:paraId="50DBE7FC" w14:textId="77777777" w:rsidR="00B46EF1" w:rsidRPr="00A624B9" w:rsidRDefault="00B46EF1" w:rsidP="00F336BA">
      <w:pPr>
        <w:spacing w:line="360" w:lineRule="auto"/>
        <w:rPr>
          <w:i/>
        </w:rPr>
      </w:pPr>
      <w:r w:rsidRPr="00F336BA">
        <w:rPr>
          <w:rFonts w:ascii="Avenir LT 45 Book" w:eastAsia="Calibri" w:hAnsi="Avenir LT 45 Book"/>
          <w:i/>
          <w:sz w:val="20"/>
        </w:rPr>
        <w:t>For buildings within Buffer Area 2 consideration is given to the following potential impacts</w:t>
      </w:r>
      <w:r w:rsidRPr="00A624B9">
        <w:rPr>
          <w:i/>
        </w:rPr>
        <w:t>:</w:t>
      </w:r>
    </w:p>
    <w:p w14:paraId="1F5F9221" w14:textId="77777777" w:rsidR="00B46EF1" w:rsidRPr="00F336BA" w:rsidRDefault="00B46EF1" w:rsidP="002A3889">
      <w:pPr>
        <w:pStyle w:val="ListParagraph"/>
        <w:numPr>
          <w:ilvl w:val="0"/>
          <w:numId w:val="79"/>
        </w:numPr>
        <w:spacing w:line="360" w:lineRule="auto"/>
        <w:rPr>
          <w:rFonts w:ascii="Avenir LT 45 Book" w:eastAsia="Calibri" w:hAnsi="Avenir LT 45 Book" w:cs="Times New Roman"/>
          <w:i/>
          <w:sz w:val="20"/>
        </w:rPr>
      </w:pPr>
      <w:r w:rsidRPr="00F336BA">
        <w:rPr>
          <w:rFonts w:ascii="Avenir LT 45 Book" w:eastAsia="Calibri" w:hAnsi="Avenir LT 45 Book" w:cs="Times New Roman"/>
          <w:i/>
          <w:sz w:val="20"/>
        </w:rPr>
        <w:t xml:space="preserve">Ingress of toxic gases in the event of an incident within the </w:t>
      </w:r>
      <w:proofErr w:type="gramStart"/>
      <w:r w:rsidRPr="00F336BA">
        <w:rPr>
          <w:rFonts w:ascii="Avenir LT 45 Book" w:eastAsia="Calibri" w:hAnsi="Avenir LT 45 Book" w:cs="Times New Roman"/>
          <w:i/>
          <w:sz w:val="20"/>
        </w:rPr>
        <w:t>Port;</w:t>
      </w:r>
      <w:proofErr w:type="gramEnd"/>
    </w:p>
    <w:p w14:paraId="3075CC76" w14:textId="77777777" w:rsidR="00B46EF1" w:rsidRPr="00F336BA" w:rsidRDefault="00B46EF1" w:rsidP="002A3889">
      <w:pPr>
        <w:pStyle w:val="ListParagraph"/>
        <w:numPr>
          <w:ilvl w:val="0"/>
          <w:numId w:val="79"/>
        </w:numPr>
        <w:spacing w:line="360" w:lineRule="auto"/>
        <w:rPr>
          <w:rFonts w:ascii="Avenir LT 45 Book" w:eastAsia="Calibri" w:hAnsi="Avenir LT 45 Book" w:cs="Times New Roman"/>
          <w:i/>
          <w:sz w:val="20"/>
        </w:rPr>
      </w:pPr>
      <w:r w:rsidRPr="00F336BA">
        <w:rPr>
          <w:rFonts w:ascii="Avenir LT 45 Book" w:eastAsia="Calibri" w:hAnsi="Avenir LT 45 Book" w:cs="Times New Roman"/>
          <w:i/>
          <w:sz w:val="20"/>
        </w:rPr>
        <w:t xml:space="preserve">Shattering or flying glass as a consequence of explosion within the </w:t>
      </w:r>
      <w:proofErr w:type="gramStart"/>
      <w:r w:rsidRPr="00F336BA">
        <w:rPr>
          <w:rFonts w:ascii="Avenir LT 45 Book" w:eastAsia="Calibri" w:hAnsi="Avenir LT 45 Book" w:cs="Times New Roman"/>
          <w:i/>
          <w:sz w:val="20"/>
        </w:rPr>
        <w:t>Port;</w:t>
      </w:r>
      <w:proofErr w:type="gramEnd"/>
    </w:p>
    <w:p w14:paraId="3231A7DB" w14:textId="77777777" w:rsidR="00B46EF1" w:rsidRPr="00F336BA" w:rsidRDefault="00B46EF1" w:rsidP="002A3889">
      <w:pPr>
        <w:pStyle w:val="ListParagraph"/>
        <w:numPr>
          <w:ilvl w:val="0"/>
          <w:numId w:val="79"/>
        </w:numPr>
        <w:spacing w:line="360" w:lineRule="auto"/>
        <w:rPr>
          <w:rFonts w:ascii="Avenir LT 45 Book" w:eastAsia="Calibri" w:hAnsi="Avenir LT 45 Book" w:cs="Times New Roman"/>
          <w:i/>
          <w:sz w:val="20"/>
        </w:rPr>
      </w:pPr>
      <w:r w:rsidRPr="00F336BA">
        <w:rPr>
          <w:rFonts w:ascii="Avenir LT 45 Book" w:eastAsia="Calibri" w:hAnsi="Avenir LT 45 Book" w:cs="Times New Roman"/>
          <w:i/>
          <w:sz w:val="20"/>
        </w:rPr>
        <w:t>Noise transmission emanating from the Port (attenuation in the order of 30dB(A) is required; and,</w:t>
      </w:r>
    </w:p>
    <w:p w14:paraId="36013FFF" w14:textId="77777777" w:rsidR="00B46EF1" w:rsidRPr="00F336BA" w:rsidRDefault="00B46EF1" w:rsidP="002A3889">
      <w:pPr>
        <w:pStyle w:val="ListParagraph"/>
        <w:numPr>
          <w:ilvl w:val="0"/>
          <w:numId w:val="79"/>
        </w:numPr>
        <w:spacing w:line="360" w:lineRule="auto"/>
        <w:rPr>
          <w:rFonts w:ascii="Avenir LT 45 Book" w:eastAsia="Calibri" w:hAnsi="Avenir LT 45 Book" w:cs="Times New Roman"/>
          <w:i/>
          <w:sz w:val="20"/>
        </w:rPr>
      </w:pPr>
      <w:r w:rsidRPr="00F336BA">
        <w:rPr>
          <w:rFonts w:ascii="Avenir LT 45 Book" w:eastAsia="Calibri" w:hAnsi="Avenir LT 45 Book" w:cs="Times New Roman"/>
          <w:i/>
          <w:sz w:val="20"/>
        </w:rPr>
        <w:t>Odour.</w:t>
      </w:r>
    </w:p>
    <w:p w14:paraId="6900DF65" w14:textId="77777777" w:rsidR="00B46EF1" w:rsidRPr="00F336BA" w:rsidRDefault="00B46EF1" w:rsidP="00F336BA">
      <w:pPr>
        <w:spacing w:line="360" w:lineRule="auto"/>
        <w:rPr>
          <w:rFonts w:ascii="Avenir LT 45 Book" w:eastAsia="Calibri" w:hAnsi="Avenir LT 45 Book"/>
          <w:i/>
          <w:sz w:val="20"/>
        </w:rPr>
      </w:pPr>
      <w:proofErr w:type="gramStart"/>
      <w:r w:rsidRPr="00F336BA">
        <w:rPr>
          <w:rFonts w:ascii="Avenir LT 45 Book" w:eastAsia="Calibri" w:hAnsi="Avenir LT 45 Book"/>
          <w:i/>
          <w:sz w:val="20"/>
        </w:rPr>
        <w:t>Generally</w:t>
      </w:r>
      <w:proofErr w:type="gramEnd"/>
      <w:r w:rsidRPr="00F336BA">
        <w:rPr>
          <w:rFonts w:ascii="Avenir LT 45 Book" w:eastAsia="Calibri" w:hAnsi="Avenir LT 45 Book"/>
          <w:i/>
          <w:sz w:val="20"/>
        </w:rPr>
        <w:t xml:space="preserve"> the potential risk and amenity impacts from the Port are considerably less in Buffer Area 3. Nevertheless, the Fremantle Inner Harbour Buffer Definition Study has identified the potential for some noise and odour impacts in this area.</w:t>
      </w:r>
    </w:p>
    <w:p w14:paraId="618703A6" w14:textId="77777777" w:rsidR="00B46EF1" w:rsidRPr="00F336BA" w:rsidRDefault="00B46EF1" w:rsidP="00F336BA">
      <w:pPr>
        <w:spacing w:line="360" w:lineRule="auto"/>
        <w:rPr>
          <w:rFonts w:ascii="Avenir LT 45 Book" w:eastAsia="Calibri" w:hAnsi="Avenir LT 45 Book"/>
          <w:i/>
          <w:sz w:val="20"/>
        </w:rPr>
      </w:pPr>
      <w:r w:rsidRPr="00F336BA">
        <w:rPr>
          <w:rFonts w:ascii="Avenir LT 45 Book" w:eastAsia="Calibri" w:hAnsi="Avenir LT 45 Book"/>
          <w:i/>
          <w:sz w:val="20"/>
        </w:rPr>
        <w:t>The intent of Buffer Area 3 is the management, as opposed to the control, of sensitive uses.</w:t>
      </w:r>
    </w:p>
    <w:p w14:paraId="13A3EEF8" w14:textId="77777777" w:rsidR="00B46EF1" w:rsidRDefault="00B46EF1" w:rsidP="00B46EF1">
      <w:r>
        <w:rPr>
          <w:noProof/>
          <w:lang w:eastAsia="en-AU"/>
        </w:rPr>
        <w:drawing>
          <wp:inline distT="0" distB="0" distL="0" distR="0" wp14:anchorId="5707DF5F" wp14:editId="641118F9">
            <wp:extent cx="2524125" cy="1800225"/>
            <wp:effectExtent l="19050" t="0" r="9525" b="0"/>
            <wp:docPr id="109" name="Picture 46" descr="Z:\2011 JOBS\11206-EAST FREMANTLE GUIDELINES\11206-PHOTOS\PROCESSED\RIVERSIDE\3 PRESTON POINT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2011 JOBS\11206-EAST FREMANTLE GUIDELINES\11206-PHOTOS\PROCESSED\RIVERSIDE\3 PRESTON POINT ROAD.jpg"/>
                    <pic:cNvPicPr>
                      <a:picLocks noChangeAspect="1" noChangeArrowheads="1"/>
                    </pic:cNvPicPr>
                  </pic:nvPicPr>
                  <pic:blipFill>
                    <a:blip r:embed="rId263"/>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7EF80403" wp14:editId="0BBED517">
            <wp:extent cx="2524125" cy="1800225"/>
            <wp:effectExtent l="19050" t="0" r="9525" b="0"/>
            <wp:docPr id="110" name="Picture 47" descr="Z:\2011 JOBS\11206-EAST FREMANTLE GUIDELINES\11206-PHOTOS\PROCESSED\RIVERSIDE\17 PRESTON POINT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2011 JOBS\11206-EAST FREMANTLE GUIDELINES\11206-PHOTOS\PROCESSED\RIVERSIDE\17 PRESTON POINT ROAD.jpg"/>
                    <pic:cNvPicPr>
                      <a:picLocks noChangeAspect="1" noChangeArrowheads="1"/>
                    </pic:cNvPicPr>
                  </pic:nvPicPr>
                  <pic:blipFill>
                    <a:blip r:embed="rId264"/>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131356A5" w14:textId="77777777" w:rsidR="00B46EF1" w:rsidRDefault="00B46EF1" w:rsidP="00B46EF1">
      <w:pPr>
        <w:rPr>
          <w:rFonts w:cs="Times New Roman"/>
          <w:szCs w:val="20"/>
        </w:rPr>
      </w:pPr>
      <w:r>
        <w:br w:type="page"/>
      </w:r>
    </w:p>
    <w:p w14:paraId="67EFB468" w14:textId="77777777" w:rsidR="00B46EF1" w:rsidRPr="00842387" w:rsidRDefault="00B46EF1" w:rsidP="00B46EF1">
      <w:pPr>
        <w:pStyle w:val="Figure"/>
        <w:rPr>
          <w:lang w:val="en-AU"/>
        </w:rPr>
      </w:pPr>
      <w:r w:rsidRPr="00842387">
        <w:rPr>
          <w:noProof/>
          <w:lang w:val="en-AU" w:eastAsia="en-AU"/>
        </w:rPr>
        <w:lastRenderedPageBreak/>
        <w:drawing>
          <wp:inline distT="0" distB="0" distL="0" distR="0" wp14:anchorId="33017958" wp14:editId="5A990254">
            <wp:extent cx="5045001" cy="7696200"/>
            <wp:effectExtent l="19050" t="0" r="0" b="0"/>
            <wp:docPr id="224" name="Picture 18" descr="11206-BUFFER ZONE RIVERSID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6-BUFFER ZONE RIVERSIDE.eps"/>
                    <pic:cNvPicPr/>
                  </pic:nvPicPr>
                  <pic:blipFill>
                    <a:blip r:embed="rId265" cstate="print"/>
                    <a:stretch>
                      <a:fillRect/>
                    </a:stretch>
                  </pic:blipFill>
                  <pic:spPr>
                    <a:xfrm>
                      <a:off x="0" y="0"/>
                      <a:ext cx="5049603" cy="7703220"/>
                    </a:xfrm>
                    <a:prstGeom prst="rect">
                      <a:avLst/>
                    </a:prstGeom>
                  </pic:spPr>
                </pic:pic>
              </a:graphicData>
            </a:graphic>
          </wp:inline>
        </w:drawing>
      </w:r>
    </w:p>
    <w:p w14:paraId="71E8EA05" w14:textId="77777777" w:rsidR="00B46EF1" w:rsidRPr="00842387" w:rsidRDefault="00B46EF1" w:rsidP="00B46EF1">
      <w:pPr>
        <w:pStyle w:val="Figure"/>
        <w:spacing w:before="120"/>
        <w:jc w:val="left"/>
        <w:rPr>
          <w:lang w:val="en-AU"/>
        </w:rPr>
      </w:pPr>
      <w:r w:rsidRPr="00842387">
        <w:rPr>
          <w:rFonts w:ascii="Avenir LT 65 Medium" w:hAnsi="Avenir LT 65 Medium"/>
          <w:lang w:val="en-AU"/>
        </w:rPr>
        <w:t>Figure 29</w:t>
      </w:r>
      <w:r w:rsidRPr="00842387">
        <w:rPr>
          <w:lang w:val="en-AU"/>
        </w:rPr>
        <w:t>- Fremantle Port Buffer Zone Area</w:t>
      </w:r>
      <w:r>
        <w:rPr>
          <w:lang w:val="en-AU"/>
        </w:rPr>
        <w:t>s</w:t>
      </w:r>
      <w:r w:rsidRPr="00842387">
        <w:rPr>
          <w:lang w:val="en-AU"/>
        </w:rPr>
        <w:t xml:space="preserve"> </w:t>
      </w:r>
      <w:r>
        <w:rPr>
          <w:lang w:val="en-AU"/>
        </w:rPr>
        <w:t>2 &amp; 3</w:t>
      </w:r>
      <w:r w:rsidRPr="00842387">
        <w:rPr>
          <w:lang w:val="en-AU"/>
        </w:rPr>
        <w:t xml:space="preserve"> affecting the </w:t>
      </w:r>
      <w:r>
        <w:rPr>
          <w:lang w:val="en-AU"/>
        </w:rPr>
        <w:t>Riverside</w:t>
      </w:r>
      <w:r w:rsidRPr="00842387">
        <w:rPr>
          <w:lang w:val="en-AU"/>
        </w:rPr>
        <w:t xml:space="preserve"> Precinct.  </w:t>
      </w:r>
      <w:r w:rsidRPr="00842387">
        <w:rPr>
          <w:i/>
          <w:lang w:val="en-AU"/>
        </w:rPr>
        <w:t>Griffiths Architects 2011</w:t>
      </w:r>
    </w:p>
    <w:p w14:paraId="0F66C5C5" w14:textId="77777777" w:rsidR="00B46EF1" w:rsidRDefault="00B46EF1" w:rsidP="00B46EF1">
      <w:r>
        <w:br w:type="page"/>
      </w:r>
    </w:p>
    <w:p w14:paraId="74BDC518" w14:textId="77777777" w:rsidR="00B46EF1" w:rsidRDefault="00B46EF1" w:rsidP="00B46EF1">
      <w:pPr>
        <w:pStyle w:val="Heading5"/>
        <w:ind w:left="1418" w:hanging="1418"/>
      </w:pPr>
      <w:r>
        <w:lastRenderedPageBreak/>
        <w:t>3.7.18.4.3.2</w:t>
      </w:r>
      <w:r>
        <w:tab/>
        <w:t>Desired Development Outcomes</w:t>
      </w:r>
    </w:p>
    <w:p w14:paraId="2F3F2234" w14:textId="77777777" w:rsidR="00B46EF1" w:rsidRPr="00F336BA" w:rsidRDefault="00B46EF1" w:rsidP="002A3889">
      <w:pPr>
        <w:pStyle w:val="ListParagraph"/>
        <w:numPr>
          <w:ilvl w:val="0"/>
          <w:numId w:val="229"/>
        </w:numPr>
        <w:spacing w:line="360" w:lineRule="auto"/>
        <w:ind w:left="714" w:hanging="357"/>
        <w:contextualSpacing w:val="0"/>
        <w:rPr>
          <w:rFonts w:ascii="Avenir LT 45 Book" w:eastAsia="Calibri" w:hAnsi="Avenir LT 45 Book" w:cs="Times New Roman"/>
          <w:sz w:val="20"/>
        </w:rPr>
      </w:pPr>
      <w:r w:rsidRPr="00F336BA">
        <w:rPr>
          <w:rFonts w:ascii="Avenir LT 45 Book" w:eastAsia="Calibri" w:hAnsi="Avenir LT 45 Book" w:cs="Times New Roman"/>
          <w:sz w:val="20"/>
        </w:rPr>
        <w:t xml:space="preserve">To minimise potential impacts that may arise from the </w:t>
      </w:r>
      <w:proofErr w:type="gramStart"/>
      <w:r w:rsidRPr="00F336BA">
        <w:rPr>
          <w:rFonts w:ascii="Avenir LT 45 Book" w:eastAsia="Calibri" w:hAnsi="Avenir LT 45 Book" w:cs="Times New Roman"/>
          <w:sz w:val="20"/>
        </w:rPr>
        <w:t>Port;</w:t>
      </w:r>
      <w:proofErr w:type="gramEnd"/>
    </w:p>
    <w:p w14:paraId="241001BB" w14:textId="77777777" w:rsidR="00B46EF1" w:rsidRPr="00F336BA" w:rsidRDefault="00B46EF1" w:rsidP="002A3889">
      <w:pPr>
        <w:pStyle w:val="ListParagraph"/>
        <w:numPr>
          <w:ilvl w:val="0"/>
          <w:numId w:val="229"/>
        </w:numPr>
        <w:spacing w:line="360" w:lineRule="auto"/>
        <w:ind w:left="714" w:hanging="357"/>
        <w:contextualSpacing w:val="0"/>
        <w:rPr>
          <w:rFonts w:ascii="Avenir LT 45 Book" w:eastAsia="Calibri" w:hAnsi="Avenir LT 45 Book" w:cs="Times New Roman"/>
          <w:sz w:val="20"/>
        </w:rPr>
      </w:pPr>
      <w:r w:rsidRPr="00F336BA">
        <w:rPr>
          <w:rFonts w:ascii="Avenir LT 45 Book" w:eastAsia="Calibri" w:hAnsi="Avenir LT 45 Book" w:cs="Times New Roman"/>
          <w:sz w:val="20"/>
        </w:rPr>
        <w:t>To define separate land use and built form requirements for each buffer area; and,</w:t>
      </w:r>
    </w:p>
    <w:p w14:paraId="151F186F" w14:textId="77777777" w:rsidR="00B46EF1" w:rsidRPr="00F336BA" w:rsidRDefault="00B46EF1" w:rsidP="002A3889">
      <w:pPr>
        <w:pStyle w:val="ListParagraph"/>
        <w:numPr>
          <w:ilvl w:val="0"/>
          <w:numId w:val="229"/>
        </w:numPr>
        <w:spacing w:line="360" w:lineRule="auto"/>
        <w:ind w:left="714" w:hanging="357"/>
        <w:contextualSpacing w:val="0"/>
        <w:rPr>
          <w:rFonts w:ascii="Avenir LT 45 Book" w:eastAsia="Calibri" w:hAnsi="Avenir LT 45 Book" w:cs="Times New Roman"/>
          <w:sz w:val="20"/>
        </w:rPr>
      </w:pPr>
      <w:r w:rsidRPr="00F336BA">
        <w:rPr>
          <w:rFonts w:ascii="Avenir LT 45 Book" w:eastAsia="Calibri" w:hAnsi="Avenir LT 45 Book" w:cs="Times New Roman"/>
          <w:sz w:val="20"/>
        </w:rPr>
        <w:t>To manage sensitive uses.</w:t>
      </w:r>
    </w:p>
    <w:p w14:paraId="64F92853" w14:textId="77777777" w:rsidR="00B46EF1" w:rsidRDefault="00B46EF1" w:rsidP="00B46EF1">
      <w:pPr>
        <w:pStyle w:val="Heading5"/>
        <w:spacing w:after="120"/>
        <w:ind w:left="1418" w:hanging="1418"/>
      </w:pPr>
      <w:r>
        <w:t>3.7.18.4.3.3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36"/>
        <w:gridCol w:w="4490"/>
      </w:tblGrid>
      <w:tr w:rsidR="00B46EF1" w:rsidRPr="00842387" w14:paraId="6D509062" w14:textId="77777777" w:rsidTr="00F336BA">
        <w:tc>
          <w:tcPr>
            <w:tcW w:w="4536" w:type="dxa"/>
            <w:tcBorders>
              <w:bottom w:val="single" w:sz="4" w:space="0" w:color="auto"/>
            </w:tcBorders>
          </w:tcPr>
          <w:p w14:paraId="458CD55D"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490" w:type="dxa"/>
            <w:tcBorders>
              <w:bottom w:val="single" w:sz="4" w:space="0" w:color="auto"/>
            </w:tcBorders>
          </w:tcPr>
          <w:p w14:paraId="46E22920" w14:textId="77777777" w:rsidR="00B46EF1" w:rsidRDefault="00B46EF1" w:rsidP="008048CE">
            <w:r w:rsidRPr="00842387">
              <w:rPr>
                <w:rFonts w:ascii="Avenir LT 65 Medium" w:hAnsi="Avenir LT 65 Medium"/>
              </w:rPr>
              <w:t>Acceptable Development Provisions</w:t>
            </w:r>
          </w:p>
        </w:tc>
      </w:tr>
      <w:tr w:rsidR="00B46EF1" w:rsidRPr="00842387" w14:paraId="31462935" w14:textId="77777777" w:rsidTr="00F336BA">
        <w:tc>
          <w:tcPr>
            <w:tcW w:w="4536" w:type="dxa"/>
            <w:tcBorders>
              <w:top w:val="single" w:sz="4" w:space="0" w:color="auto"/>
            </w:tcBorders>
          </w:tcPr>
          <w:p w14:paraId="46BFDEAF" w14:textId="77777777" w:rsidR="00B46EF1" w:rsidRDefault="00B46EF1" w:rsidP="002A3889">
            <w:pPr>
              <w:pStyle w:val="ListParagraph"/>
              <w:numPr>
                <w:ilvl w:val="0"/>
                <w:numId w:val="230"/>
              </w:numPr>
              <w:spacing w:before="120" w:line="360" w:lineRule="auto"/>
              <w:ind w:left="567" w:hanging="504"/>
              <w:contextualSpacing w:val="0"/>
              <w:rPr>
                <w:rFonts w:ascii="Avenir LT 65 Medium" w:hAnsi="Avenir LT 65 Medium"/>
              </w:rPr>
            </w:pPr>
            <w:r w:rsidRPr="00F336BA">
              <w:rPr>
                <w:rFonts w:ascii="Avenir LT 45 Book" w:eastAsia="Calibri" w:hAnsi="Avenir LT 45 Book" w:cs="Times New Roman"/>
                <w:sz w:val="20"/>
              </w:rPr>
              <w:t>Buffer Area 2 built form requirements shall apply to all residential development other than alterations and additions to existing dwellings.</w:t>
            </w:r>
          </w:p>
        </w:tc>
        <w:tc>
          <w:tcPr>
            <w:tcW w:w="4490" w:type="dxa"/>
            <w:tcBorders>
              <w:top w:val="single" w:sz="4" w:space="0" w:color="auto"/>
            </w:tcBorders>
          </w:tcPr>
          <w:p w14:paraId="49CECCBF" w14:textId="77777777" w:rsidR="00B46EF1" w:rsidRPr="00F336BA" w:rsidRDefault="00B46EF1" w:rsidP="002A3889">
            <w:pPr>
              <w:pStyle w:val="ListParagraph"/>
              <w:numPr>
                <w:ilvl w:val="0"/>
                <w:numId w:val="231"/>
              </w:numPr>
              <w:spacing w:before="120" w:line="360" w:lineRule="auto"/>
              <w:ind w:left="624" w:hanging="567"/>
              <w:contextualSpacing w:val="0"/>
              <w:rPr>
                <w:rFonts w:ascii="Avenir LT 45 Book" w:eastAsia="Calibri" w:hAnsi="Avenir LT 45 Book" w:cs="Times New Roman"/>
                <w:sz w:val="20"/>
              </w:rPr>
            </w:pPr>
            <w:r w:rsidRPr="00F336BA">
              <w:rPr>
                <w:rFonts w:ascii="Avenir LT 45 Book" w:eastAsia="Calibri" w:hAnsi="Avenir LT 45 Book" w:cs="Times New Roman"/>
                <w:sz w:val="20"/>
              </w:rPr>
              <w:t>Buffer Area 2 built form requirements</w:t>
            </w:r>
          </w:p>
          <w:p w14:paraId="1D9187D1" w14:textId="77777777" w:rsidR="00B46EF1" w:rsidRPr="00F336BA" w:rsidRDefault="00B46EF1" w:rsidP="002A3889">
            <w:pPr>
              <w:pStyle w:val="ListParagraph"/>
              <w:numPr>
                <w:ilvl w:val="0"/>
                <w:numId w:val="233"/>
              </w:numPr>
              <w:spacing w:line="360" w:lineRule="auto"/>
              <w:ind w:left="624" w:hanging="264"/>
              <w:contextualSpacing w:val="0"/>
              <w:rPr>
                <w:rFonts w:ascii="Avenir LT 45 Book" w:eastAsia="Calibri" w:hAnsi="Avenir LT 45 Book" w:cs="Times New Roman"/>
                <w:sz w:val="20"/>
              </w:rPr>
            </w:pPr>
            <w:r w:rsidRPr="00F336BA">
              <w:rPr>
                <w:rFonts w:ascii="Avenir LT 45 Book" w:eastAsia="Calibri" w:hAnsi="Avenir LT 45 Book" w:cs="Times New Roman"/>
                <w:sz w:val="20"/>
              </w:rPr>
              <w:t>Windows and opening requirements:</w:t>
            </w:r>
          </w:p>
          <w:p w14:paraId="73141AE4" w14:textId="77777777" w:rsidR="00B46EF1" w:rsidRPr="00F336BA" w:rsidRDefault="00B46EF1" w:rsidP="002A3889">
            <w:pPr>
              <w:pStyle w:val="ListParagraph"/>
              <w:numPr>
                <w:ilvl w:val="0"/>
                <w:numId w:val="234"/>
              </w:numPr>
              <w:spacing w:line="360" w:lineRule="auto"/>
              <w:ind w:left="1049" w:hanging="425"/>
              <w:contextualSpacing w:val="0"/>
              <w:rPr>
                <w:rFonts w:ascii="Avenir LT 45 Book" w:eastAsia="Calibri" w:hAnsi="Avenir LT 45 Book" w:cs="Times New Roman"/>
                <w:sz w:val="20"/>
              </w:rPr>
            </w:pPr>
            <w:r w:rsidRPr="00F336BA">
              <w:rPr>
                <w:rFonts w:ascii="Avenir LT 45 Book" w:eastAsia="Calibri" w:hAnsi="Avenir LT 45 Book" w:cs="Times New Roman"/>
                <w:sz w:val="20"/>
              </w:rPr>
              <w:t>Any glass used for windows or other openings shall be laminated safety glass of minimum thickness of 6mm or “double glazed” utilising laminated or toughened safety glass of a minimum thickness of 3mm, and</w:t>
            </w:r>
          </w:p>
          <w:p w14:paraId="65587EFB" w14:textId="77777777" w:rsidR="00B46EF1" w:rsidRPr="00F336BA" w:rsidRDefault="00B46EF1" w:rsidP="002A3889">
            <w:pPr>
              <w:pStyle w:val="ListParagraph"/>
              <w:numPr>
                <w:ilvl w:val="0"/>
                <w:numId w:val="234"/>
              </w:numPr>
              <w:spacing w:line="360" w:lineRule="auto"/>
              <w:ind w:left="1049" w:hanging="425"/>
              <w:contextualSpacing w:val="0"/>
              <w:rPr>
                <w:rFonts w:ascii="Avenir LT 45 Book" w:eastAsia="Calibri" w:hAnsi="Avenir LT 45 Book" w:cs="Times New Roman"/>
                <w:sz w:val="20"/>
              </w:rPr>
            </w:pPr>
            <w:r w:rsidRPr="00F336BA">
              <w:rPr>
                <w:rFonts w:ascii="Avenir LT 45 Book" w:eastAsia="Calibri" w:hAnsi="Avenir LT 45 Book" w:cs="Times New Roman"/>
                <w:sz w:val="20"/>
              </w:rPr>
              <w:t>All safety glass shall be manufactured and installed to an appropriate Australian Standard.</w:t>
            </w:r>
          </w:p>
          <w:p w14:paraId="0F0C6197" w14:textId="77777777" w:rsidR="00B46EF1" w:rsidRPr="00F336BA" w:rsidRDefault="00B46EF1" w:rsidP="002A3889">
            <w:pPr>
              <w:pStyle w:val="ListParagraph"/>
              <w:numPr>
                <w:ilvl w:val="0"/>
                <w:numId w:val="233"/>
              </w:numPr>
              <w:spacing w:line="360" w:lineRule="auto"/>
              <w:ind w:left="624" w:hanging="264"/>
              <w:contextualSpacing w:val="0"/>
              <w:rPr>
                <w:rFonts w:ascii="Avenir LT 45 Book" w:eastAsia="Calibri" w:hAnsi="Avenir LT 45 Book" w:cs="Times New Roman"/>
                <w:sz w:val="20"/>
              </w:rPr>
            </w:pPr>
            <w:r w:rsidRPr="00F336BA">
              <w:rPr>
                <w:rFonts w:ascii="Avenir LT 45 Book" w:eastAsia="Calibri" w:hAnsi="Avenir LT 45 Book" w:cs="Times New Roman"/>
                <w:sz w:val="20"/>
              </w:rPr>
              <w:t>Air Conditioning Requirements:</w:t>
            </w:r>
          </w:p>
          <w:p w14:paraId="6908A1BD" w14:textId="77777777" w:rsidR="00B46EF1" w:rsidRPr="00F336BA" w:rsidRDefault="00B46EF1" w:rsidP="002A3889">
            <w:pPr>
              <w:pStyle w:val="ListParagraph"/>
              <w:numPr>
                <w:ilvl w:val="0"/>
                <w:numId w:val="235"/>
              </w:numPr>
              <w:spacing w:line="360" w:lineRule="auto"/>
              <w:ind w:left="1049" w:hanging="425"/>
              <w:contextualSpacing w:val="0"/>
              <w:rPr>
                <w:rFonts w:ascii="Avenir LT 45 Book" w:eastAsia="Calibri" w:hAnsi="Avenir LT 45 Book" w:cs="Times New Roman"/>
                <w:sz w:val="20"/>
              </w:rPr>
            </w:pPr>
            <w:r w:rsidRPr="00F336BA">
              <w:rPr>
                <w:rFonts w:ascii="Avenir LT 45 Book" w:eastAsia="Calibri" w:hAnsi="Avenir LT 45 Book" w:cs="Times New Roman"/>
                <w:sz w:val="20"/>
              </w:rPr>
              <w:t>Multiple systems to have internally centrally located shut down point and associated procedures for emergency use, and</w:t>
            </w:r>
          </w:p>
          <w:p w14:paraId="0B31BF3B" w14:textId="77777777" w:rsidR="00B46EF1" w:rsidRPr="00F336BA" w:rsidRDefault="00B46EF1" w:rsidP="002A3889">
            <w:pPr>
              <w:pStyle w:val="ListParagraph"/>
              <w:numPr>
                <w:ilvl w:val="0"/>
                <w:numId w:val="235"/>
              </w:numPr>
              <w:spacing w:line="360" w:lineRule="auto"/>
              <w:ind w:left="1049" w:hanging="425"/>
              <w:contextualSpacing w:val="0"/>
              <w:rPr>
                <w:rFonts w:ascii="Avenir LT 45 Book" w:eastAsia="Calibri" w:hAnsi="Avenir LT 45 Book" w:cs="Times New Roman"/>
                <w:sz w:val="20"/>
              </w:rPr>
            </w:pPr>
            <w:r w:rsidRPr="00F336BA">
              <w:rPr>
                <w:rFonts w:ascii="Avenir LT 45 Book" w:eastAsia="Calibri" w:hAnsi="Avenir LT 45 Book" w:cs="Times New Roman"/>
                <w:sz w:val="20"/>
              </w:rPr>
              <w:t>Preference for split “refrigerative” systems.</w:t>
            </w:r>
          </w:p>
          <w:p w14:paraId="0E81FFAC" w14:textId="77777777" w:rsidR="00B46EF1" w:rsidRPr="00F336BA" w:rsidRDefault="00B46EF1" w:rsidP="002A3889">
            <w:pPr>
              <w:pStyle w:val="ListParagraph"/>
              <w:numPr>
                <w:ilvl w:val="0"/>
                <w:numId w:val="233"/>
              </w:numPr>
              <w:spacing w:line="360" w:lineRule="auto"/>
              <w:ind w:left="624" w:hanging="264"/>
              <w:contextualSpacing w:val="0"/>
              <w:rPr>
                <w:rFonts w:ascii="Avenir LT 45 Book" w:eastAsia="Calibri" w:hAnsi="Avenir LT 45 Book" w:cs="Times New Roman"/>
                <w:sz w:val="20"/>
              </w:rPr>
            </w:pPr>
            <w:r w:rsidRPr="00F336BA">
              <w:rPr>
                <w:rFonts w:ascii="Avenir LT 45 Book" w:eastAsia="Calibri" w:hAnsi="Avenir LT 45 Book" w:cs="Times New Roman"/>
                <w:sz w:val="20"/>
              </w:rPr>
              <w:t>Construction requirements:</w:t>
            </w:r>
          </w:p>
          <w:p w14:paraId="2C3A16AB" w14:textId="77777777" w:rsidR="00B46EF1" w:rsidRPr="00F336BA" w:rsidRDefault="00B46EF1" w:rsidP="002A3889">
            <w:pPr>
              <w:pStyle w:val="ListParagraph"/>
              <w:numPr>
                <w:ilvl w:val="0"/>
                <w:numId w:val="236"/>
              </w:numPr>
              <w:spacing w:line="360" w:lineRule="auto"/>
              <w:ind w:left="1049" w:hanging="425"/>
              <w:contextualSpacing w:val="0"/>
              <w:rPr>
                <w:rFonts w:ascii="Avenir LT 45 Book" w:eastAsia="Calibri" w:hAnsi="Avenir LT 45 Book" w:cs="Times New Roman"/>
                <w:sz w:val="20"/>
              </w:rPr>
            </w:pPr>
            <w:r w:rsidRPr="00F336BA">
              <w:rPr>
                <w:rFonts w:ascii="Avenir LT 45 Book" w:eastAsia="Calibri" w:hAnsi="Avenir LT 45 Book" w:cs="Times New Roman"/>
                <w:sz w:val="20"/>
              </w:rPr>
              <w:t>Adopt the general principles of quiet house design for residential developments, and</w:t>
            </w:r>
          </w:p>
          <w:p w14:paraId="4B8465E7" w14:textId="77777777" w:rsidR="00B46EF1" w:rsidRDefault="00B46EF1" w:rsidP="002A3889">
            <w:pPr>
              <w:pStyle w:val="ListParagraph"/>
              <w:numPr>
                <w:ilvl w:val="0"/>
                <w:numId w:val="236"/>
              </w:numPr>
              <w:spacing w:line="360" w:lineRule="auto"/>
              <w:ind w:left="1049" w:hanging="425"/>
              <w:contextualSpacing w:val="0"/>
            </w:pPr>
            <w:r w:rsidRPr="00F336BA">
              <w:rPr>
                <w:rFonts w:ascii="Avenir LT 45 Book" w:eastAsia="Calibri" w:hAnsi="Avenir LT 45 Book" w:cs="Times New Roman"/>
                <w:sz w:val="20"/>
              </w:rPr>
              <w:t>All developments shall incorporate roof insulation.</w:t>
            </w:r>
          </w:p>
        </w:tc>
      </w:tr>
      <w:tr w:rsidR="00B46EF1" w:rsidRPr="00842387" w14:paraId="66098F2A" w14:textId="77777777" w:rsidTr="00F336BA">
        <w:tc>
          <w:tcPr>
            <w:tcW w:w="4536" w:type="dxa"/>
          </w:tcPr>
          <w:p w14:paraId="6BA7AB5F" w14:textId="77777777" w:rsidR="00B46EF1" w:rsidRPr="00F336BA" w:rsidRDefault="00B46EF1" w:rsidP="002A3889">
            <w:pPr>
              <w:pStyle w:val="ListParagraph"/>
              <w:numPr>
                <w:ilvl w:val="0"/>
                <w:numId w:val="230"/>
              </w:numPr>
              <w:spacing w:line="360" w:lineRule="auto"/>
              <w:ind w:left="567" w:hanging="504"/>
              <w:contextualSpacing w:val="0"/>
              <w:rPr>
                <w:rFonts w:ascii="Avenir LT 45 Book" w:eastAsia="Calibri" w:hAnsi="Avenir LT 45 Book" w:cs="Arial"/>
                <w:sz w:val="20"/>
              </w:rPr>
            </w:pPr>
            <w:r w:rsidRPr="00F336BA">
              <w:rPr>
                <w:rFonts w:ascii="Avenir LT 45 Book" w:eastAsia="Calibri" w:hAnsi="Avenir LT 45 Book" w:cs="Arial"/>
                <w:sz w:val="20"/>
              </w:rPr>
              <w:t xml:space="preserve">There are no general buffer-related development controls for Buffer Area 3.  However, where a specific location within this area is known to be impacted from port operations (e.g. through a history of formal complaints), Council may, in consultation with Fremantle Ports, apply some or </w:t>
            </w:r>
            <w:proofErr w:type="gramStart"/>
            <w:r w:rsidRPr="00F336BA">
              <w:rPr>
                <w:rFonts w:ascii="Avenir LT 45 Book" w:eastAsia="Calibri" w:hAnsi="Avenir LT 45 Book" w:cs="Arial"/>
                <w:sz w:val="20"/>
              </w:rPr>
              <w:t>all of</w:t>
            </w:r>
            <w:proofErr w:type="gramEnd"/>
            <w:r w:rsidRPr="00F336BA">
              <w:rPr>
                <w:rFonts w:ascii="Avenir LT 45 Book" w:eastAsia="Calibri" w:hAnsi="Avenir LT 45 Book" w:cs="Arial"/>
                <w:sz w:val="20"/>
              </w:rPr>
              <w:t xml:space="preserve"> the development controls of Buffer Area 2.</w:t>
            </w:r>
          </w:p>
        </w:tc>
        <w:tc>
          <w:tcPr>
            <w:tcW w:w="4490" w:type="dxa"/>
          </w:tcPr>
          <w:p w14:paraId="1A66428A" w14:textId="77777777" w:rsidR="00B46EF1" w:rsidRPr="00F336BA" w:rsidRDefault="00B46EF1" w:rsidP="002A3889">
            <w:pPr>
              <w:pStyle w:val="ListParagraph"/>
              <w:numPr>
                <w:ilvl w:val="1"/>
                <w:numId w:val="232"/>
              </w:numPr>
              <w:spacing w:line="360" w:lineRule="auto"/>
              <w:ind w:left="624" w:hanging="567"/>
              <w:contextualSpacing w:val="0"/>
              <w:rPr>
                <w:rFonts w:ascii="Avenir LT 45 Book" w:eastAsia="Calibri" w:hAnsi="Avenir LT 45 Book" w:cs="Times New Roman"/>
                <w:sz w:val="20"/>
              </w:rPr>
            </w:pPr>
            <w:r w:rsidRPr="00F336BA">
              <w:rPr>
                <w:rFonts w:ascii="Avenir LT 45 Book" w:eastAsia="Calibri" w:hAnsi="Avenir LT 45 Book" w:cs="Times New Roman"/>
                <w:sz w:val="20"/>
              </w:rPr>
              <w:t>Developments, additions and alterations must comply with the Fremantle Buffer Area requirements.</w:t>
            </w:r>
          </w:p>
          <w:p w14:paraId="601378AE" w14:textId="77777777" w:rsidR="00B46EF1" w:rsidRDefault="00B46EF1" w:rsidP="002A3889">
            <w:pPr>
              <w:pStyle w:val="ListParagraph"/>
              <w:numPr>
                <w:ilvl w:val="1"/>
                <w:numId w:val="232"/>
              </w:numPr>
              <w:spacing w:line="360" w:lineRule="auto"/>
              <w:ind w:left="624" w:hanging="567"/>
              <w:contextualSpacing w:val="0"/>
            </w:pPr>
            <w:r w:rsidRPr="00F336BA">
              <w:rPr>
                <w:rFonts w:ascii="Avenir LT 45 Book" w:eastAsia="Calibri" w:hAnsi="Avenir LT 45 Book" w:cs="Times New Roman"/>
                <w:sz w:val="20"/>
              </w:rPr>
              <w:t>Council may accept alternative built form treatments subject to the applicant satisfactorily demonstrating fulfilment of</w:t>
            </w:r>
            <w:r w:rsidRPr="00842387">
              <w:t xml:space="preserve"> </w:t>
            </w:r>
            <w:r w:rsidRPr="00F336BA">
              <w:rPr>
                <w:rFonts w:ascii="Avenir LT 45 Book" w:eastAsia="Calibri" w:hAnsi="Avenir LT 45 Book" w:cs="Times New Roman"/>
                <w:sz w:val="20"/>
              </w:rPr>
              <w:t>the potential risk and amenity considerations outlined above.</w:t>
            </w:r>
            <w:r w:rsidRPr="00842387">
              <w:t xml:space="preserve"> </w:t>
            </w:r>
            <w:r w:rsidRPr="00F336BA">
              <w:rPr>
                <w:rFonts w:ascii="Avenir LT 45 Book" w:eastAsia="Calibri" w:hAnsi="Avenir LT 45 Book" w:cs="Times New Roman"/>
                <w:sz w:val="20"/>
              </w:rPr>
              <w:t>Alternative treatments shall</w:t>
            </w:r>
            <w:r w:rsidRPr="00842387">
              <w:t xml:space="preserve"> </w:t>
            </w:r>
            <w:r w:rsidRPr="00F336BA">
              <w:rPr>
                <w:rFonts w:ascii="Avenir LT 45 Book" w:eastAsia="Calibri" w:hAnsi="Avenir LT 45 Book" w:cs="Times New Roman"/>
                <w:sz w:val="20"/>
              </w:rPr>
              <w:t>be justified to Council through submission of professionally prepared and certified reports.</w:t>
            </w:r>
          </w:p>
        </w:tc>
      </w:tr>
    </w:tbl>
    <w:p w14:paraId="17C623F0" w14:textId="77777777" w:rsidR="00B46EF1" w:rsidRPr="00F336BA" w:rsidRDefault="00B46EF1" w:rsidP="00F336BA">
      <w:pPr>
        <w:spacing w:line="360" w:lineRule="auto"/>
        <w:rPr>
          <w:rFonts w:ascii="Avenir LT 45 Book" w:eastAsia="Calibri" w:hAnsi="Avenir LT 45 Book"/>
          <w:sz w:val="20"/>
        </w:rPr>
      </w:pPr>
      <w:r w:rsidRPr="00F336BA">
        <w:rPr>
          <w:rFonts w:ascii="Avenir LT 65 Medium" w:eastAsia="Calibri" w:hAnsi="Avenir LT 65 Medium"/>
          <w:sz w:val="20"/>
        </w:rPr>
        <w:t>NOTE:</w:t>
      </w:r>
      <w:r w:rsidRPr="00842387">
        <w:t xml:space="preserve">  </w:t>
      </w:r>
      <w:r w:rsidRPr="00F336BA">
        <w:rPr>
          <w:rFonts w:ascii="Avenir LT 45 Book" w:eastAsia="Calibri" w:hAnsi="Avenir LT 45 Book"/>
          <w:sz w:val="20"/>
        </w:rPr>
        <w:t>Council recognises that these requirements may not be possible to achieve in the case of the proposals involving some buildings of conservation and heritage significance.</w:t>
      </w:r>
    </w:p>
    <w:p w14:paraId="275D7452"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t xml:space="preserve">All residential development approvals shall be conditioned </w:t>
      </w:r>
      <w:proofErr w:type="gramStart"/>
      <w:r w:rsidRPr="00F336BA">
        <w:rPr>
          <w:rFonts w:ascii="Avenir LT 45 Book" w:eastAsia="Calibri" w:hAnsi="Avenir LT 45 Book"/>
          <w:sz w:val="20"/>
        </w:rPr>
        <w:t>in order to</w:t>
      </w:r>
      <w:proofErr w:type="gramEnd"/>
      <w:r w:rsidRPr="00F336BA">
        <w:rPr>
          <w:rFonts w:ascii="Avenir LT 45 Book" w:eastAsia="Calibri" w:hAnsi="Avenir LT 45 Book"/>
          <w:sz w:val="20"/>
        </w:rPr>
        <w:t xml:space="preserve"> require a notification to be placed on title advising of the potential amenity impacts associated with living / working in proximity of the Port.</w:t>
      </w:r>
    </w:p>
    <w:p w14:paraId="4744483A"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lastRenderedPageBreak/>
        <w:t>In the case of all residential subdivision, Council and Fremantle Ports shall request the Western Australian Planning Commission to support the placing of memorials on new titles advising of the potential amenity impacts associated with living in proximity of the Port.</w:t>
      </w:r>
    </w:p>
    <w:p w14:paraId="2193BC21" w14:textId="77777777" w:rsidR="00B46EF1" w:rsidRDefault="00B46EF1" w:rsidP="00B46EF1">
      <w:pPr>
        <w:pStyle w:val="Heading5"/>
        <w:ind w:left="1418" w:hanging="1418"/>
      </w:pPr>
      <w:r>
        <w:t>3.7.18.4.3.4</w:t>
      </w:r>
      <w:r>
        <w:tab/>
        <w:t>Administrative Procedures</w:t>
      </w:r>
    </w:p>
    <w:p w14:paraId="3BA4F669"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t>Where applicable, applicants should be advised as soon as possible of the requirements of this policy. Ideally, this should be prior to lodging a formal application for development, including proposals for subdivision and scheme amendments.</w:t>
      </w:r>
    </w:p>
    <w:p w14:paraId="428DEB5E"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t xml:space="preserve">Applicants should be encouraged to liaise with relevant staff including those at Fremantle Ports, </w:t>
      </w:r>
      <w:proofErr w:type="gramStart"/>
      <w:r w:rsidRPr="00F336BA">
        <w:rPr>
          <w:rFonts w:ascii="Avenir LT 45 Book" w:eastAsia="Calibri" w:hAnsi="Avenir LT 45 Book"/>
          <w:sz w:val="20"/>
        </w:rPr>
        <w:t>in order to</w:t>
      </w:r>
      <w:proofErr w:type="gramEnd"/>
      <w:r w:rsidRPr="00F336BA">
        <w:rPr>
          <w:rFonts w:ascii="Avenir LT 45 Book" w:eastAsia="Calibri" w:hAnsi="Avenir LT 45 Book"/>
          <w:sz w:val="20"/>
        </w:rPr>
        <w:t xml:space="preserve"> understand the requirements of this policy.</w:t>
      </w:r>
    </w:p>
    <w:p w14:paraId="598B4B17"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t>Council shall refer a proposal to Fremantle Ports where a proponent seeks any significant variation to the development controls contained within these guidelines.</w:t>
      </w:r>
    </w:p>
    <w:p w14:paraId="4FCC984E"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t>Fremantle Port shall within 14 days of notification, advise the Town of its assessment of a development proposal referred as per the requirements outlined above.</w:t>
      </w:r>
    </w:p>
    <w:p w14:paraId="76FBD833"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t>In terms of conditions of development approval that arise from the requirements of this policy, Council shall require a building surveyor or suitably qualified structural engineer to certify that the requirements of the conditions have been fulfilled in accordance with the approved plans.</w:t>
      </w:r>
    </w:p>
    <w:p w14:paraId="36A22400" w14:textId="77777777" w:rsidR="007759BD" w:rsidRDefault="007759BD">
      <w:pPr>
        <w:rPr>
          <w:rFonts w:ascii="Avenir LT 45 Book" w:eastAsia="Calibri" w:hAnsi="Avenir LT 45 Book"/>
          <w:sz w:val="20"/>
        </w:rPr>
      </w:pPr>
      <w:r>
        <w:rPr>
          <w:rFonts w:ascii="Avenir LT 45 Book" w:eastAsia="Calibri" w:hAnsi="Avenir LT 45 Book"/>
          <w:sz w:val="20"/>
        </w:rPr>
        <w:br w:type="page"/>
      </w:r>
    </w:p>
    <w:p w14:paraId="054BD711"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lastRenderedPageBreak/>
        <w:t>Where appropriate, certification shall be provided prior to the issue of a building permit, certificate of clearance / classification or strata / subdivision clearance.</w:t>
      </w:r>
    </w:p>
    <w:p w14:paraId="49864A18"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t>The applicant shall arrange for certification to be endorsed by Fremantle Ports prior to lodgement of appropriate documentation with the Town.</w:t>
      </w:r>
    </w:p>
    <w:p w14:paraId="3FD546EC" w14:textId="77777777" w:rsidR="00B46EF1" w:rsidRPr="00F336BA" w:rsidRDefault="00B46EF1" w:rsidP="00F336BA">
      <w:pPr>
        <w:spacing w:line="360" w:lineRule="auto"/>
        <w:rPr>
          <w:rFonts w:ascii="Avenir LT 45 Book" w:eastAsia="Calibri" w:hAnsi="Avenir LT 45 Book"/>
          <w:u w:val="single"/>
        </w:rPr>
      </w:pPr>
      <w:r w:rsidRPr="00F336BA">
        <w:rPr>
          <w:rFonts w:ascii="Avenir LT 45 Book" w:eastAsia="Calibri" w:hAnsi="Avenir LT 45 Book"/>
          <w:u w:val="single"/>
        </w:rPr>
        <w:t>Buffer Area 3</w:t>
      </w:r>
    </w:p>
    <w:p w14:paraId="740E9B28"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t>Council shall refer a proposal to Fremantle Ports where the proposal falls within a specific location that has been formally notified to Council as being impacted from port operations.</w:t>
      </w:r>
    </w:p>
    <w:p w14:paraId="6F633C0C" w14:textId="77777777" w:rsidR="00B46EF1" w:rsidRPr="00F336BA" w:rsidRDefault="00B46EF1" w:rsidP="00F336BA">
      <w:pPr>
        <w:spacing w:line="360" w:lineRule="auto"/>
        <w:rPr>
          <w:rFonts w:ascii="Avenir LT 45 Book" w:eastAsia="Calibri" w:hAnsi="Avenir LT 45 Book"/>
          <w:sz w:val="20"/>
        </w:rPr>
      </w:pPr>
      <w:r w:rsidRPr="00F336BA">
        <w:rPr>
          <w:rFonts w:ascii="Avenir LT 45 Book" w:eastAsia="Calibri" w:hAnsi="Avenir LT 45 Book"/>
          <w:sz w:val="20"/>
        </w:rPr>
        <w:t>In the case of scheme amendments that would result in an increase or intensification of sensitive uses, Council shall notify Fremantle Ports as soon as practicable prior to initiating the amendment.</w:t>
      </w:r>
    </w:p>
    <w:p w14:paraId="4D039590" w14:textId="77777777" w:rsidR="00B46EF1" w:rsidRDefault="00B46EF1" w:rsidP="00B46EF1"/>
    <w:p w14:paraId="1D8DA33C" w14:textId="77777777" w:rsidR="00B46EF1" w:rsidRDefault="00B46EF1" w:rsidP="00B46EF1">
      <w:pPr>
        <w:pStyle w:val="Heading1"/>
        <w:sectPr w:rsidR="00B46EF1" w:rsidSect="008048CE">
          <w:footerReference w:type="default" r:id="rId266"/>
          <w:pgSz w:w="11906" w:h="16838"/>
          <w:pgMar w:top="1440" w:right="1440" w:bottom="1134" w:left="1440" w:header="708" w:footer="708" w:gutter="0"/>
          <w:cols w:space="708"/>
          <w:docGrid w:linePitch="360"/>
        </w:sectPr>
      </w:pPr>
    </w:p>
    <w:p w14:paraId="5DBBFA2E" w14:textId="788130AB" w:rsidR="00B46EF1" w:rsidRPr="002332BE" w:rsidRDefault="002332BE" w:rsidP="002332BE">
      <w:pPr>
        <w:pStyle w:val="Heading3"/>
        <w:keepNext w:val="0"/>
        <w:keepLines w:val="0"/>
        <w:autoSpaceDE w:val="0"/>
        <w:autoSpaceDN w:val="0"/>
        <w:spacing w:before="0" w:after="200" w:line="360" w:lineRule="auto"/>
        <w:ind w:left="1418" w:hanging="1418"/>
        <w:jc w:val="both"/>
        <w:rPr>
          <w:rFonts w:ascii="Avenir LT 65 Medium" w:eastAsia="Times New Roman" w:hAnsi="Avenir LT 65 Medium" w:cs="Times New Roman"/>
          <w:bCs/>
          <w:color w:val="000000"/>
          <w:sz w:val="22"/>
        </w:rPr>
      </w:pPr>
      <w:bookmarkStart w:id="471" w:name="_Toc452727452"/>
      <w:r>
        <w:rPr>
          <w:rFonts w:ascii="Avenir LT 65 Medium" w:eastAsia="Times New Roman" w:hAnsi="Avenir LT 65 Medium" w:cs="Times New Roman"/>
          <w:bCs/>
          <w:color w:val="000000"/>
          <w:sz w:val="22"/>
        </w:rPr>
        <w:lastRenderedPageBreak/>
        <w:t>3.7.19</w:t>
      </w:r>
      <w:r>
        <w:rPr>
          <w:rFonts w:ascii="Avenir LT 65 Medium" w:eastAsia="Times New Roman" w:hAnsi="Avenir LT 65 Medium" w:cs="Times New Roman"/>
          <w:bCs/>
          <w:color w:val="000000"/>
          <w:sz w:val="22"/>
        </w:rPr>
        <w:tab/>
      </w:r>
      <w:r w:rsidR="00B46EF1" w:rsidRPr="002332BE">
        <w:rPr>
          <w:rFonts w:ascii="Avenir LT 65 Medium" w:eastAsia="Times New Roman" w:hAnsi="Avenir LT 65 Medium" w:cs="Times New Roman"/>
          <w:bCs/>
          <w:color w:val="000000"/>
          <w:sz w:val="22"/>
        </w:rPr>
        <w:t>Preston Point Precinct</w:t>
      </w:r>
      <w:bookmarkEnd w:id="471"/>
    </w:p>
    <w:p w14:paraId="0F799832" w14:textId="77777777" w:rsidR="00B46EF1" w:rsidRPr="002332BE" w:rsidRDefault="00B46EF1" w:rsidP="002332BE">
      <w:pPr>
        <w:spacing w:line="360" w:lineRule="auto"/>
        <w:rPr>
          <w:rFonts w:ascii="Avenir LT 45 Book" w:eastAsia="Calibri" w:hAnsi="Avenir LT 45 Book"/>
          <w:i/>
          <w:sz w:val="20"/>
        </w:rPr>
      </w:pPr>
      <w:r w:rsidRPr="002332BE">
        <w:rPr>
          <w:rFonts w:ascii="Avenir LT 45 Book" w:eastAsia="Calibri" w:hAnsi="Avenir LT 45 Book"/>
          <w:i/>
          <w:sz w:val="20"/>
        </w:rPr>
        <w:t xml:space="preserve">The Preston Point Precinct contains no residential development.  The guidelines below offer a proposed set of desired outcomes for residential development </w:t>
      </w:r>
      <w:proofErr w:type="gramStart"/>
      <w:r w:rsidRPr="002332BE">
        <w:rPr>
          <w:rFonts w:ascii="Avenir LT 45 Book" w:eastAsia="Calibri" w:hAnsi="Avenir LT 45 Book"/>
          <w:i/>
          <w:sz w:val="20"/>
        </w:rPr>
        <w:t>in the event that</w:t>
      </w:r>
      <w:proofErr w:type="gramEnd"/>
      <w:r w:rsidRPr="002332BE">
        <w:rPr>
          <w:rFonts w:ascii="Avenir LT 45 Book" w:eastAsia="Calibri" w:hAnsi="Avenir LT 45 Book"/>
          <w:i/>
          <w:sz w:val="20"/>
        </w:rPr>
        <w:t xml:space="preserve"> Leeuwin Barracks is decommissioned.  The guidelines are based upon the existing built fabric and topography.  </w:t>
      </w:r>
    </w:p>
    <w:p w14:paraId="46D075B4" w14:textId="77777777" w:rsidR="00B46EF1" w:rsidRPr="002332BE" w:rsidRDefault="00B46EF1" w:rsidP="002332BE">
      <w:pPr>
        <w:spacing w:line="360" w:lineRule="auto"/>
        <w:rPr>
          <w:rFonts w:ascii="Avenir LT 45 Book" w:eastAsia="Calibri" w:hAnsi="Avenir LT 45 Book"/>
          <w:i/>
          <w:sz w:val="20"/>
        </w:rPr>
      </w:pPr>
      <w:r w:rsidRPr="002332BE">
        <w:rPr>
          <w:rFonts w:ascii="Avenir LT 45 Book" w:eastAsia="Calibri" w:hAnsi="Avenir LT 45 Book"/>
          <w:i/>
          <w:sz w:val="20"/>
        </w:rPr>
        <w:t xml:space="preserve">Before any residential development </w:t>
      </w:r>
      <w:proofErr w:type="gramStart"/>
      <w:r w:rsidRPr="002332BE">
        <w:rPr>
          <w:rFonts w:ascii="Avenir LT 45 Book" w:eastAsia="Calibri" w:hAnsi="Avenir LT 45 Book"/>
          <w:i/>
          <w:sz w:val="20"/>
        </w:rPr>
        <w:t>occurs</w:t>
      </w:r>
      <w:proofErr w:type="gramEnd"/>
      <w:r w:rsidRPr="002332BE">
        <w:rPr>
          <w:rFonts w:ascii="Avenir LT 45 Book" w:eastAsia="Calibri" w:hAnsi="Avenir LT 45 Book"/>
          <w:i/>
          <w:sz w:val="20"/>
        </w:rPr>
        <w:t xml:space="preserve"> the following assessments and plans should be made:</w:t>
      </w:r>
    </w:p>
    <w:p w14:paraId="4640556E" w14:textId="77777777" w:rsidR="00B46EF1" w:rsidRPr="002332BE" w:rsidRDefault="00B46EF1" w:rsidP="002A3889">
      <w:pPr>
        <w:pStyle w:val="ListParagraph"/>
        <w:numPr>
          <w:ilvl w:val="0"/>
          <w:numId w:val="237"/>
        </w:numPr>
        <w:spacing w:line="360" w:lineRule="auto"/>
        <w:rPr>
          <w:rFonts w:ascii="Avenir LT 45 Book" w:eastAsia="Calibri" w:hAnsi="Avenir LT 45 Book" w:cs="Times New Roman"/>
          <w:i/>
          <w:sz w:val="20"/>
        </w:rPr>
      </w:pPr>
      <w:r w:rsidRPr="002332BE">
        <w:rPr>
          <w:rFonts w:ascii="Avenir LT 45 Book" w:eastAsia="Calibri" w:hAnsi="Avenir LT 45 Book" w:cs="Times New Roman"/>
          <w:i/>
          <w:sz w:val="20"/>
        </w:rPr>
        <w:t xml:space="preserve">Heritage assessment of the site and its existing </w:t>
      </w:r>
      <w:proofErr w:type="gramStart"/>
      <w:r w:rsidRPr="002332BE">
        <w:rPr>
          <w:rFonts w:ascii="Avenir LT 45 Book" w:eastAsia="Calibri" w:hAnsi="Avenir LT 45 Book" w:cs="Times New Roman"/>
          <w:i/>
          <w:sz w:val="20"/>
        </w:rPr>
        <w:t>buildings;</w:t>
      </w:r>
      <w:proofErr w:type="gramEnd"/>
    </w:p>
    <w:p w14:paraId="2D1A2B0A" w14:textId="77777777" w:rsidR="00B46EF1" w:rsidRPr="002332BE" w:rsidRDefault="00B46EF1" w:rsidP="002A3889">
      <w:pPr>
        <w:pStyle w:val="ListParagraph"/>
        <w:numPr>
          <w:ilvl w:val="0"/>
          <w:numId w:val="237"/>
        </w:numPr>
        <w:spacing w:line="360" w:lineRule="auto"/>
        <w:rPr>
          <w:rFonts w:ascii="Avenir LT 45 Book" w:eastAsia="Calibri" w:hAnsi="Avenir LT 45 Book" w:cs="Times New Roman"/>
          <w:i/>
          <w:sz w:val="20"/>
        </w:rPr>
      </w:pPr>
      <w:r w:rsidRPr="002332BE">
        <w:rPr>
          <w:rFonts w:ascii="Avenir LT 45 Book" w:eastAsia="Calibri" w:hAnsi="Avenir LT 45 Book" w:cs="Times New Roman"/>
          <w:i/>
          <w:sz w:val="20"/>
        </w:rPr>
        <w:t>A structure plan; and,</w:t>
      </w:r>
    </w:p>
    <w:p w14:paraId="5FF1DC72" w14:textId="77777777" w:rsidR="00B46EF1" w:rsidRPr="002332BE" w:rsidRDefault="00B46EF1" w:rsidP="002A3889">
      <w:pPr>
        <w:pStyle w:val="ListParagraph"/>
        <w:numPr>
          <w:ilvl w:val="0"/>
          <w:numId w:val="237"/>
        </w:numPr>
        <w:spacing w:line="360" w:lineRule="auto"/>
        <w:rPr>
          <w:rFonts w:ascii="Avenir LT 45 Book" w:eastAsia="Calibri" w:hAnsi="Avenir LT 45 Book" w:cs="Times New Roman"/>
          <w:i/>
          <w:sz w:val="20"/>
        </w:rPr>
      </w:pPr>
      <w:r w:rsidRPr="002332BE">
        <w:rPr>
          <w:rFonts w:ascii="Avenir LT 45 Book" w:eastAsia="Calibri" w:hAnsi="Avenir LT 45 Book" w:cs="Times New Roman"/>
          <w:i/>
          <w:sz w:val="20"/>
        </w:rPr>
        <w:t>A detailed area plan.</w:t>
      </w:r>
    </w:p>
    <w:p w14:paraId="5CA2FBFF" w14:textId="77777777" w:rsidR="00B46EF1" w:rsidRPr="00842387" w:rsidRDefault="00B46EF1" w:rsidP="00B46EF1">
      <w:r>
        <w:rPr>
          <w:noProof/>
          <w:lang w:eastAsia="en-AU"/>
        </w:rPr>
        <w:drawing>
          <wp:inline distT="0" distB="0" distL="0" distR="0" wp14:anchorId="3AFB36CB" wp14:editId="5271E143">
            <wp:extent cx="2524125" cy="1800225"/>
            <wp:effectExtent l="19050" t="0" r="9525" b="0"/>
            <wp:docPr id="111" name="Picture 48" descr="Z:\2011 JOBS\11206-EAST FREMANTLE GUIDELINES\11206-PHOTOS\PROCESSED\PRESTON POINT\101 RIVERSIDE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2011 JOBS\11206-EAST FREMANTLE GUIDELINES\11206-PHOTOS\PROCESSED\PRESTON POINT\101 RIVERSIDE ROAD.jpg"/>
                    <pic:cNvPicPr>
                      <a:picLocks noChangeAspect="1" noChangeArrowheads="1"/>
                    </pic:cNvPicPr>
                  </pic:nvPicPr>
                  <pic:blipFill>
                    <a:blip r:embed="rId267"/>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75DBA72C" wp14:editId="06A9290A">
            <wp:extent cx="2524125" cy="1800225"/>
            <wp:effectExtent l="19050" t="0" r="9525" b="0"/>
            <wp:docPr id="112" name="Picture 49" descr="Z:\2011 JOBS\11206-EAST FREMANTLE GUIDELINES\11206-PHOTOS\PROCESSED\PRESTON POINT\LEEWUWIN BARRACK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2011 JOBS\11206-EAST FREMANTLE GUIDELINES\11206-PHOTOS\PROCESSED\PRESTON POINT\LEEWUWIN BARRACKS 2.jpg"/>
                    <pic:cNvPicPr>
                      <a:picLocks noChangeAspect="1" noChangeArrowheads="1"/>
                    </pic:cNvPicPr>
                  </pic:nvPicPr>
                  <pic:blipFill>
                    <a:blip r:embed="rId268"/>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73AA45C4" w14:textId="77777777" w:rsidR="00B46EF1" w:rsidRPr="002332BE" w:rsidRDefault="002332BE" w:rsidP="002332BE">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3.7.19.1</w:t>
      </w:r>
      <w:r>
        <w:rPr>
          <w:rFonts w:ascii="Avenir LT 65 Medium" w:hAnsi="Avenir LT 65 Medium"/>
          <w:bCs/>
          <w:i w:val="0"/>
          <w:color w:val="auto"/>
        </w:rPr>
        <w:tab/>
      </w:r>
      <w:r w:rsidR="00B46EF1" w:rsidRPr="002332BE">
        <w:rPr>
          <w:rFonts w:ascii="Avenir LT 65 Medium" w:hAnsi="Avenir LT 65 Medium"/>
          <w:bCs/>
          <w:i w:val="0"/>
          <w:color w:val="auto"/>
        </w:rPr>
        <w:t>Statement of Desired Future Character</w:t>
      </w:r>
    </w:p>
    <w:p w14:paraId="66437220" w14:textId="77777777" w:rsidR="00B46EF1" w:rsidRDefault="002332BE" w:rsidP="002332BE">
      <w:pPr>
        <w:pStyle w:val="Heading5"/>
      </w:pPr>
      <w:r>
        <w:t>3.7.19.1.1</w:t>
      </w:r>
      <w:r>
        <w:tab/>
      </w:r>
      <w:r w:rsidR="00B46EF1" w:rsidRPr="00842387">
        <w:t>Preston Point</w:t>
      </w:r>
    </w:p>
    <w:p w14:paraId="447E34A1" w14:textId="77777777" w:rsidR="00B46EF1" w:rsidRPr="002332BE" w:rsidRDefault="00B46EF1" w:rsidP="00B46EF1">
      <w:pPr>
        <w:rPr>
          <w:rFonts w:ascii="Avenir LT 45 Book" w:eastAsia="Calibri" w:hAnsi="Avenir LT 45 Book"/>
          <w:i/>
          <w:sz w:val="20"/>
        </w:rPr>
      </w:pPr>
      <w:r w:rsidRPr="002332BE">
        <w:rPr>
          <w:rFonts w:ascii="Avenir LT 45 Book" w:eastAsia="Calibri" w:hAnsi="Avenir LT 45 Book"/>
          <w:i/>
          <w:sz w:val="20"/>
        </w:rPr>
        <w:t>The desired future character of the Preston Point precinct is the maintenance of its commercial and recreational buildings along the foreshore, cohabiting with green public open space.  Should Leeuwin Barracks be decommissioned, the place should be conserved, adapted and developed in accordance with ICOMOS Burra Charter principles.  Any new residential buildings should contribute to the values of the significant Leeuwin Barrack Buildings.</w:t>
      </w:r>
    </w:p>
    <w:p w14:paraId="38B5D9C2" w14:textId="77777777" w:rsidR="00B46EF1" w:rsidRPr="002332BE" w:rsidRDefault="00B46EF1" w:rsidP="00B46EF1">
      <w:pPr>
        <w:rPr>
          <w:rFonts w:ascii="Avenir LT 45 Book" w:eastAsia="Calibri" w:hAnsi="Avenir LT 45 Book"/>
          <w:i/>
          <w:sz w:val="20"/>
        </w:rPr>
      </w:pPr>
      <w:r w:rsidRPr="002332BE">
        <w:rPr>
          <w:rFonts w:ascii="Avenir LT 45 Book" w:eastAsia="Calibri" w:hAnsi="Avenir LT 45 Book"/>
          <w:i/>
          <w:sz w:val="20"/>
        </w:rPr>
        <w:t>Under the State Governments “Directions 2031 and Beyond” growth strategy for metropolitan Perth the Town is required to seek the addition of 600 hundred dwellings within its remit.  Consideration should be given to the suitability of a substantial element of medium density housing in this Precinct to meet part of this requirement.</w:t>
      </w:r>
    </w:p>
    <w:p w14:paraId="336FB614" w14:textId="77777777" w:rsidR="00B46EF1" w:rsidRPr="00C01D4C" w:rsidRDefault="00C01D4C" w:rsidP="00C01D4C">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3.7.19.2</w:t>
      </w:r>
      <w:r>
        <w:rPr>
          <w:rFonts w:ascii="Avenir LT 65 Medium" w:hAnsi="Avenir LT 65 Medium"/>
          <w:bCs/>
          <w:i w:val="0"/>
          <w:color w:val="auto"/>
        </w:rPr>
        <w:tab/>
      </w:r>
      <w:r w:rsidR="00B46EF1" w:rsidRPr="00C01D4C">
        <w:rPr>
          <w:rFonts w:ascii="Avenir LT 65 Medium" w:hAnsi="Avenir LT 65 Medium"/>
          <w:bCs/>
          <w:i w:val="0"/>
          <w:color w:val="auto"/>
        </w:rPr>
        <w:t>Development Pattern and Lot Subdivision</w:t>
      </w:r>
    </w:p>
    <w:p w14:paraId="5FA8E57F" w14:textId="77777777" w:rsidR="00B46EF1" w:rsidRDefault="00C01D4C" w:rsidP="00C01D4C">
      <w:pPr>
        <w:pStyle w:val="Heading5"/>
      </w:pPr>
      <w:r>
        <w:t>3.7.19.2.1</w:t>
      </w:r>
      <w:r>
        <w:tab/>
      </w:r>
      <w:r w:rsidR="00B46EF1" w:rsidRPr="00842387">
        <w:t>Statement</w:t>
      </w:r>
    </w:p>
    <w:p w14:paraId="6D7916DF" w14:textId="77777777" w:rsidR="00B46EF1" w:rsidRPr="00C01D4C" w:rsidRDefault="00B46EF1" w:rsidP="00C01D4C">
      <w:pPr>
        <w:spacing w:line="360" w:lineRule="auto"/>
        <w:rPr>
          <w:rFonts w:ascii="Avenir LT 45 Book" w:eastAsia="Calibri" w:hAnsi="Avenir LT 45 Book"/>
          <w:i/>
          <w:sz w:val="20"/>
        </w:rPr>
      </w:pPr>
      <w:r w:rsidRPr="00C01D4C">
        <w:rPr>
          <w:rFonts w:ascii="Avenir LT 45 Book" w:eastAsia="Calibri" w:hAnsi="Avenir LT 45 Book"/>
          <w:i/>
          <w:sz w:val="20"/>
        </w:rPr>
        <w:t>The first objective of the structure plan would be to establish densities, circulation and a development pattern that’s compatible with the Heritage values of the site and to propose a pattern of subdivisions for the site.</w:t>
      </w:r>
    </w:p>
    <w:p w14:paraId="596F4BC4" w14:textId="77777777" w:rsidR="00B46EF1" w:rsidRDefault="00B46EF1" w:rsidP="00B46EF1">
      <w:pPr>
        <w:rPr>
          <w:i/>
        </w:rPr>
        <w:sectPr w:rsidR="00B46EF1" w:rsidSect="008048CE">
          <w:footerReference w:type="default" r:id="rId269"/>
          <w:pgSz w:w="11906" w:h="16838"/>
          <w:pgMar w:top="1440" w:right="1440" w:bottom="1440" w:left="1440" w:header="708" w:footer="708" w:gutter="0"/>
          <w:cols w:space="708"/>
          <w:docGrid w:linePitch="360"/>
        </w:sectPr>
      </w:pPr>
    </w:p>
    <w:p w14:paraId="1DBA87A1" w14:textId="5080FF7C" w:rsidR="00B46EF1" w:rsidRPr="00C01D4C" w:rsidRDefault="00C01D4C" w:rsidP="00C01D4C">
      <w:pPr>
        <w:pStyle w:val="Heading3"/>
        <w:keepNext w:val="0"/>
        <w:keepLines w:val="0"/>
        <w:autoSpaceDE w:val="0"/>
        <w:autoSpaceDN w:val="0"/>
        <w:spacing w:before="0" w:after="200" w:line="360" w:lineRule="auto"/>
        <w:ind w:left="1418" w:hanging="1418"/>
        <w:jc w:val="both"/>
        <w:rPr>
          <w:rFonts w:ascii="Avenir LT 65 Medium" w:eastAsia="Times New Roman" w:hAnsi="Avenir LT 65 Medium" w:cs="Times New Roman"/>
          <w:bCs/>
          <w:color w:val="000000"/>
          <w:sz w:val="22"/>
        </w:rPr>
      </w:pPr>
      <w:bookmarkStart w:id="472" w:name="_Toc452727453"/>
      <w:r>
        <w:rPr>
          <w:rFonts w:ascii="Avenir LT 65 Medium" w:eastAsia="Times New Roman" w:hAnsi="Avenir LT 65 Medium" w:cs="Times New Roman"/>
          <w:bCs/>
          <w:color w:val="000000"/>
          <w:sz w:val="22"/>
        </w:rPr>
        <w:lastRenderedPageBreak/>
        <w:t>3.7.20</w:t>
      </w:r>
      <w:r>
        <w:rPr>
          <w:rFonts w:ascii="Avenir LT 65 Medium" w:eastAsia="Times New Roman" w:hAnsi="Avenir LT 65 Medium" w:cs="Times New Roman"/>
          <w:bCs/>
          <w:color w:val="000000"/>
          <w:sz w:val="22"/>
        </w:rPr>
        <w:tab/>
      </w:r>
      <w:r w:rsidR="00B46EF1" w:rsidRPr="00C01D4C">
        <w:rPr>
          <w:rFonts w:ascii="Avenir LT 65 Medium" w:eastAsia="Times New Roman" w:hAnsi="Avenir LT 65 Medium" w:cs="Times New Roman"/>
          <w:bCs/>
          <w:color w:val="000000"/>
          <w:sz w:val="22"/>
        </w:rPr>
        <w:t>Richmond Raceway Precinct</w:t>
      </w:r>
      <w:bookmarkEnd w:id="472"/>
    </w:p>
    <w:p w14:paraId="17F1F4C5" w14:textId="77777777" w:rsidR="00B46EF1" w:rsidRPr="00C01D4C" w:rsidRDefault="00C01D4C" w:rsidP="00C01D4C">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3.7.20.1</w:t>
      </w:r>
      <w:r>
        <w:rPr>
          <w:rFonts w:ascii="Avenir LT 65 Medium" w:hAnsi="Avenir LT 65 Medium"/>
          <w:bCs/>
          <w:i w:val="0"/>
          <w:color w:val="auto"/>
        </w:rPr>
        <w:tab/>
      </w:r>
      <w:r w:rsidR="00B46EF1" w:rsidRPr="00C01D4C">
        <w:rPr>
          <w:rFonts w:ascii="Avenir LT 65 Medium" w:hAnsi="Avenir LT 65 Medium"/>
          <w:bCs/>
          <w:i w:val="0"/>
          <w:color w:val="auto"/>
        </w:rPr>
        <w:t>Statement of Desired Future Character</w:t>
      </w:r>
    </w:p>
    <w:p w14:paraId="3847F5C5" w14:textId="77777777" w:rsidR="00B46EF1" w:rsidRDefault="00C01D4C" w:rsidP="00C01D4C">
      <w:pPr>
        <w:pStyle w:val="Heading5"/>
      </w:pPr>
      <w:r>
        <w:t>3.7.20.1.1</w:t>
      </w:r>
      <w:r>
        <w:tab/>
      </w:r>
      <w:r w:rsidR="00B46EF1" w:rsidRPr="00842387">
        <w:t>Richmond Raceway</w:t>
      </w:r>
    </w:p>
    <w:p w14:paraId="3BAC55FE" w14:textId="77777777" w:rsidR="00B46EF1" w:rsidRPr="00C01D4C" w:rsidRDefault="00B46EF1" w:rsidP="00C01D4C">
      <w:pPr>
        <w:spacing w:line="360" w:lineRule="auto"/>
        <w:rPr>
          <w:rFonts w:ascii="Avenir LT 45 Book" w:eastAsia="Calibri" w:hAnsi="Avenir LT 45 Book"/>
          <w:i/>
          <w:sz w:val="20"/>
        </w:rPr>
      </w:pPr>
      <w:r w:rsidRPr="00C01D4C">
        <w:rPr>
          <w:rFonts w:ascii="Avenir LT 45 Book" w:eastAsia="Calibri" w:hAnsi="Avenir LT 45 Book"/>
          <w:i/>
          <w:sz w:val="20"/>
        </w:rPr>
        <w:t>The desired future character of the Richmond Raceway Precinct is to maintain the medium density development and to ensure that residences retain their association with the streetscape.</w:t>
      </w:r>
    </w:p>
    <w:p w14:paraId="5D6BB96E" w14:textId="77777777" w:rsidR="00B46EF1" w:rsidRPr="00842387" w:rsidRDefault="00B46EF1" w:rsidP="00B46EF1">
      <w:pPr>
        <w:rPr>
          <w:szCs w:val="20"/>
        </w:rPr>
      </w:pPr>
      <w:r>
        <w:rPr>
          <w:noProof/>
          <w:lang w:eastAsia="en-AU"/>
        </w:rPr>
        <w:drawing>
          <wp:inline distT="0" distB="0" distL="0" distR="0" wp14:anchorId="22982765" wp14:editId="422C2176">
            <wp:extent cx="2524125" cy="1800225"/>
            <wp:effectExtent l="19050" t="0" r="9525" b="0"/>
            <wp:docPr id="113" name="Picture 50" descr="Z:\2011 JOBS\11206-EAST FREMANTLE GUIDELINES\11206-PHOTOS\PROCESSED\RACEWAY\MOSS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2011 JOBS\11206-EAST FREMANTLE GUIDELINES\11206-PHOTOS\PROCESSED\RACEWAY\MOSS STREET.jpg"/>
                    <pic:cNvPicPr>
                      <a:picLocks noChangeAspect="1" noChangeArrowheads="1"/>
                    </pic:cNvPicPr>
                  </pic:nvPicPr>
                  <pic:blipFill>
                    <a:blip r:embed="rId270"/>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rPr>
          <w:szCs w:val="20"/>
        </w:rPr>
        <w:t xml:space="preserve">      </w:t>
      </w:r>
      <w:r>
        <w:rPr>
          <w:noProof/>
          <w:szCs w:val="20"/>
          <w:lang w:eastAsia="en-AU"/>
        </w:rPr>
        <w:drawing>
          <wp:inline distT="0" distB="0" distL="0" distR="0" wp14:anchorId="320C888E" wp14:editId="25DF7D83">
            <wp:extent cx="2524125" cy="1800225"/>
            <wp:effectExtent l="19050" t="0" r="9525" b="0"/>
            <wp:docPr id="114" name="Picture 51" descr="Z:\2011 JOBS\11206-EAST FREMANTLE GUIDELINES\11206-PHOTOS\PROCESSED\RACEWAY\SILAS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2011 JOBS\11206-EAST FREMANTLE GUIDELINES\11206-PHOTOS\PROCESSED\RACEWAY\SILAS STREET.jpg"/>
                    <pic:cNvPicPr>
                      <a:picLocks noChangeAspect="1" noChangeArrowheads="1"/>
                    </pic:cNvPicPr>
                  </pic:nvPicPr>
                  <pic:blipFill>
                    <a:blip r:embed="rId271"/>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08B587BB" w14:textId="77777777" w:rsidR="00B46EF1" w:rsidRPr="00C01D4C" w:rsidRDefault="00C01D4C" w:rsidP="00C01D4C">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3.7.20.2</w:t>
      </w:r>
      <w:r>
        <w:rPr>
          <w:rFonts w:ascii="Avenir LT 65 Medium" w:hAnsi="Avenir LT 65 Medium"/>
          <w:bCs/>
          <w:i w:val="0"/>
          <w:color w:val="auto"/>
        </w:rPr>
        <w:tab/>
      </w:r>
      <w:r w:rsidR="00B46EF1" w:rsidRPr="00C01D4C">
        <w:rPr>
          <w:rFonts w:ascii="Avenir LT 65 Medium" w:hAnsi="Avenir LT 65 Medium"/>
          <w:bCs/>
          <w:i w:val="0"/>
          <w:color w:val="auto"/>
        </w:rPr>
        <w:t>Access, Parking and Rights-of-Way</w:t>
      </w:r>
    </w:p>
    <w:p w14:paraId="3724D173" w14:textId="77777777" w:rsidR="00B46EF1" w:rsidRDefault="00C01D4C" w:rsidP="00C01D4C">
      <w:pPr>
        <w:pStyle w:val="Heading5"/>
      </w:pPr>
      <w:r>
        <w:t>3.7.20.2.1</w:t>
      </w:r>
      <w:r>
        <w:tab/>
      </w:r>
      <w:r w:rsidR="00B46EF1" w:rsidRPr="00842387">
        <w:t>Statement</w:t>
      </w:r>
    </w:p>
    <w:p w14:paraId="1A83EB51" w14:textId="77777777" w:rsidR="00B46EF1" w:rsidRPr="00C01D4C" w:rsidRDefault="00B46EF1" w:rsidP="00C01D4C">
      <w:pPr>
        <w:spacing w:line="360" w:lineRule="auto"/>
        <w:rPr>
          <w:rFonts w:ascii="Avenir LT 45 Book" w:eastAsia="Calibri" w:hAnsi="Avenir LT 45 Book"/>
          <w:i/>
          <w:sz w:val="20"/>
        </w:rPr>
      </w:pPr>
      <w:r w:rsidRPr="00C01D4C">
        <w:rPr>
          <w:rFonts w:ascii="Avenir LT 45 Book" w:eastAsia="Calibri" w:hAnsi="Avenir LT 45 Book"/>
          <w:i/>
          <w:sz w:val="20"/>
        </w:rPr>
        <w:t xml:space="preserve">Residences in the Richmond Raceway Precinct have access predominantly via a single cross over.  Parking to </w:t>
      </w:r>
      <w:proofErr w:type="gramStart"/>
      <w:r w:rsidRPr="00C01D4C">
        <w:rPr>
          <w:rFonts w:ascii="Avenir LT 45 Book" w:eastAsia="Calibri" w:hAnsi="Avenir LT 45 Book"/>
          <w:i/>
          <w:sz w:val="20"/>
        </w:rPr>
        <w:t>the majority of</w:t>
      </w:r>
      <w:proofErr w:type="gramEnd"/>
      <w:r w:rsidRPr="00C01D4C">
        <w:rPr>
          <w:rFonts w:ascii="Avenir LT 45 Book" w:eastAsia="Calibri" w:hAnsi="Avenir LT 45 Book"/>
          <w:i/>
          <w:sz w:val="20"/>
        </w:rPr>
        <w:t xml:space="preserve"> developments occurs in the front setback area.  There are a couple of multiple dwellings in the Richmond Raceway Precinct.  Parking to multiple dwellings occurs at the rear of the lots is via shared access over multiple crossovers.  </w:t>
      </w:r>
    </w:p>
    <w:p w14:paraId="51E7414A" w14:textId="77777777" w:rsidR="00B46EF1" w:rsidRDefault="00B46EF1" w:rsidP="00B46EF1">
      <w:r>
        <w:rPr>
          <w:noProof/>
          <w:lang w:eastAsia="en-AU"/>
        </w:rPr>
        <w:drawing>
          <wp:inline distT="0" distB="0" distL="0" distR="0" wp14:anchorId="09DEE0D6" wp14:editId="466427D7">
            <wp:extent cx="2524125" cy="1800225"/>
            <wp:effectExtent l="19050" t="0" r="9525" b="0"/>
            <wp:docPr id="115" name="Picture 52" descr="Z:\2011 JOBS\11206-EAST FREMANTLE GUIDELINES\11206-PHOTOS\PROCESSED\RACEWAY\22 BAYPATCH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2011 JOBS\11206-EAST FREMANTLE GUIDELINES\11206-PHOTOS\PROCESSED\RACEWAY\22 BAYPATCH ST.jpg"/>
                    <pic:cNvPicPr>
                      <a:picLocks noChangeAspect="1" noChangeArrowheads="1"/>
                    </pic:cNvPicPr>
                  </pic:nvPicPr>
                  <pic:blipFill>
                    <a:blip r:embed="rId272"/>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0B59427E" wp14:editId="7A589803">
            <wp:extent cx="2524125" cy="1800225"/>
            <wp:effectExtent l="19050" t="0" r="9525" b="0"/>
            <wp:docPr id="116" name="Picture 53" descr="Z:\2011 JOBS\11206-EAST FREMANTLE GUIDELINES\11206-PHOTOS\PROCESSED\RACEWAY\28 BAYPATCH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2011 JOBS\11206-EAST FREMANTLE GUIDELINES\11206-PHOTOS\PROCESSED\RACEWAY\28 BAYPATCH ST.jpg"/>
                    <pic:cNvPicPr>
                      <a:picLocks noChangeAspect="1" noChangeArrowheads="1"/>
                    </pic:cNvPicPr>
                  </pic:nvPicPr>
                  <pic:blipFill>
                    <a:blip r:embed="rId273"/>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2FC09CEF" w14:textId="77777777" w:rsidR="00B46EF1" w:rsidRDefault="00C01D4C" w:rsidP="00C01D4C">
      <w:pPr>
        <w:pStyle w:val="Heading5"/>
      </w:pPr>
      <w:r>
        <w:t>3.7.20.2.2</w:t>
      </w:r>
      <w:r>
        <w:tab/>
      </w:r>
      <w:r w:rsidR="00B46EF1" w:rsidRPr="00842387">
        <w:t>Desired Development Outcomes</w:t>
      </w:r>
    </w:p>
    <w:p w14:paraId="0B5149A1" w14:textId="77777777" w:rsidR="00B46EF1" w:rsidRPr="00C01D4C" w:rsidRDefault="00B46EF1" w:rsidP="002A3889">
      <w:pPr>
        <w:pStyle w:val="ListParagraph"/>
        <w:numPr>
          <w:ilvl w:val="0"/>
          <w:numId w:val="238"/>
        </w:numPr>
        <w:spacing w:line="360" w:lineRule="auto"/>
        <w:ind w:left="714" w:hanging="35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 xml:space="preserve">Parking areas of lots and development sites shall reflect the existing streetscape where </w:t>
      </w:r>
      <w:proofErr w:type="gramStart"/>
      <w:r w:rsidRPr="00C01D4C">
        <w:rPr>
          <w:rFonts w:ascii="Avenir LT 45 Book" w:eastAsia="Calibri" w:hAnsi="Avenir LT 45 Book" w:cs="Times New Roman"/>
          <w:sz w:val="20"/>
        </w:rPr>
        <w:t>possible;</w:t>
      </w:r>
      <w:proofErr w:type="gramEnd"/>
    </w:p>
    <w:p w14:paraId="48825FEF" w14:textId="77777777" w:rsidR="00B46EF1" w:rsidRPr="00C01D4C" w:rsidRDefault="00B46EF1" w:rsidP="002A3889">
      <w:pPr>
        <w:pStyle w:val="ListParagraph"/>
        <w:numPr>
          <w:ilvl w:val="0"/>
          <w:numId w:val="238"/>
        </w:numPr>
        <w:spacing w:line="360" w:lineRule="auto"/>
        <w:ind w:left="714" w:hanging="35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Where possible parking to multiple dwelling to occur at the rear or side of the lot.  Access is to be from a shared access way; and,</w:t>
      </w:r>
    </w:p>
    <w:p w14:paraId="4CA72160" w14:textId="77777777" w:rsidR="00B46EF1" w:rsidRPr="00C01D4C" w:rsidRDefault="00B46EF1" w:rsidP="002A3889">
      <w:pPr>
        <w:pStyle w:val="ListParagraph"/>
        <w:numPr>
          <w:ilvl w:val="0"/>
          <w:numId w:val="238"/>
        </w:numPr>
        <w:spacing w:line="360" w:lineRule="auto"/>
        <w:ind w:left="714" w:hanging="35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Minimise number of crossovers.</w:t>
      </w:r>
    </w:p>
    <w:p w14:paraId="42B839A4" w14:textId="77777777" w:rsidR="00B46EF1" w:rsidRDefault="00C01D4C" w:rsidP="00C01D4C">
      <w:pPr>
        <w:pStyle w:val="Heading5"/>
      </w:pPr>
      <w:r>
        <w:t>3.7.20.2.3</w:t>
      </w:r>
      <w:r>
        <w:tab/>
      </w:r>
      <w:r w:rsidR="00B46EF1" w:rsidRPr="00842387">
        <w:t>Performance Criteria and Acceptable Development</w:t>
      </w:r>
      <w:r w:rsidR="00B46EF1">
        <w:t xml:space="preserve">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7"/>
        <w:gridCol w:w="4509"/>
      </w:tblGrid>
      <w:tr w:rsidR="00B46EF1" w:rsidRPr="00842387" w14:paraId="336603F9" w14:textId="77777777" w:rsidTr="008048CE">
        <w:tc>
          <w:tcPr>
            <w:tcW w:w="4621" w:type="dxa"/>
          </w:tcPr>
          <w:p w14:paraId="30881348" w14:textId="77777777" w:rsidR="00B46EF1" w:rsidRDefault="00B46EF1" w:rsidP="008048CE">
            <w:pPr>
              <w:rPr>
                <w:rFonts w:ascii="Avenir LT 65 Medium" w:hAnsi="Avenir LT 65 Medium"/>
              </w:rPr>
            </w:pPr>
            <w:r w:rsidRPr="00842387">
              <w:rPr>
                <w:rFonts w:ascii="Avenir LT 65 Medium" w:hAnsi="Avenir LT 65 Medium"/>
              </w:rPr>
              <w:lastRenderedPageBreak/>
              <w:t>Performance Criteria</w:t>
            </w:r>
          </w:p>
        </w:tc>
        <w:tc>
          <w:tcPr>
            <w:tcW w:w="4621" w:type="dxa"/>
          </w:tcPr>
          <w:p w14:paraId="6F588EAA" w14:textId="77777777" w:rsidR="00B46EF1" w:rsidRDefault="00B46EF1" w:rsidP="008048CE">
            <w:r w:rsidRPr="00842387">
              <w:rPr>
                <w:rFonts w:ascii="Avenir LT 65 Medium" w:hAnsi="Avenir LT 65 Medium"/>
              </w:rPr>
              <w:t>Acceptable Development Provisions</w:t>
            </w:r>
          </w:p>
        </w:tc>
      </w:tr>
      <w:tr w:rsidR="00B46EF1" w:rsidRPr="00842387" w14:paraId="59093DDE" w14:textId="77777777" w:rsidTr="008048CE">
        <w:tc>
          <w:tcPr>
            <w:tcW w:w="4621" w:type="dxa"/>
            <w:tcBorders>
              <w:bottom w:val="nil"/>
            </w:tcBorders>
          </w:tcPr>
          <w:p w14:paraId="6BB336CE" w14:textId="77777777" w:rsidR="00B46EF1" w:rsidRPr="00C01D4C" w:rsidRDefault="00B46EF1" w:rsidP="002A3889">
            <w:pPr>
              <w:pStyle w:val="ListParagraph"/>
              <w:numPr>
                <w:ilvl w:val="0"/>
                <w:numId w:val="239"/>
              </w:numPr>
              <w:spacing w:before="120" w:line="360" w:lineRule="auto"/>
              <w:ind w:left="567" w:hanging="504"/>
              <w:contextualSpacing w:val="0"/>
              <w:rPr>
                <w:rFonts w:ascii="Avenir LT 45 Book" w:eastAsia="Calibri" w:hAnsi="Avenir LT 45 Book" w:cs="Times New Roman"/>
                <w:sz w:val="20"/>
              </w:rPr>
            </w:pPr>
            <w:r w:rsidRPr="00C01D4C">
              <w:rPr>
                <w:rFonts w:ascii="Avenir LT 45 Book" w:eastAsia="Calibri" w:hAnsi="Avenir LT 45 Book" w:cs="Times New Roman"/>
                <w:sz w:val="20"/>
              </w:rPr>
              <w:t>Access and parking for the building is to be adequately provided for within the boundaries of the lot/development site, and does not negatively impact on:</w:t>
            </w:r>
          </w:p>
          <w:p w14:paraId="554A6463" w14:textId="77777777" w:rsidR="00B46EF1" w:rsidRPr="00C01D4C" w:rsidRDefault="00B46EF1" w:rsidP="002A3889">
            <w:pPr>
              <w:pStyle w:val="ListParagraph"/>
              <w:numPr>
                <w:ilvl w:val="0"/>
                <w:numId w:val="241"/>
              </w:numPr>
              <w:spacing w:line="360" w:lineRule="auto"/>
              <w:ind w:left="567" w:hanging="20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The streetscape character and amenity; and,</w:t>
            </w:r>
          </w:p>
          <w:p w14:paraId="21FA0501" w14:textId="77777777" w:rsidR="00B46EF1" w:rsidRDefault="00B46EF1" w:rsidP="002A3889">
            <w:pPr>
              <w:pStyle w:val="ListParagraph"/>
              <w:numPr>
                <w:ilvl w:val="0"/>
                <w:numId w:val="241"/>
              </w:numPr>
              <w:spacing w:line="360" w:lineRule="auto"/>
              <w:ind w:left="567" w:hanging="207"/>
              <w:contextualSpacing w:val="0"/>
            </w:pPr>
            <w:r w:rsidRPr="00C01D4C">
              <w:rPr>
                <w:rFonts w:ascii="Avenir LT 45 Book" w:eastAsia="Calibri" w:hAnsi="Avenir LT 45 Book" w:cs="Times New Roman"/>
                <w:sz w:val="20"/>
              </w:rPr>
              <w:t>The availability of on-street parking in the locality.</w:t>
            </w:r>
          </w:p>
        </w:tc>
        <w:tc>
          <w:tcPr>
            <w:tcW w:w="4621" w:type="dxa"/>
            <w:tcBorders>
              <w:bottom w:val="nil"/>
            </w:tcBorders>
          </w:tcPr>
          <w:p w14:paraId="0F9EC571" w14:textId="77777777" w:rsidR="00B46EF1" w:rsidRDefault="00B46EF1" w:rsidP="002A3889">
            <w:pPr>
              <w:pStyle w:val="ListParagraph"/>
              <w:numPr>
                <w:ilvl w:val="0"/>
                <w:numId w:val="240"/>
              </w:numPr>
              <w:spacing w:line="360" w:lineRule="auto"/>
              <w:ind w:left="624" w:hanging="505"/>
              <w:contextualSpacing w:val="0"/>
            </w:pPr>
            <w:r w:rsidRPr="00C01D4C">
              <w:rPr>
                <w:rFonts w:ascii="Avenir LT 45 Book" w:eastAsia="Calibri" w:hAnsi="Avenir LT 45 Book" w:cs="Times New Roman"/>
                <w:sz w:val="20"/>
              </w:rPr>
              <w:t>Parking areas of lots and development sites for grouped or multiple dwellings are accessed from a shared access way.</w:t>
            </w:r>
          </w:p>
        </w:tc>
      </w:tr>
      <w:tr w:rsidR="00B46EF1" w:rsidRPr="00842387" w14:paraId="73A6C9D5" w14:textId="77777777" w:rsidTr="008048CE">
        <w:tc>
          <w:tcPr>
            <w:tcW w:w="4621" w:type="dxa"/>
            <w:tcBorders>
              <w:top w:val="nil"/>
              <w:bottom w:val="nil"/>
            </w:tcBorders>
          </w:tcPr>
          <w:p w14:paraId="529741DE" w14:textId="77777777" w:rsidR="00B46EF1" w:rsidRDefault="00B46EF1" w:rsidP="002A3889">
            <w:pPr>
              <w:pStyle w:val="ListParagraph"/>
              <w:numPr>
                <w:ilvl w:val="0"/>
                <w:numId w:val="239"/>
              </w:numPr>
              <w:spacing w:line="360" w:lineRule="auto"/>
              <w:ind w:left="567" w:hanging="504"/>
              <w:contextualSpacing w:val="0"/>
            </w:pPr>
            <w:r w:rsidRPr="00C01D4C">
              <w:rPr>
                <w:rFonts w:ascii="Avenir LT 45 Book" w:eastAsia="Calibri" w:hAnsi="Avenir LT 45 Book" w:cs="Times New Roman"/>
                <w:sz w:val="20"/>
              </w:rPr>
              <w:t>Parking for all dwelling types shall not be prominent on the primary street facade.</w:t>
            </w:r>
          </w:p>
        </w:tc>
        <w:tc>
          <w:tcPr>
            <w:tcW w:w="4621" w:type="dxa"/>
            <w:tcBorders>
              <w:top w:val="nil"/>
              <w:bottom w:val="nil"/>
            </w:tcBorders>
          </w:tcPr>
          <w:p w14:paraId="0FC6C1C9" w14:textId="77777777" w:rsidR="00B46EF1" w:rsidRPr="00C01D4C" w:rsidRDefault="00B46EF1" w:rsidP="002A3889">
            <w:pPr>
              <w:pStyle w:val="ListParagraph"/>
              <w:numPr>
                <w:ilvl w:val="0"/>
                <w:numId w:val="240"/>
              </w:numPr>
              <w:spacing w:line="360" w:lineRule="auto"/>
              <w:ind w:left="624" w:hanging="505"/>
              <w:contextualSpacing w:val="0"/>
              <w:rPr>
                <w:rFonts w:ascii="Avenir LT 45 Book" w:eastAsia="Calibri" w:hAnsi="Avenir LT 45 Book" w:cs="Times New Roman"/>
                <w:sz w:val="20"/>
              </w:rPr>
            </w:pPr>
            <w:r w:rsidRPr="00C01D4C">
              <w:rPr>
                <w:rFonts w:ascii="Avenir LT 45 Book" w:eastAsia="Calibri" w:hAnsi="Avenir LT 45 Book" w:cs="Times New Roman"/>
                <w:sz w:val="20"/>
              </w:rPr>
              <w:t>Parking to all dwellings to be designed at the rear of the lot.</w:t>
            </w:r>
          </w:p>
          <w:p w14:paraId="5704F138" w14:textId="77777777" w:rsidR="00B46EF1" w:rsidRDefault="00B46EF1" w:rsidP="008048CE">
            <w:pPr>
              <w:ind w:left="624" w:hanging="505"/>
            </w:pPr>
          </w:p>
        </w:tc>
      </w:tr>
    </w:tbl>
    <w:p w14:paraId="6099DE12" w14:textId="77777777" w:rsidR="00B46EF1" w:rsidRPr="00C01D4C" w:rsidRDefault="00C01D4C" w:rsidP="00C01D4C">
      <w:pPr>
        <w:pStyle w:val="Heading4"/>
        <w:spacing w:before="360" w:after="200" w:line="360" w:lineRule="auto"/>
        <w:rPr>
          <w:rFonts w:ascii="Avenir LT 65 Medium" w:hAnsi="Avenir LT 65 Medium"/>
          <w:bCs/>
          <w:i w:val="0"/>
          <w:color w:val="auto"/>
        </w:rPr>
      </w:pPr>
      <w:r>
        <w:rPr>
          <w:rFonts w:ascii="Avenir LT 65 Medium" w:hAnsi="Avenir LT 65 Medium"/>
          <w:bCs/>
          <w:i w:val="0"/>
          <w:color w:val="auto"/>
        </w:rPr>
        <w:t>3.7.20.3</w:t>
      </w:r>
      <w:r>
        <w:rPr>
          <w:rFonts w:ascii="Avenir LT 65 Medium" w:hAnsi="Avenir LT 65 Medium"/>
          <w:bCs/>
          <w:i w:val="0"/>
          <w:color w:val="auto"/>
        </w:rPr>
        <w:tab/>
      </w:r>
      <w:r w:rsidR="00B46EF1" w:rsidRPr="00C01D4C">
        <w:rPr>
          <w:rFonts w:ascii="Avenir LT 65 Medium" w:hAnsi="Avenir LT 65 Medium"/>
          <w:bCs/>
          <w:i w:val="0"/>
          <w:color w:val="auto"/>
        </w:rPr>
        <w:t>Garages, Carports and Outbuildings</w:t>
      </w:r>
    </w:p>
    <w:p w14:paraId="09E955BF" w14:textId="77777777" w:rsidR="00B46EF1" w:rsidRDefault="00C01D4C" w:rsidP="00C01D4C">
      <w:pPr>
        <w:pStyle w:val="Heading5"/>
      </w:pPr>
      <w:r>
        <w:t>3.7.20.3.1</w:t>
      </w:r>
      <w:r>
        <w:tab/>
      </w:r>
      <w:r w:rsidR="00B46EF1" w:rsidRPr="00842387">
        <w:t>Statement</w:t>
      </w:r>
    </w:p>
    <w:p w14:paraId="578B47DE" w14:textId="77777777" w:rsidR="00B46EF1" w:rsidRPr="00C01D4C" w:rsidRDefault="00B46EF1" w:rsidP="00C01D4C">
      <w:pPr>
        <w:spacing w:line="360" w:lineRule="auto"/>
        <w:rPr>
          <w:rFonts w:ascii="Avenir LT 45 Book" w:eastAsia="Calibri" w:hAnsi="Avenir LT 45 Book"/>
          <w:i/>
          <w:sz w:val="20"/>
        </w:rPr>
      </w:pPr>
      <w:r w:rsidRPr="00C01D4C">
        <w:rPr>
          <w:rFonts w:ascii="Avenir LT 45 Book" w:eastAsia="Calibri" w:hAnsi="Avenir LT 45 Book"/>
          <w:i/>
          <w:sz w:val="20"/>
        </w:rPr>
        <w:t>Garages, carports and outbuildings in the Richmond Raceway Precinct are generally incorporated into the front facade.  Parking is to be located to the rear of dwellings.</w:t>
      </w:r>
    </w:p>
    <w:p w14:paraId="1550F46E" w14:textId="77777777" w:rsidR="00B46EF1" w:rsidRPr="00C01D4C" w:rsidRDefault="00B46EF1" w:rsidP="00C01D4C">
      <w:pPr>
        <w:spacing w:line="360" w:lineRule="auto"/>
        <w:rPr>
          <w:rFonts w:ascii="Avenir LT 45 Book" w:eastAsia="Calibri" w:hAnsi="Avenir LT 45 Book"/>
          <w:i/>
          <w:sz w:val="20"/>
        </w:rPr>
      </w:pPr>
      <w:r w:rsidRPr="00C01D4C">
        <w:rPr>
          <w:rFonts w:ascii="Avenir LT 45 Book" w:eastAsia="Calibri" w:hAnsi="Avenir LT 45 Book"/>
          <w:i/>
          <w:sz w:val="20"/>
        </w:rPr>
        <w:t>Garages and carports are compatible with the Richmond Raceway Precinct.</w:t>
      </w:r>
    </w:p>
    <w:p w14:paraId="5DBDDF33" w14:textId="77777777" w:rsidR="00B46EF1" w:rsidRPr="00842387" w:rsidRDefault="00B46EF1" w:rsidP="00B46EF1">
      <w:r>
        <w:rPr>
          <w:noProof/>
          <w:lang w:eastAsia="en-AU"/>
        </w:rPr>
        <w:drawing>
          <wp:inline distT="0" distB="0" distL="0" distR="0" wp14:anchorId="33CCACCB" wp14:editId="4E0DAB68">
            <wp:extent cx="2524125" cy="1800225"/>
            <wp:effectExtent l="19050" t="0" r="9525" b="0"/>
            <wp:docPr id="117" name="Picture 54" descr="Z:\2011 JOBS\11206-EAST FREMANTLE GUIDELINES\11206-PHOTOS\PROCESSED\RACEWAY\BAY PATCH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2011 JOBS\11206-EAST FREMANTLE GUIDELINES\11206-PHOTOS\PROCESSED\RACEWAY\BAY PATCH STREET.jpg"/>
                    <pic:cNvPicPr>
                      <a:picLocks noChangeAspect="1" noChangeArrowheads="1"/>
                    </pic:cNvPicPr>
                  </pic:nvPicPr>
                  <pic:blipFill>
                    <a:blip r:embed="rId274"/>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58288D0E" w14:textId="77777777" w:rsidR="00B46EF1" w:rsidRDefault="00C01D4C" w:rsidP="00C01D4C">
      <w:pPr>
        <w:pStyle w:val="Heading5"/>
      </w:pPr>
      <w:r>
        <w:t>3.7.20.3.2</w:t>
      </w:r>
      <w:r>
        <w:tab/>
      </w:r>
      <w:r w:rsidR="00B46EF1" w:rsidRPr="00842387">
        <w:t>Desired Development Outcomes</w:t>
      </w:r>
    </w:p>
    <w:p w14:paraId="26B830A6" w14:textId="77777777" w:rsidR="00B46EF1" w:rsidRPr="00C01D4C" w:rsidRDefault="00B46EF1" w:rsidP="002A3889">
      <w:pPr>
        <w:pStyle w:val="ListParagraph"/>
        <w:numPr>
          <w:ilvl w:val="0"/>
          <w:numId w:val="242"/>
        </w:numPr>
        <w:spacing w:line="360" w:lineRule="auto"/>
        <w:ind w:left="714" w:hanging="35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 xml:space="preserve">Garages and carports shall be incorporated into and be compatible with, the design of the </w:t>
      </w:r>
      <w:proofErr w:type="gramStart"/>
      <w:r w:rsidRPr="00C01D4C">
        <w:rPr>
          <w:rFonts w:ascii="Avenir LT 45 Book" w:eastAsia="Calibri" w:hAnsi="Avenir LT 45 Book" w:cs="Times New Roman"/>
          <w:sz w:val="20"/>
        </w:rPr>
        <w:t>dwelling;</w:t>
      </w:r>
      <w:proofErr w:type="gramEnd"/>
    </w:p>
    <w:p w14:paraId="032F0CA0" w14:textId="77777777" w:rsidR="00B46EF1" w:rsidRPr="00C01D4C" w:rsidRDefault="00B46EF1" w:rsidP="002A3889">
      <w:pPr>
        <w:pStyle w:val="ListParagraph"/>
        <w:numPr>
          <w:ilvl w:val="0"/>
          <w:numId w:val="242"/>
        </w:numPr>
        <w:spacing w:line="360" w:lineRule="auto"/>
        <w:ind w:left="714" w:hanging="35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 xml:space="preserve">Garages and carports shall not visually dominate the dwelling as viewed from the </w:t>
      </w:r>
      <w:proofErr w:type="gramStart"/>
      <w:r w:rsidRPr="00C01D4C">
        <w:rPr>
          <w:rFonts w:ascii="Avenir LT 45 Book" w:eastAsia="Calibri" w:hAnsi="Avenir LT 45 Book" w:cs="Times New Roman"/>
          <w:sz w:val="20"/>
        </w:rPr>
        <w:t>street;</w:t>
      </w:r>
      <w:proofErr w:type="gramEnd"/>
    </w:p>
    <w:p w14:paraId="3F041211" w14:textId="77777777" w:rsidR="00B46EF1" w:rsidRPr="00C01D4C" w:rsidRDefault="00B46EF1" w:rsidP="002A3889">
      <w:pPr>
        <w:pStyle w:val="ListParagraph"/>
        <w:numPr>
          <w:ilvl w:val="0"/>
          <w:numId w:val="242"/>
        </w:numPr>
        <w:spacing w:line="360" w:lineRule="auto"/>
        <w:ind w:left="714" w:hanging="35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Materials should not detract visually from the streetscape; and,</w:t>
      </w:r>
    </w:p>
    <w:p w14:paraId="1A35FC02" w14:textId="77777777" w:rsidR="00B46EF1" w:rsidRPr="00C01D4C" w:rsidRDefault="00B46EF1" w:rsidP="002A3889">
      <w:pPr>
        <w:pStyle w:val="ListParagraph"/>
        <w:numPr>
          <w:ilvl w:val="0"/>
          <w:numId w:val="242"/>
        </w:numPr>
        <w:spacing w:line="360" w:lineRule="auto"/>
        <w:ind w:left="714" w:hanging="35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Carports associated with existing residences are not required to mimic or match the materials of the house.</w:t>
      </w:r>
    </w:p>
    <w:p w14:paraId="24119D70" w14:textId="77777777" w:rsidR="00B46EF1" w:rsidRPr="00842387" w:rsidRDefault="00B46EF1" w:rsidP="00B46EF1">
      <w:r>
        <w:rPr>
          <w:noProof/>
          <w:lang w:eastAsia="en-AU"/>
        </w:rPr>
        <w:lastRenderedPageBreak/>
        <w:drawing>
          <wp:inline distT="0" distB="0" distL="0" distR="0" wp14:anchorId="7D758F71" wp14:editId="220CDA03">
            <wp:extent cx="5105400" cy="4352925"/>
            <wp:effectExtent l="19050" t="0" r="0" b="0"/>
            <wp:docPr id="225" name="Picture 20" descr="GARAGES 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7.eps"/>
                    <pic:cNvPicPr/>
                  </pic:nvPicPr>
                  <pic:blipFill>
                    <a:blip r:embed="rId217"/>
                    <a:stretch>
                      <a:fillRect/>
                    </a:stretch>
                  </pic:blipFill>
                  <pic:spPr>
                    <a:xfrm>
                      <a:off x="0" y="0"/>
                      <a:ext cx="5105400" cy="4352925"/>
                    </a:xfrm>
                    <a:prstGeom prst="rect">
                      <a:avLst/>
                    </a:prstGeom>
                  </pic:spPr>
                </pic:pic>
              </a:graphicData>
            </a:graphic>
          </wp:inline>
        </w:drawing>
      </w:r>
    </w:p>
    <w:p w14:paraId="52D19AD1" w14:textId="77777777" w:rsidR="00B46EF1" w:rsidRPr="00C01D4C" w:rsidRDefault="00B46EF1" w:rsidP="00B46EF1">
      <w:pPr>
        <w:rPr>
          <w:rFonts w:ascii="Avenir LT 45 Book" w:eastAsia="Calibri" w:hAnsi="Avenir LT 45 Book"/>
          <w:sz w:val="20"/>
        </w:rPr>
      </w:pPr>
      <w:r w:rsidRPr="00C01D4C">
        <w:rPr>
          <w:rFonts w:ascii="Avenir LT 65 Medium" w:eastAsia="Calibri" w:hAnsi="Avenir LT 65 Medium"/>
          <w:sz w:val="20"/>
        </w:rPr>
        <w:t>Figure 30</w:t>
      </w:r>
      <w:r w:rsidRPr="00842387">
        <w:t xml:space="preserve"> – </w:t>
      </w:r>
      <w:r w:rsidRPr="00C01D4C">
        <w:rPr>
          <w:rFonts w:ascii="Avenir LT 45 Book" w:eastAsia="Calibri" w:hAnsi="Avenir LT 45 Book"/>
          <w:sz w:val="20"/>
        </w:rPr>
        <w:t xml:space="preserve">Plan illustrating compatible garage in new developments – </w:t>
      </w:r>
      <w:r w:rsidRPr="00C01D4C">
        <w:rPr>
          <w:rFonts w:ascii="Avenir LT 45 Book" w:eastAsia="Calibri" w:hAnsi="Avenir LT 45 Book"/>
          <w:i/>
          <w:sz w:val="20"/>
        </w:rPr>
        <w:t>Griffiths Architects 2012.</w:t>
      </w:r>
    </w:p>
    <w:p w14:paraId="4E2D288E" w14:textId="77777777" w:rsidR="00B46EF1" w:rsidRPr="00842387" w:rsidRDefault="00B46EF1" w:rsidP="00B46EF1">
      <w:r>
        <w:rPr>
          <w:noProof/>
          <w:lang w:eastAsia="en-AU"/>
        </w:rPr>
        <w:lastRenderedPageBreak/>
        <w:drawing>
          <wp:inline distT="0" distB="0" distL="0" distR="0" wp14:anchorId="62147796" wp14:editId="463C8ECF">
            <wp:extent cx="5731510" cy="5040630"/>
            <wp:effectExtent l="19050" t="0" r="2540" b="0"/>
            <wp:docPr id="226" name="Picture 26" descr="GARAGES 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GES 5.eps"/>
                    <pic:cNvPicPr/>
                  </pic:nvPicPr>
                  <pic:blipFill>
                    <a:blip r:embed="rId218"/>
                    <a:stretch>
                      <a:fillRect/>
                    </a:stretch>
                  </pic:blipFill>
                  <pic:spPr>
                    <a:xfrm>
                      <a:off x="0" y="0"/>
                      <a:ext cx="5731510" cy="5040630"/>
                    </a:xfrm>
                    <a:prstGeom prst="rect">
                      <a:avLst/>
                    </a:prstGeom>
                  </pic:spPr>
                </pic:pic>
              </a:graphicData>
            </a:graphic>
          </wp:inline>
        </w:drawing>
      </w:r>
    </w:p>
    <w:p w14:paraId="3579A741" w14:textId="77777777" w:rsidR="00B46EF1" w:rsidRPr="00C01D4C" w:rsidRDefault="00B46EF1" w:rsidP="00B46EF1">
      <w:pPr>
        <w:rPr>
          <w:rFonts w:ascii="Avenir LT 45 Book" w:eastAsia="Calibri" w:hAnsi="Avenir LT 45 Book"/>
          <w:sz w:val="20"/>
        </w:rPr>
      </w:pPr>
      <w:r w:rsidRPr="00C01D4C">
        <w:rPr>
          <w:rFonts w:ascii="Avenir LT 65 Medium" w:eastAsia="Calibri" w:hAnsi="Avenir LT 65 Medium"/>
          <w:sz w:val="20"/>
        </w:rPr>
        <w:t>Figure 31</w:t>
      </w:r>
      <w:r w:rsidRPr="00842387">
        <w:t xml:space="preserve"> – </w:t>
      </w:r>
      <w:r w:rsidRPr="00C01D4C">
        <w:rPr>
          <w:rFonts w:ascii="Avenir LT 45 Book" w:eastAsia="Calibri" w:hAnsi="Avenir LT 45 Book"/>
          <w:sz w:val="20"/>
        </w:rPr>
        <w:t xml:space="preserve">Site plan illustrating compatible garage locations in residential developments </w:t>
      </w:r>
      <w:r w:rsidRPr="00C01D4C">
        <w:rPr>
          <w:rFonts w:ascii="Avenir LT 45 Book" w:eastAsia="Calibri" w:hAnsi="Avenir LT 45 Book"/>
          <w:i/>
          <w:sz w:val="20"/>
        </w:rPr>
        <w:t>– Griffiths Architects 2012.</w:t>
      </w:r>
    </w:p>
    <w:p w14:paraId="17123006" w14:textId="77777777" w:rsidR="00B46EF1" w:rsidRDefault="00C01D4C" w:rsidP="00C01D4C">
      <w:pPr>
        <w:pStyle w:val="Heading5"/>
      </w:pPr>
      <w:r>
        <w:t>3.7.20.3.3</w:t>
      </w:r>
      <w:r>
        <w:tab/>
      </w:r>
      <w:r w:rsidR="00B46EF1" w:rsidRPr="00842387">
        <w:t>Performance Criteria and Acceptable Development</w:t>
      </w:r>
      <w:r w:rsidR="00B46EF1">
        <w:t xml:space="preserve">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5"/>
        <w:gridCol w:w="4511"/>
      </w:tblGrid>
      <w:tr w:rsidR="00B46EF1" w:rsidRPr="00842387" w14:paraId="17BA15FD" w14:textId="77777777" w:rsidTr="008048CE">
        <w:tc>
          <w:tcPr>
            <w:tcW w:w="4621" w:type="dxa"/>
            <w:tcBorders>
              <w:bottom w:val="single" w:sz="4" w:space="0" w:color="auto"/>
            </w:tcBorders>
          </w:tcPr>
          <w:p w14:paraId="2FC90DA1"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Borders>
              <w:bottom w:val="single" w:sz="4" w:space="0" w:color="auto"/>
            </w:tcBorders>
          </w:tcPr>
          <w:p w14:paraId="4F1C9CD9" w14:textId="77777777" w:rsidR="00B46EF1" w:rsidRDefault="00B46EF1" w:rsidP="008048CE">
            <w:r w:rsidRPr="00842387">
              <w:rPr>
                <w:rFonts w:ascii="Avenir LT 65 Medium" w:hAnsi="Avenir LT 65 Medium"/>
              </w:rPr>
              <w:t>Acceptable Development Provisions</w:t>
            </w:r>
          </w:p>
        </w:tc>
      </w:tr>
      <w:tr w:rsidR="00B46EF1" w:rsidRPr="00842387" w14:paraId="15A79D44" w14:textId="77777777" w:rsidTr="008048CE">
        <w:tc>
          <w:tcPr>
            <w:tcW w:w="4621" w:type="dxa"/>
            <w:tcBorders>
              <w:top w:val="single" w:sz="4" w:space="0" w:color="auto"/>
              <w:bottom w:val="nil"/>
            </w:tcBorders>
          </w:tcPr>
          <w:p w14:paraId="58EA46A0" w14:textId="77777777" w:rsidR="00B46EF1" w:rsidRDefault="00B46EF1" w:rsidP="008048CE">
            <w:pPr>
              <w:spacing w:before="120" w:after="120"/>
              <w:rPr>
                <w:rFonts w:ascii="Avenir LT 65 Medium" w:hAnsi="Avenir LT 65 Medium"/>
                <w:szCs w:val="20"/>
              </w:rPr>
            </w:pPr>
            <w:r w:rsidRPr="00842387">
              <w:rPr>
                <w:rFonts w:ascii="Avenir LT 65 Medium" w:hAnsi="Avenir LT 65 Medium"/>
                <w:szCs w:val="20"/>
              </w:rPr>
              <w:t>All Dwellings</w:t>
            </w:r>
          </w:p>
          <w:p w14:paraId="2EA45F6A" w14:textId="77777777" w:rsidR="00B46EF1" w:rsidRDefault="00B46EF1" w:rsidP="002A3889">
            <w:pPr>
              <w:pStyle w:val="ListParagraph"/>
              <w:numPr>
                <w:ilvl w:val="0"/>
                <w:numId w:val="243"/>
              </w:numPr>
              <w:spacing w:after="120" w:line="360" w:lineRule="auto"/>
              <w:ind w:left="567" w:hanging="504"/>
              <w:contextualSpacing w:val="0"/>
              <w:rPr>
                <w:szCs w:val="20"/>
              </w:rPr>
            </w:pPr>
            <w:r w:rsidRPr="00C01D4C">
              <w:rPr>
                <w:rFonts w:ascii="Avenir LT 45 Book" w:eastAsia="Calibri" w:hAnsi="Avenir LT 45 Book" w:cs="Times New Roman"/>
                <w:sz w:val="20"/>
              </w:rPr>
              <w:t>Garages, carports or outbuildings should comply with the recommended building materials for the Precinct.</w:t>
            </w:r>
          </w:p>
        </w:tc>
        <w:tc>
          <w:tcPr>
            <w:tcW w:w="4621" w:type="dxa"/>
            <w:tcBorders>
              <w:top w:val="single" w:sz="4" w:space="0" w:color="auto"/>
              <w:bottom w:val="nil"/>
            </w:tcBorders>
          </w:tcPr>
          <w:p w14:paraId="72ED1F93" w14:textId="77777777" w:rsidR="00B46EF1" w:rsidRDefault="00B46EF1" w:rsidP="008048CE">
            <w:pPr>
              <w:spacing w:before="120" w:after="120"/>
              <w:rPr>
                <w:szCs w:val="20"/>
              </w:rPr>
            </w:pPr>
            <w:r w:rsidRPr="00842387">
              <w:rPr>
                <w:rFonts w:ascii="Avenir LT 65 Medium" w:hAnsi="Avenir LT 65 Medium"/>
                <w:szCs w:val="20"/>
              </w:rPr>
              <w:t>All Dwellings</w:t>
            </w:r>
          </w:p>
          <w:p w14:paraId="0DE141D7" w14:textId="77777777" w:rsidR="00B46EF1" w:rsidRDefault="00B46EF1" w:rsidP="002A3889">
            <w:pPr>
              <w:pStyle w:val="ListParagraph"/>
              <w:numPr>
                <w:ilvl w:val="0"/>
                <w:numId w:val="245"/>
              </w:numPr>
              <w:spacing w:after="120" w:line="360" w:lineRule="auto"/>
              <w:ind w:left="624" w:hanging="567"/>
              <w:contextualSpacing w:val="0"/>
              <w:rPr>
                <w:szCs w:val="20"/>
              </w:rPr>
            </w:pPr>
            <w:r w:rsidRPr="00C01D4C">
              <w:rPr>
                <w:rFonts w:ascii="Avenir LT 45 Book" w:eastAsia="Calibri" w:hAnsi="Avenir LT 45 Book" w:cs="Times New Roman"/>
                <w:sz w:val="20"/>
              </w:rPr>
              <w:t>Refer Section on Materials and Colours</w:t>
            </w:r>
            <w:r w:rsidRPr="00842387">
              <w:t>.</w:t>
            </w:r>
          </w:p>
        </w:tc>
      </w:tr>
      <w:tr w:rsidR="00B46EF1" w:rsidRPr="00842387" w14:paraId="329A2255" w14:textId="77777777" w:rsidTr="008048CE">
        <w:tc>
          <w:tcPr>
            <w:tcW w:w="4621" w:type="dxa"/>
            <w:tcBorders>
              <w:top w:val="nil"/>
              <w:bottom w:val="nil"/>
            </w:tcBorders>
          </w:tcPr>
          <w:p w14:paraId="5A48EA1B" w14:textId="77777777" w:rsidR="00B46EF1" w:rsidRDefault="00B46EF1" w:rsidP="008048CE">
            <w:pPr>
              <w:spacing w:before="120" w:after="120"/>
              <w:rPr>
                <w:szCs w:val="20"/>
              </w:rPr>
            </w:pPr>
            <w:r w:rsidRPr="00842387">
              <w:rPr>
                <w:rFonts w:ascii="Avenir LT 65 Medium" w:hAnsi="Avenir LT 65 Medium"/>
                <w:szCs w:val="20"/>
              </w:rPr>
              <w:t>Existing Dwellings</w:t>
            </w:r>
          </w:p>
          <w:p w14:paraId="3A49F4B0" w14:textId="77777777" w:rsidR="00B46EF1" w:rsidRPr="00C01D4C" w:rsidRDefault="00B46EF1" w:rsidP="002A3889">
            <w:pPr>
              <w:pStyle w:val="ListParagraph"/>
              <w:numPr>
                <w:ilvl w:val="0"/>
                <w:numId w:val="243"/>
              </w:numPr>
              <w:spacing w:before="120" w:line="360" w:lineRule="auto"/>
              <w:ind w:left="567" w:hanging="504"/>
              <w:contextualSpacing w:val="0"/>
              <w:rPr>
                <w:rFonts w:ascii="Avenir LT 45 Book" w:eastAsia="Calibri" w:hAnsi="Avenir LT 45 Book" w:cs="Times New Roman"/>
                <w:sz w:val="20"/>
              </w:rPr>
            </w:pPr>
            <w:r w:rsidRPr="00C01D4C">
              <w:rPr>
                <w:rFonts w:ascii="Avenir LT 45 Book" w:eastAsia="Calibri" w:hAnsi="Avenir LT 45 Book" w:cs="Times New Roman"/>
                <w:sz w:val="20"/>
              </w:rPr>
              <w:t>For existing buildings where there are no alternatives, carports may be located forward of the building line, provided they:</w:t>
            </w:r>
          </w:p>
          <w:p w14:paraId="423CC679" w14:textId="77777777" w:rsidR="00B46EF1" w:rsidRDefault="00B46EF1" w:rsidP="002A3889">
            <w:pPr>
              <w:pStyle w:val="ListParagraph"/>
              <w:numPr>
                <w:ilvl w:val="0"/>
                <w:numId w:val="248"/>
              </w:numPr>
              <w:spacing w:line="360" w:lineRule="auto"/>
              <w:contextualSpacing w:val="0"/>
            </w:pPr>
            <w:r w:rsidRPr="00C01D4C">
              <w:rPr>
                <w:rFonts w:ascii="Avenir LT 45 Book" w:eastAsia="Calibri" w:hAnsi="Avenir LT 45 Book" w:cs="Times New Roman"/>
                <w:sz w:val="20"/>
              </w:rPr>
              <w:t>Do not visually dominate the streetscape or the buil</w:t>
            </w:r>
            <w:r w:rsidR="00C01D4C">
              <w:rPr>
                <w:rFonts w:ascii="Avenir LT 45 Book" w:eastAsia="Calibri" w:hAnsi="Avenir LT 45 Book" w:cs="Times New Roman"/>
                <w:sz w:val="20"/>
              </w:rPr>
              <w:t>dings to which they belong.</w:t>
            </w:r>
          </w:p>
        </w:tc>
        <w:tc>
          <w:tcPr>
            <w:tcW w:w="4621" w:type="dxa"/>
            <w:tcBorders>
              <w:top w:val="nil"/>
              <w:bottom w:val="nil"/>
            </w:tcBorders>
          </w:tcPr>
          <w:p w14:paraId="3096F530" w14:textId="77777777" w:rsidR="00B46EF1" w:rsidRDefault="00B46EF1" w:rsidP="008048CE">
            <w:pPr>
              <w:spacing w:before="120" w:after="120"/>
              <w:rPr>
                <w:szCs w:val="20"/>
              </w:rPr>
            </w:pPr>
            <w:r w:rsidRPr="00842387">
              <w:rPr>
                <w:rFonts w:ascii="Avenir LT 65 Medium" w:hAnsi="Avenir LT 65 Medium"/>
                <w:szCs w:val="20"/>
              </w:rPr>
              <w:t>Existing Dwellings</w:t>
            </w:r>
          </w:p>
          <w:p w14:paraId="2A48F520" w14:textId="77777777" w:rsidR="00B46EF1" w:rsidRPr="00C01D4C" w:rsidRDefault="00B46EF1" w:rsidP="002A3889">
            <w:pPr>
              <w:pStyle w:val="ListParagraph"/>
              <w:numPr>
                <w:ilvl w:val="0"/>
                <w:numId w:val="245"/>
              </w:numPr>
              <w:spacing w:before="120" w:line="360" w:lineRule="auto"/>
              <w:ind w:left="624" w:hanging="56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Garages and carports are constructed behind the building line and comply with the following:</w:t>
            </w:r>
          </w:p>
          <w:p w14:paraId="4BF0996D" w14:textId="77777777" w:rsidR="00B46EF1" w:rsidRPr="00C01D4C" w:rsidRDefault="00B46EF1" w:rsidP="002A3889">
            <w:pPr>
              <w:pStyle w:val="ListParagraph"/>
              <w:numPr>
                <w:ilvl w:val="0"/>
                <w:numId w:val="247"/>
              </w:numPr>
              <w:spacing w:line="360" w:lineRule="auto"/>
              <w:contextualSpacing w:val="0"/>
              <w:rPr>
                <w:rFonts w:ascii="Avenir LT 45 Book" w:eastAsia="Calibri" w:hAnsi="Avenir LT 45 Book" w:cs="Times New Roman"/>
                <w:sz w:val="20"/>
              </w:rPr>
            </w:pPr>
            <w:r w:rsidRPr="00C01D4C">
              <w:rPr>
                <w:rFonts w:ascii="Avenir LT 45 Book" w:eastAsia="Calibri" w:hAnsi="Avenir LT 45 Book" w:cs="Times New Roman"/>
                <w:sz w:val="20"/>
              </w:rPr>
              <w:t>Setback a minimum distance of 1.2m behind the building line; and,</w:t>
            </w:r>
          </w:p>
          <w:p w14:paraId="683ACB67" w14:textId="77777777" w:rsidR="00B46EF1" w:rsidRDefault="00B46EF1" w:rsidP="002A3889">
            <w:pPr>
              <w:pStyle w:val="ListParagraph"/>
              <w:numPr>
                <w:ilvl w:val="0"/>
                <w:numId w:val="247"/>
              </w:numPr>
              <w:spacing w:line="360" w:lineRule="auto"/>
              <w:contextualSpacing w:val="0"/>
            </w:pPr>
            <w:r w:rsidRPr="00C01D4C">
              <w:rPr>
                <w:rFonts w:ascii="Avenir LT 45 Book" w:eastAsia="Calibri" w:hAnsi="Avenir LT 45 Book" w:cs="Times New Roman"/>
                <w:sz w:val="20"/>
              </w:rPr>
              <w:t>The width of garages and carports are not greater than 30% of the frontage of the lot.</w:t>
            </w:r>
            <w:r w:rsidRPr="00842387">
              <w:t xml:space="preserve">  </w:t>
            </w:r>
          </w:p>
        </w:tc>
      </w:tr>
      <w:tr w:rsidR="00B46EF1" w:rsidRPr="00842387" w14:paraId="1DE5058D" w14:textId="77777777" w:rsidTr="008048CE">
        <w:tc>
          <w:tcPr>
            <w:tcW w:w="4621" w:type="dxa"/>
            <w:tcBorders>
              <w:top w:val="nil"/>
              <w:bottom w:val="nil"/>
            </w:tcBorders>
          </w:tcPr>
          <w:p w14:paraId="5E23F0A4" w14:textId="77777777" w:rsidR="00B46EF1" w:rsidRDefault="00B46EF1" w:rsidP="008048CE">
            <w:pPr>
              <w:spacing w:before="120"/>
              <w:rPr>
                <w:szCs w:val="20"/>
              </w:rPr>
            </w:pPr>
            <w:r w:rsidRPr="00842387">
              <w:rPr>
                <w:rFonts w:ascii="Avenir LT 65 Medium" w:hAnsi="Avenir LT 65 Medium"/>
                <w:szCs w:val="20"/>
              </w:rPr>
              <w:t>New Dwellings</w:t>
            </w:r>
          </w:p>
          <w:p w14:paraId="23D3B4A6" w14:textId="77777777" w:rsidR="00B46EF1" w:rsidRDefault="00B46EF1" w:rsidP="002A3889">
            <w:pPr>
              <w:pStyle w:val="ListParagraph"/>
              <w:numPr>
                <w:ilvl w:val="0"/>
                <w:numId w:val="243"/>
              </w:numPr>
              <w:spacing w:line="360" w:lineRule="auto"/>
              <w:ind w:left="567" w:hanging="504"/>
              <w:contextualSpacing w:val="0"/>
            </w:pPr>
            <w:r w:rsidRPr="00C01D4C">
              <w:rPr>
                <w:rFonts w:ascii="Avenir LT 45 Book" w:eastAsia="Calibri" w:hAnsi="Avenir LT 45 Book" w:cs="Times New Roman"/>
                <w:sz w:val="20"/>
              </w:rPr>
              <w:lastRenderedPageBreak/>
              <w:t>Garages and carports are designed to be incorporated into, and compatible with, the design of the dwelling.</w:t>
            </w:r>
          </w:p>
        </w:tc>
        <w:tc>
          <w:tcPr>
            <w:tcW w:w="4621" w:type="dxa"/>
            <w:tcBorders>
              <w:top w:val="nil"/>
              <w:bottom w:val="nil"/>
            </w:tcBorders>
          </w:tcPr>
          <w:p w14:paraId="0BC5FB75" w14:textId="77777777" w:rsidR="00B46EF1" w:rsidRDefault="00B46EF1" w:rsidP="008048CE">
            <w:pPr>
              <w:spacing w:before="120"/>
              <w:rPr>
                <w:szCs w:val="20"/>
              </w:rPr>
            </w:pPr>
            <w:r w:rsidRPr="00842387">
              <w:rPr>
                <w:rFonts w:ascii="Avenir LT 65 Medium" w:hAnsi="Avenir LT 65 Medium"/>
                <w:szCs w:val="20"/>
              </w:rPr>
              <w:lastRenderedPageBreak/>
              <w:t>New Dwellings</w:t>
            </w:r>
          </w:p>
          <w:p w14:paraId="454C5EFE" w14:textId="77777777" w:rsidR="00B46EF1" w:rsidRDefault="00B46EF1" w:rsidP="002A3889">
            <w:pPr>
              <w:pStyle w:val="ListParagraph"/>
              <w:numPr>
                <w:ilvl w:val="0"/>
                <w:numId w:val="245"/>
              </w:numPr>
              <w:spacing w:line="360" w:lineRule="auto"/>
              <w:ind w:left="624" w:hanging="567"/>
              <w:contextualSpacing w:val="0"/>
            </w:pPr>
            <w:r w:rsidRPr="00C01D4C">
              <w:rPr>
                <w:rFonts w:ascii="Avenir LT 45 Book" w:eastAsia="Calibri" w:hAnsi="Avenir LT 45 Book" w:cs="Times New Roman"/>
                <w:sz w:val="20"/>
              </w:rPr>
              <w:lastRenderedPageBreak/>
              <w:t>Plans, elevations and section drawings are to be provided.</w:t>
            </w:r>
          </w:p>
        </w:tc>
      </w:tr>
      <w:tr w:rsidR="00B46EF1" w:rsidRPr="00842387" w14:paraId="599134A0" w14:textId="77777777" w:rsidTr="008048CE">
        <w:tc>
          <w:tcPr>
            <w:tcW w:w="4621" w:type="dxa"/>
            <w:tcBorders>
              <w:top w:val="nil"/>
            </w:tcBorders>
          </w:tcPr>
          <w:p w14:paraId="7612AC70" w14:textId="77777777" w:rsidR="00B46EF1" w:rsidRDefault="00B46EF1" w:rsidP="008048CE">
            <w:pPr>
              <w:rPr>
                <w:rFonts w:ascii="Avenir LT 65 Medium" w:hAnsi="Avenir LT 65 Medium"/>
                <w:szCs w:val="20"/>
              </w:rPr>
            </w:pPr>
            <w:r w:rsidRPr="00842387">
              <w:rPr>
                <w:rFonts w:ascii="Avenir LT 65 Medium" w:hAnsi="Avenir LT 65 Medium"/>
                <w:szCs w:val="20"/>
              </w:rPr>
              <w:lastRenderedPageBreak/>
              <w:t>Multiple and Grouped Dwellings</w:t>
            </w:r>
          </w:p>
          <w:p w14:paraId="456E4A0F" w14:textId="77777777" w:rsidR="00B46EF1" w:rsidRPr="00C01D4C" w:rsidRDefault="00B46EF1" w:rsidP="002A3889">
            <w:pPr>
              <w:pStyle w:val="ListParagraph"/>
              <w:numPr>
                <w:ilvl w:val="1"/>
                <w:numId w:val="244"/>
              </w:numPr>
              <w:spacing w:line="360" w:lineRule="auto"/>
              <w:ind w:left="709" w:hanging="646"/>
              <w:contextualSpacing w:val="0"/>
              <w:rPr>
                <w:rFonts w:ascii="Avenir LT 45 Book" w:eastAsia="Calibri" w:hAnsi="Avenir LT 45 Book" w:cs="Times New Roman"/>
                <w:sz w:val="20"/>
              </w:rPr>
            </w:pPr>
            <w:r w:rsidRPr="00C01D4C">
              <w:rPr>
                <w:rFonts w:ascii="Avenir LT 45 Book" w:eastAsia="Calibri" w:hAnsi="Avenir LT 45 Book" w:cs="Times New Roman"/>
                <w:sz w:val="20"/>
              </w:rPr>
              <w:t>Adequate car and bicycle parking provided on-site in accordance with development requirements.</w:t>
            </w:r>
          </w:p>
          <w:p w14:paraId="331C0794" w14:textId="77777777" w:rsidR="00B46EF1" w:rsidRDefault="00B46EF1" w:rsidP="002A3889">
            <w:pPr>
              <w:pStyle w:val="ListParagraph"/>
              <w:numPr>
                <w:ilvl w:val="1"/>
                <w:numId w:val="244"/>
              </w:numPr>
              <w:spacing w:line="360" w:lineRule="auto"/>
              <w:ind w:left="709" w:hanging="646"/>
              <w:contextualSpacing w:val="0"/>
            </w:pPr>
            <w:r w:rsidRPr="00C01D4C">
              <w:rPr>
                <w:rFonts w:ascii="Avenir LT 45 Book" w:eastAsia="Calibri" w:hAnsi="Avenir LT 45 Book" w:cs="Times New Roman"/>
                <w:sz w:val="20"/>
              </w:rPr>
              <w:t>Garages and carports shall not be prominent on the primary street facade.</w:t>
            </w:r>
          </w:p>
        </w:tc>
        <w:tc>
          <w:tcPr>
            <w:tcW w:w="4621" w:type="dxa"/>
            <w:tcBorders>
              <w:top w:val="nil"/>
            </w:tcBorders>
          </w:tcPr>
          <w:p w14:paraId="555B8258" w14:textId="77777777" w:rsidR="00B46EF1" w:rsidRDefault="00B46EF1" w:rsidP="008048CE">
            <w:pPr>
              <w:rPr>
                <w:rFonts w:ascii="Avenir LT 65 Medium" w:hAnsi="Avenir LT 65 Medium"/>
                <w:szCs w:val="20"/>
              </w:rPr>
            </w:pPr>
            <w:r w:rsidRPr="00842387">
              <w:rPr>
                <w:rFonts w:ascii="Avenir LT 65 Medium" w:hAnsi="Avenir LT 65 Medium"/>
                <w:szCs w:val="20"/>
              </w:rPr>
              <w:t>Multiple and Grouped Dwellings</w:t>
            </w:r>
          </w:p>
          <w:p w14:paraId="32A4520C" w14:textId="77777777" w:rsidR="00B46EF1" w:rsidRPr="00C01D4C" w:rsidRDefault="00B46EF1" w:rsidP="002A3889">
            <w:pPr>
              <w:pStyle w:val="ListParagraph"/>
              <w:numPr>
                <w:ilvl w:val="1"/>
                <w:numId w:val="246"/>
              </w:numPr>
              <w:spacing w:line="360" w:lineRule="auto"/>
              <w:ind w:left="624" w:hanging="567"/>
              <w:contextualSpacing w:val="0"/>
              <w:rPr>
                <w:rFonts w:ascii="Avenir LT 45 Book" w:eastAsia="Calibri" w:hAnsi="Avenir LT 45 Book" w:cs="Times New Roman"/>
                <w:sz w:val="20"/>
              </w:rPr>
            </w:pPr>
            <w:r w:rsidRPr="00C01D4C">
              <w:rPr>
                <w:rFonts w:ascii="Avenir LT 45 Book" w:eastAsia="Calibri" w:hAnsi="Avenir LT 45 Book" w:cs="Times New Roman"/>
                <w:sz w:val="20"/>
              </w:rPr>
              <w:t>Refer R Codes for car space and bicycle space requirements.</w:t>
            </w:r>
          </w:p>
          <w:p w14:paraId="64EC554C" w14:textId="77777777" w:rsidR="00B46EF1" w:rsidRDefault="00B46EF1" w:rsidP="002A3889">
            <w:pPr>
              <w:pStyle w:val="ListParagraph"/>
              <w:numPr>
                <w:ilvl w:val="1"/>
                <w:numId w:val="246"/>
              </w:numPr>
              <w:spacing w:line="360" w:lineRule="auto"/>
              <w:ind w:left="624" w:hanging="567"/>
              <w:contextualSpacing w:val="0"/>
            </w:pPr>
            <w:r w:rsidRPr="00C01D4C">
              <w:rPr>
                <w:rFonts w:ascii="Avenir LT 45 Book" w:eastAsia="Calibri" w:hAnsi="Avenir LT 45 Book" w:cs="Times New Roman"/>
                <w:sz w:val="20"/>
              </w:rPr>
              <w:t>Garages designed at the rear of the lot.</w:t>
            </w:r>
          </w:p>
        </w:tc>
      </w:tr>
    </w:tbl>
    <w:p w14:paraId="329CCD2B" w14:textId="77777777" w:rsidR="00B46EF1" w:rsidRPr="00C01D4C" w:rsidRDefault="00C01D4C" w:rsidP="00C01D4C">
      <w:pPr>
        <w:pStyle w:val="Heading4"/>
        <w:spacing w:before="360" w:after="200" w:line="360" w:lineRule="auto"/>
        <w:rPr>
          <w:rFonts w:ascii="Avenir LT 65 Medium" w:hAnsi="Avenir LT 65 Medium"/>
          <w:bCs/>
          <w:i w:val="0"/>
          <w:color w:val="auto"/>
        </w:rPr>
      </w:pPr>
      <w:r>
        <w:rPr>
          <w:rFonts w:ascii="Avenir LT 65 Medium" w:hAnsi="Avenir LT 65 Medium"/>
          <w:bCs/>
          <w:i w:val="0"/>
          <w:color w:val="auto"/>
        </w:rPr>
        <w:t>3.7.20.4</w:t>
      </w:r>
      <w:r>
        <w:rPr>
          <w:rFonts w:ascii="Avenir LT 65 Medium" w:hAnsi="Avenir LT 65 Medium"/>
          <w:bCs/>
          <w:i w:val="0"/>
          <w:color w:val="auto"/>
        </w:rPr>
        <w:tab/>
      </w:r>
      <w:r w:rsidR="00B46EF1" w:rsidRPr="00C01D4C">
        <w:rPr>
          <w:rFonts w:ascii="Avenir LT 65 Medium" w:hAnsi="Avenir LT 65 Medium"/>
          <w:bCs/>
          <w:i w:val="0"/>
          <w:color w:val="auto"/>
        </w:rPr>
        <w:t>Building Design Requirements</w:t>
      </w:r>
    </w:p>
    <w:p w14:paraId="4477CBCE" w14:textId="77777777" w:rsidR="00B46EF1" w:rsidRDefault="00C01D4C" w:rsidP="00C01D4C">
      <w:pPr>
        <w:pStyle w:val="Heading5"/>
      </w:pPr>
      <w:r>
        <w:t>3.7.20.4.1</w:t>
      </w:r>
      <w:r>
        <w:tab/>
      </w:r>
      <w:r w:rsidR="00B46EF1" w:rsidRPr="00842387">
        <w:t xml:space="preserve">Building </w:t>
      </w:r>
      <w:r w:rsidR="00B46EF1">
        <w:t xml:space="preserve">Height, </w:t>
      </w:r>
      <w:r w:rsidR="00B46EF1" w:rsidRPr="00842387">
        <w:t>Form, Scale &amp; Bulk</w:t>
      </w:r>
    </w:p>
    <w:p w14:paraId="42D267DE" w14:textId="77777777" w:rsidR="00B46EF1" w:rsidRDefault="00B46EF1" w:rsidP="00B46EF1">
      <w:pPr>
        <w:pStyle w:val="Heading5"/>
        <w:ind w:left="1418" w:hanging="1418"/>
      </w:pPr>
      <w:r>
        <w:t>3.7.20.4.1.1</w:t>
      </w:r>
      <w:r>
        <w:tab/>
        <w:t>Statement</w:t>
      </w:r>
    </w:p>
    <w:p w14:paraId="1CE774CF" w14:textId="77777777" w:rsidR="00B46EF1" w:rsidRPr="00C01D4C" w:rsidRDefault="00B46EF1" w:rsidP="00C01D4C">
      <w:pPr>
        <w:spacing w:line="360" w:lineRule="auto"/>
        <w:rPr>
          <w:rFonts w:ascii="Avenir LT 45 Book" w:eastAsia="Calibri" w:hAnsi="Avenir LT 45 Book"/>
          <w:i/>
          <w:sz w:val="20"/>
        </w:rPr>
      </w:pPr>
      <w:r w:rsidRPr="00C01D4C">
        <w:rPr>
          <w:rFonts w:ascii="Avenir LT 45 Book" w:eastAsia="Calibri" w:hAnsi="Avenir LT 45 Book"/>
          <w:i/>
          <w:sz w:val="20"/>
        </w:rPr>
        <w:t>Dwellings that contribute positively to the character of the Richmond Raceway Precinct are generally of similar form, bulk and scale.  The prevailing form is modest single and double storey brick residences orientated towards the street.   Single and two storey dwellings are compatible in the Richmond Raceway Precinct.  Lot sizes and setbacks are also consistent throughout the Precinct.  In any new development, the form, bulk and scale will need to be demonstrably compatible with the existing and surrounding residences.</w:t>
      </w:r>
    </w:p>
    <w:p w14:paraId="7678F5C6" w14:textId="77777777" w:rsidR="00B46EF1" w:rsidRDefault="00B46EF1" w:rsidP="00B46EF1">
      <w:r>
        <w:rPr>
          <w:noProof/>
          <w:lang w:eastAsia="en-AU"/>
        </w:rPr>
        <w:drawing>
          <wp:inline distT="0" distB="0" distL="0" distR="0" wp14:anchorId="1C3F6275" wp14:editId="46B0F261">
            <wp:extent cx="2524125" cy="1800225"/>
            <wp:effectExtent l="19050" t="0" r="9525" b="0"/>
            <wp:docPr id="119" name="Picture 56" descr="Z:\2011 JOBS\11206-EAST FREMANTLE GUIDELINES\11206-PHOTOS\PROCESSED\RACEWAY\GEORGE STR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2011 JOBS\11206-EAST FREMANTLE GUIDELINES\11206-PHOTOS\PROCESSED\RACEWAY\GEORGE STREET 1.jpg"/>
                    <pic:cNvPicPr>
                      <a:picLocks noChangeAspect="1" noChangeArrowheads="1"/>
                    </pic:cNvPicPr>
                  </pic:nvPicPr>
                  <pic:blipFill>
                    <a:blip r:embed="rId275"/>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0D4F3ED8" wp14:editId="342AA283">
            <wp:extent cx="2524125" cy="1800225"/>
            <wp:effectExtent l="19050" t="0" r="9525" b="0"/>
            <wp:docPr id="120" name="Picture 57" descr="Z:\2011 JOBS\11206-EAST FREMANTLE GUIDELINES\11206-PHOTOS\PROCESSED\RACEWAY\28 BAYPATCH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2011 JOBS\11206-EAST FREMANTLE GUIDELINES\11206-PHOTOS\PROCESSED\RACEWAY\28 BAYPATCH ST.jpg"/>
                    <pic:cNvPicPr>
                      <a:picLocks noChangeAspect="1" noChangeArrowheads="1"/>
                    </pic:cNvPicPr>
                  </pic:nvPicPr>
                  <pic:blipFill>
                    <a:blip r:embed="rId273"/>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19799F33" w14:textId="77777777" w:rsidR="00B46EF1" w:rsidRDefault="00B46EF1" w:rsidP="00B46EF1">
      <w:pPr>
        <w:pStyle w:val="Heading5"/>
        <w:ind w:left="1418" w:hanging="1418"/>
      </w:pPr>
      <w:r>
        <w:t>3.7.20.4.1.2</w:t>
      </w:r>
      <w:r>
        <w:tab/>
        <w:t>Desired Development Outcomes</w:t>
      </w:r>
    </w:p>
    <w:p w14:paraId="69DD1B27" w14:textId="77777777" w:rsidR="00B46EF1" w:rsidRPr="00A15894" w:rsidRDefault="00B46EF1" w:rsidP="002A3889">
      <w:pPr>
        <w:pStyle w:val="ListParagraph"/>
        <w:numPr>
          <w:ilvl w:val="0"/>
          <w:numId w:val="249"/>
        </w:numPr>
        <w:spacing w:line="360" w:lineRule="auto"/>
        <w:rPr>
          <w:rFonts w:ascii="Avenir LT 45 Book" w:eastAsia="Calibri" w:hAnsi="Avenir LT 45 Book" w:cs="Times New Roman"/>
          <w:sz w:val="20"/>
        </w:rPr>
      </w:pPr>
      <w:r w:rsidRPr="00A15894">
        <w:rPr>
          <w:rFonts w:ascii="Avenir LT 45 Book" w:eastAsia="Calibri" w:hAnsi="Avenir LT 45 Book" w:cs="Times New Roman"/>
          <w:sz w:val="20"/>
        </w:rPr>
        <w:t>New developments should reflect the prevailing form, bulk and scale of the immediate locality; and,</w:t>
      </w:r>
    </w:p>
    <w:p w14:paraId="626786C6" w14:textId="77777777" w:rsidR="00B46EF1" w:rsidRPr="00A15894" w:rsidRDefault="00B46EF1" w:rsidP="002A3889">
      <w:pPr>
        <w:pStyle w:val="ListParagraph"/>
        <w:numPr>
          <w:ilvl w:val="0"/>
          <w:numId w:val="249"/>
        </w:numPr>
        <w:spacing w:line="360" w:lineRule="auto"/>
        <w:rPr>
          <w:rFonts w:ascii="Avenir LT 45 Book" w:eastAsia="Calibri" w:hAnsi="Avenir LT 45 Book" w:cs="Times New Roman"/>
          <w:sz w:val="20"/>
        </w:rPr>
      </w:pPr>
      <w:r w:rsidRPr="00A15894">
        <w:rPr>
          <w:rFonts w:ascii="Avenir LT 45 Book" w:eastAsia="Calibri" w:hAnsi="Avenir LT 45 Book" w:cs="Times New Roman"/>
          <w:sz w:val="20"/>
        </w:rPr>
        <w:t>New developments shall respect and follow the predominant street pattern in terms of roof pitch, orientation and articulation.</w:t>
      </w:r>
    </w:p>
    <w:p w14:paraId="38AA5171" w14:textId="77777777" w:rsidR="00B46EF1" w:rsidRDefault="00B46EF1" w:rsidP="00B46EF1">
      <w:pPr>
        <w:pStyle w:val="Heading5"/>
        <w:ind w:left="1418" w:hanging="1418"/>
      </w:pPr>
      <w:r>
        <w:t>3.7.20.4.1.3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10"/>
        <w:gridCol w:w="4516"/>
      </w:tblGrid>
      <w:tr w:rsidR="00B46EF1" w:rsidRPr="00842387" w14:paraId="6B5D36D1" w14:textId="77777777" w:rsidTr="008048CE">
        <w:tc>
          <w:tcPr>
            <w:tcW w:w="4621" w:type="dxa"/>
          </w:tcPr>
          <w:p w14:paraId="79032B06"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09967042" w14:textId="77777777" w:rsidR="00B46EF1" w:rsidRDefault="00B46EF1" w:rsidP="008048CE">
            <w:r w:rsidRPr="00842387">
              <w:rPr>
                <w:rFonts w:ascii="Avenir LT 65 Medium" w:hAnsi="Avenir LT 65 Medium"/>
              </w:rPr>
              <w:t>Acceptable Development Provisions</w:t>
            </w:r>
          </w:p>
        </w:tc>
      </w:tr>
      <w:tr w:rsidR="00B46EF1" w:rsidRPr="00842387" w14:paraId="133933BB" w14:textId="77777777" w:rsidTr="008048CE">
        <w:tc>
          <w:tcPr>
            <w:tcW w:w="4621" w:type="dxa"/>
            <w:tcBorders>
              <w:bottom w:val="nil"/>
            </w:tcBorders>
          </w:tcPr>
          <w:p w14:paraId="720CDB85" w14:textId="77777777" w:rsidR="00B46EF1" w:rsidRDefault="00B46EF1" w:rsidP="002A3889">
            <w:pPr>
              <w:pStyle w:val="ListParagraph"/>
              <w:numPr>
                <w:ilvl w:val="0"/>
                <w:numId w:val="250"/>
              </w:numPr>
              <w:spacing w:before="120" w:line="360" w:lineRule="auto"/>
              <w:ind w:left="567" w:hanging="504"/>
              <w:contextualSpacing w:val="0"/>
            </w:pPr>
            <w:r w:rsidRPr="00A15894">
              <w:rPr>
                <w:rFonts w:ascii="Avenir LT 45 Book" w:eastAsia="Calibri" w:hAnsi="Avenir LT 45 Book" w:cs="Times New Roman"/>
                <w:sz w:val="20"/>
              </w:rPr>
              <w:t>New developments, additions and alterations to be of a compatible form, bulk and scale to existing development in the immediate locality.</w:t>
            </w:r>
          </w:p>
        </w:tc>
        <w:tc>
          <w:tcPr>
            <w:tcW w:w="4621" w:type="dxa"/>
            <w:tcBorders>
              <w:bottom w:val="nil"/>
            </w:tcBorders>
          </w:tcPr>
          <w:p w14:paraId="724E7739" w14:textId="77777777" w:rsidR="00B46EF1" w:rsidRPr="00A15894" w:rsidRDefault="00B46EF1" w:rsidP="002A3889">
            <w:pPr>
              <w:pStyle w:val="ListParagraph"/>
              <w:numPr>
                <w:ilvl w:val="1"/>
                <w:numId w:val="251"/>
              </w:numPr>
              <w:spacing w:before="120" w:line="360" w:lineRule="auto"/>
              <w:ind w:left="624" w:hanging="567"/>
              <w:contextualSpacing w:val="0"/>
              <w:rPr>
                <w:rFonts w:ascii="Avenir LT 45 Book" w:eastAsia="Calibri" w:hAnsi="Avenir LT 45 Book" w:cs="Times New Roman"/>
                <w:sz w:val="20"/>
              </w:rPr>
            </w:pPr>
            <w:r w:rsidRPr="00A15894">
              <w:rPr>
                <w:rFonts w:ascii="Avenir LT 45 Book" w:eastAsia="Calibri" w:hAnsi="Avenir LT 45 Book" w:cs="Times New Roman"/>
                <w:sz w:val="20"/>
              </w:rPr>
              <w:t>Developments to comply with all design elements of this Local Planning Policy.</w:t>
            </w:r>
          </w:p>
          <w:p w14:paraId="4740B3ED" w14:textId="77777777" w:rsidR="00B46EF1" w:rsidRPr="00A15894" w:rsidRDefault="00B46EF1" w:rsidP="002A3889">
            <w:pPr>
              <w:pStyle w:val="ListParagraph"/>
              <w:numPr>
                <w:ilvl w:val="1"/>
                <w:numId w:val="251"/>
              </w:numPr>
              <w:spacing w:before="120" w:line="360" w:lineRule="auto"/>
              <w:ind w:left="624" w:hanging="567"/>
              <w:contextualSpacing w:val="0"/>
              <w:rPr>
                <w:rFonts w:ascii="Avenir LT 45 Book" w:eastAsia="Calibri" w:hAnsi="Avenir LT 45 Book" w:cs="Times New Roman"/>
                <w:sz w:val="20"/>
              </w:rPr>
            </w:pPr>
            <w:r w:rsidRPr="00A15894">
              <w:rPr>
                <w:rFonts w:ascii="Avenir LT 45 Book" w:eastAsia="Calibri" w:hAnsi="Avenir LT 45 Book" w:cs="Times New Roman"/>
                <w:sz w:val="20"/>
              </w:rPr>
              <w:t>Additions and alterations are single storey or double story.</w:t>
            </w:r>
          </w:p>
          <w:p w14:paraId="18436C6F" w14:textId="77777777" w:rsidR="00B46EF1" w:rsidRPr="00A15894" w:rsidRDefault="00B46EF1" w:rsidP="002A3889">
            <w:pPr>
              <w:pStyle w:val="ListParagraph"/>
              <w:numPr>
                <w:ilvl w:val="1"/>
                <w:numId w:val="251"/>
              </w:numPr>
              <w:spacing w:before="120" w:line="360" w:lineRule="auto"/>
              <w:ind w:left="624" w:hanging="567"/>
              <w:contextualSpacing w:val="0"/>
              <w:rPr>
                <w:rFonts w:ascii="Avenir LT 45 Book" w:eastAsia="Calibri" w:hAnsi="Avenir LT 45 Book" w:cs="Times New Roman"/>
                <w:sz w:val="20"/>
              </w:rPr>
            </w:pPr>
            <w:r w:rsidRPr="00A15894">
              <w:rPr>
                <w:rFonts w:ascii="Avenir LT 45 Book" w:eastAsia="Calibri" w:hAnsi="Avenir LT 45 Book" w:cs="Times New Roman"/>
                <w:sz w:val="20"/>
              </w:rPr>
              <w:lastRenderedPageBreak/>
              <w:t>Category ‘B’ provisions as set out within Table 3 – Maximum Building Heights of the Residential Design Codes are applicable as the ‘Acceptable Development’ standards.</w:t>
            </w:r>
          </w:p>
          <w:p w14:paraId="6DA38FED" w14:textId="77777777" w:rsidR="00B46EF1" w:rsidRDefault="00B46EF1" w:rsidP="002A3889">
            <w:pPr>
              <w:pStyle w:val="ListParagraph"/>
              <w:numPr>
                <w:ilvl w:val="1"/>
                <w:numId w:val="251"/>
              </w:numPr>
              <w:spacing w:line="360" w:lineRule="auto"/>
              <w:ind w:left="624" w:hanging="567"/>
              <w:contextualSpacing w:val="0"/>
              <w:rPr>
                <w:rFonts w:cs="Arial"/>
              </w:rPr>
            </w:pPr>
            <w:r w:rsidRPr="00A15894">
              <w:rPr>
                <w:rFonts w:ascii="Avenir LT 45 Book" w:eastAsia="Calibri" w:hAnsi="Avenir LT 45 Book" w:cs="Arial"/>
                <w:sz w:val="20"/>
              </w:rPr>
              <w:t xml:space="preserve">Category ‘A’ provisions as set out within Table 3 – Maximum Building Heights of the Residential Design Codes are applicable for development on battle-axe lots.  Where </w:t>
            </w:r>
            <w:proofErr w:type="gramStart"/>
            <w:r w:rsidRPr="00A15894">
              <w:rPr>
                <w:rFonts w:ascii="Avenir LT 45 Book" w:eastAsia="Calibri" w:hAnsi="Avenir LT 45 Book" w:cs="Arial"/>
                <w:sz w:val="20"/>
              </w:rPr>
              <w:t>upper level</w:t>
            </w:r>
            <w:proofErr w:type="gramEnd"/>
            <w:r w:rsidRPr="00A15894">
              <w:rPr>
                <w:rFonts w:ascii="Avenir LT 45 Book" w:eastAsia="Calibri" w:hAnsi="Avenir LT 45 Book" w:cs="Arial"/>
                <w:sz w:val="20"/>
              </w:rPr>
              <w:t xml:space="preserve"> portions are nonetheless applied for, consideration shall be given to the relaxation of heights in Category ‘A’ where the following apply</w:t>
            </w:r>
            <w:r w:rsidRPr="00C33096">
              <w:rPr>
                <w:rFonts w:cs="Arial"/>
              </w:rPr>
              <w:t>:</w:t>
            </w:r>
          </w:p>
          <w:p w14:paraId="36D55A61" w14:textId="77777777" w:rsidR="00B46EF1" w:rsidRPr="00A15894" w:rsidRDefault="00B46EF1" w:rsidP="002A3889">
            <w:pPr>
              <w:pStyle w:val="ListParagraph"/>
              <w:numPr>
                <w:ilvl w:val="0"/>
                <w:numId w:val="255"/>
              </w:numPr>
              <w:spacing w:line="360" w:lineRule="auto"/>
              <w:ind w:left="624" w:hanging="264"/>
              <w:contextualSpacing w:val="0"/>
              <w:rPr>
                <w:rFonts w:ascii="Avenir LT 45 Book" w:eastAsia="Calibri" w:hAnsi="Avenir LT 45 Book" w:cs="Arial"/>
                <w:sz w:val="20"/>
              </w:rPr>
            </w:pPr>
            <w:r w:rsidRPr="00A15894">
              <w:rPr>
                <w:rFonts w:ascii="Avenir LT 45 Book" w:eastAsia="Calibri" w:hAnsi="Avenir LT 45 Book" w:cs="Arial"/>
                <w:sz w:val="20"/>
              </w:rPr>
              <w:t xml:space="preserve">The proposal demonstrates design, bulk and scale that responds to the established character or other site specific </w:t>
            </w:r>
            <w:proofErr w:type="gramStart"/>
            <w:r w:rsidRPr="00A15894">
              <w:rPr>
                <w:rFonts w:ascii="Avenir LT 45 Book" w:eastAsia="Calibri" w:hAnsi="Avenir LT 45 Book" w:cs="Arial"/>
                <w:sz w:val="20"/>
              </w:rPr>
              <w:t>circumstances;</w:t>
            </w:r>
            <w:proofErr w:type="gramEnd"/>
          </w:p>
          <w:p w14:paraId="31F908A4" w14:textId="77777777" w:rsidR="00B46EF1" w:rsidRPr="00A15894" w:rsidRDefault="00B46EF1" w:rsidP="002A3889">
            <w:pPr>
              <w:pStyle w:val="ListParagraph"/>
              <w:numPr>
                <w:ilvl w:val="0"/>
                <w:numId w:val="255"/>
              </w:numPr>
              <w:spacing w:line="360" w:lineRule="auto"/>
              <w:ind w:left="624" w:hanging="264"/>
              <w:contextualSpacing w:val="0"/>
              <w:rPr>
                <w:rFonts w:ascii="Avenir LT 45 Book" w:eastAsia="Calibri" w:hAnsi="Avenir LT 45 Book" w:cs="Arial"/>
                <w:sz w:val="20"/>
              </w:rPr>
            </w:pPr>
            <w:r w:rsidRPr="00A15894">
              <w:rPr>
                <w:rFonts w:ascii="Avenir LT 45 Book" w:eastAsia="Calibri" w:hAnsi="Avenir LT 45 Book" w:cs="Arial"/>
                <w:sz w:val="20"/>
              </w:rPr>
              <w:t>The provision of a landscaping plan demonstrating a minimum of 50% of the effective lot area being landscaped; and,</w:t>
            </w:r>
          </w:p>
          <w:p w14:paraId="39CD4768" w14:textId="77777777" w:rsidR="00B46EF1" w:rsidRDefault="00B46EF1" w:rsidP="002A3889">
            <w:pPr>
              <w:pStyle w:val="ListParagraph"/>
              <w:numPr>
                <w:ilvl w:val="0"/>
                <w:numId w:val="255"/>
              </w:numPr>
              <w:spacing w:line="360" w:lineRule="auto"/>
              <w:ind w:left="624" w:hanging="264"/>
              <w:contextualSpacing w:val="0"/>
            </w:pPr>
            <w:r w:rsidRPr="00A15894">
              <w:rPr>
                <w:rFonts w:ascii="Avenir LT 45 Book" w:eastAsia="Calibri" w:hAnsi="Avenir LT 45 Book" w:cs="Arial"/>
                <w:sz w:val="20"/>
              </w:rPr>
              <w:t>Subject to the provisions of Residential Design Codes – Element 9 – Design for Climate and Element 8 – Privacy.</w:t>
            </w:r>
          </w:p>
        </w:tc>
      </w:tr>
      <w:tr w:rsidR="00B46EF1" w:rsidRPr="00842387" w14:paraId="7930FA8F" w14:textId="77777777" w:rsidTr="008048CE">
        <w:tc>
          <w:tcPr>
            <w:tcW w:w="4621" w:type="dxa"/>
            <w:tcBorders>
              <w:top w:val="nil"/>
              <w:bottom w:val="nil"/>
            </w:tcBorders>
          </w:tcPr>
          <w:p w14:paraId="14824356" w14:textId="77777777" w:rsidR="00B46EF1" w:rsidRDefault="00B46EF1" w:rsidP="002A3889">
            <w:pPr>
              <w:pStyle w:val="ListParagraph"/>
              <w:numPr>
                <w:ilvl w:val="0"/>
                <w:numId w:val="250"/>
              </w:numPr>
              <w:spacing w:line="360" w:lineRule="auto"/>
              <w:ind w:left="567" w:hanging="504"/>
              <w:contextualSpacing w:val="0"/>
            </w:pPr>
            <w:r w:rsidRPr="00A15894">
              <w:rPr>
                <w:rFonts w:ascii="Avenir LT 45 Book" w:eastAsia="Calibri" w:hAnsi="Avenir LT 45 Book" w:cs="Times New Roman"/>
                <w:sz w:val="20"/>
                <w:szCs w:val="20"/>
              </w:rPr>
              <w:lastRenderedPageBreak/>
              <w:t>Direct overlooking of active habitable spaces and outdoor living areas of other dwellings is minimized by building layout, location and design of major openings and outdoor active habitable spaces, screening devices and landscape, or remoteness.</w:t>
            </w:r>
          </w:p>
        </w:tc>
        <w:tc>
          <w:tcPr>
            <w:tcW w:w="4621" w:type="dxa"/>
            <w:tcBorders>
              <w:top w:val="nil"/>
              <w:bottom w:val="nil"/>
            </w:tcBorders>
          </w:tcPr>
          <w:p w14:paraId="645DE8C5" w14:textId="77777777" w:rsidR="00B46EF1" w:rsidRDefault="00B46EF1" w:rsidP="002A3889">
            <w:pPr>
              <w:pStyle w:val="ListParagraph"/>
              <w:numPr>
                <w:ilvl w:val="0"/>
                <w:numId w:val="251"/>
              </w:numPr>
              <w:spacing w:line="360" w:lineRule="auto"/>
              <w:ind w:left="624" w:hanging="505"/>
              <w:contextualSpacing w:val="0"/>
              <w:rPr>
                <w:szCs w:val="20"/>
              </w:rPr>
            </w:pPr>
            <w:r w:rsidRPr="00A15894">
              <w:rPr>
                <w:rFonts w:ascii="Avenir LT 45 Book" w:eastAsia="Calibri" w:hAnsi="Avenir LT 45 Book" w:cs="Times New Roman"/>
                <w:sz w:val="20"/>
                <w:szCs w:val="20"/>
              </w:rPr>
              <w:t xml:space="preserve">Major openings to active habitable spaces or their equivalent which have a floor level more than 0.5m above natural ground level and positioned </w:t>
            </w:r>
            <w:proofErr w:type="gramStart"/>
            <w:r w:rsidRPr="00A15894">
              <w:rPr>
                <w:rFonts w:ascii="Avenir LT 45 Book" w:eastAsia="Calibri" w:hAnsi="Avenir LT 45 Book" w:cs="Times New Roman"/>
                <w:sz w:val="20"/>
                <w:szCs w:val="20"/>
              </w:rPr>
              <w:t>so as to</w:t>
            </w:r>
            <w:proofErr w:type="gramEnd"/>
            <w:r w:rsidRPr="00A15894">
              <w:rPr>
                <w:rFonts w:ascii="Avenir LT 45 Book" w:eastAsia="Calibri" w:hAnsi="Avenir LT 45 Book" w:cs="Times New Roman"/>
                <w:sz w:val="20"/>
                <w:szCs w:val="20"/>
              </w:rPr>
              <w:t xml:space="preserve"> overlook any part of any other residential property behind its street setback line, to comply with at least one of the following</w:t>
            </w:r>
            <w:r w:rsidRPr="00C33096">
              <w:rPr>
                <w:szCs w:val="20"/>
              </w:rPr>
              <w:t>:</w:t>
            </w:r>
          </w:p>
          <w:p w14:paraId="01B7C60E" w14:textId="77777777" w:rsidR="00B46EF1" w:rsidRPr="00A15894" w:rsidRDefault="00B46EF1" w:rsidP="002A3889">
            <w:pPr>
              <w:pStyle w:val="ListParagraph"/>
              <w:numPr>
                <w:ilvl w:val="0"/>
                <w:numId w:val="254"/>
              </w:numPr>
              <w:spacing w:line="360" w:lineRule="auto"/>
              <w:ind w:left="624" w:hanging="264"/>
              <w:contextualSpacing w:val="0"/>
              <w:rPr>
                <w:rFonts w:ascii="Avenir LT 45 Book" w:eastAsia="Calibri" w:hAnsi="Avenir LT 45 Book" w:cs="Times New Roman"/>
                <w:sz w:val="20"/>
                <w:szCs w:val="20"/>
              </w:rPr>
            </w:pPr>
            <w:r w:rsidRPr="00A15894">
              <w:rPr>
                <w:rFonts w:ascii="Avenir LT 45 Book" w:eastAsia="Calibri" w:hAnsi="Avenir LT 45 Book" w:cs="Times New Roman"/>
                <w:sz w:val="20"/>
                <w:szCs w:val="20"/>
              </w:rPr>
              <w:t xml:space="preserve">are set back, in direct line of sight within the cone of vision, from the boundary of an adjoining property (Refer R Codes Section for setback distances). </w:t>
            </w:r>
          </w:p>
          <w:p w14:paraId="0235BD90" w14:textId="77777777" w:rsidR="00B46EF1" w:rsidRPr="00A15894" w:rsidRDefault="00B46EF1" w:rsidP="00A15894">
            <w:pPr>
              <w:pStyle w:val="ListParagraph"/>
              <w:spacing w:line="360" w:lineRule="auto"/>
              <w:ind w:left="624" w:hanging="264"/>
              <w:contextualSpacing w:val="0"/>
              <w:rPr>
                <w:rFonts w:ascii="Avenir LT 45 Book" w:eastAsia="Calibri" w:hAnsi="Avenir LT 45 Book" w:cs="Times New Roman"/>
                <w:sz w:val="20"/>
                <w:szCs w:val="20"/>
              </w:rPr>
            </w:pPr>
            <w:r w:rsidRPr="00A15894">
              <w:rPr>
                <w:rFonts w:ascii="Avenir LT 45 Book" w:eastAsia="Calibri" w:hAnsi="Avenir LT 45 Book" w:cs="Times New Roman"/>
                <w:sz w:val="20"/>
                <w:szCs w:val="20"/>
              </w:rPr>
              <w:t>Or</w:t>
            </w:r>
          </w:p>
          <w:p w14:paraId="62B5F2D0" w14:textId="77777777" w:rsidR="00B46EF1" w:rsidRDefault="00B46EF1" w:rsidP="002A3889">
            <w:pPr>
              <w:pStyle w:val="ListParagraph"/>
              <w:numPr>
                <w:ilvl w:val="0"/>
                <w:numId w:val="254"/>
              </w:numPr>
              <w:spacing w:line="360" w:lineRule="auto"/>
              <w:ind w:left="624" w:hanging="264"/>
              <w:contextualSpacing w:val="0"/>
            </w:pPr>
            <w:r w:rsidRPr="00A15894">
              <w:rPr>
                <w:rFonts w:ascii="Avenir LT 45 Book" w:eastAsia="Calibri" w:hAnsi="Avenir LT 45 Book" w:cs="Times New Roman"/>
                <w:sz w:val="20"/>
                <w:szCs w:val="20"/>
              </w:rPr>
              <w:t>are provided with permanent vertical screening to a height of 1.6m to restrict views from any major opening of an active habitable space.</w:t>
            </w:r>
          </w:p>
        </w:tc>
      </w:tr>
      <w:tr w:rsidR="00B46EF1" w:rsidRPr="00842387" w14:paraId="709C8A44" w14:textId="77777777" w:rsidTr="008048CE">
        <w:tc>
          <w:tcPr>
            <w:tcW w:w="4621" w:type="dxa"/>
            <w:tcBorders>
              <w:top w:val="nil"/>
              <w:bottom w:val="nil"/>
            </w:tcBorders>
          </w:tcPr>
          <w:p w14:paraId="670932D0" w14:textId="77777777" w:rsidR="00B46EF1" w:rsidRPr="00A15894" w:rsidRDefault="00B46EF1" w:rsidP="002A3889">
            <w:pPr>
              <w:pStyle w:val="ListParagraph"/>
              <w:numPr>
                <w:ilvl w:val="0"/>
                <w:numId w:val="250"/>
              </w:numPr>
              <w:spacing w:line="360" w:lineRule="auto"/>
              <w:ind w:left="567" w:hanging="504"/>
              <w:contextualSpacing w:val="0"/>
              <w:rPr>
                <w:rFonts w:ascii="Avenir LT 45 Book" w:eastAsia="Calibri" w:hAnsi="Avenir LT 45 Book" w:cs="Times New Roman"/>
                <w:sz w:val="20"/>
                <w:szCs w:val="20"/>
              </w:rPr>
            </w:pPr>
            <w:r w:rsidRPr="00A15894">
              <w:rPr>
                <w:rFonts w:ascii="Avenir LT 45 Book" w:eastAsia="Calibri" w:hAnsi="Avenir LT 45 Book" w:cs="Times New Roman"/>
                <w:sz w:val="20"/>
                <w:szCs w:val="20"/>
              </w:rPr>
              <w:t>Development designed with regard for solar access for neighbouring properties taking account the potential to overshadow:</w:t>
            </w:r>
          </w:p>
          <w:p w14:paraId="66EF40EF" w14:textId="77777777" w:rsidR="00B46EF1" w:rsidRPr="00A15894" w:rsidRDefault="00B46EF1" w:rsidP="002A3889">
            <w:pPr>
              <w:pStyle w:val="ListParagraph"/>
              <w:numPr>
                <w:ilvl w:val="0"/>
                <w:numId w:val="252"/>
              </w:numPr>
              <w:spacing w:line="360" w:lineRule="auto"/>
              <w:ind w:left="567" w:hanging="207"/>
              <w:contextualSpacing w:val="0"/>
              <w:rPr>
                <w:rFonts w:ascii="Avenir LT 45 Book" w:eastAsia="Calibri" w:hAnsi="Avenir LT 45 Book" w:cs="Times New Roman"/>
                <w:sz w:val="20"/>
                <w:szCs w:val="20"/>
              </w:rPr>
            </w:pPr>
            <w:r w:rsidRPr="00A15894">
              <w:rPr>
                <w:rFonts w:ascii="Avenir LT 45 Book" w:eastAsia="Calibri" w:hAnsi="Avenir LT 45 Book" w:cs="Times New Roman"/>
                <w:sz w:val="20"/>
                <w:szCs w:val="20"/>
              </w:rPr>
              <w:t xml:space="preserve">outdoor living </w:t>
            </w:r>
            <w:proofErr w:type="gramStart"/>
            <w:r w:rsidRPr="00A15894">
              <w:rPr>
                <w:rFonts w:ascii="Avenir LT 45 Book" w:eastAsia="Calibri" w:hAnsi="Avenir LT 45 Book" w:cs="Times New Roman"/>
                <w:sz w:val="20"/>
                <w:szCs w:val="20"/>
              </w:rPr>
              <w:t>areas;</w:t>
            </w:r>
            <w:proofErr w:type="gramEnd"/>
          </w:p>
          <w:p w14:paraId="039AF5D5" w14:textId="77777777" w:rsidR="00B46EF1" w:rsidRPr="00A15894" w:rsidRDefault="00B46EF1" w:rsidP="002A3889">
            <w:pPr>
              <w:pStyle w:val="ListParagraph"/>
              <w:numPr>
                <w:ilvl w:val="0"/>
                <w:numId w:val="252"/>
              </w:numPr>
              <w:spacing w:line="360" w:lineRule="auto"/>
              <w:ind w:left="567" w:hanging="207"/>
              <w:contextualSpacing w:val="0"/>
              <w:rPr>
                <w:rFonts w:ascii="Avenir LT 45 Book" w:eastAsia="Calibri" w:hAnsi="Avenir LT 45 Book" w:cs="Times New Roman"/>
                <w:sz w:val="20"/>
                <w:szCs w:val="20"/>
              </w:rPr>
            </w:pPr>
            <w:r w:rsidRPr="00A15894">
              <w:rPr>
                <w:rFonts w:ascii="Avenir LT 45 Book" w:eastAsia="Calibri" w:hAnsi="Avenir LT 45 Book" w:cs="Times New Roman"/>
                <w:sz w:val="20"/>
                <w:szCs w:val="20"/>
              </w:rPr>
              <w:t xml:space="preserve">major openings to habitable </w:t>
            </w:r>
            <w:proofErr w:type="gramStart"/>
            <w:r w:rsidRPr="00A15894">
              <w:rPr>
                <w:rFonts w:ascii="Avenir LT 45 Book" w:eastAsia="Calibri" w:hAnsi="Avenir LT 45 Book" w:cs="Times New Roman"/>
                <w:sz w:val="20"/>
                <w:szCs w:val="20"/>
              </w:rPr>
              <w:t>rooms;</w:t>
            </w:r>
            <w:proofErr w:type="gramEnd"/>
          </w:p>
          <w:p w14:paraId="6AD59A28" w14:textId="77777777" w:rsidR="00B46EF1" w:rsidRPr="00A15894" w:rsidRDefault="00B46EF1" w:rsidP="002A3889">
            <w:pPr>
              <w:pStyle w:val="ListParagraph"/>
              <w:numPr>
                <w:ilvl w:val="0"/>
                <w:numId w:val="252"/>
              </w:numPr>
              <w:spacing w:line="360" w:lineRule="auto"/>
              <w:ind w:left="567" w:hanging="207"/>
              <w:contextualSpacing w:val="0"/>
              <w:rPr>
                <w:rFonts w:ascii="Avenir LT 45 Book" w:eastAsia="Calibri" w:hAnsi="Avenir LT 45 Book" w:cs="Times New Roman"/>
                <w:sz w:val="20"/>
                <w:szCs w:val="20"/>
              </w:rPr>
            </w:pPr>
            <w:r w:rsidRPr="00A15894">
              <w:rPr>
                <w:rFonts w:ascii="Avenir LT 45 Book" w:eastAsia="Calibri" w:hAnsi="Avenir LT 45 Book" w:cs="Times New Roman"/>
                <w:sz w:val="20"/>
                <w:szCs w:val="20"/>
              </w:rPr>
              <w:t>solar collectors; and,</w:t>
            </w:r>
          </w:p>
          <w:p w14:paraId="1F87F010" w14:textId="77777777" w:rsidR="00B46EF1" w:rsidRDefault="00B46EF1" w:rsidP="002A3889">
            <w:pPr>
              <w:pStyle w:val="ListParagraph"/>
              <w:numPr>
                <w:ilvl w:val="0"/>
                <w:numId w:val="252"/>
              </w:numPr>
              <w:spacing w:line="360" w:lineRule="auto"/>
              <w:ind w:left="567" w:hanging="207"/>
              <w:contextualSpacing w:val="0"/>
              <w:rPr>
                <w:szCs w:val="20"/>
              </w:rPr>
            </w:pPr>
            <w:r w:rsidRPr="00A15894">
              <w:rPr>
                <w:rFonts w:ascii="Avenir LT 45 Book" w:eastAsia="Calibri" w:hAnsi="Avenir LT 45 Book" w:cs="Times New Roman"/>
                <w:sz w:val="20"/>
                <w:szCs w:val="20"/>
              </w:rPr>
              <w:t>outdoor habitable areas</w:t>
            </w:r>
            <w:r w:rsidRPr="00842387">
              <w:rPr>
                <w:szCs w:val="20"/>
              </w:rPr>
              <w:t>.</w:t>
            </w:r>
          </w:p>
        </w:tc>
        <w:tc>
          <w:tcPr>
            <w:tcW w:w="4621" w:type="dxa"/>
            <w:tcBorders>
              <w:top w:val="nil"/>
              <w:bottom w:val="nil"/>
            </w:tcBorders>
          </w:tcPr>
          <w:p w14:paraId="3D114F48" w14:textId="77777777" w:rsidR="00B46EF1" w:rsidRPr="00A15894" w:rsidRDefault="00B46EF1" w:rsidP="002A3889">
            <w:pPr>
              <w:pStyle w:val="ListParagraph"/>
              <w:numPr>
                <w:ilvl w:val="0"/>
                <w:numId w:val="251"/>
              </w:numPr>
              <w:spacing w:line="360" w:lineRule="auto"/>
              <w:ind w:left="624" w:hanging="505"/>
              <w:contextualSpacing w:val="0"/>
              <w:rPr>
                <w:rFonts w:ascii="Avenir LT 45 Book" w:eastAsia="Calibri" w:hAnsi="Avenir LT 45 Book" w:cs="Times New Roman"/>
                <w:sz w:val="20"/>
                <w:szCs w:val="20"/>
              </w:rPr>
            </w:pPr>
            <w:r w:rsidRPr="00A15894">
              <w:rPr>
                <w:rFonts w:ascii="Avenir LT 45 Book" w:eastAsia="Calibri" w:hAnsi="Avenir LT 45 Book" w:cs="Times New Roman"/>
                <w:sz w:val="20"/>
                <w:szCs w:val="20"/>
              </w:rPr>
              <w:t>Notwithstanding the boundary setbacks developments shall be designed that its shadow cast at midday, 21 June onto any other adjoining property does not exceed the following limits:</w:t>
            </w:r>
          </w:p>
          <w:p w14:paraId="5C1B6335" w14:textId="77777777" w:rsidR="00B46EF1" w:rsidRPr="00A15894" w:rsidRDefault="00B46EF1" w:rsidP="002A3889">
            <w:pPr>
              <w:pStyle w:val="ListParagraph"/>
              <w:numPr>
                <w:ilvl w:val="0"/>
                <w:numId w:val="253"/>
              </w:numPr>
              <w:spacing w:line="360" w:lineRule="auto"/>
              <w:ind w:left="624" w:hanging="264"/>
              <w:contextualSpacing w:val="0"/>
              <w:rPr>
                <w:rFonts w:ascii="Avenir LT 45 Book" w:eastAsia="Calibri" w:hAnsi="Avenir LT 45 Book" w:cs="Times New Roman"/>
                <w:sz w:val="20"/>
                <w:szCs w:val="20"/>
              </w:rPr>
            </w:pPr>
            <w:r w:rsidRPr="00A15894">
              <w:rPr>
                <w:rFonts w:ascii="Avenir LT 45 Book" w:eastAsia="Calibri" w:hAnsi="Avenir LT 45 Book" w:cs="Times New Roman"/>
                <w:sz w:val="20"/>
                <w:szCs w:val="20"/>
              </w:rPr>
              <w:t>on adjoining properties coded R25 and less – 25% of the site area; and,</w:t>
            </w:r>
          </w:p>
          <w:p w14:paraId="21B9D13B" w14:textId="77777777" w:rsidR="00B46EF1" w:rsidRDefault="00B46EF1" w:rsidP="002A3889">
            <w:pPr>
              <w:pStyle w:val="ListParagraph"/>
              <w:numPr>
                <w:ilvl w:val="0"/>
                <w:numId w:val="253"/>
              </w:numPr>
              <w:spacing w:line="360" w:lineRule="auto"/>
              <w:ind w:left="624" w:hanging="264"/>
              <w:contextualSpacing w:val="0"/>
              <w:rPr>
                <w:szCs w:val="20"/>
              </w:rPr>
            </w:pPr>
            <w:r w:rsidRPr="00A15894">
              <w:rPr>
                <w:rFonts w:ascii="Avenir LT 45 Book" w:eastAsia="Calibri" w:hAnsi="Avenir LT 45 Book" w:cs="Times New Roman"/>
                <w:sz w:val="20"/>
                <w:szCs w:val="20"/>
              </w:rPr>
              <w:t>on adjoining properties coded R30 to R40 inclusive – 35% of the site area.</w:t>
            </w:r>
          </w:p>
        </w:tc>
      </w:tr>
    </w:tbl>
    <w:p w14:paraId="407137A2" w14:textId="77777777" w:rsidR="00B46EF1" w:rsidRDefault="00A15894" w:rsidP="00A15894">
      <w:pPr>
        <w:pStyle w:val="Heading5"/>
        <w:spacing w:before="360"/>
      </w:pPr>
      <w:r>
        <w:lastRenderedPageBreak/>
        <w:t>3.7.20.4.2</w:t>
      </w:r>
      <w:r>
        <w:tab/>
      </w:r>
      <w:proofErr w:type="spellStart"/>
      <w:r w:rsidR="00B46EF1" w:rsidRPr="00842387">
        <w:t>Verandahs</w:t>
      </w:r>
      <w:proofErr w:type="spellEnd"/>
      <w:r w:rsidR="00B46EF1" w:rsidRPr="00842387">
        <w:t xml:space="preserve"> and Porches</w:t>
      </w:r>
    </w:p>
    <w:p w14:paraId="52700F1A" w14:textId="77777777" w:rsidR="00B46EF1" w:rsidRDefault="00B46EF1" w:rsidP="00B46EF1">
      <w:pPr>
        <w:pStyle w:val="Heading5"/>
        <w:ind w:left="1418" w:hanging="1418"/>
      </w:pPr>
      <w:r>
        <w:t>3.7.20.4.2.1</w:t>
      </w:r>
      <w:r>
        <w:tab/>
        <w:t>Statement</w:t>
      </w:r>
    </w:p>
    <w:p w14:paraId="30003CB3" w14:textId="77777777" w:rsidR="00B46EF1" w:rsidRPr="00A15894" w:rsidRDefault="00B46EF1" w:rsidP="00A15894">
      <w:pPr>
        <w:spacing w:line="360" w:lineRule="auto"/>
        <w:rPr>
          <w:rFonts w:ascii="Avenir LT 45 Book" w:eastAsia="Calibri" w:hAnsi="Avenir LT 45 Book"/>
          <w:i/>
          <w:sz w:val="20"/>
        </w:rPr>
      </w:pPr>
      <w:proofErr w:type="spellStart"/>
      <w:r w:rsidRPr="00A15894">
        <w:rPr>
          <w:rFonts w:ascii="Avenir LT 45 Book" w:eastAsia="Calibri" w:hAnsi="Avenir LT 45 Book"/>
          <w:i/>
          <w:sz w:val="20"/>
        </w:rPr>
        <w:t>Verandahs</w:t>
      </w:r>
      <w:proofErr w:type="spellEnd"/>
      <w:r w:rsidRPr="00A15894">
        <w:rPr>
          <w:rFonts w:ascii="Avenir LT 45 Book" w:eastAsia="Calibri" w:hAnsi="Avenir LT 45 Book"/>
          <w:i/>
          <w:sz w:val="20"/>
        </w:rPr>
        <w:t xml:space="preserve"> are a strong contributor to the character of the Richmond Raceway Precinct and should be encouraged in new developments.  Most </w:t>
      </w:r>
      <w:proofErr w:type="spellStart"/>
      <w:r w:rsidRPr="00A15894">
        <w:rPr>
          <w:rFonts w:ascii="Avenir LT 45 Book" w:eastAsia="Calibri" w:hAnsi="Avenir LT 45 Book"/>
          <w:i/>
          <w:sz w:val="20"/>
        </w:rPr>
        <w:t>verandahs</w:t>
      </w:r>
      <w:proofErr w:type="spellEnd"/>
      <w:r w:rsidRPr="00A15894">
        <w:rPr>
          <w:rFonts w:ascii="Avenir LT 45 Book" w:eastAsia="Calibri" w:hAnsi="Avenir LT 45 Book"/>
          <w:i/>
          <w:sz w:val="20"/>
        </w:rPr>
        <w:t xml:space="preserve"> are corrugated iron, bullnose or skillion roofed and are located on the front façades of residences as independent elements from the main roof.</w:t>
      </w:r>
    </w:p>
    <w:p w14:paraId="14257A38" w14:textId="77777777" w:rsidR="00B46EF1" w:rsidRDefault="00B46EF1" w:rsidP="00B46EF1">
      <w:r>
        <w:rPr>
          <w:noProof/>
          <w:lang w:eastAsia="en-AU"/>
        </w:rPr>
        <w:drawing>
          <wp:inline distT="0" distB="0" distL="0" distR="0" wp14:anchorId="62A93E59" wp14:editId="11C9D678">
            <wp:extent cx="2524125" cy="1800225"/>
            <wp:effectExtent l="19050" t="0" r="9525" b="0"/>
            <wp:docPr id="121" name="Picture 58" descr="Z:\2011 JOBS\11206-EAST FREMANTLE GUIDELINES\11206-PHOTOS\PROCESSED\RACEWAY\63 RICHMOND CIR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2011 JOBS\11206-EAST FREMANTLE GUIDELINES\11206-PHOTOS\PROCESSED\RACEWAY\63 RICHMOND CIRCUS.jpg"/>
                    <pic:cNvPicPr>
                      <a:picLocks noChangeAspect="1" noChangeArrowheads="1"/>
                    </pic:cNvPicPr>
                  </pic:nvPicPr>
                  <pic:blipFill>
                    <a:blip r:embed="rId204"/>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07356FEC" wp14:editId="2813584C">
            <wp:extent cx="2524125" cy="1800225"/>
            <wp:effectExtent l="19050" t="0" r="9525" b="0"/>
            <wp:docPr id="122" name="Picture 59" descr="Z:\2011 JOBS\11206-EAST FREMANTLE GUIDELINES\11206-PHOTOS\PROCESSED\RACEWAY\GEORG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2011 JOBS\11206-EAST FREMANTLE GUIDELINES\11206-PHOTOS\PROCESSED\RACEWAY\GEORGE STREET.jpg"/>
                    <pic:cNvPicPr>
                      <a:picLocks noChangeAspect="1" noChangeArrowheads="1"/>
                    </pic:cNvPicPr>
                  </pic:nvPicPr>
                  <pic:blipFill>
                    <a:blip r:embed="rId276"/>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7CCE6BFD" w14:textId="77777777" w:rsidR="00B46EF1" w:rsidRDefault="00B46EF1" w:rsidP="00B46EF1">
      <w:pPr>
        <w:pStyle w:val="Heading5"/>
        <w:ind w:left="1418" w:hanging="1418"/>
      </w:pPr>
      <w:r>
        <w:t>3.7.20.4.2.2</w:t>
      </w:r>
      <w:r>
        <w:tab/>
        <w:t>Desired Development Outcomes</w:t>
      </w:r>
    </w:p>
    <w:p w14:paraId="1611CB37" w14:textId="77777777" w:rsidR="00B46EF1" w:rsidRPr="00A15894" w:rsidRDefault="00B46EF1" w:rsidP="002A3889">
      <w:pPr>
        <w:pStyle w:val="ListParagraph"/>
        <w:numPr>
          <w:ilvl w:val="0"/>
          <w:numId w:val="256"/>
        </w:numPr>
        <w:spacing w:line="360" w:lineRule="auto"/>
        <w:rPr>
          <w:rFonts w:ascii="Avenir LT 45 Book" w:eastAsia="Calibri" w:hAnsi="Avenir LT 45 Book" w:cs="Times New Roman"/>
          <w:sz w:val="20"/>
        </w:rPr>
      </w:pPr>
      <w:proofErr w:type="spellStart"/>
      <w:r w:rsidRPr="00A15894">
        <w:rPr>
          <w:rFonts w:ascii="Avenir LT 45 Book" w:eastAsia="Calibri" w:hAnsi="Avenir LT 45 Book" w:cs="Times New Roman"/>
          <w:sz w:val="20"/>
        </w:rPr>
        <w:t>Verandahs</w:t>
      </w:r>
      <w:proofErr w:type="spellEnd"/>
      <w:r w:rsidRPr="00A15894">
        <w:rPr>
          <w:rFonts w:ascii="Avenir LT 45 Book" w:eastAsia="Calibri" w:hAnsi="Avenir LT 45 Book" w:cs="Times New Roman"/>
          <w:sz w:val="20"/>
        </w:rPr>
        <w:t xml:space="preserve"> and porches to be encouraged in new developments.  They should complement the immediate locality.</w:t>
      </w:r>
    </w:p>
    <w:p w14:paraId="43ADABA9" w14:textId="77777777" w:rsidR="00B46EF1" w:rsidRDefault="00B46EF1" w:rsidP="00B46EF1">
      <w:pPr>
        <w:pStyle w:val="Heading5"/>
        <w:ind w:left="1418" w:hanging="1418"/>
      </w:pPr>
      <w:r>
        <w:t>3.7.20.4.2.3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5"/>
        <w:gridCol w:w="4521"/>
      </w:tblGrid>
      <w:tr w:rsidR="00B46EF1" w:rsidRPr="00842387" w14:paraId="73C808FB" w14:textId="77777777" w:rsidTr="008048CE">
        <w:tc>
          <w:tcPr>
            <w:tcW w:w="4621" w:type="dxa"/>
            <w:tcBorders>
              <w:top w:val="nil"/>
              <w:bottom w:val="single" w:sz="4" w:space="0" w:color="auto"/>
            </w:tcBorders>
          </w:tcPr>
          <w:p w14:paraId="789F5273" w14:textId="77777777" w:rsidR="00B46EF1" w:rsidRDefault="00B46EF1" w:rsidP="008048CE">
            <w:pPr>
              <w:rPr>
                <w:rFonts w:ascii="Avenir LT 65 Medium" w:hAnsi="Avenir LT 65 Medium"/>
              </w:rPr>
            </w:pPr>
            <w:r w:rsidRPr="00842387">
              <w:rPr>
                <w:rFonts w:ascii="Avenir LT 65 Medium" w:hAnsi="Avenir LT 65 Medium"/>
              </w:rPr>
              <w:t>Performance Criteria</w:t>
            </w:r>
          </w:p>
        </w:tc>
        <w:tc>
          <w:tcPr>
            <w:tcW w:w="4621" w:type="dxa"/>
            <w:tcBorders>
              <w:top w:val="nil"/>
              <w:bottom w:val="single" w:sz="4" w:space="0" w:color="auto"/>
            </w:tcBorders>
          </w:tcPr>
          <w:p w14:paraId="132B00BD" w14:textId="77777777" w:rsidR="00B46EF1" w:rsidRDefault="00B46EF1" w:rsidP="008048CE">
            <w:r w:rsidRPr="00842387">
              <w:rPr>
                <w:rFonts w:ascii="Avenir LT 65 Medium" w:hAnsi="Avenir LT 65 Medium"/>
              </w:rPr>
              <w:t>Acceptable Development Provisions</w:t>
            </w:r>
          </w:p>
        </w:tc>
      </w:tr>
      <w:tr w:rsidR="00B46EF1" w:rsidRPr="00842387" w14:paraId="0E0D99FE" w14:textId="77777777" w:rsidTr="008048CE">
        <w:tc>
          <w:tcPr>
            <w:tcW w:w="4621" w:type="dxa"/>
            <w:tcBorders>
              <w:top w:val="single" w:sz="4" w:space="0" w:color="auto"/>
              <w:bottom w:val="nil"/>
            </w:tcBorders>
          </w:tcPr>
          <w:p w14:paraId="5C0D7979" w14:textId="77777777" w:rsidR="00B46EF1" w:rsidRPr="00A15894" w:rsidRDefault="00B46EF1" w:rsidP="002A3889">
            <w:pPr>
              <w:pStyle w:val="ListParagraph"/>
              <w:numPr>
                <w:ilvl w:val="0"/>
                <w:numId w:val="257"/>
              </w:numPr>
              <w:spacing w:before="120" w:line="360" w:lineRule="auto"/>
              <w:ind w:left="567" w:hanging="505"/>
              <w:contextualSpacing w:val="0"/>
              <w:rPr>
                <w:rFonts w:ascii="Avenir LT 45 Book" w:eastAsia="Calibri" w:hAnsi="Avenir LT 45 Book" w:cs="Times New Roman"/>
                <w:sz w:val="20"/>
              </w:rPr>
            </w:pPr>
            <w:r w:rsidRPr="00A15894">
              <w:rPr>
                <w:rFonts w:ascii="Avenir LT 45 Book" w:eastAsia="Calibri" w:hAnsi="Avenir LT 45 Book" w:cs="Times New Roman"/>
                <w:sz w:val="20"/>
              </w:rPr>
              <w:t xml:space="preserve">The </w:t>
            </w:r>
            <w:proofErr w:type="gramStart"/>
            <w:r w:rsidRPr="00A15894">
              <w:rPr>
                <w:rFonts w:ascii="Avenir LT 45 Book" w:eastAsia="Calibri" w:hAnsi="Avenir LT 45 Book" w:cs="Times New Roman"/>
                <w:sz w:val="20"/>
              </w:rPr>
              <w:t>principle</w:t>
            </w:r>
            <w:proofErr w:type="gramEnd"/>
            <w:r w:rsidRPr="00A15894">
              <w:rPr>
                <w:rFonts w:ascii="Avenir LT 45 Book" w:eastAsia="Calibri" w:hAnsi="Avenir LT 45 Book" w:cs="Times New Roman"/>
                <w:sz w:val="20"/>
              </w:rPr>
              <w:t xml:space="preserve"> façade and main entrance of a new building should address the street in a manner that reflects the predominant character of the traditional development in the immediate locality.</w:t>
            </w:r>
          </w:p>
        </w:tc>
        <w:tc>
          <w:tcPr>
            <w:tcW w:w="4621" w:type="dxa"/>
            <w:tcBorders>
              <w:top w:val="single" w:sz="4" w:space="0" w:color="auto"/>
              <w:bottom w:val="nil"/>
            </w:tcBorders>
          </w:tcPr>
          <w:p w14:paraId="0BF9ED34" w14:textId="77777777" w:rsidR="00B46EF1" w:rsidRDefault="00B46EF1" w:rsidP="002A3889">
            <w:pPr>
              <w:pStyle w:val="ListParagraph"/>
              <w:numPr>
                <w:ilvl w:val="0"/>
                <w:numId w:val="258"/>
              </w:numPr>
              <w:spacing w:before="120" w:line="360" w:lineRule="auto"/>
              <w:ind w:left="624" w:hanging="567"/>
              <w:contextualSpacing w:val="0"/>
            </w:pPr>
            <w:r w:rsidRPr="00A15894">
              <w:rPr>
                <w:rFonts w:ascii="Avenir LT 45 Book" w:eastAsia="Calibri" w:hAnsi="Avenir LT 45 Book" w:cs="Times New Roman"/>
                <w:sz w:val="20"/>
              </w:rPr>
              <w:t xml:space="preserve">New developments to include a </w:t>
            </w:r>
            <w:proofErr w:type="spellStart"/>
            <w:r w:rsidRPr="00A15894">
              <w:rPr>
                <w:rFonts w:ascii="Avenir LT 45 Book" w:eastAsia="Calibri" w:hAnsi="Avenir LT 45 Book" w:cs="Times New Roman"/>
                <w:sz w:val="20"/>
              </w:rPr>
              <w:t>verandah</w:t>
            </w:r>
            <w:proofErr w:type="spellEnd"/>
            <w:r w:rsidRPr="00A15894">
              <w:rPr>
                <w:rFonts w:ascii="Avenir LT 45 Book" w:eastAsia="Calibri" w:hAnsi="Avenir LT 45 Book" w:cs="Times New Roman"/>
                <w:sz w:val="20"/>
              </w:rPr>
              <w:t xml:space="preserve"> or porch that address the primary street and comprises the primary access to the building.</w:t>
            </w:r>
          </w:p>
        </w:tc>
      </w:tr>
      <w:tr w:rsidR="00B46EF1" w:rsidRPr="00842387" w14:paraId="589B9788" w14:textId="77777777" w:rsidTr="008048CE">
        <w:tc>
          <w:tcPr>
            <w:tcW w:w="4621" w:type="dxa"/>
            <w:tcBorders>
              <w:top w:val="nil"/>
              <w:bottom w:val="nil"/>
            </w:tcBorders>
          </w:tcPr>
          <w:p w14:paraId="3AD95E4B" w14:textId="77777777" w:rsidR="00B46EF1" w:rsidRPr="00A15894" w:rsidRDefault="00B46EF1" w:rsidP="002A3889">
            <w:pPr>
              <w:pStyle w:val="ListParagraph"/>
              <w:numPr>
                <w:ilvl w:val="0"/>
                <w:numId w:val="257"/>
              </w:numPr>
              <w:spacing w:before="120" w:line="360" w:lineRule="auto"/>
              <w:ind w:left="567" w:hanging="505"/>
              <w:contextualSpacing w:val="0"/>
              <w:rPr>
                <w:rFonts w:ascii="Avenir LT 45 Book" w:eastAsia="Calibri" w:hAnsi="Avenir LT 45 Book" w:cs="Times New Roman"/>
                <w:sz w:val="20"/>
              </w:rPr>
            </w:pPr>
            <w:proofErr w:type="spellStart"/>
            <w:r w:rsidRPr="00A15894">
              <w:rPr>
                <w:rFonts w:ascii="Avenir LT 45 Book" w:eastAsia="Calibri" w:hAnsi="Avenir LT 45 Book" w:cs="Times New Roman"/>
                <w:sz w:val="20"/>
              </w:rPr>
              <w:t>Verandah</w:t>
            </w:r>
            <w:proofErr w:type="spellEnd"/>
            <w:r w:rsidRPr="00A15894">
              <w:rPr>
                <w:rFonts w:ascii="Avenir LT 45 Book" w:eastAsia="Calibri" w:hAnsi="Avenir LT 45 Book" w:cs="Times New Roman"/>
                <w:sz w:val="20"/>
              </w:rPr>
              <w:t xml:space="preserve"> or porch to be a separate element from the existing dwelling.</w:t>
            </w:r>
          </w:p>
        </w:tc>
        <w:tc>
          <w:tcPr>
            <w:tcW w:w="4621" w:type="dxa"/>
            <w:tcBorders>
              <w:top w:val="nil"/>
              <w:bottom w:val="nil"/>
            </w:tcBorders>
          </w:tcPr>
          <w:p w14:paraId="400345DA" w14:textId="77777777" w:rsidR="00B46EF1" w:rsidRDefault="00B46EF1" w:rsidP="002A3889">
            <w:pPr>
              <w:pStyle w:val="ListParagraph"/>
              <w:numPr>
                <w:ilvl w:val="0"/>
                <w:numId w:val="258"/>
              </w:numPr>
              <w:spacing w:line="360" w:lineRule="auto"/>
              <w:ind w:left="624" w:hanging="567"/>
              <w:contextualSpacing w:val="0"/>
            </w:pPr>
            <w:proofErr w:type="spellStart"/>
            <w:r w:rsidRPr="00A15894">
              <w:rPr>
                <w:rFonts w:ascii="Avenir LT 45 Book" w:eastAsia="Calibri" w:hAnsi="Avenir LT 45 Book" w:cs="Times New Roman"/>
                <w:sz w:val="20"/>
              </w:rPr>
              <w:t>Verandah</w:t>
            </w:r>
            <w:proofErr w:type="spellEnd"/>
            <w:r w:rsidRPr="00A15894">
              <w:rPr>
                <w:rFonts w:ascii="Avenir LT 45 Book" w:eastAsia="Calibri" w:hAnsi="Avenir LT 45 Book" w:cs="Times New Roman"/>
                <w:sz w:val="20"/>
              </w:rPr>
              <w:t xml:space="preserve"> to be constructed below roof line.</w:t>
            </w:r>
          </w:p>
        </w:tc>
      </w:tr>
      <w:tr w:rsidR="00B46EF1" w:rsidRPr="00842387" w14:paraId="75CF75D4" w14:textId="77777777" w:rsidTr="008048CE">
        <w:tc>
          <w:tcPr>
            <w:tcW w:w="4621" w:type="dxa"/>
            <w:tcBorders>
              <w:top w:val="nil"/>
            </w:tcBorders>
          </w:tcPr>
          <w:p w14:paraId="6411265A" w14:textId="77777777" w:rsidR="00B46EF1" w:rsidRPr="00A15894" w:rsidRDefault="00B46EF1" w:rsidP="002A3889">
            <w:pPr>
              <w:pStyle w:val="ListParagraph"/>
              <w:numPr>
                <w:ilvl w:val="0"/>
                <w:numId w:val="257"/>
              </w:numPr>
              <w:spacing w:before="120" w:line="360" w:lineRule="auto"/>
              <w:ind w:left="567" w:hanging="505"/>
              <w:contextualSpacing w:val="0"/>
              <w:rPr>
                <w:rFonts w:ascii="Avenir LT 45 Book" w:eastAsia="Calibri" w:hAnsi="Avenir LT 45 Book" w:cs="Times New Roman"/>
                <w:sz w:val="20"/>
              </w:rPr>
            </w:pPr>
            <w:r w:rsidRPr="00A15894">
              <w:rPr>
                <w:rFonts w:ascii="Avenir LT 45 Book" w:eastAsia="Calibri" w:hAnsi="Avenir LT 45 Book" w:cs="Times New Roman"/>
                <w:sz w:val="20"/>
              </w:rPr>
              <w:t xml:space="preserve">Contributory buildings retain their primary access and conserve the traditional detailing of </w:t>
            </w:r>
            <w:proofErr w:type="spellStart"/>
            <w:r w:rsidRPr="00A15894">
              <w:rPr>
                <w:rFonts w:ascii="Avenir LT 45 Book" w:eastAsia="Calibri" w:hAnsi="Avenir LT 45 Book" w:cs="Times New Roman"/>
                <w:sz w:val="20"/>
              </w:rPr>
              <w:t>verandahs</w:t>
            </w:r>
            <w:proofErr w:type="spellEnd"/>
            <w:r w:rsidRPr="00A15894">
              <w:rPr>
                <w:rFonts w:ascii="Avenir LT 45 Book" w:eastAsia="Calibri" w:hAnsi="Avenir LT 45 Book" w:cs="Times New Roman"/>
                <w:sz w:val="20"/>
              </w:rPr>
              <w:t xml:space="preserve"> and porches.</w:t>
            </w:r>
          </w:p>
        </w:tc>
        <w:tc>
          <w:tcPr>
            <w:tcW w:w="4621" w:type="dxa"/>
            <w:tcBorders>
              <w:top w:val="nil"/>
            </w:tcBorders>
          </w:tcPr>
          <w:p w14:paraId="00F944C2" w14:textId="77777777" w:rsidR="00B46EF1" w:rsidRDefault="00B46EF1" w:rsidP="002A3889">
            <w:pPr>
              <w:pStyle w:val="ListParagraph"/>
              <w:numPr>
                <w:ilvl w:val="0"/>
                <w:numId w:val="258"/>
              </w:numPr>
              <w:spacing w:line="360" w:lineRule="auto"/>
              <w:ind w:left="624" w:hanging="567"/>
              <w:contextualSpacing w:val="0"/>
            </w:pPr>
            <w:r w:rsidRPr="00A15894">
              <w:rPr>
                <w:rFonts w:ascii="Avenir LT 45 Book" w:eastAsia="Calibri" w:hAnsi="Avenir LT 45 Book" w:cs="Times New Roman"/>
                <w:sz w:val="20"/>
              </w:rPr>
              <w:t xml:space="preserve">Additions and alterations to a contributory building to retain or reinstate the existing </w:t>
            </w:r>
            <w:proofErr w:type="spellStart"/>
            <w:r w:rsidRPr="00A15894">
              <w:rPr>
                <w:rFonts w:ascii="Avenir LT 45 Book" w:eastAsia="Calibri" w:hAnsi="Avenir LT 45 Book" w:cs="Times New Roman"/>
                <w:sz w:val="20"/>
              </w:rPr>
              <w:t>verandah</w:t>
            </w:r>
            <w:proofErr w:type="spellEnd"/>
            <w:r w:rsidRPr="00A15894">
              <w:rPr>
                <w:rFonts w:ascii="Avenir LT 45 Book" w:eastAsia="Calibri" w:hAnsi="Avenir LT 45 Book" w:cs="Times New Roman"/>
                <w:sz w:val="20"/>
              </w:rPr>
              <w:t xml:space="preserve"> or porch.  Where appropriate and information available restore/reinstate their original detailing.</w:t>
            </w:r>
          </w:p>
        </w:tc>
      </w:tr>
    </w:tbl>
    <w:p w14:paraId="32E83E6D" w14:textId="77777777" w:rsidR="00B46EF1" w:rsidRDefault="00A15894" w:rsidP="00A15894">
      <w:pPr>
        <w:pStyle w:val="Heading5"/>
        <w:spacing w:before="360"/>
      </w:pPr>
      <w:r>
        <w:t>3.7.20.4.3</w:t>
      </w:r>
      <w:r>
        <w:tab/>
      </w:r>
      <w:r w:rsidR="00B46EF1" w:rsidRPr="00842387">
        <w:t>Fremantle Port Buffer</w:t>
      </w:r>
    </w:p>
    <w:p w14:paraId="12AFBD15" w14:textId="77777777" w:rsidR="00B46EF1" w:rsidRDefault="00B46EF1" w:rsidP="00B46EF1">
      <w:pPr>
        <w:pStyle w:val="Heading5"/>
        <w:ind w:left="1418" w:hanging="1418"/>
      </w:pPr>
      <w:r>
        <w:t>3.7.20.4.3.1</w:t>
      </w:r>
      <w:r>
        <w:tab/>
        <w:t>Statement</w:t>
      </w:r>
    </w:p>
    <w:p w14:paraId="7AF58E2A" w14:textId="77777777" w:rsidR="00B46EF1" w:rsidRPr="00210062" w:rsidRDefault="00B46EF1" w:rsidP="00210062">
      <w:pPr>
        <w:spacing w:line="360" w:lineRule="auto"/>
        <w:rPr>
          <w:rFonts w:ascii="Avenir LT 45 Book" w:eastAsia="Calibri" w:hAnsi="Avenir LT 45 Book"/>
          <w:i/>
          <w:sz w:val="20"/>
        </w:rPr>
      </w:pPr>
      <w:r w:rsidRPr="00210062">
        <w:rPr>
          <w:rFonts w:ascii="Avenir LT 45 Book" w:eastAsia="Calibri" w:hAnsi="Avenir LT 45 Book"/>
          <w:i/>
          <w:sz w:val="20"/>
        </w:rPr>
        <w:t>Fremantle Ports undertook the Fremantle Inner Harbour Definition Study (May 2002), which identified the need for an offsite buffer around the Port. The buffer was determined on a range of potential amenity impacts and risks including noise, odour and public risk.</w:t>
      </w:r>
    </w:p>
    <w:p w14:paraId="395BE2A9" w14:textId="77777777" w:rsidR="00B46EF1" w:rsidRPr="00210062" w:rsidRDefault="00B46EF1" w:rsidP="00210062">
      <w:pPr>
        <w:spacing w:line="360" w:lineRule="auto"/>
        <w:rPr>
          <w:rFonts w:ascii="Avenir LT 45 Book" w:eastAsia="Calibri" w:hAnsi="Avenir LT 45 Book"/>
          <w:i/>
          <w:sz w:val="20"/>
        </w:rPr>
      </w:pPr>
      <w:r w:rsidRPr="00210062">
        <w:rPr>
          <w:rFonts w:ascii="Avenir LT 45 Book" w:eastAsia="Calibri" w:hAnsi="Avenir LT 45 Book"/>
          <w:i/>
          <w:sz w:val="20"/>
        </w:rPr>
        <w:lastRenderedPageBreak/>
        <w:t>Three buffer areas around the Port have been identified; Area1, Area 2 and Area 3. For the purposes of these Guidelines these areas will be known as Buffer Area 1, Buffer Area 2 and Buffer Area 3.  The buffer area relevant to the Richmond Raceway Precinct is Buffer Area 3 (refer figure 32).</w:t>
      </w:r>
    </w:p>
    <w:p w14:paraId="15133B8C" w14:textId="77777777" w:rsidR="00B46EF1" w:rsidRPr="00210062" w:rsidRDefault="00B46EF1" w:rsidP="00210062">
      <w:pPr>
        <w:spacing w:line="360" w:lineRule="auto"/>
        <w:rPr>
          <w:rFonts w:ascii="Avenir LT 45 Book" w:eastAsia="Calibri" w:hAnsi="Avenir LT 45 Book"/>
          <w:i/>
          <w:sz w:val="20"/>
        </w:rPr>
      </w:pPr>
      <w:proofErr w:type="gramStart"/>
      <w:r w:rsidRPr="00210062">
        <w:rPr>
          <w:rFonts w:ascii="Avenir LT 45 Book" w:eastAsia="Calibri" w:hAnsi="Avenir LT 45 Book"/>
          <w:i/>
          <w:sz w:val="20"/>
        </w:rPr>
        <w:t>Generally</w:t>
      </w:r>
      <w:proofErr w:type="gramEnd"/>
      <w:r w:rsidRPr="00210062">
        <w:rPr>
          <w:rFonts w:ascii="Avenir LT 45 Book" w:eastAsia="Calibri" w:hAnsi="Avenir LT 45 Book"/>
          <w:i/>
          <w:sz w:val="20"/>
        </w:rPr>
        <w:t xml:space="preserve"> the potential risk and amenity impacts from the Port are considerably less in Buffer Area 3. Nevertheless, the Fremantle Inner Harbour Buffer Definition Study has identified the potential for some noise and odour impacts in this area.</w:t>
      </w:r>
    </w:p>
    <w:p w14:paraId="1DE02EA5" w14:textId="77777777" w:rsidR="00B46EF1" w:rsidRPr="00210062" w:rsidRDefault="00B46EF1" w:rsidP="00210062">
      <w:pPr>
        <w:spacing w:line="360" w:lineRule="auto"/>
        <w:rPr>
          <w:rFonts w:ascii="Avenir LT 45 Book" w:eastAsia="Calibri" w:hAnsi="Avenir LT 45 Book"/>
          <w:i/>
          <w:sz w:val="20"/>
        </w:rPr>
      </w:pPr>
      <w:r w:rsidRPr="00210062">
        <w:rPr>
          <w:rFonts w:ascii="Avenir LT 45 Book" w:eastAsia="Calibri" w:hAnsi="Avenir LT 45 Book"/>
          <w:i/>
          <w:sz w:val="20"/>
        </w:rPr>
        <w:t>The intent of Buffer Area 3 is the management, as opposed to the control, of sensitive uses.</w:t>
      </w:r>
    </w:p>
    <w:p w14:paraId="3C6A400A" w14:textId="77777777" w:rsidR="00B46EF1" w:rsidRDefault="00B46EF1" w:rsidP="00B46EF1">
      <w:r>
        <w:rPr>
          <w:noProof/>
          <w:lang w:eastAsia="en-AU"/>
        </w:rPr>
        <w:drawing>
          <wp:inline distT="0" distB="0" distL="0" distR="0" wp14:anchorId="092F31DB" wp14:editId="729854A7">
            <wp:extent cx="2524125" cy="1800225"/>
            <wp:effectExtent l="19050" t="0" r="9525" b="0"/>
            <wp:docPr id="127" name="Picture 64" descr="Z:\2011 JOBS\11206-EAST FREMANTLE GUIDELINES\11206-PHOTOS\PROCESSED\RACEWAY\59 RICHMOND CIR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Z:\2011 JOBS\11206-EAST FREMANTLE GUIDELINES\11206-PHOTOS\PROCESSED\RACEWAY\59 RICHMOND CIRCUS.jpg"/>
                    <pic:cNvPicPr>
                      <a:picLocks noChangeAspect="1" noChangeArrowheads="1"/>
                    </pic:cNvPicPr>
                  </pic:nvPicPr>
                  <pic:blipFill>
                    <a:blip r:embed="rId277"/>
                    <a:srcRect/>
                    <a:stretch>
                      <a:fillRect/>
                    </a:stretch>
                  </pic:blipFill>
                  <pic:spPr bwMode="auto">
                    <a:xfrm>
                      <a:off x="0" y="0"/>
                      <a:ext cx="2524125" cy="1800225"/>
                    </a:xfrm>
                    <a:prstGeom prst="rect">
                      <a:avLst/>
                    </a:prstGeom>
                    <a:noFill/>
                    <a:ln w="9525">
                      <a:noFill/>
                      <a:miter lim="800000"/>
                      <a:headEnd/>
                      <a:tailEnd/>
                    </a:ln>
                  </pic:spPr>
                </pic:pic>
              </a:graphicData>
            </a:graphic>
          </wp:inline>
        </w:drawing>
      </w:r>
      <w:r>
        <w:t xml:space="preserve">      </w:t>
      </w:r>
      <w:r>
        <w:rPr>
          <w:noProof/>
          <w:lang w:eastAsia="en-AU"/>
        </w:rPr>
        <w:drawing>
          <wp:inline distT="0" distB="0" distL="0" distR="0" wp14:anchorId="58F4906A" wp14:editId="39551530">
            <wp:extent cx="2524125" cy="1800225"/>
            <wp:effectExtent l="19050" t="0" r="9525" b="0"/>
            <wp:docPr id="128" name="Picture 65" descr="Z:\2011 JOBS\11206-EAST FREMANTLE GUIDELINES\11206-PHOTOS\PROCESSED\RACEWAY\GEORGE STRE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2011 JOBS\11206-EAST FREMANTLE GUIDELINES\11206-PHOTOS\PROCESSED\RACEWAY\GEORGE STREET 2.jpg"/>
                    <pic:cNvPicPr>
                      <a:picLocks noChangeAspect="1" noChangeArrowheads="1"/>
                    </pic:cNvPicPr>
                  </pic:nvPicPr>
                  <pic:blipFill>
                    <a:blip r:embed="rId278"/>
                    <a:srcRect/>
                    <a:stretch>
                      <a:fillRect/>
                    </a:stretch>
                  </pic:blipFill>
                  <pic:spPr bwMode="auto">
                    <a:xfrm>
                      <a:off x="0" y="0"/>
                      <a:ext cx="2524125" cy="1800225"/>
                    </a:xfrm>
                    <a:prstGeom prst="rect">
                      <a:avLst/>
                    </a:prstGeom>
                    <a:noFill/>
                    <a:ln w="9525">
                      <a:noFill/>
                      <a:miter lim="800000"/>
                      <a:headEnd/>
                      <a:tailEnd/>
                    </a:ln>
                  </pic:spPr>
                </pic:pic>
              </a:graphicData>
            </a:graphic>
          </wp:inline>
        </w:drawing>
      </w:r>
    </w:p>
    <w:p w14:paraId="5327A024" w14:textId="77777777" w:rsidR="00B46EF1" w:rsidRPr="00842387" w:rsidRDefault="00B46EF1" w:rsidP="00B46EF1">
      <w:pPr>
        <w:pStyle w:val="Figure"/>
        <w:rPr>
          <w:lang w:val="en-AU"/>
        </w:rPr>
      </w:pPr>
      <w:r w:rsidRPr="00842387">
        <w:rPr>
          <w:noProof/>
          <w:lang w:val="en-AU" w:eastAsia="en-AU"/>
        </w:rPr>
        <w:drawing>
          <wp:inline distT="0" distB="0" distL="0" distR="0" wp14:anchorId="101AB4BF" wp14:editId="6B94C2D9">
            <wp:extent cx="4441826" cy="4264660"/>
            <wp:effectExtent l="19050" t="0" r="0" b="0"/>
            <wp:docPr id="227" name="Picture 12" descr="11206-BUFFER ZONE RICHMON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6-BUFFER ZONE RICHMOND.eps"/>
                    <pic:cNvPicPr/>
                  </pic:nvPicPr>
                  <pic:blipFill>
                    <a:blip r:embed="rId279" cstate="print"/>
                    <a:stretch>
                      <a:fillRect/>
                    </a:stretch>
                  </pic:blipFill>
                  <pic:spPr>
                    <a:xfrm>
                      <a:off x="0" y="0"/>
                      <a:ext cx="4441826" cy="4264660"/>
                    </a:xfrm>
                    <a:prstGeom prst="rect">
                      <a:avLst/>
                    </a:prstGeom>
                  </pic:spPr>
                </pic:pic>
              </a:graphicData>
            </a:graphic>
          </wp:inline>
        </w:drawing>
      </w:r>
    </w:p>
    <w:p w14:paraId="32375D1F" w14:textId="77777777" w:rsidR="00B46EF1" w:rsidRPr="00842387" w:rsidRDefault="00B46EF1" w:rsidP="00B46EF1">
      <w:pPr>
        <w:pStyle w:val="Figure"/>
        <w:spacing w:before="120"/>
        <w:jc w:val="left"/>
        <w:rPr>
          <w:lang w:val="en-AU"/>
        </w:rPr>
      </w:pPr>
      <w:r w:rsidRPr="00842387">
        <w:rPr>
          <w:rFonts w:ascii="Avenir LT 65 Medium" w:hAnsi="Avenir LT 65 Medium"/>
          <w:lang w:val="en-AU"/>
        </w:rPr>
        <w:t>Figure 32</w:t>
      </w:r>
      <w:r w:rsidRPr="00842387">
        <w:rPr>
          <w:lang w:val="en-AU"/>
        </w:rPr>
        <w:t xml:space="preserve">- Fremantle Port Buffer Zone Area 3 affecting the Richmond Raceway Precinct.  </w:t>
      </w:r>
      <w:r w:rsidRPr="00842387">
        <w:rPr>
          <w:i/>
          <w:lang w:val="en-AU"/>
        </w:rPr>
        <w:t>Griffiths Architects 2011</w:t>
      </w:r>
    </w:p>
    <w:p w14:paraId="10FC3226" w14:textId="77777777" w:rsidR="00B46EF1" w:rsidRDefault="00B46EF1" w:rsidP="00B46EF1">
      <w:pPr>
        <w:pStyle w:val="Heading5"/>
        <w:spacing w:before="360"/>
        <w:ind w:left="1418" w:hanging="1418"/>
      </w:pPr>
      <w:r>
        <w:t>3.7.20.4.3.2</w:t>
      </w:r>
      <w:r>
        <w:tab/>
        <w:t>Desired Development Outcomes</w:t>
      </w:r>
    </w:p>
    <w:p w14:paraId="361CA503" w14:textId="77777777" w:rsidR="00B46EF1" w:rsidRPr="000913E9" w:rsidRDefault="00B46EF1" w:rsidP="002A3889">
      <w:pPr>
        <w:pStyle w:val="ListParagraph"/>
        <w:numPr>
          <w:ilvl w:val="0"/>
          <w:numId w:val="259"/>
        </w:numPr>
        <w:spacing w:line="360" w:lineRule="auto"/>
        <w:rPr>
          <w:rFonts w:ascii="Avenir LT 45 Book" w:eastAsia="Calibri" w:hAnsi="Avenir LT 45 Book" w:cs="Times New Roman"/>
          <w:sz w:val="20"/>
        </w:rPr>
      </w:pPr>
      <w:r w:rsidRPr="000913E9">
        <w:rPr>
          <w:rFonts w:ascii="Avenir LT 45 Book" w:eastAsia="Calibri" w:hAnsi="Avenir LT 45 Book" w:cs="Times New Roman"/>
          <w:sz w:val="20"/>
        </w:rPr>
        <w:lastRenderedPageBreak/>
        <w:t xml:space="preserve">To minimise potential impacts that may arise from the </w:t>
      </w:r>
      <w:proofErr w:type="gramStart"/>
      <w:r w:rsidRPr="000913E9">
        <w:rPr>
          <w:rFonts w:ascii="Avenir LT 45 Book" w:eastAsia="Calibri" w:hAnsi="Avenir LT 45 Book" w:cs="Times New Roman"/>
          <w:sz w:val="20"/>
        </w:rPr>
        <w:t>Port;</w:t>
      </w:r>
      <w:proofErr w:type="gramEnd"/>
    </w:p>
    <w:p w14:paraId="03F32954" w14:textId="77777777" w:rsidR="00B46EF1" w:rsidRPr="000913E9" w:rsidRDefault="00B46EF1" w:rsidP="002A3889">
      <w:pPr>
        <w:pStyle w:val="ListParagraph"/>
        <w:numPr>
          <w:ilvl w:val="0"/>
          <w:numId w:val="259"/>
        </w:numPr>
        <w:spacing w:line="360" w:lineRule="auto"/>
        <w:rPr>
          <w:rFonts w:ascii="Avenir LT 45 Book" w:eastAsia="Calibri" w:hAnsi="Avenir LT 45 Book" w:cs="Times New Roman"/>
          <w:sz w:val="20"/>
        </w:rPr>
      </w:pPr>
      <w:r w:rsidRPr="000913E9">
        <w:rPr>
          <w:rFonts w:ascii="Avenir LT 45 Book" w:eastAsia="Calibri" w:hAnsi="Avenir LT 45 Book" w:cs="Times New Roman"/>
          <w:sz w:val="20"/>
        </w:rPr>
        <w:t>To define separate land use and built form requirements for each buffer area; and,</w:t>
      </w:r>
    </w:p>
    <w:p w14:paraId="228528B3" w14:textId="77777777" w:rsidR="00B46EF1" w:rsidRDefault="00B46EF1" w:rsidP="002A3889">
      <w:pPr>
        <w:pStyle w:val="ListParagraph"/>
        <w:numPr>
          <w:ilvl w:val="0"/>
          <w:numId w:val="259"/>
        </w:numPr>
        <w:spacing w:line="360" w:lineRule="auto"/>
      </w:pPr>
      <w:r w:rsidRPr="000913E9">
        <w:rPr>
          <w:rFonts w:ascii="Avenir LT 45 Book" w:eastAsia="Calibri" w:hAnsi="Avenir LT 45 Book" w:cs="Times New Roman"/>
          <w:sz w:val="20"/>
        </w:rPr>
        <w:t>To manage sensitive uses</w:t>
      </w:r>
      <w:r w:rsidRPr="00842387">
        <w:t>.</w:t>
      </w:r>
    </w:p>
    <w:p w14:paraId="697722CE" w14:textId="77777777" w:rsidR="00B46EF1" w:rsidRDefault="00B46EF1" w:rsidP="00B46EF1">
      <w:pPr>
        <w:pStyle w:val="Heading5"/>
        <w:ind w:left="1418" w:hanging="1418"/>
      </w:pPr>
      <w:r>
        <w:t>3.7.20.4.3.3</w:t>
      </w:r>
      <w:r>
        <w:tab/>
        <w:t>Performance Criteria and Acceptable Development Provisions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09"/>
        <w:gridCol w:w="4517"/>
      </w:tblGrid>
      <w:tr w:rsidR="00B46EF1" w:rsidRPr="00842387" w14:paraId="66F13311" w14:textId="77777777" w:rsidTr="008048CE">
        <w:tc>
          <w:tcPr>
            <w:tcW w:w="4621" w:type="dxa"/>
          </w:tcPr>
          <w:p w14:paraId="1A7F397E" w14:textId="77777777" w:rsidR="00B46EF1" w:rsidRPr="00842387" w:rsidRDefault="00B46EF1" w:rsidP="008048CE">
            <w:pPr>
              <w:rPr>
                <w:rFonts w:ascii="Avenir LT 65 Medium" w:hAnsi="Avenir LT 65 Medium"/>
              </w:rPr>
            </w:pPr>
            <w:r w:rsidRPr="00842387">
              <w:rPr>
                <w:rFonts w:ascii="Avenir LT 65 Medium" w:hAnsi="Avenir LT 65 Medium"/>
              </w:rPr>
              <w:t>Performance Criteria</w:t>
            </w:r>
          </w:p>
        </w:tc>
        <w:tc>
          <w:tcPr>
            <w:tcW w:w="4621" w:type="dxa"/>
          </w:tcPr>
          <w:p w14:paraId="1DCD4588" w14:textId="77777777" w:rsidR="00B46EF1" w:rsidRPr="00842387" w:rsidRDefault="00B46EF1" w:rsidP="008048CE">
            <w:r w:rsidRPr="00842387">
              <w:rPr>
                <w:rFonts w:ascii="Avenir LT 65 Medium" w:hAnsi="Avenir LT 65 Medium"/>
              </w:rPr>
              <w:t>Acceptable Development Provisions</w:t>
            </w:r>
          </w:p>
        </w:tc>
      </w:tr>
      <w:tr w:rsidR="00B46EF1" w:rsidRPr="00842387" w14:paraId="1D463B27" w14:textId="77777777" w:rsidTr="008048CE">
        <w:tc>
          <w:tcPr>
            <w:tcW w:w="4621" w:type="dxa"/>
          </w:tcPr>
          <w:p w14:paraId="4E410A03" w14:textId="77777777" w:rsidR="00B46EF1" w:rsidRPr="00842387" w:rsidRDefault="00B46EF1" w:rsidP="002A3889">
            <w:pPr>
              <w:pStyle w:val="ListParagraph"/>
              <w:numPr>
                <w:ilvl w:val="0"/>
                <w:numId w:val="260"/>
              </w:numPr>
              <w:spacing w:before="120" w:line="360" w:lineRule="auto"/>
              <w:ind w:left="567" w:hanging="504"/>
            </w:pPr>
            <w:r w:rsidRPr="000913E9">
              <w:rPr>
                <w:rFonts w:ascii="Avenir LT 45 Book" w:eastAsia="Calibri" w:hAnsi="Avenir LT 45 Book" w:cs="Arial"/>
                <w:sz w:val="20"/>
              </w:rPr>
              <w:t>There are no general buffer related development controls for Buffer Area 3.  However, where a specific location within this area is known to be impacted from port operations (e.g. through a history of formal complaints), Council may, in consultation with Fremantle</w:t>
            </w:r>
            <w:r w:rsidRPr="00A72449">
              <w:rPr>
                <w:rFonts w:cs="Arial"/>
              </w:rPr>
              <w:t xml:space="preserve"> </w:t>
            </w:r>
            <w:r w:rsidRPr="000913E9">
              <w:rPr>
                <w:rFonts w:ascii="Avenir LT 45 Book" w:eastAsia="Calibri" w:hAnsi="Avenir LT 45 Book" w:cs="Arial"/>
                <w:sz w:val="20"/>
              </w:rPr>
              <w:t xml:space="preserve">Ports, apply some or </w:t>
            </w:r>
            <w:proofErr w:type="gramStart"/>
            <w:r w:rsidRPr="000913E9">
              <w:rPr>
                <w:rFonts w:ascii="Avenir LT 45 Book" w:eastAsia="Calibri" w:hAnsi="Avenir LT 45 Book" w:cs="Arial"/>
                <w:sz w:val="20"/>
              </w:rPr>
              <w:t>all of</w:t>
            </w:r>
            <w:proofErr w:type="gramEnd"/>
            <w:r w:rsidRPr="000913E9">
              <w:rPr>
                <w:rFonts w:ascii="Avenir LT 45 Book" w:eastAsia="Calibri" w:hAnsi="Avenir LT 45 Book" w:cs="Arial"/>
                <w:sz w:val="20"/>
              </w:rPr>
              <w:t xml:space="preserve"> the development controls of Buffer Area 2.</w:t>
            </w:r>
          </w:p>
        </w:tc>
        <w:tc>
          <w:tcPr>
            <w:tcW w:w="4621" w:type="dxa"/>
          </w:tcPr>
          <w:p w14:paraId="3029F214" w14:textId="77777777" w:rsidR="00B46EF1" w:rsidRPr="000913E9" w:rsidRDefault="00B46EF1" w:rsidP="002A3889">
            <w:pPr>
              <w:pStyle w:val="ListParagraph"/>
              <w:numPr>
                <w:ilvl w:val="1"/>
                <w:numId w:val="261"/>
              </w:numPr>
              <w:spacing w:before="120" w:line="360" w:lineRule="auto"/>
              <w:ind w:left="624" w:hanging="567"/>
              <w:rPr>
                <w:rFonts w:ascii="Avenir LT 45 Book" w:eastAsia="Calibri" w:hAnsi="Avenir LT 45 Book" w:cs="Times New Roman"/>
                <w:sz w:val="20"/>
              </w:rPr>
            </w:pPr>
            <w:r w:rsidRPr="000913E9">
              <w:rPr>
                <w:rFonts w:ascii="Avenir LT 45 Book" w:eastAsia="Calibri" w:hAnsi="Avenir LT 45 Book" w:cs="Times New Roman"/>
                <w:sz w:val="20"/>
              </w:rPr>
              <w:t>Developments, additions and alterations must comply with the Fremantle Buffer Area requirements.</w:t>
            </w:r>
          </w:p>
          <w:p w14:paraId="5438ACB3" w14:textId="77777777" w:rsidR="00B46EF1" w:rsidRPr="00842387" w:rsidRDefault="00B46EF1" w:rsidP="002A3889">
            <w:pPr>
              <w:pStyle w:val="ListParagraph"/>
              <w:numPr>
                <w:ilvl w:val="1"/>
                <w:numId w:val="261"/>
              </w:numPr>
              <w:spacing w:before="120" w:line="360" w:lineRule="auto"/>
              <w:ind w:left="624" w:hanging="567"/>
            </w:pPr>
            <w:r w:rsidRPr="000913E9">
              <w:rPr>
                <w:rFonts w:ascii="Avenir LT 45 Book" w:eastAsia="Calibri" w:hAnsi="Avenir LT 45 Book" w:cs="Times New Roman"/>
                <w:sz w:val="20"/>
              </w:rPr>
              <w:t>Council may accept alternative built form treatments subject to the applicant satisfactorily demonstrating fulfilment of the potential risk and amenity considerations outlined above. Alternative treatments shall be justified to Council through submission of</w:t>
            </w:r>
            <w:r w:rsidRPr="00842387">
              <w:t xml:space="preserve"> </w:t>
            </w:r>
            <w:r w:rsidRPr="000913E9">
              <w:rPr>
                <w:rFonts w:ascii="Avenir LT 45 Book" w:eastAsia="Calibri" w:hAnsi="Avenir LT 45 Book" w:cs="Times New Roman"/>
                <w:sz w:val="20"/>
              </w:rPr>
              <w:t>professionally prepared and certified reports.</w:t>
            </w:r>
          </w:p>
        </w:tc>
      </w:tr>
    </w:tbl>
    <w:p w14:paraId="2A57FEC4" w14:textId="77777777" w:rsidR="00B46EF1" w:rsidRDefault="00B46EF1" w:rsidP="00B46EF1">
      <w:pPr>
        <w:pStyle w:val="Heading5"/>
        <w:ind w:left="1418" w:hanging="1418"/>
      </w:pPr>
    </w:p>
    <w:p w14:paraId="0CD57681" w14:textId="77777777" w:rsidR="00B46EF1" w:rsidRDefault="00B46EF1" w:rsidP="00B46EF1">
      <w:pPr>
        <w:pStyle w:val="Heading5"/>
        <w:ind w:left="1418" w:hanging="1418"/>
      </w:pPr>
      <w:r>
        <w:t>3.7.20.4.3.4</w:t>
      </w:r>
      <w:r>
        <w:tab/>
        <w:t>Administrative Procedures</w:t>
      </w:r>
    </w:p>
    <w:p w14:paraId="742FE969" w14:textId="77777777" w:rsidR="00B46EF1" w:rsidRPr="000913E9" w:rsidRDefault="00B46EF1" w:rsidP="00B46EF1">
      <w:pPr>
        <w:rPr>
          <w:rFonts w:ascii="Avenir LT 45 Book" w:eastAsia="Calibri" w:hAnsi="Avenir LT 45 Book"/>
          <w:sz w:val="20"/>
        </w:rPr>
      </w:pPr>
      <w:r w:rsidRPr="000913E9">
        <w:rPr>
          <w:rFonts w:ascii="Avenir LT 45 Book" w:eastAsia="Calibri" w:hAnsi="Avenir LT 45 Book"/>
          <w:sz w:val="20"/>
        </w:rPr>
        <w:t>Where applicable, applicants should be advised as soon as possible of the requirements of this policy. Ideally, this should be prior to lodging a formal application for development, including proposals for subdivision and scheme amendments.</w:t>
      </w:r>
    </w:p>
    <w:p w14:paraId="6D1A43F9" w14:textId="77777777" w:rsidR="00B46EF1" w:rsidRPr="000913E9" w:rsidRDefault="00B46EF1" w:rsidP="00B46EF1">
      <w:pPr>
        <w:rPr>
          <w:rFonts w:ascii="Avenir LT 45 Book" w:eastAsia="Calibri" w:hAnsi="Avenir LT 45 Book"/>
          <w:sz w:val="20"/>
        </w:rPr>
      </w:pPr>
      <w:r w:rsidRPr="000913E9">
        <w:rPr>
          <w:rFonts w:ascii="Avenir LT 45 Book" w:eastAsia="Calibri" w:hAnsi="Avenir LT 45 Book"/>
          <w:sz w:val="20"/>
        </w:rPr>
        <w:t xml:space="preserve">Applicants should be encouraged to liaise with relevant staff including those at Fremantle Ports, </w:t>
      </w:r>
      <w:proofErr w:type="gramStart"/>
      <w:r w:rsidRPr="000913E9">
        <w:rPr>
          <w:rFonts w:ascii="Avenir LT 45 Book" w:eastAsia="Calibri" w:hAnsi="Avenir LT 45 Book"/>
          <w:sz w:val="20"/>
        </w:rPr>
        <w:t>in order to</w:t>
      </w:r>
      <w:proofErr w:type="gramEnd"/>
      <w:r w:rsidRPr="000913E9">
        <w:rPr>
          <w:rFonts w:ascii="Avenir LT 45 Book" w:eastAsia="Calibri" w:hAnsi="Avenir LT 45 Book"/>
          <w:sz w:val="20"/>
        </w:rPr>
        <w:t xml:space="preserve"> understand the requirements of this policy.</w:t>
      </w:r>
    </w:p>
    <w:p w14:paraId="23AE97C7" w14:textId="77777777" w:rsidR="00B46EF1" w:rsidRPr="000913E9" w:rsidRDefault="00B46EF1" w:rsidP="00B46EF1">
      <w:pPr>
        <w:rPr>
          <w:rFonts w:ascii="Avenir LT 45 Book" w:eastAsia="Calibri" w:hAnsi="Avenir LT 45 Book"/>
          <w:sz w:val="20"/>
        </w:rPr>
      </w:pPr>
      <w:r w:rsidRPr="000913E9">
        <w:rPr>
          <w:rFonts w:ascii="Avenir LT 45 Book" w:eastAsia="Calibri" w:hAnsi="Avenir LT 45 Book"/>
          <w:sz w:val="20"/>
        </w:rPr>
        <w:t>Council shall refer a proposal to Fremantle Ports where a proponent seeks any significant variation to the development controls contained within these guidelines.</w:t>
      </w:r>
    </w:p>
    <w:p w14:paraId="7C016B8E" w14:textId="77777777" w:rsidR="00B46EF1" w:rsidRPr="000913E9" w:rsidRDefault="00B46EF1" w:rsidP="00B46EF1">
      <w:pPr>
        <w:rPr>
          <w:rFonts w:ascii="Avenir LT 45 Book" w:eastAsia="Calibri" w:hAnsi="Avenir LT 45 Book"/>
          <w:sz w:val="20"/>
        </w:rPr>
      </w:pPr>
      <w:r w:rsidRPr="000913E9">
        <w:rPr>
          <w:rFonts w:ascii="Avenir LT 45 Book" w:eastAsia="Calibri" w:hAnsi="Avenir LT 45 Book"/>
          <w:sz w:val="20"/>
        </w:rPr>
        <w:t>Fremantle Port shall within 14 days of notification, advise the Town of its assessment of a development proposal referred as per the requirements outlined above.</w:t>
      </w:r>
    </w:p>
    <w:p w14:paraId="5D88249D" w14:textId="77777777" w:rsidR="00B46EF1" w:rsidRPr="000913E9" w:rsidRDefault="00B46EF1" w:rsidP="00B46EF1">
      <w:pPr>
        <w:rPr>
          <w:rFonts w:ascii="Avenir LT 45 Book" w:eastAsia="Calibri" w:hAnsi="Avenir LT 45 Book"/>
          <w:sz w:val="20"/>
        </w:rPr>
      </w:pPr>
      <w:r w:rsidRPr="000913E9">
        <w:rPr>
          <w:rFonts w:ascii="Avenir LT 45 Book" w:eastAsia="Calibri" w:hAnsi="Avenir LT 45 Book"/>
          <w:sz w:val="20"/>
        </w:rPr>
        <w:t>In terms of conditions of development approval that arise from the requirements of this policy, Council shall require a building surveyor or suitably qualified structural engineer to certify that the requirements of the conditions have been fulfilled in accordance with the approved plans.</w:t>
      </w:r>
    </w:p>
    <w:p w14:paraId="4AF188F4" w14:textId="77777777" w:rsidR="00B46EF1" w:rsidRPr="000913E9" w:rsidRDefault="00B46EF1" w:rsidP="00B46EF1">
      <w:pPr>
        <w:rPr>
          <w:rFonts w:ascii="Avenir LT 45 Book" w:eastAsia="Calibri" w:hAnsi="Avenir LT 45 Book"/>
          <w:sz w:val="20"/>
        </w:rPr>
      </w:pPr>
      <w:r w:rsidRPr="000913E9">
        <w:rPr>
          <w:rFonts w:ascii="Avenir LT 45 Book" w:eastAsia="Calibri" w:hAnsi="Avenir LT 45 Book"/>
          <w:sz w:val="20"/>
        </w:rPr>
        <w:t>Where appropriate, certification shall be provided prior to the issue of a building permit, certificate of clearance / classification or strata / subdivision clearance.</w:t>
      </w:r>
    </w:p>
    <w:p w14:paraId="2F1FE464" w14:textId="77777777" w:rsidR="00B46EF1" w:rsidRPr="000913E9" w:rsidRDefault="00B46EF1" w:rsidP="00B46EF1">
      <w:pPr>
        <w:rPr>
          <w:rFonts w:ascii="Avenir LT 45 Book" w:eastAsia="Calibri" w:hAnsi="Avenir LT 45 Book"/>
          <w:sz w:val="20"/>
        </w:rPr>
      </w:pPr>
      <w:r w:rsidRPr="000913E9">
        <w:rPr>
          <w:rFonts w:ascii="Avenir LT 45 Book" w:eastAsia="Calibri" w:hAnsi="Avenir LT 45 Book"/>
          <w:sz w:val="20"/>
        </w:rPr>
        <w:t>The applicant shall arrange for certification to be endorsed by Fremantle Ports prior to lodgement of appropriate documentation with the Town.</w:t>
      </w:r>
    </w:p>
    <w:p w14:paraId="75898B72" w14:textId="77777777" w:rsidR="00B46EF1" w:rsidRPr="000913E9" w:rsidRDefault="00B46EF1" w:rsidP="000913E9">
      <w:pPr>
        <w:spacing w:line="360" w:lineRule="auto"/>
        <w:rPr>
          <w:rFonts w:ascii="Avenir LT 45 Book" w:eastAsia="Calibri" w:hAnsi="Avenir LT 45 Book"/>
          <w:u w:val="single"/>
        </w:rPr>
      </w:pPr>
      <w:r w:rsidRPr="000913E9">
        <w:rPr>
          <w:rFonts w:ascii="Avenir LT 45 Book" w:eastAsia="Calibri" w:hAnsi="Avenir LT 45 Book"/>
          <w:u w:val="single"/>
        </w:rPr>
        <w:t>Buffer Area 3</w:t>
      </w:r>
    </w:p>
    <w:p w14:paraId="38B77A51"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Council shall refer a proposal to Fremantle Ports where the proposal falls within a specific location that has been formally notified to Council as being impacted from port operations.</w:t>
      </w:r>
    </w:p>
    <w:p w14:paraId="2C07B34F" w14:textId="0A6ADEEC" w:rsidR="00B46EF1" w:rsidRDefault="00B46EF1" w:rsidP="00EC605B">
      <w:pPr>
        <w:spacing w:line="360" w:lineRule="auto"/>
      </w:pPr>
      <w:r w:rsidRPr="000913E9">
        <w:rPr>
          <w:rFonts w:ascii="Avenir LT 45 Book" w:eastAsia="Calibri" w:hAnsi="Avenir LT 45 Book"/>
          <w:sz w:val="20"/>
        </w:rPr>
        <w:t>In the case of scheme amendments that would result in an increase or intensification of sensitive uses, Council shall notify Fremantle Ports as soon as practicable prior to initiating the amendment.</w:t>
      </w:r>
    </w:p>
    <w:p w14:paraId="3E769BAA" w14:textId="77777777" w:rsidR="00B46EF1" w:rsidRDefault="00B46EF1" w:rsidP="002A3889">
      <w:pPr>
        <w:pStyle w:val="Heading1"/>
        <w:keepNext w:val="0"/>
        <w:keepLines w:val="0"/>
        <w:numPr>
          <w:ilvl w:val="0"/>
          <w:numId w:val="273"/>
        </w:numPr>
        <w:autoSpaceDE w:val="0"/>
        <w:autoSpaceDN w:val="0"/>
        <w:spacing w:before="0" w:after="200" w:line="360" w:lineRule="auto"/>
        <w:sectPr w:rsidR="00B46EF1" w:rsidSect="008048CE">
          <w:footerReference w:type="default" r:id="rId280"/>
          <w:pgSz w:w="11906" w:h="16838"/>
          <w:pgMar w:top="1440" w:right="1440" w:bottom="1440" w:left="1440" w:header="708" w:footer="708" w:gutter="0"/>
          <w:cols w:space="708"/>
          <w:docGrid w:linePitch="360"/>
        </w:sectPr>
      </w:pPr>
    </w:p>
    <w:p w14:paraId="673EAAE9" w14:textId="3CB3E351" w:rsidR="00B46EF1" w:rsidRPr="000913E9" w:rsidRDefault="000913E9" w:rsidP="000913E9">
      <w:pPr>
        <w:pStyle w:val="Heading3"/>
        <w:keepNext w:val="0"/>
        <w:keepLines w:val="0"/>
        <w:autoSpaceDE w:val="0"/>
        <w:autoSpaceDN w:val="0"/>
        <w:spacing w:before="0" w:after="200" w:line="360" w:lineRule="auto"/>
        <w:ind w:left="1418" w:hanging="1418"/>
        <w:jc w:val="both"/>
        <w:rPr>
          <w:rFonts w:ascii="Avenir LT 65 Medium" w:eastAsia="Times New Roman" w:hAnsi="Avenir LT 65 Medium" w:cs="Times New Roman"/>
          <w:bCs/>
          <w:color w:val="000000"/>
          <w:sz w:val="22"/>
        </w:rPr>
      </w:pPr>
      <w:bookmarkStart w:id="473" w:name="_Toc452727454"/>
      <w:r>
        <w:rPr>
          <w:rFonts w:ascii="Avenir LT 65 Medium" w:eastAsia="Times New Roman" w:hAnsi="Avenir LT 65 Medium" w:cs="Times New Roman"/>
          <w:bCs/>
          <w:color w:val="000000"/>
          <w:sz w:val="22"/>
        </w:rPr>
        <w:lastRenderedPageBreak/>
        <w:t>3.7.21</w:t>
      </w:r>
      <w:r>
        <w:rPr>
          <w:rFonts w:ascii="Avenir LT 65 Medium" w:eastAsia="Times New Roman" w:hAnsi="Avenir LT 65 Medium" w:cs="Times New Roman"/>
          <w:bCs/>
          <w:color w:val="000000"/>
          <w:sz w:val="22"/>
        </w:rPr>
        <w:tab/>
      </w:r>
      <w:r w:rsidR="00B46EF1" w:rsidRPr="000913E9">
        <w:rPr>
          <w:rFonts w:ascii="Avenir LT 65 Medium" w:eastAsia="Times New Roman" w:hAnsi="Avenir LT 65 Medium" w:cs="Times New Roman"/>
          <w:bCs/>
          <w:color w:val="000000"/>
          <w:sz w:val="22"/>
        </w:rPr>
        <w:t>Development Applications</w:t>
      </w:r>
      <w:bookmarkEnd w:id="473"/>
      <w:r w:rsidR="00B46EF1" w:rsidRPr="000913E9">
        <w:rPr>
          <w:rFonts w:ascii="Avenir LT 65 Medium" w:eastAsia="Times New Roman" w:hAnsi="Avenir LT 65 Medium" w:cs="Times New Roman"/>
          <w:bCs/>
          <w:color w:val="000000"/>
          <w:sz w:val="22"/>
        </w:rPr>
        <w:t xml:space="preserve"> </w:t>
      </w:r>
    </w:p>
    <w:p w14:paraId="6A2FAAE5" w14:textId="77777777" w:rsidR="00B46EF1" w:rsidRPr="000913E9" w:rsidRDefault="000913E9" w:rsidP="000913E9">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3.7.21.1</w:t>
      </w:r>
      <w:r>
        <w:rPr>
          <w:rFonts w:ascii="Avenir LT 65 Medium" w:hAnsi="Avenir LT 65 Medium"/>
          <w:bCs/>
          <w:i w:val="0"/>
          <w:color w:val="auto"/>
        </w:rPr>
        <w:tab/>
      </w:r>
      <w:r w:rsidR="00B46EF1" w:rsidRPr="000913E9">
        <w:rPr>
          <w:rFonts w:ascii="Avenir LT 65 Medium" w:hAnsi="Avenir LT 65 Medium"/>
          <w:bCs/>
          <w:i w:val="0"/>
          <w:color w:val="auto"/>
        </w:rPr>
        <w:t>Requirements</w:t>
      </w:r>
    </w:p>
    <w:p w14:paraId="41BC15DE"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 xml:space="preserve">The definition of ‘development’ is set out in the Planning and Development act 2005.  The requirements for submissions of Development Applications, are as set out in TPS3. </w:t>
      </w:r>
    </w:p>
    <w:p w14:paraId="679FB718"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 xml:space="preserve">All developments require a development application and approval unless exempted from the need for an application under the Scheme.  </w:t>
      </w:r>
    </w:p>
    <w:p w14:paraId="753FFE90" w14:textId="77777777" w:rsidR="00B46EF1" w:rsidRPr="000913E9" w:rsidRDefault="000913E9" w:rsidP="000913E9">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3.7.21.2</w:t>
      </w:r>
      <w:r>
        <w:rPr>
          <w:rFonts w:ascii="Avenir LT 65 Medium" w:hAnsi="Avenir LT 65 Medium"/>
          <w:bCs/>
          <w:i w:val="0"/>
          <w:color w:val="auto"/>
        </w:rPr>
        <w:tab/>
      </w:r>
      <w:r w:rsidR="00B46EF1" w:rsidRPr="000913E9">
        <w:rPr>
          <w:rFonts w:ascii="Avenir LT 65 Medium" w:hAnsi="Avenir LT 65 Medium"/>
          <w:bCs/>
          <w:i w:val="0"/>
          <w:color w:val="auto"/>
        </w:rPr>
        <w:t>Accompanying Material</w:t>
      </w:r>
    </w:p>
    <w:p w14:paraId="3315DB44"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The Town may require an applicant to provide one or more of the following to assist the Town in the determination of a planning application. This is additional to the requirement for accompanying material set out in Clause 9.2 of TPS 3.</w:t>
      </w:r>
    </w:p>
    <w:p w14:paraId="68898A68" w14:textId="77777777" w:rsidR="00B46EF1" w:rsidRPr="000913E9" w:rsidRDefault="000913E9" w:rsidP="000913E9">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3.7.21.3</w:t>
      </w:r>
      <w:r>
        <w:rPr>
          <w:rFonts w:ascii="Avenir LT 65 Medium" w:hAnsi="Avenir LT 65 Medium"/>
          <w:bCs/>
          <w:i w:val="0"/>
          <w:color w:val="auto"/>
        </w:rPr>
        <w:tab/>
      </w:r>
      <w:r w:rsidR="00B46EF1" w:rsidRPr="000913E9">
        <w:rPr>
          <w:rFonts w:ascii="Avenir LT 65 Medium" w:hAnsi="Avenir LT 65 Medium"/>
          <w:bCs/>
          <w:i w:val="0"/>
          <w:color w:val="auto"/>
        </w:rPr>
        <w:t xml:space="preserve">Heritage Assessment </w:t>
      </w:r>
    </w:p>
    <w:p w14:paraId="7F8F954A"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 xml:space="preserve">A Heritage Assessment may be requested at the applicant’s expense for places on the Heritage Schedule adopted under TPS 3. </w:t>
      </w:r>
    </w:p>
    <w:p w14:paraId="425F2C19" w14:textId="77777777" w:rsidR="00B46EF1" w:rsidRPr="000913E9" w:rsidRDefault="000913E9" w:rsidP="000913E9">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3.7.21.4</w:t>
      </w:r>
      <w:r>
        <w:rPr>
          <w:rFonts w:ascii="Avenir LT 65 Medium" w:hAnsi="Avenir LT 65 Medium"/>
          <w:bCs/>
          <w:i w:val="0"/>
          <w:color w:val="auto"/>
        </w:rPr>
        <w:tab/>
      </w:r>
      <w:r w:rsidR="00B46EF1" w:rsidRPr="000913E9">
        <w:rPr>
          <w:rFonts w:ascii="Avenir LT 65 Medium" w:hAnsi="Avenir LT 65 Medium"/>
          <w:bCs/>
          <w:i w:val="0"/>
          <w:color w:val="auto"/>
        </w:rPr>
        <w:t>Heritage Impact Statement</w:t>
      </w:r>
    </w:p>
    <w:p w14:paraId="582B8A6E"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 xml:space="preserve">A Heritage Impact Statement to be prepared at the applicant’s expense may be requested for places on the Schedule attached to TPS 3 where development is likely to have a substantial impact on the cultural heritage values of that place. </w:t>
      </w:r>
    </w:p>
    <w:p w14:paraId="196A8584" w14:textId="77777777" w:rsidR="00B46EF1" w:rsidRPr="000913E9" w:rsidRDefault="000913E9" w:rsidP="000913E9">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3.7.21.5</w:t>
      </w:r>
      <w:r>
        <w:rPr>
          <w:rFonts w:ascii="Avenir LT 65 Medium" w:hAnsi="Avenir LT 65 Medium"/>
          <w:bCs/>
          <w:i w:val="0"/>
          <w:color w:val="auto"/>
        </w:rPr>
        <w:tab/>
      </w:r>
      <w:r w:rsidR="00B46EF1" w:rsidRPr="000913E9">
        <w:rPr>
          <w:rFonts w:ascii="Avenir LT 65 Medium" w:hAnsi="Avenir LT 65 Medium"/>
          <w:bCs/>
          <w:i w:val="0"/>
          <w:color w:val="auto"/>
        </w:rPr>
        <w:t>Conservation Plan</w:t>
      </w:r>
    </w:p>
    <w:p w14:paraId="2690CD7B"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Where a Conservation Plan has been prepared for individual buildings, groups of buildings or places of cultural heritage significance (refer glossary), the Town will take the content of the Conservation Plan into account when determining development applications for the places to which they apply.  Where Conservation Plans are available, these, or relevant sections of these, should be provided with the development application.</w:t>
      </w:r>
    </w:p>
    <w:p w14:paraId="1C27A7D3"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 xml:space="preserve">The Town may require the preparation of a Conservation Plan prior to considering a development application for all buildings or places that are included on the Heritage Council’s Register of Heritage Places. </w:t>
      </w:r>
    </w:p>
    <w:p w14:paraId="385E0FB6" w14:textId="77777777" w:rsidR="00B46EF1" w:rsidRPr="000913E9" w:rsidRDefault="000913E9" w:rsidP="000913E9">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3.7.21.6</w:t>
      </w:r>
      <w:r>
        <w:rPr>
          <w:rFonts w:ascii="Avenir LT 65 Medium" w:hAnsi="Avenir LT 65 Medium"/>
          <w:bCs/>
          <w:i w:val="0"/>
          <w:color w:val="auto"/>
        </w:rPr>
        <w:tab/>
      </w:r>
      <w:r w:rsidR="00B46EF1" w:rsidRPr="000913E9">
        <w:rPr>
          <w:rFonts w:ascii="Avenir LT 65 Medium" w:hAnsi="Avenir LT 65 Medium"/>
          <w:bCs/>
          <w:i w:val="0"/>
          <w:color w:val="auto"/>
        </w:rPr>
        <w:t xml:space="preserve">Structural Condition Assessment in the Case of Demolition </w:t>
      </w:r>
    </w:p>
    <w:p w14:paraId="0B8D8C97"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 xml:space="preserve">If structural failure is cited as a justification for the demolition of a place on the Schedule adopted under TPS3, evidence shall be provided from a registered structural engineer with experience in dealing with heritage places, that the structural integrity of the building has failed, to the point where it cannot be rectified without removal of a majority of its significant fabric and/or incurring prohibitive costs. Structural engineers should be selected from the Heritage Council of Western Australia’s preferred list of consultants. </w:t>
      </w:r>
    </w:p>
    <w:p w14:paraId="50573DAB"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This information is additional to the requirements for accompanying material for a development application set out in Clause 9.2 of TPS3.</w:t>
      </w:r>
    </w:p>
    <w:p w14:paraId="3DE5A788" w14:textId="77777777" w:rsidR="00B46EF1" w:rsidRPr="000913E9" w:rsidRDefault="000913E9" w:rsidP="000913E9">
      <w:pPr>
        <w:pStyle w:val="Heading4"/>
        <w:spacing w:before="120" w:after="200" w:line="360" w:lineRule="auto"/>
        <w:rPr>
          <w:rFonts w:ascii="Avenir LT 65 Medium" w:hAnsi="Avenir LT 65 Medium"/>
          <w:bCs/>
          <w:i w:val="0"/>
          <w:color w:val="auto"/>
        </w:rPr>
      </w:pPr>
      <w:r>
        <w:rPr>
          <w:rFonts w:ascii="Avenir LT 65 Medium" w:hAnsi="Avenir LT 65 Medium"/>
          <w:bCs/>
          <w:i w:val="0"/>
          <w:color w:val="auto"/>
        </w:rPr>
        <w:t>3.7.21.7</w:t>
      </w:r>
      <w:r>
        <w:rPr>
          <w:rFonts w:ascii="Avenir LT 65 Medium" w:hAnsi="Avenir LT 65 Medium"/>
          <w:bCs/>
          <w:i w:val="0"/>
          <w:color w:val="auto"/>
        </w:rPr>
        <w:tab/>
      </w:r>
      <w:r w:rsidR="00B46EF1" w:rsidRPr="000913E9">
        <w:rPr>
          <w:rFonts w:ascii="Avenir LT 65 Medium" w:hAnsi="Avenir LT 65 Medium"/>
          <w:bCs/>
          <w:i w:val="0"/>
          <w:color w:val="auto"/>
        </w:rPr>
        <w:t>Viewshed Study</w:t>
      </w:r>
    </w:p>
    <w:p w14:paraId="2E58E127" w14:textId="77777777" w:rsidR="00B46EF1" w:rsidRPr="000913E9" w:rsidRDefault="00B46EF1" w:rsidP="000913E9">
      <w:pPr>
        <w:spacing w:line="360" w:lineRule="auto"/>
        <w:rPr>
          <w:rFonts w:ascii="Avenir LT 45 Book" w:eastAsia="Calibri" w:hAnsi="Avenir LT 45 Book"/>
          <w:i/>
          <w:sz w:val="20"/>
        </w:rPr>
      </w:pPr>
      <w:r w:rsidRPr="000913E9">
        <w:rPr>
          <w:rFonts w:ascii="Avenir LT 45 Book" w:eastAsia="Calibri" w:hAnsi="Avenir LT 45 Book"/>
          <w:i/>
          <w:sz w:val="20"/>
        </w:rPr>
        <w:t>Where a development has the capacity to impact on viewsheds, Council may request the inclusion of a viewshed study as part of the development requirements.</w:t>
      </w:r>
    </w:p>
    <w:p w14:paraId="22C2595B" w14:textId="77777777" w:rsidR="00B46EF1" w:rsidRPr="000913E9" w:rsidRDefault="00B46EF1" w:rsidP="000913E9">
      <w:pPr>
        <w:spacing w:line="360" w:lineRule="auto"/>
        <w:rPr>
          <w:rFonts w:ascii="Avenir LT 45 Book" w:eastAsia="Calibri" w:hAnsi="Avenir LT 45 Book"/>
          <w:i/>
          <w:sz w:val="20"/>
        </w:rPr>
      </w:pPr>
      <w:r w:rsidRPr="000913E9">
        <w:rPr>
          <w:rFonts w:ascii="Avenir LT 45 Book" w:eastAsia="Calibri" w:hAnsi="Avenir LT 45 Book"/>
          <w:i/>
          <w:sz w:val="20"/>
        </w:rPr>
        <w:lastRenderedPageBreak/>
        <w:t>Precincts where this is most likely to be a requirement include Riverside, Preston Point and Richmond Hill north abutting Preston Point Road.</w:t>
      </w:r>
    </w:p>
    <w:p w14:paraId="14EAB6C7" w14:textId="77777777" w:rsidR="00B46EF1" w:rsidRPr="000913E9" w:rsidRDefault="00B46EF1" w:rsidP="002A3889">
      <w:pPr>
        <w:pStyle w:val="Heading2"/>
        <w:keepNext w:val="0"/>
        <w:keepLines w:val="0"/>
        <w:numPr>
          <w:ilvl w:val="1"/>
          <w:numId w:val="273"/>
        </w:numPr>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74" w:name="_Toc452727455"/>
      <w:r w:rsidRPr="000913E9">
        <w:rPr>
          <w:rFonts w:ascii="Avenir LT 65 Medium" w:eastAsia="Times New Roman" w:hAnsi="Avenir LT 65 Medium" w:cs="Times New Roman"/>
          <w:b w:val="0"/>
          <w:color w:val="000000"/>
          <w:sz w:val="22"/>
          <w:szCs w:val="24"/>
          <w:lang w:val="en-US"/>
        </w:rPr>
        <w:t>Policy Date Review</w:t>
      </w:r>
      <w:bookmarkEnd w:id="474"/>
      <w:r w:rsidRPr="000913E9">
        <w:rPr>
          <w:rFonts w:ascii="Avenir LT 65 Medium" w:eastAsia="Times New Roman" w:hAnsi="Avenir LT 65 Medium" w:cs="Times New Roman"/>
          <w:b w:val="0"/>
          <w:color w:val="000000"/>
          <w:sz w:val="22"/>
          <w:szCs w:val="24"/>
          <w:lang w:val="en-US"/>
        </w:rPr>
        <w:t xml:space="preserve"> </w:t>
      </w:r>
    </w:p>
    <w:p w14:paraId="0B72A50C" w14:textId="77777777" w:rsidR="00B46EF1" w:rsidRPr="000913E9" w:rsidRDefault="00B46EF1" w:rsidP="000913E9">
      <w:pPr>
        <w:spacing w:line="360" w:lineRule="auto"/>
        <w:rPr>
          <w:rFonts w:ascii="Avenir LT 45 Book" w:eastAsia="Calibri" w:hAnsi="Avenir LT 45 Book"/>
          <w:sz w:val="20"/>
        </w:rPr>
      </w:pPr>
      <w:r w:rsidRPr="000913E9">
        <w:rPr>
          <w:rFonts w:ascii="Avenir LT 45 Book" w:eastAsia="Calibri" w:hAnsi="Avenir LT 45 Book"/>
          <w:sz w:val="20"/>
        </w:rPr>
        <w:t>Three years from adoption date.</w:t>
      </w:r>
    </w:p>
    <w:p w14:paraId="48326C0A" w14:textId="77777777" w:rsidR="00B46EF1" w:rsidRDefault="00B46EF1" w:rsidP="00B46EF1"/>
    <w:p w14:paraId="51679BB1" w14:textId="77777777" w:rsidR="00B46EF1" w:rsidRDefault="00B46EF1" w:rsidP="00B46EF1">
      <w:pPr>
        <w:sectPr w:rsidR="00B46EF1" w:rsidSect="008048CE">
          <w:footerReference w:type="default" r:id="rId281"/>
          <w:pgSz w:w="11906" w:h="16838"/>
          <w:pgMar w:top="1440" w:right="1440" w:bottom="1440" w:left="1440" w:header="708" w:footer="708" w:gutter="0"/>
          <w:cols w:space="708"/>
          <w:docGrid w:linePitch="360"/>
        </w:sectPr>
      </w:pPr>
    </w:p>
    <w:p w14:paraId="0ECCA9E6" w14:textId="7AC308F1" w:rsidR="00B46EF1" w:rsidRPr="000913E9" w:rsidRDefault="00B46EF1" w:rsidP="002A3889">
      <w:pPr>
        <w:pStyle w:val="Heading2"/>
        <w:keepNext w:val="0"/>
        <w:keepLines w:val="0"/>
        <w:numPr>
          <w:ilvl w:val="1"/>
          <w:numId w:val="273"/>
        </w:numPr>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75" w:name="_Toc452727456"/>
      <w:r w:rsidRPr="000913E9">
        <w:rPr>
          <w:rFonts w:ascii="Avenir LT 65 Medium" w:eastAsia="Times New Roman" w:hAnsi="Avenir LT 65 Medium" w:cs="Times New Roman"/>
          <w:b w:val="0"/>
          <w:color w:val="000000"/>
          <w:sz w:val="22"/>
          <w:szCs w:val="24"/>
          <w:lang w:val="en-US"/>
        </w:rPr>
        <w:lastRenderedPageBreak/>
        <w:t>APPENDIX A – Development Impact Statement</w:t>
      </w:r>
      <w:bookmarkEnd w:id="475"/>
    </w:p>
    <w:p w14:paraId="5C9E92CD" w14:textId="77777777" w:rsidR="00B46EF1" w:rsidRPr="00842387" w:rsidRDefault="00B46EF1" w:rsidP="00B46EF1">
      <w:pPr>
        <w:rPr>
          <w:rFonts w:ascii="Avenir LT 65 Medium" w:hAnsi="Avenir LT 65 Medium"/>
        </w:rPr>
      </w:pPr>
      <w:r w:rsidRPr="00842387">
        <w:rPr>
          <w:rFonts w:ascii="Avenir LT 65 Medium" w:hAnsi="Avenir LT 65 Medium"/>
        </w:rPr>
        <w:t>Introduction</w:t>
      </w:r>
    </w:p>
    <w:p w14:paraId="4A72AFCB" w14:textId="77777777" w:rsidR="00B46EF1" w:rsidRPr="00842387" w:rsidRDefault="00B46EF1" w:rsidP="00B46EF1">
      <w:pPr>
        <w:rPr>
          <w:szCs w:val="20"/>
        </w:rPr>
      </w:pPr>
      <w:r w:rsidRPr="000913E9">
        <w:rPr>
          <w:rFonts w:ascii="Avenir LT 45 Book" w:eastAsia="Calibri" w:hAnsi="Avenir LT 45 Book"/>
          <w:sz w:val="20"/>
          <w:szCs w:val="20"/>
        </w:rPr>
        <w:t>Brief description of proposed development</w:t>
      </w:r>
      <w:r w:rsidRPr="00842387">
        <w:rPr>
          <w:szCs w:val="20"/>
        </w:rPr>
        <w:t>.</w:t>
      </w:r>
    </w:p>
    <w:p w14:paraId="2CCED91C" w14:textId="77777777" w:rsidR="00B46EF1" w:rsidRPr="00D30DD8" w:rsidRDefault="00B46EF1" w:rsidP="00B46EF1">
      <w:pPr>
        <w:rPr>
          <w:rFonts w:ascii="Avenir LT 65 Medium" w:hAnsi="Avenir LT 65 Medium"/>
        </w:rPr>
      </w:pPr>
      <w:r w:rsidRPr="00842387">
        <w:rPr>
          <w:rFonts w:ascii="Avenir LT 65 Medium" w:hAnsi="Avenir LT 65 Medium"/>
        </w:rPr>
        <w:t>Reasons for Demolition</w:t>
      </w:r>
    </w:p>
    <w:p w14:paraId="166BE343" w14:textId="77777777" w:rsidR="00B46EF1" w:rsidRPr="00842387" w:rsidRDefault="00B46EF1" w:rsidP="00B46EF1">
      <w:pPr>
        <w:rPr>
          <w:rFonts w:ascii="Avenir LT 65 Medium" w:hAnsi="Avenir LT 65 Medium"/>
        </w:rPr>
      </w:pPr>
      <w:r w:rsidRPr="00842387">
        <w:rPr>
          <w:rFonts w:ascii="Avenir LT 65 Medium" w:hAnsi="Avenir LT 65 Medium"/>
        </w:rPr>
        <w:t>Heritage Listings</w:t>
      </w:r>
    </w:p>
    <w:p w14:paraId="43FA3DE2" w14:textId="77777777" w:rsidR="00B46EF1" w:rsidRPr="00842387" w:rsidRDefault="00B46EF1" w:rsidP="000913E9">
      <w:pPr>
        <w:spacing w:line="360" w:lineRule="auto"/>
        <w:rPr>
          <w:szCs w:val="20"/>
        </w:rPr>
      </w:pPr>
      <w:r w:rsidRPr="000913E9">
        <w:rPr>
          <w:rFonts w:ascii="Avenir LT 45 Book" w:eastAsia="Calibri" w:hAnsi="Avenir LT 45 Book"/>
          <w:sz w:val="20"/>
          <w:szCs w:val="20"/>
        </w:rPr>
        <w:t xml:space="preserve">Refer to Town of East Fremantle’s Municipal Heritage (MHI) Inventory for listings. </w:t>
      </w:r>
      <w:r w:rsidRPr="00842387">
        <w:rPr>
          <w:szCs w:val="20"/>
        </w:rPr>
        <w:t xml:space="preserve"> </w:t>
      </w:r>
    </w:p>
    <w:p w14:paraId="7224D7F2" w14:textId="77777777" w:rsidR="00B46EF1" w:rsidRPr="00842387" w:rsidRDefault="00B46EF1" w:rsidP="00B46EF1">
      <w:pPr>
        <w:rPr>
          <w:rFonts w:ascii="Avenir LT 65 Medium" w:hAnsi="Avenir LT 65 Medium"/>
        </w:rPr>
      </w:pPr>
      <w:r w:rsidRPr="00842387">
        <w:rPr>
          <w:rFonts w:ascii="Avenir LT 65 Medium" w:hAnsi="Avenir LT 65 Medium"/>
        </w:rPr>
        <w:t xml:space="preserve">Statement of Significance </w:t>
      </w:r>
    </w:p>
    <w:p w14:paraId="0A7D5EBF" w14:textId="77777777" w:rsidR="00B46EF1" w:rsidRPr="000913E9" w:rsidRDefault="00B46EF1" w:rsidP="000913E9">
      <w:pPr>
        <w:spacing w:line="360" w:lineRule="auto"/>
        <w:rPr>
          <w:rFonts w:ascii="Avenir LT 45 Book" w:eastAsia="Calibri" w:hAnsi="Avenir LT 45 Book"/>
          <w:sz w:val="20"/>
          <w:szCs w:val="20"/>
        </w:rPr>
      </w:pPr>
      <w:r w:rsidRPr="000913E9">
        <w:rPr>
          <w:rFonts w:ascii="Avenir LT 45 Book" w:eastAsia="Calibri" w:hAnsi="Avenir LT 45 Book"/>
          <w:sz w:val="20"/>
          <w:szCs w:val="20"/>
        </w:rPr>
        <w:t>Refer to Town of East Fremantle’s MHI for a Statement of Significance.</w:t>
      </w:r>
    </w:p>
    <w:p w14:paraId="06A8745F" w14:textId="77777777" w:rsidR="00B46EF1" w:rsidRPr="00842387" w:rsidRDefault="00B46EF1" w:rsidP="00B46EF1">
      <w:pPr>
        <w:rPr>
          <w:rFonts w:ascii="Avenir LT 65 Medium" w:hAnsi="Avenir LT 65 Medium" w:cs="Arial"/>
          <w:b/>
        </w:rPr>
      </w:pPr>
      <w:r w:rsidRPr="00842387">
        <w:rPr>
          <w:rFonts w:ascii="Avenir LT 65 Medium" w:hAnsi="Avenir LT 65 Medium" w:cs="Arial"/>
        </w:rPr>
        <w:t>Description of the Place</w:t>
      </w:r>
    </w:p>
    <w:p w14:paraId="07850FB8" w14:textId="77777777" w:rsidR="00B46EF1" w:rsidRPr="000913E9" w:rsidRDefault="00B46EF1" w:rsidP="000913E9">
      <w:pPr>
        <w:spacing w:line="360" w:lineRule="auto"/>
        <w:rPr>
          <w:rFonts w:ascii="Avenir LT 45 Book" w:eastAsia="Calibri" w:hAnsi="Avenir LT 45 Book"/>
          <w:sz w:val="20"/>
          <w:szCs w:val="20"/>
        </w:rPr>
      </w:pPr>
      <w:r w:rsidRPr="000913E9">
        <w:rPr>
          <w:rFonts w:ascii="Avenir LT 45 Book" w:eastAsia="Calibri" w:hAnsi="Avenir LT 45 Book"/>
          <w:sz w:val="20"/>
          <w:szCs w:val="20"/>
        </w:rPr>
        <w:t>Describe:</w:t>
      </w:r>
    </w:p>
    <w:p w14:paraId="16B8C9F5" w14:textId="77777777" w:rsidR="00B46EF1" w:rsidRPr="000913E9" w:rsidRDefault="00B46EF1" w:rsidP="002A3889">
      <w:pPr>
        <w:pStyle w:val="ListParagraph"/>
        <w:numPr>
          <w:ilvl w:val="0"/>
          <w:numId w:val="76"/>
        </w:numPr>
        <w:spacing w:line="360" w:lineRule="auto"/>
        <w:rPr>
          <w:rFonts w:ascii="Avenir LT 45 Book" w:eastAsia="Calibri" w:hAnsi="Avenir LT 45 Book" w:cs="Times New Roman"/>
          <w:sz w:val="20"/>
          <w:szCs w:val="20"/>
        </w:rPr>
      </w:pPr>
      <w:r w:rsidRPr="00842387">
        <w:rPr>
          <w:szCs w:val="20"/>
        </w:rPr>
        <w:t xml:space="preserve"> </w:t>
      </w:r>
      <w:r w:rsidRPr="000913E9">
        <w:rPr>
          <w:rFonts w:ascii="Avenir LT 45 Book" w:eastAsia="Calibri" w:hAnsi="Avenir LT 45 Book" w:cs="Times New Roman"/>
          <w:sz w:val="20"/>
          <w:szCs w:val="20"/>
        </w:rPr>
        <w:t>Street and the context in which the places were built.  Describe scale and construction of dwellings,</w:t>
      </w:r>
    </w:p>
    <w:p w14:paraId="4A2873C0" w14:textId="77777777" w:rsidR="00B46EF1" w:rsidRPr="000913E9" w:rsidRDefault="00B46EF1" w:rsidP="002A3889">
      <w:pPr>
        <w:pStyle w:val="ListParagraph"/>
        <w:numPr>
          <w:ilvl w:val="0"/>
          <w:numId w:val="76"/>
        </w:numPr>
        <w:spacing w:line="360" w:lineRule="auto"/>
        <w:rPr>
          <w:rFonts w:ascii="Avenir LT 45 Book" w:eastAsia="Calibri" w:hAnsi="Avenir LT 45 Book" w:cs="Times New Roman"/>
          <w:sz w:val="20"/>
          <w:szCs w:val="20"/>
        </w:rPr>
      </w:pPr>
      <w:r w:rsidRPr="000913E9">
        <w:rPr>
          <w:rFonts w:ascii="Avenir LT 45 Book" w:eastAsia="Calibri" w:hAnsi="Avenir LT 45 Book" w:cs="Times New Roman"/>
          <w:sz w:val="20"/>
          <w:szCs w:val="20"/>
        </w:rPr>
        <w:t>Immediate historic and visual relationship of dwellings in the street,</w:t>
      </w:r>
    </w:p>
    <w:p w14:paraId="0CED6BFD" w14:textId="77777777" w:rsidR="00B46EF1" w:rsidRPr="000913E9" w:rsidRDefault="00B46EF1" w:rsidP="002A3889">
      <w:pPr>
        <w:pStyle w:val="ListParagraph"/>
        <w:numPr>
          <w:ilvl w:val="0"/>
          <w:numId w:val="76"/>
        </w:numPr>
        <w:spacing w:line="360" w:lineRule="auto"/>
        <w:rPr>
          <w:rFonts w:ascii="Avenir LT 45 Book" w:eastAsia="Calibri" w:hAnsi="Avenir LT 45 Book" w:cs="Times New Roman"/>
          <w:sz w:val="20"/>
          <w:szCs w:val="20"/>
        </w:rPr>
      </w:pPr>
      <w:r w:rsidRPr="000913E9">
        <w:rPr>
          <w:rFonts w:ascii="Avenir LT 45 Book" w:eastAsia="Calibri" w:hAnsi="Avenir LT 45 Book" w:cs="Times New Roman"/>
          <w:sz w:val="20"/>
          <w:szCs w:val="20"/>
        </w:rPr>
        <w:t>Significant garden features,</w:t>
      </w:r>
    </w:p>
    <w:p w14:paraId="0B547738" w14:textId="77777777" w:rsidR="00B46EF1" w:rsidRPr="000913E9" w:rsidRDefault="00B46EF1" w:rsidP="002A3889">
      <w:pPr>
        <w:pStyle w:val="ListParagraph"/>
        <w:numPr>
          <w:ilvl w:val="0"/>
          <w:numId w:val="76"/>
        </w:numPr>
        <w:spacing w:line="360" w:lineRule="auto"/>
        <w:rPr>
          <w:rFonts w:ascii="Avenir LT 45 Book" w:eastAsia="Calibri" w:hAnsi="Avenir LT 45 Book" w:cs="Times New Roman"/>
          <w:sz w:val="20"/>
          <w:szCs w:val="20"/>
        </w:rPr>
      </w:pPr>
      <w:r w:rsidRPr="000913E9">
        <w:rPr>
          <w:rFonts w:ascii="Avenir LT 45 Book" w:eastAsia="Calibri" w:hAnsi="Avenir LT 45 Book" w:cs="Times New Roman"/>
          <w:sz w:val="20"/>
          <w:szCs w:val="20"/>
        </w:rPr>
        <w:t xml:space="preserve">Condition of existing house in terms of wall and roof construction and any important features of the house i.e. </w:t>
      </w:r>
      <w:proofErr w:type="spellStart"/>
      <w:r w:rsidRPr="000913E9">
        <w:rPr>
          <w:rFonts w:ascii="Avenir LT 45 Book" w:eastAsia="Calibri" w:hAnsi="Avenir LT 45 Book" w:cs="Times New Roman"/>
          <w:sz w:val="20"/>
          <w:szCs w:val="20"/>
        </w:rPr>
        <w:t>verandahs</w:t>
      </w:r>
      <w:proofErr w:type="spellEnd"/>
      <w:r w:rsidRPr="000913E9">
        <w:rPr>
          <w:rFonts w:ascii="Avenir LT 45 Book" w:eastAsia="Calibri" w:hAnsi="Avenir LT 45 Book" w:cs="Times New Roman"/>
          <w:sz w:val="20"/>
          <w:szCs w:val="20"/>
        </w:rPr>
        <w:t>, gables and roof forms, and</w:t>
      </w:r>
    </w:p>
    <w:p w14:paraId="426E5C8F" w14:textId="77777777" w:rsidR="00B46EF1" w:rsidRPr="000913E9" w:rsidRDefault="00B46EF1" w:rsidP="002A3889">
      <w:pPr>
        <w:pStyle w:val="ListParagraph"/>
        <w:numPr>
          <w:ilvl w:val="0"/>
          <w:numId w:val="76"/>
        </w:numPr>
        <w:spacing w:line="360" w:lineRule="auto"/>
        <w:rPr>
          <w:rFonts w:ascii="Avenir LT 45 Book" w:eastAsia="Calibri" w:hAnsi="Avenir LT 45 Book" w:cs="Times New Roman"/>
          <w:sz w:val="20"/>
          <w:szCs w:val="20"/>
        </w:rPr>
      </w:pPr>
      <w:r w:rsidRPr="000913E9">
        <w:rPr>
          <w:rFonts w:ascii="Avenir LT 45 Book" w:eastAsia="Calibri" w:hAnsi="Avenir LT 45 Book" w:cs="Times New Roman"/>
          <w:sz w:val="20"/>
          <w:szCs w:val="20"/>
        </w:rPr>
        <w:t>Any previous additions.</w:t>
      </w:r>
    </w:p>
    <w:p w14:paraId="1EE1C327" w14:textId="77777777" w:rsidR="00B46EF1" w:rsidRPr="00842387" w:rsidRDefault="00B46EF1" w:rsidP="00B46EF1">
      <w:pPr>
        <w:rPr>
          <w:rFonts w:ascii="Avenir LT 65 Medium" w:hAnsi="Avenir LT 65 Medium" w:cs="Arial"/>
        </w:rPr>
      </w:pPr>
      <w:r w:rsidRPr="00842387">
        <w:rPr>
          <w:rFonts w:ascii="Avenir LT 65 Medium" w:hAnsi="Avenir LT 65 Medium" w:cs="Arial"/>
        </w:rPr>
        <w:t>Heritage Values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8"/>
        <w:gridCol w:w="6588"/>
      </w:tblGrid>
      <w:tr w:rsidR="00B46EF1" w:rsidRPr="00842387" w14:paraId="1ADFA410" w14:textId="77777777" w:rsidTr="008048CE">
        <w:tc>
          <w:tcPr>
            <w:tcW w:w="8926" w:type="dxa"/>
            <w:gridSpan w:val="2"/>
            <w:shd w:val="clear" w:color="auto" w:fill="A6A6A6"/>
          </w:tcPr>
          <w:p w14:paraId="5608638B"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Heritage values</w:t>
            </w:r>
          </w:p>
        </w:tc>
      </w:tr>
      <w:tr w:rsidR="00B46EF1" w:rsidRPr="00842387" w14:paraId="2B8752D6" w14:textId="77777777" w:rsidTr="008048CE">
        <w:tc>
          <w:tcPr>
            <w:tcW w:w="2338" w:type="dxa"/>
            <w:shd w:val="clear" w:color="auto" w:fill="auto"/>
          </w:tcPr>
          <w:p w14:paraId="10A5C81E"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Aesthetic</w:t>
            </w:r>
          </w:p>
        </w:tc>
        <w:tc>
          <w:tcPr>
            <w:tcW w:w="6588" w:type="dxa"/>
            <w:shd w:val="clear" w:color="auto" w:fill="auto"/>
          </w:tcPr>
          <w:p w14:paraId="42FAD342"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Degree of significance located on the MHI.</w:t>
            </w:r>
          </w:p>
        </w:tc>
      </w:tr>
      <w:tr w:rsidR="00B46EF1" w:rsidRPr="00842387" w14:paraId="434D4B05" w14:textId="77777777" w:rsidTr="008048CE">
        <w:tc>
          <w:tcPr>
            <w:tcW w:w="2338" w:type="dxa"/>
            <w:shd w:val="clear" w:color="auto" w:fill="auto"/>
          </w:tcPr>
          <w:p w14:paraId="018196A4"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Historic</w:t>
            </w:r>
          </w:p>
        </w:tc>
        <w:tc>
          <w:tcPr>
            <w:tcW w:w="6588" w:type="dxa"/>
            <w:shd w:val="clear" w:color="auto" w:fill="auto"/>
          </w:tcPr>
          <w:p w14:paraId="637CBC36"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Degree of significance located on the MHI.</w:t>
            </w:r>
          </w:p>
        </w:tc>
      </w:tr>
      <w:tr w:rsidR="00B46EF1" w:rsidRPr="00842387" w14:paraId="5F2BD4DB" w14:textId="77777777" w:rsidTr="008048CE">
        <w:tc>
          <w:tcPr>
            <w:tcW w:w="2338" w:type="dxa"/>
            <w:shd w:val="clear" w:color="auto" w:fill="auto"/>
          </w:tcPr>
          <w:p w14:paraId="0743D73C"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Social</w:t>
            </w:r>
          </w:p>
        </w:tc>
        <w:tc>
          <w:tcPr>
            <w:tcW w:w="6588" w:type="dxa"/>
            <w:shd w:val="clear" w:color="auto" w:fill="auto"/>
          </w:tcPr>
          <w:p w14:paraId="50A4D929"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Degree of significance located on the MHI.</w:t>
            </w:r>
          </w:p>
        </w:tc>
      </w:tr>
      <w:tr w:rsidR="00B46EF1" w:rsidRPr="00842387" w14:paraId="74DFF150" w14:textId="77777777" w:rsidTr="008048CE">
        <w:tc>
          <w:tcPr>
            <w:tcW w:w="2338" w:type="dxa"/>
            <w:tcBorders>
              <w:bottom w:val="single" w:sz="4" w:space="0" w:color="auto"/>
            </w:tcBorders>
            <w:shd w:val="clear" w:color="auto" w:fill="auto"/>
          </w:tcPr>
          <w:p w14:paraId="2F91C308"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Scientific</w:t>
            </w:r>
          </w:p>
        </w:tc>
        <w:tc>
          <w:tcPr>
            <w:tcW w:w="6588" w:type="dxa"/>
            <w:tcBorders>
              <w:bottom w:val="single" w:sz="4" w:space="0" w:color="auto"/>
            </w:tcBorders>
            <w:shd w:val="clear" w:color="auto" w:fill="auto"/>
          </w:tcPr>
          <w:p w14:paraId="05F3CBD9"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Degree of significance located on the MHI.</w:t>
            </w:r>
          </w:p>
        </w:tc>
      </w:tr>
      <w:tr w:rsidR="00B46EF1" w:rsidRPr="00842387" w14:paraId="0C32F5CD" w14:textId="77777777" w:rsidTr="008048CE">
        <w:tc>
          <w:tcPr>
            <w:tcW w:w="8926" w:type="dxa"/>
            <w:gridSpan w:val="2"/>
            <w:shd w:val="clear" w:color="auto" w:fill="808080"/>
          </w:tcPr>
          <w:p w14:paraId="4E396DB7"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Heritage Attributes</w:t>
            </w:r>
          </w:p>
        </w:tc>
      </w:tr>
      <w:tr w:rsidR="00B46EF1" w:rsidRPr="00842387" w14:paraId="17A7A509" w14:textId="77777777" w:rsidTr="008048CE">
        <w:tc>
          <w:tcPr>
            <w:tcW w:w="2338" w:type="dxa"/>
            <w:shd w:val="clear" w:color="auto" w:fill="auto"/>
          </w:tcPr>
          <w:p w14:paraId="1A0C77AA"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Rarity</w:t>
            </w:r>
          </w:p>
        </w:tc>
        <w:tc>
          <w:tcPr>
            <w:tcW w:w="6588" w:type="dxa"/>
            <w:shd w:val="clear" w:color="auto" w:fill="auto"/>
          </w:tcPr>
          <w:p w14:paraId="6B578574"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Degree of significance located on the MHI.</w:t>
            </w:r>
          </w:p>
        </w:tc>
      </w:tr>
      <w:tr w:rsidR="00B46EF1" w:rsidRPr="00842387" w14:paraId="4C28A597" w14:textId="77777777" w:rsidTr="008048CE">
        <w:tc>
          <w:tcPr>
            <w:tcW w:w="2338" w:type="dxa"/>
            <w:shd w:val="clear" w:color="auto" w:fill="auto"/>
          </w:tcPr>
          <w:p w14:paraId="15730158"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Representativeness</w:t>
            </w:r>
          </w:p>
        </w:tc>
        <w:tc>
          <w:tcPr>
            <w:tcW w:w="6588" w:type="dxa"/>
            <w:shd w:val="clear" w:color="auto" w:fill="auto"/>
          </w:tcPr>
          <w:p w14:paraId="780753D9"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Degree of significance located on the MHI.</w:t>
            </w:r>
          </w:p>
        </w:tc>
      </w:tr>
      <w:tr w:rsidR="00B46EF1" w:rsidRPr="00842387" w14:paraId="236E183B" w14:textId="77777777" w:rsidTr="008048CE">
        <w:tc>
          <w:tcPr>
            <w:tcW w:w="2338" w:type="dxa"/>
            <w:shd w:val="clear" w:color="auto" w:fill="auto"/>
          </w:tcPr>
          <w:p w14:paraId="4E657223"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Integrity</w:t>
            </w:r>
          </w:p>
        </w:tc>
        <w:tc>
          <w:tcPr>
            <w:tcW w:w="6588" w:type="dxa"/>
            <w:shd w:val="clear" w:color="auto" w:fill="auto"/>
          </w:tcPr>
          <w:p w14:paraId="24D89237"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Degree of significance located on the MHI.</w:t>
            </w:r>
          </w:p>
        </w:tc>
      </w:tr>
      <w:tr w:rsidR="00B46EF1" w:rsidRPr="00842387" w14:paraId="23ADDAC0" w14:textId="77777777" w:rsidTr="008048CE">
        <w:tc>
          <w:tcPr>
            <w:tcW w:w="2338" w:type="dxa"/>
            <w:shd w:val="clear" w:color="auto" w:fill="auto"/>
          </w:tcPr>
          <w:p w14:paraId="51A45784"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Authenticity</w:t>
            </w:r>
          </w:p>
        </w:tc>
        <w:tc>
          <w:tcPr>
            <w:tcW w:w="6588" w:type="dxa"/>
            <w:shd w:val="clear" w:color="auto" w:fill="auto"/>
          </w:tcPr>
          <w:p w14:paraId="28BE32C1"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Degree of significance located on the MHI.</w:t>
            </w:r>
          </w:p>
        </w:tc>
      </w:tr>
    </w:tbl>
    <w:p w14:paraId="5FADB9E9" w14:textId="77777777" w:rsidR="00B46EF1" w:rsidRPr="00842387" w:rsidRDefault="00B46EF1" w:rsidP="00B46EF1">
      <w:pPr>
        <w:spacing w:after="120" w:line="240" w:lineRule="auto"/>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2214"/>
        <w:gridCol w:w="2214"/>
        <w:gridCol w:w="2214"/>
      </w:tblGrid>
      <w:tr w:rsidR="00B46EF1" w:rsidRPr="00842387" w14:paraId="7CC8E1FB" w14:textId="77777777" w:rsidTr="008048CE">
        <w:tc>
          <w:tcPr>
            <w:tcW w:w="8856" w:type="dxa"/>
            <w:gridSpan w:val="4"/>
            <w:shd w:val="clear" w:color="auto" w:fill="A6A6A6"/>
          </w:tcPr>
          <w:p w14:paraId="26C20865"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 xml:space="preserve">Significance </w:t>
            </w:r>
          </w:p>
        </w:tc>
      </w:tr>
      <w:tr w:rsidR="00B46EF1" w:rsidRPr="00842387" w14:paraId="2A068418" w14:textId="77777777" w:rsidTr="008048CE">
        <w:tc>
          <w:tcPr>
            <w:tcW w:w="2214" w:type="dxa"/>
            <w:shd w:val="clear" w:color="auto" w:fill="auto"/>
          </w:tcPr>
          <w:p w14:paraId="41924B7A"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Exceptional</w:t>
            </w:r>
          </w:p>
        </w:tc>
        <w:tc>
          <w:tcPr>
            <w:tcW w:w="2214" w:type="dxa"/>
            <w:shd w:val="clear" w:color="auto" w:fill="auto"/>
          </w:tcPr>
          <w:p w14:paraId="24665360"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Considerable</w:t>
            </w:r>
          </w:p>
        </w:tc>
        <w:tc>
          <w:tcPr>
            <w:tcW w:w="2214" w:type="dxa"/>
            <w:shd w:val="clear" w:color="auto" w:fill="auto"/>
          </w:tcPr>
          <w:p w14:paraId="04994B5E"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Some</w:t>
            </w:r>
          </w:p>
        </w:tc>
        <w:tc>
          <w:tcPr>
            <w:tcW w:w="2214" w:type="dxa"/>
            <w:shd w:val="clear" w:color="auto" w:fill="auto"/>
          </w:tcPr>
          <w:p w14:paraId="07ECFF30" w14:textId="77777777" w:rsidR="00B46EF1" w:rsidRPr="000913E9" w:rsidRDefault="00B46EF1" w:rsidP="000913E9">
            <w:pPr>
              <w:spacing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Limited or none</w:t>
            </w:r>
          </w:p>
        </w:tc>
      </w:tr>
      <w:tr w:rsidR="00B46EF1" w:rsidRPr="00842387" w14:paraId="1826B8D5" w14:textId="77777777" w:rsidTr="00F60A43">
        <w:trPr>
          <w:trHeight w:val="890"/>
        </w:trPr>
        <w:tc>
          <w:tcPr>
            <w:tcW w:w="8856" w:type="dxa"/>
            <w:gridSpan w:val="4"/>
            <w:shd w:val="clear" w:color="auto" w:fill="auto"/>
          </w:tcPr>
          <w:p w14:paraId="57065446" w14:textId="77777777" w:rsidR="00B46EF1" w:rsidRPr="000913E9" w:rsidRDefault="00B46EF1" w:rsidP="00F60A43">
            <w:pPr>
              <w:spacing w:after="120"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Comments:</w:t>
            </w:r>
          </w:p>
          <w:p w14:paraId="28DBED2E" w14:textId="77777777" w:rsidR="00B46EF1" w:rsidRPr="000913E9" w:rsidRDefault="00B46EF1" w:rsidP="00F60A43">
            <w:pPr>
              <w:spacing w:after="120" w:line="360" w:lineRule="auto"/>
              <w:rPr>
                <w:rFonts w:ascii="Avenir LT 45 Book" w:eastAsia="Calibri" w:hAnsi="Avenir LT 45 Book" w:cs="Arial"/>
                <w:sz w:val="20"/>
                <w:szCs w:val="20"/>
              </w:rPr>
            </w:pPr>
            <w:r w:rsidRPr="000913E9">
              <w:rPr>
                <w:rFonts w:ascii="Avenir LT 45 Book" w:eastAsia="Calibri" w:hAnsi="Avenir LT 45 Book" w:cs="Arial"/>
                <w:sz w:val="20"/>
                <w:szCs w:val="20"/>
              </w:rPr>
              <w:t xml:space="preserve">Tick one of the above and provide comment. </w:t>
            </w:r>
          </w:p>
        </w:tc>
      </w:tr>
    </w:tbl>
    <w:p w14:paraId="208D82EC" w14:textId="77777777" w:rsidR="00B46EF1" w:rsidRPr="00842387" w:rsidRDefault="00B46EF1" w:rsidP="00B46EF1">
      <w:pPr>
        <w:spacing w:before="120" w:after="120"/>
        <w:rPr>
          <w:rFonts w:ascii="Avenir LT 65 Medium" w:hAnsi="Avenir LT 65 Medium"/>
        </w:rPr>
      </w:pPr>
      <w:r w:rsidRPr="00842387">
        <w:rPr>
          <w:rFonts w:ascii="Avenir LT 65 Medium" w:hAnsi="Avenir LT 65 Medium"/>
        </w:rPr>
        <w:t>Statement of Heritage Impact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5"/>
        <w:gridCol w:w="4041"/>
      </w:tblGrid>
      <w:tr w:rsidR="00B46EF1" w:rsidRPr="00842387" w14:paraId="24542639" w14:textId="77777777" w:rsidTr="008048CE">
        <w:tc>
          <w:tcPr>
            <w:tcW w:w="8856" w:type="dxa"/>
            <w:gridSpan w:val="2"/>
            <w:shd w:val="clear" w:color="auto" w:fill="A6A6A6"/>
          </w:tcPr>
          <w:p w14:paraId="6FE44C68" w14:textId="77777777" w:rsidR="00B46EF1" w:rsidRPr="00F60A43" w:rsidRDefault="00B46EF1" w:rsidP="00F60A43">
            <w:pPr>
              <w:spacing w:line="360" w:lineRule="auto"/>
              <w:rPr>
                <w:rFonts w:ascii="Avenir LT 45 Book" w:eastAsia="Calibri" w:hAnsi="Avenir LT 45 Book" w:cs="Arial"/>
                <w:sz w:val="20"/>
                <w:szCs w:val="20"/>
              </w:rPr>
            </w:pPr>
            <w:r w:rsidRPr="00F60A43">
              <w:rPr>
                <w:rFonts w:ascii="Avenir LT 45 Book" w:eastAsia="Calibri" w:hAnsi="Avenir LT 45 Book" w:cs="Arial"/>
                <w:sz w:val="20"/>
                <w:szCs w:val="20"/>
              </w:rPr>
              <w:t xml:space="preserve">How does the proposed development impact on the heritage significance of the place </w:t>
            </w:r>
            <w:proofErr w:type="gramStart"/>
            <w:r w:rsidRPr="00F60A43">
              <w:rPr>
                <w:rFonts w:ascii="Avenir LT 45 Book" w:eastAsia="Calibri" w:hAnsi="Avenir LT 45 Book" w:cs="Arial"/>
                <w:sz w:val="20"/>
                <w:szCs w:val="20"/>
              </w:rPr>
              <w:t>with regard to</w:t>
            </w:r>
            <w:proofErr w:type="gramEnd"/>
            <w:r w:rsidRPr="00F60A43">
              <w:rPr>
                <w:rFonts w:ascii="Avenir LT 45 Book" w:eastAsia="Calibri" w:hAnsi="Avenir LT 45 Book" w:cs="Arial"/>
                <w:sz w:val="20"/>
                <w:szCs w:val="20"/>
              </w:rPr>
              <w:t xml:space="preserve"> the following criteria:</w:t>
            </w:r>
          </w:p>
        </w:tc>
      </w:tr>
      <w:tr w:rsidR="00B46EF1" w:rsidRPr="00842387" w14:paraId="2C52B978" w14:textId="77777777" w:rsidTr="00F60A43">
        <w:tc>
          <w:tcPr>
            <w:tcW w:w="4815" w:type="dxa"/>
            <w:shd w:val="clear" w:color="auto" w:fill="auto"/>
          </w:tcPr>
          <w:p w14:paraId="4B4B16AC" w14:textId="77777777" w:rsidR="00B46EF1" w:rsidRPr="00F60A43" w:rsidRDefault="00B46EF1" w:rsidP="00F60A43">
            <w:pPr>
              <w:spacing w:after="120" w:line="360" w:lineRule="auto"/>
              <w:rPr>
                <w:rFonts w:ascii="Avenir LT 45 Book" w:eastAsia="Calibri" w:hAnsi="Avenir LT 45 Book" w:cs="Arial"/>
                <w:sz w:val="20"/>
                <w:szCs w:val="20"/>
              </w:rPr>
            </w:pPr>
            <w:r w:rsidRPr="00F60A43">
              <w:rPr>
                <w:rFonts w:ascii="Avenir LT 45 Book" w:eastAsia="Calibri" w:hAnsi="Avenir LT 45 Book" w:cs="Arial"/>
                <w:sz w:val="20"/>
                <w:szCs w:val="20"/>
              </w:rPr>
              <w:t xml:space="preserve">Degree of change (positive and negative) on the place </w:t>
            </w:r>
            <w:proofErr w:type="gramStart"/>
            <w:r w:rsidRPr="00F60A43">
              <w:rPr>
                <w:rFonts w:ascii="Avenir LT 45 Book" w:eastAsia="Calibri" w:hAnsi="Avenir LT 45 Book" w:cs="Arial"/>
                <w:sz w:val="20"/>
                <w:szCs w:val="20"/>
              </w:rPr>
              <w:t>in light of</w:t>
            </w:r>
            <w:proofErr w:type="gramEnd"/>
            <w:r w:rsidRPr="00F60A43">
              <w:rPr>
                <w:rFonts w:ascii="Avenir LT 45 Book" w:eastAsia="Calibri" w:hAnsi="Avenir LT 45 Book" w:cs="Arial"/>
                <w:sz w:val="20"/>
                <w:szCs w:val="20"/>
              </w:rPr>
              <w:t xml:space="preserve"> its heritage significance.</w:t>
            </w:r>
          </w:p>
        </w:tc>
        <w:tc>
          <w:tcPr>
            <w:tcW w:w="4041" w:type="dxa"/>
            <w:shd w:val="clear" w:color="auto" w:fill="auto"/>
          </w:tcPr>
          <w:p w14:paraId="1AB1A6A5" w14:textId="77777777" w:rsidR="00B46EF1" w:rsidRPr="00842387" w:rsidRDefault="00B46EF1" w:rsidP="008048CE">
            <w:pPr>
              <w:rPr>
                <w:rFonts w:cs="Arial"/>
                <w:szCs w:val="20"/>
              </w:rPr>
            </w:pPr>
          </w:p>
        </w:tc>
      </w:tr>
      <w:tr w:rsidR="00B46EF1" w:rsidRPr="00842387" w14:paraId="7DA7577D" w14:textId="77777777" w:rsidTr="00F60A43">
        <w:tc>
          <w:tcPr>
            <w:tcW w:w="4815" w:type="dxa"/>
            <w:shd w:val="clear" w:color="auto" w:fill="auto"/>
          </w:tcPr>
          <w:p w14:paraId="7CA20CE7" w14:textId="77777777" w:rsidR="00B46EF1" w:rsidRPr="00F60A43" w:rsidRDefault="00B46EF1" w:rsidP="00F60A43">
            <w:pPr>
              <w:spacing w:after="120" w:line="360" w:lineRule="auto"/>
              <w:rPr>
                <w:rFonts w:ascii="Avenir LT 45 Book" w:eastAsia="Calibri" w:hAnsi="Avenir LT 45 Book" w:cs="Arial"/>
                <w:sz w:val="20"/>
                <w:szCs w:val="20"/>
              </w:rPr>
            </w:pPr>
            <w:r w:rsidRPr="00F60A43">
              <w:rPr>
                <w:rFonts w:ascii="Avenir LT 45 Book" w:eastAsia="Calibri" w:hAnsi="Avenir LT 45 Book" w:cs="Arial"/>
                <w:sz w:val="20"/>
                <w:szCs w:val="20"/>
              </w:rPr>
              <w:t>Degree of permanent impact (irreversible loss of value) that the proposal is likely to have on the heritage significance of the place.</w:t>
            </w:r>
          </w:p>
        </w:tc>
        <w:tc>
          <w:tcPr>
            <w:tcW w:w="4041" w:type="dxa"/>
            <w:shd w:val="clear" w:color="auto" w:fill="auto"/>
          </w:tcPr>
          <w:p w14:paraId="6FD5F1BA" w14:textId="77777777" w:rsidR="00B46EF1" w:rsidRPr="00842387" w:rsidRDefault="00B46EF1" w:rsidP="008048CE">
            <w:pPr>
              <w:rPr>
                <w:rFonts w:cs="Arial"/>
                <w:szCs w:val="20"/>
              </w:rPr>
            </w:pPr>
          </w:p>
        </w:tc>
      </w:tr>
      <w:tr w:rsidR="00B46EF1" w:rsidRPr="00842387" w14:paraId="4C3F5BA5" w14:textId="77777777" w:rsidTr="00F60A43">
        <w:tc>
          <w:tcPr>
            <w:tcW w:w="4815" w:type="dxa"/>
            <w:shd w:val="clear" w:color="auto" w:fill="auto"/>
          </w:tcPr>
          <w:p w14:paraId="17D45E68" w14:textId="77777777" w:rsidR="00B46EF1" w:rsidRPr="00F60A43" w:rsidRDefault="00B46EF1" w:rsidP="00F60A43">
            <w:pPr>
              <w:spacing w:after="120" w:line="360" w:lineRule="auto"/>
              <w:rPr>
                <w:rFonts w:ascii="Avenir LT 45 Book" w:eastAsia="Calibri" w:hAnsi="Avenir LT 45 Book" w:cs="Arial"/>
                <w:sz w:val="20"/>
                <w:szCs w:val="20"/>
              </w:rPr>
            </w:pPr>
            <w:r w:rsidRPr="00F60A43">
              <w:rPr>
                <w:rFonts w:ascii="Avenir LT 45 Book" w:eastAsia="Calibri" w:hAnsi="Avenir LT 45 Book" w:cs="Arial"/>
                <w:sz w:val="20"/>
                <w:szCs w:val="20"/>
              </w:rPr>
              <w:t>Compatibility with heritage building in terms of scale, bulk, height – the degree to which the proposal dominates, is integrated with, or is subservient to a heritage place.</w:t>
            </w:r>
          </w:p>
        </w:tc>
        <w:tc>
          <w:tcPr>
            <w:tcW w:w="4041" w:type="dxa"/>
            <w:shd w:val="clear" w:color="auto" w:fill="auto"/>
          </w:tcPr>
          <w:p w14:paraId="49368955" w14:textId="77777777" w:rsidR="00B46EF1" w:rsidRPr="00842387" w:rsidRDefault="00B46EF1" w:rsidP="008048CE">
            <w:pPr>
              <w:rPr>
                <w:rFonts w:cs="Arial"/>
                <w:szCs w:val="20"/>
              </w:rPr>
            </w:pPr>
          </w:p>
        </w:tc>
      </w:tr>
      <w:tr w:rsidR="00B46EF1" w:rsidRPr="00842387" w14:paraId="086D75FF" w14:textId="77777777" w:rsidTr="00F60A43">
        <w:tc>
          <w:tcPr>
            <w:tcW w:w="4815" w:type="dxa"/>
            <w:shd w:val="clear" w:color="auto" w:fill="auto"/>
          </w:tcPr>
          <w:p w14:paraId="35AB93A5" w14:textId="77777777" w:rsidR="00B46EF1" w:rsidRPr="00F60A43" w:rsidRDefault="00B46EF1" w:rsidP="00F60A43">
            <w:pPr>
              <w:spacing w:after="120" w:line="360" w:lineRule="auto"/>
              <w:rPr>
                <w:rFonts w:ascii="Avenir LT 45 Book" w:eastAsia="Calibri" w:hAnsi="Avenir LT 45 Book" w:cs="Arial"/>
                <w:sz w:val="20"/>
                <w:szCs w:val="20"/>
              </w:rPr>
            </w:pPr>
            <w:r w:rsidRPr="00F60A43">
              <w:rPr>
                <w:rFonts w:ascii="Avenir LT 45 Book" w:eastAsia="Calibri" w:hAnsi="Avenir LT 45 Book" w:cs="Arial"/>
                <w:sz w:val="20"/>
                <w:szCs w:val="20"/>
              </w:rPr>
              <w:t>Compatibility with the streetscape and/or heritage area in terms of the siting, local architectural patterns, and the degree of harmonised integration of old and new. Compatibility with viewsheds.</w:t>
            </w:r>
          </w:p>
        </w:tc>
        <w:tc>
          <w:tcPr>
            <w:tcW w:w="4041" w:type="dxa"/>
            <w:shd w:val="clear" w:color="auto" w:fill="auto"/>
          </w:tcPr>
          <w:p w14:paraId="124BFE74" w14:textId="77777777" w:rsidR="00B46EF1" w:rsidRPr="00842387" w:rsidRDefault="00B46EF1" w:rsidP="008048CE">
            <w:pPr>
              <w:rPr>
                <w:rFonts w:cs="Arial"/>
                <w:szCs w:val="20"/>
              </w:rPr>
            </w:pPr>
          </w:p>
        </w:tc>
      </w:tr>
      <w:tr w:rsidR="00B46EF1" w:rsidRPr="00842387" w14:paraId="640BBD0F" w14:textId="77777777" w:rsidTr="00F60A43">
        <w:tc>
          <w:tcPr>
            <w:tcW w:w="4815" w:type="dxa"/>
            <w:shd w:val="clear" w:color="auto" w:fill="auto"/>
          </w:tcPr>
          <w:p w14:paraId="6A54608C" w14:textId="77777777" w:rsidR="00B46EF1" w:rsidRPr="00F60A43" w:rsidRDefault="00B46EF1" w:rsidP="00F60A43">
            <w:pPr>
              <w:spacing w:after="120" w:line="360" w:lineRule="auto"/>
              <w:rPr>
                <w:rFonts w:ascii="Avenir LT 45 Book" w:eastAsia="Calibri" w:hAnsi="Avenir LT 45 Book" w:cs="Arial"/>
                <w:sz w:val="20"/>
                <w:szCs w:val="20"/>
              </w:rPr>
            </w:pPr>
            <w:r w:rsidRPr="00F60A43">
              <w:rPr>
                <w:rFonts w:ascii="Avenir LT 45 Book" w:eastAsia="Calibri" w:hAnsi="Avenir LT 45 Book" w:cs="Arial"/>
                <w:sz w:val="20"/>
                <w:szCs w:val="20"/>
              </w:rPr>
              <w:t xml:space="preserve">Compatibility with heritage building in terms of the design solutions and architectural language such as refinement and finesse of detailing, texture, materials, finishes and quality of craftsmanship. </w:t>
            </w:r>
          </w:p>
        </w:tc>
        <w:tc>
          <w:tcPr>
            <w:tcW w:w="4041" w:type="dxa"/>
            <w:shd w:val="clear" w:color="auto" w:fill="auto"/>
          </w:tcPr>
          <w:p w14:paraId="4208BB71" w14:textId="77777777" w:rsidR="00B46EF1" w:rsidRPr="00842387" w:rsidRDefault="00B46EF1" w:rsidP="008048CE">
            <w:pPr>
              <w:rPr>
                <w:rFonts w:cs="Arial"/>
                <w:szCs w:val="20"/>
              </w:rPr>
            </w:pPr>
          </w:p>
        </w:tc>
      </w:tr>
      <w:tr w:rsidR="00B46EF1" w:rsidRPr="00842387" w14:paraId="168F910C" w14:textId="77777777" w:rsidTr="00F60A43">
        <w:tc>
          <w:tcPr>
            <w:tcW w:w="4815" w:type="dxa"/>
            <w:shd w:val="clear" w:color="auto" w:fill="auto"/>
          </w:tcPr>
          <w:p w14:paraId="3160CE94" w14:textId="77777777" w:rsidR="00B46EF1" w:rsidRPr="00F60A43" w:rsidRDefault="00B46EF1" w:rsidP="00F60A43">
            <w:pPr>
              <w:spacing w:after="120" w:line="360" w:lineRule="auto"/>
              <w:rPr>
                <w:rFonts w:ascii="Avenir LT 45 Book" w:eastAsia="Calibri" w:hAnsi="Avenir LT 45 Book" w:cs="Arial"/>
                <w:sz w:val="20"/>
                <w:szCs w:val="20"/>
              </w:rPr>
            </w:pPr>
            <w:r w:rsidRPr="00F60A43">
              <w:rPr>
                <w:rFonts w:ascii="Avenir LT 45 Book" w:eastAsia="Calibri" w:hAnsi="Avenir LT 45 Book" w:cs="Arial"/>
                <w:sz w:val="20"/>
                <w:szCs w:val="20"/>
              </w:rPr>
              <w:t>Degree of impact on the important public views, vistas, landmarks, landscape features.</w:t>
            </w:r>
          </w:p>
        </w:tc>
        <w:tc>
          <w:tcPr>
            <w:tcW w:w="4041" w:type="dxa"/>
            <w:shd w:val="clear" w:color="auto" w:fill="auto"/>
          </w:tcPr>
          <w:p w14:paraId="69E1CD58" w14:textId="77777777" w:rsidR="00B46EF1" w:rsidRPr="00842387" w:rsidRDefault="00B46EF1" w:rsidP="008048CE">
            <w:pPr>
              <w:rPr>
                <w:rFonts w:cs="Arial"/>
                <w:szCs w:val="20"/>
              </w:rPr>
            </w:pPr>
          </w:p>
        </w:tc>
      </w:tr>
    </w:tbl>
    <w:p w14:paraId="1CBC384D" w14:textId="77777777" w:rsidR="00B46EF1" w:rsidRPr="00F60A43" w:rsidRDefault="00B46EF1" w:rsidP="00F60A43">
      <w:pPr>
        <w:spacing w:line="360" w:lineRule="auto"/>
        <w:jc w:val="center"/>
        <w:rPr>
          <w:rFonts w:ascii="Avenir LT 45 Book" w:eastAsia="Calibri" w:hAnsi="Avenir LT 45 Book" w:cs="Arial"/>
          <w:sz w:val="20"/>
          <w:szCs w:val="20"/>
        </w:rPr>
      </w:pPr>
    </w:p>
    <w:p w14:paraId="7BC8ABA0" w14:textId="77777777" w:rsidR="00B46EF1" w:rsidRPr="00F60A43" w:rsidRDefault="00F60A43" w:rsidP="00F60A43">
      <w:pPr>
        <w:spacing w:line="360" w:lineRule="auto"/>
        <w:jc w:val="center"/>
        <w:rPr>
          <w:rFonts w:ascii="Avenir LT 45 Book" w:eastAsia="Calibri" w:hAnsi="Avenir LT 45 Book" w:cs="Arial"/>
          <w:sz w:val="20"/>
          <w:szCs w:val="20"/>
        </w:rPr>
      </w:pPr>
      <w:r>
        <w:rPr>
          <w:rFonts w:cs="Arial"/>
          <w:noProof/>
          <w:szCs w:val="20"/>
          <w:lang w:eastAsia="en-AU"/>
        </w:rPr>
        <mc:AlternateContent>
          <mc:Choice Requires="wps">
            <w:drawing>
              <wp:anchor distT="0" distB="0" distL="114300" distR="114300" simplePos="0" relativeHeight="251616256" behindDoc="0" locked="0" layoutInCell="1" allowOverlap="1" wp14:anchorId="4503F944" wp14:editId="447E780D">
                <wp:simplePos x="0" y="0"/>
                <wp:positionH relativeFrom="margin">
                  <wp:align>center</wp:align>
                </wp:positionH>
                <wp:positionV relativeFrom="paragraph">
                  <wp:posOffset>238760</wp:posOffset>
                </wp:positionV>
                <wp:extent cx="2200910" cy="1935480"/>
                <wp:effectExtent l="0" t="0" r="27940" b="26670"/>
                <wp:wrapNone/>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1935480"/>
                        </a:xfrm>
                        <a:prstGeom prst="rect">
                          <a:avLst/>
                        </a:prstGeom>
                        <a:solidFill>
                          <a:srgbClr val="FFFFFF"/>
                        </a:solidFill>
                        <a:ln w="9525">
                          <a:solidFill>
                            <a:srgbClr val="000000"/>
                          </a:solidFill>
                          <a:miter lim="800000"/>
                          <a:headEnd/>
                          <a:tailEnd/>
                        </a:ln>
                      </wps:spPr>
                      <wps:txbx>
                        <w:txbxContent>
                          <w:p w14:paraId="754C2FA7" w14:textId="77777777" w:rsidR="00FD55D7" w:rsidRPr="00F60A43" w:rsidRDefault="00FD55D7" w:rsidP="00F60A43">
                            <w:pPr>
                              <w:spacing w:before="1400" w:line="360" w:lineRule="auto"/>
                              <w:jc w:val="center"/>
                              <w:rPr>
                                <w:rFonts w:ascii="Avenir LT 45 Book" w:eastAsia="Calibri" w:hAnsi="Avenir LT 45 Book"/>
                                <w:sz w:val="28"/>
                                <w:szCs w:val="28"/>
                              </w:rPr>
                            </w:pPr>
                            <w:r w:rsidRPr="00F60A43">
                              <w:rPr>
                                <w:rFonts w:ascii="Avenir LT 45 Book" w:eastAsia="Calibri" w:hAnsi="Avenir LT 45 Book"/>
                                <w:sz w:val="28"/>
                                <w:szCs w:val="28"/>
                              </w:rPr>
                              <w:t>Photo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03F944" id="_x0000_s1163" type="#_x0000_t202" style="position:absolute;left:0;text-align:left;margin-left:0;margin-top:18.8pt;width:173.3pt;height:152.4pt;z-index:251616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">
                <v:textbox>
                  <w:txbxContent>
                    <w:p w14:paraId="754C2FA7" w14:textId="77777777" w:rsidR="00FD55D7" w:rsidRPr="00F60A43" w:rsidRDefault="00FD55D7" w:rsidP="00F60A43">
                      <w:pPr>
                        <w:spacing w:before="1400" w:line="360" w:lineRule="auto"/>
                        <w:jc w:val="center"/>
                        <w:rPr>
                          <w:rFonts w:ascii="Avenir LT 45 Book" w:eastAsia="Calibri" w:hAnsi="Avenir LT 45 Book"/>
                          <w:sz w:val="28"/>
                          <w:szCs w:val="28"/>
                        </w:rPr>
                      </w:pPr>
                      <w:r w:rsidRPr="00F60A43">
                        <w:rPr>
                          <w:rFonts w:ascii="Avenir LT 45 Book" w:eastAsia="Calibri" w:hAnsi="Avenir LT 45 Book"/>
                          <w:sz w:val="28"/>
                          <w:szCs w:val="28"/>
                        </w:rPr>
                        <w:t>Photo 1</w:t>
                      </w:r>
                    </w:p>
                  </w:txbxContent>
                </v:textbox>
                <w10:wrap anchorx="margin"/>
              </v:shape>
            </w:pict>
          </mc:Fallback>
        </mc:AlternateContent>
      </w:r>
      <w:r w:rsidR="00B46EF1" w:rsidRPr="00F60A43">
        <w:rPr>
          <w:rFonts w:ascii="Avenir LT 45 Book" w:eastAsia="Calibri" w:hAnsi="Avenir LT 45 Book" w:cs="Arial"/>
          <w:sz w:val="20"/>
          <w:szCs w:val="20"/>
        </w:rPr>
        <w:t>INSERT PICTURES OF EXISTING BUILDING</w:t>
      </w:r>
    </w:p>
    <w:p w14:paraId="5C6D082B" w14:textId="77777777" w:rsidR="00B46EF1" w:rsidRPr="00842387" w:rsidRDefault="00B46EF1" w:rsidP="00B46EF1">
      <w:pPr>
        <w:jc w:val="center"/>
        <w:rPr>
          <w:rFonts w:cs="Arial"/>
          <w:szCs w:val="20"/>
        </w:rPr>
      </w:pPr>
    </w:p>
    <w:p w14:paraId="5DDF3AF4" w14:textId="77777777" w:rsidR="00B46EF1" w:rsidRPr="00842387" w:rsidRDefault="00B46EF1" w:rsidP="00B46EF1">
      <w:pPr>
        <w:spacing w:after="120"/>
        <w:rPr>
          <w:rFonts w:cs="Arial"/>
          <w:szCs w:val="20"/>
        </w:rPr>
      </w:pPr>
    </w:p>
    <w:p w14:paraId="57E57A9B" w14:textId="77777777" w:rsidR="00B46EF1" w:rsidRPr="00842387" w:rsidRDefault="00B46EF1" w:rsidP="00B46EF1">
      <w:pPr>
        <w:spacing w:after="120"/>
        <w:rPr>
          <w:rFonts w:cs="Arial"/>
          <w:szCs w:val="20"/>
        </w:rPr>
      </w:pPr>
    </w:p>
    <w:p w14:paraId="199D6F97" w14:textId="77777777" w:rsidR="00B46EF1" w:rsidRPr="00842387" w:rsidRDefault="00B46EF1" w:rsidP="00B46EF1">
      <w:pPr>
        <w:spacing w:after="120"/>
        <w:rPr>
          <w:rFonts w:cs="Arial"/>
          <w:szCs w:val="20"/>
        </w:rPr>
      </w:pPr>
    </w:p>
    <w:p w14:paraId="47CEC12E" w14:textId="77777777" w:rsidR="00B46EF1" w:rsidRPr="00842387" w:rsidRDefault="00B46EF1" w:rsidP="00B46EF1">
      <w:pPr>
        <w:spacing w:after="120"/>
        <w:rPr>
          <w:rFonts w:cs="Arial"/>
          <w:szCs w:val="20"/>
        </w:rPr>
      </w:pPr>
    </w:p>
    <w:p w14:paraId="61D5ECEE" w14:textId="77777777" w:rsidR="00B46EF1" w:rsidRPr="00842387" w:rsidRDefault="00B46EF1" w:rsidP="00B46EF1">
      <w:pPr>
        <w:jc w:val="center"/>
        <w:rPr>
          <w:rFonts w:cs="Arial"/>
          <w:szCs w:val="20"/>
        </w:rPr>
      </w:pPr>
      <w:r w:rsidRPr="00842387">
        <w:rPr>
          <w:rFonts w:cs="Arial"/>
          <w:szCs w:val="20"/>
        </w:rPr>
        <w:t>Photo 1 – Street façade photo 1</w:t>
      </w:r>
    </w:p>
    <w:p w14:paraId="526F74D8" w14:textId="77777777" w:rsidR="00EC605B" w:rsidRDefault="00EC605B">
      <w:pPr>
        <w:rPr>
          <w:rFonts w:cs="Arial"/>
          <w:szCs w:val="20"/>
        </w:rPr>
      </w:pPr>
      <w:r>
        <w:rPr>
          <w:rFonts w:cs="Arial"/>
          <w:szCs w:val="20"/>
        </w:rPr>
        <w:br w:type="page"/>
      </w:r>
    </w:p>
    <w:p w14:paraId="66EF63E4" w14:textId="40F6AD9F" w:rsidR="00B46EF1" w:rsidRPr="00842387" w:rsidRDefault="00B46EF1" w:rsidP="00B46EF1">
      <w:pPr>
        <w:rPr>
          <w:rFonts w:cs="Arial"/>
          <w:szCs w:val="20"/>
        </w:rPr>
      </w:pPr>
      <w:r>
        <w:rPr>
          <w:rFonts w:cs="Arial"/>
          <w:noProof/>
          <w:szCs w:val="20"/>
          <w:lang w:eastAsia="en-AU"/>
        </w:rPr>
        <w:lastRenderedPageBreak/>
        <mc:AlternateContent>
          <mc:Choice Requires="wps">
            <w:drawing>
              <wp:anchor distT="0" distB="0" distL="114300" distR="114300" simplePos="0" relativeHeight="251617280" behindDoc="0" locked="0" layoutInCell="1" allowOverlap="1" wp14:anchorId="42D0561A" wp14:editId="4D83F2F2">
                <wp:simplePos x="0" y="0"/>
                <wp:positionH relativeFrom="column">
                  <wp:posOffset>1724660</wp:posOffset>
                </wp:positionH>
                <wp:positionV relativeFrom="paragraph">
                  <wp:posOffset>338455</wp:posOffset>
                </wp:positionV>
                <wp:extent cx="2274570" cy="2068830"/>
                <wp:effectExtent l="0" t="0" r="0" b="7620"/>
                <wp:wrapNone/>
                <wp:docPr id="13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4570" cy="2068830"/>
                        </a:xfrm>
                        <a:prstGeom prst="rect">
                          <a:avLst/>
                        </a:prstGeom>
                        <a:solidFill>
                          <a:srgbClr val="FFFFFF"/>
                        </a:solidFill>
                        <a:ln w="9525">
                          <a:solidFill>
                            <a:srgbClr val="000000"/>
                          </a:solidFill>
                          <a:miter lim="800000"/>
                          <a:headEnd/>
                          <a:tailEnd/>
                        </a:ln>
                      </wps:spPr>
                      <wps:txbx>
                        <w:txbxContent>
                          <w:p w14:paraId="06212948" w14:textId="77777777" w:rsidR="00FD55D7" w:rsidRDefault="00FD55D7" w:rsidP="00B46EF1">
                            <w:pPr>
                              <w:spacing w:before="1400"/>
                              <w:jc w:val="center"/>
                            </w:pPr>
                            <w:r w:rsidRPr="00A622CA">
                              <w:rPr>
                                <w:sz w:val="28"/>
                                <w:szCs w:val="28"/>
                              </w:rPr>
                              <w:t xml:space="preserve">Photo </w:t>
                            </w:r>
                            <w:r>
                              <w:rPr>
                                <w:sz w:val="28"/>
                                <w:szCs w:val="28"/>
                              </w:rPr>
                              <w:t>2</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42D0561A" id="Text Box 3" o:spid="_x0000_s1164" type="#_x0000_t202" style="position:absolute;margin-left:135.8pt;margin-top:26.65pt;width:179.1pt;height:162.9pt;z-index:2516172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">
                <v:textbox>
                  <w:txbxContent>
                    <w:p w14:paraId="06212948" w14:textId="77777777" w:rsidR="00FD55D7" w:rsidRDefault="00FD55D7" w:rsidP="00B46EF1">
                      <w:pPr>
                        <w:spacing w:before="1400"/>
                        <w:jc w:val="center"/>
                      </w:pPr>
                      <w:r w:rsidRPr="00A622CA">
                        <w:rPr>
                          <w:sz w:val="28"/>
                          <w:szCs w:val="28"/>
                        </w:rPr>
                        <w:t xml:space="preserve">Photo </w:t>
                      </w:r>
                      <w:r>
                        <w:rPr>
                          <w:sz w:val="28"/>
                          <w:szCs w:val="28"/>
                        </w:rPr>
                        <w:t>2</w:t>
                      </w:r>
                    </w:p>
                  </w:txbxContent>
                </v:textbox>
              </v:shape>
            </w:pict>
          </mc:Fallback>
        </mc:AlternateContent>
      </w:r>
    </w:p>
    <w:p w14:paraId="08D7FE38" w14:textId="77777777" w:rsidR="00B46EF1" w:rsidRPr="00842387" w:rsidRDefault="00B46EF1" w:rsidP="00B46EF1">
      <w:pPr>
        <w:rPr>
          <w:rFonts w:cs="Arial"/>
          <w:szCs w:val="20"/>
        </w:rPr>
      </w:pPr>
    </w:p>
    <w:p w14:paraId="61405C65" w14:textId="77777777" w:rsidR="00B46EF1" w:rsidRPr="00842387" w:rsidRDefault="00B46EF1" w:rsidP="00B46EF1">
      <w:pPr>
        <w:rPr>
          <w:rFonts w:cs="Arial"/>
          <w:szCs w:val="20"/>
        </w:rPr>
      </w:pPr>
    </w:p>
    <w:p w14:paraId="7D25756A" w14:textId="77777777" w:rsidR="00B46EF1" w:rsidRPr="00842387" w:rsidRDefault="00B46EF1" w:rsidP="00B46EF1">
      <w:pPr>
        <w:rPr>
          <w:rFonts w:cs="Arial"/>
          <w:szCs w:val="20"/>
        </w:rPr>
      </w:pPr>
    </w:p>
    <w:p w14:paraId="211664D6" w14:textId="77777777" w:rsidR="00B46EF1" w:rsidRPr="00842387" w:rsidRDefault="00B46EF1" w:rsidP="00B46EF1">
      <w:pPr>
        <w:rPr>
          <w:rFonts w:cs="Arial"/>
          <w:szCs w:val="20"/>
        </w:rPr>
      </w:pPr>
    </w:p>
    <w:p w14:paraId="73272CFF" w14:textId="77777777" w:rsidR="00B46EF1" w:rsidRPr="00842387" w:rsidRDefault="00B46EF1" w:rsidP="00B46EF1">
      <w:pPr>
        <w:rPr>
          <w:rFonts w:cs="Arial"/>
          <w:szCs w:val="20"/>
        </w:rPr>
      </w:pPr>
    </w:p>
    <w:p w14:paraId="40F628E0" w14:textId="77777777" w:rsidR="00B46EF1" w:rsidRPr="00842387" w:rsidRDefault="00B46EF1" w:rsidP="00B46EF1">
      <w:pPr>
        <w:rPr>
          <w:rFonts w:cs="Arial"/>
          <w:szCs w:val="20"/>
        </w:rPr>
      </w:pPr>
    </w:p>
    <w:p w14:paraId="3E8AE521" w14:textId="77777777" w:rsidR="00B46EF1" w:rsidRPr="00842387" w:rsidRDefault="00B46EF1" w:rsidP="00B46EF1">
      <w:pPr>
        <w:jc w:val="center"/>
        <w:rPr>
          <w:rFonts w:cs="Arial"/>
          <w:szCs w:val="20"/>
        </w:rPr>
      </w:pPr>
      <w:r w:rsidRPr="00842387">
        <w:rPr>
          <w:rFonts w:cs="Arial"/>
          <w:szCs w:val="20"/>
        </w:rPr>
        <w:t>Photo 2 – Street façade photo 2</w:t>
      </w:r>
    </w:p>
    <w:p w14:paraId="7184EEF6" w14:textId="77777777" w:rsidR="00B46EF1" w:rsidRPr="00842387" w:rsidRDefault="00B46EF1" w:rsidP="00B46EF1">
      <w:pPr>
        <w:rPr>
          <w:rFonts w:cs="Arial"/>
          <w:szCs w:val="20"/>
        </w:rPr>
      </w:pPr>
    </w:p>
    <w:p w14:paraId="13D05A9E" w14:textId="77777777" w:rsidR="00B46EF1" w:rsidRPr="00842387" w:rsidRDefault="00B46EF1" w:rsidP="00B46EF1">
      <w:pPr>
        <w:rPr>
          <w:rFonts w:cs="Arial"/>
          <w:szCs w:val="20"/>
        </w:rPr>
      </w:pPr>
    </w:p>
    <w:p w14:paraId="3B310DA1" w14:textId="77777777" w:rsidR="00B46EF1" w:rsidRPr="00842387" w:rsidRDefault="00B46EF1" w:rsidP="00B46EF1">
      <w:pPr>
        <w:rPr>
          <w:rFonts w:cs="Arial"/>
          <w:szCs w:val="20"/>
        </w:rPr>
      </w:pPr>
    </w:p>
    <w:p w14:paraId="63E4B619" w14:textId="77777777" w:rsidR="00B46EF1" w:rsidRPr="00842387" w:rsidRDefault="00B46EF1" w:rsidP="00B46EF1">
      <w:pPr>
        <w:rPr>
          <w:rFonts w:cs="Arial"/>
          <w:szCs w:val="20"/>
        </w:rPr>
        <w:sectPr w:rsidR="00B46EF1" w:rsidRPr="00842387" w:rsidSect="008048CE">
          <w:footerReference w:type="default" r:id="rId282"/>
          <w:pgSz w:w="11906" w:h="16838"/>
          <w:pgMar w:top="1440" w:right="1440" w:bottom="1440" w:left="1440" w:header="708" w:footer="708" w:gutter="0"/>
          <w:cols w:space="708"/>
          <w:docGrid w:linePitch="360"/>
        </w:sectPr>
      </w:pPr>
    </w:p>
    <w:p w14:paraId="582ACA67" w14:textId="730491B4" w:rsidR="00B46EF1" w:rsidRPr="00F60A43" w:rsidRDefault="00B46EF1" w:rsidP="002A3889">
      <w:pPr>
        <w:pStyle w:val="Heading2"/>
        <w:keepNext w:val="0"/>
        <w:keepLines w:val="0"/>
        <w:numPr>
          <w:ilvl w:val="1"/>
          <w:numId w:val="273"/>
        </w:numPr>
        <w:autoSpaceDE w:val="0"/>
        <w:autoSpaceDN w:val="0"/>
        <w:spacing w:before="0" w:after="200" w:line="360" w:lineRule="auto"/>
        <w:jc w:val="both"/>
        <w:rPr>
          <w:rFonts w:ascii="Avenir LT 65 Medium" w:eastAsia="Times New Roman" w:hAnsi="Avenir LT 65 Medium" w:cs="Times New Roman"/>
          <w:b w:val="0"/>
          <w:color w:val="000000"/>
          <w:sz w:val="22"/>
          <w:szCs w:val="24"/>
          <w:lang w:val="en-US"/>
        </w:rPr>
      </w:pPr>
      <w:bookmarkStart w:id="476" w:name="_Toc452727457"/>
      <w:r w:rsidRPr="00F60A43">
        <w:rPr>
          <w:rFonts w:ascii="Avenir LT 65 Medium" w:eastAsia="Times New Roman" w:hAnsi="Avenir LT 65 Medium" w:cs="Times New Roman"/>
          <w:b w:val="0"/>
          <w:color w:val="000000"/>
          <w:sz w:val="22"/>
          <w:szCs w:val="24"/>
          <w:lang w:val="en-US"/>
        </w:rPr>
        <w:lastRenderedPageBreak/>
        <w:t>GLOSSARY</w:t>
      </w:r>
      <w:bookmarkEnd w:id="476"/>
    </w:p>
    <w:p w14:paraId="7CA3ABC7"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 xml:space="preserve">Unless the context otherwise requires, words and expressions used in this Local Planning Policy have the same meaning as they have: </w:t>
      </w:r>
    </w:p>
    <w:p w14:paraId="2E01F3BF" w14:textId="77777777" w:rsidR="00B46EF1" w:rsidRPr="00F60A43" w:rsidRDefault="00B46EF1" w:rsidP="002A3889">
      <w:pPr>
        <w:pStyle w:val="ListParagraph"/>
        <w:numPr>
          <w:ilvl w:val="0"/>
          <w:numId w:val="74"/>
        </w:numPr>
        <w:spacing w:line="360" w:lineRule="auto"/>
        <w:rPr>
          <w:rFonts w:ascii="Avenir LT 45 Book" w:eastAsia="Calibri" w:hAnsi="Avenir LT 45 Book" w:cs="Times New Roman"/>
          <w:sz w:val="20"/>
        </w:rPr>
      </w:pPr>
      <w:r w:rsidRPr="00F60A43">
        <w:rPr>
          <w:rFonts w:ascii="Avenir LT 45 Book" w:eastAsia="Calibri" w:hAnsi="Avenir LT 45 Book" w:cs="Times New Roman"/>
          <w:sz w:val="20"/>
        </w:rPr>
        <w:t xml:space="preserve">Planning and Development Act 2005, </w:t>
      </w:r>
    </w:p>
    <w:p w14:paraId="1BF0A302" w14:textId="77777777" w:rsidR="00B46EF1" w:rsidRPr="00F60A43" w:rsidRDefault="00B46EF1" w:rsidP="002A3889">
      <w:pPr>
        <w:pStyle w:val="ListParagraph"/>
        <w:numPr>
          <w:ilvl w:val="0"/>
          <w:numId w:val="74"/>
        </w:numPr>
        <w:spacing w:line="360" w:lineRule="auto"/>
        <w:rPr>
          <w:rFonts w:ascii="Avenir LT 45 Book" w:eastAsia="Calibri" w:hAnsi="Avenir LT 45 Book" w:cs="Times New Roman"/>
          <w:sz w:val="20"/>
        </w:rPr>
      </w:pPr>
      <w:r w:rsidRPr="00F60A43">
        <w:rPr>
          <w:rFonts w:ascii="Avenir LT 45 Book" w:eastAsia="Calibri" w:hAnsi="Avenir LT 45 Book" w:cs="Times New Roman"/>
          <w:sz w:val="20"/>
        </w:rPr>
        <w:t>Residential Design Codes,</w:t>
      </w:r>
    </w:p>
    <w:p w14:paraId="79AA352D" w14:textId="77777777" w:rsidR="00B46EF1" w:rsidRPr="00F60A43" w:rsidRDefault="00B46EF1" w:rsidP="002A3889">
      <w:pPr>
        <w:pStyle w:val="ListParagraph"/>
        <w:numPr>
          <w:ilvl w:val="0"/>
          <w:numId w:val="74"/>
        </w:numPr>
        <w:spacing w:line="360" w:lineRule="auto"/>
        <w:rPr>
          <w:rFonts w:ascii="Avenir LT 45 Book" w:eastAsia="Calibri" w:hAnsi="Avenir LT 45 Book" w:cs="Times New Roman"/>
          <w:sz w:val="20"/>
        </w:rPr>
      </w:pPr>
      <w:r w:rsidRPr="00F60A43">
        <w:rPr>
          <w:rFonts w:ascii="Avenir LT 45 Book" w:eastAsia="Calibri" w:hAnsi="Avenir LT 45 Book" w:cs="Times New Roman"/>
          <w:sz w:val="20"/>
        </w:rPr>
        <w:t>Building Code of Australia,</w:t>
      </w:r>
    </w:p>
    <w:p w14:paraId="11C6FB0F" w14:textId="77777777" w:rsidR="00B46EF1" w:rsidRPr="00F60A43" w:rsidRDefault="00B46EF1" w:rsidP="002A3889">
      <w:pPr>
        <w:pStyle w:val="ListParagraph"/>
        <w:numPr>
          <w:ilvl w:val="0"/>
          <w:numId w:val="74"/>
        </w:numPr>
        <w:spacing w:line="360" w:lineRule="auto"/>
        <w:rPr>
          <w:rFonts w:ascii="Avenir LT 45 Book" w:eastAsia="Calibri" w:hAnsi="Avenir LT 45 Book" w:cs="Times New Roman"/>
          <w:sz w:val="20"/>
        </w:rPr>
      </w:pPr>
      <w:r w:rsidRPr="00F60A43">
        <w:rPr>
          <w:rFonts w:ascii="Avenir LT 45 Book" w:eastAsia="Calibri" w:hAnsi="Avenir LT 45 Book" w:cs="Times New Roman"/>
          <w:sz w:val="20"/>
        </w:rPr>
        <w:t>Relevant Australian Standard, or</w:t>
      </w:r>
    </w:p>
    <w:p w14:paraId="199A1DBB" w14:textId="77777777" w:rsidR="00B46EF1" w:rsidRPr="00F60A43" w:rsidRDefault="00B46EF1" w:rsidP="002A3889">
      <w:pPr>
        <w:pStyle w:val="ListParagraph"/>
        <w:numPr>
          <w:ilvl w:val="0"/>
          <w:numId w:val="74"/>
        </w:numPr>
        <w:spacing w:line="360" w:lineRule="auto"/>
        <w:rPr>
          <w:rFonts w:ascii="Avenir LT 45 Book" w:eastAsia="Calibri" w:hAnsi="Avenir LT 45 Book" w:cs="Times New Roman"/>
          <w:sz w:val="20"/>
        </w:rPr>
      </w:pPr>
      <w:r w:rsidRPr="00F60A43">
        <w:rPr>
          <w:rFonts w:ascii="Avenir LT 45 Book" w:eastAsia="Calibri" w:hAnsi="Avenir LT 45 Book" w:cs="Times New Roman"/>
          <w:sz w:val="20"/>
        </w:rPr>
        <w:t>Heritage of Western Australia Act 1990.</w:t>
      </w:r>
    </w:p>
    <w:p w14:paraId="48735A03"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The meaning of other specific words and expressions relevant to this Local Planning Policy are given below:</w:t>
      </w:r>
    </w:p>
    <w:p w14:paraId="0C50FF15" w14:textId="77777777" w:rsidR="00B46EF1" w:rsidRPr="00842387" w:rsidRDefault="00B46EF1" w:rsidP="00B46EF1">
      <w:pPr>
        <w:rPr>
          <w:rFonts w:ascii="Avenir LT 65 Medium" w:hAnsi="Avenir LT 65 Medium"/>
        </w:rPr>
      </w:pPr>
      <w:r w:rsidRPr="00842387">
        <w:rPr>
          <w:rFonts w:ascii="Avenir LT 65 Medium" w:hAnsi="Avenir LT 65 Medium"/>
        </w:rPr>
        <w:t>Abutment</w:t>
      </w:r>
    </w:p>
    <w:p w14:paraId="1A5681E0"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An intersection between a roof slope and a wall that rises above it.</w:t>
      </w:r>
    </w:p>
    <w:p w14:paraId="03C13F87" w14:textId="77777777" w:rsidR="00B46EF1" w:rsidRPr="00842387" w:rsidRDefault="00B46EF1" w:rsidP="00B46EF1">
      <w:pPr>
        <w:rPr>
          <w:rFonts w:ascii="Avenir LT 65 Medium" w:hAnsi="Avenir LT 65 Medium"/>
          <w:bCs/>
        </w:rPr>
      </w:pPr>
      <w:r>
        <w:rPr>
          <w:rFonts w:ascii="Avenir LT 65 Medium" w:hAnsi="Avenir LT 65 Medium"/>
          <w:bCs/>
        </w:rPr>
        <w:t>Archival R</w:t>
      </w:r>
      <w:r w:rsidRPr="00842387">
        <w:rPr>
          <w:rFonts w:ascii="Avenir LT 65 Medium" w:hAnsi="Avenir LT 65 Medium"/>
          <w:bCs/>
        </w:rPr>
        <w:t>ecord</w:t>
      </w:r>
    </w:p>
    <w:p w14:paraId="27AEC6A8"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 xml:space="preserve">A document containing drawings, photographs and written information prepared </w:t>
      </w:r>
      <w:proofErr w:type="gramStart"/>
      <w:r w:rsidRPr="00F60A43">
        <w:rPr>
          <w:rFonts w:ascii="Avenir LT 45 Book" w:eastAsia="Calibri" w:hAnsi="Avenir LT 45 Book"/>
          <w:sz w:val="20"/>
        </w:rPr>
        <w:t>in order to</w:t>
      </w:r>
      <w:proofErr w:type="gramEnd"/>
      <w:r w:rsidRPr="00F60A43">
        <w:rPr>
          <w:rFonts w:ascii="Avenir LT 45 Book" w:eastAsia="Calibri" w:hAnsi="Avenir LT 45 Book"/>
          <w:sz w:val="20"/>
        </w:rPr>
        <w:t xml:space="preserve"> record the state of a place at a given time, usually prior to demolition or major change.</w:t>
      </w:r>
    </w:p>
    <w:p w14:paraId="7707DFBD" w14:textId="77777777" w:rsidR="00B46EF1" w:rsidRPr="00842387" w:rsidRDefault="00B46EF1" w:rsidP="00B46EF1">
      <w:pPr>
        <w:rPr>
          <w:rFonts w:ascii="Avenir LT 65 Medium" w:hAnsi="Avenir LT 65 Medium"/>
        </w:rPr>
      </w:pPr>
      <w:r w:rsidRPr="00842387">
        <w:rPr>
          <w:rFonts w:ascii="Avenir LT 65 Medium" w:hAnsi="Avenir LT 65 Medium"/>
        </w:rPr>
        <w:t>Building</w:t>
      </w:r>
    </w:p>
    <w:p w14:paraId="041F4528"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For the purposes of this Local Planning Policy the term “building” shall have the same meaning as given in the Heritage of Western Australia Act 1990:</w:t>
      </w:r>
    </w:p>
    <w:p w14:paraId="3EACCDCC"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w:t>
      </w:r>
      <w:proofErr w:type="gramStart"/>
      <w:r w:rsidRPr="00F60A43">
        <w:rPr>
          <w:rFonts w:ascii="Avenir LT 45 Book" w:eastAsia="Calibri" w:hAnsi="Avenir LT 45 Book"/>
          <w:sz w:val="20"/>
        </w:rPr>
        <w:t>in</w:t>
      </w:r>
      <w:proofErr w:type="gramEnd"/>
      <w:r w:rsidRPr="00F60A43">
        <w:rPr>
          <w:rFonts w:ascii="Avenir LT 45 Book" w:eastAsia="Calibri" w:hAnsi="Avenir LT 45 Book"/>
          <w:sz w:val="20"/>
        </w:rPr>
        <w:t xml:space="preserve"> relation to any land, includes any structure erected or placed on or in that land, and any part of the building or fence or other appurtenance to the building.” </w:t>
      </w:r>
    </w:p>
    <w:p w14:paraId="065FE2C8" w14:textId="77777777" w:rsidR="00B46EF1" w:rsidRPr="00842387" w:rsidRDefault="00B46EF1" w:rsidP="00B46EF1">
      <w:pPr>
        <w:rPr>
          <w:rFonts w:ascii="Avenir LT 65 Medium" w:hAnsi="Avenir LT 65 Medium"/>
        </w:rPr>
      </w:pPr>
      <w:r w:rsidRPr="00842387">
        <w:rPr>
          <w:rFonts w:ascii="Avenir LT 65 Medium" w:hAnsi="Avenir LT 65 Medium"/>
        </w:rPr>
        <w:t>Building Envelope</w:t>
      </w:r>
    </w:p>
    <w:p w14:paraId="278BB3B4"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A building envelope is the separation between the interior and the exterior environments of a building or its outer shape.</w:t>
      </w:r>
    </w:p>
    <w:p w14:paraId="3579B7D7" w14:textId="77777777" w:rsidR="00B46EF1" w:rsidRPr="00842387" w:rsidRDefault="00B46EF1" w:rsidP="00B46EF1">
      <w:pPr>
        <w:rPr>
          <w:rFonts w:ascii="Avenir LT 65 Medium" w:hAnsi="Avenir LT 65 Medium"/>
          <w:bCs/>
        </w:rPr>
      </w:pPr>
      <w:r w:rsidRPr="00842387">
        <w:rPr>
          <w:rFonts w:ascii="Avenir LT 65 Medium" w:hAnsi="Avenir LT 65 Medium"/>
          <w:bCs/>
        </w:rPr>
        <w:t>Burra Charter</w:t>
      </w:r>
    </w:p>
    <w:p w14:paraId="198E7678"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The Australian chapter of the International Council of Monuments and Sites (ICOMOS) Charter for the conservation of places of cultural significance.  The Charter has been generally accepted as the standard for heritage practitioners in Australia.</w:t>
      </w:r>
    </w:p>
    <w:p w14:paraId="09639863" w14:textId="77777777" w:rsidR="00B46EF1" w:rsidRPr="00842387" w:rsidRDefault="00B46EF1" w:rsidP="00B46EF1">
      <w:pPr>
        <w:rPr>
          <w:rFonts w:ascii="Avenir LT 65 Medium" w:hAnsi="Avenir LT 65 Medium"/>
          <w:bCs/>
        </w:rPr>
      </w:pPr>
      <w:r w:rsidRPr="00842387">
        <w:rPr>
          <w:rFonts w:ascii="Avenir LT 65 Medium" w:hAnsi="Avenir LT 65 Medium"/>
          <w:bCs/>
        </w:rPr>
        <w:t>Conservation</w:t>
      </w:r>
    </w:p>
    <w:p w14:paraId="4CD9C9AF"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 xml:space="preserve">Under the Heritage of Western Australia Act 1990 the term “Conservation” means all the processes of looking after a place </w:t>
      </w:r>
      <w:proofErr w:type="gramStart"/>
      <w:r w:rsidRPr="00F60A43">
        <w:rPr>
          <w:rFonts w:ascii="Avenir LT 45 Book" w:eastAsia="Calibri" w:hAnsi="Avenir LT 45 Book"/>
          <w:sz w:val="20"/>
        </w:rPr>
        <w:t>so as to</w:t>
      </w:r>
      <w:proofErr w:type="gramEnd"/>
      <w:r w:rsidRPr="00F60A43">
        <w:rPr>
          <w:rFonts w:ascii="Avenir LT 45 Book" w:eastAsia="Calibri" w:hAnsi="Avenir LT 45 Book"/>
          <w:sz w:val="20"/>
        </w:rPr>
        <w:t xml:space="preserve"> retain its cultural significance.  It includes maintenance and may, according to circumstances, include preservation, restoration, reconstruction and adaptation. Conservation will commonly involve a combination of more than one of these.</w:t>
      </w:r>
    </w:p>
    <w:p w14:paraId="5A1B0F7F" w14:textId="77777777" w:rsidR="00B46EF1" w:rsidRPr="00842387" w:rsidRDefault="00B46EF1" w:rsidP="00B46EF1">
      <w:pPr>
        <w:rPr>
          <w:rFonts w:ascii="Avenir LT 65 Medium" w:hAnsi="Avenir LT 65 Medium"/>
          <w:bCs/>
        </w:rPr>
      </w:pPr>
      <w:r w:rsidRPr="00842387">
        <w:rPr>
          <w:rFonts w:ascii="Avenir LT 65 Medium" w:hAnsi="Avenir LT 65 Medium"/>
          <w:bCs/>
        </w:rPr>
        <w:t>Conservation Plan</w:t>
      </w:r>
    </w:p>
    <w:p w14:paraId="5B2E5B91"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A document that details how to identify and look after the significant cultural values of a place. Its preparation involves a systematic way of considering, recording and monitoring actions and decisions relating to all aspects of managing a place.  The Heritage Council of WA provides guidelines for the preparation of Conservation Plans to ensure that all important matters are considered.</w:t>
      </w:r>
    </w:p>
    <w:p w14:paraId="1C7BC11D" w14:textId="77777777" w:rsidR="00B46EF1" w:rsidRPr="00842387" w:rsidRDefault="00B46EF1" w:rsidP="00B46EF1">
      <w:pPr>
        <w:rPr>
          <w:rFonts w:ascii="Avenir LT 65 Medium" w:hAnsi="Avenir LT 65 Medium"/>
          <w:bCs/>
        </w:rPr>
      </w:pPr>
      <w:r w:rsidRPr="00842387">
        <w:rPr>
          <w:rFonts w:ascii="Avenir LT 65 Medium" w:hAnsi="Avenir LT 65 Medium"/>
          <w:bCs/>
        </w:rPr>
        <w:lastRenderedPageBreak/>
        <w:t>Conservation Plan</w:t>
      </w:r>
    </w:p>
    <w:p w14:paraId="52AC3D8A"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The aesthetic, historic, social and scientific values of a place for past, present or future generations (Heritage of Western Australia Act 1990).</w:t>
      </w:r>
    </w:p>
    <w:p w14:paraId="34C1C654" w14:textId="77777777" w:rsidR="00B46EF1" w:rsidRPr="00842387" w:rsidRDefault="00B46EF1" w:rsidP="00B46EF1">
      <w:pPr>
        <w:rPr>
          <w:rFonts w:ascii="Avenir LT 65 Medium" w:hAnsi="Avenir LT 65 Medium"/>
          <w:bCs/>
        </w:rPr>
      </w:pPr>
      <w:r w:rsidRPr="00842387">
        <w:rPr>
          <w:rFonts w:ascii="Avenir LT 65 Medium" w:hAnsi="Avenir LT 65 Medium"/>
          <w:bCs/>
        </w:rPr>
        <w:t>Contributory Building</w:t>
      </w:r>
    </w:p>
    <w:p w14:paraId="08E24D46"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A building that appears on the Town of East Fremantle’s Municipal Heritage Inventory.</w:t>
      </w:r>
    </w:p>
    <w:p w14:paraId="6CBB3837" w14:textId="77777777" w:rsidR="00B46EF1" w:rsidRPr="00842387" w:rsidRDefault="00B46EF1" w:rsidP="00B46EF1">
      <w:pPr>
        <w:rPr>
          <w:rFonts w:ascii="Avenir LT 65 Medium" w:hAnsi="Avenir LT 65 Medium"/>
          <w:bCs/>
        </w:rPr>
      </w:pPr>
      <w:r w:rsidRPr="00842387">
        <w:rPr>
          <w:rFonts w:ascii="Avenir LT 65 Medium" w:hAnsi="Avenir LT 65 Medium"/>
          <w:bCs/>
        </w:rPr>
        <w:t>Contributory Fence</w:t>
      </w:r>
    </w:p>
    <w:p w14:paraId="65688240"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An original fence to a contributory building.</w:t>
      </w:r>
    </w:p>
    <w:p w14:paraId="7559BD38" w14:textId="77777777" w:rsidR="00B46EF1" w:rsidRPr="00842387" w:rsidRDefault="00B46EF1" w:rsidP="00B46EF1">
      <w:pPr>
        <w:rPr>
          <w:rFonts w:ascii="Avenir LT 65 Medium" w:hAnsi="Avenir LT 65 Medium"/>
          <w:bCs/>
        </w:rPr>
      </w:pPr>
      <w:r w:rsidRPr="00842387">
        <w:rPr>
          <w:rFonts w:ascii="Avenir LT 65 Medium" w:hAnsi="Avenir LT 65 Medium"/>
          <w:bCs/>
        </w:rPr>
        <w:t>Cultural Heritage Significance</w:t>
      </w:r>
    </w:p>
    <w:p w14:paraId="0EBD03BC"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Cultural Heritage Significance means, in relation to a place, the relative value which that place has in terms of its aesthetic, historic, scientific, or social significance, for the present community and future generations</w:t>
      </w:r>
    </w:p>
    <w:p w14:paraId="0444F67A" w14:textId="77777777" w:rsidR="00B46EF1" w:rsidRPr="00842387" w:rsidRDefault="00B46EF1" w:rsidP="00B46EF1">
      <w:pPr>
        <w:rPr>
          <w:rFonts w:ascii="Avenir LT 65 Medium" w:hAnsi="Avenir LT 65 Medium"/>
        </w:rPr>
      </w:pPr>
      <w:r w:rsidRPr="00842387">
        <w:rPr>
          <w:rFonts w:ascii="Avenir LT 65 Medium" w:hAnsi="Avenir LT 65 Medium"/>
        </w:rPr>
        <w:t>Cultural Place</w:t>
      </w:r>
    </w:p>
    <w:p w14:paraId="64B05C1E"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A site, area, building or other work valued for its cultural heritage significance, together with associated contents and surrounds.</w:t>
      </w:r>
    </w:p>
    <w:p w14:paraId="5CCAD4C5" w14:textId="77777777" w:rsidR="00B46EF1" w:rsidRPr="00842387" w:rsidRDefault="00B46EF1" w:rsidP="00B46EF1">
      <w:pPr>
        <w:rPr>
          <w:rFonts w:ascii="Avenir LT 65 Medium" w:hAnsi="Avenir LT 65 Medium"/>
        </w:rPr>
      </w:pPr>
      <w:r w:rsidRPr="00842387">
        <w:rPr>
          <w:rFonts w:ascii="Avenir LT 65 Medium" w:hAnsi="Avenir LT 65 Medium"/>
        </w:rPr>
        <w:t>Demolition</w:t>
      </w:r>
    </w:p>
    <w:p w14:paraId="6C517CA7"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Demolition means the disassembling or removal in whole or part of any building from a site or part of a building from the remainder of the building.</w:t>
      </w:r>
    </w:p>
    <w:p w14:paraId="0D2812E0" w14:textId="77777777" w:rsidR="00B46EF1" w:rsidRPr="00842387" w:rsidRDefault="00B46EF1" w:rsidP="00B46EF1">
      <w:pPr>
        <w:rPr>
          <w:rFonts w:ascii="Avenir LT 65 Medium" w:hAnsi="Avenir LT 65 Medium"/>
        </w:rPr>
      </w:pPr>
      <w:r w:rsidRPr="00842387">
        <w:rPr>
          <w:rFonts w:ascii="Avenir LT 65 Medium" w:hAnsi="Avenir LT 65 Medium"/>
        </w:rPr>
        <w:t>Development</w:t>
      </w:r>
    </w:p>
    <w:p w14:paraId="5568C6C2"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Development means the development or use of any land, including any demolition, erection, construction, alteration of or addition to any building or structure on the land and the carrying out on the land of any excavation or other works and, in the case of a place to which a Conservation Order made under s59 of the Heritage of Western Australia Act 1990 applies, also includes any act or thing that:</w:t>
      </w:r>
    </w:p>
    <w:p w14:paraId="2F9DE0D6" w14:textId="77777777" w:rsidR="00B46EF1" w:rsidRPr="00F60A43" w:rsidRDefault="00B46EF1" w:rsidP="002A3889">
      <w:pPr>
        <w:pStyle w:val="ListParagraph"/>
        <w:numPr>
          <w:ilvl w:val="1"/>
          <w:numId w:val="75"/>
        </w:numPr>
        <w:spacing w:line="360" w:lineRule="auto"/>
        <w:rPr>
          <w:rFonts w:ascii="Avenir LT 45 Book" w:eastAsia="Calibri" w:hAnsi="Avenir LT 45 Book" w:cs="Times New Roman"/>
          <w:sz w:val="20"/>
        </w:rPr>
      </w:pPr>
      <w:r w:rsidRPr="00F60A43">
        <w:rPr>
          <w:rFonts w:ascii="Avenir LT 45 Book" w:eastAsia="Calibri" w:hAnsi="Avenir LT 45 Book" w:cs="Times New Roman"/>
          <w:sz w:val="20"/>
        </w:rPr>
        <w:t>Is likely to change character of that place or the external appearance of any building, or</w:t>
      </w:r>
    </w:p>
    <w:p w14:paraId="56C73BD8" w14:textId="77777777" w:rsidR="00B46EF1" w:rsidRPr="00F60A43" w:rsidRDefault="00B46EF1" w:rsidP="002A3889">
      <w:pPr>
        <w:pStyle w:val="ListParagraph"/>
        <w:numPr>
          <w:ilvl w:val="1"/>
          <w:numId w:val="75"/>
        </w:numPr>
        <w:spacing w:line="360" w:lineRule="auto"/>
        <w:rPr>
          <w:rFonts w:ascii="Avenir LT 45 Book" w:eastAsia="Calibri" w:hAnsi="Avenir LT 45 Book" w:cs="Times New Roman"/>
          <w:sz w:val="20"/>
        </w:rPr>
      </w:pPr>
      <w:r w:rsidRPr="00F60A43">
        <w:rPr>
          <w:rFonts w:ascii="Avenir LT 45 Book" w:eastAsia="Calibri" w:hAnsi="Avenir LT 45 Book" w:cs="Times New Roman"/>
          <w:sz w:val="20"/>
        </w:rPr>
        <w:t>Would constitute an irreversible alteration of the fabric of any building.</w:t>
      </w:r>
    </w:p>
    <w:p w14:paraId="344FBFF6" w14:textId="77777777" w:rsidR="004D1AAB" w:rsidRDefault="004D1AAB">
      <w:pPr>
        <w:rPr>
          <w:rFonts w:ascii="Avenir LT 65 Medium" w:hAnsi="Avenir LT 65 Medium"/>
          <w:bCs/>
        </w:rPr>
      </w:pPr>
      <w:r>
        <w:rPr>
          <w:rFonts w:ascii="Avenir LT 65 Medium" w:hAnsi="Avenir LT 65 Medium"/>
          <w:bCs/>
        </w:rPr>
        <w:br w:type="page"/>
      </w:r>
    </w:p>
    <w:p w14:paraId="728408D2" w14:textId="77777777" w:rsidR="00B46EF1" w:rsidRPr="00842387" w:rsidRDefault="00B46EF1" w:rsidP="00B46EF1">
      <w:pPr>
        <w:rPr>
          <w:rFonts w:ascii="Avenir LT 65 Medium" w:hAnsi="Avenir LT 65 Medium"/>
        </w:rPr>
      </w:pPr>
      <w:r w:rsidRPr="00842387">
        <w:rPr>
          <w:rFonts w:ascii="Avenir LT 65 Medium" w:hAnsi="Avenir LT 65 Medium"/>
          <w:bCs/>
        </w:rPr>
        <w:lastRenderedPageBreak/>
        <w:t>Development Impact Statement (Heritage &amp; Character)</w:t>
      </w:r>
    </w:p>
    <w:p w14:paraId="4E5352EE"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 xml:space="preserve">Also referred to as a Heritage Impact Statement.  It is a report which has been undertaken by an appropriately qualified person or body as part of any application for planning approval that evaluates the likely impact of proposed development on the significance of a heritage place and its setting, or on the Heritage Area within which it is situated.  The report may also outline measures by which any detrimental impact may be minimised. </w:t>
      </w:r>
    </w:p>
    <w:p w14:paraId="6DA14B00" w14:textId="77777777" w:rsidR="00B46EF1" w:rsidRPr="00611EFA" w:rsidRDefault="00B46EF1" w:rsidP="00B46EF1">
      <w:pPr>
        <w:rPr>
          <w:rFonts w:ascii="Avenir LT 65 Medium" w:hAnsi="Avenir LT 65 Medium"/>
        </w:rPr>
      </w:pPr>
      <w:r w:rsidRPr="00611EFA">
        <w:rPr>
          <w:rFonts w:ascii="Avenir LT 65 Medium" w:hAnsi="Avenir LT 65 Medium"/>
        </w:rPr>
        <w:t>Experienced Heritage Professional</w:t>
      </w:r>
    </w:p>
    <w:p w14:paraId="5FC73755"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A person or organisation that is included in the Heritage Council of Western Australia’s approved list.</w:t>
      </w:r>
    </w:p>
    <w:p w14:paraId="78A2AD4A" w14:textId="77777777" w:rsidR="00B46EF1" w:rsidRPr="00611EFA" w:rsidRDefault="00B46EF1" w:rsidP="00B46EF1">
      <w:pPr>
        <w:rPr>
          <w:rFonts w:ascii="Avenir LT 65 Medium" w:hAnsi="Avenir LT 65 Medium"/>
        </w:rPr>
      </w:pPr>
      <w:r w:rsidRPr="00611EFA">
        <w:rPr>
          <w:rFonts w:ascii="Avenir LT 65 Medium" w:hAnsi="Avenir LT 65 Medium"/>
        </w:rPr>
        <w:t>Faux</w:t>
      </w:r>
    </w:p>
    <w:p w14:paraId="13DEE1ED" w14:textId="77777777" w:rsidR="00B46EF1" w:rsidRPr="00F60A43" w:rsidRDefault="00B46EF1" w:rsidP="00F60A43">
      <w:pPr>
        <w:spacing w:line="360" w:lineRule="auto"/>
        <w:rPr>
          <w:rFonts w:ascii="Avenir LT 45 Book" w:eastAsia="Calibri" w:hAnsi="Avenir LT 45 Book"/>
          <w:sz w:val="20"/>
        </w:rPr>
      </w:pPr>
      <w:r w:rsidRPr="00F60A43">
        <w:rPr>
          <w:rFonts w:ascii="Avenir LT 45 Book" w:eastAsia="Calibri" w:hAnsi="Avenir LT 45 Book"/>
          <w:sz w:val="20"/>
        </w:rPr>
        <w:t>Not genuine or real; being an imitation of the genuine article.</w:t>
      </w:r>
    </w:p>
    <w:p w14:paraId="688E0641" w14:textId="77777777" w:rsidR="00B46EF1" w:rsidRPr="00611EFA" w:rsidRDefault="00B46EF1" w:rsidP="00B46EF1">
      <w:pPr>
        <w:rPr>
          <w:rFonts w:ascii="Avenir LT 65 Medium" w:hAnsi="Avenir LT 65 Medium"/>
        </w:rPr>
      </w:pPr>
      <w:r w:rsidRPr="00611EFA">
        <w:rPr>
          <w:rFonts w:ascii="Avenir LT 65 Medium" w:hAnsi="Avenir LT 65 Medium"/>
        </w:rPr>
        <w:t>Faux Heritage</w:t>
      </w:r>
    </w:p>
    <w:p w14:paraId="2B92DE8E" w14:textId="77777777" w:rsidR="00B46EF1" w:rsidRPr="00F60A43" w:rsidRDefault="00B46EF1" w:rsidP="004D1AAB">
      <w:pPr>
        <w:spacing w:line="360" w:lineRule="auto"/>
        <w:rPr>
          <w:rFonts w:ascii="Avenir LT 45 Book" w:eastAsia="Calibri" w:hAnsi="Avenir LT 45 Book"/>
          <w:sz w:val="20"/>
        </w:rPr>
      </w:pPr>
      <w:r w:rsidRPr="00F60A43">
        <w:rPr>
          <w:rFonts w:ascii="Avenir LT 45 Book" w:eastAsia="Calibri" w:hAnsi="Avenir LT 45 Book"/>
          <w:sz w:val="20"/>
        </w:rPr>
        <w:t>Faux heritage buildings imitate the physical features of existing buildings.  However, they detract</w:t>
      </w:r>
      <w:r w:rsidRPr="00611EFA">
        <w:rPr>
          <w:shd w:val="clear" w:color="auto" w:fill="FFFFFF"/>
        </w:rPr>
        <w:t xml:space="preserve"> </w:t>
      </w:r>
      <w:r w:rsidRPr="00F60A43">
        <w:rPr>
          <w:rFonts w:ascii="Avenir LT 45 Book" w:eastAsia="Calibri" w:hAnsi="Avenir LT 45 Book"/>
          <w:sz w:val="20"/>
        </w:rPr>
        <w:t>from and devalue the significance of authentic heritage buildings.</w:t>
      </w:r>
    </w:p>
    <w:p w14:paraId="3C70B97D" w14:textId="77777777" w:rsidR="00B46EF1" w:rsidRPr="00842387" w:rsidRDefault="00B46EF1" w:rsidP="00B46EF1">
      <w:pPr>
        <w:tabs>
          <w:tab w:val="left" w:pos="1418"/>
        </w:tabs>
        <w:autoSpaceDE w:val="0"/>
        <w:autoSpaceDN w:val="0"/>
        <w:adjustRightInd w:val="0"/>
        <w:ind w:left="1418" w:hanging="1418"/>
        <w:rPr>
          <w:rFonts w:ascii="Avenir LT 65 Medium" w:hAnsi="Avenir LT 65 Medium"/>
          <w:szCs w:val="20"/>
        </w:rPr>
      </w:pPr>
      <w:r w:rsidRPr="00842387">
        <w:rPr>
          <w:rFonts w:ascii="Avenir LT 65 Medium" w:hAnsi="Avenir LT 65 Medium"/>
          <w:szCs w:val="20"/>
        </w:rPr>
        <w:t xml:space="preserve">Gable </w:t>
      </w:r>
    </w:p>
    <w:p w14:paraId="4B88CA53" w14:textId="77777777" w:rsidR="00B46EF1" w:rsidRPr="00842387" w:rsidRDefault="00B46EF1" w:rsidP="004D1AAB">
      <w:pPr>
        <w:tabs>
          <w:tab w:val="left" w:pos="0"/>
        </w:tabs>
        <w:autoSpaceDE w:val="0"/>
        <w:autoSpaceDN w:val="0"/>
        <w:adjustRightInd w:val="0"/>
        <w:spacing w:line="360" w:lineRule="auto"/>
        <w:rPr>
          <w:szCs w:val="20"/>
        </w:rPr>
      </w:pPr>
      <w:r w:rsidRPr="00F60A43">
        <w:rPr>
          <w:rFonts w:ascii="Avenir LT 45 Book" w:eastAsia="Calibri" w:hAnsi="Avenir LT 45 Book"/>
          <w:sz w:val="20"/>
        </w:rPr>
        <w:t>The triangular part of the end wall of a building with a pitched roof between the barge boards or rafters.  A gable may be of any material</w:t>
      </w:r>
      <w:r w:rsidRPr="00842387">
        <w:rPr>
          <w:szCs w:val="20"/>
        </w:rPr>
        <w:t>.</w:t>
      </w:r>
    </w:p>
    <w:p w14:paraId="59C6AACB" w14:textId="77777777" w:rsidR="00B46EF1" w:rsidRPr="00842387" w:rsidRDefault="00B46EF1" w:rsidP="00B46EF1">
      <w:pPr>
        <w:tabs>
          <w:tab w:val="left" w:pos="1418"/>
        </w:tabs>
        <w:autoSpaceDE w:val="0"/>
        <w:autoSpaceDN w:val="0"/>
        <w:adjustRightInd w:val="0"/>
        <w:ind w:left="1418" w:hanging="1418"/>
        <w:rPr>
          <w:rFonts w:ascii="Avenir LT 65 Medium" w:hAnsi="Avenir LT 65 Medium"/>
          <w:szCs w:val="20"/>
        </w:rPr>
      </w:pPr>
      <w:r>
        <w:rPr>
          <w:rFonts w:ascii="Avenir LT 65 Medium" w:hAnsi="Avenir LT 65 Medium"/>
          <w:szCs w:val="20"/>
        </w:rPr>
        <w:t>Gable R</w:t>
      </w:r>
      <w:r w:rsidRPr="00842387">
        <w:rPr>
          <w:rFonts w:ascii="Avenir LT 65 Medium" w:hAnsi="Avenir LT 65 Medium"/>
          <w:szCs w:val="20"/>
        </w:rPr>
        <w:t xml:space="preserve">oof </w:t>
      </w:r>
    </w:p>
    <w:p w14:paraId="35930304" w14:textId="77777777" w:rsidR="00B46EF1" w:rsidRPr="00F60A43" w:rsidRDefault="00B46EF1" w:rsidP="00B46EF1">
      <w:pPr>
        <w:tabs>
          <w:tab w:val="left" w:pos="0"/>
        </w:tabs>
        <w:autoSpaceDE w:val="0"/>
        <w:autoSpaceDN w:val="0"/>
        <w:adjustRightInd w:val="0"/>
        <w:rPr>
          <w:rFonts w:ascii="Avenir LT 45 Book" w:eastAsia="Calibri" w:hAnsi="Avenir LT 45 Book"/>
          <w:sz w:val="20"/>
        </w:rPr>
      </w:pPr>
      <w:r w:rsidRPr="00F60A43">
        <w:rPr>
          <w:rFonts w:ascii="Avenir LT 45 Book" w:eastAsia="Calibri" w:hAnsi="Avenir LT 45 Book"/>
          <w:sz w:val="20"/>
        </w:rPr>
        <w:t>A roof with gables at one or both ends.  The edge of the roof is covering the verge.</w:t>
      </w:r>
    </w:p>
    <w:p w14:paraId="63E77F0D" w14:textId="77777777" w:rsidR="00B46EF1" w:rsidRPr="00842387" w:rsidRDefault="00B46EF1" w:rsidP="00B46EF1">
      <w:pPr>
        <w:tabs>
          <w:tab w:val="left" w:pos="0"/>
        </w:tabs>
        <w:autoSpaceDE w:val="0"/>
        <w:autoSpaceDN w:val="0"/>
        <w:adjustRightInd w:val="0"/>
        <w:rPr>
          <w:rFonts w:ascii="Avenir LT 65 Medium" w:hAnsi="Avenir LT 65 Medium"/>
          <w:szCs w:val="20"/>
        </w:rPr>
      </w:pPr>
      <w:r w:rsidRPr="00842387">
        <w:rPr>
          <w:rFonts w:ascii="Avenir LT 65 Medium" w:hAnsi="Avenir LT 65 Medium"/>
          <w:szCs w:val="20"/>
        </w:rPr>
        <w:t>Gablet</w:t>
      </w:r>
    </w:p>
    <w:p w14:paraId="43020451" w14:textId="77777777" w:rsidR="00B46EF1" w:rsidRPr="00F60A43" w:rsidRDefault="00B46EF1" w:rsidP="00B46EF1">
      <w:pPr>
        <w:tabs>
          <w:tab w:val="left" w:pos="0"/>
        </w:tabs>
        <w:autoSpaceDE w:val="0"/>
        <w:autoSpaceDN w:val="0"/>
        <w:adjustRightInd w:val="0"/>
        <w:rPr>
          <w:rFonts w:ascii="Avenir LT 45 Book" w:eastAsia="Calibri" w:hAnsi="Avenir LT 45 Book"/>
          <w:sz w:val="20"/>
        </w:rPr>
      </w:pPr>
      <w:r w:rsidRPr="00F60A43">
        <w:rPr>
          <w:rFonts w:ascii="Avenir LT 45 Book" w:eastAsia="Calibri" w:hAnsi="Avenir LT 45 Book"/>
          <w:sz w:val="20"/>
        </w:rPr>
        <w:t>A small gable.</w:t>
      </w:r>
    </w:p>
    <w:p w14:paraId="3F6C7529" w14:textId="77777777" w:rsidR="00B46EF1" w:rsidRPr="00842387" w:rsidRDefault="00B46EF1" w:rsidP="00B46EF1">
      <w:pPr>
        <w:tabs>
          <w:tab w:val="left" w:pos="1418"/>
        </w:tabs>
        <w:autoSpaceDE w:val="0"/>
        <w:autoSpaceDN w:val="0"/>
        <w:adjustRightInd w:val="0"/>
        <w:ind w:left="1418" w:hanging="1418"/>
        <w:rPr>
          <w:rFonts w:ascii="Avenir LT 65 Medium" w:hAnsi="Avenir LT 65 Medium"/>
          <w:szCs w:val="20"/>
        </w:rPr>
      </w:pPr>
      <w:r>
        <w:rPr>
          <w:rFonts w:ascii="Avenir LT 65 Medium" w:hAnsi="Avenir LT 65 Medium"/>
          <w:szCs w:val="20"/>
        </w:rPr>
        <w:t>Gambrel R</w:t>
      </w:r>
      <w:r w:rsidRPr="00842387">
        <w:rPr>
          <w:rFonts w:ascii="Avenir LT 65 Medium" w:hAnsi="Avenir LT 65 Medium"/>
          <w:szCs w:val="20"/>
        </w:rPr>
        <w:t>oof</w:t>
      </w:r>
    </w:p>
    <w:p w14:paraId="3ED788A7" w14:textId="77777777" w:rsidR="00B46EF1" w:rsidRPr="00F60A43" w:rsidRDefault="00B46EF1" w:rsidP="004D1AAB">
      <w:pPr>
        <w:tabs>
          <w:tab w:val="left" w:pos="0"/>
        </w:tabs>
        <w:autoSpaceDE w:val="0"/>
        <w:autoSpaceDN w:val="0"/>
        <w:adjustRightInd w:val="0"/>
        <w:spacing w:line="360" w:lineRule="auto"/>
        <w:rPr>
          <w:rFonts w:ascii="Avenir LT 45 Book" w:eastAsia="Calibri" w:hAnsi="Avenir LT 45 Book"/>
          <w:sz w:val="20"/>
        </w:rPr>
      </w:pPr>
      <w:r w:rsidRPr="00F60A43">
        <w:rPr>
          <w:rFonts w:ascii="Avenir LT 45 Book" w:eastAsia="Calibri" w:hAnsi="Avenir LT 45 Book"/>
          <w:sz w:val="20"/>
        </w:rPr>
        <w:t>An end to a pitched roof which slopes up from the eaves, as does a hipped end, but stops part way at a vertical gablet.  The shape resembles a horse’s hind leg.</w:t>
      </w:r>
    </w:p>
    <w:p w14:paraId="6DA23194" w14:textId="77777777" w:rsidR="00B46EF1" w:rsidRPr="00611EFA" w:rsidRDefault="00B46EF1" w:rsidP="00B46EF1">
      <w:pPr>
        <w:tabs>
          <w:tab w:val="left" w:pos="0"/>
        </w:tabs>
        <w:autoSpaceDE w:val="0"/>
        <w:autoSpaceDN w:val="0"/>
        <w:adjustRightInd w:val="0"/>
        <w:rPr>
          <w:rFonts w:ascii="Avenir LT 65 Medium" w:hAnsi="Avenir LT 65 Medium"/>
          <w:bCs/>
        </w:rPr>
      </w:pPr>
      <w:r w:rsidRPr="00611EFA">
        <w:rPr>
          <w:rFonts w:ascii="Avenir LT 65 Medium" w:hAnsi="Avenir LT 65 Medium"/>
          <w:bCs/>
        </w:rPr>
        <w:t>Heritage</w:t>
      </w:r>
    </w:p>
    <w:p w14:paraId="0254DC7A" w14:textId="77777777" w:rsidR="00B46EF1" w:rsidRPr="00F60A43" w:rsidRDefault="00B46EF1" w:rsidP="004D1AAB">
      <w:pPr>
        <w:tabs>
          <w:tab w:val="left" w:pos="0"/>
        </w:tabs>
        <w:autoSpaceDE w:val="0"/>
        <w:autoSpaceDN w:val="0"/>
        <w:adjustRightInd w:val="0"/>
        <w:spacing w:line="360" w:lineRule="auto"/>
        <w:rPr>
          <w:rFonts w:ascii="Avenir LT 45 Book" w:eastAsia="Calibri" w:hAnsi="Avenir LT 45 Book"/>
          <w:sz w:val="20"/>
        </w:rPr>
      </w:pPr>
      <w:r w:rsidRPr="00F60A43">
        <w:rPr>
          <w:rFonts w:ascii="Avenir LT 45 Book" w:eastAsia="Calibri" w:hAnsi="Avenir LT 45 Book"/>
          <w:sz w:val="20"/>
        </w:rPr>
        <w:t xml:space="preserve">The evidence of the past, such as historical sites, buildings, and the natural environment, considered collectively as the inheritance of present-day society.  </w:t>
      </w:r>
    </w:p>
    <w:p w14:paraId="0C9AE268" w14:textId="77777777" w:rsidR="00B46EF1" w:rsidRPr="00842387" w:rsidRDefault="00B46EF1" w:rsidP="00B46EF1">
      <w:pPr>
        <w:rPr>
          <w:rFonts w:ascii="Avenir LT 65 Medium" w:hAnsi="Avenir LT 65 Medium"/>
          <w:bCs/>
        </w:rPr>
      </w:pPr>
      <w:r>
        <w:rPr>
          <w:rFonts w:ascii="Avenir LT 65 Medium" w:hAnsi="Avenir LT 65 Medium"/>
          <w:bCs/>
        </w:rPr>
        <w:t>Heritage Agreement</w:t>
      </w:r>
    </w:p>
    <w:p w14:paraId="2CEC5819" w14:textId="77777777" w:rsidR="00B46EF1" w:rsidRPr="00F60A43" w:rsidRDefault="00B46EF1" w:rsidP="004D1AAB">
      <w:pPr>
        <w:tabs>
          <w:tab w:val="left" w:pos="0"/>
        </w:tabs>
        <w:autoSpaceDE w:val="0"/>
        <w:autoSpaceDN w:val="0"/>
        <w:adjustRightInd w:val="0"/>
        <w:spacing w:line="360" w:lineRule="auto"/>
        <w:rPr>
          <w:rFonts w:ascii="Avenir LT 45 Book" w:eastAsia="Calibri" w:hAnsi="Avenir LT 45 Book"/>
          <w:sz w:val="20"/>
        </w:rPr>
      </w:pPr>
      <w:r w:rsidRPr="00F60A43">
        <w:rPr>
          <w:rFonts w:ascii="Avenir LT 45 Book" w:eastAsia="Calibri" w:hAnsi="Avenir LT 45 Book"/>
          <w:sz w:val="20"/>
        </w:rPr>
        <w:t>A contract under section 29 of the Heritage of Western Australia Act 1990 (the “Act”) which is undertaken on a voluntary basis by the owners of a heritage place.  The agreement binds current and successive owners to a set of conservation conditions and may provide compensating benefits in some circumstances.  Essentially, the purpose of a Heritage Agreement is to secure the long-term conservation of a heritage place.  A Heritage Agreement runs with the land and is confirmed through a Memorial placed on the Certificate of Title.</w:t>
      </w:r>
    </w:p>
    <w:p w14:paraId="10C64ED1" w14:textId="77777777" w:rsidR="00EC605B" w:rsidRDefault="00EC605B">
      <w:pPr>
        <w:rPr>
          <w:rFonts w:ascii="Avenir LT 65 Medium" w:hAnsi="Avenir LT 65 Medium"/>
          <w:bCs/>
        </w:rPr>
      </w:pPr>
      <w:r>
        <w:rPr>
          <w:rFonts w:ascii="Avenir LT 65 Medium" w:hAnsi="Avenir LT 65 Medium"/>
          <w:bCs/>
        </w:rPr>
        <w:br w:type="page"/>
      </w:r>
    </w:p>
    <w:p w14:paraId="01FC76EA" w14:textId="4CF5E7B1" w:rsidR="00B46EF1" w:rsidRPr="00842387" w:rsidRDefault="00B46EF1" w:rsidP="00B46EF1">
      <w:pPr>
        <w:rPr>
          <w:rFonts w:ascii="Avenir LT 65 Medium" w:hAnsi="Avenir LT 65 Medium"/>
          <w:bCs/>
        </w:rPr>
      </w:pPr>
      <w:r w:rsidRPr="00842387">
        <w:rPr>
          <w:rFonts w:ascii="Avenir LT 65 Medium" w:hAnsi="Avenir LT 65 Medium"/>
          <w:bCs/>
        </w:rPr>
        <w:lastRenderedPageBreak/>
        <w:t>Heritage Assessment</w:t>
      </w:r>
    </w:p>
    <w:p w14:paraId="4D6AB04F" w14:textId="77777777" w:rsidR="00B46EF1" w:rsidRPr="00F60A43" w:rsidRDefault="00B46EF1" w:rsidP="004D1AAB">
      <w:pPr>
        <w:tabs>
          <w:tab w:val="left" w:pos="0"/>
        </w:tabs>
        <w:autoSpaceDE w:val="0"/>
        <w:autoSpaceDN w:val="0"/>
        <w:adjustRightInd w:val="0"/>
        <w:spacing w:line="360" w:lineRule="auto"/>
        <w:rPr>
          <w:rFonts w:ascii="Avenir LT 45 Book" w:eastAsia="Calibri" w:hAnsi="Avenir LT 45 Book"/>
          <w:sz w:val="20"/>
        </w:rPr>
      </w:pPr>
      <w:r w:rsidRPr="00F60A43">
        <w:rPr>
          <w:rFonts w:ascii="Avenir LT 45 Book" w:eastAsia="Calibri" w:hAnsi="Avenir LT 45 Book"/>
          <w:sz w:val="20"/>
        </w:rPr>
        <w:t>A systematic assessment that describes a place and its setting and states its significant heritage values (level of contribution) in terms of the criteria adopted by the Heritage Council of Western Australia.  These criteria are the aesthetic, historic, social and scientific values of the place.</w:t>
      </w:r>
    </w:p>
    <w:p w14:paraId="10FA98DD" w14:textId="77777777" w:rsidR="00B46EF1" w:rsidRPr="00842387" w:rsidRDefault="00B46EF1" w:rsidP="00B46EF1">
      <w:pPr>
        <w:rPr>
          <w:rFonts w:ascii="Avenir LT 65 Medium" w:hAnsi="Avenir LT 65 Medium"/>
          <w:bCs/>
        </w:rPr>
      </w:pPr>
      <w:r w:rsidRPr="00842387">
        <w:rPr>
          <w:rFonts w:ascii="Avenir LT 65 Medium" w:hAnsi="Avenir LT 65 Medium"/>
          <w:bCs/>
        </w:rPr>
        <w:t>Heritage Council of Western Australia</w:t>
      </w:r>
    </w:p>
    <w:p w14:paraId="78C71406" w14:textId="77777777" w:rsidR="00B46EF1" w:rsidRPr="00F60A43" w:rsidRDefault="00B46EF1" w:rsidP="004D1AAB">
      <w:pPr>
        <w:tabs>
          <w:tab w:val="left" w:pos="0"/>
        </w:tabs>
        <w:autoSpaceDE w:val="0"/>
        <w:autoSpaceDN w:val="0"/>
        <w:adjustRightInd w:val="0"/>
        <w:spacing w:line="360" w:lineRule="auto"/>
        <w:rPr>
          <w:rFonts w:ascii="Avenir LT 45 Book" w:eastAsia="Calibri" w:hAnsi="Avenir LT 45 Book"/>
          <w:sz w:val="20"/>
        </w:rPr>
      </w:pPr>
      <w:r w:rsidRPr="00F60A43">
        <w:rPr>
          <w:rFonts w:ascii="Avenir LT 45 Book" w:eastAsia="Calibri" w:hAnsi="Avenir LT 45 Book"/>
          <w:sz w:val="20"/>
        </w:rPr>
        <w:t xml:space="preserve">The State Government’s advisory body on heritage matters and is responsible for the State Register of Heritage Places. Under the Heritage of Western Australia Act 1990, places listed in the State Register are given legal protection.  The Heritage Council provides advice to the Minister for </w:t>
      </w:r>
      <w:proofErr w:type="gramStart"/>
      <w:r w:rsidRPr="00F60A43">
        <w:rPr>
          <w:rFonts w:ascii="Avenir LT 45 Book" w:eastAsia="Calibri" w:hAnsi="Avenir LT 45 Book"/>
          <w:sz w:val="20"/>
        </w:rPr>
        <w:t>Heritage on heritage</w:t>
      </w:r>
      <w:proofErr w:type="gramEnd"/>
      <w:r w:rsidRPr="00F60A43">
        <w:rPr>
          <w:rFonts w:ascii="Avenir LT 45 Book" w:eastAsia="Calibri" w:hAnsi="Avenir LT 45 Book"/>
          <w:sz w:val="20"/>
        </w:rPr>
        <w:t xml:space="preserve"> issues identifies and conserves places of cultural heritage significance, facilitates development that is in harmony with cultural heritage values, and promotes awareness and knowledge of cultural heritage. </w:t>
      </w:r>
    </w:p>
    <w:p w14:paraId="08581DCC" w14:textId="77777777" w:rsidR="00B46EF1" w:rsidRPr="00842387" w:rsidRDefault="00B46EF1" w:rsidP="00B46EF1">
      <w:pPr>
        <w:rPr>
          <w:rFonts w:ascii="Avenir LT 65 Medium" w:hAnsi="Avenir LT 65 Medium"/>
          <w:bCs/>
        </w:rPr>
      </w:pPr>
      <w:r w:rsidRPr="00842387">
        <w:rPr>
          <w:rFonts w:ascii="Avenir LT 65 Medium" w:hAnsi="Avenir LT 65 Medium"/>
          <w:bCs/>
        </w:rPr>
        <w:t>Heritage of Western Australia Act 1990 (the “Act”)</w:t>
      </w:r>
    </w:p>
    <w:p w14:paraId="377BD913" w14:textId="77777777" w:rsidR="00B46EF1" w:rsidRPr="00842387" w:rsidRDefault="00B46EF1" w:rsidP="004D1AAB">
      <w:pPr>
        <w:spacing w:line="360" w:lineRule="auto"/>
      </w:pPr>
      <w:r w:rsidRPr="00F60A43">
        <w:rPr>
          <w:rFonts w:ascii="Avenir LT 45 Book" w:eastAsia="Calibri" w:hAnsi="Avenir LT 45 Book"/>
          <w:sz w:val="20"/>
        </w:rPr>
        <w:t>The statutory framework for the identification and conservation of places which have significance to the cultural heritage of Western Australia.  The Act also describes the composition and powers of</w:t>
      </w:r>
      <w:r w:rsidRPr="00842387">
        <w:t xml:space="preserve"> </w:t>
      </w:r>
      <w:r w:rsidRPr="00F60A43">
        <w:rPr>
          <w:rFonts w:ascii="Avenir LT 45 Book" w:eastAsia="Calibri" w:hAnsi="Avenir LT 45 Book"/>
          <w:sz w:val="20"/>
        </w:rPr>
        <w:t>the Heritage Council of WA and requires Local Governments to prepare Municipal Heritage Inventories.</w:t>
      </w:r>
      <w:r w:rsidRPr="00842387">
        <w:t xml:space="preserve"> </w:t>
      </w:r>
    </w:p>
    <w:p w14:paraId="2543900F" w14:textId="77777777" w:rsidR="00B46EF1" w:rsidRPr="00842387" w:rsidRDefault="00B46EF1" w:rsidP="00B46EF1">
      <w:pPr>
        <w:rPr>
          <w:rFonts w:ascii="Avenir LT 65 Medium" w:hAnsi="Avenir LT 65 Medium"/>
          <w:bCs/>
        </w:rPr>
      </w:pPr>
      <w:r w:rsidRPr="00842387">
        <w:rPr>
          <w:rFonts w:ascii="Avenir LT 65 Medium" w:hAnsi="Avenir LT 65 Medium"/>
          <w:bCs/>
        </w:rPr>
        <w:t>Heritage Place</w:t>
      </w:r>
    </w:p>
    <w:p w14:paraId="2BFA6757" w14:textId="77777777" w:rsidR="00B46EF1" w:rsidRPr="00F60A43" w:rsidRDefault="00B46EF1" w:rsidP="004D1AAB">
      <w:pPr>
        <w:spacing w:line="360" w:lineRule="auto"/>
        <w:rPr>
          <w:rFonts w:ascii="Avenir LT 45 Book" w:eastAsia="Calibri" w:hAnsi="Avenir LT 45 Book"/>
          <w:sz w:val="20"/>
        </w:rPr>
      </w:pPr>
      <w:r w:rsidRPr="00F60A43">
        <w:rPr>
          <w:rFonts w:ascii="Avenir LT 45 Book" w:eastAsia="Calibri" w:hAnsi="Avenir LT 45 Book"/>
          <w:sz w:val="20"/>
        </w:rPr>
        <w:t>A building, structure, site, area of land or other physical element valued for its cultural (or historic) heritage significance, together with associated contents and surrounds.</w:t>
      </w:r>
    </w:p>
    <w:p w14:paraId="405B50EB" w14:textId="77777777" w:rsidR="00B46EF1" w:rsidRPr="00842387" w:rsidRDefault="00B46EF1" w:rsidP="00B46EF1">
      <w:pPr>
        <w:tabs>
          <w:tab w:val="left" w:pos="1418"/>
        </w:tabs>
        <w:autoSpaceDE w:val="0"/>
        <w:autoSpaceDN w:val="0"/>
        <w:adjustRightInd w:val="0"/>
        <w:ind w:left="1418" w:hanging="1418"/>
        <w:rPr>
          <w:rFonts w:ascii="Avenir LT 65 Medium" w:hAnsi="Avenir LT 65 Medium"/>
          <w:szCs w:val="20"/>
        </w:rPr>
      </w:pPr>
      <w:r>
        <w:rPr>
          <w:rFonts w:ascii="Avenir LT 65 Medium" w:hAnsi="Avenir LT 65 Medium"/>
          <w:szCs w:val="20"/>
        </w:rPr>
        <w:t>Hipped R</w:t>
      </w:r>
      <w:r w:rsidRPr="00842387">
        <w:rPr>
          <w:rFonts w:ascii="Avenir LT 65 Medium" w:hAnsi="Avenir LT 65 Medium"/>
          <w:szCs w:val="20"/>
        </w:rPr>
        <w:t>oof</w:t>
      </w:r>
    </w:p>
    <w:p w14:paraId="0A3C18D2" w14:textId="77777777" w:rsidR="00B46EF1" w:rsidRPr="00F60A43" w:rsidRDefault="00B46EF1" w:rsidP="004D1AAB">
      <w:pPr>
        <w:spacing w:line="360" w:lineRule="auto"/>
        <w:rPr>
          <w:rFonts w:ascii="Avenir LT 45 Book" w:eastAsia="Calibri" w:hAnsi="Avenir LT 45 Book"/>
          <w:sz w:val="20"/>
        </w:rPr>
      </w:pPr>
      <w:r w:rsidRPr="00F60A43">
        <w:rPr>
          <w:rFonts w:ascii="Avenir LT 45 Book" w:eastAsia="Calibri" w:hAnsi="Avenir LT 45 Book"/>
          <w:sz w:val="20"/>
        </w:rPr>
        <w:t>A pitched roof which has four slopes instead of two slopes of an ordinary gabled roof.  The shorter sides are roofed with sloping triangles, the hipped ends, each bounded by two hips from eaves to ridge, and by eaves below.</w:t>
      </w:r>
    </w:p>
    <w:p w14:paraId="3E90F4C6" w14:textId="77777777" w:rsidR="00B46EF1" w:rsidRPr="00842387" w:rsidRDefault="00B46EF1" w:rsidP="00B46EF1">
      <w:pPr>
        <w:rPr>
          <w:rFonts w:ascii="Avenir LT 65 Medium" w:hAnsi="Avenir LT 65 Medium"/>
          <w:b/>
          <w:bCs/>
        </w:rPr>
      </w:pPr>
      <w:r w:rsidRPr="00842387">
        <w:rPr>
          <w:rFonts w:ascii="Avenir LT 65 Medium" w:hAnsi="Avenir LT 65 Medium"/>
          <w:bCs/>
        </w:rPr>
        <w:t>Interpretation</w:t>
      </w:r>
    </w:p>
    <w:p w14:paraId="5A0B2A84" w14:textId="77777777" w:rsidR="00B46EF1" w:rsidRPr="00F60A43" w:rsidRDefault="00B46EF1" w:rsidP="004D1AAB">
      <w:pPr>
        <w:spacing w:line="360" w:lineRule="auto"/>
        <w:rPr>
          <w:rFonts w:ascii="Avenir LT 45 Book" w:eastAsia="Calibri" w:hAnsi="Avenir LT 45 Book"/>
          <w:sz w:val="20"/>
        </w:rPr>
      </w:pPr>
      <w:r w:rsidRPr="00F60A43">
        <w:rPr>
          <w:rFonts w:ascii="Avenir LT 45 Book" w:eastAsia="Calibri" w:hAnsi="Avenir LT 45 Book"/>
          <w:sz w:val="20"/>
        </w:rPr>
        <w:t xml:space="preserve">All the ways of presenting the significance of a heritage place.  Interpretation can include the use of colour, lighting, furnishings, historic material or signage or a combination of these to tell the story of the building or place. </w:t>
      </w:r>
    </w:p>
    <w:p w14:paraId="796AFAF1" w14:textId="77777777" w:rsidR="00B46EF1" w:rsidRPr="00842387" w:rsidRDefault="00B46EF1" w:rsidP="00B46EF1">
      <w:pPr>
        <w:rPr>
          <w:rFonts w:ascii="Avenir LT 65 Medium" w:hAnsi="Avenir LT 65 Medium"/>
          <w:bCs/>
        </w:rPr>
      </w:pPr>
      <w:r>
        <w:rPr>
          <w:rFonts w:ascii="Avenir LT 65 Medium" w:hAnsi="Avenir LT 65 Medium"/>
          <w:bCs/>
        </w:rPr>
        <w:t>Interpretation Plan</w:t>
      </w:r>
    </w:p>
    <w:p w14:paraId="1829EC76" w14:textId="77777777" w:rsidR="00B46EF1" w:rsidRPr="00F60A43" w:rsidRDefault="00B46EF1" w:rsidP="004D1AAB">
      <w:pPr>
        <w:spacing w:line="360" w:lineRule="auto"/>
        <w:rPr>
          <w:rFonts w:ascii="Avenir LT 45 Book" w:eastAsia="Calibri" w:hAnsi="Avenir LT 45 Book"/>
          <w:sz w:val="20"/>
        </w:rPr>
      </w:pPr>
      <w:r w:rsidRPr="00F60A43">
        <w:rPr>
          <w:rFonts w:ascii="Avenir LT 45 Book" w:eastAsia="Calibri" w:hAnsi="Avenir LT 45 Book"/>
          <w:sz w:val="20"/>
        </w:rPr>
        <w:t>A document that explains the ways in which a place could be interpreted.  Interpretation Plans should aim to increase both our understanding and our enjoyment of heritage places.</w:t>
      </w:r>
    </w:p>
    <w:p w14:paraId="1B61168E" w14:textId="77777777" w:rsidR="004D1AAB" w:rsidRDefault="004D1AAB">
      <w:pPr>
        <w:rPr>
          <w:rFonts w:ascii="Avenir LT 65 Medium" w:hAnsi="Avenir LT 65 Medium"/>
        </w:rPr>
      </w:pPr>
      <w:r>
        <w:rPr>
          <w:rFonts w:ascii="Avenir LT 65 Medium" w:hAnsi="Avenir LT 65 Medium"/>
        </w:rPr>
        <w:br w:type="page"/>
      </w:r>
    </w:p>
    <w:p w14:paraId="76AAF516" w14:textId="77777777" w:rsidR="00B46EF1" w:rsidRPr="00842387" w:rsidRDefault="00B46EF1" w:rsidP="00B46EF1">
      <w:pPr>
        <w:rPr>
          <w:rFonts w:ascii="Avenir LT 65 Medium" w:hAnsi="Avenir LT 65 Medium"/>
        </w:rPr>
      </w:pPr>
      <w:r w:rsidRPr="00842387">
        <w:rPr>
          <w:rFonts w:ascii="Avenir LT 65 Medium" w:hAnsi="Avenir LT 65 Medium"/>
        </w:rPr>
        <w:lastRenderedPageBreak/>
        <w:t>Lean-to roof, half-span</w:t>
      </w:r>
    </w:p>
    <w:p w14:paraId="17895357" w14:textId="77777777" w:rsidR="00B46EF1" w:rsidRPr="00F60A43" w:rsidRDefault="00B46EF1" w:rsidP="004D1AAB">
      <w:pPr>
        <w:spacing w:line="360" w:lineRule="auto"/>
        <w:rPr>
          <w:rFonts w:ascii="Avenir LT 45 Book" w:eastAsia="Calibri" w:hAnsi="Avenir LT 45 Book"/>
          <w:sz w:val="20"/>
        </w:rPr>
      </w:pPr>
      <w:r w:rsidRPr="00F60A43">
        <w:rPr>
          <w:rFonts w:ascii="Avenir LT 45 Book" w:eastAsia="Calibri" w:hAnsi="Avenir LT 45 Book"/>
          <w:sz w:val="20"/>
        </w:rPr>
        <w:t>A pitched roof sloping one way only, with its top edge meeting a wall higher than the roof, forming an abutment.</w:t>
      </w:r>
    </w:p>
    <w:p w14:paraId="0A4EFE4F" w14:textId="77777777" w:rsidR="00B46EF1" w:rsidRPr="00842387" w:rsidRDefault="00B46EF1" w:rsidP="00B46EF1">
      <w:pPr>
        <w:rPr>
          <w:rFonts w:ascii="Avenir LT 65 Medium" w:hAnsi="Avenir LT 65 Medium"/>
          <w:b/>
          <w:bCs/>
        </w:rPr>
      </w:pPr>
      <w:r w:rsidRPr="00842387">
        <w:rPr>
          <w:rFonts w:ascii="Avenir LT 65 Medium" w:hAnsi="Avenir LT 65 Medium"/>
          <w:bCs/>
        </w:rPr>
        <w:t>Local</w:t>
      </w:r>
      <w:r w:rsidRPr="00842387">
        <w:rPr>
          <w:rFonts w:ascii="Avenir LT 65 Medium" w:hAnsi="Avenir LT 65 Medium"/>
          <w:b/>
          <w:bCs/>
        </w:rPr>
        <w:t xml:space="preserve"> </w:t>
      </w:r>
      <w:r w:rsidRPr="00842387">
        <w:rPr>
          <w:rFonts w:ascii="Avenir LT 65 Medium" w:hAnsi="Avenir LT 65 Medium"/>
          <w:bCs/>
        </w:rPr>
        <w:t>Government</w:t>
      </w:r>
    </w:p>
    <w:p w14:paraId="137EDE0A" w14:textId="77777777" w:rsidR="00B46EF1" w:rsidRPr="00F60A43" w:rsidRDefault="00B46EF1" w:rsidP="00B46EF1">
      <w:pPr>
        <w:rPr>
          <w:rFonts w:ascii="Avenir LT 45 Book" w:eastAsia="Calibri" w:hAnsi="Avenir LT 45 Book"/>
          <w:sz w:val="20"/>
        </w:rPr>
      </w:pPr>
      <w:r w:rsidRPr="00F60A43">
        <w:rPr>
          <w:rFonts w:ascii="Avenir LT 45 Book" w:eastAsia="Calibri" w:hAnsi="Avenir LT 45 Book"/>
          <w:sz w:val="20"/>
        </w:rPr>
        <w:t>The Town of East Fremantle, or the Council of Town of East Fremantle, as the context requires.</w:t>
      </w:r>
    </w:p>
    <w:p w14:paraId="0518E819" w14:textId="77777777" w:rsidR="00B46EF1" w:rsidRPr="00842387" w:rsidRDefault="00B46EF1" w:rsidP="00B46EF1">
      <w:pPr>
        <w:rPr>
          <w:rFonts w:ascii="Avenir LT 65 Medium" w:hAnsi="Avenir LT 65 Medium"/>
        </w:rPr>
      </w:pPr>
      <w:r w:rsidRPr="00842387">
        <w:rPr>
          <w:rFonts w:ascii="Avenir LT 65 Medium" w:hAnsi="Avenir LT 65 Medium"/>
        </w:rPr>
        <w:t>Municipal Heritage Inventory (MHI)</w:t>
      </w:r>
    </w:p>
    <w:p w14:paraId="278CBEFB" w14:textId="77777777" w:rsidR="00B46EF1" w:rsidRPr="00F60A43" w:rsidRDefault="00B46EF1" w:rsidP="004D1AAB">
      <w:pPr>
        <w:spacing w:line="360" w:lineRule="auto"/>
        <w:rPr>
          <w:rFonts w:ascii="Avenir LT 45 Book" w:eastAsia="Calibri" w:hAnsi="Avenir LT 45 Book"/>
          <w:sz w:val="20"/>
        </w:rPr>
      </w:pPr>
      <w:r w:rsidRPr="00F60A43">
        <w:rPr>
          <w:rFonts w:ascii="Avenir LT 45 Book" w:eastAsia="Calibri" w:hAnsi="Avenir LT 45 Book"/>
          <w:sz w:val="20"/>
        </w:rPr>
        <w:t>A list of places within the Town of East Fremantle, considered by the Town to be of identified cultural heritage significance and worthy of conservation.</w:t>
      </w:r>
    </w:p>
    <w:p w14:paraId="5D8769FD" w14:textId="77777777" w:rsidR="00B46EF1" w:rsidRPr="00842387" w:rsidRDefault="00B46EF1" w:rsidP="00B46EF1">
      <w:pPr>
        <w:rPr>
          <w:rFonts w:ascii="Avenir LT 65 Medium" w:hAnsi="Avenir LT 65 Medium"/>
          <w:bCs/>
        </w:rPr>
      </w:pPr>
      <w:r w:rsidRPr="00842387">
        <w:rPr>
          <w:rFonts w:ascii="Avenir LT 65 Medium" w:hAnsi="Avenir LT 65 Medium"/>
          <w:bCs/>
        </w:rPr>
        <w:t>National Trust of Australia (WA)</w:t>
      </w:r>
    </w:p>
    <w:p w14:paraId="2EFA01B4" w14:textId="77777777" w:rsidR="00B46EF1" w:rsidRPr="006633EF" w:rsidRDefault="00B46EF1" w:rsidP="004D1AAB">
      <w:pPr>
        <w:spacing w:line="360" w:lineRule="auto"/>
        <w:rPr>
          <w:rFonts w:ascii="Avenir LT 45 Book" w:eastAsia="Calibri" w:hAnsi="Avenir LT 45 Book"/>
          <w:sz w:val="20"/>
        </w:rPr>
      </w:pPr>
      <w:r w:rsidRPr="006633EF">
        <w:rPr>
          <w:rFonts w:ascii="Avenir LT 45 Book" w:eastAsia="Calibri" w:hAnsi="Avenir LT 45 Book"/>
          <w:sz w:val="20"/>
        </w:rPr>
        <w:t xml:space="preserve">An independent community organisation established under the National Trust of Australia (WA) Act </w:t>
      </w:r>
      <w:proofErr w:type="gramStart"/>
      <w:r w:rsidRPr="006633EF">
        <w:rPr>
          <w:rFonts w:ascii="Avenir LT 45 Book" w:eastAsia="Calibri" w:hAnsi="Avenir LT 45 Book"/>
          <w:sz w:val="20"/>
        </w:rPr>
        <w:t>1964, and</w:t>
      </w:r>
      <w:proofErr w:type="gramEnd"/>
      <w:r w:rsidRPr="006633EF">
        <w:rPr>
          <w:rFonts w:ascii="Avenir LT 45 Book" w:eastAsia="Calibri" w:hAnsi="Avenir LT 45 Book"/>
          <w:sz w:val="20"/>
        </w:rPr>
        <w:t xml:space="preserve"> is part of a world-wide movement of National Trusts. The Trust identifies and maintains a list of premises of heritage significance to the </w:t>
      </w:r>
      <w:proofErr w:type="gramStart"/>
      <w:r w:rsidRPr="006633EF">
        <w:rPr>
          <w:rFonts w:ascii="Avenir LT 45 Book" w:eastAsia="Calibri" w:hAnsi="Avenir LT 45 Book"/>
          <w:sz w:val="20"/>
        </w:rPr>
        <w:t>State, and</w:t>
      </w:r>
      <w:proofErr w:type="gramEnd"/>
      <w:r w:rsidRPr="006633EF">
        <w:rPr>
          <w:rFonts w:ascii="Avenir LT 45 Book" w:eastAsia="Calibri" w:hAnsi="Avenir LT 45 Book"/>
          <w:sz w:val="20"/>
        </w:rPr>
        <w:t xml:space="preserve"> is custodian of heritage assets vested in it. The Trust also has a traditional educational role in promoting community concern for, and understanding of, the State’s heritage. The Trust does not have the power to impose preventative or restrictive conditions on listed places, however it can lobby on behalf of the community for governments and interested parties to act towards this effect. </w:t>
      </w:r>
    </w:p>
    <w:p w14:paraId="4820145B" w14:textId="77777777" w:rsidR="00B46EF1" w:rsidRPr="00842387" w:rsidRDefault="00B46EF1" w:rsidP="00B46EF1">
      <w:pPr>
        <w:rPr>
          <w:rFonts w:ascii="Avenir LT 65 Medium" w:hAnsi="Avenir LT 65 Medium"/>
          <w:bCs/>
        </w:rPr>
      </w:pPr>
      <w:r>
        <w:rPr>
          <w:rFonts w:ascii="Avenir LT 65 Medium" w:hAnsi="Avenir LT 65 Medium"/>
          <w:bCs/>
        </w:rPr>
        <w:t>Natural G</w:t>
      </w:r>
      <w:r w:rsidRPr="00842387">
        <w:rPr>
          <w:rFonts w:ascii="Avenir LT 65 Medium" w:hAnsi="Avenir LT 65 Medium"/>
          <w:bCs/>
        </w:rPr>
        <w:t xml:space="preserve">round </w:t>
      </w:r>
      <w:r>
        <w:rPr>
          <w:rFonts w:ascii="Avenir LT 65 Medium" w:hAnsi="Avenir LT 65 Medium"/>
          <w:bCs/>
        </w:rPr>
        <w:t>L</w:t>
      </w:r>
      <w:r w:rsidRPr="00842387">
        <w:rPr>
          <w:rFonts w:ascii="Avenir LT 65 Medium" w:hAnsi="Avenir LT 65 Medium"/>
          <w:bCs/>
        </w:rPr>
        <w:t>evel</w:t>
      </w:r>
    </w:p>
    <w:p w14:paraId="11B9C938" w14:textId="77777777" w:rsidR="00B46EF1" w:rsidRPr="006633EF" w:rsidRDefault="00B46EF1" w:rsidP="004D1AAB">
      <w:pPr>
        <w:spacing w:line="360" w:lineRule="auto"/>
        <w:rPr>
          <w:rFonts w:ascii="Avenir LT 45 Book" w:eastAsia="Calibri" w:hAnsi="Avenir LT 45 Book"/>
          <w:sz w:val="20"/>
        </w:rPr>
      </w:pPr>
      <w:r w:rsidRPr="006633EF">
        <w:rPr>
          <w:rFonts w:ascii="Avenir LT 45 Book" w:eastAsia="Calibri" w:hAnsi="Avenir LT 45 Book"/>
          <w:sz w:val="20"/>
        </w:rPr>
        <w:t xml:space="preserve">At any point for the purposes of determining the height of a wall or building, means the ground level which existed prior to development (including any earth works), and shall be interpolated based on the natural ground level is to be determined.  Where there is a level of difference at or immediately adjacent </w:t>
      </w:r>
      <w:proofErr w:type="spellStart"/>
      <w:r w:rsidRPr="006633EF">
        <w:rPr>
          <w:rFonts w:ascii="Avenir LT 45 Book" w:eastAsia="Calibri" w:hAnsi="Avenir LT 45 Book"/>
          <w:sz w:val="20"/>
        </w:rPr>
        <w:t>t</w:t>
      </w:r>
      <w:proofErr w:type="spellEnd"/>
      <w:r w:rsidRPr="006633EF">
        <w:rPr>
          <w:rFonts w:ascii="Avenir LT 45 Book" w:eastAsia="Calibri" w:hAnsi="Avenir LT 45 Book"/>
          <w:sz w:val="20"/>
        </w:rPr>
        <w:t xml:space="preserve"> the boundary, the natural ground level at the boundary shall be taken to be ground level on the lower side of the boundary, unless it can be demonstrated to the satisfaction of the local government, that the lower level has resulted from excavation undertaken after the subdivision by which the relevant boundary was established.</w:t>
      </w:r>
    </w:p>
    <w:p w14:paraId="1F691AE0" w14:textId="77777777" w:rsidR="00B46EF1" w:rsidRPr="00842387" w:rsidRDefault="00B46EF1" w:rsidP="00B46EF1">
      <w:pPr>
        <w:rPr>
          <w:rFonts w:ascii="Avenir LT 65 Medium" w:hAnsi="Avenir LT 65 Medium"/>
        </w:rPr>
      </w:pPr>
      <w:r w:rsidRPr="00842387">
        <w:rPr>
          <w:rFonts w:ascii="Avenir LT 65 Medium" w:hAnsi="Avenir LT 65 Medium"/>
        </w:rPr>
        <w:t>Pergola</w:t>
      </w:r>
    </w:p>
    <w:p w14:paraId="1E38B953" w14:textId="77777777" w:rsidR="00B46EF1" w:rsidRPr="006633EF" w:rsidRDefault="00B46EF1" w:rsidP="00B46EF1">
      <w:pPr>
        <w:rPr>
          <w:rFonts w:ascii="Avenir LT 45 Book" w:eastAsia="Calibri" w:hAnsi="Avenir LT 45 Book"/>
          <w:sz w:val="20"/>
        </w:rPr>
      </w:pPr>
      <w:r w:rsidRPr="006633EF">
        <w:rPr>
          <w:rFonts w:ascii="Avenir LT 45 Book" w:eastAsia="Calibri" w:hAnsi="Avenir LT 45 Book"/>
          <w:sz w:val="20"/>
        </w:rPr>
        <w:t>An unroofed open frame structure.</w:t>
      </w:r>
    </w:p>
    <w:p w14:paraId="012A769B" w14:textId="77777777" w:rsidR="00B46EF1" w:rsidRPr="00842387" w:rsidRDefault="00B46EF1" w:rsidP="00B46EF1">
      <w:pPr>
        <w:rPr>
          <w:rFonts w:ascii="Avenir LT 65 Medium" w:hAnsi="Avenir LT 65 Medium"/>
        </w:rPr>
      </w:pPr>
      <w:r>
        <w:rPr>
          <w:rFonts w:ascii="Avenir LT 65 Medium" w:hAnsi="Avenir LT 65 Medium"/>
        </w:rPr>
        <w:t>Pitched R</w:t>
      </w:r>
      <w:r w:rsidRPr="00842387">
        <w:rPr>
          <w:rFonts w:ascii="Avenir LT 65 Medium" w:hAnsi="Avenir LT 65 Medium"/>
        </w:rPr>
        <w:t>oof</w:t>
      </w:r>
    </w:p>
    <w:p w14:paraId="5514B66E" w14:textId="77777777" w:rsidR="00B46EF1" w:rsidRPr="00842387" w:rsidRDefault="00B46EF1" w:rsidP="004D1AAB">
      <w:pPr>
        <w:spacing w:line="360" w:lineRule="auto"/>
      </w:pPr>
      <w:r w:rsidRPr="006633EF">
        <w:rPr>
          <w:rFonts w:ascii="Avenir LT 45 Book" w:eastAsia="Calibri" w:hAnsi="Avenir LT 45 Book"/>
          <w:sz w:val="20"/>
        </w:rPr>
        <w:t>The commonest roof usually one with two slopes at more than 20˚ to the horizontal, meeting at a central ridge.  It may have gables or hips</w:t>
      </w:r>
      <w:r w:rsidRPr="00842387">
        <w:t>.</w:t>
      </w:r>
    </w:p>
    <w:p w14:paraId="16A7748E" w14:textId="77777777" w:rsidR="00B46EF1" w:rsidRPr="00611EFA" w:rsidRDefault="00B46EF1" w:rsidP="00B46EF1">
      <w:pPr>
        <w:rPr>
          <w:rFonts w:ascii="Avenir LT 65 Medium" w:hAnsi="Avenir LT 65 Medium"/>
        </w:rPr>
      </w:pPr>
      <w:r w:rsidRPr="00611EFA">
        <w:rPr>
          <w:rFonts w:ascii="Avenir LT 65 Medium" w:hAnsi="Avenir LT 65 Medium"/>
        </w:rPr>
        <w:t>Plinth</w:t>
      </w:r>
    </w:p>
    <w:p w14:paraId="312F1B51" w14:textId="77777777" w:rsidR="00B46EF1" w:rsidRPr="006633EF" w:rsidRDefault="00B46EF1" w:rsidP="00B46EF1">
      <w:pPr>
        <w:rPr>
          <w:rFonts w:ascii="Avenir LT 45 Book" w:eastAsia="Calibri" w:hAnsi="Avenir LT 45 Book"/>
          <w:sz w:val="20"/>
        </w:rPr>
      </w:pPr>
      <w:r w:rsidRPr="006633EF">
        <w:rPr>
          <w:rFonts w:ascii="Avenir LT 45 Book" w:eastAsia="Calibri" w:hAnsi="Avenir LT 45 Book"/>
          <w:sz w:val="20"/>
        </w:rPr>
        <w:t>A slab or block that forms the lowest part/base of a structure.</w:t>
      </w:r>
    </w:p>
    <w:p w14:paraId="7737C0F3" w14:textId="77777777" w:rsidR="0006540A" w:rsidRDefault="0006540A">
      <w:pPr>
        <w:rPr>
          <w:rFonts w:ascii="Avenir LT 65 Medium" w:hAnsi="Avenir LT 65 Medium"/>
          <w:bCs/>
        </w:rPr>
      </w:pPr>
      <w:r>
        <w:rPr>
          <w:rFonts w:ascii="Avenir LT 65 Medium" w:hAnsi="Avenir LT 65 Medium"/>
          <w:bCs/>
        </w:rPr>
        <w:br w:type="page"/>
      </w:r>
    </w:p>
    <w:p w14:paraId="30F211E8" w14:textId="77777777" w:rsidR="00B46EF1" w:rsidRPr="00842387" w:rsidRDefault="00B46EF1" w:rsidP="004D1AAB">
      <w:pPr>
        <w:spacing w:line="360" w:lineRule="auto"/>
        <w:rPr>
          <w:rFonts w:ascii="Avenir LT 65 Medium" w:hAnsi="Avenir LT 65 Medium"/>
          <w:bCs/>
        </w:rPr>
      </w:pPr>
      <w:r>
        <w:rPr>
          <w:rFonts w:ascii="Avenir LT 65 Medium" w:hAnsi="Avenir LT 65 Medium"/>
          <w:bCs/>
        </w:rPr>
        <w:lastRenderedPageBreak/>
        <w:t>Plot R</w:t>
      </w:r>
      <w:r w:rsidRPr="00842387">
        <w:rPr>
          <w:rFonts w:ascii="Avenir LT 65 Medium" w:hAnsi="Avenir LT 65 Medium"/>
          <w:bCs/>
        </w:rPr>
        <w:t>atio</w:t>
      </w:r>
    </w:p>
    <w:p w14:paraId="51A5ACD9" w14:textId="77777777" w:rsidR="00B46EF1" w:rsidRPr="00842387" w:rsidRDefault="00B46EF1" w:rsidP="004D1AAB">
      <w:pPr>
        <w:spacing w:line="360" w:lineRule="auto"/>
      </w:pPr>
      <w:r w:rsidRPr="006633EF">
        <w:rPr>
          <w:rFonts w:ascii="Avenir LT 45 Book" w:eastAsia="Calibri" w:hAnsi="Avenir LT 45 Book"/>
          <w:sz w:val="20"/>
        </w:rPr>
        <w:t xml:space="preserve">Defined by Statement of Planning Policy No. 3.1: Residential Design Codes, means the ratio of the gross total of the areas of all floors of buildings on a site to the area of land within the site boundaries. For this purpose, such areas shall include the area of any walls but not include the areas of lift shafts, stairs or stair landings common to two or more dwellings, machinery, air conditioning and equipment rooms, non-habitable space that is wholly below natural ground level, areas used exclusively for the parking of wheeled vehicles at or below natural ground level, lobbies or amenities areas common to more than one dwelling, or balconies or </w:t>
      </w:r>
      <w:proofErr w:type="spellStart"/>
      <w:r w:rsidRPr="006633EF">
        <w:rPr>
          <w:rFonts w:ascii="Avenir LT 45 Book" w:eastAsia="Calibri" w:hAnsi="Avenir LT 45 Book"/>
          <w:sz w:val="20"/>
        </w:rPr>
        <w:t>verandahs</w:t>
      </w:r>
      <w:proofErr w:type="spellEnd"/>
      <w:r w:rsidRPr="006633EF">
        <w:rPr>
          <w:rFonts w:ascii="Avenir LT 45 Book" w:eastAsia="Calibri" w:hAnsi="Avenir LT 45 Book"/>
          <w:sz w:val="20"/>
        </w:rPr>
        <w:t xml:space="preserve"> open on at least two sides</w:t>
      </w:r>
      <w:r w:rsidRPr="00842387">
        <w:t>.</w:t>
      </w:r>
    </w:p>
    <w:p w14:paraId="5BE4EA2E" w14:textId="77777777" w:rsidR="00B46EF1" w:rsidRPr="00842387" w:rsidRDefault="00B46EF1" w:rsidP="00B46EF1">
      <w:pPr>
        <w:rPr>
          <w:rFonts w:ascii="Avenir LT 65 Medium" w:hAnsi="Avenir LT 65 Medium"/>
        </w:rPr>
      </w:pPr>
      <w:r w:rsidRPr="00842387">
        <w:rPr>
          <w:rFonts w:ascii="Avenir LT 65 Medium" w:hAnsi="Avenir LT 65 Medium"/>
        </w:rPr>
        <w:t>State Planning Policy 3.5 – Historic Heritage Conservation</w:t>
      </w:r>
    </w:p>
    <w:p w14:paraId="77F8CF62" w14:textId="77777777" w:rsidR="00B46EF1" w:rsidRPr="006633EF" w:rsidRDefault="00B46EF1" w:rsidP="00B46EF1">
      <w:pPr>
        <w:rPr>
          <w:rFonts w:ascii="Avenir LT 45 Book" w:eastAsia="Calibri" w:hAnsi="Avenir LT 45 Book"/>
          <w:sz w:val="20"/>
        </w:rPr>
      </w:pPr>
      <w:r w:rsidRPr="006633EF">
        <w:rPr>
          <w:rFonts w:ascii="Avenir LT 45 Book" w:eastAsia="Calibri" w:hAnsi="Avenir LT 45 Book"/>
          <w:sz w:val="20"/>
        </w:rPr>
        <w:t>The objectives of the Policy are:</w:t>
      </w:r>
    </w:p>
    <w:p w14:paraId="1F38D94A" w14:textId="77777777" w:rsidR="00B46EF1" w:rsidRPr="006633EF" w:rsidRDefault="00B46EF1" w:rsidP="002A3889">
      <w:pPr>
        <w:pStyle w:val="ListParagraph"/>
        <w:numPr>
          <w:ilvl w:val="0"/>
          <w:numId w:val="77"/>
        </w:numPr>
        <w:spacing w:line="360" w:lineRule="auto"/>
        <w:rPr>
          <w:rFonts w:ascii="Avenir LT 45 Book" w:eastAsia="Calibri" w:hAnsi="Avenir LT 45 Book" w:cs="Times New Roman"/>
          <w:sz w:val="20"/>
        </w:rPr>
      </w:pPr>
      <w:r w:rsidRPr="006633EF">
        <w:rPr>
          <w:rFonts w:ascii="Avenir LT 45 Book" w:eastAsia="Calibri" w:hAnsi="Avenir LT 45 Book" w:cs="Times New Roman"/>
          <w:sz w:val="20"/>
        </w:rPr>
        <w:t>To conserve places and areas of historic heritage significance,</w:t>
      </w:r>
    </w:p>
    <w:p w14:paraId="62F4BAEE" w14:textId="77777777" w:rsidR="00B46EF1" w:rsidRPr="006633EF" w:rsidRDefault="00B46EF1" w:rsidP="002A3889">
      <w:pPr>
        <w:pStyle w:val="ListParagraph"/>
        <w:numPr>
          <w:ilvl w:val="0"/>
          <w:numId w:val="77"/>
        </w:numPr>
        <w:spacing w:line="360" w:lineRule="auto"/>
        <w:rPr>
          <w:rFonts w:ascii="Avenir LT 45 Book" w:eastAsia="Calibri" w:hAnsi="Avenir LT 45 Book" w:cs="Times New Roman"/>
          <w:sz w:val="20"/>
        </w:rPr>
      </w:pPr>
      <w:r w:rsidRPr="006633EF">
        <w:rPr>
          <w:rFonts w:ascii="Avenir LT 45 Book" w:eastAsia="Calibri" w:hAnsi="Avenir LT 45 Book" w:cs="Times New Roman"/>
          <w:sz w:val="20"/>
        </w:rPr>
        <w:t>To ensure that development does not adversely affect the significance of heritage places and areas,</w:t>
      </w:r>
    </w:p>
    <w:p w14:paraId="61B42E80" w14:textId="77777777" w:rsidR="00B46EF1" w:rsidRPr="006633EF" w:rsidRDefault="00B46EF1" w:rsidP="002A3889">
      <w:pPr>
        <w:pStyle w:val="ListParagraph"/>
        <w:numPr>
          <w:ilvl w:val="0"/>
          <w:numId w:val="77"/>
        </w:numPr>
        <w:spacing w:line="360" w:lineRule="auto"/>
        <w:rPr>
          <w:rFonts w:ascii="Avenir LT 45 Book" w:eastAsia="Calibri" w:hAnsi="Avenir LT 45 Book" w:cs="Times New Roman"/>
          <w:sz w:val="20"/>
        </w:rPr>
      </w:pPr>
      <w:r w:rsidRPr="006633EF">
        <w:rPr>
          <w:rFonts w:ascii="Avenir LT 45 Book" w:eastAsia="Calibri" w:hAnsi="Avenir LT 45 Book" w:cs="Times New Roman"/>
          <w:sz w:val="20"/>
        </w:rPr>
        <w:t>To ensure that heritage significance at both the state and local levels is given due weight in planning decision-making, and</w:t>
      </w:r>
    </w:p>
    <w:p w14:paraId="5868CFDF" w14:textId="77777777" w:rsidR="00B46EF1" w:rsidRPr="00D30DD8" w:rsidRDefault="00B46EF1" w:rsidP="002A3889">
      <w:pPr>
        <w:pStyle w:val="ListParagraph"/>
        <w:numPr>
          <w:ilvl w:val="0"/>
          <w:numId w:val="77"/>
        </w:numPr>
        <w:spacing w:line="360" w:lineRule="auto"/>
        <w:rPr>
          <w:rFonts w:ascii="Avenir LT 65 Medium" w:hAnsi="Avenir LT 65 Medium"/>
        </w:rPr>
      </w:pPr>
      <w:r w:rsidRPr="006633EF">
        <w:rPr>
          <w:rFonts w:ascii="Avenir LT 45 Book" w:eastAsia="Calibri" w:hAnsi="Avenir LT 45 Book" w:cs="Times New Roman"/>
          <w:sz w:val="20"/>
        </w:rPr>
        <w:t>To provide improved certainty to landowners and the community about the planning processes for heritage identification, conservation and protection.</w:t>
      </w:r>
    </w:p>
    <w:p w14:paraId="47FB8304" w14:textId="77777777" w:rsidR="00B46EF1" w:rsidRDefault="00B46EF1" w:rsidP="00B46EF1">
      <w:pPr>
        <w:rPr>
          <w:rFonts w:ascii="Avenir LT 65 Medium" w:hAnsi="Avenir LT 65 Medium"/>
        </w:rPr>
      </w:pPr>
      <w:r>
        <w:rPr>
          <w:rFonts w:ascii="Avenir LT 65 Medium" w:hAnsi="Avenir LT 65 Medium"/>
        </w:rPr>
        <w:t>Policy Area</w:t>
      </w:r>
    </w:p>
    <w:p w14:paraId="16DE049A" w14:textId="77777777" w:rsidR="00B46EF1" w:rsidRPr="006633EF" w:rsidRDefault="00B46EF1" w:rsidP="00B46EF1">
      <w:pPr>
        <w:rPr>
          <w:rFonts w:ascii="Avenir LT 45 Book" w:eastAsia="Calibri" w:hAnsi="Avenir LT 45 Book"/>
          <w:sz w:val="20"/>
        </w:rPr>
      </w:pPr>
      <w:r w:rsidRPr="006633EF">
        <w:rPr>
          <w:rFonts w:ascii="Avenir LT 45 Book" w:eastAsia="Calibri" w:hAnsi="Avenir LT 45 Book"/>
          <w:sz w:val="20"/>
        </w:rPr>
        <w:t xml:space="preserve">The Policy Area is the zone defined by Marmion Street, Petra Street, </w:t>
      </w:r>
      <w:proofErr w:type="spellStart"/>
      <w:r w:rsidRPr="006633EF">
        <w:rPr>
          <w:rFonts w:ascii="Avenir LT 45 Book" w:eastAsia="Calibri" w:hAnsi="Avenir LT 45 Book"/>
          <w:sz w:val="20"/>
        </w:rPr>
        <w:t>Jerrat</w:t>
      </w:r>
      <w:proofErr w:type="spellEnd"/>
      <w:r w:rsidRPr="006633EF">
        <w:rPr>
          <w:rFonts w:ascii="Avenir LT 45 Book" w:eastAsia="Calibri" w:hAnsi="Avenir LT 45 Book"/>
          <w:sz w:val="20"/>
        </w:rPr>
        <w:t xml:space="preserve"> Drive, Riverside Road and East Street.</w:t>
      </w:r>
    </w:p>
    <w:p w14:paraId="5E633ABF" w14:textId="77777777" w:rsidR="00B46EF1" w:rsidRPr="00842387" w:rsidRDefault="00B46EF1" w:rsidP="00B46EF1">
      <w:pPr>
        <w:rPr>
          <w:rFonts w:ascii="Avenir LT 65 Medium" w:hAnsi="Avenir LT 65 Medium"/>
          <w:bCs/>
        </w:rPr>
      </w:pPr>
      <w:r w:rsidRPr="00842387">
        <w:rPr>
          <w:rFonts w:ascii="Avenir LT 65 Medium" w:hAnsi="Avenir LT 65 Medium"/>
          <w:bCs/>
        </w:rPr>
        <w:t>Storey</w:t>
      </w:r>
    </w:p>
    <w:p w14:paraId="1FD19113" w14:textId="77777777" w:rsidR="00B46EF1" w:rsidRPr="006633EF" w:rsidRDefault="00B46EF1" w:rsidP="004D1AAB">
      <w:pPr>
        <w:spacing w:line="360" w:lineRule="auto"/>
        <w:rPr>
          <w:rFonts w:ascii="Avenir LT 45 Book" w:eastAsia="Calibri" w:hAnsi="Avenir LT 45 Book"/>
          <w:sz w:val="20"/>
        </w:rPr>
      </w:pPr>
      <w:r w:rsidRPr="006633EF">
        <w:rPr>
          <w:rFonts w:ascii="Avenir LT 45 Book" w:eastAsia="Calibri" w:hAnsi="Avenir LT 45 Book"/>
          <w:sz w:val="20"/>
        </w:rPr>
        <w:t xml:space="preserve">Defined by Statement of Planning Policy No. 3.1: Residential Design Codes, means that part of a building between floor levels. If there is no floor above, it is the part between the floor level and the ceiling. </w:t>
      </w:r>
    </w:p>
    <w:p w14:paraId="45B737A8" w14:textId="77777777" w:rsidR="00B46EF1" w:rsidRPr="006633EF" w:rsidRDefault="00B46EF1" w:rsidP="004D1AAB">
      <w:pPr>
        <w:spacing w:line="360" w:lineRule="auto"/>
        <w:rPr>
          <w:rFonts w:ascii="Avenir LT 45 Book" w:eastAsia="Calibri" w:hAnsi="Avenir LT 45 Book"/>
          <w:sz w:val="20"/>
        </w:rPr>
      </w:pPr>
      <w:r w:rsidRPr="006633EF">
        <w:rPr>
          <w:rFonts w:ascii="Avenir LT 45 Book" w:eastAsia="Calibri" w:hAnsi="Avenir LT 45 Book"/>
          <w:sz w:val="20"/>
        </w:rPr>
        <w:t xml:space="preserve">A “storey” when used in relation to a development that is for residential purposes has the same meaning as Statement of Planning Policy No. 3.1: Residential Design Codes, meaning the vertical distance at any point from natural ground level to the uppermost part of the building above that point (roof ridge, parapet or wall), excluding minor projections above that point. </w:t>
      </w:r>
    </w:p>
    <w:p w14:paraId="20DEF2E3" w14:textId="77777777" w:rsidR="00B46EF1" w:rsidRPr="00842387" w:rsidRDefault="00B46EF1" w:rsidP="00B46EF1">
      <w:pPr>
        <w:rPr>
          <w:rFonts w:ascii="Avenir LT 65 Medium" w:hAnsi="Avenir LT 65 Medium"/>
          <w:bCs/>
        </w:rPr>
      </w:pPr>
      <w:r w:rsidRPr="00842387">
        <w:rPr>
          <w:rFonts w:ascii="Avenir LT 65 Medium" w:hAnsi="Avenir LT 65 Medium"/>
          <w:bCs/>
        </w:rPr>
        <w:t>Structural Condition Assessment</w:t>
      </w:r>
    </w:p>
    <w:p w14:paraId="2418B38D" w14:textId="77777777" w:rsidR="00B46EF1" w:rsidRPr="006633EF" w:rsidRDefault="00B46EF1" w:rsidP="00245106">
      <w:pPr>
        <w:spacing w:line="480" w:lineRule="auto"/>
        <w:rPr>
          <w:rFonts w:ascii="Avenir LT 45 Book" w:eastAsia="Calibri" w:hAnsi="Avenir LT 45 Book"/>
          <w:sz w:val="20"/>
        </w:rPr>
      </w:pPr>
      <w:r w:rsidRPr="006633EF">
        <w:rPr>
          <w:rFonts w:ascii="Avenir LT 45 Book" w:eastAsia="Calibri" w:hAnsi="Avenir LT 45 Book"/>
          <w:sz w:val="20"/>
        </w:rPr>
        <w:t xml:space="preserve">A report prepared by a qualified structural engineer that assesses the structural state of a building or element. </w:t>
      </w:r>
    </w:p>
    <w:p w14:paraId="62ACEDD4" w14:textId="77777777" w:rsidR="00245106" w:rsidRDefault="00245106">
      <w:pPr>
        <w:rPr>
          <w:rFonts w:ascii="Avenir LT 65 Medium" w:hAnsi="Avenir LT 65 Medium"/>
          <w:bCs/>
        </w:rPr>
      </w:pPr>
      <w:r>
        <w:rPr>
          <w:rFonts w:ascii="Avenir LT 65 Medium" w:hAnsi="Avenir LT 65 Medium"/>
          <w:bCs/>
        </w:rPr>
        <w:br w:type="page"/>
      </w:r>
    </w:p>
    <w:p w14:paraId="1F2CD468" w14:textId="77777777" w:rsidR="00B46EF1" w:rsidRPr="00842387" w:rsidRDefault="00B46EF1" w:rsidP="00B46EF1">
      <w:pPr>
        <w:rPr>
          <w:rFonts w:ascii="Avenir LT 65 Medium" w:hAnsi="Avenir LT 65 Medium"/>
          <w:bCs/>
        </w:rPr>
      </w:pPr>
      <w:r>
        <w:rPr>
          <w:rFonts w:ascii="Avenir LT 65 Medium" w:hAnsi="Avenir LT 65 Medium"/>
          <w:bCs/>
        </w:rPr>
        <w:lastRenderedPageBreak/>
        <w:t>Immediate L</w:t>
      </w:r>
      <w:r w:rsidRPr="00842387">
        <w:rPr>
          <w:rFonts w:ascii="Avenir LT 65 Medium" w:hAnsi="Avenir LT 65 Medium"/>
          <w:bCs/>
        </w:rPr>
        <w:t>ocality</w:t>
      </w:r>
    </w:p>
    <w:p w14:paraId="15DD4CF6" w14:textId="77777777" w:rsidR="00B46EF1" w:rsidRPr="006633EF" w:rsidRDefault="00B46EF1" w:rsidP="00245106">
      <w:pPr>
        <w:spacing w:line="360" w:lineRule="auto"/>
        <w:rPr>
          <w:rFonts w:ascii="Avenir LT 45 Book" w:eastAsia="Calibri" w:hAnsi="Avenir LT 45 Book"/>
          <w:sz w:val="20"/>
        </w:rPr>
      </w:pPr>
      <w:r w:rsidRPr="006633EF">
        <w:rPr>
          <w:rFonts w:ascii="Avenir LT 45 Book" w:eastAsia="Calibri" w:hAnsi="Avenir LT 45 Book"/>
          <w:sz w:val="20"/>
        </w:rPr>
        <w:t>The five premises on either side of the proposed development on both sides of the street that the subject building is oriented towards. More significance will be given to development in the immediate locality that is closer to the proposed development, particularly in the case of corner lots.</w:t>
      </w:r>
    </w:p>
    <w:p w14:paraId="65DE2F2A" w14:textId="77777777" w:rsidR="00B46EF1" w:rsidRPr="00842387" w:rsidRDefault="00B46EF1" w:rsidP="00B46EF1">
      <w:pPr>
        <w:rPr>
          <w:rFonts w:ascii="Avenir LT 65 Medium" w:hAnsi="Avenir LT 65 Medium"/>
        </w:rPr>
      </w:pPr>
      <w:r>
        <w:rPr>
          <w:rFonts w:ascii="Avenir LT 65 Medium" w:hAnsi="Avenir LT 65 Medium"/>
        </w:rPr>
        <w:t>Traditional</w:t>
      </w:r>
    </w:p>
    <w:p w14:paraId="17C44822" w14:textId="77777777" w:rsidR="00B46EF1" w:rsidRPr="006633EF" w:rsidRDefault="00B46EF1" w:rsidP="00245106">
      <w:pPr>
        <w:spacing w:line="360" w:lineRule="auto"/>
        <w:rPr>
          <w:rFonts w:ascii="Avenir LT 45 Book" w:eastAsia="Calibri" w:hAnsi="Avenir LT 45 Book"/>
          <w:sz w:val="20"/>
        </w:rPr>
      </w:pPr>
      <w:r w:rsidRPr="006633EF">
        <w:rPr>
          <w:rFonts w:ascii="Avenir LT 45 Book" w:eastAsia="Calibri" w:hAnsi="Avenir LT 45 Book"/>
          <w:sz w:val="20"/>
        </w:rPr>
        <w:t xml:space="preserve">Traditional means the predominant historical development type in areas where there is </w:t>
      </w:r>
      <w:proofErr w:type="spellStart"/>
      <w:r w:rsidRPr="006633EF">
        <w:rPr>
          <w:rFonts w:ascii="Avenir LT 45 Book" w:eastAsia="Calibri" w:hAnsi="Avenir LT 45 Book"/>
          <w:sz w:val="20"/>
        </w:rPr>
        <w:t>precinctual</w:t>
      </w:r>
      <w:proofErr w:type="spellEnd"/>
      <w:r w:rsidRPr="006633EF">
        <w:rPr>
          <w:rFonts w:ascii="Avenir LT 45 Book" w:eastAsia="Calibri" w:hAnsi="Avenir LT 45 Book"/>
          <w:sz w:val="20"/>
        </w:rPr>
        <w:t xml:space="preserve"> heritage value.</w:t>
      </w:r>
    </w:p>
    <w:p w14:paraId="60100D14" w14:textId="77777777" w:rsidR="00B46EF1" w:rsidRPr="00842387" w:rsidRDefault="00B46EF1" w:rsidP="00B46EF1">
      <w:pPr>
        <w:rPr>
          <w:rFonts w:ascii="Avenir LT 65 Medium" w:hAnsi="Avenir LT 65 Medium"/>
        </w:rPr>
      </w:pPr>
      <w:r w:rsidRPr="00842387">
        <w:rPr>
          <w:rFonts w:ascii="Avenir LT 65 Medium" w:hAnsi="Avenir LT 65 Medium"/>
        </w:rPr>
        <w:t>Vertical Profile</w:t>
      </w:r>
    </w:p>
    <w:p w14:paraId="62D2921A" w14:textId="77777777" w:rsidR="00B46EF1" w:rsidRPr="006633EF" w:rsidRDefault="00B46EF1" w:rsidP="00B46EF1">
      <w:pPr>
        <w:rPr>
          <w:rFonts w:ascii="Avenir LT 45 Book" w:eastAsia="Calibri" w:hAnsi="Avenir LT 45 Book"/>
          <w:sz w:val="20"/>
        </w:rPr>
      </w:pPr>
      <w:r w:rsidRPr="006633EF">
        <w:rPr>
          <w:rFonts w:ascii="Avenir LT 45 Book" w:eastAsia="Calibri" w:hAnsi="Avenir LT 45 Book"/>
          <w:sz w:val="20"/>
        </w:rPr>
        <w:t>The height is greater than the width.</w:t>
      </w:r>
    </w:p>
    <w:p w14:paraId="433BE77B" w14:textId="77777777" w:rsidR="00B46EF1" w:rsidRPr="00842387" w:rsidRDefault="00B46EF1" w:rsidP="00B46EF1">
      <w:pPr>
        <w:rPr>
          <w:rFonts w:ascii="Avenir LT 65 Medium" w:hAnsi="Avenir LT 65 Medium"/>
        </w:rPr>
      </w:pPr>
      <w:r w:rsidRPr="00842387">
        <w:rPr>
          <w:rFonts w:ascii="Avenir LT 65 Medium" w:hAnsi="Avenir LT 65 Medium"/>
        </w:rPr>
        <w:t xml:space="preserve">Visually Permeable </w:t>
      </w:r>
    </w:p>
    <w:p w14:paraId="6C2C3312" w14:textId="77777777" w:rsidR="00B46EF1" w:rsidRPr="006633EF" w:rsidRDefault="00B46EF1" w:rsidP="00245106">
      <w:pPr>
        <w:spacing w:line="360" w:lineRule="auto"/>
        <w:rPr>
          <w:rFonts w:ascii="Avenir LT 45 Book" w:eastAsia="Calibri" w:hAnsi="Avenir LT 45 Book"/>
          <w:sz w:val="20"/>
        </w:rPr>
      </w:pPr>
      <w:r w:rsidRPr="006633EF">
        <w:rPr>
          <w:rFonts w:ascii="Avenir LT 45 Book" w:eastAsia="Calibri" w:hAnsi="Avenir LT 45 Book"/>
          <w:sz w:val="20"/>
        </w:rPr>
        <w:t>Continuous vertical gaps of at least 50mm width occupying not less than 60% of the face in aggregate f the entire surface.  That is at least 60% of the wall must be open.</w:t>
      </w:r>
    </w:p>
    <w:p w14:paraId="76B02E20" w14:textId="77777777" w:rsidR="00B46EF1" w:rsidRPr="006633EF" w:rsidRDefault="00B46EF1" w:rsidP="00B46EF1">
      <w:pPr>
        <w:rPr>
          <w:rFonts w:ascii="Avenir LT 45 Book" w:eastAsia="Calibri" w:hAnsi="Avenir LT 45 Book"/>
          <w:sz w:val="20"/>
        </w:rPr>
      </w:pPr>
      <w:r w:rsidRPr="006633EF">
        <w:rPr>
          <w:rFonts w:ascii="Avenir LT 45 Book" w:eastAsia="Calibri" w:hAnsi="Avenir LT 45 Book"/>
          <w:sz w:val="20"/>
        </w:rPr>
        <w:t>NOTE:  This differs from the R-Codes.</w:t>
      </w:r>
    </w:p>
    <w:p w14:paraId="5FE673BD" w14:textId="77777777" w:rsidR="00B46EF1" w:rsidRDefault="00B46EF1" w:rsidP="00B46EF1">
      <w:pPr>
        <w:rPr>
          <w:rFonts w:ascii="Avenir LT 65 Medium" w:hAnsi="Avenir LT 65 Medium"/>
        </w:rPr>
      </w:pPr>
      <w:r>
        <w:rPr>
          <w:rFonts w:ascii="Avenir LT 65 Medium" w:hAnsi="Avenir LT 65 Medium"/>
        </w:rPr>
        <w:t>Viewshed</w:t>
      </w:r>
    </w:p>
    <w:p w14:paraId="26F30C14" w14:textId="77777777" w:rsidR="00B46EF1" w:rsidRPr="006633EF" w:rsidRDefault="00B46EF1" w:rsidP="00245106">
      <w:pPr>
        <w:spacing w:line="360" w:lineRule="auto"/>
        <w:rPr>
          <w:rFonts w:ascii="Avenir LT 45 Book" w:eastAsia="Calibri" w:hAnsi="Avenir LT 45 Book"/>
          <w:sz w:val="20"/>
        </w:rPr>
      </w:pPr>
      <w:r w:rsidRPr="006633EF">
        <w:rPr>
          <w:rFonts w:ascii="Avenir LT 45 Book" w:eastAsia="Calibri" w:hAnsi="Avenir LT 45 Book"/>
          <w:sz w:val="20"/>
        </w:rPr>
        <w:t xml:space="preserve">A viewshed is an area of land, water, or other </w:t>
      </w:r>
      <w:hyperlink r:id="rId283" w:history="1">
        <w:r w:rsidRPr="006633EF">
          <w:rPr>
            <w:rFonts w:ascii="Avenir LT 45 Book" w:eastAsia="Calibri" w:hAnsi="Avenir LT 45 Book"/>
            <w:sz w:val="20"/>
          </w:rPr>
          <w:t>environmental</w:t>
        </w:r>
      </w:hyperlink>
      <w:r w:rsidRPr="006633EF">
        <w:rPr>
          <w:rFonts w:ascii="Avenir LT 45 Book" w:eastAsia="Calibri" w:hAnsi="Avenir LT 45 Book"/>
          <w:sz w:val="20"/>
        </w:rPr>
        <w:t xml:space="preserve"> element that is visible to the human eye from a fixed vantage point.  In this case, viewsheds are areas of </w:t>
      </w:r>
      <w:proofErr w:type="gramStart"/>
      <w:r w:rsidRPr="006633EF">
        <w:rPr>
          <w:rFonts w:ascii="Avenir LT 45 Book" w:eastAsia="Calibri" w:hAnsi="Avenir LT 45 Book"/>
          <w:sz w:val="20"/>
        </w:rPr>
        <w:t>particular scenic</w:t>
      </w:r>
      <w:proofErr w:type="gramEnd"/>
      <w:r w:rsidRPr="006633EF">
        <w:rPr>
          <w:rFonts w:ascii="Avenir LT 45 Book" w:eastAsia="Calibri" w:hAnsi="Avenir LT 45 Book"/>
          <w:sz w:val="20"/>
        </w:rPr>
        <w:t xml:space="preserve"> or historic value that are deemed worthy of preservation against development or other change. Viewsheds are spaces that are readily visible from public areas such as from public roadways, public parks or say the north side of the Swan River. </w:t>
      </w:r>
    </w:p>
    <w:p w14:paraId="55231CC1" w14:textId="77777777" w:rsidR="00B46EF1" w:rsidRPr="00842387" w:rsidRDefault="00B46EF1" w:rsidP="00B46EF1">
      <w:pPr>
        <w:rPr>
          <w:rFonts w:ascii="Avenir LT 65 Medium" w:hAnsi="Avenir LT 65 Medium"/>
        </w:rPr>
      </w:pPr>
      <w:r w:rsidRPr="00842387">
        <w:rPr>
          <w:rFonts w:ascii="Avenir LT 65 Medium" w:hAnsi="Avenir LT 65 Medium"/>
        </w:rPr>
        <w:t>Zones of Significance</w:t>
      </w:r>
    </w:p>
    <w:p w14:paraId="3F12E883" w14:textId="77777777" w:rsidR="00B46EF1" w:rsidRPr="006633EF" w:rsidRDefault="00B46EF1" w:rsidP="00245106">
      <w:pPr>
        <w:spacing w:line="360" w:lineRule="auto"/>
        <w:rPr>
          <w:rFonts w:ascii="Avenir LT 45 Book" w:eastAsia="Calibri" w:hAnsi="Avenir LT 45 Book"/>
          <w:sz w:val="20"/>
        </w:rPr>
      </w:pPr>
      <w:r w:rsidRPr="006633EF">
        <w:rPr>
          <w:rFonts w:ascii="Avenir LT 45 Book" w:eastAsia="Calibri" w:hAnsi="Avenir LT 45 Book"/>
          <w:sz w:val="20"/>
        </w:rPr>
        <w:t xml:space="preserve">Zones of significance identify the level of significance of spaces and elements in existing buildings.  The elements are considered within their historical and physical context and in relation to the significance of the </w:t>
      </w:r>
      <w:proofErr w:type="gramStart"/>
      <w:r w:rsidRPr="006633EF">
        <w:rPr>
          <w:rFonts w:ascii="Avenir LT 45 Book" w:eastAsia="Calibri" w:hAnsi="Avenir LT 45 Book"/>
          <w:sz w:val="20"/>
        </w:rPr>
        <w:t>place as a whole</w:t>
      </w:r>
      <w:proofErr w:type="gramEnd"/>
      <w:r w:rsidRPr="006633EF">
        <w:rPr>
          <w:rFonts w:ascii="Avenir LT 45 Book" w:eastAsia="Calibri" w:hAnsi="Avenir LT 45 Book"/>
          <w:sz w:val="20"/>
        </w:rPr>
        <w:t>.</w:t>
      </w:r>
    </w:p>
    <w:p w14:paraId="536EBF9B" w14:textId="77777777" w:rsidR="00FC6FDE" w:rsidRDefault="00FC6FDE" w:rsidP="00B46EF1">
      <w:pPr>
        <w:rPr>
          <w:lang w:val="en-US"/>
        </w:rPr>
        <w:sectPr w:rsidR="00FC6FDE" w:rsidSect="001543AD">
          <w:headerReference w:type="default" r:id="rId284"/>
          <w:headerReference w:type="first" r:id="rId285"/>
          <w:pgSz w:w="11906" w:h="16838"/>
          <w:pgMar w:top="1021" w:right="1440" w:bottom="1440" w:left="1440" w:header="709" w:footer="709" w:gutter="0"/>
          <w:cols w:space="708"/>
          <w:docGrid w:linePitch="360"/>
        </w:sectPr>
      </w:pPr>
    </w:p>
    <w:p w14:paraId="5AB98B3A" w14:textId="26E298B8" w:rsidR="00B46EF1" w:rsidRDefault="00837116" w:rsidP="00B46EF1">
      <w:pPr>
        <w:pStyle w:val="Policy3"/>
        <w:jc w:val="right"/>
      </w:pPr>
      <w:bookmarkStart w:id="477" w:name="_Toc22816251"/>
      <w:bookmarkStart w:id="478" w:name="_Toc34920544"/>
      <w:bookmarkStart w:id="479" w:name="_Toc38459313"/>
      <w:bookmarkStart w:id="480" w:name="_Toc39733687"/>
      <w:bookmarkStart w:id="481" w:name="_Toc41304220"/>
      <w:bookmarkStart w:id="482" w:name="_Toc44321676"/>
      <w:bookmarkStart w:id="483" w:name="_Toc44321896"/>
      <w:bookmarkStart w:id="484" w:name="_Toc46914963"/>
      <w:bookmarkStart w:id="485" w:name="_Toc51860088"/>
      <w:bookmarkStart w:id="486" w:name="_Toc54342077"/>
      <w:bookmarkStart w:id="487" w:name="_Toc56677054"/>
      <w:bookmarkStart w:id="488" w:name="_Toc58574991"/>
      <w:bookmarkStart w:id="489" w:name="_Toc59458427"/>
      <w:bookmarkStart w:id="490" w:name="_Toc64995034"/>
      <w:bookmarkStart w:id="491" w:name="_Toc66971669"/>
      <w:bookmarkStart w:id="492" w:name="_Toc66971922"/>
      <w:bookmarkStart w:id="493" w:name="_Toc70498544"/>
      <w:bookmarkStart w:id="494" w:name="_Toc70499150"/>
      <w:bookmarkStart w:id="495" w:name="_Toc70499472"/>
      <w:bookmarkStart w:id="496" w:name="_Toc72940303"/>
      <w:bookmarkStart w:id="497" w:name="_Toc73715672"/>
      <w:bookmarkStart w:id="498" w:name="_Toc78453294"/>
      <w:bookmarkStart w:id="499" w:name="_Toc78453538"/>
      <w:bookmarkStart w:id="500" w:name="_Toc80268883"/>
      <w:bookmarkStart w:id="501" w:name="_Toc83368062"/>
      <w:bookmarkStart w:id="502" w:name="_Toc85793426"/>
      <w:bookmarkStart w:id="503" w:name="_Toc87531465"/>
      <w:bookmarkStart w:id="504" w:name="_Toc109732974"/>
      <w:bookmarkStart w:id="505" w:name="_Toc163201283"/>
      <w:bookmarkStart w:id="506" w:name="_Toc164255704"/>
      <w:bookmarkStart w:id="507" w:name="_Toc188617041"/>
      <w:bookmarkStart w:id="508" w:name="_Toc204612827"/>
      <w:bookmarkStart w:id="509" w:name="_Toc214980880"/>
      <w:bookmarkStart w:id="510" w:name="_Toc216866714"/>
      <w:r>
        <w:rPr>
          <w:noProof/>
          <w:lang w:eastAsia="en-AU"/>
        </w:rPr>
        <w:lastRenderedPageBreak/>
        <w:drawing>
          <wp:anchor distT="0" distB="0" distL="114300" distR="114300" simplePos="0" relativeHeight="251649024" behindDoc="1" locked="0" layoutInCell="1" allowOverlap="1" wp14:anchorId="2BF4251A" wp14:editId="69896F7B">
            <wp:simplePos x="0" y="0"/>
            <wp:positionH relativeFrom="column">
              <wp:posOffset>4276725</wp:posOffset>
            </wp:positionH>
            <wp:positionV relativeFrom="paragraph">
              <wp:posOffset>12700</wp:posOffset>
            </wp:positionV>
            <wp:extent cx="1744345" cy="699135"/>
            <wp:effectExtent l="0" t="0" r="8255" b="5715"/>
            <wp:wrapTight wrapText="bothSides">
              <wp:wrapPolygon edited="0">
                <wp:start x="0" y="0"/>
                <wp:lineTo x="0" y="21188"/>
                <wp:lineTo x="21466" y="21188"/>
                <wp:lineTo x="21466"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p>
    <w:p w14:paraId="15C7FC74" w14:textId="77777777" w:rsidR="00837116" w:rsidRDefault="00837116" w:rsidP="00B00D30">
      <w:pPr>
        <w:pStyle w:val="Policy3"/>
      </w:pPr>
    </w:p>
    <w:p w14:paraId="30F3088B" w14:textId="77777777" w:rsidR="00837116" w:rsidRDefault="00837116" w:rsidP="00B00D30">
      <w:pPr>
        <w:pStyle w:val="Policy3"/>
      </w:pPr>
    </w:p>
    <w:p w14:paraId="1B1F1BD2" w14:textId="342CACEE" w:rsidR="002C6E58" w:rsidRPr="002C6E58" w:rsidRDefault="002C6E58" w:rsidP="00B00D30">
      <w:pPr>
        <w:pStyle w:val="Policy3"/>
      </w:pPr>
      <w:bookmarkStart w:id="511" w:name="_Toc216866715"/>
      <w:r>
        <w:t>3.1.2</w:t>
      </w:r>
      <w:r>
        <w:tab/>
      </w:r>
      <w:r w:rsidRPr="002C6E58">
        <w:t>S</w:t>
      </w:r>
      <w:r w:rsidR="00B00D30">
        <w:t>ignage Design Guidelines - Local Planning Policy</w:t>
      </w:r>
      <w:bookmarkEnd w:id="511"/>
    </w:p>
    <w:tbl>
      <w:tblPr>
        <w:tblStyle w:val="TableGrid"/>
        <w:tblW w:w="0" w:type="auto"/>
        <w:tblLook w:val="04A0" w:firstRow="1" w:lastRow="0" w:firstColumn="1" w:lastColumn="0" w:noHBand="0" w:noVBand="1"/>
      </w:tblPr>
      <w:tblGrid>
        <w:gridCol w:w="2899"/>
        <w:gridCol w:w="6117"/>
      </w:tblGrid>
      <w:tr w:rsidR="002C6E58" w:rsidRPr="002C6E58" w14:paraId="48D0559D" w14:textId="77777777" w:rsidTr="00EA2651">
        <w:tc>
          <w:tcPr>
            <w:tcW w:w="3022" w:type="dxa"/>
          </w:tcPr>
          <w:p w14:paraId="137B0269" w14:textId="77777777" w:rsidR="002C6E58" w:rsidRPr="002C6E58" w:rsidRDefault="002C6E58" w:rsidP="001400A8">
            <w:pPr>
              <w:rPr>
                <w:rFonts w:cs="Arial"/>
                <w:b/>
                <w:lang w:val="en-US"/>
              </w:rPr>
            </w:pPr>
            <w:r w:rsidRPr="002C6E58">
              <w:rPr>
                <w:rFonts w:cs="Arial"/>
                <w:b/>
                <w:lang w:val="en-US"/>
              </w:rPr>
              <w:t>Type:</w:t>
            </w:r>
          </w:p>
        </w:tc>
        <w:tc>
          <w:tcPr>
            <w:tcW w:w="6471" w:type="dxa"/>
          </w:tcPr>
          <w:p w14:paraId="711835AE" w14:textId="77777777" w:rsidR="002C6E58" w:rsidRPr="002C6E58" w:rsidRDefault="00202060" w:rsidP="001400A8">
            <w:pPr>
              <w:rPr>
                <w:rFonts w:cs="Arial"/>
                <w:lang w:val="en-US"/>
              </w:rPr>
            </w:pPr>
            <w:r>
              <w:rPr>
                <w:rFonts w:cs="Arial"/>
                <w:lang w:val="en-US"/>
              </w:rPr>
              <w:t>Regulatory Services - Planning</w:t>
            </w:r>
          </w:p>
        </w:tc>
      </w:tr>
      <w:tr w:rsidR="002C6E58" w:rsidRPr="002C6E58" w14:paraId="329B1EF5" w14:textId="77777777" w:rsidTr="00EA2651">
        <w:tc>
          <w:tcPr>
            <w:tcW w:w="3022" w:type="dxa"/>
          </w:tcPr>
          <w:p w14:paraId="7B71362F" w14:textId="77777777" w:rsidR="002C6E58" w:rsidRPr="002C6E58" w:rsidRDefault="002C6E58" w:rsidP="001400A8">
            <w:pPr>
              <w:rPr>
                <w:rFonts w:cs="Arial"/>
                <w:b/>
                <w:lang w:val="en-US"/>
              </w:rPr>
            </w:pPr>
            <w:r w:rsidRPr="002C6E58">
              <w:rPr>
                <w:rFonts w:cs="Arial"/>
                <w:b/>
                <w:lang w:val="en-US"/>
              </w:rPr>
              <w:t>Legislation:</w:t>
            </w:r>
          </w:p>
        </w:tc>
        <w:tc>
          <w:tcPr>
            <w:tcW w:w="6471" w:type="dxa"/>
          </w:tcPr>
          <w:p w14:paraId="41389439" w14:textId="77777777" w:rsidR="002C6E58" w:rsidRPr="002C6E58" w:rsidRDefault="002C6E58" w:rsidP="001400A8">
            <w:pPr>
              <w:rPr>
                <w:rFonts w:cs="Arial"/>
                <w:lang w:val="en-US"/>
              </w:rPr>
            </w:pPr>
            <w:r w:rsidRPr="002C6E58">
              <w:rPr>
                <w:rFonts w:cs="Arial"/>
                <w:lang w:val="en-US"/>
              </w:rPr>
              <w:t>Planning and Development Act 2005</w:t>
            </w:r>
          </w:p>
        </w:tc>
      </w:tr>
      <w:tr w:rsidR="002C6E58" w:rsidRPr="002C6E58" w14:paraId="601E4C61" w14:textId="77777777" w:rsidTr="00EA2651">
        <w:tc>
          <w:tcPr>
            <w:tcW w:w="3022" w:type="dxa"/>
          </w:tcPr>
          <w:p w14:paraId="03FF6517" w14:textId="77777777" w:rsidR="002C6E58" w:rsidRPr="002C6E58" w:rsidRDefault="002C6E58" w:rsidP="001400A8">
            <w:pPr>
              <w:rPr>
                <w:rFonts w:cs="Arial"/>
                <w:b/>
                <w:lang w:val="en-US"/>
              </w:rPr>
            </w:pPr>
            <w:r w:rsidRPr="002C6E58">
              <w:rPr>
                <w:rFonts w:cs="Arial"/>
                <w:b/>
                <w:lang w:val="en-US"/>
              </w:rPr>
              <w:t>Delegation:</w:t>
            </w:r>
          </w:p>
        </w:tc>
        <w:tc>
          <w:tcPr>
            <w:tcW w:w="6471" w:type="dxa"/>
          </w:tcPr>
          <w:p w14:paraId="77D5CCCA" w14:textId="77777777" w:rsidR="002C6E58" w:rsidRPr="002C6E58" w:rsidRDefault="002C6E58" w:rsidP="001400A8">
            <w:pPr>
              <w:rPr>
                <w:rFonts w:cs="Arial"/>
                <w:lang w:val="en-US"/>
              </w:rPr>
            </w:pPr>
          </w:p>
        </w:tc>
      </w:tr>
      <w:tr w:rsidR="002C6E58" w:rsidRPr="002C6E58" w14:paraId="4447AA26" w14:textId="77777777" w:rsidTr="00EA2651">
        <w:tc>
          <w:tcPr>
            <w:tcW w:w="3022" w:type="dxa"/>
          </w:tcPr>
          <w:p w14:paraId="05650DC4" w14:textId="77777777" w:rsidR="002C6E58" w:rsidRPr="002C6E58" w:rsidRDefault="002C6E58" w:rsidP="001400A8">
            <w:pPr>
              <w:rPr>
                <w:rFonts w:cs="Arial"/>
                <w:b/>
                <w:lang w:val="en-US"/>
              </w:rPr>
            </w:pPr>
            <w:r w:rsidRPr="002C6E58">
              <w:rPr>
                <w:rFonts w:cs="Arial"/>
                <w:b/>
                <w:lang w:val="en-US"/>
              </w:rPr>
              <w:t>Other Related Document:</w:t>
            </w:r>
          </w:p>
        </w:tc>
        <w:tc>
          <w:tcPr>
            <w:tcW w:w="6471" w:type="dxa"/>
          </w:tcPr>
          <w:p w14:paraId="10CDDA98" w14:textId="77777777" w:rsidR="002C6E58" w:rsidRPr="002C6E58" w:rsidRDefault="002C6E58" w:rsidP="001400A8">
            <w:pPr>
              <w:rPr>
                <w:rFonts w:cs="Arial"/>
                <w:lang w:val="en-US"/>
              </w:rPr>
            </w:pPr>
            <w:proofErr w:type="spellStart"/>
            <w:r w:rsidRPr="002C6E58">
              <w:rPr>
                <w:rFonts w:cs="Arial"/>
                <w:lang w:val="en-US"/>
              </w:rPr>
              <w:t>ToEF</w:t>
            </w:r>
            <w:proofErr w:type="spellEnd"/>
            <w:r w:rsidRPr="002C6E58">
              <w:rPr>
                <w:rFonts w:cs="Arial"/>
                <w:lang w:val="en-US"/>
              </w:rPr>
              <w:t xml:space="preserve"> Town Planning Scheme No 3</w:t>
            </w:r>
          </w:p>
        </w:tc>
      </w:tr>
    </w:tbl>
    <w:p w14:paraId="0C573EBD" w14:textId="77777777" w:rsidR="002C6E58" w:rsidRPr="002C6E58" w:rsidRDefault="002C6E58" w:rsidP="002C6E58">
      <w:pPr>
        <w:spacing w:before="200" w:after="0"/>
        <w:rPr>
          <w:b/>
          <w:sz w:val="28"/>
          <w:szCs w:val="28"/>
          <w:lang w:val="en-US"/>
        </w:rPr>
      </w:pPr>
      <w:r w:rsidRPr="002C6E58">
        <w:rPr>
          <w:b/>
          <w:sz w:val="28"/>
          <w:szCs w:val="28"/>
          <w:lang w:val="en-US"/>
        </w:rPr>
        <w:t>Objective</w:t>
      </w:r>
    </w:p>
    <w:p w14:paraId="0A0E7E5A" w14:textId="77777777" w:rsidR="002C6E58" w:rsidRPr="002C6E58" w:rsidRDefault="002C6E58" w:rsidP="002A3889">
      <w:pPr>
        <w:numPr>
          <w:ilvl w:val="0"/>
          <w:numId w:val="274"/>
        </w:numPr>
        <w:tabs>
          <w:tab w:val="clear" w:pos="1077"/>
        </w:tabs>
        <w:overflowPunct w:val="0"/>
        <w:autoSpaceDE w:val="0"/>
        <w:autoSpaceDN w:val="0"/>
        <w:adjustRightInd w:val="0"/>
        <w:spacing w:after="60" w:line="240" w:lineRule="auto"/>
        <w:ind w:left="567" w:hanging="567"/>
        <w:jc w:val="both"/>
        <w:textAlignment w:val="baseline"/>
        <w:rPr>
          <w:rFonts w:eastAsia="Times New Roman" w:cs="Arial"/>
          <w:lang w:val="en-US"/>
        </w:rPr>
      </w:pPr>
      <w:r w:rsidRPr="002C6E58">
        <w:rPr>
          <w:rFonts w:eastAsia="Times New Roman" w:cs="Arial"/>
          <w:lang w:val="en-US"/>
        </w:rPr>
        <w:t>To provide adequate opportunities for commercial advertising to support and encourage local business activity.</w:t>
      </w:r>
    </w:p>
    <w:p w14:paraId="6912042E" w14:textId="77777777" w:rsidR="002C6E58" w:rsidRPr="002C6E58" w:rsidRDefault="002C6E58" w:rsidP="002A3889">
      <w:pPr>
        <w:numPr>
          <w:ilvl w:val="0"/>
          <w:numId w:val="274"/>
        </w:numPr>
        <w:tabs>
          <w:tab w:val="clear" w:pos="1077"/>
        </w:tabs>
        <w:overflowPunct w:val="0"/>
        <w:autoSpaceDE w:val="0"/>
        <w:autoSpaceDN w:val="0"/>
        <w:adjustRightInd w:val="0"/>
        <w:spacing w:after="60" w:line="240" w:lineRule="auto"/>
        <w:ind w:left="567" w:hanging="567"/>
        <w:jc w:val="both"/>
        <w:textAlignment w:val="baseline"/>
        <w:rPr>
          <w:rFonts w:eastAsia="Times New Roman" w:cs="Arial"/>
          <w:lang w:val="en-US"/>
        </w:rPr>
      </w:pPr>
      <w:r w:rsidRPr="002C6E58">
        <w:rPr>
          <w:rFonts w:eastAsia="Times New Roman" w:cs="Arial"/>
          <w:lang w:val="en-US"/>
        </w:rPr>
        <w:t>To promote and protect significant positive visual elements which contribute to East Fremantle’s ‘sense of place’ and the visual amenity of the streetscape.</w:t>
      </w:r>
    </w:p>
    <w:p w14:paraId="73374F78" w14:textId="77777777" w:rsidR="002C6E58" w:rsidRPr="002C6E58" w:rsidRDefault="002C6E58" w:rsidP="002A3889">
      <w:pPr>
        <w:numPr>
          <w:ilvl w:val="0"/>
          <w:numId w:val="274"/>
        </w:numPr>
        <w:tabs>
          <w:tab w:val="clear" w:pos="1077"/>
        </w:tabs>
        <w:overflowPunct w:val="0"/>
        <w:autoSpaceDE w:val="0"/>
        <w:autoSpaceDN w:val="0"/>
        <w:adjustRightInd w:val="0"/>
        <w:spacing w:after="60" w:line="240" w:lineRule="auto"/>
        <w:ind w:left="567" w:hanging="567"/>
        <w:jc w:val="both"/>
        <w:textAlignment w:val="baseline"/>
        <w:rPr>
          <w:rFonts w:eastAsia="Times New Roman" w:cs="Arial"/>
          <w:lang w:val="en-GB"/>
        </w:rPr>
      </w:pPr>
      <w:r w:rsidRPr="002C6E58">
        <w:rPr>
          <w:rFonts w:eastAsia="Times New Roman" w:cs="Arial"/>
          <w:lang w:val="en-US"/>
        </w:rPr>
        <w:t>Protect the cultural heritage values of a place of cultural significance.</w:t>
      </w:r>
    </w:p>
    <w:p w14:paraId="2BF0AAFA" w14:textId="77777777" w:rsidR="002C6E58" w:rsidRPr="002C6E58" w:rsidRDefault="002C6E58" w:rsidP="002A3889">
      <w:pPr>
        <w:numPr>
          <w:ilvl w:val="0"/>
          <w:numId w:val="274"/>
        </w:numPr>
        <w:tabs>
          <w:tab w:val="clear" w:pos="1077"/>
        </w:tabs>
        <w:overflowPunct w:val="0"/>
        <w:autoSpaceDE w:val="0"/>
        <w:autoSpaceDN w:val="0"/>
        <w:adjustRightInd w:val="0"/>
        <w:spacing w:after="60" w:line="240" w:lineRule="auto"/>
        <w:ind w:left="567" w:hanging="567"/>
        <w:jc w:val="both"/>
        <w:textAlignment w:val="baseline"/>
        <w:rPr>
          <w:rFonts w:eastAsia="Times New Roman" w:cs="Arial"/>
          <w:lang w:val="en-GB"/>
        </w:rPr>
      </w:pPr>
      <w:r w:rsidRPr="002C6E58">
        <w:rPr>
          <w:rFonts w:eastAsia="Times New Roman" w:cs="Arial"/>
          <w:lang w:val="en-GB"/>
        </w:rPr>
        <w:t>Coordinate</w:t>
      </w:r>
      <w:r w:rsidRPr="002C6E58">
        <w:rPr>
          <w:rFonts w:eastAsia="Times New Roman" w:cs="Arial"/>
          <w:lang w:val="en-US"/>
        </w:rPr>
        <w:t xml:space="preserve"> multiple signage on single buildings through the establishment of an approved signs regime for the site.</w:t>
      </w:r>
    </w:p>
    <w:p w14:paraId="4ADC0060" w14:textId="77777777" w:rsidR="002C6E58" w:rsidRPr="002C6E58" w:rsidRDefault="002C6E58" w:rsidP="002A3889">
      <w:pPr>
        <w:numPr>
          <w:ilvl w:val="0"/>
          <w:numId w:val="274"/>
        </w:numPr>
        <w:tabs>
          <w:tab w:val="clear" w:pos="1077"/>
        </w:tabs>
        <w:overflowPunct w:val="0"/>
        <w:autoSpaceDE w:val="0"/>
        <w:autoSpaceDN w:val="0"/>
        <w:adjustRightInd w:val="0"/>
        <w:spacing w:after="60" w:line="240" w:lineRule="auto"/>
        <w:ind w:left="567" w:hanging="567"/>
        <w:jc w:val="both"/>
        <w:textAlignment w:val="baseline"/>
        <w:rPr>
          <w:rFonts w:eastAsia="Times New Roman" w:cs="Arial"/>
          <w:lang w:val="en-GB"/>
        </w:rPr>
      </w:pPr>
      <w:r w:rsidRPr="002C6E58">
        <w:rPr>
          <w:rFonts w:eastAsia="Times New Roman" w:cs="Arial"/>
          <w:lang w:val="en-US"/>
        </w:rPr>
        <w:t>Ensure the type and size of signs is appropriate for their location.</w:t>
      </w:r>
    </w:p>
    <w:p w14:paraId="75074E9E" w14:textId="77777777" w:rsidR="002C6E58" w:rsidRPr="002C6E58" w:rsidRDefault="002C6E58" w:rsidP="002A3889">
      <w:pPr>
        <w:numPr>
          <w:ilvl w:val="0"/>
          <w:numId w:val="274"/>
        </w:numPr>
        <w:tabs>
          <w:tab w:val="clear" w:pos="1077"/>
        </w:tabs>
        <w:overflowPunct w:val="0"/>
        <w:autoSpaceDE w:val="0"/>
        <w:autoSpaceDN w:val="0"/>
        <w:adjustRightInd w:val="0"/>
        <w:spacing w:after="60" w:line="240" w:lineRule="auto"/>
        <w:ind w:left="567" w:hanging="567"/>
        <w:jc w:val="both"/>
        <w:textAlignment w:val="baseline"/>
        <w:rPr>
          <w:rFonts w:eastAsia="Times New Roman" w:cs="Arial"/>
          <w:lang w:val="en-US"/>
        </w:rPr>
      </w:pPr>
      <w:r w:rsidRPr="002C6E58">
        <w:rPr>
          <w:rFonts w:eastAsia="Times New Roman" w:cs="Arial"/>
          <w:lang w:val="en-GB"/>
        </w:rPr>
        <w:t>Minimise</w:t>
      </w:r>
      <w:r w:rsidRPr="002C6E58">
        <w:rPr>
          <w:rFonts w:eastAsia="Times New Roman" w:cs="Arial"/>
          <w:lang w:val="en-US"/>
        </w:rPr>
        <w:t xml:space="preserve"> the proliferation of advertisements.</w:t>
      </w:r>
    </w:p>
    <w:p w14:paraId="34600B3F" w14:textId="77777777" w:rsidR="002C6E58" w:rsidRPr="002C6E58" w:rsidRDefault="002C6E58" w:rsidP="002A3889">
      <w:pPr>
        <w:numPr>
          <w:ilvl w:val="0"/>
          <w:numId w:val="274"/>
        </w:numPr>
        <w:tabs>
          <w:tab w:val="clear" w:pos="1077"/>
        </w:tabs>
        <w:overflowPunct w:val="0"/>
        <w:autoSpaceDE w:val="0"/>
        <w:autoSpaceDN w:val="0"/>
        <w:adjustRightInd w:val="0"/>
        <w:spacing w:after="60" w:line="240" w:lineRule="auto"/>
        <w:ind w:left="567" w:hanging="567"/>
        <w:jc w:val="both"/>
        <w:textAlignment w:val="baseline"/>
        <w:rPr>
          <w:rFonts w:eastAsia="Times New Roman" w:cs="Arial"/>
          <w:lang w:val="en-US"/>
        </w:rPr>
      </w:pPr>
      <w:r w:rsidRPr="002C6E58">
        <w:rPr>
          <w:rFonts w:eastAsia="Times New Roman" w:cs="Arial"/>
          <w:lang w:val="en-US"/>
        </w:rPr>
        <w:t>Ensure that advertisements do not adversely impact on traffic circulation and management, or pedestrian safety.</w:t>
      </w:r>
    </w:p>
    <w:p w14:paraId="639C2F80" w14:textId="77777777" w:rsidR="002C6E58" w:rsidRPr="002C6E58" w:rsidRDefault="002C6E58" w:rsidP="002A3889">
      <w:pPr>
        <w:numPr>
          <w:ilvl w:val="0"/>
          <w:numId w:val="274"/>
        </w:numPr>
        <w:tabs>
          <w:tab w:val="clear" w:pos="1077"/>
        </w:tabs>
        <w:overflowPunct w:val="0"/>
        <w:autoSpaceDE w:val="0"/>
        <w:autoSpaceDN w:val="0"/>
        <w:adjustRightInd w:val="0"/>
        <w:spacing w:after="240" w:line="240" w:lineRule="auto"/>
        <w:ind w:left="567" w:hanging="567"/>
        <w:jc w:val="both"/>
        <w:textAlignment w:val="baseline"/>
        <w:rPr>
          <w:rFonts w:eastAsia="Times New Roman" w:cs="Arial"/>
          <w:lang w:val="en-US"/>
        </w:rPr>
      </w:pPr>
      <w:r w:rsidRPr="002C6E58">
        <w:rPr>
          <w:rFonts w:eastAsia="Times New Roman" w:cs="Arial"/>
          <w:lang w:val="en-US"/>
        </w:rPr>
        <w:t>Ensure advertisements are generally erected on land where the advertised business, sale or goods or service is being carried out.</w:t>
      </w:r>
    </w:p>
    <w:p w14:paraId="79D72381" w14:textId="77777777" w:rsidR="002C6E58" w:rsidRPr="002C6E58" w:rsidRDefault="002C6E58" w:rsidP="002C6E58">
      <w:pPr>
        <w:spacing w:after="0"/>
        <w:rPr>
          <w:rFonts w:cs="Arial"/>
          <w:b/>
          <w:sz w:val="28"/>
          <w:szCs w:val="28"/>
          <w:lang w:val="en-US"/>
        </w:rPr>
      </w:pPr>
      <w:r w:rsidRPr="002C6E58">
        <w:rPr>
          <w:rFonts w:cs="Arial"/>
          <w:b/>
          <w:sz w:val="28"/>
          <w:szCs w:val="28"/>
          <w:lang w:val="en-US"/>
        </w:rPr>
        <w:t xml:space="preserve">Policy </w:t>
      </w:r>
    </w:p>
    <w:p w14:paraId="4D79FC2E" w14:textId="77777777" w:rsidR="002C6E58" w:rsidRPr="002C6E58" w:rsidRDefault="002C6E58" w:rsidP="002C6E58">
      <w:pPr>
        <w:overflowPunct w:val="0"/>
        <w:autoSpaceDE w:val="0"/>
        <w:autoSpaceDN w:val="0"/>
        <w:adjustRightInd w:val="0"/>
        <w:spacing w:line="240" w:lineRule="auto"/>
        <w:jc w:val="both"/>
        <w:textAlignment w:val="baseline"/>
        <w:rPr>
          <w:rFonts w:eastAsia="Times New Roman" w:cs="Arial"/>
          <w:lang w:val="en-US"/>
        </w:rPr>
      </w:pPr>
      <w:r w:rsidRPr="002C6E58">
        <w:rPr>
          <w:rFonts w:eastAsia="Times New Roman" w:cs="Arial"/>
          <w:lang w:val="en-US"/>
        </w:rPr>
        <w:t>The purpose of this guideline is to provide a reasonable scope for advertising and information signs for commercial property in a manner which does not overwhelm or compromise visual amenity within the streetscape.</w:t>
      </w:r>
    </w:p>
    <w:p w14:paraId="5BCC5557" w14:textId="77777777" w:rsidR="002C6E58" w:rsidRPr="002C6E58" w:rsidRDefault="002C6E58" w:rsidP="002C6E58">
      <w:pPr>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This Design Guideline clarifies the range and extent of signage that is allowable, within the Town of East Fremantle.</w:t>
      </w:r>
    </w:p>
    <w:p w14:paraId="48F2C245" w14:textId="77777777" w:rsidR="002C6E58" w:rsidRPr="002C6E58" w:rsidRDefault="002C6E58" w:rsidP="00355F2E">
      <w:pPr>
        <w:keepNext/>
        <w:overflowPunct w:val="0"/>
        <w:autoSpaceDE w:val="0"/>
        <w:autoSpaceDN w:val="0"/>
        <w:adjustRightInd w:val="0"/>
        <w:spacing w:before="200" w:after="0" w:line="240" w:lineRule="auto"/>
        <w:ind w:left="425" w:hanging="425"/>
        <w:jc w:val="both"/>
        <w:textAlignment w:val="baseline"/>
        <w:outlineLvl w:val="1"/>
        <w:rPr>
          <w:rFonts w:eastAsia="Times New Roman" w:cs="Arial"/>
          <w:b/>
        </w:rPr>
      </w:pPr>
      <w:bookmarkStart w:id="512" w:name="_Toc1375828"/>
      <w:bookmarkStart w:id="513" w:name="_Toc31017077"/>
      <w:r w:rsidRPr="002C6E58">
        <w:rPr>
          <w:rFonts w:eastAsia="Times New Roman" w:cs="Arial"/>
          <w:b/>
        </w:rPr>
        <w:t>1.</w:t>
      </w:r>
      <w:r w:rsidRPr="002C6E58">
        <w:rPr>
          <w:rFonts w:eastAsia="Times New Roman" w:cs="Arial"/>
          <w:b/>
        </w:rPr>
        <w:tab/>
        <w:t>Application of the Design Guidelines</w:t>
      </w:r>
    </w:p>
    <w:p w14:paraId="2413BED7" w14:textId="77777777" w:rsidR="002C6E58" w:rsidRPr="002C6E58" w:rsidRDefault="002C6E58" w:rsidP="00355F2E">
      <w:pPr>
        <w:tabs>
          <w:tab w:val="left" w:pos="1134"/>
        </w:tabs>
        <w:suppressAutoHyphens/>
        <w:overflowPunct w:val="0"/>
        <w:autoSpaceDE w:val="0"/>
        <w:autoSpaceDN w:val="0"/>
        <w:adjustRightInd w:val="0"/>
        <w:spacing w:after="60" w:line="240" w:lineRule="auto"/>
        <w:ind w:left="1134" w:hanging="708"/>
        <w:jc w:val="both"/>
        <w:textAlignment w:val="baseline"/>
        <w:rPr>
          <w:rFonts w:eastAsia="Times New Roman" w:cs="Arial"/>
          <w:lang w:val="en-US"/>
        </w:rPr>
      </w:pPr>
      <w:r w:rsidRPr="002C6E58">
        <w:rPr>
          <w:rFonts w:eastAsia="Times New Roman" w:cs="Arial"/>
          <w:lang w:val="en-US"/>
        </w:rPr>
        <w:t>1.1</w:t>
      </w:r>
      <w:r w:rsidRPr="002C6E58">
        <w:rPr>
          <w:rFonts w:eastAsia="Times New Roman" w:cs="Arial"/>
          <w:lang w:val="en-US"/>
        </w:rPr>
        <w:tab/>
        <w:t>The provisions of this Design Guideline apply to the erection of all signage within the Town of East Fremantle.</w:t>
      </w:r>
    </w:p>
    <w:p w14:paraId="248CF58E" w14:textId="77777777" w:rsidR="002C6E58" w:rsidRPr="002C6E58" w:rsidRDefault="002C6E58" w:rsidP="00355F2E">
      <w:pPr>
        <w:tabs>
          <w:tab w:val="left" w:pos="0"/>
          <w:tab w:val="left" w:pos="1134"/>
        </w:tabs>
        <w:suppressAutoHyphens/>
        <w:overflowPunct w:val="0"/>
        <w:autoSpaceDE w:val="0"/>
        <w:autoSpaceDN w:val="0"/>
        <w:adjustRightInd w:val="0"/>
        <w:spacing w:after="60" w:line="240" w:lineRule="auto"/>
        <w:ind w:left="1134" w:hanging="708"/>
        <w:jc w:val="both"/>
        <w:textAlignment w:val="baseline"/>
        <w:rPr>
          <w:rFonts w:eastAsia="Times New Roman" w:cs="Arial"/>
        </w:rPr>
      </w:pPr>
      <w:r w:rsidRPr="002C6E58">
        <w:rPr>
          <w:rFonts w:eastAsia="Times New Roman" w:cs="Arial"/>
          <w:lang w:val="en-US"/>
        </w:rPr>
        <w:t>1.2</w:t>
      </w:r>
      <w:r w:rsidRPr="002C6E58">
        <w:rPr>
          <w:rFonts w:eastAsia="Times New Roman" w:cs="Arial"/>
          <w:lang w:val="en-US"/>
        </w:rPr>
        <w:tab/>
      </w:r>
      <w:r w:rsidRPr="002C6E58">
        <w:rPr>
          <w:rFonts w:eastAsia="Times New Roman" w:cs="Arial"/>
        </w:rPr>
        <w:t>Sign Types are defined by this Design Guideline and have a designated status: Exempt, Permitted, Discretionary and Prohibited.</w:t>
      </w:r>
    </w:p>
    <w:p w14:paraId="4EB50BF2" w14:textId="77777777" w:rsidR="002C6E58" w:rsidRPr="002C6E58" w:rsidRDefault="002C6E58" w:rsidP="00355F2E">
      <w:pPr>
        <w:tabs>
          <w:tab w:val="left" w:pos="0"/>
          <w:tab w:val="left" w:pos="1134"/>
        </w:tabs>
        <w:suppressAutoHyphens/>
        <w:overflowPunct w:val="0"/>
        <w:autoSpaceDE w:val="0"/>
        <w:autoSpaceDN w:val="0"/>
        <w:adjustRightInd w:val="0"/>
        <w:spacing w:after="60" w:line="240" w:lineRule="auto"/>
        <w:ind w:left="1134" w:hanging="708"/>
        <w:jc w:val="both"/>
        <w:textAlignment w:val="baseline"/>
        <w:rPr>
          <w:rFonts w:eastAsia="Times New Roman" w:cs="Arial"/>
          <w:lang w:val="en-US"/>
        </w:rPr>
      </w:pPr>
      <w:r w:rsidRPr="002C6E58">
        <w:rPr>
          <w:rFonts w:eastAsia="Times New Roman" w:cs="Arial"/>
          <w:lang w:val="en-US"/>
        </w:rPr>
        <w:t>1.3</w:t>
      </w:r>
      <w:r w:rsidRPr="002C6E58">
        <w:rPr>
          <w:rFonts w:eastAsia="Times New Roman" w:cs="Arial"/>
          <w:lang w:val="en-US"/>
        </w:rPr>
        <w:tab/>
        <w:t>Exempt signage is listed under clause 5 of this Design Guideline.  Such signs do not require a permit unless the conditions specified are not met in which case the sign is discretionary.</w:t>
      </w:r>
    </w:p>
    <w:p w14:paraId="12982812" w14:textId="77777777" w:rsidR="002C6E58" w:rsidRPr="002C6E58" w:rsidRDefault="002C6E58" w:rsidP="00355F2E">
      <w:pPr>
        <w:tabs>
          <w:tab w:val="left" w:pos="0"/>
          <w:tab w:val="left" w:pos="1134"/>
        </w:tabs>
        <w:suppressAutoHyphens/>
        <w:overflowPunct w:val="0"/>
        <w:autoSpaceDE w:val="0"/>
        <w:autoSpaceDN w:val="0"/>
        <w:adjustRightInd w:val="0"/>
        <w:spacing w:after="60" w:line="240" w:lineRule="auto"/>
        <w:ind w:left="1134" w:hanging="708"/>
        <w:jc w:val="both"/>
        <w:textAlignment w:val="baseline"/>
        <w:rPr>
          <w:rFonts w:eastAsia="Times New Roman" w:cs="Arial"/>
          <w:lang w:val="en-US"/>
        </w:rPr>
      </w:pPr>
      <w:r w:rsidRPr="002C6E58">
        <w:rPr>
          <w:rFonts w:eastAsia="Times New Roman" w:cs="Arial"/>
          <w:lang w:val="en-US"/>
        </w:rPr>
        <w:t>1.4</w:t>
      </w:r>
      <w:r w:rsidRPr="002C6E58">
        <w:rPr>
          <w:rFonts w:eastAsia="Times New Roman" w:cs="Arial"/>
          <w:lang w:val="en-US"/>
        </w:rPr>
        <w:tab/>
        <w:t xml:space="preserve">Acceptable solutions are specified for </w:t>
      </w:r>
      <w:proofErr w:type="gramStart"/>
      <w:r w:rsidRPr="002C6E58">
        <w:rPr>
          <w:rFonts w:eastAsia="Times New Roman" w:cs="Arial"/>
          <w:lang w:val="en-US"/>
        </w:rPr>
        <w:t>a number of</w:t>
      </w:r>
      <w:proofErr w:type="gramEnd"/>
      <w:r w:rsidRPr="002C6E58">
        <w:rPr>
          <w:rFonts w:eastAsia="Times New Roman" w:cs="Arial"/>
          <w:lang w:val="en-US"/>
        </w:rPr>
        <w:t xml:space="preserve"> sign types in Clause 6 Sign Requirements.  If the signs specified meet the acceptable solutions in this clause, they are permitted.  </w:t>
      </w:r>
    </w:p>
    <w:p w14:paraId="7245F641" w14:textId="77777777" w:rsidR="002C6E58" w:rsidRPr="002C6E58" w:rsidRDefault="002C6E58" w:rsidP="00355F2E">
      <w:pPr>
        <w:tabs>
          <w:tab w:val="left" w:pos="0"/>
          <w:tab w:val="left" w:pos="1134"/>
        </w:tabs>
        <w:suppressAutoHyphens/>
        <w:overflowPunct w:val="0"/>
        <w:autoSpaceDE w:val="0"/>
        <w:autoSpaceDN w:val="0"/>
        <w:adjustRightInd w:val="0"/>
        <w:spacing w:after="60" w:line="240" w:lineRule="auto"/>
        <w:ind w:left="1134" w:hanging="708"/>
        <w:jc w:val="both"/>
        <w:textAlignment w:val="baseline"/>
        <w:rPr>
          <w:rFonts w:eastAsia="Times New Roman" w:cs="Arial"/>
          <w:lang w:val="en-US"/>
        </w:rPr>
      </w:pPr>
      <w:r w:rsidRPr="002C6E58">
        <w:rPr>
          <w:rFonts w:eastAsia="Times New Roman" w:cs="Arial"/>
          <w:lang w:val="en-US"/>
        </w:rPr>
        <w:t>1.5</w:t>
      </w:r>
      <w:r w:rsidRPr="002C6E58">
        <w:rPr>
          <w:rFonts w:eastAsia="Times New Roman" w:cs="Arial"/>
          <w:lang w:val="en-US"/>
        </w:rPr>
        <w:tab/>
        <w:t xml:space="preserve">Discretionary signs (i.e. they can be approved or refused) are those which do not meet the acceptable solutions in Appendix 1 or for which no acceptable solution is specified.  </w:t>
      </w:r>
      <w:r w:rsidRPr="002C6E58">
        <w:rPr>
          <w:rFonts w:eastAsia="Times New Roman" w:cs="Arial"/>
          <w:lang w:val="en-US"/>
        </w:rPr>
        <w:lastRenderedPageBreak/>
        <w:t>Signs which do not meet either the acceptable solution or alternative performance criteria shall be subject to public notification and may be refused or approved at the discretion of the Council.</w:t>
      </w:r>
    </w:p>
    <w:p w14:paraId="010512E7" w14:textId="77777777" w:rsidR="002C6E58" w:rsidRPr="002C6E58" w:rsidRDefault="002C6E58" w:rsidP="00355F2E">
      <w:pPr>
        <w:tabs>
          <w:tab w:val="left" w:pos="0"/>
          <w:tab w:val="left" w:pos="1134"/>
        </w:tabs>
        <w:suppressAutoHyphens/>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1.6</w:t>
      </w:r>
      <w:r w:rsidRPr="002C6E58">
        <w:rPr>
          <w:rFonts w:eastAsia="Times New Roman" w:cs="Arial"/>
          <w:lang w:val="en-US"/>
        </w:rPr>
        <w:tab/>
        <w:t>Sites incorporating multiple tenancies or businesses must have an approved signs regime (see Appendix 2).</w:t>
      </w:r>
    </w:p>
    <w:p w14:paraId="3AB2E1FD" w14:textId="77777777" w:rsidR="002C6E58" w:rsidRPr="002C6E58" w:rsidRDefault="002C6E58" w:rsidP="00355F2E">
      <w:pPr>
        <w:tabs>
          <w:tab w:val="left" w:pos="0"/>
          <w:tab w:val="left" w:pos="1134"/>
        </w:tabs>
        <w:suppressAutoHyphens/>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1.7</w:t>
      </w:r>
      <w:r w:rsidRPr="002C6E58">
        <w:rPr>
          <w:rFonts w:eastAsia="Times New Roman" w:cs="Arial"/>
          <w:lang w:val="en-US"/>
        </w:rPr>
        <w:tab/>
        <w:t xml:space="preserve">Each sign in an approved signs regime (see Appendix 2) must comply with the signage requirements in clauses 2 and 6 and the approval status of the </w:t>
      </w:r>
      <w:proofErr w:type="gramStart"/>
      <w:r w:rsidRPr="002C6E58">
        <w:rPr>
          <w:rFonts w:eastAsia="Times New Roman" w:cs="Arial"/>
          <w:lang w:val="en-US"/>
        </w:rPr>
        <w:t>signs</w:t>
      </w:r>
      <w:proofErr w:type="gramEnd"/>
      <w:r w:rsidRPr="002C6E58">
        <w:rPr>
          <w:rFonts w:eastAsia="Times New Roman" w:cs="Arial"/>
          <w:lang w:val="en-US"/>
        </w:rPr>
        <w:t xml:space="preserve"> regime is the same as the approval status of the individual signs.</w:t>
      </w:r>
    </w:p>
    <w:p w14:paraId="7B9477FB" w14:textId="77777777" w:rsidR="002C6E58" w:rsidRPr="002C6E58" w:rsidRDefault="002C6E58" w:rsidP="00355F2E">
      <w:pPr>
        <w:tabs>
          <w:tab w:val="left" w:pos="0"/>
          <w:tab w:val="left" w:pos="1134"/>
        </w:tabs>
        <w:suppressAutoHyphens/>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1.8</w:t>
      </w:r>
      <w:r w:rsidRPr="002C6E58">
        <w:rPr>
          <w:rFonts w:eastAsia="Times New Roman" w:cs="Arial"/>
          <w:lang w:val="en-US"/>
        </w:rPr>
        <w:tab/>
        <w:t>Conditions may be placed on approvals for permitted and discretionary signs to ensure that the objectives of this Design Guideline are met.</w:t>
      </w:r>
    </w:p>
    <w:p w14:paraId="09CBD205" w14:textId="77777777" w:rsidR="002C6E58" w:rsidRPr="002C6E58" w:rsidRDefault="002C6E58" w:rsidP="00355F2E">
      <w:pPr>
        <w:tabs>
          <w:tab w:val="left" w:pos="0"/>
          <w:tab w:val="left" w:pos="1134"/>
        </w:tabs>
        <w:suppressAutoHyphens/>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1.9</w:t>
      </w:r>
      <w:r w:rsidRPr="002C6E58">
        <w:rPr>
          <w:rFonts w:eastAsia="Times New Roman" w:cs="Arial"/>
          <w:lang w:val="en-US"/>
        </w:rPr>
        <w:tab/>
        <w:t xml:space="preserve">Notwithstanding, the general provisions of this Design Guideline, a sign shall be deemed to be ‘prohibited’ if it is determined that it does not conform with the General requirements for Signage in clause 2. </w:t>
      </w:r>
    </w:p>
    <w:p w14:paraId="6B44CAC7" w14:textId="77777777" w:rsidR="002C6E58" w:rsidRPr="002C6E58" w:rsidRDefault="002C6E58" w:rsidP="00355F2E">
      <w:pPr>
        <w:tabs>
          <w:tab w:val="left" w:pos="0"/>
          <w:tab w:val="left" w:pos="1134"/>
        </w:tabs>
        <w:suppressAutoHyphens/>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1.10</w:t>
      </w:r>
      <w:r w:rsidRPr="002C6E58">
        <w:rPr>
          <w:rFonts w:eastAsia="Times New Roman" w:cs="Arial"/>
          <w:lang w:val="en-US"/>
        </w:rPr>
        <w:tab/>
      </w:r>
      <w:proofErr w:type="gramStart"/>
      <w:r w:rsidRPr="002C6E58">
        <w:rPr>
          <w:rFonts w:eastAsia="Times New Roman" w:cs="Arial"/>
          <w:lang w:val="en-US"/>
        </w:rPr>
        <w:t>Where street</w:t>
      </w:r>
      <w:proofErr w:type="gramEnd"/>
      <w:r w:rsidRPr="002C6E58">
        <w:rPr>
          <w:rFonts w:eastAsia="Times New Roman" w:cs="Arial"/>
          <w:lang w:val="en-US"/>
        </w:rPr>
        <w:t xml:space="preserve"> furniture, public telephones, vending machines, automatic teller machines and the like include advertising or signage they should be classified within one of the sign types and dealt with accordingly.  </w:t>
      </w:r>
    </w:p>
    <w:p w14:paraId="492420A4" w14:textId="77777777" w:rsidR="002C6E58" w:rsidRPr="002C6E58" w:rsidRDefault="002C6E58" w:rsidP="002C6E58">
      <w:pPr>
        <w:tabs>
          <w:tab w:val="left" w:pos="0"/>
          <w:tab w:val="left" w:pos="1134"/>
        </w:tabs>
        <w:suppressAutoHyphens/>
        <w:overflowPunct w:val="0"/>
        <w:autoSpaceDE w:val="0"/>
        <w:autoSpaceDN w:val="0"/>
        <w:adjustRightInd w:val="0"/>
        <w:spacing w:after="240" w:line="240" w:lineRule="auto"/>
        <w:ind w:left="1134" w:hanging="567"/>
        <w:jc w:val="both"/>
        <w:textAlignment w:val="baseline"/>
        <w:rPr>
          <w:rFonts w:eastAsia="Times New Roman" w:cs="Arial"/>
          <w:lang w:val="en-US"/>
        </w:rPr>
      </w:pPr>
      <w:r w:rsidRPr="002C6E58">
        <w:rPr>
          <w:rFonts w:eastAsia="Times New Roman" w:cs="Arial"/>
          <w:lang w:val="en-US"/>
        </w:rPr>
        <w:t>1.11</w:t>
      </w:r>
      <w:r w:rsidRPr="002C6E58">
        <w:rPr>
          <w:rFonts w:eastAsia="Times New Roman" w:cs="Arial"/>
          <w:lang w:val="en-US"/>
        </w:rPr>
        <w:tab/>
        <w:t xml:space="preserve">The dimensions indicated on Figure 1 are those applicable </w:t>
      </w:r>
      <w:proofErr w:type="gramStart"/>
      <w:r w:rsidRPr="002C6E58">
        <w:rPr>
          <w:rFonts w:eastAsia="Times New Roman" w:cs="Arial"/>
          <w:lang w:val="en-US"/>
        </w:rPr>
        <w:t>where</w:t>
      </w:r>
      <w:proofErr w:type="gramEnd"/>
      <w:r w:rsidRPr="002C6E58">
        <w:rPr>
          <w:rFonts w:eastAsia="Times New Roman" w:cs="Arial"/>
          <w:lang w:val="en-US"/>
        </w:rPr>
        <w:t xml:space="preserve"> referred to in the Signage Requirements.</w:t>
      </w:r>
    </w:p>
    <w:bookmarkEnd w:id="512"/>
    <w:bookmarkEnd w:id="513"/>
    <w:p w14:paraId="0A05003C" w14:textId="77777777" w:rsidR="002C6E58" w:rsidRPr="00B95CC5" w:rsidRDefault="002C6E58" w:rsidP="002C6E58">
      <w:pPr>
        <w:tabs>
          <w:tab w:val="left" w:pos="0"/>
          <w:tab w:val="left" w:pos="993"/>
        </w:tabs>
        <w:suppressAutoHyphens/>
        <w:overflowPunct w:val="0"/>
        <w:autoSpaceDE w:val="0"/>
        <w:autoSpaceDN w:val="0"/>
        <w:adjustRightInd w:val="0"/>
        <w:spacing w:after="240" w:line="240" w:lineRule="auto"/>
        <w:ind w:left="1702" w:hanging="993"/>
        <w:jc w:val="both"/>
        <w:textAlignment w:val="baseline"/>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en-AU"/>
        </w:rPr>
        <w:drawing>
          <wp:inline distT="0" distB="0" distL="0" distR="0" wp14:anchorId="5FA9FA0B" wp14:editId="16EA5D60">
            <wp:extent cx="4143375" cy="3086100"/>
            <wp:effectExtent l="1905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6" cstate="print"/>
                    <a:srcRect/>
                    <a:stretch>
                      <a:fillRect/>
                    </a:stretch>
                  </pic:blipFill>
                  <pic:spPr bwMode="auto">
                    <a:xfrm>
                      <a:off x="0" y="0"/>
                      <a:ext cx="4143375" cy="3086100"/>
                    </a:xfrm>
                    <a:prstGeom prst="rect">
                      <a:avLst/>
                    </a:prstGeom>
                    <a:noFill/>
                    <a:ln w="9525">
                      <a:noFill/>
                      <a:miter lim="800000"/>
                      <a:headEnd/>
                      <a:tailEnd/>
                    </a:ln>
                  </pic:spPr>
                </pic:pic>
              </a:graphicData>
            </a:graphic>
          </wp:inline>
        </w:drawing>
      </w:r>
    </w:p>
    <w:p w14:paraId="7CE6AA4D" w14:textId="77777777" w:rsidR="002C6E58" w:rsidRPr="002C6E58" w:rsidRDefault="002C6E58" w:rsidP="002C6E58">
      <w:pPr>
        <w:overflowPunct w:val="0"/>
        <w:autoSpaceDE w:val="0"/>
        <w:autoSpaceDN w:val="0"/>
        <w:adjustRightInd w:val="0"/>
        <w:spacing w:after="0" w:line="240" w:lineRule="auto"/>
        <w:ind w:left="709"/>
        <w:jc w:val="both"/>
        <w:textAlignment w:val="baseline"/>
        <w:rPr>
          <w:rFonts w:eastAsia="Times New Roman" w:cs="Arial"/>
          <w:b/>
          <w:sz w:val="20"/>
          <w:szCs w:val="20"/>
          <w:lang w:val="en-US"/>
        </w:rPr>
      </w:pPr>
      <w:r w:rsidRPr="002C6E58">
        <w:rPr>
          <w:rFonts w:eastAsia="Times New Roman" w:cs="Arial"/>
          <w:b/>
          <w:sz w:val="20"/>
          <w:szCs w:val="20"/>
          <w:lang w:val="en-US"/>
        </w:rPr>
        <w:t>Figure 1 - Sign Dimensions</w:t>
      </w:r>
    </w:p>
    <w:p w14:paraId="38204821" w14:textId="77777777" w:rsidR="002C6E58" w:rsidRPr="002C6E58" w:rsidRDefault="002C6E58" w:rsidP="002C6E58">
      <w:pPr>
        <w:overflowPunct w:val="0"/>
        <w:autoSpaceDE w:val="0"/>
        <w:autoSpaceDN w:val="0"/>
        <w:adjustRightInd w:val="0"/>
        <w:spacing w:after="0" w:line="240" w:lineRule="auto"/>
        <w:ind w:left="709"/>
        <w:jc w:val="both"/>
        <w:textAlignment w:val="baseline"/>
        <w:rPr>
          <w:rFonts w:eastAsia="Times New Roman" w:cs="Arial"/>
          <w:b/>
          <w:sz w:val="20"/>
          <w:szCs w:val="20"/>
          <w:lang w:val="en-US"/>
        </w:rPr>
      </w:pPr>
    </w:p>
    <w:p w14:paraId="497BF314" w14:textId="77777777" w:rsidR="002C6E58" w:rsidRPr="002C6E58" w:rsidRDefault="002C6E58" w:rsidP="00355F2E">
      <w:pPr>
        <w:keepNext/>
        <w:overflowPunct w:val="0"/>
        <w:autoSpaceDE w:val="0"/>
        <w:autoSpaceDN w:val="0"/>
        <w:adjustRightInd w:val="0"/>
        <w:spacing w:before="120" w:after="0" w:line="240" w:lineRule="auto"/>
        <w:ind w:left="567" w:hanging="505"/>
        <w:jc w:val="both"/>
        <w:textAlignment w:val="baseline"/>
        <w:outlineLvl w:val="1"/>
        <w:rPr>
          <w:rFonts w:eastAsia="Times New Roman" w:cs="Arial"/>
          <w:b/>
        </w:rPr>
      </w:pPr>
      <w:bookmarkStart w:id="514" w:name="_Toc1375829"/>
      <w:bookmarkStart w:id="515" w:name="_Toc31017078"/>
      <w:r w:rsidRPr="002C6E58">
        <w:rPr>
          <w:rFonts w:eastAsia="Times New Roman" w:cs="Arial"/>
          <w:b/>
        </w:rPr>
        <w:t>2.</w:t>
      </w:r>
      <w:r w:rsidRPr="002C6E58">
        <w:rPr>
          <w:rFonts w:eastAsia="Times New Roman" w:cs="Arial"/>
          <w:b/>
        </w:rPr>
        <w:tab/>
        <w:t>General Requirements for Signage</w:t>
      </w:r>
    </w:p>
    <w:p w14:paraId="33291EFB" w14:textId="77777777" w:rsidR="002C6E58" w:rsidRPr="002C6E58" w:rsidRDefault="002C6E58" w:rsidP="00355F2E">
      <w:pPr>
        <w:keepNext/>
        <w:overflowPunct w:val="0"/>
        <w:autoSpaceDE w:val="0"/>
        <w:autoSpaceDN w:val="0"/>
        <w:adjustRightInd w:val="0"/>
        <w:spacing w:after="60" w:line="240" w:lineRule="auto"/>
        <w:ind w:left="567"/>
        <w:jc w:val="both"/>
        <w:textAlignment w:val="baseline"/>
        <w:outlineLvl w:val="1"/>
        <w:rPr>
          <w:rFonts w:eastAsia="Times New Roman" w:cs="Arial"/>
        </w:rPr>
      </w:pPr>
      <w:r w:rsidRPr="002C6E58">
        <w:rPr>
          <w:rFonts w:eastAsia="Times New Roman" w:cs="Arial"/>
        </w:rPr>
        <w:t>All signs must comply with the following:</w:t>
      </w:r>
    </w:p>
    <w:p w14:paraId="4B965F6C"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2.1</w:t>
      </w:r>
      <w:r w:rsidRPr="002C6E58">
        <w:rPr>
          <w:rFonts w:eastAsia="Times New Roman" w:cs="Arial"/>
          <w:lang w:val="en-US"/>
        </w:rPr>
        <w:tab/>
        <w:t>Signs shall relate directly to the activity undertaken on the premises.</w:t>
      </w:r>
    </w:p>
    <w:p w14:paraId="62D77CB6"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2.2</w:t>
      </w:r>
      <w:r w:rsidRPr="002C6E58">
        <w:rPr>
          <w:rFonts w:eastAsia="Times New Roman" w:cs="Arial"/>
          <w:lang w:val="en-US"/>
        </w:rPr>
        <w:tab/>
        <w:t>Signs shall not obscure a portion of another sign.</w:t>
      </w:r>
    </w:p>
    <w:p w14:paraId="7FD84115"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rPr>
      </w:pPr>
      <w:r w:rsidRPr="002C6E58">
        <w:rPr>
          <w:rFonts w:eastAsia="Times New Roman" w:cs="Arial"/>
        </w:rPr>
        <w:t>2.3</w:t>
      </w:r>
      <w:r w:rsidRPr="002C6E58">
        <w:rPr>
          <w:rFonts w:eastAsia="Times New Roman" w:cs="Arial"/>
        </w:rPr>
        <w:tab/>
        <w:t>Signs shall not protrude over another property in different ownership or a carriageway or within 600mm of a kerb line.</w:t>
      </w:r>
    </w:p>
    <w:p w14:paraId="2645C335"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rPr>
      </w:pPr>
      <w:r w:rsidRPr="002C6E58">
        <w:rPr>
          <w:rFonts w:eastAsia="Times New Roman" w:cs="Arial"/>
        </w:rPr>
        <w:t>2.4</w:t>
      </w:r>
      <w:r w:rsidRPr="002C6E58">
        <w:rPr>
          <w:rFonts w:eastAsia="Times New Roman" w:cs="Arial"/>
        </w:rPr>
        <w:tab/>
        <w:t xml:space="preserve">The bottom of any </w:t>
      </w:r>
      <w:proofErr w:type="gramStart"/>
      <w:r w:rsidRPr="002C6E58">
        <w:rPr>
          <w:rFonts w:eastAsia="Times New Roman" w:cs="Arial"/>
        </w:rPr>
        <w:t>free standing</w:t>
      </w:r>
      <w:proofErr w:type="gramEnd"/>
      <w:r w:rsidRPr="002C6E58">
        <w:rPr>
          <w:rFonts w:eastAsia="Times New Roman" w:cs="Arial"/>
        </w:rPr>
        <w:t xml:space="preserve"> sign shall have a minimum clearance of at least 2.5m above a footpath or pedestrian accessway.</w:t>
      </w:r>
    </w:p>
    <w:p w14:paraId="5D5E9667"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lastRenderedPageBreak/>
        <w:t>2.5</w:t>
      </w:r>
      <w:r w:rsidRPr="002C6E58">
        <w:rPr>
          <w:rFonts w:eastAsia="Times New Roman" w:cs="Arial"/>
          <w:lang w:val="en-US"/>
        </w:rPr>
        <w:tab/>
        <w:t>No sign shall detrimentally affect the safety or impede the movement of vehicular or pedestrian traffic or conflict with or obscure any statutory or directional sign.</w:t>
      </w:r>
    </w:p>
    <w:p w14:paraId="10BCD892"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2.6</w:t>
      </w:r>
      <w:r w:rsidRPr="002C6E58">
        <w:rPr>
          <w:rFonts w:eastAsia="Times New Roman" w:cs="Arial"/>
          <w:lang w:val="en-US"/>
        </w:rPr>
        <w:tab/>
        <w:t>Signs shall be constructed and located in sympathy with street planting. No trees should be felled or lopped to allow for greater sign visibility.</w:t>
      </w:r>
    </w:p>
    <w:p w14:paraId="37CD02C6"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2.7</w:t>
      </w:r>
      <w:r w:rsidRPr="002C6E58">
        <w:rPr>
          <w:rFonts w:eastAsia="Times New Roman" w:cs="Arial"/>
          <w:lang w:val="en-US"/>
        </w:rPr>
        <w:tab/>
        <w:t>Signs shall be in harmony with the design, scale and character of the buildings which form their background.</w:t>
      </w:r>
    </w:p>
    <w:p w14:paraId="4EF04670"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2.8</w:t>
      </w:r>
      <w:r w:rsidRPr="002C6E58">
        <w:rPr>
          <w:rFonts w:eastAsia="Times New Roman" w:cs="Arial"/>
          <w:lang w:val="en-US"/>
        </w:rPr>
        <w:tab/>
        <w:t>Signs must be structurally and electrically safe.</w:t>
      </w:r>
    </w:p>
    <w:p w14:paraId="72CB0EBA"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2.9</w:t>
      </w:r>
      <w:r w:rsidRPr="002C6E58">
        <w:rPr>
          <w:rFonts w:eastAsia="Times New Roman" w:cs="Arial"/>
          <w:lang w:val="en-US"/>
        </w:rPr>
        <w:tab/>
        <w:t>The principal sign on the premises shall relate to the name and nature of the business or occupier. Identification of goods and services should be secondary.</w:t>
      </w:r>
    </w:p>
    <w:p w14:paraId="7300DFD1"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2.10</w:t>
      </w:r>
      <w:r w:rsidRPr="002C6E58">
        <w:rPr>
          <w:rFonts w:eastAsia="Times New Roman" w:cs="Arial"/>
          <w:lang w:val="en-US"/>
        </w:rPr>
        <w:tab/>
        <w:t>Sign supports shall be minimal and as unobtrusive as possible.</w:t>
      </w:r>
    </w:p>
    <w:p w14:paraId="039744A6" w14:textId="77777777" w:rsidR="002C6E58" w:rsidRPr="002C6E58" w:rsidRDefault="002C6E58" w:rsidP="00355F2E">
      <w:pPr>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2.11</w:t>
      </w:r>
      <w:r w:rsidRPr="002C6E58">
        <w:rPr>
          <w:rFonts w:eastAsia="Times New Roman" w:cs="Arial"/>
          <w:lang w:val="en-US"/>
        </w:rPr>
        <w:tab/>
        <w:t>Signage affixed to a building shall not exceed a maximum of 45% of total exposed wall area for any one wall.</w:t>
      </w:r>
    </w:p>
    <w:p w14:paraId="5D31412F" w14:textId="77777777" w:rsidR="002C6E58" w:rsidRPr="002C6E58" w:rsidRDefault="002C6E58" w:rsidP="002C6E58">
      <w:pPr>
        <w:overflowPunct w:val="0"/>
        <w:autoSpaceDE w:val="0"/>
        <w:autoSpaceDN w:val="0"/>
        <w:adjustRightInd w:val="0"/>
        <w:spacing w:after="0" w:line="240" w:lineRule="auto"/>
        <w:ind w:left="1134" w:hanging="567"/>
        <w:jc w:val="both"/>
        <w:textAlignment w:val="baseline"/>
        <w:rPr>
          <w:rFonts w:eastAsia="Times New Roman" w:cs="Arial"/>
        </w:rPr>
      </w:pPr>
      <w:r w:rsidRPr="002C6E58">
        <w:rPr>
          <w:rFonts w:eastAsia="Times New Roman" w:cs="Arial"/>
        </w:rPr>
        <w:t>2.12</w:t>
      </w:r>
      <w:r w:rsidRPr="002C6E58">
        <w:rPr>
          <w:rFonts w:eastAsia="Times New Roman" w:cs="Arial"/>
        </w:rPr>
        <w:tab/>
        <w:t>Signs affixed to a building contained on the ‘Municipal Inventory’ or ‘Heritage List’ shall not detract from the heritage value of the building, or impact upon the structural integrity of the building, or materially alter the appearance or condition of the buildings structure once removed from that structure.</w:t>
      </w:r>
    </w:p>
    <w:p w14:paraId="459EA0B5" w14:textId="77777777" w:rsidR="002C6E58" w:rsidRPr="002C6E58" w:rsidRDefault="002C6E58" w:rsidP="00355F2E">
      <w:pPr>
        <w:spacing w:before="200" w:after="0"/>
        <w:ind w:left="567" w:hanging="567"/>
        <w:jc w:val="both"/>
        <w:rPr>
          <w:rFonts w:cs="Arial"/>
          <w:b/>
        </w:rPr>
      </w:pPr>
      <w:r w:rsidRPr="002C6E58">
        <w:rPr>
          <w:rFonts w:cs="Arial"/>
          <w:b/>
        </w:rPr>
        <w:t>3.</w:t>
      </w:r>
      <w:r w:rsidRPr="002C6E58">
        <w:rPr>
          <w:rFonts w:cs="Arial"/>
          <w:b/>
        </w:rPr>
        <w:tab/>
        <w:t>Information to be Submitted</w:t>
      </w:r>
    </w:p>
    <w:p w14:paraId="71882A86" w14:textId="77777777" w:rsidR="002C6E58" w:rsidRPr="002C6E58" w:rsidRDefault="002C6E58" w:rsidP="00355F2E">
      <w:pPr>
        <w:tabs>
          <w:tab w:val="left" w:pos="-720"/>
          <w:tab w:val="left" w:pos="0"/>
        </w:tabs>
        <w:suppressAutoHyphens/>
        <w:spacing w:after="60" w:line="240" w:lineRule="auto"/>
        <w:ind w:left="567"/>
        <w:jc w:val="both"/>
        <w:rPr>
          <w:rFonts w:eastAsia="Times New Roman" w:cs="Arial"/>
          <w:lang w:val="en-US"/>
        </w:rPr>
      </w:pPr>
      <w:r w:rsidRPr="002C6E58">
        <w:rPr>
          <w:rFonts w:eastAsia="Times New Roman" w:cs="Arial"/>
          <w:lang w:val="en-US"/>
        </w:rPr>
        <w:t>The following information must be submitted with all sign proposals:</w:t>
      </w:r>
    </w:p>
    <w:p w14:paraId="0FD450AB" w14:textId="77777777" w:rsidR="002C6E58" w:rsidRPr="002C6E58" w:rsidRDefault="002C6E58" w:rsidP="002A3889">
      <w:pPr>
        <w:numPr>
          <w:ilvl w:val="0"/>
          <w:numId w:val="276"/>
        </w:numPr>
        <w:tabs>
          <w:tab w:val="left" w:pos="-720"/>
          <w:tab w:val="left" w:pos="0"/>
        </w:tabs>
        <w:suppressAutoHyphens/>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Full working drawings showing dimensions, location in plan or position on a building or site and the method of attachment to the ground or to the building.</w:t>
      </w:r>
    </w:p>
    <w:p w14:paraId="5F275882" w14:textId="77777777" w:rsidR="002C6E58" w:rsidRPr="002C6E58" w:rsidRDefault="002C6E58" w:rsidP="002A3889">
      <w:pPr>
        <w:numPr>
          <w:ilvl w:val="0"/>
          <w:numId w:val="277"/>
        </w:numPr>
        <w:tabs>
          <w:tab w:val="left" w:pos="-720"/>
          <w:tab w:val="left" w:pos="0"/>
        </w:tabs>
        <w:suppressAutoHyphens/>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Graphic content of the sign or a graphics concept, showing a range of</w:t>
      </w:r>
      <w:r w:rsidRPr="002C6E58">
        <w:rPr>
          <w:rFonts w:eastAsia="Times New Roman" w:cs="Arial"/>
          <w:lang w:val="en-GB"/>
        </w:rPr>
        <w:t xml:space="preserve"> colours</w:t>
      </w:r>
      <w:r w:rsidRPr="002C6E58">
        <w:rPr>
          <w:rFonts w:eastAsia="Times New Roman" w:cs="Arial"/>
          <w:lang w:val="en-US"/>
        </w:rPr>
        <w:t xml:space="preserve"> and lettering style.</w:t>
      </w:r>
    </w:p>
    <w:p w14:paraId="037B4966" w14:textId="77777777" w:rsidR="002C6E58" w:rsidRPr="002C6E58" w:rsidRDefault="002C6E58" w:rsidP="002A3889">
      <w:pPr>
        <w:numPr>
          <w:ilvl w:val="0"/>
          <w:numId w:val="277"/>
        </w:numPr>
        <w:tabs>
          <w:tab w:val="left" w:pos="-720"/>
          <w:tab w:val="left" w:pos="0"/>
        </w:tabs>
        <w:suppressAutoHyphens/>
        <w:overflowPunct w:val="0"/>
        <w:autoSpaceDE w:val="0"/>
        <w:autoSpaceDN w:val="0"/>
        <w:adjustRightInd w:val="0"/>
        <w:spacing w:after="60" w:line="240" w:lineRule="auto"/>
        <w:ind w:left="1134" w:hanging="567"/>
        <w:jc w:val="both"/>
        <w:textAlignment w:val="baseline"/>
        <w:rPr>
          <w:rFonts w:eastAsia="Times New Roman" w:cs="Arial"/>
          <w:lang w:val="en-US"/>
        </w:rPr>
      </w:pPr>
      <w:r w:rsidRPr="002C6E58">
        <w:rPr>
          <w:rFonts w:eastAsia="Times New Roman" w:cs="Arial"/>
          <w:lang w:val="en-US"/>
        </w:rPr>
        <w:t xml:space="preserve">Specifications of construction materials of the sign and its supporting structure. </w:t>
      </w:r>
    </w:p>
    <w:p w14:paraId="2BBB7D30" w14:textId="77777777" w:rsidR="002C6E58" w:rsidRPr="002C6E58" w:rsidRDefault="002C6E58" w:rsidP="002A3889">
      <w:pPr>
        <w:numPr>
          <w:ilvl w:val="0"/>
          <w:numId w:val="278"/>
        </w:numPr>
        <w:tabs>
          <w:tab w:val="left" w:pos="-720"/>
          <w:tab w:val="left" w:pos="0"/>
        </w:tabs>
        <w:suppressAutoHyphens/>
        <w:overflowPunct w:val="0"/>
        <w:autoSpaceDE w:val="0"/>
        <w:autoSpaceDN w:val="0"/>
        <w:adjustRightInd w:val="0"/>
        <w:spacing w:line="240" w:lineRule="auto"/>
        <w:ind w:left="1134" w:hanging="567"/>
        <w:jc w:val="both"/>
        <w:textAlignment w:val="baseline"/>
        <w:rPr>
          <w:rFonts w:eastAsia="Times New Roman" w:cs="Arial"/>
          <w:lang w:val="en-US"/>
        </w:rPr>
      </w:pPr>
      <w:r w:rsidRPr="002C6E58">
        <w:rPr>
          <w:rFonts w:eastAsia="Times New Roman" w:cs="Arial"/>
          <w:lang w:val="en-US"/>
        </w:rPr>
        <w:t>Method of lighting (if applicable).</w:t>
      </w:r>
    </w:p>
    <w:p w14:paraId="52BE5794" w14:textId="77777777" w:rsidR="002C6E58" w:rsidRPr="00333BEC" w:rsidRDefault="002C6E58" w:rsidP="00333BEC">
      <w:pPr>
        <w:spacing w:after="0"/>
        <w:ind w:left="567" w:hanging="567"/>
        <w:rPr>
          <w:b/>
        </w:rPr>
      </w:pPr>
      <w:bookmarkStart w:id="516" w:name="_Toc1375830"/>
      <w:bookmarkStart w:id="517" w:name="_Toc31017079"/>
      <w:bookmarkEnd w:id="514"/>
      <w:bookmarkEnd w:id="515"/>
      <w:r w:rsidRPr="00333BEC">
        <w:rPr>
          <w:b/>
        </w:rPr>
        <w:t>4.</w:t>
      </w:r>
      <w:r w:rsidRPr="00333BEC">
        <w:rPr>
          <w:b/>
        </w:rPr>
        <w:tab/>
      </w:r>
      <w:bookmarkEnd w:id="516"/>
      <w:bookmarkEnd w:id="517"/>
      <w:r w:rsidRPr="00333BEC">
        <w:rPr>
          <w:b/>
        </w:rPr>
        <w:t xml:space="preserve">Definitions (Includes Sign Types) </w:t>
      </w:r>
    </w:p>
    <w:tbl>
      <w:tblPr>
        <w:tblW w:w="893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6"/>
        <w:gridCol w:w="5954"/>
      </w:tblGrid>
      <w:tr w:rsidR="002C6E58" w:rsidRPr="002C6E58" w14:paraId="7A15FB79" w14:textId="77777777" w:rsidTr="001400A8">
        <w:tc>
          <w:tcPr>
            <w:tcW w:w="2976" w:type="dxa"/>
            <w:tcBorders>
              <w:top w:val="nil"/>
              <w:left w:val="nil"/>
              <w:bottom w:val="nil"/>
              <w:right w:val="nil"/>
            </w:tcBorders>
          </w:tcPr>
          <w:p w14:paraId="6B32AAFF" w14:textId="77777777" w:rsidR="002C6E58" w:rsidRPr="002C6E58" w:rsidRDefault="002C6E58" w:rsidP="00355F2E">
            <w:pPr>
              <w:tabs>
                <w:tab w:val="left" w:pos="-720"/>
              </w:tabs>
              <w:suppressAutoHyphens/>
              <w:overflowPunct w:val="0"/>
              <w:autoSpaceDE w:val="0"/>
              <w:autoSpaceDN w:val="0"/>
              <w:adjustRightInd w:val="0"/>
              <w:spacing w:before="60" w:after="0" w:line="240" w:lineRule="auto"/>
              <w:ind w:left="-78"/>
              <w:textAlignment w:val="baseline"/>
              <w:rPr>
                <w:rFonts w:eastAsia="Times New Roman" w:cs="Arial"/>
                <w:b/>
                <w:lang w:val="en-US"/>
              </w:rPr>
            </w:pPr>
            <w:r w:rsidRPr="002C6E58">
              <w:rPr>
                <w:rFonts w:eastAsia="Times New Roman" w:cs="Arial"/>
                <w:b/>
                <w:lang w:val="en-US"/>
              </w:rPr>
              <w:t>Approved Signs Regime</w:t>
            </w:r>
          </w:p>
        </w:tc>
        <w:tc>
          <w:tcPr>
            <w:tcW w:w="5954" w:type="dxa"/>
            <w:tcBorders>
              <w:top w:val="nil"/>
              <w:left w:val="nil"/>
              <w:bottom w:val="nil"/>
              <w:right w:val="nil"/>
            </w:tcBorders>
          </w:tcPr>
          <w:p w14:paraId="11D6D780" w14:textId="77777777" w:rsidR="002C6E58" w:rsidRPr="002C6E58" w:rsidRDefault="002C6E58" w:rsidP="00355F2E">
            <w:pPr>
              <w:tabs>
                <w:tab w:val="left" w:pos="-720"/>
                <w:tab w:val="left" w:pos="0"/>
              </w:tabs>
              <w:suppressAutoHyphens/>
              <w:overflowPunct w:val="0"/>
              <w:autoSpaceDE w:val="0"/>
              <w:autoSpaceDN w:val="0"/>
              <w:adjustRightInd w:val="0"/>
              <w:spacing w:before="60" w:after="0" w:line="240" w:lineRule="auto"/>
              <w:ind w:right="-108"/>
              <w:jc w:val="both"/>
              <w:textAlignment w:val="baseline"/>
              <w:rPr>
                <w:rFonts w:eastAsia="Times New Roman" w:cs="Arial"/>
                <w:lang w:val="en-US"/>
              </w:rPr>
            </w:pPr>
            <w:r w:rsidRPr="002C6E58">
              <w:rPr>
                <w:rFonts w:eastAsia="Times New Roman" w:cs="Arial"/>
                <w:lang w:val="en-US"/>
              </w:rPr>
              <w:t>A comprehensive plan of sign types, sizes, location and restrictions approved by the Council for an entire site.</w:t>
            </w:r>
          </w:p>
        </w:tc>
      </w:tr>
    </w:tbl>
    <w:p w14:paraId="385D5714" w14:textId="77777777" w:rsidR="002C6E58" w:rsidRPr="002C6E58" w:rsidRDefault="002C6E58" w:rsidP="002C6E58">
      <w:pPr>
        <w:tabs>
          <w:tab w:val="left" w:pos="-720"/>
          <w:tab w:val="left" w:pos="0"/>
        </w:tabs>
        <w:suppressAutoHyphens/>
        <w:overflowPunct w:val="0"/>
        <w:autoSpaceDE w:val="0"/>
        <w:autoSpaceDN w:val="0"/>
        <w:adjustRightInd w:val="0"/>
        <w:spacing w:after="0" w:line="240" w:lineRule="auto"/>
        <w:ind w:left="720"/>
        <w:jc w:val="both"/>
        <w:textAlignment w:val="baseline"/>
        <w:rPr>
          <w:rFonts w:eastAsia="Times New Roman" w:cs="Arial"/>
          <w:b/>
          <w:lang w:val="en-US"/>
        </w:rPr>
      </w:pPr>
    </w:p>
    <w:p w14:paraId="6FE2797F" w14:textId="77777777" w:rsidR="002C6E58" w:rsidRPr="002C6E58" w:rsidRDefault="002C6E58" w:rsidP="002C6E58">
      <w:pPr>
        <w:tabs>
          <w:tab w:val="left" w:pos="-720"/>
          <w:tab w:val="left" w:pos="0"/>
        </w:tabs>
        <w:suppressAutoHyphens/>
        <w:spacing w:after="0" w:line="240" w:lineRule="auto"/>
        <w:ind w:left="567"/>
        <w:jc w:val="both"/>
        <w:rPr>
          <w:rFonts w:eastAsia="Times New Roman" w:cs="Arial"/>
          <w:lang w:val="en-US"/>
        </w:rPr>
      </w:pPr>
      <w:proofErr w:type="gramStart"/>
      <w:r w:rsidRPr="002C6E58">
        <w:rPr>
          <w:rFonts w:eastAsia="Times New Roman" w:cs="Arial"/>
          <w:lang w:val="en-US"/>
        </w:rPr>
        <w:t>For the purpose of</w:t>
      </w:r>
      <w:proofErr w:type="gramEnd"/>
      <w:r w:rsidRPr="002C6E58">
        <w:rPr>
          <w:rFonts w:eastAsia="Times New Roman" w:cs="Arial"/>
          <w:lang w:val="en-US"/>
        </w:rPr>
        <w:t xml:space="preserve"> this Design Guideline, the different sign types are defined as follows and illustrated in Diagram 1.</w:t>
      </w:r>
    </w:p>
    <w:p w14:paraId="5E5BF82B" w14:textId="77777777" w:rsidR="002C6E58" w:rsidRPr="002C6E58" w:rsidRDefault="002C6E58" w:rsidP="002C6E58">
      <w:pPr>
        <w:tabs>
          <w:tab w:val="left" w:pos="-720"/>
          <w:tab w:val="left" w:pos="0"/>
        </w:tabs>
        <w:suppressAutoHyphens/>
        <w:overflowPunct w:val="0"/>
        <w:autoSpaceDE w:val="0"/>
        <w:autoSpaceDN w:val="0"/>
        <w:adjustRightInd w:val="0"/>
        <w:spacing w:after="0" w:line="240" w:lineRule="auto"/>
        <w:ind w:left="862"/>
        <w:jc w:val="both"/>
        <w:textAlignment w:val="baseline"/>
        <w:rPr>
          <w:rFonts w:eastAsia="Times New Roman" w:cs="Arial"/>
          <w:lang w:val="en-US"/>
        </w:rPr>
      </w:pPr>
    </w:p>
    <w:p w14:paraId="094C6D5B" w14:textId="77777777" w:rsidR="002C6E58" w:rsidRPr="002C6E58" w:rsidRDefault="002C6E58" w:rsidP="002C6E58">
      <w:pPr>
        <w:tabs>
          <w:tab w:val="left" w:pos="-720"/>
          <w:tab w:val="left" w:pos="-142"/>
        </w:tabs>
        <w:suppressAutoHyphens/>
        <w:overflowPunct w:val="0"/>
        <w:autoSpaceDE w:val="0"/>
        <w:autoSpaceDN w:val="0"/>
        <w:adjustRightInd w:val="0"/>
        <w:spacing w:after="0" w:line="240" w:lineRule="auto"/>
        <w:ind w:left="1134" w:hanging="567"/>
        <w:jc w:val="both"/>
        <w:textAlignment w:val="baseline"/>
        <w:rPr>
          <w:rFonts w:eastAsia="Times New Roman" w:cs="Arial"/>
          <w:lang w:val="en-US"/>
        </w:rPr>
      </w:pPr>
      <w:r w:rsidRPr="002C6E58">
        <w:rPr>
          <w:rFonts w:eastAsia="Times New Roman" w:cs="Arial"/>
          <w:b/>
          <w:u w:val="single"/>
          <w:lang w:val="en-US"/>
        </w:rPr>
        <w:t>Sign</w:t>
      </w:r>
      <w:r w:rsidRPr="002C6E58">
        <w:rPr>
          <w:rFonts w:eastAsia="Times New Roman" w:cs="Arial"/>
          <w:lang w:val="en-US"/>
        </w:rPr>
        <w:t>:</w:t>
      </w:r>
      <w:r w:rsidRPr="002C6E58">
        <w:rPr>
          <w:rFonts w:eastAsia="Times New Roman" w:cs="Arial"/>
          <w:lang w:val="en-US"/>
        </w:rPr>
        <w:tab/>
        <w:t>Any graphic, pictorial or written display when viewed from a public street and includes, but is not limited to the following:</w:t>
      </w:r>
    </w:p>
    <w:p w14:paraId="540BE678" w14:textId="77777777" w:rsidR="002C6E58" w:rsidRPr="002C6E58" w:rsidRDefault="002C6E58" w:rsidP="002C6E58">
      <w:pPr>
        <w:tabs>
          <w:tab w:val="left" w:pos="-720"/>
          <w:tab w:val="left" w:pos="0"/>
        </w:tabs>
        <w:suppressAutoHyphens/>
        <w:overflowPunct w:val="0"/>
        <w:autoSpaceDE w:val="0"/>
        <w:autoSpaceDN w:val="0"/>
        <w:adjustRightInd w:val="0"/>
        <w:spacing w:after="0" w:line="240" w:lineRule="auto"/>
        <w:ind w:left="720"/>
        <w:jc w:val="both"/>
        <w:textAlignment w:val="baseline"/>
        <w:rPr>
          <w:rFonts w:eastAsia="Times New Roman" w:cs="Arial"/>
          <w:lang w:val="en-US"/>
        </w:rPr>
      </w:pPr>
    </w:p>
    <w:tbl>
      <w:tblPr>
        <w:tblW w:w="9027" w:type="dxa"/>
        <w:tblInd w:w="534" w:type="dxa"/>
        <w:tblLayout w:type="fixed"/>
        <w:tblLook w:val="0000" w:firstRow="0" w:lastRow="0" w:firstColumn="0" w:lastColumn="0" w:noHBand="0" w:noVBand="0"/>
      </w:tblPr>
      <w:tblGrid>
        <w:gridCol w:w="141"/>
        <w:gridCol w:w="2790"/>
        <w:gridCol w:w="45"/>
        <w:gridCol w:w="5910"/>
        <w:gridCol w:w="141"/>
      </w:tblGrid>
      <w:tr w:rsidR="002C6E58" w:rsidRPr="002C6E58" w14:paraId="770D30E5" w14:textId="77777777" w:rsidTr="001400A8">
        <w:tc>
          <w:tcPr>
            <w:tcW w:w="2931" w:type="dxa"/>
            <w:gridSpan w:val="2"/>
          </w:tcPr>
          <w:p w14:paraId="67955C16"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 xml:space="preserve">Arcade Sign </w:t>
            </w:r>
          </w:p>
        </w:tc>
        <w:tc>
          <w:tcPr>
            <w:tcW w:w="6096" w:type="dxa"/>
            <w:gridSpan w:val="3"/>
          </w:tcPr>
          <w:p w14:paraId="67FAB7AB"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sign suspended from or attached to the ceiling of an internal pedestrian area.</w:t>
            </w:r>
          </w:p>
          <w:p w14:paraId="186508BE" w14:textId="77777777" w:rsidR="002C6E58" w:rsidRPr="002C6E58" w:rsidRDefault="002C6E58" w:rsidP="001400A8">
            <w:pPr>
              <w:tabs>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23A6CDF1" w14:textId="77777777" w:rsidTr="001400A8">
        <w:trPr>
          <w:gridAfter w:val="1"/>
          <w:wAfter w:w="141" w:type="dxa"/>
        </w:trPr>
        <w:tc>
          <w:tcPr>
            <w:tcW w:w="2976" w:type="dxa"/>
            <w:gridSpan w:val="3"/>
          </w:tcPr>
          <w:p w14:paraId="5019B328"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 xml:space="preserve">Awning Fascia Sign </w:t>
            </w:r>
          </w:p>
        </w:tc>
        <w:tc>
          <w:tcPr>
            <w:tcW w:w="5910" w:type="dxa"/>
          </w:tcPr>
          <w:p w14:paraId="04FAEA04"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A sign on the fascia or return ends of suspended awnings.</w:t>
            </w:r>
          </w:p>
          <w:p w14:paraId="28F03ED2"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03AD9E76" w14:textId="77777777" w:rsidTr="001400A8">
        <w:trPr>
          <w:gridAfter w:val="1"/>
          <w:wAfter w:w="141" w:type="dxa"/>
        </w:trPr>
        <w:tc>
          <w:tcPr>
            <w:tcW w:w="2976" w:type="dxa"/>
            <w:gridSpan w:val="3"/>
          </w:tcPr>
          <w:p w14:paraId="51374D3F"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Above Awning Sign</w:t>
            </w:r>
          </w:p>
        </w:tc>
        <w:tc>
          <w:tcPr>
            <w:tcW w:w="5910" w:type="dxa"/>
          </w:tcPr>
          <w:p w14:paraId="519B5AA7"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A sign attached to and supported above an awning.</w:t>
            </w:r>
          </w:p>
          <w:p w14:paraId="4FF1A0AB"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517374AC" w14:textId="77777777" w:rsidTr="001400A8">
        <w:trPr>
          <w:gridAfter w:val="1"/>
          <w:wAfter w:w="141" w:type="dxa"/>
        </w:trPr>
        <w:tc>
          <w:tcPr>
            <w:tcW w:w="2976" w:type="dxa"/>
            <w:gridSpan w:val="3"/>
          </w:tcPr>
          <w:p w14:paraId="36A4BC48"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Below Awning Sign</w:t>
            </w:r>
          </w:p>
        </w:tc>
        <w:tc>
          <w:tcPr>
            <w:tcW w:w="5910" w:type="dxa"/>
          </w:tcPr>
          <w:p w14:paraId="68D7DE76"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A sign attached to and suspended below an awning.</w:t>
            </w:r>
          </w:p>
          <w:p w14:paraId="3C7E3992"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3E6C0401" w14:textId="77777777" w:rsidTr="001400A8">
        <w:tc>
          <w:tcPr>
            <w:tcW w:w="2931" w:type="dxa"/>
            <w:gridSpan w:val="2"/>
          </w:tcPr>
          <w:p w14:paraId="554FD422"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Banner Sign</w:t>
            </w:r>
          </w:p>
        </w:tc>
        <w:tc>
          <w:tcPr>
            <w:tcW w:w="6096" w:type="dxa"/>
            <w:gridSpan w:val="3"/>
          </w:tcPr>
          <w:p w14:paraId="7289FA89"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vertical or horizontal fabric sign attached at one or both ends.</w:t>
            </w:r>
          </w:p>
          <w:p w14:paraId="325D3FF9" w14:textId="77777777" w:rsidR="002C6E58" w:rsidRPr="002C6E58" w:rsidRDefault="002C6E58" w:rsidP="001400A8">
            <w:pPr>
              <w:tabs>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497C6BFD" w14:textId="77777777" w:rsidTr="001400A8">
        <w:tc>
          <w:tcPr>
            <w:tcW w:w="2931" w:type="dxa"/>
            <w:gridSpan w:val="2"/>
          </w:tcPr>
          <w:p w14:paraId="50E27E51"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Bunting</w:t>
            </w:r>
          </w:p>
        </w:tc>
        <w:tc>
          <w:tcPr>
            <w:tcW w:w="6096" w:type="dxa"/>
            <w:gridSpan w:val="3"/>
          </w:tcPr>
          <w:p w14:paraId="1C14CF1B"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string of small flags, or streamers strung in a line from or otherwise attached to a building or other structure.</w:t>
            </w:r>
          </w:p>
          <w:p w14:paraId="655A04F1"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61A3F24A" w14:textId="77777777" w:rsidTr="001400A8">
        <w:tc>
          <w:tcPr>
            <w:tcW w:w="2931" w:type="dxa"/>
            <w:gridSpan w:val="2"/>
          </w:tcPr>
          <w:p w14:paraId="4547ABF7"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lastRenderedPageBreak/>
              <w:t>Business Directory</w:t>
            </w:r>
          </w:p>
        </w:tc>
        <w:tc>
          <w:tcPr>
            <w:tcW w:w="6096" w:type="dxa"/>
            <w:gridSpan w:val="3"/>
          </w:tcPr>
          <w:p w14:paraId="699D0183"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GB"/>
              </w:rPr>
              <w:t>A sign for a building in multiple tenancy which identifies the name of the business and its location within the building and does not contain any product or other advertising.</w:t>
            </w:r>
          </w:p>
          <w:p w14:paraId="474FF62D"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5491DCB2" w14:textId="77777777" w:rsidTr="001400A8">
        <w:tc>
          <w:tcPr>
            <w:tcW w:w="2931" w:type="dxa"/>
            <w:gridSpan w:val="2"/>
          </w:tcPr>
          <w:p w14:paraId="6992E7D5"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Cabinet Sign</w:t>
            </w:r>
          </w:p>
        </w:tc>
        <w:tc>
          <w:tcPr>
            <w:tcW w:w="6096" w:type="dxa"/>
            <w:gridSpan w:val="3"/>
          </w:tcPr>
          <w:p w14:paraId="43D4C63F"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cabinet with a transparent face attached to the wall of a building or structure for the display of information within (e.g. Menus).</w:t>
            </w:r>
          </w:p>
          <w:p w14:paraId="54C63FFE"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21B54AFF" w14:textId="77777777" w:rsidTr="001400A8">
        <w:tc>
          <w:tcPr>
            <w:tcW w:w="2931" w:type="dxa"/>
            <w:gridSpan w:val="2"/>
          </w:tcPr>
          <w:p w14:paraId="7ACC884E"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Ground Base Sign</w:t>
            </w:r>
          </w:p>
        </w:tc>
        <w:tc>
          <w:tcPr>
            <w:tcW w:w="6096" w:type="dxa"/>
            <w:gridSpan w:val="3"/>
          </w:tcPr>
          <w:p w14:paraId="13960AE8"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sign permanently attached to the ground on its own supportive structure independent of any building, but not including a pole or pylon sign, or a business directory, or public event and cultural directory signage.</w:t>
            </w:r>
          </w:p>
          <w:p w14:paraId="7E2D0F6A"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43C296E0" w14:textId="77777777" w:rsidTr="001400A8">
        <w:tc>
          <w:tcPr>
            <w:tcW w:w="2931" w:type="dxa"/>
            <w:gridSpan w:val="2"/>
          </w:tcPr>
          <w:p w14:paraId="430AEB48"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Internal Display</w:t>
            </w:r>
          </w:p>
        </w:tc>
        <w:tc>
          <w:tcPr>
            <w:tcW w:w="6096" w:type="dxa"/>
            <w:gridSpan w:val="3"/>
          </w:tcPr>
          <w:p w14:paraId="14F11069"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roofErr w:type="gramStart"/>
            <w:r w:rsidRPr="002C6E58">
              <w:rPr>
                <w:rFonts w:eastAsia="Times New Roman" w:cs="Arial"/>
                <w:lang w:val="en-US"/>
              </w:rPr>
              <w:t>Generally</w:t>
            </w:r>
            <w:proofErr w:type="gramEnd"/>
            <w:r w:rsidRPr="002C6E58">
              <w:rPr>
                <w:rFonts w:eastAsia="Times New Roman" w:cs="Arial"/>
                <w:lang w:val="en-US"/>
              </w:rPr>
              <w:t xml:space="preserve"> display of goods, services, or produce within a building or structure.</w:t>
            </w:r>
          </w:p>
          <w:p w14:paraId="7F0F4B28" w14:textId="77777777" w:rsidR="002C6E58" w:rsidRPr="002C6E58" w:rsidRDefault="002C6E58" w:rsidP="001400A8">
            <w:pPr>
              <w:overflowPunct w:val="0"/>
              <w:autoSpaceDE w:val="0"/>
              <w:autoSpaceDN w:val="0"/>
              <w:adjustRightInd w:val="0"/>
              <w:spacing w:after="0" w:line="240" w:lineRule="auto"/>
              <w:ind w:left="601" w:hanging="522"/>
              <w:jc w:val="both"/>
              <w:textAlignment w:val="baseline"/>
              <w:rPr>
                <w:rFonts w:eastAsia="Times New Roman" w:cs="Arial"/>
                <w:i/>
                <w:lang w:val="en-US"/>
              </w:rPr>
            </w:pPr>
            <w:r w:rsidRPr="002C6E58">
              <w:rPr>
                <w:rFonts w:eastAsia="Times New Roman" w:cs="Arial"/>
                <w:i/>
                <w:lang w:val="en-US"/>
              </w:rPr>
              <w:t>Note:</w:t>
            </w:r>
            <w:r w:rsidRPr="002C6E58">
              <w:rPr>
                <w:rFonts w:eastAsia="Times New Roman" w:cs="Arial"/>
                <w:i/>
                <w:lang w:val="en-US"/>
              </w:rPr>
              <w:tab/>
              <w:t>these are not regarded as a sign unless they involve the display of proprietary logos or other, text or graphics, within 150mm from the surface of glass.</w:t>
            </w:r>
          </w:p>
          <w:p w14:paraId="08C33485" w14:textId="77777777" w:rsidR="002C6E58" w:rsidRPr="002C6E58" w:rsidRDefault="002C6E58" w:rsidP="001400A8">
            <w:pPr>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4418068F" w14:textId="77777777" w:rsidTr="001400A8">
        <w:tc>
          <w:tcPr>
            <w:tcW w:w="2931" w:type="dxa"/>
            <w:gridSpan w:val="2"/>
          </w:tcPr>
          <w:p w14:paraId="1B22F0EF"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Interpretative Sign</w:t>
            </w:r>
          </w:p>
        </w:tc>
        <w:tc>
          <w:tcPr>
            <w:tcW w:w="6096" w:type="dxa"/>
            <w:gridSpan w:val="3"/>
          </w:tcPr>
          <w:p w14:paraId="2681C755"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Provides information for visitors, plans, historic information, location of services, features and businesses, includes artworks which convey meaning.  This type of sign can be private (i.e. Placed by and for the benefit of a private business) or public (i.e. Placed by a public agency in the public interest).</w:t>
            </w:r>
          </w:p>
          <w:p w14:paraId="5BC8DECB"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7793DAFE" w14:textId="77777777" w:rsidTr="001400A8">
        <w:tc>
          <w:tcPr>
            <w:tcW w:w="2931" w:type="dxa"/>
            <w:gridSpan w:val="2"/>
          </w:tcPr>
          <w:p w14:paraId="68C07C9B"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Name Plate</w:t>
            </w:r>
          </w:p>
        </w:tc>
        <w:tc>
          <w:tcPr>
            <w:tcW w:w="6096" w:type="dxa"/>
            <w:gridSpan w:val="3"/>
          </w:tcPr>
          <w:p w14:paraId="3B792C49"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single sign identifying one of the occupants of a property used for professional rooms, attached flush to the wall of a building (e.g. A traditional doctors or lawyers brass plate).</w:t>
            </w:r>
          </w:p>
          <w:p w14:paraId="32A4CE87"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203558A2" w14:textId="77777777" w:rsidTr="001400A8">
        <w:tc>
          <w:tcPr>
            <w:tcW w:w="2931" w:type="dxa"/>
            <w:gridSpan w:val="2"/>
          </w:tcPr>
          <w:p w14:paraId="7E454D30"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Pole or Pylon Sign</w:t>
            </w:r>
          </w:p>
        </w:tc>
        <w:tc>
          <w:tcPr>
            <w:tcW w:w="6096" w:type="dxa"/>
            <w:gridSpan w:val="3"/>
          </w:tcPr>
          <w:p w14:paraId="43AF21A6"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sign erected on a pole, poles or a pylon independent of any building, provided it is not designed or used as a poster panel (billboard).</w:t>
            </w:r>
          </w:p>
          <w:p w14:paraId="30AAB6D8"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5732FA3D" w14:textId="77777777" w:rsidTr="001400A8">
        <w:tc>
          <w:tcPr>
            <w:tcW w:w="2931" w:type="dxa"/>
            <w:gridSpan w:val="2"/>
          </w:tcPr>
          <w:p w14:paraId="3996025D"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Portable Sign</w:t>
            </w:r>
          </w:p>
          <w:p w14:paraId="4AE57683"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(Sandwich Board)</w:t>
            </w:r>
          </w:p>
        </w:tc>
        <w:tc>
          <w:tcPr>
            <w:tcW w:w="6096" w:type="dxa"/>
            <w:gridSpan w:val="3"/>
          </w:tcPr>
          <w:p w14:paraId="6000596D"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sign not on a public reservation and not permanently attached to the ground or to a building or other structure.</w:t>
            </w:r>
          </w:p>
          <w:p w14:paraId="0873A2A3"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2A90756E" w14:textId="77777777" w:rsidTr="001400A8">
        <w:tc>
          <w:tcPr>
            <w:tcW w:w="2931" w:type="dxa"/>
            <w:gridSpan w:val="2"/>
          </w:tcPr>
          <w:p w14:paraId="59B6EABF"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 xml:space="preserve">Poster Panel </w:t>
            </w:r>
          </w:p>
          <w:p w14:paraId="59589380"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w:t>
            </w:r>
            <w:proofErr w:type="gramStart"/>
            <w:r w:rsidRPr="002C6E58">
              <w:rPr>
                <w:rFonts w:eastAsia="Times New Roman" w:cs="Arial"/>
                <w:b/>
                <w:lang w:val="en-US"/>
              </w:rPr>
              <w:t>Bill Board</w:t>
            </w:r>
            <w:proofErr w:type="gramEnd"/>
            <w:r w:rsidRPr="002C6E58">
              <w:rPr>
                <w:rFonts w:eastAsia="Times New Roman" w:cs="Arial"/>
                <w:b/>
                <w:lang w:val="en-US"/>
              </w:rPr>
              <w:t>)</w:t>
            </w:r>
          </w:p>
        </w:tc>
        <w:tc>
          <w:tcPr>
            <w:tcW w:w="6096" w:type="dxa"/>
            <w:gridSpan w:val="3"/>
          </w:tcPr>
          <w:p w14:paraId="361F87D7"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structure either freestanding or attached to a building designed to accommodate standard Poster Panels, the message of which may be changeable and variable.</w:t>
            </w:r>
          </w:p>
          <w:p w14:paraId="72AB23FC"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63102140" w14:textId="77777777" w:rsidTr="001400A8">
        <w:tc>
          <w:tcPr>
            <w:tcW w:w="2931" w:type="dxa"/>
            <w:gridSpan w:val="2"/>
          </w:tcPr>
          <w:p w14:paraId="02F5D29C"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Real Estate Sign</w:t>
            </w:r>
          </w:p>
        </w:tc>
        <w:tc>
          <w:tcPr>
            <w:tcW w:w="6096" w:type="dxa"/>
            <w:gridSpan w:val="3"/>
          </w:tcPr>
          <w:p w14:paraId="2B9D4F63"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 xml:space="preserve">Temporary sign erected for purposes of selling/leasing of real estate for the duration of the period the real estate is on the market, which may be more than five </w:t>
            </w:r>
            <w:proofErr w:type="gramStart"/>
            <w:r w:rsidRPr="002C6E58">
              <w:rPr>
                <w:rFonts w:eastAsia="Times New Roman" w:cs="Arial"/>
                <w:lang w:val="en-US"/>
              </w:rPr>
              <w:t>days</w:t>
            </w:r>
            <w:proofErr w:type="gramEnd"/>
            <w:r w:rsidRPr="002C6E58">
              <w:rPr>
                <w:rFonts w:eastAsia="Times New Roman" w:cs="Arial"/>
                <w:lang w:val="en-US"/>
              </w:rPr>
              <w:t xml:space="preserve"> and which is not separately affixed by bolt, nail, adhesive or screw to masonry, brickwork or other face building material.</w:t>
            </w:r>
          </w:p>
          <w:p w14:paraId="4CFB62F5" w14:textId="77777777" w:rsidR="002C6E58" w:rsidRPr="002C6E58" w:rsidRDefault="002C6E58" w:rsidP="001400A8">
            <w:pPr>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385B61AE" w14:textId="77777777" w:rsidTr="001400A8">
        <w:tc>
          <w:tcPr>
            <w:tcW w:w="2931" w:type="dxa"/>
            <w:gridSpan w:val="2"/>
          </w:tcPr>
          <w:p w14:paraId="7CD882B1"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Roof Sign</w:t>
            </w:r>
          </w:p>
        </w:tc>
        <w:tc>
          <w:tcPr>
            <w:tcW w:w="6096" w:type="dxa"/>
            <w:gridSpan w:val="3"/>
          </w:tcPr>
          <w:p w14:paraId="191AB677" w14:textId="77777777" w:rsidR="002C6E58" w:rsidRPr="002C6E58" w:rsidRDefault="002C6E58" w:rsidP="001400A8">
            <w:pPr>
              <w:tabs>
                <w:tab w:val="left" w:pos="-720"/>
              </w:tabs>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sign erected on the roof or parapet of a building with the highest point of its base not exceeding a vertical distance of 300mm above the roof or parapet.</w:t>
            </w:r>
          </w:p>
          <w:p w14:paraId="30D6B7F1" w14:textId="77777777" w:rsidR="002C6E58" w:rsidRPr="002C6E58" w:rsidRDefault="002C6E58" w:rsidP="001400A8">
            <w:pPr>
              <w:tabs>
                <w:tab w:val="left" w:pos="-720"/>
              </w:tabs>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0667530E" w14:textId="77777777" w:rsidTr="001400A8">
        <w:tc>
          <w:tcPr>
            <w:tcW w:w="2931" w:type="dxa"/>
            <w:gridSpan w:val="2"/>
          </w:tcPr>
          <w:p w14:paraId="24BF34D7"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lastRenderedPageBreak/>
              <w:t>Screen Sign</w:t>
            </w:r>
          </w:p>
        </w:tc>
        <w:tc>
          <w:tcPr>
            <w:tcW w:w="6096" w:type="dxa"/>
            <w:gridSpan w:val="3"/>
          </w:tcPr>
          <w:p w14:paraId="565AF3C5" w14:textId="77777777" w:rsidR="002C6E58" w:rsidRPr="002C6E58" w:rsidRDefault="002C6E58" w:rsidP="001400A8">
            <w:pPr>
              <w:tabs>
                <w:tab w:val="left" w:pos="-720"/>
              </w:tabs>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Messages, product or proprietary logos, or other graphics printed or displayed on screens used in association with outdoor seating.</w:t>
            </w:r>
          </w:p>
          <w:p w14:paraId="7A46BA55" w14:textId="77777777" w:rsidR="002C6E58" w:rsidRPr="002C6E58" w:rsidRDefault="002C6E58" w:rsidP="001400A8">
            <w:pPr>
              <w:tabs>
                <w:tab w:val="left" w:pos="-720"/>
              </w:tabs>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2FE9E867" w14:textId="77777777" w:rsidTr="001400A8">
        <w:tc>
          <w:tcPr>
            <w:tcW w:w="2931" w:type="dxa"/>
            <w:gridSpan w:val="2"/>
          </w:tcPr>
          <w:p w14:paraId="44EA0372"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Sky Sign</w:t>
            </w:r>
          </w:p>
        </w:tc>
        <w:tc>
          <w:tcPr>
            <w:tcW w:w="6096" w:type="dxa"/>
            <w:gridSpan w:val="3"/>
          </w:tcPr>
          <w:p w14:paraId="60931191" w14:textId="77777777" w:rsidR="002C6E58" w:rsidRPr="002C6E58" w:rsidRDefault="002C6E58" w:rsidP="001400A8">
            <w:pPr>
              <w:tabs>
                <w:tab w:val="left" w:pos="-720"/>
              </w:tabs>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A sign erected on the roof or parapet of a building where the highest point of its base exceeds a vertical distance of 300mm above the roof or parapet.</w:t>
            </w:r>
          </w:p>
          <w:p w14:paraId="0515C9C3" w14:textId="77777777" w:rsidR="002C6E58" w:rsidRPr="002C6E58" w:rsidRDefault="002C6E58" w:rsidP="001400A8">
            <w:pPr>
              <w:tabs>
                <w:tab w:val="left" w:pos="-720"/>
              </w:tabs>
              <w:suppressAutoHyphens/>
              <w:overflowPunct w:val="0"/>
              <w:autoSpaceDE w:val="0"/>
              <w:autoSpaceDN w:val="0"/>
              <w:adjustRightInd w:val="0"/>
              <w:spacing w:after="0" w:line="240" w:lineRule="auto"/>
              <w:ind w:left="79"/>
              <w:jc w:val="both"/>
              <w:textAlignment w:val="baseline"/>
              <w:rPr>
                <w:rFonts w:eastAsia="Times New Roman" w:cs="Arial"/>
                <w:lang w:val="en-US"/>
              </w:rPr>
            </w:pPr>
          </w:p>
        </w:tc>
      </w:tr>
      <w:tr w:rsidR="002C6E58" w:rsidRPr="002C6E58" w14:paraId="74ACBF20" w14:textId="77777777" w:rsidTr="001400A8">
        <w:tc>
          <w:tcPr>
            <w:tcW w:w="2931" w:type="dxa"/>
            <w:gridSpan w:val="2"/>
          </w:tcPr>
          <w:p w14:paraId="3B85717D" w14:textId="77777777" w:rsidR="002C6E58" w:rsidRPr="002C6E58" w:rsidRDefault="002C6E58" w:rsidP="001400A8">
            <w:pPr>
              <w:tabs>
                <w:tab w:val="left" w:pos="-720"/>
              </w:tabs>
              <w:suppressAutoHyphens/>
              <w:overflowPunct w:val="0"/>
              <w:autoSpaceDE w:val="0"/>
              <w:autoSpaceDN w:val="0"/>
              <w:adjustRightInd w:val="0"/>
              <w:spacing w:after="0" w:line="240" w:lineRule="auto"/>
              <w:jc w:val="both"/>
              <w:textAlignment w:val="baseline"/>
              <w:rPr>
                <w:rFonts w:eastAsia="Times New Roman" w:cs="Arial"/>
                <w:b/>
                <w:lang w:val="en-US"/>
              </w:rPr>
            </w:pPr>
            <w:r w:rsidRPr="002C6E58">
              <w:rPr>
                <w:rFonts w:eastAsia="Times New Roman" w:cs="Arial"/>
                <w:b/>
                <w:lang w:val="en-US"/>
              </w:rPr>
              <w:t>Statutory Sign</w:t>
            </w:r>
          </w:p>
        </w:tc>
        <w:tc>
          <w:tcPr>
            <w:tcW w:w="6096" w:type="dxa"/>
            <w:gridSpan w:val="3"/>
          </w:tcPr>
          <w:p w14:paraId="095F997C" w14:textId="77777777" w:rsidR="002C6E58" w:rsidRPr="002C6E58" w:rsidRDefault="002C6E58" w:rsidP="001400A8">
            <w:pPr>
              <w:tabs>
                <w:tab w:val="left" w:pos="-720"/>
              </w:tabs>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 xml:space="preserve">A sign required or specified by statute; and a sign relating to safety of pedestrians, traffic and shipping, including but not limited to a hazard sign, </w:t>
            </w:r>
            <w:proofErr w:type="spellStart"/>
            <w:r w:rsidRPr="002C6E58">
              <w:rPr>
                <w:rFonts w:eastAsia="Times New Roman" w:cs="Arial"/>
                <w:lang w:val="en-US"/>
              </w:rPr>
              <w:t>hazchem</w:t>
            </w:r>
            <w:proofErr w:type="spellEnd"/>
            <w:r w:rsidRPr="002C6E58">
              <w:rPr>
                <w:rFonts w:eastAsia="Times New Roman" w:cs="Arial"/>
                <w:lang w:val="en-US"/>
              </w:rPr>
              <w:t>, traffic control sign, maritime purposes sign, international/national signposting conventions for service provisions and toilets.</w:t>
            </w:r>
          </w:p>
          <w:p w14:paraId="338FF20E" w14:textId="77777777" w:rsidR="002C6E58" w:rsidRPr="002C6E58" w:rsidRDefault="002C6E58" w:rsidP="001400A8">
            <w:pPr>
              <w:tabs>
                <w:tab w:val="left" w:pos="-720"/>
              </w:tabs>
              <w:suppressAutoHyphens/>
              <w:overflowPunct w:val="0"/>
              <w:autoSpaceDE w:val="0"/>
              <w:autoSpaceDN w:val="0"/>
              <w:adjustRightInd w:val="0"/>
              <w:spacing w:after="0" w:line="240" w:lineRule="auto"/>
              <w:ind w:left="79"/>
              <w:jc w:val="both"/>
              <w:textAlignment w:val="baseline"/>
              <w:rPr>
                <w:rFonts w:eastAsia="Times New Roman" w:cs="Arial"/>
                <w:lang w:val="en-US"/>
              </w:rPr>
            </w:pPr>
          </w:p>
          <w:p w14:paraId="3445CBEB" w14:textId="77777777" w:rsidR="002C6E58" w:rsidRPr="002C6E58" w:rsidRDefault="002C6E58" w:rsidP="001400A8">
            <w:pPr>
              <w:tabs>
                <w:tab w:val="left" w:pos="-720"/>
              </w:tabs>
              <w:suppressAutoHyphens/>
              <w:overflowPunct w:val="0"/>
              <w:autoSpaceDE w:val="0"/>
              <w:autoSpaceDN w:val="0"/>
              <w:adjustRightInd w:val="0"/>
              <w:spacing w:after="0" w:line="240" w:lineRule="auto"/>
              <w:ind w:left="79"/>
              <w:jc w:val="both"/>
              <w:textAlignment w:val="baseline"/>
              <w:rPr>
                <w:rFonts w:eastAsia="Times New Roman" w:cs="Arial"/>
                <w:lang w:val="en-US"/>
              </w:rPr>
            </w:pPr>
            <w:r w:rsidRPr="002C6E58">
              <w:rPr>
                <w:rFonts w:eastAsia="Times New Roman" w:cs="Arial"/>
                <w:lang w:val="en-US"/>
              </w:rPr>
              <w:t xml:space="preserve">Does not include the use of </w:t>
            </w:r>
            <w:proofErr w:type="spellStart"/>
            <w:r w:rsidRPr="002C6E58">
              <w:rPr>
                <w:rFonts w:eastAsia="Times New Roman" w:cs="Arial"/>
                <w:lang w:val="en-US"/>
              </w:rPr>
              <w:t>standardised</w:t>
            </w:r>
            <w:proofErr w:type="spellEnd"/>
            <w:r w:rsidRPr="002C6E58">
              <w:rPr>
                <w:rFonts w:eastAsia="Times New Roman" w:cs="Arial"/>
                <w:lang w:val="en-US"/>
              </w:rPr>
              <w:t xml:space="preserve"> logos where it is voluntary to supply information e.g. State visitor information standards, international/national information regarding items other that essential services, parking as opposed to traffic control.</w:t>
            </w:r>
          </w:p>
        </w:tc>
      </w:tr>
      <w:tr w:rsidR="002C6E58" w:rsidRPr="002C6E58" w14:paraId="103D0870" w14:textId="77777777" w:rsidTr="001400A8">
        <w:trPr>
          <w:gridBefore w:val="1"/>
          <w:wBefore w:w="141" w:type="dxa"/>
        </w:trPr>
        <w:tc>
          <w:tcPr>
            <w:tcW w:w="2790" w:type="dxa"/>
          </w:tcPr>
          <w:p w14:paraId="222D16C7" w14:textId="77777777" w:rsidR="002C6E58" w:rsidRPr="002C6E58" w:rsidRDefault="002C6E58" w:rsidP="001400A8">
            <w:pPr>
              <w:tabs>
                <w:tab w:val="left" w:pos="-720"/>
              </w:tabs>
              <w:suppressAutoHyphens/>
              <w:overflowPunct w:val="0"/>
              <w:autoSpaceDE w:val="0"/>
              <w:autoSpaceDN w:val="0"/>
              <w:adjustRightInd w:val="0"/>
              <w:spacing w:after="0" w:line="240" w:lineRule="auto"/>
              <w:ind w:left="-108"/>
              <w:jc w:val="both"/>
              <w:textAlignment w:val="baseline"/>
              <w:rPr>
                <w:rFonts w:eastAsia="Times New Roman" w:cs="Arial"/>
                <w:b/>
                <w:lang w:val="en-US"/>
              </w:rPr>
            </w:pPr>
            <w:r w:rsidRPr="002C6E58">
              <w:rPr>
                <w:rFonts w:eastAsia="Times New Roman" w:cs="Arial"/>
                <w:b/>
                <w:lang w:val="en-US"/>
              </w:rPr>
              <w:t>Sun Blind Sign</w:t>
            </w:r>
          </w:p>
        </w:tc>
        <w:tc>
          <w:tcPr>
            <w:tcW w:w="6096" w:type="dxa"/>
            <w:gridSpan w:val="3"/>
          </w:tcPr>
          <w:p w14:paraId="36CF965A"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A sign incorporated into the fabric or structure of a sun blind or canopy situated over a door or window.</w:t>
            </w:r>
          </w:p>
          <w:p w14:paraId="54C7CE2A"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094F4C80" w14:textId="77777777" w:rsidTr="001400A8">
        <w:trPr>
          <w:gridBefore w:val="1"/>
          <w:wBefore w:w="141" w:type="dxa"/>
        </w:trPr>
        <w:tc>
          <w:tcPr>
            <w:tcW w:w="2790" w:type="dxa"/>
          </w:tcPr>
          <w:p w14:paraId="107968BD" w14:textId="77777777" w:rsidR="002C6E58" w:rsidRPr="002C6E58" w:rsidRDefault="002C6E58" w:rsidP="001400A8">
            <w:pPr>
              <w:tabs>
                <w:tab w:val="left" w:pos="-720"/>
              </w:tabs>
              <w:suppressAutoHyphens/>
              <w:overflowPunct w:val="0"/>
              <w:autoSpaceDE w:val="0"/>
              <w:autoSpaceDN w:val="0"/>
              <w:adjustRightInd w:val="0"/>
              <w:spacing w:after="0" w:line="240" w:lineRule="auto"/>
              <w:ind w:left="-108"/>
              <w:jc w:val="both"/>
              <w:textAlignment w:val="baseline"/>
              <w:rPr>
                <w:rFonts w:eastAsia="Times New Roman" w:cs="Arial"/>
                <w:b/>
                <w:lang w:val="en-US"/>
              </w:rPr>
            </w:pPr>
            <w:r w:rsidRPr="002C6E58">
              <w:rPr>
                <w:rFonts w:eastAsia="Times New Roman" w:cs="Arial"/>
                <w:b/>
                <w:lang w:val="en-US"/>
              </w:rPr>
              <w:t>Tethered Sign</w:t>
            </w:r>
          </w:p>
          <w:p w14:paraId="1CB3C90B" w14:textId="77777777" w:rsidR="002C6E58" w:rsidRPr="002C6E58" w:rsidRDefault="002C6E58" w:rsidP="001400A8">
            <w:pPr>
              <w:tabs>
                <w:tab w:val="left" w:pos="-720"/>
              </w:tabs>
              <w:suppressAutoHyphens/>
              <w:overflowPunct w:val="0"/>
              <w:autoSpaceDE w:val="0"/>
              <w:autoSpaceDN w:val="0"/>
              <w:adjustRightInd w:val="0"/>
              <w:spacing w:after="0" w:line="240" w:lineRule="auto"/>
              <w:ind w:left="-108"/>
              <w:jc w:val="both"/>
              <w:textAlignment w:val="baseline"/>
              <w:rPr>
                <w:rFonts w:eastAsia="Times New Roman" w:cs="Arial"/>
                <w:b/>
                <w:lang w:val="en-US"/>
              </w:rPr>
            </w:pPr>
            <w:r w:rsidRPr="002C6E58">
              <w:rPr>
                <w:rFonts w:eastAsia="Times New Roman" w:cs="Arial"/>
                <w:b/>
                <w:lang w:val="en-US"/>
              </w:rPr>
              <w:t>(Balloons and Blimps)</w:t>
            </w:r>
          </w:p>
        </w:tc>
        <w:tc>
          <w:tcPr>
            <w:tcW w:w="6096" w:type="dxa"/>
            <w:gridSpan w:val="3"/>
          </w:tcPr>
          <w:p w14:paraId="38346F2F"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A sign which is suspended from, tethered or (tied) to any structure, or other object (with or without supporting framework). The sign may be made of paper or plastic or fabric or a similar material. The term includes lighter-than-air devices, inflatables such as</w:t>
            </w:r>
            <w:r w:rsidRPr="002C6E58">
              <w:rPr>
                <w:rFonts w:eastAsia="Times New Roman" w:cs="Arial"/>
                <w:lang w:val="en-GB"/>
              </w:rPr>
              <w:t xml:space="preserve"> balloons</w:t>
            </w:r>
            <w:r w:rsidRPr="002C6E58">
              <w:rPr>
                <w:rFonts w:eastAsia="Times New Roman" w:cs="Arial"/>
                <w:lang w:val="en-US"/>
              </w:rPr>
              <w:t xml:space="preserve"> and blimps, bunting, banners, flags and kites.</w:t>
            </w:r>
          </w:p>
          <w:p w14:paraId="4E9A1CCA"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6DA2F481" w14:textId="77777777" w:rsidTr="001400A8">
        <w:trPr>
          <w:gridBefore w:val="1"/>
          <w:wBefore w:w="141" w:type="dxa"/>
        </w:trPr>
        <w:tc>
          <w:tcPr>
            <w:tcW w:w="2790" w:type="dxa"/>
          </w:tcPr>
          <w:p w14:paraId="4236792E" w14:textId="77777777" w:rsidR="002C6E58" w:rsidRPr="002C6E58" w:rsidRDefault="002C6E58" w:rsidP="001400A8">
            <w:pPr>
              <w:tabs>
                <w:tab w:val="left" w:pos="-720"/>
              </w:tabs>
              <w:suppressAutoHyphens/>
              <w:overflowPunct w:val="0"/>
              <w:autoSpaceDE w:val="0"/>
              <w:autoSpaceDN w:val="0"/>
              <w:adjustRightInd w:val="0"/>
              <w:spacing w:after="0" w:line="240" w:lineRule="auto"/>
              <w:ind w:left="-108"/>
              <w:jc w:val="both"/>
              <w:textAlignment w:val="baseline"/>
              <w:rPr>
                <w:rFonts w:eastAsia="Times New Roman" w:cs="Arial"/>
                <w:b/>
                <w:lang w:val="en-US"/>
              </w:rPr>
            </w:pPr>
            <w:r w:rsidRPr="002C6E58">
              <w:rPr>
                <w:rFonts w:eastAsia="Times New Roman" w:cs="Arial"/>
                <w:b/>
                <w:lang w:val="en-US"/>
              </w:rPr>
              <w:t>Temporary Sign</w:t>
            </w:r>
          </w:p>
        </w:tc>
        <w:tc>
          <w:tcPr>
            <w:tcW w:w="6096" w:type="dxa"/>
            <w:gridSpan w:val="3"/>
          </w:tcPr>
          <w:p w14:paraId="3ED3B9C5"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A sign displayed for a total of more than five days but less than four months in any given year.</w:t>
            </w:r>
          </w:p>
          <w:p w14:paraId="5B8A8F29"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4AA3D7BA" w14:textId="77777777" w:rsidTr="001400A8">
        <w:trPr>
          <w:gridBefore w:val="1"/>
          <w:wBefore w:w="141" w:type="dxa"/>
        </w:trPr>
        <w:tc>
          <w:tcPr>
            <w:tcW w:w="2790" w:type="dxa"/>
          </w:tcPr>
          <w:p w14:paraId="1F8AE630" w14:textId="77777777" w:rsidR="002C6E58" w:rsidRPr="002C6E58" w:rsidRDefault="002C6E58" w:rsidP="001400A8">
            <w:pPr>
              <w:tabs>
                <w:tab w:val="left" w:pos="-720"/>
              </w:tabs>
              <w:suppressAutoHyphens/>
              <w:overflowPunct w:val="0"/>
              <w:autoSpaceDE w:val="0"/>
              <w:autoSpaceDN w:val="0"/>
              <w:adjustRightInd w:val="0"/>
              <w:spacing w:after="0" w:line="240" w:lineRule="auto"/>
              <w:ind w:left="-108"/>
              <w:textAlignment w:val="baseline"/>
              <w:rPr>
                <w:rFonts w:eastAsia="Times New Roman" w:cs="Arial"/>
                <w:b/>
                <w:lang w:val="en-US"/>
              </w:rPr>
            </w:pPr>
            <w:r w:rsidRPr="002C6E58">
              <w:rPr>
                <w:rFonts w:eastAsia="Times New Roman" w:cs="Arial"/>
                <w:b/>
                <w:lang w:val="en-US"/>
              </w:rPr>
              <w:t>Vertical Projecting Wall Sign</w:t>
            </w:r>
          </w:p>
        </w:tc>
        <w:tc>
          <w:tcPr>
            <w:tcW w:w="6096" w:type="dxa"/>
            <w:gridSpan w:val="3"/>
          </w:tcPr>
          <w:p w14:paraId="2EAD7384"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A sign projecting from the wall of a building with a vertical dimension greater than or equal to its horizontal dimension.</w:t>
            </w:r>
          </w:p>
          <w:p w14:paraId="4F354BA5"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2C59627C" w14:textId="77777777" w:rsidTr="001400A8">
        <w:trPr>
          <w:gridBefore w:val="1"/>
          <w:wBefore w:w="141" w:type="dxa"/>
        </w:trPr>
        <w:tc>
          <w:tcPr>
            <w:tcW w:w="2790" w:type="dxa"/>
          </w:tcPr>
          <w:p w14:paraId="0A97CBCC" w14:textId="77777777" w:rsidR="002C6E58" w:rsidRPr="002C6E58" w:rsidRDefault="002C6E58" w:rsidP="001400A8">
            <w:pPr>
              <w:tabs>
                <w:tab w:val="left" w:pos="-720"/>
              </w:tabs>
              <w:suppressAutoHyphens/>
              <w:overflowPunct w:val="0"/>
              <w:autoSpaceDE w:val="0"/>
              <w:autoSpaceDN w:val="0"/>
              <w:adjustRightInd w:val="0"/>
              <w:spacing w:after="0" w:line="240" w:lineRule="auto"/>
              <w:ind w:left="-108"/>
              <w:jc w:val="both"/>
              <w:textAlignment w:val="baseline"/>
              <w:rPr>
                <w:rFonts w:eastAsia="Times New Roman" w:cs="Arial"/>
                <w:b/>
                <w:lang w:val="en-US"/>
              </w:rPr>
            </w:pPr>
            <w:r w:rsidRPr="002C6E58">
              <w:rPr>
                <w:rFonts w:eastAsia="Times New Roman" w:cs="Arial"/>
                <w:b/>
                <w:lang w:val="en-US"/>
              </w:rPr>
              <w:t>Wall Mural</w:t>
            </w:r>
          </w:p>
        </w:tc>
        <w:tc>
          <w:tcPr>
            <w:tcW w:w="6096" w:type="dxa"/>
            <w:gridSpan w:val="3"/>
          </w:tcPr>
          <w:p w14:paraId="7C7200AF"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A graphical or pictorial painted design which does not convey a defined advertising message.</w:t>
            </w:r>
          </w:p>
          <w:p w14:paraId="3C9146E4"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6DAAE178" w14:textId="77777777" w:rsidTr="001400A8">
        <w:trPr>
          <w:gridBefore w:val="1"/>
          <w:wBefore w:w="141" w:type="dxa"/>
        </w:trPr>
        <w:tc>
          <w:tcPr>
            <w:tcW w:w="2790" w:type="dxa"/>
          </w:tcPr>
          <w:p w14:paraId="7C23F7B9" w14:textId="77777777" w:rsidR="002C6E58" w:rsidRPr="002C6E58" w:rsidRDefault="002C6E58" w:rsidP="001400A8">
            <w:pPr>
              <w:tabs>
                <w:tab w:val="left" w:pos="-720"/>
              </w:tabs>
              <w:suppressAutoHyphens/>
              <w:overflowPunct w:val="0"/>
              <w:autoSpaceDE w:val="0"/>
              <w:autoSpaceDN w:val="0"/>
              <w:adjustRightInd w:val="0"/>
              <w:spacing w:after="0" w:line="240" w:lineRule="auto"/>
              <w:ind w:left="-108"/>
              <w:jc w:val="both"/>
              <w:textAlignment w:val="baseline"/>
              <w:rPr>
                <w:rFonts w:eastAsia="Times New Roman" w:cs="Arial"/>
                <w:b/>
                <w:lang w:val="en-US"/>
              </w:rPr>
            </w:pPr>
            <w:r w:rsidRPr="002C6E58">
              <w:rPr>
                <w:rFonts w:eastAsia="Times New Roman" w:cs="Arial"/>
                <w:b/>
                <w:lang w:val="en-US"/>
              </w:rPr>
              <w:t>Wall Sign</w:t>
            </w:r>
          </w:p>
        </w:tc>
        <w:tc>
          <w:tcPr>
            <w:tcW w:w="6096" w:type="dxa"/>
            <w:gridSpan w:val="3"/>
          </w:tcPr>
          <w:p w14:paraId="0AE37BC2"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A sign painted on or attached parallel to the wall or window of a building.</w:t>
            </w:r>
          </w:p>
          <w:p w14:paraId="540F6537"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p>
        </w:tc>
      </w:tr>
      <w:tr w:rsidR="002C6E58" w:rsidRPr="002C6E58" w14:paraId="05C9F270" w14:textId="77777777" w:rsidTr="001400A8">
        <w:trPr>
          <w:gridBefore w:val="1"/>
          <w:wBefore w:w="141" w:type="dxa"/>
        </w:trPr>
        <w:tc>
          <w:tcPr>
            <w:tcW w:w="2790" w:type="dxa"/>
          </w:tcPr>
          <w:p w14:paraId="4F98A769" w14:textId="77777777" w:rsidR="002C6E58" w:rsidRPr="002C6E58" w:rsidRDefault="002C6E58" w:rsidP="001400A8">
            <w:pPr>
              <w:tabs>
                <w:tab w:val="left" w:pos="-720"/>
              </w:tabs>
              <w:suppressAutoHyphens/>
              <w:overflowPunct w:val="0"/>
              <w:autoSpaceDE w:val="0"/>
              <w:autoSpaceDN w:val="0"/>
              <w:adjustRightInd w:val="0"/>
              <w:spacing w:after="0" w:line="240" w:lineRule="auto"/>
              <w:ind w:left="-108"/>
              <w:jc w:val="both"/>
              <w:textAlignment w:val="baseline"/>
              <w:rPr>
                <w:rFonts w:eastAsia="Times New Roman" w:cs="Arial"/>
                <w:b/>
                <w:lang w:val="en-US"/>
              </w:rPr>
            </w:pPr>
            <w:r w:rsidRPr="002C6E58">
              <w:rPr>
                <w:rFonts w:eastAsia="Times New Roman" w:cs="Arial"/>
                <w:b/>
                <w:lang w:val="en-US"/>
              </w:rPr>
              <w:t>Window Sign</w:t>
            </w:r>
          </w:p>
        </w:tc>
        <w:tc>
          <w:tcPr>
            <w:tcW w:w="6096" w:type="dxa"/>
            <w:gridSpan w:val="3"/>
          </w:tcPr>
          <w:p w14:paraId="2E5B59DC"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r w:rsidRPr="002C6E58">
              <w:rPr>
                <w:rFonts w:eastAsia="Times New Roman" w:cs="Arial"/>
                <w:lang w:val="en-US"/>
              </w:rPr>
              <w:t>Sign on a glass surface of a window or located less than 150mm behind a surface.  Also includes signs on any window which has been painted opaque.</w:t>
            </w:r>
          </w:p>
          <w:p w14:paraId="01932A49" w14:textId="77777777" w:rsidR="002C6E58" w:rsidRPr="002C6E58" w:rsidRDefault="002C6E58" w:rsidP="001400A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lang w:val="en-US"/>
              </w:rPr>
            </w:pPr>
          </w:p>
        </w:tc>
      </w:tr>
    </w:tbl>
    <w:p w14:paraId="2F6663D8" w14:textId="77777777" w:rsidR="002C6E58" w:rsidRPr="009F1FDD" w:rsidRDefault="002C6E58" w:rsidP="002C6E58">
      <w:pPr>
        <w:tabs>
          <w:tab w:val="left" w:pos="-720"/>
          <w:tab w:val="left" w:pos="0"/>
        </w:tabs>
        <w:suppressAutoHyphens/>
        <w:overflowPunct w:val="0"/>
        <w:autoSpaceDE w:val="0"/>
        <w:autoSpaceDN w:val="0"/>
        <w:adjustRightInd w:val="0"/>
        <w:spacing w:after="0" w:line="240" w:lineRule="auto"/>
        <w:ind w:left="720"/>
        <w:jc w:val="both"/>
        <w:textAlignment w:val="baseline"/>
        <w:rPr>
          <w:rFonts w:ascii="Arial" w:eastAsia="Times New Roman" w:hAnsi="Arial" w:cs="Arial"/>
          <w:sz w:val="20"/>
          <w:szCs w:val="20"/>
          <w:lang w:val="en-US"/>
        </w:rPr>
      </w:pPr>
    </w:p>
    <w:p w14:paraId="06111A70" w14:textId="77777777" w:rsidR="002C6E58" w:rsidRDefault="002C6E58" w:rsidP="002C6E58">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br w:type="page"/>
      </w:r>
    </w:p>
    <w:p w14:paraId="21B1E1C2" w14:textId="037C2722" w:rsidR="00FF449F" w:rsidRDefault="002C6E58" w:rsidP="00EC605B">
      <w:pPr>
        <w:tabs>
          <w:tab w:val="left" w:pos="-720"/>
          <w:tab w:val="left" w:pos="0"/>
        </w:tabs>
        <w:suppressAutoHyphens/>
        <w:overflowPunct w:val="0"/>
        <w:autoSpaceDE w:val="0"/>
        <w:autoSpaceDN w:val="0"/>
        <w:adjustRightInd w:val="0"/>
        <w:spacing w:after="0" w:line="240" w:lineRule="auto"/>
        <w:ind w:left="720"/>
        <w:jc w:val="both"/>
        <w:textAlignment w:val="baseline"/>
        <w:rPr>
          <w:b/>
        </w:rPr>
      </w:pPr>
      <w:r w:rsidRPr="009F1FDD">
        <w:rPr>
          <w:rFonts w:ascii="Times New Roman" w:eastAsia="Times New Roman" w:hAnsi="Times New Roman" w:cs="Times New Roman"/>
          <w:noProof/>
          <w:sz w:val="24"/>
          <w:szCs w:val="24"/>
          <w:lang w:eastAsia="en-AU"/>
        </w:rPr>
        <w:lastRenderedPageBreak/>
        <w:drawing>
          <wp:anchor distT="0" distB="0" distL="114300" distR="114300" simplePos="0" relativeHeight="251615232" behindDoc="0" locked="0" layoutInCell="1" allowOverlap="1" wp14:anchorId="380CFC80" wp14:editId="653F7F0F">
            <wp:simplePos x="0" y="0"/>
            <wp:positionH relativeFrom="margin">
              <wp:posOffset>-367030</wp:posOffset>
            </wp:positionH>
            <wp:positionV relativeFrom="margin">
              <wp:posOffset>-798195</wp:posOffset>
            </wp:positionV>
            <wp:extent cx="6515100" cy="9401175"/>
            <wp:effectExtent l="57150" t="19050" r="19050" b="0"/>
            <wp:wrapSquare wrapText="bothSides"/>
            <wp:docPr id="198" name="Picture 3" descr="scanned%20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ned%20image"/>
                    <pic:cNvPicPr>
                      <a:picLocks noChangeAspect="1" noChangeArrowheads="1"/>
                    </pic:cNvPicPr>
                  </pic:nvPicPr>
                  <pic:blipFill>
                    <a:blip r:embed="rId287" cstate="print"/>
                    <a:srcRect/>
                    <a:stretch>
                      <a:fillRect/>
                    </a:stretch>
                  </pic:blipFill>
                  <pic:spPr bwMode="auto">
                    <a:xfrm>
                      <a:off x="0" y="0"/>
                      <a:ext cx="6515100" cy="9401175"/>
                    </a:xfrm>
                    <a:prstGeom prst="rect">
                      <a:avLst/>
                    </a:prstGeom>
                    <a:noFill/>
                    <a:ln w="9525">
                      <a:noFill/>
                      <a:miter lim="800000"/>
                      <a:headEnd/>
                      <a:tailEnd/>
                    </a:ln>
                    <a:scene3d>
                      <a:camera prst="perspectiveFront"/>
                      <a:lightRig rig="threePt" dir="t"/>
                    </a:scene3d>
                  </pic:spPr>
                </pic:pic>
              </a:graphicData>
            </a:graphic>
          </wp:anchor>
        </w:drawing>
      </w:r>
      <w:bookmarkStart w:id="518" w:name="_Toc1375831"/>
      <w:bookmarkStart w:id="519" w:name="_Toc31017080"/>
      <w:bookmarkStart w:id="520" w:name="_Toc31017081"/>
      <w:r w:rsidR="00FF449F">
        <w:rPr>
          <w:b/>
        </w:rPr>
        <w:br w:type="page"/>
      </w:r>
    </w:p>
    <w:p w14:paraId="402EA6D8" w14:textId="77777777" w:rsidR="002C6E58" w:rsidRPr="00333BEC" w:rsidRDefault="002C6E58" w:rsidP="00333BEC">
      <w:pPr>
        <w:spacing w:after="0"/>
        <w:ind w:left="567" w:hanging="567"/>
        <w:rPr>
          <w:b/>
          <w:lang w:val="en-US"/>
        </w:rPr>
      </w:pPr>
      <w:r w:rsidRPr="00333BEC">
        <w:rPr>
          <w:b/>
        </w:rPr>
        <w:lastRenderedPageBreak/>
        <w:t>5.</w:t>
      </w:r>
      <w:r w:rsidRPr="00333BEC">
        <w:rPr>
          <w:b/>
        </w:rPr>
        <w:tab/>
      </w:r>
      <w:bookmarkEnd w:id="518"/>
      <w:bookmarkEnd w:id="519"/>
      <w:bookmarkEnd w:id="520"/>
      <w:r w:rsidRPr="00333BEC">
        <w:rPr>
          <w:b/>
        </w:rPr>
        <w:t xml:space="preserve">Exempt Signs </w:t>
      </w:r>
    </w:p>
    <w:p w14:paraId="58C37E5D" w14:textId="77777777" w:rsidR="002C6E58" w:rsidRPr="002C6E58" w:rsidRDefault="002C6E58" w:rsidP="002C6E58">
      <w:pPr>
        <w:tabs>
          <w:tab w:val="left" w:pos="-720"/>
          <w:tab w:val="left" w:pos="0"/>
        </w:tabs>
        <w:suppressAutoHyphens/>
        <w:overflowPunct w:val="0"/>
        <w:autoSpaceDE w:val="0"/>
        <w:autoSpaceDN w:val="0"/>
        <w:adjustRightInd w:val="0"/>
        <w:spacing w:after="0" w:line="240" w:lineRule="auto"/>
        <w:ind w:left="567"/>
        <w:jc w:val="both"/>
        <w:textAlignment w:val="baseline"/>
        <w:rPr>
          <w:rFonts w:eastAsia="Times New Roman" w:cs="Arial"/>
          <w:lang w:val="en-US"/>
        </w:rPr>
      </w:pPr>
      <w:r w:rsidRPr="002C6E58">
        <w:rPr>
          <w:rFonts w:eastAsia="Times New Roman" w:cs="Arial"/>
          <w:lang w:val="en-US"/>
        </w:rPr>
        <w:t>The following types of signs are deemed to meet the requirements for development approval by the Council and do not require an application for development approval providing the specified conditions are met:</w:t>
      </w:r>
    </w:p>
    <w:p w14:paraId="5ED3A414" w14:textId="77777777" w:rsidR="002C6E58" w:rsidRPr="002C6E58" w:rsidRDefault="002C6E58" w:rsidP="002C6E58">
      <w:pPr>
        <w:tabs>
          <w:tab w:val="left" w:pos="-720"/>
          <w:tab w:val="left" w:pos="0"/>
        </w:tabs>
        <w:suppressAutoHyphens/>
        <w:overflowPunct w:val="0"/>
        <w:autoSpaceDE w:val="0"/>
        <w:autoSpaceDN w:val="0"/>
        <w:adjustRightInd w:val="0"/>
        <w:spacing w:before="120" w:after="120" w:line="240" w:lineRule="auto"/>
        <w:ind w:left="1276" w:hanging="709"/>
        <w:jc w:val="both"/>
        <w:textAlignment w:val="baseline"/>
        <w:rPr>
          <w:rFonts w:eastAsia="Times New Roman" w:cs="Arial"/>
          <w:lang w:val="en-US"/>
        </w:rPr>
      </w:pPr>
      <w:r w:rsidRPr="002C6E58">
        <w:rPr>
          <w:rFonts w:eastAsia="Times New Roman" w:cs="Arial"/>
          <w:lang w:val="en-US"/>
        </w:rPr>
        <w:t>N.B.</w:t>
      </w:r>
      <w:r w:rsidRPr="002C6E58">
        <w:rPr>
          <w:rFonts w:eastAsia="Times New Roman" w:cs="Arial"/>
          <w:lang w:val="en-US"/>
        </w:rPr>
        <w:tab/>
        <w:t>A permit is not required to change the content of an existing approved sign provided that any changes do not result in it being less consistent with the objectives of the Design Guideline than the previous sign.</w:t>
      </w:r>
    </w:p>
    <w:tbl>
      <w:tblPr>
        <w:tblW w:w="864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6379"/>
      </w:tblGrid>
      <w:tr w:rsidR="002C6E58" w:rsidRPr="002C6E58" w14:paraId="5DC5913B" w14:textId="77777777" w:rsidTr="001400A8">
        <w:tc>
          <w:tcPr>
            <w:tcW w:w="2268" w:type="dxa"/>
            <w:vAlign w:val="center"/>
          </w:tcPr>
          <w:p w14:paraId="784A7B7D" w14:textId="77777777" w:rsidR="002C6E58" w:rsidRPr="002C6E58" w:rsidRDefault="002C6E58" w:rsidP="001400A8">
            <w:pPr>
              <w:overflowPunct w:val="0"/>
              <w:autoSpaceDE w:val="0"/>
              <w:autoSpaceDN w:val="0"/>
              <w:adjustRightInd w:val="0"/>
              <w:spacing w:before="60" w:after="60" w:line="240" w:lineRule="auto"/>
              <w:ind w:right="-108"/>
              <w:textAlignment w:val="baseline"/>
              <w:outlineLvl w:val="7"/>
              <w:rPr>
                <w:rFonts w:eastAsia="Times New Roman" w:cs="Arial"/>
                <w:b/>
              </w:rPr>
            </w:pPr>
            <w:r w:rsidRPr="002C6E58">
              <w:rPr>
                <w:rFonts w:eastAsia="Times New Roman" w:cs="Arial"/>
                <w:b/>
              </w:rPr>
              <w:t>SIGN TYPE</w:t>
            </w:r>
          </w:p>
        </w:tc>
        <w:tc>
          <w:tcPr>
            <w:tcW w:w="6379" w:type="dxa"/>
            <w:vAlign w:val="center"/>
          </w:tcPr>
          <w:p w14:paraId="5C705DA6" w14:textId="77777777" w:rsidR="002C6E58" w:rsidRPr="002C6E58" w:rsidRDefault="002C6E58" w:rsidP="001400A8">
            <w:pPr>
              <w:tabs>
                <w:tab w:val="num" w:pos="1080"/>
              </w:tabs>
              <w:overflowPunct w:val="0"/>
              <w:autoSpaceDE w:val="0"/>
              <w:autoSpaceDN w:val="0"/>
              <w:adjustRightInd w:val="0"/>
              <w:spacing w:before="60" w:after="60" w:line="240" w:lineRule="auto"/>
              <w:textAlignment w:val="baseline"/>
              <w:rPr>
                <w:rFonts w:eastAsia="Times New Roman" w:cs="Arial"/>
                <w:b/>
                <w:smallCaps/>
                <w:lang w:val="en-US"/>
              </w:rPr>
            </w:pPr>
            <w:r w:rsidRPr="002C6E58">
              <w:rPr>
                <w:rFonts w:eastAsia="Times New Roman" w:cs="Arial"/>
                <w:b/>
                <w:smallCaps/>
                <w:lang w:val="en-US"/>
              </w:rPr>
              <w:t>CONDITIONS</w:t>
            </w:r>
          </w:p>
        </w:tc>
      </w:tr>
      <w:tr w:rsidR="002C6E58" w:rsidRPr="002C6E58" w14:paraId="39079985" w14:textId="77777777" w:rsidTr="001400A8">
        <w:tc>
          <w:tcPr>
            <w:tcW w:w="2268" w:type="dxa"/>
          </w:tcPr>
          <w:p w14:paraId="7F615BCC" w14:textId="77777777" w:rsidR="002C6E58" w:rsidRPr="00355F2E" w:rsidRDefault="002C6E58" w:rsidP="00927350">
            <w:r w:rsidRPr="00355F2E">
              <w:t>Any Sign</w:t>
            </w:r>
          </w:p>
        </w:tc>
        <w:tc>
          <w:tcPr>
            <w:tcW w:w="6379" w:type="dxa"/>
          </w:tcPr>
          <w:p w14:paraId="550B995E" w14:textId="77777777" w:rsidR="002C6E58" w:rsidRPr="002C6E58" w:rsidRDefault="002C6E58" w:rsidP="001400A8">
            <w:pPr>
              <w:overflowPunct w:val="0"/>
              <w:autoSpaceDE w:val="0"/>
              <w:autoSpaceDN w:val="0"/>
              <w:adjustRightInd w:val="0"/>
              <w:spacing w:before="60" w:after="60" w:line="240" w:lineRule="auto"/>
              <w:ind w:left="34"/>
              <w:jc w:val="both"/>
              <w:textAlignment w:val="baseline"/>
              <w:rPr>
                <w:rFonts w:eastAsia="Times New Roman" w:cs="Arial"/>
                <w:lang w:val="en-US"/>
              </w:rPr>
            </w:pPr>
            <w:r w:rsidRPr="002C6E58">
              <w:rPr>
                <w:rFonts w:eastAsia="Times New Roman" w:cs="Arial"/>
                <w:lang w:val="en-US"/>
              </w:rPr>
              <w:t>The sign must form part of an approved signs regime.</w:t>
            </w:r>
          </w:p>
        </w:tc>
      </w:tr>
      <w:tr w:rsidR="002C6E58" w:rsidRPr="002C6E58" w14:paraId="5EC4170C" w14:textId="77777777" w:rsidTr="001400A8">
        <w:tc>
          <w:tcPr>
            <w:tcW w:w="2268" w:type="dxa"/>
          </w:tcPr>
          <w:p w14:paraId="73994C25" w14:textId="77777777" w:rsidR="002C6E58" w:rsidRPr="00355F2E" w:rsidRDefault="002C6E58" w:rsidP="00927350">
            <w:r w:rsidRPr="00355F2E">
              <w:t>Banner Sign</w:t>
            </w:r>
          </w:p>
        </w:tc>
        <w:tc>
          <w:tcPr>
            <w:tcW w:w="6379" w:type="dxa"/>
          </w:tcPr>
          <w:p w14:paraId="5B0B168F" w14:textId="77777777" w:rsidR="002C6E58" w:rsidRPr="002C6E58" w:rsidRDefault="002C6E58" w:rsidP="002A3889">
            <w:pPr>
              <w:numPr>
                <w:ilvl w:val="0"/>
                <w:numId w:val="283"/>
              </w:numPr>
              <w:tabs>
                <w:tab w:val="clear" w:pos="360"/>
                <w:tab w:val="num" w:pos="317"/>
              </w:tabs>
              <w:overflowPunct w:val="0"/>
              <w:autoSpaceDE w:val="0"/>
              <w:autoSpaceDN w:val="0"/>
              <w:adjustRightInd w:val="0"/>
              <w:spacing w:before="60" w:after="60" w:line="240" w:lineRule="auto"/>
              <w:ind w:left="317" w:hanging="317"/>
              <w:jc w:val="both"/>
              <w:textAlignment w:val="baseline"/>
              <w:rPr>
                <w:rFonts w:eastAsia="Times New Roman" w:cs="Arial"/>
                <w:lang w:val="en-US"/>
              </w:rPr>
            </w:pPr>
            <w:r w:rsidRPr="002C6E58">
              <w:rPr>
                <w:rFonts w:eastAsia="Times New Roman" w:cs="Arial"/>
                <w:lang w:val="en-US"/>
              </w:rPr>
              <w:t>One sign per building.</w:t>
            </w:r>
          </w:p>
          <w:p w14:paraId="536D542C" w14:textId="77777777" w:rsidR="002C6E58" w:rsidRPr="002C6E58" w:rsidRDefault="002C6E58" w:rsidP="002A3889">
            <w:pPr>
              <w:numPr>
                <w:ilvl w:val="0"/>
                <w:numId w:val="283"/>
              </w:numPr>
              <w:tabs>
                <w:tab w:val="clear" w:pos="360"/>
                <w:tab w:val="num" w:pos="317"/>
              </w:tabs>
              <w:overflowPunct w:val="0"/>
              <w:autoSpaceDE w:val="0"/>
              <w:autoSpaceDN w:val="0"/>
              <w:adjustRightInd w:val="0"/>
              <w:spacing w:before="60" w:after="60" w:line="240" w:lineRule="auto"/>
              <w:ind w:left="317" w:hanging="317"/>
              <w:jc w:val="both"/>
              <w:textAlignment w:val="baseline"/>
              <w:rPr>
                <w:rFonts w:eastAsia="Times New Roman" w:cs="Arial"/>
                <w:lang w:val="en-US"/>
              </w:rPr>
            </w:pPr>
            <w:r w:rsidRPr="002C6E58">
              <w:rPr>
                <w:rFonts w:eastAsia="Times New Roman" w:cs="Arial"/>
                <w:lang w:val="en-US"/>
              </w:rPr>
              <w:t>To be erected for a defined period not exceeding 30 days.</w:t>
            </w:r>
          </w:p>
          <w:p w14:paraId="24430F3A" w14:textId="77777777" w:rsidR="002C6E58" w:rsidRPr="002C6E58" w:rsidRDefault="002C6E58" w:rsidP="002A3889">
            <w:pPr>
              <w:numPr>
                <w:ilvl w:val="0"/>
                <w:numId w:val="283"/>
              </w:numPr>
              <w:tabs>
                <w:tab w:val="clear" w:pos="360"/>
                <w:tab w:val="num" w:pos="317"/>
              </w:tabs>
              <w:overflowPunct w:val="0"/>
              <w:autoSpaceDE w:val="0"/>
              <w:autoSpaceDN w:val="0"/>
              <w:adjustRightInd w:val="0"/>
              <w:spacing w:before="60" w:after="60" w:line="240" w:lineRule="auto"/>
              <w:ind w:left="317" w:hanging="317"/>
              <w:jc w:val="both"/>
              <w:textAlignment w:val="baseline"/>
              <w:rPr>
                <w:rFonts w:eastAsia="Times New Roman" w:cs="Arial"/>
                <w:lang w:val="en-US"/>
              </w:rPr>
            </w:pPr>
            <w:r w:rsidRPr="002C6E58">
              <w:rPr>
                <w:rFonts w:eastAsia="Times New Roman" w:cs="Arial"/>
                <w:lang w:val="en-US"/>
              </w:rPr>
              <w:t>May be placed on the face of the building at street level providing it can be demonstrated that it meets the requirements specified under Clause 2.</w:t>
            </w:r>
          </w:p>
          <w:p w14:paraId="3BABE57C" w14:textId="77777777" w:rsidR="002C6E58" w:rsidRPr="002C6E58" w:rsidRDefault="002C6E58" w:rsidP="002A3889">
            <w:pPr>
              <w:numPr>
                <w:ilvl w:val="0"/>
                <w:numId w:val="283"/>
              </w:numPr>
              <w:tabs>
                <w:tab w:val="clear" w:pos="360"/>
                <w:tab w:val="num" w:pos="317"/>
              </w:tabs>
              <w:overflowPunct w:val="0"/>
              <w:autoSpaceDE w:val="0"/>
              <w:autoSpaceDN w:val="0"/>
              <w:adjustRightInd w:val="0"/>
              <w:spacing w:before="60" w:after="60" w:line="240" w:lineRule="auto"/>
              <w:ind w:left="317" w:hanging="317"/>
              <w:jc w:val="both"/>
              <w:textAlignment w:val="baseline"/>
              <w:rPr>
                <w:rFonts w:eastAsia="Times New Roman" w:cs="Arial"/>
                <w:lang w:val="en-US"/>
              </w:rPr>
            </w:pPr>
            <w:r w:rsidRPr="002C6E58">
              <w:rPr>
                <w:rFonts w:eastAsia="Times New Roman" w:cs="Arial"/>
                <w:lang w:val="en-US"/>
              </w:rPr>
              <w:t>Must not project beyond the face of the building.</w:t>
            </w:r>
          </w:p>
          <w:p w14:paraId="4C8F8F7A" w14:textId="77777777" w:rsidR="002C6E58" w:rsidRPr="002C6E58" w:rsidRDefault="002C6E58" w:rsidP="002A3889">
            <w:pPr>
              <w:numPr>
                <w:ilvl w:val="0"/>
                <w:numId w:val="283"/>
              </w:numPr>
              <w:tabs>
                <w:tab w:val="clear" w:pos="360"/>
                <w:tab w:val="num" w:pos="317"/>
              </w:tabs>
              <w:overflowPunct w:val="0"/>
              <w:autoSpaceDE w:val="0"/>
              <w:autoSpaceDN w:val="0"/>
              <w:adjustRightInd w:val="0"/>
              <w:spacing w:before="60" w:after="60" w:line="240" w:lineRule="auto"/>
              <w:ind w:left="317" w:hanging="317"/>
              <w:jc w:val="both"/>
              <w:textAlignment w:val="baseline"/>
              <w:rPr>
                <w:rFonts w:eastAsia="Times New Roman" w:cs="Arial"/>
                <w:lang w:val="en-US"/>
              </w:rPr>
            </w:pPr>
            <w:r w:rsidRPr="002C6E58">
              <w:rPr>
                <w:rFonts w:eastAsia="Times New Roman" w:cs="Arial"/>
                <w:lang w:val="en-US"/>
              </w:rPr>
              <w:t>Maximum height 2m.</w:t>
            </w:r>
          </w:p>
          <w:p w14:paraId="3A801576" w14:textId="77777777" w:rsidR="002C6E58" w:rsidRPr="002C6E58" w:rsidRDefault="002C6E58" w:rsidP="002A3889">
            <w:pPr>
              <w:numPr>
                <w:ilvl w:val="0"/>
                <w:numId w:val="283"/>
              </w:numPr>
              <w:tabs>
                <w:tab w:val="clear" w:pos="360"/>
                <w:tab w:val="num" w:pos="317"/>
              </w:tabs>
              <w:overflowPunct w:val="0"/>
              <w:autoSpaceDE w:val="0"/>
              <w:autoSpaceDN w:val="0"/>
              <w:adjustRightInd w:val="0"/>
              <w:spacing w:before="60" w:after="60" w:line="240" w:lineRule="auto"/>
              <w:ind w:left="317" w:hanging="317"/>
              <w:jc w:val="both"/>
              <w:textAlignment w:val="baseline"/>
              <w:rPr>
                <w:rFonts w:eastAsia="Times New Roman" w:cs="Arial"/>
                <w:lang w:val="en-US"/>
              </w:rPr>
            </w:pPr>
            <w:r w:rsidRPr="002C6E58">
              <w:rPr>
                <w:rFonts w:eastAsia="Times New Roman" w:cs="Arial"/>
                <w:lang w:val="en-US"/>
              </w:rPr>
              <w:t>Maximum length 3m.</w:t>
            </w:r>
          </w:p>
        </w:tc>
      </w:tr>
      <w:tr w:rsidR="002C6E58" w:rsidRPr="002C6E58" w14:paraId="01F0B3AB" w14:textId="77777777" w:rsidTr="001400A8">
        <w:tc>
          <w:tcPr>
            <w:tcW w:w="2268" w:type="dxa"/>
          </w:tcPr>
          <w:p w14:paraId="23B516A1" w14:textId="77777777" w:rsidR="002C6E58" w:rsidRPr="002C6E58" w:rsidRDefault="002C6E58" w:rsidP="00927350">
            <w:r w:rsidRPr="002C6E58">
              <w:t>Business Directory</w:t>
            </w:r>
          </w:p>
        </w:tc>
        <w:tc>
          <w:tcPr>
            <w:tcW w:w="6379" w:type="dxa"/>
          </w:tcPr>
          <w:p w14:paraId="7531EE36" w14:textId="77777777" w:rsidR="002C6E58" w:rsidRPr="002C6E58" w:rsidRDefault="002C6E58" w:rsidP="001400A8">
            <w:pPr>
              <w:tabs>
                <w:tab w:val="num" w:pos="1080"/>
              </w:tabs>
              <w:overflowPunct w:val="0"/>
              <w:autoSpaceDE w:val="0"/>
              <w:autoSpaceDN w:val="0"/>
              <w:adjustRightInd w:val="0"/>
              <w:spacing w:before="60" w:after="60" w:line="240" w:lineRule="auto"/>
              <w:jc w:val="both"/>
              <w:textAlignment w:val="baseline"/>
              <w:rPr>
                <w:rFonts w:eastAsia="Times New Roman" w:cs="Arial"/>
                <w:lang w:val="en-US"/>
              </w:rPr>
            </w:pPr>
            <w:r w:rsidRPr="002C6E58">
              <w:rPr>
                <w:rFonts w:eastAsia="Times New Roman" w:cs="Arial"/>
                <w:lang w:val="en-US"/>
              </w:rPr>
              <w:t>One sign per building.</w:t>
            </w:r>
          </w:p>
          <w:p w14:paraId="178C71A6" w14:textId="77777777" w:rsidR="002C6E58" w:rsidRPr="002C6E58" w:rsidRDefault="002C6E58" w:rsidP="001400A8">
            <w:pPr>
              <w:tabs>
                <w:tab w:val="num" w:pos="1080"/>
              </w:tabs>
              <w:overflowPunct w:val="0"/>
              <w:autoSpaceDE w:val="0"/>
              <w:autoSpaceDN w:val="0"/>
              <w:adjustRightInd w:val="0"/>
              <w:spacing w:before="60" w:after="60" w:line="240" w:lineRule="auto"/>
              <w:jc w:val="both"/>
              <w:textAlignment w:val="baseline"/>
              <w:rPr>
                <w:rFonts w:eastAsia="Times New Roman" w:cs="Arial"/>
                <w:lang w:val="en-US"/>
              </w:rPr>
            </w:pPr>
            <w:r w:rsidRPr="002C6E58">
              <w:rPr>
                <w:rFonts w:eastAsia="Times New Roman" w:cs="Arial"/>
                <w:lang w:val="en-US"/>
              </w:rPr>
              <w:t>Maximum horizontal dimension 600mm.</w:t>
            </w:r>
          </w:p>
        </w:tc>
      </w:tr>
      <w:tr w:rsidR="002C6E58" w:rsidRPr="002C6E58" w14:paraId="647785B3" w14:textId="77777777" w:rsidTr="001400A8">
        <w:tc>
          <w:tcPr>
            <w:tcW w:w="2268" w:type="dxa"/>
          </w:tcPr>
          <w:p w14:paraId="0A2949BE" w14:textId="77777777" w:rsidR="002C6E58" w:rsidRPr="002C6E58" w:rsidRDefault="002C6E58" w:rsidP="00927350">
            <w:r w:rsidRPr="002C6E58">
              <w:t>Cabinet Sign</w:t>
            </w:r>
          </w:p>
        </w:tc>
        <w:tc>
          <w:tcPr>
            <w:tcW w:w="6379" w:type="dxa"/>
          </w:tcPr>
          <w:p w14:paraId="6CFEAE5A" w14:textId="77777777" w:rsidR="002C6E58" w:rsidRPr="002C6E58" w:rsidRDefault="002C6E58" w:rsidP="002A3889">
            <w:pPr>
              <w:numPr>
                <w:ilvl w:val="0"/>
                <w:numId w:val="284"/>
              </w:numPr>
              <w:tabs>
                <w:tab w:val="clear" w:pos="360"/>
              </w:tabs>
              <w:overflowPunct w:val="0"/>
              <w:autoSpaceDE w:val="0"/>
              <w:autoSpaceDN w:val="0"/>
              <w:adjustRightInd w:val="0"/>
              <w:spacing w:before="60" w:after="60" w:line="240" w:lineRule="auto"/>
              <w:ind w:left="317" w:hanging="317"/>
              <w:textAlignment w:val="baseline"/>
              <w:rPr>
                <w:rFonts w:eastAsia="Times New Roman" w:cs="Arial"/>
                <w:lang w:val="en-US"/>
              </w:rPr>
            </w:pPr>
            <w:r w:rsidRPr="002C6E58">
              <w:rPr>
                <w:rFonts w:eastAsia="Times New Roman" w:cs="Arial"/>
                <w:lang w:val="en-US"/>
              </w:rPr>
              <w:t>Maximum projection from face of wall 40mm.</w:t>
            </w:r>
          </w:p>
          <w:p w14:paraId="0173A99A" w14:textId="77777777" w:rsidR="002C6E58" w:rsidRPr="002C6E58" w:rsidRDefault="002C6E58" w:rsidP="002A3889">
            <w:pPr>
              <w:numPr>
                <w:ilvl w:val="0"/>
                <w:numId w:val="284"/>
              </w:numPr>
              <w:tabs>
                <w:tab w:val="clear" w:pos="360"/>
              </w:tabs>
              <w:overflowPunct w:val="0"/>
              <w:autoSpaceDE w:val="0"/>
              <w:autoSpaceDN w:val="0"/>
              <w:adjustRightInd w:val="0"/>
              <w:spacing w:before="60" w:after="60" w:line="240" w:lineRule="auto"/>
              <w:ind w:left="317" w:hanging="317"/>
              <w:textAlignment w:val="baseline"/>
              <w:rPr>
                <w:rFonts w:eastAsia="Times New Roman" w:cs="Arial"/>
                <w:lang w:val="en-US"/>
              </w:rPr>
            </w:pPr>
            <w:r w:rsidRPr="002C6E58">
              <w:rPr>
                <w:rFonts w:eastAsia="Times New Roman" w:cs="Arial"/>
                <w:lang w:val="en-US"/>
              </w:rPr>
              <w:t>Maximum dimensions 400mm vertical x 400mm horizontal.</w:t>
            </w:r>
          </w:p>
          <w:p w14:paraId="4D3E2753" w14:textId="77777777" w:rsidR="002C6E58" w:rsidRPr="002C6E58" w:rsidRDefault="002C6E58" w:rsidP="002A3889">
            <w:pPr>
              <w:numPr>
                <w:ilvl w:val="0"/>
                <w:numId w:val="284"/>
              </w:numPr>
              <w:tabs>
                <w:tab w:val="clear" w:pos="360"/>
              </w:tabs>
              <w:overflowPunct w:val="0"/>
              <w:autoSpaceDE w:val="0"/>
              <w:autoSpaceDN w:val="0"/>
              <w:adjustRightInd w:val="0"/>
              <w:spacing w:before="60" w:after="60" w:line="240" w:lineRule="auto"/>
              <w:ind w:left="317" w:hanging="317"/>
              <w:textAlignment w:val="baseline"/>
              <w:rPr>
                <w:rFonts w:eastAsia="Times New Roman" w:cs="Arial"/>
                <w:lang w:val="en-US"/>
              </w:rPr>
            </w:pPr>
            <w:r w:rsidRPr="002C6E58">
              <w:rPr>
                <w:rFonts w:eastAsia="Times New Roman" w:cs="Arial"/>
                <w:lang w:val="en-US"/>
              </w:rPr>
              <w:t>May be internally illuminated.</w:t>
            </w:r>
          </w:p>
        </w:tc>
      </w:tr>
      <w:tr w:rsidR="002C6E58" w:rsidRPr="002C6E58" w14:paraId="3CD21B0D" w14:textId="77777777" w:rsidTr="001400A8">
        <w:tc>
          <w:tcPr>
            <w:tcW w:w="2268" w:type="dxa"/>
          </w:tcPr>
          <w:p w14:paraId="58511492" w14:textId="77777777" w:rsidR="002C6E58" w:rsidRPr="002C6E58" w:rsidRDefault="002C6E58" w:rsidP="00927350">
            <w:r w:rsidRPr="002C6E58">
              <w:t>Direction or Interpretative Signage</w:t>
            </w:r>
          </w:p>
        </w:tc>
        <w:tc>
          <w:tcPr>
            <w:tcW w:w="6379" w:type="dxa"/>
          </w:tcPr>
          <w:p w14:paraId="398EF823" w14:textId="77777777" w:rsidR="002C6E58" w:rsidRPr="002C6E58" w:rsidRDefault="002C6E58" w:rsidP="001400A8">
            <w:pPr>
              <w:tabs>
                <w:tab w:val="left" w:pos="-720"/>
                <w:tab w:val="left" w:pos="0"/>
              </w:tabs>
              <w:suppressAutoHyphens/>
              <w:overflowPunct w:val="0"/>
              <w:autoSpaceDE w:val="0"/>
              <w:autoSpaceDN w:val="0"/>
              <w:adjustRightInd w:val="0"/>
              <w:spacing w:before="60" w:after="60" w:line="240" w:lineRule="auto"/>
              <w:jc w:val="both"/>
              <w:textAlignment w:val="baseline"/>
              <w:rPr>
                <w:rFonts w:eastAsia="Times New Roman" w:cs="Arial"/>
                <w:lang w:val="en-US"/>
              </w:rPr>
            </w:pPr>
            <w:r w:rsidRPr="002C6E58">
              <w:rPr>
                <w:rFonts w:eastAsia="Times New Roman" w:cs="Arial"/>
                <w:lang w:val="en-US"/>
              </w:rPr>
              <w:t>Must form part of an agreed (public) or approved (private) signage framework.</w:t>
            </w:r>
          </w:p>
        </w:tc>
      </w:tr>
      <w:tr w:rsidR="002C6E58" w:rsidRPr="002C6E58" w14:paraId="36B3342E" w14:textId="77777777" w:rsidTr="001400A8">
        <w:tc>
          <w:tcPr>
            <w:tcW w:w="2268" w:type="dxa"/>
          </w:tcPr>
          <w:p w14:paraId="63648E5F" w14:textId="77777777" w:rsidR="002C6E58" w:rsidRPr="002C6E58" w:rsidRDefault="00927350" w:rsidP="00927350">
            <w:r>
              <w:t>Flags</w:t>
            </w:r>
          </w:p>
        </w:tc>
        <w:tc>
          <w:tcPr>
            <w:tcW w:w="6379" w:type="dxa"/>
          </w:tcPr>
          <w:p w14:paraId="23B6CBBF" w14:textId="77777777" w:rsidR="002C6E58" w:rsidRPr="002C6E58" w:rsidRDefault="002C6E58" w:rsidP="001400A8">
            <w:pPr>
              <w:tabs>
                <w:tab w:val="num" w:pos="1080"/>
              </w:tabs>
              <w:overflowPunct w:val="0"/>
              <w:autoSpaceDE w:val="0"/>
              <w:autoSpaceDN w:val="0"/>
              <w:adjustRightInd w:val="0"/>
              <w:spacing w:before="60" w:after="60" w:line="240" w:lineRule="auto"/>
              <w:jc w:val="both"/>
              <w:textAlignment w:val="baseline"/>
              <w:rPr>
                <w:rFonts w:eastAsia="Times New Roman" w:cs="Arial"/>
                <w:lang w:val="en-GB"/>
              </w:rPr>
            </w:pPr>
            <w:r w:rsidRPr="002C6E58">
              <w:rPr>
                <w:rFonts w:eastAsia="Times New Roman" w:cs="Arial"/>
                <w:lang w:val="en-GB"/>
              </w:rPr>
              <w:t>Must show only the natural symbol of any country, state, territory, ethnic group, the standard of a representative of a royal family or visiting dignitaries or an international institution (e.g. United Nations, Red Cross).</w:t>
            </w:r>
          </w:p>
        </w:tc>
      </w:tr>
      <w:tr w:rsidR="002C6E58" w:rsidRPr="002C6E58" w14:paraId="494FB9C9" w14:textId="77777777" w:rsidTr="001400A8">
        <w:tc>
          <w:tcPr>
            <w:tcW w:w="2268" w:type="dxa"/>
          </w:tcPr>
          <w:p w14:paraId="13E5A1BB" w14:textId="77777777" w:rsidR="002C6E58" w:rsidRPr="002C6E58" w:rsidRDefault="002C6E58" w:rsidP="001400A8">
            <w:pPr>
              <w:tabs>
                <w:tab w:val="num" w:pos="1080"/>
              </w:tabs>
              <w:overflowPunct w:val="0"/>
              <w:autoSpaceDE w:val="0"/>
              <w:autoSpaceDN w:val="0"/>
              <w:adjustRightInd w:val="0"/>
              <w:spacing w:before="60" w:after="60" w:line="240" w:lineRule="auto"/>
              <w:ind w:right="-108"/>
              <w:jc w:val="both"/>
              <w:textAlignment w:val="baseline"/>
              <w:rPr>
                <w:rFonts w:eastAsia="Times New Roman" w:cs="Arial"/>
                <w:lang w:val="en-US"/>
              </w:rPr>
            </w:pPr>
            <w:r w:rsidRPr="002C6E58">
              <w:rPr>
                <w:rFonts w:eastAsia="Times New Roman" w:cs="Arial"/>
                <w:lang w:val="en-US"/>
              </w:rPr>
              <w:t>Name Plate</w:t>
            </w:r>
          </w:p>
        </w:tc>
        <w:tc>
          <w:tcPr>
            <w:tcW w:w="6379" w:type="dxa"/>
          </w:tcPr>
          <w:p w14:paraId="6B7A2E51" w14:textId="77777777" w:rsidR="002C6E58" w:rsidRPr="002C6E58" w:rsidRDefault="002C6E58" w:rsidP="001400A8">
            <w:pPr>
              <w:overflowPunct w:val="0"/>
              <w:autoSpaceDE w:val="0"/>
              <w:autoSpaceDN w:val="0"/>
              <w:adjustRightInd w:val="0"/>
              <w:spacing w:before="60" w:after="60" w:line="240" w:lineRule="auto"/>
              <w:jc w:val="both"/>
              <w:textAlignment w:val="baseline"/>
              <w:rPr>
                <w:rFonts w:eastAsia="Times New Roman" w:cs="Arial"/>
                <w:lang w:val="en-US"/>
              </w:rPr>
            </w:pPr>
            <w:r w:rsidRPr="002C6E58">
              <w:rPr>
                <w:rFonts w:eastAsia="Times New Roman" w:cs="Arial"/>
                <w:lang w:val="en-US"/>
              </w:rPr>
              <w:t>A single plate per building of maximum dimensions 600mm horizontal by 400mm vertical. Shall not be allowed where a business directory is provided on the face of the building.</w:t>
            </w:r>
          </w:p>
        </w:tc>
      </w:tr>
      <w:tr w:rsidR="002C6E58" w:rsidRPr="002C6E58" w14:paraId="7550F159" w14:textId="77777777" w:rsidTr="001400A8">
        <w:tc>
          <w:tcPr>
            <w:tcW w:w="2268" w:type="dxa"/>
          </w:tcPr>
          <w:p w14:paraId="12971E47" w14:textId="77777777" w:rsidR="002C6E58" w:rsidRPr="002C6E58" w:rsidRDefault="002C6E58" w:rsidP="001400A8">
            <w:pPr>
              <w:tabs>
                <w:tab w:val="num" w:pos="1080"/>
              </w:tabs>
              <w:overflowPunct w:val="0"/>
              <w:autoSpaceDE w:val="0"/>
              <w:autoSpaceDN w:val="0"/>
              <w:adjustRightInd w:val="0"/>
              <w:spacing w:before="60" w:after="60" w:line="240" w:lineRule="auto"/>
              <w:ind w:right="-108"/>
              <w:jc w:val="both"/>
              <w:textAlignment w:val="baseline"/>
              <w:rPr>
                <w:rFonts w:eastAsia="Times New Roman" w:cs="Arial"/>
                <w:lang w:val="en-US"/>
              </w:rPr>
            </w:pPr>
            <w:r w:rsidRPr="002C6E58">
              <w:rPr>
                <w:rFonts w:eastAsia="Times New Roman" w:cs="Arial"/>
                <w:lang w:val="en-US"/>
              </w:rPr>
              <w:t>Real Estate Sign</w:t>
            </w:r>
          </w:p>
        </w:tc>
        <w:tc>
          <w:tcPr>
            <w:tcW w:w="6379" w:type="dxa"/>
          </w:tcPr>
          <w:p w14:paraId="4A713D7E" w14:textId="77777777" w:rsidR="002C6E58" w:rsidRPr="002C6E58" w:rsidRDefault="002C6E58" w:rsidP="001400A8">
            <w:pPr>
              <w:tabs>
                <w:tab w:val="left" w:pos="-720"/>
                <w:tab w:val="left" w:pos="0"/>
              </w:tabs>
              <w:suppressAutoHyphens/>
              <w:overflowPunct w:val="0"/>
              <w:autoSpaceDE w:val="0"/>
              <w:autoSpaceDN w:val="0"/>
              <w:adjustRightInd w:val="0"/>
              <w:spacing w:before="60" w:after="60" w:line="240" w:lineRule="auto"/>
              <w:jc w:val="both"/>
              <w:textAlignment w:val="baseline"/>
              <w:rPr>
                <w:rFonts w:eastAsia="Times New Roman" w:cs="Arial"/>
                <w:lang w:val="en-US"/>
              </w:rPr>
            </w:pPr>
            <w:r w:rsidRPr="002C6E58">
              <w:rPr>
                <w:rFonts w:eastAsia="Times New Roman" w:cs="Arial"/>
                <w:lang w:val="en-US"/>
              </w:rPr>
              <w:t>Must be less than 5m</w:t>
            </w:r>
            <w:r w:rsidRPr="002C6E58">
              <w:rPr>
                <w:rFonts w:eastAsia="Times New Roman" w:cs="Arial"/>
                <w:vertAlign w:val="superscript"/>
                <w:lang w:val="en-US"/>
              </w:rPr>
              <w:t>2</w:t>
            </w:r>
            <w:r w:rsidRPr="002C6E58">
              <w:rPr>
                <w:rFonts w:eastAsia="Times New Roman" w:cs="Arial"/>
                <w:lang w:val="en-US"/>
              </w:rPr>
              <w:t xml:space="preserve"> in area and not contain fluorescent or iridescent </w:t>
            </w:r>
            <w:proofErr w:type="spellStart"/>
            <w:r w:rsidRPr="002C6E58">
              <w:rPr>
                <w:rFonts w:eastAsia="Times New Roman" w:cs="Arial"/>
                <w:lang w:val="en-US"/>
              </w:rPr>
              <w:t>colours</w:t>
            </w:r>
            <w:proofErr w:type="spellEnd"/>
            <w:r w:rsidRPr="002C6E58">
              <w:rPr>
                <w:rFonts w:eastAsia="Times New Roman" w:cs="Arial"/>
                <w:lang w:val="en-US"/>
              </w:rPr>
              <w:t xml:space="preserve"> or finishes.</w:t>
            </w:r>
          </w:p>
        </w:tc>
      </w:tr>
      <w:tr w:rsidR="002C6E58" w:rsidRPr="002C6E58" w14:paraId="7449229A" w14:textId="77777777" w:rsidTr="001400A8">
        <w:tc>
          <w:tcPr>
            <w:tcW w:w="2268" w:type="dxa"/>
          </w:tcPr>
          <w:p w14:paraId="3D47D6B9" w14:textId="77777777" w:rsidR="002C6E58" w:rsidRPr="002C6E58" w:rsidRDefault="002C6E58" w:rsidP="001400A8">
            <w:pPr>
              <w:tabs>
                <w:tab w:val="left" w:pos="-720"/>
                <w:tab w:val="left" w:pos="0"/>
              </w:tabs>
              <w:suppressAutoHyphens/>
              <w:overflowPunct w:val="0"/>
              <w:autoSpaceDE w:val="0"/>
              <w:autoSpaceDN w:val="0"/>
              <w:adjustRightInd w:val="0"/>
              <w:spacing w:before="60" w:after="60" w:line="240" w:lineRule="auto"/>
              <w:ind w:right="-108"/>
              <w:jc w:val="both"/>
              <w:textAlignment w:val="baseline"/>
              <w:rPr>
                <w:rFonts w:eastAsia="Times New Roman" w:cs="Arial"/>
                <w:lang w:val="en-US"/>
              </w:rPr>
            </w:pPr>
            <w:r w:rsidRPr="002C6E58">
              <w:rPr>
                <w:rFonts w:eastAsia="Times New Roman" w:cs="Arial"/>
                <w:lang w:val="en-US"/>
              </w:rPr>
              <w:t>Statutory Signs</w:t>
            </w:r>
          </w:p>
          <w:p w14:paraId="0805468F" w14:textId="77777777" w:rsidR="002C6E58" w:rsidRPr="002C6E58" w:rsidRDefault="002C6E58" w:rsidP="001400A8">
            <w:pPr>
              <w:tabs>
                <w:tab w:val="left" w:pos="-720"/>
                <w:tab w:val="left" w:pos="0"/>
              </w:tabs>
              <w:suppressAutoHyphens/>
              <w:overflowPunct w:val="0"/>
              <w:autoSpaceDE w:val="0"/>
              <w:autoSpaceDN w:val="0"/>
              <w:adjustRightInd w:val="0"/>
              <w:spacing w:before="60" w:after="60" w:line="240" w:lineRule="auto"/>
              <w:ind w:right="-108"/>
              <w:jc w:val="both"/>
              <w:textAlignment w:val="baseline"/>
              <w:rPr>
                <w:rFonts w:eastAsia="Times New Roman" w:cs="Arial"/>
                <w:lang w:val="en-US"/>
              </w:rPr>
            </w:pPr>
          </w:p>
        </w:tc>
        <w:tc>
          <w:tcPr>
            <w:tcW w:w="6379" w:type="dxa"/>
          </w:tcPr>
          <w:p w14:paraId="4D709D23" w14:textId="77777777" w:rsidR="002C6E58" w:rsidRPr="002C6E58" w:rsidRDefault="002C6E58" w:rsidP="001400A8">
            <w:pPr>
              <w:tabs>
                <w:tab w:val="left" w:pos="-720"/>
                <w:tab w:val="left" w:pos="0"/>
              </w:tabs>
              <w:suppressAutoHyphens/>
              <w:overflowPunct w:val="0"/>
              <w:autoSpaceDE w:val="0"/>
              <w:autoSpaceDN w:val="0"/>
              <w:adjustRightInd w:val="0"/>
              <w:spacing w:before="60" w:after="60" w:line="240" w:lineRule="auto"/>
              <w:jc w:val="both"/>
              <w:textAlignment w:val="baseline"/>
              <w:rPr>
                <w:rFonts w:eastAsia="Times New Roman" w:cs="Arial"/>
                <w:lang w:val="en-US"/>
              </w:rPr>
            </w:pPr>
            <w:r w:rsidRPr="002C6E58">
              <w:rPr>
                <w:rFonts w:eastAsia="Times New Roman" w:cs="Arial"/>
                <w:lang w:val="en-US"/>
              </w:rPr>
              <w:t>No applicable conditions providing proposed sign complies with the definition for statutory signs.</w:t>
            </w:r>
          </w:p>
        </w:tc>
      </w:tr>
      <w:tr w:rsidR="002C6E58" w:rsidRPr="002C6E58" w14:paraId="22149CF2" w14:textId="77777777" w:rsidTr="001400A8">
        <w:tc>
          <w:tcPr>
            <w:tcW w:w="2268" w:type="dxa"/>
          </w:tcPr>
          <w:p w14:paraId="34C15473" w14:textId="77777777" w:rsidR="002C6E58" w:rsidRPr="002C6E58" w:rsidRDefault="002C6E58" w:rsidP="001400A8">
            <w:pPr>
              <w:tabs>
                <w:tab w:val="left" w:pos="-720"/>
                <w:tab w:val="left" w:pos="0"/>
                <w:tab w:val="center" w:pos="4320"/>
                <w:tab w:val="right" w:pos="8640"/>
              </w:tabs>
              <w:suppressAutoHyphens/>
              <w:overflowPunct w:val="0"/>
              <w:autoSpaceDE w:val="0"/>
              <w:autoSpaceDN w:val="0"/>
              <w:adjustRightInd w:val="0"/>
              <w:spacing w:before="60" w:after="60" w:line="240" w:lineRule="auto"/>
              <w:ind w:right="-108"/>
              <w:textAlignment w:val="baseline"/>
              <w:rPr>
                <w:rFonts w:eastAsia="Times New Roman" w:cs="Arial"/>
              </w:rPr>
            </w:pPr>
            <w:r w:rsidRPr="002C6E58">
              <w:rPr>
                <w:rFonts w:eastAsia="Times New Roman" w:cs="Arial"/>
              </w:rPr>
              <w:t>Street Number</w:t>
            </w:r>
          </w:p>
        </w:tc>
        <w:tc>
          <w:tcPr>
            <w:tcW w:w="6379" w:type="dxa"/>
          </w:tcPr>
          <w:p w14:paraId="77D185D5" w14:textId="77777777" w:rsidR="002C6E58" w:rsidRPr="002C6E58" w:rsidRDefault="002C6E58" w:rsidP="001400A8">
            <w:pPr>
              <w:tabs>
                <w:tab w:val="num" w:pos="1080"/>
              </w:tabs>
              <w:overflowPunct w:val="0"/>
              <w:autoSpaceDE w:val="0"/>
              <w:autoSpaceDN w:val="0"/>
              <w:adjustRightInd w:val="0"/>
              <w:spacing w:before="60" w:after="60" w:line="240" w:lineRule="auto"/>
              <w:jc w:val="both"/>
              <w:textAlignment w:val="baseline"/>
              <w:rPr>
                <w:rFonts w:eastAsia="Times New Roman" w:cs="Arial"/>
                <w:lang w:val="en-US"/>
              </w:rPr>
            </w:pPr>
            <w:r w:rsidRPr="002C6E58">
              <w:rPr>
                <w:rFonts w:eastAsia="Times New Roman" w:cs="Arial"/>
                <w:lang w:val="en-US"/>
              </w:rPr>
              <w:t>No less than vertical dimension of 100mm x horizontal dimension of 100mm per individual numeral.</w:t>
            </w:r>
          </w:p>
          <w:p w14:paraId="3C083636" w14:textId="77777777" w:rsidR="002C6E58" w:rsidRPr="002C6E58" w:rsidRDefault="002C6E58" w:rsidP="001400A8">
            <w:pPr>
              <w:tabs>
                <w:tab w:val="num" w:pos="1080"/>
              </w:tabs>
              <w:overflowPunct w:val="0"/>
              <w:autoSpaceDE w:val="0"/>
              <w:autoSpaceDN w:val="0"/>
              <w:adjustRightInd w:val="0"/>
              <w:spacing w:before="60" w:after="60" w:line="240" w:lineRule="auto"/>
              <w:jc w:val="both"/>
              <w:textAlignment w:val="baseline"/>
              <w:rPr>
                <w:rFonts w:eastAsia="Times New Roman" w:cs="Arial"/>
                <w:lang w:val="en-US"/>
              </w:rPr>
            </w:pPr>
            <w:r w:rsidRPr="002C6E58">
              <w:rPr>
                <w:rFonts w:eastAsia="Times New Roman" w:cs="Arial"/>
                <w:lang w:val="en-US"/>
              </w:rPr>
              <w:t>Must where practical be attached above and central to the principal doorway/entrance to the property and centrally positioned unless incorporated within another sign on the building street frontage.</w:t>
            </w:r>
          </w:p>
        </w:tc>
      </w:tr>
      <w:tr w:rsidR="002C6E58" w:rsidRPr="002C6E58" w14:paraId="1BBED563" w14:textId="77777777" w:rsidTr="001400A8">
        <w:tc>
          <w:tcPr>
            <w:tcW w:w="2268" w:type="dxa"/>
          </w:tcPr>
          <w:p w14:paraId="0BD5B5E7" w14:textId="77777777" w:rsidR="002C6E58" w:rsidRPr="002C6E58" w:rsidRDefault="002C6E58" w:rsidP="001400A8">
            <w:pPr>
              <w:tabs>
                <w:tab w:val="num" w:pos="1080"/>
                <w:tab w:val="center" w:pos="4320"/>
                <w:tab w:val="right" w:pos="8640"/>
              </w:tabs>
              <w:overflowPunct w:val="0"/>
              <w:autoSpaceDE w:val="0"/>
              <w:autoSpaceDN w:val="0"/>
              <w:adjustRightInd w:val="0"/>
              <w:spacing w:before="60" w:after="60" w:line="240" w:lineRule="auto"/>
              <w:ind w:right="-108"/>
              <w:textAlignment w:val="baseline"/>
              <w:rPr>
                <w:rFonts w:eastAsia="Times New Roman" w:cs="Arial"/>
              </w:rPr>
            </w:pPr>
            <w:r w:rsidRPr="002C6E58">
              <w:rPr>
                <w:rFonts w:eastAsia="Times New Roman" w:cs="Arial"/>
              </w:rPr>
              <w:lastRenderedPageBreak/>
              <w:t>Special Event Signage/Sponsorship</w:t>
            </w:r>
          </w:p>
        </w:tc>
        <w:tc>
          <w:tcPr>
            <w:tcW w:w="6379" w:type="dxa"/>
            <w:vAlign w:val="center"/>
          </w:tcPr>
          <w:p w14:paraId="20B0050F" w14:textId="77777777" w:rsidR="002C6E58" w:rsidRPr="002C6E58" w:rsidRDefault="002C6E58" w:rsidP="001400A8">
            <w:pPr>
              <w:tabs>
                <w:tab w:val="num" w:pos="1080"/>
              </w:tabs>
              <w:overflowPunct w:val="0"/>
              <w:autoSpaceDE w:val="0"/>
              <w:autoSpaceDN w:val="0"/>
              <w:adjustRightInd w:val="0"/>
              <w:spacing w:before="60" w:after="60" w:line="240" w:lineRule="auto"/>
              <w:textAlignment w:val="baseline"/>
              <w:rPr>
                <w:rFonts w:eastAsia="Times New Roman" w:cs="Arial"/>
                <w:lang w:val="en-US"/>
              </w:rPr>
            </w:pPr>
            <w:r w:rsidRPr="002C6E58">
              <w:rPr>
                <w:rFonts w:eastAsia="Times New Roman" w:cs="Arial"/>
                <w:lang w:val="en-US"/>
              </w:rPr>
              <w:t>Must be for a defined period.</w:t>
            </w:r>
          </w:p>
        </w:tc>
      </w:tr>
      <w:tr w:rsidR="002C6E58" w:rsidRPr="002C6E58" w14:paraId="3C6ABA2A" w14:textId="77777777" w:rsidTr="001400A8">
        <w:tc>
          <w:tcPr>
            <w:tcW w:w="2268" w:type="dxa"/>
          </w:tcPr>
          <w:p w14:paraId="030CEEA4" w14:textId="77777777" w:rsidR="002C6E58" w:rsidRPr="002C6E58" w:rsidRDefault="002C6E58" w:rsidP="001400A8">
            <w:pPr>
              <w:tabs>
                <w:tab w:val="num" w:pos="1080"/>
                <w:tab w:val="center" w:pos="4320"/>
                <w:tab w:val="right" w:pos="8640"/>
              </w:tabs>
              <w:overflowPunct w:val="0"/>
              <w:autoSpaceDE w:val="0"/>
              <w:autoSpaceDN w:val="0"/>
              <w:adjustRightInd w:val="0"/>
              <w:spacing w:before="60" w:after="60" w:line="240" w:lineRule="auto"/>
              <w:ind w:right="-108"/>
              <w:textAlignment w:val="baseline"/>
              <w:rPr>
                <w:rFonts w:eastAsia="Times New Roman" w:cs="Arial"/>
              </w:rPr>
            </w:pPr>
            <w:r w:rsidRPr="002C6E58">
              <w:rPr>
                <w:rFonts w:eastAsia="Times New Roman" w:cs="Arial"/>
              </w:rPr>
              <w:t>Window Sign</w:t>
            </w:r>
          </w:p>
        </w:tc>
        <w:tc>
          <w:tcPr>
            <w:tcW w:w="6379" w:type="dxa"/>
          </w:tcPr>
          <w:p w14:paraId="222BBB7C" w14:textId="77777777" w:rsidR="002C6E58" w:rsidRPr="002C6E58" w:rsidRDefault="002C6E58" w:rsidP="002A3889">
            <w:pPr>
              <w:numPr>
                <w:ilvl w:val="0"/>
                <w:numId w:val="296"/>
              </w:numPr>
              <w:tabs>
                <w:tab w:val="clear" w:pos="360"/>
                <w:tab w:val="num" w:pos="317"/>
              </w:tabs>
              <w:overflowPunct w:val="0"/>
              <w:autoSpaceDE w:val="0"/>
              <w:autoSpaceDN w:val="0"/>
              <w:adjustRightInd w:val="0"/>
              <w:spacing w:before="60" w:after="60" w:line="240" w:lineRule="auto"/>
              <w:ind w:left="317" w:hanging="317"/>
              <w:jc w:val="both"/>
              <w:textAlignment w:val="baseline"/>
              <w:rPr>
                <w:rFonts w:eastAsia="Times New Roman" w:cs="Arial"/>
                <w:lang w:val="en-US"/>
              </w:rPr>
            </w:pPr>
            <w:r w:rsidRPr="002C6E58">
              <w:rPr>
                <w:rFonts w:eastAsia="Times New Roman" w:cs="Arial"/>
                <w:lang w:val="en-US"/>
              </w:rPr>
              <w:t>Shall not occupy more than 10% of surface area of the window or door.</w:t>
            </w:r>
          </w:p>
          <w:p w14:paraId="02C4367B" w14:textId="77777777" w:rsidR="002C6E58" w:rsidRPr="002C6E58" w:rsidRDefault="002C6E58" w:rsidP="002A3889">
            <w:pPr>
              <w:numPr>
                <w:ilvl w:val="0"/>
                <w:numId w:val="296"/>
              </w:numPr>
              <w:tabs>
                <w:tab w:val="clear" w:pos="360"/>
                <w:tab w:val="num" w:pos="317"/>
              </w:tabs>
              <w:overflowPunct w:val="0"/>
              <w:autoSpaceDE w:val="0"/>
              <w:autoSpaceDN w:val="0"/>
              <w:adjustRightInd w:val="0"/>
              <w:spacing w:before="60" w:after="60" w:line="240" w:lineRule="auto"/>
              <w:ind w:left="317" w:hanging="317"/>
              <w:jc w:val="both"/>
              <w:textAlignment w:val="baseline"/>
              <w:rPr>
                <w:rFonts w:eastAsia="Times New Roman" w:cs="Arial"/>
                <w:lang w:val="en-US"/>
              </w:rPr>
            </w:pPr>
            <w:r w:rsidRPr="002C6E58">
              <w:rPr>
                <w:rFonts w:eastAsia="Times New Roman" w:cs="Arial"/>
                <w:lang w:val="en-US"/>
              </w:rPr>
              <w:t>Only permitted at ground floor/street level windows or doors.</w:t>
            </w:r>
          </w:p>
        </w:tc>
      </w:tr>
    </w:tbl>
    <w:p w14:paraId="6574C0EA" w14:textId="77777777" w:rsidR="00927350" w:rsidRDefault="00927350" w:rsidP="00927350">
      <w:pPr>
        <w:spacing w:before="200"/>
        <w:ind w:left="567" w:hanging="567"/>
        <w:rPr>
          <w:b/>
        </w:rPr>
      </w:pPr>
      <w:bookmarkStart w:id="521" w:name="_Toc31017088"/>
    </w:p>
    <w:p w14:paraId="4B19B1D1" w14:textId="77777777" w:rsidR="00202060" w:rsidRPr="00927350" w:rsidRDefault="00202060" w:rsidP="00202060">
      <w:pPr>
        <w:spacing w:before="200" w:after="0"/>
        <w:ind w:left="567" w:hanging="567"/>
        <w:rPr>
          <w:b/>
        </w:rPr>
      </w:pPr>
      <w:r w:rsidRPr="00927350">
        <w:rPr>
          <w:b/>
        </w:rPr>
        <w:t>6.</w:t>
      </w:r>
      <w:r w:rsidRPr="00927350">
        <w:rPr>
          <w:b/>
        </w:rPr>
        <w:tab/>
        <w:t>Signage Requirements</w:t>
      </w:r>
    </w:p>
    <w:p w14:paraId="33C76C7A" w14:textId="77777777" w:rsidR="00202060" w:rsidRPr="00202060" w:rsidRDefault="00202060" w:rsidP="00202060">
      <w:pPr>
        <w:ind w:left="567"/>
      </w:pPr>
      <w:r>
        <w:t>Refer Appendices</w:t>
      </w:r>
      <w:r w:rsidRPr="00202060">
        <w:t xml:space="preserve"> 1 &amp; 2</w:t>
      </w:r>
    </w:p>
    <w:p w14:paraId="04995E17" w14:textId="77777777" w:rsidR="00202060" w:rsidRDefault="00202060" w:rsidP="00927350">
      <w:pPr>
        <w:spacing w:before="200"/>
        <w:ind w:left="567" w:hanging="567"/>
        <w:rPr>
          <w:b/>
        </w:rPr>
      </w:pPr>
    </w:p>
    <w:p w14:paraId="0ABB3CB3" w14:textId="77777777" w:rsidR="00202060" w:rsidRDefault="00202060" w:rsidP="00927350">
      <w:pPr>
        <w:spacing w:before="200"/>
        <w:ind w:left="567" w:hanging="567"/>
        <w:rPr>
          <w:b/>
        </w:rPr>
      </w:pPr>
    </w:p>
    <w:p w14:paraId="4C14562D" w14:textId="77777777" w:rsidR="00202060" w:rsidRDefault="00202060" w:rsidP="00927350">
      <w:pPr>
        <w:spacing w:before="200"/>
        <w:ind w:left="567" w:hanging="567"/>
        <w:rPr>
          <w:b/>
        </w:rPr>
      </w:pPr>
    </w:p>
    <w:tbl>
      <w:tblPr>
        <w:tblStyle w:val="TableGrid"/>
        <w:tblW w:w="0" w:type="auto"/>
        <w:tblLook w:val="04A0" w:firstRow="1" w:lastRow="0" w:firstColumn="1" w:lastColumn="0" w:noHBand="0" w:noVBand="1"/>
      </w:tblPr>
      <w:tblGrid>
        <w:gridCol w:w="3049"/>
        <w:gridCol w:w="5967"/>
      </w:tblGrid>
      <w:tr w:rsidR="00202060" w:rsidRPr="002C6E58" w14:paraId="60F5FA0E" w14:textId="77777777" w:rsidTr="00EB60AD">
        <w:tc>
          <w:tcPr>
            <w:tcW w:w="3049" w:type="dxa"/>
          </w:tcPr>
          <w:p w14:paraId="433ACA33" w14:textId="77777777" w:rsidR="00202060" w:rsidRPr="002C6E58" w:rsidRDefault="00202060" w:rsidP="00EB60AD">
            <w:pPr>
              <w:jc w:val="both"/>
              <w:rPr>
                <w:rFonts w:cs="Arial"/>
                <w:b/>
                <w:lang w:val="en-US"/>
              </w:rPr>
            </w:pPr>
            <w:r w:rsidRPr="002C6E58">
              <w:rPr>
                <w:rFonts w:cs="Arial"/>
                <w:b/>
                <w:lang w:val="en-US"/>
              </w:rPr>
              <w:t>Responsible Directorate:</w:t>
            </w:r>
          </w:p>
        </w:tc>
        <w:tc>
          <w:tcPr>
            <w:tcW w:w="5967" w:type="dxa"/>
          </w:tcPr>
          <w:p w14:paraId="416BD5CD" w14:textId="77777777" w:rsidR="00202060" w:rsidRPr="002C6E58" w:rsidRDefault="00202060" w:rsidP="00EB60AD">
            <w:pPr>
              <w:jc w:val="both"/>
              <w:rPr>
                <w:rFonts w:cs="Arial"/>
                <w:lang w:val="en-US"/>
              </w:rPr>
            </w:pPr>
            <w:r>
              <w:rPr>
                <w:rFonts w:cs="Arial"/>
                <w:lang w:val="en-US"/>
              </w:rPr>
              <w:t>Regulatory Services</w:t>
            </w:r>
          </w:p>
        </w:tc>
      </w:tr>
      <w:tr w:rsidR="00202060" w:rsidRPr="002C6E58" w14:paraId="54D5AE69" w14:textId="77777777" w:rsidTr="00EB60AD">
        <w:tc>
          <w:tcPr>
            <w:tcW w:w="3049" w:type="dxa"/>
          </w:tcPr>
          <w:p w14:paraId="5786CA18" w14:textId="77777777" w:rsidR="00202060" w:rsidRPr="002C6E58" w:rsidRDefault="00202060" w:rsidP="00EB60AD">
            <w:pPr>
              <w:jc w:val="both"/>
              <w:rPr>
                <w:rFonts w:cs="Arial"/>
                <w:b/>
                <w:lang w:val="en-US"/>
              </w:rPr>
            </w:pPr>
            <w:r w:rsidRPr="002C6E58">
              <w:rPr>
                <w:rFonts w:cs="Arial"/>
                <w:b/>
                <w:lang w:val="en-US"/>
              </w:rPr>
              <w:t>Reviewing Officer:</w:t>
            </w:r>
          </w:p>
        </w:tc>
        <w:tc>
          <w:tcPr>
            <w:tcW w:w="5967" w:type="dxa"/>
          </w:tcPr>
          <w:p w14:paraId="6903E0D8" w14:textId="77777777" w:rsidR="00202060" w:rsidRPr="002C6E58" w:rsidRDefault="00202060" w:rsidP="00EB60AD">
            <w:pPr>
              <w:jc w:val="both"/>
              <w:rPr>
                <w:rFonts w:cs="Arial"/>
                <w:lang w:val="en-US"/>
              </w:rPr>
            </w:pPr>
            <w:r>
              <w:rPr>
                <w:rFonts w:cs="Arial"/>
                <w:lang w:val="en-US"/>
              </w:rPr>
              <w:t>Executive Manager Regulatory Services</w:t>
            </w:r>
          </w:p>
        </w:tc>
      </w:tr>
      <w:tr w:rsidR="00202060" w:rsidRPr="002C6E58" w14:paraId="676458F5" w14:textId="77777777" w:rsidTr="00EB60AD">
        <w:tc>
          <w:tcPr>
            <w:tcW w:w="3049" w:type="dxa"/>
          </w:tcPr>
          <w:p w14:paraId="2490DA39" w14:textId="77777777" w:rsidR="00202060" w:rsidRPr="002C6E58" w:rsidRDefault="00202060" w:rsidP="00EB60AD">
            <w:pPr>
              <w:jc w:val="both"/>
              <w:rPr>
                <w:rFonts w:cs="Arial"/>
                <w:b/>
                <w:lang w:val="en-US"/>
              </w:rPr>
            </w:pPr>
            <w:r w:rsidRPr="002C6E58">
              <w:rPr>
                <w:rFonts w:cs="Arial"/>
                <w:b/>
                <w:lang w:val="en-US"/>
              </w:rPr>
              <w:t>Decision making Authority:</w:t>
            </w:r>
          </w:p>
        </w:tc>
        <w:tc>
          <w:tcPr>
            <w:tcW w:w="5967" w:type="dxa"/>
          </w:tcPr>
          <w:p w14:paraId="64107BA5" w14:textId="77777777" w:rsidR="00202060" w:rsidRPr="002C6E58" w:rsidRDefault="00202060" w:rsidP="00EB60AD">
            <w:pPr>
              <w:jc w:val="both"/>
              <w:rPr>
                <w:rFonts w:cs="Arial"/>
                <w:lang w:val="en-US"/>
              </w:rPr>
            </w:pPr>
            <w:r w:rsidRPr="002C6E58">
              <w:rPr>
                <w:rFonts w:cs="Arial"/>
                <w:lang w:val="en-US"/>
              </w:rPr>
              <w:t>Council</w:t>
            </w:r>
          </w:p>
        </w:tc>
      </w:tr>
      <w:tr w:rsidR="00202060" w:rsidRPr="002C6E58" w14:paraId="6A638586" w14:textId="77777777" w:rsidTr="00EB60AD">
        <w:tc>
          <w:tcPr>
            <w:tcW w:w="3049" w:type="dxa"/>
          </w:tcPr>
          <w:p w14:paraId="0FB59E0D" w14:textId="77777777" w:rsidR="00202060" w:rsidRPr="002C6E58" w:rsidRDefault="00202060" w:rsidP="00EB60AD">
            <w:pPr>
              <w:jc w:val="both"/>
              <w:rPr>
                <w:rFonts w:cs="Arial"/>
                <w:b/>
                <w:lang w:val="en-US"/>
              </w:rPr>
            </w:pPr>
            <w:r w:rsidRPr="002C6E58">
              <w:rPr>
                <w:rFonts w:cs="Arial"/>
                <w:b/>
                <w:lang w:val="en-US"/>
              </w:rPr>
              <w:t>Policy Adopted:</w:t>
            </w:r>
          </w:p>
        </w:tc>
        <w:tc>
          <w:tcPr>
            <w:tcW w:w="5967" w:type="dxa"/>
          </w:tcPr>
          <w:p w14:paraId="457D138B" w14:textId="77777777" w:rsidR="00202060" w:rsidRPr="002C6E58" w:rsidRDefault="00202060" w:rsidP="00EB60AD">
            <w:pPr>
              <w:jc w:val="both"/>
              <w:rPr>
                <w:rFonts w:cs="Arial"/>
                <w:lang w:val="en-US"/>
              </w:rPr>
            </w:pPr>
            <w:r w:rsidRPr="002C6E58">
              <w:rPr>
                <w:rFonts w:cs="Arial"/>
                <w:lang w:val="en-US"/>
              </w:rPr>
              <w:t>21/6/11</w:t>
            </w:r>
          </w:p>
        </w:tc>
      </w:tr>
      <w:tr w:rsidR="00202060" w:rsidRPr="002C6E58" w14:paraId="1CC63B80" w14:textId="77777777" w:rsidTr="00EB60AD">
        <w:tc>
          <w:tcPr>
            <w:tcW w:w="3049" w:type="dxa"/>
          </w:tcPr>
          <w:p w14:paraId="07065135" w14:textId="77777777" w:rsidR="00202060" w:rsidRPr="002C6E58" w:rsidRDefault="00202060" w:rsidP="00EB60AD">
            <w:pPr>
              <w:jc w:val="both"/>
              <w:rPr>
                <w:rFonts w:cs="Arial"/>
                <w:b/>
                <w:lang w:val="en-US"/>
              </w:rPr>
            </w:pPr>
            <w:r w:rsidRPr="002C6E58">
              <w:rPr>
                <w:rFonts w:cs="Arial"/>
                <w:b/>
                <w:lang w:val="en-US"/>
              </w:rPr>
              <w:t>Policy Amended/Reviewed:</w:t>
            </w:r>
          </w:p>
        </w:tc>
        <w:tc>
          <w:tcPr>
            <w:tcW w:w="5967" w:type="dxa"/>
          </w:tcPr>
          <w:p w14:paraId="18660478" w14:textId="77777777" w:rsidR="00202060" w:rsidRPr="002C6E58" w:rsidRDefault="00202060" w:rsidP="00EB60AD">
            <w:pPr>
              <w:jc w:val="both"/>
              <w:rPr>
                <w:rFonts w:cs="Arial"/>
                <w:lang w:val="en-US"/>
              </w:rPr>
            </w:pPr>
            <w:r w:rsidRPr="002C6E58">
              <w:rPr>
                <w:rFonts w:cs="Arial"/>
                <w:lang w:val="en-US"/>
              </w:rPr>
              <w:t>21/7/15</w:t>
            </w:r>
          </w:p>
        </w:tc>
      </w:tr>
      <w:tr w:rsidR="00202060" w:rsidRPr="002C6E58" w14:paraId="24761D21" w14:textId="77777777" w:rsidTr="00EB60AD">
        <w:tc>
          <w:tcPr>
            <w:tcW w:w="3049" w:type="dxa"/>
          </w:tcPr>
          <w:p w14:paraId="7BE5510C" w14:textId="77777777" w:rsidR="00202060" w:rsidRPr="002C6E58" w:rsidRDefault="00202060" w:rsidP="00EB60AD">
            <w:pPr>
              <w:jc w:val="both"/>
              <w:rPr>
                <w:rFonts w:cs="Arial"/>
                <w:b/>
                <w:lang w:val="en-US"/>
              </w:rPr>
            </w:pPr>
            <w:r w:rsidRPr="002C6E58">
              <w:rPr>
                <w:rFonts w:cs="Arial"/>
                <w:b/>
                <w:lang w:val="en-US"/>
              </w:rPr>
              <w:t>Next Review Date:</w:t>
            </w:r>
          </w:p>
        </w:tc>
        <w:tc>
          <w:tcPr>
            <w:tcW w:w="5967" w:type="dxa"/>
          </w:tcPr>
          <w:p w14:paraId="2763385D" w14:textId="77777777" w:rsidR="00202060" w:rsidRPr="002C6E58" w:rsidRDefault="00202060" w:rsidP="00EB60AD">
            <w:pPr>
              <w:jc w:val="both"/>
              <w:rPr>
                <w:rFonts w:cs="Arial"/>
                <w:lang w:val="en-US"/>
              </w:rPr>
            </w:pPr>
            <w:r>
              <w:rPr>
                <w:rFonts w:cs="Arial"/>
                <w:lang w:val="en-US"/>
              </w:rPr>
              <w:t>3.1.3</w:t>
            </w:r>
          </w:p>
        </w:tc>
      </w:tr>
    </w:tbl>
    <w:p w14:paraId="6248508E" w14:textId="77777777" w:rsidR="00202060" w:rsidRPr="002C6E58" w:rsidRDefault="00202060" w:rsidP="00202060">
      <w:pPr>
        <w:jc w:val="both"/>
        <w:rPr>
          <w:rFonts w:cs="Arial"/>
          <w:lang w:val="en-US"/>
        </w:rPr>
      </w:pPr>
    </w:p>
    <w:p w14:paraId="0B474210" w14:textId="77777777" w:rsidR="00202060" w:rsidRDefault="00202060" w:rsidP="00927350">
      <w:pPr>
        <w:spacing w:before="200"/>
        <w:ind w:left="567" w:hanging="567"/>
        <w:rPr>
          <w:b/>
        </w:rPr>
      </w:pPr>
    </w:p>
    <w:p w14:paraId="47BE178F" w14:textId="77777777" w:rsidR="00927350" w:rsidRDefault="00927350">
      <w:pPr>
        <w:rPr>
          <w:b/>
        </w:rPr>
      </w:pPr>
      <w:r>
        <w:rPr>
          <w:b/>
        </w:rPr>
        <w:br w:type="page"/>
      </w:r>
    </w:p>
    <w:bookmarkEnd w:id="521"/>
    <w:p w14:paraId="629AA82E" w14:textId="77777777" w:rsidR="002C6E58" w:rsidRPr="002C6E58" w:rsidRDefault="002C6E58" w:rsidP="007D689A">
      <w:pPr>
        <w:tabs>
          <w:tab w:val="right" w:pos="8931"/>
        </w:tabs>
        <w:suppressAutoHyphens/>
        <w:overflowPunct w:val="0"/>
        <w:autoSpaceDE w:val="0"/>
        <w:autoSpaceDN w:val="0"/>
        <w:adjustRightInd w:val="0"/>
        <w:spacing w:before="240" w:after="240" w:line="240" w:lineRule="auto"/>
        <w:ind w:left="567"/>
        <w:textAlignment w:val="baseline"/>
        <w:rPr>
          <w:rFonts w:eastAsia="Times New Roman" w:cs="Arial"/>
          <w:lang w:val="en-US"/>
        </w:rPr>
      </w:pPr>
      <w:r w:rsidRPr="002C6E58">
        <w:rPr>
          <w:rFonts w:eastAsia="Times New Roman" w:cs="Arial"/>
          <w:b/>
          <w:lang w:val="en-US"/>
        </w:rPr>
        <w:lastRenderedPageBreak/>
        <w:t>ACCEPTABLE SO</w:t>
      </w:r>
      <w:r w:rsidR="007D689A">
        <w:rPr>
          <w:rFonts w:eastAsia="Times New Roman" w:cs="Arial"/>
          <w:b/>
          <w:lang w:val="en-US"/>
        </w:rPr>
        <w:t>LUTIONS AND PERFORMANCE CRITERIA</w:t>
      </w:r>
      <w:r w:rsidR="007D689A">
        <w:rPr>
          <w:rFonts w:eastAsia="Times New Roman" w:cs="Arial"/>
          <w:b/>
          <w:lang w:val="en-US"/>
        </w:rPr>
        <w:tab/>
        <w:t>ATTACHMENT 1</w:t>
      </w:r>
    </w:p>
    <w:p w14:paraId="6232E7BE" w14:textId="77777777" w:rsidR="002C6E58" w:rsidRPr="002C6E58" w:rsidRDefault="002C6E58" w:rsidP="002C6E58">
      <w:pPr>
        <w:overflowPunct w:val="0"/>
        <w:autoSpaceDE w:val="0"/>
        <w:autoSpaceDN w:val="0"/>
        <w:adjustRightInd w:val="0"/>
        <w:spacing w:after="0" w:line="240" w:lineRule="auto"/>
        <w:ind w:left="1418" w:right="-1" w:hanging="851"/>
        <w:jc w:val="both"/>
        <w:textAlignment w:val="baseline"/>
        <w:rPr>
          <w:rFonts w:eastAsia="Times New Roman" w:cs="Arial"/>
        </w:rPr>
      </w:pPr>
      <w:r w:rsidRPr="002C6E58">
        <w:rPr>
          <w:rFonts w:eastAsia="Times New Roman" w:cs="Arial"/>
        </w:rPr>
        <w:t>Note:</w:t>
      </w:r>
      <w:r w:rsidRPr="002C6E58">
        <w:rPr>
          <w:rFonts w:eastAsia="Times New Roman" w:cs="Arial"/>
        </w:rPr>
        <w:tab/>
        <w:t>Signs meeting Acceptable Solution Criteria shall be considered as ‘permitted’ applications. Signs meeting ‘alternative performance criteria’ or for which no performance criteria are specified, will be considered as ‘discretionary’ applications.</w:t>
      </w:r>
    </w:p>
    <w:p w14:paraId="55F1479A" w14:textId="77777777" w:rsidR="002C6E58" w:rsidRPr="002C6E58" w:rsidRDefault="002C6E58" w:rsidP="002C6E58">
      <w:pPr>
        <w:tabs>
          <w:tab w:val="num" w:pos="1080"/>
        </w:tabs>
        <w:overflowPunct w:val="0"/>
        <w:autoSpaceDE w:val="0"/>
        <w:autoSpaceDN w:val="0"/>
        <w:adjustRightInd w:val="0"/>
        <w:spacing w:after="0" w:line="240" w:lineRule="auto"/>
        <w:jc w:val="both"/>
        <w:textAlignment w:val="baseline"/>
        <w:rPr>
          <w:rFonts w:eastAsia="Times New Roman" w:cs="Arial"/>
          <w:smallCaps/>
          <w:lang w:val="en-US"/>
        </w:rPr>
      </w:pPr>
    </w:p>
    <w:tbl>
      <w:tblPr>
        <w:tblStyle w:val="TableContemporary"/>
        <w:tblW w:w="8789" w:type="dxa"/>
        <w:tblInd w:w="675" w:type="dxa"/>
        <w:tblLayout w:type="fixed"/>
        <w:tblLook w:val="0020" w:firstRow="1" w:lastRow="0" w:firstColumn="0" w:lastColumn="0" w:noHBand="0" w:noVBand="0"/>
      </w:tblPr>
      <w:tblGrid>
        <w:gridCol w:w="1560"/>
        <w:gridCol w:w="3543"/>
        <w:gridCol w:w="3686"/>
      </w:tblGrid>
      <w:tr w:rsidR="002C6E58" w:rsidRPr="002C6E58" w14:paraId="04448072" w14:textId="77777777" w:rsidTr="00927350">
        <w:trPr>
          <w:cnfStyle w:val="100000000000" w:firstRow="1" w:lastRow="0" w:firstColumn="0" w:lastColumn="0" w:oddVBand="0" w:evenVBand="0" w:oddHBand="0" w:evenHBand="0" w:firstRowFirstColumn="0" w:firstRowLastColumn="0" w:lastRowFirstColumn="0" w:lastRowLastColumn="0"/>
          <w:cantSplit/>
          <w:trHeight w:val="705"/>
          <w:tblHeader/>
        </w:trPr>
        <w:tc>
          <w:tcPr>
            <w:tcW w:w="1560" w:type="dxa"/>
            <w:vAlign w:val="center"/>
          </w:tcPr>
          <w:p w14:paraId="2454C826" w14:textId="77777777" w:rsidR="002C6E58" w:rsidRPr="002C6E58" w:rsidRDefault="002C6E58" w:rsidP="001400A8">
            <w:pPr>
              <w:outlineLvl w:val="8"/>
              <w:rPr>
                <w:rFonts w:cs="Arial"/>
              </w:rPr>
            </w:pPr>
            <w:r w:rsidRPr="002C6E58">
              <w:rPr>
                <w:rFonts w:cs="Arial"/>
              </w:rPr>
              <w:t>SIGN TYPE</w:t>
            </w:r>
          </w:p>
        </w:tc>
        <w:tc>
          <w:tcPr>
            <w:tcW w:w="3543" w:type="dxa"/>
            <w:vAlign w:val="center"/>
          </w:tcPr>
          <w:p w14:paraId="638F0E2D" w14:textId="77777777" w:rsidR="002C6E58" w:rsidRPr="002C6E58" w:rsidRDefault="002C6E58" w:rsidP="001400A8">
            <w:pPr>
              <w:tabs>
                <w:tab w:val="num" w:pos="1080"/>
              </w:tabs>
              <w:rPr>
                <w:rFonts w:cs="Arial"/>
                <w:b w:val="0"/>
                <w:smallCaps/>
                <w:lang w:val="en-US"/>
              </w:rPr>
            </w:pPr>
            <w:r w:rsidRPr="002C6E58">
              <w:rPr>
                <w:rFonts w:cs="Arial"/>
                <w:smallCaps/>
                <w:lang w:val="en-US"/>
              </w:rPr>
              <w:t xml:space="preserve">ACCEPTABLE SOLUTION </w:t>
            </w:r>
            <w:r w:rsidRPr="002C6E58">
              <w:rPr>
                <w:rFonts w:cs="Arial"/>
              </w:rPr>
              <w:t>(PERMITTED)</w:t>
            </w:r>
          </w:p>
        </w:tc>
        <w:tc>
          <w:tcPr>
            <w:tcW w:w="3686" w:type="dxa"/>
            <w:vAlign w:val="center"/>
          </w:tcPr>
          <w:p w14:paraId="021FD348" w14:textId="77777777" w:rsidR="002C6E58" w:rsidRPr="002C6E58" w:rsidRDefault="002C6E58" w:rsidP="001400A8">
            <w:pPr>
              <w:tabs>
                <w:tab w:val="num" w:pos="1080"/>
              </w:tabs>
              <w:rPr>
                <w:rFonts w:cs="Arial"/>
                <w:b w:val="0"/>
                <w:smallCaps/>
                <w:lang w:val="en-US"/>
              </w:rPr>
            </w:pPr>
            <w:r w:rsidRPr="002C6E58">
              <w:rPr>
                <w:rFonts w:cs="Arial"/>
                <w:smallCaps/>
                <w:lang w:val="en-US"/>
              </w:rPr>
              <w:t>ALTERNATIVE PERFORMANCE</w:t>
            </w:r>
          </w:p>
          <w:p w14:paraId="19F91918" w14:textId="77777777" w:rsidR="002C6E58" w:rsidRPr="002C6E58" w:rsidRDefault="002C6E58" w:rsidP="001400A8">
            <w:pPr>
              <w:rPr>
                <w:rFonts w:cs="Arial"/>
                <w:b w:val="0"/>
                <w:lang w:val="en-US"/>
              </w:rPr>
            </w:pPr>
            <w:r w:rsidRPr="002C6E58">
              <w:rPr>
                <w:rFonts w:cs="Arial"/>
                <w:lang w:val="en-US"/>
              </w:rPr>
              <w:t xml:space="preserve">CRITERIA </w:t>
            </w:r>
            <w:r w:rsidRPr="002C6E58">
              <w:rPr>
                <w:rStyle w:val="BookTitle"/>
                <w:rFonts w:cs="Arial"/>
              </w:rPr>
              <w:t>(</w:t>
            </w:r>
            <w:r w:rsidRPr="002C6E58">
              <w:rPr>
                <w:rFonts w:cs="Arial"/>
              </w:rPr>
              <w:t>DISCRETIONARY</w:t>
            </w:r>
            <w:r w:rsidRPr="002C6E58">
              <w:rPr>
                <w:rStyle w:val="BookTitle"/>
                <w:rFonts w:cs="Arial"/>
              </w:rPr>
              <w:t>)</w:t>
            </w:r>
          </w:p>
        </w:tc>
      </w:tr>
      <w:tr w:rsidR="002C6E58" w:rsidRPr="002C6E58" w14:paraId="324D2045" w14:textId="77777777" w:rsidTr="001400A8">
        <w:trPr>
          <w:cnfStyle w:val="000000100000" w:firstRow="0" w:lastRow="0" w:firstColumn="0" w:lastColumn="0" w:oddVBand="0" w:evenVBand="0" w:oddHBand="1" w:evenHBand="0" w:firstRowFirstColumn="0" w:firstRowLastColumn="0" w:lastRowFirstColumn="0" w:lastRowLastColumn="0"/>
          <w:trHeight w:val="1624"/>
        </w:trPr>
        <w:tc>
          <w:tcPr>
            <w:tcW w:w="1560" w:type="dxa"/>
          </w:tcPr>
          <w:p w14:paraId="53004DE9" w14:textId="77777777" w:rsidR="002C6E58" w:rsidRPr="002C6E58" w:rsidRDefault="002C6E58" w:rsidP="001400A8">
            <w:pPr>
              <w:tabs>
                <w:tab w:val="num" w:pos="1080"/>
              </w:tabs>
              <w:jc w:val="both"/>
              <w:rPr>
                <w:rFonts w:cs="Arial"/>
                <w:lang w:val="en-US"/>
              </w:rPr>
            </w:pPr>
            <w:r w:rsidRPr="002C6E58">
              <w:rPr>
                <w:rFonts w:cs="Arial"/>
                <w:lang w:val="en-US"/>
              </w:rPr>
              <w:t>Arcade Signs</w:t>
            </w:r>
          </w:p>
        </w:tc>
        <w:tc>
          <w:tcPr>
            <w:tcW w:w="3543" w:type="dxa"/>
          </w:tcPr>
          <w:p w14:paraId="4DB9BBD6" w14:textId="77777777" w:rsidR="002C6E58" w:rsidRPr="002C6E58" w:rsidRDefault="002C6E58" w:rsidP="002A3889">
            <w:pPr>
              <w:numPr>
                <w:ilvl w:val="0"/>
                <w:numId w:val="279"/>
              </w:numPr>
              <w:tabs>
                <w:tab w:val="clear" w:pos="360"/>
              </w:tabs>
              <w:ind w:left="317" w:hanging="317"/>
              <w:jc w:val="both"/>
              <w:rPr>
                <w:rFonts w:cs="Arial"/>
                <w:lang w:val="en-US"/>
              </w:rPr>
            </w:pPr>
            <w:r w:rsidRPr="002C6E58">
              <w:rPr>
                <w:rFonts w:cs="Arial"/>
                <w:lang w:val="en-US"/>
              </w:rPr>
              <w:t>Max depth 500mm.</w:t>
            </w:r>
          </w:p>
          <w:p w14:paraId="6967D290" w14:textId="77777777" w:rsidR="002C6E58" w:rsidRPr="002C6E58" w:rsidRDefault="002C6E58" w:rsidP="002A3889">
            <w:pPr>
              <w:numPr>
                <w:ilvl w:val="0"/>
                <w:numId w:val="279"/>
              </w:numPr>
              <w:tabs>
                <w:tab w:val="clear" w:pos="360"/>
              </w:tabs>
              <w:ind w:left="317" w:hanging="317"/>
              <w:jc w:val="both"/>
              <w:rPr>
                <w:rFonts w:cs="Arial"/>
                <w:lang w:val="en-US"/>
              </w:rPr>
            </w:pPr>
            <w:r w:rsidRPr="002C6E58">
              <w:rPr>
                <w:rFonts w:cs="Arial"/>
                <w:lang w:val="en-US"/>
              </w:rPr>
              <w:t>Max width 300mm.</w:t>
            </w:r>
          </w:p>
          <w:p w14:paraId="4F05C5A3" w14:textId="77777777" w:rsidR="002C6E58" w:rsidRPr="002C6E58" w:rsidRDefault="002C6E58" w:rsidP="002A3889">
            <w:pPr>
              <w:numPr>
                <w:ilvl w:val="0"/>
                <w:numId w:val="279"/>
              </w:numPr>
              <w:tabs>
                <w:tab w:val="clear" w:pos="360"/>
              </w:tabs>
              <w:ind w:left="317" w:hanging="317"/>
              <w:jc w:val="both"/>
              <w:rPr>
                <w:rFonts w:cs="Arial"/>
                <w:lang w:val="en-US"/>
              </w:rPr>
            </w:pPr>
            <w:r w:rsidRPr="002C6E58">
              <w:rPr>
                <w:rFonts w:cs="Arial"/>
                <w:lang w:val="en-US"/>
              </w:rPr>
              <w:t>Min clearance from ground level 2500mm.</w:t>
            </w:r>
          </w:p>
          <w:p w14:paraId="2B7BEA90" w14:textId="77777777" w:rsidR="002C6E58" w:rsidRPr="002C6E58" w:rsidRDefault="002C6E58" w:rsidP="002A3889">
            <w:pPr>
              <w:numPr>
                <w:ilvl w:val="0"/>
                <w:numId w:val="279"/>
              </w:numPr>
              <w:tabs>
                <w:tab w:val="clear" w:pos="360"/>
              </w:tabs>
              <w:ind w:left="317" w:hanging="317"/>
              <w:rPr>
                <w:rFonts w:cs="Arial"/>
                <w:lang w:val="en-US"/>
              </w:rPr>
            </w:pPr>
            <w:r w:rsidRPr="002C6E58">
              <w:rPr>
                <w:rFonts w:cs="Arial"/>
                <w:lang w:val="en-US"/>
              </w:rPr>
              <w:t>Not sited in conjunction with another arcade sign or horizontal projecting wall sign.</w:t>
            </w:r>
          </w:p>
        </w:tc>
        <w:tc>
          <w:tcPr>
            <w:tcW w:w="3686" w:type="dxa"/>
          </w:tcPr>
          <w:p w14:paraId="4BE262D0" w14:textId="77777777" w:rsidR="002C6E58" w:rsidRPr="002C6E58" w:rsidRDefault="002C6E58" w:rsidP="002A3889">
            <w:pPr>
              <w:numPr>
                <w:ilvl w:val="0"/>
                <w:numId w:val="279"/>
              </w:numPr>
              <w:tabs>
                <w:tab w:val="clear" w:pos="360"/>
              </w:tabs>
              <w:ind w:left="318" w:hanging="318"/>
              <w:jc w:val="both"/>
              <w:rPr>
                <w:rFonts w:cs="Arial"/>
                <w:lang w:val="en-US"/>
              </w:rPr>
            </w:pPr>
            <w:r w:rsidRPr="002C6E58">
              <w:rPr>
                <w:rFonts w:cs="Arial"/>
                <w:lang w:val="en-US"/>
              </w:rPr>
              <w:t>Minimum clearance from ground level 2500mm.</w:t>
            </w:r>
          </w:p>
          <w:p w14:paraId="46F5B0DC" w14:textId="77777777" w:rsidR="002C6E58" w:rsidRPr="002C6E58" w:rsidRDefault="002C6E58" w:rsidP="002A3889">
            <w:pPr>
              <w:numPr>
                <w:ilvl w:val="0"/>
                <w:numId w:val="279"/>
              </w:numPr>
              <w:tabs>
                <w:tab w:val="clear" w:pos="360"/>
              </w:tabs>
              <w:ind w:left="318" w:hanging="318"/>
              <w:jc w:val="both"/>
              <w:rPr>
                <w:rFonts w:cs="Arial"/>
                <w:lang w:val="en-US"/>
              </w:rPr>
            </w:pPr>
            <w:r w:rsidRPr="002C6E58">
              <w:rPr>
                <w:rFonts w:cs="Arial"/>
                <w:lang w:val="en-US"/>
              </w:rPr>
              <w:t>Minimum distance from any other arcade sign or horizontal projecting wall sign 2400mm.</w:t>
            </w:r>
          </w:p>
          <w:p w14:paraId="5A8EC5F5" w14:textId="77777777" w:rsidR="002C6E58" w:rsidRPr="002C6E58" w:rsidRDefault="002C6E58" w:rsidP="001400A8">
            <w:pPr>
              <w:ind w:left="318" w:hanging="318"/>
              <w:jc w:val="both"/>
              <w:rPr>
                <w:rFonts w:cs="Arial"/>
                <w:lang w:val="en-US"/>
              </w:rPr>
            </w:pPr>
          </w:p>
        </w:tc>
      </w:tr>
      <w:tr w:rsidR="002C6E58" w:rsidRPr="002C6E58" w14:paraId="11947384" w14:textId="77777777" w:rsidTr="001400A8">
        <w:trPr>
          <w:cnfStyle w:val="000000010000" w:firstRow="0" w:lastRow="0" w:firstColumn="0" w:lastColumn="0" w:oddVBand="0" w:evenVBand="0" w:oddHBand="0" w:evenHBand="1" w:firstRowFirstColumn="0" w:firstRowLastColumn="0" w:lastRowFirstColumn="0" w:lastRowLastColumn="0"/>
          <w:trHeight w:val="1502"/>
        </w:trPr>
        <w:tc>
          <w:tcPr>
            <w:tcW w:w="1560" w:type="dxa"/>
          </w:tcPr>
          <w:p w14:paraId="53DBCFDB" w14:textId="77777777" w:rsidR="002C6E58" w:rsidRPr="002C6E58" w:rsidRDefault="002C6E58" w:rsidP="001400A8">
            <w:pPr>
              <w:tabs>
                <w:tab w:val="num" w:pos="1080"/>
              </w:tabs>
              <w:jc w:val="both"/>
              <w:rPr>
                <w:rFonts w:cs="Arial"/>
                <w:lang w:val="en-US"/>
              </w:rPr>
            </w:pPr>
            <w:r w:rsidRPr="002C6E58">
              <w:rPr>
                <w:rFonts w:cs="Arial"/>
                <w:lang w:val="en-US"/>
              </w:rPr>
              <w:t>Awning Fascia Sign</w:t>
            </w:r>
          </w:p>
        </w:tc>
        <w:tc>
          <w:tcPr>
            <w:tcW w:w="3543" w:type="dxa"/>
          </w:tcPr>
          <w:p w14:paraId="32C1E7C4" w14:textId="77777777" w:rsidR="002C6E58" w:rsidRPr="002C6E58" w:rsidRDefault="002C6E58" w:rsidP="002A3889">
            <w:pPr>
              <w:numPr>
                <w:ilvl w:val="0"/>
                <w:numId w:val="280"/>
              </w:numPr>
              <w:tabs>
                <w:tab w:val="clear" w:pos="360"/>
              </w:tabs>
              <w:ind w:left="317" w:hanging="317"/>
              <w:rPr>
                <w:rFonts w:cs="Arial"/>
                <w:lang w:val="en-US"/>
              </w:rPr>
            </w:pPr>
            <w:r w:rsidRPr="002C6E58">
              <w:rPr>
                <w:rFonts w:cs="Arial"/>
                <w:lang w:val="en-US"/>
              </w:rPr>
              <w:t>Shall not project beyond the fascia line of an approved or existing awning.</w:t>
            </w:r>
          </w:p>
          <w:p w14:paraId="53E5108F" w14:textId="77777777" w:rsidR="002C6E58" w:rsidRPr="002C6E58" w:rsidRDefault="002C6E58" w:rsidP="002A3889">
            <w:pPr>
              <w:numPr>
                <w:ilvl w:val="0"/>
                <w:numId w:val="280"/>
              </w:numPr>
              <w:tabs>
                <w:tab w:val="clear" w:pos="360"/>
              </w:tabs>
              <w:ind w:left="317" w:hanging="317"/>
              <w:rPr>
                <w:rFonts w:cs="Arial"/>
                <w:lang w:val="en-US"/>
              </w:rPr>
            </w:pPr>
            <w:r w:rsidRPr="002C6E58">
              <w:rPr>
                <w:rFonts w:cs="Arial"/>
                <w:lang w:val="en-US"/>
              </w:rPr>
              <w:t>Shall not project above or below the fascia of the awning.</w:t>
            </w:r>
          </w:p>
          <w:p w14:paraId="15B92D4C" w14:textId="77777777" w:rsidR="002C6E58" w:rsidRPr="002C6E58" w:rsidRDefault="002C6E58" w:rsidP="002A3889">
            <w:pPr>
              <w:numPr>
                <w:ilvl w:val="0"/>
                <w:numId w:val="280"/>
              </w:numPr>
              <w:tabs>
                <w:tab w:val="clear" w:pos="360"/>
              </w:tabs>
              <w:ind w:left="317" w:hanging="317"/>
              <w:rPr>
                <w:rFonts w:cs="Arial"/>
                <w:lang w:val="en-US"/>
              </w:rPr>
            </w:pPr>
            <w:r w:rsidRPr="002C6E58">
              <w:rPr>
                <w:rFonts w:cs="Arial"/>
                <w:lang w:val="en-US"/>
              </w:rPr>
              <w:t>Maximum height 450mm.</w:t>
            </w:r>
          </w:p>
        </w:tc>
        <w:tc>
          <w:tcPr>
            <w:tcW w:w="3686" w:type="dxa"/>
          </w:tcPr>
          <w:p w14:paraId="7C0B6CEF" w14:textId="77777777" w:rsidR="002C6E58" w:rsidRPr="002C6E58" w:rsidRDefault="002C6E58" w:rsidP="002A3889">
            <w:pPr>
              <w:numPr>
                <w:ilvl w:val="0"/>
                <w:numId w:val="297"/>
              </w:numPr>
              <w:tabs>
                <w:tab w:val="clear" w:pos="360"/>
              </w:tabs>
              <w:ind w:left="318" w:hanging="318"/>
              <w:jc w:val="both"/>
              <w:rPr>
                <w:rFonts w:cs="Arial"/>
                <w:lang w:val="en-US"/>
              </w:rPr>
            </w:pPr>
            <w:r w:rsidRPr="002C6E58">
              <w:rPr>
                <w:rFonts w:cs="Arial"/>
                <w:lang w:val="en-US"/>
              </w:rPr>
              <w:t>Shall not project beyond the fascia line of an approved or existing awning.</w:t>
            </w:r>
          </w:p>
          <w:p w14:paraId="5D5F1318" w14:textId="77777777" w:rsidR="002C6E58" w:rsidRPr="002C6E58" w:rsidRDefault="002C6E58" w:rsidP="002A3889">
            <w:pPr>
              <w:numPr>
                <w:ilvl w:val="0"/>
                <w:numId w:val="280"/>
              </w:numPr>
              <w:tabs>
                <w:tab w:val="clear" w:pos="360"/>
              </w:tabs>
              <w:ind w:left="318" w:hanging="318"/>
              <w:jc w:val="both"/>
              <w:rPr>
                <w:rFonts w:cs="Arial"/>
                <w:lang w:val="en-US"/>
              </w:rPr>
            </w:pPr>
            <w:r w:rsidRPr="002C6E58">
              <w:rPr>
                <w:rFonts w:cs="Arial"/>
                <w:lang w:val="en-US"/>
              </w:rPr>
              <w:t>Maximum height of 500mm.</w:t>
            </w:r>
          </w:p>
          <w:p w14:paraId="236C6CBE" w14:textId="77777777" w:rsidR="002C6E58" w:rsidRPr="002C6E58" w:rsidRDefault="002C6E58" w:rsidP="001400A8">
            <w:pPr>
              <w:jc w:val="both"/>
              <w:rPr>
                <w:rFonts w:cs="Arial"/>
                <w:lang w:val="en-US"/>
              </w:rPr>
            </w:pPr>
          </w:p>
        </w:tc>
      </w:tr>
      <w:tr w:rsidR="002C6E58" w:rsidRPr="002C6E58" w14:paraId="3870D6A4" w14:textId="77777777" w:rsidTr="001400A8">
        <w:trPr>
          <w:cnfStyle w:val="000000100000" w:firstRow="0" w:lastRow="0" w:firstColumn="0" w:lastColumn="0" w:oddVBand="0" w:evenVBand="0" w:oddHBand="1" w:evenHBand="0" w:firstRowFirstColumn="0" w:firstRowLastColumn="0" w:lastRowFirstColumn="0" w:lastRowLastColumn="0"/>
        </w:trPr>
        <w:tc>
          <w:tcPr>
            <w:tcW w:w="1560" w:type="dxa"/>
          </w:tcPr>
          <w:p w14:paraId="0720552A" w14:textId="77777777" w:rsidR="002C6E58" w:rsidRPr="002C6E58" w:rsidRDefault="002C6E58" w:rsidP="001400A8">
            <w:pPr>
              <w:tabs>
                <w:tab w:val="num" w:pos="1080"/>
              </w:tabs>
              <w:jc w:val="both"/>
              <w:rPr>
                <w:rFonts w:cs="Arial"/>
                <w:lang w:val="en-US"/>
              </w:rPr>
            </w:pPr>
            <w:r w:rsidRPr="002C6E58">
              <w:rPr>
                <w:rFonts w:cs="Arial"/>
                <w:lang w:val="en-US"/>
              </w:rPr>
              <w:t>Above Awning Sign</w:t>
            </w:r>
          </w:p>
        </w:tc>
        <w:tc>
          <w:tcPr>
            <w:tcW w:w="3543" w:type="dxa"/>
          </w:tcPr>
          <w:p w14:paraId="7E6FE74C" w14:textId="77777777" w:rsidR="002C6E58" w:rsidRPr="002C6E58" w:rsidRDefault="002C6E58" w:rsidP="002A3889">
            <w:pPr>
              <w:numPr>
                <w:ilvl w:val="0"/>
                <w:numId w:val="281"/>
              </w:numPr>
              <w:tabs>
                <w:tab w:val="clear" w:pos="360"/>
              </w:tabs>
              <w:ind w:left="317" w:hanging="317"/>
              <w:jc w:val="both"/>
              <w:rPr>
                <w:rFonts w:cs="Arial"/>
                <w:lang w:val="en-US"/>
              </w:rPr>
            </w:pPr>
            <w:r w:rsidRPr="002C6E58">
              <w:rPr>
                <w:rFonts w:cs="Arial"/>
                <w:lang w:val="en-US"/>
              </w:rPr>
              <w:t>single blade design.</w:t>
            </w:r>
          </w:p>
          <w:p w14:paraId="260953E9" w14:textId="77777777" w:rsidR="002C6E58" w:rsidRPr="002C6E58" w:rsidRDefault="002C6E58" w:rsidP="002A3889">
            <w:pPr>
              <w:numPr>
                <w:ilvl w:val="0"/>
                <w:numId w:val="281"/>
              </w:numPr>
              <w:tabs>
                <w:tab w:val="clear" w:pos="360"/>
              </w:tabs>
              <w:ind w:left="317" w:hanging="317"/>
              <w:rPr>
                <w:rFonts w:cs="Arial"/>
                <w:lang w:val="en-US"/>
              </w:rPr>
            </w:pPr>
            <w:r w:rsidRPr="002C6E58">
              <w:rPr>
                <w:rFonts w:cs="Arial"/>
                <w:lang w:val="en-US"/>
              </w:rPr>
              <w:t>Max height 450mm.</w:t>
            </w:r>
          </w:p>
          <w:p w14:paraId="4EE4CA84" w14:textId="77777777" w:rsidR="002C6E58" w:rsidRPr="002C6E58" w:rsidRDefault="002C6E58" w:rsidP="002A3889">
            <w:pPr>
              <w:numPr>
                <w:ilvl w:val="0"/>
                <w:numId w:val="281"/>
              </w:numPr>
              <w:tabs>
                <w:tab w:val="clear" w:pos="360"/>
              </w:tabs>
              <w:ind w:left="317" w:hanging="317"/>
              <w:rPr>
                <w:rFonts w:cs="Arial"/>
                <w:lang w:val="en-US"/>
              </w:rPr>
            </w:pPr>
            <w:r w:rsidRPr="002C6E58">
              <w:rPr>
                <w:rFonts w:cs="Arial"/>
                <w:lang w:val="en-US"/>
              </w:rPr>
              <w:t>Max width 300mm.</w:t>
            </w:r>
          </w:p>
          <w:p w14:paraId="3A39FE9F" w14:textId="77777777" w:rsidR="002C6E58" w:rsidRPr="002C6E58" w:rsidRDefault="002C6E58" w:rsidP="002A3889">
            <w:pPr>
              <w:numPr>
                <w:ilvl w:val="0"/>
                <w:numId w:val="281"/>
              </w:numPr>
              <w:tabs>
                <w:tab w:val="clear" w:pos="360"/>
              </w:tabs>
              <w:ind w:left="317" w:hanging="317"/>
              <w:rPr>
                <w:rFonts w:cs="Arial"/>
                <w:lang w:val="en-US"/>
              </w:rPr>
            </w:pPr>
            <w:r w:rsidRPr="002C6E58">
              <w:rPr>
                <w:rFonts w:cs="Arial"/>
                <w:lang w:val="en-US"/>
              </w:rPr>
              <w:t>Shall not project beyond the width of the awning or exceed 2700mm in length whichever is the shorter.</w:t>
            </w:r>
          </w:p>
          <w:p w14:paraId="5DE9FD57" w14:textId="77777777" w:rsidR="002C6E58" w:rsidRPr="002C6E58" w:rsidRDefault="002C6E58" w:rsidP="002A3889">
            <w:pPr>
              <w:numPr>
                <w:ilvl w:val="0"/>
                <w:numId w:val="281"/>
              </w:numPr>
              <w:tabs>
                <w:tab w:val="clear" w:pos="360"/>
              </w:tabs>
              <w:ind w:left="317" w:hanging="317"/>
              <w:rPr>
                <w:rFonts w:cs="Arial"/>
                <w:lang w:val="en-US"/>
              </w:rPr>
            </w:pPr>
            <w:r w:rsidRPr="002C6E58">
              <w:rPr>
                <w:rFonts w:cs="Arial"/>
                <w:lang w:val="en-US"/>
              </w:rPr>
              <w:t>Shall not be approved if there is another Awning Sign or Horizontal Projecting Wall sign on the same site.</w:t>
            </w:r>
          </w:p>
        </w:tc>
        <w:tc>
          <w:tcPr>
            <w:tcW w:w="3686" w:type="dxa"/>
          </w:tcPr>
          <w:p w14:paraId="74A8DBCD" w14:textId="77777777" w:rsidR="002C6E58" w:rsidRPr="002C6E58" w:rsidRDefault="002C6E58" w:rsidP="002A3889">
            <w:pPr>
              <w:numPr>
                <w:ilvl w:val="0"/>
                <w:numId w:val="282"/>
              </w:numPr>
              <w:tabs>
                <w:tab w:val="clear" w:pos="360"/>
              </w:tabs>
              <w:ind w:left="318" w:hanging="318"/>
              <w:jc w:val="both"/>
              <w:rPr>
                <w:rFonts w:cs="Arial"/>
                <w:lang w:val="en-US"/>
              </w:rPr>
            </w:pPr>
            <w:r w:rsidRPr="002C6E58">
              <w:rPr>
                <w:rFonts w:cs="Arial"/>
                <w:lang w:val="en-US"/>
              </w:rPr>
              <w:t>Maximum height 750mm.</w:t>
            </w:r>
          </w:p>
          <w:p w14:paraId="0D054894" w14:textId="77777777" w:rsidR="002C6E58" w:rsidRPr="002C6E58" w:rsidRDefault="002C6E58" w:rsidP="002A3889">
            <w:pPr>
              <w:numPr>
                <w:ilvl w:val="0"/>
                <w:numId w:val="282"/>
              </w:numPr>
              <w:tabs>
                <w:tab w:val="clear" w:pos="360"/>
              </w:tabs>
              <w:ind w:left="318" w:hanging="318"/>
              <w:jc w:val="both"/>
              <w:rPr>
                <w:rFonts w:cs="Arial"/>
                <w:lang w:val="en-US"/>
              </w:rPr>
            </w:pPr>
            <w:r w:rsidRPr="002C6E58">
              <w:rPr>
                <w:rFonts w:cs="Arial"/>
                <w:lang w:val="en-US"/>
              </w:rPr>
              <w:t>Maximum width 300mm.</w:t>
            </w:r>
          </w:p>
          <w:p w14:paraId="1EBE080B" w14:textId="77777777" w:rsidR="002C6E58" w:rsidRPr="002C6E58" w:rsidRDefault="002C6E58" w:rsidP="002A3889">
            <w:pPr>
              <w:numPr>
                <w:ilvl w:val="0"/>
                <w:numId w:val="282"/>
              </w:numPr>
              <w:tabs>
                <w:tab w:val="clear" w:pos="360"/>
              </w:tabs>
              <w:ind w:left="318" w:hanging="318"/>
              <w:jc w:val="both"/>
              <w:rPr>
                <w:rFonts w:cs="Arial"/>
                <w:lang w:val="en-US"/>
              </w:rPr>
            </w:pPr>
            <w:r w:rsidRPr="002C6E58">
              <w:rPr>
                <w:rFonts w:cs="Arial"/>
                <w:lang w:val="en-US"/>
              </w:rPr>
              <w:t>Shall not project beyond the width of the awning or exceed 2700mm in length whichever is the shorter.</w:t>
            </w:r>
          </w:p>
          <w:p w14:paraId="7B476343" w14:textId="77777777" w:rsidR="002C6E58" w:rsidRPr="002C6E58" w:rsidRDefault="002C6E58" w:rsidP="002A3889">
            <w:pPr>
              <w:numPr>
                <w:ilvl w:val="0"/>
                <w:numId w:val="282"/>
              </w:numPr>
              <w:tabs>
                <w:tab w:val="clear" w:pos="360"/>
              </w:tabs>
              <w:ind w:left="318" w:hanging="318"/>
              <w:jc w:val="both"/>
              <w:rPr>
                <w:rFonts w:cs="Arial"/>
                <w:lang w:val="en-US"/>
              </w:rPr>
            </w:pPr>
            <w:r w:rsidRPr="002C6E58">
              <w:rPr>
                <w:rFonts w:cs="Arial"/>
                <w:lang w:val="en-US"/>
              </w:rPr>
              <w:t>Minimum distance between any other Above Awning Sign or Horizontal Projecting Wall Sign 2400mm.</w:t>
            </w:r>
          </w:p>
          <w:p w14:paraId="7CB7F64D" w14:textId="77777777" w:rsidR="002C6E58" w:rsidRPr="002C6E58" w:rsidRDefault="002C6E58" w:rsidP="002A3889">
            <w:pPr>
              <w:numPr>
                <w:ilvl w:val="0"/>
                <w:numId w:val="282"/>
              </w:numPr>
              <w:tabs>
                <w:tab w:val="clear" w:pos="360"/>
              </w:tabs>
              <w:ind w:left="318" w:hanging="318"/>
              <w:jc w:val="both"/>
              <w:rPr>
                <w:rFonts w:cs="Arial"/>
                <w:lang w:val="en-US"/>
              </w:rPr>
            </w:pPr>
            <w:r w:rsidRPr="002C6E58">
              <w:rPr>
                <w:rFonts w:cs="Arial"/>
                <w:lang w:val="en-US"/>
              </w:rPr>
              <w:t>Minimum distance from side boundary of the lot or site 1200mm.</w:t>
            </w:r>
          </w:p>
        </w:tc>
      </w:tr>
      <w:tr w:rsidR="002C6E58" w:rsidRPr="002C6E58" w14:paraId="6A536A4B" w14:textId="77777777" w:rsidTr="001400A8">
        <w:tblPrEx>
          <w:tblLook w:val="0000" w:firstRow="0" w:lastRow="0" w:firstColumn="0" w:lastColumn="0" w:noHBand="0" w:noVBand="0"/>
        </w:tblPrEx>
        <w:trPr>
          <w:cnfStyle w:val="000000010000" w:firstRow="0" w:lastRow="0" w:firstColumn="0" w:lastColumn="0" w:oddVBand="0" w:evenVBand="0" w:oddHBand="0" w:evenHBand="1" w:firstRowFirstColumn="0" w:firstRowLastColumn="0" w:lastRowFirstColumn="0" w:lastRowLastColumn="0"/>
        </w:trPr>
        <w:tc>
          <w:tcPr>
            <w:tcW w:w="1560" w:type="dxa"/>
          </w:tcPr>
          <w:p w14:paraId="5BE7365B" w14:textId="77777777" w:rsidR="002C6E58" w:rsidRPr="002C6E58" w:rsidRDefault="002C6E58" w:rsidP="001400A8">
            <w:pPr>
              <w:tabs>
                <w:tab w:val="num" w:pos="1080"/>
              </w:tabs>
              <w:rPr>
                <w:rFonts w:cs="Arial"/>
                <w:lang w:val="en-US"/>
              </w:rPr>
            </w:pPr>
            <w:r w:rsidRPr="002C6E58">
              <w:rPr>
                <w:rFonts w:cs="Arial"/>
                <w:lang w:val="en-US"/>
              </w:rPr>
              <w:t>Below Awning Sign</w:t>
            </w:r>
          </w:p>
        </w:tc>
        <w:tc>
          <w:tcPr>
            <w:tcW w:w="3543" w:type="dxa"/>
            <w:vAlign w:val="center"/>
          </w:tcPr>
          <w:p w14:paraId="501D26A9" w14:textId="77777777" w:rsidR="002C6E58" w:rsidRPr="002C6E58" w:rsidRDefault="002C6E58" w:rsidP="001400A8">
            <w:pPr>
              <w:tabs>
                <w:tab w:val="num" w:pos="1080"/>
              </w:tabs>
              <w:rPr>
                <w:rFonts w:cs="Arial"/>
                <w:lang w:val="en-US"/>
              </w:rPr>
            </w:pPr>
            <w:r w:rsidRPr="002C6E58">
              <w:rPr>
                <w:rFonts w:cs="Arial"/>
                <w:lang w:val="en-US"/>
              </w:rPr>
              <w:t>As for above Awning Sign</w:t>
            </w:r>
          </w:p>
        </w:tc>
        <w:tc>
          <w:tcPr>
            <w:tcW w:w="3686" w:type="dxa"/>
            <w:vAlign w:val="center"/>
          </w:tcPr>
          <w:p w14:paraId="096106ED" w14:textId="77777777" w:rsidR="002C6E58" w:rsidRPr="002C6E58" w:rsidRDefault="002C6E58" w:rsidP="001400A8">
            <w:pPr>
              <w:rPr>
                <w:rFonts w:cs="Arial"/>
                <w:lang w:val="en-US"/>
              </w:rPr>
            </w:pPr>
            <w:r w:rsidRPr="002C6E58">
              <w:rPr>
                <w:rFonts w:cs="Arial"/>
                <w:lang w:val="en-US"/>
              </w:rPr>
              <w:t>As for above Awning Sign</w:t>
            </w:r>
          </w:p>
        </w:tc>
      </w:tr>
      <w:tr w:rsidR="002C6E58" w:rsidRPr="002C6E58" w14:paraId="4CC1DB8B" w14:textId="77777777" w:rsidTr="001400A8">
        <w:tblPrEx>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Pr>
        <w:tc>
          <w:tcPr>
            <w:tcW w:w="1560" w:type="dxa"/>
          </w:tcPr>
          <w:p w14:paraId="1D21A1EE" w14:textId="77777777" w:rsidR="002C6E58" w:rsidRPr="002C6E58" w:rsidRDefault="002C6E58" w:rsidP="001400A8">
            <w:pPr>
              <w:tabs>
                <w:tab w:val="num" w:pos="1080"/>
              </w:tabs>
              <w:jc w:val="both"/>
              <w:rPr>
                <w:rFonts w:cs="Arial"/>
                <w:lang w:val="en-US"/>
              </w:rPr>
            </w:pPr>
            <w:r w:rsidRPr="002C6E58">
              <w:rPr>
                <w:rFonts w:cs="Arial"/>
                <w:lang w:val="en-US"/>
              </w:rPr>
              <w:t>Banner Sign</w:t>
            </w:r>
          </w:p>
        </w:tc>
        <w:tc>
          <w:tcPr>
            <w:tcW w:w="3543" w:type="dxa"/>
          </w:tcPr>
          <w:p w14:paraId="2E4DE368" w14:textId="77777777" w:rsidR="002C6E58" w:rsidRPr="002C6E58" w:rsidRDefault="002C6E58" w:rsidP="001400A8">
            <w:pPr>
              <w:tabs>
                <w:tab w:val="num" w:pos="1080"/>
              </w:tabs>
              <w:jc w:val="both"/>
              <w:rPr>
                <w:rFonts w:cs="Arial"/>
                <w:lang w:val="en-US"/>
              </w:rPr>
            </w:pPr>
            <w:r w:rsidRPr="002C6E58">
              <w:rPr>
                <w:rFonts w:cs="Arial"/>
                <w:lang w:val="en-US"/>
              </w:rPr>
              <w:t>Exempt – subject to conditions in Clause 5</w:t>
            </w:r>
          </w:p>
        </w:tc>
        <w:tc>
          <w:tcPr>
            <w:tcW w:w="3686" w:type="dxa"/>
          </w:tcPr>
          <w:p w14:paraId="7D19CC3E" w14:textId="77777777" w:rsidR="002C6E58" w:rsidRPr="002C6E58" w:rsidRDefault="002C6E58" w:rsidP="002A3889">
            <w:pPr>
              <w:numPr>
                <w:ilvl w:val="0"/>
                <w:numId w:val="283"/>
              </w:numPr>
              <w:tabs>
                <w:tab w:val="clear" w:pos="360"/>
                <w:tab w:val="num" w:pos="318"/>
              </w:tabs>
              <w:ind w:left="318" w:hanging="318"/>
              <w:jc w:val="both"/>
              <w:rPr>
                <w:rFonts w:cs="Arial"/>
                <w:lang w:val="en-US"/>
              </w:rPr>
            </w:pPr>
            <w:r w:rsidRPr="002C6E58">
              <w:rPr>
                <w:rFonts w:cs="Arial"/>
                <w:lang w:val="en-US"/>
              </w:rPr>
              <w:t>One sign per building.</w:t>
            </w:r>
          </w:p>
          <w:p w14:paraId="61BD60F4" w14:textId="77777777" w:rsidR="002C6E58" w:rsidRPr="002C6E58" w:rsidRDefault="002C6E58" w:rsidP="002A3889">
            <w:pPr>
              <w:numPr>
                <w:ilvl w:val="0"/>
                <w:numId w:val="283"/>
              </w:numPr>
              <w:tabs>
                <w:tab w:val="clear" w:pos="360"/>
                <w:tab w:val="num" w:pos="318"/>
              </w:tabs>
              <w:ind w:left="318" w:hanging="318"/>
              <w:jc w:val="both"/>
              <w:rPr>
                <w:rFonts w:cs="Arial"/>
                <w:lang w:val="en-US"/>
              </w:rPr>
            </w:pPr>
            <w:r w:rsidRPr="002C6E58">
              <w:rPr>
                <w:rFonts w:cs="Arial"/>
                <w:lang w:val="en-US"/>
              </w:rPr>
              <w:t>May be placed on the face of the building at street level providing it can be demonstrated that it meets the requirements specified under clause 2.</w:t>
            </w:r>
          </w:p>
          <w:p w14:paraId="393D695A" w14:textId="77777777" w:rsidR="002C6E58" w:rsidRPr="002C6E58" w:rsidRDefault="002C6E58" w:rsidP="002A3889">
            <w:pPr>
              <w:numPr>
                <w:ilvl w:val="0"/>
                <w:numId w:val="283"/>
              </w:numPr>
              <w:tabs>
                <w:tab w:val="clear" w:pos="360"/>
                <w:tab w:val="num" w:pos="318"/>
              </w:tabs>
              <w:ind w:left="318" w:hanging="318"/>
              <w:jc w:val="both"/>
              <w:rPr>
                <w:rFonts w:cs="Arial"/>
                <w:lang w:val="en-US"/>
              </w:rPr>
            </w:pPr>
            <w:r w:rsidRPr="002C6E58">
              <w:rPr>
                <w:rFonts w:cs="Arial"/>
                <w:lang w:val="en-US"/>
              </w:rPr>
              <w:t>Must not project beyond the face of the building.</w:t>
            </w:r>
          </w:p>
          <w:p w14:paraId="03FF6D14" w14:textId="77777777" w:rsidR="002C6E58" w:rsidRPr="002C6E58" w:rsidRDefault="002C6E58" w:rsidP="002A3889">
            <w:pPr>
              <w:numPr>
                <w:ilvl w:val="0"/>
                <w:numId w:val="283"/>
              </w:numPr>
              <w:tabs>
                <w:tab w:val="clear" w:pos="360"/>
                <w:tab w:val="num" w:pos="318"/>
              </w:tabs>
              <w:ind w:left="318" w:hanging="318"/>
              <w:jc w:val="both"/>
              <w:rPr>
                <w:rFonts w:cs="Arial"/>
                <w:lang w:val="en-US"/>
              </w:rPr>
            </w:pPr>
            <w:r w:rsidRPr="002C6E58">
              <w:rPr>
                <w:rFonts w:cs="Arial"/>
                <w:lang w:val="en-US"/>
              </w:rPr>
              <w:t>Maximum height 2m.</w:t>
            </w:r>
          </w:p>
          <w:p w14:paraId="79084166" w14:textId="77777777" w:rsidR="002C6E58" w:rsidRPr="002C6E58" w:rsidRDefault="002C6E58" w:rsidP="002A3889">
            <w:pPr>
              <w:numPr>
                <w:ilvl w:val="0"/>
                <w:numId w:val="283"/>
              </w:numPr>
              <w:tabs>
                <w:tab w:val="clear" w:pos="360"/>
                <w:tab w:val="num" w:pos="318"/>
              </w:tabs>
              <w:ind w:left="318" w:hanging="318"/>
              <w:jc w:val="both"/>
              <w:rPr>
                <w:rFonts w:cs="Arial"/>
                <w:lang w:val="en-US"/>
              </w:rPr>
            </w:pPr>
            <w:r w:rsidRPr="002C6E58">
              <w:rPr>
                <w:rFonts w:cs="Arial"/>
                <w:lang w:val="en-US"/>
              </w:rPr>
              <w:t>Maximum length 5m.</w:t>
            </w:r>
          </w:p>
        </w:tc>
      </w:tr>
      <w:tr w:rsidR="002C6E58" w:rsidRPr="002C6E58" w14:paraId="33AD8AD1" w14:textId="77777777" w:rsidTr="001400A8">
        <w:tblPrEx>
          <w:tblLook w:val="0000" w:firstRow="0" w:lastRow="0" w:firstColumn="0" w:lastColumn="0" w:noHBand="0" w:noVBand="0"/>
        </w:tblPrEx>
        <w:trPr>
          <w:cnfStyle w:val="000000010000" w:firstRow="0" w:lastRow="0" w:firstColumn="0" w:lastColumn="0" w:oddVBand="0" w:evenVBand="0" w:oddHBand="0" w:evenHBand="1" w:firstRowFirstColumn="0" w:firstRowLastColumn="0" w:lastRowFirstColumn="0" w:lastRowLastColumn="0"/>
        </w:trPr>
        <w:tc>
          <w:tcPr>
            <w:tcW w:w="1560" w:type="dxa"/>
          </w:tcPr>
          <w:p w14:paraId="44103624" w14:textId="77777777" w:rsidR="002C6E58" w:rsidRPr="002C6E58" w:rsidRDefault="002C6E58" w:rsidP="001400A8">
            <w:pPr>
              <w:tabs>
                <w:tab w:val="num" w:pos="1080"/>
              </w:tabs>
              <w:jc w:val="both"/>
              <w:rPr>
                <w:rFonts w:cs="Arial"/>
                <w:lang w:val="en-US"/>
              </w:rPr>
            </w:pPr>
            <w:r w:rsidRPr="002C6E58">
              <w:rPr>
                <w:rFonts w:cs="Arial"/>
                <w:lang w:val="en-US"/>
              </w:rPr>
              <w:t>Business Directory</w:t>
            </w:r>
          </w:p>
        </w:tc>
        <w:tc>
          <w:tcPr>
            <w:tcW w:w="3543" w:type="dxa"/>
          </w:tcPr>
          <w:p w14:paraId="3CF9EA54" w14:textId="77777777" w:rsidR="002C6E58" w:rsidRPr="002C6E58" w:rsidRDefault="002C6E58" w:rsidP="001400A8">
            <w:pPr>
              <w:tabs>
                <w:tab w:val="num" w:pos="1080"/>
              </w:tabs>
              <w:jc w:val="both"/>
              <w:rPr>
                <w:rFonts w:cs="Arial"/>
                <w:lang w:val="en-US"/>
              </w:rPr>
            </w:pPr>
            <w:r w:rsidRPr="002C6E58">
              <w:rPr>
                <w:rFonts w:cs="Arial"/>
                <w:lang w:val="en-US"/>
              </w:rPr>
              <w:t>Exempt – subject to conditions in Clause 5</w:t>
            </w:r>
          </w:p>
        </w:tc>
        <w:tc>
          <w:tcPr>
            <w:tcW w:w="3686" w:type="dxa"/>
            <w:shd w:val="clear" w:color="auto" w:fill="BFBFBF" w:themeFill="background1" w:themeFillShade="BF"/>
          </w:tcPr>
          <w:p w14:paraId="5A9F7DE4" w14:textId="77777777" w:rsidR="002C6E58" w:rsidRPr="002C6E58" w:rsidRDefault="002C6E58" w:rsidP="001400A8">
            <w:pPr>
              <w:tabs>
                <w:tab w:val="num" w:pos="318"/>
              </w:tabs>
              <w:ind w:left="318" w:hanging="318"/>
              <w:jc w:val="both"/>
              <w:rPr>
                <w:rFonts w:cs="Arial"/>
                <w:lang w:val="en-US"/>
              </w:rPr>
            </w:pPr>
          </w:p>
        </w:tc>
      </w:tr>
      <w:tr w:rsidR="00927350" w:rsidRPr="002C6E58" w14:paraId="0A11BAEC" w14:textId="77777777" w:rsidTr="001400A8">
        <w:tblPrEx>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Pr>
        <w:tc>
          <w:tcPr>
            <w:tcW w:w="1560" w:type="dxa"/>
          </w:tcPr>
          <w:p w14:paraId="23B3387D" w14:textId="77777777" w:rsidR="00927350" w:rsidRPr="002C6E58" w:rsidRDefault="00927350" w:rsidP="00927350">
            <w:pPr>
              <w:tabs>
                <w:tab w:val="num" w:pos="1080"/>
              </w:tabs>
              <w:jc w:val="both"/>
              <w:rPr>
                <w:rFonts w:cs="Arial"/>
                <w:lang w:val="en-US"/>
              </w:rPr>
            </w:pPr>
            <w:r w:rsidRPr="002C6E58">
              <w:rPr>
                <w:rFonts w:cs="Arial"/>
                <w:lang w:val="en-US"/>
              </w:rPr>
              <w:t>Cabinet Sign</w:t>
            </w:r>
          </w:p>
        </w:tc>
        <w:tc>
          <w:tcPr>
            <w:tcW w:w="3543" w:type="dxa"/>
          </w:tcPr>
          <w:p w14:paraId="2D8ACE9B" w14:textId="77777777" w:rsidR="00927350" w:rsidRPr="002C6E58" w:rsidRDefault="00927350" w:rsidP="00927350">
            <w:pPr>
              <w:rPr>
                <w:rFonts w:cs="Arial"/>
                <w:lang w:val="en-US"/>
              </w:rPr>
            </w:pPr>
            <w:r w:rsidRPr="002C6E58">
              <w:rPr>
                <w:rFonts w:cs="Arial"/>
                <w:lang w:val="en-US"/>
              </w:rPr>
              <w:t>Exempt – subject to conditions in Clause 5</w:t>
            </w:r>
          </w:p>
        </w:tc>
        <w:tc>
          <w:tcPr>
            <w:tcW w:w="3686" w:type="dxa"/>
          </w:tcPr>
          <w:p w14:paraId="4124D6D1" w14:textId="77777777" w:rsidR="00927350" w:rsidRPr="002C6E58" w:rsidRDefault="00927350" w:rsidP="002A3889">
            <w:pPr>
              <w:numPr>
                <w:ilvl w:val="0"/>
                <w:numId w:val="284"/>
              </w:numPr>
              <w:tabs>
                <w:tab w:val="clear" w:pos="360"/>
                <w:tab w:val="num" w:pos="318"/>
              </w:tabs>
              <w:ind w:left="318" w:hanging="318"/>
              <w:jc w:val="both"/>
              <w:rPr>
                <w:rFonts w:cs="Arial"/>
                <w:lang w:val="en-US"/>
              </w:rPr>
            </w:pPr>
            <w:r w:rsidRPr="002C6E58">
              <w:rPr>
                <w:rFonts w:cs="Arial"/>
                <w:lang w:val="en-US"/>
              </w:rPr>
              <w:t>Maximum projection from face of wall 40mm.</w:t>
            </w:r>
          </w:p>
          <w:p w14:paraId="3D51E6D8" w14:textId="77777777" w:rsidR="00927350" w:rsidRPr="002C6E58" w:rsidRDefault="00927350" w:rsidP="002A3889">
            <w:pPr>
              <w:numPr>
                <w:ilvl w:val="0"/>
                <w:numId w:val="284"/>
              </w:numPr>
              <w:tabs>
                <w:tab w:val="clear" w:pos="360"/>
                <w:tab w:val="num" w:pos="318"/>
              </w:tabs>
              <w:ind w:left="318" w:hanging="318"/>
              <w:jc w:val="both"/>
              <w:rPr>
                <w:rFonts w:cs="Arial"/>
                <w:lang w:val="en-US"/>
              </w:rPr>
            </w:pPr>
            <w:r w:rsidRPr="002C6E58">
              <w:rPr>
                <w:rFonts w:cs="Arial"/>
                <w:lang w:val="en-US"/>
              </w:rPr>
              <w:t>May be internally illuminated.</w:t>
            </w:r>
          </w:p>
        </w:tc>
      </w:tr>
      <w:tr w:rsidR="00927350" w:rsidRPr="002C6E58" w14:paraId="66C92693" w14:textId="77777777" w:rsidTr="001400A8">
        <w:tblPrEx>
          <w:tblLook w:val="0000" w:firstRow="0" w:lastRow="0" w:firstColumn="0" w:lastColumn="0" w:noHBand="0" w:noVBand="0"/>
        </w:tblPrEx>
        <w:trPr>
          <w:cnfStyle w:val="000000010000" w:firstRow="0" w:lastRow="0" w:firstColumn="0" w:lastColumn="0" w:oddVBand="0" w:evenVBand="0" w:oddHBand="0" w:evenHBand="1" w:firstRowFirstColumn="0" w:firstRowLastColumn="0" w:lastRowFirstColumn="0" w:lastRowLastColumn="0"/>
        </w:trPr>
        <w:tc>
          <w:tcPr>
            <w:tcW w:w="1560" w:type="dxa"/>
          </w:tcPr>
          <w:p w14:paraId="653CAA07" w14:textId="77777777" w:rsidR="00927350" w:rsidRPr="002C6E58" w:rsidRDefault="00927350" w:rsidP="00927350">
            <w:pPr>
              <w:tabs>
                <w:tab w:val="num" w:pos="1080"/>
              </w:tabs>
              <w:rPr>
                <w:rFonts w:cs="Arial"/>
                <w:lang w:val="en-US"/>
              </w:rPr>
            </w:pPr>
            <w:r w:rsidRPr="002C6E58">
              <w:rPr>
                <w:rFonts w:cs="Arial"/>
                <w:lang w:val="en-US"/>
              </w:rPr>
              <w:t>Ground Base Sign</w:t>
            </w:r>
          </w:p>
        </w:tc>
        <w:tc>
          <w:tcPr>
            <w:tcW w:w="3543" w:type="dxa"/>
          </w:tcPr>
          <w:p w14:paraId="6353B485" w14:textId="77777777" w:rsidR="00927350" w:rsidRPr="002C6E58" w:rsidRDefault="00927350" w:rsidP="00927350">
            <w:pPr>
              <w:tabs>
                <w:tab w:val="num" w:pos="1080"/>
              </w:tabs>
              <w:jc w:val="both"/>
              <w:rPr>
                <w:rFonts w:cs="Arial"/>
                <w:lang w:val="en-US"/>
              </w:rPr>
            </w:pPr>
            <w:r w:rsidRPr="002C6E58">
              <w:rPr>
                <w:rFonts w:cs="Arial"/>
                <w:lang w:val="en-US"/>
              </w:rPr>
              <w:t>To be considered under Alternative Performance Criteria.</w:t>
            </w:r>
          </w:p>
        </w:tc>
        <w:tc>
          <w:tcPr>
            <w:tcW w:w="3686" w:type="dxa"/>
          </w:tcPr>
          <w:p w14:paraId="1D413453" w14:textId="77777777" w:rsidR="00927350" w:rsidRPr="002C6E58" w:rsidRDefault="00927350" w:rsidP="002A3889">
            <w:pPr>
              <w:numPr>
                <w:ilvl w:val="0"/>
                <w:numId w:val="284"/>
              </w:numPr>
              <w:tabs>
                <w:tab w:val="clear" w:pos="360"/>
                <w:tab w:val="num" w:pos="318"/>
              </w:tabs>
              <w:ind w:left="318" w:hanging="318"/>
              <w:jc w:val="both"/>
              <w:rPr>
                <w:rFonts w:cs="Arial"/>
                <w:lang w:val="en-US"/>
              </w:rPr>
            </w:pPr>
            <w:r w:rsidRPr="002C6E58">
              <w:rPr>
                <w:rFonts w:cs="Arial"/>
                <w:lang w:val="en-US"/>
              </w:rPr>
              <w:t>Maximum height above ground 2400mm.</w:t>
            </w:r>
          </w:p>
          <w:p w14:paraId="69811E1B" w14:textId="77777777" w:rsidR="00927350" w:rsidRPr="002C6E58" w:rsidRDefault="00927350" w:rsidP="002A3889">
            <w:pPr>
              <w:numPr>
                <w:ilvl w:val="0"/>
                <w:numId w:val="284"/>
              </w:numPr>
              <w:tabs>
                <w:tab w:val="clear" w:pos="360"/>
                <w:tab w:val="num" w:pos="318"/>
              </w:tabs>
              <w:ind w:left="318" w:hanging="318"/>
              <w:jc w:val="both"/>
              <w:rPr>
                <w:rFonts w:cs="Arial"/>
                <w:lang w:val="en-US"/>
              </w:rPr>
            </w:pPr>
            <w:r w:rsidRPr="002C6E58">
              <w:rPr>
                <w:rFonts w:cs="Arial"/>
                <w:lang w:val="en-US"/>
              </w:rPr>
              <w:t>Maximum area of each face 2.5m².</w:t>
            </w:r>
          </w:p>
          <w:p w14:paraId="196CD65D" w14:textId="77777777" w:rsidR="00927350" w:rsidRPr="002C6E58" w:rsidRDefault="00927350" w:rsidP="002A3889">
            <w:pPr>
              <w:numPr>
                <w:ilvl w:val="0"/>
                <w:numId w:val="284"/>
              </w:numPr>
              <w:tabs>
                <w:tab w:val="clear" w:pos="360"/>
                <w:tab w:val="num" w:pos="318"/>
              </w:tabs>
              <w:ind w:left="318" w:hanging="318"/>
              <w:jc w:val="both"/>
              <w:rPr>
                <w:rFonts w:cs="Arial"/>
                <w:lang w:val="en-US"/>
              </w:rPr>
            </w:pPr>
            <w:r w:rsidRPr="002C6E58">
              <w:rPr>
                <w:rFonts w:cs="Arial"/>
                <w:lang w:val="en-US"/>
              </w:rPr>
              <w:t>The sign shall not encroach on any road or other public reservation.</w:t>
            </w:r>
          </w:p>
          <w:p w14:paraId="7F687E7B" w14:textId="77777777" w:rsidR="00927350" w:rsidRPr="002C6E58" w:rsidRDefault="00927350" w:rsidP="002A3889">
            <w:pPr>
              <w:numPr>
                <w:ilvl w:val="0"/>
                <w:numId w:val="284"/>
              </w:numPr>
              <w:tabs>
                <w:tab w:val="clear" w:pos="360"/>
                <w:tab w:val="num" w:pos="318"/>
              </w:tabs>
              <w:ind w:left="318" w:hanging="318"/>
              <w:jc w:val="both"/>
              <w:rPr>
                <w:rFonts w:cs="Arial"/>
                <w:lang w:val="en-US"/>
              </w:rPr>
            </w:pPr>
            <w:r w:rsidRPr="002C6E58">
              <w:rPr>
                <w:rFonts w:cs="Arial"/>
                <w:lang w:val="en-US"/>
              </w:rPr>
              <w:t>May be externally illuminated if part of an approved floodlighting regime.</w:t>
            </w:r>
          </w:p>
        </w:tc>
      </w:tr>
      <w:tr w:rsidR="00927350" w:rsidRPr="002C6E58" w14:paraId="2B918CB7" w14:textId="77777777" w:rsidTr="001400A8">
        <w:tblPrEx>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Pr>
        <w:tc>
          <w:tcPr>
            <w:tcW w:w="1560" w:type="dxa"/>
          </w:tcPr>
          <w:p w14:paraId="4DD9B2D6" w14:textId="77777777" w:rsidR="00927350" w:rsidRPr="002C6E58" w:rsidRDefault="00927350" w:rsidP="00927350">
            <w:pPr>
              <w:tabs>
                <w:tab w:val="num" w:pos="1080"/>
              </w:tabs>
              <w:jc w:val="both"/>
              <w:rPr>
                <w:rFonts w:cs="Arial"/>
                <w:lang w:val="en-US"/>
              </w:rPr>
            </w:pPr>
            <w:r w:rsidRPr="002C6E58">
              <w:rPr>
                <w:rFonts w:cs="Arial"/>
                <w:lang w:val="en-US"/>
              </w:rPr>
              <w:lastRenderedPageBreak/>
              <w:t>Flag Sign</w:t>
            </w:r>
          </w:p>
        </w:tc>
        <w:tc>
          <w:tcPr>
            <w:tcW w:w="3543" w:type="dxa"/>
          </w:tcPr>
          <w:p w14:paraId="33AEA8FD" w14:textId="77777777" w:rsidR="00927350" w:rsidRPr="002C6E58" w:rsidRDefault="00927350" w:rsidP="00927350">
            <w:pPr>
              <w:tabs>
                <w:tab w:val="num" w:pos="1080"/>
              </w:tabs>
              <w:jc w:val="both"/>
              <w:rPr>
                <w:rFonts w:cs="Arial"/>
                <w:lang w:val="en-US"/>
              </w:rPr>
            </w:pPr>
            <w:r w:rsidRPr="002C6E58">
              <w:rPr>
                <w:rFonts w:cs="Arial"/>
                <w:lang w:val="en-US"/>
              </w:rPr>
              <w:t>Exempt – subject to meeting the conditions in Clause 5</w:t>
            </w:r>
          </w:p>
        </w:tc>
        <w:tc>
          <w:tcPr>
            <w:tcW w:w="3686" w:type="dxa"/>
          </w:tcPr>
          <w:p w14:paraId="4E95C54E" w14:textId="77777777" w:rsidR="00927350" w:rsidRPr="002C6E58" w:rsidRDefault="00927350" w:rsidP="002A3889">
            <w:pPr>
              <w:numPr>
                <w:ilvl w:val="0"/>
                <w:numId w:val="285"/>
              </w:numPr>
              <w:tabs>
                <w:tab w:val="clear" w:pos="360"/>
                <w:tab w:val="num" w:pos="318"/>
              </w:tabs>
              <w:ind w:left="318" w:hanging="318"/>
              <w:jc w:val="both"/>
              <w:rPr>
                <w:rFonts w:cs="Arial"/>
                <w:lang w:val="en-US"/>
              </w:rPr>
            </w:pPr>
            <w:r w:rsidRPr="002C6E58">
              <w:rPr>
                <w:rFonts w:cs="Arial"/>
                <w:lang w:val="en-US"/>
              </w:rPr>
              <w:t>Maximum dimensions 1600mm x 900mm.</w:t>
            </w:r>
          </w:p>
          <w:p w14:paraId="62BF218B" w14:textId="77777777" w:rsidR="00927350" w:rsidRPr="002C6E58" w:rsidRDefault="00927350" w:rsidP="002A3889">
            <w:pPr>
              <w:numPr>
                <w:ilvl w:val="0"/>
                <w:numId w:val="285"/>
              </w:numPr>
              <w:tabs>
                <w:tab w:val="clear" w:pos="360"/>
                <w:tab w:val="num" w:pos="318"/>
              </w:tabs>
              <w:ind w:left="318" w:hanging="318"/>
              <w:jc w:val="both"/>
              <w:rPr>
                <w:rFonts w:cs="Arial"/>
                <w:lang w:val="en-US"/>
              </w:rPr>
            </w:pPr>
            <w:r w:rsidRPr="002C6E58">
              <w:rPr>
                <w:rFonts w:cs="Arial"/>
                <w:lang w:val="en-US"/>
              </w:rPr>
              <w:t>Restricted to company logos.</w:t>
            </w:r>
          </w:p>
          <w:p w14:paraId="5976B407" w14:textId="77777777" w:rsidR="00927350" w:rsidRPr="002C6E58" w:rsidRDefault="00927350" w:rsidP="002A3889">
            <w:pPr>
              <w:numPr>
                <w:ilvl w:val="0"/>
                <w:numId w:val="285"/>
              </w:numPr>
              <w:tabs>
                <w:tab w:val="clear" w:pos="360"/>
                <w:tab w:val="num" w:pos="318"/>
              </w:tabs>
              <w:ind w:left="318" w:hanging="318"/>
              <w:jc w:val="both"/>
              <w:rPr>
                <w:rFonts w:cs="Arial"/>
                <w:lang w:val="en-US"/>
              </w:rPr>
            </w:pPr>
            <w:r w:rsidRPr="002C6E58">
              <w:rPr>
                <w:rFonts w:cs="Arial"/>
                <w:lang w:val="en-US"/>
              </w:rPr>
              <w:t>No display of products or proprietary items.</w:t>
            </w:r>
          </w:p>
          <w:p w14:paraId="39E544EA" w14:textId="77777777" w:rsidR="00927350" w:rsidRPr="002C6E58" w:rsidRDefault="00927350" w:rsidP="002A3889">
            <w:pPr>
              <w:numPr>
                <w:ilvl w:val="0"/>
                <w:numId w:val="285"/>
              </w:numPr>
              <w:tabs>
                <w:tab w:val="clear" w:pos="360"/>
                <w:tab w:val="num" w:pos="318"/>
              </w:tabs>
              <w:ind w:left="318" w:hanging="318"/>
              <w:jc w:val="both"/>
              <w:rPr>
                <w:rFonts w:cs="Arial"/>
                <w:lang w:val="en-US"/>
              </w:rPr>
            </w:pPr>
            <w:r w:rsidRPr="002C6E58">
              <w:rPr>
                <w:rFonts w:cs="Arial"/>
                <w:lang w:val="en-US"/>
              </w:rPr>
              <w:t xml:space="preserve">No fluorescent or iridescent </w:t>
            </w:r>
            <w:proofErr w:type="spellStart"/>
            <w:r w:rsidRPr="002C6E58">
              <w:rPr>
                <w:rFonts w:cs="Arial"/>
                <w:lang w:val="en-US"/>
              </w:rPr>
              <w:t>colours</w:t>
            </w:r>
            <w:proofErr w:type="spellEnd"/>
            <w:r w:rsidRPr="002C6E58">
              <w:rPr>
                <w:rFonts w:cs="Arial"/>
                <w:lang w:val="en-US"/>
              </w:rPr>
              <w:t>.</w:t>
            </w:r>
          </w:p>
        </w:tc>
      </w:tr>
      <w:tr w:rsidR="00927350" w:rsidRPr="002C6E58" w14:paraId="2E92D807" w14:textId="77777777" w:rsidTr="001400A8">
        <w:tblPrEx>
          <w:tblLook w:val="0000" w:firstRow="0" w:lastRow="0" w:firstColumn="0" w:lastColumn="0" w:noHBand="0" w:noVBand="0"/>
        </w:tblPrEx>
        <w:trPr>
          <w:cnfStyle w:val="000000010000" w:firstRow="0" w:lastRow="0" w:firstColumn="0" w:lastColumn="0" w:oddVBand="0" w:evenVBand="0" w:oddHBand="0" w:evenHBand="1" w:firstRowFirstColumn="0" w:firstRowLastColumn="0" w:lastRowFirstColumn="0" w:lastRowLastColumn="0"/>
        </w:trPr>
        <w:tc>
          <w:tcPr>
            <w:tcW w:w="1560" w:type="dxa"/>
          </w:tcPr>
          <w:p w14:paraId="09D01BCE" w14:textId="77777777" w:rsidR="00927350" w:rsidRPr="002C6E58" w:rsidRDefault="00927350" w:rsidP="00927350">
            <w:pPr>
              <w:tabs>
                <w:tab w:val="num" w:pos="1080"/>
              </w:tabs>
              <w:jc w:val="both"/>
              <w:rPr>
                <w:rFonts w:cs="Arial"/>
                <w:lang w:val="en-US"/>
              </w:rPr>
            </w:pPr>
            <w:r w:rsidRPr="002C6E58">
              <w:rPr>
                <w:rFonts w:cs="Arial"/>
                <w:lang w:val="en-US"/>
              </w:rPr>
              <w:t>Horizontal Projecting Wall Sign</w:t>
            </w:r>
          </w:p>
        </w:tc>
        <w:tc>
          <w:tcPr>
            <w:tcW w:w="3543" w:type="dxa"/>
          </w:tcPr>
          <w:p w14:paraId="0FC760B7" w14:textId="77777777" w:rsidR="00927350" w:rsidRPr="002C6E58" w:rsidRDefault="00927350" w:rsidP="00927350">
            <w:pPr>
              <w:tabs>
                <w:tab w:val="num" w:pos="1080"/>
              </w:tabs>
              <w:jc w:val="both"/>
              <w:rPr>
                <w:rFonts w:cs="Arial"/>
                <w:lang w:val="en-US"/>
              </w:rPr>
            </w:pPr>
            <w:r w:rsidRPr="002C6E58">
              <w:rPr>
                <w:rFonts w:cs="Arial"/>
                <w:lang w:val="en-US"/>
              </w:rPr>
              <w:t>As per above and Below Awning Sign.</w:t>
            </w:r>
          </w:p>
        </w:tc>
        <w:tc>
          <w:tcPr>
            <w:tcW w:w="3686" w:type="dxa"/>
          </w:tcPr>
          <w:p w14:paraId="6ED60CC4" w14:textId="77777777" w:rsidR="00927350" w:rsidRPr="002C6E58" w:rsidRDefault="00927350" w:rsidP="002A3889">
            <w:pPr>
              <w:numPr>
                <w:ilvl w:val="0"/>
                <w:numId w:val="286"/>
              </w:numPr>
              <w:tabs>
                <w:tab w:val="clear" w:pos="360"/>
                <w:tab w:val="num" w:pos="318"/>
              </w:tabs>
              <w:ind w:left="318" w:hanging="318"/>
              <w:jc w:val="both"/>
              <w:rPr>
                <w:rFonts w:cs="Arial"/>
                <w:lang w:val="en-US"/>
              </w:rPr>
            </w:pPr>
            <w:r w:rsidRPr="002C6E58">
              <w:rPr>
                <w:rFonts w:cs="Arial"/>
                <w:lang w:val="en-US"/>
              </w:rPr>
              <w:t>Maximum depth 500mm.</w:t>
            </w:r>
          </w:p>
          <w:p w14:paraId="24B4B590" w14:textId="77777777" w:rsidR="00927350" w:rsidRPr="002C6E58" w:rsidRDefault="00927350" w:rsidP="002A3889">
            <w:pPr>
              <w:numPr>
                <w:ilvl w:val="0"/>
                <w:numId w:val="286"/>
              </w:numPr>
              <w:tabs>
                <w:tab w:val="clear" w:pos="360"/>
                <w:tab w:val="num" w:pos="318"/>
              </w:tabs>
              <w:ind w:left="318" w:hanging="318"/>
              <w:jc w:val="both"/>
              <w:rPr>
                <w:rFonts w:cs="Arial"/>
                <w:lang w:val="en-US"/>
              </w:rPr>
            </w:pPr>
            <w:r w:rsidRPr="002C6E58">
              <w:rPr>
                <w:rFonts w:cs="Arial"/>
                <w:lang w:val="en-US"/>
              </w:rPr>
              <w:t>Maximum width 300mm.</w:t>
            </w:r>
          </w:p>
          <w:p w14:paraId="43A6209E" w14:textId="77777777" w:rsidR="00927350" w:rsidRPr="002C6E58" w:rsidRDefault="00927350" w:rsidP="002A3889">
            <w:pPr>
              <w:numPr>
                <w:ilvl w:val="0"/>
                <w:numId w:val="286"/>
              </w:numPr>
              <w:tabs>
                <w:tab w:val="clear" w:pos="360"/>
                <w:tab w:val="num" w:pos="318"/>
              </w:tabs>
              <w:ind w:left="318" w:hanging="318"/>
              <w:jc w:val="both"/>
              <w:rPr>
                <w:rFonts w:cs="Arial"/>
                <w:lang w:val="en-US"/>
              </w:rPr>
            </w:pPr>
            <w:r w:rsidRPr="002C6E58">
              <w:rPr>
                <w:rFonts w:cs="Arial"/>
                <w:lang w:val="en-US"/>
              </w:rPr>
              <w:t>Maximum length 2700mm.</w:t>
            </w:r>
          </w:p>
          <w:p w14:paraId="573E15EE" w14:textId="77777777" w:rsidR="00927350" w:rsidRPr="002C6E58" w:rsidRDefault="00927350" w:rsidP="002A3889">
            <w:pPr>
              <w:numPr>
                <w:ilvl w:val="0"/>
                <w:numId w:val="298"/>
              </w:numPr>
              <w:tabs>
                <w:tab w:val="clear" w:pos="360"/>
                <w:tab w:val="num" w:pos="318"/>
              </w:tabs>
              <w:ind w:left="318" w:hanging="318"/>
              <w:jc w:val="both"/>
              <w:rPr>
                <w:rFonts w:cs="Arial"/>
                <w:lang w:val="en-US"/>
              </w:rPr>
            </w:pPr>
            <w:r w:rsidRPr="002C6E58">
              <w:rPr>
                <w:rFonts w:cs="Arial"/>
                <w:lang w:val="en-US"/>
              </w:rPr>
              <w:t>Limit of one such sign per building/site unless part of an approved signs regime.</w:t>
            </w:r>
          </w:p>
          <w:p w14:paraId="03DC1EB6" w14:textId="77777777" w:rsidR="00927350" w:rsidRPr="002C6E58" w:rsidRDefault="00927350" w:rsidP="002A3889">
            <w:pPr>
              <w:numPr>
                <w:ilvl w:val="0"/>
                <w:numId w:val="286"/>
              </w:numPr>
              <w:tabs>
                <w:tab w:val="clear" w:pos="360"/>
                <w:tab w:val="num" w:pos="318"/>
              </w:tabs>
              <w:ind w:left="318" w:hanging="318"/>
              <w:jc w:val="both"/>
              <w:rPr>
                <w:rFonts w:cs="Arial"/>
                <w:lang w:val="en-US"/>
              </w:rPr>
            </w:pPr>
            <w:r w:rsidRPr="002C6E58">
              <w:rPr>
                <w:rFonts w:cs="Arial"/>
                <w:lang w:val="en-US"/>
              </w:rPr>
              <w:t>Shall not be approved if there is a vertical projecting wall sign on the same site.</w:t>
            </w:r>
          </w:p>
        </w:tc>
      </w:tr>
      <w:tr w:rsidR="00927350" w:rsidRPr="002C6E58" w14:paraId="489E8E7D" w14:textId="77777777" w:rsidTr="001400A8">
        <w:tblPrEx>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Pr>
        <w:tc>
          <w:tcPr>
            <w:tcW w:w="1560" w:type="dxa"/>
          </w:tcPr>
          <w:p w14:paraId="527648F4" w14:textId="77777777" w:rsidR="00927350" w:rsidRPr="002C6E58" w:rsidRDefault="00927350" w:rsidP="00927350">
            <w:pPr>
              <w:tabs>
                <w:tab w:val="num" w:pos="1080"/>
              </w:tabs>
              <w:jc w:val="both"/>
              <w:rPr>
                <w:rFonts w:cs="Arial"/>
              </w:rPr>
            </w:pPr>
            <w:r w:rsidRPr="002C6E58">
              <w:rPr>
                <w:rFonts w:cs="Arial"/>
              </w:rPr>
              <w:t xml:space="preserve">Interpretative Sign </w:t>
            </w:r>
          </w:p>
        </w:tc>
        <w:tc>
          <w:tcPr>
            <w:tcW w:w="3543" w:type="dxa"/>
          </w:tcPr>
          <w:p w14:paraId="1ED98C43" w14:textId="77777777" w:rsidR="00927350" w:rsidRPr="002C6E58" w:rsidRDefault="00927350" w:rsidP="002A3889">
            <w:pPr>
              <w:numPr>
                <w:ilvl w:val="0"/>
                <w:numId w:val="287"/>
              </w:numPr>
              <w:tabs>
                <w:tab w:val="clear" w:pos="360"/>
                <w:tab w:val="num" w:pos="317"/>
              </w:tabs>
              <w:ind w:left="317" w:hanging="317"/>
              <w:rPr>
                <w:rFonts w:cs="Arial"/>
                <w:lang w:val="en-US"/>
              </w:rPr>
            </w:pPr>
            <w:r w:rsidRPr="002C6E58">
              <w:rPr>
                <w:rFonts w:cs="Arial"/>
                <w:lang w:val="en-US"/>
              </w:rPr>
              <w:t>Must form part of an approved coordinated framework for signage.</w:t>
            </w:r>
          </w:p>
          <w:p w14:paraId="1AE6B518" w14:textId="77777777" w:rsidR="00927350" w:rsidRPr="002C6E58" w:rsidRDefault="00927350" w:rsidP="002A3889">
            <w:pPr>
              <w:numPr>
                <w:ilvl w:val="0"/>
                <w:numId w:val="287"/>
              </w:numPr>
              <w:tabs>
                <w:tab w:val="clear" w:pos="360"/>
                <w:tab w:val="num" w:pos="317"/>
              </w:tabs>
              <w:ind w:left="317" w:hanging="317"/>
              <w:rPr>
                <w:rFonts w:cs="Arial"/>
                <w:lang w:val="en-US"/>
              </w:rPr>
            </w:pPr>
            <w:r w:rsidRPr="002C6E58">
              <w:rPr>
                <w:rFonts w:cs="Arial"/>
                <w:lang w:val="en-US"/>
              </w:rPr>
              <w:t>Must be distinctive.</w:t>
            </w:r>
          </w:p>
          <w:p w14:paraId="1FBE0986" w14:textId="77777777" w:rsidR="00927350" w:rsidRPr="002C6E58" w:rsidRDefault="00927350" w:rsidP="002A3889">
            <w:pPr>
              <w:numPr>
                <w:ilvl w:val="0"/>
                <w:numId w:val="287"/>
              </w:numPr>
              <w:tabs>
                <w:tab w:val="clear" w:pos="360"/>
                <w:tab w:val="num" w:pos="317"/>
              </w:tabs>
              <w:ind w:left="317" w:hanging="317"/>
              <w:rPr>
                <w:rFonts w:cs="Arial"/>
                <w:lang w:val="en-US"/>
              </w:rPr>
            </w:pPr>
            <w:r w:rsidRPr="002C6E58">
              <w:rPr>
                <w:rFonts w:cs="Arial"/>
                <w:lang w:val="en-US"/>
              </w:rPr>
              <w:t>Combinations with artistic or sculptural works are encouraged.</w:t>
            </w:r>
          </w:p>
        </w:tc>
        <w:tc>
          <w:tcPr>
            <w:tcW w:w="3686" w:type="dxa"/>
          </w:tcPr>
          <w:p w14:paraId="58802F2C" w14:textId="77777777" w:rsidR="00927350" w:rsidRPr="002C6E58" w:rsidRDefault="00927350" w:rsidP="00927350">
            <w:pPr>
              <w:tabs>
                <w:tab w:val="num" w:pos="318"/>
              </w:tabs>
              <w:jc w:val="both"/>
              <w:rPr>
                <w:rFonts w:cs="Arial"/>
                <w:lang w:val="en-US"/>
              </w:rPr>
            </w:pPr>
            <w:r w:rsidRPr="002C6E58">
              <w:rPr>
                <w:rFonts w:cs="Arial"/>
                <w:lang w:val="en-US"/>
              </w:rPr>
              <w:t>Must form part of an approved coordinated framework for signage.</w:t>
            </w:r>
          </w:p>
        </w:tc>
      </w:tr>
      <w:tr w:rsidR="00927350" w:rsidRPr="002C6E58" w14:paraId="5AF9210B" w14:textId="77777777" w:rsidTr="001400A8">
        <w:tblPrEx>
          <w:tblLook w:val="0000" w:firstRow="0" w:lastRow="0" w:firstColumn="0" w:lastColumn="0" w:noHBand="0" w:noVBand="0"/>
        </w:tblPrEx>
        <w:trPr>
          <w:cnfStyle w:val="000000010000" w:firstRow="0" w:lastRow="0" w:firstColumn="0" w:lastColumn="0" w:oddVBand="0" w:evenVBand="0" w:oddHBand="0" w:evenHBand="1" w:firstRowFirstColumn="0" w:firstRowLastColumn="0" w:lastRowFirstColumn="0" w:lastRowLastColumn="0"/>
        </w:trPr>
        <w:tc>
          <w:tcPr>
            <w:tcW w:w="1560" w:type="dxa"/>
          </w:tcPr>
          <w:p w14:paraId="05CD33A5" w14:textId="77777777" w:rsidR="00927350" w:rsidRPr="002C6E58" w:rsidRDefault="00927350" w:rsidP="00927350">
            <w:pPr>
              <w:rPr>
                <w:rFonts w:cs="Arial"/>
                <w:lang w:val="en-US"/>
              </w:rPr>
            </w:pPr>
            <w:r w:rsidRPr="002C6E58">
              <w:rPr>
                <w:rFonts w:cs="Arial"/>
                <w:lang w:val="en-US"/>
              </w:rPr>
              <w:t>Pole or Pylon Sign</w:t>
            </w:r>
          </w:p>
        </w:tc>
        <w:tc>
          <w:tcPr>
            <w:tcW w:w="3543" w:type="dxa"/>
          </w:tcPr>
          <w:p w14:paraId="2C42F970" w14:textId="77777777" w:rsidR="00927350" w:rsidRPr="002C6E58" w:rsidRDefault="00927350" w:rsidP="00927350">
            <w:pPr>
              <w:jc w:val="both"/>
              <w:rPr>
                <w:rFonts w:cs="Arial"/>
                <w:b/>
                <w:lang w:val="en-US"/>
              </w:rPr>
            </w:pPr>
            <w:r w:rsidRPr="002C6E58">
              <w:rPr>
                <w:rFonts w:cs="Arial"/>
                <w:lang w:val="en-US"/>
              </w:rPr>
              <w:t>To be considered under Alternative Performance Criteria.</w:t>
            </w:r>
          </w:p>
        </w:tc>
        <w:tc>
          <w:tcPr>
            <w:tcW w:w="3686" w:type="dxa"/>
          </w:tcPr>
          <w:p w14:paraId="206815E1" w14:textId="77777777" w:rsidR="00927350" w:rsidRPr="002C6E58" w:rsidRDefault="00927350" w:rsidP="002A3889">
            <w:pPr>
              <w:numPr>
                <w:ilvl w:val="0"/>
                <w:numId w:val="275"/>
              </w:numPr>
              <w:tabs>
                <w:tab w:val="clear" w:pos="360"/>
                <w:tab w:val="num" w:pos="318"/>
              </w:tabs>
              <w:ind w:left="318" w:hanging="318"/>
              <w:jc w:val="both"/>
              <w:rPr>
                <w:rFonts w:cs="Arial"/>
                <w:lang w:val="en-US"/>
              </w:rPr>
            </w:pPr>
            <w:r w:rsidRPr="002C6E58">
              <w:rPr>
                <w:rFonts w:cs="Arial"/>
                <w:lang w:val="en-US"/>
              </w:rPr>
              <w:t>Total height should not exceed 5m.</w:t>
            </w:r>
          </w:p>
          <w:p w14:paraId="541C2A8F" w14:textId="77777777" w:rsidR="00927350" w:rsidRPr="002C6E58" w:rsidRDefault="00927350" w:rsidP="002A3889">
            <w:pPr>
              <w:numPr>
                <w:ilvl w:val="0"/>
                <w:numId w:val="275"/>
              </w:numPr>
              <w:tabs>
                <w:tab w:val="clear" w:pos="360"/>
                <w:tab w:val="num" w:pos="318"/>
              </w:tabs>
              <w:ind w:left="318" w:hanging="318"/>
              <w:jc w:val="both"/>
              <w:rPr>
                <w:rFonts w:cs="Arial"/>
                <w:lang w:val="en-US"/>
              </w:rPr>
            </w:pPr>
            <w:r w:rsidRPr="002C6E58">
              <w:rPr>
                <w:rFonts w:cs="Arial"/>
                <w:lang w:val="en-US"/>
              </w:rPr>
              <w:t>Total area of each sign face should not exceed 6m².</w:t>
            </w:r>
          </w:p>
          <w:p w14:paraId="57999746" w14:textId="77777777" w:rsidR="00927350" w:rsidRPr="002C6E58" w:rsidRDefault="00927350" w:rsidP="002A3889">
            <w:pPr>
              <w:numPr>
                <w:ilvl w:val="0"/>
                <w:numId w:val="275"/>
              </w:numPr>
              <w:tabs>
                <w:tab w:val="clear" w:pos="360"/>
                <w:tab w:val="num" w:pos="318"/>
              </w:tabs>
              <w:ind w:left="318" w:hanging="318"/>
              <w:jc w:val="both"/>
              <w:rPr>
                <w:rFonts w:cs="Arial"/>
                <w:lang w:val="en-US"/>
              </w:rPr>
            </w:pPr>
            <w:r w:rsidRPr="002C6E58">
              <w:rPr>
                <w:rFonts w:cs="Arial"/>
                <w:lang w:val="en-US"/>
              </w:rPr>
              <w:t>Double sided signs should be identical in dimension and both sides should be less than 300mm apart.</w:t>
            </w:r>
          </w:p>
          <w:p w14:paraId="3A4D44C7" w14:textId="77777777" w:rsidR="00927350" w:rsidRPr="002C6E58" w:rsidRDefault="00927350" w:rsidP="002A3889">
            <w:pPr>
              <w:numPr>
                <w:ilvl w:val="0"/>
                <w:numId w:val="275"/>
              </w:numPr>
              <w:tabs>
                <w:tab w:val="clear" w:pos="360"/>
                <w:tab w:val="num" w:pos="318"/>
              </w:tabs>
              <w:ind w:left="318" w:hanging="318"/>
              <w:jc w:val="both"/>
              <w:rPr>
                <w:rFonts w:cs="Arial"/>
                <w:lang w:val="en-US"/>
              </w:rPr>
            </w:pPr>
            <w:r w:rsidRPr="002C6E58">
              <w:rPr>
                <w:rFonts w:cs="Arial"/>
                <w:lang w:val="en-US"/>
              </w:rPr>
              <w:t>Only one pole or pylon sign per site (land parcel).</w:t>
            </w:r>
          </w:p>
          <w:p w14:paraId="415452CC" w14:textId="77777777" w:rsidR="00927350" w:rsidRPr="002C6E58" w:rsidRDefault="00927350" w:rsidP="002A3889">
            <w:pPr>
              <w:numPr>
                <w:ilvl w:val="0"/>
                <w:numId w:val="275"/>
              </w:numPr>
              <w:tabs>
                <w:tab w:val="clear" w:pos="360"/>
                <w:tab w:val="num" w:pos="318"/>
              </w:tabs>
              <w:ind w:left="318" w:hanging="318"/>
              <w:jc w:val="both"/>
              <w:rPr>
                <w:rFonts w:cs="Arial"/>
                <w:lang w:val="en-US"/>
              </w:rPr>
            </w:pPr>
            <w:r w:rsidRPr="002C6E58">
              <w:rPr>
                <w:rFonts w:cs="Arial"/>
                <w:lang w:val="en-US"/>
              </w:rPr>
              <w:t>May be internally illuminated.</w:t>
            </w:r>
          </w:p>
        </w:tc>
      </w:tr>
      <w:tr w:rsidR="002C6E58" w:rsidRPr="002C6E58" w14:paraId="11A051F6" w14:textId="77777777" w:rsidTr="001400A8">
        <w:tblPrEx>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Pr>
        <w:tc>
          <w:tcPr>
            <w:tcW w:w="1560" w:type="dxa"/>
          </w:tcPr>
          <w:p w14:paraId="22758109" w14:textId="77777777" w:rsidR="002C6E58" w:rsidRPr="002C6E58" w:rsidRDefault="002C6E58" w:rsidP="001400A8">
            <w:pPr>
              <w:tabs>
                <w:tab w:val="num" w:pos="1080"/>
              </w:tabs>
              <w:jc w:val="both"/>
              <w:rPr>
                <w:rFonts w:cs="Arial"/>
                <w:lang w:val="en-US"/>
              </w:rPr>
            </w:pPr>
            <w:r w:rsidRPr="002C6E58">
              <w:rPr>
                <w:rFonts w:cs="Arial"/>
                <w:lang w:val="en-US"/>
              </w:rPr>
              <w:t>Real Estate Sign</w:t>
            </w:r>
          </w:p>
        </w:tc>
        <w:tc>
          <w:tcPr>
            <w:tcW w:w="3543" w:type="dxa"/>
          </w:tcPr>
          <w:p w14:paraId="10E3E82D" w14:textId="77777777" w:rsidR="002C6E58" w:rsidRPr="002C6E58" w:rsidRDefault="002C6E58" w:rsidP="001400A8">
            <w:pPr>
              <w:jc w:val="both"/>
              <w:rPr>
                <w:rFonts w:cs="Arial"/>
                <w:lang w:val="en-US"/>
              </w:rPr>
            </w:pPr>
            <w:r w:rsidRPr="002C6E58">
              <w:rPr>
                <w:rFonts w:cs="Arial"/>
                <w:lang w:val="en-US"/>
              </w:rPr>
              <w:t>Exempt – see Clause 5</w:t>
            </w:r>
          </w:p>
        </w:tc>
        <w:tc>
          <w:tcPr>
            <w:tcW w:w="3686" w:type="dxa"/>
          </w:tcPr>
          <w:p w14:paraId="124EB8C7" w14:textId="77777777" w:rsidR="002C6E58" w:rsidRPr="002C6E58" w:rsidRDefault="002C6E58" w:rsidP="001400A8">
            <w:pPr>
              <w:tabs>
                <w:tab w:val="num" w:pos="318"/>
                <w:tab w:val="num" w:pos="1080"/>
              </w:tabs>
              <w:ind w:left="318" w:hanging="318"/>
              <w:jc w:val="both"/>
              <w:rPr>
                <w:rFonts w:cs="Arial"/>
                <w:lang w:val="en-US"/>
              </w:rPr>
            </w:pPr>
            <w:r w:rsidRPr="002C6E58">
              <w:rPr>
                <w:rFonts w:cs="Arial"/>
                <w:lang w:val="en-US"/>
              </w:rPr>
              <w:t>Greater than 5m² area:</w:t>
            </w:r>
          </w:p>
          <w:p w14:paraId="71136722" w14:textId="77777777" w:rsidR="002C6E58" w:rsidRPr="002C6E58" w:rsidRDefault="002C6E58" w:rsidP="002A3889">
            <w:pPr>
              <w:numPr>
                <w:ilvl w:val="0"/>
                <w:numId w:val="288"/>
              </w:numPr>
              <w:tabs>
                <w:tab w:val="clear" w:pos="360"/>
                <w:tab w:val="num" w:pos="318"/>
              </w:tabs>
              <w:ind w:left="318" w:hanging="318"/>
              <w:jc w:val="both"/>
              <w:rPr>
                <w:rFonts w:cs="Arial"/>
                <w:lang w:val="en-US"/>
              </w:rPr>
            </w:pPr>
            <w:r w:rsidRPr="002C6E58">
              <w:rPr>
                <w:rFonts w:cs="Arial"/>
                <w:lang w:val="en-US"/>
              </w:rPr>
              <w:t>Does not have a deleterious effect on the streetscape or on any outlooks or views from adjoining buildings or places.</w:t>
            </w:r>
          </w:p>
          <w:p w14:paraId="10687013" w14:textId="77777777" w:rsidR="002C6E58" w:rsidRPr="002C6E58" w:rsidRDefault="002C6E58" w:rsidP="002A3889">
            <w:pPr>
              <w:numPr>
                <w:ilvl w:val="0"/>
                <w:numId w:val="288"/>
              </w:numPr>
              <w:tabs>
                <w:tab w:val="clear" w:pos="360"/>
                <w:tab w:val="num" w:pos="318"/>
              </w:tabs>
              <w:ind w:left="318" w:hanging="318"/>
              <w:jc w:val="both"/>
              <w:rPr>
                <w:rFonts w:cs="Arial"/>
                <w:lang w:val="en-US"/>
              </w:rPr>
            </w:pPr>
            <w:r w:rsidRPr="002C6E58">
              <w:rPr>
                <w:rFonts w:cs="Arial"/>
                <w:lang w:val="en-US"/>
              </w:rPr>
              <w:t>Does not obscure any windows.</w:t>
            </w:r>
          </w:p>
        </w:tc>
      </w:tr>
      <w:tr w:rsidR="00927350" w:rsidRPr="002C6E58" w14:paraId="2CACDAD9" w14:textId="77777777" w:rsidTr="001400A8">
        <w:tblPrEx>
          <w:tblLook w:val="0000" w:firstRow="0" w:lastRow="0" w:firstColumn="0" w:lastColumn="0" w:noHBand="0" w:noVBand="0"/>
        </w:tblPrEx>
        <w:trPr>
          <w:cnfStyle w:val="000000010000" w:firstRow="0" w:lastRow="0" w:firstColumn="0" w:lastColumn="0" w:oddVBand="0" w:evenVBand="0" w:oddHBand="0" w:evenHBand="1" w:firstRowFirstColumn="0" w:firstRowLastColumn="0" w:lastRowFirstColumn="0" w:lastRowLastColumn="0"/>
        </w:trPr>
        <w:tc>
          <w:tcPr>
            <w:tcW w:w="1560" w:type="dxa"/>
          </w:tcPr>
          <w:p w14:paraId="4E7501AA" w14:textId="77777777" w:rsidR="00927350" w:rsidRPr="002C6E58" w:rsidRDefault="00927350" w:rsidP="00927350">
            <w:pPr>
              <w:tabs>
                <w:tab w:val="num" w:pos="1080"/>
              </w:tabs>
              <w:jc w:val="both"/>
              <w:rPr>
                <w:rFonts w:cs="Arial"/>
                <w:lang w:val="en-US"/>
              </w:rPr>
            </w:pPr>
            <w:r w:rsidRPr="002C6E58">
              <w:rPr>
                <w:rFonts w:cs="Arial"/>
                <w:lang w:val="en-US"/>
              </w:rPr>
              <w:t>Roof Sign</w:t>
            </w:r>
          </w:p>
        </w:tc>
        <w:tc>
          <w:tcPr>
            <w:tcW w:w="3543" w:type="dxa"/>
          </w:tcPr>
          <w:p w14:paraId="79CDB28B" w14:textId="77777777" w:rsidR="00927350" w:rsidRPr="002C6E58" w:rsidRDefault="00927350" w:rsidP="00927350">
            <w:pPr>
              <w:tabs>
                <w:tab w:val="num" w:pos="1080"/>
              </w:tabs>
              <w:jc w:val="both"/>
              <w:rPr>
                <w:rFonts w:cs="Arial"/>
                <w:lang w:val="en-US"/>
              </w:rPr>
            </w:pPr>
            <w:r w:rsidRPr="002C6E58">
              <w:rPr>
                <w:rFonts w:cs="Arial"/>
                <w:lang w:val="en-US"/>
              </w:rPr>
              <w:t>To be considered under Alternative Performance Criteria.</w:t>
            </w:r>
          </w:p>
        </w:tc>
        <w:tc>
          <w:tcPr>
            <w:tcW w:w="3686" w:type="dxa"/>
          </w:tcPr>
          <w:p w14:paraId="63476BE4" w14:textId="77777777" w:rsidR="00927350" w:rsidRPr="002C6E58" w:rsidRDefault="00927350" w:rsidP="002A3889">
            <w:pPr>
              <w:numPr>
                <w:ilvl w:val="0"/>
                <w:numId w:val="289"/>
              </w:numPr>
              <w:tabs>
                <w:tab w:val="clear" w:pos="360"/>
                <w:tab w:val="num" w:pos="318"/>
              </w:tabs>
              <w:ind w:left="318" w:hanging="318"/>
              <w:jc w:val="both"/>
              <w:rPr>
                <w:rFonts w:cs="Arial"/>
                <w:lang w:val="en-US"/>
              </w:rPr>
            </w:pPr>
            <w:r w:rsidRPr="002C6E58">
              <w:rPr>
                <w:rFonts w:cs="Arial"/>
                <w:lang w:val="en-US"/>
              </w:rPr>
              <w:t>Maximum distance between bottom of sign and roof or parapet 300mm.</w:t>
            </w:r>
          </w:p>
          <w:p w14:paraId="4602EB29" w14:textId="77777777" w:rsidR="00927350" w:rsidRPr="002C6E58" w:rsidRDefault="00927350" w:rsidP="002A3889">
            <w:pPr>
              <w:numPr>
                <w:ilvl w:val="0"/>
                <w:numId w:val="289"/>
              </w:numPr>
              <w:tabs>
                <w:tab w:val="clear" w:pos="360"/>
                <w:tab w:val="num" w:pos="318"/>
              </w:tabs>
              <w:ind w:left="318" w:hanging="318"/>
              <w:jc w:val="both"/>
              <w:rPr>
                <w:rFonts w:cs="Arial"/>
                <w:lang w:val="en-US"/>
              </w:rPr>
            </w:pPr>
            <w:r w:rsidRPr="002C6E58">
              <w:rPr>
                <w:rFonts w:cs="Arial"/>
                <w:lang w:val="en-US"/>
              </w:rPr>
              <w:t>Maximum depth 750mm.</w:t>
            </w:r>
          </w:p>
          <w:p w14:paraId="79045BDB" w14:textId="77777777" w:rsidR="00927350" w:rsidRPr="002C6E58" w:rsidRDefault="00927350" w:rsidP="002A3889">
            <w:pPr>
              <w:numPr>
                <w:ilvl w:val="0"/>
                <w:numId w:val="289"/>
              </w:numPr>
              <w:tabs>
                <w:tab w:val="clear" w:pos="360"/>
                <w:tab w:val="num" w:pos="318"/>
              </w:tabs>
              <w:ind w:left="318" w:hanging="318"/>
              <w:jc w:val="both"/>
              <w:rPr>
                <w:rFonts w:cs="Arial"/>
                <w:lang w:val="en-US"/>
              </w:rPr>
            </w:pPr>
            <w:r w:rsidRPr="002C6E58">
              <w:rPr>
                <w:rFonts w:cs="Arial"/>
                <w:lang w:val="en-US"/>
              </w:rPr>
              <w:t>Maximum length 4500mm.</w:t>
            </w:r>
          </w:p>
          <w:p w14:paraId="3744EA34" w14:textId="77777777" w:rsidR="00927350" w:rsidRPr="002C6E58" w:rsidRDefault="00927350" w:rsidP="002A3889">
            <w:pPr>
              <w:numPr>
                <w:ilvl w:val="0"/>
                <w:numId w:val="289"/>
              </w:numPr>
              <w:tabs>
                <w:tab w:val="clear" w:pos="360"/>
                <w:tab w:val="num" w:pos="318"/>
              </w:tabs>
              <w:ind w:left="318" w:hanging="318"/>
              <w:jc w:val="both"/>
              <w:rPr>
                <w:rFonts w:cs="Arial"/>
                <w:lang w:val="en-US"/>
              </w:rPr>
            </w:pPr>
            <w:r w:rsidRPr="002C6E58">
              <w:rPr>
                <w:rFonts w:cs="Arial"/>
                <w:lang w:val="en-US"/>
              </w:rPr>
              <w:t>Message may be on a maximum of two faces.</w:t>
            </w:r>
          </w:p>
          <w:p w14:paraId="69D99A4A" w14:textId="77777777" w:rsidR="00927350" w:rsidRPr="002C6E58" w:rsidRDefault="00927350" w:rsidP="002A3889">
            <w:pPr>
              <w:numPr>
                <w:ilvl w:val="0"/>
                <w:numId w:val="289"/>
              </w:numPr>
              <w:tabs>
                <w:tab w:val="clear" w:pos="360"/>
                <w:tab w:val="num" w:pos="318"/>
              </w:tabs>
              <w:ind w:left="318" w:hanging="318"/>
              <w:jc w:val="both"/>
              <w:rPr>
                <w:rFonts w:cs="Arial"/>
                <w:lang w:val="en-US"/>
              </w:rPr>
            </w:pPr>
            <w:r w:rsidRPr="002C6E58">
              <w:rPr>
                <w:rFonts w:cs="Arial"/>
                <w:lang w:val="en-US"/>
              </w:rPr>
              <w:t>Limit of one Roof Sign per site.</w:t>
            </w:r>
          </w:p>
          <w:p w14:paraId="5C00FB12" w14:textId="77777777" w:rsidR="00927350" w:rsidRPr="002C6E58" w:rsidRDefault="00927350" w:rsidP="002A3889">
            <w:pPr>
              <w:numPr>
                <w:ilvl w:val="0"/>
                <w:numId w:val="289"/>
              </w:numPr>
              <w:tabs>
                <w:tab w:val="clear" w:pos="360"/>
                <w:tab w:val="num" w:pos="318"/>
              </w:tabs>
              <w:ind w:left="318" w:hanging="318"/>
              <w:jc w:val="both"/>
              <w:rPr>
                <w:rFonts w:cs="Arial"/>
                <w:lang w:val="en-US"/>
              </w:rPr>
            </w:pPr>
            <w:r w:rsidRPr="002C6E58">
              <w:rPr>
                <w:rFonts w:cs="Arial"/>
                <w:lang w:val="en-US"/>
              </w:rPr>
              <w:t>May not be illuminated.</w:t>
            </w:r>
          </w:p>
        </w:tc>
      </w:tr>
      <w:tr w:rsidR="00927350" w:rsidRPr="002C6E58" w14:paraId="694EBA7F" w14:textId="77777777" w:rsidTr="001400A8">
        <w:tblPrEx>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Pr>
        <w:tc>
          <w:tcPr>
            <w:tcW w:w="1560" w:type="dxa"/>
          </w:tcPr>
          <w:p w14:paraId="7E549397" w14:textId="77777777" w:rsidR="00927350" w:rsidRPr="002C6E58" w:rsidRDefault="00927350" w:rsidP="00927350">
            <w:pPr>
              <w:tabs>
                <w:tab w:val="num" w:pos="1080"/>
              </w:tabs>
              <w:rPr>
                <w:rFonts w:cs="Arial"/>
                <w:lang w:val="en-US"/>
              </w:rPr>
            </w:pPr>
            <w:r w:rsidRPr="002C6E58">
              <w:rPr>
                <w:rFonts w:cs="Arial"/>
                <w:lang w:val="en-US"/>
              </w:rPr>
              <w:t>Sun Blind Sign</w:t>
            </w:r>
          </w:p>
        </w:tc>
        <w:tc>
          <w:tcPr>
            <w:tcW w:w="3543" w:type="dxa"/>
          </w:tcPr>
          <w:p w14:paraId="0DAF031E" w14:textId="77777777" w:rsidR="00927350" w:rsidRPr="002C6E58" w:rsidRDefault="00927350" w:rsidP="002A3889">
            <w:pPr>
              <w:numPr>
                <w:ilvl w:val="0"/>
                <w:numId w:val="290"/>
              </w:numPr>
              <w:tabs>
                <w:tab w:val="clear" w:pos="360"/>
              </w:tabs>
              <w:ind w:left="317" w:hanging="317"/>
              <w:rPr>
                <w:rFonts w:cs="Arial"/>
                <w:lang w:val="en-US"/>
              </w:rPr>
            </w:pPr>
            <w:r w:rsidRPr="002C6E58">
              <w:rPr>
                <w:rFonts w:cs="Arial"/>
                <w:lang w:val="en-US"/>
              </w:rPr>
              <w:t>Minimum clearance above ground level 2500mm.</w:t>
            </w:r>
          </w:p>
          <w:p w14:paraId="0E1741BC" w14:textId="77777777" w:rsidR="00927350" w:rsidRPr="002C6E58" w:rsidRDefault="00927350" w:rsidP="002A3889">
            <w:pPr>
              <w:numPr>
                <w:ilvl w:val="0"/>
                <w:numId w:val="290"/>
              </w:numPr>
              <w:tabs>
                <w:tab w:val="clear" w:pos="360"/>
              </w:tabs>
              <w:ind w:left="317" w:hanging="317"/>
              <w:rPr>
                <w:rFonts w:cs="Arial"/>
                <w:lang w:val="en-US"/>
              </w:rPr>
            </w:pPr>
            <w:r w:rsidRPr="002C6E58">
              <w:rPr>
                <w:rFonts w:cs="Arial"/>
                <w:lang w:val="en-US"/>
              </w:rPr>
              <w:t xml:space="preserve">Shall not project beyond a point within 450mm of the </w:t>
            </w:r>
            <w:proofErr w:type="spellStart"/>
            <w:r w:rsidRPr="002C6E58">
              <w:rPr>
                <w:rFonts w:cs="Arial"/>
                <w:lang w:val="en-US"/>
              </w:rPr>
              <w:t>kerb</w:t>
            </w:r>
            <w:proofErr w:type="spellEnd"/>
            <w:r w:rsidRPr="002C6E58">
              <w:rPr>
                <w:rFonts w:cs="Arial"/>
                <w:lang w:val="en-US"/>
              </w:rPr>
              <w:t xml:space="preserve"> alignment.</w:t>
            </w:r>
          </w:p>
          <w:p w14:paraId="2D4186BD" w14:textId="77777777" w:rsidR="00927350" w:rsidRPr="002C6E58" w:rsidRDefault="00927350" w:rsidP="002A3889">
            <w:pPr>
              <w:numPr>
                <w:ilvl w:val="0"/>
                <w:numId w:val="290"/>
              </w:numPr>
              <w:tabs>
                <w:tab w:val="clear" w:pos="360"/>
              </w:tabs>
              <w:ind w:left="317" w:hanging="317"/>
              <w:rPr>
                <w:rFonts w:cs="Arial"/>
                <w:lang w:val="en-US"/>
              </w:rPr>
            </w:pPr>
            <w:r w:rsidRPr="002C6E58">
              <w:rPr>
                <w:rFonts w:cs="Arial"/>
                <w:lang w:val="en-US"/>
              </w:rPr>
              <w:t>May not be illuminated.</w:t>
            </w:r>
          </w:p>
        </w:tc>
        <w:tc>
          <w:tcPr>
            <w:tcW w:w="3686" w:type="dxa"/>
          </w:tcPr>
          <w:p w14:paraId="45DAD867" w14:textId="77777777" w:rsidR="00927350" w:rsidRPr="002C6E58" w:rsidRDefault="00927350" w:rsidP="002A3889">
            <w:pPr>
              <w:numPr>
                <w:ilvl w:val="0"/>
                <w:numId w:val="290"/>
              </w:numPr>
              <w:tabs>
                <w:tab w:val="clear" w:pos="360"/>
                <w:tab w:val="num" w:pos="318"/>
              </w:tabs>
              <w:ind w:left="318" w:hanging="318"/>
              <w:jc w:val="both"/>
              <w:rPr>
                <w:rFonts w:cs="Arial"/>
                <w:lang w:val="en-US"/>
              </w:rPr>
            </w:pPr>
            <w:r w:rsidRPr="002C6E58">
              <w:rPr>
                <w:rFonts w:cs="Arial"/>
                <w:lang w:val="en-US"/>
              </w:rPr>
              <w:t>Minimum clearance above ground level 2400mm.</w:t>
            </w:r>
          </w:p>
          <w:p w14:paraId="77ACB5CA" w14:textId="77777777" w:rsidR="00927350" w:rsidRPr="002C6E58" w:rsidRDefault="00927350" w:rsidP="002A3889">
            <w:pPr>
              <w:numPr>
                <w:ilvl w:val="0"/>
                <w:numId w:val="290"/>
              </w:numPr>
              <w:tabs>
                <w:tab w:val="clear" w:pos="360"/>
                <w:tab w:val="num" w:pos="318"/>
              </w:tabs>
              <w:ind w:left="318" w:hanging="318"/>
              <w:jc w:val="both"/>
              <w:rPr>
                <w:rFonts w:cs="Arial"/>
                <w:lang w:val="en-US"/>
              </w:rPr>
            </w:pPr>
            <w:r w:rsidRPr="002C6E58">
              <w:rPr>
                <w:rFonts w:cs="Arial"/>
                <w:lang w:val="en-US"/>
              </w:rPr>
              <w:t xml:space="preserve">Shall not project beyond a point within 450mm. of the </w:t>
            </w:r>
            <w:proofErr w:type="spellStart"/>
            <w:r w:rsidRPr="002C6E58">
              <w:rPr>
                <w:rFonts w:cs="Arial"/>
                <w:lang w:val="en-US"/>
              </w:rPr>
              <w:t>kerb</w:t>
            </w:r>
            <w:proofErr w:type="spellEnd"/>
            <w:r w:rsidRPr="002C6E58">
              <w:rPr>
                <w:rFonts w:cs="Arial"/>
                <w:lang w:val="en-US"/>
              </w:rPr>
              <w:t xml:space="preserve"> alignment.</w:t>
            </w:r>
          </w:p>
          <w:p w14:paraId="37C70670" w14:textId="77777777" w:rsidR="00927350" w:rsidRPr="002C6E58" w:rsidRDefault="00927350" w:rsidP="002A3889">
            <w:pPr>
              <w:numPr>
                <w:ilvl w:val="0"/>
                <w:numId w:val="290"/>
              </w:numPr>
              <w:tabs>
                <w:tab w:val="clear" w:pos="360"/>
                <w:tab w:val="num" w:pos="318"/>
              </w:tabs>
              <w:ind w:left="318" w:hanging="318"/>
              <w:jc w:val="both"/>
              <w:rPr>
                <w:rFonts w:cs="Arial"/>
                <w:lang w:val="en-US"/>
              </w:rPr>
            </w:pPr>
            <w:r w:rsidRPr="002C6E58">
              <w:rPr>
                <w:rFonts w:cs="Arial"/>
                <w:lang w:val="en-US"/>
              </w:rPr>
              <w:t>May be illuminated.</w:t>
            </w:r>
          </w:p>
        </w:tc>
      </w:tr>
      <w:tr w:rsidR="00927350" w:rsidRPr="002C6E58" w14:paraId="0E416806" w14:textId="77777777" w:rsidTr="001400A8">
        <w:tblPrEx>
          <w:tblLook w:val="0000" w:firstRow="0" w:lastRow="0" w:firstColumn="0" w:lastColumn="0" w:noHBand="0" w:noVBand="0"/>
        </w:tblPrEx>
        <w:trPr>
          <w:cnfStyle w:val="000000010000" w:firstRow="0" w:lastRow="0" w:firstColumn="0" w:lastColumn="0" w:oddVBand="0" w:evenVBand="0" w:oddHBand="0" w:evenHBand="1" w:firstRowFirstColumn="0" w:firstRowLastColumn="0" w:lastRowFirstColumn="0" w:lastRowLastColumn="0"/>
        </w:trPr>
        <w:tc>
          <w:tcPr>
            <w:tcW w:w="1560" w:type="dxa"/>
          </w:tcPr>
          <w:p w14:paraId="0C5582BD" w14:textId="77777777" w:rsidR="00927350" w:rsidRPr="002C6E58" w:rsidRDefault="00927350" w:rsidP="00927350">
            <w:pPr>
              <w:tabs>
                <w:tab w:val="num" w:pos="1080"/>
              </w:tabs>
              <w:jc w:val="both"/>
              <w:rPr>
                <w:rFonts w:cs="Arial"/>
                <w:lang w:val="en-US"/>
              </w:rPr>
            </w:pPr>
            <w:r w:rsidRPr="002C6E58">
              <w:rPr>
                <w:rFonts w:cs="Arial"/>
                <w:lang w:val="en-US"/>
              </w:rPr>
              <w:t>Temporary Sign</w:t>
            </w:r>
          </w:p>
        </w:tc>
        <w:tc>
          <w:tcPr>
            <w:tcW w:w="3543" w:type="dxa"/>
          </w:tcPr>
          <w:p w14:paraId="47855604" w14:textId="77777777" w:rsidR="00927350" w:rsidRPr="002C6E58" w:rsidRDefault="00927350" w:rsidP="002A3889">
            <w:pPr>
              <w:numPr>
                <w:ilvl w:val="0"/>
                <w:numId w:val="292"/>
              </w:numPr>
              <w:tabs>
                <w:tab w:val="clear" w:pos="360"/>
              </w:tabs>
              <w:ind w:left="317" w:hanging="317"/>
              <w:jc w:val="both"/>
              <w:rPr>
                <w:rFonts w:cs="Arial"/>
                <w:lang w:val="en-US"/>
              </w:rPr>
            </w:pPr>
            <w:r w:rsidRPr="002C6E58">
              <w:rPr>
                <w:rFonts w:cs="Arial"/>
                <w:lang w:val="en-US"/>
              </w:rPr>
              <w:t>Max period of 2 months.</w:t>
            </w:r>
          </w:p>
          <w:p w14:paraId="6141AA9F" w14:textId="77777777" w:rsidR="00927350" w:rsidRPr="002C6E58" w:rsidRDefault="00927350" w:rsidP="002A3889">
            <w:pPr>
              <w:numPr>
                <w:ilvl w:val="0"/>
                <w:numId w:val="292"/>
              </w:numPr>
              <w:tabs>
                <w:tab w:val="clear" w:pos="360"/>
              </w:tabs>
              <w:ind w:left="317" w:hanging="317"/>
              <w:rPr>
                <w:rFonts w:cs="Arial"/>
                <w:lang w:val="en-US"/>
              </w:rPr>
            </w:pPr>
            <w:r w:rsidRPr="002C6E58">
              <w:rPr>
                <w:rFonts w:cs="Arial"/>
                <w:lang w:val="en-US"/>
              </w:rPr>
              <w:t>Max dimensions 400mm x 400mm.</w:t>
            </w:r>
          </w:p>
        </w:tc>
        <w:tc>
          <w:tcPr>
            <w:tcW w:w="3686" w:type="dxa"/>
          </w:tcPr>
          <w:p w14:paraId="2F3B876E" w14:textId="77777777" w:rsidR="00927350" w:rsidRPr="002C6E58" w:rsidRDefault="00927350" w:rsidP="002A3889">
            <w:pPr>
              <w:numPr>
                <w:ilvl w:val="0"/>
                <w:numId w:val="291"/>
              </w:numPr>
              <w:tabs>
                <w:tab w:val="clear" w:pos="360"/>
                <w:tab w:val="num" w:pos="318"/>
              </w:tabs>
              <w:ind w:left="318" w:hanging="318"/>
              <w:jc w:val="both"/>
              <w:rPr>
                <w:rFonts w:cs="Arial"/>
                <w:lang w:val="en-US"/>
              </w:rPr>
            </w:pPr>
            <w:r w:rsidRPr="002C6E58">
              <w:rPr>
                <w:rFonts w:cs="Arial"/>
                <w:lang w:val="en-US"/>
              </w:rPr>
              <w:t>Greater than 2 months and less than 4 months.</w:t>
            </w:r>
          </w:p>
          <w:p w14:paraId="19C74F7F" w14:textId="77777777" w:rsidR="00927350" w:rsidRPr="002C6E58" w:rsidRDefault="00927350" w:rsidP="002A3889">
            <w:pPr>
              <w:numPr>
                <w:ilvl w:val="0"/>
                <w:numId w:val="291"/>
              </w:numPr>
              <w:tabs>
                <w:tab w:val="clear" w:pos="360"/>
                <w:tab w:val="num" w:pos="318"/>
              </w:tabs>
              <w:ind w:left="318" w:hanging="318"/>
              <w:jc w:val="both"/>
              <w:rPr>
                <w:rFonts w:cs="Arial"/>
                <w:lang w:val="en-US"/>
              </w:rPr>
            </w:pPr>
            <w:r w:rsidRPr="002C6E58">
              <w:rPr>
                <w:rFonts w:cs="Arial"/>
                <w:lang w:val="en-US"/>
              </w:rPr>
              <w:t>Greater dimensions than 400mm x 400mm.</w:t>
            </w:r>
          </w:p>
        </w:tc>
      </w:tr>
      <w:tr w:rsidR="00927350" w:rsidRPr="002C6E58" w14:paraId="7A9211DC" w14:textId="77777777" w:rsidTr="001400A8">
        <w:tblPrEx>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Pr>
        <w:tc>
          <w:tcPr>
            <w:tcW w:w="1560" w:type="dxa"/>
          </w:tcPr>
          <w:p w14:paraId="7E405A16" w14:textId="77777777" w:rsidR="00927350" w:rsidRPr="002C6E58" w:rsidRDefault="00927350" w:rsidP="00927350">
            <w:pPr>
              <w:tabs>
                <w:tab w:val="num" w:pos="1080"/>
              </w:tabs>
              <w:jc w:val="both"/>
              <w:rPr>
                <w:rFonts w:cs="Arial"/>
                <w:lang w:val="en-US"/>
              </w:rPr>
            </w:pPr>
            <w:r w:rsidRPr="002C6E58">
              <w:rPr>
                <w:rFonts w:cs="Arial"/>
                <w:lang w:val="en-US"/>
              </w:rPr>
              <w:lastRenderedPageBreak/>
              <w:t>Tethered Sign (Balloons and Blimps)</w:t>
            </w:r>
          </w:p>
        </w:tc>
        <w:tc>
          <w:tcPr>
            <w:tcW w:w="3543" w:type="dxa"/>
          </w:tcPr>
          <w:p w14:paraId="05CCE8C5" w14:textId="77777777" w:rsidR="00927350" w:rsidRPr="002C6E58" w:rsidRDefault="00927350" w:rsidP="00927350">
            <w:pPr>
              <w:tabs>
                <w:tab w:val="num" w:pos="1080"/>
              </w:tabs>
              <w:rPr>
                <w:rFonts w:cs="Arial"/>
                <w:lang w:val="en-US"/>
              </w:rPr>
            </w:pPr>
            <w:r w:rsidRPr="002C6E58">
              <w:rPr>
                <w:rFonts w:cs="Arial"/>
                <w:lang w:val="en-US"/>
              </w:rPr>
              <w:t>To be considered under Alternative Performance Criteria.</w:t>
            </w:r>
          </w:p>
        </w:tc>
        <w:tc>
          <w:tcPr>
            <w:tcW w:w="3686" w:type="dxa"/>
          </w:tcPr>
          <w:p w14:paraId="210A7AE6" w14:textId="77777777" w:rsidR="00927350" w:rsidRPr="002C6E58" w:rsidRDefault="00927350" w:rsidP="002A3889">
            <w:pPr>
              <w:numPr>
                <w:ilvl w:val="0"/>
                <w:numId w:val="293"/>
              </w:numPr>
              <w:tabs>
                <w:tab w:val="clear" w:pos="360"/>
                <w:tab w:val="num" w:pos="318"/>
              </w:tabs>
              <w:ind w:left="318" w:hanging="318"/>
              <w:jc w:val="both"/>
              <w:rPr>
                <w:rFonts w:cs="Arial"/>
                <w:lang w:val="en-US"/>
              </w:rPr>
            </w:pPr>
            <w:r w:rsidRPr="002C6E58">
              <w:rPr>
                <w:rFonts w:cs="Arial"/>
                <w:lang w:val="en-US"/>
              </w:rPr>
              <w:t>Located wholly within boundaries of subject lot.</w:t>
            </w:r>
          </w:p>
          <w:p w14:paraId="2A199F46" w14:textId="77777777" w:rsidR="00927350" w:rsidRPr="002C6E58" w:rsidRDefault="00927350" w:rsidP="002A3889">
            <w:pPr>
              <w:numPr>
                <w:ilvl w:val="0"/>
                <w:numId w:val="293"/>
              </w:numPr>
              <w:tabs>
                <w:tab w:val="clear" w:pos="360"/>
                <w:tab w:val="num" w:pos="318"/>
              </w:tabs>
              <w:ind w:left="318" w:hanging="318"/>
              <w:jc w:val="both"/>
              <w:rPr>
                <w:rFonts w:cs="Arial"/>
                <w:lang w:val="en-US"/>
              </w:rPr>
            </w:pPr>
            <w:r w:rsidRPr="002C6E58">
              <w:rPr>
                <w:rFonts w:cs="Arial"/>
                <w:lang w:val="en-US"/>
              </w:rPr>
              <w:t>Not be less than 2.7m or greater than 8m from ground level.</w:t>
            </w:r>
          </w:p>
          <w:p w14:paraId="3400127A" w14:textId="77777777" w:rsidR="00927350" w:rsidRPr="002C6E58" w:rsidRDefault="00927350" w:rsidP="002A3889">
            <w:pPr>
              <w:numPr>
                <w:ilvl w:val="0"/>
                <w:numId w:val="293"/>
              </w:numPr>
              <w:tabs>
                <w:tab w:val="clear" w:pos="360"/>
                <w:tab w:val="num" w:pos="318"/>
              </w:tabs>
              <w:ind w:left="318" w:hanging="318"/>
              <w:jc w:val="both"/>
              <w:rPr>
                <w:rFonts w:cs="Arial"/>
                <w:lang w:val="en-US"/>
              </w:rPr>
            </w:pPr>
            <w:r w:rsidRPr="002C6E58">
              <w:rPr>
                <w:rFonts w:cs="Arial"/>
                <w:lang w:val="en-US"/>
              </w:rPr>
              <w:t>Not be within 10m of a pylon sign or service structure.</w:t>
            </w:r>
          </w:p>
          <w:p w14:paraId="01D1A831" w14:textId="77777777" w:rsidR="00927350" w:rsidRPr="002C6E58" w:rsidRDefault="00927350" w:rsidP="002A3889">
            <w:pPr>
              <w:numPr>
                <w:ilvl w:val="0"/>
                <w:numId w:val="293"/>
              </w:numPr>
              <w:tabs>
                <w:tab w:val="clear" w:pos="360"/>
                <w:tab w:val="num" w:pos="318"/>
              </w:tabs>
              <w:ind w:left="318" w:hanging="318"/>
              <w:jc w:val="both"/>
              <w:rPr>
                <w:rFonts w:cs="Arial"/>
                <w:lang w:val="en-US"/>
              </w:rPr>
            </w:pPr>
            <w:r w:rsidRPr="002C6E58">
              <w:rPr>
                <w:rFonts w:cs="Arial"/>
                <w:lang w:val="en-US"/>
              </w:rPr>
              <w:t>Not exceed 7m in diameter or 9m in height.</w:t>
            </w:r>
          </w:p>
          <w:p w14:paraId="632E196B" w14:textId="77777777" w:rsidR="00927350" w:rsidRPr="002C6E58" w:rsidRDefault="00927350" w:rsidP="002A3889">
            <w:pPr>
              <w:numPr>
                <w:ilvl w:val="0"/>
                <w:numId w:val="293"/>
              </w:numPr>
              <w:tabs>
                <w:tab w:val="clear" w:pos="360"/>
                <w:tab w:val="num" w:pos="318"/>
              </w:tabs>
              <w:ind w:left="318" w:hanging="318"/>
              <w:jc w:val="both"/>
              <w:rPr>
                <w:rFonts w:cs="Arial"/>
                <w:lang w:val="en-US"/>
              </w:rPr>
            </w:pPr>
            <w:r w:rsidRPr="002C6E58">
              <w:rPr>
                <w:rFonts w:cs="Arial"/>
                <w:lang w:val="en-US"/>
              </w:rPr>
              <w:t>Not be displayed for more than 30 days in aggregate for any one calendar year.</w:t>
            </w:r>
          </w:p>
        </w:tc>
      </w:tr>
      <w:tr w:rsidR="00927350" w:rsidRPr="002C6E58" w14:paraId="73685CBA" w14:textId="77777777" w:rsidTr="001400A8">
        <w:tblPrEx>
          <w:tblLook w:val="0000" w:firstRow="0" w:lastRow="0" w:firstColumn="0" w:lastColumn="0" w:noHBand="0" w:noVBand="0"/>
        </w:tblPrEx>
        <w:trPr>
          <w:cnfStyle w:val="000000010000" w:firstRow="0" w:lastRow="0" w:firstColumn="0" w:lastColumn="0" w:oddVBand="0" w:evenVBand="0" w:oddHBand="0" w:evenHBand="1" w:firstRowFirstColumn="0" w:firstRowLastColumn="0" w:lastRowFirstColumn="0" w:lastRowLastColumn="0"/>
        </w:trPr>
        <w:tc>
          <w:tcPr>
            <w:tcW w:w="1560" w:type="dxa"/>
          </w:tcPr>
          <w:p w14:paraId="50C41CA8" w14:textId="77777777" w:rsidR="00927350" w:rsidRPr="002C6E58" w:rsidRDefault="00927350" w:rsidP="00927350">
            <w:pPr>
              <w:tabs>
                <w:tab w:val="num" w:pos="1080"/>
              </w:tabs>
              <w:jc w:val="both"/>
              <w:rPr>
                <w:rFonts w:cs="Arial"/>
                <w:lang w:val="en-US"/>
              </w:rPr>
            </w:pPr>
            <w:r w:rsidRPr="002C6E58">
              <w:rPr>
                <w:rFonts w:cs="Arial"/>
                <w:lang w:val="en-US"/>
              </w:rPr>
              <w:t>Vertical Projecting Wall Sign</w:t>
            </w:r>
          </w:p>
        </w:tc>
        <w:tc>
          <w:tcPr>
            <w:tcW w:w="3543" w:type="dxa"/>
          </w:tcPr>
          <w:p w14:paraId="0E8C3D10" w14:textId="77777777" w:rsidR="00927350" w:rsidRPr="002C6E58" w:rsidRDefault="00927350" w:rsidP="00927350">
            <w:pPr>
              <w:tabs>
                <w:tab w:val="num" w:pos="1080"/>
              </w:tabs>
              <w:rPr>
                <w:rFonts w:cs="Arial"/>
                <w:lang w:val="en-US"/>
              </w:rPr>
            </w:pPr>
            <w:r w:rsidRPr="002C6E58">
              <w:rPr>
                <w:rFonts w:cs="Arial"/>
                <w:lang w:val="en-US"/>
              </w:rPr>
              <w:t>To be considered under Alternative Performance Criteria.</w:t>
            </w:r>
          </w:p>
        </w:tc>
        <w:tc>
          <w:tcPr>
            <w:tcW w:w="3686" w:type="dxa"/>
          </w:tcPr>
          <w:p w14:paraId="350F5519" w14:textId="77777777" w:rsidR="00927350" w:rsidRPr="002C6E58" w:rsidRDefault="00927350" w:rsidP="002A3889">
            <w:pPr>
              <w:numPr>
                <w:ilvl w:val="0"/>
                <w:numId w:val="293"/>
              </w:numPr>
              <w:tabs>
                <w:tab w:val="clear" w:pos="360"/>
                <w:tab w:val="num" w:pos="318"/>
              </w:tabs>
              <w:ind w:left="318" w:hanging="318"/>
              <w:jc w:val="both"/>
              <w:rPr>
                <w:rFonts w:cs="Arial"/>
                <w:lang w:val="en-US"/>
              </w:rPr>
            </w:pPr>
            <w:r w:rsidRPr="002C6E58">
              <w:rPr>
                <w:rFonts w:cs="Arial"/>
                <w:lang w:val="en-US"/>
              </w:rPr>
              <w:t>Maximum vertical dimension 1m or 5% height of building wall.</w:t>
            </w:r>
          </w:p>
          <w:p w14:paraId="28406218" w14:textId="77777777" w:rsidR="00927350" w:rsidRPr="002C6E58" w:rsidRDefault="00927350" w:rsidP="002A3889">
            <w:pPr>
              <w:numPr>
                <w:ilvl w:val="0"/>
                <w:numId w:val="293"/>
              </w:numPr>
              <w:tabs>
                <w:tab w:val="clear" w:pos="360"/>
                <w:tab w:val="num" w:pos="318"/>
              </w:tabs>
              <w:ind w:left="318" w:hanging="318"/>
              <w:jc w:val="both"/>
              <w:rPr>
                <w:rFonts w:cs="Arial"/>
                <w:lang w:val="en-US"/>
              </w:rPr>
            </w:pPr>
            <w:r w:rsidRPr="002C6E58">
              <w:rPr>
                <w:rFonts w:cs="Arial"/>
                <w:lang w:val="en-US"/>
              </w:rPr>
              <w:t>Maximum projection 450mm.</w:t>
            </w:r>
          </w:p>
          <w:p w14:paraId="49000D88" w14:textId="77777777" w:rsidR="00927350" w:rsidRPr="002C6E58" w:rsidRDefault="00927350" w:rsidP="002A3889">
            <w:pPr>
              <w:numPr>
                <w:ilvl w:val="0"/>
                <w:numId w:val="293"/>
              </w:numPr>
              <w:tabs>
                <w:tab w:val="clear" w:pos="360"/>
                <w:tab w:val="num" w:pos="318"/>
              </w:tabs>
              <w:ind w:left="318" w:hanging="318"/>
              <w:jc w:val="both"/>
              <w:rPr>
                <w:rFonts w:cs="Arial"/>
                <w:lang w:val="en-US"/>
              </w:rPr>
            </w:pPr>
            <w:r w:rsidRPr="002C6E58">
              <w:rPr>
                <w:rFonts w:cs="Arial"/>
                <w:lang w:val="en-US"/>
              </w:rPr>
              <w:t>Limit of one such sign per building/site unless part of an approved signs regime.</w:t>
            </w:r>
          </w:p>
          <w:p w14:paraId="2213F9F1" w14:textId="77777777" w:rsidR="00927350" w:rsidRPr="002C6E58" w:rsidRDefault="00927350" w:rsidP="002A3889">
            <w:pPr>
              <w:numPr>
                <w:ilvl w:val="0"/>
                <w:numId w:val="293"/>
              </w:numPr>
              <w:tabs>
                <w:tab w:val="clear" w:pos="360"/>
                <w:tab w:val="num" w:pos="318"/>
              </w:tabs>
              <w:ind w:left="318" w:hanging="318"/>
              <w:jc w:val="both"/>
              <w:rPr>
                <w:rFonts w:cs="Arial"/>
                <w:lang w:val="en-US"/>
              </w:rPr>
            </w:pPr>
            <w:r w:rsidRPr="002C6E58">
              <w:rPr>
                <w:rFonts w:cs="Arial"/>
                <w:lang w:val="en-US"/>
              </w:rPr>
              <w:t>Shall not be approved if there is a horizontal projecting wall sign on the same site.</w:t>
            </w:r>
          </w:p>
        </w:tc>
      </w:tr>
      <w:tr w:rsidR="00927350" w:rsidRPr="002C6E58" w14:paraId="5C696E57" w14:textId="77777777" w:rsidTr="001400A8">
        <w:tblPrEx>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Pr>
        <w:tc>
          <w:tcPr>
            <w:tcW w:w="1560" w:type="dxa"/>
          </w:tcPr>
          <w:p w14:paraId="05BA4508" w14:textId="77777777" w:rsidR="00927350" w:rsidRPr="002C6E58" w:rsidRDefault="00927350" w:rsidP="00927350">
            <w:pPr>
              <w:tabs>
                <w:tab w:val="num" w:pos="1080"/>
              </w:tabs>
              <w:jc w:val="both"/>
              <w:rPr>
                <w:rFonts w:cs="Arial"/>
                <w:lang w:val="en-US"/>
              </w:rPr>
            </w:pPr>
            <w:r w:rsidRPr="002C6E58">
              <w:rPr>
                <w:rFonts w:cs="Arial"/>
                <w:lang w:val="en-US"/>
              </w:rPr>
              <w:t>Wall Mural</w:t>
            </w:r>
          </w:p>
        </w:tc>
        <w:tc>
          <w:tcPr>
            <w:tcW w:w="3543" w:type="dxa"/>
          </w:tcPr>
          <w:p w14:paraId="55F70851" w14:textId="77777777" w:rsidR="00927350" w:rsidRPr="002C6E58" w:rsidRDefault="00927350" w:rsidP="00927350">
            <w:pPr>
              <w:tabs>
                <w:tab w:val="num" w:pos="1080"/>
              </w:tabs>
              <w:rPr>
                <w:rFonts w:cs="Arial"/>
                <w:lang w:val="en-US"/>
              </w:rPr>
            </w:pPr>
            <w:r w:rsidRPr="002C6E58">
              <w:rPr>
                <w:rFonts w:cs="Arial"/>
                <w:lang w:val="en-US"/>
              </w:rPr>
              <w:t>To be considered under Alternative Performance Criteria.</w:t>
            </w:r>
          </w:p>
        </w:tc>
        <w:tc>
          <w:tcPr>
            <w:tcW w:w="3686" w:type="dxa"/>
          </w:tcPr>
          <w:p w14:paraId="0106DF0D" w14:textId="77777777" w:rsidR="00927350" w:rsidRPr="002C6E58" w:rsidRDefault="00927350" w:rsidP="00927350">
            <w:pPr>
              <w:jc w:val="both"/>
              <w:rPr>
                <w:rFonts w:cs="Arial"/>
                <w:lang w:val="en-US"/>
              </w:rPr>
            </w:pPr>
            <w:r w:rsidRPr="002C6E58">
              <w:rPr>
                <w:rFonts w:cs="Arial"/>
                <w:lang w:val="en-US"/>
              </w:rPr>
              <w:t>Must demonstrate its ability to convey, complete or restore an image of historical or cultural significance.</w:t>
            </w:r>
          </w:p>
          <w:p w14:paraId="7FA79E1B" w14:textId="77777777" w:rsidR="00927350" w:rsidRPr="002C6E58" w:rsidRDefault="00927350" w:rsidP="00927350">
            <w:pPr>
              <w:jc w:val="both"/>
              <w:rPr>
                <w:rFonts w:cs="Arial"/>
                <w:lang w:val="en-US"/>
              </w:rPr>
            </w:pPr>
          </w:p>
        </w:tc>
      </w:tr>
      <w:tr w:rsidR="002C6E58" w:rsidRPr="002C6E58" w14:paraId="4780C195" w14:textId="77777777" w:rsidTr="001400A8">
        <w:tblPrEx>
          <w:tblLook w:val="0000" w:firstRow="0" w:lastRow="0" w:firstColumn="0" w:lastColumn="0" w:noHBand="0" w:noVBand="0"/>
        </w:tblPrEx>
        <w:trPr>
          <w:cnfStyle w:val="000000010000" w:firstRow="0" w:lastRow="0" w:firstColumn="0" w:lastColumn="0" w:oddVBand="0" w:evenVBand="0" w:oddHBand="0" w:evenHBand="1" w:firstRowFirstColumn="0" w:firstRowLastColumn="0" w:lastRowFirstColumn="0" w:lastRowLastColumn="0"/>
        </w:trPr>
        <w:tc>
          <w:tcPr>
            <w:tcW w:w="1560" w:type="dxa"/>
          </w:tcPr>
          <w:p w14:paraId="53BAE0A3" w14:textId="77777777" w:rsidR="002C6E58" w:rsidRPr="002C6E58" w:rsidRDefault="002C6E58" w:rsidP="001400A8">
            <w:pPr>
              <w:tabs>
                <w:tab w:val="num" w:pos="1080"/>
              </w:tabs>
              <w:jc w:val="both"/>
              <w:rPr>
                <w:rFonts w:cs="Arial"/>
                <w:lang w:val="en-US"/>
              </w:rPr>
            </w:pPr>
            <w:r w:rsidRPr="002C6E58">
              <w:rPr>
                <w:rFonts w:cs="Arial"/>
                <w:lang w:val="en-US"/>
              </w:rPr>
              <w:t>Wall Sign</w:t>
            </w:r>
          </w:p>
        </w:tc>
        <w:tc>
          <w:tcPr>
            <w:tcW w:w="3543" w:type="dxa"/>
          </w:tcPr>
          <w:p w14:paraId="4348AFAC" w14:textId="77777777" w:rsidR="002C6E58" w:rsidRPr="002C6E58" w:rsidRDefault="002C6E58" w:rsidP="002A3889">
            <w:pPr>
              <w:numPr>
                <w:ilvl w:val="0"/>
                <w:numId w:val="294"/>
              </w:numPr>
              <w:tabs>
                <w:tab w:val="clear" w:pos="360"/>
              </w:tabs>
              <w:ind w:left="317" w:hanging="317"/>
              <w:rPr>
                <w:rFonts w:cs="Arial"/>
                <w:lang w:val="en-US"/>
              </w:rPr>
            </w:pPr>
            <w:r w:rsidRPr="002C6E58">
              <w:rPr>
                <w:rFonts w:cs="Arial"/>
                <w:lang w:val="en-US"/>
              </w:rPr>
              <w:t>A single sign per building.</w:t>
            </w:r>
          </w:p>
          <w:p w14:paraId="568826E2" w14:textId="77777777" w:rsidR="002C6E58" w:rsidRPr="002C6E58" w:rsidRDefault="002C6E58" w:rsidP="002A3889">
            <w:pPr>
              <w:numPr>
                <w:ilvl w:val="0"/>
                <w:numId w:val="294"/>
              </w:numPr>
              <w:tabs>
                <w:tab w:val="clear" w:pos="360"/>
              </w:tabs>
              <w:ind w:left="317" w:hanging="317"/>
              <w:rPr>
                <w:rFonts w:cs="Arial"/>
                <w:lang w:val="en-US"/>
              </w:rPr>
            </w:pPr>
            <w:r w:rsidRPr="002C6E58">
              <w:rPr>
                <w:rFonts w:cs="Arial"/>
                <w:lang w:val="en-US"/>
              </w:rPr>
              <w:t>Maximum height 1m.</w:t>
            </w:r>
          </w:p>
          <w:p w14:paraId="40489E4B" w14:textId="77777777" w:rsidR="002C6E58" w:rsidRPr="002C6E58" w:rsidRDefault="002C6E58" w:rsidP="002A3889">
            <w:pPr>
              <w:numPr>
                <w:ilvl w:val="0"/>
                <w:numId w:val="294"/>
              </w:numPr>
              <w:tabs>
                <w:tab w:val="clear" w:pos="360"/>
              </w:tabs>
              <w:ind w:left="317" w:hanging="317"/>
              <w:rPr>
                <w:rFonts w:cs="Arial"/>
                <w:lang w:val="en-US"/>
              </w:rPr>
            </w:pPr>
            <w:r w:rsidRPr="002C6E58">
              <w:rPr>
                <w:rFonts w:cs="Arial"/>
                <w:lang w:val="en-US"/>
              </w:rPr>
              <w:t>Maximum length 3m.</w:t>
            </w:r>
          </w:p>
        </w:tc>
        <w:tc>
          <w:tcPr>
            <w:tcW w:w="3686" w:type="dxa"/>
          </w:tcPr>
          <w:p w14:paraId="3CED7631" w14:textId="77777777" w:rsidR="002C6E58" w:rsidRPr="002C6E58" w:rsidRDefault="002C6E58" w:rsidP="002A3889">
            <w:pPr>
              <w:numPr>
                <w:ilvl w:val="0"/>
                <w:numId w:val="295"/>
              </w:numPr>
              <w:tabs>
                <w:tab w:val="clear" w:pos="360"/>
                <w:tab w:val="num" w:pos="318"/>
              </w:tabs>
              <w:ind w:left="318" w:hanging="318"/>
              <w:jc w:val="both"/>
              <w:rPr>
                <w:rFonts w:cs="Arial"/>
                <w:lang w:val="en-US"/>
              </w:rPr>
            </w:pPr>
            <w:r w:rsidRPr="002C6E58">
              <w:rPr>
                <w:rFonts w:cs="Arial"/>
                <w:lang w:val="en-US"/>
              </w:rPr>
              <w:t>Multiple wall signs or wall signs exceeding the acceptable solution provisions shall only be considered as part of an approved signs regime.</w:t>
            </w:r>
          </w:p>
          <w:p w14:paraId="7CDC128F" w14:textId="77777777" w:rsidR="002C6E58" w:rsidRPr="002C6E58" w:rsidRDefault="002C6E58" w:rsidP="002A3889">
            <w:pPr>
              <w:numPr>
                <w:ilvl w:val="0"/>
                <w:numId w:val="295"/>
              </w:numPr>
              <w:tabs>
                <w:tab w:val="clear" w:pos="360"/>
                <w:tab w:val="num" w:pos="318"/>
              </w:tabs>
              <w:ind w:left="318" w:hanging="318"/>
              <w:jc w:val="both"/>
              <w:rPr>
                <w:rFonts w:cs="Arial"/>
                <w:lang w:val="en-US"/>
              </w:rPr>
            </w:pPr>
            <w:r w:rsidRPr="002C6E58">
              <w:rPr>
                <w:rFonts w:cs="Arial"/>
                <w:lang w:val="en-US"/>
              </w:rPr>
              <w:t>Signs must face a primary space.</w:t>
            </w:r>
          </w:p>
          <w:p w14:paraId="21C0F335" w14:textId="77777777" w:rsidR="002C6E58" w:rsidRPr="002C6E58" w:rsidRDefault="002C6E58" w:rsidP="002A3889">
            <w:pPr>
              <w:numPr>
                <w:ilvl w:val="0"/>
                <w:numId w:val="295"/>
              </w:numPr>
              <w:tabs>
                <w:tab w:val="clear" w:pos="360"/>
                <w:tab w:val="num" w:pos="318"/>
              </w:tabs>
              <w:ind w:left="318" w:hanging="318"/>
              <w:jc w:val="both"/>
              <w:rPr>
                <w:rFonts w:cs="Arial"/>
                <w:lang w:val="en-US"/>
              </w:rPr>
            </w:pPr>
            <w:r w:rsidRPr="002C6E58">
              <w:rPr>
                <w:rFonts w:cs="Arial"/>
                <w:lang w:val="en-US"/>
              </w:rPr>
              <w:t>Maximum height equivalent to 10% of height of building wall or 2m, whichever is greater.</w:t>
            </w:r>
          </w:p>
          <w:p w14:paraId="023F0A74" w14:textId="77777777" w:rsidR="002C6E58" w:rsidRPr="002C6E58" w:rsidRDefault="002C6E58" w:rsidP="002A3889">
            <w:pPr>
              <w:numPr>
                <w:ilvl w:val="0"/>
                <w:numId w:val="295"/>
              </w:numPr>
              <w:tabs>
                <w:tab w:val="clear" w:pos="360"/>
                <w:tab w:val="num" w:pos="318"/>
              </w:tabs>
              <w:ind w:left="318" w:hanging="318"/>
              <w:jc w:val="both"/>
              <w:rPr>
                <w:rFonts w:cs="Arial"/>
                <w:lang w:val="en-US"/>
              </w:rPr>
            </w:pPr>
            <w:r w:rsidRPr="002C6E58">
              <w:rPr>
                <w:rFonts w:cs="Arial"/>
                <w:lang w:val="en-US"/>
              </w:rPr>
              <w:t>Maximum length 5m.</w:t>
            </w:r>
          </w:p>
        </w:tc>
      </w:tr>
      <w:tr w:rsidR="002C6E58" w:rsidRPr="002C6E58" w14:paraId="6E55717F" w14:textId="77777777" w:rsidTr="001400A8">
        <w:tblPrEx>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Pr>
        <w:tc>
          <w:tcPr>
            <w:tcW w:w="1560" w:type="dxa"/>
          </w:tcPr>
          <w:p w14:paraId="318F48E0" w14:textId="77777777" w:rsidR="002C6E58" w:rsidRPr="002C6E58" w:rsidRDefault="002C6E58" w:rsidP="001400A8">
            <w:pPr>
              <w:tabs>
                <w:tab w:val="num" w:pos="1080"/>
              </w:tabs>
              <w:jc w:val="both"/>
              <w:rPr>
                <w:rFonts w:cs="Arial"/>
                <w:lang w:val="en-US"/>
              </w:rPr>
            </w:pPr>
            <w:r w:rsidRPr="002C6E58">
              <w:rPr>
                <w:rFonts w:cs="Arial"/>
                <w:lang w:val="en-US"/>
              </w:rPr>
              <w:t>Window Sign</w:t>
            </w:r>
          </w:p>
        </w:tc>
        <w:tc>
          <w:tcPr>
            <w:tcW w:w="3543" w:type="dxa"/>
          </w:tcPr>
          <w:p w14:paraId="60EB7863" w14:textId="77777777" w:rsidR="002C6E58" w:rsidRPr="002C6E58" w:rsidRDefault="002C6E58" w:rsidP="001400A8">
            <w:pPr>
              <w:rPr>
                <w:rFonts w:cs="Arial"/>
                <w:lang w:val="en-US"/>
              </w:rPr>
            </w:pPr>
            <w:r w:rsidRPr="002C6E58">
              <w:rPr>
                <w:rFonts w:cs="Arial"/>
                <w:lang w:val="en-US"/>
              </w:rPr>
              <w:t>Exempt – see Clause 5</w:t>
            </w:r>
          </w:p>
          <w:p w14:paraId="447664F3" w14:textId="77777777" w:rsidR="002C6E58" w:rsidRPr="002C6E58" w:rsidRDefault="002C6E58" w:rsidP="001400A8">
            <w:pPr>
              <w:rPr>
                <w:rFonts w:cs="Arial"/>
                <w:lang w:val="en-US"/>
              </w:rPr>
            </w:pPr>
          </w:p>
        </w:tc>
        <w:tc>
          <w:tcPr>
            <w:tcW w:w="3686" w:type="dxa"/>
          </w:tcPr>
          <w:p w14:paraId="0D0BA934" w14:textId="77777777" w:rsidR="002C6E58" w:rsidRPr="002C6E58" w:rsidRDefault="002C6E58" w:rsidP="002A3889">
            <w:pPr>
              <w:numPr>
                <w:ilvl w:val="0"/>
                <w:numId w:val="296"/>
              </w:numPr>
              <w:tabs>
                <w:tab w:val="clear" w:pos="360"/>
              </w:tabs>
              <w:ind w:left="318" w:hanging="318"/>
              <w:jc w:val="both"/>
              <w:rPr>
                <w:rFonts w:cs="Arial"/>
                <w:lang w:val="en-US"/>
              </w:rPr>
            </w:pPr>
            <w:r w:rsidRPr="002C6E58">
              <w:rPr>
                <w:rFonts w:cs="Arial"/>
                <w:lang w:val="en-US"/>
              </w:rPr>
              <w:t>Signs shall occupy less than 50% of the surface area of a window.</w:t>
            </w:r>
          </w:p>
          <w:p w14:paraId="1366EB16" w14:textId="77777777" w:rsidR="002C6E58" w:rsidRPr="002C6E58" w:rsidRDefault="002C6E58" w:rsidP="002A3889">
            <w:pPr>
              <w:numPr>
                <w:ilvl w:val="0"/>
                <w:numId w:val="296"/>
              </w:numPr>
              <w:tabs>
                <w:tab w:val="clear" w:pos="360"/>
              </w:tabs>
              <w:ind w:left="318" w:hanging="318"/>
              <w:jc w:val="both"/>
              <w:rPr>
                <w:rFonts w:cs="Arial"/>
                <w:lang w:val="en-US"/>
              </w:rPr>
            </w:pPr>
            <w:r w:rsidRPr="002C6E58">
              <w:rPr>
                <w:rFonts w:cs="Arial"/>
                <w:lang w:val="en-US"/>
              </w:rPr>
              <w:t>May be located on other than ground floor/street level windows.</w:t>
            </w:r>
          </w:p>
        </w:tc>
      </w:tr>
    </w:tbl>
    <w:p w14:paraId="5EF0126A" w14:textId="77777777" w:rsidR="002C6E58" w:rsidRPr="002C6E58" w:rsidRDefault="002C6E58" w:rsidP="002C6E5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b/>
          <w:lang w:val="en-US"/>
        </w:rPr>
      </w:pPr>
    </w:p>
    <w:p w14:paraId="3AFF6152" w14:textId="77777777" w:rsidR="002C6E58" w:rsidRPr="002C6E58" w:rsidRDefault="002C6E58" w:rsidP="002C6E58">
      <w:pPr>
        <w:tabs>
          <w:tab w:val="left" w:pos="-720"/>
          <w:tab w:val="left" w:pos="0"/>
        </w:tabs>
        <w:suppressAutoHyphens/>
        <w:overflowPunct w:val="0"/>
        <w:autoSpaceDE w:val="0"/>
        <w:autoSpaceDN w:val="0"/>
        <w:adjustRightInd w:val="0"/>
        <w:spacing w:after="0" w:line="240" w:lineRule="auto"/>
        <w:jc w:val="both"/>
        <w:textAlignment w:val="baseline"/>
        <w:rPr>
          <w:rFonts w:eastAsia="Times New Roman" w:cs="Arial"/>
          <w:b/>
          <w:lang w:val="en-US"/>
        </w:rPr>
      </w:pPr>
    </w:p>
    <w:p w14:paraId="72456772" w14:textId="77777777" w:rsidR="002C6E58" w:rsidRPr="00B95CC5" w:rsidRDefault="002C6E58" w:rsidP="002C6E58">
      <w:pPr>
        <w:tabs>
          <w:tab w:val="left" w:pos="-720"/>
          <w:tab w:val="left" w:pos="0"/>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b/>
          <w:sz w:val="24"/>
          <w:szCs w:val="24"/>
          <w:lang w:val="en-US"/>
        </w:rPr>
      </w:pPr>
      <w:r>
        <w:rPr>
          <w:rFonts w:ascii="Times New Roman" w:eastAsia="Times New Roman" w:hAnsi="Times New Roman" w:cs="Times New Roman"/>
          <w:b/>
          <w:noProof/>
          <w:sz w:val="24"/>
          <w:szCs w:val="24"/>
          <w:lang w:eastAsia="en-AU"/>
        </w:rPr>
        <w:lastRenderedPageBreak/>
        <w:drawing>
          <wp:inline distT="0" distB="0" distL="0" distR="0" wp14:anchorId="4FFA4401" wp14:editId="4F0FC73C">
            <wp:extent cx="5438775" cy="8648700"/>
            <wp:effectExtent l="19050" t="0" r="9525" b="0"/>
            <wp:docPr id="199" name="Picture 199" descr="1-2002  SC Appendi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2002  SC Appendix2"/>
                    <pic:cNvPicPr>
                      <a:picLocks noChangeAspect="1" noChangeArrowheads="1"/>
                    </pic:cNvPicPr>
                  </pic:nvPicPr>
                  <pic:blipFill>
                    <a:blip r:embed="rId288" cstate="print"/>
                    <a:srcRect/>
                    <a:stretch>
                      <a:fillRect/>
                    </a:stretch>
                  </pic:blipFill>
                  <pic:spPr bwMode="auto">
                    <a:xfrm>
                      <a:off x="0" y="0"/>
                      <a:ext cx="5438775" cy="8648700"/>
                    </a:xfrm>
                    <a:prstGeom prst="rect">
                      <a:avLst/>
                    </a:prstGeom>
                    <a:noFill/>
                    <a:ln w="9525">
                      <a:noFill/>
                      <a:miter lim="800000"/>
                      <a:headEnd/>
                      <a:tailEnd/>
                    </a:ln>
                  </pic:spPr>
                </pic:pic>
              </a:graphicData>
            </a:graphic>
          </wp:inline>
        </w:drawing>
      </w:r>
    </w:p>
    <w:p w14:paraId="6B9E6664" w14:textId="77777777" w:rsidR="00202060" w:rsidRDefault="00202060">
      <w:pPr>
        <w:rPr>
          <w:rFonts w:ascii="Arial" w:eastAsia="Times New Roman" w:hAnsi="Arial" w:cs="Arial"/>
          <w:lang w:val="en-US"/>
        </w:rPr>
      </w:pPr>
      <w:r>
        <w:rPr>
          <w:rFonts w:ascii="Arial" w:eastAsia="Times New Roman" w:hAnsi="Arial" w:cs="Arial"/>
          <w:lang w:val="en-US"/>
        </w:rPr>
        <w:br w:type="page"/>
      </w:r>
    </w:p>
    <w:p w14:paraId="0E95453A" w14:textId="77777777" w:rsidR="001B5B0A" w:rsidRDefault="001B5B0A" w:rsidP="001B5B0A">
      <w:pPr>
        <w:pStyle w:val="Title"/>
        <w:pBdr>
          <w:bottom w:val="none" w:sz="0" w:space="0" w:color="auto"/>
        </w:pBdr>
        <w:spacing w:after="240"/>
        <w:jc w:val="right"/>
        <w:rPr>
          <w:rFonts w:ascii="Arial" w:hAnsi="Arial" w:cs="Arial"/>
          <w:b/>
          <w:sz w:val="28"/>
          <w:szCs w:val="28"/>
          <w:lang w:val="en-US"/>
        </w:rPr>
      </w:pPr>
      <w:r>
        <w:rPr>
          <w:noProof/>
        </w:rPr>
        <w:lastRenderedPageBreak/>
        <w:drawing>
          <wp:inline distT="0" distB="0" distL="0" distR="0" wp14:anchorId="3AE0A06B" wp14:editId="5676EDE1">
            <wp:extent cx="1743075" cy="667385"/>
            <wp:effectExtent l="0" t="0" r="9525" b="0"/>
            <wp:docPr id="2001930547" name="Picture 2001930547"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with medium confidence"/>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43075" cy="667385"/>
                    </a:xfrm>
                    <a:prstGeom prst="rect">
                      <a:avLst/>
                    </a:prstGeom>
                    <a:noFill/>
                    <a:ln>
                      <a:noFill/>
                    </a:ln>
                  </pic:spPr>
                </pic:pic>
              </a:graphicData>
            </a:graphic>
          </wp:inline>
        </w:drawing>
      </w:r>
    </w:p>
    <w:p w14:paraId="0F8D8655" w14:textId="77777777" w:rsidR="001B5B0A" w:rsidRPr="008616F0" w:rsidRDefault="001B5B0A" w:rsidP="001B5B0A">
      <w:pPr>
        <w:pStyle w:val="Policy3"/>
      </w:pPr>
      <w:bookmarkStart w:id="522" w:name="_Toc14942654"/>
      <w:bookmarkStart w:id="523" w:name="_Toc216866716"/>
      <w:r w:rsidRPr="008616F0">
        <w:t>3.1.3</w:t>
      </w:r>
      <w:r w:rsidRPr="008616F0">
        <w:tab/>
        <w:t>Town Centre Redevelopment Guidelines – Local Planning Policy</w:t>
      </w:r>
      <w:bookmarkEnd w:id="522"/>
      <w:bookmarkEnd w:id="523"/>
    </w:p>
    <w:tbl>
      <w:tblPr>
        <w:tblStyle w:val="TableGrid"/>
        <w:tblW w:w="0" w:type="auto"/>
        <w:tblLook w:val="04A0" w:firstRow="1" w:lastRow="0" w:firstColumn="1" w:lastColumn="0" w:noHBand="0" w:noVBand="1"/>
      </w:tblPr>
      <w:tblGrid>
        <w:gridCol w:w="3022"/>
        <w:gridCol w:w="5994"/>
      </w:tblGrid>
      <w:tr w:rsidR="001B5B0A" w:rsidRPr="001400A8" w14:paraId="7CF014C0" w14:textId="77777777" w:rsidTr="006255F2">
        <w:tc>
          <w:tcPr>
            <w:tcW w:w="3022" w:type="dxa"/>
          </w:tcPr>
          <w:p w14:paraId="43673090" w14:textId="77777777" w:rsidR="001B5B0A" w:rsidRPr="001400A8" w:rsidRDefault="001B5B0A" w:rsidP="006255F2">
            <w:pPr>
              <w:rPr>
                <w:rFonts w:cs="Arial"/>
                <w:b/>
                <w:lang w:val="en-US"/>
              </w:rPr>
            </w:pPr>
            <w:r w:rsidRPr="001400A8">
              <w:rPr>
                <w:rFonts w:cs="Arial"/>
                <w:b/>
                <w:lang w:val="en-US"/>
              </w:rPr>
              <w:t>Type:</w:t>
            </w:r>
          </w:p>
        </w:tc>
        <w:tc>
          <w:tcPr>
            <w:tcW w:w="5994" w:type="dxa"/>
          </w:tcPr>
          <w:p w14:paraId="68BEDB4D" w14:textId="77777777" w:rsidR="001B5B0A" w:rsidRPr="001400A8" w:rsidRDefault="001B5B0A" w:rsidP="006255F2">
            <w:pPr>
              <w:rPr>
                <w:rFonts w:cs="Arial"/>
                <w:lang w:val="en-US"/>
              </w:rPr>
            </w:pPr>
            <w:r>
              <w:rPr>
                <w:rFonts w:cs="Arial"/>
                <w:lang w:val="en-US"/>
              </w:rPr>
              <w:t>Regulatory Services - Planning</w:t>
            </w:r>
          </w:p>
        </w:tc>
      </w:tr>
      <w:tr w:rsidR="001B5B0A" w:rsidRPr="001400A8" w14:paraId="740C4562" w14:textId="77777777" w:rsidTr="006255F2">
        <w:tc>
          <w:tcPr>
            <w:tcW w:w="3022" w:type="dxa"/>
          </w:tcPr>
          <w:p w14:paraId="21590CA7" w14:textId="77777777" w:rsidR="001B5B0A" w:rsidRPr="001400A8" w:rsidRDefault="001B5B0A" w:rsidP="006255F2">
            <w:pPr>
              <w:rPr>
                <w:rFonts w:cs="Arial"/>
                <w:b/>
                <w:lang w:val="en-US"/>
              </w:rPr>
            </w:pPr>
            <w:r w:rsidRPr="001400A8">
              <w:rPr>
                <w:rFonts w:cs="Arial"/>
                <w:b/>
                <w:lang w:val="en-US"/>
              </w:rPr>
              <w:t>Legislation:</w:t>
            </w:r>
          </w:p>
        </w:tc>
        <w:tc>
          <w:tcPr>
            <w:tcW w:w="5994" w:type="dxa"/>
          </w:tcPr>
          <w:p w14:paraId="704722BB" w14:textId="77777777" w:rsidR="001B5B0A" w:rsidRPr="001400A8" w:rsidRDefault="001B5B0A" w:rsidP="006255F2">
            <w:pPr>
              <w:rPr>
                <w:rFonts w:cs="Arial"/>
                <w:lang w:val="en-US"/>
              </w:rPr>
            </w:pPr>
            <w:r w:rsidRPr="005F1816">
              <w:rPr>
                <w:rFonts w:cs="Arial"/>
                <w:lang w:val="en-US"/>
              </w:rPr>
              <w:t>Planning and Development Act 2005</w:t>
            </w:r>
          </w:p>
        </w:tc>
      </w:tr>
      <w:tr w:rsidR="001B5B0A" w:rsidRPr="001400A8" w14:paraId="69834F8C" w14:textId="77777777" w:rsidTr="006255F2">
        <w:tc>
          <w:tcPr>
            <w:tcW w:w="3022" w:type="dxa"/>
          </w:tcPr>
          <w:p w14:paraId="15CEBEB5" w14:textId="77777777" w:rsidR="001B5B0A" w:rsidRPr="001400A8" w:rsidRDefault="001B5B0A" w:rsidP="006255F2">
            <w:pPr>
              <w:rPr>
                <w:rFonts w:cs="Arial"/>
                <w:b/>
                <w:lang w:val="en-US"/>
              </w:rPr>
            </w:pPr>
            <w:r w:rsidRPr="001400A8">
              <w:rPr>
                <w:rFonts w:cs="Arial"/>
                <w:b/>
                <w:lang w:val="en-US"/>
              </w:rPr>
              <w:t>Delegation:</w:t>
            </w:r>
          </w:p>
        </w:tc>
        <w:tc>
          <w:tcPr>
            <w:tcW w:w="5994" w:type="dxa"/>
          </w:tcPr>
          <w:p w14:paraId="3776F434" w14:textId="77777777" w:rsidR="001B5B0A" w:rsidRPr="001400A8" w:rsidRDefault="001B5B0A" w:rsidP="006255F2">
            <w:pPr>
              <w:rPr>
                <w:rFonts w:cs="Arial"/>
                <w:lang w:val="en-US"/>
              </w:rPr>
            </w:pPr>
            <w:r w:rsidRPr="001400A8">
              <w:rPr>
                <w:rFonts w:cs="Arial"/>
                <w:lang w:val="en-US"/>
              </w:rPr>
              <w:t>N/A</w:t>
            </w:r>
          </w:p>
        </w:tc>
      </w:tr>
      <w:tr w:rsidR="001B5B0A" w:rsidRPr="001400A8" w14:paraId="58D141B4" w14:textId="77777777" w:rsidTr="006255F2">
        <w:tc>
          <w:tcPr>
            <w:tcW w:w="3022" w:type="dxa"/>
          </w:tcPr>
          <w:p w14:paraId="6D8F93D6" w14:textId="77777777" w:rsidR="001B5B0A" w:rsidRPr="001400A8" w:rsidRDefault="001B5B0A" w:rsidP="006255F2">
            <w:pPr>
              <w:rPr>
                <w:rFonts w:cs="Arial"/>
                <w:b/>
                <w:lang w:val="en-US"/>
              </w:rPr>
            </w:pPr>
            <w:r w:rsidRPr="001400A8">
              <w:rPr>
                <w:rFonts w:cs="Arial"/>
                <w:b/>
                <w:lang w:val="en-US"/>
              </w:rPr>
              <w:t>Other Related Document:</w:t>
            </w:r>
          </w:p>
        </w:tc>
        <w:tc>
          <w:tcPr>
            <w:tcW w:w="5994" w:type="dxa"/>
          </w:tcPr>
          <w:p w14:paraId="38275AC0" w14:textId="77777777" w:rsidR="001B5B0A" w:rsidRPr="001400A8" w:rsidRDefault="001B5B0A" w:rsidP="006255F2">
            <w:pPr>
              <w:rPr>
                <w:rFonts w:cs="Arial"/>
                <w:lang w:val="en-US"/>
              </w:rPr>
            </w:pPr>
            <w:r w:rsidRPr="001400A8">
              <w:rPr>
                <w:rFonts w:cs="Arial"/>
                <w:lang w:val="en-US"/>
              </w:rPr>
              <w:t>T</w:t>
            </w:r>
            <w:r>
              <w:rPr>
                <w:rFonts w:cs="Arial"/>
                <w:lang w:val="en-US"/>
              </w:rPr>
              <w:t>own of East Fremantle</w:t>
            </w:r>
            <w:r w:rsidRPr="001400A8">
              <w:rPr>
                <w:rFonts w:cs="Arial"/>
                <w:lang w:val="en-US"/>
              </w:rPr>
              <w:t xml:space="preserve"> </w:t>
            </w:r>
            <w:r>
              <w:rPr>
                <w:rFonts w:cs="Arial"/>
                <w:lang w:val="en-US"/>
              </w:rPr>
              <w:t>Local</w:t>
            </w:r>
            <w:r w:rsidRPr="001400A8">
              <w:rPr>
                <w:rFonts w:cs="Arial"/>
                <w:lang w:val="en-US"/>
              </w:rPr>
              <w:t xml:space="preserve"> Planning Scheme No 3</w:t>
            </w:r>
          </w:p>
        </w:tc>
      </w:tr>
    </w:tbl>
    <w:p w14:paraId="6ED27AF1" w14:textId="77777777" w:rsidR="001B5B0A" w:rsidRPr="001400A8" w:rsidRDefault="001B5B0A" w:rsidP="001B5B0A">
      <w:pPr>
        <w:spacing w:before="240" w:after="0"/>
        <w:rPr>
          <w:b/>
          <w:sz w:val="28"/>
          <w:szCs w:val="28"/>
          <w:lang w:val="en-US"/>
        </w:rPr>
      </w:pPr>
      <w:r>
        <w:rPr>
          <w:b/>
          <w:sz w:val="28"/>
          <w:szCs w:val="28"/>
          <w:lang w:val="en-US"/>
        </w:rPr>
        <w:t>Introduction</w:t>
      </w:r>
    </w:p>
    <w:p w14:paraId="1BC3669D" w14:textId="77777777" w:rsidR="001B5B0A" w:rsidRPr="001400A8" w:rsidRDefault="001B5B0A" w:rsidP="001B5B0A">
      <w:pPr>
        <w:spacing w:after="60"/>
        <w:jc w:val="both"/>
        <w:rPr>
          <w:rFonts w:cs="Arial"/>
        </w:rPr>
      </w:pPr>
      <w:r w:rsidRPr="001400A8">
        <w:rPr>
          <w:rFonts w:cs="Arial"/>
        </w:rPr>
        <w:t xml:space="preserve">The intent of this </w:t>
      </w:r>
      <w:r>
        <w:rPr>
          <w:rFonts w:cs="Arial"/>
        </w:rPr>
        <w:t>policy</w:t>
      </w:r>
      <w:r w:rsidRPr="001400A8">
        <w:rPr>
          <w:rFonts w:cs="Arial"/>
        </w:rPr>
        <w:t xml:space="preserve"> is to provide detailed guidance for development within the East Fremantle </w:t>
      </w:r>
      <w:r>
        <w:rPr>
          <w:rFonts w:cs="Arial"/>
        </w:rPr>
        <w:t>T</w:t>
      </w:r>
      <w:r w:rsidRPr="001400A8">
        <w:rPr>
          <w:rFonts w:cs="Arial"/>
        </w:rPr>
        <w:t xml:space="preserve">own </w:t>
      </w:r>
      <w:r>
        <w:rPr>
          <w:rFonts w:cs="Arial"/>
        </w:rPr>
        <w:t>C</w:t>
      </w:r>
      <w:r w:rsidRPr="001400A8">
        <w:rPr>
          <w:rFonts w:cs="Arial"/>
        </w:rPr>
        <w:t>entre</w:t>
      </w:r>
      <w:r>
        <w:rPr>
          <w:rFonts w:cs="Arial"/>
        </w:rPr>
        <w:t xml:space="preserve"> and a defined area surrounding it</w:t>
      </w:r>
      <w:r w:rsidRPr="001400A8">
        <w:rPr>
          <w:rFonts w:cs="Arial"/>
        </w:rPr>
        <w:t>. Th</w:t>
      </w:r>
      <w:r>
        <w:rPr>
          <w:rFonts w:cs="Arial"/>
        </w:rPr>
        <w:t>is</w:t>
      </w:r>
      <w:r w:rsidRPr="001400A8">
        <w:rPr>
          <w:rFonts w:cs="Arial"/>
        </w:rPr>
        <w:t xml:space="preserve"> document provides:</w:t>
      </w:r>
    </w:p>
    <w:p w14:paraId="324460A4" w14:textId="77777777" w:rsidR="001B5B0A" w:rsidRPr="001400A8" w:rsidRDefault="001B5B0A" w:rsidP="001B5B0A">
      <w:pPr>
        <w:spacing w:after="60"/>
        <w:ind w:left="284" w:hanging="284"/>
        <w:jc w:val="both"/>
        <w:rPr>
          <w:rFonts w:cs="Arial"/>
        </w:rPr>
      </w:pPr>
      <w:r w:rsidRPr="001400A8">
        <w:rPr>
          <w:rFonts w:cs="Arial"/>
        </w:rPr>
        <w:t>-</w:t>
      </w:r>
      <w:r w:rsidRPr="001400A8">
        <w:rPr>
          <w:rFonts w:cs="Arial"/>
        </w:rPr>
        <w:tab/>
        <w:t>A background summary of the prevailing planning context.</w:t>
      </w:r>
    </w:p>
    <w:p w14:paraId="043C319F" w14:textId="77777777" w:rsidR="001B5B0A" w:rsidRPr="001400A8" w:rsidRDefault="001B5B0A" w:rsidP="001B5B0A">
      <w:pPr>
        <w:spacing w:after="60"/>
        <w:ind w:left="284" w:hanging="284"/>
        <w:jc w:val="both"/>
        <w:rPr>
          <w:rFonts w:cs="Arial"/>
        </w:rPr>
      </w:pPr>
      <w:r w:rsidRPr="001400A8">
        <w:rPr>
          <w:rFonts w:cs="Arial"/>
        </w:rPr>
        <w:t>-</w:t>
      </w:r>
      <w:r w:rsidRPr="001400A8">
        <w:rPr>
          <w:rFonts w:cs="Arial"/>
        </w:rPr>
        <w:tab/>
        <w:t xml:space="preserve">A statement of desired intent that describes a vision for how the </w:t>
      </w:r>
      <w:r>
        <w:rPr>
          <w:rFonts w:cs="Arial"/>
        </w:rPr>
        <w:t>T</w:t>
      </w:r>
      <w:r w:rsidRPr="001400A8">
        <w:rPr>
          <w:rFonts w:cs="Arial"/>
        </w:rPr>
        <w:t xml:space="preserve">own </w:t>
      </w:r>
      <w:r>
        <w:rPr>
          <w:rFonts w:cs="Arial"/>
        </w:rPr>
        <w:t>C</w:t>
      </w:r>
      <w:r w:rsidRPr="001400A8">
        <w:rPr>
          <w:rFonts w:cs="Arial"/>
        </w:rPr>
        <w:t xml:space="preserve">entre </w:t>
      </w:r>
      <w:r>
        <w:rPr>
          <w:rFonts w:cs="Arial"/>
        </w:rPr>
        <w:t>Redevelopment Area c</w:t>
      </w:r>
      <w:r w:rsidRPr="001400A8">
        <w:rPr>
          <w:rFonts w:cs="Arial"/>
        </w:rPr>
        <w:t>ould grow and evolve.</w:t>
      </w:r>
    </w:p>
    <w:p w14:paraId="14486387" w14:textId="77777777" w:rsidR="001B5B0A" w:rsidRPr="001400A8" w:rsidRDefault="001B5B0A" w:rsidP="001B5B0A">
      <w:pPr>
        <w:spacing w:after="60"/>
        <w:ind w:left="284" w:hanging="284"/>
        <w:jc w:val="both"/>
        <w:rPr>
          <w:rFonts w:cs="Arial"/>
        </w:rPr>
      </w:pPr>
      <w:r w:rsidRPr="001400A8">
        <w:rPr>
          <w:rFonts w:cs="Arial"/>
        </w:rPr>
        <w:t>-</w:t>
      </w:r>
      <w:r w:rsidRPr="001400A8">
        <w:rPr>
          <w:rFonts w:cs="Arial"/>
        </w:rPr>
        <w:tab/>
        <w:t>A set of planning objectives to support the statement of intent.</w:t>
      </w:r>
    </w:p>
    <w:p w14:paraId="381EDF73" w14:textId="77777777" w:rsidR="001B5B0A" w:rsidRPr="001400A8" w:rsidRDefault="001B5B0A" w:rsidP="001B5B0A">
      <w:pPr>
        <w:spacing w:after="120"/>
        <w:ind w:left="284" w:hanging="284"/>
        <w:jc w:val="both"/>
        <w:rPr>
          <w:rFonts w:cs="Arial"/>
        </w:rPr>
      </w:pPr>
      <w:r w:rsidRPr="001400A8">
        <w:rPr>
          <w:rFonts w:cs="Arial"/>
        </w:rPr>
        <w:t>-</w:t>
      </w:r>
      <w:r w:rsidRPr="001400A8">
        <w:rPr>
          <w:rFonts w:cs="Arial"/>
        </w:rPr>
        <w:tab/>
        <w:t>Detailed guidance in respect to a series of elements that need to be considered during the planning and design of development.</w:t>
      </w:r>
    </w:p>
    <w:p w14:paraId="136F1B77" w14:textId="77777777" w:rsidR="001B5B0A" w:rsidRPr="001400A8" w:rsidRDefault="001B5B0A" w:rsidP="001B5B0A">
      <w:pPr>
        <w:spacing w:before="240" w:after="60"/>
        <w:jc w:val="both"/>
        <w:rPr>
          <w:rFonts w:cs="Arial"/>
        </w:rPr>
      </w:pPr>
      <w:r w:rsidRPr="001400A8">
        <w:rPr>
          <w:rFonts w:cs="Arial"/>
        </w:rPr>
        <w:t>Th</w:t>
      </w:r>
      <w:r>
        <w:rPr>
          <w:rFonts w:cs="Arial"/>
        </w:rPr>
        <w:t>is policy</w:t>
      </w:r>
      <w:r w:rsidRPr="001400A8">
        <w:rPr>
          <w:rFonts w:cs="Arial"/>
        </w:rPr>
        <w:t xml:space="preserve"> document is supported by </w:t>
      </w:r>
      <w:r>
        <w:rPr>
          <w:rFonts w:cs="Arial"/>
        </w:rPr>
        <w:t xml:space="preserve">the following </w:t>
      </w:r>
      <w:r w:rsidRPr="001400A8">
        <w:rPr>
          <w:rFonts w:cs="Arial"/>
        </w:rPr>
        <w:t>attached plans:</w:t>
      </w:r>
    </w:p>
    <w:p w14:paraId="287D7228" w14:textId="77777777" w:rsidR="001B5B0A" w:rsidRPr="001400A8" w:rsidRDefault="001B5B0A" w:rsidP="001B5B0A">
      <w:pPr>
        <w:spacing w:after="60"/>
        <w:ind w:left="720" w:hanging="720"/>
        <w:jc w:val="both"/>
        <w:rPr>
          <w:rFonts w:cs="Arial"/>
        </w:rPr>
      </w:pPr>
      <w:r>
        <w:rPr>
          <w:rFonts w:cs="Arial"/>
        </w:rPr>
        <w:t>Plan 1:</w:t>
      </w:r>
      <w:r>
        <w:rPr>
          <w:rFonts w:cs="Arial"/>
        </w:rPr>
        <w:tab/>
      </w:r>
      <w:r w:rsidRPr="001400A8">
        <w:rPr>
          <w:rFonts w:cs="Arial"/>
        </w:rPr>
        <w:t xml:space="preserve">A context plan that identifies the relationship between the Town </w:t>
      </w:r>
      <w:r>
        <w:rPr>
          <w:rFonts w:cs="Arial"/>
        </w:rPr>
        <w:t xml:space="preserve">Centre Redevelopment Area </w:t>
      </w:r>
      <w:r w:rsidRPr="001400A8">
        <w:rPr>
          <w:rFonts w:cs="Arial"/>
        </w:rPr>
        <w:t xml:space="preserve">and other centres within and adjacent to the Town </w:t>
      </w:r>
      <w:r>
        <w:rPr>
          <w:rFonts w:cs="Arial"/>
        </w:rPr>
        <w:t>of East Fremantle</w:t>
      </w:r>
      <w:r w:rsidRPr="001400A8">
        <w:rPr>
          <w:rFonts w:cs="Arial"/>
        </w:rPr>
        <w:t>.</w:t>
      </w:r>
    </w:p>
    <w:p w14:paraId="6F913EC5" w14:textId="77777777" w:rsidR="001B5B0A" w:rsidRPr="001400A8" w:rsidRDefault="001B5B0A" w:rsidP="001B5B0A">
      <w:pPr>
        <w:spacing w:after="60"/>
        <w:ind w:left="284" w:hanging="284"/>
        <w:jc w:val="both"/>
        <w:rPr>
          <w:rFonts w:cs="Arial"/>
        </w:rPr>
      </w:pPr>
      <w:r>
        <w:rPr>
          <w:rFonts w:cs="Arial"/>
        </w:rPr>
        <w:t>Plan 2:</w:t>
      </w:r>
      <w:r w:rsidRPr="001400A8">
        <w:rPr>
          <w:rFonts w:cs="Arial"/>
        </w:rPr>
        <w:tab/>
        <w:t>The area to which th</w:t>
      </w:r>
      <w:r>
        <w:rPr>
          <w:rFonts w:cs="Arial"/>
        </w:rPr>
        <w:t>is policy</w:t>
      </w:r>
      <w:r w:rsidRPr="001400A8">
        <w:rPr>
          <w:rFonts w:cs="Arial"/>
        </w:rPr>
        <w:t xml:space="preserve"> applies and a set of precincts within that area.</w:t>
      </w:r>
    </w:p>
    <w:p w14:paraId="32220E64" w14:textId="77777777" w:rsidR="001B5B0A" w:rsidRPr="001400A8" w:rsidRDefault="001B5B0A" w:rsidP="001B5B0A">
      <w:pPr>
        <w:spacing w:after="60"/>
        <w:ind w:left="720" w:hanging="720"/>
        <w:jc w:val="both"/>
        <w:rPr>
          <w:rFonts w:cs="Arial"/>
        </w:rPr>
      </w:pPr>
      <w:r>
        <w:rPr>
          <w:rFonts w:cs="Arial"/>
        </w:rPr>
        <w:t>Plan 3:</w:t>
      </w:r>
      <w:r w:rsidRPr="001400A8">
        <w:rPr>
          <w:rFonts w:cs="Arial"/>
        </w:rPr>
        <w:tab/>
        <w:t xml:space="preserve">A plan that identifies important pedestrian connections to surrounding destinations within the Town of East Fremantle </w:t>
      </w:r>
      <w:r>
        <w:rPr>
          <w:rFonts w:cs="Arial"/>
        </w:rPr>
        <w:t>in relation to the Town Centre Redevelopment Area</w:t>
      </w:r>
      <w:r w:rsidRPr="001400A8">
        <w:rPr>
          <w:rFonts w:cs="Arial"/>
        </w:rPr>
        <w:t>.</w:t>
      </w:r>
    </w:p>
    <w:p w14:paraId="5F8EF1DC" w14:textId="77777777" w:rsidR="001B5B0A" w:rsidRPr="001400A8" w:rsidRDefault="001B5B0A" w:rsidP="001B5B0A">
      <w:pPr>
        <w:spacing w:after="60"/>
        <w:ind w:left="284" w:hanging="284"/>
        <w:jc w:val="both"/>
        <w:rPr>
          <w:rFonts w:cs="Arial"/>
        </w:rPr>
      </w:pPr>
      <w:r>
        <w:rPr>
          <w:rFonts w:cs="Arial"/>
        </w:rPr>
        <w:t>Plan 4:</w:t>
      </w:r>
      <w:r w:rsidRPr="001400A8">
        <w:rPr>
          <w:rFonts w:cs="Arial"/>
        </w:rPr>
        <w:tab/>
        <w:t xml:space="preserve">A plan identifying important desired pedestrian connections within the </w:t>
      </w:r>
      <w:r>
        <w:rPr>
          <w:rFonts w:cs="Arial"/>
        </w:rPr>
        <w:t>T</w:t>
      </w:r>
      <w:r w:rsidRPr="001400A8">
        <w:rPr>
          <w:rFonts w:cs="Arial"/>
        </w:rPr>
        <w:t xml:space="preserve">own </w:t>
      </w:r>
      <w:r>
        <w:rPr>
          <w:rFonts w:cs="Arial"/>
        </w:rPr>
        <w:t>C</w:t>
      </w:r>
      <w:r w:rsidRPr="001400A8">
        <w:rPr>
          <w:rFonts w:cs="Arial"/>
        </w:rPr>
        <w:t>entre (Plan 4).</w:t>
      </w:r>
    </w:p>
    <w:p w14:paraId="09E17578" w14:textId="77777777" w:rsidR="001B5B0A" w:rsidRDefault="001B5B0A" w:rsidP="001B5B0A">
      <w:pPr>
        <w:spacing w:after="60"/>
        <w:ind w:left="720" w:hanging="720"/>
        <w:jc w:val="both"/>
        <w:rPr>
          <w:rFonts w:cs="Arial"/>
        </w:rPr>
      </w:pPr>
      <w:r>
        <w:rPr>
          <w:rFonts w:cs="Arial"/>
        </w:rPr>
        <w:t>Plan 5:</w:t>
      </w:r>
      <w:r w:rsidRPr="001400A8">
        <w:rPr>
          <w:rFonts w:cs="Arial"/>
        </w:rPr>
        <w:tab/>
        <w:t xml:space="preserve">A concept plan that indicates how the structure and built form of the </w:t>
      </w:r>
      <w:r>
        <w:rPr>
          <w:rFonts w:cs="Arial"/>
        </w:rPr>
        <w:t>T</w:t>
      </w:r>
      <w:r w:rsidRPr="001400A8">
        <w:rPr>
          <w:rFonts w:cs="Arial"/>
        </w:rPr>
        <w:t xml:space="preserve">own </w:t>
      </w:r>
      <w:r>
        <w:rPr>
          <w:rFonts w:cs="Arial"/>
        </w:rPr>
        <w:t>C</w:t>
      </w:r>
      <w:r w:rsidRPr="001400A8">
        <w:rPr>
          <w:rFonts w:cs="Arial"/>
        </w:rPr>
        <w:t>entre</w:t>
      </w:r>
      <w:r>
        <w:rPr>
          <w:rFonts w:cs="Arial"/>
        </w:rPr>
        <w:t xml:space="preserve"> Redevelopment Area</w:t>
      </w:r>
      <w:r w:rsidRPr="001400A8">
        <w:rPr>
          <w:rFonts w:cs="Arial"/>
        </w:rPr>
        <w:t xml:space="preserve"> might evolve.</w:t>
      </w:r>
    </w:p>
    <w:p w14:paraId="29642954" w14:textId="77777777" w:rsidR="001B5B0A" w:rsidRDefault="001B5B0A" w:rsidP="001B5B0A">
      <w:pPr>
        <w:spacing w:after="60"/>
        <w:ind w:left="284" w:hanging="284"/>
        <w:jc w:val="both"/>
        <w:rPr>
          <w:rFonts w:cs="Arial"/>
        </w:rPr>
      </w:pPr>
      <w:r>
        <w:rPr>
          <w:rFonts w:cs="Arial"/>
        </w:rPr>
        <w:t>Plan 6:</w:t>
      </w:r>
      <w:r w:rsidRPr="001400A8">
        <w:rPr>
          <w:rFonts w:cs="Arial"/>
        </w:rPr>
        <w:tab/>
        <w:t xml:space="preserve">A plan that </w:t>
      </w:r>
      <w:r>
        <w:rPr>
          <w:rFonts w:cs="Arial"/>
        </w:rPr>
        <w:t>shows the Fremantle Inner Harbour Port Buffer Areas 2 and 3.</w:t>
      </w:r>
    </w:p>
    <w:p w14:paraId="02923FDB" w14:textId="77777777" w:rsidR="001B5B0A" w:rsidRDefault="001B5B0A" w:rsidP="001B5B0A">
      <w:pPr>
        <w:spacing w:after="60"/>
        <w:ind w:left="720" w:hanging="720"/>
        <w:jc w:val="both"/>
        <w:rPr>
          <w:rFonts w:cs="Arial"/>
        </w:rPr>
      </w:pPr>
      <w:r>
        <w:rPr>
          <w:rFonts w:cs="Arial"/>
        </w:rPr>
        <w:t>Plan 7:</w:t>
      </w:r>
      <w:r w:rsidRPr="001400A8">
        <w:rPr>
          <w:rFonts w:cs="Arial"/>
        </w:rPr>
        <w:tab/>
        <w:t xml:space="preserve">A height plan that identifies </w:t>
      </w:r>
      <w:r>
        <w:rPr>
          <w:rFonts w:cs="Arial"/>
        </w:rPr>
        <w:t xml:space="preserve">required and </w:t>
      </w:r>
      <w:r w:rsidRPr="001400A8">
        <w:rPr>
          <w:rFonts w:cs="Arial"/>
        </w:rPr>
        <w:t xml:space="preserve">notional building height limits across the </w:t>
      </w:r>
      <w:r>
        <w:rPr>
          <w:rFonts w:cs="Arial"/>
        </w:rPr>
        <w:t>T</w:t>
      </w:r>
      <w:r w:rsidRPr="001400A8">
        <w:rPr>
          <w:rFonts w:cs="Arial"/>
        </w:rPr>
        <w:t xml:space="preserve">own </w:t>
      </w:r>
      <w:r>
        <w:rPr>
          <w:rFonts w:cs="Arial"/>
        </w:rPr>
        <w:t>C</w:t>
      </w:r>
      <w:r w:rsidRPr="001400A8">
        <w:rPr>
          <w:rFonts w:cs="Arial"/>
        </w:rPr>
        <w:t xml:space="preserve">entre </w:t>
      </w:r>
      <w:r>
        <w:rPr>
          <w:rFonts w:cs="Arial"/>
        </w:rPr>
        <w:t>Redevelopment Area</w:t>
      </w:r>
      <w:r w:rsidRPr="001400A8">
        <w:rPr>
          <w:rFonts w:cs="Arial"/>
        </w:rPr>
        <w:t>.</w:t>
      </w:r>
    </w:p>
    <w:p w14:paraId="3FA85AD9" w14:textId="77777777" w:rsidR="001B5B0A" w:rsidRDefault="001B5B0A" w:rsidP="001B5B0A">
      <w:pPr>
        <w:spacing w:after="0"/>
        <w:ind w:left="1701" w:hanging="1701"/>
        <w:jc w:val="both"/>
        <w:rPr>
          <w:rFonts w:cs="Arial"/>
          <w:b/>
          <w:sz w:val="28"/>
          <w:szCs w:val="28"/>
        </w:rPr>
      </w:pPr>
      <w:r w:rsidRPr="006A07BA">
        <w:rPr>
          <w:rFonts w:cs="Arial"/>
          <w:b/>
          <w:sz w:val="28"/>
          <w:szCs w:val="28"/>
        </w:rPr>
        <w:t xml:space="preserve">Relationship </w:t>
      </w:r>
      <w:r>
        <w:rPr>
          <w:rFonts w:cs="Arial"/>
          <w:b/>
          <w:sz w:val="28"/>
          <w:szCs w:val="28"/>
        </w:rPr>
        <w:t>t</w:t>
      </w:r>
      <w:r w:rsidRPr="006A07BA">
        <w:rPr>
          <w:rFonts w:cs="Arial"/>
          <w:b/>
          <w:sz w:val="28"/>
          <w:szCs w:val="28"/>
        </w:rPr>
        <w:t>o Other Documents</w:t>
      </w:r>
    </w:p>
    <w:p w14:paraId="38B209B5" w14:textId="77777777" w:rsidR="001B5B0A" w:rsidRDefault="001B5B0A" w:rsidP="001B5B0A">
      <w:pPr>
        <w:jc w:val="both"/>
      </w:pPr>
      <w:r>
        <w:t xml:space="preserve">This Local Planning Policy forms part of the Town of East Fremantle (the Town) local planning policy framework. It is intended that this policy will be further reviewed and/or replaced </w:t>
      </w:r>
      <w:proofErr w:type="gramStart"/>
      <w:r>
        <w:t>as a result of</w:t>
      </w:r>
      <w:proofErr w:type="gramEnd"/>
      <w:r>
        <w:t xml:space="preserve"> future outcomes of the Local Planning Strategy and subsequent amendment/review of Local Planning Scheme No. 3 which is to follow.</w:t>
      </w:r>
    </w:p>
    <w:p w14:paraId="212B2B30" w14:textId="77777777" w:rsidR="001B5B0A" w:rsidRPr="0077628D" w:rsidRDefault="001B5B0A" w:rsidP="001B5B0A">
      <w:pPr>
        <w:spacing w:after="0"/>
        <w:jc w:val="both"/>
        <w:rPr>
          <w:u w:val="single"/>
        </w:rPr>
      </w:pPr>
      <w:r w:rsidRPr="0077628D">
        <w:rPr>
          <w:u w:val="single"/>
        </w:rPr>
        <w:t>Local Planning Scheme No. 3</w:t>
      </w:r>
    </w:p>
    <w:p w14:paraId="1024A064" w14:textId="77777777" w:rsidR="001B5B0A" w:rsidRDefault="001B5B0A" w:rsidP="001B5B0A">
      <w:pPr>
        <w:jc w:val="both"/>
      </w:pPr>
      <w:r>
        <w:t xml:space="preserve">This policy provides guidance to designers and decision makers </w:t>
      </w:r>
      <w:proofErr w:type="gramStart"/>
      <w:r>
        <w:t>with regard to</w:t>
      </w:r>
      <w:proofErr w:type="gramEnd"/>
      <w:r>
        <w:t xml:space="preserve"> development in the Residential, Mixed Use and Town Centre Zones within the policy area where discretion may be </w:t>
      </w:r>
      <w:r>
        <w:lastRenderedPageBreak/>
        <w:t>exercised under Clauses 5.3.4 and 5.3.5</w:t>
      </w:r>
      <w:r w:rsidRPr="0077628D">
        <w:t xml:space="preserve"> </w:t>
      </w:r>
      <w:r>
        <w:t xml:space="preserve">of the Local Planning Scheme No. 3; and where discretion may be exercised for all applicable development under Clause 5.6 </w:t>
      </w:r>
      <w:r w:rsidRPr="00860232">
        <w:t>for</w:t>
      </w:r>
      <w:r>
        <w:t xml:space="preserve"> Clause 5.8.</w:t>
      </w:r>
    </w:p>
    <w:p w14:paraId="6829C889" w14:textId="77777777" w:rsidR="001B5B0A" w:rsidRDefault="001B5B0A" w:rsidP="001B5B0A">
      <w:pPr>
        <w:jc w:val="both"/>
      </w:pPr>
      <w:r>
        <w:t xml:space="preserve">Where this Policy is inconsistent with Local Planning Scheme No. 3 (which includes Schedule 2 - Deemed Provisions for Local Planning Schemes of the </w:t>
      </w:r>
      <w:r w:rsidRPr="006513BC">
        <w:rPr>
          <w:i/>
          <w:iCs/>
        </w:rPr>
        <w:t>Planning and Development (Local Planning Schemes) Regulations 201</w:t>
      </w:r>
      <w:r w:rsidRPr="008A15CB">
        <w:t>5),</w:t>
      </w:r>
      <w:r>
        <w:t xml:space="preserve"> the local planning scheme prevails.</w:t>
      </w:r>
    </w:p>
    <w:p w14:paraId="25FF100E" w14:textId="77777777" w:rsidR="001B5B0A" w:rsidRPr="001D40ED" w:rsidRDefault="001B5B0A" w:rsidP="001B5B0A">
      <w:pPr>
        <w:spacing w:after="0"/>
        <w:jc w:val="both"/>
        <w:rPr>
          <w:u w:val="single"/>
        </w:rPr>
      </w:pPr>
      <w:r w:rsidRPr="001D40ED">
        <w:rPr>
          <w:u w:val="single"/>
        </w:rPr>
        <w:t>Local Planning Strategy (2022)</w:t>
      </w:r>
    </w:p>
    <w:p w14:paraId="4517AC39" w14:textId="77777777" w:rsidR="001B5B0A" w:rsidRDefault="001B5B0A" w:rsidP="001B5B0A">
      <w:pPr>
        <w:jc w:val="both"/>
        <w:rPr>
          <w:rFonts w:cs="Arial"/>
        </w:rPr>
      </w:pPr>
      <w:r w:rsidRPr="00881F3A">
        <w:rPr>
          <w:rFonts w:cs="Arial"/>
        </w:rPr>
        <w:t>The Local Planning Strategy generally includes the Town Centre Redevelopment Area in Planning Area B – Town Centre and part of Planning Area C – Canning Highway (Mixed Use).</w:t>
      </w:r>
    </w:p>
    <w:p w14:paraId="3836D6F5" w14:textId="77777777" w:rsidR="001B5B0A" w:rsidRPr="00575B72" w:rsidRDefault="001B5B0A" w:rsidP="001B5B0A">
      <w:pPr>
        <w:jc w:val="both"/>
        <w:rPr>
          <w:rFonts w:cs="Calibri"/>
          <w:bCs/>
        </w:rPr>
      </w:pPr>
      <w:r w:rsidRPr="00575B72">
        <w:rPr>
          <w:rFonts w:cs="Calibri"/>
          <w:bCs/>
        </w:rPr>
        <w:t xml:space="preserve">The </w:t>
      </w:r>
      <w:r w:rsidRPr="001D40ED">
        <w:rPr>
          <w:rFonts w:cs="Calibri"/>
          <w:bCs/>
        </w:rPr>
        <w:t>Local Planning Strategy</w:t>
      </w:r>
      <w:r w:rsidRPr="00575B72">
        <w:rPr>
          <w:rFonts w:cs="Calibri"/>
          <w:bCs/>
        </w:rPr>
        <w:t xml:space="preserve"> recognises the need for further detailed planning to encourage and guide development of a vibrant </w:t>
      </w:r>
      <w:r>
        <w:rPr>
          <w:rFonts w:cs="Calibri"/>
          <w:bCs/>
        </w:rPr>
        <w:t>T</w:t>
      </w:r>
      <w:r w:rsidRPr="00575B72">
        <w:rPr>
          <w:rFonts w:cs="Calibri"/>
          <w:bCs/>
        </w:rPr>
        <w:t xml:space="preserve">own </w:t>
      </w:r>
      <w:r>
        <w:rPr>
          <w:rFonts w:cs="Calibri"/>
          <w:bCs/>
        </w:rPr>
        <w:t>C</w:t>
      </w:r>
      <w:r w:rsidRPr="00575B72">
        <w:rPr>
          <w:rFonts w:cs="Calibri"/>
          <w:bCs/>
        </w:rPr>
        <w:t>entre. It includes action to undertake detailed analysis for mixed use opportunities within the Town Centre (Planning Area B) and the Canning Highway – Mixed Use area (Planning Area C) with a view to preparing precinct plan/s to facilitate more intensive residential development and mixed-use development and improvements to the public realm in the medium term.</w:t>
      </w:r>
    </w:p>
    <w:p w14:paraId="2AE13D16" w14:textId="77777777" w:rsidR="001B5B0A" w:rsidRDefault="001B5B0A" w:rsidP="001B5B0A">
      <w:pPr>
        <w:jc w:val="both"/>
        <w:rPr>
          <w:rFonts w:cs="Calibri"/>
          <w:bCs/>
        </w:rPr>
      </w:pPr>
      <w:r w:rsidRPr="00575B72">
        <w:rPr>
          <w:rFonts w:cs="Calibri"/>
          <w:bCs/>
        </w:rPr>
        <w:t xml:space="preserve">This is likely to include changes to zoning and scheme provisions relating to residential density and development controls, as well as policy review. </w:t>
      </w:r>
      <w:r>
        <w:rPr>
          <w:rFonts w:cs="Calibri"/>
          <w:bCs/>
        </w:rPr>
        <w:t>T</w:t>
      </w:r>
      <w:r w:rsidRPr="00575B72">
        <w:rPr>
          <w:rFonts w:cs="Calibri"/>
          <w:bCs/>
        </w:rPr>
        <w:t xml:space="preserve">he </w:t>
      </w:r>
      <w:r w:rsidRPr="001D40ED">
        <w:rPr>
          <w:rFonts w:cs="Calibri"/>
          <w:bCs/>
        </w:rPr>
        <w:t>Local Planning Strategy</w:t>
      </w:r>
      <w:r w:rsidRPr="00575B72">
        <w:rPr>
          <w:rFonts w:cs="Calibri"/>
          <w:bCs/>
        </w:rPr>
        <w:t xml:space="preserve"> promotes </w:t>
      </w:r>
      <w:r>
        <w:rPr>
          <w:rFonts w:cs="Calibri"/>
          <w:bCs/>
        </w:rPr>
        <w:t xml:space="preserve">application of </w:t>
      </w:r>
      <w:r w:rsidRPr="001D40ED">
        <w:rPr>
          <w:rFonts w:cs="Calibri"/>
          <w:bCs/>
        </w:rPr>
        <w:t>this policy</w:t>
      </w:r>
      <w:r w:rsidRPr="00575B72">
        <w:rPr>
          <w:rFonts w:cs="Calibri"/>
          <w:bCs/>
        </w:rPr>
        <w:t xml:space="preserve"> </w:t>
      </w:r>
      <w:r>
        <w:rPr>
          <w:rFonts w:cs="Calibri"/>
          <w:bCs/>
        </w:rPr>
        <w:t>as</w:t>
      </w:r>
      <w:r w:rsidRPr="00575B72">
        <w:rPr>
          <w:rFonts w:cs="Calibri"/>
          <w:bCs/>
        </w:rPr>
        <w:t xml:space="preserve"> an interim measure</w:t>
      </w:r>
      <w:r>
        <w:rPr>
          <w:rFonts w:cs="Calibri"/>
          <w:bCs/>
        </w:rPr>
        <w:t xml:space="preserve"> as a precursor</w:t>
      </w:r>
      <w:r w:rsidRPr="00575B72">
        <w:rPr>
          <w:rFonts w:cs="Calibri"/>
          <w:bCs/>
        </w:rPr>
        <w:t xml:space="preserve"> to the precinct planning process for the Town Centre and its surrounds</w:t>
      </w:r>
      <w:r>
        <w:rPr>
          <w:rFonts w:cs="Calibri"/>
          <w:bCs/>
        </w:rPr>
        <w:t>.</w:t>
      </w:r>
    </w:p>
    <w:p w14:paraId="1DF144CB" w14:textId="77777777" w:rsidR="001B5B0A" w:rsidRDefault="001B5B0A" w:rsidP="001B5B0A">
      <w:pPr>
        <w:spacing w:after="0"/>
        <w:jc w:val="both"/>
        <w:rPr>
          <w:u w:val="single"/>
        </w:rPr>
      </w:pPr>
      <w:r w:rsidRPr="001D40ED">
        <w:rPr>
          <w:u w:val="single"/>
        </w:rPr>
        <w:t>Local Commercial Centres Assessment and Strategy</w:t>
      </w:r>
      <w:r>
        <w:rPr>
          <w:u w:val="single"/>
        </w:rPr>
        <w:t xml:space="preserve"> (2022)</w:t>
      </w:r>
    </w:p>
    <w:p w14:paraId="4BE8E461" w14:textId="77777777" w:rsidR="001B5B0A" w:rsidRDefault="001B5B0A" w:rsidP="001B5B0A">
      <w:pPr>
        <w:jc w:val="both"/>
      </w:pPr>
      <w:r>
        <w:t>The Local Commercial Centres Assessment and Strategy guides the provision of commercial floorspace type and amount within the Town Centre and its surrounds, indicates additional dwelling numbers required to support a robust and vibrant Town Centre and recommends opportunities to create improvements to trade exposure and shopping experiences.</w:t>
      </w:r>
    </w:p>
    <w:p w14:paraId="408E45C3" w14:textId="77777777" w:rsidR="001B5B0A" w:rsidRPr="00860232" w:rsidRDefault="001B5B0A" w:rsidP="001B5B0A">
      <w:pPr>
        <w:spacing w:after="0"/>
        <w:jc w:val="both"/>
        <w:rPr>
          <w:u w:val="single"/>
        </w:rPr>
      </w:pPr>
      <w:bookmarkStart w:id="524" w:name="_Hlk142308292"/>
      <w:r w:rsidRPr="00860232">
        <w:rPr>
          <w:u w:val="single"/>
        </w:rPr>
        <w:t>State Planning Policy 7.3 Residential Design Codes Volume 1 (R-Codes Vol.1) and Volume 2 – Apartments (R-Codes Vol.2)</w:t>
      </w:r>
    </w:p>
    <w:p w14:paraId="2D173297" w14:textId="77777777" w:rsidR="001B5B0A" w:rsidRPr="00860232" w:rsidRDefault="001B5B0A" w:rsidP="00303E96">
      <w:pPr>
        <w:pStyle w:val="ListParagraph"/>
        <w:numPr>
          <w:ilvl w:val="0"/>
          <w:numId w:val="513"/>
        </w:numPr>
        <w:jc w:val="both"/>
      </w:pPr>
      <w:r w:rsidRPr="00860232">
        <w:t>Unless otherwise varied by this Policy, applications for development approval for the following are to have due regard to the policy objectives of the R-Codes and comply with the development standards of the R-Codes, as applicable:</w:t>
      </w:r>
    </w:p>
    <w:p w14:paraId="6DFCA225" w14:textId="77777777" w:rsidR="001B5B0A" w:rsidRPr="00860232" w:rsidRDefault="001B5B0A" w:rsidP="00303E96">
      <w:pPr>
        <w:pStyle w:val="ListParagraph"/>
        <w:numPr>
          <w:ilvl w:val="0"/>
          <w:numId w:val="514"/>
        </w:numPr>
        <w:jc w:val="both"/>
      </w:pPr>
      <w:r w:rsidRPr="00860232">
        <w:t>Volume 1 Part B for:</w:t>
      </w:r>
    </w:p>
    <w:p w14:paraId="0FE556BC" w14:textId="77777777" w:rsidR="001B5B0A" w:rsidRPr="00860232" w:rsidRDefault="001B5B0A" w:rsidP="00303E96">
      <w:pPr>
        <w:pStyle w:val="ListParagraph"/>
        <w:numPr>
          <w:ilvl w:val="0"/>
          <w:numId w:val="515"/>
        </w:numPr>
        <w:jc w:val="both"/>
      </w:pPr>
      <w:r w:rsidRPr="00860232">
        <w:t xml:space="preserve">Single houses in the Residential and </w:t>
      </w:r>
      <w:proofErr w:type="gramStart"/>
      <w:r w:rsidRPr="00860232">
        <w:t>Mixed Use</w:t>
      </w:r>
      <w:proofErr w:type="gramEnd"/>
      <w:r w:rsidRPr="00860232">
        <w:t xml:space="preserve"> Zones where R12.5, R20 and R40 applies; and</w:t>
      </w:r>
    </w:p>
    <w:p w14:paraId="6C3D3659" w14:textId="77777777" w:rsidR="001B5B0A" w:rsidRPr="00860232" w:rsidRDefault="001B5B0A" w:rsidP="00303E96">
      <w:pPr>
        <w:pStyle w:val="ListParagraph"/>
        <w:numPr>
          <w:ilvl w:val="0"/>
          <w:numId w:val="515"/>
        </w:numPr>
        <w:jc w:val="both"/>
      </w:pPr>
      <w:r w:rsidRPr="00860232">
        <w:t>Grouped dwellings in the Residential Zone where R12.5 and R20 applies.</w:t>
      </w:r>
    </w:p>
    <w:p w14:paraId="035ADC30" w14:textId="77777777" w:rsidR="001B5B0A" w:rsidRPr="00860232" w:rsidRDefault="001B5B0A" w:rsidP="00303E96">
      <w:pPr>
        <w:pStyle w:val="ListParagraph"/>
        <w:numPr>
          <w:ilvl w:val="0"/>
          <w:numId w:val="514"/>
        </w:numPr>
        <w:jc w:val="both"/>
      </w:pPr>
      <w:r w:rsidRPr="00860232">
        <w:t>Volume 1 Part C for:</w:t>
      </w:r>
    </w:p>
    <w:p w14:paraId="4FBDC79F" w14:textId="77777777" w:rsidR="001B5B0A" w:rsidRPr="00860232" w:rsidRDefault="001B5B0A" w:rsidP="00303E96">
      <w:pPr>
        <w:pStyle w:val="ListParagraph"/>
        <w:numPr>
          <w:ilvl w:val="0"/>
          <w:numId w:val="516"/>
        </w:numPr>
        <w:jc w:val="both"/>
      </w:pPr>
      <w:r w:rsidRPr="00860232">
        <w:t>Grouped dwellings and multiple dwellings in the Residential, Mixed Use and Town Centres Zones where R40 applies; and</w:t>
      </w:r>
    </w:p>
    <w:p w14:paraId="3EA002B7" w14:textId="77777777" w:rsidR="001B5B0A" w:rsidRPr="00860232" w:rsidRDefault="001B5B0A" w:rsidP="00303E96">
      <w:pPr>
        <w:pStyle w:val="ListParagraph"/>
        <w:numPr>
          <w:ilvl w:val="0"/>
          <w:numId w:val="516"/>
        </w:numPr>
        <w:jc w:val="both"/>
      </w:pPr>
      <w:r w:rsidRPr="00860232">
        <w:t>Grouped dwellings in the Town Centre Zone if determined by Council that density greater than R40 applies.</w:t>
      </w:r>
    </w:p>
    <w:p w14:paraId="1B950C29" w14:textId="77777777" w:rsidR="001B5B0A" w:rsidRPr="00860232" w:rsidRDefault="001B5B0A" w:rsidP="00303E96">
      <w:pPr>
        <w:pStyle w:val="ListParagraph"/>
        <w:numPr>
          <w:ilvl w:val="0"/>
          <w:numId w:val="514"/>
        </w:numPr>
        <w:jc w:val="both"/>
      </w:pPr>
      <w:r w:rsidRPr="00860232">
        <w:t>Volume 2 for:</w:t>
      </w:r>
    </w:p>
    <w:p w14:paraId="40004707" w14:textId="77777777" w:rsidR="001B5B0A" w:rsidRPr="00860232" w:rsidRDefault="001B5B0A" w:rsidP="00303E96">
      <w:pPr>
        <w:pStyle w:val="ListParagraph"/>
        <w:numPr>
          <w:ilvl w:val="0"/>
          <w:numId w:val="517"/>
        </w:numPr>
        <w:jc w:val="both"/>
      </w:pPr>
      <w:r w:rsidRPr="00860232">
        <w:t>Multiple dwellings in the Town Centre Zone if determined by Council that R80 applies.</w:t>
      </w:r>
    </w:p>
    <w:p w14:paraId="65B1B1FB" w14:textId="77777777" w:rsidR="001B5B0A" w:rsidRPr="00860232" w:rsidRDefault="001B5B0A" w:rsidP="00303E96">
      <w:pPr>
        <w:pStyle w:val="ListParagraph"/>
        <w:numPr>
          <w:ilvl w:val="0"/>
          <w:numId w:val="513"/>
        </w:numPr>
        <w:jc w:val="both"/>
      </w:pPr>
      <w:r w:rsidRPr="00860232">
        <w:t>In accordance with clause 3.2.3 of the R-Codes Vol.1, the Town may amend, replace and/or augment the following deemed to comply provisions of the following sections of the R-Codes Vol.1:</w:t>
      </w:r>
    </w:p>
    <w:p w14:paraId="6D05CD3D" w14:textId="77777777" w:rsidR="001B5B0A" w:rsidRPr="00DF5C61" w:rsidRDefault="001B5B0A" w:rsidP="001B5B0A">
      <w:pPr>
        <w:pStyle w:val="ListParagraph"/>
        <w:spacing w:after="0" w:line="240" w:lineRule="auto"/>
        <w:ind w:left="360"/>
        <w:rPr>
          <w:rFonts w:ascii="Calibri" w:hAnsi="Calibri" w:cs="Calibri"/>
          <w:highlight w:val="yellow"/>
        </w:rPr>
      </w:pPr>
    </w:p>
    <w:tbl>
      <w:tblPr>
        <w:tblStyle w:val="TableGrid"/>
        <w:tblW w:w="0" w:type="auto"/>
        <w:tblInd w:w="360" w:type="dxa"/>
        <w:tblLook w:val="04A0" w:firstRow="1" w:lastRow="0" w:firstColumn="1" w:lastColumn="0" w:noHBand="0" w:noVBand="1"/>
      </w:tblPr>
      <w:tblGrid>
        <w:gridCol w:w="4455"/>
        <w:gridCol w:w="4201"/>
      </w:tblGrid>
      <w:tr w:rsidR="001B5B0A" w:rsidRPr="000E4DBF" w14:paraId="670E2887" w14:textId="77777777" w:rsidTr="006255F2">
        <w:tc>
          <w:tcPr>
            <w:tcW w:w="4455" w:type="dxa"/>
          </w:tcPr>
          <w:p w14:paraId="129F7BF3" w14:textId="77777777" w:rsidR="001B5B0A" w:rsidRPr="000E4DBF" w:rsidRDefault="001B5B0A" w:rsidP="006255F2">
            <w:pPr>
              <w:jc w:val="center"/>
              <w:rPr>
                <w:rFonts w:ascii="Calibri" w:hAnsi="Calibri" w:cs="Calibri"/>
                <w:b/>
                <w:bCs/>
              </w:rPr>
            </w:pPr>
            <w:r w:rsidRPr="000E4DBF">
              <w:rPr>
                <w:rFonts w:ascii="Calibri" w:hAnsi="Calibri" w:cs="Calibri"/>
                <w:b/>
                <w:bCs/>
              </w:rPr>
              <w:t>Part B</w:t>
            </w:r>
          </w:p>
        </w:tc>
        <w:tc>
          <w:tcPr>
            <w:tcW w:w="4201" w:type="dxa"/>
          </w:tcPr>
          <w:p w14:paraId="0B62C437" w14:textId="77777777" w:rsidR="001B5B0A" w:rsidRPr="000E4DBF" w:rsidRDefault="001B5B0A" w:rsidP="006255F2">
            <w:pPr>
              <w:jc w:val="center"/>
              <w:rPr>
                <w:rFonts w:ascii="Calibri" w:hAnsi="Calibri" w:cs="Calibri"/>
                <w:b/>
                <w:bCs/>
              </w:rPr>
            </w:pPr>
            <w:r w:rsidRPr="000E4DBF">
              <w:rPr>
                <w:rFonts w:ascii="Calibri" w:hAnsi="Calibri" w:cs="Calibri"/>
                <w:b/>
                <w:bCs/>
              </w:rPr>
              <w:t>Part C</w:t>
            </w:r>
          </w:p>
        </w:tc>
      </w:tr>
      <w:tr w:rsidR="001B5B0A" w:rsidRPr="000E4DBF" w14:paraId="090E1BEE" w14:textId="77777777" w:rsidTr="006255F2">
        <w:tc>
          <w:tcPr>
            <w:tcW w:w="4455" w:type="dxa"/>
          </w:tcPr>
          <w:p w14:paraId="2535A5E0"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5.1.2 Street setbacks – all clauses</w:t>
            </w:r>
          </w:p>
          <w:p w14:paraId="16294C42"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5.1.3 Lot boundary setbacks – C3.2-3.3</w:t>
            </w:r>
          </w:p>
          <w:p w14:paraId="495F3733"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5.1.6 Building height – all clauses</w:t>
            </w:r>
          </w:p>
          <w:p w14:paraId="64D57458"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5.2.1 Setback of garages and carports – all clauses</w:t>
            </w:r>
          </w:p>
          <w:p w14:paraId="6BDD457C"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5.2.2 Garage width – all clauses</w:t>
            </w:r>
          </w:p>
          <w:p w14:paraId="22BF8702"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5.2.3 Street surveillance – all clauses</w:t>
            </w:r>
          </w:p>
          <w:p w14:paraId="28AB0D01"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5.2.4 Street walls and fences – all clauses</w:t>
            </w:r>
          </w:p>
          <w:p w14:paraId="451E9875"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5.2.5 Sight lines – all clauses</w:t>
            </w:r>
          </w:p>
          <w:p w14:paraId="41CBAA14"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5.2.6 Appearance of retained dwelling – all clauses</w:t>
            </w:r>
          </w:p>
          <w:p w14:paraId="3D48987C"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5.3.5 Vehicular access – C5.1</w:t>
            </w:r>
          </w:p>
          <w:p w14:paraId="250E9102"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5.3.7 Site works – all clauses</w:t>
            </w:r>
          </w:p>
          <w:p w14:paraId="3ADDC9E7"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5.4.3 Outbuildings – all clauses</w:t>
            </w:r>
          </w:p>
          <w:p w14:paraId="69976407"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5.4.4 External fixtures, utilities and facilities – all clauses</w:t>
            </w:r>
          </w:p>
          <w:p w14:paraId="6FE55AD3"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5.5.2 Aged and dependent persons’ dwellings – all clauses</w:t>
            </w:r>
          </w:p>
          <w:p w14:paraId="4CDA3B46"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5.5.3 Single bedroom dwellings – all clauses</w:t>
            </w:r>
          </w:p>
        </w:tc>
        <w:tc>
          <w:tcPr>
            <w:tcW w:w="4201" w:type="dxa"/>
          </w:tcPr>
          <w:p w14:paraId="6B20D88D"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1.2 Trees and landscaping – C1.2.5</w:t>
            </w:r>
          </w:p>
          <w:p w14:paraId="6620772E"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1.4 Water management and conservation – all clauses</w:t>
            </w:r>
          </w:p>
          <w:p w14:paraId="06891786"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2.1 Size and layout of dwellings – C2.1.8</w:t>
            </w:r>
          </w:p>
          <w:p w14:paraId="5458342A"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2.4 Waste management – all clauses</w:t>
            </w:r>
          </w:p>
          <w:p w14:paraId="56D609D8"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2.5 Utilities – all clauses</w:t>
            </w:r>
          </w:p>
          <w:p w14:paraId="6C449475"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3.3 Street setbacks – all clauses</w:t>
            </w:r>
          </w:p>
          <w:p w14:paraId="1E004969"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3.4 Lot boundary setbacks – C3.4.4 and C3.4.5</w:t>
            </w:r>
          </w:p>
          <w:p w14:paraId="0C0D1332"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3.5 Site works and retaining walls – all clauses</w:t>
            </w:r>
          </w:p>
          <w:p w14:paraId="6CA614AB"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3.6 Streetscape – all clauses</w:t>
            </w:r>
          </w:p>
          <w:p w14:paraId="3A73C41B"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3.7 Access – C3.7.1 and C3.7.2</w:t>
            </w:r>
          </w:p>
          <w:p w14:paraId="06370D83" w14:textId="77777777" w:rsidR="001B5B0A" w:rsidRPr="005E2182" w:rsidRDefault="001B5B0A" w:rsidP="006255F2">
            <w:pPr>
              <w:rPr>
                <w:rFonts w:ascii="Calibri" w:hAnsi="Calibri" w:cs="Calibri"/>
                <w:sz w:val="18"/>
                <w:szCs w:val="18"/>
              </w:rPr>
            </w:pPr>
            <w:r w:rsidRPr="005E2182">
              <w:rPr>
                <w:rFonts w:ascii="Calibri" w:hAnsi="Calibri" w:cs="Calibri"/>
                <w:sz w:val="18"/>
                <w:szCs w:val="18"/>
              </w:rPr>
              <w:t>3.8 Retaining existing dwellings – all clauses</w:t>
            </w:r>
          </w:p>
        </w:tc>
      </w:tr>
    </w:tbl>
    <w:p w14:paraId="7D523BEB" w14:textId="77777777" w:rsidR="001B5B0A" w:rsidRPr="006D547A" w:rsidRDefault="001B5B0A" w:rsidP="001B5B0A">
      <w:pPr>
        <w:jc w:val="both"/>
        <w:rPr>
          <w:highlight w:val="yellow"/>
        </w:rPr>
      </w:pPr>
    </w:p>
    <w:p w14:paraId="56D1AAFE" w14:textId="77777777" w:rsidR="001B5B0A" w:rsidRPr="00860232" w:rsidRDefault="001B5B0A" w:rsidP="001B5B0A">
      <w:pPr>
        <w:ind w:left="360"/>
        <w:jc w:val="both"/>
      </w:pPr>
      <w:r w:rsidRPr="00860232">
        <w:t>Where this policy is inconsistent with the R-Codes Vol.1 in relation to the above matters, then this policy prevails.</w:t>
      </w:r>
    </w:p>
    <w:p w14:paraId="4499BF98" w14:textId="77777777" w:rsidR="001B5B0A" w:rsidRPr="00860232" w:rsidRDefault="001B5B0A" w:rsidP="00303E96">
      <w:pPr>
        <w:pStyle w:val="ListParagraph"/>
        <w:numPr>
          <w:ilvl w:val="0"/>
          <w:numId w:val="513"/>
        </w:numPr>
        <w:jc w:val="both"/>
      </w:pPr>
      <w:r w:rsidRPr="00860232">
        <w:t>In accordance with clause 1.2.2 of the R-Codes Vol.2, the Town may amend or replace Acceptable Outcomes of the following sections of the R-Codes Vol.2:</w:t>
      </w:r>
    </w:p>
    <w:p w14:paraId="59580495" w14:textId="77777777" w:rsidR="001B5B0A" w:rsidRPr="00860232" w:rsidRDefault="001B5B0A" w:rsidP="00303E96">
      <w:pPr>
        <w:pStyle w:val="ListParagraph"/>
        <w:numPr>
          <w:ilvl w:val="0"/>
          <w:numId w:val="518"/>
        </w:numPr>
        <w:jc w:val="both"/>
      </w:pPr>
      <w:r w:rsidRPr="00860232">
        <w:t xml:space="preserve">All of Part 2 Primary Controls – Building height, Street setbacks, Side and rear setbacks, Plot ratio, </w:t>
      </w:r>
      <w:proofErr w:type="gramStart"/>
      <w:r w:rsidRPr="00860232">
        <w:t>Building</w:t>
      </w:r>
      <w:proofErr w:type="gramEnd"/>
      <w:r w:rsidRPr="00860232">
        <w:t xml:space="preserve"> depth, Building separation, Development incentives for community benefit.</w:t>
      </w:r>
    </w:p>
    <w:p w14:paraId="20B4A438" w14:textId="77777777" w:rsidR="001B5B0A" w:rsidRPr="00860232" w:rsidRDefault="001B5B0A" w:rsidP="00303E96">
      <w:pPr>
        <w:pStyle w:val="ListParagraph"/>
        <w:numPr>
          <w:ilvl w:val="0"/>
          <w:numId w:val="518"/>
        </w:numPr>
        <w:jc w:val="both"/>
      </w:pPr>
      <w:r w:rsidRPr="00860232">
        <w:t>Some of Part 3 Siting the Development – Public domain interface, Pedestrian access and entries, Vehicle access.</w:t>
      </w:r>
    </w:p>
    <w:p w14:paraId="4D0CB4E3" w14:textId="77777777" w:rsidR="001B5B0A" w:rsidRPr="00860232" w:rsidRDefault="001B5B0A" w:rsidP="00303E96">
      <w:pPr>
        <w:pStyle w:val="ListParagraph"/>
        <w:numPr>
          <w:ilvl w:val="0"/>
          <w:numId w:val="518"/>
        </w:numPr>
        <w:jc w:val="both"/>
      </w:pPr>
      <w:r w:rsidRPr="00860232">
        <w:t>Some of Part 4 Designing the Building – Façade design, Roof design, Adaptive reuse.</w:t>
      </w:r>
    </w:p>
    <w:p w14:paraId="7B84394F" w14:textId="77777777" w:rsidR="001B5B0A" w:rsidRPr="00860232" w:rsidRDefault="001B5B0A" w:rsidP="001B5B0A">
      <w:pPr>
        <w:ind w:left="360"/>
        <w:jc w:val="both"/>
      </w:pPr>
      <w:r w:rsidRPr="00860232">
        <w:t>Where this policy is inconsistent with the R-Codes Vol.2 in relation to the above matters, then this policy prevails.</w:t>
      </w:r>
    </w:p>
    <w:bookmarkEnd w:id="524"/>
    <w:p w14:paraId="1A978B88" w14:textId="77777777" w:rsidR="001B5B0A" w:rsidRDefault="001B5B0A" w:rsidP="001B5B0A">
      <w:pPr>
        <w:spacing w:after="0"/>
        <w:jc w:val="both"/>
        <w:rPr>
          <w:u w:val="single"/>
        </w:rPr>
      </w:pPr>
      <w:r w:rsidRPr="001D40ED">
        <w:rPr>
          <w:u w:val="single"/>
        </w:rPr>
        <w:t>Fremantle Port Buffe</w:t>
      </w:r>
      <w:r>
        <w:rPr>
          <w:u w:val="single"/>
        </w:rPr>
        <w:t>r Development Guidelines</w:t>
      </w:r>
    </w:p>
    <w:p w14:paraId="42D08F63" w14:textId="77777777" w:rsidR="001B5B0A" w:rsidRPr="001D40ED" w:rsidRDefault="001B5B0A" w:rsidP="001B5B0A">
      <w:pPr>
        <w:jc w:val="both"/>
      </w:pPr>
      <w:r w:rsidRPr="007308F5">
        <w:t>Fremantle Inner Harbour Port Buffer Areas 2 and 3 apply to parts of the Town Centre Redevelopment Area</w:t>
      </w:r>
      <w:r>
        <w:t>. For development within the Town Centre Redevelopment Area affected by Buffers 2 and 3, t</w:t>
      </w:r>
      <w:r w:rsidRPr="007308F5">
        <w:t>h</w:t>
      </w:r>
      <w:r>
        <w:t>is policy reflects and considers the referral process and recommended land use and built form development considerations of the Fremantle Port Buffer Development Guidelines.</w:t>
      </w:r>
    </w:p>
    <w:p w14:paraId="56199E88" w14:textId="77777777" w:rsidR="001B5B0A" w:rsidRDefault="001B5B0A" w:rsidP="001B5B0A">
      <w:pPr>
        <w:spacing w:after="0"/>
        <w:jc w:val="both"/>
        <w:rPr>
          <w:u w:val="single"/>
        </w:rPr>
      </w:pPr>
      <w:r w:rsidRPr="001D40ED">
        <w:rPr>
          <w:u w:val="single"/>
        </w:rPr>
        <w:t xml:space="preserve">Other Council policies and Guidelines </w:t>
      </w:r>
    </w:p>
    <w:p w14:paraId="2FE3B1E1" w14:textId="77777777" w:rsidR="001B5B0A" w:rsidRDefault="001B5B0A" w:rsidP="001B5B0A">
      <w:pPr>
        <w:jc w:val="both"/>
      </w:pPr>
      <w:r>
        <w:t xml:space="preserve">Unless otherwise stated in this policy, Council’s adopted policies and guidelines also apply to the Town Centre Redevelopment Area, </w:t>
      </w:r>
      <w:proofErr w:type="gramStart"/>
      <w:r>
        <w:t>including:</w:t>
      </w:r>
      <w:proofErr w:type="gramEnd"/>
      <w:r>
        <w:t xml:space="preserve"> Signage Design Guidelines; Wood Encouragement Policy – General; Percent for Public Art Policy; </w:t>
      </w:r>
      <w:r w:rsidRPr="001D40ED">
        <w:t>Urban Streetscape</w:t>
      </w:r>
      <w:r>
        <w:t xml:space="preserve"> and Public Realm Style Guide; and Noise Attenuation Policy.</w:t>
      </w:r>
    </w:p>
    <w:p w14:paraId="27AA7E11" w14:textId="77777777" w:rsidR="001B5B0A" w:rsidRPr="001400A8" w:rsidRDefault="001B5B0A" w:rsidP="001B5B0A">
      <w:pPr>
        <w:spacing w:after="0"/>
        <w:ind w:left="1701" w:hanging="1701"/>
        <w:jc w:val="both"/>
        <w:rPr>
          <w:rFonts w:cs="Arial"/>
          <w:b/>
          <w:sz w:val="28"/>
          <w:szCs w:val="28"/>
        </w:rPr>
      </w:pPr>
      <w:r w:rsidRPr="001400A8">
        <w:rPr>
          <w:rFonts w:cs="Arial"/>
          <w:b/>
          <w:sz w:val="28"/>
          <w:szCs w:val="28"/>
        </w:rPr>
        <w:t>Background</w:t>
      </w:r>
    </w:p>
    <w:p w14:paraId="52B326D8" w14:textId="77777777" w:rsidR="001B5B0A" w:rsidRDefault="001B5B0A" w:rsidP="001B5B0A">
      <w:pPr>
        <w:spacing w:after="120"/>
        <w:jc w:val="both"/>
        <w:rPr>
          <w:rFonts w:cs="Arial"/>
        </w:rPr>
      </w:pPr>
      <w:r>
        <w:rPr>
          <w:rFonts w:cs="Arial"/>
        </w:rPr>
        <w:t>T</w:t>
      </w:r>
      <w:r w:rsidRPr="001400A8">
        <w:rPr>
          <w:rFonts w:cs="Arial"/>
        </w:rPr>
        <w:t xml:space="preserve">he East Fremantle </w:t>
      </w:r>
      <w:r>
        <w:rPr>
          <w:rFonts w:cs="Arial"/>
        </w:rPr>
        <w:t>T</w:t>
      </w:r>
      <w:r w:rsidRPr="001400A8">
        <w:rPr>
          <w:rFonts w:cs="Arial"/>
        </w:rPr>
        <w:t xml:space="preserve">own </w:t>
      </w:r>
      <w:r>
        <w:rPr>
          <w:rFonts w:cs="Arial"/>
        </w:rPr>
        <w:t>C</w:t>
      </w:r>
      <w:r w:rsidRPr="001400A8">
        <w:rPr>
          <w:rFonts w:cs="Arial"/>
        </w:rPr>
        <w:t xml:space="preserve">entre is generally regarded as </w:t>
      </w:r>
      <w:r>
        <w:rPr>
          <w:rFonts w:cs="Arial"/>
        </w:rPr>
        <w:t>lacking appeal</w:t>
      </w:r>
      <w:r w:rsidRPr="001400A8">
        <w:rPr>
          <w:rFonts w:cs="Arial"/>
        </w:rPr>
        <w:t xml:space="preserve">, with </w:t>
      </w:r>
      <w:r>
        <w:rPr>
          <w:rFonts w:cs="Arial"/>
        </w:rPr>
        <w:t>much</w:t>
      </w:r>
      <w:r w:rsidRPr="001400A8">
        <w:rPr>
          <w:rFonts w:cs="Arial"/>
        </w:rPr>
        <w:t xml:space="preserve"> of the local community </w:t>
      </w:r>
      <w:r>
        <w:rPr>
          <w:rFonts w:cs="Arial"/>
        </w:rPr>
        <w:t>pursu</w:t>
      </w:r>
      <w:r w:rsidRPr="001400A8">
        <w:rPr>
          <w:rFonts w:cs="Arial"/>
        </w:rPr>
        <w:t xml:space="preserve">ing their needs at other centres with </w:t>
      </w:r>
      <w:r>
        <w:rPr>
          <w:rFonts w:cs="Arial"/>
        </w:rPr>
        <w:t>improved</w:t>
      </w:r>
      <w:r w:rsidRPr="001400A8">
        <w:rPr>
          <w:rFonts w:cs="Arial"/>
        </w:rPr>
        <w:t xml:space="preserve"> amenity and a broader more attractive range of services. </w:t>
      </w:r>
    </w:p>
    <w:p w14:paraId="3DE6100D" w14:textId="77777777" w:rsidR="001B5B0A" w:rsidRPr="001400A8" w:rsidRDefault="001B5B0A" w:rsidP="001B5B0A">
      <w:pPr>
        <w:spacing w:after="120"/>
        <w:jc w:val="both"/>
        <w:rPr>
          <w:rFonts w:cs="Arial"/>
        </w:rPr>
      </w:pPr>
      <w:r w:rsidRPr="001400A8">
        <w:rPr>
          <w:rFonts w:cs="Arial"/>
        </w:rPr>
        <w:t xml:space="preserve">The </w:t>
      </w:r>
      <w:r>
        <w:rPr>
          <w:rFonts w:cs="Arial"/>
        </w:rPr>
        <w:t>T</w:t>
      </w:r>
      <w:r w:rsidRPr="001400A8">
        <w:rPr>
          <w:rFonts w:cs="Arial"/>
        </w:rPr>
        <w:t xml:space="preserve">own </w:t>
      </w:r>
      <w:r>
        <w:rPr>
          <w:rFonts w:cs="Arial"/>
        </w:rPr>
        <w:t>C</w:t>
      </w:r>
      <w:r w:rsidRPr="001400A8">
        <w:rPr>
          <w:rFonts w:cs="Arial"/>
        </w:rPr>
        <w:t xml:space="preserve">entre has </w:t>
      </w:r>
      <w:r>
        <w:rPr>
          <w:rFonts w:cs="Arial"/>
        </w:rPr>
        <w:t>experienced more</w:t>
      </w:r>
      <w:r w:rsidRPr="001400A8">
        <w:rPr>
          <w:rFonts w:cs="Arial"/>
        </w:rPr>
        <w:t xml:space="preserve"> recent development of </w:t>
      </w:r>
      <w:r>
        <w:rPr>
          <w:rFonts w:cs="Arial"/>
        </w:rPr>
        <w:t>higher density</w:t>
      </w:r>
      <w:r w:rsidRPr="001400A8">
        <w:rPr>
          <w:rFonts w:cs="Arial"/>
        </w:rPr>
        <w:t xml:space="preserve"> urban housing, notably along </w:t>
      </w:r>
      <w:r>
        <w:rPr>
          <w:rFonts w:cs="Arial"/>
        </w:rPr>
        <w:t xml:space="preserve">Canning Highway, Silas Street and </w:t>
      </w:r>
      <w:r w:rsidRPr="001400A8">
        <w:rPr>
          <w:rFonts w:cs="Arial"/>
        </w:rPr>
        <w:t xml:space="preserve">St Peters Road, which has improved the appearance of the </w:t>
      </w:r>
      <w:r w:rsidRPr="001400A8">
        <w:rPr>
          <w:rFonts w:cs="Arial"/>
        </w:rPr>
        <w:lastRenderedPageBreak/>
        <w:t xml:space="preserve">centre and contributed to the development of a stronger local community within the centre. However, the commercial core of the </w:t>
      </w:r>
      <w:r>
        <w:rPr>
          <w:rFonts w:cs="Arial"/>
        </w:rPr>
        <w:t>T</w:t>
      </w:r>
      <w:r w:rsidRPr="001400A8">
        <w:rPr>
          <w:rFonts w:cs="Arial"/>
        </w:rPr>
        <w:t xml:space="preserve">own </w:t>
      </w:r>
      <w:r>
        <w:rPr>
          <w:rFonts w:cs="Arial"/>
        </w:rPr>
        <w:t>C</w:t>
      </w:r>
      <w:r w:rsidRPr="001400A8">
        <w:rPr>
          <w:rFonts w:cs="Arial"/>
        </w:rPr>
        <w:t xml:space="preserve">entre and the Canning Highway environment remains </w:t>
      </w:r>
      <w:r>
        <w:rPr>
          <w:rFonts w:cs="Arial"/>
        </w:rPr>
        <w:t>in need of improvement</w:t>
      </w:r>
      <w:r w:rsidRPr="001400A8">
        <w:rPr>
          <w:rFonts w:cs="Arial"/>
        </w:rPr>
        <w:t xml:space="preserve">. </w:t>
      </w:r>
    </w:p>
    <w:p w14:paraId="3E02858F" w14:textId="77777777" w:rsidR="001B5B0A" w:rsidRDefault="001B5B0A" w:rsidP="001B5B0A">
      <w:pPr>
        <w:spacing w:after="120"/>
        <w:jc w:val="both"/>
        <w:rPr>
          <w:rFonts w:cs="Arial"/>
          <w:i/>
        </w:rPr>
      </w:pPr>
      <w:r w:rsidRPr="001400A8">
        <w:rPr>
          <w:rFonts w:cs="Arial"/>
        </w:rPr>
        <w:t xml:space="preserve">Centres of activity, such as the East Fremantle </w:t>
      </w:r>
      <w:r>
        <w:rPr>
          <w:rFonts w:cs="Arial"/>
        </w:rPr>
        <w:t>T</w:t>
      </w:r>
      <w:r w:rsidRPr="001400A8">
        <w:rPr>
          <w:rFonts w:cs="Arial"/>
        </w:rPr>
        <w:t xml:space="preserve">own </w:t>
      </w:r>
      <w:r>
        <w:rPr>
          <w:rFonts w:cs="Arial"/>
        </w:rPr>
        <w:t>C</w:t>
      </w:r>
      <w:r w:rsidRPr="001400A8">
        <w:rPr>
          <w:rFonts w:cs="Arial"/>
        </w:rPr>
        <w:t xml:space="preserve">entre, have increasingly become the focus of State Government planning policy. In 2010, the Western Australian Planning Commission (WAPC) released </w:t>
      </w:r>
      <w:r w:rsidRPr="001400A8">
        <w:rPr>
          <w:rFonts w:cs="Arial"/>
          <w:i/>
        </w:rPr>
        <w:t xml:space="preserve">Directions 2031 and Beyond </w:t>
      </w:r>
      <w:r w:rsidRPr="001400A8">
        <w:rPr>
          <w:rFonts w:cs="Arial"/>
        </w:rPr>
        <w:t xml:space="preserve">and </w:t>
      </w:r>
      <w:r w:rsidRPr="001400A8">
        <w:rPr>
          <w:rFonts w:cs="Arial"/>
          <w:i/>
        </w:rPr>
        <w:t>S</w:t>
      </w:r>
      <w:r>
        <w:rPr>
          <w:rFonts w:cs="Arial"/>
          <w:i/>
        </w:rPr>
        <w:t xml:space="preserve">tate </w:t>
      </w:r>
      <w:r w:rsidRPr="001400A8">
        <w:rPr>
          <w:rFonts w:cs="Arial"/>
          <w:i/>
        </w:rPr>
        <w:t>P</w:t>
      </w:r>
      <w:r>
        <w:rPr>
          <w:rFonts w:cs="Arial"/>
          <w:i/>
        </w:rPr>
        <w:t xml:space="preserve">lanning </w:t>
      </w:r>
      <w:r w:rsidRPr="001400A8">
        <w:rPr>
          <w:rFonts w:cs="Arial"/>
          <w:i/>
        </w:rPr>
        <w:t>P</w:t>
      </w:r>
      <w:r>
        <w:rPr>
          <w:rFonts w:cs="Arial"/>
          <w:i/>
        </w:rPr>
        <w:t>olicy</w:t>
      </w:r>
      <w:r w:rsidRPr="001400A8">
        <w:rPr>
          <w:rFonts w:cs="Arial"/>
          <w:i/>
        </w:rPr>
        <w:t xml:space="preserve"> 4.2:</w:t>
      </w:r>
      <w:r w:rsidRPr="001400A8">
        <w:rPr>
          <w:rFonts w:cs="Arial"/>
        </w:rPr>
        <w:t xml:space="preserve"> </w:t>
      </w:r>
      <w:r w:rsidRPr="001400A8">
        <w:rPr>
          <w:rFonts w:cs="Arial"/>
          <w:i/>
        </w:rPr>
        <w:t>Activity Centres Policy</w:t>
      </w:r>
      <w:r w:rsidRPr="001400A8">
        <w:rPr>
          <w:rFonts w:cs="Arial"/>
        </w:rPr>
        <w:t xml:space="preserve"> </w:t>
      </w:r>
      <w:r w:rsidRPr="001400A8">
        <w:rPr>
          <w:rFonts w:cs="Arial"/>
          <w:i/>
        </w:rPr>
        <w:t>for the Perth and Peel Regions</w:t>
      </w:r>
      <w:r>
        <w:rPr>
          <w:rFonts w:cs="Arial"/>
          <w:i/>
        </w:rPr>
        <w:t xml:space="preserve"> (SPP 4.2), the latter being reviewed in 2021.</w:t>
      </w:r>
    </w:p>
    <w:p w14:paraId="01CA99B1" w14:textId="77777777" w:rsidR="001B5B0A" w:rsidRPr="0061566A" w:rsidRDefault="001B5B0A" w:rsidP="001B5B0A">
      <w:pPr>
        <w:spacing w:after="120"/>
        <w:jc w:val="both"/>
        <w:rPr>
          <w:rFonts w:cs="Arial"/>
        </w:rPr>
      </w:pPr>
      <w:r w:rsidRPr="0061566A">
        <w:rPr>
          <w:rFonts w:cs="Arial"/>
        </w:rPr>
        <w:t xml:space="preserve">Building on the framework provided by Directions 2031 and </w:t>
      </w:r>
      <w:proofErr w:type="gramStart"/>
      <w:r w:rsidRPr="0061566A">
        <w:rPr>
          <w:rFonts w:cs="Arial"/>
        </w:rPr>
        <w:t>Beyond</w:t>
      </w:r>
      <w:proofErr w:type="gramEnd"/>
      <w:r w:rsidRPr="0061566A">
        <w:rPr>
          <w:rFonts w:cs="Arial"/>
        </w:rPr>
        <w:t>, the WAPC released the Perth and Peel@3.5 million suite of documents in March 2018 that addresses where future homes and jobs should be located to support a population of 3.5 million by 2050; protection of important environmental assets; utilisation of existing and proposed infrastructure; and appropriate areas for greater infill development and residential density.</w:t>
      </w:r>
    </w:p>
    <w:p w14:paraId="5476CD80" w14:textId="77777777" w:rsidR="001B5B0A" w:rsidRPr="0061566A" w:rsidRDefault="001B5B0A" w:rsidP="001B5B0A">
      <w:pPr>
        <w:spacing w:after="120"/>
        <w:jc w:val="both"/>
        <w:rPr>
          <w:rFonts w:cs="Arial"/>
        </w:rPr>
      </w:pPr>
      <w:r w:rsidRPr="0061566A">
        <w:rPr>
          <w:rFonts w:cs="Arial"/>
        </w:rPr>
        <w:t xml:space="preserve">The Town is located within the Central Sub-Regional Planning Framework whereby 890 additional dwellings are expected to be accommodated within the Town by 2050 to support population growth. It is expected that </w:t>
      </w:r>
      <w:proofErr w:type="gramStart"/>
      <w:r w:rsidRPr="0061566A">
        <w:rPr>
          <w:rFonts w:cs="Arial"/>
        </w:rPr>
        <w:t>the majority of</w:t>
      </w:r>
      <w:proofErr w:type="gramEnd"/>
      <w:r w:rsidRPr="0061566A">
        <w:rPr>
          <w:rFonts w:cs="Arial"/>
        </w:rPr>
        <w:t xml:space="preserve"> these dwellings be provided within identified urban consolidation areas (including activity centres and urban corridors).</w:t>
      </w:r>
    </w:p>
    <w:p w14:paraId="6CB69C2A" w14:textId="77777777" w:rsidR="001B5B0A" w:rsidRDefault="001B5B0A" w:rsidP="001B5B0A">
      <w:pPr>
        <w:spacing w:after="120"/>
        <w:jc w:val="both"/>
        <w:rPr>
          <w:rFonts w:cs="Arial"/>
        </w:rPr>
      </w:pPr>
      <w:r w:rsidRPr="0061566A">
        <w:rPr>
          <w:rFonts w:cs="Arial"/>
        </w:rPr>
        <w:t xml:space="preserve">The Town Centre is not identified by SPP 4.2 or the Spatial Plan provided in the framework as a higher order centre (it is only identified as a Neighbourhood Centre) but nevertheless functions as a ‘mini activity town centre’ within the </w:t>
      </w:r>
      <w:r>
        <w:rPr>
          <w:rFonts w:cs="Arial"/>
        </w:rPr>
        <w:t>Town</w:t>
      </w:r>
      <w:r w:rsidRPr="0061566A">
        <w:rPr>
          <w:rFonts w:cs="Arial"/>
        </w:rPr>
        <w:t xml:space="preserve">. This policy has embraced the principles of SPP 4.2 by considering opportunities for an increase in residential development in and around the Town Centre, as well as </w:t>
      </w:r>
      <w:proofErr w:type="gramStart"/>
      <w:r w:rsidRPr="0061566A">
        <w:rPr>
          <w:rFonts w:cs="Arial"/>
        </w:rPr>
        <w:t>a number of</w:t>
      </w:r>
      <w:proofErr w:type="gramEnd"/>
      <w:r w:rsidRPr="0061566A">
        <w:rPr>
          <w:rFonts w:cs="Arial"/>
        </w:rPr>
        <w:t xml:space="preserve"> adjacent and nearby properties along Canning Highway (identified as a high frequency transit corridor).</w:t>
      </w:r>
    </w:p>
    <w:p w14:paraId="3491E0FC" w14:textId="77777777" w:rsidR="001B5B0A" w:rsidRDefault="001B5B0A" w:rsidP="001B5B0A">
      <w:pPr>
        <w:spacing w:after="120"/>
        <w:jc w:val="both"/>
        <w:rPr>
          <w:rFonts w:cs="Arial"/>
        </w:rPr>
      </w:pPr>
      <w:r w:rsidRPr="001400A8">
        <w:rPr>
          <w:rFonts w:cs="Arial"/>
        </w:rPr>
        <w:t xml:space="preserve">The State Government policies also reinforce the fundamental principle of </w:t>
      </w:r>
      <w:r w:rsidRPr="0068798F">
        <w:rPr>
          <w:rFonts w:cs="Arial"/>
          <w:i/>
        </w:rPr>
        <w:t>Liveable Neighbourhoods</w:t>
      </w:r>
      <w:r w:rsidRPr="0068798F">
        <w:rPr>
          <w:rFonts w:cs="Arial"/>
        </w:rPr>
        <w:t xml:space="preserve"> (WAPC: 2009 update) and </w:t>
      </w:r>
      <w:r w:rsidRPr="0068798F">
        <w:rPr>
          <w:rFonts w:cs="Arial"/>
          <w:i/>
          <w:iCs/>
        </w:rPr>
        <w:t>draft Liveable Neighbourhoods</w:t>
      </w:r>
      <w:r w:rsidRPr="0068798F">
        <w:rPr>
          <w:rFonts w:cs="Arial"/>
        </w:rPr>
        <w:t xml:space="preserve"> (WAPC: 2015)</w:t>
      </w:r>
      <w:r>
        <w:rPr>
          <w:rFonts w:cs="Arial"/>
        </w:rPr>
        <w:t xml:space="preserve"> </w:t>
      </w:r>
      <w:r w:rsidRPr="001400A8">
        <w:rPr>
          <w:rFonts w:cs="Arial"/>
        </w:rPr>
        <w:t xml:space="preserve">that describes how urban areas should be composed of a network of interconnected mixed-use centres that lie at the heart of their own walkable catchments. The location of the East Fremantle </w:t>
      </w:r>
      <w:r>
        <w:rPr>
          <w:rFonts w:cs="Arial"/>
        </w:rPr>
        <w:t>T</w:t>
      </w:r>
      <w:r w:rsidRPr="001400A8">
        <w:rPr>
          <w:rFonts w:cs="Arial"/>
        </w:rPr>
        <w:t xml:space="preserve">own </w:t>
      </w:r>
      <w:r>
        <w:rPr>
          <w:rFonts w:cs="Arial"/>
        </w:rPr>
        <w:t>C</w:t>
      </w:r>
      <w:r w:rsidRPr="001400A8">
        <w:rPr>
          <w:rFonts w:cs="Arial"/>
        </w:rPr>
        <w:t>entre and its notional walkable catchment is identified in Plan 1</w:t>
      </w:r>
      <w:r>
        <w:rPr>
          <w:rFonts w:cs="Arial"/>
        </w:rPr>
        <w:t xml:space="preserve"> attached to this policy</w:t>
      </w:r>
      <w:r w:rsidRPr="001400A8">
        <w:rPr>
          <w:rFonts w:cs="Arial"/>
        </w:rPr>
        <w:t>.</w:t>
      </w:r>
      <w:r>
        <w:rPr>
          <w:rFonts w:cs="Arial"/>
        </w:rPr>
        <w:t xml:space="preserve"> </w:t>
      </w:r>
      <w:r w:rsidRPr="001400A8">
        <w:rPr>
          <w:rFonts w:cs="Arial"/>
        </w:rPr>
        <w:t xml:space="preserve">In response it is important than additional growth in the </w:t>
      </w:r>
      <w:r>
        <w:rPr>
          <w:rFonts w:cs="Arial"/>
        </w:rPr>
        <w:t>T</w:t>
      </w:r>
      <w:r w:rsidRPr="001400A8">
        <w:rPr>
          <w:rFonts w:cs="Arial"/>
        </w:rPr>
        <w:t xml:space="preserve">own </w:t>
      </w:r>
      <w:r>
        <w:rPr>
          <w:rFonts w:cs="Arial"/>
        </w:rPr>
        <w:t>C</w:t>
      </w:r>
      <w:r w:rsidRPr="001400A8">
        <w:rPr>
          <w:rFonts w:cs="Arial"/>
        </w:rPr>
        <w:t>entre and surrounding areas is in a manner conducive to pedestrian movement.</w:t>
      </w:r>
    </w:p>
    <w:p w14:paraId="5B70E269" w14:textId="77777777" w:rsidR="001B5B0A" w:rsidRPr="001400A8" w:rsidRDefault="001B5B0A" w:rsidP="001B5B0A">
      <w:pPr>
        <w:spacing w:after="120"/>
        <w:jc w:val="both"/>
        <w:rPr>
          <w:rFonts w:cs="Arial"/>
        </w:rPr>
      </w:pPr>
      <w:r w:rsidRPr="0077559E">
        <w:rPr>
          <w:rFonts w:cs="Arial"/>
        </w:rPr>
        <w:t xml:space="preserve">A more sustainable </w:t>
      </w:r>
      <w:r>
        <w:rPr>
          <w:rFonts w:cs="Arial"/>
        </w:rPr>
        <w:t>T</w:t>
      </w:r>
      <w:r w:rsidRPr="0077559E">
        <w:rPr>
          <w:rFonts w:cs="Arial"/>
        </w:rPr>
        <w:t xml:space="preserve">own </w:t>
      </w:r>
      <w:r>
        <w:rPr>
          <w:rFonts w:cs="Arial"/>
        </w:rPr>
        <w:t>C</w:t>
      </w:r>
      <w:r w:rsidRPr="0077559E">
        <w:rPr>
          <w:rFonts w:cs="Arial"/>
        </w:rPr>
        <w:t>entre also means ensuring that there is a variety of housing types that appeal to a broad range of future residents and developing building stock that can adapt to changes of use over time in response to the needs of the existing community and future generations to come.</w:t>
      </w:r>
    </w:p>
    <w:p w14:paraId="14AABF32" w14:textId="77777777" w:rsidR="001B5B0A" w:rsidRPr="001400A8" w:rsidRDefault="001B5B0A" w:rsidP="001B5B0A">
      <w:pPr>
        <w:spacing w:after="120"/>
        <w:jc w:val="both"/>
        <w:rPr>
          <w:rFonts w:cs="Arial"/>
        </w:rPr>
      </w:pPr>
      <w:r w:rsidRPr="001400A8">
        <w:rPr>
          <w:rFonts w:cs="Arial"/>
        </w:rPr>
        <w:t xml:space="preserve">Another important implication of this policy approach is that focussing growth </w:t>
      </w:r>
      <w:proofErr w:type="gramStart"/>
      <w:r w:rsidRPr="001400A8">
        <w:rPr>
          <w:rFonts w:cs="Arial"/>
        </w:rPr>
        <w:t>in</w:t>
      </w:r>
      <w:proofErr w:type="gramEnd"/>
      <w:r w:rsidRPr="001400A8">
        <w:rPr>
          <w:rFonts w:cs="Arial"/>
        </w:rPr>
        <w:t xml:space="preserve"> activity centres relieves development pressure on the surrounding suburban neighbourhood. This is particularly relevant to</w:t>
      </w:r>
      <w:r>
        <w:rPr>
          <w:rFonts w:cs="Arial"/>
        </w:rPr>
        <w:t xml:space="preserve"> the Town </w:t>
      </w:r>
      <w:r w:rsidRPr="001400A8">
        <w:rPr>
          <w:rFonts w:cs="Arial"/>
        </w:rPr>
        <w:t xml:space="preserve">where much of the surrounding neighbourhood contains a long-established building stock with a desirable character, including </w:t>
      </w:r>
      <w:r>
        <w:rPr>
          <w:rFonts w:cs="Arial"/>
        </w:rPr>
        <w:t>many</w:t>
      </w:r>
      <w:r w:rsidRPr="001400A8">
        <w:rPr>
          <w:rFonts w:cs="Arial"/>
        </w:rPr>
        <w:t xml:space="preserve"> with heritage significance.</w:t>
      </w:r>
    </w:p>
    <w:p w14:paraId="7575ADF6" w14:textId="77777777" w:rsidR="001B5B0A" w:rsidRDefault="001B5B0A" w:rsidP="001B5B0A">
      <w:pPr>
        <w:jc w:val="both"/>
        <w:rPr>
          <w:rFonts w:cs="Arial"/>
        </w:rPr>
      </w:pPr>
      <w:r>
        <w:rPr>
          <w:rFonts w:cs="Arial"/>
        </w:rPr>
        <w:t xml:space="preserve">This policy </w:t>
      </w:r>
      <w:r w:rsidRPr="001400A8">
        <w:rPr>
          <w:rFonts w:cs="Arial"/>
        </w:rPr>
        <w:t>adopts a</w:t>
      </w:r>
      <w:r>
        <w:rPr>
          <w:rFonts w:cs="Arial"/>
        </w:rPr>
        <w:t>n</w:t>
      </w:r>
      <w:r w:rsidRPr="001400A8">
        <w:rPr>
          <w:rFonts w:cs="Arial"/>
        </w:rPr>
        <w:t xml:space="preserve"> </w:t>
      </w:r>
      <w:r>
        <w:rPr>
          <w:rFonts w:cs="Arial"/>
        </w:rPr>
        <w:t xml:space="preserve">interim </w:t>
      </w:r>
      <w:r w:rsidRPr="001400A8">
        <w:rPr>
          <w:rFonts w:cs="Arial"/>
        </w:rPr>
        <w:t xml:space="preserve">position on what </w:t>
      </w:r>
      <w:r>
        <w:rPr>
          <w:rFonts w:cs="Arial"/>
        </w:rPr>
        <w:t xml:space="preserve">the Town considers to be </w:t>
      </w:r>
      <w:r w:rsidRPr="001400A8">
        <w:rPr>
          <w:rFonts w:cs="Arial"/>
        </w:rPr>
        <w:t xml:space="preserve">an acceptable form of development to meet higher order planning policy; what will </w:t>
      </w:r>
      <w:r>
        <w:rPr>
          <w:rFonts w:cs="Arial"/>
        </w:rPr>
        <w:t>meet</w:t>
      </w:r>
      <w:r w:rsidRPr="001400A8">
        <w:rPr>
          <w:rFonts w:cs="Arial"/>
        </w:rPr>
        <w:t xml:space="preserve"> the concerns of the local community; and enables the viable redevelopment of the </w:t>
      </w:r>
      <w:r>
        <w:rPr>
          <w:rFonts w:cs="Arial"/>
        </w:rPr>
        <w:t>T</w:t>
      </w:r>
      <w:r w:rsidRPr="001400A8">
        <w:rPr>
          <w:rFonts w:cs="Arial"/>
        </w:rPr>
        <w:t xml:space="preserve">own </w:t>
      </w:r>
      <w:r>
        <w:rPr>
          <w:rFonts w:cs="Arial"/>
        </w:rPr>
        <w:t>C</w:t>
      </w:r>
      <w:r w:rsidRPr="001400A8">
        <w:rPr>
          <w:rFonts w:cs="Arial"/>
        </w:rPr>
        <w:t>entre</w:t>
      </w:r>
      <w:r>
        <w:rPr>
          <w:rFonts w:cs="Arial"/>
        </w:rPr>
        <w:t xml:space="preserve">. </w:t>
      </w:r>
      <w:r w:rsidRPr="00D2097C">
        <w:rPr>
          <w:rFonts w:cs="Arial"/>
        </w:rPr>
        <w:t>It is anticipated that further planning studies and precinct planning for the Town Centre and its surrounds, guided by the Local Planning Strategy and the Local Commercial Centres Assessment and Strategy</w:t>
      </w:r>
      <w:r>
        <w:rPr>
          <w:rFonts w:cs="Arial"/>
        </w:rPr>
        <w:t>,</w:t>
      </w:r>
      <w:r w:rsidRPr="00D2097C">
        <w:rPr>
          <w:rFonts w:cs="Arial"/>
        </w:rPr>
        <w:t xml:space="preserve"> will supersede this policy in</w:t>
      </w:r>
      <w:r>
        <w:rPr>
          <w:rFonts w:cs="Arial"/>
        </w:rPr>
        <w:t>to</w:t>
      </w:r>
      <w:r w:rsidRPr="00D2097C">
        <w:rPr>
          <w:rFonts w:cs="Arial"/>
        </w:rPr>
        <w:t xml:space="preserve"> the future.</w:t>
      </w:r>
      <w:r>
        <w:rPr>
          <w:rFonts w:cs="Arial"/>
        </w:rPr>
        <w:t xml:space="preserve"> </w:t>
      </w:r>
    </w:p>
    <w:p w14:paraId="3E9FBD8A" w14:textId="77777777" w:rsidR="001B5B0A" w:rsidRPr="00BC2F93" w:rsidRDefault="001B5B0A" w:rsidP="001B5B0A">
      <w:pPr>
        <w:jc w:val="both"/>
        <w:rPr>
          <w:rFonts w:cs="Arial"/>
        </w:rPr>
      </w:pPr>
      <w:r w:rsidRPr="00881F3A">
        <w:rPr>
          <w:rFonts w:cs="Arial"/>
        </w:rPr>
        <w:lastRenderedPageBreak/>
        <w:t>The Local Planning Strategy generally includes the Town Centre Redevelopment Area in Planning Area B – Town Centre and part of Planning Area C – Canning Highway (Mixed Use).</w:t>
      </w:r>
      <w:r>
        <w:rPr>
          <w:rFonts w:cs="Arial"/>
        </w:rPr>
        <w:t xml:space="preserve"> </w:t>
      </w:r>
      <w:r w:rsidRPr="00BC2F93">
        <w:rPr>
          <w:rFonts w:cs="Arial"/>
        </w:rPr>
        <w:t>The success of the Town Centre will greatly depend on the increased development of higher residential density development in</w:t>
      </w:r>
      <w:r>
        <w:rPr>
          <w:rFonts w:cs="Arial"/>
        </w:rPr>
        <w:t xml:space="preserve"> </w:t>
      </w:r>
      <w:proofErr w:type="gramStart"/>
      <w:r w:rsidRPr="00BC2F93">
        <w:rPr>
          <w:rFonts w:cs="Arial"/>
        </w:rPr>
        <w:t>close proximity</w:t>
      </w:r>
      <w:proofErr w:type="gramEnd"/>
      <w:r w:rsidRPr="00BC2F93">
        <w:rPr>
          <w:rFonts w:cs="Arial"/>
        </w:rPr>
        <w:t>.</w:t>
      </w:r>
      <w:r>
        <w:rPr>
          <w:rFonts w:cs="Arial"/>
        </w:rPr>
        <w:t xml:space="preserve"> </w:t>
      </w:r>
      <w:r w:rsidRPr="00BC2F93">
        <w:rPr>
          <w:rFonts w:cs="Arial"/>
        </w:rPr>
        <w:t xml:space="preserve">Potential </w:t>
      </w:r>
      <w:r>
        <w:rPr>
          <w:rFonts w:cs="Arial"/>
        </w:rPr>
        <w:t xml:space="preserve">dwelling </w:t>
      </w:r>
      <w:r w:rsidRPr="00BC2F93">
        <w:rPr>
          <w:rFonts w:cs="Arial"/>
        </w:rPr>
        <w:t>yield</w:t>
      </w:r>
      <w:r>
        <w:rPr>
          <w:rFonts w:cs="Arial"/>
        </w:rPr>
        <w:t>s</w:t>
      </w:r>
      <w:r w:rsidRPr="00BC2F93">
        <w:rPr>
          <w:rFonts w:cs="Arial"/>
        </w:rPr>
        <w:t xml:space="preserve"> for these planning areas will depend on further investigation to identify opportunity sites suitable for redevelopment and/or further development. However, the LCCAS promotes establishment of 360 - 480 additional dwellings within 1.5 km of the Town Centre to incentivise development of a major anchor tenancy such as a supermarket which could also attract other commercial development in this area.</w:t>
      </w:r>
    </w:p>
    <w:p w14:paraId="113724B0" w14:textId="77777777" w:rsidR="001B5B0A" w:rsidRPr="001400A8" w:rsidRDefault="001B5B0A" w:rsidP="001B5B0A">
      <w:pPr>
        <w:spacing w:after="120"/>
        <w:rPr>
          <w:rFonts w:cs="Arial"/>
          <w:b/>
          <w:sz w:val="28"/>
          <w:szCs w:val="28"/>
          <w:lang w:val="en-US"/>
        </w:rPr>
      </w:pPr>
      <w:r w:rsidRPr="001400A8">
        <w:rPr>
          <w:rFonts w:cs="Arial"/>
          <w:b/>
          <w:sz w:val="28"/>
          <w:szCs w:val="28"/>
          <w:lang w:val="en-US"/>
        </w:rPr>
        <w:t xml:space="preserve">Policy </w:t>
      </w:r>
    </w:p>
    <w:p w14:paraId="0B872758" w14:textId="77777777" w:rsidR="001B5B0A" w:rsidRPr="001400A8" w:rsidRDefault="001B5B0A" w:rsidP="001B5B0A">
      <w:pPr>
        <w:spacing w:after="0"/>
        <w:jc w:val="both"/>
        <w:rPr>
          <w:rFonts w:cs="Arial"/>
          <w:b/>
        </w:rPr>
      </w:pPr>
      <w:r w:rsidRPr="001400A8">
        <w:rPr>
          <w:rFonts w:cs="Arial"/>
          <w:b/>
        </w:rPr>
        <w:t xml:space="preserve">Extent of the Town Centre </w:t>
      </w:r>
      <w:r>
        <w:rPr>
          <w:rFonts w:cs="Arial"/>
          <w:b/>
        </w:rPr>
        <w:t>Redevelopment</w:t>
      </w:r>
      <w:r w:rsidRPr="001400A8">
        <w:rPr>
          <w:rFonts w:cs="Arial"/>
          <w:b/>
        </w:rPr>
        <w:t xml:space="preserve"> Area </w:t>
      </w:r>
    </w:p>
    <w:p w14:paraId="5AFCFF4F" w14:textId="77777777" w:rsidR="001B5B0A" w:rsidRDefault="001B5B0A" w:rsidP="001B5B0A">
      <w:pPr>
        <w:spacing w:after="60"/>
        <w:jc w:val="both"/>
        <w:rPr>
          <w:rFonts w:cs="Arial"/>
        </w:rPr>
      </w:pPr>
      <w:r w:rsidRPr="001400A8">
        <w:rPr>
          <w:rFonts w:cs="Arial"/>
        </w:rPr>
        <w:t xml:space="preserve">This </w:t>
      </w:r>
      <w:r>
        <w:rPr>
          <w:rFonts w:cs="Arial"/>
        </w:rPr>
        <w:t>policy applies</w:t>
      </w:r>
      <w:r w:rsidRPr="001400A8">
        <w:rPr>
          <w:rFonts w:cs="Arial"/>
        </w:rPr>
        <w:t xml:space="preserve"> to the area defined in Plan 2</w:t>
      </w:r>
      <w:r>
        <w:rPr>
          <w:rFonts w:cs="Arial"/>
        </w:rPr>
        <w:t xml:space="preserve"> attached to this policy and </w:t>
      </w:r>
      <w:r w:rsidRPr="001400A8">
        <w:rPr>
          <w:rFonts w:cs="Arial"/>
        </w:rPr>
        <w:t xml:space="preserve">includes the </w:t>
      </w:r>
      <w:r>
        <w:rPr>
          <w:rFonts w:cs="Arial"/>
        </w:rPr>
        <w:t>land shown as T</w:t>
      </w:r>
      <w:r w:rsidRPr="001400A8">
        <w:rPr>
          <w:rFonts w:cs="Arial"/>
        </w:rPr>
        <w:t xml:space="preserve">own </w:t>
      </w:r>
      <w:r>
        <w:rPr>
          <w:rFonts w:cs="Arial"/>
        </w:rPr>
        <w:t>C</w:t>
      </w:r>
      <w:r w:rsidRPr="001400A8">
        <w:rPr>
          <w:rFonts w:cs="Arial"/>
        </w:rPr>
        <w:t xml:space="preserve">entre </w:t>
      </w:r>
      <w:r>
        <w:rPr>
          <w:rFonts w:cs="Arial"/>
        </w:rPr>
        <w:t>zone with</w:t>
      </w:r>
      <w:r w:rsidRPr="001400A8">
        <w:rPr>
          <w:rFonts w:cs="Arial"/>
        </w:rPr>
        <w:t>in the Town</w:t>
      </w:r>
      <w:r>
        <w:rPr>
          <w:rFonts w:cs="Arial"/>
        </w:rPr>
        <w:t xml:space="preserve"> of East Fremantle Local</w:t>
      </w:r>
      <w:r w:rsidRPr="001400A8">
        <w:rPr>
          <w:rFonts w:cs="Arial"/>
        </w:rPr>
        <w:t xml:space="preserve"> Planning Scheme</w:t>
      </w:r>
      <w:r>
        <w:rPr>
          <w:rFonts w:cs="Arial"/>
        </w:rPr>
        <w:t xml:space="preserve"> No. 3 together </w:t>
      </w:r>
      <w:r w:rsidRPr="002C3726">
        <w:rPr>
          <w:rFonts w:cs="Arial"/>
        </w:rPr>
        <w:t xml:space="preserve">with adjacent land along Canning Highway zoned Mixed Use and a small number of properties zoned Residential adjoining the Town Centre and </w:t>
      </w:r>
      <w:proofErr w:type="gramStart"/>
      <w:r w:rsidRPr="002C3726">
        <w:rPr>
          <w:rFonts w:cs="Arial"/>
        </w:rPr>
        <w:t>Mixed Use</w:t>
      </w:r>
      <w:proofErr w:type="gramEnd"/>
      <w:r w:rsidRPr="002C3726">
        <w:rPr>
          <w:rFonts w:cs="Arial"/>
        </w:rPr>
        <w:t xml:space="preserve"> Zone generally along the Canning Highway alignment.</w:t>
      </w:r>
    </w:p>
    <w:p w14:paraId="36DB5736" w14:textId="77777777" w:rsidR="001B5B0A" w:rsidRPr="001400A8" w:rsidRDefault="001B5B0A" w:rsidP="001B5B0A">
      <w:pPr>
        <w:spacing w:after="160" w:line="259" w:lineRule="auto"/>
        <w:rPr>
          <w:rFonts w:cs="Arial"/>
        </w:rPr>
      </w:pPr>
      <w:r w:rsidRPr="002C3726">
        <w:rPr>
          <w:rFonts w:cs="Arial"/>
        </w:rPr>
        <w:t>The Town Centre Redevelopment Area extends further than the Town Centre Zone for the following reasons:</w:t>
      </w:r>
    </w:p>
    <w:p w14:paraId="17AD8078" w14:textId="77777777" w:rsidR="001B5B0A" w:rsidRPr="001400A8" w:rsidRDefault="001B5B0A" w:rsidP="001B5B0A">
      <w:pPr>
        <w:tabs>
          <w:tab w:val="left" w:pos="426"/>
        </w:tabs>
        <w:spacing w:after="60"/>
        <w:ind w:left="425" w:hanging="425"/>
        <w:jc w:val="both"/>
        <w:rPr>
          <w:rFonts w:cs="Arial"/>
        </w:rPr>
      </w:pPr>
      <w:r w:rsidRPr="001400A8">
        <w:rPr>
          <w:rFonts w:cs="Arial"/>
        </w:rPr>
        <w:t>-</w:t>
      </w:r>
      <w:r w:rsidRPr="001400A8">
        <w:rPr>
          <w:rFonts w:cs="Arial"/>
        </w:rPr>
        <w:tab/>
        <w:t xml:space="preserve">The current </w:t>
      </w:r>
      <w:r>
        <w:rPr>
          <w:rFonts w:cs="Arial"/>
        </w:rPr>
        <w:t>T</w:t>
      </w:r>
      <w:r w:rsidRPr="001400A8">
        <w:rPr>
          <w:rFonts w:cs="Arial"/>
        </w:rPr>
        <w:t xml:space="preserve">own </w:t>
      </w:r>
      <w:r>
        <w:rPr>
          <w:rFonts w:cs="Arial"/>
        </w:rPr>
        <w:t>C</w:t>
      </w:r>
      <w:r w:rsidRPr="001400A8">
        <w:rPr>
          <w:rFonts w:cs="Arial"/>
        </w:rPr>
        <w:t xml:space="preserve">entre zone reflects an emphasis on the permissibility of commercial uses, whereas </w:t>
      </w:r>
      <w:r>
        <w:rPr>
          <w:rFonts w:cs="Arial"/>
        </w:rPr>
        <w:t>draft</w:t>
      </w:r>
      <w:r w:rsidRPr="001400A8">
        <w:rPr>
          <w:rFonts w:cs="Arial"/>
        </w:rPr>
        <w:t xml:space="preserve"> </w:t>
      </w:r>
      <w:r w:rsidRPr="001400A8">
        <w:rPr>
          <w:rFonts w:cs="Arial"/>
          <w:i/>
        </w:rPr>
        <w:t>SPP 4.2:</w:t>
      </w:r>
      <w:r w:rsidRPr="001400A8">
        <w:rPr>
          <w:rFonts w:cs="Arial"/>
        </w:rPr>
        <w:t xml:space="preserve"> </w:t>
      </w:r>
      <w:r w:rsidRPr="001400A8">
        <w:rPr>
          <w:rFonts w:cs="Arial"/>
          <w:i/>
        </w:rPr>
        <w:t xml:space="preserve">Activity Centres </w:t>
      </w:r>
      <w:r w:rsidRPr="001400A8">
        <w:rPr>
          <w:rFonts w:cs="Arial"/>
        </w:rPr>
        <w:t>places a much stronger emphasis on the incorporation of</w:t>
      </w:r>
      <w:r w:rsidRPr="001400A8">
        <w:rPr>
          <w:rFonts w:cs="Arial"/>
          <w:i/>
        </w:rPr>
        <w:t xml:space="preserve"> </w:t>
      </w:r>
      <w:r w:rsidRPr="001400A8">
        <w:rPr>
          <w:rFonts w:cs="Arial"/>
        </w:rPr>
        <w:t>residential development within activity centres – particularly where medium to high density residential development is used as a transition from a busy centre to the quieter suburban surrounds.</w:t>
      </w:r>
    </w:p>
    <w:p w14:paraId="76264ADD" w14:textId="77777777" w:rsidR="001B5B0A" w:rsidRPr="001400A8" w:rsidRDefault="001B5B0A" w:rsidP="001B5B0A">
      <w:pPr>
        <w:tabs>
          <w:tab w:val="left" w:pos="426"/>
        </w:tabs>
        <w:spacing w:after="60"/>
        <w:ind w:left="426" w:hanging="426"/>
        <w:jc w:val="both"/>
        <w:rPr>
          <w:rFonts w:cs="Arial"/>
        </w:rPr>
      </w:pPr>
      <w:r w:rsidRPr="001400A8">
        <w:rPr>
          <w:rFonts w:cs="Arial"/>
        </w:rPr>
        <w:t>-</w:t>
      </w:r>
      <w:r w:rsidRPr="001400A8">
        <w:rPr>
          <w:rFonts w:cs="Arial"/>
        </w:rPr>
        <w:tab/>
        <w:t xml:space="preserve">The Canning Highway corridor is the most visible part of the </w:t>
      </w:r>
      <w:r>
        <w:rPr>
          <w:rFonts w:cs="Arial"/>
        </w:rPr>
        <w:t>T</w:t>
      </w:r>
      <w:r w:rsidRPr="001400A8">
        <w:rPr>
          <w:rFonts w:cs="Arial"/>
        </w:rPr>
        <w:t xml:space="preserve">own </w:t>
      </w:r>
      <w:r>
        <w:rPr>
          <w:rFonts w:cs="Arial"/>
        </w:rPr>
        <w:t>C</w:t>
      </w:r>
      <w:r w:rsidRPr="001400A8">
        <w:rPr>
          <w:rFonts w:cs="Arial"/>
        </w:rPr>
        <w:t xml:space="preserve">entre to visitors and should be seen as an integral part of the </w:t>
      </w:r>
      <w:r>
        <w:rPr>
          <w:rFonts w:cs="Arial"/>
        </w:rPr>
        <w:t>T</w:t>
      </w:r>
      <w:r w:rsidRPr="001400A8">
        <w:rPr>
          <w:rFonts w:cs="Arial"/>
        </w:rPr>
        <w:t xml:space="preserve">own </w:t>
      </w:r>
      <w:r>
        <w:rPr>
          <w:rFonts w:cs="Arial"/>
        </w:rPr>
        <w:t>C</w:t>
      </w:r>
      <w:r w:rsidRPr="001400A8">
        <w:rPr>
          <w:rFonts w:cs="Arial"/>
        </w:rPr>
        <w:t>entre.</w:t>
      </w:r>
    </w:p>
    <w:p w14:paraId="3613073B" w14:textId="77777777" w:rsidR="001B5B0A" w:rsidRPr="001400A8" w:rsidRDefault="001B5B0A" w:rsidP="001B5B0A">
      <w:pPr>
        <w:tabs>
          <w:tab w:val="left" w:pos="426"/>
        </w:tabs>
        <w:ind w:left="425" w:hanging="425"/>
        <w:jc w:val="both"/>
        <w:rPr>
          <w:rFonts w:cs="Arial"/>
        </w:rPr>
      </w:pPr>
      <w:r w:rsidRPr="001400A8">
        <w:rPr>
          <w:rFonts w:cs="Arial"/>
        </w:rPr>
        <w:t>-</w:t>
      </w:r>
      <w:r w:rsidRPr="001400A8">
        <w:rPr>
          <w:rFonts w:cs="Arial"/>
        </w:rPr>
        <w:tab/>
        <w:t>The Canning Highway corridor should be treated as a street with a degree of consistency on each side</w:t>
      </w:r>
      <w:r>
        <w:rPr>
          <w:rFonts w:cs="Arial"/>
        </w:rPr>
        <w:t xml:space="preserve"> (i.e. north and south sides)</w:t>
      </w:r>
      <w:r w:rsidRPr="001400A8">
        <w:rPr>
          <w:rFonts w:cs="Arial"/>
        </w:rPr>
        <w:t xml:space="preserve"> rather than </w:t>
      </w:r>
      <w:r>
        <w:rPr>
          <w:rFonts w:cs="Arial"/>
        </w:rPr>
        <w:t xml:space="preserve">as </w:t>
      </w:r>
      <w:r w:rsidRPr="001400A8">
        <w:rPr>
          <w:rFonts w:cs="Arial"/>
        </w:rPr>
        <w:t>a barrier between two different environments.</w:t>
      </w:r>
    </w:p>
    <w:p w14:paraId="6523520C" w14:textId="77777777" w:rsidR="001B5B0A" w:rsidRPr="001400A8" w:rsidRDefault="001B5B0A" w:rsidP="001B5B0A">
      <w:pPr>
        <w:spacing w:after="60"/>
        <w:jc w:val="both"/>
        <w:rPr>
          <w:rFonts w:cs="Arial"/>
        </w:rPr>
      </w:pPr>
      <w:r w:rsidRPr="001400A8">
        <w:rPr>
          <w:rFonts w:cs="Arial"/>
        </w:rPr>
        <w:t xml:space="preserve">A </w:t>
      </w:r>
      <w:r>
        <w:rPr>
          <w:rFonts w:cs="Arial"/>
        </w:rPr>
        <w:t>set</w:t>
      </w:r>
      <w:r w:rsidRPr="001400A8">
        <w:rPr>
          <w:rFonts w:cs="Arial"/>
        </w:rPr>
        <w:t xml:space="preserve"> of precincts have been identified within the </w:t>
      </w:r>
      <w:r>
        <w:rPr>
          <w:rFonts w:cs="Arial"/>
        </w:rPr>
        <w:t>T</w:t>
      </w:r>
      <w:r w:rsidRPr="001400A8">
        <w:rPr>
          <w:rFonts w:cs="Arial"/>
        </w:rPr>
        <w:t xml:space="preserve">own </w:t>
      </w:r>
      <w:r>
        <w:rPr>
          <w:rFonts w:cs="Arial"/>
        </w:rPr>
        <w:t>C</w:t>
      </w:r>
      <w:r w:rsidRPr="001400A8">
        <w:rPr>
          <w:rFonts w:cs="Arial"/>
        </w:rPr>
        <w:t xml:space="preserve">entre </w:t>
      </w:r>
      <w:r>
        <w:rPr>
          <w:rFonts w:cs="Arial"/>
        </w:rPr>
        <w:t>redevelopment A</w:t>
      </w:r>
      <w:r w:rsidRPr="001400A8">
        <w:rPr>
          <w:rFonts w:cs="Arial"/>
        </w:rPr>
        <w:t>rea (as shown on Plan 2). These are:</w:t>
      </w:r>
    </w:p>
    <w:p w14:paraId="170F822F"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 xml:space="preserve">Town Centre Core </w:t>
      </w:r>
      <w:proofErr w:type="gramStart"/>
      <w:r w:rsidRPr="001400A8">
        <w:rPr>
          <w:rFonts w:cs="Arial"/>
        </w:rPr>
        <w:t>Precinct</w:t>
      </w:r>
      <w:r>
        <w:rPr>
          <w:rFonts w:cs="Arial"/>
        </w:rPr>
        <w:t>;</w:t>
      </w:r>
      <w:proofErr w:type="gramEnd"/>
    </w:p>
    <w:p w14:paraId="49020729"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Canning Highway Precinct</w:t>
      </w:r>
      <w:r>
        <w:rPr>
          <w:rFonts w:cs="Arial"/>
        </w:rPr>
        <w:t>; and</w:t>
      </w:r>
    </w:p>
    <w:p w14:paraId="6DD991AC" w14:textId="77777777" w:rsidR="001B5B0A" w:rsidRPr="001400A8" w:rsidRDefault="001B5B0A" w:rsidP="001B5B0A">
      <w:pPr>
        <w:spacing w:after="120"/>
        <w:ind w:left="425" w:hanging="425"/>
        <w:jc w:val="both"/>
        <w:rPr>
          <w:rFonts w:cs="Arial"/>
        </w:rPr>
      </w:pPr>
      <w:r w:rsidRPr="001400A8">
        <w:rPr>
          <w:rFonts w:cs="Arial"/>
        </w:rPr>
        <w:t>-</w:t>
      </w:r>
      <w:r w:rsidRPr="001400A8">
        <w:rPr>
          <w:rFonts w:cs="Arial"/>
        </w:rPr>
        <w:tab/>
        <w:t>Frame Precinct</w:t>
      </w:r>
      <w:r>
        <w:rPr>
          <w:rFonts w:cs="Arial"/>
        </w:rPr>
        <w:t>.</w:t>
      </w:r>
    </w:p>
    <w:p w14:paraId="4EB67542" w14:textId="77777777" w:rsidR="001B5B0A" w:rsidRPr="001400A8" w:rsidRDefault="001B5B0A" w:rsidP="001B5B0A">
      <w:pPr>
        <w:jc w:val="both"/>
        <w:rPr>
          <w:rFonts w:cs="Arial"/>
        </w:rPr>
      </w:pPr>
      <w:r w:rsidRPr="001400A8">
        <w:rPr>
          <w:rFonts w:cs="Arial"/>
        </w:rPr>
        <w:t>The purpose of the precincts is to group together areas with similar characteristics and enable differing development provisions to be applied to each precinct where applicable.</w:t>
      </w:r>
    </w:p>
    <w:p w14:paraId="48BD55E5" w14:textId="77777777" w:rsidR="001B5B0A" w:rsidRPr="001400A8" w:rsidRDefault="001B5B0A" w:rsidP="001B5B0A">
      <w:pPr>
        <w:spacing w:after="0"/>
        <w:rPr>
          <w:rFonts w:cs="Arial"/>
          <w:b/>
        </w:rPr>
      </w:pPr>
      <w:r w:rsidRPr="001400A8">
        <w:rPr>
          <w:rFonts w:cs="Arial"/>
          <w:b/>
        </w:rPr>
        <w:t>Statement of Intent</w:t>
      </w:r>
    </w:p>
    <w:p w14:paraId="229501C4" w14:textId="77777777" w:rsidR="001B5B0A" w:rsidRDefault="001B5B0A" w:rsidP="001B5B0A">
      <w:pPr>
        <w:spacing w:after="120"/>
        <w:jc w:val="both"/>
        <w:rPr>
          <w:rFonts w:cs="Arial"/>
        </w:rPr>
      </w:pPr>
      <w:r w:rsidRPr="001400A8">
        <w:rPr>
          <w:rFonts w:cs="Arial"/>
        </w:rPr>
        <w:t xml:space="preserve">The intent of the Town is to encourage the evolution of the East Fremantle </w:t>
      </w:r>
      <w:r>
        <w:rPr>
          <w:rFonts w:cs="Arial"/>
        </w:rPr>
        <w:t>T</w:t>
      </w:r>
      <w:r w:rsidRPr="001400A8">
        <w:rPr>
          <w:rFonts w:cs="Arial"/>
        </w:rPr>
        <w:t xml:space="preserve">own </w:t>
      </w:r>
      <w:r>
        <w:rPr>
          <w:rFonts w:cs="Arial"/>
        </w:rPr>
        <w:t>C</w:t>
      </w:r>
      <w:r w:rsidRPr="001400A8">
        <w:rPr>
          <w:rFonts w:cs="Arial"/>
        </w:rPr>
        <w:t>entre into a robust, vibrant, mixed-use urban village with enough residents, jobs and services to sustain and meet the local needs of the existing community and future generations to come.</w:t>
      </w:r>
    </w:p>
    <w:p w14:paraId="4971924C" w14:textId="77777777" w:rsidR="001B5B0A" w:rsidRDefault="001B5B0A" w:rsidP="001B5B0A">
      <w:pPr>
        <w:spacing w:after="120"/>
        <w:jc w:val="both"/>
        <w:rPr>
          <w:rFonts w:cs="Arial"/>
        </w:rPr>
      </w:pPr>
    </w:p>
    <w:p w14:paraId="25063C23" w14:textId="77777777" w:rsidR="001B5B0A" w:rsidRPr="000F1ABE" w:rsidRDefault="001B5B0A" w:rsidP="001B5B0A">
      <w:pPr>
        <w:rPr>
          <w:rFonts w:cs="Arial"/>
          <w:sz w:val="20"/>
          <w:szCs w:val="20"/>
        </w:rPr>
      </w:pPr>
      <w:r>
        <w:rPr>
          <w:rFonts w:cs="Arial"/>
          <w:noProof/>
          <w:sz w:val="20"/>
          <w:szCs w:val="20"/>
        </w:rPr>
        <w:lastRenderedPageBreak/>
        <w:drawing>
          <wp:inline distT="0" distB="0" distL="0" distR="0" wp14:anchorId="2B90B5BE" wp14:editId="69990E2A">
            <wp:extent cx="5798347" cy="2876550"/>
            <wp:effectExtent l="0" t="0" r="0" b="0"/>
            <wp:docPr id="1954073940" name="Picture 1954073940" descr="A collage of several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73940" name="Picture 1954073940" descr="A collage of several buildings&#10;&#10;Description automatically generated"/>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801367" cy="2878048"/>
                    </a:xfrm>
                    <a:prstGeom prst="rect">
                      <a:avLst/>
                    </a:prstGeom>
                    <a:noFill/>
                  </pic:spPr>
                </pic:pic>
              </a:graphicData>
            </a:graphic>
          </wp:inline>
        </w:drawing>
      </w:r>
    </w:p>
    <w:p w14:paraId="7B3DCBF9" w14:textId="77777777" w:rsidR="001B5B0A" w:rsidRPr="000F1ABE" w:rsidRDefault="001B5B0A" w:rsidP="001B5B0A">
      <w:pPr>
        <w:ind w:left="709"/>
        <w:rPr>
          <w:rFonts w:cs="Arial"/>
          <w:b/>
          <w:i/>
          <w:sz w:val="20"/>
          <w:szCs w:val="20"/>
        </w:rPr>
      </w:pPr>
      <w:r w:rsidRPr="000F1ABE">
        <w:rPr>
          <w:rFonts w:cs="Arial"/>
          <w:b/>
          <w:i/>
          <w:sz w:val="20"/>
          <w:szCs w:val="20"/>
        </w:rPr>
        <w:t>A montage of images that suggests the overall intent for the East Fremantle</w:t>
      </w:r>
      <w:r>
        <w:rPr>
          <w:rFonts w:cs="Arial"/>
          <w:b/>
          <w:i/>
          <w:sz w:val="20"/>
          <w:szCs w:val="20"/>
        </w:rPr>
        <w:t xml:space="preserve"> Town Centre.</w:t>
      </w:r>
    </w:p>
    <w:p w14:paraId="4CE42A61" w14:textId="77777777" w:rsidR="001B5B0A" w:rsidRDefault="001B5B0A" w:rsidP="001B5B0A">
      <w:pPr>
        <w:spacing w:after="120"/>
        <w:jc w:val="both"/>
        <w:rPr>
          <w:rFonts w:cs="Arial"/>
        </w:rPr>
      </w:pPr>
      <w:r w:rsidRPr="001400A8">
        <w:rPr>
          <w:rFonts w:cs="Arial"/>
        </w:rPr>
        <w:t>More specifically</w:t>
      </w:r>
      <w:r>
        <w:rPr>
          <w:rFonts w:cs="Arial"/>
        </w:rPr>
        <w:t>:</w:t>
      </w:r>
    </w:p>
    <w:p w14:paraId="683A9F9B" w14:textId="77777777" w:rsidR="001B5B0A" w:rsidRPr="00B7445D" w:rsidRDefault="001B5B0A" w:rsidP="00303E96">
      <w:pPr>
        <w:pStyle w:val="ListParagraph"/>
        <w:numPr>
          <w:ilvl w:val="0"/>
          <w:numId w:val="506"/>
        </w:numPr>
        <w:spacing w:after="120"/>
        <w:jc w:val="both"/>
        <w:rPr>
          <w:rFonts w:cs="Arial"/>
        </w:rPr>
      </w:pPr>
      <w:r>
        <w:rPr>
          <w:rFonts w:cs="Arial"/>
        </w:rPr>
        <w:t>T</w:t>
      </w:r>
      <w:r w:rsidRPr="00B7445D">
        <w:rPr>
          <w:rFonts w:cs="Arial"/>
        </w:rPr>
        <w:t xml:space="preserve">he Town Centre Core Precinct is to be the principal focus of the commercial activity within the </w:t>
      </w:r>
      <w:r>
        <w:rPr>
          <w:rFonts w:cs="Arial"/>
        </w:rPr>
        <w:t>T</w:t>
      </w:r>
      <w:r w:rsidRPr="00B7445D">
        <w:rPr>
          <w:rFonts w:cs="Arial"/>
        </w:rPr>
        <w:t xml:space="preserve">own </w:t>
      </w:r>
      <w:r>
        <w:rPr>
          <w:rFonts w:cs="Arial"/>
        </w:rPr>
        <w:t>C</w:t>
      </w:r>
      <w:r w:rsidRPr="00B7445D">
        <w:rPr>
          <w:rFonts w:cs="Arial"/>
        </w:rPr>
        <w:t>entre</w:t>
      </w:r>
      <w:r>
        <w:rPr>
          <w:rFonts w:cs="Arial"/>
        </w:rPr>
        <w:t xml:space="preserve"> Redevelopment Area</w:t>
      </w:r>
      <w:r w:rsidRPr="00B7445D">
        <w:rPr>
          <w:rFonts w:cs="Arial"/>
        </w:rPr>
        <w:t>.</w:t>
      </w:r>
    </w:p>
    <w:p w14:paraId="2C09EB61" w14:textId="77777777" w:rsidR="001B5B0A" w:rsidRPr="00B83EE5" w:rsidRDefault="001B5B0A" w:rsidP="00303E96">
      <w:pPr>
        <w:pStyle w:val="ListParagraph"/>
        <w:numPr>
          <w:ilvl w:val="0"/>
          <w:numId w:val="506"/>
        </w:numPr>
        <w:spacing w:after="120"/>
        <w:jc w:val="both"/>
        <w:rPr>
          <w:rFonts w:cs="Arial"/>
        </w:rPr>
      </w:pPr>
      <w:r w:rsidRPr="00B83EE5">
        <w:rPr>
          <w:rFonts w:cs="Arial"/>
        </w:rPr>
        <w:t>The Canning Highway Precinct is to establish a mixed-use urban corridor of development with small-scale office-based commercial activities at ground floor with predominantly residential uses above.</w:t>
      </w:r>
    </w:p>
    <w:p w14:paraId="1397BB90" w14:textId="77777777" w:rsidR="001B5B0A" w:rsidRPr="00E13246" w:rsidRDefault="001B5B0A" w:rsidP="00303E96">
      <w:pPr>
        <w:pStyle w:val="ListParagraph"/>
        <w:numPr>
          <w:ilvl w:val="0"/>
          <w:numId w:val="506"/>
        </w:numPr>
        <w:spacing w:after="120"/>
        <w:jc w:val="both"/>
        <w:rPr>
          <w:rFonts w:cs="Arial"/>
        </w:rPr>
      </w:pPr>
      <w:r w:rsidRPr="00E13246">
        <w:rPr>
          <w:rFonts w:cs="Arial"/>
        </w:rPr>
        <w:t xml:space="preserve">The Frame Precinct is to provide a predominantly medium-density residential transition between the </w:t>
      </w:r>
      <w:r>
        <w:rPr>
          <w:rFonts w:cs="Arial"/>
        </w:rPr>
        <w:t>T</w:t>
      </w:r>
      <w:r w:rsidRPr="00E13246">
        <w:rPr>
          <w:rFonts w:cs="Arial"/>
        </w:rPr>
        <w:t xml:space="preserve">own </w:t>
      </w:r>
      <w:r>
        <w:rPr>
          <w:rFonts w:cs="Arial"/>
        </w:rPr>
        <w:t>C</w:t>
      </w:r>
      <w:r w:rsidRPr="00E13246">
        <w:rPr>
          <w:rFonts w:cs="Arial"/>
        </w:rPr>
        <w:t>entre and the surrounding suburban residential areas. It is envisaged that this transitional area would consist of more urban forms of development such as multiple and grouped dwellings.</w:t>
      </w:r>
    </w:p>
    <w:p w14:paraId="3F033630" w14:textId="77777777" w:rsidR="001B5B0A" w:rsidRPr="001400A8" w:rsidRDefault="001B5B0A" w:rsidP="001B5B0A">
      <w:pPr>
        <w:spacing w:before="240"/>
        <w:jc w:val="both"/>
        <w:rPr>
          <w:rFonts w:cs="Arial"/>
        </w:rPr>
      </w:pPr>
      <w:r w:rsidRPr="001400A8">
        <w:rPr>
          <w:rFonts w:cs="Arial"/>
        </w:rPr>
        <w:t xml:space="preserve">The overall intent for the </w:t>
      </w:r>
      <w:r>
        <w:rPr>
          <w:rFonts w:cs="Arial"/>
        </w:rPr>
        <w:t>T</w:t>
      </w:r>
      <w:r w:rsidRPr="001400A8">
        <w:rPr>
          <w:rFonts w:cs="Arial"/>
        </w:rPr>
        <w:t xml:space="preserve">own </w:t>
      </w:r>
      <w:r>
        <w:rPr>
          <w:rFonts w:cs="Arial"/>
        </w:rPr>
        <w:t>C</w:t>
      </w:r>
      <w:r w:rsidRPr="001400A8">
        <w:rPr>
          <w:rFonts w:cs="Arial"/>
        </w:rPr>
        <w:t xml:space="preserve">entre </w:t>
      </w:r>
      <w:r>
        <w:rPr>
          <w:rFonts w:cs="Arial"/>
        </w:rPr>
        <w:t xml:space="preserve">Redevelopment Area </w:t>
      </w:r>
      <w:r w:rsidRPr="001400A8">
        <w:rPr>
          <w:rFonts w:cs="Arial"/>
        </w:rPr>
        <w:t>is elaborated upon in the following set of planning and urban design objectives:</w:t>
      </w:r>
    </w:p>
    <w:p w14:paraId="7942B616" w14:textId="77777777" w:rsidR="001B5B0A" w:rsidRPr="001400A8" w:rsidRDefault="001B5B0A" w:rsidP="001B5B0A">
      <w:pPr>
        <w:spacing w:after="0"/>
        <w:ind w:left="1701" w:hanging="1701"/>
        <w:jc w:val="both"/>
        <w:rPr>
          <w:rFonts w:cs="Arial"/>
          <w:b/>
        </w:rPr>
      </w:pPr>
      <w:r w:rsidRPr="001400A8">
        <w:rPr>
          <w:rFonts w:cs="Arial"/>
          <w:u w:val="single"/>
        </w:rPr>
        <w:t>Planning and Urban Design Objectives</w:t>
      </w:r>
      <w:r w:rsidRPr="001400A8">
        <w:rPr>
          <w:rFonts w:cs="Arial"/>
          <w:b/>
        </w:rPr>
        <w:t>:</w:t>
      </w:r>
    </w:p>
    <w:p w14:paraId="0F50645A" w14:textId="77777777" w:rsidR="001B5B0A" w:rsidRPr="001400A8" w:rsidRDefault="001B5B0A" w:rsidP="001B5B0A">
      <w:pPr>
        <w:spacing w:after="60"/>
        <w:jc w:val="both"/>
        <w:rPr>
          <w:rFonts w:cs="Arial"/>
        </w:rPr>
      </w:pPr>
      <w:r w:rsidRPr="001400A8">
        <w:rPr>
          <w:rFonts w:cs="Arial"/>
        </w:rPr>
        <w:t xml:space="preserve">The proposed </w:t>
      </w:r>
      <w:r>
        <w:rPr>
          <w:rFonts w:cs="Arial"/>
        </w:rPr>
        <w:t>Town</w:t>
      </w:r>
      <w:r w:rsidRPr="001400A8">
        <w:rPr>
          <w:rFonts w:cs="Arial"/>
        </w:rPr>
        <w:t xml:space="preserve">’s planning and urban design objectives for the </w:t>
      </w:r>
      <w:r>
        <w:rPr>
          <w:rFonts w:cs="Arial"/>
        </w:rPr>
        <w:t>T</w:t>
      </w:r>
      <w:r w:rsidRPr="001400A8">
        <w:rPr>
          <w:rFonts w:cs="Arial"/>
        </w:rPr>
        <w:t xml:space="preserve">own </w:t>
      </w:r>
      <w:r>
        <w:rPr>
          <w:rFonts w:cs="Arial"/>
        </w:rPr>
        <w:t>C</w:t>
      </w:r>
      <w:r w:rsidRPr="001400A8">
        <w:rPr>
          <w:rFonts w:cs="Arial"/>
        </w:rPr>
        <w:t>entre</w:t>
      </w:r>
      <w:r>
        <w:rPr>
          <w:rFonts w:cs="Arial"/>
        </w:rPr>
        <w:t xml:space="preserve"> Redevelopment Area</w:t>
      </w:r>
      <w:r w:rsidRPr="001400A8">
        <w:rPr>
          <w:rFonts w:cs="Arial"/>
        </w:rPr>
        <w:t xml:space="preserve"> are to:</w:t>
      </w:r>
    </w:p>
    <w:p w14:paraId="1A269C00"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 xml:space="preserve">Encourage and stimulate renewal of the </w:t>
      </w:r>
      <w:r>
        <w:rPr>
          <w:rFonts w:cs="Arial"/>
        </w:rPr>
        <w:t>T</w:t>
      </w:r>
      <w:r w:rsidRPr="001400A8">
        <w:rPr>
          <w:rFonts w:cs="Arial"/>
        </w:rPr>
        <w:t xml:space="preserve">own </w:t>
      </w:r>
      <w:r>
        <w:rPr>
          <w:rFonts w:cs="Arial"/>
        </w:rPr>
        <w:t>C</w:t>
      </w:r>
      <w:r w:rsidRPr="001400A8">
        <w:rPr>
          <w:rFonts w:cs="Arial"/>
        </w:rPr>
        <w:t>entre and transform it into a desirable urban village that is the focal point for the local community.</w:t>
      </w:r>
    </w:p>
    <w:p w14:paraId="563B7488"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Establish a character that is sympathetic to, but not a continuation of, the surrounding suburban neighbourhoods.</w:t>
      </w:r>
    </w:p>
    <w:p w14:paraId="41F258A7"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Establish an active and attractive street experience.</w:t>
      </w:r>
    </w:p>
    <w:p w14:paraId="093FD0F1"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Provide diverse and adaptive housing types that are not readily available in the local area.</w:t>
      </w:r>
    </w:p>
    <w:p w14:paraId="703F71F5"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Encourage mixed-use development.</w:t>
      </w:r>
    </w:p>
    <w:p w14:paraId="4D03BDFD"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Create a context for a diverse range of businesses and services.</w:t>
      </w:r>
    </w:p>
    <w:p w14:paraId="239C61A9"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 xml:space="preserve">Retain a local supermarket, and other attractors within the </w:t>
      </w:r>
      <w:r>
        <w:rPr>
          <w:rFonts w:cs="Arial"/>
        </w:rPr>
        <w:t>T</w:t>
      </w:r>
      <w:r w:rsidRPr="001400A8">
        <w:rPr>
          <w:rFonts w:cs="Arial"/>
        </w:rPr>
        <w:t xml:space="preserve">own </w:t>
      </w:r>
      <w:r>
        <w:rPr>
          <w:rFonts w:cs="Arial"/>
        </w:rPr>
        <w:t>C</w:t>
      </w:r>
      <w:r w:rsidRPr="001400A8">
        <w:rPr>
          <w:rFonts w:cs="Arial"/>
        </w:rPr>
        <w:t>entre.</w:t>
      </w:r>
    </w:p>
    <w:p w14:paraId="415B6690" w14:textId="77777777" w:rsidR="001B5B0A" w:rsidRPr="001400A8" w:rsidRDefault="001B5B0A" w:rsidP="001B5B0A">
      <w:pPr>
        <w:spacing w:after="60"/>
        <w:ind w:left="425" w:hanging="425"/>
        <w:jc w:val="both"/>
        <w:rPr>
          <w:rFonts w:cs="Arial"/>
        </w:rPr>
      </w:pPr>
      <w:r w:rsidRPr="001400A8">
        <w:rPr>
          <w:rFonts w:cs="Arial"/>
        </w:rPr>
        <w:lastRenderedPageBreak/>
        <w:t>-</w:t>
      </w:r>
      <w:r w:rsidRPr="001400A8">
        <w:rPr>
          <w:rFonts w:cs="Arial"/>
        </w:rPr>
        <w:tab/>
        <w:t>Maintain and improve, where possible, pedestrian connectivity to the surrounding neighbourhoods</w:t>
      </w:r>
      <w:r>
        <w:rPr>
          <w:rFonts w:cs="Arial"/>
        </w:rPr>
        <w:t>, the George Street commercial area and the East Fremantle Oval Precinct</w:t>
      </w:r>
      <w:r w:rsidRPr="001400A8">
        <w:rPr>
          <w:rFonts w:cs="Arial"/>
        </w:rPr>
        <w:t>.</w:t>
      </w:r>
    </w:p>
    <w:p w14:paraId="6A7A77CE"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r>
      <w:r>
        <w:rPr>
          <w:rFonts w:cs="Arial"/>
        </w:rPr>
        <w:t xml:space="preserve">Establish </w:t>
      </w:r>
      <w:r w:rsidRPr="001400A8">
        <w:rPr>
          <w:rFonts w:cs="Arial"/>
        </w:rPr>
        <w:t xml:space="preserve">heights </w:t>
      </w:r>
      <w:r>
        <w:rPr>
          <w:rFonts w:cs="Arial"/>
        </w:rPr>
        <w:t>for</w:t>
      </w:r>
      <w:r w:rsidRPr="001400A8">
        <w:rPr>
          <w:rFonts w:cs="Arial"/>
        </w:rPr>
        <w:t xml:space="preserve"> buildings to a scale that is appropriate to their settings within an urban village. </w:t>
      </w:r>
    </w:p>
    <w:p w14:paraId="7752FD56"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Encourage buildings that are elegantly proportioned and richly articulated to provide visual interest and relief from uniformity.</w:t>
      </w:r>
    </w:p>
    <w:p w14:paraId="45CDD4D6"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Maintain the significance and visual prominence of the Town Hall and treat adjacent buildings with respectful sensitivity.</w:t>
      </w:r>
    </w:p>
    <w:p w14:paraId="046AF4AE"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 xml:space="preserve">Reduce the scale of new development at the edge of the </w:t>
      </w:r>
      <w:r>
        <w:rPr>
          <w:rFonts w:cs="Arial"/>
        </w:rPr>
        <w:t>T</w:t>
      </w:r>
      <w:r w:rsidRPr="001400A8">
        <w:rPr>
          <w:rFonts w:cs="Arial"/>
        </w:rPr>
        <w:t xml:space="preserve">own </w:t>
      </w:r>
      <w:r>
        <w:rPr>
          <w:rFonts w:cs="Arial"/>
        </w:rPr>
        <w:t>C</w:t>
      </w:r>
      <w:r w:rsidRPr="001400A8">
        <w:rPr>
          <w:rFonts w:cs="Arial"/>
        </w:rPr>
        <w:t>entre</w:t>
      </w:r>
      <w:r>
        <w:rPr>
          <w:rFonts w:cs="Arial"/>
        </w:rPr>
        <w:t xml:space="preserve"> Redevelopment Area</w:t>
      </w:r>
      <w:r w:rsidRPr="001400A8">
        <w:rPr>
          <w:rFonts w:cs="Arial"/>
        </w:rPr>
        <w:t xml:space="preserve"> where there is an interface with existing suburban residents.</w:t>
      </w:r>
    </w:p>
    <w:p w14:paraId="16397002"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Avoid large areas of car parking, and encourage parking that is under, above, or behind new buildings.</w:t>
      </w:r>
    </w:p>
    <w:p w14:paraId="348ACA6E"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Retain and enhance existing view corridors.</w:t>
      </w:r>
    </w:p>
    <w:p w14:paraId="4B849F4C"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 xml:space="preserve">Encourage the use of alternative modes of transport to the </w:t>
      </w:r>
      <w:r>
        <w:rPr>
          <w:rFonts w:cs="Arial"/>
        </w:rPr>
        <w:t>private car</w:t>
      </w:r>
      <w:r w:rsidRPr="001400A8">
        <w:rPr>
          <w:rFonts w:cs="Arial"/>
        </w:rPr>
        <w:t>.</w:t>
      </w:r>
    </w:p>
    <w:p w14:paraId="39E00F6F"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Distribute traffic movement where possible and avoid ‘</w:t>
      </w:r>
      <w:proofErr w:type="gramStart"/>
      <w:r w:rsidRPr="001400A8">
        <w:rPr>
          <w:rFonts w:cs="Arial"/>
        </w:rPr>
        <w:t>bottlenecks’</w:t>
      </w:r>
      <w:proofErr w:type="gramEnd"/>
      <w:r w:rsidRPr="001400A8">
        <w:rPr>
          <w:rFonts w:cs="Arial"/>
        </w:rPr>
        <w:t>.</w:t>
      </w:r>
    </w:p>
    <w:p w14:paraId="63BCF395"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Incorporate a network of publicly accessible open spaces, such as piazzas.</w:t>
      </w:r>
    </w:p>
    <w:p w14:paraId="62D9884C"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 xml:space="preserve">Incorporate a generous amount of vegetated landscape by means of new planting </w:t>
      </w:r>
      <w:r>
        <w:rPr>
          <w:rFonts w:cs="Arial"/>
        </w:rPr>
        <w:t>and/</w:t>
      </w:r>
      <w:r w:rsidRPr="001400A8">
        <w:rPr>
          <w:rFonts w:cs="Arial"/>
        </w:rPr>
        <w:t>or the retention of existing</w:t>
      </w:r>
      <w:r>
        <w:rPr>
          <w:rFonts w:cs="Arial"/>
        </w:rPr>
        <w:t xml:space="preserve"> planting</w:t>
      </w:r>
      <w:r w:rsidRPr="001400A8">
        <w:rPr>
          <w:rFonts w:cs="Arial"/>
        </w:rPr>
        <w:t>.</w:t>
      </w:r>
    </w:p>
    <w:p w14:paraId="4E4EBE66" w14:textId="77777777" w:rsidR="001B5B0A" w:rsidRPr="001400A8" w:rsidRDefault="001B5B0A" w:rsidP="001B5B0A">
      <w:pPr>
        <w:spacing w:after="120"/>
        <w:ind w:left="425" w:hanging="425"/>
        <w:jc w:val="both"/>
        <w:rPr>
          <w:rFonts w:cs="Arial"/>
        </w:rPr>
      </w:pPr>
      <w:r w:rsidRPr="001400A8">
        <w:rPr>
          <w:rFonts w:cs="Arial"/>
        </w:rPr>
        <w:t>-</w:t>
      </w:r>
      <w:r w:rsidRPr="001400A8">
        <w:rPr>
          <w:rFonts w:cs="Arial"/>
        </w:rPr>
        <w:tab/>
        <w:t>Maintain a degree of continuity in the landscaping of publicly accessible areas.</w:t>
      </w:r>
    </w:p>
    <w:p w14:paraId="031F18C3" w14:textId="77777777" w:rsidR="001B5B0A" w:rsidRPr="00F0273E" w:rsidRDefault="001B5B0A" w:rsidP="001B5B0A">
      <w:pPr>
        <w:spacing w:before="240" w:after="0"/>
        <w:ind w:left="142" w:hanging="142"/>
        <w:jc w:val="both"/>
        <w:rPr>
          <w:rFonts w:cs="Arial"/>
          <w:b/>
        </w:rPr>
      </w:pPr>
      <w:r w:rsidRPr="00F0273E">
        <w:rPr>
          <w:rFonts w:cs="Arial"/>
          <w:b/>
        </w:rPr>
        <w:t>Detailed Urban Design Guidelines</w:t>
      </w:r>
    </w:p>
    <w:p w14:paraId="5B05A25E" w14:textId="77777777" w:rsidR="001B5B0A" w:rsidRPr="008F4D8B" w:rsidRDefault="001B5B0A" w:rsidP="001B5B0A">
      <w:pPr>
        <w:spacing w:after="120"/>
        <w:jc w:val="both"/>
        <w:rPr>
          <w:rFonts w:cs="Arial"/>
        </w:rPr>
      </w:pPr>
      <w:r w:rsidRPr="008F4D8B">
        <w:rPr>
          <w:rFonts w:cs="Arial"/>
        </w:rPr>
        <w:t xml:space="preserve">Development within the Town Centre Redevelopment Area is subject to the provisions of Local Planning Scheme No. 3 and the </w:t>
      </w:r>
      <w:r>
        <w:rPr>
          <w:rFonts w:cs="Arial"/>
        </w:rPr>
        <w:t xml:space="preserve">Metropolitan Region Scheme (for land abutting Canning Highway </w:t>
      </w:r>
      <w:r w:rsidRPr="008F4D8B">
        <w:rPr>
          <w:rFonts w:cs="Arial"/>
        </w:rPr>
        <w:t>Canning</w:t>
      </w:r>
      <w:r>
        <w:rPr>
          <w:rFonts w:cs="Arial"/>
        </w:rPr>
        <w:t>).</w:t>
      </w:r>
    </w:p>
    <w:p w14:paraId="0232CC77" w14:textId="77777777" w:rsidR="001B5B0A" w:rsidRDefault="001B5B0A" w:rsidP="001B5B0A">
      <w:pPr>
        <w:spacing w:after="120"/>
        <w:jc w:val="both"/>
        <w:rPr>
          <w:rFonts w:cs="Arial"/>
        </w:rPr>
      </w:pPr>
      <w:r w:rsidRPr="008F4D8B">
        <w:rPr>
          <w:rFonts w:cs="Arial"/>
        </w:rPr>
        <w:t xml:space="preserve">Local </w:t>
      </w:r>
      <w:r>
        <w:rPr>
          <w:rFonts w:cs="Arial"/>
        </w:rPr>
        <w:t>P</w:t>
      </w:r>
      <w:r w:rsidRPr="008F4D8B">
        <w:rPr>
          <w:rFonts w:cs="Arial"/>
        </w:rPr>
        <w:t xml:space="preserve">lanning </w:t>
      </w:r>
      <w:r>
        <w:rPr>
          <w:rFonts w:cs="Arial"/>
        </w:rPr>
        <w:t>S</w:t>
      </w:r>
      <w:r w:rsidRPr="008F4D8B">
        <w:rPr>
          <w:rFonts w:cs="Arial"/>
        </w:rPr>
        <w:t>cheme provisions relating to the applicable zoning (Town Centre, Mixed Use and Residential) apply to the corresponding land within the Town Centre Redevelopment Area.</w:t>
      </w:r>
      <w:r>
        <w:rPr>
          <w:rFonts w:cs="Arial"/>
        </w:rPr>
        <w:t xml:space="preserve"> </w:t>
      </w:r>
    </w:p>
    <w:p w14:paraId="71DAB351" w14:textId="77777777" w:rsidR="001B5B0A" w:rsidRPr="00860232" w:rsidRDefault="001B5B0A" w:rsidP="001B5B0A">
      <w:pPr>
        <w:spacing w:after="120"/>
        <w:jc w:val="both"/>
        <w:rPr>
          <w:rFonts w:cs="Arial"/>
        </w:rPr>
      </w:pPr>
      <w:r w:rsidRPr="00860232">
        <w:rPr>
          <w:rFonts w:cs="Arial"/>
        </w:rPr>
        <w:t xml:space="preserve">The R-Codes Vol. 2 previously applied to design elements for multiple dwellings in areas coded R40 or </w:t>
      </w:r>
      <w:proofErr w:type="gramStart"/>
      <w:r w:rsidRPr="00860232">
        <w:rPr>
          <w:rFonts w:cs="Arial"/>
        </w:rPr>
        <w:t>greater;</w:t>
      </w:r>
      <w:proofErr w:type="gramEnd"/>
      <w:r w:rsidRPr="00860232">
        <w:rPr>
          <w:rFonts w:cs="Arial"/>
        </w:rPr>
        <w:t xml:space="preserve"> within mixed use development and activity centres. Recent amendments to the R-Codes Vol.1 and Vol. 2 have resulted in development no longer being fully assessed under the R-Codes Vol.2 within the Town Centre Redevelopment Area such that:</w:t>
      </w:r>
    </w:p>
    <w:p w14:paraId="6E1E0C35" w14:textId="77777777" w:rsidR="001B5B0A" w:rsidRPr="00860232" w:rsidRDefault="001B5B0A" w:rsidP="00303E96">
      <w:pPr>
        <w:pStyle w:val="ListParagraph"/>
        <w:numPr>
          <w:ilvl w:val="0"/>
          <w:numId w:val="512"/>
        </w:numPr>
        <w:spacing w:after="120"/>
        <w:jc w:val="both"/>
        <w:rPr>
          <w:rFonts w:cs="Arial"/>
        </w:rPr>
      </w:pPr>
      <w:r w:rsidRPr="00860232">
        <w:rPr>
          <w:rFonts w:cs="Arial"/>
        </w:rPr>
        <w:t>For development of grouped and multiple dwellings proposed on land where a density code of R40 applies, due consideration is now to be given to the R-Codes Vol.1, Part C; and</w:t>
      </w:r>
    </w:p>
    <w:p w14:paraId="11C73FAC" w14:textId="77777777" w:rsidR="001B5B0A" w:rsidRPr="00860232" w:rsidRDefault="001B5B0A" w:rsidP="00303E96">
      <w:pPr>
        <w:pStyle w:val="ListParagraph"/>
        <w:numPr>
          <w:ilvl w:val="0"/>
          <w:numId w:val="512"/>
        </w:numPr>
        <w:spacing w:after="120"/>
        <w:jc w:val="both"/>
        <w:rPr>
          <w:rFonts w:cs="Arial"/>
        </w:rPr>
      </w:pPr>
      <w:r w:rsidRPr="00860232">
        <w:rPr>
          <w:rFonts w:cs="Arial"/>
        </w:rPr>
        <w:t>For development of multiple dwellings proposed on land where Council has determined that a density code of R80 and above applies, due consideration is now to be given to the R-Codes Vol.2.</w:t>
      </w:r>
    </w:p>
    <w:p w14:paraId="23E26B0C" w14:textId="77777777" w:rsidR="001B5B0A" w:rsidRPr="00860232" w:rsidRDefault="001B5B0A" w:rsidP="001B5B0A">
      <w:pPr>
        <w:jc w:val="both"/>
      </w:pPr>
      <w:r w:rsidRPr="00860232">
        <w:t xml:space="preserve">Clause 5.3.5 of Local Planning Scheme No. 3 allows Council to approve residential development at a density </w:t>
      </w:r>
      <w:proofErr w:type="gramStart"/>
      <w:r w:rsidRPr="00860232">
        <w:t>in excess of</w:t>
      </w:r>
      <w:proofErr w:type="gramEnd"/>
      <w:r w:rsidRPr="00860232">
        <w:t xml:space="preserve"> R40 in the Town Centre Zone where it is satisfied that the resultant design and mix of development will be consistent with the planning proposals contained in the Local Planning Strategy and accord with any approved development plan for the centre. </w:t>
      </w:r>
    </w:p>
    <w:p w14:paraId="403182BA" w14:textId="77777777" w:rsidR="001B5B0A" w:rsidRPr="00860232" w:rsidRDefault="001B5B0A" w:rsidP="001B5B0A">
      <w:pPr>
        <w:jc w:val="both"/>
        <w:rPr>
          <w:rFonts w:ascii="Calibri" w:hAnsi="Calibri" w:cs="Calibri"/>
        </w:rPr>
      </w:pPr>
      <w:r w:rsidRPr="00860232">
        <w:rPr>
          <w:rFonts w:ascii="Calibri" w:hAnsi="Calibri" w:cs="Calibri"/>
        </w:rPr>
        <w:t xml:space="preserve">Local Planning Strategy 2022 provides an initial guide to future planning research, study and processes for the planning areas identified in the strategy for potential future growth. For Planning Area B – Town Centre, the strategy suggests a future context for the Town Centre area south of Canning </w:t>
      </w:r>
      <w:r w:rsidRPr="00860232">
        <w:rPr>
          <w:rFonts w:ascii="Calibri" w:hAnsi="Calibri" w:cs="Calibri"/>
        </w:rPr>
        <w:lastRenderedPageBreak/>
        <w:t xml:space="preserve">Highway to be considered </w:t>
      </w:r>
      <w:r w:rsidRPr="00860232">
        <w:t xml:space="preserve">at a density of R-AC2 </w:t>
      </w:r>
      <w:r w:rsidRPr="00860232">
        <w:rPr>
          <w:rFonts w:ascii="Calibri-Bold" w:hAnsi="Calibri-Bold" w:cs="Calibri-Bold"/>
        </w:rPr>
        <w:t xml:space="preserve">(R80-100+) </w:t>
      </w:r>
      <w:r w:rsidRPr="00860232">
        <w:rPr>
          <w:rFonts w:ascii="Calibri" w:hAnsi="Calibri" w:cs="Calibri"/>
        </w:rPr>
        <w:t xml:space="preserve">with an </w:t>
      </w:r>
      <w:proofErr w:type="gramStart"/>
      <w:r w:rsidRPr="00860232">
        <w:rPr>
          <w:rFonts w:ascii="Calibri-Bold" w:hAnsi="Calibri-Bold" w:cs="Calibri-Bold"/>
        </w:rPr>
        <w:t>Urban</w:t>
      </w:r>
      <w:proofErr w:type="gramEnd"/>
      <w:r w:rsidRPr="00860232">
        <w:rPr>
          <w:rFonts w:ascii="Calibri-Bold" w:hAnsi="Calibri-Bold" w:cs="Calibri-Bold"/>
        </w:rPr>
        <w:t xml:space="preserve"> context – Mid-rise/high density urban centre development streetscape character </w:t>
      </w:r>
      <w:r w:rsidRPr="00860232">
        <w:rPr>
          <w:rFonts w:ascii="Calibri" w:hAnsi="Calibri" w:cs="Calibri"/>
        </w:rPr>
        <w:t>(with stricter height controls near civic heritage buildings).</w:t>
      </w:r>
    </w:p>
    <w:p w14:paraId="4670EB78" w14:textId="77777777" w:rsidR="001B5B0A" w:rsidRPr="00860232" w:rsidRDefault="001B5B0A" w:rsidP="001B5B0A">
      <w:pPr>
        <w:jc w:val="both"/>
      </w:pPr>
      <w:r w:rsidRPr="00860232">
        <w:t xml:space="preserve">For the purposes of this Policy, the density code supported under Clause 5.3.5 of the Local Planning Scheme for the Town Centre Zone to work towards achieving this on the southern side of Canning Highway is R80-100 (as guided by the Local Planning Strategy) excluding the land contained within the “Town Hall sensitivity zone” shown in Plan 7: Building Height. </w:t>
      </w:r>
    </w:p>
    <w:p w14:paraId="75062286" w14:textId="77777777" w:rsidR="001B5B0A" w:rsidRDefault="001B5B0A" w:rsidP="001B5B0A">
      <w:pPr>
        <w:spacing w:after="120"/>
        <w:jc w:val="both"/>
        <w:rPr>
          <w:rFonts w:cs="Arial"/>
        </w:rPr>
      </w:pPr>
      <w:r w:rsidRPr="00860232">
        <w:rPr>
          <w:rFonts w:cs="Arial"/>
        </w:rPr>
        <w:t xml:space="preserve">When considering applications for development approval within the Town Centre Redevelopment Area, including variations to standards and requirements under Clauses 5.3.4, 5.3.5, 5.6 and 5.8 of Local Planning Scheme No. 3, the Town will be guided by the </w:t>
      </w:r>
      <w:proofErr w:type="gramStart"/>
      <w:r w:rsidRPr="00860232">
        <w:rPr>
          <w:rFonts w:cs="Arial"/>
        </w:rPr>
        <w:t>aforementioned planning</w:t>
      </w:r>
      <w:proofErr w:type="gramEnd"/>
      <w:r w:rsidRPr="00860232">
        <w:rPr>
          <w:rFonts w:cs="Arial"/>
        </w:rPr>
        <w:t xml:space="preserve"> and urban design objectives and the following Element Objectives and Acceptable Outcomes for each Element.</w:t>
      </w:r>
    </w:p>
    <w:p w14:paraId="227DCF3C" w14:textId="77777777" w:rsidR="001B5B0A" w:rsidRPr="00F0273E" w:rsidRDefault="001B5B0A" w:rsidP="001B5B0A">
      <w:pPr>
        <w:spacing w:before="240" w:after="0"/>
        <w:ind w:left="142" w:hanging="142"/>
        <w:rPr>
          <w:rFonts w:cs="Arial"/>
          <w:i/>
          <w:u w:val="single"/>
        </w:rPr>
      </w:pPr>
      <w:r w:rsidRPr="00F0273E">
        <w:rPr>
          <w:rFonts w:cs="Arial"/>
          <w:i/>
          <w:u w:val="single"/>
        </w:rPr>
        <w:t>Element 1: Urban Structure</w:t>
      </w:r>
    </w:p>
    <w:p w14:paraId="4F83F92D" w14:textId="77777777" w:rsidR="001B5B0A" w:rsidRPr="001400A8" w:rsidRDefault="001B5B0A" w:rsidP="001B5B0A">
      <w:pPr>
        <w:tabs>
          <w:tab w:val="left" w:pos="0"/>
        </w:tabs>
        <w:spacing w:after="120"/>
        <w:ind w:right="-46"/>
        <w:jc w:val="both"/>
        <w:rPr>
          <w:rFonts w:cs="Arial"/>
        </w:rPr>
      </w:pPr>
      <w:r>
        <w:rPr>
          <w:rFonts w:cs="Arial"/>
        </w:rPr>
        <w:t>Urban</w:t>
      </w:r>
      <w:r w:rsidRPr="001400A8">
        <w:rPr>
          <w:rFonts w:cs="Arial"/>
        </w:rPr>
        <w:t xml:space="preserve"> structure describes the pattern of development, streets, and other publicly accessible spaces that together make up the built environment. </w:t>
      </w:r>
    </w:p>
    <w:p w14:paraId="14FB1F06" w14:textId="77777777" w:rsidR="001B5B0A" w:rsidRPr="001400A8" w:rsidRDefault="001B5B0A" w:rsidP="001B5B0A">
      <w:pPr>
        <w:tabs>
          <w:tab w:val="left" w:pos="0"/>
        </w:tabs>
        <w:spacing w:after="60"/>
        <w:ind w:right="-45"/>
        <w:jc w:val="both"/>
        <w:rPr>
          <w:rFonts w:cs="Arial"/>
        </w:rPr>
      </w:pPr>
      <w:proofErr w:type="gramStart"/>
      <w:r w:rsidRPr="001400A8">
        <w:rPr>
          <w:rFonts w:cs="Arial"/>
        </w:rPr>
        <w:t>In regard to</w:t>
      </w:r>
      <w:proofErr w:type="gramEnd"/>
      <w:r w:rsidRPr="001400A8">
        <w:rPr>
          <w:rFonts w:cs="Arial"/>
        </w:rPr>
        <w:t xml:space="preserve"> urban structure the policy objectives are:</w:t>
      </w:r>
    </w:p>
    <w:p w14:paraId="00E1DD55" w14:textId="77777777" w:rsidR="001B5B0A" w:rsidRPr="001400A8" w:rsidRDefault="001B5B0A" w:rsidP="001B5B0A">
      <w:pPr>
        <w:spacing w:after="60"/>
        <w:ind w:left="425" w:hanging="425"/>
        <w:jc w:val="both"/>
        <w:rPr>
          <w:rFonts w:cs="Arial"/>
        </w:rPr>
      </w:pPr>
      <w:r w:rsidRPr="001400A8">
        <w:rPr>
          <w:rFonts w:cs="Arial"/>
        </w:rPr>
        <w:t>-</w:t>
      </w:r>
      <w:r w:rsidRPr="001400A8">
        <w:rPr>
          <w:rFonts w:cs="Arial"/>
        </w:rPr>
        <w:tab/>
        <w:t xml:space="preserve">To ensure that the </w:t>
      </w:r>
      <w:r>
        <w:rPr>
          <w:rFonts w:cs="Arial"/>
        </w:rPr>
        <w:t>T</w:t>
      </w:r>
      <w:r w:rsidRPr="001400A8">
        <w:rPr>
          <w:rFonts w:cs="Arial"/>
        </w:rPr>
        <w:t xml:space="preserve">own </w:t>
      </w:r>
      <w:r>
        <w:rPr>
          <w:rFonts w:cs="Arial"/>
        </w:rPr>
        <w:t>C</w:t>
      </w:r>
      <w:r w:rsidRPr="001400A8">
        <w:rPr>
          <w:rFonts w:cs="Arial"/>
        </w:rPr>
        <w:t>entre is integrated with the broader urban and suburban environment.</w:t>
      </w:r>
    </w:p>
    <w:p w14:paraId="73F4C989" w14:textId="77777777" w:rsidR="001B5B0A" w:rsidRPr="001400A8" w:rsidRDefault="001B5B0A" w:rsidP="001B5B0A">
      <w:pPr>
        <w:spacing w:after="120"/>
        <w:ind w:left="425" w:hanging="425"/>
        <w:jc w:val="both"/>
        <w:rPr>
          <w:rFonts w:cs="Arial"/>
        </w:rPr>
      </w:pPr>
      <w:r w:rsidRPr="001400A8">
        <w:rPr>
          <w:rFonts w:cs="Arial"/>
        </w:rPr>
        <w:t>-</w:t>
      </w:r>
      <w:r w:rsidRPr="001400A8">
        <w:rPr>
          <w:rFonts w:cs="Arial"/>
        </w:rPr>
        <w:tab/>
        <w:t>To ensure that the movement network and accessible spaces - encourage walking and community interaction and, lead to a more attractive and sustainable centre.</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99"/>
        <w:gridCol w:w="3657"/>
      </w:tblGrid>
      <w:tr w:rsidR="001B5B0A" w:rsidRPr="000F1ABE" w14:paraId="18151545" w14:textId="77777777" w:rsidTr="006255F2">
        <w:tc>
          <w:tcPr>
            <w:tcW w:w="5699" w:type="dxa"/>
            <w:shd w:val="solid" w:color="D9D9D9" w:fill="auto"/>
          </w:tcPr>
          <w:p w14:paraId="10E48DCD" w14:textId="77777777" w:rsidR="001B5B0A" w:rsidRPr="000315E6" w:rsidRDefault="001B5B0A" w:rsidP="006255F2">
            <w:pPr>
              <w:tabs>
                <w:tab w:val="left" w:pos="0"/>
              </w:tabs>
              <w:spacing w:before="60" w:after="60"/>
              <w:ind w:right="-46"/>
              <w:jc w:val="both"/>
              <w:rPr>
                <w:rFonts w:ascii="Arial Narrow" w:hAnsi="Arial Narrow" w:cs="Arial"/>
                <w:b/>
                <w:sz w:val="20"/>
                <w:szCs w:val="20"/>
              </w:rPr>
            </w:pPr>
            <w:r>
              <w:rPr>
                <w:rFonts w:ascii="Arial Narrow" w:hAnsi="Arial Narrow" w:cs="Arial"/>
                <w:b/>
                <w:sz w:val="20"/>
                <w:szCs w:val="20"/>
              </w:rPr>
              <w:t>Element Objective</w:t>
            </w:r>
          </w:p>
          <w:p w14:paraId="2B20A83F" w14:textId="77777777" w:rsidR="001B5B0A" w:rsidRPr="000315E6" w:rsidRDefault="001B5B0A" w:rsidP="006255F2">
            <w:pPr>
              <w:tabs>
                <w:tab w:val="left" w:pos="0"/>
              </w:tabs>
              <w:spacing w:before="60" w:after="60"/>
              <w:ind w:right="-46"/>
              <w:jc w:val="both"/>
              <w:rPr>
                <w:rFonts w:ascii="Arial Narrow" w:hAnsi="Arial Narrow" w:cs="Arial"/>
                <w:i/>
                <w:sz w:val="20"/>
                <w:szCs w:val="20"/>
              </w:rPr>
            </w:pPr>
            <w:r>
              <w:rPr>
                <w:rFonts w:ascii="Arial Narrow" w:hAnsi="Arial Narrow" w:cs="Arial"/>
                <w:i/>
                <w:sz w:val="20"/>
                <w:szCs w:val="20"/>
              </w:rPr>
              <w:t>D</w:t>
            </w:r>
            <w:r w:rsidRPr="000315E6">
              <w:rPr>
                <w:rFonts w:ascii="Arial Narrow" w:hAnsi="Arial Narrow" w:cs="Arial"/>
                <w:i/>
                <w:sz w:val="20"/>
                <w:szCs w:val="20"/>
              </w:rPr>
              <w:t>evelopment should meet these criteria.</w:t>
            </w:r>
          </w:p>
        </w:tc>
        <w:tc>
          <w:tcPr>
            <w:tcW w:w="3657" w:type="dxa"/>
            <w:shd w:val="solid" w:color="D9D9D9" w:fill="auto"/>
          </w:tcPr>
          <w:p w14:paraId="1EE34A43" w14:textId="77777777" w:rsidR="001B5B0A" w:rsidRPr="000315E6" w:rsidRDefault="001B5B0A" w:rsidP="006255F2">
            <w:pPr>
              <w:tabs>
                <w:tab w:val="left" w:pos="0"/>
              </w:tabs>
              <w:spacing w:before="60" w:after="60"/>
              <w:ind w:left="34" w:right="-46"/>
              <w:jc w:val="both"/>
              <w:rPr>
                <w:rFonts w:ascii="Arial Narrow" w:hAnsi="Arial Narrow" w:cs="Arial"/>
                <w:b/>
                <w:sz w:val="20"/>
                <w:szCs w:val="20"/>
              </w:rPr>
            </w:pPr>
            <w:r w:rsidRPr="000315E6">
              <w:rPr>
                <w:rFonts w:ascii="Arial Narrow" w:hAnsi="Arial Narrow" w:cs="Arial"/>
                <w:b/>
                <w:sz w:val="20"/>
                <w:szCs w:val="20"/>
              </w:rPr>
              <w:t xml:space="preserve">Acceptable </w:t>
            </w:r>
            <w:r>
              <w:rPr>
                <w:rFonts w:ascii="Arial Narrow" w:hAnsi="Arial Narrow" w:cs="Arial"/>
                <w:b/>
                <w:sz w:val="20"/>
                <w:szCs w:val="20"/>
              </w:rPr>
              <w:t>Outcomes</w:t>
            </w:r>
          </w:p>
          <w:p w14:paraId="10A4A9DC" w14:textId="77777777" w:rsidR="001B5B0A" w:rsidRPr="000315E6" w:rsidRDefault="001B5B0A" w:rsidP="006255F2">
            <w:pPr>
              <w:tabs>
                <w:tab w:val="left" w:pos="0"/>
              </w:tabs>
              <w:spacing w:before="60" w:after="60"/>
              <w:ind w:left="34" w:right="-46"/>
              <w:jc w:val="both"/>
              <w:rPr>
                <w:rFonts w:ascii="Arial Narrow" w:hAnsi="Arial Narrow" w:cs="Arial"/>
                <w:i/>
                <w:sz w:val="20"/>
                <w:szCs w:val="20"/>
              </w:rPr>
            </w:pPr>
            <w:r w:rsidRPr="000315E6">
              <w:rPr>
                <w:rFonts w:ascii="Arial Narrow" w:hAnsi="Arial Narrow" w:cs="Arial"/>
                <w:i/>
                <w:sz w:val="20"/>
                <w:szCs w:val="20"/>
              </w:rPr>
              <w:t xml:space="preserve">The acceptable </w:t>
            </w:r>
            <w:r>
              <w:rPr>
                <w:rFonts w:ascii="Arial Narrow" w:hAnsi="Arial Narrow" w:cs="Arial"/>
                <w:i/>
                <w:sz w:val="20"/>
                <w:szCs w:val="20"/>
              </w:rPr>
              <w:t>outcomes</w:t>
            </w:r>
            <w:r w:rsidRPr="000315E6">
              <w:rPr>
                <w:rFonts w:ascii="Arial Narrow" w:hAnsi="Arial Narrow" w:cs="Arial"/>
                <w:i/>
                <w:sz w:val="20"/>
                <w:szCs w:val="20"/>
              </w:rPr>
              <w:t xml:space="preserve"> are ways of meeting the </w:t>
            </w:r>
            <w:r>
              <w:rPr>
                <w:rFonts w:ascii="Arial Narrow" w:hAnsi="Arial Narrow" w:cs="Arial"/>
                <w:i/>
                <w:sz w:val="20"/>
                <w:szCs w:val="20"/>
              </w:rPr>
              <w:t>element objective</w:t>
            </w:r>
            <w:r w:rsidRPr="000315E6">
              <w:rPr>
                <w:rFonts w:ascii="Arial Narrow" w:hAnsi="Arial Narrow" w:cs="Arial"/>
                <w:i/>
                <w:sz w:val="20"/>
                <w:szCs w:val="20"/>
              </w:rPr>
              <w:t>.</w:t>
            </w:r>
          </w:p>
        </w:tc>
      </w:tr>
      <w:tr w:rsidR="001B5B0A" w:rsidRPr="000F1ABE" w14:paraId="6C9689A8" w14:textId="77777777" w:rsidTr="006255F2">
        <w:tc>
          <w:tcPr>
            <w:tcW w:w="5699" w:type="dxa"/>
          </w:tcPr>
          <w:p w14:paraId="7BDDC251" w14:textId="77777777" w:rsidR="001B5B0A" w:rsidRPr="000315E6" w:rsidRDefault="001B5B0A" w:rsidP="006255F2">
            <w:pPr>
              <w:tabs>
                <w:tab w:val="left" w:pos="0"/>
              </w:tabs>
              <w:spacing w:before="60" w:after="0"/>
              <w:ind w:right="34"/>
              <w:jc w:val="both"/>
              <w:rPr>
                <w:rFonts w:ascii="Arial Narrow" w:hAnsi="Arial Narrow" w:cs="Arial"/>
                <w:sz w:val="20"/>
                <w:szCs w:val="20"/>
              </w:rPr>
            </w:pPr>
            <w:r w:rsidRPr="000315E6">
              <w:rPr>
                <w:rFonts w:ascii="Arial Narrow" w:hAnsi="Arial Narrow" w:cs="Arial"/>
                <w:sz w:val="20"/>
                <w:szCs w:val="20"/>
              </w:rPr>
              <w:t xml:space="preserve">To achieve good urban structure within the East Fremantle </w:t>
            </w:r>
            <w:r>
              <w:rPr>
                <w:rFonts w:ascii="Arial Narrow" w:hAnsi="Arial Narrow" w:cs="Arial"/>
                <w:sz w:val="20"/>
                <w:szCs w:val="20"/>
              </w:rPr>
              <w:t>T</w:t>
            </w:r>
            <w:r w:rsidRPr="000315E6">
              <w:rPr>
                <w:rFonts w:ascii="Arial Narrow" w:hAnsi="Arial Narrow" w:cs="Arial"/>
                <w:sz w:val="20"/>
                <w:szCs w:val="20"/>
              </w:rPr>
              <w:t xml:space="preserve">own </w:t>
            </w:r>
            <w:r>
              <w:rPr>
                <w:rFonts w:ascii="Arial Narrow" w:hAnsi="Arial Narrow" w:cs="Arial"/>
                <w:sz w:val="20"/>
                <w:szCs w:val="20"/>
              </w:rPr>
              <w:t>C</w:t>
            </w:r>
            <w:r w:rsidRPr="000315E6">
              <w:rPr>
                <w:rFonts w:ascii="Arial Narrow" w:hAnsi="Arial Narrow" w:cs="Arial"/>
                <w:sz w:val="20"/>
                <w:szCs w:val="20"/>
              </w:rPr>
              <w:t xml:space="preserve">entre, development </w:t>
            </w:r>
            <w:r>
              <w:rPr>
                <w:rFonts w:ascii="Arial Narrow" w:hAnsi="Arial Narrow" w:cs="Arial"/>
                <w:sz w:val="20"/>
                <w:szCs w:val="20"/>
              </w:rPr>
              <w:t>is to</w:t>
            </w:r>
            <w:r w:rsidRPr="000315E6">
              <w:rPr>
                <w:rFonts w:ascii="Arial Narrow" w:hAnsi="Arial Narrow" w:cs="Arial"/>
                <w:sz w:val="20"/>
                <w:szCs w:val="20"/>
              </w:rPr>
              <w:t>:</w:t>
            </w:r>
          </w:p>
          <w:p w14:paraId="05749DDB" w14:textId="77777777" w:rsidR="001B5B0A" w:rsidRPr="000315E6" w:rsidRDefault="001B5B0A" w:rsidP="006255F2">
            <w:pPr>
              <w:pStyle w:val="ListParagraph"/>
              <w:tabs>
                <w:tab w:val="left" w:pos="284"/>
              </w:tabs>
              <w:spacing w:before="60"/>
              <w:ind w:left="284" w:right="34" w:hanging="284"/>
              <w:jc w:val="both"/>
              <w:rPr>
                <w:rFonts w:ascii="Arial Narrow" w:hAnsi="Arial Narrow" w:cs="Arial"/>
                <w:sz w:val="20"/>
                <w:szCs w:val="20"/>
              </w:rPr>
            </w:pPr>
            <w:r>
              <w:rPr>
                <w:rFonts w:ascii="Arial Narrow" w:hAnsi="Arial Narrow" w:cs="Arial"/>
                <w:b/>
                <w:sz w:val="20"/>
                <w:szCs w:val="20"/>
              </w:rPr>
              <w:t>..</w:t>
            </w:r>
            <w:r>
              <w:rPr>
                <w:rFonts w:ascii="Arial Narrow" w:hAnsi="Arial Narrow" w:cs="Arial"/>
                <w:sz w:val="20"/>
                <w:szCs w:val="20"/>
              </w:rPr>
              <w:tab/>
            </w:r>
            <w:r w:rsidRPr="000315E6">
              <w:rPr>
                <w:rFonts w:ascii="Arial Narrow" w:hAnsi="Arial Narrow" w:cs="Arial"/>
                <w:sz w:val="20"/>
                <w:szCs w:val="20"/>
              </w:rPr>
              <w:t xml:space="preserve">Maintain a hierarchy of legible, permeable and interconnected streets that maximise walkability to, and within, an activity centre to encourage visible human activity and reduce reliance on car-use. </w:t>
            </w:r>
          </w:p>
          <w:p w14:paraId="65D89AEC" w14:textId="77777777" w:rsidR="001B5B0A" w:rsidRPr="000315E6" w:rsidRDefault="001B5B0A" w:rsidP="006255F2">
            <w:pPr>
              <w:pStyle w:val="ListParagraph"/>
              <w:tabs>
                <w:tab w:val="left" w:pos="284"/>
              </w:tabs>
              <w:spacing w:before="60"/>
              <w:ind w:left="284" w:right="34" w:hanging="284"/>
              <w:jc w:val="both"/>
              <w:rPr>
                <w:rFonts w:ascii="Arial Narrow" w:hAnsi="Arial Narrow" w:cs="Arial"/>
                <w:sz w:val="20"/>
                <w:szCs w:val="20"/>
              </w:rPr>
            </w:pPr>
            <w:r>
              <w:rPr>
                <w:rFonts w:ascii="Arial Narrow" w:hAnsi="Arial Narrow" w:cs="Arial"/>
                <w:b/>
                <w:sz w:val="20"/>
                <w:szCs w:val="20"/>
              </w:rPr>
              <w:t>..</w:t>
            </w:r>
            <w:r>
              <w:rPr>
                <w:rFonts w:ascii="Arial Narrow" w:hAnsi="Arial Narrow" w:cs="Arial"/>
                <w:sz w:val="20"/>
                <w:szCs w:val="20"/>
              </w:rPr>
              <w:tab/>
            </w:r>
            <w:r w:rsidRPr="000315E6">
              <w:rPr>
                <w:rFonts w:ascii="Arial Narrow" w:hAnsi="Arial Narrow" w:cs="Arial"/>
                <w:sz w:val="20"/>
                <w:szCs w:val="20"/>
              </w:rPr>
              <w:t>Provide a robust urban framework of streets, street blocks, lanes, footpaths, services, and open spaces that can adapt to changes of use over time.</w:t>
            </w:r>
          </w:p>
          <w:p w14:paraId="41BC2AB3" w14:textId="77777777" w:rsidR="001B5B0A" w:rsidRPr="000315E6" w:rsidRDefault="001B5B0A" w:rsidP="006255F2">
            <w:pPr>
              <w:pStyle w:val="ListParagraph"/>
              <w:tabs>
                <w:tab w:val="left" w:pos="284"/>
              </w:tabs>
              <w:spacing w:before="60"/>
              <w:ind w:left="284" w:right="34" w:hanging="284"/>
              <w:jc w:val="both"/>
              <w:rPr>
                <w:rFonts w:ascii="Arial Narrow" w:hAnsi="Arial Narrow" w:cs="Arial"/>
                <w:sz w:val="20"/>
                <w:szCs w:val="20"/>
              </w:rPr>
            </w:pPr>
            <w:r>
              <w:rPr>
                <w:rFonts w:ascii="Arial Narrow" w:hAnsi="Arial Narrow" w:cs="Arial"/>
                <w:b/>
                <w:sz w:val="20"/>
                <w:szCs w:val="20"/>
              </w:rPr>
              <w:t>..</w:t>
            </w:r>
            <w:r>
              <w:rPr>
                <w:rFonts w:ascii="Arial Narrow" w:hAnsi="Arial Narrow" w:cs="Arial"/>
                <w:sz w:val="20"/>
                <w:szCs w:val="20"/>
              </w:rPr>
              <w:tab/>
            </w:r>
            <w:r w:rsidRPr="000315E6">
              <w:rPr>
                <w:rFonts w:ascii="Arial Narrow" w:hAnsi="Arial Narrow" w:cs="Arial"/>
                <w:sz w:val="20"/>
                <w:szCs w:val="20"/>
              </w:rPr>
              <w:t>Provide publicly accessible spaces to foster the community interaction and a sense of belonging.</w:t>
            </w:r>
          </w:p>
          <w:p w14:paraId="6ABEDC22" w14:textId="77777777" w:rsidR="001B5B0A" w:rsidRPr="000315E6" w:rsidRDefault="001B5B0A" w:rsidP="006255F2">
            <w:pPr>
              <w:pStyle w:val="ListParagraph"/>
              <w:tabs>
                <w:tab w:val="left" w:pos="284"/>
              </w:tabs>
              <w:spacing w:before="60" w:after="60"/>
              <w:ind w:left="284" w:right="34" w:hanging="284"/>
              <w:jc w:val="both"/>
              <w:rPr>
                <w:rFonts w:ascii="Arial Narrow" w:hAnsi="Arial Narrow" w:cs="Arial"/>
                <w:sz w:val="20"/>
                <w:szCs w:val="20"/>
              </w:rPr>
            </w:pPr>
            <w:r w:rsidRPr="000315E6">
              <w:rPr>
                <w:rFonts w:ascii="Arial Narrow" w:hAnsi="Arial Narrow" w:cs="Arial"/>
                <w:b/>
                <w:sz w:val="20"/>
                <w:szCs w:val="20"/>
              </w:rPr>
              <w:t>..</w:t>
            </w:r>
            <w:r>
              <w:rPr>
                <w:rFonts w:ascii="Arial Narrow" w:hAnsi="Arial Narrow" w:cs="Arial"/>
                <w:sz w:val="20"/>
                <w:szCs w:val="20"/>
              </w:rPr>
              <w:tab/>
            </w:r>
            <w:r w:rsidRPr="000315E6">
              <w:rPr>
                <w:rFonts w:ascii="Arial Narrow" w:hAnsi="Arial Narrow" w:cs="Arial"/>
                <w:sz w:val="20"/>
                <w:szCs w:val="20"/>
              </w:rPr>
              <w:t xml:space="preserve">Incorporate views and vistas to nearby landscape features such as existing parkland and the Swan River into the urban structure to strengthen the identity of the </w:t>
            </w:r>
            <w:r>
              <w:rPr>
                <w:rFonts w:ascii="Arial Narrow" w:hAnsi="Arial Narrow" w:cs="Arial"/>
                <w:sz w:val="20"/>
                <w:szCs w:val="20"/>
              </w:rPr>
              <w:t>T</w:t>
            </w:r>
            <w:r w:rsidRPr="000315E6">
              <w:rPr>
                <w:rFonts w:ascii="Arial Narrow" w:hAnsi="Arial Narrow" w:cs="Arial"/>
                <w:sz w:val="20"/>
                <w:szCs w:val="20"/>
              </w:rPr>
              <w:t xml:space="preserve">own </w:t>
            </w:r>
            <w:r>
              <w:rPr>
                <w:rFonts w:ascii="Arial Narrow" w:hAnsi="Arial Narrow" w:cs="Arial"/>
                <w:sz w:val="20"/>
                <w:szCs w:val="20"/>
              </w:rPr>
              <w:t>C</w:t>
            </w:r>
            <w:r w:rsidRPr="000315E6">
              <w:rPr>
                <w:rFonts w:ascii="Arial Narrow" w:hAnsi="Arial Narrow" w:cs="Arial"/>
                <w:sz w:val="20"/>
                <w:szCs w:val="20"/>
              </w:rPr>
              <w:t>entre and its sense of place.</w:t>
            </w:r>
          </w:p>
        </w:tc>
        <w:tc>
          <w:tcPr>
            <w:tcW w:w="3657" w:type="dxa"/>
          </w:tcPr>
          <w:p w14:paraId="370FECA7" w14:textId="77777777" w:rsidR="001B5B0A" w:rsidRPr="000315E6" w:rsidRDefault="001B5B0A" w:rsidP="006255F2">
            <w:pPr>
              <w:pStyle w:val="ListParagraph"/>
              <w:tabs>
                <w:tab w:val="left" w:pos="230"/>
              </w:tabs>
              <w:spacing w:before="60"/>
              <w:ind w:left="230" w:right="34" w:hanging="230"/>
              <w:jc w:val="both"/>
              <w:rPr>
                <w:rFonts w:ascii="Arial Narrow" w:hAnsi="Arial Narrow" w:cs="Arial"/>
                <w:sz w:val="20"/>
                <w:szCs w:val="20"/>
              </w:rPr>
            </w:pPr>
            <w:r>
              <w:rPr>
                <w:rFonts w:ascii="Arial Narrow" w:hAnsi="Arial Narrow" w:cs="Arial"/>
                <w:b/>
                <w:sz w:val="20"/>
                <w:szCs w:val="20"/>
              </w:rPr>
              <w:t>..</w:t>
            </w:r>
            <w:r>
              <w:rPr>
                <w:rFonts w:ascii="Arial Narrow" w:hAnsi="Arial Narrow" w:cs="Arial"/>
                <w:sz w:val="20"/>
                <w:szCs w:val="20"/>
              </w:rPr>
              <w:tab/>
            </w:r>
            <w:r w:rsidRPr="000315E6">
              <w:rPr>
                <w:rFonts w:ascii="Arial Narrow" w:hAnsi="Arial Narrow" w:cs="Arial"/>
                <w:sz w:val="20"/>
                <w:szCs w:val="20"/>
              </w:rPr>
              <w:t>Provide for the pedestrian connections identified in Plans 3 and 4</w:t>
            </w:r>
            <w:r>
              <w:rPr>
                <w:rFonts w:ascii="Arial Narrow" w:hAnsi="Arial Narrow" w:cs="Arial"/>
                <w:sz w:val="20"/>
                <w:szCs w:val="20"/>
              </w:rPr>
              <w:t xml:space="preserve"> attached to this policy</w:t>
            </w:r>
            <w:r w:rsidRPr="000315E6">
              <w:rPr>
                <w:rFonts w:ascii="Arial Narrow" w:hAnsi="Arial Narrow" w:cs="Arial"/>
                <w:sz w:val="20"/>
                <w:szCs w:val="20"/>
              </w:rPr>
              <w:t>.</w:t>
            </w:r>
          </w:p>
          <w:p w14:paraId="78F69682" w14:textId="77777777" w:rsidR="001B5B0A" w:rsidRPr="000315E6" w:rsidRDefault="001B5B0A" w:rsidP="006255F2">
            <w:pPr>
              <w:pStyle w:val="ListParagraph"/>
              <w:tabs>
                <w:tab w:val="left" w:pos="230"/>
              </w:tabs>
              <w:spacing w:before="60"/>
              <w:ind w:left="230" w:right="34" w:hanging="230"/>
              <w:jc w:val="both"/>
              <w:rPr>
                <w:rFonts w:ascii="Arial Narrow" w:hAnsi="Arial Narrow" w:cs="Arial"/>
                <w:sz w:val="20"/>
                <w:szCs w:val="20"/>
              </w:rPr>
            </w:pPr>
            <w:r>
              <w:rPr>
                <w:rFonts w:ascii="Arial Narrow" w:hAnsi="Arial Narrow" w:cs="Arial"/>
                <w:b/>
                <w:sz w:val="20"/>
                <w:szCs w:val="20"/>
              </w:rPr>
              <w:t>..</w:t>
            </w:r>
            <w:r>
              <w:rPr>
                <w:rFonts w:ascii="Arial Narrow" w:hAnsi="Arial Narrow" w:cs="Arial"/>
                <w:sz w:val="20"/>
                <w:szCs w:val="20"/>
              </w:rPr>
              <w:tab/>
            </w:r>
            <w:r w:rsidRPr="000315E6">
              <w:rPr>
                <w:rFonts w:ascii="Arial Narrow" w:hAnsi="Arial Narrow" w:cs="Arial"/>
                <w:sz w:val="20"/>
                <w:szCs w:val="20"/>
              </w:rPr>
              <w:t>Maintain, as a minimum, the current degree of permeability for vehicle movement on gazetted streets.</w:t>
            </w:r>
          </w:p>
          <w:p w14:paraId="26F9033F" w14:textId="77777777" w:rsidR="001B5B0A" w:rsidRPr="005D3335" w:rsidRDefault="001B5B0A" w:rsidP="006255F2">
            <w:pPr>
              <w:pStyle w:val="ListParagraph"/>
              <w:tabs>
                <w:tab w:val="left" w:pos="230"/>
              </w:tabs>
              <w:spacing w:before="60"/>
              <w:ind w:left="230" w:right="34" w:hanging="230"/>
              <w:jc w:val="both"/>
              <w:rPr>
                <w:rFonts w:ascii="Arial Narrow" w:hAnsi="Arial Narrow" w:cs="Arial"/>
                <w:sz w:val="20"/>
                <w:szCs w:val="20"/>
              </w:rPr>
            </w:pPr>
            <w:r>
              <w:rPr>
                <w:rFonts w:ascii="Arial Narrow" w:hAnsi="Arial Narrow" w:cs="Arial"/>
                <w:b/>
                <w:sz w:val="20"/>
                <w:szCs w:val="20"/>
              </w:rPr>
              <w:t>..</w:t>
            </w:r>
            <w:r>
              <w:rPr>
                <w:rFonts w:ascii="Arial Narrow" w:hAnsi="Arial Narrow" w:cs="Arial"/>
                <w:sz w:val="20"/>
                <w:szCs w:val="20"/>
              </w:rPr>
              <w:tab/>
            </w:r>
            <w:r w:rsidRPr="005D3335">
              <w:rPr>
                <w:rFonts w:ascii="Arial Narrow" w:hAnsi="Arial Narrow" w:cs="Arial"/>
                <w:sz w:val="20"/>
                <w:szCs w:val="20"/>
              </w:rPr>
              <w:t>For all developments with a NLA equivalent floorspace of more than 5,000m</w:t>
            </w:r>
            <w:r w:rsidRPr="005D3335">
              <w:rPr>
                <w:rFonts w:ascii="Arial Narrow" w:hAnsi="Arial Narrow" w:cs="Arial"/>
                <w:sz w:val="20"/>
                <w:szCs w:val="20"/>
                <w:vertAlign w:val="superscript"/>
              </w:rPr>
              <w:t>2</w:t>
            </w:r>
            <w:r w:rsidRPr="005D3335">
              <w:rPr>
                <w:rFonts w:ascii="Arial Narrow" w:hAnsi="Arial Narrow" w:cs="Arial"/>
                <w:sz w:val="20"/>
                <w:szCs w:val="20"/>
              </w:rPr>
              <w:t>, provide publicly accessible open spaces* with a combined area of at least 150m</w:t>
            </w:r>
            <w:r w:rsidRPr="005D3335">
              <w:rPr>
                <w:rFonts w:ascii="Arial Narrow" w:hAnsi="Arial Narrow" w:cs="Arial"/>
                <w:sz w:val="20"/>
                <w:szCs w:val="20"/>
                <w:vertAlign w:val="superscript"/>
              </w:rPr>
              <w:t>2</w:t>
            </w:r>
            <w:r w:rsidRPr="005D3335">
              <w:rPr>
                <w:rFonts w:ascii="Arial Narrow" w:hAnsi="Arial Narrow" w:cs="Arial"/>
                <w:sz w:val="20"/>
                <w:szCs w:val="20"/>
              </w:rPr>
              <w:t>.</w:t>
            </w:r>
          </w:p>
          <w:p w14:paraId="39FE51D7" w14:textId="77777777" w:rsidR="001B5B0A" w:rsidRPr="000315E6" w:rsidRDefault="001B5B0A" w:rsidP="006255F2">
            <w:pPr>
              <w:tabs>
                <w:tab w:val="left" w:pos="513"/>
              </w:tabs>
              <w:spacing w:before="60"/>
              <w:ind w:left="514" w:right="34" w:hanging="284"/>
              <w:jc w:val="both"/>
              <w:rPr>
                <w:rFonts w:ascii="Arial Narrow" w:hAnsi="Arial Narrow" w:cs="Arial"/>
                <w:sz w:val="20"/>
                <w:szCs w:val="20"/>
              </w:rPr>
            </w:pPr>
            <w:r w:rsidRPr="005D3335">
              <w:rPr>
                <w:rFonts w:ascii="Arial Narrow" w:hAnsi="Arial Narrow" w:cs="Arial"/>
                <w:i/>
                <w:sz w:val="20"/>
                <w:szCs w:val="20"/>
              </w:rPr>
              <w:t>*</w:t>
            </w:r>
            <w:r w:rsidRPr="005D3335">
              <w:rPr>
                <w:rFonts w:ascii="Arial Narrow" w:hAnsi="Arial Narrow" w:cs="Arial"/>
                <w:i/>
                <w:sz w:val="20"/>
                <w:szCs w:val="20"/>
              </w:rPr>
              <w:tab/>
              <w:t xml:space="preserve">May include arcade type spaces that are partially open to the </w:t>
            </w:r>
            <w:proofErr w:type="gramStart"/>
            <w:r w:rsidRPr="005D3335">
              <w:rPr>
                <w:rFonts w:ascii="Arial Narrow" w:hAnsi="Arial Narrow" w:cs="Arial"/>
                <w:i/>
                <w:sz w:val="20"/>
                <w:szCs w:val="20"/>
              </w:rPr>
              <w:t>elements, but</w:t>
            </w:r>
            <w:proofErr w:type="gramEnd"/>
            <w:r w:rsidRPr="005D3335">
              <w:rPr>
                <w:rFonts w:ascii="Arial Narrow" w:hAnsi="Arial Narrow" w:cs="Arial"/>
                <w:i/>
                <w:sz w:val="20"/>
                <w:szCs w:val="20"/>
              </w:rPr>
              <w:t xml:space="preserve"> shall not include fully enclosed internal floorspace</w:t>
            </w:r>
            <w:r w:rsidRPr="005D3335">
              <w:rPr>
                <w:rFonts w:ascii="Arial Narrow" w:hAnsi="Arial Narrow" w:cs="Arial"/>
                <w:sz w:val="20"/>
                <w:szCs w:val="20"/>
              </w:rPr>
              <w:t>.</w:t>
            </w:r>
          </w:p>
        </w:tc>
      </w:tr>
    </w:tbl>
    <w:p w14:paraId="662BE917" w14:textId="77777777" w:rsidR="001B5B0A" w:rsidRPr="00F0273E" w:rsidRDefault="001B5B0A" w:rsidP="001B5B0A">
      <w:pPr>
        <w:spacing w:before="240" w:after="0"/>
        <w:ind w:right="-45"/>
        <w:jc w:val="both"/>
        <w:rPr>
          <w:rFonts w:cs="Arial"/>
          <w:i/>
          <w:u w:val="single"/>
        </w:rPr>
      </w:pPr>
      <w:r w:rsidRPr="00F0273E">
        <w:rPr>
          <w:rFonts w:cs="Arial"/>
          <w:i/>
          <w:u w:val="single"/>
        </w:rPr>
        <w:t>Element 2: Land Use</w:t>
      </w:r>
    </w:p>
    <w:p w14:paraId="3D9A0952" w14:textId="77777777" w:rsidR="001B5B0A" w:rsidRPr="00F0273E" w:rsidRDefault="001B5B0A" w:rsidP="001B5B0A">
      <w:pPr>
        <w:jc w:val="both"/>
        <w:rPr>
          <w:rFonts w:cs="Arial"/>
        </w:rPr>
      </w:pPr>
      <w:r w:rsidRPr="00F0273E">
        <w:rPr>
          <w:rFonts w:cs="Arial"/>
        </w:rPr>
        <w:t xml:space="preserve">Land use describes the range of activities that occurs within the </w:t>
      </w:r>
      <w:r>
        <w:rPr>
          <w:rFonts w:cs="Arial"/>
        </w:rPr>
        <w:t>T</w:t>
      </w:r>
      <w:r w:rsidRPr="00F0273E">
        <w:rPr>
          <w:rFonts w:cs="Arial"/>
        </w:rPr>
        <w:t xml:space="preserve">own </w:t>
      </w:r>
      <w:r>
        <w:rPr>
          <w:rFonts w:cs="Arial"/>
        </w:rPr>
        <w:t>C</w:t>
      </w:r>
      <w:r w:rsidRPr="00F0273E">
        <w:rPr>
          <w:rFonts w:cs="Arial"/>
        </w:rPr>
        <w:t>entre</w:t>
      </w:r>
      <w:r>
        <w:rPr>
          <w:rFonts w:cs="Arial"/>
        </w:rPr>
        <w:t xml:space="preserve"> Redevelopment Area</w:t>
      </w:r>
      <w:r w:rsidRPr="00F0273E">
        <w:rPr>
          <w:rFonts w:cs="Arial"/>
        </w:rPr>
        <w:t>.</w:t>
      </w:r>
    </w:p>
    <w:p w14:paraId="59647331" w14:textId="77777777" w:rsidR="001B5B0A" w:rsidRPr="00F0273E" w:rsidRDefault="001B5B0A" w:rsidP="001B5B0A">
      <w:pPr>
        <w:tabs>
          <w:tab w:val="left" w:pos="0"/>
        </w:tabs>
        <w:spacing w:after="60"/>
        <w:ind w:right="-46"/>
        <w:jc w:val="both"/>
        <w:rPr>
          <w:rFonts w:cs="Arial"/>
        </w:rPr>
      </w:pPr>
      <w:proofErr w:type="gramStart"/>
      <w:r w:rsidRPr="00F0273E">
        <w:rPr>
          <w:rFonts w:cs="Arial"/>
        </w:rPr>
        <w:t>In regard to</w:t>
      </w:r>
      <w:proofErr w:type="gramEnd"/>
      <w:r w:rsidRPr="00F0273E">
        <w:rPr>
          <w:rFonts w:cs="Arial"/>
        </w:rPr>
        <w:t xml:space="preserve"> land use, the policy objectives are:</w:t>
      </w:r>
    </w:p>
    <w:p w14:paraId="7DA407EC" w14:textId="77777777" w:rsidR="001B5B0A" w:rsidRPr="00F0273E" w:rsidRDefault="001B5B0A" w:rsidP="001B5B0A">
      <w:pPr>
        <w:spacing w:after="60"/>
        <w:ind w:left="425" w:hanging="425"/>
        <w:jc w:val="both"/>
        <w:rPr>
          <w:rFonts w:cs="Arial"/>
        </w:rPr>
      </w:pPr>
      <w:r w:rsidRPr="00F0273E">
        <w:rPr>
          <w:rFonts w:cs="Arial"/>
        </w:rPr>
        <w:t>-</w:t>
      </w:r>
      <w:r w:rsidRPr="00F0273E">
        <w:rPr>
          <w:rFonts w:cs="Arial"/>
        </w:rPr>
        <w:tab/>
        <w:t>To provide a vibrant, interesting, attractive focus for human interaction in the community.</w:t>
      </w:r>
    </w:p>
    <w:p w14:paraId="18D0E2DF" w14:textId="77777777" w:rsidR="001B5B0A" w:rsidRPr="00F0273E" w:rsidRDefault="001B5B0A" w:rsidP="001B5B0A">
      <w:pPr>
        <w:spacing w:after="60"/>
        <w:ind w:left="425" w:hanging="425"/>
        <w:jc w:val="both"/>
        <w:rPr>
          <w:rFonts w:cs="Arial"/>
        </w:rPr>
      </w:pPr>
      <w:r w:rsidRPr="00F0273E">
        <w:rPr>
          <w:rFonts w:cs="Arial"/>
        </w:rPr>
        <w:lastRenderedPageBreak/>
        <w:t>-</w:t>
      </w:r>
      <w:r w:rsidRPr="00F0273E">
        <w:rPr>
          <w:rFonts w:cs="Arial"/>
        </w:rPr>
        <w:tab/>
        <w:t xml:space="preserve">To provide an appropriate context for intensive land uses that employ or attracts relatively high numbers of </w:t>
      </w:r>
      <w:proofErr w:type="gramStart"/>
      <w:r w:rsidRPr="00F0273E">
        <w:rPr>
          <w:rFonts w:cs="Arial"/>
        </w:rPr>
        <w:t>people, and</w:t>
      </w:r>
      <w:proofErr w:type="gramEnd"/>
      <w:r w:rsidRPr="00F0273E">
        <w:rPr>
          <w:rFonts w:cs="Arial"/>
        </w:rPr>
        <w:t xml:space="preserve"> encourages pedestrian movement between different activities.</w:t>
      </w:r>
    </w:p>
    <w:p w14:paraId="209C3B7D" w14:textId="77777777" w:rsidR="001B5B0A" w:rsidRPr="00F0273E" w:rsidRDefault="001B5B0A" w:rsidP="001B5B0A">
      <w:pPr>
        <w:spacing w:after="60"/>
        <w:ind w:left="425" w:hanging="425"/>
        <w:jc w:val="both"/>
        <w:rPr>
          <w:rFonts w:cs="Arial"/>
        </w:rPr>
      </w:pPr>
      <w:r w:rsidRPr="00F0273E">
        <w:rPr>
          <w:rFonts w:cs="Arial"/>
        </w:rPr>
        <w:t>-</w:t>
      </w:r>
      <w:r w:rsidRPr="00F0273E">
        <w:rPr>
          <w:rFonts w:cs="Arial"/>
        </w:rPr>
        <w:tab/>
        <w:t>To encourage mixed-use development.</w:t>
      </w:r>
    </w:p>
    <w:p w14:paraId="24A2DFE9" w14:textId="77777777" w:rsidR="001B5B0A" w:rsidRDefault="001B5B0A" w:rsidP="001B5B0A">
      <w:pPr>
        <w:spacing w:after="120"/>
        <w:ind w:left="425" w:hanging="425"/>
        <w:jc w:val="both"/>
        <w:rPr>
          <w:rFonts w:cs="Arial"/>
        </w:rPr>
      </w:pPr>
      <w:r w:rsidRPr="00F0273E">
        <w:rPr>
          <w:rFonts w:cs="Arial"/>
        </w:rPr>
        <w:t>-</w:t>
      </w:r>
      <w:r w:rsidRPr="00F0273E">
        <w:rPr>
          <w:rFonts w:cs="Arial"/>
        </w:rPr>
        <w:tab/>
        <w:t xml:space="preserve">To engender a residential community within the </w:t>
      </w:r>
      <w:r>
        <w:rPr>
          <w:rFonts w:cs="Arial"/>
        </w:rPr>
        <w:t>T</w:t>
      </w:r>
      <w:r w:rsidRPr="00F0273E">
        <w:rPr>
          <w:rFonts w:cs="Arial"/>
        </w:rPr>
        <w:t xml:space="preserve">own </w:t>
      </w:r>
      <w:r>
        <w:rPr>
          <w:rFonts w:cs="Arial"/>
        </w:rPr>
        <w:t>C</w:t>
      </w:r>
      <w:r w:rsidRPr="00F0273E">
        <w:rPr>
          <w:rFonts w:cs="Arial"/>
        </w:rPr>
        <w:t xml:space="preserve">entre </w:t>
      </w:r>
      <w:r>
        <w:rPr>
          <w:rFonts w:cs="Arial"/>
        </w:rPr>
        <w:t xml:space="preserve">Redevelopment Area </w:t>
      </w:r>
      <w:r w:rsidRPr="00F0273E">
        <w:rPr>
          <w:rFonts w:cs="Arial"/>
        </w:rPr>
        <w:t>to create a sense of community and provide opportunities for passive surveillance, or ‘eyes on the street’, outside normal business hours.</w:t>
      </w:r>
    </w:p>
    <w:p w14:paraId="1774BBA6" w14:textId="77777777" w:rsidR="001B5B0A" w:rsidRPr="00F0273E" w:rsidRDefault="001B5B0A" w:rsidP="001B5B0A">
      <w:pPr>
        <w:spacing w:after="60"/>
        <w:ind w:left="425" w:hanging="425"/>
        <w:jc w:val="both"/>
        <w:rPr>
          <w:rFonts w:cs="Arial"/>
        </w:rPr>
      </w:pPr>
      <w:r w:rsidRPr="00F0273E">
        <w:rPr>
          <w:rFonts w:cs="Arial"/>
        </w:rPr>
        <w:t>-</w:t>
      </w:r>
      <w:r w:rsidRPr="00F0273E">
        <w:rPr>
          <w:rFonts w:cs="Arial"/>
        </w:rPr>
        <w:tab/>
      </w:r>
      <w:r w:rsidRPr="008A0DB7">
        <w:rPr>
          <w:rFonts w:cs="Arial"/>
        </w:rPr>
        <w:t>To ensure that land use located within the Fremantle Inner Harbour Port Buffer Areas 2 and 3 are compatible with the strategic operations of the port and the amenity of residents is protected.</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99"/>
        <w:gridCol w:w="3657"/>
      </w:tblGrid>
      <w:tr w:rsidR="001B5B0A" w:rsidRPr="000F1ABE" w14:paraId="2868D17A" w14:textId="77777777" w:rsidTr="006255F2">
        <w:trPr>
          <w:tblHeader/>
        </w:trPr>
        <w:tc>
          <w:tcPr>
            <w:tcW w:w="5699" w:type="dxa"/>
            <w:shd w:val="solid" w:color="D9D9D9" w:fill="auto"/>
          </w:tcPr>
          <w:p w14:paraId="744F8626" w14:textId="77777777" w:rsidR="001B5B0A" w:rsidRPr="00305186" w:rsidRDefault="001B5B0A" w:rsidP="006255F2">
            <w:pPr>
              <w:tabs>
                <w:tab w:val="left" w:pos="556"/>
              </w:tabs>
              <w:spacing w:before="60" w:after="60"/>
              <w:ind w:left="556" w:right="-46" w:hanging="425"/>
              <w:jc w:val="both"/>
              <w:rPr>
                <w:rFonts w:ascii="Arial Narrow" w:hAnsi="Arial Narrow" w:cs="Arial"/>
                <w:b/>
                <w:sz w:val="20"/>
                <w:szCs w:val="20"/>
              </w:rPr>
            </w:pPr>
            <w:r>
              <w:rPr>
                <w:rFonts w:ascii="Arial Narrow" w:hAnsi="Arial Narrow" w:cs="Arial"/>
                <w:b/>
                <w:sz w:val="20"/>
                <w:szCs w:val="20"/>
              </w:rPr>
              <w:t>Element Objective</w:t>
            </w:r>
          </w:p>
          <w:p w14:paraId="29DA5E83" w14:textId="77777777" w:rsidR="001B5B0A" w:rsidRPr="00305186" w:rsidRDefault="001B5B0A" w:rsidP="006255F2">
            <w:pPr>
              <w:tabs>
                <w:tab w:val="left" w:pos="556"/>
              </w:tabs>
              <w:spacing w:before="60" w:after="60"/>
              <w:ind w:left="556" w:right="-46" w:hanging="425"/>
              <w:jc w:val="both"/>
              <w:rPr>
                <w:rFonts w:ascii="Arial Narrow" w:hAnsi="Arial Narrow" w:cs="Arial"/>
                <w:i/>
                <w:sz w:val="20"/>
                <w:szCs w:val="20"/>
              </w:rPr>
            </w:pPr>
            <w:r>
              <w:rPr>
                <w:rFonts w:ascii="Arial Narrow" w:hAnsi="Arial Narrow" w:cs="Arial"/>
                <w:i/>
                <w:sz w:val="20"/>
                <w:szCs w:val="20"/>
              </w:rPr>
              <w:t>D</w:t>
            </w:r>
            <w:r w:rsidRPr="00305186">
              <w:rPr>
                <w:rFonts w:ascii="Arial Narrow" w:hAnsi="Arial Narrow" w:cs="Arial"/>
                <w:i/>
                <w:sz w:val="20"/>
                <w:szCs w:val="20"/>
              </w:rPr>
              <w:t>evelopment should meet these criteria.</w:t>
            </w:r>
          </w:p>
        </w:tc>
        <w:tc>
          <w:tcPr>
            <w:tcW w:w="3657" w:type="dxa"/>
            <w:shd w:val="solid" w:color="D9D9D9" w:fill="auto"/>
          </w:tcPr>
          <w:p w14:paraId="39688110" w14:textId="77777777" w:rsidR="001B5B0A" w:rsidRPr="00305186" w:rsidRDefault="001B5B0A" w:rsidP="006255F2">
            <w:pPr>
              <w:spacing w:before="60" w:after="60"/>
              <w:ind w:left="21" w:right="-46"/>
              <w:jc w:val="both"/>
              <w:rPr>
                <w:rFonts w:ascii="Arial Narrow" w:hAnsi="Arial Narrow" w:cs="Arial"/>
                <w:b/>
                <w:sz w:val="20"/>
                <w:szCs w:val="20"/>
              </w:rPr>
            </w:pPr>
            <w:r w:rsidRPr="00305186">
              <w:rPr>
                <w:rFonts w:ascii="Arial Narrow" w:hAnsi="Arial Narrow" w:cs="Arial"/>
                <w:b/>
                <w:sz w:val="20"/>
                <w:szCs w:val="20"/>
              </w:rPr>
              <w:t xml:space="preserve">Acceptable </w:t>
            </w:r>
            <w:r>
              <w:rPr>
                <w:rFonts w:ascii="Arial Narrow" w:hAnsi="Arial Narrow" w:cs="Arial"/>
                <w:b/>
                <w:sz w:val="20"/>
                <w:szCs w:val="20"/>
              </w:rPr>
              <w:t>Outcomes</w:t>
            </w:r>
          </w:p>
          <w:p w14:paraId="792C0280" w14:textId="77777777" w:rsidR="001B5B0A" w:rsidRPr="000F1ABE" w:rsidRDefault="001B5B0A" w:rsidP="006255F2">
            <w:pPr>
              <w:spacing w:before="60" w:after="60"/>
              <w:ind w:left="21" w:right="-46"/>
              <w:jc w:val="both"/>
              <w:rPr>
                <w:rFonts w:cs="Arial"/>
                <w:i/>
                <w:sz w:val="20"/>
                <w:szCs w:val="20"/>
              </w:rPr>
            </w:pPr>
            <w:r w:rsidRPr="00305186">
              <w:rPr>
                <w:rFonts w:ascii="Arial Narrow" w:hAnsi="Arial Narrow" w:cs="Arial"/>
                <w:i/>
                <w:sz w:val="20"/>
                <w:szCs w:val="20"/>
              </w:rPr>
              <w:t xml:space="preserve">The acceptable </w:t>
            </w:r>
            <w:r>
              <w:rPr>
                <w:rFonts w:ascii="Arial Narrow" w:hAnsi="Arial Narrow" w:cs="Arial"/>
                <w:i/>
                <w:sz w:val="20"/>
                <w:szCs w:val="20"/>
              </w:rPr>
              <w:t>outcomes</w:t>
            </w:r>
            <w:r w:rsidRPr="00305186">
              <w:rPr>
                <w:rFonts w:ascii="Arial Narrow" w:hAnsi="Arial Narrow" w:cs="Arial"/>
                <w:i/>
                <w:sz w:val="20"/>
                <w:szCs w:val="20"/>
              </w:rPr>
              <w:t xml:space="preserve"> are ways of meeting the </w:t>
            </w:r>
            <w:r>
              <w:rPr>
                <w:rFonts w:ascii="Arial Narrow" w:hAnsi="Arial Narrow" w:cs="Arial"/>
                <w:i/>
                <w:sz w:val="20"/>
                <w:szCs w:val="20"/>
              </w:rPr>
              <w:t>element objective</w:t>
            </w:r>
            <w:r w:rsidRPr="00305186">
              <w:rPr>
                <w:rFonts w:ascii="Arial Narrow" w:hAnsi="Arial Narrow" w:cs="Arial"/>
                <w:i/>
                <w:sz w:val="20"/>
                <w:szCs w:val="20"/>
              </w:rPr>
              <w:t>.</w:t>
            </w:r>
          </w:p>
        </w:tc>
      </w:tr>
      <w:tr w:rsidR="001B5B0A" w:rsidRPr="000F1ABE" w14:paraId="5BC25A74" w14:textId="77777777" w:rsidTr="006255F2">
        <w:tc>
          <w:tcPr>
            <w:tcW w:w="5699" w:type="dxa"/>
          </w:tcPr>
          <w:p w14:paraId="5838FB3A" w14:textId="77777777" w:rsidR="001B5B0A" w:rsidRPr="00305186" w:rsidRDefault="001B5B0A" w:rsidP="006255F2">
            <w:pPr>
              <w:spacing w:before="60" w:after="0"/>
              <w:ind w:right="34"/>
              <w:jc w:val="both"/>
              <w:rPr>
                <w:rFonts w:ascii="Arial Narrow" w:hAnsi="Arial Narrow" w:cs="Arial"/>
                <w:sz w:val="20"/>
                <w:szCs w:val="20"/>
              </w:rPr>
            </w:pPr>
            <w:proofErr w:type="gramStart"/>
            <w:r w:rsidRPr="00305186">
              <w:rPr>
                <w:rFonts w:ascii="Arial Narrow" w:hAnsi="Arial Narrow" w:cs="Arial"/>
                <w:sz w:val="20"/>
                <w:szCs w:val="20"/>
              </w:rPr>
              <w:t>In regard to</w:t>
            </w:r>
            <w:proofErr w:type="gramEnd"/>
            <w:r w:rsidRPr="00305186">
              <w:rPr>
                <w:rFonts w:ascii="Arial Narrow" w:hAnsi="Arial Narrow" w:cs="Arial"/>
                <w:sz w:val="20"/>
                <w:szCs w:val="20"/>
              </w:rPr>
              <w:t xml:space="preserve"> land uses within the </w:t>
            </w:r>
            <w:r>
              <w:rPr>
                <w:rFonts w:ascii="Arial Narrow" w:hAnsi="Arial Narrow" w:cs="Arial"/>
                <w:sz w:val="20"/>
                <w:szCs w:val="20"/>
              </w:rPr>
              <w:t>T</w:t>
            </w:r>
            <w:r w:rsidRPr="00305186">
              <w:rPr>
                <w:rFonts w:ascii="Arial Narrow" w:hAnsi="Arial Narrow" w:cs="Arial"/>
                <w:sz w:val="20"/>
                <w:szCs w:val="20"/>
              </w:rPr>
              <w:t xml:space="preserve">own </w:t>
            </w:r>
            <w:r>
              <w:rPr>
                <w:rFonts w:ascii="Arial Narrow" w:hAnsi="Arial Narrow" w:cs="Arial"/>
                <w:sz w:val="20"/>
                <w:szCs w:val="20"/>
              </w:rPr>
              <w:t>C</w:t>
            </w:r>
            <w:r w:rsidRPr="00305186">
              <w:rPr>
                <w:rFonts w:ascii="Arial Narrow" w:hAnsi="Arial Narrow" w:cs="Arial"/>
                <w:sz w:val="20"/>
                <w:szCs w:val="20"/>
              </w:rPr>
              <w:t>entre</w:t>
            </w:r>
            <w:r>
              <w:rPr>
                <w:rFonts w:ascii="Arial Narrow" w:hAnsi="Arial Narrow" w:cs="Arial"/>
                <w:sz w:val="20"/>
                <w:szCs w:val="20"/>
              </w:rPr>
              <w:t xml:space="preserve"> Redevelopment Area</w:t>
            </w:r>
            <w:r w:rsidRPr="00305186">
              <w:rPr>
                <w:rFonts w:ascii="Arial Narrow" w:hAnsi="Arial Narrow" w:cs="Arial"/>
                <w:sz w:val="20"/>
                <w:szCs w:val="20"/>
              </w:rPr>
              <w:t xml:space="preserve">, development </w:t>
            </w:r>
            <w:r>
              <w:rPr>
                <w:rFonts w:ascii="Arial Narrow" w:hAnsi="Arial Narrow" w:cs="Arial"/>
                <w:sz w:val="20"/>
                <w:szCs w:val="20"/>
              </w:rPr>
              <w:t>is to</w:t>
            </w:r>
            <w:r w:rsidRPr="00305186">
              <w:rPr>
                <w:rFonts w:ascii="Arial Narrow" w:hAnsi="Arial Narrow" w:cs="Arial"/>
                <w:sz w:val="20"/>
                <w:szCs w:val="20"/>
              </w:rPr>
              <w:t>:</w:t>
            </w:r>
          </w:p>
          <w:p w14:paraId="1D0ACBF8" w14:textId="77777777" w:rsidR="001B5B0A" w:rsidRPr="00305186" w:rsidRDefault="001B5B0A" w:rsidP="006255F2">
            <w:pPr>
              <w:pStyle w:val="ListParagraph"/>
              <w:tabs>
                <w:tab w:val="left" w:pos="9072"/>
              </w:tabs>
              <w:spacing w:before="60"/>
              <w:ind w:left="318" w:right="34" w:hanging="318"/>
              <w:jc w:val="both"/>
              <w:rPr>
                <w:rFonts w:ascii="Arial Narrow" w:hAnsi="Arial Narrow" w:cs="Arial"/>
                <w:sz w:val="20"/>
                <w:szCs w:val="20"/>
              </w:rPr>
            </w:pPr>
            <w:r w:rsidRPr="00305186">
              <w:rPr>
                <w:rFonts w:ascii="Arial Narrow" w:hAnsi="Arial Narrow" w:cs="Arial"/>
                <w:b/>
                <w:sz w:val="20"/>
                <w:szCs w:val="20"/>
              </w:rPr>
              <w:t>..</w:t>
            </w:r>
            <w:r w:rsidRPr="00305186">
              <w:rPr>
                <w:rFonts w:ascii="Arial Narrow" w:hAnsi="Arial Narrow" w:cs="Arial"/>
                <w:b/>
                <w:sz w:val="20"/>
                <w:szCs w:val="20"/>
              </w:rPr>
              <w:tab/>
            </w:r>
            <w:r w:rsidRPr="00305186">
              <w:rPr>
                <w:rFonts w:ascii="Arial Narrow" w:hAnsi="Arial Narrow" w:cs="Arial"/>
                <w:sz w:val="20"/>
                <w:szCs w:val="20"/>
              </w:rPr>
              <w:t>Provide attractive locations for different but compatible types of land uses, which recognise the different spatial needs of different land uses and the appropriateness of the scale of the centre.</w:t>
            </w:r>
          </w:p>
          <w:p w14:paraId="423FB226" w14:textId="77777777" w:rsidR="001B5B0A" w:rsidRPr="00305186" w:rsidRDefault="001B5B0A" w:rsidP="006255F2">
            <w:pPr>
              <w:pStyle w:val="ListParagraph"/>
              <w:tabs>
                <w:tab w:val="left" w:pos="9072"/>
              </w:tabs>
              <w:spacing w:before="60"/>
              <w:ind w:left="318" w:right="34" w:hanging="318"/>
              <w:jc w:val="both"/>
              <w:rPr>
                <w:rFonts w:ascii="Arial Narrow" w:hAnsi="Arial Narrow" w:cs="Arial"/>
                <w:sz w:val="20"/>
                <w:szCs w:val="20"/>
              </w:rPr>
            </w:pPr>
            <w:r w:rsidRPr="00305186">
              <w:rPr>
                <w:rFonts w:ascii="Arial Narrow" w:hAnsi="Arial Narrow" w:cs="Arial"/>
                <w:b/>
                <w:sz w:val="20"/>
                <w:szCs w:val="20"/>
              </w:rPr>
              <w:t>..</w:t>
            </w:r>
            <w:r w:rsidRPr="00305186">
              <w:rPr>
                <w:rFonts w:ascii="Arial Narrow" w:hAnsi="Arial Narrow" w:cs="Arial"/>
                <w:b/>
                <w:sz w:val="20"/>
                <w:szCs w:val="20"/>
              </w:rPr>
              <w:tab/>
            </w:r>
            <w:r w:rsidRPr="00305186">
              <w:rPr>
                <w:rFonts w:ascii="Arial Narrow" w:hAnsi="Arial Narrow" w:cs="Arial"/>
                <w:sz w:val="20"/>
                <w:szCs w:val="20"/>
              </w:rPr>
              <w:t xml:space="preserve">Provide a diverse range of complementary land uses within comfortable walking distance of each other to reduce car-dependence </w:t>
            </w:r>
            <w:r>
              <w:rPr>
                <w:rFonts w:ascii="Arial Narrow" w:hAnsi="Arial Narrow" w:cs="Arial"/>
                <w:sz w:val="20"/>
                <w:szCs w:val="20"/>
              </w:rPr>
              <w:t>and</w:t>
            </w:r>
            <w:r w:rsidRPr="00305186">
              <w:rPr>
                <w:rFonts w:ascii="Arial Narrow" w:hAnsi="Arial Narrow" w:cs="Arial"/>
                <w:sz w:val="20"/>
                <w:szCs w:val="20"/>
              </w:rPr>
              <w:t xml:space="preserve"> the need for expensive land-consumptive road </w:t>
            </w:r>
            <w:r>
              <w:rPr>
                <w:rFonts w:ascii="Arial Narrow" w:hAnsi="Arial Narrow" w:cs="Arial"/>
                <w:sz w:val="20"/>
                <w:szCs w:val="20"/>
              </w:rPr>
              <w:t>and</w:t>
            </w:r>
            <w:r w:rsidRPr="00305186">
              <w:rPr>
                <w:rFonts w:ascii="Arial Narrow" w:hAnsi="Arial Narrow" w:cs="Arial"/>
                <w:sz w:val="20"/>
                <w:szCs w:val="20"/>
              </w:rPr>
              <w:t xml:space="preserve"> parking infrastructure.</w:t>
            </w:r>
          </w:p>
          <w:p w14:paraId="20A23978" w14:textId="77777777" w:rsidR="001B5B0A" w:rsidRPr="00305186" w:rsidRDefault="001B5B0A" w:rsidP="006255F2">
            <w:pPr>
              <w:pStyle w:val="ListParagraph"/>
              <w:tabs>
                <w:tab w:val="left" w:pos="9072"/>
              </w:tabs>
              <w:spacing w:before="60"/>
              <w:ind w:left="318" w:right="34" w:hanging="318"/>
              <w:jc w:val="both"/>
              <w:rPr>
                <w:rFonts w:ascii="Arial Narrow" w:hAnsi="Arial Narrow" w:cs="Arial"/>
                <w:sz w:val="20"/>
                <w:szCs w:val="20"/>
              </w:rPr>
            </w:pPr>
            <w:r w:rsidRPr="00305186">
              <w:rPr>
                <w:rFonts w:ascii="Arial Narrow" w:hAnsi="Arial Narrow" w:cs="Arial"/>
                <w:b/>
                <w:sz w:val="20"/>
                <w:szCs w:val="20"/>
              </w:rPr>
              <w:t>..</w:t>
            </w:r>
            <w:r w:rsidRPr="00305186">
              <w:rPr>
                <w:rFonts w:ascii="Arial Narrow" w:hAnsi="Arial Narrow" w:cs="Arial"/>
                <w:b/>
                <w:sz w:val="20"/>
                <w:szCs w:val="20"/>
              </w:rPr>
              <w:tab/>
            </w:r>
            <w:r w:rsidRPr="00305186">
              <w:rPr>
                <w:rFonts w:ascii="Arial Narrow" w:hAnsi="Arial Narrow" w:cs="Arial"/>
                <w:sz w:val="20"/>
                <w:szCs w:val="20"/>
              </w:rPr>
              <w:t xml:space="preserve">Incorporate ‘attractors’ with high visitation rates that </w:t>
            </w:r>
            <w:r>
              <w:rPr>
                <w:rFonts w:ascii="Arial Narrow" w:hAnsi="Arial Narrow" w:cs="Arial"/>
                <w:sz w:val="20"/>
                <w:szCs w:val="20"/>
              </w:rPr>
              <w:t xml:space="preserve">regularly </w:t>
            </w:r>
            <w:r w:rsidRPr="00305186">
              <w:rPr>
                <w:rFonts w:ascii="Arial Narrow" w:hAnsi="Arial Narrow" w:cs="Arial"/>
                <w:sz w:val="20"/>
                <w:szCs w:val="20"/>
              </w:rPr>
              <w:t>encourage people to an activity centre.</w:t>
            </w:r>
          </w:p>
          <w:p w14:paraId="0A836605" w14:textId="77777777" w:rsidR="001B5B0A" w:rsidRPr="00305186" w:rsidRDefault="001B5B0A" w:rsidP="006255F2">
            <w:pPr>
              <w:pStyle w:val="ListParagraph"/>
              <w:tabs>
                <w:tab w:val="left" w:pos="9072"/>
              </w:tabs>
              <w:spacing w:before="60"/>
              <w:ind w:left="318" w:right="34" w:hanging="318"/>
              <w:jc w:val="both"/>
              <w:rPr>
                <w:rFonts w:ascii="Arial Narrow" w:hAnsi="Arial Narrow" w:cs="Arial"/>
                <w:sz w:val="20"/>
                <w:szCs w:val="20"/>
              </w:rPr>
            </w:pPr>
            <w:r w:rsidRPr="00305186">
              <w:rPr>
                <w:rFonts w:ascii="Arial Narrow" w:hAnsi="Arial Narrow" w:cs="Arial"/>
                <w:b/>
                <w:sz w:val="20"/>
                <w:szCs w:val="20"/>
              </w:rPr>
              <w:t>..</w:t>
            </w:r>
            <w:r w:rsidRPr="00305186">
              <w:rPr>
                <w:rFonts w:ascii="Arial Narrow" w:hAnsi="Arial Narrow" w:cs="Arial"/>
                <w:b/>
                <w:sz w:val="20"/>
                <w:szCs w:val="20"/>
              </w:rPr>
              <w:tab/>
            </w:r>
            <w:r w:rsidRPr="00305186">
              <w:rPr>
                <w:rFonts w:ascii="Arial Narrow" w:hAnsi="Arial Narrow" w:cs="Arial"/>
                <w:sz w:val="20"/>
                <w:szCs w:val="20"/>
              </w:rPr>
              <w:t xml:space="preserve">Incorporate uses that will generate activity at different times of the day to establish a highly visible human presence in streets and other public places. </w:t>
            </w:r>
          </w:p>
          <w:p w14:paraId="6DED94D9" w14:textId="77777777" w:rsidR="001B5B0A" w:rsidRPr="00305186" w:rsidRDefault="001B5B0A" w:rsidP="006255F2">
            <w:pPr>
              <w:pStyle w:val="ListParagraph"/>
              <w:tabs>
                <w:tab w:val="left" w:pos="9072"/>
              </w:tabs>
              <w:spacing w:before="60"/>
              <w:ind w:left="318" w:right="34" w:hanging="318"/>
              <w:jc w:val="both"/>
              <w:rPr>
                <w:rFonts w:ascii="Arial Narrow" w:hAnsi="Arial Narrow" w:cs="Arial"/>
                <w:sz w:val="20"/>
                <w:szCs w:val="20"/>
              </w:rPr>
            </w:pPr>
            <w:r w:rsidRPr="00305186">
              <w:rPr>
                <w:rFonts w:ascii="Arial Narrow" w:hAnsi="Arial Narrow" w:cs="Arial"/>
                <w:b/>
                <w:sz w:val="20"/>
                <w:szCs w:val="20"/>
              </w:rPr>
              <w:t>..</w:t>
            </w:r>
            <w:r w:rsidRPr="00305186">
              <w:rPr>
                <w:rFonts w:ascii="Arial Narrow" w:hAnsi="Arial Narrow" w:cs="Arial"/>
                <w:b/>
                <w:sz w:val="20"/>
                <w:szCs w:val="20"/>
              </w:rPr>
              <w:tab/>
            </w:r>
            <w:r w:rsidRPr="00305186">
              <w:rPr>
                <w:rFonts w:ascii="Arial Narrow" w:hAnsi="Arial Narrow" w:cs="Arial"/>
                <w:sz w:val="20"/>
                <w:szCs w:val="20"/>
              </w:rPr>
              <w:t xml:space="preserve">Enable a residential community to be established within an activity centre to engender a sense of community within the place; increase the number of people within the centre outside business hours; and provide the potential for ‘eyes on the street’. Council may exercise discretion to increase residential density </w:t>
            </w:r>
            <w:r>
              <w:rPr>
                <w:rFonts w:ascii="Arial Narrow" w:hAnsi="Arial Narrow" w:cs="Arial"/>
                <w:sz w:val="20"/>
                <w:szCs w:val="20"/>
              </w:rPr>
              <w:t xml:space="preserve">within the Town Centre zone </w:t>
            </w:r>
            <w:r w:rsidRPr="00305186">
              <w:rPr>
                <w:rFonts w:ascii="Arial Narrow" w:hAnsi="Arial Narrow" w:cs="Arial"/>
                <w:sz w:val="20"/>
                <w:szCs w:val="20"/>
              </w:rPr>
              <w:t>where there is significant public benefit in the development, and where the residential mix includes short-term accommodation or smaller and more affordable apartments.</w:t>
            </w:r>
          </w:p>
          <w:p w14:paraId="4E742A2A" w14:textId="77777777" w:rsidR="001B5B0A" w:rsidRPr="00305186" w:rsidRDefault="001B5B0A" w:rsidP="006255F2">
            <w:pPr>
              <w:pStyle w:val="ListParagraph"/>
              <w:tabs>
                <w:tab w:val="left" w:pos="9072"/>
              </w:tabs>
              <w:spacing w:before="60"/>
              <w:ind w:left="318" w:right="34" w:hanging="318"/>
              <w:jc w:val="both"/>
              <w:rPr>
                <w:rFonts w:ascii="Arial Narrow" w:hAnsi="Arial Narrow" w:cs="Arial"/>
                <w:sz w:val="20"/>
                <w:szCs w:val="20"/>
              </w:rPr>
            </w:pPr>
            <w:r w:rsidRPr="00305186">
              <w:rPr>
                <w:rFonts w:ascii="Arial Narrow" w:hAnsi="Arial Narrow" w:cs="Arial"/>
                <w:b/>
                <w:sz w:val="20"/>
                <w:szCs w:val="20"/>
              </w:rPr>
              <w:t>..</w:t>
            </w:r>
            <w:r w:rsidRPr="00305186">
              <w:rPr>
                <w:rFonts w:ascii="Arial Narrow" w:hAnsi="Arial Narrow" w:cs="Arial"/>
                <w:b/>
                <w:sz w:val="20"/>
                <w:szCs w:val="20"/>
              </w:rPr>
              <w:tab/>
            </w:r>
            <w:r w:rsidRPr="00305186">
              <w:rPr>
                <w:rFonts w:ascii="Arial Narrow" w:hAnsi="Arial Narrow" w:cs="Arial"/>
                <w:sz w:val="20"/>
                <w:szCs w:val="20"/>
              </w:rPr>
              <w:t>Incorporate land uses that create a higher density of jobs to help increase the number of people within the centre during business hours.</w:t>
            </w:r>
          </w:p>
          <w:p w14:paraId="5982654C" w14:textId="77777777" w:rsidR="001B5B0A" w:rsidRPr="00A26E85" w:rsidRDefault="001B5B0A" w:rsidP="006255F2">
            <w:pPr>
              <w:pStyle w:val="ListParagraph"/>
              <w:tabs>
                <w:tab w:val="left" w:pos="9072"/>
              </w:tabs>
              <w:spacing w:before="60"/>
              <w:ind w:left="318" w:right="34" w:hanging="318"/>
              <w:jc w:val="both"/>
              <w:rPr>
                <w:rFonts w:ascii="Arial Narrow" w:hAnsi="Arial Narrow" w:cs="Arial"/>
                <w:sz w:val="10"/>
                <w:szCs w:val="20"/>
              </w:rPr>
            </w:pPr>
            <w:r w:rsidRPr="00305186">
              <w:rPr>
                <w:rFonts w:ascii="Arial Narrow" w:hAnsi="Arial Narrow" w:cs="Arial"/>
                <w:b/>
                <w:sz w:val="20"/>
                <w:szCs w:val="20"/>
              </w:rPr>
              <w:t>..</w:t>
            </w:r>
            <w:r w:rsidRPr="00305186">
              <w:rPr>
                <w:rFonts w:ascii="Arial Narrow" w:hAnsi="Arial Narrow" w:cs="Arial"/>
                <w:b/>
                <w:sz w:val="20"/>
                <w:szCs w:val="20"/>
              </w:rPr>
              <w:tab/>
            </w:r>
            <w:r w:rsidRPr="00305186">
              <w:rPr>
                <w:rFonts w:ascii="Arial Narrow" w:hAnsi="Arial Narrow" w:cs="Arial"/>
                <w:sz w:val="20"/>
                <w:szCs w:val="20"/>
              </w:rPr>
              <w:t>Identify opportunities for affordable housing to ensure that urban living is an accessible choice for everyone, including those people who can least afford to live far away from jobs, services and public transport.</w:t>
            </w:r>
          </w:p>
          <w:p w14:paraId="7A74FEDB" w14:textId="77777777" w:rsidR="001B5B0A" w:rsidRDefault="001B5B0A" w:rsidP="006255F2">
            <w:pPr>
              <w:pStyle w:val="ListParagraph"/>
              <w:keepNext/>
              <w:widowControl w:val="0"/>
              <w:tabs>
                <w:tab w:val="left" w:pos="9072"/>
              </w:tabs>
              <w:spacing w:before="120" w:after="60"/>
              <w:ind w:left="318" w:right="34" w:hanging="318"/>
              <w:jc w:val="both"/>
              <w:rPr>
                <w:rFonts w:ascii="Arial Narrow" w:hAnsi="Arial Narrow" w:cs="Arial"/>
                <w:sz w:val="20"/>
                <w:szCs w:val="20"/>
              </w:rPr>
            </w:pPr>
            <w:r w:rsidRPr="00305186">
              <w:rPr>
                <w:rFonts w:ascii="Arial Narrow" w:hAnsi="Arial Narrow" w:cs="Arial"/>
                <w:b/>
                <w:sz w:val="20"/>
                <w:szCs w:val="20"/>
              </w:rPr>
              <w:t>..</w:t>
            </w:r>
            <w:r w:rsidRPr="00305186">
              <w:rPr>
                <w:rFonts w:ascii="Arial Narrow" w:hAnsi="Arial Narrow" w:cs="Arial"/>
                <w:b/>
                <w:sz w:val="20"/>
                <w:szCs w:val="20"/>
              </w:rPr>
              <w:tab/>
            </w:r>
            <w:r w:rsidRPr="00305186">
              <w:rPr>
                <w:rFonts w:ascii="Arial Narrow" w:hAnsi="Arial Narrow" w:cs="Arial"/>
                <w:sz w:val="20"/>
                <w:szCs w:val="20"/>
              </w:rPr>
              <w:t>Identify opportunities to establish home-based business and live-work housing, where the premises can evolve in time to small office accommodation.</w:t>
            </w:r>
          </w:p>
          <w:p w14:paraId="75620720" w14:textId="77777777" w:rsidR="001B5B0A" w:rsidRPr="00305186" w:rsidRDefault="001B5B0A" w:rsidP="006255F2">
            <w:pPr>
              <w:pStyle w:val="ListParagraph"/>
              <w:keepNext/>
              <w:widowControl w:val="0"/>
              <w:tabs>
                <w:tab w:val="left" w:pos="9072"/>
              </w:tabs>
              <w:spacing w:before="120" w:after="60"/>
              <w:ind w:left="318" w:right="34" w:hanging="318"/>
              <w:jc w:val="both"/>
              <w:rPr>
                <w:rFonts w:ascii="Arial Narrow" w:hAnsi="Arial Narrow" w:cs="Arial"/>
                <w:sz w:val="20"/>
                <w:szCs w:val="20"/>
              </w:rPr>
            </w:pPr>
            <w:r w:rsidRPr="00F86C33">
              <w:rPr>
                <w:rFonts w:ascii="Arial Narrow" w:hAnsi="Arial Narrow" w:cs="Arial"/>
                <w:sz w:val="20"/>
                <w:szCs w:val="20"/>
              </w:rPr>
              <w:t>..</w:t>
            </w:r>
            <w:r w:rsidRPr="00F86C33">
              <w:rPr>
                <w:rFonts w:ascii="Arial Narrow" w:hAnsi="Arial Narrow" w:cs="Arial"/>
                <w:sz w:val="20"/>
                <w:szCs w:val="20"/>
              </w:rPr>
              <w:tab/>
            </w:r>
            <w:r>
              <w:rPr>
                <w:rFonts w:ascii="Arial Narrow" w:hAnsi="Arial Narrow" w:cs="Arial"/>
                <w:sz w:val="20"/>
                <w:szCs w:val="20"/>
              </w:rPr>
              <w:t>Be mindful of the Fremantle Inner Harbour Port Buffer Areas when considering land use.</w:t>
            </w:r>
          </w:p>
        </w:tc>
        <w:tc>
          <w:tcPr>
            <w:tcW w:w="3657" w:type="dxa"/>
          </w:tcPr>
          <w:p w14:paraId="4CB8424C" w14:textId="77777777" w:rsidR="001B5B0A" w:rsidRDefault="001B5B0A" w:rsidP="006255F2">
            <w:pPr>
              <w:pStyle w:val="ListParagraph"/>
              <w:spacing w:before="60"/>
              <w:ind w:left="247" w:right="34" w:hanging="247"/>
              <w:jc w:val="both"/>
              <w:rPr>
                <w:rFonts w:ascii="Arial Narrow" w:hAnsi="Arial Narrow" w:cs="Arial"/>
                <w:sz w:val="20"/>
                <w:szCs w:val="20"/>
              </w:rPr>
            </w:pPr>
            <w:r>
              <w:rPr>
                <w:rFonts w:ascii="Arial Narrow" w:hAnsi="Arial Narrow" w:cs="Arial"/>
                <w:b/>
                <w:sz w:val="20"/>
                <w:szCs w:val="20"/>
              </w:rPr>
              <w:tab/>
            </w:r>
            <w:r>
              <w:rPr>
                <w:rFonts w:ascii="Arial Narrow" w:hAnsi="Arial Narrow" w:cs="Arial"/>
                <w:sz w:val="20"/>
                <w:szCs w:val="20"/>
              </w:rPr>
              <w:t>Plan 5: Concept Plan attached to this policy shows indicative land use guidance within the Town Centre Redevelopment Area.</w:t>
            </w:r>
          </w:p>
          <w:p w14:paraId="53D43832" w14:textId="77777777" w:rsidR="001B5B0A" w:rsidRPr="00E6228D" w:rsidRDefault="001B5B0A" w:rsidP="006255F2">
            <w:pPr>
              <w:pStyle w:val="ListParagraph"/>
              <w:spacing w:before="60"/>
              <w:ind w:left="247" w:right="34" w:hanging="247"/>
              <w:jc w:val="both"/>
              <w:rPr>
                <w:rFonts w:ascii="Arial Narrow" w:hAnsi="Arial Narrow" w:cs="Arial"/>
                <w:sz w:val="20"/>
                <w:szCs w:val="20"/>
              </w:rPr>
            </w:pPr>
            <w:r>
              <w:rPr>
                <w:rFonts w:ascii="Arial Narrow" w:hAnsi="Arial Narrow" w:cs="Arial"/>
                <w:b/>
                <w:sz w:val="20"/>
                <w:szCs w:val="20"/>
              </w:rPr>
              <w:t>..</w:t>
            </w:r>
            <w:r>
              <w:rPr>
                <w:rFonts w:ascii="Arial Narrow" w:hAnsi="Arial Narrow" w:cs="Arial"/>
                <w:b/>
                <w:sz w:val="20"/>
                <w:szCs w:val="20"/>
              </w:rPr>
              <w:tab/>
            </w:r>
            <w:r w:rsidRPr="001A4E4A">
              <w:rPr>
                <w:rFonts w:ascii="Arial Narrow" w:hAnsi="Arial Narrow" w:cs="Arial"/>
                <w:b/>
                <w:bCs/>
                <w:sz w:val="20"/>
                <w:szCs w:val="20"/>
              </w:rPr>
              <w:t>Town Centre Core and Canning Highway Precincts:</w:t>
            </w:r>
          </w:p>
          <w:p w14:paraId="0F7CC729" w14:textId="77777777" w:rsidR="001B5B0A" w:rsidRPr="00796285" w:rsidRDefault="001B5B0A" w:rsidP="006255F2">
            <w:pPr>
              <w:pStyle w:val="ListParagraph"/>
              <w:spacing w:before="60"/>
              <w:ind w:left="247" w:right="34"/>
              <w:jc w:val="both"/>
              <w:rPr>
                <w:rFonts w:ascii="Arial Narrow" w:hAnsi="Arial Narrow" w:cs="Arial"/>
                <w:sz w:val="20"/>
                <w:szCs w:val="20"/>
              </w:rPr>
            </w:pPr>
            <w:r w:rsidRPr="00E6228D">
              <w:rPr>
                <w:rFonts w:ascii="Arial Narrow" w:hAnsi="Arial Narrow" w:cs="Arial"/>
                <w:sz w:val="20"/>
                <w:szCs w:val="20"/>
              </w:rPr>
              <w:t>Developments</w:t>
            </w:r>
            <w:r>
              <w:rPr>
                <w:rFonts w:ascii="Arial Narrow" w:hAnsi="Arial Narrow" w:cs="Arial"/>
                <w:sz w:val="20"/>
                <w:szCs w:val="20"/>
              </w:rPr>
              <w:t xml:space="preserve"> are to</w:t>
            </w:r>
            <w:r w:rsidRPr="00E6228D">
              <w:rPr>
                <w:rFonts w:ascii="Arial Narrow" w:hAnsi="Arial Narrow" w:cs="Arial"/>
                <w:sz w:val="20"/>
                <w:szCs w:val="20"/>
              </w:rPr>
              <w:t xml:space="preserve"> incorporate commercial uses consistent with those </w:t>
            </w:r>
            <w:r>
              <w:rPr>
                <w:rFonts w:ascii="Arial Narrow" w:hAnsi="Arial Narrow" w:cs="Arial"/>
                <w:sz w:val="20"/>
                <w:szCs w:val="20"/>
              </w:rPr>
              <w:t>allowed</w:t>
            </w:r>
            <w:r w:rsidRPr="00E6228D">
              <w:rPr>
                <w:rFonts w:ascii="Arial Narrow" w:hAnsi="Arial Narrow" w:cs="Arial"/>
                <w:sz w:val="20"/>
                <w:szCs w:val="20"/>
              </w:rPr>
              <w:t xml:space="preserve"> under the relevant </w:t>
            </w:r>
            <w:r>
              <w:rPr>
                <w:rFonts w:ascii="Arial Narrow" w:hAnsi="Arial Narrow" w:cs="Arial"/>
                <w:sz w:val="20"/>
                <w:szCs w:val="20"/>
              </w:rPr>
              <w:t>Local Planning Scheme</w:t>
            </w:r>
            <w:r w:rsidRPr="00E6228D">
              <w:rPr>
                <w:rFonts w:ascii="Arial Narrow" w:hAnsi="Arial Narrow" w:cs="Arial"/>
                <w:sz w:val="20"/>
                <w:szCs w:val="20"/>
              </w:rPr>
              <w:t xml:space="preserve"> No</w:t>
            </w:r>
            <w:r>
              <w:rPr>
                <w:rFonts w:ascii="Arial Narrow" w:hAnsi="Arial Narrow" w:cs="Arial"/>
                <w:sz w:val="20"/>
                <w:szCs w:val="20"/>
              </w:rPr>
              <w:t xml:space="preserve">. </w:t>
            </w:r>
            <w:r w:rsidRPr="00E6228D">
              <w:rPr>
                <w:rFonts w:ascii="Arial Narrow" w:hAnsi="Arial Narrow" w:cs="Arial"/>
                <w:sz w:val="20"/>
                <w:szCs w:val="20"/>
              </w:rPr>
              <w:t xml:space="preserve">3 </w:t>
            </w:r>
            <w:r>
              <w:rPr>
                <w:rFonts w:ascii="Arial Narrow" w:hAnsi="Arial Narrow" w:cs="Arial"/>
                <w:sz w:val="20"/>
                <w:szCs w:val="20"/>
              </w:rPr>
              <w:t>provisions</w:t>
            </w:r>
            <w:r w:rsidRPr="00E6228D">
              <w:rPr>
                <w:rFonts w:ascii="Arial Narrow" w:hAnsi="Arial Narrow" w:cs="Arial"/>
                <w:sz w:val="20"/>
                <w:szCs w:val="20"/>
              </w:rPr>
              <w:t xml:space="preserve"> and incorporate a minimum of 40% of Net Lettable Area (NLA) floorspace for multiple dwellings and/or short stay accommodation.</w:t>
            </w:r>
          </w:p>
          <w:p w14:paraId="40F12013" w14:textId="77777777" w:rsidR="001B5B0A" w:rsidRPr="00E6228D" w:rsidRDefault="001B5B0A" w:rsidP="006255F2">
            <w:pPr>
              <w:pStyle w:val="ListParagraph"/>
              <w:spacing w:before="60"/>
              <w:ind w:left="247" w:right="34" w:hanging="247"/>
              <w:jc w:val="both"/>
              <w:rPr>
                <w:rFonts w:ascii="Arial Narrow" w:hAnsi="Arial Narrow" w:cs="Arial"/>
                <w:sz w:val="20"/>
                <w:szCs w:val="20"/>
              </w:rPr>
            </w:pPr>
            <w:r w:rsidRPr="00720B3C">
              <w:rPr>
                <w:rFonts w:ascii="Arial Narrow" w:hAnsi="Arial Narrow" w:cs="Arial"/>
                <w:b/>
                <w:sz w:val="20"/>
                <w:szCs w:val="20"/>
              </w:rPr>
              <w:t>..</w:t>
            </w:r>
            <w:r>
              <w:rPr>
                <w:rFonts w:ascii="Arial Narrow" w:hAnsi="Arial Narrow" w:cs="Arial"/>
                <w:sz w:val="20"/>
                <w:szCs w:val="20"/>
              </w:rPr>
              <w:tab/>
            </w:r>
            <w:r w:rsidRPr="001A4E4A">
              <w:rPr>
                <w:rFonts w:ascii="Arial Narrow" w:hAnsi="Arial Narrow" w:cs="Arial"/>
                <w:b/>
                <w:bCs/>
                <w:sz w:val="20"/>
                <w:szCs w:val="20"/>
              </w:rPr>
              <w:t>Frame Precinct:</w:t>
            </w:r>
          </w:p>
          <w:p w14:paraId="7D684ADF" w14:textId="77777777" w:rsidR="001B5B0A" w:rsidRDefault="001B5B0A" w:rsidP="006255F2">
            <w:pPr>
              <w:pStyle w:val="ListParagraph"/>
              <w:spacing w:before="60"/>
              <w:ind w:left="247" w:right="34"/>
              <w:jc w:val="both"/>
              <w:rPr>
                <w:rFonts w:ascii="Arial Narrow" w:hAnsi="Arial Narrow" w:cs="Arial"/>
                <w:b/>
                <w:sz w:val="20"/>
                <w:szCs w:val="20"/>
              </w:rPr>
            </w:pPr>
            <w:r>
              <w:rPr>
                <w:rFonts w:ascii="Arial Narrow" w:hAnsi="Arial Narrow" w:cs="Arial"/>
                <w:sz w:val="20"/>
                <w:szCs w:val="20"/>
              </w:rPr>
              <w:t>Subject to compliance with Local Planning Scheme No. 3 provisions, t</w:t>
            </w:r>
            <w:r w:rsidRPr="00E6228D">
              <w:rPr>
                <w:rFonts w:ascii="Arial Narrow" w:hAnsi="Arial Narrow" w:cs="Arial"/>
                <w:sz w:val="20"/>
                <w:szCs w:val="20"/>
              </w:rPr>
              <w:t>he preferred use is multiple dwellings and</w:t>
            </w:r>
            <w:r>
              <w:rPr>
                <w:rFonts w:ascii="Arial Narrow" w:hAnsi="Arial Narrow" w:cs="Arial"/>
                <w:sz w:val="20"/>
                <w:szCs w:val="20"/>
              </w:rPr>
              <w:t xml:space="preserve"> </w:t>
            </w:r>
            <w:r w:rsidRPr="00E6228D">
              <w:rPr>
                <w:rFonts w:ascii="Arial Narrow" w:hAnsi="Arial Narrow" w:cs="Arial"/>
                <w:sz w:val="20"/>
                <w:szCs w:val="20"/>
              </w:rPr>
              <w:t>grouped dwellings</w:t>
            </w:r>
            <w:r>
              <w:rPr>
                <w:rFonts w:ascii="Arial Narrow" w:hAnsi="Arial Narrow" w:cs="Arial"/>
                <w:sz w:val="20"/>
                <w:szCs w:val="20"/>
              </w:rPr>
              <w:t xml:space="preserve"> and s</w:t>
            </w:r>
            <w:r w:rsidRPr="00E6228D">
              <w:rPr>
                <w:rFonts w:ascii="Arial Narrow" w:hAnsi="Arial Narrow" w:cs="Arial"/>
                <w:sz w:val="20"/>
                <w:szCs w:val="20"/>
              </w:rPr>
              <w:t>mall</w:t>
            </w:r>
            <w:r>
              <w:rPr>
                <w:rFonts w:ascii="Arial Narrow" w:hAnsi="Arial Narrow" w:cs="Arial"/>
                <w:sz w:val="20"/>
                <w:szCs w:val="20"/>
              </w:rPr>
              <w:t>–</w:t>
            </w:r>
            <w:r w:rsidRPr="00E6228D">
              <w:rPr>
                <w:rFonts w:ascii="Arial Narrow" w:hAnsi="Arial Narrow" w:cs="Arial"/>
                <w:sz w:val="20"/>
                <w:szCs w:val="20"/>
              </w:rPr>
              <w:t>scale commercial uses may be incorporated as components of mixed-us</w:t>
            </w:r>
            <w:r>
              <w:rPr>
                <w:rFonts w:ascii="Arial Narrow" w:hAnsi="Arial Narrow" w:cs="Arial"/>
                <w:sz w:val="20"/>
                <w:szCs w:val="20"/>
              </w:rPr>
              <w:t>e developments, providing they ar</w:t>
            </w:r>
            <w:r w:rsidRPr="00E6228D">
              <w:rPr>
                <w:rFonts w:ascii="Arial Narrow" w:hAnsi="Arial Narrow" w:cs="Arial"/>
                <w:sz w:val="20"/>
                <w:szCs w:val="20"/>
              </w:rPr>
              <w:t>e compatible with a residential environment.</w:t>
            </w:r>
          </w:p>
          <w:p w14:paraId="250D4247" w14:textId="77777777" w:rsidR="001B5B0A" w:rsidRDefault="001B5B0A" w:rsidP="006255F2">
            <w:pPr>
              <w:pStyle w:val="ListParagraph"/>
              <w:spacing w:before="60"/>
              <w:ind w:left="530" w:right="34" w:hanging="283"/>
              <w:jc w:val="both"/>
              <w:rPr>
                <w:rFonts w:ascii="Arial Narrow" w:hAnsi="Arial Narrow" w:cs="Arial"/>
                <w:i/>
                <w:sz w:val="20"/>
                <w:szCs w:val="20"/>
              </w:rPr>
            </w:pPr>
          </w:p>
          <w:p w14:paraId="08B45B9D" w14:textId="77777777" w:rsidR="001B5B0A" w:rsidRPr="00013173" w:rsidRDefault="001B5B0A" w:rsidP="006255F2">
            <w:pPr>
              <w:pStyle w:val="Header"/>
              <w:spacing w:before="60" w:after="120"/>
              <w:ind w:left="249" w:right="34" w:hanging="249"/>
              <w:contextualSpacing/>
              <w:jc w:val="both"/>
              <w:rPr>
                <w:rFonts w:ascii="Arial Narrow" w:hAnsi="Arial Narrow" w:cs="Arial"/>
                <w:sz w:val="20"/>
                <w:szCs w:val="20"/>
              </w:rPr>
            </w:pPr>
            <w:r w:rsidRPr="00720B3C">
              <w:rPr>
                <w:rFonts w:ascii="Arial Narrow" w:hAnsi="Arial Narrow" w:cs="Arial"/>
                <w:b/>
                <w:sz w:val="20"/>
                <w:szCs w:val="20"/>
              </w:rPr>
              <w:t>..</w:t>
            </w:r>
            <w:r>
              <w:rPr>
                <w:rFonts w:ascii="Arial Narrow" w:hAnsi="Arial Narrow" w:cs="Arial"/>
                <w:sz w:val="20"/>
                <w:szCs w:val="20"/>
              </w:rPr>
              <w:tab/>
            </w:r>
            <w:r w:rsidRPr="00013173">
              <w:rPr>
                <w:rFonts w:ascii="Arial Narrow" w:hAnsi="Arial Narrow" w:cs="Arial"/>
                <w:b/>
                <w:bCs/>
                <w:sz w:val="20"/>
                <w:szCs w:val="20"/>
              </w:rPr>
              <w:t>Fremantle Inner Harbour Port Buffer Areas:</w:t>
            </w:r>
          </w:p>
          <w:p w14:paraId="0A2B43E5" w14:textId="77777777" w:rsidR="001B5B0A" w:rsidRPr="005C78CB" w:rsidRDefault="001B5B0A" w:rsidP="006255F2">
            <w:pPr>
              <w:pStyle w:val="ListParagraph"/>
              <w:spacing w:before="60"/>
              <w:ind w:left="249" w:right="34"/>
              <w:jc w:val="both"/>
              <w:rPr>
                <w:rFonts w:ascii="Arial Narrow" w:hAnsi="Arial Narrow" w:cs="Arial"/>
                <w:iCs/>
                <w:sz w:val="20"/>
                <w:szCs w:val="20"/>
              </w:rPr>
            </w:pPr>
            <w:r w:rsidRPr="005C78CB">
              <w:rPr>
                <w:rFonts w:ascii="Arial Narrow" w:hAnsi="Arial Narrow" w:cs="Arial"/>
                <w:iCs/>
                <w:sz w:val="20"/>
                <w:szCs w:val="20"/>
              </w:rPr>
              <w:t>Fremantle Inner Harbour Port Buffer Areas 2 and 3 apply to parts of the Town Centre Redevelopment Area (refer to Plan 6</w:t>
            </w:r>
            <w:r>
              <w:rPr>
                <w:rFonts w:ascii="Arial Narrow" w:hAnsi="Arial Narrow" w:cs="Arial"/>
                <w:iCs/>
                <w:sz w:val="20"/>
                <w:szCs w:val="20"/>
              </w:rPr>
              <w:t xml:space="preserve"> attached</w:t>
            </w:r>
            <w:r w:rsidRPr="005C78CB">
              <w:rPr>
                <w:rFonts w:ascii="Arial Narrow" w:hAnsi="Arial Narrow" w:cs="Arial"/>
                <w:iCs/>
                <w:sz w:val="20"/>
                <w:szCs w:val="20"/>
              </w:rPr>
              <w:t>).</w:t>
            </w:r>
            <w:r>
              <w:rPr>
                <w:rFonts w:ascii="Arial Narrow" w:hAnsi="Arial Narrow" w:cs="Arial"/>
                <w:iCs/>
                <w:sz w:val="20"/>
                <w:szCs w:val="20"/>
              </w:rPr>
              <w:t xml:space="preserve"> </w:t>
            </w:r>
            <w:r w:rsidRPr="005C78CB">
              <w:rPr>
                <w:rFonts w:ascii="Arial Narrow" w:hAnsi="Arial Narrow" w:cs="Arial"/>
                <w:iCs/>
                <w:sz w:val="20"/>
                <w:szCs w:val="20"/>
              </w:rPr>
              <w:t>The Town will:</w:t>
            </w:r>
          </w:p>
          <w:p w14:paraId="38D861F6" w14:textId="77777777" w:rsidR="001B5B0A" w:rsidRDefault="001B5B0A" w:rsidP="00303E96">
            <w:pPr>
              <w:pStyle w:val="ListParagraph"/>
              <w:numPr>
                <w:ilvl w:val="0"/>
                <w:numId w:val="507"/>
              </w:numPr>
              <w:spacing w:before="60" w:after="0" w:line="240" w:lineRule="auto"/>
              <w:ind w:left="644" w:right="34"/>
              <w:jc w:val="both"/>
              <w:rPr>
                <w:rFonts w:ascii="Arial Narrow" w:hAnsi="Arial Narrow" w:cs="Arial"/>
                <w:iCs/>
                <w:sz w:val="20"/>
                <w:szCs w:val="20"/>
              </w:rPr>
            </w:pPr>
            <w:r>
              <w:rPr>
                <w:rFonts w:ascii="Arial Narrow" w:hAnsi="Arial Narrow" w:cs="Arial"/>
                <w:iCs/>
                <w:sz w:val="20"/>
                <w:szCs w:val="20"/>
              </w:rPr>
              <w:t>R</w:t>
            </w:r>
            <w:r w:rsidRPr="005C78CB">
              <w:rPr>
                <w:rFonts w:ascii="Arial Narrow" w:hAnsi="Arial Narrow" w:cs="Arial"/>
                <w:iCs/>
                <w:sz w:val="20"/>
                <w:szCs w:val="20"/>
              </w:rPr>
              <w:t>efer applications for development approval to Fremantle Ports for comment for any sensitive use</w:t>
            </w:r>
            <w:r>
              <w:rPr>
                <w:rFonts w:ascii="Arial Narrow" w:hAnsi="Arial Narrow" w:cs="Arial"/>
                <w:iCs/>
                <w:sz w:val="20"/>
                <w:szCs w:val="20"/>
              </w:rPr>
              <w:t>*</w:t>
            </w:r>
            <w:r w:rsidRPr="005C78CB">
              <w:rPr>
                <w:rFonts w:ascii="Arial Narrow" w:hAnsi="Arial Narrow" w:cs="Arial"/>
                <w:iCs/>
                <w:sz w:val="20"/>
                <w:szCs w:val="20"/>
              </w:rPr>
              <w:t xml:space="preserve"> (excluding residential development of less than 5 dwellings) or other development that will result in a concentration of people within Buffer Area </w:t>
            </w:r>
            <w:proofErr w:type="gramStart"/>
            <w:r w:rsidRPr="005C78CB">
              <w:rPr>
                <w:rFonts w:ascii="Arial Narrow" w:hAnsi="Arial Narrow" w:cs="Arial"/>
                <w:iCs/>
                <w:sz w:val="20"/>
                <w:szCs w:val="20"/>
              </w:rPr>
              <w:t>2;</w:t>
            </w:r>
            <w:proofErr w:type="gramEnd"/>
          </w:p>
          <w:p w14:paraId="6032F5EE" w14:textId="77777777" w:rsidR="001B5B0A" w:rsidRPr="005C78CB" w:rsidRDefault="001B5B0A" w:rsidP="00303E96">
            <w:pPr>
              <w:pStyle w:val="ListParagraph"/>
              <w:numPr>
                <w:ilvl w:val="0"/>
                <w:numId w:val="507"/>
              </w:numPr>
              <w:spacing w:before="60" w:after="0" w:line="240" w:lineRule="auto"/>
              <w:ind w:left="644" w:right="34"/>
              <w:jc w:val="both"/>
              <w:rPr>
                <w:rFonts w:ascii="Arial Narrow" w:hAnsi="Arial Narrow" w:cs="Arial"/>
                <w:iCs/>
                <w:sz w:val="20"/>
                <w:szCs w:val="20"/>
              </w:rPr>
            </w:pPr>
            <w:r>
              <w:rPr>
                <w:rFonts w:ascii="Arial Narrow" w:hAnsi="Arial Narrow" w:cs="Arial"/>
                <w:iCs/>
                <w:sz w:val="20"/>
                <w:szCs w:val="20"/>
              </w:rPr>
              <w:t xml:space="preserve">Use the Fremantle Port Buffer Development Guidelines in the assessment and consideration of </w:t>
            </w:r>
            <w:r>
              <w:rPr>
                <w:rFonts w:ascii="Arial Narrow" w:hAnsi="Arial Narrow" w:cs="Arial"/>
                <w:iCs/>
                <w:sz w:val="20"/>
                <w:szCs w:val="20"/>
              </w:rPr>
              <w:lastRenderedPageBreak/>
              <w:t xml:space="preserve">approval of development applications within the buffer </w:t>
            </w:r>
            <w:proofErr w:type="gramStart"/>
            <w:r>
              <w:rPr>
                <w:rFonts w:ascii="Arial Narrow" w:hAnsi="Arial Narrow" w:cs="Arial"/>
                <w:iCs/>
                <w:sz w:val="20"/>
                <w:szCs w:val="20"/>
              </w:rPr>
              <w:t>areas;</w:t>
            </w:r>
            <w:proofErr w:type="gramEnd"/>
          </w:p>
          <w:p w14:paraId="1E1183F4" w14:textId="77777777" w:rsidR="001B5B0A" w:rsidRPr="005C78CB" w:rsidRDefault="001B5B0A" w:rsidP="00303E96">
            <w:pPr>
              <w:pStyle w:val="ListParagraph"/>
              <w:numPr>
                <w:ilvl w:val="0"/>
                <w:numId w:val="507"/>
              </w:numPr>
              <w:spacing w:before="60" w:after="0" w:line="240" w:lineRule="auto"/>
              <w:ind w:left="644" w:right="34"/>
              <w:jc w:val="both"/>
              <w:rPr>
                <w:rFonts w:ascii="Arial Narrow" w:hAnsi="Arial Narrow" w:cs="Arial"/>
                <w:iCs/>
                <w:sz w:val="20"/>
                <w:szCs w:val="20"/>
              </w:rPr>
            </w:pPr>
            <w:r>
              <w:rPr>
                <w:rFonts w:ascii="Arial Narrow" w:hAnsi="Arial Narrow" w:cs="Arial"/>
                <w:iCs/>
                <w:sz w:val="20"/>
                <w:szCs w:val="20"/>
              </w:rPr>
              <w:t>N</w:t>
            </w:r>
            <w:r w:rsidRPr="005C78CB">
              <w:rPr>
                <w:rFonts w:ascii="Arial Narrow" w:hAnsi="Arial Narrow" w:cs="Arial"/>
                <w:iCs/>
                <w:sz w:val="20"/>
                <w:szCs w:val="20"/>
              </w:rPr>
              <w:t>otify Fremantle Ports of any intention to seek to amend the</w:t>
            </w:r>
            <w:r>
              <w:rPr>
                <w:rFonts w:ascii="Arial Narrow" w:hAnsi="Arial Narrow" w:cs="Arial"/>
                <w:iCs/>
                <w:sz w:val="20"/>
                <w:szCs w:val="20"/>
              </w:rPr>
              <w:t xml:space="preserve"> local planning</w:t>
            </w:r>
            <w:r w:rsidRPr="005C78CB">
              <w:rPr>
                <w:rFonts w:ascii="Arial Narrow" w:hAnsi="Arial Narrow" w:cs="Arial"/>
                <w:iCs/>
                <w:sz w:val="20"/>
                <w:szCs w:val="20"/>
              </w:rPr>
              <w:t xml:space="preserve"> scheme in a manner that could result in an increase in development of sensitive uses within Buffer Area 2 or 3.</w:t>
            </w:r>
          </w:p>
          <w:p w14:paraId="20FFEEF9" w14:textId="77777777" w:rsidR="001B5B0A" w:rsidRDefault="001B5B0A" w:rsidP="006255F2">
            <w:pPr>
              <w:pStyle w:val="ListParagraph"/>
              <w:spacing w:before="60"/>
              <w:ind w:left="247" w:right="34"/>
              <w:jc w:val="both"/>
              <w:rPr>
                <w:rFonts w:ascii="Arial Narrow" w:hAnsi="Arial Narrow" w:cs="Arial"/>
                <w:i/>
                <w:sz w:val="20"/>
                <w:szCs w:val="20"/>
              </w:rPr>
            </w:pPr>
          </w:p>
          <w:p w14:paraId="157F9D4D" w14:textId="77777777" w:rsidR="001B5B0A" w:rsidRPr="00305186" w:rsidRDefault="001B5B0A" w:rsidP="006255F2">
            <w:pPr>
              <w:pStyle w:val="ListParagraph"/>
              <w:spacing w:before="60"/>
              <w:ind w:left="530" w:right="34" w:hanging="283"/>
              <w:jc w:val="both"/>
              <w:rPr>
                <w:rFonts w:ascii="Arial Narrow" w:hAnsi="Arial Narrow" w:cs="Arial"/>
                <w:i/>
                <w:sz w:val="20"/>
                <w:szCs w:val="20"/>
              </w:rPr>
            </w:pPr>
            <w:r w:rsidRPr="005C78CB">
              <w:rPr>
                <w:rFonts w:ascii="Arial Narrow" w:hAnsi="Arial Narrow" w:cs="Arial"/>
                <w:i/>
                <w:sz w:val="18"/>
                <w:szCs w:val="18"/>
              </w:rPr>
              <w:t>*Sensitive use includes residential development, major recreational areas, childcare facilities, aged persons facilities, prisons, hospitals and other institutional uses involving accommodation and any other use that Council considers may be affected by proximity to the Fremantle Inner Harbour</w:t>
            </w:r>
            <w:r>
              <w:rPr>
                <w:rFonts w:ascii="Arial Narrow" w:hAnsi="Arial Narrow" w:cs="Arial"/>
                <w:i/>
                <w:sz w:val="18"/>
                <w:szCs w:val="18"/>
              </w:rPr>
              <w:t>.</w:t>
            </w:r>
          </w:p>
        </w:tc>
      </w:tr>
    </w:tbl>
    <w:p w14:paraId="4A14F8EB" w14:textId="77777777" w:rsidR="001B5B0A" w:rsidRPr="000F1ABE" w:rsidRDefault="001B5B0A" w:rsidP="001B5B0A">
      <w:pPr>
        <w:tabs>
          <w:tab w:val="left" w:pos="9072"/>
        </w:tabs>
        <w:ind w:left="1134" w:right="-46"/>
        <w:jc w:val="both"/>
        <w:rPr>
          <w:rFonts w:cs="Arial"/>
          <w:sz w:val="20"/>
          <w:szCs w:val="20"/>
        </w:rPr>
      </w:pPr>
      <w:r>
        <w:rPr>
          <w:noProof/>
          <w:lang w:eastAsia="en-AU"/>
        </w:rPr>
        <w:lastRenderedPageBreak/>
        <w:drawing>
          <wp:anchor distT="0" distB="0" distL="114300" distR="114300" simplePos="0" relativeHeight="251709440" behindDoc="0" locked="0" layoutInCell="1" allowOverlap="1" wp14:anchorId="2FC160C9" wp14:editId="28AADEB4">
            <wp:simplePos x="0" y="0"/>
            <wp:positionH relativeFrom="column">
              <wp:posOffset>90170</wp:posOffset>
            </wp:positionH>
            <wp:positionV relativeFrom="paragraph">
              <wp:posOffset>192405</wp:posOffset>
            </wp:positionV>
            <wp:extent cx="5772150" cy="3461236"/>
            <wp:effectExtent l="0" t="0" r="0" b="6350"/>
            <wp:wrapNone/>
            <wp:docPr id="202" name="Picture 202" descr=":::::Desktop:Stuff for WG 1: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tuff for WG 1:Slide1.jpg"/>
                    <pic:cNvPicPr>
                      <a:picLocks noChangeAspect="1" noChangeArrowheads="1"/>
                    </pic:cNvPicPr>
                  </pic:nvPicPr>
                  <pic:blipFill>
                    <a:blip r:embed="rId290">
                      <a:extLst>
                        <a:ext uri="{28A0092B-C50C-407E-A947-70E740481C1C}">
                          <a14:useLocalDpi xmlns:a14="http://schemas.microsoft.com/office/drawing/2010/main" val="0"/>
                        </a:ext>
                      </a:extLst>
                    </a:blip>
                    <a:srcRect t="9647" b="10352"/>
                    <a:stretch>
                      <a:fillRect/>
                    </a:stretch>
                  </pic:blipFill>
                  <pic:spPr bwMode="auto">
                    <a:xfrm>
                      <a:off x="0" y="0"/>
                      <a:ext cx="5782953" cy="3467714"/>
                    </a:xfrm>
                    <a:prstGeom prst="rect">
                      <a:avLst/>
                    </a:prstGeom>
                    <a:noFill/>
                  </pic:spPr>
                </pic:pic>
              </a:graphicData>
            </a:graphic>
            <wp14:sizeRelH relativeFrom="page">
              <wp14:pctWidth>0</wp14:pctWidth>
            </wp14:sizeRelH>
            <wp14:sizeRelV relativeFrom="page">
              <wp14:pctHeight>0</wp14:pctHeight>
            </wp14:sizeRelV>
          </wp:anchor>
        </w:drawing>
      </w:r>
    </w:p>
    <w:p w14:paraId="219E34FA" w14:textId="77777777" w:rsidR="001B5B0A" w:rsidRPr="000F1ABE" w:rsidRDefault="001B5B0A" w:rsidP="001B5B0A">
      <w:pPr>
        <w:tabs>
          <w:tab w:val="left" w:pos="9072"/>
        </w:tabs>
        <w:ind w:left="1134" w:right="-46"/>
        <w:jc w:val="both"/>
        <w:rPr>
          <w:rFonts w:cs="Arial"/>
          <w:sz w:val="20"/>
          <w:szCs w:val="20"/>
        </w:rPr>
      </w:pPr>
    </w:p>
    <w:p w14:paraId="4D6319FC" w14:textId="77777777" w:rsidR="001B5B0A" w:rsidRPr="000F1ABE" w:rsidRDefault="001B5B0A" w:rsidP="001B5B0A">
      <w:pPr>
        <w:tabs>
          <w:tab w:val="left" w:pos="9072"/>
        </w:tabs>
        <w:ind w:left="1134" w:right="-46"/>
        <w:jc w:val="both"/>
        <w:rPr>
          <w:rFonts w:cs="Arial"/>
          <w:sz w:val="20"/>
          <w:szCs w:val="20"/>
        </w:rPr>
      </w:pPr>
    </w:p>
    <w:p w14:paraId="6DE8B71B" w14:textId="77777777" w:rsidR="001B5B0A" w:rsidRPr="000F1ABE" w:rsidRDefault="001B5B0A" w:rsidP="001B5B0A">
      <w:pPr>
        <w:tabs>
          <w:tab w:val="left" w:pos="9072"/>
        </w:tabs>
        <w:ind w:left="1134" w:right="-46"/>
        <w:jc w:val="both"/>
        <w:rPr>
          <w:rFonts w:cs="Arial"/>
          <w:sz w:val="20"/>
          <w:szCs w:val="20"/>
        </w:rPr>
      </w:pPr>
    </w:p>
    <w:p w14:paraId="13C5697E" w14:textId="77777777" w:rsidR="001B5B0A" w:rsidRPr="000F1ABE" w:rsidRDefault="001B5B0A" w:rsidP="001B5B0A">
      <w:pPr>
        <w:tabs>
          <w:tab w:val="left" w:pos="9072"/>
        </w:tabs>
        <w:ind w:left="1134" w:right="-46"/>
        <w:jc w:val="both"/>
        <w:rPr>
          <w:rFonts w:cs="Arial"/>
          <w:sz w:val="20"/>
          <w:szCs w:val="20"/>
        </w:rPr>
      </w:pPr>
    </w:p>
    <w:p w14:paraId="176CC2CB" w14:textId="77777777" w:rsidR="001B5B0A" w:rsidRPr="000F1ABE" w:rsidRDefault="001B5B0A" w:rsidP="001B5B0A">
      <w:pPr>
        <w:tabs>
          <w:tab w:val="left" w:pos="9072"/>
        </w:tabs>
        <w:ind w:left="1134" w:right="-46"/>
        <w:jc w:val="both"/>
        <w:rPr>
          <w:rFonts w:cs="Arial"/>
          <w:sz w:val="20"/>
          <w:szCs w:val="20"/>
        </w:rPr>
      </w:pPr>
    </w:p>
    <w:p w14:paraId="4279AC2E" w14:textId="77777777" w:rsidR="001B5B0A" w:rsidRPr="000F1ABE" w:rsidRDefault="001B5B0A" w:rsidP="001B5B0A">
      <w:pPr>
        <w:tabs>
          <w:tab w:val="left" w:pos="9072"/>
        </w:tabs>
        <w:ind w:left="1134" w:right="-46"/>
        <w:jc w:val="both"/>
        <w:rPr>
          <w:rFonts w:cs="Arial"/>
          <w:sz w:val="20"/>
          <w:szCs w:val="20"/>
        </w:rPr>
      </w:pPr>
    </w:p>
    <w:p w14:paraId="50CF30A9" w14:textId="77777777" w:rsidR="001B5B0A" w:rsidRPr="000F1ABE" w:rsidRDefault="001B5B0A" w:rsidP="001B5B0A">
      <w:pPr>
        <w:tabs>
          <w:tab w:val="left" w:pos="9072"/>
        </w:tabs>
        <w:ind w:left="1134" w:right="-46"/>
        <w:jc w:val="both"/>
        <w:rPr>
          <w:rFonts w:cs="Arial"/>
          <w:sz w:val="20"/>
          <w:szCs w:val="20"/>
        </w:rPr>
      </w:pPr>
    </w:p>
    <w:p w14:paraId="378A95F7" w14:textId="77777777" w:rsidR="001B5B0A" w:rsidRPr="000F1ABE" w:rsidRDefault="001B5B0A" w:rsidP="001B5B0A">
      <w:pPr>
        <w:tabs>
          <w:tab w:val="left" w:pos="9072"/>
        </w:tabs>
        <w:ind w:left="1134" w:right="-46"/>
        <w:jc w:val="both"/>
        <w:rPr>
          <w:rFonts w:cs="Arial"/>
          <w:sz w:val="20"/>
          <w:szCs w:val="20"/>
        </w:rPr>
      </w:pPr>
    </w:p>
    <w:p w14:paraId="5AA80503" w14:textId="77777777" w:rsidR="001B5B0A" w:rsidRPr="000F1ABE" w:rsidRDefault="001B5B0A" w:rsidP="001B5B0A">
      <w:pPr>
        <w:tabs>
          <w:tab w:val="left" w:pos="9072"/>
        </w:tabs>
        <w:spacing w:after="240"/>
        <w:ind w:left="142" w:right="-46"/>
        <w:jc w:val="both"/>
        <w:rPr>
          <w:rFonts w:cs="Arial"/>
          <w:b/>
          <w:i/>
          <w:sz w:val="20"/>
          <w:szCs w:val="20"/>
        </w:rPr>
      </w:pPr>
      <w:r w:rsidRPr="000F1ABE">
        <w:rPr>
          <w:rFonts w:cs="Arial"/>
          <w:b/>
          <w:i/>
          <w:sz w:val="20"/>
          <w:szCs w:val="20"/>
        </w:rPr>
        <w:t xml:space="preserve">An indicative example of mixed-use development that contains a range of commercial activities and residential </w:t>
      </w:r>
      <w:r w:rsidRPr="00AA216E">
        <w:rPr>
          <w:rFonts w:cs="Arial"/>
          <w:b/>
          <w:i/>
          <w:sz w:val="20"/>
          <w:szCs w:val="20"/>
        </w:rPr>
        <w:t>units.</w:t>
      </w:r>
    </w:p>
    <w:p w14:paraId="7AD52D96" w14:textId="77777777" w:rsidR="001B5B0A" w:rsidRPr="00AA216E" w:rsidRDefault="001B5B0A" w:rsidP="001B5B0A">
      <w:pPr>
        <w:spacing w:after="0"/>
        <w:jc w:val="both"/>
        <w:rPr>
          <w:rFonts w:ascii="Arial" w:hAnsi="Arial" w:cs="Arial"/>
          <w:b/>
        </w:rPr>
      </w:pPr>
    </w:p>
    <w:p w14:paraId="5F42CA1A" w14:textId="77777777" w:rsidR="001B5B0A" w:rsidRDefault="001B5B0A" w:rsidP="001B5B0A"/>
    <w:p w14:paraId="205035F8" w14:textId="77777777" w:rsidR="001B5B0A" w:rsidRPr="000F1ABE" w:rsidRDefault="001B5B0A" w:rsidP="001B5B0A">
      <w:pPr>
        <w:tabs>
          <w:tab w:val="left" w:pos="9072"/>
        </w:tabs>
        <w:ind w:left="1134" w:right="-46"/>
        <w:jc w:val="both"/>
        <w:rPr>
          <w:rFonts w:cs="Arial"/>
          <w:b/>
          <w:i/>
          <w:sz w:val="20"/>
          <w:szCs w:val="20"/>
        </w:rPr>
      </w:pPr>
      <w:r w:rsidRPr="000F1ABE">
        <w:rPr>
          <w:rFonts w:cs="Arial"/>
          <w:b/>
          <w:i/>
          <w:sz w:val="20"/>
          <w:szCs w:val="20"/>
        </w:rPr>
        <w:t>An indicative example of mixed-use development that contains a range of commercial activities and residential units</w:t>
      </w:r>
      <w:r>
        <w:rPr>
          <w:rFonts w:cs="Arial"/>
          <w:b/>
          <w:i/>
          <w:sz w:val="20"/>
          <w:szCs w:val="20"/>
        </w:rPr>
        <w:t>.</w:t>
      </w:r>
    </w:p>
    <w:p w14:paraId="03B2BE04" w14:textId="77777777" w:rsidR="001B5B0A" w:rsidRPr="00F0273E" w:rsidRDefault="001B5B0A" w:rsidP="001B5B0A">
      <w:pPr>
        <w:spacing w:after="0"/>
        <w:rPr>
          <w:i/>
          <w:u w:val="single"/>
        </w:rPr>
      </w:pPr>
      <w:r>
        <w:rPr>
          <w:i/>
          <w:u w:val="single"/>
        </w:rPr>
        <w:t>Element 3: Building Form, Scale and Height</w:t>
      </w:r>
    </w:p>
    <w:p w14:paraId="7B3061FC" w14:textId="77777777" w:rsidR="001B5B0A" w:rsidRPr="00F0273E" w:rsidRDefault="001B5B0A" w:rsidP="001B5B0A">
      <w:r>
        <w:t>Building form, scale and height provide definition to the overall shape and size of buildings.</w:t>
      </w:r>
    </w:p>
    <w:p w14:paraId="0A2C0C24" w14:textId="77777777" w:rsidR="001B5B0A" w:rsidRPr="00F0273E" w:rsidRDefault="001B5B0A" w:rsidP="001B5B0A">
      <w:pPr>
        <w:spacing w:after="120"/>
        <w:jc w:val="both"/>
        <w:rPr>
          <w:rFonts w:cs="Arial"/>
        </w:rPr>
      </w:pPr>
      <w:proofErr w:type="gramStart"/>
      <w:r>
        <w:rPr>
          <w:rFonts w:cs="Arial"/>
        </w:rPr>
        <w:t>In r</w:t>
      </w:r>
      <w:r w:rsidRPr="00F0273E">
        <w:rPr>
          <w:rFonts w:cs="Arial"/>
        </w:rPr>
        <w:t>egard to</w:t>
      </w:r>
      <w:proofErr w:type="gramEnd"/>
      <w:r w:rsidRPr="00F0273E">
        <w:rPr>
          <w:rFonts w:cs="Arial"/>
        </w:rPr>
        <w:t xml:space="preserve"> building form, scale and height, the policy objectives are:</w:t>
      </w:r>
    </w:p>
    <w:p w14:paraId="56DA83D7" w14:textId="77777777" w:rsidR="001B5B0A" w:rsidRPr="00F0273E" w:rsidRDefault="001B5B0A" w:rsidP="001B5B0A">
      <w:pPr>
        <w:spacing w:before="120" w:after="120"/>
        <w:ind w:left="426" w:hanging="426"/>
        <w:jc w:val="both"/>
        <w:rPr>
          <w:rFonts w:cs="Arial"/>
        </w:rPr>
      </w:pPr>
      <w:r w:rsidRPr="00F0273E">
        <w:rPr>
          <w:rFonts w:cs="Arial"/>
        </w:rPr>
        <w:t>-</w:t>
      </w:r>
      <w:r w:rsidRPr="00F0273E">
        <w:rPr>
          <w:rFonts w:cs="Arial"/>
        </w:rPr>
        <w:tab/>
        <w:t xml:space="preserve">To allow a sufficient mass of building within the </w:t>
      </w:r>
      <w:r>
        <w:rPr>
          <w:rFonts w:cs="Arial"/>
        </w:rPr>
        <w:t>T</w:t>
      </w:r>
      <w:r w:rsidRPr="00F0273E">
        <w:rPr>
          <w:rFonts w:cs="Arial"/>
        </w:rPr>
        <w:t xml:space="preserve">own </w:t>
      </w:r>
      <w:r>
        <w:rPr>
          <w:rFonts w:cs="Arial"/>
        </w:rPr>
        <w:t>C</w:t>
      </w:r>
      <w:r w:rsidRPr="00F0273E">
        <w:rPr>
          <w:rFonts w:cs="Arial"/>
        </w:rPr>
        <w:t>entre</w:t>
      </w:r>
      <w:r>
        <w:rPr>
          <w:rFonts w:cs="Arial"/>
        </w:rPr>
        <w:t xml:space="preserve"> Redevelopment Area</w:t>
      </w:r>
      <w:r w:rsidRPr="00F0273E">
        <w:rPr>
          <w:rFonts w:cs="Arial"/>
        </w:rPr>
        <w:t xml:space="preserve"> to accommodate enough people and activities within the centre to generate a sense of liveliness. </w:t>
      </w:r>
    </w:p>
    <w:p w14:paraId="1800A2E1" w14:textId="77777777" w:rsidR="001B5B0A" w:rsidRDefault="001B5B0A" w:rsidP="001B5B0A">
      <w:pPr>
        <w:tabs>
          <w:tab w:val="left" w:pos="1560"/>
        </w:tabs>
        <w:spacing w:after="120"/>
        <w:ind w:left="426" w:hanging="426"/>
        <w:jc w:val="both"/>
        <w:rPr>
          <w:rFonts w:cs="Arial"/>
        </w:rPr>
      </w:pPr>
      <w:r w:rsidRPr="00F0273E">
        <w:rPr>
          <w:rFonts w:cs="Arial"/>
        </w:rPr>
        <w:lastRenderedPageBreak/>
        <w:t>-</w:t>
      </w:r>
      <w:r w:rsidRPr="00F0273E">
        <w:rPr>
          <w:rFonts w:cs="Arial"/>
        </w:rPr>
        <w:tab/>
        <w:t xml:space="preserve">To balance the need for denser, higher, and more efficient urban built form with the desire to match the scale of development in the </w:t>
      </w:r>
      <w:r>
        <w:rPr>
          <w:rFonts w:cs="Arial"/>
        </w:rPr>
        <w:t>T</w:t>
      </w:r>
      <w:r w:rsidRPr="00F0273E">
        <w:rPr>
          <w:rFonts w:cs="Arial"/>
        </w:rPr>
        <w:t xml:space="preserve">own </w:t>
      </w:r>
      <w:r>
        <w:rPr>
          <w:rFonts w:cs="Arial"/>
        </w:rPr>
        <w:t>C</w:t>
      </w:r>
      <w:r w:rsidRPr="00F0273E">
        <w:rPr>
          <w:rFonts w:cs="Arial"/>
        </w:rPr>
        <w:t xml:space="preserve">entre to its functional role in the regional </w:t>
      </w:r>
      <w:proofErr w:type="gramStart"/>
      <w:r w:rsidRPr="00F0273E">
        <w:rPr>
          <w:rFonts w:cs="Arial"/>
        </w:rPr>
        <w:t xml:space="preserve">hierarchy </w:t>
      </w:r>
      <w:r>
        <w:rPr>
          <w:rFonts w:cs="Arial"/>
        </w:rPr>
        <w:t xml:space="preserve"> and</w:t>
      </w:r>
      <w:proofErr w:type="gramEnd"/>
      <w:r>
        <w:rPr>
          <w:rFonts w:cs="Arial"/>
        </w:rPr>
        <w:t xml:space="preserve"> as the major commercial centre within the Town</w:t>
      </w:r>
      <w:r w:rsidRPr="00F0273E">
        <w:rPr>
          <w:rFonts w:cs="Arial"/>
        </w:rPr>
        <w:t>.</w:t>
      </w:r>
    </w:p>
    <w:p w14:paraId="6B75480F" w14:textId="77777777" w:rsidR="001B5B0A" w:rsidRPr="00F0273E" w:rsidRDefault="001B5B0A" w:rsidP="001B5B0A">
      <w:pPr>
        <w:spacing w:before="120" w:after="120"/>
        <w:ind w:left="426" w:hanging="426"/>
        <w:jc w:val="both"/>
        <w:rPr>
          <w:rFonts w:cs="Arial"/>
        </w:rPr>
      </w:pPr>
      <w:r w:rsidRPr="00F0273E">
        <w:rPr>
          <w:rFonts w:cs="Arial"/>
        </w:rPr>
        <w:t>-</w:t>
      </w:r>
      <w:r w:rsidRPr="00F0273E">
        <w:rPr>
          <w:rFonts w:cs="Arial"/>
        </w:rPr>
        <w:tab/>
        <w:t xml:space="preserve">To </w:t>
      </w:r>
      <w:r>
        <w:rPr>
          <w:rFonts w:cs="Arial"/>
        </w:rPr>
        <w:t xml:space="preserve">provide a sensitive transition where development abuts/adjoins/is </w:t>
      </w:r>
      <w:proofErr w:type="gramStart"/>
      <w:r>
        <w:rPr>
          <w:rFonts w:cs="Arial"/>
        </w:rPr>
        <w:t>in close proximity to</w:t>
      </w:r>
      <w:proofErr w:type="gramEnd"/>
      <w:r>
        <w:rPr>
          <w:rFonts w:cs="Arial"/>
        </w:rPr>
        <w:t xml:space="preserve"> heritage properties and residential properties of lesser density capacities</w:t>
      </w:r>
      <w:r w:rsidRPr="00F0273E">
        <w:rPr>
          <w:rFonts w:cs="Arial"/>
        </w:rPr>
        <w:t xml:space="preserve">. </w:t>
      </w:r>
    </w:p>
    <w:p w14:paraId="0D5A5BBE" w14:textId="77777777" w:rsidR="001B5B0A" w:rsidRPr="000F1ABE" w:rsidRDefault="001B5B0A" w:rsidP="001B5B0A">
      <w:pPr>
        <w:ind w:left="1134"/>
        <w:jc w:val="both"/>
        <w:rPr>
          <w:rFonts w:cs="Arial"/>
          <w:i/>
          <w:sz w:val="20"/>
          <w:szCs w:val="20"/>
        </w:rPr>
      </w:pPr>
    </w:p>
    <w:p w14:paraId="5E7E37E7" w14:textId="77777777" w:rsidR="001B5B0A" w:rsidRDefault="001B5B0A" w:rsidP="001B5B0A">
      <w:pPr>
        <w:ind w:left="1134"/>
        <w:jc w:val="both"/>
        <w:rPr>
          <w:rFonts w:cs="Arial"/>
          <w:b/>
          <w:i/>
          <w:sz w:val="20"/>
          <w:szCs w:val="20"/>
        </w:rPr>
      </w:pPr>
      <w:r>
        <w:rPr>
          <w:rFonts w:cs="Arial"/>
          <w:i/>
          <w:noProof/>
          <w:sz w:val="20"/>
          <w:szCs w:val="20"/>
          <w:lang w:eastAsia="en-AU"/>
        </w:rPr>
        <w:drawing>
          <wp:inline distT="0" distB="0" distL="0" distR="0" wp14:anchorId="3E2E7782" wp14:editId="17AB8115">
            <wp:extent cx="5305425" cy="4048125"/>
            <wp:effectExtent l="0" t="0" r="9525" b="9525"/>
            <wp:docPr id="203" name="Picture 4" descr=":::::Desktop:Stuff for WG 2: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tuff for WG 2:Slide2.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302250" cy="4045702"/>
                    </a:xfrm>
                    <a:prstGeom prst="rect">
                      <a:avLst/>
                    </a:prstGeom>
                    <a:noFill/>
                    <a:ln>
                      <a:noFill/>
                    </a:ln>
                  </pic:spPr>
                </pic:pic>
              </a:graphicData>
            </a:graphic>
          </wp:inline>
        </w:drawing>
      </w:r>
      <w:r w:rsidRPr="000F1ABE">
        <w:rPr>
          <w:rFonts w:cs="Arial"/>
          <w:b/>
          <w:i/>
          <w:sz w:val="20"/>
          <w:szCs w:val="20"/>
        </w:rPr>
        <w:t xml:space="preserve">Indicative examples of appropriate scales and forms for buildings in a </w:t>
      </w:r>
      <w:r>
        <w:rPr>
          <w:rFonts w:cs="Arial"/>
          <w:b/>
          <w:i/>
          <w:sz w:val="20"/>
          <w:szCs w:val="20"/>
        </w:rPr>
        <w:t>T</w:t>
      </w:r>
      <w:r w:rsidRPr="000F1ABE">
        <w:rPr>
          <w:rFonts w:cs="Arial"/>
          <w:b/>
          <w:i/>
          <w:sz w:val="20"/>
          <w:szCs w:val="20"/>
        </w:rPr>
        <w:t xml:space="preserve">own </w:t>
      </w:r>
      <w:r>
        <w:rPr>
          <w:rFonts w:cs="Arial"/>
          <w:b/>
          <w:i/>
          <w:sz w:val="20"/>
          <w:szCs w:val="20"/>
        </w:rPr>
        <w:t>C</w:t>
      </w:r>
      <w:r w:rsidRPr="000F1ABE">
        <w:rPr>
          <w:rFonts w:cs="Arial"/>
          <w:b/>
          <w:i/>
          <w:sz w:val="20"/>
          <w:szCs w:val="20"/>
        </w:rPr>
        <w:t>entre</w:t>
      </w:r>
      <w:r>
        <w:rPr>
          <w:rFonts w:cs="Arial"/>
          <w:b/>
          <w:i/>
          <w:sz w:val="20"/>
          <w:szCs w:val="20"/>
        </w:rPr>
        <w:t>.</w:t>
      </w:r>
    </w:p>
    <w:p w14:paraId="2B337562" w14:textId="2AC75BA7" w:rsidR="001B5B0A" w:rsidRDefault="001B5B0A" w:rsidP="001B5B0A">
      <w:pPr>
        <w:spacing w:after="160" w:line="259" w:lineRule="auto"/>
        <w:rPr>
          <w:rFonts w:cs="Arial"/>
          <w:i/>
          <w:noProof/>
          <w:sz w:val="20"/>
          <w:szCs w:val="20"/>
          <w:lang w:eastAsia="en-AU"/>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395"/>
        <w:gridCol w:w="4961"/>
      </w:tblGrid>
      <w:tr w:rsidR="001B5B0A" w:rsidRPr="0042436F" w14:paraId="4C1AD055" w14:textId="77777777" w:rsidTr="006255F2">
        <w:trPr>
          <w:tblHeader/>
        </w:trPr>
        <w:tc>
          <w:tcPr>
            <w:tcW w:w="4395" w:type="dxa"/>
            <w:shd w:val="solid" w:color="D9D9D9" w:fill="auto"/>
          </w:tcPr>
          <w:p w14:paraId="702AE99F" w14:textId="77777777" w:rsidR="001B5B0A" w:rsidRPr="0042436F" w:rsidRDefault="001B5B0A" w:rsidP="006255F2">
            <w:pPr>
              <w:tabs>
                <w:tab w:val="left" w:pos="0"/>
              </w:tabs>
              <w:spacing w:before="60"/>
              <w:ind w:right="-46"/>
              <w:jc w:val="both"/>
              <w:rPr>
                <w:rFonts w:ascii="Arial Narrow" w:hAnsi="Arial Narrow" w:cs="Arial"/>
                <w:b/>
                <w:sz w:val="20"/>
                <w:szCs w:val="20"/>
              </w:rPr>
            </w:pPr>
            <w:r>
              <w:rPr>
                <w:rFonts w:ascii="Arial Narrow" w:hAnsi="Arial Narrow" w:cs="Arial"/>
                <w:b/>
                <w:sz w:val="20"/>
                <w:szCs w:val="20"/>
              </w:rPr>
              <w:t>Element Objective</w:t>
            </w:r>
          </w:p>
          <w:p w14:paraId="39515B5E" w14:textId="77777777" w:rsidR="001B5B0A" w:rsidRPr="0042436F" w:rsidRDefault="001B5B0A" w:rsidP="006255F2">
            <w:pPr>
              <w:tabs>
                <w:tab w:val="left" w:pos="0"/>
              </w:tabs>
              <w:spacing w:before="60"/>
              <w:ind w:right="-46"/>
              <w:jc w:val="both"/>
              <w:rPr>
                <w:rFonts w:ascii="Arial Narrow" w:hAnsi="Arial Narrow" w:cs="Arial"/>
                <w:i/>
                <w:sz w:val="20"/>
                <w:szCs w:val="20"/>
              </w:rPr>
            </w:pPr>
            <w:r>
              <w:rPr>
                <w:rFonts w:ascii="Arial Narrow" w:hAnsi="Arial Narrow" w:cs="Arial"/>
                <w:i/>
                <w:sz w:val="20"/>
                <w:szCs w:val="20"/>
              </w:rPr>
              <w:t>D</w:t>
            </w:r>
            <w:r w:rsidRPr="0042436F">
              <w:rPr>
                <w:rFonts w:ascii="Arial Narrow" w:hAnsi="Arial Narrow" w:cs="Arial"/>
                <w:i/>
                <w:sz w:val="20"/>
                <w:szCs w:val="20"/>
              </w:rPr>
              <w:t>evelopment should meet these criteria.</w:t>
            </w:r>
          </w:p>
        </w:tc>
        <w:tc>
          <w:tcPr>
            <w:tcW w:w="4961" w:type="dxa"/>
            <w:shd w:val="solid" w:color="D9D9D9" w:fill="auto"/>
          </w:tcPr>
          <w:p w14:paraId="012B007D" w14:textId="77777777" w:rsidR="001B5B0A" w:rsidRPr="0042436F" w:rsidRDefault="001B5B0A" w:rsidP="006255F2">
            <w:pPr>
              <w:spacing w:before="60"/>
              <w:ind w:left="23" w:right="34"/>
              <w:jc w:val="both"/>
              <w:rPr>
                <w:rFonts w:ascii="Arial Narrow" w:hAnsi="Arial Narrow" w:cs="Arial"/>
                <w:b/>
                <w:sz w:val="20"/>
                <w:szCs w:val="20"/>
              </w:rPr>
            </w:pPr>
            <w:r w:rsidRPr="0042436F">
              <w:rPr>
                <w:rFonts w:ascii="Arial Narrow" w:hAnsi="Arial Narrow" w:cs="Arial"/>
                <w:b/>
                <w:sz w:val="20"/>
                <w:szCs w:val="20"/>
              </w:rPr>
              <w:t xml:space="preserve">Acceptable </w:t>
            </w:r>
            <w:r>
              <w:rPr>
                <w:rFonts w:ascii="Arial Narrow" w:hAnsi="Arial Narrow" w:cs="Arial"/>
                <w:b/>
                <w:sz w:val="20"/>
                <w:szCs w:val="20"/>
              </w:rPr>
              <w:t>Outcomes</w:t>
            </w:r>
          </w:p>
          <w:p w14:paraId="69BE7EFE" w14:textId="77777777" w:rsidR="001B5B0A" w:rsidRPr="0042436F" w:rsidRDefault="001B5B0A" w:rsidP="006255F2">
            <w:pPr>
              <w:spacing w:before="60" w:after="60"/>
              <w:ind w:left="23" w:right="34"/>
              <w:jc w:val="both"/>
              <w:rPr>
                <w:rFonts w:ascii="Arial Narrow" w:hAnsi="Arial Narrow" w:cs="Arial"/>
                <w:i/>
                <w:sz w:val="20"/>
                <w:szCs w:val="20"/>
              </w:rPr>
            </w:pPr>
            <w:r w:rsidRPr="0042436F">
              <w:rPr>
                <w:rFonts w:ascii="Arial Narrow" w:hAnsi="Arial Narrow" w:cs="Arial"/>
                <w:i/>
                <w:sz w:val="20"/>
                <w:szCs w:val="20"/>
              </w:rPr>
              <w:t xml:space="preserve">The acceptable </w:t>
            </w:r>
            <w:r>
              <w:rPr>
                <w:rFonts w:ascii="Arial Narrow" w:hAnsi="Arial Narrow" w:cs="Arial"/>
                <w:i/>
                <w:sz w:val="20"/>
                <w:szCs w:val="20"/>
              </w:rPr>
              <w:t>outcomes</w:t>
            </w:r>
            <w:r w:rsidRPr="0042436F">
              <w:rPr>
                <w:rFonts w:ascii="Arial Narrow" w:hAnsi="Arial Narrow" w:cs="Arial"/>
                <w:i/>
                <w:sz w:val="20"/>
                <w:szCs w:val="20"/>
              </w:rPr>
              <w:t xml:space="preserve"> are ways of meeting the </w:t>
            </w:r>
            <w:r>
              <w:rPr>
                <w:rFonts w:ascii="Arial Narrow" w:hAnsi="Arial Narrow" w:cs="Arial"/>
                <w:i/>
                <w:sz w:val="20"/>
                <w:szCs w:val="20"/>
              </w:rPr>
              <w:t>element objective</w:t>
            </w:r>
            <w:r w:rsidRPr="0042436F">
              <w:rPr>
                <w:rFonts w:ascii="Arial Narrow" w:hAnsi="Arial Narrow" w:cs="Arial"/>
                <w:i/>
                <w:sz w:val="20"/>
                <w:szCs w:val="20"/>
              </w:rPr>
              <w:t>.</w:t>
            </w:r>
          </w:p>
        </w:tc>
      </w:tr>
      <w:tr w:rsidR="001B5B0A" w:rsidRPr="0042436F" w14:paraId="4DC23409" w14:textId="77777777" w:rsidTr="006255F2">
        <w:tc>
          <w:tcPr>
            <w:tcW w:w="4395" w:type="dxa"/>
          </w:tcPr>
          <w:p w14:paraId="3BB72E10" w14:textId="77777777" w:rsidR="001B5B0A" w:rsidRPr="00C35731" w:rsidRDefault="001B5B0A" w:rsidP="006255F2">
            <w:pPr>
              <w:spacing w:before="60"/>
              <w:ind w:left="34" w:right="123"/>
              <w:jc w:val="both"/>
              <w:rPr>
                <w:rFonts w:ascii="Arial Narrow" w:hAnsi="Arial Narrow" w:cs="Arial"/>
                <w:sz w:val="20"/>
                <w:szCs w:val="20"/>
              </w:rPr>
            </w:pPr>
            <w:proofErr w:type="gramStart"/>
            <w:r w:rsidRPr="00C35731">
              <w:rPr>
                <w:rFonts w:ascii="Arial Narrow" w:hAnsi="Arial Narrow" w:cs="Arial"/>
                <w:sz w:val="20"/>
                <w:szCs w:val="20"/>
              </w:rPr>
              <w:t>In regard to</w:t>
            </w:r>
            <w:proofErr w:type="gramEnd"/>
            <w:r w:rsidRPr="00C35731">
              <w:rPr>
                <w:rFonts w:ascii="Arial Narrow" w:hAnsi="Arial Narrow" w:cs="Arial"/>
                <w:sz w:val="20"/>
                <w:szCs w:val="20"/>
              </w:rPr>
              <w:t xml:space="preserve"> building form, scale and height within the </w:t>
            </w:r>
            <w:r>
              <w:rPr>
                <w:rFonts w:ascii="Arial Narrow" w:hAnsi="Arial Narrow" w:cs="Arial"/>
                <w:sz w:val="20"/>
                <w:szCs w:val="20"/>
              </w:rPr>
              <w:t>T</w:t>
            </w:r>
            <w:r w:rsidRPr="00C35731">
              <w:rPr>
                <w:rFonts w:ascii="Arial Narrow" w:hAnsi="Arial Narrow" w:cs="Arial"/>
                <w:sz w:val="20"/>
                <w:szCs w:val="20"/>
              </w:rPr>
              <w:t xml:space="preserve">own </w:t>
            </w:r>
            <w:r>
              <w:rPr>
                <w:rFonts w:ascii="Arial Narrow" w:hAnsi="Arial Narrow" w:cs="Arial"/>
                <w:sz w:val="20"/>
                <w:szCs w:val="20"/>
              </w:rPr>
              <w:t>C</w:t>
            </w:r>
            <w:r w:rsidRPr="00C35731">
              <w:rPr>
                <w:rFonts w:ascii="Arial Narrow" w:hAnsi="Arial Narrow" w:cs="Arial"/>
                <w:sz w:val="20"/>
                <w:szCs w:val="20"/>
              </w:rPr>
              <w:t>entre</w:t>
            </w:r>
            <w:r>
              <w:rPr>
                <w:rFonts w:ascii="Arial Narrow" w:hAnsi="Arial Narrow" w:cs="Arial"/>
                <w:sz w:val="20"/>
                <w:szCs w:val="20"/>
              </w:rPr>
              <w:t xml:space="preserve"> Redevelopment Area</w:t>
            </w:r>
            <w:r w:rsidRPr="00C35731">
              <w:rPr>
                <w:rFonts w:ascii="Arial Narrow" w:hAnsi="Arial Narrow" w:cs="Arial"/>
                <w:sz w:val="20"/>
                <w:szCs w:val="20"/>
              </w:rPr>
              <w:t xml:space="preserve">, development </w:t>
            </w:r>
            <w:r>
              <w:rPr>
                <w:rFonts w:ascii="Arial Narrow" w:hAnsi="Arial Narrow" w:cs="Arial"/>
                <w:sz w:val="20"/>
                <w:szCs w:val="20"/>
              </w:rPr>
              <w:t>is to</w:t>
            </w:r>
            <w:r w:rsidRPr="00C35731">
              <w:rPr>
                <w:rFonts w:ascii="Arial Narrow" w:hAnsi="Arial Narrow" w:cs="Arial"/>
                <w:sz w:val="20"/>
                <w:szCs w:val="20"/>
              </w:rPr>
              <w:t>:</w:t>
            </w:r>
          </w:p>
          <w:p w14:paraId="7D6EE5D7" w14:textId="77777777" w:rsidR="001B5B0A" w:rsidRPr="00C35731" w:rsidRDefault="001B5B0A" w:rsidP="006255F2">
            <w:pPr>
              <w:pStyle w:val="ListParagraph"/>
              <w:spacing w:before="60"/>
              <w:ind w:left="318" w:right="123"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C35731">
              <w:rPr>
                <w:rFonts w:ascii="Arial Narrow" w:hAnsi="Arial Narrow" w:cs="Arial"/>
                <w:sz w:val="20"/>
                <w:szCs w:val="20"/>
              </w:rPr>
              <w:t>Establish a scale of development that is reflective of the centre’s role as an urban village.</w:t>
            </w:r>
          </w:p>
          <w:p w14:paraId="227454A1" w14:textId="77777777" w:rsidR="001B5B0A" w:rsidRPr="00C35731" w:rsidRDefault="001B5B0A" w:rsidP="006255F2">
            <w:pPr>
              <w:pStyle w:val="ListParagraph"/>
              <w:spacing w:before="60"/>
              <w:ind w:left="318" w:right="123" w:hanging="284"/>
              <w:jc w:val="both"/>
              <w:rPr>
                <w:rFonts w:ascii="Arial Narrow" w:hAnsi="Arial Narrow" w:cs="Arial"/>
                <w:b/>
                <w:i/>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C35731">
              <w:rPr>
                <w:rFonts w:ascii="Arial Narrow" w:hAnsi="Arial Narrow" w:cs="Arial"/>
                <w:sz w:val="20"/>
                <w:szCs w:val="20"/>
              </w:rPr>
              <w:t xml:space="preserve">Maintain an attractive scale to streets and other public spaces </w:t>
            </w:r>
            <w:proofErr w:type="gramStart"/>
            <w:r w:rsidRPr="00C35731">
              <w:rPr>
                <w:rFonts w:ascii="Arial Narrow" w:hAnsi="Arial Narrow" w:cs="Arial"/>
                <w:sz w:val="20"/>
                <w:szCs w:val="20"/>
              </w:rPr>
              <w:t>through the use of</w:t>
            </w:r>
            <w:proofErr w:type="gramEnd"/>
            <w:r w:rsidRPr="00C35731">
              <w:rPr>
                <w:rFonts w:ascii="Arial Narrow" w:hAnsi="Arial Narrow" w:cs="Arial"/>
                <w:sz w:val="20"/>
                <w:szCs w:val="20"/>
              </w:rPr>
              <w:t xml:space="preserve"> appropriate building facade heights, particularly for the lower and most visible levels of buildings where they define the edge of a street or other public space.</w:t>
            </w:r>
          </w:p>
          <w:p w14:paraId="63DF7123" w14:textId="77777777" w:rsidR="001B5B0A" w:rsidRPr="00C35731" w:rsidRDefault="001B5B0A" w:rsidP="006255F2">
            <w:pPr>
              <w:pStyle w:val="ListParagraph"/>
              <w:tabs>
                <w:tab w:val="left" w:pos="9072"/>
              </w:tabs>
              <w:spacing w:before="60"/>
              <w:ind w:left="318" w:right="123"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C35731">
              <w:rPr>
                <w:rFonts w:ascii="Arial Narrow" w:hAnsi="Arial Narrow" w:cs="Arial"/>
                <w:sz w:val="20"/>
                <w:szCs w:val="20"/>
              </w:rPr>
              <w:t xml:space="preserve">Establish a reasonable transition between larger-scaled development within an activity centre and the </w:t>
            </w:r>
            <w:r w:rsidRPr="00C35731">
              <w:rPr>
                <w:rFonts w:ascii="Arial Narrow" w:hAnsi="Arial Narrow" w:cs="Arial"/>
                <w:sz w:val="20"/>
                <w:szCs w:val="20"/>
              </w:rPr>
              <w:lastRenderedPageBreak/>
              <w:t>domestic scale of any existing adjacent residential development.</w:t>
            </w:r>
          </w:p>
          <w:p w14:paraId="0E0444F4" w14:textId="77777777" w:rsidR="001B5B0A" w:rsidRPr="00C35731" w:rsidRDefault="001B5B0A" w:rsidP="006255F2">
            <w:pPr>
              <w:pStyle w:val="ListParagraph"/>
              <w:tabs>
                <w:tab w:val="left" w:pos="9072"/>
              </w:tabs>
              <w:spacing w:before="60"/>
              <w:ind w:left="318" w:right="123"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C35731">
              <w:rPr>
                <w:rFonts w:ascii="Arial Narrow" w:hAnsi="Arial Narrow" w:cs="Arial"/>
                <w:sz w:val="20"/>
                <w:szCs w:val="20"/>
              </w:rPr>
              <w:t>Modulate the building mass to create visual interest and break down the perceived scale of large developments.</w:t>
            </w:r>
          </w:p>
        </w:tc>
        <w:tc>
          <w:tcPr>
            <w:tcW w:w="4961" w:type="dxa"/>
          </w:tcPr>
          <w:p w14:paraId="54D5F412" w14:textId="77777777" w:rsidR="001B5B0A" w:rsidRDefault="001B5B0A" w:rsidP="006255F2">
            <w:pPr>
              <w:pStyle w:val="ListParagraph"/>
              <w:tabs>
                <w:tab w:val="left" w:pos="317"/>
              </w:tabs>
              <w:spacing w:before="60"/>
              <w:ind w:left="34" w:right="34"/>
              <w:jc w:val="both"/>
              <w:rPr>
                <w:rFonts w:ascii="Arial Narrow" w:hAnsi="Arial Narrow" w:cs="Arial"/>
                <w:sz w:val="20"/>
                <w:szCs w:val="20"/>
              </w:rPr>
            </w:pPr>
            <w:r w:rsidRPr="00121548">
              <w:rPr>
                <w:rFonts w:ascii="Arial Narrow" w:hAnsi="Arial Narrow" w:cs="Arial"/>
                <w:sz w:val="20"/>
                <w:szCs w:val="20"/>
              </w:rPr>
              <w:lastRenderedPageBreak/>
              <w:t xml:space="preserve">Council may </w:t>
            </w:r>
            <w:r>
              <w:rPr>
                <w:rFonts w:ascii="Arial Narrow" w:hAnsi="Arial Narrow" w:cs="Arial"/>
                <w:sz w:val="20"/>
                <w:szCs w:val="20"/>
              </w:rPr>
              <w:t>consider</w:t>
            </w:r>
            <w:r w:rsidRPr="00121548">
              <w:rPr>
                <w:rFonts w:ascii="Arial Narrow" w:hAnsi="Arial Narrow" w:cs="Arial"/>
                <w:sz w:val="20"/>
                <w:szCs w:val="20"/>
              </w:rPr>
              <w:t xml:space="preserve"> variations to development standards and requirements of Local Planning Scheme</w:t>
            </w:r>
            <w:r>
              <w:rPr>
                <w:rFonts w:ascii="Arial Narrow" w:hAnsi="Arial Narrow" w:cs="Arial"/>
                <w:sz w:val="20"/>
                <w:szCs w:val="20"/>
              </w:rPr>
              <w:t xml:space="preserve"> No. 3</w:t>
            </w:r>
            <w:r w:rsidRPr="00121548">
              <w:rPr>
                <w:rFonts w:ascii="Arial Narrow" w:hAnsi="Arial Narrow" w:cs="Arial"/>
                <w:sz w:val="20"/>
                <w:szCs w:val="20"/>
              </w:rPr>
              <w:t xml:space="preserve"> within the Town Centre Redevelopment Area</w:t>
            </w:r>
            <w:r>
              <w:rPr>
                <w:rFonts w:ascii="Arial Narrow" w:hAnsi="Arial Narrow" w:cs="Arial"/>
                <w:sz w:val="20"/>
                <w:szCs w:val="20"/>
              </w:rPr>
              <w:t>:</w:t>
            </w:r>
          </w:p>
          <w:p w14:paraId="2F012F8E" w14:textId="77777777" w:rsidR="001B5B0A" w:rsidRPr="00731EB4" w:rsidRDefault="001B5B0A" w:rsidP="006255F2">
            <w:pPr>
              <w:pStyle w:val="ListParagraph"/>
              <w:tabs>
                <w:tab w:val="left" w:pos="317"/>
              </w:tabs>
              <w:spacing w:before="60"/>
              <w:ind w:left="317" w:right="34" w:hanging="283"/>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731EB4">
              <w:rPr>
                <w:rFonts w:ascii="Arial Narrow" w:hAnsi="Arial Narrow" w:cs="Arial"/>
                <w:sz w:val="20"/>
                <w:szCs w:val="20"/>
              </w:rPr>
              <w:t xml:space="preserve">To support residential development in the Town Centre Zone exceeding R40 density </w:t>
            </w:r>
            <w:r w:rsidRPr="00860232">
              <w:rPr>
                <w:rFonts w:ascii="Arial Narrow" w:hAnsi="Arial Narrow" w:cs="Arial"/>
                <w:sz w:val="20"/>
                <w:szCs w:val="20"/>
              </w:rPr>
              <w:t>to R80-100</w:t>
            </w:r>
            <w:r>
              <w:rPr>
                <w:rFonts w:ascii="Arial Narrow" w:hAnsi="Arial Narrow" w:cs="Arial"/>
                <w:sz w:val="20"/>
                <w:szCs w:val="20"/>
              </w:rPr>
              <w:t xml:space="preserve"> </w:t>
            </w:r>
            <w:r w:rsidRPr="00731EB4">
              <w:rPr>
                <w:rFonts w:ascii="Arial Narrow" w:hAnsi="Arial Narrow" w:cs="Arial"/>
                <w:sz w:val="20"/>
                <w:szCs w:val="20"/>
              </w:rPr>
              <w:t>where the Town is satisfied that the resultant mix of development will be consistent with the planning proposals contained within the Local Planning Strategy and accord with any approved development plan for the centre and the requirements of this policy.</w:t>
            </w:r>
          </w:p>
          <w:p w14:paraId="5B8A2C55" w14:textId="77777777" w:rsidR="001B5B0A" w:rsidRDefault="001B5B0A" w:rsidP="006255F2">
            <w:pPr>
              <w:pStyle w:val="ListParagraph"/>
              <w:tabs>
                <w:tab w:val="left" w:pos="317"/>
              </w:tabs>
              <w:spacing w:before="60"/>
              <w:ind w:left="317" w:right="34" w:hanging="283"/>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C35731">
              <w:rPr>
                <w:rFonts w:ascii="Arial Narrow" w:hAnsi="Arial Narrow" w:cs="Arial"/>
                <w:sz w:val="20"/>
                <w:szCs w:val="20"/>
              </w:rPr>
              <w:t>Limit the overall mass of development to a plot</w:t>
            </w:r>
            <w:r>
              <w:rPr>
                <w:rFonts w:ascii="Arial Narrow" w:hAnsi="Arial Narrow" w:cs="Arial"/>
                <w:sz w:val="20"/>
                <w:szCs w:val="20"/>
              </w:rPr>
              <w:t xml:space="preserve"> </w:t>
            </w:r>
            <w:r w:rsidRPr="00C35731">
              <w:rPr>
                <w:rFonts w:ascii="Arial Narrow" w:hAnsi="Arial Narrow" w:cs="Arial"/>
                <w:sz w:val="20"/>
                <w:szCs w:val="20"/>
              </w:rPr>
              <w:t>ratio of</w:t>
            </w:r>
            <w:r>
              <w:rPr>
                <w:rFonts w:ascii="Arial Narrow" w:hAnsi="Arial Narrow" w:cs="Arial"/>
                <w:sz w:val="20"/>
                <w:szCs w:val="20"/>
              </w:rPr>
              <w:t>:</w:t>
            </w:r>
          </w:p>
          <w:p w14:paraId="5ED3993C" w14:textId="77777777" w:rsidR="001B5B0A" w:rsidRPr="00121548" w:rsidRDefault="001B5B0A" w:rsidP="00303E96">
            <w:pPr>
              <w:pStyle w:val="ListParagraph"/>
              <w:numPr>
                <w:ilvl w:val="0"/>
                <w:numId w:val="508"/>
              </w:numPr>
              <w:tabs>
                <w:tab w:val="left" w:pos="317"/>
              </w:tabs>
              <w:spacing w:before="60" w:after="0" w:line="240" w:lineRule="auto"/>
              <w:ind w:right="34"/>
              <w:jc w:val="both"/>
              <w:rPr>
                <w:rFonts w:ascii="Arial Narrow" w:hAnsi="Arial Narrow" w:cs="Arial"/>
                <w:sz w:val="20"/>
                <w:szCs w:val="20"/>
              </w:rPr>
            </w:pPr>
            <w:r w:rsidRPr="001E0E58">
              <w:rPr>
                <w:rFonts w:ascii="Arial Narrow" w:hAnsi="Arial Narrow" w:cs="Arial"/>
                <w:sz w:val="20"/>
                <w:szCs w:val="20"/>
              </w:rPr>
              <w:lastRenderedPageBreak/>
              <w:t xml:space="preserve">Town Centre Core Precinct - </w:t>
            </w:r>
            <w:r>
              <w:rPr>
                <w:rFonts w:ascii="Arial Narrow" w:hAnsi="Arial Narrow" w:cs="Arial"/>
                <w:sz w:val="20"/>
                <w:szCs w:val="20"/>
              </w:rPr>
              <w:t>3</w:t>
            </w:r>
            <w:r w:rsidRPr="002954E5">
              <w:rPr>
                <w:rFonts w:ascii="Arial Narrow" w:hAnsi="Arial Narrow" w:cs="Arial"/>
                <w:sz w:val="20"/>
                <w:szCs w:val="20"/>
              </w:rPr>
              <w:t>.5</w:t>
            </w:r>
            <w:r>
              <w:rPr>
                <w:rFonts w:ascii="Arial Narrow" w:hAnsi="Arial Narrow" w:cs="Arial"/>
                <w:sz w:val="20"/>
                <w:szCs w:val="20"/>
              </w:rPr>
              <w:t xml:space="preserve"> for land within the Town Centre </w:t>
            </w:r>
            <w:proofErr w:type="gramStart"/>
            <w:r>
              <w:rPr>
                <w:rFonts w:ascii="Arial Narrow" w:hAnsi="Arial Narrow" w:cs="Arial"/>
                <w:sz w:val="20"/>
                <w:szCs w:val="20"/>
              </w:rPr>
              <w:t>zone</w:t>
            </w:r>
            <w:r w:rsidRPr="001E0E58">
              <w:rPr>
                <w:rFonts w:ascii="Arial Narrow" w:hAnsi="Arial Narrow" w:cs="Arial"/>
                <w:sz w:val="20"/>
                <w:szCs w:val="20"/>
              </w:rPr>
              <w:t>;</w:t>
            </w:r>
            <w:proofErr w:type="gramEnd"/>
          </w:p>
          <w:p w14:paraId="76AA8343" w14:textId="77777777" w:rsidR="001B5B0A" w:rsidRPr="00121548" w:rsidRDefault="001B5B0A" w:rsidP="00303E96">
            <w:pPr>
              <w:pStyle w:val="ListParagraph"/>
              <w:numPr>
                <w:ilvl w:val="0"/>
                <w:numId w:val="508"/>
              </w:numPr>
              <w:tabs>
                <w:tab w:val="left" w:pos="317"/>
              </w:tabs>
              <w:spacing w:before="60" w:after="0" w:line="240" w:lineRule="auto"/>
              <w:ind w:right="34"/>
              <w:jc w:val="both"/>
              <w:rPr>
                <w:rFonts w:ascii="Arial Narrow" w:hAnsi="Arial Narrow" w:cs="Arial"/>
                <w:sz w:val="20"/>
                <w:szCs w:val="20"/>
              </w:rPr>
            </w:pPr>
            <w:r w:rsidRPr="00121548">
              <w:rPr>
                <w:rFonts w:ascii="Arial Narrow" w:hAnsi="Arial Narrow" w:cs="Arial"/>
                <w:sz w:val="20"/>
                <w:szCs w:val="20"/>
              </w:rPr>
              <w:t xml:space="preserve">Canning Highway Precinct - </w:t>
            </w:r>
            <w:r>
              <w:rPr>
                <w:rFonts w:ascii="Arial Narrow" w:hAnsi="Arial Narrow" w:cs="Arial"/>
                <w:sz w:val="20"/>
                <w:szCs w:val="20"/>
              </w:rPr>
              <w:t>3</w:t>
            </w:r>
            <w:r w:rsidRPr="00121548">
              <w:rPr>
                <w:rFonts w:ascii="Arial Narrow" w:hAnsi="Arial Narrow" w:cs="Arial"/>
                <w:sz w:val="20"/>
                <w:szCs w:val="20"/>
              </w:rPr>
              <w:t>.0</w:t>
            </w:r>
            <w:r>
              <w:rPr>
                <w:rFonts w:ascii="Arial Narrow" w:hAnsi="Arial Narrow" w:cs="Arial"/>
                <w:sz w:val="20"/>
                <w:szCs w:val="20"/>
              </w:rPr>
              <w:t xml:space="preserve"> for land within the Town Centre and </w:t>
            </w:r>
            <w:proofErr w:type="gramStart"/>
            <w:r>
              <w:rPr>
                <w:rFonts w:ascii="Arial Narrow" w:hAnsi="Arial Narrow" w:cs="Arial"/>
                <w:sz w:val="20"/>
                <w:szCs w:val="20"/>
              </w:rPr>
              <w:t>Mixed Use</w:t>
            </w:r>
            <w:proofErr w:type="gramEnd"/>
            <w:r>
              <w:rPr>
                <w:rFonts w:ascii="Arial Narrow" w:hAnsi="Arial Narrow" w:cs="Arial"/>
                <w:sz w:val="20"/>
                <w:szCs w:val="20"/>
              </w:rPr>
              <w:t xml:space="preserve"> zones*</w:t>
            </w:r>
            <w:r w:rsidRPr="00121548">
              <w:rPr>
                <w:rFonts w:ascii="Arial Narrow" w:hAnsi="Arial Narrow" w:cs="Arial"/>
                <w:sz w:val="20"/>
                <w:szCs w:val="20"/>
              </w:rPr>
              <w:t xml:space="preserve">; and </w:t>
            </w:r>
          </w:p>
          <w:p w14:paraId="067A93D6" w14:textId="77777777" w:rsidR="001B5B0A" w:rsidRPr="00ED6F85" w:rsidRDefault="001B5B0A" w:rsidP="00303E96">
            <w:pPr>
              <w:pStyle w:val="ListParagraph"/>
              <w:numPr>
                <w:ilvl w:val="0"/>
                <w:numId w:val="508"/>
              </w:numPr>
              <w:tabs>
                <w:tab w:val="left" w:pos="317"/>
              </w:tabs>
              <w:spacing w:before="60" w:after="0" w:line="240" w:lineRule="auto"/>
              <w:ind w:right="34"/>
              <w:jc w:val="both"/>
              <w:rPr>
                <w:rFonts w:ascii="Arial Narrow" w:hAnsi="Arial Narrow" w:cs="Arial"/>
                <w:sz w:val="20"/>
                <w:szCs w:val="20"/>
              </w:rPr>
            </w:pPr>
            <w:r w:rsidRPr="00121548">
              <w:rPr>
                <w:rFonts w:ascii="Arial Narrow" w:hAnsi="Arial Narrow" w:cs="Arial"/>
                <w:sz w:val="20"/>
                <w:szCs w:val="20"/>
              </w:rPr>
              <w:t xml:space="preserve">Frame Precinct </w:t>
            </w:r>
            <w:r>
              <w:rPr>
                <w:rFonts w:ascii="Arial Narrow" w:hAnsi="Arial Narrow" w:cs="Arial"/>
                <w:sz w:val="20"/>
                <w:szCs w:val="20"/>
              </w:rPr>
              <w:t>–</w:t>
            </w:r>
            <w:r w:rsidRPr="00121548">
              <w:rPr>
                <w:rFonts w:ascii="Arial Narrow" w:hAnsi="Arial Narrow" w:cs="Arial"/>
                <w:sz w:val="20"/>
                <w:szCs w:val="20"/>
              </w:rPr>
              <w:t xml:space="preserve"> </w:t>
            </w:r>
            <w:r>
              <w:rPr>
                <w:rFonts w:ascii="Arial Narrow" w:hAnsi="Arial Narrow" w:cs="Arial"/>
                <w:sz w:val="20"/>
                <w:szCs w:val="20"/>
              </w:rPr>
              <w:t>2.0 for land within the Town Centre zone**</w:t>
            </w:r>
            <w:r w:rsidRPr="00121548">
              <w:rPr>
                <w:rFonts w:ascii="Arial Narrow" w:hAnsi="Arial Narrow" w:cs="Arial"/>
                <w:sz w:val="20"/>
                <w:szCs w:val="20"/>
              </w:rPr>
              <w:t>.</w:t>
            </w:r>
          </w:p>
          <w:p w14:paraId="27861AD6" w14:textId="77777777" w:rsidR="001B5B0A" w:rsidRPr="00BF6F2C" w:rsidRDefault="001B5B0A" w:rsidP="006255F2">
            <w:pPr>
              <w:tabs>
                <w:tab w:val="left" w:pos="317"/>
              </w:tabs>
              <w:spacing w:before="60"/>
              <w:ind w:left="318" w:right="34"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Pr>
                <w:rFonts w:ascii="Arial Narrow" w:hAnsi="Arial Narrow" w:cs="Arial"/>
                <w:sz w:val="20"/>
                <w:szCs w:val="20"/>
              </w:rPr>
              <w:t>Irrespective of maximum building heights and minimum building setbacks permitted, the above plot ratio requirements are not to be exceeded.</w:t>
            </w:r>
          </w:p>
          <w:p w14:paraId="5EC05005" w14:textId="77777777" w:rsidR="001B5B0A" w:rsidRDefault="001B5B0A" w:rsidP="006255F2">
            <w:pPr>
              <w:pStyle w:val="ListParagraph"/>
              <w:tabs>
                <w:tab w:val="left" w:pos="317"/>
                <w:tab w:val="left" w:pos="448"/>
              </w:tabs>
              <w:spacing w:before="60"/>
              <w:ind w:left="317" w:right="34" w:hanging="283"/>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C35731">
              <w:rPr>
                <w:rFonts w:ascii="Arial Narrow" w:hAnsi="Arial Narrow" w:cs="Arial"/>
                <w:sz w:val="20"/>
                <w:szCs w:val="20"/>
              </w:rPr>
              <w:t xml:space="preserve">Limit the overall height of development to the heights as indicated in Plan </w:t>
            </w:r>
            <w:r>
              <w:rPr>
                <w:rFonts w:ascii="Arial Narrow" w:hAnsi="Arial Narrow" w:cs="Arial"/>
                <w:sz w:val="20"/>
                <w:szCs w:val="20"/>
              </w:rPr>
              <w:t>7 attached to this policy however</w:t>
            </w:r>
            <w:r w:rsidRPr="00C35731">
              <w:rPr>
                <w:rFonts w:ascii="Arial Narrow" w:hAnsi="Arial Narrow" w:cs="Arial"/>
                <w:sz w:val="20"/>
                <w:szCs w:val="20"/>
              </w:rPr>
              <w:t xml:space="preserve">, </w:t>
            </w:r>
            <w:r>
              <w:rPr>
                <w:rFonts w:ascii="Arial Narrow" w:hAnsi="Arial Narrow" w:cs="Arial"/>
                <w:sz w:val="20"/>
                <w:szCs w:val="20"/>
              </w:rPr>
              <w:t>consider additional height in the Town Centre Core and Canning Highway Precincts*</w:t>
            </w:r>
            <w:r w:rsidRPr="00C35731">
              <w:rPr>
                <w:rFonts w:ascii="Arial Narrow" w:hAnsi="Arial Narrow" w:cs="Arial"/>
                <w:sz w:val="20"/>
                <w:szCs w:val="20"/>
              </w:rPr>
              <w:t xml:space="preserve"> where the development provides significant public benefit (such as publicly accessible spaces, public car-parking, or activities that are deemed to be advantageous to the community or the </w:t>
            </w:r>
            <w:r>
              <w:rPr>
                <w:rFonts w:ascii="Arial Narrow" w:hAnsi="Arial Narrow" w:cs="Arial"/>
                <w:sz w:val="20"/>
                <w:szCs w:val="20"/>
              </w:rPr>
              <w:t>T</w:t>
            </w:r>
            <w:r w:rsidRPr="00C35731">
              <w:rPr>
                <w:rFonts w:ascii="Arial Narrow" w:hAnsi="Arial Narrow" w:cs="Arial"/>
                <w:sz w:val="20"/>
                <w:szCs w:val="20"/>
              </w:rPr>
              <w:t xml:space="preserve">own </w:t>
            </w:r>
            <w:r>
              <w:rPr>
                <w:rFonts w:ascii="Arial Narrow" w:hAnsi="Arial Narrow" w:cs="Arial"/>
                <w:sz w:val="20"/>
                <w:szCs w:val="20"/>
              </w:rPr>
              <w:t>C</w:t>
            </w:r>
            <w:r w:rsidRPr="00C35731">
              <w:rPr>
                <w:rFonts w:ascii="Arial Narrow" w:hAnsi="Arial Narrow" w:cs="Arial"/>
                <w:sz w:val="20"/>
                <w:szCs w:val="20"/>
              </w:rPr>
              <w:t>entre as a whole) where the additional height is set</w:t>
            </w:r>
            <w:r>
              <w:rPr>
                <w:rFonts w:ascii="Arial Narrow" w:hAnsi="Arial Narrow" w:cs="Arial"/>
                <w:sz w:val="20"/>
                <w:szCs w:val="20"/>
              </w:rPr>
              <w:t xml:space="preserve"> </w:t>
            </w:r>
            <w:r w:rsidRPr="00C35731">
              <w:rPr>
                <w:rFonts w:ascii="Arial Narrow" w:hAnsi="Arial Narrow" w:cs="Arial"/>
                <w:sz w:val="20"/>
                <w:szCs w:val="20"/>
              </w:rPr>
              <w:t xml:space="preserve">back </w:t>
            </w:r>
            <w:r>
              <w:rPr>
                <w:rFonts w:ascii="Arial Narrow" w:hAnsi="Arial Narrow" w:cs="Arial"/>
                <w:sz w:val="20"/>
                <w:szCs w:val="20"/>
              </w:rPr>
              <w:t xml:space="preserve">a minimum distance of 3 metres </w:t>
            </w:r>
            <w:r w:rsidRPr="00C35731">
              <w:rPr>
                <w:rFonts w:ascii="Arial Narrow" w:hAnsi="Arial Narrow" w:cs="Arial"/>
                <w:sz w:val="20"/>
                <w:szCs w:val="20"/>
              </w:rPr>
              <w:t>to avoid excessive overshadowing of adjacent properties</w:t>
            </w:r>
            <w:r>
              <w:rPr>
                <w:rFonts w:ascii="Arial Narrow" w:hAnsi="Arial Narrow" w:cs="Arial"/>
                <w:sz w:val="20"/>
                <w:szCs w:val="20"/>
              </w:rPr>
              <w:t>;</w:t>
            </w:r>
            <w:r w:rsidRPr="00C35731">
              <w:rPr>
                <w:rFonts w:ascii="Arial Narrow" w:hAnsi="Arial Narrow" w:cs="Arial"/>
                <w:sz w:val="20"/>
                <w:szCs w:val="20"/>
              </w:rPr>
              <w:t xml:space="preserve"> </w:t>
            </w:r>
            <w:r>
              <w:rPr>
                <w:rFonts w:ascii="Arial Narrow" w:hAnsi="Arial Narrow" w:cs="Arial"/>
                <w:sz w:val="20"/>
                <w:szCs w:val="20"/>
              </w:rPr>
              <w:t>does not adversely impact on adjoining and nearby heritage listed places; is</w:t>
            </w:r>
            <w:r w:rsidRPr="00C35731">
              <w:rPr>
                <w:rFonts w:ascii="Arial Narrow" w:hAnsi="Arial Narrow" w:cs="Arial"/>
                <w:sz w:val="20"/>
                <w:szCs w:val="20"/>
              </w:rPr>
              <w:t xml:space="preserve"> treated in a visually recessive manner to reduce its visual impact on the street</w:t>
            </w:r>
            <w:r>
              <w:rPr>
                <w:rFonts w:ascii="Arial Narrow" w:hAnsi="Arial Narrow" w:cs="Arial"/>
                <w:sz w:val="20"/>
                <w:szCs w:val="20"/>
              </w:rPr>
              <w:t>; and is of exemplary architectural design</w:t>
            </w:r>
            <w:r w:rsidRPr="00C35731">
              <w:rPr>
                <w:rFonts w:ascii="Arial Narrow" w:hAnsi="Arial Narrow" w:cs="Arial"/>
                <w:sz w:val="20"/>
                <w:szCs w:val="20"/>
              </w:rPr>
              <w:t>.</w:t>
            </w:r>
          </w:p>
          <w:p w14:paraId="12CAA636" w14:textId="77777777" w:rsidR="001B5B0A" w:rsidRPr="00C35731" w:rsidRDefault="001B5B0A" w:rsidP="006255F2">
            <w:pPr>
              <w:pStyle w:val="ListParagraph"/>
              <w:tabs>
                <w:tab w:val="left" w:pos="317"/>
                <w:tab w:val="left" w:pos="448"/>
              </w:tabs>
              <w:spacing w:before="60"/>
              <w:ind w:left="317" w:right="34" w:hanging="3"/>
              <w:jc w:val="both"/>
              <w:rPr>
                <w:rFonts w:ascii="Arial Narrow" w:hAnsi="Arial Narrow" w:cs="Arial"/>
                <w:b/>
                <w:i/>
                <w:sz w:val="20"/>
                <w:szCs w:val="20"/>
              </w:rPr>
            </w:pPr>
            <w:r w:rsidRPr="00BA3CEE">
              <w:rPr>
                <w:rFonts w:ascii="Arial Narrow" w:hAnsi="Arial Narrow" w:cs="Arial"/>
                <w:i/>
                <w:sz w:val="20"/>
                <w:szCs w:val="20"/>
              </w:rPr>
              <w:t xml:space="preserve">* Height maximum is inclusive of plant and external structures that occupy </w:t>
            </w:r>
            <w:proofErr w:type="gramStart"/>
            <w:r w:rsidRPr="00BA3CEE">
              <w:rPr>
                <w:rFonts w:ascii="Arial Narrow" w:hAnsi="Arial Narrow" w:cs="Arial"/>
                <w:i/>
                <w:sz w:val="20"/>
                <w:szCs w:val="20"/>
              </w:rPr>
              <w:t>in excess of</w:t>
            </w:r>
            <w:proofErr w:type="gramEnd"/>
            <w:r w:rsidRPr="00BA3CEE">
              <w:rPr>
                <w:rFonts w:ascii="Arial Narrow" w:hAnsi="Arial Narrow" w:cs="Arial"/>
                <w:i/>
                <w:sz w:val="20"/>
                <w:szCs w:val="20"/>
              </w:rPr>
              <w:t xml:space="preserve"> 20% of the roof area</w:t>
            </w:r>
            <w:r>
              <w:rPr>
                <w:rFonts w:ascii="Arial Narrow" w:hAnsi="Arial Narrow" w:cs="Arial"/>
                <w:i/>
                <w:sz w:val="20"/>
                <w:szCs w:val="20"/>
              </w:rPr>
              <w:t>.</w:t>
            </w:r>
          </w:p>
          <w:p w14:paraId="035729A8" w14:textId="77777777" w:rsidR="001B5B0A" w:rsidRDefault="001B5B0A" w:rsidP="006255F2">
            <w:pPr>
              <w:pStyle w:val="ListParagraph"/>
              <w:tabs>
                <w:tab w:val="left" w:pos="317"/>
                <w:tab w:val="left" w:pos="448"/>
                <w:tab w:val="left" w:pos="9072"/>
              </w:tabs>
              <w:spacing w:before="60"/>
              <w:ind w:left="317" w:right="34" w:hanging="283"/>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C35731">
              <w:rPr>
                <w:rFonts w:ascii="Arial Narrow" w:hAnsi="Arial Narrow" w:cs="Arial"/>
                <w:sz w:val="20"/>
                <w:szCs w:val="20"/>
              </w:rPr>
              <w:t xml:space="preserve">In addition to the overall height limits shown on Plan </w:t>
            </w:r>
            <w:r>
              <w:rPr>
                <w:rFonts w:ascii="Arial Narrow" w:hAnsi="Arial Narrow" w:cs="Arial"/>
                <w:sz w:val="20"/>
                <w:szCs w:val="20"/>
              </w:rPr>
              <w:t>7</w:t>
            </w:r>
            <w:r w:rsidRPr="00C35731">
              <w:rPr>
                <w:rFonts w:ascii="Arial Narrow" w:hAnsi="Arial Narrow" w:cs="Arial"/>
                <w:sz w:val="20"/>
                <w:szCs w:val="20"/>
              </w:rPr>
              <w:t xml:space="preserve">, limit the </w:t>
            </w:r>
            <w:r>
              <w:rPr>
                <w:rFonts w:ascii="Arial Narrow" w:hAnsi="Arial Narrow" w:cs="Arial"/>
                <w:sz w:val="20"/>
                <w:szCs w:val="20"/>
              </w:rPr>
              <w:t>‘</w:t>
            </w:r>
            <w:r w:rsidRPr="00C35731">
              <w:rPr>
                <w:rFonts w:ascii="Arial Narrow" w:hAnsi="Arial Narrow" w:cs="Arial"/>
                <w:sz w:val="20"/>
                <w:szCs w:val="20"/>
              </w:rPr>
              <w:t>street wall</w:t>
            </w:r>
            <w:r>
              <w:rPr>
                <w:rFonts w:ascii="Arial Narrow" w:hAnsi="Arial Narrow" w:cs="Arial"/>
                <w:sz w:val="20"/>
                <w:szCs w:val="20"/>
              </w:rPr>
              <w:t>’</w:t>
            </w:r>
            <w:r w:rsidRPr="00C35731">
              <w:rPr>
                <w:rFonts w:ascii="Arial Narrow" w:hAnsi="Arial Narrow" w:cs="Arial"/>
                <w:sz w:val="20"/>
                <w:szCs w:val="20"/>
              </w:rPr>
              <w:t xml:space="preserve"> height to</w:t>
            </w:r>
            <w:r>
              <w:rPr>
                <w:rFonts w:ascii="Arial Narrow" w:hAnsi="Arial Narrow" w:cs="Arial"/>
                <w:sz w:val="20"/>
                <w:szCs w:val="20"/>
              </w:rPr>
              <w:t>:</w:t>
            </w:r>
          </w:p>
          <w:p w14:paraId="41E5C2CF" w14:textId="77777777" w:rsidR="001B5B0A" w:rsidRDefault="001B5B0A" w:rsidP="00303E96">
            <w:pPr>
              <w:pStyle w:val="ListParagraph"/>
              <w:numPr>
                <w:ilvl w:val="0"/>
                <w:numId w:val="509"/>
              </w:numPr>
              <w:tabs>
                <w:tab w:val="left" w:pos="317"/>
                <w:tab w:val="left" w:pos="448"/>
                <w:tab w:val="left" w:pos="9072"/>
              </w:tabs>
              <w:spacing w:before="60"/>
              <w:ind w:right="34"/>
              <w:jc w:val="both"/>
              <w:rPr>
                <w:rFonts w:ascii="Arial Narrow" w:hAnsi="Arial Narrow" w:cs="Arial"/>
                <w:sz w:val="20"/>
                <w:szCs w:val="20"/>
              </w:rPr>
            </w:pPr>
            <w:r w:rsidRPr="00C35731">
              <w:rPr>
                <w:rFonts w:ascii="Arial Narrow" w:hAnsi="Arial Narrow" w:cs="Arial"/>
                <w:sz w:val="20"/>
                <w:szCs w:val="20"/>
              </w:rPr>
              <w:t xml:space="preserve">5 </w:t>
            </w:r>
            <w:proofErr w:type="spellStart"/>
            <w:r w:rsidRPr="00C35731">
              <w:rPr>
                <w:rFonts w:ascii="Arial Narrow" w:hAnsi="Arial Narrow" w:cs="Arial"/>
                <w:sz w:val="20"/>
                <w:szCs w:val="20"/>
              </w:rPr>
              <w:t>storeys</w:t>
            </w:r>
            <w:proofErr w:type="spellEnd"/>
            <w:r w:rsidRPr="00C35731">
              <w:rPr>
                <w:rFonts w:ascii="Arial Narrow" w:hAnsi="Arial Narrow" w:cs="Arial"/>
                <w:sz w:val="20"/>
                <w:szCs w:val="20"/>
              </w:rPr>
              <w:t xml:space="preserve"> in the Town </w:t>
            </w:r>
            <w:r>
              <w:rPr>
                <w:rFonts w:ascii="Arial Narrow" w:hAnsi="Arial Narrow" w:cs="Arial"/>
                <w:sz w:val="20"/>
                <w:szCs w:val="20"/>
              </w:rPr>
              <w:t>C</w:t>
            </w:r>
            <w:r w:rsidRPr="00C35731">
              <w:rPr>
                <w:rFonts w:ascii="Arial Narrow" w:hAnsi="Arial Narrow" w:cs="Arial"/>
                <w:sz w:val="20"/>
                <w:szCs w:val="20"/>
              </w:rPr>
              <w:t xml:space="preserve">entre </w:t>
            </w:r>
            <w:proofErr w:type="gramStart"/>
            <w:r w:rsidRPr="00C35731">
              <w:rPr>
                <w:rFonts w:ascii="Arial Narrow" w:hAnsi="Arial Narrow" w:cs="Arial"/>
                <w:sz w:val="20"/>
                <w:szCs w:val="20"/>
              </w:rPr>
              <w:t>core</w:t>
            </w:r>
            <w:r>
              <w:rPr>
                <w:rFonts w:ascii="Arial Narrow" w:hAnsi="Arial Narrow" w:cs="Arial"/>
                <w:sz w:val="20"/>
                <w:szCs w:val="20"/>
              </w:rPr>
              <w:t>;</w:t>
            </w:r>
            <w:proofErr w:type="gramEnd"/>
          </w:p>
          <w:p w14:paraId="266F628E" w14:textId="77777777" w:rsidR="001B5B0A" w:rsidRDefault="001B5B0A" w:rsidP="00303E96">
            <w:pPr>
              <w:pStyle w:val="ListParagraph"/>
              <w:numPr>
                <w:ilvl w:val="0"/>
                <w:numId w:val="509"/>
              </w:numPr>
              <w:tabs>
                <w:tab w:val="left" w:pos="317"/>
                <w:tab w:val="left" w:pos="448"/>
                <w:tab w:val="left" w:pos="9072"/>
              </w:tabs>
              <w:spacing w:before="60"/>
              <w:ind w:right="34"/>
              <w:jc w:val="both"/>
              <w:rPr>
                <w:rFonts w:ascii="Arial Narrow" w:hAnsi="Arial Narrow" w:cs="Arial"/>
                <w:sz w:val="20"/>
                <w:szCs w:val="20"/>
              </w:rPr>
            </w:pPr>
            <w:r w:rsidRPr="00C35731">
              <w:rPr>
                <w:rFonts w:ascii="Arial Narrow" w:hAnsi="Arial Narrow" w:cs="Arial"/>
                <w:sz w:val="20"/>
                <w:szCs w:val="20"/>
              </w:rPr>
              <w:t xml:space="preserve"> </w:t>
            </w:r>
            <w:r>
              <w:rPr>
                <w:rFonts w:ascii="Arial Narrow" w:hAnsi="Arial Narrow" w:cs="Arial"/>
                <w:sz w:val="20"/>
                <w:szCs w:val="20"/>
              </w:rPr>
              <w:t xml:space="preserve">3 </w:t>
            </w:r>
            <w:proofErr w:type="spellStart"/>
            <w:r>
              <w:rPr>
                <w:rFonts w:ascii="Arial Narrow" w:hAnsi="Arial Narrow" w:cs="Arial"/>
                <w:sz w:val="20"/>
                <w:szCs w:val="20"/>
              </w:rPr>
              <w:t>storeys</w:t>
            </w:r>
            <w:proofErr w:type="spellEnd"/>
            <w:r>
              <w:rPr>
                <w:rFonts w:ascii="Arial Narrow" w:hAnsi="Arial Narrow" w:cs="Arial"/>
                <w:sz w:val="20"/>
                <w:szCs w:val="20"/>
              </w:rPr>
              <w:t xml:space="preserve"> in the </w:t>
            </w:r>
            <w:r w:rsidRPr="00C35731">
              <w:rPr>
                <w:rFonts w:ascii="Arial Narrow" w:hAnsi="Arial Narrow" w:cs="Arial"/>
                <w:sz w:val="20"/>
                <w:szCs w:val="20"/>
              </w:rPr>
              <w:t xml:space="preserve">Canning Highway </w:t>
            </w:r>
            <w:r>
              <w:rPr>
                <w:rFonts w:ascii="Arial Narrow" w:hAnsi="Arial Narrow" w:cs="Arial"/>
                <w:sz w:val="20"/>
                <w:szCs w:val="20"/>
              </w:rPr>
              <w:t>P</w:t>
            </w:r>
            <w:r w:rsidRPr="00C35731">
              <w:rPr>
                <w:rFonts w:ascii="Arial Narrow" w:hAnsi="Arial Narrow" w:cs="Arial"/>
                <w:sz w:val="20"/>
                <w:szCs w:val="20"/>
              </w:rPr>
              <w:t xml:space="preserve">recinct, except for buildings in the ‘Town Hall Sensitivity Zone’ shown on Plan </w:t>
            </w:r>
            <w:r>
              <w:rPr>
                <w:rFonts w:ascii="Arial Narrow" w:hAnsi="Arial Narrow" w:cs="Arial"/>
                <w:sz w:val="20"/>
                <w:szCs w:val="20"/>
              </w:rPr>
              <w:t>7</w:t>
            </w:r>
            <w:r w:rsidRPr="00C35731">
              <w:rPr>
                <w:rFonts w:ascii="Arial Narrow" w:hAnsi="Arial Narrow" w:cs="Arial"/>
                <w:sz w:val="20"/>
                <w:szCs w:val="20"/>
              </w:rPr>
              <w:t xml:space="preserve">, where the height be no greater than the height of the </w:t>
            </w:r>
            <w:r>
              <w:rPr>
                <w:rFonts w:ascii="Arial Narrow" w:hAnsi="Arial Narrow" w:cs="Arial"/>
                <w:sz w:val="20"/>
                <w:szCs w:val="20"/>
              </w:rPr>
              <w:t>T</w:t>
            </w:r>
            <w:r w:rsidRPr="00C35731">
              <w:rPr>
                <w:rFonts w:ascii="Arial Narrow" w:hAnsi="Arial Narrow" w:cs="Arial"/>
                <w:sz w:val="20"/>
                <w:szCs w:val="20"/>
              </w:rPr>
              <w:t xml:space="preserve">own </w:t>
            </w:r>
            <w:r>
              <w:rPr>
                <w:rFonts w:ascii="Arial Narrow" w:hAnsi="Arial Narrow" w:cs="Arial"/>
                <w:sz w:val="20"/>
                <w:szCs w:val="20"/>
              </w:rPr>
              <w:t>H</w:t>
            </w:r>
            <w:r w:rsidRPr="00C35731">
              <w:rPr>
                <w:rFonts w:ascii="Arial Narrow" w:hAnsi="Arial Narrow" w:cs="Arial"/>
                <w:sz w:val="20"/>
                <w:szCs w:val="20"/>
              </w:rPr>
              <w:t xml:space="preserve">all parapet, with any further development above that height to be set back </w:t>
            </w:r>
            <w:r>
              <w:rPr>
                <w:rFonts w:ascii="Arial Narrow" w:hAnsi="Arial Narrow" w:cs="Arial"/>
                <w:sz w:val="20"/>
                <w:szCs w:val="20"/>
              </w:rPr>
              <w:t>a minimum of 3 metres and</w:t>
            </w:r>
            <w:r w:rsidRPr="00C35731">
              <w:rPr>
                <w:rFonts w:ascii="Arial Narrow" w:hAnsi="Arial Narrow" w:cs="Arial"/>
                <w:sz w:val="20"/>
                <w:szCs w:val="20"/>
              </w:rPr>
              <w:t xml:space="preserve"> treated in a visually recessive manner to reduce the apparent scale of the building. </w:t>
            </w:r>
          </w:p>
          <w:p w14:paraId="1A24B5E2" w14:textId="77777777" w:rsidR="001B5B0A" w:rsidRPr="00C35731" w:rsidRDefault="001B5B0A" w:rsidP="006255F2">
            <w:pPr>
              <w:pStyle w:val="ListParagraph"/>
              <w:tabs>
                <w:tab w:val="left" w:pos="317"/>
                <w:tab w:val="left" w:pos="448"/>
                <w:tab w:val="left" w:pos="9072"/>
              </w:tabs>
              <w:spacing w:before="60"/>
              <w:ind w:left="795" w:right="34"/>
              <w:jc w:val="both"/>
              <w:rPr>
                <w:rFonts w:ascii="Arial Narrow" w:hAnsi="Arial Narrow" w:cs="Arial"/>
                <w:sz w:val="20"/>
                <w:szCs w:val="20"/>
              </w:rPr>
            </w:pPr>
            <w:r>
              <w:rPr>
                <w:rFonts w:ascii="Arial Narrow" w:hAnsi="Arial Narrow" w:cs="Arial"/>
                <w:sz w:val="20"/>
                <w:szCs w:val="20"/>
              </w:rPr>
              <w:t>(</w:t>
            </w:r>
            <w:r w:rsidRPr="00C35731">
              <w:rPr>
                <w:rFonts w:ascii="Arial Narrow" w:hAnsi="Arial Narrow" w:cs="Arial"/>
                <w:sz w:val="20"/>
                <w:szCs w:val="20"/>
              </w:rPr>
              <w:t xml:space="preserve">Refer to diagram </w:t>
            </w:r>
            <w:r>
              <w:rPr>
                <w:rFonts w:ascii="Arial Narrow" w:hAnsi="Arial Narrow" w:cs="Arial"/>
                <w:sz w:val="20"/>
                <w:szCs w:val="20"/>
              </w:rPr>
              <w:t>‘</w:t>
            </w:r>
            <w:r w:rsidRPr="00C35731">
              <w:rPr>
                <w:rFonts w:ascii="Arial Narrow" w:hAnsi="Arial Narrow" w:cs="Arial"/>
                <w:sz w:val="20"/>
                <w:szCs w:val="20"/>
              </w:rPr>
              <w:t>A</w:t>
            </w:r>
            <w:r>
              <w:rPr>
                <w:rFonts w:ascii="Arial Narrow" w:hAnsi="Arial Narrow" w:cs="Arial"/>
                <w:sz w:val="20"/>
                <w:szCs w:val="20"/>
              </w:rPr>
              <w:t>’</w:t>
            </w:r>
            <w:r w:rsidRPr="00C35731">
              <w:rPr>
                <w:rFonts w:ascii="Arial Narrow" w:hAnsi="Arial Narrow" w:cs="Arial"/>
                <w:sz w:val="20"/>
                <w:szCs w:val="20"/>
              </w:rPr>
              <w:t>.</w:t>
            </w:r>
            <w:r>
              <w:rPr>
                <w:rFonts w:ascii="Arial Narrow" w:hAnsi="Arial Narrow" w:cs="Arial"/>
                <w:sz w:val="20"/>
                <w:szCs w:val="20"/>
              </w:rPr>
              <w:t>).</w:t>
            </w:r>
          </w:p>
          <w:p w14:paraId="0D625FD8" w14:textId="77777777" w:rsidR="001B5B0A" w:rsidRPr="00C35731" w:rsidRDefault="001B5B0A" w:rsidP="006255F2">
            <w:pPr>
              <w:pStyle w:val="ListParagraph"/>
              <w:tabs>
                <w:tab w:val="left" w:pos="317"/>
                <w:tab w:val="left" w:pos="448"/>
                <w:tab w:val="left" w:pos="9072"/>
              </w:tabs>
              <w:spacing w:before="60"/>
              <w:ind w:left="317" w:right="34" w:hanging="283"/>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E6228D">
              <w:rPr>
                <w:rFonts w:ascii="Arial Narrow" w:hAnsi="Arial Narrow" w:cs="Arial"/>
                <w:sz w:val="20"/>
                <w:szCs w:val="20"/>
              </w:rPr>
              <w:t xml:space="preserve">As indicated on Plan </w:t>
            </w:r>
            <w:r>
              <w:rPr>
                <w:rFonts w:ascii="Arial Narrow" w:hAnsi="Arial Narrow" w:cs="Arial"/>
                <w:sz w:val="20"/>
                <w:szCs w:val="20"/>
              </w:rPr>
              <w:t>7</w:t>
            </w:r>
            <w:r w:rsidRPr="00E6228D">
              <w:rPr>
                <w:rFonts w:ascii="Arial Narrow" w:hAnsi="Arial Narrow" w:cs="Arial"/>
                <w:sz w:val="20"/>
                <w:szCs w:val="20"/>
              </w:rPr>
              <w:t>, limit the overall height of buildings, in the Frame Precinct</w:t>
            </w:r>
            <w:r>
              <w:rPr>
                <w:rFonts w:ascii="Arial Narrow" w:hAnsi="Arial Narrow" w:cs="Arial"/>
                <w:sz w:val="20"/>
                <w:szCs w:val="20"/>
              </w:rPr>
              <w:t>**</w:t>
            </w:r>
            <w:r w:rsidRPr="00E6228D">
              <w:rPr>
                <w:rFonts w:ascii="Arial Narrow" w:hAnsi="Arial Narrow" w:cs="Arial"/>
                <w:sz w:val="20"/>
                <w:szCs w:val="20"/>
              </w:rPr>
              <w:t xml:space="preserve"> to 3 storeys.</w:t>
            </w:r>
          </w:p>
          <w:p w14:paraId="1203928D" w14:textId="77777777" w:rsidR="001B5B0A" w:rsidRDefault="001B5B0A" w:rsidP="006255F2">
            <w:pPr>
              <w:pStyle w:val="ListParagraph"/>
              <w:tabs>
                <w:tab w:val="left" w:pos="317"/>
                <w:tab w:val="left" w:pos="448"/>
                <w:tab w:val="left" w:pos="9072"/>
              </w:tabs>
              <w:spacing w:before="60" w:after="60"/>
              <w:ind w:left="317" w:right="34" w:hanging="283"/>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E6228D">
              <w:rPr>
                <w:rFonts w:ascii="Arial Narrow" w:hAnsi="Arial Narrow" w:cs="Arial"/>
                <w:sz w:val="20"/>
                <w:szCs w:val="20"/>
              </w:rPr>
              <w:t>In the Canning Highway and Frame Precincts</w:t>
            </w:r>
            <w:r>
              <w:rPr>
                <w:rFonts w:ascii="Arial Narrow" w:hAnsi="Arial Narrow" w:cs="Arial"/>
                <w:sz w:val="20"/>
                <w:szCs w:val="20"/>
              </w:rPr>
              <w:t>**,</w:t>
            </w:r>
            <w:r w:rsidRPr="00C35731">
              <w:rPr>
                <w:rFonts w:ascii="Arial Narrow" w:hAnsi="Arial Narrow" w:cs="Arial"/>
                <w:sz w:val="20"/>
                <w:szCs w:val="20"/>
              </w:rPr>
              <w:t xml:space="preserve"> development </w:t>
            </w:r>
            <w:r>
              <w:rPr>
                <w:rFonts w:ascii="Arial Narrow" w:hAnsi="Arial Narrow" w:cs="Arial"/>
                <w:sz w:val="20"/>
                <w:szCs w:val="20"/>
              </w:rPr>
              <w:t xml:space="preserve">is limited to 3 </w:t>
            </w:r>
            <w:proofErr w:type="spellStart"/>
            <w:r>
              <w:rPr>
                <w:rFonts w:ascii="Arial Narrow" w:hAnsi="Arial Narrow" w:cs="Arial"/>
                <w:sz w:val="20"/>
                <w:szCs w:val="20"/>
              </w:rPr>
              <w:t>storeys</w:t>
            </w:r>
            <w:proofErr w:type="spellEnd"/>
            <w:r>
              <w:rPr>
                <w:rFonts w:ascii="Arial Narrow" w:hAnsi="Arial Narrow" w:cs="Arial"/>
                <w:sz w:val="20"/>
                <w:szCs w:val="20"/>
              </w:rPr>
              <w:t xml:space="preserve"> within 12 metres of </w:t>
            </w:r>
            <w:r w:rsidRPr="00C35731">
              <w:rPr>
                <w:rFonts w:ascii="Arial Narrow" w:hAnsi="Arial Narrow" w:cs="Arial"/>
                <w:sz w:val="20"/>
                <w:szCs w:val="20"/>
              </w:rPr>
              <w:t>adjacent existing residences</w:t>
            </w:r>
            <w:r>
              <w:rPr>
                <w:rFonts w:ascii="Arial Narrow" w:hAnsi="Arial Narrow" w:cs="Arial"/>
                <w:sz w:val="20"/>
                <w:szCs w:val="20"/>
              </w:rPr>
              <w:t>.</w:t>
            </w:r>
          </w:p>
          <w:p w14:paraId="2E19DDBA" w14:textId="77777777" w:rsidR="001B5B0A" w:rsidRDefault="001B5B0A" w:rsidP="006255F2">
            <w:pPr>
              <w:pStyle w:val="ListParagraph"/>
              <w:tabs>
                <w:tab w:val="left" w:pos="317"/>
                <w:tab w:val="left" w:pos="448"/>
                <w:tab w:val="left" w:pos="9072"/>
              </w:tabs>
              <w:spacing w:before="60" w:after="60"/>
              <w:ind w:left="317" w:right="34" w:hanging="283"/>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860232">
              <w:rPr>
                <w:rFonts w:ascii="Arial Narrow" w:hAnsi="Arial Narrow" w:cs="Arial"/>
                <w:sz w:val="20"/>
                <w:szCs w:val="20"/>
              </w:rPr>
              <w:t>Unless otherwise stated in this Policy, a ‘storey’ has the same meaning as the R-Codes Vol.1 and Vol.2.</w:t>
            </w:r>
          </w:p>
          <w:p w14:paraId="315BEC62" w14:textId="77777777" w:rsidR="001B5B0A" w:rsidRPr="00FC6317" w:rsidRDefault="001B5B0A" w:rsidP="006255F2">
            <w:pPr>
              <w:pStyle w:val="ListParagraph"/>
              <w:tabs>
                <w:tab w:val="left" w:pos="317"/>
                <w:tab w:val="left" w:pos="448"/>
                <w:tab w:val="left" w:pos="9072"/>
              </w:tabs>
              <w:spacing w:before="60" w:after="60"/>
              <w:ind w:left="317" w:right="34" w:hanging="283"/>
              <w:jc w:val="both"/>
              <w:rPr>
                <w:rFonts w:ascii="Arial Narrow" w:hAnsi="Arial Narrow" w:cs="Arial"/>
                <w:sz w:val="20"/>
                <w:szCs w:val="20"/>
              </w:rPr>
            </w:pPr>
          </w:p>
          <w:p w14:paraId="2E882DD7" w14:textId="77777777" w:rsidR="001B5B0A" w:rsidRPr="009369DB" w:rsidRDefault="001B5B0A" w:rsidP="006255F2">
            <w:pPr>
              <w:pStyle w:val="ListParagraph"/>
              <w:tabs>
                <w:tab w:val="left" w:pos="317"/>
                <w:tab w:val="left" w:pos="448"/>
                <w:tab w:val="left" w:pos="9072"/>
              </w:tabs>
              <w:spacing w:before="60" w:after="60"/>
              <w:ind w:left="600" w:right="34" w:hanging="283"/>
              <w:jc w:val="both"/>
              <w:rPr>
                <w:rFonts w:ascii="Arial Narrow" w:hAnsi="Arial Narrow" w:cs="Arial"/>
                <w:i/>
                <w:iCs/>
                <w:sz w:val="20"/>
                <w:szCs w:val="20"/>
              </w:rPr>
            </w:pPr>
            <w:r w:rsidRPr="00B146DE">
              <w:rPr>
                <w:rFonts w:ascii="Arial Narrow" w:hAnsi="Arial Narrow" w:cs="Arial"/>
                <w:sz w:val="20"/>
                <w:szCs w:val="20"/>
              </w:rPr>
              <w:t xml:space="preserve">* </w:t>
            </w:r>
            <w:r w:rsidRPr="009369DB">
              <w:rPr>
                <w:rFonts w:ascii="Arial Narrow" w:hAnsi="Arial Narrow" w:cs="Arial"/>
                <w:i/>
                <w:iCs/>
                <w:sz w:val="20"/>
                <w:szCs w:val="20"/>
              </w:rPr>
              <w:t xml:space="preserve">Note that special development </w:t>
            </w:r>
            <w:r>
              <w:rPr>
                <w:rFonts w:ascii="Arial Narrow" w:hAnsi="Arial Narrow" w:cs="Arial"/>
                <w:i/>
                <w:iCs/>
                <w:sz w:val="20"/>
                <w:szCs w:val="20"/>
              </w:rPr>
              <w:t>provisions</w:t>
            </w:r>
            <w:r w:rsidRPr="009369DB">
              <w:rPr>
                <w:rFonts w:ascii="Arial Narrow" w:hAnsi="Arial Narrow" w:cs="Arial"/>
                <w:i/>
                <w:iCs/>
                <w:sz w:val="20"/>
                <w:szCs w:val="20"/>
              </w:rPr>
              <w:t xml:space="preserve"> apply to The Entrance (Roofing 2000) site (Lots 418 and 419 Canning Highway, Lot 81 St Peters Road and Lot 423 King Street). Refer to Clause 5.10, Clause 5.11 and Schedule 13 in Local Planning Scheme No. 3 (Amendment No. 14).</w:t>
            </w:r>
          </w:p>
          <w:p w14:paraId="39535A76" w14:textId="77777777" w:rsidR="001B5B0A" w:rsidRPr="009369DB" w:rsidRDefault="001B5B0A" w:rsidP="006255F2">
            <w:pPr>
              <w:pStyle w:val="ListParagraph"/>
              <w:tabs>
                <w:tab w:val="left" w:pos="317"/>
                <w:tab w:val="left" w:pos="448"/>
                <w:tab w:val="left" w:pos="9072"/>
              </w:tabs>
              <w:spacing w:before="60" w:after="60"/>
              <w:ind w:left="600" w:right="34" w:hanging="283"/>
              <w:jc w:val="both"/>
              <w:rPr>
                <w:rFonts w:ascii="Arial Narrow" w:hAnsi="Arial Narrow" w:cs="Arial"/>
                <w:i/>
                <w:iCs/>
                <w:sz w:val="20"/>
                <w:szCs w:val="20"/>
              </w:rPr>
            </w:pPr>
            <w:r w:rsidRPr="009369DB">
              <w:rPr>
                <w:rFonts w:ascii="Arial Narrow" w:hAnsi="Arial Narrow" w:cs="Arial"/>
                <w:i/>
                <w:iCs/>
                <w:sz w:val="20"/>
                <w:szCs w:val="20"/>
              </w:rPr>
              <w:lastRenderedPageBreak/>
              <w:t xml:space="preserve">** Note that special development requirements apply to the site on Canning Highway between East and Glyde Streets (Lots 14, 15, 16, 17 18 and 19). Refer </w:t>
            </w:r>
            <w:r>
              <w:rPr>
                <w:rFonts w:ascii="Arial Narrow" w:hAnsi="Arial Narrow" w:cs="Arial"/>
                <w:i/>
                <w:iCs/>
                <w:sz w:val="20"/>
                <w:szCs w:val="20"/>
              </w:rPr>
              <w:t>to</w:t>
            </w:r>
            <w:r w:rsidRPr="009369DB">
              <w:rPr>
                <w:rFonts w:ascii="Arial Narrow" w:hAnsi="Arial Narrow" w:cs="Arial"/>
                <w:i/>
                <w:iCs/>
                <w:sz w:val="20"/>
                <w:szCs w:val="20"/>
              </w:rPr>
              <w:t xml:space="preserve"> Schedule 2: Additional Use Sites and </w:t>
            </w:r>
            <w:r>
              <w:rPr>
                <w:rFonts w:ascii="Arial Narrow" w:hAnsi="Arial Narrow" w:cs="Arial"/>
                <w:i/>
                <w:iCs/>
                <w:sz w:val="20"/>
                <w:szCs w:val="20"/>
              </w:rPr>
              <w:t>R</w:t>
            </w:r>
            <w:r w:rsidRPr="009369DB">
              <w:rPr>
                <w:rFonts w:ascii="Arial Narrow" w:hAnsi="Arial Narrow" w:cs="Arial"/>
                <w:i/>
                <w:iCs/>
                <w:sz w:val="20"/>
                <w:szCs w:val="20"/>
              </w:rPr>
              <w:t>equirements of Local Planning Scheme No. 3</w:t>
            </w:r>
            <w:r>
              <w:rPr>
                <w:rFonts w:ascii="Arial Narrow" w:hAnsi="Arial Narrow" w:cs="Arial"/>
                <w:i/>
                <w:iCs/>
                <w:sz w:val="20"/>
                <w:szCs w:val="20"/>
              </w:rPr>
              <w:t>,</w:t>
            </w:r>
            <w:r w:rsidRPr="009369DB">
              <w:rPr>
                <w:rFonts w:ascii="Arial Narrow" w:hAnsi="Arial Narrow" w:cs="Arial"/>
                <w:i/>
                <w:iCs/>
                <w:sz w:val="20"/>
                <w:szCs w:val="20"/>
              </w:rPr>
              <w:t xml:space="preserve"> in relation to Additional Use A9 (Amendment No. 17).</w:t>
            </w:r>
          </w:p>
        </w:tc>
      </w:tr>
    </w:tbl>
    <w:p w14:paraId="2E532EF0" w14:textId="77777777" w:rsidR="001B5B0A" w:rsidRDefault="001B5B0A" w:rsidP="001B5B0A">
      <w:pPr>
        <w:ind w:left="1134"/>
        <w:jc w:val="center"/>
        <w:rPr>
          <w:rFonts w:cs="Arial"/>
          <w:b/>
          <w:sz w:val="20"/>
          <w:szCs w:val="20"/>
        </w:rPr>
      </w:pPr>
      <w:r>
        <w:rPr>
          <w:rFonts w:cs="Arial"/>
          <w:b/>
          <w:sz w:val="20"/>
          <w:szCs w:val="20"/>
        </w:rPr>
        <w:lastRenderedPageBreak/>
        <w:t>Diagram A</w:t>
      </w:r>
    </w:p>
    <w:p w14:paraId="483C75B8" w14:textId="77777777" w:rsidR="001B5B0A" w:rsidRDefault="001B5B0A" w:rsidP="001B5B0A">
      <w:pPr>
        <w:jc w:val="center"/>
        <w:rPr>
          <w:rFonts w:cs="Arial"/>
          <w:b/>
          <w:sz w:val="20"/>
          <w:szCs w:val="20"/>
        </w:rPr>
      </w:pPr>
      <w:r>
        <w:rPr>
          <w:rFonts w:cs="Arial"/>
          <w:b/>
          <w:noProof/>
          <w:sz w:val="20"/>
          <w:szCs w:val="20"/>
        </w:rPr>
        <w:drawing>
          <wp:inline distT="0" distB="0" distL="0" distR="0" wp14:anchorId="2983C7B7" wp14:editId="3F917D17">
            <wp:extent cx="4731026" cy="2157377"/>
            <wp:effectExtent l="0" t="0" r="0" b="0"/>
            <wp:docPr id="941963164" name="Picture 941963164" descr="A diagram of a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3164" name="Picture 941963164" descr="A diagram of a staircase&#10;&#10;Description automatically generated"/>
                    <pic:cNvPicPr>
                      <a:picLocks noChangeAspect="1" noChangeArrowheads="1"/>
                    </pic:cNvPicPr>
                  </pic:nvPicPr>
                  <pic:blipFill rotWithShape="1">
                    <a:blip r:embed="rId292">
                      <a:extLst>
                        <a:ext uri="{28A0092B-C50C-407E-A947-70E740481C1C}">
                          <a14:useLocalDpi xmlns:a14="http://schemas.microsoft.com/office/drawing/2010/main" val="0"/>
                        </a:ext>
                      </a:extLst>
                    </a:blip>
                    <a:srcRect b="6714"/>
                    <a:stretch/>
                  </pic:blipFill>
                  <pic:spPr bwMode="auto">
                    <a:xfrm>
                      <a:off x="0" y="0"/>
                      <a:ext cx="4772673" cy="2176368"/>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b/>
          <w:noProof/>
          <w:sz w:val="20"/>
          <w:szCs w:val="20"/>
        </w:rPr>
        <w:drawing>
          <wp:inline distT="0" distB="0" distL="0" distR="0" wp14:anchorId="4B78AB61" wp14:editId="6F5381C6">
            <wp:extent cx="4562069" cy="2655736"/>
            <wp:effectExtent l="0" t="0" r="0" b="0"/>
            <wp:docPr id="454563960" name="Picture 454563960" descr="A white building with a white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63960" name="Picture 454563960" descr="A white building with a white flag&#10;&#10;Description automatically generated with medium confidence"/>
                    <pic:cNvPicPr>
                      <a:picLocks noChangeAspect="1" noChangeArrowheads="1"/>
                    </pic:cNvPicPr>
                  </pic:nvPicPr>
                  <pic:blipFill rotWithShape="1">
                    <a:blip r:embed="rId293">
                      <a:extLst>
                        <a:ext uri="{28A0092B-C50C-407E-A947-70E740481C1C}">
                          <a14:useLocalDpi xmlns:a14="http://schemas.microsoft.com/office/drawing/2010/main" val="0"/>
                        </a:ext>
                      </a:extLst>
                    </a:blip>
                    <a:srcRect b="4606"/>
                    <a:stretch/>
                  </pic:blipFill>
                  <pic:spPr bwMode="auto">
                    <a:xfrm>
                      <a:off x="0" y="0"/>
                      <a:ext cx="4605709" cy="2681141"/>
                    </a:xfrm>
                    <a:prstGeom prst="rect">
                      <a:avLst/>
                    </a:prstGeom>
                    <a:noFill/>
                    <a:ln>
                      <a:noFill/>
                    </a:ln>
                    <a:extLst>
                      <a:ext uri="{53640926-AAD7-44D8-BBD7-CCE9431645EC}">
                        <a14:shadowObscured xmlns:a14="http://schemas.microsoft.com/office/drawing/2010/main"/>
                      </a:ext>
                    </a:extLst>
                  </pic:spPr>
                </pic:pic>
              </a:graphicData>
            </a:graphic>
          </wp:inline>
        </w:drawing>
      </w:r>
    </w:p>
    <w:p w14:paraId="527CE717" w14:textId="77777777" w:rsidR="001B5B0A" w:rsidRPr="004F586C" w:rsidRDefault="001B5B0A" w:rsidP="001B5B0A">
      <w:pPr>
        <w:spacing w:after="160" w:line="259" w:lineRule="auto"/>
        <w:rPr>
          <w:rFonts w:cs="Arial"/>
          <w:i/>
          <w:u w:val="single"/>
        </w:rPr>
      </w:pPr>
      <w:r w:rsidRPr="004F586C">
        <w:rPr>
          <w:rFonts w:cs="Arial"/>
          <w:i/>
          <w:u w:val="single"/>
        </w:rPr>
        <w:t>Element 4: Occupant Amenity</w:t>
      </w:r>
    </w:p>
    <w:p w14:paraId="1CBA2FA1" w14:textId="77777777" w:rsidR="001B5B0A" w:rsidRPr="004F586C" w:rsidRDefault="001B5B0A" w:rsidP="001B5B0A">
      <w:pPr>
        <w:spacing w:after="120"/>
        <w:jc w:val="both"/>
        <w:rPr>
          <w:rFonts w:cs="Arial"/>
        </w:rPr>
      </w:pPr>
      <w:r w:rsidRPr="004F586C">
        <w:rPr>
          <w:rFonts w:cs="Arial"/>
        </w:rPr>
        <w:t xml:space="preserve">Occupant amenity refers to the quality of experience enjoyed by residents and other building users within the </w:t>
      </w:r>
      <w:r>
        <w:rPr>
          <w:rFonts w:cs="Arial"/>
        </w:rPr>
        <w:t>T</w:t>
      </w:r>
      <w:r w:rsidRPr="004F586C">
        <w:rPr>
          <w:rFonts w:cs="Arial"/>
        </w:rPr>
        <w:t xml:space="preserve">own </w:t>
      </w:r>
      <w:r>
        <w:rPr>
          <w:rFonts w:cs="Arial"/>
        </w:rPr>
        <w:t>C</w:t>
      </w:r>
      <w:r w:rsidRPr="004F586C">
        <w:rPr>
          <w:rFonts w:cs="Arial"/>
        </w:rPr>
        <w:t>entre</w:t>
      </w:r>
      <w:r>
        <w:rPr>
          <w:rFonts w:cs="Arial"/>
        </w:rPr>
        <w:t xml:space="preserve"> Redevelopment Area</w:t>
      </w:r>
      <w:r w:rsidRPr="004F586C">
        <w:rPr>
          <w:rFonts w:cs="Arial"/>
        </w:rPr>
        <w:t xml:space="preserve">. </w:t>
      </w:r>
    </w:p>
    <w:p w14:paraId="2DC1F7E6" w14:textId="77777777" w:rsidR="001B5B0A" w:rsidRPr="004F586C" w:rsidRDefault="001B5B0A" w:rsidP="001B5B0A">
      <w:pPr>
        <w:spacing w:after="120"/>
        <w:jc w:val="both"/>
        <w:rPr>
          <w:rFonts w:cs="Arial"/>
        </w:rPr>
      </w:pPr>
      <w:proofErr w:type="gramStart"/>
      <w:r w:rsidRPr="004F586C">
        <w:rPr>
          <w:rFonts w:cs="Arial"/>
        </w:rPr>
        <w:t>In regard to</w:t>
      </w:r>
      <w:proofErr w:type="gramEnd"/>
      <w:r w:rsidRPr="004F586C">
        <w:rPr>
          <w:rFonts w:cs="Arial"/>
        </w:rPr>
        <w:t xml:space="preserve"> occupant amenity, the policy objectives are: </w:t>
      </w:r>
    </w:p>
    <w:p w14:paraId="0550062E" w14:textId="77777777" w:rsidR="001B5B0A" w:rsidRPr="004F586C" w:rsidRDefault="001B5B0A" w:rsidP="001B5B0A">
      <w:pPr>
        <w:spacing w:before="120" w:after="120"/>
        <w:ind w:left="426" w:hanging="426"/>
        <w:jc w:val="both"/>
        <w:rPr>
          <w:rFonts w:cs="Arial"/>
        </w:rPr>
      </w:pPr>
      <w:r w:rsidRPr="004F586C">
        <w:rPr>
          <w:rFonts w:cs="Arial"/>
        </w:rPr>
        <w:t>-</w:t>
      </w:r>
      <w:r w:rsidRPr="004F586C">
        <w:rPr>
          <w:rFonts w:cs="Arial"/>
        </w:rPr>
        <w:tab/>
        <w:t xml:space="preserve">To recognise that urban living is a different experience from suburban living and that the aspirations of suburban dwellers for quiet, privacy and solitude cannot be applied to the same extent to urban dwellers. </w:t>
      </w:r>
    </w:p>
    <w:p w14:paraId="6A09BB18" w14:textId="77777777" w:rsidR="001B5B0A" w:rsidRDefault="001B5B0A" w:rsidP="001B5B0A">
      <w:pPr>
        <w:spacing w:before="120"/>
        <w:ind w:left="426" w:hanging="426"/>
        <w:jc w:val="both"/>
        <w:rPr>
          <w:rFonts w:cs="Arial"/>
        </w:rPr>
      </w:pPr>
      <w:r w:rsidRPr="004F586C">
        <w:rPr>
          <w:rFonts w:cs="Arial"/>
        </w:rPr>
        <w:lastRenderedPageBreak/>
        <w:t>-</w:t>
      </w:r>
      <w:r w:rsidRPr="004F586C">
        <w:rPr>
          <w:rFonts w:cs="Arial"/>
        </w:rPr>
        <w:tab/>
        <w:t xml:space="preserve">To provide a reasonable and appropriate degree of noise insulation and privacy for residents within the </w:t>
      </w:r>
      <w:r>
        <w:rPr>
          <w:rFonts w:cs="Arial"/>
        </w:rPr>
        <w:t>Town C</w:t>
      </w:r>
      <w:r w:rsidRPr="004F586C">
        <w:rPr>
          <w:rFonts w:cs="Arial"/>
        </w:rPr>
        <w:t>entre</w:t>
      </w:r>
      <w:r>
        <w:rPr>
          <w:rFonts w:cs="Arial"/>
        </w:rPr>
        <w:t xml:space="preserve"> Redevelopment Area</w:t>
      </w:r>
      <w:r w:rsidRPr="004F586C">
        <w:rPr>
          <w:rFonts w:cs="Arial"/>
        </w:rPr>
        <w:t>.</w:t>
      </w:r>
    </w:p>
    <w:p w14:paraId="125B8441" w14:textId="77777777" w:rsidR="001B5B0A" w:rsidRPr="00B46E63" w:rsidRDefault="001B5B0A" w:rsidP="001B5B0A">
      <w:pPr>
        <w:spacing w:before="120"/>
        <w:ind w:left="426" w:hanging="426"/>
        <w:jc w:val="both"/>
        <w:rPr>
          <w:rFonts w:cs="Arial"/>
        </w:rPr>
      </w:pPr>
      <w:r w:rsidRPr="004F586C">
        <w:rPr>
          <w:rFonts w:cs="Arial"/>
        </w:rPr>
        <w:t>-</w:t>
      </w:r>
      <w:r w:rsidRPr="004F586C">
        <w:rPr>
          <w:rFonts w:cs="Arial"/>
        </w:rPr>
        <w:tab/>
        <w:t xml:space="preserve">To </w:t>
      </w:r>
      <w:r w:rsidRPr="00B46E63">
        <w:rPr>
          <w:rFonts w:cs="Arial"/>
        </w:rPr>
        <w:t>address the requirements of WAPC State Planning Policy 5.4: Road and Rail Noise.</w:t>
      </w:r>
    </w:p>
    <w:p w14:paraId="5BED60BE" w14:textId="77777777" w:rsidR="001B5B0A" w:rsidRPr="00B46E63" w:rsidRDefault="001B5B0A" w:rsidP="001B5B0A">
      <w:pPr>
        <w:spacing w:before="120"/>
        <w:ind w:left="426" w:hanging="426"/>
        <w:jc w:val="both"/>
        <w:rPr>
          <w:rFonts w:cs="Arial"/>
        </w:rPr>
      </w:pPr>
      <w:r w:rsidRPr="00B46E63">
        <w:rPr>
          <w:rFonts w:cs="Arial"/>
        </w:rPr>
        <w:t>-</w:t>
      </w:r>
      <w:r w:rsidRPr="00B46E63">
        <w:rPr>
          <w:rFonts w:cs="Arial"/>
        </w:rPr>
        <w:tab/>
        <w:t>To include the Fremantle Port Buffer Development Guidelines established by Fremantle Ports for land use planning around the Inner Harbour, where applicable.</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565"/>
        <w:gridCol w:w="4791"/>
      </w:tblGrid>
      <w:tr w:rsidR="001B5B0A" w:rsidRPr="00727319" w14:paraId="73D646B9" w14:textId="77777777" w:rsidTr="00A778B9">
        <w:tc>
          <w:tcPr>
            <w:tcW w:w="4565" w:type="dxa"/>
            <w:shd w:val="solid" w:color="D9D9D9" w:fill="auto"/>
          </w:tcPr>
          <w:p w14:paraId="3CA53C87" w14:textId="77777777" w:rsidR="001B5B0A" w:rsidRPr="00727319" w:rsidRDefault="001B5B0A" w:rsidP="006255F2">
            <w:pPr>
              <w:tabs>
                <w:tab w:val="left" w:pos="0"/>
              </w:tabs>
              <w:spacing w:before="60" w:after="60"/>
              <w:ind w:left="318" w:right="-46" w:hanging="284"/>
              <w:jc w:val="both"/>
              <w:rPr>
                <w:rFonts w:ascii="Arial Narrow" w:hAnsi="Arial Narrow" w:cs="Arial"/>
                <w:b/>
                <w:sz w:val="20"/>
                <w:szCs w:val="20"/>
              </w:rPr>
            </w:pPr>
            <w:r>
              <w:rPr>
                <w:rFonts w:ascii="Arial Narrow" w:hAnsi="Arial Narrow" w:cs="Arial"/>
                <w:b/>
                <w:sz w:val="20"/>
                <w:szCs w:val="20"/>
              </w:rPr>
              <w:t>Element Objective</w:t>
            </w:r>
          </w:p>
          <w:p w14:paraId="2A0FE947" w14:textId="77777777" w:rsidR="001B5B0A" w:rsidRPr="00727319" w:rsidRDefault="001B5B0A" w:rsidP="006255F2">
            <w:pPr>
              <w:tabs>
                <w:tab w:val="left" w:pos="0"/>
              </w:tabs>
              <w:spacing w:before="60" w:after="60"/>
              <w:ind w:left="34" w:right="-46"/>
              <w:jc w:val="both"/>
              <w:rPr>
                <w:rFonts w:ascii="Arial Narrow" w:hAnsi="Arial Narrow" w:cs="Arial"/>
                <w:i/>
                <w:sz w:val="20"/>
                <w:szCs w:val="20"/>
              </w:rPr>
            </w:pPr>
            <w:r>
              <w:rPr>
                <w:rFonts w:ascii="Arial Narrow" w:hAnsi="Arial Narrow" w:cs="Arial"/>
                <w:i/>
                <w:sz w:val="20"/>
                <w:szCs w:val="20"/>
              </w:rPr>
              <w:t>D</w:t>
            </w:r>
            <w:r w:rsidRPr="00727319">
              <w:rPr>
                <w:rFonts w:ascii="Arial Narrow" w:hAnsi="Arial Narrow" w:cs="Arial"/>
                <w:i/>
                <w:sz w:val="20"/>
                <w:szCs w:val="20"/>
              </w:rPr>
              <w:t>evelopment should meet these criteria.</w:t>
            </w:r>
          </w:p>
        </w:tc>
        <w:tc>
          <w:tcPr>
            <w:tcW w:w="4791" w:type="dxa"/>
            <w:shd w:val="solid" w:color="D9D9D9" w:fill="auto"/>
          </w:tcPr>
          <w:p w14:paraId="3F75014A" w14:textId="77777777" w:rsidR="001B5B0A" w:rsidRPr="00727319" w:rsidRDefault="001B5B0A" w:rsidP="006255F2">
            <w:pPr>
              <w:spacing w:before="60" w:after="60"/>
              <w:ind w:left="176" w:right="-46" w:hanging="142"/>
              <w:jc w:val="both"/>
              <w:rPr>
                <w:rFonts w:ascii="Arial Narrow" w:hAnsi="Arial Narrow" w:cs="Arial"/>
                <w:b/>
                <w:sz w:val="20"/>
                <w:szCs w:val="20"/>
              </w:rPr>
            </w:pPr>
            <w:r w:rsidRPr="00727319">
              <w:rPr>
                <w:rFonts w:ascii="Arial Narrow" w:hAnsi="Arial Narrow" w:cs="Arial"/>
                <w:b/>
                <w:sz w:val="20"/>
                <w:szCs w:val="20"/>
              </w:rPr>
              <w:t xml:space="preserve">Acceptable </w:t>
            </w:r>
            <w:r>
              <w:rPr>
                <w:rFonts w:ascii="Arial Narrow" w:hAnsi="Arial Narrow" w:cs="Arial"/>
                <w:b/>
                <w:sz w:val="20"/>
                <w:szCs w:val="20"/>
              </w:rPr>
              <w:t>Outcomes</w:t>
            </w:r>
          </w:p>
          <w:p w14:paraId="06BF4C14" w14:textId="77777777" w:rsidR="001B5B0A" w:rsidRPr="00727319" w:rsidRDefault="001B5B0A" w:rsidP="006255F2">
            <w:pPr>
              <w:spacing w:before="60" w:after="60"/>
              <w:ind w:left="34" w:right="-46"/>
              <w:jc w:val="both"/>
              <w:rPr>
                <w:rFonts w:ascii="Arial Narrow" w:hAnsi="Arial Narrow" w:cs="Arial"/>
                <w:i/>
                <w:sz w:val="20"/>
                <w:szCs w:val="20"/>
              </w:rPr>
            </w:pPr>
            <w:r w:rsidRPr="00727319">
              <w:rPr>
                <w:rFonts w:ascii="Arial Narrow" w:hAnsi="Arial Narrow" w:cs="Arial"/>
                <w:i/>
                <w:sz w:val="20"/>
                <w:szCs w:val="20"/>
              </w:rPr>
              <w:t xml:space="preserve">The acceptable </w:t>
            </w:r>
            <w:r>
              <w:rPr>
                <w:rFonts w:ascii="Arial Narrow" w:hAnsi="Arial Narrow" w:cs="Arial"/>
                <w:i/>
                <w:sz w:val="20"/>
                <w:szCs w:val="20"/>
              </w:rPr>
              <w:t>outcomes</w:t>
            </w:r>
            <w:r w:rsidRPr="00727319">
              <w:rPr>
                <w:rFonts w:ascii="Arial Narrow" w:hAnsi="Arial Narrow" w:cs="Arial"/>
                <w:i/>
                <w:sz w:val="20"/>
                <w:szCs w:val="20"/>
              </w:rPr>
              <w:t xml:space="preserve"> are ways of meeting the </w:t>
            </w:r>
            <w:r>
              <w:rPr>
                <w:rFonts w:ascii="Arial Narrow" w:hAnsi="Arial Narrow" w:cs="Arial"/>
                <w:i/>
                <w:sz w:val="20"/>
                <w:szCs w:val="20"/>
              </w:rPr>
              <w:t>element objective</w:t>
            </w:r>
          </w:p>
        </w:tc>
      </w:tr>
      <w:tr w:rsidR="001B5B0A" w:rsidRPr="00727319" w14:paraId="568C99EB" w14:textId="77777777" w:rsidTr="00A778B9">
        <w:tc>
          <w:tcPr>
            <w:tcW w:w="4565" w:type="dxa"/>
          </w:tcPr>
          <w:p w14:paraId="7E640E88" w14:textId="77777777" w:rsidR="001B5B0A" w:rsidRPr="00727319" w:rsidRDefault="001B5B0A" w:rsidP="006255F2">
            <w:pPr>
              <w:tabs>
                <w:tab w:val="left" w:pos="0"/>
              </w:tabs>
              <w:spacing w:before="60"/>
              <w:ind w:left="34" w:right="33"/>
              <w:jc w:val="both"/>
              <w:rPr>
                <w:rFonts w:ascii="Arial Narrow" w:hAnsi="Arial Narrow" w:cs="Arial"/>
                <w:sz w:val="20"/>
                <w:szCs w:val="20"/>
              </w:rPr>
            </w:pPr>
            <w:r w:rsidRPr="00727319">
              <w:rPr>
                <w:rFonts w:ascii="Arial Narrow" w:hAnsi="Arial Narrow" w:cs="Arial"/>
                <w:sz w:val="20"/>
                <w:szCs w:val="20"/>
              </w:rPr>
              <w:t xml:space="preserve">To ensure a reasonable level of occupant amenity within the </w:t>
            </w:r>
            <w:r>
              <w:rPr>
                <w:rFonts w:ascii="Arial Narrow" w:hAnsi="Arial Narrow" w:cs="Arial"/>
                <w:sz w:val="20"/>
                <w:szCs w:val="20"/>
              </w:rPr>
              <w:t>T</w:t>
            </w:r>
            <w:r w:rsidRPr="00727319">
              <w:rPr>
                <w:rFonts w:ascii="Arial Narrow" w:hAnsi="Arial Narrow" w:cs="Arial"/>
                <w:sz w:val="20"/>
                <w:szCs w:val="20"/>
              </w:rPr>
              <w:t xml:space="preserve">own </w:t>
            </w:r>
            <w:r>
              <w:rPr>
                <w:rFonts w:ascii="Arial Narrow" w:hAnsi="Arial Narrow" w:cs="Arial"/>
                <w:sz w:val="20"/>
                <w:szCs w:val="20"/>
              </w:rPr>
              <w:t>C</w:t>
            </w:r>
            <w:r w:rsidRPr="00727319">
              <w:rPr>
                <w:rFonts w:ascii="Arial Narrow" w:hAnsi="Arial Narrow" w:cs="Arial"/>
                <w:sz w:val="20"/>
                <w:szCs w:val="20"/>
              </w:rPr>
              <w:t>entre</w:t>
            </w:r>
            <w:r>
              <w:rPr>
                <w:rFonts w:ascii="Arial Narrow" w:hAnsi="Arial Narrow" w:cs="Arial"/>
                <w:sz w:val="20"/>
                <w:szCs w:val="20"/>
              </w:rPr>
              <w:t xml:space="preserve"> Redevelopment Area</w:t>
            </w:r>
            <w:r w:rsidRPr="00727319">
              <w:rPr>
                <w:rFonts w:ascii="Arial Narrow" w:hAnsi="Arial Narrow" w:cs="Arial"/>
                <w:sz w:val="20"/>
                <w:szCs w:val="20"/>
              </w:rPr>
              <w:t xml:space="preserve">, development </w:t>
            </w:r>
            <w:r>
              <w:rPr>
                <w:rFonts w:ascii="Arial Narrow" w:hAnsi="Arial Narrow" w:cs="Arial"/>
                <w:sz w:val="20"/>
                <w:szCs w:val="20"/>
              </w:rPr>
              <w:t>is to</w:t>
            </w:r>
            <w:r w:rsidRPr="00727319">
              <w:rPr>
                <w:rFonts w:ascii="Arial Narrow" w:hAnsi="Arial Narrow" w:cs="Arial"/>
                <w:sz w:val="20"/>
                <w:szCs w:val="20"/>
              </w:rPr>
              <w:t>:</w:t>
            </w:r>
          </w:p>
          <w:p w14:paraId="5F8E63D3" w14:textId="77777777" w:rsidR="001B5B0A" w:rsidRPr="00727319" w:rsidRDefault="001B5B0A" w:rsidP="006255F2">
            <w:pPr>
              <w:pStyle w:val="NoSpacing"/>
              <w:tabs>
                <w:tab w:val="left" w:pos="5103"/>
              </w:tabs>
              <w:spacing w:before="60"/>
              <w:ind w:left="318" w:right="33" w:hanging="284"/>
              <w:jc w:val="both"/>
              <w:rPr>
                <w:rFonts w:ascii="Arial Narrow" w:hAnsi="Arial Narrow" w:cs="Arial"/>
                <w:sz w:val="20"/>
                <w:szCs w:val="20"/>
                <w:lang w:val="en-AU" w:eastAsia="en-AU"/>
              </w:rPr>
            </w:pPr>
            <w:r w:rsidRPr="00C35731">
              <w:rPr>
                <w:rFonts w:ascii="Arial Narrow" w:hAnsi="Arial Narrow" w:cs="Arial"/>
                <w:b/>
                <w:sz w:val="20"/>
                <w:szCs w:val="20"/>
              </w:rPr>
              <w:t>..</w:t>
            </w:r>
            <w:r w:rsidRPr="00C35731">
              <w:rPr>
                <w:rFonts w:ascii="Arial Narrow" w:hAnsi="Arial Narrow" w:cs="Arial"/>
                <w:b/>
                <w:sz w:val="20"/>
                <w:szCs w:val="20"/>
              </w:rPr>
              <w:tab/>
            </w:r>
            <w:r w:rsidRPr="00727319">
              <w:rPr>
                <w:rFonts w:ascii="Arial Narrow" w:hAnsi="Arial Narrow" w:cs="Arial"/>
                <w:sz w:val="20"/>
                <w:szCs w:val="20"/>
              </w:rPr>
              <w:t>En</w:t>
            </w:r>
            <w:r w:rsidRPr="00727319">
              <w:rPr>
                <w:rFonts w:ascii="Arial Narrow" w:hAnsi="Arial Narrow" w:cs="Arial"/>
                <w:sz w:val="20"/>
                <w:szCs w:val="20"/>
                <w:lang w:val="en-AU" w:eastAsia="en-AU"/>
              </w:rPr>
              <w:t>sure that all buildings promote a high standard of living and workplace for occupants to maintain the option of urban living or working as a desirable choice.</w:t>
            </w:r>
          </w:p>
          <w:p w14:paraId="74988F8F" w14:textId="77777777" w:rsidR="001B5B0A" w:rsidRPr="00727319" w:rsidRDefault="001B5B0A" w:rsidP="006255F2">
            <w:pPr>
              <w:pStyle w:val="NoSpacing"/>
              <w:tabs>
                <w:tab w:val="left" w:pos="5103"/>
              </w:tabs>
              <w:spacing w:before="60"/>
              <w:ind w:left="318" w:right="33" w:hanging="284"/>
              <w:jc w:val="both"/>
              <w:rPr>
                <w:rFonts w:ascii="Arial Narrow" w:hAnsi="Arial Narrow" w:cs="Arial"/>
                <w:sz w:val="20"/>
                <w:szCs w:val="20"/>
                <w:lang w:val="en-AU" w:eastAsia="en-AU"/>
              </w:rPr>
            </w:pPr>
            <w:r w:rsidRPr="00C35731">
              <w:rPr>
                <w:rFonts w:ascii="Arial Narrow" w:hAnsi="Arial Narrow" w:cs="Arial"/>
                <w:b/>
                <w:sz w:val="20"/>
                <w:szCs w:val="20"/>
              </w:rPr>
              <w:t>..</w:t>
            </w:r>
            <w:r w:rsidRPr="00C35731">
              <w:rPr>
                <w:rFonts w:ascii="Arial Narrow" w:hAnsi="Arial Narrow" w:cs="Arial"/>
                <w:b/>
                <w:sz w:val="20"/>
                <w:szCs w:val="20"/>
              </w:rPr>
              <w:tab/>
            </w:r>
            <w:r w:rsidRPr="00727319">
              <w:rPr>
                <w:rFonts w:ascii="Arial Narrow" w:hAnsi="Arial Narrow" w:cs="Arial"/>
                <w:sz w:val="20"/>
                <w:szCs w:val="20"/>
                <w:lang w:val="en-AU" w:eastAsia="en-AU"/>
              </w:rPr>
              <w:t>Provide reasonable access to natural light, natural ventilation and sunlight wherever possible to reduce energy consumption and increase the quality of the occupant experience.</w:t>
            </w:r>
          </w:p>
          <w:p w14:paraId="1BC84F19" w14:textId="77777777" w:rsidR="001B5B0A" w:rsidRPr="00727319" w:rsidRDefault="001B5B0A" w:rsidP="006255F2">
            <w:pPr>
              <w:pStyle w:val="NoSpacing"/>
              <w:tabs>
                <w:tab w:val="left" w:pos="5103"/>
              </w:tabs>
              <w:spacing w:before="60"/>
              <w:ind w:left="318" w:right="33" w:hanging="284"/>
              <w:jc w:val="both"/>
              <w:rPr>
                <w:rFonts w:ascii="Arial Narrow" w:hAnsi="Arial Narrow" w:cs="Arial"/>
                <w:sz w:val="20"/>
                <w:szCs w:val="20"/>
                <w:lang w:val="en-AU" w:eastAsia="en-AU"/>
              </w:rPr>
            </w:pPr>
            <w:r w:rsidRPr="00C35731">
              <w:rPr>
                <w:rFonts w:ascii="Arial Narrow" w:hAnsi="Arial Narrow" w:cs="Arial"/>
                <w:b/>
                <w:sz w:val="20"/>
                <w:szCs w:val="20"/>
              </w:rPr>
              <w:t>..</w:t>
            </w:r>
            <w:r w:rsidRPr="00C35731">
              <w:rPr>
                <w:rFonts w:ascii="Arial Narrow" w:hAnsi="Arial Narrow" w:cs="Arial"/>
                <w:b/>
                <w:sz w:val="20"/>
                <w:szCs w:val="20"/>
              </w:rPr>
              <w:tab/>
            </w:r>
            <w:r w:rsidRPr="00727319">
              <w:rPr>
                <w:rFonts w:ascii="Arial Narrow" w:hAnsi="Arial Narrow" w:cs="Arial"/>
                <w:sz w:val="20"/>
                <w:szCs w:val="20"/>
                <w:lang w:val="en-AU" w:eastAsia="en-AU"/>
              </w:rPr>
              <w:t>Maintain a reasonable distance between activities that are clearly incompatible or incorporate design measures to mitigate potential nuisances on adjacent occupants.</w:t>
            </w:r>
          </w:p>
          <w:p w14:paraId="6E8F2628" w14:textId="77777777" w:rsidR="001B5B0A" w:rsidRPr="00727319" w:rsidRDefault="001B5B0A" w:rsidP="006255F2">
            <w:pPr>
              <w:pStyle w:val="NoSpacing"/>
              <w:tabs>
                <w:tab w:val="left" w:pos="5103"/>
              </w:tabs>
              <w:spacing w:before="60" w:after="60"/>
              <w:ind w:left="318" w:right="33" w:hanging="284"/>
              <w:jc w:val="both"/>
              <w:rPr>
                <w:rFonts w:ascii="Arial Narrow" w:hAnsi="Arial Narrow" w:cs="Arial"/>
                <w:sz w:val="20"/>
                <w:szCs w:val="20"/>
                <w:lang w:val="en-AU" w:eastAsia="en-AU"/>
              </w:rPr>
            </w:pPr>
            <w:r w:rsidRPr="00C35731">
              <w:rPr>
                <w:rFonts w:ascii="Arial Narrow" w:hAnsi="Arial Narrow" w:cs="Arial"/>
                <w:b/>
                <w:sz w:val="20"/>
                <w:szCs w:val="20"/>
              </w:rPr>
              <w:t>..</w:t>
            </w:r>
            <w:r w:rsidRPr="00C35731">
              <w:rPr>
                <w:rFonts w:ascii="Arial Narrow" w:hAnsi="Arial Narrow" w:cs="Arial"/>
                <w:b/>
                <w:sz w:val="20"/>
                <w:szCs w:val="20"/>
              </w:rPr>
              <w:tab/>
            </w:r>
            <w:r w:rsidRPr="00727319">
              <w:rPr>
                <w:rFonts w:ascii="Arial Narrow" w:hAnsi="Arial Narrow" w:cs="Arial"/>
                <w:sz w:val="20"/>
                <w:szCs w:val="20"/>
                <w:lang w:val="en-AU" w:eastAsia="en-AU"/>
              </w:rPr>
              <w:t>Provide a reasonable degree of privacy for centre residents within the context of an urbanised environment.</w:t>
            </w:r>
          </w:p>
        </w:tc>
        <w:tc>
          <w:tcPr>
            <w:tcW w:w="4791" w:type="dxa"/>
          </w:tcPr>
          <w:p w14:paraId="04B7AF97" w14:textId="77777777" w:rsidR="001B5B0A" w:rsidRPr="00121548" w:rsidRDefault="001B5B0A" w:rsidP="006255F2">
            <w:pPr>
              <w:pStyle w:val="ListParagraph"/>
              <w:spacing w:before="60"/>
              <w:ind w:left="176" w:right="-46" w:hanging="142"/>
              <w:jc w:val="both"/>
              <w:rPr>
                <w:rFonts w:ascii="Arial Narrow" w:hAnsi="Arial Narrow" w:cs="Arial"/>
                <w:sz w:val="20"/>
                <w:szCs w:val="20"/>
              </w:rPr>
            </w:pPr>
            <w:r>
              <w:rPr>
                <w:rFonts w:ascii="Arial Narrow" w:hAnsi="Arial Narrow" w:cs="Arial"/>
                <w:b/>
                <w:sz w:val="20"/>
                <w:szCs w:val="20"/>
              </w:rPr>
              <w:t>..</w:t>
            </w:r>
            <w:r>
              <w:rPr>
                <w:rFonts w:ascii="Arial Narrow" w:hAnsi="Arial Narrow" w:cs="Arial"/>
                <w:b/>
                <w:sz w:val="20"/>
                <w:szCs w:val="20"/>
              </w:rPr>
              <w:tab/>
            </w:r>
            <w:r>
              <w:rPr>
                <w:rFonts w:ascii="Arial Narrow" w:hAnsi="Arial Narrow" w:cs="Arial"/>
                <w:sz w:val="20"/>
                <w:szCs w:val="20"/>
              </w:rPr>
              <w:t xml:space="preserve">Unless otherwise varied by this policy, mixed use and residential development is to be consistent with the relevant requirements of the </w:t>
            </w:r>
            <w:r w:rsidRPr="00860232">
              <w:rPr>
                <w:rFonts w:ascii="Arial Narrow" w:hAnsi="Arial Narrow" w:cs="Arial"/>
                <w:sz w:val="20"/>
                <w:szCs w:val="20"/>
              </w:rPr>
              <w:t>R-Codes Vol.1, and R-Codes Vol.2 as applicable.</w:t>
            </w:r>
          </w:p>
          <w:p w14:paraId="15D7EC6E" w14:textId="77777777" w:rsidR="001B5B0A" w:rsidRDefault="001B5B0A" w:rsidP="006255F2">
            <w:pPr>
              <w:pStyle w:val="ListParagraph"/>
              <w:spacing w:before="60"/>
              <w:ind w:left="176" w:right="-46" w:hanging="142"/>
              <w:jc w:val="both"/>
              <w:rPr>
                <w:rFonts w:ascii="Arial Narrow" w:hAnsi="Arial Narrow" w:cs="Arial"/>
                <w:sz w:val="20"/>
                <w:szCs w:val="20"/>
              </w:rPr>
            </w:pPr>
            <w:r>
              <w:rPr>
                <w:rFonts w:ascii="Arial Narrow" w:hAnsi="Arial Narrow" w:cs="Arial"/>
                <w:b/>
                <w:sz w:val="20"/>
                <w:szCs w:val="20"/>
              </w:rPr>
              <w:t>..</w:t>
            </w:r>
            <w:r>
              <w:rPr>
                <w:rFonts w:ascii="Arial Narrow" w:hAnsi="Arial Narrow" w:cs="Arial"/>
                <w:b/>
                <w:sz w:val="20"/>
                <w:szCs w:val="20"/>
              </w:rPr>
              <w:tab/>
            </w:r>
            <w:r>
              <w:rPr>
                <w:rFonts w:ascii="Arial Narrow" w:hAnsi="Arial Narrow" w:cs="Arial"/>
                <w:sz w:val="20"/>
                <w:szCs w:val="20"/>
              </w:rPr>
              <w:t xml:space="preserve">Development is to comply with Town of East Fremantle Local Planning Policy 3.1.2 – Noise Attenuation Policy and WAPC State Planning Policy 5.4: Road and Rail Noise (SPP 5.4). For properties within the trigger distance specified in SPP 5.4, development applications are to be accompanied by the following information </w:t>
            </w:r>
            <w:proofErr w:type="gramStart"/>
            <w:r>
              <w:rPr>
                <w:rFonts w:ascii="Arial Narrow" w:hAnsi="Arial Narrow" w:cs="Arial"/>
                <w:sz w:val="20"/>
                <w:szCs w:val="20"/>
              </w:rPr>
              <w:t>where</w:t>
            </w:r>
            <w:proofErr w:type="gramEnd"/>
            <w:r>
              <w:rPr>
                <w:rFonts w:ascii="Arial Narrow" w:hAnsi="Arial Narrow" w:cs="Arial"/>
                <w:sz w:val="20"/>
                <w:szCs w:val="20"/>
              </w:rPr>
              <w:t xml:space="preserve"> deemed appropriate, prepared in accordance with the Road and Rail Noise Guidelines:</w:t>
            </w:r>
          </w:p>
          <w:p w14:paraId="1795F0C2" w14:textId="77777777" w:rsidR="001B5B0A" w:rsidRPr="00121548" w:rsidRDefault="001B5B0A" w:rsidP="00303E96">
            <w:pPr>
              <w:pStyle w:val="ListParagraph"/>
              <w:numPr>
                <w:ilvl w:val="0"/>
                <w:numId w:val="510"/>
              </w:numPr>
              <w:spacing w:before="60" w:after="0" w:line="240" w:lineRule="auto"/>
              <w:ind w:right="-46"/>
              <w:jc w:val="both"/>
              <w:rPr>
                <w:rFonts w:ascii="Arial Narrow" w:hAnsi="Arial Narrow" w:cs="Arial"/>
                <w:sz w:val="20"/>
                <w:szCs w:val="20"/>
                <w:lang w:eastAsia="en-AU"/>
              </w:rPr>
            </w:pPr>
            <w:r w:rsidRPr="00121548">
              <w:rPr>
                <w:rFonts w:ascii="Arial Narrow" w:hAnsi="Arial Narrow" w:cs="Arial"/>
                <w:sz w:val="20"/>
                <w:szCs w:val="20"/>
                <w:lang w:eastAsia="en-AU"/>
              </w:rPr>
              <w:t>Noise exposure forecast table assessment; and/or</w:t>
            </w:r>
          </w:p>
          <w:p w14:paraId="6E42102D" w14:textId="77777777" w:rsidR="001B5B0A" w:rsidRPr="00121548" w:rsidRDefault="001B5B0A" w:rsidP="00303E96">
            <w:pPr>
              <w:pStyle w:val="ListParagraph"/>
              <w:numPr>
                <w:ilvl w:val="0"/>
                <w:numId w:val="510"/>
              </w:numPr>
              <w:spacing w:before="60" w:after="0" w:line="240" w:lineRule="auto"/>
              <w:ind w:right="-46"/>
              <w:jc w:val="both"/>
              <w:rPr>
                <w:rFonts w:ascii="Arial Narrow" w:hAnsi="Arial Narrow" w:cs="Arial"/>
                <w:sz w:val="20"/>
                <w:szCs w:val="20"/>
                <w:lang w:eastAsia="en-AU"/>
              </w:rPr>
            </w:pPr>
            <w:r w:rsidRPr="00121548">
              <w:rPr>
                <w:rFonts w:ascii="Arial Narrow" w:hAnsi="Arial Narrow" w:cs="Arial"/>
                <w:sz w:val="20"/>
                <w:szCs w:val="20"/>
                <w:lang w:eastAsia="en-AU"/>
              </w:rPr>
              <w:t xml:space="preserve">Noise level contour map; and/or </w:t>
            </w:r>
          </w:p>
          <w:p w14:paraId="7773760C" w14:textId="77777777" w:rsidR="001B5B0A" w:rsidRDefault="001B5B0A" w:rsidP="00303E96">
            <w:pPr>
              <w:pStyle w:val="ListParagraph"/>
              <w:numPr>
                <w:ilvl w:val="0"/>
                <w:numId w:val="510"/>
              </w:numPr>
              <w:spacing w:before="60" w:after="0" w:line="240" w:lineRule="auto"/>
              <w:ind w:right="-46"/>
              <w:jc w:val="both"/>
              <w:rPr>
                <w:rFonts w:ascii="Arial Narrow" w:hAnsi="Arial Narrow" w:cs="Arial"/>
                <w:sz w:val="20"/>
                <w:szCs w:val="20"/>
                <w:lang w:eastAsia="en-AU"/>
              </w:rPr>
            </w:pPr>
            <w:r w:rsidRPr="00121548">
              <w:rPr>
                <w:rFonts w:ascii="Arial Narrow" w:hAnsi="Arial Narrow" w:cs="Arial"/>
                <w:sz w:val="20"/>
                <w:szCs w:val="20"/>
                <w:lang w:eastAsia="en-AU"/>
              </w:rPr>
              <w:t>Noise management plan, outlining the proposed noise mitigations measures.</w:t>
            </w:r>
          </w:p>
          <w:p w14:paraId="23849330" w14:textId="77777777" w:rsidR="001B5B0A" w:rsidRDefault="001B5B0A" w:rsidP="006255F2">
            <w:pPr>
              <w:pStyle w:val="ListParagraph"/>
              <w:spacing w:before="60"/>
              <w:ind w:left="176" w:right="-46" w:hanging="142"/>
              <w:jc w:val="both"/>
              <w:rPr>
                <w:rFonts w:ascii="Arial Narrow" w:hAnsi="Arial Narrow" w:cs="Arial"/>
                <w:sz w:val="20"/>
                <w:szCs w:val="20"/>
                <w:lang w:eastAsia="en-AU"/>
              </w:rPr>
            </w:pPr>
            <w:r>
              <w:rPr>
                <w:rFonts w:ascii="Arial Narrow" w:hAnsi="Arial Narrow" w:cs="Arial"/>
                <w:b/>
                <w:sz w:val="20"/>
                <w:szCs w:val="20"/>
              </w:rPr>
              <w:t>..</w:t>
            </w:r>
            <w:r>
              <w:rPr>
                <w:rFonts w:ascii="Arial Narrow" w:hAnsi="Arial Narrow" w:cs="Arial"/>
                <w:b/>
                <w:sz w:val="20"/>
                <w:szCs w:val="20"/>
              </w:rPr>
              <w:tab/>
            </w:r>
            <w:r>
              <w:rPr>
                <w:rFonts w:ascii="Arial Narrow" w:hAnsi="Arial Narrow" w:cs="Arial"/>
                <w:sz w:val="20"/>
                <w:szCs w:val="20"/>
                <w:lang w:eastAsia="en-AU"/>
              </w:rPr>
              <w:t>The Town may impose conditions requiring the implementation of mitigation measures as outlined in the Road and Noise Guidelines. In addition, notifications on the Certificate of Title will be required informing the existence of transport noise where existing and or forecasted noise levels are to exceed the SPP 5.4 outdoor noise targets.</w:t>
            </w:r>
          </w:p>
          <w:p w14:paraId="300F5069" w14:textId="77777777" w:rsidR="001B5B0A" w:rsidRPr="000454FD" w:rsidRDefault="001B5B0A" w:rsidP="006255F2">
            <w:pPr>
              <w:pStyle w:val="ListParagraph"/>
              <w:spacing w:before="60"/>
              <w:ind w:left="317" w:right="33" w:hanging="283"/>
              <w:jc w:val="both"/>
            </w:pPr>
            <w:r>
              <w:rPr>
                <w:rFonts w:ascii="Arial Narrow" w:hAnsi="Arial Narrow" w:cs="Arial"/>
                <w:b/>
                <w:sz w:val="20"/>
                <w:szCs w:val="20"/>
              </w:rPr>
              <w:t>..</w:t>
            </w:r>
            <w:r>
              <w:rPr>
                <w:rFonts w:ascii="Arial Narrow" w:hAnsi="Arial Narrow" w:cs="Arial"/>
                <w:b/>
                <w:sz w:val="20"/>
                <w:szCs w:val="20"/>
              </w:rPr>
              <w:tab/>
            </w:r>
            <w:r>
              <w:rPr>
                <w:rFonts w:ascii="Arial Narrow" w:hAnsi="Arial Narrow" w:cs="Arial"/>
                <w:bCs/>
                <w:sz w:val="20"/>
                <w:szCs w:val="20"/>
              </w:rPr>
              <w:t>Development on p</w:t>
            </w:r>
            <w:r w:rsidRPr="0017062E">
              <w:rPr>
                <w:rFonts w:ascii="Arial Narrow" w:hAnsi="Arial Narrow" w:cs="Arial"/>
                <w:sz w:val="20"/>
                <w:szCs w:val="20"/>
              </w:rPr>
              <w:t>roperties located within Fremantle Inner Harbour Port Buffer Areas 2 and 3,</w:t>
            </w:r>
            <w:r>
              <w:rPr>
                <w:rFonts w:ascii="Arial Narrow" w:hAnsi="Arial Narrow" w:cs="Arial"/>
                <w:sz w:val="20"/>
                <w:szCs w:val="20"/>
              </w:rPr>
              <w:t xml:space="preserve"> development is to comply with the Fremantle Port Buffer Development Guidelines.</w:t>
            </w:r>
          </w:p>
        </w:tc>
      </w:tr>
    </w:tbl>
    <w:p w14:paraId="6AF9BB0A" w14:textId="77777777" w:rsidR="001B5B0A" w:rsidRPr="004F586C" w:rsidRDefault="001B5B0A" w:rsidP="001B5B0A">
      <w:pPr>
        <w:spacing w:before="240" w:after="0"/>
        <w:jc w:val="both"/>
        <w:rPr>
          <w:rFonts w:cs="Arial"/>
          <w:i/>
          <w:u w:val="single"/>
        </w:rPr>
      </w:pPr>
      <w:r w:rsidRPr="004F586C">
        <w:rPr>
          <w:rFonts w:cs="Arial"/>
          <w:i/>
          <w:u w:val="single"/>
        </w:rPr>
        <w:t>Element 5: Street Interface</w:t>
      </w:r>
    </w:p>
    <w:p w14:paraId="09895357" w14:textId="77777777" w:rsidR="001B5B0A" w:rsidRPr="004F586C" w:rsidRDefault="001B5B0A" w:rsidP="001B5B0A">
      <w:pPr>
        <w:spacing w:after="120"/>
        <w:jc w:val="both"/>
        <w:rPr>
          <w:rFonts w:cs="Arial"/>
        </w:rPr>
      </w:pPr>
      <w:r w:rsidRPr="004F586C">
        <w:rPr>
          <w:rFonts w:cs="Arial"/>
        </w:rPr>
        <w:t>Street interface refers to the relationship between buildings and the adjacent streets, particularly at ground level where the relationship is more strongly perceived by pedestrians.</w:t>
      </w:r>
    </w:p>
    <w:p w14:paraId="744EE8E0" w14:textId="77777777" w:rsidR="001B5B0A" w:rsidRPr="004F586C" w:rsidRDefault="001B5B0A" w:rsidP="001B5B0A">
      <w:pPr>
        <w:spacing w:after="120"/>
        <w:ind w:left="1134" w:hanging="1134"/>
        <w:jc w:val="both"/>
        <w:rPr>
          <w:rFonts w:cs="Arial"/>
        </w:rPr>
      </w:pPr>
      <w:proofErr w:type="gramStart"/>
      <w:r w:rsidRPr="004F586C">
        <w:rPr>
          <w:rFonts w:cs="Arial"/>
        </w:rPr>
        <w:t>In regard to</w:t>
      </w:r>
      <w:proofErr w:type="gramEnd"/>
      <w:r w:rsidRPr="004F586C">
        <w:rPr>
          <w:rFonts w:cs="Arial"/>
        </w:rPr>
        <w:t xml:space="preserve"> street interface, the policy objectives are:</w:t>
      </w:r>
    </w:p>
    <w:p w14:paraId="1248C307" w14:textId="77777777" w:rsidR="001B5B0A" w:rsidRPr="004F586C" w:rsidRDefault="001B5B0A" w:rsidP="00A778B9">
      <w:pPr>
        <w:spacing w:before="80" w:after="80"/>
        <w:ind w:left="426" w:hanging="426"/>
        <w:jc w:val="both"/>
        <w:rPr>
          <w:rFonts w:cs="Arial"/>
        </w:rPr>
      </w:pPr>
      <w:r w:rsidRPr="004F586C">
        <w:rPr>
          <w:rFonts w:cs="Arial"/>
        </w:rPr>
        <w:t>-</w:t>
      </w:r>
      <w:r w:rsidRPr="004F586C">
        <w:rPr>
          <w:rFonts w:cs="Arial"/>
        </w:rPr>
        <w:tab/>
        <w:t>To create a ‘friendly’ relationship between buildings and the adjacent streets.</w:t>
      </w:r>
    </w:p>
    <w:p w14:paraId="0C6E9B85" w14:textId="77777777" w:rsidR="001B5B0A" w:rsidRPr="004F586C" w:rsidRDefault="001B5B0A" w:rsidP="00A778B9">
      <w:pPr>
        <w:spacing w:before="80" w:after="80"/>
        <w:ind w:left="426" w:hanging="426"/>
        <w:jc w:val="both"/>
        <w:rPr>
          <w:rFonts w:cs="Arial"/>
        </w:rPr>
      </w:pPr>
      <w:r w:rsidRPr="004F586C">
        <w:rPr>
          <w:rFonts w:cs="Arial"/>
        </w:rPr>
        <w:t>-</w:t>
      </w:r>
      <w:r w:rsidRPr="004F586C">
        <w:rPr>
          <w:rFonts w:cs="Arial"/>
        </w:rPr>
        <w:tab/>
        <w:t>To create an attractive and interesting urban environment.</w:t>
      </w:r>
    </w:p>
    <w:p w14:paraId="0A50E4BB" w14:textId="77777777" w:rsidR="001B5B0A" w:rsidRPr="004F586C" w:rsidRDefault="001B5B0A" w:rsidP="00A778B9">
      <w:pPr>
        <w:spacing w:before="80" w:after="80"/>
        <w:ind w:left="426" w:hanging="426"/>
        <w:jc w:val="both"/>
        <w:rPr>
          <w:rFonts w:cs="Arial"/>
        </w:rPr>
      </w:pPr>
      <w:r w:rsidRPr="004F586C">
        <w:rPr>
          <w:rFonts w:cs="Arial"/>
        </w:rPr>
        <w:t>-</w:t>
      </w:r>
      <w:r w:rsidRPr="004F586C">
        <w:rPr>
          <w:rFonts w:cs="Arial"/>
        </w:rPr>
        <w:tab/>
        <w:t>To create an urban environment where it is easy to understand what is private and what is public.</w:t>
      </w:r>
    </w:p>
    <w:p w14:paraId="5C63A23D" w14:textId="16580D1B" w:rsidR="00A778B9" w:rsidRDefault="001B5B0A" w:rsidP="00A778B9">
      <w:pPr>
        <w:spacing w:before="80" w:after="80"/>
        <w:ind w:left="426" w:hanging="426"/>
        <w:jc w:val="both"/>
        <w:rPr>
          <w:rFonts w:cs="Arial"/>
        </w:rPr>
      </w:pPr>
      <w:r w:rsidRPr="004F586C">
        <w:rPr>
          <w:rFonts w:cs="Arial"/>
        </w:rPr>
        <w:t>-</w:t>
      </w:r>
      <w:r w:rsidRPr="004F586C">
        <w:rPr>
          <w:rFonts w:cs="Arial"/>
        </w:rPr>
        <w:tab/>
        <w:t>To ensure that buildings provide a strong definition to the edges of urban spaces.</w:t>
      </w:r>
    </w:p>
    <w:p w14:paraId="4AFB8DF0" w14:textId="77777777" w:rsidR="00A778B9" w:rsidRDefault="00A778B9">
      <w:pPr>
        <w:rPr>
          <w:rFonts w:cs="Arial"/>
        </w:rPr>
      </w:pPr>
      <w:r>
        <w:rPr>
          <w:rFonts w:cs="Arial"/>
        </w:rPr>
        <w:br w:type="page"/>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274"/>
        <w:gridCol w:w="4082"/>
      </w:tblGrid>
      <w:tr w:rsidR="001B5B0A" w:rsidRPr="00371942" w14:paraId="63D8E261" w14:textId="77777777" w:rsidTr="006255F2">
        <w:tc>
          <w:tcPr>
            <w:tcW w:w="5274" w:type="dxa"/>
            <w:shd w:val="solid" w:color="D9D9D9" w:fill="auto"/>
          </w:tcPr>
          <w:p w14:paraId="2E3316EC" w14:textId="77777777" w:rsidR="001B5B0A" w:rsidRPr="00371942" w:rsidRDefault="001B5B0A" w:rsidP="006255F2">
            <w:pPr>
              <w:tabs>
                <w:tab w:val="left" w:pos="318"/>
              </w:tabs>
              <w:spacing w:before="60" w:after="60"/>
              <w:ind w:left="318" w:right="-46" w:hanging="284"/>
              <w:jc w:val="both"/>
              <w:rPr>
                <w:rFonts w:ascii="Arial Narrow" w:hAnsi="Arial Narrow" w:cs="Arial"/>
                <w:b/>
                <w:sz w:val="20"/>
                <w:szCs w:val="20"/>
              </w:rPr>
            </w:pPr>
            <w:r>
              <w:rPr>
                <w:rFonts w:ascii="Arial Narrow" w:hAnsi="Arial Narrow" w:cs="Arial"/>
                <w:b/>
                <w:sz w:val="20"/>
                <w:szCs w:val="20"/>
              </w:rPr>
              <w:lastRenderedPageBreak/>
              <w:t>Element Objective</w:t>
            </w:r>
          </w:p>
          <w:p w14:paraId="79031F17" w14:textId="77777777" w:rsidR="001B5B0A" w:rsidRPr="00371942" w:rsidRDefault="001B5B0A" w:rsidP="006255F2">
            <w:pPr>
              <w:tabs>
                <w:tab w:val="left" w:pos="318"/>
              </w:tabs>
              <w:spacing w:before="60" w:after="60"/>
              <w:ind w:left="318" w:right="-46" w:hanging="284"/>
              <w:jc w:val="both"/>
              <w:rPr>
                <w:rFonts w:ascii="Arial Narrow" w:hAnsi="Arial Narrow" w:cs="Arial"/>
                <w:i/>
                <w:sz w:val="20"/>
                <w:szCs w:val="20"/>
              </w:rPr>
            </w:pPr>
            <w:r>
              <w:rPr>
                <w:rFonts w:ascii="Arial Narrow" w:hAnsi="Arial Narrow" w:cs="Arial"/>
                <w:i/>
                <w:sz w:val="20"/>
                <w:szCs w:val="20"/>
              </w:rPr>
              <w:t>D</w:t>
            </w:r>
            <w:r w:rsidRPr="00371942">
              <w:rPr>
                <w:rFonts w:ascii="Arial Narrow" w:hAnsi="Arial Narrow" w:cs="Arial"/>
                <w:i/>
                <w:sz w:val="20"/>
                <w:szCs w:val="20"/>
              </w:rPr>
              <w:t>evelopment should meet these criteria.</w:t>
            </w:r>
          </w:p>
        </w:tc>
        <w:tc>
          <w:tcPr>
            <w:tcW w:w="4082" w:type="dxa"/>
            <w:shd w:val="solid" w:color="D9D9D9" w:fill="auto"/>
          </w:tcPr>
          <w:p w14:paraId="07CCC0E0" w14:textId="77777777" w:rsidR="001B5B0A" w:rsidRPr="00371942" w:rsidRDefault="001B5B0A" w:rsidP="006255F2">
            <w:pPr>
              <w:spacing w:before="60" w:after="60"/>
              <w:ind w:left="304" w:right="-46" w:hanging="283"/>
              <w:jc w:val="both"/>
              <w:rPr>
                <w:rFonts w:ascii="Arial Narrow" w:hAnsi="Arial Narrow" w:cs="Arial"/>
                <w:b/>
                <w:sz w:val="20"/>
                <w:szCs w:val="20"/>
              </w:rPr>
            </w:pPr>
            <w:r w:rsidRPr="00371942">
              <w:rPr>
                <w:rFonts w:ascii="Arial Narrow" w:hAnsi="Arial Narrow" w:cs="Arial"/>
                <w:b/>
                <w:sz w:val="20"/>
                <w:szCs w:val="20"/>
              </w:rPr>
              <w:t xml:space="preserve">Acceptable </w:t>
            </w:r>
            <w:r>
              <w:rPr>
                <w:rFonts w:ascii="Arial Narrow" w:hAnsi="Arial Narrow" w:cs="Arial"/>
                <w:b/>
                <w:sz w:val="20"/>
                <w:szCs w:val="20"/>
              </w:rPr>
              <w:t>Outcomes</w:t>
            </w:r>
          </w:p>
          <w:p w14:paraId="55100D3E" w14:textId="77777777" w:rsidR="001B5B0A" w:rsidRPr="00371942" w:rsidRDefault="001B5B0A" w:rsidP="006255F2">
            <w:pPr>
              <w:spacing w:before="60" w:after="60"/>
              <w:ind w:left="21" w:right="-46"/>
              <w:jc w:val="both"/>
              <w:rPr>
                <w:rFonts w:ascii="Arial Narrow" w:hAnsi="Arial Narrow" w:cs="Arial"/>
                <w:i/>
                <w:sz w:val="20"/>
                <w:szCs w:val="20"/>
              </w:rPr>
            </w:pPr>
            <w:r w:rsidRPr="00371942">
              <w:rPr>
                <w:rFonts w:ascii="Arial Narrow" w:hAnsi="Arial Narrow" w:cs="Arial"/>
                <w:i/>
                <w:sz w:val="20"/>
                <w:szCs w:val="20"/>
              </w:rPr>
              <w:t xml:space="preserve">The acceptable </w:t>
            </w:r>
            <w:r>
              <w:rPr>
                <w:rFonts w:ascii="Arial Narrow" w:hAnsi="Arial Narrow" w:cs="Arial"/>
                <w:i/>
                <w:sz w:val="20"/>
                <w:szCs w:val="20"/>
              </w:rPr>
              <w:t>outcomes</w:t>
            </w:r>
            <w:r w:rsidRPr="00371942">
              <w:rPr>
                <w:rFonts w:ascii="Arial Narrow" w:hAnsi="Arial Narrow" w:cs="Arial"/>
                <w:i/>
                <w:sz w:val="20"/>
                <w:szCs w:val="20"/>
              </w:rPr>
              <w:t xml:space="preserve"> are ways of meeting the </w:t>
            </w:r>
            <w:r>
              <w:rPr>
                <w:rFonts w:ascii="Arial Narrow" w:hAnsi="Arial Narrow" w:cs="Arial"/>
                <w:i/>
                <w:sz w:val="20"/>
                <w:szCs w:val="20"/>
              </w:rPr>
              <w:t>element objective.</w:t>
            </w:r>
          </w:p>
        </w:tc>
      </w:tr>
      <w:tr w:rsidR="001B5B0A" w:rsidRPr="00371942" w14:paraId="2951D8E8" w14:textId="77777777" w:rsidTr="006255F2">
        <w:tc>
          <w:tcPr>
            <w:tcW w:w="5274" w:type="dxa"/>
          </w:tcPr>
          <w:p w14:paraId="1271A1CC" w14:textId="77777777" w:rsidR="001B5B0A" w:rsidRPr="00371942" w:rsidRDefault="001B5B0A" w:rsidP="00A778B9">
            <w:pPr>
              <w:tabs>
                <w:tab w:val="left" w:pos="34"/>
              </w:tabs>
              <w:spacing w:before="60" w:after="120"/>
              <w:ind w:left="34" w:right="61"/>
              <w:jc w:val="both"/>
              <w:rPr>
                <w:rFonts w:ascii="Arial Narrow" w:hAnsi="Arial Narrow" w:cs="Arial"/>
                <w:sz w:val="20"/>
                <w:szCs w:val="20"/>
              </w:rPr>
            </w:pPr>
            <w:proofErr w:type="gramStart"/>
            <w:r w:rsidRPr="00371942">
              <w:rPr>
                <w:rFonts w:ascii="Arial Narrow" w:hAnsi="Arial Narrow" w:cs="Arial"/>
                <w:sz w:val="20"/>
                <w:szCs w:val="20"/>
              </w:rPr>
              <w:t>In regard to</w:t>
            </w:r>
            <w:proofErr w:type="gramEnd"/>
            <w:r w:rsidRPr="00371942">
              <w:rPr>
                <w:rFonts w:ascii="Arial Narrow" w:hAnsi="Arial Narrow" w:cs="Arial"/>
                <w:sz w:val="20"/>
                <w:szCs w:val="20"/>
              </w:rPr>
              <w:t xml:space="preserve"> the street interface of buildings within the </w:t>
            </w:r>
            <w:r>
              <w:rPr>
                <w:rFonts w:ascii="Arial Narrow" w:hAnsi="Arial Narrow" w:cs="Arial"/>
                <w:sz w:val="20"/>
                <w:szCs w:val="20"/>
              </w:rPr>
              <w:t>T</w:t>
            </w:r>
            <w:r w:rsidRPr="00371942">
              <w:rPr>
                <w:rFonts w:ascii="Arial Narrow" w:hAnsi="Arial Narrow" w:cs="Arial"/>
                <w:sz w:val="20"/>
                <w:szCs w:val="20"/>
              </w:rPr>
              <w:t xml:space="preserve">own </w:t>
            </w:r>
            <w:r>
              <w:rPr>
                <w:rFonts w:ascii="Arial Narrow" w:hAnsi="Arial Narrow" w:cs="Arial"/>
                <w:sz w:val="20"/>
                <w:szCs w:val="20"/>
              </w:rPr>
              <w:t>C</w:t>
            </w:r>
            <w:r w:rsidRPr="00371942">
              <w:rPr>
                <w:rFonts w:ascii="Arial Narrow" w:hAnsi="Arial Narrow" w:cs="Arial"/>
                <w:sz w:val="20"/>
                <w:szCs w:val="20"/>
              </w:rPr>
              <w:t>entre</w:t>
            </w:r>
            <w:r>
              <w:rPr>
                <w:rFonts w:ascii="Arial Narrow" w:hAnsi="Arial Narrow" w:cs="Arial"/>
                <w:sz w:val="20"/>
                <w:szCs w:val="20"/>
              </w:rPr>
              <w:t xml:space="preserve"> Redevelopment Area</w:t>
            </w:r>
            <w:r w:rsidRPr="00371942">
              <w:rPr>
                <w:rFonts w:ascii="Arial Narrow" w:hAnsi="Arial Narrow" w:cs="Arial"/>
                <w:sz w:val="20"/>
                <w:szCs w:val="20"/>
              </w:rPr>
              <w:t xml:space="preserve">, development </w:t>
            </w:r>
            <w:r>
              <w:rPr>
                <w:rFonts w:ascii="Arial Narrow" w:hAnsi="Arial Narrow" w:cs="Arial"/>
                <w:sz w:val="20"/>
                <w:szCs w:val="20"/>
              </w:rPr>
              <w:t>is to</w:t>
            </w:r>
            <w:r w:rsidRPr="00371942">
              <w:rPr>
                <w:rFonts w:ascii="Arial Narrow" w:hAnsi="Arial Narrow" w:cs="Arial"/>
                <w:sz w:val="20"/>
                <w:szCs w:val="20"/>
              </w:rPr>
              <w:t>:</w:t>
            </w:r>
          </w:p>
          <w:p w14:paraId="2C58BA92" w14:textId="77777777" w:rsidR="001B5B0A" w:rsidRPr="00371942" w:rsidRDefault="001B5B0A" w:rsidP="006255F2">
            <w:pPr>
              <w:pStyle w:val="ListParagraph"/>
              <w:tabs>
                <w:tab w:val="left" w:pos="318"/>
                <w:tab w:val="left" w:pos="5103"/>
              </w:tabs>
              <w:spacing w:before="60"/>
              <w:ind w:left="318" w:right="61"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Establish building frontages with glazed openings and doors at street level to encourage human activity on the adjacent street and optimise interaction between people inside and outside buildings.</w:t>
            </w:r>
          </w:p>
          <w:p w14:paraId="62FA3400" w14:textId="77777777" w:rsidR="001B5B0A" w:rsidRPr="00371942" w:rsidRDefault="001B5B0A" w:rsidP="006255F2">
            <w:pPr>
              <w:pStyle w:val="ListParagraph"/>
              <w:tabs>
                <w:tab w:val="left" w:pos="318"/>
                <w:tab w:val="left" w:pos="5103"/>
              </w:tabs>
              <w:spacing w:before="60"/>
              <w:ind w:left="318" w:right="61"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Maximise continuity of the building frontage with the street reserve, particularly where there are commercial activities at ground floor level, to provide a strong definition to streets and other public urban space.</w:t>
            </w:r>
          </w:p>
          <w:p w14:paraId="33A9D059" w14:textId="77777777" w:rsidR="001B5B0A" w:rsidRPr="00371942" w:rsidRDefault="001B5B0A" w:rsidP="006255F2">
            <w:pPr>
              <w:pStyle w:val="ListParagraph"/>
              <w:tabs>
                <w:tab w:val="left" w:pos="318"/>
                <w:tab w:val="left" w:pos="5103"/>
              </w:tabs>
              <w:spacing w:before="60"/>
              <w:ind w:left="318" w:right="61"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Avoid ambiguity by clearly defining the difference between spaces that are publicly accessible and those that are for private use only.</w:t>
            </w:r>
          </w:p>
          <w:p w14:paraId="14AAB2D6" w14:textId="77777777" w:rsidR="001B5B0A" w:rsidRPr="00371942" w:rsidRDefault="001B5B0A" w:rsidP="006255F2">
            <w:pPr>
              <w:pStyle w:val="ListParagraph"/>
              <w:tabs>
                <w:tab w:val="left" w:pos="318"/>
                <w:tab w:val="left" w:pos="5103"/>
              </w:tabs>
              <w:spacing w:before="60"/>
              <w:ind w:left="318" w:right="61" w:hanging="284"/>
              <w:jc w:val="both"/>
              <w:rPr>
                <w:rFonts w:ascii="Arial Narrow" w:hAnsi="Arial Narrow" w:cs="Arial"/>
                <w:b/>
                <w:i/>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Provide architectural richness using articulation of buildings and window displays to create interest, particularly at the street level.</w:t>
            </w:r>
          </w:p>
          <w:p w14:paraId="739B80AC" w14:textId="77777777" w:rsidR="001B5B0A" w:rsidRPr="00371942" w:rsidRDefault="001B5B0A" w:rsidP="006255F2">
            <w:pPr>
              <w:pStyle w:val="ListParagraph"/>
              <w:tabs>
                <w:tab w:val="left" w:pos="318"/>
                <w:tab w:val="left" w:pos="5103"/>
              </w:tabs>
              <w:spacing w:before="60"/>
              <w:ind w:left="318" w:right="61"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Provide openings at all building levels to enable passive surveillance of adjacent publicly accessible areas.</w:t>
            </w:r>
          </w:p>
          <w:p w14:paraId="2FA44AE2" w14:textId="77777777" w:rsidR="001B5B0A" w:rsidRPr="00371942" w:rsidRDefault="001B5B0A" w:rsidP="006255F2">
            <w:pPr>
              <w:pStyle w:val="ListParagraph"/>
              <w:tabs>
                <w:tab w:val="left" w:pos="318"/>
                <w:tab w:val="left" w:pos="5103"/>
              </w:tabs>
              <w:spacing w:before="60"/>
              <w:ind w:left="318" w:right="61"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 xml:space="preserve">Create interstitial or ‘inside-outside’ spaces </w:t>
            </w:r>
            <w:proofErr w:type="gramStart"/>
            <w:r w:rsidRPr="00371942">
              <w:rPr>
                <w:rFonts w:ascii="Arial Narrow" w:hAnsi="Arial Narrow" w:cs="Arial"/>
                <w:sz w:val="20"/>
                <w:szCs w:val="20"/>
              </w:rPr>
              <w:t>through the use of</w:t>
            </w:r>
            <w:proofErr w:type="gramEnd"/>
            <w:r w:rsidRPr="00371942">
              <w:rPr>
                <w:rFonts w:ascii="Arial Narrow" w:hAnsi="Arial Narrow" w:cs="Arial"/>
                <w:sz w:val="20"/>
                <w:szCs w:val="20"/>
              </w:rPr>
              <w:t xml:space="preserve"> canopies, arcades and other shade structures, to provide shade to window displays, shelter to pedestrians, and to create a softer transition between the inside and outside.</w:t>
            </w:r>
          </w:p>
          <w:p w14:paraId="4CD99871" w14:textId="77777777" w:rsidR="001B5B0A" w:rsidRPr="00371942" w:rsidRDefault="001B5B0A" w:rsidP="006255F2">
            <w:pPr>
              <w:pStyle w:val="ListParagraph"/>
              <w:tabs>
                <w:tab w:val="left" w:pos="318"/>
                <w:tab w:val="left" w:pos="5103"/>
              </w:tabs>
              <w:spacing w:before="60"/>
              <w:ind w:left="318" w:right="61"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Utilise building scale and design to create an identifiable scale and character for adjacent streets and publicly accessible spaces.</w:t>
            </w:r>
          </w:p>
          <w:p w14:paraId="52BA06CF" w14:textId="77777777" w:rsidR="001B5B0A" w:rsidRPr="00371942" w:rsidRDefault="001B5B0A" w:rsidP="006255F2">
            <w:pPr>
              <w:pStyle w:val="ListParagraph"/>
              <w:tabs>
                <w:tab w:val="left" w:pos="318"/>
                <w:tab w:val="left" w:pos="5103"/>
              </w:tabs>
              <w:spacing w:before="60"/>
              <w:ind w:left="318" w:right="61"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Locate service areas behind buildings, or screened from view, to avoid the intrusion of noise, odour, or visual pollution on publicly accessible areas.</w:t>
            </w:r>
          </w:p>
          <w:p w14:paraId="45A41248" w14:textId="77777777" w:rsidR="001B5B0A" w:rsidRPr="00371942" w:rsidRDefault="001B5B0A" w:rsidP="006255F2">
            <w:pPr>
              <w:pStyle w:val="ListParagraph"/>
              <w:tabs>
                <w:tab w:val="left" w:pos="318"/>
                <w:tab w:val="left" w:pos="5103"/>
              </w:tabs>
              <w:spacing w:before="60" w:after="60"/>
              <w:ind w:left="318" w:right="61" w:hanging="284"/>
              <w:jc w:val="both"/>
              <w:rPr>
                <w:rFonts w:ascii="Arial Narrow" w:hAnsi="Arial Narrow" w:cs="Arial"/>
                <w:b/>
                <w:i/>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Enable the opportunity for temporary overspill activities, such as al fresco dining and external displays, that provide additional interest to the street.</w:t>
            </w:r>
          </w:p>
        </w:tc>
        <w:tc>
          <w:tcPr>
            <w:tcW w:w="4082" w:type="dxa"/>
          </w:tcPr>
          <w:p w14:paraId="425E4141" w14:textId="77777777" w:rsidR="001B5B0A" w:rsidRPr="00371942" w:rsidRDefault="001B5B0A" w:rsidP="006255F2">
            <w:pPr>
              <w:pStyle w:val="ListParagraph"/>
              <w:spacing w:before="60"/>
              <w:ind w:left="290" w:right="89"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Ground floor commercial e</w:t>
            </w:r>
            <w:r>
              <w:rPr>
                <w:rFonts w:ascii="Arial Narrow" w:hAnsi="Arial Narrow" w:cs="Arial"/>
                <w:sz w:val="20"/>
                <w:szCs w:val="20"/>
              </w:rPr>
              <w:t>levations to streets (is to</w:t>
            </w:r>
            <w:r w:rsidRPr="00371942">
              <w:rPr>
                <w:rFonts w:ascii="Arial Narrow" w:hAnsi="Arial Narrow" w:cs="Arial"/>
                <w:sz w:val="20"/>
                <w:szCs w:val="20"/>
              </w:rPr>
              <w:t xml:space="preserve"> consist of a minimum of 66% (two-thirds) glazing.</w:t>
            </w:r>
          </w:p>
          <w:p w14:paraId="34FA2013" w14:textId="77777777" w:rsidR="001B5B0A" w:rsidRPr="00371942" w:rsidRDefault="001B5B0A" w:rsidP="006255F2">
            <w:pPr>
              <w:pStyle w:val="ListParagraph"/>
              <w:spacing w:before="60"/>
              <w:ind w:left="290" w:right="89"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Where a commercial tenancy is adjacent to a street reserve, the primary entrance to the tenancy will be from that street.</w:t>
            </w:r>
          </w:p>
          <w:p w14:paraId="7AAD3AFC" w14:textId="77777777" w:rsidR="001B5B0A" w:rsidRPr="00371942" w:rsidRDefault="001B5B0A" w:rsidP="006255F2">
            <w:pPr>
              <w:pStyle w:val="ListParagraph"/>
              <w:spacing w:before="60"/>
              <w:ind w:left="290" w:right="89"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 xml:space="preserve">Street elevations </w:t>
            </w:r>
            <w:r>
              <w:rPr>
                <w:rFonts w:ascii="Arial Narrow" w:hAnsi="Arial Narrow" w:cs="Arial"/>
                <w:sz w:val="20"/>
                <w:szCs w:val="20"/>
              </w:rPr>
              <w:t>are to</w:t>
            </w:r>
            <w:r w:rsidRPr="00371942">
              <w:rPr>
                <w:rFonts w:ascii="Arial Narrow" w:hAnsi="Arial Narrow" w:cs="Arial"/>
                <w:sz w:val="20"/>
                <w:szCs w:val="20"/>
              </w:rPr>
              <w:t xml:space="preserve"> incorporate at least two different materials.</w:t>
            </w:r>
          </w:p>
          <w:p w14:paraId="62BCDDB1" w14:textId="77777777" w:rsidR="001B5B0A" w:rsidRPr="00371942" w:rsidRDefault="001B5B0A" w:rsidP="006255F2">
            <w:pPr>
              <w:pStyle w:val="ListParagraph"/>
              <w:spacing w:before="60"/>
              <w:ind w:left="290" w:right="89"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Pr>
                <w:rFonts w:ascii="Arial Narrow" w:hAnsi="Arial Narrow" w:cs="Arial"/>
                <w:sz w:val="20"/>
                <w:szCs w:val="20"/>
              </w:rPr>
              <w:t>D</w:t>
            </w:r>
            <w:r w:rsidRPr="00371942">
              <w:rPr>
                <w:rFonts w:ascii="Arial Narrow" w:hAnsi="Arial Narrow" w:cs="Arial"/>
                <w:sz w:val="20"/>
                <w:szCs w:val="20"/>
              </w:rPr>
              <w:t xml:space="preserve">evelopment </w:t>
            </w:r>
            <w:r>
              <w:rPr>
                <w:rFonts w:ascii="Arial Narrow" w:hAnsi="Arial Narrow" w:cs="Arial"/>
                <w:sz w:val="20"/>
                <w:szCs w:val="20"/>
              </w:rPr>
              <w:t xml:space="preserve">is to </w:t>
            </w:r>
            <w:r w:rsidRPr="00371942">
              <w:rPr>
                <w:rFonts w:ascii="Arial Narrow" w:hAnsi="Arial Narrow" w:cs="Arial"/>
                <w:sz w:val="20"/>
                <w:szCs w:val="20"/>
              </w:rPr>
              <w:t>provide openings to habitable rooms to any adjacent street reserve or public space.</w:t>
            </w:r>
          </w:p>
          <w:p w14:paraId="0291AACB" w14:textId="77777777" w:rsidR="001B5B0A" w:rsidRPr="00371942" w:rsidRDefault="001B5B0A" w:rsidP="006255F2">
            <w:pPr>
              <w:pStyle w:val="ListParagraph"/>
              <w:spacing w:before="60"/>
              <w:ind w:left="290" w:right="89"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371942">
              <w:rPr>
                <w:rFonts w:ascii="Arial Narrow" w:hAnsi="Arial Narrow" w:cs="Arial"/>
                <w:sz w:val="20"/>
                <w:szCs w:val="20"/>
              </w:rPr>
              <w:t>Service areas</w:t>
            </w:r>
            <w:r>
              <w:rPr>
                <w:rFonts w:ascii="Arial Narrow" w:hAnsi="Arial Narrow" w:cs="Arial"/>
                <w:sz w:val="20"/>
                <w:szCs w:val="20"/>
              </w:rPr>
              <w:t xml:space="preserve"> are to</w:t>
            </w:r>
            <w:r w:rsidRPr="00371942">
              <w:rPr>
                <w:rFonts w:ascii="Arial Narrow" w:hAnsi="Arial Narrow" w:cs="Arial"/>
                <w:sz w:val="20"/>
                <w:szCs w:val="20"/>
              </w:rPr>
              <w:t xml:space="preserve"> be located away from the public domain or screened from view from the public domain</w:t>
            </w:r>
            <w:r>
              <w:rPr>
                <w:rFonts w:ascii="Arial Narrow" w:hAnsi="Arial Narrow" w:cs="Arial"/>
                <w:sz w:val="20"/>
                <w:szCs w:val="20"/>
              </w:rPr>
              <w:t>.</w:t>
            </w:r>
          </w:p>
        </w:tc>
      </w:tr>
    </w:tbl>
    <w:p w14:paraId="240C953C" w14:textId="2CE1C953" w:rsidR="001B5B0A" w:rsidRPr="000F1ABE" w:rsidRDefault="001B5B0A" w:rsidP="00A778B9">
      <w:pPr>
        <w:tabs>
          <w:tab w:val="left" w:pos="0"/>
        </w:tabs>
        <w:ind w:left="1134" w:right="-46"/>
        <w:jc w:val="both"/>
        <w:rPr>
          <w:rFonts w:cs="Arial"/>
          <w:sz w:val="20"/>
          <w:szCs w:val="20"/>
        </w:rPr>
      </w:pPr>
      <w:r>
        <w:rPr>
          <w:noProof/>
          <w:lang w:eastAsia="en-AU"/>
        </w:rPr>
        <w:drawing>
          <wp:anchor distT="0" distB="0" distL="114300" distR="114300" simplePos="0" relativeHeight="251710464" behindDoc="0" locked="0" layoutInCell="1" allowOverlap="1" wp14:anchorId="71A68B74" wp14:editId="12A35AE3">
            <wp:simplePos x="0" y="0"/>
            <wp:positionH relativeFrom="column">
              <wp:posOffset>180975</wp:posOffset>
            </wp:positionH>
            <wp:positionV relativeFrom="paragraph">
              <wp:posOffset>222885</wp:posOffset>
            </wp:positionV>
            <wp:extent cx="4695825" cy="2388495"/>
            <wp:effectExtent l="0" t="0" r="0" b="0"/>
            <wp:wrapNone/>
            <wp:docPr id="206" name="Picture 8" descr=":::::Desktop:Stuff for WG 4: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tuff for WG 4:Slide2.jpg"/>
                    <pic:cNvPicPr>
                      <a:picLocks noChangeAspect="1" noChangeArrowheads="1"/>
                    </pic:cNvPicPr>
                  </pic:nvPicPr>
                  <pic:blipFill>
                    <a:blip r:embed="rId294">
                      <a:extLst>
                        <a:ext uri="{28A0092B-C50C-407E-A947-70E740481C1C}">
                          <a14:useLocalDpi xmlns:a14="http://schemas.microsoft.com/office/drawing/2010/main" val="0"/>
                        </a:ext>
                      </a:extLst>
                    </a:blip>
                    <a:srcRect t="22464" b="9782"/>
                    <a:stretch>
                      <a:fillRect/>
                    </a:stretch>
                  </pic:blipFill>
                  <pic:spPr bwMode="auto">
                    <a:xfrm>
                      <a:off x="0" y="0"/>
                      <a:ext cx="4829576" cy="2456526"/>
                    </a:xfrm>
                    <a:prstGeom prst="rect">
                      <a:avLst/>
                    </a:prstGeom>
                    <a:noFill/>
                  </pic:spPr>
                </pic:pic>
              </a:graphicData>
            </a:graphic>
            <wp14:sizeRelH relativeFrom="page">
              <wp14:pctWidth>0</wp14:pctWidth>
            </wp14:sizeRelH>
            <wp14:sizeRelV relativeFrom="page">
              <wp14:pctHeight>0</wp14:pctHeight>
            </wp14:sizeRelV>
          </wp:anchor>
        </w:drawing>
      </w:r>
    </w:p>
    <w:p w14:paraId="11C5E109" w14:textId="77777777" w:rsidR="001B5B0A" w:rsidRPr="000F1ABE" w:rsidRDefault="001B5B0A" w:rsidP="001B5B0A">
      <w:pPr>
        <w:ind w:left="1134"/>
        <w:rPr>
          <w:rFonts w:cs="Arial"/>
          <w:sz w:val="20"/>
          <w:szCs w:val="20"/>
        </w:rPr>
      </w:pPr>
    </w:p>
    <w:p w14:paraId="6F56DF9F" w14:textId="77777777" w:rsidR="001B5B0A" w:rsidRPr="000F1ABE" w:rsidRDefault="001B5B0A" w:rsidP="001B5B0A">
      <w:pPr>
        <w:ind w:left="1134"/>
        <w:rPr>
          <w:rFonts w:cs="Arial"/>
          <w:sz w:val="20"/>
          <w:szCs w:val="20"/>
        </w:rPr>
      </w:pPr>
    </w:p>
    <w:p w14:paraId="72CDD04B" w14:textId="77777777" w:rsidR="001B5B0A" w:rsidRPr="000F1ABE" w:rsidRDefault="001B5B0A" w:rsidP="001B5B0A">
      <w:pPr>
        <w:ind w:left="1134"/>
        <w:rPr>
          <w:rFonts w:cs="Arial"/>
          <w:sz w:val="20"/>
          <w:szCs w:val="20"/>
        </w:rPr>
      </w:pPr>
    </w:p>
    <w:p w14:paraId="7350557A" w14:textId="77777777" w:rsidR="00A778B9" w:rsidRDefault="00A778B9" w:rsidP="00A778B9">
      <w:pPr>
        <w:spacing w:after="0"/>
        <w:ind w:left="1134"/>
        <w:jc w:val="both"/>
        <w:rPr>
          <w:rFonts w:cs="Arial"/>
          <w:b/>
          <w:i/>
          <w:sz w:val="20"/>
          <w:szCs w:val="20"/>
        </w:rPr>
      </w:pPr>
    </w:p>
    <w:p w14:paraId="598CB5C5" w14:textId="77777777" w:rsidR="00A778B9" w:rsidRDefault="00A778B9" w:rsidP="00A778B9">
      <w:pPr>
        <w:spacing w:after="0"/>
        <w:ind w:left="1134"/>
        <w:jc w:val="both"/>
        <w:rPr>
          <w:rFonts w:cs="Arial"/>
          <w:b/>
          <w:i/>
          <w:sz w:val="20"/>
          <w:szCs w:val="20"/>
        </w:rPr>
      </w:pPr>
    </w:p>
    <w:p w14:paraId="030EA0EB" w14:textId="77777777" w:rsidR="00A778B9" w:rsidRDefault="00A778B9" w:rsidP="00A778B9">
      <w:pPr>
        <w:spacing w:after="0"/>
        <w:ind w:left="1134"/>
        <w:jc w:val="both"/>
        <w:rPr>
          <w:rFonts w:cs="Arial"/>
          <w:b/>
          <w:i/>
          <w:sz w:val="20"/>
          <w:szCs w:val="20"/>
        </w:rPr>
      </w:pPr>
    </w:p>
    <w:p w14:paraId="2ACA7A0F" w14:textId="77777777" w:rsidR="00A778B9" w:rsidRDefault="00A778B9" w:rsidP="00A778B9">
      <w:pPr>
        <w:spacing w:after="0"/>
        <w:ind w:left="1134"/>
        <w:jc w:val="both"/>
        <w:rPr>
          <w:rFonts w:cs="Arial"/>
          <w:b/>
          <w:i/>
          <w:sz w:val="20"/>
          <w:szCs w:val="20"/>
        </w:rPr>
      </w:pPr>
    </w:p>
    <w:p w14:paraId="47A0AFB4" w14:textId="77777777" w:rsidR="00A778B9" w:rsidRDefault="00A778B9" w:rsidP="00A778B9">
      <w:pPr>
        <w:spacing w:after="0"/>
        <w:ind w:left="1134"/>
        <w:jc w:val="both"/>
        <w:rPr>
          <w:rFonts w:cs="Arial"/>
          <w:b/>
          <w:i/>
          <w:sz w:val="20"/>
          <w:szCs w:val="20"/>
        </w:rPr>
      </w:pPr>
    </w:p>
    <w:p w14:paraId="4FD46745" w14:textId="77777777" w:rsidR="00A778B9" w:rsidRDefault="00A778B9" w:rsidP="00A778B9">
      <w:pPr>
        <w:spacing w:after="0"/>
        <w:ind w:left="1134"/>
        <w:jc w:val="both"/>
        <w:rPr>
          <w:rFonts w:cs="Arial"/>
          <w:b/>
          <w:i/>
          <w:sz w:val="20"/>
          <w:szCs w:val="20"/>
        </w:rPr>
      </w:pPr>
    </w:p>
    <w:p w14:paraId="3CF30947" w14:textId="77777777" w:rsidR="00A778B9" w:rsidRDefault="00A778B9" w:rsidP="00A778B9">
      <w:pPr>
        <w:spacing w:after="0"/>
        <w:ind w:left="1134"/>
        <w:jc w:val="both"/>
        <w:rPr>
          <w:rFonts w:cs="Arial"/>
          <w:b/>
          <w:i/>
          <w:sz w:val="20"/>
          <w:szCs w:val="20"/>
        </w:rPr>
      </w:pPr>
    </w:p>
    <w:p w14:paraId="6EB29285" w14:textId="77777777" w:rsidR="00A778B9" w:rsidRDefault="00A778B9" w:rsidP="00A778B9">
      <w:pPr>
        <w:spacing w:after="0"/>
        <w:ind w:left="1134"/>
        <w:jc w:val="both"/>
        <w:rPr>
          <w:rFonts w:cs="Arial"/>
          <w:b/>
          <w:i/>
          <w:sz w:val="20"/>
          <w:szCs w:val="20"/>
        </w:rPr>
      </w:pPr>
    </w:p>
    <w:p w14:paraId="57C9AD69" w14:textId="52B7C2A2" w:rsidR="00A778B9" w:rsidRDefault="001B5B0A" w:rsidP="00A778B9">
      <w:pPr>
        <w:spacing w:after="0"/>
        <w:ind w:left="1134"/>
        <w:jc w:val="both"/>
        <w:rPr>
          <w:rFonts w:cs="Arial"/>
          <w:i/>
          <w:u w:val="single"/>
        </w:rPr>
      </w:pPr>
      <w:r w:rsidRPr="000F1ABE">
        <w:rPr>
          <w:rFonts w:cs="Arial"/>
          <w:b/>
          <w:i/>
          <w:sz w:val="20"/>
          <w:szCs w:val="20"/>
        </w:rPr>
        <w:t>An indicative example of how architectural relief adds visual interest to the streetscape</w:t>
      </w:r>
      <w:r>
        <w:rPr>
          <w:rFonts w:cs="Arial"/>
          <w:b/>
          <w:i/>
          <w:sz w:val="20"/>
          <w:szCs w:val="20"/>
        </w:rPr>
        <w:t>.</w:t>
      </w:r>
      <w:r w:rsidR="00A778B9">
        <w:rPr>
          <w:rFonts w:cs="Arial"/>
          <w:i/>
          <w:u w:val="single"/>
        </w:rPr>
        <w:br w:type="page"/>
      </w:r>
    </w:p>
    <w:p w14:paraId="701F45CD" w14:textId="3F4BBE20" w:rsidR="001B5B0A" w:rsidRPr="00F106D4" w:rsidRDefault="001B5B0A" w:rsidP="001B5B0A">
      <w:pPr>
        <w:spacing w:before="240" w:after="0"/>
        <w:rPr>
          <w:rFonts w:cs="Arial"/>
          <w:b/>
          <w:u w:val="single"/>
        </w:rPr>
      </w:pPr>
      <w:r w:rsidRPr="00F106D4">
        <w:rPr>
          <w:rFonts w:cs="Arial"/>
          <w:i/>
          <w:u w:val="single"/>
        </w:rPr>
        <w:lastRenderedPageBreak/>
        <w:t>Element 6: Pedestrian Amenity</w:t>
      </w:r>
    </w:p>
    <w:p w14:paraId="7AC5ADB9" w14:textId="77777777" w:rsidR="001B5B0A" w:rsidRPr="004F586C" w:rsidRDefault="001B5B0A" w:rsidP="001B5B0A">
      <w:pPr>
        <w:spacing w:after="120"/>
        <w:jc w:val="both"/>
        <w:rPr>
          <w:rFonts w:cs="Arial"/>
        </w:rPr>
      </w:pPr>
      <w:r w:rsidRPr="004F586C">
        <w:rPr>
          <w:rFonts w:cs="Arial"/>
        </w:rPr>
        <w:t xml:space="preserve">Pedestrian amenity describes the quality of experience enjoyed by pedestrians as they walk to, and around the </w:t>
      </w:r>
      <w:r>
        <w:rPr>
          <w:rFonts w:cs="Arial"/>
        </w:rPr>
        <w:t>T</w:t>
      </w:r>
      <w:r w:rsidRPr="004F586C">
        <w:rPr>
          <w:rFonts w:cs="Arial"/>
        </w:rPr>
        <w:t xml:space="preserve">own </w:t>
      </w:r>
      <w:r>
        <w:rPr>
          <w:rFonts w:cs="Arial"/>
        </w:rPr>
        <w:t>C</w:t>
      </w:r>
      <w:r w:rsidRPr="004F586C">
        <w:rPr>
          <w:rFonts w:cs="Arial"/>
        </w:rPr>
        <w:t>entre</w:t>
      </w:r>
      <w:r>
        <w:rPr>
          <w:rFonts w:cs="Arial"/>
        </w:rPr>
        <w:t xml:space="preserve"> Redevelopment Area</w:t>
      </w:r>
      <w:r w:rsidRPr="004F586C">
        <w:rPr>
          <w:rFonts w:cs="Arial"/>
        </w:rPr>
        <w:t>.</w:t>
      </w:r>
    </w:p>
    <w:p w14:paraId="0CA693E9" w14:textId="77777777" w:rsidR="001B5B0A" w:rsidRDefault="001B5B0A" w:rsidP="001B5B0A">
      <w:pPr>
        <w:tabs>
          <w:tab w:val="left" w:pos="0"/>
        </w:tabs>
        <w:spacing w:after="120"/>
        <w:ind w:right="-46"/>
        <w:jc w:val="both"/>
        <w:rPr>
          <w:rFonts w:cs="Arial"/>
        </w:rPr>
      </w:pPr>
      <w:proofErr w:type="gramStart"/>
      <w:r w:rsidRPr="004F586C">
        <w:rPr>
          <w:rFonts w:cs="Arial"/>
        </w:rPr>
        <w:t>In regard to</w:t>
      </w:r>
      <w:proofErr w:type="gramEnd"/>
      <w:r w:rsidRPr="004F586C">
        <w:rPr>
          <w:rFonts w:cs="Arial"/>
        </w:rPr>
        <w:t xml:space="preserve"> pedestrian a</w:t>
      </w:r>
      <w:r>
        <w:rPr>
          <w:rFonts w:cs="Arial"/>
        </w:rPr>
        <w:t>menity, the policy objective is:</w:t>
      </w:r>
    </w:p>
    <w:p w14:paraId="6D85154D" w14:textId="77777777" w:rsidR="001B5B0A" w:rsidRPr="00DB0A14" w:rsidRDefault="001B5B0A" w:rsidP="00303E96">
      <w:pPr>
        <w:pStyle w:val="ListParagraph"/>
        <w:numPr>
          <w:ilvl w:val="0"/>
          <w:numId w:val="511"/>
        </w:numPr>
        <w:tabs>
          <w:tab w:val="left" w:pos="0"/>
        </w:tabs>
        <w:spacing w:after="120"/>
        <w:ind w:right="-46"/>
        <w:jc w:val="both"/>
        <w:rPr>
          <w:rFonts w:cs="Arial"/>
        </w:rPr>
      </w:pPr>
      <w:r>
        <w:rPr>
          <w:rFonts w:cs="Arial"/>
        </w:rPr>
        <w:t>T</w:t>
      </w:r>
      <w:r w:rsidRPr="00DB0A14">
        <w:rPr>
          <w:rFonts w:cs="Arial"/>
        </w:rPr>
        <w:t xml:space="preserve">o make walking an attractive option by providing suitable paths to walk on, protection from inclement weather, safe places to </w:t>
      </w:r>
      <w:proofErr w:type="gramStart"/>
      <w:r w:rsidRPr="00DB0A14">
        <w:rPr>
          <w:rFonts w:cs="Arial"/>
        </w:rPr>
        <w:t>cross roads</w:t>
      </w:r>
      <w:proofErr w:type="gramEnd"/>
      <w:r w:rsidRPr="00DB0A14">
        <w:rPr>
          <w:rFonts w:cs="Arial"/>
        </w:rPr>
        <w:t>, good lighting, a feeling of personal security, and interesting things to see and do along the way.</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820"/>
        <w:gridCol w:w="4536"/>
      </w:tblGrid>
      <w:tr w:rsidR="001B5B0A" w:rsidRPr="00484560" w14:paraId="6837965D" w14:textId="77777777" w:rsidTr="006255F2">
        <w:tc>
          <w:tcPr>
            <w:tcW w:w="4820" w:type="dxa"/>
            <w:shd w:val="solid" w:color="D9D9D9" w:fill="auto"/>
          </w:tcPr>
          <w:p w14:paraId="258F2C00" w14:textId="77777777" w:rsidR="001B5B0A" w:rsidRPr="00484560" w:rsidRDefault="001B5B0A" w:rsidP="006255F2">
            <w:pPr>
              <w:tabs>
                <w:tab w:val="left" w:pos="0"/>
              </w:tabs>
              <w:spacing w:before="60"/>
              <w:ind w:left="34" w:right="-46"/>
              <w:jc w:val="both"/>
              <w:rPr>
                <w:rFonts w:ascii="Arial Narrow" w:hAnsi="Arial Narrow" w:cs="Arial"/>
                <w:b/>
                <w:sz w:val="20"/>
                <w:szCs w:val="20"/>
              </w:rPr>
            </w:pPr>
            <w:r>
              <w:rPr>
                <w:rFonts w:ascii="Arial Narrow" w:hAnsi="Arial Narrow" w:cs="Arial"/>
                <w:b/>
                <w:sz w:val="20"/>
                <w:szCs w:val="20"/>
              </w:rPr>
              <w:t>Element Objective</w:t>
            </w:r>
          </w:p>
          <w:p w14:paraId="0097CDC0" w14:textId="77777777" w:rsidR="001B5B0A" w:rsidRPr="00484560" w:rsidRDefault="001B5B0A" w:rsidP="006255F2">
            <w:pPr>
              <w:tabs>
                <w:tab w:val="left" w:pos="0"/>
              </w:tabs>
              <w:spacing w:before="60"/>
              <w:ind w:left="34" w:right="-46"/>
              <w:jc w:val="both"/>
              <w:rPr>
                <w:rFonts w:ascii="Arial Narrow" w:hAnsi="Arial Narrow" w:cs="Arial"/>
                <w:i/>
                <w:sz w:val="20"/>
                <w:szCs w:val="20"/>
              </w:rPr>
            </w:pPr>
            <w:r>
              <w:rPr>
                <w:rFonts w:ascii="Arial Narrow" w:hAnsi="Arial Narrow" w:cs="Arial"/>
                <w:i/>
                <w:sz w:val="20"/>
                <w:szCs w:val="20"/>
              </w:rPr>
              <w:t>D</w:t>
            </w:r>
            <w:r w:rsidRPr="00484560">
              <w:rPr>
                <w:rFonts w:ascii="Arial Narrow" w:hAnsi="Arial Narrow" w:cs="Arial"/>
                <w:i/>
                <w:sz w:val="20"/>
                <w:szCs w:val="20"/>
              </w:rPr>
              <w:t>evelopment should meet these criteria.</w:t>
            </w:r>
          </w:p>
        </w:tc>
        <w:tc>
          <w:tcPr>
            <w:tcW w:w="4536" w:type="dxa"/>
            <w:shd w:val="solid" w:color="D9D9D9" w:fill="auto"/>
          </w:tcPr>
          <w:p w14:paraId="5ABCF8BE" w14:textId="77777777" w:rsidR="001B5B0A" w:rsidRPr="00484560" w:rsidRDefault="001B5B0A" w:rsidP="006255F2">
            <w:pPr>
              <w:tabs>
                <w:tab w:val="left" w:pos="0"/>
              </w:tabs>
              <w:spacing w:before="60"/>
              <w:ind w:left="34" w:right="-46"/>
              <w:jc w:val="both"/>
              <w:rPr>
                <w:rFonts w:ascii="Arial Narrow" w:hAnsi="Arial Narrow" w:cs="Arial"/>
                <w:b/>
                <w:sz w:val="20"/>
                <w:szCs w:val="20"/>
              </w:rPr>
            </w:pPr>
            <w:r w:rsidRPr="00484560">
              <w:rPr>
                <w:rFonts w:ascii="Arial Narrow" w:hAnsi="Arial Narrow" w:cs="Arial"/>
                <w:b/>
                <w:sz w:val="20"/>
                <w:szCs w:val="20"/>
              </w:rPr>
              <w:t xml:space="preserve">Acceptable </w:t>
            </w:r>
            <w:r>
              <w:rPr>
                <w:rFonts w:ascii="Arial Narrow" w:hAnsi="Arial Narrow" w:cs="Arial"/>
                <w:b/>
                <w:sz w:val="20"/>
                <w:szCs w:val="20"/>
              </w:rPr>
              <w:t>Outcomes</w:t>
            </w:r>
          </w:p>
          <w:p w14:paraId="1E9F817F" w14:textId="77777777" w:rsidR="001B5B0A" w:rsidRPr="00484560" w:rsidRDefault="001B5B0A" w:rsidP="006255F2">
            <w:pPr>
              <w:tabs>
                <w:tab w:val="left" w:pos="0"/>
              </w:tabs>
              <w:spacing w:before="60" w:after="60"/>
              <w:ind w:left="34" w:right="-46"/>
              <w:jc w:val="both"/>
              <w:rPr>
                <w:rFonts w:ascii="Arial Narrow" w:hAnsi="Arial Narrow" w:cs="Arial"/>
                <w:i/>
                <w:sz w:val="20"/>
                <w:szCs w:val="20"/>
              </w:rPr>
            </w:pPr>
            <w:r w:rsidRPr="00484560">
              <w:rPr>
                <w:rFonts w:ascii="Arial Narrow" w:hAnsi="Arial Narrow" w:cs="Arial"/>
                <w:i/>
                <w:sz w:val="20"/>
                <w:szCs w:val="20"/>
              </w:rPr>
              <w:t xml:space="preserve">The acceptable </w:t>
            </w:r>
            <w:r>
              <w:rPr>
                <w:rFonts w:ascii="Arial Narrow" w:hAnsi="Arial Narrow" w:cs="Arial"/>
                <w:i/>
                <w:sz w:val="20"/>
                <w:szCs w:val="20"/>
              </w:rPr>
              <w:t>outcomes</w:t>
            </w:r>
            <w:r w:rsidRPr="00484560">
              <w:rPr>
                <w:rFonts w:ascii="Arial Narrow" w:hAnsi="Arial Narrow" w:cs="Arial"/>
                <w:i/>
                <w:sz w:val="20"/>
                <w:szCs w:val="20"/>
              </w:rPr>
              <w:t xml:space="preserve"> are ways of meeting the </w:t>
            </w:r>
            <w:r>
              <w:rPr>
                <w:rFonts w:ascii="Arial Narrow" w:hAnsi="Arial Narrow" w:cs="Arial"/>
                <w:i/>
                <w:sz w:val="20"/>
                <w:szCs w:val="20"/>
              </w:rPr>
              <w:t>element objective</w:t>
            </w:r>
            <w:r w:rsidRPr="00484560">
              <w:rPr>
                <w:rFonts w:ascii="Arial Narrow" w:hAnsi="Arial Narrow" w:cs="Arial"/>
                <w:i/>
                <w:sz w:val="20"/>
                <w:szCs w:val="20"/>
              </w:rPr>
              <w:t>.</w:t>
            </w:r>
          </w:p>
        </w:tc>
      </w:tr>
      <w:tr w:rsidR="001B5B0A" w:rsidRPr="00484560" w14:paraId="5CA9B6CA" w14:textId="77777777" w:rsidTr="006255F2">
        <w:tc>
          <w:tcPr>
            <w:tcW w:w="4820" w:type="dxa"/>
          </w:tcPr>
          <w:p w14:paraId="37905496" w14:textId="77777777" w:rsidR="001B5B0A" w:rsidRPr="00484560" w:rsidRDefault="001B5B0A" w:rsidP="006255F2">
            <w:pPr>
              <w:tabs>
                <w:tab w:val="left" w:pos="0"/>
              </w:tabs>
              <w:spacing w:before="60"/>
              <w:ind w:left="34" w:right="104"/>
              <w:jc w:val="both"/>
              <w:rPr>
                <w:rFonts w:ascii="Arial Narrow" w:hAnsi="Arial Narrow" w:cs="Arial"/>
                <w:sz w:val="20"/>
                <w:szCs w:val="20"/>
              </w:rPr>
            </w:pPr>
            <w:proofErr w:type="gramStart"/>
            <w:r w:rsidRPr="00484560">
              <w:rPr>
                <w:rFonts w:ascii="Arial Narrow" w:hAnsi="Arial Narrow" w:cs="Arial"/>
                <w:sz w:val="20"/>
                <w:szCs w:val="20"/>
              </w:rPr>
              <w:t>In regard to</w:t>
            </w:r>
            <w:proofErr w:type="gramEnd"/>
            <w:r w:rsidRPr="00484560">
              <w:rPr>
                <w:rFonts w:ascii="Arial Narrow" w:hAnsi="Arial Narrow" w:cs="Arial"/>
                <w:sz w:val="20"/>
                <w:szCs w:val="20"/>
              </w:rPr>
              <w:t xml:space="preserve"> pedestrian amenity within the </w:t>
            </w:r>
            <w:r>
              <w:rPr>
                <w:rFonts w:ascii="Arial Narrow" w:hAnsi="Arial Narrow" w:cs="Arial"/>
                <w:sz w:val="20"/>
                <w:szCs w:val="20"/>
              </w:rPr>
              <w:t>T</w:t>
            </w:r>
            <w:r w:rsidRPr="00484560">
              <w:rPr>
                <w:rFonts w:ascii="Arial Narrow" w:hAnsi="Arial Narrow" w:cs="Arial"/>
                <w:sz w:val="20"/>
                <w:szCs w:val="20"/>
              </w:rPr>
              <w:t xml:space="preserve">own </w:t>
            </w:r>
            <w:r>
              <w:rPr>
                <w:rFonts w:ascii="Arial Narrow" w:hAnsi="Arial Narrow" w:cs="Arial"/>
                <w:sz w:val="20"/>
                <w:szCs w:val="20"/>
              </w:rPr>
              <w:t>C</w:t>
            </w:r>
            <w:r w:rsidRPr="00484560">
              <w:rPr>
                <w:rFonts w:ascii="Arial Narrow" w:hAnsi="Arial Narrow" w:cs="Arial"/>
                <w:sz w:val="20"/>
                <w:szCs w:val="20"/>
              </w:rPr>
              <w:t>entre</w:t>
            </w:r>
            <w:r>
              <w:rPr>
                <w:rFonts w:ascii="Arial Narrow" w:hAnsi="Arial Narrow" w:cs="Arial"/>
                <w:sz w:val="20"/>
                <w:szCs w:val="20"/>
              </w:rPr>
              <w:t xml:space="preserve"> Redevelopment Area</w:t>
            </w:r>
            <w:r w:rsidRPr="00484560">
              <w:rPr>
                <w:rFonts w:ascii="Arial Narrow" w:hAnsi="Arial Narrow" w:cs="Arial"/>
                <w:sz w:val="20"/>
                <w:szCs w:val="20"/>
              </w:rPr>
              <w:t xml:space="preserve">, development </w:t>
            </w:r>
            <w:r>
              <w:rPr>
                <w:rFonts w:ascii="Arial Narrow" w:hAnsi="Arial Narrow" w:cs="Arial"/>
                <w:sz w:val="20"/>
                <w:szCs w:val="20"/>
              </w:rPr>
              <w:t>is to</w:t>
            </w:r>
            <w:r w:rsidRPr="00484560">
              <w:rPr>
                <w:rFonts w:ascii="Arial Narrow" w:hAnsi="Arial Narrow" w:cs="Arial"/>
                <w:sz w:val="20"/>
                <w:szCs w:val="20"/>
              </w:rPr>
              <w:t>:</w:t>
            </w:r>
          </w:p>
          <w:p w14:paraId="3709E06D" w14:textId="77777777" w:rsidR="001B5B0A" w:rsidRPr="00484560" w:rsidRDefault="001B5B0A" w:rsidP="006255F2">
            <w:pPr>
              <w:pStyle w:val="ListParagraph"/>
              <w:tabs>
                <w:tab w:val="left" w:pos="9072"/>
              </w:tabs>
              <w:spacing w:before="60"/>
              <w:ind w:left="318" w:right="104" w:hanging="284"/>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Provide shade and shelter for pedestrians in outdoor spaces to make walking an attractive alternative to car use.</w:t>
            </w:r>
          </w:p>
          <w:p w14:paraId="10F37896" w14:textId="77777777" w:rsidR="001B5B0A" w:rsidRPr="00484560" w:rsidRDefault="001B5B0A" w:rsidP="006255F2">
            <w:pPr>
              <w:pStyle w:val="ListParagraph"/>
              <w:tabs>
                <w:tab w:val="left" w:pos="9072"/>
              </w:tabs>
              <w:spacing w:before="60"/>
              <w:ind w:left="318" w:right="104" w:hanging="284"/>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Employ CPTED principles (Crime Prevention Through Environmental Design) to create a safe, and well-lit pedestrian environment with good surveillance to make walking a psychologically comfortable alternative to car use, particularly at night.</w:t>
            </w:r>
          </w:p>
          <w:p w14:paraId="6765D4CD" w14:textId="77777777" w:rsidR="001B5B0A" w:rsidRPr="00484560" w:rsidRDefault="001B5B0A" w:rsidP="006255F2">
            <w:pPr>
              <w:pStyle w:val="ListParagraph"/>
              <w:tabs>
                <w:tab w:val="left" w:pos="9072"/>
              </w:tabs>
              <w:spacing w:before="60"/>
              <w:ind w:left="318" w:right="104" w:hanging="284"/>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Provide obvious and direct pedestrian routes to, and between, major attractors to make walking a legible and convenient alternative to car use.</w:t>
            </w:r>
          </w:p>
          <w:p w14:paraId="48A1B329" w14:textId="77777777" w:rsidR="001B5B0A" w:rsidRPr="00484560" w:rsidRDefault="001B5B0A" w:rsidP="006255F2">
            <w:pPr>
              <w:pStyle w:val="ListParagraph"/>
              <w:tabs>
                <w:tab w:val="left" w:pos="9072"/>
              </w:tabs>
              <w:spacing w:before="60"/>
              <w:ind w:left="318" w:right="104" w:hanging="284"/>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Enable ease of pedestrian movement across streets to give pedestrians greater confidence and a sense of ‘ownership’ of the street environment.</w:t>
            </w:r>
          </w:p>
          <w:p w14:paraId="7E62FAF1" w14:textId="77777777" w:rsidR="001B5B0A" w:rsidRPr="00484560" w:rsidRDefault="001B5B0A" w:rsidP="006255F2">
            <w:pPr>
              <w:pStyle w:val="ListParagraph"/>
              <w:tabs>
                <w:tab w:val="left" w:pos="9072"/>
              </w:tabs>
              <w:spacing w:before="60"/>
              <w:ind w:left="318" w:right="104" w:hanging="284"/>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Provide equitable access for all street users (that is, no separation of wheelchair users), wherever possible, to ensure that streets ‘belong’ to everyone.</w:t>
            </w:r>
          </w:p>
          <w:p w14:paraId="3641E198" w14:textId="77777777" w:rsidR="001B5B0A" w:rsidRPr="00484560" w:rsidRDefault="001B5B0A" w:rsidP="006255F2">
            <w:pPr>
              <w:pStyle w:val="ListParagraph"/>
              <w:tabs>
                <w:tab w:val="left" w:pos="9072"/>
              </w:tabs>
              <w:spacing w:before="60"/>
              <w:ind w:left="318" w:right="104" w:hanging="284"/>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Provide choices in direction within the pedestrian movement network to enable flexibility of movement and greater interest for pedestrians.</w:t>
            </w:r>
          </w:p>
          <w:p w14:paraId="18784961" w14:textId="77777777" w:rsidR="001B5B0A" w:rsidRPr="00484560" w:rsidRDefault="001B5B0A" w:rsidP="006255F2">
            <w:pPr>
              <w:pStyle w:val="ListParagraph"/>
              <w:tabs>
                <w:tab w:val="left" w:pos="9072"/>
              </w:tabs>
              <w:spacing w:before="60"/>
              <w:ind w:left="318" w:right="104" w:hanging="284"/>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Provide local landmarks, artwork and landscape elements as an aid for legibility.</w:t>
            </w:r>
          </w:p>
          <w:p w14:paraId="59A3DAD0" w14:textId="77777777" w:rsidR="001B5B0A" w:rsidRPr="00484560" w:rsidRDefault="001B5B0A" w:rsidP="006255F2">
            <w:pPr>
              <w:pStyle w:val="ListParagraph"/>
              <w:tabs>
                <w:tab w:val="left" w:pos="9072"/>
              </w:tabs>
              <w:spacing w:before="60"/>
              <w:ind w:left="318" w:right="104" w:hanging="284"/>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Provide continuous paved surfaces along all streets and other identified pedestrian desire lines to make walking a convenient alternative to car use.</w:t>
            </w:r>
          </w:p>
          <w:p w14:paraId="7E0E4FD3" w14:textId="77777777" w:rsidR="001B5B0A" w:rsidRPr="00484560" w:rsidRDefault="001B5B0A" w:rsidP="006255F2">
            <w:pPr>
              <w:pStyle w:val="ListParagraph"/>
              <w:tabs>
                <w:tab w:val="left" w:pos="9072"/>
              </w:tabs>
              <w:spacing w:before="60" w:after="60"/>
              <w:ind w:left="318" w:right="104" w:hanging="284"/>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Provide resting opportunities for pedestrians such as bench seats or other street furniture and landscape elements that encourage sitting in the public domain.</w:t>
            </w:r>
          </w:p>
        </w:tc>
        <w:tc>
          <w:tcPr>
            <w:tcW w:w="4536" w:type="dxa"/>
          </w:tcPr>
          <w:p w14:paraId="061951EF" w14:textId="77777777" w:rsidR="001B5B0A" w:rsidRPr="00484560" w:rsidRDefault="001B5B0A" w:rsidP="006255F2">
            <w:pPr>
              <w:pStyle w:val="ListParagraph"/>
              <w:tabs>
                <w:tab w:val="left" w:pos="247"/>
              </w:tabs>
              <w:spacing w:before="60"/>
              <w:ind w:left="247" w:right="34" w:hanging="247"/>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 xml:space="preserve">Buildings with a commercial ground floor adjacent to footpaths </w:t>
            </w:r>
            <w:r>
              <w:rPr>
                <w:rFonts w:ascii="Arial Narrow" w:hAnsi="Arial Narrow" w:cs="Arial"/>
                <w:sz w:val="20"/>
                <w:szCs w:val="20"/>
              </w:rPr>
              <w:t xml:space="preserve">are to </w:t>
            </w:r>
            <w:r w:rsidRPr="00484560">
              <w:rPr>
                <w:rFonts w:ascii="Arial Narrow" w:hAnsi="Arial Narrow" w:cs="Arial"/>
                <w:sz w:val="20"/>
                <w:szCs w:val="20"/>
              </w:rPr>
              <w:t>incorporate a canopy or awning that extends at least 2.4m over the footpath, but not within 0.3m of the kerb, and with a minimum height of 2.7m above the footpath.</w:t>
            </w:r>
          </w:p>
          <w:p w14:paraId="1468F01B" w14:textId="77777777" w:rsidR="001B5B0A" w:rsidRPr="00484560" w:rsidRDefault="001B5B0A" w:rsidP="006255F2">
            <w:pPr>
              <w:pStyle w:val="ListParagraph"/>
              <w:tabs>
                <w:tab w:val="left" w:pos="247"/>
              </w:tabs>
              <w:spacing w:before="60"/>
              <w:ind w:left="247" w:right="34" w:hanging="247"/>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 xml:space="preserve">Development </w:t>
            </w:r>
            <w:r>
              <w:rPr>
                <w:rFonts w:ascii="Arial Narrow" w:hAnsi="Arial Narrow" w:cs="Arial"/>
                <w:sz w:val="20"/>
                <w:szCs w:val="20"/>
              </w:rPr>
              <w:t>is to</w:t>
            </w:r>
            <w:r w:rsidRPr="00484560">
              <w:rPr>
                <w:rFonts w:ascii="Arial Narrow" w:hAnsi="Arial Narrow" w:cs="Arial"/>
                <w:sz w:val="20"/>
                <w:szCs w:val="20"/>
              </w:rPr>
              <w:t xml:space="preserve"> be consistent with the WAPC document </w:t>
            </w:r>
            <w:r w:rsidRPr="00484560">
              <w:rPr>
                <w:rFonts w:ascii="Arial Narrow" w:hAnsi="Arial Narrow" w:cs="Arial"/>
                <w:i/>
                <w:sz w:val="20"/>
                <w:szCs w:val="20"/>
              </w:rPr>
              <w:t>Designing Out Crime</w:t>
            </w:r>
            <w:r w:rsidRPr="00484560">
              <w:rPr>
                <w:rFonts w:ascii="Arial Narrow" w:hAnsi="Arial Narrow" w:cs="Arial"/>
                <w:sz w:val="20"/>
                <w:szCs w:val="20"/>
              </w:rPr>
              <w:t xml:space="preserve">. </w:t>
            </w:r>
          </w:p>
          <w:p w14:paraId="18CFEAB7" w14:textId="77777777" w:rsidR="001B5B0A" w:rsidRPr="00484560" w:rsidRDefault="001B5B0A" w:rsidP="006255F2">
            <w:pPr>
              <w:pStyle w:val="ListParagraph"/>
              <w:tabs>
                <w:tab w:val="left" w:pos="247"/>
              </w:tabs>
              <w:spacing w:before="60"/>
              <w:ind w:left="247" w:right="34" w:hanging="247"/>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 xml:space="preserve">Development </w:t>
            </w:r>
            <w:r>
              <w:rPr>
                <w:rFonts w:ascii="Arial Narrow" w:hAnsi="Arial Narrow" w:cs="Arial"/>
                <w:sz w:val="20"/>
                <w:szCs w:val="20"/>
              </w:rPr>
              <w:t xml:space="preserve">is to </w:t>
            </w:r>
            <w:r w:rsidRPr="00484560">
              <w:rPr>
                <w:rFonts w:ascii="Arial Narrow" w:hAnsi="Arial Narrow" w:cs="Arial"/>
                <w:sz w:val="20"/>
                <w:szCs w:val="20"/>
              </w:rPr>
              <w:t>meet all relevant BCA requirements for universal access.</w:t>
            </w:r>
          </w:p>
          <w:p w14:paraId="7B6C3D14" w14:textId="77777777" w:rsidR="001B5B0A" w:rsidRPr="00484560" w:rsidRDefault="001B5B0A" w:rsidP="006255F2">
            <w:pPr>
              <w:pStyle w:val="ListParagraph"/>
              <w:tabs>
                <w:tab w:val="left" w:pos="247"/>
              </w:tabs>
              <w:spacing w:before="60"/>
              <w:ind w:left="247" w:right="34" w:hanging="247"/>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sidRPr="00484560">
              <w:rPr>
                <w:rFonts w:ascii="Arial Narrow" w:hAnsi="Arial Narrow" w:cs="Arial"/>
                <w:sz w:val="20"/>
                <w:szCs w:val="20"/>
              </w:rPr>
              <w:t>Provide for the pedestrian connections identified in Plans 3 and 4.</w:t>
            </w:r>
          </w:p>
          <w:p w14:paraId="027016DD" w14:textId="77777777" w:rsidR="001B5B0A" w:rsidRPr="00484560" w:rsidRDefault="001B5B0A" w:rsidP="006255F2">
            <w:pPr>
              <w:pStyle w:val="ListParagraph"/>
              <w:tabs>
                <w:tab w:val="left" w:pos="247"/>
              </w:tabs>
              <w:spacing w:before="60"/>
              <w:ind w:left="247" w:right="34" w:hanging="247"/>
              <w:jc w:val="both"/>
              <w:rPr>
                <w:rFonts w:ascii="Arial Narrow" w:hAnsi="Arial Narrow" w:cs="Arial"/>
                <w:sz w:val="20"/>
                <w:szCs w:val="20"/>
              </w:rPr>
            </w:pPr>
            <w:r w:rsidRPr="00484560">
              <w:rPr>
                <w:rFonts w:ascii="Arial Narrow" w:hAnsi="Arial Narrow" w:cs="Arial"/>
                <w:b/>
                <w:sz w:val="20"/>
                <w:szCs w:val="20"/>
              </w:rPr>
              <w:t>..</w:t>
            </w:r>
            <w:r w:rsidRPr="00484560">
              <w:rPr>
                <w:rFonts w:ascii="Arial Narrow" w:hAnsi="Arial Narrow" w:cs="Arial"/>
                <w:b/>
                <w:sz w:val="20"/>
                <w:szCs w:val="20"/>
              </w:rPr>
              <w:tab/>
            </w:r>
            <w:r>
              <w:rPr>
                <w:rFonts w:ascii="Arial Narrow" w:hAnsi="Arial Narrow" w:cs="Arial"/>
                <w:sz w:val="20"/>
                <w:szCs w:val="20"/>
              </w:rPr>
              <w:t>Connecting pathways</w:t>
            </w:r>
            <w:r w:rsidRPr="00236752">
              <w:rPr>
                <w:rFonts w:ascii="Arial Narrow" w:hAnsi="Arial Narrow" w:cs="Arial"/>
                <w:sz w:val="20"/>
                <w:szCs w:val="20"/>
              </w:rPr>
              <w:t xml:space="preserve"> </w:t>
            </w:r>
            <w:r>
              <w:rPr>
                <w:rFonts w:ascii="Arial Narrow" w:hAnsi="Arial Narrow" w:cs="Arial"/>
                <w:sz w:val="20"/>
                <w:szCs w:val="20"/>
              </w:rPr>
              <w:t>are to</w:t>
            </w:r>
            <w:r w:rsidRPr="00236752">
              <w:rPr>
                <w:rFonts w:ascii="Arial Narrow" w:hAnsi="Arial Narrow" w:cs="Arial"/>
                <w:sz w:val="20"/>
                <w:szCs w:val="20"/>
              </w:rPr>
              <w:t xml:space="preserve"> </w:t>
            </w:r>
            <w:r>
              <w:rPr>
                <w:rFonts w:ascii="Arial Narrow" w:hAnsi="Arial Narrow" w:cs="Arial"/>
                <w:sz w:val="20"/>
                <w:szCs w:val="20"/>
              </w:rPr>
              <w:t>be of suitable materials and design as agreed to be</w:t>
            </w:r>
            <w:r w:rsidRPr="00236752">
              <w:rPr>
                <w:rFonts w:ascii="Arial Narrow" w:hAnsi="Arial Narrow" w:cs="Arial"/>
                <w:sz w:val="20"/>
                <w:szCs w:val="20"/>
              </w:rPr>
              <w:t xml:space="preserve"> acceptable by the </w:t>
            </w:r>
            <w:r>
              <w:rPr>
                <w:rFonts w:ascii="Arial Narrow" w:hAnsi="Arial Narrow" w:cs="Arial"/>
                <w:sz w:val="20"/>
                <w:szCs w:val="20"/>
              </w:rPr>
              <w:t>Town and in reference to the Tow of East Fremantle Urban Streetscape and Public Realm Style Guide 2020</w:t>
            </w:r>
          </w:p>
          <w:p w14:paraId="2129D3A9" w14:textId="77777777" w:rsidR="001B5B0A" w:rsidRPr="00484560" w:rsidRDefault="001B5B0A" w:rsidP="006255F2">
            <w:pPr>
              <w:pStyle w:val="ListParagraph"/>
              <w:tabs>
                <w:tab w:val="left" w:pos="0"/>
              </w:tabs>
              <w:ind w:left="34" w:right="-46"/>
              <w:jc w:val="both"/>
              <w:rPr>
                <w:rFonts w:ascii="Arial Narrow" w:hAnsi="Arial Narrow" w:cs="Arial"/>
                <w:sz w:val="20"/>
                <w:szCs w:val="20"/>
              </w:rPr>
            </w:pPr>
          </w:p>
        </w:tc>
      </w:tr>
    </w:tbl>
    <w:p w14:paraId="3F0B1D98" w14:textId="77777777" w:rsidR="001B5B0A" w:rsidRPr="004F586C" w:rsidRDefault="001B5B0A" w:rsidP="001B5B0A">
      <w:pPr>
        <w:spacing w:before="240" w:after="0"/>
        <w:jc w:val="both"/>
        <w:rPr>
          <w:rFonts w:cs="Arial"/>
          <w:i/>
          <w:u w:val="single"/>
        </w:rPr>
      </w:pPr>
      <w:r w:rsidRPr="004F586C">
        <w:rPr>
          <w:rFonts w:cs="Arial"/>
          <w:i/>
          <w:u w:val="single"/>
        </w:rPr>
        <w:t>Element 7: Vehicle Movement and Access</w:t>
      </w:r>
    </w:p>
    <w:p w14:paraId="287B25CA" w14:textId="77777777" w:rsidR="001B5B0A" w:rsidRPr="004F586C" w:rsidRDefault="001B5B0A" w:rsidP="001B5B0A">
      <w:pPr>
        <w:spacing w:after="120"/>
        <w:jc w:val="both"/>
        <w:rPr>
          <w:rFonts w:cs="Arial"/>
        </w:rPr>
      </w:pPr>
      <w:r w:rsidRPr="004F586C">
        <w:rPr>
          <w:rFonts w:cs="Arial"/>
        </w:rPr>
        <w:t xml:space="preserve">Vehicle movement and access refers to the movement of private cars and service vehicles within and around the </w:t>
      </w:r>
      <w:r>
        <w:rPr>
          <w:rFonts w:cs="Arial"/>
        </w:rPr>
        <w:t>T</w:t>
      </w:r>
      <w:r w:rsidRPr="004F586C">
        <w:rPr>
          <w:rFonts w:cs="Arial"/>
        </w:rPr>
        <w:t xml:space="preserve">own </w:t>
      </w:r>
      <w:r>
        <w:rPr>
          <w:rFonts w:cs="Arial"/>
        </w:rPr>
        <w:t>C</w:t>
      </w:r>
      <w:r w:rsidRPr="004F586C">
        <w:rPr>
          <w:rFonts w:cs="Arial"/>
        </w:rPr>
        <w:t>entre, and how those vehicles enter buildings and car parks.</w:t>
      </w:r>
    </w:p>
    <w:p w14:paraId="17657A7F" w14:textId="77777777" w:rsidR="001B5B0A" w:rsidRPr="004F586C" w:rsidRDefault="001B5B0A" w:rsidP="001B5B0A">
      <w:pPr>
        <w:spacing w:after="120"/>
        <w:jc w:val="both"/>
        <w:rPr>
          <w:rFonts w:cs="Arial"/>
        </w:rPr>
      </w:pPr>
      <w:proofErr w:type="gramStart"/>
      <w:r w:rsidRPr="004F586C">
        <w:rPr>
          <w:rFonts w:cs="Arial"/>
        </w:rPr>
        <w:t>In regard to</w:t>
      </w:r>
      <w:proofErr w:type="gramEnd"/>
      <w:r w:rsidRPr="004F586C">
        <w:rPr>
          <w:rFonts w:cs="Arial"/>
        </w:rPr>
        <w:t xml:space="preserve"> vehicle movement and access, the policy objectives are:</w:t>
      </w:r>
    </w:p>
    <w:p w14:paraId="2B1911E3" w14:textId="77777777" w:rsidR="001B5B0A" w:rsidRPr="004F586C" w:rsidRDefault="001B5B0A" w:rsidP="001B5B0A">
      <w:pPr>
        <w:spacing w:before="120" w:after="120"/>
        <w:ind w:left="426" w:hanging="426"/>
        <w:jc w:val="both"/>
        <w:rPr>
          <w:rFonts w:cs="Arial"/>
        </w:rPr>
      </w:pPr>
      <w:r w:rsidRPr="004F586C">
        <w:rPr>
          <w:rFonts w:cs="Arial"/>
        </w:rPr>
        <w:lastRenderedPageBreak/>
        <w:t>-</w:t>
      </w:r>
      <w:r w:rsidRPr="004F586C">
        <w:rPr>
          <w:rFonts w:cs="Arial"/>
        </w:rPr>
        <w:tab/>
        <w:t>To carefully balance the needs of vehicle users with other street users such as pedestrians, cyclists, and public transport users.</w:t>
      </w:r>
    </w:p>
    <w:p w14:paraId="7BCFEA55" w14:textId="77777777" w:rsidR="001B5B0A" w:rsidRPr="004F586C" w:rsidRDefault="001B5B0A" w:rsidP="001B5B0A">
      <w:pPr>
        <w:spacing w:before="120" w:after="120"/>
        <w:ind w:left="426" w:hanging="426"/>
        <w:jc w:val="both"/>
        <w:rPr>
          <w:rFonts w:cs="Arial"/>
        </w:rPr>
      </w:pPr>
      <w:r w:rsidRPr="004F586C">
        <w:rPr>
          <w:rFonts w:cs="Arial"/>
        </w:rPr>
        <w:t>-</w:t>
      </w:r>
      <w:r w:rsidRPr="004F586C">
        <w:rPr>
          <w:rFonts w:cs="Arial"/>
        </w:rPr>
        <w:tab/>
        <w:t>To ensure that the needs of vehicles do not unduly compromise the objectives of creating an attractive urban environment with a high level of pedestrian amenity.</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132"/>
        <w:gridCol w:w="4224"/>
      </w:tblGrid>
      <w:tr w:rsidR="001B5B0A" w:rsidRPr="000516D6" w14:paraId="4763BFAD" w14:textId="77777777" w:rsidTr="006255F2">
        <w:tc>
          <w:tcPr>
            <w:tcW w:w="5132" w:type="dxa"/>
            <w:shd w:val="solid" w:color="D9D9D9" w:fill="auto"/>
          </w:tcPr>
          <w:p w14:paraId="725DB9E9" w14:textId="77777777" w:rsidR="001B5B0A" w:rsidRPr="000516D6" w:rsidRDefault="001B5B0A" w:rsidP="006255F2">
            <w:pPr>
              <w:tabs>
                <w:tab w:val="right" w:pos="3861"/>
              </w:tabs>
              <w:spacing w:before="60" w:after="60"/>
              <w:ind w:right="34"/>
              <w:jc w:val="both"/>
              <w:rPr>
                <w:rFonts w:ascii="Arial Narrow" w:hAnsi="Arial Narrow" w:cs="Arial"/>
                <w:b/>
                <w:sz w:val="20"/>
                <w:szCs w:val="20"/>
              </w:rPr>
            </w:pPr>
            <w:r>
              <w:rPr>
                <w:rFonts w:ascii="Arial Narrow" w:hAnsi="Arial Narrow" w:cs="Arial"/>
                <w:b/>
                <w:sz w:val="20"/>
                <w:szCs w:val="20"/>
              </w:rPr>
              <w:t>Element Objective</w:t>
            </w:r>
          </w:p>
          <w:p w14:paraId="10B20361" w14:textId="77777777" w:rsidR="001B5B0A" w:rsidRPr="000516D6" w:rsidRDefault="001B5B0A" w:rsidP="006255F2">
            <w:pPr>
              <w:tabs>
                <w:tab w:val="right" w:pos="3861"/>
              </w:tabs>
              <w:spacing w:before="60" w:after="60"/>
              <w:ind w:right="34"/>
              <w:jc w:val="both"/>
              <w:rPr>
                <w:rFonts w:ascii="Arial Narrow" w:hAnsi="Arial Narrow" w:cs="Arial"/>
                <w:i/>
                <w:sz w:val="20"/>
                <w:szCs w:val="20"/>
              </w:rPr>
            </w:pPr>
            <w:r>
              <w:rPr>
                <w:rFonts w:ascii="Arial Narrow" w:hAnsi="Arial Narrow" w:cs="Arial"/>
                <w:i/>
                <w:sz w:val="20"/>
                <w:szCs w:val="20"/>
              </w:rPr>
              <w:t>D</w:t>
            </w:r>
            <w:r w:rsidRPr="000516D6">
              <w:rPr>
                <w:rFonts w:ascii="Arial Narrow" w:hAnsi="Arial Narrow" w:cs="Arial"/>
                <w:i/>
                <w:sz w:val="20"/>
                <w:szCs w:val="20"/>
              </w:rPr>
              <w:t>evelopment should meet these criteria.</w:t>
            </w:r>
          </w:p>
        </w:tc>
        <w:tc>
          <w:tcPr>
            <w:tcW w:w="4224" w:type="dxa"/>
            <w:shd w:val="solid" w:color="D9D9D9" w:fill="auto"/>
          </w:tcPr>
          <w:p w14:paraId="18384ABA" w14:textId="77777777" w:rsidR="001B5B0A" w:rsidRPr="000516D6" w:rsidRDefault="001B5B0A" w:rsidP="006255F2">
            <w:pPr>
              <w:spacing w:before="60" w:after="60"/>
              <w:ind w:left="34" w:right="76"/>
              <w:jc w:val="both"/>
              <w:rPr>
                <w:rFonts w:ascii="Arial Narrow" w:hAnsi="Arial Narrow" w:cs="Arial"/>
                <w:b/>
                <w:sz w:val="20"/>
                <w:szCs w:val="20"/>
              </w:rPr>
            </w:pPr>
            <w:r w:rsidRPr="000516D6">
              <w:rPr>
                <w:rFonts w:ascii="Arial Narrow" w:hAnsi="Arial Narrow" w:cs="Arial"/>
                <w:b/>
                <w:sz w:val="20"/>
                <w:szCs w:val="20"/>
              </w:rPr>
              <w:t xml:space="preserve">Acceptable </w:t>
            </w:r>
            <w:r>
              <w:rPr>
                <w:rFonts w:ascii="Arial Narrow" w:hAnsi="Arial Narrow" w:cs="Arial"/>
                <w:b/>
                <w:sz w:val="20"/>
                <w:szCs w:val="20"/>
              </w:rPr>
              <w:t>Outcomes</w:t>
            </w:r>
          </w:p>
          <w:p w14:paraId="429774AC" w14:textId="77777777" w:rsidR="001B5B0A" w:rsidRPr="000516D6" w:rsidRDefault="001B5B0A" w:rsidP="006255F2">
            <w:pPr>
              <w:spacing w:before="60" w:after="60"/>
              <w:ind w:left="34" w:right="76"/>
              <w:jc w:val="both"/>
              <w:rPr>
                <w:rFonts w:ascii="Arial Narrow" w:hAnsi="Arial Narrow" w:cs="Arial"/>
                <w:i/>
                <w:sz w:val="20"/>
                <w:szCs w:val="20"/>
              </w:rPr>
            </w:pPr>
            <w:r w:rsidRPr="000516D6">
              <w:rPr>
                <w:rFonts w:ascii="Arial Narrow" w:hAnsi="Arial Narrow" w:cs="Arial"/>
                <w:i/>
                <w:sz w:val="20"/>
                <w:szCs w:val="20"/>
              </w:rPr>
              <w:t xml:space="preserve">The acceptable </w:t>
            </w:r>
            <w:r>
              <w:rPr>
                <w:rFonts w:ascii="Arial Narrow" w:hAnsi="Arial Narrow" w:cs="Arial"/>
                <w:i/>
                <w:sz w:val="20"/>
                <w:szCs w:val="20"/>
              </w:rPr>
              <w:t>outcomes</w:t>
            </w:r>
            <w:r w:rsidRPr="000516D6">
              <w:rPr>
                <w:rFonts w:ascii="Arial Narrow" w:hAnsi="Arial Narrow" w:cs="Arial"/>
                <w:i/>
                <w:sz w:val="20"/>
                <w:szCs w:val="20"/>
              </w:rPr>
              <w:t xml:space="preserve"> are ways of meeting the </w:t>
            </w:r>
            <w:r>
              <w:rPr>
                <w:rFonts w:ascii="Arial Narrow" w:hAnsi="Arial Narrow" w:cs="Arial"/>
                <w:i/>
                <w:sz w:val="20"/>
                <w:szCs w:val="20"/>
              </w:rPr>
              <w:t>element objective.</w:t>
            </w:r>
          </w:p>
        </w:tc>
      </w:tr>
      <w:tr w:rsidR="001B5B0A" w:rsidRPr="000516D6" w14:paraId="392BDA56" w14:textId="77777777" w:rsidTr="006255F2">
        <w:tc>
          <w:tcPr>
            <w:tcW w:w="5132" w:type="dxa"/>
          </w:tcPr>
          <w:p w14:paraId="58BD3DD7" w14:textId="77777777" w:rsidR="001B5B0A" w:rsidRPr="000516D6" w:rsidRDefault="001B5B0A" w:rsidP="006255F2">
            <w:pPr>
              <w:tabs>
                <w:tab w:val="right" w:pos="3861"/>
              </w:tabs>
              <w:spacing w:before="60"/>
              <w:ind w:right="34"/>
              <w:jc w:val="both"/>
              <w:rPr>
                <w:rFonts w:ascii="Arial Narrow" w:hAnsi="Arial Narrow" w:cs="Arial"/>
                <w:sz w:val="20"/>
                <w:szCs w:val="20"/>
              </w:rPr>
            </w:pPr>
            <w:proofErr w:type="gramStart"/>
            <w:r w:rsidRPr="000516D6">
              <w:rPr>
                <w:rFonts w:ascii="Arial Narrow" w:hAnsi="Arial Narrow" w:cs="Arial"/>
                <w:sz w:val="20"/>
                <w:szCs w:val="20"/>
              </w:rPr>
              <w:t>In regard to</w:t>
            </w:r>
            <w:proofErr w:type="gramEnd"/>
            <w:r w:rsidRPr="000516D6">
              <w:rPr>
                <w:rFonts w:ascii="Arial Narrow" w:hAnsi="Arial Narrow" w:cs="Arial"/>
                <w:sz w:val="20"/>
                <w:szCs w:val="20"/>
              </w:rPr>
              <w:t xml:space="preserve"> vehicle movement within the </w:t>
            </w:r>
            <w:r>
              <w:rPr>
                <w:rFonts w:ascii="Arial Narrow" w:hAnsi="Arial Narrow" w:cs="Arial"/>
                <w:sz w:val="20"/>
                <w:szCs w:val="20"/>
              </w:rPr>
              <w:t>T</w:t>
            </w:r>
            <w:r w:rsidRPr="000516D6">
              <w:rPr>
                <w:rFonts w:ascii="Arial Narrow" w:hAnsi="Arial Narrow" w:cs="Arial"/>
                <w:sz w:val="20"/>
                <w:szCs w:val="20"/>
              </w:rPr>
              <w:t xml:space="preserve">own </w:t>
            </w:r>
            <w:r>
              <w:rPr>
                <w:rFonts w:ascii="Arial Narrow" w:hAnsi="Arial Narrow" w:cs="Arial"/>
                <w:sz w:val="20"/>
                <w:szCs w:val="20"/>
              </w:rPr>
              <w:t>C</w:t>
            </w:r>
            <w:r w:rsidRPr="000516D6">
              <w:rPr>
                <w:rFonts w:ascii="Arial Narrow" w:hAnsi="Arial Narrow" w:cs="Arial"/>
                <w:sz w:val="20"/>
                <w:szCs w:val="20"/>
              </w:rPr>
              <w:t>entre</w:t>
            </w:r>
            <w:r>
              <w:rPr>
                <w:rFonts w:ascii="Arial Narrow" w:hAnsi="Arial Narrow" w:cs="Arial"/>
                <w:sz w:val="20"/>
                <w:szCs w:val="20"/>
              </w:rPr>
              <w:t xml:space="preserve"> redevelopment Area</w:t>
            </w:r>
            <w:r w:rsidRPr="000516D6">
              <w:rPr>
                <w:rFonts w:ascii="Arial Narrow" w:hAnsi="Arial Narrow" w:cs="Arial"/>
                <w:sz w:val="20"/>
                <w:szCs w:val="20"/>
              </w:rPr>
              <w:t xml:space="preserve">, development </w:t>
            </w:r>
            <w:r>
              <w:rPr>
                <w:rFonts w:ascii="Arial Narrow" w:hAnsi="Arial Narrow" w:cs="Arial"/>
                <w:sz w:val="20"/>
                <w:szCs w:val="20"/>
              </w:rPr>
              <w:t>is to</w:t>
            </w:r>
            <w:r w:rsidRPr="000516D6">
              <w:rPr>
                <w:rFonts w:ascii="Arial Narrow" w:hAnsi="Arial Narrow" w:cs="Arial"/>
                <w:sz w:val="20"/>
                <w:szCs w:val="20"/>
              </w:rPr>
              <w:t>:</w:t>
            </w:r>
          </w:p>
          <w:p w14:paraId="6EFA53D1" w14:textId="77777777" w:rsidR="001B5B0A" w:rsidRPr="000516D6" w:rsidRDefault="001B5B0A" w:rsidP="006255F2">
            <w:pPr>
              <w:pStyle w:val="ListParagraph"/>
              <w:tabs>
                <w:tab w:val="right" w:pos="3861"/>
                <w:tab w:val="left" w:pos="9050"/>
              </w:tabs>
              <w:spacing w:before="60"/>
              <w:ind w:left="318" w:right="34" w:hanging="318"/>
              <w:jc w:val="both"/>
              <w:rPr>
                <w:rFonts w:ascii="Arial Narrow" w:hAnsi="Arial Narrow" w:cs="Arial"/>
                <w:sz w:val="20"/>
                <w:szCs w:val="20"/>
              </w:rPr>
            </w:pPr>
            <w:r w:rsidRPr="000516D6">
              <w:rPr>
                <w:rFonts w:ascii="Arial Narrow" w:hAnsi="Arial Narrow" w:cs="Arial"/>
                <w:b/>
                <w:sz w:val="20"/>
                <w:szCs w:val="20"/>
              </w:rPr>
              <w:t>..</w:t>
            </w:r>
            <w:r w:rsidRPr="000516D6">
              <w:rPr>
                <w:rFonts w:ascii="Arial Narrow" w:hAnsi="Arial Narrow" w:cs="Arial"/>
                <w:b/>
                <w:sz w:val="20"/>
                <w:szCs w:val="20"/>
              </w:rPr>
              <w:tab/>
            </w:r>
            <w:r w:rsidRPr="000516D6">
              <w:rPr>
                <w:rFonts w:ascii="Arial Narrow" w:hAnsi="Arial Narrow" w:cs="Arial"/>
                <w:sz w:val="20"/>
                <w:szCs w:val="20"/>
              </w:rPr>
              <w:t>Ensure a legible and permeable street layout that can disperse traffic movement and, thus, reduce the traffic volumes on the street network.</w:t>
            </w:r>
          </w:p>
          <w:p w14:paraId="146E7CA7" w14:textId="77777777" w:rsidR="001B5B0A" w:rsidRPr="000516D6" w:rsidRDefault="001B5B0A" w:rsidP="006255F2">
            <w:pPr>
              <w:pStyle w:val="ListParagraph"/>
              <w:tabs>
                <w:tab w:val="right" w:pos="3861"/>
                <w:tab w:val="left" w:pos="9050"/>
              </w:tabs>
              <w:spacing w:before="60"/>
              <w:ind w:left="318" w:right="34" w:hanging="318"/>
              <w:jc w:val="both"/>
              <w:rPr>
                <w:rFonts w:ascii="Arial Narrow" w:hAnsi="Arial Narrow" w:cs="Arial"/>
                <w:sz w:val="20"/>
                <w:szCs w:val="20"/>
              </w:rPr>
            </w:pPr>
            <w:r w:rsidRPr="000516D6">
              <w:rPr>
                <w:rFonts w:ascii="Arial Narrow" w:hAnsi="Arial Narrow" w:cs="Arial"/>
                <w:b/>
                <w:sz w:val="20"/>
                <w:szCs w:val="20"/>
              </w:rPr>
              <w:t>..</w:t>
            </w:r>
            <w:r w:rsidRPr="000516D6">
              <w:rPr>
                <w:rFonts w:ascii="Arial Narrow" w:hAnsi="Arial Narrow" w:cs="Arial"/>
                <w:b/>
                <w:sz w:val="20"/>
                <w:szCs w:val="20"/>
              </w:rPr>
              <w:tab/>
            </w:r>
            <w:r w:rsidRPr="000516D6">
              <w:rPr>
                <w:rFonts w:ascii="Arial Narrow" w:hAnsi="Arial Narrow" w:cs="Arial"/>
                <w:sz w:val="20"/>
                <w:szCs w:val="20"/>
              </w:rPr>
              <w:t>Manage traffic behaviour and speed in areas of high pedestrian movement to provide greater confidence and safety to pedestrians and cyclists.</w:t>
            </w:r>
          </w:p>
          <w:p w14:paraId="6DB0D2BB" w14:textId="77777777" w:rsidR="001B5B0A" w:rsidRPr="000516D6" w:rsidRDefault="001B5B0A" w:rsidP="006255F2">
            <w:pPr>
              <w:pStyle w:val="ListParagraph"/>
              <w:tabs>
                <w:tab w:val="right" w:pos="3861"/>
                <w:tab w:val="left" w:pos="9050"/>
              </w:tabs>
              <w:spacing w:before="60"/>
              <w:ind w:left="318" w:right="34" w:hanging="318"/>
              <w:jc w:val="both"/>
              <w:rPr>
                <w:rFonts w:ascii="Arial Narrow" w:hAnsi="Arial Narrow" w:cs="Arial"/>
                <w:sz w:val="20"/>
                <w:szCs w:val="20"/>
              </w:rPr>
            </w:pPr>
            <w:r w:rsidRPr="000516D6">
              <w:rPr>
                <w:rFonts w:ascii="Arial Narrow" w:hAnsi="Arial Narrow" w:cs="Arial"/>
                <w:b/>
                <w:sz w:val="20"/>
                <w:szCs w:val="20"/>
              </w:rPr>
              <w:t>..</w:t>
            </w:r>
            <w:r w:rsidRPr="000516D6">
              <w:rPr>
                <w:rFonts w:ascii="Arial Narrow" w:hAnsi="Arial Narrow" w:cs="Arial"/>
                <w:b/>
                <w:sz w:val="20"/>
                <w:szCs w:val="20"/>
              </w:rPr>
              <w:tab/>
            </w:r>
            <w:r w:rsidRPr="000516D6">
              <w:rPr>
                <w:rFonts w:ascii="Arial Narrow" w:hAnsi="Arial Narrow" w:cs="Arial"/>
                <w:sz w:val="20"/>
                <w:szCs w:val="20"/>
              </w:rPr>
              <w:t>Utilise on-street parking wherever possible.</w:t>
            </w:r>
          </w:p>
          <w:p w14:paraId="33913563" w14:textId="77777777" w:rsidR="001B5B0A" w:rsidRPr="000516D6" w:rsidRDefault="001B5B0A" w:rsidP="006255F2">
            <w:pPr>
              <w:pStyle w:val="ListParagraph"/>
              <w:tabs>
                <w:tab w:val="right" w:pos="3861"/>
                <w:tab w:val="left" w:pos="9050"/>
              </w:tabs>
              <w:spacing w:before="60"/>
              <w:ind w:left="318" w:right="34" w:hanging="318"/>
              <w:jc w:val="both"/>
              <w:rPr>
                <w:rFonts w:ascii="Arial Narrow" w:hAnsi="Arial Narrow" w:cs="Arial"/>
                <w:b/>
                <w:i/>
                <w:sz w:val="20"/>
                <w:szCs w:val="20"/>
              </w:rPr>
            </w:pPr>
            <w:r w:rsidRPr="000516D6">
              <w:rPr>
                <w:rFonts w:ascii="Arial Narrow" w:hAnsi="Arial Narrow" w:cs="Arial"/>
                <w:b/>
                <w:sz w:val="20"/>
                <w:szCs w:val="20"/>
              </w:rPr>
              <w:t>..</w:t>
            </w:r>
            <w:r w:rsidRPr="000516D6">
              <w:rPr>
                <w:rFonts w:ascii="Arial Narrow" w:hAnsi="Arial Narrow" w:cs="Arial"/>
                <w:b/>
                <w:sz w:val="20"/>
                <w:szCs w:val="20"/>
              </w:rPr>
              <w:tab/>
            </w:r>
            <w:r w:rsidRPr="000516D6">
              <w:rPr>
                <w:rFonts w:ascii="Arial Narrow" w:hAnsi="Arial Narrow" w:cs="Arial"/>
                <w:sz w:val="20"/>
                <w:szCs w:val="20"/>
              </w:rPr>
              <w:t xml:space="preserve">Minimise the number of </w:t>
            </w:r>
            <w:proofErr w:type="gramStart"/>
            <w:r w:rsidRPr="000516D6">
              <w:rPr>
                <w:rFonts w:ascii="Arial Narrow" w:hAnsi="Arial Narrow" w:cs="Arial"/>
                <w:sz w:val="20"/>
                <w:szCs w:val="20"/>
              </w:rPr>
              <w:t>vehicle</w:t>
            </w:r>
            <w:proofErr w:type="gramEnd"/>
            <w:r w:rsidRPr="000516D6">
              <w:rPr>
                <w:rFonts w:ascii="Arial Narrow" w:hAnsi="Arial Narrow" w:cs="Arial"/>
                <w:sz w:val="20"/>
                <w:szCs w:val="20"/>
              </w:rPr>
              <w:t xml:space="preserve"> crossovers, and locate them to avoid disruption of pedestrian amenity along the principal pedestrian routes.</w:t>
            </w:r>
            <w:r w:rsidRPr="000516D6">
              <w:rPr>
                <w:rFonts w:ascii="Arial Narrow" w:hAnsi="Arial Narrow" w:cs="Arial"/>
                <w:b/>
                <w:i/>
                <w:sz w:val="20"/>
                <w:szCs w:val="20"/>
              </w:rPr>
              <w:t xml:space="preserve"> </w:t>
            </w:r>
          </w:p>
          <w:p w14:paraId="64B9EEB4" w14:textId="77777777" w:rsidR="001B5B0A" w:rsidRPr="000516D6" w:rsidRDefault="001B5B0A" w:rsidP="006255F2">
            <w:pPr>
              <w:pStyle w:val="ListParagraph"/>
              <w:tabs>
                <w:tab w:val="right" w:pos="3861"/>
                <w:tab w:val="left" w:pos="9050"/>
              </w:tabs>
              <w:spacing w:before="60"/>
              <w:ind w:left="318" w:right="34" w:hanging="318"/>
              <w:jc w:val="both"/>
              <w:rPr>
                <w:rFonts w:ascii="Arial Narrow" w:hAnsi="Arial Narrow" w:cs="Arial"/>
                <w:sz w:val="20"/>
                <w:szCs w:val="20"/>
              </w:rPr>
            </w:pPr>
            <w:r w:rsidRPr="000516D6">
              <w:rPr>
                <w:rFonts w:ascii="Arial Narrow" w:hAnsi="Arial Narrow" w:cs="Arial"/>
                <w:b/>
                <w:sz w:val="20"/>
                <w:szCs w:val="20"/>
              </w:rPr>
              <w:t>..</w:t>
            </w:r>
            <w:r w:rsidRPr="000516D6">
              <w:rPr>
                <w:rFonts w:ascii="Arial Narrow" w:hAnsi="Arial Narrow" w:cs="Arial"/>
                <w:b/>
                <w:sz w:val="20"/>
                <w:szCs w:val="20"/>
              </w:rPr>
              <w:tab/>
            </w:r>
            <w:r w:rsidRPr="000516D6">
              <w:rPr>
                <w:rFonts w:ascii="Arial Narrow" w:hAnsi="Arial Narrow" w:cs="Arial"/>
                <w:sz w:val="20"/>
                <w:szCs w:val="20"/>
              </w:rPr>
              <w:t>Identify designated delivery truck access routes through the centre to ensure that the number of delivery truck/pedestrian conflict points can be minimised, or design measures taken to increase pedestrian safety at conflict points.</w:t>
            </w:r>
          </w:p>
          <w:p w14:paraId="4C076421" w14:textId="77777777" w:rsidR="001B5B0A" w:rsidRPr="000516D6" w:rsidRDefault="001B5B0A" w:rsidP="006255F2">
            <w:pPr>
              <w:pStyle w:val="ListParagraph"/>
              <w:tabs>
                <w:tab w:val="right" w:pos="3861"/>
                <w:tab w:val="left" w:pos="9050"/>
              </w:tabs>
              <w:spacing w:before="60" w:after="60"/>
              <w:ind w:left="318" w:right="34" w:hanging="318"/>
              <w:jc w:val="both"/>
              <w:rPr>
                <w:rFonts w:ascii="Arial Narrow" w:hAnsi="Arial Narrow" w:cs="Arial"/>
                <w:sz w:val="20"/>
                <w:szCs w:val="20"/>
              </w:rPr>
            </w:pPr>
            <w:r w:rsidRPr="000516D6">
              <w:rPr>
                <w:rFonts w:ascii="Arial Narrow" w:hAnsi="Arial Narrow" w:cs="Arial"/>
                <w:b/>
                <w:sz w:val="20"/>
                <w:szCs w:val="20"/>
              </w:rPr>
              <w:t>..</w:t>
            </w:r>
            <w:r w:rsidRPr="000516D6">
              <w:rPr>
                <w:rFonts w:ascii="Arial Narrow" w:hAnsi="Arial Narrow" w:cs="Arial"/>
                <w:b/>
                <w:sz w:val="20"/>
                <w:szCs w:val="20"/>
              </w:rPr>
              <w:tab/>
            </w:r>
            <w:r w:rsidRPr="000516D6">
              <w:rPr>
                <w:rFonts w:ascii="Arial Narrow" w:hAnsi="Arial Narrow" w:cs="Arial"/>
                <w:sz w:val="20"/>
                <w:szCs w:val="20"/>
              </w:rPr>
              <w:t>Provide for the safe use of alternative transport modes (such as bikes, scooters, gophers) to encourage their use in preference to car travel.</w:t>
            </w:r>
          </w:p>
        </w:tc>
        <w:tc>
          <w:tcPr>
            <w:tcW w:w="4224" w:type="dxa"/>
          </w:tcPr>
          <w:p w14:paraId="52991FAD" w14:textId="77777777" w:rsidR="001B5B0A" w:rsidRPr="000516D6" w:rsidRDefault="001B5B0A" w:rsidP="006255F2">
            <w:pPr>
              <w:pStyle w:val="ListParagraph"/>
              <w:tabs>
                <w:tab w:val="left" w:pos="284"/>
                <w:tab w:val="left" w:pos="9050"/>
              </w:tabs>
              <w:spacing w:before="60"/>
              <w:ind w:left="318" w:right="76" w:hanging="284"/>
              <w:jc w:val="both"/>
              <w:rPr>
                <w:rFonts w:ascii="Arial Narrow" w:hAnsi="Arial Narrow" w:cs="Arial"/>
                <w:sz w:val="20"/>
                <w:szCs w:val="20"/>
              </w:rPr>
            </w:pPr>
            <w:r w:rsidRPr="000516D6">
              <w:rPr>
                <w:rFonts w:ascii="Arial Narrow" w:hAnsi="Arial Narrow" w:cs="Arial"/>
                <w:b/>
                <w:sz w:val="20"/>
                <w:szCs w:val="20"/>
              </w:rPr>
              <w:t>..</w:t>
            </w:r>
            <w:r w:rsidRPr="000516D6">
              <w:rPr>
                <w:rFonts w:ascii="Arial Narrow" w:hAnsi="Arial Narrow" w:cs="Arial"/>
                <w:b/>
                <w:sz w:val="20"/>
                <w:szCs w:val="20"/>
              </w:rPr>
              <w:tab/>
            </w:r>
            <w:r w:rsidRPr="000516D6">
              <w:rPr>
                <w:rFonts w:ascii="Arial Narrow" w:hAnsi="Arial Narrow" w:cs="Arial"/>
                <w:sz w:val="20"/>
                <w:szCs w:val="20"/>
              </w:rPr>
              <w:t>Utilise shared surfaces, raised plateaus and other traffic management design devices to reduce traffic speeds and raise driver awareness of pedestrians.</w:t>
            </w:r>
          </w:p>
          <w:p w14:paraId="576119F2" w14:textId="77777777" w:rsidR="001B5B0A" w:rsidRPr="000516D6" w:rsidRDefault="001B5B0A" w:rsidP="006255F2">
            <w:pPr>
              <w:pStyle w:val="ListParagraph"/>
              <w:tabs>
                <w:tab w:val="left" w:pos="284"/>
                <w:tab w:val="left" w:pos="9050"/>
              </w:tabs>
              <w:spacing w:before="60"/>
              <w:ind w:left="318" w:right="76" w:hanging="284"/>
              <w:jc w:val="both"/>
              <w:rPr>
                <w:rFonts w:ascii="Arial Narrow" w:hAnsi="Arial Narrow" w:cs="Arial"/>
                <w:sz w:val="20"/>
                <w:szCs w:val="20"/>
              </w:rPr>
            </w:pPr>
            <w:r w:rsidRPr="000516D6">
              <w:rPr>
                <w:rFonts w:ascii="Arial Narrow" w:hAnsi="Arial Narrow" w:cs="Arial"/>
                <w:b/>
                <w:sz w:val="20"/>
                <w:szCs w:val="20"/>
              </w:rPr>
              <w:t>..</w:t>
            </w:r>
            <w:r w:rsidRPr="000516D6">
              <w:rPr>
                <w:rFonts w:ascii="Arial Narrow" w:hAnsi="Arial Narrow" w:cs="Arial"/>
                <w:b/>
                <w:sz w:val="20"/>
                <w:szCs w:val="20"/>
              </w:rPr>
              <w:tab/>
            </w:r>
            <w:r>
              <w:rPr>
                <w:rFonts w:ascii="Arial Narrow" w:hAnsi="Arial Narrow" w:cs="Arial"/>
                <w:sz w:val="20"/>
                <w:szCs w:val="20"/>
              </w:rPr>
              <w:t>D</w:t>
            </w:r>
            <w:r w:rsidRPr="000516D6">
              <w:rPr>
                <w:rFonts w:ascii="Arial Narrow" w:hAnsi="Arial Narrow" w:cs="Arial"/>
                <w:sz w:val="20"/>
                <w:szCs w:val="20"/>
              </w:rPr>
              <w:t xml:space="preserve">evelopment </w:t>
            </w:r>
            <w:r>
              <w:rPr>
                <w:rFonts w:ascii="Arial Narrow" w:hAnsi="Arial Narrow" w:cs="Arial"/>
                <w:sz w:val="20"/>
                <w:szCs w:val="20"/>
              </w:rPr>
              <w:t>is to</w:t>
            </w:r>
            <w:r w:rsidRPr="000516D6">
              <w:rPr>
                <w:rFonts w:ascii="Arial Narrow" w:hAnsi="Arial Narrow" w:cs="Arial"/>
                <w:sz w:val="20"/>
                <w:szCs w:val="20"/>
              </w:rPr>
              <w:t xml:space="preserve"> be limited to one crossover per street. </w:t>
            </w:r>
          </w:p>
          <w:p w14:paraId="432D3A8C" w14:textId="77777777" w:rsidR="001B5B0A" w:rsidRPr="000516D6" w:rsidRDefault="001B5B0A" w:rsidP="006255F2">
            <w:pPr>
              <w:pStyle w:val="ListParagraph"/>
              <w:tabs>
                <w:tab w:val="left" w:pos="284"/>
                <w:tab w:val="num" w:pos="612"/>
                <w:tab w:val="left" w:pos="9050"/>
              </w:tabs>
              <w:spacing w:before="60"/>
              <w:ind w:left="318" w:right="76" w:hanging="284"/>
              <w:jc w:val="both"/>
              <w:rPr>
                <w:rFonts w:ascii="Arial Narrow" w:hAnsi="Arial Narrow" w:cs="Arial"/>
                <w:sz w:val="20"/>
                <w:szCs w:val="20"/>
              </w:rPr>
            </w:pPr>
            <w:r w:rsidRPr="000516D6">
              <w:rPr>
                <w:rFonts w:ascii="Arial Narrow" w:hAnsi="Arial Narrow" w:cs="Arial"/>
                <w:b/>
                <w:sz w:val="20"/>
                <w:szCs w:val="20"/>
              </w:rPr>
              <w:t>..</w:t>
            </w:r>
            <w:r w:rsidRPr="000516D6">
              <w:rPr>
                <w:rFonts w:ascii="Arial Narrow" w:hAnsi="Arial Narrow" w:cs="Arial"/>
                <w:b/>
                <w:sz w:val="20"/>
                <w:szCs w:val="20"/>
              </w:rPr>
              <w:tab/>
            </w:r>
            <w:r w:rsidRPr="000516D6">
              <w:rPr>
                <w:rFonts w:ascii="Arial Narrow" w:hAnsi="Arial Narrow" w:cs="Arial"/>
                <w:sz w:val="20"/>
                <w:szCs w:val="20"/>
              </w:rPr>
              <w:t xml:space="preserve">Development adjacent to Canning Highway </w:t>
            </w:r>
            <w:r>
              <w:rPr>
                <w:rFonts w:ascii="Arial Narrow" w:hAnsi="Arial Narrow" w:cs="Arial"/>
                <w:sz w:val="20"/>
                <w:szCs w:val="20"/>
              </w:rPr>
              <w:t>is to</w:t>
            </w:r>
            <w:r w:rsidRPr="000516D6">
              <w:rPr>
                <w:rFonts w:ascii="Arial Narrow" w:hAnsi="Arial Narrow" w:cs="Arial"/>
                <w:sz w:val="20"/>
                <w:szCs w:val="20"/>
              </w:rPr>
              <w:t xml:space="preserve"> comply with any M</w:t>
            </w:r>
            <w:r>
              <w:rPr>
                <w:rFonts w:ascii="Arial Narrow" w:hAnsi="Arial Narrow" w:cs="Arial"/>
                <w:sz w:val="20"/>
                <w:szCs w:val="20"/>
              </w:rPr>
              <w:t xml:space="preserve">ain </w:t>
            </w:r>
            <w:r w:rsidRPr="000516D6">
              <w:rPr>
                <w:rFonts w:ascii="Arial Narrow" w:hAnsi="Arial Narrow" w:cs="Arial"/>
                <w:sz w:val="20"/>
                <w:szCs w:val="20"/>
              </w:rPr>
              <w:t>R</w:t>
            </w:r>
            <w:r>
              <w:rPr>
                <w:rFonts w:ascii="Arial Narrow" w:hAnsi="Arial Narrow" w:cs="Arial"/>
                <w:sz w:val="20"/>
                <w:szCs w:val="20"/>
              </w:rPr>
              <w:t xml:space="preserve">oads </w:t>
            </w:r>
            <w:r w:rsidRPr="000516D6">
              <w:rPr>
                <w:rFonts w:ascii="Arial Narrow" w:hAnsi="Arial Narrow" w:cs="Arial"/>
                <w:sz w:val="20"/>
                <w:szCs w:val="20"/>
              </w:rPr>
              <w:t>WA requirements, which may restrict direct vehicle access where there is an alternative means of access.</w:t>
            </w:r>
          </w:p>
        </w:tc>
      </w:tr>
    </w:tbl>
    <w:p w14:paraId="299DE3A4" w14:textId="77777777" w:rsidR="001B5B0A" w:rsidRPr="004F586C" w:rsidRDefault="001B5B0A" w:rsidP="001B5B0A">
      <w:pPr>
        <w:spacing w:before="240" w:after="0"/>
        <w:rPr>
          <w:rFonts w:cs="Arial"/>
          <w:i/>
          <w:u w:val="single"/>
        </w:rPr>
      </w:pPr>
      <w:r>
        <w:rPr>
          <w:rFonts w:cs="Arial"/>
          <w:i/>
          <w:u w:val="single"/>
        </w:rPr>
        <w:t>Element 8: Vehicle Parking</w:t>
      </w:r>
    </w:p>
    <w:p w14:paraId="2932DBF4" w14:textId="77777777" w:rsidR="001B5B0A" w:rsidRPr="004F586C" w:rsidRDefault="001B5B0A" w:rsidP="001B5B0A">
      <w:pPr>
        <w:spacing w:after="120"/>
        <w:jc w:val="both"/>
        <w:rPr>
          <w:rFonts w:cs="Arial"/>
        </w:rPr>
      </w:pPr>
      <w:r w:rsidRPr="004F586C">
        <w:rPr>
          <w:rFonts w:cs="Arial"/>
        </w:rPr>
        <w:t xml:space="preserve">Vehicle parking refers to the storage of stationary cars within the </w:t>
      </w:r>
      <w:r>
        <w:rPr>
          <w:rFonts w:cs="Arial"/>
        </w:rPr>
        <w:t>T</w:t>
      </w:r>
      <w:r w:rsidRPr="004F586C">
        <w:rPr>
          <w:rFonts w:cs="Arial"/>
        </w:rPr>
        <w:t xml:space="preserve">own </w:t>
      </w:r>
      <w:r>
        <w:rPr>
          <w:rFonts w:cs="Arial"/>
        </w:rPr>
        <w:t>C</w:t>
      </w:r>
      <w:r w:rsidRPr="004F586C">
        <w:rPr>
          <w:rFonts w:cs="Arial"/>
        </w:rPr>
        <w:t>entre</w:t>
      </w:r>
      <w:r>
        <w:rPr>
          <w:rFonts w:cs="Arial"/>
        </w:rPr>
        <w:t xml:space="preserve"> Redevelopment Area</w:t>
      </w:r>
      <w:r w:rsidRPr="004F586C">
        <w:rPr>
          <w:rFonts w:cs="Arial"/>
        </w:rPr>
        <w:t>.</w:t>
      </w:r>
    </w:p>
    <w:p w14:paraId="1F2CDD29" w14:textId="77777777" w:rsidR="001B5B0A" w:rsidRPr="004F586C" w:rsidRDefault="001B5B0A" w:rsidP="001B5B0A">
      <w:pPr>
        <w:spacing w:after="120"/>
        <w:jc w:val="both"/>
        <w:rPr>
          <w:rFonts w:cs="Arial"/>
        </w:rPr>
      </w:pPr>
      <w:proofErr w:type="gramStart"/>
      <w:r w:rsidRPr="004F586C">
        <w:rPr>
          <w:rFonts w:cs="Arial"/>
        </w:rPr>
        <w:t>In regard to</w:t>
      </w:r>
      <w:proofErr w:type="gramEnd"/>
      <w:r w:rsidRPr="004F586C">
        <w:rPr>
          <w:rFonts w:cs="Arial"/>
        </w:rPr>
        <w:t xml:space="preserve"> vehicle parking, the policy objectives are:</w:t>
      </w:r>
    </w:p>
    <w:p w14:paraId="172D263E" w14:textId="77777777" w:rsidR="001B5B0A" w:rsidRPr="004F586C" w:rsidRDefault="001B5B0A" w:rsidP="001B5B0A">
      <w:pPr>
        <w:spacing w:before="120" w:after="120"/>
        <w:ind w:left="426" w:hanging="426"/>
        <w:jc w:val="both"/>
        <w:rPr>
          <w:rFonts w:cs="Arial"/>
        </w:rPr>
      </w:pPr>
      <w:r w:rsidRPr="004F586C">
        <w:rPr>
          <w:rFonts w:cs="Arial"/>
        </w:rPr>
        <w:t>-</w:t>
      </w:r>
      <w:r w:rsidRPr="004F586C">
        <w:rPr>
          <w:rFonts w:cs="Arial"/>
        </w:rPr>
        <w:tab/>
        <w:t>To minimise the extent of on-grade car parking and reduce the visual impact of car parks on the street environment.</w:t>
      </w:r>
    </w:p>
    <w:p w14:paraId="3A20E2C7" w14:textId="77777777" w:rsidR="001B5B0A" w:rsidRPr="004F586C" w:rsidRDefault="001B5B0A" w:rsidP="001B5B0A">
      <w:pPr>
        <w:spacing w:before="120" w:after="120"/>
        <w:ind w:left="426" w:hanging="426"/>
        <w:jc w:val="both"/>
        <w:rPr>
          <w:rFonts w:cs="Arial"/>
        </w:rPr>
      </w:pPr>
      <w:r w:rsidRPr="004F586C">
        <w:rPr>
          <w:rFonts w:cs="Arial"/>
        </w:rPr>
        <w:t>-</w:t>
      </w:r>
      <w:r w:rsidRPr="004F586C">
        <w:rPr>
          <w:rFonts w:cs="Arial"/>
        </w:rPr>
        <w:tab/>
        <w:t>To maximise the use of on-street parking and other forms of reciprocal parking.</w:t>
      </w:r>
    </w:p>
    <w:p w14:paraId="1AA8C65C" w14:textId="77777777" w:rsidR="001B5B0A" w:rsidRPr="004F586C" w:rsidRDefault="001B5B0A" w:rsidP="001B5B0A">
      <w:pPr>
        <w:spacing w:before="120" w:after="120"/>
        <w:ind w:left="426" w:hanging="426"/>
        <w:jc w:val="both"/>
        <w:rPr>
          <w:rFonts w:cs="Arial"/>
        </w:rPr>
      </w:pPr>
      <w:r w:rsidRPr="004F586C">
        <w:rPr>
          <w:rFonts w:cs="Arial"/>
        </w:rPr>
        <w:t>-</w:t>
      </w:r>
      <w:r w:rsidRPr="004F586C">
        <w:rPr>
          <w:rFonts w:cs="Arial"/>
        </w:rPr>
        <w:tab/>
        <w:t>To encourage parking provision for alternative forms of transport to the private car.</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132"/>
        <w:gridCol w:w="4224"/>
      </w:tblGrid>
      <w:tr w:rsidR="001B5B0A" w:rsidRPr="000F1ABE" w14:paraId="236B2334" w14:textId="77777777" w:rsidTr="006255F2">
        <w:tc>
          <w:tcPr>
            <w:tcW w:w="5132" w:type="dxa"/>
            <w:shd w:val="solid" w:color="D9D9D9" w:fill="auto"/>
          </w:tcPr>
          <w:p w14:paraId="57CE77A2" w14:textId="77777777" w:rsidR="001B5B0A" w:rsidRPr="000516D6" w:rsidRDefault="001B5B0A" w:rsidP="006255F2">
            <w:pPr>
              <w:tabs>
                <w:tab w:val="left" w:pos="0"/>
              </w:tabs>
              <w:spacing w:before="60"/>
              <w:ind w:left="284" w:right="34" w:hanging="284"/>
              <w:jc w:val="both"/>
              <w:rPr>
                <w:rFonts w:ascii="Arial Narrow" w:hAnsi="Arial Narrow" w:cs="Arial"/>
                <w:b/>
                <w:sz w:val="20"/>
                <w:szCs w:val="20"/>
              </w:rPr>
            </w:pPr>
            <w:r>
              <w:rPr>
                <w:rFonts w:ascii="Arial Narrow" w:hAnsi="Arial Narrow" w:cs="Arial"/>
                <w:b/>
                <w:sz w:val="20"/>
                <w:szCs w:val="20"/>
              </w:rPr>
              <w:t>Element Objective</w:t>
            </w:r>
          </w:p>
          <w:p w14:paraId="26D0753E" w14:textId="77777777" w:rsidR="001B5B0A" w:rsidRPr="000516D6" w:rsidRDefault="001B5B0A" w:rsidP="006255F2">
            <w:pPr>
              <w:tabs>
                <w:tab w:val="left" w:pos="0"/>
              </w:tabs>
              <w:spacing w:before="60"/>
              <w:ind w:left="284" w:right="34" w:hanging="284"/>
              <w:jc w:val="both"/>
              <w:rPr>
                <w:rFonts w:ascii="Arial Narrow" w:hAnsi="Arial Narrow" w:cs="Arial"/>
                <w:i/>
                <w:sz w:val="20"/>
                <w:szCs w:val="20"/>
              </w:rPr>
            </w:pPr>
            <w:r>
              <w:rPr>
                <w:rFonts w:ascii="Arial Narrow" w:hAnsi="Arial Narrow" w:cs="Arial"/>
                <w:i/>
                <w:sz w:val="20"/>
                <w:szCs w:val="20"/>
              </w:rPr>
              <w:t>D</w:t>
            </w:r>
            <w:r w:rsidRPr="000516D6">
              <w:rPr>
                <w:rFonts w:ascii="Arial Narrow" w:hAnsi="Arial Narrow" w:cs="Arial"/>
                <w:i/>
                <w:sz w:val="20"/>
                <w:szCs w:val="20"/>
              </w:rPr>
              <w:t>evelopment should meet these criteria.</w:t>
            </w:r>
          </w:p>
        </w:tc>
        <w:tc>
          <w:tcPr>
            <w:tcW w:w="4224" w:type="dxa"/>
            <w:shd w:val="solid" w:color="D9D9D9" w:fill="auto"/>
          </w:tcPr>
          <w:p w14:paraId="262E9AE0" w14:textId="77777777" w:rsidR="001B5B0A" w:rsidRPr="000516D6" w:rsidRDefault="001B5B0A" w:rsidP="006255F2">
            <w:pPr>
              <w:tabs>
                <w:tab w:val="left" w:pos="0"/>
              </w:tabs>
              <w:spacing w:before="60"/>
              <w:ind w:left="317" w:right="33" w:hanging="284"/>
              <w:jc w:val="both"/>
              <w:rPr>
                <w:rFonts w:ascii="Arial Narrow" w:hAnsi="Arial Narrow" w:cs="Arial"/>
                <w:b/>
                <w:sz w:val="20"/>
                <w:szCs w:val="20"/>
              </w:rPr>
            </w:pPr>
            <w:r w:rsidRPr="000516D6">
              <w:rPr>
                <w:rFonts w:ascii="Arial Narrow" w:hAnsi="Arial Narrow" w:cs="Arial"/>
                <w:b/>
                <w:sz w:val="20"/>
                <w:szCs w:val="20"/>
              </w:rPr>
              <w:t xml:space="preserve">Acceptable </w:t>
            </w:r>
            <w:r>
              <w:rPr>
                <w:rFonts w:ascii="Arial Narrow" w:hAnsi="Arial Narrow" w:cs="Arial"/>
                <w:b/>
                <w:sz w:val="20"/>
                <w:szCs w:val="20"/>
              </w:rPr>
              <w:t>Outcomes</w:t>
            </w:r>
          </w:p>
          <w:p w14:paraId="64F84490" w14:textId="77777777" w:rsidR="001B5B0A" w:rsidRPr="000516D6" w:rsidRDefault="001B5B0A" w:rsidP="006255F2">
            <w:pPr>
              <w:tabs>
                <w:tab w:val="left" w:pos="0"/>
              </w:tabs>
              <w:spacing w:before="60" w:after="60"/>
              <w:ind w:left="33" w:right="33"/>
              <w:jc w:val="both"/>
              <w:rPr>
                <w:rFonts w:ascii="Arial Narrow" w:hAnsi="Arial Narrow" w:cs="Arial"/>
                <w:i/>
                <w:sz w:val="20"/>
                <w:szCs w:val="20"/>
              </w:rPr>
            </w:pPr>
            <w:r w:rsidRPr="000516D6">
              <w:rPr>
                <w:rFonts w:ascii="Arial Narrow" w:hAnsi="Arial Narrow" w:cs="Arial"/>
                <w:i/>
                <w:sz w:val="20"/>
                <w:szCs w:val="20"/>
              </w:rPr>
              <w:t xml:space="preserve">The acceptable </w:t>
            </w:r>
            <w:r>
              <w:rPr>
                <w:rFonts w:ascii="Arial Narrow" w:hAnsi="Arial Narrow" w:cs="Arial"/>
                <w:i/>
                <w:sz w:val="20"/>
                <w:szCs w:val="20"/>
              </w:rPr>
              <w:t>outcomes</w:t>
            </w:r>
            <w:r w:rsidRPr="000516D6">
              <w:rPr>
                <w:rFonts w:ascii="Arial Narrow" w:hAnsi="Arial Narrow" w:cs="Arial"/>
                <w:i/>
                <w:sz w:val="20"/>
                <w:szCs w:val="20"/>
              </w:rPr>
              <w:t xml:space="preserve"> are ways of meeting the </w:t>
            </w:r>
            <w:r>
              <w:rPr>
                <w:rFonts w:ascii="Arial Narrow" w:hAnsi="Arial Narrow" w:cs="Arial"/>
                <w:i/>
                <w:sz w:val="20"/>
                <w:szCs w:val="20"/>
              </w:rPr>
              <w:t>element objective.</w:t>
            </w:r>
          </w:p>
        </w:tc>
      </w:tr>
      <w:tr w:rsidR="001B5B0A" w:rsidRPr="000F1ABE" w14:paraId="0E58BF42" w14:textId="77777777" w:rsidTr="006255F2">
        <w:tc>
          <w:tcPr>
            <w:tcW w:w="5132" w:type="dxa"/>
          </w:tcPr>
          <w:p w14:paraId="60324207" w14:textId="77777777" w:rsidR="001B5B0A" w:rsidRPr="000516D6" w:rsidRDefault="001B5B0A" w:rsidP="006255F2">
            <w:pPr>
              <w:tabs>
                <w:tab w:val="left" w:pos="0"/>
              </w:tabs>
              <w:spacing w:before="60" w:after="60"/>
              <w:ind w:right="34"/>
              <w:jc w:val="both"/>
              <w:rPr>
                <w:rFonts w:ascii="Arial Narrow" w:hAnsi="Arial Narrow" w:cs="Arial"/>
                <w:sz w:val="20"/>
                <w:szCs w:val="20"/>
              </w:rPr>
            </w:pPr>
            <w:proofErr w:type="gramStart"/>
            <w:r w:rsidRPr="000516D6">
              <w:rPr>
                <w:rFonts w:ascii="Arial Narrow" w:hAnsi="Arial Narrow" w:cs="Arial"/>
                <w:sz w:val="20"/>
                <w:szCs w:val="20"/>
              </w:rPr>
              <w:t>In regard to</w:t>
            </w:r>
            <w:proofErr w:type="gramEnd"/>
            <w:r w:rsidRPr="000516D6">
              <w:rPr>
                <w:rFonts w:ascii="Arial Narrow" w:hAnsi="Arial Narrow" w:cs="Arial"/>
                <w:sz w:val="20"/>
                <w:szCs w:val="20"/>
              </w:rPr>
              <w:t xml:space="preserve"> vehicle parking within the </w:t>
            </w:r>
            <w:r>
              <w:rPr>
                <w:rFonts w:ascii="Arial Narrow" w:hAnsi="Arial Narrow" w:cs="Arial"/>
                <w:sz w:val="20"/>
                <w:szCs w:val="20"/>
              </w:rPr>
              <w:t>T</w:t>
            </w:r>
            <w:r w:rsidRPr="000516D6">
              <w:rPr>
                <w:rFonts w:ascii="Arial Narrow" w:hAnsi="Arial Narrow" w:cs="Arial"/>
                <w:sz w:val="20"/>
                <w:szCs w:val="20"/>
              </w:rPr>
              <w:t xml:space="preserve">own </w:t>
            </w:r>
            <w:r>
              <w:rPr>
                <w:rFonts w:ascii="Arial Narrow" w:hAnsi="Arial Narrow" w:cs="Arial"/>
                <w:sz w:val="20"/>
                <w:szCs w:val="20"/>
              </w:rPr>
              <w:t>C</w:t>
            </w:r>
            <w:r w:rsidRPr="000516D6">
              <w:rPr>
                <w:rFonts w:ascii="Arial Narrow" w:hAnsi="Arial Narrow" w:cs="Arial"/>
                <w:sz w:val="20"/>
                <w:szCs w:val="20"/>
              </w:rPr>
              <w:t>entre</w:t>
            </w:r>
            <w:r>
              <w:rPr>
                <w:rFonts w:ascii="Arial Narrow" w:hAnsi="Arial Narrow" w:cs="Arial"/>
                <w:sz w:val="20"/>
                <w:szCs w:val="20"/>
              </w:rPr>
              <w:t xml:space="preserve"> Redevelopment Area</w:t>
            </w:r>
            <w:r w:rsidRPr="000516D6">
              <w:rPr>
                <w:rFonts w:ascii="Arial Narrow" w:hAnsi="Arial Narrow" w:cs="Arial"/>
                <w:sz w:val="20"/>
                <w:szCs w:val="20"/>
              </w:rPr>
              <w:t xml:space="preserve">, development </w:t>
            </w:r>
            <w:r>
              <w:rPr>
                <w:rFonts w:ascii="Arial Narrow" w:hAnsi="Arial Narrow" w:cs="Arial"/>
                <w:sz w:val="20"/>
                <w:szCs w:val="20"/>
              </w:rPr>
              <w:t>is to</w:t>
            </w:r>
            <w:r w:rsidRPr="000516D6">
              <w:rPr>
                <w:rFonts w:ascii="Arial Narrow" w:hAnsi="Arial Narrow" w:cs="Arial"/>
                <w:sz w:val="20"/>
                <w:szCs w:val="20"/>
              </w:rPr>
              <w:t>:</w:t>
            </w:r>
          </w:p>
          <w:p w14:paraId="031BF2F8" w14:textId="77777777" w:rsidR="001B5B0A" w:rsidRPr="000516D6" w:rsidRDefault="001B5B0A" w:rsidP="006255F2">
            <w:pPr>
              <w:pStyle w:val="ListParagraph"/>
              <w:tabs>
                <w:tab w:val="left" w:pos="284"/>
              </w:tabs>
              <w:spacing w:before="60"/>
              <w:ind w:left="318" w:right="34"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0516D6">
              <w:rPr>
                <w:rFonts w:ascii="Arial Narrow" w:hAnsi="Arial Narrow" w:cs="Arial"/>
                <w:sz w:val="20"/>
                <w:szCs w:val="20"/>
              </w:rPr>
              <w:t>Provide for the reciprocal use of car parking bays</w:t>
            </w:r>
            <w:r w:rsidRPr="000516D6">
              <w:rPr>
                <w:rFonts w:ascii="Arial Narrow" w:hAnsi="Arial Narrow" w:cs="Arial"/>
                <w:b/>
                <w:i/>
                <w:sz w:val="20"/>
                <w:szCs w:val="20"/>
              </w:rPr>
              <w:t xml:space="preserve"> </w:t>
            </w:r>
            <w:r w:rsidRPr="000516D6">
              <w:rPr>
                <w:rFonts w:ascii="Arial Narrow" w:hAnsi="Arial Narrow" w:cs="Arial"/>
                <w:sz w:val="20"/>
                <w:szCs w:val="20"/>
              </w:rPr>
              <w:t>to encourage a high turnover of parking bays and reduce the need to provide large amounts of expensive and land-consumptive car-parking infrastructure for specific activities.</w:t>
            </w:r>
          </w:p>
          <w:p w14:paraId="6244C133" w14:textId="77777777" w:rsidR="001B5B0A" w:rsidRPr="000516D6" w:rsidRDefault="001B5B0A" w:rsidP="006255F2">
            <w:pPr>
              <w:pStyle w:val="ListParagraph"/>
              <w:tabs>
                <w:tab w:val="left" w:pos="284"/>
                <w:tab w:val="left" w:pos="851"/>
              </w:tabs>
              <w:spacing w:before="60"/>
              <w:ind w:left="318" w:right="34" w:hanging="318"/>
              <w:jc w:val="both"/>
              <w:rPr>
                <w:rFonts w:ascii="Arial Narrow" w:hAnsi="Arial Narrow" w:cs="Arial"/>
                <w:sz w:val="20"/>
                <w:szCs w:val="20"/>
              </w:rPr>
            </w:pPr>
            <w:r w:rsidRPr="00C35731">
              <w:rPr>
                <w:rFonts w:ascii="Arial Narrow" w:hAnsi="Arial Narrow" w:cs="Arial"/>
                <w:b/>
                <w:sz w:val="20"/>
                <w:szCs w:val="20"/>
              </w:rPr>
              <w:lastRenderedPageBreak/>
              <w:t>..</w:t>
            </w:r>
            <w:r w:rsidRPr="00C35731">
              <w:rPr>
                <w:rFonts w:ascii="Arial Narrow" w:hAnsi="Arial Narrow" w:cs="Arial"/>
                <w:b/>
                <w:sz w:val="20"/>
                <w:szCs w:val="20"/>
              </w:rPr>
              <w:tab/>
            </w:r>
            <w:r w:rsidRPr="000516D6">
              <w:rPr>
                <w:rFonts w:ascii="Arial Narrow" w:hAnsi="Arial Narrow" w:cs="Arial"/>
                <w:sz w:val="20"/>
                <w:szCs w:val="20"/>
              </w:rPr>
              <w:t xml:space="preserve">Locate large car parks away from areas of high pedestrian movement to avoid separating pedestrians from the interest, shade and shelter that buildings provide, and to avoid visually blighting the public domain. </w:t>
            </w:r>
          </w:p>
          <w:p w14:paraId="02B4A8B6" w14:textId="77777777" w:rsidR="001B5B0A" w:rsidRPr="000516D6" w:rsidRDefault="001B5B0A" w:rsidP="006255F2">
            <w:pPr>
              <w:pStyle w:val="ListParagraph"/>
              <w:tabs>
                <w:tab w:val="left" w:pos="284"/>
                <w:tab w:val="left" w:pos="851"/>
              </w:tabs>
              <w:spacing w:before="60"/>
              <w:ind w:left="318" w:right="34" w:hanging="318"/>
              <w:jc w:val="both"/>
              <w:rPr>
                <w:rFonts w:ascii="Arial Narrow" w:hAnsi="Arial Narrow" w:cs="Arial"/>
                <w:b/>
                <w:i/>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0516D6">
              <w:rPr>
                <w:rFonts w:ascii="Arial Narrow" w:hAnsi="Arial Narrow" w:cs="Arial"/>
                <w:sz w:val="20"/>
                <w:szCs w:val="20"/>
              </w:rPr>
              <w:t>Locate large car parks so that the pedestrian routes from them encourage people to walk past activities that would otherwise not be well supported by the movement economy.</w:t>
            </w:r>
          </w:p>
          <w:p w14:paraId="67B8F6CD" w14:textId="77777777" w:rsidR="001B5B0A" w:rsidRPr="000516D6" w:rsidRDefault="001B5B0A" w:rsidP="006255F2">
            <w:pPr>
              <w:pStyle w:val="ListParagraph"/>
              <w:tabs>
                <w:tab w:val="left" w:pos="284"/>
                <w:tab w:val="left" w:pos="851"/>
              </w:tabs>
              <w:spacing w:before="60"/>
              <w:ind w:left="318" w:right="34"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0516D6">
              <w:rPr>
                <w:rFonts w:ascii="Arial Narrow" w:hAnsi="Arial Narrow" w:cs="Arial"/>
                <w:sz w:val="20"/>
                <w:szCs w:val="20"/>
              </w:rPr>
              <w:t xml:space="preserve">Create amenity </w:t>
            </w:r>
            <w:proofErr w:type="gramStart"/>
            <w:r w:rsidRPr="000516D6">
              <w:rPr>
                <w:rFonts w:ascii="Arial Narrow" w:hAnsi="Arial Narrow" w:cs="Arial"/>
                <w:sz w:val="20"/>
                <w:szCs w:val="20"/>
              </w:rPr>
              <w:t>through the use of</w:t>
            </w:r>
            <w:proofErr w:type="gramEnd"/>
            <w:r w:rsidRPr="000516D6">
              <w:rPr>
                <w:rFonts w:ascii="Arial Narrow" w:hAnsi="Arial Narrow" w:cs="Arial"/>
                <w:sz w:val="20"/>
                <w:szCs w:val="20"/>
              </w:rPr>
              <w:t xml:space="preserve"> passive surveillance, shade and shelter along the pedestrian routes leading to car parks, recognising that car occupants become pedestrians once they leave their cars.</w:t>
            </w:r>
          </w:p>
          <w:p w14:paraId="3DE10884" w14:textId="77777777" w:rsidR="001B5B0A" w:rsidRPr="000516D6" w:rsidRDefault="001B5B0A" w:rsidP="006255F2">
            <w:pPr>
              <w:pStyle w:val="ListParagraph"/>
              <w:tabs>
                <w:tab w:val="left" w:pos="284"/>
                <w:tab w:val="left" w:pos="851"/>
              </w:tabs>
              <w:spacing w:before="60"/>
              <w:ind w:left="318" w:right="34"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0516D6">
              <w:rPr>
                <w:rFonts w:ascii="Arial Narrow" w:hAnsi="Arial Narrow" w:cs="Arial"/>
                <w:sz w:val="20"/>
                <w:szCs w:val="20"/>
              </w:rPr>
              <w:t xml:space="preserve">Support the potential for the use of the park-side street reserves around the park to the south of St Peters Road as a source of shared visitor parking for both the East Fremantle </w:t>
            </w:r>
            <w:r>
              <w:rPr>
                <w:rFonts w:ascii="Arial Narrow" w:hAnsi="Arial Narrow" w:cs="Arial"/>
                <w:sz w:val="20"/>
                <w:szCs w:val="20"/>
              </w:rPr>
              <w:t>T</w:t>
            </w:r>
            <w:r w:rsidRPr="000516D6">
              <w:rPr>
                <w:rFonts w:ascii="Arial Narrow" w:hAnsi="Arial Narrow" w:cs="Arial"/>
                <w:sz w:val="20"/>
                <w:szCs w:val="20"/>
              </w:rPr>
              <w:t xml:space="preserve">own </w:t>
            </w:r>
            <w:r>
              <w:rPr>
                <w:rFonts w:ascii="Arial Narrow" w:hAnsi="Arial Narrow" w:cs="Arial"/>
                <w:sz w:val="20"/>
                <w:szCs w:val="20"/>
              </w:rPr>
              <w:t>C</w:t>
            </w:r>
            <w:r w:rsidRPr="000516D6">
              <w:rPr>
                <w:rFonts w:ascii="Arial Narrow" w:hAnsi="Arial Narrow" w:cs="Arial"/>
                <w:sz w:val="20"/>
                <w:szCs w:val="20"/>
              </w:rPr>
              <w:t>entre and the George Street</w:t>
            </w:r>
            <w:r>
              <w:rPr>
                <w:rFonts w:ascii="Arial Narrow" w:hAnsi="Arial Narrow" w:cs="Arial"/>
                <w:sz w:val="20"/>
                <w:szCs w:val="20"/>
              </w:rPr>
              <w:t xml:space="preserve"> local centre</w:t>
            </w:r>
            <w:r w:rsidRPr="000516D6">
              <w:rPr>
                <w:rFonts w:ascii="Arial Narrow" w:hAnsi="Arial Narrow" w:cs="Arial"/>
                <w:sz w:val="20"/>
                <w:szCs w:val="20"/>
              </w:rPr>
              <w:t>.</w:t>
            </w:r>
          </w:p>
          <w:p w14:paraId="7D108BF6" w14:textId="77777777" w:rsidR="001B5B0A" w:rsidRPr="000516D6" w:rsidRDefault="001B5B0A" w:rsidP="006255F2">
            <w:pPr>
              <w:pStyle w:val="ListParagraph"/>
              <w:tabs>
                <w:tab w:val="left" w:pos="284"/>
                <w:tab w:val="left" w:pos="851"/>
              </w:tabs>
              <w:spacing w:before="60"/>
              <w:ind w:left="318" w:right="34"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0516D6">
              <w:rPr>
                <w:rFonts w:ascii="Arial Narrow" w:hAnsi="Arial Narrow" w:cs="Arial"/>
                <w:sz w:val="20"/>
                <w:szCs w:val="20"/>
              </w:rPr>
              <w:t>Provide attractive and secure parking for bicycle, motorbike, gopher and scooter users, and suitable end-of-trip facilities,</w:t>
            </w:r>
            <w:r w:rsidRPr="000516D6">
              <w:rPr>
                <w:rFonts w:ascii="Arial Narrow" w:hAnsi="Arial Narrow" w:cs="Arial"/>
                <w:i/>
                <w:sz w:val="20"/>
                <w:szCs w:val="20"/>
              </w:rPr>
              <w:t xml:space="preserve"> </w:t>
            </w:r>
            <w:r w:rsidRPr="000516D6">
              <w:rPr>
                <w:rFonts w:ascii="Arial Narrow" w:hAnsi="Arial Narrow" w:cs="Arial"/>
                <w:sz w:val="20"/>
                <w:szCs w:val="20"/>
              </w:rPr>
              <w:t>to encourage their use as an alternative to car travel.</w:t>
            </w:r>
          </w:p>
          <w:p w14:paraId="7ED65EAA" w14:textId="77777777" w:rsidR="001B5B0A" w:rsidRPr="000516D6" w:rsidRDefault="001B5B0A" w:rsidP="006255F2">
            <w:pPr>
              <w:pStyle w:val="ListParagraph"/>
              <w:tabs>
                <w:tab w:val="left" w:pos="284"/>
                <w:tab w:val="left" w:pos="851"/>
              </w:tabs>
              <w:spacing w:before="60" w:after="60"/>
              <w:ind w:left="318" w:right="34"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0516D6">
              <w:rPr>
                <w:rFonts w:ascii="Arial Narrow" w:hAnsi="Arial Narrow" w:cs="Arial"/>
                <w:sz w:val="20"/>
                <w:szCs w:val="20"/>
              </w:rPr>
              <w:t xml:space="preserve">Provide parking for disabled drivers in accordance with the relevant standards and locate the bays as close as possible to the entrance points of the main activities within the </w:t>
            </w:r>
            <w:r>
              <w:rPr>
                <w:rFonts w:ascii="Arial Narrow" w:hAnsi="Arial Narrow" w:cs="Arial"/>
                <w:sz w:val="20"/>
                <w:szCs w:val="20"/>
              </w:rPr>
              <w:t>T</w:t>
            </w:r>
            <w:r w:rsidRPr="000516D6">
              <w:rPr>
                <w:rFonts w:ascii="Arial Narrow" w:hAnsi="Arial Narrow" w:cs="Arial"/>
                <w:sz w:val="20"/>
                <w:szCs w:val="20"/>
              </w:rPr>
              <w:t xml:space="preserve">own </w:t>
            </w:r>
            <w:r>
              <w:rPr>
                <w:rFonts w:ascii="Arial Narrow" w:hAnsi="Arial Narrow" w:cs="Arial"/>
                <w:sz w:val="20"/>
                <w:szCs w:val="20"/>
              </w:rPr>
              <w:t>C</w:t>
            </w:r>
            <w:r w:rsidRPr="000516D6">
              <w:rPr>
                <w:rFonts w:ascii="Arial Narrow" w:hAnsi="Arial Narrow" w:cs="Arial"/>
                <w:sz w:val="20"/>
                <w:szCs w:val="20"/>
              </w:rPr>
              <w:t>entre</w:t>
            </w:r>
            <w:r>
              <w:rPr>
                <w:rFonts w:ascii="Arial Narrow" w:hAnsi="Arial Narrow" w:cs="Arial"/>
                <w:sz w:val="20"/>
                <w:szCs w:val="20"/>
              </w:rPr>
              <w:t xml:space="preserve"> Redevelopment Area</w:t>
            </w:r>
            <w:r w:rsidRPr="000516D6">
              <w:rPr>
                <w:rFonts w:ascii="Arial Narrow" w:hAnsi="Arial Narrow" w:cs="Arial"/>
                <w:sz w:val="20"/>
                <w:szCs w:val="20"/>
              </w:rPr>
              <w:t>.</w:t>
            </w:r>
          </w:p>
        </w:tc>
        <w:tc>
          <w:tcPr>
            <w:tcW w:w="4224" w:type="dxa"/>
          </w:tcPr>
          <w:p w14:paraId="00FA9B2B" w14:textId="77777777" w:rsidR="001B5B0A" w:rsidRPr="000516D6" w:rsidRDefault="001B5B0A" w:rsidP="006255F2">
            <w:pPr>
              <w:pStyle w:val="ListParagraph"/>
              <w:tabs>
                <w:tab w:val="left" w:pos="9050"/>
              </w:tabs>
              <w:spacing w:before="60"/>
              <w:ind w:left="318" w:right="33" w:hanging="285"/>
              <w:jc w:val="both"/>
              <w:rPr>
                <w:rFonts w:ascii="Arial Narrow" w:hAnsi="Arial Narrow" w:cs="Arial"/>
                <w:sz w:val="20"/>
                <w:szCs w:val="20"/>
              </w:rPr>
            </w:pPr>
            <w:r w:rsidRPr="00C35731">
              <w:rPr>
                <w:rFonts w:ascii="Arial Narrow" w:hAnsi="Arial Narrow" w:cs="Arial"/>
                <w:b/>
                <w:sz w:val="20"/>
                <w:szCs w:val="20"/>
              </w:rPr>
              <w:lastRenderedPageBreak/>
              <w:t>..</w:t>
            </w:r>
            <w:r w:rsidRPr="00C35731">
              <w:rPr>
                <w:rFonts w:ascii="Arial Narrow" w:hAnsi="Arial Narrow" w:cs="Arial"/>
                <w:b/>
                <w:sz w:val="20"/>
                <w:szCs w:val="20"/>
              </w:rPr>
              <w:tab/>
            </w:r>
            <w:r w:rsidRPr="000516D6">
              <w:rPr>
                <w:rFonts w:ascii="Arial Narrow" w:hAnsi="Arial Narrow" w:cs="Arial"/>
                <w:sz w:val="20"/>
                <w:szCs w:val="20"/>
              </w:rPr>
              <w:t xml:space="preserve">On-site car parking </w:t>
            </w:r>
            <w:r>
              <w:rPr>
                <w:rFonts w:ascii="Arial Narrow" w:hAnsi="Arial Narrow" w:cs="Arial"/>
                <w:sz w:val="20"/>
                <w:szCs w:val="20"/>
              </w:rPr>
              <w:t>is to</w:t>
            </w:r>
            <w:r w:rsidRPr="000516D6">
              <w:rPr>
                <w:rFonts w:ascii="Arial Narrow" w:hAnsi="Arial Narrow" w:cs="Arial"/>
                <w:sz w:val="20"/>
                <w:szCs w:val="20"/>
              </w:rPr>
              <w:t xml:space="preserve"> be located</w:t>
            </w:r>
            <w:r>
              <w:rPr>
                <w:rFonts w:ascii="Arial Narrow" w:hAnsi="Arial Narrow" w:cs="Arial"/>
                <w:sz w:val="20"/>
                <w:szCs w:val="20"/>
              </w:rPr>
              <w:t xml:space="preserve"> either behind street front tenancies or dwellings, below ground level when viewed from the street, or otherwise suitably screened from view</w:t>
            </w:r>
            <w:r w:rsidRPr="000516D6">
              <w:rPr>
                <w:rFonts w:ascii="Arial Narrow" w:hAnsi="Arial Narrow" w:cs="Arial"/>
                <w:sz w:val="20"/>
                <w:szCs w:val="20"/>
              </w:rPr>
              <w:t xml:space="preserve"> from the adjacent public domain</w:t>
            </w:r>
            <w:r>
              <w:rPr>
                <w:rFonts w:ascii="Arial Narrow" w:hAnsi="Arial Narrow" w:cs="Arial"/>
                <w:sz w:val="20"/>
                <w:szCs w:val="20"/>
              </w:rPr>
              <w:t>.</w:t>
            </w:r>
          </w:p>
          <w:p w14:paraId="291F7A64" w14:textId="77777777" w:rsidR="001B5B0A" w:rsidRPr="000516D6" w:rsidRDefault="001B5B0A" w:rsidP="006255F2">
            <w:pPr>
              <w:pStyle w:val="ListParagraph"/>
              <w:tabs>
                <w:tab w:val="left" w:pos="9050"/>
              </w:tabs>
              <w:spacing w:before="60"/>
              <w:ind w:left="318" w:right="33" w:hanging="285"/>
              <w:jc w:val="both"/>
              <w:rPr>
                <w:rFonts w:ascii="Arial Narrow" w:hAnsi="Arial Narrow" w:cs="Arial"/>
                <w:sz w:val="20"/>
                <w:szCs w:val="20"/>
              </w:rPr>
            </w:pPr>
            <w:r w:rsidRPr="00C35731">
              <w:rPr>
                <w:rFonts w:ascii="Arial Narrow" w:hAnsi="Arial Narrow" w:cs="Arial"/>
                <w:b/>
                <w:sz w:val="20"/>
                <w:szCs w:val="20"/>
              </w:rPr>
              <w:lastRenderedPageBreak/>
              <w:t>..</w:t>
            </w:r>
            <w:r w:rsidRPr="00C35731">
              <w:rPr>
                <w:rFonts w:ascii="Arial Narrow" w:hAnsi="Arial Narrow" w:cs="Arial"/>
                <w:b/>
                <w:sz w:val="20"/>
                <w:szCs w:val="20"/>
              </w:rPr>
              <w:tab/>
            </w:r>
            <w:r w:rsidRPr="00957AC7">
              <w:rPr>
                <w:rFonts w:ascii="Arial Narrow" w:hAnsi="Arial Narrow" w:cs="Arial"/>
                <w:sz w:val="20"/>
                <w:szCs w:val="20"/>
              </w:rPr>
              <w:t xml:space="preserve">New residential and </w:t>
            </w:r>
            <w:proofErr w:type="gramStart"/>
            <w:r w:rsidRPr="00957AC7">
              <w:rPr>
                <w:rFonts w:ascii="Arial Narrow" w:hAnsi="Arial Narrow" w:cs="Arial"/>
                <w:sz w:val="20"/>
                <w:szCs w:val="20"/>
              </w:rPr>
              <w:t>mixed use</w:t>
            </w:r>
            <w:proofErr w:type="gramEnd"/>
            <w:r w:rsidRPr="00957AC7">
              <w:rPr>
                <w:rFonts w:ascii="Arial Narrow" w:hAnsi="Arial Narrow" w:cs="Arial"/>
                <w:sz w:val="20"/>
                <w:szCs w:val="20"/>
              </w:rPr>
              <w:t xml:space="preserve"> development is to incorporate bicycle parking in accordance with </w:t>
            </w:r>
            <w:r>
              <w:rPr>
                <w:rFonts w:ascii="Arial Narrow" w:hAnsi="Arial Narrow" w:cs="Arial"/>
                <w:sz w:val="20"/>
                <w:szCs w:val="20"/>
              </w:rPr>
              <w:t>the R-</w:t>
            </w:r>
            <w:r w:rsidRPr="00860232">
              <w:rPr>
                <w:rFonts w:ascii="Arial Narrow" w:hAnsi="Arial Narrow" w:cs="Arial"/>
                <w:sz w:val="20"/>
                <w:szCs w:val="20"/>
              </w:rPr>
              <w:t>Codes Vol.1 and R-Codes Vol. 2, as applicable.</w:t>
            </w:r>
          </w:p>
          <w:p w14:paraId="37A729E4" w14:textId="77777777" w:rsidR="001B5B0A" w:rsidRPr="000516D6" w:rsidRDefault="001B5B0A" w:rsidP="006255F2">
            <w:pPr>
              <w:pStyle w:val="ListParagraph"/>
              <w:tabs>
                <w:tab w:val="left" w:pos="9050"/>
              </w:tabs>
              <w:spacing w:before="60"/>
              <w:ind w:left="318" w:right="33" w:hanging="285"/>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0516D6">
              <w:rPr>
                <w:rFonts w:ascii="Arial Narrow" w:hAnsi="Arial Narrow" w:cs="Arial"/>
                <w:sz w:val="20"/>
                <w:szCs w:val="20"/>
              </w:rPr>
              <w:t xml:space="preserve">Development with an office floorspace greater than 250sqm </w:t>
            </w:r>
            <w:r>
              <w:rPr>
                <w:rFonts w:ascii="Arial Narrow" w:hAnsi="Arial Narrow" w:cs="Arial"/>
                <w:sz w:val="20"/>
                <w:szCs w:val="20"/>
              </w:rPr>
              <w:t>is to</w:t>
            </w:r>
            <w:r w:rsidRPr="000516D6">
              <w:rPr>
                <w:rFonts w:ascii="Arial Narrow" w:hAnsi="Arial Narrow" w:cs="Arial"/>
                <w:sz w:val="20"/>
                <w:szCs w:val="20"/>
              </w:rPr>
              <w:t xml:space="preserve"> provide appropriate end-of-trip facilities for cyclists.</w:t>
            </w:r>
          </w:p>
          <w:p w14:paraId="22FEF3D2" w14:textId="77777777" w:rsidR="001B5B0A" w:rsidRDefault="001B5B0A" w:rsidP="006255F2">
            <w:pPr>
              <w:pStyle w:val="ListParagraph"/>
              <w:tabs>
                <w:tab w:val="left" w:pos="9050"/>
              </w:tabs>
              <w:spacing w:before="60"/>
              <w:ind w:left="318" w:right="33" w:hanging="285"/>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0516D6">
              <w:rPr>
                <w:rFonts w:ascii="Arial Narrow" w:hAnsi="Arial Narrow" w:cs="Arial"/>
                <w:sz w:val="20"/>
                <w:szCs w:val="20"/>
              </w:rPr>
              <w:t xml:space="preserve">Car parking </w:t>
            </w:r>
            <w:r>
              <w:rPr>
                <w:rFonts w:ascii="Arial Narrow" w:hAnsi="Arial Narrow" w:cs="Arial"/>
                <w:sz w:val="20"/>
                <w:szCs w:val="20"/>
              </w:rPr>
              <w:t>is to</w:t>
            </w:r>
            <w:r w:rsidRPr="000516D6">
              <w:rPr>
                <w:rFonts w:ascii="Arial Narrow" w:hAnsi="Arial Narrow" w:cs="Arial"/>
                <w:sz w:val="20"/>
                <w:szCs w:val="20"/>
              </w:rPr>
              <w:t xml:space="preserve"> be consistent with </w:t>
            </w:r>
            <w:r>
              <w:rPr>
                <w:rFonts w:ascii="Arial Narrow" w:hAnsi="Arial Narrow" w:cs="Arial"/>
                <w:sz w:val="20"/>
                <w:szCs w:val="20"/>
              </w:rPr>
              <w:t>Local Planning Scheme</w:t>
            </w:r>
            <w:r w:rsidRPr="000516D6">
              <w:rPr>
                <w:rFonts w:ascii="Arial Narrow" w:hAnsi="Arial Narrow" w:cs="Arial"/>
                <w:sz w:val="20"/>
                <w:szCs w:val="20"/>
              </w:rPr>
              <w:t xml:space="preserve"> No. 3 </w:t>
            </w:r>
            <w:r>
              <w:rPr>
                <w:rFonts w:ascii="Arial Narrow" w:hAnsi="Arial Narrow" w:cs="Arial"/>
                <w:sz w:val="20"/>
                <w:szCs w:val="20"/>
              </w:rPr>
              <w:t>provisions. and may include consideration of payment in lieu of parking in accordance with an approved parking plan.</w:t>
            </w:r>
          </w:p>
          <w:p w14:paraId="29DC954F" w14:textId="77777777" w:rsidR="001B5B0A" w:rsidRPr="000516D6" w:rsidRDefault="001B5B0A" w:rsidP="006255F2">
            <w:pPr>
              <w:pStyle w:val="ListParagraph"/>
              <w:tabs>
                <w:tab w:val="left" w:pos="9050"/>
              </w:tabs>
              <w:spacing w:before="60"/>
              <w:ind w:left="318" w:right="33" w:hanging="285"/>
              <w:jc w:val="both"/>
              <w:rPr>
                <w:rFonts w:ascii="Arial Narrow" w:hAnsi="Arial Narrow" w:cs="Arial"/>
                <w:sz w:val="20"/>
                <w:szCs w:val="20"/>
              </w:rPr>
            </w:pPr>
          </w:p>
        </w:tc>
      </w:tr>
    </w:tbl>
    <w:p w14:paraId="099EB1E6" w14:textId="77777777" w:rsidR="001B5B0A" w:rsidRPr="004F586C" w:rsidRDefault="001B5B0A" w:rsidP="001B5B0A">
      <w:pPr>
        <w:spacing w:before="240" w:after="0"/>
        <w:jc w:val="both"/>
        <w:rPr>
          <w:rFonts w:cs="Arial"/>
          <w:i/>
          <w:u w:val="single"/>
        </w:rPr>
      </w:pPr>
      <w:r w:rsidRPr="004F586C">
        <w:rPr>
          <w:rFonts w:cs="Arial"/>
          <w:i/>
          <w:u w:val="single"/>
        </w:rPr>
        <w:lastRenderedPageBreak/>
        <w:t>Element 9: Landscape and Public Spaces</w:t>
      </w:r>
    </w:p>
    <w:p w14:paraId="281B8033" w14:textId="77777777" w:rsidR="001B5B0A" w:rsidRPr="004F586C" w:rsidRDefault="001B5B0A" w:rsidP="001B5B0A">
      <w:pPr>
        <w:spacing w:after="120"/>
        <w:jc w:val="both"/>
        <w:rPr>
          <w:rFonts w:cs="Arial"/>
        </w:rPr>
      </w:pPr>
      <w:r w:rsidRPr="004F586C">
        <w:rPr>
          <w:rFonts w:cs="Arial"/>
        </w:rPr>
        <w:t xml:space="preserve">Landscape and public spaces </w:t>
      </w:r>
      <w:proofErr w:type="gramStart"/>
      <w:r w:rsidRPr="004F586C">
        <w:rPr>
          <w:rFonts w:cs="Arial"/>
        </w:rPr>
        <w:t>refers</w:t>
      </w:r>
      <w:proofErr w:type="gramEnd"/>
      <w:r w:rsidRPr="004F586C">
        <w:rPr>
          <w:rFonts w:cs="Arial"/>
        </w:rPr>
        <w:t xml:space="preserve"> to the incidental elements that ‘furnish’ a street, and the open spaces that punctuate the urban structure and enable the public to rest and relax.</w:t>
      </w:r>
    </w:p>
    <w:p w14:paraId="4211EE7B" w14:textId="77777777" w:rsidR="001B5B0A" w:rsidRPr="004F586C" w:rsidRDefault="001B5B0A" w:rsidP="001B5B0A">
      <w:pPr>
        <w:spacing w:after="120"/>
        <w:jc w:val="both"/>
        <w:rPr>
          <w:rFonts w:cs="Arial"/>
        </w:rPr>
      </w:pPr>
      <w:proofErr w:type="gramStart"/>
      <w:r w:rsidRPr="004F586C">
        <w:rPr>
          <w:rFonts w:cs="Arial"/>
        </w:rPr>
        <w:t>In regard to</w:t>
      </w:r>
      <w:proofErr w:type="gramEnd"/>
      <w:r w:rsidRPr="004F586C">
        <w:rPr>
          <w:rFonts w:cs="Arial"/>
        </w:rPr>
        <w:t xml:space="preserve"> landscape and public spaces, the policy objectives are to:</w:t>
      </w:r>
    </w:p>
    <w:p w14:paraId="44F6C93D" w14:textId="77777777" w:rsidR="001B5B0A" w:rsidRPr="004F586C" w:rsidRDefault="001B5B0A" w:rsidP="001B5B0A">
      <w:pPr>
        <w:spacing w:before="120" w:after="120"/>
        <w:ind w:left="567" w:hanging="567"/>
        <w:jc w:val="both"/>
        <w:rPr>
          <w:rFonts w:cs="Arial"/>
        </w:rPr>
      </w:pPr>
      <w:r w:rsidRPr="004F586C">
        <w:rPr>
          <w:rFonts w:cs="Arial"/>
        </w:rPr>
        <w:t>-</w:t>
      </w:r>
      <w:r w:rsidRPr="004F586C">
        <w:rPr>
          <w:rFonts w:cs="Arial"/>
        </w:rPr>
        <w:tab/>
        <w:t xml:space="preserve">Add character and enhance the legibility of the </w:t>
      </w:r>
      <w:r>
        <w:rPr>
          <w:rFonts w:cs="Arial"/>
        </w:rPr>
        <w:t>T</w:t>
      </w:r>
      <w:r w:rsidRPr="004F586C">
        <w:rPr>
          <w:rFonts w:cs="Arial"/>
        </w:rPr>
        <w:t xml:space="preserve">own </w:t>
      </w:r>
      <w:r>
        <w:rPr>
          <w:rFonts w:cs="Arial"/>
        </w:rPr>
        <w:t>C</w:t>
      </w:r>
      <w:r w:rsidRPr="004F586C">
        <w:rPr>
          <w:rFonts w:cs="Arial"/>
        </w:rPr>
        <w:t>entre.</w:t>
      </w:r>
    </w:p>
    <w:p w14:paraId="4A92F9DC" w14:textId="77777777" w:rsidR="001B5B0A" w:rsidRPr="004F586C" w:rsidRDefault="001B5B0A" w:rsidP="001B5B0A">
      <w:pPr>
        <w:spacing w:before="120" w:after="120"/>
        <w:ind w:left="567" w:hanging="567"/>
        <w:jc w:val="both"/>
        <w:rPr>
          <w:rFonts w:cs="Arial"/>
        </w:rPr>
      </w:pPr>
      <w:r w:rsidRPr="004F586C">
        <w:rPr>
          <w:rFonts w:cs="Arial"/>
        </w:rPr>
        <w:t>-</w:t>
      </w:r>
      <w:r w:rsidRPr="004F586C">
        <w:rPr>
          <w:rFonts w:cs="Arial"/>
        </w:rPr>
        <w:tab/>
        <w:t xml:space="preserve">Create additional physical and psychological comfort to occupants and users of the </w:t>
      </w:r>
      <w:r>
        <w:rPr>
          <w:rFonts w:cs="Arial"/>
        </w:rPr>
        <w:t>T</w:t>
      </w:r>
      <w:r w:rsidRPr="004F586C">
        <w:rPr>
          <w:rFonts w:cs="Arial"/>
        </w:rPr>
        <w:t xml:space="preserve">own </w:t>
      </w:r>
      <w:r>
        <w:rPr>
          <w:rFonts w:cs="Arial"/>
        </w:rPr>
        <w:t>C</w:t>
      </w:r>
      <w:r w:rsidRPr="004F586C">
        <w:rPr>
          <w:rFonts w:cs="Arial"/>
        </w:rPr>
        <w:t>entre</w:t>
      </w:r>
      <w:r>
        <w:rPr>
          <w:rFonts w:cs="Arial"/>
        </w:rPr>
        <w:t xml:space="preserve"> Redevelopment Area</w:t>
      </w:r>
      <w:r w:rsidRPr="004F586C">
        <w:rPr>
          <w:rFonts w:cs="Arial"/>
        </w:rPr>
        <w:t>.</w:t>
      </w:r>
    </w:p>
    <w:p w14:paraId="03883874" w14:textId="77777777" w:rsidR="001B5B0A" w:rsidRPr="004F586C" w:rsidRDefault="001B5B0A" w:rsidP="001B5B0A">
      <w:pPr>
        <w:spacing w:before="120" w:after="120"/>
        <w:ind w:left="567" w:hanging="567"/>
        <w:jc w:val="both"/>
        <w:rPr>
          <w:rFonts w:cs="Arial"/>
        </w:rPr>
      </w:pPr>
      <w:r w:rsidRPr="004F586C">
        <w:rPr>
          <w:rFonts w:cs="Arial"/>
        </w:rPr>
        <w:t>-</w:t>
      </w:r>
      <w:r w:rsidRPr="004F586C">
        <w:rPr>
          <w:rFonts w:cs="Arial"/>
        </w:rPr>
        <w:tab/>
        <w:t xml:space="preserve">Avoid an excessive maintenance burden on the </w:t>
      </w:r>
      <w:r>
        <w:rPr>
          <w:rFonts w:cs="Arial"/>
        </w:rPr>
        <w:t>Town</w:t>
      </w:r>
      <w:r w:rsidRPr="004F586C">
        <w:rPr>
          <w:rFonts w:cs="Arial"/>
        </w:rPr>
        <w:t>.</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78"/>
        <w:gridCol w:w="4678"/>
      </w:tblGrid>
      <w:tr w:rsidR="001B5B0A" w:rsidRPr="000F1ABE" w14:paraId="4DBAC067" w14:textId="77777777" w:rsidTr="006255F2">
        <w:tc>
          <w:tcPr>
            <w:tcW w:w="4678" w:type="dxa"/>
            <w:shd w:val="solid" w:color="D9D9D9" w:fill="auto"/>
          </w:tcPr>
          <w:p w14:paraId="1BEA7137" w14:textId="77777777" w:rsidR="001B5B0A" w:rsidRPr="00236752" w:rsidRDefault="001B5B0A" w:rsidP="006255F2">
            <w:pPr>
              <w:tabs>
                <w:tab w:val="left" w:pos="0"/>
              </w:tabs>
              <w:spacing w:before="60"/>
              <w:ind w:left="318" w:right="34" w:hanging="284"/>
              <w:jc w:val="both"/>
              <w:rPr>
                <w:rFonts w:ascii="Arial Narrow" w:hAnsi="Arial Narrow" w:cs="Arial"/>
                <w:b/>
                <w:sz w:val="20"/>
                <w:szCs w:val="20"/>
              </w:rPr>
            </w:pPr>
            <w:r>
              <w:br w:type="page"/>
            </w:r>
            <w:r>
              <w:rPr>
                <w:rFonts w:ascii="Arial Narrow" w:hAnsi="Arial Narrow" w:cs="Arial"/>
                <w:b/>
                <w:sz w:val="20"/>
                <w:szCs w:val="20"/>
              </w:rPr>
              <w:t>Element Objective</w:t>
            </w:r>
          </w:p>
          <w:p w14:paraId="0C0611DE" w14:textId="77777777" w:rsidR="001B5B0A" w:rsidRPr="00236752" w:rsidRDefault="001B5B0A" w:rsidP="006255F2">
            <w:pPr>
              <w:tabs>
                <w:tab w:val="left" w:pos="0"/>
              </w:tabs>
              <w:spacing w:before="60"/>
              <w:ind w:left="34" w:right="34"/>
              <w:jc w:val="both"/>
              <w:rPr>
                <w:rFonts w:ascii="Arial Narrow" w:hAnsi="Arial Narrow" w:cs="Arial"/>
                <w:i/>
                <w:sz w:val="20"/>
                <w:szCs w:val="20"/>
              </w:rPr>
            </w:pPr>
            <w:r>
              <w:rPr>
                <w:rFonts w:ascii="Arial Narrow" w:hAnsi="Arial Narrow" w:cs="Arial"/>
                <w:i/>
                <w:sz w:val="20"/>
                <w:szCs w:val="20"/>
              </w:rPr>
              <w:t>D</w:t>
            </w:r>
            <w:r w:rsidRPr="00236752">
              <w:rPr>
                <w:rFonts w:ascii="Arial Narrow" w:hAnsi="Arial Narrow" w:cs="Arial"/>
                <w:i/>
                <w:sz w:val="20"/>
                <w:szCs w:val="20"/>
              </w:rPr>
              <w:t>evelopment should meet these criteria.</w:t>
            </w:r>
          </w:p>
        </w:tc>
        <w:tc>
          <w:tcPr>
            <w:tcW w:w="4678" w:type="dxa"/>
            <w:shd w:val="solid" w:color="D9D9D9" w:fill="auto"/>
          </w:tcPr>
          <w:p w14:paraId="5FE81EAE" w14:textId="77777777" w:rsidR="001B5B0A" w:rsidRPr="00236752" w:rsidRDefault="001B5B0A" w:rsidP="006255F2">
            <w:pPr>
              <w:tabs>
                <w:tab w:val="left" w:pos="0"/>
              </w:tabs>
              <w:spacing w:before="60"/>
              <w:ind w:left="306" w:right="33" w:hanging="283"/>
              <w:jc w:val="both"/>
              <w:rPr>
                <w:rFonts w:ascii="Arial Narrow" w:hAnsi="Arial Narrow" w:cs="Arial"/>
                <w:b/>
                <w:sz w:val="20"/>
                <w:szCs w:val="20"/>
              </w:rPr>
            </w:pPr>
            <w:r w:rsidRPr="00236752">
              <w:rPr>
                <w:rFonts w:ascii="Arial Narrow" w:hAnsi="Arial Narrow" w:cs="Arial"/>
                <w:b/>
                <w:sz w:val="20"/>
                <w:szCs w:val="20"/>
              </w:rPr>
              <w:t xml:space="preserve">Acceptable </w:t>
            </w:r>
            <w:r>
              <w:rPr>
                <w:rFonts w:ascii="Arial Narrow" w:hAnsi="Arial Narrow" w:cs="Arial"/>
                <w:b/>
                <w:sz w:val="20"/>
                <w:szCs w:val="20"/>
              </w:rPr>
              <w:t>Outcomes</w:t>
            </w:r>
          </w:p>
          <w:p w14:paraId="66EDD96B" w14:textId="77777777" w:rsidR="001B5B0A" w:rsidRPr="00236752" w:rsidRDefault="001B5B0A" w:rsidP="006255F2">
            <w:pPr>
              <w:tabs>
                <w:tab w:val="left" w:pos="0"/>
              </w:tabs>
              <w:spacing w:before="60" w:after="60"/>
              <w:ind w:left="23" w:right="33"/>
              <w:jc w:val="both"/>
              <w:rPr>
                <w:rFonts w:ascii="Arial Narrow" w:hAnsi="Arial Narrow" w:cs="Arial"/>
                <w:i/>
                <w:sz w:val="20"/>
                <w:szCs w:val="20"/>
              </w:rPr>
            </w:pPr>
            <w:r w:rsidRPr="00236752">
              <w:rPr>
                <w:rFonts w:ascii="Arial Narrow" w:hAnsi="Arial Narrow" w:cs="Arial"/>
                <w:i/>
                <w:sz w:val="20"/>
                <w:szCs w:val="20"/>
              </w:rPr>
              <w:t xml:space="preserve">The acceptable </w:t>
            </w:r>
            <w:r>
              <w:rPr>
                <w:rFonts w:ascii="Arial Narrow" w:hAnsi="Arial Narrow" w:cs="Arial"/>
                <w:i/>
                <w:sz w:val="20"/>
                <w:szCs w:val="20"/>
              </w:rPr>
              <w:t>outcomes</w:t>
            </w:r>
            <w:r w:rsidRPr="00236752">
              <w:rPr>
                <w:rFonts w:ascii="Arial Narrow" w:hAnsi="Arial Narrow" w:cs="Arial"/>
                <w:i/>
                <w:sz w:val="20"/>
                <w:szCs w:val="20"/>
              </w:rPr>
              <w:t xml:space="preserve"> are ways of meeting the </w:t>
            </w:r>
            <w:r>
              <w:rPr>
                <w:rFonts w:ascii="Arial Narrow" w:hAnsi="Arial Narrow" w:cs="Arial"/>
                <w:i/>
                <w:sz w:val="20"/>
                <w:szCs w:val="20"/>
              </w:rPr>
              <w:t>element objective.</w:t>
            </w:r>
          </w:p>
        </w:tc>
      </w:tr>
      <w:tr w:rsidR="001B5B0A" w:rsidRPr="000F1ABE" w14:paraId="11A73F93" w14:textId="77777777" w:rsidTr="006255F2">
        <w:tc>
          <w:tcPr>
            <w:tcW w:w="4678" w:type="dxa"/>
          </w:tcPr>
          <w:p w14:paraId="107403CA" w14:textId="77777777" w:rsidR="001B5B0A" w:rsidRPr="00236752" w:rsidRDefault="001B5B0A" w:rsidP="006255F2">
            <w:pPr>
              <w:tabs>
                <w:tab w:val="left" w:pos="0"/>
              </w:tabs>
              <w:spacing w:before="60"/>
              <w:ind w:left="34" w:right="34"/>
              <w:jc w:val="both"/>
              <w:rPr>
                <w:rFonts w:ascii="Arial Narrow" w:hAnsi="Arial Narrow" w:cs="Arial"/>
                <w:sz w:val="20"/>
                <w:szCs w:val="20"/>
              </w:rPr>
            </w:pPr>
            <w:proofErr w:type="gramStart"/>
            <w:r w:rsidRPr="00236752">
              <w:rPr>
                <w:rFonts w:ascii="Arial Narrow" w:hAnsi="Arial Narrow" w:cs="Arial"/>
                <w:sz w:val="20"/>
                <w:szCs w:val="20"/>
              </w:rPr>
              <w:t>In regard to</w:t>
            </w:r>
            <w:proofErr w:type="gramEnd"/>
            <w:r w:rsidRPr="00236752">
              <w:rPr>
                <w:rFonts w:ascii="Arial Narrow" w:hAnsi="Arial Narrow" w:cs="Arial"/>
                <w:sz w:val="20"/>
                <w:szCs w:val="20"/>
              </w:rPr>
              <w:t xml:space="preserve"> landscape and public spaces within the </w:t>
            </w:r>
            <w:r>
              <w:rPr>
                <w:rFonts w:ascii="Arial Narrow" w:hAnsi="Arial Narrow" w:cs="Arial"/>
                <w:sz w:val="20"/>
                <w:szCs w:val="20"/>
              </w:rPr>
              <w:t>T</w:t>
            </w:r>
            <w:r w:rsidRPr="00236752">
              <w:rPr>
                <w:rFonts w:ascii="Arial Narrow" w:hAnsi="Arial Narrow" w:cs="Arial"/>
                <w:sz w:val="20"/>
                <w:szCs w:val="20"/>
              </w:rPr>
              <w:t xml:space="preserve">own </w:t>
            </w:r>
            <w:r>
              <w:rPr>
                <w:rFonts w:ascii="Arial Narrow" w:hAnsi="Arial Narrow" w:cs="Arial"/>
                <w:sz w:val="20"/>
                <w:szCs w:val="20"/>
              </w:rPr>
              <w:t>C</w:t>
            </w:r>
            <w:r w:rsidRPr="00236752">
              <w:rPr>
                <w:rFonts w:ascii="Arial Narrow" w:hAnsi="Arial Narrow" w:cs="Arial"/>
                <w:sz w:val="20"/>
                <w:szCs w:val="20"/>
              </w:rPr>
              <w:t>entre</w:t>
            </w:r>
            <w:r>
              <w:rPr>
                <w:rFonts w:ascii="Arial Narrow" w:hAnsi="Arial Narrow" w:cs="Arial"/>
                <w:sz w:val="20"/>
                <w:szCs w:val="20"/>
              </w:rPr>
              <w:t xml:space="preserve"> Redevelopment Area</w:t>
            </w:r>
            <w:r w:rsidRPr="00236752">
              <w:rPr>
                <w:rFonts w:ascii="Arial Narrow" w:hAnsi="Arial Narrow" w:cs="Arial"/>
                <w:sz w:val="20"/>
                <w:szCs w:val="20"/>
              </w:rPr>
              <w:t xml:space="preserve">, development </w:t>
            </w:r>
            <w:r>
              <w:rPr>
                <w:rFonts w:ascii="Arial Narrow" w:hAnsi="Arial Narrow" w:cs="Arial"/>
                <w:sz w:val="20"/>
                <w:szCs w:val="20"/>
              </w:rPr>
              <w:t>is to</w:t>
            </w:r>
            <w:r w:rsidRPr="00236752">
              <w:rPr>
                <w:rFonts w:ascii="Arial Narrow" w:hAnsi="Arial Narrow" w:cs="Arial"/>
                <w:sz w:val="20"/>
                <w:szCs w:val="20"/>
              </w:rPr>
              <w:t>:</w:t>
            </w:r>
          </w:p>
          <w:p w14:paraId="4DC22417" w14:textId="77777777" w:rsidR="001B5B0A" w:rsidRPr="00236752" w:rsidRDefault="001B5B0A" w:rsidP="006255F2">
            <w:pPr>
              <w:pStyle w:val="ListParagraph"/>
              <w:spacing w:before="60"/>
              <w:ind w:left="318" w:right="34"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236752">
              <w:rPr>
                <w:rFonts w:ascii="Arial Narrow" w:hAnsi="Arial Narrow" w:cs="Arial"/>
                <w:sz w:val="20"/>
                <w:szCs w:val="20"/>
              </w:rPr>
              <w:t>Create attractive and well-landscaped streets, parks and other public spaces that enhance the quality and experience of the public realm.</w:t>
            </w:r>
          </w:p>
          <w:p w14:paraId="2BEF59AD" w14:textId="77777777" w:rsidR="001B5B0A" w:rsidRPr="00236752" w:rsidRDefault="001B5B0A" w:rsidP="006255F2">
            <w:pPr>
              <w:pStyle w:val="ListParagraph"/>
              <w:spacing w:before="60"/>
              <w:ind w:left="318" w:right="34"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236752">
              <w:rPr>
                <w:rFonts w:ascii="Arial Narrow" w:hAnsi="Arial Narrow" w:cs="Arial"/>
                <w:sz w:val="20"/>
                <w:szCs w:val="20"/>
              </w:rPr>
              <w:t>Employ drought-tolerant and low-maintenance plants.</w:t>
            </w:r>
          </w:p>
          <w:p w14:paraId="18501B17" w14:textId="77777777" w:rsidR="001B5B0A" w:rsidRPr="00236752" w:rsidRDefault="001B5B0A" w:rsidP="006255F2">
            <w:pPr>
              <w:pStyle w:val="ListParagraph"/>
              <w:spacing w:before="60"/>
              <w:ind w:left="318" w:right="34"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236752">
              <w:rPr>
                <w:rFonts w:ascii="Arial Narrow" w:hAnsi="Arial Narrow" w:cs="Arial"/>
                <w:sz w:val="20"/>
                <w:szCs w:val="20"/>
              </w:rPr>
              <w:t>Use deciduous vegetation to provide shade in summer and allow sun penetration into buildings and public spaces during winter.</w:t>
            </w:r>
          </w:p>
          <w:p w14:paraId="542C01A5" w14:textId="77777777" w:rsidR="001B5B0A" w:rsidRPr="00236752" w:rsidRDefault="001B5B0A" w:rsidP="006255F2">
            <w:pPr>
              <w:pStyle w:val="ListParagraph"/>
              <w:spacing w:before="60"/>
              <w:ind w:left="318" w:right="34"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236752">
              <w:rPr>
                <w:rFonts w:ascii="Arial Narrow" w:hAnsi="Arial Narrow" w:cs="Arial"/>
                <w:sz w:val="20"/>
                <w:szCs w:val="20"/>
              </w:rPr>
              <w:t>Use paving materials and street furniture that are robust and easy to clean and maintain.</w:t>
            </w:r>
          </w:p>
          <w:p w14:paraId="3747EAF0" w14:textId="77777777" w:rsidR="001B5B0A" w:rsidRPr="00236752" w:rsidRDefault="001B5B0A" w:rsidP="006255F2">
            <w:pPr>
              <w:pStyle w:val="ListParagraph"/>
              <w:spacing w:before="60"/>
              <w:ind w:left="318" w:right="34" w:hanging="284"/>
              <w:jc w:val="both"/>
              <w:rPr>
                <w:rFonts w:ascii="Arial Narrow" w:hAnsi="Arial Narrow" w:cs="Arial"/>
                <w:color w:val="000000"/>
                <w:sz w:val="20"/>
                <w:szCs w:val="20"/>
              </w:rPr>
            </w:pPr>
            <w:r w:rsidRPr="00C35731">
              <w:rPr>
                <w:rFonts w:ascii="Arial Narrow" w:hAnsi="Arial Narrow" w:cs="Arial"/>
                <w:b/>
                <w:sz w:val="20"/>
                <w:szCs w:val="20"/>
              </w:rPr>
              <w:lastRenderedPageBreak/>
              <w:t>..</w:t>
            </w:r>
            <w:r w:rsidRPr="00C35731">
              <w:rPr>
                <w:rFonts w:ascii="Arial Narrow" w:hAnsi="Arial Narrow" w:cs="Arial"/>
                <w:b/>
                <w:sz w:val="20"/>
                <w:szCs w:val="20"/>
              </w:rPr>
              <w:tab/>
            </w:r>
            <w:r w:rsidRPr="00236752">
              <w:rPr>
                <w:rFonts w:ascii="Arial Narrow" w:hAnsi="Arial Narrow" w:cs="Arial"/>
                <w:color w:val="000000"/>
                <w:sz w:val="20"/>
                <w:szCs w:val="20"/>
              </w:rPr>
              <w:t>Integrate public art into the design of the built environment to help explain the place in which it situated and endow it with cultural significance.</w:t>
            </w:r>
          </w:p>
        </w:tc>
        <w:tc>
          <w:tcPr>
            <w:tcW w:w="4678" w:type="dxa"/>
          </w:tcPr>
          <w:p w14:paraId="5D0CC46A" w14:textId="77777777" w:rsidR="001B5B0A" w:rsidRPr="00236752" w:rsidRDefault="001B5B0A" w:rsidP="006255F2">
            <w:pPr>
              <w:pStyle w:val="ListParagraph"/>
              <w:tabs>
                <w:tab w:val="left" w:pos="318"/>
              </w:tabs>
              <w:spacing w:before="60"/>
              <w:ind w:left="318" w:right="33" w:hanging="295"/>
              <w:jc w:val="both"/>
              <w:rPr>
                <w:rFonts w:ascii="Arial Narrow" w:hAnsi="Arial Narrow" w:cs="Arial"/>
                <w:sz w:val="20"/>
                <w:szCs w:val="20"/>
              </w:rPr>
            </w:pPr>
            <w:r w:rsidRPr="00C35731">
              <w:rPr>
                <w:rFonts w:ascii="Arial Narrow" w:hAnsi="Arial Narrow" w:cs="Arial"/>
                <w:b/>
                <w:sz w:val="20"/>
                <w:szCs w:val="20"/>
              </w:rPr>
              <w:lastRenderedPageBreak/>
              <w:t>..</w:t>
            </w:r>
            <w:r w:rsidRPr="00C35731">
              <w:rPr>
                <w:rFonts w:ascii="Arial Narrow" w:hAnsi="Arial Narrow" w:cs="Arial"/>
                <w:b/>
                <w:sz w:val="20"/>
                <w:szCs w:val="20"/>
              </w:rPr>
              <w:tab/>
            </w:r>
            <w:r w:rsidRPr="00236752">
              <w:rPr>
                <w:rFonts w:ascii="Arial Narrow" w:hAnsi="Arial Narrow" w:cs="Arial"/>
                <w:sz w:val="20"/>
                <w:szCs w:val="20"/>
              </w:rPr>
              <w:t xml:space="preserve">Landscape and street furnishings in the public domain </w:t>
            </w:r>
            <w:r>
              <w:rPr>
                <w:rFonts w:ascii="Arial Narrow" w:hAnsi="Arial Narrow" w:cs="Arial"/>
                <w:sz w:val="20"/>
                <w:szCs w:val="20"/>
              </w:rPr>
              <w:t>are to</w:t>
            </w:r>
            <w:r w:rsidRPr="00236752">
              <w:rPr>
                <w:rFonts w:ascii="Arial Narrow" w:hAnsi="Arial Narrow" w:cs="Arial"/>
                <w:sz w:val="20"/>
                <w:szCs w:val="20"/>
              </w:rPr>
              <w:t xml:space="preserve"> use materials and plants, and street furniture that have been agreed as acceptable by the </w:t>
            </w:r>
            <w:r>
              <w:rPr>
                <w:rFonts w:ascii="Arial Narrow" w:hAnsi="Arial Narrow" w:cs="Arial"/>
                <w:sz w:val="20"/>
                <w:szCs w:val="20"/>
              </w:rPr>
              <w:t>Town based on the Town of East Fremantle Urban Streetscape and Public Realm Style Guide 2020, or other adopted policy/guidelines.</w:t>
            </w:r>
            <w:r w:rsidDel="000A12EC">
              <w:rPr>
                <w:rFonts w:ascii="Arial Narrow" w:hAnsi="Arial Narrow" w:cs="Arial"/>
                <w:sz w:val="20"/>
                <w:szCs w:val="20"/>
              </w:rPr>
              <w:t>*</w:t>
            </w:r>
            <w:r w:rsidRPr="00236752">
              <w:rPr>
                <w:rFonts w:ascii="Arial Narrow" w:hAnsi="Arial Narrow" w:cs="Arial"/>
                <w:sz w:val="20"/>
                <w:szCs w:val="20"/>
              </w:rPr>
              <w:t xml:space="preserve">. </w:t>
            </w:r>
          </w:p>
          <w:p w14:paraId="4DD7FE6F" w14:textId="77777777" w:rsidR="001B5B0A" w:rsidRPr="00C04421" w:rsidRDefault="001B5B0A" w:rsidP="006255F2">
            <w:pPr>
              <w:pStyle w:val="ListParagraph"/>
              <w:tabs>
                <w:tab w:val="left" w:pos="318"/>
              </w:tabs>
              <w:spacing w:before="60"/>
              <w:ind w:left="318" w:right="33" w:hanging="295"/>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236752">
              <w:rPr>
                <w:rFonts w:ascii="Arial Narrow" w:hAnsi="Arial Narrow" w:cs="Arial"/>
                <w:sz w:val="20"/>
                <w:szCs w:val="20"/>
              </w:rPr>
              <w:t xml:space="preserve">Public art </w:t>
            </w:r>
            <w:r>
              <w:rPr>
                <w:rFonts w:ascii="Arial Narrow" w:hAnsi="Arial Narrow" w:cs="Arial"/>
                <w:sz w:val="20"/>
                <w:szCs w:val="20"/>
              </w:rPr>
              <w:t>is to</w:t>
            </w:r>
            <w:r w:rsidRPr="00236752">
              <w:rPr>
                <w:rFonts w:ascii="Arial Narrow" w:hAnsi="Arial Narrow" w:cs="Arial"/>
                <w:sz w:val="20"/>
                <w:szCs w:val="20"/>
              </w:rPr>
              <w:t xml:space="preserve"> be </w:t>
            </w:r>
            <w:r>
              <w:rPr>
                <w:rFonts w:ascii="Arial Narrow" w:hAnsi="Arial Narrow" w:cs="Arial"/>
                <w:sz w:val="20"/>
                <w:szCs w:val="20"/>
              </w:rPr>
              <w:t>provided in accordance the Town of East Fremantle Local Planning Policy 3.1.9 - Percent for Public Art.</w:t>
            </w:r>
          </w:p>
          <w:p w14:paraId="7248BFB0" w14:textId="77777777" w:rsidR="001B5B0A" w:rsidRDefault="001B5B0A" w:rsidP="006255F2">
            <w:pPr>
              <w:pStyle w:val="ListParagraph"/>
              <w:tabs>
                <w:tab w:val="left" w:pos="318"/>
              </w:tabs>
              <w:spacing w:before="60"/>
              <w:ind w:left="318" w:right="33" w:hanging="295"/>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236752">
              <w:rPr>
                <w:rFonts w:ascii="Arial Narrow" w:hAnsi="Arial Narrow" w:cs="Arial"/>
                <w:sz w:val="20"/>
                <w:szCs w:val="20"/>
              </w:rPr>
              <w:t xml:space="preserve">Street trees </w:t>
            </w:r>
            <w:r>
              <w:rPr>
                <w:rFonts w:ascii="Arial Narrow" w:hAnsi="Arial Narrow" w:cs="Arial"/>
                <w:sz w:val="20"/>
                <w:szCs w:val="20"/>
              </w:rPr>
              <w:t xml:space="preserve">are to </w:t>
            </w:r>
            <w:r w:rsidRPr="00236752">
              <w:rPr>
                <w:rFonts w:ascii="Arial Narrow" w:hAnsi="Arial Narrow" w:cs="Arial"/>
                <w:sz w:val="20"/>
                <w:szCs w:val="20"/>
              </w:rPr>
              <w:t>be planted at a rate of not less than one per 15m of linear street length, subject to verge width and underground service constraints</w:t>
            </w:r>
            <w:r>
              <w:rPr>
                <w:rFonts w:ascii="Arial Narrow" w:hAnsi="Arial Narrow" w:cs="Arial"/>
                <w:sz w:val="20"/>
                <w:szCs w:val="20"/>
              </w:rPr>
              <w:t xml:space="preserve">, with reference to </w:t>
            </w:r>
            <w:r>
              <w:rPr>
                <w:rFonts w:ascii="Arial Narrow" w:hAnsi="Arial Narrow" w:cs="Arial"/>
                <w:sz w:val="20"/>
                <w:szCs w:val="20"/>
              </w:rPr>
              <w:lastRenderedPageBreak/>
              <w:t>the Town of East Fremantle Urban Streetscape and Public Realm Style Guide 2020</w:t>
            </w:r>
            <w:r w:rsidRPr="00236752">
              <w:rPr>
                <w:rFonts w:ascii="Arial Narrow" w:hAnsi="Arial Narrow" w:cs="Arial"/>
                <w:sz w:val="20"/>
                <w:szCs w:val="20"/>
              </w:rPr>
              <w:t>.</w:t>
            </w:r>
          </w:p>
          <w:p w14:paraId="6BEEBB32" w14:textId="77777777" w:rsidR="001B5B0A" w:rsidRDefault="001B5B0A" w:rsidP="006255F2">
            <w:pPr>
              <w:pStyle w:val="ListParagraph"/>
              <w:tabs>
                <w:tab w:val="left" w:pos="318"/>
              </w:tabs>
              <w:spacing w:before="60" w:after="60"/>
              <w:ind w:left="318" w:right="33" w:hanging="295"/>
              <w:jc w:val="both"/>
              <w:rPr>
                <w:rFonts w:ascii="Arial Narrow" w:hAnsi="Arial Narrow" w:cs="Arial"/>
                <w:sz w:val="20"/>
                <w:szCs w:val="20"/>
              </w:rPr>
            </w:pPr>
          </w:p>
          <w:p w14:paraId="40905B89" w14:textId="77777777" w:rsidR="001B5B0A" w:rsidRDefault="001B5B0A" w:rsidP="006255F2">
            <w:pPr>
              <w:pStyle w:val="ListParagraph"/>
              <w:tabs>
                <w:tab w:val="left" w:pos="318"/>
              </w:tabs>
              <w:spacing w:before="60"/>
              <w:ind w:left="318" w:right="34"/>
              <w:jc w:val="both"/>
              <w:rPr>
                <w:rFonts w:ascii="Arial Narrow" w:hAnsi="Arial Narrow" w:cs="Arial"/>
                <w:i/>
                <w:sz w:val="20"/>
                <w:szCs w:val="20"/>
              </w:rPr>
            </w:pPr>
            <w:r>
              <w:rPr>
                <w:rFonts w:ascii="Arial Narrow" w:hAnsi="Arial Narrow" w:cs="Arial"/>
                <w:i/>
                <w:sz w:val="20"/>
                <w:szCs w:val="20"/>
              </w:rPr>
              <w:t>*</w:t>
            </w:r>
            <w:r w:rsidRPr="000B4470">
              <w:rPr>
                <w:rFonts w:ascii="Arial Narrow" w:hAnsi="Arial Narrow" w:cs="Arial"/>
                <w:i/>
                <w:sz w:val="20"/>
                <w:szCs w:val="20"/>
              </w:rPr>
              <w:t>Cl 5.8.4 of Local Planning Scheme No. 3 requires a Landscaping Plan to be approved by Council for development in the Commercial zones.</w:t>
            </w:r>
          </w:p>
          <w:p w14:paraId="7D145FAC" w14:textId="77777777" w:rsidR="001B5B0A" w:rsidRPr="00236752" w:rsidRDefault="001B5B0A" w:rsidP="006255F2">
            <w:pPr>
              <w:pStyle w:val="ListParagraph"/>
              <w:tabs>
                <w:tab w:val="left" w:pos="318"/>
              </w:tabs>
              <w:spacing w:before="60" w:after="60"/>
              <w:ind w:left="318" w:right="33" w:hanging="295"/>
              <w:jc w:val="both"/>
              <w:rPr>
                <w:rFonts w:ascii="Arial Narrow" w:hAnsi="Arial Narrow" w:cs="Arial"/>
                <w:sz w:val="20"/>
                <w:szCs w:val="20"/>
              </w:rPr>
            </w:pPr>
          </w:p>
        </w:tc>
      </w:tr>
    </w:tbl>
    <w:p w14:paraId="1ED4E0AB" w14:textId="77777777" w:rsidR="001B5B0A" w:rsidRPr="004F586C" w:rsidRDefault="001B5B0A" w:rsidP="001B5B0A">
      <w:pPr>
        <w:spacing w:before="240" w:after="0"/>
        <w:rPr>
          <w:rFonts w:cs="Arial"/>
          <w:i/>
          <w:color w:val="000000"/>
          <w:u w:val="single"/>
        </w:rPr>
      </w:pPr>
      <w:r w:rsidRPr="004F586C">
        <w:rPr>
          <w:rFonts w:cs="Arial"/>
          <w:i/>
          <w:color w:val="000000"/>
          <w:u w:val="single"/>
        </w:rPr>
        <w:lastRenderedPageBreak/>
        <w:t>Element 10: Resource Conservation</w:t>
      </w:r>
    </w:p>
    <w:p w14:paraId="67BBB4A5" w14:textId="77777777" w:rsidR="001B5B0A" w:rsidRPr="004F586C" w:rsidRDefault="001B5B0A" w:rsidP="001B5B0A">
      <w:pPr>
        <w:spacing w:after="120"/>
        <w:jc w:val="both"/>
        <w:rPr>
          <w:rFonts w:cs="Arial"/>
        </w:rPr>
      </w:pPr>
      <w:r w:rsidRPr="004F586C">
        <w:rPr>
          <w:rFonts w:cs="Arial"/>
        </w:rPr>
        <w:t>Resource conservation describes the ability of development to reduce the consumption of natural resources, by reducing the use of new materials, energy or water:</w:t>
      </w:r>
    </w:p>
    <w:p w14:paraId="270E0472" w14:textId="77777777" w:rsidR="001B5B0A" w:rsidRPr="004F586C" w:rsidRDefault="001B5B0A" w:rsidP="001B5B0A">
      <w:pPr>
        <w:tabs>
          <w:tab w:val="left" w:pos="0"/>
        </w:tabs>
        <w:spacing w:after="120"/>
        <w:ind w:right="-46"/>
        <w:jc w:val="both"/>
        <w:rPr>
          <w:rFonts w:cs="Arial"/>
        </w:rPr>
      </w:pPr>
      <w:proofErr w:type="gramStart"/>
      <w:r w:rsidRPr="004F586C">
        <w:rPr>
          <w:rFonts w:cs="Arial"/>
        </w:rPr>
        <w:t>In regard to</w:t>
      </w:r>
      <w:proofErr w:type="gramEnd"/>
      <w:r w:rsidRPr="004F586C">
        <w:rPr>
          <w:rFonts w:cs="Arial"/>
        </w:rPr>
        <w:t xml:space="preserve"> resource conservation, the policy objectives are to:</w:t>
      </w:r>
    </w:p>
    <w:p w14:paraId="5FCD4F78" w14:textId="77777777" w:rsidR="001B5B0A" w:rsidRPr="004F586C" w:rsidRDefault="001B5B0A" w:rsidP="001B5B0A">
      <w:pPr>
        <w:spacing w:before="120" w:after="120"/>
        <w:ind w:left="426" w:hanging="426"/>
        <w:rPr>
          <w:rFonts w:cs="Arial"/>
        </w:rPr>
      </w:pPr>
      <w:r w:rsidRPr="004F586C">
        <w:rPr>
          <w:rFonts w:cs="Arial"/>
        </w:rPr>
        <w:t>-</w:t>
      </w:r>
      <w:r w:rsidRPr="004F586C">
        <w:rPr>
          <w:rFonts w:cs="Arial"/>
        </w:rPr>
        <w:tab/>
        <w:t xml:space="preserve">Encourage the design and construction of more energy and water efficient buildings and landscape in the </w:t>
      </w:r>
      <w:r>
        <w:rPr>
          <w:rFonts w:cs="Arial"/>
        </w:rPr>
        <w:t>T</w:t>
      </w:r>
      <w:r w:rsidRPr="004F586C">
        <w:rPr>
          <w:rFonts w:cs="Arial"/>
        </w:rPr>
        <w:t xml:space="preserve">own </w:t>
      </w:r>
      <w:r>
        <w:rPr>
          <w:rFonts w:cs="Arial"/>
        </w:rPr>
        <w:t>C</w:t>
      </w:r>
      <w:r w:rsidRPr="004F586C">
        <w:rPr>
          <w:rFonts w:cs="Arial"/>
        </w:rPr>
        <w:t>entre.</w:t>
      </w:r>
    </w:p>
    <w:p w14:paraId="626EA86D" w14:textId="77777777" w:rsidR="001B5B0A" w:rsidRPr="004F586C" w:rsidRDefault="001B5B0A" w:rsidP="001B5B0A">
      <w:pPr>
        <w:spacing w:before="120" w:after="120"/>
        <w:ind w:left="426" w:hanging="426"/>
        <w:rPr>
          <w:rFonts w:cs="Arial"/>
        </w:rPr>
      </w:pPr>
      <w:r w:rsidRPr="004F586C">
        <w:rPr>
          <w:rFonts w:cs="Arial"/>
        </w:rPr>
        <w:t>-</w:t>
      </w:r>
      <w:r w:rsidRPr="004F586C">
        <w:rPr>
          <w:rFonts w:cs="Arial"/>
        </w:rPr>
        <w:tab/>
        <w:t>Encourage the recycling and reuse of buildings and materials.</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78"/>
        <w:gridCol w:w="4678"/>
      </w:tblGrid>
      <w:tr w:rsidR="001B5B0A" w:rsidRPr="000F1ABE" w14:paraId="56E560D1" w14:textId="77777777" w:rsidTr="006255F2">
        <w:tc>
          <w:tcPr>
            <w:tcW w:w="4678" w:type="dxa"/>
            <w:shd w:val="solid" w:color="D9D9D9" w:fill="auto"/>
          </w:tcPr>
          <w:p w14:paraId="4A4044C6" w14:textId="77777777" w:rsidR="001B5B0A" w:rsidRPr="00484560" w:rsidRDefault="001B5B0A" w:rsidP="006255F2">
            <w:pPr>
              <w:tabs>
                <w:tab w:val="left" w:pos="0"/>
              </w:tabs>
              <w:spacing w:before="60" w:after="60"/>
              <w:ind w:left="318" w:right="-46" w:hanging="318"/>
              <w:jc w:val="both"/>
              <w:rPr>
                <w:rFonts w:ascii="Arial Narrow" w:hAnsi="Arial Narrow" w:cs="Arial"/>
                <w:b/>
                <w:sz w:val="20"/>
                <w:szCs w:val="20"/>
              </w:rPr>
            </w:pPr>
            <w:r>
              <w:rPr>
                <w:rFonts w:ascii="Arial Narrow" w:hAnsi="Arial Narrow" w:cs="Arial"/>
                <w:b/>
                <w:sz w:val="20"/>
                <w:szCs w:val="20"/>
              </w:rPr>
              <w:t>Element Objective</w:t>
            </w:r>
          </w:p>
          <w:p w14:paraId="1E9B3E57" w14:textId="77777777" w:rsidR="001B5B0A" w:rsidRPr="00484560" w:rsidRDefault="001B5B0A" w:rsidP="006255F2">
            <w:pPr>
              <w:tabs>
                <w:tab w:val="left" w:pos="0"/>
              </w:tabs>
              <w:spacing w:before="60" w:after="60"/>
              <w:ind w:left="318" w:right="-46" w:hanging="318"/>
              <w:jc w:val="both"/>
              <w:rPr>
                <w:rFonts w:ascii="Arial Narrow" w:hAnsi="Arial Narrow" w:cs="Arial"/>
                <w:i/>
                <w:sz w:val="20"/>
                <w:szCs w:val="20"/>
              </w:rPr>
            </w:pPr>
            <w:r>
              <w:rPr>
                <w:rFonts w:ascii="Arial Narrow" w:hAnsi="Arial Narrow" w:cs="Arial"/>
                <w:i/>
                <w:sz w:val="20"/>
                <w:szCs w:val="20"/>
              </w:rPr>
              <w:t>D</w:t>
            </w:r>
            <w:r w:rsidRPr="00484560">
              <w:rPr>
                <w:rFonts w:ascii="Arial Narrow" w:hAnsi="Arial Narrow" w:cs="Arial"/>
                <w:i/>
                <w:sz w:val="20"/>
                <w:szCs w:val="20"/>
              </w:rPr>
              <w:t>evelopment should meet these criteria.</w:t>
            </w:r>
          </w:p>
        </w:tc>
        <w:tc>
          <w:tcPr>
            <w:tcW w:w="4678" w:type="dxa"/>
            <w:shd w:val="solid" w:color="D9D9D9" w:fill="auto"/>
          </w:tcPr>
          <w:p w14:paraId="44B36459" w14:textId="77777777" w:rsidR="001B5B0A" w:rsidRPr="00484560" w:rsidRDefault="001B5B0A" w:rsidP="006255F2">
            <w:pPr>
              <w:tabs>
                <w:tab w:val="left" w:pos="0"/>
              </w:tabs>
              <w:spacing w:before="60" w:after="60"/>
              <w:ind w:left="317" w:right="-46" w:hanging="284"/>
              <w:jc w:val="both"/>
              <w:rPr>
                <w:rFonts w:ascii="Arial Narrow" w:hAnsi="Arial Narrow" w:cs="Arial"/>
                <w:b/>
                <w:sz w:val="20"/>
                <w:szCs w:val="20"/>
              </w:rPr>
            </w:pPr>
            <w:r w:rsidRPr="00484560">
              <w:rPr>
                <w:rFonts w:ascii="Arial Narrow" w:hAnsi="Arial Narrow" w:cs="Arial"/>
                <w:b/>
                <w:sz w:val="20"/>
                <w:szCs w:val="20"/>
              </w:rPr>
              <w:t xml:space="preserve">Acceptable </w:t>
            </w:r>
            <w:r>
              <w:rPr>
                <w:rFonts w:ascii="Arial Narrow" w:hAnsi="Arial Narrow" w:cs="Arial"/>
                <w:b/>
                <w:sz w:val="20"/>
                <w:szCs w:val="20"/>
              </w:rPr>
              <w:t>Outcomes</w:t>
            </w:r>
          </w:p>
          <w:p w14:paraId="311D94E2" w14:textId="77777777" w:rsidR="001B5B0A" w:rsidRPr="00484560" w:rsidRDefault="001B5B0A" w:rsidP="006255F2">
            <w:pPr>
              <w:tabs>
                <w:tab w:val="left" w:pos="0"/>
              </w:tabs>
              <w:spacing w:before="60" w:after="60"/>
              <w:ind w:left="33" w:right="-46"/>
              <w:jc w:val="both"/>
              <w:rPr>
                <w:rFonts w:ascii="Arial Narrow" w:hAnsi="Arial Narrow" w:cs="Arial"/>
                <w:i/>
                <w:sz w:val="20"/>
                <w:szCs w:val="20"/>
              </w:rPr>
            </w:pPr>
            <w:r w:rsidRPr="00484560">
              <w:rPr>
                <w:rFonts w:ascii="Arial Narrow" w:hAnsi="Arial Narrow" w:cs="Arial"/>
                <w:i/>
                <w:sz w:val="20"/>
                <w:szCs w:val="20"/>
              </w:rPr>
              <w:t xml:space="preserve">The acceptable </w:t>
            </w:r>
            <w:r>
              <w:rPr>
                <w:rFonts w:ascii="Arial Narrow" w:hAnsi="Arial Narrow" w:cs="Arial"/>
                <w:i/>
                <w:sz w:val="20"/>
                <w:szCs w:val="20"/>
              </w:rPr>
              <w:t>outcomes</w:t>
            </w:r>
            <w:r w:rsidRPr="00484560">
              <w:rPr>
                <w:rFonts w:ascii="Arial Narrow" w:hAnsi="Arial Narrow" w:cs="Arial"/>
                <w:i/>
                <w:sz w:val="20"/>
                <w:szCs w:val="20"/>
              </w:rPr>
              <w:t xml:space="preserve"> are ways of meeting the </w:t>
            </w:r>
            <w:r>
              <w:rPr>
                <w:rFonts w:ascii="Arial Narrow" w:hAnsi="Arial Narrow" w:cs="Arial"/>
                <w:i/>
                <w:sz w:val="20"/>
                <w:szCs w:val="20"/>
              </w:rPr>
              <w:t>element objective</w:t>
            </w:r>
            <w:r w:rsidRPr="00484560">
              <w:rPr>
                <w:rFonts w:ascii="Arial Narrow" w:hAnsi="Arial Narrow" w:cs="Arial"/>
                <w:i/>
                <w:sz w:val="20"/>
                <w:szCs w:val="20"/>
              </w:rPr>
              <w:t>.</w:t>
            </w:r>
          </w:p>
        </w:tc>
      </w:tr>
      <w:tr w:rsidR="001B5B0A" w:rsidRPr="000F1ABE" w14:paraId="5FCD0FC3" w14:textId="77777777" w:rsidTr="006255F2">
        <w:tc>
          <w:tcPr>
            <w:tcW w:w="4678" w:type="dxa"/>
          </w:tcPr>
          <w:p w14:paraId="38C00D0A" w14:textId="77777777" w:rsidR="001B5B0A" w:rsidRPr="00484560" w:rsidRDefault="001B5B0A" w:rsidP="006255F2">
            <w:pPr>
              <w:tabs>
                <w:tab w:val="left" w:pos="0"/>
              </w:tabs>
              <w:spacing w:before="60"/>
              <w:ind w:right="33"/>
              <w:jc w:val="both"/>
              <w:rPr>
                <w:rFonts w:ascii="Arial Narrow" w:hAnsi="Arial Narrow" w:cs="Arial"/>
                <w:sz w:val="20"/>
                <w:szCs w:val="20"/>
              </w:rPr>
            </w:pPr>
            <w:proofErr w:type="gramStart"/>
            <w:r w:rsidRPr="00484560">
              <w:rPr>
                <w:rFonts w:ascii="Arial Narrow" w:hAnsi="Arial Narrow" w:cs="Arial"/>
                <w:sz w:val="20"/>
                <w:szCs w:val="20"/>
              </w:rPr>
              <w:t>In regard to</w:t>
            </w:r>
            <w:proofErr w:type="gramEnd"/>
            <w:r w:rsidRPr="00484560">
              <w:rPr>
                <w:rFonts w:ascii="Arial Narrow" w:hAnsi="Arial Narrow" w:cs="Arial"/>
                <w:sz w:val="20"/>
                <w:szCs w:val="20"/>
              </w:rPr>
              <w:t xml:space="preserve"> resource conservation within the </w:t>
            </w:r>
            <w:r>
              <w:rPr>
                <w:rFonts w:ascii="Arial Narrow" w:hAnsi="Arial Narrow" w:cs="Arial"/>
                <w:sz w:val="20"/>
                <w:szCs w:val="20"/>
              </w:rPr>
              <w:t>T</w:t>
            </w:r>
            <w:r w:rsidRPr="00484560">
              <w:rPr>
                <w:rFonts w:ascii="Arial Narrow" w:hAnsi="Arial Narrow" w:cs="Arial"/>
                <w:sz w:val="20"/>
                <w:szCs w:val="20"/>
              </w:rPr>
              <w:t xml:space="preserve">own </w:t>
            </w:r>
            <w:r>
              <w:rPr>
                <w:rFonts w:ascii="Arial Narrow" w:hAnsi="Arial Narrow" w:cs="Arial"/>
                <w:sz w:val="20"/>
                <w:szCs w:val="20"/>
              </w:rPr>
              <w:t>C</w:t>
            </w:r>
            <w:r w:rsidRPr="00484560">
              <w:rPr>
                <w:rFonts w:ascii="Arial Narrow" w:hAnsi="Arial Narrow" w:cs="Arial"/>
                <w:sz w:val="20"/>
                <w:szCs w:val="20"/>
              </w:rPr>
              <w:t xml:space="preserve">entre, development </w:t>
            </w:r>
            <w:r>
              <w:rPr>
                <w:rFonts w:ascii="Arial Narrow" w:hAnsi="Arial Narrow" w:cs="Arial"/>
                <w:sz w:val="20"/>
                <w:szCs w:val="20"/>
              </w:rPr>
              <w:t>is to</w:t>
            </w:r>
            <w:r w:rsidRPr="00484560">
              <w:rPr>
                <w:rFonts w:ascii="Arial Narrow" w:hAnsi="Arial Narrow" w:cs="Arial"/>
                <w:sz w:val="20"/>
                <w:szCs w:val="20"/>
              </w:rPr>
              <w:t>:</w:t>
            </w:r>
          </w:p>
          <w:p w14:paraId="3AC10DAD" w14:textId="77777777" w:rsidR="001B5B0A" w:rsidRPr="00484560" w:rsidRDefault="001B5B0A" w:rsidP="006255F2">
            <w:pPr>
              <w:pStyle w:val="ListParagraph"/>
              <w:tabs>
                <w:tab w:val="left" w:pos="284"/>
              </w:tabs>
              <w:spacing w:before="60"/>
              <w:ind w:left="318" w:right="33"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484560">
              <w:rPr>
                <w:rFonts w:ascii="Arial Narrow" w:hAnsi="Arial Narrow" w:cs="Arial"/>
                <w:sz w:val="20"/>
                <w:szCs w:val="20"/>
              </w:rPr>
              <w:t xml:space="preserve">Create an environment that encourages non-automotive modes of travel between activities to reduce transport energy consumption. </w:t>
            </w:r>
          </w:p>
          <w:p w14:paraId="1B3685E9" w14:textId="77777777" w:rsidR="001B5B0A" w:rsidRPr="00484560" w:rsidRDefault="001B5B0A" w:rsidP="006255F2">
            <w:pPr>
              <w:pStyle w:val="ListParagraph"/>
              <w:tabs>
                <w:tab w:val="left" w:pos="284"/>
              </w:tabs>
              <w:spacing w:before="60"/>
              <w:ind w:left="318" w:right="33"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484560">
              <w:rPr>
                <w:rFonts w:ascii="Arial Narrow" w:hAnsi="Arial Narrow" w:cs="Arial"/>
                <w:sz w:val="20"/>
                <w:szCs w:val="20"/>
              </w:rPr>
              <w:t xml:space="preserve">Orientate buildings and openings to benefit from passive climatic heating and cooling opportunities to reduce fixed energy consumption. </w:t>
            </w:r>
          </w:p>
          <w:p w14:paraId="15BBE9E1" w14:textId="77777777" w:rsidR="001B5B0A" w:rsidRPr="00484560" w:rsidRDefault="001B5B0A" w:rsidP="006255F2">
            <w:pPr>
              <w:pStyle w:val="ListParagraph"/>
              <w:tabs>
                <w:tab w:val="left" w:pos="284"/>
              </w:tabs>
              <w:spacing w:before="60"/>
              <w:ind w:left="318" w:right="33"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484560">
              <w:rPr>
                <w:rFonts w:ascii="Arial Narrow" w:hAnsi="Arial Narrow" w:cs="Arial"/>
                <w:sz w:val="20"/>
                <w:szCs w:val="20"/>
              </w:rPr>
              <w:t>Incorporate energy-generation systems, energy recovery systems, and energy efficient plant wherever possible, to reduce net energy consumption of buildings.</w:t>
            </w:r>
          </w:p>
          <w:p w14:paraId="650812FC" w14:textId="77777777" w:rsidR="001B5B0A" w:rsidRPr="00484560" w:rsidRDefault="001B5B0A" w:rsidP="006255F2">
            <w:pPr>
              <w:pStyle w:val="ListParagraph"/>
              <w:tabs>
                <w:tab w:val="left" w:pos="284"/>
              </w:tabs>
              <w:spacing w:before="60"/>
              <w:ind w:left="318" w:right="33"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484560">
              <w:rPr>
                <w:rFonts w:ascii="Arial Narrow" w:hAnsi="Arial Narrow" w:cs="Arial"/>
                <w:sz w:val="20"/>
                <w:szCs w:val="20"/>
              </w:rPr>
              <w:t>Enable the retention and adaptive re-use of existing structures, where appropriate, to reduce the consumption of additional building materials and the energy required to manufacture them.</w:t>
            </w:r>
          </w:p>
          <w:p w14:paraId="01CD3ADF" w14:textId="77777777" w:rsidR="001B5B0A" w:rsidRPr="00484560" w:rsidRDefault="001B5B0A" w:rsidP="006255F2">
            <w:pPr>
              <w:pStyle w:val="ListParagraph"/>
              <w:tabs>
                <w:tab w:val="left" w:pos="284"/>
              </w:tabs>
              <w:spacing w:before="60"/>
              <w:ind w:left="318" w:right="33"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484560">
              <w:rPr>
                <w:rFonts w:ascii="Arial Narrow" w:hAnsi="Arial Narrow" w:cs="Arial"/>
                <w:sz w:val="20"/>
                <w:szCs w:val="20"/>
              </w:rPr>
              <w:t>Maximise the retention and reuse of stormwater for irrigation purposes</w:t>
            </w:r>
            <w:r w:rsidRPr="00484560">
              <w:rPr>
                <w:rFonts w:ascii="Arial Narrow" w:hAnsi="Arial Narrow" w:cs="Arial"/>
                <w:b/>
                <w:i/>
                <w:sz w:val="20"/>
                <w:szCs w:val="20"/>
              </w:rPr>
              <w:t xml:space="preserve"> </w:t>
            </w:r>
            <w:r w:rsidRPr="00484560">
              <w:rPr>
                <w:rFonts w:ascii="Arial Narrow" w:hAnsi="Arial Narrow" w:cs="Arial"/>
                <w:sz w:val="20"/>
                <w:szCs w:val="20"/>
              </w:rPr>
              <w:t>to reduce the need for expensive stormwater infrastructure, and to reduce the burden on the metropolitan water supply.</w:t>
            </w:r>
          </w:p>
          <w:p w14:paraId="39583103" w14:textId="77777777" w:rsidR="001B5B0A" w:rsidRPr="00484560" w:rsidRDefault="001B5B0A" w:rsidP="006255F2">
            <w:pPr>
              <w:pStyle w:val="ListParagraph"/>
              <w:tabs>
                <w:tab w:val="left" w:pos="284"/>
              </w:tabs>
              <w:spacing w:before="60" w:after="60"/>
              <w:ind w:left="318" w:right="33"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484560">
              <w:rPr>
                <w:rFonts w:ascii="Arial Narrow" w:hAnsi="Arial Narrow" w:cs="Arial"/>
                <w:sz w:val="20"/>
                <w:szCs w:val="20"/>
              </w:rPr>
              <w:t>Minimise the landfill component of waste generation, wherever possible, by providing facilities for the storage and collection of recyclable material.</w:t>
            </w:r>
          </w:p>
        </w:tc>
        <w:tc>
          <w:tcPr>
            <w:tcW w:w="4678" w:type="dxa"/>
          </w:tcPr>
          <w:p w14:paraId="075D1C2F" w14:textId="77777777" w:rsidR="001B5B0A" w:rsidRPr="00BC6928" w:rsidRDefault="001B5B0A" w:rsidP="006255F2">
            <w:pPr>
              <w:pStyle w:val="ListParagraph"/>
              <w:tabs>
                <w:tab w:val="left" w:pos="317"/>
              </w:tabs>
              <w:spacing w:before="60"/>
              <w:ind w:left="317" w:right="33" w:hanging="284"/>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BC6928">
              <w:rPr>
                <w:rFonts w:ascii="Arial Narrow" w:hAnsi="Arial Narrow" w:cs="Arial"/>
                <w:bCs/>
                <w:sz w:val="20"/>
                <w:szCs w:val="20"/>
              </w:rPr>
              <w:t>Development to comply with the acceptable outcomes of the Energy efficiency</w:t>
            </w:r>
            <w:r>
              <w:rPr>
                <w:rFonts w:ascii="Arial Narrow" w:hAnsi="Arial Narrow" w:cs="Arial"/>
                <w:bCs/>
                <w:sz w:val="20"/>
                <w:szCs w:val="20"/>
              </w:rPr>
              <w:t>;</w:t>
            </w:r>
            <w:r w:rsidRPr="00BC6928">
              <w:rPr>
                <w:rFonts w:ascii="Arial Narrow" w:hAnsi="Arial Narrow" w:cs="Arial"/>
                <w:bCs/>
                <w:sz w:val="20"/>
                <w:szCs w:val="20"/>
              </w:rPr>
              <w:t xml:space="preserve"> Water management and conservation</w:t>
            </w:r>
            <w:r>
              <w:rPr>
                <w:rFonts w:ascii="Arial Narrow" w:hAnsi="Arial Narrow" w:cs="Arial"/>
                <w:bCs/>
                <w:sz w:val="20"/>
                <w:szCs w:val="20"/>
              </w:rPr>
              <w:t>;</w:t>
            </w:r>
            <w:r w:rsidRPr="00BC6928">
              <w:rPr>
                <w:rFonts w:ascii="Arial Narrow" w:hAnsi="Arial Narrow" w:cs="Arial"/>
                <w:bCs/>
                <w:sz w:val="20"/>
                <w:szCs w:val="20"/>
              </w:rPr>
              <w:t xml:space="preserve"> and Waste management elements of the </w:t>
            </w:r>
            <w:r w:rsidRPr="00860232">
              <w:rPr>
                <w:rFonts w:ascii="Arial Narrow" w:hAnsi="Arial Narrow" w:cs="Arial"/>
                <w:bCs/>
                <w:sz w:val="20"/>
                <w:szCs w:val="20"/>
              </w:rPr>
              <w:t>R-Codes Vol.1 and R-Codes Vol. 2, as applicable</w:t>
            </w:r>
            <w:r w:rsidRPr="00860232">
              <w:rPr>
                <w:rFonts w:ascii="Arial Narrow" w:hAnsi="Arial Narrow" w:cs="Arial"/>
                <w:sz w:val="20"/>
                <w:szCs w:val="20"/>
              </w:rPr>
              <w:t>.</w:t>
            </w:r>
          </w:p>
          <w:p w14:paraId="1A0EE442" w14:textId="77777777" w:rsidR="001B5B0A" w:rsidRPr="00BC6928" w:rsidRDefault="001B5B0A" w:rsidP="006255F2">
            <w:pPr>
              <w:pStyle w:val="ListParagraph"/>
              <w:tabs>
                <w:tab w:val="left" w:pos="317"/>
              </w:tabs>
              <w:spacing w:before="60"/>
              <w:ind w:left="317" w:right="33" w:hanging="284"/>
              <w:jc w:val="both"/>
              <w:rPr>
                <w:rFonts w:ascii="Arial Narrow" w:hAnsi="Arial Narrow" w:cs="Arial"/>
                <w:sz w:val="20"/>
                <w:szCs w:val="20"/>
              </w:rPr>
            </w:pPr>
            <w:r w:rsidRPr="00BC6928">
              <w:rPr>
                <w:rFonts w:ascii="Arial Narrow" w:hAnsi="Arial Narrow" w:cs="Arial"/>
                <w:b/>
                <w:sz w:val="20"/>
                <w:szCs w:val="20"/>
              </w:rPr>
              <w:t>..</w:t>
            </w:r>
            <w:r w:rsidRPr="00BC6928">
              <w:rPr>
                <w:rFonts w:ascii="Arial Narrow" w:hAnsi="Arial Narrow" w:cs="Arial"/>
                <w:b/>
                <w:sz w:val="20"/>
                <w:szCs w:val="20"/>
              </w:rPr>
              <w:tab/>
            </w:r>
            <w:r w:rsidRPr="00BC6928">
              <w:rPr>
                <w:rFonts w:ascii="Arial Narrow" w:hAnsi="Arial Narrow" w:cs="Arial"/>
                <w:sz w:val="20"/>
                <w:szCs w:val="20"/>
              </w:rPr>
              <w:t>Consider the Town of East Fremantle Local Planning Policy 3.1.8 Wood Encouragement Policy – General.</w:t>
            </w:r>
          </w:p>
          <w:p w14:paraId="48577FC2" w14:textId="77777777" w:rsidR="001B5B0A" w:rsidRPr="00FC6317" w:rsidRDefault="001B5B0A" w:rsidP="006255F2">
            <w:pPr>
              <w:tabs>
                <w:tab w:val="left" w:pos="317"/>
              </w:tabs>
              <w:spacing w:before="60"/>
              <w:ind w:right="33"/>
              <w:jc w:val="both"/>
              <w:rPr>
                <w:rFonts w:ascii="Arial Narrow" w:hAnsi="Arial Narrow" w:cs="Arial"/>
                <w:sz w:val="20"/>
                <w:szCs w:val="20"/>
              </w:rPr>
            </w:pPr>
          </w:p>
        </w:tc>
      </w:tr>
    </w:tbl>
    <w:p w14:paraId="68B2B166" w14:textId="77777777" w:rsidR="001B5B0A" w:rsidRPr="00666FFC" w:rsidRDefault="001B5B0A" w:rsidP="001B5B0A">
      <w:pPr>
        <w:spacing w:before="240" w:after="0"/>
        <w:jc w:val="both"/>
        <w:rPr>
          <w:rFonts w:cs="Arial"/>
          <w:i/>
          <w:color w:val="000000"/>
          <w:u w:val="single"/>
        </w:rPr>
      </w:pPr>
      <w:r w:rsidRPr="00666FFC">
        <w:rPr>
          <w:rFonts w:cs="Arial"/>
          <w:i/>
          <w:color w:val="000000"/>
          <w:u w:val="single"/>
        </w:rPr>
        <w:t>Element 11: Signage and Services</w:t>
      </w:r>
    </w:p>
    <w:p w14:paraId="2A4C730B" w14:textId="77777777" w:rsidR="001B5B0A" w:rsidRPr="00666FFC" w:rsidRDefault="001B5B0A" w:rsidP="001B5B0A">
      <w:pPr>
        <w:spacing w:after="120"/>
        <w:jc w:val="both"/>
        <w:rPr>
          <w:rFonts w:cs="Arial"/>
        </w:rPr>
      </w:pPr>
      <w:r w:rsidRPr="00666FFC">
        <w:rPr>
          <w:rFonts w:cs="Arial"/>
        </w:rPr>
        <w:t xml:space="preserve">Signage and services </w:t>
      </w:r>
      <w:proofErr w:type="gramStart"/>
      <w:r w:rsidRPr="00666FFC">
        <w:rPr>
          <w:rFonts w:cs="Arial"/>
        </w:rPr>
        <w:t>refers</w:t>
      </w:r>
      <w:proofErr w:type="gramEnd"/>
      <w:r w:rsidRPr="00666FFC">
        <w:rPr>
          <w:rFonts w:cs="Arial"/>
        </w:rPr>
        <w:t xml:space="preserve"> to advertising signs, and mechanical equipment (and associated pipes, conduits and ducting) that is attached to buildings.</w:t>
      </w:r>
    </w:p>
    <w:p w14:paraId="51E6306E" w14:textId="77777777" w:rsidR="001B5B0A" w:rsidRPr="00666FFC" w:rsidRDefault="001B5B0A" w:rsidP="001B5B0A">
      <w:pPr>
        <w:spacing w:after="120"/>
        <w:jc w:val="both"/>
        <w:rPr>
          <w:rFonts w:cs="Arial"/>
        </w:rPr>
      </w:pPr>
      <w:proofErr w:type="gramStart"/>
      <w:r w:rsidRPr="00666FFC">
        <w:rPr>
          <w:rFonts w:cs="Arial"/>
        </w:rPr>
        <w:t>In regard to</w:t>
      </w:r>
      <w:proofErr w:type="gramEnd"/>
      <w:r w:rsidRPr="00666FFC">
        <w:rPr>
          <w:rFonts w:cs="Arial"/>
        </w:rPr>
        <w:t xml:space="preserve"> signage and services, the policy objective is:</w:t>
      </w:r>
    </w:p>
    <w:p w14:paraId="06DCD816" w14:textId="77777777" w:rsidR="001B5B0A" w:rsidRPr="00666FFC" w:rsidRDefault="001B5B0A" w:rsidP="001B5B0A">
      <w:pPr>
        <w:spacing w:before="120" w:after="120"/>
        <w:ind w:left="426" w:hanging="426"/>
        <w:jc w:val="both"/>
        <w:rPr>
          <w:rFonts w:cs="Arial"/>
        </w:rPr>
      </w:pPr>
      <w:r w:rsidRPr="00666FFC">
        <w:rPr>
          <w:rFonts w:cs="Arial"/>
        </w:rPr>
        <w:t>-</w:t>
      </w:r>
      <w:r w:rsidRPr="00666FFC">
        <w:rPr>
          <w:rFonts w:cs="Arial"/>
        </w:rPr>
        <w:tab/>
        <w:t xml:space="preserve">To minimise the visual impact of signage and services on the streetscapes of the </w:t>
      </w:r>
      <w:r>
        <w:rPr>
          <w:rFonts w:cs="Arial"/>
        </w:rPr>
        <w:t>T</w:t>
      </w:r>
      <w:r w:rsidRPr="00666FFC">
        <w:rPr>
          <w:rFonts w:cs="Arial"/>
        </w:rPr>
        <w:t xml:space="preserve">own </w:t>
      </w:r>
      <w:r>
        <w:rPr>
          <w:rFonts w:cs="Arial"/>
        </w:rPr>
        <w:t>C</w:t>
      </w:r>
      <w:r w:rsidRPr="00666FFC">
        <w:rPr>
          <w:rFonts w:cs="Arial"/>
        </w:rPr>
        <w:t>entre.</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78"/>
        <w:gridCol w:w="4678"/>
      </w:tblGrid>
      <w:tr w:rsidR="001B5B0A" w:rsidRPr="00236752" w14:paraId="58CF64F6" w14:textId="77777777" w:rsidTr="006255F2">
        <w:tc>
          <w:tcPr>
            <w:tcW w:w="4678" w:type="dxa"/>
            <w:shd w:val="solid" w:color="D9D9D9" w:fill="auto"/>
          </w:tcPr>
          <w:p w14:paraId="615A7B96" w14:textId="77777777" w:rsidR="001B5B0A" w:rsidRPr="00236752" w:rsidRDefault="001B5B0A" w:rsidP="006255F2">
            <w:pPr>
              <w:tabs>
                <w:tab w:val="left" w:pos="0"/>
              </w:tabs>
              <w:spacing w:before="60" w:after="60"/>
              <w:ind w:left="459" w:right="-46" w:hanging="459"/>
              <w:jc w:val="both"/>
              <w:rPr>
                <w:rFonts w:ascii="Arial Narrow" w:hAnsi="Arial Narrow" w:cs="Arial"/>
                <w:b/>
                <w:sz w:val="20"/>
                <w:szCs w:val="20"/>
              </w:rPr>
            </w:pPr>
            <w:r>
              <w:rPr>
                <w:rFonts w:ascii="Arial Narrow" w:hAnsi="Arial Narrow" w:cs="Arial"/>
                <w:b/>
                <w:sz w:val="20"/>
                <w:szCs w:val="20"/>
              </w:rPr>
              <w:lastRenderedPageBreak/>
              <w:t>Element Objective</w:t>
            </w:r>
          </w:p>
          <w:p w14:paraId="67442127" w14:textId="77777777" w:rsidR="001B5B0A" w:rsidRPr="00236752" w:rsidRDefault="001B5B0A" w:rsidP="006255F2">
            <w:pPr>
              <w:tabs>
                <w:tab w:val="left" w:pos="0"/>
              </w:tabs>
              <w:spacing w:before="60" w:after="60"/>
              <w:ind w:right="-46"/>
              <w:jc w:val="both"/>
              <w:rPr>
                <w:rFonts w:ascii="Arial Narrow" w:hAnsi="Arial Narrow" w:cs="Arial"/>
                <w:i/>
                <w:sz w:val="20"/>
                <w:szCs w:val="20"/>
              </w:rPr>
            </w:pPr>
            <w:r>
              <w:rPr>
                <w:rFonts w:ascii="Arial Narrow" w:hAnsi="Arial Narrow" w:cs="Arial"/>
                <w:i/>
                <w:sz w:val="20"/>
                <w:szCs w:val="20"/>
              </w:rPr>
              <w:t>D</w:t>
            </w:r>
            <w:r w:rsidRPr="00236752">
              <w:rPr>
                <w:rFonts w:ascii="Arial Narrow" w:hAnsi="Arial Narrow" w:cs="Arial"/>
                <w:i/>
                <w:sz w:val="20"/>
                <w:szCs w:val="20"/>
              </w:rPr>
              <w:t>evelopment should meet these criteria.</w:t>
            </w:r>
          </w:p>
        </w:tc>
        <w:tc>
          <w:tcPr>
            <w:tcW w:w="4678" w:type="dxa"/>
            <w:shd w:val="solid" w:color="D9D9D9" w:fill="auto"/>
          </w:tcPr>
          <w:p w14:paraId="3BB8B214" w14:textId="77777777" w:rsidR="001B5B0A" w:rsidRPr="00236752" w:rsidRDefault="001B5B0A" w:rsidP="006255F2">
            <w:pPr>
              <w:tabs>
                <w:tab w:val="left" w:pos="0"/>
              </w:tabs>
              <w:spacing w:before="60" w:after="60"/>
              <w:ind w:left="306" w:right="-46" w:hanging="283"/>
              <w:jc w:val="both"/>
              <w:rPr>
                <w:rFonts w:ascii="Arial Narrow" w:hAnsi="Arial Narrow" w:cs="Arial"/>
                <w:b/>
                <w:sz w:val="20"/>
                <w:szCs w:val="20"/>
              </w:rPr>
            </w:pPr>
            <w:r w:rsidRPr="00236752">
              <w:rPr>
                <w:rFonts w:ascii="Arial Narrow" w:hAnsi="Arial Narrow" w:cs="Arial"/>
                <w:b/>
                <w:sz w:val="20"/>
                <w:szCs w:val="20"/>
              </w:rPr>
              <w:t xml:space="preserve">Acceptable </w:t>
            </w:r>
            <w:r>
              <w:rPr>
                <w:rFonts w:ascii="Arial Narrow" w:hAnsi="Arial Narrow" w:cs="Arial"/>
                <w:b/>
                <w:sz w:val="20"/>
                <w:szCs w:val="20"/>
              </w:rPr>
              <w:t>Outcomes</w:t>
            </w:r>
          </w:p>
          <w:p w14:paraId="37948C19" w14:textId="77777777" w:rsidR="001B5B0A" w:rsidRPr="00236752" w:rsidRDefault="001B5B0A" w:rsidP="006255F2">
            <w:pPr>
              <w:tabs>
                <w:tab w:val="left" w:pos="0"/>
              </w:tabs>
              <w:spacing w:before="60" w:after="60"/>
              <w:ind w:left="23" w:right="-46"/>
              <w:jc w:val="both"/>
              <w:rPr>
                <w:rFonts w:ascii="Arial Narrow" w:hAnsi="Arial Narrow" w:cs="Arial"/>
                <w:i/>
                <w:sz w:val="20"/>
                <w:szCs w:val="20"/>
              </w:rPr>
            </w:pPr>
            <w:r w:rsidRPr="00236752">
              <w:rPr>
                <w:rFonts w:ascii="Arial Narrow" w:hAnsi="Arial Narrow" w:cs="Arial"/>
                <w:i/>
                <w:sz w:val="20"/>
                <w:szCs w:val="20"/>
              </w:rPr>
              <w:t xml:space="preserve">The acceptable </w:t>
            </w:r>
            <w:r>
              <w:rPr>
                <w:rFonts w:ascii="Arial Narrow" w:hAnsi="Arial Narrow" w:cs="Arial"/>
                <w:i/>
                <w:sz w:val="20"/>
                <w:szCs w:val="20"/>
              </w:rPr>
              <w:t>outcomes</w:t>
            </w:r>
            <w:r w:rsidRPr="00236752">
              <w:rPr>
                <w:rFonts w:ascii="Arial Narrow" w:hAnsi="Arial Narrow" w:cs="Arial"/>
                <w:i/>
                <w:sz w:val="20"/>
                <w:szCs w:val="20"/>
              </w:rPr>
              <w:t xml:space="preserve"> are ways of meeting the </w:t>
            </w:r>
            <w:r>
              <w:rPr>
                <w:rFonts w:ascii="Arial Narrow" w:hAnsi="Arial Narrow" w:cs="Arial"/>
                <w:i/>
                <w:sz w:val="20"/>
                <w:szCs w:val="20"/>
              </w:rPr>
              <w:t>element objective.</w:t>
            </w:r>
          </w:p>
        </w:tc>
      </w:tr>
      <w:tr w:rsidR="001B5B0A" w:rsidRPr="00236752" w14:paraId="3822F511" w14:textId="77777777" w:rsidTr="006255F2">
        <w:tc>
          <w:tcPr>
            <w:tcW w:w="4678" w:type="dxa"/>
          </w:tcPr>
          <w:p w14:paraId="27610EF4" w14:textId="77777777" w:rsidR="001B5B0A" w:rsidRPr="00236752" w:rsidRDefault="001B5B0A" w:rsidP="006255F2">
            <w:pPr>
              <w:pStyle w:val="ListParagraph"/>
              <w:tabs>
                <w:tab w:val="left" w:pos="318"/>
              </w:tabs>
              <w:spacing w:before="60"/>
              <w:ind w:left="318" w:right="34"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proofErr w:type="gramStart"/>
            <w:r w:rsidRPr="00236752">
              <w:rPr>
                <w:rFonts w:ascii="Arial Narrow" w:hAnsi="Arial Narrow" w:cs="Arial"/>
                <w:sz w:val="20"/>
                <w:szCs w:val="20"/>
              </w:rPr>
              <w:t>In regard to</w:t>
            </w:r>
            <w:proofErr w:type="gramEnd"/>
            <w:r w:rsidRPr="00236752">
              <w:rPr>
                <w:rFonts w:ascii="Arial Narrow" w:hAnsi="Arial Narrow" w:cs="Arial"/>
                <w:sz w:val="20"/>
                <w:szCs w:val="20"/>
              </w:rPr>
              <w:t xml:space="preserve"> signage within the </w:t>
            </w:r>
            <w:r>
              <w:rPr>
                <w:rFonts w:ascii="Arial Narrow" w:hAnsi="Arial Narrow" w:cs="Arial"/>
                <w:sz w:val="20"/>
                <w:szCs w:val="20"/>
              </w:rPr>
              <w:t>T</w:t>
            </w:r>
            <w:r w:rsidRPr="00236752">
              <w:rPr>
                <w:rFonts w:ascii="Arial Narrow" w:hAnsi="Arial Narrow" w:cs="Arial"/>
                <w:sz w:val="20"/>
                <w:szCs w:val="20"/>
              </w:rPr>
              <w:t xml:space="preserve">own </w:t>
            </w:r>
            <w:r>
              <w:rPr>
                <w:rFonts w:ascii="Arial Narrow" w:hAnsi="Arial Narrow" w:cs="Arial"/>
                <w:sz w:val="20"/>
                <w:szCs w:val="20"/>
              </w:rPr>
              <w:t>C</w:t>
            </w:r>
            <w:r w:rsidRPr="00236752">
              <w:rPr>
                <w:rFonts w:ascii="Arial Narrow" w:hAnsi="Arial Narrow" w:cs="Arial"/>
                <w:sz w:val="20"/>
                <w:szCs w:val="20"/>
              </w:rPr>
              <w:t>entre</w:t>
            </w:r>
            <w:r>
              <w:rPr>
                <w:rFonts w:ascii="Arial Narrow" w:hAnsi="Arial Narrow" w:cs="Arial"/>
                <w:sz w:val="20"/>
                <w:szCs w:val="20"/>
              </w:rPr>
              <w:t xml:space="preserve"> Redevelopment Area</w:t>
            </w:r>
            <w:r w:rsidRPr="00236752">
              <w:rPr>
                <w:rFonts w:ascii="Arial Narrow" w:hAnsi="Arial Narrow" w:cs="Arial"/>
                <w:sz w:val="20"/>
                <w:szCs w:val="20"/>
              </w:rPr>
              <w:t xml:space="preserve">, development </w:t>
            </w:r>
            <w:r>
              <w:rPr>
                <w:rFonts w:ascii="Arial Narrow" w:hAnsi="Arial Narrow" w:cs="Arial"/>
                <w:sz w:val="20"/>
                <w:szCs w:val="20"/>
              </w:rPr>
              <w:t xml:space="preserve">is to </w:t>
            </w:r>
            <w:r w:rsidRPr="00236752">
              <w:rPr>
                <w:rFonts w:ascii="Arial Narrow" w:hAnsi="Arial Narrow" w:cs="Arial"/>
                <w:sz w:val="20"/>
                <w:szCs w:val="20"/>
              </w:rPr>
              <w:t>comply with the Town of East Fre</w:t>
            </w:r>
            <w:r>
              <w:rPr>
                <w:rFonts w:ascii="Arial Narrow" w:hAnsi="Arial Narrow" w:cs="Arial"/>
                <w:sz w:val="20"/>
                <w:szCs w:val="20"/>
              </w:rPr>
              <w:t>mantle Local Planning Policy 3.1.2 Signage Design Guidelines.</w:t>
            </w:r>
          </w:p>
          <w:p w14:paraId="51877B75" w14:textId="77777777" w:rsidR="001B5B0A" w:rsidRPr="00236752" w:rsidRDefault="001B5B0A" w:rsidP="006255F2">
            <w:pPr>
              <w:pStyle w:val="ListParagraph"/>
              <w:tabs>
                <w:tab w:val="left" w:pos="318"/>
              </w:tabs>
              <w:spacing w:before="60"/>
              <w:ind w:left="318" w:right="34" w:hanging="318"/>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Pr>
                <w:rFonts w:ascii="Arial Narrow" w:hAnsi="Arial Narrow" w:cs="Arial"/>
                <w:sz w:val="20"/>
                <w:szCs w:val="20"/>
              </w:rPr>
              <w:t xml:space="preserve">Any incidental structures and mechanical equipment </w:t>
            </w:r>
            <w:proofErr w:type="gramStart"/>
            <w:r>
              <w:rPr>
                <w:rFonts w:ascii="Arial Narrow" w:hAnsi="Arial Narrow" w:cs="Arial"/>
                <w:sz w:val="20"/>
                <w:szCs w:val="20"/>
              </w:rPr>
              <w:t>is</w:t>
            </w:r>
            <w:proofErr w:type="gramEnd"/>
            <w:r>
              <w:rPr>
                <w:rFonts w:ascii="Arial Narrow" w:hAnsi="Arial Narrow" w:cs="Arial"/>
                <w:sz w:val="20"/>
                <w:szCs w:val="20"/>
              </w:rPr>
              <w:t xml:space="preserve"> to </w:t>
            </w:r>
            <w:r w:rsidRPr="00236752">
              <w:rPr>
                <w:rFonts w:ascii="Arial Narrow" w:hAnsi="Arial Narrow" w:cs="Arial"/>
                <w:sz w:val="20"/>
                <w:szCs w:val="20"/>
              </w:rPr>
              <w:t xml:space="preserve">be located to minimise visual impact on adjacent streets </w:t>
            </w:r>
            <w:r>
              <w:rPr>
                <w:rFonts w:ascii="Arial Narrow" w:hAnsi="Arial Narrow" w:cs="Arial"/>
                <w:sz w:val="20"/>
                <w:szCs w:val="20"/>
              </w:rPr>
              <w:t xml:space="preserve">and </w:t>
            </w:r>
            <w:r w:rsidRPr="00236752">
              <w:rPr>
                <w:rFonts w:ascii="Arial Narrow" w:hAnsi="Arial Narrow" w:cs="Arial"/>
                <w:sz w:val="20"/>
                <w:szCs w:val="20"/>
              </w:rPr>
              <w:t>public open spaces.</w:t>
            </w:r>
          </w:p>
          <w:p w14:paraId="55982905" w14:textId="77777777" w:rsidR="001B5B0A" w:rsidRPr="00236752" w:rsidRDefault="001B5B0A" w:rsidP="006255F2">
            <w:pPr>
              <w:pStyle w:val="ListParagraph"/>
              <w:spacing w:before="60"/>
              <w:ind w:left="0" w:right="-22"/>
              <w:jc w:val="both"/>
              <w:rPr>
                <w:rFonts w:ascii="Arial Narrow" w:hAnsi="Arial Narrow" w:cs="Arial"/>
                <w:sz w:val="20"/>
                <w:szCs w:val="20"/>
              </w:rPr>
            </w:pPr>
          </w:p>
        </w:tc>
        <w:tc>
          <w:tcPr>
            <w:tcW w:w="4678" w:type="dxa"/>
          </w:tcPr>
          <w:p w14:paraId="496A85C6" w14:textId="77777777" w:rsidR="001B5B0A" w:rsidRDefault="001B5B0A" w:rsidP="006255F2">
            <w:pPr>
              <w:pStyle w:val="ListParagraph"/>
              <w:tabs>
                <w:tab w:val="left" w:pos="318"/>
              </w:tabs>
              <w:spacing w:before="60"/>
              <w:ind w:left="318" w:right="33" w:hanging="295"/>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236752">
              <w:rPr>
                <w:rFonts w:ascii="Arial Narrow" w:hAnsi="Arial Narrow" w:cs="Arial"/>
                <w:sz w:val="20"/>
                <w:szCs w:val="20"/>
              </w:rPr>
              <w:t xml:space="preserve">Signage </w:t>
            </w:r>
            <w:r>
              <w:rPr>
                <w:rFonts w:ascii="Arial Narrow" w:hAnsi="Arial Narrow" w:cs="Arial"/>
                <w:sz w:val="20"/>
                <w:szCs w:val="20"/>
              </w:rPr>
              <w:t>is to</w:t>
            </w:r>
            <w:r w:rsidRPr="00236752">
              <w:rPr>
                <w:rFonts w:ascii="Arial Narrow" w:hAnsi="Arial Narrow" w:cs="Arial"/>
                <w:sz w:val="20"/>
                <w:szCs w:val="20"/>
              </w:rPr>
              <w:t xml:space="preserve"> comply with the Town of East Fremantle </w:t>
            </w:r>
            <w:r>
              <w:rPr>
                <w:rFonts w:ascii="Arial Narrow" w:hAnsi="Arial Narrow" w:cs="Arial"/>
                <w:sz w:val="20"/>
                <w:szCs w:val="20"/>
              </w:rPr>
              <w:t>Local Planning Policy 2.1.3 – Signage Design Guidelines</w:t>
            </w:r>
          </w:p>
          <w:p w14:paraId="169AD86C" w14:textId="77777777" w:rsidR="001B5B0A" w:rsidRPr="00236752" w:rsidRDefault="001B5B0A" w:rsidP="006255F2">
            <w:pPr>
              <w:pStyle w:val="ListParagraph"/>
              <w:tabs>
                <w:tab w:val="left" w:pos="318"/>
              </w:tabs>
              <w:spacing w:before="60"/>
              <w:ind w:left="318" w:right="33" w:hanging="295"/>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Pr>
                <w:rFonts w:ascii="Arial Narrow" w:hAnsi="Arial Narrow" w:cs="Arial"/>
                <w:sz w:val="20"/>
                <w:szCs w:val="20"/>
              </w:rPr>
              <w:t>The Town may require the submission of an overall signage plan for approval for the development site, or compliance with an overall signage plan where one has been prepared for a larger area within the Town Centre Redevelopment Area</w:t>
            </w:r>
            <w:r w:rsidRPr="00236752">
              <w:rPr>
                <w:rFonts w:ascii="Arial Narrow" w:hAnsi="Arial Narrow" w:cs="Arial"/>
                <w:sz w:val="20"/>
                <w:szCs w:val="20"/>
              </w:rPr>
              <w:t>.</w:t>
            </w:r>
          </w:p>
          <w:p w14:paraId="4D6D5265" w14:textId="77777777" w:rsidR="001B5B0A" w:rsidRDefault="001B5B0A" w:rsidP="006255F2">
            <w:pPr>
              <w:pStyle w:val="ListParagraph"/>
              <w:tabs>
                <w:tab w:val="left" w:pos="318"/>
              </w:tabs>
              <w:spacing w:before="60" w:after="60"/>
              <w:ind w:left="318" w:right="33" w:hanging="295"/>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E4571A">
              <w:rPr>
                <w:rFonts w:ascii="Arial Narrow" w:hAnsi="Arial Narrow" w:cs="Arial"/>
                <w:sz w:val="20"/>
                <w:szCs w:val="20"/>
              </w:rPr>
              <w:t xml:space="preserve">Any incidental structures and mechanical equipment (including </w:t>
            </w:r>
            <w:r>
              <w:rPr>
                <w:rFonts w:ascii="Arial Narrow" w:hAnsi="Arial Narrow" w:cs="Arial"/>
                <w:sz w:val="20"/>
                <w:szCs w:val="20"/>
              </w:rPr>
              <w:t xml:space="preserve">bin stores, </w:t>
            </w:r>
            <w:r w:rsidRPr="00E4571A">
              <w:rPr>
                <w:rFonts w:ascii="Arial Narrow" w:hAnsi="Arial Narrow" w:cs="Arial"/>
                <w:sz w:val="20"/>
                <w:szCs w:val="20"/>
              </w:rPr>
              <w:t xml:space="preserve">solar collectors, air conditioning units, mechanical plant rooms, lift overruns, antennae, satellite dishes and communications masts and the like) </w:t>
            </w:r>
            <w:r>
              <w:rPr>
                <w:rFonts w:ascii="Arial Narrow" w:hAnsi="Arial Narrow" w:cs="Arial"/>
                <w:sz w:val="20"/>
                <w:szCs w:val="20"/>
              </w:rPr>
              <w:t xml:space="preserve">is to </w:t>
            </w:r>
            <w:r w:rsidRPr="00236752">
              <w:rPr>
                <w:rFonts w:ascii="Arial Narrow" w:hAnsi="Arial Narrow" w:cs="Arial"/>
                <w:sz w:val="20"/>
                <w:szCs w:val="20"/>
              </w:rPr>
              <w:t>be located in basements</w:t>
            </w:r>
            <w:r>
              <w:rPr>
                <w:rFonts w:ascii="Arial Narrow" w:hAnsi="Arial Narrow" w:cs="Arial"/>
                <w:sz w:val="20"/>
                <w:szCs w:val="20"/>
              </w:rPr>
              <w:t>;</w:t>
            </w:r>
            <w:r w:rsidRPr="00236752">
              <w:rPr>
                <w:rFonts w:ascii="Arial Narrow" w:hAnsi="Arial Narrow" w:cs="Arial"/>
                <w:sz w:val="20"/>
                <w:szCs w:val="20"/>
              </w:rPr>
              <w:t xml:space="preserve"> in screened enclosures</w:t>
            </w:r>
            <w:r>
              <w:rPr>
                <w:rFonts w:ascii="Arial Narrow" w:hAnsi="Arial Narrow" w:cs="Arial"/>
                <w:sz w:val="20"/>
                <w:szCs w:val="20"/>
              </w:rPr>
              <w:t>;</w:t>
            </w:r>
            <w:r w:rsidRPr="00236752">
              <w:rPr>
                <w:rFonts w:ascii="Arial Narrow" w:hAnsi="Arial Narrow" w:cs="Arial"/>
                <w:sz w:val="20"/>
                <w:szCs w:val="20"/>
              </w:rPr>
              <w:t xml:space="preserve"> on roofs</w:t>
            </w:r>
            <w:r>
              <w:rPr>
                <w:rFonts w:ascii="Arial Narrow" w:hAnsi="Arial Narrow" w:cs="Arial"/>
                <w:sz w:val="20"/>
                <w:szCs w:val="20"/>
              </w:rPr>
              <w:t xml:space="preserve"> (subject to height requirements of Element 3);</w:t>
            </w:r>
            <w:r w:rsidRPr="00236752">
              <w:rPr>
                <w:rFonts w:ascii="Arial Narrow" w:hAnsi="Arial Narrow" w:cs="Arial"/>
                <w:sz w:val="20"/>
                <w:szCs w:val="20"/>
              </w:rPr>
              <w:t xml:space="preserve"> or at the rear of buildings</w:t>
            </w:r>
            <w:r>
              <w:rPr>
                <w:rFonts w:ascii="Arial Narrow" w:hAnsi="Arial Narrow" w:cs="Arial"/>
                <w:sz w:val="20"/>
                <w:szCs w:val="20"/>
              </w:rPr>
              <w:t xml:space="preserve"> and not visible from the street or adjacent public open space.</w:t>
            </w:r>
          </w:p>
          <w:p w14:paraId="75FEB824" w14:textId="77777777" w:rsidR="001B5B0A" w:rsidRPr="00236752" w:rsidRDefault="001B5B0A" w:rsidP="006255F2">
            <w:pPr>
              <w:pStyle w:val="ListParagraph"/>
              <w:tabs>
                <w:tab w:val="left" w:pos="318"/>
              </w:tabs>
              <w:spacing w:before="60"/>
              <w:ind w:left="318" w:right="33" w:hanging="295"/>
              <w:jc w:val="both"/>
              <w:rPr>
                <w:rFonts w:ascii="Arial Narrow" w:hAnsi="Arial Narrow" w:cs="Arial"/>
                <w:sz w:val="20"/>
                <w:szCs w:val="20"/>
              </w:rPr>
            </w:pPr>
            <w:r w:rsidRPr="00C35731">
              <w:rPr>
                <w:rFonts w:ascii="Arial Narrow" w:hAnsi="Arial Narrow" w:cs="Arial"/>
                <w:b/>
                <w:sz w:val="20"/>
                <w:szCs w:val="20"/>
              </w:rPr>
              <w:t>..</w:t>
            </w:r>
            <w:r w:rsidRPr="00C35731">
              <w:rPr>
                <w:rFonts w:ascii="Arial Narrow" w:hAnsi="Arial Narrow" w:cs="Arial"/>
                <w:b/>
                <w:sz w:val="20"/>
                <w:szCs w:val="20"/>
              </w:rPr>
              <w:tab/>
            </w:r>
            <w:r w:rsidRPr="00F503B0">
              <w:rPr>
                <w:rFonts w:ascii="Arial Narrow" w:hAnsi="Arial Narrow" w:cs="Arial"/>
                <w:bCs/>
                <w:sz w:val="20"/>
                <w:szCs w:val="20"/>
              </w:rPr>
              <w:t>Development applications are to include a</w:t>
            </w:r>
            <w:r>
              <w:rPr>
                <w:rFonts w:ascii="Arial Narrow" w:hAnsi="Arial Narrow" w:cs="Arial"/>
                <w:b/>
                <w:sz w:val="20"/>
                <w:szCs w:val="20"/>
              </w:rPr>
              <w:t xml:space="preserve"> </w:t>
            </w:r>
            <w:r w:rsidRPr="00F503B0">
              <w:rPr>
                <w:rFonts w:ascii="Arial Narrow" w:hAnsi="Arial Narrow" w:cs="Arial"/>
                <w:bCs/>
                <w:sz w:val="20"/>
                <w:szCs w:val="20"/>
              </w:rPr>
              <w:t>waste management plan</w:t>
            </w:r>
            <w:r>
              <w:rPr>
                <w:rFonts w:ascii="Arial Narrow" w:hAnsi="Arial Narrow" w:cs="Arial"/>
                <w:bCs/>
                <w:sz w:val="20"/>
                <w:szCs w:val="20"/>
              </w:rPr>
              <w:t xml:space="preserve"> including details of bin storage and collection</w:t>
            </w:r>
            <w:r w:rsidRPr="00236752">
              <w:rPr>
                <w:rFonts w:ascii="Arial Narrow" w:hAnsi="Arial Narrow" w:cs="Arial"/>
                <w:sz w:val="20"/>
                <w:szCs w:val="20"/>
              </w:rPr>
              <w:t>.</w:t>
            </w:r>
          </w:p>
          <w:p w14:paraId="47EB39E9" w14:textId="77777777" w:rsidR="001B5B0A" w:rsidRPr="00A65E7E" w:rsidRDefault="001B5B0A" w:rsidP="006255F2">
            <w:pPr>
              <w:tabs>
                <w:tab w:val="left" w:pos="318"/>
              </w:tabs>
              <w:spacing w:before="60" w:after="60"/>
              <w:ind w:right="33"/>
              <w:jc w:val="both"/>
              <w:rPr>
                <w:rFonts w:ascii="Arial Narrow" w:hAnsi="Arial Narrow" w:cs="Arial"/>
                <w:sz w:val="20"/>
                <w:szCs w:val="20"/>
              </w:rPr>
            </w:pPr>
          </w:p>
          <w:p w14:paraId="26196ACD" w14:textId="77777777" w:rsidR="001B5B0A" w:rsidRPr="00A65E7E" w:rsidRDefault="001B5B0A" w:rsidP="006255F2">
            <w:pPr>
              <w:tabs>
                <w:tab w:val="left" w:pos="318"/>
              </w:tabs>
              <w:spacing w:before="60" w:after="60"/>
              <w:ind w:right="33"/>
              <w:jc w:val="both"/>
              <w:rPr>
                <w:rFonts w:ascii="Arial Narrow" w:hAnsi="Arial Narrow" w:cs="Arial"/>
                <w:sz w:val="20"/>
                <w:szCs w:val="20"/>
              </w:rPr>
            </w:pPr>
          </w:p>
        </w:tc>
      </w:tr>
    </w:tbl>
    <w:p w14:paraId="302068AA" w14:textId="77777777" w:rsidR="001B5B0A" w:rsidRPr="00666FFC" w:rsidRDefault="001B5B0A" w:rsidP="001B5B0A">
      <w:pPr>
        <w:ind w:left="1134" w:right="-22"/>
        <w:jc w:val="both"/>
        <w:rPr>
          <w:rFonts w:cs="Arial"/>
          <w:b/>
          <w:sz w:val="20"/>
          <w:szCs w:val="20"/>
        </w:rPr>
      </w:pPr>
    </w:p>
    <w:tbl>
      <w:tblPr>
        <w:tblStyle w:val="TableGrid"/>
        <w:tblW w:w="0" w:type="auto"/>
        <w:tblLook w:val="04A0" w:firstRow="1" w:lastRow="0" w:firstColumn="1" w:lastColumn="0" w:noHBand="0" w:noVBand="1"/>
      </w:tblPr>
      <w:tblGrid>
        <w:gridCol w:w="3049"/>
        <w:gridCol w:w="5967"/>
      </w:tblGrid>
      <w:tr w:rsidR="001B5B0A" w:rsidRPr="00666FFC" w14:paraId="7E27398C" w14:textId="77777777" w:rsidTr="00A778B9">
        <w:tc>
          <w:tcPr>
            <w:tcW w:w="3049" w:type="dxa"/>
          </w:tcPr>
          <w:p w14:paraId="27A9E885" w14:textId="77777777" w:rsidR="001B5B0A" w:rsidRPr="00666FFC" w:rsidRDefault="001B5B0A" w:rsidP="006255F2">
            <w:pPr>
              <w:jc w:val="both"/>
              <w:rPr>
                <w:rFonts w:cs="Arial"/>
                <w:b/>
                <w:lang w:val="en-US"/>
              </w:rPr>
            </w:pPr>
            <w:r w:rsidRPr="00666FFC">
              <w:rPr>
                <w:rFonts w:cs="Arial"/>
                <w:b/>
                <w:lang w:val="en-US"/>
              </w:rPr>
              <w:t>Responsible Directorate:</w:t>
            </w:r>
          </w:p>
        </w:tc>
        <w:tc>
          <w:tcPr>
            <w:tcW w:w="5967" w:type="dxa"/>
          </w:tcPr>
          <w:p w14:paraId="3C4A0178" w14:textId="77777777" w:rsidR="001B5B0A" w:rsidRPr="00666FFC" w:rsidRDefault="001B5B0A" w:rsidP="006255F2">
            <w:pPr>
              <w:jc w:val="both"/>
              <w:rPr>
                <w:rFonts w:cs="Arial"/>
                <w:lang w:val="en-US"/>
              </w:rPr>
            </w:pPr>
            <w:r>
              <w:rPr>
                <w:rFonts w:cs="Arial"/>
                <w:lang w:val="en-US"/>
              </w:rPr>
              <w:t>Regulatory Services</w:t>
            </w:r>
          </w:p>
        </w:tc>
      </w:tr>
      <w:tr w:rsidR="001B5B0A" w:rsidRPr="00666FFC" w14:paraId="6B2992E6" w14:textId="77777777" w:rsidTr="00A778B9">
        <w:tc>
          <w:tcPr>
            <w:tcW w:w="3049" w:type="dxa"/>
          </w:tcPr>
          <w:p w14:paraId="41D7B1B6" w14:textId="77777777" w:rsidR="001B5B0A" w:rsidRPr="00666FFC" w:rsidRDefault="001B5B0A" w:rsidP="006255F2">
            <w:pPr>
              <w:jc w:val="both"/>
              <w:rPr>
                <w:rFonts w:cs="Arial"/>
                <w:b/>
                <w:lang w:val="en-US"/>
              </w:rPr>
            </w:pPr>
            <w:r w:rsidRPr="00666FFC">
              <w:rPr>
                <w:rFonts w:cs="Arial"/>
                <w:b/>
                <w:lang w:val="en-US"/>
              </w:rPr>
              <w:t>Reviewing Officer:</w:t>
            </w:r>
          </w:p>
        </w:tc>
        <w:tc>
          <w:tcPr>
            <w:tcW w:w="5967" w:type="dxa"/>
          </w:tcPr>
          <w:p w14:paraId="0AC964B8" w14:textId="77777777" w:rsidR="001B5B0A" w:rsidRPr="00666FFC" w:rsidRDefault="001B5B0A" w:rsidP="006255F2">
            <w:pPr>
              <w:jc w:val="both"/>
              <w:rPr>
                <w:rFonts w:cs="Arial"/>
                <w:lang w:val="en-US"/>
              </w:rPr>
            </w:pPr>
            <w:r>
              <w:rPr>
                <w:rFonts w:cs="Arial"/>
                <w:lang w:val="en-US"/>
              </w:rPr>
              <w:t>Executive Manager Regulatory</w:t>
            </w:r>
            <w:r w:rsidRPr="00666FFC">
              <w:rPr>
                <w:rFonts w:cs="Arial"/>
                <w:lang w:val="en-US"/>
              </w:rPr>
              <w:t xml:space="preserve"> Services</w:t>
            </w:r>
          </w:p>
        </w:tc>
      </w:tr>
      <w:tr w:rsidR="001B5B0A" w:rsidRPr="00666FFC" w14:paraId="31A32B00" w14:textId="77777777" w:rsidTr="00A778B9">
        <w:tc>
          <w:tcPr>
            <w:tcW w:w="3049" w:type="dxa"/>
          </w:tcPr>
          <w:p w14:paraId="34F57A44" w14:textId="77777777" w:rsidR="001B5B0A" w:rsidRPr="00666FFC" w:rsidRDefault="001B5B0A" w:rsidP="006255F2">
            <w:pPr>
              <w:jc w:val="both"/>
              <w:rPr>
                <w:rFonts w:cs="Arial"/>
                <w:b/>
                <w:lang w:val="en-US"/>
              </w:rPr>
            </w:pPr>
            <w:r w:rsidRPr="00666FFC">
              <w:rPr>
                <w:rFonts w:cs="Arial"/>
                <w:b/>
                <w:lang w:val="en-US"/>
              </w:rPr>
              <w:t>Decision making Authority:</w:t>
            </w:r>
          </w:p>
        </w:tc>
        <w:tc>
          <w:tcPr>
            <w:tcW w:w="5967" w:type="dxa"/>
          </w:tcPr>
          <w:p w14:paraId="48604E28" w14:textId="77777777" w:rsidR="001B5B0A" w:rsidRPr="00666FFC" w:rsidRDefault="001B5B0A" w:rsidP="006255F2">
            <w:pPr>
              <w:jc w:val="both"/>
              <w:rPr>
                <w:rFonts w:cs="Arial"/>
                <w:lang w:val="en-US"/>
              </w:rPr>
            </w:pPr>
            <w:r w:rsidRPr="00666FFC">
              <w:rPr>
                <w:rFonts w:cs="Arial"/>
                <w:lang w:val="en-US"/>
              </w:rPr>
              <w:t>Council</w:t>
            </w:r>
          </w:p>
        </w:tc>
      </w:tr>
      <w:tr w:rsidR="001B5B0A" w:rsidRPr="00666FFC" w14:paraId="627A4254" w14:textId="77777777" w:rsidTr="00A778B9">
        <w:tc>
          <w:tcPr>
            <w:tcW w:w="3049" w:type="dxa"/>
          </w:tcPr>
          <w:p w14:paraId="5BB56A00" w14:textId="77777777" w:rsidR="001B5B0A" w:rsidRPr="00666FFC" w:rsidRDefault="001B5B0A" w:rsidP="006255F2">
            <w:pPr>
              <w:jc w:val="both"/>
              <w:rPr>
                <w:rFonts w:cs="Arial"/>
                <w:b/>
                <w:lang w:val="en-US"/>
              </w:rPr>
            </w:pPr>
            <w:r w:rsidRPr="00666FFC">
              <w:rPr>
                <w:rFonts w:cs="Arial"/>
                <w:b/>
                <w:lang w:val="en-US"/>
              </w:rPr>
              <w:t>Policy Adopted:</w:t>
            </w:r>
          </w:p>
        </w:tc>
        <w:tc>
          <w:tcPr>
            <w:tcW w:w="5967" w:type="dxa"/>
          </w:tcPr>
          <w:p w14:paraId="59B07B62" w14:textId="77777777" w:rsidR="001B5B0A" w:rsidRPr="00666FFC" w:rsidRDefault="001B5B0A" w:rsidP="006255F2">
            <w:pPr>
              <w:jc w:val="both"/>
              <w:rPr>
                <w:rFonts w:cs="Arial"/>
                <w:lang w:val="en-US"/>
              </w:rPr>
            </w:pPr>
            <w:r w:rsidRPr="00666FFC">
              <w:rPr>
                <w:rFonts w:cs="Arial"/>
                <w:lang w:val="en-US"/>
              </w:rPr>
              <w:t>15/11/11</w:t>
            </w:r>
          </w:p>
        </w:tc>
      </w:tr>
      <w:tr w:rsidR="001B5B0A" w:rsidRPr="00666FFC" w14:paraId="4324F893" w14:textId="77777777" w:rsidTr="00A778B9">
        <w:tc>
          <w:tcPr>
            <w:tcW w:w="3049" w:type="dxa"/>
          </w:tcPr>
          <w:p w14:paraId="074F87A8" w14:textId="77777777" w:rsidR="001B5B0A" w:rsidRPr="00666FFC" w:rsidRDefault="001B5B0A" w:rsidP="006255F2">
            <w:pPr>
              <w:jc w:val="both"/>
              <w:rPr>
                <w:rFonts w:cs="Arial"/>
                <w:b/>
                <w:lang w:val="en-US"/>
              </w:rPr>
            </w:pPr>
            <w:r w:rsidRPr="00666FFC">
              <w:rPr>
                <w:rFonts w:cs="Arial"/>
                <w:b/>
                <w:lang w:val="en-US"/>
              </w:rPr>
              <w:t>Policy Amended/Reviewed:</w:t>
            </w:r>
          </w:p>
        </w:tc>
        <w:tc>
          <w:tcPr>
            <w:tcW w:w="5967" w:type="dxa"/>
          </w:tcPr>
          <w:p w14:paraId="1113E42B" w14:textId="77777777" w:rsidR="001B5B0A" w:rsidRPr="00666FFC" w:rsidRDefault="001B5B0A" w:rsidP="006255F2">
            <w:pPr>
              <w:jc w:val="both"/>
              <w:rPr>
                <w:rFonts w:cs="Arial"/>
                <w:lang w:val="en-US"/>
              </w:rPr>
            </w:pPr>
            <w:r w:rsidRPr="00666FFC">
              <w:rPr>
                <w:rFonts w:cs="Arial"/>
                <w:lang w:val="en-US"/>
              </w:rPr>
              <w:t>21/7/15</w:t>
            </w:r>
            <w:r>
              <w:rPr>
                <w:rFonts w:cs="Arial"/>
                <w:lang w:val="en-US"/>
              </w:rPr>
              <w:t>; 16/05/23; and 10/04/24</w:t>
            </w:r>
          </w:p>
        </w:tc>
      </w:tr>
      <w:tr w:rsidR="001B5B0A" w:rsidRPr="00666FFC" w14:paraId="6D066FD1" w14:textId="77777777" w:rsidTr="00A778B9">
        <w:tc>
          <w:tcPr>
            <w:tcW w:w="3049" w:type="dxa"/>
          </w:tcPr>
          <w:p w14:paraId="7C60E6A8" w14:textId="77777777" w:rsidR="001B5B0A" w:rsidRPr="00666FFC" w:rsidRDefault="001B5B0A" w:rsidP="006255F2">
            <w:pPr>
              <w:jc w:val="both"/>
              <w:rPr>
                <w:rFonts w:cs="Arial"/>
                <w:b/>
                <w:lang w:val="en-US"/>
              </w:rPr>
            </w:pPr>
            <w:r>
              <w:rPr>
                <w:rFonts w:cs="Arial"/>
                <w:b/>
                <w:lang w:val="en-US"/>
              </w:rPr>
              <w:t>Former Policy No:</w:t>
            </w:r>
          </w:p>
        </w:tc>
        <w:tc>
          <w:tcPr>
            <w:tcW w:w="5967" w:type="dxa"/>
          </w:tcPr>
          <w:p w14:paraId="2C7DB145" w14:textId="77777777" w:rsidR="001B5B0A" w:rsidRPr="00666FFC" w:rsidRDefault="001B5B0A" w:rsidP="006255F2">
            <w:pPr>
              <w:jc w:val="both"/>
              <w:rPr>
                <w:rFonts w:cs="Arial"/>
                <w:lang w:val="en-US"/>
              </w:rPr>
            </w:pPr>
            <w:r>
              <w:rPr>
                <w:rFonts w:cs="Arial"/>
                <w:lang w:val="en-US"/>
              </w:rPr>
              <w:t>3.1.4</w:t>
            </w:r>
          </w:p>
        </w:tc>
      </w:tr>
    </w:tbl>
    <w:p w14:paraId="4FDE27FE" w14:textId="77777777" w:rsidR="00A778B9" w:rsidRDefault="00A778B9" w:rsidP="001B5B0A">
      <w:pPr>
        <w:spacing w:after="0"/>
        <w:jc w:val="both"/>
        <w:rPr>
          <w:rFonts w:cs="Arial"/>
          <w:b/>
        </w:rPr>
      </w:pPr>
    </w:p>
    <w:p w14:paraId="3743ECBC" w14:textId="1FE28391" w:rsidR="001B5B0A" w:rsidRDefault="001B5B0A" w:rsidP="001B5B0A">
      <w:pPr>
        <w:spacing w:after="0"/>
        <w:jc w:val="both"/>
        <w:rPr>
          <w:rFonts w:cs="Arial"/>
          <w:b/>
        </w:rPr>
      </w:pPr>
      <w:r w:rsidRPr="00666FFC">
        <w:rPr>
          <w:rFonts w:cs="Arial"/>
          <w:b/>
        </w:rPr>
        <w:t>ATTACHMENTS</w:t>
      </w:r>
    </w:p>
    <w:p w14:paraId="43DDCAC1" w14:textId="77777777" w:rsidR="001B5B0A" w:rsidRPr="00666FFC" w:rsidRDefault="001B5B0A" w:rsidP="001B5B0A">
      <w:pPr>
        <w:spacing w:after="0"/>
        <w:jc w:val="both"/>
        <w:rPr>
          <w:rFonts w:cs="Arial"/>
          <w:b/>
        </w:rPr>
      </w:pPr>
    </w:p>
    <w:p w14:paraId="2EB81B84" w14:textId="77777777" w:rsidR="001B5B0A" w:rsidRPr="00666FFC" w:rsidRDefault="001B5B0A" w:rsidP="001B5B0A">
      <w:pPr>
        <w:spacing w:after="0"/>
        <w:ind w:left="1134" w:hanging="1134"/>
        <w:jc w:val="both"/>
        <w:rPr>
          <w:rFonts w:cs="Arial"/>
        </w:rPr>
      </w:pPr>
      <w:r w:rsidRPr="00666FFC">
        <w:rPr>
          <w:rFonts w:cs="Arial"/>
          <w:b/>
        </w:rPr>
        <w:t>Plan 1:</w:t>
      </w:r>
      <w:r w:rsidRPr="00666FFC">
        <w:rPr>
          <w:rFonts w:cs="Arial"/>
          <w:b/>
        </w:rPr>
        <w:tab/>
      </w:r>
      <w:r w:rsidRPr="00666FFC">
        <w:rPr>
          <w:rFonts w:cs="Arial"/>
        </w:rPr>
        <w:t>Context Plan</w:t>
      </w:r>
    </w:p>
    <w:p w14:paraId="680462C7" w14:textId="77777777" w:rsidR="001B5B0A" w:rsidRPr="00666FFC" w:rsidRDefault="001B5B0A" w:rsidP="001B5B0A">
      <w:pPr>
        <w:spacing w:after="0"/>
        <w:ind w:left="1134" w:hanging="1134"/>
        <w:jc w:val="both"/>
        <w:rPr>
          <w:rFonts w:cs="Arial"/>
        </w:rPr>
      </w:pPr>
      <w:r w:rsidRPr="00666FFC">
        <w:rPr>
          <w:rFonts w:cs="Arial"/>
          <w:b/>
        </w:rPr>
        <w:t>Plan 2:</w:t>
      </w:r>
      <w:r w:rsidRPr="00666FFC">
        <w:rPr>
          <w:rFonts w:cs="Arial"/>
          <w:b/>
        </w:rPr>
        <w:tab/>
      </w:r>
      <w:r w:rsidRPr="00666FFC">
        <w:rPr>
          <w:rFonts w:cs="Arial"/>
        </w:rPr>
        <w:t>Policy Area and Precincts</w:t>
      </w:r>
    </w:p>
    <w:p w14:paraId="0B4E659B" w14:textId="77777777" w:rsidR="001B5B0A" w:rsidRPr="00666FFC" w:rsidRDefault="001B5B0A" w:rsidP="001B5B0A">
      <w:pPr>
        <w:spacing w:after="0"/>
        <w:ind w:left="1134" w:hanging="1134"/>
        <w:jc w:val="both"/>
        <w:rPr>
          <w:rFonts w:cs="Arial"/>
          <w:b/>
        </w:rPr>
      </w:pPr>
      <w:r w:rsidRPr="00666FFC">
        <w:rPr>
          <w:rFonts w:cs="Arial"/>
          <w:b/>
        </w:rPr>
        <w:t>Plan 3:</w:t>
      </w:r>
      <w:r w:rsidRPr="00666FFC">
        <w:rPr>
          <w:rFonts w:cs="Arial"/>
          <w:b/>
        </w:rPr>
        <w:tab/>
      </w:r>
      <w:r w:rsidRPr="00666FFC">
        <w:rPr>
          <w:rFonts w:cs="Arial"/>
        </w:rPr>
        <w:t>External Pedestrian Connections and Local Destinations</w:t>
      </w:r>
      <w:r w:rsidRPr="00666FFC">
        <w:rPr>
          <w:rFonts w:cs="Arial"/>
          <w:b/>
        </w:rPr>
        <w:t xml:space="preserve"> </w:t>
      </w:r>
    </w:p>
    <w:p w14:paraId="599CA1B5" w14:textId="77777777" w:rsidR="001B5B0A" w:rsidRPr="00666FFC" w:rsidRDefault="001B5B0A" w:rsidP="001B5B0A">
      <w:pPr>
        <w:spacing w:after="0"/>
        <w:ind w:left="1134" w:hanging="1134"/>
        <w:jc w:val="both"/>
        <w:rPr>
          <w:rFonts w:cs="Arial"/>
          <w:b/>
        </w:rPr>
      </w:pPr>
      <w:r w:rsidRPr="00666FFC">
        <w:rPr>
          <w:rFonts w:cs="Arial"/>
          <w:b/>
        </w:rPr>
        <w:t>Plan 4:</w:t>
      </w:r>
      <w:r w:rsidRPr="00666FFC">
        <w:rPr>
          <w:rFonts w:cs="Arial"/>
          <w:b/>
        </w:rPr>
        <w:tab/>
      </w:r>
      <w:r w:rsidRPr="00666FFC">
        <w:rPr>
          <w:rFonts w:cs="Arial"/>
        </w:rPr>
        <w:t>Internal Pedestrian Connections</w:t>
      </w:r>
      <w:r w:rsidRPr="00666FFC">
        <w:rPr>
          <w:rFonts w:cs="Arial"/>
          <w:b/>
        </w:rPr>
        <w:t xml:space="preserve"> </w:t>
      </w:r>
      <w:r w:rsidRPr="00666FFC">
        <w:rPr>
          <w:rFonts w:cs="Arial"/>
        </w:rPr>
        <w:t>and Public/Urban Spaces</w:t>
      </w:r>
    </w:p>
    <w:p w14:paraId="68F471A5" w14:textId="77777777" w:rsidR="001B5B0A" w:rsidRDefault="001B5B0A" w:rsidP="001B5B0A">
      <w:pPr>
        <w:spacing w:after="0"/>
        <w:ind w:left="1134" w:hanging="1134"/>
        <w:jc w:val="both"/>
        <w:rPr>
          <w:rFonts w:cs="Arial"/>
        </w:rPr>
      </w:pPr>
      <w:r w:rsidRPr="00666FFC">
        <w:rPr>
          <w:rFonts w:cs="Arial"/>
          <w:b/>
        </w:rPr>
        <w:t>Plan 5:</w:t>
      </w:r>
      <w:r w:rsidRPr="00666FFC">
        <w:rPr>
          <w:rFonts w:cs="Arial"/>
          <w:b/>
        </w:rPr>
        <w:tab/>
      </w:r>
      <w:r w:rsidRPr="00666FFC">
        <w:rPr>
          <w:rFonts w:cs="Arial"/>
        </w:rPr>
        <w:t>Concept Plan</w:t>
      </w:r>
    </w:p>
    <w:p w14:paraId="04B8BF6E" w14:textId="77777777" w:rsidR="001B5B0A" w:rsidRPr="00666FFC" w:rsidRDefault="001B5B0A" w:rsidP="001B5B0A">
      <w:pPr>
        <w:spacing w:after="0"/>
        <w:ind w:left="1134" w:hanging="1134"/>
        <w:jc w:val="both"/>
        <w:rPr>
          <w:rFonts w:cs="Arial"/>
        </w:rPr>
      </w:pPr>
      <w:r>
        <w:rPr>
          <w:rFonts w:cs="Arial"/>
          <w:b/>
        </w:rPr>
        <w:t>Plan 6:</w:t>
      </w:r>
      <w:r>
        <w:rPr>
          <w:rFonts w:cs="Arial"/>
        </w:rPr>
        <w:tab/>
        <w:t>Fremantle Inner Harbour Ports Buffer Areas</w:t>
      </w:r>
    </w:p>
    <w:p w14:paraId="3E94956F" w14:textId="77777777" w:rsidR="001B5B0A" w:rsidRPr="00666FFC" w:rsidRDefault="001B5B0A" w:rsidP="001B5B0A">
      <w:pPr>
        <w:spacing w:after="0"/>
        <w:ind w:left="1134" w:hanging="1134"/>
        <w:jc w:val="both"/>
        <w:rPr>
          <w:rFonts w:cs="Arial"/>
        </w:rPr>
      </w:pPr>
      <w:r w:rsidRPr="00666FFC">
        <w:rPr>
          <w:rFonts w:cs="Arial"/>
          <w:b/>
        </w:rPr>
        <w:t xml:space="preserve">Plan </w:t>
      </w:r>
      <w:r>
        <w:rPr>
          <w:rFonts w:cs="Arial"/>
          <w:b/>
        </w:rPr>
        <w:t>7</w:t>
      </w:r>
      <w:r w:rsidRPr="00666FFC">
        <w:rPr>
          <w:rFonts w:cs="Arial"/>
          <w:b/>
        </w:rPr>
        <w:t>:</w:t>
      </w:r>
      <w:r w:rsidRPr="00666FFC">
        <w:rPr>
          <w:rFonts w:cs="Arial"/>
          <w:b/>
        </w:rPr>
        <w:tab/>
      </w:r>
      <w:r w:rsidRPr="00666FFC">
        <w:rPr>
          <w:rFonts w:cs="Arial"/>
        </w:rPr>
        <w:t>Building Height Plan</w:t>
      </w:r>
    </w:p>
    <w:p w14:paraId="65359F2F" w14:textId="77777777" w:rsidR="001B5B0A" w:rsidRPr="00666FFC" w:rsidRDefault="001B5B0A" w:rsidP="001B5B0A">
      <w:pPr>
        <w:pStyle w:val="ListParagraph"/>
        <w:ind w:left="1134"/>
        <w:jc w:val="both"/>
        <w:rPr>
          <w:rFonts w:cs="Arial"/>
          <w:sz w:val="20"/>
          <w:szCs w:val="20"/>
        </w:rPr>
      </w:pPr>
    </w:p>
    <w:p w14:paraId="5528C270" w14:textId="77777777" w:rsidR="001B5B0A" w:rsidRDefault="001B5B0A" w:rsidP="001B5B0A">
      <w:pPr>
        <w:spacing w:after="160" w:line="259" w:lineRule="auto"/>
      </w:pPr>
      <w:r>
        <w:br w:type="page"/>
      </w:r>
    </w:p>
    <w:p w14:paraId="17B81FE7" w14:textId="77777777" w:rsidR="001B5B0A" w:rsidRDefault="001B5B0A" w:rsidP="001B5B0A">
      <w:pPr>
        <w:jc w:val="both"/>
        <w:rPr>
          <w:rFonts w:cs="Arial"/>
          <w:b/>
          <w:sz w:val="20"/>
          <w:szCs w:val="20"/>
        </w:rPr>
      </w:pPr>
      <w:r>
        <w:rPr>
          <w:rFonts w:cs="Arial"/>
          <w:b/>
          <w:noProof/>
          <w:sz w:val="20"/>
          <w:szCs w:val="20"/>
          <w:lang w:eastAsia="en-AU"/>
        </w:rPr>
        <w:lastRenderedPageBreak/>
        <w:drawing>
          <wp:inline distT="0" distB="0" distL="0" distR="0" wp14:anchorId="59BEE4FF" wp14:editId="0B63E335">
            <wp:extent cx="6033369" cy="7946070"/>
            <wp:effectExtent l="0" t="0" r="5715" b="0"/>
            <wp:docPr id="1931207510" name="Picture 193120751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07510" name="Picture 1931207510" descr="A map of a city&#10;&#10;Description automatically generated"/>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072135" cy="7997126"/>
                    </a:xfrm>
                    <a:prstGeom prst="rect">
                      <a:avLst/>
                    </a:prstGeom>
                    <a:noFill/>
                  </pic:spPr>
                </pic:pic>
              </a:graphicData>
            </a:graphic>
          </wp:inline>
        </w:drawing>
      </w:r>
    </w:p>
    <w:p w14:paraId="0DAC92E6" w14:textId="77777777" w:rsidR="001B5B0A" w:rsidRDefault="001B5B0A" w:rsidP="001B5B0A">
      <w:pPr>
        <w:rPr>
          <w:rFonts w:cs="Arial"/>
          <w:b/>
          <w:sz w:val="20"/>
          <w:szCs w:val="20"/>
        </w:rPr>
      </w:pPr>
      <w:r>
        <w:rPr>
          <w:rFonts w:cs="Arial"/>
          <w:b/>
          <w:sz w:val="20"/>
          <w:szCs w:val="20"/>
        </w:rPr>
        <w:br w:type="page"/>
      </w:r>
    </w:p>
    <w:p w14:paraId="308C3AF3" w14:textId="77777777" w:rsidR="001B5B0A" w:rsidRPr="00C04421" w:rsidRDefault="001B5B0A" w:rsidP="001B5B0A">
      <w:pPr>
        <w:rPr>
          <w:rFonts w:cs="Arial"/>
          <w:b/>
          <w:sz w:val="20"/>
          <w:szCs w:val="20"/>
        </w:rPr>
      </w:pPr>
      <w:r w:rsidRPr="008840EF">
        <w:rPr>
          <w:rFonts w:cs="Arial"/>
          <w:b/>
          <w:noProof/>
          <w:sz w:val="20"/>
          <w:szCs w:val="20"/>
        </w:rPr>
        <w:lastRenderedPageBreak/>
        <w:drawing>
          <wp:inline distT="0" distB="0" distL="0" distR="0" wp14:anchorId="12101032" wp14:editId="0D49FA86">
            <wp:extent cx="8596958" cy="6125308"/>
            <wp:effectExtent l="0" t="2540" r="0" b="0"/>
            <wp:docPr id="1469382551" name="Picture 146938255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with medium confidence"/>
                    <pic:cNvPicPr/>
                  </pic:nvPicPr>
                  <pic:blipFill>
                    <a:blip r:embed="rId296"/>
                    <a:stretch>
                      <a:fillRect/>
                    </a:stretch>
                  </pic:blipFill>
                  <pic:spPr>
                    <a:xfrm rot="16200000">
                      <a:off x="0" y="0"/>
                      <a:ext cx="8634344" cy="6151946"/>
                    </a:xfrm>
                    <a:prstGeom prst="rect">
                      <a:avLst/>
                    </a:prstGeom>
                  </pic:spPr>
                </pic:pic>
              </a:graphicData>
            </a:graphic>
          </wp:inline>
        </w:drawing>
      </w:r>
    </w:p>
    <w:p w14:paraId="0EBE5B5D" w14:textId="77777777" w:rsidR="001B5B0A" w:rsidRDefault="001B5B0A" w:rsidP="001B5B0A">
      <w:pPr>
        <w:jc w:val="both"/>
        <w:rPr>
          <w:rFonts w:cs="Arial"/>
          <w:sz w:val="20"/>
          <w:szCs w:val="20"/>
        </w:rPr>
      </w:pPr>
      <w:r w:rsidRPr="000443CD">
        <w:rPr>
          <w:rFonts w:cs="Arial"/>
          <w:noProof/>
          <w:sz w:val="20"/>
          <w:szCs w:val="20"/>
        </w:rPr>
        <w:lastRenderedPageBreak/>
        <w:drawing>
          <wp:inline distT="0" distB="0" distL="0" distR="0" wp14:anchorId="6A1CAE89" wp14:editId="69609F06">
            <wp:extent cx="8657118" cy="6072259"/>
            <wp:effectExtent l="0" t="2857" r="7937" b="7938"/>
            <wp:docPr id="1765680911" name="Picture 17656809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297"/>
                    <a:stretch>
                      <a:fillRect/>
                    </a:stretch>
                  </pic:blipFill>
                  <pic:spPr>
                    <a:xfrm rot="16200000">
                      <a:off x="0" y="0"/>
                      <a:ext cx="8681644" cy="6089462"/>
                    </a:xfrm>
                    <a:prstGeom prst="rect">
                      <a:avLst/>
                    </a:prstGeom>
                  </pic:spPr>
                </pic:pic>
              </a:graphicData>
            </a:graphic>
          </wp:inline>
        </w:drawing>
      </w:r>
    </w:p>
    <w:p w14:paraId="37C3C585" w14:textId="77777777" w:rsidR="001B5B0A" w:rsidRDefault="001B5B0A" w:rsidP="001B5B0A">
      <w:pPr>
        <w:ind w:left="1985" w:hanging="851"/>
        <w:jc w:val="both"/>
        <w:rPr>
          <w:rFonts w:cs="Arial"/>
          <w:sz w:val="20"/>
          <w:szCs w:val="20"/>
        </w:rPr>
      </w:pPr>
    </w:p>
    <w:p w14:paraId="6C7D44C6" w14:textId="77777777" w:rsidR="001B5B0A" w:rsidRDefault="001B5B0A" w:rsidP="001B5B0A">
      <w:pPr>
        <w:jc w:val="both"/>
        <w:rPr>
          <w:rFonts w:cs="Arial"/>
          <w:sz w:val="20"/>
          <w:szCs w:val="20"/>
        </w:rPr>
      </w:pPr>
      <w:r w:rsidRPr="000443CD">
        <w:rPr>
          <w:rFonts w:cs="Arial"/>
          <w:noProof/>
          <w:sz w:val="20"/>
          <w:szCs w:val="20"/>
        </w:rPr>
        <w:drawing>
          <wp:inline distT="0" distB="0" distL="0" distR="0" wp14:anchorId="3AC1A08B" wp14:editId="3138B589">
            <wp:extent cx="8423435" cy="6104330"/>
            <wp:effectExtent l="0" t="2540" r="0" b="0"/>
            <wp:docPr id="1212231772" name="Picture 12122317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298"/>
                    <a:stretch>
                      <a:fillRect/>
                    </a:stretch>
                  </pic:blipFill>
                  <pic:spPr>
                    <a:xfrm rot="16200000">
                      <a:off x="0" y="0"/>
                      <a:ext cx="8473736" cy="6140782"/>
                    </a:xfrm>
                    <a:prstGeom prst="rect">
                      <a:avLst/>
                    </a:prstGeom>
                  </pic:spPr>
                </pic:pic>
              </a:graphicData>
            </a:graphic>
          </wp:inline>
        </w:drawing>
      </w:r>
    </w:p>
    <w:p w14:paraId="1CC44862" w14:textId="77777777" w:rsidR="001B5B0A" w:rsidRDefault="001B5B0A" w:rsidP="001B5B0A">
      <w:pPr>
        <w:spacing w:after="160" w:line="259" w:lineRule="auto"/>
        <w:rPr>
          <w:rFonts w:cs="Arial"/>
          <w:sz w:val="20"/>
          <w:szCs w:val="20"/>
        </w:rPr>
      </w:pPr>
      <w:r w:rsidRPr="00520A16">
        <w:rPr>
          <w:rFonts w:cs="Arial"/>
          <w:noProof/>
          <w:sz w:val="20"/>
          <w:szCs w:val="20"/>
        </w:rPr>
        <w:lastRenderedPageBreak/>
        <w:drawing>
          <wp:inline distT="0" distB="0" distL="0" distR="0" wp14:anchorId="679915B8" wp14:editId="76E32296">
            <wp:extent cx="8703603" cy="6152115"/>
            <wp:effectExtent l="0" t="635" r="1905" b="1905"/>
            <wp:docPr id="172731079" name="Picture 17273107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1079" name="Picture 172731079" descr="A map of a city&#10;&#10;Description automatically generated"/>
                    <pic:cNvPicPr/>
                  </pic:nvPicPr>
                  <pic:blipFill>
                    <a:blip r:embed="rId299"/>
                    <a:stretch>
                      <a:fillRect/>
                    </a:stretch>
                  </pic:blipFill>
                  <pic:spPr>
                    <a:xfrm rot="16200000">
                      <a:off x="0" y="0"/>
                      <a:ext cx="8720092" cy="6163770"/>
                    </a:xfrm>
                    <a:prstGeom prst="rect">
                      <a:avLst/>
                    </a:prstGeom>
                  </pic:spPr>
                </pic:pic>
              </a:graphicData>
            </a:graphic>
          </wp:inline>
        </w:drawing>
      </w:r>
    </w:p>
    <w:p w14:paraId="3119932C" w14:textId="77777777" w:rsidR="001B5B0A" w:rsidRDefault="001B5B0A" w:rsidP="001B5B0A">
      <w:pPr>
        <w:jc w:val="both"/>
        <w:rPr>
          <w:rFonts w:cs="Arial"/>
          <w:sz w:val="20"/>
          <w:szCs w:val="20"/>
        </w:rPr>
      </w:pPr>
    </w:p>
    <w:p w14:paraId="3D2FC1F9" w14:textId="77777777" w:rsidR="001B5B0A" w:rsidRDefault="001B5B0A" w:rsidP="001B5B0A">
      <w:pPr>
        <w:jc w:val="both"/>
        <w:rPr>
          <w:rFonts w:cs="Arial"/>
          <w:sz w:val="20"/>
          <w:szCs w:val="20"/>
        </w:rPr>
      </w:pPr>
      <w:r>
        <w:rPr>
          <w:rFonts w:cs="Arial"/>
          <w:noProof/>
          <w:sz w:val="20"/>
          <w:szCs w:val="20"/>
          <w:lang w:eastAsia="en-AU"/>
        </w:rPr>
        <w:drawing>
          <wp:inline distT="0" distB="0" distL="0" distR="0" wp14:anchorId="02B2C02B" wp14:editId="1E82E5D9">
            <wp:extent cx="7581001" cy="5841445"/>
            <wp:effectExtent l="0" t="6668" r="0" b="0"/>
            <wp:docPr id="1427629967" name="Picture 142762996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29967" name="Picture 1427629967" descr="A map of a city&#10;&#10;Description automatically generated"/>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rot="16200000">
                      <a:off x="0" y="0"/>
                      <a:ext cx="7603940" cy="5859120"/>
                    </a:xfrm>
                    <a:prstGeom prst="rect">
                      <a:avLst/>
                    </a:prstGeom>
                    <a:noFill/>
                  </pic:spPr>
                </pic:pic>
              </a:graphicData>
            </a:graphic>
          </wp:inline>
        </w:drawing>
      </w:r>
    </w:p>
    <w:p w14:paraId="6C312FC4" w14:textId="77777777" w:rsidR="001B5B0A" w:rsidRPr="000F1ABE" w:rsidRDefault="001B5B0A" w:rsidP="001B5B0A">
      <w:pPr>
        <w:jc w:val="both"/>
        <w:rPr>
          <w:rFonts w:cs="Arial"/>
          <w:sz w:val="20"/>
          <w:szCs w:val="20"/>
        </w:rPr>
      </w:pPr>
    </w:p>
    <w:p w14:paraId="360268E4" w14:textId="77777777" w:rsidR="001B5B0A" w:rsidRDefault="001B5B0A" w:rsidP="001B5B0A">
      <w:pPr>
        <w:rPr>
          <w:rFonts w:cs="Arial"/>
          <w:sz w:val="20"/>
          <w:szCs w:val="20"/>
        </w:rPr>
      </w:pPr>
      <w:r>
        <w:rPr>
          <w:rFonts w:cs="Arial"/>
          <w:sz w:val="20"/>
          <w:szCs w:val="20"/>
        </w:rPr>
        <w:br w:type="page"/>
      </w:r>
    </w:p>
    <w:p w14:paraId="091312A7" w14:textId="4D89566D" w:rsidR="001B5B0A" w:rsidRDefault="001B5B0A">
      <w:pPr>
        <w:rPr>
          <w:rFonts w:ascii="Arial" w:eastAsia="Times New Roman" w:hAnsi="Arial" w:cs="Arial"/>
          <w:lang w:val="en-US"/>
        </w:rPr>
        <w:sectPr w:rsidR="001B5B0A" w:rsidSect="00164C01">
          <w:headerReference w:type="default" r:id="rId301"/>
          <w:footerReference w:type="default" r:id="rId302"/>
          <w:pgSz w:w="11906" w:h="16838"/>
          <w:pgMar w:top="1440" w:right="1440" w:bottom="1440" w:left="1440" w:header="708" w:footer="708" w:gutter="0"/>
          <w:cols w:space="708"/>
          <w:docGrid w:linePitch="360"/>
        </w:sectPr>
      </w:pPr>
      <w:r w:rsidRPr="00284CCC">
        <w:rPr>
          <w:rFonts w:cs="Arial"/>
          <w:noProof/>
          <w:sz w:val="20"/>
          <w:szCs w:val="20"/>
        </w:rPr>
        <w:lastRenderedPageBreak/>
        <w:drawing>
          <wp:inline distT="0" distB="0" distL="0" distR="0" wp14:anchorId="1EB88077" wp14:editId="54B64B67">
            <wp:extent cx="9066046" cy="5912382"/>
            <wp:effectExtent l="0" t="4127" r="0" b="0"/>
            <wp:docPr id="987856792" name="Picture 98785679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303"/>
                    <a:srcRect t="8181" r="2809"/>
                    <a:stretch/>
                  </pic:blipFill>
                  <pic:spPr bwMode="auto">
                    <a:xfrm rot="16200000">
                      <a:off x="0" y="0"/>
                      <a:ext cx="9131692" cy="5955193"/>
                    </a:xfrm>
                    <a:prstGeom prst="rect">
                      <a:avLst/>
                    </a:prstGeom>
                    <a:ln>
                      <a:noFill/>
                    </a:ln>
                    <a:extLst>
                      <a:ext uri="{53640926-AAD7-44D8-BBD7-CCE9431645EC}">
                        <a14:shadowObscured xmlns:a14="http://schemas.microsoft.com/office/drawing/2010/main"/>
                      </a:ext>
                    </a:extLst>
                  </pic:spPr>
                </pic:pic>
              </a:graphicData>
            </a:graphic>
          </wp:inline>
        </w:drawing>
      </w:r>
    </w:p>
    <w:p w14:paraId="400908EB" w14:textId="77777777" w:rsidR="001B5B0A" w:rsidRDefault="001B5B0A">
      <w:pPr>
        <w:rPr>
          <w:rFonts w:ascii="Arial" w:eastAsia="Times New Roman" w:hAnsi="Arial" w:cs="Arial"/>
          <w:lang w:val="en-US"/>
        </w:rPr>
      </w:pPr>
    </w:p>
    <w:p w14:paraId="21DC4925" w14:textId="77777777" w:rsidR="001400A8" w:rsidRPr="001400A8" w:rsidRDefault="001400A8" w:rsidP="00647DF8">
      <w:pPr>
        <w:pStyle w:val="Title"/>
        <w:pBdr>
          <w:bottom w:val="none" w:sz="0" w:space="0" w:color="auto"/>
        </w:pBdr>
        <w:spacing w:before="240" w:after="0"/>
        <w:rPr>
          <w:rFonts w:asciiTheme="minorHAnsi" w:hAnsiTheme="minorHAnsi" w:cs="Arial"/>
          <w:b/>
          <w:sz w:val="12"/>
          <w:szCs w:val="28"/>
          <w:lang w:val="en-US"/>
        </w:rPr>
      </w:pPr>
    </w:p>
    <w:p w14:paraId="7689EF5F" w14:textId="77777777" w:rsidR="00164C01" w:rsidRDefault="00164C01" w:rsidP="00164C01">
      <w:pPr>
        <w:jc w:val="right"/>
        <w:rPr>
          <w:rFonts w:cstheme="minorHAnsi"/>
          <w:b/>
          <w:bCs/>
          <w:color w:val="365F91" w:themeColor="accent1" w:themeShade="BF"/>
          <w:lang w:val="en-US"/>
        </w:rPr>
      </w:pPr>
      <w:r>
        <w:rPr>
          <w:noProof/>
        </w:rPr>
        <w:drawing>
          <wp:inline distT="0" distB="0" distL="0" distR="0" wp14:anchorId="1F26D795" wp14:editId="30292F45">
            <wp:extent cx="1743075" cy="667385"/>
            <wp:effectExtent l="0" t="0" r="9525" b="0"/>
            <wp:docPr id="1297923789" name="Picture 1297923789"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with medium confidence"/>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43075" cy="667385"/>
                    </a:xfrm>
                    <a:prstGeom prst="rect">
                      <a:avLst/>
                    </a:prstGeom>
                    <a:noFill/>
                    <a:ln>
                      <a:noFill/>
                    </a:ln>
                  </pic:spPr>
                </pic:pic>
              </a:graphicData>
            </a:graphic>
          </wp:inline>
        </w:drawing>
      </w:r>
    </w:p>
    <w:p w14:paraId="24B0F711" w14:textId="77777777" w:rsidR="00164C01" w:rsidRDefault="00164C01" w:rsidP="00164C01">
      <w:pPr>
        <w:rPr>
          <w:rFonts w:cstheme="minorHAnsi"/>
          <w:b/>
          <w:bCs/>
          <w:color w:val="365F91" w:themeColor="accent1" w:themeShade="BF"/>
          <w:lang w:val="en-US"/>
        </w:rPr>
      </w:pPr>
    </w:p>
    <w:p w14:paraId="3402FBDA" w14:textId="77777777" w:rsidR="00164C01" w:rsidRPr="00CF7969" w:rsidRDefault="00164C01" w:rsidP="00164C01">
      <w:pPr>
        <w:pStyle w:val="Policy3"/>
      </w:pPr>
      <w:bookmarkStart w:id="525" w:name="_Toc14942615"/>
      <w:bookmarkStart w:id="526" w:name="_Toc216866717"/>
      <w:r>
        <w:t>3</w:t>
      </w:r>
      <w:r w:rsidRPr="00CF7969">
        <w:t>.1.4</w:t>
      </w:r>
      <w:r w:rsidRPr="00CF7969">
        <w:tab/>
      </w:r>
      <w:bookmarkEnd w:id="525"/>
      <w:r>
        <w:t>Payment in Lieu of Parking Plan – Local Planning Policy</w:t>
      </w:r>
      <w:bookmarkEnd w:id="526"/>
    </w:p>
    <w:tbl>
      <w:tblPr>
        <w:tblStyle w:val="TableGrid"/>
        <w:tblW w:w="4994" w:type="pct"/>
        <w:tblLook w:val="04A0" w:firstRow="1" w:lastRow="0" w:firstColumn="1" w:lastColumn="0" w:noHBand="0" w:noVBand="1"/>
      </w:tblPr>
      <w:tblGrid>
        <w:gridCol w:w="3397"/>
        <w:gridCol w:w="5608"/>
      </w:tblGrid>
      <w:tr w:rsidR="00164C01" w14:paraId="4E789C2E" w14:textId="77777777" w:rsidTr="008C6830">
        <w:tc>
          <w:tcPr>
            <w:tcW w:w="1886" w:type="pct"/>
          </w:tcPr>
          <w:p w14:paraId="7184A845" w14:textId="77777777" w:rsidR="00164C01" w:rsidRPr="00364D66" w:rsidRDefault="00164C01" w:rsidP="008C6830">
            <w:pPr>
              <w:rPr>
                <w:b/>
                <w:bCs/>
                <w:lang w:val="en-US"/>
              </w:rPr>
            </w:pPr>
            <w:r>
              <w:rPr>
                <w:b/>
                <w:bCs/>
                <w:lang w:val="en-US"/>
              </w:rPr>
              <w:t>Type:</w:t>
            </w:r>
          </w:p>
        </w:tc>
        <w:tc>
          <w:tcPr>
            <w:tcW w:w="3114" w:type="pct"/>
          </w:tcPr>
          <w:p w14:paraId="09384340" w14:textId="77777777" w:rsidR="00164C01" w:rsidRDefault="00164C01" w:rsidP="008C6830">
            <w:pPr>
              <w:rPr>
                <w:lang w:val="en-US"/>
              </w:rPr>
            </w:pPr>
            <w:r>
              <w:rPr>
                <w:lang w:val="en-US"/>
              </w:rPr>
              <w:t>Regulatory Services - Planning</w:t>
            </w:r>
          </w:p>
        </w:tc>
      </w:tr>
      <w:tr w:rsidR="00164C01" w14:paraId="2D20853B" w14:textId="77777777" w:rsidTr="008C6830">
        <w:tc>
          <w:tcPr>
            <w:tcW w:w="1886" w:type="pct"/>
          </w:tcPr>
          <w:p w14:paraId="040C77D1" w14:textId="77777777" w:rsidR="00164C01" w:rsidRPr="00364D66" w:rsidRDefault="00164C01" w:rsidP="008C6830">
            <w:pPr>
              <w:rPr>
                <w:b/>
                <w:bCs/>
                <w:lang w:val="en-US"/>
              </w:rPr>
            </w:pPr>
            <w:r>
              <w:rPr>
                <w:b/>
                <w:bCs/>
                <w:lang w:val="en-US"/>
              </w:rPr>
              <w:t>Legislation:</w:t>
            </w:r>
          </w:p>
        </w:tc>
        <w:tc>
          <w:tcPr>
            <w:tcW w:w="3114" w:type="pct"/>
          </w:tcPr>
          <w:p w14:paraId="6D5D3E00" w14:textId="77777777" w:rsidR="00164C01" w:rsidRDefault="00164C01" w:rsidP="008C6830">
            <w:pPr>
              <w:rPr>
                <w:lang w:val="en-US"/>
              </w:rPr>
            </w:pPr>
            <w:r w:rsidRPr="000E2A85">
              <w:rPr>
                <w:rFonts w:cstheme="minorHAnsi"/>
              </w:rPr>
              <w:t xml:space="preserve">Schedule 2, Part 9A of the </w:t>
            </w:r>
            <w:r w:rsidRPr="000E2A85">
              <w:rPr>
                <w:rFonts w:cstheme="minorHAnsi"/>
                <w:i/>
                <w:iCs/>
              </w:rPr>
              <w:t>Planning and Development (Local Planning Schemes) Regulations 2015</w:t>
            </w:r>
          </w:p>
        </w:tc>
      </w:tr>
      <w:tr w:rsidR="00164C01" w14:paraId="5F313BC2" w14:textId="77777777" w:rsidTr="008C6830">
        <w:tc>
          <w:tcPr>
            <w:tcW w:w="1886" w:type="pct"/>
          </w:tcPr>
          <w:p w14:paraId="53A3EC65" w14:textId="77777777" w:rsidR="00164C01" w:rsidRPr="00364D66" w:rsidRDefault="00164C01" w:rsidP="008C6830">
            <w:pPr>
              <w:rPr>
                <w:b/>
                <w:bCs/>
                <w:lang w:val="en-US"/>
              </w:rPr>
            </w:pPr>
            <w:r>
              <w:rPr>
                <w:b/>
                <w:bCs/>
                <w:lang w:val="en-US"/>
              </w:rPr>
              <w:t>Delegation:</w:t>
            </w:r>
          </w:p>
        </w:tc>
        <w:tc>
          <w:tcPr>
            <w:tcW w:w="3114" w:type="pct"/>
          </w:tcPr>
          <w:p w14:paraId="52B0AEDD" w14:textId="77777777" w:rsidR="00164C01" w:rsidRDefault="00164C01" w:rsidP="008C6830">
            <w:pPr>
              <w:rPr>
                <w:lang w:val="en-US"/>
              </w:rPr>
            </w:pPr>
            <w:r>
              <w:rPr>
                <w:lang w:val="en-US"/>
              </w:rPr>
              <w:t>N/A</w:t>
            </w:r>
          </w:p>
        </w:tc>
      </w:tr>
      <w:tr w:rsidR="00164C01" w14:paraId="7ACD2733" w14:textId="77777777" w:rsidTr="008C6830">
        <w:tc>
          <w:tcPr>
            <w:tcW w:w="1886" w:type="pct"/>
          </w:tcPr>
          <w:p w14:paraId="7ECE7BC2" w14:textId="77777777" w:rsidR="00164C01" w:rsidRPr="00364D66" w:rsidRDefault="00164C01" w:rsidP="008C6830">
            <w:pPr>
              <w:rPr>
                <w:b/>
                <w:bCs/>
                <w:lang w:val="en-US"/>
              </w:rPr>
            </w:pPr>
            <w:r>
              <w:rPr>
                <w:b/>
                <w:bCs/>
                <w:lang w:val="en-US"/>
              </w:rPr>
              <w:t>Other Related Document:</w:t>
            </w:r>
          </w:p>
        </w:tc>
        <w:tc>
          <w:tcPr>
            <w:tcW w:w="3114" w:type="pct"/>
          </w:tcPr>
          <w:p w14:paraId="526EAC19" w14:textId="77777777" w:rsidR="00164C01" w:rsidRDefault="00164C01" w:rsidP="008C6830">
            <w:pPr>
              <w:rPr>
                <w:lang w:val="en-US"/>
              </w:rPr>
            </w:pPr>
            <w:r>
              <w:rPr>
                <w:lang w:val="en-US"/>
              </w:rPr>
              <w:t>Town of East Fremantle Local Planning Scheme No. 3</w:t>
            </w:r>
          </w:p>
        </w:tc>
      </w:tr>
    </w:tbl>
    <w:p w14:paraId="7C7D23A4" w14:textId="77777777" w:rsidR="00164C01" w:rsidRPr="00164C01" w:rsidRDefault="00164C01" w:rsidP="00164C01">
      <w:pPr>
        <w:pStyle w:val="Heading1"/>
        <w:spacing w:before="360"/>
        <w:rPr>
          <w:w w:val="110"/>
          <w:sz w:val="22"/>
          <w:szCs w:val="22"/>
        </w:rPr>
      </w:pPr>
      <w:r w:rsidRPr="00164C01">
        <w:rPr>
          <w:w w:val="110"/>
          <w:sz w:val="22"/>
          <w:szCs w:val="22"/>
        </w:rPr>
        <w:t>Introduction</w:t>
      </w:r>
    </w:p>
    <w:p w14:paraId="67CD356C" w14:textId="77777777" w:rsidR="00164C01" w:rsidRPr="00164C01" w:rsidRDefault="00164C01" w:rsidP="00164C01">
      <w:pPr>
        <w:pStyle w:val="Heading2"/>
        <w:rPr>
          <w:w w:val="110"/>
          <w:sz w:val="22"/>
          <w:szCs w:val="22"/>
        </w:rPr>
      </w:pPr>
      <w:r w:rsidRPr="00164C01">
        <w:rPr>
          <w:w w:val="110"/>
          <w:sz w:val="22"/>
          <w:szCs w:val="22"/>
        </w:rPr>
        <w:t>1.1</w:t>
      </w:r>
      <w:r w:rsidRPr="00164C01">
        <w:rPr>
          <w:w w:val="110"/>
          <w:sz w:val="22"/>
          <w:szCs w:val="22"/>
        </w:rPr>
        <w:tab/>
        <w:t>Regulatory compliance</w:t>
      </w:r>
    </w:p>
    <w:p w14:paraId="46877156" w14:textId="77777777" w:rsidR="00164C01" w:rsidRPr="000E2A85" w:rsidRDefault="00164C01" w:rsidP="00164C01">
      <w:pPr>
        <w:kinsoku w:val="0"/>
        <w:overflowPunct w:val="0"/>
        <w:autoSpaceDE w:val="0"/>
        <w:autoSpaceDN w:val="0"/>
        <w:adjustRightInd w:val="0"/>
        <w:spacing w:before="109" w:line="254" w:lineRule="auto"/>
        <w:ind w:right="13"/>
        <w:rPr>
          <w:rFonts w:cstheme="minorHAnsi"/>
        </w:rPr>
      </w:pPr>
      <w:r w:rsidRPr="000E2A85">
        <w:rPr>
          <w:rFonts w:cstheme="minorHAnsi"/>
        </w:rPr>
        <w:t xml:space="preserve">This Payment in Lieu of Parking Plan (the Plan) has been created under Schedule 2, Part 9A of the </w:t>
      </w:r>
      <w:r w:rsidRPr="000E2A85">
        <w:rPr>
          <w:rFonts w:cstheme="minorHAnsi"/>
          <w:i/>
          <w:iCs/>
        </w:rPr>
        <w:t xml:space="preserve">Planning and Development (Local Planning Schemes) Regulations 2015 </w:t>
      </w:r>
      <w:r w:rsidRPr="000E2A85">
        <w:rPr>
          <w:rFonts w:cstheme="minorHAnsi"/>
        </w:rPr>
        <w:t>(the Regulations) and has been prepared</w:t>
      </w:r>
      <w:r w:rsidRPr="0098443E">
        <w:rPr>
          <w:rFonts w:cstheme="minorHAnsi"/>
        </w:rPr>
        <w:t xml:space="preserve"> </w:t>
      </w:r>
      <w:r w:rsidRPr="000E2A85">
        <w:rPr>
          <w:rFonts w:cstheme="minorHAnsi"/>
        </w:rPr>
        <w:t>in the Manner and Form approved by the Western Australian Planning Commission (WAPC).</w:t>
      </w:r>
    </w:p>
    <w:p w14:paraId="730B7B7F" w14:textId="77777777" w:rsidR="00164C01" w:rsidRPr="00164C01" w:rsidRDefault="00164C01" w:rsidP="00164C01">
      <w:pPr>
        <w:pStyle w:val="Heading2"/>
        <w:rPr>
          <w:w w:val="110"/>
          <w:sz w:val="22"/>
          <w:szCs w:val="22"/>
        </w:rPr>
      </w:pPr>
      <w:r w:rsidRPr="00164C01">
        <w:rPr>
          <w:sz w:val="22"/>
          <w:szCs w:val="22"/>
        </w:rPr>
        <w:t>1.2</w:t>
      </w:r>
      <w:r w:rsidRPr="00164C01">
        <w:rPr>
          <w:sz w:val="22"/>
          <w:szCs w:val="22"/>
        </w:rPr>
        <w:tab/>
      </w:r>
      <w:r w:rsidRPr="00164C01">
        <w:rPr>
          <w:w w:val="110"/>
          <w:sz w:val="22"/>
          <w:szCs w:val="22"/>
        </w:rPr>
        <w:t>Purpose</w:t>
      </w:r>
    </w:p>
    <w:p w14:paraId="1A8DB039" w14:textId="77777777" w:rsidR="00164C01" w:rsidRPr="0098443E" w:rsidRDefault="00164C01" w:rsidP="00164C01">
      <w:pPr>
        <w:kinsoku w:val="0"/>
        <w:overflowPunct w:val="0"/>
        <w:autoSpaceDE w:val="0"/>
        <w:autoSpaceDN w:val="0"/>
        <w:adjustRightInd w:val="0"/>
        <w:spacing w:before="44" w:line="254" w:lineRule="auto"/>
        <w:ind w:left="39"/>
        <w:rPr>
          <w:rFonts w:cstheme="minorHAnsi"/>
          <w:w w:val="105"/>
        </w:rPr>
      </w:pPr>
      <w:r w:rsidRPr="0098443E">
        <w:rPr>
          <w:rFonts w:cstheme="minorHAnsi"/>
          <w:w w:val="105"/>
        </w:rPr>
        <w:t>This Plan, together with the Regulations, governs the application of payments in lieu of providing car parking for development in the area(s) identified in this Plan. This plan outlines the purposes for which payment in lieu of car parking will be used in the areas(s) identified and how money collected will be administered</w:t>
      </w:r>
      <w:r>
        <w:rPr>
          <w:rFonts w:cstheme="minorHAnsi"/>
          <w:w w:val="105"/>
        </w:rPr>
        <w:t xml:space="preserve"> </w:t>
      </w:r>
      <w:r w:rsidRPr="00C6342B">
        <w:rPr>
          <w:rFonts w:cstheme="minorHAnsi"/>
          <w:w w:val="105"/>
        </w:rPr>
        <w:t>by the Town of East Fremantle (the Town).</w:t>
      </w:r>
    </w:p>
    <w:p w14:paraId="603C6F91" w14:textId="77777777" w:rsidR="00164C01" w:rsidRPr="00164C01" w:rsidRDefault="00164C01" w:rsidP="00164C01">
      <w:pPr>
        <w:pStyle w:val="Heading2"/>
        <w:rPr>
          <w:w w:val="110"/>
          <w:sz w:val="22"/>
          <w:szCs w:val="22"/>
        </w:rPr>
      </w:pPr>
      <w:r w:rsidRPr="00164C01">
        <w:rPr>
          <w:w w:val="110"/>
          <w:sz w:val="22"/>
          <w:szCs w:val="22"/>
        </w:rPr>
        <w:t>1.3</w:t>
      </w:r>
      <w:r w:rsidRPr="00164C01">
        <w:rPr>
          <w:w w:val="110"/>
          <w:sz w:val="22"/>
          <w:szCs w:val="22"/>
        </w:rPr>
        <w:tab/>
        <w:t>Operational</w:t>
      </w:r>
      <w:r w:rsidRPr="00164C01">
        <w:rPr>
          <w:spacing w:val="-12"/>
          <w:w w:val="110"/>
          <w:sz w:val="22"/>
          <w:szCs w:val="22"/>
        </w:rPr>
        <w:t xml:space="preserve"> </w:t>
      </w:r>
      <w:r w:rsidRPr="00164C01">
        <w:rPr>
          <w:w w:val="110"/>
          <w:sz w:val="22"/>
          <w:szCs w:val="22"/>
        </w:rPr>
        <w:t>dates</w:t>
      </w:r>
    </w:p>
    <w:p w14:paraId="0991050A" w14:textId="77777777" w:rsidR="00164C01" w:rsidRPr="00460C31" w:rsidRDefault="00164C01" w:rsidP="00164C01">
      <w:pPr>
        <w:kinsoku w:val="0"/>
        <w:overflowPunct w:val="0"/>
        <w:autoSpaceDE w:val="0"/>
        <w:autoSpaceDN w:val="0"/>
        <w:adjustRightInd w:val="0"/>
        <w:spacing w:before="118" w:line="254" w:lineRule="auto"/>
        <w:ind w:right="142"/>
        <w:rPr>
          <w:rFonts w:cstheme="minorHAnsi"/>
          <w:w w:val="105"/>
          <w:sz w:val="18"/>
          <w:szCs w:val="18"/>
        </w:rPr>
      </w:pPr>
      <w:r w:rsidRPr="0098443E">
        <w:rPr>
          <w:rFonts w:cstheme="minorHAnsi"/>
          <w:w w:val="105"/>
        </w:rPr>
        <w:t>The Plan commenced operation on</w:t>
      </w:r>
      <w:r>
        <w:rPr>
          <w:rFonts w:cstheme="minorHAnsi"/>
          <w:w w:val="105"/>
        </w:rPr>
        <w:t xml:space="preserve"> 25 July 2023.</w:t>
      </w:r>
      <w:r w:rsidRPr="0098443E">
        <w:rPr>
          <w:rFonts w:cstheme="minorHAnsi"/>
          <w:w w:val="105"/>
        </w:rPr>
        <w:t xml:space="preserve"> </w:t>
      </w:r>
    </w:p>
    <w:p w14:paraId="1B7B11AC" w14:textId="77777777" w:rsidR="00164C01" w:rsidRPr="0098443E" w:rsidRDefault="00164C01" w:rsidP="00164C01">
      <w:pPr>
        <w:kinsoku w:val="0"/>
        <w:overflowPunct w:val="0"/>
        <w:autoSpaceDE w:val="0"/>
        <w:autoSpaceDN w:val="0"/>
        <w:adjustRightInd w:val="0"/>
        <w:spacing w:before="117" w:line="254" w:lineRule="auto"/>
        <w:ind w:right="488"/>
        <w:rPr>
          <w:rFonts w:cstheme="minorHAnsi"/>
          <w:w w:val="105"/>
        </w:rPr>
      </w:pPr>
      <w:r w:rsidRPr="0098443E">
        <w:rPr>
          <w:rFonts w:cstheme="minorHAnsi"/>
          <w:w w:val="105"/>
        </w:rPr>
        <w:t xml:space="preserve">The Plan will cease operation on </w:t>
      </w:r>
      <w:r>
        <w:rPr>
          <w:rFonts w:cstheme="minorHAnsi"/>
          <w:w w:val="105"/>
        </w:rPr>
        <w:t>25 July 2033</w:t>
      </w:r>
      <w:r w:rsidRPr="00460C31">
        <w:rPr>
          <w:rFonts w:cstheme="minorHAnsi"/>
          <w:w w:val="105"/>
        </w:rPr>
        <w:t>,</w:t>
      </w:r>
      <w:r w:rsidRPr="0098443E">
        <w:rPr>
          <w:rFonts w:cstheme="minorHAnsi"/>
          <w:w w:val="105"/>
        </w:rPr>
        <w:t xml:space="preserve"> being 10 years from the operational date, unless extended in writing by the WAPC prior to the expiry date.</w:t>
      </w:r>
    </w:p>
    <w:p w14:paraId="50205111" w14:textId="77777777" w:rsidR="00164C01" w:rsidRPr="00164C01" w:rsidRDefault="00164C01" w:rsidP="00164C01">
      <w:pPr>
        <w:pStyle w:val="Heading2"/>
        <w:rPr>
          <w:w w:val="110"/>
          <w:sz w:val="22"/>
          <w:szCs w:val="22"/>
        </w:rPr>
      </w:pPr>
      <w:r w:rsidRPr="00164C01">
        <w:rPr>
          <w:w w:val="110"/>
          <w:sz w:val="22"/>
          <w:szCs w:val="22"/>
        </w:rPr>
        <w:t>1.4</w:t>
      </w:r>
      <w:r w:rsidRPr="00164C01">
        <w:rPr>
          <w:w w:val="110"/>
          <w:sz w:val="22"/>
          <w:szCs w:val="22"/>
        </w:rPr>
        <w:tab/>
        <w:t>Amendments to the</w:t>
      </w:r>
      <w:r w:rsidRPr="00164C01">
        <w:rPr>
          <w:spacing w:val="-35"/>
          <w:w w:val="110"/>
          <w:sz w:val="22"/>
          <w:szCs w:val="22"/>
        </w:rPr>
        <w:t xml:space="preserve"> </w:t>
      </w:r>
      <w:r w:rsidRPr="00164C01">
        <w:rPr>
          <w:w w:val="110"/>
          <w:sz w:val="22"/>
          <w:szCs w:val="22"/>
        </w:rPr>
        <w:t>Plan</w:t>
      </w:r>
    </w:p>
    <w:p w14:paraId="02D2E4DA" w14:textId="77777777" w:rsidR="00164C01" w:rsidRPr="0098443E" w:rsidRDefault="00164C01" w:rsidP="00164C01">
      <w:pPr>
        <w:kinsoku w:val="0"/>
        <w:overflowPunct w:val="0"/>
        <w:autoSpaceDE w:val="0"/>
        <w:autoSpaceDN w:val="0"/>
        <w:adjustRightInd w:val="0"/>
        <w:spacing w:before="118" w:line="254" w:lineRule="auto"/>
        <w:ind w:right="488"/>
        <w:rPr>
          <w:rFonts w:cstheme="minorHAnsi"/>
          <w:w w:val="105"/>
        </w:rPr>
      </w:pPr>
      <w:r w:rsidRPr="0098443E">
        <w:rPr>
          <w:rFonts w:cstheme="minorHAnsi"/>
          <w:w w:val="105"/>
        </w:rPr>
        <w:t>Amendments to the Plan shall be made in accordance with clause 77M and the current version shall be published in accordance with clause 77L.</w:t>
      </w:r>
    </w:p>
    <w:p w14:paraId="6FA23358" w14:textId="77777777" w:rsidR="00164C01" w:rsidRPr="0098443E" w:rsidRDefault="00164C01" w:rsidP="00164C01">
      <w:pPr>
        <w:kinsoku w:val="0"/>
        <w:overflowPunct w:val="0"/>
        <w:autoSpaceDE w:val="0"/>
        <w:autoSpaceDN w:val="0"/>
        <w:adjustRightInd w:val="0"/>
        <w:spacing w:before="119" w:line="254" w:lineRule="auto"/>
        <w:ind w:right="221"/>
        <w:rPr>
          <w:rFonts w:cstheme="minorHAnsi"/>
          <w:w w:val="105"/>
        </w:rPr>
      </w:pPr>
      <w:r w:rsidRPr="0098443E">
        <w:rPr>
          <w:rFonts w:cstheme="minorHAnsi"/>
          <w:w w:val="105"/>
        </w:rPr>
        <w:t>A record of amendments to the Plan shall be maintained in the table below:</w:t>
      </w:r>
    </w:p>
    <w:tbl>
      <w:tblPr>
        <w:tblW w:w="0" w:type="auto"/>
        <w:tblInd w:w="439" w:type="dxa"/>
        <w:tblLayout w:type="fixed"/>
        <w:tblCellMar>
          <w:left w:w="0" w:type="dxa"/>
          <w:right w:w="0" w:type="dxa"/>
        </w:tblCellMar>
        <w:tblLook w:val="0000" w:firstRow="0" w:lastRow="0" w:firstColumn="0" w:lastColumn="0" w:noHBand="0" w:noVBand="0"/>
      </w:tblPr>
      <w:tblGrid>
        <w:gridCol w:w="1685"/>
        <w:gridCol w:w="1843"/>
        <w:gridCol w:w="4768"/>
      </w:tblGrid>
      <w:tr w:rsidR="00164C01" w:rsidRPr="0098443E" w14:paraId="70BFB6A5" w14:textId="77777777" w:rsidTr="008C6830">
        <w:trPr>
          <w:trHeight w:val="305"/>
        </w:trPr>
        <w:tc>
          <w:tcPr>
            <w:tcW w:w="1685" w:type="dxa"/>
            <w:tcBorders>
              <w:top w:val="single" w:sz="2" w:space="0" w:color="000000"/>
              <w:left w:val="single" w:sz="2" w:space="0" w:color="000000"/>
              <w:bottom w:val="single" w:sz="2" w:space="0" w:color="000000"/>
              <w:right w:val="single" w:sz="2" w:space="0" w:color="000000"/>
            </w:tcBorders>
          </w:tcPr>
          <w:p w14:paraId="466521F1" w14:textId="77777777" w:rsidR="00164C01" w:rsidRPr="0098443E" w:rsidRDefault="00164C01" w:rsidP="008C6830">
            <w:pPr>
              <w:kinsoku w:val="0"/>
              <w:overflowPunct w:val="0"/>
              <w:autoSpaceDE w:val="0"/>
              <w:autoSpaceDN w:val="0"/>
              <w:adjustRightInd w:val="0"/>
              <w:spacing w:before="37"/>
              <w:ind w:left="80"/>
              <w:rPr>
                <w:rFonts w:cstheme="minorHAnsi"/>
                <w:w w:val="110"/>
              </w:rPr>
            </w:pPr>
            <w:r w:rsidRPr="0098443E">
              <w:rPr>
                <w:rFonts w:cstheme="minorHAnsi"/>
                <w:w w:val="110"/>
              </w:rPr>
              <w:t>Amendment No</w:t>
            </w:r>
          </w:p>
        </w:tc>
        <w:tc>
          <w:tcPr>
            <w:tcW w:w="1843" w:type="dxa"/>
            <w:tcBorders>
              <w:top w:val="single" w:sz="2" w:space="0" w:color="000000"/>
              <w:left w:val="single" w:sz="2" w:space="0" w:color="000000"/>
              <w:bottom w:val="single" w:sz="2" w:space="0" w:color="000000"/>
              <w:right w:val="single" w:sz="2" w:space="0" w:color="000000"/>
            </w:tcBorders>
          </w:tcPr>
          <w:p w14:paraId="30D3E315" w14:textId="77777777" w:rsidR="00164C01" w:rsidRPr="0098443E" w:rsidRDefault="00164C01" w:rsidP="008C6830">
            <w:pPr>
              <w:kinsoku w:val="0"/>
              <w:overflowPunct w:val="0"/>
              <w:autoSpaceDE w:val="0"/>
              <w:autoSpaceDN w:val="0"/>
              <w:adjustRightInd w:val="0"/>
              <w:spacing w:before="37"/>
              <w:ind w:left="80"/>
              <w:rPr>
                <w:rFonts w:cstheme="minorHAnsi"/>
                <w:w w:val="110"/>
              </w:rPr>
            </w:pPr>
            <w:r w:rsidRPr="0098443E">
              <w:rPr>
                <w:rFonts w:cstheme="minorHAnsi"/>
                <w:w w:val="110"/>
              </w:rPr>
              <w:t>Date</w:t>
            </w:r>
          </w:p>
        </w:tc>
        <w:tc>
          <w:tcPr>
            <w:tcW w:w="4768" w:type="dxa"/>
            <w:tcBorders>
              <w:top w:val="single" w:sz="2" w:space="0" w:color="000000"/>
              <w:left w:val="single" w:sz="2" w:space="0" w:color="000000"/>
              <w:bottom w:val="single" w:sz="2" w:space="0" w:color="000000"/>
              <w:right w:val="single" w:sz="2" w:space="0" w:color="000000"/>
            </w:tcBorders>
          </w:tcPr>
          <w:p w14:paraId="4BBB6FE0" w14:textId="77777777" w:rsidR="00164C01" w:rsidRPr="0098443E" w:rsidRDefault="00164C01" w:rsidP="008C6830">
            <w:pPr>
              <w:kinsoku w:val="0"/>
              <w:overflowPunct w:val="0"/>
              <w:autoSpaceDE w:val="0"/>
              <w:autoSpaceDN w:val="0"/>
              <w:adjustRightInd w:val="0"/>
              <w:spacing w:before="37"/>
              <w:ind w:left="80"/>
              <w:rPr>
                <w:rFonts w:cstheme="minorHAnsi"/>
                <w:w w:val="110"/>
              </w:rPr>
            </w:pPr>
            <w:r w:rsidRPr="0098443E">
              <w:rPr>
                <w:rFonts w:cstheme="minorHAnsi"/>
                <w:w w:val="110"/>
              </w:rPr>
              <w:t>Comment</w:t>
            </w:r>
          </w:p>
        </w:tc>
      </w:tr>
      <w:tr w:rsidR="00164C01" w:rsidRPr="0098443E" w14:paraId="2D982C39" w14:textId="77777777" w:rsidTr="008C6830">
        <w:trPr>
          <w:trHeight w:val="305"/>
        </w:trPr>
        <w:tc>
          <w:tcPr>
            <w:tcW w:w="1685" w:type="dxa"/>
            <w:tcBorders>
              <w:top w:val="single" w:sz="2" w:space="0" w:color="000000"/>
              <w:left w:val="single" w:sz="2" w:space="0" w:color="000000"/>
              <w:bottom w:val="single" w:sz="2" w:space="0" w:color="000000"/>
              <w:right w:val="single" w:sz="2" w:space="0" w:color="000000"/>
            </w:tcBorders>
          </w:tcPr>
          <w:p w14:paraId="05CEC2B8" w14:textId="77777777" w:rsidR="00164C01" w:rsidRPr="0098443E" w:rsidRDefault="00164C01" w:rsidP="008C6830">
            <w:pPr>
              <w:kinsoku w:val="0"/>
              <w:overflowPunct w:val="0"/>
              <w:autoSpaceDE w:val="0"/>
              <w:autoSpaceDN w:val="0"/>
              <w:adjustRightInd w:val="0"/>
              <w:rPr>
                <w:rFonts w:cstheme="minorHAnsi"/>
              </w:rPr>
            </w:pPr>
          </w:p>
        </w:tc>
        <w:tc>
          <w:tcPr>
            <w:tcW w:w="1843" w:type="dxa"/>
            <w:tcBorders>
              <w:top w:val="single" w:sz="2" w:space="0" w:color="000000"/>
              <w:left w:val="single" w:sz="2" w:space="0" w:color="000000"/>
              <w:bottom w:val="single" w:sz="2" w:space="0" w:color="000000"/>
              <w:right w:val="single" w:sz="2" w:space="0" w:color="000000"/>
            </w:tcBorders>
          </w:tcPr>
          <w:p w14:paraId="6810BA2C" w14:textId="77777777" w:rsidR="00164C01" w:rsidRPr="0098443E" w:rsidRDefault="00164C01" w:rsidP="008C6830">
            <w:pPr>
              <w:kinsoku w:val="0"/>
              <w:overflowPunct w:val="0"/>
              <w:autoSpaceDE w:val="0"/>
              <w:autoSpaceDN w:val="0"/>
              <w:adjustRightInd w:val="0"/>
              <w:rPr>
                <w:rFonts w:cstheme="minorHAnsi"/>
              </w:rPr>
            </w:pPr>
          </w:p>
        </w:tc>
        <w:tc>
          <w:tcPr>
            <w:tcW w:w="4768" w:type="dxa"/>
            <w:tcBorders>
              <w:top w:val="single" w:sz="2" w:space="0" w:color="000000"/>
              <w:left w:val="single" w:sz="2" w:space="0" w:color="000000"/>
              <w:bottom w:val="single" w:sz="2" w:space="0" w:color="000000"/>
              <w:right w:val="single" w:sz="2" w:space="0" w:color="000000"/>
            </w:tcBorders>
          </w:tcPr>
          <w:p w14:paraId="64C32610" w14:textId="77777777" w:rsidR="00164C01" w:rsidRPr="0098443E" w:rsidRDefault="00164C01" w:rsidP="008C6830">
            <w:pPr>
              <w:kinsoku w:val="0"/>
              <w:overflowPunct w:val="0"/>
              <w:autoSpaceDE w:val="0"/>
              <w:autoSpaceDN w:val="0"/>
              <w:adjustRightInd w:val="0"/>
              <w:rPr>
                <w:rFonts w:cstheme="minorHAnsi"/>
              </w:rPr>
            </w:pPr>
          </w:p>
        </w:tc>
      </w:tr>
      <w:tr w:rsidR="00164C01" w:rsidRPr="0098443E" w14:paraId="47ACE396" w14:textId="77777777" w:rsidTr="008C6830">
        <w:trPr>
          <w:trHeight w:val="305"/>
        </w:trPr>
        <w:tc>
          <w:tcPr>
            <w:tcW w:w="1685" w:type="dxa"/>
            <w:tcBorders>
              <w:top w:val="single" w:sz="2" w:space="0" w:color="000000"/>
              <w:left w:val="single" w:sz="2" w:space="0" w:color="000000"/>
              <w:bottom w:val="single" w:sz="2" w:space="0" w:color="000000"/>
              <w:right w:val="single" w:sz="2" w:space="0" w:color="000000"/>
            </w:tcBorders>
          </w:tcPr>
          <w:p w14:paraId="41E55C93" w14:textId="77777777" w:rsidR="00164C01" w:rsidRPr="0098443E" w:rsidRDefault="00164C01" w:rsidP="008C6830">
            <w:pPr>
              <w:kinsoku w:val="0"/>
              <w:overflowPunct w:val="0"/>
              <w:autoSpaceDE w:val="0"/>
              <w:autoSpaceDN w:val="0"/>
              <w:adjustRightInd w:val="0"/>
              <w:rPr>
                <w:rFonts w:cstheme="minorHAnsi"/>
              </w:rPr>
            </w:pPr>
          </w:p>
        </w:tc>
        <w:tc>
          <w:tcPr>
            <w:tcW w:w="1843" w:type="dxa"/>
            <w:tcBorders>
              <w:top w:val="single" w:sz="2" w:space="0" w:color="000000"/>
              <w:left w:val="single" w:sz="2" w:space="0" w:color="000000"/>
              <w:bottom w:val="single" w:sz="2" w:space="0" w:color="000000"/>
              <w:right w:val="single" w:sz="2" w:space="0" w:color="000000"/>
            </w:tcBorders>
          </w:tcPr>
          <w:p w14:paraId="171D5363" w14:textId="77777777" w:rsidR="00164C01" w:rsidRPr="0098443E" w:rsidRDefault="00164C01" w:rsidP="008C6830">
            <w:pPr>
              <w:kinsoku w:val="0"/>
              <w:overflowPunct w:val="0"/>
              <w:autoSpaceDE w:val="0"/>
              <w:autoSpaceDN w:val="0"/>
              <w:adjustRightInd w:val="0"/>
              <w:rPr>
                <w:rFonts w:cstheme="minorHAnsi"/>
              </w:rPr>
            </w:pPr>
          </w:p>
        </w:tc>
        <w:tc>
          <w:tcPr>
            <w:tcW w:w="4768" w:type="dxa"/>
            <w:tcBorders>
              <w:top w:val="single" w:sz="2" w:space="0" w:color="000000"/>
              <w:left w:val="single" w:sz="2" w:space="0" w:color="000000"/>
              <w:bottom w:val="single" w:sz="2" w:space="0" w:color="000000"/>
              <w:right w:val="single" w:sz="2" w:space="0" w:color="000000"/>
            </w:tcBorders>
          </w:tcPr>
          <w:p w14:paraId="5B14CA97" w14:textId="77777777" w:rsidR="00164C01" w:rsidRPr="0098443E" w:rsidRDefault="00164C01" w:rsidP="008C6830">
            <w:pPr>
              <w:kinsoku w:val="0"/>
              <w:overflowPunct w:val="0"/>
              <w:autoSpaceDE w:val="0"/>
              <w:autoSpaceDN w:val="0"/>
              <w:adjustRightInd w:val="0"/>
              <w:rPr>
                <w:rFonts w:cstheme="minorHAnsi"/>
              </w:rPr>
            </w:pPr>
          </w:p>
        </w:tc>
      </w:tr>
    </w:tbl>
    <w:p w14:paraId="4EA3DE70" w14:textId="77777777" w:rsidR="00164C01" w:rsidRPr="0098443E" w:rsidRDefault="00164C01" w:rsidP="00164C01">
      <w:pPr>
        <w:kinsoku w:val="0"/>
        <w:overflowPunct w:val="0"/>
        <w:autoSpaceDE w:val="0"/>
        <w:autoSpaceDN w:val="0"/>
        <w:adjustRightInd w:val="0"/>
        <w:spacing w:before="119" w:line="254" w:lineRule="auto"/>
        <w:ind w:right="221"/>
        <w:rPr>
          <w:rFonts w:cstheme="minorHAnsi"/>
          <w:w w:val="105"/>
        </w:rPr>
      </w:pPr>
    </w:p>
    <w:p w14:paraId="7F994C92" w14:textId="77777777" w:rsidR="00164C01" w:rsidRPr="00164C01" w:rsidRDefault="00164C01" w:rsidP="00164C01">
      <w:pPr>
        <w:pStyle w:val="Heading2"/>
        <w:rPr>
          <w:w w:val="110"/>
          <w:sz w:val="22"/>
          <w:szCs w:val="22"/>
        </w:rPr>
      </w:pPr>
      <w:bookmarkStart w:id="527" w:name="_Hlk74125899"/>
      <w:r w:rsidRPr="00164C01">
        <w:rPr>
          <w:w w:val="110"/>
          <w:sz w:val="22"/>
          <w:szCs w:val="22"/>
        </w:rPr>
        <w:t>1.5</w:t>
      </w:r>
      <w:r w:rsidRPr="00164C01">
        <w:rPr>
          <w:w w:val="110"/>
          <w:sz w:val="22"/>
          <w:szCs w:val="22"/>
        </w:rPr>
        <w:tab/>
        <w:t>Objectives of the</w:t>
      </w:r>
      <w:r w:rsidRPr="00164C01">
        <w:rPr>
          <w:spacing w:val="-35"/>
          <w:w w:val="110"/>
          <w:sz w:val="22"/>
          <w:szCs w:val="22"/>
        </w:rPr>
        <w:t xml:space="preserve"> </w:t>
      </w:r>
      <w:r w:rsidRPr="00164C01">
        <w:rPr>
          <w:w w:val="110"/>
          <w:sz w:val="22"/>
          <w:szCs w:val="22"/>
        </w:rPr>
        <w:t>Plan</w:t>
      </w:r>
    </w:p>
    <w:bookmarkEnd w:id="527"/>
    <w:p w14:paraId="371B6DBB" w14:textId="77777777" w:rsidR="00164C01" w:rsidRPr="00EC4C8E" w:rsidRDefault="00164C01" w:rsidP="00164C01">
      <w:pPr>
        <w:kinsoku w:val="0"/>
        <w:overflowPunct w:val="0"/>
        <w:autoSpaceDE w:val="0"/>
        <w:autoSpaceDN w:val="0"/>
        <w:adjustRightInd w:val="0"/>
        <w:spacing w:before="118" w:after="120"/>
        <w:rPr>
          <w:rFonts w:cstheme="minorHAnsi"/>
          <w:w w:val="105"/>
        </w:rPr>
      </w:pPr>
      <w:r w:rsidRPr="00EC4C8E">
        <w:rPr>
          <w:rFonts w:cstheme="minorHAnsi"/>
          <w:w w:val="105"/>
        </w:rPr>
        <w:t>The Plan has the following objectives:</w:t>
      </w:r>
    </w:p>
    <w:p w14:paraId="324D7FF8" w14:textId="77777777" w:rsidR="00164C01" w:rsidRPr="009A2E0F" w:rsidRDefault="00164C01" w:rsidP="00303E96">
      <w:pPr>
        <w:pStyle w:val="ListParagraph"/>
        <w:numPr>
          <w:ilvl w:val="0"/>
          <w:numId w:val="501"/>
        </w:numPr>
        <w:kinsoku w:val="0"/>
        <w:overflowPunct w:val="0"/>
        <w:autoSpaceDE w:val="0"/>
        <w:autoSpaceDN w:val="0"/>
        <w:adjustRightInd w:val="0"/>
        <w:spacing w:before="118" w:after="0" w:line="240" w:lineRule="auto"/>
        <w:jc w:val="both"/>
        <w:rPr>
          <w:rFonts w:cstheme="minorHAnsi"/>
          <w:w w:val="105"/>
        </w:rPr>
      </w:pPr>
      <w:r w:rsidRPr="009A2E0F">
        <w:rPr>
          <w:rFonts w:cstheme="minorHAnsi"/>
          <w:w w:val="105"/>
        </w:rPr>
        <w:t xml:space="preserve">To detail and expand upon the circumstances under which the Town may agree to exercise discretion under </w:t>
      </w:r>
      <w:r>
        <w:rPr>
          <w:rFonts w:cstheme="minorHAnsi"/>
          <w:w w:val="105"/>
        </w:rPr>
        <w:t>the provisions</w:t>
      </w:r>
      <w:r w:rsidRPr="009A2E0F">
        <w:rPr>
          <w:rFonts w:cstheme="minorHAnsi"/>
          <w:w w:val="105"/>
        </w:rPr>
        <w:t xml:space="preserve"> of Local Planning Scheme No. 3 (LPS No. 3) </w:t>
      </w:r>
      <w:r>
        <w:rPr>
          <w:rFonts w:cstheme="minorHAnsi"/>
          <w:w w:val="105"/>
        </w:rPr>
        <w:t xml:space="preserve">by </w:t>
      </w:r>
      <w:r w:rsidRPr="009A2E0F">
        <w:rPr>
          <w:rFonts w:cstheme="minorHAnsi"/>
          <w:w w:val="105"/>
        </w:rPr>
        <w:t>accepting cash</w:t>
      </w:r>
      <w:r>
        <w:rPr>
          <w:rFonts w:cstheme="minorHAnsi"/>
          <w:w w:val="105"/>
        </w:rPr>
        <w:t xml:space="preserve"> payment</w:t>
      </w:r>
      <w:r w:rsidRPr="009A2E0F">
        <w:rPr>
          <w:rFonts w:cstheme="minorHAnsi"/>
          <w:w w:val="105"/>
        </w:rPr>
        <w:t xml:space="preserve"> in lieu of the provision of on-site car parking for development within the </w:t>
      </w:r>
      <w:r>
        <w:rPr>
          <w:rFonts w:cstheme="minorHAnsi"/>
          <w:w w:val="105"/>
        </w:rPr>
        <w:t xml:space="preserve">areas as </w:t>
      </w:r>
      <w:r w:rsidRPr="009A2E0F">
        <w:rPr>
          <w:rFonts w:cstheme="minorHAnsi"/>
          <w:w w:val="105"/>
        </w:rPr>
        <w:t>specified in Section 3.1</w:t>
      </w:r>
      <w:r>
        <w:rPr>
          <w:rFonts w:cstheme="minorHAnsi"/>
          <w:w w:val="105"/>
        </w:rPr>
        <w:t>.</w:t>
      </w:r>
    </w:p>
    <w:p w14:paraId="6233092F" w14:textId="77777777" w:rsidR="00164C01" w:rsidRPr="00CA5307" w:rsidRDefault="00164C01" w:rsidP="00303E96">
      <w:pPr>
        <w:pStyle w:val="ListParagraph"/>
        <w:numPr>
          <w:ilvl w:val="0"/>
          <w:numId w:val="501"/>
        </w:numPr>
        <w:spacing w:after="0" w:line="240" w:lineRule="auto"/>
        <w:jc w:val="both"/>
        <w:rPr>
          <w:rFonts w:cstheme="minorHAnsi"/>
          <w:w w:val="105"/>
        </w:rPr>
      </w:pPr>
      <w:r w:rsidRPr="009A2E0F">
        <w:rPr>
          <w:rFonts w:cstheme="minorHAnsi"/>
          <w:w w:val="105"/>
        </w:rPr>
        <w:t xml:space="preserve">To further detail the </w:t>
      </w:r>
      <w:proofErr w:type="gramStart"/>
      <w:r w:rsidRPr="009A2E0F">
        <w:rPr>
          <w:rFonts w:cstheme="minorHAnsi"/>
          <w:w w:val="105"/>
        </w:rPr>
        <w:t>manner in which</w:t>
      </w:r>
      <w:proofErr w:type="gramEnd"/>
      <w:r w:rsidRPr="009A2E0F">
        <w:rPr>
          <w:rFonts w:ascii="CIDFont+F1" w:hAnsi="CIDFont+F1" w:cs="CIDFont+F1"/>
        </w:rPr>
        <w:t xml:space="preserve"> the Town</w:t>
      </w:r>
      <w:r w:rsidRPr="009A2E0F">
        <w:rPr>
          <w:rFonts w:cstheme="minorHAnsi"/>
          <w:w w:val="105"/>
        </w:rPr>
        <w:t xml:space="preserve"> </w:t>
      </w:r>
      <w:r w:rsidRPr="009A2E0F">
        <w:rPr>
          <w:rFonts w:ascii="CIDFont+F1" w:hAnsi="CIDFont+F1" w:cs="CIDFont+F1"/>
        </w:rPr>
        <w:t>will</w:t>
      </w:r>
      <w:r w:rsidRPr="00CA5307">
        <w:rPr>
          <w:rFonts w:ascii="CIDFont+F1" w:hAnsi="CIDFont+F1" w:cs="CIDFont+F1"/>
        </w:rPr>
        <w:t xml:space="preserve"> calculate the cash payment in lieu of the provision of car parking.</w:t>
      </w:r>
      <w:r w:rsidRPr="00CA5307">
        <w:rPr>
          <w:rFonts w:cstheme="minorHAnsi"/>
          <w:w w:val="105"/>
          <w:highlight w:val="yellow"/>
        </w:rPr>
        <w:t xml:space="preserve"> </w:t>
      </w:r>
    </w:p>
    <w:p w14:paraId="5AF443D6" w14:textId="77777777" w:rsidR="00164C01" w:rsidRDefault="00164C01" w:rsidP="00303E96">
      <w:pPr>
        <w:pStyle w:val="ListParagraph"/>
        <w:numPr>
          <w:ilvl w:val="0"/>
          <w:numId w:val="501"/>
        </w:numPr>
        <w:kinsoku w:val="0"/>
        <w:overflowPunct w:val="0"/>
        <w:autoSpaceDE w:val="0"/>
        <w:autoSpaceDN w:val="0"/>
        <w:adjustRightInd w:val="0"/>
        <w:spacing w:before="118" w:after="0" w:line="240" w:lineRule="auto"/>
        <w:jc w:val="both"/>
        <w:rPr>
          <w:rFonts w:cstheme="minorHAnsi"/>
          <w:w w:val="105"/>
        </w:rPr>
      </w:pPr>
      <w:r w:rsidRPr="00CA5307">
        <w:rPr>
          <w:rFonts w:cstheme="minorHAnsi"/>
          <w:w w:val="105"/>
        </w:rPr>
        <w:t>To establish a method of managing and spending funds paid to the Town in lieu of parking for the provision of alternative parking in the public realm.</w:t>
      </w:r>
    </w:p>
    <w:p w14:paraId="67DB5AEE" w14:textId="77777777" w:rsidR="00164C01" w:rsidRDefault="00164C01" w:rsidP="00303E96">
      <w:pPr>
        <w:pStyle w:val="ListParagraph"/>
        <w:numPr>
          <w:ilvl w:val="0"/>
          <w:numId w:val="501"/>
        </w:numPr>
        <w:kinsoku w:val="0"/>
        <w:overflowPunct w:val="0"/>
        <w:autoSpaceDE w:val="0"/>
        <w:autoSpaceDN w:val="0"/>
        <w:adjustRightInd w:val="0"/>
        <w:spacing w:before="118" w:after="0" w:line="240" w:lineRule="auto"/>
        <w:jc w:val="both"/>
        <w:rPr>
          <w:rFonts w:cstheme="minorHAnsi"/>
          <w:w w:val="105"/>
        </w:rPr>
      </w:pPr>
      <w:r w:rsidRPr="00CF5028">
        <w:rPr>
          <w:rFonts w:cstheme="minorHAnsi"/>
          <w:w w:val="105"/>
        </w:rPr>
        <w:t>To facilitate the provision and development of adequate parking facilities for commercial and community uses close to activity.</w:t>
      </w:r>
    </w:p>
    <w:p w14:paraId="653C55C5" w14:textId="77777777" w:rsidR="00164C01" w:rsidRDefault="00164C01" w:rsidP="00303E96">
      <w:pPr>
        <w:pStyle w:val="ListParagraph"/>
        <w:numPr>
          <w:ilvl w:val="0"/>
          <w:numId w:val="501"/>
        </w:numPr>
        <w:kinsoku w:val="0"/>
        <w:overflowPunct w:val="0"/>
        <w:autoSpaceDE w:val="0"/>
        <w:autoSpaceDN w:val="0"/>
        <w:adjustRightInd w:val="0"/>
        <w:spacing w:before="118" w:after="0" w:line="240" w:lineRule="auto"/>
        <w:jc w:val="both"/>
        <w:rPr>
          <w:rFonts w:cstheme="minorHAnsi"/>
          <w:w w:val="105"/>
        </w:rPr>
      </w:pPr>
      <w:r w:rsidRPr="00CF5028">
        <w:rPr>
          <w:rFonts w:cstheme="minorHAnsi"/>
          <w:w w:val="105"/>
        </w:rPr>
        <w:t>To facilitate the provision of supporting infrastructure to create a pleasant and safe public realm environment for parking and active (walking and cycling)</w:t>
      </w:r>
      <w:r>
        <w:rPr>
          <w:rFonts w:cstheme="minorHAnsi"/>
          <w:w w:val="105"/>
        </w:rPr>
        <w:t xml:space="preserve"> and public</w:t>
      </w:r>
      <w:r w:rsidRPr="00CF5028">
        <w:rPr>
          <w:rFonts w:cstheme="minorHAnsi"/>
          <w:w w:val="105"/>
        </w:rPr>
        <w:t xml:space="preserve"> transport in the vicinity.</w:t>
      </w:r>
    </w:p>
    <w:p w14:paraId="56B34354" w14:textId="77777777" w:rsidR="00164C01" w:rsidRPr="00693D3A" w:rsidRDefault="00164C01" w:rsidP="00303E96">
      <w:pPr>
        <w:pStyle w:val="ListParagraph"/>
        <w:numPr>
          <w:ilvl w:val="0"/>
          <w:numId w:val="501"/>
        </w:numPr>
        <w:kinsoku w:val="0"/>
        <w:overflowPunct w:val="0"/>
        <w:autoSpaceDE w:val="0"/>
        <w:autoSpaceDN w:val="0"/>
        <w:adjustRightInd w:val="0"/>
        <w:spacing w:before="118" w:after="0" w:line="240" w:lineRule="auto"/>
        <w:jc w:val="both"/>
        <w:rPr>
          <w:rFonts w:cstheme="minorHAnsi"/>
          <w:w w:val="105"/>
        </w:rPr>
      </w:pPr>
      <w:r>
        <w:rPr>
          <w:rFonts w:cstheme="minorHAnsi"/>
          <w:w w:val="105"/>
        </w:rPr>
        <w:t xml:space="preserve">To </w:t>
      </w:r>
      <w:r w:rsidRPr="00104CF6">
        <w:rPr>
          <w:rFonts w:cstheme="minorHAnsi"/>
          <w:w w:val="105"/>
        </w:rPr>
        <w:t xml:space="preserve">protect the amenity of existing and future nearby residents. </w:t>
      </w:r>
    </w:p>
    <w:p w14:paraId="21710845" w14:textId="77777777" w:rsidR="00164C01" w:rsidRPr="00164C01" w:rsidRDefault="00164C01" w:rsidP="00164C01">
      <w:pPr>
        <w:pStyle w:val="Heading2"/>
        <w:rPr>
          <w:w w:val="110"/>
          <w:sz w:val="22"/>
          <w:szCs w:val="22"/>
        </w:rPr>
      </w:pPr>
      <w:bookmarkStart w:id="528" w:name="_Hlk74125834"/>
      <w:r w:rsidRPr="00164C01">
        <w:rPr>
          <w:w w:val="110"/>
          <w:sz w:val="22"/>
          <w:szCs w:val="22"/>
        </w:rPr>
        <w:t>1.6</w:t>
      </w:r>
      <w:r w:rsidRPr="00164C01">
        <w:rPr>
          <w:w w:val="110"/>
          <w:sz w:val="22"/>
          <w:szCs w:val="22"/>
        </w:rPr>
        <w:tab/>
        <w:t>Linkages to relevant adopted planning</w:t>
      </w:r>
      <w:r w:rsidRPr="00164C01">
        <w:rPr>
          <w:spacing w:val="-43"/>
          <w:w w:val="110"/>
          <w:sz w:val="22"/>
          <w:szCs w:val="22"/>
        </w:rPr>
        <w:t xml:space="preserve">    </w:t>
      </w:r>
      <w:r w:rsidRPr="00164C01">
        <w:rPr>
          <w:w w:val="110"/>
          <w:sz w:val="22"/>
          <w:szCs w:val="22"/>
        </w:rPr>
        <w:t>documents</w:t>
      </w:r>
    </w:p>
    <w:p w14:paraId="0856F58B" w14:textId="77777777" w:rsidR="00164C01" w:rsidRPr="003A53D5" w:rsidRDefault="00164C01" w:rsidP="00164C01">
      <w:pPr>
        <w:kinsoku w:val="0"/>
        <w:overflowPunct w:val="0"/>
        <w:autoSpaceDE w:val="0"/>
        <w:autoSpaceDN w:val="0"/>
        <w:adjustRightInd w:val="0"/>
        <w:spacing w:before="120" w:line="254" w:lineRule="auto"/>
        <w:rPr>
          <w:rFonts w:cstheme="minorHAnsi"/>
          <w:w w:val="105"/>
        </w:rPr>
      </w:pPr>
      <w:r w:rsidRPr="005A7237">
        <w:rPr>
          <w:rFonts w:cstheme="minorHAnsi"/>
          <w:w w:val="105"/>
        </w:rPr>
        <w:t xml:space="preserve">This policy supersedes LPP 3.1.4 – </w:t>
      </w:r>
      <w:bookmarkStart w:id="529" w:name="_Hlk75180475"/>
      <w:r w:rsidRPr="005A7237">
        <w:rPr>
          <w:rFonts w:cstheme="minorHAnsi"/>
          <w:w w:val="105"/>
        </w:rPr>
        <w:t>George Street Mixed Use Precinct New Development Contribution to the Management of Access and Parking.</w:t>
      </w:r>
      <w:bookmarkEnd w:id="529"/>
      <w:r w:rsidRPr="003A53D5">
        <w:rPr>
          <w:rFonts w:cstheme="minorHAnsi"/>
          <w:w w:val="105"/>
        </w:rPr>
        <w:t xml:space="preserve"> </w:t>
      </w:r>
    </w:p>
    <w:p w14:paraId="0B168B00" w14:textId="77777777" w:rsidR="00164C01" w:rsidRPr="0098443E" w:rsidRDefault="00164C01" w:rsidP="00164C01">
      <w:pPr>
        <w:kinsoku w:val="0"/>
        <w:overflowPunct w:val="0"/>
        <w:autoSpaceDE w:val="0"/>
        <w:autoSpaceDN w:val="0"/>
        <w:adjustRightInd w:val="0"/>
        <w:spacing w:before="120" w:line="254" w:lineRule="auto"/>
        <w:rPr>
          <w:rFonts w:cstheme="minorHAnsi"/>
          <w:w w:val="105"/>
        </w:rPr>
      </w:pPr>
      <w:r w:rsidRPr="0098443E">
        <w:rPr>
          <w:rFonts w:cstheme="minorHAnsi"/>
          <w:w w:val="105"/>
        </w:rPr>
        <w:t xml:space="preserve">The Plan supports </w:t>
      </w:r>
      <w:r>
        <w:rPr>
          <w:rFonts w:cstheme="minorHAnsi"/>
          <w:w w:val="105"/>
        </w:rPr>
        <w:t xml:space="preserve">compliance with, and </w:t>
      </w:r>
      <w:r w:rsidRPr="0098443E">
        <w:rPr>
          <w:rFonts w:cstheme="minorHAnsi"/>
          <w:w w:val="105"/>
        </w:rPr>
        <w:t>implementation of</w:t>
      </w:r>
      <w:r>
        <w:rPr>
          <w:rFonts w:cstheme="minorHAnsi"/>
          <w:w w:val="105"/>
        </w:rPr>
        <w:t>,</w:t>
      </w:r>
      <w:r w:rsidRPr="0098443E">
        <w:rPr>
          <w:rFonts w:cstheme="minorHAnsi"/>
          <w:w w:val="105"/>
        </w:rPr>
        <w:t xml:space="preserve"> the following documents and Integrated Planning and Reporting framework:</w:t>
      </w:r>
    </w:p>
    <w:p w14:paraId="7ADF26A2" w14:textId="77777777" w:rsidR="00164C01" w:rsidRDefault="00164C01" w:rsidP="00303E96">
      <w:pPr>
        <w:pStyle w:val="ListParagraph"/>
        <w:numPr>
          <w:ilvl w:val="0"/>
          <w:numId w:val="490"/>
        </w:numPr>
        <w:spacing w:after="0" w:line="240" w:lineRule="auto"/>
        <w:jc w:val="both"/>
        <w:rPr>
          <w:w w:val="105"/>
        </w:rPr>
      </w:pPr>
      <w:r w:rsidRPr="00646778">
        <w:rPr>
          <w:w w:val="105"/>
        </w:rPr>
        <w:t>Town of East Fremantle Community Strategic Plan 2020-30</w:t>
      </w:r>
      <w:r>
        <w:rPr>
          <w:w w:val="105"/>
        </w:rPr>
        <w:t>.</w:t>
      </w:r>
    </w:p>
    <w:p w14:paraId="5DDA186D" w14:textId="77777777" w:rsidR="00164C01" w:rsidRPr="007C171E" w:rsidRDefault="00164C01" w:rsidP="00303E96">
      <w:pPr>
        <w:pStyle w:val="ListParagraph"/>
        <w:numPr>
          <w:ilvl w:val="0"/>
          <w:numId w:val="490"/>
        </w:numPr>
        <w:spacing w:after="0" w:line="240" w:lineRule="auto"/>
        <w:jc w:val="both"/>
        <w:rPr>
          <w:w w:val="105"/>
        </w:rPr>
      </w:pPr>
      <w:r w:rsidRPr="007C171E">
        <w:rPr>
          <w:w w:val="105"/>
        </w:rPr>
        <w:t>Town of East Fremantle Local Planning Scheme No. 3</w:t>
      </w:r>
      <w:r>
        <w:rPr>
          <w:w w:val="105"/>
        </w:rPr>
        <w:t>.</w:t>
      </w:r>
    </w:p>
    <w:p w14:paraId="12E7E5F1" w14:textId="77777777" w:rsidR="00164C01" w:rsidRDefault="00164C01" w:rsidP="00303E96">
      <w:pPr>
        <w:pStyle w:val="ListParagraph"/>
        <w:numPr>
          <w:ilvl w:val="0"/>
          <w:numId w:val="490"/>
        </w:numPr>
        <w:spacing w:after="0" w:line="240" w:lineRule="auto"/>
        <w:jc w:val="both"/>
        <w:rPr>
          <w:w w:val="105"/>
        </w:rPr>
      </w:pPr>
      <w:r>
        <w:rPr>
          <w:w w:val="105"/>
        </w:rPr>
        <w:t>Town of East Fremantle Local Planning Strategy, 2022.</w:t>
      </w:r>
    </w:p>
    <w:p w14:paraId="656D07F2" w14:textId="77777777" w:rsidR="00164C01" w:rsidRPr="00AD0A7B" w:rsidRDefault="00164C01" w:rsidP="00303E96">
      <w:pPr>
        <w:pStyle w:val="ListParagraph"/>
        <w:numPr>
          <w:ilvl w:val="0"/>
          <w:numId w:val="490"/>
        </w:numPr>
        <w:spacing w:after="0" w:line="240" w:lineRule="auto"/>
        <w:jc w:val="both"/>
        <w:rPr>
          <w:w w:val="105"/>
        </w:rPr>
      </w:pPr>
      <w:r w:rsidRPr="00AD0A7B">
        <w:rPr>
          <w:w w:val="105"/>
        </w:rPr>
        <w:t xml:space="preserve">Integrated Traffic Management and Movement Strategy </w:t>
      </w:r>
      <w:r>
        <w:rPr>
          <w:w w:val="105"/>
        </w:rPr>
        <w:t>(</w:t>
      </w:r>
      <w:r w:rsidRPr="00AD0A7B">
        <w:rPr>
          <w:w w:val="105"/>
        </w:rPr>
        <w:t xml:space="preserve">including </w:t>
      </w:r>
      <w:r>
        <w:rPr>
          <w:w w:val="105"/>
        </w:rPr>
        <w:t xml:space="preserve">Traffic Management and Movement Plan, Active Transport Plan and </w:t>
      </w:r>
      <w:r w:rsidRPr="00AD0A7B">
        <w:rPr>
          <w:w w:val="105"/>
        </w:rPr>
        <w:t>Parking Plan</w:t>
      </w:r>
      <w:r>
        <w:rPr>
          <w:w w:val="105"/>
        </w:rPr>
        <w:t>), 2021.</w:t>
      </w:r>
    </w:p>
    <w:p w14:paraId="22D6AE00" w14:textId="77777777" w:rsidR="00164C01" w:rsidRPr="00AD0A7B" w:rsidRDefault="00164C01" w:rsidP="00303E96">
      <w:pPr>
        <w:pStyle w:val="ListParagraph"/>
        <w:numPr>
          <w:ilvl w:val="0"/>
          <w:numId w:val="490"/>
        </w:numPr>
        <w:spacing w:after="0" w:line="240" w:lineRule="auto"/>
        <w:jc w:val="both"/>
        <w:rPr>
          <w:w w:val="105"/>
        </w:rPr>
      </w:pPr>
      <w:r w:rsidRPr="00AD0A7B">
        <w:rPr>
          <w:w w:val="105"/>
        </w:rPr>
        <w:t>Urban Streetscape and Public Realm Style Guide</w:t>
      </w:r>
      <w:r>
        <w:rPr>
          <w:w w:val="105"/>
        </w:rPr>
        <w:t>, 2020.</w:t>
      </w:r>
    </w:p>
    <w:p w14:paraId="20DDFCBC" w14:textId="77777777" w:rsidR="00164C01" w:rsidRDefault="00164C01" w:rsidP="00303E96">
      <w:pPr>
        <w:pStyle w:val="ListParagraph"/>
        <w:numPr>
          <w:ilvl w:val="0"/>
          <w:numId w:val="490"/>
        </w:numPr>
        <w:spacing w:after="0" w:line="240" w:lineRule="auto"/>
        <w:jc w:val="both"/>
        <w:rPr>
          <w:w w:val="105"/>
        </w:rPr>
      </w:pPr>
      <w:r>
        <w:rPr>
          <w:w w:val="105"/>
        </w:rPr>
        <w:t xml:space="preserve">Town of East Fremantle </w:t>
      </w:r>
      <w:r w:rsidRPr="00AD0A7B">
        <w:rPr>
          <w:w w:val="105"/>
        </w:rPr>
        <w:t>Public Art Strategy</w:t>
      </w:r>
      <w:r>
        <w:rPr>
          <w:w w:val="105"/>
        </w:rPr>
        <w:t xml:space="preserve"> 2018 and associated local planning policy and public art plans.</w:t>
      </w:r>
    </w:p>
    <w:p w14:paraId="7F357DC0" w14:textId="77777777" w:rsidR="00164C01" w:rsidRDefault="00164C01" w:rsidP="00303E96">
      <w:pPr>
        <w:pStyle w:val="ListParagraph"/>
        <w:numPr>
          <w:ilvl w:val="0"/>
          <w:numId w:val="490"/>
        </w:numPr>
        <w:spacing w:after="0" w:line="240" w:lineRule="auto"/>
        <w:jc w:val="both"/>
        <w:rPr>
          <w:w w:val="105"/>
        </w:rPr>
      </w:pPr>
      <w:r>
        <w:rPr>
          <w:w w:val="105"/>
        </w:rPr>
        <w:t>Town of East Fremantle Climate Emergency Strategy 2022-2032.</w:t>
      </w:r>
    </w:p>
    <w:p w14:paraId="42263D90" w14:textId="77777777" w:rsidR="00164C01" w:rsidRPr="009A2E0F" w:rsidRDefault="00164C01" w:rsidP="00303E96">
      <w:pPr>
        <w:pStyle w:val="ListParagraph"/>
        <w:numPr>
          <w:ilvl w:val="0"/>
          <w:numId w:val="490"/>
        </w:numPr>
        <w:spacing w:after="0" w:line="240" w:lineRule="auto"/>
        <w:jc w:val="both"/>
        <w:rPr>
          <w:w w:val="105"/>
        </w:rPr>
      </w:pPr>
      <w:r w:rsidRPr="009A2E0F">
        <w:rPr>
          <w:w w:val="105"/>
        </w:rPr>
        <w:t xml:space="preserve">AS 2890.5:2020 Parking Facilities On-street parking. </w:t>
      </w:r>
    </w:p>
    <w:p w14:paraId="4DE72ED6" w14:textId="77777777" w:rsidR="00164C01" w:rsidRDefault="00164C01" w:rsidP="00164C01">
      <w:pPr>
        <w:spacing w:after="120"/>
        <w:rPr>
          <w:w w:val="105"/>
        </w:rPr>
      </w:pPr>
    </w:p>
    <w:p w14:paraId="422DF6DF" w14:textId="20934C69" w:rsidR="00164C01" w:rsidRPr="007C171E" w:rsidRDefault="00164C01" w:rsidP="00164C01">
      <w:pPr>
        <w:spacing w:after="120"/>
        <w:rPr>
          <w:w w:val="105"/>
        </w:rPr>
      </w:pPr>
      <w:r>
        <w:rPr>
          <w:w w:val="105"/>
        </w:rPr>
        <w:t>Works associated with payment in lieu of parking will also be expected to be provided in accordance with future precinct plans, local development plans and development applications as they are approved, adopted and endorsed.</w:t>
      </w:r>
    </w:p>
    <w:bookmarkEnd w:id="528"/>
    <w:p w14:paraId="4A017D43" w14:textId="77777777" w:rsidR="00164C01" w:rsidRPr="00164C01" w:rsidRDefault="00164C01" w:rsidP="00164C01">
      <w:pPr>
        <w:pStyle w:val="Heading1"/>
        <w:spacing w:before="360"/>
        <w:rPr>
          <w:w w:val="105"/>
          <w:sz w:val="22"/>
          <w:szCs w:val="22"/>
        </w:rPr>
      </w:pPr>
      <w:r w:rsidRPr="00164C01">
        <w:rPr>
          <w:w w:val="105"/>
          <w:sz w:val="22"/>
          <w:szCs w:val="22"/>
        </w:rPr>
        <w:t>Terms used</w:t>
      </w:r>
    </w:p>
    <w:p w14:paraId="362F4264" w14:textId="77777777" w:rsidR="00164C01" w:rsidRDefault="00164C01" w:rsidP="00164C01">
      <w:pPr>
        <w:kinsoku w:val="0"/>
        <w:overflowPunct w:val="0"/>
        <w:autoSpaceDE w:val="0"/>
        <w:autoSpaceDN w:val="0"/>
        <w:adjustRightInd w:val="0"/>
        <w:spacing w:before="44" w:line="254" w:lineRule="auto"/>
        <w:ind w:right="452"/>
        <w:outlineLvl w:val="1"/>
        <w:rPr>
          <w:rFonts w:cstheme="minorHAnsi"/>
        </w:rPr>
      </w:pPr>
      <w:r w:rsidRPr="0098443E">
        <w:rPr>
          <w:rFonts w:cstheme="minorHAnsi"/>
        </w:rPr>
        <w:t xml:space="preserve">The terms used in the Plan have the same meaning as in the Regulations. </w:t>
      </w:r>
    </w:p>
    <w:p w14:paraId="40A98BBC" w14:textId="77777777" w:rsidR="00164C01" w:rsidRPr="00164C01" w:rsidRDefault="00164C01" w:rsidP="00164C01">
      <w:pPr>
        <w:pStyle w:val="Heading1"/>
        <w:spacing w:before="360"/>
        <w:rPr>
          <w:w w:val="110"/>
          <w:sz w:val="22"/>
          <w:szCs w:val="22"/>
        </w:rPr>
      </w:pPr>
      <w:r w:rsidRPr="00164C01">
        <w:rPr>
          <w:w w:val="110"/>
          <w:sz w:val="22"/>
          <w:szCs w:val="22"/>
        </w:rPr>
        <w:t xml:space="preserve">Parking plan application </w:t>
      </w:r>
      <w:r w:rsidRPr="00164C01">
        <w:rPr>
          <w:sz w:val="22"/>
          <w:szCs w:val="22"/>
        </w:rPr>
        <w:t>and area</w:t>
      </w:r>
    </w:p>
    <w:p w14:paraId="4362904D" w14:textId="77777777" w:rsidR="00164C01" w:rsidRPr="0098443E" w:rsidRDefault="00164C01" w:rsidP="00164C01">
      <w:pPr>
        <w:kinsoku w:val="0"/>
        <w:overflowPunct w:val="0"/>
        <w:autoSpaceDE w:val="0"/>
        <w:autoSpaceDN w:val="0"/>
        <w:adjustRightInd w:val="0"/>
        <w:spacing w:before="109" w:after="120"/>
        <w:outlineLvl w:val="1"/>
        <w:rPr>
          <w:rFonts w:cstheme="minorHAnsi"/>
          <w:w w:val="105"/>
        </w:rPr>
      </w:pPr>
      <w:r w:rsidRPr="0098443E">
        <w:rPr>
          <w:rFonts w:cstheme="minorHAnsi"/>
          <w:w w:val="105"/>
        </w:rPr>
        <w:t>This Plan relates to the area specified in Section</w:t>
      </w:r>
      <w:r>
        <w:rPr>
          <w:rFonts w:cstheme="minorHAnsi"/>
          <w:w w:val="105"/>
        </w:rPr>
        <w:t xml:space="preserve"> 3.1. M</w:t>
      </w:r>
      <w:r w:rsidRPr="0098443E">
        <w:rPr>
          <w:rFonts w:cstheme="minorHAnsi"/>
          <w:w w:val="105"/>
        </w:rPr>
        <w:t>oneys</w:t>
      </w:r>
      <w:r w:rsidRPr="0098443E">
        <w:rPr>
          <w:rFonts w:cstheme="minorHAnsi"/>
          <w:spacing w:val="-7"/>
          <w:w w:val="105"/>
        </w:rPr>
        <w:t xml:space="preserve"> </w:t>
      </w:r>
      <w:r w:rsidRPr="0098443E">
        <w:rPr>
          <w:rFonts w:cstheme="minorHAnsi"/>
          <w:w w:val="105"/>
        </w:rPr>
        <w:t>collected</w:t>
      </w:r>
      <w:r w:rsidRPr="0098443E">
        <w:rPr>
          <w:rFonts w:cstheme="minorHAnsi"/>
          <w:spacing w:val="-6"/>
          <w:w w:val="105"/>
        </w:rPr>
        <w:t xml:space="preserve"> </w:t>
      </w:r>
      <w:r w:rsidRPr="0098443E">
        <w:rPr>
          <w:rFonts w:cstheme="minorHAnsi"/>
          <w:w w:val="105"/>
        </w:rPr>
        <w:t>within</w:t>
      </w:r>
      <w:r w:rsidRPr="0098443E">
        <w:rPr>
          <w:rFonts w:cstheme="minorHAnsi"/>
          <w:spacing w:val="-6"/>
          <w:w w:val="105"/>
        </w:rPr>
        <w:t xml:space="preserve"> </w:t>
      </w:r>
      <w:r w:rsidRPr="0098443E">
        <w:rPr>
          <w:rFonts w:cstheme="minorHAnsi"/>
          <w:w w:val="105"/>
        </w:rPr>
        <w:t>the</w:t>
      </w:r>
      <w:r w:rsidRPr="0098443E">
        <w:rPr>
          <w:rFonts w:cstheme="minorHAnsi"/>
          <w:spacing w:val="-7"/>
          <w:w w:val="105"/>
        </w:rPr>
        <w:t xml:space="preserve"> </w:t>
      </w:r>
      <w:r>
        <w:rPr>
          <w:rFonts w:cstheme="minorHAnsi"/>
          <w:spacing w:val="-7"/>
          <w:w w:val="105"/>
        </w:rPr>
        <w:t xml:space="preserve">Sub-plan areas of </w:t>
      </w:r>
      <w:proofErr w:type="gramStart"/>
      <w:r>
        <w:rPr>
          <w:rFonts w:cstheme="minorHAnsi"/>
          <w:spacing w:val="-7"/>
          <w:w w:val="105"/>
        </w:rPr>
        <w:t xml:space="preserve">the overall </w:t>
      </w:r>
      <w:r w:rsidRPr="0098443E">
        <w:rPr>
          <w:rFonts w:cstheme="minorHAnsi"/>
          <w:w w:val="105"/>
        </w:rPr>
        <w:t>Plan</w:t>
      </w:r>
      <w:proofErr w:type="gramEnd"/>
      <w:r w:rsidRPr="0098443E">
        <w:rPr>
          <w:rFonts w:cstheme="minorHAnsi"/>
          <w:spacing w:val="-6"/>
          <w:w w:val="105"/>
        </w:rPr>
        <w:t xml:space="preserve"> </w:t>
      </w:r>
      <w:r w:rsidRPr="0098443E">
        <w:rPr>
          <w:rFonts w:cstheme="minorHAnsi"/>
          <w:w w:val="105"/>
        </w:rPr>
        <w:t>area</w:t>
      </w:r>
      <w:r w:rsidRPr="0098443E">
        <w:rPr>
          <w:rFonts w:cstheme="minorHAnsi"/>
          <w:spacing w:val="-6"/>
          <w:w w:val="105"/>
        </w:rPr>
        <w:t xml:space="preserve"> </w:t>
      </w:r>
      <w:r>
        <w:rPr>
          <w:rFonts w:cstheme="minorHAnsi"/>
          <w:w w:val="105"/>
        </w:rPr>
        <w:t>must</w:t>
      </w:r>
      <w:r w:rsidRPr="0098443E">
        <w:rPr>
          <w:rFonts w:cstheme="minorHAnsi"/>
          <w:spacing w:val="-1"/>
          <w:w w:val="105"/>
        </w:rPr>
        <w:t xml:space="preserve"> </w:t>
      </w:r>
      <w:r w:rsidRPr="0098443E">
        <w:rPr>
          <w:rFonts w:cstheme="minorHAnsi"/>
          <w:w w:val="105"/>
        </w:rPr>
        <w:t>be</w:t>
      </w:r>
      <w:r w:rsidRPr="0098443E">
        <w:rPr>
          <w:rFonts w:cstheme="minorHAnsi"/>
          <w:spacing w:val="-6"/>
          <w:w w:val="105"/>
        </w:rPr>
        <w:t xml:space="preserve"> </w:t>
      </w:r>
      <w:r w:rsidRPr="0098443E">
        <w:rPr>
          <w:rFonts w:cstheme="minorHAnsi"/>
          <w:w w:val="105"/>
        </w:rPr>
        <w:t>spent</w:t>
      </w:r>
      <w:r w:rsidRPr="0098443E">
        <w:rPr>
          <w:rFonts w:cstheme="minorHAnsi"/>
          <w:spacing w:val="-6"/>
          <w:w w:val="105"/>
        </w:rPr>
        <w:t xml:space="preserve"> </w:t>
      </w:r>
      <w:r w:rsidRPr="0098443E">
        <w:rPr>
          <w:rFonts w:cstheme="minorHAnsi"/>
          <w:w w:val="105"/>
        </w:rPr>
        <w:t>in</w:t>
      </w:r>
      <w:r w:rsidRPr="0098443E">
        <w:rPr>
          <w:rFonts w:cstheme="minorHAnsi"/>
          <w:spacing w:val="-7"/>
          <w:w w:val="105"/>
        </w:rPr>
        <w:t xml:space="preserve"> </w:t>
      </w:r>
      <w:r w:rsidRPr="0098443E">
        <w:rPr>
          <w:rFonts w:cstheme="minorHAnsi"/>
          <w:w w:val="105"/>
        </w:rPr>
        <w:t>the</w:t>
      </w:r>
      <w:r w:rsidRPr="0098443E">
        <w:rPr>
          <w:rFonts w:cstheme="minorHAnsi"/>
          <w:spacing w:val="-6"/>
          <w:w w:val="105"/>
        </w:rPr>
        <w:t xml:space="preserve"> </w:t>
      </w:r>
      <w:r>
        <w:rPr>
          <w:rFonts w:cstheme="minorHAnsi"/>
          <w:spacing w:val="-6"/>
          <w:w w:val="105"/>
        </w:rPr>
        <w:t>corresponding Sub-plan</w:t>
      </w:r>
      <w:r w:rsidRPr="0098443E">
        <w:rPr>
          <w:rFonts w:cstheme="minorHAnsi"/>
          <w:spacing w:val="-6"/>
          <w:w w:val="105"/>
        </w:rPr>
        <w:t xml:space="preserve"> </w:t>
      </w:r>
      <w:r w:rsidRPr="0098443E">
        <w:rPr>
          <w:rFonts w:cstheme="minorHAnsi"/>
          <w:w w:val="105"/>
        </w:rPr>
        <w:t>area.</w:t>
      </w:r>
    </w:p>
    <w:p w14:paraId="2D928E11" w14:textId="77777777" w:rsidR="00164C01" w:rsidRPr="00164C01" w:rsidRDefault="00164C01" w:rsidP="00164C01">
      <w:pPr>
        <w:pStyle w:val="Heading2"/>
        <w:numPr>
          <w:ilvl w:val="1"/>
          <w:numId w:val="0"/>
        </w:numPr>
        <w:ind w:left="1440" w:hanging="1440"/>
        <w:rPr>
          <w:sz w:val="22"/>
          <w:szCs w:val="22"/>
        </w:rPr>
      </w:pPr>
      <w:r w:rsidRPr="00164C01">
        <w:rPr>
          <w:sz w:val="22"/>
          <w:szCs w:val="22"/>
        </w:rPr>
        <w:lastRenderedPageBreak/>
        <w:t>Maps</w:t>
      </w:r>
    </w:p>
    <w:p w14:paraId="20D16F41" w14:textId="77777777" w:rsidR="00164C01" w:rsidRDefault="00164C01" w:rsidP="00164C01">
      <w:r w:rsidRPr="00CE0B45">
        <w:rPr>
          <w:b/>
          <w:bCs/>
        </w:rPr>
        <w:t>Attachment 1</w:t>
      </w:r>
      <w:r>
        <w:t xml:space="preserve"> shows the Individual Sub-plan areas within </w:t>
      </w:r>
      <w:r w:rsidRPr="003D5131">
        <w:t>the Plan area</w:t>
      </w:r>
      <w:r>
        <w:t>. These include:</w:t>
      </w:r>
    </w:p>
    <w:p w14:paraId="1DA5DB78" w14:textId="77777777" w:rsidR="00164C01" w:rsidRPr="005D7DED" w:rsidRDefault="00164C01" w:rsidP="00303E96">
      <w:pPr>
        <w:pStyle w:val="ListParagraph"/>
        <w:numPr>
          <w:ilvl w:val="0"/>
          <w:numId w:val="493"/>
        </w:numPr>
        <w:spacing w:after="0" w:line="240" w:lineRule="auto"/>
        <w:jc w:val="both"/>
      </w:pPr>
      <w:r w:rsidRPr="005D7DED">
        <w:t>Town Centre</w:t>
      </w:r>
      <w:r>
        <w:t>.</w:t>
      </w:r>
    </w:p>
    <w:p w14:paraId="7EE14FAD" w14:textId="77777777" w:rsidR="00164C01" w:rsidRPr="005D7DED" w:rsidRDefault="00164C01" w:rsidP="00303E96">
      <w:pPr>
        <w:pStyle w:val="ListParagraph"/>
        <w:numPr>
          <w:ilvl w:val="0"/>
          <w:numId w:val="493"/>
        </w:numPr>
        <w:spacing w:after="0" w:line="240" w:lineRule="auto"/>
        <w:jc w:val="both"/>
      </w:pPr>
      <w:r w:rsidRPr="005D7DED">
        <w:t>Plympto</w:t>
      </w:r>
      <w:r>
        <w:t>n.</w:t>
      </w:r>
    </w:p>
    <w:p w14:paraId="24BA8BD2" w14:textId="77777777" w:rsidR="00164C01" w:rsidRPr="005D7DED" w:rsidRDefault="00164C01" w:rsidP="00303E96">
      <w:pPr>
        <w:pStyle w:val="ListParagraph"/>
        <w:numPr>
          <w:ilvl w:val="0"/>
          <w:numId w:val="493"/>
        </w:numPr>
        <w:spacing w:after="0" w:line="240" w:lineRule="auto"/>
        <w:jc w:val="both"/>
      </w:pPr>
      <w:r w:rsidRPr="005D7DED">
        <w:t>East Fremantle Oval Precinct.</w:t>
      </w:r>
    </w:p>
    <w:p w14:paraId="2392C764" w14:textId="77777777" w:rsidR="00164C01" w:rsidRPr="005D7DED" w:rsidRDefault="00164C01" w:rsidP="00303E96">
      <w:pPr>
        <w:pStyle w:val="ListParagraph"/>
        <w:numPr>
          <w:ilvl w:val="0"/>
          <w:numId w:val="493"/>
        </w:numPr>
        <w:spacing w:after="0" w:line="240" w:lineRule="auto"/>
        <w:jc w:val="both"/>
      </w:pPr>
      <w:r w:rsidRPr="005D7DED">
        <w:t xml:space="preserve">Petra Street Centre. </w:t>
      </w:r>
    </w:p>
    <w:p w14:paraId="50F80179" w14:textId="77777777" w:rsidR="00164C01" w:rsidRPr="005D7DED" w:rsidRDefault="00164C01" w:rsidP="00303E96">
      <w:pPr>
        <w:pStyle w:val="ListParagraph"/>
        <w:numPr>
          <w:ilvl w:val="0"/>
          <w:numId w:val="493"/>
        </w:numPr>
        <w:spacing w:after="0" w:line="240" w:lineRule="auto"/>
        <w:jc w:val="both"/>
      </w:pPr>
      <w:r w:rsidRPr="005D7DED">
        <w:t>Riverside North</w:t>
      </w:r>
      <w:r>
        <w:t>.</w:t>
      </w:r>
    </w:p>
    <w:p w14:paraId="555D56FF" w14:textId="77777777" w:rsidR="00164C01" w:rsidRPr="005D7DED" w:rsidRDefault="00164C01" w:rsidP="00303E96">
      <w:pPr>
        <w:pStyle w:val="ListParagraph"/>
        <w:numPr>
          <w:ilvl w:val="0"/>
          <w:numId w:val="493"/>
        </w:numPr>
        <w:spacing w:after="0" w:line="240" w:lineRule="auto"/>
        <w:jc w:val="both"/>
      </w:pPr>
      <w:r w:rsidRPr="005D7DED">
        <w:t>Riverside South</w:t>
      </w:r>
      <w:r>
        <w:t>.</w:t>
      </w:r>
    </w:p>
    <w:p w14:paraId="1B9CBD82" w14:textId="77777777" w:rsidR="00164C01" w:rsidRDefault="00164C01" w:rsidP="00164C01">
      <w:pPr>
        <w:spacing w:after="0"/>
        <w:rPr>
          <w:b/>
          <w:bCs/>
        </w:rPr>
      </w:pPr>
    </w:p>
    <w:p w14:paraId="2C47F3AC" w14:textId="58A70CA3" w:rsidR="00164C01" w:rsidRDefault="00164C01" w:rsidP="00164C01">
      <w:r w:rsidRPr="00CE0B45">
        <w:rPr>
          <w:b/>
          <w:bCs/>
        </w:rPr>
        <w:t>Attachment 2</w:t>
      </w:r>
      <w:r w:rsidRPr="00786243">
        <w:rPr>
          <w:b/>
          <w:bCs/>
        </w:rPr>
        <w:t>A</w:t>
      </w:r>
      <w:r>
        <w:t xml:space="preserve"> shows </w:t>
      </w:r>
      <w:r w:rsidRPr="003D5131">
        <w:t>the</w:t>
      </w:r>
      <w:r>
        <w:t xml:space="preserve"> indicative</w:t>
      </w:r>
      <w:r w:rsidRPr="0098443E">
        <w:rPr>
          <w:w w:val="105"/>
        </w:rPr>
        <w:t xml:space="preserve"> location of parking infrastructure</w:t>
      </w:r>
      <w:r>
        <w:rPr>
          <w:w w:val="105"/>
        </w:rPr>
        <w:t xml:space="preserve"> and describes</w:t>
      </w:r>
      <w:r w:rsidRPr="0098443E">
        <w:rPr>
          <w:w w:val="105"/>
        </w:rPr>
        <w:t xml:space="preserve"> other transport infrastructure and/or ancillary purposes to be funded in each </w:t>
      </w:r>
      <w:r>
        <w:rPr>
          <w:w w:val="105"/>
        </w:rPr>
        <w:t>Sub-p</w:t>
      </w:r>
      <w:r w:rsidRPr="0098443E">
        <w:rPr>
          <w:w w:val="105"/>
        </w:rPr>
        <w:t xml:space="preserve">lan </w:t>
      </w:r>
      <w:r w:rsidRPr="00634C51">
        <w:rPr>
          <w:w w:val="105"/>
        </w:rPr>
        <w:t>area</w:t>
      </w:r>
      <w:r w:rsidRPr="00634C51">
        <w:rPr>
          <w:w w:val="110"/>
        </w:rPr>
        <w:t>.</w:t>
      </w:r>
      <w:r>
        <w:rPr>
          <w:w w:val="110"/>
        </w:rPr>
        <w:t xml:space="preserve"> More specific intentions for the Sub-plan areas are noted in </w:t>
      </w:r>
      <w:r w:rsidRPr="001D454A">
        <w:rPr>
          <w:b/>
          <w:bCs/>
          <w:w w:val="110"/>
        </w:rPr>
        <w:t>Attachment 2B</w:t>
      </w:r>
      <w:r>
        <w:rPr>
          <w:w w:val="110"/>
        </w:rPr>
        <w:t>.</w:t>
      </w:r>
    </w:p>
    <w:p w14:paraId="60B29042" w14:textId="77777777" w:rsidR="00164C01" w:rsidRPr="00164C01" w:rsidRDefault="00164C01" w:rsidP="006F6DAD">
      <w:pPr>
        <w:pStyle w:val="Heading1"/>
        <w:spacing w:before="360"/>
        <w:rPr>
          <w:spacing w:val="-2"/>
          <w:w w:val="110"/>
          <w:sz w:val="22"/>
          <w:szCs w:val="22"/>
        </w:rPr>
      </w:pPr>
      <w:r w:rsidRPr="00164C01">
        <w:rPr>
          <w:w w:val="110"/>
          <w:sz w:val="22"/>
          <w:szCs w:val="22"/>
        </w:rPr>
        <w:t>Reasonable estimate of costs for payment</w:t>
      </w:r>
      <w:r w:rsidRPr="00164C01">
        <w:rPr>
          <w:spacing w:val="-2"/>
          <w:w w:val="110"/>
          <w:sz w:val="22"/>
          <w:szCs w:val="22"/>
        </w:rPr>
        <w:t xml:space="preserve"> in lieu</w:t>
      </w:r>
    </w:p>
    <w:p w14:paraId="3D551E00" w14:textId="77777777" w:rsidR="00164C01" w:rsidRPr="00164C01" w:rsidRDefault="00164C01" w:rsidP="00164C01">
      <w:pPr>
        <w:pStyle w:val="Heading2"/>
        <w:rPr>
          <w:w w:val="110"/>
          <w:sz w:val="22"/>
          <w:szCs w:val="22"/>
        </w:rPr>
      </w:pPr>
      <w:r w:rsidRPr="00164C01">
        <w:rPr>
          <w:w w:val="110"/>
          <w:sz w:val="22"/>
          <w:szCs w:val="22"/>
        </w:rPr>
        <w:t>4.1</w:t>
      </w:r>
      <w:r w:rsidRPr="00164C01">
        <w:rPr>
          <w:w w:val="110"/>
          <w:sz w:val="22"/>
          <w:szCs w:val="22"/>
        </w:rPr>
        <w:tab/>
        <w:t xml:space="preserve">Calculation of reasonable </w:t>
      </w:r>
      <w:r w:rsidRPr="00164C01">
        <w:rPr>
          <w:spacing w:val="-3"/>
          <w:w w:val="110"/>
          <w:sz w:val="22"/>
          <w:szCs w:val="22"/>
        </w:rPr>
        <w:t>estimate of costs</w:t>
      </w:r>
    </w:p>
    <w:p w14:paraId="056CC0AB" w14:textId="77777777" w:rsidR="00164C01" w:rsidRPr="00F6452B" w:rsidRDefault="00164C01" w:rsidP="00164C01">
      <w:pPr>
        <w:kinsoku w:val="0"/>
        <w:overflowPunct w:val="0"/>
        <w:autoSpaceDE w:val="0"/>
        <w:autoSpaceDN w:val="0"/>
        <w:adjustRightInd w:val="0"/>
        <w:spacing w:line="254" w:lineRule="auto"/>
        <w:rPr>
          <w:w w:val="110"/>
        </w:rPr>
      </w:pPr>
      <w:r>
        <w:rPr>
          <w:rFonts w:cstheme="minorHAnsi"/>
          <w:w w:val="110"/>
        </w:rPr>
        <w:t>The reasonable estimate of costs has been calculated in</w:t>
      </w:r>
      <w:r w:rsidRPr="0098443E">
        <w:rPr>
          <w:rFonts w:cstheme="minorHAnsi"/>
          <w:w w:val="110"/>
        </w:rPr>
        <w:t xml:space="preserve"> accordance with clause 77H</w:t>
      </w:r>
      <w:r>
        <w:rPr>
          <w:rFonts w:cstheme="minorHAnsi"/>
          <w:w w:val="110"/>
        </w:rPr>
        <w:t xml:space="preserve"> and </w:t>
      </w:r>
      <w:r>
        <w:rPr>
          <w:w w:val="110"/>
        </w:rPr>
        <w:t>as determined by the WAPC approved method of calculation (as published in the Gazette)</w:t>
      </w:r>
      <w:r>
        <w:t xml:space="preserve">. The </w:t>
      </w:r>
      <w:r w:rsidRPr="00F6452B">
        <w:rPr>
          <w:w w:val="110"/>
        </w:rPr>
        <w:t xml:space="preserve">approved method calculation is accessible via the following web link: </w:t>
      </w:r>
    </w:p>
    <w:p w14:paraId="7348747A" w14:textId="77777777" w:rsidR="00164C01" w:rsidRDefault="00164C01" w:rsidP="00164C01">
      <w:pPr>
        <w:kinsoku w:val="0"/>
        <w:overflowPunct w:val="0"/>
        <w:autoSpaceDE w:val="0"/>
        <w:autoSpaceDN w:val="0"/>
        <w:adjustRightInd w:val="0"/>
        <w:spacing w:line="254" w:lineRule="auto"/>
        <w:rPr>
          <w:w w:val="110"/>
        </w:rPr>
      </w:pPr>
      <w:hyperlink r:id="rId304" w:history="1">
        <w:r w:rsidRPr="008B4752">
          <w:rPr>
            <w:rStyle w:val="Hyperlink"/>
            <w:w w:val="110"/>
          </w:rPr>
          <w:t>https://www.wa.gov.au/system/files/2021-08/PD-Clause-77H-4-Method-of-calculation.pdf</w:t>
        </w:r>
      </w:hyperlink>
    </w:p>
    <w:p w14:paraId="2695AF5C" w14:textId="77777777" w:rsidR="00164C01" w:rsidRPr="00C548AD" w:rsidRDefault="00164C01" w:rsidP="00164C01">
      <w:pPr>
        <w:rPr>
          <w:w w:val="110"/>
        </w:rPr>
      </w:pPr>
      <w:r w:rsidRPr="00C548AD">
        <w:rPr>
          <w:w w:val="110"/>
        </w:rPr>
        <w:t>The maximum lump sum calculation for payment in lieu of parking is as follows:</w:t>
      </w:r>
    </w:p>
    <w:p w14:paraId="462E1FD5" w14:textId="77777777" w:rsidR="00164C01" w:rsidRPr="00C548AD" w:rsidRDefault="00164C01" w:rsidP="00164C01">
      <w:pPr>
        <w:autoSpaceDE w:val="0"/>
        <w:autoSpaceDN w:val="0"/>
        <w:adjustRightInd w:val="0"/>
        <w:jc w:val="center"/>
        <w:rPr>
          <w:w w:val="110"/>
        </w:rPr>
      </w:pPr>
      <w:r w:rsidRPr="00C548AD">
        <w:rPr>
          <w:w w:val="110"/>
        </w:rPr>
        <w:t>$5,</w:t>
      </w:r>
      <w:r>
        <w:rPr>
          <w:w w:val="110"/>
        </w:rPr>
        <w:t>730</w:t>
      </w:r>
      <w:r w:rsidRPr="00C548AD">
        <w:rPr>
          <w:w w:val="110"/>
        </w:rPr>
        <w:t xml:space="preserve"> x car parking space shortfall. </w:t>
      </w:r>
    </w:p>
    <w:p w14:paraId="66AA89C8" w14:textId="77777777" w:rsidR="00164C01" w:rsidRPr="00164C01" w:rsidRDefault="00164C01" w:rsidP="00164C01">
      <w:pPr>
        <w:kinsoku w:val="0"/>
        <w:overflowPunct w:val="0"/>
        <w:autoSpaceDE w:val="0"/>
        <w:autoSpaceDN w:val="0"/>
        <w:adjustRightInd w:val="0"/>
        <w:spacing w:line="254" w:lineRule="auto"/>
        <w:rPr>
          <w:w w:val="110"/>
        </w:rPr>
      </w:pPr>
      <w:r w:rsidRPr="00C548AD">
        <w:rPr>
          <w:w w:val="110"/>
        </w:rPr>
        <w:t xml:space="preserve">This represents an infrastructure cost </w:t>
      </w:r>
      <w:r>
        <w:rPr>
          <w:w w:val="110"/>
        </w:rPr>
        <w:t>(</w:t>
      </w:r>
      <w:r w:rsidRPr="00C548AD">
        <w:rPr>
          <w:w w:val="110"/>
        </w:rPr>
        <w:t xml:space="preserve">as of </w:t>
      </w:r>
      <w:r w:rsidRPr="00075954">
        <w:rPr>
          <w:w w:val="110"/>
        </w:rPr>
        <w:t>May 2023</w:t>
      </w:r>
      <w:r>
        <w:rPr>
          <w:w w:val="110"/>
        </w:rPr>
        <w:t>)</w:t>
      </w:r>
      <w:r w:rsidRPr="008F0D56">
        <w:rPr>
          <w:w w:val="110"/>
        </w:rPr>
        <w:t xml:space="preserve"> </w:t>
      </w:r>
      <w:r w:rsidRPr="00C548AD">
        <w:rPr>
          <w:w w:val="110"/>
        </w:rPr>
        <w:t>of $3</w:t>
      </w:r>
      <w:r>
        <w:rPr>
          <w:w w:val="110"/>
        </w:rPr>
        <w:t>82</w:t>
      </w:r>
      <w:r w:rsidRPr="00C548AD">
        <w:rPr>
          <w:w w:val="110"/>
        </w:rPr>
        <w:t xml:space="preserve"> per m</w:t>
      </w:r>
      <w:r w:rsidRPr="003F4447">
        <w:rPr>
          <w:w w:val="110"/>
          <w:vertAlign w:val="superscript"/>
        </w:rPr>
        <w:t>2</w:t>
      </w:r>
      <w:r w:rsidRPr="00C548AD">
        <w:rPr>
          <w:w w:val="110"/>
        </w:rPr>
        <w:t xml:space="preserve"> x 15m</w:t>
      </w:r>
      <w:r w:rsidRPr="00075954">
        <w:rPr>
          <w:w w:val="110"/>
          <w:vertAlign w:val="superscript"/>
        </w:rPr>
        <w:t>2</w:t>
      </w:r>
      <w:r>
        <w:rPr>
          <w:w w:val="110"/>
        </w:rPr>
        <w:t xml:space="preserve">. This </w:t>
      </w:r>
      <w:r w:rsidRPr="00C548AD">
        <w:rPr>
          <w:w w:val="110"/>
        </w:rPr>
        <w:t>represent</w:t>
      </w:r>
      <w:r>
        <w:rPr>
          <w:w w:val="110"/>
        </w:rPr>
        <w:t>s a</w:t>
      </w:r>
      <w:r w:rsidRPr="00C548AD">
        <w:rPr>
          <w:w w:val="110"/>
        </w:rPr>
        <w:t xml:space="preserve"> 50% discount to a car parking space and manoeuvring area of 30m</w:t>
      </w:r>
      <w:r w:rsidRPr="003F4447">
        <w:rPr>
          <w:w w:val="110"/>
          <w:vertAlign w:val="superscript"/>
        </w:rPr>
        <w:t>2</w:t>
      </w:r>
      <w:r w:rsidRPr="00C548AD">
        <w:rPr>
          <w:w w:val="110"/>
        </w:rPr>
        <w:t xml:space="preserve"> and is to </w:t>
      </w:r>
      <w:r w:rsidRPr="00164C01">
        <w:rPr>
          <w:w w:val="110"/>
        </w:rPr>
        <w:t>be indexed annually to maintain alignment with increases in infrastructure cost.</w:t>
      </w:r>
    </w:p>
    <w:p w14:paraId="134B821E" w14:textId="77777777" w:rsidR="00164C01" w:rsidRPr="00164C01" w:rsidRDefault="00164C01" w:rsidP="00164C01">
      <w:pPr>
        <w:pStyle w:val="Heading2"/>
        <w:rPr>
          <w:w w:val="110"/>
          <w:sz w:val="22"/>
          <w:szCs w:val="22"/>
        </w:rPr>
      </w:pPr>
      <w:r w:rsidRPr="00164C01">
        <w:rPr>
          <w:w w:val="110"/>
          <w:sz w:val="22"/>
          <w:szCs w:val="22"/>
        </w:rPr>
        <w:t>4.2</w:t>
      </w:r>
      <w:r w:rsidRPr="00164C01">
        <w:rPr>
          <w:w w:val="110"/>
          <w:sz w:val="22"/>
          <w:szCs w:val="22"/>
        </w:rPr>
        <w:tab/>
        <w:t>Revisions</w:t>
      </w:r>
      <w:r w:rsidRPr="00164C01">
        <w:rPr>
          <w:spacing w:val="-12"/>
          <w:w w:val="110"/>
          <w:sz w:val="22"/>
          <w:szCs w:val="22"/>
        </w:rPr>
        <w:t xml:space="preserve"> </w:t>
      </w:r>
      <w:r w:rsidRPr="00164C01">
        <w:rPr>
          <w:w w:val="110"/>
          <w:sz w:val="22"/>
          <w:szCs w:val="22"/>
        </w:rPr>
        <w:t>to</w:t>
      </w:r>
      <w:r w:rsidRPr="00164C01">
        <w:rPr>
          <w:spacing w:val="-11"/>
          <w:w w:val="110"/>
          <w:sz w:val="22"/>
          <w:szCs w:val="22"/>
        </w:rPr>
        <w:t xml:space="preserve"> </w:t>
      </w:r>
      <w:r w:rsidRPr="00164C01">
        <w:rPr>
          <w:w w:val="110"/>
          <w:sz w:val="22"/>
          <w:szCs w:val="22"/>
        </w:rPr>
        <w:t>reasonable</w:t>
      </w:r>
      <w:r w:rsidRPr="00164C01">
        <w:rPr>
          <w:spacing w:val="-12"/>
          <w:w w:val="110"/>
          <w:sz w:val="22"/>
          <w:szCs w:val="22"/>
        </w:rPr>
        <w:t xml:space="preserve"> </w:t>
      </w:r>
      <w:r w:rsidRPr="00164C01">
        <w:rPr>
          <w:w w:val="110"/>
          <w:sz w:val="22"/>
          <w:szCs w:val="22"/>
        </w:rPr>
        <w:t>estimate of</w:t>
      </w:r>
      <w:r w:rsidRPr="00164C01">
        <w:rPr>
          <w:spacing w:val="-12"/>
          <w:w w:val="110"/>
          <w:sz w:val="22"/>
          <w:szCs w:val="22"/>
        </w:rPr>
        <w:t xml:space="preserve"> </w:t>
      </w:r>
      <w:r w:rsidRPr="00164C01">
        <w:rPr>
          <w:w w:val="110"/>
          <w:sz w:val="22"/>
          <w:szCs w:val="22"/>
        </w:rPr>
        <w:t>costs</w:t>
      </w:r>
    </w:p>
    <w:p w14:paraId="52CB67BA" w14:textId="77777777" w:rsidR="00164C01" w:rsidRPr="0098443E" w:rsidRDefault="00164C01" w:rsidP="00164C01">
      <w:pPr>
        <w:kinsoku w:val="0"/>
        <w:overflowPunct w:val="0"/>
        <w:autoSpaceDE w:val="0"/>
        <w:autoSpaceDN w:val="0"/>
        <w:adjustRightInd w:val="0"/>
        <w:spacing w:line="254" w:lineRule="auto"/>
        <w:outlineLvl w:val="2"/>
        <w:rPr>
          <w:rFonts w:cstheme="minorHAnsi"/>
          <w:w w:val="105"/>
        </w:rPr>
      </w:pPr>
      <w:r w:rsidRPr="0098443E">
        <w:rPr>
          <w:rFonts w:cstheme="minorHAnsi"/>
          <w:w w:val="105"/>
        </w:rPr>
        <w:t xml:space="preserve">The Reasonable Estimate of Costs in this Plan </w:t>
      </w:r>
      <w:r>
        <w:rPr>
          <w:rFonts w:cstheme="minorHAnsi"/>
          <w:w w:val="105"/>
        </w:rPr>
        <w:t>will</w:t>
      </w:r>
      <w:r w:rsidRPr="0098443E">
        <w:rPr>
          <w:rFonts w:cstheme="minorHAnsi"/>
          <w:w w:val="105"/>
        </w:rPr>
        <w:t xml:space="preserve"> be revised by </w:t>
      </w:r>
      <w:r>
        <w:rPr>
          <w:rFonts w:cstheme="minorHAnsi"/>
          <w:w w:val="105"/>
        </w:rPr>
        <w:t>the Town</w:t>
      </w:r>
      <w:r w:rsidRPr="0098443E">
        <w:rPr>
          <w:rFonts w:cstheme="minorHAnsi"/>
          <w:w w:val="105"/>
        </w:rPr>
        <w:t xml:space="preserve"> from time to time using the method(s) approved by the WAPC (as published in the Gazette). Revised Estimates of Cost</w:t>
      </w:r>
      <w:r>
        <w:rPr>
          <w:rFonts w:cstheme="minorHAnsi"/>
          <w:w w:val="105"/>
        </w:rPr>
        <w:t xml:space="preserve"> </w:t>
      </w:r>
      <w:r w:rsidRPr="0098443E">
        <w:rPr>
          <w:rFonts w:cstheme="minorHAnsi"/>
          <w:w w:val="105"/>
        </w:rPr>
        <w:t>are</w:t>
      </w:r>
      <w:r w:rsidRPr="0098443E">
        <w:rPr>
          <w:rFonts w:cstheme="minorHAnsi"/>
          <w:spacing w:val="-7"/>
          <w:w w:val="105"/>
        </w:rPr>
        <w:t xml:space="preserve"> </w:t>
      </w:r>
      <w:r w:rsidRPr="0098443E">
        <w:rPr>
          <w:rFonts w:cstheme="minorHAnsi"/>
          <w:w w:val="105"/>
        </w:rPr>
        <w:t>to</w:t>
      </w:r>
      <w:r w:rsidRPr="0098443E">
        <w:rPr>
          <w:rFonts w:cstheme="minorHAnsi"/>
          <w:spacing w:val="-6"/>
          <w:w w:val="105"/>
        </w:rPr>
        <w:t xml:space="preserve"> </w:t>
      </w:r>
      <w:r w:rsidRPr="0098443E">
        <w:rPr>
          <w:rFonts w:cstheme="minorHAnsi"/>
          <w:w w:val="105"/>
        </w:rPr>
        <w:t>be</w:t>
      </w:r>
      <w:r w:rsidRPr="0098443E">
        <w:rPr>
          <w:rFonts w:cstheme="minorHAnsi"/>
          <w:spacing w:val="-6"/>
          <w:w w:val="105"/>
        </w:rPr>
        <w:t xml:space="preserve"> </w:t>
      </w:r>
      <w:r w:rsidRPr="0098443E">
        <w:rPr>
          <w:rFonts w:cstheme="minorHAnsi"/>
          <w:w w:val="105"/>
        </w:rPr>
        <w:t>published</w:t>
      </w:r>
      <w:r w:rsidRPr="0098443E">
        <w:rPr>
          <w:rFonts w:cstheme="minorHAnsi"/>
          <w:spacing w:val="-7"/>
          <w:w w:val="105"/>
        </w:rPr>
        <w:t xml:space="preserve"> </w:t>
      </w:r>
      <w:r w:rsidRPr="0098443E">
        <w:rPr>
          <w:rFonts w:cstheme="minorHAnsi"/>
          <w:w w:val="105"/>
        </w:rPr>
        <w:t>in</w:t>
      </w:r>
      <w:r w:rsidRPr="0098443E">
        <w:rPr>
          <w:rFonts w:cstheme="minorHAnsi"/>
          <w:spacing w:val="-6"/>
          <w:w w:val="105"/>
        </w:rPr>
        <w:t xml:space="preserve"> </w:t>
      </w:r>
      <w:r w:rsidRPr="0098443E">
        <w:rPr>
          <w:rFonts w:cstheme="minorHAnsi"/>
          <w:w w:val="105"/>
        </w:rPr>
        <w:t>the</w:t>
      </w:r>
      <w:r w:rsidRPr="0098443E">
        <w:rPr>
          <w:rFonts w:cstheme="minorHAnsi"/>
          <w:spacing w:val="-6"/>
          <w:w w:val="105"/>
        </w:rPr>
        <w:t xml:space="preserve"> </w:t>
      </w:r>
      <w:r w:rsidRPr="0098443E">
        <w:rPr>
          <w:rFonts w:cstheme="minorHAnsi"/>
          <w:w w:val="105"/>
        </w:rPr>
        <w:t>updated</w:t>
      </w:r>
      <w:r w:rsidRPr="0098443E">
        <w:rPr>
          <w:rFonts w:cstheme="minorHAnsi"/>
          <w:spacing w:val="-6"/>
          <w:w w:val="105"/>
        </w:rPr>
        <w:t xml:space="preserve"> </w:t>
      </w:r>
      <w:r w:rsidRPr="0098443E">
        <w:rPr>
          <w:rFonts w:cstheme="minorHAnsi"/>
          <w:w w:val="105"/>
        </w:rPr>
        <w:t>version of</w:t>
      </w:r>
      <w:r w:rsidRPr="0098443E">
        <w:rPr>
          <w:rFonts w:cstheme="minorHAnsi"/>
          <w:spacing w:val="-7"/>
          <w:w w:val="105"/>
        </w:rPr>
        <w:t xml:space="preserve"> </w:t>
      </w:r>
      <w:r w:rsidRPr="0098443E">
        <w:rPr>
          <w:rFonts w:cstheme="minorHAnsi"/>
          <w:w w:val="105"/>
        </w:rPr>
        <w:t>the</w:t>
      </w:r>
      <w:r w:rsidRPr="0098443E">
        <w:rPr>
          <w:rFonts w:cstheme="minorHAnsi"/>
          <w:spacing w:val="-6"/>
          <w:w w:val="105"/>
        </w:rPr>
        <w:t xml:space="preserve"> </w:t>
      </w:r>
      <w:r w:rsidRPr="0098443E">
        <w:rPr>
          <w:rFonts w:cstheme="minorHAnsi"/>
          <w:w w:val="105"/>
        </w:rPr>
        <w:t>Plan</w:t>
      </w:r>
      <w:r w:rsidRPr="0098443E">
        <w:rPr>
          <w:rFonts w:cstheme="minorHAnsi"/>
          <w:spacing w:val="-6"/>
          <w:w w:val="105"/>
        </w:rPr>
        <w:t xml:space="preserve"> </w:t>
      </w:r>
      <w:r w:rsidRPr="0098443E">
        <w:rPr>
          <w:rFonts w:cstheme="minorHAnsi"/>
          <w:w w:val="105"/>
        </w:rPr>
        <w:t>in</w:t>
      </w:r>
      <w:r w:rsidRPr="0098443E">
        <w:rPr>
          <w:rFonts w:cstheme="minorHAnsi"/>
          <w:spacing w:val="-7"/>
          <w:w w:val="105"/>
        </w:rPr>
        <w:t xml:space="preserve"> </w:t>
      </w:r>
      <w:r w:rsidRPr="0098443E">
        <w:rPr>
          <w:rFonts w:cstheme="minorHAnsi"/>
          <w:w w:val="105"/>
        </w:rPr>
        <w:t>Section</w:t>
      </w:r>
      <w:r w:rsidRPr="0098443E">
        <w:rPr>
          <w:rFonts w:cstheme="minorHAnsi"/>
          <w:spacing w:val="-6"/>
          <w:w w:val="105"/>
        </w:rPr>
        <w:t xml:space="preserve"> </w:t>
      </w:r>
      <w:r w:rsidRPr="0098443E">
        <w:rPr>
          <w:rFonts w:cstheme="minorHAnsi"/>
          <w:w w:val="105"/>
        </w:rPr>
        <w:t>4.1,</w:t>
      </w:r>
      <w:r w:rsidRPr="0098443E">
        <w:rPr>
          <w:rFonts w:cstheme="minorHAnsi"/>
          <w:spacing w:val="-6"/>
          <w:w w:val="105"/>
        </w:rPr>
        <w:t xml:space="preserve"> </w:t>
      </w:r>
      <w:r w:rsidRPr="0098443E">
        <w:rPr>
          <w:rFonts w:cstheme="minorHAnsi"/>
          <w:w w:val="105"/>
        </w:rPr>
        <w:t>together</w:t>
      </w:r>
      <w:r w:rsidRPr="0098443E">
        <w:rPr>
          <w:rFonts w:cstheme="minorHAnsi"/>
          <w:spacing w:val="-6"/>
          <w:w w:val="105"/>
        </w:rPr>
        <w:t xml:space="preserve"> </w:t>
      </w:r>
      <w:r w:rsidRPr="0098443E">
        <w:rPr>
          <w:rFonts w:cstheme="minorHAnsi"/>
          <w:w w:val="105"/>
        </w:rPr>
        <w:t>with</w:t>
      </w:r>
      <w:r w:rsidRPr="0098443E">
        <w:rPr>
          <w:rFonts w:cstheme="minorHAnsi"/>
          <w:spacing w:val="-7"/>
          <w:w w:val="105"/>
        </w:rPr>
        <w:t xml:space="preserve"> </w:t>
      </w:r>
      <w:r w:rsidRPr="0098443E">
        <w:rPr>
          <w:rFonts w:cstheme="minorHAnsi"/>
          <w:w w:val="105"/>
        </w:rPr>
        <w:t>a</w:t>
      </w:r>
      <w:r w:rsidRPr="0098443E">
        <w:rPr>
          <w:rFonts w:cstheme="minorHAnsi"/>
          <w:spacing w:val="-2"/>
          <w:w w:val="105"/>
        </w:rPr>
        <w:t xml:space="preserve"> </w:t>
      </w:r>
      <w:r w:rsidRPr="0098443E">
        <w:rPr>
          <w:rFonts w:cstheme="minorHAnsi"/>
          <w:w w:val="105"/>
        </w:rPr>
        <w:t>note</w:t>
      </w:r>
      <w:r w:rsidRPr="0098443E">
        <w:rPr>
          <w:rFonts w:cstheme="minorHAnsi"/>
          <w:spacing w:val="-6"/>
          <w:w w:val="105"/>
        </w:rPr>
        <w:t xml:space="preserve"> </w:t>
      </w:r>
      <w:r w:rsidRPr="0098443E">
        <w:rPr>
          <w:rFonts w:cstheme="minorHAnsi"/>
          <w:w w:val="105"/>
        </w:rPr>
        <w:t>confirming</w:t>
      </w:r>
      <w:r w:rsidRPr="0098443E">
        <w:rPr>
          <w:rFonts w:cstheme="minorHAnsi"/>
          <w:spacing w:val="-6"/>
          <w:w w:val="105"/>
        </w:rPr>
        <w:t xml:space="preserve"> </w:t>
      </w:r>
      <w:r w:rsidRPr="0098443E">
        <w:rPr>
          <w:rFonts w:cstheme="minorHAnsi"/>
          <w:w w:val="105"/>
        </w:rPr>
        <w:t>the</w:t>
      </w:r>
      <w:r w:rsidRPr="0098443E">
        <w:rPr>
          <w:rFonts w:cstheme="minorHAnsi"/>
          <w:spacing w:val="-6"/>
          <w:w w:val="105"/>
        </w:rPr>
        <w:t xml:space="preserve"> </w:t>
      </w:r>
      <w:r w:rsidRPr="0098443E">
        <w:rPr>
          <w:rFonts w:cstheme="minorHAnsi"/>
          <w:w w:val="105"/>
        </w:rPr>
        <w:t>date</w:t>
      </w:r>
      <w:r w:rsidRPr="0098443E">
        <w:rPr>
          <w:rFonts w:cstheme="minorHAnsi"/>
          <w:spacing w:val="-7"/>
          <w:w w:val="105"/>
        </w:rPr>
        <w:t xml:space="preserve"> </w:t>
      </w:r>
      <w:r w:rsidRPr="0098443E">
        <w:rPr>
          <w:rFonts w:cstheme="minorHAnsi"/>
          <w:w w:val="105"/>
        </w:rPr>
        <w:t>of</w:t>
      </w:r>
      <w:r w:rsidRPr="0098443E">
        <w:rPr>
          <w:rFonts w:cstheme="minorHAnsi"/>
          <w:spacing w:val="-6"/>
          <w:w w:val="105"/>
        </w:rPr>
        <w:t xml:space="preserve"> </w:t>
      </w:r>
      <w:r w:rsidRPr="0098443E">
        <w:rPr>
          <w:rFonts w:cstheme="minorHAnsi"/>
          <w:w w:val="105"/>
        </w:rPr>
        <w:t>inclusion</w:t>
      </w:r>
      <w:r w:rsidRPr="0098443E">
        <w:rPr>
          <w:rFonts w:cstheme="minorHAnsi"/>
          <w:spacing w:val="-6"/>
          <w:w w:val="105"/>
        </w:rPr>
        <w:t xml:space="preserve"> </w:t>
      </w:r>
      <w:r w:rsidRPr="0098443E">
        <w:rPr>
          <w:rFonts w:cstheme="minorHAnsi"/>
          <w:w w:val="105"/>
        </w:rPr>
        <w:t>of</w:t>
      </w:r>
      <w:r w:rsidRPr="0098443E">
        <w:rPr>
          <w:rFonts w:cstheme="minorHAnsi"/>
          <w:spacing w:val="-6"/>
          <w:w w:val="105"/>
        </w:rPr>
        <w:t xml:space="preserve"> </w:t>
      </w:r>
      <w:r w:rsidRPr="0098443E">
        <w:rPr>
          <w:rFonts w:cstheme="minorHAnsi"/>
          <w:w w:val="105"/>
        </w:rPr>
        <w:t>the</w:t>
      </w:r>
      <w:r w:rsidRPr="0098443E">
        <w:rPr>
          <w:rFonts w:cstheme="minorHAnsi"/>
          <w:spacing w:val="-1"/>
          <w:w w:val="105"/>
        </w:rPr>
        <w:t xml:space="preserve"> </w:t>
      </w:r>
      <w:r w:rsidRPr="0098443E">
        <w:rPr>
          <w:rFonts w:cstheme="minorHAnsi"/>
          <w:w w:val="105"/>
        </w:rPr>
        <w:t>revised</w:t>
      </w:r>
      <w:r w:rsidRPr="0098443E">
        <w:rPr>
          <w:rFonts w:cstheme="minorHAnsi"/>
          <w:spacing w:val="-6"/>
          <w:w w:val="105"/>
        </w:rPr>
        <w:t xml:space="preserve"> </w:t>
      </w:r>
      <w:r w:rsidRPr="0098443E">
        <w:rPr>
          <w:rFonts w:cstheme="minorHAnsi"/>
          <w:w w:val="105"/>
        </w:rPr>
        <w:t>estimate.</w:t>
      </w:r>
    </w:p>
    <w:p w14:paraId="0D21DF08" w14:textId="77777777" w:rsidR="00164C01" w:rsidRDefault="00164C01" w:rsidP="00164C01">
      <w:pPr>
        <w:kinsoku w:val="0"/>
        <w:overflowPunct w:val="0"/>
        <w:autoSpaceDE w:val="0"/>
        <w:autoSpaceDN w:val="0"/>
        <w:adjustRightInd w:val="0"/>
        <w:spacing w:line="254" w:lineRule="auto"/>
        <w:outlineLvl w:val="2"/>
        <w:rPr>
          <w:rFonts w:cstheme="minorHAnsi"/>
          <w:w w:val="105"/>
        </w:rPr>
      </w:pPr>
      <w:r>
        <w:rPr>
          <w:rFonts w:cstheme="minorHAnsi"/>
          <w:w w:val="105"/>
        </w:rPr>
        <w:t>Where the method of calculation includes infrastructure costs, the Town will use a recognised construction cost publication to establish the construction escalation factor.</w:t>
      </w:r>
    </w:p>
    <w:p w14:paraId="320E4032" w14:textId="77777777" w:rsidR="00164C01" w:rsidRPr="00164C01" w:rsidRDefault="00164C01" w:rsidP="00164C01">
      <w:pPr>
        <w:kinsoku w:val="0"/>
        <w:overflowPunct w:val="0"/>
        <w:autoSpaceDE w:val="0"/>
        <w:autoSpaceDN w:val="0"/>
        <w:adjustRightInd w:val="0"/>
        <w:spacing w:line="254" w:lineRule="auto"/>
        <w:outlineLvl w:val="2"/>
        <w:rPr>
          <w:rFonts w:cstheme="minorHAnsi"/>
          <w:w w:val="105"/>
        </w:rPr>
      </w:pPr>
      <w:r w:rsidRPr="00703753">
        <w:rPr>
          <w:rFonts w:cstheme="minorHAnsi"/>
          <w:w w:val="105"/>
        </w:rPr>
        <w:t xml:space="preserve">In this Plan, updates to the Reasonable Estimate of Costs are noted in the version table in </w:t>
      </w:r>
      <w:r w:rsidRPr="00164C01">
        <w:rPr>
          <w:rFonts w:cstheme="minorHAnsi"/>
          <w:w w:val="105"/>
        </w:rPr>
        <w:t>Section 1.4.</w:t>
      </w:r>
    </w:p>
    <w:p w14:paraId="0898140C" w14:textId="77777777" w:rsidR="00164C01" w:rsidRPr="00164C01" w:rsidRDefault="00164C01" w:rsidP="00164C01">
      <w:pPr>
        <w:pStyle w:val="Heading2"/>
        <w:rPr>
          <w:w w:val="110"/>
          <w:sz w:val="22"/>
          <w:szCs w:val="22"/>
        </w:rPr>
      </w:pPr>
      <w:r w:rsidRPr="00164C01">
        <w:rPr>
          <w:w w:val="110"/>
          <w:sz w:val="22"/>
          <w:szCs w:val="22"/>
        </w:rPr>
        <w:t>4.3</w:t>
      </w:r>
      <w:r w:rsidRPr="00164C01">
        <w:rPr>
          <w:w w:val="110"/>
          <w:sz w:val="22"/>
          <w:szCs w:val="22"/>
        </w:rPr>
        <w:tab/>
        <w:t>Attribution of</w:t>
      </w:r>
      <w:r w:rsidRPr="00164C01">
        <w:rPr>
          <w:spacing w:val="-23"/>
          <w:w w:val="110"/>
          <w:sz w:val="22"/>
          <w:szCs w:val="22"/>
        </w:rPr>
        <w:t xml:space="preserve"> </w:t>
      </w:r>
      <w:r w:rsidRPr="00164C01">
        <w:rPr>
          <w:w w:val="110"/>
          <w:sz w:val="22"/>
          <w:szCs w:val="22"/>
        </w:rPr>
        <w:t>costs</w:t>
      </w:r>
    </w:p>
    <w:p w14:paraId="4D45D00C" w14:textId="77777777" w:rsidR="00164C01" w:rsidRDefault="00164C01" w:rsidP="00164C01">
      <w:pPr>
        <w:kinsoku w:val="0"/>
        <w:overflowPunct w:val="0"/>
        <w:autoSpaceDE w:val="0"/>
        <w:autoSpaceDN w:val="0"/>
        <w:adjustRightInd w:val="0"/>
        <w:spacing w:line="254" w:lineRule="auto"/>
        <w:ind w:right="432"/>
        <w:rPr>
          <w:rFonts w:cstheme="minorHAnsi"/>
          <w:w w:val="105"/>
        </w:rPr>
      </w:pPr>
      <w:r>
        <w:rPr>
          <w:rFonts w:cstheme="minorHAnsi"/>
          <w:w w:val="105"/>
        </w:rPr>
        <w:t>Contributions paid towards parking infrastructure in terms of the plan need to be spent in the Sub-plan area within which the contribution was made.</w:t>
      </w:r>
    </w:p>
    <w:p w14:paraId="04AFBA14" w14:textId="77777777" w:rsidR="00164C01" w:rsidRPr="00164C01" w:rsidRDefault="00164C01" w:rsidP="006F6DAD">
      <w:pPr>
        <w:pStyle w:val="Heading1"/>
        <w:spacing w:before="360"/>
        <w:rPr>
          <w:w w:val="110"/>
          <w:sz w:val="22"/>
          <w:szCs w:val="22"/>
        </w:rPr>
      </w:pPr>
      <w:bookmarkStart w:id="530" w:name="_Hlk119410144"/>
      <w:r w:rsidRPr="00164C01">
        <w:rPr>
          <w:w w:val="110"/>
          <w:sz w:val="22"/>
          <w:szCs w:val="22"/>
        </w:rPr>
        <w:t>Purposes for which payment in lieu will be</w:t>
      </w:r>
      <w:r w:rsidRPr="00164C01">
        <w:rPr>
          <w:spacing w:val="-8"/>
          <w:w w:val="110"/>
          <w:sz w:val="22"/>
          <w:szCs w:val="22"/>
        </w:rPr>
        <w:t xml:space="preserve"> </w:t>
      </w:r>
      <w:r w:rsidRPr="00164C01">
        <w:rPr>
          <w:w w:val="110"/>
          <w:sz w:val="22"/>
          <w:szCs w:val="22"/>
        </w:rPr>
        <w:t>applied</w:t>
      </w:r>
    </w:p>
    <w:p w14:paraId="64824FD4" w14:textId="77777777" w:rsidR="00164C01" w:rsidRDefault="00164C01" w:rsidP="00164C01">
      <w:pPr>
        <w:kinsoku w:val="0"/>
        <w:overflowPunct w:val="0"/>
        <w:autoSpaceDE w:val="0"/>
        <w:autoSpaceDN w:val="0"/>
        <w:adjustRightInd w:val="0"/>
        <w:spacing w:line="254" w:lineRule="auto"/>
        <w:ind w:right="1"/>
        <w:outlineLvl w:val="2"/>
        <w:rPr>
          <w:rFonts w:cstheme="minorHAnsi"/>
          <w:w w:val="105"/>
        </w:rPr>
      </w:pPr>
      <w:r w:rsidRPr="0098443E">
        <w:rPr>
          <w:rFonts w:cstheme="minorHAnsi"/>
          <w:w w:val="105"/>
        </w:rPr>
        <w:t>In accordance with clause 77</w:t>
      </w:r>
      <w:proofErr w:type="gramStart"/>
      <w:r w:rsidRPr="0098443E">
        <w:rPr>
          <w:rFonts w:cstheme="minorHAnsi"/>
          <w:w w:val="105"/>
        </w:rPr>
        <w:t>I(</w:t>
      </w:r>
      <w:proofErr w:type="gramEnd"/>
      <w:r w:rsidRPr="0098443E">
        <w:rPr>
          <w:rFonts w:cstheme="minorHAnsi"/>
          <w:w w:val="105"/>
        </w:rPr>
        <w:t>2), money collected under the Plan must be applied for the purposes set out below:</w:t>
      </w:r>
    </w:p>
    <w:p w14:paraId="2D5403E0" w14:textId="77777777" w:rsidR="00164C01" w:rsidRPr="00164C01" w:rsidRDefault="00164C01" w:rsidP="00164C01">
      <w:pPr>
        <w:pStyle w:val="Heading2"/>
        <w:rPr>
          <w:w w:val="110"/>
          <w:sz w:val="22"/>
          <w:szCs w:val="22"/>
        </w:rPr>
      </w:pPr>
      <w:r w:rsidRPr="00164C01">
        <w:rPr>
          <w:w w:val="110"/>
          <w:sz w:val="22"/>
          <w:szCs w:val="22"/>
        </w:rPr>
        <w:lastRenderedPageBreak/>
        <w:t>5.1</w:t>
      </w:r>
      <w:r w:rsidRPr="00164C01">
        <w:rPr>
          <w:w w:val="110"/>
          <w:sz w:val="22"/>
          <w:szCs w:val="22"/>
        </w:rPr>
        <w:tab/>
        <w:t>Public Car Parking</w:t>
      </w:r>
      <w:r w:rsidRPr="00164C01">
        <w:rPr>
          <w:spacing w:val="-35"/>
          <w:w w:val="110"/>
          <w:sz w:val="22"/>
          <w:szCs w:val="22"/>
        </w:rPr>
        <w:t xml:space="preserve"> </w:t>
      </w:r>
      <w:r w:rsidRPr="00164C01">
        <w:rPr>
          <w:w w:val="110"/>
          <w:sz w:val="22"/>
          <w:szCs w:val="22"/>
        </w:rPr>
        <w:t>Infrastructure</w:t>
      </w:r>
    </w:p>
    <w:p w14:paraId="0B256166" w14:textId="77777777" w:rsidR="00164C01" w:rsidRPr="00085902" w:rsidRDefault="00164C01" w:rsidP="00164C01">
      <w:r w:rsidRPr="001F26A3">
        <w:t>Provision and maintenance of at grade parking</w:t>
      </w:r>
      <w:r>
        <w:t xml:space="preserve"> bays</w:t>
      </w:r>
      <w:r w:rsidRPr="001F26A3">
        <w:t xml:space="preserve"> in the nearest suitable location on the streets or other Local Government managed reserve within the associated Sub-plan area in accordance with the relevant Australian Standard for either on-street or off-street carparking</w:t>
      </w:r>
      <w:r>
        <w:t xml:space="preserve"> and may include </w:t>
      </w:r>
      <w:r w:rsidRPr="00883A5A">
        <w:t xml:space="preserve">the land and construction costs of public parking stations provided by </w:t>
      </w:r>
      <w:r>
        <w:t>the Town</w:t>
      </w:r>
      <w:r w:rsidRPr="00883A5A">
        <w:t xml:space="preserve"> or within a joint venture; the cost of creating </w:t>
      </w:r>
      <w:r>
        <w:t xml:space="preserve">new </w:t>
      </w:r>
      <w:r w:rsidRPr="00883A5A">
        <w:t>additional parking bays</w:t>
      </w:r>
      <w:r>
        <w:t>; and/or rationalisation, i</w:t>
      </w:r>
      <w:r w:rsidRPr="00221AAE">
        <w:t xml:space="preserve">mprovements, upgrades and maintenance to existing </w:t>
      </w:r>
      <w:r w:rsidRPr="001F26A3">
        <w:t>parking spaces on or off street in locations most needed</w:t>
      </w:r>
      <w:r>
        <w:t xml:space="preserve">. </w:t>
      </w:r>
    </w:p>
    <w:p w14:paraId="54FA38F2" w14:textId="77777777" w:rsidR="00164C01" w:rsidRPr="00164C01" w:rsidRDefault="00164C01" w:rsidP="00164C01">
      <w:pPr>
        <w:pStyle w:val="Heading2"/>
        <w:rPr>
          <w:w w:val="110"/>
          <w:sz w:val="22"/>
          <w:szCs w:val="22"/>
        </w:rPr>
      </w:pPr>
      <w:r w:rsidRPr="00164C01">
        <w:rPr>
          <w:w w:val="110"/>
          <w:sz w:val="22"/>
          <w:szCs w:val="22"/>
        </w:rPr>
        <w:t>5.2</w:t>
      </w:r>
      <w:r w:rsidRPr="00164C01">
        <w:rPr>
          <w:w w:val="110"/>
          <w:sz w:val="22"/>
          <w:szCs w:val="22"/>
        </w:rPr>
        <w:tab/>
        <w:t xml:space="preserve">Other </w:t>
      </w:r>
      <w:r w:rsidRPr="00164C01">
        <w:rPr>
          <w:spacing w:val="-3"/>
          <w:w w:val="110"/>
          <w:sz w:val="22"/>
          <w:szCs w:val="22"/>
        </w:rPr>
        <w:t>Transport and Ancillary</w:t>
      </w:r>
      <w:r w:rsidRPr="00164C01">
        <w:rPr>
          <w:spacing w:val="-23"/>
          <w:w w:val="110"/>
          <w:sz w:val="22"/>
          <w:szCs w:val="22"/>
        </w:rPr>
        <w:t xml:space="preserve"> </w:t>
      </w:r>
      <w:r w:rsidRPr="00164C01">
        <w:rPr>
          <w:w w:val="110"/>
          <w:sz w:val="22"/>
          <w:szCs w:val="22"/>
        </w:rPr>
        <w:t>Infrastructure</w:t>
      </w:r>
    </w:p>
    <w:p w14:paraId="1E6785DD" w14:textId="77777777" w:rsidR="00164C01" w:rsidRPr="00E55252" w:rsidRDefault="00164C01" w:rsidP="00164C01">
      <w:pPr>
        <w:ind w:left="360" w:hanging="360"/>
      </w:pPr>
      <w:r w:rsidRPr="00E55252">
        <w:t>In addition, the funds under control of this Parking Plan may also be used</w:t>
      </w:r>
      <w:r>
        <w:t xml:space="preserve"> for</w:t>
      </w:r>
      <w:r w:rsidRPr="00E55252">
        <w:t>:</w:t>
      </w:r>
    </w:p>
    <w:p w14:paraId="048742FC" w14:textId="77777777" w:rsidR="00164C01" w:rsidRPr="00221AAE" w:rsidRDefault="00164C01" w:rsidP="00303E96">
      <w:pPr>
        <w:pStyle w:val="ListParagraph"/>
        <w:numPr>
          <w:ilvl w:val="0"/>
          <w:numId w:val="502"/>
        </w:numPr>
        <w:spacing w:after="0" w:line="240" w:lineRule="auto"/>
        <w:jc w:val="both"/>
      </w:pPr>
      <w:bookmarkStart w:id="531" w:name="_Hlk104280034"/>
      <w:r>
        <w:t>P</w:t>
      </w:r>
      <w:r w:rsidRPr="00221AAE">
        <w:t>rovision and maintenance of public transport infrastructure and items supporting active transport including:</w:t>
      </w:r>
    </w:p>
    <w:p w14:paraId="54216CE7" w14:textId="77777777" w:rsidR="00164C01" w:rsidRPr="00221AAE" w:rsidRDefault="00164C01" w:rsidP="00303E96">
      <w:pPr>
        <w:pStyle w:val="ListParagraph"/>
        <w:numPr>
          <w:ilvl w:val="0"/>
          <w:numId w:val="503"/>
        </w:numPr>
        <w:spacing w:after="0" w:line="240" w:lineRule="auto"/>
        <w:jc w:val="both"/>
      </w:pPr>
      <w:r>
        <w:t xml:space="preserve">bus stop shelters along Transperth bus routes, including new and </w:t>
      </w:r>
      <w:proofErr w:type="gramStart"/>
      <w:r>
        <w:t>upgrades;</w:t>
      </w:r>
      <w:proofErr w:type="gramEnd"/>
    </w:p>
    <w:p w14:paraId="215BABF7" w14:textId="77777777" w:rsidR="00164C01" w:rsidRPr="00221AAE" w:rsidRDefault="00164C01" w:rsidP="00303E96">
      <w:pPr>
        <w:pStyle w:val="ListParagraph"/>
        <w:numPr>
          <w:ilvl w:val="0"/>
          <w:numId w:val="503"/>
        </w:numPr>
        <w:spacing w:after="0" w:line="240" w:lineRule="auto"/>
        <w:jc w:val="both"/>
      </w:pPr>
      <w:r w:rsidRPr="00221AAE">
        <w:t xml:space="preserve">footpath infrastructure including </w:t>
      </w:r>
      <w:r>
        <w:t xml:space="preserve">kerb ramps, </w:t>
      </w:r>
      <w:r w:rsidRPr="00221AAE">
        <w:t xml:space="preserve">new connections and </w:t>
      </w:r>
      <w:proofErr w:type="gramStart"/>
      <w:r w:rsidRPr="00221AAE">
        <w:t>upgrades;</w:t>
      </w:r>
      <w:proofErr w:type="gramEnd"/>
      <w:r w:rsidRPr="00221AAE">
        <w:t xml:space="preserve"> </w:t>
      </w:r>
    </w:p>
    <w:p w14:paraId="54E0F899" w14:textId="77777777" w:rsidR="00164C01" w:rsidRPr="00221AAE" w:rsidRDefault="00164C01" w:rsidP="00303E96">
      <w:pPr>
        <w:pStyle w:val="ListParagraph"/>
        <w:numPr>
          <w:ilvl w:val="0"/>
          <w:numId w:val="503"/>
        </w:numPr>
        <w:spacing w:after="0" w:line="240" w:lineRule="auto"/>
        <w:jc w:val="both"/>
      </w:pPr>
      <w:r w:rsidRPr="00221AAE">
        <w:t xml:space="preserve">provision of, or upgrades to, bicycle </w:t>
      </w:r>
      <w:proofErr w:type="gramStart"/>
      <w:r w:rsidRPr="00221AAE">
        <w:t>networks;</w:t>
      </w:r>
      <w:proofErr w:type="gramEnd"/>
      <w:r w:rsidRPr="00221AAE">
        <w:t xml:space="preserve"> </w:t>
      </w:r>
    </w:p>
    <w:p w14:paraId="55ADE590" w14:textId="77777777" w:rsidR="00164C01" w:rsidRPr="00221AAE" w:rsidRDefault="00164C01" w:rsidP="00303E96">
      <w:pPr>
        <w:pStyle w:val="ListParagraph"/>
        <w:numPr>
          <w:ilvl w:val="0"/>
          <w:numId w:val="503"/>
        </w:numPr>
        <w:spacing w:after="0" w:line="240" w:lineRule="auto"/>
        <w:jc w:val="both"/>
      </w:pPr>
      <w:r w:rsidRPr="00221AAE">
        <w:t xml:space="preserve">traffic calming </w:t>
      </w:r>
      <w:proofErr w:type="gramStart"/>
      <w:r w:rsidRPr="00221AAE">
        <w:t>measures;</w:t>
      </w:r>
      <w:proofErr w:type="gramEnd"/>
      <w:r w:rsidRPr="00221AAE">
        <w:t xml:space="preserve"> </w:t>
      </w:r>
    </w:p>
    <w:p w14:paraId="0B4CB94E" w14:textId="77777777" w:rsidR="00164C01" w:rsidRPr="00221AAE" w:rsidRDefault="00164C01" w:rsidP="00303E96">
      <w:pPr>
        <w:pStyle w:val="ListParagraph"/>
        <w:numPr>
          <w:ilvl w:val="0"/>
          <w:numId w:val="503"/>
        </w:numPr>
        <w:spacing w:after="0" w:line="240" w:lineRule="auto"/>
        <w:jc w:val="both"/>
      </w:pPr>
      <w:r w:rsidRPr="00221AAE">
        <w:t xml:space="preserve">bicycle parking </w:t>
      </w:r>
      <w:r>
        <w:t xml:space="preserve">and other </w:t>
      </w:r>
      <w:r w:rsidRPr="00221AAE">
        <w:t>end-of-trip facilities</w:t>
      </w:r>
      <w:r>
        <w:t>.</w:t>
      </w:r>
    </w:p>
    <w:p w14:paraId="196D9FB5" w14:textId="77777777" w:rsidR="00164C01" w:rsidRPr="002137A5" w:rsidRDefault="00164C01" w:rsidP="00303E96">
      <w:pPr>
        <w:pStyle w:val="ListParagraph"/>
        <w:numPr>
          <w:ilvl w:val="0"/>
          <w:numId w:val="504"/>
        </w:numPr>
        <w:spacing w:after="0" w:line="240" w:lineRule="auto"/>
        <w:jc w:val="both"/>
      </w:pPr>
      <w:r w:rsidRPr="00221AAE">
        <w:t>Provision and maintenance of ancillary or incidental infrastructure including:</w:t>
      </w:r>
    </w:p>
    <w:p w14:paraId="1D94A957" w14:textId="77777777" w:rsidR="00164C01" w:rsidRDefault="00164C01" w:rsidP="00303E96">
      <w:pPr>
        <w:pStyle w:val="ListParagraph"/>
        <w:numPr>
          <w:ilvl w:val="0"/>
          <w:numId w:val="505"/>
        </w:numPr>
        <w:spacing w:after="0" w:line="240" w:lineRule="auto"/>
        <w:jc w:val="both"/>
      </w:pPr>
      <w:r w:rsidRPr="002137A5">
        <w:t xml:space="preserve">street </w:t>
      </w:r>
      <w:proofErr w:type="gramStart"/>
      <w:r w:rsidRPr="002137A5">
        <w:t>furniture;</w:t>
      </w:r>
      <w:proofErr w:type="gramEnd"/>
      <w:r w:rsidRPr="002137A5">
        <w:t xml:space="preserve"> </w:t>
      </w:r>
    </w:p>
    <w:p w14:paraId="6B312620" w14:textId="77777777" w:rsidR="00164C01" w:rsidRPr="002137A5" w:rsidRDefault="00164C01" w:rsidP="00303E96">
      <w:pPr>
        <w:pStyle w:val="ListParagraph"/>
        <w:numPr>
          <w:ilvl w:val="0"/>
          <w:numId w:val="505"/>
        </w:numPr>
        <w:spacing w:after="0" w:line="240" w:lineRule="auto"/>
        <w:jc w:val="both"/>
      </w:pPr>
      <w:r>
        <w:t>p</w:t>
      </w:r>
      <w:r w:rsidRPr="002137A5">
        <w:t xml:space="preserve">ublic </w:t>
      </w:r>
      <w:proofErr w:type="gramStart"/>
      <w:r w:rsidRPr="002137A5">
        <w:t>art</w:t>
      </w:r>
      <w:r>
        <w:t>;</w:t>
      </w:r>
      <w:proofErr w:type="gramEnd"/>
    </w:p>
    <w:p w14:paraId="57908A51" w14:textId="77777777" w:rsidR="00164C01" w:rsidRPr="002137A5" w:rsidRDefault="00164C01" w:rsidP="00303E96">
      <w:pPr>
        <w:pStyle w:val="ListParagraph"/>
        <w:numPr>
          <w:ilvl w:val="0"/>
          <w:numId w:val="505"/>
        </w:numPr>
        <w:spacing w:after="0" w:line="240" w:lineRule="auto"/>
        <w:jc w:val="both"/>
      </w:pPr>
      <w:r w:rsidRPr="002137A5">
        <w:t>street trees</w:t>
      </w:r>
      <w:r>
        <w:t xml:space="preserve"> and </w:t>
      </w:r>
      <w:proofErr w:type="gramStart"/>
      <w:r>
        <w:t>planting</w:t>
      </w:r>
      <w:r w:rsidRPr="002137A5">
        <w:t>;</w:t>
      </w:r>
      <w:proofErr w:type="gramEnd"/>
      <w:r w:rsidRPr="002137A5">
        <w:t xml:space="preserve"> </w:t>
      </w:r>
    </w:p>
    <w:p w14:paraId="5F172675" w14:textId="77777777" w:rsidR="00164C01" w:rsidRPr="002137A5" w:rsidRDefault="00164C01" w:rsidP="00303E96">
      <w:pPr>
        <w:pStyle w:val="ListParagraph"/>
        <w:numPr>
          <w:ilvl w:val="0"/>
          <w:numId w:val="505"/>
        </w:numPr>
        <w:spacing w:after="0" w:line="240" w:lineRule="auto"/>
        <w:jc w:val="both"/>
      </w:pPr>
      <w:r w:rsidRPr="002137A5">
        <w:t xml:space="preserve">street </w:t>
      </w:r>
      <w:proofErr w:type="gramStart"/>
      <w:r w:rsidRPr="002137A5">
        <w:t>lighting;</w:t>
      </w:r>
      <w:proofErr w:type="gramEnd"/>
      <w:r w:rsidRPr="002137A5">
        <w:t xml:space="preserve"> </w:t>
      </w:r>
    </w:p>
    <w:p w14:paraId="162B38F6" w14:textId="77777777" w:rsidR="00164C01" w:rsidRDefault="00164C01" w:rsidP="00303E96">
      <w:pPr>
        <w:pStyle w:val="ListParagraph"/>
        <w:numPr>
          <w:ilvl w:val="0"/>
          <w:numId w:val="505"/>
        </w:numPr>
        <w:spacing w:after="0" w:line="240" w:lineRule="auto"/>
        <w:jc w:val="both"/>
      </w:pPr>
      <w:r w:rsidRPr="002137A5">
        <w:t>CCTV</w:t>
      </w:r>
      <w:r>
        <w:t xml:space="preserve"> </w:t>
      </w:r>
      <w:r w:rsidRPr="00221AAE">
        <w:t>and other security measures</w:t>
      </w:r>
      <w:r>
        <w:t>.</w:t>
      </w:r>
    </w:p>
    <w:p w14:paraId="133502C5" w14:textId="77777777" w:rsidR="00164C01" w:rsidRDefault="00164C01" w:rsidP="00303E96">
      <w:pPr>
        <w:pStyle w:val="ListParagraph"/>
        <w:numPr>
          <w:ilvl w:val="0"/>
          <w:numId w:val="491"/>
        </w:numPr>
        <w:spacing w:after="0" w:line="240" w:lineRule="auto"/>
        <w:jc w:val="both"/>
      </w:pPr>
      <w:r>
        <w:t>Measures to restrict parking time limits.</w:t>
      </w:r>
    </w:p>
    <w:p w14:paraId="73B80B64" w14:textId="77777777" w:rsidR="00164C01" w:rsidRDefault="00164C01" w:rsidP="00303E96">
      <w:pPr>
        <w:pStyle w:val="ListParagraph"/>
        <w:numPr>
          <w:ilvl w:val="0"/>
          <w:numId w:val="491"/>
        </w:numPr>
        <w:spacing w:after="0" w:line="240" w:lineRule="auto"/>
        <w:jc w:val="both"/>
      </w:pPr>
      <w:r>
        <w:t>T</w:t>
      </w:r>
      <w:r w:rsidRPr="00221AAE">
        <w:t>echnology to increase efficiency and turnover of bays, parking meters or payment machines</w:t>
      </w:r>
      <w:r>
        <w:t>.</w:t>
      </w:r>
    </w:p>
    <w:p w14:paraId="7699F4A2" w14:textId="77777777" w:rsidR="00164C01" w:rsidRDefault="00164C01" w:rsidP="00303E96">
      <w:pPr>
        <w:pStyle w:val="ListParagraph"/>
        <w:numPr>
          <w:ilvl w:val="0"/>
          <w:numId w:val="491"/>
        </w:numPr>
        <w:spacing w:after="0" w:line="240" w:lineRule="auto"/>
        <w:jc w:val="both"/>
      </w:pPr>
      <w:r w:rsidRPr="00221AAE">
        <w:t xml:space="preserve">Electric </w:t>
      </w:r>
      <w:r>
        <w:t xml:space="preserve">vehicle </w:t>
      </w:r>
      <w:r w:rsidRPr="00221AAE">
        <w:t>charging facilities</w:t>
      </w:r>
      <w:r>
        <w:t>.</w:t>
      </w:r>
      <w:r w:rsidRPr="00E95622">
        <w:t xml:space="preserve"> </w:t>
      </w:r>
    </w:p>
    <w:p w14:paraId="0B4AEE0E" w14:textId="77777777" w:rsidR="00164C01" w:rsidRDefault="00164C01" w:rsidP="00303E96">
      <w:pPr>
        <w:pStyle w:val="ListParagraph"/>
        <w:numPr>
          <w:ilvl w:val="0"/>
          <w:numId w:val="491"/>
        </w:numPr>
        <w:spacing w:after="0" w:line="240" w:lineRule="auto"/>
        <w:jc w:val="both"/>
      </w:pPr>
      <w:r>
        <w:t>T</w:t>
      </w:r>
      <w:r w:rsidRPr="002137A5">
        <w:t>axi or ride share pick-up bays</w:t>
      </w:r>
      <w:r>
        <w:t>.</w:t>
      </w:r>
      <w:r w:rsidRPr="002137A5">
        <w:t xml:space="preserve"> </w:t>
      </w:r>
    </w:p>
    <w:p w14:paraId="549B44A9" w14:textId="77777777" w:rsidR="00164C01" w:rsidRDefault="00164C01" w:rsidP="00303E96">
      <w:pPr>
        <w:pStyle w:val="ListParagraph"/>
        <w:numPr>
          <w:ilvl w:val="0"/>
          <w:numId w:val="491"/>
        </w:numPr>
        <w:spacing w:after="0" w:line="240" w:lineRule="auto"/>
        <w:jc w:val="both"/>
      </w:pPr>
      <w:r>
        <w:t>S</w:t>
      </w:r>
      <w:r w:rsidRPr="00221AAE">
        <w:t>ignage and wayfinding</w:t>
      </w:r>
      <w:r>
        <w:t>, including to underutilised parking.</w:t>
      </w:r>
    </w:p>
    <w:p w14:paraId="63A5DC5D" w14:textId="77777777" w:rsidR="00164C01" w:rsidRDefault="00164C01" w:rsidP="00303E96">
      <w:pPr>
        <w:pStyle w:val="ListParagraph"/>
        <w:numPr>
          <w:ilvl w:val="0"/>
          <w:numId w:val="491"/>
        </w:numPr>
        <w:spacing w:after="0" w:line="240" w:lineRule="auto"/>
        <w:jc w:val="both"/>
      </w:pPr>
      <w:r>
        <w:t>L</w:t>
      </w:r>
      <w:r w:rsidRPr="00472326">
        <w:t>oading zones</w:t>
      </w:r>
      <w:r>
        <w:t xml:space="preserve"> and </w:t>
      </w:r>
      <w:r w:rsidRPr="00472326">
        <w:t>ACROD bays</w:t>
      </w:r>
      <w:r>
        <w:t>.</w:t>
      </w:r>
    </w:p>
    <w:bookmarkEnd w:id="530"/>
    <w:bookmarkEnd w:id="531"/>
    <w:p w14:paraId="423ECE17" w14:textId="77777777" w:rsidR="00164C01" w:rsidRPr="00164C01" w:rsidRDefault="00164C01" w:rsidP="006F6DAD">
      <w:pPr>
        <w:pStyle w:val="Heading1"/>
        <w:spacing w:before="240"/>
        <w:rPr>
          <w:w w:val="110"/>
          <w:sz w:val="22"/>
          <w:szCs w:val="22"/>
        </w:rPr>
      </w:pPr>
      <w:r w:rsidRPr="00164C01">
        <w:rPr>
          <w:w w:val="110"/>
          <w:sz w:val="22"/>
          <w:szCs w:val="22"/>
        </w:rPr>
        <w:t>Other information required by the WAPC</w:t>
      </w:r>
    </w:p>
    <w:p w14:paraId="7E752497" w14:textId="77777777" w:rsidR="00164C01" w:rsidRDefault="00164C01" w:rsidP="00164C01">
      <w:pPr>
        <w:spacing w:after="0"/>
      </w:pPr>
      <w:r>
        <w:t>No further information has been required by the WAPC.</w:t>
      </w:r>
    </w:p>
    <w:p w14:paraId="60268CC8" w14:textId="77777777" w:rsidR="00164C01" w:rsidRPr="00164C01" w:rsidRDefault="00164C01" w:rsidP="00164C01">
      <w:pPr>
        <w:pStyle w:val="Heading1"/>
        <w:spacing w:before="360"/>
        <w:rPr>
          <w:w w:val="110"/>
          <w:sz w:val="22"/>
          <w:szCs w:val="22"/>
        </w:rPr>
      </w:pPr>
      <w:r w:rsidRPr="00164C01">
        <w:rPr>
          <w:w w:val="110"/>
          <w:sz w:val="22"/>
          <w:szCs w:val="22"/>
        </w:rPr>
        <w:t>Operation</w:t>
      </w:r>
    </w:p>
    <w:p w14:paraId="41F3BCE2" w14:textId="77777777" w:rsidR="00164C01" w:rsidRPr="00164C01" w:rsidRDefault="00164C01" w:rsidP="00164C01">
      <w:pPr>
        <w:pStyle w:val="Heading2"/>
        <w:rPr>
          <w:w w:val="110"/>
          <w:sz w:val="22"/>
          <w:szCs w:val="22"/>
        </w:rPr>
      </w:pPr>
      <w:r w:rsidRPr="00164C01">
        <w:rPr>
          <w:w w:val="110"/>
          <w:sz w:val="22"/>
          <w:szCs w:val="22"/>
        </w:rPr>
        <w:t>7.1</w:t>
      </w:r>
      <w:r w:rsidRPr="00164C01">
        <w:rPr>
          <w:w w:val="110"/>
          <w:sz w:val="22"/>
          <w:szCs w:val="22"/>
        </w:rPr>
        <w:tab/>
        <w:t>Operational</w:t>
      </w:r>
      <w:r w:rsidRPr="00164C01">
        <w:rPr>
          <w:spacing w:val="-12"/>
          <w:w w:val="110"/>
          <w:sz w:val="22"/>
          <w:szCs w:val="22"/>
        </w:rPr>
        <w:t xml:space="preserve"> </w:t>
      </w:r>
      <w:r w:rsidRPr="00164C01">
        <w:rPr>
          <w:w w:val="110"/>
          <w:sz w:val="22"/>
          <w:szCs w:val="22"/>
        </w:rPr>
        <w:t>requirements</w:t>
      </w:r>
    </w:p>
    <w:p w14:paraId="3EA1F6FA" w14:textId="77777777" w:rsidR="00164C01" w:rsidRPr="0098443E" w:rsidRDefault="00164C01" w:rsidP="00164C01">
      <w:pPr>
        <w:rPr>
          <w:i/>
          <w:iCs/>
          <w:w w:val="105"/>
        </w:rPr>
      </w:pPr>
      <w:r w:rsidRPr="0098443E">
        <w:rPr>
          <w:w w:val="105"/>
        </w:rPr>
        <w:t xml:space="preserve">The Plan shall operate in accordance with Part 9A of the </w:t>
      </w:r>
      <w:r w:rsidRPr="0098443E">
        <w:rPr>
          <w:i/>
          <w:iCs/>
          <w:w w:val="105"/>
        </w:rPr>
        <w:t>Regulations.</w:t>
      </w:r>
    </w:p>
    <w:p w14:paraId="402C0303" w14:textId="77777777" w:rsidR="00164C01" w:rsidRPr="00164C01" w:rsidRDefault="00164C01" w:rsidP="00164C01">
      <w:pPr>
        <w:pStyle w:val="Heading2"/>
        <w:rPr>
          <w:w w:val="110"/>
          <w:sz w:val="22"/>
          <w:szCs w:val="22"/>
        </w:rPr>
      </w:pPr>
      <w:r w:rsidRPr="00164C01">
        <w:rPr>
          <w:spacing w:val="-3"/>
          <w:w w:val="110"/>
          <w:sz w:val="22"/>
          <w:szCs w:val="22"/>
        </w:rPr>
        <w:t>7.2</w:t>
      </w:r>
      <w:r w:rsidRPr="00164C01">
        <w:rPr>
          <w:spacing w:val="-3"/>
          <w:w w:val="110"/>
          <w:sz w:val="22"/>
          <w:szCs w:val="22"/>
        </w:rPr>
        <w:tab/>
        <w:t>Triggers</w:t>
      </w:r>
      <w:r w:rsidRPr="00164C01">
        <w:rPr>
          <w:spacing w:val="-12"/>
          <w:w w:val="110"/>
          <w:sz w:val="22"/>
          <w:szCs w:val="22"/>
        </w:rPr>
        <w:t xml:space="preserve"> </w:t>
      </w:r>
      <w:r w:rsidRPr="00164C01">
        <w:rPr>
          <w:w w:val="110"/>
          <w:sz w:val="22"/>
          <w:szCs w:val="22"/>
        </w:rPr>
        <w:t>for</w:t>
      </w:r>
      <w:r w:rsidRPr="00164C01">
        <w:rPr>
          <w:spacing w:val="-11"/>
          <w:w w:val="110"/>
          <w:sz w:val="22"/>
          <w:szCs w:val="22"/>
        </w:rPr>
        <w:t xml:space="preserve"> </w:t>
      </w:r>
      <w:r w:rsidRPr="00164C01">
        <w:rPr>
          <w:w w:val="110"/>
          <w:sz w:val="22"/>
          <w:szCs w:val="22"/>
        </w:rPr>
        <w:t>payments</w:t>
      </w:r>
      <w:r w:rsidRPr="00164C01">
        <w:rPr>
          <w:spacing w:val="-12"/>
          <w:w w:val="110"/>
          <w:sz w:val="22"/>
          <w:szCs w:val="22"/>
        </w:rPr>
        <w:t xml:space="preserve"> </w:t>
      </w:r>
      <w:r w:rsidRPr="00164C01">
        <w:rPr>
          <w:w w:val="110"/>
          <w:sz w:val="22"/>
          <w:szCs w:val="22"/>
        </w:rPr>
        <w:t>to</w:t>
      </w:r>
      <w:r w:rsidRPr="00164C01">
        <w:rPr>
          <w:spacing w:val="-11"/>
          <w:w w:val="110"/>
          <w:sz w:val="22"/>
          <w:szCs w:val="22"/>
        </w:rPr>
        <w:t xml:space="preserve"> </w:t>
      </w:r>
      <w:r w:rsidRPr="00164C01">
        <w:rPr>
          <w:w w:val="110"/>
          <w:sz w:val="22"/>
          <w:szCs w:val="22"/>
        </w:rPr>
        <w:t>be</w:t>
      </w:r>
      <w:r w:rsidRPr="00164C01">
        <w:rPr>
          <w:spacing w:val="-12"/>
          <w:w w:val="110"/>
          <w:sz w:val="22"/>
          <w:szCs w:val="22"/>
        </w:rPr>
        <w:t xml:space="preserve"> </w:t>
      </w:r>
      <w:r w:rsidRPr="00164C01">
        <w:rPr>
          <w:w w:val="110"/>
          <w:sz w:val="22"/>
          <w:szCs w:val="22"/>
        </w:rPr>
        <w:t>made</w:t>
      </w:r>
    </w:p>
    <w:p w14:paraId="737C643A" w14:textId="77777777" w:rsidR="00164C01" w:rsidRDefault="00164C01" w:rsidP="00164C01">
      <w:pPr>
        <w:kinsoku w:val="0"/>
        <w:overflowPunct w:val="0"/>
        <w:autoSpaceDE w:val="0"/>
        <w:autoSpaceDN w:val="0"/>
        <w:adjustRightInd w:val="0"/>
        <w:spacing w:line="254" w:lineRule="auto"/>
        <w:ind w:right="374"/>
        <w:rPr>
          <w:rFonts w:cstheme="minorHAnsi"/>
          <w:w w:val="105"/>
        </w:rPr>
      </w:pPr>
      <w:r w:rsidRPr="0098443E">
        <w:rPr>
          <w:rFonts w:cstheme="minorHAnsi"/>
          <w:w w:val="105"/>
        </w:rPr>
        <w:t xml:space="preserve">Payment of money shall be made to the </w:t>
      </w:r>
      <w:r>
        <w:rPr>
          <w:rFonts w:cstheme="minorHAnsi"/>
          <w:w w:val="105"/>
        </w:rPr>
        <w:t>Town</w:t>
      </w:r>
      <w:r w:rsidRPr="0098443E">
        <w:rPr>
          <w:rFonts w:cstheme="minorHAnsi"/>
          <w:w w:val="105"/>
        </w:rPr>
        <w:t xml:space="preserve"> to satisfy a payment in lieu of car parking condition validly applied to a development approval for</w:t>
      </w:r>
      <w:r>
        <w:rPr>
          <w:rFonts w:cstheme="minorHAnsi"/>
          <w:w w:val="105"/>
        </w:rPr>
        <w:t xml:space="preserve"> </w:t>
      </w:r>
      <w:r w:rsidRPr="0098443E">
        <w:rPr>
          <w:rFonts w:cstheme="minorHAnsi"/>
          <w:w w:val="105"/>
        </w:rPr>
        <w:t xml:space="preserve">development located in the area subject to the Plan. The payment in lieu of car parking condition applied to the development approval shall specify when the </w:t>
      </w:r>
      <w:r>
        <w:rPr>
          <w:rFonts w:cstheme="minorHAnsi"/>
          <w:w w:val="105"/>
        </w:rPr>
        <w:t>Town</w:t>
      </w:r>
      <w:r w:rsidRPr="0098443E">
        <w:rPr>
          <w:rFonts w:cstheme="minorHAnsi"/>
          <w:w w:val="105"/>
        </w:rPr>
        <w:t xml:space="preserve"> requires payment of monies to be made</w:t>
      </w:r>
      <w:r>
        <w:rPr>
          <w:rFonts w:cstheme="minorHAnsi"/>
          <w:w w:val="105"/>
        </w:rPr>
        <w:t>. This is expected to be prior to the submission of a Building Permit, in accordance with the following draft condition:</w:t>
      </w:r>
    </w:p>
    <w:p w14:paraId="45F16074" w14:textId="77777777" w:rsidR="00164C01" w:rsidRPr="00D731A9" w:rsidRDefault="00164C01" w:rsidP="00164C01">
      <w:pPr>
        <w:pStyle w:val="Pa6"/>
        <w:ind w:left="170"/>
        <w:rPr>
          <w:rFonts w:asciiTheme="minorHAnsi" w:hAnsiTheme="minorHAnsi" w:cstheme="minorHAnsi"/>
          <w:b/>
          <w:bCs/>
          <w:sz w:val="22"/>
          <w:szCs w:val="22"/>
        </w:rPr>
      </w:pPr>
      <w:r w:rsidRPr="00D731A9">
        <w:rPr>
          <w:rFonts w:asciiTheme="minorHAnsi" w:hAnsiTheme="minorHAnsi" w:cstheme="minorHAnsi"/>
          <w:b/>
          <w:bCs/>
          <w:sz w:val="22"/>
          <w:szCs w:val="22"/>
        </w:rPr>
        <w:t xml:space="preserve">Draft Condition: </w:t>
      </w:r>
    </w:p>
    <w:p w14:paraId="580E1FCD" w14:textId="77777777" w:rsidR="00164C01" w:rsidRPr="00CD0EE5" w:rsidRDefault="00164C01" w:rsidP="00164C01">
      <w:pPr>
        <w:pStyle w:val="Pa6"/>
        <w:ind w:left="170"/>
        <w:rPr>
          <w:rFonts w:asciiTheme="minorHAnsi" w:hAnsiTheme="minorHAnsi" w:cstheme="minorHAnsi"/>
          <w:sz w:val="22"/>
          <w:szCs w:val="22"/>
        </w:rPr>
      </w:pPr>
      <w:r w:rsidRPr="00CD0EE5">
        <w:rPr>
          <w:rFonts w:asciiTheme="minorHAnsi" w:hAnsiTheme="minorHAnsi" w:cstheme="minorHAnsi"/>
          <w:sz w:val="22"/>
          <w:szCs w:val="22"/>
        </w:rPr>
        <w:t xml:space="preserve">Prior to the </w:t>
      </w:r>
      <w:r>
        <w:rPr>
          <w:rFonts w:asciiTheme="minorHAnsi" w:hAnsiTheme="minorHAnsi" w:cstheme="minorHAnsi"/>
          <w:sz w:val="22"/>
          <w:szCs w:val="22"/>
        </w:rPr>
        <w:t>submission of a Building Permit for the development</w:t>
      </w:r>
      <w:r w:rsidRPr="00CD0EE5">
        <w:rPr>
          <w:rFonts w:asciiTheme="minorHAnsi" w:hAnsiTheme="minorHAnsi" w:cstheme="minorHAnsi"/>
          <w:sz w:val="22"/>
          <w:szCs w:val="22"/>
        </w:rPr>
        <w:t>, payment of $</w:t>
      </w:r>
      <w:r w:rsidRPr="00CD0EE5">
        <w:rPr>
          <w:rFonts w:asciiTheme="minorHAnsi" w:hAnsiTheme="minorHAnsi" w:cstheme="minorHAnsi"/>
          <w:i/>
          <w:iCs/>
          <w:sz w:val="22"/>
          <w:szCs w:val="22"/>
        </w:rPr>
        <w:t xml:space="preserve">&lt;insert total amount&gt; </w:t>
      </w:r>
      <w:r w:rsidRPr="00CD0EE5">
        <w:rPr>
          <w:rFonts w:asciiTheme="minorHAnsi" w:hAnsiTheme="minorHAnsi" w:cstheme="minorHAnsi"/>
          <w:sz w:val="22"/>
          <w:szCs w:val="22"/>
        </w:rPr>
        <w:t>shall be made to the Town</w:t>
      </w:r>
      <w:r>
        <w:rPr>
          <w:rFonts w:asciiTheme="minorHAnsi" w:hAnsiTheme="minorHAnsi" w:cstheme="minorHAnsi"/>
          <w:sz w:val="22"/>
          <w:szCs w:val="22"/>
        </w:rPr>
        <w:t xml:space="preserve"> of East Fremantle</w:t>
      </w:r>
      <w:r w:rsidRPr="00CD0EE5">
        <w:rPr>
          <w:rFonts w:asciiTheme="minorHAnsi" w:hAnsiTheme="minorHAnsi" w:cstheme="minorHAnsi"/>
          <w:i/>
          <w:iCs/>
          <w:sz w:val="22"/>
          <w:szCs w:val="22"/>
        </w:rPr>
        <w:t xml:space="preserve"> </w:t>
      </w:r>
      <w:r w:rsidRPr="00CD0EE5">
        <w:rPr>
          <w:rFonts w:asciiTheme="minorHAnsi" w:hAnsiTheme="minorHAnsi" w:cstheme="minorHAnsi"/>
          <w:sz w:val="22"/>
          <w:szCs w:val="22"/>
        </w:rPr>
        <w:t xml:space="preserve">for Payment in Lieu of </w:t>
      </w:r>
      <w:r w:rsidRPr="00CD0EE5">
        <w:rPr>
          <w:rFonts w:asciiTheme="minorHAnsi" w:hAnsiTheme="minorHAnsi" w:cstheme="minorHAnsi"/>
          <w:i/>
          <w:iCs/>
          <w:sz w:val="22"/>
          <w:szCs w:val="22"/>
        </w:rPr>
        <w:t xml:space="preserve">&lt;insert number of car </w:t>
      </w:r>
      <w:r w:rsidRPr="00CD0EE5">
        <w:rPr>
          <w:rFonts w:asciiTheme="minorHAnsi" w:hAnsiTheme="minorHAnsi" w:cstheme="minorHAnsi"/>
          <w:i/>
          <w:iCs/>
          <w:sz w:val="22"/>
          <w:szCs w:val="22"/>
        </w:rPr>
        <w:lastRenderedPageBreak/>
        <w:t xml:space="preserve">parking bays&gt; </w:t>
      </w:r>
      <w:r w:rsidRPr="00CD0EE5">
        <w:rPr>
          <w:rFonts w:asciiTheme="minorHAnsi" w:hAnsiTheme="minorHAnsi" w:cstheme="minorHAnsi"/>
          <w:sz w:val="22"/>
          <w:szCs w:val="22"/>
        </w:rPr>
        <w:t xml:space="preserve">car parking bays which have not been provided on site or in a shared parking arrangement. This condition has been imposed under the requirements of the Town of East Fremantle LPP XXX - Payment in Lieu of Parking Plan and Schedule 2, clause 77H of the </w:t>
      </w:r>
      <w:r w:rsidRPr="00CD0EE5">
        <w:rPr>
          <w:rFonts w:asciiTheme="minorHAnsi" w:hAnsiTheme="minorHAnsi" w:cstheme="minorHAnsi"/>
          <w:i/>
          <w:iCs/>
          <w:sz w:val="22"/>
          <w:szCs w:val="22"/>
        </w:rPr>
        <w:t>Planning and Development (Local Planning Schemes) Regulations 2015</w:t>
      </w:r>
      <w:r w:rsidRPr="00CD0EE5">
        <w:rPr>
          <w:rFonts w:asciiTheme="minorHAnsi" w:hAnsiTheme="minorHAnsi" w:cstheme="minorHAnsi"/>
          <w:sz w:val="22"/>
          <w:szCs w:val="22"/>
        </w:rPr>
        <w:t xml:space="preserve">. </w:t>
      </w:r>
    </w:p>
    <w:p w14:paraId="30E6D743" w14:textId="77777777" w:rsidR="00164C01" w:rsidRDefault="00164C01" w:rsidP="00164C01">
      <w:pPr>
        <w:kinsoku w:val="0"/>
        <w:overflowPunct w:val="0"/>
        <w:autoSpaceDE w:val="0"/>
        <w:autoSpaceDN w:val="0"/>
        <w:adjustRightInd w:val="0"/>
        <w:spacing w:line="254" w:lineRule="auto"/>
        <w:ind w:left="170" w:right="374"/>
        <w:rPr>
          <w:rFonts w:cstheme="minorHAnsi"/>
          <w:b/>
          <w:bCs/>
        </w:rPr>
      </w:pPr>
    </w:p>
    <w:p w14:paraId="22DCEC60" w14:textId="77777777" w:rsidR="00164C01" w:rsidRDefault="00164C01" w:rsidP="00164C01">
      <w:pPr>
        <w:kinsoku w:val="0"/>
        <w:overflowPunct w:val="0"/>
        <w:autoSpaceDE w:val="0"/>
        <w:autoSpaceDN w:val="0"/>
        <w:adjustRightInd w:val="0"/>
        <w:spacing w:line="254" w:lineRule="auto"/>
        <w:ind w:right="374"/>
        <w:rPr>
          <w:rFonts w:cstheme="minorHAnsi"/>
          <w:w w:val="105"/>
        </w:rPr>
      </w:pPr>
      <w:r>
        <w:rPr>
          <w:rFonts w:cstheme="minorHAnsi"/>
          <w:w w:val="105"/>
        </w:rPr>
        <w:t xml:space="preserve">Prior to the granting of development approval and imposing a condition for payment in lieu of parking, the Town will give the applicant a notice of apportionment (similar to the one as shown as </w:t>
      </w:r>
      <w:r w:rsidRPr="00195F7A">
        <w:rPr>
          <w:rFonts w:cstheme="minorHAnsi"/>
          <w:b/>
          <w:bCs/>
          <w:w w:val="105"/>
        </w:rPr>
        <w:t xml:space="preserve">Attachment </w:t>
      </w:r>
      <w:r>
        <w:rPr>
          <w:rFonts w:cstheme="minorHAnsi"/>
          <w:b/>
          <w:bCs/>
          <w:w w:val="105"/>
        </w:rPr>
        <w:t>3</w:t>
      </w:r>
      <w:r>
        <w:rPr>
          <w:rFonts w:cstheme="minorHAnsi"/>
          <w:w w:val="105"/>
        </w:rPr>
        <w:t xml:space="preserve">) in accordance with clause 77F(1)(b) to confirm the specified shortfall of car parking spaces in the proposed development that is to be dealt with by the condition. </w:t>
      </w:r>
    </w:p>
    <w:p w14:paraId="08060B70" w14:textId="77777777" w:rsidR="00164C01" w:rsidRPr="00164C01" w:rsidRDefault="00164C01" w:rsidP="00164C01">
      <w:pPr>
        <w:pStyle w:val="Heading2"/>
        <w:rPr>
          <w:w w:val="110"/>
          <w:sz w:val="22"/>
          <w:szCs w:val="22"/>
        </w:rPr>
      </w:pPr>
      <w:bookmarkStart w:id="532" w:name="_Hlk119415311"/>
      <w:bookmarkStart w:id="533" w:name="_Hlk119417236"/>
      <w:r w:rsidRPr="00164C01">
        <w:rPr>
          <w:w w:val="110"/>
          <w:sz w:val="22"/>
          <w:szCs w:val="22"/>
        </w:rPr>
        <w:t xml:space="preserve">7.3 </w:t>
      </w:r>
      <w:r w:rsidRPr="00164C01">
        <w:rPr>
          <w:w w:val="110"/>
          <w:sz w:val="22"/>
          <w:szCs w:val="22"/>
        </w:rPr>
        <w:tab/>
        <w:t>Decision-making on Development Applications using this Plan</w:t>
      </w:r>
    </w:p>
    <w:bookmarkEnd w:id="532"/>
    <w:p w14:paraId="6AF1849A" w14:textId="77777777" w:rsidR="00164C01" w:rsidRPr="00F81B2A" w:rsidRDefault="00164C01" w:rsidP="00164C01">
      <w:pPr>
        <w:rPr>
          <w:lang w:val="en-US"/>
        </w:rPr>
      </w:pPr>
      <w:r w:rsidRPr="00F81B2A">
        <w:rPr>
          <w:lang w:val="en-US"/>
        </w:rPr>
        <w:t xml:space="preserve">Decision makers are to have due regard to this Plan when making decisions on development applications that seek or require consideration of Payment in Lieu of Car Parking under the Plan. </w:t>
      </w:r>
    </w:p>
    <w:p w14:paraId="125A6114" w14:textId="77777777" w:rsidR="00164C01" w:rsidRDefault="00164C01" w:rsidP="00164C01">
      <w:pPr>
        <w:rPr>
          <w:lang w:val="en-US"/>
        </w:rPr>
      </w:pPr>
      <w:r w:rsidRPr="002E64C8">
        <w:rPr>
          <w:lang w:val="en-US"/>
        </w:rPr>
        <w:t>Payment</w:t>
      </w:r>
      <w:r>
        <w:rPr>
          <w:lang w:val="en-US"/>
        </w:rPr>
        <w:t xml:space="preserve"> </w:t>
      </w:r>
      <w:r w:rsidRPr="002E64C8">
        <w:rPr>
          <w:lang w:val="en-US"/>
        </w:rPr>
        <w:t>in</w:t>
      </w:r>
      <w:r>
        <w:rPr>
          <w:lang w:val="en-US"/>
        </w:rPr>
        <w:t xml:space="preserve"> </w:t>
      </w:r>
      <w:r w:rsidRPr="002E64C8">
        <w:rPr>
          <w:lang w:val="en-US"/>
        </w:rPr>
        <w:t xml:space="preserve">lieu of parking can provide an alternative to developers </w:t>
      </w:r>
      <w:proofErr w:type="gramStart"/>
      <w:r w:rsidRPr="002E64C8">
        <w:rPr>
          <w:lang w:val="en-US"/>
        </w:rPr>
        <w:t>with regard to</w:t>
      </w:r>
      <w:proofErr w:type="gramEnd"/>
      <w:r w:rsidRPr="002E64C8">
        <w:rPr>
          <w:lang w:val="en-US"/>
        </w:rPr>
        <w:t xml:space="preserve"> parking requirements however, the decision to accept payment</w:t>
      </w:r>
      <w:r>
        <w:rPr>
          <w:lang w:val="en-US"/>
        </w:rPr>
        <w:t xml:space="preserve"> </w:t>
      </w:r>
      <w:r w:rsidRPr="002E64C8">
        <w:rPr>
          <w:lang w:val="en-US"/>
        </w:rPr>
        <w:t>in</w:t>
      </w:r>
      <w:r>
        <w:rPr>
          <w:lang w:val="en-US"/>
        </w:rPr>
        <w:t xml:space="preserve"> l</w:t>
      </w:r>
      <w:r w:rsidRPr="002E64C8">
        <w:rPr>
          <w:lang w:val="en-US"/>
        </w:rPr>
        <w:t xml:space="preserve">ieu remains at the discretion of the </w:t>
      </w:r>
      <w:r>
        <w:rPr>
          <w:lang w:val="en-US"/>
        </w:rPr>
        <w:t>Council</w:t>
      </w:r>
      <w:r w:rsidRPr="002E64C8">
        <w:rPr>
          <w:lang w:val="en-US"/>
        </w:rPr>
        <w:t xml:space="preserve"> and is not an automatic right. </w:t>
      </w:r>
      <w:r w:rsidRPr="00004237">
        <w:rPr>
          <w:lang w:val="en-US"/>
        </w:rPr>
        <w:t>The acceptance of payment</w:t>
      </w:r>
      <w:r>
        <w:rPr>
          <w:lang w:val="en-US"/>
        </w:rPr>
        <w:t xml:space="preserve"> </w:t>
      </w:r>
      <w:r w:rsidRPr="00004237">
        <w:rPr>
          <w:lang w:val="en-US"/>
        </w:rPr>
        <w:t>in</w:t>
      </w:r>
      <w:r>
        <w:rPr>
          <w:lang w:val="en-US"/>
        </w:rPr>
        <w:t xml:space="preserve"> </w:t>
      </w:r>
      <w:r w:rsidRPr="00004237">
        <w:rPr>
          <w:lang w:val="en-US"/>
        </w:rPr>
        <w:t xml:space="preserve">lieu of parking is to be carried out in such a way that it does not relieve owners from any obligation to provide car parking according to </w:t>
      </w:r>
      <w:r>
        <w:rPr>
          <w:lang w:val="en-US"/>
        </w:rPr>
        <w:t>planning</w:t>
      </w:r>
      <w:r w:rsidRPr="00004237">
        <w:rPr>
          <w:lang w:val="en-US"/>
        </w:rPr>
        <w:t xml:space="preserve"> requirements.</w:t>
      </w:r>
      <w:r w:rsidRPr="0024572F">
        <w:rPr>
          <w:lang w:val="en-US"/>
        </w:rPr>
        <w:t xml:space="preserve"> </w:t>
      </w:r>
    </w:p>
    <w:p w14:paraId="4571C27B" w14:textId="77777777" w:rsidR="00164C01" w:rsidRPr="002E64C8" w:rsidRDefault="00164C01" w:rsidP="00164C01">
      <w:r w:rsidRPr="002E64C8">
        <w:t>A broader delivery model, which allows payment</w:t>
      </w:r>
      <w:r>
        <w:t xml:space="preserve"> </w:t>
      </w:r>
      <w:r w:rsidRPr="002E64C8">
        <w:t>in</w:t>
      </w:r>
      <w:r>
        <w:t xml:space="preserve"> </w:t>
      </w:r>
      <w:r w:rsidRPr="002E64C8">
        <w:t>lieu funds to be used to support sustainable public infrastructure, including upgrades to pedestrian, cycling and public transport facilities, can support a more flexible use of payment</w:t>
      </w:r>
      <w:r>
        <w:t xml:space="preserve"> </w:t>
      </w:r>
      <w:r w:rsidRPr="002E64C8">
        <w:t>in</w:t>
      </w:r>
      <w:r>
        <w:t xml:space="preserve"> </w:t>
      </w:r>
      <w:r w:rsidRPr="002E64C8">
        <w:t xml:space="preserve">lieu </w:t>
      </w:r>
      <w:r>
        <w:t xml:space="preserve">of parking </w:t>
      </w:r>
      <w:r w:rsidRPr="002E64C8">
        <w:t>across the Town.</w:t>
      </w:r>
    </w:p>
    <w:p w14:paraId="5A82C2CF" w14:textId="77777777" w:rsidR="00164C01" w:rsidRPr="00535B9F" w:rsidRDefault="00164C01" w:rsidP="00164C01">
      <w:pPr>
        <w:spacing w:after="0"/>
        <w:rPr>
          <w:lang w:val="en-US"/>
        </w:rPr>
      </w:pPr>
      <w:r w:rsidRPr="00535B9F">
        <w:rPr>
          <w:lang w:val="en-US"/>
        </w:rPr>
        <w:t xml:space="preserve">The </w:t>
      </w:r>
      <w:r>
        <w:rPr>
          <w:lang w:val="en-US"/>
        </w:rPr>
        <w:t>Town</w:t>
      </w:r>
      <w:r w:rsidRPr="00535B9F">
        <w:rPr>
          <w:lang w:val="en-US"/>
        </w:rPr>
        <w:t xml:space="preserve"> may accept payment</w:t>
      </w:r>
      <w:r>
        <w:rPr>
          <w:lang w:val="en-US"/>
        </w:rPr>
        <w:t xml:space="preserve"> </w:t>
      </w:r>
      <w:r w:rsidRPr="00535B9F">
        <w:rPr>
          <w:lang w:val="en-US"/>
        </w:rPr>
        <w:t>in</w:t>
      </w:r>
      <w:r>
        <w:rPr>
          <w:lang w:val="en-US"/>
        </w:rPr>
        <w:t xml:space="preserve"> </w:t>
      </w:r>
      <w:r w:rsidRPr="00535B9F">
        <w:rPr>
          <w:lang w:val="en-US"/>
        </w:rPr>
        <w:t>lieu of parking where it is satisfied that:</w:t>
      </w:r>
    </w:p>
    <w:p w14:paraId="65785A29" w14:textId="77777777" w:rsidR="00164C01" w:rsidRPr="00535B9F" w:rsidRDefault="00164C01" w:rsidP="00303E96">
      <w:pPr>
        <w:pStyle w:val="ListParagraph"/>
        <w:numPr>
          <w:ilvl w:val="0"/>
          <w:numId w:val="492"/>
        </w:numPr>
        <w:spacing w:after="0" w:line="240" w:lineRule="auto"/>
        <w:jc w:val="both"/>
        <w:rPr>
          <w:lang w:val="en-US"/>
        </w:rPr>
      </w:pPr>
      <w:r w:rsidRPr="00535B9F">
        <w:rPr>
          <w:lang w:val="en-US"/>
        </w:rPr>
        <w:t xml:space="preserve">Sufficient </w:t>
      </w:r>
      <w:r>
        <w:rPr>
          <w:lang w:val="en-US"/>
        </w:rPr>
        <w:t>public</w:t>
      </w:r>
      <w:r w:rsidRPr="00535B9F">
        <w:rPr>
          <w:lang w:val="en-US"/>
        </w:rPr>
        <w:t xml:space="preserve"> parking is available to serve the development, or that the Town will be able to provide a supply increase in the short term; and/or</w:t>
      </w:r>
    </w:p>
    <w:p w14:paraId="5527C45D" w14:textId="77777777" w:rsidR="00164C01" w:rsidRPr="00535B9F" w:rsidRDefault="00164C01" w:rsidP="00303E96">
      <w:pPr>
        <w:pStyle w:val="ListParagraph"/>
        <w:numPr>
          <w:ilvl w:val="0"/>
          <w:numId w:val="492"/>
        </w:numPr>
        <w:spacing w:after="0" w:line="240" w:lineRule="auto"/>
        <w:jc w:val="both"/>
        <w:rPr>
          <w:lang w:val="en-US"/>
        </w:rPr>
      </w:pPr>
      <w:r w:rsidRPr="00535B9F">
        <w:rPr>
          <w:lang w:val="en-US"/>
        </w:rPr>
        <w:t xml:space="preserve">The applicant satisfactorily demonstrates that the arrangement benefits the wider community through the supply of publicly and equitably managed parking for the use of high-value or highest-need parkers. </w:t>
      </w:r>
    </w:p>
    <w:p w14:paraId="71A50C15" w14:textId="77777777" w:rsidR="00164C01" w:rsidRPr="00535B9F" w:rsidRDefault="00164C01" w:rsidP="00164C01">
      <w:pPr>
        <w:rPr>
          <w:lang w:val="en-US"/>
        </w:rPr>
      </w:pPr>
    </w:p>
    <w:p w14:paraId="63CD7BD6" w14:textId="77777777" w:rsidR="00164C01" w:rsidRPr="00535B9F" w:rsidRDefault="00164C01" w:rsidP="00164C01">
      <w:pPr>
        <w:spacing w:after="0"/>
        <w:rPr>
          <w:lang w:val="en-US"/>
        </w:rPr>
      </w:pPr>
      <w:r w:rsidRPr="00535B9F">
        <w:rPr>
          <w:lang w:val="en-US"/>
        </w:rPr>
        <w:t xml:space="preserve">Factors to be considered by decision makers in </w:t>
      </w:r>
      <w:proofErr w:type="gramStart"/>
      <w:r w:rsidRPr="00535B9F">
        <w:rPr>
          <w:lang w:val="en-US"/>
        </w:rPr>
        <w:t>entering into</w:t>
      </w:r>
      <w:proofErr w:type="gramEnd"/>
      <w:r w:rsidRPr="00535B9F">
        <w:rPr>
          <w:lang w:val="en-US"/>
        </w:rPr>
        <w:t xml:space="preserve"> a payment</w:t>
      </w:r>
      <w:r>
        <w:rPr>
          <w:lang w:val="en-US"/>
        </w:rPr>
        <w:t xml:space="preserve"> </w:t>
      </w:r>
      <w:r w:rsidRPr="00535B9F">
        <w:rPr>
          <w:lang w:val="en-US"/>
        </w:rPr>
        <w:t>in</w:t>
      </w:r>
      <w:r>
        <w:rPr>
          <w:lang w:val="en-US"/>
        </w:rPr>
        <w:t xml:space="preserve"> </w:t>
      </w:r>
      <w:r w:rsidRPr="00535B9F">
        <w:rPr>
          <w:lang w:val="en-US"/>
        </w:rPr>
        <w:t>lieu arrangement include, but are not limited to the following:</w:t>
      </w:r>
    </w:p>
    <w:p w14:paraId="5D14A478" w14:textId="77777777" w:rsidR="00164C01" w:rsidRPr="00535B9F" w:rsidRDefault="00164C01" w:rsidP="00303E96">
      <w:pPr>
        <w:pStyle w:val="ListParagraph"/>
        <w:numPr>
          <w:ilvl w:val="0"/>
          <w:numId w:val="488"/>
        </w:numPr>
        <w:tabs>
          <w:tab w:val="num" w:pos="284"/>
        </w:tabs>
        <w:spacing w:before="120" w:after="120" w:line="264" w:lineRule="auto"/>
        <w:jc w:val="both"/>
        <w:rPr>
          <w:rFonts w:eastAsia="Times New Roman" w:cstheme="minorHAnsi"/>
          <w:lang w:val="en-US" w:eastAsia="en-AU"/>
        </w:rPr>
      </w:pPr>
      <w:r w:rsidRPr="00535B9F">
        <w:rPr>
          <w:rFonts w:eastAsia="Times New Roman" w:cstheme="minorHAnsi"/>
          <w:lang w:val="en-US" w:eastAsia="en-AU"/>
        </w:rPr>
        <w:t xml:space="preserve">Consistency with the objectives of the </w:t>
      </w:r>
      <w:r>
        <w:rPr>
          <w:rFonts w:eastAsia="Times New Roman" w:cstheme="minorHAnsi"/>
          <w:lang w:val="en-US" w:eastAsia="en-AU"/>
        </w:rPr>
        <w:t>Town’s local planning framework and relevant strategic documents.</w:t>
      </w:r>
    </w:p>
    <w:p w14:paraId="7BF686BA" w14:textId="77777777" w:rsidR="00164C01" w:rsidRPr="00535B9F" w:rsidRDefault="00164C01" w:rsidP="00303E96">
      <w:pPr>
        <w:pStyle w:val="ListParagraph"/>
        <w:numPr>
          <w:ilvl w:val="0"/>
          <w:numId w:val="488"/>
        </w:numPr>
        <w:tabs>
          <w:tab w:val="num" w:pos="284"/>
        </w:tabs>
        <w:spacing w:before="120" w:after="120" w:line="264" w:lineRule="auto"/>
        <w:jc w:val="both"/>
        <w:rPr>
          <w:rFonts w:eastAsia="Times New Roman" w:cstheme="minorHAnsi"/>
          <w:lang w:val="en-US" w:eastAsia="en-AU"/>
        </w:rPr>
      </w:pPr>
      <w:r w:rsidRPr="00535B9F">
        <w:rPr>
          <w:rFonts w:eastAsia="Times New Roman" w:cstheme="minorHAnsi"/>
          <w:lang w:val="en-US" w:eastAsia="en-AU"/>
        </w:rPr>
        <w:t>Requirements/concerns of commenting agencies.</w:t>
      </w:r>
    </w:p>
    <w:p w14:paraId="3B9B866E" w14:textId="77777777" w:rsidR="00164C01" w:rsidRPr="00535B9F" w:rsidRDefault="00164C01" w:rsidP="00303E96">
      <w:pPr>
        <w:pStyle w:val="ListParagraph"/>
        <w:numPr>
          <w:ilvl w:val="0"/>
          <w:numId w:val="488"/>
        </w:numPr>
        <w:tabs>
          <w:tab w:val="num" w:pos="284"/>
        </w:tabs>
        <w:spacing w:before="120" w:after="120" w:line="264" w:lineRule="auto"/>
        <w:jc w:val="both"/>
        <w:rPr>
          <w:rFonts w:eastAsia="Times New Roman" w:cstheme="minorHAnsi"/>
          <w:lang w:val="en-US" w:eastAsia="en-AU"/>
        </w:rPr>
      </w:pPr>
      <w:r w:rsidRPr="00535B9F">
        <w:rPr>
          <w:rFonts w:eastAsia="Times New Roman" w:cstheme="minorHAnsi"/>
          <w:lang w:val="en-US" w:eastAsia="en-AU"/>
        </w:rPr>
        <w:t>Whether there is an identified local government interest in providing public parking facilities in the immediate area.</w:t>
      </w:r>
    </w:p>
    <w:p w14:paraId="58810359" w14:textId="77777777" w:rsidR="00164C01" w:rsidRPr="00535B9F" w:rsidRDefault="00164C01" w:rsidP="00303E96">
      <w:pPr>
        <w:pStyle w:val="ListParagraph"/>
        <w:numPr>
          <w:ilvl w:val="0"/>
          <w:numId w:val="488"/>
        </w:numPr>
        <w:tabs>
          <w:tab w:val="num" w:pos="284"/>
        </w:tabs>
        <w:spacing w:before="120" w:after="120" w:line="264" w:lineRule="auto"/>
        <w:jc w:val="both"/>
        <w:rPr>
          <w:rFonts w:eastAsia="Times New Roman" w:cstheme="minorHAnsi"/>
          <w:lang w:val="en-US" w:eastAsia="en-AU"/>
        </w:rPr>
      </w:pPr>
      <w:r w:rsidRPr="00535B9F">
        <w:rPr>
          <w:rFonts w:eastAsia="Times New Roman" w:cstheme="minorHAnsi"/>
          <w:lang w:val="en-US" w:eastAsia="en-AU"/>
        </w:rPr>
        <w:t>The timing for the delivery of the public parking facilities and the adequacy of alternatives to on-site parking until public parking facilities are delivered.</w:t>
      </w:r>
    </w:p>
    <w:p w14:paraId="686A61EB" w14:textId="77777777" w:rsidR="00164C01" w:rsidRPr="00535B9F" w:rsidRDefault="00164C01" w:rsidP="00303E96">
      <w:pPr>
        <w:pStyle w:val="ListParagraph"/>
        <w:numPr>
          <w:ilvl w:val="0"/>
          <w:numId w:val="488"/>
        </w:numPr>
        <w:tabs>
          <w:tab w:val="num" w:pos="284"/>
        </w:tabs>
        <w:spacing w:before="120" w:after="120" w:line="264" w:lineRule="auto"/>
        <w:jc w:val="both"/>
        <w:rPr>
          <w:rFonts w:eastAsia="Times New Roman" w:cstheme="minorHAnsi"/>
          <w:lang w:val="en-US" w:eastAsia="en-AU"/>
        </w:rPr>
      </w:pPr>
      <w:r w:rsidRPr="00535B9F">
        <w:rPr>
          <w:rFonts w:eastAsia="Times New Roman" w:cstheme="minorHAnsi"/>
          <w:lang w:val="en-US" w:eastAsia="en-AU"/>
        </w:rPr>
        <w:t>Whether on-site parking deficiencies would result in a hardship for the site or surrounding area.</w:t>
      </w:r>
    </w:p>
    <w:p w14:paraId="543B667C" w14:textId="77777777" w:rsidR="00164C01" w:rsidRPr="00535B9F" w:rsidRDefault="00164C01" w:rsidP="00303E96">
      <w:pPr>
        <w:pStyle w:val="ListParagraph"/>
        <w:numPr>
          <w:ilvl w:val="0"/>
          <w:numId w:val="488"/>
        </w:numPr>
        <w:tabs>
          <w:tab w:val="num" w:pos="284"/>
        </w:tabs>
        <w:spacing w:before="120" w:after="120" w:line="264" w:lineRule="auto"/>
        <w:jc w:val="both"/>
        <w:rPr>
          <w:rFonts w:eastAsia="Times New Roman" w:cstheme="minorHAnsi"/>
          <w:lang w:val="en-US" w:eastAsia="en-AU"/>
        </w:rPr>
      </w:pPr>
      <w:r w:rsidRPr="00535B9F">
        <w:rPr>
          <w:rFonts w:eastAsia="Times New Roman" w:cstheme="minorHAnsi"/>
          <w:lang w:val="en-US" w:eastAsia="en-AU"/>
        </w:rPr>
        <w:t>Ability of the site to accommodate the proposed development, based on the available supply of parking.</w:t>
      </w:r>
    </w:p>
    <w:p w14:paraId="05D79564" w14:textId="77777777" w:rsidR="00164C01" w:rsidRPr="00722AF9" w:rsidRDefault="00164C01" w:rsidP="00303E96">
      <w:pPr>
        <w:pStyle w:val="ListParagraph"/>
        <w:numPr>
          <w:ilvl w:val="0"/>
          <w:numId w:val="488"/>
        </w:numPr>
        <w:tabs>
          <w:tab w:val="num" w:pos="284"/>
        </w:tabs>
        <w:spacing w:before="120" w:after="240" w:line="264" w:lineRule="auto"/>
        <w:jc w:val="both"/>
        <w:rPr>
          <w:lang w:val="en-US"/>
        </w:rPr>
      </w:pPr>
      <w:r w:rsidRPr="00722AF9">
        <w:rPr>
          <w:rFonts w:eastAsia="Times New Roman" w:cstheme="minorHAnsi"/>
          <w:lang w:val="en-US" w:eastAsia="en-AU"/>
        </w:rPr>
        <w:t>The number of spaces proposed to be considered for payment</w:t>
      </w:r>
      <w:r>
        <w:rPr>
          <w:rFonts w:eastAsia="Times New Roman" w:cstheme="minorHAnsi"/>
          <w:lang w:val="en-US" w:eastAsia="en-AU"/>
        </w:rPr>
        <w:t xml:space="preserve"> </w:t>
      </w:r>
      <w:r w:rsidRPr="00722AF9">
        <w:rPr>
          <w:rFonts w:eastAsia="Times New Roman" w:cstheme="minorHAnsi"/>
          <w:lang w:val="en-US" w:eastAsia="en-AU"/>
        </w:rPr>
        <w:t>in</w:t>
      </w:r>
      <w:r>
        <w:rPr>
          <w:rFonts w:eastAsia="Times New Roman" w:cstheme="minorHAnsi"/>
          <w:lang w:val="en-US" w:eastAsia="en-AU"/>
        </w:rPr>
        <w:t xml:space="preserve"> </w:t>
      </w:r>
      <w:r w:rsidRPr="00722AF9">
        <w:rPr>
          <w:rFonts w:eastAsia="Times New Roman" w:cstheme="minorHAnsi"/>
          <w:lang w:val="en-US" w:eastAsia="en-AU"/>
        </w:rPr>
        <w:t xml:space="preserve">lieu. </w:t>
      </w:r>
    </w:p>
    <w:p w14:paraId="3A8AD7D9" w14:textId="77777777" w:rsidR="00164C01" w:rsidRPr="00004237" w:rsidRDefault="00164C01" w:rsidP="00164C01">
      <w:pPr>
        <w:rPr>
          <w:lang w:val="en-US"/>
        </w:rPr>
      </w:pPr>
      <w:r w:rsidRPr="00004237">
        <w:rPr>
          <w:lang w:val="en-US"/>
        </w:rPr>
        <w:lastRenderedPageBreak/>
        <w:t>Concessions will only be considered for approval where the applicant can clearly demonstrate</w:t>
      </w:r>
      <w:r>
        <w:rPr>
          <w:lang w:val="en-US"/>
        </w:rPr>
        <w:t xml:space="preserve"> to Council’s satisfaction</w:t>
      </w:r>
      <w:r w:rsidRPr="00004237">
        <w:rPr>
          <w:lang w:val="en-US"/>
        </w:rPr>
        <w:t xml:space="preserve"> that the parking requirement is excessive and not simply as a mechanism to allow applicants to proceed because they are unable to provide what is deemed to be an appropriate amount of parking.</w:t>
      </w:r>
    </w:p>
    <w:p w14:paraId="16877657" w14:textId="77777777" w:rsidR="00164C01" w:rsidRPr="00EE3C4F" w:rsidRDefault="00164C01" w:rsidP="00164C01">
      <w:pPr>
        <w:rPr>
          <w:lang w:val="en-US"/>
        </w:rPr>
      </w:pPr>
      <w:r w:rsidRPr="00EE3C4F">
        <w:rPr>
          <w:lang w:val="en-US"/>
        </w:rPr>
        <w:t xml:space="preserve">Should the decision maker approve a concession because it is technically justifiable, the applicant has the option to seek approval of </w:t>
      </w:r>
      <w:r>
        <w:rPr>
          <w:lang w:val="en-US"/>
        </w:rPr>
        <w:t>payment in lieu</w:t>
      </w:r>
      <w:r w:rsidRPr="00EE3C4F">
        <w:rPr>
          <w:lang w:val="en-US"/>
        </w:rPr>
        <w:t xml:space="preserve"> of parking to further reduce the amount of parking required on-site. </w:t>
      </w:r>
    </w:p>
    <w:p w14:paraId="057D9D70" w14:textId="77777777" w:rsidR="00164C01" w:rsidRPr="00535B9F" w:rsidRDefault="00164C01" w:rsidP="00164C01">
      <w:pPr>
        <w:spacing w:after="0"/>
        <w:rPr>
          <w:lang w:val="en-US"/>
        </w:rPr>
      </w:pPr>
      <w:r w:rsidRPr="00535B9F">
        <w:rPr>
          <w:lang w:val="en-US"/>
        </w:rPr>
        <w:t xml:space="preserve">The </w:t>
      </w:r>
      <w:r>
        <w:rPr>
          <w:lang w:val="en-US"/>
        </w:rPr>
        <w:t>payment in lieu</w:t>
      </w:r>
      <w:r w:rsidRPr="00535B9F">
        <w:rPr>
          <w:lang w:val="en-US"/>
        </w:rPr>
        <w:t xml:space="preserve"> amount may be set at a discount to the actual cost of providing the parking to:</w:t>
      </w:r>
    </w:p>
    <w:p w14:paraId="3F0D86D0" w14:textId="77777777" w:rsidR="00164C01" w:rsidRPr="00535B9F" w:rsidRDefault="00164C01" w:rsidP="00303E96">
      <w:pPr>
        <w:pStyle w:val="ListParagraph"/>
        <w:numPr>
          <w:ilvl w:val="0"/>
          <w:numId w:val="489"/>
        </w:numPr>
        <w:tabs>
          <w:tab w:val="num" w:pos="284"/>
        </w:tabs>
        <w:spacing w:before="120" w:after="120" w:line="264" w:lineRule="auto"/>
        <w:jc w:val="both"/>
        <w:rPr>
          <w:rFonts w:eastAsia="Times New Roman" w:cstheme="minorHAnsi"/>
          <w:lang w:val="en-US" w:eastAsia="en-AU"/>
        </w:rPr>
      </w:pPr>
      <w:r w:rsidRPr="00535B9F">
        <w:rPr>
          <w:rFonts w:eastAsia="Times New Roman" w:cstheme="minorHAnsi"/>
          <w:lang w:val="en-US" w:eastAsia="en-AU"/>
        </w:rPr>
        <w:t>Provide a financial incentive for developers to contribute to the creation of strategically located public parking facilities.</w:t>
      </w:r>
    </w:p>
    <w:p w14:paraId="04F9AB17" w14:textId="77777777" w:rsidR="00164C01" w:rsidRPr="00535B9F" w:rsidRDefault="00164C01" w:rsidP="00303E96">
      <w:pPr>
        <w:pStyle w:val="ListParagraph"/>
        <w:numPr>
          <w:ilvl w:val="0"/>
          <w:numId w:val="489"/>
        </w:numPr>
        <w:tabs>
          <w:tab w:val="num" w:pos="284"/>
        </w:tabs>
        <w:spacing w:before="120" w:after="120" w:line="264" w:lineRule="auto"/>
        <w:jc w:val="both"/>
        <w:rPr>
          <w:rFonts w:eastAsia="Times New Roman" w:cstheme="minorHAnsi"/>
          <w:lang w:val="en-US" w:eastAsia="en-AU"/>
        </w:rPr>
      </w:pPr>
      <w:r w:rsidRPr="00535B9F">
        <w:rPr>
          <w:rFonts w:eastAsia="Times New Roman" w:cstheme="minorHAnsi"/>
          <w:lang w:eastAsia="en-AU"/>
        </w:rPr>
        <w:t>Recognise</w:t>
      </w:r>
      <w:r w:rsidRPr="00535B9F">
        <w:rPr>
          <w:rFonts w:eastAsia="Times New Roman" w:cstheme="minorHAnsi"/>
          <w:lang w:val="en-US" w:eastAsia="en-AU"/>
        </w:rPr>
        <w:t xml:space="preserve"> that the Town </w:t>
      </w:r>
      <w:r>
        <w:rPr>
          <w:rFonts w:eastAsia="Times New Roman" w:cstheme="minorHAnsi"/>
          <w:lang w:val="en-US" w:eastAsia="en-AU"/>
        </w:rPr>
        <w:t xml:space="preserve">may </w:t>
      </w:r>
      <w:r w:rsidRPr="00535B9F">
        <w:rPr>
          <w:rFonts w:eastAsia="Times New Roman" w:cstheme="minorHAnsi"/>
          <w:lang w:val="en-US" w:eastAsia="en-AU"/>
        </w:rPr>
        <w:t>be able to recover some of the costs through user fees.</w:t>
      </w:r>
    </w:p>
    <w:p w14:paraId="79253671" w14:textId="77777777" w:rsidR="00164C01" w:rsidRPr="00535B9F" w:rsidRDefault="00164C01" w:rsidP="00303E96">
      <w:pPr>
        <w:pStyle w:val="ListParagraph"/>
        <w:numPr>
          <w:ilvl w:val="0"/>
          <w:numId w:val="489"/>
        </w:numPr>
        <w:tabs>
          <w:tab w:val="num" w:pos="284"/>
        </w:tabs>
        <w:spacing w:before="120" w:after="120" w:line="264" w:lineRule="auto"/>
        <w:jc w:val="both"/>
        <w:rPr>
          <w:rFonts w:eastAsia="Times New Roman" w:cstheme="minorHAnsi"/>
          <w:lang w:val="en-US" w:eastAsia="en-AU"/>
        </w:rPr>
      </w:pPr>
      <w:proofErr w:type="spellStart"/>
      <w:r w:rsidRPr="00535B9F">
        <w:rPr>
          <w:rFonts w:eastAsia="Times New Roman" w:cstheme="minorHAnsi"/>
          <w:lang w:val="en-US" w:eastAsia="en-AU"/>
        </w:rPr>
        <w:t>Recognise</w:t>
      </w:r>
      <w:proofErr w:type="spellEnd"/>
      <w:r w:rsidRPr="00535B9F">
        <w:rPr>
          <w:rFonts w:eastAsia="Times New Roman" w:cstheme="minorHAnsi"/>
          <w:lang w:val="en-US" w:eastAsia="en-AU"/>
        </w:rPr>
        <w:t xml:space="preserve"> that parking spaces are not allocated to specific users on a reserved basis, although the general supply will </w:t>
      </w:r>
      <w:r>
        <w:rPr>
          <w:rFonts w:eastAsia="Times New Roman" w:cstheme="minorHAnsi"/>
          <w:lang w:val="en-US" w:eastAsia="en-AU"/>
        </w:rPr>
        <w:t>aim</w:t>
      </w:r>
      <w:r w:rsidRPr="00535B9F">
        <w:rPr>
          <w:rFonts w:eastAsia="Times New Roman" w:cstheme="minorHAnsi"/>
          <w:lang w:val="en-US" w:eastAsia="en-AU"/>
        </w:rPr>
        <w:t xml:space="preserve"> to meet demand.</w:t>
      </w:r>
    </w:p>
    <w:p w14:paraId="23A689E2" w14:textId="77777777" w:rsidR="00164C01" w:rsidRPr="00535B9F" w:rsidRDefault="00164C01" w:rsidP="00303E96">
      <w:pPr>
        <w:pStyle w:val="ListParagraph"/>
        <w:numPr>
          <w:ilvl w:val="0"/>
          <w:numId w:val="489"/>
        </w:numPr>
        <w:tabs>
          <w:tab w:val="num" w:pos="284"/>
        </w:tabs>
        <w:spacing w:before="120" w:after="120" w:line="264" w:lineRule="auto"/>
        <w:jc w:val="both"/>
        <w:rPr>
          <w:rFonts w:eastAsia="Times New Roman" w:cstheme="minorHAnsi"/>
          <w:lang w:val="en-US" w:eastAsia="en-AU"/>
        </w:rPr>
      </w:pPr>
      <w:proofErr w:type="spellStart"/>
      <w:r w:rsidRPr="00535B9F">
        <w:rPr>
          <w:rFonts w:eastAsia="Times New Roman" w:cstheme="minorHAnsi"/>
          <w:lang w:val="en-US" w:eastAsia="en-AU"/>
        </w:rPr>
        <w:t>Recognise</w:t>
      </w:r>
      <w:proofErr w:type="spellEnd"/>
      <w:r w:rsidRPr="00535B9F">
        <w:rPr>
          <w:rFonts w:eastAsia="Times New Roman" w:cstheme="minorHAnsi"/>
          <w:lang w:val="en-US" w:eastAsia="en-AU"/>
        </w:rPr>
        <w:t xml:space="preserve"> that the contributor </w:t>
      </w:r>
      <w:r>
        <w:rPr>
          <w:rFonts w:eastAsia="Times New Roman" w:cstheme="minorHAnsi"/>
          <w:lang w:val="en-US" w:eastAsia="en-AU"/>
        </w:rPr>
        <w:t>may</w:t>
      </w:r>
      <w:r w:rsidRPr="00535B9F">
        <w:rPr>
          <w:rFonts w:eastAsia="Times New Roman" w:cstheme="minorHAnsi"/>
          <w:lang w:val="en-US" w:eastAsia="en-AU"/>
        </w:rPr>
        <w:t xml:space="preserve"> not have an ownership interest in the public parking facilities.</w:t>
      </w:r>
    </w:p>
    <w:p w14:paraId="47046E41" w14:textId="77777777" w:rsidR="00164C01" w:rsidRPr="00535B9F" w:rsidRDefault="00164C01" w:rsidP="00303E96">
      <w:pPr>
        <w:pStyle w:val="ListParagraph"/>
        <w:numPr>
          <w:ilvl w:val="0"/>
          <w:numId w:val="489"/>
        </w:numPr>
        <w:tabs>
          <w:tab w:val="num" w:pos="284"/>
        </w:tabs>
        <w:spacing w:before="120" w:after="120" w:line="264" w:lineRule="auto"/>
        <w:jc w:val="both"/>
        <w:rPr>
          <w:rFonts w:eastAsia="Times New Roman" w:cstheme="minorHAnsi"/>
          <w:lang w:val="en-US" w:eastAsia="en-AU"/>
        </w:rPr>
      </w:pPr>
      <w:proofErr w:type="spellStart"/>
      <w:r w:rsidRPr="00535B9F">
        <w:rPr>
          <w:rFonts w:eastAsia="Times New Roman" w:cstheme="minorHAnsi"/>
          <w:lang w:val="en-US" w:eastAsia="en-AU"/>
        </w:rPr>
        <w:t>Recognise</w:t>
      </w:r>
      <w:proofErr w:type="spellEnd"/>
      <w:r w:rsidRPr="00535B9F">
        <w:rPr>
          <w:rFonts w:eastAsia="Times New Roman" w:cstheme="minorHAnsi"/>
          <w:lang w:val="en-US" w:eastAsia="en-AU"/>
        </w:rPr>
        <w:t xml:space="preserve"> that the parking may not be as conveniently located to a specific development compared to on site or other nearby parking facilities.</w:t>
      </w:r>
    </w:p>
    <w:p w14:paraId="10069493" w14:textId="77777777" w:rsidR="00164C01" w:rsidRPr="00535B9F" w:rsidRDefault="00164C01" w:rsidP="00303E96">
      <w:pPr>
        <w:pStyle w:val="ListParagraph"/>
        <w:numPr>
          <w:ilvl w:val="0"/>
          <w:numId w:val="489"/>
        </w:numPr>
        <w:tabs>
          <w:tab w:val="num" w:pos="284"/>
        </w:tabs>
        <w:spacing w:before="120" w:after="120" w:line="264" w:lineRule="auto"/>
        <w:jc w:val="both"/>
        <w:rPr>
          <w:rFonts w:eastAsia="Times New Roman" w:cstheme="minorHAnsi"/>
          <w:lang w:val="en-US" w:eastAsia="en-AU"/>
        </w:rPr>
      </w:pPr>
      <w:proofErr w:type="spellStart"/>
      <w:r w:rsidRPr="00535B9F">
        <w:rPr>
          <w:rFonts w:eastAsia="Times New Roman" w:cstheme="minorHAnsi"/>
          <w:lang w:val="en-US" w:eastAsia="en-AU"/>
        </w:rPr>
        <w:t>Recognise</w:t>
      </w:r>
      <w:proofErr w:type="spellEnd"/>
      <w:r w:rsidRPr="00535B9F">
        <w:rPr>
          <w:rFonts w:eastAsia="Times New Roman" w:cstheme="minorHAnsi"/>
          <w:lang w:val="en-US" w:eastAsia="en-AU"/>
        </w:rPr>
        <w:t xml:space="preserve"> that all or a portion of the parking may not be constructed at the same time as the development.</w:t>
      </w:r>
    </w:p>
    <w:p w14:paraId="677E8086" w14:textId="77777777" w:rsidR="00164C01" w:rsidRPr="00535B9F" w:rsidRDefault="00164C01" w:rsidP="00303E96">
      <w:pPr>
        <w:pStyle w:val="ListParagraph"/>
        <w:numPr>
          <w:ilvl w:val="0"/>
          <w:numId w:val="489"/>
        </w:numPr>
        <w:tabs>
          <w:tab w:val="num" w:pos="284"/>
        </w:tabs>
        <w:spacing w:before="120" w:after="120" w:line="264" w:lineRule="auto"/>
        <w:jc w:val="both"/>
        <w:rPr>
          <w:rFonts w:eastAsia="Times New Roman" w:cstheme="minorHAnsi"/>
          <w:lang w:val="en-US" w:eastAsia="en-AU"/>
        </w:rPr>
      </w:pPr>
      <w:proofErr w:type="spellStart"/>
      <w:r w:rsidRPr="00535B9F">
        <w:rPr>
          <w:rFonts w:eastAsia="Times New Roman" w:cstheme="minorHAnsi"/>
          <w:lang w:val="en-US" w:eastAsia="en-AU"/>
        </w:rPr>
        <w:t>Recognise</w:t>
      </w:r>
      <w:proofErr w:type="spellEnd"/>
      <w:r w:rsidRPr="00535B9F">
        <w:rPr>
          <w:rFonts w:eastAsia="Times New Roman" w:cstheme="minorHAnsi"/>
          <w:lang w:val="en-US" w:eastAsia="en-AU"/>
        </w:rPr>
        <w:t xml:space="preserve"> that the developer/owner will not have any control over parking fees and use regulations.</w:t>
      </w:r>
    </w:p>
    <w:bookmarkEnd w:id="533"/>
    <w:p w14:paraId="7B158C90" w14:textId="77777777" w:rsidR="00164C01" w:rsidRPr="00164C01" w:rsidRDefault="00164C01" w:rsidP="00164C01">
      <w:pPr>
        <w:pStyle w:val="Heading1"/>
        <w:spacing w:before="360"/>
        <w:rPr>
          <w:w w:val="110"/>
          <w:sz w:val="22"/>
          <w:szCs w:val="22"/>
        </w:rPr>
      </w:pPr>
      <w:r w:rsidRPr="00164C01">
        <w:rPr>
          <w:w w:val="110"/>
          <w:sz w:val="22"/>
          <w:szCs w:val="22"/>
        </w:rPr>
        <w:t xml:space="preserve">Financial </w:t>
      </w:r>
      <w:r w:rsidRPr="00164C01">
        <w:rPr>
          <w:spacing w:val="-3"/>
          <w:w w:val="110"/>
          <w:sz w:val="22"/>
          <w:szCs w:val="22"/>
        </w:rPr>
        <w:t xml:space="preserve">Administration </w:t>
      </w:r>
      <w:r w:rsidRPr="00164C01">
        <w:rPr>
          <w:w w:val="110"/>
          <w:sz w:val="22"/>
          <w:szCs w:val="22"/>
        </w:rPr>
        <w:t>(clause</w:t>
      </w:r>
      <w:r w:rsidRPr="00164C01">
        <w:rPr>
          <w:spacing w:val="-30"/>
          <w:w w:val="110"/>
          <w:sz w:val="22"/>
          <w:szCs w:val="22"/>
        </w:rPr>
        <w:t xml:space="preserve"> </w:t>
      </w:r>
      <w:r w:rsidRPr="00164C01">
        <w:rPr>
          <w:w w:val="110"/>
          <w:sz w:val="22"/>
          <w:szCs w:val="22"/>
        </w:rPr>
        <w:t>77I)</w:t>
      </w:r>
    </w:p>
    <w:p w14:paraId="04BE6222" w14:textId="77777777" w:rsidR="00164C01" w:rsidRPr="00164C01" w:rsidRDefault="00164C01" w:rsidP="00164C01">
      <w:pPr>
        <w:pStyle w:val="Heading2"/>
        <w:rPr>
          <w:w w:val="110"/>
          <w:sz w:val="22"/>
          <w:szCs w:val="22"/>
        </w:rPr>
      </w:pPr>
      <w:r w:rsidRPr="00164C01">
        <w:rPr>
          <w:w w:val="110"/>
          <w:sz w:val="22"/>
          <w:szCs w:val="22"/>
        </w:rPr>
        <w:t>8.1</w:t>
      </w:r>
      <w:r w:rsidRPr="00164C01">
        <w:rPr>
          <w:w w:val="110"/>
          <w:sz w:val="22"/>
          <w:szCs w:val="22"/>
        </w:rPr>
        <w:tab/>
        <w:t>Reserve</w:t>
      </w:r>
      <w:r w:rsidRPr="00164C01">
        <w:rPr>
          <w:spacing w:val="-12"/>
          <w:w w:val="110"/>
          <w:sz w:val="22"/>
          <w:szCs w:val="22"/>
        </w:rPr>
        <w:t xml:space="preserve"> </w:t>
      </w:r>
      <w:r w:rsidRPr="00164C01">
        <w:rPr>
          <w:w w:val="110"/>
          <w:sz w:val="22"/>
          <w:szCs w:val="22"/>
        </w:rPr>
        <w:t>Account</w:t>
      </w:r>
      <w:r w:rsidRPr="00164C01">
        <w:rPr>
          <w:spacing w:val="-11"/>
          <w:w w:val="110"/>
          <w:sz w:val="22"/>
          <w:szCs w:val="22"/>
        </w:rPr>
        <w:t xml:space="preserve"> </w:t>
      </w:r>
      <w:r w:rsidRPr="00164C01">
        <w:rPr>
          <w:w w:val="110"/>
          <w:sz w:val="22"/>
          <w:szCs w:val="22"/>
        </w:rPr>
        <w:t>to</w:t>
      </w:r>
      <w:r w:rsidRPr="00164C01">
        <w:rPr>
          <w:spacing w:val="-12"/>
          <w:w w:val="110"/>
          <w:sz w:val="22"/>
          <w:szCs w:val="22"/>
        </w:rPr>
        <w:t xml:space="preserve"> </w:t>
      </w:r>
      <w:r w:rsidRPr="00164C01">
        <w:rPr>
          <w:w w:val="110"/>
          <w:sz w:val="22"/>
          <w:szCs w:val="22"/>
        </w:rPr>
        <w:t>be</w:t>
      </w:r>
      <w:r w:rsidRPr="00164C01">
        <w:rPr>
          <w:spacing w:val="-11"/>
          <w:w w:val="110"/>
          <w:sz w:val="22"/>
          <w:szCs w:val="22"/>
        </w:rPr>
        <w:t xml:space="preserve"> </w:t>
      </w:r>
      <w:r w:rsidRPr="00164C01">
        <w:rPr>
          <w:w w:val="110"/>
          <w:sz w:val="22"/>
          <w:szCs w:val="22"/>
        </w:rPr>
        <w:t>established</w:t>
      </w:r>
      <w:r w:rsidRPr="00164C01">
        <w:rPr>
          <w:spacing w:val="3"/>
          <w:w w:val="110"/>
          <w:sz w:val="22"/>
          <w:szCs w:val="22"/>
        </w:rPr>
        <w:t xml:space="preserve"> </w:t>
      </w:r>
      <w:r w:rsidRPr="00164C01">
        <w:rPr>
          <w:w w:val="110"/>
          <w:sz w:val="22"/>
          <w:szCs w:val="22"/>
        </w:rPr>
        <w:t>and</w:t>
      </w:r>
      <w:r w:rsidRPr="00164C01">
        <w:rPr>
          <w:spacing w:val="-11"/>
          <w:w w:val="110"/>
          <w:sz w:val="22"/>
          <w:szCs w:val="22"/>
        </w:rPr>
        <w:t xml:space="preserve"> </w:t>
      </w:r>
      <w:r w:rsidRPr="00164C01">
        <w:rPr>
          <w:w w:val="110"/>
          <w:sz w:val="22"/>
          <w:szCs w:val="22"/>
        </w:rPr>
        <w:t>maintained</w:t>
      </w:r>
    </w:p>
    <w:p w14:paraId="16C76289" w14:textId="77777777" w:rsidR="00164C01" w:rsidRPr="0098443E" w:rsidRDefault="00164C01" w:rsidP="00164C01">
      <w:pPr>
        <w:rPr>
          <w:w w:val="105"/>
        </w:rPr>
      </w:pPr>
      <w:r w:rsidRPr="0098443E">
        <w:rPr>
          <w:w w:val="105"/>
        </w:rPr>
        <w:t xml:space="preserve">The </w:t>
      </w:r>
      <w:r>
        <w:rPr>
          <w:w w:val="105"/>
        </w:rPr>
        <w:t>Town</w:t>
      </w:r>
      <w:r w:rsidRPr="0098443E">
        <w:rPr>
          <w:w w:val="105"/>
        </w:rPr>
        <w:t xml:space="preserve"> shall establish and maintain a Reserve Account for money collected under the Plan (clause 77</w:t>
      </w:r>
      <w:proofErr w:type="gramStart"/>
      <w:r w:rsidRPr="0098443E">
        <w:rPr>
          <w:w w:val="105"/>
        </w:rPr>
        <w:t>I(</w:t>
      </w:r>
      <w:proofErr w:type="gramEnd"/>
      <w:r w:rsidRPr="0098443E">
        <w:rPr>
          <w:w w:val="105"/>
        </w:rPr>
        <w:t xml:space="preserve">1)). The Reserve Account shall be established under the provisions of the </w:t>
      </w:r>
      <w:r w:rsidRPr="0098443E">
        <w:rPr>
          <w:i/>
          <w:iCs/>
          <w:w w:val="105"/>
        </w:rPr>
        <w:t>Local Government Act 1995</w:t>
      </w:r>
      <w:r w:rsidRPr="0098443E">
        <w:rPr>
          <w:w w:val="105"/>
        </w:rPr>
        <w:t xml:space="preserve">, Section 6.11. The reserve account shall be operated in accordance with the requirements of the </w:t>
      </w:r>
      <w:r w:rsidRPr="0098443E">
        <w:rPr>
          <w:i/>
          <w:iCs/>
          <w:w w:val="105"/>
        </w:rPr>
        <w:t>Local Government (Financial Management) Regulations 1996</w:t>
      </w:r>
      <w:r w:rsidRPr="0098443E">
        <w:rPr>
          <w:w w:val="105"/>
        </w:rPr>
        <w:t>.</w:t>
      </w:r>
    </w:p>
    <w:p w14:paraId="17A2D124" w14:textId="77777777" w:rsidR="00164C01" w:rsidRDefault="00164C01" w:rsidP="00164C01">
      <w:r w:rsidRPr="005005F8">
        <w:t>Monies held in the trust for the previous Local Planning Policy 3.1.4 - George Street Mixed Use Precinct New Development Contribution to the Management of Access and Parking is to be spent in accordance with this policy within the Plympton Sub plan area</w:t>
      </w:r>
      <w:r>
        <w:t>.</w:t>
      </w:r>
    </w:p>
    <w:p w14:paraId="53F49869" w14:textId="77777777" w:rsidR="00164C01" w:rsidRPr="00164C01" w:rsidRDefault="00164C01" w:rsidP="00164C01">
      <w:pPr>
        <w:pStyle w:val="Heading2"/>
        <w:rPr>
          <w:w w:val="110"/>
          <w:sz w:val="22"/>
          <w:szCs w:val="22"/>
        </w:rPr>
      </w:pPr>
      <w:r w:rsidRPr="00164C01">
        <w:rPr>
          <w:w w:val="110"/>
          <w:sz w:val="22"/>
          <w:szCs w:val="22"/>
        </w:rPr>
        <w:t>8.2</w:t>
      </w:r>
      <w:r w:rsidRPr="00164C01">
        <w:rPr>
          <w:w w:val="110"/>
          <w:sz w:val="22"/>
          <w:szCs w:val="22"/>
        </w:rPr>
        <w:tab/>
        <w:t>Interest</w:t>
      </w:r>
      <w:r w:rsidRPr="00164C01">
        <w:rPr>
          <w:spacing w:val="-12"/>
          <w:w w:val="110"/>
          <w:sz w:val="22"/>
          <w:szCs w:val="22"/>
        </w:rPr>
        <w:t xml:space="preserve"> </w:t>
      </w:r>
      <w:r w:rsidRPr="00164C01">
        <w:rPr>
          <w:w w:val="110"/>
          <w:sz w:val="22"/>
          <w:szCs w:val="22"/>
        </w:rPr>
        <w:t>earned</w:t>
      </w:r>
    </w:p>
    <w:p w14:paraId="6987D446" w14:textId="77777777" w:rsidR="00164C01" w:rsidRPr="00C6342B" w:rsidRDefault="00164C01" w:rsidP="00164C01">
      <w:pPr>
        <w:autoSpaceDE w:val="0"/>
        <w:autoSpaceDN w:val="0"/>
        <w:adjustRightInd w:val="0"/>
        <w:rPr>
          <w:w w:val="105"/>
        </w:rPr>
      </w:pPr>
      <w:r w:rsidRPr="0098443E">
        <w:rPr>
          <w:w w:val="105"/>
        </w:rPr>
        <w:t>Interest earned on the Reserve Account under the plan shall be treated in accordance with clause 77I</w:t>
      </w:r>
      <w:r w:rsidRPr="00C6342B">
        <w:rPr>
          <w:w w:val="105"/>
        </w:rPr>
        <w:t xml:space="preserve"> which requires that interest be spent for the purposes set out in this payment in lieu</w:t>
      </w:r>
      <w:r>
        <w:rPr>
          <w:w w:val="105"/>
        </w:rPr>
        <w:t xml:space="preserve"> </w:t>
      </w:r>
      <w:r w:rsidRPr="00C6342B">
        <w:rPr>
          <w:w w:val="105"/>
        </w:rPr>
        <w:t>of parking plan.</w:t>
      </w:r>
    </w:p>
    <w:p w14:paraId="3EA7128D" w14:textId="77777777" w:rsidR="00164C01" w:rsidRPr="00164C01" w:rsidRDefault="00164C01" w:rsidP="00164C01">
      <w:pPr>
        <w:pStyle w:val="Heading2"/>
        <w:rPr>
          <w:sz w:val="22"/>
          <w:szCs w:val="22"/>
        </w:rPr>
      </w:pPr>
      <w:r w:rsidRPr="00164C01">
        <w:rPr>
          <w:sz w:val="22"/>
          <w:szCs w:val="22"/>
        </w:rPr>
        <w:t>8.3</w:t>
      </w:r>
      <w:r w:rsidRPr="00164C01">
        <w:rPr>
          <w:sz w:val="22"/>
          <w:szCs w:val="22"/>
        </w:rPr>
        <w:tab/>
        <w:t>Records to be kept</w:t>
      </w:r>
    </w:p>
    <w:p w14:paraId="2A7F728E" w14:textId="77777777" w:rsidR="00164C01" w:rsidRPr="0098443E" w:rsidRDefault="00164C01" w:rsidP="00164C01">
      <w:pPr>
        <w:rPr>
          <w:w w:val="105"/>
        </w:rPr>
      </w:pPr>
      <w:r w:rsidRPr="0098443E">
        <w:rPr>
          <w:w w:val="105"/>
        </w:rPr>
        <w:t>Records of income and expenditure for the Reserve Account established under the Plan shall be maintained by the local government until all funds have been expended or repaid.</w:t>
      </w:r>
    </w:p>
    <w:p w14:paraId="0A30AB72" w14:textId="77777777" w:rsidR="00164C01" w:rsidRPr="00164C01" w:rsidRDefault="00164C01" w:rsidP="00164C01">
      <w:pPr>
        <w:pStyle w:val="Heading2"/>
        <w:rPr>
          <w:sz w:val="22"/>
          <w:szCs w:val="22"/>
        </w:rPr>
      </w:pPr>
      <w:r w:rsidRPr="00164C01">
        <w:rPr>
          <w:sz w:val="22"/>
          <w:szCs w:val="22"/>
        </w:rPr>
        <w:t>8.4</w:t>
      </w:r>
      <w:r w:rsidRPr="00164C01">
        <w:rPr>
          <w:sz w:val="22"/>
          <w:szCs w:val="22"/>
        </w:rPr>
        <w:tab/>
        <w:t>Reporting</w:t>
      </w:r>
    </w:p>
    <w:p w14:paraId="082DF2FC" w14:textId="77777777" w:rsidR="00164C01" w:rsidRPr="00164C01" w:rsidRDefault="00164C01" w:rsidP="00164C01">
      <w:pPr>
        <w:autoSpaceDE w:val="0"/>
        <w:autoSpaceDN w:val="0"/>
        <w:adjustRightInd w:val="0"/>
        <w:rPr>
          <w:w w:val="105"/>
        </w:rPr>
      </w:pPr>
      <w:r w:rsidRPr="0098443E">
        <w:rPr>
          <w:w w:val="110"/>
        </w:rPr>
        <w:t>Report of the Reserve Account shall be provided in accordance with the</w:t>
      </w:r>
      <w:r>
        <w:rPr>
          <w:w w:val="110"/>
        </w:rPr>
        <w:t xml:space="preserve"> </w:t>
      </w:r>
      <w:r w:rsidRPr="0098443E">
        <w:rPr>
          <w:w w:val="110"/>
        </w:rPr>
        <w:t xml:space="preserve">requirements of the </w:t>
      </w:r>
      <w:r w:rsidRPr="0098443E">
        <w:rPr>
          <w:i/>
          <w:iCs/>
          <w:w w:val="110"/>
        </w:rPr>
        <w:t>Local Government</w:t>
      </w:r>
      <w:r>
        <w:rPr>
          <w:w w:val="110"/>
        </w:rPr>
        <w:t xml:space="preserve"> </w:t>
      </w:r>
      <w:r w:rsidRPr="0098443E">
        <w:rPr>
          <w:i/>
          <w:iCs/>
          <w:w w:val="105"/>
        </w:rPr>
        <w:t xml:space="preserve">(Financial Management) Regulations </w:t>
      </w:r>
      <w:r w:rsidRPr="00C6342B">
        <w:rPr>
          <w:w w:val="105"/>
        </w:rPr>
        <w:t>1996</w:t>
      </w:r>
      <w:r w:rsidRPr="0098443E">
        <w:rPr>
          <w:w w:val="105"/>
        </w:rPr>
        <w:t>.</w:t>
      </w:r>
      <w:r w:rsidRPr="00C6342B">
        <w:rPr>
          <w:w w:val="105"/>
        </w:rPr>
        <w:t xml:space="preserve"> R.38 of those Regulations</w:t>
      </w:r>
      <w:r>
        <w:rPr>
          <w:w w:val="105"/>
        </w:rPr>
        <w:t xml:space="preserve"> </w:t>
      </w:r>
      <w:r w:rsidRPr="00C6342B">
        <w:rPr>
          <w:w w:val="105"/>
        </w:rPr>
        <w:lastRenderedPageBreak/>
        <w:t>requires that the City’s annual financial report include specific details about this Reserve</w:t>
      </w:r>
      <w:r>
        <w:rPr>
          <w:w w:val="105"/>
        </w:rPr>
        <w:t xml:space="preserve"> </w:t>
      </w:r>
      <w:r w:rsidRPr="00164C01">
        <w:rPr>
          <w:w w:val="105"/>
        </w:rPr>
        <w:t>Account.</w:t>
      </w:r>
    </w:p>
    <w:p w14:paraId="5DE42AB5" w14:textId="77777777" w:rsidR="00164C01" w:rsidRPr="00164C01" w:rsidRDefault="00164C01" w:rsidP="00164C01">
      <w:pPr>
        <w:pStyle w:val="Heading2"/>
        <w:rPr>
          <w:sz w:val="22"/>
          <w:szCs w:val="22"/>
          <w:lang w:val="en-US"/>
        </w:rPr>
      </w:pPr>
      <w:r w:rsidRPr="00164C01">
        <w:rPr>
          <w:sz w:val="22"/>
          <w:szCs w:val="22"/>
          <w:lang w:val="en-US"/>
        </w:rPr>
        <w:t>8.5</w:t>
      </w:r>
      <w:r w:rsidRPr="00164C01">
        <w:rPr>
          <w:sz w:val="22"/>
          <w:szCs w:val="22"/>
          <w:lang w:val="en-US"/>
        </w:rPr>
        <w:tab/>
        <w:t>Invoice for payment of money</w:t>
      </w:r>
    </w:p>
    <w:p w14:paraId="15474111" w14:textId="77777777" w:rsidR="00164C01" w:rsidRPr="0098443E" w:rsidRDefault="00164C01" w:rsidP="00164C01">
      <w:pPr>
        <w:rPr>
          <w:rFonts w:cstheme="minorHAnsi"/>
          <w:lang w:val="en-US"/>
        </w:rPr>
      </w:pPr>
      <w:r w:rsidRPr="0098443E">
        <w:rPr>
          <w:rFonts w:cstheme="minorHAnsi"/>
          <w:lang w:val="en-US"/>
        </w:rPr>
        <w:t xml:space="preserve">In addition to a </w:t>
      </w:r>
      <w:r>
        <w:rPr>
          <w:rFonts w:cstheme="minorHAnsi"/>
          <w:lang w:val="en-US"/>
        </w:rPr>
        <w:t>payment in lieu</w:t>
      </w:r>
      <w:r w:rsidRPr="0098443E">
        <w:rPr>
          <w:rFonts w:cstheme="minorHAnsi"/>
          <w:lang w:val="en-US"/>
        </w:rPr>
        <w:t xml:space="preserve"> of parking condition applied to a development approval under clause 77H, the </w:t>
      </w:r>
      <w:r>
        <w:rPr>
          <w:rFonts w:cstheme="minorHAnsi"/>
          <w:lang w:val="en-US"/>
        </w:rPr>
        <w:t>Town</w:t>
      </w:r>
      <w:r w:rsidRPr="0098443E">
        <w:rPr>
          <w:rFonts w:cstheme="minorHAnsi"/>
          <w:lang w:val="en-US"/>
        </w:rPr>
        <w:t xml:space="preserve"> shall issue an invoice to the payer </w:t>
      </w:r>
      <w:r>
        <w:rPr>
          <w:rFonts w:cstheme="minorHAnsi"/>
          <w:lang w:val="en-US"/>
        </w:rPr>
        <w:t xml:space="preserve">at the appropriate time </w:t>
      </w:r>
      <w:r w:rsidRPr="0098443E">
        <w:rPr>
          <w:rFonts w:cstheme="minorHAnsi"/>
          <w:lang w:val="en-US"/>
        </w:rPr>
        <w:t>to enable the payer to satisfy the condition of development approval. The invoice shall</w:t>
      </w:r>
      <w:r>
        <w:rPr>
          <w:rFonts w:cstheme="minorHAnsi"/>
          <w:lang w:val="en-US"/>
        </w:rPr>
        <w:t xml:space="preserve"> </w:t>
      </w:r>
      <w:r w:rsidRPr="0098443E">
        <w:rPr>
          <w:rFonts w:cstheme="minorHAnsi"/>
          <w:lang w:val="en-US"/>
        </w:rPr>
        <w:t>specify</w:t>
      </w:r>
      <w:r>
        <w:rPr>
          <w:rFonts w:cstheme="minorHAnsi"/>
          <w:lang w:val="en-US"/>
        </w:rPr>
        <w:t xml:space="preserve"> </w:t>
      </w:r>
      <w:r w:rsidRPr="0098443E">
        <w:rPr>
          <w:rFonts w:cstheme="minorHAnsi"/>
          <w:lang w:val="en-US"/>
        </w:rPr>
        <w:t>the method and timing for payment of the money required to satisfy the payment in</w:t>
      </w:r>
      <w:r>
        <w:rPr>
          <w:rFonts w:cstheme="minorHAnsi"/>
          <w:lang w:val="en-US"/>
        </w:rPr>
        <w:t xml:space="preserve"> </w:t>
      </w:r>
      <w:r w:rsidRPr="0098443E">
        <w:rPr>
          <w:rFonts w:cstheme="minorHAnsi"/>
          <w:lang w:val="en-US"/>
        </w:rPr>
        <w:t>lieu of parking development approval condition.</w:t>
      </w:r>
    </w:p>
    <w:p w14:paraId="023DC13D" w14:textId="77777777" w:rsidR="00164C01" w:rsidRPr="00164C01" w:rsidRDefault="00164C01" w:rsidP="00164C01">
      <w:pPr>
        <w:pStyle w:val="Heading2"/>
        <w:rPr>
          <w:sz w:val="22"/>
          <w:szCs w:val="22"/>
          <w:lang w:val="en-US"/>
        </w:rPr>
      </w:pPr>
      <w:r w:rsidRPr="00164C01">
        <w:rPr>
          <w:sz w:val="22"/>
          <w:szCs w:val="22"/>
          <w:lang w:val="en-US"/>
        </w:rPr>
        <w:t>8.6</w:t>
      </w:r>
      <w:r w:rsidRPr="00164C01">
        <w:rPr>
          <w:sz w:val="22"/>
          <w:szCs w:val="22"/>
          <w:lang w:val="en-US"/>
        </w:rPr>
        <w:tab/>
        <w:t>Money held in the Reserve Account at the expiry of the Plan</w:t>
      </w:r>
    </w:p>
    <w:p w14:paraId="162B0460" w14:textId="77777777" w:rsidR="00164C01" w:rsidRPr="00C6342B" w:rsidRDefault="00164C01" w:rsidP="00164C01">
      <w:pPr>
        <w:rPr>
          <w:rFonts w:cstheme="minorHAnsi"/>
          <w:lang w:val="en-US"/>
        </w:rPr>
      </w:pPr>
      <w:r w:rsidRPr="0098443E">
        <w:rPr>
          <w:rFonts w:cstheme="minorHAnsi"/>
          <w:lang w:val="en-US"/>
        </w:rPr>
        <w:t>Money held in the Reserve Account at the Expiry of the Plan shall be treated in</w:t>
      </w:r>
      <w:r>
        <w:rPr>
          <w:rFonts w:cstheme="minorHAnsi"/>
          <w:lang w:val="en-US"/>
        </w:rPr>
        <w:t xml:space="preserve"> </w:t>
      </w:r>
      <w:r w:rsidRPr="0098443E">
        <w:rPr>
          <w:rFonts w:cstheme="minorHAnsi"/>
          <w:lang w:val="en-US"/>
        </w:rPr>
        <w:t xml:space="preserve">accordance with clause </w:t>
      </w:r>
      <w:r w:rsidRPr="00EA6A5B">
        <w:rPr>
          <w:rFonts w:cstheme="minorHAnsi"/>
          <w:lang w:val="en-US"/>
        </w:rPr>
        <w:t>77</w:t>
      </w:r>
      <w:proofErr w:type="gramStart"/>
      <w:r w:rsidRPr="00EA6A5B">
        <w:rPr>
          <w:rFonts w:cstheme="minorHAnsi"/>
          <w:lang w:val="en-US"/>
        </w:rPr>
        <w:t>I</w:t>
      </w:r>
      <w:r w:rsidRPr="0098443E">
        <w:rPr>
          <w:rFonts w:cstheme="minorHAnsi"/>
          <w:lang w:val="en-US"/>
        </w:rPr>
        <w:t>(</w:t>
      </w:r>
      <w:proofErr w:type="gramEnd"/>
      <w:r w:rsidRPr="0098443E">
        <w:rPr>
          <w:rFonts w:cstheme="minorHAnsi"/>
          <w:lang w:val="en-US"/>
        </w:rPr>
        <w:t>5), (6) and (7)</w:t>
      </w:r>
      <w:r>
        <w:rPr>
          <w:rFonts w:cstheme="minorHAnsi"/>
          <w:lang w:val="en-US"/>
        </w:rPr>
        <w:t xml:space="preserve"> </w:t>
      </w:r>
      <w:r w:rsidRPr="00C6342B">
        <w:rPr>
          <w:rFonts w:cstheme="minorHAnsi"/>
          <w:lang w:val="en-US"/>
        </w:rPr>
        <w:t>which provide for repayment of unspent funds and any interest.</w:t>
      </w:r>
    </w:p>
    <w:p w14:paraId="0B5387BC" w14:textId="77777777" w:rsidR="00164C01" w:rsidRDefault="00164C01" w:rsidP="00164C01">
      <w:pPr>
        <w:rPr>
          <w:rFonts w:cstheme="minorHAnsi"/>
          <w:lang w:val="en-US"/>
        </w:rPr>
      </w:pPr>
    </w:p>
    <w:tbl>
      <w:tblPr>
        <w:tblStyle w:val="TableGrid"/>
        <w:tblW w:w="4994" w:type="pct"/>
        <w:tblLook w:val="04A0" w:firstRow="1" w:lastRow="0" w:firstColumn="1" w:lastColumn="0" w:noHBand="0" w:noVBand="1"/>
      </w:tblPr>
      <w:tblGrid>
        <w:gridCol w:w="3397"/>
        <w:gridCol w:w="5608"/>
      </w:tblGrid>
      <w:tr w:rsidR="00164C01" w14:paraId="5E1544B1" w14:textId="77777777" w:rsidTr="008C6830">
        <w:tc>
          <w:tcPr>
            <w:tcW w:w="1886" w:type="pct"/>
          </w:tcPr>
          <w:p w14:paraId="1E8AEBE6" w14:textId="77777777" w:rsidR="00164C01" w:rsidRPr="00D731A9" w:rsidRDefault="00164C01" w:rsidP="008C6830">
            <w:pPr>
              <w:rPr>
                <w:rFonts w:cstheme="minorHAnsi"/>
                <w:b/>
                <w:bCs/>
                <w:lang w:val="en-US"/>
              </w:rPr>
            </w:pPr>
            <w:r>
              <w:rPr>
                <w:rFonts w:cstheme="minorHAnsi"/>
                <w:b/>
                <w:bCs/>
                <w:lang w:val="en-US"/>
              </w:rPr>
              <w:t>Responsible Directorate:</w:t>
            </w:r>
          </w:p>
        </w:tc>
        <w:tc>
          <w:tcPr>
            <w:tcW w:w="3114" w:type="pct"/>
          </w:tcPr>
          <w:p w14:paraId="52889DA9" w14:textId="77777777" w:rsidR="00164C01" w:rsidRDefault="00164C01" w:rsidP="008C6830">
            <w:pPr>
              <w:rPr>
                <w:rFonts w:cstheme="minorHAnsi"/>
                <w:lang w:val="en-US"/>
              </w:rPr>
            </w:pPr>
            <w:r>
              <w:rPr>
                <w:rFonts w:cstheme="minorHAnsi"/>
                <w:lang w:val="en-US"/>
              </w:rPr>
              <w:t>Regulatory Services</w:t>
            </w:r>
          </w:p>
        </w:tc>
      </w:tr>
      <w:tr w:rsidR="00164C01" w14:paraId="3EF2A20E" w14:textId="77777777" w:rsidTr="008C6830">
        <w:tc>
          <w:tcPr>
            <w:tcW w:w="1886" w:type="pct"/>
          </w:tcPr>
          <w:p w14:paraId="70F93482" w14:textId="77777777" w:rsidR="00164C01" w:rsidRPr="00D731A9" w:rsidRDefault="00164C01" w:rsidP="008C6830">
            <w:pPr>
              <w:rPr>
                <w:rFonts w:cstheme="minorHAnsi"/>
                <w:b/>
                <w:bCs/>
                <w:lang w:val="en-US"/>
              </w:rPr>
            </w:pPr>
            <w:r>
              <w:rPr>
                <w:rFonts w:cstheme="minorHAnsi"/>
                <w:b/>
                <w:bCs/>
                <w:lang w:val="en-US"/>
              </w:rPr>
              <w:t>Reviewing Officer:</w:t>
            </w:r>
          </w:p>
        </w:tc>
        <w:tc>
          <w:tcPr>
            <w:tcW w:w="3114" w:type="pct"/>
          </w:tcPr>
          <w:p w14:paraId="236042E2" w14:textId="77777777" w:rsidR="00164C01" w:rsidRDefault="00164C01" w:rsidP="008C6830">
            <w:pPr>
              <w:rPr>
                <w:rFonts w:cstheme="minorHAnsi"/>
                <w:lang w:val="en-US"/>
              </w:rPr>
            </w:pPr>
            <w:r>
              <w:rPr>
                <w:rFonts w:cstheme="minorHAnsi"/>
                <w:lang w:val="en-US"/>
              </w:rPr>
              <w:t>Executive Manager Regulatory Services</w:t>
            </w:r>
          </w:p>
        </w:tc>
      </w:tr>
      <w:tr w:rsidR="00164C01" w14:paraId="665F9265" w14:textId="77777777" w:rsidTr="008C6830">
        <w:tc>
          <w:tcPr>
            <w:tcW w:w="1886" w:type="pct"/>
          </w:tcPr>
          <w:p w14:paraId="7D3FD7A3" w14:textId="77777777" w:rsidR="00164C01" w:rsidRPr="00D731A9" w:rsidRDefault="00164C01" w:rsidP="008C6830">
            <w:pPr>
              <w:rPr>
                <w:rFonts w:cstheme="minorHAnsi"/>
                <w:b/>
                <w:bCs/>
                <w:lang w:val="en-US"/>
              </w:rPr>
            </w:pPr>
            <w:r>
              <w:rPr>
                <w:rFonts w:cstheme="minorHAnsi"/>
                <w:b/>
                <w:bCs/>
                <w:lang w:val="en-US"/>
              </w:rPr>
              <w:t>Decision making Authority:</w:t>
            </w:r>
          </w:p>
        </w:tc>
        <w:tc>
          <w:tcPr>
            <w:tcW w:w="3114" w:type="pct"/>
          </w:tcPr>
          <w:p w14:paraId="15407F47" w14:textId="77777777" w:rsidR="00164C01" w:rsidRDefault="00164C01" w:rsidP="008C6830">
            <w:pPr>
              <w:rPr>
                <w:rFonts w:cstheme="minorHAnsi"/>
                <w:lang w:val="en-US"/>
              </w:rPr>
            </w:pPr>
            <w:r>
              <w:rPr>
                <w:rFonts w:cstheme="minorHAnsi"/>
                <w:lang w:val="en-US"/>
              </w:rPr>
              <w:t xml:space="preserve">Council </w:t>
            </w:r>
          </w:p>
        </w:tc>
      </w:tr>
      <w:tr w:rsidR="00164C01" w14:paraId="166C6851" w14:textId="77777777" w:rsidTr="008C6830">
        <w:tc>
          <w:tcPr>
            <w:tcW w:w="1886" w:type="pct"/>
          </w:tcPr>
          <w:p w14:paraId="7B801118" w14:textId="77777777" w:rsidR="00164C01" w:rsidRPr="00D731A9" w:rsidRDefault="00164C01" w:rsidP="008C6830">
            <w:pPr>
              <w:rPr>
                <w:rFonts w:cstheme="minorHAnsi"/>
                <w:b/>
                <w:bCs/>
                <w:lang w:val="en-US"/>
              </w:rPr>
            </w:pPr>
            <w:r>
              <w:rPr>
                <w:rFonts w:cstheme="minorHAnsi"/>
                <w:b/>
                <w:bCs/>
                <w:lang w:val="en-US"/>
              </w:rPr>
              <w:t>Policy Adopted:</w:t>
            </w:r>
          </w:p>
        </w:tc>
        <w:tc>
          <w:tcPr>
            <w:tcW w:w="3114" w:type="pct"/>
          </w:tcPr>
          <w:p w14:paraId="7B1CAED7" w14:textId="77777777" w:rsidR="00164C01" w:rsidRDefault="00164C01" w:rsidP="008C6830">
            <w:pPr>
              <w:rPr>
                <w:rFonts w:cstheme="minorHAnsi"/>
                <w:lang w:val="en-US"/>
              </w:rPr>
            </w:pPr>
            <w:r>
              <w:rPr>
                <w:rFonts w:cstheme="minorHAnsi"/>
                <w:lang w:val="en-US"/>
              </w:rPr>
              <w:t>18 July 2023</w:t>
            </w:r>
          </w:p>
        </w:tc>
      </w:tr>
      <w:tr w:rsidR="00164C01" w14:paraId="020374D1" w14:textId="77777777" w:rsidTr="008C6830">
        <w:tc>
          <w:tcPr>
            <w:tcW w:w="1886" w:type="pct"/>
          </w:tcPr>
          <w:p w14:paraId="57EAA8CA" w14:textId="77777777" w:rsidR="00164C01" w:rsidRPr="00D731A9" w:rsidRDefault="00164C01" w:rsidP="008C6830">
            <w:pPr>
              <w:rPr>
                <w:rFonts w:cstheme="minorHAnsi"/>
                <w:b/>
                <w:bCs/>
                <w:lang w:val="en-US"/>
              </w:rPr>
            </w:pPr>
            <w:r>
              <w:rPr>
                <w:rFonts w:cstheme="minorHAnsi"/>
                <w:b/>
                <w:bCs/>
                <w:lang w:val="en-US"/>
              </w:rPr>
              <w:t>Policy Amended/Reviewed:</w:t>
            </w:r>
          </w:p>
        </w:tc>
        <w:tc>
          <w:tcPr>
            <w:tcW w:w="3114" w:type="pct"/>
          </w:tcPr>
          <w:p w14:paraId="605A4484" w14:textId="77777777" w:rsidR="00164C01" w:rsidRDefault="00164C01" w:rsidP="008C6830">
            <w:pPr>
              <w:rPr>
                <w:rFonts w:cstheme="minorHAnsi"/>
                <w:lang w:val="en-US"/>
              </w:rPr>
            </w:pPr>
          </w:p>
        </w:tc>
      </w:tr>
    </w:tbl>
    <w:p w14:paraId="59A528E0" w14:textId="77777777" w:rsidR="00164C01" w:rsidRDefault="00164C01" w:rsidP="00164C01">
      <w:pPr>
        <w:rPr>
          <w:lang w:val="en-US"/>
        </w:rPr>
        <w:sectPr w:rsidR="00164C01" w:rsidSect="00164C01">
          <w:pgSz w:w="11906" w:h="16838"/>
          <w:pgMar w:top="1440" w:right="1440" w:bottom="1440" w:left="1440" w:header="708" w:footer="708" w:gutter="0"/>
          <w:cols w:space="708"/>
          <w:docGrid w:linePitch="360"/>
        </w:sectPr>
      </w:pPr>
      <w:bookmarkStart w:id="534" w:name="_Hlk121402135"/>
    </w:p>
    <w:p w14:paraId="301E0700" w14:textId="77777777" w:rsidR="00164C01" w:rsidRPr="006F6DAD" w:rsidRDefault="00164C01" w:rsidP="006F6DAD">
      <w:pPr>
        <w:pStyle w:val="Heading1"/>
        <w:spacing w:before="120"/>
        <w:ind w:left="16560"/>
        <w:jc w:val="center"/>
        <w:rPr>
          <w:sz w:val="20"/>
          <w:szCs w:val="20"/>
          <w:lang w:val="en-US"/>
        </w:rPr>
      </w:pPr>
      <w:r w:rsidRPr="006F6DAD">
        <w:rPr>
          <w:sz w:val="20"/>
          <w:szCs w:val="20"/>
          <w:lang w:val="en-US"/>
        </w:rPr>
        <w:lastRenderedPageBreak/>
        <w:t>Attachment 1 – Sub-plan Area Map</w:t>
      </w:r>
    </w:p>
    <w:p w14:paraId="7F00C97C" w14:textId="77777777" w:rsidR="00164C01" w:rsidRPr="001461DE" w:rsidRDefault="00164C01" w:rsidP="00164C01">
      <w:pPr>
        <w:jc w:val="center"/>
        <w:rPr>
          <w:lang w:val="en-US"/>
        </w:rPr>
      </w:pPr>
      <w:r>
        <w:rPr>
          <w:noProof/>
          <w:lang w:val="en-US"/>
        </w:rPr>
        <w:drawing>
          <wp:inline distT="0" distB="0" distL="0" distR="0" wp14:anchorId="37073020" wp14:editId="29CE0F19">
            <wp:extent cx="8201862" cy="11609942"/>
            <wp:effectExtent l="0" t="8573" r="318" b="317"/>
            <wp:docPr id="928782038" name="Picture 92878203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82038" name="Picture 928782038" descr="A map of a city&#10;&#10;Description automatically generated"/>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rot="16200000">
                      <a:off x="0" y="0"/>
                      <a:ext cx="8201862" cy="11609942"/>
                    </a:xfrm>
                    <a:prstGeom prst="rect">
                      <a:avLst/>
                    </a:prstGeom>
                    <a:noFill/>
                    <a:ln>
                      <a:noFill/>
                    </a:ln>
                  </pic:spPr>
                </pic:pic>
              </a:graphicData>
            </a:graphic>
          </wp:inline>
        </w:drawing>
      </w:r>
      <w:r>
        <w:rPr>
          <w:noProof/>
          <w:lang w:val="en-US"/>
        </w:rPr>
        <w:drawing>
          <wp:inline distT="0" distB="0" distL="0" distR="0" wp14:anchorId="6125F2E5" wp14:editId="3230549C">
            <wp:extent cx="1309503" cy="1625808"/>
            <wp:effectExtent l="0" t="5715" r="0" b="0"/>
            <wp:docPr id="1276076138" name="Picture 127607613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76138" name="Picture 1276076138" descr="A screenshot of a phone&#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rot="16200000">
                      <a:off x="0" y="0"/>
                      <a:ext cx="1324522" cy="1644454"/>
                    </a:xfrm>
                    <a:prstGeom prst="rect">
                      <a:avLst/>
                    </a:prstGeom>
                    <a:noFill/>
                    <a:ln>
                      <a:noFill/>
                    </a:ln>
                  </pic:spPr>
                </pic:pic>
              </a:graphicData>
            </a:graphic>
          </wp:inline>
        </w:drawing>
      </w:r>
    </w:p>
    <w:p w14:paraId="5C3EA5A3" w14:textId="77777777" w:rsidR="00164C01" w:rsidRPr="00E330AC" w:rsidRDefault="00164C01" w:rsidP="00164C01">
      <w:pPr>
        <w:ind w:left="2160"/>
        <w:rPr>
          <w:rFonts w:cstheme="minorHAnsi"/>
          <w:w w:val="105"/>
          <w:sz w:val="18"/>
          <w:szCs w:val="18"/>
        </w:rPr>
      </w:pPr>
      <w:bookmarkStart w:id="535" w:name="_Hlk121486430"/>
      <w:r>
        <w:rPr>
          <w:rFonts w:cstheme="minorHAnsi"/>
          <w:w w:val="105"/>
          <w:sz w:val="18"/>
          <w:szCs w:val="18"/>
        </w:rPr>
        <w:t xml:space="preserve">Note: </w:t>
      </w:r>
      <w:r w:rsidRPr="00E330AC">
        <w:rPr>
          <w:rFonts w:cstheme="minorHAnsi"/>
          <w:w w:val="105"/>
          <w:sz w:val="18"/>
          <w:szCs w:val="18"/>
        </w:rPr>
        <w:t>Contributions paid towards parking infrastructure in terms of the plan need to be spent in the Sub-plan area within which the contribution was made.</w:t>
      </w:r>
    </w:p>
    <w:bookmarkEnd w:id="535"/>
    <w:p w14:paraId="6A654756" w14:textId="77777777" w:rsidR="00164C01" w:rsidRPr="006F6DAD" w:rsidRDefault="00164C01" w:rsidP="006F6DAD">
      <w:pPr>
        <w:pStyle w:val="Heading1"/>
        <w:spacing w:before="120"/>
        <w:ind w:left="15480" w:hanging="360"/>
        <w:rPr>
          <w:sz w:val="20"/>
          <w:szCs w:val="20"/>
          <w:lang w:val="en-US"/>
        </w:rPr>
      </w:pPr>
      <w:r w:rsidRPr="006F6DAD">
        <w:rPr>
          <w:sz w:val="20"/>
          <w:szCs w:val="20"/>
          <w:lang w:val="en-US"/>
        </w:rPr>
        <w:lastRenderedPageBreak/>
        <w:t>Attachment 2A – Parking Map and Other Infrastructure</w:t>
      </w:r>
    </w:p>
    <w:p w14:paraId="4A6EA860" w14:textId="77777777" w:rsidR="00164C01" w:rsidRPr="001461DE" w:rsidRDefault="00164C01" w:rsidP="00164C01">
      <w:pPr>
        <w:rPr>
          <w:lang w:val="en-US"/>
        </w:rPr>
      </w:pPr>
      <w:r>
        <w:rPr>
          <w:noProof/>
          <w:lang w:val="en-US"/>
        </w:rPr>
        <w:drawing>
          <wp:inline distT="0" distB="0" distL="0" distR="0" wp14:anchorId="54B6FDB0" wp14:editId="0DE4F954">
            <wp:extent cx="8168477" cy="11562685"/>
            <wp:effectExtent l="0" t="1587" r="2857" b="2858"/>
            <wp:docPr id="1003757168" name="Picture 100375716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57168" name="Picture 1003757168" descr="A map of a city&#10;&#10;Description automatically generated"/>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rot="16200000">
                      <a:off x="0" y="0"/>
                      <a:ext cx="8173639" cy="11569992"/>
                    </a:xfrm>
                    <a:prstGeom prst="rect">
                      <a:avLst/>
                    </a:prstGeom>
                    <a:noFill/>
                    <a:ln>
                      <a:noFill/>
                    </a:ln>
                  </pic:spPr>
                </pic:pic>
              </a:graphicData>
            </a:graphic>
          </wp:inline>
        </w:drawing>
      </w:r>
      <w:r>
        <w:rPr>
          <w:rFonts w:cstheme="minorHAnsi"/>
          <w:b/>
          <w:bCs/>
          <w:noProof/>
          <w:w w:val="110"/>
        </w:rPr>
        <w:drawing>
          <wp:inline distT="0" distB="0" distL="0" distR="0" wp14:anchorId="2CD70120" wp14:editId="4F5303BD">
            <wp:extent cx="1982937" cy="1200373"/>
            <wp:effectExtent l="0" t="8890" r="8890" b="8890"/>
            <wp:docPr id="150713807" name="Picture 150713807"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3807" name="Picture 150713807" descr="A close-up of a sign&#10;&#10;Description automatically generated"/>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rot="16200000">
                      <a:off x="0" y="0"/>
                      <a:ext cx="1982937" cy="1200373"/>
                    </a:xfrm>
                    <a:prstGeom prst="rect">
                      <a:avLst/>
                    </a:prstGeom>
                    <a:noFill/>
                    <a:ln>
                      <a:noFill/>
                    </a:ln>
                  </pic:spPr>
                </pic:pic>
              </a:graphicData>
            </a:graphic>
          </wp:inline>
        </w:drawing>
      </w:r>
    </w:p>
    <w:p w14:paraId="123E4790" w14:textId="77777777" w:rsidR="00164C01" w:rsidRPr="00E330AC" w:rsidRDefault="00164C01" w:rsidP="00164C01">
      <w:pPr>
        <w:pBdr>
          <w:top w:val="single" w:sz="4" w:space="1" w:color="auto"/>
          <w:left w:val="single" w:sz="4" w:space="1" w:color="auto"/>
          <w:bottom w:val="single" w:sz="4" w:space="1" w:color="auto"/>
          <w:right w:val="single" w:sz="4" w:space="4" w:color="auto"/>
        </w:pBdr>
        <w:kinsoku w:val="0"/>
        <w:overflowPunct w:val="0"/>
        <w:autoSpaceDE w:val="0"/>
        <w:autoSpaceDN w:val="0"/>
        <w:adjustRightInd w:val="0"/>
        <w:spacing w:line="254" w:lineRule="auto"/>
        <w:ind w:right="432"/>
        <w:jc w:val="center"/>
        <w:rPr>
          <w:rFonts w:cstheme="minorHAnsi"/>
          <w:w w:val="105"/>
          <w:sz w:val="18"/>
          <w:szCs w:val="18"/>
        </w:rPr>
      </w:pPr>
      <w:r>
        <w:rPr>
          <w:rFonts w:cstheme="minorHAnsi"/>
          <w:w w:val="105"/>
          <w:sz w:val="18"/>
          <w:szCs w:val="18"/>
        </w:rPr>
        <w:t xml:space="preserve">Note: </w:t>
      </w:r>
      <w:r w:rsidRPr="00E330AC">
        <w:rPr>
          <w:rFonts w:cstheme="minorHAnsi"/>
          <w:w w:val="105"/>
          <w:sz w:val="18"/>
          <w:szCs w:val="18"/>
        </w:rPr>
        <w:t>Contributions paid towards parking infrastructure in terms of the plan need to be spent in the Sub-plan area within which the contribution was made.</w:t>
      </w:r>
    </w:p>
    <w:p w14:paraId="7A4C2D3C" w14:textId="77777777" w:rsidR="00164C01" w:rsidRDefault="00164C01" w:rsidP="00164C01">
      <w:pPr>
        <w:rPr>
          <w:lang w:val="en-US"/>
        </w:rPr>
        <w:sectPr w:rsidR="00164C01" w:rsidSect="00164C01">
          <w:pgSz w:w="23811" w:h="16838" w:orient="landscape" w:code="8"/>
          <w:pgMar w:top="1440" w:right="1440" w:bottom="1440" w:left="1440" w:header="708" w:footer="708" w:gutter="0"/>
          <w:cols w:space="708"/>
          <w:docGrid w:linePitch="360"/>
        </w:sectPr>
      </w:pPr>
    </w:p>
    <w:p w14:paraId="57705367" w14:textId="77777777" w:rsidR="00164C01" w:rsidRPr="006F6DAD" w:rsidRDefault="00164C01" w:rsidP="00164C01">
      <w:pPr>
        <w:pStyle w:val="Heading1"/>
        <w:ind w:left="360" w:hanging="360"/>
        <w:jc w:val="right"/>
        <w:rPr>
          <w:sz w:val="24"/>
          <w:szCs w:val="24"/>
          <w:lang w:val="en-US"/>
        </w:rPr>
      </w:pPr>
      <w:r w:rsidRPr="006F6DAD">
        <w:rPr>
          <w:sz w:val="24"/>
          <w:szCs w:val="24"/>
          <w:lang w:val="en-US"/>
        </w:rPr>
        <w:lastRenderedPageBreak/>
        <w:t>Attachment 2B – More specific intentions</w:t>
      </w:r>
    </w:p>
    <w:p w14:paraId="0B3C72F5" w14:textId="77777777" w:rsidR="00164C01" w:rsidRDefault="00164C01" w:rsidP="00303E96">
      <w:pPr>
        <w:pStyle w:val="ListParagraph"/>
        <w:numPr>
          <w:ilvl w:val="0"/>
          <w:numId w:val="500"/>
        </w:numPr>
        <w:spacing w:after="0" w:line="240" w:lineRule="auto"/>
        <w:jc w:val="both"/>
        <w:rPr>
          <w:rFonts w:eastAsiaTheme="majorEastAsia" w:cstheme="majorBidi"/>
          <w:b/>
          <w:color w:val="365F91" w:themeColor="accent1" w:themeShade="BF"/>
          <w:szCs w:val="32"/>
          <w:lang w:val="en-US"/>
        </w:rPr>
      </w:pPr>
      <w:r w:rsidRPr="004D5110">
        <w:rPr>
          <w:rFonts w:eastAsiaTheme="majorEastAsia" w:cstheme="majorBidi"/>
          <w:b/>
          <w:color w:val="365F91" w:themeColor="accent1" w:themeShade="BF"/>
          <w:szCs w:val="32"/>
          <w:lang w:val="en-US"/>
        </w:rPr>
        <w:t>Town Centre</w:t>
      </w:r>
    </w:p>
    <w:p w14:paraId="2912E0FF" w14:textId="77777777" w:rsidR="00164C01" w:rsidRPr="003D4800" w:rsidRDefault="00164C01" w:rsidP="006F6DAD">
      <w:pPr>
        <w:spacing w:after="120"/>
      </w:pPr>
      <w:r>
        <w:t>More specific intentions:</w:t>
      </w:r>
    </w:p>
    <w:p w14:paraId="544E4EC2" w14:textId="77777777" w:rsidR="00164C01" w:rsidRPr="003A1F85" w:rsidRDefault="00164C01" w:rsidP="00303E96">
      <w:pPr>
        <w:pStyle w:val="ListParagraph"/>
        <w:numPr>
          <w:ilvl w:val="0"/>
          <w:numId w:val="497"/>
        </w:numPr>
        <w:spacing w:after="0" w:line="240" w:lineRule="auto"/>
        <w:jc w:val="both"/>
        <w:rPr>
          <w:w w:val="105"/>
        </w:rPr>
      </w:pPr>
      <w:r w:rsidRPr="003A1F85">
        <w:rPr>
          <w:w w:val="105"/>
        </w:rPr>
        <w:t>Speed reduction measures on Silas Street (between St Peters Road and Canning Highway) and Council Place (consideration for Safe Active Street design).</w:t>
      </w:r>
    </w:p>
    <w:p w14:paraId="5B304430" w14:textId="77777777" w:rsidR="00164C01" w:rsidRPr="003A1F85" w:rsidRDefault="00164C01" w:rsidP="00303E96">
      <w:pPr>
        <w:pStyle w:val="ListParagraph"/>
        <w:numPr>
          <w:ilvl w:val="0"/>
          <w:numId w:val="497"/>
        </w:numPr>
        <w:spacing w:after="0" w:line="240" w:lineRule="auto"/>
        <w:jc w:val="both"/>
        <w:rPr>
          <w:w w:val="105"/>
        </w:rPr>
      </w:pPr>
      <w:r w:rsidRPr="003A1F85">
        <w:rPr>
          <w:w w:val="105"/>
        </w:rPr>
        <w:t>Provide/upgrade and maintain high-quality bus facilities such as seating and shelters (Canning Highway).</w:t>
      </w:r>
    </w:p>
    <w:p w14:paraId="65B4CBDD" w14:textId="77777777" w:rsidR="00164C01" w:rsidRPr="003A1F85" w:rsidRDefault="00164C01" w:rsidP="00303E96">
      <w:pPr>
        <w:pStyle w:val="ListParagraph"/>
        <w:numPr>
          <w:ilvl w:val="0"/>
          <w:numId w:val="497"/>
        </w:numPr>
        <w:spacing w:after="0" w:line="240" w:lineRule="auto"/>
      </w:pPr>
      <w:r w:rsidRPr="003A1F85">
        <w:t>Provision of electric vehicle charging facilities.</w:t>
      </w:r>
      <w:r w:rsidRPr="003A1F85">
        <w:rPr>
          <w:w w:val="105"/>
        </w:rPr>
        <w:t xml:space="preserve"> </w:t>
      </w:r>
    </w:p>
    <w:p w14:paraId="63FDC2BC"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w w:val="105"/>
        </w:rPr>
        <w:t>Enable and promote public parking at the Town Hall on weekends.</w:t>
      </w:r>
    </w:p>
    <w:p w14:paraId="1924A441"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 xml:space="preserve">Streetscape works, tree planting, street furniture on Silas Street (between Canning Highway and St Peters Road); May Street, Council Place; St Peters Road (between May Street and Council Place); </w:t>
      </w:r>
      <w:bookmarkStart w:id="536" w:name="_Hlk125457337"/>
      <w:r>
        <w:rPr>
          <w:rFonts w:cstheme="minorHAnsi"/>
          <w:w w:val="105"/>
        </w:rPr>
        <w:t>Staton Road (from Canning Highway extending along the extent of the Town Centre zone);</w:t>
      </w:r>
      <w:bookmarkEnd w:id="536"/>
      <w:r>
        <w:rPr>
          <w:rFonts w:cstheme="minorHAnsi"/>
          <w:w w:val="105"/>
        </w:rPr>
        <w:t xml:space="preserve"> </w:t>
      </w:r>
      <w:r w:rsidRPr="003A1F85">
        <w:rPr>
          <w:rFonts w:cstheme="minorHAnsi"/>
          <w:w w:val="105"/>
        </w:rPr>
        <w:t>and Canning Highway (between May Street and Stirling Highway).</w:t>
      </w:r>
    </w:p>
    <w:p w14:paraId="2DBE120E" w14:textId="77777777" w:rsidR="00164C01" w:rsidRPr="00EB2CB3" w:rsidRDefault="00164C01" w:rsidP="00164C01">
      <w:pPr>
        <w:rPr>
          <w:w w:val="105"/>
        </w:rPr>
      </w:pPr>
    </w:p>
    <w:p w14:paraId="6FC75EA7" w14:textId="77777777" w:rsidR="00164C01" w:rsidRPr="00217BC1" w:rsidRDefault="00164C01" w:rsidP="00164C01">
      <w:pPr>
        <w:rPr>
          <w:w w:val="105"/>
          <w:u w:val="single"/>
        </w:rPr>
      </w:pPr>
      <w:r w:rsidRPr="00217BC1">
        <w:rPr>
          <w:w w:val="105"/>
          <w:u w:val="single"/>
        </w:rPr>
        <w:t>Common to Sub-plan areas 1, 2 and 3</w:t>
      </w:r>
    </w:p>
    <w:p w14:paraId="4E871604"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bookmarkStart w:id="537" w:name="_Hlk130288506"/>
      <w:r w:rsidRPr="003A1F85">
        <w:rPr>
          <w:rFonts w:cstheme="minorHAnsi"/>
          <w:w w:val="105"/>
        </w:rPr>
        <w:t>Upgrade of the St Peters Road/Stirling Highway underpass</w:t>
      </w:r>
      <w:r>
        <w:rPr>
          <w:rFonts w:cstheme="minorHAnsi"/>
          <w:w w:val="105"/>
        </w:rPr>
        <w:t xml:space="preserve"> in consultation with and approval from Main Roads WA.</w:t>
      </w:r>
    </w:p>
    <w:p w14:paraId="2F648047" w14:textId="77777777" w:rsidR="00164C01" w:rsidRPr="00BA71F7"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Upgrade of the George Street/Stirling Highway underpass</w:t>
      </w:r>
      <w:r>
        <w:rPr>
          <w:rFonts w:cstheme="minorHAnsi"/>
          <w:w w:val="105"/>
        </w:rPr>
        <w:t xml:space="preserve"> in consultation with and approval from Main Roads WA.</w:t>
      </w:r>
    </w:p>
    <w:p w14:paraId="3D9A020E"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Streetscape works, tree planting, street furniture along George Street, between Stirling Highway and Moss Street.</w:t>
      </w:r>
    </w:p>
    <w:p w14:paraId="584D99E4"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Streetscape works, tree planting, street furniture along Silas Street, between St Peters Street and Bay Patch Road/Marmion Street.</w:t>
      </w:r>
    </w:p>
    <w:p w14:paraId="3415B29F" w14:textId="77777777" w:rsidR="00164C01" w:rsidRPr="003A1F85" w:rsidRDefault="00164C01" w:rsidP="00303E96">
      <w:pPr>
        <w:pStyle w:val="ListParagraph"/>
        <w:numPr>
          <w:ilvl w:val="0"/>
          <w:numId w:val="498"/>
        </w:numPr>
        <w:spacing w:after="0" w:line="240" w:lineRule="auto"/>
        <w:jc w:val="both"/>
        <w:rPr>
          <w:w w:val="105"/>
        </w:rPr>
      </w:pPr>
      <w:r w:rsidRPr="003A1F85">
        <w:rPr>
          <w:w w:val="105"/>
        </w:rPr>
        <w:t>Speed reduction measures on George Street between Stirling Highway and Moss Street (consideration for Safe Active Street design).</w:t>
      </w:r>
    </w:p>
    <w:bookmarkEnd w:id="537"/>
    <w:p w14:paraId="3F723BBA" w14:textId="77777777" w:rsidR="00164C01" w:rsidRPr="00B74C24" w:rsidRDefault="00164C01" w:rsidP="00164C01">
      <w:pPr>
        <w:pStyle w:val="ListParagraph"/>
        <w:ind w:left="360"/>
        <w:rPr>
          <w:w w:val="105"/>
        </w:rPr>
      </w:pPr>
    </w:p>
    <w:p w14:paraId="1C6A30BB" w14:textId="77777777" w:rsidR="00164C01" w:rsidRDefault="00164C01" w:rsidP="00303E96">
      <w:pPr>
        <w:pStyle w:val="ListParagraph"/>
        <w:numPr>
          <w:ilvl w:val="0"/>
          <w:numId w:val="500"/>
        </w:numPr>
        <w:spacing w:after="0" w:line="240" w:lineRule="auto"/>
        <w:jc w:val="both"/>
        <w:rPr>
          <w:rFonts w:eastAsiaTheme="majorEastAsia" w:cstheme="majorBidi"/>
          <w:b/>
          <w:color w:val="365F91" w:themeColor="accent1" w:themeShade="BF"/>
          <w:szCs w:val="32"/>
          <w:lang w:val="en-US"/>
        </w:rPr>
      </w:pPr>
      <w:r w:rsidRPr="004D5110">
        <w:rPr>
          <w:rFonts w:eastAsiaTheme="majorEastAsia" w:cstheme="majorBidi"/>
          <w:b/>
          <w:color w:val="365F91" w:themeColor="accent1" w:themeShade="BF"/>
          <w:szCs w:val="32"/>
          <w:lang w:val="en-US"/>
        </w:rPr>
        <w:t>Plympton</w:t>
      </w:r>
    </w:p>
    <w:p w14:paraId="30DC2776" w14:textId="77777777" w:rsidR="00164C01" w:rsidRPr="003D4800" w:rsidRDefault="00164C01" w:rsidP="006F6DAD">
      <w:pPr>
        <w:spacing w:after="120"/>
      </w:pPr>
      <w:r>
        <w:t>More specific intentions:</w:t>
      </w:r>
    </w:p>
    <w:p w14:paraId="08E2B62F"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Streetscape works, tree planting, street furniture along George Street between East Street and Stirling Highway.</w:t>
      </w:r>
    </w:p>
    <w:p w14:paraId="7C73D428"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Streetscape works, tree planting, street furniture along Duke Street between King Street and George Street.</w:t>
      </w:r>
    </w:p>
    <w:p w14:paraId="029EED62"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Provide for one way traffic flow along Duke Street between King Street and George Street.</w:t>
      </w:r>
    </w:p>
    <w:p w14:paraId="26057CFA"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Clear line marking to Australian standards and standard signage to delineate parking bays and restrictions throughout the precinct including residential streets.</w:t>
      </w:r>
    </w:p>
    <w:p w14:paraId="3B985B63"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 xml:space="preserve">Mark roadway to prevent parking in front of residential property access/driveways </w:t>
      </w:r>
      <w:proofErr w:type="gramStart"/>
      <w:r w:rsidRPr="003A1F85">
        <w:rPr>
          <w:rFonts w:cstheme="minorHAnsi"/>
          <w:w w:val="105"/>
        </w:rPr>
        <w:t>where</w:t>
      </w:r>
      <w:proofErr w:type="gramEnd"/>
      <w:r w:rsidRPr="003A1F85">
        <w:rPr>
          <w:rFonts w:cstheme="minorHAnsi"/>
          <w:w w:val="105"/>
        </w:rPr>
        <w:t xml:space="preserve"> considered necessary and appropriate.</w:t>
      </w:r>
    </w:p>
    <w:p w14:paraId="5EF6CA44"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Pr>
          <w:rFonts w:cstheme="minorHAnsi"/>
          <w:w w:val="105"/>
        </w:rPr>
        <w:t>Consider potential to i</w:t>
      </w:r>
      <w:r w:rsidRPr="003A1F85">
        <w:rPr>
          <w:rFonts w:cstheme="minorHAnsi"/>
          <w:w w:val="105"/>
        </w:rPr>
        <w:t>ntroduce parking permits for residents who have no onsite parking to exempt them from parking restrictions.</w:t>
      </w:r>
    </w:p>
    <w:p w14:paraId="3CBA82B9"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Pr>
          <w:rFonts w:cstheme="minorHAnsi"/>
          <w:w w:val="105"/>
        </w:rPr>
        <w:t>Consider potential to r</w:t>
      </w:r>
      <w:r w:rsidRPr="003A1F85">
        <w:rPr>
          <w:rFonts w:cstheme="minorHAnsi"/>
          <w:w w:val="105"/>
        </w:rPr>
        <w:t>emov</w:t>
      </w:r>
      <w:r>
        <w:rPr>
          <w:rFonts w:cstheme="minorHAnsi"/>
          <w:w w:val="105"/>
        </w:rPr>
        <w:t>e</w:t>
      </w:r>
      <w:r w:rsidRPr="003A1F85">
        <w:rPr>
          <w:rFonts w:cstheme="minorHAnsi"/>
          <w:w w:val="105"/>
        </w:rPr>
        <w:t xml:space="preserve"> local area traffic management (LATM) measures along Hubble Street and Sewell Street and replace with alternate measures as appropriate.</w:t>
      </w:r>
    </w:p>
    <w:p w14:paraId="5A35BBE3"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High quality pedestrian and cycling infrastructure</w:t>
      </w:r>
      <w:r w:rsidRPr="003A1F85">
        <w:rPr>
          <w:w w:val="105"/>
        </w:rPr>
        <w:t xml:space="preserve"> for the Royal George Hotel redevelopment and The Entrance (Roofing 2000) and any other significant development</w:t>
      </w:r>
      <w:r w:rsidRPr="003A1F85">
        <w:rPr>
          <w:rFonts w:cstheme="minorHAnsi"/>
          <w:w w:val="105"/>
        </w:rPr>
        <w:t xml:space="preserve"> that encourages walking and cycling (e.g. bike racks and end of trip facilities) including connections to existing walking and cycling paths.</w:t>
      </w:r>
    </w:p>
    <w:p w14:paraId="5A75D4A5"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Provide appropriate road marking to delineate Marmion Street cycling lane between East Street and Stirling Highway.</w:t>
      </w:r>
    </w:p>
    <w:p w14:paraId="756BAE55" w14:textId="77777777" w:rsidR="00164C01" w:rsidRPr="003A1F85" w:rsidRDefault="00164C01" w:rsidP="00303E96">
      <w:pPr>
        <w:pStyle w:val="ListParagraph"/>
        <w:numPr>
          <w:ilvl w:val="0"/>
          <w:numId w:val="496"/>
        </w:numPr>
        <w:spacing w:after="0" w:line="240" w:lineRule="auto"/>
        <w:jc w:val="both"/>
        <w:rPr>
          <w:w w:val="105"/>
        </w:rPr>
      </w:pPr>
      <w:r w:rsidRPr="003A1F85">
        <w:rPr>
          <w:w w:val="105"/>
        </w:rPr>
        <w:lastRenderedPageBreak/>
        <w:t>Speed reduction measures on George Street (between East Street and Stirling Highway) and King Street (consideration for Safe Active Street design).</w:t>
      </w:r>
    </w:p>
    <w:p w14:paraId="3F0BDE67" w14:textId="77777777" w:rsidR="00164C01" w:rsidRPr="003A1F85"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3A1F85">
        <w:rPr>
          <w:w w:val="105"/>
        </w:rPr>
        <w:t>Provide/upgrade and maintain high-quality bus facilities such as seating and shelters (Canning Highway and Marmion Street).</w:t>
      </w:r>
    </w:p>
    <w:p w14:paraId="455FE212" w14:textId="77777777" w:rsidR="00164C01" w:rsidRPr="003A1F85" w:rsidRDefault="00164C01" w:rsidP="00303E96">
      <w:pPr>
        <w:pStyle w:val="ListParagraph"/>
        <w:numPr>
          <w:ilvl w:val="0"/>
          <w:numId w:val="498"/>
        </w:numPr>
        <w:spacing w:after="0" w:line="240" w:lineRule="auto"/>
        <w:jc w:val="both"/>
      </w:pPr>
      <w:r w:rsidRPr="003A1F85">
        <w:t>Provision of electric vehicle charging facilities.</w:t>
      </w:r>
    </w:p>
    <w:p w14:paraId="0A709F6A" w14:textId="77777777" w:rsidR="00164C01" w:rsidRPr="003A1F85" w:rsidRDefault="00164C01" w:rsidP="00164C01"/>
    <w:p w14:paraId="1DA054F1" w14:textId="77777777" w:rsidR="00164C01" w:rsidRPr="00217BC1" w:rsidRDefault="00164C01" w:rsidP="00164C01">
      <w:pPr>
        <w:rPr>
          <w:w w:val="105"/>
          <w:u w:val="single"/>
        </w:rPr>
      </w:pPr>
      <w:r w:rsidRPr="00217BC1">
        <w:rPr>
          <w:w w:val="105"/>
          <w:u w:val="single"/>
        </w:rPr>
        <w:t>Common to Sub-plan areas 1, 2 and 3</w:t>
      </w:r>
    </w:p>
    <w:p w14:paraId="2AE75434"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Upgrade of the St Peters Road/Stirling Highway underpass</w:t>
      </w:r>
      <w:r>
        <w:rPr>
          <w:rFonts w:cstheme="minorHAnsi"/>
          <w:w w:val="105"/>
        </w:rPr>
        <w:t xml:space="preserve"> in consultation with and approval from Main Roads WA.</w:t>
      </w:r>
    </w:p>
    <w:p w14:paraId="079620A4" w14:textId="77777777" w:rsidR="00164C01" w:rsidRPr="00BA71F7"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Upgrade of the George Street/Stirling Highway underpass</w:t>
      </w:r>
      <w:r>
        <w:rPr>
          <w:rFonts w:cstheme="minorHAnsi"/>
          <w:w w:val="105"/>
        </w:rPr>
        <w:t xml:space="preserve"> in consultation with and approval from Main Roads WA.</w:t>
      </w:r>
    </w:p>
    <w:p w14:paraId="256EED93"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Streetscape works, tree planting, street furniture along George Street, between Stirling Highway and Moss Street.</w:t>
      </w:r>
    </w:p>
    <w:p w14:paraId="2B9CEA82"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Streetscape works, tree planting, street furniture along Silas Street, between St Peters Street and Bay Patch Road/Marmion Street.</w:t>
      </w:r>
    </w:p>
    <w:p w14:paraId="3DDD495B" w14:textId="77777777" w:rsidR="00164C01" w:rsidRPr="003A1F85" w:rsidRDefault="00164C01" w:rsidP="00303E96">
      <w:pPr>
        <w:pStyle w:val="ListParagraph"/>
        <w:numPr>
          <w:ilvl w:val="0"/>
          <w:numId w:val="498"/>
        </w:numPr>
        <w:spacing w:after="0" w:line="240" w:lineRule="auto"/>
        <w:jc w:val="both"/>
        <w:rPr>
          <w:w w:val="105"/>
        </w:rPr>
      </w:pPr>
      <w:r w:rsidRPr="003A1F85">
        <w:rPr>
          <w:w w:val="105"/>
        </w:rPr>
        <w:t>Speed reduction measures on George Street between Stirling Highway and Moss Street (consideration for Safe Active Street design).</w:t>
      </w:r>
    </w:p>
    <w:p w14:paraId="6D53F083" w14:textId="77777777" w:rsidR="00164C01" w:rsidRPr="007D462F" w:rsidRDefault="00164C01" w:rsidP="00164C01">
      <w:pPr>
        <w:rPr>
          <w:color w:val="1F497D" w:themeColor="text2"/>
        </w:rPr>
      </w:pPr>
    </w:p>
    <w:p w14:paraId="483EC43B" w14:textId="77777777" w:rsidR="00164C01" w:rsidRDefault="00164C01" w:rsidP="00303E96">
      <w:pPr>
        <w:pStyle w:val="ListParagraph"/>
        <w:numPr>
          <w:ilvl w:val="0"/>
          <w:numId w:val="500"/>
        </w:numPr>
        <w:spacing w:after="0" w:line="240" w:lineRule="auto"/>
        <w:jc w:val="both"/>
        <w:rPr>
          <w:rFonts w:eastAsiaTheme="majorEastAsia" w:cstheme="majorBidi"/>
          <w:b/>
          <w:color w:val="365F91" w:themeColor="accent1" w:themeShade="BF"/>
          <w:szCs w:val="32"/>
          <w:lang w:val="en-US"/>
        </w:rPr>
      </w:pPr>
      <w:r>
        <w:rPr>
          <w:rFonts w:eastAsiaTheme="majorEastAsia" w:cstheme="majorBidi"/>
          <w:b/>
          <w:color w:val="365F91" w:themeColor="accent1" w:themeShade="BF"/>
          <w:szCs w:val="32"/>
          <w:lang w:val="en-US"/>
        </w:rPr>
        <w:t>East Fremantle Oval Precinct</w:t>
      </w:r>
    </w:p>
    <w:p w14:paraId="2AFAE1FA" w14:textId="77777777" w:rsidR="00164C01" w:rsidRDefault="00164C01" w:rsidP="006F6DAD">
      <w:pPr>
        <w:spacing w:after="120"/>
        <w:rPr>
          <w:lang w:val="en-US"/>
        </w:rPr>
      </w:pPr>
      <w:r>
        <w:rPr>
          <w:lang w:val="en-US"/>
        </w:rPr>
        <w:t>More specific intentions:</w:t>
      </w:r>
    </w:p>
    <w:p w14:paraId="75BC05CA" w14:textId="77777777" w:rsidR="00164C01" w:rsidRPr="009963D8" w:rsidRDefault="00164C01" w:rsidP="00303E96">
      <w:pPr>
        <w:pStyle w:val="ListParagraph"/>
        <w:numPr>
          <w:ilvl w:val="0"/>
          <w:numId w:val="494"/>
        </w:numPr>
        <w:kinsoku w:val="0"/>
        <w:overflowPunct w:val="0"/>
        <w:autoSpaceDE w:val="0"/>
        <w:autoSpaceDN w:val="0"/>
        <w:adjustRightInd w:val="0"/>
        <w:spacing w:before="118" w:after="0" w:line="240" w:lineRule="auto"/>
        <w:jc w:val="both"/>
        <w:rPr>
          <w:rFonts w:cstheme="minorHAnsi"/>
          <w:w w:val="105"/>
        </w:rPr>
      </w:pPr>
      <w:r w:rsidRPr="009963D8">
        <w:rPr>
          <w:rFonts w:cstheme="minorHAnsi"/>
          <w:w w:val="105"/>
        </w:rPr>
        <w:t>High quality pedestrian and cycling infrastructure that encourages walking and cycling (e.g. bike racks and end of trip facilities) including connections to existing walking and cycling paths.</w:t>
      </w:r>
    </w:p>
    <w:p w14:paraId="49370BA5" w14:textId="77777777" w:rsidR="00164C01" w:rsidRPr="00EB2CB3" w:rsidRDefault="00164C01" w:rsidP="00303E96">
      <w:pPr>
        <w:pStyle w:val="ListParagraph"/>
        <w:numPr>
          <w:ilvl w:val="0"/>
          <w:numId w:val="494"/>
        </w:numPr>
        <w:spacing w:after="0" w:line="240" w:lineRule="auto"/>
        <w:jc w:val="both"/>
        <w:rPr>
          <w:w w:val="105"/>
        </w:rPr>
      </w:pPr>
      <w:r w:rsidRPr="00EB2CB3">
        <w:rPr>
          <w:w w:val="105"/>
        </w:rPr>
        <w:t>Streetscape works, tree planting, street furniture etc. (Moss, Allen, Marmion Streets, Fletcher</w:t>
      </w:r>
      <w:r>
        <w:rPr>
          <w:w w:val="105"/>
        </w:rPr>
        <w:t xml:space="preserve"> Road).</w:t>
      </w:r>
    </w:p>
    <w:p w14:paraId="5FC69D1E" w14:textId="77777777" w:rsidR="00164C01" w:rsidRPr="00EB2CB3" w:rsidRDefault="00164C01" w:rsidP="00303E96">
      <w:pPr>
        <w:pStyle w:val="ListParagraph"/>
        <w:numPr>
          <w:ilvl w:val="0"/>
          <w:numId w:val="494"/>
        </w:numPr>
        <w:spacing w:after="0" w:line="240" w:lineRule="auto"/>
        <w:jc w:val="both"/>
        <w:rPr>
          <w:w w:val="105"/>
        </w:rPr>
      </w:pPr>
      <w:r w:rsidRPr="00EB2CB3">
        <w:rPr>
          <w:w w:val="105"/>
        </w:rPr>
        <w:t>Wayfinding to public transport and parking at Town Hall, directions to the Town Centre and George Street local centre.</w:t>
      </w:r>
    </w:p>
    <w:p w14:paraId="6186827B" w14:textId="77777777" w:rsidR="00164C01"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553D84">
        <w:rPr>
          <w:rFonts w:cstheme="minorHAnsi"/>
          <w:w w:val="105"/>
        </w:rPr>
        <w:t>Provide appropriate road marking to delineate Marmion Street cycling lane</w:t>
      </w:r>
      <w:r>
        <w:rPr>
          <w:rFonts w:cstheme="minorHAnsi"/>
          <w:w w:val="105"/>
        </w:rPr>
        <w:t xml:space="preserve"> between Stirling Highway and Petra Street.</w:t>
      </w:r>
    </w:p>
    <w:p w14:paraId="004888D2" w14:textId="77777777" w:rsidR="00164C01" w:rsidRPr="00553D84" w:rsidRDefault="00164C01" w:rsidP="00303E96">
      <w:pPr>
        <w:pStyle w:val="ListParagraph"/>
        <w:numPr>
          <w:ilvl w:val="0"/>
          <w:numId w:val="496"/>
        </w:numPr>
        <w:kinsoku w:val="0"/>
        <w:overflowPunct w:val="0"/>
        <w:autoSpaceDE w:val="0"/>
        <w:autoSpaceDN w:val="0"/>
        <w:adjustRightInd w:val="0"/>
        <w:spacing w:before="118" w:after="0" w:line="240" w:lineRule="auto"/>
        <w:jc w:val="both"/>
        <w:rPr>
          <w:rFonts w:cstheme="minorHAnsi"/>
          <w:w w:val="105"/>
        </w:rPr>
      </w:pPr>
      <w:r w:rsidRPr="00553D84">
        <w:rPr>
          <w:w w:val="105"/>
        </w:rPr>
        <w:t xml:space="preserve">Provide/upgrade and maintain high-quality bus facilities such as seating and shelters </w:t>
      </w:r>
      <w:r>
        <w:rPr>
          <w:w w:val="105"/>
        </w:rPr>
        <w:t xml:space="preserve">along </w:t>
      </w:r>
      <w:r w:rsidRPr="00553D84">
        <w:rPr>
          <w:w w:val="105"/>
        </w:rPr>
        <w:t>Mar</w:t>
      </w:r>
      <w:r>
        <w:rPr>
          <w:w w:val="105"/>
        </w:rPr>
        <w:t>m</w:t>
      </w:r>
      <w:r w:rsidRPr="00553D84">
        <w:rPr>
          <w:w w:val="105"/>
        </w:rPr>
        <w:t>ion Street</w:t>
      </w:r>
      <w:r>
        <w:rPr>
          <w:w w:val="105"/>
        </w:rPr>
        <w:t xml:space="preserve"> (between Stirling Highway and Petra Street).</w:t>
      </w:r>
    </w:p>
    <w:p w14:paraId="79B5957C" w14:textId="77777777" w:rsidR="00164C01" w:rsidRDefault="00164C01" w:rsidP="00164C01">
      <w:pPr>
        <w:rPr>
          <w:w w:val="105"/>
        </w:rPr>
      </w:pPr>
    </w:p>
    <w:p w14:paraId="4634B4E7" w14:textId="77777777" w:rsidR="00164C01" w:rsidRDefault="00164C01" w:rsidP="00164C01">
      <w:pPr>
        <w:rPr>
          <w:w w:val="105"/>
          <w:u w:val="single"/>
        </w:rPr>
      </w:pPr>
      <w:r w:rsidRPr="00217BC1">
        <w:rPr>
          <w:w w:val="105"/>
          <w:u w:val="single"/>
        </w:rPr>
        <w:t>Common to Sub-plan areas 1, 2 and 3</w:t>
      </w:r>
    </w:p>
    <w:p w14:paraId="6F0CD7B5"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Upgrade of the St Peters Road/Stirling Highway underpass</w:t>
      </w:r>
      <w:r>
        <w:rPr>
          <w:rFonts w:cstheme="minorHAnsi"/>
          <w:w w:val="105"/>
        </w:rPr>
        <w:t xml:space="preserve"> in consultation with and approval from Main Roads WA.</w:t>
      </w:r>
    </w:p>
    <w:p w14:paraId="5ABC3A21" w14:textId="77777777" w:rsidR="00164C01" w:rsidRPr="00BA71F7"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Upgrade of the George Street/Stirling Highway underpass</w:t>
      </w:r>
      <w:r>
        <w:rPr>
          <w:rFonts w:cstheme="minorHAnsi"/>
          <w:w w:val="105"/>
        </w:rPr>
        <w:t xml:space="preserve"> in consultation with and approval from Main Roads WA.</w:t>
      </w:r>
    </w:p>
    <w:p w14:paraId="020EFC1A"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Streetscape works, tree planting, street furniture along George Street, between Stirling Highway and Moss Street.</w:t>
      </w:r>
    </w:p>
    <w:p w14:paraId="13EA2B71"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Streetscape works, tree planting, street furniture along Silas Street, between St Peters Street and Bay Patch Road/Marmion Street.</w:t>
      </w:r>
    </w:p>
    <w:p w14:paraId="19915829" w14:textId="52B12D55" w:rsidR="006F6DAD" w:rsidRDefault="00164C01" w:rsidP="00303E96">
      <w:pPr>
        <w:pStyle w:val="ListParagraph"/>
        <w:numPr>
          <w:ilvl w:val="0"/>
          <w:numId w:val="498"/>
        </w:numPr>
        <w:spacing w:after="0" w:line="240" w:lineRule="auto"/>
        <w:jc w:val="both"/>
        <w:rPr>
          <w:w w:val="105"/>
        </w:rPr>
      </w:pPr>
      <w:r w:rsidRPr="003A1F85">
        <w:rPr>
          <w:w w:val="105"/>
        </w:rPr>
        <w:t>Speed reduction measures on George Street between Stirling Highway and Moss Street (consideration for Safe Active Street design).</w:t>
      </w:r>
    </w:p>
    <w:p w14:paraId="7224EEAB" w14:textId="77777777" w:rsidR="006F6DAD" w:rsidRDefault="006F6DAD">
      <w:pPr>
        <w:rPr>
          <w:w w:val="105"/>
        </w:rPr>
      </w:pPr>
      <w:r>
        <w:rPr>
          <w:w w:val="105"/>
        </w:rPr>
        <w:br w:type="page"/>
      </w:r>
    </w:p>
    <w:p w14:paraId="477E0E26" w14:textId="77777777" w:rsidR="00164C01" w:rsidRPr="004D5110" w:rsidRDefault="00164C01" w:rsidP="00303E96">
      <w:pPr>
        <w:pStyle w:val="ListParagraph"/>
        <w:numPr>
          <w:ilvl w:val="0"/>
          <w:numId w:val="500"/>
        </w:numPr>
        <w:spacing w:after="0" w:line="240" w:lineRule="auto"/>
        <w:jc w:val="both"/>
        <w:rPr>
          <w:rFonts w:eastAsiaTheme="majorEastAsia" w:cstheme="majorBidi"/>
          <w:b/>
          <w:color w:val="365F91" w:themeColor="accent1" w:themeShade="BF"/>
          <w:szCs w:val="32"/>
          <w:lang w:val="en-US"/>
        </w:rPr>
      </w:pPr>
      <w:r w:rsidRPr="004D5110">
        <w:rPr>
          <w:rFonts w:eastAsiaTheme="majorEastAsia" w:cstheme="majorBidi"/>
          <w:b/>
          <w:color w:val="365F91" w:themeColor="accent1" w:themeShade="BF"/>
          <w:szCs w:val="32"/>
          <w:lang w:val="en-US"/>
        </w:rPr>
        <w:lastRenderedPageBreak/>
        <w:t xml:space="preserve">Petra Street </w:t>
      </w:r>
      <w:r>
        <w:rPr>
          <w:rFonts w:eastAsiaTheme="majorEastAsia" w:cstheme="majorBidi"/>
          <w:b/>
          <w:color w:val="365F91" w:themeColor="accent1" w:themeShade="BF"/>
          <w:szCs w:val="32"/>
          <w:lang w:val="en-US"/>
        </w:rPr>
        <w:t>Centre</w:t>
      </w:r>
    </w:p>
    <w:p w14:paraId="49F1950E" w14:textId="77777777" w:rsidR="00164C01" w:rsidRPr="003D4800" w:rsidRDefault="00164C01" w:rsidP="006F6DAD">
      <w:pPr>
        <w:spacing w:after="120"/>
      </w:pPr>
      <w:bookmarkStart w:id="538" w:name="_Hlk119927439"/>
      <w:bookmarkStart w:id="539" w:name="_Hlk76039774"/>
      <w:r>
        <w:t>More specific intentions:</w:t>
      </w:r>
    </w:p>
    <w:bookmarkEnd w:id="538"/>
    <w:bookmarkEnd w:id="539"/>
    <w:p w14:paraId="53F01E57" w14:textId="77777777" w:rsidR="00164C01" w:rsidRPr="003A1F85" w:rsidRDefault="00164C01" w:rsidP="00303E96">
      <w:pPr>
        <w:pStyle w:val="ListParagraph"/>
        <w:numPr>
          <w:ilvl w:val="0"/>
          <w:numId w:val="499"/>
        </w:numPr>
        <w:spacing w:after="0" w:line="240" w:lineRule="auto"/>
        <w:jc w:val="both"/>
        <w:rPr>
          <w:w w:val="105"/>
        </w:rPr>
      </w:pPr>
      <w:r w:rsidRPr="003A1F85">
        <w:rPr>
          <w:w w:val="105"/>
        </w:rPr>
        <w:t>Infrastructure upgrades to improve cycling and pedestrian amenity at the Canning Highway/Petra Street intersection in collaboration with Main Roads WA.</w:t>
      </w:r>
    </w:p>
    <w:p w14:paraId="3DC8CACB" w14:textId="77777777" w:rsidR="00164C01" w:rsidRPr="003A1F85" w:rsidRDefault="00164C01" w:rsidP="00303E96">
      <w:pPr>
        <w:pStyle w:val="ListParagraph"/>
        <w:numPr>
          <w:ilvl w:val="0"/>
          <w:numId w:val="499"/>
        </w:numPr>
        <w:kinsoku w:val="0"/>
        <w:overflowPunct w:val="0"/>
        <w:autoSpaceDE w:val="0"/>
        <w:autoSpaceDN w:val="0"/>
        <w:adjustRightInd w:val="0"/>
        <w:spacing w:before="118" w:after="0" w:line="240" w:lineRule="auto"/>
        <w:jc w:val="both"/>
        <w:rPr>
          <w:w w:val="105"/>
        </w:rPr>
      </w:pPr>
      <w:r w:rsidRPr="003A1F85">
        <w:rPr>
          <w:rFonts w:cstheme="minorHAnsi"/>
          <w:w w:val="105"/>
        </w:rPr>
        <w:t xml:space="preserve">Provide a connecting cycling lane along Petra Street from Hammad Street to Preston Point Road in collaboration with City of Melville. </w:t>
      </w:r>
    </w:p>
    <w:p w14:paraId="5B18A9C2" w14:textId="77777777" w:rsidR="00164C01" w:rsidRPr="003A1F85" w:rsidRDefault="00164C01" w:rsidP="00303E96">
      <w:pPr>
        <w:pStyle w:val="ListParagraph"/>
        <w:numPr>
          <w:ilvl w:val="0"/>
          <w:numId w:val="498"/>
        </w:numPr>
        <w:spacing w:after="0" w:line="240" w:lineRule="auto"/>
        <w:jc w:val="both"/>
      </w:pPr>
      <w:r w:rsidRPr="003A1F85">
        <w:rPr>
          <w:w w:val="105"/>
        </w:rPr>
        <w:t>Provide/upgrade and maintain high-quality bus facilities such as seating and shelters (Canning Highway).</w:t>
      </w:r>
    </w:p>
    <w:p w14:paraId="5C35536A"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High quality pedestrian and cycling infrastructure that encourages walking and cycling (e.g. bike racks and end of trip facilities) including connections to existing walking and cycling paths.</w:t>
      </w:r>
    </w:p>
    <w:p w14:paraId="04CDDE7B" w14:textId="77777777" w:rsidR="00164C01" w:rsidRPr="003A1F85" w:rsidRDefault="00164C01" w:rsidP="00303E96">
      <w:pPr>
        <w:pStyle w:val="ListParagraph"/>
        <w:numPr>
          <w:ilvl w:val="0"/>
          <w:numId w:val="498"/>
        </w:numPr>
        <w:spacing w:after="0" w:line="240" w:lineRule="auto"/>
        <w:jc w:val="both"/>
      </w:pPr>
      <w:r w:rsidRPr="003A1F85">
        <w:t>Provision of electric vehicle charging facilities</w:t>
      </w:r>
    </w:p>
    <w:p w14:paraId="68DCC768" w14:textId="77777777" w:rsidR="00164C01" w:rsidRPr="003A1F85" w:rsidRDefault="00164C01" w:rsidP="00303E96">
      <w:pPr>
        <w:pStyle w:val="ListParagraph"/>
        <w:numPr>
          <w:ilvl w:val="0"/>
          <w:numId w:val="498"/>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 xml:space="preserve">Streetscape works, tree planting, street furniture along </w:t>
      </w:r>
      <w:r>
        <w:rPr>
          <w:rFonts w:cstheme="minorHAnsi"/>
          <w:w w:val="105"/>
        </w:rPr>
        <w:t>Petra Street.</w:t>
      </w:r>
    </w:p>
    <w:p w14:paraId="78DADFDB" w14:textId="77777777" w:rsidR="00164C01" w:rsidRDefault="00164C01" w:rsidP="00164C01">
      <w:pPr>
        <w:pStyle w:val="ListParagraph"/>
        <w:kinsoku w:val="0"/>
        <w:overflowPunct w:val="0"/>
        <w:autoSpaceDE w:val="0"/>
        <w:autoSpaceDN w:val="0"/>
        <w:adjustRightInd w:val="0"/>
        <w:spacing w:before="118"/>
        <w:ind w:left="360"/>
        <w:rPr>
          <w:w w:val="105"/>
        </w:rPr>
      </w:pPr>
    </w:p>
    <w:p w14:paraId="7FCAD728" w14:textId="77777777" w:rsidR="00164C01" w:rsidRPr="004D5110" w:rsidRDefault="00164C01" w:rsidP="00303E96">
      <w:pPr>
        <w:pStyle w:val="ListParagraph"/>
        <w:numPr>
          <w:ilvl w:val="0"/>
          <w:numId w:val="500"/>
        </w:numPr>
        <w:spacing w:after="0" w:line="240" w:lineRule="auto"/>
        <w:jc w:val="both"/>
        <w:rPr>
          <w:rFonts w:eastAsiaTheme="majorEastAsia" w:cstheme="majorBidi"/>
          <w:b/>
          <w:color w:val="365F91" w:themeColor="accent1" w:themeShade="BF"/>
          <w:szCs w:val="32"/>
          <w:lang w:val="en-US"/>
        </w:rPr>
      </w:pPr>
      <w:r>
        <w:rPr>
          <w:rFonts w:eastAsiaTheme="majorEastAsia" w:cstheme="majorBidi"/>
          <w:b/>
          <w:color w:val="365F91" w:themeColor="accent1" w:themeShade="BF"/>
          <w:szCs w:val="32"/>
          <w:lang w:val="en-US"/>
        </w:rPr>
        <w:t>Riverside North</w:t>
      </w:r>
    </w:p>
    <w:p w14:paraId="23AD0A73" w14:textId="77777777" w:rsidR="00164C01" w:rsidRPr="00471E3E" w:rsidRDefault="00164C01" w:rsidP="00164C01">
      <w:pPr>
        <w:rPr>
          <w:lang w:val="en-US"/>
        </w:rPr>
      </w:pPr>
      <w:bookmarkStart w:id="540" w:name="_Hlk121403590"/>
      <w:r w:rsidRPr="00471E3E">
        <w:rPr>
          <w:lang w:val="en-US"/>
        </w:rPr>
        <w:t>More specific intentions:</w:t>
      </w:r>
    </w:p>
    <w:bookmarkEnd w:id="540"/>
    <w:p w14:paraId="4076AD6D" w14:textId="77777777" w:rsidR="00164C01" w:rsidRPr="004E4C53" w:rsidRDefault="00164C01" w:rsidP="00303E96">
      <w:pPr>
        <w:pStyle w:val="ListParagraph"/>
        <w:numPr>
          <w:ilvl w:val="0"/>
          <w:numId w:val="495"/>
        </w:numPr>
        <w:kinsoku w:val="0"/>
        <w:overflowPunct w:val="0"/>
        <w:autoSpaceDE w:val="0"/>
        <w:autoSpaceDN w:val="0"/>
        <w:adjustRightInd w:val="0"/>
        <w:spacing w:after="0" w:line="240" w:lineRule="auto"/>
        <w:ind w:left="357" w:hanging="357"/>
        <w:jc w:val="both"/>
        <w:rPr>
          <w:rFonts w:cstheme="minorHAnsi"/>
          <w:w w:val="105"/>
        </w:rPr>
      </w:pPr>
      <w:r w:rsidRPr="004E4C53">
        <w:rPr>
          <w:rFonts w:cstheme="minorHAnsi"/>
          <w:w w:val="105"/>
        </w:rPr>
        <w:t>C</w:t>
      </w:r>
      <w:r>
        <w:rPr>
          <w:rFonts w:cstheme="minorHAnsi"/>
          <w:w w:val="105"/>
        </w:rPr>
        <w:t>onsider potential to c</w:t>
      </w:r>
      <w:r w:rsidRPr="004E4C53">
        <w:rPr>
          <w:rFonts w:cstheme="minorHAnsi"/>
          <w:w w:val="105"/>
        </w:rPr>
        <w:t xml:space="preserve">onsolidate Zephyr Café parking with Leeuwin Boat Ramp car park </w:t>
      </w:r>
      <w:r>
        <w:rPr>
          <w:rFonts w:cstheme="minorHAnsi"/>
          <w:w w:val="105"/>
        </w:rPr>
        <w:t>and associated streetscape works and landscaping.</w:t>
      </w:r>
    </w:p>
    <w:p w14:paraId="23E80BA9" w14:textId="77777777" w:rsidR="00164C01" w:rsidRPr="003A1F85" w:rsidRDefault="00164C01" w:rsidP="00303E96">
      <w:pPr>
        <w:pStyle w:val="ListParagraph"/>
        <w:numPr>
          <w:ilvl w:val="0"/>
          <w:numId w:val="495"/>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Wayfinding for alternative parking at the soccer club and other locations.</w:t>
      </w:r>
    </w:p>
    <w:p w14:paraId="18141CCD" w14:textId="77777777" w:rsidR="00164C01" w:rsidRPr="003A1F85" w:rsidRDefault="00164C01" w:rsidP="00303E96">
      <w:pPr>
        <w:pStyle w:val="ListParagraph"/>
        <w:numPr>
          <w:ilvl w:val="0"/>
          <w:numId w:val="495"/>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 xml:space="preserve">Streetscape works, tree planting, street furniture along </w:t>
      </w:r>
      <w:r>
        <w:rPr>
          <w:rFonts w:cstheme="minorHAnsi"/>
          <w:w w:val="105"/>
        </w:rPr>
        <w:t>Riverside Road on the Swan River side, with street parking and streetscape works on the non-Swan River side.</w:t>
      </w:r>
    </w:p>
    <w:p w14:paraId="56A1A61C" w14:textId="77777777" w:rsidR="00164C01" w:rsidRPr="003A1F85" w:rsidRDefault="00164C01" w:rsidP="00303E96">
      <w:pPr>
        <w:pStyle w:val="ListParagraph"/>
        <w:numPr>
          <w:ilvl w:val="0"/>
          <w:numId w:val="495"/>
        </w:numPr>
        <w:kinsoku w:val="0"/>
        <w:overflowPunct w:val="0"/>
        <w:autoSpaceDE w:val="0"/>
        <w:autoSpaceDN w:val="0"/>
        <w:adjustRightInd w:val="0"/>
        <w:spacing w:before="118" w:after="0" w:line="240" w:lineRule="auto"/>
        <w:jc w:val="both"/>
        <w:rPr>
          <w:rFonts w:cstheme="minorHAnsi"/>
          <w:w w:val="105"/>
        </w:rPr>
      </w:pPr>
      <w:r w:rsidRPr="003A1F85">
        <w:rPr>
          <w:rFonts w:cstheme="minorHAnsi"/>
          <w:w w:val="105"/>
        </w:rPr>
        <w:t>High quality pedestrian and cycling infrastructure that encourages walking and cycling (e.g. bike racks and end of trip facilities) including connections to existing walking and cycling paths.</w:t>
      </w:r>
    </w:p>
    <w:p w14:paraId="126E5E82" w14:textId="77777777" w:rsidR="00164C01" w:rsidRPr="009963D8" w:rsidRDefault="00164C01" w:rsidP="00164C01">
      <w:pPr>
        <w:pStyle w:val="ListParagraph"/>
        <w:kinsoku w:val="0"/>
        <w:overflowPunct w:val="0"/>
        <w:autoSpaceDE w:val="0"/>
        <w:autoSpaceDN w:val="0"/>
        <w:adjustRightInd w:val="0"/>
        <w:spacing w:before="118"/>
        <w:ind w:left="360"/>
        <w:rPr>
          <w:rFonts w:cstheme="minorHAnsi"/>
          <w:w w:val="105"/>
        </w:rPr>
      </w:pPr>
    </w:p>
    <w:p w14:paraId="2F2C6F01" w14:textId="77777777" w:rsidR="00164C01" w:rsidRPr="004D5110" w:rsidRDefault="00164C01" w:rsidP="00303E96">
      <w:pPr>
        <w:pStyle w:val="ListParagraph"/>
        <w:numPr>
          <w:ilvl w:val="0"/>
          <w:numId w:val="500"/>
        </w:numPr>
        <w:spacing w:after="0" w:line="240" w:lineRule="auto"/>
        <w:jc w:val="both"/>
        <w:rPr>
          <w:rFonts w:eastAsiaTheme="majorEastAsia" w:cstheme="majorBidi"/>
          <w:b/>
          <w:color w:val="365F91" w:themeColor="accent1" w:themeShade="BF"/>
          <w:szCs w:val="32"/>
          <w:lang w:val="en-US"/>
        </w:rPr>
      </w:pPr>
      <w:r>
        <w:rPr>
          <w:rFonts w:eastAsiaTheme="majorEastAsia" w:cstheme="majorBidi"/>
          <w:b/>
          <w:color w:val="365F91" w:themeColor="accent1" w:themeShade="BF"/>
          <w:szCs w:val="32"/>
          <w:lang w:val="en-US"/>
        </w:rPr>
        <w:t>Riverside South</w:t>
      </w:r>
    </w:p>
    <w:p w14:paraId="56AB41AB" w14:textId="77777777" w:rsidR="00164C01" w:rsidRDefault="00164C01" w:rsidP="006F6DAD">
      <w:pPr>
        <w:spacing w:after="120"/>
        <w:rPr>
          <w:lang w:val="en-US"/>
        </w:rPr>
      </w:pPr>
      <w:r w:rsidRPr="006A018B">
        <w:rPr>
          <w:lang w:val="en-US"/>
        </w:rPr>
        <w:t>More specific intentions:</w:t>
      </w:r>
    </w:p>
    <w:p w14:paraId="030321D4" w14:textId="77777777" w:rsidR="00164C01" w:rsidRPr="004E4C53" w:rsidRDefault="00164C01" w:rsidP="00303E96">
      <w:pPr>
        <w:pStyle w:val="ListParagraph"/>
        <w:numPr>
          <w:ilvl w:val="0"/>
          <w:numId w:val="495"/>
        </w:numPr>
        <w:kinsoku w:val="0"/>
        <w:overflowPunct w:val="0"/>
        <w:autoSpaceDE w:val="0"/>
        <w:autoSpaceDN w:val="0"/>
        <w:adjustRightInd w:val="0"/>
        <w:spacing w:before="118" w:after="0" w:line="240" w:lineRule="auto"/>
        <w:jc w:val="both"/>
        <w:rPr>
          <w:rFonts w:cstheme="minorHAnsi"/>
          <w:w w:val="105"/>
        </w:rPr>
      </w:pPr>
      <w:r>
        <w:rPr>
          <w:w w:val="105"/>
        </w:rPr>
        <w:t>Consider potential to r</w:t>
      </w:r>
      <w:r w:rsidRPr="004E4C53">
        <w:rPr>
          <w:w w:val="105"/>
        </w:rPr>
        <w:t>econfigure parking area</w:t>
      </w:r>
      <w:r>
        <w:rPr>
          <w:w w:val="105"/>
        </w:rPr>
        <w:t xml:space="preserve"> on the corner of Riverside Road and Andrews Road, under Stirling Bridge and associated streetscape works and landscaping.</w:t>
      </w:r>
    </w:p>
    <w:p w14:paraId="2A357A4A" w14:textId="77777777" w:rsidR="00164C01" w:rsidRPr="00E81C96" w:rsidRDefault="00164C01" w:rsidP="00303E96">
      <w:pPr>
        <w:pStyle w:val="ListParagraph"/>
        <w:numPr>
          <w:ilvl w:val="0"/>
          <w:numId w:val="495"/>
        </w:numPr>
        <w:kinsoku w:val="0"/>
        <w:overflowPunct w:val="0"/>
        <w:autoSpaceDE w:val="0"/>
        <w:autoSpaceDN w:val="0"/>
        <w:adjustRightInd w:val="0"/>
        <w:spacing w:before="118" w:after="0" w:line="240" w:lineRule="auto"/>
        <w:jc w:val="both"/>
        <w:rPr>
          <w:rFonts w:cstheme="minorHAnsi"/>
          <w:w w:val="105"/>
        </w:rPr>
      </w:pPr>
      <w:r w:rsidRPr="00E81C96">
        <w:rPr>
          <w:rFonts w:cstheme="minorHAnsi"/>
          <w:w w:val="105"/>
        </w:rPr>
        <w:t xml:space="preserve">Streetscape works, tree planting, street furniture along </w:t>
      </w:r>
      <w:r>
        <w:rPr>
          <w:rFonts w:cstheme="minorHAnsi"/>
          <w:w w:val="105"/>
        </w:rPr>
        <w:t>Riverside Road and Andrews Road.</w:t>
      </w:r>
    </w:p>
    <w:p w14:paraId="60A12C2B" w14:textId="77777777" w:rsidR="00164C01" w:rsidRPr="009963D8" w:rsidRDefault="00164C01" w:rsidP="00303E96">
      <w:pPr>
        <w:pStyle w:val="ListParagraph"/>
        <w:numPr>
          <w:ilvl w:val="0"/>
          <w:numId w:val="495"/>
        </w:numPr>
        <w:kinsoku w:val="0"/>
        <w:overflowPunct w:val="0"/>
        <w:autoSpaceDE w:val="0"/>
        <w:autoSpaceDN w:val="0"/>
        <w:adjustRightInd w:val="0"/>
        <w:spacing w:before="118" w:after="0" w:line="240" w:lineRule="auto"/>
        <w:jc w:val="both"/>
        <w:rPr>
          <w:rFonts w:cstheme="minorHAnsi"/>
          <w:w w:val="105"/>
        </w:rPr>
      </w:pPr>
      <w:r w:rsidRPr="009963D8">
        <w:rPr>
          <w:rFonts w:cstheme="minorHAnsi"/>
          <w:w w:val="105"/>
        </w:rPr>
        <w:t>High quality pedestrian and cycling infrastructure that encourages walking and cycling (e.g. bike racks and end of trip facilities) including connections to existing walking and cycling paths.</w:t>
      </w:r>
    </w:p>
    <w:p w14:paraId="222862D0" w14:textId="77777777" w:rsidR="00164C01" w:rsidRDefault="00164C01" w:rsidP="00164C01">
      <w:pPr>
        <w:kinsoku w:val="0"/>
        <w:overflowPunct w:val="0"/>
        <w:autoSpaceDE w:val="0"/>
        <w:autoSpaceDN w:val="0"/>
        <w:adjustRightInd w:val="0"/>
        <w:spacing w:before="118"/>
        <w:rPr>
          <w:rFonts w:cstheme="minorHAnsi"/>
          <w:w w:val="105"/>
        </w:rPr>
      </w:pPr>
    </w:p>
    <w:p w14:paraId="02637C57" w14:textId="77777777" w:rsidR="00164C01" w:rsidRPr="00E008C6" w:rsidRDefault="00164C01" w:rsidP="00164C01">
      <w:pPr>
        <w:kinsoku w:val="0"/>
        <w:overflowPunct w:val="0"/>
        <w:autoSpaceDE w:val="0"/>
        <w:autoSpaceDN w:val="0"/>
        <w:adjustRightInd w:val="0"/>
        <w:spacing w:before="118"/>
        <w:rPr>
          <w:rFonts w:cstheme="minorHAnsi"/>
          <w:w w:val="105"/>
        </w:rPr>
      </w:pPr>
    </w:p>
    <w:p w14:paraId="3DA5C09D" w14:textId="77777777" w:rsidR="00164C01" w:rsidRDefault="00164C01" w:rsidP="00164C01">
      <w:pPr>
        <w:rPr>
          <w:lang w:val="en-US"/>
        </w:rPr>
      </w:pPr>
      <w:r>
        <w:rPr>
          <w:lang w:val="en-US"/>
        </w:rPr>
        <w:br w:type="page"/>
      </w:r>
    </w:p>
    <w:p w14:paraId="1ADB2AEB" w14:textId="77777777" w:rsidR="00164C01" w:rsidRDefault="00164C01" w:rsidP="00164C01">
      <w:pPr>
        <w:pStyle w:val="Heading1"/>
        <w:ind w:left="720" w:hanging="360"/>
        <w:jc w:val="right"/>
      </w:pPr>
      <w:r>
        <w:lastRenderedPageBreak/>
        <w:t>Attachment 3 - Notice</w:t>
      </w:r>
    </w:p>
    <w:p w14:paraId="650A48B8" w14:textId="77777777" w:rsidR="00164C01" w:rsidRDefault="00164C01" w:rsidP="00164C01">
      <w:pPr>
        <w:rPr>
          <w:color w:val="000000" w:themeColor="text1"/>
        </w:rPr>
      </w:pPr>
    </w:p>
    <w:p w14:paraId="5694A265" w14:textId="77777777" w:rsidR="00164C01" w:rsidRPr="00693D3A" w:rsidRDefault="00164C01" w:rsidP="00164C01">
      <w:pPr>
        <w:rPr>
          <w:color w:val="000000" w:themeColor="text1"/>
          <w:lang w:val="en-US"/>
        </w:rPr>
      </w:pPr>
      <w:r w:rsidRPr="00CE0062">
        <w:rPr>
          <w:noProof/>
          <w:color w:val="000000" w:themeColor="text1"/>
        </w:rPr>
        <w:drawing>
          <wp:inline distT="0" distB="0" distL="0" distR="0" wp14:anchorId="3EC33EB4" wp14:editId="63495F72">
            <wp:extent cx="7457443" cy="5503438"/>
            <wp:effectExtent l="24765" t="13335" r="15875" b="15875"/>
            <wp:docPr id="279017056" name="Picture 2790170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309"/>
                    <a:stretch>
                      <a:fillRect/>
                    </a:stretch>
                  </pic:blipFill>
                  <pic:spPr>
                    <a:xfrm rot="5400000">
                      <a:off x="0" y="0"/>
                      <a:ext cx="7488749" cy="5526541"/>
                    </a:xfrm>
                    <a:prstGeom prst="rect">
                      <a:avLst/>
                    </a:prstGeom>
                    <a:ln w="3175">
                      <a:solidFill>
                        <a:schemeClr val="tx1"/>
                      </a:solidFill>
                    </a:ln>
                  </pic:spPr>
                </pic:pic>
              </a:graphicData>
            </a:graphic>
          </wp:inline>
        </w:drawing>
      </w:r>
      <w:bookmarkEnd w:id="534"/>
    </w:p>
    <w:p w14:paraId="054F8978" w14:textId="77777777" w:rsidR="00837116" w:rsidRDefault="00837116" w:rsidP="00647DF8">
      <w:pPr>
        <w:pStyle w:val="Policy3"/>
      </w:pPr>
    </w:p>
    <w:p w14:paraId="61AFAE92" w14:textId="77777777" w:rsidR="009706BB" w:rsidRDefault="009706BB">
      <w:pPr>
        <w:rPr>
          <w:rFonts w:cstheme="minorHAnsi"/>
        </w:rPr>
      </w:pPr>
      <w:r>
        <w:rPr>
          <w:rFonts w:cstheme="minorHAnsi"/>
        </w:rPr>
        <w:br w:type="page"/>
      </w:r>
    </w:p>
    <w:p w14:paraId="5A389389" w14:textId="2D60BBB0" w:rsidR="00082DB7" w:rsidRDefault="00082DB7" w:rsidP="00082DB7">
      <w:pPr>
        <w:pStyle w:val="Title"/>
        <w:pBdr>
          <w:bottom w:val="none" w:sz="0" w:space="0" w:color="auto"/>
        </w:pBdr>
        <w:spacing w:after="240"/>
        <w:jc w:val="right"/>
        <w:rPr>
          <w:rFonts w:ascii="Arial" w:hAnsi="Arial" w:cs="Arial"/>
          <w:b/>
          <w:sz w:val="28"/>
          <w:szCs w:val="28"/>
          <w:lang w:val="en-US"/>
        </w:rPr>
      </w:pPr>
      <w:r>
        <w:rPr>
          <w:noProof/>
        </w:rPr>
        <w:lastRenderedPageBreak/>
        <w:drawing>
          <wp:inline distT="0" distB="0" distL="0" distR="0" wp14:anchorId="4E037F64" wp14:editId="730D113F">
            <wp:extent cx="1571625" cy="676275"/>
            <wp:effectExtent l="0" t="0" r="9525" b="9525"/>
            <wp:docPr id="474" name="Picture 474"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with medium confidence"/>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1625" cy="676275"/>
                    </a:xfrm>
                    <a:prstGeom prst="rect">
                      <a:avLst/>
                    </a:prstGeom>
                    <a:noFill/>
                    <a:ln>
                      <a:noFill/>
                    </a:ln>
                  </pic:spPr>
                </pic:pic>
              </a:graphicData>
            </a:graphic>
          </wp:inline>
        </w:drawing>
      </w:r>
    </w:p>
    <w:p w14:paraId="4780D8F1" w14:textId="6020F168" w:rsidR="00082DB7" w:rsidRDefault="00082DB7" w:rsidP="00082DB7">
      <w:pPr>
        <w:pStyle w:val="Title"/>
        <w:pBdr>
          <w:bottom w:val="none" w:sz="0" w:space="0" w:color="auto"/>
        </w:pBdr>
        <w:spacing w:before="240" w:after="0"/>
        <w:rPr>
          <w:rFonts w:ascii="Arial" w:hAnsi="Arial" w:cs="Arial"/>
          <w:b/>
          <w:sz w:val="16"/>
          <w:szCs w:val="28"/>
          <w:lang w:val="en-US"/>
        </w:rPr>
      </w:pPr>
    </w:p>
    <w:p w14:paraId="6ADA01F0" w14:textId="77777777" w:rsidR="00082DB7" w:rsidRPr="00082DB7" w:rsidRDefault="00082DB7" w:rsidP="00082DB7">
      <w:pPr>
        <w:rPr>
          <w:lang w:val="en-US"/>
        </w:rPr>
      </w:pPr>
    </w:p>
    <w:p w14:paraId="350F7E27" w14:textId="77777777" w:rsidR="00082DB7" w:rsidRPr="00765DA5" w:rsidRDefault="00082DB7" w:rsidP="00082DB7">
      <w:pPr>
        <w:pStyle w:val="Policy3"/>
      </w:pPr>
      <w:bookmarkStart w:id="541" w:name="_Toc14942656"/>
      <w:bookmarkStart w:id="542" w:name="_Toc216866718"/>
      <w:r w:rsidRPr="00765DA5">
        <w:t>3.1.5</w:t>
      </w:r>
      <w:r w:rsidRPr="00765DA5">
        <w:tab/>
        <w:t>Community Design Advisory Committee</w:t>
      </w:r>
      <w:bookmarkEnd w:id="541"/>
      <w:bookmarkEnd w:id="542"/>
    </w:p>
    <w:tbl>
      <w:tblPr>
        <w:tblStyle w:val="TableGrid"/>
        <w:tblW w:w="0" w:type="auto"/>
        <w:tblLook w:val="04A0" w:firstRow="1" w:lastRow="0" w:firstColumn="1" w:lastColumn="0" w:noHBand="0" w:noVBand="1"/>
      </w:tblPr>
      <w:tblGrid>
        <w:gridCol w:w="3023"/>
        <w:gridCol w:w="5993"/>
      </w:tblGrid>
      <w:tr w:rsidR="00082DB7" w:rsidRPr="00A338E5" w14:paraId="77A6407F" w14:textId="77777777" w:rsidTr="00DC5B9C">
        <w:tc>
          <w:tcPr>
            <w:tcW w:w="3023" w:type="dxa"/>
          </w:tcPr>
          <w:p w14:paraId="2E676786" w14:textId="77777777" w:rsidR="00082DB7" w:rsidRPr="00A338E5" w:rsidRDefault="00082DB7" w:rsidP="00DC5B9C">
            <w:pPr>
              <w:rPr>
                <w:rFonts w:cstheme="minorHAnsi"/>
                <w:b/>
                <w:lang w:val="en-US"/>
              </w:rPr>
            </w:pPr>
            <w:r w:rsidRPr="00A338E5">
              <w:rPr>
                <w:rFonts w:cstheme="minorHAnsi"/>
                <w:b/>
                <w:lang w:val="en-US"/>
              </w:rPr>
              <w:t>Type:</w:t>
            </w:r>
          </w:p>
        </w:tc>
        <w:tc>
          <w:tcPr>
            <w:tcW w:w="5993" w:type="dxa"/>
          </w:tcPr>
          <w:p w14:paraId="4FFB52D9" w14:textId="77777777" w:rsidR="00082DB7" w:rsidRPr="00A338E5" w:rsidRDefault="00082DB7" w:rsidP="00DC5B9C">
            <w:pPr>
              <w:rPr>
                <w:rFonts w:cstheme="minorHAnsi"/>
                <w:lang w:val="en-US"/>
              </w:rPr>
            </w:pPr>
            <w:r>
              <w:rPr>
                <w:rFonts w:cstheme="minorHAnsi"/>
                <w:lang w:val="en-US"/>
              </w:rPr>
              <w:t>Regulatory Services - Planning</w:t>
            </w:r>
            <w:r w:rsidRPr="00A338E5">
              <w:rPr>
                <w:rFonts w:cstheme="minorHAnsi"/>
                <w:lang w:val="en-US"/>
              </w:rPr>
              <w:t xml:space="preserve"> </w:t>
            </w:r>
          </w:p>
        </w:tc>
      </w:tr>
      <w:tr w:rsidR="00082DB7" w:rsidRPr="00A338E5" w14:paraId="2AC20771" w14:textId="77777777" w:rsidTr="00DC5B9C">
        <w:tc>
          <w:tcPr>
            <w:tcW w:w="3023" w:type="dxa"/>
          </w:tcPr>
          <w:p w14:paraId="40053708" w14:textId="77777777" w:rsidR="00082DB7" w:rsidRPr="00A338E5" w:rsidRDefault="00082DB7" w:rsidP="00DC5B9C">
            <w:pPr>
              <w:rPr>
                <w:rFonts w:cstheme="minorHAnsi"/>
                <w:b/>
                <w:lang w:val="en-US"/>
              </w:rPr>
            </w:pPr>
            <w:r w:rsidRPr="00A338E5">
              <w:rPr>
                <w:rFonts w:cstheme="minorHAnsi"/>
                <w:b/>
                <w:lang w:val="en-US"/>
              </w:rPr>
              <w:t>Legislation:</w:t>
            </w:r>
          </w:p>
        </w:tc>
        <w:tc>
          <w:tcPr>
            <w:tcW w:w="5993" w:type="dxa"/>
          </w:tcPr>
          <w:p w14:paraId="231D0127" w14:textId="77777777" w:rsidR="00082DB7" w:rsidRPr="00A338E5" w:rsidRDefault="00082DB7" w:rsidP="00DC5B9C">
            <w:pPr>
              <w:rPr>
                <w:rFonts w:cstheme="minorHAnsi"/>
                <w:lang w:val="en-US"/>
              </w:rPr>
            </w:pPr>
            <w:r w:rsidRPr="00A338E5">
              <w:rPr>
                <w:rFonts w:cstheme="minorHAnsi"/>
                <w:lang w:val="en-US"/>
              </w:rPr>
              <w:t>Local Government Act 1995</w:t>
            </w:r>
          </w:p>
        </w:tc>
      </w:tr>
      <w:tr w:rsidR="00082DB7" w:rsidRPr="00A338E5" w14:paraId="713B7228" w14:textId="77777777" w:rsidTr="00DC5B9C">
        <w:tc>
          <w:tcPr>
            <w:tcW w:w="3023" w:type="dxa"/>
          </w:tcPr>
          <w:p w14:paraId="70A43E75" w14:textId="77777777" w:rsidR="00082DB7" w:rsidRPr="00A338E5" w:rsidRDefault="00082DB7" w:rsidP="00DC5B9C">
            <w:pPr>
              <w:rPr>
                <w:rFonts w:cstheme="minorHAnsi"/>
                <w:b/>
                <w:lang w:val="en-US"/>
              </w:rPr>
            </w:pPr>
            <w:r w:rsidRPr="00A338E5">
              <w:rPr>
                <w:rFonts w:cstheme="minorHAnsi"/>
                <w:b/>
                <w:lang w:val="en-US"/>
              </w:rPr>
              <w:t>Delegation:</w:t>
            </w:r>
          </w:p>
        </w:tc>
        <w:tc>
          <w:tcPr>
            <w:tcW w:w="5993" w:type="dxa"/>
          </w:tcPr>
          <w:p w14:paraId="67FD087C" w14:textId="77777777" w:rsidR="00082DB7" w:rsidRPr="00A338E5" w:rsidRDefault="00082DB7" w:rsidP="00DC5B9C">
            <w:pPr>
              <w:rPr>
                <w:rFonts w:cstheme="minorHAnsi"/>
                <w:lang w:val="en-US"/>
              </w:rPr>
            </w:pPr>
            <w:r>
              <w:rPr>
                <w:rFonts w:cstheme="minorHAnsi"/>
                <w:lang w:val="en-US"/>
              </w:rPr>
              <w:t>N/A</w:t>
            </w:r>
          </w:p>
        </w:tc>
      </w:tr>
      <w:tr w:rsidR="00082DB7" w:rsidRPr="00A338E5" w14:paraId="59D80F95" w14:textId="77777777" w:rsidTr="00DC5B9C">
        <w:tc>
          <w:tcPr>
            <w:tcW w:w="3023" w:type="dxa"/>
          </w:tcPr>
          <w:p w14:paraId="10976511" w14:textId="77777777" w:rsidR="00082DB7" w:rsidRPr="00A338E5" w:rsidRDefault="00082DB7" w:rsidP="00DC5B9C">
            <w:pPr>
              <w:rPr>
                <w:rFonts w:cstheme="minorHAnsi"/>
                <w:b/>
                <w:lang w:val="en-US"/>
              </w:rPr>
            </w:pPr>
            <w:r w:rsidRPr="00A338E5">
              <w:rPr>
                <w:rFonts w:cstheme="minorHAnsi"/>
                <w:b/>
                <w:lang w:val="en-US"/>
              </w:rPr>
              <w:t>Other Related Document:</w:t>
            </w:r>
          </w:p>
        </w:tc>
        <w:tc>
          <w:tcPr>
            <w:tcW w:w="5993" w:type="dxa"/>
          </w:tcPr>
          <w:p w14:paraId="1B0CEC75" w14:textId="77777777" w:rsidR="00082DB7" w:rsidRPr="00A338E5" w:rsidRDefault="00082DB7" w:rsidP="00DC5B9C">
            <w:pPr>
              <w:rPr>
                <w:rFonts w:cstheme="minorHAnsi"/>
                <w:lang w:val="en-US"/>
              </w:rPr>
            </w:pPr>
            <w:r>
              <w:rPr>
                <w:rFonts w:cstheme="minorHAnsi"/>
                <w:lang w:val="en-US"/>
              </w:rPr>
              <w:t>State Government Design WA Planning Policy 7.0 Design of the Built Environment (SPP7.0)</w:t>
            </w:r>
          </w:p>
        </w:tc>
      </w:tr>
    </w:tbl>
    <w:p w14:paraId="50DAA11E" w14:textId="77777777" w:rsidR="00082DB7" w:rsidRPr="00A338E5" w:rsidRDefault="00082DB7" w:rsidP="00082DB7">
      <w:pPr>
        <w:spacing w:before="240" w:after="0"/>
        <w:rPr>
          <w:b/>
          <w:sz w:val="28"/>
          <w:szCs w:val="28"/>
          <w:lang w:val="en-US"/>
        </w:rPr>
      </w:pPr>
      <w:r w:rsidRPr="00A338E5">
        <w:rPr>
          <w:b/>
          <w:sz w:val="28"/>
          <w:szCs w:val="28"/>
          <w:lang w:val="en-US"/>
        </w:rPr>
        <w:t>Objective</w:t>
      </w:r>
    </w:p>
    <w:p w14:paraId="6E63DB81" w14:textId="77777777" w:rsidR="00082DB7" w:rsidRPr="003C1297" w:rsidRDefault="00082DB7" w:rsidP="002A3889">
      <w:pPr>
        <w:widowControl w:val="0"/>
        <w:numPr>
          <w:ilvl w:val="0"/>
          <w:numId w:val="299"/>
        </w:numPr>
        <w:spacing w:after="60" w:line="240" w:lineRule="auto"/>
        <w:ind w:left="357" w:right="74" w:hanging="357"/>
        <w:jc w:val="both"/>
        <w:rPr>
          <w:rFonts w:cstheme="minorHAnsi"/>
        </w:rPr>
      </w:pPr>
      <w:r w:rsidRPr="003C1297">
        <w:rPr>
          <w:rFonts w:cstheme="minorHAnsi"/>
        </w:rPr>
        <w:t>To provide independent expert advice to the Council, Town’s Administration and applicants on the design of specified development proposals.  This shall be limited to, architectural and urban design elements, heritage, landscape architecture, and environmental sustainability.</w:t>
      </w:r>
    </w:p>
    <w:p w14:paraId="07E8DB61" w14:textId="77777777" w:rsidR="00082DB7" w:rsidRPr="003C1297" w:rsidRDefault="00082DB7" w:rsidP="002A3889">
      <w:pPr>
        <w:widowControl w:val="0"/>
        <w:numPr>
          <w:ilvl w:val="0"/>
          <w:numId w:val="299"/>
        </w:numPr>
        <w:spacing w:line="240" w:lineRule="auto"/>
        <w:ind w:left="357" w:right="79" w:hanging="357"/>
        <w:jc w:val="both"/>
        <w:rPr>
          <w:rFonts w:cstheme="minorHAnsi"/>
        </w:rPr>
      </w:pPr>
      <w:r w:rsidRPr="003C1297">
        <w:rPr>
          <w:rFonts w:cstheme="minorHAnsi"/>
        </w:rPr>
        <w:t>To facilitate an improvement in urban design and the quality of the built environment within the Town of East Fremantle through the provision of information, expert advice and recommendations.</w:t>
      </w:r>
    </w:p>
    <w:p w14:paraId="0B34C0EE" w14:textId="77777777" w:rsidR="00082DB7" w:rsidRPr="00A338E5" w:rsidRDefault="00082DB7" w:rsidP="00082DB7">
      <w:pPr>
        <w:widowControl w:val="0"/>
        <w:spacing w:after="0" w:line="240" w:lineRule="auto"/>
        <w:ind w:right="2982"/>
        <w:jc w:val="both"/>
        <w:rPr>
          <w:rFonts w:cstheme="minorHAnsi"/>
          <w:b/>
        </w:rPr>
      </w:pPr>
      <w:r w:rsidRPr="00A338E5">
        <w:rPr>
          <w:rFonts w:cstheme="minorHAnsi"/>
          <w:b/>
          <w:bCs/>
          <w:spacing w:val="-3"/>
        </w:rPr>
        <w:t>P</w:t>
      </w:r>
      <w:r w:rsidRPr="00A338E5">
        <w:rPr>
          <w:rFonts w:cstheme="minorHAnsi"/>
          <w:b/>
          <w:bCs/>
        </w:rPr>
        <w:t>o</w:t>
      </w:r>
      <w:r w:rsidRPr="00A338E5">
        <w:rPr>
          <w:rFonts w:cstheme="minorHAnsi"/>
          <w:b/>
          <w:bCs/>
          <w:spacing w:val="1"/>
        </w:rPr>
        <w:t>l</w:t>
      </w:r>
      <w:r w:rsidRPr="00A338E5">
        <w:rPr>
          <w:rFonts w:cstheme="minorHAnsi"/>
          <w:b/>
          <w:bCs/>
        </w:rPr>
        <w:t xml:space="preserve">icy </w:t>
      </w:r>
      <w:r w:rsidRPr="00A338E5">
        <w:rPr>
          <w:rFonts w:cstheme="minorHAnsi"/>
          <w:b/>
          <w:bCs/>
          <w:spacing w:val="1"/>
        </w:rPr>
        <w:t>St</w:t>
      </w:r>
      <w:r w:rsidRPr="00A338E5">
        <w:rPr>
          <w:rFonts w:cstheme="minorHAnsi"/>
          <w:b/>
          <w:bCs/>
        </w:rPr>
        <w:t>a</w:t>
      </w:r>
      <w:r w:rsidRPr="00A338E5">
        <w:rPr>
          <w:rFonts w:cstheme="minorHAnsi"/>
          <w:b/>
          <w:bCs/>
          <w:spacing w:val="1"/>
        </w:rPr>
        <w:t>te</w:t>
      </w:r>
      <w:r w:rsidRPr="00A338E5">
        <w:rPr>
          <w:rFonts w:cstheme="minorHAnsi"/>
          <w:b/>
          <w:bCs/>
          <w:spacing w:val="-1"/>
        </w:rPr>
        <w:t>m</w:t>
      </w:r>
      <w:r w:rsidRPr="00A338E5">
        <w:rPr>
          <w:rFonts w:cstheme="minorHAnsi"/>
          <w:b/>
          <w:bCs/>
          <w:spacing w:val="1"/>
        </w:rPr>
        <w:t>e</w:t>
      </w:r>
      <w:r w:rsidRPr="00A338E5">
        <w:rPr>
          <w:rFonts w:cstheme="minorHAnsi"/>
          <w:b/>
          <w:bCs/>
        </w:rPr>
        <w:t>nt D</w:t>
      </w:r>
      <w:r w:rsidRPr="00A338E5">
        <w:rPr>
          <w:rFonts w:cstheme="minorHAnsi"/>
          <w:b/>
          <w:bCs/>
          <w:spacing w:val="1"/>
        </w:rPr>
        <w:t>e</w:t>
      </w:r>
      <w:r w:rsidRPr="00A338E5">
        <w:rPr>
          <w:rFonts w:cstheme="minorHAnsi"/>
          <w:b/>
          <w:bCs/>
          <w:spacing w:val="-3"/>
        </w:rPr>
        <w:t>f</w:t>
      </w:r>
      <w:r w:rsidRPr="00A338E5">
        <w:rPr>
          <w:rFonts w:cstheme="minorHAnsi"/>
          <w:b/>
          <w:bCs/>
        </w:rPr>
        <w:t>ini</w:t>
      </w:r>
      <w:r w:rsidRPr="00A338E5">
        <w:rPr>
          <w:rFonts w:cstheme="minorHAnsi"/>
          <w:b/>
          <w:bCs/>
          <w:spacing w:val="1"/>
        </w:rPr>
        <w:t>t</w:t>
      </w:r>
      <w:r w:rsidRPr="00A338E5">
        <w:rPr>
          <w:rFonts w:cstheme="minorHAnsi"/>
          <w:b/>
          <w:bCs/>
        </w:rPr>
        <w:t>ions</w:t>
      </w:r>
    </w:p>
    <w:p w14:paraId="01DA0FC8" w14:textId="77777777" w:rsidR="00082DB7" w:rsidRPr="003C1297" w:rsidRDefault="00082DB7" w:rsidP="00082DB7">
      <w:pPr>
        <w:widowControl w:val="0"/>
        <w:spacing w:after="120" w:line="240" w:lineRule="auto"/>
        <w:ind w:right="-47"/>
        <w:jc w:val="both"/>
        <w:rPr>
          <w:rFonts w:cstheme="minorHAnsi"/>
        </w:rPr>
      </w:pPr>
      <w:r w:rsidRPr="003C1297">
        <w:rPr>
          <w:rFonts w:cstheme="minorHAnsi"/>
          <w:b/>
          <w:i/>
        </w:rPr>
        <w:t>“CDAC”</w:t>
      </w:r>
      <w:r w:rsidRPr="003C1297">
        <w:rPr>
          <w:rFonts w:cstheme="minorHAnsi"/>
          <w:i/>
        </w:rPr>
        <w:t xml:space="preserve"> </w:t>
      </w:r>
      <w:r w:rsidRPr="003C1297">
        <w:rPr>
          <w:rFonts w:cstheme="minorHAnsi"/>
        </w:rPr>
        <w:t xml:space="preserve">means the Community Design Advisory Committee referred to in this </w:t>
      </w:r>
      <w:proofErr w:type="spellStart"/>
      <w:r w:rsidRPr="003C1297">
        <w:rPr>
          <w:rFonts w:cstheme="minorHAnsi"/>
        </w:rPr>
        <w:t>Policy.CDAC</w:t>
      </w:r>
      <w:proofErr w:type="spellEnd"/>
    </w:p>
    <w:p w14:paraId="259C0A4E" w14:textId="77777777" w:rsidR="00082DB7" w:rsidRPr="003C1297" w:rsidRDefault="00082DB7" w:rsidP="00082DB7">
      <w:pPr>
        <w:widowControl w:val="0"/>
        <w:spacing w:after="120" w:line="240" w:lineRule="auto"/>
        <w:ind w:right="-46"/>
        <w:jc w:val="both"/>
        <w:rPr>
          <w:rFonts w:cstheme="minorHAnsi"/>
        </w:rPr>
      </w:pPr>
      <w:r w:rsidRPr="003C1297">
        <w:rPr>
          <w:rFonts w:cstheme="minorHAnsi"/>
          <w:i/>
        </w:rPr>
        <w:t>“</w:t>
      </w:r>
      <w:r w:rsidRPr="003C1297">
        <w:rPr>
          <w:rFonts w:cstheme="minorHAnsi"/>
          <w:b/>
          <w:i/>
        </w:rPr>
        <w:t>Financial Interest”</w:t>
      </w:r>
      <w:r w:rsidRPr="003C1297">
        <w:rPr>
          <w:rFonts w:cstheme="minorHAnsi"/>
          <w:i/>
        </w:rPr>
        <w:t xml:space="preserve"> </w:t>
      </w:r>
      <w:r w:rsidRPr="003C1297">
        <w:rPr>
          <w:rFonts w:cstheme="minorHAnsi"/>
        </w:rPr>
        <w:t xml:space="preserve">has the same meaning as given by Section 5.60A of the </w:t>
      </w:r>
      <w:r w:rsidRPr="003C1297">
        <w:rPr>
          <w:rFonts w:cstheme="minorHAnsi"/>
          <w:i/>
        </w:rPr>
        <w:t>Local Government Act 1995</w:t>
      </w:r>
      <w:r w:rsidRPr="003C1297">
        <w:rPr>
          <w:rFonts w:cstheme="minorHAnsi"/>
        </w:rPr>
        <w:t>.</w:t>
      </w:r>
    </w:p>
    <w:p w14:paraId="6E4410FA" w14:textId="77777777" w:rsidR="00082DB7" w:rsidRPr="003C1297" w:rsidRDefault="00082DB7" w:rsidP="00082DB7">
      <w:pPr>
        <w:widowControl w:val="0"/>
        <w:spacing w:after="120" w:line="240" w:lineRule="auto"/>
        <w:ind w:right="-46"/>
        <w:jc w:val="both"/>
        <w:rPr>
          <w:rFonts w:cstheme="minorHAnsi"/>
        </w:rPr>
      </w:pPr>
      <w:r w:rsidRPr="003C1297">
        <w:rPr>
          <w:rFonts w:cstheme="minorHAnsi"/>
          <w:i/>
        </w:rPr>
        <w:t>“</w:t>
      </w:r>
      <w:r w:rsidRPr="003C1297">
        <w:rPr>
          <w:rFonts w:cstheme="minorHAnsi"/>
          <w:b/>
          <w:i/>
        </w:rPr>
        <w:t>Proximity Interest”</w:t>
      </w:r>
      <w:r w:rsidRPr="003C1297">
        <w:rPr>
          <w:rFonts w:cstheme="minorHAnsi"/>
          <w:i/>
        </w:rPr>
        <w:t xml:space="preserve"> </w:t>
      </w:r>
      <w:r w:rsidRPr="003C1297">
        <w:rPr>
          <w:rFonts w:cstheme="minorHAnsi"/>
        </w:rPr>
        <w:t xml:space="preserve">has the same meaning as given by Section 5.60B of the </w:t>
      </w:r>
      <w:r w:rsidRPr="003C1297">
        <w:rPr>
          <w:rFonts w:cstheme="minorHAnsi"/>
          <w:i/>
        </w:rPr>
        <w:t>Local Government Act 1995</w:t>
      </w:r>
      <w:r w:rsidRPr="003C1297">
        <w:rPr>
          <w:rFonts w:cstheme="minorHAnsi"/>
        </w:rPr>
        <w:t>.</w:t>
      </w:r>
    </w:p>
    <w:p w14:paraId="444C31F8" w14:textId="77777777" w:rsidR="00082DB7" w:rsidRPr="003C1297" w:rsidRDefault="00082DB7" w:rsidP="00082DB7">
      <w:pPr>
        <w:widowControl w:val="0"/>
        <w:spacing w:after="0" w:line="240" w:lineRule="auto"/>
        <w:ind w:right="-46"/>
        <w:jc w:val="both"/>
        <w:rPr>
          <w:rFonts w:cstheme="minorHAnsi"/>
        </w:rPr>
      </w:pPr>
      <w:r w:rsidRPr="003C1297">
        <w:rPr>
          <w:rFonts w:cstheme="minorHAnsi"/>
          <w:b/>
          <w:i/>
        </w:rPr>
        <w:t>“Impartiality Interest”</w:t>
      </w:r>
      <w:r w:rsidRPr="003C1297">
        <w:rPr>
          <w:rFonts w:cstheme="minorHAnsi"/>
          <w:i/>
        </w:rPr>
        <w:t xml:space="preserve"> </w:t>
      </w:r>
      <w:r w:rsidRPr="003C1297">
        <w:rPr>
          <w:rFonts w:cstheme="minorHAnsi"/>
        </w:rPr>
        <w:t>means an interest that could, or could reasonably be perceived to, adversely affect the impartiality of the person having interest arising from kinship, friendship or membership of an association.</w:t>
      </w:r>
    </w:p>
    <w:p w14:paraId="3A25C758" w14:textId="77777777" w:rsidR="00082DB7" w:rsidRPr="00A338E5" w:rsidRDefault="00082DB7" w:rsidP="00082DB7">
      <w:pPr>
        <w:spacing w:before="200" w:after="0"/>
        <w:rPr>
          <w:b/>
          <w:sz w:val="28"/>
          <w:szCs w:val="28"/>
          <w:lang w:val="en-US"/>
        </w:rPr>
      </w:pPr>
      <w:r w:rsidRPr="00A338E5">
        <w:rPr>
          <w:b/>
          <w:sz w:val="28"/>
          <w:szCs w:val="28"/>
          <w:lang w:val="en-US"/>
        </w:rPr>
        <w:t>Policy Scope</w:t>
      </w:r>
    </w:p>
    <w:p w14:paraId="565D430C" w14:textId="77777777" w:rsidR="00082DB7" w:rsidRPr="00A338E5" w:rsidRDefault="00082DB7" w:rsidP="00082DB7">
      <w:pPr>
        <w:widowControl w:val="0"/>
        <w:spacing w:after="120" w:line="240" w:lineRule="auto"/>
        <w:ind w:right="3213"/>
        <w:jc w:val="both"/>
        <w:rPr>
          <w:rFonts w:cstheme="minorHAnsi"/>
        </w:rPr>
      </w:pPr>
      <w:r w:rsidRPr="00A338E5">
        <w:rPr>
          <w:rFonts w:cstheme="minorHAnsi"/>
          <w:b/>
          <w:bCs/>
          <w:spacing w:val="1"/>
        </w:rPr>
        <w:t>Status and Role of the CDAC</w:t>
      </w:r>
    </w:p>
    <w:p w14:paraId="52E21985" w14:textId="77777777" w:rsidR="00082DB7" w:rsidRPr="00A338E5" w:rsidRDefault="00082DB7" w:rsidP="002A3889">
      <w:pPr>
        <w:pStyle w:val="ListParagraph"/>
        <w:widowControl w:val="0"/>
        <w:numPr>
          <w:ilvl w:val="0"/>
          <w:numId w:val="301"/>
        </w:numPr>
        <w:tabs>
          <w:tab w:val="left" w:pos="1560"/>
        </w:tabs>
        <w:spacing w:after="60" w:line="240" w:lineRule="auto"/>
        <w:ind w:left="425" w:right="75" w:hanging="425"/>
        <w:contextualSpacing w:val="0"/>
        <w:jc w:val="both"/>
        <w:rPr>
          <w:rFonts w:cstheme="minorHAnsi"/>
        </w:rPr>
      </w:pPr>
      <w:r w:rsidRPr="00A338E5">
        <w:rPr>
          <w:rFonts w:cstheme="minorHAnsi"/>
        </w:rPr>
        <w:t>The</w:t>
      </w:r>
      <w:r w:rsidRPr="00A338E5">
        <w:rPr>
          <w:rFonts w:cstheme="minorHAnsi"/>
          <w:spacing w:val="11"/>
        </w:rPr>
        <w:t xml:space="preserve"> C</w:t>
      </w:r>
      <w:r w:rsidRPr="00A338E5">
        <w:rPr>
          <w:rFonts w:cstheme="minorHAnsi"/>
        </w:rPr>
        <w:t>DAC</w:t>
      </w:r>
      <w:r w:rsidRPr="00A338E5">
        <w:rPr>
          <w:rFonts w:cstheme="minorHAnsi"/>
          <w:spacing w:val="13"/>
        </w:rPr>
        <w:t xml:space="preserve"> </w:t>
      </w:r>
      <w:r w:rsidRPr="00A338E5">
        <w:rPr>
          <w:rFonts w:cstheme="minorHAnsi"/>
          <w:spacing w:val="-1"/>
        </w:rPr>
        <w:t>(</w:t>
      </w:r>
      <w:r w:rsidRPr="00A338E5">
        <w:rPr>
          <w:rFonts w:cstheme="minorHAnsi"/>
        </w:rPr>
        <w:t>the</w:t>
      </w:r>
      <w:r w:rsidRPr="00A338E5">
        <w:rPr>
          <w:rFonts w:cstheme="minorHAnsi"/>
          <w:spacing w:val="11"/>
        </w:rPr>
        <w:t xml:space="preserve"> </w:t>
      </w:r>
      <w:r w:rsidRPr="00A338E5">
        <w:rPr>
          <w:rFonts w:cstheme="minorHAnsi"/>
          <w:spacing w:val="1"/>
        </w:rPr>
        <w:t>C</w:t>
      </w:r>
      <w:r w:rsidRPr="00A338E5">
        <w:rPr>
          <w:rFonts w:cstheme="minorHAnsi"/>
        </w:rPr>
        <w:t>ommitt</w:t>
      </w:r>
      <w:r w:rsidRPr="00A338E5">
        <w:rPr>
          <w:rFonts w:cstheme="minorHAnsi"/>
          <w:spacing w:val="-1"/>
        </w:rPr>
        <w:t>ee</w:t>
      </w:r>
      <w:r w:rsidRPr="00A338E5">
        <w:rPr>
          <w:rFonts w:cstheme="minorHAnsi"/>
        </w:rPr>
        <w:t>)</w:t>
      </w:r>
      <w:r w:rsidRPr="00A338E5">
        <w:rPr>
          <w:rFonts w:cstheme="minorHAnsi"/>
          <w:spacing w:val="11"/>
        </w:rPr>
        <w:t xml:space="preserve"> </w:t>
      </w:r>
      <w:r w:rsidRPr="00A338E5">
        <w:rPr>
          <w:rFonts w:cstheme="minorHAnsi"/>
        </w:rPr>
        <w:t>p</w:t>
      </w:r>
      <w:r w:rsidRPr="00A338E5">
        <w:rPr>
          <w:rFonts w:cstheme="minorHAnsi"/>
          <w:spacing w:val="-1"/>
        </w:rPr>
        <w:t>r</w:t>
      </w:r>
      <w:r w:rsidRPr="00A338E5">
        <w:rPr>
          <w:rFonts w:cstheme="minorHAnsi"/>
        </w:rPr>
        <w:t>ovid</w:t>
      </w:r>
      <w:r w:rsidRPr="00A338E5">
        <w:rPr>
          <w:rFonts w:cstheme="minorHAnsi"/>
          <w:spacing w:val="-1"/>
        </w:rPr>
        <w:t>e</w:t>
      </w:r>
      <w:r w:rsidRPr="00A338E5">
        <w:rPr>
          <w:rFonts w:cstheme="minorHAnsi"/>
        </w:rPr>
        <w:t>s</w:t>
      </w:r>
      <w:r w:rsidRPr="00A338E5">
        <w:rPr>
          <w:rFonts w:cstheme="minorHAnsi"/>
          <w:spacing w:val="12"/>
        </w:rPr>
        <w:t xml:space="preserve"> </w:t>
      </w:r>
      <w:r w:rsidRPr="00A338E5">
        <w:rPr>
          <w:rFonts w:cstheme="minorHAnsi"/>
        </w:rPr>
        <w:t>p</w:t>
      </w:r>
      <w:r w:rsidRPr="00A338E5">
        <w:rPr>
          <w:rFonts w:cstheme="minorHAnsi"/>
          <w:spacing w:val="-1"/>
        </w:rPr>
        <w:t>r</w:t>
      </w:r>
      <w:r w:rsidRPr="00A338E5">
        <w:rPr>
          <w:rFonts w:cstheme="minorHAnsi"/>
          <w:spacing w:val="2"/>
        </w:rPr>
        <w:t>o</w:t>
      </w:r>
      <w:r w:rsidRPr="00A338E5">
        <w:rPr>
          <w:rFonts w:cstheme="minorHAnsi"/>
          <w:spacing w:val="-1"/>
        </w:rPr>
        <w:t>fe</w:t>
      </w:r>
      <w:r w:rsidRPr="00A338E5">
        <w:rPr>
          <w:rFonts w:cstheme="minorHAnsi"/>
        </w:rPr>
        <w:t>ssion</w:t>
      </w:r>
      <w:r w:rsidRPr="00A338E5">
        <w:rPr>
          <w:rFonts w:cstheme="minorHAnsi"/>
          <w:spacing w:val="-1"/>
        </w:rPr>
        <w:t>a</w:t>
      </w:r>
      <w:r w:rsidRPr="00A338E5">
        <w:rPr>
          <w:rFonts w:cstheme="minorHAnsi"/>
        </w:rPr>
        <w:t>l</w:t>
      </w:r>
      <w:r w:rsidRPr="00A338E5">
        <w:rPr>
          <w:rFonts w:cstheme="minorHAnsi"/>
          <w:spacing w:val="15"/>
        </w:rPr>
        <w:t xml:space="preserve"> </w:t>
      </w:r>
      <w:r w:rsidRPr="00A338E5">
        <w:rPr>
          <w:rFonts w:cstheme="minorHAnsi"/>
          <w:spacing w:val="-1"/>
        </w:rPr>
        <w:t>a</w:t>
      </w:r>
      <w:r w:rsidRPr="00A338E5">
        <w:rPr>
          <w:rFonts w:cstheme="minorHAnsi"/>
        </w:rPr>
        <w:t>nd</w:t>
      </w:r>
      <w:r w:rsidRPr="00A338E5">
        <w:rPr>
          <w:rFonts w:cstheme="minorHAnsi"/>
          <w:spacing w:val="12"/>
        </w:rPr>
        <w:t xml:space="preserve"> </w:t>
      </w:r>
      <w:r w:rsidRPr="00A338E5">
        <w:rPr>
          <w:rFonts w:cstheme="minorHAnsi"/>
        </w:rPr>
        <w:t>t</w:t>
      </w:r>
      <w:r w:rsidRPr="00A338E5">
        <w:rPr>
          <w:rFonts w:cstheme="minorHAnsi"/>
          <w:spacing w:val="-1"/>
        </w:rPr>
        <w:t>ec</w:t>
      </w:r>
      <w:r w:rsidRPr="00A338E5">
        <w:rPr>
          <w:rFonts w:cstheme="minorHAnsi"/>
        </w:rPr>
        <w:t>hni</w:t>
      </w:r>
      <w:r w:rsidRPr="00A338E5">
        <w:rPr>
          <w:rFonts w:cstheme="minorHAnsi"/>
          <w:spacing w:val="-1"/>
        </w:rPr>
        <w:t>ca</w:t>
      </w:r>
      <w:r w:rsidRPr="00A338E5">
        <w:rPr>
          <w:rFonts w:cstheme="minorHAnsi"/>
        </w:rPr>
        <w:t>l</w:t>
      </w:r>
      <w:r w:rsidRPr="00A338E5">
        <w:rPr>
          <w:rFonts w:cstheme="minorHAnsi"/>
          <w:spacing w:val="15"/>
        </w:rPr>
        <w:t xml:space="preserve"> </w:t>
      </w:r>
      <w:r w:rsidRPr="00A338E5">
        <w:rPr>
          <w:rFonts w:cstheme="minorHAnsi"/>
          <w:spacing w:val="-1"/>
        </w:rPr>
        <w:t>a</w:t>
      </w:r>
      <w:r w:rsidRPr="00A338E5">
        <w:rPr>
          <w:rFonts w:cstheme="minorHAnsi"/>
        </w:rPr>
        <w:t>dvi</w:t>
      </w:r>
      <w:r w:rsidRPr="00A338E5">
        <w:rPr>
          <w:rFonts w:cstheme="minorHAnsi"/>
          <w:spacing w:val="-1"/>
        </w:rPr>
        <w:t>ce</w:t>
      </w:r>
      <w:r w:rsidRPr="00A338E5">
        <w:rPr>
          <w:rFonts w:cstheme="minorHAnsi"/>
        </w:rPr>
        <w:t>, in</w:t>
      </w:r>
      <w:r w:rsidRPr="00A338E5">
        <w:rPr>
          <w:rFonts w:cstheme="minorHAnsi"/>
          <w:spacing w:val="1"/>
        </w:rPr>
        <w:t xml:space="preserve"> </w:t>
      </w:r>
      <w:r w:rsidRPr="00A338E5">
        <w:rPr>
          <w:rFonts w:cstheme="minorHAnsi"/>
        </w:rPr>
        <w:t>a non-</w:t>
      </w:r>
      <w:r w:rsidRPr="00A338E5">
        <w:rPr>
          <w:rFonts w:cstheme="minorHAnsi"/>
          <w:spacing w:val="4"/>
        </w:rPr>
        <w:t xml:space="preserve"> </w:t>
      </w:r>
      <w:r w:rsidRPr="00A338E5">
        <w:rPr>
          <w:rFonts w:cstheme="minorHAnsi"/>
          <w:spacing w:val="-1"/>
        </w:rPr>
        <w:t>a</w:t>
      </w:r>
      <w:r w:rsidRPr="00A338E5">
        <w:rPr>
          <w:rFonts w:cstheme="minorHAnsi"/>
        </w:rPr>
        <w:t>dv</w:t>
      </w:r>
      <w:r w:rsidRPr="00A338E5">
        <w:rPr>
          <w:rFonts w:cstheme="minorHAnsi"/>
          <w:spacing w:val="-1"/>
        </w:rPr>
        <w:t>er</w:t>
      </w:r>
      <w:r w:rsidRPr="00A338E5">
        <w:rPr>
          <w:rFonts w:cstheme="minorHAnsi"/>
          <w:spacing w:val="3"/>
        </w:rPr>
        <w:t>s</w:t>
      </w:r>
      <w:r w:rsidRPr="00A338E5">
        <w:rPr>
          <w:rFonts w:cstheme="minorHAnsi"/>
          <w:spacing w:val="-1"/>
        </w:rPr>
        <w:t>ar</w:t>
      </w:r>
      <w:r w:rsidRPr="00A338E5">
        <w:rPr>
          <w:rFonts w:cstheme="minorHAnsi"/>
        </w:rPr>
        <w:t>i</w:t>
      </w:r>
      <w:r w:rsidRPr="00A338E5">
        <w:rPr>
          <w:rFonts w:cstheme="minorHAnsi"/>
          <w:spacing w:val="-1"/>
        </w:rPr>
        <w:t>a</w:t>
      </w:r>
      <w:r w:rsidRPr="00A338E5">
        <w:rPr>
          <w:rFonts w:cstheme="minorHAnsi"/>
        </w:rPr>
        <w:t>l</w:t>
      </w:r>
      <w:r w:rsidRPr="00A338E5">
        <w:rPr>
          <w:rFonts w:cstheme="minorHAnsi"/>
          <w:spacing w:val="4"/>
        </w:rPr>
        <w:t xml:space="preserve"> </w:t>
      </w:r>
      <w:r w:rsidRPr="00A338E5">
        <w:rPr>
          <w:rFonts w:cstheme="minorHAnsi"/>
          <w:spacing w:val="-1"/>
        </w:rPr>
        <w:t>a</w:t>
      </w:r>
      <w:r w:rsidRPr="00A338E5">
        <w:rPr>
          <w:rFonts w:cstheme="minorHAnsi"/>
        </w:rPr>
        <w:t>nd</w:t>
      </w:r>
      <w:r w:rsidRPr="00A338E5">
        <w:rPr>
          <w:rFonts w:cstheme="minorHAnsi"/>
          <w:spacing w:val="4"/>
        </w:rPr>
        <w:t xml:space="preserve"> </w:t>
      </w:r>
      <w:r w:rsidRPr="00A338E5">
        <w:rPr>
          <w:rFonts w:cstheme="minorHAnsi"/>
        </w:rPr>
        <w:t>in</w:t>
      </w:r>
      <w:r w:rsidRPr="00A338E5">
        <w:rPr>
          <w:rFonts w:cstheme="minorHAnsi"/>
          <w:spacing w:val="-1"/>
        </w:rPr>
        <w:t>f</w:t>
      </w:r>
      <w:r w:rsidRPr="00A338E5">
        <w:rPr>
          <w:rFonts w:cstheme="minorHAnsi"/>
        </w:rPr>
        <w:t>o</w:t>
      </w:r>
      <w:r w:rsidRPr="00A338E5">
        <w:rPr>
          <w:rFonts w:cstheme="minorHAnsi"/>
          <w:spacing w:val="-1"/>
        </w:rPr>
        <w:t>r</w:t>
      </w:r>
      <w:r w:rsidRPr="00A338E5">
        <w:rPr>
          <w:rFonts w:cstheme="minorHAnsi"/>
        </w:rPr>
        <w:t>m</w:t>
      </w:r>
      <w:r w:rsidRPr="00A338E5">
        <w:rPr>
          <w:rFonts w:cstheme="minorHAnsi"/>
          <w:spacing w:val="-1"/>
        </w:rPr>
        <w:t>a</w:t>
      </w:r>
      <w:r w:rsidRPr="00A338E5">
        <w:rPr>
          <w:rFonts w:cstheme="minorHAnsi"/>
        </w:rPr>
        <w:t>l</w:t>
      </w:r>
      <w:r w:rsidRPr="00A338E5">
        <w:rPr>
          <w:rFonts w:cstheme="minorHAnsi"/>
          <w:spacing w:val="2"/>
        </w:rPr>
        <w:t xml:space="preserve"> </w:t>
      </w:r>
      <w:r w:rsidRPr="00A338E5">
        <w:rPr>
          <w:rFonts w:cstheme="minorHAnsi"/>
        </w:rPr>
        <w:t>m</w:t>
      </w:r>
      <w:r w:rsidRPr="00A338E5">
        <w:rPr>
          <w:rFonts w:cstheme="minorHAnsi"/>
          <w:spacing w:val="-1"/>
        </w:rPr>
        <w:t>a</w:t>
      </w:r>
      <w:r w:rsidRPr="00A338E5">
        <w:rPr>
          <w:rFonts w:cstheme="minorHAnsi"/>
        </w:rPr>
        <w:t>nn</w:t>
      </w:r>
      <w:r w:rsidRPr="00A338E5">
        <w:rPr>
          <w:rFonts w:cstheme="minorHAnsi"/>
          <w:spacing w:val="1"/>
        </w:rPr>
        <w:t>e</w:t>
      </w:r>
      <w:r w:rsidRPr="00A338E5">
        <w:rPr>
          <w:rFonts w:cstheme="minorHAnsi"/>
        </w:rPr>
        <w:t>r</w:t>
      </w:r>
      <w:r w:rsidRPr="00A338E5">
        <w:rPr>
          <w:rFonts w:cstheme="minorHAnsi"/>
          <w:spacing w:val="1"/>
        </w:rPr>
        <w:t xml:space="preserve"> </w:t>
      </w:r>
      <w:r w:rsidRPr="00A338E5">
        <w:rPr>
          <w:rFonts w:cstheme="minorHAnsi"/>
        </w:rPr>
        <w:t>to</w:t>
      </w:r>
      <w:r w:rsidRPr="00A338E5">
        <w:rPr>
          <w:rFonts w:cstheme="minorHAnsi"/>
          <w:spacing w:val="1"/>
        </w:rPr>
        <w:t xml:space="preserve"> </w:t>
      </w:r>
      <w:r w:rsidRPr="00A338E5">
        <w:rPr>
          <w:rFonts w:cstheme="minorHAnsi"/>
        </w:rPr>
        <w:t>the</w:t>
      </w:r>
      <w:r w:rsidRPr="00A338E5">
        <w:rPr>
          <w:rFonts w:cstheme="minorHAnsi"/>
          <w:spacing w:val="5"/>
        </w:rPr>
        <w:t xml:space="preserve"> </w:t>
      </w:r>
      <w:r w:rsidRPr="00A338E5">
        <w:rPr>
          <w:rFonts w:cstheme="minorHAnsi"/>
          <w:spacing w:val="1"/>
        </w:rPr>
        <w:t>Town</w:t>
      </w:r>
      <w:r w:rsidRPr="00A338E5">
        <w:rPr>
          <w:rFonts w:cstheme="minorHAnsi"/>
          <w:spacing w:val="-1"/>
        </w:rPr>
        <w:t>’</w:t>
      </w:r>
      <w:r w:rsidRPr="00A338E5">
        <w:rPr>
          <w:rFonts w:cstheme="minorHAnsi"/>
        </w:rPr>
        <w:t>s</w:t>
      </w:r>
      <w:r w:rsidRPr="00A338E5">
        <w:rPr>
          <w:rFonts w:cstheme="minorHAnsi"/>
          <w:spacing w:val="2"/>
        </w:rPr>
        <w:t xml:space="preserve"> </w:t>
      </w:r>
      <w:r w:rsidRPr="00A338E5">
        <w:rPr>
          <w:rFonts w:cstheme="minorHAnsi"/>
        </w:rPr>
        <w:t>Administ</w:t>
      </w:r>
      <w:r w:rsidRPr="00A338E5">
        <w:rPr>
          <w:rFonts w:cstheme="minorHAnsi"/>
          <w:spacing w:val="-1"/>
        </w:rPr>
        <w:t>ra</w:t>
      </w:r>
      <w:r w:rsidRPr="00A338E5">
        <w:rPr>
          <w:rFonts w:cstheme="minorHAnsi"/>
        </w:rPr>
        <w:t xml:space="preserve">tion </w:t>
      </w:r>
      <w:r w:rsidRPr="00A338E5">
        <w:rPr>
          <w:rFonts w:cstheme="minorHAnsi"/>
          <w:spacing w:val="-1"/>
        </w:rPr>
        <w:t>a</w:t>
      </w:r>
      <w:r w:rsidRPr="00A338E5">
        <w:rPr>
          <w:rFonts w:cstheme="minorHAnsi"/>
        </w:rPr>
        <w:t>nd</w:t>
      </w:r>
      <w:r w:rsidRPr="00A338E5">
        <w:rPr>
          <w:rFonts w:cstheme="minorHAnsi"/>
          <w:spacing w:val="1"/>
        </w:rPr>
        <w:t xml:space="preserve"> </w:t>
      </w:r>
      <w:r w:rsidRPr="00A338E5">
        <w:rPr>
          <w:rFonts w:cstheme="minorHAnsi"/>
        </w:rPr>
        <w:t xml:space="preserve">the </w:t>
      </w:r>
      <w:r w:rsidRPr="00A338E5">
        <w:rPr>
          <w:rFonts w:cstheme="minorHAnsi"/>
          <w:spacing w:val="1"/>
        </w:rPr>
        <w:t>C</w:t>
      </w:r>
      <w:r w:rsidRPr="00A338E5">
        <w:rPr>
          <w:rFonts w:cstheme="minorHAnsi"/>
        </w:rPr>
        <w:t>oun</w:t>
      </w:r>
      <w:r w:rsidRPr="00A338E5">
        <w:rPr>
          <w:rFonts w:cstheme="minorHAnsi"/>
          <w:spacing w:val="-1"/>
        </w:rPr>
        <w:t>c</w:t>
      </w:r>
      <w:r w:rsidRPr="00A338E5">
        <w:rPr>
          <w:rFonts w:cstheme="minorHAnsi"/>
        </w:rPr>
        <w:t>il</w:t>
      </w:r>
      <w:r w:rsidRPr="00A338E5">
        <w:rPr>
          <w:rFonts w:cstheme="minorHAnsi"/>
          <w:spacing w:val="1"/>
        </w:rPr>
        <w:t xml:space="preserve"> </w:t>
      </w:r>
      <w:r w:rsidRPr="00A338E5">
        <w:rPr>
          <w:rFonts w:cstheme="minorHAnsi"/>
        </w:rPr>
        <w:t>in</w:t>
      </w:r>
      <w:r w:rsidRPr="00A338E5">
        <w:rPr>
          <w:rFonts w:cstheme="minorHAnsi"/>
          <w:spacing w:val="1"/>
        </w:rPr>
        <w:t xml:space="preserve"> </w:t>
      </w:r>
      <w:r w:rsidRPr="00A338E5">
        <w:rPr>
          <w:rFonts w:cstheme="minorHAnsi"/>
          <w:spacing w:val="-1"/>
        </w:rPr>
        <w:t>re</w:t>
      </w:r>
      <w:r w:rsidRPr="00A338E5">
        <w:rPr>
          <w:rFonts w:cstheme="minorHAnsi"/>
        </w:rPr>
        <w:t>l</w:t>
      </w:r>
      <w:r w:rsidRPr="00A338E5">
        <w:rPr>
          <w:rFonts w:cstheme="minorHAnsi"/>
          <w:spacing w:val="-1"/>
        </w:rPr>
        <w:t>a</w:t>
      </w:r>
      <w:r w:rsidRPr="00A338E5">
        <w:rPr>
          <w:rFonts w:cstheme="minorHAnsi"/>
        </w:rPr>
        <w:t>tion</w:t>
      </w:r>
      <w:r w:rsidRPr="00A338E5">
        <w:rPr>
          <w:rFonts w:cstheme="minorHAnsi"/>
          <w:spacing w:val="1"/>
        </w:rPr>
        <w:t xml:space="preserve"> </w:t>
      </w:r>
      <w:r w:rsidRPr="00A338E5">
        <w:rPr>
          <w:rFonts w:cstheme="minorHAnsi"/>
        </w:rPr>
        <w:t>to</w:t>
      </w:r>
      <w:r w:rsidRPr="00A338E5">
        <w:rPr>
          <w:rFonts w:cstheme="minorHAnsi"/>
          <w:spacing w:val="1"/>
        </w:rPr>
        <w:t xml:space="preserve"> </w:t>
      </w:r>
      <w:r w:rsidRPr="00A338E5">
        <w:rPr>
          <w:rFonts w:cstheme="minorHAnsi"/>
        </w:rPr>
        <w:t>the d</w:t>
      </w:r>
      <w:r w:rsidRPr="00A338E5">
        <w:rPr>
          <w:rFonts w:cstheme="minorHAnsi"/>
          <w:spacing w:val="-1"/>
        </w:rPr>
        <w:t>e</w:t>
      </w:r>
      <w:r w:rsidRPr="00A338E5">
        <w:rPr>
          <w:rFonts w:cstheme="minorHAnsi"/>
        </w:rPr>
        <w:t>si</w:t>
      </w:r>
      <w:r w:rsidRPr="00A338E5">
        <w:rPr>
          <w:rFonts w:cstheme="minorHAnsi"/>
          <w:spacing w:val="-2"/>
        </w:rPr>
        <w:t>g</w:t>
      </w:r>
      <w:r w:rsidRPr="00A338E5">
        <w:rPr>
          <w:rFonts w:cstheme="minorHAnsi"/>
        </w:rPr>
        <w:t>n</w:t>
      </w:r>
      <w:r w:rsidRPr="00A338E5">
        <w:rPr>
          <w:rFonts w:cstheme="minorHAnsi"/>
          <w:spacing w:val="1"/>
        </w:rPr>
        <w:t xml:space="preserve"> </w:t>
      </w:r>
      <w:r w:rsidRPr="00A338E5">
        <w:rPr>
          <w:rFonts w:cstheme="minorHAnsi"/>
        </w:rPr>
        <w:t>of buildin</w:t>
      </w:r>
      <w:r w:rsidRPr="00A338E5">
        <w:rPr>
          <w:rFonts w:cstheme="minorHAnsi"/>
          <w:spacing w:val="-2"/>
        </w:rPr>
        <w:t>g</w:t>
      </w:r>
      <w:r w:rsidRPr="00A338E5">
        <w:rPr>
          <w:rFonts w:cstheme="minorHAnsi"/>
        </w:rPr>
        <w:t>s</w:t>
      </w:r>
      <w:r w:rsidRPr="00A338E5">
        <w:rPr>
          <w:rFonts w:cstheme="minorHAnsi"/>
          <w:spacing w:val="1"/>
        </w:rPr>
        <w:t xml:space="preserve"> </w:t>
      </w:r>
      <w:r w:rsidRPr="00A338E5">
        <w:rPr>
          <w:rFonts w:cstheme="minorHAnsi"/>
          <w:spacing w:val="-1"/>
        </w:rPr>
        <w:t>a</w:t>
      </w:r>
      <w:r w:rsidRPr="00A338E5">
        <w:rPr>
          <w:rFonts w:cstheme="minorHAnsi"/>
        </w:rPr>
        <w:t>nd</w:t>
      </w:r>
      <w:r w:rsidRPr="00A338E5">
        <w:rPr>
          <w:rFonts w:cstheme="minorHAnsi"/>
          <w:spacing w:val="1"/>
        </w:rPr>
        <w:t xml:space="preserve"> </w:t>
      </w:r>
      <w:r w:rsidRPr="00A338E5">
        <w:rPr>
          <w:rFonts w:cstheme="minorHAnsi"/>
        </w:rPr>
        <w:t>oth</w:t>
      </w:r>
      <w:r w:rsidRPr="00A338E5">
        <w:rPr>
          <w:rFonts w:cstheme="minorHAnsi"/>
          <w:spacing w:val="-1"/>
        </w:rPr>
        <w:t>e</w:t>
      </w:r>
      <w:r w:rsidRPr="00A338E5">
        <w:rPr>
          <w:rFonts w:cstheme="minorHAnsi"/>
        </w:rPr>
        <w:t>r</w:t>
      </w:r>
      <w:r w:rsidRPr="00A338E5">
        <w:rPr>
          <w:rFonts w:cstheme="minorHAnsi"/>
          <w:spacing w:val="3"/>
        </w:rPr>
        <w:t xml:space="preserve"> </w:t>
      </w:r>
      <w:r w:rsidRPr="00A338E5">
        <w:rPr>
          <w:rFonts w:cstheme="minorHAnsi"/>
          <w:spacing w:val="-1"/>
        </w:rPr>
        <w:t>re</w:t>
      </w:r>
      <w:r w:rsidRPr="00A338E5">
        <w:rPr>
          <w:rFonts w:cstheme="minorHAnsi"/>
        </w:rPr>
        <w:t>l</w:t>
      </w:r>
      <w:r w:rsidRPr="00A338E5">
        <w:rPr>
          <w:rFonts w:cstheme="minorHAnsi"/>
          <w:spacing w:val="-1"/>
        </w:rPr>
        <w:t>a</w:t>
      </w:r>
      <w:r w:rsidRPr="00A338E5">
        <w:rPr>
          <w:rFonts w:cstheme="minorHAnsi"/>
        </w:rPr>
        <w:t>t</w:t>
      </w:r>
      <w:r w:rsidRPr="00A338E5">
        <w:rPr>
          <w:rFonts w:cstheme="minorHAnsi"/>
          <w:spacing w:val="-1"/>
        </w:rPr>
        <w:t>e</w:t>
      </w:r>
      <w:r w:rsidRPr="00A338E5">
        <w:rPr>
          <w:rFonts w:cstheme="minorHAnsi"/>
        </w:rPr>
        <w:t>d m</w:t>
      </w:r>
      <w:r w:rsidRPr="00A338E5">
        <w:rPr>
          <w:rFonts w:cstheme="minorHAnsi"/>
          <w:spacing w:val="-1"/>
        </w:rPr>
        <w:t>a</w:t>
      </w:r>
      <w:r w:rsidRPr="00A338E5">
        <w:rPr>
          <w:rFonts w:cstheme="minorHAnsi"/>
        </w:rPr>
        <w:t>tt</w:t>
      </w:r>
      <w:r w:rsidRPr="00A338E5">
        <w:rPr>
          <w:rFonts w:cstheme="minorHAnsi"/>
          <w:spacing w:val="-1"/>
        </w:rPr>
        <w:t>er</w:t>
      </w:r>
      <w:r w:rsidRPr="00A338E5">
        <w:rPr>
          <w:rFonts w:cstheme="minorHAnsi"/>
        </w:rPr>
        <w:t xml:space="preserve">s. </w:t>
      </w:r>
      <w:r w:rsidRPr="00A338E5">
        <w:rPr>
          <w:rFonts w:cstheme="minorHAnsi"/>
          <w:spacing w:val="58"/>
        </w:rPr>
        <w:t xml:space="preserve"> </w:t>
      </w:r>
      <w:r w:rsidRPr="00A338E5">
        <w:rPr>
          <w:rFonts w:cstheme="minorHAnsi"/>
        </w:rPr>
        <w:t>T</w:t>
      </w:r>
      <w:r w:rsidRPr="00A338E5">
        <w:rPr>
          <w:rFonts w:cstheme="minorHAnsi"/>
          <w:spacing w:val="2"/>
        </w:rPr>
        <w:t>h</w:t>
      </w:r>
      <w:r w:rsidRPr="00A338E5">
        <w:rPr>
          <w:rFonts w:cstheme="minorHAnsi"/>
        </w:rPr>
        <w:t>e</w:t>
      </w:r>
      <w:r w:rsidRPr="00A338E5">
        <w:rPr>
          <w:rFonts w:cstheme="minorHAnsi"/>
          <w:spacing w:val="28"/>
        </w:rPr>
        <w:t xml:space="preserve"> </w:t>
      </w:r>
      <w:r w:rsidRPr="00A338E5">
        <w:rPr>
          <w:rFonts w:cstheme="minorHAnsi"/>
        </w:rPr>
        <w:t>CDAC</w:t>
      </w:r>
      <w:r w:rsidRPr="00A338E5">
        <w:rPr>
          <w:rFonts w:cstheme="minorHAnsi"/>
          <w:spacing w:val="32"/>
        </w:rPr>
        <w:t xml:space="preserve"> </w:t>
      </w:r>
      <w:r w:rsidRPr="00A338E5">
        <w:rPr>
          <w:rFonts w:cstheme="minorHAnsi"/>
        </w:rPr>
        <w:t>p</w:t>
      </w:r>
      <w:r w:rsidRPr="00A338E5">
        <w:rPr>
          <w:rFonts w:cstheme="minorHAnsi"/>
          <w:spacing w:val="-1"/>
        </w:rPr>
        <w:t>e</w:t>
      </w:r>
      <w:r w:rsidRPr="00A338E5">
        <w:rPr>
          <w:rFonts w:cstheme="minorHAnsi"/>
          <w:spacing w:val="2"/>
        </w:rPr>
        <w:t>rf</w:t>
      </w:r>
      <w:r w:rsidRPr="00A338E5">
        <w:rPr>
          <w:rFonts w:cstheme="minorHAnsi"/>
        </w:rPr>
        <w:t>o</w:t>
      </w:r>
      <w:r w:rsidRPr="00A338E5">
        <w:rPr>
          <w:rFonts w:cstheme="minorHAnsi"/>
          <w:spacing w:val="-1"/>
        </w:rPr>
        <w:t>r</w:t>
      </w:r>
      <w:r w:rsidRPr="00A338E5">
        <w:rPr>
          <w:rFonts w:cstheme="minorHAnsi"/>
        </w:rPr>
        <w:t>ms</w:t>
      </w:r>
      <w:r w:rsidRPr="00A338E5">
        <w:rPr>
          <w:rFonts w:cstheme="minorHAnsi"/>
          <w:spacing w:val="29"/>
        </w:rPr>
        <w:t xml:space="preserve"> </w:t>
      </w:r>
      <w:r w:rsidRPr="00A338E5">
        <w:rPr>
          <w:rFonts w:cstheme="minorHAnsi"/>
          <w:spacing w:val="-1"/>
        </w:rPr>
        <w:t>a</w:t>
      </w:r>
      <w:r w:rsidRPr="00A338E5">
        <w:rPr>
          <w:rFonts w:cstheme="minorHAnsi"/>
        </w:rPr>
        <w:t>n</w:t>
      </w:r>
      <w:r w:rsidRPr="00A338E5">
        <w:rPr>
          <w:rFonts w:cstheme="minorHAnsi"/>
          <w:spacing w:val="31"/>
        </w:rPr>
        <w:t xml:space="preserve"> </w:t>
      </w:r>
      <w:r w:rsidRPr="00A338E5">
        <w:rPr>
          <w:rFonts w:cstheme="minorHAnsi"/>
          <w:spacing w:val="-1"/>
        </w:rPr>
        <w:t>a</w:t>
      </w:r>
      <w:r w:rsidRPr="00A338E5">
        <w:rPr>
          <w:rFonts w:cstheme="minorHAnsi"/>
        </w:rPr>
        <w:t>dviso</w:t>
      </w:r>
      <w:r w:rsidRPr="00A338E5">
        <w:rPr>
          <w:rFonts w:cstheme="minorHAnsi"/>
          <w:spacing w:val="4"/>
        </w:rPr>
        <w:t>r</w:t>
      </w:r>
      <w:r w:rsidRPr="00A338E5">
        <w:rPr>
          <w:rFonts w:cstheme="minorHAnsi"/>
        </w:rPr>
        <w:t>y</w:t>
      </w:r>
      <w:r w:rsidRPr="00A338E5">
        <w:rPr>
          <w:rFonts w:cstheme="minorHAnsi"/>
          <w:spacing w:val="24"/>
        </w:rPr>
        <w:t xml:space="preserve"> </w:t>
      </w:r>
      <w:r w:rsidRPr="00A338E5">
        <w:rPr>
          <w:rFonts w:cstheme="minorHAnsi"/>
          <w:spacing w:val="-1"/>
        </w:rPr>
        <w:t>f</w:t>
      </w:r>
      <w:r w:rsidRPr="00A338E5">
        <w:rPr>
          <w:rFonts w:cstheme="minorHAnsi"/>
        </w:rPr>
        <w:t>u</w:t>
      </w:r>
      <w:r w:rsidRPr="00A338E5">
        <w:rPr>
          <w:rFonts w:cstheme="minorHAnsi"/>
          <w:spacing w:val="2"/>
        </w:rPr>
        <w:t>n</w:t>
      </w:r>
      <w:r w:rsidRPr="00A338E5">
        <w:rPr>
          <w:rFonts w:cstheme="minorHAnsi"/>
          <w:spacing w:val="-1"/>
        </w:rPr>
        <w:t>c</w:t>
      </w:r>
      <w:r w:rsidRPr="00A338E5">
        <w:rPr>
          <w:rFonts w:cstheme="minorHAnsi"/>
        </w:rPr>
        <w:t>tion</w:t>
      </w:r>
      <w:r w:rsidRPr="00A338E5">
        <w:rPr>
          <w:rFonts w:cstheme="minorHAnsi"/>
          <w:spacing w:val="29"/>
        </w:rPr>
        <w:t xml:space="preserve"> </w:t>
      </w:r>
      <w:r w:rsidRPr="00A338E5">
        <w:rPr>
          <w:rFonts w:cstheme="minorHAnsi"/>
        </w:rPr>
        <w:t>on</w:t>
      </w:r>
      <w:r w:rsidRPr="00A338E5">
        <w:rPr>
          <w:rFonts w:cstheme="minorHAnsi"/>
          <w:spacing w:val="3"/>
        </w:rPr>
        <w:t>l</w:t>
      </w:r>
      <w:r w:rsidRPr="00A338E5">
        <w:rPr>
          <w:rFonts w:cstheme="minorHAnsi"/>
        </w:rPr>
        <w:t>y</w:t>
      </w:r>
      <w:r w:rsidRPr="00A338E5">
        <w:rPr>
          <w:rFonts w:cstheme="minorHAnsi"/>
          <w:spacing w:val="26"/>
        </w:rPr>
        <w:t xml:space="preserve"> </w:t>
      </w:r>
      <w:r w:rsidRPr="00A338E5">
        <w:rPr>
          <w:rFonts w:cstheme="minorHAnsi"/>
          <w:spacing w:val="-1"/>
        </w:rPr>
        <w:t>a</w:t>
      </w:r>
      <w:r w:rsidRPr="00A338E5">
        <w:rPr>
          <w:rFonts w:cstheme="minorHAnsi"/>
        </w:rPr>
        <w:t>nd</w:t>
      </w:r>
      <w:r w:rsidRPr="00A338E5">
        <w:rPr>
          <w:rFonts w:cstheme="minorHAnsi"/>
          <w:spacing w:val="29"/>
        </w:rPr>
        <w:t xml:space="preserve"> </w:t>
      </w:r>
      <w:r w:rsidRPr="00A338E5">
        <w:rPr>
          <w:rFonts w:cstheme="minorHAnsi"/>
        </w:rPr>
        <w:t>d</w:t>
      </w:r>
      <w:r w:rsidRPr="00A338E5">
        <w:rPr>
          <w:rFonts w:cstheme="minorHAnsi"/>
          <w:spacing w:val="2"/>
        </w:rPr>
        <w:t>o</w:t>
      </w:r>
      <w:r w:rsidRPr="00A338E5">
        <w:rPr>
          <w:rFonts w:cstheme="minorHAnsi"/>
          <w:spacing w:val="-1"/>
        </w:rPr>
        <w:t>e</w:t>
      </w:r>
      <w:r w:rsidRPr="00A338E5">
        <w:rPr>
          <w:rFonts w:cstheme="minorHAnsi"/>
        </w:rPr>
        <w:t>s</w:t>
      </w:r>
      <w:r w:rsidRPr="00A338E5">
        <w:rPr>
          <w:rFonts w:cstheme="minorHAnsi"/>
          <w:spacing w:val="29"/>
        </w:rPr>
        <w:t xml:space="preserve"> </w:t>
      </w:r>
      <w:r w:rsidRPr="00A338E5">
        <w:rPr>
          <w:rFonts w:cstheme="minorHAnsi"/>
        </w:rPr>
        <w:t>not m</w:t>
      </w:r>
      <w:r w:rsidRPr="00A338E5">
        <w:rPr>
          <w:rFonts w:cstheme="minorHAnsi"/>
          <w:spacing w:val="-1"/>
        </w:rPr>
        <w:t>a</w:t>
      </w:r>
      <w:r w:rsidRPr="00A338E5">
        <w:rPr>
          <w:rFonts w:cstheme="minorHAnsi"/>
        </w:rPr>
        <w:t>ke</w:t>
      </w:r>
      <w:r w:rsidRPr="00A338E5">
        <w:rPr>
          <w:rFonts w:cstheme="minorHAnsi"/>
          <w:spacing w:val="-1"/>
        </w:rPr>
        <w:t xml:space="preserve"> </w:t>
      </w:r>
      <w:r w:rsidRPr="00A338E5">
        <w:rPr>
          <w:rFonts w:cstheme="minorHAnsi"/>
        </w:rPr>
        <w:t>d</w:t>
      </w:r>
      <w:r w:rsidRPr="00A338E5">
        <w:rPr>
          <w:rFonts w:cstheme="minorHAnsi"/>
          <w:spacing w:val="-1"/>
        </w:rPr>
        <w:t>ec</w:t>
      </w:r>
      <w:r w:rsidRPr="00A338E5">
        <w:rPr>
          <w:rFonts w:cstheme="minorHAnsi"/>
        </w:rPr>
        <w:t xml:space="preserve">ision </w:t>
      </w:r>
      <w:proofErr w:type="gramStart"/>
      <w:r w:rsidRPr="00A338E5">
        <w:rPr>
          <w:rFonts w:cstheme="minorHAnsi"/>
        </w:rPr>
        <w:t>on, or</w:t>
      </w:r>
      <w:proofErr w:type="gramEnd"/>
      <w:r w:rsidRPr="00A338E5">
        <w:rPr>
          <w:rFonts w:cstheme="minorHAnsi"/>
          <w:spacing w:val="2"/>
        </w:rPr>
        <w:t xml:space="preserve"> </w:t>
      </w:r>
      <w:r w:rsidRPr="00A338E5">
        <w:rPr>
          <w:rFonts w:cstheme="minorHAnsi"/>
          <w:spacing w:val="-1"/>
        </w:rPr>
        <w:t>a</w:t>
      </w:r>
      <w:r w:rsidRPr="00A338E5">
        <w:rPr>
          <w:rFonts w:cstheme="minorHAnsi"/>
        </w:rPr>
        <w:t>p</w:t>
      </w:r>
      <w:r w:rsidRPr="00A338E5">
        <w:rPr>
          <w:rFonts w:cstheme="minorHAnsi"/>
          <w:spacing w:val="2"/>
        </w:rPr>
        <w:t>p</w:t>
      </w:r>
      <w:r w:rsidRPr="00A338E5">
        <w:rPr>
          <w:rFonts w:cstheme="minorHAnsi"/>
          <w:spacing w:val="-1"/>
        </w:rPr>
        <w:t>r</w:t>
      </w:r>
      <w:r w:rsidRPr="00A338E5">
        <w:rPr>
          <w:rFonts w:cstheme="minorHAnsi"/>
        </w:rPr>
        <w:t>ove</w:t>
      </w:r>
      <w:r w:rsidRPr="00A338E5">
        <w:rPr>
          <w:rFonts w:cstheme="minorHAnsi"/>
          <w:spacing w:val="-1"/>
        </w:rPr>
        <w:t xml:space="preserve"> a</w:t>
      </w:r>
      <w:r w:rsidRPr="00A338E5">
        <w:rPr>
          <w:rFonts w:cstheme="minorHAnsi"/>
        </w:rPr>
        <w:t>ppli</w:t>
      </w:r>
      <w:r w:rsidRPr="00A338E5">
        <w:rPr>
          <w:rFonts w:cstheme="minorHAnsi"/>
          <w:spacing w:val="-1"/>
        </w:rPr>
        <w:t>ca</w:t>
      </w:r>
      <w:r w:rsidRPr="00A338E5">
        <w:rPr>
          <w:rFonts w:cstheme="minorHAnsi"/>
        </w:rPr>
        <w:t>tions.</w:t>
      </w:r>
    </w:p>
    <w:p w14:paraId="46F9EE50" w14:textId="77777777" w:rsidR="00082DB7" w:rsidRPr="00A338E5" w:rsidRDefault="00082DB7" w:rsidP="002A3889">
      <w:pPr>
        <w:pStyle w:val="ListParagraph"/>
        <w:widowControl w:val="0"/>
        <w:numPr>
          <w:ilvl w:val="0"/>
          <w:numId w:val="301"/>
        </w:numPr>
        <w:tabs>
          <w:tab w:val="left" w:pos="851"/>
        </w:tabs>
        <w:spacing w:after="60" w:line="240" w:lineRule="auto"/>
        <w:ind w:left="425" w:right="119" w:hanging="425"/>
        <w:contextualSpacing w:val="0"/>
        <w:jc w:val="both"/>
        <w:rPr>
          <w:rFonts w:cstheme="minorHAnsi"/>
        </w:rPr>
      </w:pPr>
      <w:r w:rsidRPr="00A338E5">
        <w:rPr>
          <w:rFonts w:cstheme="minorHAnsi"/>
        </w:rPr>
        <w:t>The</w:t>
      </w:r>
      <w:r w:rsidRPr="00A338E5">
        <w:rPr>
          <w:rFonts w:cstheme="minorHAnsi"/>
          <w:spacing w:val="6"/>
        </w:rPr>
        <w:t xml:space="preserve"> </w:t>
      </w:r>
      <w:r w:rsidRPr="00A338E5">
        <w:rPr>
          <w:rFonts w:cstheme="minorHAnsi"/>
        </w:rPr>
        <w:t>CDAC</w:t>
      </w:r>
      <w:r w:rsidRPr="00A338E5">
        <w:rPr>
          <w:rFonts w:cstheme="minorHAnsi"/>
          <w:spacing w:val="8"/>
        </w:rPr>
        <w:t xml:space="preserve"> </w:t>
      </w:r>
      <w:r w:rsidRPr="00A338E5">
        <w:rPr>
          <w:rFonts w:cstheme="minorHAnsi"/>
        </w:rPr>
        <w:t>is</w:t>
      </w:r>
      <w:r w:rsidRPr="00A338E5">
        <w:rPr>
          <w:rFonts w:cstheme="minorHAnsi"/>
          <w:spacing w:val="7"/>
        </w:rPr>
        <w:t xml:space="preserve"> </w:t>
      </w:r>
      <w:r w:rsidRPr="00A338E5">
        <w:rPr>
          <w:rFonts w:cstheme="minorHAnsi"/>
        </w:rPr>
        <w:t>not</w:t>
      </w:r>
      <w:r w:rsidRPr="00A338E5">
        <w:rPr>
          <w:rFonts w:cstheme="minorHAnsi"/>
          <w:spacing w:val="7"/>
        </w:rPr>
        <w:t xml:space="preserve"> </w:t>
      </w:r>
      <w:r w:rsidRPr="00A338E5">
        <w:rPr>
          <w:rFonts w:cstheme="minorHAnsi"/>
        </w:rPr>
        <w:t>a</w:t>
      </w:r>
      <w:r w:rsidRPr="00A338E5">
        <w:rPr>
          <w:rFonts w:cstheme="minorHAnsi"/>
          <w:spacing w:val="9"/>
        </w:rPr>
        <w:t xml:space="preserve"> </w:t>
      </w:r>
      <w:r w:rsidRPr="00A338E5">
        <w:rPr>
          <w:rFonts w:cstheme="minorHAnsi"/>
          <w:spacing w:val="-1"/>
        </w:rPr>
        <w:t>c</w:t>
      </w:r>
      <w:r w:rsidRPr="00A338E5">
        <w:rPr>
          <w:rFonts w:cstheme="minorHAnsi"/>
        </w:rPr>
        <w:t>om</w:t>
      </w:r>
      <w:r w:rsidRPr="00A338E5">
        <w:rPr>
          <w:rFonts w:cstheme="minorHAnsi"/>
          <w:spacing w:val="3"/>
        </w:rPr>
        <w:t>m</w:t>
      </w:r>
      <w:r w:rsidRPr="00A338E5">
        <w:rPr>
          <w:rFonts w:cstheme="minorHAnsi"/>
        </w:rPr>
        <w:t>itt</w:t>
      </w:r>
      <w:r w:rsidRPr="00A338E5">
        <w:rPr>
          <w:rFonts w:cstheme="minorHAnsi"/>
          <w:spacing w:val="-1"/>
        </w:rPr>
        <w:t>e</w:t>
      </w:r>
      <w:r w:rsidRPr="00A338E5">
        <w:rPr>
          <w:rFonts w:cstheme="minorHAnsi"/>
        </w:rPr>
        <w:t>e</w:t>
      </w:r>
      <w:r w:rsidRPr="00A338E5">
        <w:rPr>
          <w:rFonts w:cstheme="minorHAnsi"/>
          <w:spacing w:val="6"/>
        </w:rPr>
        <w:t xml:space="preserve"> </w:t>
      </w:r>
      <w:r w:rsidRPr="00A338E5">
        <w:rPr>
          <w:rFonts w:cstheme="minorHAnsi"/>
          <w:spacing w:val="-1"/>
        </w:rPr>
        <w:t>e</w:t>
      </w:r>
      <w:r w:rsidRPr="00A338E5">
        <w:rPr>
          <w:rFonts w:cstheme="minorHAnsi"/>
        </w:rPr>
        <w:t>st</w:t>
      </w:r>
      <w:r w:rsidRPr="00A338E5">
        <w:rPr>
          <w:rFonts w:cstheme="minorHAnsi"/>
          <w:spacing w:val="-1"/>
        </w:rPr>
        <w:t>a</w:t>
      </w:r>
      <w:r w:rsidRPr="00A338E5">
        <w:rPr>
          <w:rFonts w:cstheme="minorHAnsi"/>
        </w:rPr>
        <w:t>blish</w:t>
      </w:r>
      <w:r w:rsidRPr="00A338E5">
        <w:rPr>
          <w:rFonts w:cstheme="minorHAnsi"/>
          <w:spacing w:val="-1"/>
        </w:rPr>
        <w:t>e</w:t>
      </w:r>
      <w:r w:rsidRPr="00A338E5">
        <w:rPr>
          <w:rFonts w:cstheme="minorHAnsi"/>
        </w:rPr>
        <w:t>d</w:t>
      </w:r>
      <w:r w:rsidRPr="00A338E5">
        <w:rPr>
          <w:rFonts w:cstheme="minorHAnsi"/>
          <w:spacing w:val="7"/>
        </w:rPr>
        <w:t xml:space="preserve"> </w:t>
      </w:r>
      <w:r w:rsidRPr="00A338E5">
        <w:rPr>
          <w:rFonts w:cstheme="minorHAnsi"/>
        </w:rPr>
        <w:t>pu</w:t>
      </w:r>
      <w:r w:rsidRPr="00A338E5">
        <w:rPr>
          <w:rFonts w:cstheme="minorHAnsi"/>
          <w:spacing w:val="-1"/>
        </w:rPr>
        <w:t>r</w:t>
      </w:r>
      <w:r w:rsidRPr="00A338E5">
        <w:rPr>
          <w:rFonts w:cstheme="minorHAnsi"/>
        </w:rPr>
        <w:t>s</w:t>
      </w:r>
      <w:r w:rsidRPr="00A338E5">
        <w:rPr>
          <w:rFonts w:cstheme="minorHAnsi"/>
          <w:spacing w:val="2"/>
        </w:rPr>
        <w:t>u</w:t>
      </w:r>
      <w:r w:rsidRPr="00A338E5">
        <w:rPr>
          <w:rFonts w:cstheme="minorHAnsi"/>
          <w:spacing w:val="-1"/>
        </w:rPr>
        <w:t>a</w:t>
      </w:r>
      <w:r w:rsidRPr="00A338E5">
        <w:rPr>
          <w:rFonts w:cstheme="minorHAnsi"/>
        </w:rPr>
        <w:t>nt</w:t>
      </w:r>
      <w:r w:rsidRPr="00A338E5">
        <w:rPr>
          <w:rFonts w:cstheme="minorHAnsi"/>
          <w:spacing w:val="8"/>
        </w:rPr>
        <w:t xml:space="preserve"> </w:t>
      </w:r>
      <w:r w:rsidRPr="00A338E5">
        <w:rPr>
          <w:rFonts w:cstheme="minorHAnsi"/>
        </w:rPr>
        <w:t>to</w:t>
      </w:r>
      <w:r w:rsidRPr="00A338E5">
        <w:rPr>
          <w:rFonts w:cstheme="minorHAnsi"/>
          <w:spacing w:val="7"/>
        </w:rPr>
        <w:t xml:space="preserve"> </w:t>
      </w:r>
      <w:r w:rsidRPr="00A338E5">
        <w:rPr>
          <w:rFonts w:cstheme="minorHAnsi"/>
          <w:spacing w:val="1"/>
        </w:rPr>
        <w:t>S</w:t>
      </w:r>
      <w:r w:rsidRPr="00A338E5">
        <w:rPr>
          <w:rFonts w:cstheme="minorHAnsi"/>
          <w:spacing w:val="-1"/>
        </w:rPr>
        <w:t>ec</w:t>
      </w:r>
      <w:r w:rsidRPr="00A338E5">
        <w:rPr>
          <w:rFonts w:cstheme="minorHAnsi"/>
        </w:rPr>
        <w:t>tion</w:t>
      </w:r>
      <w:r w:rsidRPr="00A338E5">
        <w:rPr>
          <w:rFonts w:cstheme="minorHAnsi"/>
          <w:spacing w:val="7"/>
        </w:rPr>
        <w:t xml:space="preserve"> </w:t>
      </w:r>
      <w:r w:rsidRPr="00A338E5">
        <w:rPr>
          <w:rFonts w:cstheme="minorHAnsi"/>
        </w:rPr>
        <w:t>5.8</w:t>
      </w:r>
      <w:r w:rsidRPr="00A338E5">
        <w:rPr>
          <w:rFonts w:cstheme="minorHAnsi"/>
          <w:spacing w:val="7"/>
        </w:rPr>
        <w:t xml:space="preserve"> </w:t>
      </w:r>
      <w:r w:rsidRPr="00A338E5">
        <w:rPr>
          <w:rFonts w:cstheme="minorHAnsi"/>
        </w:rPr>
        <w:t>of</w:t>
      </w:r>
      <w:r w:rsidRPr="00A338E5">
        <w:rPr>
          <w:rFonts w:cstheme="minorHAnsi"/>
          <w:spacing w:val="6"/>
        </w:rPr>
        <w:t xml:space="preserve"> </w:t>
      </w:r>
      <w:r w:rsidRPr="00A338E5">
        <w:rPr>
          <w:rFonts w:cstheme="minorHAnsi"/>
        </w:rPr>
        <w:t xml:space="preserve">the </w:t>
      </w:r>
      <w:r w:rsidRPr="00A338E5">
        <w:rPr>
          <w:rFonts w:cstheme="minorHAnsi"/>
          <w:i/>
          <w:spacing w:val="1"/>
        </w:rPr>
        <w:t>L</w:t>
      </w:r>
      <w:r w:rsidRPr="00A338E5">
        <w:rPr>
          <w:rFonts w:cstheme="minorHAnsi"/>
          <w:i/>
        </w:rPr>
        <w:t>o</w:t>
      </w:r>
      <w:r w:rsidRPr="00A338E5">
        <w:rPr>
          <w:rFonts w:cstheme="minorHAnsi"/>
          <w:i/>
          <w:spacing w:val="-1"/>
        </w:rPr>
        <w:t>c</w:t>
      </w:r>
      <w:r w:rsidRPr="00A338E5">
        <w:rPr>
          <w:rFonts w:cstheme="minorHAnsi"/>
          <w:i/>
        </w:rPr>
        <w:t>al Go</w:t>
      </w:r>
      <w:r w:rsidRPr="00A338E5">
        <w:rPr>
          <w:rFonts w:cstheme="minorHAnsi"/>
          <w:i/>
          <w:spacing w:val="-1"/>
        </w:rPr>
        <w:t>ve</w:t>
      </w:r>
      <w:r w:rsidRPr="00A338E5">
        <w:rPr>
          <w:rFonts w:cstheme="minorHAnsi"/>
          <w:i/>
        </w:rPr>
        <w:t>rnm</w:t>
      </w:r>
      <w:r w:rsidRPr="00A338E5">
        <w:rPr>
          <w:rFonts w:cstheme="minorHAnsi"/>
          <w:i/>
          <w:spacing w:val="-1"/>
        </w:rPr>
        <w:t>e</w:t>
      </w:r>
      <w:r w:rsidRPr="00A338E5">
        <w:rPr>
          <w:rFonts w:cstheme="minorHAnsi"/>
          <w:i/>
        </w:rPr>
        <w:t xml:space="preserve">nt </w:t>
      </w:r>
      <w:r w:rsidRPr="00A338E5">
        <w:rPr>
          <w:rFonts w:cstheme="minorHAnsi"/>
          <w:i/>
          <w:spacing w:val="2"/>
        </w:rPr>
        <w:t>A</w:t>
      </w:r>
      <w:r w:rsidRPr="00A338E5">
        <w:rPr>
          <w:rFonts w:cstheme="minorHAnsi"/>
          <w:i/>
          <w:spacing w:val="-1"/>
        </w:rPr>
        <w:t>c</w:t>
      </w:r>
      <w:r w:rsidRPr="00A338E5">
        <w:rPr>
          <w:rFonts w:cstheme="minorHAnsi"/>
          <w:i/>
        </w:rPr>
        <w:t>t 1995</w:t>
      </w:r>
      <w:r w:rsidRPr="00A338E5">
        <w:rPr>
          <w:rFonts w:cstheme="minorHAnsi"/>
        </w:rPr>
        <w:t>.</w:t>
      </w:r>
    </w:p>
    <w:p w14:paraId="7D385B96" w14:textId="77777777" w:rsidR="00082DB7" w:rsidRPr="00A338E5" w:rsidRDefault="00082DB7" w:rsidP="002A3889">
      <w:pPr>
        <w:pStyle w:val="ListParagraph"/>
        <w:widowControl w:val="0"/>
        <w:numPr>
          <w:ilvl w:val="0"/>
          <w:numId w:val="301"/>
        </w:numPr>
        <w:tabs>
          <w:tab w:val="left" w:pos="851"/>
        </w:tabs>
        <w:spacing w:after="60" w:line="240" w:lineRule="auto"/>
        <w:ind w:left="425" w:right="119" w:hanging="425"/>
        <w:contextualSpacing w:val="0"/>
        <w:jc w:val="both"/>
        <w:rPr>
          <w:rFonts w:cstheme="minorHAnsi"/>
        </w:rPr>
      </w:pPr>
      <w:r w:rsidRPr="00A338E5">
        <w:rPr>
          <w:rFonts w:cstheme="minorHAnsi"/>
        </w:rPr>
        <w:t>CDAC</w:t>
      </w:r>
      <w:r w:rsidRPr="00A338E5">
        <w:rPr>
          <w:rFonts w:cstheme="minorHAnsi"/>
          <w:spacing w:val="15"/>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s</w:t>
      </w:r>
      <w:r w:rsidRPr="00A338E5">
        <w:rPr>
          <w:rFonts w:cstheme="minorHAnsi"/>
          <w:spacing w:val="17"/>
        </w:rPr>
        <w:t xml:space="preserve"> </w:t>
      </w:r>
      <w:r w:rsidRPr="00A338E5">
        <w:rPr>
          <w:rFonts w:cstheme="minorHAnsi"/>
          <w:spacing w:val="-1"/>
        </w:rPr>
        <w:t>e</w:t>
      </w:r>
      <w:r w:rsidRPr="00A338E5">
        <w:rPr>
          <w:rFonts w:cstheme="minorHAnsi"/>
        </w:rPr>
        <w:t>ith</w:t>
      </w:r>
      <w:r w:rsidRPr="00A338E5">
        <w:rPr>
          <w:rFonts w:cstheme="minorHAnsi"/>
          <w:spacing w:val="-1"/>
        </w:rPr>
        <w:t>e</w:t>
      </w:r>
      <w:r w:rsidRPr="00A338E5">
        <w:rPr>
          <w:rFonts w:cstheme="minorHAnsi"/>
        </w:rPr>
        <w:t>r</w:t>
      </w:r>
      <w:r w:rsidRPr="00A338E5">
        <w:rPr>
          <w:rFonts w:cstheme="minorHAnsi"/>
          <w:spacing w:val="14"/>
        </w:rPr>
        <w:t xml:space="preserve"> </w:t>
      </w:r>
      <w:r w:rsidRPr="00A338E5">
        <w:rPr>
          <w:rFonts w:cstheme="minorHAnsi"/>
          <w:spacing w:val="-1"/>
        </w:rPr>
        <w:t>c</w:t>
      </w:r>
      <w:r w:rsidRPr="00A338E5">
        <w:rPr>
          <w:rFonts w:cstheme="minorHAnsi"/>
        </w:rPr>
        <w:t>o</w:t>
      </w:r>
      <w:r w:rsidRPr="00A338E5">
        <w:rPr>
          <w:rFonts w:cstheme="minorHAnsi"/>
          <w:spacing w:val="3"/>
        </w:rPr>
        <w:t>l</w:t>
      </w:r>
      <w:r w:rsidRPr="00A338E5">
        <w:rPr>
          <w:rFonts w:cstheme="minorHAnsi"/>
        </w:rPr>
        <w:t>l</w:t>
      </w:r>
      <w:r w:rsidRPr="00A338E5">
        <w:rPr>
          <w:rFonts w:cstheme="minorHAnsi"/>
          <w:spacing w:val="-1"/>
        </w:rPr>
        <w:t>ec</w:t>
      </w:r>
      <w:r w:rsidRPr="00A338E5">
        <w:rPr>
          <w:rFonts w:cstheme="minorHAnsi"/>
        </w:rPr>
        <w:t>tiv</w:t>
      </w:r>
      <w:r w:rsidRPr="00A338E5">
        <w:rPr>
          <w:rFonts w:cstheme="minorHAnsi"/>
          <w:spacing w:val="-1"/>
        </w:rPr>
        <w:t>e</w:t>
      </w:r>
      <w:r w:rsidRPr="00A338E5">
        <w:rPr>
          <w:rFonts w:cstheme="minorHAnsi"/>
          <w:spacing w:val="3"/>
        </w:rPr>
        <w:t>l</w:t>
      </w:r>
      <w:r w:rsidRPr="00A338E5">
        <w:rPr>
          <w:rFonts w:cstheme="minorHAnsi"/>
        </w:rPr>
        <w:t>y</w:t>
      </w:r>
      <w:r w:rsidRPr="00A338E5">
        <w:rPr>
          <w:rFonts w:cstheme="minorHAnsi"/>
          <w:spacing w:val="12"/>
        </w:rPr>
        <w:t xml:space="preserve"> </w:t>
      </w:r>
      <w:r w:rsidRPr="00A338E5">
        <w:rPr>
          <w:rFonts w:cstheme="minorHAnsi"/>
        </w:rPr>
        <w:t>or</w:t>
      </w:r>
      <w:r w:rsidRPr="00A338E5">
        <w:rPr>
          <w:rFonts w:cstheme="minorHAnsi"/>
          <w:spacing w:val="14"/>
        </w:rPr>
        <w:t xml:space="preserve"> </w:t>
      </w:r>
      <w:r w:rsidRPr="00A338E5">
        <w:rPr>
          <w:rFonts w:cstheme="minorHAnsi"/>
        </w:rPr>
        <w:t>individu</w:t>
      </w:r>
      <w:r w:rsidRPr="00A338E5">
        <w:rPr>
          <w:rFonts w:cstheme="minorHAnsi"/>
          <w:spacing w:val="-1"/>
        </w:rPr>
        <w:t>a</w:t>
      </w:r>
      <w:r w:rsidRPr="00A338E5">
        <w:rPr>
          <w:rFonts w:cstheme="minorHAnsi"/>
        </w:rPr>
        <w:t>l</w:t>
      </w:r>
      <w:r w:rsidRPr="00A338E5">
        <w:rPr>
          <w:rFonts w:cstheme="minorHAnsi"/>
          <w:spacing w:val="3"/>
        </w:rPr>
        <w:t>l</w:t>
      </w:r>
      <w:r w:rsidRPr="00A338E5">
        <w:rPr>
          <w:rFonts w:cstheme="minorHAnsi"/>
        </w:rPr>
        <w:t>y</w:t>
      </w:r>
      <w:r w:rsidRPr="00A338E5">
        <w:rPr>
          <w:rFonts w:cstheme="minorHAnsi"/>
          <w:spacing w:val="14"/>
        </w:rPr>
        <w:t xml:space="preserve"> </w:t>
      </w:r>
      <w:r w:rsidRPr="00A338E5">
        <w:rPr>
          <w:rFonts w:cstheme="minorHAnsi"/>
          <w:spacing w:val="-1"/>
        </w:rPr>
        <w:t>ar</w:t>
      </w:r>
      <w:r w:rsidRPr="00A338E5">
        <w:rPr>
          <w:rFonts w:cstheme="minorHAnsi"/>
        </w:rPr>
        <w:t>e</w:t>
      </w:r>
      <w:r w:rsidRPr="00A338E5">
        <w:rPr>
          <w:rFonts w:cstheme="minorHAnsi"/>
          <w:spacing w:val="13"/>
        </w:rPr>
        <w:t xml:space="preserve"> </w:t>
      </w:r>
      <w:r w:rsidRPr="00A338E5">
        <w:rPr>
          <w:rFonts w:cstheme="minorHAnsi"/>
        </w:rPr>
        <w:t>not</w:t>
      </w:r>
      <w:r w:rsidRPr="00A338E5">
        <w:rPr>
          <w:rFonts w:cstheme="minorHAnsi"/>
          <w:spacing w:val="17"/>
        </w:rPr>
        <w:t xml:space="preserve"> </w:t>
      </w:r>
      <w:r w:rsidRPr="00A338E5">
        <w:rPr>
          <w:rFonts w:cstheme="minorHAnsi"/>
          <w:spacing w:val="-1"/>
        </w:rPr>
        <w:t>a</w:t>
      </w:r>
      <w:r w:rsidRPr="00A338E5">
        <w:rPr>
          <w:rFonts w:cstheme="minorHAnsi"/>
        </w:rPr>
        <w:t>utho</w:t>
      </w:r>
      <w:r w:rsidRPr="00A338E5">
        <w:rPr>
          <w:rFonts w:cstheme="minorHAnsi"/>
          <w:spacing w:val="-1"/>
        </w:rPr>
        <w:t>r</w:t>
      </w:r>
      <w:r w:rsidRPr="00A338E5">
        <w:rPr>
          <w:rFonts w:cstheme="minorHAnsi"/>
        </w:rPr>
        <w:t>is</w:t>
      </w:r>
      <w:r w:rsidRPr="00A338E5">
        <w:rPr>
          <w:rFonts w:cstheme="minorHAnsi"/>
          <w:spacing w:val="-1"/>
        </w:rPr>
        <w:t>e</w:t>
      </w:r>
      <w:r w:rsidRPr="00A338E5">
        <w:rPr>
          <w:rFonts w:cstheme="minorHAnsi"/>
        </w:rPr>
        <w:t>d</w:t>
      </w:r>
      <w:r w:rsidRPr="00A338E5">
        <w:rPr>
          <w:rFonts w:cstheme="minorHAnsi"/>
          <w:spacing w:val="14"/>
        </w:rPr>
        <w:t xml:space="preserve"> </w:t>
      </w:r>
      <w:r w:rsidRPr="00A338E5">
        <w:rPr>
          <w:rFonts w:cstheme="minorHAnsi"/>
        </w:rPr>
        <w:t>to sp</w:t>
      </w:r>
      <w:r w:rsidRPr="00A338E5">
        <w:rPr>
          <w:rFonts w:cstheme="minorHAnsi"/>
          <w:spacing w:val="-1"/>
        </w:rPr>
        <w:t>ea</w:t>
      </w:r>
      <w:r w:rsidRPr="00A338E5">
        <w:rPr>
          <w:rFonts w:cstheme="minorHAnsi"/>
        </w:rPr>
        <w:t>k</w:t>
      </w:r>
      <w:r w:rsidRPr="00A338E5">
        <w:rPr>
          <w:rFonts w:cstheme="minorHAnsi"/>
          <w:spacing w:val="7"/>
        </w:rPr>
        <w:t xml:space="preserve"> </w:t>
      </w:r>
      <w:r w:rsidRPr="00A338E5">
        <w:rPr>
          <w:rFonts w:cstheme="minorHAnsi"/>
        </w:rPr>
        <w:t>on</w:t>
      </w:r>
      <w:r w:rsidRPr="00A338E5">
        <w:rPr>
          <w:rFonts w:cstheme="minorHAnsi"/>
          <w:spacing w:val="7"/>
        </w:rPr>
        <w:t xml:space="preserve"> </w:t>
      </w:r>
      <w:r w:rsidRPr="00A338E5">
        <w:rPr>
          <w:rFonts w:cstheme="minorHAnsi"/>
        </w:rPr>
        <w:t>b</w:t>
      </w:r>
      <w:r w:rsidRPr="00A338E5">
        <w:rPr>
          <w:rFonts w:cstheme="minorHAnsi"/>
          <w:spacing w:val="-1"/>
        </w:rPr>
        <w:t>e</w:t>
      </w:r>
      <w:r w:rsidRPr="00A338E5">
        <w:rPr>
          <w:rFonts w:cstheme="minorHAnsi"/>
        </w:rPr>
        <w:t>h</w:t>
      </w:r>
      <w:r w:rsidRPr="00A338E5">
        <w:rPr>
          <w:rFonts w:cstheme="minorHAnsi"/>
          <w:spacing w:val="-1"/>
        </w:rPr>
        <w:t>a</w:t>
      </w:r>
      <w:r w:rsidRPr="00A338E5">
        <w:rPr>
          <w:rFonts w:cstheme="minorHAnsi"/>
        </w:rPr>
        <w:t>lf</w:t>
      </w:r>
      <w:r w:rsidRPr="00A338E5">
        <w:rPr>
          <w:rFonts w:cstheme="minorHAnsi"/>
          <w:spacing w:val="6"/>
        </w:rPr>
        <w:t xml:space="preserve"> </w:t>
      </w:r>
      <w:r w:rsidRPr="00A338E5">
        <w:rPr>
          <w:rFonts w:cstheme="minorHAnsi"/>
        </w:rPr>
        <w:t>of</w:t>
      </w:r>
      <w:r w:rsidRPr="00A338E5">
        <w:rPr>
          <w:rFonts w:cstheme="minorHAnsi"/>
          <w:spacing w:val="6"/>
        </w:rPr>
        <w:t xml:space="preserve"> </w:t>
      </w:r>
      <w:r w:rsidRPr="00A338E5">
        <w:rPr>
          <w:rFonts w:cstheme="minorHAnsi"/>
        </w:rPr>
        <w:t>t</w:t>
      </w:r>
      <w:r w:rsidRPr="00A338E5">
        <w:rPr>
          <w:rFonts w:cstheme="minorHAnsi"/>
          <w:spacing w:val="2"/>
        </w:rPr>
        <w:t>h</w:t>
      </w:r>
      <w:r w:rsidRPr="00A338E5">
        <w:rPr>
          <w:rFonts w:cstheme="minorHAnsi"/>
        </w:rPr>
        <w:t>e</w:t>
      </w:r>
      <w:r w:rsidRPr="00A338E5">
        <w:rPr>
          <w:rFonts w:cstheme="minorHAnsi"/>
          <w:spacing w:val="6"/>
        </w:rPr>
        <w:t xml:space="preserve"> </w:t>
      </w:r>
      <w:r w:rsidRPr="00A338E5">
        <w:rPr>
          <w:rFonts w:cstheme="minorHAnsi"/>
          <w:spacing w:val="1"/>
        </w:rPr>
        <w:t>Town</w:t>
      </w:r>
      <w:r w:rsidRPr="00A338E5">
        <w:rPr>
          <w:rFonts w:cstheme="minorHAnsi"/>
        </w:rPr>
        <w:t xml:space="preserve"> </w:t>
      </w:r>
      <w:r w:rsidRPr="00A338E5">
        <w:rPr>
          <w:rFonts w:cstheme="minorHAnsi"/>
          <w:spacing w:val="2"/>
        </w:rPr>
        <w:t>o</w:t>
      </w:r>
      <w:r w:rsidRPr="00A338E5">
        <w:rPr>
          <w:rFonts w:cstheme="minorHAnsi"/>
        </w:rPr>
        <w:t>r</w:t>
      </w:r>
      <w:r w:rsidRPr="00A338E5">
        <w:rPr>
          <w:rFonts w:cstheme="minorHAnsi"/>
          <w:spacing w:val="6"/>
        </w:rPr>
        <w:t xml:space="preserve"> </w:t>
      </w:r>
      <w:r w:rsidRPr="00A338E5">
        <w:rPr>
          <w:rFonts w:cstheme="minorHAnsi"/>
        </w:rPr>
        <w:t>p</w:t>
      </w:r>
      <w:r w:rsidRPr="00A338E5">
        <w:rPr>
          <w:rFonts w:cstheme="minorHAnsi"/>
          <w:spacing w:val="-1"/>
        </w:rPr>
        <w:t>r</w:t>
      </w:r>
      <w:r w:rsidRPr="00A338E5">
        <w:rPr>
          <w:rFonts w:cstheme="minorHAnsi"/>
        </w:rPr>
        <w:t>ovide</w:t>
      </w:r>
      <w:r w:rsidRPr="00A338E5">
        <w:rPr>
          <w:rFonts w:cstheme="minorHAnsi"/>
          <w:spacing w:val="6"/>
        </w:rPr>
        <w:t xml:space="preserve"> </w:t>
      </w:r>
      <w:r w:rsidRPr="00A338E5">
        <w:rPr>
          <w:rFonts w:cstheme="minorHAnsi"/>
          <w:spacing w:val="-1"/>
        </w:rPr>
        <w:t>c</w:t>
      </w:r>
      <w:r w:rsidRPr="00A338E5">
        <w:rPr>
          <w:rFonts w:cstheme="minorHAnsi"/>
        </w:rPr>
        <w:t>omm</w:t>
      </w:r>
      <w:r w:rsidRPr="00A338E5">
        <w:rPr>
          <w:rFonts w:cstheme="minorHAnsi"/>
          <w:spacing w:val="-1"/>
        </w:rPr>
        <w:t>e</w:t>
      </w:r>
      <w:r w:rsidRPr="00A338E5">
        <w:rPr>
          <w:rFonts w:cstheme="minorHAnsi"/>
        </w:rPr>
        <w:t>nt</w:t>
      </w:r>
      <w:r w:rsidRPr="00A338E5">
        <w:rPr>
          <w:rFonts w:cstheme="minorHAnsi"/>
          <w:spacing w:val="7"/>
        </w:rPr>
        <w:t xml:space="preserve"> </w:t>
      </w:r>
      <w:r w:rsidRPr="00A338E5">
        <w:rPr>
          <w:rFonts w:cstheme="minorHAnsi"/>
          <w:spacing w:val="3"/>
        </w:rPr>
        <w:t>t</w:t>
      </w:r>
      <w:r w:rsidRPr="00A338E5">
        <w:rPr>
          <w:rFonts w:cstheme="minorHAnsi"/>
        </w:rPr>
        <w:t>o</w:t>
      </w:r>
      <w:r w:rsidRPr="00A338E5">
        <w:rPr>
          <w:rFonts w:cstheme="minorHAnsi"/>
          <w:spacing w:val="7"/>
        </w:rPr>
        <w:t xml:space="preserve"> </w:t>
      </w:r>
      <w:r w:rsidRPr="00A338E5">
        <w:rPr>
          <w:rFonts w:cstheme="minorHAnsi"/>
        </w:rPr>
        <w:t>the</w:t>
      </w:r>
      <w:r w:rsidRPr="00A338E5">
        <w:rPr>
          <w:rFonts w:cstheme="minorHAnsi"/>
          <w:spacing w:val="6"/>
        </w:rPr>
        <w:t xml:space="preserve"> </w:t>
      </w:r>
      <w:r w:rsidRPr="00A338E5">
        <w:rPr>
          <w:rFonts w:cstheme="minorHAnsi"/>
        </w:rPr>
        <w:t>m</w:t>
      </w:r>
      <w:r w:rsidRPr="00A338E5">
        <w:rPr>
          <w:rFonts w:cstheme="minorHAnsi"/>
          <w:spacing w:val="-1"/>
        </w:rPr>
        <w:t>e</w:t>
      </w:r>
      <w:r w:rsidRPr="00A338E5">
        <w:rPr>
          <w:rFonts w:cstheme="minorHAnsi"/>
        </w:rPr>
        <w:t>dia</w:t>
      </w:r>
      <w:r w:rsidRPr="00A338E5">
        <w:rPr>
          <w:rFonts w:cstheme="minorHAnsi"/>
          <w:spacing w:val="6"/>
        </w:rPr>
        <w:t xml:space="preserve"> </w:t>
      </w:r>
      <w:r w:rsidRPr="00A338E5">
        <w:rPr>
          <w:rFonts w:cstheme="minorHAnsi"/>
        </w:rPr>
        <w:t>or</w:t>
      </w:r>
      <w:r w:rsidRPr="00A338E5">
        <w:rPr>
          <w:rFonts w:cstheme="minorHAnsi"/>
          <w:spacing w:val="6"/>
        </w:rPr>
        <w:t xml:space="preserve"> </w:t>
      </w:r>
      <w:r w:rsidRPr="00A338E5">
        <w:rPr>
          <w:rFonts w:cstheme="minorHAnsi"/>
        </w:rPr>
        <w:t>oth</w:t>
      </w:r>
      <w:r w:rsidRPr="00A338E5">
        <w:rPr>
          <w:rFonts w:cstheme="minorHAnsi"/>
          <w:spacing w:val="-1"/>
        </w:rPr>
        <w:t>e</w:t>
      </w:r>
      <w:r w:rsidRPr="00A338E5">
        <w:rPr>
          <w:rFonts w:cstheme="minorHAnsi"/>
        </w:rPr>
        <w:t>r p</w:t>
      </w:r>
      <w:r w:rsidRPr="00A338E5">
        <w:rPr>
          <w:rFonts w:cstheme="minorHAnsi"/>
          <w:spacing w:val="-1"/>
        </w:rPr>
        <w:t>er</w:t>
      </w:r>
      <w:r w:rsidRPr="00A338E5">
        <w:rPr>
          <w:rFonts w:cstheme="minorHAnsi"/>
        </w:rPr>
        <w:t>sons,</w:t>
      </w:r>
      <w:r w:rsidRPr="00A338E5">
        <w:rPr>
          <w:rFonts w:cstheme="minorHAnsi"/>
          <w:spacing w:val="22"/>
        </w:rPr>
        <w:t xml:space="preserve"> </w:t>
      </w:r>
      <w:r w:rsidRPr="00A338E5">
        <w:rPr>
          <w:rFonts w:cstheme="minorHAnsi"/>
        </w:rPr>
        <w:t>in</w:t>
      </w:r>
      <w:r w:rsidRPr="00A338E5">
        <w:rPr>
          <w:rFonts w:cstheme="minorHAnsi"/>
          <w:spacing w:val="22"/>
        </w:rPr>
        <w:t xml:space="preserve"> </w:t>
      </w:r>
      <w:r w:rsidRPr="00A338E5">
        <w:rPr>
          <w:rFonts w:cstheme="minorHAnsi"/>
          <w:spacing w:val="2"/>
        </w:rPr>
        <w:t>r</w:t>
      </w:r>
      <w:r w:rsidRPr="00A338E5">
        <w:rPr>
          <w:rFonts w:cstheme="minorHAnsi"/>
          <w:spacing w:val="-1"/>
        </w:rPr>
        <w:t>e</w:t>
      </w:r>
      <w:r w:rsidRPr="00A338E5">
        <w:rPr>
          <w:rFonts w:cstheme="minorHAnsi"/>
        </w:rPr>
        <w:t>sp</w:t>
      </w:r>
      <w:r w:rsidRPr="00A338E5">
        <w:rPr>
          <w:rFonts w:cstheme="minorHAnsi"/>
          <w:spacing w:val="-1"/>
        </w:rPr>
        <w:t>ec</w:t>
      </w:r>
      <w:r w:rsidRPr="00A338E5">
        <w:rPr>
          <w:rFonts w:cstheme="minorHAnsi"/>
        </w:rPr>
        <w:t>t</w:t>
      </w:r>
      <w:r w:rsidRPr="00A338E5">
        <w:rPr>
          <w:rFonts w:cstheme="minorHAnsi"/>
          <w:spacing w:val="22"/>
        </w:rPr>
        <w:t xml:space="preserve"> </w:t>
      </w:r>
      <w:r w:rsidRPr="00A338E5">
        <w:rPr>
          <w:rFonts w:cstheme="minorHAnsi"/>
          <w:spacing w:val="2"/>
        </w:rPr>
        <w:t>o</w:t>
      </w:r>
      <w:r w:rsidRPr="00A338E5">
        <w:rPr>
          <w:rFonts w:cstheme="minorHAnsi"/>
        </w:rPr>
        <w:t>f</w:t>
      </w:r>
      <w:r w:rsidRPr="00A338E5">
        <w:rPr>
          <w:rFonts w:cstheme="minorHAnsi"/>
          <w:spacing w:val="21"/>
        </w:rPr>
        <w:t xml:space="preserve"> </w:t>
      </w:r>
      <w:r w:rsidRPr="00A338E5">
        <w:rPr>
          <w:rFonts w:cstheme="minorHAnsi"/>
          <w:spacing w:val="-1"/>
        </w:rPr>
        <w:t>a</w:t>
      </w:r>
      <w:r w:rsidRPr="00A338E5">
        <w:rPr>
          <w:rFonts w:cstheme="minorHAnsi"/>
          <w:spacing w:val="2"/>
        </w:rPr>
        <w:t>n</w:t>
      </w:r>
      <w:r w:rsidRPr="00A338E5">
        <w:rPr>
          <w:rFonts w:cstheme="minorHAnsi"/>
        </w:rPr>
        <w:t>y</w:t>
      </w:r>
      <w:r w:rsidRPr="00A338E5">
        <w:rPr>
          <w:rFonts w:cstheme="minorHAnsi"/>
          <w:spacing w:val="19"/>
        </w:rPr>
        <w:t xml:space="preserve"> </w:t>
      </w:r>
      <w:r w:rsidRPr="00A338E5">
        <w:rPr>
          <w:rFonts w:cstheme="minorHAnsi"/>
        </w:rPr>
        <w:t>it</w:t>
      </w:r>
      <w:r w:rsidRPr="00A338E5">
        <w:rPr>
          <w:rFonts w:cstheme="minorHAnsi"/>
          <w:spacing w:val="-1"/>
        </w:rPr>
        <w:t>e</w:t>
      </w:r>
      <w:r w:rsidRPr="00A338E5">
        <w:rPr>
          <w:rFonts w:cstheme="minorHAnsi"/>
        </w:rPr>
        <w:t>m</w:t>
      </w:r>
      <w:r w:rsidRPr="00A338E5">
        <w:rPr>
          <w:rFonts w:cstheme="minorHAnsi"/>
          <w:spacing w:val="22"/>
        </w:rPr>
        <w:t xml:space="preserve"> </w:t>
      </w:r>
      <w:r w:rsidRPr="00A338E5">
        <w:rPr>
          <w:rFonts w:cstheme="minorHAnsi"/>
        </w:rPr>
        <w:t>un</w:t>
      </w:r>
      <w:r w:rsidRPr="00A338E5">
        <w:rPr>
          <w:rFonts w:cstheme="minorHAnsi"/>
          <w:spacing w:val="2"/>
        </w:rPr>
        <w:t>d</w:t>
      </w:r>
      <w:r w:rsidRPr="00A338E5">
        <w:rPr>
          <w:rFonts w:cstheme="minorHAnsi"/>
          <w:spacing w:val="-1"/>
        </w:rPr>
        <w:t>e</w:t>
      </w:r>
      <w:r w:rsidRPr="00A338E5">
        <w:rPr>
          <w:rFonts w:cstheme="minorHAnsi"/>
        </w:rPr>
        <w:t>r</w:t>
      </w:r>
      <w:r w:rsidRPr="00A338E5">
        <w:rPr>
          <w:rFonts w:cstheme="minorHAnsi"/>
          <w:spacing w:val="23"/>
        </w:rPr>
        <w:t xml:space="preserve"> </w:t>
      </w:r>
      <w:r w:rsidRPr="00A338E5">
        <w:rPr>
          <w:rFonts w:cstheme="minorHAnsi"/>
          <w:spacing w:val="-1"/>
        </w:rPr>
        <w:t>c</w:t>
      </w:r>
      <w:r w:rsidRPr="00A338E5">
        <w:rPr>
          <w:rFonts w:cstheme="minorHAnsi"/>
        </w:rPr>
        <w:t>onsid</w:t>
      </w:r>
      <w:r w:rsidRPr="00A338E5">
        <w:rPr>
          <w:rFonts w:cstheme="minorHAnsi"/>
          <w:spacing w:val="-1"/>
        </w:rPr>
        <w:t>era</w:t>
      </w:r>
      <w:r w:rsidRPr="00A338E5">
        <w:rPr>
          <w:rFonts w:cstheme="minorHAnsi"/>
        </w:rPr>
        <w:t>t</w:t>
      </w:r>
      <w:r w:rsidRPr="00A338E5">
        <w:rPr>
          <w:rFonts w:cstheme="minorHAnsi"/>
          <w:spacing w:val="3"/>
        </w:rPr>
        <w:t>i</w:t>
      </w:r>
      <w:r w:rsidRPr="00A338E5">
        <w:rPr>
          <w:rFonts w:cstheme="minorHAnsi"/>
        </w:rPr>
        <w:t>on,</w:t>
      </w:r>
      <w:r w:rsidRPr="00A338E5">
        <w:rPr>
          <w:rFonts w:cstheme="minorHAnsi"/>
          <w:spacing w:val="22"/>
        </w:rPr>
        <w:t xml:space="preserve"> </w:t>
      </w:r>
      <w:r w:rsidRPr="00A338E5">
        <w:rPr>
          <w:rFonts w:cstheme="minorHAnsi"/>
        </w:rPr>
        <w:t>unl</w:t>
      </w:r>
      <w:r w:rsidRPr="00A338E5">
        <w:rPr>
          <w:rFonts w:cstheme="minorHAnsi"/>
          <w:spacing w:val="-1"/>
        </w:rPr>
        <w:t>e</w:t>
      </w:r>
      <w:r w:rsidRPr="00A338E5">
        <w:rPr>
          <w:rFonts w:cstheme="minorHAnsi"/>
        </w:rPr>
        <w:t>ss</w:t>
      </w:r>
      <w:r w:rsidRPr="00A338E5">
        <w:rPr>
          <w:rFonts w:cstheme="minorHAnsi"/>
          <w:spacing w:val="22"/>
        </w:rPr>
        <w:t xml:space="preserve"> </w:t>
      </w:r>
      <w:r w:rsidRPr="00A338E5">
        <w:rPr>
          <w:rFonts w:cstheme="minorHAnsi"/>
          <w:spacing w:val="-1"/>
        </w:rPr>
        <w:t>a</w:t>
      </w:r>
      <w:r w:rsidRPr="00A338E5">
        <w:rPr>
          <w:rFonts w:cstheme="minorHAnsi"/>
        </w:rPr>
        <w:t>utho</w:t>
      </w:r>
      <w:r w:rsidRPr="00A338E5">
        <w:rPr>
          <w:rFonts w:cstheme="minorHAnsi"/>
          <w:spacing w:val="-1"/>
        </w:rPr>
        <w:t>r</w:t>
      </w:r>
      <w:r w:rsidRPr="00A338E5">
        <w:rPr>
          <w:rFonts w:cstheme="minorHAnsi"/>
        </w:rPr>
        <w:t>is</w:t>
      </w:r>
      <w:r w:rsidRPr="00A338E5">
        <w:rPr>
          <w:rFonts w:cstheme="minorHAnsi"/>
          <w:spacing w:val="-1"/>
        </w:rPr>
        <w:t>e</w:t>
      </w:r>
      <w:r w:rsidRPr="00A338E5">
        <w:rPr>
          <w:rFonts w:cstheme="minorHAnsi"/>
        </w:rPr>
        <w:t xml:space="preserve">d </w:t>
      </w:r>
      <w:r w:rsidRPr="00A338E5">
        <w:rPr>
          <w:rFonts w:cstheme="minorHAnsi"/>
          <w:spacing w:val="2"/>
        </w:rPr>
        <w:t>b</w:t>
      </w:r>
      <w:r w:rsidRPr="00A338E5">
        <w:rPr>
          <w:rFonts w:cstheme="minorHAnsi"/>
        </w:rPr>
        <w:t>y</w:t>
      </w:r>
      <w:r w:rsidRPr="00A338E5">
        <w:rPr>
          <w:rFonts w:cstheme="minorHAnsi"/>
          <w:spacing w:val="-5"/>
        </w:rPr>
        <w:t xml:space="preserve"> </w:t>
      </w:r>
      <w:r w:rsidRPr="00A338E5">
        <w:rPr>
          <w:rFonts w:cstheme="minorHAnsi"/>
        </w:rPr>
        <w:t>t</w:t>
      </w:r>
      <w:r w:rsidRPr="00A338E5">
        <w:rPr>
          <w:rFonts w:cstheme="minorHAnsi"/>
          <w:spacing w:val="-1"/>
        </w:rPr>
        <w:t>h</w:t>
      </w:r>
      <w:r w:rsidRPr="00A338E5">
        <w:rPr>
          <w:rFonts w:cstheme="minorHAnsi"/>
        </w:rPr>
        <w:t xml:space="preserve">e </w:t>
      </w:r>
      <w:r w:rsidRPr="00A338E5">
        <w:rPr>
          <w:rFonts w:cstheme="minorHAnsi"/>
          <w:spacing w:val="1"/>
        </w:rPr>
        <w:t>C</w:t>
      </w:r>
      <w:r w:rsidRPr="00A338E5">
        <w:rPr>
          <w:rFonts w:cstheme="minorHAnsi"/>
          <w:spacing w:val="-1"/>
        </w:rPr>
        <w:t>h</w:t>
      </w:r>
      <w:r w:rsidRPr="00A338E5">
        <w:rPr>
          <w:rFonts w:cstheme="minorHAnsi"/>
          <w:spacing w:val="1"/>
        </w:rPr>
        <w:t>i</w:t>
      </w:r>
      <w:r w:rsidRPr="00A338E5">
        <w:rPr>
          <w:rFonts w:cstheme="minorHAnsi"/>
          <w:spacing w:val="-1"/>
        </w:rPr>
        <w:t>e</w:t>
      </w:r>
      <w:r w:rsidRPr="00A338E5">
        <w:rPr>
          <w:rFonts w:cstheme="minorHAnsi"/>
        </w:rPr>
        <w:t>f</w:t>
      </w:r>
      <w:r w:rsidRPr="00A338E5">
        <w:rPr>
          <w:rFonts w:cstheme="minorHAnsi"/>
          <w:spacing w:val="-1"/>
        </w:rPr>
        <w:t xml:space="preserve"> </w:t>
      </w:r>
      <w:r w:rsidRPr="00A338E5">
        <w:rPr>
          <w:rFonts w:cstheme="minorHAnsi"/>
        </w:rPr>
        <w:t>E</w:t>
      </w:r>
      <w:r w:rsidRPr="00A338E5">
        <w:rPr>
          <w:rFonts w:cstheme="minorHAnsi"/>
          <w:spacing w:val="2"/>
        </w:rPr>
        <w:t>x</w:t>
      </w:r>
      <w:r w:rsidRPr="00A338E5">
        <w:rPr>
          <w:rFonts w:cstheme="minorHAnsi"/>
          <w:spacing w:val="-1"/>
        </w:rPr>
        <w:t>ecu</w:t>
      </w:r>
      <w:r w:rsidRPr="00A338E5">
        <w:rPr>
          <w:rFonts w:cstheme="minorHAnsi"/>
          <w:spacing w:val="1"/>
        </w:rPr>
        <w:t>t</w:t>
      </w:r>
      <w:r w:rsidRPr="00A338E5">
        <w:rPr>
          <w:rFonts w:cstheme="minorHAnsi"/>
        </w:rPr>
        <w:t>i</w:t>
      </w:r>
      <w:r w:rsidRPr="00A338E5">
        <w:rPr>
          <w:rFonts w:cstheme="minorHAnsi"/>
          <w:spacing w:val="-1"/>
        </w:rPr>
        <w:t>v</w:t>
      </w:r>
      <w:r w:rsidRPr="00A338E5">
        <w:rPr>
          <w:rFonts w:cstheme="minorHAnsi"/>
        </w:rPr>
        <w:t xml:space="preserve">e </w:t>
      </w:r>
      <w:r w:rsidRPr="00A338E5">
        <w:rPr>
          <w:rFonts w:cstheme="minorHAnsi"/>
          <w:spacing w:val="2"/>
        </w:rPr>
        <w:t>O</w:t>
      </w:r>
      <w:r w:rsidRPr="00A338E5">
        <w:rPr>
          <w:rFonts w:cstheme="minorHAnsi"/>
          <w:spacing w:val="-1"/>
        </w:rPr>
        <w:t>ff</w:t>
      </w:r>
      <w:r w:rsidRPr="00A338E5">
        <w:rPr>
          <w:rFonts w:cstheme="minorHAnsi"/>
        </w:rPr>
        <w:t>i</w:t>
      </w:r>
      <w:r w:rsidRPr="00A338E5">
        <w:rPr>
          <w:rFonts w:cstheme="minorHAnsi"/>
          <w:spacing w:val="-1"/>
        </w:rPr>
        <w:t>cer</w:t>
      </w:r>
      <w:r w:rsidRPr="00A338E5">
        <w:rPr>
          <w:rFonts w:cstheme="minorHAnsi"/>
        </w:rPr>
        <w:t>.</w:t>
      </w:r>
    </w:p>
    <w:p w14:paraId="761E723D" w14:textId="77777777" w:rsidR="00082DB7" w:rsidRPr="00A338E5" w:rsidRDefault="00082DB7" w:rsidP="002A3889">
      <w:pPr>
        <w:pStyle w:val="ListParagraph"/>
        <w:widowControl w:val="0"/>
        <w:numPr>
          <w:ilvl w:val="0"/>
          <w:numId w:val="301"/>
        </w:numPr>
        <w:tabs>
          <w:tab w:val="left" w:pos="1560"/>
        </w:tabs>
        <w:spacing w:after="60" w:line="240" w:lineRule="auto"/>
        <w:ind w:left="425" w:right="75" w:hanging="425"/>
        <w:contextualSpacing w:val="0"/>
        <w:jc w:val="both"/>
        <w:rPr>
          <w:rFonts w:cstheme="minorHAnsi"/>
        </w:rPr>
      </w:pPr>
      <w:r w:rsidRPr="00A338E5">
        <w:rPr>
          <w:rFonts w:cstheme="minorHAnsi"/>
        </w:rPr>
        <w:t>The</w:t>
      </w:r>
      <w:r w:rsidRPr="00A338E5">
        <w:rPr>
          <w:rFonts w:cstheme="minorHAnsi"/>
          <w:spacing w:val="4"/>
        </w:rPr>
        <w:t xml:space="preserve"> </w:t>
      </w:r>
      <w:r w:rsidRPr="00A338E5">
        <w:rPr>
          <w:rFonts w:cstheme="minorHAnsi"/>
        </w:rPr>
        <w:t>CDAC</w:t>
      </w:r>
      <w:r w:rsidRPr="00A338E5">
        <w:rPr>
          <w:rFonts w:cstheme="minorHAnsi"/>
          <w:spacing w:val="6"/>
        </w:rPr>
        <w:t xml:space="preserve"> </w:t>
      </w:r>
      <w:r w:rsidRPr="00A338E5">
        <w:rPr>
          <w:rFonts w:cstheme="minorHAnsi"/>
          <w:spacing w:val="-1"/>
        </w:rPr>
        <w:t>(</w:t>
      </w:r>
      <w:r w:rsidRPr="00A338E5">
        <w:rPr>
          <w:rFonts w:cstheme="minorHAnsi"/>
        </w:rPr>
        <w:t>or</w:t>
      </w:r>
      <w:r w:rsidRPr="00A338E5">
        <w:rPr>
          <w:rFonts w:cstheme="minorHAnsi"/>
          <w:spacing w:val="4"/>
        </w:rPr>
        <w:t xml:space="preserve"> </w:t>
      </w:r>
      <w:r w:rsidRPr="00A338E5">
        <w:rPr>
          <w:rFonts w:cstheme="minorHAnsi"/>
        </w:rPr>
        <w:t>its</w:t>
      </w:r>
      <w:r w:rsidRPr="00A338E5">
        <w:rPr>
          <w:rFonts w:cstheme="minorHAnsi"/>
          <w:spacing w:val="5"/>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s)</w:t>
      </w:r>
      <w:r w:rsidRPr="00A338E5">
        <w:rPr>
          <w:rFonts w:cstheme="minorHAnsi"/>
          <w:spacing w:val="4"/>
        </w:rPr>
        <w:t xml:space="preserve"> </w:t>
      </w:r>
      <w:r w:rsidRPr="00A338E5">
        <w:rPr>
          <w:rFonts w:cstheme="minorHAnsi"/>
          <w:spacing w:val="-1"/>
        </w:rPr>
        <w:t>a</w:t>
      </w:r>
      <w:r w:rsidRPr="00A338E5">
        <w:rPr>
          <w:rFonts w:cstheme="minorHAnsi"/>
          <w:spacing w:val="2"/>
        </w:rPr>
        <w:t>r</w:t>
      </w:r>
      <w:r w:rsidRPr="00A338E5">
        <w:rPr>
          <w:rFonts w:cstheme="minorHAnsi"/>
        </w:rPr>
        <w:t>e</w:t>
      </w:r>
      <w:r w:rsidRPr="00A338E5">
        <w:rPr>
          <w:rFonts w:cstheme="minorHAnsi"/>
          <w:spacing w:val="4"/>
        </w:rPr>
        <w:t xml:space="preserve"> </w:t>
      </w:r>
      <w:r w:rsidRPr="00A338E5">
        <w:rPr>
          <w:rFonts w:cstheme="minorHAnsi"/>
        </w:rPr>
        <w:t>not</w:t>
      </w:r>
      <w:r w:rsidRPr="00A338E5">
        <w:rPr>
          <w:rFonts w:cstheme="minorHAnsi"/>
          <w:spacing w:val="6"/>
        </w:rPr>
        <w:t xml:space="preserve"> </w:t>
      </w:r>
      <w:r w:rsidRPr="00A338E5">
        <w:rPr>
          <w:rFonts w:cstheme="minorHAnsi"/>
        </w:rPr>
        <w:t>to</w:t>
      </w:r>
      <w:r w:rsidRPr="00A338E5">
        <w:rPr>
          <w:rFonts w:cstheme="minorHAnsi"/>
          <w:spacing w:val="5"/>
        </w:rPr>
        <w:t xml:space="preserve"> </w:t>
      </w:r>
      <w:r w:rsidRPr="00A338E5">
        <w:rPr>
          <w:rFonts w:cstheme="minorHAnsi"/>
        </w:rPr>
        <w:t>p</w:t>
      </w:r>
      <w:r w:rsidRPr="00A338E5">
        <w:rPr>
          <w:rFonts w:cstheme="minorHAnsi"/>
          <w:spacing w:val="-1"/>
        </w:rPr>
        <w:t>r</w:t>
      </w:r>
      <w:r w:rsidRPr="00A338E5">
        <w:rPr>
          <w:rFonts w:cstheme="minorHAnsi"/>
        </w:rPr>
        <w:t>ovide</w:t>
      </w:r>
      <w:r w:rsidRPr="00A338E5">
        <w:rPr>
          <w:rFonts w:cstheme="minorHAnsi"/>
          <w:spacing w:val="4"/>
        </w:rPr>
        <w:t xml:space="preserve"> </w:t>
      </w:r>
      <w:r w:rsidRPr="00A338E5">
        <w:rPr>
          <w:rFonts w:cstheme="minorHAnsi"/>
          <w:spacing w:val="-1"/>
        </w:rPr>
        <w:t>a</w:t>
      </w:r>
      <w:r w:rsidRPr="00A338E5">
        <w:rPr>
          <w:rFonts w:cstheme="minorHAnsi"/>
        </w:rPr>
        <w:t>dvi</w:t>
      </w:r>
      <w:r w:rsidRPr="00A338E5">
        <w:rPr>
          <w:rFonts w:cstheme="minorHAnsi"/>
          <w:spacing w:val="-1"/>
        </w:rPr>
        <w:t>c</w:t>
      </w:r>
      <w:r w:rsidRPr="00A338E5">
        <w:rPr>
          <w:rFonts w:cstheme="minorHAnsi"/>
        </w:rPr>
        <w:t>e</w:t>
      </w:r>
      <w:r w:rsidRPr="00A338E5">
        <w:rPr>
          <w:rFonts w:cstheme="minorHAnsi"/>
          <w:spacing w:val="4"/>
        </w:rPr>
        <w:t xml:space="preserve"> </w:t>
      </w:r>
      <w:r w:rsidRPr="00A338E5">
        <w:rPr>
          <w:rFonts w:cstheme="minorHAnsi"/>
        </w:rPr>
        <w:t>di</w:t>
      </w:r>
      <w:r w:rsidRPr="00A338E5">
        <w:rPr>
          <w:rFonts w:cstheme="minorHAnsi"/>
          <w:spacing w:val="-1"/>
        </w:rPr>
        <w:t>r</w:t>
      </w:r>
      <w:r w:rsidRPr="00A338E5">
        <w:rPr>
          <w:rFonts w:cstheme="minorHAnsi"/>
          <w:spacing w:val="1"/>
        </w:rPr>
        <w:t>e</w:t>
      </w:r>
      <w:r w:rsidRPr="00A338E5">
        <w:rPr>
          <w:rFonts w:cstheme="minorHAnsi"/>
          <w:spacing w:val="-1"/>
        </w:rPr>
        <w:t>c</w:t>
      </w:r>
      <w:r w:rsidRPr="00A338E5">
        <w:rPr>
          <w:rFonts w:cstheme="minorHAnsi"/>
        </w:rPr>
        <w:t>t</w:t>
      </w:r>
      <w:r w:rsidRPr="00A338E5">
        <w:rPr>
          <w:rFonts w:cstheme="minorHAnsi"/>
          <w:spacing w:val="3"/>
        </w:rPr>
        <w:t>l</w:t>
      </w:r>
      <w:r w:rsidRPr="00A338E5">
        <w:rPr>
          <w:rFonts w:cstheme="minorHAnsi"/>
        </w:rPr>
        <w:t>y to</w:t>
      </w:r>
      <w:r w:rsidRPr="00A338E5">
        <w:rPr>
          <w:rFonts w:cstheme="minorHAnsi"/>
          <w:spacing w:val="5"/>
        </w:rPr>
        <w:t xml:space="preserve"> </w:t>
      </w:r>
      <w:r w:rsidRPr="00A338E5">
        <w:rPr>
          <w:rFonts w:cstheme="minorHAnsi"/>
          <w:spacing w:val="-1"/>
        </w:rPr>
        <w:t>a</w:t>
      </w:r>
      <w:r w:rsidRPr="00A338E5">
        <w:rPr>
          <w:rFonts w:cstheme="minorHAnsi"/>
        </w:rPr>
        <w:t xml:space="preserve">n </w:t>
      </w:r>
      <w:r w:rsidRPr="00A338E5">
        <w:rPr>
          <w:rFonts w:cstheme="minorHAnsi"/>
          <w:spacing w:val="-1"/>
        </w:rPr>
        <w:t>a</w:t>
      </w:r>
      <w:r w:rsidRPr="00A338E5">
        <w:rPr>
          <w:rFonts w:cstheme="minorHAnsi"/>
        </w:rPr>
        <w:t>ppli</w:t>
      </w:r>
      <w:r w:rsidRPr="00A338E5">
        <w:rPr>
          <w:rFonts w:cstheme="minorHAnsi"/>
          <w:spacing w:val="-1"/>
        </w:rPr>
        <w:t>ca</w:t>
      </w:r>
      <w:r w:rsidRPr="00A338E5">
        <w:rPr>
          <w:rFonts w:cstheme="minorHAnsi"/>
        </w:rPr>
        <w:t>nt</w:t>
      </w:r>
      <w:r w:rsidRPr="00A338E5">
        <w:rPr>
          <w:rFonts w:cstheme="minorHAnsi"/>
          <w:spacing w:val="5"/>
        </w:rPr>
        <w:t xml:space="preserve"> </w:t>
      </w:r>
      <w:r w:rsidRPr="00A338E5">
        <w:rPr>
          <w:rFonts w:cstheme="minorHAnsi"/>
        </w:rPr>
        <w:t>or</w:t>
      </w:r>
      <w:r w:rsidRPr="00A338E5">
        <w:rPr>
          <w:rFonts w:cstheme="minorHAnsi"/>
          <w:spacing w:val="4"/>
        </w:rPr>
        <w:t xml:space="preserve"> </w:t>
      </w:r>
      <w:r w:rsidRPr="00A338E5">
        <w:rPr>
          <w:rFonts w:cstheme="minorHAnsi"/>
          <w:spacing w:val="1"/>
        </w:rPr>
        <w:t>C</w:t>
      </w:r>
      <w:r w:rsidRPr="00A338E5">
        <w:rPr>
          <w:rFonts w:cstheme="minorHAnsi"/>
        </w:rPr>
        <w:t>oun</w:t>
      </w:r>
      <w:r w:rsidRPr="00A338E5">
        <w:rPr>
          <w:rFonts w:cstheme="minorHAnsi"/>
          <w:spacing w:val="-1"/>
        </w:rPr>
        <w:t>c</w:t>
      </w:r>
      <w:r w:rsidRPr="00A338E5">
        <w:rPr>
          <w:rFonts w:cstheme="minorHAnsi"/>
        </w:rPr>
        <w:t>il</w:t>
      </w:r>
      <w:r w:rsidRPr="00A338E5">
        <w:rPr>
          <w:rFonts w:cstheme="minorHAnsi"/>
          <w:spacing w:val="2"/>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s</w:t>
      </w:r>
      <w:r w:rsidRPr="00A338E5">
        <w:rPr>
          <w:rFonts w:cstheme="minorHAnsi"/>
          <w:spacing w:val="5"/>
        </w:rPr>
        <w:t xml:space="preserve"> </w:t>
      </w:r>
      <w:r w:rsidRPr="00A338E5">
        <w:rPr>
          <w:rFonts w:cstheme="minorHAnsi"/>
        </w:rPr>
        <w:t>in</w:t>
      </w:r>
      <w:r w:rsidRPr="00A338E5">
        <w:rPr>
          <w:rFonts w:cstheme="minorHAnsi"/>
          <w:spacing w:val="4"/>
        </w:rPr>
        <w:t xml:space="preserve"> </w:t>
      </w:r>
      <w:r w:rsidRPr="00A338E5">
        <w:rPr>
          <w:rFonts w:cstheme="minorHAnsi"/>
          <w:spacing w:val="-1"/>
        </w:rPr>
        <w:t>re</w:t>
      </w:r>
      <w:r w:rsidRPr="00A338E5">
        <w:rPr>
          <w:rFonts w:cstheme="minorHAnsi"/>
        </w:rPr>
        <w:t>sp</w:t>
      </w:r>
      <w:r w:rsidRPr="00A338E5">
        <w:rPr>
          <w:rFonts w:cstheme="minorHAnsi"/>
          <w:spacing w:val="-1"/>
        </w:rPr>
        <w:t>ec</w:t>
      </w:r>
      <w:r w:rsidRPr="00A338E5">
        <w:rPr>
          <w:rFonts w:cstheme="minorHAnsi"/>
        </w:rPr>
        <w:t>t</w:t>
      </w:r>
      <w:r w:rsidRPr="00A338E5">
        <w:rPr>
          <w:rFonts w:cstheme="minorHAnsi"/>
          <w:spacing w:val="5"/>
        </w:rPr>
        <w:t xml:space="preserve"> </w:t>
      </w:r>
      <w:r w:rsidRPr="00A338E5">
        <w:rPr>
          <w:rFonts w:cstheme="minorHAnsi"/>
        </w:rPr>
        <w:t>of</w:t>
      </w:r>
      <w:r w:rsidRPr="00A338E5">
        <w:rPr>
          <w:rFonts w:cstheme="minorHAnsi"/>
          <w:spacing w:val="4"/>
        </w:rPr>
        <w:t xml:space="preserve"> </w:t>
      </w:r>
      <w:r w:rsidRPr="00A338E5">
        <w:rPr>
          <w:rFonts w:cstheme="minorHAnsi"/>
          <w:spacing w:val="-1"/>
        </w:rPr>
        <w:t>a</w:t>
      </w:r>
      <w:r w:rsidRPr="00A338E5">
        <w:rPr>
          <w:rFonts w:cstheme="minorHAnsi"/>
          <w:spacing w:val="2"/>
        </w:rPr>
        <w:t>n</w:t>
      </w:r>
      <w:r w:rsidRPr="00A338E5">
        <w:rPr>
          <w:rFonts w:cstheme="minorHAnsi"/>
        </w:rPr>
        <w:t>y it</w:t>
      </w:r>
      <w:r w:rsidRPr="00A338E5">
        <w:rPr>
          <w:rFonts w:cstheme="minorHAnsi"/>
          <w:spacing w:val="-1"/>
        </w:rPr>
        <w:t>e</w:t>
      </w:r>
      <w:r w:rsidRPr="00A338E5">
        <w:rPr>
          <w:rFonts w:cstheme="minorHAnsi"/>
        </w:rPr>
        <w:t>m</w:t>
      </w:r>
      <w:r w:rsidRPr="00A338E5">
        <w:rPr>
          <w:rFonts w:cstheme="minorHAnsi"/>
          <w:spacing w:val="5"/>
        </w:rPr>
        <w:t xml:space="preserve"> </w:t>
      </w:r>
      <w:r w:rsidRPr="00A338E5">
        <w:rPr>
          <w:rFonts w:cstheme="minorHAnsi"/>
        </w:rPr>
        <w:t>und</w:t>
      </w:r>
      <w:r w:rsidRPr="00A338E5">
        <w:rPr>
          <w:rFonts w:cstheme="minorHAnsi"/>
          <w:spacing w:val="-1"/>
        </w:rPr>
        <w:t>e</w:t>
      </w:r>
      <w:r w:rsidRPr="00A338E5">
        <w:rPr>
          <w:rFonts w:cstheme="minorHAnsi"/>
        </w:rPr>
        <w:t xml:space="preserve">r </w:t>
      </w:r>
      <w:r w:rsidRPr="00A338E5">
        <w:rPr>
          <w:rFonts w:cstheme="minorHAnsi"/>
          <w:spacing w:val="-1"/>
        </w:rPr>
        <w:t>c</w:t>
      </w:r>
      <w:r w:rsidRPr="00A338E5">
        <w:rPr>
          <w:rFonts w:cstheme="minorHAnsi"/>
        </w:rPr>
        <w:t>on</w:t>
      </w:r>
      <w:r w:rsidRPr="00A338E5">
        <w:rPr>
          <w:rFonts w:cstheme="minorHAnsi"/>
          <w:spacing w:val="-1"/>
        </w:rPr>
        <w:t>s</w:t>
      </w:r>
      <w:r w:rsidRPr="00A338E5">
        <w:rPr>
          <w:rFonts w:cstheme="minorHAnsi"/>
        </w:rPr>
        <w:t>id</w:t>
      </w:r>
      <w:r w:rsidRPr="00A338E5">
        <w:rPr>
          <w:rFonts w:cstheme="minorHAnsi"/>
          <w:spacing w:val="-1"/>
        </w:rPr>
        <w:t>era</w:t>
      </w:r>
      <w:r w:rsidRPr="00A338E5">
        <w:rPr>
          <w:rFonts w:cstheme="minorHAnsi"/>
        </w:rPr>
        <w:t xml:space="preserve">tion </w:t>
      </w:r>
      <w:r w:rsidRPr="00A338E5">
        <w:rPr>
          <w:rFonts w:cstheme="minorHAnsi"/>
          <w:spacing w:val="-2"/>
        </w:rPr>
        <w:t>a</w:t>
      </w:r>
      <w:r w:rsidRPr="00A338E5">
        <w:rPr>
          <w:rFonts w:cstheme="minorHAnsi"/>
        </w:rPr>
        <w:t>t the</w:t>
      </w:r>
      <w:r w:rsidRPr="00A338E5">
        <w:rPr>
          <w:rFonts w:cstheme="minorHAnsi"/>
          <w:spacing w:val="-1"/>
        </w:rPr>
        <w:t xml:space="preserve"> </w:t>
      </w:r>
      <w:r w:rsidRPr="00A338E5">
        <w:rPr>
          <w:rFonts w:cstheme="minorHAnsi"/>
          <w:spacing w:val="2"/>
        </w:rPr>
        <w:t>CDAC</w:t>
      </w:r>
      <w:r w:rsidRPr="00A338E5">
        <w:rPr>
          <w:rFonts w:cstheme="minorHAnsi"/>
          <w:spacing w:val="1"/>
        </w:rPr>
        <w:t xml:space="preserve"> </w:t>
      </w:r>
      <w:r w:rsidRPr="00A338E5">
        <w:rPr>
          <w:rFonts w:cstheme="minorHAnsi"/>
        </w:rPr>
        <w:t>m</w:t>
      </w:r>
      <w:r w:rsidRPr="00A338E5">
        <w:rPr>
          <w:rFonts w:cstheme="minorHAnsi"/>
          <w:spacing w:val="-1"/>
        </w:rPr>
        <w:t>ee</w:t>
      </w:r>
      <w:r w:rsidRPr="00A338E5">
        <w:rPr>
          <w:rFonts w:cstheme="minorHAnsi"/>
        </w:rPr>
        <w:t>tin</w:t>
      </w:r>
      <w:r w:rsidRPr="00A338E5">
        <w:rPr>
          <w:rFonts w:cstheme="minorHAnsi"/>
          <w:spacing w:val="-3"/>
        </w:rPr>
        <w:t>g</w:t>
      </w:r>
      <w:r w:rsidRPr="00A338E5">
        <w:rPr>
          <w:rFonts w:cstheme="minorHAnsi"/>
        </w:rPr>
        <w:t>.</w:t>
      </w:r>
    </w:p>
    <w:p w14:paraId="09118BF8" w14:textId="77777777" w:rsidR="00082DB7" w:rsidRPr="00A338E5" w:rsidRDefault="00082DB7" w:rsidP="002A3889">
      <w:pPr>
        <w:pStyle w:val="ListParagraph"/>
        <w:widowControl w:val="0"/>
        <w:numPr>
          <w:ilvl w:val="0"/>
          <w:numId w:val="301"/>
        </w:numPr>
        <w:tabs>
          <w:tab w:val="left" w:pos="1560"/>
        </w:tabs>
        <w:spacing w:after="60" w:line="240" w:lineRule="auto"/>
        <w:ind w:left="425" w:right="75" w:hanging="425"/>
        <w:contextualSpacing w:val="0"/>
        <w:jc w:val="both"/>
        <w:rPr>
          <w:rFonts w:cstheme="minorHAnsi"/>
        </w:rPr>
      </w:pPr>
      <w:r w:rsidRPr="00A338E5">
        <w:rPr>
          <w:rFonts w:cstheme="minorHAnsi"/>
        </w:rPr>
        <w:t>The</w:t>
      </w:r>
      <w:r w:rsidRPr="00A338E5">
        <w:rPr>
          <w:rFonts w:cstheme="minorHAnsi"/>
          <w:spacing w:val="1"/>
        </w:rPr>
        <w:t xml:space="preserve"> </w:t>
      </w:r>
      <w:r w:rsidRPr="00A338E5">
        <w:rPr>
          <w:rFonts w:cstheme="minorHAnsi"/>
        </w:rPr>
        <w:t>CDAC</w:t>
      </w:r>
      <w:r w:rsidRPr="00A338E5">
        <w:rPr>
          <w:rFonts w:cstheme="minorHAnsi"/>
          <w:spacing w:val="3"/>
        </w:rPr>
        <w:t xml:space="preserve"> </w:t>
      </w:r>
      <w:r w:rsidRPr="00A338E5">
        <w:rPr>
          <w:rFonts w:cstheme="minorHAnsi"/>
          <w:spacing w:val="1"/>
        </w:rPr>
        <w:t>a</w:t>
      </w:r>
      <w:r w:rsidRPr="00A338E5">
        <w:rPr>
          <w:rFonts w:cstheme="minorHAnsi"/>
          <w:spacing w:val="-1"/>
        </w:rPr>
        <w:t>r</w:t>
      </w:r>
      <w:r w:rsidRPr="00A338E5">
        <w:rPr>
          <w:rFonts w:cstheme="minorHAnsi"/>
        </w:rPr>
        <w:t>e</w:t>
      </w:r>
      <w:r w:rsidRPr="00A338E5">
        <w:rPr>
          <w:rFonts w:cstheme="minorHAnsi"/>
          <w:spacing w:val="1"/>
        </w:rPr>
        <w:t xml:space="preserve"> </w:t>
      </w:r>
      <w:r w:rsidRPr="00A338E5">
        <w:rPr>
          <w:rFonts w:cstheme="minorHAnsi"/>
        </w:rPr>
        <w:t>to</w:t>
      </w:r>
      <w:r w:rsidRPr="00A338E5">
        <w:rPr>
          <w:rFonts w:cstheme="minorHAnsi"/>
          <w:spacing w:val="2"/>
        </w:rPr>
        <w:t xml:space="preserve"> </w:t>
      </w:r>
      <w:r w:rsidRPr="00A338E5">
        <w:rPr>
          <w:rFonts w:cstheme="minorHAnsi"/>
        </w:rPr>
        <w:t>p</w:t>
      </w:r>
      <w:r w:rsidRPr="00A338E5">
        <w:rPr>
          <w:rFonts w:cstheme="minorHAnsi"/>
          <w:spacing w:val="-1"/>
        </w:rPr>
        <w:t>r</w:t>
      </w:r>
      <w:r w:rsidRPr="00A338E5">
        <w:rPr>
          <w:rFonts w:cstheme="minorHAnsi"/>
        </w:rPr>
        <w:t>ovide</w:t>
      </w:r>
      <w:r w:rsidRPr="00A338E5">
        <w:rPr>
          <w:rFonts w:cstheme="minorHAnsi"/>
          <w:spacing w:val="6"/>
        </w:rPr>
        <w:t xml:space="preserve"> </w:t>
      </w:r>
      <w:r w:rsidRPr="00A338E5">
        <w:rPr>
          <w:rFonts w:cstheme="minorHAnsi"/>
          <w:spacing w:val="-1"/>
        </w:rPr>
        <w:t>c</w:t>
      </w:r>
      <w:r w:rsidRPr="00A338E5">
        <w:rPr>
          <w:rFonts w:cstheme="minorHAnsi"/>
        </w:rPr>
        <w:t>omm</w:t>
      </w:r>
      <w:r w:rsidRPr="00A338E5">
        <w:rPr>
          <w:rFonts w:cstheme="minorHAnsi"/>
          <w:spacing w:val="-1"/>
        </w:rPr>
        <w:t>e</w:t>
      </w:r>
      <w:r w:rsidRPr="00A338E5">
        <w:rPr>
          <w:rFonts w:cstheme="minorHAnsi"/>
        </w:rPr>
        <w:t>nts</w:t>
      </w:r>
      <w:r w:rsidRPr="00A338E5">
        <w:rPr>
          <w:rFonts w:cstheme="minorHAnsi"/>
          <w:spacing w:val="2"/>
        </w:rPr>
        <w:t xml:space="preserve"> </w:t>
      </w:r>
      <w:r w:rsidRPr="00A338E5">
        <w:rPr>
          <w:rFonts w:cstheme="minorHAnsi"/>
          <w:spacing w:val="-1"/>
        </w:rPr>
        <w:t>a</w:t>
      </w:r>
      <w:r w:rsidRPr="00A338E5">
        <w:rPr>
          <w:rFonts w:cstheme="minorHAnsi"/>
        </w:rPr>
        <w:t>nd</w:t>
      </w:r>
      <w:r w:rsidRPr="00A338E5">
        <w:rPr>
          <w:rFonts w:cstheme="minorHAnsi"/>
          <w:spacing w:val="2"/>
        </w:rPr>
        <w:t xml:space="preserve"> </w:t>
      </w:r>
      <w:r w:rsidRPr="00A338E5">
        <w:rPr>
          <w:rFonts w:cstheme="minorHAnsi"/>
          <w:spacing w:val="-1"/>
        </w:rPr>
        <w:t>a</w:t>
      </w:r>
      <w:r w:rsidRPr="00A338E5">
        <w:rPr>
          <w:rFonts w:cstheme="minorHAnsi"/>
        </w:rPr>
        <w:t>dvi</w:t>
      </w:r>
      <w:r w:rsidRPr="00A338E5">
        <w:rPr>
          <w:rFonts w:cstheme="minorHAnsi"/>
          <w:spacing w:val="1"/>
        </w:rPr>
        <w:t>c</w:t>
      </w:r>
      <w:r w:rsidRPr="00A338E5">
        <w:rPr>
          <w:rFonts w:cstheme="minorHAnsi"/>
        </w:rPr>
        <w:t>e</w:t>
      </w:r>
      <w:r w:rsidRPr="00A338E5">
        <w:rPr>
          <w:rFonts w:cstheme="minorHAnsi"/>
          <w:spacing w:val="1"/>
        </w:rPr>
        <w:t xml:space="preserve"> </w:t>
      </w:r>
      <w:r w:rsidRPr="00A338E5">
        <w:rPr>
          <w:rFonts w:cstheme="minorHAnsi"/>
        </w:rPr>
        <w:t>to</w:t>
      </w:r>
      <w:r w:rsidRPr="00A338E5">
        <w:rPr>
          <w:rFonts w:cstheme="minorHAnsi"/>
          <w:spacing w:val="4"/>
        </w:rPr>
        <w:t xml:space="preserve"> </w:t>
      </w:r>
      <w:r w:rsidRPr="00A338E5">
        <w:rPr>
          <w:rFonts w:cstheme="minorHAnsi"/>
        </w:rPr>
        <w:t xml:space="preserve">the </w:t>
      </w:r>
      <w:r w:rsidRPr="00A338E5">
        <w:rPr>
          <w:rFonts w:cstheme="minorHAnsi"/>
          <w:spacing w:val="1"/>
        </w:rPr>
        <w:t>Town</w:t>
      </w:r>
      <w:r w:rsidRPr="00A338E5">
        <w:rPr>
          <w:rFonts w:cstheme="minorHAnsi"/>
          <w:spacing w:val="-1"/>
        </w:rPr>
        <w:t>’</w:t>
      </w:r>
      <w:r w:rsidRPr="00A338E5">
        <w:rPr>
          <w:rFonts w:cstheme="minorHAnsi"/>
        </w:rPr>
        <w:t>s</w:t>
      </w:r>
      <w:r w:rsidRPr="00A338E5">
        <w:rPr>
          <w:rFonts w:cstheme="minorHAnsi"/>
          <w:spacing w:val="2"/>
        </w:rPr>
        <w:t xml:space="preserve"> </w:t>
      </w:r>
      <w:r w:rsidRPr="00A338E5">
        <w:rPr>
          <w:rFonts w:cstheme="minorHAnsi"/>
        </w:rPr>
        <w:t>O</w:t>
      </w:r>
      <w:r w:rsidRPr="00A338E5">
        <w:rPr>
          <w:rFonts w:cstheme="minorHAnsi"/>
          <w:spacing w:val="2"/>
        </w:rPr>
        <w:t>f</w:t>
      </w:r>
      <w:r w:rsidRPr="00A338E5">
        <w:rPr>
          <w:rFonts w:cstheme="minorHAnsi"/>
          <w:spacing w:val="-1"/>
        </w:rPr>
        <w:t>f</w:t>
      </w:r>
      <w:r w:rsidRPr="00A338E5">
        <w:rPr>
          <w:rFonts w:cstheme="minorHAnsi"/>
        </w:rPr>
        <w:t>i</w:t>
      </w:r>
      <w:r w:rsidRPr="00A338E5">
        <w:rPr>
          <w:rFonts w:cstheme="minorHAnsi"/>
          <w:spacing w:val="-1"/>
        </w:rPr>
        <w:t>c</w:t>
      </w:r>
      <w:r w:rsidRPr="00A338E5">
        <w:rPr>
          <w:rFonts w:cstheme="minorHAnsi"/>
          <w:spacing w:val="1"/>
        </w:rPr>
        <w:t>e</w:t>
      </w:r>
      <w:r w:rsidRPr="00A338E5">
        <w:rPr>
          <w:rFonts w:cstheme="minorHAnsi"/>
          <w:spacing w:val="-1"/>
        </w:rPr>
        <w:t>r</w:t>
      </w:r>
      <w:r w:rsidRPr="00A338E5">
        <w:rPr>
          <w:rFonts w:cstheme="minorHAnsi"/>
        </w:rPr>
        <w:t>s</w:t>
      </w:r>
      <w:r w:rsidRPr="00A338E5">
        <w:rPr>
          <w:rFonts w:cstheme="minorHAnsi"/>
          <w:spacing w:val="2"/>
        </w:rPr>
        <w:t xml:space="preserve"> </w:t>
      </w:r>
      <w:r w:rsidRPr="00A338E5">
        <w:rPr>
          <w:rFonts w:cstheme="minorHAnsi"/>
        </w:rPr>
        <w:t xml:space="preserve">to </w:t>
      </w:r>
      <w:r w:rsidRPr="00A338E5">
        <w:rPr>
          <w:rFonts w:cstheme="minorHAnsi"/>
          <w:spacing w:val="-1"/>
        </w:rPr>
        <w:t>a</w:t>
      </w:r>
      <w:r w:rsidRPr="00A338E5">
        <w:rPr>
          <w:rFonts w:cstheme="minorHAnsi"/>
        </w:rPr>
        <w:t>ssist</w:t>
      </w:r>
      <w:r w:rsidRPr="00A338E5">
        <w:rPr>
          <w:rFonts w:cstheme="minorHAnsi"/>
          <w:spacing w:val="2"/>
        </w:rPr>
        <w:t xml:space="preserve"> </w:t>
      </w:r>
      <w:r w:rsidRPr="00A338E5">
        <w:rPr>
          <w:rFonts w:cstheme="minorHAnsi"/>
        </w:rPr>
        <w:t xml:space="preserve">the </w:t>
      </w:r>
      <w:r w:rsidRPr="00A338E5">
        <w:rPr>
          <w:rFonts w:cstheme="minorHAnsi"/>
          <w:spacing w:val="1"/>
        </w:rPr>
        <w:t>Town</w:t>
      </w:r>
      <w:r w:rsidRPr="00A338E5">
        <w:rPr>
          <w:rFonts w:cstheme="minorHAnsi"/>
          <w:spacing w:val="-1"/>
        </w:rPr>
        <w:t>’</w:t>
      </w:r>
      <w:r w:rsidRPr="00A338E5">
        <w:rPr>
          <w:rFonts w:cstheme="minorHAnsi"/>
        </w:rPr>
        <w:t>s</w:t>
      </w:r>
      <w:r w:rsidRPr="00A338E5">
        <w:rPr>
          <w:rFonts w:cstheme="minorHAnsi"/>
          <w:spacing w:val="4"/>
        </w:rPr>
        <w:t xml:space="preserve"> </w:t>
      </w:r>
      <w:r w:rsidRPr="00A338E5">
        <w:rPr>
          <w:rFonts w:cstheme="minorHAnsi"/>
        </w:rPr>
        <w:t>O</w:t>
      </w:r>
      <w:r w:rsidRPr="00A338E5">
        <w:rPr>
          <w:rFonts w:cstheme="minorHAnsi"/>
          <w:spacing w:val="2"/>
        </w:rPr>
        <w:t>f</w:t>
      </w:r>
      <w:r w:rsidRPr="00A338E5">
        <w:rPr>
          <w:rFonts w:cstheme="minorHAnsi"/>
          <w:spacing w:val="-1"/>
        </w:rPr>
        <w:t>f</w:t>
      </w:r>
      <w:r w:rsidRPr="00A338E5">
        <w:rPr>
          <w:rFonts w:cstheme="minorHAnsi"/>
        </w:rPr>
        <w:t>i</w:t>
      </w:r>
      <w:r w:rsidRPr="00A338E5">
        <w:rPr>
          <w:rFonts w:cstheme="minorHAnsi"/>
          <w:spacing w:val="-1"/>
        </w:rPr>
        <w:t>c</w:t>
      </w:r>
      <w:r w:rsidRPr="00A338E5">
        <w:rPr>
          <w:rFonts w:cstheme="minorHAnsi"/>
          <w:spacing w:val="1"/>
        </w:rPr>
        <w:t>e</w:t>
      </w:r>
      <w:r w:rsidRPr="00A338E5">
        <w:rPr>
          <w:rFonts w:cstheme="minorHAnsi"/>
          <w:spacing w:val="-1"/>
        </w:rPr>
        <w:t>r</w:t>
      </w:r>
      <w:r w:rsidRPr="00A338E5">
        <w:rPr>
          <w:rFonts w:cstheme="minorHAnsi"/>
        </w:rPr>
        <w:t>s</w:t>
      </w:r>
      <w:r w:rsidRPr="00A338E5">
        <w:rPr>
          <w:rFonts w:cstheme="minorHAnsi"/>
          <w:spacing w:val="2"/>
        </w:rPr>
        <w:t xml:space="preserve"> </w:t>
      </w:r>
      <w:r w:rsidRPr="00A338E5">
        <w:rPr>
          <w:rFonts w:cstheme="minorHAnsi"/>
        </w:rPr>
        <w:t>in</w:t>
      </w:r>
      <w:r w:rsidRPr="00A338E5">
        <w:rPr>
          <w:rFonts w:cstheme="minorHAnsi"/>
          <w:spacing w:val="1"/>
        </w:rPr>
        <w:t xml:space="preserve"> </w:t>
      </w:r>
      <w:r w:rsidRPr="00A338E5">
        <w:rPr>
          <w:rFonts w:cstheme="minorHAnsi"/>
          <w:spacing w:val="-1"/>
        </w:rPr>
        <w:t>f</w:t>
      </w:r>
      <w:r w:rsidRPr="00A338E5">
        <w:rPr>
          <w:rFonts w:cstheme="minorHAnsi"/>
          <w:spacing w:val="2"/>
        </w:rPr>
        <w:t>o</w:t>
      </w:r>
      <w:r w:rsidRPr="00A338E5">
        <w:rPr>
          <w:rFonts w:cstheme="minorHAnsi"/>
          <w:spacing w:val="-1"/>
        </w:rPr>
        <w:t>r</w:t>
      </w:r>
      <w:r w:rsidRPr="00A338E5">
        <w:rPr>
          <w:rFonts w:cstheme="minorHAnsi"/>
        </w:rPr>
        <w:t>mul</w:t>
      </w:r>
      <w:r w:rsidRPr="00A338E5">
        <w:rPr>
          <w:rFonts w:cstheme="minorHAnsi"/>
          <w:spacing w:val="-1"/>
        </w:rPr>
        <w:t>a</w:t>
      </w:r>
      <w:r w:rsidRPr="00A338E5">
        <w:rPr>
          <w:rFonts w:cstheme="minorHAnsi"/>
        </w:rPr>
        <w:t>ting</w:t>
      </w:r>
      <w:r w:rsidRPr="00A338E5">
        <w:rPr>
          <w:rFonts w:cstheme="minorHAnsi"/>
          <w:spacing w:val="1"/>
        </w:rPr>
        <w:t xml:space="preserve"> </w:t>
      </w:r>
      <w:r w:rsidRPr="00A338E5">
        <w:rPr>
          <w:rFonts w:cstheme="minorHAnsi"/>
          <w:spacing w:val="-1"/>
        </w:rPr>
        <w:t>r</w:t>
      </w:r>
      <w:r w:rsidRPr="00A338E5">
        <w:rPr>
          <w:rFonts w:cstheme="minorHAnsi"/>
          <w:spacing w:val="1"/>
        </w:rPr>
        <w:t>e</w:t>
      </w:r>
      <w:r w:rsidRPr="00A338E5">
        <w:rPr>
          <w:rFonts w:cstheme="minorHAnsi"/>
          <w:spacing w:val="-1"/>
        </w:rPr>
        <w:t>c</w:t>
      </w:r>
      <w:r w:rsidRPr="00A338E5">
        <w:rPr>
          <w:rFonts w:cstheme="minorHAnsi"/>
          <w:spacing w:val="2"/>
        </w:rPr>
        <w:t>o</w:t>
      </w:r>
      <w:r w:rsidRPr="00A338E5">
        <w:rPr>
          <w:rFonts w:cstheme="minorHAnsi"/>
        </w:rPr>
        <w:t>mm</w:t>
      </w:r>
      <w:r w:rsidRPr="00A338E5">
        <w:rPr>
          <w:rFonts w:cstheme="minorHAnsi"/>
          <w:spacing w:val="-1"/>
        </w:rPr>
        <w:t>e</w:t>
      </w:r>
      <w:r w:rsidRPr="00A338E5">
        <w:rPr>
          <w:rFonts w:cstheme="minorHAnsi"/>
        </w:rPr>
        <w:t>nd</w:t>
      </w:r>
      <w:r w:rsidRPr="00A338E5">
        <w:rPr>
          <w:rFonts w:cstheme="minorHAnsi"/>
          <w:spacing w:val="-2"/>
        </w:rPr>
        <w:t>a</w:t>
      </w:r>
      <w:r w:rsidRPr="00A338E5">
        <w:rPr>
          <w:rFonts w:cstheme="minorHAnsi"/>
        </w:rPr>
        <w:t>tions</w:t>
      </w:r>
      <w:r w:rsidRPr="00A338E5">
        <w:rPr>
          <w:rFonts w:cstheme="minorHAnsi"/>
          <w:spacing w:val="1"/>
        </w:rPr>
        <w:t xml:space="preserve"> </w:t>
      </w:r>
      <w:r w:rsidRPr="00A338E5">
        <w:rPr>
          <w:rFonts w:cstheme="minorHAnsi"/>
        </w:rPr>
        <w:t>to</w:t>
      </w:r>
      <w:r w:rsidRPr="00A338E5">
        <w:rPr>
          <w:rFonts w:cstheme="minorHAnsi"/>
          <w:spacing w:val="1"/>
        </w:rPr>
        <w:t xml:space="preserve"> </w:t>
      </w:r>
      <w:r w:rsidRPr="00A338E5">
        <w:rPr>
          <w:rFonts w:cstheme="minorHAnsi"/>
        </w:rPr>
        <w:t xml:space="preserve">the </w:t>
      </w:r>
      <w:r w:rsidRPr="00A338E5">
        <w:rPr>
          <w:rFonts w:cstheme="minorHAnsi"/>
          <w:spacing w:val="1"/>
        </w:rPr>
        <w:t>C</w:t>
      </w:r>
      <w:r w:rsidRPr="00A338E5">
        <w:rPr>
          <w:rFonts w:cstheme="minorHAnsi"/>
        </w:rPr>
        <w:t>oun</w:t>
      </w:r>
      <w:r w:rsidRPr="00A338E5">
        <w:rPr>
          <w:rFonts w:cstheme="minorHAnsi"/>
          <w:spacing w:val="-1"/>
        </w:rPr>
        <w:t>c</w:t>
      </w:r>
      <w:r w:rsidRPr="00A338E5">
        <w:rPr>
          <w:rFonts w:cstheme="minorHAnsi"/>
        </w:rPr>
        <w:t>il</w:t>
      </w:r>
      <w:r w:rsidRPr="00A338E5">
        <w:rPr>
          <w:rFonts w:cstheme="minorHAnsi"/>
          <w:spacing w:val="29"/>
        </w:rPr>
        <w:t xml:space="preserve"> </w:t>
      </w:r>
      <w:r w:rsidRPr="00A338E5">
        <w:rPr>
          <w:rFonts w:cstheme="minorHAnsi"/>
        </w:rPr>
        <w:t>m</w:t>
      </w:r>
      <w:r w:rsidRPr="00A338E5">
        <w:rPr>
          <w:rFonts w:cstheme="minorHAnsi"/>
          <w:spacing w:val="-1"/>
        </w:rPr>
        <w:t>ee</w:t>
      </w:r>
      <w:r w:rsidRPr="00A338E5">
        <w:rPr>
          <w:rFonts w:cstheme="minorHAnsi"/>
        </w:rPr>
        <w:t>tin</w:t>
      </w:r>
      <w:r w:rsidRPr="00A338E5">
        <w:rPr>
          <w:rFonts w:cstheme="minorHAnsi"/>
          <w:spacing w:val="-2"/>
        </w:rPr>
        <w:t>g</w:t>
      </w:r>
      <w:r w:rsidRPr="00A338E5">
        <w:rPr>
          <w:rFonts w:cstheme="minorHAnsi"/>
        </w:rPr>
        <w:t>s</w:t>
      </w:r>
      <w:r w:rsidRPr="00A338E5">
        <w:rPr>
          <w:rFonts w:cstheme="minorHAnsi"/>
          <w:spacing w:val="29"/>
        </w:rPr>
        <w:t xml:space="preserve"> </w:t>
      </w:r>
      <w:r w:rsidRPr="00A338E5">
        <w:rPr>
          <w:rFonts w:cstheme="minorHAnsi"/>
        </w:rPr>
        <w:t>on</w:t>
      </w:r>
      <w:r w:rsidRPr="00A338E5">
        <w:rPr>
          <w:rFonts w:cstheme="minorHAnsi"/>
          <w:spacing w:val="29"/>
        </w:rPr>
        <w:t xml:space="preserve"> </w:t>
      </w:r>
      <w:proofErr w:type="gramStart"/>
      <w:r w:rsidRPr="00A338E5">
        <w:rPr>
          <w:rFonts w:cstheme="minorHAnsi"/>
        </w:rPr>
        <w:t>p</w:t>
      </w:r>
      <w:r w:rsidRPr="00A338E5">
        <w:rPr>
          <w:rFonts w:cstheme="minorHAnsi"/>
          <w:spacing w:val="-1"/>
        </w:rPr>
        <w:t>a</w:t>
      </w:r>
      <w:r w:rsidRPr="00A338E5">
        <w:rPr>
          <w:rFonts w:cstheme="minorHAnsi"/>
          <w:spacing w:val="2"/>
        </w:rPr>
        <w:t>r</w:t>
      </w:r>
      <w:r w:rsidRPr="00A338E5">
        <w:rPr>
          <w:rFonts w:cstheme="minorHAnsi"/>
        </w:rPr>
        <w:t>ti</w:t>
      </w:r>
      <w:r w:rsidRPr="00A338E5">
        <w:rPr>
          <w:rFonts w:cstheme="minorHAnsi"/>
          <w:spacing w:val="-1"/>
        </w:rPr>
        <w:t>c</w:t>
      </w:r>
      <w:r w:rsidRPr="00A338E5">
        <w:rPr>
          <w:rFonts w:cstheme="minorHAnsi"/>
        </w:rPr>
        <w:t>ul</w:t>
      </w:r>
      <w:r w:rsidRPr="00A338E5">
        <w:rPr>
          <w:rFonts w:cstheme="minorHAnsi"/>
          <w:spacing w:val="-1"/>
        </w:rPr>
        <w:t>a</w:t>
      </w:r>
      <w:r w:rsidRPr="00A338E5">
        <w:rPr>
          <w:rFonts w:cstheme="minorHAnsi"/>
        </w:rPr>
        <w:t>r</w:t>
      </w:r>
      <w:r w:rsidRPr="00A338E5">
        <w:rPr>
          <w:rFonts w:cstheme="minorHAnsi"/>
          <w:spacing w:val="28"/>
        </w:rPr>
        <w:t xml:space="preserve"> </w:t>
      </w:r>
      <w:r w:rsidRPr="00A338E5">
        <w:rPr>
          <w:rFonts w:cstheme="minorHAnsi"/>
          <w:spacing w:val="-1"/>
        </w:rPr>
        <w:t>a</w:t>
      </w:r>
      <w:r w:rsidRPr="00A338E5">
        <w:rPr>
          <w:rFonts w:cstheme="minorHAnsi"/>
        </w:rPr>
        <w:t>ppli</w:t>
      </w:r>
      <w:r w:rsidRPr="00A338E5">
        <w:rPr>
          <w:rFonts w:cstheme="minorHAnsi"/>
          <w:spacing w:val="-1"/>
        </w:rPr>
        <w:t>ca</w:t>
      </w:r>
      <w:r w:rsidRPr="00A338E5">
        <w:rPr>
          <w:rFonts w:cstheme="minorHAnsi"/>
        </w:rPr>
        <w:t>tions</w:t>
      </w:r>
      <w:proofErr w:type="gramEnd"/>
      <w:r w:rsidRPr="00A338E5">
        <w:rPr>
          <w:rFonts w:cstheme="minorHAnsi"/>
          <w:spacing w:val="29"/>
        </w:rPr>
        <w:t xml:space="preserve"> </w:t>
      </w:r>
      <w:r w:rsidRPr="00A338E5">
        <w:rPr>
          <w:rFonts w:cstheme="minorHAnsi"/>
          <w:spacing w:val="-1"/>
        </w:rPr>
        <w:t>f</w:t>
      </w:r>
      <w:r w:rsidRPr="00A338E5">
        <w:rPr>
          <w:rFonts w:cstheme="minorHAnsi"/>
        </w:rPr>
        <w:t>or</w:t>
      </w:r>
      <w:r w:rsidRPr="00A338E5">
        <w:rPr>
          <w:rFonts w:cstheme="minorHAnsi"/>
          <w:spacing w:val="28"/>
        </w:rPr>
        <w:t xml:space="preserve"> </w:t>
      </w:r>
      <w:r w:rsidRPr="00A338E5">
        <w:rPr>
          <w:rFonts w:cstheme="minorHAnsi"/>
          <w:spacing w:val="2"/>
        </w:rPr>
        <w:t>p</w:t>
      </w:r>
      <w:r w:rsidRPr="00A338E5">
        <w:rPr>
          <w:rFonts w:cstheme="minorHAnsi"/>
        </w:rPr>
        <w:t>l</w:t>
      </w:r>
      <w:r w:rsidRPr="00A338E5">
        <w:rPr>
          <w:rFonts w:cstheme="minorHAnsi"/>
          <w:spacing w:val="-1"/>
        </w:rPr>
        <w:t>a</w:t>
      </w:r>
      <w:r w:rsidRPr="00A338E5">
        <w:rPr>
          <w:rFonts w:cstheme="minorHAnsi"/>
        </w:rPr>
        <w:t>nning</w:t>
      </w:r>
      <w:r w:rsidRPr="00A338E5">
        <w:rPr>
          <w:rFonts w:cstheme="minorHAnsi"/>
          <w:spacing w:val="26"/>
        </w:rPr>
        <w:t xml:space="preserve"> </w:t>
      </w:r>
      <w:r w:rsidRPr="00A338E5">
        <w:rPr>
          <w:rFonts w:cstheme="minorHAnsi"/>
          <w:spacing w:val="-1"/>
        </w:rPr>
        <w:t>a</w:t>
      </w:r>
      <w:r w:rsidRPr="00A338E5">
        <w:rPr>
          <w:rFonts w:cstheme="minorHAnsi"/>
        </w:rPr>
        <w:t>p</w:t>
      </w:r>
      <w:r w:rsidRPr="00A338E5">
        <w:rPr>
          <w:rFonts w:cstheme="minorHAnsi"/>
          <w:spacing w:val="2"/>
        </w:rPr>
        <w:t>p</w:t>
      </w:r>
      <w:r w:rsidRPr="00A338E5">
        <w:rPr>
          <w:rFonts w:cstheme="minorHAnsi"/>
          <w:spacing w:val="-1"/>
        </w:rPr>
        <w:t>r</w:t>
      </w:r>
      <w:r w:rsidRPr="00A338E5">
        <w:rPr>
          <w:rFonts w:cstheme="minorHAnsi"/>
        </w:rPr>
        <w:t>ov</w:t>
      </w:r>
      <w:r w:rsidRPr="00A338E5">
        <w:rPr>
          <w:rFonts w:cstheme="minorHAnsi"/>
          <w:spacing w:val="-1"/>
        </w:rPr>
        <w:t>a</w:t>
      </w:r>
      <w:r w:rsidRPr="00A338E5">
        <w:rPr>
          <w:rFonts w:cstheme="minorHAnsi"/>
        </w:rPr>
        <w:t>l,</w:t>
      </w:r>
      <w:r w:rsidRPr="00A338E5">
        <w:rPr>
          <w:rFonts w:cstheme="minorHAnsi"/>
          <w:spacing w:val="29"/>
        </w:rPr>
        <w:t xml:space="preserve"> </w:t>
      </w:r>
      <w:r w:rsidRPr="00A338E5">
        <w:rPr>
          <w:rFonts w:cstheme="minorHAnsi"/>
        </w:rPr>
        <w:t>or in d</w:t>
      </w:r>
      <w:r w:rsidRPr="00A338E5">
        <w:rPr>
          <w:rFonts w:cstheme="minorHAnsi"/>
          <w:spacing w:val="-1"/>
        </w:rPr>
        <w:t>e</w:t>
      </w:r>
      <w:r w:rsidRPr="00A338E5">
        <w:rPr>
          <w:rFonts w:cstheme="minorHAnsi"/>
        </w:rPr>
        <w:t>t</w:t>
      </w:r>
      <w:r w:rsidRPr="00A338E5">
        <w:rPr>
          <w:rFonts w:cstheme="minorHAnsi"/>
          <w:spacing w:val="-1"/>
        </w:rPr>
        <w:t>er</w:t>
      </w:r>
      <w:r w:rsidRPr="00A338E5">
        <w:rPr>
          <w:rFonts w:cstheme="minorHAnsi"/>
        </w:rPr>
        <w:t>mining</w:t>
      </w:r>
      <w:r w:rsidRPr="00A338E5">
        <w:rPr>
          <w:rFonts w:cstheme="minorHAnsi"/>
          <w:spacing w:val="-2"/>
        </w:rPr>
        <w:t xml:space="preserve"> </w:t>
      </w:r>
      <w:r w:rsidRPr="00A338E5">
        <w:rPr>
          <w:rFonts w:cstheme="minorHAnsi"/>
          <w:spacing w:val="-1"/>
        </w:rPr>
        <w:t>a</w:t>
      </w:r>
      <w:r w:rsidRPr="00A338E5">
        <w:rPr>
          <w:rFonts w:cstheme="minorHAnsi"/>
        </w:rPr>
        <w:t>ppli</w:t>
      </w:r>
      <w:r w:rsidRPr="00A338E5">
        <w:rPr>
          <w:rFonts w:cstheme="minorHAnsi"/>
          <w:spacing w:val="1"/>
        </w:rPr>
        <w:t>c</w:t>
      </w:r>
      <w:r w:rsidRPr="00A338E5">
        <w:rPr>
          <w:rFonts w:cstheme="minorHAnsi"/>
          <w:spacing w:val="-1"/>
        </w:rPr>
        <w:t>a</w:t>
      </w:r>
      <w:r w:rsidRPr="00A338E5">
        <w:rPr>
          <w:rFonts w:cstheme="minorHAnsi"/>
        </w:rPr>
        <w:t>tions und</w:t>
      </w:r>
      <w:r w:rsidRPr="00A338E5">
        <w:rPr>
          <w:rFonts w:cstheme="minorHAnsi"/>
          <w:spacing w:val="-1"/>
        </w:rPr>
        <w:t>e</w:t>
      </w:r>
      <w:r w:rsidRPr="00A338E5">
        <w:rPr>
          <w:rFonts w:cstheme="minorHAnsi"/>
        </w:rPr>
        <w:t>r</w:t>
      </w:r>
      <w:r w:rsidRPr="00A338E5">
        <w:rPr>
          <w:rFonts w:cstheme="minorHAnsi"/>
          <w:spacing w:val="-1"/>
        </w:rPr>
        <w:t xml:space="preserve"> </w:t>
      </w:r>
      <w:r w:rsidRPr="00A338E5">
        <w:rPr>
          <w:rFonts w:cstheme="minorHAnsi"/>
        </w:rPr>
        <w:t>d</w:t>
      </w:r>
      <w:r w:rsidRPr="00A338E5">
        <w:rPr>
          <w:rFonts w:cstheme="minorHAnsi"/>
          <w:spacing w:val="-1"/>
        </w:rPr>
        <w:t>e</w:t>
      </w:r>
      <w:r w:rsidRPr="00A338E5">
        <w:rPr>
          <w:rFonts w:cstheme="minorHAnsi"/>
        </w:rPr>
        <w:t>l</w:t>
      </w:r>
      <w:r w:rsidRPr="00A338E5">
        <w:rPr>
          <w:rFonts w:cstheme="minorHAnsi"/>
          <w:spacing w:val="1"/>
        </w:rPr>
        <w:t>e</w:t>
      </w:r>
      <w:r w:rsidRPr="00A338E5">
        <w:rPr>
          <w:rFonts w:cstheme="minorHAnsi"/>
        </w:rPr>
        <w:t>g</w:t>
      </w:r>
      <w:r w:rsidRPr="00A338E5">
        <w:rPr>
          <w:rFonts w:cstheme="minorHAnsi"/>
          <w:spacing w:val="-1"/>
        </w:rPr>
        <w:t>a</w:t>
      </w:r>
      <w:r w:rsidRPr="00A338E5">
        <w:rPr>
          <w:rFonts w:cstheme="minorHAnsi"/>
        </w:rPr>
        <w:t>t</w:t>
      </w:r>
      <w:r w:rsidRPr="00A338E5">
        <w:rPr>
          <w:rFonts w:cstheme="minorHAnsi"/>
          <w:spacing w:val="-1"/>
        </w:rPr>
        <w:t>e</w:t>
      </w:r>
      <w:r w:rsidRPr="00A338E5">
        <w:rPr>
          <w:rFonts w:cstheme="minorHAnsi"/>
        </w:rPr>
        <w:t xml:space="preserve">d </w:t>
      </w:r>
      <w:r w:rsidRPr="00A338E5">
        <w:rPr>
          <w:rFonts w:cstheme="minorHAnsi"/>
          <w:spacing w:val="-1"/>
        </w:rPr>
        <w:t>a</w:t>
      </w:r>
      <w:r w:rsidRPr="00A338E5">
        <w:rPr>
          <w:rFonts w:cstheme="minorHAnsi"/>
        </w:rPr>
        <w:t>uth</w:t>
      </w:r>
      <w:r w:rsidRPr="00A338E5">
        <w:rPr>
          <w:rFonts w:cstheme="minorHAnsi"/>
          <w:spacing w:val="2"/>
        </w:rPr>
        <w:t>o</w:t>
      </w:r>
      <w:r w:rsidRPr="00A338E5">
        <w:rPr>
          <w:rFonts w:cstheme="minorHAnsi"/>
          <w:spacing w:val="-1"/>
        </w:rPr>
        <w:t>r</w:t>
      </w:r>
      <w:r w:rsidRPr="00A338E5">
        <w:rPr>
          <w:rFonts w:cstheme="minorHAnsi"/>
        </w:rPr>
        <w:t>i</w:t>
      </w:r>
      <w:r w:rsidRPr="00A338E5">
        <w:rPr>
          <w:rFonts w:cstheme="minorHAnsi"/>
          <w:spacing w:val="3"/>
        </w:rPr>
        <w:t>t</w:t>
      </w:r>
      <w:r w:rsidRPr="00A338E5">
        <w:rPr>
          <w:rFonts w:cstheme="minorHAnsi"/>
          <w:spacing w:val="-5"/>
        </w:rPr>
        <w:t>y</w:t>
      </w:r>
      <w:r w:rsidRPr="00A338E5">
        <w:rPr>
          <w:rFonts w:cstheme="minorHAnsi"/>
        </w:rPr>
        <w:t>.</w:t>
      </w:r>
    </w:p>
    <w:p w14:paraId="01335BAD" w14:textId="77777777" w:rsidR="00082DB7" w:rsidRPr="00A338E5" w:rsidRDefault="00082DB7" w:rsidP="002A3889">
      <w:pPr>
        <w:pStyle w:val="ListParagraph"/>
        <w:widowControl w:val="0"/>
        <w:numPr>
          <w:ilvl w:val="0"/>
          <w:numId w:val="301"/>
        </w:numPr>
        <w:tabs>
          <w:tab w:val="left" w:pos="1560"/>
        </w:tabs>
        <w:spacing w:after="0" w:line="240" w:lineRule="auto"/>
        <w:ind w:left="426" w:right="75" w:hanging="426"/>
        <w:jc w:val="both"/>
        <w:rPr>
          <w:rFonts w:cstheme="minorHAnsi"/>
        </w:rPr>
      </w:pPr>
      <w:r w:rsidRPr="00A338E5">
        <w:rPr>
          <w:rFonts w:cstheme="minorHAnsi"/>
        </w:rPr>
        <w:t>The</w:t>
      </w:r>
      <w:r w:rsidRPr="00A338E5">
        <w:rPr>
          <w:rFonts w:cstheme="minorHAnsi"/>
          <w:spacing w:val="15"/>
        </w:rPr>
        <w:t xml:space="preserve"> </w:t>
      </w:r>
      <w:r w:rsidRPr="00A338E5">
        <w:rPr>
          <w:rFonts w:cstheme="minorHAnsi"/>
          <w:spacing w:val="1"/>
        </w:rPr>
        <w:t>C</w:t>
      </w:r>
      <w:r w:rsidRPr="00A338E5">
        <w:rPr>
          <w:rFonts w:cstheme="minorHAnsi"/>
        </w:rPr>
        <w:t>ommitt</w:t>
      </w:r>
      <w:r w:rsidRPr="00A338E5">
        <w:rPr>
          <w:rFonts w:cstheme="minorHAnsi"/>
          <w:spacing w:val="-1"/>
        </w:rPr>
        <w:t>e</w:t>
      </w:r>
      <w:r w:rsidRPr="00A338E5">
        <w:rPr>
          <w:rFonts w:cstheme="minorHAnsi"/>
        </w:rPr>
        <w:t>e</w:t>
      </w:r>
      <w:r w:rsidRPr="00A338E5">
        <w:rPr>
          <w:rFonts w:cstheme="minorHAnsi"/>
          <w:spacing w:val="16"/>
        </w:rPr>
        <w:t xml:space="preserve"> </w:t>
      </w:r>
      <w:r w:rsidRPr="00A338E5">
        <w:rPr>
          <w:rFonts w:cstheme="minorHAnsi"/>
        </w:rPr>
        <w:t>sh</w:t>
      </w:r>
      <w:r w:rsidRPr="00A338E5">
        <w:rPr>
          <w:rFonts w:cstheme="minorHAnsi"/>
          <w:spacing w:val="-1"/>
        </w:rPr>
        <w:t>a</w:t>
      </w:r>
      <w:r w:rsidRPr="00A338E5">
        <w:rPr>
          <w:rFonts w:cstheme="minorHAnsi"/>
        </w:rPr>
        <w:t>ll</w:t>
      </w:r>
      <w:r w:rsidRPr="00A338E5">
        <w:rPr>
          <w:rFonts w:cstheme="minorHAnsi"/>
          <w:spacing w:val="17"/>
        </w:rPr>
        <w:t xml:space="preserve"> </w:t>
      </w:r>
      <w:r w:rsidRPr="00A338E5">
        <w:rPr>
          <w:rFonts w:cstheme="minorHAnsi"/>
        </w:rPr>
        <w:t>only</w:t>
      </w:r>
      <w:r w:rsidRPr="00A338E5">
        <w:rPr>
          <w:rFonts w:cstheme="minorHAnsi"/>
          <w:spacing w:val="14"/>
        </w:rPr>
        <w:t xml:space="preserve"> </w:t>
      </w:r>
      <w:r w:rsidRPr="00A338E5">
        <w:rPr>
          <w:rFonts w:cstheme="minorHAnsi"/>
        </w:rPr>
        <w:t>d</w:t>
      </w:r>
      <w:r w:rsidRPr="00A338E5">
        <w:rPr>
          <w:rFonts w:cstheme="minorHAnsi"/>
          <w:spacing w:val="1"/>
        </w:rPr>
        <w:t>e</w:t>
      </w:r>
      <w:r w:rsidRPr="00A338E5">
        <w:rPr>
          <w:rFonts w:cstheme="minorHAnsi"/>
          <w:spacing w:val="-1"/>
        </w:rPr>
        <w:t>a</w:t>
      </w:r>
      <w:r w:rsidRPr="00A338E5">
        <w:rPr>
          <w:rFonts w:cstheme="minorHAnsi"/>
        </w:rPr>
        <w:t>l</w:t>
      </w:r>
      <w:r w:rsidRPr="00A338E5">
        <w:rPr>
          <w:rFonts w:cstheme="minorHAnsi"/>
          <w:spacing w:val="17"/>
        </w:rPr>
        <w:t xml:space="preserve"> </w:t>
      </w:r>
      <w:r w:rsidRPr="00A338E5">
        <w:rPr>
          <w:rFonts w:cstheme="minorHAnsi"/>
        </w:rPr>
        <w:t>with</w:t>
      </w:r>
      <w:r w:rsidRPr="00A338E5">
        <w:rPr>
          <w:rFonts w:cstheme="minorHAnsi"/>
          <w:spacing w:val="17"/>
        </w:rPr>
        <w:t xml:space="preserve"> </w:t>
      </w:r>
      <w:r w:rsidRPr="00A338E5">
        <w:rPr>
          <w:rFonts w:cstheme="minorHAnsi"/>
        </w:rPr>
        <w:t>m</w:t>
      </w:r>
      <w:r w:rsidRPr="00A338E5">
        <w:rPr>
          <w:rFonts w:cstheme="minorHAnsi"/>
          <w:spacing w:val="-1"/>
        </w:rPr>
        <w:t>a</w:t>
      </w:r>
      <w:r w:rsidRPr="00A338E5">
        <w:rPr>
          <w:rFonts w:cstheme="minorHAnsi"/>
        </w:rPr>
        <w:t>tt</w:t>
      </w:r>
      <w:r w:rsidRPr="00A338E5">
        <w:rPr>
          <w:rFonts w:cstheme="minorHAnsi"/>
          <w:spacing w:val="-1"/>
        </w:rPr>
        <w:t>er</w:t>
      </w:r>
      <w:r w:rsidRPr="00A338E5">
        <w:rPr>
          <w:rFonts w:cstheme="minorHAnsi"/>
        </w:rPr>
        <w:t>s</w:t>
      </w:r>
      <w:r w:rsidRPr="00A338E5">
        <w:rPr>
          <w:rFonts w:cstheme="minorHAnsi"/>
          <w:spacing w:val="17"/>
        </w:rPr>
        <w:t xml:space="preserve"> </w:t>
      </w:r>
      <w:r w:rsidRPr="00A338E5">
        <w:rPr>
          <w:rFonts w:cstheme="minorHAnsi"/>
        </w:rPr>
        <w:t>whi</w:t>
      </w:r>
      <w:r w:rsidRPr="00A338E5">
        <w:rPr>
          <w:rFonts w:cstheme="minorHAnsi"/>
          <w:spacing w:val="1"/>
        </w:rPr>
        <w:t>c</w:t>
      </w:r>
      <w:r w:rsidRPr="00A338E5">
        <w:rPr>
          <w:rFonts w:cstheme="minorHAnsi"/>
        </w:rPr>
        <w:t>h</w:t>
      </w:r>
      <w:r w:rsidRPr="00A338E5">
        <w:rPr>
          <w:rFonts w:cstheme="minorHAnsi"/>
          <w:spacing w:val="17"/>
        </w:rPr>
        <w:t xml:space="preserve"> </w:t>
      </w:r>
      <w:r w:rsidRPr="00A338E5">
        <w:rPr>
          <w:rFonts w:cstheme="minorHAnsi"/>
        </w:rPr>
        <w:t>h</w:t>
      </w:r>
      <w:r w:rsidRPr="00A338E5">
        <w:rPr>
          <w:rFonts w:cstheme="minorHAnsi"/>
          <w:spacing w:val="-1"/>
        </w:rPr>
        <w:t>a</w:t>
      </w:r>
      <w:r w:rsidRPr="00A338E5">
        <w:rPr>
          <w:rFonts w:cstheme="minorHAnsi"/>
        </w:rPr>
        <w:t>ve</w:t>
      </w:r>
      <w:r w:rsidRPr="00A338E5">
        <w:rPr>
          <w:rFonts w:cstheme="minorHAnsi"/>
          <w:spacing w:val="16"/>
        </w:rPr>
        <w:t xml:space="preserve"> </w:t>
      </w:r>
      <w:r w:rsidRPr="00A338E5">
        <w:rPr>
          <w:rFonts w:cstheme="minorHAnsi"/>
        </w:rPr>
        <w:t>b</w:t>
      </w:r>
      <w:r w:rsidRPr="00A338E5">
        <w:rPr>
          <w:rFonts w:cstheme="minorHAnsi"/>
          <w:spacing w:val="1"/>
        </w:rPr>
        <w:t>e</w:t>
      </w:r>
      <w:r w:rsidRPr="00A338E5">
        <w:rPr>
          <w:rFonts w:cstheme="minorHAnsi"/>
          <w:spacing w:val="-1"/>
        </w:rPr>
        <w:t>e</w:t>
      </w:r>
      <w:r w:rsidRPr="00A338E5">
        <w:rPr>
          <w:rFonts w:cstheme="minorHAnsi"/>
        </w:rPr>
        <w:t>n</w:t>
      </w:r>
      <w:r w:rsidRPr="00A338E5">
        <w:rPr>
          <w:rFonts w:cstheme="minorHAnsi"/>
          <w:spacing w:val="17"/>
        </w:rPr>
        <w:t xml:space="preserve"> </w:t>
      </w:r>
      <w:r w:rsidRPr="00A338E5">
        <w:rPr>
          <w:rFonts w:cstheme="minorHAnsi"/>
          <w:spacing w:val="-1"/>
        </w:rPr>
        <w:t>r</w:t>
      </w:r>
      <w:r w:rsidRPr="00A338E5">
        <w:rPr>
          <w:rFonts w:cstheme="minorHAnsi"/>
          <w:spacing w:val="1"/>
        </w:rPr>
        <w:t>e</w:t>
      </w:r>
      <w:r w:rsidRPr="00A338E5">
        <w:rPr>
          <w:rFonts w:cstheme="minorHAnsi"/>
          <w:spacing w:val="-1"/>
        </w:rPr>
        <w:t>fe</w:t>
      </w:r>
      <w:r w:rsidRPr="00A338E5">
        <w:rPr>
          <w:rFonts w:cstheme="minorHAnsi"/>
          <w:spacing w:val="2"/>
        </w:rPr>
        <w:t>r</w:t>
      </w:r>
      <w:r w:rsidRPr="00A338E5">
        <w:rPr>
          <w:rFonts w:cstheme="minorHAnsi"/>
          <w:spacing w:val="-1"/>
        </w:rPr>
        <w:t>re</w:t>
      </w:r>
      <w:r w:rsidRPr="00A338E5">
        <w:rPr>
          <w:rFonts w:cstheme="minorHAnsi"/>
        </w:rPr>
        <w:t>d to th</w:t>
      </w:r>
      <w:r w:rsidRPr="00A338E5">
        <w:rPr>
          <w:rFonts w:cstheme="minorHAnsi"/>
          <w:spacing w:val="-1"/>
        </w:rPr>
        <w:t>e</w:t>
      </w:r>
      <w:r w:rsidRPr="00A338E5">
        <w:rPr>
          <w:rFonts w:cstheme="minorHAnsi"/>
        </w:rPr>
        <w:t xml:space="preserve">m </w:t>
      </w:r>
      <w:r w:rsidRPr="00A338E5">
        <w:rPr>
          <w:rFonts w:cstheme="minorHAnsi"/>
          <w:spacing w:val="2"/>
        </w:rPr>
        <w:t>b</w:t>
      </w:r>
      <w:r w:rsidRPr="00A338E5">
        <w:rPr>
          <w:rFonts w:cstheme="minorHAnsi"/>
        </w:rPr>
        <w:t>y</w:t>
      </w:r>
      <w:r w:rsidRPr="00A338E5">
        <w:rPr>
          <w:rFonts w:cstheme="minorHAnsi"/>
          <w:spacing w:val="-5"/>
        </w:rPr>
        <w:t xml:space="preserve"> </w:t>
      </w:r>
      <w:r w:rsidRPr="00A338E5">
        <w:rPr>
          <w:rFonts w:cstheme="minorHAnsi"/>
        </w:rPr>
        <w:t>the</w:t>
      </w:r>
      <w:r w:rsidRPr="00A338E5">
        <w:rPr>
          <w:rFonts w:cstheme="minorHAnsi"/>
          <w:spacing w:val="-1"/>
        </w:rPr>
        <w:t xml:space="preserve"> </w:t>
      </w:r>
      <w:r>
        <w:rPr>
          <w:rFonts w:cstheme="minorHAnsi"/>
          <w:spacing w:val="-1"/>
        </w:rPr>
        <w:t>Executive Manager Regulatory Services</w:t>
      </w:r>
      <w:r w:rsidRPr="00A338E5">
        <w:rPr>
          <w:rFonts w:cstheme="minorHAnsi"/>
        </w:rPr>
        <w:t>.</w:t>
      </w:r>
    </w:p>
    <w:p w14:paraId="55A5A706" w14:textId="77777777" w:rsidR="00082DB7" w:rsidRDefault="00082DB7">
      <w:pPr>
        <w:rPr>
          <w:b/>
          <w:sz w:val="28"/>
          <w:szCs w:val="28"/>
          <w:lang w:val="en-US"/>
        </w:rPr>
      </w:pPr>
      <w:r>
        <w:rPr>
          <w:b/>
          <w:sz w:val="28"/>
          <w:szCs w:val="28"/>
          <w:lang w:val="en-US"/>
        </w:rPr>
        <w:br w:type="page"/>
      </w:r>
    </w:p>
    <w:p w14:paraId="2A50A044" w14:textId="48894840" w:rsidR="00082DB7" w:rsidRPr="00A338E5" w:rsidRDefault="00082DB7" w:rsidP="00082DB7">
      <w:pPr>
        <w:spacing w:before="200" w:after="60"/>
        <w:rPr>
          <w:b/>
          <w:sz w:val="28"/>
          <w:szCs w:val="28"/>
          <w:lang w:val="en-US"/>
        </w:rPr>
      </w:pPr>
      <w:r w:rsidRPr="00A338E5">
        <w:rPr>
          <w:b/>
          <w:sz w:val="28"/>
          <w:szCs w:val="28"/>
          <w:lang w:val="en-US"/>
        </w:rPr>
        <w:lastRenderedPageBreak/>
        <w:t xml:space="preserve">Policy </w:t>
      </w:r>
    </w:p>
    <w:p w14:paraId="72210ED1" w14:textId="77777777" w:rsidR="00082DB7" w:rsidRPr="003C1297" w:rsidRDefault="00082DB7" w:rsidP="00082DB7">
      <w:pPr>
        <w:widowControl w:val="0"/>
        <w:tabs>
          <w:tab w:val="left" w:pos="1560"/>
        </w:tabs>
        <w:spacing w:after="120" w:line="240" w:lineRule="auto"/>
        <w:ind w:right="75"/>
        <w:jc w:val="both"/>
        <w:rPr>
          <w:rFonts w:cstheme="minorHAnsi"/>
          <w:b/>
        </w:rPr>
      </w:pPr>
      <w:r w:rsidRPr="003C1297">
        <w:rPr>
          <w:rFonts w:cstheme="minorHAnsi"/>
          <w:b/>
        </w:rPr>
        <w:t>Terms of Reference</w:t>
      </w:r>
    </w:p>
    <w:p w14:paraId="79426384" w14:textId="77777777" w:rsidR="00082DB7" w:rsidRPr="003C1297" w:rsidRDefault="00082DB7" w:rsidP="00082DB7">
      <w:pPr>
        <w:widowControl w:val="0"/>
        <w:tabs>
          <w:tab w:val="left" w:pos="1560"/>
        </w:tabs>
        <w:spacing w:after="60" w:line="240" w:lineRule="auto"/>
        <w:ind w:left="426" w:right="75" w:hanging="426"/>
        <w:jc w:val="both"/>
        <w:rPr>
          <w:rFonts w:cstheme="minorHAnsi"/>
        </w:rPr>
      </w:pPr>
      <w:r w:rsidRPr="003C1297">
        <w:rPr>
          <w:rFonts w:cstheme="minorHAnsi"/>
        </w:rPr>
        <w:t>1.</w:t>
      </w:r>
      <w:r w:rsidRPr="003C1297">
        <w:rPr>
          <w:rFonts w:cstheme="minorHAnsi"/>
        </w:rPr>
        <w:tab/>
        <w:t>To provide the Town of East Fremantle with independent expert advice and expertise on urban design, architecture, landscape design, sustainability and heritage in relation to proposals referred to the Committee for consideration.</w:t>
      </w:r>
    </w:p>
    <w:p w14:paraId="02F0C3A8" w14:textId="77777777" w:rsidR="00082DB7" w:rsidRPr="003C1297" w:rsidRDefault="00082DB7" w:rsidP="00082DB7">
      <w:pPr>
        <w:widowControl w:val="0"/>
        <w:tabs>
          <w:tab w:val="left" w:pos="1560"/>
        </w:tabs>
        <w:spacing w:after="60" w:line="240" w:lineRule="auto"/>
        <w:ind w:left="426" w:right="75" w:hanging="426"/>
        <w:jc w:val="both"/>
        <w:rPr>
          <w:rFonts w:cstheme="minorHAnsi"/>
        </w:rPr>
      </w:pPr>
      <w:r w:rsidRPr="003C1297">
        <w:rPr>
          <w:rFonts w:cstheme="minorHAnsi"/>
        </w:rPr>
        <w:t>2.</w:t>
      </w:r>
      <w:r w:rsidRPr="003C1297">
        <w:rPr>
          <w:rFonts w:cstheme="minorHAnsi"/>
        </w:rPr>
        <w:tab/>
        <w:t>To act in an advisory capacity on specified proposals with respect to matters including, but not limited to:</w:t>
      </w:r>
    </w:p>
    <w:p w14:paraId="698EAB84" w14:textId="77777777" w:rsidR="00082DB7" w:rsidRPr="003C1297" w:rsidRDefault="00082DB7" w:rsidP="00082DB7">
      <w:pPr>
        <w:tabs>
          <w:tab w:val="left" w:pos="1134"/>
          <w:tab w:val="right" w:pos="9072"/>
        </w:tabs>
        <w:spacing w:after="0" w:line="240" w:lineRule="auto"/>
        <w:ind w:left="709" w:hanging="349"/>
        <w:jc w:val="both"/>
      </w:pPr>
      <w:r w:rsidRPr="003C1297">
        <w:t>(a)</w:t>
      </w:r>
      <w:r w:rsidRPr="003C1297">
        <w:tab/>
        <w:t>Context and character:</w:t>
      </w:r>
    </w:p>
    <w:p w14:paraId="2156DC98" w14:textId="77777777" w:rsidR="00082DB7" w:rsidRPr="003C1297" w:rsidRDefault="00082DB7" w:rsidP="00082DB7">
      <w:pPr>
        <w:pStyle w:val="ListParagraph"/>
        <w:jc w:val="both"/>
      </w:pPr>
      <w:r w:rsidRPr="003C1297">
        <w:t xml:space="preserve">Good design responds to and enhances the distinctive characteristics of a local area, contributing to a sense of place. </w:t>
      </w:r>
    </w:p>
    <w:p w14:paraId="1C598472" w14:textId="77777777" w:rsidR="00082DB7" w:rsidRPr="003C1297" w:rsidRDefault="00082DB7" w:rsidP="00082DB7">
      <w:pPr>
        <w:tabs>
          <w:tab w:val="left" w:pos="1134"/>
          <w:tab w:val="right" w:pos="9072"/>
        </w:tabs>
        <w:spacing w:after="0" w:line="240" w:lineRule="auto"/>
        <w:ind w:left="709" w:hanging="349"/>
        <w:jc w:val="both"/>
      </w:pPr>
      <w:r w:rsidRPr="003C1297">
        <w:t>(b)</w:t>
      </w:r>
      <w:r w:rsidRPr="003C1297">
        <w:tab/>
        <w:t>Landscape Quality:</w:t>
      </w:r>
    </w:p>
    <w:p w14:paraId="313AB8FF" w14:textId="77777777" w:rsidR="00082DB7" w:rsidRPr="003C1297" w:rsidRDefault="00082DB7" w:rsidP="00082DB7">
      <w:pPr>
        <w:pStyle w:val="ListParagraph"/>
        <w:jc w:val="both"/>
      </w:pPr>
      <w:r w:rsidRPr="003C1297">
        <w:t xml:space="preserve">Good design recognises that together landscape and buildings operate as an integrated and sustainable system within a broader ecological context. </w:t>
      </w:r>
    </w:p>
    <w:p w14:paraId="34D7CF3A" w14:textId="77777777" w:rsidR="00082DB7" w:rsidRPr="003C1297" w:rsidRDefault="00082DB7" w:rsidP="00082DB7">
      <w:pPr>
        <w:tabs>
          <w:tab w:val="left" w:pos="1134"/>
          <w:tab w:val="right" w:pos="9072"/>
        </w:tabs>
        <w:spacing w:after="0" w:line="240" w:lineRule="auto"/>
        <w:ind w:left="709" w:hanging="349"/>
        <w:jc w:val="both"/>
      </w:pPr>
      <w:r w:rsidRPr="003C1297">
        <w:t xml:space="preserve">(c) </w:t>
      </w:r>
      <w:r w:rsidRPr="003C1297">
        <w:tab/>
        <w:t>Built form and scale:</w:t>
      </w:r>
    </w:p>
    <w:p w14:paraId="5635AD93" w14:textId="77777777" w:rsidR="00082DB7" w:rsidRPr="003C1297" w:rsidRDefault="00082DB7" w:rsidP="00082DB7">
      <w:pPr>
        <w:pStyle w:val="ListParagraph"/>
        <w:jc w:val="both"/>
      </w:pPr>
      <w:r w:rsidRPr="003C1297">
        <w:t xml:space="preserve">Good design provides development with massing and height that is appropriate to its setting and successfully negotiates between existing built form and the intended future character of the local area. </w:t>
      </w:r>
    </w:p>
    <w:p w14:paraId="6450C182" w14:textId="77777777" w:rsidR="00082DB7" w:rsidRPr="003C1297" w:rsidRDefault="00082DB7" w:rsidP="00082DB7">
      <w:pPr>
        <w:tabs>
          <w:tab w:val="left" w:pos="1134"/>
          <w:tab w:val="right" w:pos="9072"/>
        </w:tabs>
        <w:spacing w:after="0" w:line="240" w:lineRule="auto"/>
        <w:ind w:left="709" w:hanging="349"/>
        <w:jc w:val="both"/>
      </w:pPr>
      <w:r w:rsidRPr="003C1297">
        <w:t xml:space="preserve">(d) </w:t>
      </w:r>
      <w:r w:rsidRPr="003C1297">
        <w:tab/>
        <w:t>Functionality and build quality</w:t>
      </w:r>
    </w:p>
    <w:p w14:paraId="091C81A8" w14:textId="77777777" w:rsidR="00082DB7" w:rsidRPr="003C1297" w:rsidRDefault="00082DB7" w:rsidP="00082DB7">
      <w:pPr>
        <w:pStyle w:val="ListParagraph"/>
        <w:jc w:val="both"/>
      </w:pPr>
      <w:r w:rsidRPr="003C1297">
        <w:t xml:space="preserve">Good design meets the needs of users in an efficient and effective manner, balancing functional requirements to deliver optimum benefit, and performing well over the full </w:t>
      </w:r>
      <w:proofErr w:type="gramStart"/>
      <w:r w:rsidRPr="003C1297">
        <w:t>life-cycle</w:t>
      </w:r>
      <w:proofErr w:type="gramEnd"/>
      <w:r w:rsidRPr="003C1297">
        <w:t xml:space="preserve">. </w:t>
      </w:r>
    </w:p>
    <w:p w14:paraId="25A6ACF3" w14:textId="77777777" w:rsidR="00082DB7" w:rsidRPr="003C1297" w:rsidRDefault="00082DB7" w:rsidP="00082DB7">
      <w:pPr>
        <w:tabs>
          <w:tab w:val="left" w:pos="1134"/>
          <w:tab w:val="right" w:pos="9072"/>
        </w:tabs>
        <w:spacing w:after="0" w:line="240" w:lineRule="auto"/>
        <w:ind w:left="709" w:hanging="349"/>
        <w:jc w:val="both"/>
      </w:pPr>
      <w:r w:rsidRPr="003C1297">
        <w:t xml:space="preserve">(e) </w:t>
      </w:r>
      <w:r w:rsidRPr="003C1297">
        <w:tab/>
        <w:t>Sustainability:</w:t>
      </w:r>
    </w:p>
    <w:p w14:paraId="0645B27C" w14:textId="77777777" w:rsidR="00082DB7" w:rsidRPr="003C1297" w:rsidRDefault="00082DB7" w:rsidP="00082DB7">
      <w:pPr>
        <w:pStyle w:val="ListParagraph"/>
        <w:jc w:val="both"/>
      </w:pPr>
      <w:r w:rsidRPr="003C1297">
        <w:t xml:space="preserve">Good design optimises the sustainability of the built environment, delivering positive environmental, social and economic outcomes. </w:t>
      </w:r>
    </w:p>
    <w:p w14:paraId="3ADCE81C" w14:textId="77777777" w:rsidR="00082DB7" w:rsidRPr="003C1297" w:rsidRDefault="00082DB7" w:rsidP="00082DB7">
      <w:pPr>
        <w:tabs>
          <w:tab w:val="left" w:pos="1134"/>
          <w:tab w:val="right" w:pos="9072"/>
        </w:tabs>
        <w:spacing w:after="0" w:line="240" w:lineRule="auto"/>
        <w:ind w:left="709" w:hanging="349"/>
        <w:jc w:val="both"/>
      </w:pPr>
      <w:r w:rsidRPr="003C1297">
        <w:t xml:space="preserve">(f) </w:t>
      </w:r>
      <w:r w:rsidRPr="003C1297">
        <w:tab/>
        <w:t xml:space="preserve">Amenity: </w:t>
      </w:r>
    </w:p>
    <w:p w14:paraId="47C14254" w14:textId="77777777" w:rsidR="00082DB7" w:rsidRPr="003C1297" w:rsidRDefault="00082DB7" w:rsidP="00082DB7">
      <w:pPr>
        <w:pStyle w:val="ListParagraph"/>
        <w:jc w:val="both"/>
      </w:pPr>
      <w:r w:rsidRPr="003C1297">
        <w:t xml:space="preserve">Good design optimises internal and external amenity for occupants, visitors and neighbours, contributing to living and working environments that are comfortable and productive. </w:t>
      </w:r>
    </w:p>
    <w:p w14:paraId="5C1A6748" w14:textId="77777777" w:rsidR="00082DB7" w:rsidRPr="003C1297" w:rsidRDefault="00082DB7" w:rsidP="00082DB7">
      <w:pPr>
        <w:tabs>
          <w:tab w:val="left" w:pos="1134"/>
          <w:tab w:val="right" w:pos="9072"/>
        </w:tabs>
        <w:spacing w:after="0" w:line="240" w:lineRule="auto"/>
        <w:ind w:left="709" w:hanging="349"/>
        <w:jc w:val="both"/>
      </w:pPr>
      <w:r w:rsidRPr="003C1297">
        <w:t xml:space="preserve">(g) </w:t>
      </w:r>
      <w:r w:rsidRPr="003C1297">
        <w:tab/>
        <w:t xml:space="preserve">Legibility: </w:t>
      </w:r>
    </w:p>
    <w:p w14:paraId="7BF91C08" w14:textId="77777777" w:rsidR="00082DB7" w:rsidRPr="003C1297" w:rsidRDefault="00082DB7" w:rsidP="00082DB7">
      <w:pPr>
        <w:pStyle w:val="ListParagraph"/>
        <w:jc w:val="both"/>
      </w:pPr>
      <w:r w:rsidRPr="003C1297">
        <w:t xml:space="preserve">Good design results in buildings and places that are legible, with clear connections and memorable elements to help people find their way around. </w:t>
      </w:r>
    </w:p>
    <w:p w14:paraId="1EB547CF" w14:textId="77777777" w:rsidR="00082DB7" w:rsidRPr="003C1297" w:rsidRDefault="00082DB7" w:rsidP="00082DB7">
      <w:pPr>
        <w:tabs>
          <w:tab w:val="left" w:pos="1134"/>
          <w:tab w:val="right" w:pos="9072"/>
        </w:tabs>
        <w:spacing w:after="0" w:line="240" w:lineRule="auto"/>
        <w:ind w:left="709" w:hanging="349"/>
        <w:jc w:val="both"/>
      </w:pPr>
      <w:r w:rsidRPr="003C1297">
        <w:t xml:space="preserve">(h) </w:t>
      </w:r>
      <w:r w:rsidRPr="003C1297">
        <w:tab/>
        <w:t>Safety:</w:t>
      </w:r>
    </w:p>
    <w:p w14:paraId="2B908F11" w14:textId="77777777" w:rsidR="00082DB7" w:rsidRPr="003C1297" w:rsidRDefault="00082DB7" w:rsidP="00082DB7">
      <w:pPr>
        <w:pStyle w:val="ListParagraph"/>
        <w:jc w:val="both"/>
      </w:pPr>
      <w:r w:rsidRPr="003C1297">
        <w:t xml:space="preserve">Good design optimises safety and security, minimising the risk of personal harm and supporting safe behaviour and use. </w:t>
      </w:r>
    </w:p>
    <w:p w14:paraId="63CD41DC" w14:textId="77777777" w:rsidR="00082DB7" w:rsidRPr="003C1297" w:rsidRDefault="00082DB7" w:rsidP="00082DB7">
      <w:pPr>
        <w:tabs>
          <w:tab w:val="left" w:pos="1134"/>
          <w:tab w:val="right" w:pos="9072"/>
        </w:tabs>
        <w:spacing w:after="0" w:line="240" w:lineRule="auto"/>
        <w:ind w:left="709" w:hanging="349"/>
        <w:jc w:val="both"/>
      </w:pPr>
      <w:r w:rsidRPr="003C1297">
        <w:t>(</w:t>
      </w:r>
      <w:proofErr w:type="spellStart"/>
      <w:r w:rsidRPr="003C1297">
        <w:t>i</w:t>
      </w:r>
      <w:proofErr w:type="spellEnd"/>
      <w:r w:rsidRPr="003C1297">
        <w:t xml:space="preserve">) </w:t>
      </w:r>
      <w:r w:rsidRPr="003C1297">
        <w:tab/>
        <w:t>Community:</w:t>
      </w:r>
    </w:p>
    <w:p w14:paraId="54648816" w14:textId="77777777" w:rsidR="00082DB7" w:rsidRPr="003C1297" w:rsidRDefault="00082DB7" w:rsidP="00082DB7">
      <w:pPr>
        <w:pStyle w:val="ListParagraph"/>
        <w:jc w:val="both"/>
      </w:pPr>
      <w:r w:rsidRPr="003C1297">
        <w:t>Good design responds to local community needs as well as the wider social context, providing buildings and spaces that support a diverse range of people and facilitate social interaction.</w:t>
      </w:r>
    </w:p>
    <w:p w14:paraId="2FC594CD" w14:textId="77777777" w:rsidR="00082DB7" w:rsidRDefault="00082DB7" w:rsidP="00082DB7">
      <w:pPr>
        <w:tabs>
          <w:tab w:val="left" w:pos="1134"/>
          <w:tab w:val="right" w:pos="9072"/>
        </w:tabs>
        <w:spacing w:after="0" w:line="240" w:lineRule="auto"/>
        <w:ind w:left="709" w:hanging="349"/>
        <w:jc w:val="both"/>
      </w:pPr>
      <w:r>
        <w:t xml:space="preserve">(j) </w:t>
      </w:r>
      <w:r>
        <w:tab/>
        <w:t>Aesthetics</w:t>
      </w:r>
    </w:p>
    <w:p w14:paraId="49EA4A06" w14:textId="77777777" w:rsidR="00082DB7" w:rsidRPr="00C53002" w:rsidRDefault="00082DB7" w:rsidP="00082DB7">
      <w:pPr>
        <w:pStyle w:val="ListParagraph"/>
      </w:pPr>
      <w:r>
        <w:t>Good design is the product of a skilled, judicious design process that results in attractive and inviting buildings and places that engage the senses.</w:t>
      </w:r>
    </w:p>
    <w:p w14:paraId="3C26A1F2" w14:textId="77777777" w:rsidR="00082DB7" w:rsidRPr="00A338E5" w:rsidRDefault="00082DB7" w:rsidP="00082DB7">
      <w:pPr>
        <w:widowControl w:val="0"/>
        <w:tabs>
          <w:tab w:val="left" w:pos="1560"/>
        </w:tabs>
        <w:spacing w:before="200" w:after="0" w:line="240" w:lineRule="auto"/>
        <w:ind w:right="74"/>
        <w:jc w:val="both"/>
        <w:rPr>
          <w:rFonts w:cstheme="minorHAnsi"/>
          <w:b/>
          <w:bCs/>
        </w:rPr>
      </w:pPr>
      <w:r w:rsidRPr="00A338E5">
        <w:rPr>
          <w:rFonts w:cstheme="minorHAnsi"/>
          <w:b/>
          <w:bCs/>
          <w:spacing w:val="-1"/>
        </w:rPr>
        <w:t>M</w:t>
      </w:r>
      <w:r w:rsidRPr="00A338E5">
        <w:rPr>
          <w:rFonts w:cstheme="minorHAnsi"/>
          <w:b/>
          <w:bCs/>
          <w:spacing w:val="1"/>
        </w:rPr>
        <w:t>e</w:t>
      </w:r>
      <w:r w:rsidRPr="00A338E5">
        <w:rPr>
          <w:rFonts w:cstheme="minorHAnsi"/>
          <w:b/>
          <w:bCs/>
          <w:spacing w:val="-1"/>
        </w:rPr>
        <w:t>m</w:t>
      </w:r>
      <w:r w:rsidRPr="00A338E5">
        <w:rPr>
          <w:rFonts w:cstheme="minorHAnsi"/>
          <w:b/>
          <w:bCs/>
          <w:spacing w:val="1"/>
        </w:rPr>
        <w:t>be</w:t>
      </w:r>
      <w:r w:rsidRPr="00A338E5">
        <w:rPr>
          <w:rFonts w:cstheme="minorHAnsi"/>
          <w:b/>
          <w:bCs/>
        </w:rPr>
        <w:t>r</w:t>
      </w:r>
      <w:r w:rsidRPr="00A338E5">
        <w:rPr>
          <w:rFonts w:cstheme="minorHAnsi"/>
          <w:b/>
          <w:bCs/>
          <w:spacing w:val="1"/>
        </w:rPr>
        <w:t>s</w:t>
      </w:r>
      <w:r w:rsidRPr="00A338E5">
        <w:rPr>
          <w:rFonts w:cstheme="minorHAnsi"/>
          <w:b/>
          <w:bCs/>
        </w:rPr>
        <w:t>hip</w:t>
      </w:r>
    </w:p>
    <w:p w14:paraId="311F8B9E" w14:textId="77777777" w:rsidR="00082DB7" w:rsidRPr="00A338E5" w:rsidRDefault="00082DB7" w:rsidP="00082DB7">
      <w:pPr>
        <w:widowControl w:val="0"/>
        <w:tabs>
          <w:tab w:val="left" w:pos="1560"/>
        </w:tabs>
        <w:spacing w:after="60" w:line="240" w:lineRule="auto"/>
        <w:ind w:left="426" w:right="74" w:hanging="426"/>
        <w:jc w:val="both"/>
        <w:rPr>
          <w:rFonts w:cstheme="minorHAnsi"/>
          <w:b/>
          <w:bCs/>
        </w:rPr>
      </w:pPr>
      <w:r w:rsidRPr="00A338E5">
        <w:rPr>
          <w:rFonts w:cstheme="minorHAnsi"/>
        </w:rPr>
        <w:t>1.</w:t>
      </w:r>
      <w:r w:rsidRPr="00A338E5">
        <w:rPr>
          <w:rFonts w:cstheme="minorHAnsi"/>
        </w:rPr>
        <w:tab/>
        <w:t>The</w:t>
      </w:r>
      <w:r w:rsidRPr="00A338E5">
        <w:rPr>
          <w:rFonts w:cstheme="minorHAnsi"/>
          <w:spacing w:val="1"/>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ship</w:t>
      </w:r>
      <w:r w:rsidRPr="00A338E5">
        <w:rPr>
          <w:rFonts w:cstheme="minorHAnsi"/>
          <w:spacing w:val="2"/>
        </w:rPr>
        <w:t xml:space="preserve"> </w:t>
      </w:r>
      <w:r w:rsidRPr="00A338E5">
        <w:rPr>
          <w:rFonts w:cstheme="minorHAnsi"/>
        </w:rPr>
        <w:t>of</w:t>
      </w:r>
      <w:r w:rsidRPr="00A338E5">
        <w:rPr>
          <w:rFonts w:cstheme="minorHAnsi"/>
          <w:spacing w:val="2"/>
        </w:rPr>
        <w:t xml:space="preserve"> </w:t>
      </w:r>
      <w:r w:rsidRPr="00A338E5">
        <w:rPr>
          <w:rFonts w:cstheme="minorHAnsi"/>
        </w:rPr>
        <w:t>the</w:t>
      </w:r>
      <w:r w:rsidRPr="00A338E5">
        <w:rPr>
          <w:rFonts w:cstheme="minorHAnsi"/>
          <w:spacing w:val="6"/>
        </w:rPr>
        <w:t xml:space="preserve"> </w:t>
      </w:r>
      <w:r w:rsidRPr="00A338E5">
        <w:rPr>
          <w:rFonts w:cstheme="minorHAnsi"/>
          <w:spacing w:val="2"/>
        </w:rPr>
        <w:t>CDAC</w:t>
      </w:r>
      <w:r w:rsidRPr="00A338E5">
        <w:rPr>
          <w:rFonts w:cstheme="minorHAnsi"/>
          <w:spacing w:val="3"/>
        </w:rPr>
        <w:t xml:space="preserve"> </w:t>
      </w:r>
      <w:r w:rsidRPr="00A338E5">
        <w:rPr>
          <w:rFonts w:cstheme="minorHAnsi"/>
        </w:rPr>
        <w:t>sh</w:t>
      </w:r>
      <w:r w:rsidRPr="00A338E5">
        <w:rPr>
          <w:rFonts w:cstheme="minorHAnsi"/>
          <w:spacing w:val="1"/>
        </w:rPr>
        <w:t>a</w:t>
      </w:r>
      <w:r w:rsidRPr="00A338E5">
        <w:rPr>
          <w:rFonts w:cstheme="minorHAnsi"/>
        </w:rPr>
        <w:t>ll</w:t>
      </w:r>
      <w:r w:rsidRPr="00A338E5">
        <w:rPr>
          <w:rFonts w:cstheme="minorHAnsi"/>
          <w:spacing w:val="3"/>
        </w:rPr>
        <w:t xml:space="preserve"> </w:t>
      </w:r>
      <w:r w:rsidRPr="00A338E5">
        <w:rPr>
          <w:rFonts w:cstheme="minorHAnsi"/>
          <w:spacing w:val="-1"/>
        </w:rPr>
        <w:t>c</w:t>
      </w:r>
      <w:r w:rsidRPr="00A338E5">
        <w:rPr>
          <w:rFonts w:cstheme="minorHAnsi"/>
        </w:rPr>
        <w:t>omp</w:t>
      </w:r>
      <w:r w:rsidRPr="00A338E5">
        <w:rPr>
          <w:rFonts w:cstheme="minorHAnsi"/>
          <w:spacing w:val="-1"/>
        </w:rPr>
        <w:t>r</w:t>
      </w:r>
      <w:r w:rsidRPr="00A338E5">
        <w:rPr>
          <w:rFonts w:cstheme="minorHAnsi"/>
        </w:rPr>
        <w:t>ise</w:t>
      </w:r>
      <w:r w:rsidRPr="00A338E5">
        <w:rPr>
          <w:rFonts w:cstheme="minorHAnsi"/>
          <w:spacing w:val="1"/>
        </w:rPr>
        <w:t xml:space="preserve"> </w:t>
      </w:r>
      <w:r w:rsidRPr="00A338E5">
        <w:rPr>
          <w:rFonts w:cstheme="minorHAnsi"/>
        </w:rPr>
        <w:t>of</w:t>
      </w:r>
      <w:r w:rsidRPr="00A338E5">
        <w:rPr>
          <w:rFonts w:cstheme="minorHAnsi"/>
          <w:spacing w:val="2"/>
        </w:rPr>
        <w:t xml:space="preserve"> up to ten</w:t>
      </w:r>
      <w:r w:rsidRPr="00A338E5">
        <w:rPr>
          <w:rFonts w:cstheme="minorHAnsi"/>
          <w:spacing w:val="1"/>
        </w:rPr>
        <w:t xml:space="preserve"> </w:t>
      </w:r>
      <w:r w:rsidRPr="00A338E5">
        <w:rPr>
          <w:rFonts w:cstheme="minorHAnsi"/>
          <w:spacing w:val="-1"/>
        </w:rPr>
        <w:t>(10</w:t>
      </w:r>
      <w:r w:rsidRPr="00A338E5">
        <w:rPr>
          <w:rFonts w:cstheme="minorHAnsi"/>
        </w:rPr>
        <w:t xml:space="preserve">) </w:t>
      </w:r>
      <w:r w:rsidRPr="00A338E5">
        <w:rPr>
          <w:rFonts w:cstheme="minorHAnsi"/>
          <w:spacing w:val="-1"/>
        </w:rPr>
        <w:t>e</w:t>
      </w:r>
      <w:r w:rsidRPr="00A338E5">
        <w:rPr>
          <w:rFonts w:cstheme="minorHAnsi"/>
          <w:spacing w:val="2"/>
        </w:rPr>
        <w:t>x</w:t>
      </w:r>
      <w:r w:rsidRPr="00A338E5">
        <w:rPr>
          <w:rFonts w:cstheme="minorHAnsi"/>
        </w:rPr>
        <w:t>t</w:t>
      </w:r>
      <w:r w:rsidRPr="00A338E5">
        <w:rPr>
          <w:rFonts w:cstheme="minorHAnsi"/>
          <w:spacing w:val="-1"/>
        </w:rPr>
        <w:t>ern</w:t>
      </w:r>
      <w:r w:rsidRPr="00A338E5">
        <w:rPr>
          <w:rFonts w:cstheme="minorHAnsi"/>
        </w:rPr>
        <w:t>al</w:t>
      </w:r>
      <w:r w:rsidRPr="00A338E5">
        <w:rPr>
          <w:rFonts w:cstheme="minorHAnsi"/>
          <w:spacing w:val="6"/>
        </w:rPr>
        <w:t xml:space="preserve"> </w:t>
      </w:r>
      <w:r w:rsidRPr="00A338E5">
        <w:rPr>
          <w:rFonts w:cstheme="minorHAnsi"/>
        </w:rPr>
        <w:t>m</w:t>
      </w:r>
      <w:r w:rsidRPr="00A338E5">
        <w:rPr>
          <w:rFonts w:cstheme="minorHAnsi"/>
          <w:spacing w:val="-1"/>
        </w:rPr>
        <w:t>e</w:t>
      </w:r>
      <w:r w:rsidRPr="00A338E5">
        <w:rPr>
          <w:rFonts w:cstheme="minorHAnsi"/>
        </w:rPr>
        <w:t>m</w:t>
      </w:r>
      <w:r w:rsidRPr="00A338E5">
        <w:rPr>
          <w:rFonts w:cstheme="minorHAnsi"/>
          <w:spacing w:val="-1"/>
        </w:rPr>
        <w:t>b</w:t>
      </w:r>
      <w:r w:rsidRPr="00A338E5">
        <w:rPr>
          <w:rFonts w:cstheme="minorHAnsi"/>
        </w:rPr>
        <w:t>e</w:t>
      </w:r>
      <w:r w:rsidRPr="00A338E5">
        <w:rPr>
          <w:rFonts w:cstheme="minorHAnsi"/>
          <w:spacing w:val="-1"/>
        </w:rPr>
        <w:t>r</w:t>
      </w:r>
      <w:r w:rsidRPr="00A338E5">
        <w:rPr>
          <w:rFonts w:cstheme="minorHAnsi"/>
        </w:rPr>
        <w:t>s</w:t>
      </w:r>
      <w:r w:rsidRPr="00A338E5">
        <w:rPr>
          <w:rFonts w:cstheme="minorHAnsi"/>
          <w:spacing w:val="5"/>
        </w:rPr>
        <w:t xml:space="preserve"> </w:t>
      </w:r>
      <w:r w:rsidRPr="00A338E5">
        <w:rPr>
          <w:rFonts w:cstheme="minorHAnsi"/>
          <w:spacing w:val="-1"/>
        </w:rPr>
        <w:t>a</w:t>
      </w:r>
      <w:r w:rsidRPr="00A338E5">
        <w:rPr>
          <w:rFonts w:cstheme="minorHAnsi"/>
        </w:rPr>
        <w:t>pp</w:t>
      </w:r>
      <w:r w:rsidRPr="00A338E5">
        <w:rPr>
          <w:rFonts w:cstheme="minorHAnsi"/>
          <w:spacing w:val="-1"/>
        </w:rPr>
        <w:t>r</w:t>
      </w:r>
      <w:r w:rsidRPr="00A338E5">
        <w:rPr>
          <w:rFonts w:cstheme="minorHAnsi"/>
        </w:rPr>
        <w:t>ov</w:t>
      </w:r>
      <w:r w:rsidRPr="00A338E5">
        <w:rPr>
          <w:rFonts w:cstheme="minorHAnsi"/>
          <w:spacing w:val="-1"/>
        </w:rPr>
        <w:t>e</w:t>
      </w:r>
      <w:r w:rsidRPr="00A338E5">
        <w:rPr>
          <w:rFonts w:cstheme="minorHAnsi"/>
        </w:rPr>
        <w:t>d</w:t>
      </w:r>
      <w:r w:rsidRPr="00A338E5">
        <w:rPr>
          <w:rFonts w:cstheme="minorHAnsi"/>
          <w:spacing w:val="5"/>
        </w:rPr>
        <w:t xml:space="preserve"> b</w:t>
      </w:r>
      <w:r w:rsidRPr="00A338E5">
        <w:rPr>
          <w:rFonts w:cstheme="minorHAnsi"/>
        </w:rPr>
        <w:t>y the</w:t>
      </w:r>
      <w:r w:rsidRPr="00A338E5">
        <w:rPr>
          <w:rFonts w:cstheme="minorHAnsi"/>
          <w:spacing w:val="4"/>
        </w:rPr>
        <w:t xml:space="preserve"> </w:t>
      </w:r>
      <w:r w:rsidRPr="00A338E5">
        <w:rPr>
          <w:rFonts w:cstheme="minorHAnsi"/>
          <w:spacing w:val="3"/>
        </w:rPr>
        <w:t>C</w:t>
      </w:r>
      <w:r w:rsidRPr="00A338E5">
        <w:rPr>
          <w:rFonts w:cstheme="minorHAnsi"/>
        </w:rPr>
        <w:t>oun</w:t>
      </w:r>
      <w:r w:rsidRPr="00A338E5">
        <w:rPr>
          <w:rFonts w:cstheme="minorHAnsi"/>
          <w:spacing w:val="-1"/>
        </w:rPr>
        <w:t>c</w:t>
      </w:r>
      <w:r w:rsidRPr="00A338E5">
        <w:rPr>
          <w:rFonts w:cstheme="minorHAnsi"/>
        </w:rPr>
        <w:t>il</w:t>
      </w:r>
      <w:r w:rsidRPr="00A338E5">
        <w:rPr>
          <w:rFonts w:cstheme="minorHAnsi"/>
          <w:spacing w:val="6"/>
        </w:rPr>
        <w:t xml:space="preserve"> </w:t>
      </w:r>
      <w:r w:rsidRPr="00A338E5">
        <w:rPr>
          <w:rFonts w:cstheme="minorHAnsi"/>
          <w:spacing w:val="-1"/>
        </w:rPr>
        <w:t>a</w:t>
      </w:r>
      <w:r w:rsidRPr="00A338E5">
        <w:rPr>
          <w:rFonts w:cstheme="minorHAnsi"/>
        </w:rPr>
        <w:t>nd</w:t>
      </w:r>
      <w:r w:rsidRPr="00A338E5">
        <w:rPr>
          <w:rFonts w:cstheme="minorHAnsi"/>
          <w:spacing w:val="5"/>
        </w:rPr>
        <w:t xml:space="preserve"> </w:t>
      </w:r>
      <w:r w:rsidRPr="00A338E5">
        <w:rPr>
          <w:rFonts w:cstheme="minorHAnsi"/>
          <w:spacing w:val="-1"/>
        </w:rPr>
        <w:t>a</w:t>
      </w:r>
      <w:r w:rsidRPr="00A338E5">
        <w:rPr>
          <w:rFonts w:cstheme="minorHAnsi"/>
        </w:rPr>
        <w:t>ppoint</w:t>
      </w:r>
      <w:r w:rsidRPr="00A338E5">
        <w:rPr>
          <w:rFonts w:cstheme="minorHAnsi"/>
          <w:spacing w:val="-1"/>
        </w:rPr>
        <w:t>e</w:t>
      </w:r>
      <w:r w:rsidRPr="00A338E5">
        <w:rPr>
          <w:rFonts w:cstheme="minorHAnsi"/>
        </w:rPr>
        <w:t xml:space="preserve">d </w:t>
      </w:r>
      <w:r w:rsidRPr="00A338E5">
        <w:rPr>
          <w:rFonts w:cstheme="minorHAnsi"/>
          <w:spacing w:val="2"/>
        </w:rPr>
        <w:t>b</w:t>
      </w:r>
      <w:r w:rsidRPr="00A338E5">
        <w:rPr>
          <w:rFonts w:cstheme="minorHAnsi"/>
        </w:rPr>
        <w:t>y</w:t>
      </w:r>
      <w:r w:rsidRPr="00A338E5">
        <w:rPr>
          <w:rFonts w:cstheme="minorHAnsi"/>
          <w:spacing w:val="-5"/>
        </w:rPr>
        <w:t xml:space="preserve"> </w:t>
      </w:r>
      <w:r w:rsidRPr="00A338E5">
        <w:rPr>
          <w:rFonts w:cstheme="minorHAnsi"/>
        </w:rPr>
        <w:t>t</w:t>
      </w:r>
      <w:r w:rsidRPr="00A338E5">
        <w:rPr>
          <w:rFonts w:cstheme="minorHAnsi"/>
          <w:spacing w:val="-1"/>
        </w:rPr>
        <w:t>h</w:t>
      </w:r>
      <w:r w:rsidRPr="00A338E5">
        <w:rPr>
          <w:rFonts w:cstheme="minorHAnsi"/>
        </w:rPr>
        <w:t xml:space="preserve">e </w:t>
      </w:r>
      <w:r w:rsidRPr="00A338E5">
        <w:rPr>
          <w:rFonts w:cstheme="minorHAnsi"/>
          <w:spacing w:val="1"/>
        </w:rPr>
        <w:t>C</w:t>
      </w:r>
      <w:r w:rsidRPr="00A338E5">
        <w:rPr>
          <w:rFonts w:cstheme="minorHAnsi"/>
          <w:spacing w:val="-1"/>
        </w:rPr>
        <w:t>h</w:t>
      </w:r>
      <w:r w:rsidRPr="00A338E5">
        <w:rPr>
          <w:rFonts w:cstheme="minorHAnsi"/>
          <w:spacing w:val="1"/>
        </w:rPr>
        <w:t>i</w:t>
      </w:r>
      <w:r w:rsidRPr="00A338E5">
        <w:rPr>
          <w:rFonts w:cstheme="minorHAnsi"/>
          <w:spacing w:val="-1"/>
        </w:rPr>
        <w:t>e</w:t>
      </w:r>
      <w:r w:rsidRPr="00A338E5">
        <w:rPr>
          <w:rFonts w:cstheme="minorHAnsi"/>
        </w:rPr>
        <w:t>f</w:t>
      </w:r>
      <w:r w:rsidRPr="00A338E5">
        <w:rPr>
          <w:rFonts w:cstheme="minorHAnsi"/>
          <w:spacing w:val="-1"/>
        </w:rPr>
        <w:t xml:space="preserve"> </w:t>
      </w:r>
      <w:r w:rsidRPr="00A338E5">
        <w:rPr>
          <w:rFonts w:cstheme="minorHAnsi"/>
        </w:rPr>
        <w:t>E</w:t>
      </w:r>
      <w:r w:rsidRPr="00A338E5">
        <w:rPr>
          <w:rFonts w:cstheme="minorHAnsi"/>
          <w:spacing w:val="2"/>
        </w:rPr>
        <w:t>x</w:t>
      </w:r>
      <w:r w:rsidRPr="00A338E5">
        <w:rPr>
          <w:rFonts w:cstheme="minorHAnsi"/>
          <w:spacing w:val="-1"/>
        </w:rPr>
        <w:t>ecu</w:t>
      </w:r>
      <w:r w:rsidRPr="00A338E5">
        <w:rPr>
          <w:rFonts w:cstheme="minorHAnsi"/>
          <w:spacing w:val="1"/>
        </w:rPr>
        <w:t>t</w:t>
      </w:r>
      <w:r w:rsidRPr="00A338E5">
        <w:rPr>
          <w:rFonts w:cstheme="minorHAnsi"/>
        </w:rPr>
        <w:t>i</w:t>
      </w:r>
      <w:r w:rsidRPr="00A338E5">
        <w:rPr>
          <w:rFonts w:cstheme="minorHAnsi"/>
          <w:spacing w:val="-1"/>
        </w:rPr>
        <w:t>v</w:t>
      </w:r>
      <w:r w:rsidRPr="00A338E5">
        <w:rPr>
          <w:rFonts w:cstheme="minorHAnsi"/>
        </w:rPr>
        <w:t xml:space="preserve">e </w:t>
      </w:r>
      <w:r w:rsidRPr="00A338E5">
        <w:rPr>
          <w:rFonts w:cstheme="minorHAnsi"/>
          <w:spacing w:val="2"/>
        </w:rPr>
        <w:t>O</w:t>
      </w:r>
      <w:r w:rsidRPr="00A338E5">
        <w:rPr>
          <w:rFonts w:cstheme="minorHAnsi"/>
          <w:spacing w:val="-1"/>
        </w:rPr>
        <w:t>ff</w:t>
      </w:r>
      <w:r w:rsidRPr="00A338E5">
        <w:rPr>
          <w:rFonts w:cstheme="minorHAnsi"/>
        </w:rPr>
        <w:t>i</w:t>
      </w:r>
      <w:r w:rsidRPr="00A338E5">
        <w:rPr>
          <w:rFonts w:cstheme="minorHAnsi"/>
          <w:spacing w:val="-1"/>
        </w:rPr>
        <w:t>cer</w:t>
      </w:r>
      <w:r w:rsidRPr="00A338E5">
        <w:rPr>
          <w:rFonts w:cstheme="minorHAnsi"/>
        </w:rPr>
        <w:t>.</w:t>
      </w:r>
    </w:p>
    <w:p w14:paraId="223C09E9" w14:textId="77777777" w:rsidR="00082DB7" w:rsidRPr="00A338E5" w:rsidRDefault="00082DB7" w:rsidP="00082DB7">
      <w:pPr>
        <w:widowControl w:val="0"/>
        <w:tabs>
          <w:tab w:val="left" w:pos="1560"/>
        </w:tabs>
        <w:spacing w:after="60" w:line="240" w:lineRule="auto"/>
        <w:ind w:left="426" w:right="74" w:hanging="426"/>
        <w:jc w:val="both"/>
        <w:rPr>
          <w:rFonts w:cstheme="minorHAnsi"/>
        </w:rPr>
      </w:pPr>
      <w:r w:rsidRPr="00A338E5">
        <w:rPr>
          <w:rFonts w:cstheme="minorHAnsi"/>
        </w:rPr>
        <w:lastRenderedPageBreak/>
        <w:t>2.</w:t>
      </w:r>
      <w:r w:rsidRPr="00A338E5">
        <w:rPr>
          <w:rFonts w:cstheme="minorHAnsi"/>
        </w:rPr>
        <w:tab/>
        <w:t>T</w:t>
      </w:r>
      <w:r w:rsidRPr="00A338E5">
        <w:rPr>
          <w:rFonts w:cstheme="minorHAnsi"/>
          <w:spacing w:val="-1"/>
        </w:rPr>
        <w:t>h</w:t>
      </w:r>
      <w:r w:rsidRPr="00A338E5">
        <w:rPr>
          <w:rFonts w:cstheme="minorHAnsi"/>
        </w:rPr>
        <w:t>e</w:t>
      </w:r>
      <w:r w:rsidRPr="00A338E5">
        <w:rPr>
          <w:rFonts w:cstheme="minorHAnsi"/>
          <w:spacing w:val="10"/>
        </w:rPr>
        <w:t xml:space="preserve"> </w:t>
      </w:r>
      <w:r w:rsidRPr="00A338E5">
        <w:rPr>
          <w:rFonts w:cstheme="minorHAnsi"/>
          <w:spacing w:val="1"/>
        </w:rPr>
        <w:t>Town</w:t>
      </w:r>
      <w:r w:rsidRPr="00A338E5">
        <w:rPr>
          <w:rFonts w:cstheme="minorHAnsi"/>
          <w:spacing w:val="2"/>
        </w:rPr>
        <w:t xml:space="preserve"> </w:t>
      </w:r>
      <w:r w:rsidRPr="00A338E5">
        <w:rPr>
          <w:rFonts w:cstheme="minorHAnsi"/>
        </w:rPr>
        <w:t>will</w:t>
      </w:r>
      <w:r w:rsidRPr="00A338E5">
        <w:rPr>
          <w:rFonts w:cstheme="minorHAnsi"/>
          <w:spacing w:val="10"/>
        </w:rPr>
        <w:t xml:space="preserve"> </w:t>
      </w:r>
      <w:r w:rsidRPr="00A338E5">
        <w:rPr>
          <w:rFonts w:cstheme="minorHAnsi"/>
        </w:rPr>
        <w:t>s</w:t>
      </w:r>
      <w:r w:rsidRPr="00A338E5">
        <w:rPr>
          <w:rFonts w:cstheme="minorHAnsi"/>
          <w:spacing w:val="-1"/>
        </w:rPr>
        <w:t>ee</w:t>
      </w:r>
      <w:r w:rsidRPr="00A338E5">
        <w:rPr>
          <w:rFonts w:cstheme="minorHAnsi"/>
        </w:rPr>
        <w:t xml:space="preserve">k to </w:t>
      </w:r>
      <w:r w:rsidRPr="00A338E5">
        <w:rPr>
          <w:rFonts w:cstheme="minorHAnsi"/>
          <w:spacing w:val="-1"/>
        </w:rPr>
        <w:t>eng</w:t>
      </w:r>
      <w:r w:rsidRPr="00A338E5">
        <w:rPr>
          <w:rFonts w:cstheme="minorHAnsi"/>
          <w:spacing w:val="3"/>
        </w:rPr>
        <w:t>a</w:t>
      </w:r>
      <w:r w:rsidRPr="00A338E5">
        <w:rPr>
          <w:rFonts w:cstheme="minorHAnsi"/>
          <w:spacing w:val="-2"/>
        </w:rPr>
        <w:t>g</w:t>
      </w:r>
      <w:r w:rsidRPr="00A338E5">
        <w:rPr>
          <w:rFonts w:cstheme="minorHAnsi"/>
        </w:rPr>
        <w:t>e</w:t>
      </w:r>
      <w:r w:rsidRPr="00A338E5">
        <w:rPr>
          <w:rFonts w:cstheme="minorHAnsi"/>
          <w:spacing w:val="9"/>
        </w:rPr>
        <w:t xml:space="preserve"> </w:t>
      </w:r>
      <w:r w:rsidRPr="00A338E5">
        <w:rPr>
          <w:rFonts w:cstheme="minorHAnsi"/>
          <w:spacing w:val="-1"/>
        </w:rPr>
        <w:t>e</w:t>
      </w:r>
      <w:r w:rsidRPr="00A338E5">
        <w:rPr>
          <w:rFonts w:cstheme="minorHAnsi"/>
          <w:spacing w:val="2"/>
        </w:rPr>
        <w:t>x</w:t>
      </w:r>
      <w:r w:rsidRPr="00A338E5">
        <w:rPr>
          <w:rFonts w:cstheme="minorHAnsi"/>
        </w:rPr>
        <w:t>t</w:t>
      </w:r>
      <w:r w:rsidRPr="00A338E5">
        <w:rPr>
          <w:rFonts w:cstheme="minorHAnsi"/>
          <w:spacing w:val="-1"/>
        </w:rPr>
        <w:t>ern</w:t>
      </w:r>
      <w:r w:rsidRPr="00A338E5">
        <w:rPr>
          <w:rFonts w:cstheme="minorHAnsi"/>
        </w:rPr>
        <w:t>al m</w:t>
      </w:r>
      <w:r w:rsidRPr="00A338E5">
        <w:rPr>
          <w:rFonts w:cstheme="minorHAnsi"/>
          <w:spacing w:val="-1"/>
        </w:rPr>
        <w:t>e</w:t>
      </w:r>
      <w:r w:rsidRPr="00A338E5">
        <w:rPr>
          <w:rFonts w:cstheme="minorHAnsi"/>
        </w:rPr>
        <w:t>mb</w:t>
      </w:r>
      <w:r w:rsidRPr="00A338E5">
        <w:rPr>
          <w:rFonts w:cstheme="minorHAnsi"/>
          <w:spacing w:val="1"/>
        </w:rPr>
        <w:t>e</w:t>
      </w:r>
      <w:r w:rsidRPr="00A338E5">
        <w:rPr>
          <w:rFonts w:cstheme="minorHAnsi"/>
          <w:spacing w:val="-1"/>
        </w:rPr>
        <w:t>r</w:t>
      </w:r>
      <w:r w:rsidRPr="00A338E5">
        <w:rPr>
          <w:rFonts w:cstheme="minorHAnsi"/>
        </w:rPr>
        <w:t>s so th</w:t>
      </w:r>
      <w:r w:rsidRPr="00A338E5">
        <w:rPr>
          <w:rFonts w:cstheme="minorHAnsi"/>
          <w:spacing w:val="-1"/>
        </w:rPr>
        <w:t>a</w:t>
      </w:r>
      <w:r w:rsidRPr="00A338E5">
        <w:rPr>
          <w:rFonts w:cstheme="minorHAnsi"/>
        </w:rPr>
        <w:t>t the CDAC m</w:t>
      </w:r>
      <w:r w:rsidRPr="00A338E5">
        <w:rPr>
          <w:rFonts w:cstheme="minorHAnsi"/>
          <w:spacing w:val="-1"/>
        </w:rPr>
        <w:t>ee</w:t>
      </w:r>
      <w:r w:rsidRPr="00A338E5">
        <w:rPr>
          <w:rFonts w:cstheme="minorHAnsi"/>
        </w:rPr>
        <w:t>tin</w:t>
      </w:r>
      <w:r w:rsidRPr="00A338E5">
        <w:rPr>
          <w:rFonts w:cstheme="minorHAnsi"/>
          <w:spacing w:val="-3"/>
        </w:rPr>
        <w:t>g</w:t>
      </w:r>
      <w:r w:rsidRPr="00A338E5">
        <w:rPr>
          <w:rFonts w:cstheme="minorHAnsi"/>
        </w:rPr>
        <w:t xml:space="preserve">s will </w:t>
      </w:r>
      <w:r w:rsidRPr="00A338E5">
        <w:rPr>
          <w:rFonts w:cstheme="minorHAnsi"/>
          <w:spacing w:val="-1"/>
        </w:rPr>
        <w:t>c</w:t>
      </w:r>
      <w:r w:rsidRPr="00A338E5">
        <w:rPr>
          <w:rFonts w:cstheme="minorHAnsi"/>
        </w:rPr>
        <w:t>on</w:t>
      </w:r>
      <w:r w:rsidRPr="00A338E5">
        <w:rPr>
          <w:rFonts w:cstheme="minorHAnsi"/>
          <w:spacing w:val="-1"/>
        </w:rPr>
        <w:t>s</w:t>
      </w:r>
      <w:r w:rsidRPr="00A338E5">
        <w:rPr>
          <w:rFonts w:cstheme="minorHAnsi"/>
        </w:rPr>
        <w:t>ist of</w:t>
      </w:r>
      <w:r w:rsidRPr="00A338E5">
        <w:rPr>
          <w:rFonts w:cstheme="minorHAnsi"/>
          <w:spacing w:val="-1"/>
        </w:rPr>
        <w:t xml:space="preserve"> ten (10</w:t>
      </w:r>
      <w:r w:rsidRPr="00A338E5">
        <w:rPr>
          <w:rFonts w:cstheme="minorHAnsi"/>
        </w:rPr>
        <w:t>)</w:t>
      </w:r>
      <w:r w:rsidRPr="00A338E5">
        <w:rPr>
          <w:rFonts w:cstheme="minorHAnsi"/>
          <w:spacing w:val="-1"/>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 xml:space="preserve">s (excluding Chairperson) </w:t>
      </w:r>
      <w:r w:rsidRPr="00A338E5">
        <w:rPr>
          <w:rFonts w:cstheme="minorHAnsi"/>
          <w:spacing w:val="2"/>
        </w:rPr>
        <w:t>h</w:t>
      </w:r>
      <w:r w:rsidRPr="00A338E5">
        <w:rPr>
          <w:rFonts w:cstheme="minorHAnsi"/>
          <w:spacing w:val="-1"/>
        </w:rPr>
        <w:t>a</w:t>
      </w:r>
      <w:r w:rsidRPr="00A338E5">
        <w:rPr>
          <w:rFonts w:cstheme="minorHAnsi"/>
        </w:rPr>
        <w:t>vi</w:t>
      </w:r>
      <w:r w:rsidRPr="00A338E5">
        <w:rPr>
          <w:rFonts w:cstheme="minorHAnsi"/>
          <w:spacing w:val="2"/>
        </w:rPr>
        <w:t>n</w:t>
      </w:r>
      <w:r w:rsidRPr="00A338E5">
        <w:rPr>
          <w:rFonts w:cstheme="minorHAnsi"/>
          <w:spacing w:val="-2"/>
        </w:rPr>
        <w:t>g</w:t>
      </w:r>
      <w:r w:rsidRPr="00A338E5">
        <w:rPr>
          <w:rFonts w:cstheme="minorHAnsi"/>
        </w:rPr>
        <w:t xml:space="preserve">: </w:t>
      </w:r>
    </w:p>
    <w:p w14:paraId="7454FD7E" w14:textId="77777777" w:rsidR="00082DB7" w:rsidRPr="00A338E5" w:rsidRDefault="00082DB7" w:rsidP="00082DB7">
      <w:pPr>
        <w:widowControl w:val="0"/>
        <w:tabs>
          <w:tab w:val="left" w:pos="1560"/>
        </w:tabs>
        <w:spacing w:after="60" w:line="240" w:lineRule="auto"/>
        <w:ind w:left="1134" w:right="74" w:hanging="708"/>
        <w:jc w:val="both"/>
        <w:rPr>
          <w:rFonts w:cstheme="minorHAnsi"/>
        </w:rPr>
      </w:pPr>
      <w:r w:rsidRPr="00A338E5">
        <w:rPr>
          <w:rFonts w:cstheme="minorHAnsi"/>
        </w:rPr>
        <w:t>(a)</w:t>
      </w:r>
      <w:r w:rsidRPr="00A338E5">
        <w:rPr>
          <w:rFonts w:cstheme="minorHAnsi"/>
        </w:rPr>
        <w:tab/>
      </w:r>
      <w:r>
        <w:rPr>
          <w:rFonts w:cstheme="minorHAnsi"/>
        </w:rPr>
        <w:t>a</w:t>
      </w:r>
      <w:r w:rsidRPr="00A338E5">
        <w:rPr>
          <w:rFonts w:cstheme="minorHAnsi"/>
        </w:rPr>
        <w:t xml:space="preserve"> d</w:t>
      </w:r>
      <w:r w:rsidRPr="00A338E5">
        <w:rPr>
          <w:rFonts w:cstheme="minorHAnsi"/>
          <w:spacing w:val="-1"/>
        </w:rPr>
        <w:t>e</w:t>
      </w:r>
      <w:r w:rsidRPr="00A338E5">
        <w:rPr>
          <w:rFonts w:cstheme="minorHAnsi"/>
        </w:rPr>
        <w:t>monst</w:t>
      </w:r>
      <w:r w:rsidRPr="00A338E5">
        <w:rPr>
          <w:rFonts w:cstheme="minorHAnsi"/>
          <w:spacing w:val="-1"/>
        </w:rPr>
        <w:t>ra</w:t>
      </w:r>
      <w:r w:rsidRPr="00A338E5">
        <w:rPr>
          <w:rFonts w:cstheme="minorHAnsi"/>
        </w:rPr>
        <w:t>t</w:t>
      </w:r>
      <w:r w:rsidRPr="00A338E5">
        <w:rPr>
          <w:rFonts w:cstheme="minorHAnsi"/>
          <w:spacing w:val="-1"/>
        </w:rPr>
        <w:t>e</w:t>
      </w:r>
      <w:r w:rsidRPr="00A338E5">
        <w:rPr>
          <w:rFonts w:cstheme="minorHAnsi"/>
        </w:rPr>
        <w:t>d</w:t>
      </w:r>
      <w:r w:rsidRPr="00A338E5">
        <w:rPr>
          <w:rFonts w:cstheme="minorHAnsi"/>
          <w:spacing w:val="1"/>
        </w:rPr>
        <w:t xml:space="preserve"> </w:t>
      </w:r>
      <w:r w:rsidRPr="00A338E5">
        <w:rPr>
          <w:rFonts w:cstheme="minorHAnsi"/>
        </w:rPr>
        <w:t>h</w:t>
      </w:r>
      <w:r w:rsidRPr="00A338E5">
        <w:rPr>
          <w:rFonts w:cstheme="minorHAnsi"/>
          <w:spacing w:val="3"/>
        </w:rPr>
        <w:t>i</w:t>
      </w:r>
      <w:r w:rsidRPr="00A338E5">
        <w:rPr>
          <w:rFonts w:cstheme="minorHAnsi"/>
          <w:spacing w:val="-2"/>
        </w:rPr>
        <w:t>g</w:t>
      </w:r>
      <w:r w:rsidRPr="00A338E5">
        <w:rPr>
          <w:rFonts w:cstheme="minorHAnsi"/>
        </w:rPr>
        <w:t>h</w:t>
      </w:r>
      <w:r w:rsidRPr="00A338E5">
        <w:rPr>
          <w:rFonts w:cstheme="minorHAnsi"/>
          <w:spacing w:val="1"/>
        </w:rPr>
        <w:t xml:space="preserve"> </w:t>
      </w:r>
      <w:r w:rsidRPr="00A338E5">
        <w:rPr>
          <w:rFonts w:cstheme="minorHAnsi"/>
        </w:rPr>
        <w:t>l</w:t>
      </w:r>
      <w:r w:rsidRPr="00A338E5">
        <w:rPr>
          <w:rFonts w:cstheme="minorHAnsi"/>
          <w:spacing w:val="-1"/>
        </w:rPr>
        <w:t>e</w:t>
      </w:r>
      <w:r w:rsidRPr="00A338E5">
        <w:rPr>
          <w:rFonts w:cstheme="minorHAnsi"/>
          <w:spacing w:val="2"/>
        </w:rPr>
        <w:t>v</w:t>
      </w:r>
      <w:r w:rsidRPr="00A338E5">
        <w:rPr>
          <w:rFonts w:cstheme="minorHAnsi"/>
          <w:spacing w:val="-1"/>
        </w:rPr>
        <w:t>e</w:t>
      </w:r>
      <w:r w:rsidRPr="00A338E5">
        <w:rPr>
          <w:rFonts w:cstheme="minorHAnsi"/>
        </w:rPr>
        <w:t>l</w:t>
      </w:r>
      <w:r w:rsidRPr="00A338E5">
        <w:rPr>
          <w:rFonts w:cstheme="minorHAnsi"/>
          <w:spacing w:val="1"/>
        </w:rPr>
        <w:t xml:space="preserve"> </w:t>
      </w:r>
      <w:r w:rsidRPr="00A338E5">
        <w:rPr>
          <w:rFonts w:cstheme="minorHAnsi"/>
        </w:rPr>
        <w:t xml:space="preserve">of </w:t>
      </w:r>
      <w:r w:rsidRPr="00A338E5">
        <w:rPr>
          <w:rFonts w:cstheme="minorHAnsi"/>
          <w:spacing w:val="-1"/>
        </w:rPr>
        <w:t>e</w:t>
      </w:r>
      <w:r w:rsidRPr="00A338E5">
        <w:rPr>
          <w:rFonts w:cstheme="minorHAnsi"/>
          <w:spacing w:val="2"/>
        </w:rPr>
        <w:t>x</w:t>
      </w:r>
      <w:r w:rsidRPr="00A338E5">
        <w:rPr>
          <w:rFonts w:cstheme="minorHAnsi"/>
        </w:rPr>
        <w:t>p</w:t>
      </w:r>
      <w:r w:rsidRPr="00A338E5">
        <w:rPr>
          <w:rFonts w:cstheme="minorHAnsi"/>
          <w:spacing w:val="-1"/>
        </w:rPr>
        <w:t>er</w:t>
      </w:r>
      <w:r w:rsidRPr="00A338E5">
        <w:rPr>
          <w:rFonts w:cstheme="minorHAnsi"/>
        </w:rPr>
        <w:t xml:space="preserve">tise </w:t>
      </w:r>
      <w:r w:rsidRPr="00A338E5">
        <w:rPr>
          <w:rFonts w:cstheme="minorHAnsi"/>
          <w:spacing w:val="-1"/>
        </w:rPr>
        <w:t>a</w:t>
      </w:r>
      <w:r w:rsidRPr="00A338E5">
        <w:rPr>
          <w:rFonts w:cstheme="minorHAnsi"/>
        </w:rPr>
        <w:t>nd</w:t>
      </w:r>
      <w:r w:rsidRPr="00A338E5">
        <w:rPr>
          <w:rFonts w:cstheme="minorHAnsi"/>
          <w:spacing w:val="1"/>
        </w:rPr>
        <w:t xml:space="preserve"> </w:t>
      </w:r>
      <w:r w:rsidRPr="00A338E5">
        <w:rPr>
          <w:rFonts w:cstheme="minorHAnsi"/>
        </w:rPr>
        <w:t>kno</w:t>
      </w:r>
      <w:r w:rsidRPr="00A338E5">
        <w:rPr>
          <w:rFonts w:cstheme="minorHAnsi"/>
          <w:spacing w:val="2"/>
        </w:rPr>
        <w:t>w</w:t>
      </w:r>
      <w:r w:rsidRPr="00A338E5">
        <w:rPr>
          <w:rFonts w:cstheme="minorHAnsi"/>
        </w:rPr>
        <w:t>l</w:t>
      </w:r>
      <w:r w:rsidRPr="00A338E5">
        <w:rPr>
          <w:rFonts w:cstheme="minorHAnsi"/>
          <w:spacing w:val="-1"/>
        </w:rPr>
        <w:t>e</w:t>
      </w:r>
      <w:r w:rsidRPr="00A338E5">
        <w:rPr>
          <w:rFonts w:cstheme="minorHAnsi"/>
        </w:rPr>
        <w:t>dge in</w:t>
      </w:r>
      <w:r w:rsidRPr="00A338E5">
        <w:rPr>
          <w:rFonts w:cstheme="minorHAnsi"/>
          <w:spacing w:val="1"/>
        </w:rPr>
        <w:t xml:space="preserve"> </w:t>
      </w:r>
      <w:r w:rsidRPr="00A338E5">
        <w:rPr>
          <w:rFonts w:cstheme="minorHAnsi"/>
        </w:rPr>
        <w:t>th</w:t>
      </w:r>
      <w:r w:rsidRPr="00A338E5">
        <w:rPr>
          <w:rFonts w:cstheme="minorHAnsi"/>
          <w:spacing w:val="-1"/>
        </w:rPr>
        <w:t>e</w:t>
      </w:r>
      <w:r w:rsidRPr="00A338E5">
        <w:rPr>
          <w:rFonts w:cstheme="minorHAnsi"/>
        </w:rPr>
        <w:t xml:space="preserve">ir </w:t>
      </w:r>
      <w:proofErr w:type="gramStart"/>
      <w:r w:rsidRPr="00A338E5">
        <w:rPr>
          <w:rFonts w:cstheme="minorHAnsi"/>
        </w:rPr>
        <w:t>p</w:t>
      </w:r>
      <w:r w:rsidRPr="00A338E5">
        <w:rPr>
          <w:rFonts w:cstheme="minorHAnsi"/>
          <w:spacing w:val="-1"/>
        </w:rPr>
        <w:t>ar</w:t>
      </w:r>
      <w:r w:rsidRPr="00A338E5">
        <w:rPr>
          <w:rFonts w:cstheme="minorHAnsi"/>
        </w:rPr>
        <w:t>ti</w:t>
      </w:r>
      <w:r w:rsidRPr="00A338E5">
        <w:rPr>
          <w:rFonts w:cstheme="minorHAnsi"/>
          <w:spacing w:val="-1"/>
        </w:rPr>
        <w:t>c</w:t>
      </w:r>
      <w:r w:rsidRPr="00A338E5">
        <w:rPr>
          <w:rFonts w:cstheme="minorHAnsi"/>
        </w:rPr>
        <w:t>ul</w:t>
      </w:r>
      <w:r w:rsidRPr="00A338E5">
        <w:rPr>
          <w:rFonts w:cstheme="minorHAnsi"/>
          <w:spacing w:val="-1"/>
        </w:rPr>
        <w:t>a</w:t>
      </w:r>
      <w:r w:rsidRPr="00A338E5">
        <w:rPr>
          <w:rFonts w:cstheme="minorHAnsi"/>
        </w:rPr>
        <w:t>r</w:t>
      </w:r>
      <w:r w:rsidRPr="00A338E5">
        <w:rPr>
          <w:rFonts w:cstheme="minorHAnsi"/>
          <w:spacing w:val="2"/>
        </w:rPr>
        <w:t xml:space="preserve"> </w:t>
      </w:r>
      <w:r w:rsidRPr="00A338E5">
        <w:rPr>
          <w:rFonts w:cstheme="minorHAnsi"/>
          <w:spacing w:val="-1"/>
        </w:rPr>
        <w:t>f</w:t>
      </w:r>
      <w:r w:rsidRPr="00A338E5">
        <w:rPr>
          <w:rFonts w:cstheme="minorHAnsi"/>
        </w:rPr>
        <w:t>i</w:t>
      </w:r>
      <w:r w:rsidRPr="00A338E5">
        <w:rPr>
          <w:rFonts w:cstheme="minorHAnsi"/>
          <w:spacing w:val="-1"/>
        </w:rPr>
        <w:t>e</w:t>
      </w:r>
      <w:r w:rsidRPr="00A338E5">
        <w:rPr>
          <w:rFonts w:cstheme="minorHAnsi"/>
        </w:rPr>
        <w:t>ld</w:t>
      </w:r>
      <w:proofErr w:type="gramEnd"/>
      <w:r w:rsidRPr="00A338E5">
        <w:rPr>
          <w:rFonts w:cstheme="minorHAnsi"/>
          <w:spacing w:val="1"/>
        </w:rPr>
        <w:t xml:space="preserve"> </w:t>
      </w:r>
      <w:r w:rsidRPr="00A338E5">
        <w:rPr>
          <w:rFonts w:cstheme="minorHAnsi"/>
        </w:rPr>
        <w:t xml:space="preserve">of </w:t>
      </w:r>
      <w:r w:rsidRPr="00A338E5">
        <w:rPr>
          <w:rFonts w:cstheme="minorHAnsi"/>
          <w:spacing w:val="1"/>
        </w:rPr>
        <w:t>a</w:t>
      </w:r>
      <w:r w:rsidRPr="00A338E5">
        <w:rPr>
          <w:rFonts w:cstheme="minorHAnsi"/>
          <w:spacing w:val="2"/>
        </w:rPr>
        <w:t>r</w:t>
      </w:r>
      <w:r w:rsidRPr="00A338E5">
        <w:rPr>
          <w:rFonts w:cstheme="minorHAnsi"/>
          <w:spacing w:val="-1"/>
        </w:rPr>
        <w:t>c</w:t>
      </w:r>
      <w:r w:rsidRPr="00A338E5">
        <w:rPr>
          <w:rFonts w:cstheme="minorHAnsi"/>
        </w:rPr>
        <w:t>hit</w:t>
      </w:r>
      <w:r w:rsidRPr="00A338E5">
        <w:rPr>
          <w:rFonts w:cstheme="minorHAnsi"/>
          <w:spacing w:val="-1"/>
        </w:rPr>
        <w:t>ec</w:t>
      </w:r>
      <w:r w:rsidRPr="00A338E5">
        <w:rPr>
          <w:rFonts w:cstheme="minorHAnsi"/>
        </w:rPr>
        <w:t>tu</w:t>
      </w:r>
      <w:r w:rsidRPr="00A338E5">
        <w:rPr>
          <w:rFonts w:cstheme="minorHAnsi"/>
          <w:spacing w:val="-1"/>
        </w:rPr>
        <w:t>re</w:t>
      </w:r>
      <w:r w:rsidRPr="00A338E5">
        <w:rPr>
          <w:rFonts w:cstheme="minorHAnsi"/>
        </w:rPr>
        <w:t>,</w:t>
      </w:r>
      <w:r w:rsidRPr="00A338E5">
        <w:rPr>
          <w:rFonts w:cstheme="minorHAnsi"/>
          <w:spacing w:val="1"/>
        </w:rPr>
        <w:t xml:space="preserve"> </w:t>
      </w:r>
      <w:r w:rsidRPr="00A338E5">
        <w:rPr>
          <w:rFonts w:cstheme="minorHAnsi"/>
          <w:spacing w:val="2"/>
        </w:rPr>
        <w:t>u</w:t>
      </w:r>
      <w:r w:rsidRPr="00A338E5">
        <w:rPr>
          <w:rFonts w:cstheme="minorHAnsi"/>
          <w:spacing w:val="-1"/>
        </w:rPr>
        <w:t>r</w:t>
      </w:r>
      <w:r w:rsidRPr="00A338E5">
        <w:rPr>
          <w:rFonts w:cstheme="minorHAnsi"/>
        </w:rPr>
        <w:t>b</w:t>
      </w:r>
      <w:r w:rsidRPr="00A338E5">
        <w:rPr>
          <w:rFonts w:cstheme="minorHAnsi"/>
          <w:spacing w:val="-1"/>
        </w:rPr>
        <w:t>a</w:t>
      </w:r>
      <w:r w:rsidRPr="00A338E5">
        <w:rPr>
          <w:rFonts w:cstheme="minorHAnsi"/>
        </w:rPr>
        <w:t>n</w:t>
      </w:r>
      <w:r w:rsidRPr="00A338E5">
        <w:rPr>
          <w:rFonts w:cstheme="minorHAnsi"/>
          <w:spacing w:val="1"/>
        </w:rPr>
        <w:t xml:space="preserve"> </w:t>
      </w:r>
      <w:r w:rsidRPr="00A338E5">
        <w:rPr>
          <w:rFonts w:cstheme="minorHAnsi"/>
          <w:spacing w:val="2"/>
        </w:rPr>
        <w:t>d</w:t>
      </w:r>
      <w:r w:rsidRPr="00A338E5">
        <w:rPr>
          <w:rFonts w:cstheme="minorHAnsi"/>
          <w:spacing w:val="-1"/>
        </w:rPr>
        <w:t>e</w:t>
      </w:r>
      <w:r w:rsidRPr="00A338E5">
        <w:rPr>
          <w:rFonts w:cstheme="minorHAnsi"/>
        </w:rPr>
        <w:t>si</w:t>
      </w:r>
      <w:r w:rsidRPr="00A338E5">
        <w:rPr>
          <w:rFonts w:cstheme="minorHAnsi"/>
          <w:spacing w:val="-2"/>
        </w:rPr>
        <w:t>g</w:t>
      </w:r>
      <w:r w:rsidRPr="00A338E5">
        <w:rPr>
          <w:rFonts w:cstheme="minorHAnsi"/>
        </w:rPr>
        <w:t>n, l</w:t>
      </w:r>
      <w:r w:rsidRPr="00A338E5">
        <w:rPr>
          <w:rFonts w:cstheme="minorHAnsi"/>
          <w:spacing w:val="-1"/>
        </w:rPr>
        <w:t>a</w:t>
      </w:r>
      <w:r w:rsidRPr="00A338E5">
        <w:rPr>
          <w:rFonts w:cstheme="minorHAnsi"/>
        </w:rPr>
        <w:t>nd</w:t>
      </w:r>
      <w:r w:rsidRPr="00A338E5">
        <w:rPr>
          <w:rFonts w:cstheme="minorHAnsi"/>
          <w:spacing w:val="3"/>
        </w:rPr>
        <w:t>s</w:t>
      </w:r>
      <w:r w:rsidRPr="00A338E5">
        <w:rPr>
          <w:rFonts w:cstheme="minorHAnsi"/>
          <w:spacing w:val="-1"/>
        </w:rPr>
        <w:t>ca</w:t>
      </w:r>
      <w:r w:rsidRPr="00A338E5">
        <w:rPr>
          <w:rFonts w:cstheme="minorHAnsi"/>
        </w:rPr>
        <w:t xml:space="preserve">pe </w:t>
      </w:r>
      <w:r w:rsidRPr="00A338E5">
        <w:rPr>
          <w:rFonts w:cstheme="minorHAnsi"/>
          <w:spacing w:val="-1"/>
        </w:rPr>
        <w:t>arc</w:t>
      </w:r>
      <w:r w:rsidRPr="00A338E5">
        <w:rPr>
          <w:rFonts w:cstheme="minorHAnsi"/>
        </w:rPr>
        <w:t>hit</w:t>
      </w:r>
      <w:r w:rsidRPr="00A338E5">
        <w:rPr>
          <w:rFonts w:cstheme="minorHAnsi"/>
          <w:spacing w:val="-1"/>
        </w:rPr>
        <w:t>ec</w:t>
      </w:r>
      <w:r w:rsidRPr="00A338E5">
        <w:rPr>
          <w:rFonts w:cstheme="minorHAnsi"/>
        </w:rPr>
        <w:t>t</w:t>
      </w:r>
      <w:r w:rsidRPr="00A338E5">
        <w:rPr>
          <w:rFonts w:cstheme="minorHAnsi"/>
          <w:spacing w:val="2"/>
        </w:rPr>
        <w:t>u</w:t>
      </w:r>
      <w:r w:rsidRPr="00A338E5">
        <w:rPr>
          <w:rFonts w:cstheme="minorHAnsi"/>
          <w:spacing w:val="-1"/>
        </w:rPr>
        <w:t>re</w:t>
      </w:r>
      <w:r w:rsidRPr="00A338E5">
        <w:rPr>
          <w:rFonts w:cstheme="minorHAnsi"/>
        </w:rPr>
        <w:t>, sust</w:t>
      </w:r>
      <w:r w:rsidRPr="00A338E5">
        <w:rPr>
          <w:rFonts w:cstheme="minorHAnsi"/>
          <w:spacing w:val="-1"/>
        </w:rPr>
        <w:t>a</w:t>
      </w:r>
      <w:r w:rsidRPr="00A338E5">
        <w:rPr>
          <w:rFonts w:cstheme="minorHAnsi"/>
        </w:rPr>
        <w:t>in</w:t>
      </w:r>
      <w:r w:rsidRPr="00A338E5">
        <w:rPr>
          <w:rFonts w:cstheme="minorHAnsi"/>
          <w:spacing w:val="-1"/>
        </w:rPr>
        <w:t>a</w:t>
      </w:r>
      <w:r w:rsidRPr="00A338E5">
        <w:rPr>
          <w:rFonts w:cstheme="minorHAnsi"/>
        </w:rPr>
        <w:t>bility</w:t>
      </w:r>
      <w:r w:rsidRPr="00A338E5">
        <w:rPr>
          <w:rFonts w:cstheme="minorHAnsi"/>
          <w:spacing w:val="-2"/>
        </w:rPr>
        <w:t xml:space="preserve"> </w:t>
      </w:r>
      <w:r w:rsidRPr="00A338E5">
        <w:rPr>
          <w:rFonts w:cstheme="minorHAnsi"/>
        </w:rPr>
        <w:t>or</w:t>
      </w:r>
      <w:r w:rsidRPr="00A338E5">
        <w:rPr>
          <w:rFonts w:cstheme="minorHAnsi"/>
          <w:spacing w:val="-1"/>
        </w:rPr>
        <w:t xml:space="preserve"> </w:t>
      </w:r>
      <w:r w:rsidRPr="00A338E5">
        <w:rPr>
          <w:rFonts w:cstheme="minorHAnsi"/>
          <w:spacing w:val="2"/>
        </w:rPr>
        <w:t>h</w:t>
      </w:r>
      <w:r w:rsidRPr="00A338E5">
        <w:rPr>
          <w:rFonts w:cstheme="minorHAnsi"/>
          <w:spacing w:val="-1"/>
        </w:rPr>
        <w:t>er</w:t>
      </w:r>
      <w:r w:rsidRPr="00A338E5">
        <w:rPr>
          <w:rFonts w:cstheme="minorHAnsi"/>
        </w:rPr>
        <w:t>it</w:t>
      </w:r>
      <w:r w:rsidRPr="00A338E5">
        <w:rPr>
          <w:rFonts w:cstheme="minorHAnsi"/>
          <w:spacing w:val="1"/>
        </w:rPr>
        <w:t>a</w:t>
      </w:r>
      <w:r w:rsidRPr="00A338E5">
        <w:rPr>
          <w:rFonts w:cstheme="minorHAnsi"/>
          <w:spacing w:val="-2"/>
        </w:rPr>
        <w:t>g</w:t>
      </w:r>
      <w:r w:rsidRPr="00A338E5">
        <w:rPr>
          <w:rFonts w:cstheme="minorHAnsi"/>
          <w:spacing w:val="-1"/>
        </w:rPr>
        <w:t>e</w:t>
      </w:r>
      <w:r w:rsidRPr="00A338E5">
        <w:rPr>
          <w:rFonts w:cstheme="minorHAnsi"/>
        </w:rPr>
        <w:t>;</w:t>
      </w:r>
      <w:r w:rsidRPr="00A338E5">
        <w:rPr>
          <w:rFonts w:cstheme="minorHAnsi"/>
          <w:spacing w:val="3"/>
        </w:rPr>
        <w:t xml:space="preserve"> </w:t>
      </w:r>
      <w:r>
        <w:rPr>
          <w:rFonts w:cstheme="minorHAnsi"/>
          <w:spacing w:val="-1"/>
        </w:rPr>
        <w:t>or</w:t>
      </w:r>
    </w:p>
    <w:p w14:paraId="7B8DC068" w14:textId="77777777" w:rsidR="00082DB7" w:rsidRPr="00A338E5" w:rsidRDefault="00082DB7" w:rsidP="00082DB7">
      <w:pPr>
        <w:widowControl w:val="0"/>
        <w:tabs>
          <w:tab w:val="left" w:pos="1560"/>
        </w:tabs>
        <w:spacing w:after="60" w:line="240" w:lineRule="auto"/>
        <w:ind w:left="1134" w:right="74" w:hanging="708"/>
        <w:jc w:val="both"/>
        <w:rPr>
          <w:rFonts w:cstheme="minorHAnsi"/>
          <w:spacing w:val="-1"/>
        </w:rPr>
      </w:pPr>
      <w:r w:rsidRPr="00A338E5">
        <w:rPr>
          <w:rFonts w:cstheme="minorHAnsi"/>
        </w:rPr>
        <w:t>(b)</w:t>
      </w:r>
      <w:r w:rsidRPr="00A338E5">
        <w:rPr>
          <w:rFonts w:cstheme="minorHAnsi"/>
        </w:rPr>
        <w:tab/>
      </w:r>
      <w:r>
        <w:rPr>
          <w:rFonts w:cstheme="minorHAnsi"/>
        </w:rPr>
        <w:t>t</w:t>
      </w:r>
      <w:r w:rsidRPr="00A338E5">
        <w:rPr>
          <w:rFonts w:cstheme="minorHAnsi"/>
          <w:spacing w:val="-1"/>
        </w:rPr>
        <w:t>h</w:t>
      </w:r>
      <w:r w:rsidRPr="00A338E5">
        <w:rPr>
          <w:rFonts w:cstheme="minorHAnsi"/>
        </w:rPr>
        <w:t xml:space="preserve">e </w:t>
      </w:r>
      <w:r w:rsidRPr="00A338E5">
        <w:rPr>
          <w:rFonts w:cstheme="minorHAnsi"/>
          <w:spacing w:val="-1"/>
        </w:rPr>
        <w:t>re</w:t>
      </w:r>
      <w:r w:rsidRPr="00A338E5">
        <w:rPr>
          <w:rFonts w:cstheme="minorHAnsi"/>
        </w:rPr>
        <w:t>l</w:t>
      </w:r>
      <w:r w:rsidRPr="00A338E5">
        <w:rPr>
          <w:rFonts w:cstheme="minorHAnsi"/>
          <w:spacing w:val="-1"/>
        </w:rPr>
        <w:t>e</w:t>
      </w:r>
      <w:r w:rsidRPr="00A338E5">
        <w:rPr>
          <w:rFonts w:cstheme="minorHAnsi"/>
        </w:rPr>
        <w:t>v</w:t>
      </w:r>
      <w:r w:rsidRPr="00A338E5">
        <w:rPr>
          <w:rFonts w:cstheme="minorHAnsi"/>
          <w:spacing w:val="-1"/>
        </w:rPr>
        <w:t>a</w:t>
      </w:r>
      <w:r w:rsidRPr="00A338E5">
        <w:rPr>
          <w:rFonts w:cstheme="minorHAnsi"/>
        </w:rPr>
        <w:t xml:space="preserve">nt skills </w:t>
      </w:r>
      <w:r w:rsidRPr="00A338E5">
        <w:rPr>
          <w:rFonts w:cstheme="minorHAnsi"/>
          <w:spacing w:val="-1"/>
        </w:rPr>
        <w:t>a</w:t>
      </w:r>
      <w:r w:rsidRPr="00A338E5">
        <w:rPr>
          <w:rFonts w:cstheme="minorHAnsi"/>
        </w:rPr>
        <w:t xml:space="preserve">nd </w:t>
      </w:r>
      <w:r w:rsidRPr="00A338E5">
        <w:rPr>
          <w:rFonts w:cstheme="minorHAnsi"/>
          <w:spacing w:val="-1"/>
        </w:rPr>
        <w:t>e</w:t>
      </w:r>
      <w:r w:rsidRPr="00A338E5">
        <w:rPr>
          <w:rFonts w:cstheme="minorHAnsi"/>
          <w:spacing w:val="2"/>
        </w:rPr>
        <w:t>x</w:t>
      </w:r>
      <w:r w:rsidRPr="00A338E5">
        <w:rPr>
          <w:rFonts w:cstheme="minorHAnsi"/>
        </w:rPr>
        <w:t>p</w:t>
      </w:r>
      <w:r w:rsidRPr="00A338E5">
        <w:rPr>
          <w:rFonts w:cstheme="minorHAnsi"/>
          <w:spacing w:val="-1"/>
        </w:rPr>
        <w:t>er</w:t>
      </w:r>
      <w:r w:rsidRPr="00A338E5">
        <w:rPr>
          <w:rFonts w:cstheme="minorHAnsi"/>
        </w:rPr>
        <w:t>i</w:t>
      </w:r>
      <w:r w:rsidRPr="00A338E5">
        <w:rPr>
          <w:rFonts w:cstheme="minorHAnsi"/>
          <w:spacing w:val="-1"/>
        </w:rPr>
        <w:t>e</w:t>
      </w:r>
      <w:r w:rsidRPr="00A338E5">
        <w:rPr>
          <w:rFonts w:cstheme="minorHAnsi"/>
        </w:rPr>
        <w:t>n</w:t>
      </w:r>
      <w:r w:rsidRPr="00A338E5">
        <w:rPr>
          <w:rFonts w:cstheme="minorHAnsi"/>
          <w:spacing w:val="-1"/>
        </w:rPr>
        <w:t>c</w:t>
      </w:r>
      <w:r w:rsidRPr="00A338E5">
        <w:rPr>
          <w:rFonts w:cstheme="minorHAnsi"/>
        </w:rPr>
        <w:t>e</w:t>
      </w:r>
      <w:r w:rsidRPr="00A338E5">
        <w:rPr>
          <w:rFonts w:cstheme="minorHAnsi"/>
          <w:spacing w:val="30"/>
        </w:rPr>
        <w:t xml:space="preserve"> </w:t>
      </w:r>
      <w:r w:rsidRPr="00A338E5">
        <w:rPr>
          <w:rFonts w:cstheme="minorHAnsi"/>
        </w:rPr>
        <w:t>to</w:t>
      </w:r>
      <w:r w:rsidRPr="00A338E5">
        <w:rPr>
          <w:rFonts w:cstheme="minorHAnsi"/>
          <w:spacing w:val="31"/>
        </w:rPr>
        <w:t xml:space="preserve"> </w:t>
      </w:r>
      <w:r w:rsidRPr="00A338E5">
        <w:rPr>
          <w:rFonts w:cstheme="minorHAnsi"/>
        </w:rPr>
        <w:t>p</w:t>
      </w:r>
      <w:r w:rsidRPr="00A338E5">
        <w:rPr>
          <w:rFonts w:cstheme="minorHAnsi"/>
          <w:spacing w:val="-1"/>
        </w:rPr>
        <w:t>r</w:t>
      </w:r>
      <w:r w:rsidRPr="00A338E5">
        <w:rPr>
          <w:rFonts w:cstheme="minorHAnsi"/>
        </w:rPr>
        <w:t>ovide</w:t>
      </w:r>
      <w:r w:rsidRPr="00A338E5">
        <w:rPr>
          <w:rFonts w:cstheme="minorHAnsi"/>
          <w:spacing w:val="30"/>
        </w:rPr>
        <w:t xml:space="preserve"> </w:t>
      </w:r>
      <w:r w:rsidRPr="00A338E5">
        <w:rPr>
          <w:rFonts w:cstheme="minorHAnsi"/>
        </w:rPr>
        <w:t>ind</w:t>
      </w:r>
      <w:r w:rsidRPr="00A338E5">
        <w:rPr>
          <w:rFonts w:cstheme="minorHAnsi"/>
          <w:spacing w:val="-1"/>
        </w:rPr>
        <w:t>e</w:t>
      </w:r>
      <w:r w:rsidRPr="00A338E5">
        <w:rPr>
          <w:rFonts w:cstheme="minorHAnsi"/>
        </w:rPr>
        <w:t>p</w:t>
      </w:r>
      <w:r w:rsidRPr="00A338E5">
        <w:rPr>
          <w:rFonts w:cstheme="minorHAnsi"/>
          <w:spacing w:val="-1"/>
        </w:rPr>
        <w:t>e</w:t>
      </w:r>
      <w:r w:rsidRPr="00A338E5">
        <w:rPr>
          <w:rFonts w:cstheme="minorHAnsi"/>
        </w:rPr>
        <w:t>nd</w:t>
      </w:r>
      <w:r w:rsidRPr="00A338E5">
        <w:rPr>
          <w:rFonts w:cstheme="minorHAnsi"/>
          <w:spacing w:val="-1"/>
        </w:rPr>
        <w:t>e</w:t>
      </w:r>
      <w:r w:rsidRPr="00A338E5">
        <w:rPr>
          <w:rFonts w:cstheme="minorHAnsi"/>
        </w:rPr>
        <w:t xml:space="preserve">nt </w:t>
      </w:r>
      <w:r w:rsidRPr="00A338E5">
        <w:rPr>
          <w:rFonts w:cstheme="minorHAnsi"/>
          <w:spacing w:val="-1"/>
        </w:rPr>
        <w:t>e</w:t>
      </w:r>
      <w:r w:rsidRPr="00A338E5">
        <w:rPr>
          <w:rFonts w:cstheme="minorHAnsi"/>
          <w:spacing w:val="2"/>
        </w:rPr>
        <w:t>x</w:t>
      </w:r>
      <w:r w:rsidRPr="00A338E5">
        <w:rPr>
          <w:rFonts w:cstheme="minorHAnsi"/>
          <w:spacing w:val="-1"/>
        </w:rPr>
        <w:t>p</w:t>
      </w:r>
      <w:r w:rsidRPr="00A338E5">
        <w:rPr>
          <w:rFonts w:cstheme="minorHAnsi"/>
        </w:rPr>
        <w:t>e</w:t>
      </w:r>
      <w:r w:rsidRPr="00A338E5">
        <w:rPr>
          <w:rFonts w:cstheme="minorHAnsi"/>
          <w:spacing w:val="-1"/>
        </w:rPr>
        <w:t>r</w:t>
      </w:r>
      <w:r w:rsidRPr="00A338E5">
        <w:rPr>
          <w:rFonts w:cstheme="minorHAnsi"/>
        </w:rPr>
        <w:t xml:space="preserve">t </w:t>
      </w:r>
      <w:r w:rsidRPr="00A338E5">
        <w:rPr>
          <w:rFonts w:cstheme="minorHAnsi"/>
          <w:spacing w:val="-1"/>
        </w:rPr>
        <w:t>adv</w:t>
      </w:r>
      <w:r w:rsidRPr="00A338E5">
        <w:rPr>
          <w:rFonts w:cstheme="minorHAnsi"/>
          <w:spacing w:val="2"/>
        </w:rPr>
        <w:t>i</w:t>
      </w:r>
      <w:r w:rsidRPr="00A338E5">
        <w:rPr>
          <w:rFonts w:cstheme="minorHAnsi"/>
          <w:spacing w:val="-1"/>
        </w:rPr>
        <w:t>ce.</w:t>
      </w:r>
    </w:p>
    <w:p w14:paraId="081B5CE1" w14:textId="77777777" w:rsidR="00082DB7" w:rsidRPr="00A338E5" w:rsidRDefault="00082DB7" w:rsidP="00082DB7">
      <w:pPr>
        <w:widowControl w:val="0"/>
        <w:tabs>
          <w:tab w:val="left" w:pos="1560"/>
        </w:tabs>
        <w:spacing w:after="0" w:line="240" w:lineRule="auto"/>
        <w:ind w:left="426" w:right="75"/>
        <w:jc w:val="both"/>
        <w:rPr>
          <w:rFonts w:cstheme="minorHAnsi"/>
        </w:rPr>
      </w:pPr>
      <w:r w:rsidRPr="00A338E5">
        <w:rPr>
          <w:rFonts w:cstheme="minorHAnsi"/>
          <w:spacing w:val="1"/>
        </w:rPr>
        <w:t>P</w:t>
      </w:r>
      <w:r w:rsidRPr="00A338E5">
        <w:rPr>
          <w:rFonts w:cstheme="minorHAnsi"/>
          <w:spacing w:val="-1"/>
        </w:rPr>
        <w:t>refe</w:t>
      </w:r>
      <w:r w:rsidRPr="00A338E5">
        <w:rPr>
          <w:rFonts w:cstheme="minorHAnsi"/>
          <w:spacing w:val="2"/>
        </w:rPr>
        <w:t>r</w:t>
      </w:r>
      <w:r w:rsidRPr="00A338E5">
        <w:rPr>
          <w:rFonts w:cstheme="minorHAnsi"/>
          <w:spacing w:val="-1"/>
        </w:rPr>
        <w:t>en</w:t>
      </w:r>
      <w:r w:rsidRPr="00A338E5">
        <w:rPr>
          <w:rFonts w:cstheme="minorHAnsi"/>
        </w:rPr>
        <w:t>ce</w:t>
      </w:r>
      <w:r w:rsidRPr="00A338E5">
        <w:rPr>
          <w:rFonts w:cstheme="minorHAnsi"/>
          <w:spacing w:val="28"/>
        </w:rPr>
        <w:t xml:space="preserve"> </w:t>
      </w:r>
      <w:r w:rsidRPr="00A338E5">
        <w:rPr>
          <w:rFonts w:cstheme="minorHAnsi"/>
        </w:rPr>
        <w:t>will</w:t>
      </w:r>
      <w:r w:rsidRPr="00A338E5">
        <w:rPr>
          <w:rFonts w:cstheme="minorHAnsi"/>
          <w:spacing w:val="29"/>
        </w:rPr>
        <w:t xml:space="preserve"> </w:t>
      </w:r>
      <w:r w:rsidRPr="00A338E5">
        <w:rPr>
          <w:rFonts w:cstheme="minorHAnsi"/>
          <w:spacing w:val="-1"/>
        </w:rPr>
        <w:t>b</w:t>
      </w:r>
      <w:r w:rsidRPr="00A338E5">
        <w:rPr>
          <w:rFonts w:cstheme="minorHAnsi"/>
        </w:rPr>
        <w:t>e</w:t>
      </w:r>
      <w:r w:rsidRPr="00A338E5">
        <w:rPr>
          <w:rFonts w:cstheme="minorHAnsi"/>
          <w:spacing w:val="29"/>
        </w:rPr>
        <w:t xml:space="preserve"> </w:t>
      </w:r>
      <w:r w:rsidRPr="00A338E5">
        <w:rPr>
          <w:rFonts w:cstheme="minorHAnsi"/>
          <w:spacing w:val="-2"/>
        </w:rPr>
        <w:t>g</w:t>
      </w:r>
      <w:r w:rsidRPr="00A338E5">
        <w:rPr>
          <w:rFonts w:cstheme="minorHAnsi"/>
        </w:rPr>
        <w:t>i</w:t>
      </w:r>
      <w:r w:rsidRPr="00A338E5">
        <w:rPr>
          <w:rFonts w:cstheme="minorHAnsi"/>
          <w:spacing w:val="2"/>
        </w:rPr>
        <w:t>v</w:t>
      </w:r>
      <w:r w:rsidRPr="00A338E5">
        <w:rPr>
          <w:rFonts w:cstheme="minorHAnsi"/>
          <w:spacing w:val="-1"/>
        </w:rPr>
        <w:t>e</w:t>
      </w:r>
      <w:r w:rsidRPr="00A338E5">
        <w:rPr>
          <w:rFonts w:cstheme="minorHAnsi"/>
        </w:rPr>
        <w:t>n</w:t>
      </w:r>
      <w:r w:rsidRPr="00A338E5">
        <w:rPr>
          <w:rFonts w:cstheme="minorHAnsi"/>
          <w:spacing w:val="31"/>
        </w:rPr>
        <w:t xml:space="preserve"> </w:t>
      </w:r>
      <w:r w:rsidRPr="00A338E5">
        <w:rPr>
          <w:rFonts w:cstheme="minorHAnsi"/>
        </w:rPr>
        <w:t>to</w:t>
      </w:r>
      <w:r w:rsidRPr="00A338E5">
        <w:rPr>
          <w:rFonts w:cstheme="minorHAnsi"/>
          <w:spacing w:val="29"/>
        </w:rPr>
        <w:t xml:space="preserve"> </w:t>
      </w:r>
      <w:r w:rsidRPr="00A338E5">
        <w:rPr>
          <w:rFonts w:cstheme="minorHAnsi"/>
          <w:spacing w:val="-1"/>
        </w:rPr>
        <w:t>re</w:t>
      </w:r>
      <w:r w:rsidRPr="00A338E5">
        <w:rPr>
          <w:rFonts w:cstheme="minorHAnsi"/>
        </w:rPr>
        <w:t>si</w:t>
      </w:r>
      <w:r w:rsidRPr="00A338E5">
        <w:rPr>
          <w:rFonts w:cstheme="minorHAnsi"/>
          <w:spacing w:val="-1"/>
        </w:rPr>
        <w:t>d</w:t>
      </w:r>
      <w:r w:rsidRPr="00A338E5">
        <w:rPr>
          <w:rFonts w:cstheme="minorHAnsi"/>
        </w:rPr>
        <w:t>e</w:t>
      </w:r>
      <w:r w:rsidRPr="00A338E5">
        <w:rPr>
          <w:rFonts w:cstheme="minorHAnsi"/>
          <w:spacing w:val="-1"/>
        </w:rPr>
        <w:t>n</w:t>
      </w:r>
      <w:r w:rsidRPr="00A338E5">
        <w:rPr>
          <w:rFonts w:cstheme="minorHAnsi"/>
          <w:spacing w:val="1"/>
        </w:rPr>
        <w:t>t</w:t>
      </w:r>
      <w:r w:rsidRPr="00A338E5">
        <w:rPr>
          <w:rFonts w:cstheme="minorHAnsi"/>
        </w:rPr>
        <w:t>s</w:t>
      </w:r>
      <w:r w:rsidRPr="00A338E5">
        <w:rPr>
          <w:rFonts w:cstheme="minorHAnsi"/>
          <w:spacing w:val="29"/>
        </w:rPr>
        <w:t xml:space="preserve"> </w:t>
      </w:r>
      <w:r w:rsidRPr="00A338E5">
        <w:rPr>
          <w:rFonts w:cstheme="minorHAnsi"/>
          <w:spacing w:val="-1"/>
        </w:rPr>
        <w:t>o</w:t>
      </w:r>
      <w:r w:rsidRPr="00A338E5">
        <w:rPr>
          <w:rFonts w:cstheme="minorHAnsi"/>
        </w:rPr>
        <w:t>f</w:t>
      </w:r>
      <w:r w:rsidRPr="00A338E5">
        <w:rPr>
          <w:rFonts w:cstheme="minorHAnsi"/>
          <w:spacing w:val="29"/>
        </w:rPr>
        <w:t xml:space="preserve"> </w:t>
      </w:r>
      <w:r w:rsidRPr="00A338E5">
        <w:rPr>
          <w:rFonts w:cstheme="minorHAnsi"/>
        </w:rPr>
        <w:t>t</w:t>
      </w:r>
      <w:r w:rsidRPr="00A338E5">
        <w:rPr>
          <w:rFonts w:cstheme="minorHAnsi"/>
          <w:spacing w:val="-1"/>
        </w:rPr>
        <w:t>h</w:t>
      </w:r>
      <w:r w:rsidRPr="00A338E5">
        <w:rPr>
          <w:rFonts w:cstheme="minorHAnsi"/>
        </w:rPr>
        <w:t>e</w:t>
      </w:r>
      <w:r w:rsidRPr="00A338E5">
        <w:rPr>
          <w:rFonts w:cstheme="minorHAnsi"/>
          <w:spacing w:val="29"/>
        </w:rPr>
        <w:t xml:space="preserve"> </w:t>
      </w:r>
      <w:r w:rsidRPr="00A338E5">
        <w:rPr>
          <w:rFonts w:cstheme="minorHAnsi"/>
          <w:spacing w:val="1"/>
        </w:rPr>
        <w:t>Town</w:t>
      </w:r>
      <w:r w:rsidRPr="00A338E5">
        <w:rPr>
          <w:rFonts w:cstheme="minorHAnsi"/>
          <w:spacing w:val="24"/>
        </w:rPr>
        <w:t xml:space="preserve"> </w:t>
      </w:r>
      <w:r w:rsidRPr="00A338E5">
        <w:rPr>
          <w:rFonts w:cstheme="minorHAnsi"/>
        </w:rPr>
        <w:t>w</w:t>
      </w:r>
      <w:r w:rsidRPr="00A338E5">
        <w:rPr>
          <w:rFonts w:cstheme="minorHAnsi"/>
          <w:spacing w:val="-1"/>
        </w:rPr>
        <w:t>h</w:t>
      </w:r>
      <w:r w:rsidRPr="00A338E5">
        <w:rPr>
          <w:rFonts w:cstheme="minorHAnsi"/>
        </w:rPr>
        <w:t>o</w:t>
      </w:r>
      <w:r w:rsidRPr="00A338E5">
        <w:rPr>
          <w:rFonts w:cstheme="minorHAnsi"/>
          <w:spacing w:val="30"/>
        </w:rPr>
        <w:t xml:space="preserve"> </w:t>
      </w:r>
      <w:r w:rsidRPr="00A338E5">
        <w:rPr>
          <w:rFonts w:cstheme="minorHAnsi"/>
          <w:spacing w:val="-1"/>
        </w:rPr>
        <w:t>h</w:t>
      </w:r>
      <w:r w:rsidRPr="00A338E5">
        <w:rPr>
          <w:rFonts w:cstheme="minorHAnsi"/>
        </w:rPr>
        <w:t>a</w:t>
      </w:r>
      <w:r w:rsidRPr="00A338E5">
        <w:rPr>
          <w:rFonts w:cstheme="minorHAnsi"/>
          <w:spacing w:val="-1"/>
        </w:rPr>
        <w:t>v</w:t>
      </w:r>
      <w:r w:rsidRPr="00A338E5">
        <w:rPr>
          <w:rFonts w:cstheme="minorHAnsi"/>
        </w:rPr>
        <w:t>e</w:t>
      </w:r>
      <w:r w:rsidRPr="00A338E5">
        <w:rPr>
          <w:rFonts w:cstheme="minorHAnsi"/>
          <w:spacing w:val="29"/>
        </w:rPr>
        <w:t xml:space="preserve"> </w:t>
      </w:r>
      <w:r w:rsidRPr="00A338E5">
        <w:rPr>
          <w:rFonts w:cstheme="minorHAnsi"/>
        </w:rPr>
        <w:t>a</w:t>
      </w:r>
      <w:r w:rsidRPr="00A338E5">
        <w:rPr>
          <w:rFonts w:cstheme="minorHAnsi"/>
          <w:spacing w:val="28"/>
        </w:rPr>
        <w:t xml:space="preserve"> </w:t>
      </w:r>
      <w:r w:rsidRPr="00A338E5">
        <w:rPr>
          <w:rFonts w:cstheme="minorHAnsi"/>
          <w:spacing w:val="-1"/>
        </w:rPr>
        <w:t>d</w:t>
      </w:r>
      <w:r w:rsidRPr="00A338E5">
        <w:rPr>
          <w:rFonts w:cstheme="minorHAnsi"/>
        </w:rPr>
        <w:t>et</w:t>
      </w:r>
      <w:r w:rsidRPr="00A338E5">
        <w:rPr>
          <w:rFonts w:cstheme="minorHAnsi"/>
          <w:spacing w:val="-1"/>
        </w:rPr>
        <w:t>a</w:t>
      </w:r>
      <w:r w:rsidRPr="00A338E5">
        <w:rPr>
          <w:rFonts w:cstheme="minorHAnsi"/>
        </w:rPr>
        <w:t>il</w:t>
      </w:r>
      <w:r w:rsidRPr="00A338E5">
        <w:rPr>
          <w:rFonts w:cstheme="minorHAnsi"/>
          <w:spacing w:val="-1"/>
        </w:rPr>
        <w:t xml:space="preserve">ed </w:t>
      </w:r>
      <w:r w:rsidRPr="00A338E5">
        <w:rPr>
          <w:rFonts w:cstheme="minorHAnsi"/>
        </w:rPr>
        <w:t>knowl</w:t>
      </w:r>
      <w:r w:rsidRPr="00A338E5">
        <w:rPr>
          <w:rFonts w:cstheme="minorHAnsi"/>
          <w:spacing w:val="-1"/>
        </w:rPr>
        <w:t>e</w:t>
      </w:r>
      <w:r w:rsidRPr="00A338E5">
        <w:rPr>
          <w:rFonts w:cstheme="minorHAnsi"/>
        </w:rPr>
        <w:t>dge</w:t>
      </w:r>
      <w:r w:rsidRPr="00A338E5">
        <w:rPr>
          <w:rFonts w:cstheme="minorHAnsi"/>
          <w:spacing w:val="6"/>
        </w:rPr>
        <w:t xml:space="preserve"> </w:t>
      </w:r>
      <w:r w:rsidRPr="00A338E5">
        <w:rPr>
          <w:rFonts w:cstheme="minorHAnsi"/>
        </w:rPr>
        <w:t>of</w:t>
      </w:r>
      <w:r w:rsidRPr="00A338E5">
        <w:rPr>
          <w:rFonts w:cstheme="minorHAnsi"/>
          <w:spacing w:val="6"/>
        </w:rPr>
        <w:t xml:space="preserve"> </w:t>
      </w:r>
      <w:r w:rsidRPr="00A338E5">
        <w:rPr>
          <w:rFonts w:cstheme="minorHAnsi"/>
        </w:rPr>
        <w:t>the</w:t>
      </w:r>
      <w:r w:rsidRPr="00A338E5">
        <w:rPr>
          <w:rFonts w:cstheme="minorHAnsi"/>
          <w:spacing w:val="6"/>
        </w:rPr>
        <w:t xml:space="preserve"> </w:t>
      </w:r>
      <w:r w:rsidRPr="00A338E5">
        <w:rPr>
          <w:rFonts w:cstheme="minorHAnsi"/>
          <w:spacing w:val="-1"/>
        </w:rPr>
        <w:t>c</w:t>
      </w:r>
      <w:r w:rsidRPr="00A338E5">
        <w:rPr>
          <w:rFonts w:cstheme="minorHAnsi"/>
        </w:rPr>
        <w:t>om</w:t>
      </w:r>
      <w:r w:rsidRPr="00A338E5">
        <w:rPr>
          <w:rFonts w:cstheme="minorHAnsi"/>
          <w:spacing w:val="2"/>
        </w:rPr>
        <w:t>p</w:t>
      </w:r>
      <w:r w:rsidRPr="00A338E5">
        <w:rPr>
          <w:rFonts w:cstheme="minorHAnsi"/>
        </w:rPr>
        <w:t>osition</w:t>
      </w:r>
      <w:r w:rsidRPr="00A338E5">
        <w:rPr>
          <w:rFonts w:cstheme="minorHAnsi"/>
          <w:spacing w:val="7"/>
        </w:rPr>
        <w:t xml:space="preserve"> </w:t>
      </w:r>
      <w:r w:rsidRPr="00A338E5">
        <w:rPr>
          <w:rFonts w:cstheme="minorHAnsi"/>
        </w:rPr>
        <w:t>of</w:t>
      </w:r>
      <w:r w:rsidRPr="00A338E5">
        <w:rPr>
          <w:rFonts w:cstheme="minorHAnsi"/>
          <w:spacing w:val="6"/>
        </w:rPr>
        <w:t xml:space="preserve"> </w:t>
      </w:r>
      <w:r w:rsidRPr="00A338E5">
        <w:rPr>
          <w:rFonts w:cstheme="minorHAnsi"/>
        </w:rPr>
        <w:t>the</w:t>
      </w:r>
      <w:r w:rsidRPr="00A338E5">
        <w:rPr>
          <w:rFonts w:cstheme="minorHAnsi"/>
          <w:spacing w:val="6"/>
        </w:rPr>
        <w:t xml:space="preserve"> </w:t>
      </w:r>
      <w:r w:rsidRPr="00A338E5">
        <w:rPr>
          <w:rFonts w:cstheme="minorHAnsi"/>
          <w:spacing w:val="1"/>
        </w:rPr>
        <w:t>Town</w:t>
      </w:r>
      <w:r w:rsidRPr="00A338E5">
        <w:rPr>
          <w:rFonts w:cstheme="minorHAnsi"/>
        </w:rPr>
        <w:t xml:space="preserve">. </w:t>
      </w:r>
      <w:r w:rsidRPr="00A338E5">
        <w:rPr>
          <w:rFonts w:cstheme="minorHAnsi"/>
          <w:spacing w:val="53"/>
        </w:rPr>
        <w:t xml:space="preserve"> </w:t>
      </w:r>
      <w:r w:rsidRPr="00A338E5">
        <w:rPr>
          <w:rFonts w:cstheme="minorHAnsi"/>
        </w:rPr>
        <w:t>Non-</w:t>
      </w:r>
      <w:r w:rsidRPr="00A338E5">
        <w:rPr>
          <w:rFonts w:cstheme="minorHAnsi"/>
          <w:spacing w:val="-1"/>
        </w:rPr>
        <w:t>re</w:t>
      </w:r>
      <w:r w:rsidRPr="00A338E5">
        <w:rPr>
          <w:rFonts w:cstheme="minorHAnsi"/>
        </w:rPr>
        <w:t>si</w:t>
      </w:r>
      <w:r w:rsidRPr="00A338E5">
        <w:rPr>
          <w:rFonts w:cstheme="minorHAnsi"/>
          <w:spacing w:val="2"/>
        </w:rPr>
        <w:t>d</w:t>
      </w:r>
      <w:r w:rsidRPr="00A338E5">
        <w:rPr>
          <w:rFonts w:cstheme="minorHAnsi"/>
          <w:spacing w:val="-1"/>
        </w:rPr>
        <w:t>e</w:t>
      </w:r>
      <w:r w:rsidRPr="00A338E5">
        <w:rPr>
          <w:rFonts w:cstheme="minorHAnsi"/>
        </w:rPr>
        <w:t>nts</w:t>
      </w:r>
      <w:r w:rsidRPr="00A338E5">
        <w:rPr>
          <w:rFonts w:cstheme="minorHAnsi"/>
          <w:spacing w:val="5"/>
        </w:rPr>
        <w:t xml:space="preserve"> </w:t>
      </w:r>
      <w:r w:rsidRPr="00A338E5">
        <w:rPr>
          <w:rFonts w:cstheme="minorHAnsi"/>
        </w:rPr>
        <w:t>m</w:t>
      </w:r>
      <w:r w:rsidRPr="00A338E5">
        <w:rPr>
          <w:rFonts w:cstheme="minorHAnsi"/>
          <w:spacing w:val="4"/>
        </w:rPr>
        <w:t>a</w:t>
      </w:r>
      <w:r w:rsidRPr="00A338E5">
        <w:rPr>
          <w:rFonts w:cstheme="minorHAnsi"/>
        </w:rPr>
        <w:t>y be</w:t>
      </w:r>
      <w:r w:rsidRPr="00A338E5">
        <w:rPr>
          <w:rFonts w:cstheme="minorHAnsi"/>
          <w:spacing w:val="6"/>
        </w:rPr>
        <w:t xml:space="preserve"> </w:t>
      </w:r>
      <w:r w:rsidRPr="00A338E5">
        <w:rPr>
          <w:rFonts w:cstheme="minorHAnsi"/>
          <w:spacing w:val="-1"/>
        </w:rPr>
        <w:t>a</w:t>
      </w:r>
      <w:r w:rsidRPr="00A338E5">
        <w:rPr>
          <w:rFonts w:cstheme="minorHAnsi"/>
        </w:rPr>
        <w:t>ppoint</w:t>
      </w:r>
      <w:r w:rsidRPr="00A338E5">
        <w:rPr>
          <w:rFonts w:cstheme="minorHAnsi"/>
          <w:spacing w:val="-1"/>
        </w:rPr>
        <w:t>e</w:t>
      </w:r>
      <w:r w:rsidRPr="00A338E5">
        <w:rPr>
          <w:rFonts w:cstheme="minorHAnsi"/>
        </w:rPr>
        <w:t>d</w:t>
      </w:r>
      <w:r w:rsidRPr="00A338E5">
        <w:rPr>
          <w:rFonts w:cstheme="minorHAnsi"/>
          <w:spacing w:val="7"/>
        </w:rPr>
        <w:t xml:space="preserve"> </w:t>
      </w:r>
      <w:r w:rsidRPr="00A338E5">
        <w:rPr>
          <w:rFonts w:cstheme="minorHAnsi"/>
        </w:rPr>
        <w:t>if</w:t>
      </w:r>
      <w:r w:rsidRPr="00A338E5">
        <w:rPr>
          <w:rFonts w:cstheme="minorHAnsi"/>
          <w:spacing w:val="4"/>
        </w:rPr>
        <w:t xml:space="preserve"> </w:t>
      </w:r>
      <w:r w:rsidRPr="00A338E5">
        <w:rPr>
          <w:rFonts w:cstheme="minorHAnsi"/>
        </w:rPr>
        <w:t>suit</w:t>
      </w:r>
      <w:r w:rsidRPr="00A338E5">
        <w:rPr>
          <w:rFonts w:cstheme="minorHAnsi"/>
          <w:spacing w:val="-1"/>
        </w:rPr>
        <w:t>a</w:t>
      </w:r>
      <w:r w:rsidRPr="00A338E5">
        <w:rPr>
          <w:rFonts w:cstheme="minorHAnsi"/>
        </w:rPr>
        <w:t>ble</w:t>
      </w:r>
      <w:r w:rsidRPr="00A338E5">
        <w:rPr>
          <w:rFonts w:cstheme="minorHAnsi"/>
          <w:spacing w:val="4"/>
        </w:rPr>
        <w:t xml:space="preserve"> </w:t>
      </w:r>
      <w:r w:rsidRPr="00A338E5">
        <w:rPr>
          <w:rFonts w:cstheme="minorHAnsi"/>
          <w:spacing w:val="-1"/>
        </w:rPr>
        <w:t>ca</w:t>
      </w:r>
      <w:r w:rsidRPr="00A338E5">
        <w:rPr>
          <w:rFonts w:cstheme="minorHAnsi"/>
        </w:rPr>
        <w:t>ndi</w:t>
      </w:r>
      <w:r w:rsidRPr="00A338E5">
        <w:rPr>
          <w:rFonts w:cstheme="minorHAnsi"/>
          <w:spacing w:val="2"/>
        </w:rPr>
        <w:t>d</w:t>
      </w:r>
      <w:r w:rsidRPr="00A338E5">
        <w:rPr>
          <w:rFonts w:cstheme="minorHAnsi"/>
          <w:spacing w:val="-1"/>
        </w:rPr>
        <w:t>a</w:t>
      </w:r>
      <w:r w:rsidRPr="00A338E5">
        <w:rPr>
          <w:rFonts w:cstheme="minorHAnsi"/>
        </w:rPr>
        <w:t>t</w:t>
      </w:r>
      <w:r w:rsidRPr="00A338E5">
        <w:rPr>
          <w:rFonts w:cstheme="minorHAnsi"/>
          <w:spacing w:val="-1"/>
        </w:rPr>
        <w:t>e</w:t>
      </w:r>
      <w:r w:rsidRPr="00A338E5">
        <w:rPr>
          <w:rFonts w:cstheme="minorHAnsi"/>
        </w:rPr>
        <w:t xml:space="preserve">s </w:t>
      </w:r>
      <w:r w:rsidRPr="00A338E5">
        <w:rPr>
          <w:rFonts w:cstheme="minorHAnsi"/>
          <w:spacing w:val="-1"/>
        </w:rPr>
        <w:t>ca</w:t>
      </w:r>
      <w:r w:rsidRPr="00A338E5">
        <w:rPr>
          <w:rFonts w:cstheme="minorHAnsi"/>
        </w:rPr>
        <w:t>nnot</w:t>
      </w:r>
      <w:r w:rsidRPr="00A338E5">
        <w:rPr>
          <w:rFonts w:cstheme="minorHAnsi"/>
          <w:spacing w:val="4"/>
        </w:rPr>
        <w:t xml:space="preserve"> </w:t>
      </w:r>
      <w:r w:rsidRPr="00A338E5">
        <w:rPr>
          <w:rFonts w:cstheme="minorHAnsi"/>
        </w:rPr>
        <w:t>be</w:t>
      </w:r>
      <w:r w:rsidRPr="00A338E5">
        <w:rPr>
          <w:rFonts w:cstheme="minorHAnsi"/>
          <w:spacing w:val="6"/>
        </w:rPr>
        <w:t xml:space="preserve"> </w:t>
      </w:r>
      <w:r w:rsidRPr="00A338E5">
        <w:rPr>
          <w:rFonts w:cstheme="minorHAnsi"/>
          <w:spacing w:val="-1"/>
        </w:rPr>
        <w:t>e</w:t>
      </w:r>
      <w:r w:rsidRPr="00A338E5">
        <w:rPr>
          <w:rFonts w:cstheme="minorHAnsi"/>
        </w:rPr>
        <w:t>st</w:t>
      </w:r>
      <w:r w:rsidRPr="00A338E5">
        <w:rPr>
          <w:rFonts w:cstheme="minorHAnsi"/>
          <w:spacing w:val="-1"/>
        </w:rPr>
        <w:t>a</w:t>
      </w:r>
      <w:r w:rsidRPr="00A338E5">
        <w:rPr>
          <w:rFonts w:cstheme="minorHAnsi"/>
        </w:rPr>
        <w:t>blish</w:t>
      </w:r>
      <w:r w:rsidRPr="00A338E5">
        <w:rPr>
          <w:rFonts w:cstheme="minorHAnsi"/>
          <w:spacing w:val="-1"/>
        </w:rPr>
        <w:t>e</w:t>
      </w:r>
      <w:r w:rsidRPr="00A338E5">
        <w:rPr>
          <w:rFonts w:cstheme="minorHAnsi"/>
        </w:rPr>
        <w:t>d</w:t>
      </w:r>
      <w:r w:rsidRPr="00A338E5">
        <w:rPr>
          <w:rFonts w:cstheme="minorHAnsi"/>
          <w:spacing w:val="7"/>
        </w:rPr>
        <w:t xml:space="preserve"> </w:t>
      </w:r>
      <w:r w:rsidRPr="00A338E5">
        <w:rPr>
          <w:rFonts w:cstheme="minorHAnsi"/>
          <w:spacing w:val="-1"/>
        </w:rPr>
        <w:t>fr</w:t>
      </w:r>
      <w:r w:rsidRPr="00A338E5">
        <w:rPr>
          <w:rFonts w:cstheme="minorHAnsi"/>
          <w:spacing w:val="2"/>
        </w:rPr>
        <w:t>o</w:t>
      </w:r>
      <w:r w:rsidRPr="00A338E5">
        <w:rPr>
          <w:rFonts w:cstheme="minorHAnsi"/>
        </w:rPr>
        <w:t>m</w:t>
      </w:r>
      <w:r w:rsidRPr="00A338E5">
        <w:rPr>
          <w:rFonts w:cstheme="minorHAnsi"/>
          <w:spacing w:val="5"/>
        </w:rPr>
        <w:t xml:space="preserve"> </w:t>
      </w:r>
      <w:r w:rsidRPr="00A338E5">
        <w:rPr>
          <w:rFonts w:cstheme="minorHAnsi"/>
        </w:rPr>
        <w:t>the</w:t>
      </w:r>
      <w:r w:rsidRPr="00A338E5">
        <w:rPr>
          <w:rFonts w:cstheme="minorHAnsi"/>
          <w:spacing w:val="4"/>
        </w:rPr>
        <w:t xml:space="preserve"> </w:t>
      </w:r>
      <w:r w:rsidRPr="00A338E5">
        <w:rPr>
          <w:rFonts w:cstheme="minorHAnsi"/>
          <w:spacing w:val="1"/>
        </w:rPr>
        <w:t>Town</w:t>
      </w:r>
      <w:r w:rsidRPr="00A338E5">
        <w:rPr>
          <w:rFonts w:cstheme="minorHAnsi"/>
          <w:spacing w:val="-1"/>
        </w:rPr>
        <w:t>’</w:t>
      </w:r>
      <w:r w:rsidRPr="00A338E5">
        <w:rPr>
          <w:rFonts w:cstheme="minorHAnsi"/>
        </w:rPr>
        <w:t>s</w:t>
      </w:r>
      <w:r w:rsidRPr="00A338E5">
        <w:rPr>
          <w:rFonts w:cstheme="minorHAnsi"/>
          <w:spacing w:val="8"/>
        </w:rPr>
        <w:t xml:space="preserve"> </w:t>
      </w:r>
      <w:r w:rsidRPr="00A338E5">
        <w:rPr>
          <w:rFonts w:cstheme="minorHAnsi"/>
          <w:spacing w:val="-1"/>
        </w:rPr>
        <w:t>re</w:t>
      </w:r>
      <w:r w:rsidRPr="00A338E5">
        <w:rPr>
          <w:rFonts w:cstheme="minorHAnsi"/>
        </w:rPr>
        <w:t>sid</w:t>
      </w:r>
      <w:r w:rsidRPr="00A338E5">
        <w:rPr>
          <w:rFonts w:cstheme="minorHAnsi"/>
          <w:spacing w:val="-1"/>
        </w:rPr>
        <w:t>e</w:t>
      </w:r>
      <w:r w:rsidRPr="00A338E5">
        <w:rPr>
          <w:rFonts w:cstheme="minorHAnsi"/>
        </w:rPr>
        <w:t>nts</w:t>
      </w:r>
      <w:r w:rsidRPr="00A338E5">
        <w:rPr>
          <w:rFonts w:cstheme="minorHAnsi"/>
          <w:spacing w:val="8"/>
        </w:rPr>
        <w:t xml:space="preserve"> </w:t>
      </w:r>
      <w:r w:rsidRPr="00A338E5">
        <w:rPr>
          <w:rFonts w:cstheme="minorHAnsi"/>
        </w:rPr>
        <w:t>or</w:t>
      </w:r>
      <w:r w:rsidRPr="00A338E5">
        <w:rPr>
          <w:rFonts w:cstheme="minorHAnsi"/>
          <w:spacing w:val="6"/>
        </w:rPr>
        <w:t xml:space="preserve"> </w:t>
      </w:r>
      <w:r w:rsidRPr="00A338E5">
        <w:rPr>
          <w:rFonts w:cstheme="minorHAnsi"/>
        </w:rPr>
        <w:t>if</w:t>
      </w:r>
      <w:r w:rsidRPr="00A338E5">
        <w:rPr>
          <w:rFonts w:cstheme="minorHAnsi"/>
          <w:spacing w:val="4"/>
        </w:rPr>
        <w:t xml:space="preserve"> </w:t>
      </w:r>
      <w:r w:rsidRPr="00A338E5">
        <w:rPr>
          <w:rFonts w:cstheme="minorHAnsi"/>
        </w:rPr>
        <w:t>d</w:t>
      </w:r>
      <w:r w:rsidRPr="00A338E5">
        <w:rPr>
          <w:rFonts w:cstheme="minorHAnsi"/>
          <w:spacing w:val="-1"/>
        </w:rPr>
        <w:t>e</w:t>
      </w:r>
      <w:r w:rsidRPr="00A338E5">
        <w:rPr>
          <w:rFonts w:cstheme="minorHAnsi"/>
        </w:rPr>
        <w:t>t</w:t>
      </w:r>
      <w:r w:rsidRPr="00A338E5">
        <w:rPr>
          <w:rFonts w:cstheme="minorHAnsi"/>
          <w:spacing w:val="1"/>
        </w:rPr>
        <w:t>e</w:t>
      </w:r>
      <w:r w:rsidRPr="00A338E5">
        <w:rPr>
          <w:rFonts w:cstheme="minorHAnsi"/>
          <w:spacing w:val="-1"/>
        </w:rPr>
        <w:t>r</w:t>
      </w:r>
      <w:r w:rsidRPr="00A338E5">
        <w:rPr>
          <w:rFonts w:cstheme="minorHAnsi"/>
        </w:rPr>
        <w:t>min</w:t>
      </w:r>
      <w:r w:rsidRPr="00A338E5">
        <w:rPr>
          <w:rFonts w:cstheme="minorHAnsi"/>
          <w:spacing w:val="-1"/>
        </w:rPr>
        <w:t>e</w:t>
      </w:r>
      <w:r w:rsidRPr="00A338E5">
        <w:rPr>
          <w:rFonts w:cstheme="minorHAnsi"/>
        </w:rPr>
        <w:t>d</w:t>
      </w:r>
      <w:r w:rsidRPr="00A338E5">
        <w:rPr>
          <w:rFonts w:cstheme="minorHAnsi"/>
          <w:spacing w:val="5"/>
        </w:rPr>
        <w:t xml:space="preserve"> b</w:t>
      </w:r>
      <w:r w:rsidRPr="00A338E5">
        <w:rPr>
          <w:rFonts w:cstheme="minorHAnsi"/>
        </w:rPr>
        <w:t>y t</w:t>
      </w:r>
      <w:r w:rsidRPr="00A338E5">
        <w:rPr>
          <w:rFonts w:cstheme="minorHAnsi"/>
          <w:spacing w:val="2"/>
        </w:rPr>
        <w:t>h</w:t>
      </w:r>
      <w:r w:rsidRPr="00A338E5">
        <w:rPr>
          <w:rFonts w:cstheme="minorHAnsi"/>
        </w:rPr>
        <w:t xml:space="preserve">e </w:t>
      </w:r>
      <w:r w:rsidRPr="00A338E5">
        <w:rPr>
          <w:rFonts w:cstheme="minorHAnsi"/>
          <w:spacing w:val="1"/>
        </w:rPr>
        <w:t>C</w:t>
      </w:r>
      <w:r w:rsidRPr="00A338E5">
        <w:rPr>
          <w:rFonts w:cstheme="minorHAnsi"/>
        </w:rPr>
        <w:t>oun</w:t>
      </w:r>
      <w:r w:rsidRPr="00A338E5">
        <w:rPr>
          <w:rFonts w:cstheme="minorHAnsi"/>
          <w:spacing w:val="-1"/>
        </w:rPr>
        <w:t>c</w:t>
      </w:r>
      <w:r w:rsidRPr="00A338E5">
        <w:rPr>
          <w:rFonts w:cstheme="minorHAnsi"/>
        </w:rPr>
        <w:t>il.</w:t>
      </w:r>
    </w:p>
    <w:p w14:paraId="1CC6EA66" w14:textId="77777777" w:rsidR="00082DB7" w:rsidRPr="00A338E5" w:rsidRDefault="00082DB7" w:rsidP="00082DB7">
      <w:pPr>
        <w:widowControl w:val="0"/>
        <w:tabs>
          <w:tab w:val="left" w:pos="1560"/>
        </w:tabs>
        <w:spacing w:before="200" w:after="0" w:line="240" w:lineRule="auto"/>
        <w:ind w:right="74"/>
        <w:jc w:val="both"/>
        <w:rPr>
          <w:rFonts w:cstheme="minorHAnsi"/>
          <w:b/>
          <w:bCs/>
        </w:rPr>
      </w:pPr>
      <w:r w:rsidRPr="00A338E5">
        <w:rPr>
          <w:rFonts w:cstheme="minorHAnsi"/>
          <w:b/>
          <w:bCs/>
          <w:spacing w:val="1"/>
        </w:rPr>
        <w:t>T</w:t>
      </w:r>
      <w:r w:rsidRPr="00A338E5">
        <w:rPr>
          <w:rFonts w:cstheme="minorHAnsi"/>
          <w:b/>
          <w:bCs/>
        </w:rPr>
        <w:t>he</w:t>
      </w:r>
      <w:r w:rsidRPr="00A338E5">
        <w:rPr>
          <w:rFonts w:cstheme="minorHAnsi"/>
          <w:b/>
          <w:bCs/>
          <w:spacing w:val="1"/>
        </w:rPr>
        <w:t xml:space="preserve"> </w:t>
      </w:r>
      <w:r w:rsidRPr="00A338E5">
        <w:rPr>
          <w:rFonts w:cstheme="minorHAnsi"/>
          <w:b/>
          <w:bCs/>
        </w:rPr>
        <w:t>Chair</w:t>
      </w:r>
      <w:r w:rsidRPr="00A338E5">
        <w:rPr>
          <w:rFonts w:cstheme="minorHAnsi"/>
          <w:b/>
          <w:bCs/>
          <w:spacing w:val="-3"/>
        </w:rPr>
        <w:t>p</w:t>
      </w:r>
      <w:r w:rsidRPr="00A338E5">
        <w:rPr>
          <w:rFonts w:cstheme="minorHAnsi"/>
          <w:b/>
          <w:bCs/>
          <w:spacing w:val="1"/>
        </w:rPr>
        <w:t>e</w:t>
      </w:r>
      <w:r w:rsidRPr="00A338E5">
        <w:rPr>
          <w:rFonts w:cstheme="minorHAnsi"/>
          <w:b/>
          <w:bCs/>
        </w:rPr>
        <w:t>r</w:t>
      </w:r>
      <w:r w:rsidRPr="00A338E5">
        <w:rPr>
          <w:rFonts w:cstheme="minorHAnsi"/>
          <w:b/>
          <w:bCs/>
          <w:spacing w:val="1"/>
        </w:rPr>
        <w:t>s</w:t>
      </w:r>
      <w:r w:rsidRPr="00A338E5">
        <w:rPr>
          <w:rFonts w:cstheme="minorHAnsi"/>
          <w:b/>
          <w:bCs/>
        </w:rPr>
        <w:t>on</w:t>
      </w:r>
    </w:p>
    <w:p w14:paraId="161B098C" w14:textId="77777777" w:rsidR="00082DB7" w:rsidRPr="00A338E5" w:rsidRDefault="00082DB7" w:rsidP="00082DB7">
      <w:pPr>
        <w:widowControl w:val="0"/>
        <w:tabs>
          <w:tab w:val="left" w:pos="1560"/>
        </w:tabs>
        <w:spacing w:after="60" w:line="240" w:lineRule="auto"/>
        <w:ind w:left="425" w:right="74" w:hanging="425"/>
        <w:jc w:val="both"/>
        <w:rPr>
          <w:rFonts w:cstheme="minorHAnsi"/>
          <w:spacing w:val="-1"/>
        </w:rPr>
      </w:pPr>
      <w:r w:rsidRPr="00A338E5">
        <w:rPr>
          <w:rFonts w:cstheme="minorHAnsi"/>
        </w:rPr>
        <w:t>1.</w:t>
      </w:r>
      <w:r w:rsidRPr="00A338E5">
        <w:rPr>
          <w:rFonts w:cstheme="minorHAnsi"/>
        </w:rPr>
        <w:tab/>
        <w:t>The</w:t>
      </w:r>
      <w:r w:rsidRPr="00A338E5">
        <w:rPr>
          <w:rFonts w:cstheme="minorHAnsi"/>
          <w:spacing w:val="23"/>
        </w:rPr>
        <w:t xml:space="preserve"> </w:t>
      </w:r>
      <w:r w:rsidRPr="00A338E5">
        <w:rPr>
          <w:rFonts w:cstheme="minorHAnsi"/>
        </w:rPr>
        <w:t>CDAC</w:t>
      </w:r>
      <w:r w:rsidRPr="00A338E5">
        <w:rPr>
          <w:rFonts w:cstheme="minorHAnsi"/>
          <w:spacing w:val="27"/>
        </w:rPr>
        <w:t xml:space="preserve"> </w:t>
      </w:r>
      <w:r w:rsidRPr="00A338E5">
        <w:rPr>
          <w:rFonts w:cstheme="minorHAnsi"/>
          <w:spacing w:val="1"/>
        </w:rPr>
        <w:t>C</w:t>
      </w:r>
      <w:r w:rsidRPr="00A338E5">
        <w:rPr>
          <w:rFonts w:cstheme="minorHAnsi"/>
        </w:rPr>
        <w:t>h</w:t>
      </w:r>
      <w:r w:rsidRPr="00A338E5">
        <w:rPr>
          <w:rFonts w:cstheme="minorHAnsi"/>
          <w:spacing w:val="-1"/>
        </w:rPr>
        <w:t>a</w:t>
      </w:r>
      <w:r w:rsidRPr="00A338E5">
        <w:rPr>
          <w:rFonts w:cstheme="minorHAnsi"/>
        </w:rPr>
        <w:t>i</w:t>
      </w:r>
      <w:r w:rsidRPr="00A338E5">
        <w:rPr>
          <w:rFonts w:cstheme="minorHAnsi"/>
          <w:spacing w:val="-1"/>
        </w:rPr>
        <w:t>r</w:t>
      </w:r>
      <w:r w:rsidRPr="00A338E5">
        <w:rPr>
          <w:rFonts w:cstheme="minorHAnsi"/>
        </w:rPr>
        <w:t>p</w:t>
      </w:r>
      <w:r w:rsidRPr="00A338E5">
        <w:rPr>
          <w:rFonts w:cstheme="minorHAnsi"/>
          <w:spacing w:val="-1"/>
        </w:rPr>
        <w:t>er</w:t>
      </w:r>
      <w:r w:rsidRPr="00A338E5">
        <w:rPr>
          <w:rFonts w:cstheme="minorHAnsi"/>
        </w:rPr>
        <w:t>son</w:t>
      </w:r>
      <w:r w:rsidRPr="00A338E5">
        <w:rPr>
          <w:rFonts w:cstheme="minorHAnsi"/>
          <w:spacing w:val="26"/>
        </w:rPr>
        <w:t xml:space="preserve"> </w:t>
      </w:r>
      <w:r w:rsidRPr="00A338E5">
        <w:rPr>
          <w:rFonts w:cstheme="minorHAnsi"/>
          <w:spacing w:val="-1"/>
        </w:rPr>
        <w:t>is an Elected Member of Council and appointed by Council.</w:t>
      </w:r>
    </w:p>
    <w:p w14:paraId="264A0612" w14:textId="77777777" w:rsidR="00082DB7" w:rsidRPr="00A338E5" w:rsidRDefault="00082DB7" w:rsidP="00082DB7">
      <w:pPr>
        <w:widowControl w:val="0"/>
        <w:tabs>
          <w:tab w:val="left" w:pos="1560"/>
        </w:tabs>
        <w:spacing w:after="0" w:line="240" w:lineRule="auto"/>
        <w:ind w:left="426" w:right="75" w:hanging="426"/>
        <w:jc w:val="both"/>
        <w:rPr>
          <w:rFonts w:cstheme="minorHAnsi"/>
        </w:rPr>
      </w:pPr>
      <w:r w:rsidRPr="00A338E5">
        <w:rPr>
          <w:rFonts w:cstheme="minorHAnsi"/>
        </w:rPr>
        <w:t>2.</w:t>
      </w:r>
      <w:r w:rsidRPr="00A338E5">
        <w:rPr>
          <w:rFonts w:cstheme="minorHAnsi"/>
        </w:rPr>
        <w:tab/>
        <w:t>T</w:t>
      </w:r>
      <w:r w:rsidRPr="00A338E5">
        <w:rPr>
          <w:rFonts w:cstheme="minorHAnsi"/>
          <w:spacing w:val="-1"/>
        </w:rPr>
        <w:t>h</w:t>
      </w:r>
      <w:r w:rsidRPr="00A338E5">
        <w:rPr>
          <w:rFonts w:cstheme="minorHAnsi"/>
        </w:rPr>
        <w:t>e</w:t>
      </w:r>
      <w:r w:rsidRPr="00A338E5">
        <w:rPr>
          <w:rFonts w:cstheme="minorHAnsi"/>
          <w:spacing w:val="19"/>
        </w:rPr>
        <w:t xml:space="preserve"> </w:t>
      </w:r>
      <w:r>
        <w:rPr>
          <w:rFonts w:cstheme="minorHAnsi"/>
          <w:spacing w:val="1"/>
        </w:rPr>
        <w:t>Executive Manager Regulatory Services</w:t>
      </w:r>
      <w:r w:rsidRPr="00A338E5">
        <w:rPr>
          <w:rFonts w:cstheme="minorHAnsi"/>
          <w:spacing w:val="18"/>
        </w:rPr>
        <w:t xml:space="preserve"> </w:t>
      </w:r>
      <w:r w:rsidRPr="00A338E5">
        <w:rPr>
          <w:rFonts w:cstheme="minorHAnsi"/>
        </w:rPr>
        <w:t>s</w:t>
      </w:r>
      <w:r w:rsidRPr="00A338E5">
        <w:rPr>
          <w:rFonts w:cstheme="minorHAnsi"/>
          <w:spacing w:val="-1"/>
        </w:rPr>
        <w:t>h</w:t>
      </w:r>
      <w:r w:rsidRPr="00A338E5">
        <w:rPr>
          <w:rFonts w:cstheme="minorHAnsi"/>
        </w:rPr>
        <w:t>all</w:t>
      </w:r>
      <w:r w:rsidRPr="00A338E5">
        <w:rPr>
          <w:rFonts w:cstheme="minorHAnsi"/>
          <w:spacing w:val="20"/>
        </w:rPr>
        <w:t xml:space="preserve"> </w:t>
      </w:r>
      <w:r w:rsidRPr="00A338E5">
        <w:rPr>
          <w:rFonts w:cstheme="minorHAnsi"/>
          <w:spacing w:val="-2"/>
        </w:rPr>
        <w:t>g</w:t>
      </w:r>
      <w:r w:rsidRPr="00A338E5">
        <w:rPr>
          <w:rFonts w:cstheme="minorHAnsi"/>
        </w:rPr>
        <w:t>i</w:t>
      </w:r>
      <w:r w:rsidRPr="00A338E5">
        <w:rPr>
          <w:rFonts w:cstheme="minorHAnsi"/>
          <w:spacing w:val="-1"/>
        </w:rPr>
        <w:t>v</w:t>
      </w:r>
      <w:r w:rsidRPr="00A338E5">
        <w:rPr>
          <w:rFonts w:cstheme="minorHAnsi"/>
        </w:rPr>
        <w:t>e</w:t>
      </w:r>
      <w:r w:rsidRPr="00A338E5">
        <w:rPr>
          <w:rFonts w:cstheme="minorHAnsi"/>
          <w:spacing w:val="19"/>
        </w:rPr>
        <w:t xml:space="preserve"> </w:t>
      </w:r>
      <w:r w:rsidRPr="00A338E5">
        <w:rPr>
          <w:rFonts w:cstheme="minorHAnsi"/>
          <w:spacing w:val="-1"/>
        </w:rPr>
        <w:t>a</w:t>
      </w:r>
      <w:r w:rsidRPr="00A338E5">
        <w:rPr>
          <w:rFonts w:cstheme="minorHAnsi"/>
        </w:rPr>
        <w:t>ll</w:t>
      </w:r>
      <w:r w:rsidRPr="00A338E5">
        <w:rPr>
          <w:rFonts w:cstheme="minorHAnsi"/>
          <w:spacing w:val="20"/>
        </w:rPr>
        <w:t xml:space="preserve"> </w:t>
      </w:r>
      <w:r w:rsidRPr="00A338E5">
        <w:rPr>
          <w:rFonts w:cstheme="minorHAnsi"/>
          <w:spacing w:val="-1"/>
        </w:rPr>
        <w:t>a</w:t>
      </w:r>
      <w:r w:rsidRPr="00A338E5">
        <w:rPr>
          <w:rFonts w:cstheme="minorHAnsi"/>
        </w:rPr>
        <w:t>ssist</w:t>
      </w:r>
      <w:r w:rsidRPr="00A338E5">
        <w:rPr>
          <w:rFonts w:cstheme="minorHAnsi"/>
          <w:spacing w:val="-1"/>
        </w:rPr>
        <w:t>an</w:t>
      </w:r>
      <w:r w:rsidRPr="00A338E5">
        <w:rPr>
          <w:rFonts w:cstheme="minorHAnsi"/>
        </w:rPr>
        <w:t>ce</w:t>
      </w:r>
      <w:r w:rsidRPr="00A338E5">
        <w:rPr>
          <w:rFonts w:cstheme="minorHAnsi"/>
          <w:spacing w:val="18"/>
        </w:rPr>
        <w:t xml:space="preserve"> </w:t>
      </w:r>
      <w:r w:rsidRPr="00A338E5">
        <w:rPr>
          <w:rFonts w:cstheme="minorHAnsi"/>
        </w:rPr>
        <w:t>to the</w:t>
      </w:r>
      <w:r w:rsidRPr="00A338E5">
        <w:rPr>
          <w:rFonts w:cstheme="minorHAnsi"/>
          <w:spacing w:val="49"/>
        </w:rPr>
        <w:t xml:space="preserve"> </w:t>
      </w:r>
      <w:r w:rsidRPr="00A338E5">
        <w:rPr>
          <w:rFonts w:cstheme="minorHAnsi"/>
        </w:rPr>
        <w:t xml:space="preserve">CDAC </w:t>
      </w:r>
      <w:r w:rsidRPr="00A338E5">
        <w:rPr>
          <w:rFonts w:cstheme="minorHAnsi"/>
          <w:spacing w:val="1"/>
        </w:rPr>
        <w:t>C</w:t>
      </w:r>
      <w:r w:rsidRPr="00A338E5">
        <w:rPr>
          <w:rFonts w:cstheme="minorHAnsi"/>
        </w:rPr>
        <w:t>h</w:t>
      </w:r>
      <w:r w:rsidRPr="00A338E5">
        <w:rPr>
          <w:rFonts w:cstheme="minorHAnsi"/>
          <w:spacing w:val="-1"/>
        </w:rPr>
        <w:t>a</w:t>
      </w:r>
      <w:r w:rsidRPr="00A338E5">
        <w:rPr>
          <w:rFonts w:cstheme="minorHAnsi"/>
        </w:rPr>
        <w:t>i</w:t>
      </w:r>
      <w:r w:rsidRPr="00A338E5">
        <w:rPr>
          <w:rFonts w:cstheme="minorHAnsi"/>
          <w:spacing w:val="-1"/>
        </w:rPr>
        <w:t>r</w:t>
      </w:r>
      <w:r w:rsidRPr="00A338E5">
        <w:rPr>
          <w:rFonts w:cstheme="minorHAnsi"/>
        </w:rPr>
        <w:t>p</w:t>
      </w:r>
      <w:r w:rsidRPr="00A338E5">
        <w:rPr>
          <w:rFonts w:cstheme="minorHAnsi"/>
          <w:spacing w:val="-1"/>
        </w:rPr>
        <w:t>er</w:t>
      </w:r>
      <w:r w:rsidRPr="00A338E5">
        <w:rPr>
          <w:rFonts w:cstheme="minorHAnsi"/>
        </w:rPr>
        <w:t>son in respect to administrative support for the Committee.</w:t>
      </w:r>
    </w:p>
    <w:p w14:paraId="00D79B96" w14:textId="77777777" w:rsidR="00082DB7" w:rsidRPr="00A338E5" w:rsidRDefault="00082DB7" w:rsidP="00082DB7">
      <w:pPr>
        <w:widowControl w:val="0"/>
        <w:tabs>
          <w:tab w:val="left" w:pos="1540"/>
        </w:tabs>
        <w:spacing w:before="200" w:after="0" w:line="240" w:lineRule="auto"/>
        <w:ind w:right="74"/>
        <w:rPr>
          <w:rFonts w:cstheme="minorHAnsi"/>
          <w:b/>
          <w:bCs/>
          <w:spacing w:val="1"/>
        </w:rPr>
      </w:pPr>
      <w:r w:rsidRPr="00A338E5">
        <w:rPr>
          <w:rFonts w:cstheme="minorHAnsi"/>
          <w:b/>
          <w:bCs/>
        </w:rPr>
        <w:t>Ap</w:t>
      </w:r>
      <w:r w:rsidRPr="00A338E5">
        <w:rPr>
          <w:rFonts w:cstheme="minorHAnsi"/>
          <w:b/>
          <w:bCs/>
          <w:spacing w:val="-3"/>
        </w:rPr>
        <w:t>p</w:t>
      </w:r>
      <w:r w:rsidRPr="00A338E5">
        <w:rPr>
          <w:rFonts w:cstheme="minorHAnsi"/>
          <w:b/>
          <w:bCs/>
          <w:spacing w:val="1"/>
        </w:rPr>
        <w:t>l</w:t>
      </w:r>
      <w:r w:rsidRPr="00A338E5">
        <w:rPr>
          <w:rFonts w:cstheme="minorHAnsi"/>
          <w:b/>
          <w:bCs/>
        </w:rPr>
        <w:t>ica</w:t>
      </w:r>
      <w:r w:rsidRPr="00A338E5">
        <w:rPr>
          <w:rFonts w:cstheme="minorHAnsi"/>
          <w:b/>
          <w:bCs/>
          <w:spacing w:val="1"/>
        </w:rPr>
        <w:t>t</w:t>
      </w:r>
      <w:r w:rsidRPr="00A338E5">
        <w:rPr>
          <w:rFonts w:cstheme="minorHAnsi"/>
          <w:b/>
          <w:bCs/>
        </w:rPr>
        <w:t>ions</w:t>
      </w:r>
      <w:r w:rsidRPr="00A338E5">
        <w:rPr>
          <w:rFonts w:cstheme="minorHAnsi"/>
          <w:b/>
          <w:bCs/>
          <w:spacing w:val="1"/>
        </w:rPr>
        <w:t xml:space="preserve"> t</w:t>
      </w:r>
      <w:r w:rsidRPr="00A338E5">
        <w:rPr>
          <w:rFonts w:cstheme="minorHAnsi"/>
          <w:b/>
          <w:bCs/>
        </w:rPr>
        <w:t xml:space="preserve">o </w:t>
      </w:r>
      <w:r w:rsidRPr="00A338E5">
        <w:rPr>
          <w:rFonts w:cstheme="minorHAnsi"/>
          <w:b/>
          <w:bCs/>
          <w:spacing w:val="1"/>
        </w:rPr>
        <w:t>b</w:t>
      </w:r>
      <w:r w:rsidRPr="00A338E5">
        <w:rPr>
          <w:rFonts w:cstheme="minorHAnsi"/>
          <w:b/>
          <w:bCs/>
        </w:rPr>
        <w:t>e</w:t>
      </w:r>
      <w:r w:rsidRPr="00A338E5">
        <w:rPr>
          <w:rFonts w:cstheme="minorHAnsi"/>
          <w:b/>
          <w:bCs/>
          <w:spacing w:val="1"/>
        </w:rPr>
        <w:t xml:space="preserve"> </w:t>
      </w:r>
      <w:r w:rsidRPr="00A338E5">
        <w:rPr>
          <w:rFonts w:cstheme="minorHAnsi"/>
          <w:b/>
          <w:bCs/>
        </w:rPr>
        <w:t>R</w:t>
      </w:r>
      <w:r w:rsidRPr="00A338E5">
        <w:rPr>
          <w:rFonts w:cstheme="minorHAnsi"/>
          <w:b/>
          <w:bCs/>
          <w:spacing w:val="1"/>
        </w:rPr>
        <w:t>e</w:t>
      </w:r>
      <w:r w:rsidRPr="00A338E5">
        <w:rPr>
          <w:rFonts w:cstheme="minorHAnsi"/>
          <w:b/>
          <w:bCs/>
          <w:spacing w:val="-3"/>
        </w:rPr>
        <w:t>f</w:t>
      </w:r>
      <w:r w:rsidRPr="00A338E5">
        <w:rPr>
          <w:rFonts w:cstheme="minorHAnsi"/>
          <w:b/>
          <w:bCs/>
          <w:spacing w:val="1"/>
        </w:rPr>
        <w:t>e</w:t>
      </w:r>
      <w:r w:rsidRPr="00A338E5">
        <w:rPr>
          <w:rFonts w:cstheme="minorHAnsi"/>
          <w:b/>
          <w:bCs/>
        </w:rPr>
        <w:t>rr</w:t>
      </w:r>
      <w:r w:rsidRPr="00A338E5">
        <w:rPr>
          <w:rFonts w:cstheme="minorHAnsi"/>
          <w:b/>
          <w:bCs/>
          <w:spacing w:val="1"/>
        </w:rPr>
        <w:t>e</w:t>
      </w:r>
      <w:r w:rsidRPr="00A338E5">
        <w:rPr>
          <w:rFonts w:cstheme="minorHAnsi"/>
          <w:b/>
          <w:bCs/>
        </w:rPr>
        <w:t xml:space="preserve">d </w:t>
      </w:r>
      <w:r w:rsidRPr="00A338E5">
        <w:rPr>
          <w:rFonts w:cstheme="minorHAnsi"/>
          <w:b/>
          <w:bCs/>
          <w:spacing w:val="1"/>
        </w:rPr>
        <w:t>t</w:t>
      </w:r>
      <w:r w:rsidRPr="00A338E5">
        <w:rPr>
          <w:rFonts w:cstheme="minorHAnsi"/>
          <w:b/>
          <w:bCs/>
        </w:rPr>
        <w:t xml:space="preserve">o </w:t>
      </w:r>
      <w:r w:rsidRPr="00A338E5">
        <w:rPr>
          <w:rFonts w:cstheme="minorHAnsi"/>
          <w:b/>
          <w:bCs/>
          <w:spacing w:val="1"/>
        </w:rPr>
        <w:t>t</w:t>
      </w:r>
      <w:r w:rsidRPr="00A338E5">
        <w:rPr>
          <w:rFonts w:cstheme="minorHAnsi"/>
          <w:b/>
          <w:bCs/>
        </w:rPr>
        <w:t>he</w:t>
      </w:r>
      <w:r w:rsidRPr="00A338E5">
        <w:rPr>
          <w:rFonts w:cstheme="minorHAnsi"/>
          <w:b/>
          <w:bCs/>
          <w:spacing w:val="1"/>
        </w:rPr>
        <w:t xml:space="preserve"> </w:t>
      </w:r>
      <w:r w:rsidRPr="00A338E5">
        <w:rPr>
          <w:rFonts w:cstheme="minorHAnsi"/>
          <w:b/>
          <w:bCs/>
        </w:rPr>
        <w:t>Co</w:t>
      </w:r>
      <w:r w:rsidRPr="00A338E5">
        <w:rPr>
          <w:rFonts w:cstheme="minorHAnsi"/>
          <w:b/>
          <w:bCs/>
          <w:spacing w:val="-1"/>
        </w:rPr>
        <w:t>mm</w:t>
      </w:r>
      <w:r w:rsidRPr="00A338E5">
        <w:rPr>
          <w:rFonts w:cstheme="minorHAnsi"/>
          <w:b/>
          <w:bCs/>
        </w:rPr>
        <w:t>i</w:t>
      </w:r>
      <w:r w:rsidRPr="00A338E5">
        <w:rPr>
          <w:rFonts w:cstheme="minorHAnsi"/>
          <w:b/>
          <w:bCs/>
          <w:spacing w:val="1"/>
        </w:rPr>
        <w:t>ttee</w:t>
      </w:r>
    </w:p>
    <w:p w14:paraId="6A788210" w14:textId="77777777" w:rsidR="00082DB7" w:rsidRPr="00A338E5" w:rsidRDefault="00082DB7" w:rsidP="00082DB7">
      <w:pPr>
        <w:widowControl w:val="0"/>
        <w:tabs>
          <w:tab w:val="left" w:pos="1540"/>
        </w:tabs>
        <w:spacing w:after="60" w:line="240" w:lineRule="auto"/>
        <w:ind w:left="426" w:right="76" w:hanging="426"/>
        <w:rPr>
          <w:rFonts w:cstheme="minorHAnsi"/>
        </w:rPr>
      </w:pPr>
      <w:r w:rsidRPr="00A338E5">
        <w:rPr>
          <w:rFonts w:cstheme="minorHAnsi"/>
        </w:rPr>
        <w:t>1.</w:t>
      </w:r>
      <w:r w:rsidRPr="00A338E5">
        <w:rPr>
          <w:rFonts w:cstheme="minorHAnsi"/>
        </w:rPr>
        <w:tab/>
        <w:t xml:space="preserve">The </w:t>
      </w:r>
      <w:r w:rsidRPr="00A338E5">
        <w:rPr>
          <w:rFonts w:cstheme="minorHAnsi"/>
          <w:spacing w:val="-1"/>
        </w:rPr>
        <w:t>f</w:t>
      </w:r>
      <w:r>
        <w:rPr>
          <w:rFonts w:cstheme="minorHAnsi"/>
        </w:rPr>
        <w:t>ollowing a</w:t>
      </w:r>
      <w:r w:rsidRPr="00A338E5">
        <w:rPr>
          <w:rFonts w:cstheme="minorHAnsi"/>
        </w:rPr>
        <w:t>ppli</w:t>
      </w:r>
      <w:r w:rsidRPr="00A338E5">
        <w:rPr>
          <w:rFonts w:cstheme="minorHAnsi"/>
          <w:spacing w:val="-1"/>
        </w:rPr>
        <w:t>ca</w:t>
      </w:r>
      <w:r w:rsidRPr="00A338E5">
        <w:rPr>
          <w:rFonts w:cstheme="minorHAnsi"/>
          <w:spacing w:val="3"/>
        </w:rPr>
        <w:t>t</w:t>
      </w:r>
      <w:r w:rsidRPr="00A338E5">
        <w:rPr>
          <w:rFonts w:cstheme="minorHAnsi"/>
        </w:rPr>
        <w:t>ions</w:t>
      </w:r>
      <w:r w:rsidRPr="00A338E5">
        <w:rPr>
          <w:rFonts w:cstheme="minorHAnsi"/>
          <w:spacing w:val="7"/>
        </w:rPr>
        <w:t xml:space="preserve"> </w:t>
      </w:r>
      <w:r w:rsidRPr="00A338E5">
        <w:rPr>
          <w:rFonts w:cstheme="minorHAnsi"/>
          <w:spacing w:val="-1"/>
        </w:rPr>
        <w:t>f</w:t>
      </w:r>
      <w:r w:rsidRPr="00A338E5">
        <w:rPr>
          <w:rFonts w:cstheme="minorHAnsi"/>
        </w:rPr>
        <w:t>or</w:t>
      </w:r>
      <w:r w:rsidRPr="00A338E5">
        <w:rPr>
          <w:rFonts w:cstheme="minorHAnsi"/>
          <w:spacing w:val="6"/>
        </w:rPr>
        <w:t xml:space="preserve"> </w:t>
      </w:r>
      <w:r>
        <w:rPr>
          <w:rFonts w:cstheme="minorHAnsi"/>
        </w:rPr>
        <w:t>development</w:t>
      </w:r>
      <w:r w:rsidRPr="00A338E5">
        <w:rPr>
          <w:rFonts w:cstheme="minorHAnsi"/>
        </w:rPr>
        <w:t xml:space="preserve"> </w:t>
      </w:r>
      <w:r w:rsidRPr="00A338E5">
        <w:rPr>
          <w:rFonts w:cstheme="minorHAnsi"/>
          <w:spacing w:val="-1"/>
        </w:rPr>
        <w:t>a</w:t>
      </w:r>
      <w:r w:rsidRPr="00A338E5">
        <w:rPr>
          <w:rFonts w:cstheme="minorHAnsi"/>
        </w:rPr>
        <w:t>p</w:t>
      </w:r>
      <w:r w:rsidRPr="00A338E5">
        <w:rPr>
          <w:rFonts w:cstheme="minorHAnsi"/>
          <w:spacing w:val="2"/>
        </w:rPr>
        <w:t>p</w:t>
      </w:r>
      <w:r w:rsidRPr="00A338E5">
        <w:rPr>
          <w:rFonts w:cstheme="minorHAnsi"/>
          <w:spacing w:val="-1"/>
        </w:rPr>
        <w:t>r</w:t>
      </w:r>
      <w:r w:rsidRPr="00A338E5">
        <w:rPr>
          <w:rFonts w:cstheme="minorHAnsi"/>
        </w:rPr>
        <w:t>ov</w:t>
      </w:r>
      <w:r w:rsidRPr="00A338E5">
        <w:rPr>
          <w:rFonts w:cstheme="minorHAnsi"/>
          <w:spacing w:val="-1"/>
        </w:rPr>
        <w:t>a</w:t>
      </w:r>
      <w:r w:rsidRPr="00A338E5">
        <w:rPr>
          <w:rFonts w:cstheme="minorHAnsi"/>
        </w:rPr>
        <w:t xml:space="preserve">l </w:t>
      </w:r>
      <w:r w:rsidRPr="00A338E5">
        <w:rPr>
          <w:rFonts w:cstheme="minorHAnsi"/>
          <w:spacing w:val="-1"/>
        </w:rPr>
        <w:t>f</w:t>
      </w:r>
      <w:r w:rsidRPr="00A338E5">
        <w:rPr>
          <w:rFonts w:cstheme="minorHAnsi"/>
        </w:rPr>
        <w:t>or p</w:t>
      </w:r>
      <w:r w:rsidRPr="00A338E5">
        <w:rPr>
          <w:rFonts w:cstheme="minorHAnsi"/>
          <w:spacing w:val="-1"/>
        </w:rPr>
        <w:t>r</w:t>
      </w:r>
      <w:r w:rsidRPr="00A338E5">
        <w:rPr>
          <w:rFonts w:cstheme="minorHAnsi"/>
        </w:rPr>
        <w:t>opo</w:t>
      </w:r>
      <w:r w:rsidRPr="00A338E5">
        <w:rPr>
          <w:rFonts w:cstheme="minorHAnsi"/>
          <w:spacing w:val="3"/>
        </w:rPr>
        <w:t>s</w:t>
      </w:r>
      <w:r w:rsidRPr="00A338E5">
        <w:rPr>
          <w:rFonts w:cstheme="minorHAnsi"/>
          <w:spacing w:val="-1"/>
        </w:rPr>
        <w:t>e</w:t>
      </w:r>
      <w:r w:rsidRPr="00A338E5">
        <w:rPr>
          <w:rFonts w:cstheme="minorHAnsi"/>
        </w:rPr>
        <w:t>d d</w:t>
      </w:r>
      <w:r w:rsidRPr="00A338E5">
        <w:rPr>
          <w:rFonts w:cstheme="minorHAnsi"/>
          <w:spacing w:val="-1"/>
        </w:rPr>
        <w:t>e</w:t>
      </w:r>
      <w:r w:rsidRPr="00A338E5">
        <w:rPr>
          <w:rFonts w:cstheme="minorHAnsi"/>
        </w:rPr>
        <w:t>v</w:t>
      </w:r>
      <w:r w:rsidRPr="00A338E5">
        <w:rPr>
          <w:rFonts w:cstheme="minorHAnsi"/>
          <w:spacing w:val="-1"/>
        </w:rPr>
        <w:t>e</w:t>
      </w:r>
      <w:r w:rsidRPr="00A338E5">
        <w:rPr>
          <w:rFonts w:cstheme="minorHAnsi"/>
        </w:rPr>
        <w:t>lopm</w:t>
      </w:r>
      <w:r w:rsidRPr="00A338E5">
        <w:rPr>
          <w:rFonts w:cstheme="minorHAnsi"/>
          <w:spacing w:val="-1"/>
        </w:rPr>
        <w:t>e</w:t>
      </w:r>
      <w:r w:rsidRPr="00A338E5">
        <w:rPr>
          <w:rFonts w:cstheme="minorHAnsi"/>
        </w:rPr>
        <w:t>nt</w:t>
      </w:r>
      <w:r w:rsidRPr="00A338E5">
        <w:rPr>
          <w:rFonts w:cstheme="minorHAnsi"/>
          <w:spacing w:val="3"/>
        </w:rPr>
        <w:t xml:space="preserve"> </w:t>
      </w:r>
      <w:r w:rsidRPr="00A338E5">
        <w:rPr>
          <w:rFonts w:cstheme="minorHAnsi"/>
          <w:spacing w:val="-1"/>
        </w:rPr>
        <w:t>(</w:t>
      </w:r>
      <w:r w:rsidRPr="00A338E5">
        <w:rPr>
          <w:rFonts w:cstheme="minorHAnsi"/>
        </w:rPr>
        <w:t>D</w:t>
      </w:r>
      <w:r w:rsidRPr="00A338E5">
        <w:rPr>
          <w:rFonts w:cstheme="minorHAnsi"/>
          <w:spacing w:val="-1"/>
        </w:rPr>
        <w:t>e</w:t>
      </w:r>
      <w:r w:rsidRPr="00A338E5">
        <w:rPr>
          <w:rFonts w:cstheme="minorHAnsi"/>
          <w:spacing w:val="2"/>
        </w:rPr>
        <w:t>v</w:t>
      </w:r>
      <w:r w:rsidRPr="00A338E5">
        <w:rPr>
          <w:rFonts w:cstheme="minorHAnsi"/>
          <w:spacing w:val="-1"/>
        </w:rPr>
        <w:t>e</w:t>
      </w:r>
      <w:r w:rsidRPr="00A338E5">
        <w:rPr>
          <w:rFonts w:cstheme="minorHAnsi"/>
        </w:rPr>
        <w:t>lopm</w:t>
      </w:r>
      <w:r w:rsidRPr="00A338E5">
        <w:rPr>
          <w:rFonts w:cstheme="minorHAnsi"/>
          <w:spacing w:val="-1"/>
        </w:rPr>
        <w:t>e</w:t>
      </w:r>
      <w:r w:rsidRPr="00A338E5">
        <w:rPr>
          <w:rFonts w:cstheme="minorHAnsi"/>
        </w:rPr>
        <w:t>nt</w:t>
      </w:r>
      <w:r w:rsidRPr="00A338E5">
        <w:rPr>
          <w:rFonts w:cstheme="minorHAnsi"/>
          <w:spacing w:val="3"/>
        </w:rPr>
        <w:t xml:space="preserve"> </w:t>
      </w:r>
      <w:r w:rsidRPr="00A338E5">
        <w:rPr>
          <w:rFonts w:cstheme="minorHAnsi"/>
        </w:rPr>
        <w:t>Appli</w:t>
      </w:r>
      <w:r w:rsidRPr="00A338E5">
        <w:rPr>
          <w:rFonts w:cstheme="minorHAnsi"/>
          <w:spacing w:val="-1"/>
        </w:rPr>
        <w:t>ca</w:t>
      </w:r>
      <w:r w:rsidRPr="00A338E5">
        <w:rPr>
          <w:rFonts w:cstheme="minorHAnsi"/>
        </w:rPr>
        <w:t>tions)</w:t>
      </w:r>
      <w:r w:rsidRPr="00A338E5">
        <w:rPr>
          <w:rFonts w:cstheme="minorHAnsi"/>
          <w:spacing w:val="2"/>
        </w:rPr>
        <w:t xml:space="preserve"> </w:t>
      </w:r>
      <w:r w:rsidRPr="00A338E5">
        <w:rPr>
          <w:rFonts w:cstheme="minorHAnsi"/>
          <w:spacing w:val="-1"/>
        </w:rPr>
        <w:t>ar</w:t>
      </w:r>
      <w:r w:rsidRPr="00A338E5">
        <w:rPr>
          <w:rFonts w:cstheme="minorHAnsi"/>
        </w:rPr>
        <w:t>e</w:t>
      </w:r>
      <w:r w:rsidRPr="00A338E5">
        <w:rPr>
          <w:rFonts w:cstheme="minorHAnsi"/>
          <w:spacing w:val="-1"/>
        </w:rPr>
        <w:t xml:space="preserve"> </w:t>
      </w:r>
      <w:r w:rsidRPr="00A338E5">
        <w:rPr>
          <w:rFonts w:cstheme="minorHAnsi"/>
        </w:rPr>
        <w:t>to be</w:t>
      </w:r>
      <w:r w:rsidRPr="00A338E5">
        <w:rPr>
          <w:rFonts w:cstheme="minorHAnsi"/>
          <w:spacing w:val="1"/>
        </w:rPr>
        <w:t xml:space="preserve"> </w:t>
      </w:r>
      <w:r w:rsidRPr="00A338E5">
        <w:rPr>
          <w:rFonts w:cstheme="minorHAnsi"/>
          <w:spacing w:val="-1"/>
        </w:rPr>
        <w:t>re</w:t>
      </w:r>
      <w:r w:rsidRPr="00A338E5">
        <w:rPr>
          <w:rFonts w:cstheme="minorHAnsi"/>
          <w:spacing w:val="2"/>
        </w:rPr>
        <w:t>f</w:t>
      </w:r>
      <w:r w:rsidRPr="00A338E5">
        <w:rPr>
          <w:rFonts w:cstheme="minorHAnsi"/>
          <w:spacing w:val="-1"/>
        </w:rPr>
        <w:t>er</w:t>
      </w:r>
      <w:r w:rsidRPr="00A338E5">
        <w:rPr>
          <w:rFonts w:cstheme="minorHAnsi"/>
          <w:spacing w:val="2"/>
        </w:rPr>
        <w:t>r</w:t>
      </w:r>
      <w:r w:rsidRPr="00A338E5">
        <w:rPr>
          <w:rFonts w:cstheme="minorHAnsi"/>
          <w:spacing w:val="-1"/>
        </w:rPr>
        <w:t>e</w:t>
      </w:r>
      <w:r w:rsidRPr="00A338E5">
        <w:rPr>
          <w:rFonts w:cstheme="minorHAnsi"/>
        </w:rPr>
        <w:t>d to the</w:t>
      </w:r>
      <w:r w:rsidRPr="00A338E5">
        <w:rPr>
          <w:rFonts w:cstheme="minorHAnsi"/>
          <w:spacing w:val="1"/>
        </w:rPr>
        <w:t xml:space="preserve"> </w:t>
      </w:r>
      <w:r w:rsidRPr="00A338E5">
        <w:rPr>
          <w:rFonts w:cstheme="minorHAnsi"/>
        </w:rPr>
        <w:t>CDAC</w:t>
      </w:r>
      <w:r w:rsidRPr="00A338E5">
        <w:rPr>
          <w:rFonts w:cstheme="minorHAnsi"/>
          <w:spacing w:val="1"/>
        </w:rPr>
        <w:t xml:space="preserve"> </w:t>
      </w:r>
      <w:r w:rsidRPr="00A338E5">
        <w:rPr>
          <w:rFonts w:cstheme="minorHAnsi"/>
          <w:spacing w:val="-1"/>
        </w:rPr>
        <w:t>f</w:t>
      </w:r>
      <w:r w:rsidRPr="00A338E5">
        <w:rPr>
          <w:rFonts w:cstheme="minorHAnsi"/>
        </w:rPr>
        <w:t>or</w:t>
      </w:r>
      <w:r w:rsidRPr="00A338E5">
        <w:rPr>
          <w:rFonts w:cstheme="minorHAnsi"/>
          <w:spacing w:val="-1"/>
        </w:rPr>
        <w:t xml:space="preserve"> </w:t>
      </w:r>
      <w:r w:rsidRPr="00A338E5">
        <w:rPr>
          <w:rFonts w:cstheme="minorHAnsi"/>
        </w:rPr>
        <w:t>th</w:t>
      </w:r>
      <w:r w:rsidRPr="00A338E5">
        <w:rPr>
          <w:rFonts w:cstheme="minorHAnsi"/>
          <w:spacing w:val="-1"/>
        </w:rPr>
        <w:t>e</w:t>
      </w:r>
      <w:r w:rsidRPr="00A338E5">
        <w:rPr>
          <w:rFonts w:cstheme="minorHAnsi"/>
        </w:rPr>
        <w:t>ir</w:t>
      </w:r>
      <w:r w:rsidRPr="00A338E5">
        <w:rPr>
          <w:rFonts w:cstheme="minorHAnsi"/>
          <w:spacing w:val="-1"/>
        </w:rPr>
        <w:t xml:space="preserve"> c</w:t>
      </w:r>
      <w:r w:rsidRPr="00A338E5">
        <w:rPr>
          <w:rFonts w:cstheme="minorHAnsi"/>
        </w:rPr>
        <w:t>onsi</w:t>
      </w:r>
      <w:r w:rsidRPr="00A338E5">
        <w:rPr>
          <w:rFonts w:cstheme="minorHAnsi"/>
          <w:spacing w:val="2"/>
        </w:rPr>
        <w:t>d</w:t>
      </w:r>
      <w:r w:rsidRPr="00A338E5">
        <w:rPr>
          <w:rFonts w:cstheme="minorHAnsi"/>
          <w:spacing w:val="-1"/>
        </w:rPr>
        <w:t>era</w:t>
      </w:r>
      <w:r w:rsidRPr="00A338E5">
        <w:rPr>
          <w:rFonts w:cstheme="minorHAnsi"/>
          <w:spacing w:val="3"/>
        </w:rPr>
        <w:t>t</w:t>
      </w:r>
      <w:r w:rsidRPr="00A338E5">
        <w:rPr>
          <w:rFonts w:cstheme="minorHAnsi"/>
        </w:rPr>
        <w:t xml:space="preserve">ion </w:t>
      </w:r>
      <w:r w:rsidRPr="00A338E5">
        <w:rPr>
          <w:rFonts w:cstheme="minorHAnsi"/>
          <w:spacing w:val="-1"/>
        </w:rPr>
        <w:t>a</w:t>
      </w:r>
      <w:r w:rsidRPr="00A338E5">
        <w:rPr>
          <w:rFonts w:cstheme="minorHAnsi"/>
        </w:rPr>
        <w:t xml:space="preserve">nd </w:t>
      </w:r>
      <w:r w:rsidRPr="00A338E5">
        <w:rPr>
          <w:rFonts w:cstheme="minorHAnsi"/>
          <w:spacing w:val="-1"/>
        </w:rPr>
        <w:t>c</w:t>
      </w:r>
      <w:r w:rsidRPr="00A338E5">
        <w:rPr>
          <w:rFonts w:cstheme="minorHAnsi"/>
        </w:rPr>
        <w:t>omm</w:t>
      </w:r>
      <w:r w:rsidRPr="00A338E5">
        <w:rPr>
          <w:rFonts w:cstheme="minorHAnsi"/>
          <w:spacing w:val="-1"/>
        </w:rPr>
        <w:t>e</w:t>
      </w:r>
      <w:r w:rsidRPr="00A338E5">
        <w:rPr>
          <w:rFonts w:cstheme="minorHAnsi"/>
        </w:rPr>
        <w:t>nt:</w:t>
      </w:r>
    </w:p>
    <w:p w14:paraId="2C227EF9" w14:textId="77777777" w:rsidR="00082DB7" w:rsidRPr="00A338E5" w:rsidRDefault="00082DB7" w:rsidP="002A3889">
      <w:pPr>
        <w:widowControl w:val="0"/>
        <w:numPr>
          <w:ilvl w:val="0"/>
          <w:numId w:val="300"/>
        </w:numPr>
        <w:spacing w:after="60" w:line="240" w:lineRule="auto"/>
        <w:ind w:left="1134" w:right="79" w:hanging="709"/>
        <w:jc w:val="both"/>
        <w:rPr>
          <w:rFonts w:cstheme="minorHAnsi"/>
        </w:rPr>
      </w:pPr>
      <w:r w:rsidRPr="00A338E5">
        <w:rPr>
          <w:rFonts w:cstheme="minorHAnsi"/>
        </w:rPr>
        <w:t>Development which will have a significant impact upon the significance of a Heritage Place.</w:t>
      </w:r>
    </w:p>
    <w:p w14:paraId="426DEF9F" w14:textId="77777777" w:rsidR="00082DB7" w:rsidRPr="00A338E5" w:rsidRDefault="00082DB7" w:rsidP="002A3889">
      <w:pPr>
        <w:widowControl w:val="0"/>
        <w:numPr>
          <w:ilvl w:val="0"/>
          <w:numId w:val="300"/>
        </w:numPr>
        <w:spacing w:after="60" w:line="240" w:lineRule="auto"/>
        <w:ind w:left="1134" w:right="78" w:hanging="708"/>
        <w:jc w:val="both"/>
        <w:rPr>
          <w:rFonts w:cstheme="minorHAnsi"/>
        </w:rPr>
      </w:pPr>
      <w:r w:rsidRPr="00A338E5">
        <w:rPr>
          <w:rFonts w:cstheme="minorHAnsi"/>
        </w:rPr>
        <w:t>Development which will have a significant impact upon the streetscape character of the locality</w:t>
      </w:r>
      <w:r w:rsidRPr="00A338E5">
        <w:rPr>
          <w:rFonts w:cstheme="minorHAnsi"/>
          <w:spacing w:val="3"/>
        </w:rPr>
        <w:t xml:space="preserve"> </w:t>
      </w:r>
      <w:r w:rsidRPr="00A338E5">
        <w:rPr>
          <w:rFonts w:cstheme="minorHAnsi"/>
        </w:rPr>
        <w:t>or</w:t>
      </w:r>
      <w:r w:rsidRPr="00A338E5">
        <w:rPr>
          <w:rFonts w:cstheme="minorHAnsi"/>
          <w:spacing w:val="3"/>
        </w:rPr>
        <w:t xml:space="preserve"> </w:t>
      </w:r>
      <w:r w:rsidRPr="00A338E5">
        <w:rPr>
          <w:rFonts w:cstheme="minorHAnsi"/>
        </w:rPr>
        <w:t>in</w:t>
      </w:r>
      <w:r w:rsidRPr="00A338E5">
        <w:rPr>
          <w:rFonts w:cstheme="minorHAnsi"/>
          <w:spacing w:val="1"/>
        </w:rPr>
        <w:t xml:space="preserve"> </w:t>
      </w:r>
      <w:r w:rsidRPr="00A338E5">
        <w:rPr>
          <w:rFonts w:cstheme="minorHAnsi"/>
        </w:rPr>
        <w:t>the opinion</w:t>
      </w:r>
      <w:r w:rsidRPr="00A338E5">
        <w:rPr>
          <w:rFonts w:cstheme="minorHAnsi"/>
          <w:spacing w:val="4"/>
        </w:rPr>
        <w:t xml:space="preserve"> </w:t>
      </w:r>
      <w:r w:rsidRPr="00A338E5">
        <w:rPr>
          <w:rFonts w:cstheme="minorHAnsi"/>
        </w:rPr>
        <w:t>of t</w:t>
      </w:r>
      <w:r w:rsidRPr="00A338E5">
        <w:rPr>
          <w:rFonts w:cstheme="minorHAnsi"/>
          <w:spacing w:val="-1"/>
        </w:rPr>
        <w:t>h</w:t>
      </w:r>
      <w:r w:rsidRPr="00A338E5">
        <w:rPr>
          <w:rFonts w:cstheme="minorHAnsi"/>
        </w:rPr>
        <w:t>e</w:t>
      </w:r>
      <w:r w:rsidRPr="00A338E5">
        <w:rPr>
          <w:rFonts w:cstheme="minorHAnsi"/>
          <w:spacing w:val="1"/>
        </w:rPr>
        <w:t xml:space="preserve"> C</w:t>
      </w:r>
      <w:r w:rsidRPr="00A338E5">
        <w:rPr>
          <w:rFonts w:cstheme="minorHAnsi"/>
          <w:spacing w:val="-1"/>
        </w:rPr>
        <w:t>h</w:t>
      </w:r>
      <w:r w:rsidRPr="00A338E5">
        <w:rPr>
          <w:rFonts w:cstheme="minorHAnsi"/>
          <w:spacing w:val="1"/>
        </w:rPr>
        <w:t>ie</w:t>
      </w:r>
      <w:r w:rsidRPr="00A338E5">
        <w:rPr>
          <w:rFonts w:cstheme="minorHAnsi"/>
        </w:rPr>
        <w:t>f E</w:t>
      </w:r>
      <w:r w:rsidRPr="00A338E5">
        <w:rPr>
          <w:rFonts w:cstheme="minorHAnsi"/>
          <w:spacing w:val="2"/>
        </w:rPr>
        <w:t>x</w:t>
      </w:r>
      <w:r w:rsidRPr="00A338E5">
        <w:rPr>
          <w:rFonts w:cstheme="minorHAnsi"/>
          <w:spacing w:val="-1"/>
        </w:rPr>
        <w:t>ecu</w:t>
      </w:r>
      <w:r w:rsidRPr="00A338E5">
        <w:rPr>
          <w:rFonts w:cstheme="minorHAnsi"/>
          <w:spacing w:val="1"/>
        </w:rPr>
        <w:t>t</w:t>
      </w:r>
      <w:r w:rsidRPr="00A338E5">
        <w:rPr>
          <w:rFonts w:cstheme="minorHAnsi"/>
        </w:rPr>
        <w:t>i</w:t>
      </w:r>
      <w:r w:rsidRPr="00A338E5">
        <w:rPr>
          <w:rFonts w:cstheme="minorHAnsi"/>
          <w:spacing w:val="-1"/>
        </w:rPr>
        <w:t>v</w:t>
      </w:r>
      <w:r w:rsidRPr="00A338E5">
        <w:rPr>
          <w:rFonts w:cstheme="minorHAnsi"/>
        </w:rPr>
        <w:t>e</w:t>
      </w:r>
      <w:r w:rsidRPr="00A338E5">
        <w:rPr>
          <w:rFonts w:cstheme="minorHAnsi"/>
          <w:spacing w:val="1"/>
        </w:rPr>
        <w:t xml:space="preserve"> </w:t>
      </w:r>
      <w:r w:rsidRPr="00A338E5">
        <w:rPr>
          <w:rFonts w:cstheme="minorHAnsi"/>
          <w:spacing w:val="2"/>
        </w:rPr>
        <w:t>O</w:t>
      </w:r>
      <w:r w:rsidRPr="00A338E5">
        <w:rPr>
          <w:rFonts w:cstheme="minorHAnsi"/>
          <w:spacing w:val="-1"/>
        </w:rPr>
        <w:t>ff</w:t>
      </w:r>
      <w:r w:rsidRPr="00A338E5">
        <w:rPr>
          <w:rFonts w:cstheme="minorHAnsi"/>
        </w:rPr>
        <w:t>i</w:t>
      </w:r>
      <w:r w:rsidRPr="00A338E5">
        <w:rPr>
          <w:rFonts w:cstheme="minorHAnsi"/>
          <w:spacing w:val="-1"/>
        </w:rPr>
        <w:t>cer</w:t>
      </w:r>
      <w:r w:rsidRPr="00A338E5">
        <w:rPr>
          <w:rFonts w:cstheme="minorHAnsi"/>
        </w:rPr>
        <w:t>/</w:t>
      </w:r>
      <w:r>
        <w:rPr>
          <w:rFonts w:cstheme="minorHAnsi"/>
        </w:rPr>
        <w:t>Executive Manager Regulatory Services</w:t>
      </w:r>
      <w:r w:rsidRPr="00A338E5">
        <w:rPr>
          <w:rFonts w:cstheme="minorHAnsi"/>
          <w:spacing w:val="5"/>
        </w:rPr>
        <w:t xml:space="preserve"> </w:t>
      </w:r>
      <w:r w:rsidRPr="00A338E5">
        <w:rPr>
          <w:rFonts w:cstheme="minorHAnsi"/>
        </w:rPr>
        <w:t>is</w:t>
      </w:r>
      <w:r w:rsidRPr="00A338E5">
        <w:rPr>
          <w:rFonts w:cstheme="minorHAnsi"/>
          <w:spacing w:val="8"/>
        </w:rPr>
        <w:t xml:space="preserve"> </w:t>
      </w:r>
      <w:r w:rsidRPr="00A338E5">
        <w:rPr>
          <w:rFonts w:cstheme="minorHAnsi"/>
        </w:rPr>
        <w:t>lik</w:t>
      </w:r>
      <w:r w:rsidRPr="00A338E5">
        <w:rPr>
          <w:rFonts w:cstheme="minorHAnsi"/>
          <w:spacing w:val="-1"/>
        </w:rPr>
        <w:t>e</w:t>
      </w:r>
      <w:r w:rsidRPr="00A338E5">
        <w:rPr>
          <w:rFonts w:cstheme="minorHAnsi"/>
          <w:spacing w:val="3"/>
        </w:rPr>
        <w:t>l</w:t>
      </w:r>
      <w:r w:rsidRPr="00A338E5">
        <w:rPr>
          <w:rFonts w:cstheme="minorHAnsi"/>
        </w:rPr>
        <w:t>y to</w:t>
      </w:r>
      <w:r w:rsidRPr="00A338E5">
        <w:rPr>
          <w:rFonts w:cstheme="minorHAnsi"/>
          <w:spacing w:val="8"/>
        </w:rPr>
        <w:t xml:space="preserve"> </w:t>
      </w:r>
      <w:r w:rsidRPr="00A338E5">
        <w:rPr>
          <w:rFonts w:cstheme="minorHAnsi"/>
        </w:rPr>
        <w:t>h</w:t>
      </w:r>
      <w:r w:rsidRPr="00A338E5">
        <w:rPr>
          <w:rFonts w:cstheme="minorHAnsi"/>
          <w:spacing w:val="-1"/>
        </w:rPr>
        <w:t>a</w:t>
      </w:r>
      <w:r w:rsidRPr="00A338E5">
        <w:rPr>
          <w:rFonts w:cstheme="minorHAnsi"/>
        </w:rPr>
        <w:t>ve</w:t>
      </w:r>
      <w:r w:rsidRPr="00A338E5">
        <w:rPr>
          <w:rFonts w:cstheme="minorHAnsi"/>
          <w:spacing w:val="6"/>
        </w:rPr>
        <w:t xml:space="preserve"> </w:t>
      </w:r>
      <w:r w:rsidRPr="00A338E5">
        <w:rPr>
          <w:rFonts w:cstheme="minorHAnsi"/>
        </w:rPr>
        <w:t>a</w:t>
      </w:r>
      <w:r w:rsidRPr="00A338E5">
        <w:rPr>
          <w:rFonts w:cstheme="minorHAnsi"/>
          <w:spacing w:val="4"/>
        </w:rPr>
        <w:t xml:space="preserve"> </w:t>
      </w:r>
      <w:r w:rsidRPr="00A338E5">
        <w:rPr>
          <w:rFonts w:cstheme="minorHAnsi"/>
        </w:rPr>
        <w:t>s</w:t>
      </w:r>
      <w:r w:rsidRPr="00A338E5">
        <w:rPr>
          <w:rFonts w:cstheme="minorHAnsi"/>
          <w:spacing w:val="3"/>
        </w:rPr>
        <w:t>i</w:t>
      </w:r>
      <w:r w:rsidRPr="00A338E5">
        <w:rPr>
          <w:rFonts w:cstheme="minorHAnsi"/>
          <w:spacing w:val="-2"/>
        </w:rPr>
        <w:t>g</w:t>
      </w:r>
      <w:r w:rsidRPr="00A338E5">
        <w:rPr>
          <w:rFonts w:cstheme="minorHAnsi"/>
        </w:rPr>
        <w:t>ni</w:t>
      </w:r>
      <w:r w:rsidRPr="00A338E5">
        <w:rPr>
          <w:rFonts w:cstheme="minorHAnsi"/>
          <w:spacing w:val="-1"/>
        </w:rPr>
        <w:t>f</w:t>
      </w:r>
      <w:r w:rsidRPr="00A338E5">
        <w:rPr>
          <w:rFonts w:cstheme="minorHAnsi"/>
        </w:rPr>
        <w:t>i</w:t>
      </w:r>
      <w:r w:rsidRPr="00A338E5">
        <w:rPr>
          <w:rFonts w:cstheme="minorHAnsi"/>
          <w:spacing w:val="1"/>
        </w:rPr>
        <w:t>c</w:t>
      </w:r>
      <w:r w:rsidRPr="00A338E5">
        <w:rPr>
          <w:rFonts w:cstheme="minorHAnsi"/>
          <w:spacing w:val="-1"/>
        </w:rPr>
        <w:t>a</w:t>
      </w:r>
      <w:r w:rsidRPr="00A338E5">
        <w:rPr>
          <w:rFonts w:cstheme="minorHAnsi"/>
        </w:rPr>
        <w:t>nt</w:t>
      </w:r>
      <w:r w:rsidRPr="00A338E5">
        <w:rPr>
          <w:rFonts w:cstheme="minorHAnsi"/>
          <w:spacing w:val="5"/>
        </w:rPr>
        <w:t xml:space="preserve"> </w:t>
      </w:r>
      <w:r w:rsidRPr="00A338E5">
        <w:rPr>
          <w:rFonts w:cstheme="minorHAnsi"/>
        </w:rPr>
        <w:t>imp</w:t>
      </w:r>
      <w:r w:rsidRPr="00A338E5">
        <w:rPr>
          <w:rFonts w:cstheme="minorHAnsi"/>
          <w:spacing w:val="-1"/>
        </w:rPr>
        <w:t>ac</w:t>
      </w:r>
      <w:r w:rsidRPr="00A338E5">
        <w:rPr>
          <w:rFonts w:cstheme="minorHAnsi"/>
        </w:rPr>
        <w:t>t</w:t>
      </w:r>
      <w:r w:rsidRPr="00A338E5">
        <w:rPr>
          <w:rFonts w:cstheme="minorHAnsi"/>
          <w:spacing w:val="6"/>
        </w:rPr>
        <w:t xml:space="preserve"> </w:t>
      </w:r>
      <w:r w:rsidRPr="00A338E5">
        <w:rPr>
          <w:rFonts w:cstheme="minorHAnsi"/>
        </w:rPr>
        <w:t>on the</w:t>
      </w:r>
      <w:r w:rsidRPr="00A338E5">
        <w:rPr>
          <w:rFonts w:cstheme="minorHAnsi"/>
          <w:spacing w:val="-1"/>
        </w:rPr>
        <w:t xml:space="preserve"> </w:t>
      </w:r>
      <w:r w:rsidRPr="00A338E5">
        <w:rPr>
          <w:rFonts w:cstheme="minorHAnsi"/>
        </w:rPr>
        <w:t>lo</w:t>
      </w:r>
      <w:r w:rsidRPr="00A338E5">
        <w:rPr>
          <w:rFonts w:cstheme="minorHAnsi"/>
          <w:spacing w:val="-1"/>
        </w:rPr>
        <w:t>ca</w:t>
      </w:r>
      <w:r w:rsidRPr="00A338E5">
        <w:rPr>
          <w:rFonts w:cstheme="minorHAnsi"/>
        </w:rPr>
        <w:t>li</w:t>
      </w:r>
      <w:r w:rsidRPr="00A338E5">
        <w:rPr>
          <w:rFonts w:cstheme="minorHAnsi"/>
          <w:spacing w:val="3"/>
        </w:rPr>
        <w:t>t</w:t>
      </w:r>
      <w:r w:rsidRPr="00A338E5">
        <w:rPr>
          <w:rFonts w:cstheme="minorHAnsi"/>
        </w:rPr>
        <w:t>y</w:t>
      </w:r>
      <w:r w:rsidRPr="00A338E5">
        <w:rPr>
          <w:rFonts w:cstheme="minorHAnsi"/>
          <w:spacing w:val="-5"/>
        </w:rPr>
        <w:t xml:space="preserve"> </w:t>
      </w:r>
      <w:r w:rsidRPr="00A338E5">
        <w:rPr>
          <w:rFonts w:cstheme="minorHAnsi"/>
        </w:rPr>
        <w:t>or</w:t>
      </w:r>
      <w:r w:rsidRPr="00A338E5">
        <w:rPr>
          <w:rFonts w:cstheme="minorHAnsi"/>
          <w:spacing w:val="-1"/>
        </w:rPr>
        <w:t xml:space="preserve"> </w:t>
      </w:r>
      <w:r w:rsidRPr="00A338E5">
        <w:rPr>
          <w:rFonts w:cstheme="minorHAnsi"/>
        </w:rPr>
        <w:t>t</w:t>
      </w:r>
      <w:r w:rsidRPr="00A338E5">
        <w:rPr>
          <w:rFonts w:cstheme="minorHAnsi"/>
          <w:spacing w:val="2"/>
        </w:rPr>
        <w:t>h</w:t>
      </w:r>
      <w:r w:rsidRPr="00A338E5">
        <w:rPr>
          <w:rFonts w:cstheme="minorHAnsi"/>
        </w:rPr>
        <w:t>e</w:t>
      </w:r>
      <w:r w:rsidRPr="00A338E5">
        <w:rPr>
          <w:rFonts w:cstheme="minorHAnsi"/>
          <w:spacing w:val="-1"/>
        </w:rPr>
        <w:t xml:space="preserve"> </w:t>
      </w:r>
      <w:proofErr w:type="gramStart"/>
      <w:r w:rsidRPr="00A338E5">
        <w:rPr>
          <w:rFonts w:cstheme="minorHAnsi"/>
          <w:spacing w:val="1"/>
        </w:rPr>
        <w:t>Town</w:t>
      </w:r>
      <w:r w:rsidRPr="00A338E5">
        <w:rPr>
          <w:rFonts w:cstheme="minorHAnsi"/>
        </w:rPr>
        <w:t>;</w:t>
      </w:r>
      <w:proofErr w:type="gramEnd"/>
    </w:p>
    <w:p w14:paraId="0E8E8673" w14:textId="77777777" w:rsidR="00082DB7" w:rsidRPr="003C1297" w:rsidRDefault="00082DB7" w:rsidP="00082DB7">
      <w:pPr>
        <w:widowControl w:val="0"/>
        <w:tabs>
          <w:tab w:val="left" w:pos="1540"/>
        </w:tabs>
        <w:spacing w:after="60" w:line="240" w:lineRule="auto"/>
        <w:ind w:left="425" w:right="76" w:hanging="425"/>
        <w:jc w:val="both"/>
        <w:rPr>
          <w:rFonts w:cstheme="minorHAnsi"/>
        </w:rPr>
      </w:pPr>
      <w:r w:rsidRPr="00A338E5">
        <w:rPr>
          <w:rFonts w:cstheme="minorHAnsi"/>
        </w:rPr>
        <w:t>2.</w:t>
      </w:r>
      <w:r w:rsidRPr="00A338E5">
        <w:rPr>
          <w:rFonts w:cstheme="minorHAnsi"/>
        </w:rPr>
        <w:tab/>
      </w:r>
      <w:r w:rsidRPr="003C1297">
        <w:rPr>
          <w:rFonts w:cstheme="minorHAnsi"/>
        </w:rPr>
        <w:t>The Executive Manager Regulatory Services may refer an application to the CDAC, regardless of whether the application is to be determined by the Council or under delegated authority.</w:t>
      </w:r>
    </w:p>
    <w:p w14:paraId="0CC89B88" w14:textId="77777777" w:rsidR="00082DB7" w:rsidRPr="003C1297" w:rsidRDefault="00082DB7" w:rsidP="00082DB7">
      <w:pPr>
        <w:widowControl w:val="0"/>
        <w:tabs>
          <w:tab w:val="left" w:pos="1540"/>
        </w:tabs>
        <w:spacing w:after="60" w:line="240" w:lineRule="auto"/>
        <w:ind w:left="425" w:right="75" w:hanging="425"/>
        <w:jc w:val="both"/>
        <w:rPr>
          <w:rFonts w:cstheme="minorHAnsi"/>
        </w:rPr>
      </w:pPr>
      <w:r w:rsidRPr="003C1297">
        <w:rPr>
          <w:rFonts w:cstheme="minorHAnsi"/>
        </w:rPr>
        <w:t>3.</w:t>
      </w:r>
      <w:r w:rsidRPr="003C1297">
        <w:rPr>
          <w:rFonts w:cstheme="minorHAnsi"/>
        </w:rPr>
        <w:tab/>
        <w:t>The Executive Manager Regulatory Services may refer other planning matters to the CDAC where it is considered that the Town will benefit from the CDAC members’ input.</w:t>
      </w:r>
    </w:p>
    <w:p w14:paraId="07037B43" w14:textId="77777777" w:rsidR="00082DB7" w:rsidRPr="003C1297" w:rsidRDefault="00082DB7" w:rsidP="00082DB7">
      <w:pPr>
        <w:widowControl w:val="0"/>
        <w:tabs>
          <w:tab w:val="left" w:pos="1540"/>
        </w:tabs>
        <w:spacing w:after="60" w:line="240" w:lineRule="auto"/>
        <w:ind w:left="425" w:right="75" w:hanging="425"/>
        <w:jc w:val="both"/>
        <w:rPr>
          <w:rFonts w:cstheme="minorHAnsi"/>
        </w:rPr>
      </w:pPr>
      <w:r w:rsidRPr="003C1297">
        <w:rPr>
          <w:rFonts w:cstheme="minorHAnsi"/>
        </w:rPr>
        <w:t>4.</w:t>
      </w:r>
      <w:r w:rsidRPr="003C1297">
        <w:rPr>
          <w:rFonts w:cstheme="minorHAnsi"/>
        </w:rPr>
        <w:tab/>
        <w:t>The CDAC will examine design elements of development applications having regard to the Town’s Residential Design Guidelines, the Residential Design Codes (R-Codes) and Burra Charter.</w:t>
      </w:r>
    </w:p>
    <w:p w14:paraId="2B9C7E6D" w14:textId="77777777" w:rsidR="00082DB7" w:rsidRPr="003C1297" w:rsidRDefault="00082DB7" w:rsidP="00082DB7">
      <w:pPr>
        <w:widowControl w:val="0"/>
        <w:tabs>
          <w:tab w:val="left" w:pos="1540"/>
        </w:tabs>
        <w:spacing w:after="60" w:line="240" w:lineRule="auto"/>
        <w:ind w:left="425" w:right="75" w:hanging="425"/>
        <w:jc w:val="both"/>
        <w:rPr>
          <w:rFonts w:cstheme="minorHAnsi"/>
        </w:rPr>
      </w:pPr>
      <w:r w:rsidRPr="003C1297">
        <w:rPr>
          <w:rFonts w:cstheme="minorHAnsi"/>
        </w:rPr>
        <w:t>5.</w:t>
      </w:r>
      <w:r w:rsidRPr="003C1297">
        <w:rPr>
          <w:rFonts w:cstheme="minorHAnsi"/>
        </w:rPr>
        <w:tab/>
        <w:t>Matters referred for review at the State Administrative Tribunal will not be referred to the CDAC.</w:t>
      </w:r>
    </w:p>
    <w:p w14:paraId="2DAAE135" w14:textId="77777777" w:rsidR="00082DB7" w:rsidRPr="00A338E5" w:rsidRDefault="00082DB7" w:rsidP="00082DB7">
      <w:pPr>
        <w:widowControl w:val="0"/>
        <w:tabs>
          <w:tab w:val="left" w:pos="1540"/>
        </w:tabs>
        <w:spacing w:after="60" w:line="240" w:lineRule="auto"/>
        <w:ind w:left="425" w:right="75" w:hanging="425"/>
        <w:jc w:val="both"/>
        <w:rPr>
          <w:rFonts w:cstheme="minorHAnsi"/>
        </w:rPr>
      </w:pPr>
      <w:r w:rsidRPr="00A338E5">
        <w:rPr>
          <w:rFonts w:cstheme="minorHAnsi"/>
        </w:rPr>
        <w:t>6.</w:t>
      </w:r>
      <w:r w:rsidRPr="00A338E5">
        <w:rPr>
          <w:rFonts w:cstheme="minorHAnsi"/>
        </w:rPr>
        <w:tab/>
        <w:t>Matters to be determined by a Development Assessment Panel will not be referred to the CDAC.</w:t>
      </w:r>
    </w:p>
    <w:p w14:paraId="0F8E7E48" w14:textId="77777777" w:rsidR="00082DB7" w:rsidRPr="00A338E5" w:rsidRDefault="00082DB7" w:rsidP="00082DB7">
      <w:pPr>
        <w:widowControl w:val="0"/>
        <w:tabs>
          <w:tab w:val="left" w:pos="840"/>
        </w:tabs>
        <w:spacing w:before="200" w:after="0" w:line="240" w:lineRule="auto"/>
        <w:ind w:right="-23"/>
        <w:jc w:val="both"/>
        <w:rPr>
          <w:rFonts w:cstheme="minorHAnsi"/>
        </w:rPr>
      </w:pPr>
      <w:r w:rsidRPr="00A338E5">
        <w:rPr>
          <w:rFonts w:cstheme="minorHAnsi"/>
          <w:b/>
          <w:bCs/>
          <w:spacing w:val="-1"/>
        </w:rPr>
        <w:t>M</w:t>
      </w:r>
      <w:r w:rsidRPr="00A338E5">
        <w:rPr>
          <w:rFonts w:cstheme="minorHAnsi"/>
          <w:b/>
          <w:bCs/>
          <w:spacing w:val="1"/>
        </w:rPr>
        <w:t>eet</w:t>
      </w:r>
      <w:r w:rsidRPr="00A338E5">
        <w:rPr>
          <w:rFonts w:cstheme="minorHAnsi"/>
          <w:b/>
          <w:bCs/>
        </w:rPr>
        <w:t xml:space="preserve">ing </w:t>
      </w:r>
      <w:r w:rsidRPr="00A338E5">
        <w:rPr>
          <w:rFonts w:cstheme="minorHAnsi"/>
          <w:b/>
          <w:bCs/>
          <w:spacing w:val="-3"/>
        </w:rPr>
        <w:t>P</w:t>
      </w:r>
      <w:r w:rsidRPr="00A338E5">
        <w:rPr>
          <w:rFonts w:cstheme="minorHAnsi"/>
          <w:b/>
          <w:bCs/>
        </w:rPr>
        <w:t>roc</w:t>
      </w:r>
      <w:r w:rsidRPr="00A338E5">
        <w:rPr>
          <w:rFonts w:cstheme="minorHAnsi"/>
          <w:b/>
          <w:bCs/>
          <w:spacing w:val="1"/>
        </w:rPr>
        <w:t>e</w:t>
      </w:r>
      <w:r w:rsidRPr="00A338E5">
        <w:rPr>
          <w:rFonts w:cstheme="minorHAnsi"/>
          <w:b/>
          <w:bCs/>
        </w:rPr>
        <w:t>d</w:t>
      </w:r>
      <w:r w:rsidRPr="00A338E5">
        <w:rPr>
          <w:rFonts w:cstheme="minorHAnsi"/>
          <w:b/>
          <w:bCs/>
          <w:spacing w:val="2"/>
        </w:rPr>
        <w:t>u</w:t>
      </w:r>
      <w:r w:rsidRPr="00A338E5">
        <w:rPr>
          <w:rFonts w:cstheme="minorHAnsi"/>
          <w:b/>
          <w:bCs/>
        </w:rPr>
        <w:t>re</w:t>
      </w:r>
      <w:r w:rsidRPr="00A338E5">
        <w:rPr>
          <w:rFonts w:cstheme="minorHAnsi"/>
          <w:b/>
          <w:bCs/>
          <w:spacing w:val="3"/>
        </w:rPr>
        <w:t xml:space="preserve"> </w:t>
      </w:r>
      <w:r w:rsidRPr="00A338E5">
        <w:rPr>
          <w:rFonts w:cstheme="minorHAnsi"/>
          <w:b/>
          <w:bCs/>
          <w:spacing w:val="-3"/>
        </w:rPr>
        <w:t>a</w:t>
      </w:r>
      <w:r w:rsidRPr="00A338E5">
        <w:rPr>
          <w:rFonts w:cstheme="minorHAnsi"/>
          <w:b/>
          <w:bCs/>
        </w:rPr>
        <w:t>nd</w:t>
      </w:r>
      <w:r w:rsidRPr="00A338E5">
        <w:rPr>
          <w:rFonts w:cstheme="minorHAnsi"/>
          <w:b/>
          <w:bCs/>
          <w:spacing w:val="2"/>
        </w:rPr>
        <w:t xml:space="preserve"> </w:t>
      </w:r>
      <w:r w:rsidRPr="00A338E5">
        <w:rPr>
          <w:rFonts w:cstheme="minorHAnsi"/>
          <w:b/>
          <w:bCs/>
          <w:spacing w:val="-3"/>
        </w:rPr>
        <w:t>P</w:t>
      </w:r>
      <w:r w:rsidRPr="00A338E5">
        <w:rPr>
          <w:rFonts w:cstheme="minorHAnsi"/>
          <w:b/>
          <w:bCs/>
        </w:rPr>
        <w:t>roc</w:t>
      </w:r>
      <w:r w:rsidRPr="00A338E5">
        <w:rPr>
          <w:rFonts w:cstheme="minorHAnsi"/>
          <w:b/>
          <w:bCs/>
          <w:spacing w:val="1"/>
        </w:rPr>
        <w:t>es</w:t>
      </w:r>
      <w:r w:rsidRPr="00A338E5">
        <w:rPr>
          <w:rFonts w:cstheme="minorHAnsi"/>
          <w:b/>
          <w:bCs/>
        </w:rPr>
        <w:t>s</w:t>
      </w:r>
    </w:p>
    <w:p w14:paraId="688F4355" w14:textId="77777777" w:rsidR="00082DB7" w:rsidRPr="00A338E5" w:rsidRDefault="00082DB7" w:rsidP="00082DB7">
      <w:pPr>
        <w:widowControl w:val="0"/>
        <w:spacing w:after="60" w:line="240" w:lineRule="auto"/>
        <w:ind w:left="425" w:right="75" w:hanging="425"/>
        <w:jc w:val="both"/>
        <w:rPr>
          <w:rFonts w:cstheme="minorHAnsi"/>
        </w:rPr>
      </w:pPr>
      <w:r w:rsidRPr="00A338E5">
        <w:rPr>
          <w:rFonts w:cstheme="minorHAnsi"/>
        </w:rPr>
        <w:t>1.</w:t>
      </w:r>
      <w:r w:rsidRPr="00A338E5">
        <w:rPr>
          <w:rFonts w:cstheme="minorHAnsi"/>
        </w:rPr>
        <w:tab/>
        <w:t>Unl</w:t>
      </w:r>
      <w:r w:rsidRPr="00A338E5">
        <w:rPr>
          <w:rFonts w:cstheme="minorHAnsi"/>
          <w:spacing w:val="-1"/>
        </w:rPr>
        <w:t>e</w:t>
      </w:r>
      <w:r w:rsidRPr="00A338E5">
        <w:rPr>
          <w:rFonts w:cstheme="minorHAnsi"/>
        </w:rPr>
        <w:t>ss</w:t>
      </w:r>
      <w:r w:rsidRPr="00A338E5">
        <w:rPr>
          <w:rFonts w:cstheme="minorHAnsi"/>
          <w:spacing w:val="5"/>
        </w:rPr>
        <w:t xml:space="preserve"> </w:t>
      </w:r>
      <w:r w:rsidRPr="00A338E5">
        <w:rPr>
          <w:rFonts w:cstheme="minorHAnsi"/>
          <w:spacing w:val="-1"/>
        </w:rPr>
        <w:t>a</w:t>
      </w:r>
      <w:r w:rsidRPr="00A338E5">
        <w:rPr>
          <w:rFonts w:cstheme="minorHAnsi"/>
        </w:rPr>
        <w:t>pp</w:t>
      </w:r>
      <w:r w:rsidRPr="00A338E5">
        <w:rPr>
          <w:rFonts w:cstheme="minorHAnsi"/>
          <w:spacing w:val="-1"/>
        </w:rPr>
        <w:t>r</w:t>
      </w:r>
      <w:r w:rsidRPr="00A338E5">
        <w:rPr>
          <w:rFonts w:cstheme="minorHAnsi"/>
        </w:rPr>
        <w:t>o</w:t>
      </w:r>
      <w:r w:rsidRPr="00A338E5">
        <w:rPr>
          <w:rFonts w:cstheme="minorHAnsi"/>
          <w:spacing w:val="2"/>
        </w:rPr>
        <w:t>v</w:t>
      </w:r>
      <w:r w:rsidRPr="00A338E5">
        <w:rPr>
          <w:rFonts w:cstheme="minorHAnsi"/>
          <w:spacing w:val="-1"/>
        </w:rPr>
        <w:t>e</w:t>
      </w:r>
      <w:r w:rsidRPr="00A338E5">
        <w:rPr>
          <w:rFonts w:cstheme="minorHAnsi"/>
        </w:rPr>
        <w:t>d</w:t>
      </w:r>
      <w:r w:rsidRPr="00A338E5">
        <w:rPr>
          <w:rFonts w:cstheme="minorHAnsi"/>
          <w:spacing w:val="5"/>
        </w:rPr>
        <w:t xml:space="preserve"> b</w:t>
      </w:r>
      <w:r w:rsidRPr="00A338E5">
        <w:rPr>
          <w:rFonts w:cstheme="minorHAnsi"/>
        </w:rPr>
        <w:t>y the</w:t>
      </w:r>
      <w:r w:rsidRPr="00A338E5">
        <w:rPr>
          <w:rFonts w:cstheme="minorHAnsi"/>
          <w:spacing w:val="9"/>
        </w:rPr>
        <w:t xml:space="preserve"> </w:t>
      </w:r>
      <w:r w:rsidRPr="00A338E5">
        <w:rPr>
          <w:rFonts w:cstheme="minorHAnsi"/>
          <w:spacing w:val="1"/>
        </w:rPr>
        <w:t>C</w:t>
      </w:r>
      <w:r w:rsidRPr="00A338E5">
        <w:rPr>
          <w:rFonts w:cstheme="minorHAnsi"/>
        </w:rPr>
        <w:t>oun</w:t>
      </w:r>
      <w:r w:rsidRPr="00A338E5">
        <w:rPr>
          <w:rFonts w:cstheme="minorHAnsi"/>
          <w:spacing w:val="-1"/>
        </w:rPr>
        <w:t>c</w:t>
      </w:r>
      <w:r w:rsidRPr="00A338E5">
        <w:rPr>
          <w:rFonts w:cstheme="minorHAnsi"/>
        </w:rPr>
        <w:t>il</w:t>
      </w:r>
      <w:r w:rsidRPr="00A338E5">
        <w:rPr>
          <w:rFonts w:cstheme="minorHAnsi"/>
          <w:spacing w:val="6"/>
        </w:rPr>
        <w:t xml:space="preserve"> </w:t>
      </w:r>
      <w:r w:rsidRPr="00A338E5">
        <w:rPr>
          <w:rFonts w:cstheme="minorHAnsi"/>
        </w:rPr>
        <w:t>or</w:t>
      </w:r>
      <w:r w:rsidRPr="00A338E5">
        <w:rPr>
          <w:rFonts w:cstheme="minorHAnsi"/>
          <w:spacing w:val="4"/>
        </w:rPr>
        <w:t xml:space="preserve"> </w:t>
      </w:r>
      <w:r w:rsidRPr="00A338E5">
        <w:rPr>
          <w:rFonts w:cstheme="minorHAnsi"/>
        </w:rPr>
        <w:t>th</w:t>
      </w:r>
      <w:r w:rsidRPr="00A338E5">
        <w:rPr>
          <w:rFonts w:cstheme="minorHAnsi"/>
          <w:spacing w:val="-1"/>
        </w:rPr>
        <w:t>er</w:t>
      </w:r>
      <w:r w:rsidRPr="00A338E5">
        <w:rPr>
          <w:rFonts w:cstheme="minorHAnsi"/>
        </w:rPr>
        <w:t>e</w:t>
      </w:r>
      <w:r w:rsidRPr="00A338E5">
        <w:rPr>
          <w:rFonts w:cstheme="minorHAnsi"/>
          <w:spacing w:val="7"/>
        </w:rPr>
        <w:t xml:space="preserve"> </w:t>
      </w:r>
      <w:r w:rsidRPr="00A338E5">
        <w:rPr>
          <w:rFonts w:cstheme="minorHAnsi"/>
        </w:rPr>
        <w:t>is</w:t>
      </w:r>
      <w:r w:rsidRPr="00A338E5">
        <w:rPr>
          <w:rFonts w:cstheme="minorHAnsi"/>
          <w:spacing w:val="5"/>
        </w:rPr>
        <w:t xml:space="preserve"> </w:t>
      </w:r>
      <w:r w:rsidRPr="00A338E5">
        <w:rPr>
          <w:rFonts w:cstheme="minorHAnsi"/>
        </w:rPr>
        <w:t>a</w:t>
      </w:r>
      <w:r w:rsidRPr="00A338E5">
        <w:rPr>
          <w:rFonts w:cstheme="minorHAnsi"/>
          <w:spacing w:val="4"/>
        </w:rPr>
        <w:t xml:space="preserve"> </w:t>
      </w:r>
      <w:r w:rsidRPr="00A338E5">
        <w:rPr>
          <w:rFonts w:cstheme="minorHAnsi"/>
          <w:spacing w:val="2"/>
        </w:rPr>
        <w:t>n</w:t>
      </w:r>
      <w:r w:rsidRPr="00A338E5">
        <w:rPr>
          <w:rFonts w:cstheme="minorHAnsi"/>
          <w:spacing w:val="-1"/>
        </w:rPr>
        <w:t>e</w:t>
      </w:r>
      <w:r w:rsidRPr="00A338E5">
        <w:rPr>
          <w:rFonts w:cstheme="minorHAnsi"/>
          <w:spacing w:val="1"/>
        </w:rPr>
        <w:t>e</w:t>
      </w:r>
      <w:r w:rsidRPr="00A338E5">
        <w:rPr>
          <w:rFonts w:cstheme="minorHAnsi"/>
        </w:rPr>
        <w:t>d</w:t>
      </w:r>
      <w:r w:rsidRPr="00A338E5">
        <w:rPr>
          <w:rFonts w:cstheme="minorHAnsi"/>
          <w:spacing w:val="5"/>
        </w:rPr>
        <w:t xml:space="preserve"> </w:t>
      </w:r>
      <w:r w:rsidRPr="00A338E5">
        <w:rPr>
          <w:rFonts w:cstheme="minorHAnsi"/>
        </w:rPr>
        <w:t>to</w:t>
      </w:r>
      <w:r w:rsidRPr="00A338E5">
        <w:rPr>
          <w:rFonts w:cstheme="minorHAnsi"/>
          <w:spacing w:val="5"/>
        </w:rPr>
        <w:t xml:space="preserve"> </w:t>
      </w:r>
      <w:r w:rsidRPr="00A338E5">
        <w:rPr>
          <w:rFonts w:cstheme="minorHAnsi"/>
          <w:spacing w:val="-1"/>
        </w:rPr>
        <w:t>add</w:t>
      </w:r>
      <w:r w:rsidRPr="00A338E5">
        <w:rPr>
          <w:rFonts w:cstheme="minorHAnsi"/>
          <w:spacing w:val="1"/>
        </w:rPr>
        <w:t>r</w:t>
      </w:r>
      <w:r w:rsidRPr="00A338E5">
        <w:rPr>
          <w:rFonts w:cstheme="minorHAnsi"/>
          <w:spacing w:val="-1"/>
        </w:rPr>
        <w:t>e</w:t>
      </w:r>
      <w:r w:rsidRPr="00A338E5">
        <w:rPr>
          <w:rFonts w:cstheme="minorHAnsi"/>
        </w:rPr>
        <w:t>ss</w:t>
      </w:r>
      <w:r w:rsidRPr="00A338E5">
        <w:rPr>
          <w:rFonts w:cstheme="minorHAnsi"/>
          <w:spacing w:val="8"/>
        </w:rPr>
        <w:t xml:space="preserve"> </w:t>
      </w:r>
      <w:r w:rsidRPr="00A338E5">
        <w:rPr>
          <w:rFonts w:cstheme="minorHAnsi"/>
          <w:spacing w:val="-1"/>
        </w:rPr>
        <w:t xml:space="preserve">an </w:t>
      </w:r>
      <w:r w:rsidRPr="00A338E5">
        <w:rPr>
          <w:rFonts w:cstheme="minorHAnsi"/>
        </w:rPr>
        <w:t>u</w:t>
      </w:r>
      <w:r w:rsidRPr="00A338E5">
        <w:rPr>
          <w:rFonts w:cstheme="minorHAnsi"/>
          <w:spacing w:val="-1"/>
        </w:rPr>
        <w:t>r</w:t>
      </w:r>
      <w:r w:rsidRPr="00A338E5">
        <w:rPr>
          <w:rFonts w:cstheme="minorHAnsi"/>
        </w:rPr>
        <w:t>g</w:t>
      </w:r>
      <w:r w:rsidRPr="00A338E5">
        <w:rPr>
          <w:rFonts w:cstheme="minorHAnsi"/>
          <w:spacing w:val="-1"/>
        </w:rPr>
        <w:t>e</w:t>
      </w:r>
      <w:r w:rsidRPr="00A338E5">
        <w:rPr>
          <w:rFonts w:cstheme="minorHAnsi"/>
        </w:rPr>
        <w:t>nt</w:t>
      </w:r>
      <w:r w:rsidRPr="00A338E5">
        <w:rPr>
          <w:rFonts w:cstheme="minorHAnsi"/>
          <w:spacing w:val="5"/>
        </w:rPr>
        <w:t xml:space="preserve"> </w:t>
      </w:r>
      <w:r w:rsidRPr="00A338E5">
        <w:rPr>
          <w:rFonts w:cstheme="minorHAnsi"/>
        </w:rPr>
        <w:t>issue</w:t>
      </w:r>
      <w:r w:rsidRPr="00A338E5">
        <w:rPr>
          <w:rFonts w:cstheme="minorHAnsi"/>
          <w:spacing w:val="3"/>
        </w:rPr>
        <w:t xml:space="preserve"> </w:t>
      </w:r>
      <w:r w:rsidRPr="00A338E5">
        <w:rPr>
          <w:rFonts w:cstheme="minorHAnsi"/>
          <w:spacing w:val="-1"/>
        </w:rPr>
        <w:t>(</w:t>
      </w:r>
      <w:r w:rsidRPr="00A338E5">
        <w:rPr>
          <w:rFonts w:cstheme="minorHAnsi"/>
        </w:rPr>
        <w:t>t</w:t>
      </w:r>
      <w:r w:rsidRPr="00A338E5">
        <w:rPr>
          <w:rFonts w:cstheme="minorHAnsi"/>
          <w:spacing w:val="2"/>
        </w:rPr>
        <w:t>h</w:t>
      </w:r>
      <w:r w:rsidRPr="00A338E5">
        <w:rPr>
          <w:rFonts w:cstheme="minorHAnsi"/>
        </w:rPr>
        <w:t>e</w:t>
      </w:r>
      <w:r w:rsidRPr="00A338E5">
        <w:rPr>
          <w:rFonts w:cstheme="minorHAnsi"/>
          <w:spacing w:val="3"/>
        </w:rPr>
        <w:t xml:space="preserve"> </w:t>
      </w:r>
      <w:r w:rsidRPr="00A338E5">
        <w:rPr>
          <w:rFonts w:cstheme="minorHAnsi"/>
        </w:rPr>
        <w:t>l</w:t>
      </w:r>
      <w:r w:rsidRPr="00A338E5">
        <w:rPr>
          <w:rFonts w:cstheme="minorHAnsi"/>
          <w:spacing w:val="-1"/>
        </w:rPr>
        <w:t>a</w:t>
      </w:r>
      <w:r w:rsidRPr="00A338E5">
        <w:rPr>
          <w:rFonts w:cstheme="minorHAnsi"/>
        </w:rPr>
        <w:t>tt</w:t>
      </w:r>
      <w:r w:rsidRPr="00A338E5">
        <w:rPr>
          <w:rFonts w:cstheme="minorHAnsi"/>
          <w:spacing w:val="-1"/>
        </w:rPr>
        <w:t>e</w:t>
      </w:r>
      <w:r w:rsidRPr="00A338E5">
        <w:rPr>
          <w:rFonts w:cstheme="minorHAnsi"/>
        </w:rPr>
        <w:t>r</w:t>
      </w:r>
      <w:r w:rsidRPr="00A338E5">
        <w:rPr>
          <w:rFonts w:cstheme="minorHAnsi"/>
          <w:spacing w:val="6"/>
        </w:rPr>
        <w:t xml:space="preserve"> </w:t>
      </w:r>
      <w:r w:rsidRPr="00A338E5">
        <w:rPr>
          <w:rFonts w:cstheme="minorHAnsi"/>
        </w:rPr>
        <w:t>to</w:t>
      </w:r>
      <w:r w:rsidRPr="00A338E5">
        <w:rPr>
          <w:rFonts w:cstheme="minorHAnsi"/>
          <w:spacing w:val="7"/>
        </w:rPr>
        <w:t xml:space="preserve"> </w:t>
      </w:r>
      <w:r w:rsidRPr="00A338E5">
        <w:rPr>
          <w:rFonts w:cstheme="minorHAnsi"/>
        </w:rPr>
        <w:t>be</w:t>
      </w:r>
      <w:r w:rsidRPr="00A338E5">
        <w:rPr>
          <w:rFonts w:cstheme="minorHAnsi"/>
          <w:spacing w:val="3"/>
        </w:rPr>
        <w:t xml:space="preserve"> </w:t>
      </w:r>
      <w:r w:rsidRPr="00A338E5">
        <w:rPr>
          <w:rFonts w:cstheme="minorHAnsi"/>
          <w:spacing w:val="1"/>
        </w:rPr>
        <w:t>a</w:t>
      </w:r>
      <w:r w:rsidRPr="00A338E5">
        <w:rPr>
          <w:rFonts w:cstheme="minorHAnsi"/>
        </w:rPr>
        <w:t>g</w:t>
      </w:r>
      <w:r w:rsidRPr="00A338E5">
        <w:rPr>
          <w:rFonts w:cstheme="minorHAnsi"/>
          <w:spacing w:val="-1"/>
        </w:rPr>
        <w:t>r</w:t>
      </w:r>
      <w:r w:rsidRPr="00A338E5">
        <w:rPr>
          <w:rFonts w:cstheme="minorHAnsi"/>
          <w:spacing w:val="1"/>
        </w:rPr>
        <w:t>e</w:t>
      </w:r>
      <w:r w:rsidRPr="00A338E5">
        <w:rPr>
          <w:rFonts w:cstheme="minorHAnsi"/>
          <w:spacing w:val="-1"/>
        </w:rPr>
        <w:t>e</w:t>
      </w:r>
      <w:r w:rsidRPr="00A338E5">
        <w:rPr>
          <w:rFonts w:cstheme="minorHAnsi"/>
        </w:rPr>
        <w:t>d</w:t>
      </w:r>
      <w:r w:rsidRPr="00A338E5">
        <w:rPr>
          <w:rFonts w:cstheme="minorHAnsi"/>
          <w:spacing w:val="4"/>
        </w:rPr>
        <w:t xml:space="preserve"> </w:t>
      </w:r>
      <w:r w:rsidRPr="00A338E5">
        <w:rPr>
          <w:rFonts w:cstheme="minorHAnsi"/>
          <w:spacing w:val="5"/>
        </w:rPr>
        <w:t>b</w:t>
      </w:r>
      <w:r w:rsidRPr="00A338E5">
        <w:rPr>
          <w:rFonts w:cstheme="minorHAnsi"/>
        </w:rPr>
        <w:t>y the</w:t>
      </w:r>
      <w:r w:rsidRPr="00A338E5">
        <w:rPr>
          <w:rFonts w:cstheme="minorHAnsi"/>
          <w:spacing w:val="6"/>
        </w:rPr>
        <w:t xml:space="preserve"> </w:t>
      </w:r>
      <w:r w:rsidRPr="00A338E5">
        <w:rPr>
          <w:rFonts w:cstheme="minorHAnsi"/>
          <w:spacing w:val="1"/>
        </w:rPr>
        <w:t>C</w:t>
      </w:r>
      <w:r w:rsidRPr="00A338E5">
        <w:rPr>
          <w:rFonts w:cstheme="minorHAnsi"/>
        </w:rPr>
        <w:t>h</w:t>
      </w:r>
      <w:r w:rsidRPr="00A338E5">
        <w:rPr>
          <w:rFonts w:cstheme="minorHAnsi"/>
          <w:spacing w:val="-1"/>
        </w:rPr>
        <w:t>a</w:t>
      </w:r>
      <w:r w:rsidRPr="00A338E5">
        <w:rPr>
          <w:rFonts w:cstheme="minorHAnsi"/>
        </w:rPr>
        <w:t>i</w:t>
      </w:r>
      <w:r w:rsidRPr="00A338E5">
        <w:rPr>
          <w:rFonts w:cstheme="minorHAnsi"/>
          <w:spacing w:val="-1"/>
        </w:rPr>
        <w:t>r</w:t>
      </w:r>
      <w:r w:rsidRPr="00A338E5">
        <w:rPr>
          <w:rFonts w:cstheme="minorHAnsi"/>
          <w:spacing w:val="2"/>
        </w:rPr>
        <w:t>p</w:t>
      </w:r>
      <w:r w:rsidRPr="00A338E5">
        <w:rPr>
          <w:rFonts w:cstheme="minorHAnsi"/>
          <w:spacing w:val="-1"/>
        </w:rPr>
        <w:t>er</w:t>
      </w:r>
      <w:r w:rsidRPr="00A338E5">
        <w:rPr>
          <w:rFonts w:cstheme="minorHAnsi"/>
        </w:rPr>
        <w:t>son</w:t>
      </w:r>
      <w:r w:rsidRPr="00A338E5">
        <w:rPr>
          <w:rFonts w:cstheme="minorHAnsi"/>
          <w:spacing w:val="4"/>
        </w:rPr>
        <w:t xml:space="preserve"> </w:t>
      </w:r>
      <w:r w:rsidRPr="00A338E5">
        <w:rPr>
          <w:rFonts w:cstheme="minorHAnsi"/>
          <w:spacing w:val="-1"/>
        </w:rPr>
        <w:t>a</w:t>
      </w:r>
      <w:r w:rsidRPr="00A338E5">
        <w:rPr>
          <w:rFonts w:cstheme="minorHAnsi"/>
        </w:rPr>
        <w:t>nd</w:t>
      </w:r>
      <w:r w:rsidRPr="00A338E5">
        <w:rPr>
          <w:rFonts w:cstheme="minorHAnsi"/>
          <w:spacing w:val="7"/>
        </w:rPr>
        <w:t xml:space="preserve"> </w:t>
      </w:r>
      <w:r w:rsidRPr="00A338E5">
        <w:rPr>
          <w:rFonts w:cstheme="minorHAnsi"/>
        </w:rPr>
        <w:t xml:space="preserve">the </w:t>
      </w:r>
      <w:r w:rsidRPr="00A338E5">
        <w:rPr>
          <w:rFonts w:cstheme="minorHAnsi"/>
          <w:spacing w:val="1"/>
        </w:rPr>
        <w:t>C</w:t>
      </w:r>
      <w:r w:rsidRPr="00A338E5">
        <w:rPr>
          <w:rFonts w:cstheme="minorHAnsi"/>
          <w:spacing w:val="-1"/>
        </w:rPr>
        <w:t>h</w:t>
      </w:r>
      <w:r w:rsidRPr="00A338E5">
        <w:rPr>
          <w:rFonts w:cstheme="minorHAnsi"/>
          <w:spacing w:val="1"/>
        </w:rPr>
        <w:t>i</w:t>
      </w:r>
      <w:r w:rsidRPr="00A338E5">
        <w:rPr>
          <w:rFonts w:cstheme="minorHAnsi"/>
          <w:spacing w:val="-1"/>
        </w:rPr>
        <w:t>e</w:t>
      </w:r>
      <w:r w:rsidRPr="00A338E5">
        <w:rPr>
          <w:rFonts w:cstheme="minorHAnsi"/>
        </w:rPr>
        <w:t>f E</w:t>
      </w:r>
      <w:r w:rsidRPr="00A338E5">
        <w:rPr>
          <w:rFonts w:cstheme="minorHAnsi"/>
          <w:spacing w:val="2"/>
        </w:rPr>
        <w:t>x</w:t>
      </w:r>
      <w:r w:rsidRPr="00A338E5">
        <w:rPr>
          <w:rFonts w:cstheme="minorHAnsi"/>
          <w:spacing w:val="-1"/>
        </w:rPr>
        <w:t>ecu</w:t>
      </w:r>
      <w:r w:rsidRPr="00A338E5">
        <w:rPr>
          <w:rFonts w:cstheme="minorHAnsi"/>
          <w:spacing w:val="1"/>
        </w:rPr>
        <w:t>t</w:t>
      </w:r>
      <w:r w:rsidRPr="00A338E5">
        <w:rPr>
          <w:rFonts w:cstheme="minorHAnsi"/>
        </w:rPr>
        <w:t>i</w:t>
      </w:r>
      <w:r w:rsidRPr="00A338E5">
        <w:rPr>
          <w:rFonts w:cstheme="minorHAnsi"/>
          <w:spacing w:val="-1"/>
        </w:rPr>
        <w:t>v</w:t>
      </w:r>
      <w:r w:rsidRPr="00A338E5">
        <w:rPr>
          <w:rFonts w:cstheme="minorHAnsi"/>
        </w:rPr>
        <w:t>e O</w:t>
      </w:r>
      <w:r w:rsidRPr="00A338E5">
        <w:rPr>
          <w:rFonts w:cstheme="minorHAnsi"/>
          <w:spacing w:val="-1"/>
        </w:rPr>
        <w:t>ff</w:t>
      </w:r>
      <w:r w:rsidRPr="00A338E5">
        <w:rPr>
          <w:rFonts w:cstheme="minorHAnsi"/>
          <w:spacing w:val="3"/>
        </w:rPr>
        <w:t>i</w:t>
      </w:r>
      <w:r w:rsidRPr="00A338E5">
        <w:rPr>
          <w:rFonts w:cstheme="minorHAnsi"/>
          <w:spacing w:val="-1"/>
        </w:rPr>
        <w:t>ce</w:t>
      </w:r>
      <w:r w:rsidRPr="00A338E5">
        <w:rPr>
          <w:rFonts w:cstheme="minorHAnsi"/>
          <w:spacing w:val="2"/>
        </w:rPr>
        <w:t>r</w:t>
      </w:r>
      <w:r w:rsidRPr="00A338E5">
        <w:rPr>
          <w:rFonts w:cstheme="minorHAnsi"/>
          <w:spacing w:val="-1"/>
        </w:rPr>
        <w:t>)</w:t>
      </w:r>
      <w:r w:rsidRPr="00A338E5">
        <w:rPr>
          <w:rFonts w:cstheme="minorHAnsi"/>
        </w:rPr>
        <w:t>, t</w:t>
      </w:r>
      <w:r w:rsidRPr="00A338E5">
        <w:rPr>
          <w:rFonts w:cstheme="minorHAnsi"/>
          <w:spacing w:val="-1"/>
        </w:rPr>
        <w:t>h</w:t>
      </w:r>
      <w:r w:rsidRPr="00A338E5">
        <w:rPr>
          <w:rFonts w:cstheme="minorHAnsi"/>
        </w:rPr>
        <w:t>e CDAC</w:t>
      </w:r>
      <w:r w:rsidRPr="00A338E5">
        <w:rPr>
          <w:rFonts w:cstheme="minorHAnsi"/>
          <w:spacing w:val="1"/>
        </w:rPr>
        <w:t xml:space="preserve"> </w:t>
      </w:r>
      <w:r w:rsidRPr="00A338E5">
        <w:rPr>
          <w:rFonts w:cstheme="minorHAnsi"/>
        </w:rPr>
        <w:t>s</w:t>
      </w:r>
      <w:r w:rsidRPr="00A338E5">
        <w:rPr>
          <w:rFonts w:cstheme="minorHAnsi"/>
          <w:spacing w:val="2"/>
        </w:rPr>
        <w:t>h</w:t>
      </w:r>
      <w:r w:rsidRPr="00A338E5">
        <w:rPr>
          <w:rFonts w:cstheme="minorHAnsi"/>
          <w:spacing w:val="-1"/>
        </w:rPr>
        <w:t>a</w:t>
      </w:r>
      <w:r w:rsidRPr="00A338E5">
        <w:rPr>
          <w:rFonts w:cstheme="minorHAnsi"/>
        </w:rPr>
        <w:t>ll</w:t>
      </w:r>
      <w:r w:rsidRPr="00A338E5">
        <w:rPr>
          <w:rFonts w:cstheme="minorHAnsi"/>
          <w:spacing w:val="1"/>
        </w:rPr>
        <w:t xml:space="preserve"> </w:t>
      </w:r>
      <w:r w:rsidRPr="00A338E5">
        <w:rPr>
          <w:rFonts w:cstheme="minorHAnsi"/>
        </w:rPr>
        <w:t>m</w:t>
      </w:r>
      <w:r w:rsidRPr="00A338E5">
        <w:rPr>
          <w:rFonts w:cstheme="minorHAnsi"/>
          <w:spacing w:val="-1"/>
        </w:rPr>
        <w:t>ee</w:t>
      </w:r>
      <w:r w:rsidRPr="00A338E5">
        <w:rPr>
          <w:rFonts w:cstheme="minorHAnsi"/>
        </w:rPr>
        <w:t>t</w:t>
      </w:r>
      <w:r w:rsidRPr="00A338E5">
        <w:rPr>
          <w:rFonts w:cstheme="minorHAnsi"/>
          <w:spacing w:val="3"/>
        </w:rPr>
        <w:t xml:space="preserve"> </w:t>
      </w:r>
      <w:r w:rsidRPr="00A338E5">
        <w:rPr>
          <w:rFonts w:cstheme="minorHAnsi"/>
          <w:spacing w:val="-1"/>
        </w:rPr>
        <w:t>a</w:t>
      </w:r>
      <w:r w:rsidRPr="00A338E5">
        <w:rPr>
          <w:rFonts w:cstheme="minorHAnsi"/>
        </w:rPr>
        <w:t>s</w:t>
      </w:r>
      <w:r w:rsidRPr="00A338E5">
        <w:rPr>
          <w:rFonts w:cstheme="minorHAnsi"/>
          <w:spacing w:val="1"/>
        </w:rPr>
        <w:t xml:space="preserve"> </w:t>
      </w:r>
      <w:r w:rsidRPr="00A338E5">
        <w:rPr>
          <w:rFonts w:cstheme="minorHAnsi"/>
          <w:spacing w:val="2"/>
        </w:rPr>
        <w:t>r</w:t>
      </w:r>
      <w:r w:rsidRPr="00A338E5">
        <w:rPr>
          <w:rFonts w:cstheme="minorHAnsi"/>
          <w:spacing w:val="-1"/>
        </w:rPr>
        <w:t>equ</w:t>
      </w:r>
      <w:r w:rsidRPr="00A338E5">
        <w:rPr>
          <w:rFonts w:cstheme="minorHAnsi"/>
          <w:spacing w:val="2"/>
        </w:rPr>
        <w:t>i</w:t>
      </w:r>
      <w:r w:rsidRPr="00A338E5">
        <w:rPr>
          <w:rFonts w:cstheme="minorHAnsi"/>
          <w:spacing w:val="-1"/>
        </w:rPr>
        <w:t xml:space="preserve">red. </w:t>
      </w:r>
      <w:r w:rsidRPr="00A338E5">
        <w:rPr>
          <w:rFonts w:cstheme="minorHAnsi"/>
        </w:rPr>
        <w:t>Addition</w:t>
      </w:r>
      <w:r w:rsidRPr="00A338E5">
        <w:rPr>
          <w:rFonts w:cstheme="minorHAnsi"/>
          <w:spacing w:val="-1"/>
        </w:rPr>
        <w:t>a</w:t>
      </w:r>
      <w:r w:rsidRPr="00A338E5">
        <w:rPr>
          <w:rFonts w:cstheme="minorHAnsi"/>
        </w:rPr>
        <w:t>l</w:t>
      </w:r>
      <w:r w:rsidRPr="00A338E5">
        <w:rPr>
          <w:rFonts w:cstheme="minorHAnsi"/>
          <w:spacing w:val="32"/>
        </w:rPr>
        <w:t xml:space="preserve"> </w:t>
      </w:r>
      <w:r w:rsidRPr="00A338E5">
        <w:rPr>
          <w:rFonts w:cstheme="minorHAnsi"/>
        </w:rPr>
        <w:t>m</w:t>
      </w:r>
      <w:r w:rsidRPr="00A338E5">
        <w:rPr>
          <w:rFonts w:cstheme="minorHAnsi"/>
          <w:spacing w:val="-1"/>
        </w:rPr>
        <w:t>ee</w:t>
      </w:r>
      <w:r w:rsidRPr="00A338E5">
        <w:rPr>
          <w:rFonts w:cstheme="minorHAnsi"/>
        </w:rPr>
        <w:t>tin</w:t>
      </w:r>
      <w:r w:rsidRPr="00A338E5">
        <w:rPr>
          <w:rFonts w:cstheme="minorHAnsi"/>
          <w:spacing w:val="-2"/>
        </w:rPr>
        <w:t>g</w:t>
      </w:r>
      <w:r w:rsidRPr="00A338E5">
        <w:rPr>
          <w:rFonts w:cstheme="minorHAnsi"/>
        </w:rPr>
        <w:t>s</w:t>
      </w:r>
      <w:r w:rsidRPr="00A338E5">
        <w:rPr>
          <w:rFonts w:cstheme="minorHAnsi"/>
          <w:spacing w:val="31"/>
        </w:rPr>
        <w:t xml:space="preserve"> </w:t>
      </w:r>
      <w:r w:rsidRPr="00A338E5">
        <w:rPr>
          <w:rFonts w:cstheme="minorHAnsi"/>
          <w:spacing w:val="3"/>
        </w:rPr>
        <w:t>m</w:t>
      </w:r>
      <w:r w:rsidRPr="00A338E5">
        <w:rPr>
          <w:rFonts w:cstheme="minorHAnsi"/>
          <w:spacing w:val="1"/>
        </w:rPr>
        <w:t>a</w:t>
      </w:r>
      <w:r w:rsidRPr="00A338E5">
        <w:rPr>
          <w:rFonts w:cstheme="minorHAnsi"/>
        </w:rPr>
        <w:t>y</w:t>
      </w:r>
      <w:r w:rsidRPr="00A338E5">
        <w:rPr>
          <w:rFonts w:cstheme="minorHAnsi"/>
          <w:spacing w:val="29"/>
        </w:rPr>
        <w:t xml:space="preserve"> </w:t>
      </w:r>
      <w:r w:rsidRPr="00A338E5">
        <w:rPr>
          <w:rFonts w:cstheme="minorHAnsi"/>
          <w:spacing w:val="2"/>
        </w:rPr>
        <w:t>b</w:t>
      </w:r>
      <w:r w:rsidRPr="00A338E5">
        <w:rPr>
          <w:rFonts w:cstheme="minorHAnsi"/>
        </w:rPr>
        <w:t>e</w:t>
      </w:r>
      <w:r w:rsidRPr="00A338E5">
        <w:rPr>
          <w:rFonts w:cstheme="minorHAnsi"/>
          <w:spacing w:val="30"/>
        </w:rPr>
        <w:t xml:space="preserve"> </w:t>
      </w:r>
      <w:r w:rsidRPr="00A338E5">
        <w:rPr>
          <w:rFonts w:cstheme="minorHAnsi"/>
          <w:spacing w:val="-1"/>
        </w:rPr>
        <w:t>c</w:t>
      </w:r>
      <w:r w:rsidRPr="00A338E5">
        <w:rPr>
          <w:rFonts w:cstheme="minorHAnsi"/>
        </w:rPr>
        <w:t>on</w:t>
      </w:r>
      <w:r w:rsidRPr="00A338E5">
        <w:rPr>
          <w:rFonts w:cstheme="minorHAnsi"/>
          <w:spacing w:val="2"/>
        </w:rPr>
        <w:t>v</w:t>
      </w:r>
      <w:r w:rsidRPr="00A338E5">
        <w:rPr>
          <w:rFonts w:cstheme="minorHAnsi"/>
          <w:spacing w:val="-1"/>
        </w:rPr>
        <w:t>e</w:t>
      </w:r>
      <w:r w:rsidRPr="00A338E5">
        <w:rPr>
          <w:rFonts w:cstheme="minorHAnsi"/>
        </w:rPr>
        <w:t>n</w:t>
      </w:r>
      <w:r w:rsidRPr="00A338E5">
        <w:rPr>
          <w:rFonts w:cstheme="minorHAnsi"/>
          <w:spacing w:val="-1"/>
        </w:rPr>
        <w:t>e</w:t>
      </w:r>
      <w:r w:rsidRPr="00A338E5">
        <w:rPr>
          <w:rFonts w:cstheme="minorHAnsi"/>
        </w:rPr>
        <w:t>d</w:t>
      </w:r>
      <w:r w:rsidRPr="00A338E5">
        <w:rPr>
          <w:rFonts w:cstheme="minorHAnsi"/>
          <w:spacing w:val="34"/>
        </w:rPr>
        <w:t xml:space="preserve"> </w:t>
      </w:r>
      <w:r w:rsidRPr="00A338E5">
        <w:rPr>
          <w:rFonts w:cstheme="minorHAnsi"/>
          <w:spacing w:val="-1"/>
        </w:rPr>
        <w:t>a</w:t>
      </w:r>
      <w:r w:rsidRPr="00A338E5">
        <w:rPr>
          <w:rFonts w:cstheme="minorHAnsi"/>
        </w:rPr>
        <w:t>t</w:t>
      </w:r>
      <w:r w:rsidRPr="00A338E5">
        <w:rPr>
          <w:rFonts w:cstheme="minorHAnsi"/>
          <w:spacing w:val="32"/>
        </w:rPr>
        <w:t xml:space="preserve"> </w:t>
      </w:r>
      <w:r w:rsidRPr="00A338E5">
        <w:rPr>
          <w:rFonts w:cstheme="minorHAnsi"/>
        </w:rPr>
        <w:t>the</w:t>
      </w:r>
      <w:r w:rsidRPr="00A338E5">
        <w:rPr>
          <w:rFonts w:cstheme="minorHAnsi"/>
          <w:spacing w:val="30"/>
        </w:rPr>
        <w:t xml:space="preserve"> </w:t>
      </w:r>
      <w:r w:rsidRPr="00A338E5">
        <w:rPr>
          <w:rFonts w:cstheme="minorHAnsi"/>
        </w:rPr>
        <w:t>d</w:t>
      </w:r>
      <w:r w:rsidRPr="00A338E5">
        <w:rPr>
          <w:rFonts w:cstheme="minorHAnsi"/>
          <w:spacing w:val="3"/>
        </w:rPr>
        <w:t>i</w:t>
      </w:r>
      <w:r w:rsidRPr="00A338E5">
        <w:rPr>
          <w:rFonts w:cstheme="minorHAnsi"/>
        </w:rPr>
        <w:t>s</w:t>
      </w:r>
      <w:r w:rsidRPr="00A338E5">
        <w:rPr>
          <w:rFonts w:cstheme="minorHAnsi"/>
          <w:spacing w:val="-1"/>
        </w:rPr>
        <w:t>cre</w:t>
      </w:r>
      <w:r w:rsidRPr="00A338E5">
        <w:rPr>
          <w:rFonts w:cstheme="minorHAnsi"/>
        </w:rPr>
        <w:t>tion</w:t>
      </w:r>
      <w:r w:rsidRPr="00A338E5">
        <w:rPr>
          <w:rFonts w:cstheme="minorHAnsi"/>
          <w:spacing w:val="31"/>
        </w:rPr>
        <w:t xml:space="preserve"> </w:t>
      </w:r>
      <w:r w:rsidRPr="00A338E5">
        <w:rPr>
          <w:rFonts w:cstheme="minorHAnsi"/>
        </w:rPr>
        <w:t>of</w:t>
      </w:r>
      <w:r w:rsidRPr="00A338E5">
        <w:rPr>
          <w:rFonts w:cstheme="minorHAnsi"/>
          <w:spacing w:val="30"/>
        </w:rPr>
        <w:t xml:space="preserve"> </w:t>
      </w:r>
      <w:r w:rsidRPr="00A338E5">
        <w:rPr>
          <w:rFonts w:cstheme="minorHAnsi"/>
        </w:rPr>
        <w:t>t</w:t>
      </w:r>
      <w:r w:rsidRPr="00A338E5">
        <w:rPr>
          <w:rFonts w:cstheme="minorHAnsi"/>
          <w:spacing w:val="2"/>
        </w:rPr>
        <w:t>h</w:t>
      </w:r>
      <w:r w:rsidRPr="00A338E5">
        <w:rPr>
          <w:rFonts w:cstheme="minorHAnsi"/>
        </w:rPr>
        <w:t xml:space="preserve">e </w:t>
      </w:r>
      <w:r w:rsidRPr="00A338E5">
        <w:rPr>
          <w:rFonts w:cstheme="minorHAnsi"/>
          <w:spacing w:val="1"/>
        </w:rPr>
        <w:t>C</w:t>
      </w:r>
      <w:r w:rsidRPr="00A338E5">
        <w:rPr>
          <w:rFonts w:cstheme="minorHAnsi"/>
          <w:spacing w:val="-1"/>
        </w:rPr>
        <w:t>h</w:t>
      </w:r>
      <w:r w:rsidRPr="00A338E5">
        <w:rPr>
          <w:rFonts w:cstheme="minorHAnsi"/>
          <w:spacing w:val="1"/>
        </w:rPr>
        <w:t>i</w:t>
      </w:r>
      <w:r w:rsidRPr="00A338E5">
        <w:rPr>
          <w:rFonts w:cstheme="minorHAnsi"/>
          <w:spacing w:val="-1"/>
        </w:rPr>
        <w:t>e</w:t>
      </w:r>
      <w:r w:rsidRPr="00A338E5">
        <w:rPr>
          <w:rFonts w:cstheme="minorHAnsi"/>
        </w:rPr>
        <w:t>f</w:t>
      </w:r>
      <w:r w:rsidRPr="00A338E5">
        <w:rPr>
          <w:rFonts w:cstheme="minorHAnsi"/>
          <w:spacing w:val="-1"/>
        </w:rPr>
        <w:t xml:space="preserve"> </w:t>
      </w:r>
      <w:r w:rsidRPr="00A338E5">
        <w:rPr>
          <w:rFonts w:cstheme="minorHAnsi"/>
        </w:rPr>
        <w:t>E</w:t>
      </w:r>
      <w:r w:rsidRPr="00A338E5">
        <w:rPr>
          <w:rFonts w:cstheme="minorHAnsi"/>
          <w:spacing w:val="2"/>
        </w:rPr>
        <w:t>x</w:t>
      </w:r>
      <w:r w:rsidRPr="00A338E5">
        <w:rPr>
          <w:rFonts w:cstheme="minorHAnsi"/>
          <w:spacing w:val="-1"/>
        </w:rPr>
        <w:t>ecu</w:t>
      </w:r>
      <w:r w:rsidRPr="00A338E5">
        <w:rPr>
          <w:rFonts w:cstheme="minorHAnsi"/>
          <w:spacing w:val="1"/>
        </w:rPr>
        <w:t>t</w:t>
      </w:r>
      <w:r w:rsidRPr="00A338E5">
        <w:rPr>
          <w:rFonts w:cstheme="minorHAnsi"/>
        </w:rPr>
        <w:t>i</w:t>
      </w:r>
      <w:r w:rsidRPr="00A338E5">
        <w:rPr>
          <w:rFonts w:cstheme="minorHAnsi"/>
          <w:spacing w:val="-1"/>
        </w:rPr>
        <w:t>v</w:t>
      </w:r>
      <w:r w:rsidRPr="00A338E5">
        <w:rPr>
          <w:rFonts w:cstheme="minorHAnsi"/>
        </w:rPr>
        <w:t>e O</w:t>
      </w:r>
      <w:r w:rsidRPr="00A338E5">
        <w:rPr>
          <w:rFonts w:cstheme="minorHAnsi"/>
          <w:spacing w:val="-1"/>
        </w:rPr>
        <w:t>ff</w:t>
      </w:r>
      <w:r w:rsidRPr="00A338E5">
        <w:rPr>
          <w:rFonts w:cstheme="minorHAnsi"/>
        </w:rPr>
        <w:t>i</w:t>
      </w:r>
      <w:r w:rsidRPr="00A338E5">
        <w:rPr>
          <w:rFonts w:cstheme="minorHAnsi"/>
          <w:spacing w:val="-1"/>
        </w:rPr>
        <w:t>c</w:t>
      </w:r>
      <w:r w:rsidRPr="00A338E5">
        <w:rPr>
          <w:rFonts w:cstheme="minorHAnsi"/>
          <w:spacing w:val="1"/>
        </w:rPr>
        <w:t>e</w:t>
      </w:r>
      <w:r w:rsidRPr="00A338E5">
        <w:rPr>
          <w:rFonts w:cstheme="minorHAnsi"/>
          <w:spacing w:val="-1"/>
        </w:rPr>
        <w:t>r</w:t>
      </w:r>
      <w:r w:rsidRPr="00A338E5">
        <w:rPr>
          <w:rFonts w:cstheme="minorHAnsi"/>
        </w:rPr>
        <w:t>.</w:t>
      </w:r>
    </w:p>
    <w:p w14:paraId="5B16F00A" w14:textId="77777777" w:rsidR="00082DB7" w:rsidRPr="00A338E5" w:rsidRDefault="00082DB7" w:rsidP="00082DB7">
      <w:pPr>
        <w:widowControl w:val="0"/>
        <w:tabs>
          <w:tab w:val="left" w:pos="1843"/>
        </w:tabs>
        <w:spacing w:after="60" w:line="240" w:lineRule="auto"/>
        <w:ind w:left="425" w:right="78" w:hanging="425"/>
        <w:jc w:val="both"/>
        <w:rPr>
          <w:rFonts w:cstheme="minorHAnsi"/>
        </w:rPr>
      </w:pPr>
      <w:r w:rsidRPr="00A338E5">
        <w:rPr>
          <w:rFonts w:cstheme="minorHAnsi"/>
        </w:rPr>
        <w:t>2.</w:t>
      </w:r>
      <w:r w:rsidRPr="00A338E5">
        <w:rPr>
          <w:rFonts w:cstheme="minorHAnsi"/>
        </w:rPr>
        <w:tab/>
        <w:t>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s</w:t>
      </w:r>
      <w:r w:rsidRPr="00A338E5">
        <w:rPr>
          <w:rFonts w:cstheme="minorHAnsi"/>
          <w:spacing w:val="1"/>
        </w:rPr>
        <w:t xml:space="preserve"> </w:t>
      </w:r>
      <w:r w:rsidRPr="00A338E5">
        <w:rPr>
          <w:rFonts w:cstheme="minorHAnsi"/>
        </w:rPr>
        <w:t>will</w:t>
      </w:r>
      <w:r w:rsidRPr="00A338E5">
        <w:rPr>
          <w:rFonts w:cstheme="minorHAnsi"/>
          <w:spacing w:val="2"/>
        </w:rPr>
        <w:t xml:space="preserve"> </w:t>
      </w:r>
      <w:r w:rsidRPr="00A338E5">
        <w:rPr>
          <w:rFonts w:cstheme="minorHAnsi"/>
        </w:rPr>
        <w:t>be</w:t>
      </w:r>
      <w:r w:rsidRPr="00A338E5">
        <w:rPr>
          <w:rFonts w:cstheme="minorHAnsi"/>
          <w:spacing w:val="3"/>
        </w:rPr>
        <w:t xml:space="preserve"> </w:t>
      </w:r>
      <w:r w:rsidRPr="00A338E5">
        <w:rPr>
          <w:rFonts w:cstheme="minorHAnsi"/>
          <w:spacing w:val="-1"/>
        </w:rPr>
        <w:t>re</w:t>
      </w:r>
      <w:r w:rsidRPr="00A338E5">
        <w:rPr>
          <w:rFonts w:cstheme="minorHAnsi"/>
        </w:rPr>
        <w:t>qui</w:t>
      </w:r>
      <w:r w:rsidRPr="00A338E5">
        <w:rPr>
          <w:rFonts w:cstheme="minorHAnsi"/>
          <w:spacing w:val="2"/>
        </w:rPr>
        <w:t>r</w:t>
      </w:r>
      <w:r w:rsidRPr="00A338E5">
        <w:rPr>
          <w:rFonts w:cstheme="minorHAnsi"/>
          <w:spacing w:val="-1"/>
        </w:rPr>
        <w:t>e</w:t>
      </w:r>
      <w:r w:rsidRPr="00A338E5">
        <w:rPr>
          <w:rFonts w:cstheme="minorHAnsi"/>
        </w:rPr>
        <w:t>d</w:t>
      </w:r>
      <w:r w:rsidRPr="00A338E5">
        <w:rPr>
          <w:rFonts w:cstheme="minorHAnsi"/>
          <w:spacing w:val="1"/>
        </w:rPr>
        <w:t xml:space="preserve"> </w:t>
      </w:r>
      <w:r w:rsidRPr="00A338E5">
        <w:rPr>
          <w:rFonts w:cstheme="minorHAnsi"/>
        </w:rPr>
        <w:t>to</w:t>
      </w:r>
      <w:r w:rsidRPr="00A338E5">
        <w:rPr>
          <w:rFonts w:cstheme="minorHAnsi"/>
          <w:spacing w:val="1"/>
        </w:rPr>
        <w:t xml:space="preserve"> </w:t>
      </w:r>
      <w:r w:rsidRPr="00A338E5">
        <w:rPr>
          <w:rFonts w:cstheme="minorHAnsi"/>
        </w:rPr>
        <w:t>p</w:t>
      </w:r>
      <w:r w:rsidRPr="00A338E5">
        <w:rPr>
          <w:rFonts w:cstheme="minorHAnsi"/>
          <w:spacing w:val="-1"/>
        </w:rPr>
        <w:t>r</w:t>
      </w:r>
      <w:r w:rsidRPr="00A338E5">
        <w:rPr>
          <w:rFonts w:cstheme="minorHAnsi"/>
        </w:rPr>
        <w:t>ovide</w:t>
      </w:r>
      <w:r w:rsidRPr="00A338E5">
        <w:rPr>
          <w:rFonts w:cstheme="minorHAnsi"/>
          <w:spacing w:val="3"/>
        </w:rPr>
        <w:t xml:space="preserve"> </w:t>
      </w:r>
      <w:r w:rsidRPr="00A338E5">
        <w:rPr>
          <w:rFonts w:cstheme="minorHAnsi"/>
        </w:rPr>
        <w:t>su</w:t>
      </w:r>
      <w:r w:rsidRPr="00A338E5">
        <w:rPr>
          <w:rFonts w:cstheme="minorHAnsi"/>
          <w:spacing w:val="-1"/>
        </w:rPr>
        <w:t>ff</w:t>
      </w:r>
      <w:r w:rsidRPr="00A338E5">
        <w:rPr>
          <w:rFonts w:cstheme="minorHAnsi"/>
        </w:rPr>
        <w:t>i</w:t>
      </w:r>
      <w:r w:rsidRPr="00A338E5">
        <w:rPr>
          <w:rFonts w:cstheme="minorHAnsi"/>
          <w:spacing w:val="-1"/>
        </w:rPr>
        <w:t>c</w:t>
      </w:r>
      <w:r w:rsidRPr="00A338E5">
        <w:rPr>
          <w:rFonts w:cstheme="minorHAnsi"/>
        </w:rPr>
        <w:t>i</w:t>
      </w:r>
      <w:r w:rsidRPr="00A338E5">
        <w:rPr>
          <w:rFonts w:cstheme="minorHAnsi"/>
          <w:spacing w:val="-1"/>
        </w:rPr>
        <w:t>e</w:t>
      </w:r>
      <w:r w:rsidRPr="00A338E5">
        <w:rPr>
          <w:rFonts w:cstheme="minorHAnsi"/>
        </w:rPr>
        <w:t>nt</w:t>
      </w:r>
      <w:r w:rsidRPr="00A338E5">
        <w:rPr>
          <w:rFonts w:cstheme="minorHAnsi"/>
          <w:spacing w:val="4"/>
        </w:rPr>
        <w:t xml:space="preserve"> </w:t>
      </w:r>
      <w:r w:rsidRPr="00A338E5">
        <w:rPr>
          <w:rFonts w:cstheme="minorHAnsi"/>
        </w:rPr>
        <w:t>noti</w:t>
      </w:r>
      <w:r w:rsidRPr="00A338E5">
        <w:rPr>
          <w:rFonts w:cstheme="minorHAnsi"/>
          <w:spacing w:val="-1"/>
        </w:rPr>
        <w:t>c</w:t>
      </w:r>
      <w:r w:rsidRPr="00A338E5">
        <w:rPr>
          <w:rFonts w:cstheme="minorHAnsi"/>
        </w:rPr>
        <w:t>e of th</w:t>
      </w:r>
      <w:r w:rsidRPr="00A338E5">
        <w:rPr>
          <w:rFonts w:cstheme="minorHAnsi"/>
          <w:spacing w:val="-1"/>
        </w:rPr>
        <w:t>e</w:t>
      </w:r>
      <w:r w:rsidRPr="00A338E5">
        <w:rPr>
          <w:rFonts w:cstheme="minorHAnsi"/>
          <w:spacing w:val="3"/>
        </w:rPr>
        <w:t>i</w:t>
      </w:r>
      <w:r w:rsidRPr="00A338E5">
        <w:rPr>
          <w:rFonts w:cstheme="minorHAnsi"/>
        </w:rPr>
        <w:t xml:space="preserve">r </w:t>
      </w:r>
      <w:r w:rsidRPr="00A338E5">
        <w:rPr>
          <w:rFonts w:cstheme="minorHAnsi"/>
          <w:spacing w:val="-1"/>
        </w:rPr>
        <w:t>a</w:t>
      </w:r>
      <w:r w:rsidRPr="00A338E5">
        <w:rPr>
          <w:rFonts w:cstheme="minorHAnsi"/>
        </w:rPr>
        <w:t>bili</w:t>
      </w:r>
      <w:r w:rsidRPr="00A338E5">
        <w:rPr>
          <w:rFonts w:cstheme="minorHAnsi"/>
          <w:spacing w:val="3"/>
        </w:rPr>
        <w:t>t</w:t>
      </w:r>
      <w:r w:rsidRPr="00A338E5">
        <w:rPr>
          <w:rFonts w:cstheme="minorHAnsi"/>
        </w:rPr>
        <w:t>y or</w:t>
      </w:r>
      <w:r w:rsidRPr="00A338E5">
        <w:rPr>
          <w:rFonts w:cstheme="minorHAnsi"/>
          <w:spacing w:val="4"/>
        </w:rPr>
        <w:t xml:space="preserve"> </w:t>
      </w:r>
      <w:r w:rsidRPr="00A338E5">
        <w:rPr>
          <w:rFonts w:cstheme="minorHAnsi"/>
        </w:rPr>
        <w:t>in</w:t>
      </w:r>
      <w:r w:rsidRPr="00A338E5">
        <w:rPr>
          <w:rFonts w:cstheme="minorHAnsi"/>
          <w:spacing w:val="-1"/>
        </w:rPr>
        <w:t>a</w:t>
      </w:r>
      <w:r w:rsidRPr="00A338E5">
        <w:rPr>
          <w:rFonts w:cstheme="minorHAnsi"/>
        </w:rPr>
        <w:t>bili</w:t>
      </w:r>
      <w:r w:rsidRPr="00A338E5">
        <w:rPr>
          <w:rFonts w:cstheme="minorHAnsi"/>
          <w:spacing w:val="3"/>
        </w:rPr>
        <w:t>t</w:t>
      </w:r>
      <w:r w:rsidRPr="00A338E5">
        <w:rPr>
          <w:rFonts w:cstheme="minorHAnsi"/>
        </w:rPr>
        <w:t>y to</w:t>
      </w:r>
      <w:r w:rsidRPr="00A338E5">
        <w:rPr>
          <w:rFonts w:cstheme="minorHAnsi"/>
          <w:spacing w:val="8"/>
        </w:rPr>
        <w:t xml:space="preserve"> </w:t>
      </w:r>
      <w:r w:rsidRPr="00A338E5">
        <w:rPr>
          <w:rFonts w:cstheme="minorHAnsi"/>
          <w:spacing w:val="-1"/>
        </w:rPr>
        <w:t>a</w:t>
      </w:r>
      <w:r w:rsidRPr="00A338E5">
        <w:rPr>
          <w:rFonts w:cstheme="minorHAnsi"/>
        </w:rPr>
        <w:t>tt</w:t>
      </w:r>
      <w:r w:rsidRPr="00A338E5">
        <w:rPr>
          <w:rFonts w:cstheme="minorHAnsi"/>
          <w:spacing w:val="-1"/>
        </w:rPr>
        <w:t>e</w:t>
      </w:r>
      <w:r w:rsidRPr="00A338E5">
        <w:rPr>
          <w:rFonts w:cstheme="minorHAnsi"/>
        </w:rPr>
        <w:t>nd</w:t>
      </w:r>
      <w:r w:rsidRPr="00A338E5">
        <w:rPr>
          <w:rFonts w:cstheme="minorHAnsi"/>
          <w:spacing w:val="5"/>
        </w:rPr>
        <w:t xml:space="preserve"> </w:t>
      </w:r>
      <w:r w:rsidRPr="00A338E5">
        <w:rPr>
          <w:rFonts w:cstheme="minorHAnsi"/>
        </w:rPr>
        <w:t>th</w:t>
      </w:r>
      <w:r w:rsidRPr="00A338E5">
        <w:rPr>
          <w:rFonts w:cstheme="minorHAnsi"/>
          <w:spacing w:val="-1"/>
        </w:rPr>
        <w:t>e next scheduled</w:t>
      </w:r>
      <w:r w:rsidRPr="00A338E5">
        <w:rPr>
          <w:rFonts w:cstheme="minorHAnsi"/>
          <w:spacing w:val="5"/>
        </w:rPr>
        <w:t xml:space="preserve"> </w:t>
      </w:r>
      <w:r w:rsidRPr="00A338E5">
        <w:rPr>
          <w:rFonts w:cstheme="minorHAnsi"/>
        </w:rPr>
        <w:t>m</w:t>
      </w:r>
      <w:r w:rsidRPr="00A338E5">
        <w:rPr>
          <w:rFonts w:cstheme="minorHAnsi"/>
          <w:spacing w:val="-1"/>
        </w:rPr>
        <w:t>ee</w:t>
      </w:r>
      <w:r w:rsidRPr="00A338E5">
        <w:rPr>
          <w:rFonts w:cstheme="minorHAnsi"/>
        </w:rPr>
        <w:t>t</w:t>
      </w:r>
      <w:r w:rsidRPr="00A338E5">
        <w:rPr>
          <w:rFonts w:cstheme="minorHAnsi"/>
          <w:spacing w:val="3"/>
        </w:rPr>
        <w:t>i</w:t>
      </w:r>
      <w:r w:rsidRPr="00A338E5">
        <w:rPr>
          <w:rFonts w:cstheme="minorHAnsi"/>
        </w:rPr>
        <w:t>n</w:t>
      </w:r>
      <w:r w:rsidRPr="00A338E5">
        <w:rPr>
          <w:rFonts w:cstheme="minorHAnsi"/>
          <w:spacing w:val="-3"/>
        </w:rPr>
        <w:t>g</w:t>
      </w:r>
      <w:r w:rsidRPr="00A338E5">
        <w:rPr>
          <w:rFonts w:cstheme="minorHAnsi"/>
        </w:rPr>
        <w:t>.</w:t>
      </w:r>
    </w:p>
    <w:p w14:paraId="1A039982" w14:textId="77777777" w:rsidR="00082DB7" w:rsidRPr="00A338E5" w:rsidRDefault="00082DB7" w:rsidP="00082DB7">
      <w:pPr>
        <w:widowControl w:val="0"/>
        <w:tabs>
          <w:tab w:val="left" w:pos="2127"/>
        </w:tabs>
        <w:spacing w:after="60" w:line="240" w:lineRule="auto"/>
        <w:ind w:left="425" w:right="-20" w:hanging="425"/>
        <w:jc w:val="both"/>
        <w:rPr>
          <w:rFonts w:cstheme="minorHAnsi"/>
        </w:rPr>
      </w:pPr>
      <w:r w:rsidRPr="00A338E5">
        <w:rPr>
          <w:rFonts w:cstheme="minorHAnsi"/>
        </w:rPr>
        <w:t>3.</w:t>
      </w:r>
      <w:r w:rsidRPr="00A338E5">
        <w:rPr>
          <w:rFonts w:cstheme="minorHAnsi"/>
        </w:rPr>
        <w:tab/>
        <w:t>CDAC</w:t>
      </w:r>
      <w:r w:rsidRPr="00A338E5">
        <w:rPr>
          <w:rFonts w:cstheme="minorHAnsi"/>
          <w:spacing w:val="1"/>
        </w:rPr>
        <w:t xml:space="preserve"> </w:t>
      </w:r>
      <w:r w:rsidRPr="00A338E5">
        <w:rPr>
          <w:rFonts w:cstheme="minorHAnsi"/>
        </w:rPr>
        <w:t>M</w:t>
      </w:r>
      <w:r w:rsidRPr="00A338E5">
        <w:rPr>
          <w:rFonts w:cstheme="minorHAnsi"/>
          <w:spacing w:val="-1"/>
        </w:rPr>
        <w:t>ee</w:t>
      </w:r>
      <w:r w:rsidRPr="00A338E5">
        <w:rPr>
          <w:rFonts w:cstheme="minorHAnsi"/>
        </w:rPr>
        <w:t>tin</w:t>
      </w:r>
      <w:r w:rsidRPr="00A338E5">
        <w:rPr>
          <w:rFonts w:cstheme="minorHAnsi"/>
          <w:spacing w:val="-2"/>
        </w:rPr>
        <w:t>g</w:t>
      </w:r>
      <w:r w:rsidRPr="00A338E5">
        <w:rPr>
          <w:rFonts w:cstheme="minorHAnsi"/>
        </w:rPr>
        <w:t>s</w:t>
      </w:r>
      <w:r w:rsidRPr="00A338E5">
        <w:rPr>
          <w:rFonts w:cstheme="minorHAnsi"/>
          <w:spacing w:val="3"/>
        </w:rPr>
        <w:t xml:space="preserve"> </w:t>
      </w:r>
      <w:r w:rsidRPr="00A338E5">
        <w:rPr>
          <w:rFonts w:cstheme="minorHAnsi"/>
          <w:spacing w:val="-1"/>
        </w:rPr>
        <w:t>ar</w:t>
      </w:r>
      <w:r w:rsidRPr="00A338E5">
        <w:rPr>
          <w:rFonts w:cstheme="minorHAnsi"/>
        </w:rPr>
        <w:t>e</w:t>
      </w:r>
      <w:r w:rsidRPr="00A338E5">
        <w:rPr>
          <w:rFonts w:cstheme="minorHAnsi"/>
          <w:spacing w:val="-1"/>
        </w:rPr>
        <w:t xml:space="preserve"> </w:t>
      </w:r>
      <w:r w:rsidRPr="00A338E5">
        <w:rPr>
          <w:rFonts w:cstheme="minorHAnsi"/>
        </w:rPr>
        <w:t xml:space="preserve">not </w:t>
      </w:r>
      <w:r w:rsidRPr="00A338E5">
        <w:rPr>
          <w:rFonts w:cstheme="minorHAnsi"/>
          <w:spacing w:val="2"/>
        </w:rPr>
        <w:t>o</w:t>
      </w:r>
      <w:r w:rsidRPr="00A338E5">
        <w:rPr>
          <w:rFonts w:cstheme="minorHAnsi"/>
        </w:rPr>
        <w:t>p</w:t>
      </w:r>
      <w:r w:rsidRPr="00A338E5">
        <w:rPr>
          <w:rFonts w:cstheme="minorHAnsi"/>
          <w:spacing w:val="-1"/>
        </w:rPr>
        <w:t>e</w:t>
      </w:r>
      <w:r w:rsidRPr="00A338E5">
        <w:rPr>
          <w:rFonts w:cstheme="minorHAnsi"/>
        </w:rPr>
        <w:t>n to the</w:t>
      </w:r>
      <w:r w:rsidRPr="00A338E5">
        <w:rPr>
          <w:rFonts w:cstheme="minorHAnsi"/>
          <w:spacing w:val="-1"/>
        </w:rPr>
        <w:t xml:space="preserve"> </w:t>
      </w:r>
      <w:r w:rsidRPr="00A338E5">
        <w:rPr>
          <w:rFonts w:cstheme="minorHAnsi"/>
          <w:spacing w:val="1"/>
        </w:rPr>
        <w:t>P</w:t>
      </w:r>
      <w:r w:rsidRPr="00A338E5">
        <w:rPr>
          <w:rFonts w:cstheme="minorHAnsi"/>
        </w:rPr>
        <w:t>ubli</w:t>
      </w:r>
      <w:r w:rsidRPr="00A338E5">
        <w:rPr>
          <w:rFonts w:cstheme="minorHAnsi"/>
          <w:spacing w:val="-1"/>
        </w:rPr>
        <w:t>c</w:t>
      </w:r>
      <w:r w:rsidRPr="00A338E5">
        <w:rPr>
          <w:rFonts w:cstheme="minorHAnsi"/>
        </w:rPr>
        <w:t>.</w:t>
      </w:r>
    </w:p>
    <w:p w14:paraId="1724DCF5" w14:textId="77777777" w:rsidR="00082DB7" w:rsidRPr="00A338E5" w:rsidRDefault="00082DB7" w:rsidP="00082DB7">
      <w:pPr>
        <w:widowControl w:val="0"/>
        <w:spacing w:after="0" w:line="240" w:lineRule="auto"/>
        <w:ind w:left="426" w:right="75" w:hanging="426"/>
        <w:jc w:val="both"/>
        <w:rPr>
          <w:rFonts w:cstheme="minorHAnsi"/>
        </w:rPr>
      </w:pPr>
      <w:r w:rsidRPr="00A338E5">
        <w:rPr>
          <w:rFonts w:cstheme="minorHAnsi"/>
        </w:rPr>
        <w:t>4.</w:t>
      </w:r>
      <w:r w:rsidRPr="00A338E5">
        <w:rPr>
          <w:rFonts w:cstheme="minorHAnsi"/>
        </w:rPr>
        <w:tab/>
        <w:t>H</w:t>
      </w:r>
      <w:r w:rsidRPr="00A338E5">
        <w:rPr>
          <w:rFonts w:cstheme="minorHAnsi"/>
          <w:spacing w:val="-1"/>
        </w:rPr>
        <w:t>a</w:t>
      </w:r>
      <w:r w:rsidRPr="00A338E5">
        <w:rPr>
          <w:rFonts w:cstheme="minorHAnsi"/>
        </w:rPr>
        <w:t xml:space="preserve">ving </w:t>
      </w:r>
      <w:r w:rsidRPr="00A338E5">
        <w:rPr>
          <w:rFonts w:cstheme="minorHAnsi"/>
          <w:spacing w:val="2"/>
        </w:rPr>
        <w:t>r</w:t>
      </w:r>
      <w:r w:rsidRPr="00A338E5">
        <w:rPr>
          <w:rFonts w:cstheme="minorHAnsi"/>
          <w:spacing w:val="-1"/>
        </w:rPr>
        <w:t>e</w:t>
      </w:r>
      <w:r w:rsidRPr="00A338E5">
        <w:rPr>
          <w:rFonts w:cstheme="minorHAnsi"/>
        </w:rPr>
        <w:t>vi</w:t>
      </w:r>
      <w:r w:rsidRPr="00A338E5">
        <w:rPr>
          <w:rFonts w:cstheme="minorHAnsi"/>
          <w:spacing w:val="-1"/>
        </w:rPr>
        <w:t>e</w:t>
      </w:r>
      <w:r w:rsidRPr="00A338E5">
        <w:rPr>
          <w:rFonts w:cstheme="minorHAnsi"/>
          <w:spacing w:val="2"/>
        </w:rPr>
        <w:t>w</w:t>
      </w:r>
      <w:r w:rsidRPr="00A338E5">
        <w:rPr>
          <w:rFonts w:cstheme="minorHAnsi"/>
          <w:spacing w:val="-1"/>
        </w:rPr>
        <w:t>e</w:t>
      </w:r>
      <w:r w:rsidRPr="00A338E5">
        <w:rPr>
          <w:rFonts w:cstheme="minorHAnsi"/>
        </w:rPr>
        <w:t xml:space="preserve">d the development application, the </w:t>
      </w:r>
      <w:r w:rsidRPr="00A338E5">
        <w:rPr>
          <w:rFonts w:cstheme="minorHAnsi"/>
          <w:spacing w:val="2"/>
        </w:rPr>
        <w:t xml:space="preserve">CDAC members are to provide comments </w:t>
      </w:r>
      <w:r w:rsidRPr="00A338E5">
        <w:rPr>
          <w:rFonts w:cstheme="minorHAnsi"/>
          <w:spacing w:val="-1"/>
        </w:rPr>
        <w:t>a</w:t>
      </w:r>
      <w:r w:rsidRPr="00A338E5">
        <w:rPr>
          <w:rFonts w:cstheme="minorHAnsi"/>
        </w:rPr>
        <w:t>nd</w:t>
      </w:r>
      <w:r w:rsidRPr="00A338E5">
        <w:rPr>
          <w:rFonts w:cstheme="minorHAnsi"/>
          <w:spacing w:val="1"/>
        </w:rPr>
        <w:t xml:space="preserve"> </w:t>
      </w:r>
      <w:r w:rsidRPr="00A338E5">
        <w:rPr>
          <w:rFonts w:cstheme="minorHAnsi"/>
          <w:spacing w:val="-1"/>
        </w:rPr>
        <w:t>a</w:t>
      </w:r>
      <w:r w:rsidRPr="00A338E5">
        <w:rPr>
          <w:rFonts w:cstheme="minorHAnsi"/>
        </w:rPr>
        <w:t>dvi</w:t>
      </w:r>
      <w:r w:rsidRPr="00A338E5">
        <w:rPr>
          <w:rFonts w:cstheme="minorHAnsi"/>
          <w:spacing w:val="-1"/>
        </w:rPr>
        <w:t>c</w:t>
      </w:r>
      <w:r w:rsidRPr="00A338E5">
        <w:rPr>
          <w:rFonts w:cstheme="minorHAnsi"/>
        </w:rPr>
        <w:t xml:space="preserve">e within the context of the relevant provisions of the Town’s </w:t>
      </w:r>
      <w:r>
        <w:rPr>
          <w:rFonts w:cstheme="minorHAnsi"/>
        </w:rPr>
        <w:t xml:space="preserve">Terms of Reference of this Policy, noting the </w:t>
      </w:r>
      <w:r w:rsidRPr="00A338E5">
        <w:rPr>
          <w:rFonts w:cstheme="minorHAnsi"/>
        </w:rPr>
        <w:t>Residential Design Guidelines, Burra Charter and R-Codes,</w:t>
      </w:r>
      <w:r w:rsidRPr="00A338E5">
        <w:rPr>
          <w:rFonts w:cstheme="minorHAnsi"/>
          <w:spacing w:val="8"/>
        </w:rPr>
        <w:t xml:space="preserve"> </w:t>
      </w:r>
      <w:r w:rsidRPr="00A338E5">
        <w:rPr>
          <w:rFonts w:cstheme="minorHAnsi"/>
        </w:rPr>
        <w:t>to</w:t>
      </w:r>
      <w:r w:rsidRPr="00A338E5">
        <w:rPr>
          <w:rFonts w:cstheme="minorHAnsi"/>
          <w:spacing w:val="-3"/>
        </w:rPr>
        <w:t>g</w:t>
      </w:r>
      <w:r w:rsidRPr="00A338E5">
        <w:rPr>
          <w:rFonts w:cstheme="minorHAnsi"/>
          <w:spacing w:val="-1"/>
        </w:rPr>
        <w:t>e</w:t>
      </w:r>
      <w:r w:rsidRPr="00A338E5">
        <w:rPr>
          <w:rFonts w:cstheme="minorHAnsi"/>
        </w:rPr>
        <w:t>th</w:t>
      </w:r>
      <w:r w:rsidRPr="00A338E5">
        <w:rPr>
          <w:rFonts w:cstheme="minorHAnsi"/>
          <w:spacing w:val="-1"/>
        </w:rPr>
        <w:t>e</w:t>
      </w:r>
      <w:r w:rsidRPr="00A338E5">
        <w:rPr>
          <w:rFonts w:cstheme="minorHAnsi"/>
        </w:rPr>
        <w:t>r</w:t>
      </w:r>
      <w:r w:rsidRPr="00A338E5">
        <w:rPr>
          <w:rFonts w:cstheme="minorHAnsi"/>
          <w:spacing w:val="7"/>
        </w:rPr>
        <w:t xml:space="preserve"> </w:t>
      </w:r>
      <w:r w:rsidRPr="00A338E5">
        <w:rPr>
          <w:rFonts w:cstheme="minorHAnsi"/>
          <w:spacing w:val="2"/>
        </w:rPr>
        <w:t>w</w:t>
      </w:r>
      <w:r w:rsidRPr="00A338E5">
        <w:rPr>
          <w:rFonts w:cstheme="minorHAnsi"/>
        </w:rPr>
        <w:t>ith</w:t>
      </w:r>
      <w:r w:rsidRPr="00A338E5">
        <w:rPr>
          <w:rFonts w:cstheme="minorHAnsi"/>
          <w:spacing w:val="8"/>
        </w:rPr>
        <w:t xml:space="preserve"> </w:t>
      </w:r>
      <w:r w:rsidRPr="00A338E5">
        <w:rPr>
          <w:rFonts w:cstheme="minorHAnsi"/>
          <w:spacing w:val="-1"/>
        </w:rPr>
        <w:t>a</w:t>
      </w:r>
      <w:r w:rsidRPr="00A338E5">
        <w:rPr>
          <w:rFonts w:cstheme="minorHAnsi"/>
          <w:spacing w:val="2"/>
        </w:rPr>
        <w:t>n</w:t>
      </w:r>
      <w:r w:rsidRPr="00A338E5">
        <w:rPr>
          <w:rFonts w:cstheme="minorHAnsi"/>
        </w:rPr>
        <w:t>y oth</w:t>
      </w:r>
      <w:r w:rsidRPr="00A338E5">
        <w:rPr>
          <w:rFonts w:cstheme="minorHAnsi"/>
          <w:spacing w:val="1"/>
        </w:rPr>
        <w:t>e</w:t>
      </w:r>
      <w:r w:rsidRPr="00A338E5">
        <w:rPr>
          <w:rFonts w:cstheme="minorHAnsi"/>
        </w:rPr>
        <w:t xml:space="preserve">r </w:t>
      </w:r>
      <w:r w:rsidRPr="00A338E5">
        <w:rPr>
          <w:rFonts w:cstheme="minorHAnsi"/>
          <w:spacing w:val="-1"/>
        </w:rPr>
        <w:t>c</w:t>
      </w:r>
      <w:r w:rsidRPr="00A338E5">
        <w:rPr>
          <w:rFonts w:cstheme="minorHAnsi"/>
        </w:rPr>
        <w:t>omm</w:t>
      </w:r>
      <w:r w:rsidRPr="00A338E5">
        <w:rPr>
          <w:rFonts w:cstheme="minorHAnsi"/>
          <w:spacing w:val="-1"/>
        </w:rPr>
        <w:t>e</w:t>
      </w:r>
      <w:r w:rsidRPr="00A338E5">
        <w:rPr>
          <w:rFonts w:cstheme="minorHAnsi"/>
        </w:rPr>
        <w:t>nts or</w:t>
      </w:r>
      <w:r w:rsidRPr="00A338E5">
        <w:rPr>
          <w:rFonts w:cstheme="minorHAnsi"/>
          <w:spacing w:val="-1"/>
        </w:rPr>
        <w:t xml:space="preserve"> a</w:t>
      </w:r>
      <w:r w:rsidRPr="00A338E5">
        <w:rPr>
          <w:rFonts w:cstheme="minorHAnsi"/>
        </w:rPr>
        <w:t>dvi</w:t>
      </w:r>
      <w:r w:rsidRPr="00A338E5">
        <w:rPr>
          <w:rFonts w:cstheme="minorHAnsi"/>
          <w:spacing w:val="-1"/>
        </w:rPr>
        <w:t>c</w:t>
      </w:r>
      <w:r w:rsidRPr="00A338E5">
        <w:rPr>
          <w:rFonts w:cstheme="minorHAnsi"/>
        </w:rPr>
        <w:t>e</w:t>
      </w:r>
      <w:r w:rsidRPr="00A338E5">
        <w:rPr>
          <w:rFonts w:cstheme="minorHAnsi"/>
          <w:spacing w:val="-1"/>
        </w:rPr>
        <w:t xml:space="preserve"> </w:t>
      </w:r>
      <w:r w:rsidRPr="00A338E5">
        <w:rPr>
          <w:rFonts w:cstheme="minorHAnsi"/>
        </w:rPr>
        <w:t>t</w:t>
      </w:r>
      <w:r w:rsidRPr="00A338E5">
        <w:rPr>
          <w:rFonts w:cstheme="minorHAnsi"/>
          <w:spacing w:val="2"/>
        </w:rPr>
        <w:t>h</w:t>
      </w:r>
      <w:r w:rsidRPr="00A338E5">
        <w:rPr>
          <w:rFonts w:cstheme="minorHAnsi"/>
        </w:rPr>
        <w:t>e</w:t>
      </w:r>
      <w:r w:rsidRPr="00A338E5">
        <w:rPr>
          <w:rFonts w:cstheme="minorHAnsi"/>
          <w:spacing w:val="1"/>
        </w:rPr>
        <w:t xml:space="preserve"> </w:t>
      </w:r>
      <w:r w:rsidRPr="00A338E5">
        <w:rPr>
          <w:rFonts w:cstheme="minorHAnsi"/>
        </w:rPr>
        <w:t>CDAC</w:t>
      </w:r>
      <w:r w:rsidRPr="00A338E5">
        <w:rPr>
          <w:rFonts w:cstheme="minorHAnsi"/>
          <w:spacing w:val="1"/>
        </w:rPr>
        <w:t xml:space="preserve"> </w:t>
      </w:r>
      <w:r w:rsidRPr="00A338E5">
        <w:rPr>
          <w:rFonts w:cstheme="minorHAnsi"/>
        </w:rPr>
        <w:t>wish</w:t>
      </w:r>
      <w:r w:rsidRPr="00A338E5">
        <w:rPr>
          <w:rFonts w:cstheme="minorHAnsi"/>
          <w:spacing w:val="-1"/>
        </w:rPr>
        <w:t>e</w:t>
      </w:r>
      <w:r w:rsidRPr="00A338E5">
        <w:rPr>
          <w:rFonts w:cstheme="minorHAnsi"/>
        </w:rPr>
        <w:t>s to p</w:t>
      </w:r>
      <w:r w:rsidRPr="00A338E5">
        <w:rPr>
          <w:rFonts w:cstheme="minorHAnsi"/>
          <w:spacing w:val="-1"/>
        </w:rPr>
        <w:t>r</w:t>
      </w:r>
      <w:r w:rsidRPr="00A338E5">
        <w:rPr>
          <w:rFonts w:cstheme="minorHAnsi"/>
        </w:rPr>
        <w:t>ovid</w:t>
      </w:r>
      <w:r w:rsidRPr="00A338E5">
        <w:rPr>
          <w:rFonts w:cstheme="minorHAnsi"/>
          <w:spacing w:val="-1"/>
        </w:rPr>
        <w:t>e</w:t>
      </w:r>
      <w:r w:rsidRPr="00A338E5">
        <w:rPr>
          <w:rFonts w:cstheme="minorHAnsi"/>
        </w:rPr>
        <w:t>.</w:t>
      </w:r>
    </w:p>
    <w:p w14:paraId="7C3D567A" w14:textId="77777777" w:rsidR="00082DB7" w:rsidRPr="00A338E5" w:rsidRDefault="00082DB7" w:rsidP="00082DB7">
      <w:pPr>
        <w:widowControl w:val="0"/>
        <w:tabs>
          <w:tab w:val="left" w:pos="1540"/>
        </w:tabs>
        <w:spacing w:before="200" w:after="0" w:line="240" w:lineRule="auto"/>
        <w:ind w:right="-23"/>
        <w:jc w:val="both"/>
        <w:rPr>
          <w:rFonts w:cstheme="minorHAnsi"/>
        </w:rPr>
      </w:pPr>
      <w:r w:rsidRPr="00A338E5">
        <w:rPr>
          <w:rFonts w:cstheme="minorHAnsi"/>
          <w:b/>
          <w:bCs/>
        </w:rPr>
        <w:t>Q</w:t>
      </w:r>
      <w:r w:rsidRPr="00A338E5">
        <w:rPr>
          <w:rFonts w:cstheme="minorHAnsi"/>
          <w:b/>
          <w:bCs/>
          <w:spacing w:val="1"/>
        </w:rPr>
        <w:t>uo</w:t>
      </w:r>
      <w:r w:rsidRPr="00A338E5">
        <w:rPr>
          <w:rFonts w:cstheme="minorHAnsi"/>
          <w:b/>
          <w:bCs/>
          <w:spacing w:val="-2"/>
        </w:rPr>
        <w:t>r</w:t>
      </w:r>
      <w:r w:rsidRPr="00A338E5">
        <w:rPr>
          <w:rFonts w:cstheme="minorHAnsi"/>
          <w:b/>
          <w:bCs/>
          <w:spacing w:val="1"/>
        </w:rPr>
        <w:t>um</w:t>
      </w:r>
    </w:p>
    <w:p w14:paraId="582B7E5B" w14:textId="77777777" w:rsidR="00082DB7" w:rsidRPr="00A338E5" w:rsidRDefault="00082DB7" w:rsidP="00082DB7">
      <w:pPr>
        <w:widowControl w:val="0"/>
        <w:tabs>
          <w:tab w:val="left" w:pos="2260"/>
        </w:tabs>
        <w:spacing w:after="60" w:line="240" w:lineRule="auto"/>
        <w:ind w:left="425" w:right="-23" w:hanging="425"/>
        <w:jc w:val="both"/>
        <w:rPr>
          <w:rFonts w:cstheme="minorHAnsi"/>
        </w:rPr>
      </w:pPr>
      <w:r w:rsidRPr="00A338E5">
        <w:rPr>
          <w:rFonts w:cstheme="minorHAnsi"/>
        </w:rPr>
        <w:t>1.</w:t>
      </w:r>
      <w:r w:rsidRPr="00A338E5">
        <w:rPr>
          <w:rFonts w:cstheme="minorHAnsi"/>
        </w:rPr>
        <w:tab/>
        <w:t>A</w:t>
      </w:r>
      <w:r w:rsidRPr="00A338E5">
        <w:rPr>
          <w:rFonts w:cstheme="minorHAnsi"/>
          <w:spacing w:val="31"/>
        </w:rPr>
        <w:t xml:space="preserve"> </w:t>
      </w:r>
      <w:r w:rsidRPr="00A338E5">
        <w:rPr>
          <w:rFonts w:cstheme="minorHAnsi"/>
        </w:rPr>
        <w:t>quo</w:t>
      </w:r>
      <w:r w:rsidRPr="00A338E5">
        <w:rPr>
          <w:rFonts w:cstheme="minorHAnsi"/>
          <w:spacing w:val="-2"/>
        </w:rPr>
        <w:t>r</w:t>
      </w:r>
      <w:r w:rsidRPr="00A338E5">
        <w:rPr>
          <w:rFonts w:cstheme="minorHAnsi"/>
        </w:rPr>
        <w:t>um</w:t>
      </w:r>
      <w:r w:rsidRPr="00A338E5">
        <w:rPr>
          <w:rFonts w:cstheme="minorHAnsi"/>
          <w:spacing w:val="31"/>
        </w:rPr>
        <w:t xml:space="preserve"> </w:t>
      </w:r>
      <w:r w:rsidRPr="00A338E5">
        <w:rPr>
          <w:rFonts w:cstheme="minorHAnsi"/>
          <w:spacing w:val="-1"/>
        </w:rPr>
        <w:t>f</w:t>
      </w:r>
      <w:r w:rsidRPr="00A338E5">
        <w:rPr>
          <w:rFonts w:cstheme="minorHAnsi"/>
        </w:rPr>
        <w:t>or</w:t>
      </w:r>
      <w:r w:rsidRPr="00A338E5">
        <w:rPr>
          <w:rFonts w:cstheme="minorHAnsi"/>
          <w:spacing w:val="30"/>
        </w:rPr>
        <w:t xml:space="preserve"> </w:t>
      </w:r>
      <w:r w:rsidRPr="00A338E5">
        <w:rPr>
          <w:rFonts w:cstheme="minorHAnsi"/>
        </w:rPr>
        <w:t>the</w:t>
      </w:r>
      <w:r w:rsidRPr="00A338E5">
        <w:rPr>
          <w:rFonts w:cstheme="minorHAnsi"/>
          <w:spacing w:val="30"/>
        </w:rPr>
        <w:t xml:space="preserve"> </w:t>
      </w:r>
      <w:r w:rsidRPr="00A338E5">
        <w:rPr>
          <w:rFonts w:cstheme="minorHAnsi"/>
        </w:rPr>
        <w:t>m</w:t>
      </w:r>
      <w:r w:rsidRPr="00A338E5">
        <w:rPr>
          <w:rFonts w:cstheme="minorHAnsi"/>
          <w:spacing w:val="-1"/>
        </w:rPr>
        <w:t>ee</w:t>
      </w:r>
      <w:r w:rsidRPr="00A338E5">
        <w:rPr>
          <w:rFonts w:cstheme="minorHAnsi"/>
        </w:rPr>
        <w:t>t</w:t>
      </w:r>
      <w:r w:rsidRPr="00A338E5">
        <w:rPr>
          <w:rFonts w:cstheme="minorHAnsi"/>
          <w:spacing w:val="3"/>
        </w:rPr>
        <w:t>i</w:t>
      </w:r>
      <w:r w:rsidRPr="00A338E5">
        <w:rPr>
          <w:rFonts w:cstheme="minorHAnsi"/>
        </w:rPr>
        <w:t>ng</w:t>
      </w:r>
      <w:r w:rsidRPr="00A338E5">
        <w:rPr>
          <w:rFonts w:cstheme="minorHAnsi"/>
          <w:spacing w:val="28"/>
        </w:rPr>
        <w:t xml:space="preserve"> </w:t>
      </w:r>
      <w:r w:rsidRPr="00A338E5">
        <w:rPr>
          <w:rFonts w:cstheme="minorHAnsi"/>
        </w:rPr>
        <w:t>of</w:t>
      </w:r>
      <w:r w:rsidRPr="00A338E5">
        <w:rPr>
          <w:rFonts w:cstheme="minorHAnsi"/>
          <w:spacing w:val="30"/>
        </w:rPr>
        <w:t xml:space="preserve"> </w:t>
      </w:r>
      <w:r w:rsidRPr="00A338E5">
        <w:rPr>
          <w:rFonts w:cstheme="minorHAnsi"/>
        </w:rPr>
        <w:t>the</w:t>
      </w:r>
      <w:r w:rsidRPr="00A338E5">
        <w:rPr>
          <w:rFonts w:cstheme="minorHAnsi"/>
          <w:spacing w:val="30"/>
        </w:rPr>
        <w:t xml:space="preserve"> </w:t>
      </w:r>
      <w:r w:rsidRPr="00A338E5">
        <w:rPr>
          <w:rFonts w:cstheme="minorHAnsi"/>
          <w:spacing w:val="1"/>
        </w:rPr>
        <w:t>C</w:t>
      </w:r>
      <w:r w:rsidRPr="00A338E5">
        <w:rPr>
          <w:rFonts w:cstheme="minorHAnsi"/>
        </w:rPr>
        <w:t>ommitt</w:t>
      </w:r>
      <w:r w:rsidRPr="00A338E5">
        <w:rPr>
          <w:rFonts w:cstheme="minorHAnsi"/>
          <w:spacing w:val="-1"/>
        </w:rPr>
        <w:t>e</w:t>
      </w:r>
      <w:r w:rsidRPr="00A338E5">
        <w:rPr>
          <w:rFonts w:cstheme="minorHAnsi"/>
        </w:rPr>
        <w:t>e</w:t>
      </w:r>
      <w:r w:rsidRPr="00A338E5">
        <w:rPr>
          <w:rFonts w:cstheme="minorHAnsi"/>
          <w:spacing w:val="30"/>
        </w:rPr>
        <w:t xml:space="preserve"> </w:t>
      </w:r>
      <w:r w:rsidRPr="00A338E5">
        <w:rPr>
          <w:rFonts w:cstheme="minorHAnsi"/>
        </w:rPr>
        <w:t>will</w:t>
      </w:r>
      <w:r w:rsidRPr="00A338E5">
        <w:rPr>
          <w:rFonts w:cstheme="minorHAnsi"/>
          <w:spacing w:val="32"/>
        </w:rPr>
        <w:t xml:space="preserve"> </w:t>
      </w:r>
      <w:r w:rsidRPr="00A338E5">
        <w:rPr>
          <w:rFonts w:cstheme="minorHAnsi"/>
        </w:rPr>
        <w:t xml:space="preserve">be four </w:t>
      </w:r>
      <w:r w:rsidRPr="00A338E5">
        <w:rPr>
          <w:rFonts w:cstheme="minorHAnsi"/>
          <w:spacing w:val="-1"/>
        </w:rPr>
        <w:t>(4</w:t>
      </w:r>
      <w:r w:rsidRPr="00A338E5">
        <w:rPr>
          <w:rFonts w:cstheme="minorHAnsi"/>
        </w:rPr>
        <w:t>) voting</w:t>
      </w:r>
      <w:r w:rsidRPr="00A338E5">
        <w:rPr>
          <w:rFonts w:cstheme="minorHAnsi"/>
          <w:spacing w:val="-2"/>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s (including the Chairperson).</w:t>
      </w:r>
    </w:p>
    <w:p w14:paraId="3A56C3BF" w14:textId="77777777" w:rsidR="00082DB7" w:rsidRPr="00A338E5" w:rsidRDefault="00082DB7" w:rsidP="00082DB7">
      <w:pPr>
        <w:widowControl w:val="0"/>
        <w:tabs>
          <w:tab w:val="left" w:pos="2260"/>
        </w:tabs>
        <w:spacing w:after="0" w:line="240" w:lineRule="auto"/>
        <w:ind w:left="426" w:right="-20" w:hanging="426"/>
        <w:jc w:val="both"/>
        <w:rPr>
          <w:rFonts w:cstheme="minorHAnsi"/>
        </w:rPr>
      </w:pPr>
      <w:r w:rsidRPr="00A338E5">
        <w:rPr>
          <w:rFonts w:cstheme="minorHAnsi"/>
        </w:rPr>
        <w:t>2.</w:t>
      </w:r>
      <w:r w:rsidRPr="00A338E5">
        <w:rPr>
          <w:rFonts w:cstheme="minorHAnsi"/>
        </w:rPr>
        <w:tab/>
        <w:t>The</w:t>
      </w:r>
      <w:r w:rsidRPr="00A338E5">
        <w:rPr>
          <w:rFonts w:cstheme="minorHAnsi"/>
          <w:spacing w:val="-1"/>
        </w:rPr>
        <w:t xml:space="preserve"> </w:t>
      </w:r>
      <w:r w:rsidRPr="00A338E5">
        <w:rPr>
          <w:rFonts w:cstheme="minorHAnsi"/>
        </w:rPr>
        <w:t>CDAC</w:t>
      </w:r>
      <w:r w:rsidRPr="00A338E5">
        <w:rPr>
          <w:rFonts w:cstheme="minorHAnsi"/>
          <w:spacing w:val="1"/>
        </w:rPr>
        <w:t xml:space="preserve"> </w:t>
      </w:r>
      <w:r w:rsidRPr="00A338E5">
        <w:rPr>
          <w:rFonts w:cstheme="minorHAnsi"/>
        </w:rPr>
        <w:t>m</w:t>
      </w:r>
      <w:r w:rsidRPr="00A338E5">
        <w:rPr>
          <w:rFonts w:cstheme="minorHAnsi"/>
          <w:spacing w:val="-1"/>
        </w:rPr>
        <w:t>ee</w:t>
      </w:r>
      <w:r w:rsidRPr="00A338E5">
        <w:rPr>
          <w:rFonts w:cstheme="minorHAnsi"/>
        </w:rPr>
        <w:t>ti</w:t>
      </w:r>
      <w:r w:rsidRPr="00A338E5">
        <w:rPr>
          <w:rFonts w:cstheme="minorHAnsi"/>
          <w:spacing w:val="2"/>
        </w:rPr>
        <w:t>n</w:t>
      </w:r>
      <w:r w:rsidRPr="00A338E5">
        <w:rPr>
          <w:rFonts w:cstheme="minorHAnsi"/>
        </w:rPr>
        <w:t>g</w:t>
      </w:r>
      <w:r w:rsidRPr="00A338E5">
        <w:rPr>
          <w:rFonts w:cstheme="minorHAnsi"/>
          <w:spacing w:val="-2"/>
        </w:rPr>
        <w:t xml:space="preserve"> </w:t>
      </w:r>
      <w:r w:rsidRPr="00A338E5">
        <w:rPr>
          <w:rFonts w:cstheme="minorHAnsi"/>
        </w:rPr>
        <w:t>sh</w:t>
      </w:r>
      <w:r w:rsidRPr="00A338E5">
        <w:rPr>
          <w:rFonts w:cstheme="minorHAnsi"/>
          <w:spacing w:val="-1"/>
        </w:rPr>
        <w:t>a</w:t>
      </w:r>
      <w:r w:rsidRPr="00A338E5">
        <w:rPr>
          <w:rFonts w:cstheme="minorHAnsi"/>
        </w:rPr>
        <w:t>ll</w:t>
      </w:r>
      <w:r w:rsidRPr="00A338E5">
        <w:rPr>
          <w:rFonts w:cstheme="minorHAnsi"/>
          <w:spacing w:val="3"/>
        </w:rPr>
        <w:t xml:space="preserve"> </w:t>
      </w:r>
      <w:r w:rsidRPr="00A338E5">
        <w:rPr>
          <w:rFonts w:cstheme="minorHAnsi"/>
        </w:rPr>
        <w:t>not p</w:t>
      </w:r>
      <w:r w:rsidRPr="00A338E5">
        <w:rPr>
          <w:rFonts w:cstheme="minorHAnsi"/>
          <w:spacing w:val="-1"/>
        </w:rPr>
        <w:t>r</w:t>
      </w:r>
      <w:r w:rsidRPr="00A338E5">
        <w:rPr>
          <w:rFonts w:cstheme="minorHAnsi"/>
        </w:rPr>
        <w:t>o</w:t>
      </w:r>
      <w:r w:rsidRPr="00A338E5">
        <w:rPr>
          <w:rFonts w:cstheme="minorHAnsi"/>
          <w:spacing w:val="-1"/>
        </w:rPr>
        <w:t>cee</w:t>
      </w:r>
      <w:r w:rsidRPr="00A338E5">
        <w:rPr>
          <w:rFonts w:cstheme="minorHAnsi"/>
        </w:rPr>
        <w:t>d unl</w:t>
      </w:r>
      <w:r w:rsidRPr="00A338E5">
        <w:rPr>
          <w:rFonts w:cstheme="minorHAnsi"/>
          <w:spacing w:val="-1"/>
        </w:rPr>
        <w:t>e</w:t>
      </w:r>
      <w:r w:rsidRPr="00A338E5">
        <w:rPr>
          <w:rFonts w:cstheme="minorHAnsi"/>
        </w:rPr>
        <w:t>ss</w:t>
      </w:r>
      <w:r w:rsidRPr="00A338E5">
        <w:rPr>
          <w:rFonts w:cstheme="minorHAnsi"/>
          <w:spacing w:val="3"/>
        </w:rPr>
        <w:t xml:space="preserve"> </w:t>
      </w:r>
      <w:r w:rsidRPr="00A338E5">
        <w:rPr>
          <w:rFonts w:cstheme="minorHAnsi"/>
        </w:rPr>
        <w:t>a</w:t>
      </w:r>
      <w:r w:rsidRPr="00A338E5">
        <w:rPr>
          <w:rFonts w:cstheme="minorHAnsi"/>
          <w:spacing w:val="-1"/>
        </w:rPr>
        <w:t xml:space="preserve"> </w:t>
      </w:r>
      <w:r w:rsidRPr="00A338E5">
        <w:rPr>
          <w:rFonts w:cstheme="minorHAnsi"/>
        </w:rPr>
        <w:t>quo</w:t>
      </w:r>
      <w:r w:rsidRPr="00A338E5">
        <w:rPr>
          <w:rFonts w:cstheme="minorHAnsi"/>
          <w:spacing w:val="2"/>
        </w:rPr>
        <w:t>r</w:t>
      </w:r>
      <w:r w:rsidRPr="00A338E5">
        <w:rPr>
          <w:rFonts w:cstheme="minorHAnsi"/>
        </w:rPr>
        <w:t>um is p</w:t>
      </w:r>
      <w:r w:rsidRPr="00A338E5">
        <w:rPr>
          <w:rFonts w:cstheme="minorHAnsi"/>
          <w:spacing w:val="-1"/>
        </w:rPr>
        <w:t>re</w:t>
      </w:r>
      <w:r w:rsidRPr="00A338E5">
        <w:rPr>
          <w:rFonts w:cstheme="minorHAnsi"/>
        </w:rPr>
        <w:t>s</w:t>
      </w:r>
      <w:r w:rsidRPr="00A338E5">
        <w:rPr>
          <w:rFonts w:cstheme="minorHAnsi"/>
          <w:spacing w:val="-1"/>
        </w:rPr>
        <w:t>e</w:t>
      </w:r>
      <w:r w:rsidRPr="00A338E5">
        <w:rPr>
          <w:rFonts w:cstheme="minorHAnsi"/>
        </w:rPr>
        <w:t>nt.</w:t>
      </w:r>
    </w:p>
    <w:p w14:paraId="2DA039E6" w14:textId="77777777" w:rsidR="00082DB7" w:rsidRPr="00A338E5" w:rsidRDefault="00082DB7" w:rsidP="00082DB7">
      <w:pPr>
        <w:widowControl w:val="0"/>
        <w:tabs>
          <w:tab w:val="left" w:pos="1540"/>
        </w:tabs>
        <w:spacing w:before="200" w:after="0" w:line="240" w:lineRule="auto"/>
        <w:ind w:right="-23"/>
        <w:jc w:val="both"/>
        <w:rPr>
          <w:rFonts w:cstheme="minorHAnsi"/>
        </w:rPr>
      </w:pPr>
      <w:r w:rsidRPr="00A338E5">
        <w:rPr>
          <w:rFonts w:cstheme="minorHAnsi"/>
          <w:b/>
          <w:bCs/>
        </w:rPr>
        <w:t>C</w:t>
      </w:r>
      <w:r w:rsidRPr="00A338E5">
        <w:rPr>
          <w:rFonts w:cstheme="minorHAnsi"/>
          <w:b/>
          <w:bCs/>
          <w:spacing w:val="1"/>
        </w:rPr>
        <w:t>h</w:t>
      </w:r>
      <w:r w:rsidRPr="00A338E5">
        <w:rPr>
          <w:rFonts w:cstheme="minorHAnsi"/>
          <w:b/>
          <w:bCs/>
          <w:spacing w:val="-1"/>
        </w:rPr>
        <w:t>a</w:t>
      </w:r>
      <w:r w:rsidRPr="00A338E5">
        <w:rPr>
          <w:rFonts w:cstheme="minorHAnsi"/>
          <w:b/>
          <w:bCs/>
          <w:spacing w:val="1"/>
        </w:rPr>
        <w:t>i</w:t>
      </w:r>
      <w:r w:rsidRPr="00A338E5">
        <w:rPr>
          <w:rFonts w:cstheme="minorHAnsi"/>
          <w:b/>
          <w:bCs/>
          <w:spacing w:val="-1"/>
        </w:rPr>
        <w:t>r</w:t>
      </w:r>
      <w:r w:rsidRPr="00A338E5">
        <w:rPr>
          <w:rFonts w:cstheme="minorHAnsi"/>
          <w:b/>
          <w:bCs/>
          <w:spacing w:val="1"/>
        </w:rPr>
        <w:t>p</w:t>
      </w:r>
      <w:r w:rsidRPr="00A338E5">
        <w:rPr>
          <w:rFonts w:cstheme="minorHAnsi"/>
          <w:b/>
          <w:bCs/>
          <w:spacing w:val="-1"/>
        </w:rPr>
        <w:t>er</w:t>
      </w:r>
      <w:r w:rsidRPr="00A338E5">
        <w:rPr>
          <w:rFonts w:cstheme="minorHAnsi"/>
          <w:b/>
          <w:bCs/>
        </w:rPr>
        <w:t>s</w:t>
      </w:r>
      <w:r w:rsidRPr="00A338E5">
        <w:rPr>
          <w:rFonts w:cstheme="minorHAnsi"/>
          <w:b/>
          <w:bCs/>
          <w:spacing w:val="-1"/>
        </w:rPr>
        <w:t>on</w:t>
      </w:r>
    </w:p>
    <w:p w14:paraId="76D9F947" w14:textId="77777777" w:rsidR="00082DB7" w:rsidRPr="00A338E5" w:rsidRDefault="00082DB7" w:rsidP="00082DB7">
      <w:pPr>
        <w:widowControl w:val="0"/>
        <w:spacing w:after="0" w:line="240" w:lineRule="auto"/>
        <w:ind w:right="74"/>
        <w:jc w:val="both"/>
        <w:rPr>
          <w:rFonts w:cstheme="minorHAnsi"/>
        </w:rPr>
      </w:pPr>
      <w:r w:rsidRPr="00A338E5">
        <w:rPr>
          <w:rFonts w:cstheme="minorHAnsi"/>
        </w:rPr>
        <w:t xml:space="preserve">The </w:t>
      </w:r>
      <w:r w:rsidRPr="00A338E5">
        <w:rPr>
          <w:rFonts w:cstheme="minorHAnsi"/>
          <w:spacing w:val="1"/>
        </w:rPr>
        <w:t>C</w:t>
      </w:r>
      <w:r w:rsidRPr="00A338E5">
        <w:rPr>
          <w:rFonts w:cstheme="minorHAnsi"/>
        </w:rPr>
        <w:t>oun</w:t>
      </w:r>
      <w:r w:rsidRPr="00A338E5">
        <w:rPr>
          <w:rFonts w:cstheme="minorHAnsi"/>
          <w:spacing w:val="-1"/>
        </w:rPr>
        <w:t>c</w:t>
      </w:r>
      <w:r w:rsidRPr="00A338E5">
        <w:rPr>
          <w:rFonts w:cstheme="minorHAnsi"/>
        </w:rPr>
        <w:t>il</w:t>
      </w:r>
      <w:r w:rsidRPr="00A338E5">
        <w:rPr>
          <w:rFonts w:cstheme="minorHAnsi"/>
          <w:spacing w:val="2"/>
        </w:rPr>
        <w:t xml:space="preserve"> </w:t>
      </w:r>
      <w:r w:rsidRPr="00A338E5">
        <w:rPr>
          <w:rFonts w:cstheme="minorHAnsi"/>
          <w:spacing w:val="-1"/>
        </w:rPr>
        <w:t>a</w:t>
      </w:r>
      <w:r w:rsidRPr="00A338E5">
        <w:rPr>
          <w:rFonts w:cstheme="minorHAnsi"/>
        </w:rPr>
        <w:t>ppoint</w:t>
      </w:r>
      <w:r w:rsidRPr="00A338E5">
        <w:rPr>
          <w:rFonts w:cstheme="minorHAnsi"/>
          <w:spacing w:val="-1"/>
        </w:rPr>
        <w:t>e</w:t>
      </w:r>
      <w:r w:rsidRPr="00A338E5">
        <w:rPr>
          <w:rFonts w:cstheme="minorHAnsi"/>
        </w:rPr>
        <w:t>d</w:t>
      </w:r>
      <w:r w:rsidRPr="00A338E5">
        <w:rPr>
          <w:rFonts w:cstheme="minorHAnsi"/>
          <w:spacing w:val="1"/>
        </w:rPr>
        <w:t xml:space="preserve"> </w:t>
      </w:r>
      <w:r w:rsidRPr="00A338E5">
        <w:rPr>
          <w:rFonts w:cstheme="minorHAnsi"/>
          <w:spacing w:val="3"/>
        </w:rPr>
        <w:t>C</w:t>
      </w:r>
      <w:r w:rsidRPr="00A338E5">
        <w:rPr>
          <w:rFonts w:cstheme="minorHAnsi"/>
        </w:rPr>
        <w:t>h</w:t>
      </w:r>
      <w:r w:rsidRPr="00A338E5">
        <w:rPr>
          <w:rFonts w:cstheme="minorHAnsi"/>
          <w:spacing w:val="-1"/>
        </w:rPr>
        <w:t>a</w:t>
      </w:r>
      <w:r w:rsidRPr="00A338E5">
        <w:rPr>
          <w:rFonts w:cstheme="minorHAnsi"/>
        </w:rPr>
        <w:t>i</w:t>
      </w:r>
      <w:r w:rsidRPr="00A338E5">
        <w:rPr>
          <w:rFonts w:cstheme="minorHAnsi"/>
          <w:spacing w:val="-1"/>
        </w:rPr>
        <w:t>r</w:t>
      </w:r>
      <w:r w:rsidRPr="00A338E5">
        <w:rPr>
          <w:rFonts w:cstheme="minorHAnsi"/>
        </w:rPr>
        <w:t>p</w:t>
      </w:r>
      <w:r w:rsidRPr="00A338E5">
        <w:rPr>
          <w:rFonts w:cstheme="minorHAnsi"/>
          <w:spacing w:val="-1"/>
        </w:rPr>
        <w:t>er</w:t>
      </w:r>
      <w:r w:rsidRPr="00A338E5">
        <w:rPr>
          <w:rFonts w:cstheme="minorHAnsi"/>
        </w:rPr>
        <w:t>son</w:t>
      </w:r>
      <w:r w:rsidRPr="00A338E5">
        <w:rPr>
          <w:rFonts w:cstheme="minorHAnsi"/>
          <w:spacing w:val="1"/>
        </w:rPr>
        <w:t xml:space="preserve"> </w:t>
      </w:r>
      <w:r w:rsidRPr="00A338E5">
        <w:rPr>
          <w:rFonts w:cstheme="minorHAnsi"/>
        </w:rPr>
        <w:t>will</w:t>
      </w:r>
      <w:r w:rsidRPr="00A338E5">
        <w:rPr>
          <w:rFonts w:cstheme="minorHAnsi"/>
          <w:spacing w:val="2"/>
        </w:rPr>
        <w:t xml:space="preserve"> </w:t>
      </w:r>
      <w:r w:rsidRPr="00A338E5">
        <w:rPr>
          <w:rFonts w:cstheme="minorHAnsi"/>
        </w:rPr>
        <w:t>p</w:t>
      </w:r>
      <w:r w:rsidRPr="00A338E5">
        <w:rPr>
          <w:rFonts w:cstheme="minorHAnsi"/>
          <w:spacing w:val="2"/>
        </w:rPr>
        <w:t>r</w:t>
      </w:r>
      <w:r w:rsidRPr="00A338E5">
        <w:rPr>
          <w:rFonts w:cstheme="minorHAnsi"/>
          <w:spacing w:val="-1"/>
        </w:rPr>
        <w:t>e</w:t>
      </w:r>
      <w:r w:rsidRPr="00A338E5">
        <w:rPr>
          <w:rFonts w:cstheme="minorHAnsi"/>
        </w:rPr>
        <w:t xml:space="preserve">side </w:t>
      </w:r>
      <w:r w:rsidRPr="00A338E5">
        <w:rPr>
          <w:rFonts w:cstheme="minorHAnsi"/>
          <w:spacing w:val="-1"/>
        </w:rPr>
        <w:t>a</w:t>
      </w:r>
      <w:r w:rsidRPr="00A338E5">
        <w:rPr>
          <w:rFonts w:cstheme="minorHAnsi"/>
        </w:rPr>
        <w:t>t</w:t>
      </w:r>
      <w:r w:rsidRPr="00A338E5">
        <w:rPr>
          <w:rFonts w:cstheme="minorHAnsi"/>
          <w:spacing w:val="4"/>
        </w:rPr>
        <w:t xml:space="preserve"> </w:t>
      </w:r>
      <w:r w:rsidRPr="00A338E5">
        <w:rPr>
          <w:rFonts w:cstheme="minorHAnsi"/>
          <w:spacing w:val="-1"/>
        </w:rPr>
        <w:t>a</w:t>
      </w:r>
      <w:r w:rsidRPr="00A338E5">
        <w:rPr>
          <w:rFonts w:cstheme="minorHAnsi"/>
        </w:rPr>
        <w:t>ll</w:t>
      </w:r>
      <w:r w:rsidRPr="00A338E5">
        <w:rPr>
          <w:rFonts w:cstheme="minorHAnsi"/>
          <w:spacing w:val="2"/>
        </w:rPr>
        <w:t xml:space="preserve"> </w:t>
      </w:r>
      <w:r w:rsidRPr="00A338E5">
        <w:rPr>
          <w:rFonts w:cstheme="minorHAnsi"/>
        </w:rPr>
        <w:t>m</w:t>
      </w:r>
      <w:r w:rsidRPr="00A338E5">
        <w:rPr>
          <w:rFonts w:cstheme="minorHAnsi"/>
          <w:spacing w:val="-1"/>
        </w:rPr>
        <w:t>ee</w:t>
      </w:r>
      <w:r w:rsidRPr="00A338E5">
        <w:rPr>
          <w:rFonts w:cstheme="minorHAnsi"/>
        </w:rPr>
        <w:t>tin</w:t>
      </w:r>
      <w:r w:rsidRPr="00A338E5">
        <w:rPr>
          <w:rFonts w:cstheme="minorHAnsi"/>
          <w:spacing w:val="-2"/>
        </w:rPr>
        <w:t>g</w:t>
      </w:r>
      <w:r w:rsidRPr="00A338E5">
        <w:rPr>
          <w:rFonts w:cstheme="minorHAnsi"/>
        </w:rPr>
        <w:t xml:space="preserve">s. </w:t>
      </w:r>
      <w:r w:rsidRPr="00A338E5">
        <w:rPr>
          <w:rFonts w:cstheme="minorHAnsi"/>
          <w:spacing w:val="13"/>
        </w:rPr>
        <w:t xml:space="preserve"> </w:t>
      </w:r>
      <w:r w:rsidRPr="00A338E5">
        <w:rPr>
          <w:rFonts w:cstheme="minorHAnsi"/>
          <w:spacing w:val="-3"/>
        </w:rPr>
        <w:t>I</w:t>
      </w:r>
      <w:r w:rsidRPr="00A338E5">
        <w:rPr>
          <w:rFonts w:cstheme="minorHAnsi"/>
        </w:rPr>
        <w:t>n</w:t>
      </w:r>
      <w:r w:rsidRPr="00A338E5">
        <w:rPr>
          <w:rFonts w:cstheme="minorHAnsi"/>
          <w:spacing w:val="1"/>
        </w:rPr>
        <w:t xml:space="preserve"> </w:t>
      </w:r>
      <w:r w:rsidRPr="00A338E5">
        <w:rPr>
          <w:rFonts w:cstheme="minorHAnsi"/>
        </w:rPr>
        <w:t xml:space="preserve">the </w:t>
      </w:r>
      <w:proofErr w:type="gramStart"/>
      <w:r w:rsidRPr="00A338E5">
        <w:rPr>
          <w:rFonts w:cstheme="minorHAnsi"/>
          <w:spacing w:val="-1"/>
        </w:rPr>
        <w:t>a</w:t>
      </w:r>
      <w:r w:rsidRPr="00A338E5">
        <w:rPr>
          <w:rFonts w:cstheme="minorHAnsi"/>
        </w:rPr>
        <w:t>bs</w:t>
      </w:r>
      <w:r w:rsidRPr="00A338E5">
        <w:rPr>
          <w:rFonts w:cstheme="minorHAnsi"/>
          <w:spacing w:val="-1"/>
        </w:rPr>
        <w:t>e</w:t>
      </w:r>
      <w:r w:rsidRPr="00A338E5">
        <w:rPr>
          <w:rFonts w:cstheme="minorHAnsi"/>
        </w:rPr>
        <w:t>n</w:t>
      </w:r>
      <w:r w:rsidRPr="00A338E5">
        <w:rPr>
          <w:rFonts w:cstheme="minorHAnsi"/>
          <w:spacing w:val="-1"/>
        </w:rPr>
        <w:t>c</w:t>
      </w:r>
      <w:r w:rsidRPr="00A338E5">
        <w:rPr>
          <w:rFonts w:cstheme="minorHAnsi"/>
        </w:rPr>
        <w:t xml:space="preserve">e </w:t>
      </w:r>
      <w:r w:rsidRPr="00A338E5">
        <w:rPr>
          <w:rFonts w:cstheme="minorHAnsi"/>
          <w:spacing w:val="6"/>
        </w:rPr>
        <w:t xml:space="preserve"> </w:t>
      </w:r>
      <w:r w:rsidRPr="00A338E5">
        <w:rPr>
          <w:rFonts w:cstheme="minorHAnsi"/>
        </w:rPr>
        <w:t>of</w:t>
      </w:r>
      <w:proofErr w:type="gramEnd"/>
      <w:r w:rsidRPr="00A338E5">
        <w:rPr>
          <w:rFonts w:cstheme="minorHAnsi"/>
        </w:rPr>
        <w:t xml:space="preserve"> </w:t>
      </w:r>
      <w:r w:rsidRPr="00A338E5">
        <w:rPr>
          <w:rFonts w:cstheme="minorHAnsi"/>
          <w:spacing w:val="7"/>
        </w:rPr>
        <w:t xml:space="preserve"> </w:t>
      </w:r>
      <w:r w:rsidRPr="00A338E5">
        <w:rPr>
          <w:rFonts w:cstheme="minorHAnsi"/>
        </w:rPr>
        <w:t xml:space="preserve">the </w:t>
      </w:r>
      <w:r w:rsidRPr="00A338E5">
        <w:rPr>
          <w:rFonts w:cstheme="minorHAnsi"/>
          <w:spacing w:val="4"/>
        </w:rPr>
        <w:t xml:space="preserve"> </w:t>
      </w:r>
      <w:r w:rsidRPr="00A338E5">
        <w:rPr>
          <w:rFonts w:cstheme="minorHAnsi"/>
          <w:spacing w:val="1"/>
        </w:rPr>
        <w:t>C</w:t>
      </w:r>
      <w:r w:rsidRPr="00A338E5">
        <w:rPr>
          <w:rFonts w:cstheme="minorHAnsi"/>
        </w:rPr>
        <w:t>h</w:t>
      </w:r>
      <w:r w:rsidRPr="00A338E5">
        <w:rPr>
          <w:rFonts w:cstheme="minorHAnsi"/>
          <w:spacing w:val="-1"/>
        </w:rPr>
        <w:t>a</w:t>
      </w:r>
      <w:r w:rsidRPr="00A338E5">
        <w:rPr>
          <w:rFonts w:cstheme="minorHAnsi"/>
        </w:rPr>
        <w:t>i</w:t>
      </w:r>
      <w:r w:rsidRPr="00A338E5">
        <w:rPr>
          <w:rFonts w:cstheme="minorHAnsi"/>
          <w:spacing w:val="-1"/>
        </w:rPr>
        <w:t>r</w:t>
      </w:r>
      <w:r w:rsidRPr="00A338E5">
        <w:rPr>
          <w:rFonts w:cstheme="minorHAnsi"/>
          <w:spacing w:val="2"/>
        </w:rPr>
        <w:t>p</w:t>
      </w:r>
      <w:r w:rsidRPr="00A338E5">
        <w:rPr>
          <w:rFonts w:cstheme="minorHAnsi"/>
          <w:spacing w:val="1"/>
        </w:rPr>
        <w:t>e</w:t>
      </w:r>
      <w:r w:rsidRPr="00A338E5">
        <w:rPr>
          <w:rFonts w:cstheme="minorHAnsi"/>
          <w:spacing w:val="-1"/>
        </w:rPr>
        <w:t>r</w:t>
      </w:r>
      <w:r w:rsidRPr="00A338E5">
        <w:rPr>
          <w:rFonts w:cstheme="minorHAnsi"/>
        </w:rPr>
        <w:t xml:space="preserve">son, </w:t>
      </w:r>
      <w:r w:rsidRPr="00A338E5">
        <w:rPr>
          <w:rFonts w:cstheme="minorHAnsi"/>
          <w:spacing w:val="5"/>
        </w:rPr>
        <w:t xml:space="preserve"> </w:t>
      </w:r>
      <w:r w:rsidRPr="00A338E5">
        <w:rPr>
          <w:rFonts w:cstheme="minorHAnsi"/>
        </w:rPr>
        <w:t xml:space="preserve">a </w:t>
      </w:r>
      <w:r w:rsidRPr="00A338E5">
        <w:rPr>
          <w:rFonts w:cstheme="minorHAnsi"/>
          <w:spacing w:val="4"/>
        </w:rPr>
        <w:t xml:space="preserve"> </w:t>
      </w:r>
      <w:r w:rsidRPr="00A338E5">
        <w:rPr>
          <w:rFonts w:cstheme="minorHAnsi"/>
          <w:spacing w:val="2"/>
        </w:rPr>
        <w:t>p</w:t>
      </w:r>
      <w:r w:rsidRPr="00A338E5">
        <w:rPr>
          <w:rFonts w:cstheme="minorHAnsi"/>
          <w:spacing w:val="-1"/>
        </w:rPr>
        <w:t>er</w:t>
      </w:r>
      <w:r w:rsidRPr="00A338E5">
        <w:rPr>
          <w:rFonts w:cstheme="minorHAnsi"/>
        </w:rPr>
        <w:t xml:space="preserve">son </w:t>
      </w:r>
      <w:r w:rsidRPr="00A338E5">
        <w:rPr>
          <w:rFonts w:cstheme="minorHAnsi"/>
          <w:spacing w:val="7"/>
        </w:rPr>
        <w:t xml:space="preserve"> </w:t>
      </w:r>
      <w:r w:rsidRPr="00A338E5">
        <w:rPr>
          <w:rFonts w:cstheme="minorHAnsi"/>
          <w:spacing w:val="-1"/>
        </w:rPr>
        <w:t>e</w:t>
      </w:r>
      <w:r w:rsidRPr="00A338E5">
        <w:rPr>
          <w:rFonts w:cstheme="minorHAnsi"/>
        </w:rPr>
        <w:t>l</w:t>
      </w:r>
      <w:r w:rsidRPr="00A338E5">
        <w:rPr>
          <w:rFonts w:cstheme="minorHAnsi"/>
          <w:spacing w:val="-1"/>
        </w:rPr>
        <w:t>ec</w:t>
      </w:r>
      <w:r w:rsidRPr="00A338E5">
        <w:rPr>
          <w:rFonts w:cstheme="minorHAnsi"/>
          <w:spacing w:val="3"/>
        </w:rPr>
        <w:t>t</w:t>
      </w:r>
      <w:r w:rsidRPr="00A338E5">
        <w:rPr>
          <w:rFonts w:cstheme="minorHAnsi"/>
          <w:spacing w:val="-1"/>
        </w:rPr>
        <w:t>e</w:t>
      </w:r>
      <w:r w:rsidRPr="00A338E5">
        <w:rPr>
          <w:rFonts w:cstheme="minorHAnsi"/>
        </w:rPr>
        <w:t xml:space="preserve">d </w:t>
      </w:r>
      <w:r w:rsidRPr="00A338E5">
        <w:rPr>
          <w:rFonts w:cstheme="minorHAnsi"/>
          <w:spacing w:val="7"/>
        </w:rPr>
        <w:t xml:space="preserve"> </w:t>
      </w:r>
      <w:r w:rsidRPr="00A338E5">
        <w:rPr>
          <w:rFonts w:cstheme="minorHAnsi"/>
          <w:spacing w:val="2"/>
        </w:rPr>
        <w:t>b</w:t>
      </w:r>
      <w:r w:rsidRPr="00A338E5">
        <w:rPr>
          <w:rFonts w:cstheme="minorHAnsi"/>
        </w:rPr>
        <w:t>y  t</w:t>
      </w:r>
      <w:r w:rsidRPr="00A338E5">
        <w:rPr>
          <w:rFonts w:cstheme="minorHAnsi"/>
          <w:spacing w:val="2"/>
        </w:rPr>
        <w:t>h</w:t>
      </w:r>
      <w:r w:rsidRPr="00A338E5">
        <w:rPr>
          <w:rFonts w:cstheme="minorHAnsi"/>
        </w:rPr>
        <w:t xml:space="preserve">e </w:t>
      </w:r>
      <w:r w:rsidRPr="00A338E5">
        <w:rPr>
          <w:rFonts w:cstheme="minorHAnsi"/>
          <w:spacing w:val="4"/>
        </w:rPr>
        <w:t xml:space="preserve"> </w:t>
      </w:r>
      <w:r w:rsidRPr="00A338E5">
        <w:rPr>
          <w:rFonts w:cstheme="minorHAnsi"/>
        </w:rPr>
        <w:t>quo</w:t>
      </w:r>
      <w:r w:rsidRPr="00A338E5">
        <w:rPr>
          <w:rFonts w:cstheme="minorHAnsi"/>
          <w:spacing w:val="-1"/>
        </w:rPr>
        <w:t>r</w:t>
      </w:r>
      <w:r w:rsidRPr="00A338E5">
        <w:rPr>
          <w:rFonts w:cstheme="minorHAnsi"/>
        </w:rPr>
        <w:t xml:space="preserve">um </w:t>
      </w:r>
      <w:r w:rsidRPr="00A338E5">
        <w:rPr>
          <w:rFonts w:cstheme="minorHAnsi"/>
          <w:spacing w:val="8"/>
        </w:rPr>
        <w:t xml:space="preserve"> </w:t>
      </w:r>
      <w:r w:rsidRPr="00A338E5">
        <w:rPr>
          <w:rFonts w:cstheme="minorHAnsi"/>
        </w:rPr>
        <w:t xml:space="preserve">will </w:t>
      </w:r>
      <w:r w:rsidRPr="00A338E5">
        <w:rPr>
          <w:rFonts w:cstheme="minorHAnsi"/>
          <w:spacing w:val="-1"/>
        </w:rPr>
        <w:t>a</w:t>
      </w:r>
      <w:r w:rsidRPr="00A338E5">
        <w:rPr>
          <w:rFonts w:cstheme="minorHAnsi"/>
        </w:rPr>
        <w:t>ss</w:t>
      </w:r>
      <w:r w:rsidRPr="00A338E5">
        <w:rPr>
          <w:rFonts w:cstheme="minorHAnsi"/>
          <w:spacing w:val="-1"/>
        </w:rPr>
        <w:t>u</w:t>
      </w:r>
      <w:r w:rsidRPr="00A338E5">
        <w:rPr>
          <w:rFonts w:cstheme="minorHAnsi"/>
          <w:spacing w:val="1"/>
        </w:rPr>
        <w:t>m</w:t>
      </w:r>
      <w:r w:rsidRPr="00A338E5">
        <w:rPr>
          <w:rFonts w:cstheme="minorHAnsi"/>
        </w:rPr>
        <w:t>e</w:t>
      </w:r>
      <w:r w:rsidRPr="00A338E5">
        <w:rPr>
          <w:rFonts w:cstheme="minorHAnsi"/>
          <w:spacing w:val="-1"/>
        </w:rPr>
        <w:t xml:space="preserve"> </w:t>
      </w:r>
      <w:r w:rsidRPr="00A338E5">
        <w:rPr>
          <w:rFonts w:cstheme="minorHAnsi"/>
        </w:rPr>
        <w:t>t</w:t>
      </w:r>
      <w:r w:rsidRPr="00A338E5">
        <w:rPr>
          <w:rFonts w:cstheme="minorHAnsi"/>
          <w:spacing w:val="-1"/>
        </w:rPr>
        <w:t>h</w:t>
      </w:r>
      <w:r w:rsidRPr="00A338E5">
        <w:rPr>
          <w:rFonts w:cstheme="minorHAnsi"/>
        </w:rPr>
        <w:t xml:space="preserve">e </w:t>
      </w:r>
      <w:r w:rsidRPr="00A338E5">
        <w:rPr>
          <w:rFonts w:cstheme="minorHAnsi"/>
          <w:spacing w:val="1"/>
        </w:rPr>
        <w:t>C</w:t>
      </w:r>
      <w:r w:rsidRPr="00A338E5">
        <w:rPr>
          <w:rFonts w:cstheme="minorHAnsi"/>
          <w:spacing w:val="-1"/>
        </w:rPr>
        <w:t>h</w:t>
      </w:r>
      <w:r w:rsidRPr="00A338E5">
        <w:rPr>
          <w:rFonts w:cstheme="minorHAnsi"/>
        </w:rPr>
        <w:t>ai</w:t>
      </w:r>
      <w:r w:rsidRPr="00A338E5">
        <w:rPr>
          <w:rFonts w:cstheme="minorHAnsi"/>
          <w:spacing w:val="-1"/>
        </w:rPr>
        <w:t>r</w:t>
      </w:r>
      <w:r w:rsidRPr="00A338E5">
        <w:rPr>
          <w:rFonts w:cstheme="minorHAnsi"/>
        </w:rPr>
        <w:t>.</w:t>
      </w:r>
    </w:p>
    <w:p w14:paraId="233D18FF" w14:textId="77777777" w:rsidR="00082DB7" w:rsidRPr="00A338E5" w:rsidRDefault="00082DB7" w:rsidP="00082DB7">
      <w:pPr>
        <w:widowControl w:val="0"/>
        <w:tabs>
          <w:tab w:val="left" w:pos="1540"/>
        </w:tabs>
        <w:spacing w:before="200" w:after="0" w:line="240" w:lineRule="auto"/>
        <w:ind w:right="-23"/>
        <w:jc w:val="both"/>
        <w:rPr>
          <w:rFonts w:cstheme="minorHAnsi"/>
        </w:rPr>
      </w:pPr>
      <w:r w:rsidRPr="00A338E5">
        <w:rPr>
          <w:rFonts w:cstheme="minorHAnsi"/>
          <w:b/>
          <w:bCs/>
        </w:rPr>
        <w:lastRenderedPageBreak/>
        <w:t>Ag</w:t>
      </w:r>
      <w:r w:rsidRPr="00A338E5">
        <w:rPr>
          <w:rFonts w:cstheme="minorHAnsi"/>
          <w:b/>
          <w:bCs/>
          <w:spacing w:val="-1"/>
        </w:rPr>
        <w:t>e</w:t>
      </w:r>
      <w:r w:rsidRPr="00A338E5">
        <w:rPr>
          <w:rFonts w:cstheme="minorHAnsi"/>
          <w:b/>
          <w:bCs/>
          <w:spacing w:val="1"/>
        </w:rPr>
        <w:t>nd</w:t>
      </w:r>
      <w:r w:rsidRPr="00A338E5">
        <w:rPr>
          <w:rFonts w:cstheme="minorHAnsi"/>
          <w:b/>
          <w:bCs/>
        </w:rPr>
        <w:t>as</w:t>
      </w:r>
    </w:p>
    <w:p w14:paraId="79F4C061" w14:textId="77777777" w:rsidR="00082DB7" w:rsidRPr="00A338E5" w:rsidRDefault="00082DB7" w:rsidP="00082DB7">
      <w:pPr>
        <w:widowControl w:val="0"/>
        <w:spacing w:after="60" w:line="240" w:lineRule="auto"/>
        <w:ind w:left="425" w:right="77" w:hanging="425"/>
        <w:jc w:val="both"/>
        <w:rPr>
          <w:rFonts w:cstheme="minorHAnsi"/>
          <w:spacing w:val="1"/>
        </w:rPr>
      </w:pPr>
      <w:r w:rsidRPr="00A338E5">
        <w:rPr>
          <w:rFonts w:cstheme="minorHAnsi"/>
          <w:spacing w:val="1"/>
        </w:rPr>
        <w:t>1.</w:t>
      </w:r>
      <w:r w:rsidRPr="00A338E5">
        <w:rPr>
          <w:rFonts w:cstheme="minorHAnsi"/>
          <w:spacing w:val="1"/>
        </w:rPr>
        <w:tab/>
        <w:t xml:space="preserve">The </w:t>
      </w:r>
      <w:r>
        <w:rPr>
          <w:rFonts w:cstheme="minorHAnsi"/>
          <w:spacing w:val="1"/>
        </w:rPr>
        <w:t>Executive Manager Regulatory Services</w:t>
      </w:r>
      <w:r w:rsidRPr="00A338E5">
        <w:rPr>
          <w:rFonts w:cstheme="minorHAnsi"/>
          <w:spacing w:val="1"/>
        </w:rPr>
        <w:t xml:space="preserve"> (or an Officer authorised by the </w:t>
      </w:r>
      <w:r>
        <w:rPr>
          <w:rFonts w:cstheme="minorHAnsi"/>
          <w:spacing w:val="1"/>
        </w:rPr>
        <w:t>Executive Manager Regulatory Services</w:t>
      </w:r>
      <w:r w:rsidRPr="00A338E5">
        <w:rPr>
          <w:rFonts w:cstheme="minorHAnsi"/>
          <w:spacing w:val="1"/>
        </w:rPr>
        <w:t xml:space="preserve">) will determine the </w:t>
      </w:r>
      <w:proofErr w:type="gramStart"/>
      <w:r w:rsidRPr="00A338E5">
        <w:rPr>
          <w:rFonts w:cstheme="minorHAnsi"/>
          <w:spacing w:val="1"/>
        </w:rPr>
        <w:t>Agenda</w:t>
      </w:r>
      <w:proofErr w:type="gramEnd"/>
      <w:r w:rsidRPr="00A338E5">
        <w:rPr>
          <w:rFonts w:cstheme="minorHAnsi"/>
          <w:spacing w:val="1"/>
        </w:rPr>
        <w:t xml:space="preserve"> for each meeting.</w:t>
      </w:r>
    </w:p>
    <w:p w14:paraId="3D854FF6" w14:textId="77777777" w:rsidR="00082DB7" w:rsidRPr="00A338E5" w:rsidRDefault="00082DB7" w:rsidP="00082DB7">
      <w:pPr>
        <w:widowControl w:val="0"/>
        <w:spacing w:after="60" w:line="240" w:lineRule="auto"/>
        <w:ind w:left="425" w:right="410" w:hanging="425"/>
        <w:jc w:val="both"/>
        <w:rPr>
          <w:rFonts w:cstheme="minorHAnsi"/>
        </w:rPr>
      </w:pPr>
      <w:r w:rsidRPr="00A338E5">
        <w:rPr>
          <w:rFonts w:cstheme="minorHAnsi"/>
        </w:rPr>
        <w:t>2.</w:t>
      </w:r>
      <w:r w:rsidRPr="00A338E5">
        <w:rPr>
          <w:rFonts w:cstheme="minorHAnsi"/>
        </w:rPr>
        <w:tab/>
        <w:t>All m</w:t>
      </w:r>
      <w:r w:rsidRPr="00A338E5">
        <w:rPr>
          <w:rFonts w:cstheme="minorHAnsi"/>
          <w:spacing w:val="-1"/>
        </w:rPr>
        <w:t>ee</w:t>
      </w:r>
      <w:r w:rsidRPr="00A338E5">
        <w:rPr>
          <w:rFonts w:cstheme="minorHAnsi"/>
        </w:rPr>
        <w:t>tin</w:t>
      </w:r>
      <w:r w:rsidRPr="00A338E5">
        <w:rPr>
          <w:rFonts w:cstheme="minorHAnsi"/>
          <w:spacing w:val="-3"/>
        </w:rPr>
        <w:t>g</w:t>
      </w:r>
      <w:r w:rsidRPr="00A338E5">
        <w:rPr>
          <w:rFonts w:cstheme="minorHAnsi"/>
        </w:rPr>
        <w:t>s sh</w:t>
      </w:r>
      <w:r w:rsidRPr="00A338E5">
        <w:rPr>
          <w:rFonts w:cstheme="minorHAnsi"/>
          <w:spacing w:val="-1"/>
        </w:rPr>
        <w:t>a</w:t>
      </w:r>
      <w:r w:rsidRPr="00A338E5">
        <w:rPr>
          <w:rFonts w:cstheme="minorHAnsi"/>
        </w:rPr>
        <w:t>ll be</w:t>
      </w:r>
      <w:r w:rsidRPr="00A338E5">
        <w:rPr>
          <w:rFonts w:cstheme="minorHAnsi"/>
          <w:spacing w:val="1"/>
        </w:rPr>
        <w:t xml:space="preserve"> </w:t>
      </w:r>
      <w:r w:rsidRPr="00A338E5">
        <w:rPr>
          <w:rFonts w:cstheme="minorHAnsi"/>
          <w:spacing w:val="-1"/>
        </w:rPr>
        <w:t>c</w:t>
      </w:r>
      <w:r w:rsidRPr="00A338E5">
        <w:rPr>
          <w:rFonts w:cstheme="minorHAnsi"/>
        </w:rPr>
        <w:t>o</w:t>
      </w:r>
      <w:r w:rsidRPr="00A338E5">
        <w:rPr>
          <w:rFonts w:cstheme="minorHAnsi"/>
          <w:spacing w:val="2"/>
        </w:rPr>
        <w:t>n</w:t>
      </w:r>
      <w:r w:rsidRPr="00A338E5">
        <w:rPr>
          <w:rFonts w:cstheme="minorHAnsi"/>
          <w:spacing w:val="-1"/>
        </w:rPr>
        <w:t>f</w:t>
      </w:r>
      <w:r w:rsidRPr="00A338E5">
        <w:rPr>
          <w:rFonts w:cstheme="minorHAnsi"/>
        </w:rPr>
        <w:t>in</w:t>
      </w:r>
      <w:r w:rsidRPr="00A338E5">
        <w:rPr>
          <w:rFonts w:cstheme="minorHAnsi"/>
          <w:spacing w:val="-1"/>
        </w:rPr>
        <w:t>e</w:t>
      </w:r>
      <w:r w:rsidRPr="00A338E5">
        <w:rPr>
          <w:rFonts w:cstheme="minorHAnsi"/>
        </w:rPr>
        <w:t>d to it</w:t>
      </w:r>
      <w:r w:rsidRPr="00A338E5">
        <w:rPr>
          <w:rFonts w:cstheme="minorHAnsi"/>
          <w:spacing w:val="-1"/>
        </w:rPr>
        <w:t>e</w:t>
      </w:r>
      <w:r w:rsidRPr="00A338E5">
        <w:rPr>
          <w:rFonts w:cstheme="minorHAnsi"/>
        </w:rPr>
        <w:t>ms list</w:t>
      </w:r>
      <w:r w:rsidRPr="00A338E5">
        <w:rPr>
          <w:rFonts w:cstheme="minorHAnsi"/>
          <w:spacing w:val="-1"/>
        </w:rPr>
        <w:t>e</w:t>
      </w:r>
      <w:r w:rsidRPr="00A338E5">
        <w:rPr>
          <w:rFonts w:cstheme="minorHAnsi"/>
        </w:rPr>
        <w:t xml:space="preserve">d on </w:t>
      </w:r>
      <w:r w:rsidRPr="00A338E5">
        <w:rPr>
          <w:rFonts w:cstheme="minorHAnsi"/>
          <w:spacing w:val="-1"/>
        </w:rPr>
        <w:t>t</w:t>
      </w:r>
      <w:r w:rsidRPr="00A338E5">
        <w:rPr>
          <w:rFonts w:cstheme="minorHAnsi"/>
          <w:spacing w:val="-2"/>
        </w:rPr>
        <w:t>h</w:t>
      </w:r>
      <w:r w:rsidRPr="00A338E5">
        <w:rPr>
          <w:rFonts w:cstheme="minorHAnsi"/>
        </w:rPr>
        <w:t>e</w:t>
      </w:r>
      <w:r w:rsidRPr="00A338E5">
        <w:rPr>
          <w:rFonts w:cstheme="minorHAnsi"/>
          <w:spacing w:val="-1"/>
        </w:rPr>
        <w:t xml:space="preserve"> </w:t>
      </w:r>
      <w:proofErr w:type="gramStart"/>
      <w:r w:rsidRPr="00A338E5">
        <w:rPr>
          <w:rFonts w:cstheme="minorHAnsi"/>
          <w:spacing w:val="2"/>
        </w:rPr>
        <w:t>A</w:t>
      </w:r>
      <w:r w:rsidRPr="00A338E5">
        <w:rPr>
          <w:rFonts w:cstheme="minorHAnsi"/>
          <w:spacing w:val="-2"/>
        </w:rPr>
        <w:t>g</w:t>
      </w:r>
      <w:r w:rsidRPr="00A338E5">
        <w:rPr>
          <w:rFonts w:cstheme="minorHAnsi"/>
          <w:spacing w:val="-1"/>
        </w:rPr>
        <w:t>e</w:t>
      </w:r>
      <w:r w:rsidRPr="00A338E5">
        <w:rPr>
          <w:rFonts w:cstheme="minorHAnsi"/>
        </w:rPr>
        <w:t>nd</w:t>
      </w:r>
      <w:r w:rsidRPr="00A338E5">
        <w:rPr>
          <w:rFonts w:cstheme="minorHAnsi"/>
          <w:spacing w:val="-2"/>
        </w:rPr>
        <w:t>a</w:t>
      </w:r>
      <w:proofErr w:type="gramEnd"/>
      <w:r w:rsidRPr="00A338E5">
        <w:rPr>
          <w:rFonts w:cstheme="minorHAnsi"/>
        </w:rPr>
        <w:t>.</w:t>
      </w:r>
    </w:p>
    <w:p w14:paraId="3E595A9F" w14:textId="77777777" w:rsidR="00082DB7" w:rsidRPr="00A338E5" w:rsidRDefault="00082DB7" w:rsidP="00082DB7">
      <w:pPr>
        <w:widowControl w:val="0"/>
        <w:spacing w:after="60" w:line="240" w:lineRule="auto"/>
        <w:ind w:left="425" w:right="74" w:hanging="425"/>
        <w:jc w:val="both"/>
        <w:rPr>
          <w:rFonts w:cstheme="minorHAnsi"/>
        </w:rPr>
      </w:pPr>
      <w:r w:rsidRPr="00A338E5">
        <w:rPr>
          <w:rFonts w:cstheme="minorHAnsi"/>
        </w:rPr>
        <w:t>3.</w:t>
      </w:r>
      <w:r w:rsidRPr="00A338E5">
        <w:rPr>
          <w:rFonts w:cstheme="minorHAnsi"/>
        </w:rPr>
        <w:tab/>
        <w:t>Ag</w:t>
      </w:r>
      <w:r w:rsidRPr="00A338E5">
        <w:rPr>
          <w:rFonts w:cstheme="minorHAnsi"/>
          <w:spacing w:val="-1"/>
        </w:rPr>
        <w:t>e</w:t>
      </w:r>
      <w:r w:rsidRPr="00A338E5">
        <w:rPr>
          <w:rFonts w:cstheme="minorHAnsi"/>
        </w:rPr>
        <w:t>nd</w:t>
      </w:r>
      <w:r w:rsidRPr="00A338E5">
        <w:rPr>
          <w:rFonts w:cstheme="minorHAnsi"/>
          <w:spacing w:val="-2"/>
        </w:rPr>
        <w:t>a</w:t>
      </w:r>
      <w:r w:rsidRPr="00A338E5">
        <w:rPr>
          <w:rFonts w:cstheme="minorHAnsi"/>
        </w:rPr>
        <w:t>s</w:t>
      </w:r>
      <w:r w:rsidRPr="00A338E5">
        <w:rPr>
          <w:rFonts w:cstheme="minorHAnsi"/>
          <w:spacing w:val="55"/>
        </w:rPr>
        <w:t xml:space="preserve"> </w:t>
      </w:r>
      <w:r w:rsidRPr="00A338E5">
        <w:rPr>
          <w:rFonts w:cstheme="minorHAnsi"/>
        </w:rPr>
        <w:t>will</w:t>
      </w:r>
      <w:r w:rsidRPr="00A338E5">
        <w:rPr>
          <w:rFonts w:cstheme="minorHAnsi"/>
          <w:spacing w:val="56"/>
        </w:rPr>
        <w:t xml:space="preserve"> </w:t>
      </w:r>
      <w:r w:rsidRPr="00A338E5">
        <w:rPr>
          <w:rFonts w:cstheme="minorHAnsi"/>
        </w:rPr>
        <w:t>be</w:t>
      </w:r>
      <w:r w:rsidRPr="00A338E5">
        <w:rPr>
          <w:rFonts w:cstheme="minorHAnsi"/>
          <w:spacing w:val="54"/>
        </w:rPr>
        <w:t xml:space="preserve"> </w:t>
      </w:r>
      <w:r w:rsidRPr="00A338E5">
        <w:rPr>
          <w:rFonts w:cstheme="minorHAnsi"/>
        </w:rPr>
        <w:t>dist</w:t>
      </w:r>
      <w:r w:rsidRPr="00A338E5">
        <w:rPr>
          <w:rFonts w:cstheme="minorHAnsi"/>
          <w:spacing w:val="-1"/>
        </w:rPr>
        <w:t>r</w:t>
      </w:r>
      <w:r w:rsidRPr="00A338E5">
        <w:rPr>
          <w:rFonts w:cstheme="minorHAnsi"/>
        </w:rPr>
        <w:t>ibut</w:t>
      </w:r>
      <w:r w:rsidRPr="00A338E5">
        <w:rPr>
          <w:rFonts w:cstheme="minorHAnsi"/>
          <w:spacing w:val="-1"/>
        </w:rPr>
        <w:t>e</w:t>
      </w:r>
      <w:r w:rsidRPr="00A338E5">
        <w:rPr>
          <w:rFonts w:cstheme="minorHAnsi"/>
        </w:rPr>
        <w:t>d</w:t>
      </w:r>
      <w:r w:rsidRPr="00A338E5">
        <w:rPr>
          <w:rFonts w:cstheme="minorHAnsi"/>
          <w:spacing w:val="55"/>
        </w:rPr>
        <w:t xml:space="preserve"> </w:t>
      </w:r>
      <w:r w:rsidRPr="00A338E5">
        <w:rPr>
          <w:rFonts w:cstheme="minorHAnsi"/>
        </w:rPr>
        <w:t>to</w:t>
      </w:r>
      <w:r w:rsidRPr="00A338E5">
        <w:rPr>
          <w:rFonts w:cstheme="minorHAnsi"/>
          <w:spacing w:val="55"/>
        </w:rPr>
        <w:t xml:space="preserve"> </w:t>
      </w:r>
      <w:r w:rsidRPr="00A338E5">
        <w:rPr>
          <w:rFonts w:cstheme="minorHAnsi"/>
          <w:spacing w:val="-1"/>
        </w:rPr>
        <w:t>a</w:t>
      </w:r>
      <w:r w:rsidRPr="00A338E5">
        <w:rPr>
          <w:rFonts w:cstheme="minorHAnsi"/>
        </w:rPr>
        <w:t>ll</w:t>
      </w:r>
      <w:r w:rsidRPr="00A338E5">
        <w:rPr>
          <w:rFonts w:cstheme="minorHAnsi"/>
          <w:spacing w:val="56"/>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s</w:t>
      </w:r>
      <w:r w:rsidRPr="00A338E5">
        <w:rPr>
          <w:rFonts w:cstheme="minorHAnsi"/>
          <w:spacing w:val="55"/>
        </w:rPr>
        <w:t xml:space="preserve"> </w:t>
      </w:r>
      <w:r w:rsidRPr="00A338E5">
        <w:rPr>
          <w:rFonts w:cstheme="minorHAnsi"/>
          <w:spacing w:val="-1"/>
        </w:rPr>
        <w:t>a</w:t>
      </w:r>
      <w:r w:rsidRPr="00A338E5">
        <w:rPr>
          <w:rFonts w:cstheme="minorHAnsi"/>
        </w:rPr>
        <w:t>t</w:t>
      </w:r>
      <w:r w:rsidRPr="00A338E5">
        <w:rPr>
          <w:rFonts w:cstheme="minorHAnsi"/>
          <w:spacing w:val="56"/>
        </w:rPr>
        <w:t xml:space="preserve"> </w:t>
      </w:r>
      <w:r w:rsidRPr="00A338E5">
        <w:rPr>
          <w:rFonts w:cstheme="minorHAnsi"/>
        </w:rPr>
        <w:t>l</w:t>
      </w:r>
      <w:r w:rsidRPr="00A338E5">
        <w:rPr>
          <w:rFonts w:cstheme="minorHAnsi"/>
          <w:spacing w:val="-1"/>
        </w:rPr>
        <w:t>ea</w:t>
      </w:r>
      <w:r w:rsidRPr="00A338E5">
        <w:rPr>
          <w:rFonts w:cstheme="minorHAnsi"/>
        </w:rPr>
        <w:t>st</w:t>
      </w:r>
      <w:r w:rsidRPr="00A338E5">
        <w:rPr>
          <w:rFonts w:cstheme="minorHAnsi"/>
          <w:spacing w:val="56"/>
        </w:rPr>
        <w:t xml:space="preserve"> </w:t>
      </w:r>
      <w:r w:rsidRPr="00A338E5">
        <w:rPr>
          <w:rFonts w:cstheme="minorHAnsi"/>
          <w:spacing w:val="-1"/>
        </w:rPr>
        <w:t>f</w:t>
      </w:r>
      <w:r w:rsidRPr="00A338E5">
        <w:rPr>
          <w:rFonts w:cstheme="minorHAnsi"/>
        </w:rPr>
        <w:t>i</w:t>
      </w:r>
      <w:r w:rsidRPr="00A338E5">
        <w:rPr>
          <w:rFonts w:cstheme="minorHAnsi"/>
          <w:spacing w:val="-1"/>
        </w:rPr>
        <w:t>v</w:t>
      </w:r>
      <w:r w:rsidRPr="00A338E5">
        <w:rPr>
          <w:rFonts w:cstheme="minorHAnsi"/>
        </w:rPr>
        <w:t>e</w:t>
      </w:r>
      <w:r w:rsidRPr="00A338E5">
        <w:rPr>
          <w:rFonts w:cstheme="minorHAnsi"/>
          <w:spacing w:val="55"/>
        </w:rPr>
        <w:t xml:space="preserve"> </w:t>
      </w:r>
      <w:r w:rsidRPr="00A338E5">
        <w:rPr>
          <w:rFonts w:cstheme="minorHAnsi"/>
          <w:spacing w:val="-1"/>
        </w:rPr>
        <w:t xml:space="preserve">(5) </w:t>
      </w:r>
      <w:r w:rsidRPr="00A338E5">
        <w:rPr>
          <w:rFonts w:cstheme="minorHAnsi"/>
        </w:rPr>
        <w:t>wo</w:t>
      </w:r>
      <w:r w:rsidRPr="00A338E5">
        <w:rPr>
          <w:rFonts w:cstheme="minorHAnsi"/>
          <w:spacing w:val="-1"/>
        </w:rPr>
        <w:t>r</w:t>
      </w:r>
      <w:r w:rsidRPr="00A338E5">
        <w:rPr>
          <w:rFonts w:cstheme="minorHAnsi"/>
        </w:rPr>
        <w:t>king d</w:t>
      </w:r>
      <w:r w:rsidRPr="00A338E5">
        <w:rPr>
          <w:rFonts w:cstheme="minorHAnsi"/>
          <w:spacing w:val="4"/>
        </w:rPr>
        <w:t>a</w:t>
      </w:r>
      <w:r w:rsidRPr="00A338E5">
        <w:rPr>
          <w:rFonts w:cstheme="minorHAnsi"/>
          <w:spacing w:val="-5"/>
        </w:rPr>
        <w:t>y</w:t>
      </w:r>
      <w:r w:rsidRPr="00A338E5">
        <w:rPr>
          <w:rFonts w:cstheme="minorHAnsi"/>
        </w:rPr>
        <w:t>s</w:t>
      </w:r>
      <w:r w:rsidRPr="00A338E5">
        <w:rPr>
          <w:rFonts w:cstheme="minorHAnsi"/>
          <w:spacing w:val="3"/>
        </w:rPr>
        <w:t xml:space="preserve"> </w:t>
      </w:r>
      <w:r w:rsidRPr="00A338E5">
        <w:rPr>
          <w:rFonts w:cstheme="minorHAnsi"/>
        </w:rPr>
        <w:t>in</w:t>
      </w:r>
      <w:r w:rsidRPr="00A338E5">
        <w:rPr>
          <w:rFonts w:cstheme="minorHAnsi"/>
          <w:spacing w:val="3"/>
        </w:rPr>
        <w:t xml:space="preserve"> </w:t>
      </w:r>
      <w:r w:rsidRPr="00A338E5">
        <w:rPr>
          <w:rFonts w:cstheme="minorHAnsi"/>
          <w:spacing w:val="-1"/>
        </w:rPr>
        <w:t>a</w:t>
      </w:r>
      <w:r w:rsidRPr="00A338E5">
        <w:rPr>
          <w:rFonts w:cstheme="minorHAnsi"/>
        </w:rPr>
        <w:t>dv</w:t>
      </w:r>
      <w:r w:rsidRPr="00A338E5">
        <w:rPr>
          <w:rFonts w:cstheme="minorHAnsi"/>
          <w:spacing w:val="-1"/>
        </w:rPr>
        <w:t>a</w:t>
      </w:r>
      <w:r w:rsidRPr="00A338E5">
        <w:rPr>
          <w:rFonts w:cstheme="minorHAnsi"/>
        </w:rPr>
        <w:t>n</w:t>
      </w:r>
      <w:r w:rsidRPr="00A338E5">
        <w:rPr>
          <w:rFonts w:cstheme="minorHAnsi"/>
          <w:spacing w:val="1"/>
        </w:rPr>
        <w:t>c</w:t>
      </w:r>
      <w:r w:rsidRPr="00A338E5">
        <w:rPr>
          <w:rFonts w:cstheme="minorHAnsi"/>
        </w:rPr>
        <w:t>e</w:t>
      </w:r>
      <w:r w:rsidRPr="00A338E5">
        <w:rPr>
          <w:rFonts w:cstheme="minorHAnsi"/>
          <w:spacing w:val="4"/>
        </w:rPr>
        <w:t xml:space="preserve"> </w:t>
      </w:r>
      <w:r w:rsidRPr="00A338E5">
        <w:rPr>
          <w:rFonts w:cstheme="minorHAnsi"/>
        </w:rPr>
        <w:t>of</w:t>
      </w:r>
      <w:r w:rsidRPr="00A338E5">
        <w:rPr>
          <w:rFonts w:cstheme="minorHAnsi"/>
          <w:spacing w:val="2"/>
        </w:rPr>
        <w:t xml:space="preserve"> </w:t>
      </w:r>
      <w:r w:rsidRPr="00A338E5">
        <w:rPr>
          <w:rFonts w:cstheme="minorHAnsi"/>
        </w:rPr>
        <w:t>m</w:t>
      </w:r>
      <w:r w:rsidRPr="00A338E5">
        <w:rPr>
          <w:rFonts w:cstheme="minorHAnsi"/>
          <w:spacing w:val="-1"/>
        </w:rPr>
        <w:t>ee</w:t>
      </w:r>
      <w:r w:rsidRPr="00A338E5">
        <w:rPr>
          <w:rFonts w:cstheme="minorHAnsi"/>
        </w:rPr>
        <w:t>ting d</w:t>
      </w:r>
      <w:r w:rsidRPr="00A338E5">
        <w:rPr>
          <w:rFonts w:cstheme="minorHAnsi"/>
          <w:spacing w:val="-1"/>
        </w:rPr>
        <w:t>a</w:t>
      </w:r>
      <w:r w:rsidRPr="00A338E5">
        <w:rPr>
          <w:rFonts w:cstheme="minorHAnsi"/>
        </w:rPr>
        <w:t>t</w:t>
      </w:r>
      <w:r w:rsidRPr="00A338E5">
        <w:rPr>
          <w:rFonts w:cstheme="minorHAnsi"/>
          <w:spacing w:val="-1"/>
        </w:rPr>
        <w:t>e</w:t>
      </w:r>
      <w:r w:rsidRPr="00A338E5">
        <w:rPr>
          <w:rFonts w:cstheme="minorHAnsi"/>
        </w:rPr>
        <w:t xml:space="preserve">s. </w:t>
      </w:r>
      <w:r w:rsidRPr="00A338E5">
        <w:rPr>
          <w:rFonts w:cstheme="minorHAnsi"/>
          <w:spacing w:val="12"/>
        </w:rPr>
        <w:t xml:space="preserve"> </w:t>
      </w:r>
      <w:r w:rsidRPr="00A338E5">
        <w:rPr>
          <w:rFonts w:cstheme="minorHAnsi"/>
        </w:rPr>
        <w:t>The</w:t>
      </w:r>
      <w:r w:rsidRPr="00A338E5">
        <w:rPr>
          <w:rFonts w:cstheme="minorHAnsi"/>
          <w:spacing w:val="2"/>
        </w:rPr>
        <w:t xml:space="preserve"> </w:t>
      </w:r>
      <w:proofErr w:type="gramStart"/>
      <w:r w:rsidRPr="00A338E5">
        <w:rPr>
          <w:rFonts w:cstheme="minorHAnsi"/>
        </w:rPr>
        <w:t>Ag</w:t>
      </w:r>
      <w:r w:rsidRPr="00A338E5">
        <w:rPr>
          <w:rFonts w:cstheme="minorHAnsi"/>
          <w:spacing w:val="-1"/>
        </w:rPr>
        <w:t>e</w:t>
      </w:r>
      <w:r w:rsidRPr="00A338E5">
        <w:rPr>
          <w:rFonts w:cstheme="minorHAnsi"/>
        </w:rPr>
        <w:t>nd</w:t>
      </w:r>
      <w:r w:rsidRPr="00A338E5">
        <w:rPr>
          <w:rFonts w:cstheme="minorHAnsi"/>
          <w:spacing w:val="-1"/>
        </w:rPr>
        <w:t>a</w:t>
      </w:r>
      <w:r w:rsidRPr="00A338E5">
        <w:rPr>
          <w:rFonts w:cstheme="minorHAnsi"/>
        </w:rPr>
        <w:t>s</w:t>
      </w:r>
      <w:proofErr w:type="gramEnd"/>
      <w:r w:rsidRPr="00A338E5">
        <w:rPr>
          <w:rFonts w:cstheme="minorHAnsi"/>
          <w:spacing w:val="3"/>
        </w:rPr>
        <w:t xml:space="preserve"> </w:t>
      </w:r>
      <w:r w:rsidRPr="00A338E5">
        <w:rPr>
          <w:rFonts w:cstheme="minorHAnsi"/>
          <w:spacing w:val="-1"/>
        </w:rPr>
        <w:t>a</w:t>
      </w:r>
      <w:r w:rsidRPr="00A338E5">
        <w:rPr>
          <w:rFonts w:cstheme="minorHAnsi"/>
          <w:spacing w:val="2"/>
        </w:rPr>
        <w:t>r</w:t>
      </w:r>
      <w:r w:rsidRPr="00A338E5">
        <w:rPr>
          <w:rFonts w:cstheme="minorHAnsi"/>
        </w:rPr>
        <w:t>e</w:t>
      </w:r>
      <w:r w:rsidRPr="00A338E5">
        <w:rPr>
          <w:rFonts w:cstheme="minorHAnsi"/>
          <w:spacing w:val="2"/>
        </w:rPr>
        <w:t xml:space="preserve"> </w:t>
      </w:r>
      <w:r w:rsidRPr="00A338E5">
        <w:rPr>
          <w:rFonts w:cstheme="minorHAnsi"/>
        </w:rPr>
        <w:t>to p</w:t>
      </w:r>
      <w:r w:rsidRPr="00A338E5">
        <w:rPr>
          <w:rFonts w:cstheme="minorHAnsi"/>
          <w:spacing w:val="-1"/>
        </w:rPr>
        <w:t>r</w:t>
      </w:r>
      <w:r w:rsidRPr="00A338E5">
        <w:rPr>
          <w:rFonts w:cstheme="minorHAnsi"/>
        </w:rPr>
        <w:t>ovide</w:t>
      </w:r>
      <w:r w:rsidRPr="00A338E5">
        <w:rPr>
          <w:rFonts w:cstheme="minorHAnsi"/>
          <w:spacing w:val="-1"/>
        </w:rPr>
        <w:t xml:space="preserve"> </w:t>
      </w:r>
      <w:r w:rsidRPr="00A338E5">
        <w:rPr>
          <w:rFonts w:cstheme="minorHAnsi"/>
        </w:rPr>
        <w:t>on</w:t>
      </w:r>
      <w:r w:rsidRPr="00A338E5">
        <w:rPr>
          <w:rFonts w:cstheme="minorHAnsi"/>
          <w:spacing w:val="3"/>
        </w:rPr>
        <w:t>l</w:t>
      </w:r>
      <w:r w:rsidRPr="00A338E5">
        <w:rPr>
          <w:rFonts w:cstheme="minorHAnsi"/>
        </w:rPr>
        <w:t>y</w:t>
      </w:r>
      <w:r w:rsidRPr="00A338E5">
        <w:rPr>
          <w:rFonts w:cstheme="minorHAnsi"/>
          <w:spacing w:val="-5"/>
        </w:rPr>
        <w:t xml:space="preserve"> </w:t>
      </w:r>
      <w:r w:rsidRPr="00A338E5">
        <w:rPr>
          <w:rFonts w:cstheme="minorHAnsi"/>
          <w:spacing w:val="2"/>
        </w:rPr>
        <w:t>d</w:t>
      </w:r>
      <w:r w:rsidRPr="00A338E5">
        <w:rPr>
          <w:rFonts w:cstheme="minorHAnsi"/>
          <w:spacing w:val="-1"/>
        </w:rPr>
        <w:t>e</w:t>
      </w:r>
      <w:r w:rsidRPr="00A338E5">
        <w:rPr>
          <w:rFonts w:cstheme="minorHAnsi"/>
        </w:rPr>
        <w:t>s</w:t>
      </w:r>
      <w:r w:rsidRPr="00A338E5">
        <w:rPr>
          <w:rFonts w:cstheme="minorHAnsi"/>
          <w:spacing w:val="-1"/>
        </w:rPr>
        <w:t>cr</w:t>
      </w:r>
      <w:r w:rsidRPr="00A338E5">
        <w:rPr>
          <w:rFonts w:cstheme="minorHAnsi"/>
        </w:rPr>
        <w:t>iptive</w:t>
      </w:r>
      <w:r w:rsidRPr="00A338E5">
        <w:rPr>
          <w:rFonts w:cstheme="minorHAnsi"/>
          <w:spacing w:val="1"/>
        </w:rPr>
        <w:t xml:space="preserve"> </w:t>
      </w:r>
      <w:r w:rsidRPr="00A338E5">
        <w:rPr>
          <w:rFonts w:cstheme="minorHAnsi"/>
        </w:rPr>
        <w:t>h</w:t>
      </w:r>
      <w:r w:rsidRPr="00A338E5">
        <w:rPr>
          <w:rFonts w:cstheme="minorHAnsi"/>
          <w:spacing w:val="-1"/>
        </w:rPr>
        <w:t>ea</w:t>
      </w:r>
      <w:r w:rsidRPr="00A338E5">
        <w:rPr>
          <w:rFonts w:cstheme="minorHAnsi"/>
        </w:rPr>
        <w:t>di</w:t>
      </w:r>
      <w:r w:rsidRPr="00A338E5">
        <w:rPr>
          <w:rFonts w:cstheme="minorHAnsi"/>
          <w:spacing w:val="2"/>
        </w:rPr>
        <w:t>n</w:t>
      </w:r>
      <w:r w:rsidRPr="00A338E5">
        <w:rPr>
          <w:rFonts w:cstheme="minorHAnsi"/>
          <w:spacing w:val="-2"/>
        </w:rPr>
        <w:t>g</w:t>
      </w:r>
      <w:r w:rsidRPr="00A338E5">
        <w:rPr>
          <w:rFonts w:cstheme="minorHAnsi"/>
        </w:rPr>
        <w:t>s of</w:t>
      </w:r>
      <w:r w:rsidRPr="00A338E5">
        <w:rPr>
          <w:rFonts w:cstheme="minorHAnsi"/>
          <w:spacing w:val="-1"/>
        </w:rPr>
        <w:t xml:space="preserve"> </w:t>
      </w:r>
      <w:r w:rsidRPr="00A338E5">
        <w:rPr>
          <w:rFonts w:cstheme="minorHAnsi"/>
        </w:rPr>
        <w:t>it</w:t>
      </w:r>
      <w:r w:rsidRPr="00A338E5">
        <w:rPr>
          <w:rFonts w:cstheme="minorHAnsi"/>
          <w:spacing w:val="-1"/>
        </w:rPr>
        <w:t>e</w:t>
      </w:r>
      <w:r w:rsidRPr="00A338E5">
        <w:rPr>
          <w:rFonts w:cstheme="minorHAnsi"/>
        </w:rPr>
        <w:t>ms to be</w:t>
      </w:r>
      <w:r w:rsidRPr="00A338E5">
        <w:rPr>
          <w:rFonts w:cstheme="minorHAnsi"/>
          <w:spacing w:val="-1"/>
        </w:rPr>
        <w:t xml:space="preserve"> </w:t>
      </w:r>
      <w:r w:rsidRPr="00A338E5">
        <w:rPr>
          <w:rFonts w:cstheme="minorHAnsi"/>
          <w:spacing w:val="2"/>
        </w:rPr>
        <w:t>d</w:t>
      </w:r>
      <w:r w:rsidRPr="00A338E5">
        <w:rPr>
          <w:rFonts w:cstheme="minorHAnsi"/>
        </w:rPr>
        <w:t>is</w:t>
      </w:r>
      <w:r w:rsidRPr="00A338E5">
        <w:rPr>
          <w:rFonts w:cstheme="minorHAnsi"/>
          <w:spacing w:val="-1"/>
        </w:rPr>
        <w:t>c</w:t>
      </w:r>
      <w:r w:rsidRPr="00A338E5">
        <w:rPr>
          <w:rFonts w:cstheme="minorHAnsi"/>
        </w:rPr>
        <w:t>uss</w:t>
      </w:r>
      <w:r w:rsidRPr="00A338E5">
        <w:rPr>
          <w:rFonts w:cstheme="minorHAnsi"/>
          <w:spacing w:val="-1"/>
        </w:rPr>
        <w:t>e</w:t>
      </w:r>
      <w:r w:rsidRPr="00A338E5">
        <w:rPr>
          <w:rFonts w:cstheme="minorHAnsi"/>
        </w:rPr>
        <w:t>d.</w:t>
      </w:r>
    </w:p>
    <w:p w14:paraId="04F65FD4" w14:textId="77777777" w:rsidR="00082DB7" w:rsidRPr="00A338E5" w:rsidRDefault="00082DB7" w:rsidP="00082DB7">
      <w:pPr>
        <w:widowControl w:val="0"/>
        <w:tabs>
          <w:tab w:val="left" w:pos="2260"/>
        </w:tabs>
        <w:spacing w:after="0" w:line="240" w:lineRule="auto"/>
        <w:ind w:left="426" w:right="75" w:hanging="426"/>
        <w:jc w:val="both"/>
        <w:rPr>
          <w:rFonts w:cstheme="minorHAnsi"/>
        </w:rPr>
      </w:pPr>
      <w:r w:rsidRPr="00A338E5">
        <w:rPr>
          <w:rFonts w:cstheme="minorHAnsi"/>
        </w:rPr>
        <w:t>4.</w:t>
      </w:r>
      <w:r w:rsidRPr="00A338E5">
        <w:rPr>
          <w:rFonts w:cstheme="minorHAnsi"/>
        </w:rPr>
        <w:tab/>
        <w:t>D</w:t>
      </w:r>
      <w:r w:rsidRPr="00A338E5">
        <w:rPr>
          <w:rFonts w:cstheme="minorHAnsi"/>
          <w:spacing w:val="-1"/>
        </w:rPr>
        <w:t>e</w:t>
      </w:r>
      <w:r w:rsidRPr="00A338E5">
        <w:rPr>
          <w:rFonts w:cstheme="minorHAnsi"/>
        </w:rPr>
        <w:t>t</w:t>
      </w:r>
      <w:r w:rsidRPr="00A338E5">
        <w:rPr>
          <w:rFonts w:cstheme="minorHAnsi"/>
          <w:spacing w:val="-1"/>
        </w:rPr>
        <w:t>a</w:t>
      </w:r>
      <w:r w:rsidRPr="00A338E5">
        <w:rPr>
          <w:rFonts w:cstheme="minorHAnsi"/>
        </w:rPr>
        <w:t>il</w:t>
      </w:r>
      <w:r w:rsidRPr="00A338E5">
        <w:rPr>
          <w:rFonts w:cstheme="minorHAnsi"/>
          <w:spacing w:val="-1"/>
        </w:rPr>
        <w:t>e</w:t>
      </w:r>
      <w:r w:rsidRPr="00A338E5">
        <w:rPr>
          <w:rFonts w:cstheme="minorHAnsi"/>
        </w:rPr>
        <w:t>d</w:t>
      </w:r>
      <w:r w:rsidRPr="00A338E5">
        <w:rPr>
          <w:rFonts w:cstheme="minorHAnsi"/>
          <w:spacing w:val="14"/>
        </w:rPr>
        <w:t xml:space="preserve"> </w:t>
      </w:r>
      <w:r w:rsidRPr="00A338E5">
        <w:rPr>
          <w:rFonts w:cstheme="minorHAnsi"/>
        </w:rPr>
        <w:t>pl</w:t>
      </w:r>
      <w:r w:rsidRPr="00A338E5">
        <w:rPr>
          <w:rFonts w:cstheme="minorHAnsi"/>
          <w:spacing w:val="-1"/>
        </w:rPr>
        <w:t>a</w:t>
      </w:r>
      <w:r w:rsidRPr="00A338E5">
        <w:rPr>
          <w:rFonts w:cstheme="minorHAnsi"/>
        </w:rPr>
        <w:t>ns</w:t>
      </w:r>
      <w:r w:rsidRPr="00A338E5">
        <w:rPr>
          <w:rFonts w:cstheme="minorHAnsi"/>
          <w:spacing w:val="14"/>
        </w:rPr>
        <w:t xml:space="preserve"> </w:t>
      </w:r>
      <w:r w:rsidRPr="00A338E5">
        <w:rPr>
          <w:rFonts w:cstheme="minorHAnsi"/>
        </w:rPr>
        <w:t>of</w:t>
      </w:r>
      <w:r w:rsidRPr="00A338E5">
        <w:rPr>
          <w:rFonts w:cstheme="minorHAnsi"/>
          <w:spacing w:val="13"/>
        </w:rPr>
        <w:t xml:space="preserve"> </w:t>
      </w:r>
      <w:r w:rsidRPr="00A338E5">
        <w:rPr>
          <w:rFonts w:cstheme="minorHAnsi"/>
        </w:rPr>
        <w:t>the</w:t>
      </w:r>
      <w:r w:rsidRPr="00A338E5">
        <w:rPr>
          <w:rFonts w:cstheme="minorHAnsi"/>
          <w:spacing w:val="13"/>
        </w:rPr>
        <w:t xml:space="preserve"> </w:t>
      </w:r>
      <w:r w:rsidRPr="00A338E5">
        <w:rPr>
          <w:rFonts w:cstheme="minorHAnsi"/>
        </w:rPr>
        <w:t>p</w:t>
      </w:r>
      <w:r w:rsidRPr="00A338E5">
        <w:rPr>
          <w:rFonts w:cstheme="minorHAnsi"/>
          <w:spacing w:val="-1"/>
        </w:rPr>
        <w:t>r</w:t>
      </w:r>
      <w:r w:rsidRPr="00A338E5">
        <w:rPr>
          <w:rFonts w:cstheme="minorHAnsi"/>
          <w:spacing w:val="2"/>
        </w:rPr>
        <w:t>o</w:t>
      </w:r>
      <w:r w:rsidRPr="00A338E5">
        <w:rPr>
          <w:rFonts w:cstheme="minorHAnsi"/>
        </w:rPr>
        <w:t>po</w:t>
      </w:r>
      <w:r w:rsidRPr="00A338E5">
        <w:rPr>
          <w:rFonts w:cstheme="minorHAnsi"/>
          <w:spacing w:val="-1"/>
        </w:rPr>
        <w:t>sa</w:t>
      </w:r>
      <w:r w:rsidRPr="00A338E5">
        <w:rPr>
          <w:rFonts w:cstheme="minorHAnsi"/>
        </w:rPr>
        <w:t>l</w:t>
      </w:r>
      <w:r w:rsidRPr="00A338E5">
        <w:rPr>
          <w:rFonts w:cstheme="minorHAnsi"/>
          <w:spacing w:val="15"/>
        </w:rPr>
        <w:t xml:space="preserve"> </w:t>
      </w:r>
      <w:r w:rsidRPr="00A338E5">
        <w:rPr>
          <w:rFonts w:cstheme="minorHAnsi"/>
        </w:rPr>
        <w:t>will</w:t>
      </w:r>
      <w:r w:rsidRPr="00A338E5">
        <w:rPr>
          <w:rFonts w:cstheme="minorHAnsi"/>
          <w:spacing w:val="15"/>
        </w:rPr>
        <w:t xml:space="preserve"> </w:t>
      </w:r>
      <w:r w:rsidRPr="00A338E5">
        <w:rPr>
          <w:rFonts w:cstheme="minorHAnsi"/>
        </w:rPr>
        <w:t>be</w:t>
      </w:r>
      <w:r w:rsidRPr="00A338E5">
        <w:rPr>
          <w:rFonts w:cstheme="minorHAnsi"/>
          <w:spacing w:val="13"/>
        </w:rPr>
        <w:t xml:space="preserve"> </w:t>
      </w:r>
      <w:r w:rsidRPr="00A338E5">
        <w:rPr>
          <w:rFonts w:cstheme="minorHAnsi"/>
        </w:rPr>
        <w:t>dist</w:t>
      </w:r>
      <w:r w:rsidRPr="00A338E5">
        <w:rPr>
          <w:rFonts w:cstheme="minorHAnsi"/>
          <w:spacing w:val="-1"/>
        </w:rPr>
        <w:t>r</w:t>
      </w:r>
      <w:r w:rsidRPr="00A338E5">
        <w:rPr>
          <w:rFonts w:cstheme="minorHAnsi"/>
        </w:rPr>
        <w:t>ibut</w:t>
      </w:r>
      <w:r w:rsidRPr="00A338E5">
        <w:rPr>
          <w:rFonts w:cstheme="minorHAnsi"/>
          <w:spacing w:val="-1"/>
        </w:rPr>
        <w:t>e</w:t>
      </w:r>
      <w:r w:rsidRPr="00A338E5">
        <w:rPr>
          <w:rFonts w:cstheme="minorHAnsi"/>
        </w:rPr>
        <w:t>d</w:t>
      </w:r>
      <w:r w:rsidRPr="00A338E5">
        <w:rPr>
          <w:rFonts w:cstheme="minorHAnsi"/>
          <w:spacing w:val="12"/>
        </w:rPr>
        <w:t xml:space="preserve"> </w:t>
      </w:r>
      <w:r w:rsidRPr="00A338E5">
        <w:rPr>
          <w:rFonts w:cstheme="minorHAnsi"/>
        </w:rPr>
        <w:t>to</w:t>
      </w:r>
      <w:r w:rsidRPr="00A338E5">
        <w:rPr>
          <w:rFonts w:cstheme="minorHAnsi"/>
          <w:spacing w:val="14"/>
        </w:rPr>
        <w:t xml:space="preserve"> </w:t>
      </w:r>
      <w:r w:rsidRPr="00A338E5">
        <w:rPr>
          <w:rFonts w:cstheme="minorHAnsi"/>
          <w:spacing w:val="1"/>
        </w:rPr>
        <w:t>C</w:t>
      </w:r>
      <w:r w:rsidRPr="00A338E5">
        <w:rPr>
          <w:rFonts w:cstheme="minorHAnsi"/>
        </w:rPr>
        <w:t>omm</w:t>
      </w:r>
      <w:r w:rsidRPr="00A338E5">
        <w:rPr>
          <w:rFonts w:cstheme="minorHAnsi"/>
          <w:spacing w:val="-2"/>
        </w:rPr>
        <w:t>i</w:t>
      </w:r>
      <w:r w:rsidRPr="00A338E5">
        <w:rPr>
          <w:rFonts w:cstheme="minorHAnsi"/>
        </w:rPr>
        <w:t>tt</w:t>
      </w:r>
      <w:r w:rsidRPr="00A338E5">
        <w:rPr>
          <w:rFonts w:cstheme="minorHAnsi"/>
          <w:spacing w:val="-1"/>
        </w:rPr>
        <w:t>e</w:t>
      </w:r>
      <w:r w:rsidRPr="00A338E5">
        <w:rPr>
          <w:rFonts w:cstheme="minorHAnsi"/>
        </w:rPr>
        <w:t>e 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s</w:t>
      </w:r>
      <w:r w:rsidRPr="00A338E5">
        <w:rPr>
          <w:rFonts w:cstheme="minorHAnsi"/>
          <w:spacing w:val="3"/>
        </w:rPr>
        <w:t xml:space="preserve"> </w:t>
      </w:r>
      <w:r w:rsidRPr="00A338E5">
        <w:rPr>
          <w:rFonts w:cstheme="minorHAnsi"/>
          <w:spacing w:val="-1"/>
        </w:rPr>
        <w:t>a</w:t>
      </w:r>
      <w:r w:rsidRPr="00A338E5">
        <w:rPr>
          <w:rFonts w:cstheme="minorHAnsi"/>
        </w:rPr>
        <w:t>t l</w:t>
      </w:r>
      <w:r w:rsidRPr="00A338E5">
        <w:rPr>
          <w:rFonts w:cstheme="minorHAnsi"/>
          <w:spacing w:val="-1"/>
        </w:rPr>
        <w:t>ea</w:t>
      </w:r>
      <w:r w:rsidRPr="00A338E5">
        <w:rPr>
          <w:rFonts w:cstheme="minorHAnsi"/>
        </w:rPr>
        <w:t xml:space="preserve">st </w:t>
      </w:r>
      <w:r w:rsidRPr="00A338E5">
        <w:rPr>
          <w:rFonts w:cstheme="minorHAnsi"/>
          <w:spacing w:val="-1"/>
        </w:rPr>
        <w:t>f</w:t>
      </w:r>
      <w:r w:rsidRPr="00A338E5">
        <w:rPr>
          <w:rFonts w:cstheme="minorHAnsi"/>
        </w:rPr>
        <w:t xml:space="preserve">ive </w:t>
      </w:r>
      <w:r w:rsidRPr="00A338E5">
        <w:rPr>
          <w:rFonts w:cstheme="minorHAnsi"/>
          <w:spacing w:val="-1"/>
        </w:rPr>
        <w:t>(</w:t>
      </w:r>
      <w:r w:rsidRPr="00A338E5">
        <w:rPr>
          <w:rFonts w:cstheme="minorHAnsi"/>
        </w:rPr>
        <w:t>5) wo</w:t>
      </w:r>
      <w:r w:rsidRPr="00A338E5">
        <w:rPr>
          <w:rFonts w:cstheme="minorHAnsi"/>
          <w:spacing w:val="-1"/>
        </w:rPr>
        <w:t>r</w:t>
      </w:r>
      <w:r w:rsidRPr="00A338E5">
        <w:rPr>
          <w:rFonts w:cstheme="minorHAnsi"/>
        </w:rPr>
        <w:t>ki</w:t>
      </w:r>
      <w:r w:rsidRPr="00A338E5">
        <w:rPr>
          <w:rFonts w:cstheme="minorHAnsi"/>
          <w:spacing w:val="2"/>
        </w:rPr>
        <w:t>n</w:t>
      </w:r>
      <w:r w:rsidRPr="00A338E5">
        <w:rPr>
          <w:rFonts w:cstheme="minorHAnsi"/>
        </w:rPr>
        <w:t>g d</w:t>
      </w:r>
      <w:r w:rsidRPr="00A338E5">
        <w:rPr>
          <w:rFonts w:cstheme="minorHAnsi"/>
          <w:spacing w:val="1"/>
        </w:rPr>
        <w:t>a</w:t>
      </w:r>
      <w:r w:rsidRPr="00A338E5">
        <w:rPr>
          <w:rFonts w:cstheme="minorHAnsi"/>
          <w:spacing w:val="-5"/>
        </w:rPr>
        <w:t>y</w:t>
      </w:r>
      <w:r w:rsidRPr="00A338E5">
        <w:rPr>
          <w:rFonts w:cstheme="minorHAnsi"/>
        </w:rPr>
        <w:t>s</w:t>
      </w:r>
      <w:r w:rsidRPr="00A338E5">
        <w:rPr>
          <w:rFonts w:cstheme="minorHAnsi"/>
          <w:spacing w:val="3"/>
        </w:rPr>
        <w:t xml:space="preserve"> </w:t>
      </w:r>
      <w:r w:rsidRPr="00A338E5">
        <w:rPr>
          <w:rFonts w:cstheme="minorHAnsi"/>
        </w:rPr>
        <w:t xml:space="preserve">in </w:t>
      </w:r>
      <w:r w:rsidRPr="00A338E5">
        <w:rPr>
          <w:rFonts w:cstheme="minorHAnsi"/>
          <w:spacing w:val="1"/>
        </w:rPr>
        <w:t>a</w:t>
      </w:r>
      <w:r w:rsidRPr="00A338E5">
        <w:rPr>
          <w:rFonts w:cstheme="minorHAnsi"/>
        </w:rPr>
        <w:t>dv</w:t>
      </w:r>
      <w:r w:rsidRPr="00A338E5">
        <w:rPr>
          <w:rFonts w:cstheme="minorHAnsi"/>
          <w:spacing w:val="-1"/>
        </w:rPr>
        <w:t>an</w:t>
      </w:r>
      <w:r w:rsidRPr="00A338E5">
        <w:rPr>
          <w:rFonts w:cstheme="minorHAnsi"/>
        </w:rPr>
        <w:t xml:space="preserve">ce </w:t>
      </w:r>
      <w:r w:rsidRPr="00A338E5">
        <w:rPr>
          <w:rFonts w:cstheme="minorHAnsi"/>
          <w:spacing w:val="-1"/>
        </w:rPr>
        <w:t>o</w:t>
      </w:r>
      <w:r w:rsidRPr="00A338E5">
        <w:rPr>
          <w:rFonts w:cstheme="minorHAnsi"/>
        </w:rPr>
        <w:t>f t</w:t>
      </w:r>
      <w:r w:rsidRPr="00A338E5">
        <w:rPr>
          <w:rFonts w:cstheme="minorHAnsi"/>
          <w:spacing w:val="-1"/>
        </w:rPr>
        <w:t xml:space="preserve">he </w:t>
      </w:r>
      <w:r w:rsidRPr="00A338E5">
        <w:rPr>
          <w:rFonts w:cstheme="minorHAnsi"/>
        </w:rPr>
        <w:t>m</w:t>
      </w:r>
      <w:r w:rsidRPr="00A338E5">
        <w:rPr>
          <w:rFonts w:cstheme="minorHAnsi"/>
          <w:spacing w:val="-1"/>
        </w:rPr>
        <w:t>ee</w:t>
      </w:r>
      <w:r w:rsidRPr="00A338E5">
        <w:rPr>
          <w:rFonts w:cstheme="minorHAnsi"/>
        </w:rPr>
        <w:t>ti</w:t>
      </w:r>
      <w:r w:rsidRPr="00A338E5">
        <w:rPr>
          <w:rFonts w:cstheme="minorHAnsi"/>
          <w:spacing w:val="-1"/>
        </w:rPr>
        <w:t>n</w:t>
      </w:r>
      <w:r w:rsidRPr="00A338E5">
        <w:rPr>
          <w:rFonts w:cstheme="minorHAnsi"/>
        </w:rPr>
        <w:t>g</w:t>
      </w:r>
      <w:r w:rsidRPr="00A338E5">
        <w:rPr>
          <w:rFonts w:cstheme="minorHAnsi"/>
          <w:spacing w:val="-1"/>
        </w:rPr>
        <w:t xml:space="preserve"> </w:t>
      </w:r>
      <w:r w:rsidRPr="00A338E5">
        <w:rPr>
          <w:rFonts w:cstheme="minorHAnsi"/>
          <w:spacing w:val="2"/>
        </w:rPr>
        <w:t>d</w:t>
      </w:r>
      <w:r w:rsidRPr="00A338E5">
        <w:rPr>
          <w:rFonts w:cstheme="minorHAnsi"/>
          <w:spacing w:val="-1"/>
        </w:rPr>
        <w:t>a</w:t>
      </w:r>
      <w:r w:rsidRPr="00A338E5">
        <w:rPr>
          <w:rFonts w:cstheme="minorHAnsi"/>
        </w:rPr>
        <w:t>t</w:t>
      </w:r>
      <w:r w:rsidRPr="00A338E5">
        <w:rPr>
          <w:rFonts w:cstheme="minorHAnsi"/>
          <w:spacing w:val="-1"/>
        </w:rPr>
        <w:t>e</w:t>
      </w:r>
      <w:r w:rsidRPr="00A338E5">
        <w:rPr>
          <w:rFonts w:cstheme="minorHAnsi"/>
        </w:rPr>
        <w:t>s.</w:t>
      </w:r>
    </w:p>
    <w:p w14:paraId="7AC7083A" w14:textId="77777777" w:rsidR="00082DB7" w:rsidRPr="00A338E5" w:rsidRDefault="00082DB7" w:rsidP="00082DB7">
      <w:pPr>
        <w:widowControl w:val="0"/>
        <w:spacing w:before="200" w:after="0" w:line="240" w:lineRule="auto"/>
        <w:ind w:right="79"/>
        <w:jc w:val="both"/>
        <w:rPr>
          <w:rFonts w:cstheme="minorHAnsi"/>
        </w:rPr>
      </w:pPr>
      <w:r w:rsidRPr="00A338E5">
        <w:rPr>
          <w:rFonts w:cstheme="minorHAnsi"/>
          <w:b/>
          <w:bCs/>
          <w:spacing w:val="-1"/>
        </w:rPr>
        <w:t>M</w:t>
      </w:r>
      <w:r w:rsidRPr="00A338E5">
        <w:rPr>
          <w:rFonts w:cstheme="minorHAnsi"/>
          <w:b/>
          <w:bCs/>
        </w:rPr>
        <w:t>i</w:t>
      </w:r>
      <w:r w:rsidRPr="00A338E5">
        <w:rPr>
          <w:rFonts w:cstheme="minorHAnsi"/>
          <w:b/>
          <w:bCs/>
          <w:spacing w:val="1"/>
        </w:rPr>
        <w:t>nu</w:t>
      </w:r>
      <w:r w:rsidRPr="00A338E5">
        <w:rPr>
          <w:rFonts w:cstheme="minorHAnsi"/>
          <w:b/>
          <w:bCs/>
          <w:spacing w:val="-1"/>
        </w:rPr>
        <w:t>tes</w:t>
      </w:r>
    </w:p>
    <w:p w14:paraId="40938C76" w14:textId="77777777" w:rsidR="00082DB7" w:rsidRPr="003C1297" w:rsidRDefault="00082DB7" w:rsidP="00082DB7">
      <w:pPr>
        <w:widowControl w:val="0"/>
        <w:spacing w:after="60" w:line="240" w:lineRule="auto"/>
        <w:ind w:left="426" w:right="75" w:hanging="426"/>
        <w:jc w:val="both"/>
        <w:rPr>
          <w:rFonts w:cstheme="minorHAnsi"/>
        </w:rPr>
      </w:pPr>
      <w:r w:rsidRPr="00A338E5">
        <w:rPr>
          <w:rFonts w:cstheme="minorHAnsi"/>
        </w:rPr>
        <w:t>1.</w:t>
      </w:r>
      <w:r w:rsidRPr="00A338E5">
        <w:rPr>
          <w:rFonts w:cstheme="minorHAnsi"/>
        </w:rPr>
        <w:tab/>
      </w:r>
      <w:r w:rsidRPr="003C1297">
        <w:rPr>
          <w:rFonts w:cstheme="minorHAnsi"/>
        </w:rPr>
        <w:t>The CDAC Chairperson (in liaison with the Executive Manager Regulatory Services) shall be responsible to ensure the preparation and accuracy of the Minutes/Meeting notes.</w:t>
      </w:r>
    </w:p>
    <w:p w14:paraId="77805A37" w14:textId="77777777" w:rsidR="00082DB7" w:rsidRPr="003C1297" w:rsidRDefault="00082DB7" w:rsidP="00082DB7">
      <w:pPr>
        <w:widowControl w:val="0"/>
        <w:tabs>
          <w:tab w:val="left" w:pos="2260"/>
        </w:tabs>
        <w:spacing w:after="60" w:line="240" w:lineRule="auto"/>
        <w:ind w:left="426" w:right="75" w:hanging="426"/>
        <w:jc w:val="both"/>
        <w:rPr>
          <w:rFonts w:cstheme="minorHAnsi"/>
        </w:rPr>
      </w:pPr>
      <w:r w:rsidRPr="003C1297">
        <w:rPr>
          <w:rFonts w:cstheme="minorHAnsi"/>
        </w:rPr>
        <w:t>2.</w:t>
      </w:r>
      <w:r w:rsidRPr="003C1297">
        <w:rPr>
          <w:rFonts w:cstheme="minorHAnsi"/>
        </w:rPr>
        <w:tab/>
        <w:t>Items considered at the meeting will not be formally voted upon.  The Minutes/Meeting notes of the Committee will record consensus agreement and any points of agreement/disagreement.    They will not reflect verbatim discussion on issues or matters discussed during debate prior to consensus agreement being reached. At the end of each meeting, the Minute Taker in attendance will read out the agreed actions and any points of agreement to the meeting to ensure they are accurately reflected to the consensus view.</w:t>
      </w:r>
    </w:p>
    <w:p w14:paraId="1211D789" w14:textId="77777777" w:rsidR="00082DB7" w:rsidRPr="003C1297" w:rsidRDefault="00082DB7" w:rsidP="00082DB7">
      <w:pPr>
        <w:widowControl w:val="0"/>
        <w:spacing w:after="60" w:line="240" w:lineRule="auto"/>
        <w:ind w:left="426" w:right="74" w:hanging="426"/>
        <w:jc w:val="both"/>
        <w:rPr>
          <w:rFonts w:cstheme="minorHAnsi"/>
        </w:rPr>
      </w:pPr>
      <w:r w:rsidRPr="003C1297">
        <w:rPr>
          <w:rFonts w:cstheme="minorHAnsi"/>
        </w:rPr>
        <w:t>3.</w:t>
      </w:r>
      <w:r w:rsidRPr="003C1297">
        <w:rPr>
          <w:rFonts w:cstheme="minorHAnsi"/>
        </w:rPr>
        <w:tab/>
        <w:t>The Minutes/Meeting notes of the Meeting will be prepared by the Responsible Officer and distributed to members within five (5) working days after the date of the meeting.</w:t>
      </w:r>
    </w:p>
    <w:p w14:paraId="51865772" w14:textId="77777777" w:rsidR="00082DB7" w:rsidRPr="003C1297" w:rsidRDefault="00082DB7" w:rsidP="00082DB7">
      <w:pPr>
        <w:widowControl w:val="0"/>
        <w:tabs>
          <w:tab w:val="left" w:pos="2260"/>
        </w:tabs>
        <w:spacing w:after="60" w:line="240" w:lineRule="auto"/>
        <w:ind w:left="426" w:right="78" w:hanging="426"/>
        <w:jc w:val="both"/>
        <w:rPr>
          <w:rFonts w:cstheme="minorHAnsi"/>
        </w:rPr>
      </w:pPr>
      <w:r w:rsidRPr="003C1297">
        <w:rPr>
          <w:rFonts w:cstheme="minorHAnsi"/>
        </w:rPr>
        <w:t>4.</w:t>
      </w:r>
      <w:r w:rsidRPr="003C1297">
        <w:rPr>
          <w:rFonts w:cstheme="minorHAnsi"/>
        </w:rPr>
        <w:tab/>
        <w:t>The CDAC Minutes/Meeting notes are to be presented in the form of:</w:t>
      </w:r>
    </w:p>
    <w:p w14:paraId="29D57E7E" w14:textId="77777777" w:rsidR="00082DB7" w:rsidRPr="003C1297" w:rsidRDefault="00082DB7" w:rsidP="00082DB7">
      <w:pPr>
        <w:widowControl w:val="0"/>
        <w:tabs>
          <w:tab w:val="left" w:pos="2960"/>
        </w:tabs>
        <w:spacing w:after="60" w:line="240" w:lineRule="auto"/>
        <w:ind w:left="993" w:right="-20" w:hanging="567"/>
        <w:jc w:val="both"/>
        <w:rPr>
          <w:rFonts w:cstheme="minorHAnsi"/>
        </w:rPr>
      </w:pPr>
      <w:r w:rsidRPr="003C1297">
        <w:rPr>
          <w:rFonts w:cstheme="minorHAnsi"/>
        </w:rPr>
        <w:t>(a)</w:t>
      </w:r>
      <w:r w:rsidRPr="003C1297">
        <w:rPr>
          <w:rFonts w:cstheme="minorHAnsi"/>
        </w:rPr>
        <w:tab/>
        <w:t>explanatory comments on each proposal conveying the CDAC’s general views regarding the proposal; and</w:t>
      </w:r>
    </w:p>
    <w:p w14:paraId="7E626596" w14:textId="77777777" w:rsidR="00082DB7" w:rsidRPr="003C1297" w:rsidRDefault="00082DB7" w:rsidP="00082DB7">
      <w:pPr>
        <w:widowControl w:val="0"/>
        <w:spacing w:after="60" w:line="240" w:lineRule="auto"/>
        <w:ind w:left="993" w:right="78" w:hanging="567"/>
        <w:jc w:val="both"/>
        <w:rPr>
          <w:rFonts w:cstheme="minorHAnsi"/>
        </w:rPr>
      </w:pPr>
      <w:r w:rsidRPr="003C1297">
        <w:rPr>
          <w:rFonts w:cstheme="minorHAnsi"/>
        </w:rPr>
        <w:t>(b)</w:t>
      </w:r>
      <w:r w:rsidRPr="003C1297">
        <w:rPr>
          <w:rFonts w:cstheme="minorHAnsi"/>
        </w:rPr>
        <w:tab/>
        <w:t xml:space="preserve">a formal recommendation to the Town, where appropriate reflecting the views of </w:t>
      </w:r>
      <w:proofErr w:type="gramStart"/>
      <w:r w:rsidRPr="003C1297">
        <w:rPr>
          <w:rFonts w:cstheme="minorHAnsi"/>
        </w:rPr>
        <w:t>the majority of</w:t>
      </w:r>
      <w:proofErr w:type="gramEnd"/>
      <w:r w:rsidRPr="003C1297">
        <w:rPr>
          <w:rFonts w:cstheme="minorHAnsi"/>
        </w:rPr>
        <w:t xml:space="preserve"> members present at the meeting.</w:t>
      </w:r>
    </w:p>
    <w:p w14:paraId="1FE02614" w14:textId="77777777" w:rsidR="00082DB7" w:rsidRPr="003C1297" w:rsidRDefault="00082DB7" w:rsidP="00082DB7">
      <w:pPr>
        <w:widowControl w:val="0"/>
        <w:spacing w:after="60" w:line="240" w:lineRule="auto"/>
        <w:ind w:left="426" w:right="79" w:hanging="426"/>
        <w:jc w:val="both"/>
        <w:rPr>
          <w:rFonts w:cstheme="minorHAnsi"/>
        </w:rPr>
      </w:pPr>
      <w:r w:rsidRPr="003C1297">
        <w:rPr>
          <w:rFonts w:cstheme="minorHAnsi"/>
        </w:rPr>
        <w:t>5.</w:t>
      </w:r>
      <w:r w:rsidRPr="003C1297">
        <w:rPr>
          <w:rFonts w:cstheme="minorHAnsi"/>
        </w:rPr>
        <w:tab/>
        <w:t>The CDAC Chairperson will endorse the Minutes/Meeting notes and proposed design recommendations.</w:t>
      </w:r>
    </w:p>
    <w:p w14:paraId="75218708" w14:textId="77777777" w:rsidR="00082DB7" w:rsidRPr="003C1297" w:rsidRDefault="00082DB7" w:rsidP="00082DB7">
      <w:pPr>
        <w:widowControl w:val="0"/>
        <w:tabs>
          <w:tab w:val="left" w:pos="2260"/>
        </w:tabs>
        <w:spacing w:after="0" w:line="240" w:lineRule="auto"/>
        <w:ind w:left="426" w:right="75" w:hanging="426"/>
        <w:jc w:val="both"/>
        <w:rPr>
          <w:rFonts w:cstheme="minorHAnsi"/>
        </w:rPr>
      </w:pPr>
      <w:r w:rsidRPr="003C1297">
        <w:rPr>
          <w:rFonts w:cstheme="minorHAnsi"/>
        </w:rPr>
        <w:t>6.</w:t>
      </w:r>
      <w:r w:rsidRPr="003C1297">
        <w:rPr>
          <w:rFonts w:cstheme="minorHAnsi"/>
        </w:rPr>
        <w:tab/>
        <w:t>An original copy of the endorsed Minutes/Meeting notes is to be retained for record purposes, and a copy provided to the applicant.</w:t>
      </w:r>
    </w:p>
    <w:p w14:paraId="22463FD6" w14:textId="77777777" w:rsidR="00082DB7" w:rsidRPr="00C145D1" w:rsidRDefault="00082DB7" w:rsidP="00082DB7">
      <w:pPr>
        <w:widowControl w:val="0"/>
        <w:tabs>
          <w:tab w:val="left" w:pos="1540"/>
        </w:tabs>
        <w:spacing w:before="200" w:after="0" w:line="240" w:lineRule="auto"/>
        <w:ind w:right="-23"/>
        <w:jc w:val="both"/>
        <w:rPr>
          <w:rFonts w:cstheme="minorHAnsi"/>
        </w:rPr>
      </w:pPr>
      <w:r w:rsidRPr="00C145D1">
        <w:rPr>
          <w:rFonts w:cstheme="minorHAnsi"/>
          <w:b/>
          <w:bCs/>
        </w:rPr>
        <w:t>A</w:t>
      </w:r>
      <w:r w:rsidRPr="00C145D1">
        <w:rPr>
          <w:rFonts w:cstheme="minorHAnsi"/>
          <w:b/>
          <w:bCs/>
          <w:spacing w:val="1"/>
        </w:rPr>
        <w:t>d</w:t>
      </w:r>
      <w:r w:rsidRPr="00C145D1">
        <w:rPr>
          <w:rFonts w:cstheme="minorHAnsi"/>
          <w:b/>
          <w:bCs/>
          <w:spacing w:val="-3"/>
        </w:rPr>
        <w:t>m</w:t>
      </w:r>
      <w:r w:rsidRPr="00C145D1">
        <w:rPr>
          <w:rFonts w:cstheme="minorHAnsi"/>
          <w:b/>
          <w:bCs/>
        </w:rPr>
        <w:t>i</w:t>
      </w:r>
      <w:r w:rsidRPr="00C145D1">
        <w:rPr>
          <w:rFonts w:cstheme="minorHAnsi"/>
          <w:b/>
          <w:bCs/>
          <w:spacing w:val="1"/>
        </w:rPr>
        <w:t>n</w:t>
      </w:r>
      <w:r w:rsidRPr="00C145D1">
        <w:rPr>
          <w:rFonts w:cstheme="minorHAnsi"/>
          <w:b/>
          <w:bCs/>
        </w:rPr>
        <w:t>is</w:t>
      </w:r>
      <w:r w:rsidRPr="00C145D1">
        <w:rPr>
          <w:rFonts w:cstheme="minorHAnsi"/>
          <w:b/>
          <w:bCs/>
          <w:spacing w:val="-1"/>
        </w:rPr>
        <w:t>tr</w:t>
      </w:r>
      <w:r w:rsidRPr="00C145D1">
        <w:rPr>
          <w:rFonts w:cstheme="minorHAnsi"/>
          <w:b/>
          <w:bCs/>
          <w:spacing w:val="1"/>
        </w:rPr>
        <w:t>a</w:t>
      </w:r>
      <w:r w:rsidRPr="00C145D1">
        <w:rPr>
          <w:rFonts w:cstheme="minorHAnsi"/>
          <w:b/>
          <w:bCs/>
          <w:spacing w:val="-2"/>
        </w:rPr>
        <w:t>t</w:t>
      </w:r>
      <w:r w:rsidRPr="00C145D1">
        <w:rPr>
          <w:rFonts w:cstheme="minorHAnsi"/>
          <w:b/>
          <w:bCs/>
        </w:rPr>
        <w:t>i</w:t>
      </w:r>
      <w:r w:rsidRPr="00C145D1">
        <w:rPr>
          <w:rFonts w:cstheme="minorHAnsi"/>
          <w:b/>
          <w:bCs/>
          <w:spacing w:val="1"/>
        </w:rPr>
        <w:t>v</w:t>
      </w:r>
      <w:r w:rsidRPr="00C145D1">
        <w:rPr>
          <w:rFonts w:cstheme="minorHAnsi"/>
          <w:b/>
          <w:bCs/>
        </w:rPr>
        <w:t>e</w:t>
      </w:r>
      <w:r w:rsidRPr="00C145D1">
        <w:rPr>
          <w:rFonts w:cstheme="minorHAnsi"/>
          <w:b/>
          <w:bCs/>
          <w:spacing w:val="-2"/>
        </w:rPr>
        <w:t xml:space="preserve"> </w:t>
      </w:r>
      <w:r w:rsidRPr="00C145D1">
        <w:rPr>
          <w:rFonts w:cstheme="minorHAnsi"/>
          <w:b/>
          <w:bCs/>
          <w:spacing w:val="1"/>
        </w:rPr>
        <w:t>Suppo</w:t>
      </w:r>
      <w:r w:rsidRPr="00C145D1">
        <w:rPr>
          <w:rFonts w:cstheme="minorHAnsi"/>
          <w:b/>
          <w:bCs/>
          <w:spacing w:val="-2"/>
        </w:rPr>
        <w:t>r</w:t>
      </w:r>
      <w:r w:rsidRPr="00C145D1">
        <w:rPr>
          <w:rFonts w:cstheme="minorHAnsi"/>
          <w:b/>
          <w:bCs/>
        </w:rPr>
        <w:t>t</w:t>
      </w:r>
    </w:p>
    <w:p w14:paraId="7C0BA704" w14:textId="77777777" w:rsidR="00082DB7" w:rsidRPr="00A338E5" w:rsidRDefault="00082DB7" w:rsidP="00082DB7">
      <w:pPr>
        <w:widowControl w:val="0"/>
        <w:spacing w:after="0" w:line="240" w:lineRule="auto"/>
        <w:ind w:right="73"/>
        <w:jc w:val="both"/>
        <w:rPr>
          <w:rFonts w:cstheme="minorHAnsi"/>
        </w:rPr>
      </w:pPr>
      <w:r w:rsidRPr="00A338E5">
        <w:rPr>
          <w:rFonts w:cstheme="minorHAnsi"/>
        </w:rPr>
        <w:t>A</w:t>
      </w:r>
      <w:r w:rsidRPr="00A338E5">
        <w:rPr>
          <w:rFonts w:cstheme="minorHAnsi"/>
          <w:spacing w:val="14"/>
        </w:rPr>
        <w:t xml:space="preserve"> </w:t>
      </w:r>
      <w:r w:rsidRPr="00A338E5">
        <w:rPr>
          <w:rFonts w:cstheme="minorHAnsi"/>
          <w:spacing w:val="1"/>
        </w:rPr>
        <w:t>Town</w:t>
      </w:r>
      <w:r w:rsidRPr="00A338E5">
        <w:rPr>
          <w:rFonts w:cstheme="minorHAnsi"/>
          <w:spacing w:val="10"/>
        </w:rPr>
        <w:t xml:space="preserve"> </w:t>
      </w:r>
      <w:r w:rsidRPr="00A338E5">
        <w:rPr>
          <w:rFonts w:cstheme="minorHAnsi"/>
          <w:spacing w:val="-1"/>
        </w:rPr>
        <w:t>e</w:t>
      </w:r>
      <w:r w:rsidRPr="00A338E5">
        <w:rPr>
          <w:rFonts w:cstheme="minorHAnsi"/>
        </w:rPr>
        <w:t>mpl</w:t>
      </w:r>
      <w:r w:rsidRPr="00A338E5">
        <w:rPr>
          <w:rFonts w:cstheme="minorHAnsi"/>
          <w:spacing w:val="5"/>
        </w:rPr>
        <w:t>o</w:t>
      </w:r>
      <w:r w:rsidRPr="00A338E5">
        <w:rPr>
          <w:rFonts w:cstheme="minorHAnsi"/>
          <w:spacing w:val="-5"/>
        </w:rPr>
        <w:t>y</w:t>
      </w:r>
      <w:r w:rsidRPr="00A338E5">
        <w:rPr>
          <w:rFonts w:cstheme="minorHAnsi"/>
          <w:spacing w:val="1"/>
        </w:rPr>
        <w:t>e</w:t>
      </w:r>
      <w:r w:rsidRPr="00A338E5">
        <w:rPr>
          <w:rFonts w:cstheme="minorHAnsi"/>
        </w:rPr>
        <w:t>e</w:t>
      </w:r>
      <w:r w:rsidRPr="00A338E5">
        <w:rPr>
          <w:rFonts w:cstheme="minorHAnsi"/>
          <w:spacing w:val="13"/>
        </w:rPr>
        <w:t xml:space="preserve"> </w:t>
      </w:r>
      <w:r w:rsidRPr="00A338E5">
        <w:rPr>
          <w:rFonts w:cstheme="minorHAnsi"/>
        </w:rPr>
        <w:t>will</w:t>
      </w:r>
      <w:r w:rsidRPr="00A338E5">
        <w:rPr>
          <w:rFonts w:cstheme="minorHAnsi"/>
          <w:spacing w:val="15"/>
        </w:rPr>
        <w:t xml:space="preserve"> </w:t>
      </w:r>
      <w:r w:rsidRPr="00A338E5">
        <w:rPr>
          <w:rFonts w:cstheme="minorHAnsi"/>
        </w:rPr>
        <w:t>be</w:t>
      </w:r>
      <w:r w:rsidRPr="00A338E5">
        <w:rPr>
          <w:rFonts w:cstheme="minorHAnsi"/>
          <w:spacing w:val="15"/>
        </w:rPr>
        <w:t xml:space="preserve"> </w:t>
      </w:r>
      <w:r w:rsidRPr="00A338E5">
        <w:rPr>
          <w:rFonts w:cstheme="minorHAnsi"/>
          <w:spacing w:val="-1"/>
        </w:rPr>
        <w:t>a</w:t>
      </w:r>
      <w:r w:rsidRPr="00A338E5">
        <w:rPr>
          <w:rFonts w:cstheme="minorHAnsi"/>
        </w:rPr>
        <w:t>ssi</w:t>
      </w:r>
      <w:r w:rsidRPr="00A338E5">
        <w:rPr>
          <w:rFonts w:cstheme="minorHAnsi"/>
          <w:spacing w:val="-2"/>
        </w:rPr>
        <w:t>g</w:t>
      </w:r>
      <w:r w:rsidRPr="00A338E5">
        <w:rPr>
          <w:rFonts w:cstheme="minorHAnsi"/>
          <w:spacing w:val="2"/>
        </w:rPr>
        <w:t>n</w:t>
      </w:r>
      <w:r w:rsidRPr="00A338E5">
        <w:rPr>
          <w:rFonts w:cstheme="minorHAnsi"/>
          <w:spacing w:val="-1"/>
        </w:rPr>
        <w:t>e</w:t>
      </w:r>
      <w:r w:rsidRPr="00A338E5">
        <w:rPr>
          <w:rFonts w:cstheme="minorHAnsi"/>
        </w:rPr>
        <w:t>d</w:t>
      </w:r>
      <w:r w:rsidRPr="00A338E5">
        <w:rPr>
          <w:rFonts w:cstheme="minorHAnsi"/>
          <w:spacing w:val="14"/>
        </w:rPr>
        <w:t xml:space="preserve"> </w:t>
      </w:r>
      <w:r w:rsidRPr="00A338E5">
        <w:rPr>
          <w:rFonts w:cstheme="minorHAnsi"/>
        </w:rPr>
        <w:t>to</w:t>
      </w:r>
      <w:r w:rsidRPr="00A338E5">
        <w:rPr>
          <w:rFonts w:cstheme="minorHAnsi"/>
          <w:spacing w:val="14"/>
        </w:rPr>
        <w:t xml:space="preserve"> </w:t>
      </w:r>
      <w:r w:rsidRPr="00A338E5">
        <w:rPr>
          <w:rFonts w:cstheme="minorHAnsi"/>
        </w:rPr>
        <w:t>p</w:t>
      </w:r>
      <w:r w:rsidRPr="00A338E5">
        <w:rPr>
          <w:rFonts w:cstheme="minorHAnsi"/>
          <w:spacing w:val="-1"/>
        </w:rPr>
        <w:t>r</w:t>
      </w:r>
      <w:r w:rsidRPr="00A338E5">
        <w:rPr>
          <w:rFonts w:cstheme="minorHAnsi"/>
        </w:rPr>
        <w:t>ovide</w:t>
      </w:r>
      <w:r w:rsidRPr="00A338E5">
        <w:rPr>
          <w:rFonts w:cstheme="minorHAnsi"/>
          <w:spacing w:val="15"/>
        </w:rPr>
        <w:t xml:space="preserve"> </w:t>
      </w:r>
      <w:r w:rsidRPr="00A338E5">
        <w:rPr>
          <w:rFonts w:cstheme="minorHAnsi"/>
          <w:spacing w:val="-1"/>
        </w:rPr>
        <w:t>a</w:t>
      </w:r>
      <w:r w:rsidRPr="00A338E5">
        <w:rPr>
          <w:rFonts w:cstheme="minorHAnsi"/>
          <w:spacing w:val="2"/>
        </w:rPr>
        <w:t>d</w:t>
      </w:r>
      <w:r w:rsidRPr="00A338E5">
        <w:rPr>
          <w:rFonts w:cstheme="minorHAnsi"/>
        </w:rPr>
        <w:t>minist</w:t>
      </w:r>
      <w:r w:rsidRPr="00A338E5">
        <w:rPr>
          <w:rFonts w:cstheme="minorHAnsi"/>
          <w:spacing w:val="-1"/>
        </w:rPr>
        <w:t>ra</w:t>
      </w:r>
      <w:r w:rsidRPr="00A338E5">
        <w:rPr>
          <w:rFonts w:cstheme="minorHAnsi"/>
        </w:rPr>
        <w:t>tive</w:t>
      </w:r>
      <w:r w:rsidRPr="00A338E5">
        <w:rPr>
          <w:rFonts w:cstheme="minorHAnsi"/>
          <w:spacing w:val="13"/>
        </w:rPr>
        <w:t xml:space="preserve"> </w:t>
      </w:r>
      <w:r w:rsidRPr="00A338E5">
        <w:rPr>
          <w:rFonts w:cstheme="minorHAnsi"/>
        </w:rPr>
        <w:t>suppo</w:t>
      </w:r>
      <w:r w:rsidRPr="00A338E5">
        <w:rPr>
          <w:rFonts w:cstheme="minorHAnsi"/>
          <w:spacing w:val="-3"/>
        </w:rPr>
        <w:t>r</w:t>
      </w:r>
      <w:r w:rsidRPr="00A338E5">
        <w:rPr>
          <w:rFonts w:cstheme="minorHAnsi"/>
        </w:rPr>
        <w:t>t</w:t>
      </w:r>
      <w:r w:rsidRPr="00A338E5">
        <w:rPr>
          <w:rFonts w:cstheme="minorHAnsi"/>
          <w:spacing w:val="15"/>
        </w:rPr>
        <w:t xml:space="preserve"> </w:t>
      </w:r>
      <w:r w:rsidRPr="00A338E5">
        <w:rPr>
          <w:rFonts w:cstheme="minorHAnsi"/>
        </w:rPr>
        <w:t>to the CDAC.  This p</w:t>
      </w:r>
      <w:r w:rsidRPr="00A338E5">
        <w:rPr>
          <w:rFonts w:cstheme="minorHAnsi"/>
          <w:spacing w:val="-1"/>
        </w:rPr>
        <w:t>er</w:t>
      </w:r>
      <w:r w:rsidRPr="00A338E5">
        <w:rPr>
          <w:rFonts w:cstheme="minorHAnsi"/>
        </w:rPr>
        <w:t xml:space="preserve">son </w:t>
      </w:r>
      <w:r w:rsidRPr="00A338E5">
        <w:rPr>
          <w:rFonts w:cstheme="minorHAnsi"/>
          <w:spacing w:val="2"/>
        </w:rPr>
        <w:t>w</w:t>
      </w:r>
      <w:r w:rsidRPr="00A338E5">
        <w:rPr>
          <w:rFonts w:cstheme="minorHAnsi"/>
        </w:rPr>
        <w:t>ill be</w:t>
      </w:r>
      <w:r w:rsidRPr="00A338E5">
        <w:rPr>
          <w:rFonts w:cstheme="minorHAnsi"/>
          <w:spacing w:val="-1"/>
        </w:rPr>
        <w:t xml:space="preserve"> re</w:t>
      </w:r>
      <w:r w:rsidRPr="00A338E5">
        <w:rPr>
          <w:rFonts w:cstheme="minorHAnsi"/>
        </w:rPr>
        <w:t>sponsible</w:t>
      </w:r>
      <w:r w:rsidRPr="00A338E5">
        <w:rPr>
          <w:rFonts w:cstheme="minorHAnsi"/>
          <w:spacing w:val="-1"/>
        </w:rPr>
        <w:t xml:space="preserve"> f</w:t>
      </w:r>
      <w:r w:rsidRPr="00A338E5">
        <w:rPr>
          <w:rFonts w:cstheme="minorHAnsi"/>
        </w:rPr>
        <w:t>or</w:t>
      </w:r>
      <w:r w:rsidRPr="00A338E5">
        <w:rPr>
          <w:rFonts w:cstheme="minorHAnsi"/>
          <w:spacing w:val="-1"/>
        </w:rPr>
        <w:t xml:space="preserve"> </w:t>
      </w:r>
      <w:r w:rsidRPr="00A338E5">
        <w:rPr>
          <w:rFonts w:cstheme="minorHAnsi"/>
        </w:rPr>
        <w:t>the</w:t>
      </w:r>
      <w:r w:rsidRPr="00A338E5">
        <w:rPr>
          <w:rFonts w:cstheme="minorHAnsi"/>
          <w:spacing w:val="1"/>
        </w:rPr>
        <w:t xml:space="preserve"> </w:t>
      </w:r>
      <w:proofErr w:type="gramStart"/>
      <w:r w:rsidRPr="00A338E5">
        <w:rPr>
          <w:rFonts w:cstheme="minorHAnsi"/>
          <w:spacing w:val="-1"/>
        </w:rPr>
        <w:t>f</w:t>
      </w:r>
      <w:r w:rsidRPr="00A338E5">
        <w:rPr>
          <w:rFonts w:cstheme="minorHAnsi"/>
        </w:rPr>
        <w:t>ollowin</w:t>
      </w:r>
      <w:r w:rsidRPr="00A338E5">
        <w:rPr>
          <w:rFonts w:cstheme="minorHAnsi"/>
          <w:spacing w:val="-2"/>
        </w:rPr>
        <w:t>g</w:t>
      </w:r>
      <w:r w:rsidRPr="00A338E5">
        <w:rPr>
          <w:rFonts w:cstheme="minorHAnsi"/>
        </w:rPr>
        <w:t>;</w:t>
      </w:r>
      <w:proofErr w:type="gramEnd"/>
    </w:p>
    <w:p w14:paraId="66134015" w14:textId="77777777" w:rsidR="00082DB7" w:rsidRPr="00A338E5" w:rsidRDefault="00082DB7" w:rsidP="00082DB7">
      <w:pPr>
        <w:widowControl w:val="0"/>
        <w:spacing w:after="0" w:line="240" w:lineRule="auto"/>
        <w:ind w:left="720" w:right="4373" w:hanging="578"/>
        <w:jc w:val="both"/>
        <w:rPr>
          <w:rFonts w:cstheme="minorHAnsi"/>
        </w:rPr>
      </w:pPr>
      <w:r w:rsidRPr="00A338E5">
        <w:rPr>
          <w:rFonts w:cstheme="minorHAnsi"/>
          <w:w w:val="131"/>
        </w:rPr>
        <w:t>•</w:t>
      </w:r>
      <w:r>
        <w:rPr>
          <w:rFonts w:cstheme="minorHAnsi"/>
          <w:w w:val="131"/>
        </w:rPr>
        <w:tab/>
      </w:r>
      <w:r w:rsidRPr="00A338E5">
        <w:rPr>
          <w:rFonts w:cstheme="minorHAnsi"/>
          <w:spacing w:val="-3"/>
        </w:rPr>
        <w:t>I</w:t>
      </w:r>
      <w:r w:rsidRPr="00A338E5">
        <w:rPr>
          <w:rFonts w:cstheme="minorHAnsi"/>
        </w:rPr>
        <w:t>ssui</w:t>
      </w:r>
      <w:r w:rsidRPr="00A338E5">
        <w:rPr>
          <w:rFonts w:cstheme="minorHAnsi"/>
          <w:spacing w:val="2"/>
        </w:rPr>
        <w:t>n</w:t>
      </w:r>
      <w:r w:rsidRPr="00A338E5">
        <w:rPr>
          <w:rFonts w:cstheme="minorHAnsi"/>
        </w:rPr>
        <w:t>g</w:t>
      </w:r>
      <w:r w:rsidRPr="00A338E5">
        <w:rPr>
          <w:rFonts w:cstheme="minorHAnsi"/>
          <w:spacing w:val="-2"/>
        </w:rPr>
        <w:t xml:space="preserve"> </w:t>
      </w:r>
      <w:r w:rsidRPr="00A338E5">
        <w:rPr>
          <w:rFonts w:cstheme="minorHAnsi"/>
        </w:rPr>
        <w:t>of</w:t>
      </w:r>
      <w:r w:rsidRPr="00A338E5">
        <w:rPr>
          <w:rFonts w:cstheme="minorHAnsi"/>
          <w:spacing w:val="-1"/>
        </w:rPr>
        <w:t xml:space="preserve"> </w:t>
      </w:r>
      <w:r w:rsidRPr="00A338E5">
        <w:rPr>
          <w:rFonts w:cstheme="minorHAnsi"/>
        </w:rPr>
        <w:t>the</w:t>
      </w:r>
      <w:r w:rsidRPr="00A338E5">
        <w:rPr>
          <w:rFonts w:cstheme="minorHAnsi"/>
          <w:spacing w:val="1"/>
        </w:rPr>
        <w:t xml:space="preserve"> </w:t>
      </w:r>
      <w:proofErr w:type="gramStart"/>
      <w:r w:rsidRPr="00A338E5">
        <w:rPr>
          <w:rFonts w:cstheme="minorHAnsi"/>
          <w:spacing w:val="2"/>
        </w:rPr>
        <w:t>A</w:t>
      </w:r>
      <w:r w:rsidRPr="00A338E5">
        <w:rPr>
          <w:rFonts w:cstheme="minorHAnsi"/>
          <w:spacing w:val="-2"/>
        </w:rPr>
        <w:t>g</w:t>
      </w:r>
      <w:r w:rsidRPr="00A338E5">
        <w:rPr>
          <w:rFonts w:cstheme="minorHAnsi"/>
          <w:spacing w:val="-1"/>
        </w:rPr>
        <w:t>e</w:t>
      </w:r>
      <w:r w:rsidRPr="00A338E5">
        <w:rPr>
          <w:rFonts w:cstheme="minorHAnsi"/>
        </w:rPr>
        <w:t>nd</w:t>
      </w:r>
      <w:r w:rsidRPr="00A338E5">
        <w:rPr>
          <w:rFonts w:cstheme="minorHAnsi"/>
          <w:spacing w:val="-1"/>
        </w:rPr>
        <w:t>a</w:t>
      </w:r>
      <w:r w:rsidRPr="00A338E5">
        <w:rPr>
          <w:rFonts w:cstheme="minorHAnsi"/>
        </w:rPr>
        <w:t>;</w:t>
      </w:r>
      <w:proofErr w:type="gramEnd"/>
    </w:p>
    <w:p w14:paraId="0B8E5ABF" w14:textId="77777777" w:rsidR="00082DB7" w:rsidRPr="00C145D1" w:rsidRDefault="00082DB7" w:rsidP="002A3889">
      <w:pPr>
        <w:pStyle w:val="ListParagraph"/>
        <w:widowControl w:val="0"/>
        <w:numPr>
          <w:ilvl w:val="4"/>
          <w:numId w:val="73"/>
        </w:numPr>
        <w:spacing w:after="0" w:line="240" w:lineRule="auto"/>
        <w:ind w:left="709" w:right="2218" w:hanging="567"/>
        <w:jc w:val="both"/>
        <w:rPr>
          <w:rFonts w:cstheme="minorHAnsi"/>
        </w:rPr>
      </w:pPr>
      <w:r w:rsidRPr="00C145D1">
        <w:rPr>
          <w:rFonts w:cstheme="minorHAnsi"/>
          <w:spacing w:val="1"/>
        </w:rPr>
        <w:t>R</w:t>
      </w:r>
      <w:r w:rsidRPr="00C145D1">
        <w:rPr>
          <w:rFonts w:cstheme="minorHAnsi"/>
          <w:spacing w:val="-1"/>
        </w:rPr>
        <w:t>ec</w:t>
      </w:r>
      <w:r w:rsidRPr="00C145D1">
        <w:rPr>
          <w:rFonts w:cstheme="minorHAnsi"/>
        </w:rPr>
        <w:t>o</w:t>
      </w:r>
      <w:r w:rsidRPr="00C145D1">
        <w:rPr>
          <w:rFonts w:cstheme="minorHAnsi"/>
          <w:spacing w:val="-1"/>
        </w:rPr>
        <w:t>r</w:t>
      </w:r>
      <w:r w:rsidRPr="00C145D1">
        <w:rPr>
          <w:rFonts w:cstheme="minorHAnsi"/>
        </w:rPr>
        <w:t>di</w:t>
      </w:r>
      <w:r w:rsidRPr="00C145D1">
        <w:rPr>
          <w:rFonts w:cstheme="minorHAnsi"/>
          <w:spacing w:val="2"/>
        </w:rPr>
        <w:t>n</w:t>
      </w:r>
      <w:r w:rsidRPr="00C145D1">
        <w:rPr>
          <w:rFonts w:cstheme="minorHAnsi"/>
        </w:rPr>
        <w:t>g</w:t>
      </w:r>
      <w:r w:rsidRPr="00C145D1">
        <w:rPr>
          <w:rFonts w:cstheme="minorHAnsi"/>
          <w:spacing w:val="-2"/>
        </w:rPr>
        <w:t xml:space="preserve"> </w:t>
      </w:r>
      <w:r w:rsidRPr="00C145D1">
        <w:rPr>
          <w:rFonts w:cstheme="minorHAnsi"/>
        </w:rPr>
        <w:t>of</w:t>
      </w:r>
      <w:r w:rsidRPr="00C145D1">
        <w:rPr>
          <w:rFonts w:cstheme="minorHAnsi"/>
          <w:spacing w:val="-1"/>
        </w:rPr>
        <w:t xml:space="preserve"> </w:t>
      </w:r>
      <w:r w:rsidRPr="00C145D1">
        <w:rPr>
          <w:rFonts w:cstheme="minorHAnsi"/>
        </w:rPr>
        <w:t>Apol</w:t>
      </w:r>
      <w:r w:rsidRPr="00C145D1">
        <w:rPr>
          <w:rFonts w:cstheme="minorHAnsi"/>
          <w:spacing w:val="2"/>
        </w:rPr>
        <w:t>o</w:t>
      </w:r>
      <w:r w:rsidRPr="00C145D1">
        <w:rPr>
          <w:rFonts w:cstheme="minorHAnsi"/>
          <w:spacing w:val="-2"/>
        </w:rPr>
        <w:t>g</w:t>
      </w:r>
      <w:r w:rsidRPr="00C145D1">
        <w:rPr>
          <w:rFonts w:cstheme="minorHAnsi"/>
        </w:rPr>
        <w:t>i</w:t>
      </w:r>
      <w:r w:rsidRPr="00C145D1">
        <w:rPr>
          <w:rFonts w:cstheme="minorHAnsi"/>
          <w:spacing w:val="-1"/>
        </w:rPr>
        <w:t>e</w:t>
      </w:r>
      <w:r w:rsidRPr="00C145D1">
        <w:rPr>
          <w:rFonts w:cstheme="minorHAnsi"/>
        </w:rPr>
        <w:t>s</w:t>
      </w:r>
      <w:r w:rsidRPr="00C145D1">
        <w:rPr>
          <w:rFonts w:cstheme="minorHAnsi"/>
          <w:spacing w:val="3"/>
        </w:rPr>
        <w:t xml:space="preserve"> </w:t>
      </w:r>
      <w:r w:rsidRPr="00C145D1">
        <w:rPr>
          <w:rFonts w:cstheme="minorHAnsi"/>
        </w:rPr>
        <w:t>p</w:t>
      </w:r>
      <w:r w:rsidRPr="00C145D1">
        <w:rPr>
          <w:rFonts w:cstheme="minorHAnsi"/>
          <w:spacing w:val="-1"/>
        </w:rPr>
        <w:t>r</w:t>
      </w:r>
      <w:r w:rsidRPr="00C145D1">
        <w:rPr>
          <w:rFonts w:cstheme="minorHAnsi"/>
        </w:rPr>
        <w:t>ior</w:t>
      </w:r>
      <w:r w:rsidRPr="00C145D1">
        <w:rPr>
          <w:rFonts w:cstheme="minorHAnsi"/>
          <w:spacing w:val="-1"/>
        </w:rPr>
        <w:t xml:space="preserve"> </w:t>
      </w:r>
      <w:r w:rsidRPr="00C145D1">
        <w:rPr>
          <w:rFonts w:cstheme="minorHAnsi"/>
        </w:rPr>
        <w:t>to the</w:t>
      </w:r>
      <w:r w:rsidRPr="00C145D1">
        <w:rPr>
          <w:rFonts w:cstheme="minorHAnsi"/>
          <w:spacing w:val="-1"/>
        </w:rPr>
        <w:t xml:space="preserve"> </w:t>
      </w:r>
      <w:proofErr w:type="gramStart"/>
      <w:r w:rsidRPr="00C145D1">
        <w:rPr>
          <w:rFonts w:cstheme="minorHAnsi"/>
        </w:rPr>
        <w:t>m</w:t>
      </w:r>
      <w:r w:rsidRPr="00C145D1">
        <w:rPr>
          <w:rFonts w:cstheme="minorHAnsi"/>
          <w:spacing w:val="-1"/>
        </w:rPr>
        <w:t>ee</w:t>
      </w:r>
      <w:r w:rsidRPr="00C145D1">
        <w:rPr>
          <w:rFonts w:cstheme="minorHAnsi"/>
        </w:rPr>
        <w:t>ti</w:t>
      </w:r>
      <w:r w:rsidRPr="00C145D1">
        <w:rPr>
          <w:rFonts w:cstheme="minorHAnsi"/>
          <w:spacing w:val="2"/>
        </w:rPr>
        <w:t>n</w:t>
      </w:r>
      <w:r w:rsidRPr="00C145D1">
        <w:rPr>
          <w:rFonts w:cstheme="minorHAnsi"/>
          <w:spacing w:val="-2"/>
        </w:rPr>
        <w:t>g</w:t>
      </w:r>
      <w:r w:rsidRPr="00C145D1">
        <w:rPr>
          <w:rFonts w:cstheme="minorHAnsi"/>
        </w:rPr>
        <w:t>;</w:t>
      </w:r>
      <w:proofErr w:type="gramEnd"/>
    </w:p>
    <w:p w14:paraId="6F3C0130" w14:textId="77777777" w:rsidR="00082DB7" w:rsidRPr="00C145D1" w:rsidRDefault="00082DB7" w:rsidP="002A3889">
      <w:pPr>
        <w:pStyle w:val="ListParagraph"/>
        <w:widowControl w:val="0"/>
        <w:numPr>
          <w:ilvl w:val="4"/>
          <w:numId w:val="73"/>
        </w:numPr>
        <w:spacing w:after="0" w:line="240" w:lineRule="auto"/>
        <w:ind w:left="709" w:right="2484" w:hanging="567"/>
        <w:jc w:val="both"/>
        <w:rPr>
          <w:rFonts w:cstheme="minorHAnsi"/>
        </w:rPr>
      </w:pPr>
      <w:r w:rsidRPr="00C145D1">
        <w:rPr>
          <w:rFonts w:cstheme="minorHAnsi"/>
          <w:spacing w:val="1"/>
        </w:rPr>
        <w:t>P</w:t>
      </w:r>
      <w:r w:rsidRPr="00C145D1">
        <w:rPr>
          <w:rFonts w:cstheme="minorHAnsi"/>
          <w:spacing w:val="-1"/>
        </w:rPr>
        <w:t>re</w:t>
      </w:r>
      <w:r w:rsidRPr="00C145D1">
        <w:rPr>
          <w:rFonts w:cstheme="minorHAnsi"/>
        </w:rPr>
        <w:t>p</w:t>
      </w:r>
      <w:r w:rsidRPr="00C145D1">
        <w:rPr>
          <w:rFonts w:cstheme="minorHAnsi"/>
          <w:spacing w:val="-1"/>
        </w:rPr>
        <w:t>ara</w:t>
      </w:r>
      <w:r w:rsidRPr="00C145D1">
        <w:rPr>
          <w:rFonts w:cstheme="minorHAnsi"/>
        </w:rPr>
        <w:t>tion of</w:t>
      </w:r>
      <w:r w:rsidRPr="00C145D1">
        <w:rPr>
          <w:rFonts w:cstheme="minorHAnsi"/>
          <w:spacing w:val="-1"/>
        </w:rPr>
        <w:t xml:space="preserve"> </w:t>
      </w:r>
      <w:r w:rsidRPr="00C145D1">
        <w:rPr>
          <w:rFonts w:cstheme="minorHAnsi"/>
        </w:rPr>
        <w:t>the</w:t>
      </w:r>
      <w:r w:rsidRPr="00C145D1">
        <w:rPr>
          <w:rFonts w:cstheme="minorHAnsi"/>
          <w:spacing w:val="-1"/>
        </w:rPr>
        <w:t xml:space="preserve"> </w:t>
      </w:r>
      <w:r w:rsidRPr="00C145D1">
        <w:rPr>
          <w:rFonts w:cstheme="minorHAnsi"/>
        </w:rPr>
        <w:t>Minu</w:t>
      </w:r>
      <w:r w:rsidRPr="00C145D1">
        <w:rPr>
          <w:rFonts w:cstheme="minorHAnsi"/>
          <w:spacing w:val="3"/>
        </w:rPr>
        <w:t>t</w:t>
      </w:r>
      <w:r w:rsidRPr="00C145D1">
        <w:rPr>
          <w:rFonts w:cstheme="minorHAnsi"/>
          <w:spacing w:val="-1"/>
        </w:rPr>
        <w:t>e</w:t>
      </w:r>
      <w:r w:rsidRPr="00C145D1">
        <w:rPr>
          <w:rFonts w:cstheme="minorHAnsi"/>
        </w:rPr>
        <w:t>s/M</w:t>
      </w:r>
      <w:r w:rsidRPr="00C145D1">
        <w:rPr>
          <w:rFonts w:cstheme="minorHAnsi"/>
          <w:spacing w:val="-1"/>
        </w:rPr>
        <w:t>ee</w:t>
      </w:r>
      <w:r w:rsidRPr="00C145D1">
        <w:rPr>
          <w:rFonts w:cstheme="minorHAnsi"/>
        </w:rPr>
        <w:t>ting</w:t>
      </w:r>
      <w:r w:rsidRPr="00C145D1">
        <w:rPr>
          <w:rFonts w:cstheme="minorHAnsi"/>
          <w:spacing w:val="-2"/>
        </w:rPr>
        <w:t xml:space="preserve"> </w:t>
      </w:r>
      <w:proofErr w:type="gramStart"/>
      <w:r w:rsidRPr="00C145D1">
        <w:rPr>
          <w:rFonts w:cstheme="minorHAnsi"/>
        </w:rPr>
        <w:t>no</w:t>
      </w:r>
      <w:r w:rsidRPr="00C145D1">
        <w:rPr>
          <w:rFonts w:cstheme="minorHAnsi"/>
          <w:spacing w:val="3"/>
        </w:rPr>
        <w:t>t</w:t>
      </w:r>
      <w:r w:rsidRPr="00C145D1">
        <w:rPr>
          <w:rFonts w:cstheme="minorHAnsi"/>
          <w:spacing w:val="-1"/>
        </w:rPr>
        <w:t>e</w:t>
      </w:r>
      <w:r w:rsidRPr="00C145D1">
        <w:rPr>
          <w:rFonts w:cstheme="minorHAnsi"/>
        </w:rPr>
        <w:t>s;</w:t>
      </w:r>
      <w:proofErr w:type="gramEnd"/>
    </w:p>
    <w:p w14:paraId="6C068A4B" w14:textId="77777777" w:rsidR="00082DB7" w:rsidRPr="00C145D1" w:rsidRDefault="00082DB7" w:rsidP="002A3889">
      <w:pPr>
        <w:pStyle w:val="ListParagraph"/>
        <w:widowControl w:val="0"/>
        <w:numPr>
          <w:ilvl w:val="4"/>
          <w:numId w:val="73"/>
        </w:numPr>
        <w:spacing w:after="0" w:line="240" w:lineRule="auto"/>
        <w:ind w:left="709" w:right="4643" w:hanging="567"/>
        <w:jc w:val="both"/>
        <w:rPr>
          <w:rFonts w:cstheme="minorHAnsi"/>
        </w:rPr>
      </w:pPr>
      <w:r w:rsidRPr="00C145D1">
        <w:rPr>
          <w:rFonts w:cstheme="minorHAnsi"/>
          <w:spacing w:val="1"/>
        </w:rPr>
        <w:t>R</w:t>
      </w:r>
      <w:r w:rsidRPr="00C145D1">
        <w:rPr>
          <w:rFonts w:cstheme="minorHAnsi"/>
        </w:rPr>
        <w:t>oom bookin</w:t>
      </w:r>
      <w:r w:rsidRPr="00C145D1">
        <w:rPr>
          <w:rFonts w:cstheme="minorHAnsi"/>
          <w:spacing w:val="-2"/>
        </w:rPr>
        <w:t>g</w:t>
      </w:r>
      <w:r w:rsidRPr="00C145D1">
        <w:rPr>
          <w:rFonts w:cstheme="minorHAnsi"/>
        </w:rPr>
        <w:t xml:space="preserve">; </w:t>
      </w:r>
      <w:r w:rsidRPr="00C145D1">
        <w:rPr>
          <w:rFonts w:cstheme="minorHAnsi"/>
          <w:spacing w:val="-1"/>
        </w:rPr>
        <w:t>a</w:t>
      </w:r>
      <w:r w:rsidRPr="00C145D1">
        <w:rPr>
          <w:rFonts w:cstheme="minorHAnsi"/>
        </w:rPr>
        <w:t>nd</w:t>
      </w:r>
    </w:p>
    <w:p w14:paraId="51F442D3" w14:textId="77777777" w:rsidR="00082DB7" w:rsidRPr="00C145D1" w:rsidRDefault="00082DB7" w:rsidP="002A3889">
      <w:pPr>
        <w:pStyle w:val="ListParagraph"/>
        <w:widowControl w:val="0"/>
        <w:numPr>
          <w:ilvl w:val="4"/>
          <w:numId w:val="73"/>
        </w:numPr>
        <w:spacing w:after="0" w:line="240" w:lineRule="auto"/>
        <w:ind w:left="709" w:right="4351" w:hanging="567"/>
        <w:jc w:val="both"/>
        <w:rPr>
          <w:rFonts w:cstheme="minorHAnsi"/>
        </w:rPr>
      </w:pPr>
      <w:r w:rsidRPr="00C145D1">
        <w:rPr>
          <w:rFonts w:cstheme="minorHAnsi"/>
          <w:spacing w:val="1"/>
        </w:rPr>
        <w:t>C</w:t>
      </w:r>
      <w:r w:rsidRPr="00C145D1">
        <w:rPr>
          <w:rFonts w:cstheme="minorHAnsi"/>
          <w:spacing w:val="-1"/>
        </w:rPr>
        <w:t>a</w:t>
      </w:r>
      <w:r w:rsidRPr="00C145D1">
        <w:rPr>
          <w:rFonts w:cstheme="minorHAnsi"/>
        </w:rPr>
        <w:t>t</w:t>
      </w:r>
      <w:r w:rsidRPr="00C145D1">
        <w:rPr>
          <w:rFonts w:cstheme="minorHAnsi"/>
          <w:spacing w:val="-1"/>
        </w:rPr>
        <w:t>er</w:t>
      </w:r>
      <w:r w:rsidRPr="00C145D1">
        <w:rPr>
          <w:rFonts w:cstheme="minorHAnsi"/>
        </w:rPr>
        <w:t>i</w:t>
      </w:r>
      <w:r w:rsidRPr="00C145D1">
        <w:rPr>
          <w:rFonts w:cstheme="minorHAnsi"/>
          <w:spacing w:val="-1"/>
        </w:rPr>
        <w:t>n</w:t>
      </w:r>
      <w:r w:rsidRPr="00C145D1">
        <w:rPr>
          <w:rFonts w:cstheme="minorHAnsi"/>
        </w:rPr>
        <w:t>g</w:t>
      </w:r>
      <w:r w:rsidRPr="00C145D1">
        <w:rPr>
          <w:rFonts w:cstheme="minorHAnsi"/>
          <w:spacing w:val="1"/>
        </w:rPr>
        <w:t xml:space="preserve"> </w:t>
      </w:r>
      <w:r w:rsidRPr="00C145D1">
        <w:rPr>
          <w:rFonts w:cstheme="minorHAnsi"/>
          <w:spacing w:val="-1"/>
        </w:rPr>
        <w:t>requ</w:t>
      </w:r>
      <w:r w:rsidRPr="00C145D1">
        <w:rPr>
          <w:rFonts w:cstheme="minorHAnsi"/>
          <w:spacing w:val="2"/>
        </w:rPr>
        <w:t>ir</w:t>
      </w:r>
      <w:r w:rsidRPr="00C145D1">
        <w:rPr>
          <w:rFonts w:cstheme="minorHAnsi"/>
          <w:spacing w:val="-1"/>
        </w:rPr>
        <w:t>e</w:t>
      </w:r>
      <w:r w:rsidRPr="00C145D1">
        <w:rPr>
          <w:rFonts w:cstheme="minorHAnsi"/>
        </w:rPr>
        <w:t>m</w:t>
      </w:r>
      <w:r w:rsidRPr="00C145D1">
        <w:rPr>
          <w:rFonts w:cstheme="minorHAnsi"/>
          <w:spacing w:val="-1"/>
        </w:rPr>
        <w:t>en</w:t>
      </w:r>
      <w:r w:rsidRPr="00C145D1">
        <w:rPr>
          <w:rFonts w:cstheme="minorHAnsi"/>
          <w:spacing w:val="1"/>
        </w:rPr>
        <w:t>t</w:t>
      </w:r>
      <w:r w:rsidRPr="00C145D1">
        <w:rPr>
          <w:rFonts w:cstheme="minorHAnsi"/>
        </w:rPr>
        <w:t>s.</w:t>
      </w:r>
    </w:p>
    <w:p w14:paraId="22B481EE" w14:textId="77777777" w:rsidR="00082DB7" w:rsidRPr="00C145D1" w:rsidRDefault="00082DB7" w:rsidP="00082DB7">
      <w:pPr>
        <w:widowControl w:val="0"/>
        <w:tabs>
          <w:tab w:val="left" w:pos="1540"/>
        </w:tabs>
        <w:spacing w:before="200" w:after="0" w:line="240" w:lineRule="auto"/>
        <w:ind w:right="-23"/>
        <w:jc w:val="both"/>
        <w:rPr>
          <w:rFonts w:cstheme="minorHAnsi"/>
        </w:rPr>
      </w:pPr>
      <w:r w:rsidRPr="00C145D1">
        <w:rPr>
          <w:rFonts w:cstheme="minorHAnsi"/>
          <w:b/>
          <w:bCs/>
        </w:rPr>
        <w:t>C</w:t>
      </w:r>
      <w:r w:rsidRPr="00C145D1">
        <w:rPr>
          <w:rFonts w:cstheme="minorHAnsi"/>
          <w:b/>
          <w:bCs/>
          <w:spacing w:val="1"/>
        </w:rPr>
        <w:t>o</w:t>
      </w:r>
      <w:r w:rsidRPr="00C145D1">
        <w:rPr>
          <w:rFonts w:cstheme="minorHAnsi"/>
          <w:b/>
          <w:bCs/>
        </w:rPr>
        <w:t>de</w:t>
      </w:r>
      <w:r w:rsidRPr="00C145D1">
        <w:rPr>
          <w:rFonts w:cstheme="minorHAnsi"/>
          <w:b/>
          <w:bCs/>
          <w:spacing w:val="-1"/>
        </w:rPr>
        <w:t xml:space="preserve"> </w:t>
      </w:r>
      <w:r w:rsidRPr="00C145D1">
        <w:rPr>
          <w:rFonts w:cstheme="minorHAnsi"/>
          <w:b/>
          <w:bCs/>
          <w:spacing w:val="1"/>
        </w:rPr>
        <w:t>o</w:t>
      </w:r>
      <w:r w:rsidRPr="00C145D1">
        <w:rPr>
          <w:rFonts w:cstheme="minorHAnsi"/>
          <w:b/>
          <w:bCs/>
        </w:rPr>
        <w:t>f</w:t>
      </w:r>
      <w:r w:rsidRPr="00C145D1">
        <w:rPr>
          <w:rFonts w:cstheme="minorHAnsi"/>
          <w:b/>
          <w:bCs/>
          <w:spacing w:val="1"/>
        </w:rPr>
        <w:t xml:space="preserve"> </w:t>
      </w:r>
      <w:r w:rsidRPr="00C145D1">
        <w:rPr>
          <w:rFonts w:cstheme="minorHAnsi"/>
          <w:b/>
          <w:bCs/>
        </w:rPr>
        <w:t>C</w:t>
      </w:r>
      <w:r w:rsidRPr="00C145D1">
        <w:rPr>
          <w:rFonts w:cstheme="minorHAnsi"/>
          <w:b/>
          <w:bCs/>
          <w:spacing w:val="1"/>
        </w:rPr>
        <w:t>o</w:t>
      </w:r>
      <w:r w:rsidRPr="00C145D1">
        <w:rPr>
          <w:rFonts w:cstheme="minorHAnsi"/>
          <w:b/>
          <w:bCs/>
        </w:rPr>
        <w:t>n</w:t>
      </w:r>
      <w:r w:rsidRPr="00C145D1">
        <w:rPr>
          <w:rFonts w:cstheme="minorHAnsi"/>
          <w:b/>
          <w:bCs/>
          <w:spacing w:val="1"/>
        </w:rPr>
        <w:t>du</w:t>
      </w:r>
      <w:r w:rsidRPr="00C145D1">
        <w:rPr>
          <w:rFonts w:cstheme="minorHAnsi"/>
          <w:b/>
          <w:bCs/>
          <w:spacing w:val="-1"/>
        </w:rPr>
        <w:t>c</w:t>
      </w:r>
      <w:r w:rsidRPr="00C145D1">
        <w:rPr>
          <w:rFonts w:cstheme="minorHAnsi"/>
          <w:b/>
          <w:bCs/>
        </w:rPr>
        <w:t>t</w:t>
      </w:r>
    </w:p>
    <w:p w14:paraId="01E942CF" w14:textId="77777777" w:rsidR="00082DB7" w:rsidRPr="003C1297" w:rsidRDefault="00082DB7" w:rsidP="00082DB7">
      <w:pPr>
        <w:widowControl w:val="0"/>
        <w:spacing w:after="60" w:line="240" w:lineRule="auto"/>
        <w:ind w:left="425" w:right="78" w:hanging="425"/>
        <w:jc w:val="both"/>
        <w:rPr>
          <w:rFonts w:cstheme="minorHAnsi"/>
        </w:rPr>
      </w:pPr>
      <w:r w:rsidRPr="00A338E5">
        <w:rPr>
          <w:rFonts w:cstheme="minorHAnsi"/>
        </w:rPr>
        <w:t>1.</w:t>
      </w:r>
      <w:r w:rsidRPr="00A338E5">
        <w:rPr>
          <w:rFonts w:cstheme="minorHAnsi"/>
        </w:rPr>
        <w:tab/>
      </w:r>
      <w:r w:rsidRPr="003C1297">
        <w:rPr>
          <w:rFonts w:cstheme="minorHAnsi"/>
        </w:rPr>
        <w:t>The Town’s Code of Conduct shall apply to members of the CDAC.</w:t>
      </w:r>
    </w:p>
    <w:p w14:paraId="6CB4AD47" w14:textId="77777777" w:rsidR="00082DB7" w:rsidRPr="003C1297" w:rsidRDefault="00082DB7" w:rsidP="00082DB7">
      <w:pPr>
        <w:widowControl w:val="0"/>
        <w:tabs>
          <w:tab w:val="left" w:pos="2260"/>
        </w:tabs>
        <w:spacing w:after="60" w:line="240" w:lineRule="auto"/>
        <w:ind w:left="425" w:right="80" w:hanging="425"/>
        <w:jc w:val="both"/>
        <w:rPr>
          <w:rFonts w:cstheme="minorHAnsi"/>
        </w:rPr>
      </w:pPr>
      <w:r w:rsidRPr="003C1297">
        <w:rPr>
          <w:rFonts w:cstheme="minorHAnsi"/>
        </w:rPr>
        <w:t>2.</w:t>
      </w:r>
      <w:r w:rsidRPr="003C1297">
        <w:rPr>
          <w:rFonts w:cstheme="minorHAnsi"/>
        </w:rPr>
        <w:tab/>
        <w:t>All CDAC members shall be required to declare any conflicts of interest in matters being considered.</w:t>
      </w:r>
    </w:p>
    <w:p w14:paraId="6A6871D5" w14:textId="77777777" w:rsidR="00082DB7" w:rsidRPr="003C1297" w:rsidRDefault="00082DB7" w:rsidP="00082DB7">
      <w:pPr>
        <w:widowControl w:val="0"/>
        <w:spacing w:after="60" w:line="240" w:lineRule="auto"/>
        <w:ind w:left="425" w:right="79" w:hanging="425"/>
        <w:jc w:val="both"/>
        <w:rPr>
          <w:rFonts w:cstheme="minorHAnsi"/>
        </w:rPr>
      </w:pPr>
      <w:r w:rsidRPr="003C1297">
        <w:rPr>
          <w:rFonts w:cstheme="minorHAnsi"/>
        </w:rPr>
        <w:t>3.</w:t>
      </w:r>
      <w:r w:rsidRPr="003C1297">
        <w:rPr>
          <w:rFonts w:cstheme="minorHAnsi"/>
        </w:rPr>
        <w:tab/>
        <w:t>A copy of the Town’s Code of Conduct will be provided to each member upon their appointment.</w:t>
      </w:r>
    </w:p>
    <w:p w14:paraId="43E3DEA8" w14:textId="77777777" w:rsidR="00082DB7" w:rsidRPr="003C1297" w:rsidRDefault="00082DB7" w:rsidP="00082DB7">
      <w:pPr>
        <w:widowControl w:val="0"/>
        <w:tabs>
          <w:tab w:val="left" w:pos="2260"/>
        </w:tabs>
        <w:spacing w:after="0" w:line="240" w:lineRule="auto"/>
        <w:ind w:left="426" w:right="71" w:hanging="426"/>
        <w:jc w:val="both"/>
        <w:rPr>
          <w:rFonts w:cstheme="minorHAnsi"/>
        </w:rPr>
      </w:pPr>
      <w:r w:rsidRPr="003C1297">
        <w:rPr>
          <w:rFonts w:cstheme="minorHAnsi"/>
        </w:rPr>
        <w:t>4.</w:t>
      </w:r>
      <w:r w:rsidRPr="003C1297">
        <w:rPr>
          <w:rFonts w:cstheme="minorHAnsi"/>
        </w:rPr>
        <w:tab/>
        <w:t>The Town’s Chief Executive Officer is available to provide any assistance or guidance concerning the Code or any matters of Interest.</w:t>
      </w:r>
    </w:p>
    <w:p w14:paraId="17E1AA8D" w14:textId="77777777" w:rsidR="00082DB7" w:rsidRPr="003C1297" w:rsidRDefault="00082DB7" w:rsidP="00082DB7">
      <w:pPr>
        <w:widowControl w:val="0"/>
        <w:tabs>
          <w:tab w:val="left" w:pos="2260"/>
        </w:tabs>
        <w:spacing w:after="0" w:line="240" w:lineRule="auto"/>
        <w:ind w:left="426" w:right="71" w:hanging="426"/>
        <w:jc w:val="both"/>
        <w:rPr>
          <w:rFonts w:cstheme="minorHAnsi"/>
        </w:rPr>
      </w:pPr>
      <w:r w:rsidRPr="003C1297">
        <w:rPr>
          <w:rFonts w:cstheme="minorHAnsi"/>
        </w:rPr>
        <w:t>5.</w:t>
      </w:r>
      <w:r w:rsidRPr="003C1297">
        <w:rPr>
          <w:rFonts w:cstheme="minorHAnsi"/>
        </w:rPr>
        <w:tab/>
        <w:t xml:space="preserve">Contact and lobbying of Community Design Advisory Committee members by applicants </w:t>
      </w:r>
      <w:proofErr w:type="gramStart"/>
      <w:r w:rsidRPr="003C1297">
        <w:rPr>
          <w:rFonts w:cstheme="minorHAnsi"/>
        </w:rPr>
        <w:t>is considered to be</w:t>
      </w:r>
      <w:proofErr w:type="gramEnd"/>
      <w:r w:rsidRPr="003C1297">
        <w:rPr>
          <w:rFonts w:cstheme="minorHAnsi"/>
        </w:rPr>
        <w:t xml:space="preserve"> inappropriate.</w:t>
      </w:r>
    </w:p>
    <w:p w14:paraId="47589CB1" w14:textId="77777777" w:rsidR="00082DB7" w:rsidRPr="003C1297" w:rsidRDefault="00082DB7" w:rsidP="00082DB7">
      <w:pPr>
        <w:widowControl w:val="0"/>
        <w:tabs>
          <w:tab w:val="left" w:pos="2260"/>
        </w:tabs>
        <w:spacing w:after="0" w:line="240" w:lineRule="auto"/>
        <w:ind w:left="426" w:right="71" w:hanging="426"/>
        <w:jc w:val="both"/>
        <w:rPr>
          <w:rFonts w:cstheme="minorHAnsi"/>
        </w:rPr>
      </w:pPr>
      <w:r w:rsidRPr="003C1297">
        <w:rPr>
          <w:rFonts w:cstheme="minorHAnsi"/>
        </w:rPr>
        <w:t>6.</w:t>
      </w:r>
      <w:r w:rsidRPr="003C1297">
        <w:rPr>
          <w:rFonts w:cstheme="minorHAnsi"/>
        </w:rPr>
        <w:tab/>
        <w:t xml:space="preserve">The presentation of proposals by applicants to the Community Design Advisory Committee members, either jointly or severally, is not permitted. </w:t>
      </w:r>
    </w:p>
    <w:p w14:paraId="096A76C4" w14:textId="77777777" w:rsidR="00082DB7" w:rsidRDefault="00082DB7">
      <w:pPr>
        <w:rPr>
          <w:rFonts w:cstheme="minorHAnsi"/>
          <w:b/>
          <w:bCs/>
        </w:rPr>
      </w:pPr>
      <w:r>
        <w:rPr>
          <w:rFonts w:cstheme="minorHAnsi"/>
          <w:b/>
          <w:bCs/>
        </w:rPr>
        <w:br w:type="page"/>
      </w:r>
    </w:p>
    <w:p w14:paraId="2D80185B" w14:textId="2131AA99" w:rsidR="00082DB7" w:rsidRPr="00C145D1" w:rsidRDefault="00082DB7" w:rsidP="00082DB7">
      <w:pPr>
        <w:widowControl w:val="0"/>
        <w:tabs>
          <w:tab w:val="left" w:pos="1540"/>
        </w:tabs>
        <w:spacing w:before="200" w:after="0" w:line="240" w:lineRule="auto"/>
        <w:ind w:right="-23"/>
        <w:jc w:val="both"/>
        <w:rPr>
          <w:rFonts w:cstheme="minorHAnsi"/>
        </w:rPr>
      </w:pPr>
      <w:r w:rsidRPr="00C145D1">
        <w:rPr>
          <w:rFonts w:cstheme="minorHAnsi"/>
          <w:b/>
          <w:bCs/>
        </w:rPr>
        <w:lastRenderedPageBreak/>
        <w:t>C</w:t>
      </w:r>
      <w:r w:rsidRPr="00C145D1">
        <w:rPr>
          <w:rFonts w:cstheme="minorHAnsi"/>
          <w:b/>
          <w:bCs/>
          <w:spacing w:val="-1"/>
        </w:rPr>
        <w:t>o</w:t>
      </w:r>
      <w:r w:rsidRPr="00C145D1">
        <w:rPr>
          <w:rFonts w:cstheme="minorHAnsi"/>
          <w:b/>
          <w:bCs/>
          <w:spacing w:val="2"/>
        </w:rPr>
        <w:t>nf</w:t>
      </w:r>
      <w:r w:rsidRPr="00C145D1">
        <w:rPr>
          <w:rFonts w:cstheme="minorHAnsi"/>
          <w:b/>
          <w:bCs/>
        </w:rPr>
        <w:t>li</w:t>
      </w:r>
      <w:r w:rsidRPr="00C145D1">
        <w:rPr>
          <w:rFonts w:cstheme="minorHAnsi"/>
          <w:b/>
          <w:bCs/>
          <w:spacing w:val="-1"/>
        </w:rPr>
        <w:t>c</w:t>
      </w:r>
      <w:r w:rsidRPr="00C145D1">
        <w:rPr>
          <w:rFonts w:cstheme="minorHAnsi"/>
          <w:b/>
          <w:bCs/>
        </w:rPr>
        <w:t>t</w:t>
      </w:r>
      <w:r w:rsidRPr="00C145D1">
        <w:rPr>
          <w:rFonts w:cstheme="minorHAnsi"/>
          <w:b/>
          <w:bCs/>
          <w:spacing w:val="-1"/>
        </w:rPr>
        <w:t xml:space="preserve"> o</w:t>
      </w:r>
      <w:r w:rsidRPr="00C145D1">
        <w:rPr>
          <w:rFonts w:cstheme="minorHAnsi"/>
          <w:b/>
          <w:bCs/>
        </w:rPr>
        <w:t>f</w:t>
      </w:r>
      <w:r w:rsidRPr="00C145D1">
        <w:rPr>
          <w:rFonts w:cstheme="minorHAnsi"/>
          <w:b/>
          <w:bCs/>
          <w:spacing w:val="3"/>
        </w:rPr>
        <w:t xml:space="preserve"> </w:t>
      </w:r>
      <w:r w:rsidRPr="00C145D1">
        <w:rPr>
          <w:rFonts w:cstheme="minorHAnsi"/>
          <w:b/>
          <w:bCs/>
          <w:spacing w:val="-2"/>
        </w:rPr>
        <w:t>I</w:t>
      </w:r>
      <w:r w:rsidRPr="00C145D1">
        <w:rPr>
          <w:rFonts w:cstheme="minorHAnsi"/>
          <w:b/>
          <w:bCs/>
          <w:spacing w:val="1"/>
        </w:rPr>
        <w:t>n</w:t>
      </w:r>
      <w:r w:rsidRPr="00C145D1">
        <w:rPr>
          <w:rFonts w:cstheme="minorHAnsi"/>
          <w:b/>
          <w:bCs/>
          <w:spacing w:val="-1"/>
        </w:rPr>
        <w:t>tere</w:t>
      </w:r>
      <w:r w:rsidRPr="00C145D1">
        <w:rPr>
          <w:rFonts w:cstheme="minorHAnsi"/>
          <w:b/>
          <w:bCs/>
        </w:rPr>
        <w:t>st</w:t>
      </w:r>
    </w:p>
    <w:p w14:paraId="26331DAC" w14:textId="77777777" w:rsidR="00082DB7" w:rsidRPr="00A338E5" w:rsidRDefault="00082DB7" w:rsidP="00082DB7">
      <w:pPr>
        <w:widowControl w:val="0"/>
        <w:spacing w:after="60" w:line="240" w:lineRule="auto"/>
        <w:ind w:left="425" w:right="74" w:hanging="425"/>
        <w:jc w:val="both"/>
        <w:rPr>
          <w:rFonts w:cstheme="minorHAnsi"/>
        </w:rPr>
      </w:pPr>
      <w:r w:rsidRPr="00A338E5">
        <w:rPr>
          <w:rFonts w:cstheme="minorHAnsi"/>
        </w:rPr>
        <w:t>1.</w:t>
      </w:r>
      <w:r w:rsidRPr="00A338E5">
        <w:rPr>
          <w:rFonts w:cstheme="minorHAnsi"/>
        </w:rPr>
        <w:tab/>
        <w:t>All m</w:t>
      </w:r>
      <w:r w:rsidRPr="00A338E5">
        <w:rPr>
          <w:rFonts w:cstheme="minorHAnsi"/>
          <w:spacing w:val="-1"/>
        </w:rPr>
        <w:t>e</w:t>
      </w:r>
      <w:r w:rsidRPr="00A338E5">
        <w:rPr>
          <w:rFonts w:cstheme="minorHAnsi"/>
        </w:rPr>
        <w:t>m</w:t>
      </w:r>
      <w:r w:rsidRPr="00A338E5">
        <w:rPr>
          <w:rFonts w:cstheme="minorHAnsi"/>
          <w:spacing w:val="-1"/>
        </w:rPr>
        <w:t>b</w:t>
      </w:r>
      <w:r w:rsidRPr="00A338E5">
        <w:rPr>
          <w:rFonts w:cstheme="minorHAnsi"/>
        </w:rPr>
        <w:t>e</w:t>
      </w:r>
      <w:r w:rsidRPr="00A338E5">
        <w:rPr>
          <w:rFonts w:cstheme="minorHAnsi"/>
          <w:spacing w:val="-1"/>
        </w:rPr>
        <w:t>r</w:t>
      </w:r>
      <w:r w:rsidRPr="00A338E5">
        <w:rPr>
          <w:rFonts w:cstheme="minorHAnsi"/>
        </w:rPr>
        <w:t xml:space="preserve">s </w:t>
      </w:r>
      <w:r w:rsidRPr="00A338E5">
        <w:rPr>
          <w:rFonts w:cstheme="minorHAnsi"/>
          <w:spacing w:val="-1"/>
        </w:rPr>
        <w:t>n</w:t>
      </w:r>
      <w:r w:rsidRPr="00A338E5">
        <w:rPr>
          <w:rFonts w:cstheme="minorHAnsi"/>
          <w:spacing w:val="2"/>
        </w:rPr>
        <w:t>e</w:t>
      </w:r>
      <w:r w:rsidRPr="00A338E5">
        <w:rPr>
          <w:rFonts w:cstheme="minorHAnsi"/>
          <w:spacing w:val="-1"/>
        </w:rPr>
        <w:t>e</w:t>
      </w:r>
      <w:r w:rsidRPr="00A338E5">
        <w:rPr>
          <w:rFonts w:cstheme="minorHAnsi"/>
        </w:rPr>
        <w:t>d</w:t>
      </w:r>
      <w:r w:rsidRPr="00A338E5">
        <w:rPr>
          <w:rFonts w:cstheme="minorHAnsi"/>
          <w:spacing w:val="-1"/>
        </w:rPr>
        <w:t xml:space="preserve"> </w:t>
      </w:r>
      <w:r w:rsidRPr="00A338E5">
        <w:rPr>
          <w:rFonts w:cstheme="minorHAnsi"/>
          <w:spacing w:val="1"/>
        </w:rPr>
        <w:t>t</w:t>
      </w:r>
      <w:r w:rsidRPr="00A338E5">
        <w:rPr>
          <w:rFonts w:cstheme="minorHAnsi"/>
        </w:rPr>
        <w:t>o</w:t>
      </w:r>
      <w:r w:rsidRPr="00A338E5">
        <w:rPr>
          <w:rFonts w:cstheme="minorHAnsi"/>
          <w:spacing w:val="-1"/>
        </w:rPr>
        <w:t xml:space="preserve"> b</w:t>
      </w:r>
      <w:r w:rsidRPr="00A338E5">
        <w:rPr>
          <w:rFonts w:cstheme="minorHAnsi"/>
        </w:rPr>
        <w:t>e</w:t>
      </w:r>
      <w:r w:rsidRPr="00A338E5">
        <w:rPr>
          <w:rFonts w:cstheme="minorHAnsi"/>
          <w:spacing w:val="6"/>
        </w:rPr>
        <w:t xml:space="preserve"> </w:t>
      </w:r>
      <w:r w:rsidRPr="00A338E5">
        <w:rPr>
          <w:rFonts w:cstheme="minorHAnsi"/>
          <w:spacing w:val="-1"/>
        </w:rPr>
        <w:t>a</w:t>
      </w:r>
      <w:r w:rsidRPr="00A338E5">
        <w:rPr>
          <w:rFonts w:cstheme="minorHAnsi"/>
        </w:rPr>
        <w:t>w</w:t>
      </w:r>
      <w:r w:rsidRPr="00A338E5">
        <w:rPr>
          <w:rFonts w:cstheme="minorHAnsi"/>
          <w:spacing w:val="-1"/>
        </w:rPr>
        <w:t>a</w:t>
      </w:r>
      <w:r w:rsidRPr="00A338E5">
        <w:rPr>
          <w:rFonts w:cstheme="minorHAnsi"/>
          <w:spacing w:val="2"/>
        </w:rPr>
        <w:t>r</w:t>
      </w:r>
      <w:r w:rsidRPr="00A338E5">
        <w:rPr>
          <w:rFonts w:cstheme="minorHAnsi"/>
        </w:rPr>
        <w:t>e</w:t>
      </w:r>
      <w:r w:rsidRPr="00A338E5">
        <w:rPr>
          <w:rFonts w:cstheme="minorHAnsi"/>
          <w:spacing w:val="-1"/>
        </w:rPr>
        <w:t xml:space="preserve"> </w:t>
      </w:r>
      <w:r w:rsidRPr="00A338E5">
        <w:rPr>
          <w:rFonts w:cstheme="minorHAnsi"/>
        </w:rPr>
        <w:t>t</w:t>
      </w:r>
      <w:r w:rsidRPr="00A338E5">
        <w:rPr>
          <w:rFonts w:cstheme="minorHAnsi"/>
          <w:spacing w:val="-1"/>
        </w:rPr>
        <w:t>h</w:t>
      </w:r>
      <w:r w:rsidRPr="00A338E5">
        <w:rPr>
          <w:rFonts w:cstheme="minorHAnsi"/>
        </w:rPr>
        <w:t>at</w:t>
      </w:r>
      <w:r w:rsidRPr="00A338E5">
        <w:rPr>
          <w:rFonts w:cstheme="minorHAnsi"/>
          <w:spacing w:val="3"/>
        </w:rPr>
        <w:t xml:space="preserve"> </w:t>
      </w:r>
      <w:r w:rsidRPr="00A338E5">
        <w:rPr>
          <w:rFonts w:cstheme="minorHAnsi"/>
          <w:spacing w:val="-1"/>
        </w:rPr>
        <w:t>a</w:t>
      </w:r>
      <w:r w:rsidRPr="00A338E5">
        <w:rPr>
          <w:rFonts w:cstheme="minorHAnsi"/>
          <w:spacing w:val="5"/>
        </w:rPr>
        <w:t>n</w:t>
      </w:r>
      <w:r w:rsidRPr="00A338E5">
        <w:rPr>
          <w:rFonts w:cstheme="minorHAnsi"/>
        </w:rPr>
        <w:t>y</w:t>
      </w:r>
      <w:r w:rsidRPr="00A338E5">
        <w:rPr>
          <w:rFonts w:cstheme="minorHAnsi"/>
          <w:spacing w:val="-5"/>
        </w:rPr>
        <w:t xml:space="preserve"> </w:t>
      </w:r>
      <w:r w:rsidRPr="00A338E5">
        <w:rPr>
          <w:rFonts w:cstheme="minorHAnsi"/>
          <w:spacing w:val="-1"/>
        </w:rPr>
        <w:t>co</w:t>
      </w:r>
      <w:r w:rsidRPr="00A338E5">
        <w:rPr>
          <w:rFonts w:cstheme="minorHAnsi"/>
          <w:spacing w:val="3"/>
        </w:rPr>
        <w:t>n</w:t>
      </w:r>
      <w:r w:rsidRPr="00A338E5">
        <w:rPr>
          <w:rFonts w:cstheme="minorHAnsi"/>
          <w:spacing w:val="-1"/>
        </w:rPr>
        <w:t>f</w:t>
      </w:r>
      <w:r w:rsidRPr="00A338E5">
        <w:rPr>
          <w:rFonts w:cstheme="minorHAnsi"/>
        </w:rPr>
        <w:t>li</w:t>
      </w:r>
      <w:r w:rsidRPr="00A338E5">
        <w:rPr>
          <w:rFonts w:cstheme="minorHAnsi"/>
          <w:spacing w:val="-1"/>
        </w:rPr>
        <w:t>c</w:t>
      </w:r>
      <w:r w:rsidRPr="00A338E5">
        <w:rPr>
          <w:rFonts w:cstheme="minorHAnsi"/>
        </w:rPr>
        <w:t xml:space="preserve">t </w:t>
      </w:r>
      <w:r w:rsidRPr="00A338E5">
        <w:rPr>
          <w:rFonts w:cstheme="minorHAnsi"/>
          <w:spacing w:val="-1"/>
        </w:rPr>
        <w:t>o</w:t>
      </w:r>
      <w:r w:rsidRPr="00A338E5">
        <w:rPr>
          <w:rFonts w:cstheme="minorHAnsi"/>
        </w:rPr>
        <w:t>f</w:t>
      </w:r>
      <w:r w:rsidRPr="00A338E5">
        <w:rPr>
          <w:rFonts w:cstheme="minorHAnsi"/>
          <w:spacing w:val="3"/>
        </w:rPr>
        <w:t xml:space="preserve"> </w:t>
      </w:r>
      <w:r w:rsidRPr="00A338E5">
        <w:rPr>
          <w:rFonts w:cstheme="minorHAnsi"/>
        </w:rPr>
        <w:t>i</w:t>
      </w:r>
      <w:r w:rsidRPr="00A338E5">
        <w:rPr>
          <w:rFonts w:cstheme="minorHAnsi"/>
          <w:spacing w:val="-1"/>
        </w:rPr>
        <w:t>n</w:t>
      </w:r>
      <w:r w:rsidRPr="00A338E5">
        <w:rPr>
          <w:rFonts w:cstheme="minorHAnsi"/>
          <w:spacing w:val="1"/>
        </w:rPr>
        <w:t>t</w:t>
      </w:r>
      <w:r w:rsidRPr="00A338E5">
        <w:rPr>
          <w:rFonts w:cstheme="minorHAnsi"/>
          <w:spacing w:val="-1"/>
        </w:rPr>
        <w:t>ere</w:t>
      </w:r>
      <w:r w:rsidRPr="00A338E5">
        <w:rPr>
          <w:rFonts w:cstheme="minorHAnsi"/>
        </w:rPr>
        <w:t xml:space="preserve">st </w:t>
      </w:r>
      <w:r w:rsidRPr="00A338E5">
        <w:rPr>
          <w:rFonts w:cstheme="minorHAnsi"/>
          <w:spacing w:val="-1"/>
        </w:rPr>
        <w:t>n</w:t>
      </w:r>
      <w:r w:rsidRPr="00A338E5">
        <w:rPr>
          <w:rFonts w:cstheme="minorHAnsi"/>
          <w:spacing w:val="2"/>
        </w:rPr>
        <w:t>e</w:t>
      </w:r>
      <w:r w:rsidRPr="00A338E5">
        <w:rPr>
          <w:rFonts w:cstheme="minorHAnsi"/>
          <w:spacing w:val="-1"/>
        </w:rPr>
        <w:t xml:space="preserve">eds </w:t>
      </w:r>
      <w:r w:rsidRPr="00A338E5">
        <w:rPr>
          <w:rFonts w:cstheme="minorHAnsi"/>
        </w:rPr>
        <w:t>to</w:t>
      </w:r>
      <w:r w:rsidRPr="00A338E5">
        <w:rPr>
          <w:rFonts w:cstheme="minorHAnsi"/>
          <w:spacing w:val="1"/>
        </w:rPr>
        <w:t xml:space="preserve"> </w:t>
      </w:r>
      <w:r w:rsidRPr="00A338E5">
        <w:rPr>
          <w:rFonts w:cstheme="minorHAnsi"/>
          <w:spacing w:val="-1"/>
        </w:rPr>
        <w:t>b</w:t>
      </w:r>
      <w:r w:rsidRPr="00A338E5">
        <w:rPr>
          <w:rFonts w:cstheme="minorHAnsi"/>
        </w:rPr>
        <w:t>e</w:t>
      </w:r>
      <w:r w:rsidRPr="00A338E5">
        <w:rPr>
          <w:rFonts w:cstheme="minorHAnsi"/>
          <w:spacing w:val="1"/>
        </w:rPr>
        <w:t xml:space="preserve"> </w:t>
      </w:r>
      <w:r w:rsidRPr="00A338E5">
        <w:rPr>
          <w:rFonts w:cstheme="minorHAnsi"/>
          <w:spacing w:val="-1"/>
        </w:rPr>
        <w:t>rec</w:t>
      </w:r>
      <w:r w:rsidRPr="00A338E5">
        <w:rPr>
          <w:rFonts w:cstheme="minorHAnsi"/>
          <w:spacing w:val="2"/>
        </w:rPr>
        <w:t>o</w:t>
      </w:r>
      <w:r w:rsidRPr="00A338E5">
        <w:rPr>
          <w:rFonts w:cstheme="minorHAnsi"/>
          <w:spacing w:val="-2"/>
        </w:rPr>
        <w:t>g</w:t>
      </w:r>
      <w:r w:rsidRPr="00A338E5">
        <w:rPr>
          <w:rFonts w:cstheme="minorHAnsi"/>
          <w:spacing w:val="-1"/>
        </w:rPr>
        <w:t>n</w:t>
      </w:r>
      <w:r w:rsidRPr="00A338E5">
        <w:rPr>
          <w:rFonts w:cstheme="minorHAnsi"/>
          <w:spacing w:val="1"/>
        </w:rPr>
        <w:t>i</w:t>
      </w:r>
      <w:r w:rsidRPr="00A338E5">
        <w:rPr>
          <w:rFonts w:cstheme="minorHAnsi"/>
          <w:spacing w:val="3"/>
        </w:rPr>
        <w:t>s</w:t>
      </w:r>
      <w:r w:rsidRPr="00A338E5">
        <w:rPr>
          <w:rFonts w:cstheme="minorHAnsi"/>
          <w:spacing w:val="-1"/>
        </w:rPr>
        <w:t>ed</w:t>
      </w:r>
      <w:r w:rsidRPr="00A338E5">
        <w:rPr>
          <w:rFonts w:cstheme="minorHAnsi"/>
        </w:rPr>
        <w:t xml:space="preserve">. </w:t>
      </w:r>
      <w:r w:rsidRPr="00A338E5">
        <w:rPr>
          <w:rFonts w:cstheme="minorHAnsi"/>
          <w:spacing w:val="11"/>
        </w:rPr>
        <w:t xml:space="preserve"> </w:t>
      </w:r>
      <w:r w:rsidRPr="00A338E5">
        <w:rPr>
          <w:rFonts w:cstheme="minorHAnsi"/>
        </w:rPr>
        <w:t>On</w:t>
      </w:r>
      <w:r w:rsidRPr="00A338E5">
        <w:rPr>
          <w:rFonts w:cstheme="minorHAnsi"/>
          <w:spacing w:val="1"/>
        </w:rPr>
        <w:t xml:space="preserve"> </w:t>
      </w:r>
      <w:r w:rsidRPr="00A338E5">
        <w:rPr>
          <w:rFonts w:cstheme="minorHAnsi"/>
          <w:spacing w:val="2"/>
        </w:rPr>
        <w:t>r</w:t>
      </w:r>
      <w:r w:rsidRPr="00A338E5">
        <w:rPr>
          <w:rFonts w:cstheme="minorHAnsi"/>
          <w:spacing w:val="-1"/>
        </w:rPr>
        <w:t>e</w:t>
      </w:r>
      <w:r w:rsidRPr="00A338E5">
        <w:rPr>
          <w:rFonts w:cstheme="minorHAnsi"/>
          <w:spacing w:val="1"/>
        </w:rPr>
        <w:t>c</w:t>
      </w:r>
      <w:r w:rsidRPr="00A338E5">
        <w:rPr>
          <w:rFonts w:cstheme="minorHAnsi"/>
          <w:spacing w:val="-1"/>
        </w:rPr>
        <w:t>e</w:t>
      </w:r>
      <w:r w:rsidRPr="00A338E5">
        <w:rPr>
          <w:rFonts w:cstheme="minorHAnsi"/>
        </w:rPr>
        <w:t>i</w:t>
      </w:r>
      <w:r w:rsidRPr="00A338E5">
        <w:rPr>
          <w:rFonts w:cstheme="minorHAnsi"/>
          <w:spacing w:val="-1"/>
        </w:rPr>
        <w:t>p</w:t>
      </w:r>
      <w:r w:rsidRPr="00A338E5">
        <w:rPr>
          <w:rFonts w:cstheme="minorHAnsi"/>
        </w:rPr>
        <w:t>t</w:t>
      </w:r>
      <w:r w:rsidRPr="00A338E5">
        <w:rPr>
          <w:rFonts w:cstheme="minorHAnsi"/>
          <w:spacing w:val="2"/>
        </w:rPr>
        <w:t xml:space="preserve"> </w:t>
      </w:r>
      <w:r w:rsidRPr="00A338E5">
        <w:rPr>
          <w:rFonts w:cstheme="minorHAnsi"/>
          <w:spacing w:val="-1"/>
        </w:rPr>
        <w:t>o</w:t>
      </w:r>
      <w:r w:rsidRPr="00A338E5">
        <w:rPr>
          <w:rFonts w:cstheme="minorHAnsi"/>
        </w:rPr>
        <w:t>f</w:t>
      </w:r>
      <w:r w:rsidRPr="00A338E5">
        <w:rPr>
          <w:rFonts w:cstheme="minorHAnsi"/>
          <w:spacing w:val="1"/>
        </w:rPr>
        <w:t xml:space="preserve"> </w:t>
      </w:r>
      <w:r w:rsidRPr="00A338E5">
        <w:rPr>
          <w:rFonts w:cstheme="minorHAnsi"/>
        </w:rPr>
        <w:t>t</w:t>
      </w:r>
      <w:r w:rsidRPr="00A338E5">
        <w:rPr>
          <w:rFonts w:cstheme="minorHAnsi"/>
          <w:spacing w:val="-1"/>
        </w:rPr>
        <w:t>h</w:t>
      </w:r>
      <w:r w:rsidRPr="00A338E5">
        <w:rPr>
          <w:rFonts w:cstheme="minorHAnsi"/>
        </w:rPr>
        <w:t>e</w:t>
      </w:r>
      <w:r>
        <w:rPr>
          <w:rFonts w:cstheme="minorHAnsi"/>
          <w:spacing w:val="1"/>
        </w:rPr>
        <w:t xml:space="preserve"> </w:t>
      </w:r>
      <w:proofErr w:type="gramStart"/>
      <w:r>
        <w:rPr>
          <w:rFonts w:cstheme="minorHAnsi"/>
          <w:spacing w:val="1"/>
        </w:rPr>
        <w:t>A</w:t>
      </w:r>
      <w:r w:rsidRPr="00A338E5">
        <w:rPr>
          <w:rFonts w:cstheme="minorHAnsi"/>
          <w:spacing w:val="-2"/>
        </w:rPr>
        <w:t>g</w:t>
      </w:r>
      <w:r w:rsidRPr="00A338E5">
        <w:rPr>
          <w:rFonts w:cstheme="minorHAnsi"/>
          <w:spacing w:val="-1"/>
        </w:rPr>
        <w:t>en</w:t>
      </w:r>
      <w:r w:rsidRPr="00A338E5">
        <w:rPr>
          <w:rFonts w:cstheme="minorHAnsi"/>
          <w:spacing w:val="3"/>
        </w:rPr>
        <w:t>d</w:t>
      </w:r>
      <w:r w:rsidRPr="00A338E5">
        <w:rPr>
          <w:rFonts w:cstheme="minorHAnsi"/>
          <w:spacing w:val="-1"/>
        </w:rPr>
        <w:t>a</w:t>
      </w:r>
      <w:proofErr w:type="gramEnd"/>
      <w:r w:rsidRPr="00A338E5">
        <w:rPr>
          <w:rFonts w:cstheme="minorHAnsi"/>
        </w:rPr>
        <w:t>,</w:t>
      </w:r>
      <w:r w:rsidRPr="00A338E5">
        <w:rPr>
          <w:rFonts w:cstheme="minorHAnsi"/>
          <w:spacing w:val="1"/>
        </w:rPr>
        <w:t xml:space="preserve"> </w:t>
      </w:r>
      <w:r w:rsidRPr="00A338E5">
        <w:rPr>
          <w:rFonts w:cstheme="minorHAnsi"/>
        </w:rPr>
        <w:t>if</w:t>
      </w:r>
      <w:r w:rsidRPr="00A338E5">
        <w:rPr>
          <w:rFonts w:cstheme="minorHAnsi"/>
          <w:spacing w:val="2"/>
        </w:rPr>
        <w:t xml:space="preserve"> </w:t>
      </w:r>
      <w:r w:rsidRPr="00A338E5">
        <w:rPr>
          <w:rFonts w:cstheme="minorHAnsi"/>
        </w:rPr>
        <w:t>a m</w:t>
      </w:r>
      <w:r w:rsidRPr="00A338E5">
        <w:rPr>
          <w:rFonts w:cstheme="minorHAnsi"/>
          <w:spacing w:val="-1"/>
        </w:rPr>
        <w:t>e</w:t>
      </w:r>
      <w:r w:rsidRPr="00A338E5">
        <w:rPr>
          <w:rFonts w:cstheme="minorHAnsi"/>
        </w:rPr>
        <w:t>m</w:t>
      </w:r>
      <w:r w:rsidRPr="00A338E5">
        <w:rPr>
          <w:rFonts w:cstheme="minorHAnsi"/>
          <w:spacing w:val="-1"/>
        </w:rPr>
        <w:t>b</w:t>
      </w:r>
      <w:r w:rsidRPr="00A338E5">
        <w:rPr>
          <w:rFonts w:cstheme="minorHAnsi"/>
        </w:rPr>
        <w:t xml:space="preserve">er </w:t>
      </w:r>
      <w:r w:rsidRPr="00A338E5">
        <w:rPr>
          <w:rFonts w:cstheme="minorHAnsi"/>
          <w:spacing w:val="-1"/>
        </w:rPr>
        <w:t>h</w:t>
      </w:r>
      <w:r w:rsidRPr="00A338E5">
        <w:rPr>
          <w:rFonts w:cstheme="minorHAnsi"/>
        </w:rPr>
        <w:t>as</w:t>
      </w:r>
      <w:r w:rsidRPr="00A338E5">
        <w:rPr>
          <w:rFonts w:cstheme="minorHAnsi"/>
          <w:spacing w:val="3"/>
        </w:rPr>
        <w:t xml:space="preserve"> </w:t>
      </w:r>
      <w:r w:rsidRPr="00A338E5">
        <w:rPr>
          <w:rFonts w:cstheme="minorHAnsi"/>
          <w:spacing w:val="-1"/>
        </w:rPr>
        <w:t xml:space="preserve">an </w:t>
      </w:r>
      <w:r w:rsidRPr="00A338E5">
        <w:rPr>
          <w:rFonts w:cstheme="minorHAnsi"/>
        </w:rPr>
        <w:t>i</w:t>
      </w:r>
      <w:r w:rsidRPr="00A338E5">
        <w:rPr>
          <w:rFonts w:cstheme="minorHAnsi"/>
          <w:spacing w:val="-1"/>
        </w:rPr>
        <w:t>n</w:t>
      </w:r>
      <w:r w:rsidRPr="00A338E5">
        <w:rPr>
          <w:rFonts w:cstheme="minorHAnsi"/>
          <w:spacing w:val="1"/>
        </w:rPr>
        <w:t>t</w:t>
      </w:r>
      <w:r w:rsidRPr="00A338E5">
        <w:rPr>
          <w:rFonts w:cstheme="minorHAnsi"/>
          <w:spacing w:val="-1"/>
        </w:rPr>
        <w:t>ere</w:t>
      </w:r>
      <w:r w:rsidRPr="00A338E5">
        <w:rPr>
          <w:rFonts w:cstheme="minorHAnsi"/>
        </w:rPr>
        <w:t>st</w:t>
      </w:r>
      <w:r w:rsidRPr="00A338E5">
        <w:rPr>
          <w:rFonts w:cstheme="minorHAnsi"/>
          <w:spacing w:val="2"/>
        </w:rPr>
        <w:t xml:space="preserve"> </w:t>
      </w:r>
      <w:r w:rsidRPr="00A338E5">
        <w:rPr>
          <w:rFonts w:cstheme="minorHAnsi"/>
        </w:rPr>
        <w:t>in</w:t>
      </w:r>
      <w:r w:rsidRPr="00A338E5">
        <w:rPr>
          <w:rFonts w:cstheme="minorHAnsi"/>
          <w:spacing w:val="2"/>
        </w:rPr>
        <w:t xml:space="preserve"> </w:t>
      </w:r>
      <w:r w:rsidRPr="00A338E5">
        <w:rPr>
          <w:rFonts w:cstheme="minorHAnsi"/>
        </w:rPr>
        <w:t>the m</w:t>
      </w:r>
      <w:r w:rsidRPr="00A338E5">
        <w:rPr>
          <w:rFonts w:cstheme="minorHAnsi"/>
          <w:spacing w:val="-1"/>
        </w:rPr>
        <w:t>a</w:t>
      </w:r>
      <w:r w:rsidRPr="00A338E5">
        <w:rPr>
          <w:rFonts w:cstheme="minorHAnsi"/>
        </w:rPr>
        <w:t>tt</w:t>
      </w:r>
      <w:r w:rsidRPr="00A338E5">
        <w:rPr>
          <w:rFonts w:cstheme="minorHAnsi"/>
          <w:spacing w:val="-1"/>
        </w:rPr>
        <w:t>er</w:t>
      </w:r>
      <w:r w:rsidRPr="00A338E5">
        <w:rPr>
          <w:rFonts w:cstheme="minorHAnsi"/>
        </w:rPr>
        <w:t>,</w:t>
      </w:r>
      <w:r w:rsidRPr="00A338E5">
        <w:rPr>
          <w:rFonts w:cstheme="minorHAnsi"/>
          <w:spacing w:val="2"/>
        </w:rPr>
        <w:t xml:space="preserve"> </w:t>
      </w:r>
      <w:r w:rsidRPr="00A338E5">
        <w:rPr>
          <w:rFonts w:cstheme="minorHAnsi"/>
        </w:rPr>
        <w:t>th</w:t>
      </w:r>
      <w:r w:rsidRPr="00A338E5">
        <w:rPr>
          <w:rFonts w:cstheme="minorHAnsi"/>
          <w:spacing w:val="-4"/>
        </w:rPr>
        <w:t>e</w:t>
      </w:r>
      <w:r w:rsidRPr="00A338E5">
        <w:rPr>
          <w:rFonts w:cstheme="minorHAnsi"/>
        </w:rPr>
        <w:t>n</w:t>
      </w:r>
      <w:r w:rsidRPr="00A338E5">
        <w:rPr>
          <w:rFonts w:cstheme="minorHAnsi"/>
          <w:spacing w:val="2"/>
        </w:rPr>
        <w:t xml:space="preserve"> </w:t>
      </w:r>
      <w:r w:rsidRPr="00A338E5">
        <w:rPr>
          <w:rFonts w:cstheme="minorHAnsi"/>
        </w:rPr>
        <w:t>the m</w:t>
      </w:r>
      <w:r w:rsidRPr="00A338E5">
        <w:rPr>
          <w:rFonts w:cstheme="minorHAnsi"/>
          <w:spacing w:val="-1"/>
        </w:rPr>
        <w:t>e</w:t>
      </w:r>
      <w:r w:rsidRPr="00A338E5">
        <w:rPr>
          <w:rFonts w:cstheme="minorHAnsi"/>
        </w:rPr>
        <w:t>mb</w:t>
      </w:r>
      <w:r w:rsidRPr="00A338E5">
        <w:rPr>
          <w:rFonts w:cstheme="minorHAnsi"/>
          <w:spacing w:val="-1"/>
        </w:rPr>
        <w:t>e</w:t>
      </w:r>
      <w:r w:rsidRPr="00A338E5">
        <w:rPr>
          <w:rFonts w:cstheme="minorHAnsi"/>
        </w:rPr>
        <w:t>r</w:t>
      </w:r>
      <w:r w:rsidRPr="00A338E5">
        <w:rPr>
          <w:rFonts w:cstheme="minorHAnsi"/>
          <w:spacing w:val="1"/>
        </w:rPr>
        <w:t xml:space="preserve"> </w:t>
      </w:r>
      <w:r w:rsidRPr="00A338E5">
        <w:rPr>
          <w:rFonts w:cstheme="minorHAnsi"/>
        </w:rPr>
        <w:t>is</w:t>
      </w:r>
      <w:r w:rsidRPr="00A338E5">
        <w:rPr>
          <w:rFonts w:cstheme="minorHAnsi"/>
          <w:spacing w:val="2"/>
        </w:rPr>
        <w:t xml:space="preserve"> </w:t>
      </w:r>
      <w:r w:rsidRPr="00A338E5">
        <w:rPr>
          <w:rFonts w:cstheme="minorHAnsi"/>
          <w:spacing w:val="-1"/>
        </w:rPr>
        <w:t>re</w:t>
      </w:r>
      <w:r w:rsidRPr="00A338E5">
        <w:rPr>
          <w:rFonts w:cstheme="minorHAnsi"/>
        </w:rPr>
        <w:t>qui</w:t>
      </w:r>
      <w:r w:rsidRPr="00A338E5">
        <w:rPr>
          <w:rFonts w:cstheme="minorHAnsi"/>
          <w:spacing w:val="-1"/>
        </w:rPr>
        <w:t>re</w:t>
      </w:r>
      <w:r w:rsidRPr="00A338E5">
        <w:rPr>
          <w:rFonts w:cstheme="minorHAnsi"/>
        </w:rPr>
        <w:t>d</w:t>
      </w:r>
      <w:r w:rsidRPr="00A338E5">
        <w:rPr>
          <w:rFonts w:cstheme="minorHAnsi"/>
          <w:spacing w:val="2"/>
        </w:rPr>
        <w:t xml:space="preserve"> </w:t>
      </w:r>
      <w:r w:rsidRPr="00A338E5">
        <w:rPr>
          <w:rFonts w:cstheme="minorHAnsi"/>
        </w:rPr>
        <w:t>to</w:t>
      </w:r>
      <w:r w:rsidRPr="00A338E5">
        <w:rPr>
          <w:rFonts w:cstheme="minorHAnsi"/>
          <w:spacing w:val="2"/>
        </w:rPr>
        <w:t xml:space="preserve"> </w:t>
      </w:r>
      <w:r w:rsidRPr="00A338E5">
        <w:rPr>
          <w:rFonts w:cstheme="minorHAnsi"/>
        </w:rPr>
        <w:t>d</w:t>
      </w:r>
      <w:r w:rsidRPr="00A338E5">
        <w:rPr>
          <w:rFonts w:cstheme="minorHAnsi"/>
          <w:spacing w:val="-1"/>
        </w:rPr>
        <w:t>ec</w:t>
      </w:r>
      <w:r w:rsidRPr="00A338E5">
        <w:rPr>
          <w:rFonts w:cstheme="minorHAnsi"/>
        </w:rPr>
        <w:t>l</w:t>
      </w:r>
      <w:r w:rsidRPr="00A338E5">
        <w:rPr>
          <w:rFonts w:cstheme="minorHAnsi"/>
          <w:spacing w:val="-1"/>
        </w:rPr>
        <w:t>ar</w:t>
      </w:r>
      <w:r w:rsidRPr="00A338E5">
        <w:rPr>
          <w:rFonts w:cstheme="minorHAnsi"/>
        </w:rPr>
        <w:t>e</w:t>
      </w:r>
      <w:r w:rsidRPr="00A338E5">
        <w:rPr>
          <w:rFonts w:cstheme="minorHAnsi"/>
          <w:spacing w:val="1"/>
        </w:rPr>
        <w:t xml:space="preserve"> </w:t>
      </w:r>
      <w:r w:rsidRPr="00A338E5">
        <w:rPr>
          <w:rFonts w:cstheme="minorHAnsi"/>
        </w:rPr>
        <w:t>the i</w:t>
      </w:r>
      <w:r w:rsidRPr="00A338E5">
        <w:rPr>
          <w:rFonts w:cstheme="minorHAnsi"/>
          <w:spacing w:val="-1"/>
        </w:rPr>
        <w:t>n</w:t>
      </w:r>
      <w:r w:rsidRPr="00A338E5">
        <w:rPr>
          <w:rFonts w:cstheme="minorHAnsi"/>
          <w:spacing w:val="1"/>
        </w:rPr>
        <w:t>t</w:t>
      </w:r>
      <w:r w:rsidRPr="00A338E5">
        <w:rPr>
          <w:rFonts w:cstheme="minorHAnsi"/>
          <w:spacing w:val="-1"/>
        </w:rPr>
        <w:t>ere</w:t>
      </w:r>
      <w:r w:rsidRPr="00A338E5">
        <w:rPr>
          <w:rFonts w:cstheme="minorHAnsi"/>
        </w:rPr>
        <w:t>st.</w:t>
      </w:r>
    </w:p>
    <w:p w14:paraId="12061552" w14:textId="77777777" w:rsidR="00082DB7" w:rsidRPr="00A338E5" w:rsidRDefault="00082DB7" w:rsidP="00082DB7">
      <w:pPr>
        <w:widowControl w:val="0"/>
        <w:tabs>
          <w:tab w:val="left" w:pos="1985"/>
        </w:tabs>
        <w:spacing w:after="0" w:line="240" w:lineRule="auto"/>
        <w:ind w:left="426" w:right="75" w:hanging="426"/>
        <w:jc w:val="both"/>
        <w:rPr>
          <w:rFonts w:cstheme="minorHAnsi"/>
        </w:rPr>
      </w:pPr>
      <w:r w:rsidRPr="00A338E5">
        <w:rPr>
          <w:rFonts w:cstheme="minorHAnsi"/>
        </w:rPr>
        <w:t>2.</w:t>
      </w:r>
      <w:r w:rsidRPr="00A338E5">
        <w:rPr>
          <w:rFonts w:cstheme="minorHAnsi"/>
        </w:rPr>
        <w:tab/>
        <w:t>A</w:t>
      </w:r>
      <w:r w:rsidRPr="00A338E5">
        <w:rPr>
          <w:rFonts w:cstheme="minorHAnsi"/>
          <w:spacing w:val="2"/>
        </w:rPr>
        <w:t>n</w:t>
      </w:r>
      <w:r w:rsidRPr="00A338E5">
        <w:rPr>
          <w:rFonts w:cstheme="minorHAnsi"/>
        </w:rPr>
        <w:t>y</w:t>
      </w:r>
      <w:r w:rsidRPr="00A338E5">
        <w:rPr>
          <w:rFonts w:cstheme="minorHAnsi"/>
          <w:spacing w:val="53"/>
        </w:rPr>
        <w:t xml:space="preserve"> </w:t>
      </w:r>
      <w:r w:rsidRPr="00A338E5">
        <w:rPr>
          <w:rFonts w:cstheme="minorHAnsi"/>
        </w:rPr>
        <w:t>p</w:t>
      </w:r>
      <w:r w:rsidRPr="00A338E5">
        <w:rPr>
          <w:rFonts w:cstheme="minorHAnsi"/>
          <w:spacing w:val="-1"/>
        </w:rPr>
        <w:t>er</w:t>
      </w:r>
      <w:r w:rsidRPr="00A338E5">
        <w:rPr>
          <w:rFonts w:cstheme="minorHAnsi"/>
        </w:rPr>
        <w:t>son</w:t>
      </w:r>
      <w:r w:rsidRPr="00A338E5">
        <w:rPr>
          <w:rFonts w:cstheme="minorHAnsi"/>
          <w:spacing w:val="58"/>
        </w:rPr>
        <w:t xml:space="preserve"> </w:t>
      </w:r>
      <w:r w:rsidRPr="00A338E5">
        <w:rPr>
          <w:rFonts w:cstheme="minorHAnsi"/>
        </w:rPr>
        <w:t>who</w:t>
      </w:r>
      <w:r w:rsidRPr="00A338E5">
        <w:rPr>
          <w:rFonts w:cstheme="minorHAnsi"/>
          <w:spacing w:val="55"/>
        </w:rPr>
        <w:t xml:space="preserve"> </w:t>
      </w:r>
      <w:r w:rsidRPr="00A338E5">
        <w:rPr>
          <w:rFonts w:cstheme="minorHAnsi"/>
        </w:rPr>
        <w:t>h</w:t>
      </w:r>
      <w:r w:rsidRPr="00A338E5">
        <w:rPr>
          <w:rFonts w:cstheme="minorHAnsi"/>
          <w:spacing w:val="-1"/>
        </w:rPr>
        <w:t>a</w:t>
      </w:r>
      <w:r w:rsidRPr="00A338E5">
        <w:rPr>
          <w:rFonts w:cstheme="minorHAnsi"/>
        </w:rPr>
        <w:t>s</w:t>
      </w:r>
      <w:r w:rsidRPr="00A338E5">
        <w:rPr>
          <w:rFonts w:cstheme="minorHAnsi"/>
          <w:spacing w:val="58"/>
        </w:rPr>
        <w:t xml:space="preserve"> </w:t>
      </w:r>
      <w:r w:rsidRPr="00A338E5">
        <w:rPr>
          <w:rFonts w:cstheme="minorHAnsi"/>
        </w:rPr>
        <w:t>a</w:t>
      </w:r>
      <w:r w:rsidRPr="00A338E5">
        <w:rPr>
          <w:rFonts w:cstheme="minorHAnsi"/>
          <w:spacing w:val="57"/>
        </w:rPr>
        <w:t xml:space="preserve"> </w:t>
      </w:r>
      <w:r w:rsidRPr="00A338E5">
        <w:rPr>
          <w:rFonts w:cstheme="minorHAnsi"/>
          <w:spacing w:val="-1"/>
        </w:rPr>
        <w:t>f</w:t>
      </w:r>
      <w:r w:rsidRPr="00A338E5">
        <w:rPr>
          <w:rFonts w:cstheme="minorHAnsi"/>
        </w:rPr>
        <w:t>in</w:t>
      </w:r>
      <w:r w:rsidRPr="00A338E5">
        <w:rPr>
          <w:rFonts w:cstheme="minorHAnsi"/>
          <w:spacing w:val="-1"/>
        </w:rPr>
        <w:t>a</w:t>
      </w:r>
      <w:r w:rsidRPr="00A338E5">
        <w:rPr>
          <w:rFonts w:cstheme="minorHAnsi"/>
        </w:rPr>
        <w:t>n</w:t>
      </w:r>
      <w:r w:rsidRPr="00A338E5">
        <w:rPr>
          <w:rFonts w:cstheme="minorHAnsi"/>
          <w:spacing w:val="-1"/>
        </w:rPr>
        <w:t>c</w:t>
      </w:r>
      <w:r w:rsidRPr="00A338E5">
        <w:rPr>
          <w:rFonts w:cstheme="minorHAnsi"/>
        </w:rPr>
        <w:t>i</w:t>
      </w:r>
      <w:r w:rsidRPr="00A338E5">
        <w:rPr>
          <w:rFonts w:cstheme="minorHAnsi"/>
          <w:spacing w:val="-1"/>
        </w:rPr>
        <w:t>a</w:t>
      </w:r>
      <w:r w:rsidRPr="00A338E5">
        <w:rPr>
          <w:rFonts w:cstheme="minorHAnsi"/>
        </w:rPr>
        <w:t>l</w:t>
      </w:r>
      <w:r w:rsidRPr="00A338E5">
        <w:rPr>
          <w:rFonts w:cstheme="minorHAnsi"/>
          <w:spacing w:val="58"/>
        </w:rPr>
        <w:t xml:space="preserve"> </w:t>
      </w:r>
      <w:r w:rsidRPr="00A338E5">
        <w:rPr>
          <w:rFonts w:cstheme="minorHAnsi"/>
          <w:spacing w:val="-1"/>
        </w:rPr>
        <w:t>a</w:t>
      </w:r>
      <w:r w:rsidRPr="00A338E5">
        <w:rPr>
          <w:rFonts w:cstheme="minorHAnsi"/>
        </w:rPr>
        <w:t>nd</w:t>
      </w:r>
      <w:r w:rsidRPr="00A338E5">
        <w:rPr>
          <w:rFonts w:cstheme="minorHAnsi"/>
          <w:spacing w:val="55"/>
        </w:rPr>
        <w:t xml:space="preserve"> </w:t>
      </w:r>
      <w:r w:rsidRPr="00A338E5">
        <w:rPr>
          <w:rFonts w:cstheme="minorHAnsi"/>
          <w:spacing w:val="2"/>
        </w:rPr>
        <w:t>p</w:t>
      </w:r>
      <w:r w:rsidRPr="00A338E5">
        <w:rPr>
          <w:rFonts w:cstheme="minorHAnsi"/>
          <w:spacing w:val="-1"/>
        </w:rPr>
        <w:t>r</w:t>
      </w:r>
      <w:r w:rsidRPr="00A338E5">
        <w:rPr>
          <w:rFonts w:cstheme="minorHAnsi"/>
        </w:rPr>
        <w:t>o</w:t>
      </w:r>
      <w:r w:rsidRPr="00A338E5">
        <w:rPr>
          <w:rFonts w:cstheme="minorHAnsi"/>
          <w:spacing w:val="2"/>
        </w:rPr>
        <w:t>x</w:t>
      </w:r>
      <w:r w:rsidRPr="00A338E5">
        <w:rPr>
          <w:rFonts w:cstheme="minorHAnsi"/>
        </w:rPr>
        <w:t>imi</w:t>
      </w:r>
      <w:r w:rsidRPr="00A338E5">
        <w:rPr>
          <w:rFonts w:cstheme="minorHAnsi"/>
          <w:spacing w:val="-2"/>
        </w:rPr>
        <w:t>t</w:t>
      </w:r>
      <w:r w:rsidRPr="00A338E5">
        <w:rPr>
          <w:rFonts w:cstheme="minorHAnsi"/>
        </w:rPr>
        <w:t>y</w:t>
      </w:r>
      <w:r w:rsidRPr="00A338E5">
        <w:rPr>
          <w:rFonts w:cstheme="minorHAnsi"/>
          <w:spacing w:val="53"/>
        </w:rPr>
        <w:t xml:space="preserve"> </w:t>
      </w:r>
      <w:r w:rsidRPr="00A338E5">
        <w:rPr>
          <w:rFonts w:cstheme="minorHAnsi"/>
        </w:rPr>
        <w:t>int</w:t>
      </w:r>
      <w:r w:rsidRPr="00A338E5">
        <w:rPr>
          <w:rFonts w:cstheme="minorHAnsi"/>
          <w:spacing w:val="1"/>
        </w:rPr>
        <w:t>e</w:t>
      </w:r>
      <w:r w:rsidRPr="00A338E5">
        <w:rPr>
          <w:rFonts w:cstheme="minorHAnsi"/>
          <w:spacing w:val="-1"/>
        </w:rPr>
        <w:t>re</w:t>
      </w:r>
      <w:r w:rsidRPr="00A338E5">
        <w:rPr>
          <w:rFonts w:cstheme="minorHAnsi"/>
        </w:rPr>
        <w:t>st</w:t>
      </w:r>
      <w:r w:rsidRPr="00A338E5">
        <w:rPr>
          <w:rFonts w:cstheme="minorHAnsi"/>
          <w:spacing w:val="56"/>
        </w:rPr>
        <w:t xml:space="preserve"> </w:t>
      </w:r>
      <w:r w:rsidRPr="00A338E5">
        <w:rPr>
          <w:rFonts w:cstheme="minorHAnsi"/>
        </w:rPr>
        <w:t>in</w:t>
      </w:r>
      <w:r w:rsidRPr="00A338E5">
        <w:rPr>
          <w:rFonts w:cstheme="minorHAnsi"/>
          <w:spacing w:val="58"/>
        </w:rPr>
        <w:t xml:space="preserve"> </w:t>
      </w:r>
      <w:r w:rsidRPr="00A338E5">
        <w:rPr>
          <w:rFonts w:cstheme="minorHAnsi"/>
        </w:rPr>
        <w:t>a m</w:t>
      </w:r>
      <w:r w:rsidRPr="00A338E5">
        <w:rPr>
          <w:rFonts w:cstheme="minorHAnsi"/>
          <w:spacing w:val="-1"/>
        </w:rPr>
        <w:t>a</w:t>
      </w:r>
      <w:r w:rsidRPr="00A338E5">
        <w:rPr>
          <w:rFonts w:cstheme="minorHAnsi"/>
        </w:rPr>
        <w:t>tt</w:t>
      </w:r>
      <w:r w:rsidRPr="00A338E5">
        <w:rPr>
          <w:rFonts w:cstheme="minorHAnsi"/>
          <w:spacing w:val="-1"/>
        </w:rPr>
        <w:t>e</w:t>
      </w:r>
      <w:r w:rsidRPr="00A338E5">
        <w:rPr>
          <w:rFonts w:cstheme="minorHAnsi"/>
        </w:rPr>
        <w:t>r sh</w:t>
      </w:r>
      <w:r w:rsidRPr="00A338E5">
        <w:rPr>
          <w:rFonts w:cstheme="minorHAnsi"/>
          <w:spacing w:val="-1"/>
        </w:rPr>
        <w:t>a</w:t>
      </w:r>
      <w:r w:rsidRPr="00A338E5">
        <w:rPr>
          <w:rFonts w:cstheme="minorHAnsi"/>
        </w:rPr>
        <w:t>ll</w:t>
      </w:r>
      <w:r w:rsidRPr="00A338E5">
        <w:rPr>
          <w:rFonts w:cstheme="minorHAnsi"/>
          <w:spacing w:val="1"/>
        </w:rPr>
        <w:t xml:space="preserve"> </w:t>
      </w:r>
      <w:r w:rsidRPr="00A338E5">
        <w:rPr>
          <w:rFonts w:cstheme="minorHAnsi"/>
          <w:spacing w:val="-1"/>
        </w:rPr>
        <w:t>e</w:t>
      </w:r>
      <w:r w:rsidRPr="00A338E5">
        <w:rPr>
          <w:rFonts w:cstheme="minorHAnsi"/>
          <w:spacing w:val="2"/>
        </w:rPr>
        <w:t>x</w:t>
      </w:r>
      <w:r w:rsidRPr="00A338E5">
        <w:rPr>
          <w:rFonts w:cstheme="minorHAnsi"/>
          <w:spacing w:val="-1"/>
        </w:rPr>
        <w:t>c</w:t>
      </w:r>
      <w:r w:rsidRPr="00A338E5">
        <w:rPr>
          <w:rFonts w:cstheme="minorHAnsi"/>
        </w:rPr>
        <w:t xml:space="preserve">lude </w:t>
      </w:r>
      <w:r w:rsidRPr="00A338E5">
        <w:rPr>
          <w:rFonts w:cstheme="minorHAnsi"/>
          <w:spacing w:val="3"/>
        </w:rPr>
        <w:t>t</w:t>
      </w:r>
      <w:r w:rsidRPr="00A338E5">
        <w:rPr>
          <w:rFonts w:cstheme="minorHAnsi"/>
        </w:rPr>
        <w:t>h</w:t>
      </w:r>
      <w:r w:rsidRPr="00A338E5">
        <w:rPr>
          <w:rFonts w:cstheme="minorHAnsi"/>
          <w:spacing w:val="-1"/>
        </w:rPr>
        <w:t>e</w:t>
      </w:r>
      <w:r w:rsidRPr="00A338E5">
        <w:rPr>
          <w:rFonts w:cstheme="minorHAnsi"/>
        </w:rPr>
        <w:t>ms</w:t>
      </w:r>
      <w:r w:rsidRPr="00A338E5">
        <w:rPr>
          <w:rFonts w:cstheme="minorHAnsi"/>
          <w:spacing w:val="-1"/>
        </w:rPr>
        <w:t>e</w:t>
      </w:r>
      <w:r w:rsidRPr="00A338E5">
        <w:rPr>
          <w:rFonts w:cstheme="minorHAnsi"/>
        </w:rPr>
        <w:t>lv</w:t>
      </w:r>
      <w:r w:rsidRPr="00A338E5">
        <w:rPr>
          <w:rFonts w:cstheme="minorHAnsi"/>
          <w:spacing w:val="-1"/>
        </w:rPr>
        <w:t>e</w:t>
      </w:r>
      <w:r w:rsidRPr="00A338E5">
        <w:rPr>
          <w:rFonts w:cstheme="minorHAnsi"/>
        </w:rPr>
        <w:t>s</w:t>
      </w:r>
      <w:r w:rsidRPr="00A338E5">
        <w:rPr>
          <w:rFonts w:cstheme="minorHAnsi"/>
          <w:spacing w:val="1"/>
        </w:rPr>
        <w:t xml:space="preserve"> </w:t>
      </w:r>
      <w:r w:rsidRPr="00A338E5">
        <w:rPr>
          <w:rFonts w:cstheme="minorHAnsi"/>
          <w:spacing w:val="-1"/>
        </w:rPr>
        <w:t>fr</w:t>
      </w:r>
      <w:r w:rsidRPr="00A338E5">
        <w:rPr>
          <w:rFonts w:cstheme="minorHAnsi"/>
        </w:rPr>
        <w:t>om</w:t>
      </w:r>
      <w:r w:rsidRPr="00A338E5">
        <w:rPr>
          <w:rFonts w:cstheme="minorHAnsi"/>
          <w:spacing w:val="1"/>
        </w:rPr>
        <w:t xml:space="preserve"> </w:t>
      </w:r>
      <w:r w:rsidRPr="00A338E5">
        <w:rPr>
          <w:rFonts w:cstheme="minorHAnsi"/>
        </w:rPr>
        <w:t>t</w:t>
      </w:r>
      <w:r w:rsidRPr="00A338E5">
        <w:rPr>
          <w:rFonts w:cstheme="minorHAnsi"/>
          <w:spacing w:val="2"/>
        </w:rPr>
        <w:t>h</w:t>
      </w:r>
      <w:r w:rsidRPr="00A338E5">
        <w:rPr>
          <w:rFonts w:cstheme="minorHAnsi"/>
        </w:rPr>
        <w:t xml:space="preserve">e </w:t>
      </w:r>
      <w:r w:rsidRPr="00A338E5">
        <w:rPr>
          <w:rFonts w:cstheme="minorHAnsi"/>
          <w:spacing w:val="2"/>
        </w:rPr>
        <w:t>r</w:t>
      </w:r>
      <w:r w:rsidRPr="00A338E5">
        <w:rPr>
          <w:rFonts w:cstheme="minorHAnsi"/>
        </w:rPr>
        <w:t>oom</w:t>
      </w:r>
      <w:r w:rsidRPr="00A338E5">
        <w:rPr>
          <w:rFonts w:cstheme="minorHAnsi"/>
          <w:spacing w:val="1"/>
        </w:rPr>
        <w:t xml:space="preserve"> </w:t>
      </w:r>
      <w:r w:rsidRPr="00A338E5">
        <w:rPr>
          <w:rFonts w:cstheme="minorHAnsi"/>
          <w:spacing w:val="-1"/>
        </w:rPr>
        <w:t>a</w:t>
      </w:r>
      <w:r w:rsidRPr="00A338E5">
        <w:rPr>
          <w:rFonts w:cstheme="minorHAnsi"/>
        </w:rPr>
        <w:t>nd</w:t>
      </w:r>
      <w:r w:rsidRPr="00A338E5">
        <w:rPr>
          <w:rFonts w:cstheme="minorHAnsi"/>
          <w:spacing w:val="1"/>
        </w:rPr>
        <w:t xml:space="preserve"> </w:t>
      </w:r>
      <w:r w:rsidRPr="00A338E5">
        <w:rPr>
          <w:rFonts w:cstheme="minorHAnsi"/>
        </w:rPr>
        <w:t>not p</w:t>
      </w:r>
      <w:r w:rsidRPr="00A338E5">
        <w:rPr>
          <w:rFonts w:cstheme="minorHAnsi"/>
          <w:spacing w:val="-1"/>
        </w:rPr>
        <w:t>ar</w:t>
      </w:r>
      <w:r w:rsidRPr="00A338E5">
        <w:rPr>
          <w:rFonts w:cstheme="minorHAnsi"/>
        </w:rPr>
        <w:t>ti</w:t>
      </w:r>
      <w:r w:rsidRPr="00A338E5">
        <w:rPr>
          <w:rFonts w:cstheme="minorHAnsi"/>
          <w:spacing w:val="-1"/>
        </w:rPr>
        <w:t>c</w:t>
      </w:r>
      <w:r w:rsidRPr="00A338E5">
        <w:rPr>
          <w:rFonts w:cstheme="minorHAnsi"/>
        </w:rPr>
        <w:t>ip</w:t>
      </w:r>
      <w:r w:rsidRPr="00A338E5">
        <w:rPr>
          <w:rFonts w:cstheme="minorHAnsi"/>
          <w:spacing w:val="-1"/>
        </w:rPr>
        <w:t>a</w:t>
      </w:r>
      <w:r w:rsidRPr="00A338E5">
        <w:rPr>
          <w:rFonts w:cstheme="minorHAnsi"/>
        </w:rPr>
        <w:t>te</w:t>
      </w:r>
      <w:r w:rsidRPr="00A338E5">
        <w:rPr>
          <w:rFonts w:cstheme="minorHAnsi"/>
          <w:spacing w:val="-1"/>
        </w:rPr>
        <w:t xml:space="preserve"> </w:t>
      </w:r>
      <w:r w:rsidRPr="00A338E5">
        <w:rPr>
          <w:rFonts w:cstheme="minorHAnsi"/>
        </w:rPr>
        <w:t>in th</w:t>
      </w:r>
      <w:r w:rsidRPr="00A338E5">
        <w:rPr>
          <w:rFonts w:cstheme="minorHAnsi"/>
          <w:spacing w:val="-1"/>
        </w:rPr>
        <w:t>a</w:t>
      </w:r>
      <w:r w:rsidRPr="00A338E5">
        <w:rPr>
          <w:rFonts w:cstheme="minorHAnsi"/>
        </w:rPr>
        <w:t>t p</w:t>
      </w:r>
      <w:r w:rsidRPr="00A338E5">
        <w:rPr>
          <w:rFonts w:cstheme="minorHAnsi"/>
          <w:spacing w:val="-1"/>
        </w:rPr>
        <w:t>ar</w:t>
      </w:r>
      <w:r w:rsidRPr="00A338E5">
        <w:rPr>
          <w:rFonts w:cstheme="minorHAnsi"/>
        </w:rPr>
        <w:t xml:space="preserve">t </w:t>
      </w:r>
      <w:r w:rsidRPr="00A338E5">
        <w:rPr>
          <w:rFonts w:cstheme="minorHAnsi"/>
          <w:spacing w:val="2"/>
        </w:rPr>
        <w:t>o</w:t>
      </w:r>
      <w:r w:rsidRPr="00A338E5">
        <w:rPr>
          <w:rFonts w:cstheme="minorHAnsi"/>
        </w:rPr>
        <w:t>f</w:t>
      </w:r>
      <w:r w:rsidRPr="00A338E5">
        <w:rPr>
          <w:rFonts w:cstheme="minorHAnsi"/>
          <w:spacing w:val="2"/>
        </w:rPr>
        <w:t xml:space="preserve"> </w:t>
      </w:r>
      <w:r w:rsidRPr="00A338E5">
        <w:rPr>
          <w:rFonts w:cstheme="minorHAnsi"/>
        </w:rPr>
        <w:t>the</w:t>
      </w:r>
      <w:r w:rsidRPr="00A338E5">
        <w:rPr>
          <w:rFonts w:cstheme="minorHAnsi"/>
          <w:spacing w:val="-1"/>
        </w:rPr>
        <w:t xml:space="preserve"> </w:t>
      </w:r>
      <w:r w:rsidRPr="00A338E5">
        <w:rPr>
          <w:rFonts w:cstheme="minorHAnsi"/>
        </w:rPr>
        <w:t>m</w:t>
      </w:r>
      <w:r w:rsidRPr="00A338E5">
        <w:rPr>
          <w:rFonts w:cstheme="minorHAnsi"/>
          <w:spacing w:val="-1"/>
        </w:rPr>
        <w:t>ee</w:t>
      </w:r>
      <w:r w:rsidRPr="00A338E5">
        <w:rPr>
          <w:rFonts w:cstheme="minorHAnsi"/>
        </w:rPr>
        <w:t>tin</w:t>
      </w:r>
      <w:r w:rsidRPr="00A338E5">
        <w:rPr>
          <w:rFonts w:cstheme="minorHAnsi"/>
          <w:spacing w:val="-3"/>
        </w:rPr>
        <w:t>g</w:t>
      </w:r>
      <w:r w:rsidRPr="00A338E5">
        <w:rPr>
          <w:rFonts w:cstheme="minorHAnsi"/>
        </w:rPr>
        <w:t>.</w:t>
      </w:r>
    </w:p>
    <w:p w14:paraId="0E6CA95C" w14:textId="77777777" w:rsidR="00082DB7" w:rsidRPr="00C145D1" w:rsidRDefault="00082DB7" w:rsidP="00082DB7">
      <w:pPr>
        <w:widowControl w:val="0"/>
        <w:tabs>
          <w:tab w:val="left" w:pos="1985"/>
        </w:tabs>
        <w:spacing w:before="200" w:after="0" w:line="240" w:lineRule="auto"/>
        <w:ind w:right="74"/>
        <w:jc w:val="both"/>
        <w:rPr>
          <w:rFonts w:cstheme="minorHAnsi"/>
        </w:rPr>
      </w:pPr>
      <w:r w:rsidRPr="00C145D1">
        <w:rPr>
          <w:rFonts w:cstheme="minorHAnsi"/>
          <w:b/>
          <w:bCs/>
          <w:spacing w:val="-3"/>
        </w:rPr>
        <w:t>F</w:t>
      </w:r>
      <w:r w:rsidRPr="00C145D1">
        <w:rPr>
          <w:rFonts w:cstheme="minorHAnsi"/>
          <w:b/>
          <w:bCs/>
        </w:rPr>
        <w:t>i</w:t>
      </w:r>
      <w:r w:rsidRPr="00C145D1">
        <w:rPr>
          <w:rFonts w:cstheme="minorHAnsi"/>
          <w:b/>
          <w:bCs/>
          <w:spacing w:val="1"/>
        </w:rPr>
        <w:t>na</w:t>
      </w:r>
      <w:r w:rsidRPr="00C145D1">
        <w:rPr>
          <w:rFonts w:cstheme="minorHAnsi"/>
          <w:b/>
          <w:bCs/>
        </w:rPr>
        <w:t>n</w:t>
      </w:r>
      <w:r w:rsidRPr="00C145D1">
        <w:rPr>
          <w:rFonts w:cstheme="minorHAnsi"/>
          <w:b/>
          <w:bCs/>
          <w:spacing w:val="-1"/>
        </w:rPr>
        <w:t>c</w:t>
      </w:r>
      <w:r w:rsidRPr="00C145D1">
        <w:rPr>
          <w:rFonts w:cstheme="minorHAnsi"/>
          <w:b/>
          <w:bCs/>
        </w:rPr>
        <w:t>i</w:t>
      </w:r>
      <w:r w:rsidRPr="00C145D1">
        <w:rPr>
          <w:rFonts w:cstheme="minorHAnsi"/>
          <w:b/>
          <w:bCs/>
          <w:spacing w:val="1"/>
        </w:rPr>
        <w:t>a</w:t>
      </w:r>
      <w:r w:rsidRPr="00C145D1">
        <w:rPr>
          <w:rFonts w:cstheme="minorHAnsi"/>
          <w:b/>
          <w:bCs/>
        </w:rPr>
        <w:t xml:space="preserve">l </w:t>
      </w:r>
      <w:r w:rsidRPr="00C145D1">
        <w:rPr>
          <w:rFonts w:cstheme="minorHAnsi"/>
          <w:b/>
          <w:bCs/>
          <w:spacing w:val="1"/>
        </w:rPr>
        <w:t>a</w:t>
      </w:r>
      <w:r w:rsidRPr="00C145D1">
        <w:rPr>
          <w:rFonts w:cstheme="minorHAnsi"/>
          <w:b/>
          <w:bCs/>
        </w:rPr>
        <w:t>nd</w:t>
      </w:r>
      <w:r w:rsidRPr="00C145D1">
        <w:rPr>
          <w:rFonts w:cstheme="minorHAnsi"/>
          <w:b/>
          <w:bCs/>
          <w:spacing w:val="1"/>
        </w:rPr>
        <w:t xml:space="preserve"> </w:t>
      </w:r>
      <w:r w:rsidRPr="00C145D1">
        <w:rPr>
          <w:rFonts w:cstheme="minorHAnsi"/>
          <w:b/>
          <w:bCs/>
        </w:rPr>
        <w:t>I</w:t>
      </w:r>
      <w:r w:rsidRPr="00C145D1">
        <w:rPr>
          <w:rFonts w:cstheme="minorHAnsi"/>
          <w:b/>
          <w:bCs/>
          <w:spacing w:val="1"/>
        </w:rPr>
        <w:t>n</w:t>
      </w:r>
      <w:r w:rsidRPr="00C145D1">
        <w:rPr>
          <w:rFonts w:cstheme="minorHAnsi"/>
          <w:b/>
          <w:bCs/>
          <w:spacing w:val="-2"/>
        </w:rPr>
        <w:t>s</w:t>
      </w:r>
      <w:r w:rsidRPr="00C145D1">
        <w:rPr>
          <w:rFonts w:cstheme="minorHAnsi"/>
          <w:b/>
          <w:bCs/>
          <w:spacing w:val="1"/>
        </w:rPr>
        <w:t>u</w:t>
      </w:r>
      <w:r w:rsidRPr="00C145D1">
        <w:rPr>
          <w:rFonts w:cstheme="minorHAnsi"/>
          <w:b/>
          <w:bCs/>
          <w:spacing w:val="-1"/>
        </w:rPr>
        <w:t>r</w:t>
      </w:r>
      <w:r w:rsidRPr="00C145D1">
        <w:rPr>
          <w:rFonts w:cstheme="minorHAnsi"/>
          <w:b/>
          <w:bCs/>
          <w:spacing w:val="1"/>
        </w:rPr>
        <w:t>a</w:t>
      </w:r>
      <w:r w:rsidRPr="00C145D1">
        <w:rPr>
          <w:rFonts w:cstheme="minorHAnsi"/>
          <w:b/>
          <w:bCs/>
        </w:rPr>
        <w:t>n</w:t>
      </w:r>
      <w:r w:rsidRPr="00C145D1">
        <w:rPr>
          <w:rFonts w:cstheme="minorHAnsi"/>
          <w:b/>
          <w:bCs/>
          <w:spacing w:val="-1"/>
        </w:rPr>
        <w:t>ce</w:t>
      </w:r>
      <w:r w:rsidRPr="00C145D1">
        <w:rPr>
          <w:rFonts w:cstheme="minorHAnsi"/>
          <w:b/>
          <w:bCs/>
        </w:rPr>
        <w:t>s</w:t>
      </w:r>
    </w:p>
    <w:p w14:paraId="79A9D53B" w14:textId="77777777" w:rsidR="00082DB7" w:rsidRPr="00A338E5" w:rsidRDefault="00082DB7" w:rsidP="00082DB7">
      <w:pPr>
        <w:widowControl w:val="0"/>
        <w:spacing w:after="0" w:line="240" w:lineRule="auto"/>
        <w:ind w:right="77"/>
        <w:jc w:val="both"/>
        <w:rPr>
          <w:rFonts w:cstheme="minorHAnsi"/>
        </w:rPr>
      </w:pPr>
      <w:r w:rsidRPr="00A338E5">
        <w:rPr>
          <w:rFonts w:cstheme="minorHAnsi"/>
        </w:rPr>
        <w:t>T</w:t>
      </w:r>
      <w:r w:rsidRPr="00A338E5">
        <w:rPr>
          <w:rFonts w:cstheme="minorHAnsi"/>
          <w:spacing w:val="-1"/>
        </w:rPr>
        <w:t>h</w:t>
      </w:r>
      <w:r w:rsidRPr="00A338E5">
        <w:rPr>
          <w:rFonts w:cstheme="minorHAnsi"/>
        </w:rPr>
        <w:t>e</w:t>
      </w:r>
      <w:r w:rsidRPr="00A338E5">
        <w:rPr>
          <w:rFonts w:cstheme="minorHAnsi"/>
          <w:spacing w:val="55"/>
        </w:rPr>
        <w:t xml:space="preserve"> </w:t>
      </w:r>
      <w:r w:rsidRPr="00A338E5">
        <w:rPr>
          <w:rFonts w:cstheme="minorHAnsi"/>
          <w:spacing w:val="1"/>
        </w:rPr>
        <w:t>Town</w:t>
      </w:r>
      <w:r w:rsidRPr="00A338E5">
        <w:rPr>
          <w:rFonts w:cstheme="minorHAnsi"/>
          <w:spacing w:val="50"/>
        </w:rPr>
        <w:t xml:space="preserve"> </w:t>
      </w:r>
      <w:r w:rsidRPr="00A338E5">
        <w:rPr>
          <w:rFonts w:cstheme="minorHAnsi"/>
        </w:rPr>
        <w:t>will</w:t>
      </w:r>
      <w:r w:rsidRPr="00A338E5">
        <w:rPr>
          <w:rFonts w:cstheme="minorHAnsi"/>
          <w:spacing w:val="56"/>
        </w:rPr>
        <w:t xml:space="preserve"> </w:t>
      </w:r>
      <w:r w:rsidRPr="00A338E5">
        <w:rPr>
          <w:rFonts w:cstheme="minorHAnsi"/>
          <w:spacing w:val="1"/>
        </w:rPr>
        <w:t>a</w:t>
      </w:r>
      <w:r w:rsidRPr="00A338E5">
        <w:rPr>
          <w:rFonts w:cstheme="minorHAnsi"/>
          <w:spacing w:val="-1"/>
        </w:rPr>
        <w:t>rra</w:t>
      </w:r>
      <w:r w:rsidRPr="00A338E5">
        <w:rPr>
          <w:rFonts w:cstheme="minorHAnsi"/>
          <w:spacing w:val="2"/>
        </w:rPr>
        <w:t>n</w:t>
      </w:r>
      <w:r w:rsidRPr="00A338E5">
        <w:rPr>
          <w:rFonts w:cstheme="minorHAnsi"/>
          <w:spacing w:val="-1"/>
        </w:rPr>
        <w:t>g</w:t>
      </w:r>
      <w:r w:rsidRPr="00A338E5">
        <w:rPr>
          <w:rFonts w:cstheme="minorHAnsi"/>
        </w:rPr>
        <w:t>e</w:t>
      </w:r>
      <w:r w:rsidRPr="00A338E5">
        <w:rPr>
          <w:rFonts w:cstheme="minorHAnsi"/>
          <w:spacing w:val="55"/>
        </w:rPr>
        <w:t xml:space="preserve"> </w:t>
      </w:r>
      <w:r w:rsidRPr="00A338E5">
        <w:rPr>
          <w:rFonts w:cstheme="minorHAnsi"/>
          <w:spacing w:val="1"/>
        </w:rPr>
        <w:t>a</w:t>
      </w:r>
      <w:r w:rsidRPr="00A338E5">
        <w:rPr>
          <w:rFonts w:cstheme="minorHAnsi"/>
        </w:rPr>
        <w:t>ll</w:t>
      </w:r>
      <w:r w:rsidRPr="00A338E5">
        <w:rPr>
          <w:rFonts w:cstheme="minorHAnsi"/>
          <w:spacing w:val="56"/>
        </w:rPr>
        <w:t xml:space="preserve"> </w:t>
      </w:r>
      <w:r w:rsidRPr="00A338E5">
        <w:rPr>
          <w:rFonts w:cstheme="minorHAnsi"/>
        </w:rPr>
        <w:t>i</w:t>
      </w:r>
      <w:r w:rsidRPr="00A338E5">
        <w:rPr>
          <w:rFonts w:cstheme="minorHAnsi"/>
          <w:spacing w:val="-1"/>
        </w:rPr>
        <w:t>n</w:t>
      </w:r>
      <w:r w:rsidRPr="00A338E5">
        <w:rPr>
          <w:rFonts w:cstheme="minorHAnsi"/>
          <w:spacing w:val="1"/>
        </w:rPr>
        <w:t>s</w:t>
      </w:r>
      <w:r w:rsidRPr="00A338E5">
        <w:rPr>
          <w:rFonts w:cstheme="minorHAnsi"/>
          <w:spacing w:val="-1"/>
        </w:rPr>
        <w:t>u</w:t>
      </w:r>
      <w:r w:rsidRPr="00A338E5">
        <w:rPr>
          <w:rFonts w:cstheme="minorHAnsi"/>
        </w:rPr>
        <w:t>r</w:t>
      </w:r>
      <w:r w:rsidRPr="00A338E5">
        <w:rPr>
          <w:rFonts w:cstheme="minorHAnsi"/>
          <w:spacing w:val="-1"/>
        </w:rPr>
        <w:t>an</w:t>
      </w:r>
      <w:r w:rsidRPr="00A338E5">
        <w:rPr>
          <w:rFonts w:cstheme="minorHAnsi"/>
        </w:rPr>
        <w:t>ce</w:t>
      </w:r>
      <w:r w:rsidRPr="00A338E5">
        <w:rPr>
          <w:rFonts w:cstheme="minorHAnsi"/>
          <w:spacing w:val="54"/>
        </w:rPr>
        <w:t xml:space="preserve"> </w:t>
      </w:r>
      <w:r w:rsidRPr="00A338E5">
        <w:rPr>
          <w:rFonts w:cstheme="minorHAnsi"/>
        </w:rPr>
        <w:t>to</w:t>
      </w:r>
      <w:r w:rsidRPr="00A338E5">
        <w:rPr>
          <w:rFonts w:cstheme="minorHAnsi"/>
          <w:spacing w:val="55"/>
        </w:rPr>
        <w:t xml:space="preserve"> </w:t>
      </w:r>
      <w:r w:rsidRPr="00A338E5">
        <w:rPr>
          <w:rFonts w:cstheme="minorHAnsi"/>
          <w:spacing w:val="-1"/>
        </w:rPr>
        <w:t>co</w:t>
      </w:r>
      <w:r w:rsidRPr="00A338E5">
        <w:rPr>
          <w:rFonts w:cstheme="minorHAnsi"/>
          <w:spacing w:val="3"/>
        </w:rPr>
        <w:t>v</w:t>
      </w:r>
      <w:r w:rsidRPr="00A338E5">
        <w:rPr>
          <w:rFonts w:cstheme="minorHAnsi"/>
          <w:spacing w:val="-1"/>
        </w:rPr>
        <w:t>e</w:t>
      </w:r>
      <w:r w:rsidRPr="00A338E5">
        <w:rPr>
          <w:rFonts w:cstheme="minorHAnsi"/>
        </w:rPr>
        <w:t>r</w:t>
      </w:r>
      <w:r w:rsidRPr="00A338E5">
        <w:rPr>
          <w:rFonts w:cstheme="minorHAnsi"/>
          <w:spacing w:val="54"/>
        </w:rPr>
        <w:t xml:space="preserve"> </w:t>
      </w:r>
      <w:r w:rsidRPr="00A338E5">
        <w:rPr>
          <w:rFonts w:cstheme="minorHAnsi"/>
          <w:spacing w:val="2"/>
        </w:rPr>
        <w:t>CDAC</w:t>
      </w:r>
      <w:r w:rsidRPr="00A338E5">
        <w:rPr>
          <w:rFonts w:cstheme="minorHAnsi"/>
          <w:spacing w:val="56"/>
        </w:rPr>
        <w:t xml:space="preserve"> </w:t>
      </w:r>
      <w:r w:rsidRPr="00A338E5">
        <w:rPr>
          <w:rFonts w:cstheme="minorHAnsi"/>
        </w:rPr>
        <w:t>m</w:t>
      </w:r>
      <w:r w:rsidRPr="00A338E5">
        <w:rPr>
          <w:rFonts w:cstheme="minorHAnsi"/>
          <w:spacing w:val="-1"/>
        </w:rPr>
        <w:t>e</w:t>
      </w:r>
      <w:r w:rsidRPr="00A338E5">
        <w:rPr>
          <w:rFonts w:cstheme="minorHAnsi"/>
        </w:rPr>
        <w:t>m</w:t>
      </w:r>
      <w:r w:rsidRPr="00A338E5">
        <w:rPr>
          <w:rFonts w:cstheme="minorHAnsi"/>
          <w:spacing w:val="-1"/>
        </w:rPr>
        <w:t>b</w:t>
      </w:r>
      <w:r w:rsidRPr="00A338E5">
        <w:rPr>
          <w:rFonts w:cstheme="minorHAnsi"/>
        </w:rPr>
        <w:t>e</w:t>
      </w:r>
      <w:r w:rsidRPr="00A338E5">
        <w:rPr>
          <w:rFonts w:cstheme="minorHAnsi"/>
          <w:spacing w:val="-1"/>
        </w:rPr>
        <w:t>r</w:t>
      </w:r>
      <w:r w:rsidRPr="00A338E5">
        <w:rPr>
          <w:rFonts w:cstheme="minorHAnsi"/>
        </w:rPr>
        <w:t>s wh</w:t>
      </w:r>
      <w:r w:rsidRPr="00A338E5">
        <w:rPr>
          <w:rFonts w:cstheme="minorHAnsi"/>
          <w:spacing w:val="1"/>
        </w:rPr>
        <w:t>i</w:t>
      </w:r>
      <w:r w:rsidRPr="00A338E5">
        <w:rPr>
          <w:rFonts w:cstheme="minorHAnsi"/>
        </w:rPr>
        <w:t>lst</w:t>
      </w:r>
      <w:r w:rsidRPr="00A338E5">
        <w:rPr>
          <w:rFonts w:cstheme="minorHAnsi"/>
          <w:spacing w:val="3"/>
        </w:rPr>
        <w:t xml:space="preserve"> </w:t>
      </w:r>
      <w:r w:rsidRPr="00A338E5">
        <w:rPr>
          <w:rFonts w:cstheme="minorHAnsi"/>
        </w:rPr>
        <w:t>dis</w:t>
      </w:r>
      <w:r w:rsidRPr="00A338E5">
        <w:rPr>
          <w:rFonts w:cstheme="minorHAnsi"/>
          <w:spacing w:val="-1"/>
        </w:rPr>
        <w:t>c</w:t>
      </w:r>
      <w:r w:rsidRPr="00A338E5">
        <w:rPr>
          <w:rFonts w:cstheme="minorHAnsi"/>
        </w:rPr>
        <w:t>h</w:t>
      </w:r>
      <w:r w:rsidRPr="00A338E5">
        <w:rPr>
          <w:rFonts w:cstheme="minorHAnsi"/>
          <w:spacing w:val="-1"/>
        </w:rPr>
        <w:t>ar</w:t>
      </w:r>
      <w:r w:rsidRPr="00A338E5">
        <w:rPr>
          <w:rFonts w:cstheme="minorHAnsi"/>
          <w:spacing w:val="-2"/>
        </w:rPr>
        <w:t>g</w:t>
      </w:r>
      <w:r w:rsidRPr="00A338E5">
        <w:rPr>
          <w:rFonts w:cstheme="minorHAnsi"/>
        </w:rPr>
        <w:t>i</w:t>
      </w:r>
      <w:r w:rsidRPr="00A338E5">
        <w:rPr>
          <w:rFonts w:cstheme="minorHAnsi"/>
          <w:spacing w:val="2"/>
        </w:rPr>
        <w:t>n</w:t>
      </w:r>
      <w:r w:rsidRPr="00A338E5">
        <w:rPr>
          <w:rFonts w:cstheme="minorHAnsi"/>
        </w:rPr>
        <w:t>g th</w:t>
      </w:r>
      <w:r w:rsidRPr="00A338E5">
        <w:rPr>
          <w:rFonts w:cstheme="minorHAnsi"/>
          <w:spacing w:val="-1"/>
        </w:rPr>
        <w:t>e</w:t>
      </w:r>
      <w:r w:rsidRPr="00A338E5">
        <w:rPr>
          <w:rFonts w:cstheme="minorHAnsi"/>
        </w:rPr>
        <w:t>ir</w:t>
      </w:r>
      <w:r w:rsidRPr="00A338E5">
        <w:rPr>
          <w:rFonts w:cstheme="minorHAnsi"/>
          <w:spacing w:val="4"/>
        </w:rPr>
        <w:t xml:space="preserve"> </w:t>
      </w:r>
      <w:r w:rsidRPr="00A338E5">
        <w:rPr>
          <w:rFonts w:cstheme="minorHAnsi"/>
        </w:rPr>
        <w:t>no</w:t>
      </w:r>
      <w:r w:rsidRPr="00A338E5">
        <w:rPr>
          <w:rFonts w:cstheme="minorHAnsi"/>
          <w:spacing w:val="-1"/>
        </w:rPr>
        <w:t>r</w:t>
      </w:r>
      <w:r w:rsidRPr="00A338E5">
        <w:rPr>
          <w:rFonts w:cstheme="minorHAnsi"/>
        </w:rPr>
        <w:t>m</w:t>
      </w:r>
      <w:r w:rsidRPr="00A338E5">
        <w:rPr>
          <w:rFonts w:cstheme="minorHAnsi"/>
          <w:spacing w:val="-1"/>
        </w:rPr>
        <w:t>a</w:t>
      </w:r>
      <w:r w:rsidRPr="00A338E5">
        <w:rPr>
          <w:rFonts w:cstheme="minorHAnsi"/>
        </w:rPr>
        <w:t>l</w:t>
      </w:r>
      <w:r w:rsidRPr="00A338E5">
        <w:rPr>
          <w:rFonts w:cstheme="minorHAnsi"/>
          <w:spacing w:val="3"/>
        </w:rPr>
        <w:t xml:space="preserve"> </w:t>
      </w:r>
      <w:r w:rsidRPr="00A338E5">
        <w:rPr>
          <w:rFonts w:cstheme="minorHAnsi"/>
          <w:spacing w:val="-1"/>
        </w:rPr>
        <w:t>c</w:t>
      </w:r>
      <w:r w:rsidRPr="00A338E5">
        <w:rPr>
          <w:rFonts w:cstheme="minorHAnsi"/>
        </w:rPr>
        <w:t>ou</w:t>
      </w:r>
      <w:r w:rsidRPr="00A338E5">
        <w:rPr>
          <w:rFonts w:cstheme="minorHAnsi"/>
          <w:spacing w:val="-1"/>
        </w:rPr>
        <w:t>r</w:t>
      </w:r>
      <w:r w:rsidRPr="00A338E5">
        <w:rPr>
          <w:rFonts w:cstheme="minorHAnsi"/>
        </w:rPr>
        <w:t>se</w:t>
      </w:r>
      <w:r w:rsidRPr="00A338E5">
        <w:rPr>
          <w:rFonts w:cstheme="minorHAnsi"/>
          <w:spacing w:val="1"/>
        </w:rPr>
        <w:t xml:space="preserve"> </w:t>
      </w:r>
      <w:r w:rsidRPr="00A338E5">
        <w:rPr>
          <w:rFonts w:cstheme="minorHAnsi"/>
        </w:rPr>
        <w:t>of</w:t>
      </w:r>
      <w:r w:rsidRPr="00A338E5">
        <w:rPr>
          <w:rFonts w:cstheme="minorHAnsi"/>
          <w:spacing w:val="2"/>
        </w:rPr>
        <w:t xml:space="preserve"> </w:t>
      </w:r>
      <w:r w:rsidRPr="00A338E5">
        <w:rPr>
          <w:rFonts w:cstheme="minorHAnsi"/>
        </w:rPr>
        <w:t>du</w:t>
      </w:r>
      <w:r w:rsidRPr="00A338E5">
        <w:rPr>
          <w:rFonts w:cstheme="minorHAnsi"/>
          <w:spacing w:val="5"/>
        </w:rPr>
        <w:t>t</w:t>
      </w:r>
      <w:r w:rsidRPr="00A338E5">
        <w:rPr>
          <w:rFonts w:cstheme="minorHAnsi"/>
          <w:spacing w:val="-5"/>
        </w:rPr>
        <w:t>y</w:t>
      </w:r>
      <w:r w:rsidRPr="00A338E5">
        <w:rPr>
          <w:rFonts w:cstheme="minorHAnsi"/>
        </w:rPr>
        <w:t>,</w:t>
      </w:r>
      <w:r w:rsidRPr="00A338E5">
        <w:rPr>
          <w:rFonts w:cstheme="minorHAnsi"/>
          <w:spacing w:val="2"/>
        </w:rPr>
        <w:t xml:space="preserve"> </w:t>
      </w:r>
      <w:r w:rsidRPr="00A338E5">
        <w:rPr>
          <w:rFonts w:cstheme="minorHAnsi"/>
          <w:spacing w:val="3"/>
        </w:rPr>
        <w:t>i</w:t>
      </w:r>
      <w:r w:rsidRPr="00A338E5">
        <w:rPr>
          <w:rFonts w:cstheme="minorHAnsi"/>
        </w:rPr>
        <w:t>n</w:t>
      </w:r>
      <w:r w:rsidRPr="00A338E5">
        <w:rPr>
          <w:rFonts w:cstheme="minorHAnsi"/>
          <w:spacing w:val="-1"/>
        </w:rPr>
        <w:t>c</w:t>
      </w:r>
      <w:r w:rsidRPr="00A338E5">
        <w:rPr>
          <w:rFonts w:cstheme="minorHAnsi"/>
        </w:rPr>
        <w:t>luding t</w:t>
      </w:r>
      <w:r w:rsidRPr="00A338E5">
        <w:rPr>
          <w:rFonts w:cstheme="minorHAnsi"/>
          <w:spacing w:val="-1"/>
        </w:rPr>
        <w:t>ra</w:t>
      </w:r>
      <w:r w:rsidRPr="00A338E5">
        <w:rPr>
          <w:rFonts w:cstheme="minorHAnsi"/>
          <w:spacing w:val="2"/>
        </w:rPr>
        <w:t>v</w:t>
      </w:r>
      <w:r w:rsidRPr="00A338E5">
        <w:rPr>
          <w:rFonts w:cstheme="minorHAnsi"/>
          <w:spacing w:val="-1"/>
        </w:rPr>
        <w:t>e</w:t>
      </w:r>
      <w:r w:rsidRPr="00A338E5">
        <w:rPr>
          <w:rFonts w:cstheme="minorHAnsi"/>
        </w:rPr>
        <w:t xml:space="preserve">l to </w:t>
      </w:r>
      <w:r w:rsidRPr="00A338E5">
        <w:rPr>
          <w:rFonts w:cstheme="minorHAnsi"/>
          <w:spacing w:val="-1"/>
        </w:rPr>
        <w:t>a</w:t>
      </w:r>
      <w:r w:rsidRPr="00A338E5">
        <w:rPr>
          <w:rFonts w:cstheme="minorHAnsi"/>
        </w:rPr>
        <w:t xml:space="preserve">nd </w:t>
      </w:r>
      <w:r w:rsidRPr="00A338E5">
        <w:rPr>
          <w:rFonts w:cstheme="minorHAnsi"/>
          <w:spacing w:val="-2"/>
        </w:rPr>
        <w:t>f</w:t>
      </w:r>
      <w:r w:rsidRPr="00A338E5">
        <w:rPr>
          <w:rFonts w:cstheme="minorHAnsi"/>
          <w:spacing w:val="-1"/>
        </w:rPr>
        <w:t>r</w:t>
      </w:r>
      <w:r w:rsidRPr="00A338E5">
        <w:rPr>
          <w:rFonts w:cstheme="minorHAnsi"/>
        </w:rPr>
        <w:t>om the</w:t>
      </w:r>
      <w:r w:rsidRPr="00A338E5">
        <w:rPr>
          <w:rFonts w:cstheme="minorHAnsi"/>
          <w:spacing w:val="-1"/>
        </w:rPr>
        <w:t xml:space="preserve"> </w:t>
      </w:r>
      <w:r w:rsidRPr="00A338E5">
        <w:rPr>
          <w:rFonts w:cstheme="minorHAnsi"/>
        </w:rPr>
        <w:t>m</w:t>
      </w:r>
      <w:r w:rsidRPr="00A338E5">
        <w:rPr>
          <w:rFonts w:cstheme="minorHAnsi"/>
          <w:spacing w:val="-1"/>
        </w:rPr>
        <w:t>ee</w:t>
      </w:r>
      <w:r w:rsidRPr="00A338E5">
        <w:rPr>
          <w:rFonts w:cstheme="minorHAnsi"/>
        </w:rPr>
        <w:t>ti</w:t>
      </w:r>
      <w:r w:rsidRPr="00A338E5">
        <w:rPr>
          <w:rFonts w:cstheme="minorHAnsi"/>
          <w:spacing w:val="2"/>
        </w:rPr>
        <w:t>n</w:t>
      </w:r>
      <w:r w:rsidRPr="00A338E5">
        <w:rPr>
          <w:rFonts w:cstheme="minorHAnsi"/>
          <w:spacing w:val="-2"/>
        </w:rPr>
        <w:t>g</w:t>
      </w:r>
      <w:r w:rsidRPr="00A338E5">
        <w:rPr>
          <w:rFonts w:cstheme="minorHAnsi"/>
        </w:rPr>
        <w:t>.</w:t>
      </w:r>
    </w:p>
    <w:p w14:paraId="03663C16" w14:textId="77777777" w:rsidR="00082DB7" w:rsidRPr="00C145D1" w:rsidRDefault="00082DB7" w:rsidP="00082DB7">
      <w:pPr>
        <w:widowControl w:val="0"/>
        <w:tabs>
          <w:tab w:val="left" w:pos="1540"/>
        </w:tabs>
        <w:spacing w:before="200" w:after="0" w:line="240" w:lineRule="auto"/>
        <w:ind w:right="-23"/>
        <w:jc w:val="both"/>
        <w:rPr>
          <w:rFonts w:cstheme="minorHAnsi"/>
        </w:rPr>
      </w:pPr>
      <w:r w:rsidRPr="00C145D1">
        <w:rPr>
          <w:rFonts w:cstheme="minorHAnsi"/>
          <w:b/>
          <w:bCs/>
          <w:spacing w:val="1"/>
        </w:rPr>
        <w:t>T</w:t>
      </w:r>
      <w:r w:rsidRPr="00C145D1">
        <w:rPr>
          <w:rFonts w:cstheme="minorHAnsi"/>
          <w:b/>
          <w:bCs/>
          <w:spacing w:val="-1"/>
        </w:rPr>
        <w:t>e</w:t>
      </w:r>
      <w:r w:rsidRPr="00C145D1">
        <w:rPr>
          <w:rFonts w:cstheme="minorHAnsi"/>
          <w:b/>
          <w:bCs/>
          <w:spacing w:val="1"/>
        </w:rPr>
        <w:t>nu</w:t>
      </w:r>
      <w:r w:rsidRPr="00C145D1">
        <w:rPr>
          <w:rFonts w:cstheme="minorHAnsi"/>
          <w:b/>
          <w:bCs/>
          <w:spacing w:val="-1"/>
        </w:rPr>
        <w:t>r</w:t>
      </w:r>
      <w:r w:rsidRPr="00C145D1">
        <w:rPr>
          <w:rFonts w:cstheme="minorHAnsi"/>
          <w:b/>
          <w:bCs/>
        </w:rPr>
        <w:t>e</w:t>
      </w:r>
      <w:r w:rsidRPr="00C145D1">
        <w:rPr>
          <w:rFonts w:cstheme="minorHAnsi"/>
          <w:b/>
          <w:bCs/>
          <w:spacing w:val="-1"/>
        </w:rPr>
        <w:t xml:space="preserve"> </w:t>
      </w:r>
      <w:r w:rsidRPr="00C145D1">
        <w:rPr>
          <w:rFonts w:cstheme="minorHAnsi"/>
          <w:b/>
          <w:bCs/>
          <w:spacing w:val="1"/>
        </w:rPr>
        <w:t>o</w:t>
      </w:r>
      <w:r w:rsidRPr="00C145D1">
        <w:rPr>
          <w:rFonts w:cstheme="minorHAnsi"/>
          <w:b/>
          <w:bCs/>
        </w:rPr>
        <w:t>f</w:t>
      </w:r>
      <w:r w:rsidRPr="00C145D1">
        <w:rPr>
          <w:rFonts w:cstheme="minorHAnsi"/>
          <w:b/>
          <w:bCs/>
          <w:spacing w:val="1"/>
        </w:rPr>
        <w:t xml:space="preserve"> </w:t>
      </w:r>
      <w:r w:rsidRPr="00C145D1">
        <w:rPr>
          <w:rFonts w:cstheme="minorHAnsi"/>
          <w:b/>
          <w:bCs/>
        </w:rPr>
        <w:t>A</w:t>
      </w:r>
      <w:r w:rsidRPr="00C145D1">
        <w:rPr>
          <w:rFonts w:cstheme="minorHAnsi"/>
          <w:b/>
          <w:bCs/>
          <w:spacing w:val="1"/>
        </w:rPr>
        <w:t>ppo</w:t>
      </w:r>
      <w:r w:rsidRPr="00C145D1">
        <w:rPr>
          <w:rFonts w:cstheme="minorHAnsi"/>
          <w:b/>
          <w:bCs/>
          <w:spacing w:val="-3"/>
        </w:rPr>
        <w:t>i</w:t>
      </w:r>
      <w:r w:rsidRPr="00C145D1">
        <w:rPr>
          <w:rFonts w:cstheme="minorHAnsi"/>
          <w:b/>
          <w:bCs/>
          <w:spacing w:val="1"/>
        </w:rPr>
        <w:t>n</w:t>
      </w:r>
      <w:r w:rsidRPr="00C145D1">
        <w:rPr>
          <w:rFonts w:cstheme="minorHAnsi"/>
          <w:b/>
          <w:bCs/>
          <w:spacing w:val="-1"/>
        </w:rPr>
        <w:t>t</w:t>
      </w:r>
      <w:r w:rsidRPr="00C145D1">
        <w:rPr>
          <w:rFonts w:cstheme="minorHAnsi"/>
          <w:b/>
          <w:bCs/>
          <w:spacing w:val="-3"/>
        </w:rPr>
        <w:t>m</w:t>
      </w:r>
      <w:r w:rsidRPr="00C145D1">
        <w:rPr>
          <w:rFonts w:cstheme="minorHAnsi"/>
          <w:b/>
          <w:bCs/>
          <w:spacing w:val="-1"/>
        </w:rPr>
        <w:t>e</w:t>
      </w:r>
      <w:r w:rsidRPr="00C145D1">
        <w:rPr>
          <w:rFonts w:cstheme="minorHAnsi"/>
          <w:b/>
          <w:bCs/>
          <w:spacing w:val="1"/>
        </w:rPr>
        <w:t>nt</w:t>
      </w:r>
    </w:p>
    <w:p w14:paraId="041BD104" w14:textId="77777777" w:rsidR="00082DB7" w:rsidRPr="00A338E5" w:rsidRDefault="00082DB7" w:rsidP="00082DB7">
      <w:pPr>
        <w:widowControl w:val="0"/>
        <w:spacing w:after="60" w:line="240" w:lineRule="auto"/>
        <w:ind w:left="425" w:right="75" w:hanging="425"/>
        <w:jc w:val="both"/>
        <w:rPr>
          <w:rFonts w:cstheme="minorHAnsi"/>
        </w:rPr>
      </w:pPr>
      <w:r w:rsidRPr="00A338E5">
        <w:rPr>
          <w:rFonts w:cstheme="minorHAnsi"/>
        </w:rPr>
        <w:t>1.</w:t>
      </w:r>
      <w:r w:rsidRPr="00A338E5">
        <w:rPr>
          <w:rFonts w:cstheme="minorHAnsi"/>
        </w:rPr>
        <w:tab/>
        <w:t>The</w:t>
      </w:r>
      <w:r w:rsidRPr="00A338E5">
        <w:rPr>
          <w:rFonts w:cstheme="minorHAnsi"/>
          <w:spacing w:val="4"/>
        </w:rPr>
        <w:t xml:space="preserve"> </w:t>
      </w:r>
      <w:r w:rsidRPr="00A338E5">
        <w:rPr>
          <w:rFonts w:cstheme="minorHAnsi"/>
          <w:spacing w:val="1"/>
        </w:rPr>
        <w:t>C</w:t>
      </w:r>
      <w:r w:rsidRPr="00A338E5">
        <w:rPr>
          <w:rFonts w:cstheme="minorHAnsi"/>
        </w:rPr>
        <w:t>oun</w:t>
      </w:r>
      <w:r w:rsidRPr="00A338E5">
        <w:rPr>
          <w:rFonts w:cstheme="minorHAnsi"/>
          <w:spacing w:val="-2"/>
        </w:rPr>
        <w:t>c</w:t>
      </w:r>
      <w:r w:rsidRPr="00A338E5">
        <w:rPr>
          <w:rFonts w:cstheme="minorHAnsi"/>
        </w:rPr>
        <w:t>il</w:t>
      </w:r>
      <w:r w:rsidRPr="00A338E5">
        <w:rPr>
          <w:rFonts w:cstheme="minorHAnsi"/>
          <w:spacing w:val="6"/>
        </w:rPr>
        <w:t xml:space="preserve"> </w:t>
      </w:r>
      <w:r w:rsidRPr="00A338E5">
        <w:rPr>
          <w:rFonts w:cstheme="minorHAnsi"/>
        </w:rPr>
        <w:t>will</w:t>
      </w:r>
      <w:r w:rsidRPr="00A338E5">
        <w:rPr>
          <w:rFonts w:cstheme="minorHAnsi"/>
          <w:spacing w:val="6"/>
        </w:rPr>
        <w:t xml:space="preserve"> </w:t>
      </w:r>
      <w:r w:rsidRPr="00A338E5">
        <w:rPr>
          <w:rFonts w:cstheme="minorHAnsi"/>
          <w:spacing w:val="-1"/>
        </w:rPr>
        <w:t>a</w:t>
      </w:r>
      <w:r w:rsidRPr="00A338E5">
        <w:rPr>
          <w:rFonts w:cstheme="minorHAnsi"/>
        </w:rPr>
        <w:t>ppo</w:t>
      </w:r>
      <w:r w:rsidRPr="00A338E5">
        <w:rPr>
          <w:rFonts w:cstheme="minorHAnsi"/>
          <w:spacing w:val="-1"/>
        </w:rPr>
        <w:t>i</w:t>
      </w:r>
      <w:r w:rsidRPr="00A338E5">
        <w:rPr>
          <w:rFonts w:cstheme="minorHAnsi"/>
          <w:spacing w:val="-2"/>
        </w:rPr>
        <w:t>n</w:t>
      </w:r>
      <w:r w:rsidRPr="00A338E5">
        <w:rPr>
          <w:rFonts w:cstheme="minorHAnsi"/>
        </w:rPr>
        <w:t>t</w:t>
      </w:r>
      <w:r w:rsidRPr="00A338E5">
        <w:rPr>
          <w:rFonts w:cstheme="minorHAnsi"/>
          <w:spacing w:val="6"/>
        </w:rPr>
        <w:t xml:space="preserve"> </w:t>
      </w:r>
      <w:r w:rsidRPr="00A338E5">
        <w:rPr>
          <w:rFonts w:cstheme="minorHAnsi"/>
        </w:rPr>
        <w:t>a</w:t>
      </w:r>
      <w:r w:rsidRPr="00A338E5">
        <w:rPr>
          <w:rFonts w:cstheme="minorHAnsi"/>
          <w:spacing w:val="5"/>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w:t>
      </w:r>
      <w:r w:rsidRPr="00A338E5">
        <w:rPr>
          <w:rFonts w:cstheme="minorHAnsi"/>
        </w:rPr>
        <w:t>r</w:t>
      </w:r>
      <w:r w:rsidRPr="00A338E5">
        <w:rPr>
          <w:rFonts w:cstheme="minorHAnsi"/>
          <w:spacing w:val="5"/>
        </w:rPr>
        <w:t xml:space="preserve"> </w:t>
      </w:r>
      <w:r w:rsidRPr="00A338E5">
        <w:rPr>
          <w:rFonts w:cstheme="minorHAnsi"/>
        </w:rPr>
        <w:t>to</w:t>
      </w:r>
      <w:r w:rsidRPr="00A338E5">
        <w:rPr>
          <w:rFonts w:cstheme="minorHAnsi"/>
          <w:spacing w:val="6"/>
        </w:rPr>
        <w:t xml:space="preserve"> </w:t>
      </w:r>
      <w:r w:rsidRPr="00A338E5">
        <w:rPr>
          <w:rFonts w:cstheme="minorHAnsi"/>
        </w:rPr>
        <w:t>the</w:t>
      </w:r>
      <w:r w:rsidRPr="00A338E5">
        <w:rPr>
          <w:rFonts w:cstheme="minorHAnsi"/>
          <w:spacing w:val="4"/>
        </w:rPr>
        <w:t xml:space="preserve"> </w:t>
      </w:r>
      <w:r w:rsidRPr="00A338E5">
        <w:rPr>
          <w:rFonts w:cstheme="minorHAnsi"/>
        </w:rPr>
        <w:t>CDAC</w:t>
      </w:r>
      <w:r w:rsidRPr="00A338E5">
        <w:rPr>
          <w:rFonts w:cstheme="minorHAnsi"/>
          <w:spacing w:val="4"/>
        </w:rPr>
        <w:t xml:space="preserve"> </w:t>
      </w:r>
      <w:r w:rsidRPr="00A338E5">
        <w:rPr>
          <w:rFonts w:cstheme="minorHAnsi"/>
        </w:rPr>
        <w:t>in</w:t>
      </w:r>
      <w:r w:rsidRPr="00A338E5">
        <w:rPr>
          <w:rFonts w:cstheme="minorHAnsi"/>
          <w:spacing w:val="-1"/>
        </w:rPr>
        <w:t>c</w:t>
      </w:r>
      <w:r w:rsidRPr="00A338E5">
        <w:rPr>
          <w:rFonts w:cstheme="minorHAnsi"/>
        </w:rPr>
        <w:t>luding</w:t>
      </w:r>
      <w:r w:rsidRPr="00A338E5">
        <w:rPr>
          <w:rFonts w:cstheme="minorHAnsi"/>
          <w:spacing w:val="3"/>
        </w:rPr>
        <w:t xml:space="preserve"> </w:t>
      </w:r>
      <w:r w:rsidRPr="00A338E5">
        <w:rPr>
          <w:rFonts w:cstheme="minorHAnsi"/>
        </w:rPr>
        <w:t>the p</w:t>
      </w:r>
      <w:r w:rsidRPr="00A338E5">
        <w:rPr>
          <w:rFonts w:cstheme="minorHAnsi"/>
          <w:spacing w:val="-1"/>
        </w:rPr>
        <w:t>re</w:t>
      </w:r>
      <w:r w:rsidRPr="00A338E5">
        <w:rPr>
          <w:rFonts w:cstheme="minorHAnsi"/>
        </w:rPr>
        <w:t>s</w:t>
      </w:r>
      <w:r w:rsidRPr="00A338E5">
        <w:rPr>
          <w:rFonts w:cstheme="minorHAnsi"/>
          <w:spacing w:val="-1"/>
        </w:rPr>
        <w:t>cr</w:t>
      </w:r>
      <w:r w:rsidRPr="00A338E5">
        <w:rPr>
          <w:rFonts w:cstheme="minorHAnsi"/>
        </w:rPr>
        <w:t>ib</w:t>
      </w:r>
      <w:r w:rsidRPr="00A338E5">
        <w:rPr>
          <w:rFonts w:cstheme="minorHAnsi"/>
          <w:spacing w:val="-1"/>
        </w:rPr>
        <w:t>e</w:t>
      </w:r>
      <w:r w:rsidRPr="00A338E5">
        <w:rPr>
          <w:rFonts w:cstheme="minorHAnsi"/>
        </w:rPr>
        <w:t>d</w:t>
      </w:r>
      <w:r w:rsidRPr="00A338E5">
        <w:rPr>
          <w:rFonts w:cstheme="minorHAnsi"/>
          <w:spacing w:val="2"/>
        </w:rPr>
        <w:t xml:space="preserve"> </w:t>
      </w:r>
      <w:r w:rsidRPr="00A338E5">
        <w:rPr>
          <w:rFonts w:cstheme="minorHAnsi"/>
        </w:rPr>
        <w:t>T</w:t>
      </w:r>
      <w:r w:rsidRPr="00A338E5">
        <w:rPr>
          <w:rFonts w:cstheme="minorHAnsi"/>
          <w:spacing w:val="-1"/>
        </w:rPr>
        <w:t>er</w:t>
      </w:r>
      <w:r w:rsidRPr="00A338E5">
        <w:rPr>
          <w:rFonts w:cstheme="minorHAnsi"/>
        </w:rPr>
        <w:t>m</w:t>
      </w:r>
      <w:r w:rsidRPr="00A338E5">
        <w:rPr>
          <w:rFonts w:cstheme="minorHAnsi"/>
          <w:spacing w:val="3"/>
        </w:rPr>
        <w:t xml:space="preserve"> </w:t>
      </w:r>
      <w:r w:rsidRPr="00A338E5">
        <w:rPr>
          <w:rFonts w:cstheme="minorHAnsi"/>
          <w:spacing w:val="-3"/>
        </w:rPr>
        <w:t>a</w:t>
      </w:r>
      <w:r w:rsidRPr="00A338E5">
        <w:rPr>
          <w:rFonts w:cstheme="minorHAnsi"/>
        </w:rPr>
        <w:t>nd</w:t>
      </w:r>
      <w:r w:rsidRPr="00A338E5">
        <w:rPr>
          <w:rFonts w:cstheme="minorHAnsi"/>
          <w:spacing w:val="2"/>
        </w:rPr>
        <w:t xml:space="preserve"> </w:t>
      </w:r>
      <w:r w:rsidRPr="00A338E5">
        <w:rPr>
          <w:rFonts w:cstheme="minorHAnsi"/>
          <w:spacing w:val="-1"/>
        </w:rPr>
        <w:t>a</w:t>
      </w:r>
      <w:r w:rsidRPr="00A338E5">
        <w:rPr>
          <w:rFonts w:cstheme="minorHAnsi"/>
          <w:spacing w:val="5"/>
        </w:rPr>
        <w:t>n</w:t>
      </w:r>
      <w:r w:rsidRPr="00A338E5">
        <w:rPr>
          <w:rFonts w:cstheme="minorHAnsi"/>
        </w:rPr>
        <w:t>y</w:t>
      </w:r>
      <w:r w:rsidRPr="00A338E5">
        <w:rPr>
          <w:rFonts w:cstheme="minorHAnsi"/>
          <w:spacing w:val="-2"/>
        </w:rPr>
        <w:t xml:space="preserve"> </w:t>
      </w:r>
      <w:r w:rsidRPr="00A338E5">
        <w:rPr>
          <w:rFonts w:cstheme="minorHAnsi"/>
          <w:spacing w:val="-1"/>
        </w:rPr>
        <w:t>c</w:t>
      </w:r>
      <w:r w:rsidRPr="00A338E5">
        <w:rPr>
          <w:rFonts w:cstheme="minorHAnsi"/>
        </w:rPr>
        <w:t>onditions.</w:t>
      </w:r>
    </w:p>
    <w:p w14:paraId="3A2E42B2" w14:textId="77777777" w:rsidR="00082DB7" w:rsidRPr="00A338E5" w:rsidRDefault="00082DB7" w:rsidP="00082DB7">
      <w:pPr>
        <w:widowControl w:val="0"/>
        <w:spacing w:after="60" w:line="240" w:lineRule="auto"/>
        <w:ind w:left="425" w:right="75" w:hanging="425"/>
        <w:jc w:val="both"/>
        <w:rPr>
          <w:rFonts w:cstheme="minorHAnsi"/>
        </w:rPr>
      </w:pPr>
      <w:r w:rsidRPr="00A338E5">
        <w:rPr>
          <w:rFonts w:cstheme="minorHAnsi"/>
        </w:rPr>
        <w:t>2.</w:t>
      </w:r>
      <w:r w:rsidRPr="00A338E5">
        <w:rPr>
          <w:rFonts w:cstheme="minorHAnsi"/>
        </w:rPr>
        <w:tab/>
        <w:t>The</w:t>
      </w:r>
      <w:r w:rsidRPr="00A338E5">
        <w:rPr>
          <w:rFonts w:cstheme="minorHAnsi"/>
          <w:spacing w:val="4"/>
        </w:rPr>
        <w:t xml:space="preserve"> </w:t>
      </w:r>
      <w:r w:rsidRPr="00A338E5">
        <w:rPr>
          <w:rFonts w:cstheme="minorHAnsi"/>
        </w:rPr>
        <w:t>CDAC</w:t>
      </w:r>
      <w:r w:rsidRPr="00A338E5">
        <w:rPr>
          <w:rFonts w:cstheme="minorHAnsi"/>
          <w:spacing w:val="6"/>
        </w:rPr>
        <w:t xml:space="preserve"> </w:t>
      </w:r>
      <w:r w:rsidRPr="00A338E5">
        <w:rPr>
          <w:rFonts w:cstheme="minorHAnsi"/>
        </w:rPr>
        <w:t>M</w:t>
      </w:r>
      <w:r w:rsidRPr="00A338E5">
        <w:rPr>
          <w:rFonts w:cstheme="minorHAnsi"/>
          <w:spacing w:val="-1"/>
        </w:rPr>
        <w:t>e</w:t>
      </w:r>
      <w:r w:rsidRPr="00A338E5">
        <w:rPr>
          <w:rFonts w:cstheme="minorHAnsi"/>
        </w:rPr>
        <w:t>m</w:t>
      </w:r>
      <w:r w:rsidRPr="00A338E5">
        <w:rPr>
          <w:rFonts w:cstheme="minorHAnsi"/>
          <w:spacing w:val="2"/>
        </w:rPr>
        <w:t>b</w:t>
      </w:r>
      <w:r w:rsidRPr="00A338E5">
        <w:rPr>
          <w:rFonts w:cstheme="minorHAnsi"/>
          <w:spacing w:val="-1"/>
        </w:rPr>
        <w:t>er</w:t>
      </w:r>
      <w:r w:rsidRPr="00A338E5">
        <w:rPr>
          <w:rFonts w:cstheme="minorHAnsi"/>
        </w:rPr>
        <w:t>ship</w:t>
      </w:r>
      <w:r w:rsidRPr="00A338E5">
        <w:rPr>
          <w:rFonts w:cstheme="minorHAnsi"/>
          <w:spacing w:val="5"/>
        </w:rPr>
        <w:t xml:space="preserve"> </w:t>
      </w:r>
      <w:r w:rsidRPr="00A338E5">
        <w:rPr>
          <w:rFonts w:cstheme="minorHAnsi"/>
        </w:rPr>
        <w:t>is</w:t>
      </w:r>
      <w:r w:rsidRPr="00A338E5">
        <w:rPr>
          <w:rFonts w:cstheme="minorHAnsi"/>
          <w:spacing w:val="7"/>
        </w:rPr>
        <w:t xml:space="preserve"> </w:t>
      </w:r>
      <w:r w:rsidRPr="00A338E5">
        <w:rPr>
          <w:rFonts w:cstheme="minorHAnsi"/>
        </w:rPr>
        <w:t>no</w:t>
      </w:r>
      <w:r w:rsidRPr="00A338E5">
        <w:rPr>
          <w:rFonts w:cstheme="minorHAnsi"/>
          <w:spacing w:val="-1"/>
        </w:rPr>
        <w:t>r</w:t>
      </w:r>
      <w:r w:rsidRPr="00A338E5">
        <w:rPr>
          <w:rFonts w:cstheme="minorHAnsi"/>
        </w:rPr>
        <w:t>m</w:t>
      </w:r>
      <w:r w:rsidRPr="00A338E5">
        <w:rPr>
          <w:rFonts w:cstheme="minorHAnsi"/>
          <w:spacing w:val="-1"/>
        </w:rPr>
        <w:t>a</w:t>
      </w:r>
      <w:r w:rsidRPr="00A338E5">
        <w:rPr>
          <w:rFonts w:cstheme="minorHAnsi"/>
        </w:rPr>
        <w:t>l</w:t>
      </w:r>
      <w:r w:rsidRPr="00A338E5">
        <w:rPr>
          <w:rFonts w:cstheme="minorHAnsi"/>
          <w:spacing w:val="3"/>
        </w:rPr>
        <w:t>l</w:t>
      </w:r>
      <w:r w:rsidRPr="00A338E5">
        <w:rPr>
          <w:rFonts w:cstheme="minorHAnsi"/>
        </w:rPr>
        <w:t>y</w:t>
      </w:r>
      <w:r w:rsidRPr="00A338E5">
        <w:rPr>
          <w:rFonts w:cstheme="minorHAnsi"/>
          <w:spacing w:val="2"/>
        </w:rPr>
        <w:t xml:space="preserve"> </w:t>
      </w:r>
      <w:r w:rsidRPr="00A338E5">
        <w:rPr>
          <w:rFonts w:cstheme="minorHAnsi"/>
          <w:spacing w:val="-1"/>
        </w:rPr>
        <w:t>f</w:t>
      </w:r>
      <w:r w:rsidRPr="00A338E5">
        <w:rPr>
          <w:rFonts w:cstheme="minorHAnsi"/>
        </w:rPr>
        <w:t>or</w:t>
      </w:r>
      <w:r w:rsidRPr="00A338E5">
        <w:rPr>
          <w:rFonts w:cstheme="minorHAnsi"/>
          <w:spacing w:val="6"/>
        </w:rPr>
        <w:t xml:space="preserve"> </w:t>
      </w:r>
      <w:r w:rsidRPr="00A338E5">
        <w:rPr>
          <w:rFonts w:cstheme="minorHAnsi"/>
        </w:rPr>
        <w:t>a</w:t>
      </w:r>
      <w:r w:rsidRPr="00A338E5">
        <w:rPr>
          <w:rFonts w:cstheme="minorHAnsi"/>
          <w:spacing w:val="4"/>
        </w:rPr>
        <w:t xml:space="preserve"> </w:t>
      </w:r>
      <w:r w:rsidRPr="00A338E5">
        <w:rPr>
          <w:rFonts w:cstheme="minorHAnsi"/>
          <w:spacing w:val="2"/>
        </w:rPr>
        <w:t>p</w:t>
      </w:r>
      <w:r w:rsidRPr="00A338E5">
        <w:rPr>
          <w:rFonts w:cstheme="minorHAnsi"/>
          <w:spacing w:val="-1"/>
        </w:rPr>
        <w:t>er</w:t>
      </w:r>
      <w:r w:rsidRPr="00A338E5">
        <w:rPr>
          <w:rFonts w:cstheme="minorHAnsi"/>
        </w:rPr>
        <w:t>iod</w:t>
      </w:r>
      <w:r w:rsidRPr="00A338E5">
        <w:rPr>
          <w:rFonts w:cstheme="minorHAnsi"/>
          <w:spacing w:val="5"/>
        </w:rPr>
        <w:t xml:space="preserve"> </w:t>
      </w:r>
      <w:r w:rsidRPr="00A338E5">
        <w:rPr>
          <w:rFonts w:cstheme="minorHAnsi"/>
        </w:rPr>
        <w:t>of</w:t>
      </w:r>
      <w:r w:rsidRPr="00A338E5">
        <w:rPr>
          <w:rFonts w:cstheme="minorHAnsi"/>
          <w:spacing w:val="6"/>
        </w:rPr>
        <w:t xml:space="preserve"> four</w:t>
      </w:r>
      <w:r w:rsidRPr="00A338E5">
        <w:rPr>
          <w:rFonts w:cstheme="minorHAnsi"/>
          <w:spacing w:val="5"/>
        </w:rPr>
        <w:t xml:space="preserve"> </w:t>
      </w:r>
      <w:r w:rsidRPr="00A338E5">
        <w:rPr>
          <w:rFonts w:cstheme="minorHAnsi"/>
          <w:spacing w:val="-1"/>
        </w:rPr>
        <w:t>(4</w:t>
      </w:r>
      <w:r w:rsidRPr="00A338E5">
        <w:rPr>
          <w:rFonts w:cstheme="minorHAnsi"/>
        </w:rPr>
        <w:t>)</w:t>
      </w:r>
      <w:r w:rsidRPr="00A338E5">
        <w:rPr>
          <w:rFonts w:cstheme="minorHAnsi"/>
          <w:spacing w:val="9"/>
        </w:rPr>
        <w:t xml:space="preserve"> </w:t>
      </w:r>
      <w:r w:rsidRPr="00A338E5">
        <w:rPr>
          <w:rFonts w:cstheme="minorHAnsi"/>
          <w:spacing w:val="-5"/>
        </w:rPr>
        <w:t>y</w:t>
      </w:r>
      <w:r w:rsidRPr="00A338E5">
        <w:rPr>
          <w:rFonts w:cstheme="minorHAnsi"/>
          <w:spacing w:val="1"/>
        </w:rPr>
        <w:t>ea</w:t>
      </w:r>
      <w:r w:rsidRPr="00A338E5">
        <w:rPr>
          <w:rFonts w:cstheme="minorHAnsi"/>
          <w:spacing w:val="-1"/>
        </w:rPr>
        <w:t>r</w:t>
      </w:r>
      <w:r w:rsidRPr="00A338E5">
        <w:rPr>
          <w:rFonts w:cstheme="minorHAnsi"/>
        </w:rPr>
        <w:t xml:space="preserve">s </w:t>
      </w:r>
      <w:r w:rsidRPr="00A338E5">
        <w:rPr>
          <w:rFonts w:cstheme="minorHAnsi"/>
          <w:spacing w:val="-1"/>
        </w:rPr>
        <w:t>fr</w:t>
      </w:r>
      <w:r w:rsidRPr="00A338E5">
        <w:rPr>
          <w:rFonts w:cstheme="minorHAnsi"/>
        </w:rPr>
        <w:t>om</w:t>
      </w:r>
      <w:r w:rsidRPr="00A338E5">
        <w:rPr>
          <w:rFonts w:cstheme="minorHAnsi"/>
          <w:spacing w:val="5"/>
        </w:rPr>
        <w:t xml:space="preserve"> </w:t>
      </w:r>
      <w:r w:rsidRPr="00A338E5">
        <w:rPr>
          <w:rFonts w:cstheme="minorHAnsi"/>
        </w:rPr>
        <w:t>the</w:t>
      </w:r>
      <w:r w:rsidRPr="00A338E5">
        <w:rPr>
          <w:rFonts w:cstheme="minorHAnsi"/>
          <w:spacing w:val="4"/>
        </w:rPr>
        <w:t xml:space="preserve"> </w:t>
      </w:r>
      <w:r w:rsidRPr="00A338E5">
        <w:rPr>
          <w:rFonts w:cstheme="minorHAnsi"/>
        </w:rPr>
        <w:t>p</w:t>
      </w:r>
      <w:r w:rsidRPr="00A338E5">
        <w:rPr>
          <w:rFonts w:cstheme="minorHAnsi"/>
          <w:spacing w:val="-1"/>
        </w:rPr>
        <w:t>er</w:t>
      </w:r>
      <w:r w:rsidRPr="00A338E5">
        <w:rPr>
          <w:rFonts w:cstheme="minorHAnsi"/>
        </w:rPr>
        <w:t>iod</w:t>
      </w:r>
      <w:r w:rsidRPr="00A338E5">
        <w:rPr>
          <w:rFonts w:cstheme="minorHAnsi"/>
          <w:spacing w:val="5"/>
        </w:rPr>
        <w:t xml:space="preserve"> </w:t>
      </w:r>
      <w:r w:rsidRPr="00A338E5">
        <w:rPr>
          <w:rFonts w:cstheme="minorHAnsi"/>
        </w:rPr>
        <w:t>of</w:t>
      </w:r>
      <w:r w:rsidRPr="00A338E5">
        <w:rPr>
          <w:rFonts w:cstheme="minorHAnsi"/>
          <w:spacing w:val="4"/>
        </w:rPr>
        <w:t xml:space="preserve"> </w:t>
      </w:r>
      <w:r w:rsidRPr="00A338E5">
        <w:rPr>
          <w:rFonts w:cstheme="minorHAnsi"/>
        </w:rPr>
        <w:t>the</w:t>
      </w:r>
      <w:r w:rsidRPr="00A338E5">
        <w:rPr>
          <w:rFonts w:cstheme="minorHAnsi"/>
          <w:spacing w:val="4"/>
        </w:rPr>
        <w:t xml:space="preserve"> </w:t>
      </w:r>
      <w:r w:rsidRPr="00A338E5">
        <w:rPr>
          <w:rFonts w:cstheme="minorHAnsi"/>
          <w:spacing w:val="-1"/>
        </w:rPr>
        <w:t>ra</w:t>
      </w:r>
      <w:r w:rsidRPr="00A338E5">
        <w:rPr>
          <w:rFonts w:cstheme="minorHAnsi"/>
        </w:rPr>
        <w:t>ti</w:t>
      </w:r>
      <w:r w:rsidRPr="00A338E5">
        <w:rPr>
          <w:rFonts w:cstheme="minorHAnsi"/>
          <w:spacing w:val="-1"/>
        </w:rPr>
        <w:t>f</w:t>
      </w:r>
      <w:r w:rsidRPr="00A338E5">
        <w:rPr>
          <w:rFonts w:cstheme="minorHAnsi"/>
        </w:rPr>
        <w:t>i</w:t>
      </w:r>
      <w:r w:rsidRPr="00A338E5">
        <w:rPr>
          <w:rFonts w:cstheme="minorHAnsi"/>
          <w:spacing w:val="-1"/>
        </w:rPr>
        <w:t>ca</w:t>
      </w:r>
      <w:r w:rsidRPr="00A338E5">
        <w:rPr>
          <w:rFonts w:cstheme="minorHAnsi"/>
        </w:rPr>
        <w:t>tion</w:t>
      </w:r>
      <w:r w:rsidRPr="00A338E5">
        <w:rPr>
          <w:rFonts w:cstheme="minorHAnsi"/>
          <w:spacing w:val="5"/>
        </w:rPr>
        <w:t xml:space="preserve"> </w:t>
      </w:r>
      <w:r w:rsidRPr="00A338E5">
        <w:rPr>
          <w:rFonts w:cstheme="minorHAnsi"/>
        </w:rPr>
        <w:t>of</w:t>
      </w:r>
      <w:r w:rsidRPr="00A338E5">
        <w:rPr>
          <w:rFonts w:cstheme="minorHAnsi"/>
          <w:spacing w:val="4"/>
        </w:rPr>
        <w:t xml:space="preserve"> </w:t>
      </w:r>
      <w:r w:rsidRPr="00A338E5">
        <w:rPr>
          <w:rFonts w:cstheme="minorHAnsi"/>
        </w:rPr>
        <w:t>the</w:t>
      </w:r>
      <w:r w:rsidRPr="00A338E5">
        <w:rPr>
          <w:rFonts w:cstheme="minorHAnsi"/>
          <w:spacing w:val="4"/>
        </w:rPr>
        <w:t xml:space="preserve"> </w:t>
      </w:r>
      <w:r w:rsidRPr="00A338E5">
        <w:rPr>
          <w:rFonts w:cstheme="minorHAnsi"/>
        </w:rPr>
        <w:t>CDAC</w:t>
      </w:r>
      <w:r w:rsidRPr="00A338E5">
        <w:rPr>
          <w:rFonts w:cstheme="minorHAnsi"/>
          <w:spacing w:val="6"/>
        </w:rPr>
        <w:t xml:space="preserve"> </w:t>
      </w:r>
      <w:r w:rsidRPr="00A338E5">
        <w:rPr>
          <w:rFonts w:cstheme="minorHAnsi"/>
          <w:spacing w:val="-2"/>
        </w:rPr>
        <w:t>b</w:t>
      </w:r>
      <w:r w:rsidRPr="00A338E5">
        <w:rPr>
          <w:rFonts w:cstheme="minorHAnsi"/>
        </w:rPr>
        <w:t>y t</w:t>
      </w:r>
      <w:r w:rsidRPr="00A338E5">
        <w:rPr>
          <w:rFonts w:cstheme="minorHAnsi"/>
          <w:spacing w:val="2"/>
        </w:rPr>
        <w:t>h</w:t>
      </w:r>
      <w:r w:rsidRPr="00A338E5">
        <w:rPr>
          <w:rFonts w:cstheme="minorHAnsi"/>
        </w:rPr>
        <w:t>e</w:t>
      </w:r>
      <w:r w:rsidRPr="00A338E5">
        <w:rPr>
          <w:rFonts w:cstheme="minorHAnsi"/>
          <w:spacing w:val="4"/>
        </w:rPr>
        <w:t xml:space="preserve"> </w:t>
      </w:r>
      <w:r w:rsidRPr="00A338E5">
        <w:rPr>
          <w:rFonts w:cstheme="minorHAnsi"/>
          <w:spacing w:val="1"/>
        </w:rPr>
        <w:t>C</w:t>
      </w:r>
      <w:r w:rsidRPr="00A338E5">
        <w:rPr>
          <w:rFonts w:cstheme="minorHAnsi"/>
        </w:rPr>
        <w:t>oun</w:t>
      </w:r>
      <w:r w:rsidRPr="00A338E5">
        <w:rPr>
          <w:rFonts w:cstheme="minorHAnsi"/>
          <w:spacing w:val="-1"/>
        </w:rPr>
        <w:t>c</w:t>
      </w:r>
      <w:r w:rsidRPr="00A338E5">
        <w:rPr>
          <w:rFonts w:cstheme="minorHAnsi"/>
        </w:rPr>
        <w:t xml:space="preserve">il. </w:t>
      </w:r>
      <w:r w:rsidRPr="00A338E5">
        <w:rPr>
          <w:rFonts w:cstheme="minorHAnsi"/>
          <w:spacing w:val="-1"/>
        </w:rPr>
        <w:t>(</w:t>
      </w:r>
      <w:proofErr w:type="gramStart"/>
      <w:r w:rsidRPr="00A338E5">
        <w:rPr>
          <w:rFonts w:cstheme="minorHAnsi"/>
        </w:rPr>
        <w:t>G</w:t>
      </w:r>
      <w:r w:rsidRPr="00A338E5">
        <w:rPr>
          <w:rFonts w:cstheme="minorHAnsi"/>
          <w:spacing w:val="-1"/>
        </w:rPr>
        <w:t>en</w:t>
      </w:r>
      <w:r w:rsidRPr="00A338E5">
        <w:rPr>
          <w:rFonts w:cstheme="minorHAnsi"/>
          <w:spacing w:val="2"/>
        </w:rPr>
        <w:t>e</w:t>
      </w:r>
      <w:r w:rsidRPr="00A338E5">
        <w:rPr>
          <w:rFonts w:cstheme="minorHAnsi"/>
          <w:spacing w:val="-1"/>
        </w:rPr>
        <w:t>ra</w:t>
      </w:r>
      <w:r w:rsidRPr="00A338E5">
        <w:rPr>
          <w:rFonts w:cstheme="minorHAnsi"/>
        </w:rPr>
        <w:t>l</w:t>
      </w:r>
      <w:r w:rsidRPr="00A338E5">
        <w:rPr>
          <w:rFonts w:cstheme="minorHAnsi"/>
          <w:spacing w:val="5"/>
        </w:rPr>
        <w:t>l</w:t>
      </w:r>
      <w:r w:rsidRPr="00A338E5">
        <w:rPr>
          <w:rFonts w:cstheme="minorHAnsi"/>
        </w:rPr>
        <w:t>y</w:t>
      </w:r>
      <w:proofErr w:type="gramEnd"/>
      <w:r w:rsidRPr="00A338E5">
        <w:rPr>
          <w:rFonts w:cstheme="minorHAnsi"/>
        </w:rPr>
        <w:t xml:space="preserve"> t</w:t>
      </w:r>
      <w:r w:rsidRPr="00A338E5">
        <w:rPr>
          <w:rFonts w:cstheme="minorHAnsi"/>
          <w:spacing w:val="-1"/>
        </w:rPr>
        <w:t>h</w:t>
      </w:r>
      <w:r w:rsidRPr="00A338E5">
        <w:rPr>
          <w:rFonts w:cstheme="minorHAnsi"/>
        </w:rPr>
        <w:t>e</w:t>
      </w:r>
      <w:r w:rsidRPr="00A338E5">
        <w:rPr>
          <w:rFonts w:cstheme="minorHAnsi"/>
          <w:spacing w:val="5"/>
        </w:rPr>
        <w:t xml:space="preserve"> </w:t>
      </w:r>
      <w:r w:rsidRPr="00A338E5">
        <w:rPr>
          <w:rFonts w:cstheme="minorHAnsi"/>
          <w:spacing w:val="3"/>
        </w:rPr>
        <w:t>t</w:t>
      </w:r>
      <w:r w:rsidRPr="00A338E5">
        <w:rPr>
          <w:rFonts w:cstheme="minorHAnsi"/>
          <w:spacing w:val="-1"/>
        </w:rPr>
        <w:t>er</w:t>
      </w:r>
      <w:r w:rsidRPr="00A338E5">
        <w:rPr>
          <w:rFonts w:cstheme="minorHAnsi"/>
        </w:rPr>
        <w:t>m</w:t>
      </w:r>
      <w:r w:rsidRPr="00A338E5">
        <w:rPr>
          <w:rFonts w:cstheme="minorHAnsi"/>
          <w:spacing w:val="6"/>
        </w:rPr>
        <w:t xml:space="preserve"> </w:t>
      </w:r>
      <w:r w:rsidRPr="00A338E5">
        <w:rPr>
          <w:rFonts w:cstheme="minorHAnsi"/>
        </w:rPr>
        <w:t>is</w:t>
      </w:r>
      <w:r w:rsidRPr="00A338E5">
        <w:rPr>
          <w:rFonts w:cstheme="minorHAnsi"/>
          <w:spacing w:val="8"/>
        </w:rPr>
        <w:t xml:space="preserve"> </w:t>
      </w:r>
      <w:r w:rsidRPr="00A338E5">
        <w:rPr>
          <w:rFonts w:cstheme="minorHAnsi"/>
          <w:spacing w:val="-1"/>
        </w:rPr>
        <w:t>f</w:t>
      </w:r>
      <w:r w:rsidRPr="00A338E5">
        <w:rPr>
          <w:rFonts w:cstheme="minorHAnsi"/>
          <w:spacing w:val="2"/>
        </w:rPr>
        <w:t>r</w:t>
      </w:r>
      <w:r w:rsidRPr="00A338E5">
        <w:rPr>
          <w:rFonts w:cstheme="minorHAnsi"/>
          <w:spacing w:val="-1"/>
        </w:rPr>
        <w:t>o</w:t>
      </w:r>
      <w:r w:rsidRPr="00A338E5">
        <w:rPr>
          <w:rFonts w:cstheme="minorHAnsi"/>
        </w:rPr>
        <w:t>m</w:t>
      </w:r>
      <w:r w:rsidRPr="00A338E5">
        <w:rPr>
          <w:rFonts w:cstheme="minorHAnsi"/>
          <w:spacing w:val="7"/>
        </w:rPr>
        <w:t xml:space="preserve"> </w:t>
      </w:r>
      <w:r w:rsidRPr="00A338E5">
        <w:rPr>
          <w:rFonts w:cstheme="minorHAnsi"/>
        </w:rPr>
        <w:t>N</w:t>
      </w:r>
      <w:r w:rsidRPr="00A338E5">
        <w:rPr>
          <w:rFonts w:cstheme="minorHAnsi"/>
          <w:spacing w:val="-1"/>
        </w:rPr>
        <w:t>ov</w:t>
      </w:r>
      <w:r w:rsidRPr="00A338E5">
        <w:rPr>
          <w:rFonts w:cstheme="minorHAnsi"/>
          <w:spacing w:val="1"/>
        </w:rPr>
        <w:t>e</w:t>
      </w:r>
      <w:r w:rsidRPr="00A338E5">
        <w:rPr>
          <w:rFonts w:cstheme="minorHAnsi"/>
        </w:rPr>
        <w:t>m</w:t>
      </w:r>
      <w:r w:rsidRPr="00A338E5">
        <w:rPr>
          <w:rFonts w:cstheme="minorHAnsi"/>
          <w:spacing w:val="-1"/>
        </w:rPr>
        <w:t>b</w:t>
      </w:r>
      <w:r w:rsidRPr="00A338E5">
        <w:rPr>
          <w:rFonts w:cstheme="minorHAnsi"/>
        </w:rPr>
        <w:t>er</w:t>
      </w:r>
      <w:r w:rsidRPr="00A338E5">
        <w:rPr>
          <w:rFonts w:cstheme="minorHAnsi"/>
          <w:spacing w:val="7"/>
        </w:rPr>
        <w:t xml:space="preserve"> </w:t>
      </w:r>
      <w:r w:rsidRPr="00A338E5">
        <w:rPr>
          <w:rFonts w:cstheme="minorHAnsi"/>
          <w:spacing w:val="-1"/>
        </w:rPr>
        <w:t>af</w:t>
      </w:r>
      <w:r w:rsidRPr="00A338E5">
        <w:rPr>
          <w:rFonts w:cstheme="minorHAnsi"/>
          <w:spacing w:val="3"/>
        </w:rPr>
        <w:t>t</w:t>
      </w:r>
      <w:r w:rsidRPr="00A338E5">
        <w:rPr>
          <w:rFonts w:cstheme="minorHAnsi"/>
          <w:spacing w:val="-1"/>
        </w:rPr>
        <w:t>e</w:t>
      </w:r>
      <w:r w:rsidRPr="00A338E5">
        <w:rPr>
          <w:rFonts w:cstheme="minorHAnsi"/>
        </w:rPr>
        <w:t>r</w:t>
      </w:r>
      <w:r w:rsidRPr="00A338E5">
        <w:rPr>
          <w:rFonts w:cstheme="minorHAnsi"/>
          <w:spacing w:val="4"/>
        </w:rPr>
        <w:t xml:space="preserve"> </w:t>
      </w:r>
      <w:r w:rsidRPr="00A338E5">
        <w:rPr>
          <w:rFonts w:cstheme="minorHAnsi"/>
        </w:rPr>
        <w:t>t</w:t>
      </w:r>
      <w:r w:rsidRPr="00A338E5">
        <w:rPr>
          <w:rFonts w:cstheme="minorHAnsi"/>
          <w:spacing w:val="-1"/>
        </w:rPr>
        <w:t>h</w:t>
      </w:r>
      <w:r w:rsidRPr="00A338E5">
        <w:rPr>
          <w:rFonts w:cstheme="minorHAnsi"/>
        </w:rPr>
        <w:t>e</w:t>
      </w:r>
      <w:r w:rsidRPr="00A338E5">
        <w:rPr>
          <w:rFonts w:cstheme="minorHAnsi"/>
          <w:spacing w:val="10"/>
        </w:rPr>
        <w:t xml:space="preserve"> </w:t>
      </w:r>
      <w:r w:rsidRPr="00A338E5">
        <w:rPr>
          <w:rFonts w:cstheme="minorHAnsi"/>
        </w:rPr>
        <w:t>O</w:t>
      </w:r>
      <w:r w:rsidRPr="00A338E5">
        <w:rPr>
          <w:rFonts w:cstheme="minorHAnsi"/>
          <w:spacing w:val="-1"/>
        </w:rPr>
        <w:t>rd</w:t>
      </w:r>
      <w:r w:rsidRPr="00A338E5">
        <w:rPr>
          <w:rFonts w:cstheme="minorHAnsi"/>
          <w:spacing w:val="1"/>
        </w:rPr>
        <w:t>i</w:t>
      </w:r>
      <w:r w:rsidRPr="00A338E5">
        <w:rPr>
          <w:rFonts w:cstheme="minorHAnsi"/>
          <w:spacing w:val="-1"/>
        </w:rPr>
        <w:t>n</w:t>
      </w:r>
      <w:r w:rsidRPr="00A338E5">
        <w:rPr>
          <w:rFonts w:cstheme="minorHAnsi"/>
        </w:rPr>
        <w:t>a</w:t>
      </w:r>
      <w:r w:rsidRPr="00A338E5">
        <w:rPr>
          <w:rFonts w:cstheme="minorHAnsi"/>
          <w:spacing w:val="4"/>
        </w:rPr>
        <w:t>r</w:t>
      </w:r>
      <w:r w:rsidRPr="00A338E5">
        <w:rPr>
          <w:rFonts w:cstheme="minorHAnsi"/>
        </w:rPr>
        <w:t>y l</w:t>
      </w:r>
      <w:r w:rsidRPr="00A338E5">
        <w:rPr>
          <w:rFonts w:cstheme="minorHAnsi"/>
          <w:spacing w:val="2"/>
        </w:rPr>
        <w:t>o</w:t>
      </w:r>
      <w:r w:rsidRPr="00A338E5">
        <w:rPr>
          <w:rFonts w:cstheme="minorHAnsi"/>
          <w:spacing w:val="-1"/>
        </w:rPr>
        <w:t xml:space="preserve">cal </w:t>
      </w:r>
      <w:r w:rsidRPr="00A338E5">
        <w:rPr>
          <w:rFonts w:cstheme="minorHAnsi"/>
          <w:spacing w:val="-2"/>
        </w:rPr>
        <w:t>g</w:t>
      </w:r>
      <w:r w:rsidRPr="00A338E5">
        <w:rPr>
          <w:rFonts w:cstheme="minorHAnsi"/>
        </w:rPr>
        <w:t>ov</w:t>
      </w:r>
      <w:r w:rsidRPr="00A338E5">
        <w:rPr>
          <w:rFonts w:cstheme="minorHAnsi"/>
          <w:spacing w:val="1"/>
        </w:rPr>
        <w:t>e</w:t>
      </w:r>
      <w:r w:rsidRPr="00A338E5">
        <w:rPr>
          <w:rFonts w:cstheme="minorHAnsi"/>
          <w:spacing w:val="-1"/>
        </w:rPr>
        <w:t>r</w:t>
      </w:r>
      <w:r w:rsidRPr="00A338E5">
        <w:rPr>
          <w:rFonts w:cstheme="minorHAnsi"/>
        </w:rPr>
        <w:t>nm</w:t>
      </w:r>
      <w:r w:rsidRPr="00A338E5">
        <w:rPr>
          <w:rFonts w:cstheme="minorHAnsi"/>
          <w:spacing w:val="-1"/>
        </w:rPr>
        <w:t>e</w:t>
      </w:r>
      <w:r w:rsidRPr="00A338E5">
        <w:rPr>
          <w:rFonts w:cstheme="minorHAnsi"/>
        </w:rPr>
        <w:t>nt</w:t>
      </w:r>
      <w:r w:rsidRPr="00A338E5">
        <w:rPr>
          <w:rFonts w:cstheme="minorHAnsi"/>
          <w:spacing w:val="1"/>
        </w:rPr>
        <w:t xml:space="preserve"> </w:t>
      </w:r>
      <w:r w:rsidRPr="00A338E5">
        <w:rPr>
          <w:rFonts w:cstheme="minorHAnsi"/>
          <w:spacing w:val="-1"/>
        </w:rPr>
        <w:t>e</w:t>
      </w:r>
      <w:r w:rsidRPr="00A338E5">
        <w:rPr>
          <w:rFonts w:cstheme="minorHAnsi"/>
        </w:rPr>
        <w:t>l</w:t>
      </w:r>
      <w:r w:rsidRPr="00A338E5">
        <w:rPr>
          <w:rFonts w:cstheme="minorHAnsi"/>
          <w:spacing w:val="1"/>
        </w:rPr>
        <w:t>e</w:t>
      </w:r>
      <w:r w:rsidRPr="00A338E5">
        <w:rPr>
          <w:rFonts w:cstheme="minorHAnsi"/>
          <w:spacing w:val="-1"/>
        </w:rPr>
        <w:t>c</w:t>
      </w:r>
      <w:r w:rsidRPr="00A338E5">
        <w:rPr>
          <w:rFonts w:cstheme="minorHAnsi"/>
        </w:rPr>
        <w:t>tions</w:t>
      </w:r>
      <w:r w:rsidRPr="00A338E5">
        <w:rPr>
          <w:rFonts w:cstheme="minorHAnsi"/>
          <w:spacing w:val="1"/>
        </w:rPr>
        <w:t xml:space="preserve"> </w:t>
      </w:r>
      <w:r w:rsidRPr="00A338E5">
        <w:rPr>
          <w:rFonts w:cstheme="minorHAnsi"/>
        </w:rPr>
        <w:t>to</w:t>
      </w:r>
      <w:r w:rsidRPr="00A338E5">
        <w:rPr>
          <w:rFonts w:cstheme="minorHAnsi"/>
          <w:spacing w:val="1"/>
        </w:rPr>
        <w:t xml:space="preserve"> </w:t>
      </w:r>
      <w:r w:rsidRPr="00A338E5">
        <w:rPr>
          <w:rFonts w:cstheme="minorHAnsi"/>
        </w:rPr>
        <w:t>O</w:t>
      </w:r>
      <w:r w:rsidRPr="00A338E5">
        <w:rPr>
          <w:rFonts w:cstheme="minorHAnsi"/>
          <w:spacing w:val="-1"/>
        </w:rPr>
        <w:t>c</w:t>
      </w:r>
      <w:r w:rsidRPr="00A338E5">
        <w:rPr>
          <w:rFonts w:cstheme="minorHAnsi"/>
        </w:rPr>
        <w:t>tob</w:t>
      </w:r>
      <w:r w:rsidRPr="00A338E5">
        <w:rPr>
          <w:rFonts w:cstheme="minorHAnsi"/>
          <w:spacing w:val="-1"/>
        </w:rPr>
        <w:t>e</w:t>
      </w:r>
      <w:r w:rsidRPr="00A338E5">
        <w:rPr>
          <w:rFonts w:cstheme="minorHAnsi"/>
        </w:rPr>
        <w:t>r of t</w:t>
      </w:r>
      <w:r w:rsidRPr="00A338E5">
        <w:rPr>
          <w:rFonts w:cstheme="minorHAnsi"/>
          <w:spacing w:val="2"/>
        </w:rPr>
        <w:t>h</w:t>
      </w:r>
      <w:r w:rsidRPr="00A338E5">
        <w:rPr>
          <w:rFonts w:cstheme="minorHAnsi"/>
        </w:rPr>
        <w:t>e fourth</w:t>
      </w:r>
      <w:r w:rsidRPr="00A338E5">
        <w:rPr>
          <w:rFonts w:cstheme="minorHAnsi"/>
          <w:spacing w:val="6"/>
        </w:rPr>
        <w:t xml:space="preserve"> </w:t>
      </w:r>
      <w:r w:rsidRPr="00A338E5">
        <w:rPr>
          <w:rFonts w:cstheme="minorHAnsi"/>
          <w:spacing w:val="-5"/>
        </w:rPr>
        <w:t>y</w:t>
      </w:r>
      <w:r w:rsidRPr="00A338E5">
        <w:rPr>
          <w:rFonts w:cstheme="minorHAnsi"/>
          <w:spacing w:val="1"/>
        </w:rPr>
        <w:t>e</w:t>
      </w:r>
      <w:r w:rsidRPr="00A338E5">
        <w:rPr>
          <w:rFonts w:cstheme="minorHAnsi"/>
          <w:spacing w:val="-1"/>
        </w:rPr>
        <w:t>ar</w:t>
      </w:r>
      <w:r>
        <w:rPr>
          <w:rFonts w:cstheme="minorHAnsi"/>
          <w:spacing w:val="-1"/>
        </w:rPr>
        <w:t>.</w:t>
      </w:r>
      <w:r w:rsidRPr="00A338E5">
        <w:rPr>
          <w:rFonts w:cstheme="minorHAnsi"/>
          <w:spacing w:val="-1"/>
        </w:rPr>
        <w:t>)</w:t>
      </w:r>
    </w:p>
    <w:p w14:paraId="1BC18201" w14:textId="77777777" w:rsidR="00082DB7" w:rsidRPr="00A338E5" w:rsidRDefault="00082DB7" w:rsidP="00082DB7">
      <w:pPr>
        <w:widowControl w:val="0"/>
        <w:spacing w:after="60" w:line="240" w:lineRule="auto"/>
        <w:ind w:left="425" w:right="73" w:hanging="425"/>
        <w:jc w:val="both"/>
        <w:rPr>
          <w:rFonts w:cstheme="minorHAnsi"/>
        </w:rPr>
      </w:pPr>
      <w:r w:rsidRPr="00A338E5">
        <w:rPr>
          <w:rFonts w:cstheme="minorHAnsi"/>
        </w:rPr>
        <w:t>3.</w:t>
      </w:r>
      <w:r w:rsidRPr="00A338E5">
        <w:rPr>
          <w:rFonts w:cstheme="minorHAnsi"/>
        </w:rPr>
        <w:tab/>
        <w:t>O</w:t>
      </w:r>
      <w:r w:rsidRPr="00A338E5">
        <w:rPr>
          <w:rFonts w:cstheme="minorHAnsi"/>
          <w:spacing w:val="-1"/>
        </w:rPr>
        <w:t>n</w:t>
      </w:r>
      <w:r w:rsidRPr="00A338E5">
        <w:rPr>
          <w:rFonts w:cstheme="minorHAnsi"/>
        </w:rPr>
        <w:t>ce s</w:t>
      </w:r>
      <w:r w:rsidRPr="00A338E5">
        <w:rPr>
          <w:rFonts w:cstheme="minorHAnsi"/>
          <w:spacing w:val="-1"/>
        </w:rPr>
        <w:t>e</w:t>
      </w:r>
      <w:r w:rsidRPr="00A338E5">
        <w:rPr>
          <w:rFonts w:cstheme="minorHAnsi"/>
        </w:rPr>
        <w:t>l</w:t>
      </w:r>
      <w:r w:rsidRPr="00A338E5">
        <w:rPr>
          <w:rFonts w:cstheme="minorHAnsi"/>
          <w:spacing w:val="1"/>
        </w:rPr>
        <w:t>e</w:t>
      </w:r>
      <w:r w:rsidRPr="00A338E5">
        <w:rPr>
          <w:rFonts w:cstheme="minorHAnsi"/>
          <w:spacing w:val="-1"/>
        </w:rPr>
        <w:t>c</w:t>
      </w:r>
      <w:r w:rsidRPr="00A338E5">
        <w:rPr>
          <w:rFonts w:cstheme="minorHAnsi"/>
        </w:rPr>
        <w:t>t</w:t>
      </w:r>
      <w:r w:rsidRPr="00A338E5">
        <w:rPr>
          <w:rFonts w:cstheme="minorHAnsi"/>
          <w:spacing w:val="-1"/>
        </w:rPr>
        <w:t>e</w:t>
      </w:r>
      <w:r w:rsidRPr="00A338E5">
        <w:rPr>
          <w:rFonts w:cstheme="minorHAnsi"/>
        </w:rPr>
        <w:t xml:space="preserve">d </w:t>
      </w:r>
      <w:r w:rsidRPr="00A338E5">
        <w:rPr>
          <w:rFonts w:cstheme="minorHAnsi"/>
          <w:spacing w:val="2"/>
        </w:rPr>
        <w:t>b</w:t>
      </w:r>
      <w:r w:rsidRPr="00A338E5">
        <w:rPr>
          <w:rFonts w:cstheme="minorHAnsi"/>
        </w:rPr>
        <w:t>y t</w:t>
      </w:r>
      <w:r w:rsidRPr="00A338E5">
        <w:rPr>
          <w:rFonts w:cstheme="minorHAnsi"/>
          <w:spacing w:val="2"/>
        </w:rPr>
        <w:t>h</w:t>
      </w:r>
      <w:r w:rsidRPr="00A338E5">
        <w:rPr>
          <w:rFonts w:cstheme="minorHAnsi"/>
        </w:rPr>
        <w:t xml:space="preserve">e </w:t>
      </w:r>
      <w:r w:rsidRPr="00A338E5">
        <w:rPr>
          <w:rFonts w:cstheme="minorHAnsi"/>
          <w:spacing w:val="1"/>
        </w:rPr>
        <w:t>Council</w:t>
      </w:r>
      <w:r w:rsidRPr="00A338E5">
        <w:rPr>
          <w:rFonts w:cstheme="minorHAnsi"/>
        </w:rPr>
        <w:t>,</w:t>
      </w:r>
      <w:r w:rsidRPr="00A338E5">
        <w:rPr>
          <w:rFonts w:cstheme="minorHAnsi"/>
          <w:spacing w:val="50"/>
        </w:rPr>
        <w:t xml:space="preserve"> </w:t>
      </w:r>
      <w:r w:rsidRPr="00A338E5">
        <w:rPr>
          <w:rFonts w:cstheme="minorHAnsi"/>
        </w:rPr>
        <w:t>if</w:t>
      </w:r>
      <w:r w:rsidRPr="00A338E5">
        <w:rPr>
          <w:rFonts w:cstheme="minorHAnsi"/>
          <w:spacing w:val="50"/>
        </w:rPr>
        <w:t xml:space="preserve"> </w:t>
      </w:r>
      <w:r w:rsidRPr="00A338E5">
        <w:rPr>
          <w:rFonts w:cstheme="minorHAnsi"/>
        </w:rPr>
        <w:t>a</w:t>
      </w:r>
      <w:r w:rsidRPr="00A338E5">
        <w:rPr>
          <w:rFonts w:cstheme="minorHAnsi"/>
          <w:spacing w:val="49"/>
        </w:rPr>
        <w:t xml:space="preserve"> </w:t>
      </w:r>
      <w:r w:rsidRPr="00A338E5">
        <w:rPr>
          <w:rFonts w:cstheme="minorHAnsi"/>
        </w:rPr>
        <w:t>m</w:t>
      </w:r>
      <w:r w:rsidRPr="00A338E5">
        <w:rPr>
          <w:rFonts w:cstheme="minorHAnsi"/>
          <w:spacing w:val="-1"/>
        </w:rPr>
        <w:t>e</w:t>
      </w:r>
      <w:r w:rsidRPr="00A338E5">
        <w:rPr>
          <w:rFonts w:cstheme="minorHAnsi"/>
        </w:rPr>
        <w:t>m</w:t>
      </w:r>
      <w:r w:rsidRPr="00A338E5">
        <w:rPr>
          <w:rFonts w:cstheme="minorHAnsi"/>
          <w:spacing w:val="-1"/>
        </w:rPr>
        <w:t>b</w:t>
      </w:r>
      <w:r w:rsidRPr="00A338E5">
        <w:rPr>
          <w:rFonts w:cstheme="minorHAnsi"/>
        </w:rPr>
        <w:t>er</w:t>
      </w:r>
      <w:r w:rsidRPr="00A338E5">
        <w:rPr>
          <w:rFonts w:cstheme="minorHAnsi"/>
          <w:spacing w:val="52"/>
        </w:rPr>
        <w:t xml:space="preserve"> </w:t>
      </w:r>
      <w:r w:rsidRPr="00A338E5">
        <w:rPr>
          <w:rFonts w:cstheme="minorHAnsi"/>
          <w:spacing w:val="-1"/>
        </w:rPr>
        <w:t>fa</w:t>
      </w:r>
      <w:r w:rsidRPr="00A338E5">
        <w:rPr>
          <w:rFonts w:cstheme="minorHAnsi"/>
        </w:rPr>
        <w:t>ils</w:t>
      </w:r>
      <w:r w:rsidRPr="00A338E5">
        <w:rPr>
          <w:rFonts w:cstheme="minorHAnsi"/>
          <w:spacing w:val="51"/>
        </w:rPr>
        <w:t xml:space="preserve"> </w:t>
      </w:r>
      <w:r w:rsidRPr="00A338E5">
        <w:rPr>
          <w:rFonts w:cstheme="minorHAnsi"/>
        </w:rPr>
        <w:t>to</w:t>
      </w:r>
      <w:r w:rsidRPr="00A338E5">
        <w:rPr>
          <w:rFonts w:cstheme="minorHAnsi"/>
          <w:spacing w:val="50"/>
        </w:rPr>
        <w:t xml:space="preserve"> </w:t>
      </w:r>
      <w:r w:rsidRPr="00A338E5">
        <w:rPr>
          <w:rFonts w:cstheme="minorHAnsi"/>
          <w:spacing w:val="-1"/>
        </w:rPr>
        <w:t>a</w:t>
      </w:r>
      <w:r w:rsidRPr="00A338E5">
        <w:rPr>
          <w:rFonts w:cstheme="minorHAnsi"/>
        </w:rPr>
        <w:t>tt</w:t>
      </w:r>
      <w:r w:rsidRPr="00A338E5">
        <w:rPr>
          <w:rFonts w:cstheme="minorHAnsi"/>
          <w:spacing w:val="-1"/>
        </w:rPr>
        <w:t>en</w:t>
      </w:r>
      <w:r w:rsidRPr="00A338E5">
        <w:rPr>
          <w:rFonts w:cstheme="minorHAnsi"/>
        </w:rPr>
        <w:t>d</w:t>
      </w:r>
      <w:r w:rsidRPr="00A338E5">
        <w:rPr>
          <w:rFonts w:cstheme="minorHAnsi"/>
          <w:spacing w:val="51"/>
        </w:rPr>
        <w:t xml:space="preserve"> </w:t>
      </w:r>
      <w:r w:rsidRPr="00A338E5">
        <w:rPr>
          <w:rFonts w:cstheme="minorHAnsi"/>
        </w:rPr>
        <w:t>t</w:t>
      </w:r>
      <w:r w:rsidRPr="00A338E5">
        <w:rPr>
          <w:rFonts w:cstheme="minorHAnsi"/>
          <w:spacing w:val="-1"/>
        </w:rPr>
        <w:t>h</w:t>
      </w:r>
      <w:r w:rsidRPr="00A338E5">
        <w:rPr>
          <w:rFonts w:cstheme="minorHAnsi"/>
        </w:rPr>
        <w:t>r</w:t>
      </w:r>
      <w:r w:rsidRPr="00A338E5">
        <w:rPr>
          <w:rFonts w:cstheme="minorHAnsi"/>
          <w:spacing w:val="-1"/>
        </w:rPr>
        <w:t>e</w:t>
      </w:r>
      <w:r w:rsidRPr="00A338E5">
        <w:rPr>
          <w:rFonts w:cstheme="minorHAnsi"/>
        </w:rPr>
        <w:t>e</w:t>
      </w:r>
      <w:r w:rsidRPr="00A338E5">
        <w:rPr>
          <w:rFonts w:cstheme="minorHAnsi"/>
          <w:spacing w:val="52"/>
        </w:rPr>
        <w:t xml:space="preserve"> </w:t>
      </w:r>
      <w:r w:rsidRPr="00A338E5">
        <w:rPr>
          <w:rFonts w:cstheme="minorHAnsi"/>
          <w:spacing w:val="-1"/>
        </w:rPr>
        <w:t>(</w:t>
      </w:r>
      <w:r w:rsidRPr="00A338E5">
        <w:rPr>
          <w:rFonts w:cstheme="minorHAnsi"/>
          <w:spacing w:val="2"/>
        </w:rPr>
        <w:t>3</w:t>
      </w:r>
      <w:r w:rsidRPr="00A338E5">
        <w:rPr>
          <w:rFonts w:cstheme="minorHAnsi"/>
        </w:rPr>
        <w:t>)</w:t>
      </w:r>
      <w:r w:rsidRPr="00A338E5">
        <w:rPr>
          <w:rFonts w:cstheme="minorHAnsi"/>
          <w:spacing w:val="50"/>
        </w:rPr>
        <w:t xml:space="preserve"> </w:t>
      </w:r>
      <w:r w:rsidRPr="00A338E5">
        <w:rPr>
          <w:rFonts w:cstheme="minorHAnsi"/>
          <w:spacing w:val="-1"/>
        </w:rPr>
        <w:t>con</w:t>
      </w:r>
      <w:r w:rsidRPr="00A338E5">
        <w:rPr>
          <w:rFonts w:cstheme="minorHAnsi"/>
          <w:spacing w:val="2"/>
        </w:rPr>
        <w:t>s</w:t>
      </w:r>
      <w:r w:rsidRPr="00A338E5">
        <w:rPr>
          <w:rFonts w:cstheme="minorHAnsi"/>
          <w:spacing w:val="-1"/>
        </w:rPr>
        <w:t>ecu</w:t>
      </w:r>
      <w:r w:rsidRPr="00A338E5">
        <w:rPr>
          <w:rFonts w:cstheme="minorHAnsi"/>
          <w:spacing w:val="1"/>
        </w:rPr>
        <w:t>t</w:t>
      </w:r>
      <w:r w:rsidRPr="00A338E5">
        <w:rPr>
          <w:rFonts w:cstheme="minorHAnsi"/>
        </w:rPr>
        <w:t>i</w:t>
      </w:r>
      <w:r w:rsidRPr="00A338E5">
        <w:rPr>
          <w:rFonts w:cstheme="minorHAnsi"/>
          <w:spacing w:val="-1"/>
        </w:rPr>
        <w:t xml:space="preserve">ve </w:t>
      </w:r>
      <w:r w:rsidRPr="00A338E5">
        <w:rPr>
          <w:rFonts w:cstheme="minorHAnsi"/>
        </w:rPr>
        <w:t>m</w:t>
      </w:r>
      <w:r w:rsidRPr="00A338E5">
        <w:rPr>
          <w:rFonts w:cstheme="minorHAnsi"/>
          <w:spacing w:val="-1"/>
        </w:rPr>
        <w:t>ee</w:t>
      </w:r>
      <w:r w:rsidRPr="00A338E5">
        <w:rPr>
          <w:rFonts w:cstheme="minorHAnsi"/>
        </w:rPr>
        <w:t>tin</w:t>
      </w:r>
      <w:r w:rsidRPr="00A338E5">
        <w:rPr>
          <w:rFonts w:cstheme="minorHAnsi"/>
          <w:spacing w:val="-2"/>
        </w:rPr>
        <w:t>g</w:t>
      </w:r>
      <w:r w:rsidRPr="00A338E5">
        <w:rPr>
          <w:rFonts w:cstheme="minorHAnsi"/>
        </w:rPr>
        <w:t>s of the CDAC, his/h</w:t>
      </w:r>
      <w:r w:rsidRPr="00A338E5">
        <w:rPr>
          <w:rFonts w:cstheme="minorHAnsi"/>
          <w:spacing w:val="-1"/>
        </w:rPr>
        <w:t>e</w:t>
      </w:r>
      <w:r w:rsidRPr="00A338E5">
        <w:rPr>
          <w:rFonts w:cstheme="minorHAnsi"/>
        </w:rPr>
        <w:t xml:space="preserve">r </w:t>
      </w:r>
      <w:r w:rsidRPr="00A338E5">
        <w:rPr>
          <w:rFonts w:cstheme="minorHAnsi"/>
          <w:spacing w:val="-1"/>
        </w:rPr>
        <w:t>a</w:t>
      </w:r>
      <w:r w:rsidRPr="00A338E5">
        <w:rPr>
          <w:rFonts w:cstheme="minorHAnsi"/>
        </w:rPr>
        <w:t>ppointm</w:t>
      </w:r>
      <w:r w:rsidRPr="00A338E5">
        <w:rPr>
          <w:rFonts w:cstheme="minorHAnsi"/>
          <w:spacing w:val="-1"/>
        </w:rPr>
        <w:t>e</w:t>
      </w:r>
      <w:r w:rsidRPr="00A338E5">
        <w:rPr>
          <w:rFonts w:cstheme="minorHAnsi"/>
        </w:rPr>
        <w:t>nt sh</w:t>
      </w:r>
      <w:r w:rsidRPr="00A338E5">
        <w:rPr>
          <w:rFonts w:cstheme="minorHAnsi"/>
          <w:spacing w:val="-1"/>
        </w:rPr>
        <w:t>a</w:t>
      </w:r>
      <w:r w:rsidRPr="00A338E5">
        <w:rPr>
          <w:rFonts w:cstheme="minorHAnsi"/>
        </w:rPr>
        <w:t>ll</w:t>
      </w:r>
      <w:r w:rsidRPr="00A338E5">
        <w:rPr>
          <w:rFonts w:cstheme="minorHAnsi"/>
          <w:spacing w:val="2"/>
        </w:rPr>
        <w:t xml:space="preserve"> </w:t>
      </w:r>
      <w:r w:rsidRPr="00A338E5">
        <w:rPr>
          <w:rFonts w:cstheme="minorHAnsi"/>
        </w:rPr>
        <w:t xml:space="preserve">be </w:t>
      </w:r>
      <w:r w:rsidRPr="00A338E5">
        <w:rPr>
          <w:rFonts w:cstheme="minorHAnsi"/>
          <w:spacing w:val="-1"/>
        </w:rPr>
        <w:t>a</w:t>
      </w:r>
      <w:r w:rsidRPr="00A338E5">
        <w:rPr>
          <w:rFonts w:cstheme="minorHAnsi"/>
        </w:rPr>
        <w:t>utom</w:t>
      </w:r>
      <w:r w:rsidRPr="00A338E5">
        <w:rPr>
          <w:rFonts w:cstheme="minorHAnsi"/>
          <w:spacing w:val="-1"/>
        </w:rPr>
        <w:t>a</w:t>
      </w:r>
      <w:r w:rsidRPr="00A338E5">
        <w:rPr>
          <w:rFonts w:cstheme="minorHAnsi"/>
        </w:rPr>
        <w:t>ti</w:t>
      </w:r>
      <w:r w:rsidRPr="00A338E5">
        <w:rPr>
          <w:rFonts w:cstheme="minorHAnsi"/>
          <w:spacing w:val="-1"/>
        </w:rPr>
        <w:t>ca</w:t>
      </w:r>
      <w:r w:rsidRPr="00A338E5">
        <w:rPr>
          <w:rFonts w:cstheme="minorHAnsi"/>
        </w:rPr>
        <w:t>l</w:t>
      </w:r>
      <w:r w:rsidRPr="00A338E5">
        <w:rPr>
          <w:rFonts w:cstheme="minorHAnsi"/>
          <w:spacing w:val="3"/>
        </w:rPr>
        <w:t>l</w:t>
      </w:r>
      <w:r w:rsidRPr="00A338E5">
        <w:rPr>
          <w:rFonts w:cstheme="minorHAnsi"/>
        </w:rPr>
        <w:t xml:space="preserve">y </w:t>
      </w:r>
      <w:r w:rsidRPr="00A338E5">
        <w:rPr>
          <w:rFonts w:cstheme="minorHAnsi"/>
          <w:spacing w:val="3"/>
        </w:rPr>
        <w:t>t</w:t>
      </w:r>
      <w:r w:rsidRPr="00A338E5">
        <w:rPr>
          <w:rFonts w:cstheme="minorHAnsi"/>
          <w:spacing w:val="-1"/>
        </w:rPr>
        <w:t>er</w:t>
      </w:r>
      <w:r w:rsidRPr="00A338E5">
        <w:rPr>
          <w:rFonts w:cstheme="minorHAnsi"/>
        </w:rPr>
        <w:t>min</w:t>
      </w:r>
      <w:r w:rsidRPr="00A338E5">
        <w:rPr>
          <w:rFonts w:cstheme="minorHAnsi"/>
          <w:spacing w:val="-1"/>
        </w:rPr>
        <w:t>a</w:t>
      </w:r>
      <w:r w:rsidRPr="00A338E5">
        <w:rPr>
          <w:rFonts w:cstheme="minorHAnsi"/>
        </w:rPr>
        <w:t>t</w:t>
      </w:r>
      <w:r w:rsidRPr="00A338E5">
        <w:rPr>
          <w:rFonts w:cstheme="minorHAnsi"/>
          <w:spacing w:val="-1"/>
        </w:rPr>
        <w:t>e</w:t>
      </w:r>
      <w:r w:rsidRPr="00A338E5">
        <w:rPr>
          <w:rFonts w:cstheme="minorHAnsi"/>
          <w:spacing w:val="2"/>
        </w:rPr>
        <w:t>d</w:t>
      </w:r>
      <w:r w:rsidRPr="00A338E5">
        <w:rPr>
          <w:rFonts w:cstheme="minorHAnsi"/>
        </w:rPr>
        <w:t>,</w:t>
      </w:r>
      <w:r w:rsidRPr="00A338E5">
        <w:rPr>
          <w:rFonts w:cstheme="minorHAnsi"/>
          <w:spacing w:val="5"/>
        </w:rPr>
        <w:t xml:space="preserve"> </w:t>
      </w:r>
      <w:r w:rsidRPr="00A338E5">
        <w:rPr>
          <w:rFonts w:cstheme="minorHAnsi"/>
          <w:spacing w:val="-1"/>
        </w:rPr>
        <w:t>un</w:t>
      </w:r>
      <w:r w:rsidRPr="00A338E5">
        <w:rPr>
          <w:rFonts w:cstheme="minorHAnsi"/>
          <w:spacing w:val="2"/>
        </w:rPr>
        <w:t>l</w:t>
      </w:r>
      <w:r w:rsidRPr="00A338E5">
        <w:rPr>
          <w:rFonts w:cstheme="minorHAnsi"/>
          <w:spacing w:val="-1"/>
        </w:rPr>
        <w:t>e</w:t>
      </w:r>
      <w:r w:rsidRPr="00A338E5">
        <w:rPr>
          <w:rFonts w:cstheme="minorHAnsi"/>
        </w:rPr>
        <w:t>ss</w:t>
      </w:r>
      <w:r w:rsidRPr="00A338E5">
        <w:rPr>
          <w:rFonts w:cstheme="minorHAnsi"/>
          <w:spacing w:val="8"/>
        </w:rPr>
        <w:t xml:space="preserve"> </w:t>
      </w:r>
      <w:r w:rsidRPr="00A338E5">
        <w:rPr>
          <w:rFonts w:cstheme="minorHAnsi"/>
          <w:spacing w:val="-3"/>
        </w:rPr>
        <w:t>L</w:t>
      </w:r>
      <w:r w:rsidRPr="00A338E5">
        <w:rPr>
          <w:rFonts w:cstheme="minorHAnsi"/>
          <w:spacing w:val="-1"/>
        </w:rPr>
        <w:t>eav</w:t>
      </w:r>
      <w:r w:rsidRPr="00A338E5">
        <w:rPr>
          <w:rFonts w:cstheme="minorHAnsi"/>
        </w:rPr>
        <w:t>e</w:t>
      </w:r>
      <w:r w:rsidRPr="00A338E5">
        <w:rPr>
          <w:rFonts w:cstheme="minorHAnsi"/>
          <w:spacing w:val="5"/>
        </w:rPr>
        <w:t xml:space="preserve"> </w:t>
      </w:r>
      <w:r w:rsidRPr="00A338E5">
        <w:rPr>
          <w:rFonts w:cstheme="minorHAnsi"/>
          <w:spacing w:val="2"/>
        </w:rPr>
        <w:t>o</w:t>
      </w:r>
      <w:r w:rsidRPr="00A338E5">
        <w:rPr>
          <w:rFonts w:cstheme="minorHAnsi"/>
        </w:rPr>
        <w:t>f</w:t>
      </w:r>
      <w:r w:rsidRPr="00A338E5">
        <w:rPr>
          <w:rFonts w:cstheme="minorHAnsi"/>
          <w:spacing w:val="4"/>
        </w:rPr>
        <w:t xml:space="preserve"> </w:t>
      </w:r>
      <w:r w:rsidRPr="00A338E5">
        <w:rPr>
          <w:rFonts w:cstheme="minorHAnsi"/>
        </w:rPr>
        <w:t>A</w:t>
      </w:r>
      <w:r w:rsidRPr="00A338E5">
        <w:rPr>
          <w:rFonts w:cstheme="minorHAnsi"/>
          <w:spacing w:val="-1"/>
        </w:rPr>
        <w:t>b</w:t>
      </w:r>
      <w:r w:rsidRPr="00A338E5">
        <w:rPr>
          <w:rFonts w:cstheme="minorHAnsi"/>
          <w:spacing w:val="1"/>
        </w:rPr>
        <w:t>se</w:t>
      </w:r>
      <w:r w:rsidRPr="00A338E5">
        <w:rPr>
          <w:rFonts w:cstheme="minorHAnsi"/>
          <w:spacing w:val="-1"/>
        </w:rPr>
        <w:t>n</w:t>
      </w:r>
      <w:r w:rsidRPr="00A338E5">
        <w:rPr>
          <w:rFonts w:cstheme="minorHAnsi"/>
        </w:rPr>
        <w:t>ce</w:t>
      </w:r>
      <w:r w:rsidRPr="00A338E5">
        <w:rPr>
          <w:rFonts w:cstheme="minorHAnsi"/>
          <w:spacing w:val="4"/>
        </w:rPr>
        <w:t xml:space="preserve"> </w:t>
      </w:r>
      <w:r w:rsidRPr="00A338E5">
        <w:rPr>
          <w:rFonts w:cstheme="minorHAnsi"/>
          <w:spacing w:val="-1"/>
        </w:rPr>
        <w:t>h</w:t>
      </w:r>
      <w:r w:rsidRPr="00A338E5">
        <w:rPr>
          <w:rFonts w:cstheme="minorHAnsi"/>
        </w:rPr>
        <w:t>as</w:t>
      </w:r>
      <w:r w:rsidRPr="00A338E5">
        <w:rPr>
          <w:rFonts w:cstheme="minorHAnsi"/>
          <w:spacing w:val="5"/>
        </w:rPr>
        <w:t xml:space="preserve"> </w:t>
      </w:r>
      <w:r w:rsidRPr="00A338E5">
        <w:rPr>
          <w:rFonts w:cstheme="minorHAnsi"/>
          <w:spacing w:val="2"/>
        </w:rPr>
        <w:t>b</w:t>
      </w:r>
      <w:r w:rsidRPr="00A338E5">
        <w:rPr>
          <w:rFonts w:cstheme="minorHAnsi"/>
          <w:spacing w:val="-1"/>
        </w:rPr>
        <w:t xml:space="preserve">een </w:t>
      </w:r>
      <w:r w:rsidRPr="00A338E5">
        <w:rPr>
          <w:rFonts w:cstheme="minorHAnsi"/>
          <w:spacing w:val="-2"/>
        </w:rPr>
        <w:t>g</w:t>
      </w:r>
      <w:r w:rsidRPr="00A338E5">
        <w:rPr>
          <w:rFonts w:cstheme="minorHAnsi"/>
          <w:spacing w:val="2"/>
        </w:rPr>
        <w:t>r</w:t>
      </w:r>
      <w:r w:rsidRPr="00A338E5">
        <w:rPr>
          <w:rFonts w:cstheme="minorHAnsi"/>
          <w:spacing w:val="-1"/>
        </w:rPr>
        <w:t>a</w:t>
      </w:r>
      <w:r w:rsidRPr="00A338E5">
        <w:rPr>
          <w:rFonts w:cstheme="minorHAnsi"/>
        </w:rPr>
        <w:t>nt</w:t>
      </w:r>
      <w:r w:rsidRPr="00A338E5">
        <w:rPr>
          <w:rFonts w:cstheme="minorHAnsi"/>
          <w:spacing w:val="-1"/>
        </w:rPr>
        <w:t>e</w:t>
      </w:r>
      <w:r w:rsidRPr="00A338E5">
        <w:rPr>
          <w:rFonts w:cstheme="minorHAnsi"/>
        </w:rPr>
        <w:t xml:space="preserve">d </w:t>
      </w:r>
      <w:r w:rsidRPr="00A338E5">
        <w:rPr>
          <w:rFonts w:cstheme="minorHAnsi"/>
          <w:spacing w:val="-1"/>
        </w:rPr>
        <w:t>a</w:t>
      </w:r>
      <w:r w:rsidRPr="00A338E5">
        <w:rPr>
          <w:rFonts w:cstheme="minorHAnsi"/>
        </w:rPr>
        <w:t xml:space="preserve">nd </w:t>
      </w:r>
      <w:r w:rsidRPr="00A338E5">
        <w:rPr>
          <w:rFonts w:cstheme="minorHAnsi"/>
          <w:spacing w:val="-1"/>
        </w:rPr>
        <w:t>a</w:t>
      </w:r>
      <w:r w:rsidRPr="00A338E5">
        <w:rPr>
          <w:rFonts w:cstheme="minorHAnsi"/>
        </w:rPr>
        <w:t>p</w:t>
      </w:r>
      <w:r w:rsidRPr="00A338E5">
        <w:rPr>
          <w:rFonts w:cstheme="minorHAnsi"/>
          <w:spacing w:val="2"/>
        </w:rPr>
        <w:t>p</w:t>
      </w:r>
      <w:r w:rsidRPr="00A338E5">
        <w:rPr>
          <w:rFonts w:cstheme="minorHAnsi"/>
          <w:spacing w:val="-1"/>
        </w:rPr>
        <w:t>r</w:t>
      </w:r>
      <w:r w:rsidRPr="00A338E5">
        <w:rPr>
          <w:rFonts w:cstheme="minorHAnsi"/>
        </w:rPr>
        <w:t>ov</w:t>
      </w:r>
      <w:r w:rsidRPr="00A338E5">
        <w:rPr>
          <w:rFonts w:cstheme="minorHAnsi"/>
          <w:spacing w:val="-1"/>
        </w:rPr>
        <w:t>e</w:t>
      </w:r>
      <w:r w:rsidRPr="00A338E5">
        <w:rPr>
          <w:rFonts w:cstheme="minorHAnsi"/>
        </w:rPr>
        <w:t xml:space="preserve">d </w:t>
      </w:r>
      <w:r w:rsidRPr="00A338E5">
        <w:rPr>
          <w:rFonts w:cstheme="minorHAnsi"/>
          <w:spacing w:val="2"/>
        </w:rPr>
        <w:t>b</w:t>
      </w:r>
      <w:r w:rsidRPr="00A338E5">
        <w:rPr>
          <w:rFonts w:cstheme="minorHAnsi"/>
        </w:rPr>
        <w:t>y t</w:t>
      </w:r>
      <w:r w:rsidRPr="00A338E5">
        <w:rPr>
          <w:rFonts w:cstheme="minorHAnsi"/>
          <w:spacing w:val="2"/>
        </w:rPr>
        <w:t>h</w:t>
      </w:r>
      <w:r w:rsidRPr="00A338E5">
        <w:rPr>
          <w:rFonts w:cstheme="minorHAnsi"/>
        </w:rPr>
        <w:t>e CDAC.  The</w:t>
      </w:r>
      <w:r w:rsidRPr="00A338E5">
        <w:rPr>
          <w:rFonts w:cstheme="minorHAnsi"/>
          <w:spacing w:val="21"/>
        </w:rPr>
        <w:t xml:space="preserve"> </w:t>
      </w:r>
      <w:r w:rsidRPr="00A338E5">
        <w:rPr>
          <w:rFonts w:cstheme="minorHAnsi"/>
          <w:spacing w:val="1"/>
        </w:rPr>
        <w:t>C</w:t>
      </w:r>
      <w:r w:rsidRPr="00A338E5">
        <w:rPr>
          <w:rFonts w:cstheme="minorHAnsi"/>
        </w:rPr>
        <w:t>hi</w:t>
      </w:r>
      <w:r w:rsidRPr="00A338E5">
        <w:rPr>
          <w:rFonts w:cstheme="minorHAnsi"/>
          <w:spacing w:val="-1"/>
        </w:rPr>
        <w:t>e</w:t>
      </w:r>
      <w:r w:rsidRPr="00A338E5">
        <w:rPr>
          <w:rFonts w:cstheme="minorHAnsi"/>
        </w:rPr>
        <w:t>f</w:t>
      </w:r>
      <w:r w:rsidRPr="00A338E5">
        <w:rPr>
          <w:rFonts w:cstheme="minorHAnsi"/>
          <w:spacing w:val="18"/>
        </w:rPr>
        <w:t xml:space="preserve"> </w:t>
      </w:r>
      <w:r w:rsidRPr="00A338E5">
        <w:rPr>
          <w:rFonts w:cstheme="minorHAnsi"/>
        </w:rPr>
        <w:t>E</w:t>
      </w:r>
      <w:r w:rsidRPr="00A338E5">
        <w:rPr>
          <w:rFonts w:cstheme="minorHAnsi"/>
          <w:spacing w:val="2"/>
        </w:rPr>
        <w:t>x</w:t>
      </w:r>
      <w:r w:rsidRPr="00A338E5">
        <w:rPr>
          <w:rFonts w:cstheme="minorHAnsi"/>
          <w:spacing w:val="-1"/>
        </w:rPr>
        <w:t>ec</w:t>
      </w:r>
      <w:r w:rsidRPr="00A338E5">
        <w:rPr>
          <w:rFonts w:cstheme="minorHAnsi"/>
        </w:rPr>
        <w:t>utive O</w:t>
      </w:r>
      <w:r w:rsidRPr="00A338E5">
        <w:rPr>
          <w:rFonts w:cstheme="minorHAnsi"/>
          <w:spacing w:val="-1"/>
        </w:rPr>
        <w:t>ff</w:t>
      </w:r>
      <w:r w:rsidRPr="00A338E5">
        <w:rPr>
          <w:rFonts w:cstheme="minorHAnsi"/>
        </w:rPr>
        <w:t>i</w:t>
      </w:r>
      <w:r w:rsidRPr="00A338E5">
        <w:rPr>
          <w:rFonts w:cstheme="minorHAnsi"/>
          <w:spacing w:val="-1"/>
        </w:rPr>
        <w:t>c</w:t>
      </w:r>
      <w:r w:rsidRPr="00A338E5">
        <w:rPr>
          <w:rFonts w:cstheme="minorHAnsi"/>
          <w:spacing w:val="1"/>
        </w:rPr>
        <w:t>e</w:t>
      </w:r>
      <w:r w:rsidRPr="00A338E5">
        <w:rPr>
          <w:rFonts w:cstheme="minorHAnsi"/>
        </w:rPr>
        <w:t>r</w:t>
      </w:r>
      <w:r w:rsidRPr="00A338E5">
        <w:rPr>
          <w:rFonts w:cstheme="minorHAnsi"/>
          <w:spacing w:val="4"/>
        </w:rPr>
        <w:t xml:space="preserve"> </w:t>
      </w:r>
      <w:r w:rsidRPr="00A338E5">
        <w:rPr>
          <w:rFonts w:cstheme="minorHAnsi"/>
        </w:rPr>
        <w:t>sh</w:t>
      </w:r>
      <w:r w:rsidRPr="00A338E5">
        <w:rPr>
          <w:rFonts w:cstheme="minorHAnsi"/>
          <w:spacing w:val="-1"/>
        </w:rPr>
        <w:t>a</w:t>
      </w:r>
      <w:r w:rsidRPr="00A338E5">
        <w:rPr>
          <w:rFonts w:cstheme="minorHAnsi"/>
        </w:rPr>
        <w:t>ll</w:t>
      </w:r>
      <w:r w:rsidRPr="00A338E5">
        <w:rPr>
          <w:rFonts w:cstheme="minorHAnsi"/>
          <w:spacing w:val="7"/>
        </w:rPr>
        <w:t xml:space="preserve"> </w:t>
      </w:r>
      <w:r w:rsidRPr="00A338E5">
        <w:rPr>
          <w:rFonts w:cstheme="minorHAnsi"/>
          <w:spacing w:val="-1"/>
        </w:rPr>
        <w:t>a</w:t>
      </w:r>
      <w:r w:rsidRPr="00A338E5">
        <w:rPr>
          <w:rFonts w:cstheme="minorHAnsi"/>
        </w:rPr>
        <w:t>dvise</w:t>
      </w:r>
      <w:r w:rsidRPr="00A338E5">
        <w:rPr>
          <w:rFonts w:cstheme="minorHAnsi"/>
          <w:spacing w:val="6"/>
        </w:rPr>
        <w:t xml:space="preserve"> </w:t>
      </w:r>
      <w:r w:rsidRPr="00A338E5">
        <w:rPr>
          <w:rFonts w:cstheme="minorHAnsi"/>
          <w:spacing w:val="1"/>
        </w:rPr>
        <w:t>a</w:t>
      </w:r>
      <w:r w:rsidRPr="00A338E5">
        <w:rPr>
          <w:rFonts w:cstheme="minorHAnsi"/>
          <w:spacing w:val="2"/>
        </w:rPr>
        <w:t>n</w:t>
      </w:r>
      <w:r w:rsidRPr="00A338E5">
        <w:rPr>
          <w:rFonts w:cstheme="minorHAnsi"/>
        </w:rPr>
        <w:t xml:space="preserve">y </w:t>
      </w:r>
      <w:r w:rsidRPr="00A338E5">
        <w:rPr>
          <w:rFonts w:cstheme="minorHAnsi"/>
          <w:spacing w:val="3"/>
        </w:rPr>
        <w:t>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w:t>
      </w:r>
      <w:r w:rsidRPr="00A338E5">
        <w:rPr>
          <w:rFonts w:cstheme="minorHAnsi"/>
          <w:spacing w:val="7"/>
        </w:rPr>
        <w:t xml:space="preserve"> </w:t>
      </w:r>
      <w:r w:rsidRPr="00A338E5">
        <w:rPr>
          <w:rFonts w:cstheme="minorHAnsi"/>
        </w:rPr>
        <w:t>in</w:t>
      </w:r>
      <w:r w:rsidRPr="00A338E5">
        <w:rPr>
          <w:rFonts w:cstheme="minorHAnsi"/>
          <w:spacing w:val="5"/>
        </w:rPr>
        <w:t xml:space="preserve"> </w:t>
      </w:r>
      <w:r w:rsidRPr="00A338E5">
        <w:rPr>
          <w:rFonts w:cstheme="minorHAnsi"/>
        </w:rPr>
        <w:t>w</w:t>
      </w:r>
      <w:r w:rsidRPr="00A338E5">
        <w:rPr>
          <w:rFonts w:cstheme="minorHAnsi"/>
          <w:spacing w:val="-1"/>
        </w:rPr>
        <w:t>r</w:t>
      </w:r>
      <w:r w:rsidRPr="00A338E5">
        <w:rPr>
          <w:rFonts w:cstheme="minorHAnsi"/>
        </w:rPr>
        <w:t>iti</w:t>
      </w:r>
      <w:r w:rsidRPr="00A338E5">
        <w:rPr>
          <w:rFonts w:cstheme="minorHAnsi"/>
          <w:spacing w:val="2"/>
        </w:rPr>
        <w:t>n</w:t>
      </w:r>
      <w:r w:rsidRPr="00A338E5">
        <w:rPr>
          <w:rFonts w:cstheme="minorHAnsi"/>
          <w:spacing w:val="-2"/>
        </w:rPr>
        <w:t>g</w:t>
      </w:r>
      <w:r w:rsidRPr="00A338E5">
        <w:rPr>
          <w:rFonts w:cstheme="minorHAnsi"/>
        </w:rPr>
        <w:t>,</w:t>
      </w:r>
      <w:r w:rsidRPr="00A338E5">
        <w:rPr>
          <w:rFonts w:cstheme="minorHAnsi"/>
          <w:spacing w:val="7"/>
        </w:rPr>
        <w:t xml:space="preserve"> </w:t>
      </w:r>
      <w:r w:rsidRPr="00A338E5">
        <w:rPr>
          <w:rFonts w:cstheme="minorHAnsi"/>
        </w:rPr>
        <w:t>wh</w:t>
      </w:r>
      <w:r w:rsidRPr="00A338E5">
        <w:rPr>
          <w:rFonts w:cstheme="minorHAnsi"/>
          <w:spacing w:val="-1"/>
        </w:rPr>
        <w:t>e</w:t>
      </w:r>
      <w:r w:rsidRPr="00A338E5">
        <w:rPr>
          <w:rFonts w:cstheme="minorHAnsi"/>
        </w:rPr>
        <w:t>n</w:t>
      </w:r>
      <w:r w:rsidRPr="00A338E5">
        <w:rPr>
          <w:rFonts w:cstheme="minorHAnsi"/>
          <w:spacing w:val="7"/>
        </w:rPr>
        <w:t xml:space="preserve"> </w:t>
      </w:r>
      <w:r w:rsidRPr="00A338E5">
        <w:rPr>
          <w:rFonts w:cstheme="minorHAnsi"/>
        </w:rPr>
        <w:t>th</w:t>
      </w:r>
      <w:r w:rsidRPr="00A338E5">
        <w:rPr>
          <w:rFonts w:cstheme="minorHAnsi"/>
          <w:spacing w:val="-1"/>
        </w:rPr>
        <w:t>e</w:t>
      </w:r>
      <w:r w:rsidRPr="00A338E5">
        <w:rPr>
          <w:rFonts w:cstheme="minorHAnsi"/>
        </w:rPr>
        <w:t>ir 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ship of</w:t>
      </w:r>
      <w:r w:rsidRPr="00A338E5">
        <w:rPr>
          <w:rFonts w:cstheme="minorHAnsi"/>
          <w:spacing w:val="-2"/>
        </w:rPr>
        <w:t xml:space="preserve"> </w:t>
      </w:r>
      <w:r w:rsidRPr="00A338E5">
        <w:rPr>
          <w:rFonts w:cstheme="minorHAnsi"/>
        </w:rPr>
        <w:t>a</w:t>
      </w:r>
      <w:r w:rsidRPr="00A338E5">
        <w:rPr>
          <w:rFonts w:cstheme="minorHAnsi"/>
          <w:spacing w:val="-1"/>
        </w:rPr>
        <w:t xml:space="preserve"> </w:t>
      </w:r>
      <w:r w:rsidRPr="00A338E5">
        <w:rPr>
          <w:rFonts w:cstheme="minorHAnsi"/>
          <w:spacing w:val="1"/>
        </w:rPr>
        <w:t>C</w:t>
      </w:r>
      <w:r w:rsidRPr="00A338E5">
        <w:rPr>
          <w:rFonts w:cstheme="minorHAnsi"/>
        </w:rPr>
        <w:t>ommitt</w:t>
      </w:r>
      <w:r w:rsidRPr="00A338E5">
        <w:rPr>
          <w:rFonts w:cstheme="minorHAnsi"/>
          <w:spacing w:val="-1"/>
        </w:rPr>
        <w:t>e</w:t>
      </w:r>
      <w:r w:rsidRPr="00A338E5">
        <w:rPr>
          <w:rFonts w:cstheme="minorHAnsi"/>
        </w:rPr>
        <w:t>e</w:t>
      </w:r>
      <w:r w:rsidRPr="00A338E5">
        <w:rPr>
          <w:rFonts w:cstheme="minorHAnsi"/>
          <w:spacing w:val="-1"/>
        </w:rPr>
        <w:t xml:space="preserve"> </w:t>
      </w:r>
      <w:r w:rsidRPr="00A338E5">
        <w:rPr>
          <w:rFonts w:cstheme="minorHAnsi"/>
        </w:rPr>
        <w:t>is t</w:t>
      </w:r>
      <w:r w:rsidRPr="00A338E5">
        <w:rPr>
          <w:rFonts w:cstheme="minorHAnsi"/>
          <w:spacing w:val="-1"/>
        </w:rPr>
        <w:t>er</w:t>
      </w:r>
      <w:r w:rsidRPr="00A338E5">
        <w:rPr>
          <w:rFonts w:cstheme="minorHAnsi"/>
        </w:rPr>
        <w:t>min</w:t>
      </w:r>
      <w:r w:rsidRPr="00A338E5">
        <w:rPr>
          <w:rFonts w:cstheme="minorHAnsi"/>
          <w:spacing w:val="-1"/>
        </w:rPr>
        <w:t>a</w:t>
      </w:r>
      <w:r w:rsidRPr="00A338E5">
        <w:rPr>
          <w:rFonts w:cstheme="minorHAnsi"/>
        </w:rPr>
        <w:t>t</w:t>
      </w:r>
      <w:r w:rsidRPr="00A338E5">
        <w:rPr>
          <w:rFonts w:cstheme="minorHAnsi"/>
          <w:spacing w:val="-1"/>
        </w:rPr>
        <w:t>e</w:t>
      </w:r>
      <w:r w:rsidRPr="00A338E5">
        <w:rPr>
          <w:rFonts w:cstheme="minorHAnsi"/>
        </w:rPr>
        <w:t>d.</w:t>
      </w:r>
    </w:p>
    <w:p w14:paraId="69A523F2" w14:textId="77777777" w:rsidR="00082DB7" w:rsidRPr="00A338E5" w:rsidRDefault="00082DB7" w:rsidP="00082DB7">
      <w:pPr>
        <w:widowControl w:val="0"/>
        <w:tabs>
          <w:tab w:val="left" w:pos="2260"/>
        </w:tabs>
        <w:spacing w:after="60" w:line="240" w:lineRule="auto"/>
        <w:ind w:left="426" w:right="75" w:hanging="426"/>
        <w:jc w:val="both"/>
        <w:rPr>
          <w:rFonts w:cstheme="minorHAnsi"/>
        </w:rPr>
      </w:pPr>
      <w:r w:rsidRPr="00A338E5">
        <w:rPr>
          <w:rFonts w:cstheme="minorHAnsi"/>
        </w:rPr>
        <w:t>4.</w:t>
      </w:r>
      <w:r w:rsidRPr="00A338E5">
        <w:rPr>
          <w:rFonts w:cstheme="minorHAnsi"/>
        </w:rPr>
        <w:tab/>
        <w:t>The</w:t>
      </w:r>
      <w:r w:rsidRPr="00A338E5">
        <w:rPr>
          <w:rFonts w:cstheme="minorHAnsi"/>
          <w:spacing w:val="51"/>
        </w:rPr>
        <w:t xml:space="preserve"> </w:t>
      </w:r>
      <w:r w:rsidRPr="00A338E5">
        <w:rPr>
          <w:rFonts w:cstheme="minorHAnsi"/>
          <w:spacing w:val="1"/>
        </w:rPr>
        <w:t>C</w:t>
      </w:r>
      <w:r w:rsidRPr="00A338E5">
        <w:rPr>
          <w:rFonts w:cstheme="minorHAnsi"/>
        </w:rPr>
        <w:t>oun</w:t>
      </w:r>
      <w:r w:rsidRPr="00A338E5">
        <w:rPr>
          <w:rFonts w:cstheme="minorHAnsi"/>
          <w:spacing w:val="-2"/>
        </w:rPr>
        <w:t>c</w:t>
      </w:r>
      <w:r w:rsidRPr="00A338E5">
        <w:rPr>
          <w:rFonts w:cstheme="minorHAnsi"/>
        </w:rPr>
        <w:t>il</w:t>
      </w:r>
      <w:r w:rsidRPr="00A338E5">
        <w:rPr>
          <w:rFonts w:cstheme="minorHAnsi"/>
          <w:spacing w:val="53"/>
        </w:rPr>
        <w:t xml:space="preserve"> </w:t>
      </w:r>
      <w:r w:rsidRPr="00A338E5">
        <w:rPr>
          <w:rFonts w:cstheme="minorHAnsi"/>
        </w:rPr>
        <w:t>m</w:t>
      </w:r>
      <w:r w:rsidRPr="00A338E5">
        <w:rPr>
          <w:rFonts w:cstheme="minorHAnsi"/>
          <w:spacing w:val="4"/>
        </w:rPr>
        <w:t>a</w:t>
      </w:r>
      <w:r w:rsidRPr="00A338E5">
        <w:rPr>
          <w:rFonts w:cstheme="minorHAnsi"/>
        </w:rPr>
        <w:t>y</w:t>
      </w:r>
      <w:r w:rsidRPr="00A338E5">
        <w:rPr>
          <w:rFonts w:cstheme="minorHAnsi"/>
          <w:spacing w:val="48"/>
        </w:rPr>
        <w:t xml:space="preserve"> </w:t>
      </w:r>
      <w:r w:rsidRPr="00A338E5">
        <w:rPr>
          <w:rFonts w:cstheme="minorHAnsi"/>
        </w:rPr>
        <w:t>t</w:t>
      </w:r>
      <w:r w:rsidRPr="00A338E5">
        <w:rPr>
          <w:rFonts w:cstheme="minorHAnsi"/>
          <w:spacing w:val="1"/>
        </w:rPr>
        <w:t>e</w:t>
      </w:r>
      <w:r w:rsidRPr="00A338E5">
        <w:rPr>
          <w:rFonts w:cstheme="minorHAnsi"/>
          <w:spacing w:val="-1"/>
        </w:rPr>
        <w:t>r</w:t>
      </w:r>
      <w:r w:rsidRPr="00A338E5">
        <w:rPr>
          <w:rFonts w:cstheme="minorHAnsi"/>
        </w:rPr>
        <w:t>min</w:t>
      </w:r>
      <w:r w:rsidRPr="00A338E5">
        <w:rPr>
          <w:rFonts w:cstheme="minorHAnsi"/>
          <w:spacing w:val="-1"/>
        </w:rPr>
        <w:t>a</w:t>
      </w:r>
      <w:r w:rsidRPr="00A338E5">
        <w:rPr>
          <w:rFonts w:cstheme="minorHAnsi"/>
        </w:rPr>
        <w:t>te</w:t>
      </w:r>
      <w:r w:rsidRPr="00A338E5">
        <w:rPr>
          <w:rFonts w:cstheme="minorHAnsi"/>
          <w:spacing w:val="52"/>
        </w:rPr>
        <w:t xml:space="preserve"> </w:t>
      </w:r>
      <w:r w:rsidRPr="00A338E5">
        <w:rPr>
          <w:rFonts w:cstheme="minorHAnsi"/>
        </w:rPr>
        <w:t>the</w:t>
      </w:r>
      <w:r w:rsidRPr="00A338E5">
        <w:rPr>
          <w:rFonts w:cstheme="minorHAnsi"/>
          <w:spacing w:val="54"/>
        </w:rPr>
        <w:t xml:space="preserve"> </w:t>
      </w:r>
      <w:r w:rsidRPr="00A338E5">
        <w:rPr>
          <w:rFonts w:cstheme="minorHAnsi"/>
          <w:spacing w:val="-1"/>
        </w:rPr>
        <w:t>a</w:t>
      </w:r>
      <w:r w:rsidRPr="00A338E5">
        <w:rPr>
          <w:rFonts w:cstheme="minorHAnsi"/>
        </w:rPr>
        <w:t>ppo</w:t>
      </w:r>
      <w:r w:rsidRPr="00A338E5">
        <w:rPr>
          <w:rFonts w:cstheme="minorHAnsi"/>
          <w:spacing w:val="-1"/>
        </w:rPr>
        <w:t>i</w:t>
      </w:r>
      <w:r w:rsidRPr="00A338E5">
        <w:rPr>
          <w:rFonts w:cstheme="minorHAnsi"/>
        </w:rPr>
        <w:t>ntm</w:t>
      </w:r>
      <w:r w:rsidRPr="00A338E5">
        <w:rPr>
          <w:rFonts w:cstheme="minorHAnsi"/>
          <w:spacing w:val="-1"/>
        </w:rPr>
        <w:t>e</w:t>
      </w:r>
      <w:r w:rsidRPr="00A338E5">
        <w:rPr>
          <w:rFonts w:cstheme="minorHAnsi"/>
        </w:rPr>
        <w:t>nt</w:t>
      </w:r>
      <w:r w:rsidRPr="00A338E5">
        <w:rPr>
          <w:rFonts w:cstheme="minorHAnsi"/>
          <w:spacing w:val="53"/>
        </w:rPr>
        <w:t xml:space="preserve"> </w:t>
      </w:r>
      <w:r w:rsidRPr="00A338E5">
        <w:rPr>
          <w:rFonts w:cstheme="minorHAnsi"/>
        </w:rPr>
        <w:t>of</w:t>
      </w:r>
      <w:r w:rsidRPr="00A338E5">
        <w:rPr>
          <w:rFonts w:cstheme="minorHAnsi"/>
          <w:spacing w:val="54"/>
        </w:rPr>
        <w:t xml:space="preserve"> </w:t>
      </w:r>
      <w:r w:rsidRPr="00A338E5">
        <w:rPr>
          <w:rFonts w:cstheme="minorHAnsi"/>
          <w:spacing w:val="-1"/>
        </w:rPr>
        <w:t>a</w:t>
      </w:r>
      <w:r w:rsidRPr="00A338E5">
        <w:rPr>
          <w:rFonts w:cstheme="minorHAnsi"/>
          <w:spacing w:val="5"/>
        </w:rPr>
        <w:t>n</w:t>
      </w:r>
      <w:r w:rsidRPr="00A338E5">
        <w:rPr>
          <w:rFonts w:cstheme="minorHAnsi"/>
        </w:rPr>
        <w:t>y</w:t>
      </w:r>
      <w:r w:rsidRPr="00A338E5">
        <w:rPr>
          <w:rFonts w:cstheme="minorHAnsi"/>
          <w:spacing w:val="48"/>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w:t>
      </w:r>
      <w:r w:rsidRPr="00A338E5">
        <w:rPr>
          <w:rFonts w:cstheme="minorHAnsi"/>
        </w:rPr>
        <w:t>r p</w:t>
      </w:r>
      <w:r w:rsidRPr="00A338E5">
        <w:rPr>
          <w:rFonts w:cstheme="minorHAnsi"/>
          <w:spacing w:val="-1"/>
        </w:rPr>
        <w:t>r</w:t>
      </w:r>
      <w:r w:rsidRPr="00A338E5">
        <w:rPr>
          <w:rFonts w:cstheme="minorHAnsi"/>
        </w:rPr>
        <w:t>ior</w:t>
      </w:r>
      <w:r w:rsidRPr="00A338E5">
        <w:rPr>
          <w:rFonts w:cstheme="minorHAnsi"/>
          <w:spacing w:val="-1"/>
        </w:rPr>
        <w:t xml:space="preserve"> </w:t>
      </w:r>
      <w:r w:rsidRPr="00A338E5">
        <w:rPr>
          <w:rFonts w:cstheme="minorHAnsi"/>
        </w:rPr>
        <w:t>to the</w:t>
      </w:r>
      <w:r w:rsidRPr="00A338E5">
        <w:rPr>
          <w:rFonts w:cstheme="minorHAnsi"/>
          <w:spacing w:val="-1"/>
        </w:rPr>
        <w:t xml:space="preserve"> e</w:t>
      </w:r>
      <w:r w:rsidRPr="00A338E5">
        <w:rPr>
          <w:rFonts w:cstheme="minorHAnsi"/>
          <w:spacing w:val="2"/>
        </w:rPr>
        <w:t>x</w:t>
      </w:r>
      <w:r w:rsidRPr="00A338E5">
        <w:rPr>
          <w:rFonts w:cstheme="minorHAnsi"/>
        </w:rPr>
        <w:t>pi</w:t>
      </w:r>
      <w:r w:rsidRPr="00A338E5">
        <w:rPr>
          <w:rFonts w:cstheme="minorHAnsi"/>
          <w:spacing w:val="2"/>
        </w:rPr>
        <w:t>r</w:t>
      </w:r>
      <w:r w:rsidRPr="00A338E5">
        <w:rPr>
          <w:rFonts w:cstheme="minorHAnsi"/>
        </w:rPr>
        <w:t>y</w:t>
      </w:r>
      <w:r w:rsidRPr="00A338E5">
        <w:rPr>
          <w:rFonts w:cstheme="minorHAnsi"/>
          <w:spacing w:val="-5"/>
        </w:rPr>
        <w:t xml:space="preserve"> </w:t>
      </w:r>
      <w:r w:rsidRPr="00A338E5">
        <w:rPr>
          <w:rFonts w:cstheme="minorHAnsi"/>
        </w:rPr>
        <w:t>of</w:t>
      </w:r>
      <w:r w:rsidRPr="00A338E5">
        <w:rPr>
          <w:rFonts w:cstheme="minorHAnsi"/>
          <w:spacing w:val="-1"/>
        </w:rPr>
        <w:t xml:space="preserve"> </w:t>
      </w:r>
      <w:r w:rsidRPr="00A338E5">
        <w:rPr>
          <w:rFonts w:cstheme="minorHAnsi"/>
        </w:rPr>
        <w:t>his</w:t>
      </w:r>
      <w:r w:rsidRPr="00A338E5">
        <w:rPr>
          <w:rFonts w:cstheme="minorHAnsi"/>
          <w:spacing w:val="3"/>
        </w:rPr>
        <w:t>/</w:t>
      </w:r>
      <w:r w:rsidRPr="00A338E5">
        <w:rPr>
          <w:rFonts w:cstheme="minorHAnsi"/>
        </w:rPr>
        <w:t>h</w:t>
      </w:r>
      <w:r w:rsidRPr="00A338E5">
        <w:rPr>
          <w:rFonts w:cstheme="minorHAnsi"/>
          <w:spacing w:val="-1"/>
        </w:rPr>
        <w:t>e</w:t>
      </w:r>
      <w:r w:rsidRPr="00A338E5">
        <w:rPr>
          <w:rFonts w:cstheme="minorHAnsi"/>
        </w:rPr>
        <w:t>r</w:t>
      </w:r>
      <w:r w:rsidRPr="00A338E5">
        <w:rPr>
          <w:rFonts w:cstheme="minorHAnsi"/>
          <w:spacing w:val="-1"/>
        </w:rPr>
        <w:t xml:space="preserve"> </w:t>
      </w:r>
      <w:r w:rsidRPr="00A338E5">
        <w:rPr>
          <w:rFonts w:cstheme="minorHAnsi"/>
        </w:rPr>
        <w:t>t</w:t>
      </w:r>
      <w:r w:rsidRPr="00A338E5">
        <w:rPr>
          <w:rFonts w:cstheme="minorHAnsi"/>
          <w:spacing w:val="-1"/>
        </w:rPr>
        <w:t>er</w:t>
      </w:r>
      <w:r w:rsidRPr="00A338E5">
        <w:rPr>
          <w:rFonts w:cstheme="minorHAnsi"/>
        </w:rPr>
        <w:t>m, i</w:t>
      </w:r>
      <w:r w:rsidRPr="00A338E5">
        <w:rPr>
          <w:rFonts w:cstheme="minorHAnsi"/>
          <w:spacing w:val="-1"/>
        </w:rPr>
        <w:t>f</w:t>
      </w:r>
      <w:r w:rsidRPr="00A338E5">
        <w:rPr>
          <w:rFonts w:cstheme="minorHAnsi"/>
        </w:rPr>
        <w:t>:</w:t>
      </w:r>
    </w:p>
    <w:p w14:paraId="7F60F4F8" w14:textId="77777777" w:rsidR="00082DB7" w:rsidRPr="00A338E5" w:rsidRDefault="00082DB7" w:rsidP="00082DB7">
      <w:pPr>
        <w:widowControl w:val="0"/>
        <w:spacing w:after="60" w:line="240" w:lineRule="auto"/>
        <w:ind w:left="993" w:right="73" w:hanging="567"/>
        <w:jc w:val="both"/>
        <w:rPr>
          <w:rFonts w:cstheme="minorHAnsi"/>
        </w:rPr>
      </w:pPr>
      <w:r w:rsidRPr="00A338E5">
        <w:rPr>
          <w:rFonts w:cstheme="minorHAnsi"/>
        </w:rPr>
        <w:t>(a)</w:t>
      </w:r>
      <w:r w:rsidRPr="00A338E5">
        <w:rPr>
          <w:rFonts w:cstheme="minorHAnsi"/>
        </w:rPr>
        <w:tab/>
        <w:t>T</w:t>
      </w:r>
      <w:r w:rsidRPr="00A338E5">
        <w:rPr>
          <w:rFonts w:cstheme="minorHAnsi"/>
          <w:spacing w:val="-1"/>
        </w:rPr>
        <w:t>h</w:t>
      </w:r>
      <w:r w:rsidRPr="00A338E5">
        <w:rPr>
          <w:rFonts w:cstheme="minorHAnsi"/>
        </w:rPr>
        <w:t>e</w:t>
      </w:r>
      <w:r w:rsidRPr="00A338E5">
        <w:rPr>
          <w:rFonts w:cstheme="minorHAnsi"/>
          <w:spacing w:val="38"/>
        </w:rPr>
        <w:t xml:space="preserve"> </w:t>
      </w:r>
      <w:r w:rsidRPr="00A338E5">
        <w:rPr>
          <w:rFonts w:cstheme="minorHAnsi"/>
          <w:spacing w:val="1"/>
        </w:rPr>
        <w:t>C</w:t>
      </w:r>
      <w:r w:rsidRPr="00A338E5">
        <w:rPr>
          <w:rFonts w:cstheme="minorHAnsi"/>
        </w:rPr>
        <w:t>h</w:t>
      </w:r>
      <w:r w:rsidRPr="00A338E5">
        <w:rPr>
          <w:rFonts w:cstheme="minorHAnsi"/>
          <w:spacing w:val="-1"/>
        </w:rPr>
        <w:t>a</w:t>
      </w:r>
      <w:r w:rsidRPr="00A338E5">
        <w:rPr>
          <w:rFonts w:cstheme="minorHAnsi"/>
        </w:rPr>
        <w:t>i</w:t>
      </w:r>
      <w:r w:rsidRPr="00A338E5">
        <w:rPr>
          <w:rFonts w:cstheme="minorHAnsi"/>
          <w:spacing w:val="-1"/>
        </w:rPr>
        <w:t>r</w:t>
      </w:r>
      <w:r w:rsidRPr="00A338E5">
        <w:rPr>
          <w:rFonts w:cstheme="minorHAnsi"/>
        </w:rPr>
        <w:t>p</w:t>
      </w:r>
      <w:r w:rsidRPr="00A338E5">
        <w:rPr>
          <w:rFonts w:cstheme="minorHAnsi"/>
          <w:spacing w:val="-1"/>
        </w:rPr>
        <w:t>er</w:t>
      </w:r>
      <w:r w:rsidRPr="00A338E5">
        <w:rPr>
          <w:rFonts w:cstheme="minorHAnsi"/>
        </w:rPr>
        <w:t>son</w:t>
      </w:r>
      <w:r w:rsidRPr="00A338E5">
        <w:rPr>
          <w:rFonts w:cstheme="minorHAnsi"/>
          <w:spacing w:val="38"/>
        </w:rPr>
        <w:t xml:space="preserve"> </w:t>
      </w:r>
      <w:r w:rsidRPr="00A338E5">
        <w:rPr>
          <w:rFonts w:cstheme="minorHAnsi"/>
          <w:spacing w:val="-1"/>
        </w:rPr>
        <w:t>an</w:t>
      </w:r>
      <w:r w:rsidRPr="00A338E5">
        <w:rPr>
          <w:rFonts w:cstheme="minorHAnsi"/>
        </w:rPr>
        <w:t>d</w:t>
      </w:r>
      <w:r w:rsidRPr="00A338E5">
        <w:rPr>
          <w:rFonts w:cstheme="minorHAnsi"/>
          <w:spacing w:val="39"/>
        </w:rPr>
        <w:t xml:space="preserve"> </w:t>
      </w:r>
      <w:r w:rsidRPr="00A338E5">
        <w:rPr>
          <w:rFonts w:cstheme="minorHAnsi"/>
          <w:spacing w:val="1"/>
        </w:rPr>
        <w:t>C</w:t>
      </w:r>
      <w:r w:rsidRPr="00A338E5">
        <w:rPr>
          <w:rFonts w:cstheme="minorHAnsi"/>
          <w:spacing w:val="-1"/>
        </w:rPr>
        <w:t>h</w:t>
      </w:r>
      <w:r w:rsidRPr="00A338E5">
        <w:rPr>
          <w:rFonts w:cstheme="minorHAnsi"/>
          <w:spacing w:val="1"/>
        </w:rPr>
        <w:t>i</w:t>
      </w:r>
      <w:r w:rsidRPr="00A338E5">
        <w:rPr>
          <w:rFonts w:cstheme="minorHAnsi"/>
          <w:spacing w:val="-1"/>
        </w:rPr>
        <w:t>e</w:t>
      </w:r>
      <w:r w:rsidRPr="00A338E5">
        <w:rPr>
          <w:rFonts w:cstheme="minorHAnsi"/>
        </w:rPr>
        <w:t>f</w:t>
      </w:r>
      <w:r w:rsidRPr="00A338E5">
        <w:rPr>
          <w:rFonts w:cstheme="minorHAnsi"/>
          <w:spacing w:val="38"/>
        </w:rPr>
        <w:t xml:space="preserve"> </w:t>
      </w:r>
      <w:r w:rsidRPr="00A338E5">
        <w:rPr>
          <w:rFonts w:cstheme="minorHAnsi"/>
        </w:rPr>
        <w:t>E</w:t>
      </w:r>
      <w:r w:rsidRPr="00A338E5">
        <w:rPr>
          <w:rFonts w:cstheme="minorHAnsi"/>
          <w:spacing w:val="2"/>
        </w:rPr>
        <w:t>x</w:t>
      </w:r>
      <w:r w:rsidRPr="00A338E5">
        <w:rPr>
          <w:rFonts w:cstheme="minorHAnsi"/>
          <w:spacing w:val="-1"/>
        </w:rPr>
        <w:t>ecu</w:t>
      </w:r>
      <w:r w:rsidRPr="00A338E5">
        <w:rPr>
          <w:rFonts w:cstheme="minorHAnsi"/>
          <w:spacing w:val="1"/>
        </w:rPr>
        <w:t>t</w:t>
      </w:r>
      <w:r w:rsidRPr="00A338E5">
        <w:rPr>
          <w:rFonts w:cstheme="minorHAnsi"/>
        </w:rPr>
        <w:t>i</w:t>
      </w:r>
      <w:r w:rsidRPr="00A338E5">
        <w:rPr>
          <w:rFonts w:cstheme="minorHAnsi"/>
          <w:spacing w:val="-1"/>
        </w:rPr>
        <w:t>v</w:t>
      </w:r>
      <w:r w:rsidRPr="00A338E5">
        <w:rPr>
          <w:rFonts w:cstheme="minorHAnsi"/>
        </w:rPr>
        <w:t>e</w:t>
      </w:r>
      <w:r w:rsidRPr="00A338E5">
        <w:rPr>
          <w:rFonts w:cstheme="minorHAnsi"/>
          <w:spacing w:val="38"/>
        </w:rPr>
        <w:t xml:space="preserve"> </w:t>
      </w:r>
      <w:r w:rsidRPr="00A338E5">
        <w:rPr>
          <w:rFonts w:cstheme="minorHAnsi"/>
        </w:rPr>
        <w:t>O</w:t>
      </w:r>
      <w:r w:rsidRPr="00A338E5">
        <w:rPr>
          <w:rFonts w:cstheme="minorHAnsi"/>
          <w:spacing w:val="-1"/>
        </w:rPr>
        <w:t>ff</w:t>
      </w:r>
      <w:r w:rsidRPr="00A338E5">
        <w:rPr>
          <w:rFonts w:cstheme="minorHAnsi"/>
        </w:rPr>
        <w:t>i</w:t>
      </w:r>
      <w:r w:rsidRPr="00A338E5">
        <w:rPr>
          <w:rFonts w:cstheme="minorHAnsi"/>
          <w:spacing w:val="-1"/>
        </w:rPr>
        <w:t>ce</w:t>
      </w:r>
      <w:r w:rsidRPr="00A338E5">
        <w:rPr>
          <w:rFonts w:cstheme="minorHAnsi"/>
        </w:rPr>
        <w:t>r</w:t>
      </w:r>
      <w:r w:rsidRPr="00A338E5">
        <w:rPr>
          <w:rFonts w:cstheme="minorHAnsi"/>
          <w:spacing w:val="38"/>
        </w:rPr>
        <w:t xml:space="preserve"> </w:t>
      </w:r>
      <w:r w:rsidRPr="00A338E5">
        <w:rPr>
          <w:rFonts w:cstheme="minorHAnsi"/>
          <w:spacing w:val="1"/>
        </w:rPr>
        <w:t>c</w:t>
      </w:r>
      <w:r w:rsidRPr="00A338E5">
        <w:rPr>
          <w:rFonts w:cstheme="minorHAnsi"/>
          <w:spacing w:val="-1"/>
        </w:rPr>
        <w:t>on</w:t>
      </w:r>
      <w:r w:rsidRPr="00A338E5">
        <w:rPr>
          <w:rFonts w:cstheme="minorHAnsi"/>
          <w:spacing w:val="2"/>
        </w:rPr>
        <w:t>s</w:t>
      </w:r>
      <w:r w:rsidRPr="00A338E5">
        <w:rPr>
          <w:rFonts w:cstheme="minorHAnsi"/>
        </w:rPr>
        <w:t>i</w:t>
      </w:r>
      <w:r w:rsidRPr="00A338E5">
        <w:rPr>
          <w:rFonts w:cstheme="minorHAnsi"/>
          <w:spacing w:val="-1"/>
        </w:rPr>
        <w:t>d</w:t>
      </w:r>
      <w:r w:rsidRPr="00A338E5">
        <w:rPr>
          <w:rFonts w:cstheme="minorHAnsi"/>
        </w:rPr>
        <w:t>er th</w:t>
      </w:r>
      <w:r w:rsidRPr="00A338E5">
        <w:rPr>
          <w:rFonts w:cstheme="minorHAnsi"/>
          <w:spacing w:val="-1"/>
        </w:rPr>
        <w:t>a</w:t>
      </w:r>
      <w:r w:rsidRPr="00A338E5">
        <w:rPr>
          <w:rFonts w:cstheme="minorHAnsi"/>
        </w:rPr>
        <w:t>t</w:t>
      </w:r>
      <w:r w:rsidRPr="00A338E5">
        <w:rPr>
          <w:rFonts w:cstheme="minorHAnsi"/>
          <w:spacing w:val="3"/>
        </w:rPr>
        <w:t xml:space="preserve"> </w:t>
      </w:r>
      <w:r w:rsidRPr="00A338E5">
        <w:rPr>
          <w:rFonts w:cstheme="minorHAnsi"/>
        </w:rPr>
        <w:t>the</w:t>
      </w:r>
      <w:r w:rsidRPr="00A338E5">
        <w:rPr>
          <w:rFonts w:cstheme="minorHAnsi"/>
          <w:spacing w:val="1"/>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w:t>
      </w:r>
      <w:r w:rsidRPr="00A338E5">
        <w:rPr>
          <w:rFonts w:cstheme="minorHAnsi"/>
        </w:rPr>
        <w:t>r</w:t>
      </w:r>
      <w:r w:rsidRPr="00A338E5">
        <w:rPr>
          <w:rFonts w:cstheme="minorHAnsi"/>
          <w:spacing w:val="2"/>
        </w:rPr>
        <w:t xml:space="preserve"> </w:t>
      </w:r>
      <w:r w:rsidRPr="00A338E5">
        <w:rPr>
          <w:rFonts w:cstheme="minorHAnsi"/>
        </w:rPr>
        <w:t>is</w:t>
      </w:r>
      <w:r w:rsidRPr="00A338E5">
        <w:rPr>
          <w:rFonts w:cstheme="minorHAnsi"/>
          <w:spacing w:val="3"/>
        </w:rPr>
        <w:t xml:space="preserve"> </w:t>
      </w:r>
      <w:r w:rsidRPr="00A338E5">
        <w:rPr>
          <w:rFonts w:cstheme="minorHAnsi"/>
        </w:rPr>
        <w:t>not</w:t>
      </w:r>
      <w:r w:rsidRPr="00A338E5">
        <w:rPr>
          <w:rFonts w:cstheme="minorHAnsi"/>
          <w:spacing w:val="2"/>
        </w:rPr>
        <w:t xml:space="preserve"> </w:t>
      </w:r>
      <w:r w:rsidRPr="00A338E5">
        <w:rPr>
          <w:rFonts w:cstheme="minorHAnsi"/>
        </w:rPr>
        <w:t>m</w:t>
      </w:r>
      <w:r w:rsidRPr="00A338E5">
        <w:rPr>
          <w:rFonts w:cstheme="minorHAnsi"/>
          <w:spacing w:val="-1"/>
        </w:rPr>
        <w:t>a</w:t>
      </w:r>
      <w:r w:rsidRPr="00A338E5">
        <w:rPr>
          <w:rFonts w:cstheme="minorHAnsi"/>
        </w:rPr>
        <w:t>king a</w:t>
      </w:r>
      <w:r w:rsidRPr="00A338E5">
        <w:rPr>
          <w:rFonts w:cstheme="minorHAnsi"/>
          <w:spacing w:val="2"/>
        </w:rPr>
        <w:t xml:space="preserve"> </w:t>
      </w:r>
      <w:r w:rsidRPr="00A338E5">
        <w:rPr>
          <w:rFonts w:cstheme="minorHAnsi"/>
        </w:rPr>
        <w:t>po</w:t>
      </w:r>
      <w:r w:rsidRPr="00A338E5">
        <w:rPr>
          <w:rFonts w:cstheme="minorHAnsi"/>
          <w:spacing w:val="-1"/>
        </w:rPr>
        <w:t>s</w:t>
      </w:r>
      <w:r w:rsidRPr="00A338E5">
        <w:rPr>
          <w:rFonts w:cstheme="minorHAnsi"/>
        </w:rPr>
        <w:t>itive</w:t>
      </w:r>
      <w:r w:rsidRPr="00A338E5">
        <w:rPr>
          <w:rFonts w:cstheme="minorHAnsi"/>
          <w:spacing w:val="1"/>
        </w:rPr>
        <w:t xml:space="preserve"> </w:t>
      </w:r>
      <w:r w:rsidRPr="00A338E5">
        <w:rPr>
          <w:rFonts w:cstheme="minorHAnsi"/>
          <w:spacing w:val="-1"/>
        </w:rPr>
        <w:t>c</w:t>
      </w:r>
      <w:r w:rsidRPr="00A338E5">
        <w:rPr>
          <w:rFonts w:cstheme="minorHAnsi"/>
        </w:rPr>
        <w:t>ont</w:t>
      </w:r>
      <w:r w:rsidRPr="00A338E5">
        <w:rPr>
          <w:rFonts w:cstheme="minorHAnsi"/>
          <w:spacing w:val="-1"/>
        </w:rPr>
        <w:t>r</w:t>
      </w:r>
      <w:r w:rsidRPr="00A338E5">
        <w:rPr>
          <w:rFonts w:cstheme="minorHAnsi"/>
        </w:rPr>
        <w:t>ib</w:t>
      </w:r>
      <w:r w:rsidRPr="00A338E5">
        <w:rPr>
          <w:rFonts w:cstheme="minorHAnsi"/>
          <w:spacing w:val="2"/>
        </w:rPr>
        <w:t>u</w:t>
      </w:r>
      <w:r w:rsidRPr="00A338E5">
        <w:rPr>
          <w:rFonts w:cstheme="minorHAnsi"/>
        </w:rPr>
        <w:t>tion</w:t>
      </w:r>
      <w:r w:rsidRPr="00A338E5">
        <w:rPr>
          <w:rFonts w:cstheme="minorHAnsi"/>
          <w:spacing w:val="2"/>
        </w:rPr>
        <w:t xml:space="preserve"> </w:t>
      </w:r>
      <w:r w:rsidRPr="00A338E5">
        <w:rPr>
          <w:rFonts w:cstheme="minorHAnsi"/>
        </w:rPr>
        <w:t>to the CDAC; or</w:t>
      </w:r>
    </w:p>
    <w:p w14:paraId="45A2CA2D" w14:textId="77777777" w:rsidR="00082DB7" w:rsidRPr="00A338E5" w:rsidRDefault="00082DB7" w:rsidP="00082DB7">
      <w:pPr>
        <w:widowControl w:val="0"/>
        <w:spacing w:after="60" w:line="240" w:lineRule="auto"/>
        <w:ind w:left="993" w:right="73" w:hanging="567"/>
        <w:jc w:val="both"/>
        <w:rPr>
          <w:rFonts w:cstheme="minorHAnsi"/>
        </w:rPr>
      </w:pPr>
      <w:r w:rsidRPr="00A338E5">
        <w:rPr>
          <w:rFonts w:cstheme="minorHAnsi"/>
        </w:rPr>
        <w:t>(b)</w:t>
      </w:r>
      <w:r w:rsidRPr="00A338E5">
        <w:rPr>
          <w:rFonts w:cstheme="minorHAnsi"/>
        </w:rPr>
        <w:tab/>
        <w:t>The</w:t>
      </w:r>
      <w:r w:rsidRPr="00A338E5">
        <w:rPr>
          <w:rFonts w:cstheme="minorHAnsi"/>
          <w:spacing w:val="52"/>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w:t>
      </w:r>
      <w:r w:rsidRPr="00A338E5">
        <w:rPr>
          <w:rFonts w:cstheme="minorHAnsi"/>
        </w:rPr>
        <w:t>r</w:t>
      </w:r>
      <w:r w:rsidRPr="00A338E5">
        <w:rPr>
          <w:rFonts w:cstheme="minorHAnsi"/>
          <w:spacing w:val="52"/>
        </w:rPr>
        <w:t xml:space="preserve"> </w:t>
      </w:r>
      <w:r w:rsidRPr="00A338E5">
        <w:rPr>
          <w:rFonts w:cstheme="minorHAnsi"/>
        </w:rPr>
        <w:t>is</w:t>
      </w:r>
      <w:r w:rsidRPr="00A338E5">
        <w:rPr>
          <w:rFonts w:cstheme="minorHAnsi"/>
          <w:spacing w:val="53"/>
        </w:rPr>
        <w:t xml:space="preserve"> </w:t>
      </w:r>
      <w:r w:rsidRPr="00A338E5">
        <w:rPr>
          <w:rFonts w:cstheme="minorHAnsi"/>
          <w:spacing w:val="-1"/>
        </w:rPr>
        <w:t>f</w:t>
      </w:r>
      <w:r w:rsidRPr="00A338E5">
        <w:rPr>
          <w:rFonts w:cstheme="minorHAnsi"/>
        </w:rPr>
        <w:t>ound</w:t>
      </w:r>
      <w:r w:rsidRPr="00A338E5">
        <w:rPr>
          <w:rFonts w:cstheme="minorHAnsi"/>
          <w:spacing w:val="55"/>
        </w:rPr>
        <w:t xml:space="preserve"> </w:t>
      </w:r>
      <w:r w:rsidRPr="00A338E5">
        <w:rPr>
          <w:rFonts w:cstheme="minorHAnsi"/>
          <w:spacing w:val="3"/>
        </w:rPr>
        <w:t>t</w:t>
      </w:r>
      <w:r w:rsidRPr="00A338E5">
        <w:rPr>
          <w:rFonts w:cstheme="minorHAnsi"/>
        </w:rPr>
        <w:t>o</w:t>
      </w:r>
      <w:r w:rsidRPr="00A338E5">
        <w:rPr>
          <w:rFonts w:cstheme="minorHAnsi"/>
          <w:spacing w:val="53"/>
        </w:rPr>
        <w:t xml:space="preserve"> </w:t>
      </w:r>
      <w:r w:rsidRPr="00A338E5">
        <w:rPr>
          <w:rFonts w:cstheme="minorHAnsi"/>
        </w:rPr>
        <w:t>be</w:t>
      </w:r>
      <w:r w:rsidRPr="00A338E5">
        <w:rPr>
          <w:rFonts w:cstheme="minorHAnsi"/>
          <w:spacing w:val="52"/>
        </w:rPr>
        <w:t xml:space="preserve"> </w:t>
      </w:r>
      <w:r w:rsidRPr="00A338E5">
        <w:rPr>
          <w:rFonts w:cstheme="minorHAnsi"/>
        </w:rPr>
        <w:t>in</w:t>
      </w:r>
      <w:r w:rsidRPr="00A338E5">
        <w:rPr>
          <w:rFonts w:cstheme="minorHAnsi"/>
          <w:spacing w:val="53"/>
        </w:rPr>
        <w:t xml:space="preserve"> </w:t>
      </w:r>
      <w:r w:rsidRPr="00A338E5">
        <w:rPr>
          <w:rFonts w:cstheme="minorHAnsi"/>
          <w:spacing w:val="2"/>
        </w:rPr>
        <w:t>b</w:t>
      </w:r>
      <w:r w:rsidRPr="00A338E5">
        <w:rPr>
          <w:rFonts w:cstheme="minorHAnsi"/>
          <w:spacing w:val="-1"/>
        </w:rPr>
        <w:t>r</w:t>
      </w:r>
      <w:r w:rsidRPr="00A338E5">
        <w:rPr>
          <w:rFonts w:cstheme="minorHAnsi"/>
          <w:spacing w:val="1"/>
        </w:rPr>
        <w:t>e</w:t>
      </w:r>
      <w:r w:rsidRPr="00A338E5">
        <w:rPr>
          <w:rFonts w:cstheme="minorHAnsi"/>
          <w:spacing w:val="-1"/>
        </w:rPr>
        <w:t>ac</w:t>
      </w:r>
      <w:r w:rsidRPr="00A338E5">
        <w:rPr>
          <w:rFonts w:cstheme="minorHAnsi"/>
        </w:rPr>
        <w:t>h</w:t>
      </w:r>
      <w:r w:rsidRPr="00A338E5">
        <w:rPr>
          <w:rFonts w:cstheme="minorHAnsi"/>
          <w:spacing w:val="53"/>
        </w:rPr>
        <w:t xml:space="preserve"> </w:t>
      </w:r>
      <w:r w:rsidRPr="00A338E5">
        <w:rPr>
          <w:rFonts w:cstheme="minorHAnsi"/>
          <w:spacing w:val="2"/>
        </w:rPr>
        <w:t>o</w:t>
      </w:r>
      <w:r w:rsidRPr="00A338E5">
        <w:rPr>
          <w:rFonts w:cstheme="minorHAnsi"/>
        </w:rPr>
        <w:t>f</w:t>
      </w:r>
      <w:r w:rsidRPr="00A338E5">
        <w:rPr>
          <w:rFonts w:cstheme="minorHAnsi"/>
          <w:spacing w:val="52"/>
        </w:rPr>
        <w:t xml:space="preserve"> </w:t>
      </w:r>
      <w:r w:rsidRPr="00A338E5">
        <w:rPr>
          <w:rFonts w:cstheme="minorHAnsi"/>
        </w:rPr>
        <w:t>the</w:t>
      </w:r>
      <w:r w:rsidRPr="00A338E5">
        <w:rPr>
          <w:rFonts w:cstheme="minorHAnsi"/>
          <w:spacing w:val="57"/>
        </w:rPr>
        <w:t xml:space="preserve"> </w:t>
      </w:r>
      <w:r w:rsidRPr="00A338E5">
        <w:rPr>
          <w:rFonts w:cstheme="minorHAnsi"/>
          <w:spacing w:val="1"/>
        </w:rPr>
        <w:t>Town</w:t>
      </w:r>
      <w:r w:rsidRPr="00A338E5">
        <w:rPr>
          <w:rFonts w:cstheme="minorHAnsi"/>
          <w:spacing w:val="48"/>
        </w:rPr>
        <w:t xml:space="preserve"> </w:t>
      </w:r>
      <w:r w:rsidRPr="00A338E5">
        <w:rPr>
          <w:rFonts w:cstheme="minorHAnsi"/>
        </w:rPr>
        <w:t>of East Fremantle</w:t>
      </w:r>
      <w:r w:rsidRPr="00A338E5">
        <w:rPr>
          <w:rFonts w:cstheme="minorHAnsi"/>
          <w:spacing w:val="2"/>
        </w:rPr>
        <w:t xml:space="preserve"> </w:t>
      </w:r>
      <w:r w:rsidRPr="00A338E5">
        <w:rPr>
          <w:rFonts w:cstheme="minorHAnsi"/>
          <w:spacing w:val="1"/>
        </w:rPr>
        <w:t>C</w:t>
      </w:r>
      <w:r w:rsidRPr="00A338E5">
        <w:rPr>
          <w:rFonts w:cstheme="minorHAnsi"/>
        </w:rPr>
        <w:t>ode of</w:t>
      </w:r>
      <w:r w:rsidRPr="00A338E5">
        <w:rPr>
          <w:rFonts w:cstheme="minorHAnsi"/>
          <w:spacing w:val="1"/>
        </w:rPr>
        <w:t xml:space="preserve"> C</w:t>
      </w:r>
      <w:r w:rsidRPr="00A338E5">
        <w:rPr>
          <w:rFonts w:cstheme="minorHAnsi"/>
        </w:rPr>
        <w:t>ond</w:t>
      </w:r>
      <w:r w:rsidRPr="00A338E5">
        <w:rPr>
          <w:rFonts w:cstheme="minorHAnsi"/>
          <w:spacing w:val="2"/>
        </w:rPr>
        <w:t>u</w:t>
      </w:r>
      <w:r w:rsidRPr="00A338E5">
        <w:rPr>
          <w:rFonts w:cstheme="minorHAnsi"/>
          <w:spacing w:val="-1"/>
        </w:rPr>
        <w:t>c</w:t>
      </w:r>
      <w:r w:rsidRPr="00A338E5">
        <w:rPr>
          <w:rFonts w:cstheme="minorHAnsi"/>
        </w:rPr>
        <w:t>t</w:t>
      </w:r>
      <w:r w:rsidRPr="00A338E5">
        <w:rPr>
          <w:rFonts w:cstheme="minorHAnsi"/>
          <w:spacing w:val="2"/>
        </w:rPr>
        <w:t xml:space="preserve"> </w:t>
      </w:r>
      <w:r w:rsidRPr="00A338E5">
        <w:rPr>
          <w:rFonts w:cstheme="minorHAnsi"/>
        </w:rPr>
        <w:t>or</w:t>
      </w:r>
      <w:r w:rsidRPr="00A338E5">
        <w:rPr>
          <w:rFonts w:cstheme="minorHAnsi"/>
          <w:spacing w:val="1"/>
        </w:rPr>
        <w:t xml:space="preserve"> </w:t>
      </w:r>
      <w:r w:rsidRPr="00A338E5">
        <w:rPr>
          <w:rFonts w:cstheme="minorHAnsi"/>
        </w:rPr>
        <w:t>a s</w:t>
      </w:r>
      <w:r w:rsidRPr="00A338E5">
        <w:rPr>
          <w:rFonts w:cstheme="minorHAnsi"/>
          <w:spacing w:val="1"/>
        </w:rPr>
        <w:t>e</w:t>
      </w:r>
      <w:r w:rsidRPr="00A338E5">
        <w:rPr>
          <w:rFonts w:cstheme="minorHAnsi"/>
          <w:spacing w:val="-1"/>
        </w:rPr>
        <w:t>r</w:t>
      </w:r>
      <w:r w:rsidRPr="00A338E5">
        <w:rPr>
          <w:rFonts w:cstheme="minorHAnsi"/>
        </w:rPr>
        <w:t>ious</w:t>
      </w:r>
      <w:r w:rsidRPr="00A338E5">
        <w:rPr>
          <w:rFonts w:cstheme="minorHAnsi"/>
          <w:spacing w:val="2"/>
        </w:rPr>
        <w:t xml:space="preserve"> </w:t>
      </w:r>
      <w:r w:rsidRPr="00A338E5">
        <w:rPr>
          <w:rFonts w:cstheme="minorHAnsi"/>
          <w:spacing w:val="-1"/>
        </w:rPr>
        <w:t>c</w:t>
      </w:r>
      <w:r w:rsidRPr="00A338E5">
        <w:rPr>
          <w:rFonts w:cstheme="minorHAnsi"/>
        </w:rPr>
        <w:t>ont</w:t>
      </w:r>
      <w:r w:rsidRPr="00A338E5">
        <w:rPr>
          <w:rFonts w:cstheme="minorHAnsi"/>
          <w:spacing w:val="-1"/>
        </w:rPr>
        <w:t>ra</w:t>
      </w:r>
      <w:r w:rsidRPr="00A338E5">
        <w:rPr>
          <w:rFonts w:cstheme="minorHAnsi"/>
          <w:spacing w:val="2"/>
        </w:rPr>
        <w:t>v</w:t>
      </w:r>
      <w:r w:rsidRPr="00A338E5">
        <w:rPr>
          <w:rFonts w:cstheme="minorHAnsi"/>
          <w:spacing w:val="-1"/>
        </w:rPr>
        <w:t>e</w:t>
      </w:r>
      <w:r w:rsidRPr="00A338E5">
        <w:rPr>
          <w:rFonts w:cstheme="minorHAnsi"/>
          <w:spacing w:val="2"/>
        </w:rPr>
        <w:t>n</w:t>
      </w:r>
      <w:r w:rsidRPr="00A338E5">
        <w:rPr>
          <w:rFonts w:cstheme="minorHAnsi"/>
        </w:rPr>
        <w:t>tion</w:t>
      </w:r>
      <w:r w:rsidRPr="00A338E5">
        <w:rPr>
          <w:rFonts w:cstheme="minorHAnsi"/>
          <w:spacing w:val="1"/>
        </w:rPr>
        <w:t xml:space="preserve"> </w:t>
      </w:r>
      <w:r w:rsidRPr="00A338E5">
        <w:rPr>
          <w:rFonts w:cstheme="minorHAnsi"/>
        </w:rPr>
        <w:t>of the</w:t>
      </w:r>
      <w:r w:rsidRPr="00A338E5">
        <w:rPr>
          <w:rFonts w:cstheme="minorHAnsi"/>
          <w:spacing w:val="1"/>
        </w:rPr>
        <w:t xml:space="preserve"> </w:t>
      </w:r>
      <w:r w:rsidRPr="00A338E5">
        <w:rPr>
          <w:rFonts w:cstheme="minorHAnsi"/>
          <w:spacing w:val="-5"/>
        </w:rPr>
        <w:t>L</w:t>
      </w:r>
      <w:r w:rsidRPr="00A338E5">
        <w:rPr>
          <w:rFonts w:cstheme="minorHAnsi"/>
          <w:spacing w:val="2"/>
        </w:rPr>
        <w:t>o</w:t>
      </w:r>
      <w:r w:rsidRPr="00A338E5">
        <w:rPr>
          <w:rFonts w:cstheme="minorHAnsi"/>
          <w:spacing w:val="-1"/>
        </w:rPr>
        <w:t>ca</w:t>
      </w:r>
      <w:r w:rsidRPr="00A338E5">
        <w:rPr>
          <w:rFonts w:cstheme="minorHAnsi"/>
        </w:rPr>
        <w:t>l Gov</w:t>
      </w:r>
      <w:r w:rsidRPr="00A338E5">
        <w:rPr>
          <w:rFonts w:cstheme="minorHAnsi"/>
          <w:spacing w:val="1"/>
        </w:rPr>
        <w:t>e</w:t>
      </w:r>
      <w:r w:rsidRPr="00A338E5">
        <w:rPr>
          <w:rFonts w:cstheme="minorHAnsi"/>
          <w:spacing w:val="-1"/>
        </w:rPr>
        <w:t>r</w:t>
      </w:r>
      <w:r w:rsidRPr="00A338E5">
        <w:rPr>
          <w:rFonts w:cstheme="minorHAnsi"/>
        </w:rPr>
        <w:t>nm</w:t>
      </w:r>
      <w:r w:rsidRPr="00A338E5">
        <w:rPr>
          <w:rFonts w:cstheme="minorHAnsi"/>
          <w:spacing w:val="-1"/>
        </w:rPr>
        <w:t>e</w:t>
      </w:r>
      <w:r w:rsidRPr="00A338E5">
        <w:rPr>
          <w:rFonts w:cstheme="minorHAnsi"/>
        </w:rPr>
        <w:t xml:space="preserve">nt </w:t>
      </w:r>
      <w:r w:rsidRPr="00A338E5">
        <w:rPr>
          <w:rFonts w:cstheme="minorHAnsi"/>
          <w:spacing w:val="2"/>
        </w:rPr>
        <w:t>A</w:t>
      </w:r>
      <w:r w:rsidRPr="00A338E5">
        <w:rPr>
          <w:rFonts w:cstheme="minorHAnsi"/>
          <w:spacing w:val="-1"/>
        </w:rPr>
        <w:t>c</w:t>
      </w:r>
      <w:r w:rsidRPr="00A338E5">
        <w:rPr>
          <w:rFonts w:cstheme="minorHAnsi"/>
        </w:rPr>
        <w:t>t 1995; or</w:t>
      </w:r>
    </w:p>
    <w:p w14:paraId="1132F266" w14:textId="77777777" w:rsidR="00082DB7" w:rsidRPr="00A338E5" w:rsidRDefault="00082DB7" w:rsidP="00082DB7">
      <w:pPr>
        <w:widowControl w:val="0"/>
        <w:tabs>
          <w:tab w:val="left" w:pos="2960"/>
        </w:tabs>
        <w:spacing w:after="0" w:line="240" w:lineRule="auto"/>
        <w:ind w:left="993" w:right="-20" w:hanging="567"/>
        <w:jc w:val="both"/>
        <w:rPr>
          <w:rFonts w:cstheme="minorHAnsi"/>
        </w:rPr>
      </w:pPr>
      <w:r w:rsidRPr="00A338E5">
        <w:rPr>
          <w:rFonts w:cstheme="minorHAnsi"/>
        </w:rPr>
        <w:t>(c)</w:t>
      </w:r>
      <w:r w:rsidRPr="00A338E5">
        <w:rPr>
          <w:rFonts w:cstheme="minorHAnsi"/>
        </w:rPr>
        <w:tab/>
        <w:t xml:space="preserve">A </w:t>
      </w:r>
      <w:r w:rsidRPr="00A338E5">
        <w:rPr>
          <w:rFonts w:cstheme="minorHAnsi"/>
          <w:spacing w:val="2"/>
        </w:rPr>
        <w:t>member’s</w:t>
      </w:r>
      <w:r w:rsidRPr="00A338E5">
        <w:rPr>
          <w:rFonts w:cstheme="minorHAnsi"/>
        </w:rPr>
        <w:t xml:space="preserve"> </w:t>
      </w:r>
      <w:r w:rsidRPr="00A338E5">
        <w:rPr>
          <w:rFonts w:cstheme="minorHAnsi"/>
          <w:spacing w:val="5"/>
        </w:rPr>
        <w:t>conduct</w:t>
      </w:r>
      <w:r w:rsidRPr="00A338E5">
        <w:rPr>
          <w:rFonts w:cstheme="minorHAnsi"/>
        </w:rPr>
        <w:t xml:space="preserve">, </w:t>
      </w:r>
      <w:r w:rsidRPr="00A338E5">
        <w:rPr>
          <w:rFonts w:cstheme="minorHAnsi"/>
          <w:spacing w:val="2"/>
        </w:rPr>
        <w:t>action</w:t>
      </w:r>
      <w:r w:rsidRPr="00A338E5">
        <w:rPr>
          <w:rFonts w:cstheme="minorHAnsi"/>
        </w:rPr>
        <w:t xml:space="preserve"> </w:t>
      </w:r>
      <w:r w:rsidRPr="00A338E5">
        <w:rPr>
          <w:rFonts w:cstheme="minorHAnsi"/>
          <w:spacing w:val="2"/>
        </w:rPr>
        <w:t>or</w:t>
      </w:r>
      <w:r w:rsidRPr="00A338E5">
        <w:rPr>
          <w:rFonts w:cstheme="minorHAnsi"/>
        </w:rPr>
        <w:t xml:space="preserve"> </w:t>
      </w:r>
      <w:r w:rsidRPr="00A338E5">
        <w:rPr>
          <w:rFonts w:cstheme="minorHAnsi"/>
          <w:spacing w:val="2"/>
        </w:rPr>
        <w:t>comments</w:t>
      </w:r>
      <w:r w:rsidRPr="00A338E5">
        <w:rPr>
          <w:rFonts w:cstheme="minorHAnsi"/>
        </w:rPr>
        <w:t xml:space="preserve"> </w:t>
      </w:r>
      <w:r w:rsidRPr="00A338E5">
        <w:rPr>
          <w:rFonts w:cstheme="minorHAnsi"/>
          <w:spacing w:val="3"/>
        </w:rPr>
        <w:t>brings</w:t>
      </w:r>
      <w:r w:rsidRPr="00A338E5">
        <w:rPr>
          <w:rFonts w:cstheme="minorHAnsi"/>
        </w:rPr>
        <w:t xml:space="preserve"> </w:t>
      </w:r>
      <w:r w:rsidRPr="00A338E5">
        <w:rPr>
          <w:rFonts w:cstheme="minorHAnsi"/>
          <w:spacing w:val="3"/>
        </w:rPr>
        <w:t xml:space="preserve">the </w:t>
      </w:r>
      <w:r w:rsidRPr="00A338E5">
        <w:rPr>
          <w:rFonts w:cstheme="minorHAnsi"/>
          <w:spacing w:val="1"/>
        </w:rPr>
        <w:t>Town</w:t>
      </w:r>
      <w:r w:rsidRPr="00A338E5">
        <w:rPr>
          <w:rFonts w:cstheme="minorHAnsi"/>
          <w:spacing w:val="-7"/>
        </w:rPr>
        <w:t xml:space="preserve"> </w:t>
      </w:r>
      <w:r w:rsidRPr="00A338E5">
        <w:rPr>
          <w:rFonts w:cstheme="minorHAnsi"/>
          <w:spacing w:val="2"/>
        </w:rPr>
        <w:t>o</w:t>
      </w:r>
      <w:r w:rsidRPr="00A338E5">
        <w:rPr>
          <w:rFonts w:cstheme="minorHAnsi"/>
        </w:rPr>
        <w:t>f</w:t>
      </w:r>
      <w:r w:rsidRPr="00A338E5">
        <w:rPr>
          <w:rFonts w:cstheme="minorHAnsi"/>
          <w:spacing w:val="-1"/>
        </w:rPr>
        <w:t xml:space="preserve"> East Fremantle</w:t>
      </w:r>
      <w:r w:rsidRPr="00A338E5">
        <w:rPr>
          <w:rFonts w:cstheme="minorHAnsi"/>
        </w:rPr>
        <w:t xml:space="preserve"> into dis</w:t>
      </w:r>
      <w:r w:rsidRPr="00A338E5">
        <w:rPr>
          <w:rFonts w:cstheme="minorHAnsi"/>
          <w:spacing w:val="-1"/>
        </w:rPr>
        <w:t>r</w:t>
      </w:r>
      <w:r w:rsidRPr="00A338E5">
        <w:rPr>
          <w:rFonts w:cstheme="minorHAnsi"/>
          <w:spacing w:val="1"/>
        </w:rPr>
        <w:t>e</w:t>
      </w:r>
      <w:r w:rsidRPr="00A338E5">
        <w:rPr>
          <w:rFonts w:cstheme="minorHAnsi"/>
        </w:rPr>
        <w:t>put</w:t>
      </w:r>
      <w:r w:rsidRPr="00A338E5">
        <w:rPr>
          <w:rFonts w:cstheme="minorHAnsi"/>
          <w:spacing w:val="-1"/>
        </w:rPr>
        <w:t>e</w:t>
      </w:r>
      <w:r w:rsidRPr="00A338E5">
        <w:rPr>
          <w:rFonts w:cstheme="minorHAnsi"/>
        </w:rPr>
        <w:t>.</w:t>
      </w:r>
    </w:p>
    <w:p w14:paraId="6A89E28F" w14:textId="77777777" w:rsidR="00082DB7" w:rsidRPr="00C145D1" w:rsidRDefault="00082DB7" w:rsidP="00082DB7">
      <w:pPr>
        <w:widowControl w:val="0"/>
        <w:tabs>
          <w:tab w:val="left" w:pos="1540"/>
        </w:tabs>
        <w:spacing w:before="200" w:after="0" w:line="240" w:lineRule="auto"/>
        <w:ind w:right="-23"/>
        <w:jc w:val="both"/>
        <w:rPr>
          <w:rFonts w:cstheme="minorHAnsi"/>
          <w:b/>
        </w:rPr>
      </w:pPr>
      <w:r w:rsidRPr="00C145D1">
        <w:rPr>
          <w:rFonts w:cstheme="minorHAnsi"/>
          <w:b/>
          <w:bCs/>
        </w:rPr>
        <w:t>V</w:t>
      </w:r>
      <w:r w:rsidRPr="00C145D1">
        <w:rPr>
          <w:rFonts w:cstheme="minorHAnsi"/>
          <w:b/>
          <w:bCs/>
          <w:spacing w:val="-1"/>
        </w:rPr>
        <w:t>a</w:t>
      </w:r>
      <w:r w:rsidRPr="00C145D1">
        <w:rPr>
          <w:rFonts w:cstheme="minorHAnsi"/>
          <w:b/>
          <w:bCs/>
        </w:rPr>
        <w:t>c</w:t>
      </w:r>
      <w:r w:rsidRPr="00C145D1">
        <w:rPr>
          <w:rFonts w:cstheme="minorHAnsi"/>
          <w:b/>
          <w:bCs/>
          <w:spacing w:val="-1"/>
        </w:rPr>
        <w:t>a</w:t>
      </w:r>
      <w:r w:rsidRPr="00C145D1">
        <w:rPr>
          <w:rFonts w:cstheme="minorHAnsi"/>
          <w:b/>
          <w:bCs/>
          <w:spacing w:val="2"/>
        </w:rPr>
        <w:t>n</w:t>
      </w:r>
      <w:r w:rsidRPr="00C145D1">
        <w:rPr>
          <w:rFonts w:cstheme="minorHAnsi"/>
          <w:b/>
          <w:bCs/>
          <w:spacing w:val="-1"/>
        </w:rPr>
        <w:t>c</w:t>
      </w:r>
      <w:r w:rsidRPr="00C145D1">
        <w:rPr>
          <w:rFonts w:cstheme="minorHAnsi"/>
          <w:b/>
          <w:bCs/>
        </w:rPr>
        <w:t>i</w:t>
      </w:r>
      <w:r w:rsidRPr="00C145D1">
        <w:rPr>
          <w:rFonts w:cstheme="minorHAnsi"/>
          <w:b/>
          <w:bCs/>
          <w:spacing w:val="-1"/>
        </w:rPr>
        <w:t>es</w:t>
      </w:r>
    </w:p>
    <w:p w14:paraId="46C567EF" w14:textId="4F0580F9" w:rsidR="00082DB7" w:rsidRDefault="00082DB7" w:rsidP="00082DB7">
      <w:pPr>
        <w:widowControl w:val="0"/>
        <w:spacing w:after="0" w:line="240" w:lineRule="auto"/>
        <w:ind w:right="74"/>
        <w:jc w:val="both"/>
        <w:rPr>
          <w:rFonts w:cstheme="minorHAnsi"/>
        </w:rPr>
      </w:pPr>
      <w:r w:rsidRPr="00A338E5">
        <w:rPr>
          <w:rFonts w:cstheme="minorHAnsi"/>
        </w:rPr>
        <w:t>V</w:t>
      </w:r>
      <w:r w:rsidRPr="00A338E5">
        <w:rPr>
          <w:rFonts w:cstheme="minorHAnsi"/>
          <w:spacing w:val="-1"/>
        </w:rPr>
        <w:t>aca</w:t>
      </w:r>
      <w:r w:rsidRPr="00A338E5">
        <w:rPr>
          <w:rFonts w:cstheme="minorHAnsi"/>
          <w:spacing w:val="2"/>
        </w:rPr>
        <w:t>n</w:t>
      </w:r>
      <w:r w:rsidRPr="00A338E5">
        <w:rPr>
          <w:rFonts w:cstheme="minorHAnsi"/>
          <w:spacing w:val="-1"/>
        </w:rPr>
        <w:t>c</w:t>
      </w:r>
      <w:r w:rsidRPr="00A338E5">
        <w:rPr>
          <w:rFonts w:cstheme="minorHAnsi"/>
        </w:rPr>
        <w:t>i</w:t>
      </w:r>
      <w:r w:rsidRPr="00A338E5">
        <w:rPr>
          <w:rFonts w:cstheme="minorHAnsi"/>
          <w:spacing w:val="-1"/>
        </w:rPr>
        <w:t>e</w:t>
      </w:r>
      <w:r w:rsidRPr="00A338E5">
        <w:rPr>
          <w:rFonts w:cstheme="minorHAnsi"/>
        </w:rPr>
        <w:t>s</w:t>
      </w:r>
      <w:r w:rsidRPr="00A338E5">
        <w:rPr>
          <w:rFonts w:cstheme="minorHAnsi"/>
          <w:spacing w:val="5"/>
        </w:rPr>
        <w:t xml:space="preserve"> </w:t>
      </w:r>
      <w:r w:rsidRPr="00A338E5">
        <w:rPr>
          <w:rFonts w:cstheme="minorHAnsi"/>
        </w:rPr>
        <w:t>s</w:t>
      </w:r>
      <w:r w:rsidRPr="00A338E5">
        <w:rPr>
          <w:rFonts w:cstheme="minorHAnsi"/>
          <w:spacing w:val="2"/>
        </w:rPr>
        <w:t>h</w:t>
      </w:r>
      <w:r w:rsidRPr="00A338E5">
        <w:rPr>
          <w:rFonts w:cstheme="minorHAnsi"/>
          <w:spacing w:val="-1"/>
        </w:rPr>
        <w:t>a</w:t>
      </w:r>
      <w:r w:rsidRPr="00A338E5">
        <w:rPr>
          <w:rFonts w:cstheme="minorHAnsi"/>
        </w:rPr>
        <w:t>ll</w:t>
      </w:r>
      <w:r w:rsidRPr="00A338E5">
        <w:rPr>
          <w:rFonts w:cstheme="minorHAnsi"/>
          <w:spacing w:val="5"/>
        </w:rPr>
        <w:t xml:space="preserve"> </w:t>
      </w:r>
      <w:r w:rsidRPr="00A338E5">
        <w:rPr>
          <w:rFonts w:cstheme="minorHAnsi"/>
          <w:spacing w:val="-1"/>
        </w:rPr>
        <w:t>b</w:t>
      </w:r>
      <w:r w:rsidRPr="00A338E5">
        <w:rPr>
          <w:rFonts w:cstheme="minorHAnsi"/>
        </w:rPr>
        <w:t>e</w:t>
      </w:r>
      <w:r w:rsidRPr="00A338E5">
        <w:rPr>
          <w:rFonts w:cstheme="minorHAnsi"/>
          <w:spacing w:val="5"/>
        </w:rPr>
        <w:t xml:space="preserve"> </w:t>
      </w:r>
      <w:r w:rsidRPr="00A338E5">
        <w:rPr>
          <w:rFonts w:cstheme="minorHAnsi"/>
          <w:spacing w:val="-1"/>
        </w:rPr>
        <w:t>f</w:t>
      </w:r>
      <w:r w:rsidRPr="00A338E5">
        <w:rPr>
          <w:rFonts w:cstheme="minorHAnsi"/>
        </w:rPr>
        <w:t>il</w:t>
      </w:r>
      <w:r w:rsidRPr="00A338E5">
        <w:rPr>
          <w:rFonts w:cstheme="minorHAnsi"/>
          <w:spacing w:val="3"/>
        </w:rPr>
        <w:t>l</w:t>
      </w:r>
      <w:r w:rsidRPr="00A338E5">
        <w:rPr>
          <w:rFonts w:cstheme="minorHAnsi"/>
          <w:spacing w:val="-1"/>
        </w:rPr>
        <w:t>e</w:t>
      </w:r>
      <w:r w:rsidRPr="00A338E5">
        <w:rPr>
          <w:rFonts w:cstheme="minorHAnsi"/>
        </w:rPr>
        <w:t>d</w:t>
      </w:r>
      <w:r w:rsidRPr="00A338E5">
        <w:rPr>
          <w:rFonts w:cstheme="minorHAnsi"/>
          <w:spacing w:val="5"/>
        </w:rPr>
        <w:t xml:space="preserve"> b</w:t>
      </w:r>
      <w:r w:rsidRPr="00A338E5">
        <w:rPr>
          <w:rFonts w:cstheme="minorHAnsi"/>
        </w:rPr>
        <w:t xml:space="preserve">y </w:t>
      </w:r>
      <w:r w:rsidRPr="00A338E5">
        <w:rPr>
          <w:rFonts w:cstheme="minorHAnsi"/>
          <w:spacing w:val="1"/>
        </w:rPr>
        <w:t>c</w:t>
      </w:r>
      <w:r w:rsidRPr="00A338E5">
        <w:rPr>
          <w:rFonts w:cstheme="minorHAnsi"/>
          <w:spacing w:val="-1"/>
        </w:rPr>
        <w:t>a</w:t>
      </w:r>
      <w:r w:rsidRPr="00A338E5">
        <w:rPr>
          <w:rFonts w:cstheme="minorHAnsi"/>
        </w:rPr>
        <w:t>lli</w:t>
      </w:r>
      <w:r w:rsidRPr="00A338E5">
        <w:rPr>
          <w:rFonts w:cstheme="minorHAnsi"/>
          <w:spacing w:val="-1"/>
        </w:rPr>
        <w:t>n</w:t>
      </w:r>
      <w:r w:rsidRPr="00A338E5">
        <w:rPr>
          <w:rFonts w:cstheme="minorHAnsi"/>
        </w:rPr>
        <w:t>g</w:t>
      </w:r>
      <w:r w:rsidRPr="00A338E5">
        <w:rPr>
          <w:rFonts w:cstheme="minorHAnsi"/>
          <w:spacing w:val="6"/>
        </w:rPr>
        <w:t xml:space="preserve"> </w:t>
      </w:r>
      <w:r w:rsidRPr="00A338E5">
        <w:rPr>
          <w:rFonts w:cstheme="minorHAnsi"/>
          <w:spacing w:val="-1"/>
        </w:rPr>
        <w:t>fo</w:t>
      </w:r>
      <w:r w:rsidRPr="00A338E5">
        <w:rPr>
          <w:rFonts w:cstheme="minorHAnsi"/>
        </w:rPr>
        <w:t>r</w:t>
      </w:r>
      <w:r w:rsidRPr="00A338E5">
        <w:rPr>
          <w:rFonts w:cstheme="minorHAnsi"/>
          <w:spacing w:val="5"/>
        </w:rPr>
        <w:t xml:space="preserve"> </w:t>
      </w:r>
      <w:r w:rsidRPr="00A338E5">
        <w:rPr>
          <w:rFonts w:cstheme="minorHAnsi"/>
          <w:spacing w:val="-1"/>
        </w:rPr>
        <w:t>no</w:t>
      </w:r>
      <w:r w:rsidRPr="00A338E5">
        <w:rPr>
          <w:rFonts w:cstheme="minorHAnsi"/>
          <w:spacing w:val="5"/>
        </w:rPr>
        <w:t>m</w:t>
      </w:r>
      <w:r w:rsidRPr="00A338E5">
        <w:rPr>
          <w:rFonts w:cstheme="minorHAnsi"/>
        </w:rPr>
        <w:t>i</w:t>
      </w:r>
      <w:r w:rsidRPr="00A338E5">
        <w:rPr>
          <w:rFonts w:cstheme="minorHAnsi"/>
          <w:spacing w:val="-1"/>
        </w:rPr>
        <w:t>n</w:t>
      </w:r>
      <w:r w:rsidRPr="00A338E5">
        <w:rPr>
          <w:rFonts w:cstheme="minorHAnsi"/>
        </w:rPr>
        <w:t>ati</w:t>
      </w:r>
      <w:r w:rsidRPr="00A338E5">
        <w:rPr>
          <w:rFonts w:cstheme="minorHAnsi"/>
          <w:spacing w:val="-1"/>
        </w:rPr>
        <w:t>on</w:t>
      </w:r>
      <w:r w:rsidRPr="00A338E5">
        <w:rPr>
          <w:rFonts w:cstheme="minorHAnsi"/>
        </w:rPr>
        <w:t>s</w:t>
      </w:r>
      <w:r w:rsidRPr="00A338E5">
        <w:rPr>
          <w:rFonts w:cstheme="minorHAnsi"/>
          <w:spacing w:val="7"/>
        </w:rPr>
        <w:t xml:space="preserve"> </w:t>
      </w:r>
      <w:r w:rsidRPr="00A338E5">
        <w:rPr>
          <w:rFonts w:cstheme="minorHAnsi"/>
          <w:spacing w:val="-1"/>
        </w:rPr>
        <w:t>o</w:t>
      </w:r>
      <w:r w:rsidRPr="00A338E5">
        <w:rPr>
          <w:rFonts w:cstheme="minorHAnsi"/>
        </w:rPr>
        <w:t>f</w:t>
      </w:r>
      <w:r w:rsidRPr="00A338E5">
        <w:rPr>
          <w:rFonts w:cstheme="minorHAnsi"/>
          <w:spacing w:val="5"/>
        </w:rPr>
        <w:t xml:space="preserve"> </w:t>
      </w:r>
      <w:r w:rsidRPr="00A338E5">
        <w:rPr>
          <w:rFonts w:cstheme="minorHAnsi"/>
          <w:spacing w:val="-1"/>
        </w:rPr>
        <w:t>e</w:t>
      </w:r>
      <w:r w:rsidRPr="00A338E5">
        <w:rPr>
          <w:rFonts w:cstheme="minorHAnsi"/>
          <w:spacing w:val="2"/>
        </w:rPr>
        <w:t>x</w:t>
      </w:r>
      <w:r w:rsidRPr="00A338E5">
        <w:rPr>
          <w:rFonts w:cstheme="minorHAnsi"/>
        </w:rPr>
        <w:t>t</w:t>
      </w:r>
      <w:r w:rsidRPr="00A338E5">
        <w:rPr>
          <w:rFonts w:cstheme="minorHAnsi"/>
          <w:spacing w:val="-1"/>
        </w:rPr>
        <w:t>ern</w:t>
      </w:r>
      <w:r w:rsidRPr="00A338E5">
        <w:rPr>
          <w:rFonts w:cstheme="minorHAnsi"/>
        </w:rPr>
        <w:t>al m</w:t>
      </w:r>
      <w:r w:rsidRPr="00A338E5">
        <w:rPr>
          <w:rFonts w:cstheme="minorHAnsi"/>
          <w:spacing w:val="-1"/>
        </w:rPr>
        <w:t>e</w:t>
      </w:r>
      <w:r w:rsidRPr="00A338E5">
        <w:rPr>
          <w:rFonts w:cstheme="minorHAnsi"/>
        </w:rPr>
        <w:t>mb</w:t>
      </w:r>
      <w:r w:rsidRPr="00A338E5">
        <w:rPr>
          <w:rFonts w:cstheme="minorHAnsi"/>
          <w:spacing w:val="-1"/>
        </w:rPr>
        <w:t>er</w:t>
      </w:r>
      <w:r w:rsidRPr="00A338E5">
        <w:rPr>
          <w:rFonts w:cstheme="minorHAnsi"/>
        </w:rPr>
        <w:t xml:space="preserve">s. </w:t>
      </w:r>
      <w:r w:rsidRPr="00A338E5">
        <w:rPr>
          <w:rFonts w:cstheme="minorHAnsi"/>
          <w:spacing w:val="2"/>
        </w:rPr>
        <w:t xml:space="preserve"> </w:t>
      </w:r>
      <w:r w:rsidRPr="00A338E5">
        <w:rPr>
          <w:rFonts w:cstheme="minorHAnsi"/>
        </w:rPr>
        <w:t>M</w:t>
      </w:r>
      <w:r w:rsidRPr="00A338E5">
        <w:rPr>
          <w:rFonts w:cstheme="minorHAnsi"/>
          <w:spacing w:val="-1"/>
        </w:rPr>
        <w:t>e</w:t>
      </w:r>
      <w:r w:rsidRPr="00A338E5">
        <w:rPr>
          <w:rFonts w:cstheme="minorHAnsi"/>
        </w:rPr>
        <w:t>mb</w:t>
      </w:r>
      <w:r w:rsidRPr="00A338E5">
        <w:rPr>
          <w:rFonts w:cstheme="minorHAnsi"/>
          <w:spacing w:val="1"/>
        </w:rPr>
        <w:t>e</w:t>
      </w:r>
      <w:r w:rsidRPr="00A338E5">
        <w:rPr>
          <w:rFonts w:cstheme="minorHAnsi"/>
          <w:spacing w:val="-1"/>
        </w:rPr>
        <w:t>r</w:t>
      </w:r>
      <w:r w:rsidRPr="00A338E5">
        <w:rPr>
          <w:rFonts w:cstheme="minorHAnsi"/>
        </w:rPr>
        <w:t>s</w:t>
      </w:r>
      <w:r w:rsidRPr="00A338E5">
        <w:rPr>
          <w:rFonts w:cstheme="minorHAnsi"/>
          <w:spacing w:val="31"/>
        </w:rPr>
        <w:t xml:space="preserve"> </w:t>
      </w:r>
      <w:r w:rsidRPr="00A338E5">
        <w:rPr>
          <w:rFonts w:cstheme="minorHAnsi"/>
          <w:spacing w:val="-1"/>
        </w:rPr>
        <w:t>f</w:t>
      </w:r>
      <w:r w:rsidRPr="00A338E5">
        <w:rPr>
          <w:rFonts w:cstheme="minorHAnsi"/>
        </w:rPr>
        <w:t>illing</w:t>
      </w:r>
      <w:r w:rsidRPr="00A338E5">
        <w:rPr>
          <w:rFonts w:cstheme="minorHAnsi"/>
          <w:spacing w:val="28"/>
        </w:rPr>
        <w:t xml:space="preserve"> </w:t>
      </w:r>
      <w:r w:rsidRPr="00A338E5">
        <w:rPr>
          <w:rFonts w:cstheme="minorHAnsi"/>
        </w:rPr>
        <w:t>a</w:t>
      </w:r>
      <w:r w:rsidRPr="00A338E5">
        <w:rPr>
          <w:rFonts w:cstheme="minorHAnsi"/>
          <w:spacing w:val="30"/>
        </w:rPr>
        <w:t xml:space="preserve"> </w:t>
      </w:r>
      <w:r w:rsidRPr="00A338E5">
        <w:rPr>
          <w:rFonts w:cstheme="minorHAnsi"/>
          <w:spacing w:val="2"/>
        </w:rPr>
        <w:t>v</w:t>
      </w:r>
      <w:r w:rsidRPr="00A338E5">
        <w:rPr>
          <w:rFonts w:cstheme="minorHAnsi"/>
          <w:spacing w:val="-1"/>
        </w:rPr>
        <w:t>a</w:t>
      </w:r>
      <w:r w:rsidRPr="00A338E5">
        <w:rPr>
          <w:rFonts w:cstheme="minorHAnsi"/>
          <w:spacing w:val="1"/>
        </w:rPr>
        <w:t>c</w:t>
      </w:r>
      <w:r w:rsidRPr="00A338E5">
        <w:rPr>
          <w:rFonts w:cstheme="minorHAnsi"/>
          <w:spacing w:val="-1"/>
        </w:rPr>
        <w:t>a</w:t>
      </w:r>
      <w:r w:rsidRPr="00A338E5">
        <w:rPr>
          <w:rFonts w:cstheme="minorHAnsi"/>
        </w:rPr>
        <w:t>t</w:t>
      </w:r>
      <w:r w:rsidRPr="00A338E5">
        <w:rPr>
          <w:rFonts w:cstheme="minorHAnsi"/>
          <w:spacing w:val="-1"/>
        </w:rPr>
        <w:t>e</w:t>
      </w:r>
      <w:r w:rsidRPr="00A338E5">
        <w:rPr>
          <w:rFonts w:cstheme="minorHAnsi"/>
        </w:rPr>
        <w:t>d</w:t>
      </w:r>
      <w:r w:rsidRPr="00A338E5">
        <w:rPr>
          <w:rFonts w:cstheme="minorHAnsi"/>
          <w:spacing w:val="31"/>
        </w:rPr>
        <w:t xml:space="preserve"> </w:t>
      </w:r>
      <w:r w:rsidRPr="00A338E5">
        <w:rPr>
          <w:rFonts w:cstheme="minorHAnsi"/>
        </w:rPr>
        <w:t>position</w:t>
      </w:r>
      <w:r w:rsidRPr="00A338E5">
        <w:rPr>
          <w:rFonts w:cstheme="minorHAnsi"/>
          <w:spacing w:val="31"/>
        </w:rPr>
        <w:t xml:space="preserve"> </w:t>
      </w:r>
      <w:r w:rsidRPr="00A338E5">
        <w:rPr>
          <w:rFonts w:cstheme="minorHAnsi"/>
        </w:rPr>
        <w:t>will</w:t>
      </w:r>
      <w:r w:rsidRPr="00A338E5">
        <w:rPr>
          <w:rFonts w:cstheme="minorHAnsi"/>
          <w:spacing w:val="32"/>
        </w:rPr>
        <w:t xml:space="preserve"> </w:t>
      </w:r>
      <w:r w:rsidRPr="00A338E5">
        <w:rPr>
          <w:rFonts w:cstheme="minorHAnsi"/>
        </w:rPr>
        <w:t>hold</w:t>
      </w:r>
      <w:r w:rsidRPr="00A338E5">
        <w:rPr>
          <w:rFonts w:cstheme="minorHAnsi"/>
          <w:spacing w:val="31"/>
        </w:rPr>
        <w:t xml:space="preserve"> </w:t>
      </w:r>
      <w:r w:rsidRPr="00A338E5">
        <w:rPr>
          <w:rFonts w:cstheme="minorHAnsi"/>
        </w:rPr>
        <w:t>th</w:t>
      </w:r>
      <w:r w:rsidRPr="00A338E5">
        <w:rPr>
          <w:rFonts w:cstheme="minorHAnsi"/>
          <w:spacing w:val="-1"/>
        </w:rPr>
        <w:t>a</w:t>
      </w:r>
      <w:r w:rsidRPr="00A338E5">
        <w:rPr>
          <w:rFonts w:cstheme="minorHAnsi"/>
        </w:rPr>
        <w:t>t</w:t>
      </w:r>
      <w:r w:rsidRPr="00A338E5">
        <w:rPr>
          <w:rFonts w:cstheme="minorHAnsi"/>
          <w:spacing w:val="32"/>
        </w:rPr>
        <w:t xml:space="preserve"> </w:t>
      </w:r>
      <w:r w:rsidRPr="00A338E5">
        <w:rPr>
          <w:rFonts w:cstheme="minorHAnsi"/>
        </w:rPr>
        <w:t xml:space="preserve">position </w:t>
      </w:r>
      <w:r w:rsidRPr="00A338E5">
        <w:rPr>
          <w:rFonts w:cstheme="minorHAnsi"/>
          <w:spacing w:val="-1"/>
        </w:rPr>
        <w:t>f</w:t>
      </w:r>
      <w:r w:rsidRPr="00A338E5">
        <w:rPr>
          <w:rFonts w:cstheme="minorHAnsi"/>
        </w:rPr>
        <w:t>or</w:t>
      </w:r>
      <w:r w:rsidRPr="00A338E5">
        <w:rPr>
          <w:rFonts w:cstheme="minorHAnsi"/>
          <w:spacing w:val="16"/>
        </w:rPr>
        <w:t xml:space="preserve"> </w:t>
      </w:r>
      <w:r w:rsidRPr="00A338E5">
        <w:rPr>
          <w:rFonts w:cstheme="minorHAnsi"/>
        </w:rPr>
        <w:t>the</w:t>
      </w:r>
      <w:r w:rsidRPr="00A338E5">
        <w:rPr>
          <w:rFonts w:cstheme="minorHAnsi"/>
          <w:spacing w:val="18"/>
        </w:rPr>
        <w:t xml:space="preserve"> </w:t>
      </w:r>
      <w:r w:rsidRPr="00A338E5">
        <w:rPr>
          <w:rFonts w:cstheme="minorHAnsi"/>
          <w:spacing w:val="-1"/>
        </w:rPr>
        <w:t>re</w:t>
      </w:r>
      <w:r w:rsidRPr="00A338E5">
        <w:rPr>
          <w:rFonts w:cstheme="minorHAnsi"/>
        </w:rPr>
        <w:t>m</w:t>
      </w:r>
      <w:r w:rsidRPr="00A338E5">
        <w:rPr>
          <w:rFonts w:cstheme="minorHAnsi"/>
          <w:spacing w:val="-1"/>
        </w:rPr>
        <w:t>a</w:t>
      </w:r>
      <w:r w:rsidRPr="00A338E5">
        <w:rPr>
          <w:rFonts w:cstheme="minorHAnsi"/>
        </w:rPr>
        <w:t>ind</w:t>
      </w:r>
      <w:r w:rsidRPr="00A338E5">
        <w:rPr>
          <w:rFonts w:cstheme="minorHAnsi"/>
          <w:spacing w:val="1"/>
        </w:rPr>
        <w:t>e</w:t>
      </w:r>
      <w:r w:rsidRPr="00A338E5">
        <w:rPr>
          <w:rFonts w:cstheme="minorHAnsi"/>
        </w:rPr>
        <w:t>r</w:t>
      </w:r>
      <w:r w:rsidRPr="00A338E5">
        <w:rPr>
          <w:rFonts w:cstheme="minorHAnsi"/>
          <w:spacing w:val="16"/>
        </w:rPr>
        <w:t xml:space="preserve"> </w:t>
      </w:r>
      <w:r w:rsidRPr="00A338E5">
        <w:rPr>
          <w:rFonts w:cstheme="minorHAnsi"/>
        </w:rPr>
        <w:t>of</w:t>
      </w:r>
      <w:r w:rsidRPr="00A338E5">
        <w:rPr>
          <w:rFonts w:cstheme="minorHAnsi"/>
          <w:spacing w:val="18"/>
        </w:rPr>
        <w:t xml:space="preserve"> </w:t>
      </w:r>
      <w:r w:rsidRPr="00A338E5">
        <w:rPr>
          <w:rFonts w:cstheme="minorHAnsi"/>
        </w:rPr>
        <w:t>the</w:t>
      </w:r>
      <w:r w:rsidRPr="00A338E5">
        <w:rPr>
          <w:rFonts w:cstheme="minorHAnsi"/>
          <w:spacing w:val="18"/>
        </w:rPr>
        <w:t xml:space="preserve"> four</w:t>
      </w:r>
      <w:r w:rsidRPr="00A338E5">
        <w:rPr>
          <w:rFonts w:cstheme="minorHAnsi"/>
          <w:spacing w:val="17"/>
        </w:rPr>
        <w:t xml:space="preserve"> </w:t>
      </w:r>
      <w:r w:rsidRPr="00A338E5">
        <w:rPr>
          <w:rFonts w:cstheme="minorHAnsi"/>
          <w:spacing w:val="-1"/>
        </w:rPr>
        <w:t>(4</w:t>
      </w:r>
      <w:r w:rsidRPr="00A338E5">
        <w:rPr>
          <w:rFonts w:cstheme="minorHAnsi"/>
        </w:rPr>
        <w:t>)</w:t>
      </w:r>
      <w:r w:rsidRPr="00A338E5">
        <w:rPr>
          <w:rFonts w:cstheme="minorHAnsi"/>
          <w:spacing w:val="21"/>
        </w:rPr>
        <w:t xml:space="preserve"> </w:t>
      </w:r>
      <w:r w:rsidRPr="00A338E5">
        <w:rPr>
          <w:rFonts w:cstheme="minorHAnsi"/>
          <w:spacing w:val="-5"/>
        </w:rPr>
        <w:t>y</w:t>
      </w:r>
      <w:r w:rsidRPr="00A338E5">
        <w:rPr>
          <w:rFonts w:cstheme="minorHAnsi"/>
          <w:spacing w:val="1"/>
        </w:rPr>
        <w:t>e</w:t>
      </w:r>
      <w:r w:rsidRPr="00A338E5">
        <w:rPr>
          <w:rFonts w:cstheme="minorHAnsi"/>
          <w:spacing w:val="-1"/>
        </w:rPr>
        <w:t>ar</w:t>
      </w:r>
      <w:r w:rsidRPr="00A338E5">
        <w:rPr>
          <w:rFonts w:cstheme="minorHAnsi"/>
        </w:rPr>
        <w:t>s</w:t>
      </w:r>
      <w:r w:rsidRPr="00A338E5">
        <w:rPr>
          <w:rFonts w:cstheme="minorHAnsi"/>
          <w:spacing w:val="17"/>
        </w:rPr>
        <w:t xml:space="preserve"> </w:t>
      </w:r>
      <w:r w:rsidRPr="00A338E5">
        <w:rPr>
          <w:rFonts w:cstheme="minorHAnsi"/>
        </w:rPr>
        <w:t>d</w:t>
      </w:r>
      <w:r w:rsidRPr="00A338E5">
        <w:rPr>
          <w:rFonts w:cstheme="minorHAnsi"/>
          <w:spacing w:val="2"/>
        </w:rPr>
        <w:t>u</w:t>
      </w:r>
      <w:r w:rsidRPr="00A338E5">
        <w:rPr>
          <w:rFonts w:cstheme="minorHAnsi"/>
          <w:spacing w:val="-1"/>
        </w:rPr>
        <w:t>ra</w:t>
      </w:r>
      <w:r w:rsidRPr="00A338E5">
        <w:rPr>
          <w:rFonts w:cstheme="minorHAnsi"/>
        </w:rPr>
        <w:t>tion</w:t>
      </w:r>
      <w:r w:rsidRPr="00A338E5">
        <w:rPr>
          <w:rFonts w:cstheme="minorHAnsi"/>
          <w:spacing w:val="17"/>
        </w:rPr>
        <w:t xml:space="preserve"> </w:t>
      </w:r>
      <w:r w:rsidRPr="00A338E5">
        <w:rPr>
          <w:rFonts w:cstheme="minorHAnsi"/>
        </w:rPr>
        <w:t>of</w:t>
      </w:r>
      <w:r w:rsidRPr="00A338E5">
        <w:rPr>
          <w:rFonts w:cstheme="minorHAnsi"/>
          <w:spacing w:val="18"/>
        </w:rPr>
        <w:t xml:space="preserve"> </w:t>
      </w:r>
      <w:r w:rsidRPr="00A338E5">
        <w:rPr>
          <w:rFonts w:cstheme="minorHAnsi"/>
        </w:rPr>
        <w:t>the</w:t>
      </w:r>
      <w:r w:rsidRPr="00A338E5">
        <w:rPr>
          <w:rFonts w:cstheme="minorHAnsi"/>
          <w:spacing w:val="16"/>
        </w:rPr>
        <w:t xml:space="preserve"> </w:t>
      </w:r>
      <w:r w:rsidRPr="00A338E5">
        <w:rPr>
          <w:rFonts w:cstheme="minorHAnsi"/>
          <w:spacing w:val="-1"/>
        </w:rPr>
        <w:t>c</w:t>
      </w:r>
      <w:r w:rsidRPr="00A338E5">
        <w:rPr>
          <w:rFonts w:cstheme="minorHAnsi"/>
        </w:rPr>
        <w:t>on</w:t>
      </w:r>
      <w:r w:rsidRPr="00A338E5">
        <w:rPr>
          <w:rFonts w:cstheme="minorHAnsi"/>
          <w:spacing w:val="2"/>
        </w:rPr>
        <w:t>v</w:t>
      </w:r>
      <w:r w:rsidRPr="00A338E5">
        <w:rPr>
          <w:rFonts w:cstheme="minorHAnsi"/>
          <w:spacing w:val="-1"/>
        </w:rPr>
        <w:t>e</w:t>
      </w:r>
      <w:r w:rsidRPr="00A338E5">
        <w:rPr>
          <w:rFonts w:cstheme="minorHAnsi"/>
        </w:rPr>
        <w:t>n</w:t>
      </w:r>
      <w:r w:rsidRPr="00A338E5">
        <w:rPr>
          <w:rFonts w:cstheme="minorHAnsi"/>
          <w:spacing w:val="-1"/>
        </w:rPr>
        <w:t>e</w:t>
      </w:r>
      <w:r w:rsidRPr="00A338E5">
        <w:rPr>
          <w:rFonts w:cstheme="minorHAnsi"/>
        </w:rPr>
        <w:t>d</w:t>
      </w:r>
      <w:r w:rsidRPr="00A338E5">
        <w:rPr>
          <w:rFonts w:cstheme="minorHAnsi"/>
          <w:spacing w:val="17"/>
        </w:rPr>
        <w:t xml:space="preserve"> </w:t>
      </w:r>
      <w:r w:rsidRPr="00A338E5">
        <w:rPr>
          <w:rFonts w:cstheme="minorHAnsi"/>
          <w:spacing w:val="2"/>
        </w:rPr>
        <w:t>CDAC</w:t>
      </w:r>
      <w:r w:rsidRPr="00A338E5">
        <w:rPr>
          <w:rFonts w:cstheme="minorHAnsi"/>
        </w:rPr>
        <w:t xml:space="preserve">, </w:t>
      </w:r>
      <w:r w:rsidRPr="00A338E5">
        <w:rPr>
          <w:rFonts w:cstheme="minorHAnsi"/>
          <w:spacing w:val="-1"/>
        </w:rPr>
        <w:t>a</w:t>
      </w:r>
      <w:r w:rsidRPr="00A338E5">
        <w:rPr>
          <w:rFonts w:cstheme="minorHAnsi"/>
        </w:rPr>
        <w:t xml:space="preserve">s </w:t>
      </w:r>
      <w:r w:rsidRPr="00A338E5">
        <w:rPr>
          <w:rFonts w:cstheme="minorHAnsi"/>
          <w:spacing w:val="-1"/>
        </w:rPr>
        <w:t>a</w:t>
      </w:r>
      <w:r w:rsidRPr="00A338E5">
        <w:rPr>
          <w:rFonts w:cstheme="minorHAnsi"/>
        </w:rPr>
        <w:t>pp</w:t>
      </w:r>
      <w:r w:rsidRPr="00A338E5">
        <w:rPr>
          <w:rFonts w:cstheme="minorHAnsi"/>
          <w:spacing w:val="-1"/>
        </w:rPr>
        <w:t>r</w:t>
      </w:r>
      <w:r w:rsidRPr="00A338E5">
        <w:rPr>
          <w:rFonts w:cstheme="minorHAnsi"/>
        </w:rPr>
        <w:t>ov</w:t>
      </w:r>
      <w:r w:rsidRPr="00A338E5">
        <w:rPr>
          <w:rFonts w:cstheme="minorHAnsi"/>
          <w:spacing w:val="-1"/>
        </w:rPr>
        <w:t>e</w:t>
      </w:r>
      <w:r w:rsidRPr="00A338E5">
        <w:rPr>
          <w:rFonts w:cstheme="minorHAnsi"/>
        </w:rPr>
        <w:t xml:space="preserve">d </w:t>
      </w:r>
      <w:r w:rsidRPr="00A338E5">
        <w:rPr>
          <w:rFonts w:cstheme="minorHAnsi"/>
          <w:spacing w:val="5"/>
        </w:rPr>
        <w:t>b</w:t>
      </w:r>
      <w:r w:rsidRPr="00A338E5">
        <w:rPr>
          <w:rFonts w:cstheme="minorHAnsi"/>
        </w:rPr>
        <w:t>y</w:t>
      </w:r>
      <w:r w:rsidRPr="00A338E5">
        <w:rPr>
          <w:rFonts w:cstheme="minorHAnsi"/>
          <w:spacing w:val="-5"/>
        </w:rPr>
        <w:t xml:space="preserve"> </w:t>
      </w:r>
      <w:r w:rsidRPr="00A338E5">
        <w:rPr>
          <w:rFonts w:cstheme="minorHAnsi"/>
        </w:rPr>
        <w:t>t</w:t>
      </w:r>
      <w:r w:rsidRPr="00A338E5">
        <w:rPr>
          <w:rFonts w:cstheme="minorHAnsi"/>
          <w:spacing w:val="2"/>
        </w:rPr>
        <w:t>h</w:t>
      </w:r>
      <w:r w:rsidRPr="00A338E5">
        <w:rPr>
          <w:rFonts w:cstheme="minorHAnsi"/>
        </w:rPr>
        <w:t>e</w:t>
      </w:r>
      <w:r w:rsidRPr="00A338E5">
        <w:rPr>
          <w:rFonts w:cstheme="minorHAnsi"/>
          <w:spacing w:val="-1"/>
        </w:rPr>
        <w:t xml:space="preserve"> </w:t>
      </w:r>
      <w:r w:rsidRPr="00A338E5">
        <w:rPr>
          <w:rFonts w:cstheme="minorHAnsi"/>
          <w:spacing w:val="1"/>
        </w:rPr>
        <w:t>C</w:t>
      </w:r>
      <w:r w:rsidRPr="00A338E5">
        <w:rPr>
          <w:rFonts w:cstheme="minorHAnsi"/>
        </w:rPr>
        <w:t>oun</w:t>
      </w:r>
      <w:r w:rsidRPr="00A338E5">
        <w:rPr>
          <w:rFonts w:cstheme="minorHAnsi"/>
          <w:spacing w:val="-1"/>
        </w:rPr>
        <w:t>c</w:t>
      </w:r>
      <w:r w:rsidRPr="00A338E5">
        <w:rPr>
          <w:rFonts w:cstheme="minorHAnsi"/>
        </w:rPr>
        <w:t>il.</w:t>
      </w:r>
    </w:p>
    <w:p w14:paraId="1E310974" w14:textId="77777777" w:rsidR="00082DB7" w:rsidRPr="00A338E5" w:rsidRDefault="00082DB7" w:rsidP="00082DB7">
      <w:pPr>
        <w:widowControl w:val="0"/>
        <w:spacing w:after="0" w:line="240" w:lineRule="auto"/>
        <w:ind w:right="74"/>
        <w:jc w:val="both"/>
        <w:rPr>
          <w:rFonts w:cstheme="minorHAnsi"/>
        </w:rPr>
      </w:pPr>
    </w:p>
    <w:tbl>
      <w:tblPr>
        <w:tblStyle w:val="TableGrid"/>
        <w:tblW w:w="0" w:type="auto"/>
        <w:tblLook w:val="04A0" w:firstRow="1" w:lastRow="0" w:firstColumn="1" w:lastColumn="0" w:noHBand="0" w:noVBand="1"/>
      </w:tblPr>
      <w:tblGrid>
        <w:gridCol w:w="3026"/>
        <w:gridCol w:w="5990"/>
      </w:tblGrid>
      <w:tr w:rsidR="00082DB7" w:rsidRPr="00A338E5" w14:paraId="7F9666DE" w14:textId="77777777" w:rsidTr="00DC5B9C">
        <w:tc>
          <w:tcPr>
            <w:tcW w:w="3026" w:type="dxa"/>
          </w:tcPr>
          <w:p w14:paraId="5A446182" w14:textId="77777777" w:rsidR="00082DB7" w:rsidRPr="00A338E5" w:rsidRDefault="00082DB7" w:rsidP="00DC5B9C">
            <w:pPr>
              <w:jc w:val="both"/>
              <w:rPr>
                <w:rFonts w:cstheme="minorHAnsi"/>
                <w:b/>
                <w:lang w:val="en-US"/>
              </w:rPr>
            </w:pPr>
            <w:r w:rsidRPr="00A338E5">
              <w:rPr>
                <w:rFonts w:cstheme="minorHAnsi"/>
                <w:b/>
                <w:lang w:val="en-US"/>
              </w:rPr>
              <w:t>Responsible Directorate:</w:t>
            </w:r>
          </w:p>
        </w:tc>
        <w:tc>
          <w:tcPr>
            <w:tcW w:w="5990" w:type="dxa"/>
          </w:tcPr>
          <w:p w14:paraId="0C5DA52D" w14:textId="77777777" w:rsidR="00082DB7" w:rsidRPr="00A338E5" w:rsidRDefault="00082DB7" w:rsidP="00DC5B9C">
            <w:pPr>
              <w:jc w:val="both"/>
              <w:rPr>
                <w:rFonts w:cstheme="minorHAnsi"/>
                <w:lang w:val="en-US"/>
              </w:rPr>
            </w:pPr>
            <w:r>
              <w:rPr>
                <w:rFonts w:cstheme="minorHAnsi"/>
                <w:lang w:val="en-US"/>
              </w:rPr>
              <w:t>Regulatory Services</w:t>
            </w:r>
          </w:p>
        </w:tc>
      </w:tr>
      <w:tr w:rsidR="00082DB7" w:rsidRPr="00A338E5" w14:paraId="5B53ECAB" w14:textId="77777777" w:rsidTr="00DC5B9C">
        <w:tc>
          <w:tcPr>
            <w:tcW w:w="3026" w:type="dxa"/>
          </w:tcPr>
          <w:p w14:paraId="47F54357" w14:textId="77777777" w:rsidR="00082DB7" w:rsidRPr="00A338E5" w:rsidRDefault="00082DB7" w:rsidP="00DC5B9C">
            <w:pPr>
              <w:jc w:val="both"/>
              <w:rPr>
                <w:rFonts w:cstheme="minorHAnsi"/>
                <w:b/>
                <w:lang w:val="en-US"/>
              </w:rPr>
            </w:pPr>
            <w:r w:rsidRPr="00A338E5">
              <w:rPr>
                <w:rFonts w:cstheme="minorHAnsi"/>
                <w:b/>
                <w:lang w:val="en-US"/>
              </w:rPr>
              <w:t>Reviewing Officer:</w:t>
            </w:r>
          </w:p>
        </w:tc>
        <w:tc>
          <w:tcPr>
            <w:tcW w:w="5990" w:type="dxa"/>
          </w:tcPr>
          <w:p w14:paraId="272541A4" w14:textId="77777777" w:rsidR="00082DB7" w:rsidRPr="00A338E5" w:rsidRDefault="00082DB7" w:rsidP="00DC5B9C">
            <w:pPr>
              <w:jc w:val="both"/>
              <w:rPr>
                <w:rFonts w:cstheme="minorHAnsi"/>
                <w:lang w:val="en-US"/>
              </w:rPr>
            </w:pPr>
            <w:r>
              <w:rPr>
                <w:rFonts w:cstheme="minorHAnsi"/>
                <w:lang w:val="en-US"/>
              </w:rPr>
              <w:t>Executive Manager Regulatory Services</w:t>
            </w:r>
          </w:p>
        </w:tc>
      </w:tr>
      <w:tr w:rsidR="00082DB7" w:rsidRPr="00A338E5" w14:paraId="43CDA731" w14:textId="77777777" w:rsidTr="00DC5B9C">
        <w:tc>
          <w:tcPr>
            <w:tcW w:w="3026" w:type="dxa"/>
          </w:tcPr>
          <w:p w14:paraId="3DAB4FE3" w14:textId="77777777" w:rsidR="00082DB7" w:rsidRPr="00A338E5" w:rsidRDefault="00082DB7" w:rsidP="00DC5B9C">
            <w:pPr>
              <w:jc w:val="both"/>
              <w:rPr>
                <w:rFonts w:cstheme="minorHAnsi"/>
                <w:b/>
                <w:lang w:val="en-US"/>
              </w:rPr>
            </w:pPr>
            <w:r w:rsidRPr="00A338E5">
              <w:rPr>
                <w:rFonts w:cstheme="minorHAnsi"/>
                <w:b/>
                <w:lang w:val="en-US"/>
              </w:rPr>
              <w:t>Decision making Authority:</w:t>
            </w:r>
          </w:p>
        </w:tc>
        <w:tc>
          <w:tcPr>
            <w:tcW w:w="5990" w:type="dxa"/>
          </w:tcPr>
          <w:p w14:paraId="7024834A" w14:textId="77777777" w:rsidR="00082DB7" w:rsidRPr="00A338E5" w:rsidRDefault="00082DB7" w:rsidP="00DC5B9C">
            <w:pPr>
              <w:jc w:val="both"/>
              <w:rPr>
                <w:rFonts w:cstheme="minorHAnsi"/>
                <w:lang w:val="en-US"/>
              </w:rPr>
            </w:pPr>
            <w:r w:rsidRPr="00A338E5">
              <w:rPr>
                <w:rFonts w:cstheme="minorHAnsi"/>
                <w:lang w:val="en-US"/>
              </w:rPr>
              <w:t>Council</w:t>
            </w:r>
          </w:p>
        </w:tc>
      </w:tr>
      <w:tr w:rsidR="00082DB7" w:rsidRPr="00A338E5" w14:paraId="1C2E6945" w14:textId="77777777" w:rsidTr="00DC5B9C">
        <w:tc>
          <w:tcPr>
            <w:tcW w:w="3026" w:type="dxa"/>
          </w:tcPr>
          <w:p w14:paraId="4393DFA3" w14:textId="77777777" w:rsidR="00082DB7" w:rsidRPr="00A338E5" w:rsidRDefault="00082DB7" w:rsidP="00DC5B9C">
            <w:pPr>
              <w:jc w:val="both"/>
              <w:rPr>
                <w:rFonts w:cstheme="minorHAnsi"/>
                <w:b/>
                <w:lang w:val="en-US"/>
              </w:rPr>
            </w:pPr>
            <w:r w:rsidRPr="00A338E5">
              <w:rPr>
                <w:rFonts w:cstheme="minorHAnsi"/>
                <w:b/>
                <w:lang w:val="en-US"/>
              </w:rPr>
              <w:t>Policy Adopted:</w:t>
            </w:r>
          </w:p>
        </w:tc>
        <w:tc>
          <w:tcPr>
            <w:tcW w:w="5990" w:type="dxa"/>
          </w:tcPr>
          <w:p w14:paraId="1AF74C14" w14:textId="77777777" w:rsidR="00082DB7" w:rsidRPr="00A338E5" w:rsidRDefault="00082DB7" w:rsidP="00DC5B9C">
            <w:pPr>
              <w:jc w:val="both"/>
              <w:rPr>
                <w:rFonts w:cstheme="minorHAnsi"/>
                <w:lang w:val="en-US"/>
              </w:rPr>
            </w:pPr>
            <w:r w:rsidRPr="00A338E5">
              <w:rPr>
                <w:rFonts w:cstheme="minorHAnsi"/>
                <w:lang w:val="en-US"/>
              </w:rPr>
              <w:t>21/6/16</w:t>
            </w:r>
          </w:p>
        </w:tc>
      </w:tr>
      <w:tr w:rsidR="00082DB7" w:rsidRPr="00A338E5" w14:paraId="6EBA1D16" w14:textId="77777777" w:rsidTr="00DC5B9C">
        <w:tc>
          <w:tcPr>
            <w:tcW w:w="3026" w:type="dxa"/>
          </w:tcPr>
          <w:p w14:paraId="3B8932EA" w14:textId="77777777" w:rsidR="00082DB7" w:rsidRPr="00A338E5" w:rsidRDefault="00082DB7" w:rsidP="00DC5B9C">
            <w:pPr>
              <w:jc w:val="both"/>
              <w:rPr>
                <w:rFonts w:cstheme="minorHAnsi"/>
                <w:b/>
                <w:lang w:val="en-US"/>
              </w:rPr>
            </w:pPr>
            <w:r w:rsidRPr="00A338E5">
              <w:rPr>
                <w:rFonts w:cstheme="minorHAnsi"/>
                <w:b/>
                <w:lang w:val="en-US"/>
              </w:rPr>
              <w:t>Policy Amended:</w:t>
            </w:r>
          </w:p>
        </w:tc>
        <w:tc>
          <w:tcPr>
            <w:tcW w:w="5990" w:type="dxa"/>
          </w:tcPr>
          <w:p w14:paraId="1973135A" w14:textId="77777777" w:rsidR="00082DB7" w:rsidRPr="00A338E5" w:rsidRDefault="00082DB7" w:rsidP="00DC5B9C">
            <w:pPr>
              <w:jc w:val="both"/>
              <w:rPr>
                <w:rFonts w:cstheme="minorHAnsi"/>
                <w:lang w:val="en-US"/>
              </w:rPr>
            </w:pPr>
            <w:r w:rsidRPr="00A338E5">
              <w:rPr>
                <w:rFonts w:cstheme="minorHAnsi"/>
                <w:lang w:val="en-US"/>
              </w:rPr>
              <w:t>19/7/16</w:t>
            </w:r>
            <w:r>
              <w:rPr>
                <w:rFonts w:cstheme="minorHAnsi"/>
                <w:lang w:val="en-US"/>
              </w:rPr>
              <w:t>, 15/10/19, 19/10/21</w:t>
            </w:r>
          </w:p>
        </w:tc>
      </w:tr>
      <w:tr w:rsidR="00082DB7" w:rsidRPr="00A338E5" w14:paraId="0FBDAF6D" w14:textId="77777777" w:rsidTr="00DC5B9C">
        <w:tc>
          <w:tcPr>
            <w:tcW w:w="3026" w:type="dxa"/>
          </w:tcPr>
          <w:p w14:paraId="74FADA70" w14:textId="77777777" w:rsidR="00082DB7" w:rsidRPr="00A338E5" w:rsidRDefault="00082DB7" w:rsidP="00DC5B9C">
            <w:pPr>
              <w:jc w:val="both"/>
              <w:rPr>
                <w:rFonts w:cstheme="minorHAnsi"/>
                <w:b/>
                <w:lang w:val="en-US"/>
              </w:rPr>
            </w:pPr>
            <w:r>
              <w:rPr>
                <w:rFonts w:cstheme="minorHAnsi"/>
                <w:b/>
                <w:lang w:val="en-US"/>
              </w:rPr>
              <w:t>Former Policy No</w:t>
            </w:r>
            <w:r w:rsidRPr="00A338E5">
              <w:rPr>
                <w:rFonts w:cstheme="minorHAnsi"/>
                <w:b/>
                <w:lang w:val="en-US"/>
              </w:rPr>
              <w:t>:</w:t>
            </w:r>
          </w:p>
        </w:tc>
        <w:tc>
          <w:tcPr>
            <w:tcW w:w="5990" w:type="dxa"/>
          </w:tcPr>
          <w:p w14:paraId="569AE7DB" w14:textId="77777777" w:rsidR="00082DB7" w:rsidRPr="00A338E5" w:rsidRDefault="00082DB7" w:rsidP="00DC5B9C">
            <w:pPr>
              <w:jc w:val="both"/>
              <w:rPr>
                <w:rFonts w:cstheme="minorHAnsi"/>
                <w:lang w:val="en-US"/>
              </w:rPr>
            </w:pPr>
            <w:r>
              <w:rPr>
                <w:rFonts w:cstheme="minorHAnsi"/>
                <w:lang w:val="en-US"/>
              </w:rPr>
              <w:t>3.1.6</w:t>
            </w:r>
          </w:p>
        </w:tc>
      </w:tr>
    </w:tbl>
    <w:p w14:paraId="7AFFAD87" w14:textId="77777777" w:rsidR="00082DB7" w:rsidRDefault="00082DB7" w:rsidP="00082DB7"/>
    <w:p w14:paraId="75044763" w14:textId="3DB11871" w:rsidR="00465205" w:rsidRPr="00A338E5" w:rsidRDefault="00465205" w:rsidP="00082DB7">
      <w:pPr>
        <w:pStyle w:val="Title"/>
        <w:pBdr>
          <w:bottom w:val="none" w:sz="0" w:space="0" w:color="auto"/>
        </w:pBdr>
        <w:spacing w:after="240"/>
        <w:jc w:val="right"/>
        <w:rPr>
          <w:rFonts w:cstheme="minorHAnsi"/>
          <w:lang w:val="en-US"/>
        </w:rPr>
      </w:pPr>
    </w:p>
    <w:p w14:paraId="4033A331" w14:textId="77777777" w:rsidR="00665A13" w:rsidRDefault="00665A13">
      <w:pPr>
        <w:rPr>
          <w:rFonts w:cstheme="minorHAnsi"/>
          <w:lang w:val="en-US"/>
        </w:rPr>
      </w:pPr>
      <w:r>
        <w:rPr>
          <w:rFonts w:cstheme="minorHAnsi"/>
          <w:lang w:val="en-US"/>
        </w:rPr>
        <w:br w:type="page"/>
      </w:r>
    </w:p>
    <w:p w14:paraId="18085CF4" w14:textId="1C553DB6" w:rsidR="00665A13" w:rsidRPr="00616F3C" w:rsidRDefault="00837116" w:rsidP="00665A13">
      <w:pPr>
        <w:pStyle w:val="Title"/>
        <w:pBdr>
          <w:bottom w:val="none" w:sz="0" w:space="0" w:color="auto"/>
        </w:pBdr>
        <w:spacing w:after="240"/>
        <w:jc w:val="right"/>
        <w:rPr>
          <w:rFonts w:ascii="Arial" w:hAnsi="Arial" w:cs="Arial"/>
          <w:b/>
          <w:color w:val="auto"/>
          <w:sz w:val="28"/>
          <w:szCs w:val="28"/>
          <w:lang w:val="en-US"/>
        </w:rPr>
      </w:pPr>
      <w:r>
        <w:rPr>
          <w:noProof/>
          <w:lang w:eastAsia="en-AU"/>
        </w:rPr>
        <w:lastRenderedPageBreak/>
        <w:drawing>
          <wp:anchor distT="0" distB="0" distL="114300" distR="114300" simplePos="0" relativeHeight="251651072" behindDoc="1" locked="0" layoutInCell="1" allowOverlap="1" wp14:anchorId="00FA536D" wp14:editId="1E5F2211">
            <wp:simplePos x="0" y="0"/>
            <wp:positionH relativeFrom="column">
              <wp:posOffset>4000500</wp:posOffset>
            </wp:positionH>
            <wp:positionV relativeFrom="paragraph">
              <wp:posOffset>3175</wp:posOffset>
            </wp:positionV>
            <wp:extent cx="1744345" cy="699135"/>
            <wp:effectExtent l="0" t="0" r="8255" b="5715"/>
            <wp:wrapTight wrapText="bothSides">
              <wp:wrapPolygon edited="0">
                <wp:start x="0" y="0"/>
                <wp:lineTo x="0" y="21188"/>
                <wp:lineTo x="21466" y="21188"/>
                <wp:lineTo x="21466" y="0"/>
                <wp:lineTo x="0" y="0"/>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3E2C16E" w14:textId="77777777" w:rsidR="00665A13" w:rsidRPr="00DB1A99" w:rsidRDefault="00665A13" w:rsidP="00665A13">
      <w:pPr>
        <w:pStyle w:val="Title"/>
        <w:pBdr>
          <w:bottom w:val="none" w:sz="0" w:space="0" w:color="auto"/>
        </w:pBdr>
        <w:spacing w:before="360" w:after="240"/>
        <w:rPr>
          <w:rFonts w:ascii="Arial" w:hAnsi="Arial" w:cs="Arial"/>
          <w:b/>
          <w:color w:val="auto"/>
          <w:sz w:val="16"/>
          <w:szCs w:val="28"/>
          <w:lang w:val="en-US"/>
        </w:rPr>
      </w:pPr>
    </w:p>
    <w:p w14:paraId="187528CE" w14:textId="77777777" w:rsidR="00837116" w:rsidRDefault="00837116" w:rsidP="00665A13">
      <w:pPr>
        <w:pStyle w:val="Policy3"/>
      </w:pPr>
      <w:bookmarkStart w:id="543" w:name="_Toc14942658"/>
    </w:p>
    <w:p w14:paraId="7F9E1862" w14:textId="77777777" w:rsidR="00837116" w:rsidRDefault="00837116" w:rsidP="00665A13">
      <w:pPr>
        <w:pStyle w:val="Policy3"/>
      </w:pPr>
    </w:p>
    <w:p w14:paraId="7D2342B1" w14:textId="61AB31B0" w:rsidR="00665A13" w:rsidRPr="003627B3" w:rsidRDefault="00665A13" w:rsidP="00665A13">
      <w:pPr>
        <w:pStyle w:val="Policy3"/>
      </w:pPr>
      <w:bookmarkStart w:id="544" w:name="_Toc216866719"/>
      <w:r w:rsidRPr="003627B3">
        <w:t>3.1.</w:t>
      </w:r>
      <w:r>
        <w:t>6</w:t>
      </w:r>
      <w:r w:rsidRPr="003627B3">
        <w:tab/>
      </w:r>
      <w:bookmarkEnd w:id="543"/>
      <w:r>
        <w:t>George Street Designated Heritage Area - Local Planning Policy</w:t>
      </w:r>
      <w:bookmarkEnd w:id="544"/>
    </w:p>
    <w:tbl>
      <w:tblPr>
        <w:tblStyle w:val="TableGrid"/>
        <w:tblW w:w="0" w:type="auto"/>
        <w:tblLook w:val="04A0" w:firstRow="1" w:lastRow="0" w:firstColumn="1" w:lastColumn="0" w:noHBand="0" w:noVBand="1"/>
      </w:tblPr>
      <w:tblGrid>
        <w:gridCol w:w="3027"/>
        <w:gridCol w:w="5989"/>
      </w:tblGrid>
      <w:tr w:rsidR="00665A13" w:rsidRPr="00A30336" w14:paraId="6F247F6D" w14:textId="77777777" w:rsidTr="00A9290F">
        <w:tc>
          <w:tcPr>
            <w:tcW w:w="3027" w:type="dxa"/>
          </w:tcPr>
          <w:p w14:paraId="4CC2872C" w14:textId="77777777" w:rsidR="00665A13" w:rsidRPr="00A30336" w:rsidRDefault="00665A13" w:rsidP="00A9290F">
            <w:pPr>
              <w:rPr>
                <w:rFonts w:cstheme="minorHAnsi"/>
                <w:b/>
                <w:lang w:val="en-US"/>
              </w:rPr>
            </w:pPr>
            <w:r w:rsidRPr="00A30336">
              <w:rPr>
                <w:rFonts w:cstheme="minorHAnsi"/>
                <w:b/>
                <w:lang w:val="en-US"/>
              </w:rPr>
              <w:t>Type:</w:t>
            </w:r>
          </w:p>
        </w:tc>
        <w:tc>
          <w:tcPr>
            <w:tcW w:w="5989" w:type="dxa"/>
          </w:tcPr>
          <w:p w14:paraId="5DC87B06" w14:textId="77777777" w:rsidR="00665A13" w:rsidRPr="00A30336" w:rsidRDefault="00665A13" w:rsidP="00A9290F">
            <w:pPr>
              <w:rPr>
                <w:rFonts w:cstheme="minorHAnsi"/>
                <w:lang w:val="en-US"/>
              </w:rPr>
            </w:pPr>
            <w:r>
              <w:rPr>
                <w:rFonts w:cstheme="minorHAnsi"/>
                <w:lang w:val="en-US"/>
              </w:rPr>
              <w:t>Regulatory Services - Planning</w:t>
            </w:r>
          </w:p>
        </w:tc>
      </w:tr>
      <w:tr w:rsidR="00665A13" w:rsidRPr="00A30336" w14:paraId="0809CAFA" w14:textId="77777777" w:rsidTr="00A9290F">
        <w:tc>
          <w:tcPr>
            <w:tcW w:w="3027" w:type="dxa"/>
          </w:tcPr>
          <w:p w14:paraId="6639682A" w14:textId="77777777" w:rsidR="00665A13" w:rsidRPr="00A30336" w:rsidRDefault="00665A13" w:rsidP="00A9290F">
            <w:pPr>
              <w:rPr>
                <w:rFonts w:cstheme="minorHAnsi"/>
                <w:b/>
                <w:lang w:val="en-US"/>
              </w:rPr>
            </w:pPr>
            <w:r w:rsidRPr="00A30336">
              <w:rPr>
                <w:rFonts w:cstheme="minorHAnsi"/>
                <w:b/>
                <w:lang w:val="en-US"/>
              </w:rPr>
              <w:t>Legislation:</w:t>
            </w:r>
          </w:p>
        </w:tc>
        <w:tc>
          <w:tcPr>
            <w:tcW w:w="5989" w:type="dxa"/>
          </w:tcPr>
          <w:p w14:paraId="435DFEEE" w14:textId="77777777" w:rsidR="00665A13" w:rsidRPr="00C8715B" w:rsidRDefault="00665A13" w:rsidP="00A9290F">
            <w:pPr>
              <w:rPr>
                <w:rFonts w:cstheme="minorHAnsi"/>
                <w:i/>
                <w:lang w:val="en-US"/>
              </w:rPr>
            </w:pPr>
            <w:r>
              <w:rPr>
                <w:rFonts w:cstheme="minorHAnsi"/>
                <w:lang w:val="en-US"/>
              </w:rPr>
              <w:t xml:space="preserve">Schedule 2, Part 2 &amp; 3 </w:t>
            </w:r>
            <w:r>
              <w:rPr>
                <w:rFonts w:cstheme="minorHAnsi"/>
                <w:i/>
                <w:lang w:val="en-US"/>
              </w:rPr>
              <w:t>Planning and Development (Local Planning Schemes) Regulations 2015</w:t>
            </w:r>
          </w:p>
        </w:tc>
      </w:tr>
      <w:tr w:rsidR="00665A13" w:rsidRPr="00A30336" w14:paraId="1B902915" w14:textId="77777777" w:rsidTr="00A9290F">
        <w:tc>
          <w:tcPr>
            <w:tcW w:w="3027" w:type="dxa"/>
          </w:tcPr>
          <w:p w14:paraId="7ABC9C7A" w14:textId="77777777" w:rsidR="00665A13" w:rsidRPr="00A30336" w:rsidRDefault="00665A13" w:rsidP="00A9290F">
            <w:pPr>
              <w:rPr>
                <w:rFonts w:cstheme="minorHAnsi"/>
                <w:b/>
                <w:lang w:val="en-US"/>
              </w:rPr>
            </w:pPr>
            <w:r w:rsidRPr="00A30336">
              <w:rPr>
                <w:rFonts w:cstheme="minorHAnsi"/>
                <w:b/>
                <w:lang w:val="en-US"/>
              </w:rPr>
              <w:t>Delegation:</w:t>
            </w:r>
          </w:p>
        </w:tc>
        <w:tc>
          <w:tcPr>
            <w:tcW w:w="5989" w:type="dxa"/>
          </w:tcPr>
          <w:p w14:paraId="30CBF559" w14:textId="77777777" w:rsidR="00665A13" w:rsidRPr="00A30336" w:rsidRDefault="00665A13" w:rsidP="00A9290F">
            <w:pPr>
              <w:rPr>
                <w:rFonts w:cstheme="minorHAnsi"/>
                <w:lang w:val="en-US"/>
              </w:rPr>
            </w:pPr>
            <w:r w:rsidRPr="00A30336">
              <w:rPr>
                <w:rFonts w:cstheme="minorHAnsi"/>
                <w:lang w:val="en-US"/>
              </w:rPr>
              <w:t>N/A</w:t>
            </w:r>
          </w:p>
        </w:tc>
      </w:tr>
      <w:tr w:rsidR="00665A13" w:rsidRPr="00A30336" w14:paraId="397ABB90" w14:textId="77777777" w:rsidTr="00A9290F">
        <w:tc>
          <w:tcPr>
            <w:tcW w:w="3027" w:type="dxa"/>
          </w:tcPr>
          <w:p w14:paraId="0484C4A1" w14:textId="77777777" w:rsidR="00665A13" w:rsidRPr="00A30336" w:rsidRDefault="00665A13" w:rsidP="00A9290F">
            <w:pPr>
              <w:rPr>
                <w:rFonts w:cstheme="minorHAnsi"/>
                <w:b/>
                <w:lang w:val="en-US"/>
              </w:rPr>
            </w:pPr>
            <w:r w:rsidRPr="00A30336">
              <w:rPr>
                <w:rFonts w:cstheme="minorHAnsi"/>
                <w:b/>
                <w:lang w:val="en-US"/>
              </w:rPr>
              <w:t>Other Related Document:</w:t>
            </w:r>
          </w:p>
        </w:tc>
        <w:tc>
          <w:tcPr>
            <w:tcW w:w="5989" w:type="dxa"/>
          </w:tcPr>
          <w:p w14:paraId="7477F83A" w14:textId="77777777" w:rsidR="00665A13" w:rsidRPr="00A30336" w:rsidRDefault="00665A13" w:rsidP="00A9290F">
            <w:pPr>
              <w:rPr>
                <w:rFonts w:cstheme="minorHAnsi"/>
                <w:lang w:val="en-US"/>
              </w:rPr>
            </w:pPr>
            <w:r>
              <w:t>Town of East Fremantle Local Planning Scheme No. 3</w:t>
            </w:r>
          </w:p>
        </w:tc>
      </w:tr>
    </w:tbl>
    <w:p w14:paraId="347A4BC5" w14:textId="77777777" w:rsidR="00665A13" w:rsidRDefault="00665A13" w:rsidP="003D30F2">
      <w:pPr>
        <w:spacing w:before="50" w:after="0" w:line="218" w:lineRule="auto"/>
        <w:ind w:left="2347" w:right="2631" w:firstLine="771"/>
        <w:rPr>
          <w:b/>
          <w:sz w:val="24"/>
        </w:rPr>
      </w:pPr>
    </w:p>
    <w:p w14:paraId="52B990D8" w14:textId="77777777" w:rsidR="00665A13" w:rsidRPr="00665A13" w:rsidRDefault="00665A13" w:rsidP="00665A13">
      <w:pPr>
        <w:spacing w:after="0"/>
        <w:rPr>
          <w:b/>
          <w:sz w:val="28"/>
          <w:szCs w:val="28"/>
        </w:rPr>
      </w:pPr>
      <w:bookmarkStart w:id="545" w:name="_TOC_250020"/>
      <w:bookmarkEnd w:id="545"/>
      <w:r w:rsidRPr="00665A13">
        <w:rPr>
          <w:b/>
          <w:sz w:val="28"/>
          <w:szCs w:val="28"/>
        </w:rPr>
        <w:t>Introduction</w:t>
      </w:r>
    </w:p>
    <w:p w14:paraId="33F684DD" w14:textId="77777777" w:rsidR="00665A13" w:rsidRPr="00A9290F" w:rsidRDefault="00665A13" w:rsidP="003D30F2">
      <w:pPr>
        <w:spacing w:before="11" w:line="220" w:lineRule="auto"/>
        <w:ind w:right="112"/>
        <w:jc w:val="both"/>
        <w:rPr>
          <w:rFonts w:cstheme="minorHAnsi"/>
        </w:rPr>
      </w:pPr>
      <w:r w:rsidRPr="00A9290F">
        <w:rPr>
          <w:rFonts w:cstheme="minorHAnsi"/>
        </w:rPr>
        <w:t xml:space="preserve">This Policy has been prepared under the provisions of Schedule 2, Part 2 and 3 of the </w:t>
      </w:r>
      <w:r w:rsidRPr="00A9290F">
        <w:rPr>
          <w:rFonts w:cstheme="minorHAnsi"/>
          <w:i/>
        </w:rPr>
        <w:t xml:space="preserve">Planning and Development (Local Planning Schemes) Regulations 2015 </w:t>
      </w:r>
      <w:r w:rsidRPr="00A9290F">
        <w:rPr>
          <w:rFonts w:cstheme="minorHAnsi"/>
        </w:rPr>
        <w:t>(the Regulations).</w:t>
      </w:r>
    </w:p>
    <w:p w14:paraId="1353D653" w14:textId="77777777" w:rsidR="00665A13" w:rsidRPr="00A9290F" w:rsidRDefault="00665A13" w:rsidP="003D30F2">
      <w:pPr>
        <w:pStyle w:val="BodyText"/>
        <w:spacing w:after="200"/>
        <w:ind w:left="0" w:right="112"/>
        <w:jc w:val="both"/>
        <w:rPr>
          <w:rFonts w:asciiTheme="minorHAnsi" w:hAnsiTheme="minorHAnsi" w:cstheme="minorHAnsi"/>
        </w:rPr>
      </w:pPr>
      <w:r w:rsidRPr="00A9290F">
        <w:rPr>
          <w:rFonts w:asciiTheme="minorHAnsi" w:hAnsiTheme="minorHAnsi" w:cstheme="minorHAnsi"/>
        </w:rPr>
        <w:t>A Heritage Area is a location within the Town of East Fremantle that is deemed to have collective heritage</w:t>
      </w:r>
      <w:r w:rsidRPr="00A9290F">
        <w:rPr>
          <w:rFonts w:asciiTheme="minorHAnsi" w:hAnsiTheme="minorHAnsi" w:cstheme="minorHAnsi"/>
          <w:spacing w:val="-5"/>
        </w:rPr>
        <w:t xml:space="preserve"> </w:t>
      </w:r>
      <w:r w:rsidRPr="00A9290F">
        <w:rPr>
          <w:rFonts w:asciiTheme="minorHAnsi" w:hAnsiTheme="minorHAnsi" w:cstheme="minorHAnsi"/>
        </w:rPr>
        <w:t>significance.</w:t>
      </w:r>
      <w:r w:rsidRPr="00A9290F">
        <w:rPr>
          <w:rFonts w:asciiTheme="minorHAnsi" w:hAnsiTheme="minorHAnsi" w:cstheme="minorHAnsi"/>
          <w:spacing w:val="-4"/>
        </w:rPr>
        <w:t xml:space="preserve"> </w:t>
      </w:r>
      <w:r w:rsidRPr="00A9290F">
        <w:rPr>
          <w:rFonts w:asciiTheme="minorHAnsi" w:hAnsiTheme="minorHAnsi" w:cstheme="minorHAnsi"/>
        </w:rPr>
        <w:t>It</w:t>
      </w:r>
      <w:r w:rsidRPr="00A9290F">
        <w:rPr>
          <w:rFonts w:asciiTheme="minorHAnsi" w:hAnsiTheme="minorHAnsi" w:cstheme="minorHAnsi"/>
          <w:spacing w:val="-5"/>
        </w:rPr>
        <w:t xml:space="preserve"> </w:t>
      </w:r>
      <w:r w:rsidRPr="00A9290F">
        <w:rPr>
          <w:rFonts w:asciiTheme="minorHAnsi" w:hAnsiTheme="minorHAnsi" w:cstheme="minorHAnsi"/>
        </w:rPr>
        <w:t>is</w:t>
      </w:r>
      <w:r w:rsidRPr="00A9290F">
        <w:rPr>
          <w:rFonts w:asciiTheme="minorHAnsi" w:hAnsiTheme="minorHAnsi" w:cstheme="minorHAnsi"/>
          <w:spacing w:val="-2"/>
        </w:rPr>
        <w:t xml:space="preserve"> </w:t>
      </w:r>
      <w:r w:rsidRPr="00A9290F">
        <w:rPr>
          <w:rFonts w:asciiTheme="minorHAnsi" w:hAnsiTheme="minorHAnsi" w:cstheme="minorHAnsi"/>
        </w:rPr>
        <w:t>a</w:t>
      </w:r>
      <w:r w:rsidRPr="00A9290F">
        <w:rPr>
          <w:rFonts w:asciiTheme="minorHAnsi" w:hAnsiTheme="minorHAnsi" w:cstheme="minorHAnsi"/>
          <w:spacing w:val="-5"/>
        </w:rPr>
        <w:t xml:space="preserve"> </w:t>
      </w:r>
      <w:r w:rsidRPr="00A9290F">
        <w:rPr>
          <w:rFonts w:asciiTheme="minorHAnsi" w:hAnsiTheme="minorHAnsi" w:cstheme="minorHAnsi"/>
        </w:rPr>
        <w:t>select</w:t>
      </w:r>
      <w:r w:rsidRPr="00A9290F">
        <w:rPr>
          <w:rFonts w:asciiTheme="minorHAnsi" w:hAnsiTheme="minorHAnsi" w:cstheme="minorHAnsi"/>
          <w:spacing w:val="-5"/>
        </w:rPr>
        <w:t xml:space="preserve"> </w:t>
      </w:r>
      <w:r w:rsidRPr="00A9290F">
        <w:rPr>
          <w:rFonts w:asciiTheme="minorHAnsi" w:hAnsiTheme="minorHAnsi" w:cstheme="minorHAnsi"/>
        </w:rPr>
        <w:t>area</w:t>
      </w:r>
      <w:r w:rsidRPr="00A9290F">
        <w:rPr>
          <w:rFonts w:asciiTheme="minorHAnsi" w:hAnsiTheme="minorHAnsi" w:cstheme="minorHAnsi"/>
          <w:spacing w:val="-3"/>
        </w:rPr>
        <w:t xml:space="preserve"> </w:t>
      </w:r>
      <w:r w:rsidRPr="00A9290F">
        <w:rPr>
          <w:rFonts w:asciiTheme="minorHAnsi" w:hAnsiTheme="minorHAnsi" w:cstheme="minorHAnsi"/>
        </w:rPr>
        <w:t>of</w:t>
      </w:r>
      <w:r w:rsidRPr="00A9290F">
        <w:rPr>
          <w:rFonts w:asciiTheme="minorHAnsi" w:hAnsiTheme="minorHAnsi" w:cstheme="minorHAnsi"/>
          <w:spacing w:val="-2"/>
        </w:rPr>
        <w:t xml:space="preserve"> </w:t>
      </w:r>
      <w:r w:rsidRPr="00A9290F">
        <w:rPr>
          <w:rFonts w:asciiTheme="minorHAnsi" w:hAnsiTheme="minorHAnsi" w:cstheme="minorHAnsi"/>
        </w:rPr>
        <w:t>special</w:t>
      </w:r>
      <w:r w:rsidRPr="00A9290F">
        <w:rPr>
          <w:rFonts w:asciiTheme="minorHAnsi" w:hAnsiTheme="minorHAnsi" w:cstheme="minorHAnsi"/>
          <w:spacing w:val="-5"/>
        </w:rPr>
        <w:t xml:space="preserve"> </w:t>
      </w:r>
      <w:r w:rsidRPr="00A9290F">
        <w:rPr>
          <w:rFonts w:asciiTheme="minorHAnsi" w:hAnsiTheme="minorHAnsi" w:cstheme="minorHAnsi"/>
        </w:rPr>
        <w:t>qualities</w:t>
      </w:r>
      <w:r w:rsidRPr="00A9290F">
        <w:rPr>
          <w:rFonts w:asciiTheme="minorHAnsi" w:hAnsiTheme="minorHAnsi" w:cstheme="minorHAnsi"/>
          <w:spacing w:val="1"/>
        </w:rPr>
        <w:t xml:space="preserve"> </w:t>
      </w:r>
      <w:r w:rsidRPr="00A9290F">
        <w:rPr>
          <w:rFonts w:asciiTheme="minorHAnsi" w:hAnsiTheme="minorHAnsi" w:cstheme="minorHAnsi"/>
        </w:rPr>
        <w:t>that</w:t>
      </w:r>
      <w:r w:rsidRPr="00A9290F">
        <w:rPr>
          <w:rFonts w:asciiTheme="minorHAnsi" w:hAnsiTheme="minorHAnsi" w:cstheme="minorHAnsi"/>
          <w:spacing w:val="-5"/>
        </w:rPr>
        <w:t xml:space="preserve"> </w:t>
      </w:r>
      <w:r w:rsidRPr="00A9290F">
        <w:rPr>
          <w:rFonts w:asciiTheme="minorHAnsi" w:hAnsiTheme="minorHAnsi" w:cstheme="minorHAnsi"/>
        </w:rPr>
        <w:t>are</w:t>
      </w:r>
      <w:r w:rsidRPr="00A9290F">
        <w:rPr>
          <w:rFonts w:asciiTheme="minorHAnsi" w:hAnsiTheme="minorHAnsi" w:cstheme="minorHAnsi"/>
          <w:spacing w:val="-3"/>
        </w:rPr>
        <w:t xml:space="preserve"> </w:t>
      </w:r>
      <w:r w:rsidRPr="00A9290F">
        <w:rPr>
          <w:rFonts w:asciiTheme="minorHAnsi" w:hAnsiTheme="minorHAnsi" w:cstheme="minorHAnsi"/>
        </w:rPr>
        <w:t>generally</w:t>
      </w:r>
      <w:r w:rsidRPr="00A9290F">
        <w:rPr>
          <w:rFonts w:asciiTheme="minorHAnsi" w:hAnsiTheme="minorHAnsi" w:cstheme="minorHAnsi"/>
          <w:spacing w:val="-1"/>
        </w:rPr>
        <w:t xml:space="preserve"> </w:t>
      </w:r>
      <w:r w:rsidRPr="00A9290F">
        <w:rPr>
          <w:rFonts w:asciiTheme="minorHAnsi" w:hAnsiTheme="minorHAnsi" w:cstheme="minorHAnsi"/>
        </w:rPr>
        <w:t>rare</w:t>
      </w:r>
      <w:r w:rsidRPr="00A9290F">
        <w:rPr>
          <w:rFonts w:asciiTheme="minorHAnsi" w:hAnsiTheme="minorHAnsi" w:cstheme="minorHAnsi"/>
          <w:spacing w:val="-3"/>
        </w:rPr>
        <w:t xml:space="preserve"> </w:t>
      </w:r>
      <w:r w:rsidRPr="00A9290F">
        <w:rPr>
          <w:rFonts w:asciiTheme="minorHAnsi" w:hAnsiTheme="minorHAnsi" w:cstheme="minorHAnsi"/>
        </w:rPr>
        <w:t>in</w:t>
      </w:r>
      <w:r w:rsidRPr="00A9290F">
        <w:rPr>
          <w:rFonts w:asciiTheme="minorHAnsi" w:hAnsiTheme="minorHAnsi" w:cstheme="minorHAnsi"/>
          <w:spacing w:val="-3"/>
        </w:rPr>
        <w:t xml:space="preserve"> </w:t>
      </w:r>
      <w:r w:rsidRPr="00A9290F">
        <w:rPr>
          <w:rFonts w:asciiTheme="minorHAnsi" w:hAnsiTheme="minorHAnsi" w:cstheme="minorHAnsi"/>
        </w:rPr>
        <w:t>the</w:t>
      </w:r>
      <w:r w:rsidRPr="00A9290F">
        <w:rPr>
          <w:rFonts w:asciiTheme="minorHAnsi" w:hAnsiTheme="minorHAnsi" w:cstheme="minorHAnsi"/>
          <w:spacing w:val="-3"/>
        </w:rPr>
        <w:t xml:space="preserve"> </w:t>
      </w:r>
      <w:r w:rsidRPr="00A9290F">
        <w:rPr>
          <w:rFonts w:asciiTheme="minorHAnsi" w:hAnsiTheme="minorHAnsi" w:cstheme="minorHAnsi"/>
        </w:rPr>
        <w:t>context</w:t>
      </w:r>
      <w:r w:rsidRPr="00A9290F">
        <w:rPr>
          <w:rFonts w:asciiTheme="minorHAnsi" w:hAnsiTheme="minorHAnsi" w:cstheme="minorHAnsi"/>
          <w:spacing w:val="-2"/>
        </w:rPr>
        <w:t xml:space="preserve"> </w:t>
      </w:r>
      <w:r w:rsidRPr="00A9290F">
        <w:rPr>
          <w:rFonts w:asciiTheme="minorHAnsi" w:hAnsiTheme="minorHAnsi" w:cstheme="minorHAnsi"/>
        </w:rPr>
        <w:t>of</w:t>
      </w:r>
      <w:r w:rsidRPr="00A9290F">
        <w:rPr>
          <w:rFonts w:asciiTheme="minorHAnsi" w:hAnsiTheme="minorHAnsi" w:cstheme="minorHAnsi"/>
          <w:spacing w:val="-4"/>
        </w:rPr>
        <w:t xml:space="preserve"> </w:t>
      </w:r>
      <w:r w:rsidRPr="00A9290F">
        <w:rPr>
          <w:rFonts w:asciiTheme="minorHAnsi" w:hAnsiTheme="minorHAnsi" w:cstheme="minorHAnsi"/>
        </w:rPr>
        <w:t>the Town as a whole, however, every place within the defined area is not required to have heritage significance.</w:t>
      </w:r>
    </w:p>
    <w:p w14:paraId="1251DEEF" w14:textId="77777777" w:rsidR="00665A13" w:rsidRPr="00A9290F" w:rsidRDefault="00665A13" w:rsidP="003D30F2">
      <w:pPr>
        <w:ind w:right="112"/>
        <w:jc w:val="both"/>
        <w:rPr>
          <w:rFonts w:cstheme="minorHAnsi"/>
          <w:i/>
        </w:rPr>
      </w:pPr>
      <w:r w:rsidRPr="00A9290F">
        <w:rPr>
          <w:rFonts w:cstheme="minorHAnsi"/>
        </w:rPr>
        <w:t>Now</w:t>
      </w:r>
      <w:r w:rsidRPr="00A9290F">
        <w:rPr>
          <w:rFonts w:cstheme="minorHAnsi"/>
          <w:spacing w:val="-9"/>
        </w:rPr>
        <w:t xml:space="preserve"> </w:t>
      </w:r>
      <w:r w:rsidRPr="00A9290F">
        <w:rPr>
          <w:rFonts w:cstheme="minorHAnsi"/>
        </w:rPr>
        <w:t>superseded,</w:t>
      </w:r>
      <w:r w:rsidRPr="00A9290F">
        <w:rPr>
          <w:rFonts w:cstheme="minorHAnsi"/>
          <w:spacing w:val="-10"/>
        </w:rPr>
        <w:t xml:space="preserve"> </w:t>
      </w:r>
      <w:r w:rsidRPr="00A9290F">
        <w:rPr>
          <w:rFonts w:cstheme="minorHAnsi"/>
        </w:rPr>
        <w:t>Town</w:t>
      </w:r>
      <w:r w:rsidRPr="00A9290F">
        <w:rPr>
          <w:rFonts w:cstheme="minorHAnsi"/>
          <w:spacing w:val="-10"/>
        </w:rPr>
        <w:t xml:space="preserve"> </w:t>
      </w:r>
      <w:r w:rsidRPr="00A9290F">
        <w:rPr>
          <w:rFonts w:cstheme="minorHAnsi"/>
        </w:rPr>
        <w:t>Planning</w:t>
      </w:r>
      <w:r w:rsidRPr="00A9290F">
        <w:rPr>
          <w:rFonts w:cstheme="minorHAnsi"/>
          <w:spacing w:val="-10"/>
        </w:rPr>
        <w:t xml:space="preserve"> </w:t>
      </w:r>
      <w:r w:rsidRPr="00A9290F">
        <w:rPr>
          <w:rFonts w:cstheme="minorHAnsi"/>
        </w:rPr>
        <w:t>Scheme</w:t>
      </w:r>
      <w:r w:rsidRPr="00A9290F">
        <w:rPr>
          <w:rFonts w:cstheme="minorHAnsi"/>
          <w:spacing w:val="-12"/>
        </w:rPr>
        <w:t xml:space="preserve"> </w:t>
      </w:r>
      <w:r w:rsidRPr="00A9290F">
        <w:rPr>
          <w:rFonts w:cstheme="minorHAnsi"/>
        </w:rPr>
        <w:t>No.</w:t>
      </w:r>
      <w:r w:rsidRPr="00A9290F">
        <w:rPr>
          <w:rFonts w:cstheme="minorHAnsi"/>
          <w:spacing w:val="-10"/>
        </w:rPr>
        <w:t xml:space="preserve"> </w:t>
      </w:r>
      <w:r w:rsidRPr="00A9290F">
        <w:rPr>
          <w:rFonts w:cstheme="minorHAnsi"/>
        </w:rPr>
        <w:t>2</w:t>
      </w:r>
      <w:r w:rsidRPr="00A9290F">
        <w:rPr>
          <w:rFonts w:cstheme="minorHAnsi"/>
          <w:spacing w:val="-10"/>
        </w:rPr>
        <w:t xml:space="preserve"> </w:t>
      </w:r>
      <w:r w:rsidRPr="00A9290F">
        <w:rPr>
          <w:rFonts w:cstheme="minorHAnsi"/>
        </w:rPr>
        <w:t>identified</w:t>
      </w:r>
      <w:r w:rsidRPr="00A9290F">
        <w:rPr>
          <w:rFonts w:cstheme="minorHAnsi"/>
          <w:spacing w:val="-7"/>
        </w:rPr>
        <w:t xml:space="preserve"> </w:t>
      </w:r>
      <w:r w:rsidRPr="00A9290F">
        <w:rPr>
          <w:rFonts w:cstheme="minorHAnsi"/>
        </w:rPr>
        <w:t>an</w:t>
      </w:r>
      <w:r w:rsidRPr="00A9290F">
        <w:rPr>
          <w:rFonts w:cstheme="minorHAnsi"/>
          <w:spacing w:val="-8"/>
        </w:rPr>
        <w:t xml:space="preserve"> </w:t>
      </w:r>
      <w:r w:rsidRPr="00A9290F">
        <w:rPr>
          <w:rFonts w:cstheme="minorHAnsi"/>
        </w:rPr>
        <w:t>area</w:t>
      </w:r>
      <w:r w:rsidRPr="00A9290F">
        <w:rPr>
          <w:rFonts w:cstheme="minorHAnsi"/>
          <w:spacing w:val="-10"/>
        </w:rPr>
        <w:t xml:space="preserve"> </w:t>
      </w:r>
      <w:r w:rsidRPr="00A9290F">
        <w:rPr>
          <w:rFonts w:cstheme="minorHAnsi"/>
        </w:rPr>
        <w:t>known</w:t>
      </w:r>
      <w:r w:rsidRPr="00A9290F">
        <w:rPr>
          <w:rFonts w:cstheme="minorHAnsi"/>
          <w:spacing w:val="-10"/>
        </w:rPr>
        <w:t xml:space="preserve"> </w:t>
      </w:r>
      <w:r w:rsidRPr="00A9290F">
        <w:rPr>
          <w:rFonts w:cstheme="minorHAnsi"/>
        </w:rPr>
        <w:t>as</w:t>
      </w:r>
      <w:r w:rsidRPr="00A9290F">
        <w:rPr>
          <w:rFonts w:cstheme="minorHAnsi"/>
          <w:spacing w:val="-10"/>
        </w:rPr>
        <w:t xml:space="preserve"> </w:t>
      </w:r>
      <w:r w:rsidRPr="00A9290F">
        <w:rPr>
          <w:rFonts w:cstheme="minorHAnsi"/>
        </w:rPr>
        <w:t>the</w:t>
      </w:r>
      <w:r w:rsidRPr="00A9290F">
        <w:rPr>
          <w:rFonts w:cstheme="minorHAnsi"/>
          <w:spacing w:val="-11"/>
        </w:rPr>
        <w:t xml:space="preserve"> </w:t>
      </w:r>
      <w:r w:rsidRPr="00A9290F">
        <w:rPr>
          <w:rFonts w:cstheme="minorHAnsi"/>
        </w:rPr>
        <w:t>George</w:t>
      </w:r>
      <w:r w:rsidRPr="00A9290F">
        <w:rPr>
          <w:rFonts w:cstheme="minorHAnsi"/>
          <w:spacing w:val="-8"/>
        </w:rPr>
        <w:t xml:space="preserve"> </w:t>
      </w:r>
      <w:r w:rsidRPr="00A9290F">
        <w:rPr>
          <w:rFonts w:cstheme="minorHAnsi"/>
        </w:rPr>
        <w:t>Street</w:t>
      </w:r>
      <w:r w:rsidRPr="00A9290F">
        <w:rPr>
          <w:rFonts w:cstheme="minorHAnsi"/>
          <w:spacing w:val="-11"/>
        </w:rPr>
        <w:t xml:space="preserve"> </w:t>
      </w:r>
      <w:r w:rsidRPr="00A9290F">
        <w:rPr>
          <w:rFonts w:cstheme="minorHAnsi"/>
        </w:rPr>
        <w:t>Precinct on the scheme map and in Appendix V – Schedule of Places of Heritage Value. This comprised of an area adjoining George Street between East Street and Silas Street and described as: “</w:t>
      </w:r>
      <w:r w:rsidRPr="00A9290F">
        <w:rPr>
          <w:rFonts w:cstheme="minorHAnsi"/>
          <w:i/>
        </w:rPr>
        <w:t>An area comprising individual Places of Heritage Value and adjoining properties which should be viewed as a precinct. It is Council’s intention to undertake the revival of the precinct as an historic and community focus for the Plympton and surrounding</w:t>
      </w:r>
      <w:r w:rsidRPr="00A9290F">
        <w:rPr>
          <w:rFonts w:cstheme="minorHAnsi"/>
          <w:i/>
          <w:spacing w:val="-9"/>
        </w:rPr>
        <w:t xml:space="preserve"> </w:t>
      </w:r>
      <w:r w:rsidRPr="00A9290F">
        <w:rPr>
          <w:rFonts w:cstheme="minorHAnsi"/>
          <w:i/>
        </w:rPr>
        <w:t>area”.</w:t>
      </w:r>
    </w:p>
    <w:p w14:paraId="69E233D0" w14:textId="77777777" w:rsidR="00665A13" w:rsidRPr="00A9290F" w:rsidRDefault="00665A13" w:rsidP="003D30F2">
      <w:pPr>
        <w:pStyle w:val="BodyText"/>
        <w:spacing w:after="200"/>
        <w:ind w:left="0" w:right="112"/>
        <w:jc w:val="both"/>
        <w:rPr>
          <w:rFonts w:asciiTheme="minorHAnsi" w:hAnsiTheme="minorHAnsi" w:cstheme="minorHAnsi"/>
        </w:rPr>
      </w:pPr>
      <w:r w:rsidRPr="00A9290F">
        <w:rPr>
          <w:rFonts w:asciiTheme="minorHAnsi" w:hAnsiTheme="minorHAnsi" w:cstheme="minorHAnsi"/>
        </w:rPr>
        <w:t>When</w:t>
      </w:r>
      <w:r w:rsidRPr="00A9290F">
        <w:rPr>
          <w:rFonts w:asciiTheme="minorHAnsi" w:hAnsiTheme="minorHAnsi" w:cstheme="minorHAnsi"/>
          <w:spacing w:val="-8"/>
        </w:rPr>
        <w:t xml:space="preserve"> </w:t>
      </w:r>
      <w:r w:rsidRPr="00A9290F">
        <w:rPr>
          <w:rFonts w:asciiTheme="minorHAnsi" w:hAnsiTheme="minorHAnsi" w:cstheme="minorHAnsi"/>
        </w:rPr>
        <w:t>Local</w:t>
      </w:r>
      <w:r w:rsidRPr="00A9290F">
        <w:rPr>
          <w:rFonts w:asciiTheme="minorHAnsi" w:hAnsiTheme="minorHAnsi" w:cstheme="minorHAnsi"/>
          <w:spacing w:val="-10"/>
        </w:rPr>
        <w:t xml:space="preserve"> </w:t>
      </w:r>
      <w:r w:rsidRPr="00A9290F">
        <w:rPr>
          <w:rFonts w:asciiTheme="minorHAnsi" w:hAnsiTheme="minorHAnsi" w:cstheme="minorHAnsi"/>
        </w:rPr>
        <w:t>Planning</w:t>
      </w:r>
      <w:r w:rsidRPr="00A9290F">
        <w:rPr>
          <w:rFonts w:asciiTheme="minorHAnsi" w:hAnsiTheme="minorHAnsi" w:cstheme="minorHAnsi"/>
          <w:spacing w:val="-7"/>
        </w:rPr>
        <w:t xml:space="preserve"> </w:t>
      </w:r>
      <w:r w:rsidRPr="00A9290F">
        <w:rPr>
          <w:rFonts w:asciiTheme="minorHAnsi" w:hAnsiTheme="minorHAnsi" w:cstheme="minorHAnsi"/>
        </w:rPr>
        <w:t>Scheme</w:t>
      </w:r>
      <w:r w:rsidRPr="00A9290F">
        <w:rPr>
          <w:rFonts w:asciiTheme="minorHAnsi" w:hAnsiTheme="minorHAnsi" w:cstheme="minorHAnsi"/>
          <w:spacing w:val="-8"/>
        </w:rPr>
        <w:t xml:space="preserve"> </w:t>
      </w:r>
      <w:r w:rsidRPr="00A9290F">
        <w:rPr>
          <w:rFonts w:asciiTheme="minorHAnsi" w:hAnsiTheme="minorHAnsi" w:cstheme="minorHAnsi"/>
        </w:rPr>
        <w:t>No.</w:t>
      </w:r>
      <w:r w:rsidRPr="00A9290F">
        <w:rPr>
          <w:rFonts w:asciiTheme="minorHAnsi" w:hAnsiTheme="minorHAnsi" w:cstheme="minorHAnsi"/>
          <w:spacing w:val="-9"/>
        </w:rPr>
        <w:t xml:space="preserve"> </w:t>
      </w:r>
      <w:r w:rsidRPr="00A9290F">
        <w:rPr>
          <w:rFonts w:asciiTheme="minorHAnsi" w:hAnsiTheme="minorHAnsi" w:cstheme="minorHAnsi"/>
        </w:rPr>
        <w:t>3</w:t>
      </w:r>
      <w:r w:rsidRPr="00A9290F">
        <w:rPr>
          <w:rFonts w:asciiTheme="minorHAnsi" w:hAnsiTheme="minorHAnsi" w:cstheme="minorHAnsi"/>
          <w:spacing w:val="-6"/>
        </w:rPr>
        <w:t xml:space="preserve"> </w:t>
      </w:r>
      <w:r w:rsidRPr="00A9290F">
        <w:rPr>
          <w:rFonts w:asciiTheme="minorHAnsi" w:hAnsiTheme="minorHAnsi" w:cstheme="minorHAnsi"/>
        </w:rPr>
        <w:t>came</w:t>
      </w:r>
      <w:r w:rsidRPr="00A9290F">
        <w:rPr>
          <w:rFonts w:asciiTheme="minorHAnsi" w:hAnsiTheme="minorHAnsi" w:cstheme="minorHAnsi"/>
          <w:spacing w:val="-10"/>
        </w:rPr>
        <w:t xml:space="preserve"> </w:t>
      </w:r>
      <w:r w:rsidRPr="00A9290F">
        <w:rPr>
          <w:rFonts w:asciiTheme="minorHAnsi" w:hAnsiTheme="minorHAnsi" w:cstheme="minorHAnsi"/>
        </w:rPr>
        <w:t>into</w:t>
      </w:r>
      <w:r w:rsidRPr="00A9290F">
        <w:rPr>
          <w:rFonts w:asciiTheme="minorHAnsi" w:hAnsiTheme="minorHAnsi" w:cstheme="minorHAnsi"/>
          <w:spacing w:val="-9"/>
        </w:rPr>
        <w:t xml:space="preserve"> </w:t>
      </w:r>
      <w:r w:rsidRPr="00A9290F">
        <w:rPr>
          <w:rFonts w:asciiTheme="minorHAnsi" w:hAnsiTheme="minorHAnsi" w:cstheme="minorHAnsi"/>
        </w:rPr>
        <w:t>effect,</w:t>
      </w:r>
      <w:r w:rsidRPr="00A9290F">
        <w:rPr>
          <w:rFonts w:asciiTheme="minorHAnsi" w:hAnsiTheme="minorHAnsi" w:cstheme="minorHAnsi"/>
          <w:spacing w:val="-10"/>
        </w:rPr>
        <w:t xml:space="preserve"> </w:t>
      </w:r>
      <w:r w:rsidRPr="00A9290F">
        <w:rPr>
          <w:rFonts w:asciiTheme="minorHAnsi" w:hAnsiTheme="minorHAnsi" w:cstheme="minorHAnsi"/>
        </w:rPr>
        <w:t>Council</w:t>
      </w:r>
      <w:r w:rsidRPr="00A9290F">
        <w:rPr>
          <w:rFonts w:asciiTheme="minorHAnsi" w:hAnsiTheme="minorHAnsi" w:cstheme="minorHAnsi"/>
          <w:spacing w:val="-8"/>
        </w:rPr>
        <w:t xml:space="preserve"> </w:t>
      </w:r>
      <w:r w:rsidRPr="00A9290F">
        <w:rPr>
          <w:rFonts w:asciiTheme="minorHAnsi" w:hAnsiTheme="minorHAnsi" w:cstheme="minorHAnsi"/>
        </w:rPr>
        <w:t>resolved</w:t>
      </w:r>
      <w:r w:rsidRPr="00A9290F">
        <w:rPr>
          <w:rFonts w:asciiTheme="minorHAnsi" w:hAnsiTheme="minorHAnsi" w:cstheme="minorHAnsi"/>
          <w:spacing w:val="-8"/>
        </w:rPr>
        <w:t xml:space="preserve"> </w:t>
      </w:r>
      <w:r w:rsidRPr="00A9290F">
        <w:rPr>
          <w:rFonts w:asciiTheme="minorHAnsi" w:hAnsiTheme="minorHAnsi" w:cstheme="minorHAnsi"/>
        </w:rPr>
        <w:t>to</w:t>
      </w:r>
      <w:r w:rsidRPr="00A9290F">
        <w:rPr>
          <w:rFonts w:asciiTheme="minorHAnsi" w:hAnsiTheme="minorHAnsi" w:cstheme="minorHAnsi"/>
          <w:spacing w:val="-7"/>
        </w:rPr>
        <w:t xml:space="preserve"> </w:t>
      </w:r>
      <w:r w:rsidRPr="00A9290F">
        <w:rPr>
          <w:rFonts w:asciiTheme="minorHAnsi" w:hAnsiTheme="minorHAnsi" w:cstheme="minorHAnsi"/>
        </w:rPr>
        <w:t>include</w:t>
      </w:r>
      <w:r w:rsidRPr="00A9290F">
        <w:rPr>
          <w:rFonts w:asciiTheme="minorHAnsi" w:hAnsiTheme="minorHAnsi" w:cstheme="minorHAnsi"/>
          <w:spacing w:val="-9"/>
        </w:rPr>
        <w:t xml:space="preserve"> </w:t>
      </w:r>
      <w:r w:rsidRPr="00A9290F">
        <w:rPr>
          <w:rFonts w:asciiTheme="minorHAnsi" w:hAnsiTheme="minorHAnsi" w:cstheme="minorHAnsi"/>
        </w:rPr>
        <w:t>those</w:t>
      </w:r>
      <w:r w:rsidRPr="00A9290F">
        <w:rPr>
          <w:rFonts w:asciiTheme="minorHAnsi" w:hAnsiTheme="minorHAnsi" w:cstheme="minorHAnsi"/>
          <w:spacing w:val="-10"/>
        </w:rPr>
        <w:t xml:space="preserve"> </w:t>
      </w:r>
      <w:r w:rsidRPr="00A9290F">
        <w:rPr>
          <w:rFonts w:asciiTheme="minorHAnsi" w:hAnsiTheme="minorHAnsi" w:cstheme="minorHAnsi"/>
        </w:rPr>
        <w:t>properties</w:t>
      </w:r>
      <w:r w:rsidRPr="00A9290F">
        <w:rPr>
          <w:rFonts w:asciiTheme="minorHAnsi" w:hAnsiTheme="minorHAnsi" w:cstheme="minorHAnsi"/>
          <w:spacing w:val="-8"/>
        </w:rPr>
        <w:t xml:space="preserve"> </w:t>
      </w:r>
      <w:r w:rsidRPr="00A9290F">
        <w:rPr>
          <w:rFonts w:asciiTheme="minorHAnsi" w:hAnsiTheme="minorHAnsi" w:cstheme="minorHAnsi"/>
        </w:rPr>
        <w:t>that were contained in Appendix V of Town Planning Scheme No. 2 within the Local Planning Scheme No. 3 Heritage List. As a result, the George Street Precinct was listed on the Local Planning Scheme No. 3 Heritage</w:t>
      </w:r>
      <w:r w:rsidRPr="00A9290F">
        <w:rPr>
          <w:rFonts w:asciiTheme="minorHAnsi" w:hAnsiTheme="minorHAnsi" w:cstheme="minorHAnsi"/>
          <w:spacing w:val="-3"/>
        </w:rPr>
        <w:t xml:space="preserve"> </w:t>
      </w:r>
      <w:r w:rsidRPr="00A9290F">
        <w:rPr>
          <w:rFonts w:asciiTheme="minorHAnsi" w:hAnsiTheme="minorHAnsi" w:cstheme="minorHAnsi"/>
        </w:rPr>
        <w:t>List.</w:t>
      </w:r>
    </w:p>
    <w:p w14:paraId="25EAAD39" w14:textId="77777777" w:rsidR="00665A13" w:rsidRPr="00A9290F" w:rsidRDefault="00665A13" w:rsidP="003D30F2">
      <w:pPr>
        <w:pStyle w:val="BodyText"/>
        <w:spacing w:after="200"/>
        <w:ind w:left="0" w:right="112"/>
        <w:jc w:val="both"/>
        <w:rPr>
          <w:rFonts w:asciiTheme="minorHAnsi" w:hAnsiTheme="minorHAnsi" w:cstheme="minorHAnsi"/>
        </w:rPr>
      </w:pPr>
      <w:r w:rsidRPr="00A9290F">
        <w:rPr>
          <w:rFonts w:asciiTheme="minorHAnsi" w:hAnsiTheme="minorHAnsi" w:cstheme="minorHAnsi"/>
        </w:rPr>
        <w:t>The land contained within the George Street Precinct varies slightly to the George Street Heritage Area.</w:t>
      </w:r>
      <w:r w:rsidRPr="00A9290F">
        <w:rPr>
          <w:rFonts w:asciiTheme="minorHAnsi" w:hAnsiTheme="minorHAnsi" w:cstheme="minorHAnsi"/>
          <w:spacing w:val="-8"/>
        </w:rPr>
        <w:t xml:space="preserve"> </w:t>
      </w:r>
      <w:r w:rsidRPr="00A9290F">
        <w:rPr>
          <w:rFonts w:asciiTheme="minorHAnsi" w:hAnsiTheme="minorHAnsi" w:cstheme="minorHAnsi"/>
        </w:rPr>
        <w:t>The</w:t>
      </w:r>
      <w:r w:rsidRPr="00A9290F">
        <w:rPr>
          <w:rFonts w:asciiTheme="minorHAnsi" w:hAnsiTheme="minorHAnsi" w:cstheme="minorHAnsi"/>
          <w:spacing w:val="-9"/>
        </w:rPr>
        <w:t xml:space="preserve"> </w:t>
      </w:r>
      <w:r w:rsidRPr="00A9290F">
        <w:rPr>
          <w:rFonts w:asciiTheme="minorHAnsi" w:hAnsiTheme="minorHAnsi" w:cstheme="minorHAnsi"/>
        </w:rPr>
        <w:t>main</w:t>
      </w:r>
      <w:r w:rsidRPr="00A9290F">
        <w:rPr>
          <w:rFonts w:asciiTheme="minorHAnsi" w:hAnsiTheme="minorHAnsi" w:cstheme="minorHAnsi"/>
          <w:spacing w:val="-7"/>
        </w:rPr>
        <w:t xml:space="preserve"> </w:t>
      </w:r>
      <w:r w:rsidRPr="00A9290F">
        <w:rPr>
          <w:rFonts w:asciiTheme="minorHAnsi" w:hAnsiTheme="minorHAnsi" w:cstheme="minorHAnsi"/>
        </w:rPr>
        <w:t>difference</w:t>
      </w:r>
      <w:r w:rsidRPr="00A9290F">
        <w:rPr>
          <w:rFonts w:asciiTheme="minorHAnsi" w:hAnsiTheme="minorHAnsi" w:cstheme="minorHAnsi"/>
          <w:spacing w:val="-11"/>
        </w:rPr>
        <w:t xml:space="preserve"> </w:t>
      </w:r>
      <w:r w:rsidRPr="00A9290F">
        <w:rPr>
          <w:rFonts w:asciiTheme="minorHAnsi" w:hAnsiTheme="minorHAnsi" w:cstheme="minorHAnsi"/>
        </w:rPr>
        <w:t>was</w:t>
      </w:r>
      <w:r w:rsidRPr="00A9290F">
        <w:rPr>
          <w:rFonts w:asciiTheme="minorHAnsi" w:hAnsiTheme="minorHAnsi" w:cstheme="minorHAnsi"/>
          <w:spacing w:val="-5"/>
        </w:rPr>
        <w:t xml:space="preserve"> </w:t>
      </w:r>
      <w:r w:rsidRPr="00A9290F">
        <w:rPr>
          <w:rFonts w:asciiTheme="minorHAnsi" w:hAnsiTheme="minorHAnsi" w:cstheme="minorHAnsi"/>
        </w:rPr>
        <w:t>the</w:t>
      </w:r>
      <w:r w:rsidRPr="00A9290F">
        <w:rPr>
          <w:rFonts w:asciiTheme="minorHAnsi" w:hAnsiTheme="minorHAnsi" w:cstheme="minorHAnsi"/>
          <w:spacing w:val="-8"/>
        </w:rPr>
        <w:t xml:space="preserve"> </w:t>
      </w:r>
      <w:r w:rsidRPr="00A9290F">
        <w:rPr>
          <w:rFonts w:asciiTheme="minorHAnsi" w:hAnsiTheme="minorHAnsi" w:cstheme="minorHAnsi"/>
        </w:rPr>
        <w:t>omission</w:t>
      </w:r>
      <w:r w:rsidRPr="00A9290F">
        <w:rPr>
          <w:rFonts w:asciiTheme="minorHAnsi" w:hAnsiTheme="minorHAnsi" w:cstheme="minorHAnsi"/>
          <w:spacing w:val="-10"/>
        </w:rPr>
        <w:t xml:space="preserve"> </w:t>
      </w:r>
      <w:r w:rsidRPr="00A9290F">
        <w:rPr>
          <w:rFonts w:asciiTheme="minorHAnsi" w:hAnsiTheme="minorHAnsi" w:cstheme="minorHAnsi"/>
        </w:rPr>
        <w:t>of</w:t>
      </w:r>
      <w:r w:rsidRPr="00A9290F">
        <w:rPr>
          <w:rFonts w:asciiTheme="minorHAnsi" w:hAnsiTheme="minorHAnsi" w:cstheme="minorHAnsi"/>
          <w:spacing w:val="-9"/>
        </w:rPr>
        <w:t xml:space="preserve"> </w:t>
      </w:r>
      <w:r w:rsidRPr="00A9290F">
        <w:rPr>
          <w:rFonts w:asciiTheme="minorHAnsi" w:hAnsiTheme="minorHAnsi" w:cstheme="minorHAnsi"/>
        </w:rPr>
        <w:t>the</w:t>
      </w:r>
      <w:r w:rsidRPr="00A9290F">
        <w:rPr>
          <w:rFonts w:asciiTheme="minorHAnsi" w:hAnsiTheme="minorHAnsi" w:cstheme="minorHAnsi"/>
          <w:spacing w:val="-7"/>
        </w:rPr>
        <w:t xml:space="preserve"> </w:t>
      </w:r>
      <w:r w:rsidRPr="00A9290F">
        <w:rPr>
          <w:rFonts w:asciiTheme="minorHAnsi" w:hAnsiTheme="minorHAnsi" w:cstheme="minorHAnsi"/>
        </w:rPr>
        <w:t>Royal</w:t>
      </w:r>
      <w:r w:rsidRPr="00A9290F">
        <w:rPr>
          <w:rFonts w:asciiTheme="minorHAnsi" w:hAnsiTheme="minorHAnsi" w:cstheme="minorHAnsi"/>
          <w:spacing w:val="-5"/>
        </w:rPr>
        <w:t xml:space="preserve"> </w:t>
      </w:r>
      <w:r w:rsidRPr="00A9290F">
        <w:rPr>
          <w:rFonts w:asciiTheme="minorHAnsi" w:hAnsiTheme="minorHAnsi" w:cstheme="minorHAnsi"/>
        </w:rPr>
        <w:t>George</w:t>
      </w:r>
      <w:r w:rsidRPr="00A9290F">
        <w:rPr>
          <w:rFonts w:asciiTheme="minorHAnsi" w:hAnsiTheme="minorHAnsi" w:cstheme="minorHAnsi"/>
          <w:spacing w:val="-6"/>
        </w:rPr>
        <w:t xml:space="preserve"> </w:t>
      </w:r>
      <w:r w:rsidRPr="00A9290F">
        <w:rPr>
          <w:rFonts w:asciiTheme="minorHAnsi" w:hAnsiTheme="minorHAnsi" w:cstheme="minorHAnsi"/>
        </w:rPr>
        <w:t>Hotel</w:t>
      </w:r>
      <w:r w:rsidRPr="00A9290F">
        <w:rPr>
          <w:rFonts w:asciiTheme="minorHAnsi" w:hAnsiTheme="minorHAnsi" w:cstheme="minorHAnsi"/>
          <w:spacing w:val="-7"/>
        </w:rPr>
        <w:t xml:space="preserve"> </w:t>
      </w:r>
      <w:r w:rsidRPr="00A9290F">
        <w:rPr>
          <w:rFonts w:asciiTheme="minorHAnsi" w:hAnsiTheme="minorHAnsi" w:cstheme="minorHAnsi"/>
        </w:rPr>
        <w:t>and</w:t>
      </w:r>
      <w:r w:rsidRPr="00A9290F">
        <w:rPr>
          <w:rFonts w:asciiTheme="minorHAnsi" w:hAnsiTheme="minorHAnsi" w:cstheme="minorHAnsi"/>
          <w:spacing w:val="-7"/>
        </w:rPr>
        <w:t xml:space="preserve"> </w:t>
      </w:r>
      <w:r w:rsidRPr="00A9290F">
        <w:rPr>
          <w:rFonts w:asciiTheme="minorHAnsi" w:hAnsiTheme="minorHAnsi" w:cstheme="minorHAnsi"/>
        </w:rPr>
        <w:t>the</w:t>
      </w:r>
      <w:r w:rsidRPr="00A9290F">
        <w:rPr>
          <w:rFonts w:asciiTheme="minorHAnsi" w:hAnsiTheme="minorHAnsi" w:cstheme="minorHAnsi"/>
          <w:spacing w:val="-7"/>
        </w:rPr>
        <w:t xml:space="preserve"> </w:t>
      </w:r>
      <w:r w:rsidRPr="00A9290F">
        <w:rPr>
          <w:rFonts w:asciiTheme="minorHAnsi" w:hAnsiTheme="minorHAnsi" w:cstheme="minorHAnsi"/>
        </w:rPr>
        <w:t>Brush</w:t>
      </w:r>
      <w:r w:rsidRPr="00A9290F">
        <w:rPr>
          <w:rFonts w:asciiTheme="minorHAnsi" w:hAnsiTheme="minorHAnsi" w:cstheme="minorHAnsi"/>
          <w:spacing w:val="-7"/>
        </w:rPr>
        <w:t xml:space="preserve"> </w:t>
      </w:r>
      <w:r w:rsidRPr="00A9290F">
        <w:rPr>
          <w:rFonts w:asciiTheme="minorHAnsi" w:hAnsiTheme="minorHAnsi" w:cstheme="minorHAnsi"/>
        </w:rPr>
        <w:t>Factory</w:t>
      </w:r>
      <w:r w:rsidRPr="00A9290F">
        <w:rPr>
          <w:rFonts w:asciiTheme="minorHAnsi" w:hAnsiTheme="minorHAnsi" w:cstheme="minorHAnsi"/>
          <w:spacing w:val="-5"/>
        </w:rPr>
        <w:t xml:space="preserve"> </w:t>
      </w:r>
      <w:r w:rsidRPr="00A9290F">
        <w:rPr>
          <w:rFonts w:asciiTheme="minorHAnsi" w:hAnsiTheme="minorHAnsi" w:cstheme="minorHAnsi"/>
        </w:rPr>
        <w:t>from</w:t>
      </w:r>
      <w:r w:rsidRPr="00A9290F">
        <w:rPr>
          <w:rFonts w:asciiTheme="minorHAnsi" w:hAnsiTheme="minorHAnsi" w:cstheme="minorHAnsi"/>
          <w:spacing w:val="-7"/>
        </w:rPr>
        <w:t xml:space="preserve"> </w:t>
      </w:r>
      <w:r w:rsidRPr="00A9290F">
        <w:rPr>
          <w:rFonts w:asciiTheme="minorHAnsi" w:hAnsiTheme="minorHAnsi" w:cstheme="minorHAnsi"/>
        </w:rPr>
        <w:t>the George</w:t>
      </w:r>
      <w:r w:rsidRPr="00A9290F">
        <w:rPr>
          <w:rFonts w:asciiTheme="minorHAnsi" w:hAnsiTheme="minorHAnsi" w:cstheme="minorHAnsi"/>
          <w:spacing w:val="-9"/>
        </w:rPr>
        <w:t xml:space="preserve"> </w:t>
      </w:r>
      <w:r w:rsidRPr="00A9290F">
        <w:rPr>
          <w:rFonts w:asciiTheme="minorHAnsi" w:hAnsiTheme="minorHAnsi" w:cstheme="minorHAnsi"/>
        </w:rPr>
        <w:t>Street</w:t>
      </w:r>
      <w:r w:rsidRPr="00A9290F">
        <w:rPr>
          <w:rFonts w:asciiTheme="minorHAnsi" w:hAnsiTheme="minorHAnsi" w:cstheme="minorHAnsi"/>
          <w:spacing w:val="-6"/>
        </w:rPr>
        <w:t xml:space="preserve"> </w:t>
      </w:r>
      <w:r w:rsidRPr="00A9290F">
        <w:rPr>
          <w:rFonts w:asciiTheme="minorHAnsi" w:hAnsiTheme="minorHAnsi" w:cstheme="minorHAnsi"/>
        </w:rPr>
        <w:t>precinct,</w:t>
      </w:r>
      <w:r w:rsidRPr="00A9290F">
        <w:rPr>
          <w:rFonts w:asciiTheme="minorHAnsi" w:hAnsiTheme="minorHAnsi" w:cstheme="minorHAnsi"/>
          <w:spacing w:val="-9"/>
        </w:rPr>
        <w:t xml:space="preserve"> </w:t>
      </w:r>
      <w:r w:rsidRPr="00A9290F">
        <w:rPr>
          <w:rFonts w:asciiTheme="minorHAnsi" w:hAnsiTheme="minorHAnsi" w:cstheme="minorHAnsi"/>
        </w:rPr>
        <w:t>historically</w:t>
      </w:r>
      <w:r w:rsidRPr="00A9290F">
        <w:rPr>
          <w:rFonts w:asciiTheme="minorHAnsi" w:hAnsiTheme="minorHAnsi" w:cstheme="minorHAnsi"/>
          <w:spacing w:val="-8"/>
        </w:rPr>
        <w:t xml:space="preserve"> </w:t>
      </w:r>
      <w:proofErr w:type="gramStart"/>
      <w:r w:rsidRPr="00A9290F">
        <w:rPr>
          <w:rFonts w:asciiTheme="minorHAnsi" w:hAnsiTheme="minorHAnsi" w:cstheme="minorHAnsi"/>
        </w:rPr>
        <w:t>as</w:t>
      </w:r>
      <w:r w:rsidRPr="00A9290F">
        <w:rPr>
          <w:rFonts w:asciiTheme="minorHAnsi" w:hAnsiTheme="minorHAnsi" w:cstheme="minorHAnsi"/>
          <w:spacing w:val="-7"/>
        </w:rPr>
        <w:t xml:space="preserve"> </w:t>
      </w:r>
      <w:r w:rsidRPr="00A9290F">
        <w:rPr>
          <w:rFonts w:asciiTheme="minorHAnsi" w:hAnsiTheme="minorHAnsi" w:cstheme="minorHAnsi"/>
        </w:rPr>
        <w:t>a</w:t>
      </w:r>
      <w:r w:rsidRPr="00A9290F">
        <w:rPr>
          <w:rFonts w:asciiTheme="minorHAnsi" w:hAnsiTheme="minorHAnsi" w:cstheme="minorHAnsi"/>
          <w:spacing w:val="-7"/>
        </w:rPr>
        <w:t xml:space="preserve"> </w:t>
      </w:r>
      <w:r w:rsidRPr="00A9290F">
        <w:rPr>
          <w:rFonts w:asciiTheme="minorHAnsi" w:hAnsiTheme="minorHAnsi" w:cstheme="minorHAnsi"/>
        </w:rPr>
        <w:t>result</w:t>
      </w:r>
      <w:r w:rsidRPr="00A9290F">
        <w:rPr>
          <w:rFonts w:asciiTheme="minorHAnsi" w:hAnsiTheme="minorHAnsi" w:cstheme="minorHAnsi"/>
          <w:spacing w:val="-11"/>
        </w:rPr>
        <w:t xml:space="preserve"> </w:t>
      </w:r>
      <w:r w:rsidRPr="00A9290F">
        <w:rPr>
          <w:rFonts w:asciiTheme="minorHAnsi" w:hAnsiTheme="minorHAnsi" w:cstheme="minorHAnsi"/>
        </w:rPr>
        <w:t>of</w:t>
      </w:r>
      <w:proofErr w:type="gramEnd"/>
      <w:r w:rsidRPr="00A9290F">
        <w:rPr>
          <w:rFonts w:asciiTheme="minorHAnsi" w:hAnsiTheme="minorHAnsi" w:cstheme="minorHAnsi"/>
          <w:spacing w:val="-7"/>
        </w:rPr>
        <w:t xml:space="preserve"> </w:t>
      </w:r>
      <w:r w:rsidRPr="00A9290F">
        <w:rPr>
          <w:rFonts w:asciiTheme="minorHAnsi" w:hAnsiTheme="minorHAnsi" w:cstheme="minorHAnsi"/>
        </w:rPr>
        <w:t>previous</w:t>
      </w:r>
      <w:r w:rsidRPr="00A9290F">
        <w:rPr>
          <w:rFonts w:asciiTheme="minorHAnsi" w:hAnsiTheme="minorHAnsi" w:cstheme="minorHAnsi"/>
          <w:spacing w:val="-7"/>
        </w:rPr>
        <w:t xml:space="preserve"> </w:t>
      </w:r>
      <w:r w:rsidRPr="00A9290F">
        <w:rPr>
          <w:rFonts w:asciiTheme="minorHAnsi" w:hAnsiTheme="minorHAnsi" w:cstheme="minorHAnsi"/>
        </w:rPr>
        <w:t>proposals</w:t>
      </w:r>
      <w:r w:rsidRPr="00A9290F">
        <w:rPr>
          <w:rFonts w:asciiTheme="minorHAnsi" w:hAnsiTheme="minorHAnsi" w:cstheme="minorHAnsi"/>
          <w:spacing w:val="-7"/>
        </w:rPr>
        <w:t xml:space="preserve"> </w:t>
      </w:r>
      <w:r w:rsidRPr="00A9290F">
        <w:rPr>
          <w:rFonts w:asciiTheme="minorHAnsi" w:hAnsiTheme="minorHAnsi" w:cstheme="minorHAnsi"/>
        </w:rPr>
        <w:t>for</w:t>
      </w:r>
      <w:r w:rsidRPr="00A9290F">
        <w:rPr>
          <w:rFonts w:asciiTheme="minorHAnsi" w:hAnsiTheme="minorHAnsi" w:cstheme="minorHAnsi"/>
          <w:spacing w:val="-9"/>
        </w:rPr>
        <w:t xml:space="preserve"> </w:t>
      </w:r>
      <w:r w:rsidRPr="00A9290F">
        <w:rPr>
          <w:rFonts w:asciiTheme="minorHAnsi" w:hAnsiTheme="minorHAnsi" w:cstheme="minorHAnsi"/>
        </w:rPr>
        <w:t>the</w:t>
      </w:r>
      <w:r w:rsidRPr="00A9290F">
        <w:rPr>
          <w:rFonts w:asciiTheme="minorHAnsi" w:hAnsiTheme="minorHAnsi" w:cstheme="minorHAnsi"/>
          <w:spacing w:val="-7"/>
        </w:rPr>
        <w:t xml:space="preserve"> </w:t>
      </w:r>
      <w:r w:rsidRPr="00A9290F">
        <w:rPr>
          <w:rFonts w:asciiTheme="minorHAnsi" w:hAnsiTheme="minorHAnsi" w:cstheme="minorHAnsi"/>
        </w:rPr>
        <w:t>Stirling</w:t>
      </w:r>
      <w:r w:rsidRPr="00A9290F">
        <w:rPr>
          <w:rFonts w:asciiTheme="minorHAnsi" w:hAnsiTheme="minorHAnsi" w:cstheme="minorHAnsi"/>
          <w:spacing w:val="-8"/>
        </w:rPr>
        <w:t xml:space="preserve"> </w:t>
      </w:r>
      <w:r w:rsidRPr="00A9290F">
        <w:rPr>
          <w:rFonts w:asciiTheme="minorHAnsi" w:hAnsiTheme="minorHAnsi" w:cstheme="minorHAnsi"/>
        </w:rPr>
        <w:t>Highway</w:t>
      </w:r>
      <w:r w:rsidRPr="00A9290F">
        <w:rPr>
          <w:rFonts w:asciiTheme="minorHAnsi" w:hAnsiTheme="minorHAnsi" w:cstheme="minorHAnsi"/>
          <w:spacing w:val="-7"/>
        </w:rPr>
        <w:t xml:space="preserve"> </w:t>
      </w:r>
      <w:r w:rsidRPr="00A9290F">
        <w:rPr>
          <w:rFonts w:asciiTheme="minorHAnsi" w:hAnsiTheme="minorHAnsi" w:cstheme="minorHAnsi"/>
        </w:rPr>
        <w:t>extension that have since been</w:t>
      </w:r>
      <w:r w:rsidRPr="00A9290F">
        <w:rPr>
          <w:rFonts w:asciiTheme="minorHAnsi" w:hAnsiTheme="minorHAnsi" w:cstheme="minorHAnsi"/>
          <w:spacing w:val="-5"/>
        </w:rPr>
        <w:t xml:space="preserve"> </w:t>
      </w:r>
      <w:r w:rsidRPr="00A9290F">
        <w:rPr>
          <w:rFonts w:asciiTheme="minorHAnsi" w:hAnsiTheme="minorHAnsi" w:cstheme="minorHAnsi"/>
        </w:rPr>
        <w:t>altered.</w:t>
      </w:r>
    </w:p>
    <w:p w14:paraId="37042472" w14:textId="77777777" w:rsidR="00665A13" w:rsidRPr="00A9290F" w:rsidRDefault="00665A13" w:rsidP="003D30F2">
      <w:pPr>
        <w:pStyle w:val="BodyText"/>
        <w:spacing w:after="200"/>
        <w:ind w:left="0" w:right="112"/>
        <w:jc w:val="both"/>
        <w:rPr>
          <w:rFonts w:asciiTheme="minorHAnsi" w:hAnsiTheme="minorHAnsi" w:cstheme="minorHAnsi"/>
        </w:rPr>
      </w:pPr>
      <w:r w:rsidRPr="00A9290F">
        <w:rPr>
          <w:rFonts w:asciiTheme="minorHAnsi" w:hAnsiTheme="minorHAnsi" w:cstheme="minorHAnsi"/>
        </w:rPr>
        <w:t xml:space="preserve">This was addressed as part of the Town’s MHI review in 2014. An area </w:t>
      </w:r>
      <w:proofErr w:type="gramStart"/>
      <w:r w:rsidRPr="00A9290F">
        <w:rPr>
          <w:rFonts w:asciiTheme="minorHAnsi" w:hAnsiTheme="minorHAnsi" w:cstheme="minorHAnsi"/>
        </w:rPr>
        <w:t>similar to</w:t>
      </w:r>
      <w:proofErr w:type="gramEnd"/>
      <w:r w:rsidRPr="00A9290F">
        <w:rPr>
          <w:rFonts w:asciiTheme="minorHAnsi" w:hAnsiTheme="minorHAnsi" w:cstheme="minorHAnsi"/>
        </w:rPr>
        <w:t xml:space="preserve"> this George Street Heritage Area was determined and recommended to be a Heritage Area through assessment carried out in parallel with the review of the Town's MHI review in 2014 and this included the Royal George Hotel</w:t>
      </w:r>
      <w:r w:rsidRPr="00A9290F">
        <w:rPr>
          <w:rFonts w:asciiTheme="minorHAnsi" w:hAnsiTheme="minorHAnsi" w:cstheme="minorHAnsi"/>
          <w:spacing w:val="-4"/>
        </w:rPr>
        <w:t xml:space="preserve"> </w:t>
      </w:r>
      <w:r w:rsidRPr="00A9290F">
        <w:rPr>
          <w:rFonts w:asciiTheme="minorHAnsi" w:hAnsiTheme="minorHAnsi" w:cstheme="minorHAnsi"/>
        </w:rPr>
        <w:t>and</w:t>
      </w:r>
      <w:r w:rsidRPr="00A9290F">
        <w:rPr>
          <w:rFonts w:asciiTheme="minorHAnsi" w:hAnsiTheme="minorHAnsi" w:cstheme="minorHAnsi"/>
          <w:spacing w:val="-5"/>
        </w:rPr>
        <w:t xml:space="preserve"> </w:t>
      </w:r>
      <w:r w:rsidRPr="00A9290F">
        <w:rPr>
          <w:rFonts w:asciiTheme="minorHAnsi" w:hAnsiTheme="minorHAnsi" w:cstheme="minorHAnsi"/>
        </w:rPr>
        <w:t>the</w:t>
      </w:r>
      <w:r w:rsidRPr="00A9290F">
        <w:rPr>
          <w:rFonts w:asciiTheme="minorHAnsi" w:hAnsiTheme="minorHAnsi" w:cstheme="minorHAnsi"/>
          <w:spacing w:val="-3"/>
        </w:rPr>
        <w:t xml:space="preserve"> </w:t>
      </w:r>
      <w:r w:rsidRPr="00A9290F">
        <w:rPr>
          <w:rFonts w:asciiTheme="minorHAnsi" w:hAnsiTheme="minorHAnsi" w:cstheme="minorHAnsi"/>
        </w:rPr>
        <w:t>Brush</w:t>
      </w:r>
      <w:r w:rsidRPr="00A9290F">
        <w:rPr>
          <w:rFonts w:asciiTheme="minorHAnsi" w:hAnsiTheme="minorHAnsi" w:cstheme="minorHAnsi"/>
          <w:spacing w:val="-5"/>
        </w:rPr>
        <w:t xml:space="preserve"> </w:t>
      </w:r>
      <w:r w:rsidRPr="00A9290F">
        <w:rPr>
          <w:rFonts w:asciiTheme="minorHAnsi" w:hAnsiTheme="minorHAnsi" w:cstheme="minorHAnsi"/>
        </w:rPr>
        <w:t>Factory</w:t>
      </w:r>
      <w:r w:rsidRPr="00A9290F">
        <w:rPr>
          <w:rFonts w:asciiTheme="minorHAnsi" w:hAnsiTheme="minorHAnsi" w:cstheme="minorHAnsi"/>
          <w:spacing w:val="-2"/>
        </w:rPr>
        <w:t xml:space="preserve"> </w:t>
      </w:r>
      <w:r w:rsidRPr="00A9290F">
        <w:rPr>
          <w:rFonts w:asciiTheme="minorHAnsi" w:hAnsiTheme="minorHAnsi" w:cstheme="minorHAnsi"/>
        </w:rPr>
        <w:t>accordingly.</w:t>
      </w:r>
      <w:r w:rsidRPr="00A9290F">
        <w:rPr>
          <w:rFonts w:asciiTheme="minorHAnsi" w:hAnsiTheme="minorHAnsi" w:cstheme="minorHAnsi"/>
          <w:spacing w:val="-3"/>
        </w:rPr>
        <w:t xml:space="preserve"> </w:t>
      </w:r>
      <w:r w:rsidRPr="00A9290F">
        <w:rPr>
          <w:rFonts w:asciiTheme="minorHAnsi" w:hAnsiTheme="minorHAnsi" w:cstheme="minorHAnsi"/>
        </w:rPr>
        <w:t>The</w:t>
      </w:r>
      <w:r w:rsidRPr="00A9290F">
        <w:rPr>
          <w:rFonts w:asciiTheme="minorHAnsi" w:hAnsiTheme="minorHAnsi" w:cstheme="minorHAnsi"/>
          <w:spacing w:val="-4"/>
        </w:rPr>
        <w:t xml:space="preserve"> </w:t>
      </w:r>
      <w:r w:rsidRPr="00A9290F">
        <w:rPr>
          <w:rFonts w:asciiTheme="minorHAnsi" w:hAnsiTheme="minorHAnsi" w:cstheme="minorHAnsi"/>
        </w:rPr>
        <w:t>MHI</w:t>
      </w:r>
      <w:r w:rsidRPr="00A9290F">
        <w:rPr>
          <w:rFonts w:asciiTheme="minorHAnsi" w:hAnsiTheme="minorHAnsi" w:cstheme="minorHAnsi"/>
          <w:spacing w:val="-5"/>
        </w:rPr>
        <w:t xml:space="preserve"> </w:t>
      </w:r>
      <w:r w:rsidRPr="00A9290F">
        <w:rPr>
          <w:rFonts w:asciiTheme="minorHAnsi" w:hAnsiTheme="minorHAnsi" w:cstheme="minorHAnsi"/>
        </w:rPr>
        <w:t>review</w:t>
      </w:r>
      <w:r w:rsidRPr="00A9290F">
        <w:rPr>
          <w:rFonts w:asciiTheme="minorHAnsi" w:hAnsiTheme="minorHAnsi" w:cstheme="minorHAnsi"/>
          <w:spacing w:val="-3"/>
        </w:rPr>
        <w:t xml:space="preserve"> </w:t>
      </w:r>
      <w:r w:rsidRPr="00A9290F">
        <w:rPr>
          <w:rFonts w:asciiTheme="minorHAnsi" w:hAnsiTheme="minorHAnsi" w:cstheme="minorHAnsi"/>
        </w:rPr>
        <w:t>was</w:t>
      </w:r>
      <w:r w:rsidRPr="00A9290F">
        <w:rPr>
          <w:rFonts w:asciiTheme="minorHAnsi" w:hAnsiTheme="minorHAnsi" w:cstheme="minorHAnsi"/>
          <w:spacing w:val="-4"/>
        </w:rPr>
        <w:t xml:space="preserve"> </w:t>
      </w:r>
      <w:proofErr w:type="spellStart"/>
      <w:r w:rsidRPr="00A9290F">
        <w:rPr>
          <w:rFonts w:asciiTheme="minorHAnsi" w:hAnsiTheme="minorHAnsi" w:cstheme="minorHAnsi"/>
        </w:rPr>
        <w:t>finalised</w:t>
      </w:r>
      <w:proofErr w:type="spellEnd"/>
      <w:r w:rsidRPr="00A9290F">
        <w:rPr>
          <w:rFonts w:asciiTheme="minorHAnsi" w:hAnsiTheme="minorHAnsi" w:cstheme="minorHAnsi"/>
          <w:spacing w:val="-4"/>
        </w:rPr>
        <w:t xml:space="preserve"> </w:t>
      </w:r>
      <w:r w:rsidRPr="00A9290F">
        <w:rPr>
          <w:rFonts w:asciiTheme="minorHAnsi" w:hAnsiTheme="minorHAnsi" w:cstheme="minorHAnsi"/>
        </w:rPr>
        <w:t>in</w:t>
      </w:r>
      <w:r w:rsidRPr="00A9290F">
        <w:rPr>
          <w:rFonts w:asciiTheme="minorHAnsi" w:hAnsiTheme="minorHAnsi" w:cstheme="minorHAnsi"/>
          <w:spacing w:val="-5"/>
        </w:rPr>
        <w:t xml:space="preserve"> </w:t>
      </w:r>
      <w:r w:rsidRPr="00A9290F">
        <w:rPr>
          <w:rFonts w:asciiTheme="minorHAnsi" w:hAnsiTheme="minorHAnsi" w:cstheme="minorHAnsi"/>
        </w:rPr>
        <w:t>2015,</w:t>
      </w:r>
      <w:r w:rsidRPr="00A9290F">
        <w:rPr>
          <w:rFonts w:asciiTheme="minorHAnsi" w:hAnsiTheme="minorHAnsi" w:cstheme="minorHAnsi"/>
          <w:spacing w:val="-5"/>
        </w:rPr>
        <w:t xml:space="preserve"> </w:t>
      </w:r>
      <w:r w:rsidRPr="00A9290F">
        <w:rPr>
          <w:rFonts w:asciiTheme="minorHAnsi" w:hAnsiTheme="minorHAnsi" w:cstheme="minorHAnsi"/>
        </w:rPr>
        <w:t>however,</w:t>
      </w:r>
      <w:r w:rsidRPr="00A9290F">
        <w:rPr>
          <w:rFonts w:asciiTheme="minorHAnsi" w:hAnsiTheme="minorHAnsi" w:cstheme="minorHAnsi"/>
          <w:spacing w:val="-6"/>
        </w:rPr>
        <w:t xml:space="preserve"> </w:t>
      </w:r>
      <w:r w:rsidRPr="00A9290F">
        <w:rPr>
          <w:rFonts w:asciiTheme="minorHAnsi" w:hAnsiTheme="minorHAnsi" w:cstheme="minorHAnsi"/>
        </w:rPr>
        <w:t>it</w:t>
      </w:r>
      <w:r w:rsidRPr="00A9290F">
        <w:rPr>
          <w:rFonts w:asciiTheme="minorHAnsi" w:hAnsiTheme="minorHAnsi" w:cstheme="minorHAnsi"/>
          <w:spacing w:val="-2"/>
        </w:rPr>
        <w:t xml:space="preserve"> </w:t>
      </w:r>
      <w:r w:rsidRPr="00A9290F">
        <w:rPr>
          <w:rFonts w:asciiTheme="minorHAnsi" w:hAnsiTheme="minorHAnsi" w:cstheme="minorHAnsi"/>
        </w:rPr>
        <w:t>only</w:t>
      </w:r>
      <w:r w:rsidRPr="00A9290F">
        <w:rPr>
          <w:rFonts w:asciiTheme="minorHAnsi" w:hAnsiTheme="minorHAnsi" w:cstheme="minorHAnsi"/>
          <w:spacing w:val="-1"/>
        </w:rPr>
        <w:t xml:space="preserve"> </w:t>
      </w:r>
      <w:r w:rsidRPr="00A9290F">
        <w:rPr>
          <w:rFonts w:asciiTheme="minorHAnsi" w:hAnsiTheme="minorHAnsi" w:cstheme="minorHAnsi"/>
        </w:rPr>
        <w:t>dealt with</w:t>
      </w:r>
      <w:r w:rsidRPr="00A9290F">
        <w:rPr>
          <w:rFonts w:asciiTheme="minorHAnsi" w:hAnsiTheme="minorHAnsi" w:cstheme="minorHAnsi"/>
          <w:spacing w:val="-6"/>
        </w:rPr>
        <w:t xml:space="preserve"> </w:t>
      </w:r>
      <w:r w:rsidRPr="00A9290F">
        <w:rPr>
          <w:rFonts w:asciiTheme="minorHAnsi" w:hAnsiTheme="minorHAnsi" w:cstheme="minorHAnsi"/>
        </w:rPr>
        <w:t>individual</w:t>
      </w:r>
      <w:r w:rsidRPr="00A9290F">
        <w:rPr>
          <w:rFonts w:asciiTheme="minorHAnsi" w:hAnsiTheme="minorHAnsi" w:cstheme="minorHAnsi"/>
          <w:spacing w:val="-5"/>
        </w:rPr>
        <w:t xml:space="preserve"> </w:t>
      </w:r>
      <w:r w:rsidRPr="00A9290F">
        <w:rPr>
          <w:rFonts w:asciiTheme="minorHAnsi" w:hAnsiTheme="minorHAnsi" w:cstheme="minorHAnsi"/>
        </w:rPr>
        <w:t>heritage</w:t>
      </w:r>
      <w:r w:rsidRPr="00A9290F">
        <w:rPr>
          <w:rFonts w:asciiTheme="minorHAnsi" w:hAnsiTheme="minorHAnsi" w:cstheme="minorHAnsi"/>
          <w:spacing w:val="-5"/>
        </w:rPr>
        <w:t xml:space="preserve"> </w:t>
      </w:r>
      <w:r w:rsidRPr="00A9290F">
        <w:rPr>
          <w:rFonts w:asciiTheme="minorHAnsi" w:hAnsiTheme="minorHAnsi" w:cstheme="minorHAnsi"/>
        </w:rPr>
        <w:t>properties</w:t>
      </w:r>
      <w:r w:rsidRPr="00A9290F">
        <w:rPr>
          <w:rFonts w:asciiTheme="minorHAnsi" w:hAnsiTheme="minorHAnsi" w:cstheme="minorHAnsi"/>
          <w:spacing w:val="-3"/>
        </w:rPr>
        <w:t xml:space="preserve"> </w:t>
      </w:r>
      <w:r w:rsidRPr="00A9290F">
        <w:rPr>
          <w:rFonts w:asciiTheme="minorHAnsi" w:hAnsiTheme="minorHAnsi" w:cstheme="minorHAnsi"/>
        </w:rPr>
        <w:t>and</w:t>
      </w:r>
      <w:r w:rsidRPr="00A9290F">
        <w:rPr>
          <w:rFonts w:asciiTheme="minorHAnsi" w:hAnsiTheme="minorHAnsi" w:cstheme="minorHAnsi"/>
          <w:spacing w:val="-6"/>
        </w:rPr>
        <w:t xml:space="preserve"> </w:t>
      </w:r>
      <w:r w:rsidRPr="00A9290F">
        <w:rPr>
          <w:rFonts w:asciiTheme="minorHAnsi" w:hAnsiTheme="minorHAnsi" w:cstheme="minorHAnsi"/>
        </w:rPr>
        <w:t>consideration</w:t>
      </w:r>
      <w:r w:rsidRPr="00A9290F">
        <w:rPr>
          <w:rFonts w:asciiTheme="minorHAnsi" w:hAnsiTheme="minorHAnsi" w:cstheme="minorHAnsi"/>
          <w:spacing w:val="-9"/>
        </w:rPr>
        <w:t xml:space="preserve"> </w:t>
      </w:r>
      <w:r w:rsidRPr="00A9290F">
        <w:rPr>
          <w:rFonts w:asciiTheme="minorHAnsi" w:hAnsiTheme="minorHAnsi" w:cstheme="minorHAnsi"/>
        </w:rPr>
        <w:t>of</w:t>
      </w:r>
      <w:r w:rsidRPr="00A9290F">
        <w:rPr>
          <w:rFonts w:asciiTheme="minorHAnsi" w:hAnsiTheme="minorHAnsi" w:cstheme="minorHAnsi"/>
          <w:spacing w:val="-6"/>
        </w:rPr>
        <w:t xml:space="preserve"> </w:t>
      </w:r>
      <w:r w:rsidRPr="00A9290F">
        <w:rPr>
          <w:rFonts w:asciiTheme="minorHAnsi" w:hAnsiTheme="minorHAnsi" w:cstheme="minorHAnsi"/>
        </w:rPr>
        <w:t>proposed</w:t>
      </w:r>
      <w:r w:rsidRPr="00A9290F">
        <w:rPr>
          <w:rFonts w:asciiTheme="minorHAnsi" w:hAnsiTheme="minorHAnsi" w:cstheme="minorHAnsi"/>
          <w:spacing w:val="-5"/>
        </w:rPr>
        <w:t xml:space="preserve"> </w:t>
      </w:r>
      <w:r w:rsidRPr="00A9290F">
        <w:rPr>
          <w:rFonts w:asciiTheme="minorHAnsi" w:hAnsiTheme="minorHAnsi" w:cstheme="minorHAnsi"/>
        </w:rPr>
        <w:t>heritage</w:t>
      </w:r>
      <w:r w:rsidRPr="00A9290F">
        <w:rPr>
          <w:rFonts w:asciiTheme="minorHAnsi" w:hAnsiTheme="minorHAnsi" w:cstheme="minorHAnsi"/>
          <w:spacing w:val="-6"/>
        </w:rPr>
        <w:t xml:space="preserve"> </w:t>
      </w:r>
      <w:r w:rsidRPr="00A9290F">
        <w:rPr>
          <w:rFonts w:asciiTheme="minorHAnsi" w:hAnsiTheme="minorHAnsi" w:cstheme="minorHAnsi"/>
        </w:rPr>
        <w:t>areas</w:t>
      </w:r>
      <w:r w:rsidRPr="00A9290F">
        <w:rPr>
          <w:rFonts w:asciiTheme="minorHAnsi" w:hAnsiTheme="minorHAnsi" w:cstheme="minorHAnsi"/>
          <w:spacing w:val="-6"/>
        </w:rPr>
        <w:t xml:space="preserve"> </w:t>
      </w:r>
      <w:r w:rsidRPr="00A9290F">
        <w:rPr>
          <w:rFonts w:asciiTheme="minorHAnsi" w:hAnsiTheme="minorHAnsi" w:cstheme="minorHAnsi"/>
        </w:rPr>
        <w:t>was</w:t>
      </w:r>
      <w:r w:rsidRPr="00A9290F">
        <w:rPr>
          <w:rFonts w:asciiTheme="minorHAnsi" w:hAnsiTheme="minorHAnsi" w:cstheme="minorHAnsi"/>
          <w:spacing w:val="-7"/>
        </w:rPr>
        <w:t xml:space="preserve"> </w:t>
      </w:r>
      <w:r w:rsidRPr="00A9290F">
        <w:rPr>
          <w:rFonts w:asciiTheme="minorHAnsi" w:hAnsiTheme="minorHAnsi" w:cstheme="minorHAnsi"/>
        </w:rPr>
        <w:t>postponed.</w:t>
      </w:r>
      <w:r w:rsidRPr="00A9290F">
        <w:rPr>
          <w:rFonts w:asciiTheme="minorHAnsi" w:hAnsiTheme="minorHAnsi" w:cstheme="minorHAnsi"/>
          <w:spacing w:val="-5"/>
        </w:rPr>
        <w:t xml:space="preserve"> </w:t>
      </w:r>
      <w:r w:rsidRPr="00A9290F">
        <w:rPr>
          <w:rFonts w:asciiTheme="minorHAnsi" w:hAnsiTheme="minorHAnsi" w:cstheme="minorHAnsi"/>
        </w:rPr>
        <w:t xml:space="preserve">The George Street Heritage Area has now been formally </w:t>
      </w:r>
      <w:proofErr w:type="spellStart"/>
      <w:r w:rsidRPr="00A9290F">
        <w:rPr>
          <w:rFonts w:asciiTheme="minorHAnsi" w:hAnsiTheme="minorHAnsi" w:cstheme="minorHAnsi"/>
        </w:rPr>
        <w:t>recognised</w:t>
      </w:r>
      <w:proofErr w:type="spellEnd"/>
      <w:r w:rsidRPr="00A9290F">
        <w:rPr>
          <w:rFonts w:asciiTheme="minorHAnsi" w:hAnsiTheme="minorHAnsi" w:cstheme="minorHAnsi"/>
        </w:rPr>
        <w:t xml:space="preserve"> and will replace the George Street Precinct.</w:t>
      </w:r>
    </w:p>
    <w:p w14:paraId="34F700DB" w14:textId="77777777" w:rsidR="00665A13" w:rsidRPr="00A9290F" w:rsidRDefault="00665A13" w:rsidP="003D30F2">
      <w:pPr>
        <w:pStyle w:val="BodyText"/>
        <w:spacing w:before="56"/>
        <w:ind w:left="0" w:right="112"/>
        <w:jc w:val="both"/>
        <w:rPr>
          <w:rFonts w:asciiTheme="minorHAnsi" w:hAnsiTheme="minorHAnsi" w:cstheme="minorHAnsi"/>
        </w:rPr>
      </w:pPr>
      <w:r w:rsidRPr="00A9290F">
        <w:rPr>
          <w:rFonts w:asciiTheme="minorHAnsi" w:hAnsiTheme="minorHAnsi" w:cstheme="minorHAnsi"/>
        </w:rPr>
        <w:t>The</w:t>
      </w:r>
      <w:r w:rsidRPr="00A9290F">
        <w:rPr>
          <w:rFonts w:asciiTheme="minorHAnsi" w:hAnsiTheme="minorHAnsi" w:cstheme="minorHAnsi"/>
          <w:spacing w:val="-12"/>
        </w:rPr>
        <w:t xml:space="preserve"> </w:t>
      </w:r>
      <w:r w:rsidRPr="00A9290F">
        <w:rPr>
          <w:rFonts w:asciiTheme="minorHAnsi" w:hAnsiTheme="minorHAnsi" w:cstheme="minorHAnsi"/>
        </w:rPr>
        <w:t>Town</w:t>
      </w:r>
      <w:r w:rsidRPr="00A9290F">
        <w:rPr>
          <w:rFonts w:asciiTheme="minorHAnsi" w:hAnsiTheme="minorHAnsi" w:cstheme="minorHAnsi"/>
          <w:spacing w:val="-15"/>
        </w:rPr>
        <w:t xml:space="preserve"> </w:t>
      </w:r>
      <w:r w:rsidRPr="00A9290F">
        <w:rPr>
          <w:rFonts w:asciiTheme="minorHAnsi" w:hAnsiTheme="minorHAnsi" w:cstheme="minorHAnsi"/>
        </w:rPr>
        <w:t>of</w:t>
      </w:r>
      <w:r w:rsidRPr="00A9290F">
        <w:rPr>
          <w:rFonts w:asciiTheme="minorHAnsi" w:hAnsiTheme="minorHAnsi" w:cstheme="minorHAnsi"/>
          <w:spacing w:val="-15"/>
        </w:rPr>
        <w:t xml:space="preserve"> </w:t>
      </w:r>
      <w:r w:rsidRPr="00A9290F">
        <w:rPr>
          <w:rFonts w:asciiTheme="minorHAnsi" w:hAnsiTheme="minorHAnsi" w:cstheme="minorHAnsi"/>
        </w:rPr>
        <w:t>East</w:t>
      </w:r>
      <w:r w:rsidRPr="00A9290F">
        <w:rPr>
          <w:rFonts w:asciiTheme="minorHAnsi" w:hAnsiTheme="minorHAnsi" w:cstheme="minorHAnsi"/>
          <w:spacing w:val="-14"/>
        </w:rPr>
        <w:t xml:space="preserve"> </w:t>
      </w:r>
      <w:r w:rsidRPr="00A9290F">
        <w:rPr>
          <w:rFonts w:asciiTheme="minorHAnsi" w:hAnsiTheme="minorHAnsi" w:cstheme="minorHAnsi"/>
        </w:rPr>
        <w:t>Fremantle</w:t>
      </w:r>
      <w:r w:rsidRPr="00A9290F">
        <w:rPr>
          <w:rFonts w:asciiTheme="minorHAnsi" w:hAnsiTheme="minorHAnsi" w:cstheme="minorHAnsi"/>
          <w:spacing w:val="-13"/>
        </w:rPr>
        <w:t xml:space="preserve"> </w:t>
      </w:r>
      <w:r w:rsidRPr="00A9290F">
        <w:rPr>
          <w:rFonts w:asciiTheme="minorHAnsi" w:hAnsiTheme="minorHAnsi" w:cstheme="minorHAnsi"/>
        </w:rPr>
        <w:t>has</w:t>
      </w:r>
      <w:r w:rsidRPr="00A9290F">
        <w:rPr>
          <w:rFonts w:asciiTheme="minorHAnsi" w:hAnsiTheme="minorHAnsi" w:cstheme="minorHAnsi"/>
          <w:spacing w:val="-14"/>
        </w:rPr>
        <w:t xml:space="preserve"> </w:t>
      </w:r>
      <w:r w:rsidRPr="00A9290F">
        <w:rPr>
          <w:rFonts w:asciiTheme="minorHAnsi" w:hAnsiTheme="minorHAnsi" w:cstheme="minorHAnsi"/>
        </w:rPr>
        <w:t>resolved</w:t>
      </w:r>
      <w:r w:rsidRPr="00A9290F">
        <w:rPr>
          <w:rFonts w:asciiTheme="minorHAnsi" w:hAnsiTheme="minorHAnsi" w:cstheme="minorHAnsi"/>
          <w:spacing w:val="-15"/>
        </w:rPr>
        <w:t xml:space="preserve"> </w:t>
      </w:r>
      <w:r w:rsidRPr="00A9290F">
        <w:rPr>
          <w:rFonts w:asciiTheme="minorHAnsi" w:hAnsiTheme="minorHAnsi" w:cstheme="minorHAnsi"/>
        </w:rPr>
        <w:t>to</w:t>
      </w:r>
      <w:r w:rsidRPr="00A9290F">
        <w:rPr>
          <w:rFonts w:asciiTheme="minorHAnsi" w:hAnsiTheme="minorHAnsi" w:cstheme="minorHAnsi"/>
          <w:spacing w:val="-16"/>
        </w:rPr>
        <w:t xml:space="preserve"> </w:t>
      </w:r>
      <w:r w:rsidRPr="00A9290F">
        <w:rPr>
          <w:rFonts w:asciiTheme="minorHAnsi" w:hAnsiTheme="minorHAnsi" w:cstheme="minorHAnsi"/>
        </w:rPr>
        <w:t>allocate</w:t>
      </w:r>
      <w:r w:rsidRPr="00A9290F">
        <w:rPr>
          <w:rFonts w:asciiTheme="minorHAnsi" w:hAnsiTheme="minorHAnsi" w:cstheme="minorHAnsi"/>
          <w:spacing w:val="-11"/>
        </w:rPr>
        <w:t xml:space="preserve"> </w:t>
      </w:r>
      <w:r w:rsidRPr="00A9290F">
        <w:rPr>
          <w:rFonts w:asciiTheme="minorHAnsi" w:hAnsiTheme="minorHAnsi" w:cstheme="minorHAnsi"/>
        </w:rPr>
        <w:t>an</w:t>
      </w:r>
      <w:r w:rsidRPr="00A9290F">
        <w:rPr>
          <w:rFonts w:asciiTheme="minorHAnsi" w:hAnsiTheme="minorHAnsi" w:cstheme="minorHAnsi"/>
          <w:spacing w:val="-17"/>
        </w:rPr>
        <w:t xml:space="preserve"> </w:t>
      </w:r>
      <w:r w:rsidRPr="00A9290F">
        <w:rPr>
          <w:rFonts w:asciiTheme="minorHAnsi" w:hAnsiTheme="minorHAnsi" w:cstheme="minorHAnsi"/>
        </w:rPr>
        <w:t>area</w:t>
      </w:r>
      <w:r w:rsidRPr="00A9290F">
        <w:rPr>
          <w:rFonts w:asciiTheme="minorHAnsi" w:hAnsiTheme="minorHAnsi" w:cstheme="minorHAnsi"/>
          <w:spacing w:val="-14"/>
        </w:rPr>
        <w:t xml:space="preserve"> </w:t>
      </w:r>
      <w:r w:rsidRPr="00A9290F">
        <w:rPr>
          <w:rFonts w:asciiTheme="minorHAnsi" w:hAnsiTheme="minorHAnsi" w:cstheme="minorHAnsi"/>
        </w:rPr>
        <w:t>within</w:t>
      </w:r>
      <w:r w:rsidRPr="00A9290F">
        <w:rPr>
          <w:rFonts w:asciiTheme="minorHAnsi" w:hAnsiTheme="minorHAnsi" w:cstheme="minorHAnsi"/>
          <w:spacing w:val="-16"/>
        </w:rPr>
        <w:t xml:space="preserve"> </w:t>
      </w:r>
      <w:r w:rsidRPr="00A9290F">
        <w:rPr>
          <w:rFonts w:asciiTheme="minorHAnsi" w:hAnsiTheme="minorHAnsi" w:cstheme="minorHAnsi"/>
        </w:rPr>
        <w:t>the</w:t>
      </w:r>
      <w:r w:rsidRPr="00A9290F">
        <w:rPr>
          <w:rFonts w:asciiTheme="minorHAnsi" w:hAnsiTheme="minorHAnsi" w:cstheme="minorHAnsi"/>
          <w:spacing w:val="-15"/>
        </w:rPr>
        <w:t xml:space="preserve"> </w:t>
      </w:r>
      <w:r w:rsidRPr="00A9290F">
        <w:rPr>
          <w:rFonts w:asciiTheme="minorHAnsi" w:hAnsiTheme="minorHAnsi" w:cstheme="minorHAnsi"/>
        </w:rPr>
        <w:t>George</w:t>
      </w:r>
      <w:r w:rsidRPr="00A9290F">
        <w:rPr>
          <w:rFonts w:asciiTheme="minorHAnsi" w:hAnsiTheme="minorHAnsi" w:cstheme="minorHAnsi"/>
          <w:spacing w:val="-13"/>
        </w:rPr>
        <w:t xml:space="preserve"> </w:t>
      </w:r>
      <w:r w:rsidRPr="00A9290F">
        <w:rPr>
          <w:rFonts w:asciiTheme="minorHAnsi" w:hAnsiTheme="minorHAnsi" w:cstheme="minorHAnsi"/>
        </w:rPr>
        <w:t>Street</w:t>
      </w:r>
      <w:r w:rsidRPr="00A9290F">
        <w:rPr>
          <w:rFonts w:asciiTheme="minorHAnsi" w:hAnsiTheme="minorHAnsi" w:cstheme="minorHAnsi"/>
          <w:spacing w:val="-16"/>
        </w:rPr>
        <w:t xml:space="preserve"> </w:t>
      </w:r>
      <w:r w:rsidRPr="00A9290F">
        <w:rPr>
          <w:rFonts w:asciiTheme="minorHAnsi" w:hAnsiTheme="minorHAnsi" w:cstheme="minorHAnsi"/>
        </w:rPr>
        <w:t>vicinity</w:t>
      </w:r>
      <w:r w:rsidRPr="00A9290F">
        <w:rPr>
          <w:rFonts w:asciiTheme="minorHAnsi" w:hAnsiTheme="minorHAnsi" w:cstheme="minorHAnsi"/>
          <w:spacing w:val="-16"/>
        </w:rPr>
        <w:t xml:space="preserve"> </w:t>
      </w:r>
      <w:r w:rsidRPr="00A9290F">
        <w:rPr>
          <w:rFonts w:asciiTheme="minorHAnsi" w:hAnsiTheme="minorHAnsi" w:cstheme="minorHAnsi"/>
        </w:rPr>
        <w:t>(between East</w:t>
      </w:r>
      <w:r w:rsidRPr="00A9290F">
        <w:rPr>
          <w:rFonts w:asciiTheme="minorHAnsi" w:hAnsiTheme="minorHAnsi" w:cstheme="minorHAnsi"/>
          <w:spacing w:val="-14"/>
        </w:rPr>
        <w:t xml:space="preserve"> </w:t>
      </w:r>
      <w:r w:rsidRPr="00A9290F">
        <w:rPr>
          <w:rFonts w:asciiTheme="minorHAnsi" w:hAnsiTheme="minorHAnsi" w:cstheme="minorHAnsi"/>
        </w:rPr>
        <w:t>Street</w:t>
      </w:r>
      <w:r w:rsidRPr="00A9290F">
        <w:rPr>
          <w:rFonts w:asciiTheme="minorHAnsi" w:hAnsiTheme="minorHAnsi" w:cstheme="minorHAnsi"/>
          <w:spacing w:val="-11"/>
        </w:rPr>
        <w:t xml:space="preserve"> </w:t>
      </w:r>
      <w:r w:rsidRPr="00A9290F">
        <w:rPr>
          <w:rFonts w:asciiTheme="minorHAnsi" w:hAnsiTheme="minorHAnsi" w:cstheme="minorHAnsi"/>
        </w:rPr>
        <w:t>and</w:t>
      </w:r>
      <w:r w:rsidRPr="00A9290F">
        <w:rPr>
          <w:rFonts w:asciiTheme="minorHAnsi" w:hAnsiTheme="minorHAnsi" w:cstheme="minorHAnsi"/>
          <w:spacing w:val="-15"/>
        </w:rPr>
        <w:t xml:space="preserve"> </w:t>
      </w:r>
      <w:r w:rsidRPr="00A9290F">
        <w:rPr>
          <w:rFonts w:asciiTheme="minorHAnsi" w:hAnsiTheme="minorHAnsi" w:cstheme="minorHAnsi"/>
        </w:rPr>
        <w:t>Stirling</w:t>
      </w:r>
      <w:r w:rsidRPr="00A9290F">
        <w:rPr>
          <w:rFonts w:asciiTheme="minorHAnsi" w:hAnsiTheme="minorHAnsi" w:cstheme="minorHAnsi"/>
          <w:spacing w:val="-15"/>
        </w:rPr>
        <w:t xml:space="preserve"> </w:t>
      </w:r>
      <w:r w:rsidRPr="00A9290F">
        <w:rPr>
          <w:rFonts w:asciiTheme="minorHAnsi" w:hAnsiTheme="minorHAnsi" w:cstheme="minorHAnsi"/>
        </w:rPr>
        <w:t>Highway)</w:t>
      </w:r>
      <w:r w:rsidRPr="00A9290F">
        <w:rPr>
          <w:rFonts w:asciiTheme="minorHAnsi" w:hAnsiTheme="minorHAnsi" w:cstheme="minorHAnsi"/>
          <w:spacing w:val="-13"/>
        </w:rPr>
        <w:t xml:space="preserve"> </w:t>
      </w:r>
      <w:r w:rsidRPr="00A9290F">
        <w:rPr>
          <w:rFonts w:asciiTheme="minorHAnsi" w:hAnsiTheme="minorHAnsi" w:cstheme="minorHAnsi"/>
        </w:rPr>
        <w:t>as</w:t>
      </w:r>
      <w:r w:rsidRPr="00A9290F">
        <w:rPr>
          <w:rFonts w:asciiTheme="minorHAnsi" w:hAnsiTheme="minorHAnsi" w:cstheme="minorHAnsi"/>
          <w:spacing w:val="-13"/>
        </w:rPr>
        <w:t xml:space="preserve"> </w:t>
      </w:r>
      <w:r w:rsidRPr="00A9290F">
        <w:rPr>
          <w:rFonts w:asciiTheme="minorHAnsi" w:hAnsiTheme="minorHAnsi" w:cstheme="minorHAnsi"/>
        </w:rPr>
        <w:t>a</w:t>
      </w:r>
      <w:r w:rsidRPr="00A9290F">
        <w:rPr>
          <w:rFonts w:asciiTheme="minorHAnsi" w:hAnsiTheme="minorHAnsi" w:cstheme="minorHAnsi"/>
          <w:spacing w:val="-16"/>
        </w:rPr>
        <w:t xml:space="preserve"> </w:t>
      </w:r>
      <w:r w:rsidRPr="00A9290F">
        <w:rPr>
          <w:rFonts w:asciiTheme="minorHAnsi" w:hAnsiTheme="minorHAnsi" w:cstheme="minorHAnsi"/>
        </w:rPr>
        <w:t>designated</w:t>
      </w:r>
      <w:r w:rsidRPr="00A9290F">
        <w:rPr>
          <w:rFonts w:asciiTheme="minorHAnsi" w:hAnsiTheme="minorHAnsi" w:cstheme="minorHAnsi"/>
          <w:spacing w:val="-16"/>
        </w:rPr>
        <w:t xml:space="preserve"> </w:t>
      </w:r>
      <w:r w:rsidRPr="00A9290F">
        <w:rPr>
          <w:rFonts w:asciiTheme="minorHAnsi" w:hAnsiTheme="minorHAnsi" w:cstheme="minorHAnsi"/>
        </w:rPr>
        <w:t>Heritage</w:t>
      </w:r>
      <w:r w:rsidRPr="00A9290F">
        <w:rPr>
          <w:rFonts w:asciiTheme="minorHAnsi" w:hAnsiTheme="minorHAnsi" w:cstheme="minorHAnsi"/>
          <w:spacing w:val="-12"/>
        </w:rPr>
        <w:t xml:space="preserve"> </w:t>
      </w:r>
      <w:r w:rsidRPr="00A9290F">
        <w:rPr>
          <w:rFonts w:asciiTheme="minorHAnsi" w:hAnsiTheme="minorHAnsi" w:cstheme="minorHAnsi"/>
        </w:rPr>
        <w:t>Area</w:t>
      </w:r>
      <w:r w:rsidRPr="00A9290F">
        <w:rPr>
          <w:rFonts w:asciiTheme="minorHAnsi" w:hAnsiTheme="minorHAnsi" w:cstheme="minorHAnsi"/>
          <w:spacing w:val="-12"/>
        </w:rPr>
        <w:t xml:space="preserve"> </w:t>
      </w:r>
      <w:r w:rsidRPr="00A9290F">
        <w:rPr>
          <w:rFonts w:asciiTheme="minorHAnsi" w:hAnsiTheme="minorHAnsi" w:cstheme="minorHAnsi"/>
        </w:rPr>
        <w:t>under</w:t>
      </w:r>
      <w:r w:rsidRPr="00A9290F">
        <w:rPr>
          <w:rFonts w:asciiTheme="minorHAnsi" w:hAnsiTheme="minorHAnsi" w:cstheme="minorHAnsi"/>
          <w:spacing w:val="-13"/>
        </w:rPr>
        <w:t xml:space="preserve"> </w:t>
      </w:r>
      <w:r w:rsidRPr="00A9290F">
        <w:rPr>
          <w:rFonts w:asciiTheme="minorHAnsi" w:hAnsiTheme="minorHAnsi" w:cstheme="minorHAnsi"/>
        </w:rPr>
        <w:t>the</w:t>
      </w:r>
      <w:r w:rsidRPr="00A9290F">
        <w:rPr>
          <w:rFonts w:asciiTheme="minorHAnsi" w:hAnsiTheme="minorHAnsi" w:cstheme="minorHAnsi"/>
          <w:spacing w:val="-12"/>
        </w:rPr>
        <w:t xml:space="preserve"> </w:t>
      </w:r>
      <w:r w:rsidRPr="00A9290F">
        <w:rPr>
          <w:rFonts w:asciiTheme="minorHAnsi" w:hAnsiTheme="minorHAnsi" w:cstheme="minorHAnsi"/>
        </w:rPr>
        <w:t>provisions</w:t>
      </w:r>
      <w:r w:rsidRPr="00A9290F">
        <w:rPr>
          <w:rFonts w:asciiTheme="minorHAnsi" w:hAnsiTheme="minorHAnsi" w:cstheme="minorHAnsi"/>
          <w:spacing w:val="-15"/>
        </w:rPr>
        <w:t xml:space="preserve"> </w:t>
      </w:r>
      <w:r w:rsidRPr="00A9290F">
        <w:rPr>
          <w:rFonts w:asciiTheme="minorHAnsi" w:hAnsiTheme="minorHAnsi" w:cstheme="minorHAnsi"/>
        </w:rPr>
        <w:t>of</w:t>
      </w:r>
      <w:r w:rsidRPr="00A9290F">
        <w:rPr>
          <w:rFonts w:asciiTheme="minorHAnsi" w:hAnsiTheme="minorHAnsi" w:cstheme="minorHAnsi"/>
          <w:spacing w:val="-14"/>
        </w:rPr>
        <w:t xml:space="preserve"> </w:t>
      </w:r>
      <w:r w:rsidRPr="00A9290F">
        <w:rPr>
          <w:rFonts w:asciiTheme="minorHAnsi" w:hAnsiTheme="minorHAnsi" w:cstheme="minorHAnsi"/>
        </w:rPr>
        <w:t>the</w:t>
      </w:r>
      <w:r w:rsidRPr="00A9290F">
        <w:rPr>
          <w:rFonts w:asciiTheme="minorHAnsi" w:hAnsiTheme="minorHAnsi" w:cstheme="minorHAnsi"/>
          <w:spacing w:val="-15"/>
        </w:rPr>
        <w:t xml:space="preserve"> </w:t>
      </w:r>
      <w:r w:rsidRPr="00A9290F">
        <w:rPr>
          <w:rFonts w:asciiTheme="minorHAnsi" w:hAnsiTheme="minorHAnsi" w:cstheme="minorHAnsi"/>
        </w:rPr>
        <w:t>Regulations and provides this associated local planning policy as part of satisfying the requirements of those provisions. The George Street Heritage Area is shown in Figure 1. Each affected property is listed in Appendix 1, together with an indication of its record of heritage</w:t>
      </w:r>
      <w:r w:rsidRPr="00A9290F">
        <w:rPr>
          <w:rFonts w:asciiTheme="minorHAnsi" w:hAnsiTheme="minorHAnsi" w:cstheme="minorHAnsi"/>
          <w:spacing w:val="-21"/>
        </w:rPr>
        <w:t xml:space="preserve"> </w:t>
      </w:r>
      <w:r w:rsidRPr="00A9290F">
        <w:rPr>
          <w:rFonts w:asciiTheme="minorHAnsi" w:hAnsiTheme="minorHAnsi" w:cstheme="minorHAnsi"/>
        </w:rPr>
        <w:t>significance.</w:t>
      </w:r>
    </w:p>
    <w:p w14:paraId="02E8AA6D" w14:textId="77777777" w:rsidR="00665A13" w:rsidRDefault="00665A13" w:rsidP="00665A13">
      <w:pPr>
        <w:jc w:val="both"/>
        <w:sectPr w:rsidR="00665A13">
          <w:footerReference w:type="default" r:id="rId310"/>
          <w:pgSz w:w="11910" w:h="16840"/>
          <w:pgMar w:top="1240" w:right="980" w:bottom="1200" w:left="1320" w:header="0" w:footer="1002" w:gutter="0"/>
          <w:pgNumType w:start="1"/>
          <w:cols w:space="720"/>
        </w:sectPr>
      </w:pPr>
    </w:p>
    <w:p w14:paraId="32DEDB69" w14:textId="77777777" w:rsidR="00665A13" w:rsidRPr="003D30F2" w:rsidRDefault="00665A13" w:rsidP="003D30F2">
      <w:pPr>
        <w:jc w:val="center"/>
        <w:rPr>
          <w:b/>
        </w:rPr>
      </w:pPr>
      <w:r w:rsidRPr="003D30F2">
        <w:rPr>
          <w:b/>
        </w:rPr>
        <w:lastRenderedPageBreak/>
        <w:t>Figure 1: George Street Designated Heritage Area</w:t>
      </w:r>
    </w:p>
    <w:p w14:paraId="2A940D63" w14:textId="77777777" w:rsidR="00665A13" w:rsidRDefault="00665A13" w:rsidP="00665A13">
      <w:pPr>
        <w:pStyle w:val="Heading1"/>
        <w:spacing w:before="44"/>
        <w:ind w:left="264" w:right="596"/>
        <w:jc w:val="center"/>
      </w:pPr>
    </w:p>
    <w:p w14:paraId="0CD248F6" w14:textId="77777777" w:rsidR="00665A13" w:rsidRDefault="00665A13" w:rsidP="00665A13">
      <w:pPr>
        <w:pStyle w:val="BodyText"/>
        <w:spacing w:before="1"/>
        <w:rPr>
          <w:b/>
          <w:sz w:val="19"/>
        </w:rPr>
      </w:pPr>
      <w:r w:rsidRPr="0025724F">
        <w:rPr>
          <w:b/>
          <w:noProof/>
          <w:sz w:val="19"/>
          <w:lang w:val="en-AU" w:eastAsia="en-AU"/>
        </w:rPr>
        <w:drawing>
          <wp:inline distT="0" distB="0" distL="0" distR="0" wp14:anchorId="2B28FBA2" wp14:editId="5E4A4619">
            <wp:extent cx="6102350" cy="2775892"/>
            <wp:effectExtent l="0" t="0" r="0" b="5715"/>
            <wp:docPr id="264" name="Picture 264" descr="H:\Heritage\George Street Heritage Area\Final map - amended in accordance with Council resolution of 18 Feb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Heritage\George Street Heritage Area\Final map - amended in accordance with Council resolution of 18 Feb 2020.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02350" cy="2775892"/>
                    </a:xfrm>
                    <a:prstGeom prst="rect">
                      <a:avLst/>
                    </a:prstGeom>
                    <a:noFill/>
                    <a:ln>
                      <a:noFill/>
                    </a:ln>
                  </pic:spPr>
                </pic:pic>
              </a:graphicData>
            </a:graphic>
          </wp:inline>
        </w:drawing>
      </w:r>
    </w:p>
    <w:p w14:paraId="7A45CF78" w14:textId="77777777" w:rsidR="00665A13" w:rsidRDefault="00665A13" w:rsidP="003D30F2">
      <w:pPr>
        <w:spacing w:after="0"/>
        <w:rPr>
          <w:sz w:val="19"/>
        </w:rPr>
      </w:pPr>
    </w:p>
    <w:p w14:paraId="63352115" w14:textId="77777777" w:rsidR="00665A13" w:rsidRDefault="00665A13" w:rsidP="003D30F2">
      <w:pPr>
        <w:spacing w:after="0"/>
        <w:rPr>
          <w:sz w:val="19"/>
        </w:rPr>
      </w:pPr>
    </w:p>
    <w:p w14:paraId="08431174" w14:textId="77777777" w:rsidR="00665A13" w:rsidRPr="003D30F2" w:rsidRDefault="00665A13" w:rsidP="003D30F2">
      <w:pPr>
        <w:pStyle w:val="Heading1"/>
        <w:spacing w:before="44"/>
        <w:jc w:val="both"/>
        <w:rPr>
          <w:rFonts w:asciiTheme="minorHAnsi" w:hAnsiTheme="minorHAnsi" w:cstheme="minorHAnsi"/>
        </w:rPr>
      </w:pPr>
      <w:bookmarkStart w:id="546" w:name="_TOC_250019"/>
      <w:bookmarkEnd w:id="546"/>
      <w:r w:rsidRPr="003D30F2">
        <w:rPr>
          <w:rFonts w:asciiTheme="minorHAnsi" w:hAnsiTheme="minorHAnsi" w:cstheme="minorHAnsi"/>
          <w:color w:val="auto"/>
        </w:rPr>
        <w:t>Purpose and Application</w:t>
      </w:r>
    </w:p>
    <w:p w14:paraId="1001350F" w14:textId="77777777" w:rsidR="00665A13" w:rsidRPr="003D30F2" w:rsidRDefault="00665A13" w:rsidP="003D30F2">
      <w:pPr>
        <w:pStyle w:val="BodyText"/>
        <w:spacing w:before="10" w:after="60"/>
        <w:ind w:left="0"/>
        <w:jc w:val="both"/>
        <w:rPr>
          <w:rFonts w:asciiTheme="minorHAnsi" w:hAnsiTheme="minorHAnsi" w:cstheme="minorHAnsi"/>
        </w:rPr>
      </w:pPr>
      <w:r w:rsidRPr="003D30F2">
        <w:rPr>
          <w:rFonts w:asciiTheme="minorHAnsi" w:hAnsiTheme="minorHAnsi" w:cstheme="minorHAnsi"/>
        </w:rPr>
        <w:t>The purpose of this Policy is to:</w:t>
      </w:r>
    </w:p>
    <w:p w14:paraId="195D307B" w14:textId="77777777" w:rsidR="00665A13" w:rsidRPr="003D30F2" w:rsidRDefault="00665A13" w:rsidP="002A3889">
      <w:pPr>
        <w:pStyle w:val="ListParagraph"/>
        <w:widowControl w:val="0"/>
        <w:numPr>
          <w:ilvl w:val="0"/>
          <w:numId w:val="418"/>
        </w:numPr>
        <w:tabs>
          <w:tab w:val="left" w:pos="284"/>
        </w:tabs>
        <w:autoSpaceDE w:val="0"/>
        <w:autoSpaceDN w:val="0"/>
        <w:spacing w:before="10" w:after="60" w:line="240" w:lineRule="auto"/>
        <w:ind w:left="284" w:hanging="284"/>
        <w:contextualSpacing w:val="0"/>
        <w:jc w:val="both"/>
        <w:rPr>
          <w:rFonts w:cstheme="minorHAnsi"/>
        </w:rPr>
      </w:pPr>
      <w:r w:rsidRPr="003D30F2">
        <w:rPr>
          <w:rFonts w:cstheme="minorHAnsi"/>
        </w:rPr>
        <w:t>Provide guidance for development within the George Street Heritage Area as shown in Figure</w:t>
      </w:r>
      <w:r w:rsidRPr="003D30F2">
        <w:rPr>
          <w:rFonts w:cstheme="minorHAnsi"/>
          <w:spacing w:val="-28"/>
        </w:rPr>
        <w:t xml:space="preserve"> </w:t>
      </w:r>
      <w:proofErr w:type="gramStart"/>
      <w:r w:rsidRPr="003D30F2">
        <w:rPr>
          <w:rFonts w:cstheme="minorHAnsi"/>
        </w:rPr>
        <w:t>1;</w:t>
      </w:r>
      <w:proofErr w:type="gramEnd"/>
    </w:p>
    <w:p w14:paraId="2719A2B8" w14:textId="77777777" w:rsidR="00665A13" w:rsidRPr="003D30F2" w:rsidRDefault="00665A13" w:rsidP="002A3889">
      <w:pPr>
        <w:pStyle w:val="ListParagraph"/>
        <w:widowControl w:val="0"/>
        <w:numPr>
          <w:ilvl w:val="0"/>
          <w:numId w:val="418"/>
        </w:numPr>
        <w:tabs>
          <w:tab w:val="left" w:pos="284"/>
        </w:tabs>
        <w:autoSpaceDE w:val="0"/>
        <w:autoSpaceDN w:val="0"/>
        <w:spacing w:before="10" w:after="60" w:line="240" w:lineRule="auto"/>
        <w:ind w:left="284" w:right="-29" w:hanging="284"/>
        <w:contextualSpacing w:val="0"/>
        <w:jc w:val="both"/>
        <w:rPr>
          <w:rFonts w:cstheme="minorHAnsi"/>
        </w:rPr>
      </w:pPr>
      <w:r w:rsidRPr="003D30F2">
        <w:rPr>
          <w:rFonts w:cstheme="minorHAnsi"/>
        </w:rPr>
        <w:t>Ensure</w:t>
      </w:r>
      <w:r w:rsidRPr="003D30F2">
        <w:rPr>
          <w:rFonts w:cstheme="minorHAnsi"/>
          <w:spacing w:val="-6"/>
        </w:rPr>
        <w:t xml:space="preserve"> </w:t>
      </w:r>
      <w:r w:rsidRPr="003D30F2">
        <w:rPr>
          <w:rFonts w:cstheme="minorHAnsi"/>
        </w:rPr>
        <w:t>that</w:t>
      </w:r>
      <w:r w:rsidRPr="003D30F2">
        <w:rPr>
          <w:rFonts w:cstheme="minorHAnsi"/>
          <w:spacing w:val="-6"/>
        </w:rPr>
        <w:t xml:space="preserve"> </w:t>
      </w:r>
      <w:r w:rsidRPr="003D30F2">
        <w:rPr>
          <w:rFonts w:cstheme="minorHAnsi"/>
        </w:rPr>
        <w:t>places</w:t>
      </w:r>
      <w:r w:rsidRPr="003D30F2">
        <w:rPr>
          <w:rFonts w:cstheme="minorHAnsi"/>
          <w:spacing w:val="-8"/>
        </w:rPr>
        <w:t xml:space="preserve"> </w:t>
      </w:r>
      <w:r w:rsidRPr="003D30F2">
        <w:rPr>
          <w:rFonts w:cstheme="minorHAnsi"/>
        </w:rPr>
        <w:t>of</w:t>
      </w:r>
      <w:r w:rsidRPr="003D30F2">
        <w:rPr>
          <w:rFonts w:cstheme="minorHAnsi"/>
          <w:spacing w:val="-5"/>
        </w:rPr>
        <w:t xml:space="preserve"> </w:t>
      </w:r>
      <w:r w:rsidRPr="003D30F2">
        <w:rPr>
          <w:rFonts w:cstheme="minorHAnsi"/>
        </w:rPr>
        <w:t>heritage</w:t>
      </w:r>
      <w:r w:rsidRPr="003D30F2">
        <w:rPr>
          <w:rFonts w:cstheme="minorHAnsi"/>
          <w:spacing w:val="-5"/>
        </w:rPr>
        <w:t xml:space="preserve"> </w:t>
      </w:r>
      <w:r w:rsidRPr="003D30F2">
        <w:rPr>
          <w:rFonts w:cstheme="minorHAnsi"/>
        </w:rPr>
        <w:t>value</w:t>
      </w:r>
      <w:r w:rsidRPr="003D30F2">
        <w:rPr>
          <w:rFonts w:cstheme="minorHAnsi"/>
          <w:spacing w:val="-7"/>
        </w:rPr>
        <w:t xml:space="preserve"> </w:t>
      </w:r>
      <w:r w:rsidRPr="003D30F2">
        <w:rPr>
          <w:rFonts w:cstheme="minorHAnsi"/>
        </w:rPr>
        <w:t>that</w:t>
      </w:r>
      <w:r w:rsidRPr="003D30F2">
        <w:rPr>
          <w:rFonts w:cstheme="minorHAnsi"/>
          <w:spacing w:val="-8"/>
        </w:rPr>
        <w:t xml:space="preserve"> </w:t>
      </w:r>
      <w:r w:rsidRPr="003D30F2">
        <w:rPr>
          <w:rFonts w:cstheme="minorHAnsi"/>
        </w:rPr>
        <w:t>contribute</w:t>
      </w:r>
      <w:r w:rsidRPr="003D30F2">
        <w:rPr>
          <w:rFonts w:cstheme="minorHAnsi"/>
          <w:spacing w:val="-7"/>
        </w:rPr>
        <w:t xml:space="preserve"> </w:t>
      </w:r>
      <w:r w:rsidRPr="003D30F2">
        <w:rPr>
          <w:rFonts w:cstheme="minorHAnsi"/>
        </w:rPr>
        <w:t>to</w:t>
      </w:r>
      <w:r w:rsidRPr="003D30F2">
        <w:rPr>
          <w:rFonts w:cstheme="minorHAnsi"/>
          <w:spacing w:val="-10"/>
        </w:rPr>
        <w:t xml:space="preserve"> </w:t>
      </w:r>
      <w:r w:rsidRPr="003D30F2">
        <w:rPr>
          <w:rFonts w:cstheme="minorHAnsi"/>
        </w:rPr>
        <w:t>the</w:t>
      </w:r>
      <w:r w:rsidRPr="003D30F2">
        <w:rPr>
          <w:rFonts w:cstheme="minorHAnsi"/>
          <w:spacing w:val="-5"/>
        </w:rPr>
        <w:t xml:space="preserve"> </w:t>
      </w:r>
      <w:r w:rsidRPr="003D30F2">
        <w:rPr>
          <w:rFonts w:cstheme="minorHAnsi"/>
        </w:rPr>
        <w:t>scale</w:t>
      </w:r>
      <w:r w:rsidRPr="003D30F2">
        <w:rPr>
          <w:rFonts w:cstheme="minorHAnsi"/>
          <w:spacing w:val="-5"/>
        </w:rPr>
        <w:t xml:space="preserve"> </w:t>
      </w:r>
      <w:r w:rsidRPr="003D30F2">
        <w:rPr>
          <w:rFonts w:cstheme="minorHAnsi"/>
        </w:rPr>
        <w:t>and</w:t>
      </w:r>
      <w:r w:rsidRPr="003D30F2">
        <w:rPr>
          <w:rFonts w:cstheme="minorHAnsi"/>
          <w:spacing w:val="-6"/>
        </w:rPr>
        <w:t xml:space="preserve"> </w:t>
      </w:r>
      <w:r w:rsidRPr="003D30F2">
        <w:rPr>
          <w:rFonts w:cstheme="minorHAnsi"/>
        </w:rPr>
        <w:t>architectural</w:t>
      </w:r>
      <w:r w:rsidRPr="003D30F2">
        <w:rPr>
          <w:rFonts w:cstheme="minorHAnsi"/>
          <w:spacing w:val="-9"/>
        </w:rPr>
        <w:t xml:space="preserve"> </w:t>
      </w:r>
      <w:r w:rsidRPr="003D30F2">
        <w:rPr>
          <w:rFonts w:cstheme="minorHAnsi"/>
        </w:rPr>
        <w:t>character</w:t>
      </w:r>
      <w:r w:rsidRPr="003D30F2">
        <w:rPr>
          <w:rFonts w:cstheme="minorHAnsi"/>
          <w:spacing w:val="-9"/>
        </w:rPr>
        <w:t xml:space="preserve"> </w:t>
      </w:r>
      <w:r w:rsidRPr="003D30F2">
        <w:rPr>
          <w:rFonts w:cstheme="minorHAnsi"/>
        </w:rPr>
        <w:t>of</w:t>
      </w:r>
      <w:r w:rsidRPr="003D30F2">
        <w:rPr>
          <w:rFonts w:cstheme="minorHAnsi"/>
          <w:spacing w:val="-9"/>
        </w:rPr>
        <w:t xml:space="preserve"> </w:t>
      </w:r>
      <w:r w:rsidRPr="003D30F2">
        <w:rPr>
          <w:rFonts w:cstheme="minorHAnsi"/>
        </w:rPr>
        <w:t>the George Street Heritage Area are retained and where adaptations or extensions are necessary to ensure their ongoing preservation and conservation, development does not reduce the heritage value of the places or their contribution to the streetscape and character of the Heritage Area; and</w:t>
      </w:r>
    </w:p>
    <w:p w14:paraId="1D8443FD" w14:textId="77777777" w:rsidR="00665A13" w:rsidRPr="003D30F2" w:rsidRDefault="00665A13" w:rsidP="002A3889">
      <w:pPr>
        <w:pStyle w:val="ListParagraph"/>
        <w:widowControl w:val="0"/>
        <w:numPr>
          <w:ilvl w:val="0"/>
          <w:numId w:val="418"/>
        </w:numPr>
        <w:tabs>
          <w:tab w:val="left" w:pos="284"/>
        </w:tabs>
        <w:autoSpaceDE w:val="0"/>
        <w:autoSpaceDN w:val="0"/>
        <w:spacing w:before="11" w:after="0" w:line="240" w:lineRule="auto"/>
        <w:ind w:left="284" w:hanging="284"/>
        <w:contextualSpacing w:val="0"/>
        <w:jc w:val="both"/>
        <w:rPr>
          <w:rFonts w:cstheme="minorHAnsi"/>
        </w:rPr>
      </w:pPr>
      <w:r w:rsidRPr="003D30F2">
        <w:rPr>
          <w:rFonts w:cstheme="minorHAnsi"/>
        </w:rPr>
        <w:t>Provide added protection for the established character of the George Street Heritage</w:t>
      </w:r>
      <w:r w:rsidRPr="003D30F2">
        <w:rPr>
          <w:rFonts w:cstheme="minorHAnsi"/>
          <w:spacing w:val="-15"/>
        </w:rPr>
        <w:t xml:space="preserve"> </w:t>
      </w:r>
      <w:r w:rsidRPr="003D30F2">
        <w:rPr>
          <w:rFonts w:cstheme="minorHAnsi"/>
        </w:rPr>
        <w:t>Area.</w:t>
      </w:r>
    </w:p>
    <w:p w14:paraId="7630FDE6" w14:textId="77777777" w:rsidR="00665A13" w:rsidRPr="003D30F2" w:rsidRDefault="00665A13" w:rsidP="003D30F2">
      <w:pPr>
        <w:pStyle w:val="BodyText"/>
        <w:spacing w:before="200" w:after="0"/>
        <w:ind w:left="0" w:right="-29"/>
        <w:jc w:val="both"/>
        <w:rPr>
          <w:rFonts w:asciiTheme="minorHAnsi" w:hAnsiTheme="minorHAnsi" w:cstheme="minorHAnsi"/>
        </w:rPr>
      </w:pPr>
      <w:r w:rsidRPr="003D30F2">
        <w:rPr>
          <w:rFonts w:asciiTheme="minorHAnsi" w:hAnsiTheme="minorHAnsi" w:cstheme="minorHAnsi"/>
        </w:rPr>
        <w:t>Pursuant</w:t>
      </w:r>
      <w:r w:rsidRPr="003D30F2">
        <w:rPr>
          <w:rFonts w:asciiTheme="minorHAnsi" w:hAnsiTheme="minorHAnsi" w:cstheme="minorHAnsi"/>
          <w:spacing w:val="-3"/>
        </w:rPr>
        <w:t xml:space="preserve"> </w:t>
      </w:r>
      <w:r w:rsidRPr="003D30F2">
        <w:rPr>
          <w:rFonts w:asciiTheme="minorHAnsi" w:hAnsiTheme="minorHAnsi" w:cstheme="minorHAnsi"/>
        </w:rPr>
        <w:t>to</w:t>
      </w:r>
      <w:r w:rsidRPr="003D30F2">
        <w:rPr>
          <w:rFonts w:asciiTheme="minorHAnsi" w:hAnsiTheme="minorHAnsi" w:cstheme="minorHAnsi"/>
          <w:spacing w:val="-3"/>
        </w:rPr>
        <w:t xml:space="preserve"> </w:t>
      </w:r>
      <w:r w:rsidRPr="003D30F2">
        <w:rPr>
          <w:rFonts w:asciiTheme="minorHAnsi" w:hAnsiTheme="minorHAnsi" w:cstheme="minorHAnsi"/>
        </w:rPr>
        <w:t>the</w:t>
      </w:r>
      <w:r w:rsidRPr="003D30F2">
        <w:rPr>
          <w:rFonts w:asciiTheme="minorHAnsi" w:hAnsiTheme="minorHAnsi" w:cstheme="minorHAnsi"/>
          <w:spacing w:val="-4"/>
        </w:rPr>
        <w:t xml:space="preserve"> </w:t>
      </w:r>
      <w:r w:rsidRPr="003D30F2">
        <w:rPr>
          <w:rFonts w:asciiTheme="minorHAnsi" w:hAnsiTheme="minorHAnsi" w:cstheme="minorHAnsi"/>
        </w:rPr>
        <w:t>Regulations,</w:t>
      </w:r>
      <w:r w:rsidRPr="003D30F2">
        <w:rPr>
          <w:rFonts w:asciiTheme="minorHAnsi" w:hAnsiTheme="minorHAnsi" w:cstheme="minorHAnsi"/>
          <w:spacing w:val="-6"/>
        </w:rPr>
        <w:t xml:space="preserve"> </w:t>
      </w:r>
      <w:r w:rsidRPr="003D30F2">
        <w:rPr>
          <w:rFonts w:asciiTheme="minorHAnsi" w:hAnsiTheme="minorHAnsi" w:cstheme="minorHAnsi"/>
        </w:rPr>
        <w:t>an</w:t>
      </w:r>
      <w:r w:rsidRPr="003D30F2">
        <w:rPr>
          <w:rFonts w:asciiTheme="minorHAnsi" w:hAnsiTheme="minorHAnsi" w:cstheme="minorHAnsi"/>
          <w:spacing w:val="-5"/>
        </w:rPr>
        <w:t xml:space="preserve"> </w:t>
      </w:r>
      <w:r w:rsidRPr="003D30F2">
        <w:rPr>
          <w:rFonts w:asciiTheme="minorHAnsi" w:hAnsiTheme="minorHAnsi" w:cstheme="minorHAnsi"/>
        </w:rPr>
        <w:t>application</w:t>
      </w:r>
      <w:r w:rsidRPr="003D30F2">
        <w:rPr>
          <w:rFonts w:asciiTheme="minorHAnsi" w:hAnsiTheme="minorHAnsi" w:cstheme="minorHAnsi"/>
          <w:spacing w:val="-4"/>
        </w:rPr>
        <w:t xml:space="preserve"> </w:t>
      </w:r>
      <w:r w:rsidRPr="003D30F2">
        <w:rPr>
          <w:rFonts w:asciiTheme="minorHAnsi" w:hAnsiTheme="minorHAnsi" w:cstheme="minorHAnsi"/>
        </w:rPr>
        <w:t>for</w:t>
      </w:r>
      <w:r w:rsidRPr="003D30F2">
        <w:rPr>
          <w:rFonts w:asciiTheme="minorHAnsi" w:hAnsiTheme="minorHAnsi" w:cstheme="minorHAnsi"/>
          <w:spacing w:val="-6"/>
        </w:rPr>
        <w:t xml:space="preserve"> </w:t>
      </w:r>
      <w:r w:rsidRPr="003D30F2">
        <w:rPr>
          <w:rFonts w:asciiTheme="minorHAnsi" w:hAnsiTheme="minorHAnsi" w:cstheme="minorHAnsi"/>
        </w:rPr>
        <w:t>development</w:t>
      </w:r>
      <w:r w:rsidRPr="003D30F2">
        <w:rPr>
          <w:rFonts w:asciiTheme="minorHAnsi" w:hAnsiTheme="minorHAnsi" w:cstheme="minorHAnsi"/>
          <w:spacing w:val="-5"/>
        </w:rPr>
        <w:t xml:space="preserve"> </w:t>
      </w:r>
      <w:r w:rsidRPr="003D30F2">
        <w:rPr>
          <w:rFonts w:asciiTheme="minorHAnsi" w:hAnsiTheme="minorHAnsi" w:cstheme="minorHAnsi"/>
        </w:rPr>
        <w:t>approval</w:t>
      </w:r>
      <w:r w:rsidRPr="003D30F2">
        <w:rPr>
          <w:rFonts w:asciiTheme="minorHAnsi" w:hAnsiTheme="minorHAnsi" w:cstheme="minorHAnsi"/>
          <w:spacing w:val="-6"/>
        </w:rPr>
        <w:t xml:space="preserve"> </w:t>
      </w:r>
      <w:r w:rsidRPr="003D30F2">
        <w:rPr>
          <w:rFonts w:asciiTheme="minorHAnsi" w:hAnsiTheme="minorHAnsi" w:cstheme="minorHAnsi"/>
        </w:rPr>
        <w:t>is</w:t>
      </w:r>
      <w:r w:rsidRPr="003D30F2">
        <w:rPr>
          <w:rFonts w:asciiTheme="minorHAnsi" w:hAnsiTheme="minorHAnsi" w:cstheme="minorHAnsi"/>
          <w:spacing w:val="-4"/>
        </w:rPr>
        <w:t xml:space="preserve"> </w:t>
      </w:r>
      <w:r w:rsidRPr="003D30F2">
        <w:rPr>
          <w:rFonts w:asciiTheme="minorHAnsi" w:hAnsiTheme="minorHAnsi" w:cstheme="minorHAnsi"/>
        </w:rPr>
        <w:t>required</w:t>
      </w:r>
      <w:r w:rsidRPr="003D30F2">
        <w:rPr>
          <w:rFonts w:asciiTheme="minorHAnsi" w:hAnsiTheme="minorHAnsi" w:cstheme="minorHAnsi"/>
          <w:spacing w:val="-6"/>
        </w:rPr>
        <w:t xml:space="preserve"> </w:t>
      </w:r>
      <w:r w:rsidRPr="003D30F2">
        <w:rPr>
          <w:rFonts w:asciiTheme="minorHAnsi" w:hAnsiTheme="minorHAnsi" w:cstheme="minorHAnsi"/>
        </w:rPr>
        <w:t>for</w:t>
      </w:r>
      <w:r w:rsidRPr="003D30F2">
        <w:rPr>
          <w:rFonts w:asciiTheme="minorHAnsi" w:hAnsiTheme="minorHAnsi" w:cstheme="minorHAnsi"/>
          <w:spacing w:val="-4"/>
        </w:rPr>
        <w:t xml:space="preserve"> </w:t>
      </w:r>
      <w:r w:rsidRPr="003D30F2">
        <w:rPr>
          <w:rFonts w:asciiTheme="minorHAnsi" w:hAnsiTheme="minorHAnsi" w:cstheme="minorHAnsi"/>
        </w:rPr>
        <w:t>all</w:t>
      </w:r>
      <w:r w:rsidRPr="003D30F2">
        <w:rPr>
          <w:rFonts w:asciiTheme="minorHAnsi" w:hAnsiTheme="minorHAnsi" w:cstheme="minorHAnsi"/>
          <w:spacing w:val="-4"/>
        </w:rPr>
        <w:t xml:space="preserve"> </w:t>
      </w:r>
      <w:r w:rsidRPr="003D30F2">
        <w:rPr>
          <w:rFonts w:asciiTheme="minorHAnsi" w:hAnsiTheme="minorHAnsi" w:cstheme="minorHAnsi"/>
        </w:rPr>
        <w:t>development within a Heritage Area. The exception to this relates to the carrying out of internal building works which not do materially affect the external appearance of the building, unless the development is located</w:t>
      </w:r>
      <w:r w:rsidRPr="003D30F2">
        <w:rPr>
          <w:rFonts w:asciiTheme="minorHAnsi" w:hAnsiTheme="minorHAnsi" w:cstheme="minorHAnsi"/>
          <w:spacing w:val="-8"/>
        </w:rPr>
        <w:t xml:space="preserve"> </w:t>
      </w:r>
      <w:r w:rsidRPr="003D30F2">
        <w:rPr>
          <w:rFonts w:asciiTheme="minorHAnsi" w:hAnsiTheme="minorHAnsi" w:cstheme="minorHAnsi"/>
        </w:rPr>
        <w:t>in</w:t>
      </w:r>
      <w:r w:rsidRPr="003D30F2">
        <w:rPr>
          <w:rFonts w:asciiTheme="minorHAnsi" w:hAnsiTheme="minorHAnsi" w:cstheme="minorHAnsi"/>
          <w:spacing w:val="-11"/>
        </w:rPr>
        <w:t xml:space="preserve"> </w:t>
      </w:r>
      <w:r w:rsidRPr="003D30F2">
        <w:rPr>
          <w:rFonts w:asciiTheme="minorHAnsi" w:hAnsiTheme="minorHAnsi" w:cstheme="minorHAnsi"/>
        </w:rPr>
        <w:t>a</w:t>
      </w:r>
      <w:r w:rsidRPr="003D30F2">
        <w:rPr>
          <w:rFonts w:asciiTheme="minorHAnsi" w:hAnsiTheme="minorHAnsi" w:cstheme="minorHAnsi"/>
          <w:spacing w:val="-9"/>
        </w:rPr>
        <w:t xml:space="preserve"> </w:t>
      </w:r>
      <w:r w:rsidRPr="003D30F2">
        <w:rPr>
          <w:rFonts w:asciiTheme="minorHAnsi" w:hAnsiTheme="minorHAnsi" w:cstheme="minorHAnsi"/>
        </w:rPr>
        <w:t>place</w:t>
      </w:r>
      <w:r w:rsidRPr="003D30F2">
        <w:rPr>
          <w:rFonts w:asciiTheme="minorHAnsi" w:hAnsiTheme="minorHAnsi" w:cstheme="minorHAnsi"/>
          <w:spacing w:val="-12"/>
        </w:rPr>
        <w:t xml:space="preserve"> </w:t>
      </w:r>
      <w:r w:rsidRPr="003D30F2">
        <w:rPr>
          <w:rFonts w:asciiTheme="minorHAnsi" w:hAnsiTheme="minorHAnsi" w:cstheme="minorHAnsi"/>
        </w:rPr>
        <w:t>that</w:t>
      </w:r>
      <w:r w:rsidRPr="003D30F2">
        <w:rPr>
          <w:rFonts w:asciiTheme="minorHAnsi" w:hAnsiTheme="minorHAnsi" w:cstheme="minorHAnsi"/>
          <w:spacing w:val="-9"/>
        </w:rPr>
        <w:t xml:space="preserve"> </w:t>
      </w:r>
      <w:r w:rsidRPr="003D30F2">
        <w:rPr>
          <w:rFonts w:asciiTheme="minorHAnsi" w:hAnsiTheme="minorHAnsi" w:cstheme="minorHAnsi"/>
        </w:rPr>
        <w:t>is</w:t>
      </w:r>
      <w:r w:rsidRPr="003D30F2">
        <w:rPr>
          <w:rFonts w:asciiTheme="minorHAnsi" w:hAnsiTheme="minorHAnsi" w:cstheme="minorHAnsi"/>
          <w:spacing w:val="-13"/>
        </w:rPr>
        <w:t xml:space="preserve"> </w:t>
      </w:r>
      <w:r w:rsidRPr="003D30F2">
        <w:rPr>
          <w:rFonts w:asciiTheme="minorHAnsi" w:hAnsiTheme="minorHAnsi" w:cstheme="minorHAnsi"/>
        </w:rPr>
        <w:t>listed</w:t>
      </w:r>
      <w:r w:rsidRPr="003D30F2">
        <w:rPr>
          <w:rFonts w:asciiTheme="minorHAnsi" w:hAnsiTheme="minorHAnsi" w:cstheme="minorHAnsi"/>
          <w:spacing w:val="-8"/>
        </w:rPr>
        <w:t xml:space="preserve"> </w:t>
      </w:r>
      <w:r w:rsidRPr="003D30F2">
        <w:rPr>
          <w:rFonts w:asciiTheme="minorHAnsi" w:hAnsiTheme="minorHAnsi" w:cstheme="minorHAnsi"/>
        </w:rPr>
        <w:t>on</w:t>
      </w:r>
      <w:r w:rsidRPr="003D30F2">
        <w:rPr>
          <w:rFonts w:asciiTheme="minorHAnsi" w:hAnsiTheme="minorHAnsi" w:cstheme="minorHAnsi"/>
          <w:spacing w:val="-11"/>
        </w:rPr>
        <w:t xml:space="preserve"> </w:t>
      </w:r>
      <w:r w:rsidRPr="003D30F2">
        <w:rPr>
          <w:rFonts w:asciiTheme="minorHAnsi" w:hAnsiTheme="minorHAnsi" w:cstheme="minorHAnsi"/>
        </w:rPr>
        <w:t>the</w:t>
      </w:r>
      <w:r w:rsidRPr="003D30F2">
        <w:rPr>
          <w:rFonts w:asciiTheme="minorHAnsi" w:hAnsiTheme="minorHAnsi" w:cstheme="minorHAnsi"/>
          <w:spacing w:val="-11"/>
        </w:rPr>
        <w:t xml:space="preserve"> </w:t>
      </w:r>
      <w:r w:rsidRPr="003D30F2">
        <w:rPr>
          <w:rFonts w:asciiTheme="minorHAnsi" w:hAnsiTheme="minorHAnsi" w:cstheme="minorHAnsi"/>
        </w:rPr>
        <w:t>State</w:t>
      </w:r>
      <w:r w:rsidRPr="003D30F2">
        <w:rPr>
          <w:rFonts w:asciiTheme="minorHAnsi" w:hAnsiTheme="minorHAnsi" w:cstheme="minorHAnsi"/>
          <w:spacing w:val="-8"/>
        </w:rPr>
        <w:t xml:space="preserve"> </w:t>
      </w:r>
      <w:r w:rsidRPr="003D30F2">
        <w:rPr>
          <w:rFonts w:asciiTheme="minorHAnsi" w:hAnsiTheme="minorHAnsi" w:cstheme="minorHAnsi"/>
        </w:rPr>
        <w:t>Heritage</w:t>
      </w:r>
      <w:r w:rsidRPr="003D30F2">
        <w:rPr>
          <w:rFonts w:asciiTheme="minorHAnsi" w:hAnsiTheme="minorHAnsi" w:cstheme="minorHAnsi"/>
          <w:spacing w:val="-12"/>
        </w:rPr>
        <w:t xml:space="preserve"> </w:t>
      </w:r>
      <w:r w:rsidRPr="003D30F2">
        <w:rPr>
          <w:rFonts w:asciiTheme="minorHAnsi" w:hAnsiTheme="minorHAnsi" w:cstheme="minorHAnsi"/>
        </w:rPr>
        <w:t>Register;</w:t>
      </w:r>
      <w:r w:rsidRPr="003D30F2">
        <w:rPr>
          <w:rFonts w:asciiTheme="minorHAnsi" w:hAnsiTheme="minorHAnsi" w:cstheme="minorHAnsi"/>
          <w:spacing w:val="-9"/>
        </w:rPr>
        <w:t xml:space="preserve"> </w:t>
      </w:r>
      <w:r w:rsidRPr="003D30F2">
        <w:rPr>
          <w:rFonts w:asciiTheme="minorHAnsi" w:hAnsiTheme="minorHAnsi" w:cstheme="minorHAnsi"/>
        </w:rPr>
        <w:t>is</w:t>
      </w:r>
      <w:r w:rsidRPr="003D30F2">
        <w:rPr>
          <w:rFonts w:asciiTheme="minorHAnsi" w:hAnsiTheme="minorHAnsi" w:cstheme="minorHAnsi"/>
          <w:spacing w:val="-8"/>
        </w:rPr>
        <w:t xml:space="preserve"> </w:t>
      </w:r>
      <w:r w:rsidRPr="003D30F2">
        <w:rPr>
          <w:rFonts w:asciiTheme="minorHAnsi" w:hAnsiTheme="minorHAnsi" w:cstheme="minorHAnsi"/>
        </w:rPr>
        <w:t>subject</w:t>
      </w:r>
      <w:r w:rsidRPr="003D30F2">
        <w:rPr>
          <w:rFonts w:asciiTheme="minorHAnsi" w:hAnsiTheme="minorHAnsi" w:cstheme="minorHAnsi"/>
          <w:spacing w:val="-9"/>
        </w:rPr>
        <w:t xml:space="preserve"> </w:t>
      </w:r>
      <w:r w:rsidRPr="003D30F2">
        <w:rPr>
          <w:rFonts w:asciiTheme="minorHAnsi" w:hAnsiTheme="minorHAnsi" w:cstheme="minorHAnsi"/>
        </w:rPr>
        <w:t>of</w:t>
      </w:r>
      <w:r w:rsidRPr="003D30F2">
        <w:rPr>
          <w:rFonts w:asciiTheme="minorHAnsi" w:hAnsiTheme="minorHAnsi" w:cstheme="minorHAnsi"/>
          <w:spacing w:val="-11"/>
        </w:rPr>
        <w:t xml:space="preserve"> </w:t>
      </w:r>
      <w:r w:rsidRPr="003D30F2">
        <w:rPr>
          <w:rFonts w:asciiTheme="minorHAnsi" w:hAnsiTheme="minorHAnsi" w:cstheme="minorHAnsi"/>
        </w:rPr>
        <w:t>an</w:t>
      </w:r>
      <w:r w:rsidRPr="003D30F2">
        <w:rPr>
          <w:rFonts w:asciiTheme="minorHAnsi" w:hAnsiTheme="minorHAnsi" w:cstheme="minorHAnsi"/>
          <w:spacing w:val="-10"/>
        </w:rPr>
        <w:t xml:space="preserve"> </w:t>
      </w:r>
      <w:r w:rsidRPr="003D30F2">
        <w:rPr>
          <w:rFonts w:asciiTheme="minorHAnsi" w:hAnsiTheme="minorHAnsi" w:cstheme="minorHAnsi"/>
        </w:rPr>
        <w:t>order</w:t>
      </w:r>
      <w:r w:rsidRPr="003D30F2">
        <w:rPr>
          <w:rFonts w:asciiTheme="minorHAnsi" w:hAnsiTheme="minorHAnsi" w:cstheme="minorHAnsi"/>
          <w:spacing w:val="-10"/>
        </w:rPr>
        <w:t xml:space="preserve"> </w:t>
      </w:r>
      <w:r w:rsidRPr="003D30F2">
        <w:rPr>
          <w:rFonts w:asciiTheme="minorHAnsi" w:hAnsiTheme="minorHAnsi" w:cstheme="minorHAnsi"/>
        </w:rPr>
        <w:t>under</w:t>
      </w:r>
      <w:r w:rsidRPr="003D30F2">
        <w:rPr>
          <w:rFonts w:asciiTheme="minorHAnsi" w:hAnsiTheme="minorHAnsi" w:cstheme="minorHAnsi"/>
          <w:spacing w:val="-8"/>
        </w:rPr>
        <w:t xml:space="preserve"> </w:t>
      </w:r>
      <w:r w:rsidRPr="003D30F2">
        <w:rPr>
          <w:rFonts w:asciiTheme="minorHAnsi" w:hAnsiTheme="minorHAnsi" w:cstheme="minorHAnsi"/>
        </w:rPr>
        <w:t>the</w:t>
      </w:r>
      <w:r w:rsidRPr="003D30F2">
        <w:rPr>
          <w:rFonts w:asciiTheme="minorHAnsi" w:hAnsiTheme="minorHAnsi" w:cstheme="minorHAnsi"/>
          <w:spacing w:val="-10"/>
        </w:rPr>
        <w:t xml:space="preserve"> </w:t>
      </w:r>
      <w:r w:rsidRPr="003D30F2">
        <w:rPr>
          <w:rFonts w:asciiTheme="minorHAnsi" w:hAnsiTheme="minorHAnsi" w:cstheme="minorHAnsi"/>
          <w:i/>
        </w:rPr>
        <w:t>Heritage Act 2018</w:t>
      </w:r>
      <w:r w:rsidRPr="003D30F2">
        <w:rPr>
          <w:rFonts w:asciiTheme="minorHAnsi" w:hAnsiTheme="minorHAnsi" w:cstheme="minorHAnsi"/>
        </w:rPr>
        <w:t>; included on the local planning scheme heritage list as having an interior with cultural heritage significance; or the subject of a heritage</w:t>
      </w:r>
      <w:r w:rsidRPr="003D30F2">
        <w:rPr>
          <w:rFonts w:asciiTheme="minorHAnsi" w:hAnsiTheme="minorHAnsi" w:cstheme="minorHAnsi"/>
          <w:spacing w:val="-13"/>
        </w:rPr>
        <w:t xml:space="preserve"> </w:t>
      </w:r>
      <w:r w:rsidRPr="003D30F2">
        <w:rPr>
          <w:rFonts w:asciiTheme="minorHAnsi" w:hAnsiTheme="minorHAnsi" w:cstheme="minorHAnsi"/>
        </w:rPr>
        <w:t>agreement.</w:t>
      </w:r>
    </w:p>
    <w:p w14:paraId="50895B36" w14:textId="77777777" w:rsidR="00665A13" w:rsidRPr="003D30F2" w:rsidRDefault="00665A13" w:rsidP="003D30F2">
      <w:pPr>
        <w:pStyle w:val="BodyText"/>
        <w:spacing w:before="200" w:after="200"/>
        <w:ind w:left="0" w:right="-29"/>
        <w:jc w:val="both"/>
        <w:rPr>
          <w:rFonts w:asciiTheme="minorHAnsi" w:hAnsiTheme="minorHAnsi" w:cstheme="minorHAnsi"/>
        </w:rPr>
      </w:pPr>
      <w:r w:rsidRPr="003D30F2">
        <w:rPr>
          <w:rFonts w:asciiTheme="minorHAnsi" w:hAnsiTheme="minorHAnsi" w:cstheme="minorHAnsi"/>
        </w:rPr>
        <w:t>This Local Planning Policy provides a comprehensive basis for the control of all types of development within the George Street Heritage Area including (but is not limited to) demolition, the conservation of existing buildings, additions to existing buildings, new development, landscaping, street fencing, carports and garages. This policy includes a set of development guidelines and seeks to preserve and enhance</w:t>
      </w:r>
      <w:r w:rsidRPr="003D30F2">
        <w:rPr>
          <w:rFonts w:asciiTheme="minorHAnsi" w:hAnsiTheme="minorHAnsi" w:cstheme="minorHAnsi"/>
          <w:spacing w:val="-4"/>
        </w:rPr>
        <w:t xml:space="preserve"> </w:t>
      </w:r>
      <w:r w:rsidRPr="003D30F2">
        <w:rPr>
          <w:rFonts w:asciiTheme="minorHAnsi" w:hAnsiTheme="minorHAnsi" w:cstheme="minorHAnsi"/>
        </w:rPr>
        <w:t>the</w:t>
      </w:r>
      <w:r w:rsidRPr="003D30F2">
        <w:rPr>
          <w:rFonts w:asciiTheme="minorHAnsi" w:hAnsiTheme="minorHAnsi" w:cstheme="minorHAnsi"/>
          <w:spacing w:val="-3"/>
        </w:rPr>
        <w:t xml:space="preserve"> </w:t>
      </w:r>
      <w:r w:rsidRPr="003D30F2">
        <w:rPr>
          <w:rFonts w:asciiTheme="minorHAnsi" w:hAnsiTheme="minorHAnsi" w:cstheme="minorHAnsi"/>
        </w:rPr>
        <w:t>established</w:t>
      </w:r>
      <w:r w:rsidRPr="003D30F2">
        <w:rPr>
          <w:rFonts w:asciiTheme="minorHAnsi" w:hAnsiTheme="minorHAnsi" w:cstheme="minorHAnsi"/>
          <w:spacing w:val="-5"/>
        </w:rPr>
        <w:t xml:space="preserve"> </w:t>
      </w:r>
      <w:r w:rsidRPr="003D30F2">
        <w:rPr>
          <w:rFonts w:asciiTheme="minorHAnsi" w:hAnsiTheme="minorHAnsi" w:cstheme="minorHAnsi"/>
        </w:rPr>
        <w:t>character</w:t>
      </w:r>
      <w:r w:rsidRPr="003D30F2">
        <w:rPr>
          <w:rFonts w:asciiTheme="minorHAnsi" w:hAnsiTheme="minorHAnsi" w:cstheme="minorHAnsi"/>
          <w:spacing w:val="-3"/>
        </w:rPr>
        <w:t xml:space="preserve"> </w:t>
      </w:r>
      <w:r w:rsidRPr="003D30F2">
        <w:rPr>
          <w:rFonts w:asciiTheme="minorHAnsi" w:hAnsiTheme="minorHAnsi" w:cstheme="minorHAnsi"/>
        </w:rPr>
        <w:t>and</w:t>
      </w:r>
      <w:r w:rsidRPr="003D30F2">
        <w:rPr>
          <w:rFonts w:asciiTheme="minorHAnsi" w:hAnsiTheme="minorHAnsi" w:cstheme="minorHAnsi"/>
          <w:spacing w:val="-4"/>
        </w:rPr>
        <w:t xml:space="preserve"> </w:t>
      </w:r>
      <w:r w:rsidRPr="003D30F2">
        <w:rPr>
          <w:rFonts w:asciiTheme="minorHAnsi" w:hAnsiTheme="minorHAnsi" w:cstheme="minorHAnsi"/>
        </w:rPr>
        <w:t>amenity</w:t>
      </w:r>
      <w:r w:rsidRPr="003D30F2">
        <w:rPr>
          <w:rFonts w:asciiTheme="minorHAnsi" w:hAnsiTheme="minorHAnsi" w:cstheme="minorHAnsi"/>
          <w:spacing w:val="-6"/>
        </w:rPr>
        <w:t xml:space="preserve"> </w:t>
      </w:r>
      <w:r w:rsidRPr="003D30F2">
        <w:rPr>
          <w:rFonts w:asciiTheme="minorHAnsi" w:hAnsiTheme="minorHAnsi" w:cstheme="minorHAnsi"/>
        </w:rPr>
        <w:t>of</w:t>
      </w:r>
      <w:r w:rsidRPr="003D30F2">
        <w:rPr>
          <w:rFonts w:asciiTheme="minorHAnsi" w:hAnsiTheme="minorHAnsi" w:cstheme="minorHAnsi"/>
          <w:spacing w:val="-4"/>
        </w:rPr>
        <w:t xml:space="preserve"> </w:t>
      </w:r>
      <w:r w:rsidRPr="003D30F2">
        <w:rPr>
          <w:rFonts w:asciiTheme="minorHAnsi" w:hAnsiTheme="minorHAnsi" w:cstheme="minorHAnsi"/>
        </w:rPr>
        <w:t>the</w:t>
      </w:r>
      <w:r w:rsidRPr="003D30F2">
        <w:rPr>
          <w:rFonts w:asciiTheme="minorHAnsi" w:hAnsiTheme="minorHAnsi" w:cstheme="minorHAnsi"/>
          <w:spacing w:val="-5"/>
        </w:rPr>
        <w:t xml:space="preserve"> </w:t>
      </w:r>
      <w:r w:rsidRPr="003D30F2">
        <w:rPr>
          <w:rFonts w:asciiTheme="minorHAnsi" w:hAnsiTheme="minorHAnsi" w:cstheme="minorHAnsi"/>
        </w:rPr>
        <w:t>George</w:t>
      </w:r>
      <w:r w:rsidRPr="003D30F2">
        <w:rPr>
          <w:rFonts w:asciiTheme="minorHAnsi" w:hAnsiTheme="minorHAnsi" w:cstheme="minorHAnsi"/>
          <w:spacing w:val="-4"/>
        </w:rPr>
        <w:t xml:space="preserve"> </w:t>
      </w:r>
      <w:r w:rsidRPr="003D30F2">
        <w:rPr>
          <w:rFonts w:asciiTheme="minorHAnsi" w:hAnsiTheme="minorHAnsi" w:cstheme="minorHAnsi"/>
        </w:rPr>
        <w:t>Street</w:t>
      </w:r>
      <w:r w:rsidRPr="003D30F2">
        <w:rPr>
          <w:rFonts w:asciiTheme="minorHAnsi" w:hAnsiTheme="minorHAnsi" w:cstheme="minorHAnsi"/>
          <w:spacing w:val="-2"/>
        </w:rPr>
        <w:t xml:space="preserve"> </w:t>
      </w:r>
      <w:r w:rsidRPr="003D30F2">
        <w:rPr>
          <w:rFonts w:asciiTheme="minorHAnsi" w:hAnsiTheme="minorHAnsi" w:cstheme="minorHAnsi"/>
        </w:rPr>
        <w:t>Heritage</w:t>
      </w:r>
      <w:r w:rsidRPr="003D30F2">
        <w:rPr>
          <w:rFonts w:asciiTheme="minorHAnsi" w:hAnsiTheme="minorHAnsi" w:cstheme="minorHAnsi"/>
          <w:spacing w:val="-3"/>
        </w:rPr>
        <w:t xml:space="preserve"> </w:t>
      </w:r>
      <w:r w:rsidRPr="003D30F2">
        <w:rPr>
          <w:rFonts w:asciiTheme="minorHAnsi" w:hAnsiTheme="minorHAnsi" w:cstheme="minorHAnsi"/>
        </w:rPr>
        <w:t>Area</w:t>
      </w:r>
      <w:r w:rsidRPr="003D30F2">
        <w:rPr>
          <w:rFonts w:asciiTheme="minorHAnsi" w:hAnsiTheme="minorHAnsi" w:cstheme="minorHAnsi"/>
          <w:spacing w:val="-6"/>
        </w:rPr>
        <w:t xml:space="preserve"> </w:t>
      </w:r>
      <w:r w:rsidRPr="003D30F2">
        <w:rPr>
          <w:rFonts w:asciiTheme="minorHAnsi" w:hAnsiTheme="minorHAnsi" w:cstheme="minorHAnsi"/>
        </w:rPr>
        <w:t>while</w:t>
      </w:r>
      <w:r w:rsidRPr="003D30F2">
        <w:rPr>
          <w:rFonts w:asciiTheme="minorHAnsi" w:hAnsiTheme="minorHAnsi" w:cstheme="minorHAnsi"/>
          <w:spacing w:val="-3"/>
        </w:rPr>
        <w:t xml:space="preserve"> </w:t>
      </w:r>
      <w:r w:rsidRPr="003D30F2">
        <w:rPr>
          <w:rFonts w:asciiTheme="minorHAnsi" w:hAnsiTheme="minorHAnsi" w:cstheme="minorHAnsi"/>
        </w:rPr>
        <w:t>allowing</w:t>
      </w:r>
      <w:r w:rsidRPr="003D30F2">
        <w:rPr>
          <w:rFonts w:asciiTheme="minorHAnsi" w:hAnsiTheme="minorHAnsi" w:cstheme="minorHAnsi"/>
          <w:spacing w:val="-5"/>
        </w:rPr>
        <w:t xml:space="preserve"> </w:t>
      </w:r>
      <w:r w:rsidRPr="003D30F2">
        <w:rPr>
          <w:rFonts w:asciiTheme="minorHAnsi" w:hAnsiTheme="minorHAnsi" w:cstheme="minorHAnsi"/>
        </w:rPr>
        <w:t>for new development that meets the changing needs of the community and adaptation of heritage buildings.</w:t>
      </w:r>
    </w:p>
    <w:p w14:paraId="407D0DCB" w14:textId="77777777" w:rsidR="00665A13" w:rsidRPr="003D30F2" w:rsidRDefault="00665A13" w:rsidP="003D30F2">
      <w:pPr>
        <w:spacing w:after="0"/>
        <w:rPr>
          <w:b/>
        </w:rPr>
      </w:pPr>
      <w:bookmarkStart w:id="547" w:name="_TOC_250018"/>
      <w:bookmarkEnd w:id="547"/>
      <w:r w:rsidRPr="003D30F2">
        <w:rPr>
          <w:b/>
        </w:rPr>
        <w:t>RELATIONSHIP TO OTHER DOCUMENTS</w:t>
      </w:r>
    </w:p>
    <w:p w14:paraId="18870329" w14:textId="77777777" w:rsidR="00665A13" w:rsidRPr="003D30F2" w:rsidRDefault="00665A13" w:rsidP="003D30F2">
      <w:pPr>
        <w:pStyle w:val="BodyText"/>
        <w:spacing w:after="200"/>
        <w:ind w:left="0"/>
        <w:jc w:val="both"/>
        <w:rPr>
          <w:rFonts w:asciiTheme="minorHAnsi" w:hAnsiTheme="minorHAnsi" w:cstheme="minorHAnsi"/>
        </w:rPr>
      </w:pPr>
      <w:r w:rsidRPr="003D30F2">
        <w:rPr>
          <w:rFonts w:asciiTheme="minorHAnsi" w:hAnsiTheme="minorHAnsi" w:cstheme="minorHAnsi"/>
        </w:rPr>
        <w:t>This Local Planning Policy forms part of the Town of East Fremantle local planning policy framework.</w:t>
      </w:r>
    </w:p>
    <w:p w14:paraId="0E90EA47" w14:textId="77777777" w:rsidR="00665A13" w:rsidRPr="003D30F2" w:rsidRDefault="00665A13" w:rsidP="003D30F2">
      <w:pPr>
        <w:pStyle w:val="BodyText"/>
        <w:spacing w:before="1"/>
        <w:ind w:left="0"/>
        <w:jc w:val="both"/>
        <w:rPr>
          <w:rFonts w:asciiTheme="minorHAnsi" w:hAnsiTheme="minorHAnsi" w:cstheme="minorHAnsi"/>
        </w:rPr>
      </w:pPr>
      <w:r w:rsidRPr="003D30F2">
        <w:rPr>
          <w:rFonts w:asciiTheme="minorHAnsi" w:hAnsiTheme="minorHAnsi" w:cstheme="minorHAnsi"/>
        </w:rPr>
        <w:t>Where this Policy is inconsistent with:</w:t>
      </w:r>
    </w:p>
    <w:p w14:paraId="687869FA" w14:textId="77777777" w:rsidR="00665A13" w:rsidRDefault="00665A13" w:rsidP="002A3889">
      <w:pPr>
        <w:pStyle w:val="ListParagraph"/>
        <w:widowControl w:val="0"/>
        <w:numPr>
          <w:ilvl w:val="0"/>
          <w:numId w:val="418"/>
        </w:numPr>
        <w:tabs>
          <w:tab w:val="left" w:pos="480"/>
        </w:tabs>
        <w:autoSpaceDE w:val="0"/>
        <w:autoSpaceDN w:val="0"/>
        <w:spacing w:after="60" w:line="240" w:lineRule="auto"/>
        <w:ind w:left="476" w:right="112" w:hanging="357"/>
        <w:contextualSpacing w:val="0"/>
        <w:jc w:val="both"/>
      </w:pPr>
      <w:r>
        <w:t xml:space="preserve">The Town of East Fremantle Local Planning Scheme No. 3 (which includes Schedule 2 - Deemed provisions for local planning schemes of the </w:t>
      </w:r>
      <w:r>
        <w:rPr>
          <w:i/>
        </w:rPr>
        <w:t>Planning and Development (Local Planning Schemes) Regulations 2015</w:t>
      </w:r>
      <w:r>
        <w:t>, the local planning scheme</w:t>
      </w:r>
      <w:r>
        <w:rPr>
          <w:spacing w:val="-7"/>
        </w:rPr>
        <w:t xml:space="preserve"> </w:t>
      </w:r>
      <w:proofErr w:type="gramStart"/>
      <w:r>
        <w:t>prevails;</w:t>
      </w:r>
      <w:proofErr w:type="gramEnd"/>
    </w:p>
    <w:p w14:paraId="6E8680E5" w14:textId="77777777" w:rsidR="00665A13" w:rsidRDefault="00665A13" w:rsidP="002A3889">
      <w:pPr>
        <w:pStyle w:val="ListParagraph"/>
        <w:widowControl w:val="0"/>
        <w:numPr>
          <w:ilvl w:val="0"/>
          <w:numId w:val="418"/>
        </w:numPr>
        <w:tabs>
          <w:tab w:val="left" w:pos="480"/>
        </w:tabs>
        <w:autoSpaceDE w:val="0"/>
        <w:autoSpaceDN w:val="0"/>
        <w:spacing w:after="60" w:line="240" w:lineRule="auto"/>
        <w:ind w:left="476" w:right="112" w:hanging="357"/>
        <w:contextualSpacing w:val="0"/>
        <w:jc w:val="both"/>
      </w:pPr>
      <w:r>
        <w:lastRenderedPageBreak/>
        <w:t>Notwithstanding the dot point above, this George Street Heritage Area replaces the area known as the “George Street Precinct” as listed in the Local Planning Scheme No. 3 Heritage</w:t>
      </w:r>
      <w:r>
        <w:rPr>
          <w:spacing w:val="-28"/>
        </w:rPr>
        <w:t xml:space="preserve"> </w:t>
      </w:r>
      <w:proofErr w:type="gramStart"/>
      <w:r>
        <w:t>List;</w:t>
      </w:r>
      <w:proofErr w:type="gramEnd"/>
    </w:p>
    <w:p w14:paraId="390BD2AB" w14:textId="77777777" w:rsidR="00665A13" w:rsidRDefault="00665A13" w:rsidP="002A3889">
      <w:pPr>
        <w:pStyle w:val="ListParagraph"/>
        <w:widowControl w:val="0"/>
        <w:numPr>
          <w:ilvl w:val="0"/>
          <w:numId w:val="418"/>
        </w:numPr>
        <w:tabs>
          <w:tab w:val="left" w:pos="480"/>
        </w:tabs>
        <w:autoSpaceDE w:val="0"/>
        <w:autoSpaceDN w:val="0"/>
        <w:spacing w:after="60" w:line="240" w:lineRule="auto"/>
        <w:ind w:left="476" w:right="112" w:hanging="357"/>
        <w:contextualSpacing w:val="0"/>
        <w:jc w:val="both"/>
      </w:pPr>
      <w:r>
        <w:t xml:space="preserve">Local Planning Policy 3.1.1 - Residential Design Guidelines (LPP 3.1.1), this local planning policy </w:t>
      </w:r>
      <w:proofErr w:type="gramStart"/>
      <w:r>
        <w:t>prevails;</w:t>
      </w:r>
      <w:proofErr w:type="gramEnd"/>
    </w:p>
    <w:p w14:paraId="159DBF2B" w14:textId="77777777" w:rsidR="00665A13" w:rsidRDefault="00665A13" w:rsidP="002A3889">
      <w:pPr>
        <w:pStyle w:val="ListParagraph"/>
        <w:widowControl w:val="0"/>
        <w:numPr>
          <w:ilvl w:val="0"/>
          <w:numId w:val="418"/>
        </w:numPr>
        <w:tabs>
          <w:tab w:val="left" w:pos="480"/>
        </w:tabs>
        <w:autoSpaceDE w:val="0"/>
        <w:autoSpaceDN w:val="0"/>
        <w:spacing w:after="60" w:line="279" w:lineRule="exact"/>
        <w:ind w:left="476" w:right="112" w:hanging="357"/>
        <w:contextualSpacing w:val="0"/>
        <w:jc w:val="both"/>
      </w:pPr>
      <w:r>
        <w:t>Other local planning policies or local laws, this local planning policy</w:t>
      </w:r>
      <w:r>
        <w:rPr>
          <w:spacing w:val="-16"/>
        </w:rPr>
        <w:t xml:space="preserve"> </w:t>
      </w:r>
      <w:proofErr w:type="gramStart"/>
      <w:r>
        <w:t>prevails;</w:t>
      </w:r>
      <w:proofErr w:type="gramEnd"/>
    </w:p>
    <w:p w14:paraId="5FBB8E50" w14:textId="77777777" w:rsidR="00665A13" w:rsidRDefault="00665A13" w:rsidP="002A3889">
      <w:pPr>
        <w:pStyle w:val="ListParagraph"/>
        <w:widowControl w:val="0"/>
        <w:numPr>
          <w:ilvl w:val="0"/>
          <w:numId w:val="418"/>
        </w:numPr>
        <w:tabs>
          <w:tab w:val="left" w:pos="480"/>
        </w:tabs>
        <w:autoSpaceDE w:val="0"/>
        <w:autoSpaceDN w:val="0"/>
        <w:spacing w:after="60" w:line="240" w:lineRule="auto"/>
        <w:ind w:left="476" w:right="112" w:hanging="357"/>
        <w:contextualSpacing w:val="0"/>
        <w:jc w:val="both"/>
      </w:pPr>
      <w:r>
        <w:t xml:space="preserve">Any ‘Deemed to Comply’ provisions that are permitted to be amended or replaced under Clause 7.3.1(a) of </w:t>
      </w:r>
      <w:r>
        <w:rPr>
          <w:i/>
        </w:rPr>
        <w:t>State Planning Policy 7.3 - Residential Design Codes Volume 1</w:t>
      </w:r>
      <w:r>
        <w:t>, the provisions of this local planning policy</w:t>
      </w:r>
      <w:r>
        <w:rPr>
          <w:spacing w:val="-3"/>
        </w:rPr>
        <w:t xml:space="preserve"> </w:t>
      </w:r>
      <w:proofErr w:type="gramStart"/>
      <w:r>
        <w:t>prevails;</w:t>
      </w:r>
      <w:proofErr w:type="gramEnd"/>
    </w:p>
    <w:p w14:paraId="394F8E05" w14:textId="77777777" w:rsidR="00665A13" w:rsidRDefault="00665A13" w:rsidP="002A3889">
      <w:pPr>
        <w:pStyle w:val="ListParagraph"/>
        <w:widowControl w:val="0"/>
        <w:numPr>
          <w:ilvl w:val="0"/>
          <w:numId w:val="418"/>
        </w:numPr>
        <w:tabs>
          <w:tab w:val="left" w:pos="480"/>
        </w:tabs>
        <w:autoSpaceDE w:val="0"/>
        <w:autoSpaceDN w:val="0"/>
        <w:spacing w:line="240" w:lineRule="auto"/>
        <w:ind w:left="482" w:right="113" w:hanging="357"/>
        <w:contextualSpacing w:val="0"/>
        <w:jc w:val="both"/>
      </w:pPr>
      <w:r>
        <w:t>Any</w:t>
      </w:r>
      <w:r w:rsidRPr="003D30F2">
        <w:rPr>
          <w:spacing w:val="-13"/>
        </w:rPr>
        <w:t xml:space="preserve"> </w:t>
      </w:r>
      <w:r>
        <w:t>‘Acceptable</w:t>
      </w:r>
      <w:r w:rsidRPr="003D30F2">
        <w:rPr>
          <w:spacing w:val="-16"/>
        </w:rPr>
        <w:t xml:space="preserve"> </w:t>
      </w:r>
      <w:r>
        <w:t>Outcomes’</w:t>
      </w:r>
      <w:r w:rsidRPr="003D30F2">
        <w:rPr>
          <w:spacing w:val="-16"/>
        </w:rPr>
        <w:t xml:space="preserve"> </w:t>
      </w:r>
      <w:r>
        <w:t>provisions</w:t>
      </w:r>
      <w:r w:rsidRPr="003D30F2">
        <w:rPr>
          <w:spacing w:val="-16"/>
        </w:rPr>
        <w:t xml:space="preserve"> </w:t>
      </w:r>
      <w:r>
        <w:t>that</w:t>
      </w:r>
      <w:r w:rsidRPr="003D30F2">
        <w:rPr>
          <w:spacing w:val="-12"/>
        </w:rPr>
        <w:t xml:space="preserve"> </w:t>
      </w:r>
      <w:r>
        <w:t>are</w:t>
      </w:r>
      <w:r w:rsidRPr="003D30F2">
        <w:rPr>
          <w:spacing w:val="-14"/>
        </w:rPr>
        <w:t xml:space="preserve"> </w:t>
      </w:r>
      <w:r>
        <w:t>permitted</w:t>
      </w:r>
      <w:r w:rsidRPr="003D30F2">
        <w:rPr>
          <w:spacing w:val="-14"/>
        </w:rPr>
        <w:t xml:space="preserve"> </w:t>
      </w:r>
      <w:r>
        <w:t>to</w:t>
      </w:r>
      <w:r w:rsidRPr="003D30F2">
        <w:rPr>
          <w:spacing w:val="-13"/>
        </w:rPr>
        <w:t xml:space="preserve"> </w:t>
      </w:r>
      <w:r>
        <w:t>be</w:t>
      </w:r>
      <w:r w:rsidRPr="003D30F2">
        <w:rPr>
          <w:spacing w:val="-14"/>
        </w:rPr>
        <w:t xml:space="preserve"> </w:t>
      </w:r>
      <w:r>
        <w:t>amended</w:t>
      </w:r>
      <w:r w:rsidRPr="003D30F2">
        <w:rPr>
          <w:spacing w:val="-12"/>
        </w:rPr>
        <w:t xml:space="preserve"> </w:t>
      </w:r>
      <w:r>
        <w:t>or</w:t>
      </w:r>
      <w:r w:rsidRPr="003D30F2">
        <w:rPr>
          <w:spacing w:val="-16"/>
        </w:rPr>
        <w:t xml:space="preserve"> </w:t>
      </w:r>
      <w:r>
        <w:t>replaced</w:t>
      </w:r>
      <w:r w:rsidRPr="003D30F2">
        <w:rPr>
          <w:spacing w:val="-13"/>
        </w:rPr>
        <w:t xml:space="preserve"> </w:t>
      </w:r>
      <w:r>
        <w:t>under</w:t>
      </w:r>
      <w:r w:rsidRPr="003D30F2">
        <w:rPr>
          <w:spacing w:val="-12"/>
        </w:rPr>
        <w:t xml:space="preserve"> </w:t>
      </w:r>
      <w:r>
        <w:t>Clause</w:t>
      </w:r>
      <w:r w:rsidR="003D30F2">
        <w:t xml:space="preserve"> </w:t>
      </w:r>
      <w:r>
        <w:t xml:space="preserve">1.2.2 of </w:t>
      </w:r>
      <w:r w:rsidRPr="003D30F2">
        <w:rPr>
          <w:i/>
        </w:rPr>
        <w:t>State Planning Policy 7.3 – Residential Design Codes Volume 2 – Apartments</w:t>
      </w:r>
      <w:r>
        <w:t>, this local planning policy prevails.</w:t>
      </w:r>
    </w:p>
    <w:p w14:paraId="3C08326E" w14:textId="77777777" w:rsidR="00665A13" w:rsidRPr="003D30F2" w:rsidRDefault="00665A13" w:rsidP="003D30F2">
      <w:pPr>
        <w:spacing w:after="0"/>
        <w:rPr>
          <w:b/>
        </w:rPr>
      </w:pPr>
      <w:bookmarkStart w:id="548" w:name="_TOC_250017"/>
      <w:bookmarkEnd w:id="548"/>
      <w:r w:rsidRPr="003D30F2">
        <w:rPr>
          <w:b/>
        </w:rPr>
        <w:t>ADDITIONAL INFORMATION AND ADVICE</w:t>
      </w:r>
    </w:p>
    <w:p w14:paraId="21836CEC" w14:textId="77777777" w:rsidR="00665A13" w:rsidRDefault="00665A13" w:rsidP="003D30F2">
      <w:pPr>
        <w:spacing w:line="240" w:lineRule="auto"/>
        <w:ind w:right="112"/>
        <w:jc w:val="both"/>
      </w:pPr>
      <w:r>
        <w:t xml:space="preserve">Clause 63 of Schedule 2, Part 8, of the </w:t>
      </w:r>
      <w:r>
        <w:rPr>
          <w:i/>
        </w:rPr>
        <w:t xml:space="preserve">Planning and Development (Local Planning Schemes) Regulations, 2015 </w:t>
      </w:r>
      <w:r>
        <w:t xml:space="preserve">outlines what is required to be submitted </w:t>
      </w:r>
      <w:proofErr w:type="gramStart"/>
      <w:r>
        <w:t>in order to</w:t>
      </w:r>
      <w:proofErr w:type="gramEnd"/>
      <w:r>
        <w:t xml:space="preserve"> make an application for development approval.</w:t>
      </w:r>
    </w:p>
    <w:p w14:paraId="49F64DBC" w14:textId="77777777" w:rsidR="00665A13" w:rsidRPr="003D30F2" w:rsidRDefault="00665A13" w:rsidP="003D30F2">
      <w:pPr>
        <w:pStyle w:val="BodyText"/>
        <w:ind w:left="0" w:right="112"/>
        <w:jc w:val="both"/>
        <w:rPr>
          <w:rFonts w:asciiTheme="minorHAnsi" w:hAnsiTheme="minorHAnsi" w:cstheme="minorHAnsi"/>
        </w:rPr>
      </w:pPr>
      <w:r w:rsidRPr="003D30F2">
        <w:rPr>
          <w:rFonts w:asciiTheme="minorHAnsi" w:hAnsiTheme="minorHAnsi" w:cstheme="minorHAnsi"/>
        </w:rPr>
        <w:t>Pursuant to Clause 63(1)(d) of the Regulations and to assist in the determination of an application for development approval, the Town may require an applicant to provide additional information which may include, but is not limited to, one or more of the following (at the applicant’s expense):</w:t>
      </w:r>
    </w:p>
    <w:p w14:paraId="09110163" w14:textId="77777777" w:rsidR="00665A13" w:rsidRDefault="00665A13" w:rsidP="002A3889">
      <w:pPr>
        <w:pStyle w:val="ListParagraph"/>
        <w:widowControl w:val="0"/>
        <w:numPr>
          <w:ilvl w:val="0"/>
          <w:numId w:val="417"/>
        </w:numPr>
        <w:tabs>
          <w:tab w:val="left" w:pos="480"/>
        </w:tabs>
        <w:autoSpaceDE w:val="0"/>
        <w:autoSpaceDN w:val="0"/>
        <w:spacing w:after="60" w:line="240" w:lineRule="auto"/>
        <w:ind w:left="476" w:right="-28" w:hanging="357"/>
        <w:contextualSpacing w:val="0"/>
        <w:jc w:val="both"/>
      </w:pPr>
      <w:r>
        <w:t>A Heritage Assessment in a form approved by the Heritage Council of Western Australia (also pursuant to Clause 11 of the</w:t>
      </w:r>
      <w:r>
        <w:rPr>
          <w:spacing w:val="-10"/>
        </w:rPr>
        <w:t xml:space="preserve"> </w:t>
      </w:r>
      <w:r>
        <w:t>Regulations).</w:t>
      </w:r>
    </w:p>
    <w:p w14:paraId="6C6EEF81" w14:textId="77777777" w:rsidR="00665A13" w:rsidRDefault="00665A13" w:rsidP="002A3889">
      <w:pPr>
        <w:pStyle w:val="ListParagraph"/>
        <w:widowControl w:val="0"/>
        <w:numPr>
          <w:ilvl w:val="0"/>
          <w:numId w:val="417"/>
        </w:numPr>
        <w:tabs>
          <w:tab w:val="left" w:pos="480"/>
        </w:tabs>
        <w:autoSpaceDE w:val="0"/>
        <w:autoSpaceDN w:val="0"/>
        <w:spacing w:after="60" w:line="240" w:lineRule="auto"/>
        <w:ind w:left="476" w:right="-28" w:hanging="357"/>
        <w:contextualSpacing w:val="0"/>
        <w:jc w:val="both"/>
      </w:pPr>
      <w:r>
        <w:t>A Heritage Impact Statement for properties listed on the Local Planning Scheme No. 3 Heritage List</w:t>
      </w:r>
      <w:r>
        <w:rPr>
          <w:spacing w:val="-7"/>
        </w:rPr>
        <w:t xml:space="preserve"> </w:t>
      </w:r>
      <w:r>
        <w:t>where</w:t>
      </w:r>
      <w:r>
        <w:rPr>
          <w:spacing w:val="-5"/>
        </w:rPr>
        <w:t xml:space="preserve"> </w:t>
      </w:r>
      <w:r>
        <w:t>development</w:t>
      </w:r>
      <w:r>
        <w:rPr>
          <w:spacing w:val="-8"/>
        </w:rPr>
        <w:t xml:space="preserve"> </w:t>
      </w:r>
      <w:r>
        <w:t>is</w:t>
      </w:r>
      <w:r>
        <w:rPr>
          <w:spacing w:val="-7"/>
        </w:rPr>
        <w:t xml:space="preserve"> </w:t>
      </w:r>
      <w:r>
        <w:t>considered</w:t>
      </w:r>
      <w:r>
        <w:rPr>
          <w:spacing w:val="-11"/>
        </w:rPr>
        <w:t xml:space="preserve"> </w:t>
      </w:r>
      <w:r>
        <w:t>likely</w:t>
      </w:r>
      <w:r>
        <w:rPr>
          <w:spacing w:val="-5"/>
        </w:rPr>
        <w:t xml:space="preserve"> </w:t>
      </w:r>
      <w:r>
        <w:t>to</w:t>
      </w:r>
      <w:r>
        <w:rPr>
          <w:spacing w:val="-5"/>
        </w:rPr>
        <w:t xml:space="preserve"> </w:t>
      </w:r>
      <w:r>
        <w:t>have</w:t>
      </w:r>
      <w:r>
        <w:rPr>
          <w:spacing w:val="-5"/>
        </w:rPr>
        <w:t xml:space="preserve"> </w:t>
      </w:r>
      <w:r>
        <w:t>a</w:t>
      </w:r>
      <w:r>
        <w:rPr>
          <w:spacing w:val="-10"/>
        </w:rPr>
        <w:t xml:space="preserve"> </w:t>
      </w:r>
      <w:r>
        <w:t>substantial</w:t>
      </w:r>
      <w:r>
        <w:rPr>
          <w:spacing w:val="-5"/>
        </w:rPr>
        <w:t xml:space="preserve"> </w:t>
      </w:r>
      <w:r>
        <w:t>impact</w:t>
      </w:r>
      <w:r>
        <w:rPr>
          <w:spacing w:val="-10"/>
        </w:rPr>
        <w:t xml:space="preserve"> </w:t>
      </w:r>
      <w:r>
        <w:t>on</w:t>
      </w:r>
      <w:r>
        <w:rPr>
          <w:spacing w:val="-8"/>
        </w:rPr>
        <w:t xml:space="preserve"> </w:t>
      </w:r>
      <w:r>
        <w:t>cultural</w:t>
      </w:r>
      <w:r>
        <w:rPr>
          <w:spacing w:val="-5"/>
        </w:rPr>
        <w:t xml:space="preserve"> </w:t>
      </w:r>
      <w:r>
        <w:t>values</w:t>
      </w:r>
      <w:r>
        <w:rPr>
          <w:spacing w:val="-8"/>
        </w:rPr>
        <w:t xml:space="preserve"> </w:t>
      </w:r>
      <w:r>
        <w:t>of</w:t>
      </w:r>
      <w:r>
        <w:rPr>
          <w:spacing w:val="-7"/>
        </w:rPr>
        <w:t xml:space="preserve"> </w:t>
      </w:r>
      <w:r>
        <w:t>that place.</w:t>
      </w:r>
    </w:p>
    <w:p w14:paraId="76E71F12" w14:textId="77777777" w:rsidR="00665A13" w:rsidRDefault="00665A13" w:rsidP="002A3889">
      <w:pPr>
        <w:pStyle w:val="ListParagraph"/>
        <w:widowControl w:val="0"/>
        <w:numPr>
          <w:ilvl w:val="0"/>
          <w:numId w:val="417"/>
        </w:numPr>
        <w:tabs>
          <w:tab w:val="left" w:pos="480"/>
        </w:tabs>
        <w:autoSpaceDE w:val="0"/>
        <w:autoSpaceDN w:val="0"/>
        <w:spacing w:after="60" w:line="240" w:lineRule="auto"/>
        <w:ind w:left="476" w:right="-28" w:hanging="357"/>
        <w:contextualSpacing w:val="0"/>
        <w:jc w:val="both"/>
      </w:pPr>
      <w:r>
        <w:t>A</w:t>
      </w:r>
      <w:r>
        <w:rPr>
          <w:spacing w:val="-7"/>
        </w:rPr>
        <w:t xml:space="preserve"> </w:t>
      </w:r>
      <w:r>
        <w:t>copy</w:t>
      </w:r>
      <w:r>
        <w:rPr>
          <w:spacing w:val="-6"/>
        </w:rPr>
        <w:t xml:space="preserve"> </w:t>
      </w:r>
      <w:r>
        <w:t>of</w:t>
      </w:r>
      <w:r>
        <w:rPr>
          <w:spacing w:val="-6"/>
        </w:rPr>
        <w:t xml:space="preserve"> </w:t>
      </w:r>
      <w:r>
        <w:t>an</w:t>
      </w:r>
      <w:r>
        <w:rPr>
          <w:spacing w:val="-5"/>
        </w:rPr>
        <w:t xml:space="preserve"> </w:t>
      </w:r>
      <w:r>
        <w:t>existing</w:t>
      </w:r>
      <w:r>
        <w:rPr>
          <w:spacing w:val="-5"/>
        </w:rPr>
        <w:t xml:space="preserve"> </w:t>
      </w:r>
      <w:r>
        <w:t>Conservation</w:t>
      </w:r>
      <w:r>
        <w:rPr>
          <w:spacing w:val="-5"/>
        </w:rPr>
        <w:t xml:space="preserve"> </w:t>
      </w:r>
      <w:r>
        <w:t>Management</w:t>
      </w:r>
      <w:r>
        <w:rPr>
          <w:spacing w:val="-8"/>
        </w:rPr>
        <w:t xml:space="preserve"> </w:t>
      </w:r>
      <w:r>
        <w:t>Plan</w:t>
      </w:r>
      <w:r>
        <w:rPr>
          <w:spacing w:val="-7"/>
        </w:rPr>
        <w:t xml:space="preserve"> </w:t>
      </w:r>
      <w:r>
        <w:t>and/or</w:t>
      </w:r>
      <w:r>
        <w:rPr>
          <w:spacing w:val="-5"/>
        </w:rPr>
        <w:t xml:space="preserve"> </w:t>
      </w:r>
      <w:r>
        <w:t>Conservation</w:t>
      </w:r>
      <w:r>
        <w:rPr>
          <w:spacing w:val="-6"/>
        </w:rPr>
        <w:t xml:space="preserve"> </w:t>
      </w:r>
      <w:r>
        <w:t>Management</w:t>
      </w:r>
      <w:r>
        <w:rPr>
          <w:spacing w:val="-4"/>
        </w:rPr>
        <w:t xml:space="preserve"> </w:t>
      </w:r>
      <w:r>
        <w:t>Strategy where</w:t>
      </w:r>
      <w:r>
        <w:rPr>
          <w:spacing w:val="-7"/>
        </w:rPr>
        <w:t xml:space="preserve"> </w:t>
      </w:r>
      <w:r>
        <w:t>one</w:t>
      </w:r>
      <w:r>
        <w:rPr>
          <w:spacing w:val="-4"/>
        </w:rPr>
        <w:t xml:space="preserve"> </w:t>
      </w:r>
      <w:r>
        <w:t>(or</w:t>
      </w:r>
      <w:r>
        <w:rPr>
          <w:spacing w:val="-7"/>
        </w:rPr>
        <w:t xml:space="preserve"> </w:t>
      </w:r>
      <w:r>
        <w:t>both)</w:t>
      </w:r>
      <w:r>
        <w:rPr>
          <w:spacing w:val="-4"/>
        </w:rPr>
        <w:t xml:space="preserve"> </w:t>
      </w:r>
      <w:r>
        <w:t>have</w:t>
      </w:r>
      <w:r>
        <w:rPr>
          <w:spacing w:val="-4"/>
        </w:rPr>
        <w:t xml:space="preserve"> </w:t>
      </w:r>
      <w:r>
        <w:t>already</w:t>
      </w:r>
      <w:r>
        <w:rPr>
          <w:spacing w:val="-5"/>
        </w:rPr>
        <w:t xml:space="preserve"> </w:t>
      </w:r>
      <w:r>
        <w:t>been</w:t>
      </w:r>
      <w:r>
        <w:rPr>
          <w:spacing w:val="-4"/>
        </w:rPr>
        <w:t xml:space="preserve"> </w:t>
      </w:r>
      <w:r>
        <w:t>prepared</w:t>
      </w:r>
      <w:r>
        <w:rPr>
          <w:spacing w:val="-5"/>
        </w:rPr>
        <w:t xml:space="preserve"> </w:t>
      </w:r>
      <w:r>
        <w:t>and</w:t>
      </w:r>
      <w:r>
        <w:rPr>
          <w:spacing w:val="-5"/>
        </w:rPr>
        <w:t xml:space="preserve"> </w:t>
      </w:r>
      <w:r>
        <w:t>approved</w:t>
      </w:r>
      <w:r>
        <w:rPr>
          <w:spacing w:val="-4"/>
        </w:rPr>
        <w:t xml:space="preserve"> </w:t>
      </w:r>
      <w:r>
        <w:t>for</w:t>
      </w:r>
      <w:r>
        <w:rPr>
          <w:spacing w:val="-5"/>
        </w:rPr>
        <w:t xml:space="preserve"> </w:t>
      </w:r>
      <w:r>
        <w:t>individual</w:t>
      </w:r>
      <w:r>
        <w:rPr>
          <w:spacing w:val="-4"/>
        </w:rPr>
        <w:t xml:space="preserve"> </w:t>
      </w:r>
      <w:r>
        <w:t>buildings,</w:t>
      </w:r>
      <w:r>
        <w:rPr>
          <w:spacing w:val="-5"/>
        </w:rPr>
        <w:t xml:space="preserve"> </w:t>
      </w:r>
      <w:r>
        <w:t>groups</w:t>
      </w:r>
      <w:r>
        <w:rPr>
          <w:spacing w:val="-4"/>
        </w:rPr>
        <w:t xml:space="preserve"> </w:t>
      </w:r>
      <w:r>
        <w:t>of buildings or places of cultural heritage significance involving the property the subject of the application for development</w:t>
      </w:r>
      <w:r>
        <w:rPr>
          <w:spacing w:val="-4"/>
        </w:rPr>
        <w:t xml:space="preserve"> </w:t>
      </w:r>
      <w:r>
        <w:t>approval.</w:t>
      </w:r>
    </w:p>
    <w:p w14:paraId="1B9FF572" w14:textId="77777777" w:rsidR="00665A13" w:rsidRDefault="00665A13" w:rsidP="002A3889">
      <w:pPr>
        <w:pStyle w:val="ListParagraph"/>
        <w:widowControl w:val="0"/>
        <w:numPr>
          <w:ilvl w:val="0"/>
          <w:numId w:val="417"/>
        </w:numPr>
        <w:tabs>
          <w:tab w:val="left" w:pos="480"/>
        </w:tabs>
        <w:autoSpaceDE w:val="0"/>
        <w:autoSpaceDN w:val="0"/>
        <w:spacing w:after="60" w:line="240" w:lineRule="auto"/>
        <w:ind w:left="476" w:right="-28" w:hanging="357"/>
        <w:contextualSpacing w:val="0"/>
        <w:jc w:val="both"/>
      </w:pPr>
      <w:r>
        <w:t>A Conservation Management Plan for consideration and approval prior to development assessment,</w:t>
      </w:r>
      <w:r>
        <w:rPr>
          <w:spacing w:val="-12"/>
        </w:rPr>
        <w:t xml:space="preserve"> </w:t>
      </w:r>
      <w:r>
        <w:t>if</w:t>
      </w:r>
      <w:r>
        <w:rPr>
          <w:spacing w:val="-13"/>
        </w:rPr>
        <w:t xml:space="preserve"> </w:t>
      </w:r>
      <w:r>
        <w:t>the</w:t>
      </w:r>
      <w:r>
        <w:rPr>
          <w:spacing w:val="-9"/>
        </w:rPr>
        <w:t xml:space="preserve"> </w:t>
      </w:r>
      <w:r>
        <w:t>development</w:t>
      </w:r>
      <w:r>
        <w:rPr>
          <w:spacing w:val="-11"/>
        </w:rPr>
        <w:t xml:space="preserve"> </w:t>
      </w:r>
      <w:r>
        <w:t>includes</w:t>
      </w:r>
      <w:r>
        <w:rPr>
          <w:spacing w:val="-10"/>
        </w:rPr>
        <w:t xml:space="preserve"> </w:t>
      </w:r>
      <w:r>
        <w:t>a</w:t>
      </w:r>
      <w:r>
        <w:rPr>
          <w:spacing w:val="-12"/>
        </w:rPr>
        <w:t xml:space="preserve"> </w:t>
      </w:r>
      <w:r>
        <w:t>building</w:t>
      </w:r>
      <w:r>
        <w:rPr>
          <w:spacing w:val="-11"/>
        </w:rPr>
        <w:t xml:space="preserve"> </w:t>
      </w:r>
      <w:r>
        <w:t>or</w:t>
      </w:r>
      <w:r>
        <w:rPr>
          <w:spacing w:val="-12"/>
        </w:rPr>
        <w:t xml:space="preserve"> </w:t>
      </w:r>
      <w:r>
        <w:t>place</w:t>
      </w:r>
      <w:r>
        <w:rPr>
          <w:spacing w:val="-10"/>
        </w:rPr>
        <w:t xml:space="preserve"> </w:t>
      </w:r>
      <w:r>
        <w:t>included</w:t>
      </w:r>
      <w:r>
        <w:rPr>
          <w:spacing w:val="-12"/>
        </w:rPr>
        <w:t xml:space="preserve"> </w:t>
      </w:r>
      <w:r>
        <w:t>on</w:t>
      </w:r>
      <w:r>
        <w:rPr>
          <w:spacing w:val="-14"/>
        </w:rPr>
        <w:t xml:space="preserve"> </w:t>
      </w:r>
      <w:r>
        <w:t>the</w:t>
      </w:r>
      <w:r>
        <w:rPr>
          <w:spacing w:val="-11"/>
        </w:rPr>
        <w:t xml:space="preserve"> </w:t>
      </w:r>
      <w:r>
        <w:t>Local</w:t>
      </w:r>
      <w:r>
        <w:rPr>
          <w:spacing w:val="-15"/>
        </w:rPr>
        <w:t xml:space="preserve"> </w:t>
      </w:r>
      <w:r>
        <w:t>Heritage</w:t>
      </w:r>
      <w:r>
        <w:rPr>
          <w:spacing w:val="-12"/>
        </w:rPr>
        <w:t xml:space="preserve"> </w:t>
      </w:r>
      <w:r>
        <w:t>Survey.</w:t>
      </w:r>
    </w:p>
    <w:p w14:paraId="6297CC49" w14:textId="77777777" w:rsidR="00665A13" w:rsidRDefault="00665A13" w:rsidP="002A3889">
      <w:pPr>
        <w:pStyle w:val="ListParagraph"/>
        <w:widowControl w:val="0"/>
        <w:numPr>
          <w:ilvl w:val="0"/>
          <w:numId w:val="417"/>
        </w:numPr>
        <w:tabs>
          <w:tab w:val="left" w:pos="480"/>
        </w:tabs>
        <w:autoSpaceDE w:val="0"/>
        <w:autoSpaceDN w:val="0"/>
        <w:spacing w:after="60" w:line="240" w:lineRule="auto"/>
        <w:ind w:left="476" w:right="-28" w:hanging="357"/>
        <w:contextualSpacing w:val="0"/>
        <w:jc w:val="both"/>
      </w:pPr>
      <w:r>
        <w:t xml:space="preserve">A Structural Condition Assessment </w:t>
      </w:r>
      <w:r>
        <w:rPr>
          <w:spacing w:val="-5"/>
        </w:rPr>
        <w:t xml:space="preserve">(in </w:t>
      </w:r>
      <w:r>
        <w:t>the case of partial or full demolition of a place listed on the Local Planning Scheme No. 3 Heritage</w:t>
      </w:r>
      <w:r>
        <w:rPr>
          <w:spacing w:val="-14"/>
        </w:rPr>
        <w:t xml:space="preserve"> </w:t>
      </w:r>
      <w:r>
        <w:t>List).</w:t>
      </w:r>
    </w:p>
    <w:p w14:paraId="7484FD5C" w14:textId="77777777" w:rsidR="00665A13" w:rsidRDefault="00665A13" w:rsidP="002A3889">
      <w:pPr>
        <w:pStyle w:val="ListParagraph"/>
        <w:widowControl w:val="0"/>
        <w:numPr>
          <w:ilvl w:val="0"/>
          <w:numId w:val="417"/>
        </w:numPr>
        <w:tabs>
          <w:tab w:val="left" w:pos="480"/>
        </w:tabs>
        <w:autoSpaceDE w:val="0"/>
        <w:autoSpaceDN w:val="0"/>
        <w:spacing w:after="60" w:line="240" w:lineRule="auto"/>
        <w:ind w:left="476" w:right="-28" w:hanging="357"/>
        <w:contextualSpacing w:val="0"/>
        <w:jc w:val="both"/>
      </w:pPr>
      <w:r>
        <w:t>A contextual elevation showing the elevation of the proposed development and the existing development including at least the adjoining properties either</w:t>
      </w:r>
      <w:r>
        <w:rPr>
          <w:spacing w:val="-4"/>
        </w:rPr>
        <w:t xml:space="preserve"> </w:t>
      </w:r>
      <w:r>
        <w:t>side.</w:t>
      </w:r>
    </w:p>
    <w:p w14:paraId="2CF8A164" w14:textId="77777777" w:rsidR="00665A13" w:rsidRDefault="00665A13" w:rsidP="002A3889">
      <w:pPr>
        <w:pStyle w:val="ListParagraph"/>
        <w:widowControl w:val="0"/>
        <w:numPr>
          <w:ilvl w:val="0"/>
          <w:numId w:val="417"/>
        </w:numPr>
        <w:tabs>
          <w:tab w:val="left" w:pos="480"/>
        </w:tabs>
        <w:autoSpaceDE w:val="0"/>
        <w:autoSpaceDN w:val="0"/>
        <w:spacing w:after="60" w:line="240" w:lineRule="auto"/>
        <w:ind w:left="476" w:right="-28" w:hanging="357"/>
        <w:contextualSpacing w:val="0"/>
        <w:jc w:val="both"/>
      </w:pPr>
      <w:r>
        <w:t>A ‘line of sight’ diagram (in the case of additions and/or alterations to contributory buildings) clearly documenting the proposal in relation to the existing building (refer Figures 2, 3, 4 and 5 in Appendix</w:t>
      </w:r>
      <w:r>
        <w:rPr>
          <w:spacing w:val="-2"/>
        </w:rPr>
        <w:t xml:space="preserve"> </w:t>
      </w:r>
      <w:r>
        <w:t>2).</w:t>
      </w:r>
    </w:p>
    <w:p w14:paraId="5954539E" w14:textId="77777777" w:rsidR="00665A13" w:rsidRDefault="00665A13" w:rsidP="002A3889">
      <w:pPr>
        <w:pStyle w:val="ListParagraph"/>
        <w:widowControl w:val="0"/>
        <w:numPr>
          <w:ilvl w:val="0"/>
          <w:numId w:val="417"/>
        </w:numPr>
        <w:tabs>
          <w:tab w:val="left" w:pos="480"/>
        </w:tabs>
        <w:autoSpaceDE w:val="0"/>
        <w:autoSpaceDN w:val="0"/>
        <w:spacing w:before="8" w:line="240" w:lineRule="auto"/>
        <w:ind w:left="476" w:right="-28" w:hanging="357"/>
        <w:contextualSpacing w:val="0"/>
        <w:jc w:val="both"/>
      </w:pPr>
      <w:r>
        <w:t>Any</w:t>
      </w:r>
      <w:r>
        <w:rPr>
          <w:spacing w:val="-13"/>
        </w:rPr>
        <w:t xml:space="preserve"> </w:t>
      </w:r>
      <w:r>
        <w:t>other</w:t>
      </w:r>
      <w:r>
        <w:rPr>
          <w:spacing w:val="-12"/>
        </w:rPr>
        <w:t xml:space="preserve"> </w:t>
      </w:r>
      <w:r>
        <w:t>additional</w:t>
      </w:r>
      <w:r>
        <w:rPr>
          <w:spacing w:val="-14"/>
        </w:rPr>
        <w:t xml:space="preserve"> </w:t>
      </w:r>
      <w:r>
        <w:t>information</w:t>
      </w:r>
      <w:r>
        <w:rPr>
          <w:spacing w:val="-15"/>
        </w:rPr>
        <w:t xml:space="preserve"> </w:t>
      </w:r>
      <w:r>
        <w:t>or</w:t>
      </w:r>
      <w:r>
        <w:rPr>
          <w:spacing w:val="-12"/>
        </w:rPr>
        <w:t xml:space="preserve"> </w:t>
      </w:r>
      <w:r>
        <w:t>material</w:t>
      </w:r>
      <w:r>
        <w:rPr>
          <w:spacing w:val="-15"/>
        </w:rPr>
        <w:t xml:space="preserve"> </w:t>
      </w:r>
      <w:r>
        <w:t>as</w:t>
      </w:r>
      <w:r>
        <w:rPr>
          <w:spacing w:val="-14"/>
        </w:rPr>
        <w:t xml:space="preserve"> </w:t>
      </w:r>
      <w:r>
        <w:t>may</w:t>
      </w:r>
      <w:r>
        <w:rPr>
          <w:spacing w:val="-13"/>
        </w:rPr>
        <w:t xml:space="preserve"> </w:t>
      </w:r>
      <w:r>
        <w:t>be</w:t>
      </w:r>
      <w:r>
        <w:rPr>
          <w:spacing w:val="-15"/>
        </w:rPr>
        <w:t xml:space="preserve"> </w:t>
      </w:r>
      <w:r>
        <w:t>mentioned</w:t>
      </w:r>
      <w:r>
        <w:rPr>
          <w:spacing w:val="-13"/>
        </w:rPr>
        <w:t xml:space="preserve"> </w:t>
      </w:r>
      <w:r>
        <w:t>elsewhere</w:t>
      </w:r>
      <w:r>
        <w:rPr>
          <w:spacing w:val="-10"/>
        </w:rPr>
        <w:t xml:space="preserve"> </w:t>
      </w:r>
      <w:r>
        <w:t>in</w:t>
      </w:r>
      <w:r>
        <w:rPr>
          <w:spacing w:val="-16"/>
        </w:rPr>
        <w:t xml:space="preserve"> </w:t>
      </w:r>
      <w:r>
        <w:t>this</w:t>
      </w:r>
      <w:r>
        <w:rPr>
          <w:spacing w:val="-10"/>
        </w:rPr>
        <w:t xml:space="preserve"> </w:t>
      </w:r>
      <w:r>
        <w:t>local</w:t>
      </w:r>
      <w:r>
        <w:rPr>
          <w:spacing w:val="-11"/>
        </w:rPr>
        <w:t xml:space="preserve"> </w:t>
      </w:r>
      <w:r>
        <w:t>planning policy, or as comes to light as being necessary during assessment of the</w:t>
      </w:r>
      <w:r>
        <w:rPr>
          <w:spacing w:val="-23"/>
        </w:rPr>
        <w:t xml:space="preserve"> </w:t>
      </w:r>
      <w:r>
        <w:t>proposal.</w:t>
      </w:r>
    </w:p>
    <w:p w14:paraId="1318A985" w14:textId="77777777" w:rsidR="00665A13" w:rsidRPr="0015426F" w:rsidRDefault="00665A13" w:rsidP="0015426F">
      <w:pPr>
        <w:pStyle w:val="BodyText"/>
        <w:ind w:left="120" w:right="-29"/>
        <w:jc w:val="both"/>
        <w:rPr>
          <w:rFonts w:asciiTheme="minorHAnsi" w:hAnsiTheme="minorHAnsi" w:cstheme="minorHAnsi"/>
        </w:rPr>
      </w:pPr>
      <w:r w:rsidRPr="0015426F">
        <w:rPr>
          <w:rFonts w:asciiTheme="minorHAnsi" w:hAnsiTheme="minorHAnsi" w:cstheme="minorHAnsi"/>
        </w:rPr>
        <w:t>In addition, an application for development approval may be referred to a design review panel comprising of suitably experienced and qualified members as appointed by the Town for advice regarding the proposal.</w:t>
      </w:r>
    </w:p>
    <w:p w14:paraId="342C13FB" w14:textId="77777777" w:rsidR="00665A13" w:rsidRPr="0015426F" w:rsidRDefault="00665A13" w:rsidP="0015426F">
      <w:pPr>
        <w:pStyle w:val="BodyText"/>
        <w:ind w:left="120" w:right="-29"/>
        <w:jc w:val="both"/>
        <w:rPr>
          <w:rFonts w:asciiTheme="minorHAnsi" w:hAnsiTheme="minorHAnsi" w:cstheme="minorHAnsi"/>
        </w:rPr>
      </w:pPr>
      <w:r w:rsidRPr="0015426F">
        <w:rPr>
          <w:rFonts w:asciiTheme="minorHAnsi" w:hAnsiTheme="minorHAnsi" w:cstheme="minorHAnsi"/>
        </w:rPr>
        <w:t>All information will be taken into consideration by the Town when considering the merits of applications for development approval.</w:t>
      </w:r>
    </w:p>
    <w:p w14:paraId="1A0754A9" w14:textId="77777777" w:rsidR="00665A13" w:rsidRPr="0015426F" w:rsidRDefault="00665A13" w:rsidP="0015426F">
      <w:pPr>
        <w:pStyle w:val="BodyText"/>
        <w:spacing w:after="200" w:line="238" w:lineRule="auto"/>
        <w:ind w:left="119" w:right="-28"/>
        <w:jc w:val="both"/>
        <w:rPr>
          <w:rFonts w:asciiTheme="minorHAnsi" w:hAnsiTheme="minorHAnsi" w:cstheme="minorHAnsi"/>
        </w:rPr>
      </w:pPr>
      <w:r w:rsidRPr="0015426F">
        <w:rPr>
          <w:rFonts w:asciiTheme="minorHAnsi" w:hAnsiTheme="minorHAnsi" w:cstheme="minorHAnsi"/>
        </w:rPr>
        <w:t>Refer</w:t>
      </w:r>
      <w:r w:rsidRPr="0015426F">
        <w:rPr>
          <w:rFonts w:asciiTheme="minorHAnsi" w:hAnsiTheme="minorHAnsi" w:cstheme="minorHAnsi"/>
          <w:spacing w:val="-9"/>
        </w:rPr>
        <w:t xml:space="preserve"> </w:t>
      </w:r>
      <w:r w:rsidRPr="0015426F">
        <w:rPr>
          <w:rFonts w:asciiTheme="minorHAnsi" w:hAnsiTheme="minorHAnsi" w:cstheme="minorHAnsi"/>
        </w:rPr>
        <w:t>to</w:t>
      </w:r>
      <w:r w:rsidRPr="0015426F">
        <w:rPr>
          <w:rFonts w:asciiTheme="minorHAnsi" w:hAnsiTheme="minorHAnsi" w:cstheme="minorHAnsi"/>
          <w:spacing w:val="-10"/>
        </w:rPr>
        <w:t xml:space="preserve"> </w:t>
      </w:r>
      <w:r w:rsidRPr="0015426F">
        <w:rPr>
          <w:rFonts w:asciiTheme="minorHAnsi" w:hAnsiTheme="minorHAnsi" w:cstheme="minorHAnsi"/>
        </w:rPr>
        <w:t>Appendix</w:t>
      </w:r>
      <w:r w:rsidRPr="0015426F">
        <w:rPr>
          <w:rFonts w:asciiTheme="minorHAnsi" w:hAnsiTheme="minorHAnsi" w:cstheme="minorHAnsi"/>
          <w:spacing w:val="-11"/>
        </w:rPr>
        <w:t xml:space="preserve"> </w:t>
      </w:r>
      <w:r w:rsidRPr="0015426F">
        <w:rPr>
          <w:rFonts w:asciiTheme="minorHAnsi" w:hAnsiTheme="minorHAnsi" w:cstheme="minorHAnsi"/>
        </w:rPr>
        <w:t>7</w:t>
      </w:r>
      <w:r w:rsidRPr="0015426F">
        <w:rPr>
          <w:rFonts w:asciiTheme="minorHAnsi" w:hAnsiTheme="minorHAnsi" w:cstheme="minorHAnsi"/>
          <w:spacing w:val="-8"/>
        </w:rPr>
        <w:t xml:space="preserve"> </w:t>
      </w:r>
      <w:r w:rsidRPr="0015426F">
        <w:rPr>
          <w:rFonts w:asciiTheme="minorHAnsi" w:hAnsiTheme="minorHAnsi" w:cstheme="minorHAnsi"/>
        </w:rPr>
        <w:t>for</w:t>
      </w:r>
      <w:r w:rsidRPr="0015426F">
        <w:rPr>
          <w:rFonts w:asciiTheme="minorHAnsi" w:hAnsiTheme="minorHAnsi" w:cstheme="minorHAnsi"/>
          <w:spacing w:val="-10"/>
        </w:rPr>
        <w:t xml:space="preserve"> </w:t>
      </w:r>
      <w:r w:rsidRPr="0015426F">
        <w:rPr>
          <w:rFonts w:asciiTheme="minorHAnsi" w:hAnsiTheme="minorHAnsi" w:cstheme="minorHAnsi"/>
        </w:rPr>
        <w:t>the</w:t>
      </w:r>
      <w:r w:rsidRPr="0015426F">
        <w:rPr>
          <w:rFonts w:asciiTheme="minorHAnsi" w:hAnsiTheme="minorHAnsi" w:cstheme="minorHAnsi"/>
          <w:spacing w:val="-10"/>
        </w:rPr>
        <w:t xml:space="preserve"> </w:t>
      </w:r>
      <w:r w:rsidRPr="0015426F">
        <w:rPr>
          <w:rFonts w:asciiTheme="minorHAnsi" w:hAnsiTheme="minorHAnsi" w:cstheme="minorHAnsi"/>
        </w:rPr>
        <w:t>information</w:t>
      </w:r>
      <w:r w:rsidRPr="0015426F">
        <w:rPr>
          <w:rFonts w:asciiTheme="minorHAnsi" w:hAnsiTheme="minorHAnsi" w:cstheme="minorHAnsi"/>
          <w:spacing w:val="-11"/>
        </w:rPr>
        <w:t xml:space="preserve"> </w:t>
      </w:r>
      <w:r w:rsidRPr="0015426F">
        <w:rPr>
          <w:rFonts w:asciiTheme="minorHAnsi" w:hAnsiTheme="minorHAnsi" w:cstheme="minorHAnsi"/>
        </w:rPr>
        <w:t>to</w:t>
      </w:r>
      <w:r w:rsidRPr="0015426F">
        <w:rPr>
          <w:rFonts w:asciiTheme="minorHAnsi" w:hAnsiTheme="minorHAnsi" w:cstheme="minorHAnsi"/>
          <w:spacing w:val="-8"/>
        </w:rPr>
        <w:t xml:space="preserve"> </w:t>
      </w:r>
      <w:r w:rsidRPr="0015426F">
        <w:rPr>
          <w:rFonts w:asciiTheme="minorHAnsi" w:hAnsiTheme="minorHAnsi" w:cstheme="minorHAnsi"/>
        </w:rPr>
        <w:t>be</w:t>
      </w:r>
      <w:r w:rsidRPr="0015426F">
        <w:rPr>
          <w:rFonts w:asciiTheme="minorHAnsi" w:hAnsiTheme="minorHAnsi" w:cstheme="minorHAnsi"/>
          <w:spacing w:val="-8"/>
        </w:rPr>
        <w:t xml:space="preserve"> </w:t>
      </w:r>
      <w:r w:rsidRPr="0015426F">
        <w:rPr>
          <w:rFonts w:asciiTheme="minorHAnsi" w:hAnsiTheme="minorHAnsi" w:cstheme="minorHAnsi"/>
        </w:rPr>
        <w:t>submitted</w:t>
      </w:r>
      <w:r w:rsidRPr="0015426F">
        <w:rPr>
          <w:rFonts w:asciiTheme="minorHAnsi" w:hAnsiTheme="minorHAnsi" w:cstheme="minorHAnsi"/>
          <w:spacing w:val="-9"/>
        </w:rPr>
        <w:t xml:space="preserve"> </w:t>
      </w:r>
      <w:r w:rsidRPr="0015426F">
        <w:rPr>
          <w:rFonts w:asciiTheme="minorHAnsi" w:hAnsiTheme="minorHAnsi" w:cstheme="minorHAnsi"/>
        </w:rPr>
        <w:t>with</w:t>
      </w:r>
      <w:r w:rsidRPr="0015426F">
        <w:rPr>
          <w:rFonts w:asciiTheme="minorHAnsi" w:hAnsiTheme="minorHAnsi" w:cstheme="minorHAnsi"/>
          <w:spacing w:val="-9"/>
        </w:rPr>
        <w:t xml:space="preserve"> </w:t>
      </w:r>
      <w:r w:rsidRPr="0015426F">
        <w:rPr>
          <w:rFonts w:asciiTheme="minorHAnsi" w:hAnsiTheme="minorHAnsi" w:cstheme="minorHAnsi"/>
        </w:rPr>
        <w:t>a</w:t>
      </w:r>
      <w:r w:rsidRPr="0015426F">
        <w:rPr>
          <w:rFonts w:asciiTheme="minorHAnsi" w:hAnsiTheme="minorHAnsi" w:cstheme="minorHAnsi"/>
          <w:spacing w:val="-10"/>
        </w:rPr>
        <w:t xml:space="preserve"> </w:t>
      </w:r>
      <w:r w:rsidRPr="0015426F">
        <w:rPr>
          <w:rFonts w:asciiTheme="minorHAnsi" w:hAnsiTheme="minorHAnsi" w:cstheme="minorHAnsi"/>
        </w:rPr>
        <w:t>development</w:t>
      </w:r>
      <w:r w:rsidRPr="0015426F">
        <w:rPr>
          <w:rFonts w:asciiTheme="minorHAnsi" w:hAnsiTheme="minorHAnsi" w:cstheme="minorHAnsi"/>
          <w:spacing w:val="-7"/>
        </w:rPr>
        <w:t xml:space="preserve"> </w:t>
      </w:r>
      <w:r w:rsidRPr="0015426F">
        <w:rPr>
          <w:rFonts w:asciiTheme="minorHAnsi" w:hAnsiTheme="minorHAnsi" w:cstheme="minorHAnsi"/>
        </w:rPr>
        <w:t>approval</w:t>
      </w:r>
      <w:r w:rsidRPr="0015426F">
        <w:rPr>
          <w:rFonts w:asciiTheme="minorHAnsi" w:hAnsiTheme="minorHAnsi" w:cstheme="minorHAnsi"/>
          <w:spacing w:val="-10"/>
        </w:rPr>
        <w:t xml:space="preserve"> </w:t>
      </w:r>
      <w:r w:rsidRPr="0015426F">
        <w:rPr>
          <w:rFonts w:asciiTheme="minorHAnsi" w:hAnsiTheme="minorHAnsi" w:cstheme="minorHAnsi"/>
        </w:rPr>
        <w:t>application</w:t>
      </w:r>
      <w:r w:rsidRPr="0015426F">
        <w:rPr>
          <w:rFonts w:asciiTheme="minorHAnsi" w:hAnsiTheme="minorHAnsi" w:cstheme="minorHAnsi"/>
          <w:spacing w:val="-8"/>
        </w:rPr>
        <w:t xml:space="preserve"> </w:t>
      </w:r>
      <w:r w:rsidRPr="0015426F">
        <w:rPr>
          <w:rFonts w:asciiTheme="minorHAnsi" w:hAnsiTheme="minorHAnsi" w:cstheme="minorHAnsi"/>
        </w:rPr>
        <w:t>and the required plans and drawings necessary to accompany a development approval</w:t>
      </w:r>
      <w:r w:rsidRPr="0015426F">
        <w:rPr>
          <w:rFonts w:asciiTheme="minorHAnsi" w:hAnsiTheme="minorHAnsi" w:cstheme="minorHAnsi"/>
          <w:spacing w:val="-20"/>
        </w:rPr>
        <w:t xml:space="preserve"> </w:t>
      </w:r>
      <w:r w:rsidRPr="0015426F">
        <w:rPr>
          <w:rFonts w:asciiTheme="minorHAnsi" w:hAnsiTheme="minorHAnsi" w:cstheme="minorHAnsi"/>
        </w:rPr>
        <w:t>application.</w:t>
      </w:r>
    </w:p>
    <w:p w14:paraId="26478E05" w14:textId="77777777" w:rsidR="0015426F" w:rsidRDefault="0015426F">
      <w:bookmarkStart w:id="549" w:name="_TOC_250016"/>
      <w:bookmarkEnd w:id="549"/>
      <w:r>
        <w:br w:type="page"/>
      </w:r>
    </w:p>
    <w:p w14:paraId="22201941" w14:textId="77777777" w:rsidR="00665A13" w:rsidRPr="0015426F" w:rsidRDefault="00665A13" w:rsidP="0015426F">
      <w:pPr>
        <w:spacing w:after="60"/>
        <w:rPr>
          <w:b/>
          <w:sz w:val="28"/>
          <w:szCs w:val="28"/>
        </w:rPr>
      </w:pPr>
      <w:r w:rsidRPr="0015426F">
        <w:rPr>
          <w:b/>
          <w:sz w:val="28"/>
          <w:szCs w:val="28"/>
        </w:rPr>
        <w:lastRenderedPageBreak/>
        <w:t>Policy</w:t>
      </w:r>
    </w:p>
    <w:p w14:paraId="4475985F" w14:textId="77777777" w:rsidR="00665A13" w:rsidRPr="0015426F" w:rsidRDefault="00665A13" w:rsidP="0015426F">
      <w:pPr>
        <w:spacing w:after="60"/>
        <w:rPr>
          <w:b/>
        </w:rPr>
      </w:pPr>
      <w:r w:rsidRPr="0015426F">
        <w:rPr>
          <w:b/>
        </w:rPr>
        <w:t>STATEMENT OF HERITAGE SIGNIFICANCE</w:t>
      </w:r>
    </w:p>
    <w:p w14:paraId="6E635278" w14:textId="77777777" w:rsidR="00665A13" w:rsidRPr="0015426F" w:rsidRDefault="00665A13" w:rsidP="0015426F">
      <w:pPr>
        <w:spacing w:after="0"/>
        <w:rPr>
          <w:b/>
        </w:rPr>
      </w:pPr>
      <w:r w:rsidRPr="0015426F">
        <w:rPr>
          <w:b/>
        </w:rPr>
        <w:t>History</w:t>
      </w:r>
    </w:p>
    <w:p w14:paraId="735FBD40" w14:textId="77777777" w:rsidR="00665A13" w:rsidRPr="0015426F" w:rsidRDefault="00665A13" w:rsidP="0015426F">
      <w:pPr>
        <w:pStyle w:val="BodyText"/>
        <w:spacing w:after="200"/>
        <w:ind w:left="0" w:right="113"/>
        <w:jc w:val="both"/>
        <w:rPr>
          <w:rFonts w:asciiTheme="minorHAnsi" w:hAnsiTheme="minorHAnsi" w:cstheme="minorHAnsi"/>
        </w:rPr>
      </w:pPr>
      <w:r w:rsidRPr="0015426F">
        <w:rPr>
          <w:rFonts w:asciiTheme="minorHAnsi" w:hAnsiTheme="minorHAnsi" w:cstheme="minorHAnsi"/>
        </w:rPr>
        <w:t xml:space="preserve">The George Street Heritage Area subject to this policy, is generally surrounded by the Plympton Precinct (refer to LPP 3.1.1). It is a cohesive area whereby </w:t>
      </w:r>
      <w:proofErr w:type="gramStart"/>
      <w:r w:rsidRPr="0015426F">
        <w:rPr>
          <w:rFonts w:asciiTheme="minorHAnsi" w:hAnsiTheme="minorHAnsi" w:cstheme="minorHAnsi"/>
        </w:rPr>
        <w:t>a majority of</w:t>
      </w:r>
      <w:proofErr w:type="gramEnd"/>
      <w:r w:rsidRPr="0015426F">
        <w:rPr>
          <w:rFonts w:asciiTheme="minorHAnsi" w:hAnsiTheme="minorHAnsi" w:cstheme="minorHAnsi"/>
        </w:rPr>
        <w:t xml:space="preserve"> the places were constructed in</w:t>
      </w:r>
      <w:r w:rsidRPr="0015426F">
        <w:rPr>
          <w:rFonts w:asciiTheme="minorHAnsi" w:hAnsiTheme="minorHAnsi" w:cstheme="minorHAnsi"/>
          <w:spacing w:val="-4"/>
        </w:rPr>
        <w:t xml:space="preserve"> </w:t>
      </w:r>
      <w:r w:rsidRPr="0015426F">
        <w:rPr>
          <w:rFonts w:asciiTheme="minorHAnsi" w:hAnsiTheme="minorHAnsi" w:cstheme="minorHAnsi"/>
        </w:rPr>
        <w:t>the</w:t>
      </w:r>
      <w:r w:rsidRPr="0015426F">
        <w:rPr>
          <w:rFonts w:asciiTheme="minorHAnsi" w:hAnsiTheme="minorHAnsi" w:cstheme="minorHAnsi"/>
          <w:spacing w:val="-2"/>
        </w:rPr>
        <w:t xml:space="preserve"> </w:t>
      </w:r>
      <w:r w:rsidRPr="0015426F">
        <w:rPr>
          <w:rFonts w:asciiTheme="minorHAnsi" w:hAnsiTheme="minorHAnsi" w:cstheme="minorHAnsi"/>
        </w:rPr>
        <w:t>late</w:t>
      </w:r>
      <w:r w:rsidRPr="0015426F">
        <w:rPr>
          <w:rFonts w:asciiTheme="minorHAnsi" w:hAnsiTheme="minorHAnsi" w:cstheme="minorHAnsi"/>
          <w:spacing w:val="-3"/>
        </w:rPr>
        <w:t xml:space="preserve"> </w:t>
      </w:r>
      <w:r w:rsidRPr="0015426F">
        <w:rPr>
          <w:rFonts w:asciiTheme="minorHAnsi" w:hAnsiTheme="minorHAnsi" w:cstheme="minorHAnsi"/>
        </w:rPr>
        <w:t>nineteenth</w:t>
      </w:r>
      <w:r w:rsidRPr="0015426F">
        <w:rPr>
          <w:rFonts w:asciiTheme="minorHAnsi" w:hAnsiTheme="minorHAnsi" w:cstheme="minorHAnsi"/>
          <w:spacing w:val="-4"/>
        </w:rPr>
        <w:t xml:space="preserve"> </w:t>
      </w:r>
      <w:r w:rsidRPr="0015426F">
        <w:rPr>
          <w:rFonts w:asciiTheme="minorHAnsi" w:hAnsiTheme="minorHAnsi" w:cstheme="minorHAnsi"/>
        </w:rPr>
        <w:t>century and</w:t>
      </w:r>
      <w:r w:rsidRPr="0015426F">
        <w:rPr>
          <w:rFonts w:asciiTheme="minorHAnsi" w:hAnsiTheme="minorHAnsi" w:cstheme="minorHAnsi"/>
          <w:spacing w:val="-4"/>
        </w:rPr>
        <w:t xml:space="preserve"> </w:t>
      </w:r>
      <w:r w:rsidRPr="0015426F">
        <w:rPr>
          <w:rFonts w:asciiTheme="minorHAnsi" w:hAnsiTheme="minorHAnsi" w:cstheme="minorHAnsi"/>
        </w:rPr>
        <w:t>the</w:t>
      </w:r>
      <w:r w:rsidRPr="0015426F">
        <w:rPr>
          <w:rFonts w:asciiTheme="minorHAnsi" w:hAnsiTheme="minorHAnsi" w:cstheme="minorHAnsi"/>
          <w:spacing w:val="1"/>
        </w:rPr>
        <w:t xml:space="preserve"> </w:t>
      </w:r>
      <w:r w:rsidRPr="0015426F">
        <w:rPr>
          <w:rFonts w:asciiTheme="minorHAnsi" w:hAnsiTheme="minorHAnsi" w:cstheme="minorHAnsi"/>
        </w:rPr>
        <w:t>first</w:t>
      </w:r>
      <w:r w:rsidRPr="0015426F">
        <w:rPr>
          <w:rFonts w:asciiTheme="minorHAnsi" w:hAnsiTheme="minorHAnsi" w:cstheme="minorHAnsi"/>
          <w:spacing w:val="-1"/>
        </w:rPr>
        <w:t xml:space="preserve"> </w:t>
      </w:r>
      <w:r w:rsidRPr="0015426F">
        <w:rPr>
          <w:rFonts w:asciiTheme="minorHAnsi" w:hAnsiTheme="minorHAnsi" w:cstheme="minorHAnsi"/>
        </w:rPr>
        <w:t>quarter</w:t>
      </w:r>
      <w:r w:rsidRPr="0015426F">
        <w:rPr>
          <w:rFonts w:asciiTheme="minorHAnsi" w:hAnsiTheme="minorHAnsi" w:cstheme="minorHAnsi"/>
          <w:spacing w:val="-4"/>
        </w:rPr>
        <w:t xml:space="preserve"> </w:t>
      </w:r>
      <w:r w:rsidRPr="0015426F">
        <w:rPr>
          <w:rFonts w:asciiTheme="minorHAnsi" w:hAnsiTheme="minorHAnsi" w:cstheme="minorHAnsi"/>
        </w:rPr>
        <w:t>of</w:t>
      </w:r>
      <w:r w:rsidRPr="0015426F">
        <w:rPr>
          <w:rFonts w:asciiTheme="minorHAnsi" w:hAnsiTheme="minorHAnsi" w:cstheme="minorHAnsi"/>
          <w:spacing w:val="-4"/>
        </w:rPr>
        <w:t xml:space="preserve"> </w:t>
      </w:r>
      <w:r w:rsidRPr="0015426F">
        <w:rPr>
          <w:rFonts w:asciiTheme="minorHAnsi" w:hAnsiTheme="minorHAnsi" w:cstheme="minorHAnsi"/>
        </w:rPr>
        <w:t>the</w:t>
      </w:r>
      <w:r w:rsidRPr="0015426F">
        <w:rPr>
          <w:rFonts w:asciiTheme="minorHAnsi" w:hAnsiTheme="minorHAnsi" w:cstheme="minorHAnsi"/>
          <w:spacing w:val="-2"/>
        </w:rPr>
        <w:t xml:space="preserve"> </w:t>
      </w:r>
      <w:r w:rsidRPr="0015426F">
        <w:rPr>
          <w:rFonts w:asciiTheme="minorHAnsi" w:hAnsiTheme="minorHAnsi" w:cstheme="minorHAnsi"/>
        </w:rPr>
        <w:t>twentieth</w:t>
      </w:r>
      <w:r w:rsidRPr="0015426F">
        <w:rPr>
          <w:rFonts w:asciiTheme="minorHAnsi" w:hAnsiTheme="minorHAnsi" w:cstheme="minorHAnsi"/>
          <w:spacing w:val="-4"/>
        </w:rPr>
        <w:t xml:space="preserve"> </w:t>
      </w:r>
      <w:r w:rsidRPr="0015426F">
        <w:rPr>
          <w:rFonts w:asciiTheme="minorHAnsi" w:hAnsiTheme="minorHAnsi" w:cstheme="minorHAnsi"/>
        </w:rPr>
        <w:t>century.</w:t>
      </w:r>
      <w:r w:rsidRPr="0015426F">
        <w:rPr>
          <w:rFonts w:asciiTheme="minorHAnsi" w:hAnsiTheme="minorHAnsi" w:cstheme="minorHAnsi"/>
          <w:spacing w:val="-6"/>
        </w:rPr>
        <w:t xml:space="preserve"> </w:t>
      </w:r>
      <w:r w:rsidRPr="0015426F">
        <w:rPr>
          <w:rFonts w:asciiTheme="minorHAnsi" w:hAnsiTheme="minorHAnsi" w:cstheme="minorHAnsi"/>
        </w:rPr>
        <w:t>It</w:t>
      </w:r>
      <w:r w:rsidRPr="0015426F">
        <w:rPr>
          <w:rFonts w:asciiTheme="minorHAnsi" w:hAnsiTheme="minorHAnsi" w:cstheme="minorHAnsi"/>
          <w:spacing w:val="-3"/>
        </w:rPr>
        <w:t xml:space="preserve"> </w:t>
      </w:r>
      <w:r w:rsidRPr="0015426F">
        <w:rPr>
          <w:rFonts w:asciiTheme="minorHAnsi" w:hAnsiTheme="minorHAnsi" w:cstheme="minorHAnsi"/>
        </w:rPr>
        <w:t>is</w:t>
      </w:r>
      <w:r w:rsidRPr="0015426F">
        <w:rPr>
          <w:rFonts w:asciiTheme="minorHAnsi" w:hAnsiTheme="minorHAnsi" w:cstheme="minorHAnsi"/>
          <w:spacing w:val="-4"/>
        </w:rPr>
        <w:t xml:space="preserve"> </w:t>
      </w:r>
      <w:r w:rsidRPr="0015426F">
        <w:rPr>
          <w:rFonts w:asciiTheme="minorHAnsi" w:hAnsiTheme="minorHAnsi" w:cstheme="minorHAnsi"/>
        </w:rPr>
        <w:t>comprised</w:t>
      </w:r>
      <w:r w:rsidRPr="0015426F">
        <w:rPr>
          <w:rFonts w:asciiTheme="minorHAnsi" w:hAnsiTheme="minorHAnsi" w:cstheme="minorHAnsi"/>
          <w:spacing w:val="-3"/>
        </w:rPr>
        <w:t xml:space="preserve"> </w:t>
      </w:r>
      <w:r w:rsidRPr="0015426F">
        <w:rPr>
          <w:rFonts w:asciiTheme="minorHAnsi" w:hAnsiTheme="minorHAnsi" w:cstheme="minorHAnsi"/>
        </w:rPr>
        <w:t>primarily of commercial buildings with a small number of dwellings for workers and their</w:t>
      </w:r>
      <w:r w:rsidRPr="0015426F">
        <w:rPr>
          <w:rFonts w:asciiTheme="minorHAnsi" w:hAnsiTheme="minorHAnsi" w:cstheme="minorHAnsi"/>
          <w:spacing w:val="-23"/>
        </w:rPr>
        <w:t xml:space="preserve"> </w:t>
      </w:r>
      <w:r w:rsidRPr="0015426F">
        <w:rPr>
          <w:rFonts w:asciiTheme="minorHAnsi" w:hAnsiTheme="minorHAnsi" w:cstheme="minorHAnsi"/>
        </w:rPr>
        <w:t>families.</w:t>
      </w:r>
    </w:p>
    <w:p w14:paraId="3AEC439A" w14:textId="77777777" w:rsidR="00665A13" w:rsidRPr="0015426F" w:rsidRDefault="00665A13" w:rsidP="0015426F">
      <w:pPr>
        <w:pStyle w:val="BodyText"/>
        <w:spacing w:after="200"/>
        <w:ind w:left="0" w:right="113"/>
        <w:jc w:val="both"/>
        <w:rPr>
          <w:rFonts w:asciiTheme="minorHAnsi" w:hAnsiTheme="minorHAnsi" w:cstheme="minorHAnsi"/>
        </w:rPr>
      </w:pPr>
      <w:r w:rsidRPr="0015426F">
        <w:rPr>
          <w:rFonts w:asciiTheme="minorHAnsi" w:hAnsiTheme="minorHAnsi" w:cstheme="minorHAnsi"/>
        </w:rPr>
        <w:t>This Heritage Area is part of a suburban residential development associated</w:t>
      </w:r>
      <w:r w:rsidRPr="0015426F">
        <w:rPr>
          <w:rFonts w:asciiTheme="minorHAnsi" w:hAnsiTheme="minorHAnsi" w:cstheme="minorHAnsi"/>
          <w:spacing w:val="-10"/>
        </w:rPr>
        <w:t xml:space="preserve"> </w:t>
      </w:r>
      <w:r w:rsidRPr="0015426F">
        <w:rPr>
          <w:rFonts w:asciiTheme="minorHAnsi" w:hAnsiTheme="minorHAnsi" w:cstheme="minorHAnsi"/>
        </w:rPr>
        <w:t>with</w:t>
      </w:r>
      <w:r w:rsidRPr="0015426F">
        <w:rPr>
          <w:rFonts w:asciiTheme="minorHAnsi" w:hAnsiTheme="minorHAnsi" w:cstheme="minorHAnsi"/>
          <w:spacing w:val="-9"/>
        </w:rPr>
        <w:t xml:space="preserve"> </w:t>
      </w:r>
      <w:r w:rsidRPr="0015426F">
        <w:rPr>
          <w:rFonts w:asciiTheme="minorHAnsi" w:hAnsiTheme="minorHAnsi" w:cstheme="minorHAnsi"/>
        </w:rPr>
        <w:t>the</w:t>
      </w:r>
      <w:r w:rsidRPr="0015426F">
        <w:rPr>
          <w:rFonts w:asciiTheme="minorHAnsi" w:hAnsiTheme="minorHAnsi" w:cstheme="minorHAnsi"/>
          <w:spacing w:val="-10"/>
        </w:rPr>
        <w:t xml:space="preserve"> </w:t>
      </w:r>
      <w:r w:rsidRPr="0015426F">
        <w:rPr>
          <w:rFonts w:asciiTheme="minorHAnsi" w:hAnsiTheme="minorHAnsi" w:cstheme="minorHAnsi"/>
        </w:rPr>
        <w:t>expansion</w:t>
      </w:r>
      <w:r w:rsidRPr="0015426F">
        <w:rPr>
          <w:rFonts w:asciiTheme="minorHAnsi" w:hAnsiTheme="minorHAnsi" w:cstheme="minorHAnsi"/>
          <w:spacing w:val="-9"/>
        </w:rPr>
        <w:t xml:space="preserve"> </w:t>
      </w:r>
      <w:r w:rsidRPr="0015426F">
        <w:rPr>
          <w:rFonts w:asciiTheme="minorHAnsi" w:hAnsiTheme="minorHAnsi" w:cstheme="minorHAnsi"/>
        </w:rPr>
        <w:t>of</w:t>
      </w:r>
      <w:r w:rsidRPr="0015426F">
        <w:rPr>
          <w:rFonts w:asciiTheme="minorHAnsi" w:hAnsiTheme="minorHAnsi" w:cstheme="minorHAnsi"/>
          <w:spacing w:val="-9"/>
        </w:rPr>
        <w:t xml:space="preserve"> </w:t>
      </w:r>
      <w:r w:rsidRPr="0015426F">
        <w:rPr>
          <w:rFonts w:asciiTheme="minorHAnsi" w:hAnsiTheme="minorHAnsi" w:cstheme="minorHAnsi"/>
        </w:rPr>
        <w:t>Fremantle,</w:t>
      </w:r>
      <w:r w:rsidRPr="0015426F">
        <w:rPr>
          <w:rFonts w:asciiTheme="minorHAnsi" w:hAnsiTheme="minorHAnsi" w:cstheme="minorHAnsi"/>
          <w:spacing w:val="-8"/>
        </w:rPr>
        <w:t xml:space="preserve"> </w:t>
      </w:r>
      <w:r w:rsidRPr="0015426F">
        <w:rPr>
          <w:rFonts w:asciiTheme="minorHAnsi" w:hAnsiTheme="minorHAnsi" w:cstheme="minorHAnsi"/>
        </w:rPr>
        <w:t>and</w:t>
      </w:r>
      <w:r w:rsidRPr="0015426F">
        <w:rPr>
          <w:rFonts w:asciiTheme="minorHAnsi" w:hAnsiTheme="minorHAnsi" w:cstheme="minorHAnsi"/>
          <w:spacing w:val="-9"/>
        </w:rPr>
        <w:t xml:space="preserve"> </w:t>
      </w:r>
      <w:r w:rsidRPr="0015426F">
        <w:rPr>
          <w:rFonts w:asciiTheme="minorHAnsi" w:hAnsiTheme="minorHAnsi" w:cstheme="minorHAnsi"/>
        </w:rPr>
        <w:t>East</w:t>
      </w:r>
      <w:r w:rsidRPr="0015426F">
        <w:rPr>
          <w:rFonts w:asciiTheme="minorHAnsi" w:hAnsiTheme="minorHAnsi" w:cstheme="minorHAnsi"/>
          <w:spacing w:val="-7"/>
        </w:rPr>
        <w:t xml:space="preserve"> </w:t>
      </w:r>
      <w:r w:rsidRPr="0015426F">
        <w:rPr>
          <w:rFonts w:asciiTheme="minorHAnsi" w:hAnsiTheme="minorHAnsi" w:cstheme="minorHAnsi"/>
        </w:rPr>
        <w:t>Fremantle</w:t>
      </w:r>
      <w:r w:rsidRPr="0015426F">
        <w:rPr>
          <w:rFonts w:asciiTheme="minorHAnsi" w:hAnsiTheme="minorHAnsi" w:cstheme="minorHAnsi"/>
          <w:spacing w:val="-8"/>
        </w:rPr>
        <w:t xml:space="preserve"> </w:t>
      </w:r>
      <w:r w:rsidRPr="0015426F">
        <w:rPr>
          <w:rFonts w:asciiTheme="minorHAnsi" w:hAnsiTheme="minorHAnsi" w:cstheme="minorHAnsi"/>
        </w:rPr>
        <w:t>in</w:t>
      </w:r>
      <w:r w:rsidRPr="0015426F">
        <w:rPr>
          <w:rFonts w:asciiTheme="minorHAnsi" w:hAnsiTheme="minorHAnsi" w:cstheme="minorHAnsi"/>
          <w:spacing w:val="-8"/>
        </w:rPr>
        <w:t xml:space="preserve"> </w:t>
      </w:r>
      <w:r w:rsidRPr="0015426F">
        <w:rPr>
          <w:rFonts w:asciiTheme="minorHAnsi" w:hAnsiTheme="minorHAnsi" w:cstheme="minorHAnsi"/>
        </w:rPr>
        <w:t>particular.</w:t>
      </w:r>
      <w:r w:rsidRPr="0015426F">
        <w:rPr>
          <w:rFonts w:asciiTheme="minorHAnsi" w:hAnsiTheme="minorHAnsi" w:cstheme="minorHAnsi"/>
          <w:spacing w:val="-8"/>
        </w:rPr>
        <w:t xml:space="preserve"> </w:t>
      </w:r>
      <w:r w:rsidRPr="0015426F">
        <w:rPr>
          <w:rFonts w:asciiTheme="minorHAnsi" w:hAnsiTheme="minorHAnsi" w:cstheme="minorHAnsi"/>
        </w:rPr>
        <w:t>The</w:t>
      </w:r>
      <w:r w:rsidRPr="0015426F">
        <w:rPr>
          <w:rFonts w:asciiTheme="minorHAnsi" w:hAnsiTheme="minorHAnsi" w:cstheme="minorHAnsi"/>
          <w:spacing w:val="-8"/>
        </w:rPr>
        <w:t xml:space="preserve"> </w:t>
      </w:r>
      <w:r w:rsidRPr="0015426F">
        <w:rPr>
          <w:rFonts w:asciiTheme="minorHAnsi" w:hAnsiTheme="minorHAnsi" w:cstheme="minorHAnsi"/>
        </w:rPr>
        <w:t>discovery</w:t>
      </w:r>
      <w:r w:rsidRPr="0015426F">
        <w:rPr>
          <w:rFonts w:asciiTheme="minorHAnsi" w:hAnsiTheme="minorHAnsi" w:cstheme="minorHAnsi"/>
          <w:spacing w:val="-11"/>
        </w:rPr>
        <w:t xml:space="preserve"> </w:t>
      </w:r>
      <w:r w:rsidRPr="0015426F">
        <w:rPr>
          <w:rFonts w:asciiTheme="minorHAnsi" w:hAnsiTheme="minorHAnsi" w:cstheme="minorHAnsi"/>
        </w:rPr>
        <w:t>of</w:t>
      </w:r>
      <w:r w:rsidRPr="0015426F">
        <w:rPr>
          <w:rFonts w:asciiTheme="minorHAnsi" w:hAnsiTheme="minorHAnsi" w:cstheme="minorHAnsi"/>
          <w:spacing w:val="-8"/>
        </w:rPr>
        <w:t xml:space="preserve"> </w:t>
      </w:r>
      <w:r w:rsidRPr="0015426F">
        <w:rPr>
          <w:rFonts w:asciiTheme="minorHAnsi" w:hAnsiTheme="minorHAnsi" w:cstheme="minorHAnsi"/>
        </w:rPr>
        <w:t>gold in Western Australia in the 1880s and 1890s resulted in a large and rapid increase in population within the Plympton Precinct area. It developed during this time to accommodate Fremantle’s growing population of workers and their families who wanted to live close to their sources of income.</w:t>
      </w:r>
    </w:p>
    <w:p w14:paraId="14EA2E75" w14:textId="77777777" w:rsidR="00665A13" w:rsidRPr="0015426F" w:rsidRDefault="00665A13" w:rsidP="0015426F">
      <w:pPr>
        <w:pStyle w:val="BodyText"/>
        <w:spacing w:after="200"/>
        <w:ind w:left="0" w:right="113"/>
        <w:jc w:val="both"/>
        <w:rPr>
          <w:rFonts w:asciiTheme="minorHAnsi" w:hAnsiTheme="minorHAnsi" w:cstheme="minorHAnsi"/>
        </w:rPr>
      </w:pPr>
      <w:r w:rsidRPr="0015426F">
        <w:rPr>
          <w:rFonts w:asciiTheme="minorHAnsi" w:hAnsiTheme="minorHAnsi" w:cstheme="minorHAnsi"/>
        </w:rPr>
        <w:t>The Area developed</w:t>
      </w:r>
      <w:r w:rsidRPr="0015426F">
        <w:rPr>
          <w:rFonts w:asciiTheme="minorHAnsi" w:hAnsiTheme="minorHAnsi" w:cstheme="minorHAnsi"/>
          <w:spacing w:val="-5"/>
        </w:rPr>
        <w:t xml:space="preserve"> </w:t>
      </w:r>
      <w:r w:rsidRPr="0015426F">
        <w:rPr>
          <w:rFonts w:asciiTheme="minorHAnsi" w:hAnsiTheme="minorHAnsi" w:cstheme="minorHAnsi"/>
        </w:rPr>
        <w:t>integrally</w:t>
      </w:r>
      <w:r w:rsidRPr="0015426F">
        <w:rPr>
          <w:rFonts w:asciiTheme="minorHAnsi" w:hAnsiTheme="minorHAnsi" w:cstheme="minorHAnsi"/>
          <w:spacing w:val="-6"/>
        </w:rPr>
        <w:t xml:space="preserve"> </w:t>
      </w:r>
      <w:r w:rsidRPr="0015426F">
        <w:rPr>
          <w:rFonts w:asciiTheme="minorHAnsi" w:hAnsiTheme="minorHAnsi" w:cstheme="minorHAnsi"/>
        </w:rPr>
        <w:t>with</w:t>
      </w:r>
      <w:r w:rsidRPr="0015426F">
        <w:rPr>
          <w:rFonts w:asciiTheme="minorHAnsi" w:hAnsiTheme="minorHAnsi" w:cstheme="minorHAnsi"/>
          <w:spacing w:val="-8"/>
        </w:rPr>
        <w:t xml:space="preserve"> </w:t>
      </w:r>
      <w:r w:rsidRPr="0015426F">
        <w:rPr>
          <w:rFonts w:asciiTheme="minorHAnsi" w:hAnsiTheme="minorHAnsi" w:cstheme="minorHAnsi"/>
        </w:rPr>
        <w:t>the</w:t>
      </w:r>
      <w:r w:rsidRPr="0015426F">
        <w:rPr>
          <w:rFonts w:asciiTheme="minorHAnsi" w:hAnsiTheme="minorHAnsi" w:cstheme="minorHAnsi"/>
          <w:spacing w:val="-5"/>
        </w:rPr>
        <w:t xml:space="preserve"> </w:t>
      </w:r>
      <w:r w:rsidRPr="0015426F">
        <w:rPr>
          <w:rFonts w:asciiTheme="minorHAnsi" w:hAnsiTheme="minorHAnsi" w:cstheme="minorHAnsi"/>
        </w:rPr>
        <w:t>establishment</w:t>
      </w:r>
      <w:r w:rsidRPr="0015426F">
        <w:rPr>
          <w:rFonts w:asciiTheme="minorHAnsi" w:hAnsiTheme="minorHAnsi" w:cstheme="minorHAnsi"/>
          <w:spacing w:val="-6"/>
        </w:rPr>
        <w:t xml:space="preserve"> </w:t>
      </w:r>
      <w:r w:rsidRPr="0015426F">
        <w:rPr>
          <w:rFonts w:asciiTheme="minorHAnsi" w:hAnsiTheme="minorHAnsi" w:cstheme="minorHAnsi"/>
        </w:rPr>
        <w:t>of</w:t>
      </w:r>
      <w:r w:rsidRPr="0015426F">
        <w:rPr>
          <w:rFonts w:asciiTheme="minorHAnsi" w:hAnsiTheme="minorHAnsi" w:cstheme="minorHAnsi"/>
          <w:spacing w:val="-8"/>
        </w:rPr>
        <w:t xml:space="preserve"> </w:t>
      </w:r>
      <w:r w:rsidRPr="0015426F">
        <w:rPr>
          <w:rFonts w:asciiTheme="minorHAnsi" w:hAnsiTheme="minorHAnsi" w:cstheme="minorHAnsi"/>
          <w:spacing w:val="-2"/>
        </w:rPr>
        <w:t>the</w:t>
      </w:r>
      <w:r w:rsidRPr="0015426F">
        <w:rPr>
          <w:rFonts w:asciiTheme="minorHAnsi" w:hAnsiTheme="minorHAnsi" w:cstheme="minorHAnsi"/>
          <w:spacing w:val="-5"/>
        </w:rPr>
        <w:t xml:space="preserve"> </w:t>
      </w:r>
      <w:r w:rsidRPr="0015426F">
        <w:rPr>
          <w:rFonts w:asciiTheme="minorHAnsi" w:hAnsiTheme="minorHAnsi" w:cstheme="minorHAnsi"/>
        </w:rPr>
        <w:t>Plympton</w:t>
      </w:r>
      <w:r w:rsidRPr="0015426F">
        <w:rPr>
          <w:rFonts w:asciiTheme="minorHAnsi" w:hAnsiTheme="minorHAnsi" w:cstheme="minorHAnsi"/>
          <w:spacing w:val="-6"/>
        </w:rPr>
        <w:t xml:space="preserve"> </w:t>
      </w:r>
      <w:r w:rsidRPr="0015426F">
        <w:rPr>
          <w:rFonts w:asciiTheme="minorHAnsi" w:hAnsiTheme="minorHAnsi" w:cstheme="minorHAnsi"/>
        </w:rPr>
        <w:t>area when</w:t>
      </w:r>
      <w:r w:rsidRPr="0015426F">
        <w:rPr>
          <w:rFonts w:asciiTheme="minorHAnsi" w:hAnsiTheme="minorHAnsi" w:cstheme="minorHAnsi"/>
          <w:spacing w:val="-9"/>
        </w:rPr>
        <w:t xml:space="preserve"> </w:t>
      </w:r>
      <w:r w:rsidRPr="0015426F">
        <w:rPr>
          <w:rFonts w:asciiTheme="minorHAnsi" w:hAnsiTheme="minorHAnsi" w:cstheme="minorHAnsi"/>
        </w:rPr>
        <w:t>a</w:t>
      </w:r>
      <w:r w:rsidRPr="0015426F">
        <w:rPr>
          <w:rFonts w:asciiTheme="minorHAnsi" w:hAnsiTheme="minorHAnsi" w:cstheme="minorHAnsi"/>
          <w:spacing w:val="-11"/>
        </w:rPr>
        <w:t xml:space="preserve"> </w:t>
      </w:r>
      <w:proofErr w:type="spellStart"/>
      <w:r w:rsidRPr="0015426F">
        <w:rPr>
          <w:rFonts w:asciiTheme="minorHAnsi" w:hAnsiTheme="minorHAnsi" w:cstheme="minorHAnsi"/>
        </w:rPr>
        <w:t>localised</w:t>
      </w:r>
      <w:proofErr w:type="spellEnd"/>
      <w:r w:rsidRPr="0015426F">
        <w:rPr>
          <w:rFonts w:asciiTheme="minorHAnsi" w:hAnsiTheme="minorHAnsi" w:cstheme="minorHAnsi"/>
          <w:spacing w:val="-14"/>
        </w:rPr>
        <w:t xml:space="preserve"> </w:t>
      </w:r>
      <w:r w:rsidRPr="0015426F">
        <w:rPr>
          <w:rFonts w:asciiTheme="minorHAnsi" w:hAnsiTheme="minorHAnsi" w:cstheme="minorHAnsi"/>
        </w:rPr>
        <w:t>provision</w:t>
      </w:r>
      <w:r w:rsidRPr="0015426F">
        <w:rPr>
          <w:rFonts w:asciiTheme="minorHAnsi" w:hAnsiTheme="minorHAnsi" w:cstheme="minorHAnsi"/>
          <w:spacing w:val="-8"/>
        </w:rPr>
        <w:t xml:space="preserve"> </w:t>
      </w:r>
      <w:r w:rsidRPr="0015426F">
        <w:rPr>
          <w:rFonts w:asciiTheme="minorHAnsi" w:hAnsiTheme="minorHAnsi" w:cstheme="minorHAnsi"/>
        </w:rPr>
        <w:t>for</w:t>
      </w:r>
      <w:r w:rsidRPr="0015426F">
        <w:rPr>
          <w:rFonts w:asciiTheme="minorHAnsi" w:hAnsiTheme="minorHAnsi" w:cstheme="minorHAnsi"/>
          <w:spacing w:val="-10"/>
        </w:rPr>
        <w:t xml:space="preserve"> </w:t>
      </w:r>
      <w:r w:rsidRPr="0015426F">
        <w:rPr>
          <w:rFonts w:asciiTheme="minorHAnsi" w:hAnsiTheme="minorHAnsi" w:cstheme="minorHAnsi"/>
        </w:rPr>
        <w:t>goods</w:t>
      </w:r>
      <w:r w:rsidRPr="0015426F">
        <w:rPr>
          <w:rFonts w:asciiTheme="minorHAnsi" w:hAnsiTheme="minorHAnsi" w:cstheme="minorHAnsi"/>
          <w:spacing w:val="-7"/>
        </w:rPr>
        <w:t xml:space="preserve"> </w:t>
      </w:r>
      <w:r w:rsidRPr="0015426F">
        <w:rPr>
          <w:rFonts w:asciiTheme="minorHAnsi" w:hAnsiTheme="minorHAnsi" w:cstheme="minorHAnsi"/>
        </w:rPr>
        <w:t>and</w:t>
      </w:r>
      <w:r w:rsidRPr="0015426F">
        <w:rPr>
          <w:rFonts w:asciiTheme="minorHAnsi" w:hAnsiTheme="minorHAnsi" w:cstheme="minorHAnsi"/>
          <w:spacing w:val="-11"/>
        </w:rPr>
        <w:t xml:space="preserve"> </w:t>
      </w:r>
      <w:r w:rsidRPr="0015426F">
        <w:rPr>
          <w:rFonts w:asciiTheme="minorHAnsi" w:hAnsiTheme="minorHAnsi" w:cstheme="minorHAnsi"/>
        </w:rPr>
        <w:t>services</w:t>
      </w:r>
      <w:r w:rsidRPr="0015426F">
        <w:rPr>
          <w:rFonts w:asciiTheme="minorHAnsi" w:hAnsiTheme="minorHAnsi" w:cstheme="minorHAnsi"/>
          <w:spacing w:val="-10"/>
        </w:rPr>
        <w:t xml:space="preserve"> </w:t>
      </w:r>
      <w:r w:rsidRPr="0015426F">
        <w:rPr>
          <w:rFonts w:asciiTheme="minorHAnsi" w:hAnsiTheme="minorHAnsi" w:cstheme="minorHAnsi"/>
        </w:rPr>
        <w:t>was</w:t>
      </w:r>
      <w:r w:rsidRPr="0015426F">
        <w:rPr>
          <w:rFonts w:asciiTheme="minorHAnsi" w:hAnsiTheme="minorHAnsi" w:cstheme="minorHAnsi"/>
          <w:spacing w:val="-13"/>
        </w:rPr>
        <w:t xml:space="preserve"> </w:t>
      </w:r>
      <w:r w:rsidRPr="0015426F">
        <w:rPr>
          <w:rFonts w:asciiTheme="minorHAnsi" w:hAnsiTheme="minorHAnsi" w:cstheme="minorHAnsi"/>
        </w:rPr>
        <w:t>required</w:t>
      </w:r>
      <w:r w:rsidRPr="0015426F">
        <w:rPr>
          <w:rFonts w:asciiTheme="minorHAnsi" w:hAnsiTheme="minorHAnsi" w:cstheme="minorHAnsi"/>
          <w:spacing w:val="-8"/>
        </w:rPr>
        <w:t xml:space="preserve"> </w:t>
      </w:r>
      <w:r w:rsidRPr="0015426F">
        <w:rPr>
          <w:rFonts w:asciiTheme="minorHAnsi" w:hAnsiTheme="minorHAnsi" w:cstheme="minorHAnsi"/>
        </w:rPr>
        <w:t>for</w:t>
      </w:r>
      <w:r w:rsidRPr="0015426F">
        <w:rPr>
          <w:rFonts w:asciiTheme="minorHAnsi" w:hAnsiTheme="minorHAnsi" w:cstheme="minorHAnsi"/>
          <w:spacing w:val="-11"/>
        </w:rPr>
        <w:t xml:space="preserve"> </w:t>
      </w:r>
      <w:r w:rsidRPr="0015426F">
        <w:rPr>
          <w:rFonts w:asciiTheme="minorHAnsi" w:hAnsiTheme="minorHAnsi" w:cstheme="minorHAnsi"/>
        </w:rPr>
        <w:t>the</w:t>
      </w:r>
      <w:r w:rsidRPr="0015426F">
        <w:rPr>
          <w:rFonts w:asciiTheme="minorHAnsi" w:hAnsiTheme="minorHAnsi" w:cstheme="minorHAnsi"/>
          <w:spacing w:val="-12"/>
        </w:rPr>
        <w:t xml:space="preserve"> </w:t>
      </w:r>
      <w:r w:rsidRPr="0015426F">
        <w:rPr>
          <w:rFonts w:asciiTheme="minorHAnsi" w:hAnsiTheme="minorHAnsi" w:cstheme="minorHAnsi"/>
        </w:rPr>
        <w:t>occupants</w:t>
      </w:r>
      <w:r w:rsidRPr="0015426F">
        <w:rPr>
          <w:rFonts w:asciiTheme="minorHAnsi" w:hAnsiTheme="minorHAnsi" w:cstheme="minorHAnsi"/>
          <w:spacing w:val="-10"/>
        </w:rPr>
        <w:t xml:space="preserve"> </w:t>
      </w:r>
      <w:r w:rsidRPr="0015426F">
        <w:rPr>
          <w:rFonts w:asciiTheme="minorHAnsi" w:hAnsiTheme="minorHAnsi" w:cstheme="minorHAnsi"/>
          <w:spacing w:val="-3"/>
        </w:rPr>
        <w:t>in</w:t>
      </w:r>
      <w:r w:rsidRPr="0015426F">
        <w:rPr>
          <w:rFonts w:asciiTheme="minorHAnsi" w:hAnsiTheme="minorHAnsi" w:cstheme="minorHAnsi"/>
          <w:spacing w:val="-9"/>
        </w:rPr>
        <w:t xml:space="preserve"> </w:t>
      </w:r>
      <w:r w:rsidRPr="0015426F">
        <w:rPr>
          <w:rFonts w:asciiTheme="minorHAnsi" w:hAnsiTheme="minorHAnsi" w:cstheme="minorHAnsi"/>
        </w:rPr>
        <w:t>the</w:t>
      </w:r>
      <w:r w:rsidRPr="0015426F">
        <w:rPr>
          <w:rFonts w:asciiTheme="minorHAnsi" w:hAnsiTheme="minorHAnsi" w:cstheme="minorHAnsi"/>
          <w:spacing w:val="-11"/>
        </w:rPr>
        <w:t xml:space="preserve"> </w:t>
      </w:r>
      <w:r w:rsidRPr="0015426F">
        <w:rPr>
          <w:rFonts w:asciiTheme="minorHAnsi" w:hAnsiTheme="minorHAnsi" w:cstheme="minorHAnsi"/>
        </w:rPr>
        <w:t>vicinity.</w:t>
      </w:r>
      <w:r w:rsidRPr="0015426F">
        <w:rPr>
          <w:rFonts w:asciiTheme="minorHAnsi" w:hAnsiTheme="minorHAnsi" w:cstheme="minorHAnsi"/>
          <w:spacing w:val="-13"/>
        </w:rPr>
        <w:t xml:space="preserve"> </w:t>
      </w:r>
      <w:r w:rsidRPr="0015426F">
        <w:rPr>
          <w:rFonts w:asciiTheme="minorHAnsi" w:hAnsiTheme="minorHAnsi" w:cstheme="minorHAnsi"/>
        </w:rPr>
        <w:t xml:space="preserve">The establishment of a civic </w:t>
      </w:r>
      <w:proofErr w:type="spellStart"/>
      <w:r w:rsidRPr="0015426F">
        <w:rPr>
          <w:rFonts w:asciiTheme="minorHAnsi" w:hAnsiTheme="minorHAnsi" w:cstheme="minorHAnsi"/>
        </w:rPr>
        <w:t>centre</w:t>
      </w:r>
      <w:proofErr w:type="spellEnd"/>
      <w:r w:rsidRPr="0015426F">
        <w:rPr>
          <w:rFonts w:asciiTheme="minorHAnsi" w:hAnsiTheme="minorHAnsi" w:cstheme="minorHAnsi"/>
        </w:rPr>
        <w:t xml:space="preserve"> between King and Duke Street led to the development of this part of George Street. By the end of World War I, the construction of several corner shops had been completed. In 1974, the Stirling Bridge was built and in 1985 it was extended through to Leach Highway. In the twenty-first century, the George Street Heritage Area has undergone extensive redevelopment with progressive restoration of shop fronts and verandahs, the reoccupation of shops, major restoration of significant heritage buildings and development on vacant portions of heritage</w:t>
      </w:r>
      <w:r w:rsidRPr="0015426F">
        <w:rPr>
          <w:rFonts w:asciiTheme="minorHAnsi" w:hAnsiTheme="minorHAnsi" w:cstheme="minorHAnsi"/>
          <w:spacing w:val="-2"/>
        </w:rPr>
        <w:t xml:space="preserve"> </w:t>
      </w:r>
      <w:r w:rsidRPr="0015426F">
        <w:rPr>
          <w:rFonts w:asciiTheme="minorHAnsi" w:hAnsiTheme="minorHAnsi" w:cstheme="minorHAnsi"/>
        </w:rPr>
        <w:t>sites.</w:t>
      </w:r>
    </w:p>
    <w:p w14:paraId="77050B3A" w14:textId="77777777" w:rsidR="00665A13" w:rsidRPr="0015426F" w:rsidRDefault="00665A13" w:rsidP="0015426F">
      <w:pPr>
        <w:spacing w:after="0"/>
        <w:rPr>
          <w:b/>
        </w:rPr>
      </w:pPr>
      <w:r w:rsidRPr="0015426F">
        <w:rPr>
          <w:b/>
        </w:rPr>
        <w:t>Streetscape</w:t>
      </w:r>
    </w:p>
    <w:p w14:paraId="178CB047" w14:textId="77777777" w:rsidR="00665A13" w:rsidRPr="0015426F" w:rsidRDefault="00665A13" w:rsidP="0015426F">
      <w:pPr>
        <w:pStyle w:val="BodyText"/>
        <w:spacing w:after="200"/>
        <w:ind w:left="0" w:right="-28"/>
        <w:jc w:val="both"/>
        <w:rPr>
          <w:rFonts w:asciiTheme="minorHAnsi" w:hAnsiTheme="minorHAnsi" w:cstheme="minorHAnsi"/>
        </w:rPr>
      </w:pPr>
      <w:r w:rsidRPr="0015426F">
        <w:rPr>
          <w:rFonts w:asciiTheme="minorHAnsi" w:hAnsiTheme="minorHAnsi" w:cstheme="minorHAnsi"/>
        </w:rPr>
        <w:t>George Street presents as a variegated streetscape, with a range of single and multi-levelled commercial and residential structures spread along its length in an irregular lot arrangement. This includes both original historic structures and some more recent infill development, which has been of generally consistent scale and form, though with a contemporary architectural feel in the main. Most original buildings remain reasonably intact, although some are deteriorated without awnings and others have been modified.</w:t>
      </w:r>
    </w:p>
    <w:p w14:paraId="0B533F2E" w14:textId="77777777" w:rsidR="00665A13" w:rsidRPr="0015426F" w:rsidRDefault="00665A13" w:rsidP="0015426F">
      <w:pPr>
        <w:pStyle w:val="BodyText"/>
        <w:spacing w:after="200"/>
        <w:ind w:left="0" w:right="-28"/>
        <w:jc w:val="both"/>
        <w:rPr>
          <w:rFonts w:asciiTheme="minorHAnsi" w:hAnsiTheme="minorHAnsi" w:cstheme="minorHAnsi"/>
        </w:rPr>
      </w:pPr>
      <w:r w:rsidRPr="0015426F">
        <w:rPr>
          <w:rFonts w:asciiTheme="minorHAnsi" w:hAnsiTheme="minorHAnsi" w:cstheme="minorHAnsi"/>
        </w:rPr>
        <w:t>The</w:t>
      </w:r>
      <w:r w:rsidRPr="0015426F">
        <w:rPr>
          <w:rFonts w:asciiTheme="minorHAnsi" w:hAnsiTheme="minorHAnsi" w:cstheme="minorHAnsi"/>
          <w:spacing w:val="-10"/>
        </w:rPr>
        <w:t xml:space="preserve"> </w:t>
      </w:r>
      <w:r w:rsidRPr="0015426F">
        <w:rPr>
          <w:rFonts w:asciiTheme="minorHAnsi" w:hAnsiTheme="minorHAnsi" w:cstheme="minorHAnsi"/>
        </w:rPr>
        <w:t>most</w:t>
      </w:r>
      <w:r w:rsidRPr="0015426F">
        <w:rPr>
          <w:rFonts w:asciiTheme="minorHAnsi" w:hAnsiTheme="minorHAnsi" w:cstheme="minorHAnsi"/>
          <w:spacing w:val="-12"/>
        </w:rPr>
        <w:t xml:space="preserve"> </w:t>
      </w:r>
      <w:r w:rsidRPr="0015426F">
        <w:rPr>
          <w:rFonts w:asciiTheme="minorHAnsi" w:hAnsiTheme="minorHAnsi" w:cstheme="minorHAnsi"/>
        </w:rPr>
        <w:t>significant</w:t>
      </w:r>
      <w:r w:rsidRPr="0015426F">
        <w:rPr>
          <w:rFonts w:asciiTheme="minorHAnsi" w:hAnsiTheme="minorHAnsi" w:cstheme="minorHAnsi"/>
          <w:spacing w:val="-11"/>
        </w:rPr>
        <w:t xml:space="preserve"> </w:t>
      </w:r>
      <w:r w:rsidRPr="0015426F">
        <w:rPr>
          <w:rFonts w:asciiTheme="minorHAnsi" w:hAnsiTheme="minorHAnsi" w:cstheme="minorHAnsi"/>
        </w:rPr>
        <w:t>change</w:t>
      </w:r>
      <w:r w:rsidRPr="0015426F">
        <w:rPr>
          <w:rFonts w:asciiTheme="minorHAnsi" w:hAnsiTheme="minorHAnsi" w:cstheme="minorHAnsi"/>
          <w:spacing w:val="-9"/>
        </w:rPr>
        <w:t xml:space="preserve"> </w:t>
      </w:r>
      <w:r w:rsidRPr="0015426F">
        <w:rPr>
          <w:rFonts w:asciiTheme="minorHAnsi" w:hAnsiTheme="minorHAnsi" w:cstheme="minorHAnsi"/>
        </w:rPr>
        <w:t>has</w:t>
      </w:r>
      <w:r w:rsidRPr="0015426F">
        <w:rPr>
          <w:rFonts w:asciiTheme="minorHAnsi" w:hAnsiTheme="minorHAnsi" w:cstheme="minorHAnsi"/>
          <w:spacing w:val="-12"/>
        </w:rPr>
        <w:t xml:space="preserve"> </w:t>
      </w:r>
      <w:r w:rsidRPr="0015426F">
        <w:rPr>
          <w:rFonts w:asciiTheme="minorHAnsi" w:hAnsiTheme="minorHAnsi" w:cstheme="minorHAnsi"/>
        </w:rPr>
        <w:t>occurred</w:t>
      </w:r>
      <w:r w:rsidRPr="0015426F">
        <w:rPr>
          <w:rFonts w:asciiTheme="minorHAnsi" w:hAnsiTheme="minorHAnsi" w:cstheme="minorHAnsi"/>
          <w:spacing w:val="-11"/>
        </w:rPr>
        <w:t xml:space="preserve"> </w:t>
      </w:r>
      <w:r w:rsidRPr="0015426F">
        <w:rPr>
          <w:rFonts w:asciiTheme="minorHAnsi" w:hAnsiTheme="minorHAnsi" w:cstheme="minorHAnsi"/>
        </w:rPr>
        <w:t>at</w:t>
      </w:r>
      <w:r w:rsidRPr="0015426F">
        <w:rPr>
          <w:rFonts w:asciiTheme="minorHAnsi" w:hAnsiTheme="minorHAnsi" w:cstheme="minorHAnsi"/>
          <w:spacing w:val="-8"/>
        </w:rPr>
        <w:t xml:space="preserve"> </w:t>
      </w:r>
      <w:r w:rsidRPr="0015426F">
        <w:rPr>
          <w:rFonts w:asciiTheme="minorHAnsi" w:hAnsiTheme="minorHAnsi" w:cstheme="minorHAnsi"/>
        </w:rPr>
        <w:t>the</w:t>
      </w:r>
      <w:r w:rsidRPr="0015426F">
        <w:rPr>
          <w:rFonts w:asciiTheme="minorHAnsi" w:hAnsiTheme="minorHAnsi" w:cstheme="minorHAnsi"/>
          <w:spacing w:val="-10"/>
        </w:rPr>
        <w:t xml:space="preserve"> </w:t>
      </w:r>
      <w:r w:rsidRPr="0015426F">
        <w:rPr>
          <w:rFonts w:asciiTheme="minorHAnsi" w:hAnsiTheme="minorHAnsi" w:cstheme="minorHAnsi"/>
        </w:rPr>
        <w:t>western</w:t>
      </w:r>
      <w:r w:rsidRPr="0015426F">
        <w:rPr>
          <w:rFonts w:asciiTheme="minorHAnsi" w:hAnsiTheme="minorHAnsi" w:cstheme="minorHAnsi"/>
          <w:spacing w:val="-14"/>
        </w:rPr>
        <w:t xml:space="preserve"> </w:t>
      </w:r>
      <w:r w:rsidRPr="0015426F">
        <w:rPr>
          <w:rFonts w:asciiTheme="minorHAnsi" w:hAnsiTheme="minorHAnsi" w:cstheme="minorHAnsi"/>
        </w:rPr>
        <w:t>end,</w:t>
      </w:r>
      <w:r w:rsidRPr="0015426F">
        <w:rPr>
          <w:rFonts w:asciiTheme="minorHAnsi" w:hAnsiTheme="minorHAnsi" w:cstheme="minorHAnsi"/>
          <w:spacing w:val="-9"/>
        </w:rPr>
        <w:t xml:space="preserve"> </w:t>
      </w:r>
      <w:r w:rsidRPr="0015426F">
        <w:rPr>
          <w:rFonts w:asciiTheme="minorHAnsi" w:hAnsiTheme="minorHAnsi" w:cstheme="minorHAnsi"/>
        </w:rPr>
        <w:t>where</w:t>
      </w:r>
      <w:r w:rsidRPr="0015426F">
        <w:rPr>
          <w:rFonts w:asciiTheme="minorHAnsi" w:hAnsiTheme="minorHAnsi" w:cstheme="minorHAnsi"/>
          <w:spacing w:val="-10"/>
        </w:rPr>
        <w:t xml:space="preserve"> </w:t>
      </w:r>
      <w:r w:rsidRPr="0015426F">
        <w:rPr>
          <w:rFonts w:asciiTheme="minorHAnsi" w:hAnsiTheme="minorHAnsi" w:cstheme="minorHAnsi"/>
        </w:rPr>
        <w:t>the</w:t>
      </w:r>
      <w:r w:rsidRPr="0015426F">
        <w:rPr>
          <w:rFonts w:asciiTheme="minorHAnsi" w:hAnsiTheme="minorHAnsi" w:cstheme="minorHAnsi"/>
          <w:spacing w:val="-12"/>
        </w:rPr>
        <w:t xml:space="preserve"> </w:t>
      </w:r>
      <w:r w:rsidRPr="0015426F">
        <w:rPr>
          <w:rFonts w:asciiTheme="minorHAnsi" w:hAnsiTheme="minorHAnsi" w:cstheme="minorHAnsi"/>
        </w:rPr>
        <w:t>1970s</w:t>
      </w:r>
      <w:r w:rsidRPr="0015426F">
        <w:rPr>
          <w:rFonts w:asciiTheme="minorHAnsi" w:hAnsiTheme="minorHAnsi" w:cstheme="minorHAnsi"/>
          <w:spacing w:val="-12"/>
        </w:rPr>
        <w:t xml:space="preserve"> </w:t>
      </w:r>
      <w:proofErr w:type="spellStart"/>
      <w:r w:rsidRPr="0015426F">
        <w:rPr>
          <w:rFonts w:asciiTheme="minorHAnsi" w:hAnsiTheme="minorHAnsi" w:cstheme="minorHAnsi"/>
        </w:rPr>
        <w:t>Harbour</w:t>
      </w:r>
      <w:proofErr w:type="spellEnd"/>
      <w:r w:rsidRPr="0015426F">
        <w:rPr>
          <w:rFonts w:asciiTheme="minorHAnsi" w:hAnsiTheme="minorHAnsi" w:cstheme="minorHAnsi"/>
          <w:spacing w:val="-10"/>
        </w:rPr>
        <w:t xml:space="preserve"> </w:t>
      </w:r>
      <w:r w:rsidRPr="0015426F">
        <w:rPr>
          <w:rFonts w:asciiTheme="minorHAnsi" w:hAnsiTheme="minorHAnsi" w:cstheme="minorHAnsi"/>
        </w:rPr>
        <w:t>Heights</w:t>
      </w:r>
      <w:r w:rsidRPr="0015426F">
        <w:rPr>
          <w:rFonts w:asciiTheme="minorHAnsi" w:hAnsiTheme="minorHAnsi" w:cstheme="minorHAnsi"/>
          <w:spacing w:val="-13"/>
        </w:rPr>
        <w:t xml:space="preserve"> </w:t>
      </w:r>
      <w:r w:rsidRPr="0015426F">
        <w:rPr>
          <w:rFonts w:asciiTheme="minorHAnsi" w:hAnsiTheme="minorHAnsi" w:cstheme="minorHAnsi"/>
        </w:rPr>
        <w:t>high- rise block of apartments dominates the entry to the precinct, although this structure is itself somewhat isolated by its open car parking area located to the east of the building. Opposite this building</w:t>
      </w:r>
      <w:r w:rsidRPr="0015426F">
        <w:rPr>
          <w:rFonts w:asciiTheme="minorHAnsi" w:hAnsiTheme="minorHAnsi" w:cstheme="minorHAnsi"/>
          <w:spacing w:val="-8"/>
        </w:rPr>
        <w:t xml:space="preserve"> </w:t>
      </w:r>
      <w:r w:rsidRPr="0015426F">
        <w:rPr>
          <w:rFonts w:asciiTheme="minorHAnsi" w:hAnsiTheme="minorHAnsi" w:cstheme="minorHAnsi"/>
        </w:rPr>
        <w:t>on</w:t>
      </w:r>
      <w:r w:rsidRPr="0015426F">
        <w:rPr>
          <w:rFonts w:asciiTheme="minorHAnsi" w:hAnsiTheme="minorHAnsi" w:cstheme="minorHAnsi"/>
          <w:spacing w:val="-9"/>
        </w:rPr>
        <w:t xml:space="preserve"> </w:t>
      </w:r>
      <w:r w:rsidRPr="0015426F">
        <w:rPr>
          <w:rFonts w:asciiTheme="minorHAnsi" w:hAnsiTheme="minorHAnsi" w:cstheme="minorHAnsi"/>
        </w:rPr>
        <w:t>the</w:t>
      </w:r>
      <w:r w:rsidRPr="0015426F">
        <w:rPr>
          <w:rFonts w:asciiTheme="minorHAnsi" w:hAnsiTheme="minorHAnsi" w:cstheme="minorHAnsi"/>
          <w:spacing w:val="-11"/>
        </w:rPr>
        <w:t xml:space="preserve"> </w:t>
      </w:r>
      <w:r w:rsidRPr="0015426F">
        <w:rPr>
          <w:rFonts w:asciiTheme="minorHAnsi" w:hAnsiTheme="minorHAnsi" w:cstheme="minorHAnsi"/>
        </w:rPr>
        <w:t>north</w:t>
      </w:r>
      <w:r w:rsidRPr="0015426F">
        <w:rPr>
          <w:rFonts w:asciiTheme="minorHAnsi" w:hAnsiTheme="minorHAnsi" w:cstheme="minorHAnsi"/>
          <w:spacing w:val="-9"/>
        </w:rPr>
        <w:t xml:space="preserve"> </w:t>
      </w:r>
      <w:r w:rsidRPr="0015426F">
        <w:rPr>
          <w:rFonts w:asciiTheme="minorHAnsi" w:hAnsiTheme="minorHAnsi" w:cstheme="minorHAnsi"/>
        </w:rPr>
        <w:t>side</w:t>
      </w:r>
      <w:r w:rsidRPr="0015426F">
        <w:rPr>
          <w:rFonts w:asciiTheme="minorHAnsi" w:hAnsiTheme="minorHAnsi" w:cstheme="minorHAnsi"/>
          <w:spacing w:val="-14"/>
        </w:rPr>
        <w:t xml:space="preserve"> </w:t>
      </w:r>
      <w:r w:rsidRPr="0015426F">
        <w:rPr>
          <w:rFonts w:asciiTheme="minorHAnsi" w:hAnsiTheme="minorHAnsi" w:cstheme="minorHAnsi"/>
        </w:rPr>
        <w:t>of</w:t>
      </w:r>
      <w:r w:rsidRPr="0015426F">
        <w:rPr>
          <w:rFonts w:asciiTheme="minorHAnsi" w:hAnsiTheme="minorHAnsi" w:cstheme="minorHAnsi"/>
          <w:spacing w:val="-7"/>
        </w:rPr>
        <w:t xml:space="preserve"> </w:t>
      </w:r>
      <w:r w:rsidRPr="0015426F">
        <w:rPr>
          <w:rFonts w:asciiTheme="minorHAnsi" w:hAnsiTheme="minorHAnsi" w:cstheme="minorHAnsi"/>
        </w:rPr>
        <w:t>the</w:t>
      </w:r>
      <w:r w:rsidRPr="0015426F">
        <w:rPr>
          <w:rFonts w:asciiTheme="minorHAnsi" w:hAnsiTheme="minorHAnsi" w:cstheme="minorHAnsi"/>
          <w:spacing w:val="-12"/>
        </w:rPr>
        <w:t xml:space="preserve"> </w:t>
      </w:r>
      <w:r w:rsidRPr="0015426F">
        <w:rPr>
          <w:rFonts w:asciiTheme="minorHAnsi" w:hAnsiTheme="minorHAnsi" w:cstheme="minorHAnsi"/>
        </w:rPr>
        <w:t>street,</w:t>
      </w:r>
      <w:r w:rsidRPr="0015426F">
        <w:rPr>
          <w:rFonts w:asciiTheme="minorHAnsi" w:hAnsiTheme="minorHAnsi" w:cstheme="minorHAnsi"/>
          <w:spacing w:val="-11"/>
        </w:rPr>
        <w:t xml:space="preserve"> </w:t>
      </w:r>
      <w:r w:rsidRPr="0015426F">
        <w:rPr>
          <w:rFonts w:asciiTheme="minorHAnsi" w:hAnsiTheme="minorHAnsi" w:cstheme="minorHAnsi"/>
        </w:rPr>
        <w:t>a</w:t>
      </w:r>
      <w:r w:rsidRPr="0015426F">
        <w:rPr>
          <w:rFonts w:asciiTheme="minorHAnsi" w:hAnsiTheme="minorHAnsi" w:cstheme="minorHAnsi"/>
          <w:spacing w:val="-10"/>
        </w:rPr>
        <w:t xml:space="preserve"> </w:t>
      </w:r>
      <w:r w:rsidRPr="0015426F">
        <w:rPr>
          <w:rFonts w:asciiTheme="minorHAnsi" w:hAnsiTheme="minorHAnsi" w:cstheme="minorHAnsi"/>
        </w:rPr>
        <w:t>corner</w:t>
      </w:r>
      <w:r w:rsidRPr="0015426F">
        <w:rPr>
          <w:rFonts w:asciiTheme="minorHAnsi" w:hAnsiTheme="minorHAnsi" w:cstheme="minorHAnsi"/>
          <w:spacing w:val="-10"/>
        </w:rPr>
        <w:t xml:space="preserve"> </w:t>
      </w:r>
      <w:r w:rsidRPr="0015426F">
        <w:rPr>
          <w:rFonts w:asciiTheme="minorHAnsi" w:hAnsiTheme="minorHAnsi" w:cstheme="minorHAnsi"/>
        </w:rPr>
        <w:t>shop</w:t>
      </w:r>
      <w:r w:rsidRPr="0015426F">
        <w:rPr>
          <w:rFonts w:asciiTheme="minorHAnsi" w:hAnsiTheme="minorHAnsi" w:cstheme="minorHAnsi"/>
          <w:spacing w:val="-13"/>
        </w:rPr>
        <w:t xml:space="preserve"> </w:t>
      </w:r>
      <w:r w:rsidRPr="0015426F">
        <w:rPr>
          <w:rFonts w:asciiTheme="minorHAnsi" w:hAnsiTheme="minorHAnsi" w:cstheme="minorHAnsi"/>
        </w:rPr>
        <w:t>with</w:t>
      </w:r>
      <w:r w:rsidRPr="0015426F">
        <w:rPr>
          <w:rFonts w:asciiTheme="minorHAnsi" w:hAnsiTheme="minorHAnsi" w:cstheme="minorHAnsi"/>
          <w:spacing w:val="-11"/>
        </w:rPr>
        <w:t xml:space="preserve"> </w:t>
      </w:r>
      <w:r w:rsidRPr="0015426F">
        <w:rPr>
          <w:rFonts w:asciiTheme="minorHAnsi" w:hAnsiTheme="minorHAnsi" w:cstheme="minorHAnsi"/>
        </w:rPr>
        <w:t>residential</w:t>
      </w:r>
      <w:r w:rsidRPr="0015426F">
        <w:rPr>
          <w:rFonts w:asciiTheme="minorHAnsi" w:hAnsiTheme="minorHAnsi" w:cstheme="minorHAnsi"/>
          <w:spacing w:val="-11"/>
        </w:rPr>
        <w:t xml:space="preserve"> </w:t>
      </w:r>
      <w:r w:rsidRPr="0015426F">
        <w:rPr>
          <w:rFonts w:asciiTheme="minorHAnsi" w:hAnsiTheme="minorHAnsi" w:cstheme="minorHAnsi"/>
        </w:rPr>
        <w:t>extensions</w:t>
      </w:r>
      <w:r w:rsidRPr="0015426F">
        <w:rPr>
          <w:rFonts w:asciiTheme="minorHAnsi" w:hAnsiTheme="minorHAnsi" w:cstheme="minorHAnsi"/>
          <w:spacing w:val="-13"/>
        </w:rPr>
        <w:t xml:space="preserve"> </w:t>
      </w:r>
      <w:r w:rsidRPr="0015426F">
        <w:rPr>
          <w:rFonts w:asciiTheme="minorHAnsi" w:hAnsiTheme="minorHAnsi" w:cstheme="minorHAnsi"/>
        </w:rPr>
        <w:t>occupies</w:t>
      </w:r>
      <w:r w:rsidRPr="0015426F">
        <w:rPr>
          <w:rFonts w:asciiTheme="minorHAnsi" w:hAnsiTheme="minorHAnsi" w:cstheme="minorHAnsi"/>
          <w:spacing w:val="-10"/>
        </w:rPr>
        <w:t xml:space="preserve"> </w:t>
      </w:r>
      <w:r w:rsidRPr="0015426F">
        <w:rPr>
          <w:rFonts w:asciiTheme="minorHAnsi" w:hAnsiTheme="minorHAnsi" w:cstheme="minorHAnsi"/>
        </w:rPr>
        <w:t>the</w:t>
      </w:r>
      <w:r w:rsidRPr="0015426F">
        <w:rPr>
          <w:rFonts w:asciiTheme="minorHAnsi" w:hAnsiTheme="minorHAnsi" w:cstheme="minorHAnsi"/>
          <w:spacing w:val="-12"/>
        </w:rPr>
        <w:t xml:space="preserve"> </w:t>
      </w:r>
      <w:r w:rsidRPr="0015426F">
        <w:rPr>
          <w:rFonts w:asciiTheme="minorHAnsi" w:hAnsiTheme="minorHAnsi" w:cstheme="minorHAnsi"/>
        </w:rPr>
        <w:t xml:space="preserve">corner entry point, with other 1960s buildings or modified structures adjacent through to Glyde Street. Thereafter the historic precinct becomes more discernible, with a single </w:t>
      </w:r>
      <w:proofErr w:type="spellStart"/>
      <w:r w:rsidRPr="0015426F">
        <w:rPr>
          <w:rFonts w:asciiTheme="minorHAnsi" w:hAnsiTheme="minorHAnsi" w:cstheme="minorHAnsi"/>
        </w:rPr>
        <w:t>storey</w:t>
      </w:r>
      <w:proofErr w:type="spellEnd"/>
      <w:r w:rsidRPr="0015426F">
        <w:rPr>
          <w:rFonts w:asciiTheme="minorHAnsi" w:hAnsiTheme="minorHAnsi" w:cstheme="minorHAnsi"/>
        </w:rPr>
        <w:t xml:space="preserve"> Victorian residence as</w:t>
      </w:r>
      <w:r w:rsidRPr="0015426F">
        <w:rPr>
          <w:rFonts w:asciiTheme="minorHAnsi" w:hAnsiTheme="minorHAnsi" w:cstheme="minorHAnsi"/>
          <w:spacing w:val="-5"/>
        </w:rPr>
        <w:t xml:space="preserve"> </w:t>
      </w:r>
      <w:r w:rsidRPr="0015426F">
        <w:rPr>
          <w:rFonts w:asciiTheme="minorHAnsi" w:hAnsiTheme="minorHAnsi" w:cstheme="minorHAnsi"/>
        </w:rPr>
        <w:t>probably</w:t>
      </w:r>
      <w:r w:rsidRPr="0015426F">
        <w:rPr>
          <w:rFonts w:asciiTheme="minorHAnsi" w:hAnsiTheme="minorHAnsi" w:cstheme="minorHAnsi"/>
          <w:spacing w:val="-4"/>
        </w:rPr>
        <w:t xml:space="preserve"> </w:t>
      </w:r>
      <w:r w:rsidRPr="0015426F">
        <w:rPr>
          <w:rFonts w:asciiTheme="minorHAnsi" w:hAnsiTheme="minorHAnsi" w:cstheme="minorHAnsi"/>
        </w:rPr>
        <w:t>the</w:t>
      </w:r>
      <w:r w:rsidRPr="0015426F">
        <w:rPr>
          <w:rFonts w:asciiTheme="minorHAnsi" w:hAnsiTheme="minorHAnsi" w:cstheme="minorHAnsi"/>
          <w:spacing w:val="-6"/>
        </w:rPr>
        <w:t xml:space="preserve"> </w:t>
      </w:r>
      <w:r w:rsidRPr="0015426F">
        <w:rPr>
          <w:rFonts w:asciiTheme="minorHAnsi" w:hAnsiTheme="minorHAnsi" w:cstheme="minorHAnsi"/>
        </w:rPr>
        <w:t>oldest</w:t>
      </w:r>
      <w:r w:rsidRPr="0015426F">
        <w:rPr>
          <w:rFonts w:asciiTheme="minorHAnsi" w:hAnsiTheme="minorHAnsi" w:cstheme="minorHAnsi"/>
          <w:spacing w:val="-3"/>
        </w:rPr>
        <w:t xml:space="preserve"> </w:t>
      </w:r>
      <w:r w:rsidRPr="0015426F">
        <w:rPr>
          <w:rFonts w:asciiTheme="minorHAnsi" w:hAnsiTheme="minorHAnsi" w:cstheme="minorHAnsi"/>
        </w:rPr>
        <w:t>surviving</w:t>
      </w:r>
      <w:r w:rsidRPr="0015426F">
        <w:rPr>
          <w:rFonts w:asciiTheme="minorHAnsi" w:hAnsiTheme="minorHAnsi" w:cstheme="minorHAnsi"/>
          <w:spacing w:val="-6"/>
        </w:rPr>
        <w:t xml:space="preserve"> </w:t>
      </w:r>
      <w:r w:rsidRPr="0015426F">
        <w:rPr>
          <w:rFonts w:asciiTheme="minorHAnsi" w:hAnsiTheme="minorHAnsi" w:cstheme="minorHAnsi"/>
        </w:rPr>
        <w:t>structure</w:t>
      </w:r>
      <w:r w:rsidRPr="0015426F">
        <w:rPr>
          <w:rFonts w:asciiTheme="minorHAnsi" w:hAnsiTheme="minorHAnsi" w:cstheme="minorHAnsi"/>
          <w:spacing w:val="-5"/>
        </w:rPr>
        <w:t xml:space="preserve"> </w:t>
      </w:r>
      <w:r w:rsidRPr="0015426F">
        <w:rPr>
          <w:rFonts w:asciiTheme="minorHAnsi" w:hAnsiTheme="minorHAnsi" w:cstheme="minorHAnsi"/>
        </w:rPr>
        <w:t>in</w:t>
      </w:r>
      <w:r w:rsidRPr="0015426F">
        <w:rPr>
          <w:rFonts w:asciiTheme="minorHAnsi" w:hAnsiTheme="minorHAnsi" w:cstheme="minorHAnsi"/>
          <w:spacing w:val="-4"/>
        </w:rPr>
        <w:t xml:space="preserve"> </w:t>
      </w:r>
      <w:r w:rsidRPr="0015426F">
        <w:rPr>
          <w:rFonts w:asciiTheme="minorHAnsi" w:hAnsiTheme="minorHAnsi" w:cstheme="minorHAnsi"/>
        </w:rPr>
        <w:t>the</w:t>
      </w:r>
      <w:r w:rsidRPr="0015426F">
        <w:rPr>
          <w:rFonts w:asciiTheme="minorHAnsi" w:hAnsiTheme="minorHAnsi" w:cstheme="minorHAnsi"/>
          <w:spacing w:val="-8"/>
        </w:rPr>
        <w:t xml:space="preserve"> </w:t>
      </w:r>
      <w:r w:rsidRPr="0015426F">
        <w:rPr>
          <w:rFonts w:asciiTheme="minorHAnsi" w:hAnsiTheme="minorHAnsi" w:cstheme="minorHAnsi"/>
        </w:rPr>
        <w:t>Street.</w:t>
      </w:r>
      <w:r w:rsidRPr="0015426F">
        <w:rPr>
          <w:rFonts w:asciiTheme="minorHAnsi" w:hAnsiTheme="minorHAnsi" w:cstheme="minorHAnsi"/>
          <w:spacing w:val="-6"/>
        </w:rPr>
        <w:t xml:space="preserve"> </w:t>
      </w:r>
      <w:r w:rsidRPr="0015426F">
        <w:rPr>
          <w:rFonts w:asciiTheme="minorHAnsi" w:hAnsiTheme="minorHAnsi" w:cstheme="minorHAnsi"/>
        </w:rPr>
        <w:t>Glasson</w:t>
      </w:r>
      <w:r w:rsidRPr="0015426F">
        <w:rPr>
          <w:rFonts w:asciiTheme="minorHAnsi" w:hAnsiTheme="minorHAnsi" w:cstheme="minorHAnsi"/>
          <w:spacing w:val="-9"/>
        </w:rPr>
        <w:t xml:space="preserve"> </w:t>
      </w:r>
      <w:r w:rsidRPr="0015426F">
        <w:rPr>
          <w:rFonts w:asciiTheme="minorHAnsi" w:hAnsiTheme="minorHAnsi" w:cstheme="minorHAnsi"/>
        </w:rPr>
        <w:t>Park</w:t>
      </w:r>
      <w:r w:rsidRPr="0015426F">
        <w:rPr>
          <w:rFonts w:asciiTheme="minorHAnsi" w:hAnsiTheme="minorHAnsi" w:cstheme="minorHAnsi"/>
          <w:spacing w:val="-8"/>
        </w:rPr>
        <w:t xml:space="preserve"> </w:t>
      </w:r>
      <w:r w:rsidRPr="0015426F">
        <w:rPr>
          <w:rFonts w:asciiTheme="minorHAnsi" w:hAnsiTheme="minorHAnsi" w:cstheme="minorHAnsi"/>
        </w:rPr>
        <w:t>on</w:t>
      </w:r>
      <w:r w:rsidRPr="0015426F">
        <w:rPr>
          <w:rFonts w:asciiTheme="minorHAnsi" w:hAnsiTheme="minorHAnsi" w:cstheme="minorHAnsi"/>
          <w:spacing w:val="-4"/>
        </w:rPr>
        <w:t xml:space="preserve"> </w:t>
      </w:r>
      <w:r w:rsidRPr="0015426F">
        <w:rPr>
          <w:rFonts w:asciiTheme="minorHAnsi" w:hAnsiTheme="minorHAnsi" w:cstheme="minorHAnsi"/>
        </w:rPr>
        <w:t>the</w:t>
      </w:r>
      <w:r w:rsidRPr="0015426F">
        <w:rPr>
          <w:rFonts w:asciiTheme="minorHAnsi" w:hAnsiTheme="minorHAnsi" w:cstheme="minorHAnsi"/>
          <w:spacing w:val="-8"/>
        </w:rPr>
        <w:t xml:space="preserve"> </w:t>
      </w:r>
      <w:r w:rsidRPr="0015426F">
        <w:rPr>
          <w:rFonts w:asciiTheme="minorHAnsi" w:hAnsiTheme="minorHAnsi" w:cstheme="minorHAnsi"/>
        </w:rPr>
        <w:t>south</w:t>
      </w:r>
      <w:r w:rsidRPr="0015426F">
        <w:rPr>
          <w:rFonts w:asciiTheme="minorHAnsi" w:hAnsiTheme="minorHAnsi" w:cstheme="minorHAnsi"/>
          <w:spacing w:val="-7"/>
        </w:rPr>
        <w:t xml:space="preserve"> </w:t>
      </w:r>
      <w:r w:rsidRPr="0015426F">
        <w:rPr>
          <w:rFonts w:asciiTheme="minorHAnsi" w:hAnsiTheme="minorHAnsi" w:cstheme="minorHAnsi"/>
        </w:rPr>
        <w:t>side</w:t>
      </w:r>
      <w:r w:rsidRPr="0015426F">
        <w:rPr>
          <w:rFonts w:asciiTheme="minorHAnsi" w:hAnsiTheme="minorHAnsi" w:cstheme="minorHAnsi"/>
          <w:spacing w:val="-4"/>
        </w:rPr>
        <w:t xml:space="preserve"> </w:t>
      </w:r>
      <w:r w:rsidRPr="0015426F">
        <w:rPr>
          <w:rFonts w:asciiTheme="minorHAnsi" w:hAnsiTheme="minorHAnsi" w:cstheme="minorHAnsi"/>
        </w:rPr>
        <w:t>continues</w:t>
      </w:r>
      <w:r w:rsidRPr="0015426F">
        <w:rPr>
          <w:rFonts w:asciiTheme="minorHAnsi" w:hAnsiTheme="minorHAnsi" w:cstheme="minorHAnsi"/>
          <w:spacing w:val="-6"/>
        </w:rPr>
        <w:t xml:space="preserve"> </w:t>
      </w:r>
      <w:r w:rsidRPr="0015426F">
        <w:rPr>
          <w:rFonts w:asciiTheme="minorHAnsi" w:hAnsiTheme="minorHAnsi" w:cstheme="minorHAnsi"/>
        </w:rPr>
        <w:t xml:space="preserve">the open feel along to Hubble Street, from where the more densely </w:t>
      </w:r>
      <w:proofErr w:type="gramStart"/>
      <w:r w:rsidRPr="0015426F">
        <w:rPr>
          <w:rFonts w:asciiTheme="minorHAnsi" w:hAnsiTheme="minorHAnsi" w:cstheme="minorHAnsi"/>
        </w:rPr>
        <w:t>built up</w:t>
      </w:r>
      <w:proofErr w:type="gramEnd"/>
      <w:r w:rsidRPr="0015426F">
        <w:rPr>
          <w:rFonts w:asciiTheme="minorHAnsi" w:hAnsiTheme="minorHAnsi" w:cstheme="minorHAnsi"/>
        </w:rPr>
        <w:t xml:space="preserve"> streetscape to both sides is established.</w:t>
      </w:r>
    </w:p>
    <w:p w14:paraId="13AB81B5" w14:textId="77777777" w:rsidR="00665A13" w:rsidRPr="0015426F" w:rsidRDefault="00665A13" w:rsidP="0015426F">
      <w:pPr>
        <w:pStyle w:val="BodyText"/>
        <w:spacing w:after="200"/>
        <w:ind w:left="0" w:right="-28"/>
        <w:jc w:val="both"/>
        <w:rPr>
          <w:rFonts w:asciiTheme="minorHAnsi" w:hAnsiTheme="minorHAnsi" w:cstheme="minorHAnsi"/>
        </w:rPr>
      </w:pPr>
      <w:r w:rsidRPr="0015426F">
        <w:rPr>
          <w:rFonts w:asciiTheme="minorHAnsi" w:hAnsiTheme="minorHAnsi" w:cstheme="minorHAnsi"/>
        </w:rPr>
        <w:t>The built structures are highly individualistic and located on lots with considerable open spaces between. For a commercial strip this is somewhat unusual, without buildings generally set hard up to</w:t>
      </w:r>
      <w:r w:rsidRPr="0015426F">
        <w:rPr>
          <w:rFonts w:asciiTheme="minorHAnsi" w:hAnsiTheme="minorHAnsi" w:cstheme="minorHAnsi"/>
          <w:spacing w:val="-13"/>
        </w:rPr>
        <w:t xml:space="preserve"> </w:t>
      </w:r>
      <w:r w:rsidRPr="0015426F">
        <w:rPr>
          <w:rFonts w:asciiTheme="minorHAnsi" w:hAnsiTheme="minorHAnsi" w:cstheme="minorHAnsi"/>
        </w:rPr>
        <w:t>each</w:t>
      </w:r>
      <w:r w:rsidRPr="0015426F">
        <w:rPr>
          <w:rFonts w:asciiTheme="minorHAnsi" w:hAnsiTheme="minorHAnsi" w:cstheme="minorHAnsi"/>
          <w:spacing w:val="-16"/>
        </w:rPr>
        <w:t xml:space="preserve"> </w:t>
      </w:r>
      <w:r w:rsidRPr="0015426F">
        <w:rPr>
          <w:rFonts w:asciiTheme="minorHAnsi" w:hAnsiTheme="minorHAnsi" w:cstheme="minorHAnsi"/>
        </w:rPr>
        <w:t>other.</w:t>
      </w:r>
      <w:r w:rsidRPr="0015426F">
        <w:rPr>
          <w:rFonts w:asciiTheme="minorHAnsi" w:hAnsiTheme="minorHAnsi" w:cstheme="minorHAnsi"/>
          <w:spacing w:val="-15"/>
        </w:rPr>
        <w:t xml:space="preserve"> </w:t>
      </w:r>
      <w:r w:rsidRPr="0015426F">
        <w:rPr>
          <w:rFonts w:asciiTheme="minorHAnsi" w:hAnsiTheme="minorHAnsi" w:cstheme="minorHAnsi"/>
        </w:rPr>
        <w:t>Rudimentary</w:t>
      </w:r>
      <w:r w:rsidRPr="0015426F">
        <w:rPr>
          <w:rFonts w:asciiTheme="minorHAnsi" w:hAnsiTheme="minorHAnsi" w:cstheme="minorHAnsi"/>
          <w:spacing w:val="-15"/>
        </w:rPr>
        <w:t xml:space="preserve"> </w:t>
      </w:r>
      <w:r w:rsidRPr="0015426F">
        <w:rPr>
          <w:rFonts w:asciiTheme="minorHAnsi" w:hAnsiTheme="minorHAnsi" w:cstheme="minorHAnsi"/>
        </w:rPr>
        <w:t>structures</w:t>
      </w:r>
      <w:r w:rsidRPr="0015426F">
        <w:rPr>
          <w:rFonts w:asciiTheme="minorHAnsi" w:hAnsiTheme="minorHAnsi" w:cstheme="minorHAnsi"/>
          <w:spacing w:val="-13"/>
        </w:rPr>
        <w:t xml:space="preserve"> </w:t>
      </w:r>
      <w:r w:rsidRPr="0015426F">
        <w:rPr>
          <w:rFonts w:asciiTheme="minorHAnsi" w:hAnsiTheme="minorHAnsi" w:cstheme="minorHAnsi"/>
        </w:rPr>
        <w:t>sit</w:t>
      </w:r>
      <w:r w:rsidRPr="0015426F">
        <w:rPr>
          <w:rFonts w:asciiTheme="minorHAnsi" w:hAnsiTheme="minorHAnsi" w:cstheme="minorHAnsi"/>
          <w:spacing w:val="-13"/>
        </w:rPr>
        <w:t xml:space="preserve"> </w:t>
      </w:r>
      <w:r w:rsidRPr="0015426F">
        <w:rPr>
          <w:rFonts w:asciiTheme="minorHAnsi" w:hAnsiTheme="minorHAnsi" w:cstheme="minorHAnsi"/>
        </w:rPr>
        <w:t>adjacent</w:t>
      </w:r>
      <w:r w:rsidRPr="0015426F">
        <w:rPr>
          <w:rFonts w:asciiTheme="minorHAnsi" w:hAnsiTheme="minorHAnsi" w:cstheme="minorHAnsi"/>
          <w:spacing w:val="-16"/>
        </w:rPr>
        <w:t xml:space="preserve"> </w:t>
      </w:r>
      <w:r w:rsidRPr="0015426F">
        <w:rPr>
          <w:rFonts w:asciiTheme="minorHAnsi" w:hAnsiTheme="minorHAnsi" w:cstheme="minorHAnsi"/>
        </w:rPr>
        <w:t>to</w:t>
      </w:r>
      <w:r w:rsidRPr="0015426F">
        <w:rPr>
          <w:rFonts w:asciiTheme="minorHAnsi" w:hAnsiTheme="minorHAnsi" w:cstheme="minorHAnsi"/>
          <w:spacing w:val="-15"/>
        </w:rPr>
        <w:t xml:space="preserve"> </w:t>
      </w:r>
      <w:r w:rsidRPr="0015426F">
        <w:rPr>
          <w:rFonts w:asciiTheme="minorHAnsi" w:hAnsiTheme="minorHAnsi" w:cstheme="minorHAnsi"/>
        </w:rPr>
        <w:t>more</w:t>
      </w:r>
      <w:r w:rsidRPr="0015426F">
        <w:rPr>
          <w:rFonts w:asciiTheme="minorHAnsi" w:hAnsiTheme="minorHAnsi" w:cstheme="minorHAnsi"/>
          <w:spacing w:val="-12"/>
        </w:rPr>
        <w:t xml:space="preserve"> </w:t>
      </w:r>
      <w:r w:rsidRPr="0015426F">
        <w:rPr>
          <w:rFonts w:asciiTheme="minorHAnsi" w:hAnsiTheme="minorHAnsi" w:cstheme="minorHAnsi"/>
        </w:rPr>
        <w:t>substantial</w:t>
      </w:r>
      <w:r w:rsidRPr="0015426F">
        <w:rPr>
          <w:rFonts w:asciiTheme="minorHAnsi" w:hAnsiTheme="minorHAnsi" w:cstheme="minorHAnsi"/>
          <w:spacing w:val="-12"/>
        </w:rPr>
        <w:t xml:space="preserve"> </w:t>
      </w:r>
      <w:r w:rsidRPr="0015426F">
        <w:rPr>
          <w:rFonts w:asciiTheme="minorHAnsi" w:hAnsiTheme="minorHAnsi" w:cstheme="minorHAnsi"/>
        </w:rPr>
        <w:t>buildings,</w:t>
      </w:r>
      <w:r w:rsidRPr="0015426F">
        <w:rPr>
          <w:rFonts w:asciiTheme="minorHAnsi" w:hAnsiTheme="minorHAnsi" w:cstheme="minorHAnsi"/>
          <w:spacing w:val="-15"/>
        </w:rPr>
        <w:t xml:space="preserve"> </w:t>
      </w:r>
      <w:r w:rsidRPr="0015426F">
        <w:rPr>
          <w:rFonts w:asciiTheme="minorHAnsi" w:hAnsiTheme="minorHAnsi" w:cstheme="minorHAnsi"/>
        </w:rPr>
        <w:t>with</w:t>
      </w:r>
      <w:r w:rsidRPr="0015426F">
        <w:rPr>
          <w:rFonts w:asciiTheme="minorHAnsi" w:hAnsiTheme="minorHAnsi" w:cstheme="minorHAnsi"/>
          <w:spacing w:val="-15"/>
        </w:rPr>
        <w:t xml:space="preserve"> </w:t>
      </w:r>
      <w:r w:rsidRPr="0015426F">
        <w:rPr>
          <w:rFonts w:asciiTheme="minorHAnsi" w:hAnsiTheme="minorHAnsi" w:cstheme="minorHAnsi"/>
        </w:rPr>
        <w:t>rear</w:t>
      </w:r>
      <w:r w:rsidRPr="0015426F">
        <w:rPr>
          <w:rFonts w:asciiTheme="minorHAnsi" w:hAnsiTheme="minorHAnsi" w:cstheme="minorHAnsi"/>
          <w:spacing w:val="-12"/>
        </w:rPr>
        <w:t xml:space="preserve"> </w:t>
      </w:r>
      <w:r w:rsidRPr="0015426F">
        <w:rPr>
          <w:rFonts w:asciiTheme="minorHAnsi" w:hAnsiTheme="minorHAnsi" w:cstheme="minorHAnsi"/>
        </w:rPr>
        <w:t>yards</w:t>
      </w:r>
      <w:r w:rsidRPr="0015426F">
        <w:rPr>
          <w:rFonts w:asciiTheme="minorHAnsi" w:hAnsiTheme="minorHAnsi" w:cstheme="minorHAnsi"/>
          <w:spacing w:val="-13"/>
        </w:rPr>
        <w:t xml:space="preserve"> </w:t>
      </w:r>
      <w:r w:rsidRPr="0015426F">
        <w:rPr>
          <w:rFonts w:asciiTheme="minorHAnsi" w:hAnsiTheme="minorHAnsi" w:cstheme="minorHAnsi"/>
        </w:rPr>
        <w:t xml:space="preserve">from corner premises further variegating the streetscapes. Most new structures are larger mostly two </w:t>
      </w:r>
      <w:proofErr w:type="spellStart"/>
      <w:r w:rsidRPr="0015426F">
        <w:rPr>
          <w:rFonts w:asciiTheme="minorHAnsi" w:hAnsiTheme="minorHAnsi" w:cstheme="minorHAnsi"/>
        </w:rPr>
        <w:t>storey</w:t>
      </w:r>
      <w:proofErr w:type="spellEnd"/>
      <w:r w:rsidRPr="0015426F">
        <w:rPr>
          <w:rFonts w:asciiTheme="minorHAnsi" w:hAnsiTheme="minorHAnsi" w:cstheme="minorHAnsi"/>
          <w:spacing w:val="-16"/>
        </w:rPr>
        <w:t xml:space="preserve"> </w:t>
      </w:r>
      <w:r w:rsidRPr="0015426F">
        <w:rPr>
          <w:rFonts w:asciiTheme="minorHAnsi" w:hAnsiTheme="minorHAnsi" w:cstheme="minorHAnsi"/>
        </w:rPr>
        <w:t>elements,</w:t>
      </w:r>
      <w:r w:rsidRPr="0015426F">
        <w:rPr>
          <w:rFonts w:asciiTheme="minorHAnsi" w:hAnsiTheme="minorHAnsi" w:cstheme="minorHAnsi"/>
          <w:spacing w:val="-17"/>
        </w:rPr>
        <w:t xml:space="preserve"> </w:t>
      </w:r>
      <w:r w:rsidRPr="0015426F">
        <w:rPr>
          <w:rFonts w:asciiTheme="minorHAnsi" w:hAnsiTheme="minorHAnsi" w:cstheme="minorHAnsi"/>
        </w:rPr>
        <w:t>compounding</w:t>
      </w:r>
      <w:r w:rsidRPr="0015426F">
        <w:rPr>
          <w:rFonts w:asciiTheme="minorHAnsi" w:hAnsiTheme="minorHAnsi" w:cstheme="minorHAnsi"/>
          <w:spacing w:val="-15"/>
        </w:rPr>
        <w:t xml:space="preserve"> </w:t>
      </w:r>
      <w:r w:rsidRPr="0015426F">
        <w:rPr>
          <w:rFonts w:asciiTheme="minorHAnsi" w:hAnsiTheme="minorHAnsi" w:cstheme="minorHAnsi"/>
        </w:rPr>
        <w:t>the</w:t>
      </w:r>
      <w:r w:rsidRPr="0015426F">
        <w:rPr>
          <w:rFonts w:asciiTheme="minorHAnsi" w:hAnsiTheme="minorHAnsi" w:cstheme="minorHAnsi"/>
          <w:spacing w:val="-12"/>
        </w:rPr>
        <w:t xml:space="preserve"> </w:t>
      </w:r>
      <w:r w:rsidRPr="0015426F">
        <w:rPr>
          <w:rFonts w:asciiTheme="minorHAnsi" w:hAnsiTheme="minorHAnsi" w:cstheme="minorHAnsi"/>
        </w:rPr>
        <w:t>streetscape</w:t>
      </w:r>
      <w:r w:rsidRPr="0015426F">
        <w:rPr>
          <w:rFonts w:asciiTheme="minorHAnsi" w:hAnsiTheme="minorHAnsi" w:cstheme="minorHAnsi"/>
          <w:spacing w:val="-13"/>
        </w:rPr>
        <w:t xml:space="preserve"> </w:t>
      </w:r>
      <w:r w:rsidRPr="0015426F">
        <w:rPr>
          <w:rFonts w:asciiTheme="minorHAnsi" w:hAnsiTheme="minorHAnsi" w:cstheme="minorHAnsi"/>
        </w:rPr>
        <w:t>effect</w:t>
      </w:r>
      <w:r w:rsidRPr="0015426F">
        <w:rPr>
          <w:rFonts w:asciiTheme="minorHAnsi" w:hAnsiTheme="minorHAnsi" w:cstheme="minorHAnsi"/>
          <w:spacing w:val="-16"/>
        </w:rPr>
        <w:t xml:space="preserve"> </w:t>
      </w:r>
      <w:r w:rsidRPr="0015426F">
        <w:rPr>
          <w:rFonts w:asciiTheme="minorHAnsi" w:hAnsiTheme="minorHAnsi" w:cstheme="minorHAnsi"/>
        </w:rPr>
        <w:t>and</w:t>
      </w:r>
      <w:r w:rsidRPr="0015426F">
        <w:rPr>
          <w:rFonts w:asciiTheme="minorHAnsi" w:hAnsiTheme="minorHAnsi" w:cstheme="minorHAnsi"/>
          <w:spacing w:val="-14"/>
        </w:rPr>
        <w:t xml:space="preserve"> </w:t>
      </w:r>
      <w:r w:rsidRPr="0015426F">
        <w:rPr>
          <w:rFonts w:asciiTheme="minorHAnsi" w:hAnsiTheme="minorHAnsi" w:cstheme="minorHAnsi"/>
        </w:rPr>
        <w:t>to</w:t>
      </w:r>
      <w:r w:rsidRPr="0015426F">
        <w:rPr>
          <w:rFonts w:asciiTheme="minorHAnsi" w:hAnsiTheme="minorHAnsi" w:cstheme="minorHAnsi"/>
          <w:spacing w:val="-13"/>
        </w:rPr>
        <w:t xml:space="preserve"> </w:t>
      </w:r>
      <w:r w:rsidRPr="0015426F">
        <w:rPr>
          <w:rFonts w:asciiTheme="minorHAnsi" w:hAnsiTheme="minorHAnsi" w:cstheme="minorHAnsi"/>
        </w:rPr>
        <w:t>some</w:t>
      </w:r>
      <w:r w:rsidRPr="0015426F">
        <w:rPr>
          <w:rFonts w:asciiTheme="minorHAnsi" w:hAnsiTheme="minorHAnsi" w:cstheme="minorHAnsi"/>
          <w:spacing w:val="-15"/>
        </w:rPr>
        <w:t xml:space="preserve"> </w:t>
      </w:r>
      <w:r w:rsidRPr="0015426F">
        <w:rPr>
          <w:rFonts w:asciiTheme="minorHAnsi" w:hAnsiTheme="minorHAnsi" w:cstheme="minorHAnsi"/>
        </w:rPr>
        <w:t>extent</w:t>
      </w:r>
      <w:r w:rsidRPr="0015426F">
        <w:rPr>
          <w:rFonts w:asciiTheme="minorHAnsi" w:hAnsiTheme="minorHAnsi" w:cstheme="minorHAnsi"/>
          <w:spacing w:val="-15"/>
        </w:rPr>
        <w:t xml:space="preserve"> </w:t>
      </w:r>
      <w:r w:rsidRPr="0015426F">
        <w:rPr>
          <w:rFonts w:asciiTheme="minorHAnsi" w:hAnsiTheme="minorHAnsi" w:cstheme="minorHAnsi"/>
        </w:rPr>
        <w:t>infilling</w:t>
      </w:r>
      <w:r w:rsidRPr="0015426F">
        <w:rPr>
          <w:rFonts w:asciiTheme="minorHAnsi" w:hAnsiTheme="minorHAnsi" w:cstheme="minorHAnsi"/>
          <w:spacing w:val="-15"/>
        </w:rPr>
        <w:t xml:space="preserve"> </w:t>
      </w:r>
      <w:r w:rsidRPr="0015426F">
        <w:rPr>
          <w:rFonts w:asciiTheme="minorHAnsi" w:hAnsiTheme="minorHAnsi" w:cstheme="minorHAnsi"/>
        </w:rPr>
        <w:t>the</w:t>
      </w:r>
      <w:r w:rsidRPr="0015426F">
        <w:rPr>
          <w:rFonts w:asciiTheme="minorHAnsi" w:hAnsiTheme="minorHAnsi" w:cstheme="minorHAnsi"/>
          <w:spacing w:val="-12"/>
        </w:rPr>
        <w:t xml:space="preserve"> </w:t>
      </w:r>
      <w:r w:rsidRPr="0015426F">
        <w:rPr>
          <w:rFonts w:asciiTheme="minorHAnsi" w:hAnsiTheme="minorHAnsi" w:cstheme="minorHAnsi"/>
        </w:rPr>
        <w:t>‘gaps’</w:t>
      </w:r>
      <w:r w:rsidRPr="0015426F">
        <w:rPr>
          <w:rFonts w:asciiTheme="minorHAnsi" w:hAnsiTheme="minorHAnsi" w:cstheme="minorHAnsi"/>
          <w:spacing w:val="-15"/>
        </w:rPr>
        <w:t xml:space="preserve"> </w:t>
      </w:r>
      <w:r w:rsidRPr="0015426F">
        <w:rPr>
          <w:rFonts w:asciiTheme="minorHAnsi" w:hAnsiTheme="minorHAnsi" w:cstheme="minorHAnsi"/>
        </w:rPr>
        <w:t>that</w:t>
      </w:r>
      <w:r w:rsidRPr="0015426F">
        <w:rPr>
          <w:rFonts w:asciiTheme="minorHAnsi" w:hAnsiTheme="minorHAnsi" w:cstheme="minorHAnsi"/>
          <w:spacing w:val="-16"/>
        </w:rPr>
        <w:t xml:space="preserve"> </w:t>
      </w:r>
      <w:r w:rsidRPr="0015426F">
        <w:rPr>
          <w:rFonts w:asciiTheme="minorHAnsi" w:hAnsiTheme="minorHAnsi" w:cstheme="minorHAnsi"/>
        </w:rPr>
        <w:t>have historically existed. The deteriorated nature of some buildings also impacts on the streetscape, though lending an element of historical integrity to the</w:t>
      </w:r>
      <w:r w:rsidRPr="0015426F">
        <w:rPr>
          <w:rFonts w:asciiTheme="minorHAnsi" w:hAnsiTheme="minorHAnsi" w:cstheme="minorHAnsi"/>
          <w:spacing w:val="-12"/>
        </w:rPr>
        <w:t xml:space="preserve"> </w:t>
      </w:r>
      <w:r w:rsidRPr="0015426F">
        <w:rPr>
          <w:rFonts w:asciiTheme="minorHAnsi" w:hAnsiTheme="minorHAnsi" w:cstheme="minorHAnsi"/>
        </w:rPr>
        <w:t>whole.</w:t>
      </w:r>
    </w:p>
    <w:p w14:paraId="359BC6DC" w14:textId="77777777" w:rsidR="00665A13" w:rsidRPr="0015426F" w:rsidRDefault="00665A13" w:rsidP="0015426F">
      <w:pPr>
        <w:pStyle w:val="BodyText"/>
        <w:spacing w:after="200"/>
        <w:ind w:left="0" w:right="-28"/>
        <w:jc w:val="both"/>
        <w:rPr>
          <w:rFonts w:asciiTheme="minorHAnsi" w:hAnsiTheme="minorHAnsi" w:cstheme="minorHAnsi"/>
        </w:rPr>
      </w:pPr>
      <w:r w:rsidRPr="0015426F">
        <w:rPr>
          <w:rFonts w:asciiTheme="minorHAnsi" w:hAnsiTheme="minorHAnsi" w:cstheme="minorHAnsi"/>
        </w:rPr>
        <w:t>The corner buildings are particularly important to the street, punctuating its progress and linking it into the historic residential streets leading away from it and which they were designed to serve. The visual</w:t>
      </w:r>
      <w:r w:rsidRPr="0015426F">
        <w:rPr>
          <w:rFonts w:asciiTheme="minorHAnsi" w:hAnsiTheme="minorHAnsi" w:cstheme="minorHAnsi"/>
          <w:spacing w:val="-6"/>
        </w:rPr>
        <w:t xml:space="preserve"> </w:t>
      </w:r>
      <w:r w:rsidRPr="0015426F">
        <w:rPr>
          <w:rFonts w:asciiTheme="minorHAnsi" w:hAnsiTheme="minorHAnsi" w:cstheme="minorHAnsi"/>
        </w:rPr>
        <w:t>/</w:t>
      </w:r>
      <w:r w:rsidRPr="0015426F">
        <w:rPr>
          <w:rFonts w:asciiTheme="minorHAnsi" w:hAnsiTheme="minorHAnsi" w:cstheme="minorHAnsi"/>
          <w:spacing w:val="1"/>
        </w:rPr>
        <w:t xml:space="preserve"> </w:t>
      </w:r>
      <w:r w:rsidRPr="0015426F">
        <w:rPr>
          <w:rFonts w:asciiTheme="minorHAnsi" w:hAnsiTheme="minorHAnsi" w:cstheme="minorHAnsi"/>
        </w:rPr>
        <w:t>physical</w:t>
      </w:r>
      <w:r w:rsidRPr="0015426F">
        <w:rPr>
          <w:rFonts w:asciiTheme="minorHAnsi" w:hAnsiTheme="minorHAnsi" w:cstheme="minorHAnsi"/>
          <w:spacing w:val="-7"/>
        </w:rPr>
        <w:t xml:space="preserve"> </w:t>
      </w:r>
      <w:r w:rsidRPr="0015426F">
        <w:rPr>
          <w:rFonts w:asciiTheme="minorHAnsi" w:hAnsiTheme="minorHAnsi" w:cstheme="minorHAnsi"/>
        </w:rPr>
        <w:t>association</w:t>
      </w:r>
      <w:r w:rsidRPr="0015426F">
        <w:rPr>
          <w:rFonts w:asciiTheme="minorHAnsi" w:hAnsiTheme="minorHAnsi" w:cstheme="minorHAnsi"/>
          <w:spacing w:val="-6"/>
        </w:rPr>
        <w:t xml:space="preserve"> </w:t>
      </w:r>
      <w:r w:rsidRPr="0015426F">
        <w:rPr>
          <w:rFonts w:asciiTheme="minorHAnsi" w:hAnsiTheme="minorHAnsi" w:cstheme="minorHAnsi"/>
        </w:rPr>
        <w:t>of</w:t>
      </w:r>
      <w:r w:rsidRPr="0015426F">
        <w:rPr>
          <w:rFonts w:asciiTheme="minorHAnsi" w:hAnsiTheme="minorHAnsi" w:cstheme="minorHAnsi"/>
          <w:spacing w:val="-6"/>
        </w:rPr>
        <w:t xml:space="preserve"> </w:t>
      </w:r>
      <w:r w:rsidRPr="0015426F">
        <w:rPr>
          <w:rFonts w:asciiTheme="minorHAnsi" w:hAnsiTheme="minorHAnsi" w:cstheme="minorHAnsi"/>
        </w:rPr>
        <w:t>corner</w:t>
      </w:r>
      <w:r w:rsidRPr="0015426F">
        <w:rPr>
          <w:rFonts w:asciiTheme="minorHAnsi" w:hAnsiTheme="minorHAnsi" w:cstheme="minorHAnsi"/>
          <w:spacing w:val="-4"/>
        </w:rPr>
        <w:t xml:space="preserve"> </w:t>
      </w:r>
      <w:r w:rsidRPr="0015426F">
        <w:rPr>
          <w:rFonts w:asciiTheme="minorHAnsi" w:hAnsiTheme="minorHAnsi" w:cstheme="minorHAnsi"/>
        </w:rPr>
        <w:t>buildings</w:t>
      </w:r>
      <w:r w:rsidRPr="0015426F">
        <w:rPr>
          <w:rFonts w:asciiTheme="minorHAnsi" w:hAnsiTheme="minorHAnsi" w:cstheme="minorHAnsi"/>
          <w:spacing w:val="-2"/>
        </w:rPr>
        <w:t xml:space="preserve"> </w:t>
      </w:r>
      <w:r w:rsidRPr="0015426F">
        <w:rPr>
          <w:rFonts w:asciiTheme="minorHAnsi" w:hAnsiTheme="minorHAnsi" w:cstheme="minorHAnsi"/>
        </w:rPr>
        <w:t>with</w:t>
      </w:r>
      <w:r w:rsidRPr="0015426F">
        <w:rPr>
          <w:rFonts w:asciiTheme="minorHAnsi" w:hAnsiTheme="minorHAnsi" w:cstheme="minorHAnsi"/>
          <w:spacing w:val="-6"/>
        </w:rPr>
        <w:t xml:space="preserve"> </w:t>
      </w:r>
      <w:r w:rsidRPr="0015426F">
        <w:rPr>
          <w:rFonts w:asciiTheme="minorHAnsi" w:hAnsiTheme="minorHAnsi" w:cstheme="minorHAnsi"/>
        </w:rPr>
        <w:t>those</w:t>
      </w:r>
      <w:r w:rsidRPr="0015426F">
        <w:rPr>
          <w:rFonts w:asciiTheme="minorHAnsi" w:hAnsiTheme="minorHAnsi" w:cstheme="minorHAnsi"/>
          <w:spacing w:val="-6"/>
        </w:rPr>
        <w:t xml:space="preserve"> </w:t>
      </w:r>
      <w:r w:rsidRPr="0015426F">
        <w:rPr>
          <w:rFonts w:asciiTheme="minorHAnsi" w:hAnsiTheme="minorHAnsi" w:cstheme="minorHAnsi"/>
        </w:rPr>
        <w:t>immediately</w:t>
      </w:r>
      <w:r w:rsidRPr="0015426F">
        <w:rPr>
          <w:rFonts w:asciiTheme="minorHAnsi" w:hAnsiTheme="minorHAnsi" w:cstheme="minorHAnsi"/>
          <w:spacing w:val="-2"/>
        </w:rPr>
        <w:t xml:space="preserve"> </w:t>
      </w:r>
      <w:r w:rsidRPr="0015426F">
        <w:rPr>
          <w:rFonts w:asciiTheme="minorHAnsi" w:hAnsiTheme="minorHAnsi" w:cstheme="minorHAnsi"/>
        </w:rPr>
        <w:t>beyond</w:t>
      </w:r>
      <w:r w:rsidRPr="0015426F">
        <w:rPr>
          <w:rFonts w:asciiTheme="minorHAnsi" w:hAnsiTheme="minorHAnsi" w:cstheme="minorHAnsi"/>
          <w:spacing w:val="-2"/>
        </w:rPr>
        <w:t xml:space="preserve"> </w:t>
      </w:r>
      <w:r w:rsidRPr="0015426F">
        <w:rPr>
          <w:rFonts w:asciiTheme="minorHAnsi" w:hAnsiTheme="minorHAnsi" w:cstheme="minorHAnsi"/>
        </w:rPr>
        <w:t>them</w:t>
      </w:r>
      <w:r w:rsidRPr="0015426F">
        <w:rPr>
          <w:rFonts w:asciiTheme="minorHAnsi" w:hAnsiTheme="minorHAnsi" w:cstheme="minorHAnsi"/>
          <w:spacing w:val="-2"/>
        </w:rPr>
        <w:t xml:space="preserve"> </w:t>
      </w:r>
      <w:r w:rsidRPr="0015426F">
        <w:rPr>
          <w:rFonts w:asciiTheme="minorHAnsi" w:hAnsiTheme="minorHAnsi" w:cstheme="minorHAnsi"/>
        </w:rPr>
        <w:t>is</w:t>
      </w:r>
      <w:r w:rsidRPr="0015426F">
        <w:rPr>
          <w:rFonts w:asciiTheme="minorHAnsi" w:hAnsiTheme="minorHAnsi" w:cstheme="minorHAnsi"/>
          <w:spacing w:val="-5"/>
        </w:rPr>
        <w:t xml:space="preserve"> </w:t>
      </w:r>
      <w:r w:rsidRPr="0015426F">
        <w:rPr>
          <w:rFonts w:asciiTheme="minorHAnsi" w:hAnsiTheme="minorHAnsi" w:cstheme="minorHAnsi"/>
        </w:rPr>
        <w:t>important</w:t>
      </w:r>
      <w:r w:rsidRPr="0015426F">
        <w:rPr>
          <w:rFonts w:asciiTheme="minorHAnsi" w:hAnsiTheme="minorHAnsi" w:cstheme="minorHAnsi"/>
          <w:spacing w:val="-4"/>
        </w:rPr>
        <w:t xml:space="preserve"> </w:t>
      </w:r>
      <w:r w:rsidRPr="0015426F">
        <w:rPr>
          <w:rFonts w:asciiTheme="minorHAnsi" w:hAnsiTheme="minorHAnsi" w:cstheme="minorHAnsi"/>
        </w:rPr>
        <w:t>in achieving this effect and reason for the extension of the Heritage Area into the beginnings of cross streets beyond George Street</w:t>
      </w:r>
      <w:r w:rsidRPr="0015426F">
        <w:rPr>
          <w:rFonts w:asciiTheme="minorHAnsi" w:hAnsiTheme="minorHAnsi" w:cstheme="minorHAnsi"/>
          <w:spacing w:val="-4"/>
        </w:rPr>
        <w:t xml:space="preserve"> </w:t>
      </w:r>
      <w:r w:rsidRPr="0015426F">
        <w:rPr>
          <w:rFonts w:asciiTheme="minorHAnsi" w:hAnsiTheme="minorHAnsi" w:cstheme="minorHAnsi"/>
        </w:rPr>
        <w:t>itself.</w:t>
      </w:r>
    </w:p>
    <w:p w14:paraId="3428B20D" w14:textId="77777777" w:rsidR="0015426F" w:rsidRDefault="0015426F">
      <w:pPr>
        <w:rPr>
          <w:b/>
        </w:rPr>
      </w:pPr>
      <w:r>
        <w:rPr>
          <w:b/>
        </w:rPr>
        <w:br w:type="page"/>
      </w:r>
    </w:p>
    <w:p w14:paraId="1843652E" w14:textId="77777777" w:rsidR="00665A13" w:rsidRPr="0015426F" w:rsidRDefault="00665A13" w:rsidP="0015426F">
      <w:pPr>
        <w:spacing w:after="0"/>
        <w:rPr>
          <w:b/>
        </w:rPr>
      </w:pPr>
      <w:r w:rsidRPr="0015426F">
        <w:rPr>
          <w:b/>
        </w:rPr>
        <w:lastRenderedPageBreak/>
        <w:t>Architectural Character</w:t>
      </w:r>
    </w:p>
    <w:p w14:paraId="6C8D61FC" w14:textId="77777777" w:rsidR="00665A13" w:rsidRPr="0015426F" w:rsidRDefault="00665A13" w:rsidP="008D2EC3">
      <w:pPr>
        <w:pStyle w:val="BodyText"/>
        <w:spacing w:after="200"/>
        <w:ind w:left="0" w:right="-28"/>
        <w:jc w:val="both"/>
        <w:rPr>
          <w:rFonts w:asciiTheme="minorHAnsi" w:hAnsiTheme="minorHAnsi" w:cstheme="minorHAnsi"/>
        </w:rPr>
      </w:pPr>
      <w:r w:rsidRPr="0015426F">
        <w:rPr>
          <w:rFonts w:asciiTheme="minorHAnsi" w:hAnsiTheme="minorHAnsi" w:cstheme="minorHAnsi"/>
        </w:rPr>
        <w:t xml:space="preserve">While the historic architecture within George Street dates from a relatively short period, there is considerable variety between the buildings spread along its length. They are both timber and masonry, single and two </w:t>
      </w:r>
      <w:proofErr w:type="spellStart"/>
      <w:r w:rsidRPr="0015426F">
        <w:rPr>
          <w:rFonts w:asciiTheme="minorHAnsi" w:hAnsiTheme="minorHAnsi" w:cstheme="minorHAnsi"/>
        </w:rPr>
        <w:t>storeyed</w:t>
      </w:r>
      <w:proofErr w:type="spellEnd"/>
      <w:r w:rsidRPr="0015426F">
        <w:rPr>
          <w:rFonts w:asciiTheme="minorHAnsi" w:hAnsiTheme="minorHAnsi" w:cstheme="minorHAnsi"/>
        </w:rPr>
        <w:t>, commercial and residential, and original and contemporary structures, interspersed on an irregular lot arrangement with considerable open spaces occurring in places. Nonetheless the street presents as a clearly contiguous commercial precinct with a clear historical basis and physicality appropriate to the residential precinct within which it sits.</w:t>
      </w:r>
    </w:p>
    <w:p w14:paraId="06F4FD4E" w14:textId="77777777" w:rsidR="00665A13" w:rsidRPr="0015426F" w:rsidRDefault="00665A13" w:rsidP="008D2EC3">
      <w:pPr>
        <w:pStyle w:val="BodyText"/>
        <w:spacing w:after="200"/>
        <w:ind w:left="0" w:right="-28"/>
        <w:jc w:val="both"/>
        <w:rPr>
          <w:rFonts w:asciiTheme="minorHAnsi" w:hAnsiTheme="minorHAnsi" w:cstheme="minorHAnsi"/>
        </w:rPr>
      </w:pPr>
      <w:r w:rsidRPr="0015426F">
        <w:rPr>
          <w:rFonts w:asciiTheme="minorHAnsi" w:hAnsiTheme="minorHAnsi" w:cstheme="minorHAnsi"/>
        </w:rPr>
        <w:t xml:space="preserve">At the western end, the very large </w:t>
      </w:r>
      <w:proofErr w:type="spellStart"/>
      <w:r w:rsidRPr="0015426F">
        <w:rPr>
          <w:rFonts w:asciiTheme="minorHAnsi" w:hAnsiTheme="minorHAnsi" w:cstheme="minorHAnsi"/>
        </w:rPr>
        <w:t>Harbour</w:t>
      </w:r>
      <w:proofErr w:type="spellEnd"/>
      <w:r w:rsidRPr="0015426F">
        <w:rPr>
          <w:rFonts w:asciiTheme="minorHAnsi" w:hAnsiTheme="minorHAnsi" w:cstheme="minorHAnsi"/>
        </w:rPr>
        <w:t xml:space="preserve"> Heights apartments predominate, and while of little architectural</w:t>
      </w:r>
      <w:r w:rsidRPr="0015426F">
        <w:rPr>
          <w:rFonts w:asciiTheme="minorHAnsi" w:hAnsiTheme="minorHAnsi" w:cstheme="minorHAnsi"/>
          <w:spacing w:val="-12"/>
        </w:rPr>
        <w:t xml:space="preserve"> </w:t>
      </w:r>
      <w:r w:rsidRPr="0015426F">
        <w:rPr>
          <w:rFonts w:asciiTheme="minorHAnsi" w:hAnsiTheme="minorHAnsi" w:cstheme="minorHAnsi"/>
        </w:rPr>
        <w:t>relevance</w:t>
      </w:r>
      <w:r w:rsidRPr="0015426F">
        <w:rPr>
          <w:rFonts w:asciiTheme="minorHAnsi" w:hAnsiTheme="minorHAnsi" w:cstheme="minorHAnsi"/>
          <w:spacing w:val="-9"/>
        </w:rPr>
        <w:t xml:space="preserve"> </w:t>
      </w:r>
      <w:r w:rsidRPr="0015426F">
        <w:rPr>
          <w:rFonts w:asciiTheme="minorHAnsi" w:hAnsiTheme="minorHAnsi" w:cstheme="minorHAnsi"/>
        </w:rPr>
        <w:t>to</w:t>
      </w:r>
      <w:r w:rsidRPr="0015426F">
        <w:rPr>
          <w:rFonts w:asciiTheme="minorHAnsi" w:hAnsiTheme="minorHAnsi" w:cstheme="minorHAnsi"/>
          <w:spacing w:val="-9"/>
        </w:rPr>
        <w:t xml:space="preserve"> </w:t>
      </w:r>
      <w:r w:rsidRPr="0015426F">
        <w:rPr>
          <w:rFonts w:asciiTheme="minorHAnsi" w:hAnsiTheme="minorHAnsi" w:cstheme="minorHAnsi"/>
        </w:rPr>
        <w:t>other</w:t>
      </w:r>
      <w:r w:rsidRPr="0015426F">
        <w:rPr>
          <w:rFonts w:asciiTheme="minorHAnsi" w:hAnsiTheme="minorHAnsi" w:cstheme="minorHAnsi"/>
          <w:spacing w:val="-9"/>
        </w:rPr>
        <w:t xml:space="preserve"> </w:t>
      </w:r>
      <w:r w:rsidRPr="0015426F">
        <w:rPr>
          <w:rFonts w:asciiTheme="minorHAnsi" w:hAnsiTheme="minorHAnsi" w:cstheme="minorHAnsi"/>
        </w:rPr>
        <w:t>places</w:t>
      </w:r>
      <w:r w:rsidRPr="0015426F">
        <w:rPr>
          <w:rFonts w:asciiTheme="minorHAnsi" w:hAnsiTheme="minorHAnsi" w:cstheme="minorHAnsi"/>
          <w:spacing w:val="-9"/>
        </w:rPr>
        <w:t xml:space="preserve"> </w:t>
      </w:r>
      <w:r w:rsidRPr="0015426F">
        <w:rPr>
          <w:rFonts w:asciiTheme="minorHAnsi" w:hAnsiTheme="minorHAnsi" w:cstheme="minorHAnsi"/>
        </w:rPr>
        <w:t>in</w:t>
      </w:r>
      <w:r w:rsidRPr="0015426F">
        <w:rPr>
          <w:rFonts w:asciiTheme="minorHAnsi" w:hAnsiTheme="minorHAnsi" w:cstheme="minorHAnsi"/>
          <w:spacing w:val="-13"/>
        </w:rPr>
        <w:t xml:space="preserve"> </w:t>
      </w:r>
      <w:r w:rsidRPr="0015426F">
        <w:rPr>
          <w:rFonts w:asciiTheme="minorHAnsi" w:hAnsiTheme="minorHAnsi" w:cstheme="minorHAnsi"/>
        </w:rPr>
        <w:t>George</w:t>
      </w:r>
      <w:r w:rsidRPr="0015426F">
        <w:rPr>
          <w:rFonts w:asciiTheme="minorHAnsi" w:hAnsiTheme="minorHAnsi" w:cstheme="minorHAnsi"/>
          <w:spacing w:val="-10"/>
        </w:rPr>
        <w:t xml:space="preserve"> </w:t>
      </w:r>
      <w:r w:rsidRPr="0015426F">
        <w:rPr>
          <w:rFonts w:asciiTheme="minorHAnsi" w:hAnsiTheme="minorHAnsi" w:cstheme="minorHAnsi"/>
        </w:rPr>
        <w:t>Street</w:t>
      </w:r>
      <w:r w:rsidRPr="0015426F">
        <w:rPr>
          <w:rFonts w:asciiTheme="minorHAnsi" w:hAnsiTheme="minorHAnsi" w:cstheme="minorHAnsi"/>
          <w:spacing w:val="-11"/>
        </w:rPr>
        <w:t xml:space="preserve"> </w:t>
      </w:r>
      <w:r w:rsidRPr="0015426F">
        <w:rPr>
          <w:rFonts w:asciiTheme="minorHAnsi" w:hAnsiTheme="minorHAnsi" w:cstheme="minorHAnsi"/>
        </w:rPr>
        <w:t>is</w:t>
      </w:r>
      <w:r w:rsidRPr="0015426F">
        <w:rPr>
          <w:rFonts w:asciiTheme="minorHAnsi" w:hAnsiTheme="minorHAnsi" w:cstheme="minorHAnsi"/>
          <w:spacing w:val="-9"/>
        </w:rPr>
        <w:t xml:space="preserve"> </w:t>
      </w:r>
      <w:r w:rsidRPr="0015426F">
        <w:rPr>
          <w:rFonts w:asciiTheme="minorHAnsi" w:hAnsiTheme="minorHAnsi" w:cstheme="minorHAnsi"/>
        </w:rPr>
        <w:t>of</w:t>
      </w:r>
      <w:r w:rsidRPr="0015426F">
        <w:rPr>
          <w:rFonts w:asciiTheme="minorHAnsi" w:hAnsiTheme="minorHAnsi" w:cstheme="minorHAnsi"/>
          <w:spacing w:val="-9"/>
        </w:rPr>
        <w:t xml:space="preserve"> </w:t>
      </w:r>
      <w:r w:rsidRPr="0015426F">
        <w:rPr>
          <w:rFonts w:asciiTheme="minorHAnsi" w:hAnsiTheme="minorHAnsi" w:cstheme="minorHAnsi"/>
        </w:rPr>
        <w:t>some</w:t>
      </w:r>
      <w:r w:rsidRPr="0015426F">
        <w:rPr>
          <w:rFonts w:asciiTheme="minorHAnsi" w:hAnsiTheme="minorHAnsi" w:cstheme="minorHAnsi"/>
          <w:spacing w:val="-9"/>
        </w:rPr>
        <w:t xml:space="preserve"> </w:t>
      </w:r>
      <w:r w:rsidRPr="0015426F">
        <w:rPr>
          <w:rFonts w:asciiTheme="minorHAnsi" w:hAnsiTheme="minorHAnsi" w:cstheme="minorHAnsi"/>
        </w:rPr>
        <w:t>interest</w:t>
      </w:r>
      <w:r w:rsidRPr="0015426F">
        <w:rPr>
          <w:rFonts w:asciiTheme="minorHAnsi" w:hAnsiTheme="minorHAnsi" w:cstheme="minorHAnsi"/>
          <w:spacing w:val="-8"/>
        </w:rPr>
        <w:t xml:space="preserve"> </w:t>
      </w:r>
      <w:r w:rsidRPr="0015426F">
        <w:rPr>
          <w:rFonts w:asciiTheme="minorHAnsi" w:hAnsiTheme="minorHAnsi" w:cstheme="minorHAnsi"/>
        </w:rPr>
        <w:t>in</w:t>
      </w:r>
      <w:r w:rsidRPr="0015426F">
        <w:rPr>
          <w:rFonts w:asciiTheme="minorHAnsi" w:hAnsiTheme="minorHAnsi" w:cstheme="minorHAnsi"/>
          <w:spacing w:val="-12"/>
        </w:rPr>
        <w:t xml:space="preserve"> </w:t>
      </w:r>
      <w:r w:rsidRPr="0015426F">
        <w:rPr>
          <w:rFonts w:asciiTheme="minorHAnsi" w:hAnsiTheme="minorHAnsi" w:cstheme="minorHAnsi"/>
        </w:rPr>
        <w:t>itself</w:t>
      </w:r>
      <w:r w:rsidRPr="0015426F">
        <w:rPr>
          <w:rFonts w:asciiTheme="minorHAnsi" w:hAnsiTheme="minorHAnsi" w:cstheme="minorHAnsi"/>
          <w:spacing w:val="-14"/>
        </w:rPr>
        <w:t xml:space="preserve"> </w:t>
      </w:r>
      <w:r w:rsidRPr="0015426F">
        <w:rPr>
          <w:rFonts w:asciiTheme="minorHAnsi" w:hAnsiTheme="minorHAnsi" w:cstheme="minorHAnsi"/>
        </w:rPr>
        <w:t>as</w:t>
      </w:r>
      <w:r w:rsidRPr="0015426F">
        <w:rPr>
          <w:rFonts w:asciiTheme="minorHAnsi" w:hAnsiTheme="minorHAnsi" w:cstheme="minorHAnsi"/>
          <w:spacing w:val="-11"/>
        </w:rPr>
        <w:t xml:space="preserve"> </w:t>
      </w:r>
      <w:r w:rsidRPr="0015426F">
        <w:rPr>
          <w:rFonts w:asciiTheme="minorHAnsi" w:hAnsiTheme="minorHAnsi" w:cstheme="minorHAnsi"/>
        </w:rPr>
        <w:t>an</w:t>
      </w:r>
      <w:r w:rsidRPr="0015426F">
        <w:rPr>
          <w:rFonts w:asciiTheme="minorHAnsi" w:hAnsiTheme="minorHAnsi" w:cstheme="minorHAnsi"/>
          <w:spacing w:val="-11"/>
        </w:rPr>
        <w:t xml:space="preserve"> </w:t>
      </w:r>
      <w:r w:rsidRPr="0015426F">
        <w:rPr>
          <w:rFonts w:asciiTheme="minorHAnsi" w:hAnsiTheme="minorHAnsi" w:cstheme="minorHAnsi"/>
        </w:rPr>
        <w:t>architectural and</w:t>
      </w:r>
      <w:r w:rsidRPr="0015426F">
        <w:rPr>
          <w:rFonts w:asciiTheme="minorHAnsi" w:hAnsiTheme="minorHAnsi" w:cstheme="minorHAnsi"/>
          <w:spacing w:val="-6"/>
        </w:rPr>
        <w:t xml:space="preserve"> </w:t>
      </w:r>
      <w:r w:rsidRPr="0015426F">
        <w:rPr>
          <w:rFonts w:asciiTheme="minorHAnsi" w:hAnsiTheme="minorHAnsi" w:cstheme="minorHAnsi"/>
        </w:rPr>
        <w:t>social</w:t>
      </w:r>
      <w:r w:rsidRPr="0015426F">
        <w:rPr>
          <w:rFonts w:asciiTheme="minorHAnsi" w:hAnsiTheme="minorHAnsi" w:cstheme="minorHAnsi"/>
          <w:spacing w:val="-8"/>
        </w:rPr>
        <w:t xml:space="preserve"> </w:t>
      </w:r>
      <w:r w:rsidRPr="0015426F">
        <w:rPr>
          <w:rFonts w:asciiTheme="minorHAnsi" w:hAnsiTheme="minorHAnsi" w:cstheme="minorHAnsi"/>
        </w:rPr>
        <w:t>type,</w:t>
      </w:r>
      <w:r w:rsidRPr="0015426F">
        <w:rPr>
          <w:rFonts w:asciiTheme="minorHAnsi" w:hAnsiTheme="minorHAnsi" w:cstheme="minorHAnsi"/>
          <w:spacing w:val="-7"/>
        </w:rPr>
        <w:t xml:space="preserve"> </w:t>
      </w:r>
      <w:r w:rsidRPr="0015426F">
        <w:rPr>
          <w:rFonts w:asciiTheme="minorHAnsi" w:hAnsiTheme="minorHAnsi" w:cstheme="minorHAnsi"/>
        </w:rPr>
        <w:t>indicating</w:t>
      </w:r>
      <w:r w:rsidRPr="0015426F">
        <w:rPr>
          <w:rFonts w:asciiTheme="minorHAnsi" w:hAnsiTheme="minorHAnsi" w:cstheme="minorHAnsi"/>
          <w:spacing w:val="-8"/>
        </w:rPr>
        <w:t xml:space="preserve"> </w:t>
      </w:r>
      <w:r w:rsidRPr="0015426F">
        <w:rPr>
          <w:rFonts w:asciiTheme="minorHAnsi" w:hAnsiTheme="minorHAnsi" w:cstheme="minorHAnsi"/>
        </w:rPr>
        <w:t>a</w:t>
      </w:r>
      <w:r w:rsidRPr="0015426F">
        <w:rPr>
          <w:rFonts w:asciiTheme="minorHAnsi" w:hAnsiTheme="minorHAnsi" w:cstheme="minorHAnsi"/>
          <w:spacing w:val="-4"/>
        </w:rPr>
        <w:t xml:space="preserve"> </w:t>
      </w:r>
      <w:r w:rsidRPr="0015426F">
        <w:rPr>
          <w:rFonts w:asciiTheme="minorHAnsi" w:hAnsiTheme="minorHAnsi" w:cstheme="minorHAnsi"/>
        </w:rPr>
        <w:t>prior</w:t>
      </w:r>
      <w:r w:rsidRPr="0015426F">
        <w:rPr>
          <w:rFonts w:asciiTheme="minorHAnsi" w:hAnsiTheme="minorHAnsi" w:cstheme="minorHAnsi"/>
          <w:spacing w:val="-7"/>
        </w:rPr>
        <w:t xml:space="preserve"> </w:t>
      </w:r>
      <w:r w:rsidRPr="0015426F">
        <w:rPr>
          <w:rFonts w:asciiTheme="minorHAnsi" w:hAnsiTheme="minorHAnsi" w:cstheme="minorHAnsi"/>
        </w:rPr>
        <w:t>era</w:t>
      </w:r>
      <w:r w:rsidRPr="0015426F">
        <w:rPr>
          <w:rFonts w:asciiTheme="minorHAnsi" w:hAnsiTheme="minorHAnsi" w:cstheme="minorHAnsi"/>
          <w:spacing w:val="-8"/>
        </w:rPr>
        <w:t xml:space="preserve"> </w:t>
      </w:r>
      <w:r w:rsidRPr="0015426F">
        <w:rPr>
          <w:rFonts w:asciiTheme="minorHAnsi" w:hAnsiTheme="minorHAnsi" w:cstheme="minorHAnsi"/>
        </w:rPr>
        <w:t>of</w:t>
      </w:r>
      <w:r w:rsidRPr="0015426F">
        <w:rPr>
          <w:rFonts w:asciiTheme="minorHAnsi" w:hAnsiTheme="minorHAnsi" w:cstheme="minorHAnsi"/>
          <w:spacing w:val="-6"/>
        </w:rPr>
        <w:t xml:space="preserve"> </w:t>
      </w:r>
      <w:r w:rsidRPr="0015426F">
        <w:rPr>
          <w:rFonts w:asciiTheme="minorHAnsi" w:hAnsiTheme="minorHAnsi" w:cstheme="minorHAnsi"/>
        </w:rPr>
        <w:t>a</w:t>
      </w:r>
      <w:r w:rsidRPr="0015426F">
        <w:rPr>
          <w:rFonts w:asciiTheme="minorHAnsi" w:hAnsiTheme="minorHAnsi" w:cstheme="minorHAnsi"/>
          <w:spacing w:val="-6"/>
        </w:rPr>
        <w:t xml:space="preserve"> </w:t>
      </w:r>
      <w:r w:rsidRPr="0015426F">
        <w:rPr>
          <w:rFonts w:asciiTheme="minorHAnsi" w:hAnsiTheme="minorHAnsi" w:cstheme="minorHAnsi"/>
        </w:rPr>
        <w:t>non-</w:t>
      </w:r>
      <w:proofErr w:type="gramStart"/>
      <w:r w:rsidRPr="0015426F">
        <w:rPr>
          <w:rFonts w:asciiTheme="minorHAnsi" w:hAnsiTheme="minorHAnsi" w:cstheme="minorHAnsi"/>
        </w:rPr>
        <w:t>heritage</w:t>
      </w:r>
      <w:r w:rsidRPr="0015426F">
        <w:rPr>
          <w:rFonts w:asciiTheme="minorHAnsi" w:hAnsiTheme="minorHAnsi" w:cstheme="minorHAnsi"/>
          <w:spacing w:val="-4"/>
        </w:rPr>
        <w:t xml:space="preserve"> </w:t>
      </w:r>
      <w:r w:rsidRPr="0015426F">
        <w:rPr>
          <w:rFonts w:asciiTheme="minorHAnsi" w:hAnsiTheme="minorHAnsi" w:cstheme="minorHAnsi"/>
        </w:rPr>
        <w:t>based</w:t>
      </w:r>
      <w:proofErr w:type="gramEnd"/>
      <w:r w:rsidRPr="0015426F">
        <w:rPr>
          <w:rFonts w:asciiTheme="minorHAnsi" w:hAnsiTheme="minorHAnsi" w:cstheme="minorHAnsi"/>
          <w:spacing w:val="-8"/>
        </w:rPr>
        <w:t xml:space="preserve"> </w:t>
      </w:r>
      <w:r w:rsidRPr="0015426F">
        <w:rPr>
          <w:rFonts w:asciiTheme="minorHAnsi" w:hAnsiTheme="minorHAnsi" w:cstheme="minorHAnsi"/>
        </w:rPr>
        <w:t>planning</w:t>
      </w:r>
      <w:r w:rsidRPr="0015426F">
        <w:rPr>
          <w:rFonts w:asciiTheme="minorHAnsi" w:hAnsiTheme="minorHAnsi" w:cstheme="minorHAnsi"/>
          <w:spacing w:val="-4"/>
        </w:rPr>
        <w:t xml:space="preserve"> </w:t>
      </w:r>
      <w:r w:rsidRPr="0015426F">
        <w:rPr>
          <w:rFonts w:asciiTheme="minorHAnsi" w:hAnsiTheme="minorHAnsi" w:cstheme="minorHAnsi"/>
        </w:rPr>
        <w:t>approach.</w:t>
      </w:r>
      <w:r w:rsidRPr="0015426F">
        <w:rPr>
          <w:rFonts w:asciiTheme="minorHAnsi" w:hAnsiTheme="minorHAnsi" w:cstheme="minorHAnsi"/>
          <w:spacing w:val="-7"/>
        </w:rPr>
        <w:t xml:space="preserve"> </w:t>
      </w:r>
      <w:r w:rsidRPr="0015426F">
        <w:rPr>
          <w:rFonts w:asciiTheme="minorHAnsi" w:hAnsiTheme="minorHAnsi" w:cstheme="minorHAnsi"/>
        </w:rPr>
        <w:t>A</w:t>
      </w:r>
      <w:r w:rsidRPr="0015426F">
        <w:rPr>
          <w:rFonts w:asciiTheme="minorHAnsi" w:hAnsiTheme="minorHAnsi" w:cstheme="minorHAnsi"/>
          <w:spacing w:val="-4"/>
        </w:rPr>
        <w:t xml:space="preserve"> </w:t>
      </w:r>
      <w:r w:rsidRPr="0015426F">
        <w:rPr>
          <w:rFonts w:asciiTheme="minorHAnsi" w:hAnsiTheme="minorHAnsi" w:cstheme="minorHAnsi"/>
        </w:rPr>
        <w:t>large</w:t>
      </w:r>
      <w:r w:rsidRPr="0015426F">
        <w:rPr>
          <w:rFonts w:asciiTheme="minorHAnsi" w:hAnsiTheme="minorHAnsi" w:cstheme="minorHAnsi"/>
          <w:spacing w:val="-7"/>
        </w:rPr>
        <w:t xml:space="preserve"> </w:t>
      </w:r>
      <w:r w:rsidRPr="0015426F">
        <w:rPr>
          <w:rFonts w:asciiTheme="minorHAnsi" w:hAnsiTheme="minorHAnsi" w:cstheme="minorHAnsi"/>
        </w:rPr>
        <w:t>open</w:t>
      </w:r>
      <w:r w:rsidRPr="0015426F">
        <w:rPr>
          <w:rFonts w:asciiTheme="minorHAnsi" w:hAnsiTheme="minorHAnsi" w:cstheme="minorHAnsi"/>
          <w:spacing w:val="-6"/>
        </w:rPr>
        <w:t xml:space="preserve"> </w:t>
      </w:r>
      <w:r w:rsidRPr="0015426F">
        <w:rPr>
          <w:rFonts w:asciiTheme="minorHAnsi" w:hAnsiTheme="minorHAnsi" w:cstheme="minorHAnsi"/>
        </w:rPr>
        <w:t xml:space="preserve">space for associated car parking occupies the area to the east that formerly accommodated a local dairy facility. Single </w:t>
      </w:r>
      <w:proofErr w:type="spellStart"/>
      <w:r w:rsidRPr="0015426F">
        <w:rPr>
          <w:rFonts w:asciiTheme="minorHAnsi" w:hAnsiTheme="minorHAnsi" w:cstheme="minorHAnsi"/>
        </w:rPr>
        <w:t>storey</w:t>
      </w:r>
      <w:proofErr w:type="spellEnd"/>
      <w:r w:rsidRPr="0015426F">
        <w:rPr>
          <w:rFonts w:asciiTheme="minorHAnsi" w:hAnsiTheme="minorHAnsi" w:cstheme="minorHAnsi"/>
        </w:rPr>
        <w:t xml:space="preserve"> housing to the north side of the road in this vicinity is primarily 1970s in origin, although including a modified Georgian masonry cottage at the</w:t>
      </w:r>
      <w:r w:rsidRPr="0015426F">
        <w:rPr>
          <w:rFonts w:asciiTheme="minorHAnsi" w:hAnsiTheme="minorHAnsi" w:cstheme="minorHAnsi"/>
          <w:spacing w:val="-11"/>
        </w:rPr>
        <w:t xml:space="preserve"> </w:t>
      </w:r>
      <w:r w:rsidRPr="0015426F">
        <w:rPr>
          <w:rFonts w:asciiTheme="minorHAnsi" w:hAnsiTheme="minorHAnsi" w:cstheme="minorHAnsi"/>
        </w:rPr>
        <w:t>midpoint.</w:t>
      </w:r>
    </w:p>
    <w:p w14:paraId="7FA65D71" w14:textId="77777777" w:rsidR="00665A13" w:rsidRPr="0015426F" w:rsidRDefault="00665A13" w:rsidP="008D2EC3">
      <w:pPr>
        <w:pStyle w:val="BodyText"/>
        <w:spacing w:after="200"/>
        <w:ind w:left="0" w:right="-28"/>
        <w:jc w:val="both"/>
        <w:rPr>
          <w:rFonts w:asciiTheme="minorHAnsi" w:hAnsiTheme="minorHAnsi" w:cstheme="minorHAnsi"/>
        </w:rPr>
      </w:pPr>
      <w:r w:rsidRPr="0015426F">
        <w:rPr>
          <w:rFonts w:asciiTheme="minorHAnsi" w:hAnsiTheme="minorHAnsi" w:cstheme="minorHAnsi"/>
        </w:rPr>
        <w:t xml:space="preserve">Across Glyde Street, a Victorian limestone cottage in reasonably original condition is perhaps the oldest surviving structure in the precinct and an important indicator of the Area’s simple origins. Single </w:t>
      </w:r>
      <w:proofErr w:type="spellStart"/>
      <w:r w:rsidRPr="0015426F">
        <w:rPr>
          <w:rFonts w:asciiTheme="minorHAnsi" w:hAnsiTheme="minorHAnsi" w:cstheme="minorHAnsi"/>
        </w:rPr>
        <w:t>storey</w:t>
      </w:r>
      <w:proofErr w:type="spellEnd"/>
      <w:r w:rsidRPr="0015426F">
        <w:rPr>
          <w:rFonts w:asciiTheme="minorHAnsi" w:hAnsiTheme="minorHAnsi" w:cstheme="minorHAnsi"/>
        </w:rPr>
        <w:t xml:space="preserve"> commercial buildings beyond demonstrate the emergence of commercial operations, with ornamental parapet shopfronts built hard up to the roadway. The bottle shop/wine bar at the Hubble Street corner is a particularly flamboyant example, now restored and adapted in a generally sympathetic</w:t>
      </w:r>
      <w:r w:rsidRPr="0015426F">
        <w:rPr>
          <w:rFonts w:asciiTheme="minorHAnsi" w:hAnsiTheme="minorHAnsi" w:cstheme="minorHAnsi"/>
          <w:spacing w:val="-16"/>
        </w:rPr>
        <w:t xml:space="preserve"> </w:t>
      </w:r>
      <w:r w:rsidRPr="0015426F">
        <w:rPr>
          <w:rFonts w:asciiTheme="minorHAnsi" w:hAnsiTheme="minorHAnsi" w:cstheme="minorHAnsi"/>
        </w:rPr>
        <w:t>manner.</w:t>
      </w:r>
      <w:r w:rsidRPr="0015426F">
        <w:rPr>
          <w:rFonts w:asciiTheme="minorHAnsi" w:hAnsiTheme="minorHAnsi" w:cstheme="minorHAnsi"/>
          <w:spacing w:val="-14"/>
        </w:rPr>
        <w:t xml:space="preserve"> </w:t>
      </w:r>
      <w:r w:rsidRPr="0015426F">
        <w:rPr>
          <w:rFonts w:asciiTheme="minorHAnsi" w:hAnsiTheme="minorHAnsi" w:cstheme="minorHAnsi"/>
        </w:rPr>
        <w:t>This</w:t>
      </w:r>
      <w:r w:rsidRPr="0015426F">
        <w:rPr>
          <w:rFonts w:asciiTheme="minorHAnsi" w:hAnsiTheme="minorHAnsi" w:cstheme="minorHAnsi"/>
          <w:spacing w:val="-14"/>
        </w:rPr>
        <w:t xml:space="preserve"> </w:t>
      </w:r>
      <w:r w:rsidRPr="0015426F">
        <w:rPr>
          <w:rFonts w:asciiTheme="minorHAnsi" w:hAnsiTheme="minorHAnsi" w:cstheme="minorHAnsi"/>
        </w:rPr>
        <w:t>ornament</w:t>
      </w:r>
      <w:r w:rsidRPr="0015426F">
        <w:rPr>
          <w:rFonts w:asciiTheme="minorHAnsi" w:hAnsiTheme="minorHAnsi" w:cstheme="minorHAnsi"/>
          <w:spacing w:val="-15"/>
        </w:rPr>
        <w:t xml:space="preserve"> </w:t>
      </w:r>
      <w:r w:rsidRPr="0015426F">
        <w:rPr>
          <w:rFonts w:asciiTheme="minorHAnsi" w:hAnsiTheme="minorHAnsi" w:cstheme="minorHAnsi"/>
        </w:rPr>
        <w:t>contrasts</w:t>
      </w:r>
      <w:r w:rsidRPr="0015426F">
        <w:rPr>
          <w:rFonts w:asciiTheme="minorHAnsi" w:hAnsiTheme="minorHAnsi" w:cstheme="minorHAnsi"/>
          <w:spacing w:val="-16"/>
        </w:rPr>
        <w:t xml:space="preserve"> </w:t>
      </w:r>
      <w:r w:rsidRPr="0015426F">
        <w:rPr>
          <w:rFonts w:asciiTheme="minorHAnsi" w:hAnsiTheme="minorHAnsi" w:cstheme="minorHAnsi"/>
        </w:rPr>
        <w:t>with</w:t>
      </w:r>
      <w:r w:rsidRPr="0015426F">
        <w:rPr>
          <w:rFonts w:asciiTheme="minorHAnsi" w:hAnsiTheme="minorHAnsi" w:cstheme="minorHAnsi"/>
          <w:spacing w:val="-15"/>
        </w:rPr>
        <w:t xml:space="preserve"> </w:t>
      </w:r>
      <w:r w:rsidRPr="0015426F">
        <w:rPr>
          <w:rFonts w:asciiTheme="minorHAnsi" w:hAnsiTheme="minorHAnsi" w:cstheme="minorHAnsi"/>
        </w:rPr>
        <w:t>the</w:t>
      </w:r>
      <w:r w:rsidRPr="0015426F">
        <w:rPr>
          <w:rFonts w:asciiTheme="minorHAnsi" w:hAnsiTheme="minorHAnsi" w:cstheme="minorHAnsi"/>
          <w:spacing w:val="-16"/>
        </w:rPr>
        <w:t xml:space="preserve"> </w:t>
      </w:r>
      <w:r w:rsidRPr="0015426F">
        <w:rPr>
          <w:rFonts w:asciiTheme="minorHAnsi" w:hAnsiTheme="minorHAnsi" w:cstheme="minorHAnsi"/>
        </w:rPr>
        <w:t>former</w:t>
      </w:r>
      <w:r w:rsidRPr="0015426F">
        <w:rPr>
          <w:rFonts w:asciiTheme="minorHAnsi" w:hAnsiTheme="minorHAnsi" w:cstheme="minorHAnsi"/>
          <w:spacing w:val="-14"/>
        </w:rPr>
        <w:t xml:space="preserve"> </w:t>
      </w:r>
      <w:r w:rsidRPr="0015426F">
        <w:rPr>
          <w:rFonts w:asciiTheme="minorHAnsi" w:hAnsiTheme="minorHAnsi" w:cstheme="minorHAnsi"/>
        </w:rPr>
        <w:t>Semple</w:t>
      </w:r>
      <w:r w:rsidRPr="0015426F">
        <w:rPr>
          <w:rFonts w:asciiTheme="minorHAnsi" w:hAnsiTheme="minorHAnsi" w:cstheme="minorHAnsi"/>
          <w:spacing w:val="-13"/>
        </w:rPr>
        <w:t xml:space="preserve"> </w:t>
      </w:r>
      <w:r w:rsidRPr="0015426F">
        <w:rPr>
          <w:rFonts w:asciiTheme="minorHAnsi" w:hAnsiTheme="minorHAnsi" w:cstheme="minorHAnsi"/>
        </w:rPr>
        <w:t>Building</w:t>
      </w:r>
      <w:r w:rsidRPr="0015426F">
        <w:rPr>
          <w:rFonts w:asciiTheme="minorHAnsi" w:hAnsiTheme="minorHAnsi" w:cstheme="minorHAnsi"/>
          <w:spacing w:val="-14"/>
        </w:rPr>
        <w:t xml:space="preserve"> </w:t>
      </w:r>
      <w:r w:rsidRPr="0015426F">
        <w:rPr>
          <w:rFonts w:asciiTheme="minorHAnsi" w:hAnsiTheme="minorHAnsi" w:cstheme="minorHAnsi"/>
        </w:rPr>
        <w:t>across</w:t>
      </w:r>
      <w:r w:rsidRPr="0015426F">
        <w:rPr>
          <w:rFonts w:asciiTheme="minorHAnsi" w:hAnsiTheme="minorHAnsi" w:cstheme="minorHAnsi"/>
          <w:spacing w:val="-14"/>
        </w:rPr>
        <w:t xml:space="preserve"> </w:t>
      </w:r>
      <w:r w:rsidRPr="0015426F">
        <w:rPr>
          <w:rFonts w:asciiTheme="minorHAnsi" w:hAnsiTheme="minorHAnsi" w:cstheme="minorHAnsi"/>
        </w:rPr>
        <w:t>the</w:t>
      </w:r>
      <w:r w:rsidRPr="0015426F">
        <w:rPr>
          <w:rFonts w:asciiTheme="minorHAnsi" w:hAnsiTheme="minorHAnsi" w:cstheme="minorHAnsi"/>
          <w:spacing w:val="-14"/>
        </w:rPr>
        <w:t xml:space="preserve"> </w:t>
      </w:r>
      <w:r w:rsidRPr="0015426F">
        <w:rPr>
          <w:rFonts w:asciiTheme="minorHAnsi" w:hAnsiTheme="minorHAnsi" w:cstheme="minorHAnsi"/>
        </w:rPr>
        <w:t>road</w:t>
      </w:r>
      <w:r w:rsidRPr="0015426F">
        <w:rPr>
          <w:rFonts w:asciiTheme="minorHAnsi" w:hAnsiTheme="minorHAnsi" w:cstheme="minorHAnsi"/>
          <w:spacing w:val="-16"/>
        </w:rPr>
        <w:t xml:space="preserve"> </w:t>
      </w:r>
      <w:r w:rsidRPr="0015426F">
        <w:rPr>
          <w:rFonts w:asciiTheme="minorHAnsi" w:hAnsiTheme="minorHAnsi" w:cstheme="minorHAnsi"/>
        </w:rPr>
        <w:t>which displays a more rudimentary architecture clearly developed from an initial residential base. The corner was formerly enclosed by buildings on all sides, however the south-west corner building has long</w:t>
      </w:r>
      <w:r w:rsidRPr="0015426F">
        <w:rPr>
          <w:rFonts w:asciiTheme="minorHAnsi" w:hAnsiTheme="minorHAnsi" w:cstheme="minorHAnsi"/>
          <w:spacing w:val="-8"/>
        </w:rPr>
        <w:t xml:space="preserve"> </w:t>
      </w:r>
      <w:r w:rsidRPr="0015426F">
        <w:rPr>
          <w:rFonts w:asciiTheme="minorHAnsi" w:hAnsiTheme="minorHAnsi" w:cstheme="minorHAnsi"/>
        </w:rPr>
        <w:t>since</w:t>
      </w:r>
      <w:r w:rsidRPr="0015426F">
        <w:rPr>
          <w:rFonts w:asciiTheme="minorHAnsi" w:hAnsiTheme="minorHAnsi" w:cstheme="minorHAnsi"/>
          <w:spacing w:val="-7"/>
        </w:rPr>
        <w:t xml:space="preserve"> </w:t>
      </w:r>
      <w:r w:rsidRPr="0015426F">
        <w:rPr>
          <w:rFonts w:asciiTheme="minorHAnsi" w:hAnsiTheme="minorHAnsi" w:cstheme="minorHAnsi"/>
        </w:rPr>
        <w:t>been</w:t>
      </w:r>
      <w:r w:rsidRPr="0015426F">
        <w:rPr>
          <w:rFonts w:asciiTheme="minorHAnsi" w:hAnsiTheme="minorHAnsi" w:cstheme="minorHAnsi"/>
          <w:spacing w:val="-7"/>
        </w:rPr>
        <w:t xml:space="preserve"> </w:t>
      </w:r>
      <w:r w:rsidRPr="0015426F">
        <w:rPr>
          <w:rFonts w:asciiTheme="minorHAnsi" w:hAnsiTheme="minorHAnsi" w:cstheme="minorHAnsi"/>
        </w:rPr>
        <w:t>adapted</w:t>
      </w:r>
      <w:r w:rsidRPr="0015426F">
        <w:rPr>
          <w:rFonts w:asciiTheme="minorHAnsi" w:hAnsiTheme="minorHAnsi" w:cstheme="minorHAnsi"/>
          <w:spacing w:val="-6"/>
        </w:rPr>
        <w:t xml:space="preserve"> </w:t>
      </w:r>
      <w:r w:rsidRPr="0015426F">
        <w:rPr>
          <w:rFonts w:asciiTheme="minorHAnsi" w:hAnsiTheme="minorHAnsi" w:cstheme="minorHAnsi"/>
        </w:rPr>
        <w:t>into</w:t>
      </w:r>
      <w:r w:rsidRPr="0015426F">
        <w:rPr>
          <w:rFonts w:asciiTheme="minorHAnsi" w:hAnsiTheme="minorHAnsi" w:cstheme="minorHAnsi"/>
          <w:spacing w:val="-5"/>
        </w:rPr>
        <w:t xml:space="preserve"> </w:t>
      </w:r>
      <w:r w:rsidRPr="0015426F">
        <w:rPr>
          <w:rFonts w:asciiTheme="minorHAnsi" w:hAnsiTheme="minorHAnsi" w:cstheme="minorHAnsi"/>
        </w:rPr>
        <w:t>a</w:t>
      </w:r>
      <w:r w:rsidRPr="0015426F">
        <w:rPr>
          <w:rFonts w:asciiTheme="minorHAnsi" w:hAnsiTheme="minorHAnsi" w:cstheme="minorHAnsi"/>
          <w:spacing w:val="-6"/>
        </w:rPr>
        <w:t xml:space="preserve"> </w:t>
      </w:r>
      <w:r w:rsidRPr="0015426F">
        <w:rPr>
          <w:rFonts w:asciiTheme="minorHAnsi" w:hAnsiTheme="minorHAnsi" w:cstheme="minorHAnsi"/>
        </w:rPr>
        <w:t>community</w:t>
      </w:r>
      <w:r w:rsidRPr="0015426F">
        <w:rPr>
          <w:rFonts w:asciiTheme="minorHAnsi" w:hAnsiTheme="minorHAnsi" w:cstheme="minorHAnsi"/>
          <w:spacing w:val="-8"/>
        </w:rPr>
        <w:t xml:space="preserve"> </w:t>
      </w:r>
      <w:r w:rsidRPr="0015426F">
        <w:rPr>
          <w:rFonts w:asciiTheme="minorHAnsi" w:hAnsiTheme="minorHAnsi" w:cstheme="minorHAnsi"/>
        </w:rPr>
        <w:t>education</w:t>
      </w:r>
      <w:r w:rsidRPr="0015426F">
        <w:rPr>
          <w:rFonts w:asciiTheme="minorHAnsi" w:hAnsiTheme="minorHAnsi" w:cstheme="minorHAnsi"/>
          <w:spacing w:val="-6"/>
        </w:rPr>
        <w:t xml:space="preserve"> </w:t>
      </w:r>
      <w:r w:rsidRPr="0015426F">
        <w:rPr>
          <w:rFonts w:asciiTheme="minorHAnsi" w:hAnsiTheme="minorHAnsi" w:cstheme="minorHAnsi"/>
        </w:rPr>
        <w:t>facility</w:t>
      </w:r>
      <w:r w:rsidRPr="0015426F">
        <w:rPr>
          <w:rFonts w:asciiTheme="minorHAnsi" w:hAnsiTheme="minorHAnsi" w:cstheme="minorHAnsi"/>
          <w:spacing w:val="-9"/>
        </w:rPr>
        <w:t xml:space="preserve"> </w:t>
      </w:r>
      <w:r w:rsidRPr="0015426F">
        <w:rPr>
          <w:rFonts w:asciiTheme="minorHAnsi" w:hAnsiTheme="minorHAnsi" w:cstheme="minorHAnsi"/>
        </w:rPr>
        <w:t>with</w:t>
      </w:r>
      <w:r w:rsidRPr="0015426F">
        <w:rPr>
          <w:rFonts w:asciiTheme="minorHAnsi" w:hAnsiTheme="minorHAnsi" w:cstheme="minorHAnsi"/>
          <w:spacing w:val="-7"/>
        </w:rPr>
        <w:t xml:space="preserve"> </w:t>
      </w:r>
      <w:r w:rsidRPr="0015426F">
        <w:rPr>
          <w:rFonts w:asciiTheme="minorHAnsi" w:hAnsiTheme="minorHAnsi" w:cstheme="minorHAnsi"/>
        </w:rPr>
        <w:t>a</w:t>
      </w:r>
      <w:r w:rsidRPr="0015426F">
        <w:rPr>
          <w:rFonts w:asciiTheme="minorHAnsi" w:hAnsiTheme="minorHAnsi" w:cstheme="minorHAnsi"/>
          <w:spacing w:val="-10"/>
        </w:rPr>
        <w:t xml:space="preserve"> </w:t>
      </w:r>
      <w:r w:rsidRPr="0015426F">
        <w:rPr>
          <w:rFonts w:asciiTheme="minorHAnsi" w:hAnsiTheme="minorHAnsi" w:cstheme="minorHAnsi"/>
        </w:rPr>
        <w:t>contemporary</w:t>
      </w:r>
      <w:r w:rsidRPr="0015426F">
        <w:rPr>
          <w:rFonts w:asciiTheme="minorHAnsi" w:hAnsiTheme="minorHAnsi" w:cstheme="minorHAnsi"/>
          <w:spacing w:val="-8"/>
        </w:rPr>
        <w:t xml:space="preserve"> </w:t>
      </w:r>
      <w:r w:rsidRPr="0015426F">
        <w:rPr>
          <w:rFonts w:asciiTheme="minorHAnsi" w:hAnsiTheme="minorHAnsi" w:cstheme="minorHAnsi"/>
        </w:rPr>
        <w:t>form</w:t>
      </w:r>
      <w:r w:rsidRPr="0015426F">
        <w:rPr>
          <w:rFonts w:asciiTheme="minorHAnsi" w:hAnsiTheme="minorHAnsi" w:cstheme="minorHAnsi"/>
          <w:spacing w:val="-6"/>
        </w:rPr>
        <w:t xml:space="preserve"> </w:t>
      </w:r>
      <w:r w:rsidRPr="0015426F">
        <w:rPr>
          <w:rFonts w:asciiTheme="minorHAnsi" w:hAnsiTheme="minorHAnsi" w:cstheme="minorHAnsi"/>
        </w:rPr>
        <w:t>set</w:t>
      </w:r>
      <w:r w:rsidRPr="0015426F">
        <w:rPr>
          <w:rFonts w:asciiTheme="minorHAnsi" w:hAnsiTheme="minorHAnsi" w:cstheme="minorHAnsi"/>
          <w:spacing w:val="-8"/>
        </w:rPr>
        <w:t xml:space="preserve"> </w:t>
      </w:r>
      <w:r w:rsidRPr="0015426F">
        <w:rPr>
          <w:rFonts w:asciiTheme="minorHAnsi" w:hAnsiTheme="minorHAnsi" w:cstheme="minorHAnsi"/>
        </w:rPr>
        <w:t>well</w:t>
      </w:r>
      <w:r w:rsidRPr="0015426F">
        <w:rPr>
          <w:rFonts w:asciiTheme="minorHAnsi" w:hAnsiTheme="minorHAnsi" w:cstheme="minorHAnsi"/>
          <w:spacing w:val="-8"/>
        </w:rPr>
        <w:t xml:space="preserve"> </w:t>
      </w:r>
      <w:r w:rsidRPr="0015426F">
        <w:rPr>
          <w:rFonts w:asciiTheme="minorHAnsi" w:hAnsiTheme="minorHAnsi" w:cstheme="minorHAnsi"/>
        </w:rPr>
        <w:t>back from the</w:t>
      </w:r>
      <w:r w:rsidRPr="0015426F">
        <w:rPr>
          <w:rFonts w:asciiTheme="minorHAnsi" w:hAnsiTheme="minorHAnsi" w:cstheme="minorHAnsi"/>
          <w:spacing w:val="-4"/>
        </w:rPr>
        <w:t xml:space="preserve"> </w:t>
      </w:r>
      <w:r w:rsidRPr="0015426F">
        <w:rPr>
          <w:rFonts w:asciiTheme="minorHAnsi" w:hAnsiTheme="minorHAnsi" w:cstheme="minorHAnsi"/>
        </w:rPr>
        <w:t>corner.</w:t>
      </w:r>
    </w:p>
    <w:p w14:paraId="2C5BBC87" w14:textId="77777777" w:rsidR="00665A13" w:rsidRPr="0015426F" w:rsidRDefault="00665A13" w:rsidP="008D2EC3">
      <w:pPr>
        <w:pStyle w:val="BodyText"/>
        <w:spacing w:after="200"/>
        <w:ind w:left="0" w:right="-28"/>
        <w:jc w:val="both"/>
        <w:rPr>
          <w:rFonts w:asciiTheme="minorHAnsi" w:hAnsiTheme="minorHAnsi" w:cstheme="minorHAnsi"/>
        </w:rPr>
      </w:pPr>
      <w:r w:rsidRPr="0015426F">
        <w:rPr>
          <w:rFonts w:asciiTheme="minorHAnsi" w:hAnsiTheme="minorHAnsi" w:cstheme="minorHAnsi"/>
        </w:rPr>
        <w:t>Other corner shopfront buildings appear at the Sewell Street intersection, including the more substantial</w:t>
      </w:r>
      <w:r w:rsidRPr="0015426F">
        <w:rPr>
          <w:rFonts w:asciiTheme="minorHAnsi" w:hAnsiTheme="minorHAnsi" w:cstheme="minorHAnsi"/>
          <w:spacing w:val="-13"/>
        </w:rPr>
        <w:t xml:space="preserve"> </w:t>
      </w:r>
      <w:r w:rsidRPr="0015426F">
        <w:rPr>
          <w:rFonts w:asciiTheme="minorHAnsi" w:hAnsiTheme="minorHAnsi" w:cstheme="minorHAnsi"/>
        </w:rPr>
        <w:t>two</w:t>
      </w:r>
      <w:r w:rsidRPr="0015426F">
        <w:rPr>
          <w:rFonts w:asciiTheme="minorHAnsi" w:hAnsiTheme="minorHAnsi" w:cstheme="minorHAnsi"/>
          <w:spacing w:val="-10"/>
        </w:rPr>
        <w:t xml:space="preserve"> </w:t>
      </w:r>
      <w:proofErr w:type="spellStart"/>
      <w:r w:rsidRPr="0015426F">
        <w:rPr>
          <w:rFonts w:asciiTheme="minorHAnsi" w:hAnsiTheme="minorHAnsi" w:cstheme="minorHAnsi"/>
        </w:rPr>
        <w:t>storey</w:t>
      </w:r>
      <w:proofErr w:type="spellEnd"/>
      <w:r w:rsidRPr="0015426F">
        <w:rPr>
          <w:rFonts w:asciiTheme="minorHAnsi" w:hAnsiTheme="minorHAnsi" w:cstheme="minorHAnsi"/>
          <w:spacing w:val="-11"/>
        </w:rPr>
        <w:t xml:space="preserve"> </w:t>
      </w:r>
      <w:r w:rsidRPr="0015426F">
        <w:rPr>
          <w:rFonts w:asciiTheme="minorHAnsi" w:hAnsiTheme="minorHAnsi" w:cstheme="minorHAnsi"/>
        </w:rPr>
        <w:t>former</w:t>
      </w:r>
      <w:r w:rsidRPr="0015426F">
        <w:rPr>
          <w:rFonts w:asciiTheme="minorHAnsi" w:hAnsiTheme="minorHAnsi" w:cstheme="minorHAnsi"/>
          <w:spacing w:val="-12"/>
        </w:rPr>
        <w:t xml:space="preserve"> </w:t>
      </w:r>
      <w:r w:rsidRPr="0015426F">
        <w:rPr>
          <w:rFonts w:asciiTheme="minorHAnsi" w:hAnsiTheme="minorHAnsi" w:cstheme="minorHAnsi"/>
        </w:rPr>
        <w:t>Grosser’s</w:t>
      </w:r>
      <w:r w:rsidRPr="0015426F">
        <w:rPr>
          <w:rFonts w:asciiTheme="minorHAnsi" w:hAnsiTheme="minorHAnsi" w:cstheme="minorHAnsi"/>
          <w:spacing w:val="-13"/>
        </w:rPr>
        <w:t xml:space="preserve"> </w:t>
      </w:r>
      <w:r w:rsidRPr="0015426F">
        <w:rPr>
          <w:rFonts w:asciiTheme="minorHAnsi" w:hAnsiTheme="minorHAnsi" w:cstheme="minorHAnsi"/>
        </w:rPr>
        <w:t>Butcher</w:t>
      </w:r>
      <w:r w:rsidRPr="0015426F">
        <w:rPr>
          <w:rFonts w:asciiTheme="minorHAnsi" w:hAnsiTheme="minorHAnsi" w:cstheme="minorHAnsi"/>
          <w:spacing w:val="-10"/>
        </w:rPr>
        <w:t xml:space="preserve"> </w:t>
      </w:r>
      <w:r w:rsidRPr="0015426F">
        <w:rPr>
          <w:rFonts w:asciiTheme="minorHAnsi" w:hAnsiTheme="minorHAnsi" w:cstheme="minorHAnsi"/>
        </w:rPr>
        <w:t>Shop</w:t>
      </w:r>
      <w:r w:rsidRPr="0015426F">
        <w:rPr>
          <w:rFonts w:asciiTheme="minorHAnsi" w:hAnsiTheme="minorHAnsi" w:cstheme="minorHAnsi"/>
          <w:spacing w:val="-14"/>
        </w:rPr>
        <w:t xml:space="preserve"> </w:t>
      </w:r>
      <w:r w:rsidRPr="0015426F">
        <w:rPr>
          <w:rFonts w:asciiTheme="minorHAnsi" w:hAnsiTheme="minorHAnsi" w:cstheme="minorHAnsi"/>
        </w:rPr>
        <w:t>and</w:t>
      </w:r>
      <w:r w:rsidRPr="0015426F">
        <w:rPr>
          <w:rFonts w:asciiTheme="minorHAnsi" w:hAnsiTheme="minorHAnsi" w:cstheme="minorHAnsi"/>
          <w:spacing w:val="-11"/>
        </w:rPr>
        <w:t xml:space="preserve"> </w:t>
      </w:r>
      <w:r w:rsidRPr="0015426F">
        <w:rPr>
          <w:rFonts w:asciiTheme="minorHAnsi" w:hAnsiTheme="minorHAnsi" w:cstheme="minorHAnsi"/>
        </w:rPr>
        <w:t>the</w:t>
      </w:r>
      <w:r w:rsidRPr="0015426F">
        <w:rPr>
          <w:rFonts w:asciiTheme="minorHAnsi" w:hAnsiTheme="minorHAnsi" w:cstheme="minorHAnsi"/>
          <w:spacing w:val="-12"/>
        </w:rPr>
        <w:t xml:space="preserve"> </w:t>
      </w:r>
      <w:r w:rsidRPr="0015426F">
        <w:rPr>
          <w:rFonts w:asciiTheme="minorHAnsi" w:hAnsiTheme="minorHAnsi" w:cstheme="minorHAnsi"/>
        </w:rPr>
        <w:t>flamboyantly</w:t>
      </w:r>
      <w:r w:rsidRPr="0015426F">
        <w:rPr>
          <w:rFonts w:asciiTheme="minorHAnsi" w:hAnsiTheme="minorHAnsi" w:cstheme="minorHAnsi"/>
          <w:spacing w:val="-12"/>
        </w:rPr>
        <w:t xml:space="preserve"> </w:t>
      </w:r>
      <w:r w:rsidRPr="0015426F">
        <w:rPr>
          <w:rFonts w:asciiTheme="minorHAnsi" w:hAnsiTheme="minorHAnsi" w:cstheme="minorHAnsi"/>
        </w:rPr>
        <w:t>detailed</w:t>
      </w:r>
      <w:r w:rsidRPr="0015426F">
        <w:rPr>
          <w:rFonts w:asciiTheme="minorHAnsi" w:hAnsiTheme="minorHAnsi" w:cstheme="minorHAnsi"/>
          <w:spacing w:val="-14"/>
        </w:rPr>
        <w:t xml:space="preserve"> </w:t>
      </w:r>
      <w:r w:rsidRPr="0015426F">
        <w:rPr>
          <w:rFonts w:asciiTheme="minorHAnsi" w:hAnsiTheme="minorHAnsi" w:cstheme="minorHAnsi"/>
        </w:rPr>
        <w:t>single</w:t>
      </w:r>
      <w:r w:rsidRPr="0015426F">
        <w:rPr>
          <w:rFonts w:asciiTheme="minorHAnsi" w:hAnsiTheme="minorHAnsi" w:cstheme="minorHAnsi"/>
          <w:spacing w:val="-11"/>
        </w:rPr>
        <w:t xml:space="preserve"> </w:t>
      </w:r>
      <w:r w:rsidRPr="0015426F">
        <w:rPr>
          <w:rFonts w:asciiTheme="minorHAnsi" w:hAnsiTheme="minorHAnsi" w:cstheme="minorHAnsi"/>
        </w:rPr>
        <w:t>level</w:t>
      </w:r>
      <w:r w:rsidRPr="0015426F">
        <w:rPr>
          <w:rFonts w:asciiTheme="minorHAnsi" w:hAnsiTheme="minorHAnsi" w:cstheme="minorHAnsi"/>
          <w:spacing w:val="-10"/>
        </w:rPr>
        <w:t xml:space="preserve"> </w:t>
      </w:r>
      <w:r w:rsidRPr="0015426F">
        <w:rPr>
          <w:rFonts w:asciiTheme="minorHAnsi" w:hAnsiTheme="minorHAnsi" w:cstheme="minorHAnsi"/>
        </w:rPr>
        <w:t xml:space="preserve">shop house on the north-east corner. The juxtaposition between this substantial ornamental limestone shopfront and its attached rudimentary timber cottage is particularly notable. The use of timber </w:t>
      </w:r>
      <w:r w:rsidRPr="0015426F">
        <w:rPr>
          <w:rFonts w:asciiTheme="minorHAnsi" w:hAnsiTheme="minorHAnsi" w:cstheme="minorHAnsi"/>
          <w:spacing w:val="-3"/>
        </w:rPr>
        <w:t xml:space="preserve">in </w:t>
      </w:r>
      <w:r w:rsidRPr="0015426F">
        <w:rPr>
          <w:rFonts w:asciiTheme="minorHAnsi" w:hAnsiTheme="minorHAnsi" w:cstheme="minorHAnsi"/>
        </w:rPr>
        <w:t xml:space="preserve">the </w:t>
      </w:r>
      <w:proofErr w:type="spellStart"/>
      <w:r w:rsidRPr="0015426F">
        <w:rPr>
          <w:rFonts w:asciiTheme="minorHAnsi" w:hAnsiTheme="minorHAnsi" w:cstheme="minorHAnsi"/>
        </w:rPr>
        <w:t>skillion</w:t>
      </w:r>
      <w:proofErr w:type="spellEnd"/>
      <w:r w:rsidRPr="0015426F">
        <w:rPr>
          <w:rFonts w:asciiTheme="minorHAnsi" w:hAnsiTheme="minorHAnsi" w:cstheme="minorHAnsi"/>
        </w:rPr>
        <w:t xml:space="preserve"> roofed shop-houses occurring between Sewell and King Streets beyond this are also interesting for their grand allusions overlaying a rudimentary base. None of the buildings in this central portion retain or have had reconstructed their verandah awnings, somewhat lessening its aesthetic</w:t>
      </w:r>
      <w:r w:rsidRPr="0015426F">
        <w:rPr>
          <w:rFonts w:asciiTheme="minorHAnsi" w:hAnsiTheme="minorHAnsi" w:cstheme="minorHAnsi"/>
          <w:spacing w:val="-8"/>
        </w:rPr>
        <w:t xml:space="preserve"> </w:t>
      </w:r>
      <w:r w:rsidRPr="0015426F">
        <w:rPr>
          <w:rFonts w:asciiTheme="minorHAnsi" w:hAnsiTheme="minorHAnsi" w:cstheme="minorHAnsi"/>
        </w:rPr>
        <w:t>integrity</w:t>
      </w:r>
      <w:r w:rsidRPr="0015426F">
        <w:rPr>
          <w:rFonts w:asciiTheme="minorHAnsi" w:hAnsiTheme="minorHAnsi" w:cstheme="minorHAnsi"/>
          <w:spacing w:val="-8"/>
        </w:rPr>
        <w:t xml:space="preserve"> </w:t>
      </w:r>
      <w:r w:rsidRPr="0015426F">
        <w:rPr>
          <w:rFonts w:asciiTheme="minorHAnsi" w:hAnsiTheme="minorHAnsi" w:cstheme="minorHAnsi"/>
        </w:rPr>
        <w:t>and</w:t>
      </w:r>
      <w:r w:rsidRPr="0015426F">
        <w:rPr>
          <w:rFonts w:asciiTheme="minorHAnsi" w:hAnsiTheme="minorHAnsi" w:cstheme="minorHAnsi"/>
          <w:spacing w:val="-7"/>
        </w:rPr>
        <w:t xml:space="preserve"> </w:t>
      </w:r>
      <w:r w:rsidRPr="0015426F">
        <w:rPr>
          <w:rFonts w:asciiTheme="minorHAnsi" w:hAnsiTheme="minorHAnsi" w:cstheme="minorHAnsi"/>
        </w:rPr>
        <w:t>visual</w:t>
      </w:r>
      <w:r w:rsidRPr="0015426F">
        <w:rPr>
          <w:rFonts w:asciiTheme="minorHAnsi" w:hAnsiTheme="minorHAnsi" w:cstheme="minorHAnsi"/>
          <w:spacing w:val="-5"/>
        </w:rPr>
        <w:t xml:space="preserve"> </w:t>
      </w:r>
      <w:r w:rsidRPr="0015426F">
        <w:rPr>
          <w:rFonts w:asciiTheme="minorHAnsi" w:hAnsiTheme="minorHAnsi" w:cstheme="minorHAnsi"/>
        </w:rPr>
        <w:t>condition.</w:t>
      </w:r>
      <w:r w:rsidRPr="0015426F">
        <w:rPr>
          <w:rFonts w:asciiTheme="minorHAnsi" w:hAnsiTheme="minorHAnsi" w:cstheme="minorHAnsi"/>
          <w:spacing w:val="-6"/>
        </w:rPr>
        <w:t xml:space="preserve"> </w:t>
      </w:r>
      <w:r w:rsidRPr="0015426F">
        <w:rPr>
          <w:rFonts w:asciiTheme="minorHAnsi" w:hAnsiTheme="minorHAnsi" w:cstheme="minorHAnsi"/>
        </w:rPr>
        <w:t>Other</w:t>
      </w:r>
      <w:r w:rsidRPr="0015426F">
        <w:rPr>
          <w:rFonts w:asciiTheme="minorHAnsi" w:hAnsiTheme="minorHAnsi" w:cstheme="minorHAnsi"/>
          <w:spacing w:val="-6"/>
        </w:rPr>
        <w:t xml:space="preserve"> </w:t>
      </w:r>
      <w:r w:rsidRPr="0015426F">
        <w:rPr>
          <w:rFonts w:asciiTheme="minorHAnsi" w:hAnsiTheme="minorHAnsi" w:cstheme="minorHAnsi"/>
        </w:rPr>
        <w:t>ad-hoc</w:t>
      </w:r>
      <w:r w:rsidRPr="0015426F">
        <w:rPr>
          <w:rFonts w:asciiTheme="minorHAnsi" w:hAnsiTheme="minorHAnsi" w:cstheme="minorHAnsi"/>
          <w:spacing w:val="-6"/>
        </w:rPr>
        <w:t xml:space="preserve"> </w:t>
      </w:r>
      <w:r w:rsidRPr="0015426F">
        <w:rPr>
          <w:rFonts w:asciiTheme="minorHAnsi" w:hAnsiTheme="minorHAnsi" w:cstheme="minorHAnsi"/>
        </w:rPr>
        <w:t>timber</w:t>
      </w:r>
      <w:r w:rsidRPr="0015426F">
        <w:rPr>
          <w:rFonts w:asciiTheme="minorHAnsi" w:hAnsiTheme="minorHAnsi" w:cstheme="minorHAnsi"/>
          <w:spacing w:val="-6"/>
        </w:rPr>
        <w:t xml:space="preserve"> </w:t>
      </w:r>
      <w:r w:rsidRPr="0015426F">
        <w:rPr>
          <w:rFonts w:asciiTheme="minorHAnsi" w:hAnsiTheme="minorHAnsi" w:cstheme="minorHAnsi"/>
        </w:rPr>
        <w:t>cottages</w:t>
      </w:r>
      <w:r w:rsidRPr="0015426F">
        <w:rPr>
          <w:rFonts w:asciiTheme="minorHAnsi" w:hAnsiTheme="minorHAnsi" w:cstheme="minorHAnsi"/>
          <w:spacing w:val="-5"/>
        </w:rPr>
        <w:t xml:space="preserve"> </w:t>
      </w:r>
      <w:r w:rsidRPr="0015426F">
        <w:rPr>
          <w:rFonts w:asciiTheme="minorHAnsi" w:hAnsiTheme="minorHAnsi" w:cstheme="minorHAnsi"/>
        </w:rPr>
        <w:t>appear</w:t>
      </w:r>
      <w:r w:rsidRPr="0015426F">
        <w:rPr>
          <w:rFonts w:asciiTheme="minorHAnsi" w:hAnsiTheme="minorHAnsi" w:cstheme="minorHAnsi"/>
          <w:spacing w:val="-6"/>
        </w:rPr>
        <w:t xml:space="preserve"> </w:t>
      </w:r>
      <w:r w:rsidRPr="0015426F">
        <w:rPr>
          <w:rFonts w:asciiTheme="minorHAnsi" w:hAnsiTheme="minorHAnsi" w:cstheme="minorHAnsi"/>
        </w:rPr>
        <w:t>at</w:t>
      </w:r>
      <w:r w:rsidRPr="0015426F">
        <w:rPr>
          <w:rFonts w:asciiTheme="minorHAnsi" w:hAnsiTheme="minorHAnsi" w:cstheme="minorHAnsi"/>
          <w:spacing w:val="-10"/>
        </w:rPr>
        <w:t xml:space="preserve"> </w:t>
      </w:r>
      <w:r w:rsidRPr="0015426F">
        <w:rPr>
          <w:rFonts w:asciiTheme="minorHAnsi" w:hAnsiTheme="minorHAnsi" w:cstheme="minorHAnsi"/>
        </w:rPr>
        <w:t>various</w:t>
      </w:r>
      <w:r w:rsidRPr="0015426F">
        <w:rPr>
          <w:rFonts w:asciiTheme="minorHAnsi" w:hAnsiTheme="minorHAnsi" w:cstheme="minorHAnsi"/>
          <w:spacing w:val="-7"/>
        </w:rPr>
        <w:t xml:space="preserve"> </w:t>
      </w:r>
      <w:r w:rsidRPr="0015426F">
        <w:rPr>
          <w:rFonts w:asciiTheme="minorHAnsi" w:hAnsiTheme="minorHAnsi" w:cstheme="minorHAnsi"/>
        </w:rPr>
        <w:t>points</w:t>
      </w:r>
      <w:r w:rsidRPr="0015426F">
        <w:rPr>
          <w:rFonts w:asciiTheme="minorHAnsi" w:hAnsiTheme="minorHAnsi" w:cstheme="minorHAnsi"/>
          <w:spacing w:val="-8"/>
        </w:rPr>
        <w:t xml:space="preserve"> </w:t>
      </w:r>
      <w:r w:rsidRPr="0015426F">
        <w:rPr>
          <w:rFonts w:asciiTheme="minorHAnsi" w:hAnsiTheme="minorHAnsi" w:cstheme="minorHAnsi"/>
        </w:rPr>
        <w:t>in</w:t>
      </w:r>
      <w:r w:rsidRPr="0015426F">
        <w:rPr>
          <w:rFonts w:asciiTheme="minorHAnsi" w:hAnsiTheme="minorHAnsi" w:cstheme="minorHAnsi"/>
          <w:spacing w:val="-6"/>
        </w:rPr>
        <w:t xml:space="preserve"> </w:t>
      </w:r>
      <w:r w:rsidRPr="0015426F">
        <w:rPr>
          <w:rFonts w:asciiTheme="minorHAnsi" w:hAnsiTheme="minorHAnsi" w:cstheme="minorHAnsi"/>
        </w:rPr>
        <w:t>the Area,</w:t>
      </w:r>
      <w:r w:rsidRPr="0015426F">
        <w:rPr>
          <w:rFonts w:asciiTheme="minorHAnsi" w:hAnsiTheme="minorHAnsi" w:cstheme="minorHAnsi"/>
          <w:spacing w:val="29"/>
        </w:rPr>
        <w:t xml:space="preserve"> </w:t>
      </w:r>
      <w:r w:rsidRPr="0015426F">
        <w:rPr>
          <w:rFonts w:asciiTheme="minorHAnsi" w:hAnsiTheme="minorHAnsi" w:cstheme="minorHAnsi"/>
        </w:rPr>
        <w:t>notably</w:t>
      </w:r>
      <w:r w:rsidRPr="0015426F">
        <w:rPr>
          <w:rFonts w:asciiTheme="minorHAnsi" w:hAnsiTheme="minorHAnsi" w:cstheme="minorHAnsi"/>
          <w:spacing w:val="30"/>
        </w:rPr>
        <w:t xml:space="preserve"> </w:t>
      </w:r>
      <w:r w:rsidRPr="0015426F">
        <w:rPr>
          <w:rFonts w:asciiTheme="minorHAnsi" w:hAnsiTheme="minorHAnsi" w:cstheme="minorHAnsi"/>
        </w:rPr>
        <w:t>to</w:t>
      </w:r>
      <w:r w:rsidRPr="0015426F">
        <w:rPr>
          <w:rFonts w:asciiTheme="minorHAnsi" w:hAnsiTheme="minorHAnsi" w:cstheme="minorHAnsi"/>
          <w:spacing w:val="27"/>
        </w:rPr>
        <w:t xml:space="preserve"> </w:t>
      </w:r>
      <w:r w:rsidRPr="0015426F">
        <w:rPr>
          <w:rFonts w:asciiTheme="minorHAnsi" w:hAnsiTheme="minorHAnsi" w:cstheme="minorHAnsi"/>
        </w:rPr>
        <w:t>the</w:t>
      </w:r>
      <w:r w:rsidRPr="0015426F">
        <w:rPr>
          <w:rFonts w:asciiTheme="minorHAnsi" w:hAnsiTheme="minorHAnsi" w:cstheme="minorHAnsi"/>
          <w:spacing w:val="30"/>
        </w:rPr>
        <w:t xml:space="preserve"> </w:t>
      </w:r>
      <w:r w:rsidRPr="0015426F">
        <w:rPr>
          <w:rFonts w:asciiTheme="minorHAnsi" w:hAnsiTheme="minorHAnsi" w:cstheme="minorHAnsi"/>
        </w:rPr>
        <w:t>south</w:t>
      </w:r>
      <w:r w:rsidRPr="0015426F">
        <w:rPr>
          <w:rFonts w:asciiTheme="minorHAnsi" w:hAnsiTheme="minorHAnsi" w:cstheme="minorHAnsi"/>
          <w:spacing w:val="26"/>
        </w:rPr>
        <w:t xml:space="preserve"> </w:t>
      </w:r>
      <w:r w:rsidRPr="0015426F">
        <w:rPr>
          <w:rFonts w:asciiTheme="minorHAnsi" w:hAnsiTheme="minorHAnsi" w:cstheme="minorHAnsi"/>
        </w:rPr>
        <w:t>side</w:t>
      </w:r>
      <w:r w:rsidRPr="0015426F">
        <w:rPr>
          <w:rFonts w:asciiTheme="minorHAnsi" w:hAnsiTheme="minorHAnsi" w:cstheme="minorHAnsi"/>
          <w:spacing w:val="30"/>
        </w:rPr>
        <w:t xml:space="preserve"> </w:t>
      </w:r>
      <w:r w:rsidRPr="0015426F">
        <w:rPr>
          <w:rFonts w:asciiTheme="minorHAnsi" w:hAnsiTheme="minorHAnsi" w:cstheme="minorHAnsi"/>
        </w:rPr>
        <w:t>immediately</w:t>
      </w:r>
      <w:r w:rsidRPr="0015426F">
        <w:rPr>
          <w:rFonts w:asciiTheme="minorHAnsi" w:hAnsiTheme="minorHAnsi" w:cstheme="minorHAnsi"/>
          <w:spacing w:val="27"/>
        </w:rPr>
        <w:t xml:space="preserve"> </w:t>
      </w:r>
      <w:r w:rsidRPr="0015426F">
        <w:rPr>
          <w:rFonts w:asciiTheme="minorHAnsi" w:hAnsiTheme="minorHAnsi" w:cstheme="minorHAnsi"/>
        </w:rPr>
        <w:t>beyond</w:t>
      </w:r>
      <w:r w:rsidRPr="0015426F">
        <w:rPr>
          <w:rFonts w:asciiTheme="minorHAnsi" w:hAnsiTheme="minorHAnsi" w:cstheme="minorHAnsi"/>
          <w:spacing w:val="29"/>
        </w:rPr>
        <w:t xml:space="preserve"> </w:t>
      </w:r>
      <w:r w:rsidRPr="0015426F">
        <w:rPr>
          <w:rFonts w:asciiTheme="minorHAnsi" w:hAnsiTheme="minorHAnsi" w:cstheme="minorHAnsi"/>
        </w:rPr>
        <w:t>the</w:t>
      </w:r>
      <w:r w:rsidRPr="0015426F">
        <w:rPr>
          <w:rFonts w:asciiTheme="minorHAnsi" w:hAnsiTheme="minorHAnsi" w:cstheme="minorHAnsi"/>
          <w:spacing w:val="30"/>
        </w:rPr>
        <w:t xml:space="preserve"> </w:t>
      </w:r>
      <w:r w:rsidRPr="0015426F">
        <w:rPr>
          <w:rFonts w:asciiTheme="minorHAnsi" w:hAnsiTheme="minorHAnsi" w:cstheme="minorHAnsi"/>
        </w:rPr>
        <w:t>Hubble</w:t>
      </w:r>
      <w:r w:rsidRPr="0015426F">
        <w:rPr>
          <w:rFonts w:asciiTheme="minorHAnsi" w:hAnsiTheme="minorHAnsi" w:cstheme="minorHAnsi"/>
          <w:spacing w:val="32"/>
        </w:rPr>
        <w:t xml:space="preserve"> </w:t>
      </w:r>
      <w:r w:rsidRPr="0015426F">
        <w:rPr>
          <w:rFonts w:asciiTheme="minorHAnsi" w:hAnsiTheme="minorHAnsi" w:cstheme="minorHAnsi"/>
        </w:rPr>
        <w:t>Street</w:t>
      </w:r>
      <w:r w:rsidRPr="0015426F">
        <w:rPr>
          <w:rFonts w:asciiTheme="minorHAnsi" w:hAnsiTheme="minorHAnsi" w:cstheme="minorHAnsi"/>
          <w:spacing w:val="31"/>
        </w:rPr>
        <w:t xml:space="preserve"> </w:t>
      </w:r>
      <w:r w:rsidRPr="0015426F">
        <w:rPr>
          <w:rFonts w:asciiTheme="minorHAnsi" w:hAnsiTheme="minorHAnsi" w:cstheme="minorHAnsi"/>
        </w:rPr>
        <w:t>corner</w:t>
      </w:r>
      <w:r w:rsidRPr="0015426F">
        <w:rPr>
          <w:rFonts w:asciiTheme="minorHAnsi" w:hAnsiTheme="minorHAnsi" w:cstheme="minorHAnsi"/>
          <w:spacing w:val="30"/>
        </w:rPr>
        <w:t xml:space="preserve"> </w:t>
      </w:r>
      <w:r w:rsidRPr="0015426F">
        <w:rPr>
          <w:rFonts w:asciiTheme="minorHAnsi" w:hAnsiTheme="minorHAnsi" w:cstheme="minorHAnsi"/>
        </w:rPr>
        <w:t>and</w:t>
      </w:r>
      <w:r w:rsidRPr="0015426F">
        <w:rPr>
          <w:rFonts w:asciiTheme="minorHAnsi" w:hAnsiTheme="minorHAnsi" w:cstheme="minorHAnsi"/>
          <w:spacing w:val="29"/>
        </w:rPr>
        <w:t xml:space="preserve"> </w:t>
      </w:r>
      <w:r w:rsidRPr="0015426F">
        <w:rPr>
          <w:rFonts w:asciiTheme="minorHAnsi" w:hAnsiTheme="minorHAnsi" w:cstheme="minorHAnsi"/>
        </w:rPr>
        <w:t>between</w:t>
      </w:r>
      <w:r w:rsidRPr="0015426F">
        <w:rPr>
          <w:rFonts w:asciiTheme="minorHAnsi" w:hAnsiTheme="minorHAnsi" w:cstheme="minorHAnsi"/>
          <w:spacing w:val="30"/>
        </w:rPr>
        <w:t xml:space="preserve"> </w:t>
      </w:r>
      <w:r w:rsidRPr="0015426F">
        <w:rPr>
          <w:rFonts w:asciiTheme="minorHAnsi" w:hAnsiTheme="minorHAnsi" w:cstheme="minorHAnsi"/>
        </w:rPr>
        <w:t>the George Street Mews and Duke Street corner. These structures add to the diversity, architectural richness and historic readability of the Street.</w:t>
      </w:r>
    </w:p>
    <w:p w14:paraId="565C3FEA" w14:textId="77777777" w:rsidR="00665A13" w:rsidRPr="0015426F" w:rsidRDefault="00665A13" w:rsidP="008D2EC3">
      <w:pPr>
        <w:pStyle w:val="BodyText"/>
        <w:spacing w:after="200"/>
        <w:ind w:left="0" w:right="-28"/>
        <w:jc w:val="both"/>
        <w:rPr>
          <w:rFonts w:asciiTheme="minorHAnsi" w:hAnsiTheme="minorHAnsi" w:cstheme="minorHAnsi"/>
        </w:rPr>
      </w:pPr>
      <w:r w:rsidRPr="0015426F">
        <w:rPr>
          <w:rFonts w:asciiTheme="minorHAnsi" w:hAnsiTheme="minorHAnsi" w:cstheme="minorHAnsi"/>
        </w:rPr>
        <w:t>Between</w:t>
      </w:r>
      <w:r w:rsidRPr="0015426F">
        <w:rPr>
          <w:rFonts w:asciiTheme="minorHAnsi" w:hAnsiTheme="minorHAnsi" w:cstheme="minorHAnsi"/>
          <w:spacing w:val="-14"/>
        </w:rPr>
        <w:t xml:space="preserve"> </w:t>
      </w:r>
      <w:r w:rsidRPr="0015426F">
        <w:rPr>
          <w:rFonts w:asciiTheme="minorHAnsi" w:hAnsiTheme="minorHAnsi" w:cstheme="minorHAnsi"/>
        </w:rPr>
        <w:t>King</w:t>
      </w:r>
      <w:r w:rsidRPr="0015426F">
        <w:rPr>
          <w:rFonts w:asciiTheme="minorHAnsi" w:hAnsiTheme="minorHAnsi" w:cstheme="minorHAnsi"/>
          <w:spacing w:val="-14"/>
        </w:rPr>
        <w:t xml:space="preserve"> </w:t>
      </w:r>
      <w:r w:rsidRPr="0015426F">
        <w:rPr>
          <w:rFonts w:asciiTheme="minorHAnsi" w:hAnsiTheme="minorHAnsi" w:cstheme="minorHAnsi"/>
        </w:rPr>
        <w:t>and</w:t>
      </w:r>
      <w:r w:rsidRPr="0015426F">
        <w:rPr>
          <w:rFonts w:asciiTheme="minorHAnsi" w:hAnsiTheme="minorHAnsi" w:cstheme="minorHAnsi"/>
          <w:spacing w:val="-13"/>
        </w:rPr>
        <w:t xml:space="preserve"> </w:t>
      </w:r>
      <w:r w:rsidRPr="0015426F">
        <w:rPr>
          <w:rFonts w:asciiTheme="minorHAnsi" w:hAnsiTheme="minorHAnsi" w:cstheme="minorHAnsi"/>
        </w:rPr>
        <w:t>Duke</w:t>
      </w:r>
      <w:r w:rsidRPr="0015426F">
        <w:rPr>
          <w:rFonts w:asciiTheme="minorHAnsi" w:hAnsiTheme="minorHAnsi" w:cstheme="minorHAnsi"/>
          <w:spacing w:val="-14"/>
        </w:rPr>
        <w:t xml:space="preserve"> </w:t>
      </w:r>
      <w:r w:rsidRPr="0015426F">
        <w:rPr>
          <w:rFonts w:asciiTheme="minorHAnsi" w:hAnsiTheme="minorHAnsi" w:cstheme="minorHAnsi"/>
        </w:rPr>
        <w:t>Streets,</w:t>
      </w:r>
      <w:r w:rsidRPr="0015426F">
        <w:rPr>
          <w:rFonts w:asciiTheme="minorHAnsi" w:hAnsiTheme="minorHAnsi" w:cstheme="minorHAnsi"/>
          <w:spacing w:val="-16"/>
        </w:rPr>
        <w:t xml:space="preserve"> </w:t>
      </w:r>
      <w:r w:rsidRPr="0015426F">
        <w:rPr>
          <w:rFonts w:asciiTheme="minorHAnsi" w:hAnsiTheme="minorHAnsi" w:cstheme="minorHAnsi"/>
        </w:rPr>
        <w:t>the</w:t>
      </w:r>
      <w:r w:rsidRPr="0015426F">
        <w:rPr>
          <w:rFonts w:asciiTheme="minorHAnsi" w:hAnsiTheme="minorHAnsi" w:cstheme="minorHAnsi"/>
          <w:spacing w:val="-11"/>
        </w:rPr>
        <w:t xml:space="preserve"> </w:t>
      </w:r>
      <w:r w:rsidRPr="0015426F">
        <w:rPr>
          <w:rFonts w:asciiTheme="minorHAnsi" w:hAnsiTheme="minorHAnsi" w:cstheme="minorHAnsi"/>
        </w:rPr>
        <w:t>streetscape</w:t>
      </w:r>
      <w:r w:rsidRPr="0015426F">
        <w:rPr>
          <w:rFonts w:asciiTheme="minorHAnsi" w:hAnsiTheme="minorHAnsi" w:cstheme="minorHAnsi"/>
          <w:spacing w:val="-11"/>
        </w:rPr>
        <w:t xml:space="preserve"> </w:t>
      </w:r>
      <w:r w:rsidRPr="0015426F">
        <w:rPr>
          <w:rFonts w:asciiTheme="minorHAnsi" w:hAnsiTheme="minorHAnsi" w:cstheme="minorHAnsi"/>
        </w:rPr>
        <w:t>is</w:t>
      </w:r>
      <w:r w:rsidRPr="0015426F">
        <w:rPr>
          <w:rFonts w:asciiTheme="minorHAnsi" w:hAnsiTheme="minorHAnsi" w:cstheme="minorHAnsi"/>
          <w:spacing w:val="-12"/>
        </w:rPr>
        <w:t xml:space="preserve"> </w:t>
      </w:r>
      <w:r w:rsidRPr="0015426F">
        <w:rPr>
          <w:rFonts w:asciiTheme="minorHAnsi" w:hAnsiTheme="minorHAnsi" w:cstheme="minorHAnsi"/>
        </w:rPr>
        <w:t>dominated</w:t>
      </w:r>
      <w:r w:rsidRPr="0015426F">
        <w:rPr>
          <w:rFonts w:asciiTheme="minorHAnsi" w:hAnsiTheme="minorHAnsi" w:cstheme="minorHAnsi"/>
          <w:spacing w:val="-14"/>
        </w:rPr>
        <w:t xml:space="preserve"> </w:t>
      </w:r>
      <w:r w:rsidRPr="0015426F">
        <w:rPr>
          <w:rFonts w:asciiTheme="minorHAnsi" w:hAnsiTheme="minorHAnsi" w:cstheme="minorHAnsi"/>
        </w:rPr>
        <w:t>by</w:t>
      </w:r>
      <w:r w:rsidRPr="0015426F">
        <w:rPr>
          <w:rFonts w:asciiTheme="minorHAnsi" w:hAnsiTheme="minorHAnsi" w:cstheme="minorHAnsi"/>
          <w:spacing w:val="-14"/>
        </w:rPr>
        <w:t xml:space="preserve"> </w:t>
      </w:r>
      <w:r w:rsidRPr="0015426F">
        <w:rPr>
          <w:rFonts w:asciiTheme="minorHAnsi" w:hAnsiTheme="minorHAnsi" w:cstheme="minorHAnsi"/>
        </w:rPr>
        <w:t>terrace</w:t>
      </w:r>
      <w:r w:rsidRPr="0015426F">
        <w:rPr>
          <w:rFonts w:asciiTheme="minorHAnsi" w:hAnsiTheme="minorHAnsi" w:cstheme="minorHAnsi"/>
          <w:spacing w:val="-13"/>
        </w:rPr>
        <w:t xml:space="preserve"> </w:t>
      </w:r>
      <w:r w:rsidRPr="0015426F">
        <w:rPr>
          <w:rFonts w:asciiTheme="minorHAnsi" w:hAnsiTheme="minorHAnsi" w:cstheme="minorHAnsi"/>
        </w:rPr>
        <w:t>housing,</w:t>
      </w:r>
      <w:r w:rsidRPr="0015426F">
        <w:rPr>
          <w:rFonts w:asciiTheme="minorHAnsi" w:hAnsiTheme="minorHAnsi" w:cstheme="minorHAnsi"/>
          <w:spacing w:val="-14"/>
        </w:rPr>
        <w:t xml:space="preserve"> </w:t>
      </w:r>
      <w:r w:rsidRPr="0015426F">
        <w:rPr>
          <w:rFonts w:asciiTheme="minorHAnsi" w:hAnsiTheme="minorHAnsi" w:cstheme="minorHAnsi"/>
        </w:rPr>
        <w:t>with</w:t>
      </w:r>
      <w:r w:rsidRPr="0015426F">
        <w:rPr>
          <w:rFonts w:asciiTheme="minorHAnsi" w:hAnsiTheme="minorHAnsi" w:cstheme="minorHAnsi"/>
          <w:spacing w:val="-15"/>
        </w:rPr>
        <w:t xml:space="preserve"> </w:t>
      </w:r>
      <w:r w:rsidRPr="0015426F">
        <w:rPr>
          <w:rFonts w:asciiTheme="minorHAnsi" w:hAnsiTheme="minorHAnsi" w:cstheme="minorHAnsi"/>
        </w:rPr>
        <w:t>the</w:t>
      </w:r>
      <w:r w:rsidRPr="0015426F">
        <w:rPr>
          <w:rFonts w:asciiTheme="minorHAnsi" w:hAnsiTheme="minorHAnsi" w:cstheme="minorHAnsi"/>
          <w:spacing w:val="-11"/>
        </w:rPr>
        <w:t xml:space="preserve"> </w:t>
      </w:r>
      <w:r w:rsidRPr="0015426F">
        <w:rPr>
          <w:rFonts w:asciiTheme="minorHAnsi" w:hAnsiTheme="minorHAnsi" w:cstheme="minorHAnsi"/>
        </w:rPr>
        <w:t>King</w:t>
      </w:r>
      <w:r w:rsidRPr="0015426F">
        <w:rPr>
          <w:rFonts w:asciiTheme="minorHAnsi" w:hAnsiTheme="minorHAnsi" w:cstheme="minorHAnsi"/>
          <w:spacing w:val="-14"/>
        </w:rPr>
        <w:t xml:space="preserve"> </w:t>
      </w:r>
      <w:r w:rsidRPr="0015426F">
        <w:rPr>
          <w:rFonts w:asciiTheme="minorHAnsi" w:hAnsiTheme="minorHAnsi" w:cstheme="minorHAnsi"/>
        </w:rPr>
        <w:t>Street Terraces</w:t>
      </w:r>
      <w:r w:rsidRPr="0015426F">
        <w:rPr>
          <w:rFonts w:asciiTheme="minorHAnsi" w:hAnsiTheme="minorHAnsi" w:cstheme="minorHAnsi"/>
          <w:spacing w:val="-13"/>
        </w:rPr>
        <w:t xml:space="preserve"> </w:t>
      </w:r>
      <w:r w:rsidRPr="0015426F">
        <w:rPr>
          <w:rFonts w:asciiTheme="minorHAnsi" w:hAnsiTheme="minorHAnsi" w:cstheme="minorHAnsi"/>
        </w:rPr>
        <w:t>and</w:t>
      </w:r>
      <w:r w:rsidRPr="0015426F">
        <w:rPr>
          <w:rFonts w:asciiTheme="minorHAnsi" w:hAnsiTheme="minorHAnsi" w:cstheme="minorHAnsi"/>
          <w:spacing w:val="-15"/>
        </w:rPr>
        <w:t xml:space="preserve"> </w:t>
      </w:r>
      <w:r w:rsidRPr="0015426F">
        <w:rPr>
          <w:rFonts w:asciiTheme="minorHAnsi" w:hAnsiTheme="minorHAnsi" w:cstheme="minorHAnsi"/>
        </w:rPr>
        <w:t>George</w:t>
      </w:r>
      <w:r w:rsidRPr="0015426F">
        <w:rPr>
          <w:rFonts w:asciiTheme="minorHAnsi" w:hAnsiTheme="minorHAnsi" w:cstheme="minorHAnsi"/>
          <w:spacing w:val="-12"/>
        </w:rPr>
        <w:t xml:space="preserve"> </w:t>
      </w:r>
      <w:r w:rsidRPr="0015426F">
        <w:rPr>
          <w:rFonts w:asciiTheme="minorHAnsi" w:hAnsiTheme="minorHAnsi" w:cstheme="minorHAnsi"/>
        </w:rPr>
        <w:t>Street</w:t>
      </w:r>
      <w:r w:rsidRPr="0015426F">
        <w:rPr>
          <w:rFonts w:asciiTheme="minorHAnsi" w:hAnsiTheme="minorHAnsi" w:cstheme="minorHAnsi"/>
          <w:spacing w:val="-17"/>
        </w:rPr>
        <w:t xml:space="preserve"> </w:t>
      </w:r>
      <w:r w:rsidRPr="0015426F">
        <w:rPr>
          <w:rFonts w:asciiTheme="minorHAnsi" w:hAnsiTheme="minorHAnsi" w:cstheme="minorHAnsi"/>
        </w:rPr>
        <w:t>Mews</w:t>
      </w:r>
      <w:r w:rsidRPr="0015426F">
        <w:rPr>
          <w:rFonts w:asciiTheme="minorHAnsi" w:hAnsiTheme="minorHAnsi" w:cstheme="minorHAnsi"/>
          <w:spacing w:val="-15"/>
        </w:rPr>
        <w:t xml:space="preserve"> </w:t>
      </w:r>
      <w:r w:rsidRPr="0015426F">
        <w:rPr>
          <w:rFonts w:asciiTheme="minorHAnsi" w:hAnsiTheme="minorHAnsi" w:cstheme="minorHAnsi"/>
        </w:rPr>
        <w:t>as</w:t>
      </w:r>
      <w:r w:rsidRPr="0015426F">
        <w:rPr>
          <w:rFonts w:asciiTheme="minorHAnsi" w:hAnsiTheme="minorHAnsi" w:cstheme="minorHAnsi"/>
          <w:spacing w:val="-17"/>
        </w:rPr>
        <w:t xml:space="preserve"> </w:t>
      </w:r>
      <w:r w:rsidRPr="0015426F">
        <w:rPr>
          <w:rFonts w:asciiTheme="minorHAnsi" w:hAnsiTheme="minorHAnsi" w:cstheme="minorHAnsi"/>
        </w:rPr>
        <w:t>two</w:t>
      </w:r>
      <w:r w:rsidRPr="0015426F">
        <w:rPr>
          <w:rFonts w:asciiTheme="minorHAnsi" w:hAnsiTheme="minorHAnsi" w:cstheme="minorHAnsi"/>
          <w:spacing w:val="-14"/>
        </w:rPr>
        <w:t xml:space="preserve"> </w:t>
      </w:r>
      <w:r w:rsidRPr="0015426F">
        <w:rPr>
          <w:rFonts w:asciiTheme="minorHAnsi" w:hAnsiTheme="minorHAnsi" w:cstheme="minorHAnsi"/>
        </w:rPr>
        <w:t>distinct</w:t>
      </w:r>
      <w:r w:rsidRPr="0015426F">
        <w:rPr>
          <w:rFonts w:asciiTheme="minorHAnsi" w:hAnsiTheme="minorHAnsi" w:cstheme="minorHAnsi"/>
          <w:spacing w:val="-14"/>
        </w:rPr>
        <w:t xml:space="preserve"> </w:t>
      </w:r>
      <w:r w:rsidRPr="0015426F">
        <w:rPr>
          <w:rFonts w:asciiTheme="minorHAnsi" w:hAnsiTheme="minorHAnsi" w:cstheme="minorHAnsi"/>
        </w:rPr>
        <w:t>groupings</w:t>
      </w:r>
      <w:r w:rsidRPr="0015426F">
        <w:rPr>
          <w:rFonts w:asciiTheme="minorHAnsi" w:hAnsiTheme="minorHAnsi" w:cstheme="minorHAnsi"/>
          <w:spacing w:val="-13"/>
        </w:rPr>
        <w:t xml:space="preserve"> </w:t>
      </w:r>
      <w:r w:rsidRPr="0015426F">
        <w:rPr>
          <w:rFonts w:asciiTheme="minorHAnsi" w:hAnsiTheme="minorHAnsi" w:cstheme="minorHAnsi"/>
        </w:rPr>
        <w:t>of</w:t>
      </w:r>
      <w:r w:rsidRPr="0015426F">
        <w:rPr>
          <w:rFonts w:asciiTheme="minorHAnsi" w:hAnsiTheme="minorHAnsi" w:cstheme="minorHAnsi"/>
          <w:spacing w:val="-14"/>
        </w:rPr>
        <w:t xml:space="preserve"> </w:t>
      </w:r>
      <w:r w:rsidRPr="0015426F">
        <w:rPr>
          <w:rFonts w:asciiTheme="minorHAnsi" w:hAnsiTheme="minorHAnsi" w:cstheme="minorHAnsi"/>
        </w:rPr>
        <w:t>high</w:t>
      </w:r>
      <w:r w:rsidRPr="0015426F">
        <w:rPr>
          <w:rFonts w:asciiTheme="minorHAnsi" w:hAnsiTheme="minorHAnsi" w:cstheme="minorHAnsi"/>
          <w:spacing w:val="-15"/>
        </w:rPr>
        <w:t xml:space="preserve"> </w:t>
      </w:r>
      <w:r w:rsidRPr="0015426F">
        <w:rPr>
          <w:rFonts w:asciiTheme="minorHAnsi" w:hAnsiTheme="minorHAnsi" w:cstheme="minorHAnsi"/>
        </w:rPr>
        <w:t>compositional</w:t>
      </w:r>
      <w:r w:rsidRPr="0015426F">
        <w:rPr>
          <w:rFonts w:asciiTheme="minorHAnsi" w:hAnsiTheme="minorHAnsi" w:cstheme="minorHAnsi"/>
          <w:spacing w:val="-17"/>
        </w:rPr>
        <w:t xml:space="preserve"> </w:t>
      </w:r>
      <w:r w:rsidRPr="0015426F">
        <w:rPr>
          <w:rFonts w:asciiTheme="minorHAnsi" w:hAnsiTheme="minorHAnsi" w:cstheme="minorHAnsi"/>
        </w:rPr>
        <w:t>and</w:t>
      </w:r>
      <w:r w:rsidRPr="0015426F">
        <w:rPr>
          <w:rFonts w:asciiTheme="minorHAnsi" w:hAnsiTheme="minorHAnsi" w:cstheme="minorHAnsi"/>
          <w:spacing w:val="-14"/>
        </w:rPr>
        <w:t xml:space="preserve"> </w:t>
      </w:r>
      <w:r w:rsidRPr="0015426F">
        <w:rPr>
          <w:rFonts w:asciiTheme="minorHAnsi" w:hAnsiTheme="minorHAnsi" w:cstheme="minorHAnsi"/>
        </w:rPr>
        <w:t>detailing</w:t>
      </w:r>
      <w:r w:rsidRPr="0015426F">
        <w:rPr>
          <w:rFonts w:asciiTheme="minorHAnsi" w:hAnsiTheme="minorHAnsi" w:cstheme="minorHAnsi"/>
          <w:spacing w:val="-15"/>
        </w:rPr>
        <w:t xml:space="preserve"> </w:t>
      </w:r>
      <w:r w:rsidRPr="0015426F">
        <w:rPr>
          <w:rFonts w:asciiTheme="minorHAnsi" w:hAnsiTheme="minorHAnsi" w:cstheme="minorHAnsi"/>
        </w:rPr>
        <w:t>merit. Both are attributed to prominent Victorian architect Norman Hitchcock, whose idiosyncratic works dot the Plympton landscape. Their scale and continuity strengthen the streetscape at this end, reinforced</w:t>
      </w:r>
      <w:r w:rsidRPr="0015426F">
        <w:rPr>
          <w:rFonts w:asciiTheme="minorHAnsi" w:hAnsiTheme="minorHAnsi" w:cstheme="minorHAnsi"/>
          <w:spacing w:val="-5"/>
        </w:rPr>
        <w:t xml:space="preserve"> </w:t>
      </w:r>
      <w:r w:rsidRPr="0015426F">
        <w:rPr>
          <w:rFonts w:asciiTheme="minorHAnsi" w:hAnsiTheme="minorHAnsi" w:cstheme="minorHAnsi"/>
        </w:rPr>
        <w:t>through</w:t>
      </w:r>
      <w:r w:rsidRPr="0015426F">
        <w:rPr>
          <w:rFonts w:asciiTheme="minorHAnsi" w:hAnsiTheme="minorHAnsi" w:cstheme="minorHAnsi"/>
          <w:spacing w:val="-5"/>
        </w:rPr>
        <w:t xml:space="preserve"> </w:t>
      </w:r>
      <w:r w:rsidRPr="0015426F">
        <w:rPr>
          <w:rFonts w:asciiTheme="minorHAnsi" w:hAnsiTheme="minorHAnsi" w:cstheme="minorHAnsi"/>
        </w:rPr>
        <w:t>punctuation</w:t>
      </w:r>
      <w:r w:rsidRPr="0015426F">
        <w:rPr>
          <w:rFonts w:asciiTheme="minorHAnsi" w:hAnsiTheme="minorHAnsi" w:cstheme="minorHAnsi"/>
          <w:spacing w:val="-4"/>
        </w:rPr>
        <w:t xml:space="preserve"> </w:t>
      </w:r>
      <w:r w:rsidRPr="0015426F">
        <w:rPr>
          <w:rFonts w:asciiTheme="minorHAnsi" w:hAnsiTheme="minorHAnsi" w:cstheme="minorHAnsi"/>
          <w:spacing w:val="-3"/>
        </w:rPr>
        <w:t>at</w:t>
      </w:r>
      <w:r w:rsidRPr="0015426F">
        <w:rPr>
          <w:rFonts w:asciiTheme="minorHAnsi" w:hAnsiTheme="minorHAnsi" w:cstheme="minorHAnsi"/>
          <w:spacing w:val="-5"/>
        </w:rPr>
        <w:t xml:space="preserve"> </w:t>
      </w:r>
      <w:r w:rsidRPr="0015426F">
        <w:rPr>
          <w:rFonts w:asciiTheme="minorHAnsi" w:hAnsiTheme="minorHAnsi" w:cstheme="minorHAnsi"/>
        </w:rPr>
        <w:t>the</w:t>
      </w:r>
      <w:r w:rsidRPr="0015426F">
        <w:rPr>
          <w:rFonts w:asciiTheme="minorHAnsi" w:hAnsiTheme="minorHAnsi" w:cstheme="minorHAnsi"/>
          <w:spacing w:val="-5"/>
        </w:rPr>
        <w:t xml:space="preserve"> </w:t>
      </w:r>
      <w:r w:rsidRPr="0015426F">
        <w:rPr>
          <w:rFonts w:asciiTheme="minorHAnsi" w:hAnsiTheme="minorHAnsi" w:cstheme="minorHAnsi"/>
        </w:rPr>
        <w:t>eastern</w:t>
      </w:r>
      <w:r w:rsidRPr="0015426F">
        <w:rPr>
          <w:rFonts w:asciiTheme="minorHAnsi" w:hAnsiTheme="minorHAnsi" w:cstheme="minorHAnsi"/>
          <w:spacing w:val="-5"/>
        </w:rPr>
        <w:t xml:space="preserve"> </w:t>
      </w:r>
      <w:r w:rsidRPr="0015426F">
        <w:rPr>
          <w:rFonts w:asciiTheme="minorHAnsi" w:hAnsiTheme="minorHAnsi" w:cstheme="minorHAnsi"/>
        </w:rPr>
        <w:t>end</w:t>
      </w:r>
      <w:r w:rsidRPr="0015426F">
        <w:rPr>
          <w:rFonts w:asciiTheme="minorHAnsi" w:hAnsiTheme="minorHAnsi" w:cstheme="minorHAnsi"/>
          <w:spacing w:val="-6"/>
        </w:rPr>
        <w:t xml:space="preserve"> </w:t>
      </w:r>
      <w:r w:rsidRPr="0015426F">
        <w:rPr>
          <w:rFonts w:asciiTheme="minorHAnsi" w:hAnsiTheme="minorHAnsi" w:cstheme="minorHAnsi"/>
        </w:rPr>
        <w:t>by</w:t>
      </w:r>
      <w:r w:rsidRPr="0015426F">
        <w:rPr>
          <w:rFonts w:asciiTheme="minorHAnsi" w:hAnsiTheme="minorHAnsi" w:cstheme="minorHAnsi"/>
          <w:spacing w:val="-4"/>
        </w:rPr>
        <w:t xml:space="preserve"> </w:t>
      </w:r>
      <w:r w:rsidRPr="0015426F">
        <w:rPr>
          <w:rFonts w:asciiTheme="minorHAnsi" w:hAnsiTheme="minorHAnsi" w:cstheme="minorHAnsi"/>
        </w:rPr>
        <w:t>the</w:t>
      </w:r>
      <w:r w:rsidRPr="0015426F">
        <w:rPr>
          <w:rFonts w:asciiTheme="minorHAnsi" w:hAnsiTheme="minorHAnsi" w:cstheme="minorHAnsi"/>
          <w:spacing w:val="-4"/>
        </w:rPr>
        <w:t xml:space="preserve"> </w:t>
      </w:r>
      <w:r w:rsidRPr="0015426F">
        <w:rPr>
          <w:rFonts w:asciiTheme="minorHAnsi" w:hAnsiTheme="minorHAnsi" w:cstheme="minorHAnsi"/>
        </w:rPr>
        <w:t>former</w:t>
      </w:r>
      <w:r w:rsidRPr="0015426F">
        <w:rPr>
          <w:rFonts w:asciiTheme="minorHAnsi" w:hAnsiTheme="minorHAnsi" w:cstheme="minorHAnsi"/>
          <w:spacing w:val="-3"/>
        </w:rPr>
        <w:t xml:space="preserve"> </w:t>
      </w:r>
      <w:r w:rsidRPr="0015426F">
        <w:rPr>
          <w:rFonts w:asciiTheme="minorHAnsi" w:hAnsiTheme="minorHAnsi" w:cstheme="minorHAnsi"/>
        </w:rPr>
        <w:t>Albrecht’s</w:t>
      </w:r>
      <w:r w:rsidRPr="0015426F">
        <w:rPr>
          <w:rFonts w:asciiTheme="minorHAnsi" w:hAnsiTheme="minorHAnsi" w:cstheme="minorHAnsi"/>
          <w:spacing w:val="-8"/>
        </w:rPr>
        <w:t xml:space="preserve"> </w:t>
      </w:r>
      <w:r w:rsidRPr="0015426F">
        <w:rPr>
          <w:rFonts w:asciiTheme="minorHAnsi" w:hAnsiTheme="minorHAnsi" w:cstheme="minorHAnsi"/>
        </w:rPr>
        <w:t>Brush</w:t>
      </w:r>
      <w:r w:rsidRPr="0015426F">
        <w:rPr>
          <w:rFonts w:asciiTheme="minorHAnsi" w:hAnsiTheme="minorHAnsi" w:cstheme="minorHAnsi"/>
          <w:spacing w:val="-4"/>
        </w:rPr>
        <w:t xml:space="preserve"> </w:t>
      </w:r>
      <w:r w:rsidRPr="0015426F">
        <w:rPr>
          <w:rFonts w:asciiTheme="minorHAnsi" w:hAnsiTheme="minorHAnsi" w:cstheme="minorHAnsi"/>
        </w:rPr>
        <w:t>Factory</w:t>
      </w:r>
      <w:r w:rsidRPr="0015426F">
        <w:rPr>
          <w:rFonts w:asciiTheme="minorHAnsi" w:hAnsiTheme="minorHAnsi" w:cstheme="minorHAnsi"/>
          <w:spacing w:val="-6"/>
        </w:rPr>
        <w:t xml:space="preserve"> </w:t>
      </w:r>
      <w:r w:rsidRPr="0015426F">
        <w:rPr>
          <w:rFonts w:asciiTheme="minorHAnsi" w:hAnsiTheme="minorHAnsi" w:cstheme="minorHAnsi"/>
        </w:rPr>
        <w:t>and</w:t>
      </w:r>
      <w:r w:rsidRPr="0015426F">
        <w:rPr>
          <w:rFonts w:asciiTheme="minorHAnsi" w:hAnsiTheme="minorHAnsi" w:cstheme="minorHAnsi"/>
          <w:spacing w:val="-4"/>
        </w:rPr>
        <w:t xml:space="preserve"> </w:t>
      </w:r>
      <w:r w:rsidRPr="0015426F">
        <w:rPr>
          <w:rFonts w:asciiTheme="minorHAnsi" w:hAnsiTheme="minorHAnsi" w:cstheme="minorHAnsi"/>
        </w:rPr>
        <w:t xml:space="preserve">Royal George Hotel. The former was probably the first really substantial building in the </w:t>
      </w:r>
      <w:proofErr w:type="gramStart"/>
      <w:r w:rsidRPr="0015426F">
        <w:rPr>
          <w:rFonts w:asciiTheme="minorHAnsi" w:hAnsiTheme="minorHAnsi" w:cstheme="minorHAnsi"/>
        </w:rPr>
        <w:t>street, and</w:t>
      </w:r>
      <w:proofErr w:type="gramEnd"/>
      <w:r w:rsidRPr="0015426F">
        <w:rPr>
          <w:rFonts w:asciiTheme="minorHAnsi" w:hAnsiTheme="minorHAnsi" w:cstheme="minorHAnsi"/>
        </w:rPr>
        <w:t xml:space="preserve"> has a strongly free classical façade of well-considered monumental proportion and ornamental restraint, and</w:t>
      </w:r>
      <w:r w:rsidRPr="0015426F">
        <w:rPr>
          <w:rFonts w:asciiTheme="minorHAnsi" w:hAnsiTheme="minorHAnsi" w:cstheme="minorHAnsi"/>
          <w:spacing w:val="-4"/>
        </w:rPr>
        <w:t xml:space="preserve"> </w:t>
      </w:r>
      <w:r w:rsidRPr="0015426F">
        <w:rPr>
          <w:rFonts w:asciiTheme="minorHAnsi" w:hAnsiTheme="minorHAnsi" w:cstheme="minorHAnsi"/>
        </w:rPr>
        <w:t>with</w:t>
      </w:r>
      <w:r w:rsidRPr="0015426F">
        <w:rPr>
          <w:rFonts w:asciiTheme="minorHAnsi" w:hAnsiTheme="minorHAnsi" w:cstheme="minorHAnsi"/>
          <w:spacing w:val="-4"/>
        </w:rPr>
        <w:t xml:space="preserve"> </w:t>
      </w:r>
      <w:r w:rsidRPr="0015426F">
        <w:rPr>
          <w:rFonts w:asciiTheme="minorHAnsi" w:hAnsiTheme="minorHAnsi" w:cstheme="minorHAnsi"/>
        </w:rPr>
        <w:t>some</w:t>
      </w:r>
      <w:r w:rsidRPr="0015426F">
        <w:rPr>
          <w:rFonts w:asciiTheme="minorHAnsi" w:hAnsiTheme="minorHAnsi" w:cstheme="minorHAnsi"/>
          <w:spacing w:val="-5"/>
        </w:rPr>
        <w:t xml:space="preserve"> </w:t>
      </w:r>
      <w:r w:rsidRPr="0015426F">
        <w:rPr>
          <w:rFonts w:asciiTheme="minorHAnsi" w:hAnsiTheme="minorHAnsi" w:cstheme="minorHAnsi"/>
        </w:rPr>
        <w:t>more</w:t>
      </w:r>
      <w:r w:rsidRPr="0015426F">
        <w:rPr>
          <w:rFonts w:asciiTheme="minorHAnsi" w:hAnsiTheme="minorHAnsi" w:cstheme="minorHAnsi"/>
          <w:spacing w:val="-3"/>
        </w:rPr>
        <w:t xml:space="preserve"> </w:t>
      </w:r>
      <w:r w:rsidRPr="0015426F">
        <w:rPr>
          <w:rFonts w:asciiTheme="minorHAnsi" w:hAnsiTheme="minorHAnsi" w:cstheme="minorHAnsi"/>
        </w:rPr>
        <w:t>recent</w:t>
      </w:r>
      <w:r w:rsidRPr="0015426F">
        <w:rPr>
          <w:rFonts w:asciiTheme="minorHAnsi" w:hAnsiTheme="minorHAnsi" w:cstheme="minorHAnsi"/>
          <w:spacing w:val="-2"/>
        </w:rPr>
        <w:t xml:space="preserve"> </w:t>
      </w:r>
      <w:r w:rsidRPr="0015426F">
        <w:rPr>
          <w:rFonts w:asciiTheme="minorHAnsi" w:hAnsiTheme="minorHAnsi" w:cstheme="minorHAnsi"/>
        </w:rPr>
        <w:t>additions</w:t>
      </w:r>
      <w:r w:rsidRPr="0015426F">
        <w:rPr>
          <w:rFonts w:asciiTheme="minorHAnsi" w:hAnsiTheme="minorHAnsi" w:cstheme="minorHAnsi"/>
          <w:spacing w:val="-3"/>
        </w:rPr>
        <w:t xml:space="preserve"> </w:t>
      </w:r>
      <w:r w:rsidRPr="0015426F">
        <w:rPr>
          <w:rFonts w:asciiTheme="minorHAnsi" w:hAnsiTheme="minorHAnsi" w:cstheme="minorHAnsi"/>
        </w:rPr>
        <w:t>extending</w:t>
      </w:r>
      <w:r w:rsidRPr="0015426F">
        <w:rPr>
          <w:rFonts w:asciiTheme="minorHAnsi" w:hAnsiTheme="minorHAnsi" w:cstheme="minorHAnsi"/>
          <w:spacing w:val="-5"/>
        </w:rPr>
        <w:t xml:space="preserve"> </w:t>
      </w:r>
      <w:r w:rsidRPr="0015426F">
        <w:rPr>
          <w:rFonts w:asciiTheme="minorHAnsi" w:hAnsiTheme="minorHAnsi" w:cstheme="minorHAnsi"/>
        </w:rPr>
        <w:t>up</w:t>
      </w:r>
      <w:r w:rsidRPr="0015426F">
        <w:rPr>
          <w:rFonts w:asciiTheme="minorHAnsi" w:hAnsiTheme="minorHAnsi" w:cstheme="minorHAnsi"/>
          <w:spacing w:val="-4"/>
        </w:rPr>
        <w:t xml:space="preserve"> </w:t>
      </w:r>
      <w:r w:rsidRPr="0015426F">
        <w:rPr>
          <w:rFonts w:asciiTheme="minorHAnsi" w:hAnsiTheme="minorHAnsi" w:cstheme="minorHAnsi"/>
        </w:rPr>
        <w:t>Duke</w:t>
      </w:r>
      <w:r w:rsidRPr="0015426F">
        <w:rPr>
          <w:rFonts w:asciiTheme="minorHAnsi" w:hAnsiTheme="minorHAnsi" w:cstheme="minorHAnsi"/>
          <w:spacing w:val="-2"/>
        </w:rPr>
        <w:t xml:space="preserve"> </w:t>
      </w:r>
      <w:r w:rsidRPr="0015426F">
        <w:rPr>
          <w:rFonts w:asciiTheme="minorHAnsi" w:hAnsiTheme="minorHAnsi" w:cstheme="minorHAnsi"/>
        </w:rPr>
        <w:t>Street.</w:t>
      </w:r>
      <w:r w:rsidRPr="0015426F">
        <w:rPr>
          <w:rFonts w:asciiTheme="minorHAnsi" w:hAnsiTheme="minorHAnsi" w:cstheme="minorHAnsi"/>
          <w:spacing w:val="-5"/>
        </w:rPr>
        <w:t xml:space="preserve"> </w:t>
      </w:r>
      <w:r w:rsidRPr="0015426F">
        <w:rPr>
          <w:rFonts w:asciiTheme="minorHAnsi" w:hAnsiTheme="minorHAnsi" w:cstheme="minorHAnsi"/>
        </w:rPr>
        <w:t>The</w:t>
      </w:r>
      <w:r w:rsidRPr="0015426F">
        <w:rPr>
          <w:rFonts w:asciiTheme="minorHAnsi" w:hAnsiTheme="minorHAnsi" w:cstheme="minorHAnsi"/>
          <w:spacing w:val="-3"/>
        </w:rPr>
        <w:t xml:space="preserve"> </w:t>
      </w:r>
      <w:r w:rsidRPr="0015426F">
        <w:rPr>
          <w:rFonts w:asciiTheme="minorHAnsi" w:hAnsiTheme="minorHAnsi" w:cstheme="minorHAnsi"/>
        </w:rPr>
        <w:t>hotel</w:t>
      </w:r>
      <w:r w:rsidRPr="0015426F">
        <w:rPr>
          <w:rFonts w:asciiTheme="minorHAnsi" w:hAnsiTheme="minorHAnsi" w:cstheme="minorHAnsi"/>
          <w:spacing w:val="-3"/>
        </w:rPr>
        <w:t xml:space="preserve"> </w:t>
      </w:r>
      <w:r w:rsidRPr="0015426F">
        <w:rPr>
          <w:rFonts w:asciiTheme="minorHAnsi" w:hAnsiTheme="minorHAnsi" w:cstheme="minorHAnsi"/>
        </w:rPr>
        <w:t>was</w:t>
      </w:r>
      <w:r w:rsidRPr="0015426F">
        <w:rPr>
          <w:rFonts w:asciiTheme="minorHAnsi" w:hAnsiTheme="minorHAnsi" w:cstheme="minorHAnsi"/>
          <w:spacing w:val="-2"/>
        </w:rPr>
        <w:t xml:space="preserve"> </w:t>
      </w:r>
      <w:r w:rsidRPr="0015426F">
        <w:rPr>
          <w:rFonts w:asciiTheme="minorHAnsi" w:hAnsiTheme="minorHAnsi" w:cstheme="minorHAnsi"/>
        </w:rPr>
        <w:t>a</w:t>
      </w:r>
      <w:r w:rsidRPr="0015426F">
        <w:rPr>
          <w:rFonts w:asciiTheme="minorHAnsi" w:hAnsiTheme="minorHAnsi" w:cstheme="minorHAnsi"/>
          <w:spacing w:val="-7"/>
        </w:rPr>
        <w:t xml:space="preserve"> </w:t>
      </w:r>
      <w:r w:rsidRPr="0015426F">
        <w:rPr>
          <w:rFonts w:asciiTheme="minorHAnsi" w:hAnsiTheme="minorHAnsi" w:cstheme="minorHAnsi"/>
        </w:rPr>
        <w:t>grand</w:t>
      </w:r>
      <w:r w:rsidRPr="0015426F">
        <w:rPr>
          <w:rFonts w:asciiTheme="minorHAnsi" w:hAnsiTheme="minorHAnsi" w:cstheme="minorHAnsi"/>
          <w:spacing w:val="-4"/>
        </w:rPr>
        <w:t xml:space="preserve"> </w:t>
      </w:r>
      <w:r w:rsidRPr="0015426F">
        <w:rPr>
          <w:rFonts w:asciiTheme="minorHAnsi" w:hAnsiTheme="minorHAnsi" w:cstheme="minorHAnsi"/>
        </w:rPr>
        <w:t>statement</w:t>
      </w:r>
      <w:r w:rsidRPr="0015426F">
        <w:rPr>
          <w:rFonts w:asciiTheme="minorHAnsi" w:hAnsiTheme="minorHAnsi" w:cstheme="minorHAnsi"/>
          <w:spacing w:val="-6"/>
        </w:rPr>
        <w:t xml:space="preserve"> </w:t>
      </w:r>
      <w:r w:rsidRPr="0015426F">
        <w:rPr>
          <w:rFonts w:asciiTheme="minorHAnsi" w:hAnsiTheme="minorHAnsi" w:cstheme="minorHAnsi"/>
        </w:rPr>
        <w:t>of the</w:t>
      </w:r>
      <w:r w:rsidRPr="0015426F">
        <w:rPr>
          <w:rFonts w:asciiTheme="minorHAnsi" w:hAnsiTheme="minorHAnsi" w:cstheme="minorHAnsi"/>
          <w:spacing w:val="-8"/>
        </w:rPr>
        <w:t xml:space="preserve"> </w:t>
      </w:r>
      <w:r w:rsidRPr="0015426F">
        <w:rPr>
          <w:rFonts w:asciiTheme="minorHAnsi" w:hAnsiTheme="minorHAnsi" w:cstheme="minorHAnsi"/>
        </w:rPr>
        <w:t>confidence</w:t>
      </w:r>
      <w:r w:rsidRPr="0015426F">
        <w:rPr>
          <w:rFonts w:asciiTheme="minorHAnsi" w:hAnsiTheme="minorHAnsi" w:cstheme="minorHAnsi"/>
          <w:spacing w:val="-8"/>
        </w:rPr>
        <w:t xml:space="preserve"> </w:t>
      </w:r>
      <w:r w:rsidRPr="0015426F">
        <w:rPr>
          <w:rFonts w:asciiTheme="minorHAnsi" w:hAnsiTheme="minorHAnsi" w:cstheme="minorHAnsi"/>
        </w:rPr>
        <w:t>and</w:t>
      </w:r>
      <w:r w:rsidRPr="0015426F">
        <w:rPr>
          <w:rFonts w:asciiTheme="minorHAnsi" w:hAnsiTheme="minorHAnsi" w:cstheme="minorHAnsi"/>
          <w:spacing w:val="-9"/>
        </w:rPr>
        <w:t xml:space="preserve"> </w:t>
      </w:r>
      <w:r w:rsidRPr="0015426F">
        <w:rPr>
          <w:rFonts w:asciiTheme="minorHAnsi" w:hAnsiTheme="minorHAnsi" w:cstheme="minorHAnsi"/>
        </w:rPr>
        <w:t>socially</w:t>
      </w:r>
      <w:r w:rsidRPr="0015426F">
        <w:rPr>
          <w:rFonts w:asciiTheme="minorHAnsi" w:hAnsiTheme="minorHAnsi" w:cstheme="minorHAnsi"/>
          <w:spacing w:val="-12"/>
        </w:rPr>
        <w:t xml:space="preserve"> </w:t>
      </w:r>
      <w:r w:rsidRPr="0015426F">
        <w:rPr>
          <w:rFonts w:asciiTheme="minorHAnsi" w:hAnsiTheme="minorHAnsi" w:cstheme="minorHAnsi"/>
        </w:rPr>
        <w:t>egalitarian</w:t>
      </w:r>
      <w:r w:rsidRPr="0015426F">
        <w:rPr>
          <w:rFonts w:asciiTheme="minorHAnsi" w:hAnsiTheme="minorHAnsi" w:cstheme="minorHAnsi"/>
          <w:spacing w:val="-9"/>
        </w:rPr>
        <w:t xml:space="preserve"> </w:t>
      </w:r>
      <w:r w:rsidRPr="0015426F">
        <w:rPr>
          <w:rFonts w:asciiTheme="minorHAnsi" w:hAnsiTheme="minorHAnsi" w:cstheme="minorHAnsi"/>
        </w:rPr>
        <w:t>basis</w:t>
      </w:r>
      <w:r w:rsidRPr="0015426F">
        <w:rPr>
          <w:rFonts w:asciiTheme="minorHAnsi" w:hAnsiTheme="minorHAnsi" w:cstheme="minorHAnsi"/>
          <w:spacing w:val="-10"/>
        </w:rPr>
        <w:t xml:space="preserve"> </w:t>
      </w:r>
      <w:r w:rsidRPr="0015426F">
        <w:rPr>
          <w:rFonts w:asciiTheme="minorHAnsi" w:hAnsiTheme="minorHAnsi" w:cstheme="minorHAnsi"/>
        </w:rPr>
        <w:t>of</w:t>
      </w:r>
      <w:r w:rsidRPr="0015426F">
        <w:rPr>
          <w:rFonts w:asciiTheme="minorHAnsi" w:hAnsiTheme="minorHAnsi" w:cstheme="minorHAnsi"/>
          <w:spacing w:val="-8"/>
        </w:rPr>
        <w:t xml:space="preserve"> </w:t>
      </w:r>
      <w:r w:rsidRPr="0015426F">
        <w:rPr>
          <w:rFonts w:asciiTheme="minorHAnsi" w:hAnsiTheme="minorHAnsi" w:cstheme="minorHAnsi"/>
        </w:rPr>
        <w:t>the</w:t>
      </w:r>
      <w:r w:rsidRPr="0015426F">
        <w:rPr>
          <w:rFonts w:asciiTheme="minorHAnsi" w:hAnsiTheme="minorHAnsi" w:cstheme="minorHAnsi"/>
          <w:spacing w:val="-8"/>
        </w:rPr>
        <w:t xml:space="preserve"> </w:t>
      </w:r>
      <w:r w:rsidRPr="0015426F">
        <w:rPr>
          <w:rFonts w:asciiTheme="minorHAnsi" w:hAnsiTheme="minorHAnsi" w:cstheme="minorHAnsi"/>
        </w:rPr>
        <w:t>new</w:t>
      </w:r>
      <w:r w:rsidRPr="0015426F">
        <w:rPr>
          <w:rFonts w:asciiTheme="minorHAnsi" w:hAnsiTheme="minorHAnsi" w:cstheme="minorHAnsi"/>
          <w:spacing w:val="-10"/>
        </w:rPr>
        <w:t xml:space="preserve"> </w:t>
      </w:r>
      <w:r w:rsidRPr="0015426F">
        <w:rPr>
          <w:rFonts w:asciiTheme="minorHAnsi" w:hAnsiTheme="minorHAnsi" w:cstheme="minorHAnsi"/>
        </w:rPr>
        <w:t>State</w:t>
      </w:r>
      <w:r w:rsidRPr="0015426F">
        <w:rPr>
          <w:rFonts w:asciiTheme="minorHAnsi" w:hAnsiTheme="minorHAnsi" w:cstheme="minorHAnsi"/>
          <w:spacing w:val="-10"/>
        </w:rPr>
        <w:t xml:space="preserve"> </w:t>
      </w:r>
      <w:r w:rsidRPr="0015426F">
        <w:rPr>
          <w:rFonts w:asciiTheme="minorHAnsi" w:hAnsiTheme="minorHAnsi" w:cstheme="minorHAnsi"/>
        </w:rPr>
        <w:t>of</w:t>
      </w:r>
      <w:r w:rsidRPr="0015426F">
        <w:rPr>
          <w:rFonts w:asciiTheme="minorHAnsi" w:hAnsiTheme="minorHAnsi" w:cstheme="minorHAnsi"/>
          <w:spacing w:val="-8"/>
        </w:rPr>
        <w:t xml:space="preserve"> </w:t>
      </w:r>
      <w:r w:rsidRPr="0015426F">
        <w:rPr>
          <w:rFonts w:asciiTheme="minorHAnsi" w:hAnsiTheme="minorHAnsi" w:cstheme="minorHAnsi"/>
        </w:rPr>
        <w:t>Western</w:t>
      </w:r>
      <w:r w:rsidRPr="0015426F">
        <w:rPr>
          <w:rFonts w:asciiTheme="minorHAnsi" w:hAnsiTheme="minorHAnsi" w:cstheme="minorHAnsi"/>
          <w:spacing w:val="-8"/>
        </w:rPr>
        <w:t xml:space="preserve"> </w:t>
      </w:r>
      <w:r w:rsidRPr="0015426F">
        <w:rPr>
          <w:rFonts w:asciiTheme="minorHAnsi" w:hAnsiTheme="minorHAnsi" w:cstheme="minorHAnsi"/>
        </w:rPr>
        <w:t>Australia,</w:t>
      </w:r>
      <w:r w:rsidRPr="0015426F">
        <w:rPr>
          <w:rFonts w:asciiTheme="minorHAnsi" w:hAnsiTheme="minorHAnsi" w:cstheme="minorHAnsi"/>
          <w:spacing w:val="-10"/>
        </w:rPr>
        <w:t xml:space="preserve"> </w:t>
      </w:r>
      <w:r w:rsidRPr="0015426F">
        <w:rPr>
          <w:rFonts w:asciiTheme="minorHAnsi" w:hAnsiTheme="minorHAnsi" w:cstheme="minorHAnsi"/>
        </w:rPr>
        <w:t>dating</w:t>
      </w:r>
      <w:r w:rsidRPr="0015426F">
        <w:rPr>
          <w:rFonts w:asciiTheme="minorHAnsi" w:hAnsiTheme="minorHAnsi" w:cstheme="minorHAnsi"/>
          <w:spacing w:val="-10"/>
        </w:rPr>
        <w:t xml:space="preserve"> </w:t>
      </w:r>
      <w:r w:rsidRPr="0015426F">
        <w:rPr>
          <w:rFonts w:asciiTheme="minorHAnsi" w:hAnsiTheme="minorHAnsi" w:cstheme="minorHAnsi"/>
        </w:rPr>
        <w:t>from</w:t>
      </w:r>
      <w:r w:rsidRPr="0015426F">
        <w:rPr>
          <w:rFonts w:asciiTheme="minorHAnsi" w:hAnsiTheme="minorHAnsi" w:cstheme="minorHAnsi"/>
          <w:spacing w:val="-8"/>
        </w:rPr>
        <w:t xml:space="preserve"> </w:t>
      </w:r>
      <w:r w:rsidRPr="0015426F">
        <w:rPr>
          <w:rFonts w:asciiTheme="minorHAnsi" w:hAnsiTheme="minorHAnsi" w:cstheme="minorHAnsi"/>
        </w:rPr>
        <w:t>1903, with finely considered classical facades surmounted by an octagonal corner cupola that crowns the building</w:t>
      </w:r>
      <w:r w:rsidRPr="0015426F">
        <w:rPr>
          <w:rFonts w:asciiTheme="minorHAnsi" w:hAnsiTheme="minorHAnsi" w:cstheme="minorHAnsi"/>
          <w:spacing w:val="-2"/>
        </w:rPr>
        <w:t xml:space="preserve"> </w:t>
      </w:r>
      <w:r w:rsidRPr="0015426F">
        <w:rPr>
          <w:rFonts w:asciiTheme="minorHAnsi" w:hAnsiTheme="minorHAnsi" w:cstheme="minorHAnsi"/>
        </w:rPr>
        <w:t>and</w:t>
      </w:r>
      <w:r w:rsidRPr="0015426F">
        <w:rPr>
          <w:rFonts w:asciiTheme="minorHAnsi" w:hAnsiTheme="minorHAnsi" w:cstheme="minorHAnsi"/>
          <w:spacing w:val="-4"/>
        </w:rPr>
        <w:t xml:space="preserve"> </w:t>
      </w:r>
      <w:r w:rsidRPr="0015426F">
        <w:rPr>
          <w:rFonts w:asciiTheme="minorHAnsi" w:hAnsiTheme="minorHAnsi" w:cstheme="minorHAnsi"/>
        </w:rPr>
        <w:t>street</w:t>
      </w:r>
      <w:r w:rsidRPr="0015426F">
        <w:rPr>
          <w:rFonts w:asciiTheme="minorHAnsi" w:hAnsiTheme="minorHAnsi" w:cstheme="minorHAnsi"/>
          <w:spacing w:val="-5"/>
        </w:rPr>
        <w:t xml:space="preserve"> </w:t>
      </w:r>
      <w:r w:rsidRPr="0015426F">
        <w:rPr>
          <w:rFonts w:asciiTheme="minorHAnsi" w:hAnsiTheme="minorHAnsi" w:cstheme="minorHAnsi"/>
        </w:rPr>
        <w:t>at</w:t>
      </w:r>
      <w:r w:rsidRPr="0015426F">
        <w:rPr>
          <w:rFonts w:asciiTheme="minorHAnsi" w:hAnsiTheme="minorHAnsi" w:cstheme="minorHAnsi"/>
          <w:spacing w:val="-3"/>
        </w:rPr>
        <w:t xml:space="preserve"> </w:t>
      </w:r>
      <w:r w:rsidRPr="0015426F">
        <w:rPr>
          <w:rFonts w:asciiTheme="minorHAnsi" w:hAnsiTheme="minorHAnsi" w:cstheme="minorHAnsi"/>
        </w:rPr>
        <w:t>its</w:t>
      </w:r>
      <w:r w:rsidRPr="0015426F">
        <w:rPr>
          <w:rFonts w:asciiTheme="minorHAnsi" w:hAnsiTheme="minorHAnsi" w:cstheme="minorHAnsi"/>
          <w:spacing w:val="-4"/>
        </w:rPr>
        <w:t xml:space="preserve"> </w:t>
      </w:r>
      <w:r w:rsidRPr="0015426F">
        <w:rPr>
          <w:rFonts w:asciiTheme="minorHAnsi" w:hAnsiTheme="minorHAnsi" w:cstheme="minorHAnsi"/>
        </w:rPr>
        <w:t>highpoint.</w:t>
      </w:r>
      <w:r w:rsidRPr="0015426F">
        <w:rPr>
          <w:rFonts w:asciiTheme="minorHAnsi" w:hAnsiTheme="minorHAnsi" w:cstheme="minorHAnsi"/>
          <w:spacing w:val="-4"/>
        </w:rPr>
        <w:t xml:space="preserve"> </w:t>
      </w:r>
      <w:r w:rsidRPr="0015426F">
        <w:rPr>
          <w:rFonts w:asciiTheme="minorHAnsi" w:hAnsiTheme="minorHAnsi" w:cstheme="minorHAnsi"/>
        </w:rPr>
        <w:t>This</w:t>
      </w:r>
      <w:r w:rsidRPr="0015426F">
        <w:rPr>
          <w:rFonts w:asciiTheme="minorHAnsi" w:hAnsiTheme="minorHAnsi" w:cstheme="minorHAnsi"/>
          <w:spacing w:val="-1"/>
        </w:rPr>
        <w:t xml:space="preserve"> </w:t>
      </w:r>
      <w:r w:rsidRPr="0015426F">
        <w:rPr>
          <w:rFonts w:asciiTheme="minorHAnsi" w:hAnsiTheme="minorHAnsi" w:cstheme="minorHAnsi"/>
        </w:rPr>
        <w:t>prominence</w:t>
      </w:r>
      <w:r w:rsidRPr="0015426F">
        <w:rPr>
          <w:rFonts w:asciiTheme="minorHAnsi" w:hAnsiTheme="minorHAnsi" w:cstheme="minorHAnsi"/>
          <w:spacing w:val="-6"/>
        </w:rPr>
        <w:t xml:space="preserve"> </w:t>
      </w:r>
      <w:r w:rsidRPr="0015426F">
        <w:rPr>
          <w:rFonts w:asciiTheme="minorHAnsi" w:hAnsiTheme="minorHAnsi" w:cstheme="minorHAnsi"/>
        </w:rPr>
        <w:t>has</w:t>
      </w:r>
      <w:r w:rsidRPr="0015426F">
        <w:rPr>
          <w:rFonts w:asciiTheme="minorHAnsi" w:hAnsiTheme="minorHAnsi" w:cstheme="minorHAnsi"/>
          <w:spacing w:val="-1"/>
        </w:rPr>
        <w:t xml:space="preserve"> </w:t>
      </w:r>
      <w:r w:rsidRPr="0015426F">
        <w:rPr>
          <w:rFonts w:asciiTheme="minorHAnsi" w:hAnsiTheme="minorHAnsi" w:cstheme="minorHAnsi"/>
        </w:rPr>
        <w:t>been</w:t>
      </w:r>
      <w:r w:rsidRPr="0015426F">
        <w:rPr>
          <w:rFonts w:asciiTheme="minorHAnsi" w:hAnsiTheme="minorHAnsi" w:cstheme="minorHAnsi"/>
          <w:spacing w:val="-4"/>
        </w:rPr>
        <w:t xml:space="preserve"> </w:t>
      </w:r>
      <w:r w:rsidRPr="0015426F">
        <w:rPr>
          <w:rFonts w:asciiTheme="minorHAnsi" w:hAnsiTheme="minorHAnsi" w:cstheme="minorHAnsi"/>
        </w:rPr>
        <w:t>somewhat</w:t>
      </w:r>
      <w:r w:rsidRPr="0015426F">
        <w:rPr>
          <w:rFonts w:asciiTheme="minorHAnsi" w:hAnsiTheme="minorHAnsi" w:cstheme="minorHAnsi"/>
          <w:spacing w:val="-2"/>
        </w:rPr>
        <w:t xml:space="preserve"> </w:t>
      </w:r>
      <w:r w:rsidRPr="0015426F">
        <w:rPr>
          <w:rFonts w:asciiTheme="minorHAnsi" w:hAnsiTheme="minorHAnsi" w:cstheme="minorHAnsi"/>
        </w:rPr>
        <w:t>restricted</w:t>
      </w:r>
      <w:r w:rsidRPr="0015426F">
        <w:rPr>
          <w:rFonts w:asciiTheme="minorHAnsi" w:hAnsiTheme="minorHAnsi" w:cstheme="minorHAnsi"/>
          <w:spacing w:val="-4"/>
        </w:rPr>
        <w:t xml:space="preserve"> </w:t>
      </w:r>
      <w:r w:rsidRPr="0015426F">
        <w:rPr>
          <w:rFonts w:asciiTheme="minorHAnsi" w:hAnsiTheme="minorHAnsi" w:cstheme="minorHAnsi"/>
        </w:rPr>
        <w:t>by</w:t>
      </w:r>
      <w:r w:rsidRPr="0015426F">
        <w:rPr>
          <w:rFonts w:asciiTheme="minorHAnsi" w:hAnsiTheme="minorHAnsi" w:cstheme="minorHAnsi"/>
          <w:spacing w:val="-3"/>
        </w:rPr>
        <w:t xml:space="preserve"> </w:t>
      </w:r>
      <w:r w:rsidRPr="0015426F">
        <w:rPr>
          <w:rFonts w:asciiTheme="minorHAnsi" w:hAnsiTheme="minorHAnsi" w:cstheme="minorHAnsi"/>
        </w:rPr>
        <w:t>the</w:t>
      </w:r>
      <w:r w:rsidRPr="00B80816">
        <w:rPr>
          <w:spacing w:val="-4"/>
        </w:rPr>
        <w:t xml:space="preserve"> </w:t>
      </w:r>
      <w:r w:rsidRPr="0015426F">
        <w:rPr>
          <w:rFonts w:asciiTheme="minorHAnsi" w:hAnsiTheme="minorHAnsi" w:cstheme="minorHAnsi"/>
        </w:rPr>
        <w:t>closing</w:t>
      </w:r>
      <w:r w:rsidRPr="0015426F">
        <w:rPr>
          <w:rFonts w:asciiTheme="minorHAnsi" w:hAnsiTheme="minorHAnsi" w:cstheme="minorHAnsi"/>
          <w:spacing w:val="-5"/>
        </w:rPr>
        <w:t xml:space="preserve"> </w:t>
      </w:r>
      <w:r w:rsidRPr="0015426F">
        <w:rPr>
          <w:rFonts w:asciiTheme="minorHAnsi" w:hAnsiTheme="minorHAnsi" w:cstheme="minorHAnsi"/>
        </w:rPr>
        <w:t xml:space="preserve">of the street by the Stirling Highway extension beyond, however this has increased its prominence </w:t>
      </w:r>
      <w:proofErr w:type="gramStart"/>
      <w:r w:rsidRPr="0015426F">
        <w:rPr>
          <w:rFonts w:asciiTheme="minorHAnsi" w:hAnsiTheme="minorHAnsi" w:cstheme="minorHAnsi"/>
          <w:spacing w:val="-3"/>
        </w:rPr>
        <w:t xml:space="preserve">in </w:t>
      </w:r>
      <w:r w:rsidRPr="0015426F">
        <w:rPr>
          <w:rFonts w:asciiTheme="minorHAnsi" w:hAnsiTheme="minorHAnsi" w:cstheme="minorHAnsi"/>
        </w:rPr>
        <w:t>regard to</w:t>
      </w:r>
      <w:proofErr w:type="gramEnd"/>
      <w:r w:rsidRPr="0015426F">
        <w:rPr>
          <w:rFonts w:asciiTheme="minorHAnsi" w:hAnsiTheme="minorHAnsi" w:cstheme="minorHAnsi"/>
        </w:rPr>
        <w:t xml:space="preserve"> that vehicular</w:t>
      </w:r>
      <w:r w:rsidRPr="0015426F">
        <w:rPr>
          <w:rFonts w:asciiTheme="minorHAnsi" w:hAnsiTheme="minorHAnsi" w:cstheme="minorHAnsi"/>
          <w:spacing w:val="-6"/>
        </w:rPr>
        <w:t xml:space="preserve"> </w:t>
      </w:r>
      <w:r w:rsidRPr="0015426F">
        <w:rPr>
          <w:rFonts w:asciiTheme="minorHAnsi" w:hAnsiTheme="minorHAnsi" w:cstheme="minorHAnsi"/>
        </w:rPr>
        <w:t>vista.</w:t>
      </w:r>
    </w:p>
    <w:p w14:paraId="2C0CC8AE"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 xml:space="preserve">An interesting ensemble of mid-20th Century single </w:t>
      </w:r>
      <w:proofErr w:type="spellStart"/>
      <w:r w:rsidRPr="008D2EC3">
        <w:rPr>
          <w:rFonts w:asciiTheme="minorHAnsi" w:hAnsiTheme="minorHAnsi" w:cstheme="minorHAnsi"/>
        </w:rPr>
        <w:t>storey</w:t>
      </w:r>
      <w:proofErr w:type="spellEnd"/>
      <w:r w:rsidRPr="008D2EC3">
        <w:rPr>
          <w:rFonts w:asciiTheme="minorHAnsi" w:hAnsiTheme="minorHAnsi" w:cstheme="minorHAnsi"/>
        </w:rPr>
        <w:t xml:space="preserve"> industrial buildings is found between Sewell and King Streets, now partially converted to warehouse housing. The former Mitchell’s Drycleaners</w:t>
      </w:r>
      <w:r w:rsidRPr="008D2EC3">
        <w:rPr>
          <w:rFonts w:asciiTheme="minorHAnsi" w:hAnsiTheme="minorHAnsi" w:cstheme="minorHAnsi"/>
          <w:spacing w:val="-7"/>
        </w:rPr>
        <w:t xml:space="preserve"> </w:t>
      </w:r>
      <w:r w:rsidRPr="008D2EC3">
        <w:rPr>
          <w:rFonts w:asciiTheme="minorHAnsi" w:hAnsiTheme="minorHAnsi" w:cstheme="minorHAnsi"/>
        </w:rPr>
        <w:t>is</w:t>
      </w:r>
      <w:r w:rsidRPr="008D2EC3">
        <w:rPr>
          <w:rFonts w:asciiTheme="minorHAnsi" w:hAnsiTheme="minorHAnsi" w:cstheme="minorHAnsi"/>
          <w:spacing w:val="-6"/>
        </w:rPr>
        <w:t xml:space="preserve"> </w:t>
      </w:r>
      <w:r w:rsidRPr="008D2EC3">
        <w:rPr>
          <w:rFonts w:asciiTheme="minorHAnsi" w:hAnsiTheme="minorHAnsi" w:cstheme="minorHAnsi"/>
        </w:rPr>
        <w:t>an</w:t>
      </w:r>
      <w:r w:rsidRPr="008D2EC3">
        <w:rPr>
          <w:rFonts w:asciiTheme="minorHAnsi" w:hAnsiTheme="minorHAnsi" w:cstheme="minorHAnsi"/>
          <w:spacing w:val="-6"/>
        </w:rPr>
        <w:t xml:space="preserve"> </w:t>
      </w:r>
      <w:r w:rsidRPr="008D2EC3">
        <w:rPr>
          <w:rFonts w:asciiTheme="minorHAnsi" w:hAnsiTheme="minorHAnsi" w:cstheme="minorHAnsi"/>
        </w:rPr>
        <w:t>architecturally</w:t>
      </w:r>
      <w:r w:rsidRPr="008D2EC3">
        <w:rPr>
          <w:rFonts w:asciiTheme="minorHAnsi" w:hAnsiTheme="minorHAnsi" w:cstheme="minorHAnsi"/>
          <w:spacing w:val="-6"/>
        </w:rPr>
        <w:t xml:space="preserve"> </w:t>
      </w:r>
      <w:r w:rsidRPr="008D2EC3">
        <w:rPr>
          <w:rFonts w:asciiTheme="minorHAnsi" w:hAnsiTheme="minorHAnsi" w:cstheme="minorHAnsi"/>
        </w:rPr>
        <w:t>interesting</w:t>
      </w:r>
      <w:r w:rsidRPr="008D2EC3">
        <w:rPr>
          <w:rFonts w:asciiTheme="minorHAnsi" w:hAnsiTheme="minorHAnsi" w:cstheme="minorHAnsi"/>
          <w:spacing w:val="-6"/>
        </w:rPr>
        <w:t xml:space="preserve"> </w:t>
      </w:r>
      <w:r w:rsidRPr="008D2EC3">
        <w:rPr>
          <w:rFonts w:asciiTheme="minorHAnsi" w:hAnsiTheme="minorHAnsi" w:cstheme="minorHAnsi"/>
        </w:rPr>
        <w:t>piece</w:t>
      </w:r>
      <w:r w:rsidRPr="008D2EC3">
        <w:rPr>
          <w:rFonts w:asciiTheme="minorHAnsi" w:hAnsiTheme="minorHAnsi" w:cstheme="minorHAnsi"/>
          <w:spacing w:val="-6"/>
        </w:rPr>
        <w:t xml:space="preserve"> </w:t>
      </w:r>
      <w:r w:rsidRPr="008D2EC3">
        <w:rPr>
          <w:rFonts w:asciiTheme="minorHAnsi" w:hAnsiTheme="minorHAnsi" w:cstheme="minorHAnsi"/>
        </w:rPr>
        <w:t>with</w:t>
      </w:r>
      <w:r w:rsidRPr="008D2EC3">
        <w:rPr>
          <w:rFonts w:asciiTheme="minorHAnsi" w:hAnsiTheme="minorHAnsi" w:cstheme="minorHAnsi"/>
          <w:spacing w:val="-9"/>
        </w:rPr>
        <w:t xml:space="preserve"> </w:t>
      </w:r>
      <w:r w:rsidRPr="008D2EC3">
        <w:rPr>
          <w:rFonts w:asciiTheme="minorHAnsi" w:hAnsiTheme="minorHAnsi" w:cstheme="minorHAnsi"/>
        </w:rPr>
        <w:t>an</w:t>
      </w:r>
      <w:r w:rsidRPr="008D2EC3">
        <w:rPr>
          <w:rFonts w:asciiTheme="minorHAnsi" w:hAnsiTheme="minorHAnsi" w:cstheme="minorHAnsi"/>
          <w:spacing w:val="-7"/>
        </w:rPr>
        <w:t xml:space="preserve"> </w:t>
      </w:r>
      <w:r w:rsidRPr="008D2EC3">
        <w:rPr>
          <w:rFonts w:asciiTheme="minorHAnsi" w:hAnsiTheme="minorHAnsi" w:cstheme="minorHAnsi"/>
        </w:rPr>
        <w:t>idiosyncratic,</w:t>
      </w:r>
      <w:r w:rsidRPr="008D2EC3">
        <w:rPr>
          <w:rFonts w:asciiTheme="minorHAnsi" w:hAnsiTheme="minorHAnsi" w:cstheme="minorHAnsi"/>
          <w:spacing w:val="-8"/>
        </w:rPr>
        <w:t xml:space="preserve"> </w:t>
      </w:r>
      <w:r w:rsidRPr="008D2EC3">
        <w:rPr>
          <w:rFonts w:asciiTheme="minorHAnsi" w:hAnsiTheme="minorHAnsi" w:cstheme="minorHAnsi"/>
        </w:rPr>
        <w:t>asymmetric</w:t>
      </w:r>
      <w:r w:rsidRPr="008D2EC3">
        <w:rPr>
          <w:rFonts w:asciiTheme="minorHAnsi" w:hAnsiTheme="minorHAnsi" w:cstheme="minorHAnsi"/>
          <w:spacing w:val="-6"/>
        </w:rPr>
        <w:t xml:space="preserve"> </w:t>
      </w:r>
      <w:r w:rsidRPr="008D2EC3">
        <w:rPr>
          <w:rFonts w:asciiTheme="minorHAnsi" w:hAnsiTheme="minorHAnsi" w:cstheme="minorHAnsi"/>
        </w:rPr>
        <w:t>façade</w:t>
      </w:r>
      <w:r w:rsidRPr="008D2EC3">
        <w:rPr>
          <w:rFonts w:asciiTheme="minorHAnsi" w:hAnsiTheme="minorHAnsi" w:cstheme="minorHAnsi"/>
          <w:spacing w:val="-6"/>
        </w:rPr>
        <w:t xml:space="preserve"> </w:t>
      </w:r>
      <w:r w:rsidRPr="008D2EC3">
        <w:rPr>
          <w:rFonts w:asciiTheme="minorHAnsi" w:hAnsiTheme="minorHAnsi" w:cstheme="minorHAnsi"/>
        </w:rPr>
        <w:t>and</w:t>
      </w:r>
      <w:r w:rsidRPr="008D2EC3">
        <w:rPr>
          <w:rFonts w:asciiTheme="minorHAnsi" w:hAnsiTheme="minorHAnsi" w:cstheme="minorHAnsi"/>
          <w:spacing w:val="-8"/>
        </w:rPr>
        <w:t xml:space="preserve"> </w:t>
      </w:r>
      <w:r w:rsidRPr="008D2EC3">
        <w:rPr>
          <w:rFonts w:asciiTheme="minorHAnsi" w:hAnsiTheme="minorHAnsi" w:cstheme="minorHAnsi"/>
        </w:rPr>
        <w:t>neon signage that adds character to the street in an appropriate scale and</w:t>
      </w:r>
      <w:r w:rsidRPr="008D2EC3">
        <w:rPr>
          <w:rFonts w:asciiTheme="minorHAnsi" w:hAnsiTheme="minorHAnsi" w:cstheme="minorHAnsi"/>
          <w:spacing w:val="-16"/>
        </w:rPr>
        <w:t xml:space="preserve"> </w:t>
      </w:r>
      <w:r w:rsidRPr="008D2EC3">
        <w:rPr>
          <w:rFonts w:asciiTheme="minorHAnsi" w:hAnsiTheme="minorHAnsi" w:cstheme="minorHAnsi"/>
        </w:rPr>
        <w:t>manner.</w:t>
      </w:r>
    </w:p>
    <w:p w14:paraId="017B786E"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lastRenderedPageBreak/>
        <w:t>More</w:t>
      </w:r>
      <w:r w:rsidRPr="008D2EC3">
        <w:rPr>
          <w:rFonts w:asciiTheme="minorHAnsi" w:hAnsiTheme="minorHAnsi" w:cstheme="minorHAnsi"/>
          <w:spacing w:val="-2"/>
        </w:rPr>
        <w:t xml:space="preserve"> </w:t>
      </w:r>
      <w:r w:rsidRPr="008D2EC3">
        <w:rPr>
          <w:rFonts w:asciiTheme="minorHAnsi" w:hAnsiTheme="minorHAnsi" w:cstheme="minorHAnsi"/>
        </w:rPr>
        <w:t>recent</w:t>
      </w:r>
      <w:r w:rsidRPr="008D2EC3">
        <w:rPr>
          <w:rFonts w:asciiTheme="minorHAnsi" w:hAnsiTheme="minorHAnsi" w:cstheme="minorHAnsi"/>
          <w:spacing w:val="-3"/>
        </w:rPr>
        <w:t xml:space="preserve"> </w:t>
      </w:r>
      <w:r w:rsidRPr="008D2EC3">
        <w:rPr>
          <w:rFonts w:asciiTheme="minorHAnsi" w:hAnsiTheme="minorHAnsi" w:cstheme="minorHAnsi"/>
        </w:rPr>
        <w:t>buildings</w:t>
      </w:r>
      <w:r w:rsidRPr="008D2EC3">
        <w:rPr>
          <w:rFonts w:asciiTheme="minorHAnsi" w:hAnsiTheme="minorHAnsi" w:cstheme="minorHAnsi"/>
          <w:spacing w:val="-1"/>
        </w:rPr>
        <w:t xml:space="preserve"> </w:t>
      </w:r>
      <w:r w:rsidRPr="008D2EC3">
        <w:rPr>
          <w:rFonts w:asciiTheme="minorHAnsi" w:hAnsiTheme="minorHAnsi" w:cstheme="minorHAnsi"/>
        </w:rPr>
        <w:t>in</w:t>
      </w:r>
      <w:r w:rsidRPr="008D2EC3">
        <w:rPr>
          <w:rFonts w:asciiTheme="minorHAnsi" w:hAnsiTheme="minorHAnsi" w:cstheme="minorHAnsi"/>
          <w:spacing w:val="-5"/>
        </w:rPr>
        <w:t xml:space="preserve"> </w:t>
      </w:r>
      <w:r w:rsidRPr="008D2EC3">
        <w:rPr>
          <w:rFonts w:asciiTheme="minorHAnsi" w:hAnsiTheme="minorHAnsi" w:cstheme="minorHAnsi"/>
        </w:rPr>
        <w:t>George</w:t>
      </w:r>
      <w:r w:rsidRPr="008D2EC3">
        <w:rPr>
          <w:rFonts w:asciiTheme="minorHAnsi" w:hAnsiTheme="minorHAnsi" w:cstheme="minorHAnsi"/>
          <w:spacing w:val="-4"/>
        </w:rPr>
        <w:t xml:space="preserve"> </w:t>
      </w:r>
      <w:r w:rsidRPr="008D2EC3">
        <w:rPr>
          <w:rFonts w:asciiTheme="minorHAnsi" w:hAnsiTheme="minorHAnsi" w:cstheme="minorHAnsi"/>
        </w:rPr>
        <w:t>Street</w:t>
      </w:r>
      <w:r w:rsidRPr="008D2EC3">
        <w:rPr>
          <w:rFonts w:asciiTheme="minorHAnsi" w:hAnsiTheme="minorHAnsi" w:cstheme="minorHAnsi"/>
          <w:spacing w:val="-3"/>
        </w:rPr>
        <w:t xml:space="preserve"> </w:t>
      </w:r>
      <w:r w:rsidRPr="008D2EC3">
        <w:rPr>
          <w:rFonts w:asciiTheme="minorHAnsi" w:hAnsiTheme="minorHAnsi" w:cstheme="minorHAnsi"/>
        </w:rPr>
        <w:t>are</w:t>
      </w:r>
      <w:r w:rsidRPr="008D2EC3">
        <w:rPr>
          <w:rFonts w:asciiTheme="minorHAnsi" w:hAnsiTheme="minorHAnsi" w:cstheme="minorHAnsi"/>
          <w:spacing w:val="-2"/>
        </w:rPr>
        <w:t xml:space="preserve"> </w:t>
      </w:r>
      <w:r w:rsidRPr="008D2EC3">
        <w:rPr>
          <w:rFonts w:asciiTheme="minorHAnsi" w:hAnsiTheme="minorHAnsi" w:cstheme="minorHAnsi"/>
        </w:rPr>
        <w:t>generally</w:t>
      </w:r>
      <w:r w:rsidRPr="008D2EC3">
        <w:rPr>
          <w:rFonts w:asciiTheme="minorHAnsi" w:hAnsiTheme="minorHAnsi" w:cstheme="minorHAnsi"/>
          <w:spacing w:val="-5"/>
        </w:rPr>
        <w:t xml:space="preserve"> </w:t>
      </w:r>
      <w:proofErr w:type="spellStart"/>
      <w:r w:rsidRPr="008D2EC3">
        <w:rPr>
          <w:rFonts w:asciiTheme="minorHAnsi" w:hAnsiTheme="minorHAnsi" w:cstheme="minorHAnsi"/>
        </w:rPr>
        <w:t>multi-storeyed</w:t>
      </w:r>
      <w:proofErr w:type="spellEnd"/>
      <w:r w:rsidRPr="008D2EC3">
        <w:rPr>
          <w:rFonts w:asciiTheme="minorHAnsi" w:hAnsiTheme="minorHAnsi" w:cstheme="minorHAnsi"/>
          <w:spacing w:val="-6"/>
        </w:rPr>
        <w:t xml:space="preserve"> </w:t>
      </w:r>
      <w:r w:rsidRPr="008D2EC3">
        <w:rPr>
          <w:rFonts w:asciiTheme="minorHAnsi" w:hAnsiTheme="minorHAnsi" w:cstheme="minorHAnsi"/>
        </w:rPr>
        <w:t>in</w:t>
      </w:r>
      <w:r w:rsidRPr="008D2EC3">
        <w:rPr>
          <w:rFonts w:asciiTheme="minorHAnsi" w:hAnsiTheme="minorHAnsi" w:cstheme="minorHAnsi"/>
          <w:spacing w:val="-2"/>
        </w:rPr>
        <w:t xml:space="preserve"> </w:t>
      </w:r>
      <w:r w:rsidRPr="008D2EC3">
        <w:rPr>
          <w:rFonts w:asciiTheme="minorHAnsi" w:hAnsiTheme="minorHAnsi" w:cstheme="minorHAnsi"/>
        </w:rPr>
        <w:t>scale</w:t>
      </w:r>
      <w:r w:rsidRPr="008D2EC3">
        <w:rPr>
          <w:rFonts w:asciiTheme="minorHAnsi" w:hAnsiTheme="minorHAnsi" w:cstheme="minorHAnsi"/>
          <w:spacing w:val="-4"/>
        </w:rPr>
        <w:t xml:space="preserve"> </w:t>
      </w:r>
      <w:r w:rsidRPr="008D2EC3">
        <w:rPr>
          <w:rFonts w:asciiTheme="minorHAnsi" w:hAnsiTheme="minorHAnsi" w:cstheme="minorHAnsi"/>
        </w:rPr>
        <w:t>and</w:t>
      </w:r>
      <w:r w:rsidRPr="008D2EC3">
        <w:rPr>
          <w:rFonts w:asciiTheme="minorHAnsi" w:hAnsiTheme="minorHAnsi" w:cstheme="minorHAnsi"/>
          <w:spacing w:val="-5"/>
        </w:rPr>
        <w:t xml:space="preserve"> </w:t>
      </w:r>
      <w:r w:rsidRPr="008D2EC3">
        <w:rPr>
          <w:rFonts w:asciiTheme="minorHAnsi" w:hAnsiTheme="minorHAnsi" w:cstheme="minorHAnsi"/>
        </w:rPr>
        <w:t>built</w:t>
      </w:r>
      <w:r w:rsidRPr="008D2EC3">
        <w:rPr>
          <w:rFonts w:asciiTheme="minorHAnsi" w:hAnsiTheme="minorHAnsi" w:cstheme="minorHAnsi"/>
          <w:spacing w:val="-1"/>
        </w:rPr>
        <w:t xml:space="preserve"> </w:t>
      </w:r>
      <w:r w:rsidRPr="008D2EC3">
        <w:rPr>
          <w:rFonts w:asciiTheme="minorHAnsi" w:hAnsiTheme="minorHAnsi" w:cstheme="minorHAnsi"/>
        </w:rPr>
        <w:t>hard</w:t>
      </w:r>
      <w:r w:rsidRPr="008D2EC3">
        <w:rPr>
          <w:rFonts w:asciiTheme="minorHAnsi" w:hAnsiTheme="minorHAnsi" w:cstheme="minorHAnsi"/>
          <w:spacing w:val="-5"/>
        </w:rPr>
        <w:t xml:space="preserve"> </w:t>
      </w:r>
      <w:r w:rsidRPr="008D2EC3">
        <w:rPr>
          <w:rFonts w:asciiTheme="minorHAnsi" w:hAnsiTheme="minorHAnsi" w:cstheme="minorHAnsi"/>
        </w:rPr>
        <w:t>up</w:t>
      </w:r>
      <w:r w:rsidRPr="008D2EC3">
        <w:rPr>
          <w:rFonts w:asciiTheme="minorHAnsi" w:hAnsiTheme="minorHAnsi" w:cstheme="minorHAnsi"/>
          <w:spacing w:val="-3"/>
        </w:rPr>
        <w:t xml:space="preserve"> </w:t>
      </w:r>
      <w:r w:rsidRPr="008D2EC3">
        <w:rPr>
          <w:rFonts w:asciiTheme="minorHAnsi" w:hAnsiTheme="minorHAnsi" w:cstheme="minorHAnsi"/>
        </w:rPr>
        <w:t>to</w:t>
      </w:r>
      <w:r w:rsidRPr="008D2EC3">
        <w:rPr>
          <w:rFonts w:asciiTheme="minorHAnsi" w:hAnsiTheme="minorHAnsi" w:cstheme="minorHAnsi"/>
          <w:spacing w:val="-4"/>
        </w:rPr>
        <w:t xml:space="preserve"> </w:t>
      </w:r>
      <w:r w:rsidRPr="008D2EC3">
        <w:rPr>
          <w:rFonts w:asciiTheme="minorHAnsi" w:hAnsiTheme="minorHAnsi" w:cstheme="minorHAnsi"/>
        </w:rPr>
        <w:t>the road reserve edge in a traditional manner, with simple parapets and awnings. These infill the open spaces to some extent and reinforce the continuity of the street while at the same time altering its traditional feel in some respects, on account of both their scale and contemporary detailing. They variously demonstrate the need for both imagination and restraint in considering the ongoing development of the</w:t>
      </w:r>
      <w:r w:rsidRPr="008D2EC3">
        <w:rPr>
          <w:rFonts w:asciiTheme="minorHAnsi" w:hAnsiTheme="minorHAnsi" w:cstheme="minorHAnsi"/>
          <w:spacing w:val="-1"/>
        </w:rPr>
        <w:t xml:space="preserve"> </w:t>
      </w:r>
      <w:r w:rsidRPr="008D2EC3">
        <w:rPr>
          <w:rFonts w:asciiTheme="minorHAnsi" w:hAnsiTheme="minorHAnsi" w:cstheme="minorHAnsi"/>
        </w:rPr>
        <w:t>Area.</w:t>
      </w:r>
    </w:p>
    <w:p w14:paraId="78C7D6CB"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A record of places of heritage significance in the George Street Heritage Area is shown in Appendix 1.</w:t>
      </w:r>
    </w:p>
    <w:p w14:paraId="25882ADA" w14:textId="77777777" w:rsidR="00665A13" w:rsidRPr="008D2EC3" w:rsidRDefault="00665A13" w:rsidP="008D2EC3">
      <w:pPr>
        <w:spacing w:after="0"/>
        <w:rPr>
          <w:b/>
        </w:rPr>
      </w:pPr>
      <w:bookmarkStart w:id="550" w:name="_TOC_250015"/>
      <w:bookmarkEnd w:id="550"/>
      <w:r w:rsidRPr="008D2EC3">
        <w:rPr>
          <w:b/>
        </w:rPr>
        <w:t>Prevailing Building Typologies</w:t>
      </w:r>
    </w:p>
    <w:p w14:paraId="73E0AB02"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The George Street Heritage Area is laid out as an east-west access spine, central to the Plympton Precinct. Residential streets run in a north-south fashion from George Street. The George Street Heritage Area is primarily a commercial street. However, there are some residences, former residences and former commercial buildings adapted for residential use.</w:t>
      </w:r>
    </w:p>
    <w:p w14:paraId="0D0D6650"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 xml:space="preserve">The commercial section contains a mixture of redeveloped pre-World War I buildings and several new developments. </w:t>
      </w:r>
      <w:proofErr w:type="gramStart"/>
      <w:r w:rsidRPr="008D2EC3">
        <w:rPr>
          <w:rFonts w:asciiTheme="minorHAnsi" w:hAnsiTheme="minorHAnsi" w:cstheme="minorHAnsi"/>
        </w:rPr>
        <w:t>The majority of</w:t>
      </w:r>
      <w:proofErr w:type="gramEnd"/>
      <w:r w:rsidRPr="008D2EC3">
        <w:rPr>
          <w:rFonts w:asciiTheme="minorHAnsi" w:hAnsiTheme="minorHAnsi" w:cstheme="minorHAnsi"/>
        </w:rPr>
        <w:t xml:space="preserve"> the redevelopment of this strip has occurred within the past two</w:t>
      </w:r>
      <w:r w:rsidRPr="008D2EC3">
        <w:rPr>
          <w:rFonts w:asciiTheme="minorHAnsi" w:hAnsiTheme="minorHAnsi" w:cstheme="minorHAnsi"/>
          <w:spacing w:val="-8"/>
        </w:rPr>
        <w:t xml:space="preserve"> </w:t>
      </w:r>
      <w:r w:rsidRPr="008D2EC3">
        <w:rPr>
          <w:rFonts w:asciiTheme="minorHAnsi" w:hAnsiTheme="minorHAnsi" w:cstheme="minorHAnsi"/>
        </w:rPr>
        <w:t>to</w:t>
      </w:r>
      <w:r w:rsidRPr="008D2EC3">
        <w:rPr>
          <w:rFonts w:asciiTheme="minorHAnsi" w:hAnsiTheme="minorHAnsi" w:cstheme="minorHAnsi"/>
          <w:spacing w:val="-5"/>
        </w:rPr>
        <w:t xml:space="preserve"> </w:t>
      </w:r>
      <w:r w:rsidRPr="008D2EC3">
        <w:rPr>
          <w:rFonts w:asciiTheme="minorHAnsi" w:hAnsiTheme="minorHAnsi" w:cstheme="minorHAnsi"/>
        </w:rPr>
        <w:t>three</w:t>
      </w:r>
      <w:r w:rsidRPr="008D2EC3">
        <w:rPr>
          <w:rFonts w:asciiTheme="minorHAnsi" w:hAnsiTheme="minorHAnsi" w:cstheme="minorHAnsi"/>
          <w:spacing w:val="-7"/>
        </w:rPr>
        <w:t xml:space="preserve"> </w:t>
      </w:r>
      <w:r w:rsidRPr="008D2EC3">
        <w:rPr>
          <w:rFonts w:asciiTheme="minorHAnsi" w:hAnsiTheme="minorHAnsi" w:cstheme="minorHAnsi"/>
        </w:rPr>
        <w:t>decades.</w:t>
      </w:r>
      <w:r w:rsidRPr="008D2EC3">
        <w:rPr>
          <w:rFonts w:asciiTheme="minorHAnsi" w:hAnsiTheme="minorHAnsi" w:cstheme="minorHAnsi"/>
          <w:spacing w:val="-10"/>
        </w:rPr>
        <w:t xml:space="preserve"> </w:t>
      </w:r>
      <w:r w:rsidRPr="008D2EC3">
        <w:rPr>
          <w:rFonts w:asciiTheme="minorHAnsi" w:hAnsiTheme="minorHAnsi" w:cstheme="minorHAnsi"/>
        </w:rPr>
        <w:t>The</w:t>
      </w:r>
      <w:r w:rsidRPr="008D2EC3">
        <w:rPr>
          <w:rFonts w:asciiTheme="minorHAnsi" w:hAnsiTheme="minorHAnsi" w:cstheme="minorHAnsi"/>
          <w:spacing w:val="-8"/>
        </w:rPr>
        <w:t xml:space="preserve"> </w:t>
      </w:r>
      <w:r w:rsidRPr="008D2EC3">
        <w:rPr>
          <w:rFonts w:asciiTheme="minorHAnsi" w:hAnsiTheme="minorHAnsi" w:cstheme="minorHAnsi"/>
        </w:rPr>
        <w:t>existing</w:t>
      </w:r>
      <w:r w:rsidRPr="008D2EC3">
        <w:rPr>
          <w:rFonts w:asciiTheme="minorHAnsi" w:hAnsiTheme="minorHAnsi" w:cstheme="minorHAnsi"/>
          <w:spacing w:val="-8"/>
        </w:rPr>
        <w:t xml:space="preserve"> </w:t>
      </w:r>
      <w:r w:rsidRPr="008D2EC3">
        <w:rPr>
          <w:rFonts w:asciiTheme="minorHAnsi" w:hAnsiTheme="minorHAnsi" w:cstheme="minorHAnsi"/>
        </w:rPr>
        <w:t>buildings</w:t>
      </w:r>
      <w:r w:rsidRPr="008D2EC3">
        <w:rPr>
          <w:rFonts w:asciiTheme="minorHAnsi" w:hAnsiTheme="minorHAnsi" w:cstheme="minorHAnsi"/>
          <w:spacing w:val="-9"/>
        </w:rPr>
        <w:t xml:space="preserve"> </w:t>
      </w:r>
      <w:r w:rsidRPr="008D2EC3">
        <w:rPr>
          <w:rFonts w:asciiTheme="minorHAnsi" w:hAnsiTheme="minorHAnsi" w:cstheme="minorHAnsi"/>
        </w:rPr>
        <w:t>are</w:t>
      </w:r>
      <w:r w:rsidRPr="008D2EC3">
        <w:rPr>
          <w:rFonts w:asciiTheme="minorHAnsi" w:hAnsiTheme="minorHAnsi" w:cstheme="minorHAnsi"/>
          <w:spacing w:val="-8"/>
        </w:rPr>
        <w:t xml:space="preserve"> </w:t>
      </w:r>
      <w:r w:rsidRPr="008D2EC3">
        <w:rPr>
          <w:rFonts w:asciiTheme="minorHAnsi" w:hAnsiTheme="minorHAnsi" w:cstheme="minorHAnsi"/>
        </w:rPr>
        <w:t>comprised</w:t>
      </w:r>
      <w:r w:rsidRPr="008D2EC3">
        <w:rPr>
          <w:rFonts w:asciiTheme="minorHAnsi" w:hAnsiTheme="minorHAnsi" w:cstheme="minorHAnsi"/>
          <w:spacing w:val="-7"/>
        </w:rPr>
        <w:t xml:space="preserve"> </w:t>
      </w:r>
      <w:r w:rsidRPr="008D2EC3">
        <w:rPr>
          <w:rFonts w:asciiTheme="minorHAnsi" w:hAnsiTheme="minorHAnsi" w:cstheme="minorHAnsi"/>
        </w:rPr>
        <w:t>primarily</w:t>
      </w:r>
      <w:r w:rsidRPr="008D2EC3">
        <w:rPr>
          <w:rFonts w:asciiTheme="minorHAnsi" w:hAnsiTheme="minorHAnsi" w:cstheme="minorHAnsi"/>
          <w:spacing w:val="-8"/>
        </w:rPr>
        <w:t xml:space="preserve"> </w:t>
      </w:r>
      <w:r w:rsidRPr="008D2EC3">
        <w:rPr>
          <w:rFonts w:asciiTheme="minorHAnsi" w:hAnsiTheme="minorHAnsi" w:cstheme="minorHAnsi"/>
        </w:rPr>
        <w:t>of</w:t>
      </w:r>
      <w:r w:rsidRPr="008D2EC3">
        <w:rPr>
          <w:rFonts w:asciiTheme="minorHAnsi" w:hAnsiTheme="minorHAnsi" w:cstheme="minorHAnsi"/>
          <w:spacing w:val="-7"/>
        </w:rPr>
        <w:t xml:space="preserve"> </w:t>
      </w:r>
      <w:r w:rsidRPr="008D2EC3">
        <w:rPr>
          <w:rFonts w:asciiTheme="minorHAnsi" w:hAnsiTheme="minorHAnsi" w:cstheme="minorHAnsi"/>
        </w:rPr>
        <w:t>timber,</w:t>
      </w:r>
      <w:r w:rsidRPr="008D2EC3">
        <w:rPr>
          <w:rFonts w:asciiTheme="minorHAnsi" w:hAnsiTheme="minorHAnsi" w:cstheme="minorHAnsi"/>
          <w:spacing w:val="-6"/>
        </w:rPr>
        <w:t xml:space="preserve"> </w:t>
      </w:r>
      <w:r w:rsidRPr="008D2EC3">
        <w:rPr>
          <w:rFonts w:asciiTheme="minorHAnsi" w:hAnsiTheme="minorHAnsi" w:cstheme="minorHAnsi"/>
        </w:rPr>
        <w:t>brick</w:t>
      </w:r>
      <w:r w:rsidRPr="008D2EC3">
        <w:rPr>
          <w:rFonts w:asciiTheme="minorHAnsi" w:hAnsiTheme="minorHAnsi" w:cstheme="minorHAnsi"/>
          <w:spacing w:val="-7"/>
        </w:rPr>
        <w:t xml:space="preserve"> </w:t>
      </w:r>
      <w:r w:rsidRPr="008D2EC3">
        <w:rPr>
          <w:rFonts w:asciiTheme="minorHAnsi" w:hAnsiTheme="minorHAnsi" w:cstheme="minorHAnsi"/>
        </w:rPr>
        <w:t>and</w:t>
      </w:r>
      <w:r w:rsidRPr="008D2EC3">
        <w:rPr>
          <w:rFonts w:asciiTheme="minorHAnsi" w:hAnsiTheme="minorHAnsi" w:cstheme="minorHAnsi"/>
          <w:spacing w:val="-7"/>
        </w:rPr>
        <w:t xml:space="preserve"> </w:t>
      </w:r>
      <w:r w:rsidRPr="008D2EC3">
        <w:rPr>
          <w:rFonts w:asciiTheme="minorHAnsi" w:hAnsiTheme="minorHAnsi" w:cstheme="minorHAnsi"/>
        </w:rPr>
        <w:t>limestone construction. Commercial premises are predominantly in the Federation Free Classical Style. Generally, places have been redeveloped sympathetically, with an emphasis on maintaining the character and established form of the</w:t>
      </w:r>
      <w:r w:rsidRPr="008D2EC3">
        <w:rPr>
          <w:rFonts w:asciiTheme="minorHAnsi" w:hAnsiTheme="minorHAnsi" w:cstheme="minorHAnsi"/>
          <w:spacing w:val="-11"/>
        </w:rPr>
        <w:t xml:space="preserve"> </w:t>
      </w:r>
      <w:r w:rsidRPr="008D2EC3">
        <w:rPr>
          <w:rFonts w:asciiTheme="minorHAnsi" w:hAnsiTheme="minorHAnsi" w:cstheme="minorHAnsi"/>
        </w:rPr>
        <w:t>area.</w:t>
      </w:r>
    </w:p>
    <w:p w14:paraId="561AC4D5"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George Street reflects the surrounding streets in both character and scale. George Street also provides an attractive streetscape with good public amenity. Both the workers’ cottages and commercial buildings address George Street and are generally built without setbacks. These features contribute towards creating a very intimate relationship with the street.</w:t>
      </w:r>
    </w:p>
    <w:p w14:paraId="5BFDFAF1"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 xml:space="preserve">The commercial buildings on George Street range from 10-15m in width. The commercial frontage is a result of new developments, redevelopments and the conversion of existing houses. In some </w:t>
      </w:r>
      <w:proofErr w:type="gramStart"/>
      <w:r w:rsidRPr="008D2EC3">
        <w:rPr>
          <w:rFonts w:asciiTheme="minorHAnsi" w:hAnsiTheme="minorHAnsi" w:cstheme="minorHAnsi"/>
        </w:rPr>
        <w:t>instances</w:t>
      </w:r>
      <w:proofErr w:type="gramEnd"/>
      <w:r w:rsidRPr="008D2EC3">
        <w:rPr>
          <w:rFonts w:asciiTheme="minorHAnsi" w:hAnsiTheme="minorHAnsi" w:cstheme="minorHAnsi"/>
        </w:rPr>
        <w:t xml:space="preserve"> a large frontage to George Street was created from the side elevation of a house on an adjoining perpendicular street. This activation of the side elevation is a positive development that both increases the amenity of the street and retains the building’s character, albeit in a modified manner. The corner buildings are particularly important to the street. They act as mediation between the commercial strip and the historic residential streets.</w:t>
      </w:r>
    </w:p>
    <w:p w14:paraId="3990C80B"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The</w:t>
      </w:r>
      <w:r w:rsidRPr="008D2EC3">
        <w:rPr>
          <w:rFonts w:asciiTheme="minorHAnsi" w:hAnsiTheme="minorHAnsi" w:cstheme="minorHAnsi"/>
          <w:spacing w:val="-8"/>
        </w:rPr>
        <w:t xml:space="preserve"> </w:t>
      </w:r>
      <w:r w:rsidRPr="008D2EC3">
        <w:rPr>
          <w:rFonts w:asciiTheme="minorHAnsi" w:hAnsiTheme="minorHAnsi" w:cstheme="minorHAnsi"/>
        </w:rPr>
        <w:t>western</w:t>
      </w:r>
      <w:r w:rsidRPr="008D2EC3">
        <w:rPr>
          <w:rFonts w:asciiTheme="minorHAnsi" w:hAnsiTheme="minorHAnsi" w:cstheme="minorHAnsi"/>
          <w:spacing w:val="-8"/>
        </w:rPr>
        <w:t xml:space="preserve"> </w:t>
      </w:r>
      <w:r w:rsidRPr="008D2EC3">
        <w:rPr>
          <w:rFonts w:asciiTheme="minorHAnsi" w:hAnsiTheme="minorHAnsi" w:cstheme="minorHAnsi"/>
        </w:rPr>
        <w:t>end</w:t>
      </w:r>
      <w:r w:rsidRPr="008D2EC3">
        <w:rPr>
          <w:rFonts w:asciiTheme="minorHAnsi" w:hAnsiTheme="minorHAnsi" w:cstheme="minorHAnsi"/>
          <w:spacing w:val="-10"/>
        </w:rPr>
        <w:t xml:space="preserve"> </w:t>
      </w:r>
      <w:r w:rsidRPr="008D2EC3">
        <w:rPr>
          <w:rFonts w:asciiTheme="minorHAnsi" w:hAnsiTheme="minorHAnsi" w:cstheme="minorHAnsi"/>
        </w:rPr>
        <w:t>of</w:t>
      </w:r>
      <w:r w:rsidRPr="008D2EC3">
        <w:rPr>
          <w:rFonts w:asciiTheme="minorHAnsi" w:hAnsiTheme="minorHAnsi" w:cstheme="minorHAnsi"/>
          <w:spacing w:val="-10"/>
        </w:rPr>
        <w:t xml:space="preserve"> </w:t>
      </w:r>
      <w:r w:rsidRPr="008D2EC3">
        <w:rPr>
          <w:rFonts w:asciiTheme="minorHAnsi" w:hAnsiTheme="minorHAnsi" w:cstheme="minorHAnsi"/>
        </w:rPr>
        <w:t>George</w:t>
      </w:r>
      <w:r w:rsidRPr="008D2EC3">
        <w:rPr>
          <w:rFonts w:asciiTheme="minorHAnsi" w:hAnsiTheme="minorHAnsi" w:cstheme="minorHAnsi"/>
          <w:spacing w:val="-14"/>
        </w:rPr>
        <w:t xml:space="preserve"> </w:t>
      </w:r>
      <w:r w:rsidRPr="008D2EC3">
        <w:rPr>
          <w:rFonts w:asciiTheme="minorHAnsi" w:hAnsiTheme="minorHAnsi" w:cstheme="minorHAnsi"/>
        </w:rPr>
        <w:t>Street</w:t>
      </w:r>
      <w:r w:rsidRPr="008D2EC3">
        <w:rPr>
          <w:rFonts w:asciiTheme="minorHAnsi" w:hAnsiTheme="minorHAnsi" w:cstheme="minorHAnsi"/>
          <w:spacing w:val="-9"/>
        </w:rPr>
        <w:t xml:space="preserve"> </w:t>
      </w:r>
      <w:r w:rsidRPr="008D2EC3">
        <w:rPr>
          <w:rFonts w:asciiTheme="minorHAnsi" w:hAnsiTheme="minorHAnsi" w:cstheme="minorHAnsi"/>
        </w:rPr>
        <w:t>accommodates</w:t>
      </w:r>
      <w:r w:rsidRPr="008D2EC3">
        <w:rPr>
          <w:rFonts w:asciiTheme="minorHAnsi" w:hAnsiTheme="minorHAnsi" w:cstheme="minorHAnsi"/>
          <w:spacing w:val="-8"/>
        </w:rPr>
        <w:t xml:space="preserve"> </w:t>
      </w:r>
      <w:r w:rsidRPr="008D2EC3">
        <w:rPr>
          <w:rFonts w:asciiTheme="minorHAnsi" w:hAnsiTheme="minorHAnsi" w:cstheme="minorHAnsi"/>
        </w:rPr>
        <w:t>a</w:t>
      </w:r>
      <w:r w:rsidRPr="008D2EC3">
        <w:rPr>
          <w:rFonts w:asciiTheme="minorHAnsi" w:hAnsiTheme="minorHAnsi" w:cstheme="minorHAnsi"/>
          <w:spacing w:val="-11"/>
        </w:rPr>
        <w:t xml:space="preserve"> </w:t>
      </w:r>
      <w:proofErr w:type="gramStart"/>
      <w:r w:rsidRPr="008D2EC3">
        <w:rPr>
          <w:rFonts w:asciiTheme="minorHAnsi" w:hAnsiTheme="minorHAnsi" w:cstheme="minorHAnsi"/>
        </w:rPr>
        <w:t>nine</w:t>
      </w:r>
      <w:r w:rsidRPr="008D2EC3">
        <w:rPr>
          <w:rFonts w:asciiTheme="minorHAnsi" w:hAnsiTheme="minorHAnsi" w:cstheme="minorHAnsi"/>
          <w:spacing w:val="-8"/>
        </w:rPr>
        <w:t xml:space="preserve"> </w:t>
      </w:r>
      <w:proofErr w:type="spellStart"/>
      <w:r w:rsidRPr="008D2EC3">
        <w:rPr>
          <w:rFonts w:asciiTheme="minorHAnsi" w:hAnsiTheme="minorHAnsi" w:cstheme="minorHAnsi"/>
        </w:rPr>
        <w:t>storey</w:t>
      </w:r>
      <w:proofErr w:type="spellEnd"/>
      <w:proofErr w:type="gramEnd"/>
      <w:r w:rsidRPr="008D2EC3">
        <w:rPr>
          <w:rFonts w:asciiTheme="minorHAnsi" w:hAnsiTheme="minorHAnsi" w:cstheme="minorHAnsi"/>
          <w:spacing w:val="-8"/>
        </w:rPr>
        <w:t xml:space="preserve"> </w:t>
      </w:r>
      <w:r w:rsidRPr="008D2EC3">
        <w:rPr>
          <w:rFonts w:asciiTheme="minorHAnsi" w:hAnsiTheme="minorHAnsi" w:cstheme="minorHAnsi"/>
        </w:rPr>
        <w:t>apartment</w:t>
      </w:r>
      <w:r w:rsidRPr="008D2EC3">
        <w:rPr>
          <w:rFonts w:asciiTheme="minorHAnsi" w:hAnsiTheme="minorHAnsi" w:cstheme="minorHAnsi"/>
          <w:spacing w:val="-11"/>
        </w:rPr>
        <w:t xml:space="preserve"> </w:t>
      </w:r>
      <w:r w:rsidRPr="008D2EC3">
        <w:rPr>
          <w:rFonts w:asciiTheme="minorHAnsi" w:hAnsiTheme="minorHAnsi" w:cstheme="minorHAnsi"/>
        </w:rPr>
        <w:t>tower</w:t>
      </w:r>
      <w:r w:rsidRPr="008D2EC3">
        <w:rPr>
          <w:rFonts w:asciiTheme="minorHAnsi" w:hAnsiTheme="minorHAnsi" w:cstheme="minorHAnsi"/>
          <w:spacing w:val="-11"/>
        </w:rPr>
        <w:t xml:space="preserve"> </w:t>
      </w:r>
      <w:r w:rsidRPr="008D2EC3">
        <w:rPr>
          <w:rFonts w:asciiTheme="minorHAnsi" w:hAnsiTheme="minorHAnsi" w:cstheme="minorHAnsi"/>
        </w:rPr>
        <w:t>(</w:t>
      </w:r>
      <w:proofErr w:type="spellStart"/>
      <w:r w:rsidRPr="008D2EC3">
        <w:rPr>
          <w:rFonts w:asciiTheme="minorHAnsi" w:hAnsiTheme="minorHAnsi" w:cstheme="minorHAnsi"/>
        </w:rPr>
        <w:t>Harbour</w:t>
      </w:r>
      <w:proofErr w:type="spellEnd"/>
      <w:r w:rsidRPr="008D2EC3">
        <w:rPr>
          <w:rFonts w:asciiTheme="minorHAnsi" w:hAnsiTheme="minorHAnsi" w:cstheme="minorHAnsi"/>
          <w:spacing w:val="-10"/>
        </w:rPr>
        <w:t xml:space="preserve"> </w:t>
      </w:r>
      <w:r w:rsidRPr="008D2EC3">
        <w:rPr>
          <w:rFonts w:asciiTheme="minorHAnsi" w:hAnsiTheme="minorHAnsi" w:cstheme="minorHAnsi"/>
        </w:rPr>
        <w:t xml:space="preserve">Heights) which physically and visually dominates the predominantly one and two </w:t>
      </w:r>
      <w:proofErr w:type="spellStart"/>
      <w:r w:rsidRPr="008D2EC3">
        <w:rPr>
          <w:rFonts w:asciiTheme="minorHAnsi" w:hAnsiTheme="minorHAnsi" w:cstheme="minorHAnsi"/>
        </w:rPr>
        <w:t>storey</w:t>
      </w:r>
      <w:proofErr w:type="spellEnd"/>
      <w:r w:rsidRPr="008D2EC3">
        <w:rPr>
          <w:rFonts w:asciiTheme="minorHAnsi" w:hAnsiTheme="minorHAnsi" w:cstheme="minorHAnsi"/>
        </w:rPr>
        <w:t xml:space="preserve"> scale of both East and George Streets. This late twentieth century building is of modernist/international influences style,</w:t>
      </w:r>
      <w:r w:rsidRPr="008D2EC3">
        <w:rPr>
          <w:rFonts w:asciiTheme="minorHAnsi" w:hAnsiTheme="minorHAnsi" w:cstheme="minorHAnsi"/>
          <w:spacing w:val="-10"/>
        </w:rPr>
        <w:t xml:space="preserve"> </w:t>
      </w:r>
      <w:r w:rsidRPr="008D2EC3">
        <w:rPr>
          <w:rFonts w:asciiTheme="minorHAnsi" w:hAnsiTheme="minorHAnsi" w:cstheme="minorHAnsi"/>
        </w:rPr>
        <w:t>and</w:t>
      </w:r>
      <w:r w:rsidRPr="008D2EC3">
        <w:rPr>
          <w:rFonts w:asciiTheme="minorHAnsi" w:hAnsiTheme="minorHAnsi" w:cstheme="minorHAnsi"/>
          <w:spacing w:val="-13"/>
        </w:rPr>
        <w:t xml:space="preserve"> </w:t>
      </w:r>
      <w:r w:rsidRPr="008D2EC3">
        <w:rPr>
          <w:rFonts w:asciiTheme="minorHAnsi" w:hAnsiTheme="minorHAnsi" w:cstheme="minorHAnsi"/>
        </w:rPr>
        <w:t>is</w:t>
      </w:r>
      <w:r w:rsidRPr="008D2EC3">
        <w:rPr>
          <w:rFonts w:asciiTheme="minorHAnsi" w:hAnsiTheme="minorHAnsi" w:cstheme="minorHAnsi"/>
          <w:spacing w:val="-10"/>
        </w:rPr>
        <w:t xml:space="preserve"> </w:t>
      </w:r>
      <w:r w:rsidRPr="008D2EC3">
        <w:rPr>
          <w:rFonts w:asciiTheme="minorHAnsi" w:hAnsiTheme="minorHAnsi" w:cstheme="minorHAnsi"/>
        </w:rPr>
        <w:t>socially</w:t>
      </w:r>
      <w:r w:rsidRPr="008D2EC3">
        <w:rPr>
          <w:rFonts w:asciiTheme="minorHAnsi" w:hAnsiTheme="minorHAnsi" w:cstheme="minorHAnsi"/>
          <w:spacing w:val="-9"/>
        </w:rPr>
        <w:t xml:space="preserve"> </w:t>
      </w:r>
      <w:r w:rsidRPr="008D2EC3">
        <w:rPr>
          <w:rFonts w:asciiTheme="minorHAnsi" w:hAnsiTheme="minorHAnsi" w:cstheme="minorHAnsi"/>
        </w:rPr>
        <w:t>and</w:t>
      </w:r>
      <w:r w:rsidRPr="008D2EC3">
        <w:rPr>
          <w:rFonts w:asciiTheme="minorHAnsi" w:hAnsiTheme="minorHAnsi" w:cstheme="minorHAnsi"/>
          <w:spacing w:val="-8"/>
        </w:rPr>
        <w:t xml:space="preserve"> </w:t>
      </w:r>
      <w:r w:rsidRPr="008D2EC3">
        <w:rPr>
          <w:rFonts w:asciiTheme="minorHAnsi" w:hAnsiTheme="minorHAnsi" w:cstheme="minorHAnsi"/>
        </w:rPr>
        <w:t>representatively</w:t>
      </w:r>
      <w:r w:rsidRPr="008D2EC3">
        <w:rPr>
          <w:rFonts w:asciiTheme="minorHAnsi" w:hAnsiTheme="minorHAnsi" w:cstheme="minorHAnsi"/>
          <w:spacing w:val="-10"/>
        </w:rPr>
        <w:t xml:space="preserve"> </w:t>
      </w:r>
      <w:r w:rsidRPr="008D2EC3">
        <w:rPr>
          <w:rFonts w:asciiTheme="minorHAnsi" w:hAnsiTheme="minorHAnsi" w:cstheme="minorHAnsi"/>
        </w:rPr>
        <w:t>significant,</w:t>
      </w:r>
      <w:r w:rsidRPr="008D2EC3">
        <w:rPr>
          <w:rFonts w:asciiTheme="minorHAnsi" w:hAnsiTheme="minorHAnsi" w:cstheme="minorHAnsi"/>
          <w:spacing w:val="-11"/>
        </w:rPr>
        <w:t xml:space="preserve"> </w:t>
      </w:r>
      <w:r w:rsidRPr="008D2EC3">
        <w:rPr>
          <w:rFonts w:asciiTheme="minorHAnsi" w:hAnsiTheme="minorHAnsi" w:cstheme="minorHAnsi"/>
        </w:rPr>
        <w:t>however,</w:t>
      </w:r>
      <w:r w:rsidRPr="008D2EC3">
        <w:rPr>
          <w:rFonts w:asciiTheme="minorHAnsi" w:hAnsiTheme="minorHAnsi" w:cstheme="minorHAnsi"/>
          <w:spacing w:val="-10"/>
        </w:rPr>
        <w:t xml:space="preserve"> </w:t>
      </w:r>
      <w:r w:rsidRPr="008D2EC3">
        <w:rPr>
          <w:rFonts w:asciiTheme="minorHAnsi" w:hAnsiTheme="minorHAnsi" w:cstheme="minorHAnsi"/>
        </w:rPr>
        <w:t>its</w:t>
      </w:r>
      <w:r w:rsidRPr="008D2EC3">
        <w:rPr>
          <w:rFonts w:asciiTheme="minorHAnsi" w:hAnsiTheme="minorHAnsi" w:cstheme="minorHAnsi"/>
          <w:spacing w:val="-14"/>
        </w:rPr>
        <w:t xml:space="preserve"> </w:t>
      </w:r>
      <w:r w:rsidRPr="008D2EC3">
        <w:rPr>
          <w:rFonts w:asciiTheme="minorHAnsi" w:hAnsiTheme="minorHAnsi" w:cstheme="minorHAnsi"/>
        </w:rPr>
        <w:t>merit</w:t>
      </w:r>
      <w:r w:rsidRPr="008D2EC3">
        <w:rPr>
          <w:rFonts w:asciiTheme="minorHAnsi" w:hAnsiTheme="minorHAnsi" w:cstheme="minorHAnsi"/>
          <w:spacing w:val="-10"/>
        </w:rPr>
        <w:t xml:space="preserve"> </w:t>
      </w:r>
      <w:r w:rsidRPr="008D2EC3">
        <w:rPr>
          <w:rFonts w:asciiTheme="minorHAnsi" w:hAnsiTheme="minorHAnsi" w:cstheme="minorHAnsi"/>
        </w:rPr>
        <w:t>in</w:t>
      </w:r>
      <w:r w:rsidRPr="008D2EC3">
        <w:rPr>
          <w:rFonts w:asciiTheme="minorHAnsi" w:hAnsiTheme="minorHAnsi" w:cstheme="minorHAnsi"/>
          <w:spacing w:val="-13"/>
        </w:rPr>
        <w:t xml:space="preserve"> </w:t>
      </w:r>
      <w:r w:rsidRPr="008D2EC3">
        <w:rPr>
          <w:rFonts w:asciiTheme="minorHAnsi" w:hAnsiTheme="minorHAnsi" w:cstheme="minorHAnsi"/>
        </w:rPr>
        <w:t>terms</w:t>
      </w:r>
      <w:r w:rsidRPr="008D2EC3">
        <w:rPr>
          <w:rFonts w:asciiTheme="minorHAnsi" w:hAnsiTheme="minorHAnsi" w:cstheme="minorHAnsi"/>
          <w:spacing w:val="-10"/>
        </w:rPr>
        <w:t xml:space="preserve"> </w:t>
      </w:r>
      <w:r w:rsidRPr="008D2EC3">
        <w:rPr>
          <w:rFonts w:asciiTheme="minorHAnsi" w:hAnsiTheme="minorHAnsi" w:cstheme="minorHAnsi"/>
        </w:rPr>
        <w:t>of</w:t>
      </w:r>
      <w:r w:rsidRPr="008D2EC3">
        <w:rPr>
          <w:rFonts w:asciiTheme="minorHAnsi" w:hAnsiTheme="minorHAnsi" w:cstheme="minorHAnsi"/>
          <w:spacing w:val="-9"/>
        </w:rPr>
        <w:t xml:space="preserve"> </w:t>
      </w:r>
      <w:r w:rsidRPr="008D2EC3">
        <w:rPr>
          <w:rFonts w:asciiTheme="minorHAnsi" w:hAnsiTheme="minorHAnsi" w:cstheme="minorHAnsi"/>
        </w:rPr>
        <w:t>aesthetics,</w:t>
      </w:r>
      <w:r w:rsidRPr="008D2EC3">
        <w:rPr>
          <w:rFonts w:asciiTheme="minorHAnsi" w:hAnsiTheme="minorHAnsi" w:cstheme="minorHAnsi"/>
          <w:spacing w:val="-12"/>
        </w:rPr>
        <w:t xml:space="preserve"> </w:t>
      </w:r>
      <w:r w:rsidRPr="008D2EC3">
        <w:rPr>
          <w:rFonts w:asciiTheme="minorHAnsi" w:hAnsiTheme="minorHAnsi" w:cstheme="minorHAnsi"/>
        </w:rPr>
        <w:t>rarity and group/precinct value is relatively</w:t>
      </w:r>
      <w:r w:rsidRPr="008D2EC3">
        <w:rPr>
          <w:rFonts w:asciiTheme="minorHAnsi" w:hAnsiTheme="minorHAnsi" w:cstheme="minorHAnsi"/>
          <w:spacing w:val="-6"/>
        </w:rPr>
        <w:t xml:space="preserve"> </w:t>
      </w:r>
      <w:r w:rsidRPr="008D2EC3">
        <w:rPr>
          <w:rFonts w:asciiTheme="minorHAnsi" w:hAnsiTheme="minorHAnsi" w:cstheme="minorHAnsi"/>
        </w:rPr>
        <w:t>low.</w:t>
      </w:r>
    </w:p>
    <w:p w14:paraId="02571555"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The eastern end of the George Street Heritage Area is well defined by the Stirling Highway reservation and two prominent buildings on the north and south corners of Duke Street, these being the Royal George Hotel and the Brush Factory, respectively.</w:t>
      </w:r>
    </w:p>
    <w:p w14:paraId="61DA0E5B"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The</w:t>
      </w:r>
      <w:r w:rsidRPr="008D2EC3">
        <w:rPr>
          <w:rFonts w:asciiTheme="minorHAnsi" w:hAnsiTheme="minorHAnsi" w:cstheme="minorHAnsi"/>
          <w:spacing w:val="-10"/>
        </w:rPr>
        <w:t xml:space="preserve"> </w:t>
      </w:r>
      <w:r w:rsidRPr="008D2EC3">
        <w:rPr>
          <w:rFonts w:asciiTheme="minorHAnsi" w:hAnsiTheme="minorHAnsi" w:cstheme="minorHAnsi"/>
        </w:rPr>
        <w:t>Royal</w:t>
      </w:r>
      <w:r w:rsidRPr="008D2EC3">
        <w:rPr>
          <w:rFonts w:asciiTheme="minorHAnsi" w:hAnsiTheme="minorHAnsi" w:cstheme="minorHAnsi"/>
          <w:spacing w:val="-11"/>
        </w:rPr>
        <w:t xml:space="preserve"> </w:t>
      </w:r>
      <w:r w:rsidRPr="008D2EC3">
        <w:rPr>
          <w:rFonts w:asciiTheme="minorHAnsi" w:hAnsiTheme="minorHAnsi" w:cstheme="minorHAnsi"/>
        </w:rPr>
        <w:t>George</w:t>
      </w:r>
      <w:r w:rsidRPr="008D2EC3">
        <w:rPr>
          <w:rFonts w:asciiTheme="minorHAnsi" w:hAnsiTheme="minorHAnsi" w:cstheme="minorHAnsi"/>
          <w:spacing w:val="-10"/>
        </w:rPr>
        <w:t xml:space="preserve"> </w:t>
      </w:r>
      <w:r w:rsidRPr="008D2EC3">
        <w:rPr>
          <w:rFonts w:asciiTheme="minorHAnsi" w:hAnsiTheme="minorHAnsi" w:cstheme="minorHAnsi"/>
        </w:rPr>
        <w:t>Hotel</w:t>
      </w:r>
      <w:r w:rsidRPr="008D2EC3">
        <w:rPr>
          <w:rFonts w:asciiTheme="minorHAnsi" w:hAnsiTheme="minorHAnsi" w:cstheme="minorHAnsi"/>
          <w:spacing w:val="-10"/>
        </w:rPr>
        <w:t xml:space="preserve"> </w:t>
      </w:r>
      <w:r w:rsidRPr="008D2EC3">
        <w:rPr>
          <w:rFonts w:asciiTheme="minorHAnsi" w:hAnsiTheme="minorHAnsi" w:cstheme="minorHAnsi"/>
        </w:rPr>
        <w:t>is</w:t>
      </w:r>
      <w:r w:rsidRPr="008D2EC3">
        <w:rPr>
          <w:rFonts w:asciiTheme="minorHAnsi" w:hAnsiTheme="minorHAnsi" w:cstheme="minorHAnsi"/>
          <w:spacing w:val="-12"/>
        </w:rPr>
        <w:t xml:space="preserve"> </w:t>
      </w:r>
      <w:r w:rsidRPr="008D2EC3">
        <w:rPr>
          <w:rFonts w:asciiTheme="minorHAnsi" w:hAnsiTheme="minorHAnsi" w:cstheme="minorHAnsi"/>
        </w:rPr>
        <w:t>a</w:t>
      </w:r>
      <w:r w:rsidRPr="008D2EC3">
        <w:rPr>
          <w:rFonts w:asciiTheme="minorHAnsi" w:hAnsiTheme="minorHAnsi" w:cstheme="minorHAnsi"/>
          <w:spacing w:val="-14"/>
        </w:rPr>
        <w:t xml:space="preserve"> </w:t>
      </w:r>
      <w:r w:rsidRPr="008D2EC3">
        <w:rPr>
          <w:rFonts w:asciiTheme="minorHAnsi" w:hAnsiTheme="minorHAnsi" w:cstheme="minorHAnsi"/>
        </w:rPr>
        <w:t>notable</w:t>
      </w:r>
      <w:r w:rsidRPr="008D2EC3">
        <w:rPr>
          <w:rFonts w:asciiTheme="minorHAnsi" w:hAnsiTheme="minorHAnsi" w:cstheme="minorHAnsi"/>
          <w:spacing w:val="-10"/>
        </w:rPr>
        <w:t xml:space="preserve"> </w:t>
      </w:r>
      <w:r w:rsidRPr="008D2EC3">
        <w:rPr>
          <w:rFonts w:asciiTheme="minorHAnsi" w:hAnsiTheme="minorHAnsi" w:cstheme="minorHAnsi"/>
        </w:rPr>
        <w:t>landmark</w:t>
      </w:r>
      <w:r w:rsidRPr="008D2EC3">
        <w:rPr>
          <w:rFonts w:asciiTheme="minorHAnsi" w:hAnsiTheme="minorHAnsi" w:cstheme="minorHAnsi"/>
          <w:spacing w:val="-10"/>
        </w:rPr>
        <w:t xml:space="preserve"> </w:t>
      </w:r>
      <w:r w:rsidRPr="008D2EC3">
        <w:rPr>
          <w:rFonts w:asciiTheme="minorHAnsi" w:hAnsiTheme="minorHAnsi" w:cstheme="minorHAnsi"/>
        </w:rPr>
        <w:t>in</w:t>
      </w:r>
      <w:r w:rsidRPr="008D2EC3">
        <w:rPr>
          <w:rFonts w:asciiTheme="minorHAnsi" w:hAnsiTheme="minorHAnsi" w:cstheme="minorHAnsi"/>
          <w:spacing w:val="-14"/>
        </w:rPr>
        <w:t xml:space="preserve"> </w:t>
      </w:r>
      <w:r w:rsidRPr="008D2EC3">
        <w:rPr>
          <w:rFonts w:asciiTheme="minorHAnsi" w:hAnsiTheme="minorHAnsi" w:cstheme="minorHAnsi"/>
        </w:rPr>
        <w:t>the</w:t>
      </w:r>
      <w:r w:rsidRPr="008D2EC3">
        <w:rPr>
          <w:rFonts w:asciiTheme="minorHAnsi" w:hAnsiTheme="minorHAnsi" w:cstheme="minorHAnsi"/>
          <w:spacing w:val="-9"/>
        </w:rPr>
        <w:t xml:space="preserve"> </w:t>
      </w:r>
      <w:r w:rsidRPr="008D2EC3">
        <w:rPr>
          <w:rFonts w:asciiTheme="minorHAnsi" w:hAnsiTheme="minorHAnsi" w:cstheme="minorHAnsi"/>
        </w:rPr>
        <w:t>Town</w:t>
      </w:r>
      <w:r w:rsidRPr="008D2EC3">
        <w:rPr>
          <w:rFonts w:asciiTheme="minorHAnsi" w:hAnsiTheme="minorHAnsi" w:cstheme="minorHAnsi"/>
          <w:spacing w:val="-14"/>
        </w:rPr>
        <w:t xml:space="preserve"> </w:t>
      </w:r>
      <w:r w:rsidRPr="008D2EC3">
        <w:rPr>
          <w:rFonts w:asciiTheme="minorHAnsi" w:hAnsiTheme="minorHAnsi" w:cstheme="minorHAnsi"/>
        </w:rPr>
        <w:t>and</w:t>
      </w:r>
      <w:r w:rsidRPr="008D2EC3">
        <w:rPr>
          <w:rFonts w:asciiTheme="minorHAnsi" w:hAnsiTheme="minorHAnsi" w:cstheme="minorHAnsi"/>
          <w:spacing w:val="-12"/>
        </w:rPr>
        <w:t xml:space="preserve"> </w:t>
      </w:r>
      <w:r w:rsidRPr="008D2EC3">
        <w:rPr>
          <w:rFonts w:asciiTheme="minorHAnsi" w:hAnsiTheme="minorHAnsi" w:cstheme="minorHAnsi"/>
        </w:rPr>
        <w:t>a</w:t>
      </w:r>
      <w:r w:rsidRPr="008D2EC3">
        <w:rPr>
          <w:rFonts w:asciiTheme="minorHAnsi" w:hAnsiTheme="minorHAnsi" w:cstheme="minorHAnsi"/>
          <w:spacing w:val="-9"/>
        </w:rPr>
        <w:t xml:space="preserve"> </w:t>
      </w:r>
      <w:r w:rsidRPr="008D2EC3">
        <w:rPr>
          <w:rFonts w:asciiTheme="minorHAnsi" w:hAnsiTheme="minorHAnsi" w:cstheme="minorHAnsi"/>
        </w:rPr>
        <w:t>very</w:t>
      </w:r>
      <w:r w:rsidRPr="008D2EC3">
        <w:rPr>
          <w:rFonts w:asciiTheme="minorHAnsi" w:hAnsiTheme="minorHAnsi" w:cstheme="minorHAnsi"/>
          <w:spacing w:val="-9"/>
        </w:rPr>
        <w:t xml:space="preserve"> </w:t>
      </w:r>
      <w:r w:rsidRPr="008D2EC3">
        <w:rPr>
          <w:rFonts w:asciiTheme="minorHAnsi" w:hAnsiTheme="minorHAnsi" w:cstheme="minorHAnsi"/>
        </w:rPr>
        <w:t>important</w:t>
      </w:r>
      <w:r w:rsidRPr="008D2EC3">
        <w:rPr>
          <w:rFonts w:asciiTheme="minorHAnsi" w:hAnsiTheme="minorHAnsi" w:cstheme="minorHAnsi"/>
          <w:spacing w:val="-13"/>
        </w:rPr>
        <w:t xml:space="preserve"> </w:t>
      </w:r>
      <w:r w:rsidRPr="008D2EC3">
        <w:rPr>
          <w:rFonts w:asciiTheme="minorHAnsi" w:hAnsiTheme="minorHAnsi" w:cstheme="minorHAnsi"/>
        </w:rPr>
        <w:t>townscape</w:t>
      </w:r>
      <w:r w:rsidRPr="008D2EC3">
        <w:rPr>
          <w:rFonts w:asciiTheme="minorHAnsi" w:hAnsiTheme="minorHAnsi" w:cstheme="minorHAnsi"/>
          <w:spacing w:val="-12"/>
        </w:rPr>
        <w:t xml:space="preserve"> </w:t>
      </w:r>
      <w:r w:rsidRPr="008D2EC3">
        <w:rPr>
          <w:rFonts w:asciiTheme="minorHAnsi" w:hAnsiTheme="minorHAnsi" w:cstheme="minorHAnsi"/>
        </w:rPr>
        <w:t>element in the Heritage Area. It is a significant and representative example of a Western Australian gold boom</w:t>
      </w:r>
      <w:r w:rsidRPr="008D2EC3">
        <w:rPr>
          <w:rFonts w:asciiTheme="minorHAnsi" w:hAnsiTheme="minorHAnsi" w:cstheme="minorHAnsi"/>
          <w:spacing w:val="-10"/>
        </w:rPr>
        <w:t xml:space="preserve"> </w:t>
      </w:r>
      <w:r w:rsidRPr="008D2EC3">
        <w:rPr>
          <w:rFonts w:asciiTheme="minorHAnsi" w:hAnsiTheme="minorHAnsi" w:cstheme="minorHAnsi"/>
        </w:rPr>
        <w:t>hotel</w:t>
      </w:r>
      <w:r w:rsidRPr="008D2EC3">
        <w:rPr>
          <w:rFonts w:asciiTheme="minorHAnsi" w:hAnsiTheme="minorHAnsi" w:cstheme="minorHAnsi"/>
          <w:spacing w:val="-10"/>
        </w:rPr>
        <w:t xml:space="preserve"> </w:t>
      </w:r>
      <w:r w:rsidRPr="008D2EC3">
        <w:rPr>
          <w:rFonts w:asciiTheme="minorHAnsi" w:hAnsiTheme="minorHAnsi" w:cstheme="minorHAnsi"/>
        </w:rPr>
        <w:t>with</w:t>
      </w:r>
      <w:r w:rsidRPr="008D2EC3">
        <w:rPr>
          <w:rFonts w:asciiTheme="minorHAnsi" w:hAnsiTheme="minorHAnsi" w:cstheme="minorHAnsi"/>
          <w:spacing w:val="-10"/>
        </w:rPr>
        <w:t xml:space="preserve"> </w:t>
      </w:r>
      <w:r w:rsidRPr="008D2EC3">
        <w:rPr>
          <w:rFonts w:asciiTheme="minorHAnsi" w:hAnsiTheme="minorHAnsi" w:cstheme="minorHAnsi"/>
        </w:rPr>
        <w:t>much</w:t>
      </w:r>
      <w:r w:rsidRPr="008D2EC3">
        <w:rPr>
          <w:rFonts w:asciiTheme="minorHAnsi" w:hAnsiTheme="minorHAnsi" w:cstheme="minorHAnsi"/>
          <w:spacing w:val="-16"/>
        </w:rPr>
        <w:t xml:space="preserve"> </w:t>
      </w:r>
      <w:r w:rsidRPr="008D2EC3">
        <w:rPr>
          <w:rFonts w:asciiTheme="minorHAnsi" w:hAnsiTheme="minorHAnsi" w:cstheme="minorHAnsi"/>
        </w:rPr>
        <w:t>of</w:t>
      </w:r>
      <w:r w:rsidRPr="008D2EC3">
        <w:rPr>
          <w:rFonts w:asciiTheme="minorHAnsi" w:hAnsiTheme="minorHAnsi" w:cstheme="minorHAnsi"/>
          <w:spacing w:val="-9"/>
        </w:rPr>
        <w:t xml:space="preserve"> </w:t>
      </w:r>
      <w:r w:rsidRPr="008D2EC3">
        <w:rPr>
          <w:rFonts w:asciiTheme="minorHAnsi" w:hAnsiTheme="minorHAnsi" w:cstheme="minorHAnsi"/>
        </w:rPr>
        <w:t>the</w:t>
      </w:r>
      <w:r w:rsidRPr="008D2EC3">
        <w:rPr>
          <w:rFonts w:asciiTheme="minorHAnsi" w:hAnsiTheme="minorHAnsi" w:cstheme="minorHAnsi"/>
          <w:spacing w:val="-10"/>
        </w:rPr>
        <w:t xml:space="preserve"> </w:t>
      </w:r>
      <w:r w:rsidRPr="008D2EC3">
        <w:rPr>
          <w:rFonts w:asciiTheme="minorHAnsi" w:hAnsiTheme="minorHAnsi" w:cstheme="minorHAnsi"/>
        </w:rPr>
        <w:t>original</w:t>
      </w:r>
      <w:r w:rsidRPr="008D2EC3">
        <w:rPr>
          <w:rFonts w:asciiTheme="minorHAnsi" w:hAnsiTheme="minorHAnsi" w:cstheme="minorHAnsi"/>
          <w:spacing w:val="-11"/>
        </w:rPr>
        <w:t xml:space="preserve"> </w:t>
      </w:r>
      <w:r w:rsidRPr="008D2EC3">
        <w:rPr>
          <w:rFonts w:asciiTheme="minorHAnsi" w:hAnsiTheme="minorHAnsi" w:cstheme="minorHAnsi"/>
        </w:rPr>
        <w:t>form</w:t>
      </w:r>
      <w:r w:rsidRPr="008D2EC3">
        <w:rPr>
          <w:rFonts w:asciiTheme="minorHAnsi" w:hAnsiTheme="minorHAnsi" w:cstheme="minorHAnsi"/>
          <w:spacing w:val="-10"/>
        </w:rPr>
        <w:t xml:space="preserve"> </w:t>
      </w:r>
      <w:r w:rsidRPr="008D2EC3">
        <w:rPr>
          <w:rFonts w:asciiTheme="minorHAnsi" w:hAnsiTheme="minorHAnsi" w:cstheme="minorHAnsi"/>
        </w:rPr>
        <w:t>and</w:t>
      </w:r>
      <w:r w:rsidRPr="008D2EC3">
        <w:rPr>
          <w:rFonts w:asciiTheme="minorHAnsi" w:hAnsiTheme="minorHAnsi" w:cstheme="minorHAnsi"/>
          <w:spacing w:val="-10"/>
        </w:rPr>
        <w:t xml:space="preserve"> </w:t>
      </w:r>
      <w:r w:rsidRPr="008D2EC3">
        <w:rPr>
          <w:rFonts w:asciiTheme="minorHAnsi" w:hAnsiTheme="minorHAnsi" w:cstheme="minorHAnsi"/>
        </w:rPr>
        <w:t>fabric</w:t>
      </w:r>
      <w:r w:rsidRPr="008D2EC3">
        <w:rPr>
          <w:rFonts w:asciiTheme="minorHAnsi" w:hAnsiTheme="minorHAnsi" w:cstheme="minorHAnsi"/>
          <w:spacing w:val="-12"/>
        </w:rPr>
        <w:t xml:space="preserve"> </w:t>
      </w:r>
      <w:r w:rsidRPr="008D2EC3">
        <w:rPr>
          <w:rFonts w:asciiTheme="minorHAnsi" w:hAnsiTheme="minorHAnsi" w:cstheme="minorHAnsi"/>
        </w:rPr>
        <w:t>intact.</w:t>
      </w:r>
      <w:r w:rsidRPr="008D2EC3">
        <w:rPr>
          <w:rFonts w:asciiTheme="minorHAnsi" w:hAnsiTheme="minorHAnsi" w:cstheme="minorHAnsi"/>
          <w:spacing w:val="-13"/>
        </w:rPr>
        <w:t xml:space="preserve"> </w:t>
      </w:r>
      <w:r w:rsidRPr="008D2EC3">
        <w:rPr>
          <w:rFonts w:asciiTheme="minorHAnsi" w:hAnsiTheme="minorHAnsi" w:cstheme="minorHAnsi"/>
        </w:rPr>
        <w:t>The</w:t>
      </w:r>
      <w:r w:rsidRPr="008D2EC3">
        <w:rPr>
          <w:rFonts w:asciiTheme="minorHAnsi" w:hAnsiTheme="minorHAnsi" w:cstheme="minorHAnsi"/>
          <w:spacing w:val="-9"/>
        </w:rPr>
        <w:t xml:space="preserve"> </w:t>
      </w:r>
      <w:r w:rsidRPr="008D2EC3">
        <w:rPr>
          <w:rFonts w:asciiTheme="minorHAnsi" w:hAnsiTheme="minorHAnsi" w:cstheme="minorHAnsi"/>
        </w:rPr>
        <w:t>tower</w:t>
      </w:r>
      <w:r w:rsidRPr="008D2EC3">
        <w:rPr>
          <w:rFonts w:asciiTheme="minorHAnsi" w:hAnsiTheme="minorHAnsi" w:cstheme="minorHAnsi"/>
          <w:spacing w:val="-10"/>
        </w:rPr>
        <w:t xml:space="preserve"> </w:t>
      </w:r>
      <w:r w:rsidRPr="008D2EC3">
        <w:rPr>
          <w:rFonts w:asciiTheme="minorHAnsi" w:hAnsiTheme="minorHAnsi" w:cstheme="minorHAnsi"/>
        </w:rPr>
        <w:t>and</w:t>
      </w:r>
      <w:r w:rsidRPr="008D2EC3">
        <w:rPr>
          <w:rFonts w:asciiTheme="minorHAnsi" w:hAnsiTheme="minorHAnsi" w:cstheme="minorHAnsi"/>
          <w:spacing w:val="-10"/>
        </w:rPr>
        <w:t xml:space="preserve"> </w:t>
      </w:r>
      <w:r w:rsidRPr="008D2EC3">
        <w:rPr>
          <w:rFonts w:asciiTheme="minorHAnsi" w:hAnsiTheme="minorHAnsi" w:cstheme="minorHAnsi"/>
        </w:rPr>
        <w:t>cupola</w:t>
      </w:r>
      <w:r w:rsidRPr="008D2EC3">
        <w:rPr>
          <w:rFonts w:asciiTheme="minorHAnsi" w:hAnsiTheme="minorHAnsi" w:cstheme="minorHAnsi"/>
          <w:spacing w:val="-10"/>
        </w:rPr>
        <w:t xml:space="preserve"> </w:t>
      </w:r>
      <w:proofErr w:type="gramStart"/>
      <w:r w:rsidRPr="008D2EC3">
        <w:rPr>
          <w:rFonts w:asciiTheme="minorHAnsi" w:hAnsiTheme="minorHAnsi" w:cstheme="minorHAnsi"/>
        </w:rPr>
        <w:t>is</w:t>
      </w:r>
      <w:proofErr w:type="gramEnd"/>
      <w:r w:rsidRPr="008D2EC3">
        <w:rPr>
          <w:rFonts w:asciiTheme="minorHAnsi" w:hAnsiTheme="minorHAnsi" w:cstheme="minorHAnsi"/>
          <w:spacing w:val="-12"/>
        </w:rPr>
        <w:t xml:space="preserve"> </w:t>
      </w:r>
      <w:r w:rsidRPr="008D2EC3">
        <w:rPr>
          <w:rFonts w:asciiTheme="minorHAnsi" w:hAnsiTheme="minorHAnsi" w:cstheme="minorHAnsi"/>
        </w:rPr>
        <w:t>an</w:t>
      </w:r>
      <w:r w:rsidRPr="008D2EC3">
        <w:rPr>
          <w:rFonts w:asciiTheme="minorHAnsi" w:hAnsiTheme="minorHAnsi" w:cstheme="minorHAnsi"/>
          <w:spacing w:val="-11"/>
        </w:rPr>
        <w:t xml:space="preserve"> </w:t>
      </w:r>
      <w:r w:rsidRPr="008D2EC3">
        <w:rPr>
          <w:rFonts w:asciiTheme="minorHAnsi" w:hAnsiTheme="minorHAnsi" w:cstheme="minorHAnsi"/>
        </w:rPr>
        <w:t>increasingly rare example of a landmark element still in its original form and fabric</w:t>
      </w:r>
      <w:r w:rsidRPr="008D2EC3">
        <w:rPr>
          <w:rFonts w:asciiTheme="minorHAnsi" w:hAnsiTheme="minorHAnsi" w:cstheme="minorHAnsi"/>
          <w:spacing w:val="-16"/>
        </w:rPr>
        <w:t xml:space="preserve"> </w:t>
      </w:r>
      <w:r w:rsidRPr="008D2EC3">
        <w:rPr>
          <w:rFonts w:asciiTheme="minorHAnsi" w:hAnsiTheme="minorHAnsi" w:cstheme="minorHAnsi"/>
        </w:rPr>
        <w:t>intact.</w:t>
      </w:r>
    </w:p>
    <w:p w14:paraId="0565A6E9"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The now four-level Brush Factory building is an integral part of the George Street Heritage Area with</w:t>
      </w:r>
      <w:r w:rsidRPr="008D2EC3">
        <w:rPr>
          <w:rFonts w:asciiTheme="minorHAnsi" w:hAnsiTheme="minorHAnsi" w:cstheme="minorHAnsi"/>
          <w:spacing w:val="-9"/>
        </w:rPr>
        <w:t xml:space="preserve"> </w:t>
      </w:r>
      <w:r w:rsidRPr="008D2EC3">
        <w:rPr>
          <w:rFonts w:asciiTheme="minorHAnsi" w:hAnsiTheme="minorHAnsi" w:cstheme="minorHAnsi"/>
        </w:rPr>
        <w:t>exceptional</w:t>
      </w:r>
      <w:r w:rsidRPr="008D2EC3">
        <w:rPr>
          <w:rFonts w:asciiTheme="minorHAnsi" w:hAnsiTheme="minorHAnsi" w:cstheme="minorHAnsi"/>
          <w:spacing w:val="-10"/>
        </w:rPr>
        <w:t xml:space="preserve"> </w:t>
      </w:r>
      <w:r w:rsidRPr="008D2EC3">
        <w:rPr>
          <w:rFonts w:asciiTheme="minorHAnsi" w:hAnsiTheme="minorHAnsi" w:cstheme="minorHAnsi"/>
        </w:rPr>
        <w:t>aesthetic</w:t>
      </w:r>
      <w:r w:rsidRPr="008D2EC3">
        <w:rPr>
          <w:rFonts w:asciiTheme="minorHAnsi" w:hAnsiTheme="minorHAnsi" w:cstheme="minorHAnsi"/>
          <w:spacing w:val="-10"/>
        </w:rPr>
        <w:t xml:space="preserve"> </w:t>
      </w:r>
      <w:r w:rsidRPr="008D2EC3">
        <w:rPr>
          <w:rFonts w:asciiTheme="minorHAnsi" w:hAnsiTheme="minorHAnsi" w:cstheme="minorHAnsi"/>
        </w:rPr>
        <w:t>value</w:t>
      </w:r>
      <w:r w:rsidRPr="008D2EC3">
        <w:rPr>
          <w:rFonts w:asciiTheme="minorHAnsi" w:hAnsiTheme="minorHAnsi" w:cstheme="minorHAnsi"/>
          <w:spacing w:val="-8"/>
        </w:rPr>
        <w:t xml:space="preserve"> </w:t>
      </w:r>
      <w:r w:rsidRPr="008D2EC3">
        <w:rPr>
          <w:rFonts w:asciiTheme="minorHAnsi" w:hAnsiTheme="minorHAnsi" w:cstheme="minorHAnsi"/>
        </w:rPr>
        <w:t>as</w:t>
      </w:r>
      <w:r w:rsidRPr="008D2EC3">
        <w:rPr>
          <w:rFonts w:asciiTheme="minorHAnsi" w:hAnsiTheme="minorHAnsi" w:cstheme="minorHAnsi"/>
          <w:spacing w:val="-5"/>
        </w:rPr>
        <w:t xml:space="preserve"> </w:t>
      </w:r>
      <w:r w:rsidRPr="008D2EC3">
        <w:rPr>
          <w:rFonts w:asciiTheme="minorHAnsi" w:hAnsiTheme="minorHAnsi" w:cstheme="minorHAnsi"/>
        </w:rPr>
        <w:t>a</w:t>
      </w:r>
      <w:r w:rsidRPr="008D2EC3">
        <w:rPr>
          <w:rFonts w:asciiTheme="minorHAnsi" w:hAnsiTheme="minorHAnsi" w:cstheme="minorHAnsi"/>
          <w:spacing w:val="-8"/>
        </w:rPr>
        <w:t xml:space="preserve"> </w:t>
      </w:r>
      <w:proofErr w:type="gramStart"/>
      <w:r w:rsidRPr="008D2EC3">
        <w:rPr>
          <w:rFonts w:asciiTheme="minorHAnsi" w:hAnsiTheme="minorHAnsi" w:cstheme="minorHAnsi"/>
        </w:rPr>
        <w:t>good</w:t>
      </w:r>
      <w:r w:rsidRPr="008D2EC3">
        <w:rPr>
          <w:rFonts w:asciiTheme="minorHAnsi" w:hAnsiTheme="minorHAnsi" w:cstheme="minorHAnsi"/>
          <w:spacing w:val="-9"/>
        </w:rPr>
        <w:t xml:space="preserve"> </w:t>
      </w:r>
      <w:r w:rsidRPr="008D2EC3">
        <w:rPr>
          <w:rFonts w:asciiTheme="minorHAnsi" w:hAnsiTheme="minorHAnsi" w:cstheme="minorHAnsi"/>
        </w:rPr>
        <w:t>restrained</w:t>
      </w:r>
      <w:proofErr w:type="gramEnd"/>
      <w:r w:rsidRPr="008D2EC3">
        <w:rPr>
          <w:rFonts w:asciiTheme="minorHAnsi" w:hAnsiTheme="minorHAnsi" w:cstheme="minorHAnsi"/>
          <w:spacing w:val="-7"/>
        </w:rPr>
        <w:t xml:space="preserve"> </w:t>
      </w:r>
      <w:r w:rsidRPr="008D2EC3">
        <w:rPr>
          <w:rFonts w:asciiTheme="minorHAnsi" w:hAnsiTheme="minorHAnsi" w:cstheme="minorHAnsi"/>
        </w:rPr>
        <w:t>example</w:t>
      </w:r>
      <w:r w:rsidRPr="008D2EC3">
        <w:rPr>
          <w:rFonts w:asciiTheme="minorHAnsi" w:hAnsiTheme="minorHAnsi" w:cstheme="minorHAnsi"/>
          <w:spacing w:val="-8"/>
        </w:rPr>
        <w:t xml:space="preserve"> </w:t>
      </w:r>
      <w:r w:rsidRPr="008D2EC3">
        <w:rPr>
          <w:rFonts w:asciiTheme="minorHAnsi" w:hAnsiTheme="minorHAnsi" w:cstheme="minorHAnsi"/>
        </w:rPr>
        <w:t>of</w:t>
      </w:r>
      <w:r w:rsidRPr="008D2EC3">
        <w:rPr>
          <w:rFonts w:asciiTheme="minorHAnsi" w:hAnsiTheme="minorHAnsi" w:cstheme="minorHAnsi"/>
          <w:spacing w:val="-8"/>
        </w:rPr>
        <w:t xml:space="preserve"> </w:t>
      </w:r>
      <w:r w:rsidRPr="008D2EC3">
        <w:rPr>
          <w:rFonts w:asciiTheme="minorHAnsi" w:hAnsiTheme="minorHAnsi" w:cstheme="minorHAnsi"/>
        </w:rPr>
        <w:t>the</w:t>
      </w:r>
      <w:r w:rsidRPr="008D2EC3">
        <w:rPr>
          <w:rFonts w:asciiTheme="minorHAnsi" w:hAnsiTheme="minorHAnsi" w:cstheme="minorHAnsi"/>
          <w:spacing w:val="-8"/>
        </w:rPr>
        <w:t xml:space="preserve"> </w:t>
      </w:r>
      <w:r w:rsidRPr="008D2EC3">
        <w:rPr>
          <w:rFonts w:asciiTheme="minorHAnsi" w:hAnsiTheme="minorHAnsi" w:cstheme="minorHAnsi"/>
        </w:rPr>
        <w:t>Federation</w:t>
      </w:r>
      <w:r w:rsidRPr="008D2EC3">
        <w:rPr>
          <w:rFonts w:asciiTheme="minorHAnsi" w:hAnsiTheme="minorHAnsi" w:cstheme="minorHAnsi"/>
          <w:spacing w:val="-10"/>
        </w:rPr>
        <w:t xml:space="preserve"> </w:t>
      </w:r>
      <w:r w:rsidRPr="008D2EC3">
        <w:rPr>
          <w:rFonts w:asciiTheme="minorHAnsi" w:hAnsiTheme="minorHAnsi" w:cstheme="minorHAnsi"/>
        </w:rPr>
        <w:t>Free</w:t>
      </w:r>
      <w:r w:rsidRPr="008D2EC3">
        <w:rPr>
          <w:rFonts w:asciiTheme="minorHAnsi" w:hAnsiTheme="minorHAnsi" w:cstheme="minorHAnsi"/>
          <w:spacing w:val="-5"/>
        </w:rPr>
        <w:t xml:space="preserve"> </w:t>
      </w:r>
      <w:r w:rsidRPr="008D2EC3">
        <w:rPr>
          <w:rFonts w:asciiTheme="minorHAnsi" w:hAnsiTheme="minorHAnsi" w:cstheme="minorHAnsi"/>
        </w:rPr>
        <w:t>Classical</w:t>
      </w:r>
      <w:r w:rsidRPr="008D2EC3">
        <w:rPr>
          <w:rFonts w:asciiTheme="minorHAnsi" w:hAnsiTheme="minorHAnsi" w:cstheme="minorHAnsi"/>
          <w:spacing w:val="-10"/>
        </w:rPr>
        <w:t xml:space="preserve"> </w:t>
      </w:r>
      <w:r w:rsidRPr="008D2EC3">
        <w:rPr>
          <w:rFonts w:asciiTheme="minorHAnsi" w:hAnsiTheme="minorHAnsi" w:cstheme="minorHAnsi"/>
        </w:rPr>
        <w:t>style applied to a commercial building. It was part of the suburban residential development associated with the expansion of East Fremantle during the Goldrush period of the 1880s and</w:t>
      </w:r>
      <w:r w:rsidRPr="008D2EC3">
        <w:rPr>
          <w:rFonts w:asciiTheme="minorHAnsi" w:hAnsiTheme="minorHAnsi" w:cstheme="minorHAnsi"/>
          <w:spacing w:val="-25"/>
        </w:rPr>
        <w:t xml:space="preserve"> </w:t>
      </w:r>
      <w:r w:rsidRPr="008D2EC3">
        <w:rPr>
          <w:rFonts w:asciiTheme="minorHAnsi" w:hAnsiTheme="minorHAnsi" w:cstheme="minorHAnsi"/>
        </w:rPr>
        <w:t>1890s.</w:t>
      </w:r>
    </w:p>
    <w:p w14:paraId="27C0E7B4"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Buildings</w:t>
      </w:r>
      <w:r w:rsidRPr="008D2EC3">
        <w:rPr>
          <w:rFonts w:asciiTheme="minorHAnsi" w:hAnsiTheme="minorHAnsi" w:cstheme="minorHAnsi"/>
          <w:spacing w:val="-4"/>
        </w:rPr>
        <w:t xml:space="preserve"> </w:t>
      </w:r>
      <w:r w:rsidRPr="008D2EC3">
        <w:rPr>
          <w:rFonts w:asciiTheme="minorHAnsi" w:hAnsiTheme="minorHAnsi" w:cstheme="minorHAnsi"/>
        </w:rPr>
        <w:t>and</w:t>
      </w:r>
      <w:r w:rsidRPr="008D2EC3">
        <w:rPr>
          <w:rFonts w:asciiTheme="minorHAnsi" w:hAnsiTheme="minorHAnsi" w:cstheme="minorHAnsi"/>
          <w:spacing w:val="-4"/>
        </w:rPr>
        <w:t xml:space="preserve"> </w:t>
      </w:r>
      <w:r w:rsidRPr="008D2EC3">
        <w:rPr>
          <w:rFonts w:asciiTheme="minorHAnsi" w:hAnsiTheme="minorHAnsi" w:cstheme="minorHAnsi"/>
        </w:rPr>
        <w:t>places</w:t>
      </w:r>
      <w:r w:rsidRPr="008D2EC3">
        <w:rPr>
          <w:rFonts w:asciiTheme="minorHAnsi" w:hAnsiTheme="minorHAnsi" w:cstheme="minorHAnsi"/>
          <w:spacing w:val="-3"/>
        </w:rPr>
        <w:t xml:space="preserve"> </w:t>
      </w:r>
      <w:r w:rsidRPr="008D2EC3">
        <w:rPr>
          <w:rFonts w:asciiTheme="minorHAnsi" w:hAnsiTheme="minorHAnsi" w:cstheme="minorHAnsi"/>
        </w:rPr>
        <w:t>between</w:t>
      </w:r>
      <w:r w:rsidRPr="008D2EC3">
        <w:rPr>
          <w:rFonts w:asciiTheme="minorHAnsi" w:hAnsiTheme="minorHAnsi" w:cstheme="minorHAnsi"/>
          <w:spacing w:val="-4"/>
        </w:rPr>
        <w:t xml:space="preserve"> </w:t>
      </w:r>
      <w:r w:rsidRPr="008D2EC3">
        <w:rPr>
          <w:rFonts w:asciiTheme="minorHAnsi" w:hAnsiTheme="minorHAnsi" w:cstheme="minorHAnsi"/>
        </w:rPr>
        <w:t>the</w:t>
      </w:r>
      <w:r w:rsidRPr="008D2EC3">
        <w:rPr>
          <w:rFonts w:asciiTheme="minorHAnsi" w:hAnsiTheme="minorHAnsi" w:cstheme="minorHAnsi"/>
          <w:spacing w:val="-3"/>
        </w:rPr>
        <w:t xml:space="preserve"> </w:t>
      </w:r>
      <w:r w:rsidRPr="008D2EC3">
        <w:rPr>
          <w:rFonts w:asciiTheme="minorHAnsi" w:hAnsiTheme="minorHAnsi" w:cstheme="minorHAnsi"/>
        </w:rPr>
        <w:t>west</w:t>
      </w:r>
      <w:r w:rsidRPr="008D2EC3">
        <w:rPr>
          <w:rFonts w:asciiTheme="minorHAnsi" w:hAnsiTheme="minorHAnsi" w:cstheme="minorHAnsi"/>
          <w:spacing w:val="-4"/>
        </w:rPr>
        <w:t xml:space="preserve"> </w:t>
      </w:r>
      <w:r w:rsidRPr="008D2EC3">
        <w:rPr>
          <w:rFonts w:asciiTheme="minorHAnsi" w:hAnsiTheme="minorHAnsi" w:cstheme="minorHAnsi"/>
        </w:rPr>
        <w:t>and</w:t>
      </w:r>
      <w:r w:rsidRPr="008D2EC3">
        <w:rPr>
          <w:rFonts w:asciiTheme="minorHAnsi" w:hAnsiTheme="minorHAnsi" w:cstheme="minorHAnsi"/>
          <w:spacing w:val="-3"/>
        </w:rPr>
        <w:t xml:space="preserve"> </w:t>
      </w:r>
      <w:r w:rsidRPr="008D2EC3">
        <w:rPr>
          <w:rFonts w:asciiTheme="minorHAnsi" w:hAnsiTheme="minorHAnsi" w:cstheme="minorHAnsi"/>
        </w:rPr>
        <w:t>east</w:t>
      </w:r>
      <w:r w:rsidRPr="008D2EC3">
        <w:rPr>
          <w:rFonts w:asciiTheme="minorHAnsi" w:hAnsiTheme="minorHAnsi" w:cstheme="minorHAnsi"/>
          <w:spacing w:val="-6"/>
        </w:rPr>
        <w:t xml:space="preserve"> </w:t>
      </w:r>
      <w:r w:rsidRPr="008D2EC3">
        <w:rPr>
          <w:rFonts w:asciiTheme="minorHAnsi" w:hAnsiTheme="minorHAnsi" w:cstheme="minorHAnsi"/>
        </w:rPr>
        <w:t>end</w:t>
      </w:r>
      <w:r w:rsidRPr="008D2EC3">
        <w:rPr>
          <w:rFonts w:asciiTheme="minorHAnsi" w:hAnsiTheme="minorHAnsi" w:cstheme="minorHAnsi"/>
          <w:spacing w:val="-4"/>
        </w:rPr>
        <w:t xml:space="preserve"> </w:t>
      </w:r>
      <w:r w:rsidRPr="008D2EC3">
        <w:rPr>
          <w:rFonts w:asciiTheme="minorHAnsi" w:hAnsiTheme="minorHAnsi" w:cstheme="minorHAnsi"/>
        </w:rPr>
        <w:t>landmarks</w:t>
      </w:r>
      <w:r w:rsidRPr="008D2EC3">
        <w:rPr>
          <w:rFonts w:asciiTheme="minorHAnsi" w:hAnsiTheme="minorHAnsi" w:cstheme="minorHAnsi"/>
          <w:spacing w:val="-5"/>
        </w:rPr>
        <w:t xml:space="preserve"> </w:t>
      </w:r>
      <w:r w:rsidRPr="008D2EC3">
        <w:rPr>
          <w:rFonts w:asciiTheme="minorHAnsi" w:hAnsiTheme="minorHAnsi" w:cstheme="minorHAnsi"/>
        </w:rPr>
        <w:t>of</w:t>
      </w:r>
      <w:r w:rsidRPr="008D2EC3">
        <w:rPr>
          <w:rFonts w:asciiTheme="minorHAnsi" w:hAnsiTheme="minorHAnsi" w:cstheme="minorHAnsi"/>
          <w:spacing w:val="-3"/>
        </w:rPr>
        <w:t xml:space="preserve"> </w:t>
      </w:r>
      <w:r w:rsidRPr="008D2EC3">
        <w:rPr>
          <w:rFonts w:asciiTheme="minorHAnsi" w:hAnsiTheme="minorHAnsi" w:cstheme="minorHAnsi"/>
        </w:rPr>
        <w:t>the</w:t>
      </w:r>
      <w:r w:rsidRPr="008D2EC3">
        <w:rPr>
          <w:rFonts w:asciiTheme="minorHAnsi" w:hAnsiTheme="minorHAnsi" w:cstheme="minorHAnsi"/>
          <w:spacing w:val="-3"/>
        </w:rPr>
        <w:t xml:space="preserve"> </w:t>
      </w:r>
      <w:r w:rsidRPr="008D2EC3">
        <w:rPr>
          <w:rFonts w:asciiTheme="minorHAnsi" w:hAnsiTheme="minorHAnsi" w:cstheme="minorHAnsi"/>
        </w:rPr>
        <w:t>George</w:t>
      </w:r>
      <w:r w:rsidRPr="008D2EC3">
        <w:rPr>
          <w:rFonts w:asciiTheme="minorHAnsi" w:hAnsiTheme="minorHAnsi" w:cstheme="minorHAnsi"/>
          <w:spacing w:val="-3"/>
        </w:rPr>
        <w:t xml:space="preserve"> </w:t>
      </w:r>
      <w:r w:rsidRPr="008D2EC3">
        <w:rPr>
          <w:rFonts w:asciiTheme="minorHAnsi" w:hAnsiTheme="minorHAnsi" w:cstheme="minorHAnsi"/>
        </w:rPr>
        <w:t>Street</w:t>
      </w:r>
      <w:r w:rsidRPr="008D2EC3">
        <w:rPr>
          <w:rFonts w:asciiTheme="minorHAnsi" w:hAnsiTheme="minorHAnsi" w:cstheme="minorHAnsi"/>
          <w:spacing w:val="-5"/>
        </w:rPr>
        <w:t xml:space="preserve"> </w:t>
      </w:r>
      <w:r w:rsidRPr="008D2EC3">
        <w:rPr>
          <w:rFonts w:asciiTheme="minorHAnsi" w:hAnsiTheme="minorHAnsi" w:cstheme="minorHAnsi"/>
        </w:rPr>
        <w:t>Heritage</w:t>
      </w:r>
      <w:r w:rsidRPr="008D2EC3">
        <w:rPr>
          <w:rFonts w:asciiTheme="minorHAnsi" w:hAnsiTheme="minorHAnsi" w:cstheme="minorHAnsi"/>
          <w:spacing w:val="-3"/>
        </w:rPr>
        <w:t xml:space="preserve"> </w:t>
      </w:r>
      <w:r w:rsidRPr="008D2EC3">
        <w:rPr>
          <w:rFonts w:asciiTheme="minorHAnsi" w:hAnsiTheme="minorHAnsi" w:cstheme="minorHAnsi"/>
        </w:rPr>
        <w:t xml:space="preserve">Area predominantly comprise of a mix of one and two </w:t>
      </w:r>
      <w:proofErr w:type="spellStart"/>
      <w:r w:rsidRPr="008D2EC3">
        <w:rPr>
          <w:rFonts w:asciiTheme="minorHAnsi" w:hAnsiTheme="minorHAnsi" w:cstheme="minorHAnsi"/>
        </w:rPr>
        <w:t>storey</w:t>
      </w:r>
      <w:proofErr w:type="spellEnd"/>
      <w:r w:rsidRPr="008D2EC3">
        <w:rPr>
          <w:rFonts w:asciiTheme="minorHAnsi" w:hAnsiTheme="minorHAnsi" w:cstheme="minorHAnsi"/>
        </w:rPr>
        <w:t xml:space="preserve"> commercial, residential and </w:t>
      </w:r>
      <w:proofErr w:type="gramStart"/>
      <w:r w:rsidRPr="008D2EC3">
        <w:rPr>
          <w:rFonts w:asciiTheme="minorHAnsi" w:hAnsiTheme="minorHAnsi" w:cstheme="minorHAnsi"/>
        </w:rPr>
        <w:t>mixed</w:t>
      </w:r>
      <w:r>
        <w:t xml:space="preserve"> use</w:t>
      </w:r>
      <w:proofErr w:type="gramEnd"/>
      <w:r>
        <w:t xml:space="preserve"> buildings </w:t>
      </w:r>
      <w:r w:rsidRPr="008D2EC3">
        <w:rPr>
          <w:rFonts w:asciiTheme="minorHAnsi" w:hAnsiTheme="minorHAnsi" w:cstheme="minorHAnsi"/>
        </w:rPr>
        <w:lastRenderedPageBreak/>
        <w:t xml:space="preserve">together with a small local park and the infrequent three/four </w:t>
      </w:r>
      <w:proofErr w:type="spellStart"/>
      <w:r w:rsidRPr="008D2EC3">
        <w:rPr>
          <w:rFonts w:asciiTheme="minorHAnsi" w:hAnsiTheme="minorHAnsi" w:cstheme="minorHAnsi"/>
        </w:rPr>
        <w:t>storey</w:t>
      </w:r>
      <w:proofErr w:type="spellEnd"/>
      <w:r w:rsidRPr="008D2EC3">
        <w:rPr>
          <w:rFonts w:asciiTheme="minorHAnsi" w:hAnsiTheme="minorHAnsi" w:cstheme="minorHAnsi"/>
        </w:rPr>
        <w:t xml:space="preserve"> development. </w:t>
      </w:r>
      <w:proofErr w:type="gramStart"/>
      <w:r w:rsidRPr="008D2EC3">
        <w:rPr>
          <w:rFonts w:asciiTheme="minorHAnsi" w:hAnsiTheme="minorHAnsi" w:cstheme="minorHAnsi"/>
        </w:rPr>
        <w:t>Overall</w:t>
      </w:r>
      <w:proofErr w:type="gramEnd"/>
      <w:r w:rsidRPr="008D2EC3">
        <w:rPr>
          <w:rFonts w:asciiTheme="minorHAnsi" w:hAnsiTheme="minorHAnsi" w:cstheme="minorHAnsi"/>
        </w:rPr>
        <w:t xml:space="preserve"> the George Street streetscape possesses a high level of visual</w:t>
      </w:r>
      <w:r w:rsidRPr="008D2EC3">
        <w:rPr>
          <w:rFonts w:asciiTheme="minorHAnsi" w:hAnsiTheme="minorHAnsi" w:cstheme="minorHAnsi"/>
          <w:spacing w:val="-25"/>
        </w:rPr>
        <w:t xml:space="preserve"> </w:t>
      </w:r>
      <w:r w:rsidRPr="008D2EC3">
        <w:rPr>
          <w:rFonts w:asciiTheme="minorHAnsi" w:hAnsiTheme="minorHAnsi" w:cstheme="minorHAnsi"/>
        </w:rPr>
        <w:t>coherence.</w:t>
      </w:r>
    </w:p>
    <w:p w14:paraId="2E859A91" w14:textId="77777777" w:rsidR="00665A13" w:rsidRPr="008D2EC3" w:rsidRDefault="00665A13" w:rsidP="008D2EC3">
      <w:pPr>
        <w:spacing w:after="0"/>
        <w:rPr>
          <w:b/>
        </w:rPr>
      </w:pPr>
      <w:bookmarkStart w:id="551" w:name="_TOC_250014"/>
      <w:bookmarkEnd w:id="551"/>
      <w:r w:rsidRPr="008D2EC3">
        <w:rPr>
          <w:b/>
        </w:rPr>
        <w:t>Key Features and Elements</w:t>
      </w:r>
    </w:p>
    <w:p w14:paraId="56876CAA" w14:textId="77777777" w:rsidR="00665A13" w:rsidRPr="008D2EC3" w:rsidRDefault="00665A13" w:rsidP="008D2EC3">
      <w:pPr>
        <w:pStyle w:val="BodyText"/>
        <w:spacing w:line="268" w:lineRule="exact"/>
        <w:ind w:left="0"/>
        <w:rPr>
          <w:rFonts w:asciiTheme="minorHAnsi" w:hAnsiTheme="minorHAnsi" w:cstheme="minorHAnsi"/>
        </w:rPr>
      </w:pPr>
      <w:r w:rsidRPr="008D2EC3">
        <w:rPr>
          <w:rFonts w:asciiTheme="minorHAnsi" w:hAnsiTheme="minorHAnsi" w:cstheme="minorHAnsi"/>
        </w:rPr>
        <w:t>Key features of the George Street Heritage Area include:</w:t>
      </w:r>
    </w:p>
    <w:p w14:paraId="2460943F" w14:textId="77777777" w:rsidR="00665A13" w:rsidRDefault="00665A13" w:rsidP="00665A13">
      <w:pPr>
        <w:spacing w:line="268" w:lineRule="exact"/>
        <w:sectPr w:rsidR="00665A13">
          <w:pgSz w:w="11910" w:h="16840"/>
          <w:pgMar w:top="1240" w:right="980" w:bottom="1200" w:left="1320" w:header="0" w:footer="1002" w:gutter="0"/>
          <w:cols w:space="720"/>
        </w:sectPr>
      </w:pPr>
    </w:p>
    <w:p w14:paraId="2823EA3D" w14:textId="77777777" w:rsidR="00665A13" w:rsidRDefault="00665A13" w:rsidP="002A3889">
      <w:pPr>
        <w:pStyle w:val="ListParagraph"/>
        <w:widowControl w:val="0"/>
        <w:numPr>
          <w:ilvl w:val="0"/>
          <w:numId w:val="418"/>
        </w:numPr>
        <w:tabs>
          <w:tab w:val="left" w:pos="479"/>
          <w:tab w:val="left" w:pos="480"/>
        </w:tabs>
        <w:autoSpaceDE w:val="0"/>
        <w:autoSpaceDN w:val="0"/>
        <w:spacing w:before="1" w:after="0" w:line="240" w:lineRule="auto"/>
        <w:contextualSpacing w:val="0"/>
      </w:pPr>
      <w:r>
        <w:t>places consistently address the</w:t>
      </w:r>
      <w:r>
        <w:rPr>
          <w:spacing w:val="-7"/>
        </w:rPr>
        <w:t xml:space="preserve"> </w:t>
      </w:r>
      <w:r>
        <w:t>street</w:t>
      </w:r>
    </w:p>
    <w:p w14:paraId="04DDE63A" w14:textId="77777777" w:rsidR="00665A13" w:rsidRDefault="00665A13" w:rsidP="002A3889">
      <w:pPr>
        <w:pStyle w:val="ListParagraph"/>
        <w:widowControl w:val="0"/>
        <w:numPr>
          <w:ilvl w:val="0"/>
          <w:numId w:val="418"/>
        </w:numPr>
        <w:tabs>
          <w:tab w:val="left" w:pos="479"/>
          <w:tab w:val="left" w:pos="480"/>
        </w:tabs>
        <w:autoSpaceDE w:val="0"/>
        <w:autoSpaceDN w:val="0"/>
        <w:spacing w:after="0" w:line="279" w:lineRule="exact"/>
        <w:contextualSpacing w:val="0"/>
      </w:pPr>
      <w:r>
        <w:t>corner</w:t>
      </w:r>
      <w:r>
        <w:rPr>
          <w:spacing w:val="-3"/>
        </w:rPr>
        <w:t xml:space="preserve"> </w:t>
      </w:r>
      <w:r>
        <w:t>shops/</w:t>
      </w:r>
      <w:proofErr w:type="gramStart"/>
      <w:r>
        <w:t>residences;</w:t>
      </w:r>
      <w:proofErr w:type="gramEnd"/>
    </w:p>
    <w:p w14:paraId="4FD5FE29" w14:textId="77777777" w:rsidR="00665A13" w:rsidRDefault="00665A13" w:rsidP="002A3889">
      <w:pPr>
        <w:pStyle w:val="ListParagraph"/>
        <w:widowControl w:val="0"/>
        <w:numPr>
          <w:ilvl w:val="0"/>
          <w:numId w:val="418"/>
        </w:numPr>
        <w:tabs>
          <w:tab w:val="left" w:pos="479"/>
          <w:tab w:val="left" w:pos="480"/>
          <w:tab w:val="left" w:pos="1313"/>
          <w:tab w:val="left" w:pos="1902"/>
          <w:tab w:val="left" w:pos="2370"/>
          <w:tab w:val="left" w:pos="3700"/>
        </w:tabs>
        <w:autoSpaceDE w:val="0"/>
        <w:autoSpaceDN w:val="0"/>
        <w:spacing w:after="0" w:line="240" w:lineRule="auto"/>
        <w:ind w:right="40"/>
        <w:contextualSpacing w:val="0"/>
      </w:pPr>
      <w:r>
        <w:t>mixed</w:t>
      </w:r>
      <w:r>
        <w:tab/>
        <w:t>use</w:t>
      </w:r>
      <w:r>
        <w:tab/>
        <w:t>of</w:t>
      </w:r>
      <w:r>
        <w:tab/>
        <w:t>commercial</w:t>
      </w:r>
      <w:r>
        <w:tab/>
      </w:r>
      <w:r>
        <w:rPr>
          <w:spacing w:val="-7"/>
        </w:rPr>
        <w:t xml:space="preserve">and </w:t>
      </w:r>
      <w:proofErr w:type="gramStart"/>
      <w:r>
        <w:t>residential;</w:t>
      </w:r>
      <w:proofErr w:type="gramEnd"/>
    </w:p>
    <w:p w14:paraId="5F84427C" w14:textId="77777777" w:rsidR="00665A13" w:rsidRDefault="00665A13" w:rsidP="002A3889">
      <w:pPr>
        <w:pStyle w:val="ListParagraph"/>
        <w:widowControl w:val="0"/>
        <w:numPr>
          <w:ilvl w:val="0"/>
          <w:numId w:val="418"/>
        </w:numPr>
        <w:tabs>
          <w:tab w:val="left" w:pos="479"/>
          <w:tab w:val="left" w:pos="480"/>
        </w:tabs>
        <w:autoSpaceDE w:val="0"/>
        <w:autoSpaceDN w:val="0"/>
        <w:spacing w:after="0" w:line="240" w:lineRule="auto"/>
        <w:contextualSpacing w:val="0"/>
      </w:pPr>
      <w:r>
        <w:t>masonry</w:t>
      </w:r>
      <w:r>
        <w:rPr>
          <w:spacing w:val="-3"/>
        </w:rPr>
        <w:t xml:space="preserve"> </w:t>
      </w:r>
      <w:proofErr w:type="gramStart"/>
      <w:r>
        <w:t>construction;</w:t>
      </w:r>
      <w:proofErr w:type="gramEnd"/>
    </w:p>
    <w:p w14:paraId="6FF775D9" w14:textId="77777777" w:rsidR="00665A13" w:rsidRDefault="00665A13" w:rsidP="002A3889">
      <w:pPr>
        <w:pStyle w:val="ListParagraph"/>
        <w:widowControl w:val="0"/>
        <w:numPr>
          <w:ilvl w:val="0"/>
          <w:numId w:val="418"/>
        </w:numPr>
        <w:tabs>
          <w:tab w:val="left" w:pos="479"/>
          <w:tab w:val="left" w:pos="480"/>
        </w:tabs>
        <w:autoSpaceDE w:val="0"/>
        <w:autoSpaceDN w:val="0"/>
        <w:spacing w:before="1" w:after="0" w:line="240" w:lineRule="auto"/>
        <w:contextualSpacing w:val="0"/>
      </w:pPr>
      <w:r>
        <w:t>street</w:t>
      </w:r>
      <w:r>
        <w:rPr>
          <w:spacing w:val="-2"/>
        </w:rPr>
        <w:t xml:space="preserve"> </w:t>
      </w:r>
      <w:proofErr w:type="gramStart"/>
      <w:r>
        <w:t>trees;</w:t>
      </w:r>
      <w:proofErr w:type="gramEnd"/>
    </w:p>
    <w:p w14:paraId="0370E7C4" w14:textId="77777777" w:rsidR="00665A13" w:rsidRDefault="00665A13" w:rsidP="002A3889">
      <w:pPr>
        <w:pStyle w:val="ListParagraph"/>
        <w:widowControl w:val="0"/>
        <w:numPr>
          <w:ilvl w:val="0"/>
          <w:numId w:val="418"/>
        </w:numPr>
        <w:tabs>
          <w:tab w:val="left" w:pos="480"/>
        </w:tabs>
        <w:autoSpaceDE w:val="0"/>
        <w:autoSpaceDN w:val="0"/>
        <w:spacing w:after="0" w:line="240" w:lineRule="auto"/>
        <w:ind w:right="38"/>
        <w:contextualSpacing w:val="0"/>
        <w:jc w:val="both"/>
      </w:pPr>
      <w:r>
        <w:t xml:space="preserve">Federation Free Classical Architecture </w:t>
      </w:r>
      <w:proofErr w:type="gramStart"/>
      <w:r>
        <w:t>style;</w:t>
      </w:r>
      <w:proofErr w:type="gramEnd"/>
    </w:p>
    <w:p w14:paraId="1D780D44" w14:textId="77777777" w:rsidR="00665A13" w:rsidRDefault="00665A13" w:rsidP="002A3889">
      <w:pPr>
        <w:pStyle w:val="ListParagraph"/>
        <w:widowControl w:val="0"/>
        <w:numPr>
          <w:ilvl w:val="0"/>
          <w:numId w:val="418"/>
        </w:numPr>
        <w:tabs>
          <w:tab w:val="left" w:pos="480"/>
        </w:tabs>
        <w:autoSpaceDE w:val="0"/>
        <w:autoSpaceDN w:val="0"/>
        <w:spacing w:after="0" w:line="240" w:lineRule="auto"/>
        <w:ind w:right="38"/>
        <w:contextualSpacing w:val="0"/>
        <w:jc w:val="both"/>
      </w:pPr>
      <w:r>
        <w:t>articulated facades including</w:t>
      </w:r>
      <w:r>
        <w:rPr>
          <w:spacing w:val="-20"/>
        </w:rPr>
        <w:t xml:space="preserve"> </w:t>
      </w:r>
      <w:r>
        <w:t xml:space="preserve">decorative parapets, recessed entries, decorative </w:t>
      </w:r>
      <w:proofErr w:type="gramStart"/>
      <w:r>
        <w:t>motifs;</w:t>
      </w:r>
      <w:proofErr w:type="gramEnd"/>
    </w:p>
    <w:p w14:paraId="21A1B2FC" w14:textId="77777777" w:rsidR="00665A13" w:rsidRDefault="00665A13" w:rsidP="002A3889">
      <w:pPr>
        <w:pStyle w:val="ListParagraph"/>
        <w:widowControl w:val="0"/>
        <w:numPr>
          <w:ilvl w:val="0"/>
          <w:numId w:val="418"/>
        </w:numPr>
        <w:tabs>
          <w:tab w:val="left" w:pos="480"/>
        </w:tabs>
        <w:autoSpaceDE w:val="0"/>
        <w:autoSpaceDN w:val="0"/>
        <w:spacing w:after="0" w:line="240" w:lineRule="auto"/>
        <w:contextualSpacing w:val="0"/>
        <w:jc w:val="both"/>
      </w:pPr>
      <w:r w:rsidRPr="00EB6918">
        <w:t>mostly on</w:t>
      </w:r>
      <w:r>
        <w:t xml:space="preserve">e to two </w:t>
      </w:r>
      <w:proofErr w:type="gramStart"/>
      <w:r>
        <w:t>storey</w:t>
      </w:r>
      <w:proofErr w:type="gramEnd"/>
      <w:r>
        <w:t xml:space="preserve"> building</w:t>
      </w:r>
      <w:r>
        <w:rPr>
          <w:spacing w:val="-21"/>
        </w:rPr>
        <w:t xml:space="preserve"> </w:t>
      </w:r>
      <w:r>
        <w:t>scale;</w:t>
      </w:r>
    </w:p>
    <w:p w14:paraId="535C39C0" w14:textId="77777777" w:rsidR="00665A13" w:rsidRDefault="00665A13" w:rsidP="002A3889">
      <w:pPr>
        <w:pStyle w:val="ListParagraph"/>
        <w:widowControl w:val="0"/>
        <w:numPr>
          <w:ilvl w:val="0"/>
          <w:numId w:val="418"/>
        </w:numPr>
        <w:tabs>
          <w:tab w:val="left" w:pos="480"/>
        </w:tabs>
        <w:autoSpaceDE w:val="0"/>
        <w:autoSpaceDN w:val="0"/>
        <w:spacing w:after="0" w:line="240" w:lineRule="auto"/>
        <w:ind w:right="38"/>
        <w:contextualSpacing w:val="0"/>
        <w:jc w:val="both"/>
      </w:pPr>
      <w:r>
        <w:t>facade arrangements with prominent vertical elements and multiples of vertical</w:t>
      </w:r>
      <w:r>
        <w:rPr>
          <w:spacing w:val="-2"/>
        </w:rPr>
        <w:t xml:space="preserve"> </w:t>
      </w:r>
      <w:proofErr w:type="gramStart"/>
      <w:r>
        <w:t>elements;</w:t>
      </w:r>
      <w:proofErr w:type="gramEnd"/>
    </w:p>
    <w:p w14:paraId="14204A2D" w14:textId="77777777" w:rsidR="00665A13" w:rsidRDefault="00665A13" w:rsidP="002A3889">
      <w:pPr>
        <w:pStyle w:val="ListParagraph"/>
        <w:widowControl w:val="0"/>
        <w:numPr>
          <w:ilvl w:val="0"/>
          <w:numId w:val="418"/>
        </w:numPr>
        <w:tabs>
          <w:tab w:val="left" w:pos="479"/>
          <w:tab w:val="left" w:pos="480"/>
        </w:tabs>
        <w:autoSpaceDE w:val="0"/>
        <w:autoSpaceDN w:val="0"/>
        <w:spacing w:before="1" w:after="0" w:line="240" w:lineRule="auto"/>
        <w:contextualSpacing w:val="0"/>
      </w:pPr>
      <w:r>
        <w:rPr>
          <w:spacing w:val="-1"/>
        </w:rPr>
        <w:br w:type="column"/>
      </w:r>
      <w:r>
        <w:t>shallow/zero front</w:t>
      </w:r>
      <w:r>
        <w:rPr>
          <w:spacing w:val="-2"/>
        </w:rPr>
        <w:t xml:space="preserve"> </w:t>
      </w:r>
      <w:proofErr w:type="gramStart"/>
      <w:r>
        <w:t>setbacks;</w:t>
      </w:r>
      <w:proofErr w:type="gramEnd"/>
    </w:p>
    <w:p w14:paraId="35CA6881" w14:textId="77777777" w:rsidR="00665A13" w:rsidRDefault="00665A13" w:rsidP="002A3889">
      <w:pPr>
        <w:pStyle w:val="ListParagraph"/>
        <w:widowControl w:val="0"/>
        <w:numPr>
          <w:ilvl w:val="0"/>
          <w:numId w:val="418"/>
        </w:numPr>
        <w:tabs>
          <w:tab w:val="left" w:pos="479"/>
          <w:tab w:val="left" w:pos="480"/>
        </w:tabs>
        <w:autoSpaceDE w:val="0"/>
        <w:autoSpaceDN w:val="0"/>
        <w:spacing w:after="0" w:line="279" w:lineRule="exact"/>
        <w:contextualSpacing w:val="0"/>
      </w:pPr>
      <w:r>
        <w:t>timber framed</w:t>
      </w:r>
      <w:r>
        <w:rPr>
          <w:spacing w:val="-6"/>
        </w:rPr>
        <w:t xml:space="preserve"> </w:t>
      </w:r>
      <w:proofErr w:type="spellStart"/>
      <w:proofErr w:type="gramStart"/>
      <w:r>
        <w:t>verandahs</w:t>
      </w:r>
      <w:proofErr w:type="spellEnd"/>
      <w:r>
        <w:t>;</w:t>
      </w:r>
      <w:proofErr w:type="gramEnd"/>
    </w:p>
    <w:p w14:paraId="3117F3A2" w14:textId="77777777" w:rsidR="00665A13" w:rsidRDefault="00665A13" w:rsidP="002A3889">
      <w:pPr>
        <w:pStyle w:val="ListParagraph"/>
        <w:widowControl w:val="0"/>
        <w:numPr>
          <w:ilvl w:val="0"/>
          <w:numId w:val="418"/>
        </w:numPr>
        <w:tabs>
          <w:tab w:val="left" w:pos="479"/>
          <w:tab w:val="left" w:pos="480"/>
        </w:tabs>
        <w:autoSpaceDE w:val="0"/>
        <w:autoSpaceDN w:val="0"/>
        <w:spacing w:after="0" w:line="240" w:lineRule="auto"/>
        <w:ind w:right="694"/>
        <w:contextualSpacing w:val="0"/>
      </w:pPr>
      <w:r>
        <w:t>continuous</w:t>
      </w:r>
      <w:r>
        <w:rPr>
          <w:spacing w:val="-13"/>
        </w:rPr>
        <w:t xml:space="preserve"> </w:t>
      </w:r>
      <w:r>
        <w:t>awnings</w:t>
      </w:r>
      <w:r>
        <w:rPr>
          <w:spacing w:val="-13"/>
        </w:rPr>
        <w:t xml:space="preserve"> </w:t>
      </w:r>
      <w:r>
        <w:t>in</w:t>
      </w:r>
      <w:r>
        <w:rPr>
          <w:spacing w:val="-15"/>
        </w:rPr>
        <w:t xml:space="preserve"> </w:t>
      </w:r>
      <w:r>
        <w:t>some</w:t>
      </w:r>
      <w:r>
        <w:rPr>
          <w:spacing w:val="-12"/>
        </w:rPr>
        <w:t xml:space="preserve"> </w:t>
      </w:r>
      <w:r>
        <w:t>parts</w:t>
      </w:r>
      <w:r>
        <w:rPr>
          <w:spacing w:val="-14"/>
        </w:rPr>
        <w:t xml:space="preserve"> </w:t>
      </w:r>
      <w:r>
        <w:t>of</w:t>
      </w:r>
      <w:r>
        <w:rPr>
          <w:spacing w:val="-18"/>
        </w:rPr>
        <w:t xml:space="preserve"> </w:t>
      </w:r>
      <w:r>
        <w:t xml:space="preserve">the </w:t>
      </w:r>
      <w:proofErr w:type="gramStart"/>
      <w:r>
        <w:t>street;</w:t>
      </w:r>
      <w:proofErr w:type="gramEnd"/>
    </w:p>
    <w:p w14:paraId="7EEA4E5C" w14:textId="77777777" w:rsidR="00665A13" w:rsidRDefault="00665A13" w:rsidP="002A3889">
      <w:pPr>
        <w:pStyle w:val="ListParagraph"/>
        <w:widowControl w:val="0"/>
        <w:numPr>
          <w:ilvl w:val="0"/>
          <w:numId w:val="418"/>
        </w:numPr>
        <w:tabs>
          <w:tab w:val="left" w:pos="479"/>
          <w:tab w:val="left" w:pos="480"/>
        </w:tabs>
        <w:autoSpaceDE w:val="0"/>
        <w:autoSpaceDN w:val="0"/>
        <w:spacing w:after="0" w:line="240" w:lineRule="auto"/>
        <w:contextualSpacing w:val="0"/>
      </w:pPr>
      <w:r>
        <w:t>ornate parapet</w:t>
      </w:r>
      <w:r>
        <w:rPr>
          <w:spacing w:val="-5"/>
        </w:rPr>
        <w:t xml:space="preserve"> </w:t>
      </w:r>
      <w:proofErr w:type="gramStart"/>
      <w:r>
        <w:t>walls;</w:t>
      </w:r>
      <w:proofErr w:type="gramEnd"/>
    </w:p>
    <w:p w14:paraId="7DCD2EAE" w14:textId="77777777" w:rsidR="00665A13" w:rsidRDefault="00665A13" w:rsidP="002A3889">
      <w:pPr>
        <w:pStyle w:val="ListParagraph"/>
        <w:widowControl w:val="0"/>
        <w:numPr>
          <w:ilvl w:val="0"/>
          <w:numId w:val="418"/>
        </w:numPr>
        <w:tabs>
          <w:tab w:val="left" w:pos="479"/>
          <w:tab w:val="left" w:pos="480"/>
        </w:tabs>
        <w:autoSpaceDE w:val="0"/>
        <w:autoSpaceDN w:val="0"/>
        <w:spacing w:before="1" w:after="0" w:line="240" w:lineRule="auto"/>
        <w:ind w:right="694"/>
        <w:contextualSpacing w:val="0"/>
      </w:pPr>
      <w:r>
        <w:t>simple skillion and hipped roof forms (often concealed by</w:t>
      </w:r>
      <w:r>
        <w:rPr>
          <w:spacing w:val="-6"/>
        </w:rPr>
        <w:t xml:space="preserve"> </w:t>
      </w:r>
      <w:r>
        <w:t>parapets</w:t>
      </w:r>
      <w:proofErr w:type="gramStart"/>
      <w:r>
        <w:t>);</w:t>
      </w:r>
      <w:proofErr w:type="gramEnd"/>
    </w:p>
    <w:p w14:paraId="4384D4CD" w14:textId="77777777" w:rsidR="00665A13" w:rsidRDefault="00665A13" w:rsidP="002A3889">
      <w:pPr>
        <w:pStyle w:val="ListParagraph"/>
        <w:widowControl w:val="0"/>
        <w:numPr>
          <w:ilvl w:val="0"/>
          <w:numId w:val="418"/>
        </w:numPr>
        <w:tabs>
          <w:tab w:val="left" w:pos="479"/>
          <w:tab w:val="left" w:pos="480"/>
        </w:tabs>
        <w:autoSpaceDE w:val="0"/>
        <w:autoSpaceDN w:val="0"/>
        <w:spacing w:before="1" w:after="0" w:line="279" w:lineRule="exact"/>
        <w:contextualSpacing w:val="0"/>
      </w:pPr>
      <w:r>
        <w:t>corrugated iron</w:t>
      </w:r>
      <w:r>
        <w:rPr>
          <w:spacing w:val="-7"/>
        </w:rPr>
        <w:t xml:space="preserve"> </w:t>
      </w:r>
      <w:proofErr w:type="gramStart"/>
      <w:r>
        <w:t>roofs;</w:t>
      </w:r>
      <w:proofErr w:type="gramEnd"/>
    </w:p>
    <w:p w14:paraId="59E4A599" w14:textId="77777777" w:rsidR="00665A13" w:rsidRDefault="00665A13" w:rsidP="002A3889">
      <w:pPr>
        <w:pStyle w:val="ListParagraph"/>
        <w:widowControl w:val="0"/>
        <w:numPr>
          <w:ilvl w:val="0"/>
          <w:numId w:val="418"/>
        </w:numPr>
        <w:tabs>
          <w:tab w:val="left" w:pos="479"/>
          <w:tab w:val="left" w:pos="480"/>
          <w:tab w:val="left" w:pos="1606"/>
          <w:tab w:val="left" w:pos="2257"/>
          <w:tab w:val="left" w:pos="3321"/>
        </w:tabs>
        <w:autoSpaceDE w:val="0"/>
        <w:autoSpaceDN w:val="0"/>
        <w:spacing w:after="0" w:line="240" w:lineRule="auto"/>
        <w:ind w:right="693"/>
        <w:contextualSpacing w:val="0"/>
      </w:pPr>
      <w:r>
        <w:t>consistent</w:t>
      </w:r>
      <w:r>
        <w:tab/>
        <w:t>front</w:t>
      </w:r>
      <w:r>
        <w:tab/>
        <w:t>boundary</w:t>
      </w:r>
      <w:r>
        <w:tab/>
      </w:r>
      <w:r>
        <w:rPr>
          <w:spacing w:val="-4"/>
        </w:rPr>
        <w:t xml:space="preserve">building </w:t>
      </w:r>
      <w:proofErr w:type="gramStart"/>
      <w:r>
        <w:t>alignments;</w:t>
      </w:r>
      <w:proofErr w:type="gramEnd"/>
    </w:p>
    <w:p w14:paraId="33B1B25A" w14:textId="77777777" w:rsidR="00665A13" w:rsidRDefault="00665A13" w:rsidP="002A3889">
      <w:pPr>
        <w:pStyle w:val="ListParagraph"/>
        <w:widowControl w:val="0"/>
        <w:numPr>
          <w:ilvl w:val="0"/>
          <w:numId w:val="418"/>
        </w:numPr>
        <w:tabs>
          <w:tab w:val="left" w:pos="479"/>
          <w:tab w:val="left" w:pos="480"/>
        </w:tabs>
        <w:autoSpaceDE w:val="0"/>
        <w:autoSpaceDN w:val="0"/>
        <w:spacing w:after="0" w:line="240" w:lineRule="auto"/>
        <w:contextualSpacing w:val="0"/>
      </w:pPr>
      <w:r>
        <w:t>parallel kerbside street</w:t>
      </w:r>
      <w:r>
        <w:rPr>
          <w:spacing w:val="-6"/>
        </w:rPr>
        <w:t xml:space="preserve"> </w:t>
      </w:r>
      <w:proofErr w:type="gramStart"/>
      <w:r>
        <w:t>parking;</w:t>
      </w:r>
      <w:proofErr w:type="gramEnd"/>
    </w:p>
    <w:p w14:paraId="43140362" w14:textId="77777777" w:rsidR="00665A13" w:rsidRDefault="00665A13" w:rsidP="002A3889">
      <w:pPr>
        <w:pStyle w:val="ListParagraph"/>
        <w:widowControl w:val="0"/>
        <w:numPr>
          <w:ilvl w:val="0"/>
          <w:numId w:val="418"/>
        </w:numPr>
        <w:tabs>
          <w:tab w:val="left" w:pos="479"/>
          <w:tab w:val="left" w:pos="480"/>
        </w:tabs>
        <w:autoSpaceDE w:val="0"/>
        <w:autoSpaceDN w:val="0"/>
        <w:spacing w:after="0" w:line="240" w:lineRule="auto"/>
        <w:contextualSpacing w:val="0"/>
      </w:pPr>
      <w:r>
        <w:t>narrow</w:t>
      </w:r>
      <w:r>
        <w:rPr>
          <w:spacing w:val="-6"/>
        </w:rPr>
        <w:t xml:space="preserve"> </w:t>
      </w:r>
      <w:proofErr w:type="gramStart"/>
      <w:r>
        <w:t>carriageway;</w:t>
      </w:r>
      <w:proofErr w:type="gramEnd"/>
    </w:p>
    <w:p w14:paraId="71D29486" w14:textId="77777777" w:rsidR="00665A13" w:rsidRDefault="00665A13" w:rsidP="002A3889">
      <w:pPr>
        <w:pStyle w:val="ListParagraph"/>
        <w:widowControl w:val="0"/>
        <w:numPr>
          <w:ilvl w:val="0"/>
          <w:numId w:val="418"/>
        </w:numPr>
        <w:tabs>
          <w:tab w:val="left" w:pos="479"/>
          <w:tab w:val="left" w:pos="480"/>
        </w:tabs>
        <w:autoSpaceDE w:val="0"/>
        <w:autoSpaceDN w:val="0"/>
        <w:spacing w:before="1" w:after="0" w:line="279" w:lineRule="exact"/>
        <w:contextualSpacing w:val="0"/>
      </w:pPr>
      <w:r>
        <w:t>narrow lot sizes;</w:t>
      </w:r>
      <w:r>
        <w:rPr>
          <w:spacing w:val="-7"/>
        </w:rPr>
        <w:t xml:space="preserve"> </w:t>
      </w:r>
      <w:r>
        <w:t>and</w:t>
      </w:r>
    </w:p>
    <w:p w14:paraId="3698D549" w14:textId="77777777" w:rsidR="00665A13" w:rsidRDefault="00665A13" w:rsidP="002A3889">
      <w:pPr>
        <w:pStyle w:val="ListParagraph"/>
        <w:widowControl w:val="0"/>
        <w:numPr>
          <w:ilvl w:val="0"/>
          <w:numId w:val="418"/>
        </w:numPr>
        <w:tabs>
          <w:tab w:val="left" w:pos="479"/>
          <w:tab w:val="left" w:pos="480"/>
        </w:tabs>
        <w:autoSpaceDE w:val="0"/>
        <w:autoSpaceDN w:val="0"/>
        <w:spacing w:after="0" w:line="279" w:lineRule="exact"/>
        <w:contextualSpacing w:val="0"/>
      </w:pPr>
      <w:r>
        <w:t>large windows to shop</w:t>
      </w:r>
      <w:r>
        <w:rPr>
          <w:spacing w:val="-5"/>
        </w:rPr>
        <w:t xml:space="preserve"> </w:t>
      </w:r>
      <w:r>
        <w:t>fronts.</w:t>
      </w:r>
    </w:p>
    <w:p w14:paraId="203B2E0F" w14:textId="77777777" w:rsidR="00665A13" w:rsidRDefault="00665A13" w:rsidP="00665A13">
      <w:pPr>
        <w:spacing w:line="279" w:lineRule="exact"/>
        <w:sectPr w:rsidR="00665A13">
          <w:type w:val="continuous"/>
          <w:pgSz w:w="11910" w:h="16840"/>
          <w:pgMar w:top="1580" w:right="980" w:bottom="280" w:left="1320" w:header="720" w:footer="720" w:gutter="0"/>
          <w:cols w:num="2" w:space="720" w:equalWidth="0">
            <w:col w:w="4080" w:space="795"/>
            <w:col w:w="4735"/>
          </w:cols>
        </w:sectPr>
      </w:pPr>
    </w:p>
    <w:p w14:paraId="1962B571" w14:textId="77777777" w:rsidR="00665A13" w:rsidRDefault="00665A13" w:rsidP="00665A13">
      <w:pPr>
        <w:pStyle w:val="BodyText"/>
        <w:spacing w:before="4"/>
        <w:rPr>
          <w:sz w:val="17"/>
        </w:rPr>
      </w:pPr>
    </w:p>
    <w:p w14:paraId="7AD7682B" w14:textId="77777777" w:rsidR="00665A13" w:rsidRPr="008D2EC3" w:rsidRDefault="00665A13" w:rsidP="008D2EC3">
      <w:pPr>
        <w:spacing w:after="0"/>
        <w:rPr>
          <w:b/>
        </w:rPr>
      </w:pPr>
      <w:bookmarkStart w:id="552" w:name="_TOC_250013"/>
      <w:bookmarkEnd w:id="552"/>
      <w:r w:rsidRPr="008D2EC3">
        <w:rPr>
          <w:b/>
        </w:rPr>
        <w:t>Contributory Buildings and Places</w:t>
      </w:r>
    </w:p>
    <w:p w14:paraId="34C43BB3"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The Town of East Fremantle MHI Review 2015 determined the level of contribution of each building to the overall significance of the George Street Heritage Area.</w:t>
      </w:r>
    </w:p>
    <w:p w14:paraId="67330217"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For</w:t>
      </w:r>
      <w:r w:rsidRPr="008D2EC3">
        <w:rPr>
          <w:rFonts w:asciiTheme="minorHAnsi" w:hAnsiTheme="minorHAnsi" w:cstheme="minorHAnsi"/>
          <w:spacing w:val="-11"/>
        </w:rPr>
        <w:t xml:space="preserve"> </w:t>
      </w:r>
      <w:r w:rsidRPr="008D2EC3">
        <w:rPr>
          <w:rFonts w:asciiTheme="minorHAnsi" w:hAnsiTheme="minorHAnsi" w:cstheme="minorHAnsi"/>
        </w:rPr>
        <w:t>the</w:t>
      </w:r>
      <w:r w:rsidRPr="008D2EC3">
        <w:rPr>
          <w:rFonts w:asciiTheme="minorHAnsi" w:hAnsiTheme="minorHAnsi" w:cstheme="minorHAnsi"/>
          <w:spacing w:val="-10"/>
        </w:rPr>
        <w:t xml:space="preserve"> </w:t>
      </w:r>
      <w:r w:rsidRPr="008D2EC3">
        <w:rPr>
          <w:rFonts w:asciiTheme="minorHAnsi" w:hAnsiTheme="minorHAnsi" w:cstheme="minorHAnsi"/>
        </w:rPr>
        <w:t>purposes</w:t>
      </w:r>
      <w:r w:rsidRPr="008D2EC3">
        <w:rPr>
          <w:rFonts w:asciiTheme="minorHAnsi" w:hAnsiTheme="minorHAnsi" w:cstheme="minorHAnsi"/>
          <w:spacing w:val="-16"/>
        </w:rPr>
        <w:t xml:space="preserve"> </w:t>
      </w:r>
      <w:r w:rsidRPr="008D2EC3">
        <w:rPr>
          <w:rFonts w:asciiTheme="minorHAnsi" w:hAnsiTheme="minorHAnsi" w:cstheme="minorHAnsi"/>
        </w:rPr>
        <w:t>of</w:t>
      </w:r>
      <w:r w:rsidRPr="008D2EC3">
        <w:rPr>
          <w:rFonts w:asciiTheme="minorHAnsi" w:hAnsiTheme="minorHAnsi" w:cstheme="minorHAnsi"/>
          <w:spacing w:val="-14"/>
        </w:rPr>
        <w:t xml:space="preserve"> </w:t>
      </w:r>
      <w:r w:rsidRPr="008D2EC3">
        <w:rPr>
          <w:rFonts w:asciiTheme="minorHAnsi" w:hAnsiTheme="minorHAnsi" w:cstheme="minorHAnsi"/>
        </w:rPr>
        <w:t>this</w:t>
      </w:r>
      <w:r w:rsidRPr="008D2EC3">
        <w:rPr>
          <w:rFonts w:asciiTheme="minorHAnsi" w:hAnsiTheme="minorHAnsi" w:cstheme="minorHAnsi"/>
          <w:spacing w:val="-13"/>
        </w:rPr>
        <w:t xml:space="preserve"> </w:t>
      </w:r>
      <w:r w:rsidRPr="008D2EC3">
        <w:rPr>
          <w:rFonts w:asciiTheme="minorHAnsi" w:hAnsiTheme="minorHAnsi" w:cstheme="minorHAnsi"/>
        </w:rPr>
        <w:t>local</w:t>
      </w:r>
      <w:r w:rsidRPr="008D2EC3">
        <w:rPr>
          <w:rFonts w:asciiTheme="minorHAnsi" w:hAnsiTheme="minorHAnsi" w:cstheme="minorHAnsi"/>
          <w:spacing w:val="-11"/>
        </w:rPr>
        <w:t xml:space="preserve"> </w:t>
      </w:r>
      <w:r w:rsidRPr="008D2EC3">
        <w:rPr>
          <w:rFonts w:asciiTheme="minorHAnsi" w:hAnsiTheme="minorHAnsi" w:cstheme="minorHAnsi"/>
        </w:rPr>
        <w:t>planning</w:t>
      </w:r>
      <w:r w:rsidRPr="008D2EC3">
        <w:rPr>
          <w:rFonts w:asciiTheme="minorHAnsi" w:hAnsiTheme="minorHAnsi" w:cstheme="minorHAnsi"/>
          <w:spacing w:val="-12"/>
        </w:rPr>
        <w:t xml:space="preserve"> </w:t>
      </w:r>
      <w:r w:rsidRPr="008D2EC3">
        <w:rPr>
          <w:rFonts w:asciiTheme="minorHAnsi" w:hAnsiTheme="minorHAnsi" w:cstheme="minorHAnsi"/>
        </w:rPr>
        <w:t>policy,</w:t>
      </w:r>
      <w:r w:rsidRPr="008D2EC3">
        <w:rPr>
          <w:rFonts w:asciiTheme="minorHAnsi" w:hAnsiTheme="minorHAnsi" w:cstheme="minorHAnsi"/>
          <w:spacing w:val="-10"/>
        </w:rPr>
        <w:t xml:space="preserve"> </w:t>
      </w:r>
      <w:r w:rsidRPr="008D2EC3">
        <w:rPr>
          <w:rFonts w:asciiTheme="minorHAnsi" w:hAnsiTheme="minorHAnsi" w:cstheme="minorHAnsi"/>
        </w:rPr>
        <w:t>all</w:t>
      </w:r>
      <w:r w:rsidRPr="008D2EC3">
        <w:rPr>
          <w:rFonts w:asciiTheme="minorHAnsi" w:hAnsiTheme="minorHAnsi" w:cstheme="minorHAnsi"/>
          <w:spacing w:val="-11"/>
        </w:rPr>
        <w:t xml:space="preserve"> </w:t>
      </w:r>
      <w:r w:rsidRPr="008D2EC3">
        <w:rPr>
          <w:rFonts w:asciiTheme="minorHAnsi" w:hAnsiTheme="minorHAnsi" w:cstheme="minorHAnsi"/>
        </w:rPr>
        <w:t>buildings</w:t>
      </w:r>
      <w:r w:rsidRPr="008D2EC3">
        <w:rPr>
          <w:rFonts w:asciiTheme="minorHAnsi" w:hAnsiTheme="minorHAnsi" w:cstheme="minorHAnsi"/>
          <w:spacing w:val="-13"/>
        </w:rPr>
        <w:t xml:space="preserve"> </w:t>
      </w:r>
      <w:r w:rsidRPr="008D2EC3">
        <w:rPr>
          <w:rFonts w:asciiTheme="minorHAnsi" w:hAnsiTheme="minorHAnsi" w:cstheme="minorHAnsi"/>
        </w:rPr>
        <w:t>and</w:t>
      </w:r>
      <w:r w:rsidRPr="008D2EC3">
        <w:rPr>
          <w:rFonts w:asciiTheme="minorHAnsi" w:hAnsiTheme="minorHAnsi" w:cstheme="minorHAnsi"/>
          <w:spacing w:val="-12"/>
        </w:rPr>
        <w:t xml:space="preserve"> </w:t>
      </w:r>
      <w:r w:rsidRPr="008D2EC3">
        <w:rPr>
          <w:rFonts w:asciiTheme="minorHAnsi" w:hAnsiTheme="minorHAnsi" w:cstheme="minorHAnsi"/>
        </w:rPr>
        <w:t>places</w:t>
      </w:r>
      <w:r w:rsidRPr="008D2EC3">
        <w:rPr>
          <w:rFonts w:asciiTheme="minorHAnsi" w:hAnsiTheme="minorHAnsi" w:cstheme="minorHAnsi"/>
          <w:spacing w:val="-10"/>
        </w:rPr>
        <w:t xml:space="preserve"> </w:t>
      </w:r>
      <w:r w:rsidRPr="008D2EC3">
        <w:rPr>
          <w:rFonts w:asciiTheme="minorHAnsi" w:hAnsiTheme="minorHAnsi" w:cstheme="minorHAnsi"/>
        </w:rPr>
        <w:t>listed</w:t>
      </w:r>
      <w:r w:rsidRPr="008D2EC3">
        <w:rPr>
          <w:rFonts w:asciiTheme="minorHAnsi" w:hAnsiTheme="minorHAnsi" w:cstheme="minorHAnsi"/>
          <w:spacing w:val="-11"/>
        </w:rPr>
        <w:t xml:space="preserve"> </w:t>
      </w:r>
      <w:r w:rsidRPr="008D2EC3">
        <w:rPr>
          <w:rFonts w:asciiTheme="minorHAnsi" w:hAnsiTheme="minorHAnsi" w:cstheme="minorHAnsi"/>
        </w:rPr>
        <w:t>on</w:t>
      </w:r>
      <w:r w:rsidRPr="008D2EC3">
        <w:rPr>
          <w:rFonts w:asciiTheme="minorHAnsi" w:hAnsiTheme="minorHAnsi" w:cstheme="minorHAnsi"/>
          <w:spacing w:val="-11"/>
        </w:rPr>
        <w:t xml:space="preserve"> </w:t>
      </w:r>
      <w:r w:rsidRPr="008D2EC3">
        <w:rPr>
          <w:rFonts w:asciiTheme="minorHAnsi" w:hAnsiTheme="minorHAnsi" w:cstheme="minorHAnsi"/>
        </w:rPr>
        <w:t>the</w:t>
      </w:r>
      <w:r w:rsidRPr="008D2EC3">
        <w:rPr>
          <w:rFonts w:asciiTheme="minorHAnsi" w:hAnsiTheme="minorHAnsi" w:cstheme="minorHAnsi"/>
          <w:spacing w:val="-14"/>
        </w:rPr>
        <w:t xml:space="preserve"> </w:t>
      </w:r>
      <w:r w:rsidRPr="008D2EC3">
        <w:rPr>
          <w:rFonts w:asciiTheme="minorHAnsi" w:hAnsiTheme="minorHAnsi" w:cstheme="minorHAnsi"/>
        </w:rPr>
        <w:t>MHI</w:t>
      </w:r>
      <w:r w:rsidRPr="008D2EC3">
        <w:rPr>
          <w:rFonts w:asciiTheme="minorHAnsi" w:hAnsiTheme="minorHAnsi" w:cstheme="minorHAnsi"/>
          <w:vertAlign w:val="superscript"/>
        </w:rPr>
        <w:t>1</w:t>
      </w:r>
      <w:r w:rsidRPr="008D2EC3">
        <w:rPr>
          <w:rFonts w:asciiTheme="minorHAnsi" w:hAnsiTheme="minorHAnsi" w:cstheme="minorHAnsi"/>
          <w:spacing w:val="-14"/>
        </w:rPr>
        <w:t xml:space="preserve"> </w:t>
      </w:r>
      <w:r w:rsidRPr="008D2EC3">
        <w:rPr>
          <w:rFonts w:asciiTheme="minorHAnsi" w:hAnsiTheme="minorHAnsi" w:cstheme="minorHAnsi"/>
        </w:rPr>
        <w:t>are</w:t>
      </w:r>
      <w:r w:rsidRPr="008D2EC3">
        <w:rPr>
          <w:rFonts w:asciiTheme="minorHAnsi" w:hAnsiTheme="minorHAnsi" w:cstheme="minorHAnsi"/>
          <w:spacing w:val="-10"/>
        </w:rPr>
        <w:t xml:space="preserve"> </w:t>
      </w:r>
      <w:r w:rsidRPr="008D2EC3">
        <w:rPr>
          <w:rFonts w:asciiTheme="minorHAnsi" w:hAnsiTheme="minorHAnsi" w:cstheme="minorHAnsi"/>
        </w:rPr>
        <w:t>considered contributory</w:t>
      </w:r>
      <w:r w:rsidRPr="008D2EC3">
        <w:rPr>
          <w:rFonts w:asciiTheme="minorHAnsi" w:hAnsiTheme="minorHAnsi" w:cstheme="minorHAnsi"/>
          <w:spacing w:val="-13"/>
        </w:rPr>
        <w:t xml:space="preserve"> </w:t>
      </w:r>
      <w:r w:rsidRPr="008D2EC3">
        <w:rPr>
          <w:rFonts w:asciiTheme="minorHAnsi" w:hAnsiTheme="minorHAnsi" w:cstheme="minorHAnsi"/>
        </w:rPr>
        <w:t>to</w:t>
      </w:r>
      <w:r w:rsidRPr="008D2EC3">
        <w:rPr>
          <w:rFonts w:asciiTheme="minorHAnsi" w:hAnsiTheme="minorHAnsi" w:cstheme="minorHAnsi"/>
          <w:spacing w:val="-12"/>
        </w:rPr>
        <w:t xml:space="preserve"> </w:t>
      </w:r>
      <w:r w:rsidRPr="008D2EC3">
        <w:rPr>
          <w:rFonts w:asciiTheme="minorHAnsi" w:hAnsiTheme="minorHAnsi" w:cstheme="minorHAnsi"/>
        </w:rPr>
        <w:t>the</w:t>
      </w:r>
      <w:r w:rsidRPr="008D2EC3">
        <w:rPr>
          <w:rFonts w:asciiTheme="minorHAnsi" w:hAnsiTheme="minorHAnsi" w:cstheme="minorHAnsi"/>
          <w:spacing w:val="-10"/>
        </w:rPr>
        <w:t xml:space="preserve"> </w:t>
      </w:r>
      <w:r w:rsidRPr="008D2EC3">
        <w:rPr>
          <w:rFonts w:asciiTheme="minorHAnsi" w:hAnsiTheme="minorHAnsi" w:cstheme="minorHAnsi"/>
        </w:rPr>
        <w:t>George</w:t>
      </w:r>
      <w:r w:rsidRPr="008D2EC3">
        <w:rPr>
          <w:rFonts w:asciiTheme="minorHAnsi" w:hAnsiTheme="minorHAnsi" w:cstheme="minorHAnsi"/>
          <w:spacing w:val="-14"/>
        </w:rPr>
        <w:t xml:space="preserve"> </w:t>
      </w:r>
      <w:r w:rsidRPr="008D2EC3">
        <w:rPr>
          <w:rFonts w:asciiTheme="minorHAnsi" w:hAnsiTheme="minorHAnsi" w:cstheme="minorHAnsi"/>
        </w:rPr>
        <w:t>Street</w:t>
      </w:r>
      <w:r w:rsidRPr="008D2EC3">
        <w:rPr>
          <w:rFonts w:asciiTheme="minorHAnsi" w:hAnsiTheme="minorHAnsi" w:cstheme="minorHAnsi"/>
          <w:spacing w:val="-11"/>
        </w:rPr>
        <w:t xml:space="preserve"> </w:t>
      </w:r>
      <w:r w:rsidRPr="008D2EC3">
        <w:rPr>
          <w:rFonts w:asciiTheme="minorHAnsi" w:hAnsiTheme="minorHAnsi" w:cstheme="minorHAnsi"/>
        </w:rPr>
        <w:t>Heritage</w:t>
      </w:r>
      <w:r w:rsidRPr="008D2EC3">
        <w:rPr>
          <w:rFonts w:asciiTheme="minorHAnsi" w:hAnsiTheme="minorHAnsi" w:cstheme="minorHAnsi"/>
          <w:spacing w:val="-14"/>
        </w:rPr>
        <w:t xml:space="preserve"> </w:t>
      </w:r>
      <w:r w:rsidRPr="008D2EC3">
        <w:rPr>
          <w:rFonts w:asciiTheme="minorHAnsi" w:hAnsiTheme="minorHAnsi" w:cstheme="minorHAnsi"/>
        </w:rPr>
        <w:t>Area.</w:t>
      </w:r>
      <w:r w:rsidRPr="008D2EC3">
        <w:rPr>
          <w:rFonts w:asciiTheme="minorHAnsi" w:hAnsiTheme="minorHAnsi" w:cstheme="minorHAnsi"/>
          <w:spacing w:val="-11"/>
        </w:rPr>
        <w:t xml:space="preserve"> </w:t>
      </w:r>
      <w:r w:rsidRPr="008D2EC3">
        <w:rPr>
          <w:rFonts w:asciiTheme="minorHAnsi" w:hAnsiTheme="minorHAnsi" w:cstheme="minorHAnsi"/>
        </w:rPr>
        <w:t>Individually,</w:t>
      </w:r>
      <w:r w:rsidRPr="008D2EC3">
        <w:rPr>
          <w:rFonts w:asciiTheme="minorHAnsi" w:hAnsiTheme="minorHAnsi" w:cstheme="minorHAnsi"/>
          <w:spacing w:val="-12"/>
        </w:rPr>
        <w:t xml:space="preserve"> </w:t>
      </w:r>
      <w:r w:rsidRPr="008D2EC3">
        <w:rPr>
          <w:rFonts w:asciiTheme="minorHAnsi" w:hAnsiTheme="minorHAnsi" w:cstheme="minorHAnsi"/>
        </w:rPr>
        <w:t>they</w:t>
      </w:r>
      <w:r w:rsidRPr="008D2EC3">
        <w:rPr>
          <w:rFonts w:asciiTheme="minorHAnsi" w:hAnsiTheme="minorHAnsi" w:cstheme="minorHAnsi"/>
          <w:spacing w:val="-13"/>
        </w:rPr>
        <w:t xml:space="preserve"> </w:t>
      </w:r>
      <w:r w:rsidRPr="008D2EC3">
        <w:rPr>
          <w:rFonts w:asciiTheme="minorHAnsi" w:hAnsiTheme="minorHAnsi" w:cstheme="minorHAnsi"/>
        </w:rPr>
        <w:t>may</w:t>
      </w:r>
      <w:r w:rsidRPr="008D2EC3">
        <w:rPr>
          <w:rFonts w:asciiTheme="minorHAnsi" w:hAnsiTheme="minorHAnsi" w:cstheme="minorHAnsi"/>
          <w:spacing w:val="-9"/>
        </w:rPr>
        <w:t xml:space="preserve"> </w:t>
      </w:r>
      <w:r w:rsidRPr="008D2EC3">
        <w:rPr>
          <w:rFonts w:asciiTheme="minorHAnsi" w:hAnsiTheme="minorHAnsi" w:cstheme="minorHAnsi"/>
        </w:rPr>
        <w:t>not</w:t>
      </w:r>
      <w:r w:rsidRPr="008D2EC3">
        <w:rPr>
          <w:rFonts w:asciiTheme="minorHAnsi" w:hAnsiTheme="minorHAnsi" w:cstheme="minorHAnsi"/>
          <w:spacing w:val="-11"/>
        </w:rPr>
        <w:t xml:space="preserve"> </w:t>
      </w:r>
      <w:r w:rsidRPr="008D2EC3">
        <w:rPr>
          <w:rFonts w:asciiTheme="minorHAnsi" w:hAnsiTheme="minorHAnsi" w:cstheme="minorHAnsi"/>
        </w:rPr>
        <w:t>necessarily</w:t>
      </w:r>
      <w:r w:rsidRPr="008D2EC3">
        <w:rPr>
          <w:rFonts w:asciiTheme="minorHAnsi" w:hAnsiTheme="minorHAnsi" w:cstheme="minorHAnsi"/>
          <w:spacing w:val="-11"/>
        </w:rPr>
        <w:t xml:space="preserve"> </w:t>
      </w:r>
      <w:r w:rsidRPr="008D2EC3">
        <w:rPr>
          <w:rFonts w:asciiTheme="minorHAnsi" w:hAnsiTheme="minorHAnsi" w:cstheme="minorHAnsi"/>
        </w:rPr>
        <w:t>be</w:t>
      </w:r>
      <w:r w:rsidRPr="008D2EC3">
        <w:rPr>
          <w:rFonts w:asciiTheme="minorHAnsi" w:hAnsiTheme="minorHAnsi" w:cstheme="minorHAnsi"/>
          <w:spacing w:val="-12"/>
        </w:rPr>
        <w:t xml:space="preserve"> </w:t>
      </w:r>
      <w:r w:rsidRPr="008D2EC3">
        <w:rPr>
          <w:rFonts w:asciiTheme="minorHAnsi" w:hAnsiTheme="minorHAnsi" w:cstheme="minorHAnsi"/>
        </w:rPr>
        <w:t>of</w:t>
      </w:r>
      <w:r w:rsidRPr="008D2EC3">
        <w:rPr>
          <w:rFonts w:asciiTheme="minorHAnsi" w:hAnsiTheme="minorHAnsi" w:cstheme="minorHAnsi"/>
          <w:spacing w:val="-9"/>
        </w:rPr>
        <w:t xml:space="preserve"> </w:t>
      </w:r>
      <w:proofErr w:type="gramStart"/>
      <w:r w:rsidRPr="008D2EC3">
        <w:rPr>
          <w:rFonts w:asciiTheme="minorHAnsi" w:hAnsiTheme="minorHAnsi" w:cstheme="minorHAnsi"/>
        </w:rPr>
        <w:t>particular heritage</w:t>
      </w:r>
      <w:proofErr w:type="gramEnd"/>
      <w:r w:rsidRPr="008D2EC3">
        <w:rPr>
          <w:rFonts w:asciiTheme="minorHAnsi" w:hAnsiTheme="minorHAnsi" w:cstheme="minorHAnsi"/>
          <w:spacing w:val="-13"/>
        </w:rPr>
        <w:t xml:space="preserve"> </w:t>
      </w:r>
      <w:r w:rsidRPr="008D2EC3">
        <w:rPr>
          <w:rFonts w:asciiTheme="minorHAnsi" w:hAnsiTheme="minorHAnsi" w:cstheme="minorHAnsi"/>
        </w:rPr>
        <w:t>significance,</w:t>
      </w:r>
      <w:r w:rsidRPr="008D2EC3">
        <w:rPr>
          <w:rFonts w:asciiTheme="minorHAnsi" w:hAnsiTheme="minorHAnsi" w:cstheme="minorHAnsi"/>
          <w:spacing w:val="-13"/>
        </w:rPr>
        <w:t xml:space="preserve"> </w:t>
      </w:r>
      <w:r w:rsidRPr="008D2EC3">
        <w:rPr>
          <w:rFonts w:asciiTheme="minorHAnsi" w:hAnsiTheme="minorHAnsi" w:cstheme="minorHAnsi"/>
        </w:rPr>
        <w:t>but</w:t>
      </w:r>
      <w:r w:rsidRPr="008D2EC3">
        <w:rPr>
          <w:rFonts w:asciiTheme="minorHAnsi" w:hAnsiTheme="minorHAnsi" w:cstheme="minorHAnsi"/>
          <w:spacing w:val="-11"/>
        </w:rPr>
        <w:t xml:space="preserve"> </w:t>
      </w:r>
      <w:r w:rsidRPr="008D2EC3">
        <w:rPr>
          <w:rFonts w:asciiTheme="minorHAnsi" w:hAnsiTheme="minorHAnsi" w:cstheme="minorHAnsi"/>
        </w:rPr>
        <w:t>they</w:t>
      </w:r>
      <w:r w:rsidRPr="008D2EC3">
        <w:rPr>
          <w:rFonts w:asciiTheme="minorHAnsi" w:hAnsiTheme="minorHAnsi" w:cstheme="minorHAnsi"/>
          <w:spacing w:val="-10"/>
        </w:rPr>
        <w:t xml:space="preserve"> </w:t>
      </w:r>
      <w:r w:rsidRPr="008D2EC3">
        <w:rPr>
          <w:rFonts w:asciiTheme="minorHAnsi" w:hAnsiTheme="minorHAnsi" w:cstheme="minorHAnsi"/>
        </w:rPr>
        <w:t>possess</w:t>
      </w:r>
      <w:r w:rsidRPr="008D2EC3">
        <w:rPr>
          <w:rFonts w:asciiTheme="minorHAnsi" w:hAnsiTheme="minorHAnsi" w:cstheme="minorHAnsi"/>
          <w:spacing w:val="-14"/>
        </w:rPr>
        <w:t xml:space="preserve"> </w:t>
      </w:r>
      <w:r w:rsidRPr="008D2EC3">
        <w:rPr>
          <w:rFonts w:asciiTheme="minorHAnsi" w:hAnsiTheme="minorHAnsi" w:cstheme="minorHAnsi"/>
        </w:rPr>
        <w:t>significance</w:t>
      </w:r>
      <w:r w:rsidRPr="008D2EC3">
        <w:rPr>
          <w:rFonts w:asciiTheme="minorHAnsi" w:hAnsiTheme="minorHAnsi" w:cstheme="minorHAnsi"/>
          <w:spacing w:val="-13"/>
        </w:rPr>
        <w:t xml:space="preserve"> </w:t>
      </w:r>
      <w:r w:rsidRPr="008D2EC3">
        <w:rPr>
          <w:rFonts w:asciiTheme="minorHAnsi" w:hAnsiTheme="minorHAnsi" w:cstheme="minorHAnsi"/>
        </w:rPr>
        <w:t>as</w:t>
      </w:r>
      <w:r w:rsidRPr="008D2EC3">
        <w:rPr>
          <w:rFonts w:asciiTheme="minorHAnsi" w:hAnsiTheme="minorHAnsi" w:cstheme="minorHAnsi"/>
          <w:spacing w:val="-10"/>
        </w:rPr>
        <w:t xml:space="preserve"> </w:t>
      </w:r>
      <w:r w:rsidRPr="008D2EC3">
        <w:rPr>
          <w:rFonts w:asciiTheme="minorHAnsi" w:hAnsiTheme="minorHAnsi" w:cstheme="minorHAnsi"/>
        </w:rPr>
        <w:t>a</w:t>
      </w:r>
      <w:r w:rsidRPr="008D2EC3">
        <w:rPr>
          <w:rFonts w:asciiTheme="minorHAnsi" w:hAnsiTheme="minorHAnsi" w:cstheme="minorHAnsi"/>
          <w:spacing w:val="-15"/>
        </w:rPr>
        <w:t xml:space="preserve"> </w:t>
      </w:r>
      <w:r w:rsidRPr="008D2EC3">
        <w:rPr>
          <w:rFonts w:asciiTheme="minorHAnsi" w:hAnsiTheme="minorHAnsi" w:cstheme="minorHAnsi"/>
        </w:rPr>
        <w:t>collective.</w:t>
      </w:r>
      <w:r w:rsidRPr="008D2EC3">
        <w:rPr>
          <w:rFonts w:asciiTheme="minorHAnsi" w:hAnsiTheme="minorHAnsi" w:cstheme="minorHAnsi"/>
          <w:spacing w:val="-11"/>
        </w:rPr>
        <w:t xml:space="preserve"> </w:t>
      </w:r>
      <w:r w:rsidRPr="008D2EC3">
        <w:rPr>
          <w:rFonts w:asciiTheme="minorHAnsi" w:hAnsiTheme="minorHAnsi" w:cstheme="minorHAnsi"/>
        </w:rPr>
        <w:t>Alteration</w:t>
      </w:r>
      <w:r w:rsidRPr="008D2EC3">
        <w:rPr>
          <w:rFonts w:asciiTheme="minorHAnsi" w:hAnsiTheme="minorHAnsi" w:cstheme="minorHAnsi"/>
          <w:spacing w:val="-11"/>
        </w:rPr>
        <w:t xml:space="preserve"> </w:t>
      </w:r>
      <w:r w:rsidRPr="008D2EC3">
        <w:rPr>
          <w:rFonts w:asciiTheme="minorHAnsi" w:hAnsiTheme="minorHAnsi" w:cstheme="minorHAnsi"/>
        </w:rPr>
        <w:t>to</w:t>
      </w:r>
      <w:r w:rsidRPr="008D2EC3">
        <w:rPr>
          <w:rFonts w:asciiTheme="minorHAnsi" w:hAnsiTheme="minorHAnsi" w:cstheme="minorHAnsi"/>
          <w:spacing w:val="-13"/>
        </w:rPr>
        <w:t xml:space="preserve"> </w:t>
      </w:r>
      <w:r w:rsidRPr="008D2EC3">
        <w:rPr>
          <w:rFonts w:asciiTheme="minorHAnsi" w:hAnsiTheme="minorHAnsi" w:cstheme="minorHAnsi"/>
        </w:rPr>
        <w:t>a</w:t>
      </w:r>
      <w:r w:rsidRPr="008D2EC3">
        <w:rPr>
          <w:rFonts w:asciiTheme="minorHAnsi" w:hAnsiTheme="minorHAnsi" w:cstheme="minorHAnsi"/>
          <w:spacing w:val="-13"/>
        </w:rPr>
        <w:t xml:space="preserve"> </w:t>
      </w:r>
      <w:r w:rsidRPr="008D2EC3">
        <w:rPr>
          <w:rFonts w:asciiTheme="minorHAnsi" w:hAnsiTheme="minorHAnsi" w:cstheme="minorHAnsi"/>
        </w:rPr>
        <w:t>contributory</w:t>
      </w:r>
      <w:r w:rsidRPr="008D2EC3">
        <w:rPr>
          <w:rFonts w:asciiTheme="minorHAnsi" w:hAnsiTheme="minorHAnsi" w:cstheme="minorHAnsi"/>
          <w:spacing w:val="-11"/>
        </w:rPr>
        <w:t xml:space="preserve"> </w:t>
      </w:r>
      <w:r w:rsidRPr="008D2EC3">
        <w:rPr>
          <w:rFonts w:asciiTheme="minorHAnsi" w:hAnsiTheme="minorHAnsi" w:cstheme="minorHAnsi"/>
        </w:rPr>
        <w:t>building or place that results in the loss of significance would also result in the loss of the significance for the George Street Heritage Area as a</w:t>
      </w:r>
      <w:r w:rsidRPr="008D2EC3">
        <w:rPr>
          <w:rFonts w:asciiTheme="minorHAnsi" w:hAnsiTheme="minorHAnsi" w:cstheme="minorHAnsi"/>
          <w:spacing w:val="-6"/>
        </w:rPr>
        <w:t xml:space="preserve"> </w:t>
      </w:r>
      <w:r w:rsidRPr="008D2EC3">
        <w:rPr>
          <w:rFonts w:asciiTheme="minorHAnsi" w:hAnsiTheme="minorHAnsi" w:cstheme="minorHAnsi"/>
        </w:rPr>
        <w:t>whole.</w:t>
      </w:r>
    </w:p>
    <w:p w14:paraId="2AE411CF" w14:textId="77777777" w:rsidR="00665A13" w:rsidRPr="008D2EC3" w:rsidRDefault="00665A13" w:rsidP="008D2EC3">
      <w:pPr>
        <w:pStyle w:val="BodyText"/>
        <w:spacing w:after="200"/>
        <w:ind w:left="0" w:right="-28"/>
        <w:jc w:val="both"/>
        <w:rPr>
          <w:rFonts w:asciiTheme="minorHAnsi" w:hAnsiTheme="minorHAnsi" w:cstheme="minorHAnsi"/>
        </w:rPr>
      </w:pPr>
      <w:r w:rsidRPr="008D2EC3">
        <w:rPr>
          <w:rFonts w:asciiTheme="minorHAnsi" w:hAnsiTheme="minorHAnsi" w:cstheme="minorHAnsi"/>
        </w:rPr>
        <w:t>The</w:t>
      </w:r>
      <w:r w:rsidRPr="008D2EC3">
        <w:rPr>
          <w:rFonts w:asciiTheme="minorHAnsi" w:hAnsiTheme="minorHAnsi" w:cstheme="minorHAnsi"/>
          <w:spacing w:val="-6"/>
        </w:rPr>
        <w:t xml:space="preserve"> </w:t>
      </w:r>
      <w:r w:rsidRPr="008D2EC3">
        <w:rPr>
          <w:rFonts w:asciiTheme="minorHAnsi" w:hAnsiTheme="minorHAnsi" w:cstheme="minorHAnsi"/>
        </w:rPr>
        <w:t>balance</w:t>
      </w:r>
      <w:r w:rsidRPr="008D2EC3">
        <w:rPr>
          <w:rFonts w:asciiTheme="minorHAnsi" w:hAnsiTheme="minorHAnsi" w:cstheme="minorHAnsi"/>
          <w:spacing w:val="-7"/>
        </w:rPr>
        <w:t xml:space="preserve"> </w:t>
      </w:r>
      <w:r w:rsidRPr="008D2EC3">
        <w:rPr>
          <w:rFonts w:asciiTheme="minorHAnsi" w:hAnsiTheme="minorHAnsi" w:cstheme="minorHAnsi"/>
        </w:rPr>
        <w:t>of</w:t>
      </w:r>
      <w:r w:rsidRPr="008D2EC3">
        <w:rPr>
          <w:rFonts w:asciiTheme="minorHAnsi" w:hAnsiTheme="minorHAnsi" w:cstheme="minorHAnsi"/>
          <w:spacing w:val="-7"/>
        </w:rPr>
        <w:t xml:space="preserve"> </w:t>
      </w:r>
      <w:r w:rsidRPr="008D2EC3">
        <w:rPr>
          <w:rFonts w:asciiTheme="minorHAnsi" w:hAnsiTheme="minorHAnsi" w:cstheme="minorHAnsi"/>
        </w:rPr>
        <w:t>the</w:t>
      </w:r>
      <w:r w:rsidRPr="008D2EC3">
        <w:rPr>
          <w:rFonts w:asciiTheme="minorHAnsi" w:hAnsiTheme="minorHAnsi" w:cstheme="minorHAnsi"/>
          <w:spacing w:val="-5"/>
        </w:rPr>
        <w:t xml:space="preserve"> </w:t>
      </w:r>
      <w:r w:rsidRPr="008D2EC3">
        <w:rPr>
          <w:rFonts w:asciiTheme="minorHAnsi" w:hAnsiTheme="minorHAnsi" w:cstheme="minorHAnsi"/>
        </w:rPr>
        <w:t>buildings</w:t>
      </w:r>
      <w:r w:rsidRPr="008D2EC3">
        <w:rPr>
          <w:rFonts w:asciiTheme="minorHAnsi" w:hAnsiTheme="minorHAnsi" w:cstheme="minorHAnsi"/>
          <w:spacing w:val="-6"/>
        </w:rPr>
        <w:t xml:space="preserve"> </w:t>
      </w:r>
      <w:r w:rsidRPr="008D2EC3">
        <w:rPr>
          <w:rFonts w:asciiTheme="minorHAnsi" w:hAnsiTheme="minorHAnsi" w:cstheme="minorHAnsi"/>
        </w:rPr>
        <w:t>within</w:t>
      </w:r>
      <w:r w:rsidRPr="008D2EC3">
        <w:rPr>
          <w:rFonts w:asciiTheme="minorHAnsi" w:hAnsiTheme="minorHAnsi" w:cstheme="minorHAnsi"/>
          <w:spacing w:val="-6"/>
        </w:rPr>
        <w:t xml:space="preserve"> </w:t>
      </w:r>
      <w:r w:rsidRPr="008D2EC3">
        <w:rPr>
          <w:rFonts w:asciiTheme="minorHAnsi" w:hAnsiTheme="minorHAnsi" w:cstheme="minorHAnsi"/>
        </w:rPr>
        <w:t>the</w:t>
      </w:r>
      <w:r w:rsidRPr="008D2EC3">
        <w:rPr>
          <w:rFonts w:asciiTheme="minorHAnsi" w:hAnsiTheme="minorHAnsi" w:cstheme="minorHAnsi"/>
          <w:spacing w:val="-6"/>
        </w:rPr>
        <w:t xml:space="preserve"> </w:t>
      </w:r>
      <w:r w:rsidRPr="008D2EC3">
        <w:rPr>
          <w:rFonts w:asciiTheme="minorHAnsi" w:hAnsiTheme="minorHAnsi" w:cstheme="minorHAnsi"/>
        </w:rPr>
        <w:t>George</w:t>
      </w:r>
      <w:r w:rsidRPr="008D2EC3">
        <w:rPr>
          <w:rFonts w:asciiTheme="minorHAnsi" w:hAnsiTheme="minorHAnsi" w:cstheme="minorHAnsi"/>
          <w:spacing w:val="-5"/>
        </w:rPr>
        <w:t xml:space="preserve"> </w:t>
      </w:r>
      <w:r w:rsidRPr="008D2EC3">
        <w:rPr>
          <w:rFonts w:asciiTheme="minorHAnsi" w:hAnsiTheme="minorHAnsi" w:cstheme="minorHAnsi"/>
        </w:rPr>
        <w:t>Street</w:t>
      </w:r>
      <w:r w:rsidRPr="008D2EC3">
        <w:rPr>
          <w:rFonts w:asciiTheme="minorHAnsi" w:hAnsiTheme="minorHAnsi" w:cstheme="minorHAnsi"/>
          <w:spacing w:val="-9"/>
        </w:rPr>
        <w:t xml:space="preserve"> </w:t>
      </w:r>
      <w:r w:rsidRPr="008D2EC3">
        <w:rPr>
          <w:rFonts w:asciiTheme="minorHAnsi" w:hAnsiTheme="minorHAnsi" w:cstheme="minorHAnsi"/>
        </w:rPr>
        <w:t>Heritage</w:t>
      </w:r>
      <w:r w:rsidRPr="008D2EC3">
        <w:rPr>
          <w:rFonts w:asciiTheme="minorHAnsi" w:hAnsiTheme="minorHAnsi" w:cstheme="minorHAnsi"/>
          <w:spacing w:val="-5"/>
        </w:rPr>
        <w:t xml:space="preserve"> </w:t>
      </w:r>
      <w:r w:rsidRPr="008D2EC3">
        <w:rPr>
          <w:rFonts w:asciiTheme="minorHAnsi" w:hAnsiTheme="minorHAnsi" w:cstheme="minorHAnsi"/>
        </w:rPr>
        <w:t>Area</w:t>
      </w:r>
      <w:r w:rsidRPr="008D2EC3">
        <w:rPr>
          <w:rFonts w:asciiTheme="minorHAnsi" w:hAnsiTheme="minorHAnsi" w:cstheme="minorHAnsi"/>
          <w:spacing w:val="-7"/>
        </w:rPr>
        <w:t xml:space="preserve"> </w:t>
      </w:r>
      <w:r w:rsidRPr="008D2EC3">
        <w:rPr>
          <w:rFonts w:asciiTheme="minorHAnsi" w:hAnsiTheme="minorHAnsi" w:cstheme="minorHAnsi"/>
        </w:rPr>
        <w:t>that</w:t>
      </w:r>
      <w:r w:rsidRPr="008D2EC3">
        <w:rPr>
          <w:rFonts w:asciiTheme="minorHAnsi" w:hAnsiTheme="minorHAnsi" w:cstheme="minorHAnsi"/>
          <w:spacing w:val="-7"/>
        </w:rPr>
        <w:t xml:space="preserve"> </w:t>
      </w:r>
      <w:r w:rsidRPr="008D2EC3">
        <w:rPr>
          <w:rFonts w:asciiTheme="minorHAnsi" w:hAnsiTheme="minorHAnsi" w:cstheme="minorHAnsi"/>
        </w:rPr>
        <w:t>are</w:t>
      </w:r>
      <w:r w:rsidRPr="008D2EC3">
        <w:rPr>
          <w:rFonts w:asciiTheme="minorHAnsi" w:hAnsiTheme="minorHAnsi" w:cstheme="minorHAnsi"/>
          <w:spacing w:val="-5"/>
        </w:rPr>
        <w:t xml:space="preserve"> </w:t>
      </w:r>
      <w:r w:rsidRPr="008D2EC3">
        <w:rPr>
          <w:rFonts w:asciiTheme="minorHAnsi" w:hAnsiTheme="minorHAnsi" w:cstheme="minorHAnsi"/>
        </w:rPr>
        <w:t>not</w:t>
      </w:r>
      <w:r w:rsidRPr="008D2EC3">
        <w:rPr>
          <w:rFonts w:asciiTheme="minorHAnsi" w:hAnsiTheme="minorHAnsi" w:cstheme="minorHAnsi"/>
          <w:spacing w:val="-5"/>
        </w:rPr>
        <w:t xml:space="preserve"> </w:t>
      </w:r>
      <w:r w:rsidRPr="008D2EC3">
        <w:rPr>
          <w:rFonts w:asciiTheme="minorHAnsi" w:hAnsiTheme="minorHAnsi" w:cstheme="minorHAnsi"/>
        </w:rPr>
        <w:t>listed</w:t>
      </w:r>
      <w:r w:rsidRPr="008D2EC3">
        <w:rPr>
          <w:rFonts w:asciiTheme="minorHAnsi" w:hAnsiTheme="minorHAnsi" w:cstheme="minorHAnsi"/>
          <w:spacing w:val="-6"/>
        </w:rPr>
        <w:t xml:space="preserve"> </w:t>
      </w:r>
      <w:r w:rsidRPr="008D2EC3">
        <w:rPr>
          <w:rFonts w:asciiTheme="minorHAnsi" w:hAnsiTheme="minorHAnsi" w:cstheme="minorHAnsi"/>
        </w:rPr>
        <w:t>on</w:t>
      </w:r>
      <w:r w:rsidRPr="008D2EC3">
        <w:rPr>
          <w:rFonts w:asciiTheme="minorHAnsi" w:hAnsiTheme="minorHAnsi" w:cstheme="minorHAnsi"/>
          <w:spacing w:val="-6"/>
        </w:rPr>
        <w:t xml:space="preserve"> </w:t>
      </w:r>
      <w:r w:rsidRPr="008D2EC3">
        <w:rPr>
          <w:rFonts w:asciiTheme="minorHAnsi" w:hAnsiTheme="minorHAnsi" w:cstheme="minorHAnsi"/>
        </w:rPr>
        <w:t>the</w:t>
      </w:r>
      <w:r w:rsidRPr="008D2EC3">
        <w:rPr>
          <w:rFonts w:asciiTheme="minorHAnsi" w:hAnsiTheme="minorHAnsi" w:cstheme="minorHAnsi"/>
          <w:spacing w:val="-5"/>
        </w:rPr>
        <w:t xml:space="preserve"> </w:t>
      </w:r>
      <w:r w:rsidRPr="008D2EC3">
        <w:rPr>
          <w:rFonts w:asciiTheme="minorHAnsi" w:hAnsiTheme="minorHAnsi" w:cstheme="minorHAnsi"/>
        </w:rPr>
        <w:t>MHI</w:t>
      </w:r>
      <w:r w:rsidRPr="008D2EC3">
        <w:rPr>
          <w:rFonts w:asciiTheme="minorHAnsi" w:hAnsiTheme="minorHAnsi" w:cstheme="minorHAnsi"/>
          <w:spacing w:val="-8"/>
        </w:rPr>
        <w:t xml:space="preserve"> </w:t>
      </w:r>
      <w:r w:rsidRPr="008D2EC3">
        <w:rPr>
          <w:rFonts w:asciiTheme="minorHAnsi" w:hAnsiTheme="minorHAnsi" w:cstheme="minorHAnsi"/>
        </w:rPr>
        <w:t>are considered as non-contributory buildings. Any alterations, additions and/or replacement of these buildings are not to negatively impact on the significance of the Heritage</w:t>
      </w:r>
      <w:r w:rsidRPr="008D2EC3">
        <w:rPr>
          <w:rFonts w:asciiTheme="minorHAnsi" w:hAnsiTheme="minorHAnsi" w:cstheme="minorHAnsi"/>
          <w:spacing w:val="-14"/>
        </w:rPr>
        <w:t xml:space="preserve"> </w:t>
      </w:r>
      <w:r w:rsidRPr="008D2EC3">
        <w:rPr>
          <w:rFonts w:asciiTheme="minorHAnsi" w:hAnsiTheme="minorHAnsi" w:cstheme="minorHAnsi"/>
        </w:rPr>
        <w:t>Area.</w:t>
      </w:r>
    </w:p>
    <w:p w14:paraId="0A8C09CB" w14:textId="77777777" w:rsidR="00665A13" w:rsidRDefault="00665A13" w:rsidP="00665A13">
      <w:pPr>
        <w:pStyle w:val="BodyText"/>
        <w:rPr>
          <w:sz w:val="20"/>
        </w:rPr>
      </w:pPr>
    </w:p>
    <w:p w14:paraId="3960712F" w14:textId="77777777" w:rsidR="00665A13" w:rsidRDefault="00665A13" w:rsidP="00665A13">
      <w:pPr>
        <w:pStyle w:val="BodyText"/>
        <w:rPr>
          <w:sz w:val="20"/>
        </w:rPr>
      </w:pPr>
    </w:p>
    <w:p w14:paraId="43E2FA01" w14:textId="77777777" w:rsidR="00665A13" w:rsidRDefault="00665A13" w:rsidP="00665A13">
      <w:pPr>
        <w:pStyle w:val="BodyText"/>
        <w:rPr>
          <w:sz w:val="20"/>
        </w:rPr>
      </w:pPr>
    </w:p>
    <w:p w14:paraId="759DE1B6" w14:textId="77777777" w:rsidR="00665A13" w:rsidRDefault="00665A13" w:rsidP="00665A13">
      <w:pPr>
        <w:pStyle w:val="BodyText"/>
        <w:rPr>
          <w:sz w:val="20"/>
        </w:rPr>
      </w:pPr>
    </w:p>
    <w:p w14:paraId="44E8EBCB" w14:textId="77777777" w:rsidR="00665A13" w:rsidRDefault="00665A13" w:rsidP="00665A13">
      <w:pPr>
        <w:pStyle w:val="BodyText"/>
        <w:rPr>
          <w:sz w:val="20"/>
        </w:rPr>
      </w:pPr>
    </w:p>
    <w:p w14:paraId="36AA9B25" w14:textId="77777777" w:rsidR="00665A13" w:rsidRDefault="00665A13" w:rsidP="00665A13">
      <w:pPr>
        <w:pStyle w:val="BodyText"/>
        <w:spacing w:before="12"/>
        <w:rPr>
          <w:sz w:val="28"/>
        </w:rPr>
      </w:pPr>
      <w:r>
        <w:rPr>
          <w:noProof/>
          <w:lang w:val="en-AU" w:eastAsia="en-AU"/>
        </w:rPr>
        <mc:AlternateContent>
          <mc:Choice Requires="wps">
            <w:drawing>
              <wp:anchor distT="0" distB="0" distL="0" distR="0" simplePos="0" relativeHeight="251618304" behindDoc="1" locked="0" layoutInCell="1" allowOverlap="1" wp14:anchorId="62701B86" wp14:editId="01DCD9D9">
                <wp:simplePos x="0" y="0"/>
                <wp:positionH relativeFrom="page">
                  <wp:posOffset>914400</wp:posOffset>
                </wp:positionH>
                <wp:positionV relativeFrom="paragraph">
                  <wp:posOffset>254635</wp:posOffset>
                </wp:positionV>
                <wp:extent cx="1828800" cy="1270"/>
                <wp:effectExtent l="0" t="0" r="0" b="0"/>
                <wp:wrapTopAndBottom/>
                <wp:docPr id="232"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440 1440"/>
                            <a:gd name="T1" fmla="*/ T0 w 2880"/>
                            <a:gd name="T2" fmla="+- 0 4320 144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ACC21" id="Freeform 29" o:spid="_x0000_s1026" style="position:absolute;margin-left:1in;margin-top:20.05pt;width:2in;height:.1pt;z-index:-251698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" path="m,l2880,e" filled="f" strokeweight=".72pt">
                <v:path arrowok="t" o:connecttype="custom" o:connectlocs="0,0;1828800,0" o:connectangles="0,0"/>
                <w10:wrap type="topAndBottom" anchorx="page"/>
              </v:shape>
            </w:pict>
          </mc:Fallback>
        </mc:AlternateContent>
      </w:r>
    </w:p>
    <w:p w14:paraId="4A0EB075" w14:textId="77777777" w:rsidR="00665A13" w:rsidRDefault="00665A13" w:rsidP="00665A13">
      <w:pPr>
        <w:spacing w:before="69"/>
        <w:ind w:left="120" w:right="440"/>
        <w:rPr>
          <w:sz w:val="20"/>
        </w:rPr>
      </w:pPr>
      <w:r>
        <w:rPr>
          <w:position w:val="7"/>
          <w:sz w:val="13"/>
        </w:rPr>
        <w:t xml:space="preserve">1 </w:t>
      </w:r>
      <w:r>
        <w:rPr>
          <w:sz w:val="20"/>
        </w:rPr>
        <w:t xml:space="preserve">The existing Town of East Fremantle Municipal Heritage Inventory (MHI) is now also otherwise referred to as the Town of East Fremantle Local Heritage Survey, following the recent proclamation of the </w:t>
      </w:r>
      <w:r>
        <w:rPr>
          <w:i/>
          <w:sz w:val="20"/>
        </w:rPr>
        <w:t>Heritage Act 2018</w:t>
      </w:r>
      <w:r>
        <w:rPr>
          <w:sz w:val="20"/>
        </w:rPr>
        <w:t>.</w:t>
      </w:r>
    </w:p>
    <w:p w14:paraId="3094666D" w14:textId="77777777" w:rsidR="00665A13" w:rsidRDefault="00665A13" w:rsidP="00665A13">
      <w:pPr>
        <w:rPr>
          <w:sz w:val="20"/>
        </w:rPr>
        <w:sectPr w:rsidR="00665A13">
          <w:type w:val="continuous"/>
          <w:pgSz w:w="11910" w:h="16840"/>
          <w:pgMar w:top="1580" w:right="980" w:bottom="280" w:left="1320" w:header="720" w:footer="720" w:gutter="0"/>
          <w:cols w:space="720"/>
        </w:sectPr>
      </w:pPr>
    </w:p>
    <w:p w14:paraId="482A28FB" w14:textId="77777777" w:rsidR="00665A13" w:rsidRPr="0028797B" w:rsidRDefault="00665A13" w:rsidP="0028797B">
      <w:pPr>
        <w:spacing w:after="0"/>
        <w:rPr>
          <w:b/>
        </w:rPr>
      </w:pPr>
      <w:bookmarkStart w:id="553" w:name="_TOC_250012"/>
      <w:bookmarkEnd w:id="553"/>
      <w:r w:rsidRPr="0028797B">
        <w:rPr>
          <w:b/>
        </w:rPr>
        <w:lastRenderedPageBreak/>
        <w:t>OBJECTIVES</w:t>
      </w:r>
    </w:p>
    <w:p w14:paraId="147306AB" w14:textId="77777777" w:rsidR="00665A13" w:rsidRPr="0028797B" w:rsidRDefault="00665A13" w:rsidP="0028797B">
      <w:pPr>
        <w:pStyle w:val="BodyText"/>
        <w:ind w:left="0"/>
        <w:rPr>
          <w:rFonts w:asciiTheme="minorHAnsi" w:hAnsiTheme="minorHAnsi" w:cstheme="minorHAnsi"/>
        </w:rPr>
      </w:pPr>
      <w:r w:rsidRPr="0028797B">
        <w:rPr>
          <w:rFonts w:asciiTheme="minorHAnsi" w:hAnsiTheme="minorHAnsi" w:cstheme="minorHAnsi"/>
        </w:rPr>
        <w:t>The objectives of this Local Planning Policy are to:</w:t>
      </w:r>
    </w:p>
    <w:p w14:paraId="1BD38DAA" w14:textId="77777777" w:rsidR="00665A13" w:rsidRPr="0028797B" w:rsidRDefault="00665A13" w:rsidP="002A3889">
      <w:pPr>
        <w:pStyle w:val="ListParagraph"/>
        <w:widowControl w:val="0"/>
        <w:numPr>
          <w:ilvl w:val="0"/>
          <w:numId w:val="418"/>
        </w:numPr>
        <w:tabs>
          <w:tab w:val="left" w:pos="284"/>
        </w:tabs>
        <w:autoSpaceDE w:val="0"/>
        <w:autoSpaceDN w:val="0"/>
        <w:spacing w:after="60" w:line="237" w:lineRule="auto"/>
        <w:ind w:left="284" w:right="112" w:hanging="284"/>
        <w:contextualSpacing w:val="0"/>
        <w:jc w:val="both"/>
        <w:rPr>
          <w:rFonts w:cstheme="minorHAnsi"/>
        </w:rPr>
      </w:pPr>
      <w:r w:rsidRPr="0028797B">
        <w:rPr>
          <w:rFonts w:cstheme="minorHAnsi"/>
        </w:rPr>
        <w:t>Establish a planning and design framework to protect the heritage values of the George Street Heritage</w:t>
      </w:r>
      <w:r w:rsidRPr="0028797B">
        <w:rPr>
          <w:rFonts w:cstheme="minorHAnsi"/>
          <w:spacing w:val="-2"/>
        </w:rPr>
        <w:t xml:space="preserve"> </w:t>
      </w:r>
      <w:proofErr w:type="gramStart"/>
      <w:r w:rsidRPr="0028797B">
        <w:rPr>
          <w:rFonts w:cstheme="minorHAnsi"/>
        </w:rPr>
        <w:t>Area;</w:t>
      </w:r>
      <w:proofErr w:type="gramEnd"/>
    </w:p>
    <w:p w14:paraId="1DEE676F" w14:textId="77777777" w:rsidR="00665A13" w:rsidRPr="0028797B" w:rsidRDefault="00665A13" w:rsidP="002A3889">
      <w:pPr>
        <w:pStyle w:val="ListParagraph"/>
        <w:widowControl w:val="0"/>
        <w:numPr>
          <w:ilvl w:val="0"/>
          <w:numId w:val="418"/>
        </w:numPr>
        <w:tabs>
          <w:tab w:val="left" w:pos="284"/>
        </w:tabs>
        <w:autoSpaceDE w:val="0"/>
        <w:autoSpaceDN w:val="0"/>
        <w:spacing w:after="60" w:line="240" w:lineRule="auto"/>
        <w:ind w:left="284" w:right="112" w:hanging="284"/>
        <w:contextualSpacing w:val="0"/>
        <w:jc w:val="both"/>
        <w:rPr>
          <w:rFonts w:cstheme="minorHAnsi"/>
        </w:rPr>
      </w:pPr>
      <w:r w:rsidRPr="0028797B">
        <w:rPr>
          <w:rFonts w:cstheme="minorHAnsi"/>
        </w:rPr>
        <w:t>Distinguish between buildings that contribute to the integrity of the streetscape and those that do</w:t>
      </w:r>
      <w:r w:rsidRPr="0028797B">
        <w:rPr>
          <w:rFonts w:cstheme="minorHAnsi"/>
          <w:spacing w:val="2"/>
        </w:rPr>
        <w:t xml:space="preserve"> </w:t>
      </w:r>
      <w:proofErr w:type="gramStart"/>
      <w:r w:rsidRPr="0028797B">
        <w:rPr>
          <w:rFonts w:cstheme="minorHAnsi"/>
        </w:rPr>
        <w:t>not;</w:t>
      </w:r>
      <w:proofErr w:type="gramEnd"/>
    </w:p>
    <w:p w14:paraId="5E02DB66" w14:textId="77777777" w:rsidR="00665A13" w:rsidRPr="0028797B" w:rsidRDefault="00665A13" w:rsidP="002A3889">
      <w:pPr>
        <w:pStyle w:val="ListParagraph"/>
        <w:widowControl w:val="0"/>
        <w:numPr>
          <w:ilvl w:val="0"/>
          <w:numId w:val="418"/>
        </w:numPr>
        <w:tabs>
          <w:tab w:val="left" w:pos="284"/>
        </w:tabs>
        <w:autoSpaceDE w:val="0"/>
        <w:autoSpaceDN w:val="0"/>
        <w:spacing w:after="60" w:line="240" w:lineRule="auto"/>
        <w:ind w:left="284" w:right="112" w:hanging="284"/>
        <w:contextualSpacing w:val="0"/>
        <w:jc w:val="both"/>
        <w:rPr>
          <w:rFonts w:cstheme="minorHAnsi"/>
        </w:rPr>
      </w:pPr>
      <w:r w:rsidRPr="0028797B">
        <w:rPr>
          <w:rFonts w:cstheme="minorHAnsi"/>
        </w:rPr>
        <w:t>Conserve and protect individual places considered to have significant heritage</w:t>
      </w:r>
      <w:r w:rsidRPr="0028797B">
        <w:rPr>
          <w:rFonts w:cstheme="minorHAnsi"/>
          <w:spacing w:val="-17"/>
        </w:rPr>
        <w:t xml:space="preserve"> </w:t>
      </w:r>
      <w:proofErr w:type="gramStart"/>
      <w:r w:rsidRPr="0028797B">
        <w:rPr>
          <w:rFonts w:cstheme="minorHAnsi"/>
        </w:rPr>
        <w:t>value;</w:t>
      </w:r>
      <w:proofErr w:type="gramEnd"/>
    </w:p>
    <w:p w14:paraId="2EA7BC3C" w14:textId="77777777" w:rsidR="00665A13" w:rsidRPr="0028797B" w:rsidRDefault="00665A13" w:rsidP="002A3889">
      <w:pPr>
        <w:pStyle w:val="ListParagraph"/>
        <w:widowControl w:val="0"/>
        <w:numPr>
          <w:ilvl w:val="0"/>
          <w:numId w:val="418"/>
        </w:numPr>
        <w:tabs>
          <w:tab w:val="left" w:pos="284"/>
        </w:tabs>
        <w:autoSpaceDE w:val="0"/>
        <w:autoSpaceDN w:val="0"/>
        <w:spacing w:after="60" w:line="279" w:lineRule="exact"/>
        <w:ind w:left="284" w:right="112" w:hanging="284"/>
        <w:contextualSpacing w:val="0"/>
        <w:rPr>
          <w:rFonts w:cstheme="minorHAnsi"/>
        </w:rPr>
      </w:pPr>
      <w:r w:rsidRPr="0028797B">
        <w:rPr>
          <w:rFonts w:cstheme="minorHAnsi"/>
        </w:rPr>
        <w:t>Maintain and improve existing street</w:t>
      </w:r>
      <w:r w:rsidRPr="0028797B">
        <w:rPr>
          <w:rFonts w:cstheme="minorHAnsi"/>
          <w:spacing w:val="-9"/>
        </w:rPr>
        <w:t xml:space="preserve"> </w:t>
      </w:r>
      <w:proofErr w:type="gramStart"/>
      <w:r w:rsidRPr="0028797B">
        <w:rPr>
          <w:rFonts w:cstheme="minorHAnsi"/>
        </w:rPr>
        <w:t>trees;</w:t>
      </w:r>
      <w:proofErr w:type="gramEnd"/>
    </w:p>
    <w:p w14:paraId="73ED1E03" w14:textId="77777777" w:rsidR="00665A13" w:rsidRPr="0028797B" w:rsidRDefault="00665A13" w:rsidP="002A3889">
      <w:pPr>
        <w:pStyle w:val="ListParagraph"/>
        <w:widowControl w:val="0"/>
        <w:numPr>
          <w:ilvl w:val="0"/>
          <w:numId w:val="418"/>
        </w:numPr>
        <w:tabs>
          <w:tab w:val="left" w:pos="284"/>
        </w:tabs>
        <w:autoSpaceDE w:val="0"/>
        <w:autoSpaceDN w:val="0"/>
        <w:spacing w:after="60" w:line="279" w:lineRule="exact"/>
        <w:ind w:left="284" w:right="112" w:hanging="284"/>
        <w:contextualSpacing w:val="0"/>
        <w:rPr>
          <w:rFonts w:cstheme="minorHAnsi"/>
        </w:rPr>
      </w:pPr>
      <w:r w:rsidRPr="0028797B">
        <w:rPr>
          <w:rFonts w:cstheme="minorHAnsi"/>
        </w:rPr>
        <w:t>Retain front gardens and mature trees on private property wherever</w:t>
      </w:r>
      <w:r w:rsidRPr="0028797B">
        <w:rPr>
          <w:rFonts w:cstheme="minorHAnsi"/>
          <w:spacing w:val="-13"/>
        </w:rPr>
        <w:t xml:space="preserve"> </w:t>
      </w:r>
      <w:proofErr w:type="gramStart"/>
      <w:r w:rsidRPr="0028797B">
        <w:rPr>
          <w:rFonts w:cstheme="minorHAnsi"/>
        </w:rPr>
        <w:t>possible;</w:t>
      </w:r>
      <w:proofErr w:type="gramEnd"/>
    </w:p>
    <w:p w14:paraId="6AA55F95" w14:textId="77777777" w:rsidR="00665A13" w:rsidRPr="0028797B" w:rsidRDefault="00665A13" w:rsidP="002A3889">
      <w:pPr>
        <w:pStyle w:val="ListParagraph"/>
        <w:widowControl w:val="0"/>
        <w:numPr>
          <w:ilvl w:val="0"/>
          <w:numId w:val="418"/>
        </w:numPr>
        <w:tabs>
          <w:tab w:val="left" w:pos="284"/>
        </w:tabs>
        <w:autoSpaceDE w:val="0"/>
        <w:autoSpaceDN w:val="0"/>
        <w:spacing w:after="60" w:line="240" w:lineRule="auto"/>
        <w:ind w:left="284" w:right="112" w:hanging="284"/>
        <w:contextualSpacing w:val="0"/>
        <w:jc w:val="both"/>
        <w:rPr>
          <w:rFonts w:cstheme="minorHAnsi"/>
        </w:rPr>
      </w:pPr>
      <w:r w:rsidRPr="0028797B">
        <w:rPr>
          <w:rFonts w:cstheme="minorHAnsi"/>
        </w:rPr>
        <w:t>Provide development and design guidance for the extension or refurbishment of existing places of heritage</w:t>
      </w:r>
      <w:r w:rsidRPr="0028797B">
        <w:rPr>
          <w:rFonts w:cstheme="minorHAnsi"/>
          <w:spacing w:val="-1"/>
        </w:rPr>
        <w:t xml:space="preserve"> </w:t>
      </w:r>
      <w:proofErr w:type="gramStart"/>
      <w:r w:rsidRPr="0028797B">
        <w:rPr>
          <w:rFonts w:cstheme="minorHAnsi"/>
        </w:rPr>
        <w:t>significance;</w:t>
      </w:r>
      <w:proofErr w:type="gramEnd"/>
    </w:p>
    <w:p w14:paraId="6550D921" w14:textId="77777777" w:rsidR="00665A13" w:rsidRPr="0028797B" w:rsidRDefault="00665A13" w:rsidP="002A3889">
      <w:pPr>
        <w:pStyle w:val="ListParagraph"/>
        <w:widowControl w:val="0"/>
        <w:numPr>
          <w:ilvl w:val="0"/>
          <w:numId w:val="418"/>
        </w:numPr>
        <w:tabs>
          <w:tab w:val="left" w:pos="284"/>
        </w:tabs>
        <w:autoSpaceDE w:val="0"/>
        <w:autoSpaceDN w:val="0"/>
        <w:spacing w:after="60" w:line="240" w:lineRule="auto"/>
        <w:ind w:left="284" w:right="112" w:hanging="284"/>
        <w:contextualSpacing w:val="0"/>
        <w:jc w:val="both"/>
        <w:rPr>
          <w:rFonts w:cstheme="minorHAnsi"/>
        </w:rPr>
      </w:pPr>
      <w:r w:rsidRPr="0028797B">
        <w:rPr>
          <w:rFonts w:cstheme="minorHAnsi"/>
        </w:rPr>
        <w:t>Ensure that additions to existing heritage places do not adversely affect the significance of the building, or of neighbouring heritage</w:t>
      </w:r>
      <w:r w:rsidRPr="0028797B">
        <w:rPr>
          <w:rFonts w:cstheme="minorHAnsi"/>
          <w:spacing w:val="-4"/>
        </w:rPr>
        <w:t xml:space="preserve"> </w:t>
      </w:r>
      <w:proofErr w:type="gramStart"/>
      <w:r w:rsidRPr="0028797B">
        <w:rPr>
          <w:rFonts w:cstheme="minorHAnsi"/>
        </w:rPr>
        <w:t>places;</w:t>
      </w:r>
      <w:proofErr w:type="gramEnd"/>
    </w:p>
    <w:p w14:paraId="69A6A672" w14:textId="77777777" w:rsidR="00665A13" w:rsidRPr="0028797B" w:rsidRDefault="00665A13" w:rsidP="002A3889">
      <w:pPr>
        <w:pStyle w:val="ListParagraph"/>
        <w:widowControl w:val="0"/>
        <w:numPr>
          <w:ilvl w:val="0"/>
          <w:numId w:val="418"/>
        </w:numPr>
        <w:tabs>
          <w:tab w:val="left" w:pos="284"/>
        </w:tabs>
        <w:autoSpaceDE w:val="0"/>
        <w:autoSpaceDN w:val="0"/>
        <w:spacing w:after="60" w:line="240" w:lineRule="auto"/>
        <w:ind w:left="284" w:right="112" w:hanging="284"/>
        <w:contextualSpacing w:val="0"/>
        <w:jc w:val="both"/>
        <w:rPr>
          <w:rFonts w:cstheme="minorHAnsi"/>
        </w:rPr>
      </w:pPr>
      <w:r w:rsidRPr="0028797B">
        <w:rPr>
          <w:rFonts w:cstheme="minorHAnsi"/>
        </w:rPr>
        <w:t>Ensure</w:t>
      </w:r>
      <w:r w:rsidRPr="0028797B">
        <w:rPr>
          <w:rFonts w:cstheme="minorHAnsi"/>
          <w:spacing w:val="-14"/>
        </w:rPr>
        <w:t xml:space="preserve"> </w:t>
      </w:r>
      <w:r w:rsidRPr="0028797B">
        <w:rPr>
          <w:rFonts w:cstheme="minorHAnsi"/>
        </w:rPr>
        <w:t>that</w:t>
      </w:r>
      <w:r w:rsidRPr="0028797B">
        <w:rPr>
          <w:rFonts w:cstheme="minorHAnsi"/>
          <w:spacing w:val="-14"/>
        </w:rPr>
        <w:t xml:space="preserve"> </w:t>
      </w:r>
      <w:r w:rsidRPr="0028797B">
        <w:rPr>
          <w:rFonts w:cstheme="minorHAnsi"/>
        </w:rPr>
        <w:t>new</w:t>
      </w:r>
      <w:r w:rsidRPr="0028797B">
        <w:rPr>
          <w:rFonts w:cstheme="minorHAnsi"/>
          <w:spacing w:val="-16"/>
        </w:rPr>
        <w:t xml:space="preserve"> </w:t>
      </w:r>
      <w:r w:rsidRPr="0028797B">
        <w:rPr>
          <w:rFonts w:cstheme="minorHAnsi"/>
        </w:rPr>
        <w:t>development</w:t>
      </w:r>
      <w:r w:rsidRPr="0028797B">
        <w:rPr>
          <w:rFonts w:cstheme="minorHAnsi"/>
          <w:spacing w:val="-13"/>
        </w:rPr>
        <w:t xml:space="preserve"> </w:t>
      </w:r>
      <w:r w:rsidRPr="0028797B">
        <w:rPr>
          <w:rFonts w:cstheme="minorHAnsi"/>
        </w:rPr>
        <w:t>and</w:t>
      </w:r>
      <w:r w:rsidRPr="0028797B">
        <w:rPr>
          <w:rFonts w:cstheme="minorHAnsi"/>
          <w:spacing w:val="-15"/>
        </w:rPr>
        <w:t xml:space="preserve"> </w:t>
      </w:r>
      <w:r w:rsidRPr="0028797B">
        <w:rPr>
          <w:rFonts w:cstheme="minorHAnsi"/>
        </w:rPr>
        <w:t>additions/alterations</w:t>
      </w:r>
      <w:r w:rsidRPr="0028797B">
        <w:rPr>
          <w:rFonts w:cstheme="minorHAnsi"/>
          <w:spacing w:val="-12"/>
        </w:rPr>
        <w:t xml:space="preserve"> </w:t>
      </w:r>
      <w:r w:rsidRPr="0028797B">
        <w:rPr>
          <w:rFonts w:cstheme="minorHAnsi"/>
        </w:rPr>
        <w:t>to</w:t>
      </w:r>
      <w:r w:rsidRPr="0028797B">
        <w:rPr>
          <w:rFonts w:cstheme="minorHAnsi"/>
          <w:spacing w:val="-14"/>
        </w:rPr>
        <w:t xml:space="preserve"> </w:t>
      </w:r>
      <w:r w:rsidRPr="0028797B">
        <w:rPr>
          <w:rFonts w:cstheme="minorHAnsi"/>
        </w:rPr>
        <w:t>existing</w:t>
      </w:r>
      <w:r w:rsidRPr="0028797B">
        <w:rPr>
          <w:rFonts w:cstheme="minorHAnsi"/>
          <w:spacing w:val="-17"/>
        </w:rPr>
        <w:t xml:space="preserve"> </w:t>
      </w:r>
      <w:r w:rsidRPr="0028797B">
        <w:rPr>
          <w:rFonts w:cstheme="minorHAnsi"/>
        </w:rPr>
        <w:t>heritage</w:t>
      </w:r>
      <w:r w:rsidRPr="0028797B">
        <w:rPr>
          <w:rFonts w:cstheme="minorHAnsi"/>
          <w:spacing w:val="-12"/>
        </w:rPr>
        <w:t xml:space="preserve"> </w:t>
      </w:r>
      <w:r w:rsidRPr="0028797B">
        <w:rPr>
          <w:rFonts w:cstheme="minorHAnsi"/>
        </w:rPr>
        <w:t>places</w:t>
      </w:r>
      <w:r w:rsidRPr="0028797B">
        <w:rPr>
          <w:rFonts w:cstheme="minorHAnsi"/>
          <w:spacing w:val="-14"/>
        </w:rPr>
        <w:t xml:space="preserve"> </w:t>
      </w:r>
      <w:r w:rsidRPr="0028797B">
        <w:rPr>
          <w:rFonts w:cstheme="minorHAnsi"/>
        </w:rPr>
        <w:t>are</w:t>
      </w:r>
      <w:r w:rsidRPr="0028797B">
        <w:rPr>
          <w:rFonts w:cstheme="minorHAnsi"/>
          <w:spacing w:val="-14"/>
        </w:rPr>
        <w:t xml:space="preserve"> </w:t>
      </w:r>
      <w:r w:rsidRPr="0028797B">
        <w:rPr>
          <w:rFonts w:cstheme="minorHAnsi"/>
        </w:rPr>
        <w:t>compatible with</w:t>
      </w:r>
      <w:r w:rsidRPr="0028797B">
        <w:rPr>
          <w:rFonts w:cstheme="minorHAnsi"/>
          <w:spacing w:val="-9"/>
        </w:rPr>
        <w:t xml:space="preserve"> </w:t>
      </w:r>
      <w:r w:rsidRPr="0028797B">
        <w:rPr>
          <w:rFonts w:cstheme="minorHAnsi"/>
        </w:rPr>
        <w:t>the</w:t>
      </w:r>
      <w:r w:rsidRPr="0028797B">
        <w:rPr>
          <w:rFonts w:cstheme="minorHAnsi"/>
          <w:spacing w:val="-8"/>
        </w:rPr>
        <w:t xml:space="preserve"> </w:t>
      </w:r>
      <w:r w:rsidRPr="0028797B">
        <w:rPr>
          <w:rFonts w:cstheme="minorHAnsi"/>
        </w:rPr>
        <w:t>character,</w:t>
      </w:r>
      <w:r w:rsidRPr="0028797B">
        <w:rPr>
          <w:rFonts w:cstheme="minorHAnsi"/>
          <w:spacing w:val="-7"/>
        </w:rPr>
        <w:t xml:space="preserve"> </w:t>
      </w:r>
      <w:r w:rsidRPr="0028797B">
        <w:rPr>
          <w:rFonts w:cstheme="minorHAnsi"/>
        </w:rPr>
        <w:t>form</w:t>
      </w:r>
      <w:r w:rsidRPr="0028797B">
        <w:rPr>
          <w:rFonts w:cstheme="minorHAnsi"/>
          <w:spacing w:val="-8"/>
        </w:rPr>
        <w:t xml:space="preserve"> </w:t>
      </w:r>
      <w:r w:rsidRPr="0028797B">
        <w:rPr>
          <w:rFonts w:cstheme="minorHAnsi"/>
        </w:rPr>
        <w:t>and</w:t>
      </w:r>
      <w:r w:rsidRPr="0028797B">
        <w:rPr>
          <w:rFonts w:cstheme="minorHAnsi"/>
          <w:spacing w:val="-8"/>
        </w:rPr>
        <w:t xml:space="preserve"> </w:t>
      </w:r>
      <w:r w:rsidRPr="0028797B">
        <w:rPr>
          <w:rFonts w:cstheme="minorHAnsi"/>
        </w:rPr>
        <w:t>scale</w:t>
      </w:r>
      <w:r w:rsidRPr="0028797B">
        <w:rPr>
          <w:rFonts w:cstheme="minorHAnsi"/>
          <w:spacing w:val="-7"/>
        </w:rPr>
        <w:t xml:space="preserve"> </w:t>
      </w:r>
      <w:r w:rsidRPr="0028797B">
        <w:rPr>
          <w:rFonts w:cstheme="minorHAnsi"/>
        </w:rPr>
        <w:t>of</w:t>
      </w:r>
      <w:r w:rsidRPr="0028797B">
        <w:rPr>
          <w:rFonts w:cstheme="minorHAnsi"/>
          <w:spacing w:val="-8"/>
        </w:rPr>
        <w:t xml:space="preserve"> </w:t>
      </w:r>
      <w:r w:rsidRPr="0028797B">
        <w:rPr>
          <w:rFonts w:cstheme="minorHAnsi"/>
        </w:rPr>
        <w:t>existing</w:t>
      </w:r>
      <w:r w:rsidRPr="0028797B">
        <w:rPr>
          <w:rFonts w:cstheme="minorHAnsi"/>
          <w:spacing w:val="-10"/>
        </w:rPr>
        <w:t xml:space="preserve"> </w:t>
      </w:r>
      <w:r w:rsidRPr="0028797B">
        <w:rPr>
          <w:rFonts w:cstheme="minorHAnsi"/>
        </w:rPr>
        <w:t>development</w:t>
      </w:r>
      <w:r w:rsidRPr="0028797B">
        <w:rPr>
          <w:rFonts w:cstheme="minorHAnsi"/>
          <w:spacing w:val="-8"/>
        </w:rPr>
        <w:t xml:space="preserve"> </w:t>
      </w:r>
      <w:r w:rsidRPr="0028797B">
        <w:rPr>
          <w:rFonts w:cstheme="minorHAnsi"/>
        </w:rPr>
        <w:t>in</w:t>
      </w:r>
      <w:r w:rsidRPr="0028797B">
        <w:rPr>
          <w:rFonts w:cstheme="minorHAnsi"/>
          <w:spacing w:val="-9"/>
        </w:rPr>
        <w:t xml:space="preserve"> </w:t>
      </w:r>
      <w:r w:rsidRPr="0028797B">
        <w:rPr>
          <w:rFonts w:cstheme="minorHAnsi"/>
        </w:rPr>
        <w:t>the</w:t>
      </w:r>
      <w:r w:rsidRPr="0028797B">
        <w:rPr>
          <w:rFonts w:cstheme="minorHAnsi"/>
          <w:spacing w:val="-8"/>
        </w:rPr>
        <w:t xml:space="preserve"> </w:t>
      </w:r>
      <w:r w:rsidRPr="0028797B">
        <w:rPr>
          <w:rFonts w:cstheme="minorHAnsi"/>
        </w:rPr>
        <w:t>locality,</w:t>
      </w:r>
      <w:r w:rsidRPr="0028797B">
        <w:rPr>
          <w:rFonts w:cstheme="minorHAnsi"/>
          <w:spacing w:val="-9"/>
        </w:rPr>
        <w:t xml:space="preserve"> </w:t>
      </w:r>
      <w:r w:rsidRPr="0028797B">
        <w:rPr>
          <w:rFonts w:cstheme="minorHAnsi"/>
        </w:rPr>
        <w:t>and</w:t>
      </w:r>
      <w:r w:rsidRPr="0028797B">
        <w:rPr>
          <w:rFonts w:cstheme="minorHAnsi"/>
          <w:spacing w:val="-8"/>
        </w:rPr>
        <w:t xml:space="preserve"> </w:t>
      </w:r>
      <w:r w:rsidRPr="0028797B">
        <w:rPr>
          <w:rFonts w:cstheme="minorHAnsi"/>
        </w:rPr>
        <w:t>harmonise</w:t>
      </w:r>
      <w:r w:rsidRPr="0028797B">
        <w:rPr>
          <w:rFonts w:cstheme="minorHAnsi"/>
          <w:spacing w:val="-8"/>
        </w:rPr>
        <w:t xml:space="preserve"> </w:t>
      </w:r>
      <w:r w:rsidRPr="0028797B">
        <w:rPr>
          <w:rFonts w:cstheme="minorHAnsi"/>
        </w:rPr>
        <w:t>with</w:t>
      </w:r>
      <w:r w:rsidRPr="0028797B">
        <w:rPr>
          <w:rFonts w:cstheme="minorHAnsi"/>
          <w:spacing w:val="-8"/>
        </w:rPr>
        <w:t xml:space="preserve"> </w:t>
      </w:r>
      <w:r w:rsidRPr="0028797B">
        <w:rPr>
          <w:rFonts w:cstheme="minorHAnsi"/>
        </w:rPr>
        <w:t>the unique character of the streetscape;</w:t>
      </w:r>
      <w:r w:rsidRPr="0028797B">
        <w:rPr>
          <w:rFonts w:cstheme="minorHAnsi"/>
          <w:spacing w:val="-6"/>
        </w:rPr>
        <w:t xml:space="preserve"> </w:t>
      </w:r>
      <w:r w:rsidRPr="0028797B">
        <w:rPr>
          <w:rFonts w:cstheme="minorHAnsi"/>
        </w:rPr>
        <w:t>and</w:t>
      </w:r>
    </w:p>
    <w:p w14:paraId="394C4CFD" w14:textId="77777777" w:rsidR="00665A13" w:rsidRPr="0028797B" w:rsidRDefault="00665A13" w:rsidP="002A3889">
      <w:pPr>
        <w:pStyle w:val="ListParagraph"/>
        <w:widowControl w:val="0"/>
        <w:numPr>
          <w:ilvl w:val="0"/>
          <w:numId w:val="418"/>
        </w:numPr>
        <w:tabs>
          <w:tab w:val="left" w:pos="284"/>
        </w:tabs>
        <w:autoSpaceDE w:val="0"/>
        <w:autoSpaceDN w:val="0"/>
        <w:spacing w:line="240" w:lineRule="auto"/>
        <w:ind w:left="284" w:right="112" w:hanging="284"/>
        <w:contextualSpacing w:val="0"/>
        <w:jc w:val="both"/>
        <w:rPr>
          <w:rFonts w:cstheme="minorHAnsi"/>
        </w:rPr>
      </w:pPr>
      <w:r w:rsidRPr="0028797B">
        <w:rPr>
          <w:rFonts w:cstheme="minorHAnsi"/>
        </w:rPr>
        <w:t>Encourage</w:t>
      </w:r>
      <w:r w:rsidRPr="0028797B">
        <w:rPr>
          <w:rFonts w:cstheme="minorHAnsi"/>
          <w:spacing w:val="-13"/>
        </w:rPr>
        <w:t xml:space="preserve"> </w:t>
      </w:r>
      <w:r w:rsidRPr="0028797B">
        <w:rPr>
          <w:rFonts w:cstheme="minorHAnsi"/>
        </w:rPr>
        <w:t>creative</w:t>
      </w:r>
      <w:r w:rsidRPr="0028797B">
        <w:rPr>
          <w:rFonts w:cstheme="minorHAnsi"/>
          <w:spacing w:val="-8"/>
        </w:rPr>
        <w:t xml:space="preserve"> </w:t>
      </w:r>
      <w:r w:rsidRPr="0028797B">
        <w:rPr>
          <w:rFonts w:cstheme="minorHAnsi"/>
        </w:rPr>
        <w:t>design</w:t>
      </w:r>
      <w:r w:rsidRPr="0028797B">
        <w:rPr>
          <w:rFonts w:cstheme="minorHAnsi"/>
          <w:spacing w:val="-11"/>
        </w:rPr>
        <w:t xml:space="preserve"> </w:t>
      </w:r>
      <w:r w:rsidRPr="0028797B">
        <w:rPr>
          <w:rFonts w:cstheme="minorHAnsi"/>
        </w:rPr>
        <w:t>solutions</w:t>
      </w:r>
      <w:r w:rsidRPr="0028797B">
        <w:rPr>
          <w:rFonts w:cstheme="minorHAnsi"/>
          <w:spacing w:val="-15"/>
        </w:rPr>
        <w:t xml:space="preserve"> </w:t>
      </w:r>
      <w:r w:rsidRPr="0028797B">
        <w:rPr>
          <w:rFonts w:cstheme="minorHAnsi"/>
        </w:rPr>
        <w:t>of</w:t>
      </w:r>
      <w:r w:rsidRPr="0028797B">
        <w:rPr>
          <w:rFonts w:cstheme="minorHAnsi"/>
          <w:spacing w:val="-9"/>
        </w:rPr>
        <w:t xml:space="preserve"> </w:t>
      </w:r>
      <w:r w:rsidRPr="0028797B">
        <w:rPr>
          <w:rFonts w:cstheme="minorHAnsi"/>
        </w:rPr>
        <w:t>quality</w:t>
      </w:r>
      <w:r w:rsidRPr="0028797B">
        <w:rPr>
          <w:rFonts w:cstheme="minorHAnsi"/>
          <w:spacing w:val="-9"/>
        </w:rPr>
        <w:t xml:space="preserve"> </w:t>
      </w:r>
      <w:r w:rsidRPr="0028797B">
        <w:rPr>
          <w:rFonts w:cstheme="minorHAnsi"/>
        </w:rPr>
        <w:t>that</w:t>
      </w:r>
      <w:r w:rsidRPr="0028797B">
        <w:rPr>
          <w:rFonts w:cstheme="minorHAnsi"/>
          <w:spacing w:val="-11"/>
        </w:rPr>
        <w:t xml:space="preserve"> </w:t>
      </w:r>
      <w:r w:rsidRPr="0028797B">
        <w:rPr>
          <w:rFonts w:cstheme="minorHAnsi"/>
        </w:rPr>
        <w:t>meet</w:t>
      </w:r>
      <w:r w:rsidRPr="0028797B">
        <w:rPr>
          <w:rFonts w:cstheme="minorHAnsi"/>
          <w:spacing w:val="-7"/>
        </w:rPr>
        <w:t xml:space="preserve"> </w:t>
      </w:r>
      <w:r w:rsidRPr="0028797B">
        <w:rPr>
          <w:rFonts w:cstheme="minorHAnsi"/>
        </w:rPr>
        <w:t>the</w:t>
      </w:r>
      <w:r w:rsidRPr="0028797B">
        <w:rPr>
          <w:rFonts w:cstheme="minorHAnsi"/>
          <w:spacing w:val="-11"/>
        </w:rPr>
        <w:t xml:space="preserve"> </w:t>
      </w:r>
      <w:r w:rsidRPr="0028797B">
        <w:rPr>
          <w:rFonts w:cstheme="minorHAnsi"/>
        </w:rPr>
        <w:t>standards</w:t>
      </w:r>
      <w:r w:rsidRPr="0028797B">
        <w:rPr>
          <w:rFonts w:cstheme="minorHAnsi"/>
          <w:spacing w:val="-11"/>
        </w:rPr>
        <w:t xml:space="preserve"> </w:t>
      </w:r>
      <w:r w:rsidRPr="0028797B">
        <w:rPr>
          <w:rFonts w:cstheme="minorHAnsi"/>
        </w:rPr>
        <w:t>of</w:t>
      </w:r>
      <w:r w:rsidRPr="0028797B">
        <w:rPr>
          <w:rFonts w:cstheme="minorHAnsi"/>
          <w:spacing w:val="-11"/>
        </w:rPr>
        <w:t xml:space="preserve"> </w:t>
      </w:r>
      <w:r w:rsidRPr="0028797B">
        <w:rPr>
          <w:rFonts w:cstheme="minorHAnsi"/>
        </w:rPr>
        <w:t>this</w:t>
      </w:r>
      <w:r w:rsidRPr="0028797B">
        <w:rPr>
          <w:rFonts w:cstheme="minorHAnsi"/>
          <w:spacing w:val="-13"/>
        </w:rPr>
        <w:t xml:space="preserve"> </w:t>
      </w:r>
      <w:r w:rsidRPr="0028797B">
        <w:rPr>
          <w:rFonts w:cstheme="minorHAnsi"/>
        </w:rPr>
        <w:t>local</w:t>
      </w:r>
      <w:r w:rsidRPr="0028797B">
        <w:rPr>
          <w:rFonts w:cstheme="minorHAnsi"/>
          <w:spacing w:val="-12"/>
        </w:rPr>
        <w:t xml:space="preserve"> </w:t>
      </w:r>
      <w:r w:rsidRPr="0028797B">
        <w:rPr>
          <w:rFonts w:cstheme="minorHAnsi"/>
        </w:rPr>
        <w:t>planning</w:t>
      </w:r>
      <w:r w:rsidRPr="0028797B">
        <w:rPr>
          <w:rFonts w:cstheme="minorHAnsi"/>
          <w:spacing w:val="-10"/>
        </w:rPr>
        <w:t xml:space="preserve"> </w:t>
      </w:r>
      <w:r w:rsidRPr="0028797B">
        <w:rPr>
          <w:rFonts w:cstheme="minorHAnsi"/>
        </w:rPr>
        <w:t>policy and enhance the character of the heritage</w:t>
      </w:r>
      <w:r w:rsidRPr="0028797B">
        <w:rPr>
          <w:rFonts w:cstheme="minorHAnsi"/>
          <w:spacing w:val="-12"/>
        </w:rPr>
        <w:t xml:space="preserve"> </w:t>
      </w:r>
      <w:r w:rsidRPr="0028797B">
        <w:rPr>
          <w:rFonts w:cstheme="minorHAnsi"/>
        </w:rPr>
        <w:t>area.</w:t>
      </w:r>
    </w:p>
    <w:p w14:paraId="3F325D21" w14:textId="77777777" w:rsidR="00665A13" w:rsidRPr="0028797B" w:rsidRDefault="00665A13" w:rsidP="00156970">
      <w:pPr>
        <w:spacing w:after="0"/>
        <w:ind w:right="112"/>
        <w:rPr>
          <w:b/>
        </w:rPr>
      </w:pPr>
      <w:bookmarkStart w:id="554" w:name="_TOC_250011"/>
      <w:bookmarkEnd w:id="554"/>
      <w:r w:rsidRPr="0028797B">
        <w:rPr>
          <w:b/>
        </w:rPr>
        <w:t>DEVELOPMENT GUIDELINES</w:t>
      </w:r>
    </w:p>
    <w:p w14:paraId="0A2B7EF4" w14:textId="77777777" w:rsidR="00665A13" w:rsidRDefault="00665A13" w:rsidP="00156970">
      <w:pPr>
        <w:pStyle w:val="BodyText"/>
        <w:spacing w:after="200"/>
        <w:ind w:left="0" w:right="112"/>
      </w:pPr>
      <w:r w:rsidRPr="0028797B">
        <w:rPr>
          <w:rFonts w:asciiTheme="minorHAnsi" w:hAnsiTheme="minorHAnsi" w:cstheme="minorHAnsi"/>
        </w:rPr>
        <w:t>The following development guidelines apply to new development, including additions and alterations within the George Street Heritage Area</w:t>
      </w:r>
      <w:r>
        <w:t>:</w:t>
      </w:r>
    </w:p>
    <w:p w14:paraId="41B20073" w14:textId="77777777" w:rsidR="00665A13" w:rsidRPr="0028797B" w:rsidRDefault="0028797B" w:rsidP="00156970">
      <w:pPr>
        <w:spacing w:after="0"/>
        <w:ind w:left="425" w:right="112" w:hanging="425"/>
        <w:rPr>
          <w:b/>
        </w:rPr>
      </w:pPr>
      <w:bookmarkStart w:id="555" w:name="_TOC_250010"/>
      <w:r w:rsidRPr="0028797B">
        <w:rPr>
          <w:b/>
        </w:rPr>
        <w:t>1.</w:t>
      </w:r>
      <w:r w:rsidRPr="0028797B">
        <w:rPr>
          <w:b/>
        </w:rPr>
        <w:tab/>
      </w:r>
      <w:r w:rsidR="00665A13" w:rsidRPr="0028797B">
        <w:rPr>
          <w:b/>
        </w:rPr>
        <w:t>‘Line of Sight’ and Contextual Elevation</w:t>
      </w:r>
      <w:r w:rsidR="00665A13" w:rsidRPr="0028797B">
        <w:rPr>
          <w:b/>
          <w:spacing w:val="-8"/>
        </w:rPr>
        <w:t xml:space="preserve"> </w:t>
      </w:r>
      <w:bookmarkEnd w:id="555"/>
      <w:r w:rsidR="00665A13" w:rsidRPr="0028797B">
        <w:rPr>
          <w:b/>
        </w:rPr>
        <w:t>Diagrams</w:t>
      </w:r>
    </w:p>
    <w:p w14:paraId="64C82340" w14:textId="77777777" w:rsidR="00665A13" w:rsidRDefault="00665A13" w:rsidP="002A3889">
      <w:pPr>
        <w:pStyle w:val="ListParagraph"/>
        <w:widowControl w:val="0"/>
        <w:numPr>
          <w:ilvl w:val="1"/>
          <w:numId w:val="416"/>
        </w:numPr>
        <w:tabs>
          <w:tab w:val="left" w:pos="1199"/>
          <w:tab w:val="left" w:pos="1200"/>
        </w:tabs>
        <w:autoSpaceDE w:val="0"/>
        <w:autoSpaceDN w:val="0"/>
        <w:spacing w:after="60" w:line="240" w:lineRule="auto"/>
        <w:ind w:left="1202" w:right="113"/>
        <w:contextualSpacing w:val="0"/>
        <w:jc w:val="both"/>
      </w:pPr>
      <w:r>
        <w:t>Applications for Development Approval for additions and alterations to contributory buildings are to clearly document the proposal in relation to the existing building, including provision of a ‘line of sight’ diagram (refer Figures 2, 3, 4 and 5 in Appendix 2), where the line of sight is measured from a point 1.6 metres above the level of the footpath.</w:t>
      </w:r>
    </w:p>
    <w:p w14:paraId="6CFD4888" w14:textId="77777777" w:rsidR="00665A13" w:rsidRDefault="00665A13" w:rsidP="002A3889">
      <w:pPr>
        <w:pStyle w:val="ListParagraph"/>
        <w:widowControl w:val="0"/>
        <w:numPr>
          <w:ilvl w:val="1"/>
          <w:numId w:val="416"/>
        </w:numPr>
        <w:tabs>
          <w:tab w:val="left" w:pos="1199"/>
          <w:tab w:val="left" w:pos="1200"/>
        </w:tabs>
        <w:autoSpaceDE w:val="0"/>
        <w:autoSpaceDN w:val="0"/>
        <w:spacing w:after="60" w:line="240" w:lineRule="auto"/>
        <w:ind w:left="1202" w:right="113"/>
        <w:contextualSpacing w:val="0"/>
        <w:jc w:val="both"/>
      </w:pPr>
      <w:r>
        <w:t>Applications for Development Approval for contributory, non-contributory and new buildings are to include contextual elevations showing the elevation of the proposed development</w:t>
      </w:r>
      <w:r>
        <w:rPr>
          <w:spacing w:val="-12"/>
        </w:rPr>
        <w:t xml:space="preserve"> </w:t>
      </w:r>
      <w:r>
        <w:t>in</w:t>
      </w:r>
      <w:r>
        <w:rPr>
          <w:spacing w:val="-12"/>
        </w:rPr>
        <w:t xml:space="preserve"> </w:t>
      </w:r>
      <w:r>
        <w:t>relation</w:t>
      </w:r>
      <w:r>
        <w:rPr>
          <w:spacing w:val="-13"/>
        </w:rPr>
        <w:t xml:space="preserve"> </w:t>
      </w:r>
      <w:r>
        <w:t>to</w:t>
      </w:r>
      <w:r>
        <w:rPr>
          <w:spacing w:val="-16"/>
        </w:rPr>
        <w:t xml:space="preserve"> </w:t>
      </w:r>
      <w:r>
        <w:t>the</w:t>
      </w:r>
      <w:r>
        <w:rPr>
          <w:spacing w:val="-11"/>
        </w:rPr>
        <w:t xml:space="preserve"> </w:t>
      </w:r>
      <w:r>
        <w:t>existing</w:t>
      </w:r>
      <w:r>
        <w:rPr>
          <w:spacing w:val="-12"/>
        </w:rPr>
        <w:t xml:space="preserve"> </w:t>
      </w:r>
      <w:r>
        <w:t>development</w:t>
      </w:r>
      <w:r>
        <w:rPr>
          <w:spacing w:val="-15"/>
        </w:rPr>
        <w:t xml:space="preserve"> </w:t>
      </w:r>
      <w:r>
        <w:t>on</w:t>
      </w:r>
      <w:r>
        <w:rPr>
          <w:spacing w:val="-10"/>
        </w:rPr>
        <w:t xml:space="preserve"> </w:t>
      </w:r>
      <w:r>
        <w:t>the</w:t>
      </w:r>
      <w:r>
        <w:rPr>
          <w:spacing w:val="-11"/>
        </w:rPr>
        <w:t xml:space="preserve"> </w:t>
      </w:r>
      <w:r>
        <w:t>adjoining</w:t>
      </w:r>
      <w:r>
        <w:rPr>
          <w:spacing w:val="-13"/>
        </w:rPr>
        <w:t xml:space="preserve"> </w:t>
      </w:r>
      <w:r>
        <w:t>properties</w:t>
      </w:r>
      <w:r>
        <w:rPr>
          <w:spacing w:val="-15"/>
        </w:rPr>
        <w:t xml:space="preserve"> </w:t>
      </w:r>
      <w:r>
        <w:t>on</w:t>
      </w:r>
      <w:r>
        <w:rPr>
          <w:spacing w:val="-11"/>
        </w:rPr>
        <w:t xml:space="preserve"> </w:t>
      </w:r>
      <w:r>
        <w:t>either side (and beyond where</w:t>
      </w:r>
      <w:r>
        <w:rPr>
          <w:spacing w:val="-7"/>
        </w:rPr>
        <w:t xml:space="preserve"> </w:t>
      </w:r>
      <w:r>
        <w:t>required).</w:t>
      </w:r>
    </w:p>
    <w:p w14:paraId="4BD47407" w14:textId="77777777" w:rsidR="00665A13" w:rsidRDefault="00665A13" w:rsidP="002A3889">
      <w:pPr>
        <w:pStyle w:val="ListParagraph"/>
        <w:widowControl w:val="0"/>
        <w:numPr>
          <w:ilvl w:val="1"/>
          <w:numId w:val="416"/>
        </w:numPr>
        <w:tabs>
          <w:tab w:val="left" w:pos="1200"/>
        </w:tabs>
        <w:autoSpaceDE w:val="0"/>
        <w:autoSpaceDN w:val="0"/>
        <w:spacing w:line="240" w:lineRule="auto"/>
        <w:ind w:left="1202" w:right="112"/>
        <w:contextualSpacing w:val="0"/>
        <w:jc w:val="both"/>
      </w:pPr>
      <w:r>
        <w:t>Where a proposed addition to a contributory building is visible from the ‘line of sight’ views, or if any development proposal is otherwise deemed by the Town to adversely impact</w:t>
      </w:r>
      <w:r>
        <w:rPr>
          <w:spacing w:val="-10"/>
        </w:rPr>
        <w:t xml:space="preserve"> </w:t>
      </w:r>
      <w:r>
        <w:t>on</w:t>
      </w:r>
      <w:r>
        <w:rPr>
          <w:spacing w:val="-10"/>
        </w:rPr>
        <w:t xml:space="preserve"> </w:t>
      </w:r>
      <w:r>
        <w:t>the</w:t>
      </w:r>
      <w:r>
        <w:rPr>
          <w:spacing w:val="-9"/>
        </w:rPr>
        <w:t xml:space="preserve"> </w:t>
      </w:r>
      <w:r>
        <w:t>public</w:t>
      </w:r>
      <w:r>
        <w:rPr>
          <w:spacing w:val="-7"/>
        </w:rPr>
        <w:t xml:space="preserve"> </w:t>
      </w:r>
      <w:r>
        <w:t>views</w:t>
      </w:r>
      <w:r>
        <w:rPr>
          <w:spacing w:val="-11"/>
        </w:rPr>
        <w:t xml:space="preserve"> </w:t>
      </w:r>
      <w:r>
        <w:t>or</w:t>
      </w:r>
      <w:r>
        <w:rPr>
          <w:spacing w:val="-7"/>
        </w:rPr>
        <w:t xml:space="preserve"> </w:t>
      </w:r>
      <w:r>
        <w:t>streetscape</w:t>
      </w:r>
      <w:r>
        <w:rPr>
          <w:spacing w:val="-9"/>
        </w:rPr>
        <w:t xml:space="preserve"> </w:t>
      </w:r>
      <w:r>
        <w:t>within</w:t>
      </w:r>
      <w:r>
        <w:rPr>
          <w:spacing w:val="-8"/>
        </w:rPr>
        <w:t xml:space="preserve"> </w:t>
      </w:r>
      <w:r>
        <w:t>the</w:t>
      </w:r>
      <w:r>
        <w:rPr>
          <w:spacing w:val="-7"/>
        </w:rPr>
        <w:t xml:space="preserve"> </w:t>
      </w:r>
      <w:r>
        <w:t>Heritage</w:t>
      </w:r>
      <w:r>
        <w:rPr>
          <w:spacing w:val="-8"/>
        </w:rPr>
        <w:t xml:space="preserve"> </w:t>
      </w:r>
      <w:r>
        <w:t>Area,</w:t>
      </w:r>
      <w:r>
        <w:rPr>
          <w:spacing w:val="-7"/>
        </w:rPr>
        <w:t xml:space="preserve"> </w:t>
      </w:r>
      <w:r>
        <w:t>the</w:t>
      </w:r>
      <w:r>
        <w:rPr>
          <w:spacing w:val="-11"/>
        </w:rPr>
        <w:t xml:space="preserve"> </w:t>
      </w:r>
      <w:r>
        <w:t>Town</w:t>
      </w:r>
      <w:r>
        <w:rPr>
          <w:spacing w:val="-13"/>
        </w:rPr>
        <w:t xml:space="preserve"> </w:t>
      </w:r>
      <w:r>
        <w:t>may</w:t>
      </w:r>
      <w:r>
        <w:rPr>
          <w:spacing w:val="-10"/>
        </w:rPr>
        <w:t xml:space="preserve"> </w:t>
      </w:r>
      <w:r>
        <w:t>require a Heritage Impact Statement to be prepared by the</w:t>
      </w:r>
      <w:r>
        <w:rPr>
          <w:spacing w:val="-9"/>
        </w:rPr>
        <w:t xml:space="preserve"> </w:t>
      </w:r>
      <w:r>
        <w:t>applicant.</w:t>
      </w:r>
    </w:p>
    <w:p w14:paraId="30741CAA" w14:textId="77777777" w:rsidR="0028797B" w:rsidRPr="0028797B" w:rsidRDefault="0028797B" w:rsidP="0028797B">
      <w:pPr>
        <w:spacing w:after="120"/>
        <w:ind w:left="425" w:hanging="425"/>
        <w:rPr>
          <w:b/>
        </w:rPr>
      </w:pPr>
      <w:r w:rsidRPr="0028797B">
        <w:rPr>
          <w:b/>
        </w:rPr>
        <w:t>2.</w:t>
      </w:r>
      <w:r w:rsidRPr="0028797B">
        <w:rPr>
          <w:b/>
        </w:rPr>
        <w:tab/>
        <w:t xml:space="preserve">Contributory Buildings - </w:t>
      </w:r>
      <w:r w:rsidR="00665A13" w:rsidRPr="0028797B">
        <w:rPr>
          <w:b/>
        </w:rPr>
        <w:t xml:space="preserve">Alterations and Additions </w:t>
      </w:r>
    </w:p>
    <w:p w14:paraId="717C83B7" w14:textId="77777777" w:rsidR="00665A13" w:rsidRPr="0028797B" w:rsidRDefault="00665A13" w:rsidP="0028797B">
      <w:pPr>
        <w:spacing w:after="0"/>
        <w:ind w:left="425"/>
        <w:rPr>
          <w:b/>
        </w:rPr>
      </w:pPr>
      <w:r w:rsidRPr="0028797B">
        <w:rPr>
          <w:b/>
        </w:rPr>
        <w:t>Maintenance</w:t>
      </w:r>
    </w:p>
    <w:p w14:paraId="50D5FB24" w14:textId="77777777" w:rsidR="00665A13" w:rsidRDefault="0028797B" w:rsidP="00187E4E">
      <w:pPr>
        <w:widowControl w:val="0"/>
        <w:tabs>
          <w:tab w:val="left" w:pos="1134"/>
        </w:tabs>
        <w:autoSpaceDE w:val="0"/>
        <w:autoSpaceDN w:val="0"/>
        <w:spacing w:after="60" w:line="240" w:lineRule="auto"/>
        <w:ind w:left="1134" w:right="-28" w:hanging="709"/>
        <w:jc w:val="both"/>
      </w:pPr>
      <w:proofErr w:type="spellStart"/>
      <w:r>
        <w:t>i</w:t>
      </w:r>
      <w:proofErr w:type="spellEnd"/>
      <w:r>
        <w:t>.</w:t>
      </w:r>
      <w:r>
        <w:tab/>
      </w:r>
      <w:r w:rsidR="00665A13">
        <w:t>Maintenance</w:t>
      </w:r>
      <w:r w:rsidR="00665A13" w:rsidRPr="0028797B">
        <w:rPr>
          <w:spacing w:val="-2"/>
        </w:rPr>
        <w:t xml:space="preserve"> </w:t>
      </w:r>
      <w:r w:rsidR="00665A13">
        <w:t>is</w:t>
      </w:r>
      <w:r w:rsidR="00665A13" w:rsidRPr="0028797B">
        <w:rPr>
          <w:spacing w:val="-8"/>
        </w:rPr>
        <w:t xml:space="preserve"> </w:t>
      </w:r>
      <w:r w:rsidR="00665A13">
        <w:t>encouraged</w:t>
      </w:r>
      <w:r w:rsidR="00665A13" w:rsidRPr="0028797B">
        <w:rPr>
          <w:spacing w:val="-4"/>
        </w:rPr>
        <w:t xml:space="preserve"> </w:t>
      </w:r>
      <w:r w:rsidR="00665A13">
        <w:t>where</w:t>
      </w:r>
      <w:r w:rsidR="00665A13" w:rsidRPr="0028797B">
        <w:rPr>
          <w:spacing w:val="-1"/>
        </w:rPr>
        <w:t xml:space="preserve"> </w:t>
      </w:r>
      <w:r w:rsidR="00665A13">
        <w:t>issues</w:t>
      </w:r>
      <w:r w:rsidR="00665A13" w:rsidRPr="0028797B">
        <w:rPr>
          <w:spacing w:val="-4"/>
        </w:rPr>
        <w:t xml:space="preserve"> </w:t>
      </w:r>
      <w:r w:rsidR="00665A13">
        <w:t>relating</w:t>
      </w:r>
      <w:r w:rsidR="00665A13" w:rsidRPr="0028797B">
        <w:rPr>
          <w:spacing w:val="-4"/>
        </w:rPr>
        <w:t xml:space="preserve"> </w:t>
      </w:r>
      <w:r w:rsidR="00665A13">
        <w:t>to</w:t>
      </w:r>
      <w:r w:rsidR="00665A13" w:rsidRPr="0028797B">
        <w:rPr>
          <w:spacing w:val="-4"/>
        </w:rPr>
        <w:t xml:space="preserve"> </w:t>
      </w:r>
      <w:r w:rsidR="00665A13">
        <w:t>existing</w:t>
      </w:r>
      <w:r w:rsidR="00665A13" w:rsidRPr="0028797B">
        <w:rPr>
          <w:spacing w:val="-5"/>
        </w:rPr>
        <w:t xml:space="preserve"> </w:t>
      </w:r>
      <w:r w:rsidR="00665A13">
        <w:t>or</w:t>
      </w:r>
      <w:r w:rsidR="00665A13" w:rsidRPr="0028797B">
        <w:rPr>
          <w:spacing w:val="-6"/>
        </w:rPr>
        <w:t xml:space="preserve"> </w:t>
      </w:r>
      <w:r w:rsidR="00665A13">
        <w:t>potential</w:t>
      </w:r>
      <w:r w:rsidR="00665A13" w:rsidRPr="0028797B">
        <w:rPr>
          <w:spacing w:val="-4"/>
        </w:rPr>
        <w:t xml:space="preserve"> </w:t>
      </w:r>
      <w:r w:rsidR="00665A13">
        <w:t>deterioration</w:t>
      </w:r>
      <w:r w:rsidR="00665A13" w:rsidRPr="0028797B">
        <w:rPr>
          <w:spacing w:val="-4"/>
        </w:rPr>
        <w:t xml:space="preserve"> </w:t>
      </w:r>
      <w:r w:rsidR="00665A13">
        <w:t>of significant fabric are</w:t>
      </w:r>
      <w:r w:rsidR="00665A13" w:rsidRPr="0028797B">
        <w:rPr>
          <w:spacing w:val="-2"/>
        </w:rPr>
        <w:t xml:space="preserve"> </w:t>
      </w:r>
      <w:r w:rsidR="00665A13">
        <w:t>identified.</w:t>
      </w:r>
    </w:p>
    <w:p w14:paraId="3C107111" w14:textId="77777777" w:rsidR="00665A13" w:rsidRDefault="0028797B" w:rsidP="00187E4E">
      <w:pPr>
        <w:widowControl w:val="0"/>
        <w:tabs>
          <w:tab w:val="left" w:pos="1134"/>
        </w:tabs>
        <w:autoSpaceDE w:val="0"/>
        <w:autoSpaceDN w:val="0"/>
        <w:spacing w:after="60" w:line="237" w:lineRule="auto"/>
        <w:ind w:left="1134" w:right="-28" w:hanging="709"/>
        <w:jc w:val="both"/>
      </w:pPr>
      <w:r>
        <w:t>ii.</w:t>
      </w:r>
      <w:r>
        <w:tab/>
      </w:r>
      <w:r w:rsidR="00665A13">
        <w:t>Maintenance and repairs to contributory buildings are to have minimal impact on significant fabric.</w:t>
      </w:r>
    </w:p>
    <w:p w14:paraId="5DCE5C9C" w14:textId="77777777" w:rsidR="00665A13" w:rsidRDefault="0028797B" w:rsidP="00187E4E">
      <w:pPr>
        <w:widowControl w:val="0"/>
        <w:tabs>
          <w:tab w:val="left" w:pos="1134"/>
        </w:tabs>
        <w:autoSpaceDE w:val="0"/>
        <w:autoSpaceDN w:val="0"/>
        <w:spacing w:after="60" w:line="240" w:lineRule="auto"/>
        <w:ind w:left="1134" w:right="-28" w:hanging="709"/>
        <w:jc w:val="both"/>
      </w:pPr>
      <w:r>
        <w:t>iii.</w:t>
      </w:r>
      <w:r>
        <w:tab/>
      </w:r>
      <w:r w:rsidR="00665A13">
        <w:t>Conservation works are to match traditional techniques, material and</w:t>
      </w:r>
      <w:r w:rsidR="00665A13" w:rsidRPr="0028797B">
        <w:rPr>
          <w:spacing w:val="-20"/>
        </w:rPr>
        <w:t xml:space="preserve"> </w:t>
      </w:r>
      <w:r w:rsidR="00665A13">
        <w:t>finishes.</w:t>
      </w:r>
    </w:p>
    <w:p w14:paraId="50C3B8CB" w14:textId="77777777" w:rsidR="00665A13" w:rsidRDefault="0028797B" w:rsidP="00187E4E">
      <w:pPr>
        <w:widowControl w:val="0"/>
        <w:tabs>
          <w:tab w:val="left" w:pos="1134"/>
        </w:tabs>
        <w:autoSpaceDE w:val="0"/>
        <w:autoSpaceDN w:val="0"/>
        <w:spacing w:after="60" w:line="240" w:lineRule="auto"/>
        <w:ind w:left="1134" w:right="-28" w:hanging="709"/>
        <w:jc w:val="both"/>
      </w:pPr>
      <w:r>
        <w:t>iv.</w:t>
      </w:r>
      <w:r>
        <w:tab/>
      </w:r>
      <w:r w:rsidR="00665A13">
        <w:t>Maintenance</w:t>
      </w:r>
      <w:r w:rsidR="00665A13" w:rsidRPr="0028797B">
        <w:rPr>
          <w:spacing w:val="-10"/>
        </w:rPr>
        <w:t xml:space="preserve"> </w:t>
      </w:r>
      <w:r w:rsidR="00665A13">
        <w:t>of</w:t>
      </w:r>
      <w:r w:rsidR="00665A13" w:rsidRPr="0028797B">
        <w:rPr>
          <w:spacing w:val="-7"/>
        </w:rPr>
        <w:t xml:space="preserve"> </w:t>
      </w:r>
      <w:r w:rsidR="00665A13">
        <w:t>Original</w:t>
      </w:r>
      <w:r w:rsidR="00665A13" w:rsidRPr="0028797B">
        <w:rPr>
          <w:spacing w:val="-9"/>
        </w:rPr>
        <w:t xml:space="preserve"> </w:t>
      </w:r>
      <w:r w:rsidR="00665A13">
        <w:t>and</w:t>
      </w:r>
      <w:r w:rsidR="00665A13" w:rsidRPr="0028797B">
        <w:rPr>
          <w:spacing w:val="-7"/>
        </w:rPr>
        <w:t xml:space="preserve"> </w:t>
      </w:r>
      <w:r w:rsidR="00665A13">
        <w:t>intact</w:t>
      </w:r>
      <w:r w:rsidR="00665A13" w:rsidRPr="0028797B">
        <w:rPr>
          <w:spacing w:val="-9"/>
        </w:rPr>
        <w:t xml:space="preserve"> </w:t>
      </w:r>
      <w:r w:rsidR="00665A13">
        <w:t>unpainted</w:t>
      </w:r>
      <w:r w:rsidR="00665A13" w:rsidRPr="0028797B">
        <w:rPr>
          <w:spacing w:val="-8"/>
        </w:rPr>
        <w:t xml:space="preserve"> </w:t>
      </w:r>
      <w:r w:rsidR="00665A13">
        <w:t>surfaces</w:t>
      </w:r>
      <w:r w:rsidR="00665A13" w:rsidRPr="0028797B">
        <w:rPr>
          <w:spacing w:val="-14"/>
        </w:rPr>
        <w:t xml:space="preserve"> </w:t>
      </w:r>
      <w:r w:rsidR="00665A13">
        <w:t>are</w:t>
      </w:r>
      <w:r w:rsidR="00665A13" w:rsidRPr="0028797B">
        <w:rPr>
          <w:spacing w:val="-7"/>
        </w:rPr>
        <w:t xml:space="preserve"> </w:t>
      </w:r>
      <w:r w:rsidR="00665A13">
        <w:t>not</w:t>
      </w:r>
      <w:r w:rsidR="00665A13" w:rsidRPr="0028797B">
        <w:rPr>
          <w:spacing w:val="-6"/>
        </w:rPr>
        <w:t xml:space="preserve"> </w:t>
      </w:r>
      <w:r w:rsidR="00665A13">
        <w:t>to</w:t>
      </w:r>
      <w:r w:rsidR="00665A13" w:rsidRPr="0028797B">
        <w:rPr>
          <w:spacing w:val="-8"/>
        </w:rPr>
        <w:t xml:space="preserve"> </w:t>
      </w:r>
      <w:r w:rsidR="00665A13">
        <w:t>be</w:t>
      </w:r>
      <w:r w:rsidR="00665A13" w:rsidRPr="0028797B">
        <w:rPr>
          <w:spacing w:val="-9"/>
        </w:rPr>
        <w:t xml:space="preserve"> </w:t>
      </w:r>
      <w:r w:rsidR="00665A13">
        <w:t>rendered.</w:t>
      </w:r>
      <w:r w:rsidR="00665A13" w:rsidRPr="0028797B">
        <w:rPr>
          <w:strike/>
          <w:spacing w:val="-8"/>
        </w:rPr>
        <w:t xml:space="preserve"> </w:t>
      </w:r>
    </w:p>
    <w:p w14:paraId="7F9521B4" w14:textId="77777777" w:rsidR="00665A13" w:rsidRDefault="0028797B" w:rsidP="00187E4E">
      <w:pPr>
        <w:widowControl w:val="0"/>
        <w:tabs>
          <w:tab w:val="left" w:pos="1134"/>
        </w:tabs>
        <w:autoSpaceDE w:val="0"/>
        <w:autoSpaceDN w:val="0"/>
        <w:spacing w:before="5" w:line="240" w:lineRule="auto"/>
        <w:ind w:left="1134" w:right="-28" w:hanging="709"/>
        <w:jc w:val="both"/>
      </w:pPr>
      <w:r>
        <w:t>v.</w:t>
      </w:r>
      <w:r>
        <w:tab/>
      </w:r>
      <w:r w:rsidR="00665A13">
        <w:t>Tuck pointing to be reinstated where</w:t>
      </w:r>
      <w:r w:rsidR="00665A13" w:rsidRPr="0028797B">
        <w:rPr>
          <w:spacing w:val="-4"/>
        </w:rPr>
        <w:t xml:space="preserve"> </w:t>
      </w:r>
      <w:r w:rsidR="00665A13">
        <w:t>appropriate.</w:t>
      </w:r>
    </w:p>
    <w:p w14:paraId="173AEE0E" w14:textId="77777777" w:rsidR="00665A13" w:rsidRPr="0028797B" w:rsidRDefault="00665A13" w:rsidP="00156970">
      <w:pPr>
        <w:spacing w:after="0"/>
        <w:ind w:left="426" w:right="-29"/>
        <w:rPr>
          <w:b/>
        </w:rPr>
      </w:pPr>
      <w:r w:rsidRPr="0028797B">
        <w:rPr>
          <w:b/>
        </w:rPr>
        <w:t>General Principles</w:t>
      </w:r>
    </w:p>
    <w:p w14:paraId="4ACB45B5" w14:textId="77777777" w:rsidR="00665A13" w:rsidRDefault="00665A13" w:rsidP="002A3889">
      <w:pPr>
        <w:pStyle w:val="ListParagraph"/>
        <w:widowControl w:val="0"/>
        <w:numPr>
          <w:ilvl w:val="0"/>
          <w:numId w:val="415"/>
        </w:numPr>
        <w:tabs>
          <w:tab w:val="left" w:pos="1199"/>
          <w:tab w:val="left" w:pos="1200"/>
        </w:tabs>
        <w:autoSpaceDE w:val="0"/>
        <w:autoSpaceDN w:val="0"/>
        <w:spacing w:after="60" w:line="240" w:lineRule="auto"/>
        <w:ind w:right="-29"/>
        <w:contextualSpacing w:val="0"/>
        <w:jc w:val="both"/>
      </w:pPr>
      <w:r>
        <w:t>Maintenance,</w:t>
      </w:r>
      <w:r>
        <w:rPr>
          <w:spacing w:val="-5"/>
        </w:rPr>
        <w:t xml:space="preserve"> </w:t>
      </w:r>
      <w:r>
        <w:t>repairs,</w:t>
      </w:r>
      <w:r>
        <w:rPr>
          <w:spacing w:val="-7"/>
        </w:rPr>
        <w:t xml:space="preserve"> </w:t>
      </w:r>
      <w:r>
        <w:t>additions</w:t>
      </w:r>
      <w:r>
        <w:rPr>
          <w:spacing w:val="-6"/>
        </w:rPr>
        <w:t xml:space="preserve"> </w:t>
      </w:r>
      <w:r>
        <w:t>and</w:t>
      </w:r>
      <w:r>
        <w:rPr>
          <w:spacing w:val="-6"/>
        </w:rPr>
        <w:t xml:space="preserve"> </w:t>
      </w:r>
      <w:r>
        <w:t>alterations</w:t>
      </w:r>
      <w:r>
        <w:rPr>
          <w:spacing w:val="-5"/>
        </w:rPr>
        <w:t xml:space="preserve"> </w:t>
      </w:r>
      <w:r>
        <w:t>to</w:t>
      </w:r>
      <w:r>
        <w:rPr>
          <w:spacing w:val="-5"/>
        </w:rPr>
        <w:t xml:space="preserve"> </w:t>
      </w:r>
      <w:r>
        <w:t>significant</w:t>
      </w:r>
      <w:r>
        <w:rPr>
          <w:spacing w:val="-3"/>
        </w:rPr>
        <w:t xml:space="preserve"> </w:t>
      </w:r>
      <w:r>
        <w:t>fabric</w:t>
      </w:r>
      <w:r>
        <w:rPr>
          <w:spacing w:val="-7"/>
        </w:rPr>
        <w:t xml:space="preserve"> </w:t>
      </w:r>
      <w:r>
        <w:t>is</w:t>
      </w:r>
      <w:r>
        <w:rPr>
          <w:spacing w:val="-7"/>
        </w:rPr>
        <w:t xml:space="preserve"> </w:t>
      </w:r>
      <w:r>
        <w:t>to</w:t>
      </w:r>
      <w:r>
        <w:rPr>
          <w:spacing w:val="-5"/>
        </w:rPr>
        <w:t xml:space="preserve"> </w:t>
      </w:r>
      <w:r>
        <w:t>be</w:t>
      </w:r>
      <w:r>
        <w:rPr>
          <w:spacing w:val="-9"/>
        </w:rPr>
        <w:t xml:space="preserve"> </w:t>
      </w:r>
      <w:r>
        <w:t>in</w:t>
      </w:r>
      <w:r>
        <w:rPr>
          <w:spacing w:val="-6"/>
        </w:rPr>
        <w:t xml:space="preserve"> </w:t>
      </w:r>
      <w:r>
        <w:t>accordance with</w:t>
      </w:r>
      <w:r>
        <w:rPr>
          <w:spacing w:val="-5"/>
        </w:rPr>
        <w:t xml:space="preserve"> </w:t>
      </w:r>
      <w:r>
        <w:lastRenderedPageBreak/>
        <w:t>conservation</w:t>
      </w:r>
      <w:r>
        <w:rPr>
          <w:spacing w:val="-6"/>
        </w:rPr>
        <w:t xml:space="preserve"> </w:t>
      </w:r>
      <w:r>
        <w:t>principles</w:t>
      </w:r>
      <w:r>
        <w:rPr>
          <w:spacing w:val="-3"/>
        </w:rPr>
        <w:t xml:space="preserve"> </w:t>
      </w:r>
      <w:r>
        <w:t>of</w:t>
      </w:r>
      <w:r>
        <w:rPr>
          <w:spacing w:val="-3"/>
        </w:rPr>
        <w:t xml:space="preserve"> </w:t>
      </w:r>
      <w:r>
        <w:t>the</w:t>
      </w:r>
      <w:r>
        <w:rPr>
          <w:spacing w:val="-3"/>
        </w:rPr>
        <w:t xml:space="preserve"> </w:t>
      </w:r>
      <w:r>
        <w:t>National</w:t>
      </w:r>
      <w:r>
        <w:rPr>
          <w:spacing w:val="-4"/>
        </w:rPr>
        <w:t xml:space="preserve"> </w:t>
      </w:r>
      <w:r>
        <w:t>Heritage</w:t>
      </w:r>
      <w:r>
        <w:rPr>
          <w:spacing w:val="-3"/>
        </w:rPr>
        <w:t xml:space="preserve"> </w:t>
      </w:r>
      <w:r>
        <w:t>Convention</w:t>
      </w:r>
      <w:r>
        <w:rPr>
          <w:spacing w:val="-7"/>
        </w:rPr>
        <w:t xml:space="preserve"> </w:t>
      </w:r>
      <w:r>
        <w:t>2008</w:t>
      </w:r>
      <w:r>
        <w:rPr>
          <w:spacing w:val="-6"/>
        </w:rPr>
        <w:t xml:space="preserve"> </w:t>
      </w:r>
      <w:r>
        <w:t>(HERCON)</w:t>
      </w:r>
      <w:r>
        <w:rPr>
          <w:spacing w:val="-4"/>
        </w:rPr>
        <w:t xml:space="preserve"> </w:t>
      </w:r>
      <w:r>
        <w:t>Criteria (refer to Appendix</w:t>
      </w:r>
      <w:r>
        <w:rPr>
          <w:spacing w:val="-4"/>
        </w:rPr>
        <w:t xml:space="preserve"> </w:t>
      </w:r>
      <w:r>
        <w:t>3).</w:t>
      </w:r>
    </w:p>
    <w:p w14:paraId="733E1A8D" w14:textId="77777777" w:rsidR="00665A13" w:rsidRDefault="00665A13" w:rsidP="002A3889">
      <w:pPr>
        <w:pStyle w:val="ListParagraph"/>
        <w:widowControl w:val="0"/>
        <w:numPr>
          <w:ilvl w:val="0"/>
          <w:numId w:val="415"/>
        </w:numPr>
        <w:tabs>
          <w:tab w:val="left" w:pos="1199"/>
          <w:tab w:val="left" w:pos="1200"/>
        </w:tabs>
        <w:autoSpaceDE w:val="0"/>
        <w:autoSpaceDN w:val="0"/>
        <w:spacing w:after="60" w:line="240" w:lineRule="auto"/>
        <w:ind w:right="-29"/>
        <w:contextualSpacing w:val="0"/>
        <w:jc w:val="both"/>
      </w:pPr>
      <w:r>
        <w:t>Additions and alterations to contributory buildings are to duly consider the significance and character of the existing building, adjoining buildings and its contribution to the character of the Heritage</w:t>
      </w:r>
      <w:r>
        <w:rPr>
          <w:spacing w:val="-4"/>
        </w:rPr>
        <w:t xml:space="preserve"> </w:t>
      </w:r>
      <w:r>
        <w:t>Area.</w:t>
      </w:r>
    </w:p>
    <w:p w14:paraId="308D7F58" w14:textId="77777777" w:rsidR="00665A13" w:rsidRDefault="00665A13" w:rsidP="002A3889">
      <w:pPr>
        <w:pStyle w:val="ListParagraph"/>
        <w:widowControl w:val="0"/>
        <w:numPr>
          <w:ilvl w:val="0"/>
          <w:numId w:val="415"/>
        </w:numPr>
        <w:tabs>
          <w:tab w:val="left" w:pos="1200"/>
        </w:tabs>
        <w:autoSpaceDE w:val="0"/>
        <w:autoSpaceDN w:val="0"/>
        <w:spacing w:after="60" w:line="240" w:lineRule="auto"/>
        <w:ind w:right="-29"/>
        <w:contextualSpacing w:val="0"/>
        <w:jc w:val="both"/>
      </w:pPr>
      <w:r>
        <w:t>The Place Record Form for each contributory building will be a primary source of information relevant to the place in the assessment of development</w:t>
      </w:r>
      <w:r>
        <w:rPr>
          <w:spacing w:val="-21"/>
        </w:rPr>
        <w:t xml:space="preserve"> </w:t>
      </w:r>
      <w:r>
        <w:t>applications.</w:t>
      </w:r>
    </w:p>
    <w:p w14:paraId="3F5B3101" w14:textId="77777777" w:rsidR="00665A13" w:rsidRDefault="00665A13" w:rsidP="002A3889">
      <w:pPr>
        <w:pStyle w:val="ListParagraph"/>
        <w:widowControl w:val="0"/>
        <w:numPr>
          <w:ilvl w:val="0"/>
          <w:numId w:val="415"/>
        </w:numPr>
        <w:tabs>
          <w:tab w:val="left" w:pos="1201"/>
        </w:tabs>
        <w:autoSpaceDE w:val="0"/>
        <w:autoSpaceDN w:val="0"/>
        <w:spacing w:after="60" w:line="240" w:lineRule="auto"/>
        <w:ind w:right="-29"/>
        <w:contextualSpacing w:val="0"/>
        <w:jc w:val="both"/>
      </w:pPr>
      <w:r>
        <w:t xml:space="preserve">Additions and alterations to contributory buildings are to be of </w:t>
      </w:r>
      <w:proofErr w:type="gramStart"/>
      <w:r>
        <w:t>high quality</w:t>
      </w:r>
      <w:proofErr w:type="gramEnd"/>
      <w:r>
        <w:t xml:space="preserve"> design with minimal interference to the existing</w:t>
      </w:r>
      <w:r>
        <w:rPr>
          <w:spacing w:val="-8"/>
        </w:rPr>
        <w:t xml:space="preserve"> </w:t>
      </w:r>
      <w:r>
        <w:t>building.</w:t>
      </w:r>
    </w:p>
    <w:p w14:paraId="2873CBA1" w14:textId="77777777" w:rsidR="00665A13" w:rsidRDefault="00665A13" w:rsidP="002A3889">
      <w:pPr>
        <w:pStyle w:val="ListParagraph"/>
        <w:widowControl w:val="0"/>
        <w:numPr>
          <w:ilvl w:val="0"/>
          <w:numId w:val="415"/>
        </w:numPr>
        <w:tabs>
          <w:tab w:val="left" w:pos="1199"/>
          <w:tab w:val="left" w:pos="1200"/>
        </w:tabs>
        <w:autoSpaceDE w:val="0"/>
        <w:autoSpaceDN w:val="0"/>
        <w:spacing w:after="60" w:line="237" w:lineRule="auto"/>
        <w:ind w:right="-29"/>
        <w:contextualSpacing w:val="0"/>
        <w:jc w:val="both"/>
      </w:pPr>
      <w:r>
        <w:t>Alterations should not generally remove, change or obscure significant materials or detailing other than as part of required conservation</w:t>
      </w:r>
      <w:r>
        <w:rPr>
          <w:spacing w:val="-12"/>
        </w:rPr>
        <w:t xml:space="preserve"> </w:t>
      </w:r>
      <w:r>
        <w:t>works.</w:t>
      </w:r>
    </w:p>
    <w:p w14:paraId="7D57B846" w14:textId="77777777" w:rsidR="00665A13" w:rsidRDefault="00665A13" w:rsidP="002A3889">
      <w:pPr>
        <w:pStyle w:val="ListParagraph"/>
        <w:widowControl w:val="0"/>
        <w:numPr>
          <w:ilvl w:val="0"/>
          <w:numId w:val="415"/>
        </w:numPr>
        <w:tabs>
          <w:tab w:val="left" w:pos="1200"/>
        </w:tabs>
        <w:autoSpaceDE w:val="0"/>
        <w:autoSpaceDN w:val="0"/>
        <w:spacing w:after="60" w:line="240" w:lineRule="auto"/>
        <w:ind w:right="-29"/>
        <w:contextualSpacing w:val="0"/>
        <w:jc w:val="both"/>
      </w:pPr>
      <w:r>
        <w:t>Alterations</w:t>
      </w:r>
      <w:r>
        <w:rPr>
          <w:spacing w:val="-3"/>
        </w:rPr>
        <w:t xml:space="preserve"> </w:t>
      </w:r>
      <w:r>
        <w:t>should</w:t>
      </w:r>
      <w:r>
        <w:rPr>
          <w:spacing w:val="-5"/>
        </w:rPr>
        <w:t xml:space="preserve"> </w:t>
      </w:r>
      <w:r>
        <w:t>not</w:t>
      </w:r>
      <w:r>
        <w:rPr>
          <w:spacing w:val="-2"/>
        </w:rPr>
        <w:t xml:space="preserve"> </w:t>
      </w:r>
      <w:r>
        <w:t>introduce</w:t>
      </w:r>
      <w:r>
        <w:rPr>
          <w:spacing w:val="-5"/>
        </w:rPr>
        <w:t xml:space="preserve"> </w:t>
      </w:r>
      <w:r>
        <w:t>new</w:t>
      </w:r>
      <w:r>
        <w:rPr>
          <w:spacing w:val="-3"/>
        </w:rPr>
        <w:t xml:space="preserve"> </w:t>
      </w:r>
      <w:r>
        <w:t>heritage</w:t>
      </w:r>
      <w:r>
        <w:rPr>
          <w:spacing w:val="-3"/>
        </w:rPr>
        <w:t xml:space="preserve"> </w:t>
      </w:r>
      <w:r>
        <w:t>detailing</w:t>
      </w:r>
      <w:r>
        <w:rPr>
          <w:spacing w:val="-3"/>
        </w:rPr>
        <w:t xml:space="preserve"> </w:t>
      </w:r>
      <w:r>
        <w:t>that</w:t>
      </w:r>
      <w:r>
        <w:rPr>
          <w:spacing w:val="-2"/>
        </w:rPr>
        <w:t xml:space="preserve"> </w:t>
      </w:r>
      <w:r>
        <w:t>is</w:t>
      </w:r>
      <w:r>
        <w:rPr>
          <w:spacing w:val="-3"/>
        </w:rPr>
        <w:t xml:space="preserve"> </w:t>
      </w:r>
      <w:r>
        <w:t>inconsistent</w:t>
      </w:r>
      <w:r>
        <w:rPr>
          <w:spacing w:val="-4"/>
        </w:rPr>
        <w:t xml:space="preserve"> </w:t>
      </w:r>
      <w:r>
        <w:t>with</w:t>
      </w:r>
      <w:r>
        <w:rPr>
          <w:spacing w:val="-8"/>
        </w:rPr>
        <w:t xml:space="preserve"> </w:t>
      </w:r>
      <w:r>
        <w:t>the</w:t>
      </w:r>
      <w:r>
        <w:rPr>
          <w:spacing w:val="-3"/>
        </w:rPr>
        <w:t xml:space="preserve"> </w:t>
      </w:r>
      <w:r>
        <w:t>style of building and/or the physical or documentary</w:t>
      </w:r>
      <w:r>
        <w:rPr>
          <w:spacing w:val="-9"/>
        </w:rPr>
        <w:t xml:space="preserve"> </w:t>
      </w:r>
      <w:r>
        <w:t>evidence.</w:t>
      </w:r>
    </w:p>
    <w:p w14:paraId="29455F00" w14:textId="77777777" w:rsidR="00665A13" w:rsidRDefault="00665A13" w:rsidP="002A3889">
      <w:pPr>
        <w:pStyle w:val="ListParagraph"/>
        <w:widowControl w:val="0"/>
        <w:numPr>
          <w:ilvl w:val="0"/>
          <w:numId w:val="415"/>
        </w:numPr>
        <w:tabs>
          <w:tab w:val="left" w:pos="1200"/>
        </w:tabs>
        <w:autoSpaceDE w:val="0"/>
        <w:autoSpaceDN w:val="0"/>
        <w:spacing w:after="60" w:line="240" w:lineRule="auto"/>
        <w:ind w:right="-29"/>
        <w:contextualSpacing w:val="0"/>
        <w:jc w:val="both"/>
      </w:pPr>
      <w:r>
        <w:t>Where the opportunity arises, any features or elements that are intrusive to the heritage values of the Heritage Area should be removed, replaced or altered to more sympathetic detailing.</w:t>
      </w:r>
    </w:p>
    <w:p w14:paraId="655A495B" w14:textId="77777777" w:rsidR="00665A13" w:rsidRPr="00187E4E" w:rsidRDefault="00665A13" w:rsidP="002A3889">
      <w:pPr>
        <w:pStyle w:val="ListParagraph"/>
        <w:widowControl w:val="0"/>
        <w:numPr>
          <w:ilvl w:val="0"/>
          <w:numId w:val="415"/>
        </w:numPr>
        <w:tabs>
          <w:tab w:val="left" w:pos="1200"/>
        </w:tabs>
        <w:autoSpaceDE w:val="0"/>
        <w:autoSpaceDN w:val="0"/>
        <w:spacing w:after="60" w:line="240" w:lineRule="auto"/>
        <w:ind w:left="1202" w:right="-29"/>
        <w:contextualSpacing w:val="0"/>
        <w:jc w:val="both"/>
        <w:rPr>
          <w:rFonts w:cstheme="minorHAnsi"/>
        </w:rPr>
      </w:pPr>
      <w:r>
        <w:t>Restoration/reconstruction of original fabric is encouraged where such fabric has significantly deteriorated, previously been removed or unsympathetically altered.</w:t>
      </w:r>
      <w:r w:rsidRPr="00187E4E">
        <w:rPr>
          <w:spacing w:val="-28"/>
        </w:rPr>
        <w:t xml:space="preserve"> </w:t>
      </w:r>
      <w:r w:rsidRPr="00187E4E">
        <w:rPr>
          <w:rFonts w:cstheme="minorHAnsi"/>
        </w:rPr>
        <w:t>Where</w:t>
      </w:r>
      <w:r w:rsidR="00187E4E">
        <w:rPr>
          <w:rFonts w:cstheme="minorHAnsi"/>
        </w:rPr>
        <w:t xml:space="preserve"> </w:t>
      </w:r>
      <w:r w:rsidRPr="00187E4E">
        <w:rPr>
          <w:rFonts w:cstheme="minorHAnsi"/>
        </w:rPr>
        <w:t>deteriorated fabric requires replacement, a like for like approach based on physical or documentary evidence is encouraged.</w:t>
      </w:r>
    </w:p>
    <w:p w14:paraId="53BD1767" w14:textId="77777777" w:rsidR="00665A13" w:rsidRDefault="00665A13" w:rsidP="002A3889">
      <w:pPr>
        <w:pStyle w:val="ListParagraph"/>
        <w:widowControl w:val="0"/>
        <w:numPr>
          <w:ilvl w:val="0"/>
          <w:numId w:val="415"/>
        </w:numPr>
        <w:tabs>
          <w:tab w:val="left" w:pos="1200"/>
        </w:tabs>
        <w:autoSpaceDE w:val="0"/>
        <w:autoSpaceDN w:val="0"/>
        <w:spacing w:after="60" w:line="240" w:lineRule="auto"/>
        <w:ind w:left="1199" w:right="-29"/>
        <w:contextualSpacing w:val="0"/>
        <w:jc w:val="both"/>
      </w:pPr>
      <w:r>
        <w:t>Additions are not to be dominant from the primary</w:t>
      </w:r>
      <w:r>
        <w:rPr>
          <w:spacing w:val="-6"/>
        </w:rPr>
        <w:t xml:space="preserve"> </w:t>
      </w:r>
      <w:r>
        <w:t>street.</w:t>
      </w:r>
    </w:p>
    <w:p w14:paraId="1837A11D" w14:textId="77777777" w:rsidR="00665A13" w:rsidRDefault="00665A13" w:rsidP="002A3889">
      <w:pPr>
        <w:pStyle w:val="ListParagraph"/>
        <w:widowControl w:val="0"/>
        <w:numPr>
          <w:ilvl w:val="0"/>
          <w:numId w:val="415"/>
        </w:numPr>
        <w:tabs>
          <w:tab w:val="left" w:pos="1199"/>
          <w:tab w:val="left" w:pos="1201"/>
        </w:tabs>
        <w:autoSpaceDE w:val="0"/>
        <w:autoSpaceDN w:val="0"/>
        <w:spacing w:after="60" w:line="240" w:lineRule="auto"/>
        <w:ind w:right="-29"/>
        <w:contextualSpacing w:val="0"/>
        <w:jc w:val="both"/>
      </w:pPr>
      <w:r>
        <w:t>Additions and alterations should visually contrast to a contributory place. Differentiation may be major or</w:t>
      </w:r>
      <w:r>
        <w:rPr>
          <w:spacing w:val="-5"/>
        </w:rPr>
        <w:t xml:space="preserve"> </w:t>
      </w:r>
      <w:r>
        <w:t>subtle.</w:t>
      </w:r>
    </w:p>
    <w:p w14:paraId="292C8F15" w14:textId="77777777" w:rsidR="00665A13" w:rsidRDefault="00665A13" w:rsidP="002A3889">
      <w:pPr>
        <w:pStyle w:val="ListParagraph"/>
        <w:widowControl w:val="0"/>
        <w:numPr>
          <w:ilvl w:val="0"/>
          <w:numId w:val="415"/>
        </w:numPr>
        <w:tabs>
          <w:tab w:val="left" w:pos="1201"/>
        </w:tabs>
        <w:autoSpaceDE w:val="0"/>
        <w:autoSpaceDN w:val="0"/>
        <w:spacing w:after="60" w:line="240" w:lineRule="auto"/>
        <w:ind w:right="-29"/>
        <w:contextualSpacing w:val="0"/>
        <w:jc w:val="both"/>
      </w:pPr>
      <w:r>
        <w:t>Additions and alterations are to respect and complement the scale, setbacks, bulk and proportions of the existing place and</w:t>
      </w:r>
      <w:r>
        <w:rPr>
          <w:spacing w:val="-8"/>
        </w:rPr>
        <w:t xml:space="preserve"> </w:t>
      </w:r>
      <w:r>
        <w:t>streetscape.</w:t>
      </w:r>
    </w:p>
    <w:p w14:paraId="2D79DF4A" w14:textId="77777777" w:rsidR="00665A13" w:rsidRDefault="00665A13" w:rsidP="002A3889">
      <w:pPr>
        <w:pStyle w:val="ListParagraph"/>
        <w:widowControl w:val="0"/>
        <w:numPr>
          <w:ilvl w:val="0"/>
          <w:numId w:val="415"/>
        </w:numPr>
        <w:tabs>
          <w:tab w:val="left" w:pos="1201"/>
        </w:tabs>
        <w:autoSpaceDE w:val="0"/>
        <w:autoSpaceDN w:val="0"/>
        <w:spacing w:after="60" w:line="240" w:lineRule="auto"/>
        <w:ind w:right="-29"/>
        <w:contextualSpacing w:val="0"/>
        <w:jc w:val="both"/>
      </w:pPr>
      <w:r>
        <w:t>Conservation of significant and contributory places is preferred and encouraged. Other than the removal of inappropriate alterations, additions and works that detract from the cultural significance of the place, demolition of contributory buildings is not generally supported without significant</w:t>
      </w:r>
      <w:r>
        <w:rPr>
          <w:spacing w:val="-4"/>
        </w:rPr>
        <w:t xml:space="preserve"> </w:t>
      </w:r>
      <w:r>
        <w:t>justification.</w:t>
      </w:r>
    </w:p>
    <w:p w14:paraId="3777D860" w14:textId="77777777" w:rsidR="00665A13" w:rsidRDefault="00665A13" w:rsidP="002A3889">
      <w:pPr>
        <w:pStyle w:val="ListParagraph"/>
        <w:widowControl w:val="0"/>
        <w:numPr>
          <w:ilvl w:val="0"/>
          <w:numId w:val="415"/>
        </w:numPr>
        <w:tabs>
          <w:tab w:val="left" w:pos="1201"/>
        </w:tabs>
        <w:autoSpaceDE w:val="0"/>
        <w:autoSpaceDN w:val="0"/>
        <w:spacing w:line="240" w:lineRule="auto"/>
        <w:ind w:left="1202" w:right="-29" w:hanging="776"/>
        <w:contextualSpacing w:val="0"/>
        <w:jc w:val="both"/>
      </w:pPr>
      <w:r>
        <w:t>Where a contributory building that was not originally designed for retail purposes is proposed be converted to include a shopfront, the Town may require a Heritage Impact Statement to be prepared by the</w:t>
      </w:r>
      <w:r>
        <w:rPr>
          <w:spacing w:val="-4"/>
        </w:rPr>
        <w:t xml:space="preserve"> </w:t>
      </w:r>
      <w:r>
        <w:t>applicant.</w:t>
      </w:r>
    </w:p>
    <w:p w14:paraId="0BB4A116" w14:textId="77777777" w:rsidR="00665A13" w:rsidRPr="0028797B" w:rsidRDefault="00665A13" w:rsidP="0028797B">
      <w:pPr>
        <w:spacing w:after="0"/>
        <w:ind w:left="425"/>
        <w:rPr>
          <w:b/>
        </w:rPr>
      </w:pPr>
      <w:r w:rsidRPr="0028797B">
        <w:rPr>
          <w:b/>
        </w:rPr>
        <w:t>Shopfronts</w:t>
      </w:r>
    </w:p>
    <w:p w14:paraId="2B94840A" w14:textId="77777777" w:rsidR="00665A13" w:rsidRDefault="00665A13" w:rsidP="002A3889">
      <w:pPr>
        <w:pStyle w:val="ListParagraph"/>
        <w:widowControl w:val="0"/>
        <w:numPr>
          <w:ilvl w:val="0"/>
          <w:numId w:val="414"/>
        </w:numPr>
        <w:tabs>
          <w:tab w:val="left" w:pos="1199"/>
          <w:tab w:val="left" w:pos="1200"/>
        </w:tabs>
        <w:autoSpaceDE w:val="0"/>
        <w:autoSpaceDN w:val="0"/>
        <w:spacing w:after="60" w:line="240" w:lineRule="auto"/>
        <w:ind w:right="-29" w:hanging="774"/>
        <w:contextualSpacing w:val="0"/>
        <w:jc w:val="both"/>
      </w:pPr>
      <w:r>
        <w:t>Existing original shopfront details are to be conserved. Major alterations or removal will not generally be supported where a shopfront is original to the building, or where a later shopfront has significant design value. Where modification is required to meet current building standards the works should minimise alteration to the original</w:t>
      </w:r>
      <w:r>
        <w:rPr>
          <w:spacing w:val="-15"/>
        </w:rPr>
        <w:t xml:space="preserve"> </w:t>
      </w:r>
      <w:r>
        <w:t>fabric.</w:t>
      </w:r>
    </w:p>
    <w:p w14:paraId="7B9A2C33" w14:textId="77777777" w:rsidR="00665A13" w:rsidRDefault="00665A13" w:rsidP="002A3889">
      <w:pPr>
        <w:pStyle w:val="ListParagraph"/>
        <w:widowControl w:val="0"/>
        <w:numPr>
          <w:ilvl w:val="0"/>
          <w:numId w:val="414"/>
        </w:numPr>
        <w:tabs>
          <w:tab w:val="left" w:pos="1199"/>
          <w:tab w:val="left" w:pos="1200"/>
        </w:tabs>
        <w:autoSpaceDE w:val="0"/>
        <w:autoSpaceDN w:val="0"/>
        <w:spacing w:after="60" w:line="237" w:lineRule="auto"/>
        <w:ind w:right="-29" w:hanging="774"/>
        <w:contextualSpacing w:val="0"/>
        <w:jc w:val="both"/>
      </w:pPr>
      <w:r>
        <w:t>Where the shopfront is not of significant heritage value the following replacement shopfronts may be</w:t>
      </w:r>
      <w:r>
        <w:rPr>
          <w:spacing w:val="-4"/>
        </w:rPr>
        <w:t xml:space="preserve"> </w:t>
      </w:r>
      <w:r>
        <w:t>supported:</w:t>
      </w:r>
    </w:p>
    <w:p w14:paraId="649EA60C" w14:textId="77777777" w:rsidR="00665A13" w:rsidRDefault="00665A13" w:rsidP="002A3889">
      <w:pPr>
        <w:pStyle w:val="ListParagraph"/>
        <w:widowControl w:val="0"/>
        <w:numPr>
          <w:ilvl w:val="1"/>
          <w:numId w:val="414"/>
        </w:numPr>
        <w:tabs>
          <w:tab w:val="left" w:pos="1561"/>
        </w:tabs>
        <w:autoSpaceDE w:val="0"/>
        <w:autoSpaceDN w:val="0"/>
        <w:spacing w:after="60" w:line="240" w:lineRule="auto"/>
        <w:contextualSpacing w:val="0"/>
        <w:jc w:val="both"/>
      </w:pPr>
      <w:r>
        <w:t>Reinstatement of the original construction based on documentary</w:t>
      </w:r>
      <w:r>
        <w:rPr>
          <w:spacing w:val="-16"/>
        </w:rPr>
        <w:t xml:space="preserve"> </w:t>
      </w:r>
      <w:proofErr w:type="gramStart"/>
      <w:r>
        <w:t>evidence;</w:t>
      </w:r>
      <w:proofErr w:type="gramEnd"/>
    </w:p>
    <w:p w14:paraId="35550E93" w14:textId="77777777" w:rsidR="00665A13" w:rsidRDefault="00665A13" w:rsidP="002A3889">
      <w:pPr>
        <w:pStyle w:val="ListParagraph"/>
        <w:widowControl w:val="0"/>
        <w:numPr>
          <w:ilvl w:val="1"/>
          <w:numId w:val="414"/>
        </w:numPr>
        <w:tabs>
          <w:tab w:val="left" w:pos="1560"/>
        </w:tabs>
        <w:autoSpaceDE w:val="0"/>
        <w:autoSpaceDN w:val="0"/>
        <w:spacing w:after="60" w:line="240" w:lineRule="auto"/>
        <w:ind w:right="-29" w:hanging="360"/>
        <w:contextualSpacing w:val="0"/>
        <w:jc w:val="both"/>
      </w:pPr>
      <w:r>
        <w:t>Reconstruction based on informed analysis of other places of the same age, style, scale</w:t>
      </w:r>
      <w:r>
        <w:rPr>
          <w:spacing w:val="-9"/>
        </w:rPr>
        <w:t xml:space="preserve"> </w:t>
      </w:r>
      <w:r>
        <w:t>and</w:t>
      </w:r>
      <w:r>
        <w:rPr>
          <w:spacing w:val="-9"/>
        </w:rPr>
        <w:t xml:space="preserve"> </w:t>
      </w:r>
      <w:r>
        <w:t>level</w:t>
      </w:r>
      <w:r>
        <w:rPr>
          <w:spacing w:val="-8"/>
        </w:rPr>
        <w:t xml:space="preserve"> </w:t>
      </w:r>
      <w:r>
        <w:t>of</w:t>
      </w:r>
      <w:r>
        <w:rPr>
          <w:spacing w:val="-9"/>
        </w:rPr>
        <w:t xml:space="preserve"> </w:t>
      </w:r>
      <w:r>
        <w:t>detail</w:t>
      </w:r>
      <w:r>
        <w:rPr>
          <w:spacing w:val="-10"/>
        </w:rPr>
        <w:t xml:space="preserve"> </w:t>
      </w:r>
      <w:r>
        <w:t>if</w:t>
      </w:r>
      <w:r>
        <w:rPr>
          <w:spacing w:val="-8"/>
        </w:rPr>
        <w:t xml:space="preserve"> </w:t>
      </w:r>
      <w:r>
        <w:t>documentary</w:t>
      </w:r>
      <w:r>
        <w:rPr>
          <w:spacing w:val="-6"/>
        </w:rPr>
        <w:t xml:space="preserve"> </w:t>
      </w:r>
      <w:r>
        <w:t>evidence</w:t>
      </w:r>
      <w:r>
        <w:rPr>
          <w:spacing w:val="-8"/>
        </w:rPr>
        <w:t xml:space="preserve"> </w:t>
      </w:r>
      <w:r>
        <w:t>is</w:t>
      </w:r>
      <w:r>
        <w:rPr>
          <w:spacing w:val="-10"/>
        </w:rPr>
        <w:t xml:space="preserve"> </w:t>
      </w:r>
      <w:r>
        <w:t>not</w:t>
      </w:r>
      <w:r>
        <w:rPr>
          <w:spacing w:val="-11"/>
        </w:rPr>
        <w:t xml:space="preserve"> </w:t>
      </w:r>
      <w:r>
        <w:t>available</w:t>
      </w:r>
      <w:r>
        <w:rPr>
          <w:spacing w:val="-10"/>
        </w:rPr>
        <w:t xml:space="preserve"> </w:t>
      </w:r>
      <w:r>
        <w:t>or</w:t>
      </w:r>
      <w:r>
        <w:rPr>
          <w:spacing w:val="-8"/>
        </w:rPr>
        <w:t xml:space="preserve"> </w:t>
      </w:r>
      <w:r>
        <w:t>insufficient</w:t>
      </w:r>
      <w:r>
        <w:rPr>
          <w:spacing w:val="-7"/>
        </w:rPr>
        <w:t xml:space="preserve"> </w:t>
      </w:r>
      <w:r>
        <w:t>for</w:t>
      </w:r>
      <w:r>
        <w:rPr>
          <w:spacing w:val="-10"/>
        </w:rPr>
        <w:t xml:space="preserve"> </w:t>
      </w:r>
      <w:r>
        <w:t>the original construction;</w:t>
      </w:r>
      <w:r>
        <w:rPr>
          <w:spacing w:val="-1"/>
        </w:rPr>
        <w:t xml:space="preserve"> </w:t>
      </w:r>
      <w:r>
        <w:t>and</w:t>
      </w:r>
    </w:p>
    <w:p w14:paraId="1B1CECAE" w14:textId="77777777" w:rsidR="00665A13" w:rsidRDefault="00665A13" w:rsidP="002A3889">
      <w:pPr>
        <w:pStyle w:val="ListParagraph"/>
        <w:widowControl w:val="0"/>
        <w:numPr>
          <w:ilvl w:val="1"/>
          <w:numId w:val="414"/>
        </w:numPr>
        <w:tabs>
          <w:tab w:val="left" w:pos="1560"/>
        </w:tabs>
        <w:autoSpaceDE w:val="0"/>
        <w:autoSpaceDN w:val="0"/>
        <w:spacing w:before="5" w:line="240" w:lineRule="auto"/>
        <w:ind w:left="1559" w:right="-28" w:hanging="357"/>
        <w:contextualSpacing w:val="0"/>
        <w:jc w:val="both"/>
      </w:pPr>
      <w:r>
        <w:t>A sympathetic modern interpretation of shopfront proportions and scale to the satisfaction of the</w:t>
      </w:r>
      <w:r>
        <w:rPr>
          <w:spacing w:val="-6"/>
        </w:rPr>
        <w:t xml:space="preserve"> </w:t>
      </w:r>
      <w:r>
        <w:t>Town.</w:t>
      </w:r>
    </w:p>
    <w:p w14:paraId="3FB0896E" w14:textId="77777777" w:rsidR="00665A13" w:rsidRPr="0028797B" w:rsidRDefault="00665A13" w:rsidP="0028797B">
      <w:pPr>
        <w:spacing w:after="0"/>
        <w:ind w:left="425"/>
        <w:rPr>
          <w:b/>
        </w:rPr>
      </w:pPr>
      <w:proofErr w:type="spellStart"/>
      <w:r w:rsidRPr="0028797B">
        <w:rPr>
          <w:b/>
        </w:rPr>
        <w:t>Verandahs</w:t>
      </w:r>
      <w:proofErr w:type="spellEnd"/>
      <w:r w:rsidRPr="0028797B">
        <w:rPr>
          <w:b/>
        </w:rPr>
        <w:t xml:space="preserve"> and Awnings</w:t>
      </w:r>
    </w:p>
    <w:p w14:paraId="72951FF8" w14:textId="77777777" w:rsidR="00665A13" w:rsidRDefault="00665A13" w:rsidP="002A3889">
      <w:pPr>
        <w:pStyle w:val="ListParagraph"/>
        <w:widowControl w:val="0"/>
        <w:numPr>
          <w:ilvl w:val="0"/>
          <w:numId w:val="413"/>
        </w:numPr>
        <w:tabs>
          <w:tab w:val="left" w:pos="1199"/>
          <w:tab w:val="left" w:pos="1200"/>
        </w:tabs>
        <w:autoSpaceDE w:val="0"/>
        <w:autoSpaceDN w:val="0"/>
        <w:spacing w:after="60" w:line="240" w:lineRule="auto"/>
        <w:ind w:hanging="773"/>
        <w:contextualSpacing w:val="0"/>
        <w:jc w:val="both"/>
      </w:pPr>
      <w:r>
        <w:t>Reconstruction</w:t>
      </w:r>
      <w:r>
        <w:rPr>
          <w:spacing w:val="-16"/>
        </w:rPr>
        <w:t xml:space="preserve"> </w:t>
      </w:r>
      <w:r>
        <w:t>of</w:t>
      </w:r>
      <w:r>
        <w:rPr>
          <w:spacing w:val="-12"/>
        </w:rPr>
        <w:t xml:space="preserve"> </w:t>
      </w:r>
      <w:proofErr w:type="spellStart"/>
      <w:r>
        <w:t>verandahs</w:t>
      </w:r>
      <w:proofErr w:type="spellEnd"/>
      <w:r>
        <w:rPr>
          <w:spacing w:val="-10"/>
        </w:rPr>
        <w:t xml:space="preserve"> </w:t>
      </w:r>
      <w:r>
        <w:t>and</w:t>
      </w:r>
      <w:r>
        <w:rPr>
          <w:spacing w:val="-9"/>
        </w:rPr>
        <w:t xml:space="preserve"> </w:t>
      </w:r>
      <w:r>
        <w:t>awnings</w:t>
      </w:r>
      <w:r>
        <w:rPr>
          <w:spacing w:val="-10"/>
        </w:rPr>
        <w:t xml:space="preserve"> </w:t>
      </w:r>
      <w:r>
        <w:t>based</w:t>
      </w:r>
      <w:r>
        <w:rPr>
          <w:spacing w:val="-13"/>
        </w:rPr>
        <w:t xml:space="preserve"> </w:t>
      </w:r>
      <w:r>
        <w:t>on</w:t>
      </w:r>
      <w:r>
        <w:rPr>
          <w:spacing w:val="-10"/>
        </w:rPr>
        <w:t xml:space="preserve"> </w:t>
      </w:r>
      <w:r>
        <w:t>documentary</w:t>
      </w:r>
      <w:r>
        <w:rPr>
          <w:spacing w:val="-9"/>
        </w:rPr>
        <w:t xml:space="preserve"> </w:t>
      </w:r>
      <w:r>
        <w:t>evidence</w:t>
      </w:r>
      <w:r>
        <w:rPr>
          <w:spacing w:val="-10"/>
        </w:rPr>
        <w:t xml:space="preserve"> </w:t>
      </w:r>
      <w:r>
        <w:t>is</w:t>
      </w:r>
      <w:r>
        <w:rPr>
          <w:spacing w:val="-14"/>
        </w:rPr>
        <w:t xml:space="preserve"> </w:t>
      </w:r>
      <w:r>
        <w:t>encouraged.</w:t>
      </w:r>
    </w:p>
    <w:p w14:paraId="5DF85338" w14:textId="77777777" w:rsidR="00665A13" w:rsidRDefault="00665A13" w:rsidP="002A3889">
      <w:pPr>
        <w:pStyle w:val="ListParagraph"/>
        <w:widowControl w:val="0"/>
        <w:numPr>
          <w:ilvl w:val="0"/>
          <w:numId w:val="413"/>
        </w:numPr>
        <w:tabs>
          <w:tab w:val="left" w:pos="1199"/>
          <w:tab w:val="left" w:pos="1200"/>
        </w:tabs>
        <w:autoSpaceDE w:val="0"/>
        <w:autoSpaceDN w:val="0"/>
        <w:spacing w:after="60" w:line="240" w:lineRule="auto"/>
        <w:ind w:left="1200" w:right="-29" w:hanging="773"/>
        <w:contextualSpacing w:val="0"/>
        <w:jc w:val="both"/>
      </w:pPr>
      <w:r>
        <w:t xml:space="preserve">Where there is evidence of a previous </w:t>
      </w:r>
      <w:proofErr w:type="spellStart"/>
      <w:r>
        <w:t>verandah</w:t>
      </w:r>
      <w:proofErr w:type="spellEnd"/>
      <w:r>
        <w:t xml:space="preserve">, but there is insufficient documentary </w:t>
      </w:r>
      <w:r>
        <w:lastRenderedPageBreak/>
        <w:t>evidence, the following options may be</w:t>
      </w:r>
      <w:r>
        <w:rPr>
          <w:spacing w:val="-4"/>
        </w:rPr>
        <w:t xml:space="preserve"> </w:t>
      </w:r>
      <w:r>
        <w:t>supported:</w:t>
      </w:r>
    </w:p>
    <w:p w14:paraId="1A9D7B5D" w14:textId="77777777" w:rsidR="00665A13" w:rsidRDefault="00665A13" w:rsidP="002A3889">
      <w:pPr>
        <w:pStyle w:val="ListParagraph"/>
        <w:widowControl w:val="0"/>
        <w:numPr>
          <w:ilvl w:val="1"/>
          <w:numId w:val="413"/>
        </w:numPr>
        <w:tabs>
          <w:tab w:val="left" w:pos="1561"/>
        </w:tabs>
        <w:autoSpaceDE w:val="0"/>
        <w:autoSpaceDN w:val="0"/>
        <w:spacing w:after="60" w:line="240" w:lineRule="auto"/>
        <w:ind w:right="-29" w:hanging="360"/>
        <w:contextualSpacing w:val="0"/>
        <w:jc w:val="both"/>
      </w:pPr>
      <w:r>
        <w:t>Reconstruction based on informed analysis of other places of the same age, style, scale and level of detail;</w:t>
      </w:r>
      <w:r>
        <w:rPr>
          <w:spacing w:val="-5"/>
        </w:rPr>
        <w:t xml:space="preserve"> </w:t>
      </w:r>
      <w:r>
        <w:t>and</w:t>
      </w:r>
    </w:p>
    <w:p w14:paraId="26926778" w14:textId="77777777" w:rsidR="00665A13" w:rsidRDefault="00665A13" w:rsidP="002A3889">
      <w:pPr>
        <w:pStyle w:val="ListParagraph"/>
        <w:widowControl w:val="0"/>
        <w:numPr>
          <w:ilvl w:val="1"/>
          <w:numId w:val="413"/>
        </w:numPr>
        <w:tabs>
          <w:tab w:val="left" w:pos="1560"/>
        </w:tabs>
        <w:autoSpaceDE w:val="0"/>
        <w:autoSpaceDN w:val="0"/>
        <w:spacing w:after="60" w:line="240" w:lineRule="auto"/>
        <w:ind w:right="-29" w:hanging="360"/>
        <w:contextualSpacing w:val="0"/>
        <w:jc w:val="both"/>
      </w:pPr>
      <w:r>
        <w:t xml:space="preserve">A sympathetic modern interpretation of a </w:t>
      </w:r>
      <w:proofErr w:type="spellStart"/>
      <w:r>
        <w:t>verandah</w:t>
      </w:r>
      <w:proofErr w:type="spellEnd"/>
      <w:r>
        <w:t xml:space="preserve"> or</w:t>
      </w:r>
      <w:r>
        <w:rPr>
          <w:spacing w:val="-15"/>
        </w:rPr>
        <w:t xml:space="preserve"> </w:t>
      </w:r>
      <w:r>
        <w:t>awning.</w:t>
      </w:r>
    </w:p>
    <w:p w14:paraId="59982169" w14:textId="77777777" w:rsidR="00665A13" w:rsidRDefault="00665A13" w:rsidP="002A3889">
      <w:pPr>
        <w:pStyle w:val="ListParagraph"/>
        <w:widowControl w:val="0"/>
        <w:numPr>
          <w:ilvl w:val="0"/>
          <w:numId w:val="413"/>
        </w:numPr>
        <w:tabs>
          <w:tab w:val="left" w:pos="1200"/>
        </w:tabs>
        <w:autoSpaceDE w:val="0"/>
        <w:autoSpaceDN w:val="0"/>
        <w:spacing w:after="60" w:line="240" w:lineRule="auto"/>
        <w:ind w:left="1200" w:right="-29" w:hanging="774"/>
        <w:contextualSpacing w:val="0"/>
        <w:jc w:val="both"/>
      </w:pPr>
      <w:proofErr w:type="spellStart"/>
      <w:r>
        <w:t>Verandahs</w:t>
      </w:r>
      <w:proofErr w:type="spellEnd"/>
      <w:r>
        <w:t xml:space="preserve"> and awnings should not be attached to the street facade of contributory buildings that did not originally have this feature</w:t>
      </w:r>
      <w:r>
        <w:rPr>
          <w:spacing w:val="-4"/>
        </w:rPr>
        <w:t xml:space="preserve"> </w:t>
      </w:r>
      <w:r>
        <w:t>unless:</w:t>
      </w:r>
    </w:p>
    <w:p w14:paraId="3C46A98A" w14:textId="77777777" w:rsidR="00665A13" w:rsidRDefault="00665A13" w:rsidP="002A3889">
      <w:pPr>
        <w:pStyle w:val="ListParagraph"/>
        <w:widowControl w:val="0"/>
        <w:numPr>
          <w:ilvl w:val="1"/>
          <w:numId w:val="413"/>
        </w:numPr>
        <w:tabs>
          <w:tab w:val="left" w:pos="1561"/>
        </w:tabs>
        <w:autoSpaceDE w:val="0"/>
        <w:autoSpaceDN w:val="0"/>
        <w:spacing w:after="60" w:line="240" w:lineRule="auto"/>
        <w:ind w:right="-29" w:hanging="774"/>
        <w:contextualSpacing w:val="0"/>
        <w:jc w:val="both"/>
      </w:pPr>
      <w:r>
        <w:t>it will achieve other functional requirements;</w:t>
      </w:r>
      <w:r>
        <w:rPr>
          <w:spacing w:val="-5"/>
        </w:rPr>
        <w:t xml:space="preserve"> </w:t>
      </w:r>
      <w:r>
        <w:t>and/or</w:t>
      </w:r>
    </w:p>
    <w:p w14:paraId="7DE2D84A" w14:textId="77777777" w:rsidR="00665A13" w:rsidRDefault="00665A13" w:rsidP="002A3889">
      <w:pPr>
        <w:pStyle w:val="ListParagraph"/>
        <w:widowControl w:val="0"/>
        <w:numPr>
          <w:ilvl w:val="1"/>
          <w:numId w:val="413"/>
        </w:numPr>
        <w:tabs>
          <w:tab w:val="left" w:pos="1560"/>
        </w:tabs>
        <w:autoSpaceDE w:val="0"/>
        <w:autoSpaceDN w:val="0"/>
        <w:spacing w:after="60" w:line="237" w:lineRule="auto"/>
        <w:ind w:right="-29" w:hanging="774"/>
        <w:contextualSpacing w:val="0"/>
        <w:jc w:val="both"/>
      </w:pPr>
      <w:r>
        <w:t>It can be demonstrated by the applicant that the new work will not unduly impact on the cultural heritage values of the</w:t>
      </w:r>
      <w:r>
        <w:rPr>
          <w:spacing w:val="-10"/>
        </w:rPr>
        <w:t xml:space="preserve"> </w:t>
      </w:r>
      <w:r>
        <w:t>place.</w:t>
      </w:r>
    </w:p>
    <w:p w14:paraId="029081D4" w14:textId="77777777" w:rsidR="00665A13" w:rsidRDefault="00665A13" w:rsidP="002A3889">
      <w:pPr>
        <w:pStyle w:val="ListParagraph"/>
        <w:widowControl w:val="0"/>
        <w:numPr>
          <w:ilvl w:val="0"/>
          <w:numId w:val="413"/>
        </w:numPr>
        <w:tabs>
          <w:tab w:val="left" w:pos="1201"/>
        </w:tabs>
        <w:autoSpaceDE w:val="0"/>
        <w:autoSpaceDN w:val="0"/>
        <w:spacing w:before="6" w:line="240" w:lineRule="auto"/>
        <w:ind w:left="1202" w:right="-29" w:hanging="774"/>
        <w:contextualSpacing w:val="0"/>
        <w:jc w:val="both"/>
      </w:pPr>
      <w:r>
        <w:t xml:space="preserve">Where a </w:t>
      </w:r>
      <w:proofErr w:type="spellStart"/>
      <w:r>
        <w:t>verandah</w:t>
      </w:r>
      <w:proofErr w:type="spellEnd"/>
      <w:r>
        <w:t xml:space="preserve"> is constructed in this scenario it is to be of a sympathetic modern design that is compatible with the Heritage Area. The design is not to confuse the understanding and appreciation of the original</w:t>
      </w:r>
      <w:r>
        <w:rPr>
          <w:spacing w:val="-9"/>
        </w:rPr>
        <w:t xml:space="preserve"> </w:t>
      </w:r>
      <w:r>
        <w:t>design.</w:t>
      </w:r>
    </w:p>
    <w:p w14:paraId="7CD147B4" w14:textId="77777777" w:rsidR="00665A13" w:rsidRPr="0028797B" w:rsidRDefault="00665A13" w:rsidP="0028797B">
      <w:pPr>
        <w:spacing w:after="0"/>
        <w:ind w:left="425"/>
        <w:rPr>
          <w:b/>
        </w:rPr>
      </w:pPr>
      <w:r w:rsidRPr="0028797B">
        <w:rPr>
          <w:b/>
        </w:rPr>
        <w:t>Upper Floors</w:t>
      </w:r>
    </w:p>
    <w:p w14:paraId="03B8AC3F" w14:textId="77777777" w:rsidR="00665A13" w:rsidRDefault="00665A13" w:rsidP="002A3889">
      <w:pPr>
        <w:pStyle w:val="ListParagraph"/>
        <w:widowControl w:val="0"/>
        <w:numPr>
          <w:ilvl w:val="0"/>
          <w:numId w:val="412"/>
        </w:numPr>
        <w:tabs>
          <w:tab w:val="left" w:pos="1199"/>
          <w:tab w:val="left" w:pos="1200"/>
        </w:tabs>
        <w:autoSpaceDE w:val="0"/>
        <w:autoSpaceDN w:val="0"/>
        <w:spacing w:after="60" w:line="240" w:lineRule="auto"/>
        <w:contextualSpacing w:val="0"/>
        <w:jc w:val="both"/>
      </w:pPr>
      <w:r>
        <w:t>The original detailing of the upper floor to contributory buildings should be</w:t>
      </w:r>
      <w:r>
        <w:rPr>
          <w:spacing w:val="-24"/>
        </w:rPr>
        <w:t xml:space="preserve"> </w:t>
      </w:r>
      <w:r>
        <w:t>conserved.</w:t>
      </w:r>
    </w:p>
    <w:p w14:paraId="5EB4ADFF" w14:textId="77777777" w:rsidR="00665A13" w:rsidRDefault="00665A13" w:rsidP="002A3889">
      <w:pPr>
        <w:pStyle w:val="ListParagraph"/>
        <w:widowControl w:val="0"/>
        <w:numPr>
          <w:ilvl w:val="0"/>
          <w:numId w:val="412"/>
        </w:numPr>
        <w:tabs>
          <w:tab w:val="left" w:pos="1199"/>
          <w:tab w:val="left" w:pos="1200"/>
        </w:tabs>
        <w:autoSpaceDE w:val="0"/>
        <w:autoSpaceDN w:val="0"/>
        <w:spacing w:after="60" w:line="240" w:lineRule="auto"/>
        <w:ind w:left="1200" w:right="-29"/>
        <w:contextualSpacing w:val="0"/>
        <w:jc w:val="both"/>
      </w:pPr>
      <w:r>
        <w:t>New works are not to remove or conceal original detailing or distort an understanding of the original</w:t>
      </w:r>
      <w:r>
        <w:rPr>
          <w:spacing w:val="-1"/>
        </w:rPr>
        <w:t xml:space="preserve"> </w:t>
      </w:r>
      <w:r>
        <w:t>design.</w:t>
      </w:r>
    </w:p>
    <w:p w14:paraId="548409EB" w14:textId="77777777" w:rsidR="00665A13" w:rsidRDefault="00665A13" w:rsidP="002A3889">
      <w:pPr>
        <w:pStyle w:val="ListParagraph"/>
        <w:widowControl w:val="0"/>
        <w:numPr>
          <w:ilvl w:val="0"/>
          <w:numId w:val="412"/>
        </w:numPr>
        <w:tabs>
          <w:tab w:val="left" w:pos="1200"/>
        </w:tabs>
        <w:autoSpaceDE w:val="0"/>
        <w:autoSpaceDN w:val="0"/>
        <w:spacing w:after="60" w:line="240" w:lineRule="auto"/>
        <w:ind w:left="1200" w:right="-29"/>
        <w:contextualSpacing w:val="0"/>
        <w:jc w:val="both"/>
      </w:pPr>
      <w:r>
        <w:t>Restoration/reconstruction of original fabric is encouraged where such fabric has significantly deteriorated, previously been removed or unsympathetically altered. Where deteriorated original fabric requires replacement a like for like approach is</w:t>
      </w:r>
      <w:r>
        <w:rPr>
          <w:spacing w:val="-32"/>
        </w:rPr>
        <w:t xml:space="preserve"> </w:t>
      </w:r>
      <w:r>
        <w:t>encouraged.</w:t>
      </w:r>
    </w:p>
    <w:p w14:paraId="687D66FE" w14:textId="77777777" w:rsidR="00665A13" w:rsidRDefault="00665A13" w:rsidP="002A3889">
      <w:pPr>
        <w:pStyle w:val="ListParagraph"/>
        <w:widowControl w:val="0"/>
        <w:numPr>
          <w:ilvl w:val="0"/>
          <w:numId w:val="412"/>
        </w:numPr>
        <w:tabs>
          <w:tab w:val="left" w:pos="1201"/>
        </w:tabs>
        <w:autoSpaceDE w:val="0"/>
        <w:autoSpaceDN w:val="0"/>
        <w:spacing w:after="60" w:line="240" w:lineRule="auto"/>
        <w:ind w:left="1200" w:right="-29"/>
        <w:contextualSpacing w:val="0"/>
        <w:jc w:val="both"/>
      </w:pPr>
      <w:r>
        <w:t>Loft additions may be supported where the development is contained wholly within the roof space and where no visible change is made to the appearance of the dwelling from the street.</w:t>
      </w:r>
    </w:p>
    <w:p w14:paraId="2DE50A52" w14:textId="77777777" w:rsidR="00665A13" w:rsidRPr="00B80816" w:rsidRDefault="00665A13" w:rsidP="002A3889">
      <w:pPr>
        <w:pStyle w:val="ListParagraph"/>
        <w:widowControl w:val="0"/>
        <w:numPr>
          <w:ilvl w:val="0"/>
          <w:numId w:val="412"/>
        </w:numPr>
        <w:tabs>
          <w:tab w:val="left" w:pos="1199"/>
          <w:tab w:val="left" w:pos="1200"/>
        </w:tabs>
        <w:autoSpaceDE w:val="0"/>
        <w:autoSpaceDN w:val="0"/>
        <w:spacing w:after="60" w:line="240" w:lineRule="auto"/>
        <w:ind w:left="1200" w:right="-29"/>
        <w:contextualSpacing w:val="0"/>
        <w:jc w:val="both"/>
      </w:pPr>
      <w:r w:rsidRPr="00B80816">
        <w:t>Upper storey additions or modifications should be designed to minimise the impact on the original roofline, and to retain an appreciation for the original form of</w:t>
      </w:r>
      <w:r w:rsidRPr="00B80816">
        <w:rPr>
          <w:spacing w:val="-36"/>
        </w:rPr>
        <w:t xml:space="preserve"> </w:t>
      </w:r>
      <w:r w:rsidRPr="00B80816">
        <w:t>the building.</w:t>
      </w:r>
    </w:p>
    <w:p w14:paraId="46C9C2C8" w14:textId="77777777" w:rsidR="00665A13" w:rsidRPr="00B80816" w:rsidRDefault="00665A13" w:rsidP="002A3889">
      <w:pPr>
        <w:pStyle w:val="ListParagraph"/>
        <w:widowControl w:val="0"/>
        <w:numPr>
          <w:ilvl w:val="0"/>
          <w:numId w:val="412"/>
        </w:numPr>
        <w:tabs>
          <w:tab w:val="left" w:pos="1199"/>
          <w:tab w:val="left" w:pos="1200"/>
        </w:tabs>
        <w:autoSpaceDE w:val="0"/>
        <w:autoSpaceDN w:val="0"/>
        <w:spacing w:line="240" w:lineRule="auto"/>
        <w:ind w:left="1202" w:right="-29"/>
        <w:contextualSpacing w:val="0"/>
        <w:jc w:val="both"/>
      </w:pPr>
      <w:r w:rsidRPr="00B80816">
        <w:t>New openings in the principal elevation (addressing the primary street) that will be visible from the street should be avoided. If openings are proposed they should be proportional in size relative to original openings of the heritage place and consistent in terms of materials, finishes, textures and colours (appropriate to its architectural</w:t>
      </w:r>
      <w:r w:rsidRPr="00B80816">
        <w:rPr>
          <w:spacing w:val="-33"/>
        </w:rPr>
        <w:t xml:space="preserve"> </w:t>
      </w:r>
      <w:r w:rsidRPr="00B80816">
        <w:t>style).</w:t>
      </w:r>
    </w:p>
    <w:p w14:paraId="45424813" w14:textId="77777777" w:rsidR="00665A13" w:rsidRPr="007D4DF6" w:rsidRDefault="00665A13" w:rsidP="007D4DF6">
      <w:pPr>
        <w:spacing w:after="0"/>
        <w:ind w:left="425"/>
        <w:rPr>
          <w:b/>
        </w:rPr>
      </w:pPr>
      <w:r w:rsidRPr="007D4DF6">
        <w:rPr>
          <w:b/>
        </w:rPr>
        <w:t>Demolition</w:t>
      </w:r>
    </w:p>
    <w:p w14:paraId="1AD3DD71" w14:textId="77777777" w:rsidR="00665A13" w:rsidRDefault="00665A13" w:rsidP="002A3889">
      <w:pPr>
        <w:pStyle w:val="ListParagraph"/>
        <w:widowControl w:val="0"/>
        <w:numPr>
          <w:ilvl w:val="0"/>
          <w:numId w:val="411"/>
        </w:numPr>
        <w:tabs>
          <w:tab w:val="left" w:pos="1199"/>
          <w:tab w:val="left" w:pos="1200"/>
        </w:tabs>
        <w:autoSpaceDE w:val="0"/>
        <w:autoSpaceDN w:val="0"/>
        <w:spacing w:after="60" w:line="240" w:lineRule="auto"/>
        <w:ind w:right="-28"/>
        <w:contextualSpacing w:val="0"/>
        <w:jc w:val="both"/>
      </w:pPr>
      <w:r>
        <w:t>The</w:t>
      </w:r>
      <w:r>
        <w:rPr>
          <w:spacing w:val="-7"/>
        </w:rPr>
        <w:t xml:space="preserve"> </w:t>
      </w:r>
      <w:r>
        <w:t>full</w:t>
      </w:r>
      <w:r>
        <w:rPr>
          <w:spacing w:val="-7"/>
        </w:rPr>
        <w:t xml:space="preserve"> </w:t>
      </w:r>
      <w:r>
        <w:t>demolition</w:t>
      </w:r>
      <w:r>
        <w:rPr>
          <w:spacing w:val="-9"/>
        </w:rPr>
        <w:t xml:space="preserve"> </w:t>
      </w:r>
      <w:r>
        <w:t>of</w:t>
      </w:r>
      <w:r>
        <w:rPr>
          <w:spacing w:val="-6"/>
        </w:rPr>
        <w:t xml:space="preserve"> </w:t>
      </w:r>
      <w:r>
        <w:t>the</w:t>
      </w:r>
      <w:r>
        <w:rPr>
          <w:spacing w:val="-7"/>
        </w:rPr>
        <w:t xml:space="preserve"> </w:t>
      </w:r>
      <w:r>
        <w:t>façade</w:t>
      </w:r>
      <w:r>
        <w:rPr>
          <w:spacing w:val="-6"/>
        </w:rPr>
        <w:t xml:space="preserve"> </w:t>
      </w:r>
      <w:r>
        <w:t>of</w:t>
      </w:r>
      <w:r>
        <w:rPr>
          <w:spacing w:val="-10"/>
        </w:rPr>
        <w:t xml:space="preserve"> </w:t>
      </w:r>
      <w:r>
        <w:t>contributory</w:t>
      </w:r>
      <w:r>
        <w:rPr>
          <w:spacing w:val="-6"/>
        </w:rPr>
        <w:t xml:space="preserve"> </w:t>
      </w:r>
      <w:r>
        <w:t>buildings</w:t>
      </w:r>
      <w:r>
        <w:rPr>
          <w:spacing w:val="-7"/>
        </w:rPr>
        <w:t xml:space="preserve"> </w:t>
      </w:r>
      <w:r>
        <w:t>will</w:t>
      </w:r>
      <w:r>
        <w:rPr>
          <w:spacing w:val="-8"/>
        </w:rPr>
        <w:t xml:space="preserve"> </w:t>
      </w:r>
      <w:r>
        <w:t>not</w:t>
      </w:r>
      <w:r>
        <w:rPr>
          <w:spacing w:val="-9"/>
        </w:rPr>
        <w:t xml:space="preserve"> </w:t>
      </w:r>
      <w:r>
        <w:t>generally</w:t>
      </w:r>
      <w:r>
        <w:rPr>
          <w:spacing w:val="-4"/>
        </w:rPr>
        <w:t xml:space="preserve"> </w:t>
      </w:r>
      <w:r>
        <w:t>be</w:t>
      </w:r>
      <w:r>
        <w:rPr>
          <w:spacing w:val="-9"/>
        </w:rPr>
        <w:t xml:space="preserve"> </w:t>
      </w:r>
      <w:r>
        <w:t>supported without significant</w:t>
      </w:r>
      <w:r>
        <w:rPr>
          <w:spacing w:val="-2"/>
        </w:rPr>
        <w:t xml:space="preserve"> </w:t>
      </w:r>
      <w:r>
        <w:t>justification.</w:t>
      </w:r>
    </w:p>
    <w:p w14:paraId="4CE2F80A" w14:textId="77777777" w:rsidR="00665A13" w:rsidRDefault="00665A13" w:rsidP="002A3889">
      <w:pPr>
        <w:pStyle w:val="ListParagraph"/>
        <w:widowControl w:val="0"/>
        <w:numPr>
          <w:ilvl w:val="0"/>
          <w:numId w:val="411"/>
        </w:numPr>
        <w:tabs>
          <w:tab w:val="left" w:pos="1199"/>
          <w:tab w:val="left" w:pos="1200"/>
        </w:tabs>
        <w:autoSpaceDE w:val="0"/>
        <w:autoSpaceDN w:val="0"/>
        <w:spacing w:after="60" w:line="240" w:lineRule="auto"/>
        <w:ind w:right="-28"/>
        <w:contextualSpacing w:val="0"/>
        <w:jc w:val="both"/>
      </w:pPr>
      <w:r>
        <w:t>The removal of original character features from a contributory building which, are visible from the street will not be supported. Where original character features have been removed from dwellings, they are to be sympathetically reinstated where</w:t>
      </w:r>
      <w:r>
        <w:rPr>
          <w:spacing w:val="-22"/>
        </w:rPr>
        <w:t xml:space="preserve"> </w:t>
      </w:r>
      <w:r>
        <w:t>possible.</w:t>
      </w:r>
    </w:p>
    <w:p w14:paraId="3A52761E" w14:textId="77777777" w:rsidR="00665A13" w:rsidRDefault="00665A13" w:rsidP="002A3889">
      <w:pPr>
        <w:pStyle w:val="ListParagraph"/>
        <w:widowControl w:val="0"/>
        <w:numPr>
          <w:ilvl w:val="0"/>
          <w:numId w:val="411"/>
        </w:numPr>
        <w:tabs>
          <w:tab w:val="left" w:pos="1200"/>
        </w:tabs>
        <w:autoSpaceDE w:val="0"/>
        <w:autoSpaceDN w:val="0"/>
        <w:spacing w:after="60" w:line="240" w:lineRule="auto"/>
        <w:ind w:right="-28"/>
        <w:contextualSpacing w:val="0"/>
        <w:jc w:val="both"/>
      </w:pPr>
      <w:r>
        <w:t>Application</w:t>
      </w:r>
      <w:r>
        <w:rPr>
          <w:spacing w:val="-12"/>
        </w:rPr>
        <w:t xml:space="preserve"> </w:t>
      </w:r>
      <w:r>
        <w:t>for</w:t>
      </w:r>
      <w:r>
        <w:rPr>
          <w:spacing w:val="-8"/>
        </w:rPr>
        <w:t xml:space="preserve"> </w:t>
      </w:r>
      <w:r>
        <w:t>demolition</w:t>
      </w:r>
      <w:r>
        <w:rPr>
          <w:spacing w:val="-14"/>
        </w:rPr>
        <w:t xml:space="preserve"> </w:t>
      </w:r>
      <w:r>
        <w:t>will</w:t>
      </w:r>
      <w:r>
        <w:rPr>
          <w:spacing w:val="-10"/>
        </w:rPr>
        <w:t xml:space="preserve"> </w:t>
      </w:r>
      <w:r>
        <w:t>not</w:t>
      </w:r>
      <w:r>
        <w:rPr>
          <w:spacing w:val="-10"/>
        </w:rPr>
        <w:t xml:space="preserve"> </w:t>
      </w:r>
      <w:r>
        <w:t>be</w:t>
      </w:r>
      <w:r>
        <w:rPr>
          <w:spacing w:val="-10"/>
        </w:rPr>
        <w:t xml:space="preserve"> </w:t>
      </w:r>
      <w:r>
        <w:t>approved</w:t>
      </w:r>
      <w:r>
        <w:rPr>
          <w:spacing w:val="-12"/>
        </w:rPr>
        <w:t xml:space="preserve"> </w:t>
      </w:r>
      <w:r>
        <w:t>for</w:t>
      </w:r>
      <w:r>
        <w:rPr>
          <w:spacing w:val="-12"/>
        </w:rPr>
        <w:t xml:space="preserve"> </w:t>
      </w:r>
      <w:r>
        <w:t>a</w:t>
      </w:r>
      <w:r>
        <w:rPr>
          <w:spacing w:val="-12"/>
        </w:rPr>
        <w:t xml:space="preserve"> </w:t>
      </w:r>
      <w:r>
        <w:t>contributory</w:t>
      </w:r>
      <w:r>
        <w:rPr>
          <w:spacing w:val="-10"/>
        </w:rPr>
        <w:t xml:space="preserve"> </w:t>
      </w:r>
      <w:r>
        <w:t>building</w:t>
      </w:r>
      <w:r>
        <w:rPr>
          <w:spacing w:val="-10"/>
        </w:rPr>
        <w:t xml:space="preserve"> </w:t>
      </w:r>
      <w:r>
        <w:t>on</w:t>
      </w:r>
      <w:r>
        <w:rPr>
          <w:spacing w:val="-10"/>
        </w:rPr>
        <w:t xml:space="preserve"> </w:t>
      </w:r>
      <w:r>
        <w:t>the</w:t>
      </w:r>
      <w:r>
        <w:rPr>
          <w:spacing w:val="-12"/>
        </w:rPr>
        <w:t xml:space="preserve"> </w:t>
      </w:r>
      <w:r>
        <w:t>grounds of neglect, poor condition or economic/other gain for redevelopment of the</w:t>
      </w:r>
      <w:r>
        <w:rPr>
          <w:spacing w:val="-23"/>
        </w:rPr>
        <w:t xml:space="preserve"> </w:t>
      </w:r>
      <w:r>
        <w:t>land.</w:t>
      </w:r>
    </w:p>
    <w:p w14:paraId="088A389D" w14:textId="77777777" w:rsidR="00665A13" w:rsidRDefault="00665A13" w:rsidP="002A3889">
      <w:pPr>
        <w:pStyle w:val="ListParagraph"/>
        <w:widowControl w:val="0"/>
        <w:numPr>
          <w:ilvl w:val="0"/>
          <w:numId w:val="411"/>
        </w:numPr>
        <w:tabs>
          <w:tab w:val="left" w:pos="1201"/>
        </w:tabs>
        <w:autoSpaceDE w:val="0"/>
        <w:autoSpaceDN w:val="0"/>
        <w:spacing w:after="60" w:line="240" w:lineRule="auto"/>
        <w:ind w:right="-28"/>
        <w:contextualSpacing w:val="0"/>
        <w:jc w:val="both"/>
      </w:pPr>
      <w:r>
        <w:t>Part demolition or removal of contributory elements of individually significant and contributory buildings may only be supported</w:t>
      </w:r>
      <w:r>
        <w:rPr>
          <w:spacing w:val="-10"/>
        </w:rPr>
        <w:t xml:space="preserve"> </w:t>
      </w:r>
      <w:r>
        <w:t>where:</w:t>
      </w:r>
    </w:p>
    <w:p w14:paraId="39AA9F19" w14:textId="77777777" w:rsidR="00665A13" w:rsidRDefault="00665A13" w:rsidP="002A3889">
      <w:pPr>
        <w:pStyle w:val="ListParagraph"/>
        <w:widowControl w:val="0"/>
        <w:numPr>
          <w:ilvl w:val="1"/>
          <w:numId w:val="411"/>
        </w:numPr>
        <w:tabs>
          <w:tab w:val="left" w:pos="1561"/>
        </w:tabs>
        <w:autoSpaceDE w:val="0"/>
        <w:autoSpaceDN w:val="0"/>
        <w:spacing w:after="60" w:line="240" w:lineRule="auto"/>
        <w:ind w:right="-28" w:hanging="360"/>
        <w:contextualSpacing w:val="0"/>
        <w:jc w:val="both"/>
      </w:pPr>
      <w:r>
        <w:t>It</w:t>
      </w:r>
      <w:r>
        <w:rPr>
          <w:spacing w:val="-2"/>
        </w:rPr>
        <w:t xml:space="preserve"> </w:t>
      </w:r>
      <w:r>
        <w:t>is</w:t>
      </w:r>
      <w:r>
        <w:rPr>
          <w:spacing w:val="-5"/>
        </w:rPr>
        <w:t xml:space="preserve"> </w:t>
      </w:r>
      <w:r>
        <w:t>demonstrated</w:t>
      </w:r>
      <w:r>
        <w:rPr>
          <w:spacing w:val="-5"/>
        </w:rPr>
        <w:t xml:space="preserve"> </w:t>
      </w:r>
      <w:r>
        <w:t>to</w:t>
      </w:r>
      <w:r>
        <w:rPr>
          <w:spacing w:val="-4"/>
        </w:rPr>
        <w:t xml:space="preserve"> </w:t>
      </w:r>
      <w:r>
        <w:t>the</w:t>
      </w:r>
      <w:r>
        <w:rPr>
          <w:spacing w:val="-4"/>
        </w:rPr>
        <w:t xml:space="preserve"> </w:t>
      </w:r>
      <w:r>
        <w:t>Town’s</w:t>
      </w:r>
      <w:r>
        <w:rPr>
          <w:spacing w:val="-4"/>
        </w:rPr>
        <w:t xml:space="preserve"> </w:t>
      </w:r>
      <w:r>
        <w:t>satisfaction</w:t>
      </w:r>
      <w:r>
        <w:rPr>
          <w:spacing w:val="-4"/>
        </w:rPr>
        <w:t xml:space="preserve"> </w:t>
      </w:r>
      <w:r>
        <w:t>that</w:t>
      </w:r>
      <w:r>
        <w:rPr>
          <w:spacing w:val="-2"/>
        </w:rPr>
        <w:t xml:space="preserve"> </w:t>
      </w:r>
      <w:r>
        <w:t>the</w:t>
      </w:r>
      <w:r>
        <w:rPr>
          <w:spacing w:val="-4"/>
        </w:rPr>
        <w:t xml:space="preserve"> </w:t>
      </w:r>
      <w:r>
        <w:t>cultural</w:t>
      </w:r>
      <w:r>
        <w:rPr>
          <w:spacing w:val="-4"/>
        </w:rPr>
        <w:t xml:space="preserve"> </w:t>
      </w:r>
      <w:r>
        <w:t>heritage</w:t>
      </w:r>
      <w:r>
        <w:rPr>
          <w:spacing w:val="-1"/>
        </w:rPr>
        <w:t xml:space="preserve"> </w:t>
      </w:r>
      <w:r>
        <w:t>significance</w:t>
      </w:r>
      <w:r>
        <w:rPr>
          <w:spacing w:val="-4"/>
        </w:rPr>
        <w:t xml:space="preserve"> </w:t>
      </w:r>
      <w:r>
        <w:t>of the existing building and the proposed demolition area(s) are not adversely affected by the demolition of all or part of an existing contributory</w:t>
      </w:r>
      <w:r>
        <w:rPr>
          <w:spacing w:val="-19"/>
        </w:rPr>
        <w:t xml:space="preserve"> </w:t>
      </w:r>
      <w:proofErr w:type="gramStart"/>
      <w:r>
        <w:t>building;</w:t>
      </w:r>
      <w:proofErr w:type="gramEnd"/>
    </w:p>
    <w:p w14:paraId="61A66789" w14:textId="77777777" w:rsidR="00665A13" w:rsidRDefault="00665A13" w:rsidP="002A3889">
      <w:pPr>
        <w:pStyle w:val="ListParagraph"/>
        <w:widowControl w:val="0"/>
        <w:numPr>
          <w:ilvl w:val="1"/>
          <w:numId w:val="411"/>
        </w:numPr>
        <w:tabs>
          <w:tab w:val="left" w:pos="1560"/>
        </w:tabs>
        <w:autoSpaceDE w:val="0"/>
        <w:autoSpaceDN w:val="0"/>
        <w:spacing w:after="60" w:line="240" w:lineRule="auto"/>
        <w:ind w:right="-28" w:hanging="360"/>
        <w:contextualSpacing w:val="0"/>
        <w:jc w:val="both"/>
      </w:pPr>
      <w:r>
        <w:t>A Structural Condition Assessment (in the case of partial or full demolition of a place listed on the Local Planning Scheme No. 3 Heritage List) by a registered structural engineer</w:t>
      </w:r>
      <w:r>
        <w:rPr>
          <w:spacing w:val="-8"/>
        </w:rPr>
        <w:t xml:space="preserve"> </w:t>
      </w:r>
      <w:r>
        <w:t>with</w:t>
      </w:r>
      <w:r>
        <w:rPr>
          <w:spacing w:val="-8"/>
        </w:rPr>
        <w:t xml:space="preserve"> </w:t>
      </w:r>
      <w:r>
        <w:t>experience</w:t>
      </w:r>
      <w:r>
        <w:rPr>
          <w:spacing w:val="-10"/>
        </w:rPr>
        <w:t xml:space="preserve"> </w:t>
      </w:r>
      <w:r>
        <w:t>in</w:t>
      </w:r>
      <w:r>
        <w:rPr>
          <w:spacing w:val="-8"/>
        </w:rPr>
        <w:t xml:space="preserve"> </w:t>
      </w:r>
      <w:r>
        <w:t>dealing</w:t>
      </w:r>
      <w:r>
        <w:rPr>
          <w:spacing w:val="-9"/>
        </w:rPr>
        <w:t xml:space="preserve"> </w:t>
      </w:r>
      <w:r>
        <w:t>with</w:t>
      </w:r>
      <w:r>
        <w:rPr>
          <w:spacing w:val="-9"/>
        </w:rPr>
        <w:t xml:space="preserve"> </w:t>
      </w:r>
      <w:r>
        <w:t>heritage</w:t>
      </w:r>
      <w:r>
        <w:rPr>
          <w:spacing w:val="-7"/>
        </w:rPr>
        <w:t xml:space="preserve"> </w:t>
      </w:r>
      <w:r>
        <w:t>places</w:t>
      </w:r>
      <w:r>
        <w:rPr>
          <w:spacing w:val="-8"/>
        </w:rPr>
        <w:t xml:space="preserve"> </w:t>
      </w:r>
      <w:r>
        <w:t>gives</w:t>
      </w:r>
      <w:r>
        <w:rPr>
          <w:spacing w:val="-9"/>
        </w:rPr>
        <w:t xml:space="preserve"> </w:t>
      </w:r>
      <w:r>
        <w:t>evidence</w:t>
      </w:r>
      <w:r>
        <w:rPr>
          <w:spacing w:val="-7"/>
        </w:rPr>
        <w:t xml:space="preserve"> </w:t>
      </w:r>
      <w:r>
        <w:t>to</w:t>
      </w:r>
      <w:r>
        <w:rPr>
          <w:spacing w:val="-10"/>
        </w:rPr>
        <w:t xml:space="preserve"> </w:t>
      </w:r>
      <w:r>
        <w:t>the</w:t>
      </w:r>
      <w:r>
        <w:rPr>
          <w:spacing w:val="-7"/>
        </w:rPr>
        <w:t xml:space="preserve"> </w:t>
      </w:r>
      <w:r>
        <w:t>Town’s satisfaction that the structural integrity of the building has failed, to the point where it cannot be rectified without removal of a majority of its significant fabric and/or incurring prohibitive</w:t>
      </w:r>
      <w:r>
        <w:rPr>
          <w:spacing w:val="-5"/>
        </w:rPr>
        <w:t xml:space="preserve"> </w:t>
      </w:r>
      <w:r>
        <w:t>costs;</w:t>
      </w:r>
    </w:p>
    <w:p w14:paraId="47DECA5C" w14:textId="77777777" w:rsidR="00665A13" w:rsidRDefault="00665A13" w:rsidP="002A3889">
      <w:pPr>
        <w:pStyle w:val="ListParagraph"/>
        <w:widowControl w:val="0"/>
        <w:numPr>
          <w:ilvl w:val="1"/>
          <w:numId w:val="411"/>
        </w:numPr>
        <w:tabs>
          <w:tab w:val="left" w:pos="1560"/>
        </w:tabs>
        <w:autoSpaceDE w:val="0"/>
        <w:autoSpaceDN w:val="0"/>
        <w:spacing w:after="60" w:line="240" w:lineRule="auto"/>
        <w:ind w:right="-28" w:hanging="360"/>
        <w:contextualSpacing w:val="0"/>
        <w:jc w:val="both"/>
      </w:pPr>
      <w:r>
        <w:t xml:space="preserve">That subject part of the heritage place is demonstrated that is has been changed beyond recognition of its original or subsequent contributory character(s) as a result of Council </w:t>
      </w:r>
      <w:r>
        <w:lastRenderedPageBreak/>
        <w:t>approvals to make the alterations and</w:t>
      </w:r>
      <w:r>
        <w:rPr>
          <w:spacing w:val="-9"/>
        </w:rPr>
        <w:t xml:space="preserve"> </w:t>
      </w:r>
      <w:proofErr w:type="gramStart"/>
      <w:r>
        <w:t>changes;</w:t>
      </w:r>
      <w:proofErr w:type="gramEnd"/>
    </w:p>
    <w:p w14:paraId="49061239" w14:textId="77777777" w:rsidR="00665A13" w:rsidRDefault="00665A13" w:rsidP="002A3889">
      <w:pPr>
        <w:pStyle w:val="ListParagraph"/>
        <w:widowControl w:val="0"/>
        <w:numPr>
          <w:ilvl w:val="1"/>
          <w:numId w:val="411"/>
        </w:numPr>
        <w:tabs>
          <w:tab w:val="left" w:pos="1560"/>
        </w:tabs>
        <w:autoSpaceDE w:val="0"/>
        <w:autoSpaceDN w:val="0"/>
        <w:spacing w:after="60" w:line="240" w:lineRule="auto"/>
        <w:ind w:left="1559" w:right="-29" w:hanging="357"/>
        <w:contextualSpacing w:val="0"/>
        <w:jc w:val="both"/>
      </w:pPr>
      <w:r>
        <w:t>That subject part is not visible from a street frontage, park or public open space and the main building form including roof form is</w:t>
      </w:r>
      <w:r>
        <w:rPr>
          <w:spacing w:val="-6"/>
        </w:rPr>
        <w:t xml:space="preserve"> </w:t>
      </w:r>
      <w:proofErr w:type="gramStart"/>
      <w:r>
        <w:t>maintained;</w:t>
      </w:r>
      <w:proofErr w:type="gramEnd"/>
    </w:p>
    <w:p w14:paraId="08F5F6A4" w14:textId="77777777" w:rsidR="00665A13" w:rsidRDefault="00665A13" w:rsidP="002A3889">
      <w:pPr>
        <w:pStyle w:val="ListParagraph"/>
        <w:widowControl w:val="0"/>
        <w:numPr>
          <w:ilvl w:val="1"/>
          <w:numId w:val="411"/>
        </w:numPr>
        <w:tabs>
          <w:tab w:val="left" w:pos="1560"/>
        </w:tabs>
        <w:autoSpaceDE w:val="0"/>
        <w:autoSpaceDN w:val="0"/>
        <w:spacing w:after="60" w:line="240" w:lineRule="auto"/>
        <w:ind w:left="1559" w:right="-29" w:hanging="357"/>
        <w:contextualSpacing w:val="0"/>
        <w:jc w:val="both"/>
      </w:pPr>
      <w:r>
        <w:t>The removal of the subject part would not adversely affect the contribution of the building to the heritage place;</w:t>
      </w:r>
      <w:r>
        <w:rPr>
          <w:spacing w:val="-1"/>
        </w:rPr>
        <w:t xml:space="preserve"> </w:t>
      </w:r>
      <w:r>
        <w:t>and</w:t>
      </w:r>
    </w:p>
    <w:p w14:paraId="5F03B490" w14:textId="77777777" w:rsidR="00665A13" w:rsidRDefault="00665A13" w:rsidP="002A3889">
      <w:pPr>
        <w:pStyle w:val="ListParagraph"/>
        <w:widowControl w:val="0"/>
        <w:numPr>
          <w:ilvl w:val="1"/>
          <w:numId w:val="411"/>
        </w:numPr>
        <w:tabs>
          <w:tab w:val="left" w:pos="1560"/>
        </w:tabs>
        <w:autoSpaceDE w:val="0"/>
        <w:autoSpaceDN w:val="0"/>
        <w:spacing w:after="60" w:line="240" w:lineRule="auto"/>
        <w:ind w:left="1559" w:right="-29" w:hanging="357"/>
        <w:contextualSpacing w:val="0"/>
        <w:jc w:val="both"/>
      </w:pPr>
      <w:r>
        <w:t>For</w:t>
      </w:r>
      <w:r>
        <w:rPr>
          <w:spacing w:val="-7"/>
        </w:rPr>
        <w:t xml:space="preserve"> </w:t>
      </w:r>
      <w:r>
        <w:t>individually</w:t>
      </w:r>
      <w:r>
        <w:rPr>
          <w:spacing w:val="-6"/>
        </w:rPr>
        <w:t xml:space="preserve"> </w:t>
      </w:r>
      <w:r>
        <w:t>significant</w:t>
      </w:r>
      <w:r>
        <w:rPr>
          <w:spacing w:val="-10"/>
        </w:rPr>
        <w:t xml:space="preserve"> </w:t>
      </w:r>
      <w:r>
        <w:t>building</w:t>
      </w:r>
      <w:r>
        <w:rPr>
          <w:spacing w:val="-8"/>
        </w:rPr>
        <w:t xml:space="preserve"> </w:t>
      </w:r>
      <w:r>
        <w:t>or</w:t>
      </w:r>
      <w:r>
        <w:rPr>
          <w:spacing w:val="-10"/>
        </w:rPr>
        <w:t xml:space="preserve"> </w:t>
      </w:r>
      <w:r>
        <w:t>works,</w:t>
      </w:r>
      <w:r>
        <w:rPr>
          <w:spacing w:val="-10"/>
        </w:rPr>
        <w:t xml:space="preserve"> </w:t>
      </w:r>
      <w:r>
        <w:t>it</w:t>
      </w:r>
      <w:r>
        <w:rPr>
          <w:spacing w:val="-9"/>
        </w:rPr>
        <w:t xml:space="preserve"> </w:t>
      </w:r>
      <w:r>
        <w:t>can</w:t>
      </w:r>
      <w:r>
        <w:rPr>
          <w:spacing w:val="-10"/>
        </w:rPr>
        <w:t xml:space="preserve"> </w:t>
      </w:r>
      <w:r>
        <w:t>be</w:t>
      </w:r>
      <w:r>
        <w:rPr>
          <w:spacing w:val="-10"/>
        </w:rPr>
        <w:t xml:space="preserve"> </w:t>
      </w:r>
      <w:r>
        <w:t>demonstrated</w:t>
      </w:r>
      <w:r>
        <w:rPr>
          <w:spacing w:val="-8"/>
        </w:rPr>
        <w:t xml:space="preserve"> </w:t>
      </w:r>
      <w:r>
        <w:t>that</w:t>
      </w:r>
      <w:r>
        <w:rPr>
          <w:spacing w:val="-10"/>
        </w:rPr>
        <w:t xml:space="preserve"> </w:t>
      </w:r>
      <w:r>
        <w:t>the</w:t>
      </w:r>
      <w:r>
        <w:rPr>
          <w:spacing w:val="-8"/>
        </w:rPr>
        <w:t xml:space="preserve"> </w:t>
      </w:r>
      <w:r>
        <w:t>removal of that subject part of the building does not negatively affect the significance of the place.</w:t>
      </w:r>
    </w:p>
    <w:p w14:paraId="2C32E0FD" w14:textId="77777777" w:rsidR="00665A13" w:rsidRDefault="00665A13" w:rsidP="002A3889">
      <w:pPr>
        <w:pStyle w:val="ListParagraph"/>
        <w:widowControl w:val="0"/>
        <w:numPr>
          <w:ilvl w:val="0"/>
          <w:numId w:val="411"/>
        </w:numPr>
        <w:tabs>
          <w:tab w:val="left" w:pos="1199"/>
          <w:tab w:val="left" w:pos="1200"/>
          <w:tab w:val="left" w:pos="9072"/>
        </w:tabs>
        <w:autoSpaceDE w:val="0"/>
        <w:autoSpaceDN w:val="0"/>
        <w:spacing w:before="1" w:line="240" w:lineRule="auto"/>
        <w:ind w:right="-29"/>
        <w:contextualSpacing w:val="0"/>
        <w:jc w:val="both"/>
      </w:pPr>
      <w:r>
        <w:t>Notwithstanding any of the abovementioned requirements, demolition of a contributory building</w:t>
      </w:r>
      <w:r>
        <w:rPr>
          <w:spacing w:val="-6"/>
        </w:rPr>
        <w:t xml:space="preserve"> </w:t>
      </w:r>
      <w:r>
        <w:t>is</w:t>
      </w:r>
      <w:r>
        <w:rPr>
          <w:spacing w:val="-6"/>
        </w:rPr>
        <w:t xml:space="preserve"> </w:t>
      </w:r>
      <w:r>
        <w:t>not</w:t>
      </w:r>
      <w:r>
        <w:rPr>
          <w:spacing w:val="-6"/>
        </w:rPr>
        <w:t xml:space="preserve"> </w:t>
      </w:r>
      <w:r>
        <w:t>likely</w:t>
      </w:r>
      <w:r>
        <w:rPr>
          <w:spacing w:val="-6"/>
        </w:rPr>
        <w:t xml:space="preserve"> </w:t>
      </w:r>
      <w:r>
        <w:t>to</w:t>
      </w:r>
      <w:r>
        <w:rPr>
          <w:spacing w:val="-8"/>
        </w:rPr>
        <w:t xml:space="preserve"> </w:t>
      </w:r>
      <w:r>
        <w:t>be</w:t>
      </w:r>
      <w:r>
        <w:rPr>
          <w:spacing w:val="-7"/>
        </w:rPr>
        <w:t xml:space="preserve"> </w:t>
      </w:r>
      <w:r>
        <w:t>supported</w:t>
      </w:r>
      <w:r>
        <w:rPr>
          <w:spacing w:val="-7"/>
        </w:rPr>
        <w:t xml:space="preserve"> </w:t>
      </w:r>
      <w:r>
        <w:t>in</w:t>
      </w:r>
      <w:r>
        <w:rPr>
          <w:spacing w:val="-9"/>
        </w:rPr>
        <w:t xml:space="preserve"> </w:t>
      </w:r>
      <w:r>
        <w:t>the</w:t>
      </w:r>
      <w:r>
        <w:rPr>
          <w:spacing w:val="-8"/>
        </w:rPr>
        <w:t xml:space="preserve"> </w:t>
      </w:r>
      <w:r>
        <w:t>absence</w:t>
      </w:r>
      <w:r>
        <w:rPr>
          <w:spacing w:val="-7"/>
        </w:rPr>
        <w:t xml:space="preserve"> </w:t>
      </w:r>
      <w:r>
        <w:t>of</w:t>
      </w:r>
      <w:r>
        <w:rPr>
          <w:spacing w:val="-9"/>
        </w:rPr>
        <w:t xml:space="preserve"> </w:t>
      </w:r>
      <w:r>
        <w:t>an</w:t>
      </w:r>
      <w:r>
        <w:rPr>
          <w:spacing w:val="-6"/>
        </w:rPr>
        <w:t xml:space="preserve"> </w:t>
      </w:r>
      <w:r>
        <w:t>approval</w:t>
      </w:r>
      <w:r>
        <w:rPr>
          <w:spacing w:val="-6"/>
        </w:rPr>
        <w:t xml:space="preserve"> </w:t>
      </w:r>
      <w:r>
        <w:t>for</w:t>
      </w:r>
      <w:r>
        <w:rPr>
          <w:spacing w:val="-6"/>
        </w:rPr>
        <w:t xml:space="preserve"> </w:t>
      </w:r>
      <w:r>
        <w:t>a</w:t>
      </w:r>
      <w:r>
        <w:rPr>
          <w:spacing w:val="-8"/>
        </w:rPr>
        <w:t xml:space="preserve"> </w:t>
      </w:r>
      <w:r>
        <w:t>new</w:t>
      </w:r>
      <w:r>
        <w:rPr>
          <w:spacing w:val="-8"/>
        </w:rPr>
        <w:t xml:space="preserve"> </w:t>
      </w:r>
      <w:r>
        <w:t>replacement building</w:t>
      </w:r>
      <w:r>
        <w:rPr>
          <w:spacing w:val="-13"/>
        </w:rPr>
        <w:t xml:space="preserve"> </w:t>
      </w:r>
      <w:r>
        <w:t>that</w:t>
      </w:r>
      <w:r>
        <w:rPr>
          <w:spacing w:val="-13"/>
        </w:rPr>
        <w:t xml:space="preserve"> </w:t>
      </w:r>
      <w:r>
        <w:t>meets</w:t>
      </w:r>
      <w:r>
        <w:rPr>
          <w:spacing w:val="-15"/>
        </w:rPr>
        <w:t xml:space="preserve"> </w:t>
      </w:r>
      <w:r>
        <w:t>the</w:t>
      </w:r>
      <w:r>
        <w:rPr>
          <w:spacing w:val="-14"/>
        </w:rPr>
        <w:t xml:space="preserve"> </w:t>
      </w:r>
      <w:r>
        <w:t>‘General</w:t>
      </w:r>
      <w:r>
        <w:rPr>
          <w:spacing w:val="-13"/>
        </w:rPr>
        <w:t xml:space="preserve"> </w:t>
      </w:r>
      <w:r>
        <w:t>Principles’</w:t>
      </w:r>
      <w:r>
        <w:rPr>
          <w:spacing w:val="-12"/>
        </w:rPr>
        <w:t xml:space="preserve"> </w:t>
      </w:r>
      <w:r>
        <w:t>and</w:t>
      </w:r>
      <w:r>
        <w:rPr>
          <w:spacing w:val="-16"/>
        </w:rPr>
        <w:t xml:space="preserve"> </w:t>
      </w:r>
      <w:r>
        <w:t>complies</w:t>
      </w:r>
      <w:r>
        <w:rPr>
          <w:spacing w:val="-15"/>
        </w:rPr>
        <w:t xml:space="preserve"> </w:t>
      </w:r>
      <w:r>
        <w:t>with</w:t>
      </w:r>
      <w:r>
        <w:rPr>
          <w:spacing w:val="-16"/>
        </w:rPr>
        <w:t xml:space="preserve"> </w:t>
      </w:r>
      <w:r>
        <w:t>the</w:t>
      </w:r>
      <w:r>
        <w:rPr>
          <w:spacing w:val="-12"/>
        </w:rPr>
        <w:t xml:space="preserve"> </w:t>
      </w:r>
      <w:r>
        <w:t>Policy</w:t>
      </w:r>
      <w:r>
        <w:rPr>
          <w:spacing w:val="-11"/>
        </w:rPr>
        <w:t xml:space="preserve"> </w:t>
      </w:r>
      <w:r>
        <w:t>in</w:t>
      </w:r>
      <w:r>
        <w:rPr>
          <w:spacing w:val="-14"/>
        </w:rPr>
        <w:t xml:space="preserve"> </w:t>
      </w:r>
      <w:r>
        <w:t>respect</w:t>
      </w:r>
      <w:r>
        <w:rPr>
          <w:spacing w:val="-14"/>
        </w:rPr>
        <w:t xml:space="preserve"> </w:t>
      </w:r>
      <w:r>
        <w:t>to</w:t>
      </w:r>
      <w:r>
        <w:rPr>
          <w:spacing w:val="-10"/>
        </w:rPr>
        <w:t xml:space="preserve"> </w:t>
      </w:r>
      <w:r>
        <w:t>non- contributory and new</w:t>
      </w:r>
      <w:r>
        <w:rPr>
          <w:spacing w:val="-2"/>
        </w:rPr>
        <w:t xml:space="preserve"> </w:t>
      </w:r>
      <w:r>
        <w:t>buildings.</w:t>
      </w:r>
    </w:p>
    <w:p w14:paraId="36EE1A3C" w14:textId="77777777" w:rsidR="00665A13" w:rsidRPr="007D4DF6" w:rsidRDefault="007D4DF6" w:rsidP="007D4DF6">
      <w:pPr>
        <w:spacing w:after="120"/>
        <w:ind w:left="425" w:hanging="425"/>
        <w:rPr>
          <w:b/>
        </w:rPr>
      </w:pPr>
      <w:r>
        <w:rPr>
          <w:b/>
        </w:rPr>
        <w:t>3.</w:t>
      </w:r>
      <w:r>
        <w:rPr>
          <w:b/>
        </w:rPr>
        <w:tab/>
      </w:r>
      <w:r w:rsidR="00665A13" w:rsidRPr="007D4DF6">
        <w:rPr>
          <w:b/>
        </w:rPr>
        <w:t xml:space="preserve">Non- contributory Buildings – Additions and Alterations </w:t>
      </w:r>
    </w:p>
    <w:p w14:paraId="67713ED8" w14:textId="77777777" w:rsidR="00665A13" w:rsidRPr="007D4DF6" w:rsidRDefault="00665A13" w:rsidP="007D4DF6">
      <w:pPr>
        <w:spacing w:after="0"/>
        <w:ind w:left="426"/>
        <w:rPr>
          <w:b/>
        </w:rPr>
      </w:pPr>
      <w:r w:rsidRPr="007D4DF6">
        <w:rPr>
          <w:b/>
        </w:rPr>
        <w:t>General</w:t>
      </w:r>
      <w:r w:rsidRPr="007D4DF6">
        <w:rPr>
          <w:b/>
          <w:spacing w:val="-1"/>
        </w:rPr>
        <w:t xml:space="preserve"> </w:t>
      </w:r>
      <w:r w:rsidRPr="007D4DF6">
        <w:rPr>
          <w:b/>
        </w:rPr>
        <w:t>Principles</w:t>
      </w:r>
    </w:p>
    <w:p w14:paraId="7E84D682" w14:textId="77777777" w:rsidR="00665A13" w:rsidRDefault="007D4DF6" w:rsidP="007D4DF6">
      <w:pPr>
        <w:widowControl w:val="0"/>
        <w:tabs>
          <w:tab w:val="left" w:pos="1134"/>
        </w:tabs>
        <w:autoSpaceDE w:val="0"/>
        <w:autoSpaceDN w:val="0"/>
        <w:spacing w:after="60" w:line="240" w:lineRule="auto"/>
        <w:ind w:left="1134" w:right="-29" w:hanging="709"/>
        <w:jc w:val="both"/>
      </w:pPr>
      <w:proofErr w:type="spellStart"/>
      <w:r>
        <w:t>i</w:t>
      </w:r>
      <w:proofErr w:type="spellEnd"/>
      <w:r>
        <w:t>.</w:t>
      </w:r>
      <w:r>
        <w:tab/>
      </w:r>
      <w:r w:rsidR="00665A13">
        <w:t>Additions and alterations to non-contributory buildings are to respect and complement the</w:t>
      </w:r>
      <w:r w:rsidR="00665A13" w:rsidRPr="007D4DF6">
        <w:rPr>
          <w:spacing w:val="-10"/>
        </w:rPr>
        <w:t xml:space="preserve"> </w:t>
      </w:r>
      <w:r w:rsidR="00665A13">
        <w:t>significance</w:t>
      </w:r>
      <w:r w:rsidR="00665A13" w:rsidRPr="007D4DF6">
        <w:rPr>
          <w:spacing w:val="-9"/>
        </w:rPr>
        <w:t xml:space="preserve"> </w:t>
      </w:r>
      <w:r w:rsidR="00665A13">
        <w:t>and</w:t>
      </w:r>
      <w:r w:rsidR="00665A13" w:rsidRPr="007D4DF6">
        <w:rPr>
          <w:spacing w:val="-13"/>
        </w:rPr>
        <w:t xml:space="preserve"> </w:t>
      </w:r>
      <w:r w:rsidR="00665A13">
        <w:t>character</w:t>
      </w:r>
      <w:r w:rsidR="00665A13" w:rsidRPr="007D4DF6">
        <w:rPr>
          <w:spacing w:val="-11"/>
        </w:rPr>
        <w:t xml:space="preserve"> </w:t>
      </w:r>
      <w:r w:rsidR="00665A13">
        <w:t>of</w:t>
      </w:r>
      <w:r w:rsidR="00665A13" w:rsidRPr="007D4DF6">
        <w:rPr>
          <w:spacing w:val="-12"/>
        </w:rPr>
        <w:t xml:space="preserve"> </w:t>
      </w:r>
      <w:r w:rsidR="00665A13">
        <w:t>the</w:t>
      </w:r>
      <w:r w:rsidR="00665A13" w:rsidRPr="007D4DF6">
        <w:rPr>
          <w:spacing w:val="-13"/>
        </w:rPr>
        <w:t xml:space="preserve"> </w:t>
      </w:r>
      <w:r w:rsidR="00665A13">
        <w:t>existing</w:t>
      </w:r>
      <w:r w:rsidR="00665A13" w:rsidRPr="007D4DF6">
        <w:rPr>
          <w:spacing w:val="-12"/>
        </w:rPr>
        <w:t xml:space="preserve"> </w:t>
      </w:r>
      <w:r w:rsidR="00665A13">
        <w:t>contributory</w:t>
      </w:r>
      <w:r w:rsidR="00665A13" w:rsidRPr="007D4DF6">
        <w:rPr>
          <w:spacing w:val="-11"/>
        </w:rPr>
        <w:t xml:space="preserve"> </w:t>
      </w:r>
      <w:r w:rsidR="00665A13">
        <w:t>buildings</w:t>
      </w:r>
      <w:r w:rsidR="00665A13" w:rsidRPr="007D4DF6">
        <w:rPr>
          <w:spacing w:val="-9"/>
        </w:rPr>
        <w:t xml:space="preserve"> </w:t>
      </w:r>
      <w:r w:rsidR="00665A13">
        <w:t>and</w:t>
      </w:r>
      <w:r w:rsidR="00665A13" w:rsidRPr="007D4DF6">
        <w:rPr>
          <w:spacing w:val="-11"/>
        </w:rPr>
        <w:t xml:space="preserve"> </w:t>
      </w:r>
      <w:r w:rsidR="00665A13">
        <w:t>their</w:t>
      </w:r>
      <w:r w:rsidR="00665A13" w:rsidRPr="007D4DF6">
        <w:rPr>
          <w:spacing w:val="-13"/>
        </w:rPr>
        <w:t xml:space="preserve"> </w:t>
      </w:r>
      <w:r w:rsidR="00665A13">
        <w:t>contribution to the character of the Heritage</w:t>
      </w:r>
      <w:r w:rsidR="00665A13" w:rsidRPr="007D4DF6">
        <w:rPr>
          <w:spacing w:val="-11"/>
        </w:rPr>
        <w:t xml:space="preserve"> </w:t>
      </w:r>
      <w:r w:rsidR="00665A13">
        <w:t>Area.</w:t>
      </w:r>
    </w:p>
    <w:p w14:paraId="49262499" w14:textId="77777777" w:rsidR="00665A13" w:rsidRDefault="007D4DF6" w:rsidP="007D4DF6">
      <w:pPr>
        <w:widowControl w:val="0"/>
        <w:tabs>
          <w:tab w:val="left" w:pos="1134"/>
        </w:tabs>
        <w:autoSpaceDE w:val="0"/>
        <w:autoSpaceDN w:val="0"/>
        <w:spacing w:after="60" w:line="240" w:lineRule="auto"/>
        <w:ind w:left="1134" w:right="-29" w:hanging="709"/>
        <w:jc w:val="both"/>
      </w:pPr>
      <w:r>
        <w:t>ii.</w:t>
      </w:r>
      <w:r>
        <w:tab/>
      </w:r>
      <w:r w:rsidR="00665A13">
        <w:t>Additions and alterations to non-contributory buildings are to respect and complement the scale, setbacks, bulk and proportions of the</w:t>
      </w:r>
      <w:r w:rsidR="00665A13" w:rsidRPr="007D4DF6">
        <w:rPr>
          <w:spacing w:val="-8"/>
        </w:rPr>
        <w:t xml:space="preserve"> </w:t>
      </w:r>
      <w:r w:rsidR="00665A13">
        <w:t>streetscape.</w:t>
      </w:r>
    </w:p>
    <w:p w14:paraId="5756E6A9" w14:textId="77777777" w:rsidR="00665A13" w:rsidRDefault="007D4DF6" w:rsidP="007D4DF6">
      <w:pPr>
        <w:widowControl w:val="0"/>
        <w:tabs>
          <w:tab w:val="left" w:pos="1134"/>
        </w:tabs>
        <w:autoSpaceDE w:val="0"/>
        <w:autoSpaceDN w:val="0"/>
        <w:spacing w:before="5" w:line="240" w:lineRule="auto"/>
        <w:ind w:left="1134" w:right="-29" w:hanging="709"/>
        <w:jc w:val="both"/>
      </w:pPr>
      <w:r>
        <w:t>iii.</w:t>
      </w:r>
      <w:r>
        <w:tab/>
      </w:r>
      <w:r w:rsidR="00665A13">
        <w:t>Applications for full demolition of dwellings may be supported for non-contributing buildings, subject to a satisfactory proposal being submitted to the Town for Council’s consideration.</w:t>
      </w:r>
    </w:p>
    <w:p w14:paraId="3BDBBC82" w14:textId="77777777" w:rsidR="00665A13" w:rsidRPr="007D4DF6" w:rsidRDefault="007D4DF6" w:rsidP="007D4DF6">
      <w:pPr>
        <w:spacing w:after="120"/>
        <w:ind w:left="426" w:hanging="426"/>
        <w:rPr>
          <w:b/>
        </w:rPr>
      </w:pPr>
      <w:bookmarkStart w:id="556" w:name="_TOC_250009"/>
      <w:r>
        <w:rPr>
          <w:b/>
        </w:rPr>
        <w:t>4.</w:t>
      </w:r>
      <w:r>
        <w:rPr>
          <w:b/>
        </w:rPr>
        <w:tab/>
      </w:r>
      <w:r w:rsidR="00665A13" w:rsidRPr="007D4DF6">
        <w:rPr>
          <w:b/>
        </w:rPr>
        <w:t>Corner</w:t>
      </w:r>
      <w:r w:rsidR="00665A13" w:rsidRPr="007D4DF6">
        <w:rPr>
          <w:b/>
          <w:spacing w:val="-1"/>
        </w:rPr>
        <w:t xml:space="preserve"> </w:t>
      </w:r>
      <w:bookmarkEnd w:id="556"/>
      <w:r w:rsidR="00665A13" w:rsidRPr="007D4DF6">
        <w:rPr>
          <w:b/>
        </w:rPr>
        <w:t>Sites</w:t>
      </w:r>
    </w:p>
    <w:p w14:paraId="77DB9C44" w14:textId="77777777" w:rsidR="00665A13" w:rsidRPr="00B80816" w:rsidRDefault="00665A13" w:rsidP="007D4DF6">
      <w:pPr>
        <w:spacing w:after="0"/>
        <w:ind w:left="425"/>
        <w:jc w:val="both"/>
        <w:rPr>
          <w:b/>
        </w:rPr>
      </w:pPr>
      <w:r w:rsidRPr="00B80816">
        <w:rPr>
          <w:b/>
        </w:rPr>
        <w:t>General Principles</w:t>
      </w:r>
    </w:p>
    <w:p w14:paraId="3F06E320" w14:textId="77777777" w:rsidR="00665A13" w:rsidRPr="007D4DF6" w:rsidRDefault="007D4DF6" w:rsidP="00895C3A">
      <w:pPr>
        <w:widowControl w:val="0"/>
        <w:tabs>
          <w:tab w:val="left" w:pos="1252"/>
          <w:tab w:val="left" w:pos="1253"/>
        </w:tabs>
        <w:autoSpaceDE w:val="0"/>
        <w:autoSpaceDN w:val="0"/>
        <w:spacing w:after="60" w:line="240" w:lineRule="auto"/>
        <w:ind w:left="1077" w:right="-29" w:hanging="652"/>
        <w:jc w:val="both"/>
        <w:rPr>
          <w:rFonts w:cstheme="minorHAnsi"/>
        </w:rPr>
      </w:pPr>
      <w:proofErr w:type="spellStart"/>
      <w:r>
        <w:t>i</w:t>
      </w:r>
      <w:proofErr w:type="spellEnd"/>
      <w:r>
        <w:t>.</w:t>
      </w:r>
      <w:r>
        <w:tab/>
        <w:t>T</w:t>
      </w:r>
      <w:r w:rsidR="00665A13" w:rsidRPr="00B80816">
        <w:t>he significance of the Policy Area, and of the individual contributory places, relies primarily</w:t>
      </w:r>
      <w:r w:rsidR="00665A13" w:rsidRPr="007D4DF6">
        <w:rPr>
          <w:spacing w:val="-13"/>
        </w:rPr>
        <w:t xml:space="preserve"> </w:t>
      </w:r>
      <w:r w:rsidR="00665A13" w:rsidRPr="00B80816">
        <w:t>on</w:t>
      </w:r>
      <w:r w:rsidR="00665A13" w:rsidRPr="007D4DF6">
        <w:rPr>
          <w:spacing w:val="-11"/>
        </w:rPr>
        <w:t xml:space="preserve"> </w:t>
      </w:r>
      <w:r w:rsidR="00665A13" w:rsidRPr="00B80816">
        <w:t>the</w:t>
      </w:r>
      <w:r w:rsidR="00665A13" w:rsidRPr="007D4DF6">
        <w:rPr>
          <w:spacing w:val="-10"/>
        </w:rPr>
        <w:t xml:space="preserve"> </w:t>
      </w:r>
      <w:r w:rsidR="00665A13" w:rsidRPr="00B80816">
        <w:t>traditional</w:t>
      </w:r>
      <w:r w:rsidR="00665A13" w:rsidRPr="007D4DF6">
        <w:rPr>
          <w:spacing w:val="-13"/>
        </w:rPr>
        <w:t xml:space="preserve"> </w:t>
      </w:r>
      <w:r w:rsidR="00665A13" w:rsidRPr="00B80816">
        <w:t>pattern</w:t>
      </w:r>
      <w:r w:rsidR="00665A13" w:rsidRPr="007D4DF6">
        <w:rPr>
          <w:spacing w:val="-13"/>
        </w:rPr>
        <w:t xml:space="preserve"> </w:t>
      </w:r>
      <w:r w:rsidR="00665A13" w:rsidRPr="00B80816">
        <w:t>of</w:t>
      </w:r>
      <w:r w:rsidR="00665A13" w:rsidRPr="007D4DF6">
        <w:rPr>
          <w:spacing w:val="-12"/>
        </w:rPr>
        <w:t xml:space="preserve"> </w:t>
      </w:r>
      <w:r w:rsidR="00665A13" w:rsidRPr="00B80816">
        <w:t>development</w:t>
      </w:r>
      <w:r w:rsidR="00665A13" w:rsidRPr="007D4DF6">
        <w:rPr>
          <w:spacing w:val="-10"/>
        </w:rPr>
        <w:t xml:space="preserve"> </w:t>
      </w:r>
      <w:r w:rsidR="00665A13" w:rsidRPr="00B80816">
        <w:t>along</w:t>
      </w:r>
      <w:r w:rsidR="00665A13" w:rsidRPr="007D4DF6">
        <w:rPr>
          <w:spacing w:val="-13"/>
        </w:rPr>
        <w:t xml:space="preserve"> </w:t>
      </w:r>
      <w:r w:rsidR="00665A13" w:rsidRPr="00B80816">
        <w:t>George</w:t>
      </w:r>
      <w:r w:rsidR="00665A13" w:rsidRPr="007D4DF6">
        <w:rPr>
          <w:spacing w:val="-10"/>
        </w:rPr>
        <w:t xml:space="preserve"> </w:t>
      </w:r>
      <w:r w:rsidR="00665A13" w:rsidRPr="00B80816">
        <w:t>Street.</w:t>
      </w:r>
      <w:r w:rsidR="00665A13" w:rsidRPr="007D4DF6">
        <w:rPr>
          <w:spacing w:val="-13"/>
        </w:rPr>
        <w:t xml:space="preserve"> </w:t>
      </w:r>
      <w:r w:rsidR="00665A13" w:rsidRPr="00B80816">
        <w:t>Consistent</w:t>
      </w:r>
      <w:r w:rsidR="00665A13" w:rsidRPr="007D4DF6">
        <w:rPr>
          <w:spacing w:val="-9"/>
        </w:rPr>
        <w:t xml:space="preserve"> </w:t>
      </w:r>
      <w:r w:rsidR="00665A13" w:rsidRPr="00B80816">
        <w:t>front boundary building alignments are a key feature of the Policy Area. Block widths vary, but the facades are generally articulated in a manner that reflects the development of a continuous</w:t>
      </w:r>
      <w:r w:rsidR="00665A13" w:rsidRPr="007D4DF6">
        <w:rPr>
          <w:spacing w:val="-11"/>
        </w:rPr>
        <w:t xml:space="preserve"> </w:t>
      </w:r>
      <w:r w:rsidR="00665A13" w:rsidRPr="00B80816">
        <w:t>strip</w:t>
      </w:r>
      <w:r w:rsidR="00665A13" w:rsidRPr="007D4DF6">
        <w:rPr>
          <w:spacing w:val="-11"/>
        </w:rPr>
        <w:t xml:space="preserve"> </w:t>
      </w:r>
      <w:r w:rsidR="00665A13" w:rsidRPr="00B80816">
        <w:t>of</w:t>
      </w:r>
      <w:r w:rsidR="00665A13" w:rsidRPr="007D4DF6">
        <w:rPr>
          <w:spacing w:val="-12"/>
        </w:rPr>
        <w:t xml:space="preserve"> </w:t>
      </w:r>
      <w:r w:rsidR="00665A13" w:rsidRPr="00B80816">
        <w:t>dwellings,</w:t>
      </w:r>
      <w:r w:rsidR="00665A13" w:rsidRPr="007D4DF6">
        <w:rPr>
          <w:spacing w:val="-9"/>
        </w:rPr>
        <w:t xml:space="preserve"> </w:t>
      </w:r>
      <w:r w:rsidR="00665A13" w:rsidRPr="00B80816">
        <w:t>small</w:t>
      </w:r>
      <w:r w:rsidR="00665A13" w:rsidRPr="007D4DF6">
        <w:rPr>
          <w:spacing w:val="-11"/>
        </w:rPr>
        <w:t xml:space="preserve"> </w:t>
      </w:r>
      <w:r w:rsidR="00665A13" w:rsidRPr="00B80816">
        <w:t>shops</w:t>
      </w:r>
      <w:r w:rsidR="00665A13" w:rsidRPr="007D4DF6">
        <w:rPr>
          <w:spacing w:val="-10"/>
        </w:rPr>
        <w:t xml:space="preserve"> </w:t>
      </w:r>
      <w:r w:rsidR="00665A13" w:rsidRPr="00B80816">
        <w:t>and</w:t>
      </w:r>
      <w:r w:rsidR="00665A13" w:rsidRPr="007D4DF6">
        <w:rPr>
          <w:spacing w:val="-10"/>
        </w:rPr>
        <w:t xml:space="preserve"> </w:t>
      </w:r>
      <w:r w:rsidR="00665A13" w:rsidRPr="00B80816">
        <w:t>businesses,</w:t>
      </w:r>
      <w:r w:rsidR="00665A13" w:rsidRPr="007D4DF6">
        <w:rPr>
          <w:spacing w:val="-9"/>
        </w:rPr>
        <w:t xml:space="preserve"> </w:t>
      </w:r>
      <w:r w:rsidR="00665A13" w:rsidRPr="00B80816">
        <w:t>flanked</w:t>
      </w:r>
      <w:r w:rsidR="00665A13" w:rsidRPr="007D4DF6">
        <w:rPr>
          <w:spacing w:val="-10"/>
        </w:rPr>
        <w:t xml:space="preserve"> </w:t>
      </w:r>
      <w:r w:rsidR="00665A13" w:rsidRPr="00B80816">
        <w:t>by</w:t>
      </w:r>
      <w:r w:rsidR="00665A13" w:rsidRPr="007D4DF6">
        <w:rPr>
          <w:spacing w:val="-10"/>
        </w:rPr>
        <w:t xml:space="preserve"> </w:t>
      </w:r>
      <w:r w:rsidR="00665A13" w:rsidRPr="00B80816">
        <w:t>key</w:t>
      </w:r>
      <w:r w:rsidR="00665A13" w:rsidRPr="007D4DF6">
        <w:rPr>
          <w:spacing w:val="-9"/>
        </w:rPr>
        <w:t xml:space="preserve"> </w:t>
      </w:r>
      <w:r w:rsidR="00665A13" w:rsidRPr="00B80816">
        <w:t>corner</w:t>
      </w:r>
      <w:r w:rsidR="00665A13" w:rsidRPr="007D4DF6">
        <w:rPr>
          <w:spacing w:val="-9"/>
        </w:rPr>
        <w:t xml:space="preserve"> </w:t>
      </w:r>
      <w:r w:rsidR="00665A13" w:rsidRPr="00B80816">
        <w:t>buildings</w:t>
      </w:r>
      <w:r>
        <w:t xml:space="preserve"> - </w:t>
      </w:r>
      <w:r w:rsidR="00665A13" w:rsidRPr="007D4DF6">
        <w:rPr>
          <w:rFonts w:cstheme="minorHAnsi"/>
        </w:rPr>
        <w:t xml:space="preserve">traditionally with awnings or </w:t>
      </w:r>
      <w:proofErr w:type="spellStart"/>
      <w:r w:rsidR="00665A13" w:rsidRPr="007D4DF6">
        <w:rPr>
          <w:rFonts w:cstheme="minorHAnsi"/>
        </w:rPr>
        <w:t>verandahs</w:t>
      </w:r>
      <w:proofErr w:type="spellEnd"/>
      <w:r w:rsidR="00665A13" w:rsidRPr="007D4DF6">
        <w:rPr>
          <w:rFonts w:cstheme="minorHAnsi"/>
        </w:rPr>
        <w:t xml:space="preserve"> projecting over the footpath.</w:t>
      </w:r>
    </w:p>
    <w:p w14:paraId="0644175F" w14:textId="77777777" w:rsidR="00665A13" w:rsidRPr="00B80816" w:rsidRDefault="007D4DF6" w:rsidP="00895C3A">
      <w:pPr>
        <w:widowControl w:val="0"/>
        <w:tabs>
          <w:tab w:val="left" w:pos="1252"/>
          <w:tab w:val="left" w:pos="1253"/>
        </w:tabs>
        <w:autoSpaceDE w:val="0"/>
        <w:autoSpaceDN w:val="0"/>
        <w:spacing w:after="60" w:line="240" w:lineRule="auto"/>
        <w:ind w:left="1077" w:right="-29" w:hanging="652"/>
        <w:jc w:val="both"/>
      </w:pPr>
      <w:r>
        <w:t>ii.</w:t>
      </w:r>
      <w:r w:rsidR="00665A13" w:rsidRPr="00B80816">
        <w:tab/>
        <w:t>The</w:t>
      </w:r>
      <w:r w:rsidR="00665A13" w:rsidRPr="007D4DF6">
        <w:rPr>
          <w:spacing w:val="-7"/>
        </w:rPr>
        <w:t xml:space="preserve"> </w:t>
      </w:r>
      <w:r w:rsidR="00665A13" w:rsidRPr="00B80816">
        <w:t>existing</w:t>
      </w:r>
      <w:r w:rsidR="00665A13" w:rsidRPr="007D4DF6">
        <w:rPr>
          <w:spacing w:val="-8"/>
        </w:rPr>
        <w:t xml:space="preserve"> </w:t>
      </w:r>
      <w:r w:rsidR="00665A13" w:rsidRPr="00B80816">
        <w:t>corner</w:t>
      </w:r>
      <w:r w:rsidR="00665A13" w:rsidRPr="007D4DF6">
        <w:rPr>
          <w:spacing w:val="-5"/>
        </w:rPr>
        <w:t xml:space="preserve"> </w:t>
      </w:r>
      <w:r w:rsidR="00665A13" w:rsidRPr="00B80816">
        <w:t>shops</w:t>
      </w:r>
      <w:r w:rsidR="00665A13" w:rsidRPr="007D4DF6">
        <w:rPr>
          <w:spacing w:val="-7"/>
        </w:rPr>
        <w:t xml:space="preserve"> </w:t>
      </w:r>
      <w:r w:rsidR="00665A13" w:rsidRPr="00B80816">
        <w:t>and</w:t>
      </w:r>
      <w:r w:rsidR="00665A13" w:rsidRPr="007D4DF6">
        <w:rPr>
          <w:spacing w:val="-7"/>
        </w:rPr>
        <w:t xml:space="preserve"> </w:t>
      </w:r>
      <w:r w:rsidR="00665A13" w:rsidRPr="00B80816">
        <w:t>corner</w:t>
      </w:r>
      <w:r w:rsidR="00665A13" w:rsidRPr="007D4DF6">
        <w:rPr>
          <w:spacing w:val="-6"/>
        </w:rPr>
        <w:t xml:space="preserve"> </w:t>
      </w:r>
      <w:r w:rsidR="00665A13" w:rsidRPr="00B80816">
        <w:t>statement</w:t>
      </w:r>
      <w:r w:rsidR="00665A13" w:rsidRPr="007D4DF6">
        <w:rPr>
          <w:spacing w:val="-4"/>
        </w:rPr>
        <w:t xml:space="preserve"> </w:t>
      </w:r>
      <w:r w:rsidR="00665A13" w:rsidRPr="00B80816">
        <w:t>buildings</w:t>
      </w:r>
      <w:r w:rsidR="00665A13" w:rsidRPr="007D4DF6">
        <w:rPr>
          <w:spacing w:val="-7"/>
        </w:rPr>
        <w:t xml:space="preserve"> </w:t>
      </w:r>
      <w:r w:rsidR="00665A13" w:rsidRPr="00B80816">
        <w:t>fronting</w:t>
      </w:r>
      <w:r w:rsidR="00665A13" w:rsidRPr="007D4DF6">
        <w:rPr>
          <w:spacing w:val="-8"/>
        </w:rPr>
        <w:t xml:space="preserve"> </w:t>
      </w:r>
      <w:r w:rsidR="00665A13" w:rsidRPr="00B80816">
        <w:t>both</w:t>
      </w:r>
      <w:r w:rsidR="00665A13" w:rsidRPr="007D4DF6">
        <w:rPr>
          <w:spacing w:val="-9"/>
        </w:rPr>
        <w:t xml:space="preserve"> </w:t>
      </w:r>
      <w:r w:rsidR="00665A13" w:rsidRPr="00B80816">
        <w:t>streets</w:t>
      </w:r>
      <w:r w:rsidR="00665A13" w:rsidRPr="007D4DF6">
        <w:rPr>
          <w:spacing w:val="-6"/>
        </w:rPr>
        <w:t xml:space="preserve"> </w:t>
      </w:r>
      <w:r w:rsidR="00665A13" w:rsidRPr="00B80816">
        <w:t>should</w:t>
      </w:r>
      <w:r w:rsidR="00665A13" w:rsidRPr="007D4DF6">
        <w:rPr>
          <w:spacing w:val="-7"/>
        </w:rPr>
        <w:t xml:space="preserve"> </w:t>
      </w:r>
      <w:r w:rsidR="00665A13" w:rsidRPr="00B80816">
        <w:t xml:space="preserve">be retained and </w:t>
      </w:r>
      <w:proofErr w:type="gramStart"/>
      <w:r w:rsidR="00665A13" w:rsidRPr="00B80816">
        <w:t>restored</w:t>
      </w:r>
      <w:proofErr w:type="gramEnd"/>
      <w:r w:rsidR="00665A13" w:rsidRPr="00B80816">
        <w:t xml:space="preserve"> and the pattern should be reflected in any new corner developments.</w:t>
      </w:r>
    </w:p>
    <w:p w14:paraId="7D415BB1" w14:textId="77777777" w:rsidR="00665A13" w:rsidRPr="00B80816" w:rsidRDefault="007D4DF6" w:rsidP="00895C3A">
      <w:pPr>
        <w:widowControl w:val="0"/>
        <w:tabs>
          <w:tab w:val="left" w:pos="1253"/>
        </w:tabs>
        <w:autoSpaceDE w:val="0"/>
        <w:autoSpaceDN w:val="0"/>
        <w:spacing w:after="60" w:line="240" w:lineRule="auto"/>
        <w:ind w:left="1077" w:right="-29" w:hanging="652"/>
        <w:jc w:val="both"/>
      </w:pPr>
      <w:r>
        <w:t>iii.</w:t>
      </w:r>
      <w:r w:rsidR="00665A13" w:rsidRPr="00B80816">
        <w:tab/>
        <w:t>On</w:t>
      </w:r>
      <w:r w:rsidR="00665A13" w:rsidRPr="007D4DF6">
        <w:rPr>
          <w:spacing w:val="-8"/>
        </w:rPr>
        <w:t xml:space="preserve"> </w:t>
      </w:r>
      <w:r w:rsidR="00665A13" w:rsidRPr="00B80816">
        <w:t>corner</w:t>
      </w:r>
      <w:r w:rsidR="00665A13" w:rsidRPr="007D4DF6">
        <w:rPr>
          <w:spacing w:val="-8"/>
        </w:rPr>
        <w:t xml:space="preserve"> </w:t>
      </w:r>
      <w:r w:rsidR="00665A13" w:rsidRPr="00B80816">
        <w:t>sites</w:t>
      </w:r>
      <w:r w:rsidR="00665A13" w:rsidRPr="007D4DF6">
        <w:rPr>
          <w:spacing w:val="-6"/>
        </w:rPr>
        <w:t xml:space="preserve"> </w:t>
      </w:r>
      <w:r w:rsidR="00665A13" w:rsidRPr="00B80816">
        <w:t>the</w:t>
      </w:r>
      <w:r w:rsidR="00665A13" w:rsidRPr="007D4DF6">
        <w:rPr>
          <w:spacing w:val="-9"/>
        </w:rPr>
        <w:t xml:space="preserve"> </w:t>
      </w:r>
      <w:r w:rsidR="00665A13" w:rsidRPr="00B80816">
        <w:t>visibility</w:t>
      </w:r>
      <w:r w:rsidR="00665A13" w:rsidRPr="007D4DF6">
        <w:rPr>
          <w:spacing w:val="-8"/>
        </w:rPr>
        <w:t xml:space="preserve"> </w:t>
      </w:r>
      <w:r w:rsidR="00665A13" w:rsidRPr="00B80816">
        <w:t>and</w:t>
      </w:r>
      <w:r w:rsidR="00665A13" w:rsidRPr="007D4DF6">
        <w:rPr>
          <w:spacing w:val="-8"/>
        </w:rPr>
        <w:t xml:space="preserve"> </w:t>
      </w:r>
      <w:r w:rsidR="00665A13" w:rsidRPr="00B80816">
        <w:t>impact</w:t>
      </w:r>
      <w:r w:rsidR="00665A13" w:rsidRPr="007D4DF6">
        <w:rPr>
          <w:spacing w:val="-10"/>
        </w:rPr>
        <w:t xml:space="preserve"> </w:t>
      </w:r>
      <w:r w:rsidR="00665A13" w:rsidRPr="00B80816">
        <w:t>of</w:t>
      </w:r>
      <w:r w:rsidR="00665A13" w:rsidRPr="007D4DF6">
        <w:rPr>
          <w:spacing w:val="-8"/>
        </w:rPr>
        <w:t xml:space="preserve"> </w:t>
      </w:r>
      <w:r w:rsidR="00665A13" w:rsidRPr="00B80816">
        <w:t>additions</w:t>
      </w:r>
      <w:r w:rsidR="00665A13" w:rsidRPr="007D4DF6">
        <w:rPr>
          <w:spacing w:val="-7"/>
        </w:rPr>
        <w:t xml:space="preserve"> </w:t>
      </w:r>
      <w:r w:rsidR="00665A13" w:rsidRPr="00B80816">
        <w:t>and</w:t>
      </w:r>
      <w:r w:rsidR="00665A13" w:rsidRPr="007D4DF6">
        <w:rPr>
          <w:spacing w:val="-8"/>
        </w:rPr>
        <w:t xml:space="preserve"> </w:t>
      </w:r>
      <w:r w:rsidR="00665A13" w:rsidRPr="00B80816">
        <w:t>alterations</w:t>
      </w:r>
      <w:r w:rsidR="00665A13" w:rsidRPr="007D4DF6">
        <w:rPr>
          <w:spacing w:val="-5"/>
        </w:rPr>
        <w:t xml:space="preserve"> </w:t>
      </w:r>
      <w:r w:rsidR="00665A13" w:rsidRPr="00B80816">
        <w:t>will</w:t>
      </w:r>
      <w:r w:rsidR="00665A13" w:rsidRPr="007D4DF6">
        <w:rPr>
          <w:spacing w:val="-7"/>
        </w:rPr>
        <w:t xml:space="preserve"> </w:t>
      </w:r>
      <w:r w:rsidR="00665A13" w:rsidRPr="00B80816">
        <w:t>be</w:t>
      </w:r>
      <w:r w:rsidR="00665A13" w:rsidRPr="007D4DF6">
        <w:rPr>
          <w:spacing w:val="-6"/>
        </w:rPr>
        <w:t xml:space="preserve"> </w:t>
      </w:r>
      <w:r w:rsidR="00665A13" w:rsidRPr="00B80816">
        <w:t>assessed</w:t>
      </w:r>
      <w:r w:rsidR="00665A13" w:rsidRPr="007D4DF6">
        <w:rPr>
          <w:spacing w:val="-7"/>
        </w:rPr>
        <w:t xml:space="preserve"> </w:t>
      </w:r>
      <w:r w:rsidR="00665A13" w:rsidRPr="00B80816">
        <w:t>from both</w:t>
      </w:r>
      <w:r w:rsidR="00665A13" w:rsidRPr="007D4DF6">
        <w:rPr>
          <w:spacing w:val="-1"/>
        </w:rPr>
        <w:t xml:space="preserve"> </w:t>
      </w:r>
      <w:r w:rsidR="00665A13" w:rsidRPr="00B80816">
        <w:t>streets.</w:t>
      </w:r>
    </w:p>
    <w:p w14:paraId="4F67A0BE" w14:textId="77777777" w:rsidR="00665A13" w:rsidRPr="007D4DF6" w:rsidRDefault="007D4DF6" w:rsidP="00895C3A">
      <w:pPr>
        <w:widowControl w:val="0"/>
        <w:tabs>
          <w:tab w:val="left" w:pos="1253"/>
        </w:tabs>
        <w:autoSpaceDE w:val="0"/>
        <w:autoSpaceDN w:val="0"/>
        <w:spacing w:after="60" w:line="267" w:lineRule="exact"/>
        <w:ind w:left="1077" w:hanging="652"/>
        <w:jc w:val="both"/>
        <w:rPr>
          <w:rFonts w:cstheme="minorHAnsi"/>
        </w:rPr>
      </w:pPr>
      <w:r>
        <w:t>iv.</w:t>
      </w:r>
      <w:r>
        <w:tab/>
      </w:r>
      <w:r w:rsidR="00665A13" w:rsidRPr="00B80816">
        <w:t>Any development should incorporate a nil setback to the street front boundary</w:t>
      </w:r>
      <w:r w:rsidR="00665A13" w:rsidRPr="007D4DF6">
        <w:rPr>
          <w:spacing w:val="39"/>
        </w:rPr>
        <w:t xml:space="preserve"> </w:t>
      </w:r>
      <w:r w:rsidR="00665A13" w:rsidRPr="00B80816">
        <w:t>and</w:t>
      </w:r>
      <w:r>
        <w:t xml:space="preserve"> </w:t>
      </w:r>
      <w:r w:rsidR="00665A13" w:rsidRPr="007D4DF6">
        <w:rPr>
          <w:rFonts w:cstheme="minorHAnsi"/>
        </w:rPr>
        <w:t xml:space="preserve">may incorporate a continuous </w:t>
      </w:r>
      <w:proofErr w:type="spellStart"/>
      <w:r w:rsidR="00665A13" w:rsidRPr="007D4DF6">
        <w:rPr>
          <w:rFonts w:cstheme="minorHAnsi"/>
        </w:rPr>
        <w:t>verandah</w:t>
      </w:r>
      <w:proofErr w:type="spellEnd"/>
      <w:r w:rsidR="00665A13" w:rsidRPr="007D4DF6">
        <w:rPr>
          <w:rFonts w:cstheme="minorHAnsi"/>
        </w:rPr>
        <w:t xml:space="preserve"> or awning over the footpath.</w:t>
      </w:r>
    </w:p>
    <w:p w14:paraId="558E7436" w14:textId="77777777" w:rsidR="00665A13" w:rsidRPr="00B80816" w:rsidRDefault="007D4DF6" w:rsidP="00895C3A">
      <w:pPr>
        <w:widowControl w:val="0"/>
        <w:tabs>
          <w:tab w:val="left" w:pos="1252"/>
          <w:tab w:val="left" w:pos="1253"/>
        </w:tabs>
        <w:autoSpaceDE w:val="0"/>
        <w:autoSpaceDN w:val="0"/>
        <w:spacing w:after="60" w:line="240" w:lineRule="auto"/>
        <w:ind w:left="1077" w:hanging="652"/>
        <w:jc w:val="both"/>
      </w:pPr>
      <w:r>
        <w:t>v.</w:t>
      </w:r>
      <w:r>
        <w:tab/>
      </w:r>
      <w:r w:rsidR="00665A13" w:rsidRPr="00B80816">
        <w:t>Side setbacks should generally be nil, as viewed from the street</w:t>
      </w:r>
      <w:r w:rsidR="00665A13" w:rsidRPr="007D4DF6">
        <w:rPr>
          <w:spacing w:val="-9"/>
        </w:rPr>
        <w:t xml:space="preserve"> </w:t>
      </w:r>
      <w:r w:rsidR="00665A13" w:rsidRPr="00B80816">
        <w:t>frontage.</w:t>
      </w:r>
    </w:p>
    <w:p w14:paraId="550D17A1" w14:textId="77777777" w:rsidR="00665A13" w:rsidRPr="00B80816" w:rsidRDefault="007D4DF6" w:rsidP="00895C3A">
      <w:pPr>
        <w:widowControl w:val="0"/>
        <w:tabs>
          <w:tab w:val="left" w:pos="1252"/>
          <w:tab w:val="left" w:pos="1253"/>
        </w:tabs>
        <w:autoSpaceDE w:val="0"/>
        <w:autoSpaceDN w:val="0"/>
        <w:spacing w:after="60" w:line="240" w:lineRule="auto"/>
        <w:ind w:left="1077" w:right="-29" w:hanging="652"/>
        <w:jc w:val="both"/>
      </w:pPr>
      <w:r>
        <w:t>vi.</w:t>
      </w:r>
      <w:r>
        <w:tab/>
      </w:r>
      <w:r w:rsidR="00665A13" w:rsidRPr="00B80816">
        <w:t>New, open pedestrian access ways or driveways between the street and rear areas will only be permitted if this is essential for an otherwise compatible development and there are no other alternatives. In this case the access way should be carefully designed as a secondary streetscape element and not disrupt the overall sense of continuity of the street</w:t>
      </w:r>
      <w:r w:rsidR="00665A13" w:rsidRPr="007D4DF6">
        <w:rPr>
          <w:spacing w:val="9"/>
        </w:rPr>
        <w:t xml:space="preserve"> </w:t>
      </w:r>
      <w:r w:rsidR="00665A13" w:rsidRPr="00B80816">
        <w:t>facades.</w:t>
      </w:r>
    </w:p>
    <w:p w14:paraId="7250576C" w14:textId="77777777" w:rsidR="00665A13" w:rsidRPr="00B80816" w:rsidRDefault="007D4DF6" w:rsidP="00895C3A">
      <w:pPr>
        <w:widowControl w:val="0"/>
        <w:tabs>
          <w:tab w:val="left" w:pos="1252"/>
          <w:tab w:val="left" w:pos="1253"/>
        </w:tabs>
        <w:autoSpaceDE w:val="0"/>
        <w:autoSpaceDN w:val="0"/>
        <w:spacing w:after="60" w:line="240" w:lineRule="auto"/>
        <w:ind w:left="1077" w:right="-29" w:hanging="652"/>
        <w:jc w:val="both"/>
      </w:pPr>
      <w:r>
        <w:t>vii</w:t>
      </w:r>
      <w:r>
        <w:tab/>
      </w:r>
      <w:r w:rsidR="00665A13" w:rsidRPr="00B80816">
        <w:t>New vehicular access off the main street frontages will not generally be</w:t>
      </w:r>
      <w:r w:rsidR="00665A13" w:rsidRPr="007D4DF6">
        <w:rPr>
          <w:spacing w:val="-10"/>
        </w:rPr>
        <w:t xml:space="preserve"> </w:t>
      </w:r>
      <w:r w:rsidR="00665A13" w:rsidRPr="00B80816">
        <w:t>supported.</w:t>
      </w:r>
    </w:p>
    <w:p w14:paraId="0F36C592" w14:textId="77777777" w:rsidR="00665A13" w:rsidRPr="00B80816" w:rsidRDefault="007D4DF6" w:rsidP="00895C3A">
      <w:pPr>
        <w:widowControl w:val="0"/>
        <w:tabs>
          <w:tab w:val="left" w:pos="1253"/>
        </w:tabs>
        <w:autoSpaceDE w:val="0"/>
        <w:autoSpaceDN w:val="0"/>
        <w:spacing w:after="60" w:line="240" w:lineRule="auto"/>
        <w:ind w:left="1077" w:right="-29" w:hanging="652"/>
        <w:jc w:val="both"/>
      </w:pPr>
      <w:r>
        <w:t>viii</w:t>
      </w:r>
      <w:r w:rsidR="00665A13">
        <w:tab/>
        <w:t xml:space="preserve">Further subdivision or amalgamation will not generally </w:t>
      </w:r>
      <w:r w:rsidR="00665A13" w:rsidRPr="00B80816">
        <w:t xml:space="preserve">be </w:t>
      </w:r>
      <w:r w:rsidR="00665A13">
        <w:t>s</w:t>
      </w:r>
      <w:r w:rsidR="00665A13" w:rsidRPr="00B80816">
        <w:t>upported unless it is considered that the proposal will not adversely impact on the heritage significance of the Policy Area or the traditional character of the</w:t>
      </w:r>
      <w:r w:rsidR="00665A13" w:rsidRPr="007D4DF6">
        <w:rPr>
          <w:spacing w:val="-4"/>
        </w:rPr>
        <w:t xml:space="preserve"> </w:t>
      </w:r>
      <w:r w:rsidR="00665A13" w:rsidRPr="00B80816">
        <w:t>streetscape.</w:t>
      </w:r>
    </w:p>
    <w:p w14:paraId="434624EA" w14:textId="77777777" w:rsidR="00665A13" w:rsidRPr="00B80816" w:rsidRDefault="007D4DF6" w:rsidP="00895C3A">
      <w:pPr>
        <w:widowControl w:val="0"/>
        <w:tabs>
          <w:tab w:val="left" w:pos="1252"/>
          <w:tab w:val="left" w:pos="1253"/>
        </w:tabs>
        <w:autoSpaceDE w:val="0"/>
        <w:autoSpaceDN w:val="0"/>
        <w:spacing w:after="60" w:line="240" w:lineRule="auto"/>
        <w:ind w:left="1077" w:right="-29" w:hanging="652"/>
        <w:jc w:val="both"/>
      </w:pPr>
      <w:r>
        <w:t>ix</w:t>
      </w:r>
      <w:r w:rsidR="00665A13" w:rsidRPr="00B80816">
        <w:tab/>
        <w:t>Any proposed demolition of existing building(s) is consistent with the guidelines for demolition in this Local Planning</w:t>
      </w:r>
      <w:r w:rsidR="00665A13" w:rsidRPr="007D4DF6">
        <w:rPr>
          <w:spacing w:val="-4"/>
        </w:rPr>
        <w:t xml:space="preserve"> </w:t>
      </w:r>
      <w:r w:rsidR="00665A13" w:rsidRPr="00B80816">
        <w:t>Policy.</w:t>
      </w:r>
    </w:p>
    <w:p w14:paraId="75030BA8" w14:textId="77777777" w:rsidR="00665A13" w:rsidRPr="00B80816" w:rsidRDefault="007D4DF6" w:rsidP="00895C3A">
      <w:pPr>
        <w:widowControl w:val="0"/>
        <w:tabs>
          <w:tab w:val="left" w:pos="1252"/>
          <w:tab w:val="left" w:pos="1253"/>
        </w:tabs>
        <w:autoSpaceDE w:val="0"/>
        <w:autoSpaceDN w:val="0"/>
        <w:spacing w:after="60" w:line="240" w:lineRule="auto"/>
        <w:ind w:left="1077" w:right="-29" w:hanging="652"/>
        <w:jc w:val="both"/>
      </w:pPr>
      <w:r>
        <w:t>x</w:t>
      </w:r>
      <w:r w:rsidR="00665A13" w:rsidRPr="00B80816">
        <w:tab/>
      </w:r>
      <w:proofErr w:type="gramStart"/>
      <w:r w:rsidR="00665A13" w:rsidRPr="00B80816">
        <w:t>The</w:t>
      </w:r>
      <w:proofErr w:type="gramEnd"/>
      <w:r w:rsidR="00665A13" w:rsidRPr="007D4DF6">
        <w:rPr>
          <w:spacing w:val="-10"/>
        </w:rPr>
        <w:t xml:space="preserve"> </w:t>
      </w:r>
      <w:r w:rsidR="00665A13" w:rsidRPr="00B80816">
        <w:t>development</w:t>
      </w:r>
      <w:r w:rsidR="00665A13" w:rsidRPr="007D4DF6">
        <w:rPr>
          <w:spacing w:val="-8"/>
        </w:rPr>
        <w:t xml:space="preserve"> </w:t>
      </w:r>
      <w:r w:rsidR="00665A13" w:rsidRPr="00B80816">
        <w:t>proposal</w:t>
      </w:r>
      <w:r w:rsidR="00665A13" w:rsidRPr="007D4DF6">
        <w:rPr>
          <w:spacing w:val="-13"/>
        </w:rPr>
        <w:t xml:space="preserve"> </w:t>
      </w:r>
      <w:r w:rsidR="00665A13" w:rsidRPr="00B80816">
        <w:t>for</w:t>
      </w:r>
      <w:r w:rsidR="00665A13" w:rsidRPr="007D4DF6">
        <w:rPr>
          <w:spacing w:val="-10"/>
        </w:rPr>
        <w:t xml:space="preserve"> </w:t>
      </w:r>
      <w:r w:rsidR="00665A13" w:rsidRPr="00B80816">
        <w:t>the</w:t>
      </w:r>
      <w:r w:rsidR="00665A13" w:rsidRPr="007D4DF6">
        <w:rPr>
          <w:spacing w:val="-9"/>
        </w:rPr>
        <w:t xml:space="preserve"> </w:t>
      </w:r>
      <w:r w:rsidR="00665A13" w:rsidRPr="00B80816">
        <w:t>subdivided/amalgamated</w:t>
      </w:r>
      <w:r w:rsidR="00665A13" w:rsidRPr="007D4DF6">
        <w:rPr>
          <w:spacing w:val="-8"/>
        </w:rPr>
        <w:t xml:space="preserve"> </w:t>
      </w:r>
      <w:r w:rsidR="00665A13" w:rsidRPr="00B80816">
        <w:t>site</w:t>
      </w:r>
      <w:r w:rsidR="00665A13" w:rsidRPr="007D4DF6">
        <w:rPr>
          <w:spacing w:val="-12"/>
        </w:rPr>
        <w:t xml:space="preserve"> </w:t>
      </w:r>
      <w:r w:rsidR="00665A13" w:rsidRPr="00B80816">
        <w:t>reflects</w:t>
      </w:r>
      <w:r w:rsidR="00665A13" w:rsidRPr="007D4DF6">
        <w:rPr>
          <w:spacing w:val="-14"/>
        </w:rPr>
        <w:t xml:space="preserve"> </w:t>
      </w:r>
      <w:r w:rsidR="00665A13" w:rsidRPr="00B80816">
        <w:t>the</w:t>
      </w:r>
      <w:r w:rsidR="00665A13" w:rsidRPr="007D4DF6">
        <w:rPr>
          <w:spacing w:val="-9"/>
        </w:rPr>
        <w:t xml:space="preserve"> </w:t>
      </w:r>
      <w:r w:rsidR="00665A13" w:rsidRPr="00B80816">
        <w:t xml:space="preserve">patterns and </w:t>
      </w:r>
      <w:r w:rsidR="00665A13" w:rsidRPr="00B80816">
        <w:lastRenderedPageBreak/>
        <w:t>proportions of the traditional development in the Policy Area and is consistent with the guidelines for new development in this Planning</w:t>
      </w:r>
      <w:r w:rsidR="00665A13" w:rsidRPr="007D4DF6">
        <w:rPr>
          <w:spacing w:val="7"/>
        </w:rPr>
        <w:t xml:space="preserve"> </w:t>
      </w:r>
      <w:r w:rsidR="00665A13" w:rsidRPr="00B80816">
        <w:t>Policy.</w:t>
      </w:r>
    </w:p>
    <w:p w14:paraId="10E32664" w14:textId="77777777" w:rsidR="00665A13" w:rsidRDefault="007D4DF6" w:rsidP="00E14879">
      <w:pPr>
        <w:widowControl w:val="0"/>
        <w:tabs>
          <w:tab w:val="left" w:pos="1252"/>
          <w:tab w:val="left" w:pos="1253"/>
        </w:tabs>
        <w:autoSpaceDE w:val="0"/>
        <w:autoSpaceDN w:val="0"/>
        <w:spacing w:line="240" w:lineRule="auto"/>
        <w:ind w:left="1077" w:right="112" w:hanging="652"/>
        <w:jc w:val="both"/>
      </w:pPr>
      <w:r>
        <w:t>xi</w:t>
      </w:r>
      <w:r w:rsidR="00665A13" w:rsidRPr="00B80816">
        <w:tab/>
      </w:r>
      <w:proofErr w:type="gramStart"/>
      <w:r w:rsidR="00665A13" w:rsidRPr="00B80816">
        <w:t>The</w:t>
      </w:r>
      <w:proofErr w:type="gramEnd"/>
      <w:r w:rsidR="00665A13" w:rsidRPr="00B80816">
        <w:t xml:space="preserve"> proposal will not adversely impact on the significant fabric or setting of any contributory</w:t>
      </w:r>
      <w:r w:rsidR="00665A13" w:rsidRPr="007D4DF6">
        <w:rPr>
          <w:spacing w:val="5"/>
        </w:rPr>
        <w:t xml:space="preserve"> </w:t>
      </w:r>
      <w:r w:rsidR="00665A13" w:rsidRPr="00B80816">
        <w:t>places.</w:t>
      </w:r>
    </w:p>
    <w:p w14:paraId="754495A1" w14:textId="77777777" w:rsidR="00665A13" w:rsidRPr="00895C3A" w:rsidRDefault="00895C3A" w:rsidP="00895C3A">
      <w:pPr>
        <w:spacing w:after="0"/>
        <w:ind w:left="426" w:hanging="426"/>
        <w:rPr>
          <w:b/>
        </w:rPr>
      </w:pPr>
      <w:r>
        <w:rPr>
          <w:b/>
        </w:rPr>
        <w:t>5.</w:t>
      </w:r>
      <w:r>
        <w:rPr>
          <w:b/>
        </w:rPr>
        <w:tab/>
      </w:r>
      <w:r w:rsidR="00665A13" w:rsidRPr="00895C3A">
        <w:rPr>
          <w:b/>
        </w:rPr>
        <w:t xml:space="preserve">New Buildings </w:t>
      </w:r>
    </w:p>
    <w:p w14:paraId="632D3061" w14:textId="77777777" w:rsidR="00665A13" w:rsidRPr="00895C3A" w:rsidRDefault="00665A13" w:rsidP="00895C3A">
      <w:pPr>
        <w:spacing w:before="120" w:after="0"/>
        <w:ind w:left="426"/>
        <w:rPr>
          <w:b/>
        </w:rPr>
      </w:pPr>
      <w:r w:rsidRPr="00895C3A">
        <w:rPr>
          <w:b/>
        </w:rPr>
        <w:t>General</w:t>
      </w:r>
      <w:r w:rsidRPr="00895C3A">
        <w:rPr>
          <w:b/>
          <w:spacing w:val="-7"/>
        </w:rPr>
        <w:t xml:space="preserve"> </w:t>
      </w:r>
      <w:r w:rsidRPr="00895C3A">
        <w:rPr>
          <w:b/>
        </w:rPr>
        <w:t>Principles</w:t>
      </w:r>
    </w:p>
    <w:p w14:paraId="57A5F2D9" w14:textId="77777777" w:rsidR="00665A13" w:rsidRDefault="00895C3A" w:rsidP="00E14879">
      <w:pPr>
        <w:widowControl w:val="0"/>
        <w:tabs>
          <w:tab w:val="left" w:pos="1199"/>
          <w:tab w:val="left" w:pos="1200"/>
        </w:tabs>
        <w:autoSpaceDE w:val="0"/>
        <w:autoSpaceDN w:val="0"/>
        <w:spacing w:after="60" w:line="240" w:lineRule="auto"/>
        <w:ind w:left="1134" w:right="-29" w:hanging="654"/>
        <w:jc w:val="both"/>
      </w:pPr>
      <w:proofErr w:type="spellStart"/>
      <w:r>
        <w:t>i</w:t>
      </w:r>
      <w:proofErr w:type="spellEnd"/>
      <w:r>
        <w:t>.</w:t>
      </w:r>
      <w:r>
        <w:tab/>
      </w:r>
      <w:proofErr w:type="gramStart"/>
      <w:r w:rsidR="00665A13">
        <w:t>New</w:t>
      </w:r>
      <w:proofErr w:type="gramEnd"/>
      <w:r w:rsidR="00665A13">
        <w:t xml:space="preserve"> buildings, as viewed from the street frontage, are to be designed in a contemporary style that is sympathetic in terms of form, bulk, scale, materials and proportions to the Heritage</w:t>
      </w:r>
      <w:r w:rsidR="00665A13" w:rsidRPr="00895C3A">
        <w:rPr>
          <w:spacing w:val="-3"/>
        </w:rPr>
        <w:t xml:space="preserve"> </w:t>
      </w:r>
      <w:r w:rsidR="00665A13">
        <w:t>Area.</w:t>
      </w:r>
    </w:p>
    <w:p w14:paraId="1462411B" w14:textId="77777777" w:rsidR="00665A13" w:rsidRDefault="00895C3A" w:rsidP="00E14879">
      <w:pPr>
        <w:widowControl w:val="0"/>
        <w:tabs>
          <w:tab w:val="left" w:pos="1199"/>
          <w:tab w:val="left" w:pos="1200"/>
        </w:tabs>
        <w:autoSpaceDE w:val="0"/>
        <w:autoSpaceDN w:val="0"/>
        <w:spacing w:after="60" w:line="240" w:lineRule="auto"/>
        <w:ind w:left="1134" w:right="-29" w:hanging="654"/>
        <w:jc w:val="both"/>
      </w:pPr>
      <w:r>
        <w:t>ii.</w:t>
      </w:r>
      <w:r>
        <w:tab/>
      </w:r>
      <w:proofErr w:type="gramStart"/>
      <w:r w:rsidR="00665A13">
        <w:t>New</w:t>
      </w:r>
      <w:proofErr w:type="gramEnd"/>
      <w:r w:rsidR="00665A13">
        <w:t xml:space="preserve"> developments are not to replicate traditional building form and should be of a contemporary style without traditional influences, as faux styles devalue authenticity of places. Contemporary requirements associated with new development result in faux heritage not having the same qualities as authentic places (refer to Figure 6 in Appendix 4).</w:t>
      </w:r>
    </w:p>
    <w:p w14:paraId="18686D39" w14:textId="77777777" w:rsidR="00665A13" w:rsidRDefault="00895C3A" w:rsidP="00E14879">
      <w:pPr>
        <w:widowControl w:val="0"/>
        <w:tabs>
          <w:tab w:val="left" w:pos="1200"/>
        </w:tabs>
        <w:autoSpaceDE w:val="0"/>
        <w:autoSpaceDN w:val="0"/>
        <w:spacing w:after="60" w:line="240" w:lineRule="auto"/>
        <w:ind w:left="1134" w:hanging="654"/>
        <w:jc w:val="both"/>
      </w:pPr>
      <w:r>
        <w:t>iii.</w:t>
      </w:r>
      <w:r>
        <w:tab/>
      </w:r>
      <w:r w:rsidR="00665A13">
        <w:t xml:space="preserve">The design of the streetscape elements </w:t>
      </w:r>
      <w:proofErr w:type="gramStart"/>
      <w:r w:rsidR="00665A13">
        <w:t>are</w:t>
      </w:r>
      <w:proofErr w:type="gramEnd"/>
      <w:r w:rsidR="00665A13" w:rsidRPr="00895C3A">
        <w:rPr>
          <w:spacing w:val="-3"/>
        </w:rPr>
        <w:t xml:space="preserve"> </w:t>
      </w:r>
      <w:r w:rsidR="00665A13">
        <w:t>to:</w:t>
      </w:r>
    </w:p>
    <w:p w14:paraId="7932D0F6" w14:textId="77777777" w:rsidR="00665A13" w:rsidRDefault="00665A13" w:rsidP="002A3889">
      <w:pPr>
        <w:pStyle w:val="ListParagraph"/>
        <w:widowControl w:val="0"/>
        <w:numPr>
          <w:ilvl w:val="2"/>
          <w:numId w:val="416"/>
        </w:numPr>
        <w:tabs>
          <w:tab w:val="left" w:pos="1560"/>
        </w:tabs>
        <w:autoSpaceDE w:val="0"/>
        <w:autoSpaceDN w:val="0"/>
        <w:spacing w:after="60" w:line="240" w:lineRule="auto"/>
        <w:ind w:hanging="361"/>
        <w:contextualSpacing w:val="0"/>
        <w:jc w:val="both"/>
      </w:pPr>
      <w:r>
        <w:t>Be consistent with front boundary building</w:t>
      </w:r>
      <w:r>
        <w:rPr>
          <w:spacing w:val="5"/>
        </w:rPr>
        <w:t xml:space="preserve"> </w:t>
      </w:r>
      <w:proofErr w:type="gramStart"/>
      <w:r>
        <w:t>alignments;</w:t>
      </w:r>
      <w:proofErr w:type="gramEnd"/>
    </w:p>
    <w:p w14:paraId="2D87627B" w14:textId="77777777" w:rsidR="00665A13" w:rsidRDefault="00665A13" w:rsidP="002A3889">
      <w:pPr>
        <w:pStyle w:val="ListParagraph"/>
        <w:widowControl w:val="0"/>
        <w:numPr>
          <w:ilvl w:val="2"/>
          <w:numId w:val="416"/>
        </w:numPr>
        <w:tabs>
          <w:tab w:val="left" w:pos="1560"/>
        </w:tabs>
        <w:autoSpaceDE w:val="0"/>
        <w:autoSpaceDN w:val="0"/>
        <w:spacing w:after="60" w:line="240" w:lineRule="auto"/>
        <w:ind w:hanging="371"/>
        <w:contextualSpacing w:val="0"/>
        <w:jc w:val="both"/>
      </w:pPr>
      <w:r>
        <w:t>Engage with the</w:t>
      </w:r>
      <w:r>
        <w:rPr>
          <w:spacing w:val="-2"/>
        </w:rPr>
        <w:t xml:space="preserve"> </w:t>
      </w:r>
      <w:proofErr w:type="gramStart"/>
      <w:r>
        <w:t>street;</w:t>
      </w:r>
      <w:proofErr w:type="gramEnd"/>
    </w:p>
    <w:p w14:paraId="3DD9DEED" w14:textId="77777777" w:rsidR="00665A13" w:rsidRDefault="00665A13" w:rsidP="002A3889">
      <w:pPr>
        <w:pStyle w:val="ListParagraph"/>
        <w:widowControl w:val="0"/>
        <w:numPr>
          <w:ilvl w:val="2"/>
          <w:numId w:val="416"/>
        </w:numPr>
        <w:tabs>
          <w:tab w:val="left" w:pos="1560"/>
        </w:tabs>
        <w:autoSpaceDE w:val="0"/>
        <w:autoSpaceDN w:val="0"/>
        <w:spacing w:after="60" w:line="240" w:lineRule="auto"/>
        <w:ind w:right="-29" w:hanging="348"/>
        <w:contextualSpacing w:val="0"/>
        <w:jc w:val="both"/>
      </w:pPr>
      <w:r>
        <w:t xml:space="preserve">Reflect/interpret the existing vertical rhythms of elements such as party walls, parapet panels and </w:t>
      </w:r>
      <w:proofErr w:type="gramStart"/>
      <w:r>
        <w:t>openings;</w:t>
      </w:r>
      <w:proofErr w:type="gramEnd"/>
    </w:p>
    <w:p w14:paraId="6A4A068F" w14:textId="77777777" w:rsidR="00665A13" w:rsidRDefault="00665A13" w:rsidP="002A3889">
      <w:pPr>
        <w:pStyle w:val="ListParagraph"/>
        <w:widowControl w:val="0"/>
        <w:numPr>
          <w:ilvl w:val="2"/>
          <w:numId w:val="416"/>
        </w:numPr>
        <w:tabs>
          <w:tab w:val="left" w:pos="1560"/>
        </w:tabs>
        <w:autoSpaceDE w:val="0"/>
        <w:autoSpaceDN w:val="0"/>
        <w:spacing w:after="60" w:line="240" w:lineRule="auto"/>
        <w:ind w:right="-29" w:hanging="360"/>
        <w:contextualSpacing w:val="0"/>
        <w:jc w:val="both"/>
      </w:pPr>
      <w:r>
        <w:t xml:space="preserve">Reflect/interpret the existing horizontal rhythms of elements such as parapets, </w:t>
      </w:r>
      <w:proofErr w:type="spellStart"/>
      <w:r>
        <w:t>verandahs</w:t>
      </w:r>
      <w:proofErr w:type="spellEnd"/>
      <w:r>
        <w:t xml:space="preserve"> and awnings;</w:t>
      </w:r>
      <w:r>
        <w:rPr>
          <w:spacing w:val="-2"/>
        </w:rPr>
        <w:t xml:space="preserve"> </w:t>
      </w:r>
      <w:r>
        <w:t>and</w:t>
      </w:r>
    </w:p>
    <w:p w14:paraId="34EA7B55" w14:textId="77777777" w:rsidR="00665A13" w:rsidRDefault="00665A13" w:rsidP="002A3889">
      <w:pPr>
        <w:pStyle w:val="ListParagraph"/>
        <w:widowControl w:val="0"/>
        <w:numPr>
          <w:ilvl w:val="2"/>
          <w:numId w:val="416"/>
        </w:numPr>
        <w:tabs>
          <w:tab w:val="left" w:pos="1560"/>
        </w:tabs>
        <w:autoSpaceDE w:val="0"/>
        <w:autoSpaceDN w:val="0"/>
        <w:spacing w:after="60" w:line="240" w:lineRule="auto"/>
        <w:ind w:right="-29" w:hanging="360"/>
        <w:contextualSpacing w:val="0"/>
        <w:jc w:val="both"/>
      </w:pPr>
      <w:r>
        <w:t>Conceal roof forms behind parapet walls. Parapets to the main street frontage are to be restrained in terms of decorative forms and</w:t>
      </w:r>
      <w:r>
        <w:rPr>
          <w:spacing w:val="-12"/>
        </w:rPr>
        <w:t xml:space="preserve"> </w:t>
      </w:r>
      <w:r>
        <w:t>detailing.</w:t>
      </w:r>
    </w:p>
    <w:p w14:paraId="228A4E7D" w14:textId="77777777" w:rsidR="00665A13" w:rsidRDefault="00665A13" w:rsidP="002A3889">
      <w:pPr>
        <w:pStyle w:val="ListParagraph"/>
        <w:widowControl w:val="0"/>
        <w:numPr>
          <w:ilvl w:val="1"/>
          <w:numId w:val="416"/>
        </w:numPr>
        <w:tabs>
          <w:tab w:val="left" w:pos="1201"/>
        </w:tabs>
        <w:autoSpaceDE w:val="0"/>
        <w:autoSpaceDN w:val="0"/>
        <w:spacing w:after="60" w:line="240" w:lineRule="auto"/>
        <w:ind w:right="-29"/>
        <w:contextualSpacing w:val="0"/>
        <w:jc w:val="both"/>
      </w:pPr>
      <w:r>
        <w:t>New developments are to reflect and complement the scale, setbacks, bulk and proportions of existing contributory buildings and streetscape (refer to Figures 7 and 8 in Appendix</w:t>
      </w:r>
      <w:r>
        <w:rPr>
          <w:spacing w:val="-2"/>
        </w:rPr>
        <w:t xml:space="preserve"> </w:t>
      </w:r>
      <w:r>
        <w:t>4).</w:t>
      </w:r>
    </w:p>
    <w:p w14:paraId="2EF1C663" w14:textId="77777777" w:rsidR="00665A13" w:rsidRDefault="00665A13" w:rsidP="002A3889">
      <w:pPr>
        <w:pStyle w:val="ListParagraph"/>
        <w:widowControl w:val="0"/>
        <w:numPr>
          <w:ilvl w:val="1"/>
          <w:numId w:val="416"/>
        </w:numPr>
        <w:tabs>
          <w:tab w:val="left" w:pos="1199"/>
          <w:tab w:val="left" w:pos="1200"/>
        </w:tabs>
        <w:autoSpaceDE w:val="0"/>
        <w:autoSpaceDN w:val="0"/>
        <w:spacing w:after="60" w:line="267" w:lineRule="exact"/>
        <w:contextualSpacing w:val="0"/>
        <w:jc w:val="both"/>
      </w:pPr>
      <w:r>
        <w:t>New developments are to respect and reflect the established development</w:t>
      </w:r>
      <w:r>
        <w:rPr>
          <w:spacing w:val="-15"/>
        </w:rPr>
        <w:t xml:space="preserve"> </w:t>
      </w:r>
      <w:r>
        <w:t>pattern.</w:t>
      </w:r>
    </w:p>
    <w:p w14:paraId="0C54878E" w14:textId="77777777" w:rsidR="00665A13" w:rsidRDefault="00665A13" w:rsidP="002A3889">
      <w:pPr>
        <w:pStyle w:val="ListParagraph"/>
        <w:widowControl w:val="0"/>
        <w:numPr>
          <w:ilvl w:val="1"/>
          <w:numId w:val="416"/>
        </w:numPr>
        <w:tabs>
          <w:tab w:val="left" w:pos="1199"/>
          <w:tab w:val="left" w:pos="1200"/>
        </w:tabs>
        <w:autoSpaceDE w:val="0"/>
        <w:autoSpaceDN w:val="0"/>
        <w:spacing w:after="60" w:line="240" w:lineRule="auto"/>
        <w:ind w:right="-29"/>
        <w:contextualSpacing w:val="0"/>
        <w:jc w:val="both"/>
      </w:pPr>
      <w:r>
        <w:t>New developments are not to negatively impact on the streetscape character of the Heritage</w:t>
      </w:r>
      <w:r>
        <w:rPr>
          <w:spacing w:val="-2"/>
        </w:rPr>
        <w:t xml:space="preserve"> </w:t>
      </w:r>
      <w:r>
        <w:t>Area.</w:t>
      </w:r>
    </w:p>
    <w:p w14:paraId="21E0FFEB" w14:textId="77777777" w:rsidR="00665A13" w:rsidRPr="00B80816" w:rsidRDefault="00665A13" w:rsidP="002A3889">
      <w:pPr>
        <w:pStyle w:val="ListParagraph"/>
        <w:widowControl w:val="0"/>
        <w:numPr>
          <w:ilvl w:val="1"/>
          <w:numId w:val="416"/>
        </w:numPr>
        <w:tabs>
          <w:tab w:val="left" w:pos="1199"/>
          <w:tab w:val="left" w:pos="1200"/>
        </w:tabs>
        <w:autoSpaceDE w:val="0"/>
        <w:autoSpaceDN w:val="0"/>
        <w:spacing w:after="60" w:line="240" w:lineRule="auto"/>
        <w:ind w:right="-29"/>
        <w:contextualSpacing w:val="0"/>
        <w:jc w:val="both"/>
      </w:pPr>
      <w:r w:rsidRPr="00B80816">
        <w:t>New developments, structures or hardstand (including car parking) should not detract from the setting of the heritage</w:t>
      </w:r>
      <w:r w:rsidRPr="00B80816">
        <w:rPr>
          <w:spacing w:val="-11"/>
        </w:rPr>
        <w:t xml:space="preserve"> </w:t>
      </w:r>
      <w:r w:rsidRPr="00B80816">
        <w:t>place.</w:t>
      </w:r>
    </w:p>
    <w:p w14:paraId="4FC6B017" w14:textId="77777777" w:rsidR="00665A13" w:rsidRPr="00B80816" w:rsidRDefault="00665A13" w:rsidP="002A3889">
      <w:pPr>
        <w:pStyle w:val="ListParagraph"/>
        <w:widowControl w:val="0"/>
        <w:numPr>
          <w:ilvl w:val="1"/>
          <w:numId w:val="416"/>
        </w:numPr>
        <w:tabs>
          <w:tab w:val="left" w:pos="1199"/>
          <w:tab w:val="left" w:pos="1200"/>
        </w:tabs>
        <w:autoSpaceDE w:val="0"/>
        <w:autoSpaceDN w:val="0"/>
        <w:spacing w:after="60" w:line="240" w:lineRule="auto"/>
        <w:ind w:right="-29"/>
        <w:contextualSpacing w:val="0"/>
        <w:jc w:val="both"/>
      </w:pPr>
      <w:r w:rsidRPr="00B80816">
        <w:t>Where possible existing views of a heritage building(s) from the street should be preserved to acknowledge the contribution heritage places make to the</w:t>
      </w:r>
      <w:r w:rsidRPr="00B80816">
        <w:rPr>
          <w:spacing w:val="-22"/>
        </w:rPr>
        <w:t xml:space="preserve"> </w:t>
      </w:r>
      <w:r w:rsidRPr="00B80816">
        <w:t>streetscape.</w:t>
      </w:r>
    </w:p>
    <w:p w14:paraId="145E3468" w14:textId="77777777" w:rsidR="00665A13" w:rsidRPr="00B80816" w:rsidRDefault="00665A13" w:rsidP="002A3889">
      <w:pPr>
        <w:pStyle w:val="ListParagraph"/>
        <w:widowControl w:val="0"/>
        <w:numPr>
          <w:ilvl w:val="1"/>
          <w:numId w:val="416"/>
        </w:numPr>
        <w:tabs>
          <w:tab w:val="left" w:pos="1200"/>
        </w:tabs>
        <w:autoSpaceDE w:val="0"/>
        <w:autoSpaceDN w:val="0"/>
        <w:spacing w:after="60" w:line="240" w:lineRule="auto"/>
        <w:ind w:right="-29"/>
        <w:contextualSpacing w:val="0"/>
        <w:jc w:val="both"/>
      </w:pPr>
      <w:r w:rsidRPr="00B80816">
        <w:t xml:space="preserve">New buildings or structures should be designed and located in a way that does </w:t>
      </w:r>
      <w:r w:rsidRPr="00B80816">
        <w:rPr>
          <w:spacing w:val="-2"/>
        </w:rPr>
        <w:t xml:space="preserve">not </w:t>
      </w:r>
      <w:r w:rsidRPr="00B80816">
        <w:t>overwhelm or dominate the heritage building(s) which should remain the dominant building(s) on the site, and they should be understated relative to the existing heritage building(s).</w:t>
      </w:r>
    </w:p>
    <w:p w14:paraId="7D0D2948" w14:textId="77777777" w:rsidR="00665A13" w:rsidRPr="00B80816" w:rsidRDefault="00665A13" w:rsidP="002A3889">
      <w:pPr>
        <w:pStyle w:val="ListParagraph"/>
        <w:widowControl w:val="0"/>
        <w:numPr>
          <w:ilvl w:val="1"/>
          <w:numId w:val="416"/>
        </w:numPr>
        <w:tabs>
          <w:tab w:val="left" w:pos="1199"/>
          <w:tab w:val="left" w:pos="1201"/>
        </w:tabs>
        <w:autoSpaceDE w:val="0"/>
        <w:autoSpaceDN w:val="0"/>
        <w:spacing w:after="60" w:line="240" w:lineRule="auto"/>
        <w:ind w:right="-29"/>
        <w:contextualSpacing w:val="0"/>
        <w:jc w:val="both"/>
      </w:pPr>
      <w:r w:rsidRPr="00B80816">
        <w:t>Wherever possible, new buildings, structures or hardstand areas (including car parking) should be designed and sited to avoid having a negative impact on original mature landscaping, garden areas, driveways and other landscaping features where they are considered to form part of the setting of the heritage place, and/or contribute to the heritage</w:t>
      </w:r>
      <w:r w:rsidRPr="00B80816">
        <w:rPr>
          <w:spacing w:val="-3"/>
        </w:rPr>
        <w:t xml:space="preserve"> </w:t>
      </w:r>
      <w:r w:rsidRPr="00B80816">
        <w:t>significance.</w:t>
      </w:r>
    </w:p>
    <w:p w14:paraId="7CF5B580" w14:textId="77777777" w:rsidR="00665A13" w:rsidRDefault="00665A13" w:rsidP="002A3889">
      <w:pPr>
        <w:pStyle w:val="ListParagraph"/>
        <w:widowControl w:val="0"/>
        <w:numPr>
          <w:ilvl w:val="1"/>
          <w:numId w:val="416"/>
        </w:numPr>
        <w:tabs>
          <w:tab w:val="left" w:pos="1201"/>
        </w:tabs>
        <w:autoSpaceDE w:val="0"/>
        <w:autoSpaceDN w:val="0"/>
        <w:spacing w:line="240" w:lineRule="auto"/>
        <w:ind w:left="1202" w:right="-29"/>
        <w:contextualSpacing w:val="0"/>
        <w:jc w:val="both"/>
      </w:pPr>
      <w:r w:rsidRPr="00B80816">
        <w:t>Where there is a Conservation Plan for a heritage place any proposals for new buildings, structures</w:t>
      </w:r>
      <w:r w:rsidRPr="00B80816">
        <w:rPr>
          <w:spacing w:val="-18"/>
        </w:rPr>
        <w:t xml:space="preserve"> </w:t>
      </w:r>
      <w:r w:rsidRPr="00B80816">
        <w:t>or</w:t>
      </w:r>
      <w:r w:rsidRPr="00B80816">
        <w:rPr>
          <w:spacing w:val="-17"/>
        </w:rPr>
        <w:t xml:space="preserve"> </w:t>
      </w:r>
      <w:r w:rsidRPr="00B80816">
        <w:t>hardstand</w:t>
      </w:r>
      <w:r w:rsidRPr="00B80816">
        <w:rPr>
          <w:spacing w:val="-16"/>
        </w:rPr>
        <w:t xml:space="preserve"> </w:t>
      </w:r>
      <w:r w:rsidRPr="00B80816">
        <w:t>areas</w:t>
      </w:r>
      <w:r w:rsidRPr="00B80816">
        <w:rPr>
          <w:spacing w:val="-15"/>
        </w:rPr>
        <w:t xml:space="preserve"> </w:t>
      </w:r>
      <w:r w:rsidRPr="00B80816">
        <w:t>(including</w:t>
      </w:r>
      <w:r w:rsidRPr="00B80816">
        <w:rPr>
          <w:spacing w:val="-16"/>
        </w:rPr>
        <w:t xml:space="preserve"> </w:t>
      </w:r>
      <w:r w:rsidRPr="00B80816">
        <w:t>car</w:t>
      </w:r>
      <w:r w:rsidRPr="00B80816">
        <w:rPr>
          <w:spacing w:val="-12"/>
        </w:rPr>
        <w:t xml:space="preserve"> </w:t>
      </w:r>
      <w:r w:rsidRPr="00B80816">
        <w:t>parking)</w:t>
      </w:r>
      <w:r w:rsidRPr="00B80816">
        <w:rPr>
          <w:spacing w:val="-18"/>
        </w:rPr>
        <w:t xml:space="preserve"> </w:t>
      </w:r>
      <w:r w:rsidRPr="00B80816">
        <w:t>should</w:t>
      </w:r>
      <w:r w:rsidRPr="00B80816">
        <w:rPr>
          <w:spacing w:val="-17"/>
        </w:rPr>
        <w:t xml:space="preserve"> </w:t>
      </w:r>
      <w:r w:rsidRPr="00B80816">
        <w:t>address</w:t>
      </w:r>
      <w:r w:rsidRPr="00B80816">
        <w:rPr>
          <w:spacing w:val="-15"/>
        </w:rPr>
        <w:t xml:space="preserve"> </w:t>
      </w:r>
      <w:r w:rsidRPr="00B80816">
        <w:t>the</w:t>
      </w:r>
      <w:r w:rsidRPr="00B80816">
        <w:rPr>
          <w:spacing w:val="-12"/>
        </w:rPr>
        <w:t xml:space="preserve"> </w:t>
      </w:r>
      <w:r w:rsidRPr="00B80816">
        <w:t>policies</w:t>
      </w:r>
      <w:r w:rsidRPr="00B80816">
        <w:rPr>
          <w:spacing w:val="-16"/>
        </w:rPr>
        <w:t xml:space="preserve"> </w:t>
      </w:r>
      <w:r w:rsidRPr="00B80816">
        <w:t>contained within the Conservation</w:t>
      </w:r>
      <w:r w:rsidRPr="00B80816">
        <w:rPr>
          <w:spacing w:val="-7"/>
        </w:rPr>
        <w:t xml:space="preserve"> </w:t>
      </w:r>
      <w:r w:rsidRPr="00B80816">
        <w:t>Plan.</w:t>
      </w:r>
    </w:p>
    <w:p w14:paraId="7940E390" w14:textId="77777777" w:rsidR="00665A13" w:rsidRPr="00E14879" w:rsidRDefault="00E14879" w:rsidP="00E14879">
      <w:pPr>
        <w:spacing w:after="120"/>
        <w:ind w:left="426" w:hanging="426"/>
        <w:rPr>
          <w:b/>
        </w:rPr>
      </w:pPr>
      <w:r>
        <w:rPr>
          <w:b/>
        </w:rPr>
        <w:t>6.</w:t>
      </w:r>
      <w:r w:rsidR="00665A13" w:rsidRPr="00B80816">
        <w:rPr>
          <w:b/>
        </w:rPr>
        <w:tab/>
      </w:r>
      <w:r w:rsidR="00665A13" w:rsidRPr="00E14879">
        <w:rPr>
          <w:b/>
        </w:rPr>
        <w:t xml:space="preserve">Services and New Technologies </w:t>
      </w:r>
    </w:p>
    <w:p w14:paraId="4966F317" w14:textId="77777777" w:rsidR="00665A13" w:rsidRPr="00E14879" w:rsidRDefault="00665A13" w:rsidP="00E14879">
      <w:pPr>
        <w:spacing w:after="0"/>
        <w:ind w:left="425"/>
        <w:rPr>
          <w:b/>
        </w:rPr>
      </w:pPr>
      <w:r w:rsidRPr="00E14879">
        <w:rPr>
          <w:b/>
        </w:rPr>
        <w:t>General</w:t>
      </w:r>
      <w:r w:rsidRPr="00E14879">
        <w:rPr>
          <w:b/>
          <w:spacing w:val="-1"/>
        </w:rPr>
        <w:t xml:space="preserve"> </w:t>
      </w:r>
      <w:r w:rsidRPr="00E14879">
        <w:rPr>
          <w:b/>
        </w:rPr>
        <w:t>Principles</w:t>
      </w:r>
    </w:p>
    <w:p w14:paraId="0D8882DD" w14:textId="77777777" w:rsidR="00665A13" w:rsidRPr="00B80816" w:rsidRDefault="00E14879" w:rsidP="00E14879">
      <w:pPr>
        <w:widowControl w:val="0"/>
        <w:autoSpaceDE w:val="0"/>
        <w:autoSpaceDN w:val="0"/>
        <w:spacing w:after="60" w:line="240" w:lineRule="auto"/>
        <w:ind w:left="992" w:right="-29" w:hanging="567"/>
        <w:jc w:val="both"/>
      </w:pPr>
      <w:proofErr w:type="spellStart"/>
      <w:r>
        <w:t>i</w:t>
      </w:r>
      <w:proofErr w:type="spellEnd"/>
      <w:r>
        <w:t>.</w:t>
      </w:r>
      <w:r>
        <w:tab/>
      </w:r>
      <w:r w:rsidR="00665A13" w:rsidRPr="00B80816">
        <w:t xml:space="preserve">Changes to cater for air conditioning, electrical wiring, cabling, plumbing or other services should be limited to what </w:t>
      </w:r>
      <w:r w:rsidR="00665A13" w:rsidRPr="00E14879">
        <w:rPr>
          <w:spacing w:val="-3"/>
        </w:rPr>
        <w:t xml:space="preserve">is </w:t>
      </w:r>
      <w:r w:rsidR="00665A13" w:rsidRPr="00B80816">
        <w:t>essential to permit an approved use to proceed. Care should be</w:t>
      </w:r>
      <w:r w:rsidR="00665A13" w:rsidRPr="00E14879">
        <w:rPr>
          <w:spacing w:val="-2"/>
        </w:rPr>
        <w:t xml:space="preserve"> </w:t>
      </w:r>
      <w:r w:rsidR="00665A13" w:rsidRPr="00B80816">
        <w:t>taken</w:t>
      </w:r>
      <w:r w:rsidR="00665A13" w:rsidRPr="00E14879">
        <w:rPr>
          <w:spacing w:val="-3"/>
        </w:rPr>
        <w:t xml:space="preserve"> </w:t>
      </w:r>
      <w:r w:rsidR="00665A13" w:rsidRPr="00B80816">
        <w:t>when</w:t>
      </w:r>
      <w:r w:rsidR="00665A13" w:rsidRPr="00E14879">
        <w:rPr>
          <w:spacing w:val="-1"/>
        </w:rPr>
        <w:t xml:space="preserve"> </w:t>
      </w:r>
      <w:r w:rsidR="00665A13" w:rsidRPr="00B80816">
        <w:t>new</w:t>
      </w:r>
      <w:r w:rsidR="00665A13" w:rsidRPr="00E14879">
        <w:rPr>
          <w:spacing w:val="-2"/>
        </w:rPr>
        <w:t xml:space="preserve"> </w:t>
      </w:r>
      <w:r w:rsidR="00665A13" w:rsidRPr="00B80816">
        <w:t>wiring</w:t>
      </w:r>
      <w:r w:rsidR="00665A13" w:rsidRPr="00E14879">
        <w:rPr>
          <w:spacing w:val="-3"/>
        </w:rPr>
        <w:t xml:space="preserve"> </w:t>
      </w:r>
      <w:r w:rsidR="00665A13" w:rsidRPr="00B80816">
        <w:t>or</w:t>
      </w:r>
      <w:r w:rsidR="00665A13" w:rsidRPr="00E14879">
        <w:rPr>
          <w:spacing w:val="-1"/>
        </w:rPr>
        <w:t xml:space="preserve"> </w:t>
      </w:r>
      <w:r w:rsidR="00665A13" w:rsidRPr="00B80816">
        <w:t>cabling</w:t>
      </w:r>
      <w:r w:rsidR="00665A13" w:rsidRPr="00E14879">
        <w:rPr>
          <w:spacing w:val="-4"/>
        </w:rPr>
        <w:t xml:space="preserve"> </w:t>
      </w:r>
      <w:r w:rsidR="00665A13" w:rsidRPr="00B80816">
        <w:t>is</w:t>
      </w:r>
      <w:r w:rsidR="00665A13" w:rsidRPr="00E14879">
        <w:rPr>
          <w:spacing w:val="-2"/>
        </w:rPr>
        <w:t xml:space="preserve"> </w:t>
      </w:r>
      <w:r w:rsidR="00665A13" w:rsidRPr="00B80816">
        <w:t>installed</w:t>
      </w:r>
      <w:r w:rsidR="00665A13" w:rsidRPr="00E14879">
        <w:rPr>
          <w:spacing w:val="-4"/>
        </w:rPr>
        <w:t xml:space="preserve"> </w:t>
      </w:r>
      <w:r w:rsidR="00665A13" w:rsidRPr="00B80816">
        <w:t>to</w:t>
      </w:r>
      <w:r w:rsidR="00665A13" w:rsidRPr="00E14879">
        <w:rPr>
          <w:spacing w:val="-4"/>
        </w:rPr>
        <w:t xml:space="preserve"> </w:t>
      </w:r>
      <w:r w:rsidR="00665A13" w:rsidRPr="00B80816">
        <w:t>ensure</w:t>
      </w:r>
      <w:r w:rsidR="00665A13" w:rsidRPr="00E14879">
        <w:rPr>
          <w:spacing w:val="-1"/>
        </w:rPr>
        <w:t xml:space="preserve"> </w:t>
      </w:r>
      <w:r w:rsidR="00665A13" w:rsidRPr="00B80816">
        <w:t>that</w:t>
      </w:r>
      <w:r w:rsidR="00665A13" w:rsidRPr="00E14879">
        <w:rPr>
          <w:spacing w:val="-4"/>
        </w:rPr>
        <w:t xml:space="preserve"> </w:t>
      </w:r>
      <w:r w:rsidR="00665A13" w:rsidRPr="00B80816">
        <w:t>this</w:t>
      </w:r>
      <w:r w:rsidR="00665A13" w:rsidRPr="00E14879">
        <w:rPr>
          <w:spacing w:val="-4"/>
        </w:rPr>
        <w:t xml:space="preserve"> </w:t>
      </w:r>
      <w:r w:rsidR="00665A13" w:rsidRPr="00B80816">
        <w:t>is</w:t>
      </w:r>
      <w:r w:rsidR="00665A13" w:rsidRPr="00E14879">
        <w:rPr>
          <w:spacing w:val="-3"/>
        </w:rPr>
        <w:t xml:space="preserve"> </w:t>
      </w:r>
      <w:r w:rsidR="00665A13" w:rsidRPr="00B80816">
        <w:t>fixed</w:t>
      </w:r>
      <w:r w:rsidR="00665A13" w:rsidRPr="00E14879">
        <w:rPr>
          <w:spacing w:val="-5"/>
        </w:rPr>
        <w:t xml:space="preserve"> </w:t>
      </w:r>
      <w:r w:rsidR="00665A13" w:rsidRPr="00B80816">
        <w:t>as</w:t>
      </w:r>
      <w:r w:rsidR="00665A13" w:rsidRPr="00E14879">
        <w:rPr>
          <w:spacing w:val="-1"/>
        </w:rPr>
        <w:t xml:space="preserve"> </w:t>
      </w:r>
      <w:r w:rsidR="00665A13" w:rsidRPr="00B80816">
        <w:t>discreetly</w:t>
      </w:r>
      <w:r w:rsidR="00665A13" w:rsidRPr="00E14879">
        <w:rPr>
          <w:spacing w:val="-2"/>
        </w:rPr>
        <w:t xml:space="preserve"> </w:t>
      </w:r>
      <w:r w:rsidR="00665A13" w:rsidRPr="00B80816">
        <w:t>as possible without damaging the existing significant</w:t>
      </w:r>
      <w:r w:rsidR="00665A13" w:rsidRPr="00E14879">
        <w:rPr>
          <w:spacing w:val="-7"/>
        </w:rPr>
        <w:t xml:space="preserve"> </w:t>
      </w:r>
      <w:r w:rsidR="00665A13" w:rsidRPr="00B80816">
        <w:t>fabric.</w:t>
      </w:r>
    </w:p>
    <w:p w14:paraId="49111307" w14:textId="77777777" w:rsidR="00665A13" w:rsidRPr="00B80816" w:rsidRDefault="00E14879" w:rsidP="00E14879">
      <w:pPr>
        <w:widowControl w:val="0"/>
        <w:autoSpaceDE w:val="0"/>
        <w:autoSpaceDN w:val="0"/>
        <w:spacing w:after="60" w:line="240" w:lineRule="auto"/>
        <w:ind w:left="992" w:right="-29" w:hanging="567"/>
        <w:jc w:val="both"/>
      </w:pPr>
      <w:r>
        <w:lastRenderedPageBreak/>
        <w:t>ii.</w:t>
      </w:r>
      <w:r>
        <w:tab/>
      </w:r>
      <w:r w:rsidR="00665A13" w:rsidRPr="00B80816">
        <w:t>When</w:t>
      </w:r>
      <w:r w:rsidR="00665A13" w:rsidRPr="00E14879">
        <w:rPr>
          <w:spacing w:val="-7"/>
        </w:rPr>
        <w:t xml:space="preserve"> </w:t>
      </w:r>
      <w:r w:rsidR="00665A13" w:rsidRPr="00B80816">
        <w:t>installing</w:t>
      </w:r>
      <w:r w:rsidR="00665A13" w:rsidRPr="00E14879">
        <w:rPr>
          <w:spacing w:val="-7"/>
        </w:rPr>
        <w:t xml:space="preserve"> </w:t>
      </w:r>
      <w:r w:rsidR="00665A13" w:rsidRPr="00B80816">
        <w:t>or</w:t>
      </w:r>
      <w:r w:rsidR="00665A13" w:rsidRPr="00E14879">
        <w:rPr>
          <w:spacing w:val="-7"/>
        </w:rPr>
        <w:t xml:space="preserve"> </w:t>
      </w:r>
      <w:r w:rsidR="00665A13" w:rsidRPr="00B80816">
        <w:t>upgrading</w:t>
      </w:r>
      <w:r w:rsidR="00665A13" w:rsidRPr="00E14879">
        <w:rPr>
          <w:spacing w:val="-8"/>
        </w:rPr>
        <w:t xml:space="preserve"> </w:t>
      </w:r>
      <w:r w:rsidR="00665A13" w:rsidRPr="00B80816">
        <w:t>the</w:t>
      </w:r>
      <w:r w:rsidR="00665A13" w:rsidRPr="00E14879">
        <w:rPr>
          <w:spacing w:val="-7"/>
        </w:rPr>
        <w:t xml:space="preserve"> </w:t>
      </w:r>
      <w:r w:rsidR="00665A13" w:rsidRPr="00B80816">
        <w:t>services</w:t>
      </w:r>
      <w:r w:rsidR="00665A13" w:rsidRPr="00E14879">
        <w:rPr>
          <w:spacing w:val="-7"/>
        </w:rPr>
        <w:t xml:space="preserve"> </w:t>
      </w:r>
      <w:r w:rsidR="00665A13" w:rsidRPr="00B80816">
        <w:t>provided</w:t>
      </w:r>
      <w:r w:rsidR="00665A13" w:rsidRPr="00E14879">
        <w:rPr>
          <w:spacing w:val="-6"/>
        </w:rPr>
        <w:t xml:space="preserve"> </w:t>
      </w:r>
      <w:r w:rsidR="00665A13" w:rsidRPr="00B80816">
        <w:t>to</w:t>
      </w:r>
      <w:r w:rsidR="00665A13" w:rsidRPr="00E14879">
        <w:rPr>
          <w:spacing w:val="-8"/>
        </w:rPr>
        <w:t xml:space="preserve"> </w:t>
      </w:r>
      <w:r w:rsidR="00665A13" w:rsidRPr="00B80816">
        <w:t>a</w:t>
      </w:r>
      <w:r w:rsidR="00665A13" w:rsidRPr="00E14879">
        <w:rPr>
          <w:spacing w:val="-7"/>
        </w:rPr>
        <w:t xml:space="preserve"> </w:t>
      </w:r>
      <w:r w:rsidR="00665A13" w:rsidRPr="00B80816">
        <w:t>heritage</w:t>
      </w:r>
      <w:r w:rsidR="00665A13" w:rsidRPr="00E14879">
        <w:rPr>
          <w:spacing w:val="-6"/>
        </w:rPr>
        <w:t xml:space="preserve"> </w:t>
      </w:r>
      <w:r w:rsidR="00665A13" w:rsidRPr="00B80816">
        <w:t>building</w:t>
      </w:r>
      <w:r w:rsidR="00665A13" w:rsidRPr="00E14879">
        <w:rPr>
          <w:spacing w:val="-7"/>
        </w:rPr>
        <w:t xml:space="preserve"> </w:t>
      </w:r>
      <w:r w:rsidR="00665A13" w:rsidRPr="00B80816">
        <w:t>or</w:t>
      </w:r>
      <w:r w:rsidR="00665A13" w:rsidRPr="00E14879">
        <w:rPr>
          <w:spacing w:val="-7"/>
        </w:rPr>
        <w:t xml:space="preserve"> </w:t>
      </w:r>
      <w:r w:rsidR="00665A13" w:rsidRPr="00B80816">
        <w:t>any</w:t>
      </w:r>
      <w:r w:rsidR="00665A13" w:rsidRPr="00E14879">
        <w:rPr>
          <w:spacing w:val="-6"/>
        </w:rPr>
        <w:t xml:space="preserve"> </w:t>
      </w:r>
      <w:r w:rsidR="00665A13" w:rsidRPr="00B80816">
        <w:t>building</w:t>
      </w:r>
      <w:r w:rsidR="00665A13" w:rsidRPr="00E14879">
        <w:rPr>
          <w:spacing w:val="-7"/>
        </w:rPr>
        <w:t xml:space="preserve"> </w:t>
      </w:r>
      <w:r w:rsidR="00665A13" w:rsidRPr="00B80816">
        <w:t>in a</w:t>
      </w:r>
      <w:r w:rsidR="00665A13" w:rsidRPr="00E14879">
        <w:rPr>
          <w:spacing w:val="-4"/>
        </w:rPr>
        <w:t xml:space="preserve"> </w:t>
      </w:r>
      <w:r w:rsidR="00665A13" w:rsidRPr="00B80816">
        <w:t>Heritage</w:t>
      </w:r>
      <w:r w:rsidR="00665A13" w:rsidRPr="00E14879">
        <w:rPr>
          <w:spacing w:val="-4"/>
        </w:rPr>
        <w:t xml:space="preserve"> </w:t>
      </w:r>
      <w:r w:rsidR="00665A13" w:rsidRPr="00B80816">
        <w:t>Area,</w:t>
      </w:r>
      <w:r w:rsidR="00665A13" w:rsidRPr="00E14879">
        <w:rPr>
          <w:spacing w:val="-5"/>
        </w:rPr>
        <w:t xml:space="preserve"> </w:t>
      </w:r>
      <w:r w:rsidR="00665A13" w:rsidRPr="00B80816">
        <w:t>care</w:t>
      </w:r>
      <w:r w:rsidR="00665A13" w:rsidRPr="00E14879">
        <w:rPr>
          <w:spacing w:val="-5"/>
        </w:rPr>
        <w:t xml:space="preserve"> </w:t>
      </w:r>
      <w:r w:rsidR="00665A13" w:rsidRPr="00B80816">
        <w:t>should</w:t>
      </w:r>
      <w:r w:rsidR="00665A13" w:rsidRPr="00E14879">
        <w:rPr>
          <w:spacing w:val="-3"/>
        </w:rPr>
        <w:t xml:space="preserve"> </w:t>
      </w:r>
      <w:r w:rsidR="00665A13" w:rsidRPr="00B80816">
        <w:t>be</w:t>
      </w:r>
      <w:r w:rsidR="00665A13" w:rsidRPr="00E14879">
        <w:rPr>
          <w:spacing w:val="-6"/>
        </w:rPr>
        <w:t xml:space="preserve"> </w:t>
      </w:r>
      <w:r w:rsidR="00665A13" w:rsidRPr="00B80816">
        <w:t>taken</w:t>
      </w:r>
      <w:r w:rsidR="00665A13" w:rsidRPr="00E14879">
        <w:rPr>
          <w:spacing w:val="-6"/>
        </w:rPr>
        <w:t xml:space="preserve"> </w:t>
      </w:r>
      <w:r w:rsidR="00665A13" w:rsidRPr="00B80816">
        <w:t>to</w:t>
      </w:r>
      <w:r w:rsidR="00665A13" w:rsidRPr="00E14879">
        <w:rPr>
          <w:spacing w:val="-8"/>
        </w:rPr>
        <w:t xml:space="preserve"> </w:t>
      </w:r>
      <w:r w:rsidR="00665A13" w:rsidRPr="00B80816">
        <w:t>minimise</w:t>
      </w:r>
      <w:r w:rsidR="00665A13" w:rsidRPr="00E14879">
        <w:rPr>
          <w:spacing w:val="-4"/>
        </w:rPr>
        <w:t xml:space="preserve"> </w:t>
      </w:r>
      <w:r w:rsidR="00665A13" w:rsidRPr="00B80816">
        <w:t>the</w:t>
      </w:r>
      <w:r w:rsidR="00665A13" w:rsidRPr="00E14879">
        <w:rPr>
          <w:spacing w:val="-8"/>
        </w:rPr>
        <w:t xml:space="preserve"> </w:t>
      </w:r>
      <w:r w:rsidR="00665A13" w:rsidRPr="00B80816">
        <w:t>extent</w:t>
      </w:r>
      <w:r w:rsidR="00665A13" w:rsidRPr="00E14879">
        <w:rPr>
          <w:spacing w:val="-5"/>
        </w:rPr>
        <w:t xml:space="preserve"> </w:t>
      </w:r>
      <w:r w:rsidR="00665A13" w:rsidRPr="00B80816">
        <w:t>to</w:t>
      </w:r>
      <w:r w:rsidR="00665A13" w:rsidRPr="00E14879">
        <w:rPr>
          <w:spacing w:val="-6"/>
        </w:rPr>
        <w:t xml:space="preserve"> </w:t>
      </w:r>
      <w:r w:rsidR="00665A13" w:rsidRPr="00B80816">
        <w:t>which</w:t>
      </w:r>
      <w:r w:rsidR="00665A13" w:rsidRPr="00E14879">
        <w:rPr>
          <w:spacing w:val="-7"/>
        </w:rPr>
        <w:t xml:space="preserve"> </w:t>
      </w:r>
      <w:r w:rsidR="00665A13" w:rsidRPr="00B80816">
        <w:t>equipment</w:t>
      </w:r>
      <w:r w:rsidR="00665A13" w:rsidRPr="00E14879">
        <w:rPr>
          <w:spacing w:val="-5"/>
        </w:rPr>
        <w:t xml:space="preserve"> </w:t>
      </w:r>
      <w:r w:rsidR="00665A13" w:rsidRPr="00B80816">
        <w:t>is</w:t>
      </w:r>
      <w:r w:rsidR="00665A13" w:rsidRPr="00E14879">
        <w:rPr>
          <w:spacing w:val="-6"/>
        </w:rPr>
        <w:t xml:space="preserve"> </w:t>
      </w:r>
      <w:r w:rsidR="00665A13" w:rsidRPr="00B80816">
        <w:t>visible from the main street</w:t>
      </w:r>
      <w:r w:rsidR="00665A13" w:rsidRPr="00E14879">
        <w:rPr>
          <w:spacing w:val="-7"/>
        </w:rPr>
        <w:t xml:space="preserve"> </w:t>
      </w:r>
      <w:r w:rsidR="00665A13" w:rsidRPr="00B80816">
        <w:t>front.</w:t>
      </w:r>
    </w:p>
    <w:p w14:paraId="2F13DCF8" w14:textId="77777777" w:rsidR="00665A13" w:rsidRPr="00B80816" w:rsidRDefault="00E14879" w:rsidP="00E14879">
      <w:pPr>
        <w:widowControl w:val="0"/>
        <w:autoSpaceDE w:val="0"/>
        <w:autoSpaceDN w:val="0"/>
        <w:spacing w:after="60" w:line="240" w:lineRule="auto"/>
        <w:ind w:left="992" w:right="-29" w:hanging="567"/>
        <w:jc w:val="both"/>
      </w:pPr>
      <w:r>
        <w:t>iii.</w:t>
      </w:r>
      <w:r>
        <w:tab/>
      </w:r>
      <w:r w:rsidR="00665A13" w:rsidRPr="00B80816">
        <w:t>Chasing</w:t>
      </w:r>
      <w:r w:rsidR="00665A13" w:rsidRPr="00E14879">
        <w:rPr>
          <w:spacing w:val="-12"/>
        </w:rPr>
        <w:t xml:space="preserve"> </w:t>
      </w:r>
      <w:r w:rsidR="00665A13" w:rsidRPr="00B80816">
        <w:t>of</w:t>
      </w:r>
      <w:r w:rsidR="00665A13" w:rsidRPr="00E14879">
        <w:rPr>
          <w:spacing w:val="-16"/>
        </w:rPr>
        <w:t xml:space="preserve"> </w:t>
      </w:r>
      <w:r w:rsidR="00665A13" w:rsidRPr="00B80816">
        <w:t>wiring</w:t>
      </w:r>
      <w:r w:rsidR="00665A13" w:rsidRPr="00E14879">
        <w:rPr>
          <w:spacing w:val="-12"/>
        </w:rPr>
        <w:t xml:space="preserve"> </w:t>
      </w:r>
      <w:r w:rsidR="00665A13" w:rsidRPr="00B80816">
        <w:t>or</w:t>
      </w:r>
      <w:r w:rsidR="00665A13" w:rsidRPr="00E14879">
        <w:rPr>
          <w:spacing w:val="-12"/>
        </w:rPr>
        <w:t xml:space="preserve"> </w:t>
      </w:r>
      <w:r w:rsidR="00665A13" w:rsidRPr="00B80816">
        <w:t>cabling</w:t>
      </w:r>
      <w:r w:rsidR="00665A13" w:rsidRPr="00E14879">
        <w:rPr>
          <w:spacing w:val="-14"/>
        </w:rPr>
        <w:t xml:space="preserve"> </w:t>
      </w:r>
      <w:r w:rsidR="00665A13" w:rsidRPr="00B80816">
        <w:t>into</w:t>
      </w:r>
      <w:r w:rsidR="00665A13" w:rsidRPr="00E14879">
        <w:rPr>
          <w:spacing w:val="-13"/>
        </w:rPr>
        <w:t xml:space="preserve"> </w:t>
      </w:r>
      <w:r w:rsidR="00665A13" w:rsidRPr="00B80816">
        <w:t>existing</w:t>
      </w:r>
      <w:r w:rsidR="00665A13" w:rsidRPr="00E14879">
        <w:rPr>
          <w:spacing w:val="-13"/>
        </w:rPr>
        <w:t xml:space="preserve"> </w:t>
      </w:r>
      <w:r w:rsidR="00665A13" w:rsidRPr="00B80816">
        <w:t>walls</w:t>
      </w:r>
      <w:r w:rsidR="00665A13" w:rsidRPr="00E14879">
        <w:rPr>
          <w:spacing w:val="-13"/>
        </w:rPr>
        <w:t xml:space="preserve"> </w:t>
      </w:r>
      <w:r w:rsidR="00665A13" w:rsidRPr="00B80816">
        <w:t>is</w:t>
      </w:r>
      <w:r w:rsidR="00665A13" w:rsidRPr="00E14879">
        <w:rPr>
          <w:spacing w:val="-12"/>
        </w:rPr>
        <w:t xml:space="preserve"> </w:t>
      </w:r>
      <w:r w:rsidR="00665A13" w:rsidRPr="00B80816">
        <w:t>not</w:t>
      </w:r>
      <w:r w:rsidR="00665A13" w:rsidRPr="00E14879">
        <w:rPr>
          <w:spacing w:val="-12"/>
        </w:rPr>
        <w:t xml:space="preserve"> </w:t>
      </w:r>
      <w:r w:rsidR="00665A13" w:rsidRPr="00B80816">
        <w:t>generally</w:t>
      </w:r>
      <w:r w:rsidR="00665A13" w:rsidRPr="00E14879">
        <w:rPr>
          <w:spacing w:val="-10"/>
        </w:rPr>
        <w:t xml:space="preserve"> </w:t>
      </w:r>
      <w:r w:rsidR="00665A13" w:rsidRPr="00B80816">
        <w:t>appropriate.</w:t>
      </w:r>
      <w:r w:rsidR="00665A13" w:rsidRPr="00E14879">
        <w:rPr>
          <w:spacing w:val="-15"/>
        </w:rPr>
        <w:t xml:space="preserve"> </w:t>
      </w:r>
      <w:r w:rsidR="00665A13" w:rsidRPr="00B80816">
        <w:t>Where</w:t>
      </w:r>
      <w:r w:rsidR="00665A13" w:rsidRPr="00E14879">
        <w:rPr>
          <w:spacing w:val="-12"/>
        </w:rPr>
        <w:t xml:space="preserve"> </w:t>
      </w:r>
      <w:r w:rsidR="00665A13" w:rsidRPr="00B80816">
        <w:t>possible, cavities should be used for service lines and</w:t>
      </w:r>
      <w:r w:rsidR="00665A13" w:rsidRPr="00E14879">
        <w:rPr>
          <w:spacing w:val="-7"/>
        </w:rPr>
        <w:t xml:space="preserve"> </w:t>
      </w:r>
      <w:r w:rsidR="00665A13" w:rsidRPr="00B80816">
        <w:t>ductwork.</w:t>
      </w:r>
    </w:p>
    <w:p w14:paraId="2810DF60" w14:textId="77777777" w:rsidR="00665A13" w:rsidRPr="00B80816" w:rsidRDefault="00E14879" w:rsidP="00E14879">
      <w:pPr>
        <w:widowControl w:val="0"/>
        <w:autoSpaceDE w:val="0"/>
        <w:autoSpaceDN w:val="0"/>
        <w:spacing w:after="60" w:line="240" w:lineRule="auto"/>
        <w:ind w:left="992" w:right="-29" w:hanging="567"/>
        <w:jc w:val="both"/>
      </w:pPr>
      <w:r>
        <w:t>iv.</w:t>
      </w:r>
      <w:r>
        <w:tab/>
      </w:r>
      <w:r w:rsidR="00665A13" w:rsidRPr="00B80816">
        <w:t>Exhaust vents, skylights, air conditioning ducts and units, solar panels, TV antennae and satellite</w:t>
      </w:r>
      <w:r w:rsidR="00665A13" w:rsidRPr="00E14879">
        <w:rPr>
          <w:spacing w:val="-6"/>
        </w:rPr>
        <w:t xml:space="preserve"> </w:t>
      </w:r>
      <w:r w:rsidR="00665A13" w:rsidRPr="00B80816">
        <w:t>dishes</w:t>
      </w:r>
      <w:r w:rsidR="00665A13" w:rsidRPr="00E14879">
        <w:rPr>
          <w:spacing w:val="-4"/>
        </w:rPr>
        <w:t xml:space="preserve"> </w:t>
      </w:r>
      <w:r w:rsidR="00665A13" w:rsidRPr="00B80816">
        <w:t>and</w:t>
      </w:r>
      <w:r w:rsidR="00665A13" w:rsidRPr="00E14879">
        <w:rPr>
          <w:spacing w:val="-7"/>
        </w:rPr>
        <w:t xml:space="preserve"> </w:t>
      </w:r>
      <w:r w:rsidR="00665A13" w:rsidRPr="00B80816">
        <w:t>the</w:t>
      </w:r>
      <w:r w:rsidR="00665A13" w:rsidRPr="00E14879">
        <w:rPr>
          <w:spacing w:val="-4"/>
        </w:rPr>
        <w:t xml:space="preserve"> </w:t>
      </w:r>
      <w:r w:rsidR="00665A13" w:rsidRPr="00B80816">
        <w:t>like</w:t>
      </w:r>
      <w:r w:rsidR="00665A13" w:rsidRPr="00E14879">
        <w:rPr>
          <w:spacing w:val="-6"/>
        </w:rPr>
        <w:t xml:space="preserve"> </w:t>
      </w:r>
      <w:r w:rsidR="00665A13" w:rsidRPr="00B80816">
        <w:t>should</w:t>
      </w:r>
      <w:r w:rsidR="00665A13" w:rsidRPr="00E14879">
        <w:rPr>
          <w:spacing w:val="-5"/>
        </w:rPr>
        <w:t xml:space="preserve"> </w:t>
      </w:r>
      <w:r w:rsidR="00665A13" w:rsidRPr="00B80816">
        <w:t>not</w:t>
      </w:r>
      <w:r w:rsidR="00665A13" w:rsidRPr="00E14879">
        <w:rPr>
          <w:spacing w:val="-7"/>
        </w:rPr>
        <w:t xml:space="preserve"> </w:t>
      </w:r>
      <w:r w:rsidR="00665A13" w:rsidRPr="00B80816">
        <w:t>be</w:t>
      </w:r>
      <w:r w:rsidR="00665A13" w:rsidRPr="00E14879">
        <w:rPr>
          <w:spacing w:val="-4"/>
        </w:rPr>
        <w:t xml:space="preserve"> </w:t>
      </w:r>
      <w:r w:rsidR="00665A13" w:rsidRPr="00B80816">
        <w:t>located</w:t>
      </w:r>
      <w:r w:rsidR="00665A13" w:rsidRPr="00E14879">
        <w:rPr>
          <w:spacing w:val="-4"/>
        </w:rPr>
        <w:t xml:space="preserve"> </w:t>
      </w:r>
      <w:r w:rsidR="00665A13" w:rsidRPr="00B80816">
        <w:t>on</w:t>
      </w:r>
      <w:r w:rsidR="00665A13" w:rsidRPr="00E14879">
        <w:rPr>
          <w:spacing w:val="-6"/>
        </w:rPr>
        <w:t xml:space="preserve"> </w:t>
      </w:r>
      <w:r w:rsidR="00665A13" w:rsidRPr="00B80816">
        <w:t>the</w:t>
      </w:r>
      <w:r w:rsidR="00665A13" w:rsidRPr="00E14879">
        <w:rPr>
          <w:spacing w:val="-5"/>
        </w:rPr>
        <w:t xml:space="preserve"> </w:t>
      </w:r>
      <w:r w:rsidR="00665A13" w:rsidRPr="00B80816">
        <w:t>primary</w:t>
      </w:r>
      <w:r w:rsidR="00665A13" w:rsidRPr="00E14879">
        <w:rPr>
          <w:spacing w:val="-6"/>
        </w:rPr>
        <w:t xml:space="preserve"> </w:t>
      </w:r>
      <w:r w:rsidR="00665A13" w:rsidRPr="00B80816">
        <w:t>elevation</w:t>
      </w:r>
      <w:r w:rsidR="00665A13" w:rsidRPr="00E14879">
        <w:rPr>
          <w:spacing w:val="-7"/>
        </w:rPr>
        <w:t xml:space="preserve"> </w:t>
      </w:r>
      <w:r w:rsidR="00665A13" w:rsidRPr="00B80816">
        <w:t>of</w:t>
      </w:r>
      <w:r w:rsidR="00665A13" w:rsidRPr="00E14879">
        <w:rPr>
          <w:spacing w:val="-6"/>
        </w:rPr>
        <w:t xml:space="preserve"> </w:t>
      </w:r>
      <w:r w:rsidR="00665A13" w:rsidRPr="00B80816">
        <w:t>the</w:t>
      </w:r>
      <w:r w:rsidR="00665A13" w:rsidRPr="00E14879">
        <w:rPr>
          <w:spacing w:val="-6"/>
        </w:rPr>
        <w:t xml:space="preserve"> </w:t>
      </w:r>
      <w:r w:rsidR="00665A13" w:rsidRPr="00B80816">
        <w:t>building, nor attached to chimneys or other roof features where they will be visually obvious from the public</w:t>
      </w:r>
      <w:r w:rsidR="00665A13" w:rsidRPr="00E14879">
        <w:rPr>
          <w:spacing w:val="-1"/>
        </w:rPr>
        <w:t xml:space="preserve"> </w:t>
      </w:r>
      <w:r w:rsidR="00665A13" w:rsidRPr="00B80816">
        <w:t>domain.</w:t>
      </w:r>
    </w:p>
    <w:p w14:paraId="2A563214" w14:textId="77777777" w:rsidR="00665A13" w:rsidRPr="00B80816" w:rsidRDefault="00E14879" w:rsidP="00E14879">
      <w:pPr>
        <w:widowControl w:val="0"/>
        <w:autoSpaceDE w:val="0"/>
        <w:autoSpaceDN w:val="0"/>
        <w:spacing w:after="60" w:line="240" w:lineRule="auto"/>
        <w:ind w:left="992" w:right="-29" w:hanging="567"/>
        <w:jc w:val="both"/>
      </w:pPr>
      <w:r>
        <w:t>v.</w:t>
      </w:r>
      <w:r>
        <w:tab/>
      </w:r>
      <w:r w:rsidR="00665A13" w:rsidRPr="00B80816">
        <w:t>Services on secondary elevations should be located or screened appropriately to reduce their visual</w:t>
      </w:r>
      <w:r w:rsidR="00665A13" w:rsidRPr="00E14879">
        <w:rPr>
          <w:spacing w:val="-5"/>
        </w:rPr>
        <w:t xml:space="preserve"> </w:t>
      </w:r>
      <w:r w:rsidR="00665A13" w:rsidRPr="00B80816">
        <w:t>impact.</w:t>
      </w:r>
    </w:p>
    <w:p w14:paraId="47CBF8B1" w14:textId="77777777" w:rsidR="00665A13" w:rsidRPr="00B80816" w:rsidRDefault="00E14879" w:rsidP="00E14879">
      <w:pPr>
        <w:widowControl w:val="0"/>
        <w:autoSpaceDE w:val="0"/>
        <w:autoSpaceDN w:val="0"/>
        <w:spacing w:after="60" w:line="240" w:lineRule="auto"/>
        <w:ind w:left="992" w:right="-29" w:hanging="567"/>
        <w:jc w:val="both"/>
      </w:pPr>
      <w:r>
        <w:t>vi</w:t>
      </w:r>
      <w:r>
        <w:tab/>
      </w:r>
      <w:r w:rsidR="00665A13" w:rsidRPr="00B80816">
        <w:t>Where penetrations through significant fabric cannot be avoided, they should be minimised in terms of both dimensions and number of openings and finished as neatly as possible.</w:t>
      </w:r>
    </w:p>
    <w:p w14:paraId="77106674" w14:textId="77777777" w:rsidR="00665A13" w:rsidRDefault="00E14879" w:rsidP="00E14879">
      <w:pPr>
        <w:widowControl w:val="0"/>
        <w:autoSpaceDE w:val="0"/>
        <w:autoSpaceDN w:val="0"/>
        <w:spacing w:line="240" w:lineRule="auto"/>
        <w:ind w:left="992" w:right="-28" w:hanging="567"/>
        <w:jc w:val="both"/>
      </w:pPr>
      <w:r>
        <w:t>vii.</w:t>
      </w:r>
      <w:r>
        <w:tab/>
      </w:r>
      <w:r w:rsidR="00665A13" w:rsidRPr="00B80816">
        <w:t>Penetrations should never be made through decorative elements such as friezes, cornices or</w:t>
      </w:r>
      <w:r w:rsidR="00665A13" w:rsidRPr="00E14879">
        <w:rPr>
          <w:spacing w:val="-2"/>
        </w:rPr>
        <w:t xml:space="preserve"> </w:t>
      </w:r>
      <w:r w:rsidR="00665A13" w:rsidRPr="00B80816">
        <w:t>vents.</w:t>
      </w:r>
    </w:p>
    <w:p w14:paraId="4B376D45" w14:textId="77777777" w:rsidR="00665A13" w:rsidRPr="00E14879" w:rsidRDefault="00E14879" w:rsidP="00E14879">
      <w:pPr>
        <w:spacing w:after="0"/>
        <w:ind w:left="425" w:hanging="425"/>
        <w:rPr>
          <w:b/>
        </w:rPr>
      </w:pPr>
      <w:bookmarkStart w:id="557" w:name="_TOC_250008"/>
      <w:r>
        <w:rPr>
          <w:b/>
        </w:rPr>
        <w:t>7.</w:t>
      </w:r>
      <w:r>
        <w:rPr>
          <w:b/>
        </w:rPr>
        <w:tab/>
      </w:r>
      <w:r w:rsidR="00665A13" w:rsidRPr="00E14879">
        <w:rPr>
          <w:b/>
        </w:rPr>
        <w:t>Royal George Hotel Site – Vacant Land – New</w:t>
      </w:r>
      <w:r w:rsidR="00665A13" w:rsidRPr="00E14879">
        <w:rPr>
          <w:b/>
          <w:spacing w:val="-9"/>
        </w:rPr>
        <w:t xml:space="preserve"> </w:t>
      </w:r>
      <w:bookmarkEnd w:id="557"/>
      <w:r w:rsidR="00665A13" w:rsidRPr="00E14879">
        <w:rPr>
          <w:b/>
        </w:rPr>
        <w:t>Development</w:t>
      </w:r>
    </w:p>
    <w:p w14:paraId="2867D718" w14:textId="77777777" w:rsidR="00665A13" w:rsidRPr="00E14879" w:rsidRDefault="00665A13" w:rsidP="00E14879">
      <w:pPr>
        <w:pStyle w:val="BodyText"/>
        <w:spacing w:after="200"/>
        <w:ind w:left="425" w:right="-28"/>
        <w:jc w:val="both"/>
        <w:rPr>
          <w:rFonts w:asciiTheme="minorHAnsi" w:hAnsiTheme="minorHAnsi" w:cstheme="minorHAnsi"/>
        </w:rPr>
      </w:pPr>
      <w:r w:rsidRPr="00E14879">
        <w:rPr>
          <w:rFonts w:asciiTheme="minorHAnsi" w:hAnsiTheme="minorHAnsi" w:cstheme="minorHAnsi"/>
        </w:rPr>
        <w:t>The Royal George Hotel site is located among a significant collection of other heritage buildings,</w:t>
      </w:r>
      <w:r w:rsidRPr="00E14879">
        <w:rPr>
          <w:rFonts w:asciiTheme="minorHAnsi" w:hAnsiTheme="minorHAnsi" w:cstheme="minorHAnsi"/>
          <w:spacing w:val="-10"/>
        </w:rPr>
        <w:t xml:space="preserve"> </w:t>
      </w:r>
      <w:r w:rsidRPr="00E14879">
        <w:rPr>
          <w:rFonts w:asciiTheme="minorHAnsi" w:hAnsiTheme="minorHAnsi" w:cstheme="minorHAnsi"/>
        </w:rPr>
        <w:t>comprising</w:t>
      </w:r>
      <w:r w:rsidRPr="00E14879">
        <w:rPr>
          <w:rFonts w:asciiTheme="minorHAnsi" w:hAnsiTheme="minorHAnsi" w:cstheme="minorHAnsi"/>
          <w:spacing w:val="-14"/>
        </w:rPr>
        <w:t xml:space="preserve"> </w:t>
      </w:r>
      <w:r w:rsidRPr="00E14879">
        <w:rPr>
          <w:rFonts w:asciiTheme="minorHAnsi" w:hAnsiTheme="minorHAnsi" w:cstheme="minorHAnsi"/>
        </w:rPr>
        <w:t>mostly</w:t>
      </w:r>
      <w:r w:rsidRPr="00E14879">
        <w:rPr>
          <w:rFonts w:asciiTheme="minorHAnsi" w:hAnsiTheme="minorHAnsi" w:cstheme="minorHAnsi"/>
          <w:spacing w:val="-9"/>
        </w:rPr>
        <w:t xml:space="preserve"> </w:t>
      </w:r>
      <w:r w:rsidRPr="00E14879">
        <w:rPr>
          <w:rFonts w:asciiTheme="minorHAnsi" w:hAnsiTheme="minorHAnsi" w:cstheme="minorHAnsi"/>
        </w:rPr>
        <w:t>turn</w:t>
      </w:r>
      <w:r w:rsidRPr="00E14879">
        <w:rPr>
          <w:rFonts w:asciiTheme="minorHAnsi" w:hAnsiTheme="minorHAnsi" w:cstheme="minorHAnsi"/>
          <w:spacing w:val="-12"/>
        </w:rPr>
        <w:t xml:space="preserve"> </w:t>
      </w:r>
      <w:r w:rsidRPr="00E14879">
        <w:rPr>
          <w:rFonts w:asciiTheme="minorHAnsi" w:hAnsiTheme="minorHAnsi" w:cstheme="minorHAnsi"/>
        </w:rPr>
        <w:t>of</w:t>
      </w:r>
      <w:r w:rsidRPr="00E14879">
        <w:rPr>
          <w:rFonts w:asciiTheme="minorHAnsi" w:hAnsiTheme="minorHAnsi" w:cstheme="minorHAnsi"/>
          <w:spacing w:val="-11"/>
        </w:rPr>
        <w:t xml:space="preserve"> </w:t>
      </w:r>
      <w:r w:rsidRPr="00E14879">
        <w:rPr>
          <w:rFonts w:asciiTheme="minorHAnsi" w:hAnsiTheme="minorHAnsi" w:cstheme="minorHAnsi"/>
        </w:rPr>
        <w:t>the</w:t>
      </w:r>
      <w:r w:rsidRPr="00E14879">
        <w:rPr>
          <w:rFonts w:asciiTheme="minorHAnsi" w:hAnsiTheme="minorHAnsi" w:cstheme="minorHAnsi"/>
          <w:spacing w:val="-11"/>
        </w:rPr>
        <w:t xml:space="preserve"> </w:t>
      </w:r>
      <w:r w:rsidRPr="00E14879">
        <w:rPr>
          <w:rFonts w:asciiTheme="minorHAnsi" w:hAnsiTheme="minorHAnsi" w:cstheme="minorHAnsi"/>
        </w:rPr>
        <w:t>century</w:t>
      </w:r>
      <w:r w:rsidRPr="00E14879">
        <w:rPr>
          <w:rFonts w:asciiTheme="minorHAnsi" w:hAnsiTheme="minorHAnsi" w:cstheme="minorHAnsi"/>
          <w:spacing w:val="-9"/>
        </w:rPr>
        <w:t xml:space="preserve"> </w:t>
      </w:r>
      <w:r w:rsidRPr="00E14879">
        <w:rPr>
          <w:rFonts w:asciiTheme="minorHAnsi" w:hAnsiTheme="minorHAnsi" w:cstheme="minorHAnsi"/>
        </w:rPr>
        <w:t>dwellings</w:t>
      </w:r>
      <w:r w:rsidRPr="00E14879">
        <w:rPr>
          <w:rFonts w:asciiTheme="minorHAnsi" w:hAnsiTheme="minorHAnsi" w:cstheme="minorHAnsi"/>
          <w:spacing w:val="-10"/>
        </w:rPr>
        <w:t xml:space="preserve"> </w:t>
      </w:r>
      <w:r w:rsidRPr="00E14879">
        <w:rPr>
          <w:rFonts w:asciiTheme="minorHAnsi" w:hAnsiTheme="minorHAnsi" w:cstheme="minorHAnsi"/>
        </w:rPr>
        <w:t>and</w:t>
      </w:r>
      <w:r w:rsidRPr="00E14879">
        <w:rPr>
          <w:rFonts w:asciiTheme="minorHAnsi" w:hAnsiTheme="minorHAnsi" w:cstheme="minorHAnsi"/>
          <w:spacing w:val="-10"/>
        </w:rPr>
        <w:t xml:space="preserve"> </w:t>
      </w:r>
      <w:r w:rsidRPr="00E14879">
        <w:rPr>
          <w:rFonts w:asciiTheme="minorHAnsi" w:hAnsiTheme="minorHAnsi" w:cstheme="minorHAnsi"/>
        </w:rPr>
        <w:t>commercial</w:t>
      </w:r>
      <w:r w:rsidRPr="00E14879">
        <w:rPr>
          <w:rFonts w:asciiTheme="minorHAnsi" w:hAnsiTheme="minorHAnsi" w:cstheme="minorHAnsi"/>
          <w:spacing w:val="-9"/>
        </w:rPr>
        <w:t xml:space="preserve"> </w:t>
      </w:r>
      <w:r w:rsidRPr="00E14879">
        <w:rPr>
          <w:rFonts w:asciiTheme="minorHAnsi" w:hAnsiTheme="minorHAnsi" w:cstheme="minorHAnsi"/>
        </w:rPr>
        <w:t>premises,</w:t>
      </w:r>
      <w:r w:rsidRPr="00E14879">
        <w:rPr>
          <w:rFonts w:asciiTheme="minorHAnsi" w:hAnsiTheme="minorHAnsi" w:cstheme="minorHAnsi"/>
          <w:spacing w:val="-13"/>
        </w:rPr>
        <w:t xml:space="preserve"> </w:t>
      </w:r>
      <w:r w:rsidRPr="00E14879">
        <w:rPr>
          <w:rFonts w:asciiTheme="minorHAnsi" w:hAnsiTheme="minorHAnsi" w:cstheme="minorHAnsi"/>
        </w:rPr>
        <w:t xml:space="preserve">within the George Street Heritage Area and the Plympton Precinct in general. The Royal George Hotel is an important feature of this collective and the Town has </w:t>
      </w:r>
      <w:proofErr w:type="spellStart"/>
      <w:r w:rsidRPr="00E14879">
        <w:rPr>
          <w:rFonts w:asciiTheme="minorHAnsi" w:hAnsiTheme="minorHAnsi" w:cstheme="minorHAnsi"/>
        </w:rPr>
        <w:t>endeavoured</w:t>
      </w:r>
      <w:proofErr w:type="spellEnd"/>
      <w:r w:rsidRPr="00E14879">
        <w:rPr>
          <w:rFonts w:asciiTheme="minorHAnsi" w:hAnsiTheme="minorHAnsi" w:cstheme="minorHAnsi"/>
        </w:rPr>
        <w:t xml:space="preserve"> to preserve this</w:t>
      </w:r>
      <w:r w:rsidRPr="00E14879">
        <w:rPr>
          <w:rFonts w:asciiTheme="minorHAnsi" w:hAnsiTheme="minorHAnsi" w:cstheme="minorHAnsi"/>
          <w:spacing w:val="-8"/>
        </w:rPr>
        <w:t xml:space="preserve"> </w:t>
      </w:r>
      <w:r w:rsidRPr="00E14879">
        <w:rPr>
          <w:rFonts w:asciiTheme="minorHAnsi" w:hAnsiTheme="minorHAnsi" w:cstheme="minorHAnsi"/>
        </w:rPr>
        <w:t>for</w:t>
      </w:r>
      <w:r w:rsidRPr="00E14879">
        <w:rPr>
          <w:rFonts w:asciiTheme="minorHAnsi" w:hAnsiTheme="minorHAnsi" w:cstheme="minorHAnsi"/>
          <w:spacing w:val="-8"/>
        </w:rPr>
        <w:t xml:space="preserve"> </w:t>
      </w:r>
      <w:r w:rsidRPr="00E14879">
        <w:rPr>
          <w:rFonts w:asciiTheme="minorHAnsi" w:hAnsiTheme="minorHAnsi" w:cstheme="minorHAnsi"/>
        </w:rPr>
        <w:t>the</w:t>
      </w:r>
      <w:r w:rsidRPr="00E14879">
        <w:rPr>
          <w:rFonts w:asciiTheme="minorHAnsi" w:hAnsiTheme="minorHAnsi" w:cstheme="minorHAnsi"/>
          <w:spacing w:val="-6"/>
        </w:rPr>
        <w:t xml:space="preserve"> </w:t>
      </w:r>
      <w:r w:rsidRPr="00E14879">
        <w:rPr>
          <w:rFonts w:asciiTheme="minorHAnsi" w:hAnsiTheme="minorHAnsi" w:cstheme="minorHAnsi"/>
        </w:rPr>
        <w:t>heritage</w:t>
      </w:r>
      <w:r w:rsidRPr="00E14879">
        <w:rPr>
          <w:rFonts w:asciiTheme="minorHAnsi" w:hAnsiTheme="minorHAnsi" w:cstheme="minorHAnsi"/>
          <w:spacing w:val="-8"/>
        </w:rPr>
        <w:t xml:space="preserve"> </w:t>
      </w:r>
      <w:r w:rsidRPr="00E14879">
        <w:rPr>
          <w:rFonts w:asciiTheme="minorHAnsi" w:hAnsiTheme="minorHAnsi" w:cstheme="minorHAnsi"/>
        </w:rPr>
        <w:t>of</w:t>
      </w:r>
      <w:r w:rsidRPr="00E14879">
        <w:rPr>
          <w:rFonts w:asciiTheme="minorHAnsi" w:hAnsiTheme="minorHAnsi" w:cstheme="minorHAnsi"/>
          <w:spacing w:val="-7"/>
        </w:rPr>
        <w:t xml:space="preserve"> </w:t>
      </w:r>
      <w:r w:rsidRPr="00E14879">
        <w:rPr>
          <w:rFonts w:asciiTheme="minorHAnsi" w:hAnsiTheme="minorHAnsi" w:cstheme="minorHAnsi"/>
        </w:rPr>
        <w:t>Perth</w:t>
      </w:r>
      <w:r w:rsidRPr="00E14879">
        <w:rPr>
          <w:rFonts w:asciiTheme="minorHAnsi" w:hAnsiTheme="minorHAnsi" w:cstheme="minorHAnsi"/>
          <w:spacing w:val="-6"/>
        </w:rPr>
        <w:t xml:space="preserve"> </w:t>
      </w:r>
      <w:r w:rsidRPr="00E14879">
        <w:rPr>
          <w:rFonts w:asciiTheme="minorHAnsi" w:hAnsiTheme="minorHAnsi" w:cstheme="minorHAnsi"/>
        </w:rPr>
        <w:t>and</w:t>
      </w:r>
      <w:r w:rsidRPr="00E14879">
        <w:rPr>
          <w:rFonts w:asciiTheme="minorHAnsi" w:hAnsiTheme="minorHAnsi" w:cstheme="minorHAnsi"/>
          <w:spacing w:val="-6"/>
        </w:rPr>
        <w:t xml:space="preserve"> </w:t>
      </w:r>
      <w:r w:rsidRPr="00E14879">
        <w:rPr>
          <w:rFonts w:asciiTheme="minorHAnsi" w:hAnsiTheme="minorHAnsi" w:cstheme="minorHAnsi"/>
        </w:rPr>
        <w:t>the</w:t>
      </w:r>
      <w:r w:rsidRPr="00E14879">
        <w:rPr>
          <w:rFonts w:asciiTheme="minorHAnsi" w:hAnsiTheme="minorHAnsi" w:cstheme="minorHAnsi"/>
          <w:spacing w:val="-8"/>
        </w:rPr>
        <w:t xml:space="preserve"> </w:t>
      </w:r>
      <w:r w:rsidRPr="00E14879">
        <w:rPr>
          <w:rFonts w:asciiTheme="minorHAnsi" w:hAnsiTheme="minorHAnsi" w:cstheme="minorHAnsi"/>
        </w:rPr>
        <w:t>State</w:t>
      </w:r>
      <w:r w:rsidRPr="00E14879">
        <w:rPr>
          <w:rFonts w:asciiTheme="minorHAnsi" w:hAnsiTheme="minorHAnsi" w:cstheme="minorHAnsi"/>
          <w:spacing w:val="-6"/>
        </w:rPr>
        <w:t xml:space="preserve"> </w:t>
      </w:r>
      <w:r w:rsidRPr="00E14879">
        <w:rPr>
          <w:rFonts w:asciiTheme="minorHAnsi" w:hAnsiTheme="minorHAnsi" w:cstheme="minorHAnsi"/>
        </w:rPr>
        <w:t>for</w:t>
      </w:r>
      <w:r w:rsidRPr="00E14879">
        <w:rPr>
          <w:rFonts w:asciiTheme="minorHAnsi" w:hAnsiTheme="minorHAnsi" w:cstheme="minorHAnsi"/>
          <w:spacing w:val="-8"/>
        </w:rPr>
        <w:t xml:space="preserve"> </w:t>
      </w:r>
      <w:r w:rsidRPr="00E14879">
        <w:rPr>
          <w:rFonts w:asciiTheme="minorHAnsi" w:hAnsiTheme="minorHAnsi" w:cstheme="minorHAnsi"/>
        </w:rPr>
        <w:t>the</w:t>
      </w:r>
      <w:r w:rsidRPr="00E14879">
        <w:rPr>
          <w:rFonts w:asciiTheme="minorHAnsi" w:hAnsiTheme="minorHAnsi" w:cstheme="minorHAnsi"/>
          <w:spacing w:val="-10"/>
        </w:rPr>
        <w:t xml:space="preserve"> </w:t>
      </w:r>
      <w:r w:rsidRPr="00E14879">
        <w:rPr>
          <w:rFonts w:asciiTheme="minorHAnsi" w:hAnsiTheme="minorHAnsi" w:cstheme="minorHAnsi"/>
        </w:rPr>
        <w:t>past</w:t>
      </w:r>
      <w:r w:rsidRPr="00E14879">
        <w:rPr>
          <w:rFonts w:asciiTheme="minorHAnsi" w:hAnsiTheme="minorHAnsi" w:cstheme="minorHAnsi"/>
          <w:spacing w:val="-8"/>
        </w:rPr>
        <w:t xml:space="preserve"> </w:t>
      </w:r>
      <w:r w:rsidRPr="00E14879">
        <w:rPr>
          <w:rFonts w:asciiTheme="minorHAnsi" w:hAnsiTheme="minorHAnsi" w:cstheme="minorHAnsi"/>
        </w:rPr>
        <w:t>100</w:t>
      </w:r>
      <w:r w:rsidRPr="00E14879">
        <w:rPr>
          <w:rFonts w:asciiTheme="minorHAnsi" w:hAnsiTheme="minorHAnsi" w:cstheme="minorHAnsi"/>
          <w:spacing w:val="-6"/>
        </w:rPr>
        <w:t xml:space="preserve"> </w:t>
      </w:r>
      <w:r w:rsidRPr="00E14879">
        <w:rPr>
          <w:rFonts w:asciiTheme="minorHAnsi" w:hAnsiTheme="minorHAnsi" w:cstheme="minorHAnsi"/>
        </w:rPr>
        <w:t>years.</w:t>
      </w:r>
      <w:r w:rsidRPr="00E14879">
        <w:rPr>
          <w:rFonts w:asciiTheme="minorHAnsi" w:hAnsiTheme="minorHAnsi" w:cstheme="minorHAnsi"/>
          <w:spacing w:val="-10"/>
        </w:rPr>
        <w:t xml:space="preserve"> </w:t>
      </w:r>
      <w:r w:rsidRPr="00E14879">
        <w:rPr>
          <w:rFonts w:asciiTheme="minorHAnsi" w:hAnsiTheme="minorHAnsi" w:cstheme="minorHAnsi"/>
        </w:rPr>
        <w:t>This</w:t>
      </w:r>
      <w:r w:rsidRPr="00E14879">
        <w:rPr>
          <w:rFonts w:asciiTheme="minorHAnsi" w:hAnsiTheme="minorHAnsi" w:cstheme="minorHAnsi"/>
          <w:spacing w:val="-6"/>
        </w:rPr>
        <w:t xml:space="preserve"> </w:t>
      </w:r>
      <w:r w:rsidRPr="00E14879">
        <w:rPr>
          <w:rFonts w:asciiTheme="minorHAnsi" w:hAnsiTheme="minorHAnsi" w:cstheme="minorHAnsi"/>
        </w:rPr>
        <w:t>heritage</w:t>
      </w:r>
      <w:r w:rsidRPr="00E14879">
        <w:rPr>
          <w:rFonts w:asciiTheme="minorHAnsi" w:hAnsiTheme="minorHAnsi" w:cstheme="minorHAnsi"/>
          <w:spacing w:val="-8"/>
        </w:rPr>
        <w:t xml:space="preserve"> </w:t>
      </w:r>
      <w:r w:rsidRPr="00E14879">
        <w:rPr>
          <w:rFonts w:asciiTheme="minorHAnsi" w:hAnsiTheme="minorHAnsi" w:cstheme="minorHAnsi"/>
        </w:rPr>
        <w:t>legacy</w:t>
      </w:r>
      <w:r w:rsidRPr="00E14879">
        <w:rPr>
          <w:rFonts w:asciiTheme="minorHAnsi" w:hAnsiTheme="minorHAnsi" w:cstheme="minorHAnsi"/>
          <w:spacing w:val="-6"/>
        </w:rPr>
        <w:t xml:space="preserve"> </w:t>
      </w:r>
      <w:r w:rsidRPr="00E14879">
        <w:rPr>
          <w:rFonts w:asciiTheme="minorHAnsi" w:hAnsiTheme="minorHAnsi" w:cstheme="minorHAnsi"/>
        </w:rPr>
        <w:t>is</w:t>
      </w:r>
      <w:r w:rsidRPr="00E14879">
        <w:rPr>
          <w:rFonts w:asciiTheme="minorHAnsi" w:hAnsiTheme="minorHAnsi" w:cstheme="minorHAnsi"/>
          <w:spacing w:val="-11"/>
        </w:rPr>
        <w:t xml:space="preserve"> </w:t>
      </w:r>
      <w:r w:rsidRPr="00E14879">
        <w:rPr>
          <w:rFonts w:asciiTheme="minorHAnsi" w:hAnsiTheme="minorHAnsi" w:cstheme="minorHAnsi"/>
        </w:rPr>
        <w:t>the essence</w:t>
      </w:r>
      <w:r w:rsidRPr="00E14879">
        <w:rPr>
          <w:rFonts w:asciiTheme="minorHAnsi" w:hAnsiTheme="minorHAnsi" w:cstheme="minorHAnsi"/>
          <w:spacing w:val="-10"/>
        </w:rPr>
        <w:t xml:space="preserve"> </w:t>
      </w:r>
      <w:r w:rsidRPr="00E14879">
        <w:rPr>
          <w:rFonts w:asciiTheme="minorHAnsi" w:hAnsiTheme="minorHAnsi" w:cstheme="minorHAnsi"/>
        </w:rPr>
        <w:t>of</w:t>
      </w:r>
      <w:r w:rsidRPr="00E14879">
        <w:rPr>
          <w:rFonts w:asciiTheme="minorHAnsi" w:hAnsiTheme="minorHAnsi" w:cstheme="minorHAnsi"/>
          <w:spacing w:val="-10"/>
        </w:rPr>
        <w:t xml:space="preserve"> </w:t>
      </w:r>
      <w:r w:rsidRPr="00E14879">
        <w:rPr>
          <w:rFonts w:asciiTheme="minorHAnsi" w:hAnsiTheme="minorHAnsi" w:cstheme="minorHAnsi"/>
        </w:rPr>
        <w:t>the</w:t>
      </w:r>
      <w:r w:rsidRPr="00E14879">
        <w:rPr>
          <w:rFonts w:asciiTheme="minorHAnsi" w:hAnsiTheme="minorHAnsi" w:cstheme="minorHAnsi"/>
          <w:spacing w:val="-10"/>
        </w:rPr>
        <w:t xml:space="preserve"> </w:t>
      </w:r>
      <w:r w:rsidRPr="00E14879">
        <w:rPr>
          <w:rFonts w:asciiTheme="minorHAnsi" w:hAnsiTheme="minorHAnsi" w:cstheme="minorHAnsi"/>
        </w:rPr>
        <w:t>George</w:t>
      </w:r>
      <w:r w:rsidRPr="00E14879">
        <w:rPr>
          <w:rFonts w:asciiTheme="minorHAnsi" w:hAnsiTheme="minorHAnsi" w:cstheme="minorHAnsi"/>
          <w:spacing w:val="-10"/>
        </w:rPr>
        <w:t xml:space="preserve"> </w:t>
      </w:r>
      <w:r w:rsidRPr="00E14879">
        <w:rPr>
          <w:rFonts w:asciiTheme="minorHAnsi" w:hAnsiTheme="minorHAnsi" w:cstheme="minorHAnsi"/>
        </w:rPr>
        <w:t>Street</w:t>
      </w:r>
      <w:r w:rsidRPr="00E14879">
        <w:rPr>
          <w:rFonts w:asciiTheme="minorHAnsi" w:hAnsiTheme="minorHAnsi" w:cstheme="minorHAnsi"/>
          <w:spacing w:val="-9"/>
        </w:rPr>
        <w:t xml:space="preserve"> </w:t>
      </w:r>
      <w:r w:rsidRPr="00E14879">
        <w:rPr>
          <w:rFonts w:asciiTheme="minorHAnsi" w:hAnsiTheme="minorHAnsi" w:cstheme="minorHAnsi"/>
        </w:rPr>
        <w:t>Heritage</w:t>
      </w:r>
      <w:r w:rsidRPr="00E14879">
        <w:rPr>
          <w:rFonts w:asciiTheme="minorHAnsi" w:hAnsiTheme="minorHAnsi" w:cstheme="minorHAnsi"/>
          <w:spacing w:val="-10"/>
        </w:rPr>
        <w:t xml:space="preserve"> </w:t>
      </w:r>
      <w:r w:rsidRPr="00E14879">
        <w:rPr>
          <w:rFonts w:asciiTheme="minorHAnsi" w:hAnsiTheme="minorHAnsi" w:cstheme="minorHAnsi"/>
        </w:rPr>
        <w:t>Area’s</w:t>
      </w:r>
      <w:r w:rsidRPr="00E14879">
        <w:rPr>
          <w:rFonts w:asciiTheme="minorHAnsi" w:hAnsiTheme="minorHAnsi" w:cstheme="minorHAnsi"/>
          <w:spacing w:val="-13"/>
        </w:rPr>
        <w:t xml:space="preserve"> </w:t>
      </w:r>
      <w:r w:rsidRPr="00E14879">
        <w:rPr>
          <w:rFonts w:asciiTheme="minorHAnsi" w:hAnsiTheme="minorHAnsi" w:cstheme="minorHAnsi"/>
        </w:rPr>
        <w:t>charm,</w:t>
      </w:r>
      <w:r w:rsidRPr="00E14879">
        <w:rPr>
          <w:rFonts w:asciiTheme="minorHAnsi" w:hAnsiTheme="minorHAnsi" w:cstheme="minorHAnsi"/>
          <w:spacing w:val="-12"/>
        </w:rPr>
        <w:t xml:space="preserve"> </w:t>
      </w:r>
      <w:r w:rsidRPr="00E14879">
        <w:rPr>
          <w:rFonts w:asciiTheme="minorHAnsi" w:hAnsiTheme="minorHAnsi" w:cstheme="minorHAnsi"/>
        </w:rPr>
        <w:t>character</w:t>
      </w:r>
      <w:r w:rsidRPr="00E14879">
        <w:rPr>
          <w:rFonts w:asciiTheme="minorHAnsi" w:hAnsiTheme="minorHAnsi" w:cstheme="minorHAnsi"/>
          <w:spacing w:val="-10"/>
        </w:rPr>
        <w:t xml:space="preserve"> </w:t>
      </w:r>
      <w:r w:rsidRPr="00E14879">
        <w:rPr>
          <w:rFonts w:asciiTheme="minorHAnsi" w:hAnsiTheme="minorHAnsi" w:cstheme="minorHAnsi"/>
        </w:rPr>
        <w:t>and</w:t>
      </w:r>
      <w:r w:rsidRPr="00E14879">
        <w:rPr>
          <w:rFonts w:asciiTheme="minorHAnsi" w:hAnsiTheme="minorHAnsi" w:cstheme="minorHAnsi"/>
          <w:spacing w:val="-11"/>
        </w:rPr>
        <w:t xml:space="preserve"> </w:t>
      </w:r>
      <w:r w:rsidRPr="00E14879">
        <w:rPr>
          <w:rFonts w:asciiTheme="minorHAnsi" w:hAnsiTheme="minorHAnsi" w:cstheme="minorHAnsi"/>
        </w:rPr>
        <w:t>appeal</w:t>
      </w:r>
      <w:r w:rsidRPr="00E14879">
        <w:rPr>
          <w:rFonts w:asciiTheme="minorHAnsi" w:hAnsiTheme="minorHAnsi" w:cstheme="minorHAnsi"/>
          <w:spacing w:val="-10"/>
        </w:rPr>
        <w:t xml:space="preserve"> </w:t>
      </w:r>
      <w:r w:rsidRPr="00E14879">
        <w:rPr>
          <w:rFonts w:asciiTheme="minorHAnsi" w:hAnsiTheme="minorHAnsi" w:cstheme="minorHAnsi"/>
        </w:rPr>
        <w:t>which</w:t>
      </w:r>
      <w:r w:rsidRPr="00E14879">
        <w:rPr>
          <w:rFonts w:asciiTheme="minorHAnsi" w:hAnsiTheme="minorHAnsi" w:cstheme="minorHAnsi"/>
          <w:spacing w:val="-14"/>
        </w:rPr>
        <w:t xml:space="preserve"> </w:t>
      </w:r>
      <w:r w:rsidRPr="00E14879">
        <w:rPr>
          <w:rFonts w:asciiTheme="minorHAnsi" w:hAnsiTheme="minorHAnsi" w:cstheme="minorHAnsi"/>
        </w:rPr>
        <w:t>is</w:t>
      </w:r>
      <w:r w:rsidRPr="00E14879">
        <w:rPr>
          <w:rFonts w:asciiTheme="minorHAnsi" w:hAnsiTheme="minorHAnsi" w:cstheme="minorHAnsi"/>
          <w:spacing w:val="-10"/>
        </w:rPr>
        <w:t xml:space="preserve"> </w:t>
      </w:r>
      <w:r w:rsidRPr="00E14879">
        <w:rPr>
          <w:rFonts w:asciiTheme="minorHAnsi" w:hAnsiTheme="minorHAnsi" w:cstheme="minorHAnsi"/>
        </w:rPr>
        <w:t>so</w:t>
      </w:r>
      <w:r w:rsidRPr="00E14879">
        <w:rPr>
          <w:rFonts w:asciiTheme="minorHAnsi" w:hAnsiTheme="minorHAnsi" w:cstheme="minorHAnsi"/>
          <w:spacing w:val="-10"/>
        </w:rPr>
        <w:t xml:space="preserve"> </w:t>
      </w:r>
      <w:r w:rsidRPr="00E14879">
        <w:rPr>
          <w:rFonts w:asciiTheme="minorHAnsi" w:hAnsiTheme="minorHAnsi" w:cstheme="minorHAnsi"/>
        </w:rPr>
        <w:t>highly valued</w:t>
      </w:r>
      <w:r w:rsidRPr="00E14879">
        <w:rPr>
          <w:rFonts w:asciiTheme="minorHAnsi" w:hAnsiTheme="minorHAnsi" w:cstheme="minorHAnsi"/>
          <w:spacing w:val="-4"/>
        </w:rPr>
        <w:t xml:space="preserve"> </w:t>
      </w:r>
      <w:r w:rsidRPr="00E14879">
        <w:rPr>
          <w:rFonts w:asciiTheme="minorHAnsi" w:hAnsiTheme="minorHAnsi" w:cstheme="minorHAnsi"/>
        </w:rPr>
        <w:t>by</w:t>
      </w:r>
      <w:r w:rsidRPr="00E14879">
        <w:rPr>
          <w:rFonts w:asciiTheme="minorHAnsi" w:hAnsiTheme="minorHAnsi" w:cstheme="minorHAnsi"/>
          <w:spacing w:val="-3"/>
        </w:rPr>
        <w:t xml:space="preserve"> </w:t>
      </w:r>
      <w:r w:rsidRPr="00E14879">
        <w:rPr>
          <w:rFonts w:asciiTheme="minorHAnsi" w:hAnsiTheme="minorHAnsi" w:cstheme="minorHAnsi"/>
        </w:rPr>
        <w:t>the</w:t>
      </w:r>
      <w:r w:rsidRPr="00E14879">
        <w:rPr>
          <w:rFonts w:asciiTheme="minorHAnsi" w:hAnsiTheme="minorHAnsi" w:cstheme="minorHAnsi"/>
          <w:spacing w:val="-3"/>
        </w:rPr>
        <w:t xml:space="preserve"> </w:t>
      </w:r>
      <w:r w:rsidRPr="00E14879">
        <w:rPr>
          <w:rFonts w:asciiTheme="minorHAnsi" w:hAnsiTheme="minorHAnsi" w:cstheme="minorHAnsi"/>
        </w:rPr>
        <w:t>community</w:t>
      </w:r>
      <w:r w:rsidRPr="00E14879">
        <w:rPr>
          <w:rFonts w:asciiTheme="minorHAnsi" w:hAnsiTheme="minorHAnsi" w:cstheme="minorHAnsi"/>
          <w:spacing w:val="-3"/>
        </w:rPr>
        <w:t xml:space="preserve"> </w:t>
      </w:r>
      <w:r w:rsidRPr="00E14879">
        <w:rPr>
          <w:rFonts w:asciiTheme="minorHAnsi" w:hAnsiTheme="minorHAnsi" w:cstheme="minorHAnsi"/>
        </w:rPr>
        <w:t>and</w:t>
      </w:r>
      <w:r w:rsidRPr="00E14879">
        <w:rPr>
          <w:rFonts w:asciiTheme="minorHAnsi" w:hAnsiTheme="minorHAnsi" w:cstheme="minorHAnsi"/>
          <w:spacing w:val="-3"/>
        </w:rPr>
        <w:t xml:space="preserve"> </w:t>
      </w:r>
      <w:r w:rsidRPr="00E14879">
        <w:rPr>
          <w:rFonts w:asciiTheme="minorHAnsi" w:hAnsiTheme="minorHAnsi" w:cstheme="minorHAnsi"/>
        </w:rPr>
        <w:t>the</w:t>
      </w:r>
      <w:r w:rsidRPr="00E14879">
        <w:rPr>
          <w:rFonts w:asciiTheme="minorHAnsi" w:hAnsiTheme="minorHAnsi" w:cstheme="minorHAnsi"/>
          <w:spacing w:val="-1"/>
        </w:rPr>
        <w:t xml:space="preserve"> </w:t>
      </w:r>
      <w:r w:rsidRPr="00E14879">
        <w:rPr>
          <w:rFonts w:asciiTheme="minorHAnsi" w:hAnsiTheme="minorHAnsi" w:cstheme="minorHAnsi"/>
        </w:rPr>
        <w:t>Council</w:t>
      </w:r>
      <w:r w:rsidRPr="00E14879">
        <w:rPr>
          <w:rFonts w:asciiTheme="minorHAnsi" w:hAnsiTheme="minorHAnsi" w:cstheme="minorHAnsi"/>
          <w:spacing w:val="-3"/>
        </w:rPr>
        <w:t xml:space="preserve"> </w:t>
      </w:r>
      <w:r w:rsidRPr="00E14879">
        <w:rPr>
          <w:rFonts w:asciiTheme="minorHAnsi" w:hAnsiTheme="minorHAnsi" w:cstheme="minorHAnsi"/>
        </w:rPr>
        <w:t>and</w:t>
      </w:r>
      <w:r w:rsidRPr="00E14879">
        <w:rPr>
          <w:rFonts w:asciiTheme="minorHAnsi" w:hAnsiTheme="minorHAnsi" w:cstheme="minorHAnsi"/>
          <w:spacing w:val="-2"/>
        </w:rPr>
        <w:t xml:space="preserve"> </w:t>
      </w:r>
      <w:proofErr w:type="gramStart"/>
      <w:r w:rsidRPr="00E14879">
        <w:rPr>
          <w:rFonts w:asciiTheme="minorHAnsi" w:hAnsiTheme="minorHAnsi" w:cstheme="minorHAnsi"/>
        </w:rPr>
        <w:t>should</w:t>
      </w:r>
      <w:r w:rsidRPr="00E14879">
        <w:rPr>
          <w:rFonts w:asciiTheme="minorHAnsi" w:hAnsiTheme="minorHAnsi" w:cstheme="minorHAnsi"/>
          <w:spacing w:val="-4"/>
        </w:rPr>
        <w:t xml:space="preserve"> </w:t>
      </w:r>
      <w:r w:rsidRPr="00E14879">
        <w:rPr>
          <w:rFonts w:asciiTheme="minorHAnsi" w:hAnsiTheme="minorHAnsi" w:cstheme="minorHAnsi"/>
        </w:rPr>
        <w:t>not</w:t>
      </w:r>
      <w:r w:rsidRPr="00E14879">
        <w:rPr>
          <w:rFonts w:asciiTheme="minorHAnsi" w:hAnsiTheme="minorHAnsi" w:cstheme="minorHAnsi"/>
          <w:spacing w:val="-1"/>
        </w:rPr>
        <w:t xml:space="preserve"> </w:t>
      </w:r>
      <w:r w:rsidRPr="00E14879">
        <w:rPr>
          <w:rFonts w:asciiTheme="minorHAnsi" w:hAnsiTheme="minorHAnsi" w:cstheme="minorHAnsi"/>
        </w:rPr>
        <w:t>to</w:t>
      </w:r>
      <w:proofErr w:type="gramEnd"/>
      <w:r w:rsidRPr="00E14879">
        <w:rPr>
          <w:rFonts w:asciiTheme="minorHAnsi" w:hAnsiTheme="minorHAnsi" w:cstheme="minorHAnsi"/>
          <w:spacing w:val="-3"/>
        </w:rPr>
        <w:t xml:space="preserve"> </w:t>
      </w:r>
      <w:r w:rsidRPr="00E14879">
        <w:rPr>
          <w:rFonts w:asciiTheme="minorHAnsi" w:hAnsiTheme="minorHAnsi" w:cstheme="minorHAnsi"/>
        </w:rPr>
        <w:t>be</w:t>
      </w:r>
      <w:r w:rsidRPr="00E14879">
        <w:rPr>
          <w:rFonts w:asciiTheme="minorHAnsi" w:hAnsiTheme="minorHAnsi" w:cstheme="minorHAnsi"/>
          <w:spacing w:val="-1"/>
        </w:rPr>
        <w:t xml:space="preserve"> </w:t>
      </w:r>
      <w:proofErr w:type="spellStart"/>
      <w:r w:rsidRPr="00E14879">
        <w:rPr>
          <w:rFonts w:asciiTheme="minorHAnsi" w:hAnsiTheme="minorHAnsi" w:cstheme="minorHAnsi"/>
        </w:rPr>
        <w:t>jeopardised</w:t>
      </w:r>
      <w:proofErr w:type="spellEnd"/>
      <w:r w:rsidRPr="00E14879">
        <w:rPr>
          <w:rFonts w:asciiTheme="minorHAnsi" w:hAnsiTheme="minorHAnsi" w:cstheme="minorHAnsi"/>
          <w:spacing w:val="-2"/>
        </w:rPr>
        <w:t xml:space="preserve"> </w:t>
      </w:r>
      <w:r w:rsidRPr="00E14879">
        <w:rPr>
          <w:rFonts w:asciiTheme="minorHAnsi" w:hAnsiTheme="minorHAnsi" w:cstheme="minorHAnsi"/>
        </w:rPr>
        <w:t>in</w:t>
      </w:r>
      <w:r w:rsidRPr="00E14879">
        <w:rPr>
          <w:rFonts w:asciiTheme="minorHAnsi" w:hAnsiTheme="minorHAnsi" w:cstheme="minorHAnsi"/>
          <w:spacing w:val="-3"/>
        </w:rPr>
        <w:t xml:space="preserve"> </w:t>
      </w:r>
      <w:r w:rsidRPr="00E14879">
        <w:rPr>
          <w:rFonts w:asciiTheme="minorHAnsi" w:hAnsiTheme="minorHAnsi" w:cstheme="minorHAnsi"/>
        </w:rPr>
        <w:t>any</w:t>
      </w:r>
      <w:r w:rsidRPr="00E14879">
        <w:rPr>
          <w:rFonts w:asciiTheme="minorHAnsi" w:hAnsiTheme="minorHAnsi" w:cstheme="minorHAnsi"/>
          <w:spacing w:val="-1"/>
        </w:rPr>
        <w:t xml:space="preserve"> </w:t>
      </w:r>
      <w:r w:rsidRPr="00E14879">
        <w:rPr>
          <w:rFonts w:asciiTheme="minorHAnsi" w:hAnsiTheme="minorHAnsi" w:cstheme="minorHAnsi"/>
        </w:rPr>
        <w:t>respect.</w:t>
      </w:r>
    </w:p>
    <w:p w14:paraId="32B38431" w14:textId="77777777" w:rsidR="00665A13" w:rsidRPr="00E14879" w:rsidRDefault="00665A13" w:rsidP="00E14879">
      <w:pPr>
        <w:pStyle w:val="BodyText"/>
        <w:spacing w:before="1" w:after="200"/>
        <w:ind w:left="425" w:right="-28"/>
        <w:jc w:val="both"/>
        <w:rPr>
          <w:rFonts w:asciiTheme="minorHAnsi" w:hAnsiTheme="minorHAnsi" w:cstheme="minorHAnsi"/>
        </w:rPr>
      </w:pPr>
      <w:r w:rsidRPr="00E14879">
        <w:rPr>
          <w:rFonts w:asciiTheme="minorHAnsi" w:hAnsiTheme="minorHAnsi" w:cstheme="minorHAnsi"/>
        </w:rPr>
        <w:t>Any further development of the site should result in a redevelopment which complements and respects the Royal George Hotel and does not detract from the building, its unique features or the surrounding area. Development on the site must integrate as seamlessly as possible</w:t>
      </w:r>
      <w:r w:rsidRPr="00E14879">
        <w:rPr>
          <w:rFonts w:asciiTheme="minorHAnsi" w:hAnsiTheme="minorHAnsi" w:cstheme="minorHAnsi"/>
          <w:spacing w:val="-9"/>
        </w:rPr>
        <w:t xml:space="preserve"> </w:t>
      </w:r>
      <w:r w:rsidRPr="00E14879">
        <w:rPr>
          <w:rFonts w:asciiTheme="minorHAnsi" w:hAnsiTheme="minorHAnsi" w:cstheme="minorHAnsi"/>
        </w:rPr>
        <w:t>(in</w:t>
      </w:r>
      <w:r w:rsidRPr="00E14879">
        <w:rPr>
          <w:rFonts w:asciiTheme="minorHAnsi" w:hAnsiTheme="minorHAnsi" w:cstheme="minorHAnsi"/>
          <w:spacing w:val="-9"/>
        </w:rPr>
        <w:t xml:space="preserve"> </w:t>
      </w:r>
      <w:r w:rsidRPr="00E14879">
        <w:rPr>
          <w:rFonts w:asciiTheme="minorHAnsi" w:hAnsiTheme="minorHAnsi" w:cstheme="minorHAnsi"/>
        </w:rPr>
        <w:t>all</w:t>
      </w:r>
      <w:r w:rsidRPr="00E14879">
        <w:rPr>
          <w:rFonts w:asciiTheme="minorHAnsi" w:hAnsiTheme="minorHAnsi" w:cstheme="minorHAnsi"/>
          <w:spacing w:val="-6"/>
        </w:rPr>
        <w:t xml:space="preserve"> </w:t>
      </w:r>
      <w:r w:rsidRPr="00E14879">
        <w:rPr>
          <w:rFonts w:asciiTheme="minorHAnsi" w:hAnsiTheme="minorHAnsi" w:cstheme="minorHAnsi"/>
        </w:rPr>
        <w:t>aspects</w:t>
      </w:r>
      <w:r w:rsidRPr="00E14879">
        <w:rPr>
          <w:rFonts w:asciiTheme="minorHAnsi" w:hAnsiTheme="minorHAnsi" w:cstheme="minorHAnsi"/>
          <w:spacing w:val="-13"/>
        </w:rPr>
        <w:t xml:space="preserve"> </w:t>
      </w:r>
      <w:r w:rsidRPr="00E14879">
        <w:rPr>
          <w:rFonts w:asciiTheme="minorHAnsi" w:hAnsiTheme="minorHAnsi" w:cstheme="minorHAnsi"/>
        </w:rPr>
        <w:t>of</w:t>
      </w:r>
      <w:r w:rsidRPr="00E14879">
        <w:rPr>
          <w:rFonts w:asciiTheme="minorHAnsi" w:hAnsiTheme="minorHAnsi" w:cstheme="minorHAnsi"/>
          <w:spacing w:val="-10"/>
        </w:rPr>
        <w:t xml:space="preserve"> </w:t>
      </w:r>
      <w:r w:rsidRPr="00E14879">
        <w:rPr>
          <w:rFonts w:asciiTheme="minorHAnsi" w:hAnsiTheme="minorHAnsi" w:cstheme="minorHAnsi"/>
        </w:rPr>
        <w:t>operation,</w:t>
      </w:r>
      <w:r w:rsidRPr="00E14879">
        <w:rPr>
          <w:rFonts w:asciiTheme="minorHAnsi" w:hAnsiTheme="minorHAnsi" w:cstheme="minorHAnsi"/>
          <w:spacing w:val="-8"/>
        </w:rPr>
        <w:t xml:space="preserve"> </w:t>
      </w:r>
      <w:r w:rsidRPr="00E14879">
        <w:rPr>
          <w:rFonts w:asciiTheme="minorHAnsi" w:hAnsiTheme="minorHAnsi" w:cstheme="minorHAnsi"/>
        </w:rPr>
        <w:t>parking</w:t>
      </w:r>
      <w:r w:rsidRPr="00E14879">
        <w:rPr>
          <w:rFonts w:asciiTheme="minorHAnsi" w:hAnsiTheme="minorHAnsi" w:cstheme="minorHAnsi"/>
          <w:spacing w:val="-8"/>
        </w:rPr>
        <w:t xml:space="preserve"> </w:t>
      </w:r>
      <w:r w:rsidRPr="00E14879">
        <w:rPr>
          <w:rFonts w:asciiTheme="minorHAnsi" w:hAnsiTheme="minorHAnsi" w:cstheme="minorHAnsi"/>
        </w:rPr>
        <w:t>and</w:t>
      </w:r>
      <w:r w:rsidRPr="00E14879">
        <w:rPr>
          <w:rFonts w:asciiTheme="minorHAnsi" w:hAnsiTheme="minorHAnsi" w:cstheme="minorHAnsi"/>
          <w:spacing w:val="-7"/>
        </w:rPr>
        <w:t xml:space="preserve"> </w:t>
      </w:r>
      <w:r w:rsidRPr="00E14879">
        <w:rPr>
          <w:rFonts w:asciiTheme="minorHAnsi" w:hAnsiTheme="minorHAnsi" w:cstheme="minorHAnsi"/>
        </w:rPr>
        <w:t>land</w:t>
      </w:r>
      <w:r w:rsidRPr="00E14879">
        <w:rPr>
          <w:rFonts w:asciiTheme="minorHAnsi" w:hAnsiTheme="minorHAnsi" w:cstheme="minorHAnsi"/>
          <w:spacing w:val="-11"/>
        </w:rPr>
        <w:t xml:space="preserve"> </w:t>
      </w:r>
      <w:r w:rsidRPr="00E14879">
        <w:rPr>
          <w:rFonts w:asciiTheme="minorHAnsi" w:hAnsiTheme="minorHAnsi" w:cstheme="minorHAnsi"/>
        </w:rPr>
        <w:t>use)</w:t>
      </w:r>
      <w:r w:rsidRPr="00E14879">
        <w:rPr>
          <w:rFonts w:asciiTheme="minorHAnsi" w:hAnsiTheme="minorHAnsi" w:cstheme="minorHAnsi"/>
          <w:spacing w:val="-9"/>
        </w:rPr>
        <w:t xml:space="preserve"> </w:t>
      </w:r>
      <w:r w:rsidRPr="00E14879">
        <w:rPr>
          <w:rFonts w:asciiTheme="minorHAnsi" w:hAnsiTheme="minorHAnsi" w:cstheme="minorHAnsi"/>
        </w:rPr>
        <w:t>with</w:t>
      </w:r>
      <w:r w:rsidRPr="00E14879">
        <w:rPr>
          <w:rFonts w:asciiTheme="minorHAnsi" w:hAnsiTheme="minorHAnsi" w:cstheme="minorHAnsi"/>
          <w:spacing w:val="-7"/>
        </w:rPr>
        <w:t xml:space="preserve"> </w:t>
      </w:r>
      <w:r w:rsidRPr="00E14879">
        <w:rPr>
          <w:rFonts w:asciiTheme="minorHAnsi" w:hAnsiTheme="minorHAnsi" w:cstheme="minorHAnsi"/>
        </w:rPr>
        <w:t>the</w:t>
      </w:r>
      <w:r w:rsidRPr="00E14879">
        <w:rPr>
          <w:rFonts w:asciiTheme="minorHAnsi" w:hAnsiTheme="minorHAnsi" w:cstheme="minorHAnsi"/>
          <w:spacing w:val="-8"/>
        </w:rPr>
        <w:t xml:space="preserve"> </w:t>
      </w:r>
      <w:r w:rsidRPr="00E14879">
        <w:rPr>
          <w:rFonts w:asciiTheme="minorHAnsi" w:hAnsiTheme="minorHAnsi" w:cstheme="minorHAnsi"/>
        </w:rPr>
        <w:t>surrounding</w:t>
      </w:r>
      <w:r w:rsidRPr="00E14879">
        <w:rPr>
          <w:rFonts w:asciiTheme="minorHAnsi" w:hAnsiTheme="minorHAnsi" w:cstheme="minorHAnsi"/>
          <w:spacing w:val="-7"/>
        </w:rPr>
        <w:t xml:space="preserve"> </w:t>
      </w:r>
      <w:r w:rsidRPr="00E14879">
        <w:rPr>
          <w:rFonts w:asciiTheme="minorHAnsi" w:hAnsiTheme="minorHAnsi" w:cstheme="minorHAnsi"/>
        </w:rPr>
        <w:t>established low scale residential area and be able to adequately address the considerable challenges pertaining to this relatively small and irregular-shaped</w:t>
      </w:r>
      <w:r w:rsidRPr="00E14879">
        <w:rPr>
          <w:rFonts w:asciiTheme="minorHAnsi" w:hAnsiTheme="minorHAnsi" w:cstheme="minorHAnsi"/>
          <w:spacing w:val="-12"/>
        </w:rPr>
        <w:t xml:space="preserve"> </w:t>
      </w:r>
      <w:r w:rsidRPr="00E14879">
        <w:rPr>
          <w:rFonts w:asciiTheme="minorHAnsi" w:hAnsiTheme="minorHAnsi" w:cstheme="minorHAnsi"/>
        </w:rPr>
        <w:t>site.</w:t>
      </w:r>
    </w:p>
    <w:p w14:paraId="2BE328CA" w14:textId="77777777" w:rsidR="00665A13" w:rsidRPr="00E14879" w:rsidRDefault="00665A13" w:rsidP="00E14879">
      <w:pPr>
        <w:pStyle w:val="BodyText"/>
        <w:spacing w:after="200"/>
        <w:ind w:left="425" w:right="-28"/>
        <w:jc w:val="both"/>
        <w:rPr>
          <w:rFonts w:asciiTheme="minorHAnsi" w:hAnsiTheme="minorHAnsi" w:cstheme="minorHAnsi"/>
        </w:rPr>
      </w:pPr>
      <w:r w:rsidRPr="00E14879">
        <w:rPr>
          <w:rFonts w:asciiTheme="minorHAnsi" w:hAnsiTheme="minorHAnsi" w:cstheme="minorHAnsi"/>
        </w:rPr>
        <w:t>Development is to meet the high standards of planning and design required by the Town for a development outcome worthy of the site, the heritage building, the George Street Heritage Area and the historic Plympton Precinct and which respects the character and appeal of the area that has been preserved by the Town.</w:t>
      </w:r>
    </w:p>
    <w:p w14:paraId="44A090D1" w14:textId="77777777" w:rsidR="00665A13" w:rsidRPr="00E14879" w:rsidRDefault="00665A13" w:rsidP="00E14879">
      <w:pPr>
        <w:pStyle w:val="BodyText"/>
        <w:spacing w:after="200"/>
        <w:ind w:left="425" w:right="-28"/>
        <w:jc w:val="both"/>
        <w:rPr>
          <w:rFonts w:asciiTheme="minorHAnsi" w:hAnsiTheme="minorHAnsi" w:cstheme="minorHAnsi"/>
        </w:rPr>
      </w:pPr>
      <w:r w:rsidRPr="00E14879">
        <w:rPr>
          <w:rFonts w:asciiTheme="minorHAnsi" w:hAnsiTheme="minorHAnsi" w:cstheme="minorHAnsi"/>
        </w:rPr>
        <w:t>Notwithstanding any other requirement of this local planning policy and further to the objectives</w:t>
      </w:r>
      <w:r w:rsidRPr="00E14879">
        <w:rPr>
          <w:rFonts w:asciiTheme="minorHAnsi" w:hAnsiTheme="minorHAnsi" w:cstheme="minorHAnsi"/>
          <w:spacing w:val="-7"/>
        </w:rPr>
        <w:t xml:space="preserve"> </w:t>
      </w:r>
      <w:r w:rsidRPr="00E14879">
        <w:rPr>
          <w:rFonts w:asciiTheme="minorHAnsi" w:hAnsiTheme="minorHAnsi" w:cstheme="minorHAnsi"/>
        </w:rPr>
        <w:t>and</w:t>
      </w:r>
      <w:r w:rsidRPr="00E14879">
        <w:rPr>
          <w:rFonts w:asciiTheme="minorHAnsi" w:hAnsiTheme="minorHAnsi" w:cstheme="minorHAnsi"/>
          <w:spacing w:val="-9"/>
        </w:rPr>
        <w:t xml:space="preserve"> </w:t>
      </w:r>
      <w:r w:rsidRPr="00E14879">
        <w:rPr>
          <w:rFonts w:asciiTheme="minorHAnsi" w:hAnsiTheme="minorHAnsi" w:cstheme="minorHAnsi"/>
        </w:rPr>
        <w:t>other</w:t>
      </w:r>
      <w:r w:rsidRPr="00E14879">
        <w:rPr>
          <w:rFonts w:asciiTheme="minorHAnsi" w:hAnsiTheme="minorHAnsi" w:cstheme="minorHAnsi"/>
          <w:spacing w:val="-8"/>
        </w:rPr>
        <w:t xml:space="preserve"> </w:t>
      </w:r>
      <w:r w:rsidRPr="00E14879">
        <w:rPr>
          <w:rFonts w:asciiTheme="minorHAnsi" w:hAnsiTheme="minorHAnsi" w:cstheme="minorHAnsi"/>
        </w:rPr>
        <w:t>provisions</w:t>
      </w:r>
      <w:r w:rsidRPr="00E14879">
        <w:rPr>
          <w:rFonts w:asciiTheme="minorHAnsi" w:hAnsiTheme="minorHAnsi" w:cstheme="minorHAnsi"/>
          <w:spacing w:val="-10"/>
        </w:rPr>
        <w:t xml:space="preserve"> </w:t>
      </w:r>
      <w:r w:rsidRPr="00E14879">
        <w:rPr>
          <w:rFonts w:asciiTheme="minorHAnsi" w:hAnsiTheme="minorHAnsi" w:cstheme="minorHAnsi"/>
        </w:rPr>
        <w:t>of</w:t>
      </w:r>
      <w:r w:rsidRPr="00E14879">
        <w:rPr>
          <w:rFonts w:asciiTheme="minorHAnsi" w:hAnsiTheme="minorHAnsi" w:cstheme="minorHAnsi"/>
          <w:spacing w:val="-9"/>
        </w:rPr>
        <w:t xml:space="preserve"> </w:t>
      </w:r>
      <w:r w:rsidRPr="00E14879">
        <w:rPr>
          <w:rFonts w:asciiTheme="minorHAnsi" w:hAnsiTheme="minorHAnsi" w:cstheme="minorHAnsi"/>
        </w:rPr>
        <w:t>Local</w:t>
      </w:r>
      <w:r w:rsidRPr="00E14879">
        <w:rPr>
          <w:rFonts w:asciiTheme="minorHAnsi" w:hAnsiTheme="minorHAnsi" w:cstheme="minorHAnsi"/>
          <w:spacing w:val="-11"/>
        </w:rPr>
        <w:t xml:space="preserve"> </w:t>
      </w:r>
      <w:r w:rsidRPr="00E14879">
        <w:rPr>
          <w:rFonts w:asciiTheme="minorHAnsi" w:hAnsiTheme="minorHAnsi" w:cstheme="minorHAnsi"/>
        </w:rPr>
        <w:t>Planning</w:t>
      </w:r>
      <w:r w:rsidRPr="00E14879">
        <w:rPr>
          <w:rFonts w:asciiTheme="minorHAnsi" w:hAnsiTheme="minorHAnsi" w:cstheme="minorHAnsi"/>
          <w:spacing w:val="-8"/>
        </w:rPr>
        <w:t xml:space="preserve"> </w:t>
      </w:r>
      <w:r w:rsidRPr="00E14879">
        <w:rPr>
          <w:rFonts w:asciiTheme="minorHAnsi" w:hAnsiTheme="minorHAnsi" w:cstheme="minorHAnsi"/>
        </w:rPr>
        <w:t>Scheme</w:t>
      </w:r>
      <w:r w:rsidRPr="00E14879">
        <w:rPr>
          <w:rFonts w:asciiTheme="minorHAnsi" w:hAnsiTheme="minorHAnsi" w:cstheme="minorHAnsi"/>
          <w:spacing w:val="-8"/>
        </w:rPr>
        <w:t xml:space="preserve"> </w:t>
      </w:r>
      <w:r w:rsidRPr="00E14879">
        <w:rPr>
          <w:rFonts w:asciiTheme="minorHAnsi" w:hAnsiTheme="minorHAnsi" w:cstheme="minorHAnsi"/>
        </w:rPr>
        <w:t>No.</w:t>
      </w:r>
      <w:r w:rsidRPr="00E14879">
        <w:rPr>
          <w:rFonts w:asciiTheme="minorHAnsi" w:hAnsiTheme="minorHAnsi" w:cstheme="minorHAnsi"/>
          <w:spacing w:val="-9"/>
        </w:rPr>
        <w:t xml:space="preserve"> </w:t>
      </w:r>
      <w:r w:rsidRPr="00E14879">
        <w:rPr>
          <w:rFonts w:asciiTheme="minorHAnsi" w:hAnsiTheme="minorHAnsi" w:cstheme="minorHAnsi"/>
        </w:rPr>
        <w:t>3,</w:t>
      </w:r>
      <w:r w:rsidRPr="00E14879">
        <w:rPr>
          <w:rFonts w:asciiTheme="minorHAnsi" w:hAnsiTheme="minorHAnsi" w:cstheme="minorHAnsi"/>
          <w:spacing w:val="-8"/>
        </w:rPr>
        <w:t xml:space="preserve"> </w:t>
      </w:r>
      <w:r w:rsidRPr="00E14879">
        <w:rPr>
          <w:rFonts w:asciiTheme="minorHAnsi" w:hAnsiTheme="minorHAnsi" w:cstheme="minorHAnsi"/>
        </w:rPr>
        <w:t>the</w:t>
      </w:r>
      <w:r w:rsidRPr="00E14879">
        <w:rPr>
          <w:rFonts w:asciiTheme="minorHAnsi" w:hAnsiTheme="minorHAnsi" w:cstheme="minorHAnsi"/>
          <w:spacing w:val="-10"/>
        </w:rPr>
        <w:t xml:space="preserve"> </w:t>
      </w:r>
      <w:r w:rsidRPr="00E14879">
        <w:rPr>
          <w:rFonts w:asciiTheme="minorHAnsi" w:hAnsiTheme="minorHAnsi" w:cstheme="minorHAnsi"/>
        </w:rPr>
        <w:t>following</w:t>
      </w:r>
      <w:r w:rsidRPr="00E14879">
        <w:rPr>
          <w:rFonts w:asciiTheme="minorHAnsi" w:hAnsiTheme="minorHAnsi" w:cstheme="minorHAnsi"/>
          <w:spacing w:val="-11"/>
        </w:rPr>
        <w:t xml:space="preserve"> </w:t>
      </w:r>
      <w:r w:rsidRPr="00E14879">
        <w:rPr>
          <w:rFonts w:asciiTheme="minorHAnsi" w:hAnsiTheme="minorHAnsi" w:cstheme="minorHAnsi"/>
        </w:rPr>
        <w:t>applies</w:t>
      </w:r>
      <w:r w:rsidRPr="00E14879">
        <w:rPr>
          <w:rFonts w:asciiTheme="minorHAnsi" w:hAnsiTheme="minorHAnsi" w:cstheme="minorHAnsi"/>
          <w:spacing w:val="-6"/>
        </w:rPr>
        <w:t xml:space="preserve"> </w:t>
      </w:r>
      <w:r w:rsidRPr="00E14879">
        <w:rPr>
          <w:rFonts w:asciiTheme="minorHAnsi" w:hAnsiTheme="minorHAnsi" w:cstheme="minorHAnsi"/>
        </w:rPr>
        <w:t>to</w:t>
      </w:r>
      <w:r w:rsidRPr="00E14879">
        <w:rPr>
          <w:rFonts w:asciiTheme="minorHAnsi" w:hAnsiTheme="minorHAnsi" w:cstheme="minorHAnsi"/>
          <w:spacing w:val="-7"/>
        </w:rPr>
        <w:t xml:space="preserve"> </w:t>
      </w:r>
      <w:r w:rsidRPr="00E14879">
        <w:rPr>
          <w:rFonts w:asciiTheme="minorHAnsi" w:hAnsiTheme="minorHAnsi" w:cstheme="minorHAnsi"/>
        </w:rPr>
        <w:t>the Royal George Hotel</w:t>
      </w:r>
      <w:r w:rsidRPr="00E14879">
        <w:rPr>
          <w:rFonts w:asciiTheme="minorHAnsi" w:hAnsiTheme="minorHAnsi" w:cstheme="minorHAnsi"/>
          <w:spacing w:val="-4"/>
        </w:rPr>
        <w:t xml:space="preserve"> </w:t>
      </w:r>
      <w:r w:rsidRPr="00E14879">
        <w:rPr>
          <w:rFonts w:asciiTheme="minorHAnsi" w:hAnsiTheme="minorHAnsi" w:cstheme="minorHAnsi"/>
        </w:rPr>
        <w:t>site:</w:t>
      </w:r>
    </w:p>
    <w:p w14:paraId="5EE08E0C" w14:textId="77777777" w:rsidR="00665A13" w:rsidRPr="00E14879" w:rsidRDefault="00665A13" w:rsidP="00E14879">
      <w:pPr>
        <w:spacing w:after="0"/>
        <w:ind w:left="426"/>
        <w:rPr>
          <w:b/>
        </w:rPr>
      </w:pPr>
      <w:r w:rsidRPr="00E14879">
        <w:rPr>
          <w:b/>
        </w:rPr>
        <w:t>General Principles</w:t>
      </w:r>
    </w:p>
    <w:p w14:paraId="67B64051" w14:textId="77777777" w:rsidR="00665A13" w:rsidRPr="00E14879" w:rsidRDefault="00665A13" w:rsidP="00665A13">
      <w:pPr>
        <w:pStyle w:val="BodyText"/>
        <w:ind w:left="480"/>
        <w:jc w:val="both"/>
        <w:rPr>
          <w:rFonts w:asciiTheme="minorHAnsi" w:hAnsiTheme="minorHAnsi" w:cstheme="minorHAnsi"/>
        </w:rPr>
      </w:pPr>
      <w:r w:rsidRPr="00E14879">
        <w:rPr>
          <w:rFonts w:asciiTheme="minorHAnsi" w:hAnsiTheme="minorHAnsi" w:cstheme="minorHAnsi"/>
        </w:rPr>
        <w:t>Any new development proposed for this site should:</w:t>
      </w:r>
    </w:p>
    <w:p w14:paraId="55CE5B16" w14:textId="77777777" w:rsidR="00665A13" w:rsidRDefault="00E14879" w:rsidP="00E14879">
      <w:pPr>
        <w:widowControl w:val="0"/>
        <w:tabs>
          <w:tab w:val="left" w:pos="1199"/>
          <w:tab w:val="left" w:pos="1200"/>
        </w:tabs>
        <w:autoSpaceDE w:val="0"/>
        <w:autoSpaceDN w:val="0"/>
        <w:spacing w:after="60" w:line="240" w:lineRule="auto"/>
        <w:ind w:left="992" w:right="-29" w:hanging="510"/>
        <w:jc w:val="both"/>
      </w:pPr>
      <w:proofErr w:type="spellStart"/>
      <w:r>
        <w:t>i</w:t>
      </w:r>
      <w:proofErr w:type="spellEnd"/>
      <w:r>
        <w:t>.</w:t>
      </w:r>
      <w:r>
        <w:tab/>
      </w:r>
      <w:r w:rsidR="00665A13">
        <w:t>Be of appropriate height and scale in relation to the unique character and suburban setting of George Street, Duke Street and the wider Plympton</w:t>
      </w:r>
      <w:r w:rsidR="00665A13" w:rsidRPr="00E14879">
        <w:rPr>
          <w:spacing w:val="-17"/>
        </w:rPr>
        <w:t xml:space="preserve"> </w:t>
      </w:r>
      <w:r w:rsidR="00665A13">
        <w:t>Precinct.</w:t>
      </w:r>
    </w:p>
    <w:p w14:paraId="688937E7" w14:textId="77777777" w:rsidR="00665A13" w:rsidRDefault="00E14879" w:rsidP="00E14879">
      <w:pPr>
        <w:widowControl w:val="0"/>
        <w:tabs>
          <w:tab w:val="left" w:pos="1199"/>
          <w:tab w:val="left" w:pos="1200"/>
        </w:tabs>
        <w:autoSpaceDE w:val="0"/>
        <w:autoSpaceDN w:val="0"/>
        <w:spacing w:after="60" w:line="240" w:lineRule="auto"/>
        <w:ind w:left="992" w:right="-29" w:hanging="510"/>
        <w:jc w:val="both"/>
      </w:pPr>
      <w:r>
        <w:t>ii.</w:t>
      </w:r>
      <w:r>
        <w:tab/>
      </w:r>
      <w:r w:rsidR="00665A13">
        <w:t>Not dominate the surrounding suburban area or views from public vantage</w:t>
      </w:r>
      <w:r w:rsidR="00665A13" w:rsidRPr="00E14879">
        <w:rPr>
          <w:spacing w:val="-19"/>
        </w:rPr>
        <w:t xml:space="preserve"> </w:t>
      </w:r>
      <w:r w:rsidR="00665A13">
        <w:t>points.</w:t>
      </w:r>
    </w:p>
    <w:p w14:paraId="73327BBF" w14:textId="77777777" w:rsidR="00665A13" w:rsidRDefault="00E14879" w:rsidP="00E14879">
      <w:pPr>
        <w:widowControl w:val="0"/>
        <w:tabs>
          <w:tab w:val="left" w:pos="1200"/>
        </w:tabs>
        <w:autoSpaceDE w:val="0"/>
        <w:autoSpaceDN w:val="0"/>
        <w:spacing w:after="60" w:line="240" w:lineRule="auto"/>
        <w:ind w:left="992" w:right="-29" w:hanging="510"/>
        <w:jc w:val="both"/>
      </w:pPr>
      <w:r>
        <w:t>iii.</w:t>
      </w:r>
      <w:r>
        <w:tab/>
      </w:r>
      <w:r w:rsidR="00665A13">
        <w:t>Complement and not overwhelm the physical and visual built form context and streetscape of the George Street Heritage</w:t>
      </w:r>
      <w:r w:rsidR="00665A13" w:rsidRPr="00E14879">
        <w:rPr>
          <w:spacing w:val="-11"/>
        </w:rPr>
        <w:t xml:space="preserve"> </w:t>
      </w:r>
      <w:r w:rsidR="00665A13">
        <w:t>Area.</w:t>
      </w:r>
    </w:p>
    <w:p w14:paraId="72C23EA0" w14:textId="77777777" w:rsidR="00665A13" w:rsidRDefault="00E14879" w:rsidP="00E14879">
      <w:pPr>
        <w:widowControl w:val="0"/>
        <w:tabs>
          <w:tab w:val="left" w:pos="1201"/>
        </w:tabs>
        <w:autoSpaceDE w:val="0"/>
        <w:autoSpaceDN w:val="0"/>
        <w:spacing w:after="60" w:line="240" w:lineRule="auto"/>
        <w:ind w:left="992" w:right="-29" w:hanging="510"/>
        <w:jc w:val="both"/>
      </w:pPr>
      <w:r>
        <w:t>iv.</w:t>
      </w:r>
      <w:r>
        <w:tab/>
      </w:r>
      <w:r w:rsidR="00665A13">
        <w:t>Suitably address the interface with Stirling Highway, the Royal George Hotel, Duke Street and the Brush Factory</w:t>
      </w:r>
      <w:r w:rsidR="00665A13" w:rsidRPr="00E14879">
        <w:rPr>
          <w:spacing w:val="-4"/>
        </w:rPr>
        <w:t xml:space="preserve"> </w:t>
      </w:r>
      <w:r w:rsidR="00665A13">
        <w:t>building.</w:t>
      </w:r>
    </w:p>
    <w:p w14:paraId="20E9843A" w14:textId="77777777" w:rsidR="00665A13" w:rsidRDefault="00E14879" w:rsidP="00E14879">
      <w:pPr>
        <w:widowControl w:val="0"/>
        <w:tabs>
          <w:tab w:val="left" w:pos="1199"/>
          <w:tab w:val="left" w:pos="1200"/>
        </w:tabs>
        <w:autoSpaceDE w:val="0"/>
        <w:autoSpaceDN w:val="0"/>
        <w:spacing w:after="60" w:line="240" w:lineRule="auto"/>
        <w:ind w:left="992" w:right="-29" w:hanging="510"/>
        <w:jc w:val="both"/>
      </w:pPr>
      <w:r>
        <w:t>v.</w:t>
      </w:r>
      <w:r>
        <w:tab/>
      </w:r>
      <w:r w:rsidR="00665A13">
        <w:t>Mitigate potential overshadowing, wind tunnel, traffic, access, parking or noise impacts on existing residential dwellings in the</w:t>
      </w:r>
      <w:r w:rsidR="00665A13" w:rsidRPr="00E14879">
        <w:rPr>
          <w:spacing w:val="-5"/>
        </w:rPr>
        <w:t xml:space="preserve"> </w:t>
      </w:r>
      <w:r w:rsidR="00665A13">
        <w:t>vicinity.</w:t>
      </w:r>
    </w:p>
    <w:p w14:paraId="3982618A" w14:textId="77777777" w:rsidR="00665A13" w:rsidRPr="00B80816" w:rsidRDefault="00E14879" w:rsidP="00E14879">
      <w:pPr>
        <w:widowControl w:val="0"/>
        <w:tabs>
          <w:tab w:val="left" w:pos="1200"/>
        </w:tabs>
        <w:autoSpaceDE w:val="0"/>
        <w:autoSpaceDN w:val="0"/>
        <w:spacing w:line="240" w:lineRule="auto"/>
        <w:ind w:left="992" w:right="-28" w:hanging="510"/>
        <w:jc w:val="both"/>
      </w:pPr>
      <w:r>
        <w:t>vi.</w:t>
      </w:r>
      <w:r>
        <w:tab/>
      </w:r>
      <w:r w:rsidR="00665A13" w:rsidRPr="00B80816">
        <w:t>Integrate</w:t>
      </w:r>
      <w:r w:rsidR="00665A13" w:rsidRPr="00E14879">
        <w:rPr>
          <w:spacing w:val="-8"/>
        </w:rPr>
        <w:t xml:space="preserve"> </w:t>
      </w:r>
      <w:r w:rsidR="00665A13" w:rsidRPr="00B80816">
        <w:t>all</w:t>
      </w:r>
      <w:r w:rsidR="00665A13" w:rsidRPr="00E14879">
        <w:rPr>
          <w:spacing w:val="-9"/>
        </w:rPr>
        <w:t xml:space="preserve"> </w:t>
      </w:r>
      <w:r w:rsidR="00665A13" w:rsidRPr="00B80816">
        <w:t>roof</w:t>
      </w:r>
      <w:r w:rsidR="00665A13" w:rsidRPr="00E14879">
        <w:rPr>
          <w:spacing w:val="-10"/>
        </w:rPr>
        <w:t xml:space="preserve"> </w:t>
      </w:r>
      <w:r w:rsidR="00665A13" w:rsidRPr="00B80816">
        <w:t>top</w:t>
      </w:r>
      <w:r w:rsidR="00665A13" w:rsidRPr="00E14879">
        <w:rPr>
          <w:spacing w:val="-7"/>
        </w:rPr>
        <w:t xml:space="preserve"> </w:t>
      </w:r>
      <w:r w:rsidR="00665A13" w:rsidRPr="00B80816">
        <w:t>plant</w:t>
      </w:r>
      <w:r w:rsidR="00665A13" w:rsidRPr="00E14879">
        <w:rPr>
          <w:spacing w:val="-11"/>
        </w:rPr>
        <w:t xml:space="preserve"> </w:t>
      </w:r>
      <w:r w:rsidR="00665A13" w:rsidRPr="00B80816">
        <w:t>and</w:t>
      </w:r>
      <w:r w:rsidR="00665A13" w:rsidRPr="00E14879">
        <w:rPr>
          <w:spacing w:val="-8"/>
        </w:rPr>
        <w:t xml:space="preserve"> </w:t>
      </w:r>
      <w:r w:rsidR="00665A13" w:rsidRPr="00B80816">
        <w:t>equipment</w:t>
      </w:r>
      <w:r w:rsidR="00665A13" w:rsidRPr="00E14879">
        <w:rPr>
          <w:spacing w:val="-9"/>
        </w:rPr>
        <w:t xml:space="preserve"> </w:t>
      </w:r>
      <w:r w:rsidR="00665A13" w:rsidRPr="00B80816">
        <w:t>associated</w:t>
      </w:r>
      <w:r w:rsidR="00665A13" w:rsidRPr="00E14879">
        <w:rPr>
          <w:spacing w:val="-10"/>
        </w:rPr>
        <w:t xml:space="preserve"> </w:t>
      </w:r>
      <w:r w:rsidR="00665A13" w:rsidRPr="00B80816">
        <w:t>with</w:t>
      </w:r>
      <w:r w:rsidR="00665A13" w:rsidRPr="00E14879">
        <w:rPr>
          <w:spacing w:val="-9"/>
        </w:rPr>
        <w:t xml:space="preserve"> </w:t>
      </w:r>
      <w:r w:rsidR="00665A13" w:rsidRPr="00B80816">
        <w:t>development</w:t>
      </w:r>
      <w:r w:rsidR="00665A13" w:rsidRPr="00E14879">
        <w:rPr>
          <w:spacing w:val="-8"/>
        </w:rPr>
        <w:t xml:space="preserve"> </w:t>
      </w:r>
      <w:r w:rsidR="00665A13" w:rsidRPr="00B80816">
        <w:t>at</w:t>
      </w:r>
      <w:r w:rsidR="00665A13" w:rsidRPr="00E14879">
        <w:rPr>
          <w:spacing w:val="-7"/>
        </w:rPr>
        <w:t xml:space="preserve"> </w:t>
      </w:r>
      <w:r w:rsidR="00665A13" w:rsidRPr="00B80816">
        <w:t>the</w:t>
      </w:r>
      <w:r w:rsidR="00665A13" w:rsidRPr="00E14879">
        <w:rPr>
          <w:spacing w:val="-7"/>
        </w:rPr>
        <w:t xml:space="preserve"> </w:t>
      </w:r>
      <w:r w:rsidR="00665A13" w:rsidRPr="00B80816">
        <w:t>rear</w:t>
      </w:r>
      <w:r w:rsidR="00665A13" w:rsidRPr="00E14879">
        <w:rPr>
          <w:spacing w:val="-8"/>
        </w:rPr>
        <w:t xml:space="preserve"> </w:t>
      </w:r>
      <w:r w:rsidR="00665A13" w:rsidRPr="00B80816">
        <w:t>of</w:t>
      </w:r>
      <w:r w:rsidR="00665A13" w:rsidRPr="00E14879">
        <w:rPr>
          <w:spacing w:val="-7"/>
        </w:rPr>
        <w:t xml:space="preserve"> </w:t>
      </w:r>
      <w:r w:rsidR="00665A13" w:rsidRPr="00B80816">
        <w:t xml:space="preserve">the Royal </w:t>
      </w:r>
      <w:r w:rsidR="00665A13" w:rsidRPr="00B80816">
        <w:lastRenderedPageBreak/>
        <w:t>George Hotel within the architecture of the building so it is screened from public view and does not interfere with or obstruct views of the Royal George Hotel and /or the Hotel</w:t>
      </w:r>
      <w:r w:rsidR="00665A13" w:rsidRPr="00E14879">
        <w:rPr>
          <w:spacing w:val="-3"/>
        </w:rPr>
        <w:t xml:space="preserve"> </w:t>
      </w:r>
      <w:r w:rsidR="00665A13" w:rsidRPr="00B80816">
        <w:t>cupola.</w:t>
      </w:r>
    </w:p>
    <w:p w14:paraId="59E4B503" w14:textId="77777777" w:rsidR="00665A13" w:rsidRPr="00E14879" w:rsidRDefault="00665A13" w:rsidP="00E14879">
      <w:pPr>
        <w:spacing w:after="0"/>
        <w:ind w:left="426"/>
        <w:rPr>
          <w:b/>
        </w:rPr>
      </w:pPr>
      <w:r w:rsidRPr="00E14879">
        <w:rPr>
          <w:b/>
        </w:rPr>
        <w:t>Building Mass and Form</w:t>
      </w:r>
    </w:p>
    <w:p w14:paraId="360111AD" w14:textId="77777777" w:rsidR="00665A13" w:rsidRPr="00B80816" w:rsidRDefault="00665A13" w:rsidP="002A3889">
      <w:pPr>
        <w:pStyle w:val="ListParagraph"/>
        <w:widowControl w:val="0"/>
        <w:numPr>
          <w:ilvl w:val="0"/>
          <w:numId w:val="410"/>
        </w:numPr>
        <w:tabs>
          <w:tab w:val="left" w:pos="1199"/>
          <w:tab w:val="left" w:pos="1200"/>
          <w:tab w:val="left" w:pos="9072"/>
        </w:tabs>
        <w:autoSpaceDE w:val="0"/>
        <w:autoSpaceDN w:val="0"/>
        <w:spacing w:after="60" w:line="240" w:lineRule="auto"/>
        <w:ind w:right="-29"/>
        <w:contextualSpacing w:val="0"/>
        <w:jc w:val="both"/>
      </w:pPr>
      <w:r>
        <w:t>The building envelope (height and setbacks) and overall design for any form of development on the rear of the Royal George Hotel site is to ensure that the new development is not to adversely affect the visual presence and the prominence of the Royal George Hotel building and its s</w:t>
      </w:r>
      <w:r w:rsidRPr="00B80816">
        <w:t>ignificant architectural</w:t>
      </w:r>
      <w:r w:rsidRPr="00B80816">
        <w:rPr>
          <w:spacing w:val="-7"/>
        </w:rPr>
        <w:t xml:space="preserve"> </w:t>
      </w:r>
      <w:r w:rsidRPr="00B80816">
        <w:t>features.</w:t>
      </w:r>
    </w:p>
    <w:p w14:paraId="620FEEAA" w14:textId="77777777" w:rsidR="00665A13" w:rsidRPr="00B80816" w:rsidRDefault="00665A13" w:rsidP="002A3889">
      <w:pPr>
        <w:pStyle w:val="ListParagraph"/>
        <w:widowControl w:val="0"/>
        <w:numPr>
          <w:ilvl w:val="0"/>
          <w:numId w:val="410"/>
        </w:numPr>
        <w:tabs>
          <w:tab w:val="left" w:pos="1199"/>
          <w:tab w:val="left" w:pos="1200"/>
          <w:tab w:val="left" w:pos="9072"/>
        </w:tabs>
        <w:autoSpaceDE w:val="0"/>
        <w:autoSpaceDN w:val="0"/>
        <w:spacing w:after="60" w:line="240" w:lineRule="auto"/>
        <w:ind w:left="1199" w:right="-29"/>
        <w:contextualSpacing w:val="0"/>
        <w:jc w:val="both"/>
      </w:pPr>
      <w:r w:rsidRPr="00B80816">
        <w:t xml:space="preserve">For any portion of new development that extends above the height of the eaves of the existing Royal George Hotel building, it is preferred that the building setback should increase/step back from Duke Street and the Royal George Hotel </w:t>
      </w:r>
      <w:proofErr w:type="gramStart"/>
      <w:r w:rsidRPr="00B80816">
        <w:t>in order to</w:t>
      </w:r>
      <w:proofErr w:type="gramEnd"/>
      <w:r w:rsidRPr="00B80816">
        <w:t xml:space="preserve"> maintain views of the Hotel’s cupola. This includes balconies and other</w:t>
      </w:r>
      <w:r w:rsidRPr="00B80816">
        <w:rPr>
          <w:spacing w:val="-14"/>
        </w:rPr>
        <w:t xml:space="preserve"> </w:t>
      </w:r>
      <w:r w:rsidRPr="00B80816">
        <w:t>projections.</w:t>
      </w:r>
    </w:p>
    <w:p w14:paraId="1843E147" w14:textId="77777777" w:rsidR="00665A13" w:rsidRPr="00B80816" w:rsidRDefault="00665A13" w:rsidP="002A3889">
      <w:pPr>
        <w:pStyle w:val="ListParagraph"/>
        <w:widowControl w:val="0"/>
        <w:numPr>
          <w:ilvl w:val="0"/>
          <w:numId w:val="410"/>
        </w:numPr>
        <w:tabs>
          <w:tab w:val="left" w:pos="1200"/>
          <w:tab w:val="left" w:pos="9072"/>
        </w:tabs>
        <w:autoSpaceDE w:val="0"/>
        <w:autoSpaceDN w:val="0"/>
        <w:spacing w:after="60" w:line="240" w:lineRule="auto"/>
        <w:ind w:right="-29"/>
        <w:contextualSpacing w:val="0"/>
        <w:jc w:val="both"/>
      </w:pPr>
      <w:r w:rsidRPr="00B80816">
        <w:t xml:space="preserve">Roof top plant and equipment associated with development at the rear of </w:t>
      </w:r>
      <w:r w:rsidRPr="00703CDF">
        <w:rPr>
          <w:spacing w:val="-2"/>
        </w:rPr>
        <w:t xml:space="preserve">the </w:t>
      </w:r>
      <w:r w:rsidRPr="00B80816">
        <w:t>Royal George</w:t>
      </w:r>
      <w:r w:rsidRPr="00703CDF">
        <w:rPr>
          <w:spacing w:val="6"/>
        </w:rPr>
        <w:t xml:space="preserve"> </w:t>
      </w:r>
      <w:r w:rsidRPr="00B80816">
        <w:t>Hotel</w:t>
      </w:r>
      <w:r w:rsidRPr="00703CDF">
        <w:rPr>
          <w:spacing w:val="7"/>
        </w:rPr>
        <w:t xml:space="preserve"> </w:t>
      </w:r>
      <w:r w:rsidRPr="00B80816">
        <w:t>should</w:t>
      </w:r>
      <w:r w:rsidRPr="00703CDF">
        <w:rPr>
          <w:spacing w:val="7"/>
        </w:rPr>
        <w:t xml:space="preserve"> </w:t>
      </w:r>
      <w:r w:rsidRPr="00B80816">
        <w:t>not</w:t>
      </w:r>
      <w:r w:rsidRPr="00703CDF">
        <w:rPr>
          <w:spacing w:val="6"/>
        </w:rPr>
        <w:t xml:space="preserve"> </w:t>
      </w:r>
      <w:r w:rsidRPr="00B80816">
        <w:t>exceed</w:t>
      </w:r>
      <w:r w:rsidRPr="00703CDF">
        <w:rPr>
          <w:spacing w:val="7"/>
        </w:rPr>
        <w:t xml:space="preserve"> </w:t>
      </w:r>
      <w:r w:rsidRPr="00B80816">
        <w:t>the</w:t>
      </w:r>
      <w:r w:rsidRPr="00703CDF">
        <w:rPr>
          <w:spacing w:val="5"/>
        </w:rPr>
        <w:t xml:space="preserve"> </w:t>
      </w:r>
      <w:r w:rsidRPr="00B80816">
        <w:t>maximum</w:t>
      </w:r>
      <w:r w:rsidRPr="00703CDF">
        <w:rPr>
          <w:spacing w:val="8"/>
        </w:rPr>
        <w:t xml:space="preserve"> </w:t>
      </w:r>
      <w:r w:rsidRPr="00B80816">
        <w:t>building</w:t>
      </w:r>
      <w:r w:rsidRPr="00703CDF">
        <w:rPr>
          <w:spacing w:val="7"/>
        </w:rPr>
        <w:t xml:space="preserve"> </w:t>
      </w:r>
      <w:r w:rsidRPr="00B80816">
        <w:t>height</w:t>
      </w:r>
      <w:r w:rsidRPr="00703CDF">
        <w:rPr>
          <w:spacing w:val="10"/>
        </w:rPr>
        <w:t xml:space="preserve"> </w:t>
      </w:r>
      <w:r w:rsidRPr="00B80816">
        <w:t>for</w:t>
      </w:r>
      <w:r w:rsidRPr="00703CDF">
        <w:rPr>
          <w:spacing w:val="10"/>
        </w:rPr>
        <w:t xml:space="preserve"> </w:t>
      </w:r>
      <w:r w:rsidRPr="00B80816">
        <w:t>the</w:t>
      </w:r>
      <w:r w:rsidRPr="00703CDF">
        <w:rPr>
          <w:spacing w:val="6"/>
        </w:rPr>
        <w:t xml:space="preserve"> </w:t>
      </w:r>
      <w:r w:rsidRPr="00B80816">
        <w:t>site</w:t>
      </w:r>
      <w:r w:rsidRPr="00703CDF">
        <w:rPr>
          <w:spacing w:val="7"/>
        </w:rPr>
        <w:t xml:space="preserve"> </w:t>
      </w:r>
      <w:r w:rsidRPr="00B80816">
        <w:t>as</w:t>
      </w:r>
      <w:r w:rsidRPr="00703CDF">
        <w:rPr>
          <w:spacing w:val="7"/>
        </w:rPr>
        <w:t xml:space="preserve"> </w:t>
      </w:r>
      <w:r w:rsidRPr="00B80816">
        <w:t>prescribed</w:t>
      </w:r>
      <w:r>
        <w:t xml:space="preserve"> </w:t>
      </w:r>
      <w:r w:rsidRPr="00B80816">
        <w:t>in Local Planning Scheme No. 3 (i.e. 43.0m AHD) by more than 1.5m. If building height is less</w:t>
      </w:r>
      <w:r w:rsidRPr="00703CDF">
        <w:rPr>
          <w:spacing w:val="-4"/>
        </w:rPr>
        <w:t xml:space="preserve"> </w:t>
      </w:r>
      <w:r w:rsidRPr="00B80816">
        <w:t>than</w:t>
      </w:r>
      <w:r w:rsidRPr="00703CDF">
        <w:rPr>
          <w:spacing w:val="-7"/>
        </w:rPr>
        <w:t xml:space="preserve"> </w:t>
      </w:r>
      <w:r w:rsidRPr="00B80816">
        <w:t>43.0m</w:t>
      </w:r>
      <w:r w:rsidRPr="00703CDF">
        <w:rPr>
          <w:spacing w:val="-3"/>
        </w:rPr>
        <w:t xml:space="preserve"> </w:t>
      </w:r>
      <w:r w:rsidRPr="00B80816">
        <w:t>ADH</w:t>
      </w:r>
      <w:r w:rsidRPr="00703CDF">
        <w:rPr>
          <w:spacing w:val="-2"/>
        </w:rPr>
        <w:t xml:space="preserve"> </w:t>
      </w:r>
      <w:r w:rsidRPr="00B80816">
        <w:t>roof</w:t>
      </w:r>
      <w:r w:rsidRPr="00703CDF">
        <w:rPr>
          <w:spacing w:val="-5"/>
        </w:rPr>
        <w:t xml:space="preserve"> </w:t>
      </w:r>
      <w:r w:rsidRPr="00B80816">
        <w:t>top</w:t>
      </w:r>
      <w:r w:rsidRPr="00703CDF">
        <w:rPr>
          <w:spacing w:val="-4"/>
        </w:rPr>
        <w:t xml:space="preserve"> </w:t>
      </w:r>
      <w:r w:rsidRPr="00B80816">
        <w:t>plant</w:t>
      </w:r>
      <w:r w:rsidRPr="00703CDF">
        <w:rPr>
          <w:spacing w:val="-4"/>
        </w:rPr>
        <w:t xml:space="preserve"> </w:t>
      </w:r>
      <w:r w:rsidRPr="00B80816">
        <w:t>and</w:t>
      </w:r>
      <w:r w:rsidRPr="00703CDF">
        <w:rPr>
          <w:spacing w:val="-4"/>
        </w:rPr>
        <w:t xml:space="preserve"> </w:t>
      </w:r>
      <w:r w:rsidRPr="00B80816">
        <w:t>equipment</w:t>
      </w:r>
      <w:r w:rsidRPr="00703CDF">
        <w:rPr>
          <w:spacing w:val="-3"/>
        </w:rPr>
        <w:t xml:space="preserve"> </w:t>
      </w:r>
      <w:r w:rsidRPr="00B80816">
        <w:t>structures</w:t>
      </w:r>
      <w:r w:rsidRPr="00703CDF">
        <w:rPr>
          <w:spacing w:val="-4"/>
        </w:rPr>
        <w:t xml:space="preserve"> </w:t>
      </w:r>
      <w:r w:rsidRPr="00B80816">
        <w:t>should</w:t>
      </w:r>
      <w:r w:rsidRPr="00703CDF">
        <w:rPr>
          <w:spacing w:val="-4"/>
        </w:rPr>
        <w:t xml:space="preserve"> </w:t>
      </w:r>
      <w:r w:rsidRPr="00B80816">
        <w:t>not</w:t>
      </w:r>
      <w:r w:rsidRPr="00703CDF">
        <w:rPr>
          <w:spacing w:val="-8"/>
        </w:rPr>
        <w:t xml:space="preserve"> </w:t>
      </w:r>
      <w:r w:rsidRPr="00B80816">
        <w:t>exceed</w:t>
      </w:r>
      <w:r w:rsidRPr="00703CDF">
        <w:rPr>
          <w:spacing w:val="-8"/>
        </w:rPr>
        <w:t xml:space="preserve"> </w:t>
      </w:r>
      <w:r w:rsidRPr="00B80816">
        <w:t>the</w:t>
      </w:r>
      <w:r w:rsidRPr="00703CDF">
        <w:rPr>
          <w:spacing w:val="-4"/>
        </w:rPr>
        <w:t xml:space="preserve"> </w:t>
      </w:r>
      <w:r w:rsidRPr="00B80816">
        <w:t>roof height of the building by more than</w:t>
      </w:r>
      <w:r w:rsidRPr="00703CDF">
        <w:rPr>
          <w:spacing w:val="-4"/>
        </w:rPr>
        <w:t xml:space="preserve"> </w:t>
      </w:r>
      <w:r w:rsidRPr="00B80816">
        <w:t>1.5m.</w:t>
      </w:r>
    </w:p>
    <w:p w14:paraId="7F261B62" w14:textId="77777777" w:rsidR="00665A13" w:rsidRPr="00B80816" w:rsidRDefault="00665A13" w:rsidP="002A3889">
      <w:pPr>
        <w:pStyle w:val="ListParagraph"/>
        <w:widowControl w:val="0"/>
        <w:numPr>
          <w:ilvl w:val="0"/>
          <w:numId w:val="410"/>
        </w:numPr>
        <w:tabs>
          <w:tab w:val="left" w:pos="1201"/>
          <w:tab w:val="left" w:pos="9072"/>
        </w:tabs>
        <w:autoSpaceDE w:val="0"/>
        <w:autoSpaceDN w:val="0"/>
        <w:spacing w:after="60" w:line="237" w:lineRule="auto"/>
        <w:ind w:right="-29"/>
        <w:contextualSpacing w:val="0"/>
        <w:jc w:val="both"/>
      </w:pPr>
      <w:r w:rsidRPr="00B80816">
        <w:t>The preferred built form fronting Duke Street is residential and/or commercial tenancies, not car parking, a car park façade, storage or</w:t>
      </w:r>
      <w:r w:rsidRPr="00B80816">
        <w:rPr>
          <w:spacing w:val="-17"/>
        </w:rPr>
        <w:t xml:space="preserve"> </w:t>
      </w:r>
      <w:r w:rsidRPr="00B80816">
        <w:t>similar.</w:t>
      </w:r>
    </w:p>
    <w:p w14:paraId="73F58073" w14:textId="77777777" w:rsidR="00665A13" w:rsidRPr="00B80816" w:rsidRDefault="00665A13" w:rsidP="002A3889">
      <w:pPr>
        <w:pStyle w:val="ListParagraph"/>
        <w:widowControl w:val="0"/>
        <w:numPr>
          <w:ilvl w:val="0"/>
          <w:numId w:val="410"/>
        </w:numPr>
        <w:tabs>
          <w:tab w:val="left" w:pos="1199"/>
          <w:tab w:val="left" w:pos="1200"/>
        </w:tabs>
        <w:autoSpaceDE w:val="0"/>
        <w:autoSpaceDN w:val="0"/>
        <w:spacing w:before="2" w:line="240" w:lineRule="auto"/>
        <w:ind w:left="1202" w:right="-28"/>
        <w:contextualSpacing w:val="0"/>
        <w:jc w:val="both"/>
      </w:pPr>
      <w:r w:rsidRPr="00B80816">
        <w:t>It</w:t>
      </w:r>
      <w:r w:rsidRPr="00B80816">
        <w:rPr>
          <w:spacing w:val="-17"/>
        </w:rPr>
        <w:t xml:space="preserve"> </w:t>
      </w:r>
      <w:r w:rsidRPr="00B80816">
        <w:t>is</w:t>
      </w:r>
      <w:r w:rsidRPr="00B80816">
        <w:rPr>
          <w:spacing w:val="-14"/>
        </w:rPr>
        <w:t xml:space="preserve"> </w:t>
      </w:r>
      <w:r w:rsidRPr="00B80816">
        <w:t>considered</w:t>
      </w:r>
      <w:r w:rsidRPr="00B80816">
        <w:rPr>
          <w:spacing w:val="-16"/>
        </w:rPr>
        <w:t xml:space="preserve"> </w:t>
      </w:r>
      <w:r w:rsidRPr="00B80816">
        <w:t>highly</w:t>
      </w:r>
      <w:r w:rsidRPr="00B80816">
        <w:rPr>
          <w:spacing w:val="-16"/>
        </w:rPr>
        <w:t xml:space="preserve"> </w:t>
      </w:r>
      <w:r w:rsidRPr="00B80816">
        <w:t>desirable</w:t>
      </w:r>
      <w:r w:rsidRPr="00B80816">
        <w:rPr>
          <w:spacing w:val="-13"/>
        </w:rPr>
        <w:t xml:space="preserve"> </w:t>
      </w:r>
      <w:r w:rsidRPr="00B80816">
        <w:t>that</w:t>
      </w:r>
      <w:r w:rsidRPr="00B80816">
        <w:rPr>
          <w:spacing w:val="-17"/>
        </w:rPr>
        <w:t xml:space="preserve"> </w:t>
      </w:r>
      <w:r w:rsidRPr="00B80816">
        <w:t>any</w:t>
      </w:r>
      <w:r w:rsidRPr="00B80816">
        <w:rPr>
          <w:spacing w:val="-16"/>
        </w:rPr>
        <w:t xml:space="preserve"> </w:t>
      </w:r>
      <w:r w:rsidRPr="00B80816">
        <w:t>external</w:t>
      </w:r>
      <w:r w:rsidRPr="00B80816">
        <w:rPr>
          <w:spacing w:val="-16"/>
        </w:rPr>
        <w:t xml:space="preserve"> </w:t>
      </w:r>
      <w:r w:rsidRPr="00B80816">
        <w:t>services,</w:t>
      </w:r>
      <w:r w:rsidRPr="00B80816">
        <w:rPr>
          <w:spacing w:val="-13"/>
        </w:rPr>
        <w:t xml:space="preserve"> </w:t>
      </w:r>
      <w:r w:rsidRPr="00B80816">
        <w:t>solar</w:t>
      </w:r>
      <w:r w:rsidRPr="00B80816">
        <w:rPr>
          <w:spacing w:val="-18"/>
        </w:rPr>
        <w:t xml:space="preserve"> </w:t>
      </w:r>
      <w:r w:rsidRPr="00B80816">
        <w:t>collectors,</w:t>
      </w:r>
      <w:r w:rsidRPr="00B80816">
        <w:rPr>
          <w:spacing w:val="-15"/>
        </w:rPr>
        <w:t xml:space="preserve"> </w:t>
      </w:r>
      <w:r w:rsidRPr="00B80816">
        <w:t>air</w:t>
      </w:r>
      <w:r w:rsidRPr="00B80816">
        <w:rPr>
          <w:spacing w:val="-16"/>
        </w:rPr>
        <w:t xml:space="preserve"> </w:t>
      </w:r>
      <w:r w:rsidRPr="00B80816">
        <w:t>conditioning units, mechanical plant rooms, lift overruns, antennae and communication masts or the like</w:t>
      </w:r>
      <w:r w:rsidRPr="00B80816">
        <w:rPr>
          <w:strike/>
          <w:spacing w:val="-9"/>
        </w:rPr>
        <w:t xml:space="preserve"> </w:t>
      </w:r>
      <w:r w:rsidRPr="00B80816">
        <w:t>do</w:t>
      </w:r>
      <w:r w:rsidRPr="00B80816">
        <w:rPr>
          <w:spacing w:val="-7"/>
        </w:rPr>
        <w:t xml:space="preserve"> </w:t>
      </w:r>
      <w:r w:rsidRPr="00B80816">
        <w:t>not</w:t>
      </w:r>
      <w:r w:rsidRPr="00B80816">
        <w:rPr>
          <w:spacing w:val="-12"/>
        </w:rPr>
        <w:t xml:space="preserve"> </w:t>
      </w:r>
      <w:r w:rsidRPr="00B80816">
        <w:t>exceed</w:t>
      </w:r>
      <w:r w:rsidRPr="00B80816">
        <w:rPr>
          <w:spacing w:val="-11"/>
        </w:rPr>
        <w:t xml:space="preserve"> </w:t>
      </w:r>
      <w:r w:rsidRPr="00B80816">
        <w:t>the</w:t>
      </w:r>
      <w:r w:rsidRPr="00B80816">
        <w:rPr>
          <w:spacing w:val="-12"/>
        </w:rPr>
        <w:t xml:space="preserve"> </w:t>
      </w:r>
      <w:r w:rsidRPr="00B80816">
        <w:t>building</w:t>
      </w:r>
      <w:r w:rsidRPr="00B80816">
        <w:rPr>
          <w:spacing w:val="-10"/>
        </w:rPr>
        <w:t xml:space="preserve"> </w:t>
      </w:r>
      <w:r w:rsidRPr="00B80816">
        <w:t>envelope</w:t>
      </w:r>
      <w:r w:rsidRPr="00B80816">
        <w:rPr>
          <w:spacing w:val="-8"/>
        </w:rPr>
        <w:t xml:space="preserve"> </w:t>
      </w:r>
      <w:r w:rsidRPr="00B80816">
        <w:t>(height</w:t>
      </w:r>
      <w:r w:rsidRPr="00B80816">
        <w:rPr>
          <w:spacing w:val="-11"/>
        </w:rPr>
        <w:t xml:space="preserve"> </w:t>
      </w:r>
      <w:r w:rsidRPr="00B80816">
        <w:t>and</w:t>
      </w:r>
      <w:r w:rsidRPr="00B80816">
        <w:rPr>
          <w:spacing w:val="-10"/>
        </w:rPr>
        <w:t xml:space="preserve"> </w:t>
      </w:r>
      <w:r w:rsidRPr="00B80816">
        <w:t>setbacks)</w:t>
      </w:r>
      <w:r w:rsidRPr="00B80816">
        <w:rPr>
          <w:spacing w:val="-8"/>
        </w:rPr>
        <w:t xml:space="preserve"> </w:t>
      </w:r>
      <w:r w:rsidRPr="00B80816">
        <w:t>so</w:t>
      </w:r>
      <w:r w:rsidRPr="00B80816">
        <w:rPr>
          <w:spacing w:val="-10"/>
        </w:rPr>
        <w:t xml:space="preserve"> </w:t>
      </w:r>
      <w:r w:rsidRPr="00B80816">
        <w:t>the</w:t>
      </w:r>
      <w:r w:rsidRPr="00B80816">
        <w:rPr>
          <w:spacing w:val="-10"/>
        </w:rPr>
        <w:t xml:space="preserve"> </w:t>
      </w:r>
      <w:r w:rsidRPr="00B80816">
        <w:t>visual</w:t>
      </w:r>
      <w:r w:rsidRPr="00B80816">
        <w:rPr>
          <w:spacing w:val="-8"/>
        </w:rPr>
        <w:t xml:space="preserve"> </w:t>
      </w:r>
      <w:r w:rsidRPr="00B80816">
        <w:t>presence and prominence of the Royal George Hotel building and its significant architectural features are not diminished, visually obstructed or screened from view. These fixtures must be screened from public</w:t>
      </w:r>
      <w:r w:rsidRPr="00B80816">
        <w:rPr>
          <w:spacing w:val="1"/>
        </w:rPr>
        <w:t xml:space="preserve"> </w:t>
      </w:r>
      <w:r w:rsidRPr="00B80816">
        <w:t>view.</w:t>
      </w:r>
    </w:p>
    <w:p w14:paraId="2C4DB3BD" w14:textId="77777777" w:rsidR="00665A13" w:rsidRPr="0047584C" w:rsidRDefault="00665A13" w:rsidP="0047584C">
      <w:pPr>
        <w:spacing w:after="0"/>
        <w:ind w:left="426"/>
        <w:rPr>
          <w:b/>
        </w:rPr>
      </w:pPr>
      <w:proofErr w:type="spellStart"/>
      <w:r w:rsidRPr="0047584C">
        <w:rPr>
          <w:b/>
        </w:rPr>
        <w:t>Access</w:t>
      </w:r>
      <w:r w:rsidR="0047584C" w:rsidRPr="0047584C">
        <w:rPr>
          <w:rFonts w:cstheme="minorHAnsi"/>
        </w:rPr>
        <w:t>r</w:t>
      </w:r>
      <w:proofErr w:type="spellEnd"/>
    </w:p>
    <w:p w14:paraId="3BF52C28" w14:textId="77777777" w:rsidR="00665A13" w:rsidRPr="0047584C" w:rsidRDefault="00665A13" w:rsidP="0047584C">
      <w:pPr>
        <w:pStyle w:val="BodyText"/>
        <w:tabs>
          <w:tab w:val="left" w:pos="1199"/>
        </w:tabs>
        <w:spacing w:after="200"/>
        <w:ind w:left="1134" w:right="-29" w:hanging="654"/>
        <w:jc w:val="both"/>
        <w:rPr>
          <w:rFonts w:asciiTheme="minorHAnsi" w:hAnsiTheme="minorHAnsi" w:cstheme="minorHAnsi"/>
        </w:rPr>
      </w:pPr>
      <w:proofErr w:type="spellStart"/>
      <w:r w:rsidRPr="00B80816">
        <w:t>i</w:t>
      </w:r>
      <w:proofErr w:type="spellEnd"/>
      <w:r w:rsidRPr="00B80816">
        <w:t>.</w:t>
      </w:r>
      <w:r w:rsidRPr="00B80816">
        <w:tab/>
      </w:r>
      <w:r w:rsidRPr="0047584C">
        <w:rPr>
          <w:rFonts w:asciiTheme="minorHAnsi" w:hAnsiTheme="minorHAnsi" w:cstheme="minorHAnsi"/>
        </w:rPr>
        <w:t>Only one vehicular access point to or from Duke</w:t>
      </w:r>
      <w:r w:rsidRPr="0047584C">
        <w:rPr>
          <w:rFonts w:asciiTheme="minorHAnsi" w:hAnsiTheme="minorHAnsi" w:cstheme="minorHAnsi"/>
          <w:spacing w:val="-23"/>
        </w:rPr>
        <w:t xml:space="preserve"> </w:t>
      </w:r>
      <w:r w:rsidRPr="0047584C">
        <w:rPr>
          <w:rFonts w:asciiTheme="minorHAnsi" w:hAnsiTheme="minorHAnsi" w:cstheme="minorHAnsi"/>
        </w:rPr>
        <w:t>Street to any new development is</w:t>
      </w:r>
      <w:r w:rsidR="0047584C">
        <w:rPr>
          <w:rFonts w:asciiTheme="minorHAnsi" w:hAnsiTheme="minorHAnsi" w:cstheme="minorHAnsi"/>
        </w:rPr>
        <w:t xml:space="preserve"> </w:t>
      </w:r>
      <w:r w:rsidRPr="0047584C">
        <w:rPr>
          <w:rFonts w:asciiTheme="minorHAnsi" w:hAnsiTheme="minorHAnsi" w:cstheme="minorHAnsi"/>
        </w:rPr>
        <w:t>conside</w:t>
      </w:r>
      <w:r w:rsidR="0047584C">
        <w:rPr>
          <w:rFonts w:asciiTheme="minorHAnsi" w:hAnsiTheme="minorHAnsi" w:cstheme="minorHAnsi"/>
        </w:rPr>
        <w:t>r</w:t>
      </w:r>
      <w:r w:rsidRPr="0047584C">
        <w:rPr>
          <w:rFonts w:asciiTheme="minorHAnsi" w:hAnsiTheme="minorHAnsi" w:cstheme="minorHAnsi"/>
        </w:rPr>
        <w:t xml:space="preserve">ed </w:t>
      </w:r>
      <w:r w:rsidR="0047584C">
        <w:rPr>
          <w:rFonts w:asciiTheme="minorHAnsi" w:hAnsiTheme="minorHAnsi" w:cstheme="minorHAnsi"/>
        </w:rPr>
        <w:t>s</w:t>
      </w:r>
      <w:r w:rsidRPr="0047584C">
        <w:rPr>
          <w:rFonts w:asciiTheme="minorHAnsi" w:hAnsiTheme="minorHAnsi" w:cstheme="minorHAnsi"/>
        </w:rPr>
        <w:t>upportable.</w:t>
      </w:r>
    </w:p>
    <w:p w14:paraId="47ABD3D8" w14:textId="77777777" w:rsidR="00665A13" w:rsidRPr="0047584C" w:rsidRDefault="00665A13" w:rsidP="0047584C">
      <w:pPr>
        <w:spacing w:after="0"/>
        <w:ind w:left="426"/>
        <w:rPr>
          <w:b/>
        </w:rPr>
      </w:pPr>
      <w:r w:rsidRPr="0047584C">
        <w:rPr>
          <w:b/>
        </w:rPr>
        <w:t>Vehicle Parking</w:t>
      </w:r>
    </w:p>
    <w:p w14:paraId="25EAF317" w14:textId="77777777" w:rsidR="00665A13" w:rsidRPr="0047584C" w:rsidRDefault="00665A13" w:rsidP="0047584C">
      <w:pPr>
        <w:pStyle w:val="BodyText"/>
        <w:tabs>
          <w:tab w:val="left" w:pos="1252"/>
        </w:tabs>
        <w:spacing w:before="1" w:after="200"/>
        <w:ind w:left="1253" w:right="-28" w:hanging="816"/>
        <w:jc w:val="both"/>
        <w:rPr>
          <w:rFonts w:asciiTheme="minorHAnsi" w:hAnsiTheme="minorHAnsi" w:cstheme="minorHAnsi"/>
        </w:rPr>
      </w:pPr>
      <w:proofErr w:type="spellStart"/>
      <w:r w:rsidRPr="00B80816">
        <w:t>i</w:t>
      </w:r>
      <w:proofErr w:type="spellEnd"/>
      <w:r w:rsidRPr="00B80816">
        <w:t>.</w:t>
      </w:r>
      <w:r w:rsidRPr="00B80816">
        <w:tab/>
      </w:r>
      <w:r w:rsidRPr="0047584C">
        <w:rPr>
          <w:rFonts w:asciiTheme="minorHAnsi" w:hAnsiTheme="minorHAnsi" w:cstheme="minorHAnsi"/>
        </w:rPr>
        <w:t>Vehicle</w:t>
      </w:r>
      <w:r w:rsidRPr="0047584C">
        <w:rPr>
          <w:rFonts w:asciiTheme="minorHAnsi" w:hAnsiTheme="minorHAnsi" w:cstheme="minorHAnsi"/>
          <w:spacing w:val="-5"/>
        </w:rPr>
        <w:t xml:space="preserve"> </w:t>
      </w:r>
      <w:r w:rsidRPr="0047584C">
        <w:rPr>
          <w:rFonts w:asciiTheme="minorHAnsi" w:hAnsiTheme="minorHAnsi" w:cstheme="minorHAnsi"/>
        </w:rPr>
        <w:t>parking</w:t>
      </w:r>
      <w:r w:rsidRPr="0047584C">
        <w:rPr>
          <w:rFonts w:asciiTheme="minorHAnsi" w:hAnsiTheme="minorHAnsi" w:cstheme="minorHAnsi"/>
          <w:spacing w:val="-8"/>
        </w:rPr>
        <w:t xml:space="preserve"> </w:t>
      </w:r>
      <w:r w:rsidRPr="0047584C">
        <w:rPr>
          <w:rFonts w:asciiTheme="minorHAnsi" w:hAnsiTheme="minorHAnsi" w:cstheme="minorHAnsi"/>
        </w:rPr>
        <w:t>contained</w:t>
      </w:r>
      <w:r w:rsidRPr="0047584C">
        <w:rPr>
          <w:rFonts w:asciiTheme="minorHAnsi" w:hAnsiTheme="minorHAnsi" w:cstheme="minorHAnsi"/>
          <w:spacing w:val="-4"/>
        </w:rPr>
        <w:t xml:space="preserve"> </w:t>
      </w:r>
      <w:r w:rsidRPr="0047584C">
        <w:rPr>
          <w:rFonts w:asciiTheme="minorHAnsi" w:hAnsiTheme="minorHAnsi" w:cstheme="minorHAnsi"/>
        </w:rPr>
        <w:t>in</w:t>
      </w:r>
      <w:r w:rsidRPr="0047584C">
        <w:rPr>
          <w:rFonts w:asciiTheme="minorHAnsi" w:hAnsiTheme="minorHAnsi" w:cstheme="minorHAnsi"/>
          <w:spacing w:val="-8"/>
        </w:rPr>
        <w:t xml:space="preserve"> </w:t>
      </w:r>
      <w:r w:rsidRPr="0047584C">
        <w:rPr>
          <w:rFonts w:asciiTheme="minorHAnsi" w:hAnsiTheme="minorHAnsi" w:cstheme="minorHAnsi"/>
        </w:rPr>
        <w:t>semi-basement</w:t>
      </w:r>
      <w:r w:rsidRPr="0047584C">
        <w:rPr>
          <w:rFonts w:asciiTheme="minorHAnsi" w:hAnsiTheme="minorHAnsi" w:cstheme="minorHAnsi"/>
          <w:spacing w:val="-6"/>
        </w:rPr>
        <w:t xml:space="preserve"> </w:t>
      </w:r>
      <w:r w:rsidRPr="0047584C">
        <w:rPr>
          <w:rFonts w:asciiTheme="minorHAnsi" w:hAnsiTheme="minorHAnsi" w:cstheme="minorHAnsi"/>
        </w:rPr>
        <w:t>or</w:t>
      </w:r>
      <w:r w:rsidRPr="0047584C">
        <w:rPr>
          <w:rFonts w:asciiTheme="minorHAnsi" w:hAnsiTheme="minorHAnsi" w:cstheme="minorHAnsi"/>
          <w:spacing w:val="-5"/>
        </w:rPr>
        <w:t xml:space="preserve"> </w:t>
      </w:r>
      <w:r w:rsidRPr="0047584C">
        <w:rPr>
          <w:rFonts w:asciiTheme="minorHAnsi" w:hAnsiTheme="minorHAnsi" w:cstheme="minorHAnsi"/>
        </w:rPr>
        <w:t>undercroft</w:t>
      </w:r>
      <w:r w:rsidRPr="0047584C">
        <w:rPr>
          <w:rFonts w:asciiTheme="minorHAnsi" w:hAnsiTheme="minorHAnsi" w:cstheme="minorHAnsi"/>
          <w:spacing w:val="-3"/>
        </w:rPr>
        <w:t xml:space="preserve"> </w:t>
      </w:r>
      <w:r w:rsidRPr="0047584C">
        <w:rPr>
          <w:rFonts w:asciiTheme="minorHAnsi" w:hAnsiTheme="minorHAnsi" w:cstheme="minorHAnsi"/>
        </w:rPr>
        <w:t>parking</w:t>
      </w:r>
      <w:r w:rsidRPr="0047584C">
        <w:rPr>
          <w:rFonts w:asciiTheme="minorHAnsi" w:hAnsiTheme="minorHAnsi" w:cstheme="minorHAnsi"/>
          <w:spacing w:val="-6"/>
        </w:rPr>
        <w:t xml:space="preserve"> </w:t>
      </w:r>
      <w:r w:rsidRPr="0047584C">
        <w:rPr>
          <w:rFonts w:asciiTheme="minorHAnsi" w:hAnsiTheme="minorHAnsi" w:cstheme="minorHAnsi"/>
        </w:rPr>
        <w:t>is</w:t>
      </w:r>
      <w:r w:rsidRPr="0047584C">
        <w:rPr>
          <w:rFonts w:asciiTheme="minorHAnsi" w:hAnsiTheme="minorHAnsi" w:cstheme="minorHAnsi"/>
          <w:spacing w:val="-6"/>
        </w:rPr>
        <w:t xml:space="preserve"> </w:t>
      </w:r>
      <w:r w:rsidRPr="0047584C">
        <w:rPr>
          <w:rFonts w:asciiTheme="minorHAnsi" w:hAnsiTheme="minorHAnsi" w:cstheme="minorHAnsi"/>
        </w:rPr>
        <w:t>to</w:t>
      </w:r>
      <w:r w:rsidRPr="0047584C">
        <w:rPr>
          <w:rFonts w:asciiTheme="minorHAnsi" w:hAnsiTheme="minorHAnsi" w:cstheme="minorHAnsi"/>
          <w:spacing w:val="-5"/>
        </w:rPr>
        <w:t xml:space="preserve"> </w:t>
      </w:r>
      <w:r w:rsidRPr="0047584C">
        <w:rPr>
          <w:rFonts w:asciiTheme="minorHAnsi" w:hAnsiTheme="minorHAnsi" w:cstheme="minorHAnsi"/>
        </w:rPr>
        <w:t>be</w:t>
      </w:r>
      <w:r w:rsidRPr="0047584C">
        <w:rPr>
          <w:rFonts w:asciiTheme="minorHAnsi" w:hAnsiTheme="minorHAnsi" w:cstheme="minorHAnsi"/>
          <w:spacing w:val="-5"/>
        </w:rPr>
        <w:t xml:space="preserve"> </w:t>
      </w:r>
      <w:r w:rsidRPr="0047584C">
        <w:rPr>
          <w:rFonts w:asciiTheme="minorHAnsi" w:hAnsiTheme="minorHAnsi" w:cstheme="minorHAnsi"/>
        </w:rPr>
        <w:t>located</w:t>
      </w:r>
      <w:r w:rsidRPr="0047584C">
        <w:rPr>
          <w:rFonts w:asciiTheme="minorHAnsi" w:hAnsiTheme="minorHAnsi" w:cstheme="minorHAnsi"/>
          <w:spacing w:val="-7"/>
        </w:rPr>
        <w:t xml:space="preserve"> </w:t>
      </w:r>
      <w:r w:rsidRPr="0047584C">
        <w:rPr>
          <w:rFonts w:asciiTheme="minorHAnsi" w:hAnsiTheme="minorHAnsi" w:cstheme="minorHAnsi"/>
        </w:rPr>
        <w:t>either behind street front tenancies or otherwise suitably screened from the street or ‘sleeved’ behind commercial or residential uses fronting Duke</w:t>
      </w:r>
      <w:r w:rsidRPr="0047584C">
        <w:rPr>
          <w:rFonts w:asciiTheme="minorHAnsi" w:hAnsiTheme="minorHAnsi" w:cstheme="minorHAnsi"/>
          <w:spacing w:val="-13"/>
        </w:rPr>
        <w:t xml:space="preserve"> </w:t>
      </w:r>
      <w:r w:rsidRPr="0047584C">
        <w:rPr>
          <w:rFonts w:asciiTheme="minorHAnsi" w:hAnsiTheme="minorHAnsi" w:cstheme="minorHAnsi"/>
        </w:rPr>
        <w:t>Street.</w:t>
      </w:r>
    </w:p>
    <w:p w14:paraId="417C893B" w14:textId="77777777" w:rsidR="00665A13" w:rsidRPr="0047584C" w:rsidRDefault="00665A13" w:rsidP="0047584C">
      <w:pPr>
        <w:spacing w:after="0"/>
        <w:ind w:left="425"/>
        <w:rPr>
          <w:b/>
        </w:rPr>
      </w:pPr>
      <w:r w:rsidRPr="0047584C">
        <w:rPr>
          <w:b/>
        </w:rPr>
        <w:t>Services and New Technologies</w:t>
      </w:r>
    </w:p>
    <w:p w14:paraId="61A96809" w14:textId="77777777" w:rsidR="00665A13" w:rsidRPr="00B80816" w:rsidRDefault="00665A13" w:rsidP="0047584C">
      <w:pPr>
        <w:tabs>
          <w:tab w:val="left" w:pos="1252"/>
        </w:tabs>
        <w:ind w:left="1252" w:right="-29" w:hanging="773"/>
        <w:jc w:val="both"/>
      </w:pPr>
      <w:proofErr w:type="spellStart"/>
      <w:r w:rsidRPr="00B80816">
        <w:t>i</w:t>
      </w:r>
      <w:proofErr w:type="spellEnd"/>
      <w:r w:rsidRPr="00B80816">
        <w:t>.</w:t>
      </w:r>
      <w:r w:rsidRPr="00B80816">
        <w:tab/>
        <w:t>Policy provisions for the Royal George Hotel site are as per the provisions under the general</w:t>
      </w:r>
      <w:r w:rsidRPr="00B80816">
        <w:rPr>
          <w:spacing w:val="-3"/>
        </w:rPr>
        <w:t xml:space="preserve"> </w:t>
      </w:r>
      <w:r w:rsidRPr="00B80816">
        <w:rPr>
          <w:i/>
        </w:rPr>
        <w:t>‘Development</w:t>
      </w:r>
      <w:r w:rsidRPr="00B80816">
        <w:rPr>
          <w:i/>
          <w:spacing w:val="-4"/>
        </w:rPr>
        <w:t xml:space="preserve"> </w:t>
      </w:r>
      <w:r w:rsidRPr="00B80816">
        <w:rPr>
          <w:i/>
        </w:rPr>
        <w:t>Guidelines</w:t>
      </w:r>
      <w:r w:rsidRPr="00B80816">
        <w:rPr>
          <w:i/>
          <w:spacing w:val="-4"/>
        </w:rPr>
        <w:t xml:space="preserve"> </w:t>
      </w:r>
      <w:r w:rsidRPr="00B80816">
        <w:rPr>
          <w:i/>
        </w:rPr>
        <w:t>–</w:t>
      </w:r>
      <w:r w:rsidRPr="00B80816">
        <w:rPr>
          <w:i/>
          <w:spacing w:val="-5"/>
        </w:rPr>
        <w:t xml:space="preserve"> </w:t>
      </w:r>
      <w:r w:rsidRPr="00B80816">
        <w:rPr>
          <w:i/>
        </w:rPr>
        <w:t>Services</w:t>
      </w:r>
      <w:r w:rsidRPr="00B80816">
        <w:rPr>
          <w:i/>
          <w:spacing w:val="-4"/>
        </w:rPr>
        <w:t xml:space="preserve"> </w:t>
      </w:r>
      <w:r w:rsidRPr="00B80816">
        <w:rPr>
          <w:i/>
        </w:rPr>
        <w:t>and</w:t>
      </w:r>
      <w:r w:rsidRPr="00B80816">
        <w:rPr>
          <w:i/>
          <w:spacing w:val="-5"/>
        </w:rPr>
        <w:t xml:space="preserve"> </w:t>
      </w:r>
      <w:r w:rsidRPr="00B80816">
        <w:rPr>
          <w:i/>
        </w:rPr>
        <w:t>New</w:t>
      </w:r>
      <w:r w:rsidRPr="00B80816">
        <w:rPr>
          <w:i/>
          <w:spacing w:val="-4"/>
        </w:rPr>
        <w:t xml:space="preserve"> </w:t>
      </w:r>
      <w:r w:rsidRPr="00B80816">
        <w:rPr>
          <w:i/>
        </w:rPr>
        <w:t>Technologies’</w:t>
      </w:r>
      <w:r w:rsidRPr="00B80816">
        <w:rPr>
          <w:i/>
          <w:spacing w:val="-2"/>
        </w:rPr>
        <w:t xml:space="preserve"> </w:t>
      </w:r>
      <w:r w:rsidRPr="00B80816">
        <w:t>for</w:t>
      </w:r>
      <w:r w:rsidRPr="00B80816">
        <w:rPr>
          <w:spacing w:val="-5"/>
        </w:rPr>
        <w:t xml:space="preserve"> </w:t>
      </w:r>
      <w:r w:rsidRPr="00B80816">
        <w:t>the</w:t>
      </w:r>
      <w:r w:rsidRPr="00B80816">
        <w:rPr>
          <w:spacing w:val="-3"/>
        </w:rPr>
        <w:t xml:space="preserve"> </w:t>
      </w:r>
      <w:r w:rsidRPr="00B80816">
        <w:t>Heritage</w:t>
      </w:r>
      <w:r w:rsidRPr="00B80816">
        <w:rPr>
          <w:spacing w:val="-2"/>
        </w:rPr>
        <w:t xml:space="preserve"> </w:t>
      </w:r>
      <w:r w:rsidRPr="00B80816">
        <w:t>Area (see</w:t>
      </w:r>
      <w:r w:rsidRPr="00B80816">
        <w:rPr>
          <w:spacing w:val="-1"/>
        </w:rPr>
        <w:t xml:space="preserve"> </w:t>
      </w:r>
      <w:r w:rsidRPr="00B80816">
        <w:t>above).</w:t>
      </w:r>
    </w:p>
    <w:p w14:paraId="3B0905AD" w14:textId="77777777" w:rsidR="00665A13" w:rsidRPr="0047584C" w:rsidRDefault="0047584C" w:rsidP="0047584C">
      <w:pPr>
        <w:spacing w:after="120"/>
        <w:ind w:left="426" w:hanging="426"/>
        <w:rPr>
          <w:b/>
        </w:rPr>
      </w:pPr>
      <w:bookmarkStart w:id="558" w:name="_TOC_250007"/>
      <w:r>
        <w:rPr>
          <w:b/>
        </w:rPr>
        <w:t>8.</w:t>
      </w:r>
      <w:r>
        <w:rPr>
          <w:b/>
        </w:rPr>
        <w:tab/>
      </w:r>
      <w:r w:rsidR="00665A13" w:rsidRPr="0047584C">
        <w:rPr>
          <w:b/>
        </w:rPr>
        <w:t>All properties (unless otherwise stated elsewhere in this</w:t>
      </w:r>
      <w:r w:rsidR="00665A13" w:rsidRPr="0047584C">
        <w:rPr>
          <w:b/>
          <w:spacing w:val="-12"/>
        </w:rPr>
        <w:t xml:space="preserve"> </w:t>
      </w:r>
      <w:bookmarkEnd w:id="558"/>
      <w:r w:rsidR="00665A13" w:rsidRPr="0047584C">
        <w:rPr>
          <w:b/>
        </w:rPr>
        <w:t>policy)</w:t>
      </w:r>
    </w:p>
    <w:p w14:paraId="642B809B" w14:textId="77777777" w:rsidR="00665A13" w:rsidRDefault="00665A13" w:rsidP="0047584C">
      <w:pPr>
        <w:spacing w:after="0"/>
        <w:ind w:left="425"/>
        <w:jc w:val="both"/>
        <w:rPr>
          <w:b/>
        </w:rPr>
      </w:pPr>
      <w:r>
        <w:rPr>
          <w:b/>
        </w:rPr>
        <w:t>Site Works</w:t>
      </w:r>
    </w:p>
    <w:p w14:paraId="73F1B470" w14:textId="77777777" w:rsidR="00665A13" w:rsidRDefault="0047584C" w:rsidP="0047584C">
      <w:pPr>
        <w:widowControl w:val="0"/>
        <w:autoSpaceDE w:val="0"/>
        <w:autoSpaceDN w:val="0"/>
        <w:spacing w:after="60" w:line="240" w:lineRule="auto"/>
        <w:ind w:left="1276" w:right="113" w:hanging="851"/>
        <w:jc w:val="both"/>
      </w:pPr>
      <w:proofErr w:type="spellStart"/>
      <w:r>
        <w:t>i</w:t>
      </w:r>
      <w:proofErr w:type="spellEnd"/>
      <w:r>
        <w:t>.</w:t>
      </w:r>
      <w:r>
        <w:tab/>
      </w:r>
      <w:proofErr w:type="gramStart"/>
      <w:r w:rsidR="00665A13">
        <w:t>New</w:t>
      </w:r>
      <w:proofErr w:type="gramEnd"/>
      <w:r w:rsidR="00665A13" w:rsidRPr="0047584C">
        <w:rPr>
          <w:spacing w:val="-5"/>
        </w:rPr>
        <w:t xml:space="preserve"> </w:t>
      </w:r>
      <w:r w:rsidR="00665A13">
        <w:t>developments</w:t>
      </w:r>
      <w:r w:rsidR="00665A13" w:rsidRPr="0047584C">
        <w:rPr>
          <w:spacing w:val="-7"/>
        </w:rPr>
        <w:t xml:space="preserve"> </w:t>
      </w:r>
      <w:r w:rsidR="00665A13">
        <w:t>are</w:t>
      </w:r>
      <w:r w:rsidR="00665A13" w:rsidRPr="0047584C">
        <w:rPr>
          <w:spacing w:val="-6"/>
        </w:rPr>
        <w:t xml:space="preserve"> </w:t>
      </w:r>
      <w:r w:rsidR="00665A13">
        <w:t>to</w:t>
      </w:r>
      <w:r w:rsidR="00665A13" w:rsidRPr="0047584C">
        <w:rPr>
          <w:spacing w:val="-6"/>
        </w:rPr>
        <w:t xml:space="preserve"> </w:t>
      </w:r>
      <w:r w:rsidR="00665A13">
        <w:t>be</w:t>
      </w:r>
      <w:r w:rsidR="00665A13" w:rsidRPr="0047584C">
        <w:rPr>
          <w:spacing w:val="-6"/>
        </w:rPr>
        <w:t xml:space="preserve"> </w:t>
      </w:r>
      <w:r w:rsidR="00665A13">
        <w:t>sited</w:t>
      </w:r>
      <w:r w:rsidR="00665A13" w:rsidRPr="0047584C">
        <w:rPr>
          <w:spacing w:val="-8"/>
        </w:rPr>
        <w:t xml:space="preserve"> </w:t>
      </w:r>
      <w:r w:rsidR="00665A13">
        <w:t>to</w:t>
      </w:r>
      <w:r w:rsidR="00665A13" w:rsidRPr="0047584C">
        <w:rPr>
          <w:spacing w:val="-10"/>
        </w:rPr>
        <w:t xml:space="preserve"> </w:t>
      </w:r>
      <w:r w:rsidR="00665A13">
        <w:t>reflect</w:t>
      </w:r>
      <w:r w:rsidR="00665A13" w:rsidRPr="0047584C">
        <w:rPr>
          <w:spacing w:val="-5"/>
        </w:rPr>
        <w:t xml:space="preserve"> </w:t>
      </w:r>
      <w:r w:rsidR="00665A13">
        <w:t>the</w:t>
      </w:r>
      <w:r w:rsidR="00665A13" w:rsidRPr="0047584C">
        <w:rPr>
          <w:spacing w:val="-6"/>
        </w:rPr>
        <w:t xml:space="preserve"> </w:t>
      </w:r>
      <w:r w:rsidR="00665A13">
        <w:t>immediate</w:t>
      </w:r>
      <w:r w:rsidR="00665A13" w:rsidRPr="0047584C">
        <w:rPr>
          <w:spacing w:val="-5"/>
        </w:rPr>
        <w:t xml:space="preserve"> </w:t>
      </w:r>
      <w:r w:rsidR="00665A13">
        <w:t>locality</w:t>
      </w:r>
      <w:r w:rsidR="00665A13" w:rsidRPr="0047584C">
        <w:rPr>
          <w:spacing w:val="-8"/>
        </w:rPr>
        <w:t xml:space="preserve"> </w:t>
      </w:r>
      <w:r w:rsidR="00665A13">
        <w:t>and</w:t>
      </w:r>
      <w:r w:rsidR="00665A13" w:rsidRPr="0047584C">
        <w:rPr>
          <w:spacing w:val="-5"/>
        </w:rPr>
        <w:t xml:space="preserve"> </w:t>
      </w:r>
      <w:r w:rsidR="00665A13">
        <w:t>retain</w:t>
      </w:r>
      <w:r w:rsidR="00665A13" w:rsidRPr="0047584C">
        <w:rPr>
          <w:spacing w:val="-6"/>
        </w:rPr>
        <w:t xml:space="preserve"> </w:t>
      </w:r>
      <w:r w:rsidR="00665A13">
        <w:t>a</w:t>
      </w:r>
      <w:r w:rsidR="00665A13" w:rsidRPr="0047584C">
        <w:rPr>
          <w:spacing w:val="-10"/>
        </w:rPr>
        <w:t xml:space="preserve"> </w:t>
      </w:r>
      <w:r w:rsidR="00665A13">
        <w:t>high</w:t>
      </w:r>
      <w:r w:rsidR="00665A13" w:rsidRPr="0047584C">
        <w:rPr>
          <w:spacing w:val="-8"/>
        </w:rPr>
        <w:t xml:space="preserve"> </w:t>
      </w:r>
      <w:r w:rsidR="00665A13">
        <w:t>level of visual coherence in the</w:t>
      </w:r>
      <w:r w:rsidR="00665A13" w:rsidRPr="0047584C">
        <w:rPr>
          <w:spacing w:val="-4"/>
        </w:rPr>
        <w:t xml:space="preserve"> </w:t>
      </w:r>
      <w:r w:rsidR="00665A13">
        <w:t>streetscape.</w:t>
      </w:r>
    </w:p>
    <w:p w14:paraId="1AA42FBD" w14:textId="77777777" w:rsidR="00665A13" w:rsidRDefault="0047584C" w:rsidP="0047584C">
      <w:pPr>
        <w:widowControl w:val="0"/>
        <w:autoSpaceDE w:val="0"/>
        <w:autoSpaceDN w:val="0"/>
        <w:spacing w:after="60" w:line="240" w:lineRule="auto"/>
        <w:ind w:left="1276" w:right="113" w:hanging="851"/>
        <w:jc w:val="both"/>
      </w:pPr>
      <w:r>
        <w:t>ii.</w:t>
      </w:r>
      <w:r>
        <w:tab/>
      </w:r>
      <w:proofErr w:type="gramStart"/>
      <w:r w:rsidR="00665A13">
        <w:t>New</w:t>
      </w:r>
      <w:proofErr w:type="gramEnd"/>
      <w:r w:rsidR="00665A13">
        <w:t xml:space="preserve"> developments, additions and alterations are to be designed so that visual privacy is well</w:t>
      </w:r>
      <w:r w:rsidR="00665A13" w:rsidRPr="0047584C">
        <w:rPr>
          <w:spacing w:val="-2"/>
        </w:rPr>
        <w:t xml:space="preserve"> </w:t>
      </w:r>
      <w:r w:rsidR="00665A13">
        <w:t>considered.</w:t>
      </w:r>
    </w:p>
    <w:p w14:paraId="27C833AA" w14:textId="77777777" w:rsidR="00665A13" w:rsidRDefault="0047584C" w:rsidP="0047584C">
      <w:pPr>
        <w:widowControl w:val="0"/>
        <w:autoSpaceDE w:val="0"/>
        <w:autoSpaceDN w:val="0"/>
        <w:spacing w:after="60" w:line="240" w:lineRule="auto"/>
        <w:ind w:left="1276" w:right="113" w:hanging="851"/>
        <w:jc w:val="both"/>
      </w:pPr>
      <w:r>
        <w:t>iii.</w:t>
      </w:r>
      <w:r>
        <w:tab/>
      </w:r>
      <w:r w:rsidR="00665A13">
        <w:t>The</w:t>
      </w:r>
      <w:r w:rsidR="00665A13" w:rsidRPr="0047584C">
        <w:rPr>
          <w:spacing w:val="-6"/>
        </w:rPr>
        <w:t xml:space="preserve"> </w:t>
      </w:r>
      <w:r w:rsidR="00665A13">
        <w:t>ground</w:t>
      </w:r>
      <w:r w:rsidR="00665A13" w:rsidRPr="0047584C">
        <w:rPr>
          <w:spacing w:val="-7"/>
        </w:rPr>
        <w:t xml:space="preserve"> </w:t>
      </w:r>
      <w:r w:rsidR="00665A13">
        <w:t>floor</w:t>
      </w:r>
      <w:r w:rsidR="00665A13" w:rsidRPr="0047584C">
        <w:rPr>
          <w:spacing w:val="-7"/>
        </w:rPr>
        <w:t xml:space="preserve"> </w:t>
      </w:r>
      <w:r w:rsidR="00665A13">
        <w:t>level</w:t>
      </w:r>
      <w:r w:rsidR="00665A13" w:rsidRPr="0047584C">
        <w:rPr>
          <w:spacing w:val="-8"/>
        </w:rPr>
        <w:t xml:space="preserve"> </w:t>
      </w:r>
      <w:r w:rsidR="00665A13">
        <w:t>shall</w:t>
      </w:r>
      <w:r w:rsidR="00665A13" w:rsidRPr="0047584C">
        <w:rPr>
          <w:spacing w:val="-9"/>
        </w:rPr>
        <w:t xml:space="preserve"> </w:t>
      </w:r>
      <w:r w:rsidR="00665A13">
        <w:t>be</w:t>
      </w:r>
      <w:r w:rsidR="00665A13" w:rsidRPr="0047584C">
        <w:rPr>
          <w:spacing w:val="-6"/>
        </w:rPr>
        <w:t xml:space="preserve"> </w:t>
      </w:r>
      <w:r w:rsidR="00665A13">
        <w:t>located</w:t>
      </w:r>
      <w:r w:rsidR="00665A13" w:rsidRPr="0047584C">
        <w:rPr>
          <w:spacing w:val="-8"/>
        </w:rPr>
        <w:t xml:space="preserve"> </w:t>
      </w:r>
      <w:r w:rsidR="00665A13">
        <w:t>to</w:t>
      </w:r>
      <w:r w:rsidR="00665A13" w:rsidRPr="0047584C">
        <w:rPr>
          <w:spacing w:val="-10"/>
        </w:rPr>
        <w:t xml:space="preserve"> </w:t>
      </w:r>
      <w:r w:rsidR="00665A13">
        <w:t>minimise</w:t>
      </w:r>
      <w:r w:rsidR="00665A13" w:rsidRPr="0047584C">
        <w:rPr>
          <w:spacing w:val="-7"/>
        </w:rPr>
        <w:t xml:space="preserve"> </w:t>
      </w:r>
      <w:r w:rsidR="00665A13">
        <w:t>the</w:t>
      </w:r>
      <w:r w:rsidR="00665A13" w:rsidRPr="0047584C">
        <w:rPr>
          <w:spacing w:val="-12"/>
        </w:rPr>
        <w:t xml:space="preserve"> </w:t>
      </w:r>
      <w:r w:rsidR="00665A13">
        <w:t>impact</w:t>
      </w:r>
      <w:r w:rsidR="00665A13" w:rsidRPr="0047584C">
        <w:rPr>
          <w:spacing w:val="-7"/>
        </w:rPr>
        <w:t xml:space="preserve"> </w:t>
      </w:r>
      <w:r w:rsidR="00665A13">
        <w:t>on</w:t>
      </w:r>
      <w:r w:rsidR="00665A13" w:rsidRPr="0047584C">
        <w:rPr>
          <w:spacing w:val="-9"/>
        </w:rPr>
        <w:t xml:space="preserve"> </w:t>
      </w:r>
      <w:r w:rsidR="00665A13">
        <w:t>the</w:t>
      </w:r>
      <w:r w:rsidR="00665A13" w:rsidRPr="0047584C">
        <w:rPr>
          <w:spacing w:val="-5"/>
        </w:rPr>
        <w:t xml:space="preserve"> </w:t>
      </w:r>
      <w:r w:rsidR="00665A13">
        <w:t>need</w:t>
      </w:r>
      <w:r w:rsidR="00665A13" w:rsidRPr="0047584C">
        <w:rPr>
          <w:spacing w:val="-7"/>
        </w:rPr>
        <w:t xml:space="preserve"> </w:t>
      </w:r>
      <w:r w:rsidR="00665A13">
        <w:t>for</w:t>
      </w:r>
      <w:r w:rsidR="00665A13" w:rsidRPr="0047584C">
        <w:rPr>
          <w:spacing w:val="-5"/>
        </w:rPr>
        <w:t xml:space="preserve"> </w:t>
      </w:r>
      <w:r w:rsidR="00665A13">
        <w:t>cutting</w:t>
      </w:r>
      <w:r w:rsidR="00665A13" w:rsidRPr="0047584C">
        <w:rPr>
          <w:spacing w:val="-5"/>
        </w:rPr>
        <w:t xml:space="preserve"> </w:t>
      </w:r>
      <w:r w:rsidR="00665A13">
        <w:t>and filling the site so not to adversely impact the</w:t>
      </w:r>
      <w:r w:rsidR="00665A13" w:rsidRPr="0047584C">
        <w:rPr>
          <w:spacing w:val="-7"/>
        </w:rPr>
        <w:t xml:space="preserve"> </w:t>
      </w:r>
      <w:r w:rsidR="00665A13">
        <w:t>streetscape.</w:t>
      </w:r>
    </w:p>
    <w:p w14:paraId="4672B79B" w14:textId="77777777" w:rsidR="00665A13" w:rsidRDefault="0047584C" w:rsidP="0047584C">
      <w:pPr>
        <w:widowControl w:val="0"/>
        <w:tabs>
          <w:tab w:val="left" w:pos="1276"/>
        </w:tabs>
        <w:autoSpaceDE w:val="0"/>
        <w:autoSpaceDN w:val="0"/>
        <w:spacing w:line="240" w:lineRule="auto"/>
        <w:ind w:left="1276" w:right="113" w:hanging="851"/>
        <w:jc w:val="both"/>
      </w:pPr>
      <w:r>
        <w:t>iv.</w:t>
      </w:r>
      <w:r>
        <w:tab/>
      </w:r>
      <w:r w:rsidR="00665A13">
        <w:t xml:space="preserve">Retention of significant trees and vegetation is considered a high </w:t>
      </w:r>
      <w:proofErr w:type="gramStart"/>
      <w:r w:rsidR="00665A13">
        <w:t>priority</w:t>
      </w:r>
      <w:proofErr w:type="gramEnd"/>
      <w:r w:rsidR="00665A13">
        <w:t xml:space="preserve"> and this should be an important consideration in the design of new developments and additions and alterations.</w:t>
      </w:r>
    </w:p>
    <w:p w14:paraId="39FA8DA6" w14:textId="77777777" w:rsidR="00665A13" w:rsidRPr="0047584C" w:rsidRDefault="00665A13" w:rsidP="0047584C">
      <w:pPr>
        <w:spacing w:after="0"/>
        <w:ind w:left="425"/>
        <w:rPr>
          <w:b/>
        </w:rPr>
      </w:pPr>
      <w:r w:rsidRPr="0047584C">
        <w:rPr>
          <w:b/>
        </w:rPr>
        <w:t>Building Setbacks</w:t>
      </w:r>
    </w:p>
    <w:p w14:paraId="5C18F910" w14:textId="77777777" w:rsidR="00665A13" w:rsidRDefault="00665A13" w:rsidP="002A3889">
      <w:pPr>
        <w:pStyle w:val="ListParagraph"/>
        <w:widowControl w:val="0"/>
        <w:numPr>
          <w:ilvl w:val="0"/>
          <w:numId w:val="409"/>
        </w:numPr>
        <w:tabs>
          <w:tab w:val="left" w:pos="1197"/>
          <w:tab w:val="left" w:pos="1198"/>
        </w:tabs>
        <w:autoSpaceDE w:val="0"/>
        <w:autoSpaceDN w:val="0"/>
        <w:spacing w:after="60" w:line="240" w:lineRule="auto"/>
        <w:ind w:left="1196" w:right="-28"/>
        <w:contextualSpacing w:val="0"/>
        <w:jc w:val="both"/>
      </w:pPr>
      <w:r>
        <w:t xml:space="preserve">No additions or alterations to existing buildings shall be constructed forward of the existing </w:t>
      </w:r>
      <w:r>
        <w:lastRenderedPageBreak/>
        <w:t>building</w:t>
      </w:r>
      <w:r>
        <w:rPr>
          <w:spacing w:val="-3"/>
        </w:rPr>
        <w:t xml:space="preserve"> </w:t>
      </w:r>
      <w:r>
        <w:t>line.</w:t>
      </w:r>
    </w:p>
    <w:p w14:paraId="4517B9E6" w14:textId="77777777" w:rsidR="00665A13" w:rsidRDefault="00665A13" w:rsidP="002A3889">
      <w:pPr>
        <w:pStyle w:val="ListParagraph"/>
        <w:widowControl w:val="0"/>
        <w:numPr>
          <w:ilvl w:val="0"/>
          <w:numId w:val="409"/>
        </w:numPr>
        <w:tabs>
          <w:tab w:val="left" w:pos="1197"/>
          <w:tab w:val="left" w:pos="1198"/>
        </w:tabs>
        <w:autoSpaceDE w:val="0"/>
        <w:autoSpaceDN w:val="0"/>
        <w:spacing w:after="60" w:line="240" w:lineRule="auto"/>
        <w:ind w:left="1196" w:right="-28"/>
        <w:contextualSpacing w:val="0"/>
        <w:jc w:val="both"/>
      </w:pPr>
      <w:r>
        <w:t>The primary street setback of new developments or additions to non-contributory buildings</w:t>
      </w:r>
      <w:r>
        <w:rPr>
          <w:spacing w:val="-4"/>
        </w:rPr>
        <w:t xml:space="preserve"> </w:t>
      </w:r>
      <w:r>
        <w:t>is</w:t>
      </w:r>
      <w:r>
        <w:rPr>
          <w:spacing w:val="-6"/>
        </w:rPr>
        <w:t xml:space="preserve"> </w:t>
      </w:r>
      <w:r>
        <w:t>to</w:t>
      </w:r>
      <w:r>
        <w:rPr>
          <w:spacing w:val="-3"/>
        </w:rPr>
        <w:t xml:space="preserve"> </w:t>
      </w:r>
      <w:r>
        <w:t>match</w:t>
      </w:r>
      <w:r>
        <w:rPr>
          <w:spacing w:val="-5"/>
        </w:rPr>
        <w:t xml:space="preserve"> </w:t>
      </w:r>
      <w:r>
        <w:t>the</w:t>
      </w:r>
      <w:r>
        <w:rPr>
          <w:spacing w:val="-3"/>
        </w:rPr>
        <w:t xml:space="preserve"> </w:t>
      </w:r>
      <w:r>
        <w:t>traditional</w:t>
      </w:r>
      <w:r>
        <w:rPr>
          <w:spacing w:val="-4"/>
        </w:rPr>
        <w:t xml:space="preserve"> </w:t>
      </w:r>
      <w:r>
        <w:t>setback</w:t>
      </w:r>
      <w:r>
        <w:rPr>
          <w:spacing w:val="-2"/>
        </w:rPr>
        <w:t xml:space="preserve"> </w:t>
      </w:r>
      <w:r>
        <w:t>of</w:t>
      </w:r>
      <w:r>
        <w:rPr>
          <w:spacing w:val="-3"/>
        </w:rPr>
        <w:t xml:space="preserve"> </w:t>
      </w:r>
      <w:r>
        <w:t>the</w:t>
      </w:r>
      <w:r>
        <w:rPr>
          <w:spacing w:val="-4"/>
        </w:rPr>
        <w:t xml:space="preserve"> </w:t>
      </w:r>
      <w:r>
        <w:t>immediate</w:t>
      </w:r>
      <w:r>
        <w:rPr>
          <w:spacing w:val="-3"/>
        </w:rPr>
        <w:t xml:space="preserve"> </w:t>
      </w:r>
      <w:r>
        <w:t>locality</w:t>
      </w:r>
      <w:r>
        <w:rPr>
          <w:spacing w:val="-4"/>
        </w:rPr>
        <w:t xml:space="preserve"> </w:t>
      </w:r>
      <w:r>
        <w:t>(refer</w:t>
      </w:r>
      <w:r>
        <w:rPr>
          <w:spacing w:val="-5"/>
        </w:rPr>
        <w:t xml:space="preserve"> </w:t>
      </w:r>
      <w:r>
        <w:t>to</w:t>
      </w:r>
      <w:r>
        <w:rPr>
          <w:spacing w:val="-5"/>
        </w:rPr>
        <w:t xml:space="preserve"> </w:t>
      </w:r>
      <w:r>
        <w:t>Figure</w:t>
      </w:r>
      <w:r>
        <w:rPr>
          <w:spacing w:val="-3"/>
        </w:rPr>
        <w:t xml:space="preserve"> </w:t>
      </w:r>
      <w:r>
        <w:t>8</w:t>
      </w:r>
      <w:r>
        <w:rPr>
          <w:spacing w:val="-2"/>
        </w:rPr>
        <w:t xml:space="preserve"> </w:t>
      </w:r>
      <w:r>
        <w:t>in Appendix</w:t>
      </w:r>
      <w:r>
        <w:rPr>
          <w:spacing w:val="-2"/>
        </w:rPr>
        <w:t xml:space="preserve"> </w:t>
      </w:r>
      <w:r>
        <w:t>4).</w:t>
      </w:r>
    </w:p>
    <w:p w14:paraId="3A43734A" w14:textId="77777777" w:rsidR="00665A13" w:rsidRDefault="00665A13" w:rsidP="002A3889">
      <w:pPr>
        <w:pStyle w:val="ListParagraph"/>
        <w:widowControl w:val="0"/>
        <w:numPr>
          <w:ilvl w:val="0"/>
          <w:numId w:val="409"/>
        </w:numPr>
        <w:tabs>
          <w:tab w:val="left" w:pos="1198"/>
        </w:tabs>
        <w:autoSpaceDE w:val="0"/>
        <w:autoSpaceDN w:val="0"/>
        <w:spacing w:after="60" w:line="240" w:lineRule="auto"/>
        <w:ind w:left="1196" w:right="-28"/>
        <w:contextualSpacing w:val="0"/>
        <w:jc w:val="both"/>
      </w:pPr>
      <w:r>
        <w:t xml:space="preserve">Additions to existing contributory buildings shall be setback </w:t>
      </w:r>
      <w:proofErr w:type="gramStart"/>
      <w:r>
        <w:t>so as to</w:t>
      </w:r>
      <w:proofErr w:type="gramEnd"/>
      <w:r>
        <w:t xml:space="preserve"> not adversely affect its visual</w:t>
      </w:r>
      <w:r>
        <w:rPr>
          <w:spacing w:val="-5"/>
        </w:rPr>
        <w:t xml:space="preserve"> </w:t>
      </w:r>
      <w:r>
        <w:t>presence.</w:t>
      </w:r>
    </w:p>
    <w:p w14:paraId="48AAA357" w14:textId="77777777" w:rsidR="00665A13" w:rsidRDefault="00665A13" w:rsidP="002A3889">
      <w:pPr>
        <w:pStyle w:val="ListParagraph"/>
        <w:widowControl w:val="0"/>
        <w:numPr>
          <w:ilvl w:val="0"/>
          <w:numId w:val="409"/>
        </w:numPr>
        <w:tabs>
          <w:tab w:val="left" w:pos="1198"/>
        </w:tabs>
        <w:autoSpaceDE w:val="0"/>
        <w:autoSpaceDN w:val="0"/>
        <w:spacing w:line="240" w:lineRule="auto"/>
        <w:ind w:left="1196" w:right="-28"/>
        <w:contextualSpacing w:val="0"/>
        <w:jc w:val="both"/>
      </w:pPr>
      <w:r>
        <w:t>Side setbacks are to be complementary with the predominant</w:t>
      </w:r>
      <w:r w:rsidRPr="00703CDF">
        <w:rPr>
          <w:spacing w:val="-15"/>
        </w:rPr>
        <w:t xml:space="preserve"> </w:t>
      </w:r>
      <w:r>
        <w:t>streetscape.</w:t>
      </w:r>
    </w:p>
    <w:p w14:paraId="5549290E" w14:textId="77777777" w:rsidR="00665A13" w:rsidRPr="0047584C" w:rsidRDefault="00665A13" w:rsidP="0047584C">
      <w:pPr>
        <w:spacing w:after="0"/>
        <w:ind w:left="425"/>
        <w:rPr>
          <w:b/>
        </w:rPr>
      </w:pPr>
      <w:r w:rsidRPr="0047584C">
        <w:rPr>
          <w:b/>
        </w:rPr>
        <w:t>Roof Form and Pitch</w:t>
      </w:r>
    </w:p>
    <w:p w14:paraId="72B8DFDD" w14:textId="77777777" w:rsidR="00665A13" w:rsidRDefault="00665A13" w:rsidP="002A3889">
      <w:pPr>
        <w:pStyle w:val="ListParagraph"/>
        <w:widowControl w:val="0"/>
        <w:numPr>
          <w:ilvl w:val="0"/>
          <w:numId w:val="408"/>
        </w:numPr>
        <w:tabs>
          <w:tab w:val="left" w:pos="1197"/>
          <w:tab w:val="left" w:pos="1198"/>
        </w:tabs>
        <w:autoSpaceDE w:val="0"/>
        <w:autoSpaceDN w:val="0"/>
        <w:spacing w:after="60" w:line="240" w:lineRule="auto"/>
        <w:ind w:left="1196" w:right="-28"/>
        <w:contextualSpacing w:val="0"/>
        <w:jc w:val="both"/>
      </w:pPr>
      <w:r>
        <w:t>The roof of a building is to be designed to be consistent with the existing streetscape pattern and</w:t>
      </w:r>
      <w:r>
        <w:rPr>
          <w:spacing w:val="-3"/>
        </w:rPr>
        <w:t xml:space="preserve"> </w:t>
      </w:r>
      <w:r>
        <w:t>character.</w:t>
      </w:r>
    </w:p>
    <w:p w14:paraId="39712310" w14:textId="77777777" w:rsidR="00665A13" w:rsidRDefault="00665A13" w:rsidP="002A3889">
      <w:pPr>
        <w:pStyle w:val="ListParagraph"/>
        <w:widowControl w:val="0"/>
        <w:numPr>
          <w:ilvl w:val="0"/>
          <w:numId w:val="408"/>
        </w:numPr>
        <w:tabs>
          <w:tab w:val="left" w:pos="1197"/>
          <w:tab w:val="left" w:pos="1198"/>
        </w:tabs>
        <w:autoSpaceDE w:val="0"/>
        <w:autoSpaceDN w:val="0"/>
        <w:spacing w:after="60" w:line="267" w:lineRule="exact"/>
        <w:ind w:left="1196" w:right="-28" w:hanging="721"/>
        <w:contextualSpacing w:val="0"/>
        <w:jc w:val="both"/>
      </w:pPr>
      <w:r>
        <w:t>Roof forms of additions and alterations are to not dominate the primary</w:t>
      </w:r>
      <w:r>
        <w:rPr>
          <w:spacing w:val="-19"/>
        </w:rPr>
        <w:t xml:space="preserve"> </w:t>
      </w:r>
      <w:r>
        <w:t>street.</w:t>
      </w:r>
    </w:p>
    <w:p w14:paraId="445AE75E" w14:textId="77777777" w:rsidR="00665A13" w:rsidRDefault="00665A13" w:rsidP="002A3889">
      <w:pPr>
        <w:pStyle w:val="ListParagraph"/>
        <w:widowControl w:val="0"/>
        <w:numPr>
          <w:ilvl w:val="0"/>
          <w:numId w:val="408"/>
        </w:numPr>
        <w:tabs>
          <w:tab w:val="left" w:pos="1197"/>
          <w:tab w:val="left" w:pos="1198"/>
        </w:tabs>
        <w:autoSpaceDE w:val="0"/>
        <w:autoSpaceDN w:val="0"/>
        <w:spacing w:after="60" w:line="267" w:lineRule="exact"/>
        <w:ind w:left="1196" w:right="-28" w:hanging="721"/>
        <w:contextualSpacing w:val="0"/>
        <w:jc w:val="both"/>
      </w:pPr>
      <w:r>
        <w:t>New roofing additions are to be sympathetic to the form of the existing</w:t>
      </w:r>
      <w:r>
        <w:rPr>
          <w:spacing w:val="-13"/>
        </w:rPr>
        <w:t xml:space="preserve"> </w:t>
      </w:r>
      <w:r>
        <w:t>roof.</w:t>
      </w:r>
    </w:p>
    <w:p w14:paraId="6E6AD0B8" w14:textId="77777777" w:rsidR="00665A13" w:rsidRDefault="00665A13" w:rsidP="002A3889">
      <w:pPr>
        <w:pStyle w:val="ListParagraph"/>
        <w:widowControl w:val="0"/>
        <w:numPr>
          <w:ilvl w:val="0"/>
          <w:numId w:val="408"/>
        </w:numPr>
        <w:tabs>
          <w:tab w:val="left" w:pos="1197"/>
          <w:tab w:val="left" w:pos="1198"/>
        </w:tabs>
        <w:autoSpaceDE w:val="0"/>
        <w:autoSpaceDN w:val="0"/>
        <w:spacing w:after="60" w:line="240" w:lineRule="auto"/>
        <w:ind w:left="1196" w:right="-28"/>
        <w:contextualSpacing w:val="0"/>
        <w:jc w:val="both"/>
      </w:pPr>
      <w:r>
        <w:t>New developments with contemporary roof forms are acceptable where it can be demonstrated that the roof does not negatively impact on the immediate</w:t>
      </w:r>
      <w:r>
        <w:rPr>
          <w:spacing w:val="-20"/>
        </w:rPr>
        <w:t xml:space="preserve"> </w:t>
      </w:r>
      <w:r>
        <w:t>locality.</w:t>
      </w:r>
    </w:p>
    <w:p w14:paraId="12D61F4D" w14:textId="77777777" w:rsidR="00665A13" w:rsidRDefault="00665A13" w:rsidP="002A3889">
      <w:pPr>
        <w:pStyle w:val="ListParagraph"/>
        <w:widowControl w:val="0"/>
        <w:numPr>
          <w:ilvl w:val="0"/>
          <w:numId w:val="408"/>
        </w:numPr>
        <w:tabs>
          <w:tab w:val="left" w:pos="1197"/>
          <w:tab w:val="left" w:pos="1198"/>
        </w:tabs>
        <w:autoSpaceDE w:val="0"/>
        <w:autoSpaceDN w:val="0"/>
        <w:spacing w:after="60" w:line="240" w:lineRule="auto"/>
        <w:ind w:left="1196" w:right="-28"/>
        <w:contextualSpacing w:val="0"/>
        <w:jc w:val="both"/>
      </w:pPr>
      <w:r>
        <w:t>The eaves of alterations and additions are to complement the eaves of the existing contributory building.</w:t>
      </w:r>
    </w:p>
    <w:p w14:paraId="3B7B9B93" w14:textId="77777777" w:rsidR="00665A13" w:rsidRDefault="00665A13" w:rsidP="002A3889">
      <w:pPr>
        <w:pStyle w:val="ListParagraph"/>
        <w:widowControl w:val="0"/>
        <w:numPr>
          <w:ilvl w:val="0"/>
          <w:numId w:val="408"/>
        </w:numPr>
        <w:tabs>
          <w:tab w:val="left" w:pos="1197"/>
          <w:tab w:val="left" w:pos="1198"/>
        </w:tabs>
        <w:autoSpaceDE w:val="0"/>
        <w:autoSpaceDN w:val="0"/>
        <w:spacing w:before="1" w:line="240" w:lineRule="auto"/>
        <w:ind w:left="1196" w:right="-28"/>
        <w:contextualSpacing w:val="0"/>
        <w:jc w:val="both"/>
      </w:pPr>
      <w:r>
        <w:t>The</w:t>
      </w:r>
      <w:r>
        <w:rPr>
          <w:spacing w:val="-6"/>
        </w:rPr>
        <w:t xml:space="preserve"> </w:t>
      </w:r>
      <w:r>
        <w:t>eaves</w:t>
      </w:r>
      <w:r>
        <w:rPr>
          <w:spacing w:val="-6"/>
        </w:rPr>
        <w:t xml:space="preserve"> </w:t>
      </w:r>
      <w:r>
        <w:t>of</w:t>
      </w:r>
      <w:r>
        <w:rPr>
          <w:spacing w:val="-7"/>
        </w:rPr>
        <w:t xml:space="preserve"> </w:t>
      </w:r>
      <w:r>
        <w:t>new</w:t>
      </w:r>
      <w:r>
        <w:rPr>
          <w:spacing w:val="-5"/>
        </w:rPr>
        <w:t xml:space="preserve"> </w:t>
      </w:r>
      <w:r>
        <w:t>developments</w:t>
      </w:r>
      <w:r>
        <w:rPr>
          <w:spacing w:val="-6"/>
        </w:rPr>
        <w:t xml:space="preserve"> </w:t>
      </w:r>
      <w:r>
        <w:t>are</w:t>
      </w:r>
      <w:r>
        <w:rPr>
          <w:spacing w:val="-6"/>
        </w:rPr>
        <w:t xml:space="preserve"> </w:t>
      </w:r>
      <w:r>
        <w:t>sympathetic</w:t>
      </w:r>
      <w:r>
        <w:rPr>
          <w:spacing w:val="-6"/>
        </w:rPr>
        <w:t xml:space="preserve"> </w:t>
      </w:r>
      <w:r>
        <w:t>with</w:t>
      </w:r>
      <w:r>
        <w:rPr>
          <w:spacing w:val="-4"/>
        </w:rPr>
        <w:t xml:space="preserve"> </w:t>
      </w:r>
      <w:r>
        <w:t>immediate</w:t>
      </w:r>
      <w:r>
        <w:rPr>
          <w:spacing w:val="-8"/>
        </w:rPr>
        <w:t xml:space="preserve"> </w:t>
      </w:r>
      <w:r>
        <w:t>locality</w:t>
      </w:r>
      <w:r>
        <w:rPr>
          <w:spacing w:val="-6"/>
        </w:rPr>
        <w:t xml:space="preserve"> </w:t>
      </w:r>
      <w:proofErr w:type="gramStart"/>
      <w:r>
        <w:t>in</w:t>
      </w:r>
      <w:r>
        <w:rPr>
          <w:spacing w:val="-7"/>
        </w:rPr>
        <w:t xml:space="preserve"> </w:t>
      </w:r>
      <w:r>
        <w:t>regard</w:t>
      </w:r>
      <w:r>
        <w:rPr>
          <w:spacing w:val="-4"/>
        </w:rPr>
        <w:t xml:space="preserve"> </w:t>
      </w:r>
      <w:r>
        <w:t>to</w:t>
      </w:r>
      <w:proofErr w:type="gramEnd"/>
      <w:r>
        <w:rPr>
          <w:spacing w:val="-5"/>
        </w:rPr>
        <w:t xml:space="preserve"> </w:t>
      </w:r>
      <w:r>
        <w:t>size of</w:t>
      </w:r>
      <w:r>
        <w:rPr>
          <w:spacing w:val="-2"/>
        </w:rPr>
        <w:t xml:space="preserve"> </w:t>
      </w:r>
      <w:r>
        <w:t>overhang.</w:t>
      </w:r>
    </w:p>
    <w:p w14:paraId="100C1EA3" w14:textId="77777777" w:rsidR="00665A13" w:rsidRPr="0047584C" w:rsidRDefault="00665A13" w:rsidP="0047584C">
      <w:pPr>
        <w:spacing w:after="0"/>
        <w:ind w:left="425"/>
        <w:rPr>
          <w:b/>
        </w:rPr>
      </w:pPr>
      <w:r w:rsidRPr="0047584C">
        <w:rPr>
          <w:b/>
        </w:rPr>
        <w:t>Height</w:t>
      </w:r>
    </w:p>
    <w:p w14:paraId="3C000A96" w14:textId="77777777" w:rsidR="00665A13" w:rsidRDefault="00665A13" w:rsidP="002A3889">
      <w:pPr>
        <w:pStyle w:val="ListParagraph"/>
        <w:widowControl w:val="0"/>
        <w:numPr>
          <w:ilvl w:val="0"/>
          <w:numId w:val="407"/>
        </w:numPr>
        <w:tabs>
          <w:tab w:val="left" w:pos="1197"/>
          <w:tab w:val="left" w:pos="1198"/>
        </w:tabs>
        <w:autoSpaceDE w:val="0"/>
        <w:autoSpaceDN w:val="0"/>
        <w:spacing w:after="60" w:line="240" w:lineRule="auto"/>
        <w:ind w:right="-29"/>
        <w:contextualSpacing w:val="0"/>
        <w:jc w:val="both"/>
      </w:pPr>
      <w:r>
        <w:t>New buildings are to address the street and be consistent with the bulk and scale of adjacent buildings.</w:t>
      </w:r>
    </w:p>
    <w:p w14:paraId="68A2FF3F" w14:textId="77777777" w:rsidR="00665A13" w:rsidRDefault="00665A13" w:rsidP="002A3889">
      <w:pPr>
        <w:pStyle w:val="ListParagraph"/>
        <w:widowControl w:val="0"/>
        <w:numPr>
          <w:ilvl w:val="0"/>
          <w:numId w:val="407"/>
        </w:numPr>
        <w:tabs>
          <w:tab w:val="left" w:pos="1197"/>
          <w:tab w:val="left" w:pos="1198"/>
        </w:tabs>
        <w:autoSpaceDE w:val="0"/>
        <w:autoSpaceDN w:val="0"/>
        <w:spacing w:after="60" w:line="240" w:lineRule="auto"/>
        <w:ind w:right="-29"/>
        <w:contextualSpacing w:val="0"/>
        <w:jc w:val="both"/>
      </w:pPr>
      <w:r>
        <w:t>Height</w:t>
      </w:r>
      <w:r>
        <w:rPr>
          <w:spacing w:val="-11"/>
        </w:rPr>
        <w:t xml:space="preserve"> </w:t>
      </w:r>
      <w:r>
        <w:t>of</w:t>
      </w:r>
      <w:r>
        <w:rPr>
          <w:spacing w:val="-8"/>
        </w:rPr>
        <w:t xml:space="preserve"> </w:t>
      </w:r>
      <w:r>
        <w:t>development</w:t>
      </w:r>
      <w:r>
        <w:rPr>
          <w:spacing w:val="-10"/>
        </w:rPr>
        <w:t xml:space="preserve"> </w:t>
      </w:r>
      <w:r>
        <w:t>is</w:t>
      </w:r>
      <w:r>
        <w:rPr>
          <w:spacing w:val="-9"/>
        </w:rPr>
        <w:t xml:space="preserve"> </w:t>
      </w:r>
      <w:r>
        <w:t>not</w:t>
      </w:r>
      <w:r>
        <w:rPr>
          <w:spacing w:val="-9"/>
        </w:rPr>
        <w:t xml:space="preserve"> </w:t>
      </w:r>
      <w:r>
        <w:t>to</w:t>
      </w:r>
      <w:r>
        <w:rPr>
          <w:spacing w:val="-11"/>
        </w:rPr>
        <w:t xml:space="preserve"> </w:t>
      </w:r>
      <w:r>
        <w:t>exceed</w:t>
      </w:r>
      <w:r>
        <w:rPr>
          <w:spacing w:val="-13"/>
        </w:rPr>
        <w:t xml:space="preserve"> </w:t>
      </w:r>
      <w:r>
        <w:t>a</w:t>
      </w:r>
      <w:r>
        <w:rPr>
          <w:spacing w:val="-9"/>
        </w:rPr>
        <w:t xml:space="preserve"> </w:t>
      </w:r>
      <w:r>
        <w:t>maximum</w:t>
      </w:r>
      <w:r>
        <w:rPr>
          <w:spacing w:val="-11"/>
        </w:rPr>
        <w:t xml:space="preserve"> </w:t>
      </w:r>
      <w:r>
        <w:t>of</w:t>
      </w:r>
      <w:r>
        <w:rPr>
          <w:spacing w:val="-13"/>
        </w:rPr>
        <w:t xml:space="preserve"> </w:t>
      </w:r>
      <w:r>
        <w:t>three</w:t>
      </w:r>
      <w:r>
        <w:rPr>
          <w:spacing w:val="-9"/>
        </w:rPr>
        <w:t xml:space="preserve"> </w:t>
      </w:r>
      <w:r>
        <w:t>storeys</w:t>
      </w:r>
      <w:r>
        <w:rPr>
          <w:spacing w:val="-10"/>
        </w:rPr>
        <w:t xml:space="preserve"> </w:t>
      </w:r>
      <w:r>
        <w:t>above</w:t>
      </w:r>
      <w:r>
        <w:rPr>
          <w:spacing w:val="-11"/>
        </w:rPr>
        <w:t xml:space="preserve"> </w:t>
      </w:r>
      <w:r>
        <w:t>natural</w:t>
      </w:r>
      <w:r>
        <w:rPr>
          <w:spacing w:val="-11"/>
        </w:rPr>
        <w:t xml:space="preserve"> </w:t>
      </w:r>
      <w:r>
        <w:t>ground level</w:t>
      </w:r>
      <w:r>
        <w:rPr>
          <w:spacing w:val="-12"/>
        </w:rPr>
        <w:t xml:space="preserve"> </w:t>
      </w:r>
      <w:r>
        <w:t>(exclusive</w:t>
      </w:r>
      <w:r>
        <w:rPr>
          <w:spacing w:val="-10"/>
        </w:rPr>
        <w:t xml:space="preserve"> </w:t>
      </w:r>
      <w:r>
        <w:t>of</w:t>
      </w:r>
      <w:r>
        <w:rPr>
          <w:spacing w:val="-9"/>
        </w:rPr>
        <w:t xml:space="preserve"> </w:t>
      </w:r>
      <w:r>
        <w:t>the</w:t>
      </w:r>
      <w:r>
        <w:rPr>
          <w:spacing w:val="-12"/>
        </w:rPr>
        <w:t xml:space="preserve"> </w:t>
      </w:r>
      <w:r>
        <w:t>Royal</w:t>
      </w:r>
      <w:r>
        <w:rPr>
          <w:spacing w:val="-10"/>
        </w:rPr>
        <w:t xml:space="preserve"> </w:t>
      </w:r>
      <w:r>
        <w:t>George</w:t>
      </w:r>
      <w:r>
        <w:rPr>
          <w:spacing w:val="-12"/>
        </w:rPr>
        <w:t xml:space="preserve"> </w:t>
      </w:r>
      <w:r>
        <w:t>Hotel</w:t>
      </w:r>
      <w:r>
        <w:rPr>
          <w:spacing w:val="-10"/>
        </w:rPr>
        <w:t xml:space="preserve"> </w:t>
      </w:r>
      <w:r>
        <w:t>site</w:t>
      </w:r>
      <w:r>
        <w:rPr>
          <w:spacing w:val="-11"/>
        </w:rPr>
        <w:t xml:space="preserve"> </w:t>
      </w:r>
      <w:r>
        <w:t>which</w:t>
      </w:r>
      <w:r>
        <w:rPr>
          <w:spacing w:val="-14"/>
        </w:rPr>
        <w:t xml:space="preserve"> </w:t>
      </w:r>
      <w:r>
        <w:t>has</w:t>
      </w:r>
      <w:r>
        <w:rPr>
          <w:spacing w:val="-8"/>
        </w:rPr>
        <w:t xml:space="preserve"> </w:t>
      </w:r>
      <w:r>
        <w:t>greater</w:t>
      </w:r>
      <w:r>
        <w:rPr>
          <w:spacing w:val="-10"/>
        </w:rPr>
        <w:t xml:space="preserve"> </w:t>
      </w:r>
      <w:r>
        <w:t>height</w:t>
      </w:r>
      <w:r>
        <w:rPr>
          <w:spacing w:val="-7"/>
        </w:rPr>
        <w:t xml:space="preserve"> </w:t>
      </w:r>
      <w:r>
        <w:t>allowances)</w:t>
      </w:r>
      <w:r>
        <w:rPr>
          <w:spacing w:val="-10"/>
        </w:rPr>
        <w:t xml:space="preserve"> </w:t>
      </w:r>
      <w:r>
        <w:t>unless the Town is satisfied that the</w:t>
      </w:r>
      <w:r>
        <w:rPr>
          <w:spacing w:val="-5"/>
        </w:rPr>
        <w:t xml:space="preserve"> </w:t>
      </w:r>
      <w:r>
        <w:t>development:</w:t>
      </w:r>
    </w:p>
    <w:p w14:paraId="5026FD29" w14:textId="77777777" w:rsidR="00665A13" w:rsidRDefault="00665A13" w:rsidP="002A3889">
      <w:pPr>
        <w:pStyle w:val="ListParagraph"/>
        <w:widowControl w:val="0"/>
        <w:numPr>
          <w:ilvl w:val="1"/>
          <w:numId w:val="407"/>
        </w:numPr>
        <w:tabs>
          <w:tab w:val="left" w:pos="1558"/>
        </w:tabs>
        <w:autoSpaceDE w:val="0"/>
        <w:autoSpaceDN w:val="0"/>
        <w:spacing w:after="60" w:line="237" w:lineRule="auto"/>
        <w:ind w:right="-29"/>
        <w:contextualSpacing w:val="0"/>
        <w:jc w:val="both"/>
      </w:pPr>
      <w:r>
        <w:t>Is supported by a heritage assessment that confirms that development will be in keeping with the heritage values of the Heritage Area;</w:t>
      </w:r>
      <w:r>
        <w:rPr>
          <w:spacing w:val="-15"/>
        </w:rPr>
        <w:t xml:space="preserve"> </w:t>
      </w:r>
      <w:r>
        <w:t>and</w:t>
      </w:r>
    </w:p>
    <w:p w14:paraId="02CAEF9B" w14:textId="77777777" w:rsidR="00665A13" w:rsidRDefault="00665A13" w:rsidP="002A3889">
      <w:pPr>
        <w:pStyle w:val="ListParagraph"/>
        <w:widowControl w:val="0"/>
        <w:numPr>
          <w:ilvl w:val="1"/>
          <w:numId w:val="407"/>
        </w:numPr>
        <w:tabs>
          <w:tab w:val="left" w:pos="1558"/>
        </w:tabs>
        <w:autoSpaceDE w:val="0"/>
        <w:autoSpaceDN w:val="0"/>
        <w:spacing w:after="60" w:line="240" w:lineRule="auto"/>
        <w:ind w:right="-29" w:hanging="361"/>
        <w:contextualSpacing w:val="0"/>
        <w:jc w:val="both"/>
      </w:pPr>
      <w:r>
        <w:t>Does not adversely affect the amenity of the area and adjacent</w:t>
      </w:r>
      <w:r>
        <w:rPr>
          <w:spacing w:val="-15"/>
        </w:rPr>
        <w:t xml:space="preserve"> </w:t>
      </w:r>
      <w:r>
        <w:t>properties.</w:t>
      </w:r>
    </w:p>
    <w:p w14:paraId="3E56BB64" w14:textId="77777777" w:rsidR="00665A13" w:rsidRDefault="00665A13" w:rsidP="002A3889">
      <w:pPr>
        <w:pStyle w:val="ListParagraph"/>
        <w:widowControl w:val="0"/>
        <w:numPr>
          <w:ilvl w:val="0"/>
          <w:numId w:val="407"/>
        </w:numPr>
        <w:tabs>
          <w:tab w:val="left" w:pos="1198"/>
        </w:tabs>
        <w:autoSpaceDE w:val="0"/>
        <w:autoSpaceDN w:val="0"/>
        <w:spacing w:line="240" w:lineRule="auto"/>
        <w:ind w:left="1196" w:right="-28"/>
        <w:contextualSpacing w:val="0"/>
        <w:jc w:val="both"/>
      </w:pPr>
      <w:r>
        <w:t xml:space="preserve">For new buildings or non-contributory buildings, any additional </w:t>
      </w:r>
      <w:proofErr w:type="spellStart"/>
      <w:r>
        <w:t>storeys</w:t>
      </w:r>
      <w:proofErr w:type="spellEnd"/>
      <w:r>
        <w:t xml:space="preserve"> are to be setback sufficiently to be in keeping with the rhythm of the</w:t>
      </w:r>
      <w:r>
        <w:rPr>
          <w:spacing w:val="-19"/>
        </w:rPr>
        <w:t xml:space="preserve"> </w:t>
      </w:r>
      <w:r>
        <w:t>streetscape</w:t>
      </w:r>
    </w:p>
    <w:p w14:paraId="205FBA02" w14:textId="77777777" w:rsidR="00665A13" w:rsidRPr="0047584C" w:rsidRDefault="00665A13" w:rsidP="0047584C">
      <w:pPr>
        <w:spacing w:after="0"/>
        <w:ind w:left="425"/>
        <w:rPr>
          <w:b/>
        </w:rPr>
      </w:pPr>
      <w:r w:rsidRPr="0047584C">
        <w:rPr>
          <w:b/>
        </w:rPr>
        <w:t>Materials and Colours</w:t>
      </w:r>
    </w:p>
    <w:p w14:paraId="136F9E92" w14:textId="77777777" w:rsidR="00665A13" w:rsidRDefault="00665A13" w:rsidP="002A3889">
      <w:pPr>
        <w:pStyle w:val="ListParagraph"/>
        <w:widowControl w:val="0"/>
        <w:numPr>
          <w:ilvl w:val="0"/>
          <w:numId w:val="406"/>
        </w:numPr>
        <w:tabs>
          <w:tab w:val="left" w:pos="1197"/>
          <w:tab w:val="left" w:pos="1198"/>
        </w:tabs>
        <w:autoSpaceDE w:val="0"/>
        <w:autoSpaceDN w:val="0"/>
        <w:spacing w:after="60" w:line="240" w:lineRule="auto"/>
        <w:ind w:left="1196" w:right="-28"/>
        <w:contextualSpacing w:val="0"/>
        <w:jc w:val="both"/>
      </w:pPr>
      <w:r>
        <w:t>Where</w:t>
      </w:r>
      <w:r>
        <w:rPr>
          <w:spacing w:val="-12"/>
        </w:rPr>
        <w:t xml:space="preserve"> </w:t>
      </w:r>
      <w:r>
        <w:t>possible</w:t>
      </w:r>
      <w:r>
        <w:rPr>
          <w:spacing w:val="-11"/>
        </w:rPr>
        <w:t xml:space="preserve"> </w:t>
      </w:r>
      <w:r>
        <w:t>the</w:t>
      </w:r>
      <w:r>
        <w:rPr>
          <w:spacing w:val="-11"/>
        </w:rPr>
        <w:t xml:space="preserve"> </w:t>
      </w:r>
      <w:r>
        <w:t>original</w:t>
      </w:r>
      <w:r>
        <w:rPr>
          <w:spacing w:val="-13"/>
        </w:rPr>
        <w:t xml:space="preserve"> </w:t>
      </w:r>
      <w:r>
        <w:t>materials</w:t>
      </w:r>
      <w:r>
        <w:rPr>
          <w:spacing w:val="-14"/>
        </w:rPr>
        <w:t xml:space="preserve"> </w:t>
      </w:r>
      <w:r>
        <w:t>to</w:t>
      </w:r>
      <w:r>
        <w:rPr>
          <w:spacing w:val="-14"/>
        </w:rPr>
        <w:t xml:space="preserve"> </w:t>
      </w:r>
      <w:r>
        <w:t>contributory</w:t>
      </w:r>
      <w:r>
        <w:rPr>
          <w:spacing w:val="-12"/>
        </w:rPr>
        <w:t xml:space="preserve"> </w:t>
      </w:r>
      <w:r>
        <w:t>buildings</w:t>
      </w:r>
      <w:r>
        <w:rPr>
          <w:spacing w:val="-9"/>
        </w:rPr>
        <w:t xml:space="preserve"> </w:t>
      </w:r>
      <w:r>
        <w:t>should</w:t>
      </w:r>
      <w:r>
        <w:rPr>
          <w:spacing w:val="-11"/>
        </w:rPr>
        <w:t xml:space="preserve"> </w:t>
      </w:r>
      <w:r>
        <w:t>be</w:t>
      </w:r>
      <w:r>
        <w:rPr>
          <w:spacing w:val="-11"/>
        </w:rPr>
        <w:t xml:space="preserve"> </w:t>
      </w:r>
      <w:r>
        <w:t>retained.</w:t>
      </w:r>
      <w:r>
        <w:rPr>
          <w:spacing w:val="-12"/>
        </w:rPr>
        <w:t xml:space="preserve"> </w:t>
      </w:r>
      <w:r>
        <w:t>Where replacement is required, original materials should be replaced on a ‘like for like’</w:t>
      </w:r>
      <w:r>
        <w:rPr>
          <w:spacing w:val="-28"/>
        </w:rPr>
        <w:t xml:space="preserve"> </w:t>
      </w:r>
      <w:r>
        <w:t>basis.</w:t>
      </w:r>
    </w:p>
    <w:p w14:paraId="3C22F139" w14:textId="77777777" w:rsidR="00665A13" w:rsidRDefault="00665A13" w:rsidP="002A3889">
      <w:pPr>
        <w:pStyle w:val="ListParagraph"/>
        <w:widowControl w:val="0"/>
        <w:numPr>
          <w:ilvl w:val="0"/>
          <w:numId w:val="406"/>
        </w:numPr>
        <w:tabs>
          <w:tab w:val="left" w:pos="1197"/>
          <w:tab w:val="left" w:pos="1198"/>
        </w:tabs>
        <w:autoSpaceDE w:val="0"/>
        <w:autoSpaceDN w:val="0"/>
        <w:spacing w:after="60" w:line="240" w:lineRule="auto"/>
        <w:ind w:left="1196" w:right="-28"/>
        <w:contextualSpacing w:val="0"/>
        <w:jc w:val="both"/>
      </w:pPr>
      <w:r>
        <w:t xml:space="preserve">Replacement of existing materials with new materials may be approved where </w:t>
      </w:r>
      <w:r>
        <w:rPr>
          <w:spacing w:val="-3"/>
        </w:rPr>
        <w:t xml:space="preserve">it </w:t>
      </w:r>
      <w:r>
        <w:t>can be adequately demonstrated to be compatible with and not adversely affect the immediate locality.</w:t>
      </w:r>
    </w:p>
    <w:p w14:paraId="238CFBAA" w14:textId="77777777" w:rsidR="00665A13" w:rsidRDefault="00665A13" w:rsidP="002A3889">
      <w:pPr>
        <w:pStyle w:val="ListParagraph"/>
        <w:widowControl w:val="0"/>
        <w:numPr>
          <w:ilvl w:val="0"/>
          <w:numId w:val="406"/>
        </w:numPr>
        <w:tabs>
          <w:tab w:val="left" w:pos="1198"/>
        </w:tabs>
        <w:autoSpaceDE w:val="0"/>
        <w:autoSpaceDN w:val="0"/>
        <w:spacing w:after="60" w:line="240" w:lineRule="auto"/>
        <w:ind w:left="1196" w:right="-28"/>
        <w:contextualSpacing w:val="0"/>
        <w:jc w:val="both"/>
      </w:pPr>
      <w:r>
        <w:t>Reinstatement of original colours and/or materials is encouraged for contributory buildings.</w:t>
      </w:r>
      <w:r>
        <w:rPr>
          <w:spacing w:val="-6"/>
        </w:rPr>
        <w:t xml:space="preserve"> </w:t>
      </w:r>
      <w:r>
        <w:t>Where</w:t>
      </w:r>
      <w:r>
        <w:rPr>
          <w:spacing w:val="-6"/>
        </w:rPr>
        <w:t xml:space="preserve"> </w:t>
      </w:r>
      <w:r>
        <w:t>possible</w:t>
      </w:r>
      <w:r>
        <w:rPr>
          <w:spacing w:val="-10"/>
        </w:rPr>
        <w:t xml:space="preserve"> </w:t>
      </w:r>
      <w:r>
        <w:t>this</w:t>
      </w:r>
      <w:r>
        <w:rPr>
          <w:spacing w:val="-6"/>
        </w:rPr>
        <w:t xml:space="preserve"> </w:t>
      </w:r>
      <w:r>
        <w:t>should</w:t>
      </w:r>
      <w:r>
        <w:rPr>
          <w:spacing w:val="-7"/>
        </w:rPr>
        <w:t xml:space="preserve"> </w:t>
      </w:r>
      <w:r>
        <w:t>be</w:t>
      </w:r>
      <w:r>
        <w:rPr>
          <w:spacing w:val="-6"/>
        </w:rPr>
        <w:t xml:space="preserve"> </w:t>
      </w:r>
      <w:r>
        <w:t>informed</w:t>
      </w:r>
      <w:r>
        <w:rPr>
          <w:spacing w:val="-6"/>
        </w:rPr>
        <w:t xml:space="preserve"> </w:t>
      </w:r>
      <w:r>
        <w:t>by</w:t>
      </w:r>
      <w:r>
        <w:rPr>
          <w:spacing w:val="-8"/>
        </w:rPr>
        <w:t xml:space="preserve"> </w:t>
      </w:r>
      <w:r>
        <w:t>historical</w:t>
      </w:r>
      <w:r>
        <w:rPr>
          <w:spacing w:val="-10"/>
        </w:rPr>
        <w:t xml:space="preserve"> </w:t>
      </w:r>
      <w:r>
        <w:t>evidence</w:t>
      </w:r>
      <w:r>
        <w:rPr>
          <w:spacing w:val="-9"/>
        </w:rPr>
        <w:t xml:space="preserve"> </w:t>
      </w:r>
      <w:r>
        <w:t>including</w:t>
      </w:r>
      <w:r>
        <w:rPr>
          <w:spacing w:val="-6"/>
        </w:rPr>
        <w:t xml:space="preserve"> </w:t>
      </w:r>
      <w:r>
        <w:t>photos and paint</w:t>
      </w:r>
      <w:r>
        <w:rPr>
          <w:spacing w:val="-2"/>
        </w:rPr>
        <w:t xml:space="preserve"> </w:t>
      </w:r>
      <w:r>
        <w:t>scrapes.</w:t>
      </w:r>
    </w:p>
    <w:p w14:paraId="729F6812" w14:textId="77777777" w:rsidR="00665A13" w:rsidRDefault="00665A13" w:rsidP="002A3889">
      <w:pPr>
        <w:pStyle w:val="ListParagraph"/>
        <w:widowControl w:val="0"/>
        <w:numPr>
          <w:ilvl w:val="0"/>
          <w:numId w:val="406"/>
        </w:numPr>
        <w:tabs>
          <w:tab w:val="left" w:pos="1198"/>
        </w:tabs>
        <w:autoSpaceDE w:val="0"/>
        <w:autoSpaceDN w:val="0"/>
        <w:spacing w:after="60" w:line="240" w:lineRule="auto"/>
        <w:ind w:left="1196" w:right="-28"/>
        <w:contextualSpacing w:val="0"/>
        <w:jc w:val="both"/>
      </w:pPr>
      <w:r>
        <w:t>Materials and colours to additions and alterations should either match the original or be compatible with the immediate locality. New materials and colours that are compatible but distinguish the addition and alteration from the existing building are</w:t>
      </w:r>
      <w:r>
        <w:rPr>
          <w:spacing w:val="-24"/>
        </w:rPr>
        <w:t xml:space="preserve"> </w:t>
      </w:r>
      <w:r>
        <w:t>preferred.</w:t>
      </w:r>
    </w:p>
    <w:p w14:paraId="68686708" w14:textId="77777777" w:rsidR="00665A13" w:rsidRDefault="00665A13" w:rsidP="002A3889">
      <w:pPr>
        <w:pStyle w:val="ListParagraph"/>
        <w:widowControl w:val="0"/>
        <w:numPr>
          <w:ilvl w:val="0"/>
          <w:numId w:val="406"/>
        </w:numPr>
        <w:tabs>
          <w:tab w:val="left" w:pos="1197"/>
          <w:tab w:val="left" w:pos="1198"/>
        </w:tabs>
        <w:autoSpaceDE w:val="0"/>
        <w:autoSpaceDN w:val="0"/>
        <w:spacing w:line="240" w:lineRule="auto"/>
        <w:ind w:left="1196" w:right="-28"/>
        <w:contextualSpacing w:val="0"/>
        <w:jc w:val="both"/>
      </w:pPr>
      <w:r>
        <w:t>Materials incorporated in new developments are to be compatible with the colour and finishes of existing materials in the immediate</w:t>
      </w:r>
      <w:r>
        <w:rPr>
          <w:spacing w:val="-10"/>
        </w:rPr>
        <w:t xml:space="preserve"> </w:t>
      </w:r>
      <w:r>
        <w:t>locality.</w:t>
      </w:r>
    </w:p>
    <w:p w14:paraId="08459EB6" w14:textId="77777777" w:rsidR="00665A13" w:rsidRPr="0047584C" w:rsidRDefault="00665A13" w:rsidP="0047584C">
      <w:pPr>
        <w:spacing w:after="0"/>
        <w:ind w:left="425"/>
        <w:rPr>
          <w:b/>
        </w:rPr>
      </w:pPr>
      <w:r w:rsidRPr="0047584C">
        <w:rPr>
          <w:b/>
        </w:rPr>
        <w:t>Landscape Guidelines</w:t>
      </w:r>
    </w:p>
    <w:p w14:paraId="71E668CE" w14:textId="77777777" w:rsidR="00665A13" w:rsidRDefault="00665A13" w:rsidP="002A3889">
      <w:pPr>
        <w:pStyle w:val="ListParagraph"/>
        <w:widowControl w:val="0"/>
        <w:numPr>
          <w:ilvl w:val="0"/>
          <w:numId w:val="405"/>
        </w:numPr>
        <w:tabs>
          <w:tab w:val="left" w:pos="1252"/>
          <w:tab w:val="left" w:pos="1253"/>
        </w:tabs>
        <w:autoSpaceDE w:val="0"/>
        <w:autoSpaceDN w:val="0"/>
        <w:spacing w:before="2" w:after="60" w:line="238" w:lineRule="auto"/>
        <w:ind w:left="1253" w:right="-28"/>
        <w:contextualSpacing w:val="0"/>
        <w:jc w:val="both"/>
      </w:pPr>
      <w:r>
        <w:rPr>
          <w:w w:val="105"/>
        </w:rPr>
        <w:t>Established vegetation, particularly mature trees, shrubs and hedges are to be retained.</w:t>
      </w:r>
    </w:p>
    <w:p w14:paraId="2F4FABFC" w14:textId="77777777" w:rsidR="00665A13" w:rsidRDefault="00665A13" w:rsidP="002A3889">
      <w:pPr>
        <w:pStyle w:val="ListParagraph"/>
        <w:widowControl w:val="0"/>
        <w:numPr>
          <w:ilvl w:val="0"/>
          <w:numId w:val="405"/>
        </w:numPr>
        <w:tabs>
          <w:tab w:val="left" w:pos="1252"/>
          <w:tab w:val="left" w:pos="1253"/>
        </w:tabs>
        <w:autoSpaceDE w:val="0"/>
        <w:autoSpaceDN w:val="0"/>
        <w:spacing w:before="2" w:after="0" w:line="240" w:lineRule="auto"/>
        <w:ind w:hanging="770"/>
        <w:contextualSpacing w:val="0"/>
        <w:jc w:val="both"/>
      </w:pPr>
      <w:r>
        <w:rPr>
          <w:w w:val="105"/>
        </w:rPr>
        <w:t>Landscaping is to be compatible with the character of the immediate</w:t>
      </w:r>
      <w:r>
        <w:rPr>
          <w:spacing w:val="-14"/>
          <w:w w:val="105"/>
        </w:rPr>
        <w:t xml:space="preserve"> </w:t>
      </w:r>
      <w:r>
        <w:rPr>
          <w:w w:val="105"/>
        </w:rPr>
        <w:t>locality.</w:t>
      </w:r>
    </w:p>
    <w:p w14:paraId="1E85B3D9" w14:textId="77777777" w:rsidR="00665A13" w:rsidRPr="008A53B6" w:rsidRDefault="00665A13" w:rsidP="008A53B6">
      <w:pPr>
        <w:spacing w:after="0"/>
        <w:ind w:left="426"/>
        <w:rPr>
          <w:b/>
        </w:rPr>
      </w:pPr>
      <w:r w:rsidRPr="008A53B6">
        <w:rPr>
          <w:b/>
          <w:w w:val="105"/>
        </w:rPr>
        <w:lastRenderedPageBreak/>
        <w:t>Street surveillance</w:t>
      </w:r>
    </w:p>
    <w:p w14:paraId="0A514262" w14:textId="77777777" w:rsidR="00665A13" w:rsidRDefault="00665A13" w:rsidP="002A3889">
      <w:pPr>
        <w:pStyle w:val="ListParagraph"/>
        <w:widowControl w:val="0"/>
        <w:numPr>
          <w:ilvl w:val="0"/>
          <w:numId w:val="404"/>
        </w:numPr>
        <w:tabs>
          <w:tab w:val="left" w:pos="1252"/>
          <w:tab w:val="left" w:pos="1253"/>
        </w:tabs>
        <w:autoSpaceDE w:val="0"/>
        <w:autoSpaceDN w:val="0"/>
        <w:spacing w:after="60" w:line="240" w:lineRule="auto"/>
        <w:ind w:left="1253" w:right="-28"/>
        <w:contextualSpacing w:val="0"/>
        <w:jc w:val="both"/>
      </w:pPr>
      <w:r>
        <w:t>Buildings</w:t>
      </w:r>
      <w:r>
        <w:rPr>
          <w:spacing w:val="-5"/>
        </w:rPr>
        <w:t xml:space="preserve"> </w:t>
      </w:r>
      <w:r>
        <w:t>to</w:t>
      </w:r>
      <w:r>
        <w:rPr>
          <w:spacing w:val="-5"/>
        </w:rPr>
        <w:t xml:space="preserve"> </w:t>
      </w:r>
      <w:r>
        <w:t>be</w:t>
      </w:r>
      <w:r>
        <w:rPr>
          <w:spacing w:val="-4"/>
        </w:rPr>
        <w:t xml:space="preserve"> </w:t>
      </w:r>
      <w:r>
        <w:t>designed</w:t>
      </w:r>
      <w:r>
        <w:rPr>
          <w:spacing w:val="-7"/>
        </w:rPr>
        <w:t xml:space="preserve"> </w:t>
      </w:r>
      <w:r>
        <w:t>to</w:t>
      </w:r>
      <w:r>
        <w:rPr>
          <w:spacing w:val="-5"/>
        </w:rPr>
        <w:t xml:space="preserve"> </w:t>
      </w:r>
      <w:r>
        <w:t>encourage</w:t>
      </w:r>
      <w:r>
        <w:rPr>
          <w:spacing w:val="-8"/>
        </w:rPr>
        <w:t xml:space="preserve"> </w:t>
      </w:r>
      <w:r>
        <w:t>active</w:t>
      </w:r>
      <w:r>
        <w:rPr>
          <w:spacing w:val="-5"/>
        </w:rPr>
        <w:t xml:space="preserve"> </w:t>
      </w:r>
      <w:r>
        <w:t>use</w:t>
      </w:r>
      <w:r>
        <w:rPr>
          <w:spacing w:val="-4"/>
        </w:rPr>
        <w:t xml:space="preserve"> </w:t>
      </w:r>
      <w:r>
        <w:t>and</w:t>
      </w:r>
      <w:r>
        <w:rPr>
          <w:spacing w:val="-5"/>
        </w:rPr>
        <w:t xml:space="preserve"> </w:t>
      </w:r>
      <w:r>
        <w:t>front</w:t>
      </w:r>
      <w:r>
        <w:rPr>
          <w:spacing w:val="-3"/>
        </w:rPr>
        <w:t xml:space="preserve"> </w:t>
      </w:r>
      <w:r>
        <w:t>yard</w:t>
      </w:r>
      <w:r>
        <w:rPr>
          <w:spacing w:val="-5"/>
        </w:rPr>
        <w:t xml:space="preserve"> </w:t>
      </w:r>
      <w:r>
        <w:t>surveillance</w:t>
      </w:r>
      <w:r>
        <w:rPr>
          <w:spacing w:val="-5"/>
        </w:rPr>
        <w:t xml:space="preserve"> </w:t>
      </w:r>
      <w:r>
        <w:t>by</w:t>
      </w:r>
      <w:r>
        <w:rPr>
          <w:spacing w:val="-6"/>
        </w:rPr>
        <w:t xml:space="preserve"> </w:t>
      </w:r>
      <w:r>
        <w:t xml:space="preserve">including </w:t>
      </w:r>
      <w:proofErr w:type="spellStart"/>
      <w:r>
        <w:t>verandahs</w:t>
      </w:r>
      <w:proofErr w:type="spellEnd"/>
      <w:r>
        <w:t>, porches or outdoor living areas the front of the</w:t>
      </w:r>
      <w:r>
        <w:rPr>
          <w:spacing w:val="-15"/>
        </w:rPr>
        <w:t xml:space="preserve"> </w:t>
      </w:r>
      <w:r>
        <w:t>dwelling.</w:t>
      </w:r>
    </w:p>
    <w:p w14:paraId="6A6C6611" w14:textId="77777777" w:rsidR="00665A13" w:rsidRDefault="00665A13" w:rsidP="002A3889">
      <w:pPr>
        <w:pStyle w:val="ListParagraph"/>
        <w:widowControl w:val="0"/>
        <w:numPr>
          <w:ilvl w:val="0"/>
          <w:numId w:val="404"/>
        </w:numPr>
        <w:tabs>
          <w:tab w:val="left" w:pos="1252"/>
          <w:tab w:val="left" w:pos="1253"/>
        </w:tabs>
        <w:autoSpaceDE w:val="0"/>
        <w:autoSpaceDN w:val="0"/>
        <w:spacing w:before="1" w:line="240" w:lineRule="auto"/>
        <w:ind w:left="1253" w:right="-28"/>
        <w:contextualSpacing w:val="0"/>
        <w:jc w:val="both"/>
      </w:pPr>
      <w:r>
        <w:t>Incorporate</w:t>
      </w:r>
      <w:r>
        <w:rPr>
          <w:spacing w:val="-4"/>
        </w:rPr>
        <w:t xml:space="preserve"> </w:t>
      </w:r>
      <w:r>
        <w:t>habitable</w:t>
      </w:r>
      <w:r>
        <w:rPr>
          <w:spacing w:val="-2"/>
        </w:rPr>
        <w:t xml:space="preserve"> </w:t>
      </w:r>
      <w:r>
        <w:t>rooms</w:t>
      </w:r>
      <w:r>
        <w:rPr>
          <w:spacing w:val="-4"/>
        </w:rPr>
        <w:t xml:space="preserve"> </w:t>
      </w:r>
      <w:r>
        <w:t>to</w:t>
      </w:r>
      <w:r>
        <w:rPr>
          <w:spacing w:val="-4"/>
        </w:rPr>
        <w:t xml:space="preserve"> </w:t>
      </w:r>
      <w:r>
        <w:t>the</w:t>
      </w:r>
      <w:r>
        <w:rPr>
          <w:spacing w:val="-3"/>
        </w:rPr>
        <w:t xml:space="preserve"> </w:t>
      </w:r>
      <w:r>
        <w:t>front</w:t>
      </w:r>
      <w:r>
        <w:rPr>
          <w:spacing w:val="-5"/>
        </w:rPr>
        <w:t xml:space="preserve"> </w:t>
      </w:r>
      <w:r>
        <w:t>of</w:t>
      </w:r>
      <w:r>
        <w:rPr>
          <w:spacing w:val="-6"/>
        </w:rPr>
        <w:t xml:space="preserve"> </w:t>
      </w:r>
      <w:r>
        <w:t>the</w:t>
      </w:r>
      <w:r>
        <w:rPr>
          <w:spacing w:val="-4"/>
        </w:rPr>
        <w:t xml:space="preserve"> </w:t>
      </w:r>
      <w:r>
        <w:t>development</w:t>
      </w:r>
      <w:r>
        <w:rPr>
          <w:spacing w:val="-1"/>
        </w:rPr>
        <w:t xml:space="preserve"> </w:t>
      </w:r>
      <w:r>
        <w:t>with</w:t>
      </w:r>
      <w:r>
        <w:rPr>
          <w:spacing w:val="-4"/>
        </w:rPr>
        <w:t xml:space="preserve"> </w:t>
      </w:r>
      <w:r>
        <w:t>generous</w:t>
      </w:r>
      <w:r>
        <w:rPr>
          <w:spacing w:val="-4"/>
        </w:rPr>
        <w:t xml:space="preserve"> </w:t>
      </w:r>
      <w:r>
        <w:t>openings</w:t>
      </w:r>
      <w:r>
        <w:rPr>
          <w:spacing w:val="-2"/>
        </w:rPr>
        <w:t xml:space="preserve"> </w:t>
      </w:r>
      <w:r>
        <w:t>to encourage street engagement and passive surveillance to the</w:t>
      </w:r>
      <w:r>
        <w:rPr>
          <w:spacing w:val="-10"/>
        </w:rPr>
        <w:t xml:space="preserve"> </w:t>
      </w:r>
      <w:r>
        <w:t>street.</w:t>
      </w:r>
    </w:p>
    <w:p w14:paraId="5B948A6B" w14:textId="77777777" w:rsidR="00665A13" w:rsidRPr="008A53B6" w:rsidRDefault="00665A13" w:rsidP="008A53B6">
      <w:pPr>
        <w:spacing w:after="0"/>
        <w:ind w:left="425"/>
        <w:rPr>
          <w:b/>
        </w:rPr>
      </w:pPr>
      <w:r w:rsidRPr="008A53B6">
        <w:rPr>
          <w:b/>
        </w:rPr>
        <w:t>Front Fences</w:t>
      </w:r>
    </w:p>
    <w:p w14:paraId="6C8F0874" w14:textId="77777777" w:rsidR="00665A13" w:rsidRDefault="00665A13" w:rsidP="002A3889">
      <w:pPr>
        <w:pStyle w:val="ListParagraph"/>
        <w:widowControl w:val="0"/>
        <w:numPr>
          <w:ilvl w:val="0"/>
          <w:numId w:val="403"/>
        </w:numPr>
        <w:tabs>
          <w:tab w:val="left" w:pos="1252"/>
          <w:tab w:val="left" w:pos="1253"/>
        </w:tabs>
        <w:autoSpaceDE w:val="0"/>
        <w:autoSpaceDN w:val="0"/>
        <w:spacing w:after="60" w:line="240" w:lineRule="auto"/>
        <w:ind w:right="-29"/>
        <w:contextualSpacing w:val="0"/>
        <w:jc w:val="both"/>
      </w:pPr>
      <w:r>
        <w:t>Fences</w:t>
      </w:r>
      <w:r>
        <w:rPr>
          <w:spacing w:val="-11"/>
        </w:rPr>
        <w:t xml:space="preserve"> </w:t>
      </w:r>
      <w:r>
        <w:t>on</w:t>
      </w:r>
      <w:r>
        <w:rPr>
          <w:spacing w:val="-10"/>
        </w:rPr>
        <w:t xml:space="preserve"> </w:t>
      </w:r>
      <w:r>
        <w:t>the</w:t>
      </w:r>
      <w:r>
        <w:rPr>
          <w:spacing w:val="-9"/>
        </w:rPr>
        <w:t xml:space="preserve"> </w:t>
      </w:r>
      <w:r>
        <w:t>street</w:t>
      </w:r>
      <w:r>
        <w:rPr>
          <w:spacing w:val="-6"/>
        </w:rPr>
        <w:t xml:space="preserve"> </w:t>
      </w:r>
      <w:r>
        <w:t>boundary</w:t>
      </w:r>
      <w:r>
        <w:rPr>
          <w:spacing w:val="-6"/>
        </w:rPr>
        <w:t xml:space="preserve"> </w:t>
      </w:r>
      <w:r>
        <w:t>are</w:t>
      </w:r>
      <w:r>
        <w:rPr>
          <w:spacing w:val="-6"/>
        </w:rPr>
        <w:t xml:space="preserve"> </w:t>
      </w:r>
      <w:r>
        <w:t>to</w:t>
      </w:r>
      <w:r>
        <w:rPr>
          <w:spacing w:val="-10"/>
        </w:rPr>
        <w:t xml:space="preserve"> </w:t>
      </w:r>
      <w:r>
        <w:t>be</w:t>
      </w:r>
      <w:r>
        <w:rPr>
          <w:spacing w:val="-6"/>
        </w:rPr>
        <w:t xml:space="preserve"> </w:t>
      </w:r>
      <w:r>
        <w:t>low,</w:t>
      </w:r>
      <w:r>
        <w:rPr>
          <w:spacing w:val="-9"/>
        </w:rPr>
        <w:t xml:space="preserve"> </w:t>
      </w:r>
      <w:r>
        <w:t>complement</w:t>
      </w:r>
      <w:r>
        <w:rPr>
          <w:spacing w:val="-7"/>
        </w:rPr>
        <w:t xml:space="preserve"> </w:t>
      </w:r>
      <w:r>
        <w:t>the</w:t>
      </w:r>
      <w:r>
        <w:rPr>
          <w:spacing w:val="-6"/>
        </w:rPr>
        <w:t xml:space="preserve"> </w:t>
      </w:r>
      <w:r>
        <w:t>individual</w:t>
      </w:r>
      <w:r>
        <w:rPr>
          <w:spacing w:val="-6"/>
        </w:rPr>
        <w:t xml:space="preserve"> </w:t>
      </w:r>
      <w:r>
        <w:t>building</w:t>
      </w:r>
      <w:r>
        <w:rPr>
          <w:spacing w:val="-10"/>
        </w:rPr>
        <w:t xml:space="preserve"> </w:t>
      </w:r>
      <w:r>
        <w:t>and</w:t>
      </w:r>
      <w:r>
        <w:rPr>
          <w:spacing w:val="-7"/>
        </w:rPr>
        <w:t xml:space="preserve"> </w:t>
      </w:r>
      <w:r>
        <w:t>the immediate locality and demonstrate the</w:t>
      </w:r>
      <w:r>
        <w:rPr>
          <w:spacing w:val="-6"/>
        </w:rPr>
        <w:t xml:space="preserve"> </w:t>
      </w:r>
      <w:r>
        <w:t>following:</w:t>
      </w:r>
    </w:p>
    <w:p w14:paraId="46444553" w14:textId="77777777" w:rsidR="00665A13" w:rsidRDefault="00665A13" w:rsidP="002A3889">
      <w:pPr>
        <w:pStyle w:val="ListParagraph"/>
        <w:widowControl w:val="0"/>
        <w:numPr>
          <w:ilvl w:val="0"/>
          <w:numId w:val="402"/>
        </w:numPr>
        <w:autoSpaceDE w:val="0"/>
        <w:autoSpaceDN w:val="0"/>
        <w:spacing w:after="60" w:line="267" w:lineRule="exact"/>
        <w:ind w:left="1843" w:hanging="567"/>
        <w:contextualSpacing w:val="0"/>
        <w:jc w:val="both"/>
      </w:pPr>
      <w:r>
        <w:rPr>
          <w:w w:val="105"/>
        </w:rPr>
        <w:t>Appropriate material</w:t>
      </w:r>
      <w:r>
        <w:rPr>
          <w:spacing w:val="-3"/>
          <w:w w:val="105"/>
        </w:rPr>
        <w:t xml:space="preserve"> </w:t>
      </w:r>
      <w:r>
        <w:rPr>
          <w:w w:val="105"/>
        </w:rPr>
        <w:t xml:space="preserve">and </w:t>
      </w:r>
      <w:proofErr w:type="gramStart"/>
      <w:r>
        <w:rPr>
          <w:w w:val="105"/>
        </w:rPr>
        <w:t>colour;</w:t>
      </w:r>
      <w:proofErr w:type="gramEnd"/>
    </w:p>
    <w:p w14:paraId="44244C4E" w14:textId="77777777" w:rsidR="00665A13" w:rsidRDefault="00665A13" w:rsidP="002A3889">
      <w:pPr>
        <w:pStyle w:val="ListParagraph"/>
        <w:widowControl w:val="0"/>
        <w:numPr>
          <w:ilvl w:val="0"/>
          <w:numId w:val="402"/>
        </w:numPr>
        <w:autoSpaceDE w:val="0"/>
        <w:autoSpaceDN w:val="0"/>
        <w:spacing w:after="60" w:line="240" w:lineRule="auto"/>
        <w:ind w:left="1843" w:right="-29" w:hanging="567"/>
        <w:contextualSpacing w:val="0"/>
        <w:jc w:val="both"/>
      </w:pPr>
      <w:r>
        <w:t>Unobstructed</w:t>
      </w:r>
      <w:r>
        <w:rPr>
          <w:spacing w:val="-11"/>
        </w:rPr>
        <w:t xml:space="preserve"> </w:t>
      </w:r>
      <w:r>
        <w:t>sight</w:t>
      </w:r>
      <w:r>
        <w:rPr>
          <w:spacing w:val="-12"/>
        </w:rPr>
        <w:t xml:space="preserve"> </w:t>
      </w:r>
      <w:r>
        <w:t>lines</w:t>
      </w:r>
      <w:r>
        <w:rPr>
          <w:spacing w:val="-10"/>
        </w:rPr>
        <w:t xml:space="preserve"> </w:t>
      </w:r>
      <w:r>
        <w:t>by</w:t>
      </w:r>
      <w:r>
        <w:rPr>
          <w:spacing w:val="-13"/>
        </w:rPr>
        <w:t xml:space="preserve"> </w:t>
      </w:r>
      <w:r>
        <w:t>not</w:t>
      </w:r>
      <w:r>
        <w:rPr>
          <w:spacing w:val="-8"/>
        </w:rPr>
        <w:t xml:space="preserve"> </w:t>
      </w:r>
      <w:r>
        <w:t>exceeding</w:t>
      </w:r>
      <w:r>
        <w:rPr>
          <w:spacing w:val="-10"/>
        </w:rPr>
        <w:t xml:space="preserve"> </w:t>
      </w:r>
      <w:r>
        <w:t>a</w:t>
      </w:r>
      <w:r>
        <w:rPr>
          <w:spacing w:val="-12"/>
        </w:rPr>
        <w:t xml:space="preserve"> </w:t>
      </w:r>
      <w:r>
        <w:t>height</w:t>
      </w:r>
      <w:r>
        <w:rPr>
          <w:spacing w:val="-10"/>
        </w:rPr>
        <w:t xml:space="preserve"> </w:t>
      </w:r>
      <w:r>
        <w:t>of</w:t>
      </w:r>
      <w:r>
        <w:rPr>
          <w:spacing w:val="-13"/>
        </w:rPr>
        <w:t xml:space="preserve"> </w:t>
      </w:r>
      <w:r>
        <w:t>0.75m</w:t>
      </w:r>
      <w:r>
        <w:rPr>
          <w:spacing w:val="-9"/>
        </w:rPr>
        <w:t xml:space="preserve"> </w:t>
      </w:r>
      <w:r>
        <w:t>within</w:t>
      </w:r>
      <w:r>
        <w:rPr>
          <w:spacing w:val="-11"/>
        </w:rPr>
        <w:t xml:space="preserve"> </w:t>
      </w:r>
      <w:r>
        <w:t>1.5m</w:t>
      </w:r>
      <w:r>
        <w:rPr>
          <w:spacing w:val="-10"/>
        </w:rPr>
        <w:t xml:space="preserve"> </w:t>
      </w:r>
      <w:r>
        <w:t>of</w:t>
      </w:r>
      <w:r>
        <w:rPr>
          <w:spacing w:val="-12"/>
        </w:rPr>
        <w:t xml:space="preserve"> </w:t>
      </w:r>
      <w:r>
        <w:t>vehicle</w:t>
      </w:r>
      <w:r>
        <w:rPr>
          <w:spacing w:val="-12"/>
        </w:rPr>
        <w:t xml:space="preserve"> </w:t>
      </w:r>
      <w:r>
        <w:t xml:space="preserve">access points (including access ways, streets, crossovers </w:t>
      </w:r>
      <w:r>
        <w:rPr>
          <w:spacing w:val="-2"/>
        </w:rPr>
        <w:t xml:space="preserve">and </w:t>
      </w:r>
      <w:r>
        <w:t>footpaths) to ensure safety and visibility; and</w:t>
      </w:r>
    </w:p>
    <w:p w14:paraId="3F902D4B" w14:textId="77777777" w:rsidR="00665A13" w:rsidRDefault="00665A13" w:rsidP="002A3889">
      <w:pPr>
        <w:pStyle w:val="ListParagraph"/>
        <w:widowControl w:val="0"/>
        <w:numPr>
          <w:ilvl w:val="0"/>
          <w:numId w:val="402"/>
        </w:numPr>
        <w:autoSpaceDE w:val="0"/>
        <w:autoSpaceDN w:val="0"/>
        <w:spacing w:after="60" w:line="240" w:lineRule="auto"/>
        <w:ind w:left="1843" w:right="-29" w:hanging="567"/>
        <w:contextualSpacing w:val="0"/>
        <w:jc w:val="both"/>
      </w:pPr>
      <w:r>
        <w:rPr>
          <w:w w:val="105"/>
        </w:rPr>
        <w:t>Front fences within the primary street setback area visually permeable above 1.2m natural ground level and being a maximum height of</w:t>
      </w:r>
      <w:r>
        <w:rPr>
          <w:spacing w:val="-39"/>
          <w:w w:val="105"/>
        </w:rPr>
        <w:t xml:space="preserve"> </w:t>
      </w:r>
      <w:r>
        <w:rPr>
          <w:w w:val="105"/>
        </w:rPr>
        <w:t>1.8m.</w:t>
      </w:r>
    </w:p>
    <w:p w14:paraId="192671BC" w14:textId="77777777" w:rsidR="00665A13" w:rsidRDefault="00665A13" w:rsidP="002A3889">
      <w:pPr>
        <w:pStyle w:val="ListParagraph"/>
        <w:widowControl w:val="0"/>
        <w:numPr>
          <w:ilvl w:val="0"/>
          <w:numId w:val="403"/>
        </w:numPr>
        <w:tabs>
          <w:tab w:val="left" w:pos="1252"/>
          <w:tab w:val="left" w:pos="1253"/>
        </w:tabs>
        <w:autoSpaceDE w:val="0"/>
        <w:autoSpaceDN w:val="0"/>
        <w:spacing w:before="1" w:line="240" w:lineRule="auto"/>
        <w:ind w:left="1253" w:hanging="709"/>
        <w:contextualSpacing w:val="0"/>
        <w:jc w:val="both"/>
      </w:pPr>
      <w:r>
        <w:t>Contributory existing fences should be retained and restored where</w:t>
      </w:r>
      <w:r w:rsidRPr="00703CDF">
        <w:rPr>
          <w:spacing w:val="-17"/>
        </w:rPr>
        <w:t xml:space="preserve"> </w:t>
      </w:r>
      <w:r>
        <w:t>required.</w:t>
      </w:r>
    </w:p>
    <w:p w14:paraId="72E60AD1" w14:textId="77777777" w:rsidR="00665A13" w:rsidRPr="008A53B6" w:rsidRDefault="00665A13" w:rsidP="008A53B6">
      <w:pPr>
        <w:spacing w:after="0"/>
        <w:ind w:left="426"/>
        <w:rPr>
          <w:b/>
        </w:rPr>
      </w:pPr>
      <w:r w:rsidRPr="008A53B6">
        <w:rPr>
          <w:b/>
        </w:rPr>
        <w:t>Access and Parking</w:t>
      </w:r>
    </w:p>
    <w:p w14:paraId="7E39E5BD" w14:textId="77777777" w:rsidR="00665A13" w:rsidRDefault="00665A13" w:rsidP="002A3889">
      <w:pPr>
        <w:pStyle w:val="ListParagraph"/>
        <w:widowControl w:val="0"/>
        <w:numPr>
          <w:ilvl w:val="0"/>
          <w:numId w:val="401"/>
        </w:numPr>
        <w:autoSpaceDE w:val="0"/>
        <w:autoSpaceDN w:val="0"/>
        <w:spacing w:after="60" w:line="240" w:lineRule="auto"/>
        <w:ind w:left="1276" w:right="-29" w:hanging="850"/>
        <w:contextualSpacing w:val="0"/>
        <w:jc w:val="both"/>
      </w:pPr>
      <w:r>
        <w:t>Unless otherwise agreed to by the Town, access and parking is to be adequately provided for within the boundaries of the lot/development</w:t>
      </w:r>
      <w:r>
        <w:rPr>
          <w:spacing w:val="-8"/>
        </w:rPr>
        <w:t xml:space="preserve"> </w:t>
      </w:r>
      <w:r>
        <w:t>site.</w:t>
      </w:r>
    </w:p>
    <w:p w14:paraId="0E2F8092" w14:textId="77777777" w:rsidR="00665A13" w:rsidRDefault="00665A13" w:rsidP="002A3889">
      <w:pPr>
        <w:pStyle w:val="ListParagraph"/>
        <w:widowControl w:val="0"/>
        <w:numPr>
          <w:ilvl w:val="0"/>
          <w:numId w:val="401"/>
        </w:numPr>
        <w:autoSpaceDE w:val="0"/>
        <w:autoSpaceDN w:val="0"/>
        <w:spacing w:after="60" w:line="240" w:lineRule="auto"/>
        <w:ind w:left="1276" w:hanging="850"/>
        <w:contextualSpacing w:val="0"/>
        <w:jc w:val="both"/>
      </w:pPr>
      <w:r>
        <w:t>Access and parking arrangements are to have no negative impact</w:t>
      </w:r>
      <w:r>
        <w:rPr>
          <w:spacing w:val="-18"/>
        </w:rPr>
        <w:t xml:space="preserve"> </w:t>
      </w:r>
      <w:r>
        <w:t>on:</w:t>
      </w:r>
    </w:p>
    <w:p w14:paraId="4F640CB9" w14:textId="77777777" w:rsidR="00665A13" w:rsidRDefault="00665A13" w:rsidP="002A3889">
      <w:pPr>
        <w:pStyle w:val="ListParagraph"/>
        <w:widowControl w:val="0"/>
        <w:numPr>
          <w:ilvl w:val="1"/>
          <w:numId w:val="401"/>
        </w:numPr>
        <w:autoSpaceDE w:val="0"/>
        <w:autoSpaceDN w:val="0"/>
        <w:spacing w:after="60" w:line="240" w:lineRule="auto"/>
        <w:ind w:left="1843" w:hanging="567"/>
        <w:contextualSpacing w:val="0"/>
        <w:jc w:val="both"/>
      </w:pPr>
      <w:r>
        <w:t>The streetscape character and amenity;</w:t>
      </w:r>
      <w:r>
        <w:rPr>
          <w:spacing w:val="-9"/>
        </w:rPr>
        <w:t xml:space="preserve"> </w:t>
      </w:r>
      <w:r>
        <w:t>and</w:t>
      </w:r>
    </w:p>
    <w:p w14:paraId="4C48EB13" w14:textId="77777777" w:rsidR="00665A13" w:rsidRDefault="00665A13" w:rsidP="002A3889">
      <w:pPr>
        <w:pStyle w:val="ListParagraph"/>
        <w:widowControl w:val="0"/>
        <w:numPr>
          <w:ilvl w:val="1"/>
          <w:numId w:val="401"/>
        </w:numPr>
        <w:autoSpaceDE w:val="0"/>
        <w:autoSpaceDN w:val="0"/>
        <w:spacing w:after="60" w:line="267" w:lineRule="exact"/>
        <w:ind w:left="1843" w:hanging="567"/>
        <w:contextualSpacing w:val="0"/>
        <w:jc w:val="both"/>
      </w:pPr>
      <w:r>
        <w:t>The availability of on-street parking in the</w:t>
      </w:r>
      <w:r>
        <w:rPr>
          <w:spacing w:val="-7"/>
        </w:rPr>
        <w:t xml:space="preserve"> </w:t>
      </w:r>
      <w:r>
        <w:t>locality.</w:t>
      </w:r>
    </w:p>
    <w:p w14:paraId="246F17E3" w14:textId="77777777" w:rsidR="00665A13" w:rsidRDefault="00665A13" w:rsidP="002A3889">
      <w:pPr>
        <w:pStyle w:val="ListParagraph"/>
        <w:widowControl w:val="0"/>
        <w:numPr>
          <w:ilvl w:val="0"/>
          <w:numId w:val="401"/>
        </w:numPr>
        <w:autoSpaceDE w:val="0"/>
        <w:autoSpaceDN w:val="0"/>
        <w:spacing w:after="60" w:line="240" w:lineRule="auto"/>
        <w:ind w:left="1276" w:right="-29" w:hanging="850"/>
        <w:contextualSpacing w:val="0"/>
        <w:jc w:val="both"/>
      </w:pPr>
      <w:r>
        <w:t>Off-street parking for commercial purposes is to be located at the rear of the site or otherwise screened from view from the main street</w:t>
      </w:r>
      <w:r>
        <w:rPr>
          <w:spacing w:val="-8"/>
        </w:rPr>
        <w:t xml:space="preserve"> </w:t>
      </w:r>
      <w:r>
        <w:t>frontage.</w:t>
      </w:r>
    </w:p>
    <w:p w14:paraId="54F42D17" w14:textId="77777777" w:rsidR="00665A13" w:rsidRPr="008A53B6" w:rsidRDefault="00665A13" w:rsidP="002A3889">
      <w:pPr>
        <w:pStyle w:val="ListParagraph"/>
        <w:widowControl w:val="0"/>
        <w:numPr>
          <w:ilvl w:val="0"/>
          <w:numId w:val="401"/>
        </w:numPr>
        <w:autoSpaceDE w:val="0"/>
        <w:autoSpaceDN w:val="0"/>
        <w:spacing w:after="60" w:line="240" w:lineRule="auto"/>
        <w:ind w:left="1276" w:right="-29" w:hanging="850"/>
        <w:contextualSpacing w:val="0"/>
        <w:jc w:val="both"/>
        <w:rPr>
          <w:rFonts w:cstheme="minorHAnsi"/>
        </w:rPr>
      </w:pPr>
      <w:r>
        <w:t>Where the Town is satisfied that a requirement for off-</w:t>
      </w:r>
      <w:proofErr w:type="gramStart"/>
      <w:r>
        <w:t>street car</w:t>
      </w:r>
      <w:proofErr w:type="gramEnd"/>
      <w:r>
        <w:t xml:space="preserve"> parking for a new development cannot be achieved without adversely impacting on the cultural heritage significance and streetscape character of the Heritage Area, the Town may consider on- street</w:t>
      </w:r>
      <w:r w:rsidRPr="008A53B6">
        <w:rPr>
          <w:spacing w:val="-5"/>
        </w:rPr>
        <w:t xml:space="preserve"> </w:t>
      </w:r>
      <w:r>
        <w:t>parking</w:t>
      </w:r>
      <w:r w:rsidRPr="008A53B6">
        <w:rPr>
          <w:spacing w:val="-6"/>
        </w:rPr>
        <w:t xml:space="preserve"> </w:t>
      </w:r>
      <w:r>
        <w:t>subject</w:t>
      </w:r>
      <w:r w:rsidRPr="008A53B6">
        <w:rPr>
          <w:spacing w:val="-8"/>
        </w:rPr>
        <w:t xml:space="preserve"> </w:t>
      </w:r>
      <w:r>
        <w:t>to</w:t>
      </w:r>
      <w:r w:rsidRPr="008A53B6">
        <w:rPr>
          <w:spacing w:val="-4"/>
        </w:rPr>
        <w:t xml:space="preserve"> </w:t>
      </w:r>
      <w:r>
        <w:t>an</w:t>
      </w:r>
      <w:r w:rsidRPr="008A53B6">
        <w:rPr>
          <w:spacing w:val="-7"/>
        </w:rPr>
        <w:t xml:space="preserve"> </w:t>
      </w:r>
      <w:r>
        <w:t>approved</w:t>
      </w:r>
      <w:r w:rsidRPr="008A53B6">
        <w:rPr>
          <w:spacing w:val="-7"/>
        </w:rPr>
        <w:t xml:space="preserve"> </w:t>
      </w:r>
      <w:r>
        <w:t>parking</w:t>
      </w:r>
      <w:r w:rsidRPr="008A53B6">
        <w:rPr>
          <w:spacing w:val="-5"/>
        </w:rPr>
        <w:t xml:space="preserve"> </w:t>
      </w:r>
      <w:r>
        <w:t>and</w:t>
      </w:r>
      <w:r w:rsidRPr="008A53B6">
        <w:rPr>
          <w:spacing w:val="-7"/>
        </w:rPr>
        <w:t xml:space="preserve"> </w:t>
      </w:r>
      <w:r>
        <w:t>traffic</w:t>
      </w:r>
      <w:r w:rsidRPr="008A53B6">
        <w:rPr>
          <w:spacing w:val="-4"/>
        </w:rPr>
        <w:t xml:space="preserve"> </w:t>
      </w:r>
      <w:r>
        <w:t>plan</w:t>
      </w:r>
      <w:r w:rsidRPr="008A53B6">
        <w:rPr>
          <w:spacing w:val="-4"/>
        </w:rPr>
        <w:t xml:space="preserve"> </w:t>
      </w:r>
      <w:r>
        <w:t>and</w:t>
      </w:r>
      <w:r w:rsidRPr="008A53B6">
        <w:rPr>
          <w:spacing w:val="-7"/>
        </w:rPr>
        <w:t xml:space="preserve"> </w:t>
      </w:r>
      <w:r>
        <w:t>being</w:t>
      </w:r>
      <w:r w:rsidRPr="008A53B6">
        <w:rPr>
          <w:spacing w:val="-4"/>
        </w:rPr>
        <w:t xml:space="preserve"> </w:t>
      </w:r>
      <w:r>
        <w:t>pursuant</w:t>
      </w:r>
      <w:r w:rsidRPr="008A53B6">
        <w:rPr>
          <w:spacing w:val="-8"/>
        </w:rPr>
        <w:t xml:space="preserve"> </w:t>
      </w:r>
      <w:r>
        <w:t>to</w:t>
      </w:r>
      <w:r w:rsidRPr="008A53B6">
        <w:rPr>
          <w:spacing w:val="-4"/>
        </w:rPr>
        <w:t xml:space="preserve"> </w:t>
      </w:r>
      <w:r>
        <w:t>Clause</w:t>
      </w:r>
      <w:r w:rsidR="008A53B6">
        <w:t xml:space="preserve"> </w:t>
      </w:r>
      <w:r w:rsidRPr="008A53B6">
        <w:rPr>
          <w:rFonts w:cstheme="minorHAnsi"/>
        </w:rPr>
        <w:t>5.8.7 and Clause 5.8.8 of Local Planning Scheme No. 3.</w:t>
      </w:r>
    </w:p>
    <w:p w14:paraId="3672AC17" w14:textId="77777777" w:rsidR="00665A13" w:rsidRDefault="00665A13" w:rsidP="002A3889">
      <w:pPr>
        <w:pStyle w:val="ListParagraph"/>
        <w:widowControl w:val="0"/>
        <w:numPr>
          <w:ilvl w:val="0"/>
          <w:numId w:val="401"/>
        </w:numPr>
        <w:autoSpaceDE w:val="0"/>
        <w:autoSpaceDN w:val="0"/>
        <w:spacing w:line="240" w:lineRule="auto"/>
        <w:ind w:left="1276" w:right="-29" w:hanging="851"/>
        <w:contextualSpacing w:val="0"/>
        <w:jc w:val="both"/>
      </w:pPr>
      <w:r>
        <w:t>Bicycle parking and associated facilities are required to be provided in accordance with Local Planning Scheme No. 3 and SPP 7.3 – Residential Design Codes – Volume 1 where applicable.</w:t>
      </w:r>
    </w:p>
    <w:p w14:paraId="6840B4F0" w14:textId="77777777" w:rsidR="00665A13" w:rsidRPr="008A53B6" w:rsidRDefault="00665A13" w:rsidP="008A53B6">
      <w:pPr>
        <w:spacing w:after="0"/>
        <w:ind w:left="426"/>
        <w:rPr>
          <w:b/>
        </w:rPr>
      </w:pPr>
      <w:r w:rsidRPr="008A53B6">
        <w:rPr>
          <w:b/>
        </w:rPr>
        <w:t>Garages and Carports</w:t>
      </w:r>
    </w:p>
    <w:p w14:paraId="156A3913" w14:textId="77777777" w:rsidR="00665A13" w:rsidRDefault="00665A13" w:rsidP="002A3889">
      <w:pPr>
        <w:pStyle w:val="ListParagraph"/>
        <w:widowControl w:val="0"/>
        <w:numPr>
          <w:ilvl w:val="0"/>
          <w:numId w:val="400"/>
        </w:numPr>
        <w:autoSpaceDE w:val="0"/>
        <w:autoSpaceDN w:val="0"/>
        <w:spacing w:after="60" w:line="240" w:lineRule="auto"/>
        <w:ind w:left="1276" w:hanging="851"/>
        <w:contextualSpacing w:val="0"/>
        <w:jc w:val="both"/>
      </w:pPr>
      <w:r>
        <w:t>Maintain the absence of visually intrusive car storage facilities within the</w:t>
      </w:r>
      <w:r>
        <w:rPr>
          <w:spacing w:val="-20"/>
        </w:rPr>
        <w:t xml:space="preserve"> </w:t>
      </w:r>
      <w:r>
        <w:t>streetscape.</w:t>
      </w:r>
    </w:p>
    <w:p w14:paraId="271C583C" w14:textId="77777777" w:rsidR="00665A13" w:rsidRDefault="00665A13" w:rsidP="002A3889">
      <w:pPr>
        <w:pStyle w:val="ListParagraph"/>
        <w:widowControl w:val="0"/>
        <w:numPr>
          <w:ilvl w:val="0"/>
          <w:numId w:val="400"/>
        </w:numPr>
        <w:autoSpaceDE w:val="0"/>
        <w:autoSpaceDN w:val="0"/>
        <w:spacing w:after="60" w:line="240" w:lineRule="auto"/>
        <w:ind w:left="1276" w:right="-29" w:hanging="851"/>
        <w:contextualSpacing w:val="0"/>
        <w:jc w:val="both"/>
      </w:pPr>
      <w:r>
        <w:t xml:space="preserve">Where garages and/or carports are part of a development they must be incorporated </w:t>
      </w:r>
      <w:proofErr w:type="gramStart"/>
      <w:r>
        <w:t>into, and</w:t>
      </w:r>
      <w:proofErr w:type="gramEnd"/>
      <w:r>
        <w:rPr>
          <w:spacing w:val="-11"/>
        </w:rPr>
        <w:t xml:space="preserve"> </w:t>
      </w:r>
      <w:r>
        <w:t>be</w:t>
      </w:r>
      <w:r>
        <w:rPr>
          <w:spacing w:val="-10"/>
        </w:rPr>
        <w:t xml:space="preserve"> </w:t>
      </w:r>
      <w:r>
        <w:t>compatible</w:t>
      </w:r>
      <w:r>
        <w:rPr>
          <w:spacing w:val="-13"/>
        </w:rPr>
        <w:t xml:space="preserve"> </w:t>
      </w:r>
      <w:r>
        <w:t>with</w:t>
      </w:r>
      <w:r>
        <w:rPr>
          <w:spacing w:val="-16"/>
        </w:rPr>
        <w:t xml:space="preserve"> </w:t>
      </w:r>
      <w:r>
        <w:t>the</w:t>
      </w:r>
      <w:r>
        <w:rPr>
          <w:spacing w:val="-11"/>
        </w:rPr>
        <w:t xml:space="preserve"> </w:t>
      </w:r>
      <w:r>
        <w:t>design</w:t>
      </w:r>
      <w:r>
        <w:rPr>
          <w:spacing w:val="-14"/>
        </w:rPr>
        <w:t xml:space="preserve"> </w:t>
      </w:r>
      <w:r>
        <w:t>of</w:t>
      </w:r>
      <w:r>
        <w:rPr>
          <w:spacing w:val="-15"/>
        </w:rPr>
        <w:t xml:space="preserve"> </w:t>
      </w:r>
      <w:r>
        <w:t>the</w:t>
      </w:r>
      <w:r>
        <w:rPr>
          <w:spacing w:val="-10"/>
        </w:rPr>
        <w:t xml:space="preserve"> </w:t>
      </w:r>
      <w:r>
        <w:t>building</w:t>
      </w:r>
      <w:r>
        <w:rPr>
          <w:spacing w:val="-12"/>
        </w:rPr>
        <w:t xml:space="preserve"> </w:t>
      </w:r>
      <w:r>
        <w:t>or</w:t>
      </w:r>
      <w:r>
        <w:rPr>
          <w:spacing w:val="-11"/>
        </w:rPr>
        <w:t xml:space="preserve"> </w:t>
      </w:r>
      <w:r>
        <w:t>setback</w:t>
      </w:r>
      <w:r>
        <w:rPr>
          <w:spacing w:val="-12"/>
        </w:rPr>
        <w:t xml:space="preserve"> </w:t>
      </w:r>
      <w:r>
        <w:t>behind</w:t>
      </w:r>
      <w:r>
        <w:rPr>
          <w:spacing w:val="-10"/>
        </w:rPr>
        <w:t xml:space="preserve"> </w:t>
      </w:r>
      <w:r>
        <w:t>the</w:t>
      </w:r>
      <w:r>
        <w:rPr>
          <w:spacing w:val="-14"/>
        </w:rPr>
        <w:t xml:space="preserve"> </w:t>
      </w:r>
      <w:r>
        <w:t>building</w:t>
      </w:r>
      <w:r>
        <w:rPr>
          <w:spacing w:val="-12"/>
        </w:rPr>
        <w:t xml:space="preserve"> </w:t>
      </w:r>
      <w:r>
        <w:t>setback</w:t>
      </w:r>
      <w:r>
        <w:rPr>
          <w:spacing w:val="-10"/>
        </w:rPr>
        <w:t xml:space="preserve"> </w:t>
      </w:r>
      <w:r>
        <w:t>line.</w:t>
      </w:r>
    </w:p>
    <w:p w14:paraId="0571B078" w14:textId="77777777" w:rsidR="00665A13" w:rsidRDefault="00665A13" w:rsidP="002A3889">
      <w:pPr>
        <w:pStyle w:val="ListParagraph"/>
        <w:widowControl w:val="0"/>
        <w:numPr>
          <w:ilvl w:val="0"/>
          <w:numId w:val="400"/>
        </w:numPr>
        <w:autoSpaceDE w:val="0"/>
        <w:autoSpaceDN w:val="0"/>
        <w:spacing w:after="60" w:line="240" w:lineRule="auto"/>
        <w:ind w:left="1276" w:right="-29" w:hanging="851"/>
        <w:contextualSpacing w:val="0"/>
        <w:jc w:val="both"/>
      </w:pPr>
      <w:r>
        <w:t>Garages</w:t>
      </w:r>
      <w:r>
        <w:rPr>
          <w:spacing w:val="-6"/>
        </w:rPr>
        <w:t xml:space="preserve"> </w:t>
      </w:r>
      <w:r>
        <w:t>and</w:t>
      </w:r>
      <w:r>
        <w:rPr>
          <w:spacing w:val="-6"/>
        </w:rPr>
        <w:t xml:space="preserve"> </w:t>
      </w:r>
      <w:r>
        <w:t>carports</w:t>
      </w:r>
      <w:r>
        <w:rPr>
          <w:spacing w:val="-8"/>
        </w:rPr>
        <w:t xml:space="preserve"> </w:t>
      </w:r>
      <w:r>
        <w:t>are</w:t>
      </w:r>
      <w:r>
        <w:rPr>
          <w:spacing w:val="-5"/>
        </w:rPr>
        <w:t xml:space="preserve"> </w:t>
      </w:r>
      <w:r>
        <w:t>not</w:t>
      </w:r>
      <w:r>
        <w:rPr>
          <w:spacing w:val="-4"/>
        </w:rPr>
        <w:t xml:space="preserve"> </w:t>
      </w:r>
      <w:r>
        <w:t>to</w:t>
      </w:r>
      <w:r>
        <w:rPr>
          <w:spacing w:val="-7"/>
        </w:rPr>
        <w:t xml:space="preserve"> </w:t>
      </w:r>
      <w:r>
        <w:t>dominate</w:t>
      </w:r>
      <w:r>
        <w:rPr>
          <w:spacing w:val="-5"/>
        </w:rPr>
        <w:t xml:space="preserve"> </w:t>
      </w:r>
      <w:r>
        <w:t>the</w:t>
      </w:r>
      <w:r>
        <w:rPr>
          <w:spacing w:val="-6"/>
        </w:rPr>
        <w:t xml:space="preserve"> </w:t>
      </w:r>
      <w:r>
        <w:t>building</w:t>
      </w:r>
      <w:r>
        <w:rPr>
          <w:spacing w:val="-7"/>
        </w:rPr>
        <w:t xml:space="preserve"> </w:t>
      </w:r>
      <w:r>
        <w:t>as</w:t>
      </w:r>
      <w:r>
        <w:rPr>
          <w:spacing w:val="-5"/>
        </w:rPr>
        <w:t xml:space="preserve"> </w:t>
      </w:r>
      <w:r>
        <w:t>viewed</w:t>
      </w:r>
      <w:r>
        <w:rPr>
          <w:spacing w:val="-7"/>
        </w:rPr>
        <w:t xml:space="preserve"> </w:t>
      </w:r>
      <w:r>
        <w:t>from</w:t>
      </w:r>
      <w:r>
        <w:rPr>
          <w:spacing w:val="-5"/>
        </w:rPr>
        <w:t xml:space="preserve"> </w:t>
      </w:r>
      <w:r>
        <w:t>the</w:t>
      </w:r>
      <w:r>
        <w:rPr>
          <w:spacing w:val="-6"/>
        </w:rPr>
        <w:t xml:space="preserve"> </w:t>
      </w:r>
      <w:r>
        <w:t>street</w:t>
      </w:r>
      <w:r>
        <w:rPr>
          <w:spacing w:val="-8"/>
        </w:rPr>
        <w:t xml:space="preserve"> </w:t>
      </w:r>
      <w:r>
        <w:t>and</w:t>
      </w:r>
      <w:r>
        <w:rPr>
          <w:spacing w:val="-5"/>
        </w:rPr>
        <w:t xml:space="preserve"> </w:t>
      </w:r>
      <w:r>
        <w:t>are</w:t>
      </w:r>
      <w:r>
        <w:rPr>
          <w:spacing w:val="-6"/>
        </w:rPr>
        <w:t xml:space="preserve"> </w:t>
      </w:r>
      <w:r>
        <w:t>not to adversely impact on the</w:t>
      </w:r>
      <w:r>
        <w:rPr>
          <w:spacing w:val="-3"/>
        </w:rPr>
        <w:t xml:space="preserve"> </w:t>
      </w:r>
      <w:r>
        <w:t>streetscape.</w:t>
      </w:r>
    </w:p>
    <w:p w14:paraId="758BA7AF" w14:textId="77777777" w:rsidR="00665A13" w:rsidRDefault="00665A13" w:rsidP="002A3889">
      <w:pPr>
        <w:pStyle w:val="ListParagraph"/>
        <w:widowControl w:val="0"/>
        <w:numPr>
          <w:ilvl w:val="0"/>
          <w:numId w:val="400"/>
        </w:numPr>
        <w:autoSpaceDE w:val="0"/>
        <w:autoSpaceDN w:val="0"/>
        <w:spacing w:after="60" w:line="240" w:lineRule="auto"/>
        <w:ind w:left="1276" w:right="-29" w:hanging="851"/>
        <w:contextualSpacing w:val="0"/>
        <w:jc w:val="both"/>
      </w:pPr>
      <w:r>
        <w:t>Garages</w:t>
      </w:r>
      <w:r>
        <w:rPr>
          <w:spacing w:val="-13"/>
        </w:rPr>
        <w:t xml:space="preserve"> </w:t>
      </w:r>
      <w:r>
        <w:t>and</w:t>
      </w:r>
      <w:r>
        <w:rPr>
          <w:spacing w:val="-14"/>
        </w:rPr>
        <w:t xml:space="preserve"> </w:t>
      </w:r>
      <w:r>
        <w:t>carports</w:t>
      </w:r>
      <w:r>
        <w:rPr>
          <w:spacing w:val="-14"/>
        </w:rPr>
        <w:t xml:space="preserve"> </w:t>
      </w:r>
      <w:r>
        <w:t>are</w:t>
      </w:r>
      <w:r>
        <w:rPr>
          <w:spacing w:val="-12"/>
        </w:rPr>
        <w:t xml:space="preserve"> </w:t>
      </w:r>
      <w:r>
        <w:t>not</w:t>
      </w:r>
      <w:r>
        <w:rPr>
          <w:spacing w:val="-11"/>
        </w:rPr>
        <w:t xml:space="preserve"> </w:t>
      </w:r>
      <w:r>
        <w:t>to</w:t>
      </w:r>
      <w:r>
        <w:rPr>
          <w:spacing w:val="-12"/>
        </w:rPr>
        <w:t xml:space="preserve"> </w:t>
      </w:r>
      <w:r>
        <w:t>be</w:t>
      </w:r>
      <w:r>
        <w:rPr>
          <w:spacing w:val="-12"/>
        </w:rPr>
        <w:t xml:space="preserve"> </w:t>
      </w:r>
      <w:r>
        <w:t>located</w:t>
      </w:r>
      <w:r>
        <w:rPr>
          <w:spacing w:val="-13"/>
        </w:rPr>
        <w:t xml:space="preserve"> </w:t>
      </w:r>
      <w:r>
        <w:t>forward</w:t>
      </w:r>
      <w:r>
        <w:rPr>
          <w:spacing w:val="-16"/>
        </w:rPr>
        <w:t xml:space="preserve"> </w:t>
      </w:r>
      <w:r>
        <w:t>of</w:t>
      </w:r>
      <w:r>
        <w:rPr>
          <w:spacing w:val="-17"/>
        </w:rPr>
        <w:t xml:space="preserve"> </w:t>
      </w:r>
      <w:r>
        <w:t>the</w:t>
      </w:r>
      <w:r>
        <w:rPr>
          <w:spacing w:val="-12"/>
        </w:rPr>
        <w:t xml:space="preserve"> </w:t>
      </w:r>
      <w:r>
        <w:t>building</w:t>
      </w:r>
      <w:r>
        <w:rPr>
          <w:spacing w:val="-15"/>
        </w:rPr>
        <w:t xml:space="preserve"> </w:t>
      </w:r>
      <w:r>
        <w:t>line.</w:t>
      </w:r>
      <w:r>
        <w:rPr>
          <w:spacing w:val="-12"/>
        </w:rPr>
        <w:t xml:space="preserve"> </w:t>
      </w:r>
      <w:r>
        <w:t>Hardstand</w:t>
      </w:r>
      <w:r>
        <w:rPr>
          <w:spacing w:val="-13"/>
        </w:rPr>
        <w:t xml:space="preserve"> </w:t>
      </w:r>
      <w:r>
        <w:t>car</w:t>
      </w:r>
      <w:r>
        <w:rPr>
          <w:spacing w:val="-14"/>
        </w:rPr>
        <w:t xml:space="preserve"> </w:t>
      </w:r>
      <w:r>
        <w:t>parking bays may be supported where it can be demonstrated that there are no visual impacts on the</w:t>
      </w:r>
      <w:r>
        <w:rPr>
          <w:spacing w:val="-1"/>
        </w:rPr>
        <w:t xml:space="preserve"> </w:t>
      </w:r>
      <w:r>
        <w:t>streetscape.</w:t>
      </w:r>
    </w:p>
    <w:p w14:paraId="09ACD858" w14:textId="77777777" w:rsidR="00665A13" w:rsidRDefault="00665A13" w:rsidP="002A3889">
      <w:pPr>
        <w:pStyle w:val="ListParagraph"/>
        <w:widowControl w:val="0"/>
        <w:numPr>
          <w:ilvl w:val="0"/>
          <w:numId w:val="400"/>
        </w:numPr>
        <w:autoSpaceDE w:val="0"/>
        <w:autoSpaceDN w:val="0"/>
        <w:spacing w:after="60" w:line="240" w:lineRule="auto"/>
        <w:ind w:left="1276" w:right="-29" w:hanging="851"/>
        <w:contextualSpacing w:val="0"/>
        <w:jc w:val="both"/>
      </w:pPr>
      <w:r>
        <w:t>Carports and garages may be supported where they are located to the side or rear of a dwelling</w:t>
      </w:r>
      <w:r>
        <w:rPr>
          <w:spacing w:val="-6"/>
        </w:rPr>
        <w:t xml:space="preserve"> </w:t>
      </w:r>
      <w:r>
        <w:t>and</w:t>
      </w:r>
      <w:r>
        <w:rPr>
          <w:spacing w:val="-4"/>
        </w:rPr>
        <w:t xml:space="preserve"> </w:t>
      </w:r>
      <w:r>
        <w:t>are</w:t>
      </w:r>
      <w:r>
        <w:rPr>
          <w:spacing w:val="-5"/>
        </w:rPr>
        <w:t xml:space="preserve"> </w:t>
      </w:r>
      <w:r>
        <w:t>set</w:t>
      </w:r>
      <w:r>
        <w:rPr>
          <w:spacing w:val="-7"/>
        </w:rPr>
        <w:t xml:space="preserve"> </w:t>
      </w:r>
      <w:r>
        <w:t>back</w:t>
      </w:r>
      <w:r>
        <w:rPr>
          <w:spacing w:val="-4"/>
        </w:rPr>
        <w:t xml:space="preserve"> </w:t>
      </w:r>
      <w:r>
        <w:t>a</w:t>
      </w:r>
      <w:r>
        <w:rPr>
          <w:spacing w:val="-9"/>
        </w:rPr>
        <w:t xml:space="preserve"> </w:t>
      </w:r>
      <w:r>
        <w:t>minimum</w:t>
      </w:r>
      <w:r>
        <w:rPr>
          <w:spacing w:val="-6"/>
        </w:rPr>
        <w:t xml:space="preserve"> </w:t>
      </w:r>
      <w:r>
        <w:t>of</w:t>
      </w:r>
      <w:r>
        <w:rPr>
          <w:spacing w:val="-5"/>
        </w:rPr>
        <w:t xml:space="preserve"> </w:t>
      </w:r>
      <w:r>
        <w:t>500mm</w:t>
      </w:r>
      <w:r>
        <w:rPr>
          <w:spacing w:val="-6"/>
        </w:rPr>
        <w:t xml:space="preserve"> </w:t>
      </w:r>
      <w:r>
        <w:t>behind</w:t>
      </w:r>
      <w:r>
        <w:rPr>
          <w:spacing w:val="-4"/>
        </w:rPr>
        <w:t xml:space="preserve"> </w:t>
      </w:r>
      <w:r>
        <w:t>the</w:t>
      </w:r>
      <w:r>
        <w:rPr>
          <w:spacing w:val="-5"/>
        </w:rPr>
        <w:t xml:space="preserve"> </w:t>
      </w:r>
      <w:r>
        <w:t>main</w:t>
      </w:r>
      <w:r>
        <w:rPr>
          <w:spacing w:val="-4"/>
        </w:rPr>
        <w:t xml:space="preserve"> </w:t>
      </w:r>
      <w:r>
        <w:t>building</w:t>
      </w:r>
      <w:r>
        <w:rPr>
          <w:spacing w:val="-4"/>
        </w:rPr>
        <w:t xml:space="preserve"> </w:t>
      </w:r>
      <w:r>
        <w:t>line.</w:t>
      </w:r>
      <w:r>
        <w:rPr>
          <w:spacing w:val="-3"/>
        </w:rPr>
        <w:t xml:space="preserve"> </w:t>
      </w:r>
      <w:r>
        <w:t>The</w:t>
      </w:r>
      <w:r>
        <w:rPr>
          <w:spacing w:val="-4"/>
        </w:rPr>
        <w:t xml:space="preserve"> </w:t>
      </w:r>
      <w:r>
        <w:t>structure must be open or a minimum of 50% visually</w:t>
      </w:r>
      <w:r>
        <w:rPr>
          <w:spacing w:val="-8"/>
        </w:rPr>
        <w:t xml:space="preserve"> </w:t>
      </w:r>
      <w:r>
        <w:t>permeable.</w:t>
      </w:r>
    </w:p>
    <w:p w14:paraId="46F44D82" w14:textId="77777777" w:rsidR="00665A13" w:rsidRDefault="00665A13" w:rsidP="002A3889">
      <w:pPr>
        <w:pStyle w:val="ListParagraph"/>
        <w:widowControl w:val="0"/>
        <w:numPr>
          <w:ilvl w:val="0"/>
          <w:numId w:val="400"/>
        </w:numPr>
        <w:autoSpaceDE w:val="0"/>
        <w:autoSpaceDN w:val="0"/>
        <w:spacing w:line="240" w:lineRule="auto"/>
        <w:ind w:left="1276" w:hanging="851"/>
        <w:contextualSpacing w:val="0"/>
        <w:jc w:val="both"/>
      </w:pPr>
      <w:r>
        <w:t>Materials are to complement the existing character of the</w:t>
      </w:r>
      <w:r>
        <w:rPr>
          <w:spacing w:val="-14"/>
        </w:rPr>
        <w:t xml:space="preserve"> </w:t>
      </w:r>
      <w:r>
        <w:t>streetscape.</w:t>
      </w:r>
    </w:p>
    <w:p w14:paraId="254E4E24" w14:textId="77777777" w:rsidR="00665A13" w:rsidRPr="008A53B6" w:rsidRDefault="00665A13" w:rsidP="008A53B6">
      <w:pPr>
        <w:spacing w:after="0"/>
        <w:ind w:left="425"/>
        <w:rPr>
          <w:b/>
        </w:rPr>
      </w:pPr>
      <w:r w:rsidRPr="008A53B6">
        <w:rPr>
          <w:b/>
        </w:rPr>
        <w:t>Footpaths and Crossovers</w:t>
      </w:r>
    </w:p>
    <w:p w14:paraId="481893B8" w14:textId="77777777" w:rsidR="00665A13" w:rsidRPr="008A53B6" w:rsidRDefault="00665A13" w:rsidP="00551775">
      <w:pPr>
        <w:pStyle w:val="BodyText"/>
        <w:spacing w:after="60"/>
        <w:ind w:left="426"/>
        <w:rPr>
          <w:rFonts w:asciiTheme="minorHAnsi" w:hAnsiTheme="minorHAnsi" w:cstheme="minorHAnsi"/>
        </w:rPr>
      </w:pPr>
      <w:r w:rsidRPr="008A53B6">
        <w:rPr>
          <w:rFonts w:asciiTheme="minorHAnsi" w:hAnsiTheme="minorHAnsi" w:cstheme="minorHAnsi"/>
        </w:rPr>
        <w:t>Refer also to the Urban Streetscape and Public Realm Style Guide</w:t>
      </w:r>
    </w:p>
    <w:p w14:paraId="71E7CF1C" w14:textId="77777777" w:rsidR="00665A13" w:rsidRDefault="00665A13" w:rsidP="002A3889">
      <w:pPr>
        <w:pStyle w:val="ListParagraph"/>
        <w:widowControl w:val="0"/>
        <w:numPr>
          <w:ilvl w:val="0"/>
          <w:numId w:val="399"/>
        </w:numPr>
        <w:autoSpaceDE w:val="0"/>
        <w:autoSpaceDN w:val="0"/>
        <w:spacing w:after="60" w:line="240" w:lineRule="auto"/>
        <w:ind w:left="1276" w:right="-29" w:hanging="850"/>
        <w:contextualSpacing w:val="0"/>
        <w:jc w:val="both"/>
      </w:pPr>
      <w:r>
        <w:lastRenderedPageBreak/>
        <w:t>Pedestrian</w:t>
      </w:r>
      <w:r>
        <w:rPr>
          <w:spacing w:val="-8"/>
        </w:rPr>
        <w:t xml:space="preserve"> </w:t>
      </w:r>
      <w:proofErr w:type="gramStart"/>
      <w:r>
        <w:t>walk</w:t>
      </w:r>
      <w:r>
        <w:rPr>
          <w:spacing w:val="-8"/>
        </w:rPr>
        <w:t xml:space="preserve"> </w:t>
      </w:r>
      <w:r>
        <w:t>ways</w:t>
      </w:r>
      <w:proofErr w:type="gramEnd"/>
      <w:r>
        <w:rPr>
          <w:spacing w:val="-9"/>
        </w:rPr>
        <w:t xml:space="preserve"> </w:t>
      </w:r>
      <w:r>
        <w:t>will</w:t>
      </w:r>
      <w:r>
        <w:rPr>
          <w:spacing w:val="-9"/>
        </w:rPr>
        <w:t xml:space="preserve"> </w:t>
      </w:r>
      <w:r>
        <w:t>take</w:t>
      </w:r>
      <w:r>
        <w:rPr>
          <w:spacing w:val="-9"/>
        </w:rPr>
        <w:t xml:space="preserve"> </w:t>
      </w:r>
      <w:r>
        <w:t>priority</w:t>
      </w:r>
      <w:r>
        <w:rPr>
          <w:spacing w:val="-11"/>
        </w:rPr>
        <w:t xml:space="preserve"> </w:t>
      </w:r>
      <w:r>
        <w:t>over</w:t>
      </w:r>
      <w:r>
        <w:rPr>
          <w:spacing w:val="-7"/>
        </w:rPr>
        <w:t xml:space="preserve"> </w:t>
      </w:r>
      <w:r>
        <w:t>vehicular</w:t>
      </w:r>
      <w:r>
        <w:rPr>
          <w:spacing w:val="-9"/>
        </w:rPr>
        <w:t xml:space="preserve"> </w:t>
      </w:r>
      <w:r>
        <w:t>access.</w:t>
      </w:r>
      <w:r>
        <w:rPr>
          <w:spacing w:val="-9"/>
        </w:rPr>
        <w:t xml:space="preserve"> </w:t>
      </w:r>
      <w:r>
        <w:t>Re-kerbing</w:t>
      </w:r>
      <w:r>
        <w:rPr>
          <w:spacing w:val="-7"/>
        </w:rPr>
        <w:t xml:space="preserve"> </w:t>
      </w:r>
      <w:r>
        <w:t>is</w:t>
      </w:r>
      <w:r>
        <w:rPr>
          <w:spacing w:val="-7"/>
        </w:rPr>
        <w:t xml:space="preserve"> </w:t>
      </w:r>
      <w:r>
        <w:t>to</w:t>
      </w:r>
      <w:r>
        <w:rPr>
          <w:spacing w:val="-8"/>
        </w:rPr>
        <w:t xml:space="preserve"> </w:t>
      </w:r>
      <w:r>
        <w:t>occur</w:t>
      </w:r>
      <w:r>
        <w:rPr>
          <w:spacing w:val="-9"/>
        </w:rPr>
        <w:t xml:space="preserve"> </w:t>
      </w:r>
      <w:r>
        <w:t>wherever footpaths are</w:t>
      </w:r>
      <w:r>
        <w:rPr>
          <w:spacing w:val="-1"/>
        </w:rPr>
        <w:t xml:space="preserve"> </w:t>
      </w:r>
      <w:r>
        <w:t>replaced.</w:t>
      </w:r>
    </w:p>
    <w:p w14:paraId="65015A22" w14:textId="77777777" w:rsidR="00665A13" w:rsidRDefault="00665A13" w:rsidP="002A3889">
      <w:pPr>
        <w:pStyle w:val="ListParagraph"/>
        <w:widowControl w:val="0"/>
        <w:numPr>
          <w:ilvl w:val="0"/>
          <w:numId w:val="399"/>
        </w:numPr>
        <w:autoSpaceDE w:val="0"/>
        <w:autoSpaceDN w:val="0"/>
        <w:spacing w:after="60" w:line="267" w:lineRule="exact"/>
        <w:ind w:left="1276" w:right="-29" w:hanging="850"/>
        <w:contextualSpacing w:val="0"/>
        <w:jc w:val="both"/>
      </w:pPr>
      <w:r>
        <w:t>Footpaths and crossovers to match the existing</w:t>
      </w:r>
      <w:r>
        <w:rPr>
          <w:spacing w:val="-15"/>
        </w:rPr>
        <w:t xml:space="preserve"> </w:t>
      </w:r>
      <w:r>
        <w:t>streetscape.</w:t>
      </w:r>
    </w:p>
    <w:p w14:paraId="7FEBB904" w14:textId="77777777" w:rsidR="00665A13" w:rsidRDefault="00665A13" w:rsidP="002A3889">
      <w:pPr>
        <w:pStyle w:val="ListParagraph"/>
        <w:widowControl w:val="0"/>
        <w:numPr>
          <w:ilvl w:val="0"/>
          <w:numId w:val="399"/>
        </w:numPr>
        <w:autoSpaceDE w:val="0"/>
        <w:autoSpaceDN w:val="0"/>
        <w:spacing w:after="60" w:line="240" w:lineRule="auto"/>
        <w:ind w:left="1276" w:right="-29" w:hanging="850"/>
        <w:contextualSpacing w:val="0"/>
        <w:jc w:val="both"/>
      </w:pPr>
      <w:r>
        <w:t>There is to be a maximum of one crossover per lot unless otherwise approved by the</w:t>
      </w:r>
      <w:r>
        <w:rPr>
          <w:spacing w:val="-23"/>
        </w:rPr>
        <w:t xml:space="preserve"> </w:t>
      </w:r>
      <w:r>
        <w:t>Town.</w:t>
      </w:r>
    </w:p>
    <w:p w14:paraId="1125D986" w14:textId="77777777" w:rsidR="00665A13" w:rsidRDefault="00665A13" w:rsidP="002A3889">
      <w:pPr>
        <w:pStyle w:val="ListParagraph"/>
        <w:widowControl w:val="0"/>
        <w:numPr>
          <w:ilvl w:val="0"/>
          <w:numId w:val="399"/>
        </w:numPr>
        <w:autoSpaceDE w:val="0"/>
        <w:autoSpaceDN w:val="0"/>
        <w:spacing w:after="60" w:line="240" w:lineRule="auto"/>
        <w:ind w:left="1276" w:right="-29" w:hanging="850"/>
        <w:contextualSpacing w:val="0"/>
        <w:jc w:val="both"/>
      </w:pPr>
      <w:r>
        <w:t>All crossovers, ramps and footpaths to be constructed in accordance with the relevant Australian</w:t>
      </w:r>
      <w:r>
        <w:rPr>
          <w:spacing w:val="-2"/>
        </w:rPr>
        <w:t xml:space="preserve"> </w:t>
      </w:r>
      <w:r>
        <w:t>Standards.</w:t>
      </w:r>
    </w:p>
    <w:p w14:paraId="7416A1F3" w14:textId="77777777" w:rsidR="00665A13" w:rsidRDefault="00665A13" w:rsidP="002A3889">
      <w:pPr>
        <w:pStyle w:val="ListParagraph"/>
        <w:widowControl w:val="0"/>
        <w:numPr>
          <w:ilvl w:val="0"/>
          <w:numId w:val="399"/>
        </w:numPr>
        <w:autoSpaceDE w:val="0"/>
        <w:autoSpaceDN w:val="0"/>
        <w:spacing w:after="60" w:line="240" w:lineRule="auto"/>
        <w:ind w:left="1276" w:right="-29" w:hanging="850"/>
        <w:contextualSpacing w:val="0"/>
        <w:jc w:val="both"/>
      </w:pPr>
      <w:r>
        <w:t>No street trees will be removed for a crossover unless approved by the Town and an approved replacement tree is</w:t>
      </w:r>
      <w:r>
        <w:rPr>
          <w:spacing w:val="-3"/>
        </w:rPr>
        <w:t xml:space="preserve"> </w:t>
      </w:r>
      <w:r>
        <w:t>planted.</w:t>
      </w:r>
    </w:p>
    <w:p w14:paraId="234FD0EE" w14:textId="77777777" w:rsidR="00665A13" w:rsidRDefault="00665A13" w:rsidP="002A3889">
      <w:pPr>
        <w:pStyle w:val="ListParagraph"/>
        <w:widowControl w:val="0"/>
        <w:numPr>
          <w:ilvl w:val="0"/>
          <w:numId w:val="399"/>
        </w:numPr>
        <w:autoSpaceDE w:val="0"/>
        <w:autoSpaceDN w:val="0"/>
        <w:spacing w:before="1" w:line="240" w:lineRule="auto"/>
        <w:ind w:left="1276" w:right="-28" w:hanging="850"/>
        <w:contextualSpacing w:val="0"/>
        <w:jc w:val="both"/>
      </w:pPr>
      <w:r>
        <w:t>Installation of crossovers and removal of redundant crossovers to be carried out after consultation with the owner of the property. Redundant crossovers to be removed, at the applicant’s cost, prior to the issue of a building permit for the relevant</w:t>
      </w:r>
      <w:r>
        <w:rPr>
          <w:spacing w:val="-22"/>
        </w:rPr>
        <w:t xml:space="preserve"> </w:t>
      </w:r>
      <w:r>
        <w:t>property.</w:t>
      </w:r>
    </w:p>
    <w:p w14:paraId="480EF26F" w14:textId="77777777" w:rsidR="00665A13" w:rsidRPr="00551775" w:rsidRDefault="00665A13" w:rsidP="00551775">
      <w:pPr>
        <w:spacing w:after="0"/>
        <w:ind w:left="426"/>
        <w:rPr>
          <w:b/>
        </w:rPr>
      </w:pPr>
      <w:r w:rsidRPr="00551775">
        <w:rPr>
          <w:b/>
        </w:rPr>
        <w:t>Advertising</w:t>
      </w:r>
      <w:r w:rsidRPr="00551775">
        <w:rPr>
          <w:b/>
          <w:spacing w:val="-2"/>
        </w:rPr>
        <w:t xml:space="preserve"> </w:t>
      </w:r>
      <w:r w:rsidRPr="00551775">
        <w:rPr>
          <w:b/>
        </w:rPr>
        <w:t>Signs</w:t>
      </w:r>
    </w:p>
    <w:p w14:paraId="00775A1B" w14:textId="77777777" w:rsidR="00665A13" w:rsidRDefault="00665A13" w:rsidP="002A3889">
      <w:pPr>
        <w:pStyle w:val="ListParagraph"/>
        <w:widowControl w:val="0"/>
        <w:numPr>
          <w:ilvl w:val="0"/>
          <w:numId w:val="398"/>
        </w:numPr>
        <w:autoSpaceDE w:val="0"/>
        <w:autoSpaceDN w:val="0"/>
        <w:spacing w:after="60" w:line="240" w:lineRule="auto"/>
        <w:ind w:left="1276" w:right="-28" w:hanging="850"/>
        <w:contextualSpacing w:val="0"/>
        <w:jc w:val="both"/>
      </w:pPr>
      <w:r>
        <w:t>The design of new signage should be complementary to the traditional streetscape in terms of size, location, material, colour and</w:t>
      </w:r>
      <w:r>
        <w:rPr>
          <w:spacing w:val="-13"/>
        </w:rPr>
        <w:t xml:space="preserve"> </w:t>
      </w:r>
      <w:r>
        <w:t>proportions.</w:t>
      </w:r>
    </w:p>
    <w:p w14:paraId="7DC85FBF" w14:textId="77777777" w:rsidR="00665A13" w:rsidRDefault="00665A13" w:rsidP="002A3889">
      <w:pPr>
        <w:pStyle w:val="ListParagraph"/>
        <w:widowControl w:val="0"/>
        <w:numPr>
          <w:ilvl w:val="0"/>
          <w:numId w:val="398"/>
        </w:numPr>
        <w:autoSpaceDE w:val="0"/>
        <w:autoSpaceDN w:val="0"/>
        <w:spacing w:after="60" w:line="240" w:lineRule="auto"/>
        <w:ind w:left="1276" w:right="-28" w:hanging="850"/>
        <w:contextualSpacing w:val="0"/>
        <w:jc w:val="both"/>
      </w:pPr>
      <w:r>
        <w:t>Unless based on documentary evidence, signs that replicate traditional styles and typefaces shall not be</w:t>
      </w:r>
      <w:r>
        <w:rPr>
          <w:spacing w:val="-1"/>
        </w:rPr>
        <w:t xml:space="preserve"> </w:t>
      </w:r>
      <w:r>
        <w:t>permitted.</w:t>
      </w:r>
    </w:p>
    <w:p w14:paraId="0B0E2D75" w14:textId="77777777" w:rsidR="00665A13" w:rsidRDefault="00665A13" w:rsidP="002A3889">
      <w:pPr>
        <w:pStyle w:val="ListParagraph"/>
        <w:widowControl w:val="0"/>
        <w:numPr>
          <w:ilvl w:val="0"/>
          <w:numId w:val="398"/>
        </w:numPr>
        <w:autoSpaceDE w:val="0"/>
        <w:autoSpaceDN w:val="0"/>
        <w:spacing w:after="60" w:line="240" w:lineRule="auto"/>
        <w:ind w:left="1276" w:right="-28" w:hanging="850"/>
        <w:contextualSpacing w:val="0"/>
        <w:jc w:val="both"/>
      </w:pPr>
      <w:r>
        <w:t>New signs are not to obscure or detract from the significance of a contributory place or the streetscape</w:t>
      </w:r>
      <w:r>
        <w:rPr>
          <w:spacing w:val="-2"/>
        </w:rPr>
        <w:t xml:space="preserve"> </w:t>
      </w:r>
      <w:r>
        <w:t>character.</w:t>
      </w:r>
    </w:p>
    <w:p w14:paraId="39F2A551" w14:textId="77777777" w:rsidR="00665A13" w:rsidRDefault="00665A13" w:rsidP="002A3889">
      <w:pPr>
        <w:pStyle w:val="ListParagraph"/>
        <w:widowControl w:val="0"/>
        <w:numPr>
          <w:ilvl w:val="0"/>
          <w:numId w:val="398"/>
        </w:numPr>
        <w:autoSpaceDE w:val="0"/>
        <w:autoSpaceDN w:val="0"/>
        <w:spacing w:after="60" w:line="240" w:lineRule="auto"/>
        <w:ind w:left="1276" w:right="-28" w:hanging="850"/>
        <w:contextualSpacing w:val="0"/>
        <w:jc w:val="both"/>
      </w:pPr>
      <w:r>
        <w:t>New signage should suit the proportions and elements on which it is to be</w:t>
      </w:r>
      <w:r>
        <w:rPr>
          <w:spacing w:val="-25"/>
        </w:rPr>
        <w:t xml:space="preserve"> </w:t>
      </w:r>
      <w:r>
        <w:t>mounted.</w:t>
      </w:r>
    </w:p>
    <w:p w14:paraId="2CBCD6AA" w14:textId="77777777" w:rsidR="00665A13" w:rsidRDefault="00665A13" w:rsidP="002A3889">
      <w:pPr>
        <w:pStyle w:val="ListParagraph"/>
        <w:widowControl w:val="0"/>
        <w:numPr>
          <w:ilvl w:val="0"/>
          <w:numId w:val="398"/>
        </w:numPr>
        <w:autoSpaceDE w:val="0"/>
        <w:autoSpaceDN w:val="0"/>
        <w:spacing w:after="60" w:line="267" w:lineRule="exact"/>
        <w:ind w:left="1276" w:right="-28" w:hanging="850"/>
        <w:contextualSpacing w:val="0"/>
        <w:jc w:val="both"/>
      </w:pPr>
      <w:r>
        <w:t xml:space="preserve">New signage to windows </w:t>
      </w:r>
      <w:proofErr w:type="gramStart"/>
      <w:r>
        <w:t>are</w:t>
      </w:r>
      <w:proofErr w:type="gramEnd"/>
      <w:r>
        <w:t xml:space="preserve"> to be designed to retain views from the shop to the</w:t>
      </w:r>
      <w:r>
        <w:rPr>
          <w:spacing w:val="-16"/>
        </w:rPr>
        <w:t xml:space="preserve"> </w:t>
      </w:r>
      <w:r>
        <w:t>street.</w:t>
      </w:r>
    </w:p>
    <w:p w14:paraId="6384011C" w14:textId="77777777" w:rsidR="00665A13" w:rsidRDefault="00665A13" w:rsidP="002A3889">
      <w:pPr>
        <w:pStyle w:val="ListParagraph"/>
        <w:widowControl w:val="0"/>
        <w:numPr>
          <w:ilvl w:val="0"/>
          <w:numId w:val="398"/>
        </w:numPr>
        <w:autoSpaceDE w:val="0"/>
        <w:autoSpaceDN w:val="0"/>
        <w:spacing w:after="60" w:line="240" w:lineRule="auto"/>
        <w:ind w:left="1276" w:right="-28" w:hanging="850"/>
        <w:contextualSpacing w:val="0"/>
        <w:jc w:val="both"/>
      </w:pPr>
      <w:r>
        <w:t xml:space="preserve">The mounting of new signs on a contributory place </w:t>
      </w:r>
      <w:r>
        <w:rPr>
          <w:spacing w:val="-3"/>
        </w:rPr>
        <w:t xml:space="preserve">is </w:t>
      </w:r>
      <w:r>
        <w:t>to avoid unduly damage to, or the removal</w:t>
      </w:r>
      <w:r>
        <w:rPr>
          <w:spacing w:val="-11"/>
        </w:rPr>
        <w:t xml:space="preserve"> </w:t>
      </w:r>
      <w:r>
        <w:t>of,</w:t>
      </w:r>
      <w:r>
        <w:rPr>
          <w:spacing w:val="-12"/>
        </w:rPr>
        <w:t xml:space="preserve"> </w:t>
      </w:r>
      <w:r>
        <w:t>significant</w:t>
      </w:r>
      <w:r>
        <w:rPr>
          <w:spacing w:val="-11"/>
        </w:rPr>
        <w:t xml:space="preserve"> </w:t>
      </w:r>
      <w:r>
        <w:t>fabric.</w:t>
      </w:r>
      <w:r>
        <w:rPr>
          <w:spacing w:val="-13"/>
        </w:rPr>
        <w:t xml:space="preserve"> </w:t>
      </w:r>
      <w:r>
        <w:t>Mounting</w:t>
      </w:r>
      <w:r>
        <w:rPr>
          <w:spacing w:val="-12"/>
        </w:rPr>
        <w:t xml:space="preserve"> </w:t>
      </w:r>
      <w:r>
        <w:t>fixtures</w:t>
      </w:r>
      <w:r>
        <w:rPr>
          <w:spacing w:val="-13"/>
        </w:rPr>
        <w:t xml:space="preserve"> </w:t>
      </w:r>
      <w:r>
        <w:t>are</w:t>
      </w:r>
      <w:r>
        <w:rPr>
          <w:spacing w:val="-12"/>
        </w:rPr>
        <w:t xml:space="preserve"> </w:t>
      </w:r>
      <w:r>
        <w:t>to</w:t>
      </w:r>
      <w:r>
        <w:rPr>
          <w:spacing w:val="-16"/>
        </w:rPr>
        <w:t xml:space="preserve"> </w:t>
      </w:r>
      <w:r>
        <w:t>be</w:t>
      </w:r>
      <w:r>
        <w:rPr>
          <w:spacing w:val="-10"/>
        </w:rPr>
        <w:t xml:space="preserve"> </w:t>
      </w:r>
      <w:r>
        <w:t>easily</w:t>
      </w:r>
      <w:r>
        <w:rPr>
          <w:spacing w:val="-10"/>
        </w:rPr>
        <w:t xml:space="preserve"> </w:t>
      </w:r>
      <w:r>
        <w:t>removed</w:t>
      </w:r>
      <w:r>
        <w:rPr>
          <w:spacing w:val="-11"/>
        </w:rPr>
        <w:t xml:space="preserve"> </w:t>
      </w:r>
      <w:r>
        <w:t>and</w:t>
      </w:r>
      <w:r>
        <w:rPr>
          <w:spacing w:val="-14"/>
        </w:rPr>
        <w:t xml:space="preserve"> </w:t>
      </w:r>
      <w:r>
        <w:t>repaired</w:t>
      </w:r>
      <w:r>
        <w:rPr>
          <w:spacing w:val="-11"/>
        </w:rPr>
        <w:t xml:space="preserve"> </w:t>
      </w:r>
      <w:r>
        <w:t xml:space="preserve">should the sign be removed </w:t>
      </w:r>
      <w:proofErr w:type="gramStart"/>
      <w:r>
        <w:t>at a later</w:t>
      </w:r>
      <w:r>
        <w:rPr>
          <w:spacing w:val="1"/>
        </w:rPr>
        <w:t xml:space="preserve"> </w:t>
      </w:r>
      <w:r>
        <w:t>date</w:t>
      </w:r>
      <w:proofErr w:type="gramEnd"/>
      <w:r>
        <w:t>.</w:t>
      </w:r>
    </w:p>
    <w:p w14:paraId="5A2B88B4" w14:textId="77777777" w:rsidR="00665A13" w:rsidRDefault="00665A13" w:rsidP="002A3889">
      <w:pPr>
        <w:pStyle w:val="ListParagraph"/>
        <w:widowControl w:val="0"/>
        <w:numPr>
          <w:ilvl w:val="0"/>
          <w:numId w:val="398"/>
        </w:numPr>
        <w:autoSpaceDE w:val="0"/>
        <w:autoSpaceDN w:val="0"/>
        <w:spacing w:after="60" w:line="240" w:lineRule="auto"/>
        <w:ind w:left="1276" w:right="-28" w:hanging="850"/>
        <w:contextualSpacing w:val="0"/>
        <w:jc w:val="both"/>
      </w:pPr>
      <w:r>
        <w:t>Face brick walls are not to be painted over with new</w:t>
      </w:r>
      <w:r>
        <w:rPr>
          <w:spacing w:val="-17"/>
        </w:rPr>
        <w:t xml:space="preserve"> </w:t>
      </w:r>
      <w:r>
        <w:t>signage.</w:t>
      </w:r>
    </w:p>
    <w:p w14:paraId="5328530E" w14:textId="77777777" w:rsidR="00665A13" w:rsidRDefault="00665A13" w:rsidP="002A3889">
      <w:pPr>
        <w:pStyle w:val="ListParagraph"/>
        <w:widowControl w:val="0"/>
        <w:numPr>
          <w:ilvl w:val="0"/>
          <w:numId w:val="398"/>
        </w:numPr>
        <w:autoSpaceDE w:val="0"/>
        <w:autoSpaceDN w:val="0"/>
        <w:spacing w:after="60" w:line="240" w:lineRule="auto"/>
        <w:ind w:left="1276" w:right="-28" w:hanging="850"/>
        <w:contextualSpacing w:val="0"/>
        <w:jc w:val="both"/>
      </w:pPr>
      <w:r>
        <w:t>Externally mounted signs or signs that project forward of the building envelope are not permitted.</w:t>
      </w:r>
    </w:p>
    <w:p w14:paraId="4D072EFB" w14:textId="77777777" w:rsidR="00665A13" w:rsidRPr="00B80816" w:rsidRDefault="00665A13" w:rsidP="002A3889">
      <w:pPr>
        <w:pStyle w:val="ListParagraph"/>
        <w:widowControl w:val="0"/>
        <w:numPr>
          <w:ilvl w:val="0"/>
          <w:numId w:val="398"/>
        </w:numPr>
        <w:autoSpaceDE w:val="0"/>
        <w:autoSpaceDN w:val="0"/>
        <w:spacing w:after="60" w:line="240" w:lineRule="auto"/>
        <w:ind w:left="1276" w:right="-28" w:hanging="850"/>
        <w:contextualSpacing w:val="0"/>
        <w:jc w:val="both"/>
      </w:pPr>
      <w:r w:rsidRPr="00B80816">
        <w:t>Existing signage that is contributory to the Heritage Area should be</w:t>
      </w:r>
      <w:r w:rsidRPr="00B80816">
        <w:rPr>
          <w:spacing w:val="-16"/>
        </w:rPr>
        <w:t xml:space="preserve"> </w:t>
      </w:r>
      <w:r w:rsidRPr="00B80816">
        <w:t>conserved.</w:t>
      </w:r>
    </w:p>
    <w:p w14:paraId="27A2266E" w14:textId="77777777" w:rsidR="00665A13" w:rsidRDefault="00665A13" w:rsidP="002A3889">
      <w:pPr>
        <w:pStyle w:val="ListParagraph"/>
        <w:widowControl w:val="0"/>
        <w:numPr>
          <w:ilvl w:val="0"/>
          <w:numId w:val="398"/>
        </w:numPr>
        <w:autoSpaceDE w:val="0"/>
        <w:autoSpaceDN w:val="0"/>
        <w:spacing w:after="60" w:line="240" w:lineRule="auto"/>
        <w:ind w:left="1276" w:right="-28" w:hanging="850"/>
        <w:contextualSpacing w:val="0"/>
        <w:jc w:val="both"/>
      </w:pPr>
      <w:r w:rsidRPr="00B80816">
        <w:t>The number of advertising signs on a building shall be restricted as</w:t>
      </w:r>
      <w:r w:rsidRPr="00B80816">
        <w:rPr>
          <w:spacing w:val="-21"/>
        </w:rPr>
        <w:t xml:space="preserve"> </w:t>
      </w:r>
      <w:r w:rsidRPr="00B80816">
        <w:t>follows:</w:t>
      </w:r>
    </w:p>
    <w:p w14:paraId="12A91C3C" w14:textId="77777777" w:rsidR="00665A13" w:rsidRDefault="00665A13" w:rsidP="002A3889">
      <w:pPr>
        <w:pStyle w:val="ListParagraph"/>
        <w:widowControl w:val="0"/>
        <w:numPr>
          <w:ilvl w:val="0"/>
          <w:numId w:val="419"/>
        </w:numPr>
        <w:tabs>
          <w:tab w:val="left" w:pos="923"/>
          <w:tab w:val="left" w:pos="924"/>
        </w:tabs>
        <w:autoSpaceDE w:val="0"/>
        <w:autoSpaceDN w:val="0"/>
        <w:spacing w:after="60" w:line="240" w:lineRule="auto"/>
        <w:ind w:right="-28"/>
        <w:contextualSpacing w:val="0"/>
        <w:jc w:val="both"/>
      </w:pPr>
      <w:r w:rsidRPr="00B80816">
        <w:t>A maximum of one (1) advertising sign facing the street per façade of a building. In the case of a building on a corner site with more than one street façade, this shall apply to each individual</w:t>
      </w:r>
      <w:r w:rsidRPr="00B80816">
        <w:rPr>
          <w:spacing w:val="-3"/>
        </w:rPr>
        <w:t xml:space="preserve"> </w:t>
      </w:r>
      <w:r w:rsidRPr="00B80816">
        <w:t>façade</w:t>
      </w:r>
      <w:r>
        <w:t>.</w:t>
      </w:r>
    </w:p>
    <w:p w14:paraId="7CACEE34" w14:textId="77777777" w:rsidR="00665A13" w:rsidRPr="00B80816" w:rsidRDefault="00665A13" w:rsidP="002A3889">
      <w:pPr>
        <w:pStyle w:val="ListParagraph"/>
        <w:widowControl w:val="0"/>
        <w:numPr>
          <w:ilvl w:val="0"/>
          <w:numId w:val="419"/>
        </w:numPr>
        <w:tabs>
          <w:tab w:val="left" w:pos="923"/>
          <w:tab w:val="left" w:pos="924"/>
        </w:tabs>
        <w:autoSpaceDE w:val="0"/>
        <w:autoSpaceDN w:val="0"/>
        <w:spacing w:after="120" w:line="240" w:lineRule="auto"/>
        <w:ind w:left="1638" w:hanging="357"/>
        <w:contextualSpacing w:val="0"/>
        <w:jc w:val="both"/>
      </w:pPr>
      <w:r w:rsidRPr="00B80816">
        <w:t xml:space="preserve">A maximum of one (1) advertising signs located under a </w:t>
      </w:r>
      <w:proofErr w:type="spellStart"/>
      <w:r w:rsidRPr="00B80816">
        <w:t>verandah</w:t>
      </w:r>
      <w:proofErr w:type="spellEnd"/>
      <w:r w:rsidRPr="00B80816">
        <w:t xml:space="preserve"> or</w:t>
      </w:r>
      <w:r w:rsidRPr="00B80816">
        <w:rPr>
          <w:spacing w:val="-19"/>
        </w:rPr>
        <w:t xml:space="preserve"> </w:t>
      </w:r>
      <w:r w:rsidRPr="00B80816">
        <w:t>awning.</w:t>
      </w:r>
    </w:p>
    <w:p w14:paraId="113B3AE1" w14:textId="77777777" w:rsidR="00665A13" w:rsidRPr="00551775" w:rsidRDefault="00665A13" w:rsidP="00551775">
      <w:pPr>
        <w:pStyle w:val="BodyText"/>
        <w:spacing w:after="200"/>
        <w:ind w:left="426" w:right="454"/>
        <w:jc w:val="both"/>
        <w:rPr>
          <w:rFonts w:asciiTheme="minorHAnsi" w:hAnsiTheme="minorHAnsi" w:cstheme="minorHAnsi"/>
          <w:i/>
        </w:rPr>
      </w:pPr>
      <w:r w:rsidRPr="00551775">
        <w:rPr>
          <w:rFonts w:asciiTheme="minorHAnsi" w:hAnsiTheme="minorHAnsi" w:cstheme="minorHAnsi"/>
          <w:i/>
        </w:rPr>
        <w:t>(</w:t>
      </w:r>
      <w:r w:rsidRPr="00551775">
        <w:rPr>
          <w:rFonts w:asciiTheme="minorHAnsi" w:hAnsiTheme="minorHAnsi" w:cstheme="minorHAnsi"/>
          <w:i/>
          <w:u w:val="single" w:color="FF0000"/>
        </w:rPr>
        <w:t>Note:</w:t>
      </w:r>
      <w:r w:rsidRPr="00551775">
        <w:rPr>
          <w:rFonts w:asciiTheme="minorHAnsi" w:hAnsiTheme="minorHAnsi" w:cstheme="minorHAnsi"/>
          <w:i/>
          <w:spacing w:val="-3"/>
        </w:rPr>
        <w:t xml:space="preserve"> </w:t>
      </w:r>
      <w:r w:rsidRPr="00551775">
        <w:rPr>
          <w:rFonts w:asciiTheme="minorHAnsi" w:hAnsiTheme="minorHAnsi" w:cstheme="minorHAnsi"/>
          <w:i/>
        </w:rPr>
        <w:t>-</w:t>
      </w:r>
      <w:r w:rsidRPr="00551775">
        <w:rPr>
          <w:rFonts w:asciiTheme="minorHAnsi" w:hAnsiTheme="minorHAnsi" w:cstheme="minorHAnsi"/>
          <w:i/>
          <w:spacing w:val="-4"/>
        </w:rPr>
        <w:t xml:space="preserve"> </w:t>
      </w:r>
      <w:r w:rsidRPr="00551775">
        <w:rPr>
          <w:rFonts w:asciiTheme="minorHAnsi" w:hAnsiTheme="minorHAnsi" w:cstheme="minorHAnsi"/>
          <w:i/>
        </w:rPr>
        <w:t>each</w:t>
      </w:r>
      <w:r w:rsidRPr="00551775">
        <w:rPr>
          <w:rFonts w:asciiTheme="minorHAnsi" w:hAnsiTheme="minorHAnsi" w:cstheme="minorHAnsi"/>
          <w:i/>
          <w:spacing w:val="-4"/>
        </w:rPr>
        <w:t xml:space="preserve"> </w:t>
      </w:r>
      <w:r w:rsidRPr="00551775">
        <w:rPr>
          <w:rFonts w:asciiTheme="minorHAnsi" w:hAnsiTheme="minorHAnsi" w:cstheme="minorHAnsi"/>
          <w:i/>
        </w:rPr>
        <w:t>side</w:t>
      </w:r>
      <w:r w:rsidRPr="00551775">
        <w:rPr>
          <w:rFonts w:asciiTheme="minorHAnsi" w:hAnsiTheme="minorHAnsi" w:cstheme="minorHAnsi"/>
          <w:i/>
          <w:spacing w:val="-4"/>
        </w:rPr>
        <w:t xml:space="preserve"> </w:t>
      </w:r>
      <w:r w:rsidRPr="00551775">
        <w:rPr>
          <w:rFonts w:asciiTheme="minorHAnsi" w:hAnsiTheme="minorHAnsi" w:cstheme="minorHAnsi"/>
          <w:i/>
        </w:rPr>
        <w:t>of</w:t>
      </w:r>
      <w:r w:rsidRPr="00551775">
        <w:rPr>
          <w:rFonts w:asciiTheme="minorHAnsi" w:hAnsiTheme="minorHAnsi" w:cstheme="minorHAnsi"/>
          <w:i/>
          <w:spacing w:val="-3"/>
        </w:rPr>
        <w:t xml:space="preserve"> </w:t>
      </w:r>
      <w:r w:rsidRPr="00551775">
        <w:rPr>
          <w:rFonts w:asciiTheme="minorHAnsi" w:hAnsiTheme="minorHAnsi" w:cstheme="minorHAnsi"/>
          <w:i/>
        </w:rPr>
        <w:t>a</w:t>
      </w:r>
      <w:r w:rsidRPr="00551775">
        <w:rPr>
          <w:rFonts w:asciiTheme="minorHAnsi" w:hAnsiTheme="minorHAnsi" w:cstheme="minorHAnsi"/>
          <w:i/>
          <w:spacing w:val="-2"/>
        </w:rPr>
        <w:t xml:space="preserve"> </w:t>
      </w:r>
      <w:r w:rsidRPr="00551775">
        <w:rPr>
          <w:rFonts w:asciiTheme="minorHAnsi" w:hAnsiTheme="minorHAnsi" w:cstheme="minorHAnsi"/>
          <w:i/>
        </w:rPr>
        <w:t>double-sided</w:t>
      </w:r>
      <w:r w:rsidRPr="00551775">
        <w:rPr>
          <w:rFonts w:asciiTheme="minorHAnsi" w:hAnsiTheme="minorHAnsi" w:cstheme="minorHAnsi"/>
          <w:i/>
          <w:spacing w:val="-4"/>
        </w:rPr>
        <w:t xml:space="preserve"> </w:t>
      </w:r>
      <w:r w:rsidRPr="00551775">
        <w:rPr>
          <w:rFonts w:asciiTheme="minorHAnsi" w:hAnsiTheme="minorHAnsi" w:cstheme="minorHAnsi"/>
          <w:i/>
        </w:rPr>
        <w:t>advertising</w:t>
      </w:r>
      <w:r w:rsidRPr="00551775">
        <w:rPr>
          <w:rFonts w:asciiTheme="minorHAnsi" w:hAnsiTheme="minorHAnsi" w:cstheme="minorHAnsi"/>
          <w:i/>
          <w:spacing w:val="-6"/>
        </w:rPr>
        <w:t xml:space="preserve"> </w:t>
      </w:r>
      <w:r w:rsidRPr="00551775">
        <w:rPr>
          <w:rFonts w:asciiTheme="minorHAnsi" w:hAnsiTheme="minorHAnsi" w:cstheme="minorHAnsi"/>
          <w:i/>
        </w:rPr>
        <w:t>sign</w:t>
      </w:r>
      <w:r w:rsidRPr="00551775">
        <w:rPr>
          <w:rFonts w:asciiTheme="minorHAnsi" w:hAnsiTheme="minorHAnsi" w:cstheme="minorHAnsi"/>
          <w:i/>
          <w:spacing w:val="-3"/>
        </w:rPr>
        <w:t xml:space="preserve"> </w:t>
      </w:r>
      <w:proofErr w:type="gramStart"/>
      <w:r w:rsidRPr="00551775">
        <w:rPr>
          <w:rFonts w:asciiTheme="minorHAnsi" w:hAnsiTheme="minorHAnsi" w:cstheme="minorHAnsi"/>
          <w:i/>
        </w:rPr>
        <w:t>is</w:t>
      </w:r>
      <w:r w:rsidRPr="00551775">
        <w:rPr>
          <w:rFonts w:asciiTheme="minorHAnsi" w:hAnsiTheme="minorHAnsi" w:cstheme="minorHAnsi"/>
          <w:i/>
          <w:spacing w:val="-5"/>
        </w:rPr>
        <w:t xml:space="preserve"> </w:t>
      </w:r>
      <w:r w:rsidRPr="00551775">
        <w:rPr>
          <w:rFonts w:asciiTheme="minorHAnsi" w:hAnsiTheme="minorHAnsi" w:cstheme="minorHAnsi"/>
          <w:i/>
        </w:rPr>
        <w:t>considered</w:t>
      </w:r>
      <w:r w:rsidRPr="00551775">
        <w:rPr>
          <w:rFonts w:asciiTheme="minorHAnsi" w:hAnsiTheme="minorHAnsi" w:cstheme="minorHAnsi"/>
          <w:i/>
          <w:spacing w:val="-4"/>
        </w:rPr>
        <w:t xml:space="preserve"> </w:t>
      </w:r>
      <w:r w:rsidRPr="00551775">
        <w:rPr>
          <w:rFonts w:asciiTheme="minorHAnsi" w:hAnsiTheme="minorHAnsi" w:cstheme="minorHAnsi"/>
          <w:i/>
        </w:rPr>
        <w:t>to</w:t>
      </w:r>
      <w:r w:rsidRPr="00551775">
        <w:rPr>
          <w:rFonts w:asciiTheme="minorHAnsi" w:hAnsiTheme="minorHAnsi" w:cstheme="minorHAnsi"/>
          <w:i/>
          <w:spacing w:val="-3"/>
        </w:rPr>
        <w:t xml:space="preserve"> </w:t>
      </w:r>
      <w:r w:rsidRPr="00551775">
        <w:rPr>
          <w:rFonts w:asciiTheme="minorHAnsi" w:hAnsiTheme="minorHAnsi" w:cstheme="minorHAnsi"/>
          <w:i/>
        </w:rPr>
        <w:t>be</w:t>
      </w:r>
      <w:proofErr w:type="gramEnd"/>
      <w:r w:rsidRPr="00551775">
        <w:rPr>
          <w:rFonts w:asciiTheme="minorHAnsi" w:hAnsiTheme="minorHAnsi" w:cstheme="minorHAnsi"/>
          <w:i/>
          <w:spacing w:val="-2"/>
        </w:rPr>
        <w:t xml:space="preserve"> </w:t>
      </w:r>
      <w:r w:rsidRPr="00551775">
        <w:rPr>
          <w:rFonts w:asciiTheme="minorHAnsi" w:hAnsiTheme="minorHAnsi" w:cstheme="minorHAnsi"/>
          <w:i/>
        </w:rPr>
        <w:t>a</w:t>
      </w:r>
      <w:r w:rsidRPr="00551775">
        <w:rPr>
          <w:rFonts w:asciiTheme="minorHAnsi" w:hAnsiTheme="minorHAnsi" w:cstheme="minorHAnsi"/>
          <w:i/>
          <w:spacing w:val="-4"/>
        </w:rPr>
        <w:t xml:space="preserve"> </w:t>
      </w:r>
      <w:r w:rsidRPr="00551775">
        <w:rPr>
          <w:rFonts w:asciiTheme="minorHAnsi" w:hAnsiTheme="minorHAnsi" w:cstheme="minorHAnsi"/>
          <w:i/>
        </w:rPr>
        <w:t>separate</w:t>
      </w:r>
      <w:r w:rsidRPr="00551775">
        <w:rPr>
          <w:rFonts w:asciiTheme="minorHAnsi" w:hAnsiTheme="minorHAnsi" w:cstheme="minorHAnsi"/>
          <w:i/>
          <w:spacing w:val="-2"/>
        </w:rPr>
        <w:t xml:space="preserve"> </w:t>
      </w:r>
      <w:r w:rsidRPr="00551775">
        <w:rPr>
          <w:rFonts w:asciiTheme="minorHAnsi" w:hAnsiTheme="minorHAnsi" w:cstheme="minorHAnsi"/>
          <w:i/>
        </w:rPr>
        <w:t>advertising</w:t>
      </w:r>
      <w:r w:rsidRPr="00551775">
        <w:rPr>
          <w:rFonts w:asciiTheme="minorHAnsi" w:hAnsiTheme="minorHAnsi" w:cstheme="minorHAnsi"/>
          <w:i/>
          <w:spacing w:val="-6"/>
        </w:rPr>
        <w:t xml:space="preserve"> </w:t>
      </w:r>
      <w:r w:rsidRPr="00551775">
        <w:rPr>
          <w:rFonts w:asciiTheme="minorHAnsi" w:hAnsiTheme="minorHAnsi" w:cstheme="minorHAnsi"/>
          <w:i/>
        </w:rPr>
        <w:t>sign). (Refer to Figure 9 in Appendix</w:t>
      </w:r>
      <w:r w:rsidRPr="00551775">
        <w:rPr>
          <w:rFonts w:asciiTheme="minorHAnsi" w:hAnsiTheme="minorHAnsi" w:cstheme="minorHAnsi"/>
          <w:i/>
          <w:spacing w:val="-9"/>
        </w:rPr>
        <w:t xml:space="preserve"> </w:t>
      </w:r>
      <w:r w:rsidRPr="00551775">
        <w:rPr>
          <w:rFonts w:asciiTheme="minorHAnsi" w:hAnsiTheme="minorHAnsi" w:cstheme="minorHAnsi"/>
          <w:i/>
        </w:rPr>
        <w:t>5)</w:t>
      </w:r>
    </w:p>
    <w:p w14:paraId="284E7220" w14:textId="77777777" w:rsidR="00665A13" w:rsidRPr="00551775" w:rsidRDefault="00665A13" w:rsidP="00551775">
      <w:pPr>
        <w:spacing w:after="0"/>
        <w:ind w:left="426"/>
        <w:rPr>
          <w:b/>
        </w:rPr>
      </w:pPr>
      <w:r w:rsidRPr="00551775">
        <w:rPr>
          <w:b/>
        </w:rPr>
        <w:t>Incidental Development</w:t>
      </w:r>
    </w:p>
    <w:p w14:paraId="647D0BCA" w14:textId="77777777" w:rsidR="00665A13" w:rsidRPr="00551775" w:rsidRDefault="00665A13" w:rsidP="002A3889">
      <w:pPr>
        <w:pStyle w:val="ListParagraph"/>
        <w:widowControl w:val="0"/>
        <w:numPr>
          <w:ilvl w:val="0"/>
          <w:numId w:val="397"/>
        </w:numPr>
        <w:autoSpaceDE w:val="0"/>
        <w:autoSpaceDN w:val="0"/>
        <w:spacing w:after="60" w:line="240" w:lineRule="auto"/>
        <w:ind w:left="1276" w:right="-28" w:hanging="850"/>
        <w:contextualSpacing w:val="0"/>
        <w:jc w:val="both"/>
      </w:pPr>
      <w:r w:rsidRPr="00551775">
        <w:t>Incidental development including (but not limited to) solar collectors, water tanks, satellite dishes, microwave and radio masts, air conditioners and TV antennae are to be located to minimise impact on the character of the contributory building and the immediate</w:t>
      </w:r>
      <w:r w:rsidRPr="00551775">
        <w:rPr>
          <w:spacing w:val="-29"/>
        </w:rPr>
        <w:t xml:space="preserve"> </w:t>
      </w:r>
      <w:r w:rsidRPr="00551775">
        <w:t>locality.</w:t>
      </w:r>
    </w:p>
    <w:p w14:paraId="2C3A403E" w14:textId="77777777" w:rsidR="00665A13" w:rsidRPr="00551775" w:rsidRDefault="00665A13" w:rsidP="002A3889">
      <w:pPr>
        <w:pStyle w:val="ListParagraph"/>
        <w:widowControl w:val="0"/>
        <w:numPr>
          <w:ilvl w:val="0"/>
          <w:numId w:val="397"/>
        </w:numPr>
        <w:autoSpaceDE w:val="0"/>
        <w:autoSpaceDN w:val="0"/>
        <w:spacing w:after="60" w:line="237" w:lineRule="auto"/>
        <w:ind w:left="1276" w:right="-28" w:hanging="850"/>
        <w:contextualSpacing w:val="0"/>
        <w:jc w:val="both"/>
      </w:pPr>
      <w:r w:rsidRPr="00551775">
        <w:t>Every</w:t>
      </w:r>
      <w:r w:rsidRPr="00551775">
        <w:rPr>
          <w:spacing w:val="-6"/>
        </w:rPr>
        <w:t xml:space="preserve"> </w:t>
      </w:r>
      <w:r w:rsidRPr="00551775">
        <w:t>opportunity</w:t>
      </w:r>
      <w:r w:rsidRPr="00551775">
        <w:rPr>
          <w:spacing w:val="-8"/>
        </w:rPr>
        <w:t xml:space="preserve"> </w:t>
      </w:r>
      <w:r w:rsidRPr="00551775">
        <w:t>is</w:t>
      </w:r>
      <w:r w:rsidRPr="00551775">
        <w:rPr>
          <w:spacing w:val="-6"/>
        </w:rPr>
        <w:t xml:space="preserve"> </w:t>
      </w:r>
      <w:r w:rsidRPr="00551775">
        <w:t>to</w:t>
      </w:r>
      <w:r w:rsidRPr="00551775">
        <w:rPr>
          <w:spacing w:val="-5"/>
        </w:rPr>
        <w:t xml:space="preserve"> </w:t>
      </w:r>
      <w:r w:rsidRPr="00551775">
        <w:t>be</w:t>
      </w:r>
      <w:r w:rsidRPr="00551775">
        <w:rPr>
          <w:spacing w:val="-6"/>
        </w:rPr>
        <w:t xml:space="preserve"> </w:t>
      </w:r>
      <w:r w:rsidRPr="00551775">
        <w:t>taken</w:t>
      </w:r>
      <w:r w:rsidRPr="00551775">
        <w:rPr>
          <w:spacing w:val="-7"/>
        </w:rPr>
        <w:t xml:space="preserve"> </w:t>
      </w:r>
      <w:r w:rsidRPr="00551775">
        <w:t>for</w:t>
      </w:r>
      <w:r w:rsidRPr="00551775">
        <w:rPr>
          <w:spacing w:val="-10"/>
        </w:rPr>
        <w:t xml:space="preserve"> </w:t>
      </w:r>
      <w:r w:rsidRPr="00551775">
        <w:t>concealment</w:t>
      </w:r>
      <w:r w:rsidRPr="00551775">
        <w:rPr>
          <w:spacing w:val="-10"/>
        </w:rPr>
        <w:t xml:space="preserve"> </w:t>
      </w:r>
      <w:r w:rsidRPr="00551775">
        <w:t>of</w:t>
      </w:r>
      <w:r w:rsidRPr="00551775">
        <w:rPr>
          <w:spacing w:val="-7"/>
        </w:rPr>
        <w:t xml:space="preserve"> </w:t>
      </w:r>
      <w:r w:rsidRPr="00551775">
        <w:t>incidental</w:t>
      </w:r>
      <w:r w:rsidRPr="00551775">
        <w:rPr>
          <w:spacing w:val="-8"/>
        </w:rPr>
        <w:t xml:space="preserve"> </w:t>
      </w:r>
      <w:r w:rsidRPr="00551775">
        <w:t>developments</w:t>
      </w:r>
      <w:r w:rsidRPr="00551775">
        <w:rPr>
          <w:spacing w:val="-6"/>
        </w:rPr>
        <w:t xml:space="preserve"> </w:t>
      </w:r>
      <w:r w:rsidRPr="00551775">
        <w:t>such</w:t>
      </w:r>
      <w:r w:rsidRPr="00551775">
        <w:rPr>
          <w:spacing w:val="-6"/>
        </w:rPr>
        <w:t xml:space="preserve"> </w:t>
      </w:r>
      <w:r w:rsidRPr="00551775">
        <w:t>as</w:t>
      </w:r>
      <w:r w:rsidRPr="00551775">
        <w:rPr>
          <w:spacing w:val="-6"/>
        </w:rPr>
        <w:t xml:space="preserve"> </w:t>
      </w:r>
      <w:r w:rsidRPr="00551775">
        <w:t>‘hiding’ them in roof valleys, on rear roof planes or behind</w:t>
      </w:r>
      <w:r w:rsidRPr="00551775">
        <w:rPr>
          <w:spacing w:val="-15"/>
        </w:rPr>
        <w:t xml:space="preserve"> </w:t>
      </w:r>
      <w:r w:rsidRPr="00551775">
        <w:t>parapets.</w:t>
      </w:r>
    </w:p>
    <w:p w14:paraId="51BF47AA" w14:textId="77777777" w:rsidR="00665A13" w:rsidRPr="00551775" w:rsidRDefault="00665A13" w:rsidP="002A3889">
      <w:pPr>
        <w:pStyle w:val="ListParagraph"/>
        <w:widowControl w:val="0"/>
        <w:numPr>
          <w:ilvl w:val="0"/>
          <w:numId w:val="397"/>
        </w:numPr>
        <w:autoSpaceDE w:val="0"/>
        <w:autoSpaceDN w:val="0"/>
        <w:spacing w:after="60" w:line="240" w:lineRule="auto"/>
        <w:ind w:left="1276" w:right="-28" w:hanging="850"/>
        <w:contextualSpacing w:val="0"/>
        <w:jc w:val="both"/>
      </w:pPr>
      <w:r w:rsidRPr="00551775">
        <w:t>All solar panels shall be positioned to avoid existing shadows cast from nearby buildings, structures and</w:t>
      </w:r>
      <w:r w:rsidRPr="00551775">
        <w:rPr>
          <w:spacing w:val="-4"/>
        </w:rPr>
        <w:t xml:space="preserve"> </w:t>
      </w:r>
      <w:r w:rsidRPr="00551775">
        <w:t>trees.</w:t>
      </w:r>
    </w:p>
    <w:p w14:paraId="322D26FD" w14:textId="77777777" w:rsidR="00665A13" w:rsidRPr="00551775" w:rsidRDefault="00665A13" w:rsidP="002A3889">
      <w:pPr>
        <w:pStyle w:val="ListParagraph"/>
        <w:widowControl w:val="0"/>
        <w:numPr>
          <w:ilvl w:val="0"/>
          <w:numId w:val="397"/>
        </w:numPr>
        <w:autoSpaceDE w:val="0"/>
        <w:autoSpaceDN w:val="0"/>
        <w:spacing w:after="60" w:line="240" w:lineRule="auto"/>
        <w:ind w:left="1276" w:right="-28" w:hanging="850"/>
        <w:contextualSpacing w:val="0"/>
        <w:jc w:val="both"/>
      </w:pPr>
      <w:r w:rsidRPr="00551775">
        <w:t>Incidental developments are to be constructed behind the front</w:t>
      </w:r>
      <w:r w:rsidRPr="00551775">
        <w:rPr>
          <w:spacing w:val="-12"/>
        </w:rPr>
        <w:t xml:space="preserve"> </w:t>
      </w:r>
      <w:r w:rsidRPr="00551775">
        <w:t>setback.</w:t>
      </w:r>
    </w:p>
    <w:p w14:paraId="093D96C6" w14:textId="77777777" w:rsidR="00665A13" w:rsidRPr="00551775" w:rsidRDefault="00665A13" w:rsidP="002A3889">
      <w:pPr>
        <w:pStyle w:val="ListParagraph"/>
        <w:widowControl w:val="0"/>
        <w:numPr>
          <w:ilvl w:val="0"/>
          <w:numId w:val="397"/>
        </w:numPr>
        <w:autoSpaceDE w:val="0"/>
        <w:autoSpaceDN w:val="0"/>
        <w:spacing w:after="60" w:line="240" w:lineRule="auto"/>
        <w:ind w:left="1276" w:right="-28" w:hanging="850"/>
        <w:contextualSpacing w:val="0"/>
        <w:jc w:val="both"/>
      </w:pPr>
      <w:r w:rsidRPr="00551775">
        <w:t>Incidental</w:t>
      </w:r>
      <w:r w:rsidRPr="00551775">
        <w:rPr>
          <w:spacing w:val="-5"/>
        </w:rPr>
        <w:t xml:space="preserve"> </w:t>
      </w:r>
      <w:r w:rsidRPr="00551775">
        <w:t>developments</w:t>
      </w:r>
      <w:r w:rsidRPr="00551775">
        <w:rPr>
          <w:spacing w:val="-5"/>
        </w:rPr>
        <w:t xml:space="preserve"> </w:t>
      </w:r>
      <w:r w:rsidRPr="00551775">
        <w:t>are</w:t>
      </w:r>
      <w:r w:rsidRPr="00551775">
        <w:rPr>
          <w:spacing w:val="-2"/>
        </w:rPr>
        <w:t xml:space="preserve"> </w:t>
      </w:r>
      <w:r w:rsidRPr="00551775">
        <w:t>not</w:t>
      </w:r>
      <w:r w:rsidRPr="00551775">
        <w:rPr>
          <w:spacing w:val="-6"/>
        </w:rPr>
        <w:t xml:space="preserve"> </w:t>
      </w:r>
      <w:r w:rsidRPr="00551775">
        <w:t>to</w:t>
      </w:r>
      <w:r w:rsidRPr="00551775">
        <w:rPr>
          <w:spacing w:val="-2"/>
        </w:rPr>
        <w:t xml:space="preserve"> </w:t>
      </w:r>
      <w:r w:rsidRPr="00551775">
        <w:t>project</w:t>
      </w:r>
      <w:r w:rsidRPr="00551775">
        <w:rPr>
          <w:spacing w:val="-6"/>
        </w:rPr>
        <w:t xml:space="preserve"> </w:t>
      </w:r>
      <w:r w:rsidRPr="00551775">
        <w:t>above</w:t>
      </w:r>
      <w:r w:rsidRPr="00551775">
        <w:rPr>
          <w:spacing w:val="-6"/>
        </w:rPr>
        <w:t xml:space="preserve"> </w:t>
      </w:r>
      <w:r w:rsidRPr="00551775">
        <w:t>the ridge</w:t>
      </w:r>
      <w:r w:rsidRPr="00551775">
        <w:rPr>
          <w:spacing w:val="-2"/>
        </w:rPr>
        <w:t xml:space="preserve"> </w:t>
      </w:r>
      <w:r w:rsidRPr="00551775">
        <w:t>line</w:t>
      </w:r>
      <w:r w:rsidRPr="00551775">
        <w:rPr>
          <w:spacing w:val="-4"/>
        </w:rPr>
        <w:t xml:space="preserve"> </w:t>
      </w:r>
      <w:r w:rsidRPr="00551775">
        <w:t>of</w:t>
      </w:r>
      <w:r w:rsidRPr="00551775">
        <w:rPr>
          <w:spacing w:val="-6"/>
        </w:rPr>
        <w:t xml:space="preserve"> </w:t>
      </w:r>
      <w:r w:rsidRPr="00551775">
        <w:t>the</w:t>
      </w:r>
      <w:r w:rsidRPr="00551775">
        <w:rPr>
          <w:spacing w:val="-2"/>
        </w:rPr>
        <w:t xml:space="preserve"> </w:t>
      </w:r>
      <w:r w:rsidRPr="00551775">
        <w:t>building</w:t>
      </w:r>
      <w:r w:rsidRPr="00551775">
        <w:rPr>
          <w:spacing w:val="-4"/>
        </w:rPr>
        <w:t xml:space="preserve"> </w:t>
      </w:r>
      <w:r w:rsidRPr="00551775">
        <w:t>except</w:t>
      </w:r>
      <w:r w:rsidRPr="00551775">
        <w:rPr>
          <w:spacing w:val="-1"/>
        </w:rPr>
        <w:t xml:space="preserve"> </w:t>
      </w:r>
      <w:r w:rsidRPr="00551775">
        <w:t>for</w:t>
      </w:r>
      <w:r w:rsidRPr="00551775">
        <w:rPr>
          <w:spacing w:val="-5"/>
        </w:rPr>
        <w:t xml:space="preserve"> </w:t>
      </w:r>
      <w:r w:rsidRPr="00551775">
        <w:t>TV antennae.</w:t>
      </w:r>
    </w:p>
    <w:p w14:paraId="1ACDDBC2" w14:textId="77777777" w:rsidR="00665A13" w:rsidRPr="00551775" w:rsidRDefault="00665A13" w:rsidP="002A3889">
      <w:pPr>
        <w:pStyle w:val="ListParagraph"/>
        <w:widowControl w:val="0"/>
        <w:numPr>
          <w:ilvl w:val="0"/>
          <w:numId w:val="397"/>
        </w:numPr>
        <w:autoSpaceDE w:val="0"/>
        <w:autoSpaceDN w:val="0"/>
        <w:spacing w:after="60" w:line="240" w:lineRule="auto"/>
        <w:ind w:left="1276" w:right="-28" w:hanging="850"/>
        <w:contextualSpacing w:val="0"/>
        <w:jc w:val="both"/>
      </w:pPr>
      <w:r w:rsidRPr="00551775">
        <w:t xml:space="preserve">The historic fabric of a building should not be unnecessarily disturbed or destroyed, in line with </w:t>
      </w:r>
      <w:r w:rsidRPr="00551775">
        <w:lastRenderedPageBreak/>
        <w:t>minimum intervention and reversibility principles, for example when a system is removed the building should be able to be fully restored. All incidental developments are incorporated into the overall landscaping of the development and are screened from view from adjoining properties and</w:t>
      </w:r>
      <w:r w:rsidRPr="00551775">
        <w:rPr>
          <w:spacing w:val="-3"/>
        </w:rPr>
        <w:t xml:space="preserve"> </w:t>
      </w:r>
      <w:r w:rsidRPr="00551775">
        <w:t>streets.</w:t>
      </w:r>
    </w:p>
    <w:p w14:paraId="6674734C" w14:textId="77777777" w:rsidR="00202E12" w:rsidRPr="00202E12" w:rsidRDefault="00665A13" w:rsidP="002A3889">
      <w:pPr>
        <w:pStyle w:val="ListParagraph"/>
        <w:widowControl w:val="0"/>
        <w:numPr>
          <w:ilvl w:val="0"/>
          <w:numId w:val="397"/>
        </w:numPr>
        <w:autoSpaceDE w:val="0"/>
        <w:autoSpaceDN w:val="0"/>
        <w:spacing w:after="60" w:line="240" w:lineRule="auto"/>
        <w:ind w:left="1276" w:right="454" w:hanging="851"/>
        <w:contextualSpacing w:val="0"/>
        <w:jc w:val="both"/>
        <w:rPr>
          <w:i/>
        </w:rPr>
      </w:pPr>
      <w:r w:rsidRPr="00551775">
        <w:t>Incidental</w:t>
      </w:r>
      <w:r w:rsidRPr="00551775">
        <w:rPr>
          <w:spacing w:val="-15"/>
        </w:rPr>
        <w:t xml:space="preserve"> </w:t>
      </w:r>
      <w:r w:rsidRPr="00551775">
        <w:t>developments</w:t>
      </w:r>
      <w:r w:rsidRPr="00551775">
        <w:rPr>
          <w:spacing w:val="-16"/>
        </w:rPr>
        <w:t xml:space="preserve"> </w:t>
      </w:r>
      <w:r w:rsidRPr="00551775">
        <w:t>should</w:t>
      </w:r>
      <w:r w:rsidRPr="00551775">
        <w:rPr>
          <w:spacing w:val="-14"/>
        </w:rPr>
        <w:t xml:space="preserve"> </w:t>
      </w:r>
      <w:r w:rsidRPr="00551775">
        <w:t>not</w:t>
      </w:r>
      <w:r w:rsidRPr="00551775">
        <w:rPr>
          <w:spacing w:val="-14"/>
        </w:rPr>
        <w:t xml:space="preserve"> </w:t>
      </w:r>
      <w:r w:rsidRPr="00551775">
        <w:t>display</w:t>
      </w:r>
      <w:r w:rsidRPr="00551775">
        <w:rPr>
          <w:spacing w:val="-16"/>
        </w:rPr>
        <w:t xml:space="preserve"> </w:t>
      </w:r>
      <w:r w:rsidRPr="00551775">
        <w:t>any</w:t>
      </w:r>
      <w:r w:rsidRPr="00551775">
        <w:rPr>
          <w:spacing w:val="-15"/>
        </w:rPr>
        <w:t xml:space="preserve"> </w:t>
      </w:r>
      <w:r w:rsidRPr="00551775">
        <w:t>form</w:t>
      </w:r>
      <w:r w:rsidRPr="00551775">
        <w:rPr>
          <w:spacing w:val="-15"/>
        </w:rPr>
        <w:t xml:space="preserve"> </w:t>
      </w:r>
      <w:r w:rsidRPr="00551775">
        <w:t>of</w:t>
      </w:r>
      <w:r w:rsidRPr="00551775">
        <w:rPr>
          <w:spacing w:val="-16"/>
        </w:rPr>
        <w:t xml:space="preserve"> </w:t>
      </w:r>
      <w:r w:rsidRPr="00551775">
        <w:t>advertising</w:t>
      </w:r>
      <w:r w:rsidRPr="00551775">
        <w:rPr>
          <w:spacing w:val="-16"/>
        </w:rPr>
        <w:t xml:space="preserve"> </w:t>
      </w:r>
      <w:r w:rsidRPr="00551775">
        <w:t>if</w:t>
      </w:r>
      <w:r w:rsidRPr="00551775">
        <w:rPr>
          <w:spacing w:val="-14"/>
        </w:rPr>
        <w:t xml:space="preserve"> </w:t>
      </w:r>
      <w:r w:rsidRPr="00551775">
        <w:t>visible</w:t>
      </w:r>
      <w:r w:rsidRPr="00551775">
        <w:rPr>
          <w:spacing w:val="-17"/>
        </w:rPr>
        <w:t xml:space="preserve"> </w:t>
      </w:r>
      <w:r w:rsidRPr="00551775">
        <w:t>from</w:t>
      </w:r>
      <w:r w:rsidRPr="00551775">
        <w:rPr>
          <w:spacing w:val="-13"/>
        </w:rPr>
        <w:t xml:space="preserve"> </w:t>
      </w:r>
      <w:r w:rsidRPr="00551775">
        <w:t>street</w:t>
      </w:r>
      <w:r w:rsidRPr="00551775">
        <w:rPr>
          <w:spacing w:val="-14"/>
        </w:rPr>
        <w:t xml:space="preserve"> </w:t>
      </w:r>
      <w:r>
        <w:t xml:space="preserve">level. </w:t>
      </w:r>
    </w:p>
    <w:p w14:paraId="1C7811F0" w14:textId="77777777" w:rsidR="00665A13" w:rsidRPr="00202E12" w:rsidRDefault="00665A13" w:rsidP="00202E12">
      <w:pPr>
        <w:widowControl w:val="0"/>
        <w:autoSpaceDE w:val="0"/>
        <w:autoSpaceDN w:val="0"/>
        <w:spacing w:line="240" w:lineRule="auto"/>
        <w:ind w:left="425" w:right="454"/>
        <w:jc w:val="both"/>
        <w:rPr>
          <w:i/>
        </w:rPr>
      </w:pPr>
      <w:r w:rsidRPr="00202E12">
        <w:rPr>
          <w:i/>
        </w:rPr>
        <w:t>(Refer to Figure 10 in Appendix</w:t>
      </w:r>
      <w:r w:rsidRPr="00202E12">
        <w:rPr>
          <w:i/>
          <w:spacing w:val="-4"/>
        </w:rPr>
        <w:t xml:space="preserve"> </w:t>
      </w:r>
      <w:r w:rsidRPr="00202E12">
        <w:rPr>
          <w:i/>
        </w:rPr>
        <w:t>5)</w:t>
      </w:r>
    </w:p>
    <w:p w14:paraId="4554EA2C" w14:textId="77777777" w:rsidR="00665A13" w:rsidRPr="00551775" w:rsidRDefault="00551775" w:rsidP="00551775">
      <w:pPr>
        <w:spacing w:after="0"/>
        <w:ind w:left="425" w:hanging="425"/>
        <w:rPr>
          <w:b/>
        </w:rPr>
      </w:pPr>
      <w:bookmarkStart w:id="559" w:name="_TOC_250006"/>
      <w:r>
        <w:rPr>
          <w:b/>
        </w:rPr>
        <w:t>9.</w:t>
      </w:r>
      <w:r>
        <w:rPr>
          <w:b/>
        </w:rPr>
        <w:tab/>
      </w:r>
      <w:r w:rsidR="00665A13" w:rsidRPr="00551775">
        <w:rPr>
          <w:b/>
        </w:rPr>
        <w:t>Fremantle Ports</w:t>
      </w:r>
      <w:r w:rsidR="00665A13" w:rsidRPr="00551775">
        <w:rPr>
          <w:b/>
          <w:spacing w:val="-1"/>
        </w:rPr>
        <w:t xml:space="preserve"> </w:t>
      </w:r>
      <w:bookmarkEnd w:id="559"/>
      <w:r w:rsidR="00665A13" w:rsidRPr="00551775">
        <w:rPr>
          <w:b/>
        </w:rPr>
        <w:t>Buffer</w:t>
      </w:r>
    </w:p>
    <w:p w14:paraId="65A8667C" w14:textId="77777777" w:rsidR="00665A13" w:rsidRPr="00551775" w:rsidRDefault="00665A13" w:rsidP="00551775">
      <w:pPr>
        <w:pStyle w:val="BodyText"/>
        <w:spacing w:after="200"/>
        <w:ind w:left="426" w:right="-28"/>
        <w:jc w:val="both"/>
        <w:rPr>
          <w:rFonts w:asciiTheme="minorHAnsi" w:hAnsiTheme="minorHAnsi" w:cstheme="minorHAnsi"/>
        </w:rPr>
      </w:pPr>
      <w:r w:rsidRPr="00551775">
        <w:rPr>
          <w:rFonts w:asciiTheme="minorHAnsi" w:hAnsiTheme="minorHAnsi" w:cstheme="minorHAnsi"/>
        </w:rPr>
        <w:t xml:space="preserve">Fremantle Ports initiated the Fremantle Inner </w:t>
      </w:r>
      <w:proofErr w:type="spellStart"/>
      <w:r w:rsidRPr="00551775">
        <w:rPr>
          <w:rFonts w:asciiTheme="minorHAnsi" w:hAnsiTheme="minorHAnsi" w:cstheme="minorHAnsi"/>
        </w:rPr>
        <w:t>Harbour</w:t>
      </w:r>
      <w:proofErr w:type="spellEnd"/>
      <w:r w:rsidRPr="00551775">
        <w:rPr>
          <w:rFonts w:asciiTheme="minorHAnsi" w:hAnsiTheme="minorHAnsi" w:cstheme="minorHAnsi"/>
        </w:rPr>
        <w:t xml:space="preserve"> Buffer Definition Study, which was endorsed by the Western Australian Planning Commission and the then Department of Environment Protection in 2004. Buffer Guidelines established by Fremantle Ports provide guidance for land use planning around the Inner </w:t>
      </w:r>
      <w:proofErr w:type="spellStart"/>
      <w:r w:rsidRPr="00551775">
        <w:rPr>
          <w:rFonts w:asciiTheme="minorHAnsi" w:hAnsiTheme="minorHAnsi" w:cstheme="minorHAnsi"/>
        </w:rPr>
        <w:t>Harbour</w:t>
      </w:r>
      <w:proofErr w:type="spellEnd"/>
      <w:r w:rsidRPr="00551775">
        <w:rPr>
          <w:rFonts w:asciiTheme="minorHAnsi" w:hAnsiTheme="minorHAnsi" w:cstheme="minorHAnsi"/>
        </w:rPr>
        <w:t xml:space="preserve"> </w:t>
      </w:r>
      <w:proofErr w:type="spellStart"/>
      <w:r w:rsidRPr="00551775">
        <w:rPr>
          <w:rFonts w:asciiTheme="minorHAnsi" w:hAnsiTheme="minorHAnsi" w:cstheme="minorHAnsi"/>
        </w:rPr>
        <w:t>recognising</w:t>
      </w:r>
      <w:proofErr w:type="spellEnd"/>
      <w:r w:rsidRPr="00551775">
        <w:rPr>
          <w:rFonts w:asciiTheme="minorHAnsi" w:hAnsiTheme="minorHAnsi" w:cstheme="minorHAnsi"/>
        </w:rPr>
        <w:t xml:space="preserve"> the strategic importance of the port operations and growth, whilst promoting compatible land uses and protection of the amenity of residents living within the buffer.</w:t>
      </w:r>
    </w:p>
    <w:p w14:paraId="08708E59" w14:textId="77777777" w:rsidR="00665A13" w:rsidRPr="00551775" w:rsidRDefault="00665A13" w:rsidP="00551775">
      <w:pPr>
        <w:pStyle w:val="BodyText"/>
        <w:spacing w:after="200"/>
        <w:ind w:left="426" w:right="-28"/>
        <w:jc w:val="both"/>
        <w:rPr>
          <w:rFonts w:asciiTheme="minorHAnsi" w:hAnsiTheme="minorHAnsi" w:cstheme="minorHAnsi"/>
        </w:rPr>
      </w:pPr>
      <w:r w:rsidRPr="00551775">
        <w:rPr>
          <w:rFonts w:asciiTheme="minorHAnsi" w:hAnsiTheme="minorHAnsi" w:cstheme="minorHAnsi"/>
        </w:rPr>
        <w:t xml:space="preserve">The buffer comprises of three areas based on varying levels of technical criteria of risk, noise and </w:t>
      </w:r>
      <w:proofErr w:type="spellStart"/>
      <w:r w:rsidRPr="00551775">
        <w:rPr>
          <w:rFonts w:asciiTheme="minorHAnsi" w:hAnsiTheme="minorHAnsi" w:cstheme="minorHAnsi"/>
        </w:rPr>
        <w:t>odour</w:t>
      </w:r>
      <w:proofErr w:type="spellEnd"/>
      <w:r w:rsidRPr="00551775">
        <w:rPr>
          <w:rFonts w:asciiTheme="minorHAnsi" w:hAnsiTheme="minorHAnsi" w:cstheme="minorHAnsi"/>
        </w:rPr>
        <w:t>. The George Street Heritage area is affected by Buffer Area 2 which allows the establishment of sensitive land uses with a medium level of protective conditions. The guidelines for</w:t>
      </w:r>
      <w:r w:rsidRPr="00551775">
        <w:rPr>
          <w:rFonts w:asciiTheme="minorHAnsi" w:hAnsiTheme="minorHAnsi" w:cstheme="minorHAnsi"/>
          <w:spacing w:val="-12"/>
        </w:rPr>
        <w:t xml:space="preserve"> </w:t>
      </w:r>
      <w:r w:rsidRPr="00551775">
        <w:rPr>
          <w:rFonts w:asciiTheme="minorHAnsi" w:hAnsiTheme="minorHAnsi" w:cstheme="minorHAnsi"/>
        </w:rPr>
        <w:t>Buffer</w:t>
      </w:r>
      <w:r w:rsidRPr="00551775">
        <w:rPr>
          <w:rFonts w:asciiTheme="minorHAnsi" w:hAnsiTheme="minorHAnsi" w:cstheme="minorHAnsi"/>
          <w:spacing w:val="-9"/>
        </w:rPr>
        <w:t xml:space="preserve"> </w:t>
      </w:r>
      <w:r w:rsidRPr="00551775">
        <w:rPr>
          <w:rFonts w:asciiTheme="minorHAnsi" w:hAnsiTheme="minorHAnsi" w:cstheme="minorHAnsi"/>
        </w:rPr>
        <w:t>Area</w:t>
      </w:r>
      <w:r w:rsidRPr="00551775">
        <w:rPr>
          <w:rFonts w:asciiTheme="minorHAnsi" w:hAnsiTheme="minorHAnsi" w:cstheme="minorHAnsi"/>
          <w:spacing w:val="-14"/>
        </w:rPr>
        <w:t xml:space="preserve"> </w:t>
      </w:r>
      <w:r w:rsidRPr="00551775">
        <w:rPr>
          <w:rFonts w:asciiTheme="minorHAnsi" w:hAnsiTheme="minorHAnsi" w:cstheme="minorHAnsi"/>
        </w:rPr>
        <w:t>2</w:t>
      </w:r>
      <w:r w:rsidRPr="00551775">
        <w:rPr>
          <w:rFonts w:asciiTheme="minorHAnsi" w:hAnsiTheme="minorHAnsi" w:cstheme="minorHAnsi"/>
          <w:spacing w:val="-9"/>
        </w:rPr>
        <w:t xml:space="preserve"> </w:t>
      </w:r>
      <w:r w:rsidRPr="00551775">
        <w:rPr>
          <w:rFonts w:asciiTheme="minorHAnsi" w:hAnsiTheme="minorHAnsi" w:cstheme="minorHAnsi"/>
        </w:rPr>
        <w:t>are</w:t>
      </w:r>
      <w:r w:rsidRPr="00551775">
        <w:rPr>
          <w:rFonts w:asciiTheme="minorHAnsi" w:hAnsiTheme="minorHAnsi" w:cstheme="minorHAnsi"/>
          <w:spacing w:val="-9"/>
        </w:rPr>
        <w:t xml:space="preserve"> </w:t>
      </w:r>
      <w:r w:rsidRPr="00551775">
        <w:rPr>
          <w:rFonts w:asciiTheme="minorHAnsi" w:hAnsiTheme="minorHAnsi" w:cstheme="minorHAnsi"/>
        </w:rPr>
        <w:t>applied</w:t>
      </w:r>
      <w:r w:rsidRPr="00551775">
        <w:rPr>
          <w:rFonts w:asciiTheme="minorHAnsi" w:hAnsiTheme="minorHAnsi" w:cstheme="minorHAnsi"/>
          <w:spacing w:val="-14"/>
        </w:rPr>
        <w:t xml:space="preserve"> </w:t>
      </w:r>
      <w:r w:rsidRPr="00551775">
        <w:rPr>
          <w:rFonts w:asciiTheme="minorHAnsi" w:hAnsiTheme="minorHAnsi" w:cstheme="minorHAnsi"/>
        </w:rPr>
        <w:t>to</w:t>
      </w:r>
      <w:r w:rsidRPr="00551775">
        <w:rPr>
          <w:rFonts w:asciiTheme="minorHAnsi" w:hAnsiTheme="minorHAnsi" w:cstheme="minorHAnsi"/>
          <w:spacing w:val="-11"/>
        </w:rPr>
        <w:t xml:space="preserve"> </w:t>
      </w:r>
      <w:r w:rsidRPr="00551775">
        <w:rPr>
          <w:rFonts w:asciiTheme="minorHAnsi" w:hAnsiTheme="minorHAnsi" w:cstheme="minorHAnsi"/>
        </w:rPr>
        <w:t>the</w:t>
      </w:r>
      <w:r w:rsidRPr="00551775">
        <w:rPr>
          <w:rFonts w:asciiTheme="minorHAnsi" w:hAnsiTheme="minorHAnsi" w:cstheme="minorHAnsi"/>
          <w:spacing w:val="-13"/>
        </w:rPr>
        <w:t xml:space="preserve"> </w:t>
      </w:r>
      <w:r w:rsidRPr="00551775">
        <w:rPr>
          <w:rFonts w:asciiTheme="minorHAnsi" w:hAnsiTheme="minorHAnsi" w:cstheme="minorHAnsi"/>
        </w:rPr>
        <w:t>George</w:t>
      </w:r>
      <w:r w:rsidRPr="00551775">
        <w:rPr>
          <w:rFonts w:asciiTheme="minorHAnsi" w:hAnsiTheme="minorHAnsi" w:cstheme="minorHAnsi"/>
          <w:spacing w:val="-14"/>
        </w:rPr>
        <w:t xml:space="preserve"> </w:t>
      </w:r>
      <w:r w:rsidRPr="00551775">
        <w:rPr>
          <w:rFonts w:asciiTheme="minorHAnsi" w:hAnsiTheme="minorHAnsi" w:cstheme="minorHAnsi"/>
        </w:rPr>
        <w:t>Street</w:t>
      </w:r>
      <w:r w:rsidRPr="00551775">
        <w:rPr>
          <w:rFonts w:asciiTheme="minorHAnsi" w:hAnsiTheme="minorHAnsi" w:cstheme="minorHAnsi"/>
          <w:spacing w:val="-10"/>
        </w:rPr>
        <w:t xml:space="preserve"> </w:t>
      </w:r>
      <w:r w:rsidRPr="00551775">
        <w:rPr>
          <w:rFonts w:asciiTheme="minorHAnsi" w:hAnsiTheme="minorHAnsi" w:cstheme="minorHAnsi"/>
        </w:rPr>
        <w:t>Heritage</w:t>
      </w:r>
      <w:r w:rsidRPr="00551775">
        <w:rPr>
          <w:rFonts w:asciiTheme="minorHAnsi" w:hAnsiTheme="minorHAnsi" w:cstheme="minorHAnsi"/>
          <w:spacing w:val="-11"/>
        </w:rPr>
        <w:t xml:space="preserve"> </w:t>
      </w:r>
      <w:r w:rsidRPr="00551775">
        <w:rPr>
          <w:rFonts w:asciiTheme="minorHAnsi" w:hAnsiTheme="minorHAnsi" w:cstheme="minorHAnsi"/>
        </w:rPr>
        <w:t>Area</w:t>
      </w:r>
      <w:r w:rsidRPr="00551775">
        <w:rPr>
          <w:rFonts w:asciiTheme="minorHAnsi" w:hAnsiTheme="minorHAnsi" w:cstheme="minorHAnsi"/>
          <w:spacing w:val="-14"/>
        </w:rPr>
        <w:t xml:space="preserve"> </w:t>
      </w:r>
      <w:r w:rsidRPr="00551775">
        <w:rPr>
          <w:rFonts w:asciiTheme="minorHAnsi" w:hAnsiTheme="minorHAnsi" w:cstheme="minorHAnsi"/>
        </w:rPr>
        <w:t>as</w:t>
      </w:r>
      <w:r w:rsidRPr="00551775">
        <w:rPr>
          <w:rFonts w:asciiTheme="minorHAnsi" w:hAnsiTheme="minorHAnsi" w:cstheme="minorHAnsi"/>
          <w:spacing w:val="-9"/>
        </w:rPr>
        <w:t xml:space="preserve"> </w:t>
      </w:r>
      <w:r w:rsidRPr="00551775">
        <w:rPr>
          <w:rFonts w:asciiTheme="minorHAnsi" w:hAnsiTheme="minorHAnsi" w:cstheme="minorHAnsi"/>
        </w:rPr>
        <w:t>part</w:t>
      </w:r>
      <w:r w:rsidRPr="00551775">
        <w:rPr>
          <w:rFonts w:asciiTheme="minorHAnsi" w:hAnsiTheme="minorHAnsi" w:cstheme="minorHAnsi"/>
          <w:spacing w:val="-14"/>
        </w:rPr>
        <w:t xml:space="preserve"> </w:t>
      </w:r>
      <w:r w:rsidRPr="00551775">
        <w:rPr>
          <w:rFonts w:asciiTheme="minorHAnsi" w:hAnsiTheme="minorHAnsi" w:cstheme="minorHAnsi"/>
        </w:rPr>
        <w:t>of</w:t>
      </w:r>
      <w:r w:rsidRPr="00551775">
        <w:rPr>
          <w:rFonts w:asciiTheme="minorHAnsi" w:hAnsiTheme="minorHAnsi" w:cstheme="minorHAnsi"/>
          <w:spacing w:val="-16"/>
        </w:rPr>
        <w:t xml:space="preserve"> </w:t>
      </w:r>
      <w:r w:rsidRPr="00551775">
        <w:rPr>
          <w:rFonts w:asciiTheme="minorHAnsi" w:hAnsiTheme="minorHAnsi" w:cstheme="minorHAnsi"/>
        </w:rPr>
        <w:t>this</w:t>
      </w:r>
      <w:r w:rsidRPr="00551775">
        <w:rPr>
          <w:rFonts w:asciiTheme="minorHAnsi" w:hAnsiTheme="minorHAnsi" w:cstheme="minorHAnsi"/>
          <w:spacing w:val="-9"/>
        </w:rPr>
        <w:t xml:space="preserve"> </w:t>
      </w:r>
      <w:r w:rsidRPr="00551775">
        <w:rPr>
          <w:rFonts w:asciiTheme="minorHAnsi" w:hAnsiTheme="minorHAnsi" w:cstheme="minorHAnsi"/>
        </w:rPr>
        <w:t>local</w:t>
      </w:r>
      <w:r w:rsidRPr="00551775">
        <w:rPr>
          <w:rFonts w:asciiTheme="minorHAnsi" w:hAnsiTheme="minorHAnsi" w:cstheme="minorHAnsi"/>
          <w:spacing w:val="-11"/>
        </w:rPr>
        <w:t xml:space="preserve"> </w:t>
      </w:r>
      <w:r w:rsidRPr="00551775">
        <w:rPr>
          <w:rFonts w:asciiTheme="minorHAnsi" w:hAnsiTheme="minorHAnsi" w:cstheme="minorHAnsi"/>
        </w:rPr>
        <w:t>planning</w:t>
      </w:r>
      <w:r w:rsidRPr="00551775">
        <w:rPr>
          <w:rFonts w:asciiTheme="minorHAnsi" w:hAnsiTheme="minorHAnsi" w:cstheme="minorHAnsi"/>
          <w:spacing w:val="-12"/>
        </w:rPr>
        <w:t xml:space="preserve"> </w:t>
      </w:r>
      <w:r w:rsidRPr="00551775">
        <w:rPr>
          <w:rFonts w:asciiTheme="minorHAnsi" w:hAnsiTheme="minorHAnsi" w:cstheme="minorHAnsi"/>
        </w:rPr>
        <w:t>policy as</w:t>
      </w:r>
      <w:r w:rsidRPr="00551775">
        <w:rPr>
          <w:rFonts w:asciiTheme="minorHAnsi" w:hAnsiTheme="minorHAnsi" w:cstheme="minorHAnsi"/>
          <w:spacing w:val="-1"/>
        </w:rPr>
        <w:t xml:space="preserve"> </w:t>
      </w:r>
      <w:r w:rsidRPr="00551775">
        <w:rPr>
          <w:rFonts w:asciiTheme="minorHAnsi" w:hAnsiTheme="minorHAnsi" w:cstheme="minorHAnsi"/>
        </w:rPr>
        <w:t>follows:</w:t>
      </w:r>
    </w:p>
    <w:p w14:paraId="6111A401" w14:textId="77777777" w:rsidR="00665A13" w:rsidRPr="00551775" w:rsidRDefault="00665A13" w:rsidP="00551775">
      <w:pPr>
        <w:spacing w:after="0"/>
        <w:ind w:left="425"/>
        <w:rPr>
          <w:b/>
        </w:rPr>
      </w:pPr>
      <w:r w:rsidRPr="00551775">
        <w:rPr>
          <w:b/>
        </w:rPr>
        <w:t>Potential Risk and Amenity Considerations</w:t>
      </w:r>
    </w:p>
    <w:p w14:paraId="7CCD92A0" w14:textId="77777777" w:rsidR="00665A13" w:rsidRPr="00551775" w:rsidRDefault="00202E12" w:rsidP="00202E12">
      <w:pPr>
        <w:pStyle w:val="BodyText"/>
        <w:spacing w:after="60"/>
        <w:ind w:left="1276" w:hanging="851"/>
        <w:rPr>
          <w:rFonts w:asciiTheme="minorHAnsi" w:hAnsiTheme="minorHAnsi" w:cstheme="minorHAnsi"/>
        </w:rPr>
      </w:pPr>
      <w:proofErr w:type="spellStart"/>
      <w:r>
        <w:rPr>
          <w:rFonts w:asciiTheme="minorHAnsi" w:hAnsiTheme="minorHAnsi" w:cstheme="minorHAnsi"/>
        </w:rPr>
        <w:t>i</w:t>
      </w:r>
      <w:proofErr w:type="spellEnd"/>
      <w:r>
        <w:rPr>
          <w:rFonts w:asciiTheme="minorHAnsi" w:hAnsiTheme="minorHAnsi" w:cstheme="minorHAnsi"/>
        </w:rPr>
        <w:t>.</w:t>
      </w:r>
      <w:r>
        <w:rPr>
          <w:rFonts w:asciiTheme="minorHAnsi" w:hAnsiTheme="minorHAnsi" w:cstheme="minorHAnsi"/>
        </w:rPr>
        <w:tab/>
      </w:r>
      <w:r w:rsidR="00665A13" w:rsidRPr="00551775">
        <w:rPr>
          <w:rFonts w:asciiTheme="minorHAnsi" w:hAnsiTheme="minorHAnsi" w:cstheme="minorHAnsi"/>
        </w:rPr>
        <w:t>Consideration is to be given to the following potential impacts:</w:t>
      </w:r>
    </w:p>
    <w:p w14:paraId="757F0346" w14:textId="77777777" w:rsidR="00665A13" w:rsidRDefault="00202E12" w:rsidP="00202E12">
      <w:pPr>
        <w:widowControl w:val="0"/>
        <w:autoSpaceDE w:val="0"/>
        <w:autoSpaceDN w:val="0"/>
        <w:spacing w:after="60" w:line="240" w:lineRule="auto"/>
        <w:ind w:left="1276" w:hanging="851"/>
        <w:jc w:val="both"/>
      </w:pPr>
      <w:r>
        <w:t>ii.</w:t>
      </w:r>
      <w:r>
        <w:tab/>
      </w:r>
      <w:r w:rsidR="00665A13">
        <w:t>Ingress of toxic gases in the event of an incident within the</w:t>
      </w:r>
      <w:r w:rsidR="00665A13" w:rsidRPr="00551775">
        <w:rPr>
          <w:spacing w:val="-13"/>
        </w:rPr>
        <w:t xml:space="preserve"> </w:t>
      </w:r>
      <w:proofErr w:type="gramStart"/>
      <w:r w:rsidR="00665A13">
        <w:t>Port;</w:t>
      </w:r>
      <w:proofErr w:type="gramEnd"/>
    </w:p>
    <w:p w14:paraId="24AD9E13" w14:textId="77777777" w:rsidR="00665A13" w:rsidRDefault="00202E12" w:rsidP="00202E12">
      <w:pPr>
        <w:widowControl w:val="0"/>
        <w:autoSpaceDE w:val="0"/>
        <w:autoSpaceDN w:val="0"/>
        <w:spacing w:after="60" w:line="240" w:lineRule="auto"/>
        <w:ind w:left="1276" w:hanging="851"/>
        <w:jc w:val="both"/>
      </w:pPr>
      <w:r>
        <w:t>iii.</w:t>
      </w:r>
      <w:r>
        <w:tab/>
      </w:r>
      <w:r w:rsidR="00665A13">
        <w:t>Shattering or flying glass as a consequence of explosion within the</w:t>
      </w:r>
      <w:r w:rsidR="00665A13" w:rsidRPr="00551775">
        <w:rPr>
          <w:spacing w:val="-27"/>
        </w:rPr>
        <w:t xml:space="preserve"> </w:t>
      </w:r>
      <w:proofErr w:type="gramStart"/>
      <w:r w:rsidR="00665A13">
        <w:t>Port;</w:t>
      </w:r>
      <w:proofErr w:type="gramEnd"/>
    </w:p>
    <w:p w14:paraId="33960C4E" w14:textId="77777777" w:rsidR="00665A13" w:rsidRDefault="00202E12" w:rsidP="00202E12">
      <w:pPr>
        <w:widowControl w:val="0"/>
        <w:autoSpaceDE w:val="0"/>
        <w:autoSpaceDN w:val="0"/>
        <w:spacing w:after="60" w:line="240" w:lineRule="auto"/>
        <w:ind w:left="1276" w:right="-29" w:hanging="851"/>
        <w:jc w:val="both"/>
      </w:pPr>
      <w:r>
        <w:t>iv.</w:t>
      </w:r>
      <w:r>
        <w:tab/>
      </w:r>
      <w:r w:rsidR="00665A13">
        <w:t>Noise transmission emanating from the Port (attenuation in the order of 30dB(A) is required;</w:t>
      </w:r>
      <w:r w:rsidR="00665A13" w:rsidRPr="00551775">
        <w:rPr>
          <w:spacing w:val="-1"/>
        </w:rPr>
        <w:t xml:space="preserve"> </w:t>
      </w:r>
      <w:r w:rsidR="00665A13">
        <w:t>and</w:t>
      </w:r>
    </w:p>
    <w:p w14:paraId="1E62D82A" w14:textId="77777777" w:rsidR="00665A13" w:rsidRDefault="00202E12" w:rsidP="00202E12">
      <w:pPr>
        <w:widowControl w:val="0"/>
        <w:autoSpaceDE w:val="0"/>
        <w:autoSpaceDN w:val="0"/>
        <w:spacing w:before="1" w:line="240" w:lineRule="auto"/>
        <w:ind w:left="1276" w:hanging="851"/>
        <w:jc w:val="both"/>
      </w:pPr>
      <w:r>
        <w:t>v.</w:t>
      </w:r>
      <w:r>
        <w:tab/>
      </w:r>
      <w:r w:rsidR="00665A13">
        <w:t>Odour.</w:t>
      </w:r>
    </w:p>
    <w:p w14:paraId="510B9634" w14:textId="77777777" w:rsidR="00665A13" w:rsidRPr="00202E12" w:rsidRDefault="00665A13" w:rsidP="00202E12">
      <w:pPr>
        <w:spacing w:after="0"/>
        <w:ind w:left="425"/>
        <w:rPr>
          <w:b/>
        </w:rPr>
      </w:pPr>
      <w:r w:rsidRPr="00202E12">
        <w:rPr>
          <w:b/>
        </w:rPr>
        <w:t>Built Form Requirements</w:t>
      </w:r>
    </w:p>
    <w:p w14:paraId="448E25A7" w14:textId="77777777" w:rsidR="00665A13" w:rsidRPr="00202E12" w:rsidRDefault="00665A13" w:rsidP="00202E12">
      <w:pPr>
        <w:pStyle w:val="BodyText"/>
        <w:spacing w:after="200"/>
        <w:ind w:left="425" w:right="113"/>
        <w:jc w:val="both"/>
        <w:rPr>
          <w:rFonts w:asciiTheme="minorHAnsi" w:hAnsiTheme="minorHAnsi" w:cstheme="minorHAnsi"/>
        </w:rPr>
      </w:pPr>
      <w:r w:rsidRPr="00202E12">
        <w:rPr>
          <w:rFonts w:asciiTheme="minorHAnsi" w:hAnsiTheme="minorHAnsi" w:cstheme="minorHAnsi"/>
        </w:rPr>
        <w:t xml:space="preserve">The following built form requirements shall apply to all residential development other than alterations and additions to existing dwellings; and all non-residential development other than refurbishment/renovations (not involving a </w:t>
      </w:r>
      <w:proofErr w:type="spellStart"/>
      <w:r w:rsidRPr="00202E12">
        <w:rPr>
          <w:rFonts w:asciiTheme="minorHAnsi" w:hAnsiTheme="minorHAnsi" w:cstheme="minorHAnsi"/>
        </w:rPr>
        <w:t>nett</w:t>
      </w:r>
      <w:proofErr w:type="spellEnd"/>
      <w:r w:rsidRPr="00202E12">
        <w:rPr>
          <w:rFonts w:asciiTheme="minorHAnsi" w:hAnsiTheme="minorHAnsi" w:cstheme="minorHAnsi"/>
        </w:rPr>
        <w:t xml:space="preserve"> increase in floor area) to existing buildings and non-residential change of use proposals:</w:t>
      </w:r>
    </w:p>
    <w:p w14:paraId="1C474C90" w14:textId="77777777" w:rsidR="00665A13" w:rsidRPr="00202E12" w:rsidRDefault="00665A13" w:rsidP="00202E12">
      <w:pPr>
        <w:pStyle w:val="BodyText"/>
        <w:spacing w:after="0"/>
        <w:ind w:left="482"/>
        <w:rPr>
          <w:rFonts w:asciiTheme="minorHAnsi" w:hAnsiTheme="minorHAnsi" w:cstheme="minorHAnsi"/>
        </w:rPr>
      </w:pPr>
      <w:r>
        <w:rPr>
          <w:rFonts w:ascii="Times New Roman"/>
          <w:spacing w:val="-56"/>
          <w:u w:val="single"/>
        </w:rPr>
        <w:t xml:space="preserve"> </w:t>
      </w:r>
      <w:r w:rsidRPr="00202E12">
        <w:rPr>
          <w:rFonts w:asciiTheme="minorHAnsi" w:hAnsiTheme="minorHAnsi" w:cstheme="minorHAnsi"/>
          <w:u w:val="single"/>
        </w:rPr>
        <w:t>Windows and Openings</w:t>
      </w:r>
    </w:p>
    <w:p w14:paraId="7651026E" w14:textId="77777777" w:rsidR="00665A13" w:rsidRDefault="00665A13" w:rsidP="002A3889">
      <w:pPr>
        <w:pStyle w:val="ListParagraph"/>
        <w:widowControl w:val="0"/>
        <w:numPr>
          <w:ilvl w:val="0"/>
          <w:numId w:val="396"/>
        </w:numPr>
        <w:tabs>
          <w:tab w:val="left" w:pos="1199"/>
          <w:tab w:val="left" w:pos="1200"/>
        </w:tabs>
        <w:autoSpaceDE w:val="0"/>
        <w:autoSpaceDN w:val="0"/>
        <w:spacing w:before="1" w:after="60" w:line="240" w:lineRule="auto"/>
        <w:ind w:left="1202" w:right="-29"/>
        <w:contextualSpacing w:val="0"/>
        <w:jc w:val="both"/>
      </w:pPr>
      <w:r>
        <w:t>Any</w:t>
      </w:r>
      <w:r>
        <w:rPr>
          <w:spacing w:val="-6"/>
        </w:rPr>
        <w:t xml:space="preserve"> </w:t>
      </w:r>
      <w:r>
        <w:t>glass</w:t>
      </w:r>
      <w:r>
        <w:rPr>
          <w:spacing w:val="-8"/>
        </w:rPr>
        <w:t xml:space="preserve"> </w:t>
      </w:r>
      <w:r>
        <w:t>used</w:t>
      </w:r>
      <w:r>
        <w:rPr>
          <w:spacing w:val="-6"/>
        </w:rPr>
        <w:t xml:space="preserve"> </w:t>
      </w:r>
      <w:r>
        <w:t>for</w:t>
      </w:r>
      <w:r>
        <w:rPr>
          <w:spacing w:val="-6"/>
        </w:rPr>
        <w:t xml:space="preserve"> </w:t>
      </w:r>
      <w:r>
        <w:t>windows</w:t>
      </w:r>
      <w:r>
        <w:rPr>
          <w:spacing w:val="-7"/>
        </w:rPr>
        <w:t xml:space="preserve"> </w:t>
      </w:r>
      <w:r>
        <w:t>or</w:t>
      </w:r>
      <w:r>
        <w:rPr>
          <w:spacing w:val="-6"/>
        </w:rPr>
        <w:t xml:space="preserve"> </w:t>
      </w:r>
      <w:r>
        <w:t>other</w:t>
      </w:r>
      <w:r>
        <w:rPr>
          <w:spacing w:val="-5"/>
        </w:rPr>
        <w:t xml:space="preserve"> </w:t>
      </w:r>
      <w:r>
        <w:t>openings</w:t>
      </w:r>
      <w:r>
        <w:rPr>
          <w:spacing w:val="-6"/>
        </w:rPr>
        <w:t xml:space="preserve"> </w:t>
      </w:r>
      <w:r>
        <w:t>shall</w:t>
      </w:r>
      <w:r>
        <w:rPr>
          <w:spacing w:val="-7"/>
        </w:rPr>
        <w:t xml:space="preserve"> </w:t>
      </w:r>
      <w:r>
        <w:t>be</w:t>
      </w:r>
      <w:r>
        <w:rPr>
          <w:spacing w:val="-8"/>
        </w:rPr>
        <w:t xml:space="preserve"> </w:t>
      </w:r>
      <w:r>
        <w:t>laminated</w:t>
      </w:r>
      <w:r>
        <w:rPr>
          <w:spacing w:val="-5"/>
        </w:rPr>
        <w:t xml:space="preserve"> </w:t>
      </w:r>
      <w:r>
        <w:t>safety</w:t>
      </w:r>
      <w:r>
        <w:rPr>
          <w:spacing w:val="-6"/>
        </w:rPr>
        <w:t xml:space="preserve"> </w:t>
      </w:r>
      <w:r>
        <w:t>glass</w:t>
      </w:r>
      <w:r>
        <w:rPr>
          <w:spacing w:val="-7"/>
        </w:rPr>
        <w:t xml:space="preserve"> </w:t>
      </w:r>
      <w:r>
        <w:t>of</w:t>
      </w:r>
      <w:r>
        <w:rPr>
          <w:spacing w:val="-8"/>
        </w:rPr>
        <w:t xml:space="preserve"> </w:t>
      </w:r>
      <w:r>
        <w:t>minimum thickness of 6mm or “double glazed” utilising laminated or toughened safety glass of a minimum thickness of 3mm;</w:t>
      </w:r>
      <w:r>
        <w:rPr>
          <w:spacing w:val="-10"/>
        </w:rPr>
        <w:t xml:space="preserve"> </w:t>
      </w:r>
      <w:r>
        <w:t>and</w:t>
      </w:r>
    </w:p>
    <w:p w14:paraId="1CD7392A" w14:textId="77777777" w:rsidR="00665A13" w:rsidRDefault="00665A13" w:rsidP="002A3889">
      <w:pPr>
        <w:pStyle w:val="ListParagraph"/>
        <w:widowControl w:val="0"/>
        <w:numPr>
          <w:ilvl w:val="0"/>
          <w:numId w:val="396"/>
        </w:numPr>
        <w:tabs>
          <w:tab w:val="left" w:pos="1199"/>
          <w:tab w:val="left" w:pos="1200"/>
        </w:tabs>
        <w:autoSpaceDE w:val="0"/>
        <w:autoSpaceDN w:val="0"/>
        <w:spacing w:line="267" w:lineRule="exact"/>
        <w:ind w:left="1202"/>
        <w:contextualSpacing w:val="0"/>
        <w:jc w:val="both"/>
      </w:pPr>
      <w:r>
        <w:t>All</w:t>
      </w:r>
      <w:r>
        <w:rPr>
          <w:spacing w:val="-10"/>
        </w:rPr>
        <w:t xml:space="preserve"> </w:t>
      </w:r>
      <w:r>
        <w:t>safety</w:t>
      </w:r>
      <w:r>
        <w:rPr>
          <w:spacing w:val="-7"/>
        </w:rPr>
        <w:t xml:space="preserve"> </w:t>
      </w:r>
      <w:r>
        <w:t>glass</w:t>
      </w:r>
      <w:r>
        <w:rPr>
          <w:spacing w:val="-7"/>
        </w:rPr>
        <w:t xml:space="preserve"> </w:t>
      </w:r>
      <w:r>
        <w:t>shall</w:t>
      </w:r>
      <w:r>
        <w:rPr>
          <w:spacing w:val="-11"/>
        </w:rPr>
        <w:t xml:space="preserve"> </w:t>
      </w:r>
      <w:r>
        <w:t>be</w:t>
      </w:r>
      <w:r>
        <w:rPr>
          <w:spacing w:val="-9"/>
        </w:rPr>
        <w:t xml:space="preserve"> </w:t>
      </w:r>
      <w:r>
        <w:t>manufactured</w:t>
      </w:r>
      <w:r>
        <w:rPr>
          <w:spacing w:val="-8"/>
        </w:rPr>
        <w:t xml:space="preserve"> </w:t>
      </w:r>
      <w:r>
        <w:t>and</w:t>
      </w:r>
      <w:r>
        <w:rPr>
          <w:spacing w:val="-8"/>
        </w:rPr>
        <w:t xml:space="preserve"> </w:t>
      </w:r>
      <w:r>
        <w:t>installed</w:t>
      </w:r>
      <w:r>
        <w:rPr>
          <w:spacing w:val="-10"/>
        </w:rPr>
        <w:t xml:space="preserve"> </w:t>
      </w:r>
      <w:r>
        <w:t>to</w:t>
      </w:r>
      <w:r>
        <w:rPr>
          <w:spacing w:val="-7"/>
        </w:rPr>
        <w:t xml:space="preserve"> </w:t>
      </w:r>
      <w:r>
        <w:rPr>
          <w:spacing w:val="-3"/>
        </w:rPr>
        <w:t>an</w:t>
      </w:r>
      <w:r>
        <w:rPr>
          <w:spacing w:val="-8"/>
        </w:rPr>
        <w:t xml:space="preserve"> </w:t>
      </w:r>
      <w:r>
        <w:t>appropriate</w:t>
      </w:r>
      <w:r>
        <w:rPr>
          <w:spacing w:val="-7"/>
        </w:rPr>
        <w:t xml:space="preserve"> </w:t>
      </w:r>
      <w:r>
        <w:t>Australian</w:t>
      </w:r>
      <w:r>
        <w:rPr>
          <w:spacing w:val="-10"/>
        </w:rPr>
        <w:t xml:space="preserve"> </w:t>
      </w:r>
      <w:r>
        <w:t>Standard.</w:t>
      </w:r>
    </w:p>
    <w:p w14:paraId="07B8B5D6" w14:textId="77777777" w:rsidR="00665A13" w:rsidRPr="00202E12" w:rsidRDefault="00665A13" w:rsidP="00202E12">
      <w:pPr>
        <w:pStyle w:val="BodyText"/>
        <w:spacing w:after="0"/>
        <w:ind w:left="482"/>
        <w:rPr>
          <w:rFonts w:asciiTheme="minorHAnsi" w:hAnsiTheme="minorHAnsi" w:cstheme="minorHAnsi"/>
        </w:rPr>
      </w:pPr>
      <w:r>
        <w:rPr>
          <w:rFonts w:ascii="Times New Roman"/>
          <w:spacing w:val="-56"/>
          <w:u w:val="single"/>
        </w:rPr>
        <w:t xml:space="preserve"> </w:t>
      </w:r>
      <w:r w:rsidRPr="00202E12">
        <w:rPr>
          <w:rFonts w:asciiTheme="minorHAnsi" w:hAnsiTheme="minorHAnsi" w:cstheme="minorHAnsi"/>
          <w:u w:val="single"/>
        </w:rPr>
        <w:t>Air conditioning Systems</w:t>
      </w:r>
    </w:p>
    <w:p w14:paraId="54248159" w14:textId="77777777" w:rsidR="00665A13" w:rsidRDefault="00665A13" w:rsidP="002A3889">
      <w:pPr>
        <w:pStyle w:val="ListParagraph"/>
        <w:widowControl w:val="0"/>
        <w:numPr>
          <w:ilvl w:val="0"/>
          <w:numId w:val="395"/>
        </w:numPr>
        <w:tabs>
          <w:tab w:val="left" w:pos="1199"/>
          <w:tab w:val="left" w:pos="1200"/>
        </w:tabs>
        <w:autoSpaceDE w:val="0"/>
        <w:autoSpaceDN w:val="0"/>
        <w:spacing w:after="60" w:line="240" w:lineRule="auto"/>
        <w:ind w:left="1202" w:right="454"/>
        <w:contextualSpacing w:val="0"/>
        <w:jc w:val="both"/>
      </w:pPr>
      <w:r>
        <w:t>All</w:t>
      </w:r>
      <w:r>
        <w:rPr>
          <w:spacing w:val="-16"/>
        </w:rPr>
        <w:t xml:space="preserve"> </w:t>
      </w:r>
      <w:r>
        <w:t>multiple</w:t>
      </w:r>
      <w:r>
        <w:rPr>
          <w:spacing w:val="-12"/>
        </w:rPr>
        <w:t xml:space="preserve"> </w:t>
      </w:r>
      <w:r>
        <w:t>air</w:t>
      </w:r>
      <w:r>
        <w:rPr>
          <w:spacing w:val="-13"/>
        </w:rPr>
        <w:t xml:space="preserve"> </w:t>
      </w:r>
      <w:r>
        <w:t>conditioning</w:t>
      </w:r>
      <w:r>
        <w:rPr>
          <w:spacing w:val="-15"/>
        </w:rPr>
        <w:t xml:space="preserve"> </w:t>
      </w:r>
      <w:r>
        <w:t>systems</w:t>
      </w:r>
      <w:r>
        <w:rPr>
          <w:spacing w:val="-13"/>
        </w:rPr>
        <w:t xml:space="preserve"> </w:t>
      </w:r>
      <w:r>
        <w:t>shall</w:t>
      </w:r>
      <w:r>
        <w:rPr>
          <w:spacing w:val="-15"/>
        </w:rPr>
        <w:t xml:space="preserve"> </w:t>
      </w:r>
      <w:r>
        <w:t>incorporate</w:t>
      </w:r>
      <w:r>
        <w:rPr>
          <w:spacing w:val="-14"/>
        </w:rPr>
        <w:t xml:space="preserve"> </w:t>
      </w:r>
      <w:r>
        <w:t>internal</w:t>
      </w:r>
      <w:r>
        <w:rPr>
          <w:spacing w:val="-16"/>
        </w:rPr>
        <w:t xml:space="preserve"> </w:t>
      </w:r>
      <w:r>
        <w:t>centrally</w:t>
      </w:r>
      <w:r>
        <w:rPr>
          <w:spacing w:val="-13"/>
        </w:rPr>
        <w:t xml:space="preserve"> </w:t>
      </w:r>
      <w:r>
        <w:t>located</w:t>
      </w:r>
      <w:r>
        <w:rPr>
          <w:spacing w:val="-14"/>
        </w:rPr>
        <w:t xml:space="preserve"> </w:t>
      </w:r>
      <w:r>
        <w:t>shut</w:t>
      </w:r>
      <w:r>
        <w:rPr>
          <w:spacing w:val="-15"/>
        </w:rPr>
        <w:t xml:space="preserve"> </w:t>
      </w:r>
      <w:r>
        <w:t>down point and associated procedures for emergency</w:t>
      </w:r>
      <w:r>
        <w:rPr>
          <w:spacing w:val="-9"/>
        </w:rPr>
        <w:t xml:space="preserve"> </w:t>
      </w:r>
      <w:r>
        <w:t>use.</w:t>
      </w:r>
    </w:p>
    <w:p w14:paraId="17830C6D" w14:textId="77777777" w:rsidR="00665A13" w:rsidRDefault="00665A13" w:rsidP="002A3889">
      <w:pPr>
        <w:pStyle w:val="ListParagraph"/>
        <w:widowControl w:val="0"/>
        <w:numPr>
          <w:ilvl w:val="0"/>
          <w:numId w:val="395"/>
        </w:numPr>
        <w:tabs>
          <w:tab w:val="left" w:pos="1199"/>
          <w:tab w:val="left" w:pos="1200"/>
        </w:tabs>
        <w:autoSpaceDE w:val="0"/>
        <w:autoSpaceDN w:val="0"/>
        <w:spacing w:before="1" w:line="240" w:lineRule="auto"/>
        <w:ind w:left="1202"/>
        <w:contextualSpacing w:val="0"/>
        <w:jc w:val="both"/>
      </w:pPr>
      <w:r>
        <w:t>Split refrigeration air conditioning systems are</w:t>
      </w:r>
      <w:r>
        <w:rPr>
          <w:spacing w:val="-6"/>
        </w:rPr>
        <w:t xml:space="preserve"> </w:t>
      </w:r>
      <w:r>
        <w:t>preferred.</w:t>
      </w:r>
    </w:p>
    <w:p w14:paraId="198063F4" w14:textId="77777777" w:rsidR="00665A13" w:rsidRPr="00202E12" w:rsidRDefault="00665A13" w:rsidP="00202E12">
      <w:pPr>
        <w:pStyle w:val="BodyText"/>
        <w:spacing w:after="0"/>
        <w:ind w:left="482"/>
        <w:rPr>
          <w:rFonts w:asciiTheme="minorHAnsi" w:hAnsiTheme="minorHAnsi" w:cstheme="minorHAnsi"/>
        </w:rPr>
      </w:pPr>
      <w:r>
        <w:rPr>
          <w:rFonts w:ascii="Times New Roman"/>
          <w:spacing w:val="-56"/>
          <w:u w:val="single"/>
        </w:rPr>
        <w:t xml:space="preserve"> </w:t>
      </w:r>
      <w:r w:rsidRPr="00202E12">
        <w:rPr>
          <w:rFonts w:asciiTheme="minorHAnsi" w:hAnsiTheme="minorHAnsi" w:cstheme="minorHAnsi"/>
          <w:u w:val="single"/>
        </w:rPr>
        <w:t>Construction</w:t>
      </w:r>
    </w:p>
    <w:p w14:paraId="6D873D83" w14:textId="77777777" w:rsidR="00665A13" w:rsidRDefault="00665A13" w:rsidP="002A3889">
      <w:pPr>
        <w:pStyle w:val="ListParagraph"/>
        <w:widowControl w:val="0"/>
        <w:numPr>
          <w:ilvl w:val="0"/>
          <w:numId w:val="394"/>
        </w:numPr>
        <w:tabs>
          <w:tab w:val="left" w:pos="1199"/>
          <w:tab w:val="left" w:pos="1200"/>
        </w:tabs>
        <w:autoSpaceDE w:val="0"/>
        <w:autoSpaceDN w:val="0"/>
        <w:spacing w:before="1" w:after="60" w:line="267" w:lineRule="exact"/>
        <w:ind w:left="1202"/>
        <w:contextualSpacing w:val="0"/>
        <w:jc w:val="both"/>
      </w:pPr>
      <w:r>
        <w:t>Adopt the general principles of quiet house design for residential</w:t>
      </w:r>
      <w:r>
        <w:rPr>
          <w:spacing w:val="-16"/>
        </w:rPr>
        <w:t xml:space="preserve"> </w:t>
      </w:r>
      <w:r>
        <w:t>developments.</w:t>
      </w:r>
    </w:p>
    <w:p w14:paraId="784FBB6E" w14:textId="77777777" w:rsidR="00665A13" w:rsidRDefault="00665A13" w:rsidP="002A3889">
      <w:pPr>
        <w:pStyle w:val="ListParagraph"/>
        <w:widowControl w:val="0"/>
        <w:numPr>
          <w:ilvl w:val="0"/>
          <w:numId w:val="394"/>
        </w:numPr>
        <w:tabs>
          <w:tab w:val="left" w:pos="1199"/>
          <w:tab w:val="left" w:pos="1200"/>
        </w:tabs>
        <w:autoSpaceDE w:val="0"/>
        <w:autoSpaceDN w:val="0"/>
        <w:spacing w:line="267" w:lineRule="exact"/>
        <w:ind w:left="1202"/>
        <w:contextualSpacing w:val="0"/>
        <w:jc w:val="both"/>
      </w:pPr>
      <w:r>
        <w:t>All developments shall incorporate roof</w:t>
      </w:r>
      <w:r>
        <w:rPr>
          <w:spacing w:val="-9"/>
        </w:rPr>
        <w:t xml:space="preserve"> </w:t>
      </w:r>
      <w:r>
        <w:t>insulation.</w:t>
      </w:r>
    </w:p>
    <w:p w14:paraId="25D65A15" w14:textId="77777777" w:rsidR="00665A13" w:rsidRPr="00202E12" w:rsidRDefault="00665A13" w:rsidP="00202E12">
      <w:pPr>
        <w:pStyle w:val="BodyText"/>
        <w:spacing w:after="0"/>
        <w:ind w:left="482"/>
        <w:rPr>
          <w:rFonts w:asciiTheme="minorHAnsi" w:hAnsiTheme="minorHAnsi" w:cstheme="minorHAnsi"/>
        </w:rPr>
      </w:pPr>
      <w:r>
        <w:rPr>
          <w:rFonts w:ascii="Times New Roman"/>
          <w:spacing w:val="-56"/>
          <w:u w:val="single"/>
        </w:rPr>
        <w:t xml:space="preserve"> </w:t>
      </w:r>
      <w:r w:rsidRPr="00202E12">
        <w:rPr>
          <w:rFonts w:asciiTheme="minorHAnsi" w:hAnsiTheme="minorHAnsi" w:cstheme="minorHAnsi"/>
          <w:u w:val="single"/>
        </w:rPr>
        <w:t>Notification and Memorials on Title</w:t>
      </w:r>
    </w:p>
    <w:p w14:paraId="2B4A997E" w14:textId="77777777" w:rsidR="00665A13" w:rsidRDefault="00665A13" w:rsidP="002A3889">
      <w:pPr>
        <w:pStyle w:val="ListParagraph"/>
        <w:widowControl w:val="0"/>
        <w:numPr>
          <w:ilvl w:val="0"/>
          <w:numId w:val="393"/>
        </w:numPr>
        <w:tabs>
          <w:tab w:val="left" w:pos="1199"/>
          <w:tab w:val="left" w:pos="1200"/>
        </w:tabs>
        <w:autoSpaceDE w:val="0"/>
        <w:autoSpaceDN w:val="0"/>
        <w:spacing w:after="60" w:line="240" w:lineRule="auto"/>
        <w:ind w:left="1202" w:right="-29"/>
        <w:contextualSpacing w:val="0"/>
        <w:jc w:val="both"/>
      </w:pPr>
      <w:r>
        <w:t xml:space="preserve">All residential development approvals shall be conditioned </w:t>
      </w:r>
      <w:proofErr w:type="gramStart"/>
      <w:r>
        <w:t>in order to</w:t>
      </w:r>
      <w:proofErr w:type="gramEnd"/>
      <w:r>
        <w:t xml:space="preserve"> require a notification to be placed on the title advising of the potential amenity impacts associated with living / working </w:t>
      </w:r>
      <w:r>
        <w:lastRenderedPageBreak/>
        <w:t>in proximity of the</w:t>
      </w:r>
      <w:r>
        <w:rPr>
          <w:spacing w:val="-12"/>
        </w:rPr>
        <w:t xml:space="preserve"> </w:t>
      </w:r>
      <w:r>
        <w:t>Port.</w:t>
      </w:r>
    </w:p>
    <w:p w14:paraId="67EF43A6" w14:textId="77777777" w:rsidR="00665A13" w:rsidRDefault="00665A13" w:rsidP="002A3889">
      <w:pPr>
        <w:pStyle w:val="ListParagraph"/>
        <w:widowControl w:val="0"/>
        <w:numPr>
          <w:ilvl w:val="0"/>
          <w:numId w:val="393"/>
        </w:numPr>
        <w:tabs>
          <w:tab w:val="left" w:pos="1199"/>
          <w:tab w:val="left" w:pos="1200"/>
        </w:tabs>
        <w:autoSpaceDE w:val="0"/>
        <w:autoSpaceDN w:val="0"/>
        <w:spacing w:after="60" w:line="240" w:lineRule="auto"/>
        <w:ind w:left="1202" w:right="-29"/>
        <w:contextualSpacing w:val="0"/>
        <w:jc w:val="both"/>
      </w:pPr>
      <w:r>
        <w:t>In the case of all residential subdivision, the Town of East Fremantle and Fremantle Ports shall request the Western Australian Planning Commission to support the placing of memorials on new titles advising of the potential amenity impacts associated with living in proximity of the</w:t>
      </w:r>
      <w:r>
        <w:rPr>
          <w:spacing w:val="-11"/>
        </w:rPr>
        <w:t xml:space="preserve"> </w:t>
      </w:r>
      <w:r>
        <w:t>Port.</w:t>
      </w:r>
    </w:p>
    <w:p w14:paraId="61031F14" w14:textId="77777777" w:rsidR="00665A13" w:rsidRDefault="00665A13" w:rsidP="002A3889">
      <w:pPr>
        <w:pStyle w:val="ListParagraph"/>
        <w:widowControl w:val="0"/>
        <w:numPr>
          <w:ilvl w:val="0"/>
          <w:numId w:val="393"/>
        </w:numPr>
        <w:tabs>
          <w:tab w:val="left" w:pos="1200"/>
        </w:tabs>
        <w:autoSpaceDE w:val="0"/>
        <w:autoSpaceDN w:val="0"/>
        <w:spacing w:before="41" w:line="240" w:lineRule="auto"/>
        <w:ind w:left="1202" w:right="-28"/>
        <w:contextualSpacing w:val="0"/>
        <w:jc w:val="both"/>
      </w:pPr>
      <w:r>
        <w:t>Notification and memorial statements shall be as per the standard wording contained in Appendix</w:t>
      </w:r>
      <w:r>
        <w:rPr>
          <w:spacing w:val="-2"/>
        </w:rPr>
        <w:t xml:space="preserve"> </w:t>
      </w:r>
      <w:r>
        <w:t>6.</w:t>
      </w:r>
    </w:p>
    <w:p w14:paraId="4FCC320F" w14:textId="77777777" w:rsidR="00665A13" w:rsidRPr="00202E12" w:rsidRDefault="00665A13" w:rsidP="00202E12">
      <w:pPr>
        <w:pStyle w:val="BodyText"/>
        <w:spacing w:after="0" w:line="267" w:lineRule="exact"/>
        <w:ind w:left="482"/>
        <w:rPr>
          <w:rFonts w:asciiTheme="minorHAnsi" w:hAnsiTheme="minorHAnsi" w:cstheme="minorHAnsi"/>
        </w:rPr>
      </w:pPr>
      <w:r>
        <w:rPr>
          <w:rFonts w:ascii="Times New Roman"/>
          <w:spacing w:val="-56"/>
          <w:u w:val="single"/>
        </w:rPr>
        <w:t xml:space="preserve"> </w:t>
      </w:r>
      <w:r w:rsidRPr="00202E12">
        <w:rPr>
          <w:rFonts w:asciiTheme="minorHAnsi" w:hAnsiTheme="minorHAnsi" w:cstheme="minorHAnsi"/>
          <w:u w:val="single"/>
        </w:rPr>
        <w:t>Alternative Treatments</w:t>
      </w:r>
    </w:p>
    <w:p w14:paraId="67A94396" w14:textId="77777777" w:rsidR="00665A13" w:rsidRPr="00202E12" w:rsidRDefault="00665A13" w:rsidP="00202E12">
      <w:pPr>
        <w:pStyle w:val="BodyText"/>
        <w:tabs>
          <w:tab w:val="left" w:pos="1199"/>
        </w:tabs>
        <w:ind w:left="1200" w:right="-29" w:hanging="720"/>
        <w:jc w:val="both"/>
        <w:rPr>
          <w:rFonts w:asciiTheme="minorHAnsi" w:hAnsiTheme="minorHAnsi" w:cstheme="minorHAnsi"/>
        </w:rPr>
      </w:pPr>
      <w:proofErr w:type="spellStart"/>
      <w:r w:rsidRPr="00202E12">
        <w:rPr>
          <w:rFonts w:asciiTheme="minorHAnsi" w:hAnsiTheme="minorHAnsi" w:cstheme="minorHAnsi"/>
        </w:rPr>
        <w:t>i</w:t>
      </w:r>
      <w:proofErr w:type="spellEnd"/>
      <w:r w:rsidRPr="00202E12">
        <w:rPr>
          <w:rFonts w:asciiTheme="minorHAnsi" w:hAnsiTheme="minorHAnsi" w:cstheme="minorHAnsi"/>
        </w:rPr>
        <w:t>.</w:t>
      </w:r>
      <w:r w:rsidRPr="00202E12">
        <w:rPr>
          <w:rFonts w:asciiTheme="minorHAnsi" w:hAnsiTheme="minorHAnsi" w:cstheme="minorHAnsi"/>
        </w:rPr>
        <w:tab/>
        <w:t xml:space="preserve">The Town </w:t>
      </w:r>
      <w:proofErr w:type="spellStart"/>
      <w:r w:rsidRPr="00202E12">
        <w:rPr>
          <w:rFonts w:asciiTheme="minorHAnsi" w:hAnsiTheme="minorHAnsi" w:cstheme="minorHAnsi"/>
        </w:rPr>
        <w:t>recognises</w:t>
      </w:r>
      <w:proofErr w:type="spellEnd"/>
      <w:r w:rsidRPr="00202E12">
        <w:rPr>
          <w:rFonts w:asciiTheme="minorHAnsi" w:hAnsiTheme="minorHAnsi" w:cstheme="minorHAnsi"/>
        </w:rPr>
        <w:t xml:space="preserve"> that these requirements may </w:t>
      </w:r>
      <w:r w:rsidRPr="00202E12">
        <w:rPr>
          <w:rFonts w:asciiTheme="minorHAnsi" w:hAnsiTheme="minorHAnsi" w:cstheme="minorHAnsi"/>
          <w:spacing w:val="-2"/>
        </w:rPr>
        <w:t xml:space="preserve">not </w:t>
      </w:r>
      <w:r w:rsidRPr="00202E12">
        <w:rPr>
          <w:rFonts w:asciiTheme="minorHAnsi" w:hAnsiTheme="minorHAnsi" w:cstheme="minorHAnsi"/>
        </w:rPr>
        <w:t>be possible to achieve in the case of the proposals involving some buildings of conservation and heritage significance. Alternative</w:t>
      </w:r>
      <w:r w:rsidRPr="00202E12">
        <w:rPr>
          <w:rFonts w:asciiTheme="minorHAnsi" w:hAnsiTheme="minorHAnsi" w:cstheme="minorHAnsi"/>
          <w:spacing w:val="-11"/>
        </w:rPr>
        <w:t xml:space="preserve"> </w:t>
      </w:r>
      <w:r w:rsidRPr="00202E12">
        <w:rPr>
          <w:rFonts w:asciiTheme="minorHAnsi" w:hAnsiTheme="minorHAnsi" w:cstheme="minorHAnsi"/>
        </w:rPr>
        <w:t>built</w:t>
      </w:r>
      <w:r w:rsidRPr="00202E12">
        <w:rPr>
          <w:rFonts w:asciiTheme="minorHAnsi" w:hAnsiTheme="minorHAnsi" w:cstheme="minorHAnsi"/>
          <w:spacing w:val="-11"/>
        </w:rPr>
        <w:t xml:space="preserve"> </w:t>
      </w:r>
      <w:r w:rsidRPr="00202E12">
        <w:rPr>
          <w:rFonts w:asciiTheme="minorHAnsi" w:hAnsiTheme="minorHAnsi" w:cstheme="minorHAnsi"/>
        </w:rPr>
        <w:t>form</w:t>
      </w:r>
      <w:r w:rsidRPr="00202E12">
        <w:rPr>
          <w:rFonts w:asciiTheme="minorHAnsi" w:hAnsiTheme="minorHAnsi" w:cstheme="minorHAnsi"/>
          <w:spacing w:val="-12"/>
        </w:rPr>
        <w:t xml:space="preserve"> </w:t>
      </w:r>
      <w:r w:rsidRPr="00202E12">
        <w:rPr>
          <w:rFonts w:asciiTheme="minorHAnsi" w:hAnsiTheme="minorHAnsi" w:cstheme="minorHAnsi"/>
        </w:rPr>
        <w:t>treatments</w:t>
      </w:r>
      <w:r w:rsidRPr="00202E12">
        <w:rPr>
          <w:rFonts w:asciiTheme="minorHAnsi" w:hAnsiTheme="minorHAnsi" w:cstheme="minorHAnsi"/>
          <w:spacing w:val="-15"/>
        </w:rPr>
        <w:t xml:space="preserve"> </w:t>
      </w:r>
      <w:r w:rsidRPr="00202E12">
        <w:rPr>
          <w:rFonts w:asciiTheme="minorHAnsi" w:hAnsiTheme="minorHAnsi" w:cstheme="minorHAnsi"/>
        </w:rPr>
        <w:t>may</w:t>
      </w:r>
      <w:r w:rsidRPr="00202E12">
        <w:rPr>
          <w:rFonts w:asciiTheme="minorHAnsi" w:hAnsiTheme="minorHAnsi" w:cstheme="minorHAnsi"/>
          <w:spacing w:val="-13"/>
        </w:rPr>
        <w:t xml:space="preserve"> </w:t>
      </w:r>
      <w:r w:rsidRPr="00202E12">
        <w:rPr>
          <w:rFonts w:asciiTheme="minorHAnsi" w:hAnsiTheme="minorHAnsi" w:cstheme="minorHAnsi"/>
        </w:rPr>
        <w:t>be</w:t>
      </w:r>
      <w:r w:rsidRPr="00202E12">
        <w:rPr>
          <w:rFonts w:asciiTheme="minorHAnsi" w:hAnsiTheme="minorHAnsi" w:cstheme="minorHAnsi"/>
          <w:spacing w:val="-10"/>
        </w:rPr>
        <w:t xml:space="preserve"> </w:t>
      </w:r>
      <w:r w:rsidRPr="00202E12">
        <w:rPr>
          <w:rFonts w:asciiTheme="minorHAnsi" w:hAnsiTheme="minorHAnsi" w:cstheme="minorHAnsi"/>
        </w:rPr>
        <w:t>acceptable</w:t>
      </w:r>
      <w:r w:rsidRPr="00202E12">
        <w:rPr>
          <w:rFonts w:asciiTheme="minorHAnsi" w:hAnsiTheme="minorHAnsi" w:cstheme="minorHAnsi"/>
          <w:spacing w:val="-10"/>
        </w:rPr>
        <w:t xml:space="preserve"> </w:t>
      </w:r>
      <w:r w:rsidRPr="00202E12">
        <w:rPr>
          <w:rFonts w:asciiTheme="minorHAnsi" w:hAnsiTheme="minorHAnsi" w:cstheme="minorHAnsi"/>
        </w:rPr>
        <w:t>subject</w:t>
      </w:r>
      <w:r w:rsidRPr="00202E12">
        <w:rPr>
          <w:rFonts w:asciiTheme="minorHAnsi" w:hAnsiTheme="minorHAnsi" w:cstheme="minorHAnsi"/>
          <w:spacing w:val="-13"/>
        </w:rPr>
        <w:t xml:space="preserve"> </w:t>
      </w:r>
      <w:r w:rsidRPr="00202E12">
        <w:rPr>
          <w:rFonts w:asciiTheme="minorHAnsi" w:hAnsiTheme="minorHAnsi" w:cstheme="minorHAnsi"/>
        </w:rPr>
        <w:t>to</w:t>
      </w:r>
      <w:r w:rsidRPr="00202E12">
        <w:rPr>
          <w:rFonts w:asciiTheme="minorHAnsi" w:hAnsiTheme="minorHAnsi" w:cstheme="minorHAnsi"/>
          <w:spacing w:val="-13"/>
        </w:rPr>
        <w:t xml:space="preserve"> </w:t>
      </w:r>
      <w:r w:rsidRPr="00202E12">
        <w:rPr>
          <w:rFonts w:asciiTheme="minorHAnsi" w:hAnsiTheme="minorHAnsi" w:cstheme="minorHAnsi"/>
        </w:rPr>
        <w:t>the</w:t>
      </w:r>
      <w:r w:rsidRPr="00202E12">
        <w:rPr>
          <w:rFonts w:asciiTheme="minorHAnsi" w:hAnsiTheme="minorHAnsi" w:cstheme="minorHAnsi"/>
          <w:spacing w:val="-10"/>
        </w:rPr>
        <w:t xml:space="preserve"> </w:t>
      </w:r>
      <w:r w:rsidRPr="00202E12">
        <w:rPr>
          <w:rFonts w:asciiTheme="minorHAnsi" w:hAnsiTheme="minorHAnsi" w:cstheme="minorHAnsi"/>
        </w:rPr>
        <w:t>applicant</w:t>
      </w:r>
      <w:r w:rsidRPr="00202E12">
        <w:rPr>
          <w:rFonts w:asciiTheme="minorHAnsi" w:hAnsiTheme="minorHAnsi" w:cstheme="minorHAnsi"/>
          <w:spacing w:val="-12"/>
        </w:rPr>
        <w:t xml:space="preserve"> </w:t>
      </w:r>
      <w:r w:rsidRPr="00202E12">
        <w:rPr>
          <w:rFonts w:asciiTheme="minorHAnsi" w:hAnsiTheme="minorHAnsi" w:cstheme="minorHAnsi"/>
        </w:rPr>
        <w:t>satisfactorily demonstrating</w:t>
      </w:r>
      <w:r w:rsidRPr="00202E12">
        <w:rPr>
          <w:rFonts w:asciiTheme="minorHAnsi" w:hAnsiTheme="minorHAnsi" w:cstheme="minorHAnsi"/>
          <w:spacing w:val="-12"/>
        </w:rPr>
        <w:t xml:space="preserve"> </w:t>
      </w:r>
      <w:r w:rsidRPr="00202E12">
        <w:rPr>
          <w:rFonts w:asciiTheme="minorHAnsi" w:hAnsiTheme="minorHAnsi" w:cstheme="minorHAnsi"/>
        </w:rPr>
        <w:t>fulfilment</w:t>
      </w:r>
      <w:r w:rsidRPr="00202E12">
        <w:rPr>
          <w:rFonts w:asciiTheme="minorHAnsi" w:hAnsiTheme="minorHAnsi" w:cstheme="minorHAnsi"/>
          <w:spacing w:val="-11"/>
        </w:rPr>
        <w:t xml:space="preserve"> </w:t>
      </w:r>
      <w:r w:rsidRPr="00202E12">
        <w:rPr>
          <w:rFonts w:asciiTheme="minorHAnsi" w:hAnsiTheme="minorHAnsi" w:cstheme="minorHAnsi"/>
        </w:rPr>
        <w:t>of</w:t>
      </w:r>
      <w:r w:rsidRPr="00202E12">
        <w:rPr>
          <w:rFonts w:asciiTheme="minorHAnsi" w:hAnsiTheme="minorHAnsi" w:cstheme="minorHAnsi"/>
          <w:spacing w:val="-11"/>
        </w:rPr>
        <w:t xml:space="preserve"> </w:t>
      </w:r>
      <w:r w:rsidRPr="00202E12">
        <w:rPr>
          <w:rFonts w:asciiTheme="minorHAnsi" w:hAnsiTheme="minorHAnsi" w:cstheme="minorHAnsi"/>
        </w:rPr>
        <w:t>the</w:t>
      </w:r>
      <w:r w:rsidRPr="00202E12">
        <w:rPr>
          <w:rFonts w:asciiTheme="minorHAnsi" w:hAnsiTheme="minorHAnsi" w:cstheme="minorHAnsi"/>
          <w:spacing w:val="-9"/>
        </w:rPr>
        <w:t xml:space="preserve"> </w:t>
      </w:r>
      <w:r w:rsidRPr="00202E12">
        <w:rPr>
          <w:rFonts w:asciiTheme="minorHAnsi" w:hAnsiTheme="minorHAnsi" w:cstheme="minorHAnsi"/>
        </w:rPr>
        <w:t>potential</w:t>
      </w:r>
      <w:r w:rsidRPr="00202E12">
        <w:rPr>
          <w:rFonts w:asciiTheme="minorHAnsi" w:hAnsiTheme="minorHAnsi" w:cstheme="minorHAnsi"/>
          <w:spacing w:val="-13"/>
        </w:rPr>
        <w:t xml:space="preserve"> </w:t>
      </w:r>
      <w:r w:rsidRPr="00202E12">
        <w:rPr>
          <w:rFonts w:asciiTheme="minorHAnsi" w:hAnsiTheme="minorHAnsi" w:cstheme="minorHAnsi"/>
        </w:rPr>
        <w:t>risk</w:t>
      </w:r>
      <w:r w:rsidRPr="00202E12">
        <w:rPr>
          <w:rFonts w:asciiTheme="minorHAnsi" w:hAnsiTheme="minorHAnsi" w:cstheme="minorHAnsi"/>
          <w:spacing w:val="-10"/>
        </w:rPr>
        <w:t xml:space="preserve"> </w:t>
      </w:r>
      <w:r w:rsidRPr="00202E12">
        <w:rPr>
          <w:rFonts w:asciiTheme="minorHAnsi" w:hAnsiTheme="minorHAnsi" w:cstheme="minorHAnsi"/>
        </w:rPr>
        <w:t>and</w:t>
      </w:r>
      <w:r w:rsidRPr="00202E12">
        <w:rPr>
          <w:rFonts w:asciiTheme="minorHAnsi" w:hAnsiTheme="minorHAnsi" w:cstheme="minorHAnsi"/>
          <w:spacing w:val="-9"/>
        </w:rPr>
        <w:t xml:space="preserve"> </w:t>
      </w:r>
      <w:r w:rsidRPr="00202E12">
        <w:rPr>
          <w:rFonts w:asciiTheme="minorHAnsi" w:hAnsiTheme="minorHAnsi" w:cstheme="minorHAnsi"/>
        </w:rPr>
        <w:t>amenity</w:t>
      </w:r>
      <w:r w:rsidRPr="00202E12">
        <w:rPr>
          <w:rFonts w:asciiTheme="minorHAnsi" w:hAnsiTheme="minorHAnsi" w:cstheme="minorHAnsi"/>
          <w:spacing w:val="-10"/>
        </w:rPr>
        <w:t xml:space="preserve"> </w:t>
      </w:r>
      <w:r w:rsidRPr="00202E12">
        <w:rPr>
          <w:rFonts w:asciiTheme="minorHAnsi" w:hAnsiTheme="minorHAnsi" w:cstheme="minorHAnsi"/>
        </w:rPr>
        <w:t>considerations</w:t>
      </w:r>
      <w:r w:rsidRPr="00202E12">
        <w:rPr>
          <w:rFonts w:asciiTheme="minorHAnsi" w:hAnsiTheme="minorHAnsi" w:cstheme="minorHAnsi"/>
          <w:spacing w:val="-14"/>
        </w:rPr>
        <w:t xml:space="preserve"> </w:t>
      </w:r>
      <w:r w:rsidRPr="00202E12">
        <w:rPr>
          <w:rFonts w:asciiTheme="minorHAnsi" w:hAnsiTheme="minorHAnsi" w:cstheme="minorHAnsi"/>
        </w:rPr>
        <w:t>outlined</w:t>
      </w:r>
      <w:r w:rsidRPr="00202E12">
        <w:rPr>
          <w:rFonts w:asciiTheme="minorHAnsi" w:hAnsiTheme="minorHAnsi" w:cstheme="minorHAnsi"/>
          <w:spacing w:val="-10"/>
        </w:rPr>
        <w:t xml:space="preserve"> </w:t>
      </w:r>
      <w:r w:rsidRPr="00202E12">
        <w:rPr>
          <w:rFonts w:asciiTheme="minorHAnsi" w:hAnsiTheme="minorHAnsi" w:cstheme="minorHAnsi"/>
        </w:rPr>
        <w:t>above. Alternative treatments shall be justified through submission of a professionally prepared and certified</w:t>
      </w:r>
      <w:r w:rsidRPr="00202E12">
        <w:rPr>
          <w:rFonts w:asciiTheme="minorHAnsi" w:hAnsiTheme="minorHAnsi" w:cstheme="minorHAnsi"/>
          <w:spacing w:val="-5"/>
        </w:rPr>
        <w:t xml:space="preserve"> </w:t>
      </w:r>
      <w:r w:rsidRPr="00202E12">
        <w:rPr>
          <w:rFonts w:asciiTheme="minorHAnsi" w:hAnsiTheme="minorHAnsi" w:cstheme="minorHAnsi"/>
        </w:rPr>
        <w:t>report.</w:t>
      </w:r>
    </w:p>
    <w:p w14:paraId="6392BF09" w14:textId="77777777" w:rsidR="00665A13" w:rsidRDefault="00665A13" w:rsidP="00665A13">
      <w:pPr>
        <w:pStyle w:val="BodyText"/>
        <w:tabs>
          <w:tab w:val="left" w:pos="1199"/>
        </w:tabs>
        <w:ind w:left="1200" w:right="450" w:hanging="720"/>
        <w:jc w:val="both"/>
      </w:pPr>
    </w:p>
    <w:p w14:paraId="0FB7AB8B" w14:textId="77777777" w:rsidR="00665A13" w:rsidRPr="00A30336" w:rsidRDefault="00665A13" w:rsidP="00665A13">
      <w:pPr>
        <w:spacing w:after="0" w:line="240" w:lineRule="auto"/>
        <w:ind w:right="45"/>
        <w:jc w:val="both"/>
        <w:rPr>
          <w:rFonts w:cstheme="minorHAnsi"/>
          <w:spacing w:val="-1"/>
        </w:rPr>
      </w:pPr>
    </w:p>
    <w:p w14:paraId="143C9CDC" w14:textId="77777777" w:rsidR="00665A13" w:rsidRPr="00A30336" w:rsidRDefault="00665A13" w:rsidP="00665A13">
      <w:pPr>
        <w:spacing w:after="0" w:line="240" w:lineRule="auto"/>
        <w:ind w:right="45"/>
        <w:jc w:val="both"/>
        <w:rPr>
          <w:rFonts w:cstheme="minorHAnsi"/>
          <w:spacing w:val="-1"/>
        </w:rPr>
      </w:pPr>
    </w:p>
    <w:tbl>
      <w:tblPr>
        <w:tblStyle w:val="TableGrid"/>
        <w:tblW w:w="0" w:type="auto"/>
        <w:tblLook w:val="04A0" w:firstRow="1" w:lastRow="0" w:firstColumn="1" w:lastColumn="0" w:noHBand="0" w:noVBand="1"/>
      </w:tblPr>
      <w:tblGrid>
        <w:gridCol w:w="3369"/>
        <w:gridCol w:w="5647"/>
      </w:tblGrid>
      <w:tr w:rsidR="00665A13" w:rsidRPr="00A30336" w14:paraId="2BCBBB3E" w14:textId="77777777" w:rsidTr="00A9290F">
        <w:tc>
          <w:tcPr>
            <w:tcW w:w="3369" w:type="dxa"/>
          </w:tcPr>
          <w:p w14:paraId="745A6196" w14:textId="77777777" w:rsidR="00665A13" w:rsidRPr="00A30336" w:rsidRDefault="00665A13" w:rsidP="00A9290F">
            <w:pPr>
              <w:jc w:val="both"/>
              <w:rPr>
                <w:rFonts w:cstheme="minorHAnsi"/>
                <w:b/>
                <w:lang w:val="en-US"/>
              </w:rPr>
            </w:pPr>
            <w:r w:rsidRPr="00A30336">
              <w:rPr>
                <w:rFonts w:cstheme="minorHAnsi"/>
                <w:b/>
                <w:lang w:val="en-US"/>
              </w:rPr>
              <w:t>Responsible Directorate:</w:t>
            </w:r>
          </w:p>
        </w:tc>
        <w:tc>
          <w:tcPr>
            <w:tcW w:w="5647" w:type="dxa"/>
          </w:tcPr>
          <w:p w14:paraId="4A5EA423" w14:textId="77777777" w:rsidR="00665A13" w:rsidRPr="00A30336" w:rsidRDefault="00665A13" w:rsidP="00A9290F">
            <w:pPr>
              <w:jc w:val="both"/>
              <w:rPr>
                <w:rFonts w:cstheme="minorHAnsi"/>
                <w:lang w:val="en-US"/>
              </w:rPr>
            </w:pPr>
            <w:r>
              <w:rPr>
                <w:rFonts w:cstheme="minorHAnsi"/>
                <w:lang w:val="en-US"/>
              </w:rPr>
              <w:t>Regulatory Services</w:t>
            </w:r>
          </w:p>
        </w:tc>
      </w:tr>
      <w:tr w:rsidR="00665A13" w:rsidRPr="00A30336" w14:paraId="376DF21E" w14:textId="77777777" w:rsidTr="00A9290F">
        <w:tc>
          <w:tcPr>
            <w:tcW w:w="3369" w:type="dxa"/>
          </w:tcPr>
          <w:p w14:paraId="41DAFBE9" w14:textId="77777777" w:rsidR="00665A13" w:rsidRPr="00A30336" w:rsidRDefault="00665A13" w:rsidP="00A9290F">
            <w:pPr>
              <w:jc w:val="both"/>
              <w:rPr>
                <w:rFonts w:cstheme="minorHAnsi"/>
                <w:b/>
                <w:lang w:val="en-US"/>
              </w:rPr>
            </w:pPr>
            <w:r w:rsidRPr="00A30336">
              <w:rPr>
                <w:rFonts w:cstheme="minorHAnsi"/>
                <w:b/>
                <w:lang w:val="en-US"/>
              </w:rPr>
              <w:t>Reviewing Officer:</w:t>
            </w:r>
          </w:p>
        </w:tc>
        <w:tc>
          <w:tcPr>
            <w:tcW w:w="5647" w:type="dxa"/>
          </w:tcPr>
          <w:p w14:paraId="08FEF0F1" w14:textId="77777777" w:rsidR="00665A13" w:rsidRPr="00A30336" w:rsidRDefault="00665A13" w:rsidP="00A9290F">
            <w:pPr>
              <w:jc w:val="both"/>
              <w:rPr>
                <w:rFonts w:cstheme="minorHAnsi"/>
                <w:lang w:val="en-US"/>
              </w:rPr>
            </w:pPr>
            <w:r w:rsidRPr="00A30336">
              <w:rPr>
                <w:rFonts w:cstheme="minorHAnsi"/>
                <w:lang w:val="en-US"/>
              </w:rPr>
              <w:t>Executive Manager Regulatory Services</w:t>
            </w:r>
          </w:p>
        </w:tc>
      </w:tr>
      <w:tr w:rsidR="00665A13" w:rsidRPr="00A30336" w14:paraId="78936062" w14:textId="77777777" w:rsidTr="00A9290F">
        <w:tc>
          <w:tcPr>
            <w:tcW w:w="3369" w:type="dxa"/>
          </w:tcPr>
          <w:p w14:paraId="0FEE34F4" w14:textId="77777777" w:rsidR="00665A13" w:rsidRPr="00A30336" w:rsidRDefault="00665A13" w:rsidP="00A9290F">
            <w:pPr>
              <w:jc w:val="both"/>
              <w:rPr>
                <w:rFonts w:cstheme="minorHAnsi"/>
                <w:b/>
                <w:lang w:val="en-US"/>
              </w:rPr>
            </w:pPr>
            <w:r w:rsidRPr="00A30336">
              <w:rPr>
                <w:rFonts w:cstheme="minorHAnsi"/>
                <w:b/>
                <w:lang w:val="en-US"/>
              </w:rPr>
              <w:t>Decision making Authority:</w:t>
            </w:r>
          </w:p>
        </w:tc>
        <w:tc>
          <w:tcPr>
            <w:tcW w:w="5647" w:type="dxa"/>
          </w:tcPr>
          <w:p w14:paraId="40723621" w14:textId="77777777" w:rsidR="00665A13" w:rsidRPr="00A30336" w:rsidRDefault="00665A13" w:rsidP="00A9290F">
            <w:pPr>
              <w:jc w:val="both"/>
              <w:rPr>
                <w:rFonts w:cstheme="minorHAnsi"/>
                <w:lang w:val="en-US"/>
              </w:rPr>
            </w:pPr>
            <w:r w:rsidRPr="00A30336">
              <w:rPr>
                <w:rFonts w:cstheme="minorHAnsi"/>
                <w:lang w:val="en-US"/>
              </w:rPr>
              <w:t>Council</w:t>
            </w:r>
          </w:p>
        </w:tc>
      </w:tr>
      <w:tr w:rsidR="00665A13" w:rsidRPr="00A30336" w14:paraId="65E87331" w14:textId="77777777" w:rsidTr="00A9290F">
        <w:tc>
          <w:tcPr>
            <w:tcW w:w="3369" w:type="dxa"/>
          </w:tcPr>
          <w:p w14:paraId="48E58BFB" w14:textId="77777777" w:rsidR="00665A13" w:rsidRPr="00A30336" w:rsidRDefault="00665A13" w:rsidP="00A9290F">
            <w:pPr>
              <w:jc w:val="both"/>
              <w:rPr>
                <w:rFonts w:cstheme="minorHAnsi"/>
                <w:b/>
                <w:lang w:val="en-US"/>
              </w:rPr>
            </w:pPr>
            <w:r w:rsidRPr="00A30336">
              <w:rPr>
                <w:rFonts w:cstheme="minorHAnsi"/>
                <w:b/>
                <w:lang w:val="en-US"/>
              </w:rPr>
              <w:t>Policy Adopted:</w:t>
            </w:r>
          </w:p>
        </w:tc>
        <w:tc>
          <w:tcPr>
            <w:tcW w:w="5647" w:type="dxa"/>
          </w:tcPr>
          <w:p w14:paraId="29380A1B" w14:textId="77777777" w:rsidR="00665A13" w:rsidRPr="00A30336" w:rsidRDefault="00665A13" w:rsidP="00A9290F">
            <w:pPr>
              <w:jc w:val="both"/>
              <w:rPr>
                <w:rFonts w:cstheme="minorHAnsi"/>
                <w:lang w:val="en-US"/>
              </w:rPr>
            </w:pPr>
            <w:r>
              <w:rPr>
                <w:rFonts w:cstheme="minorHAnsi"/>
                <w:lang w:val="en-US"/>
              </w:rPr>
              <w:t>18/02/20</w:t>
            </w:r>
          </w:p>
        </w:tc>
      </w:tr>
      <w:tr w:rsidR="00665A13" w:rsidRPr="00A30336" w14:paraId="0F220A7E" w14:textId="77777777" w:rsidTr="00A9290F">
        <w:tc>
          <w:tcPr>
            <w:tcW w:w="3369" w:type="dxa"/>
          </w:tcPr>
          <w:p w14:paraId="21980049" w14:textId="77777777" w:rsidR="00665A13" w:rsidRPr="00A30336" w:rsidRDefault="00665A13" w:rsidP="00A9290F">
            <w:pPr>
              <w:jc w:val="both"/>
              <w:rPr>
                <w:rFonts w:cstheme="minorHAnsi"/>
                <w:b/>
                <w:lang w:val="en-US"/>
              </w:rPr>
            </w:pPr>
            <w:r w:rsidRPr="00A30336">
              <w:rPr>
                <w:rFonts w:cstheme="minorHAnsi"/>
                <w:b/>
                <w:lang w:val="en-US"/>
              </w:rPr>
              <w:t>Policy Amended/Reviewed:</w:t>
            </w:r>
          </w:p>
        </w:tc>
        <w:tc>
          <w:tcPr>
            <w:tcW w:w="5647" w:type="dxa"/>
          </w:tcPr>
          <w:p w14:paraId="5F4FB00F" w14:textId="77777777" w:rsidR="00665A13" w:rsidRPr="00A30336" w:rsidRDefault="00665A13" w:rsidP="00A9290F">
            <w:pPr>
              <w:jc w:val="both"/>
              <w:rPr>
                <w:rFonts w:cstheme="minorHAnsi"/>
                <w:lang w:val="en-US"/>
              </w:rPr>
            </w:pPr>
          </w:p>
        </w:tc>
      </w:tr>
    </w:tbl>
    <w:p w14:paraId="27F92B7D" w14:textId="77777777" w:rsidR="00665A13" w:rsidRPr="00A30336" w:rsidRDefault="00665A13" w:rsidP="00665A13">
      <w:pPr>
        <w:jc w:val="both"/>
        <w:rPr>
          <w:rFonts w:cstheme="minorHAnsi"/>
          <w:lang w:val="en-US"/>
        </w:rPr>
      </w:pPr>
    </w:p>
    <w:p w14:paraId="1D06183A" w14:textId="77777777" w:rsidR="00665A13" w:rsidRDefault="00665A13" w:rsidP="00665A13">
      <w:pPr>
        <w:pStyle w:val="BodyText"/>
        <w:tabs>
          <w:tab w:val="left" w:pos="1199"/>
        </w:tabs>
        <w:ind w:left="1200" w:right="450" w:hanging="720"/>
        <w:jc w:val="both"/>
      </w:pPr>
    </w:p>
    <w:p w14:paraId="0DDC3D4B" w14:textId="77777777" w:rsidR="00665A13" w:rsidRDefault="00665A13" w:rsidP="00665A13">
      <w:pPr>
        <w:pStyle w:val="BodyText"/>
        <w:tabs>
          <w:tab w:val="left" w:pos="1199"/>
        </w:tabs>
        <w:ind w:left="1200" w:right="450" w:hanging="720"/>
        <w:jc w:val="both"/>
      </w:pPr>
    </w:p>
    <w:p w14:paraId="55282004" w14:textId="77777777" w:rsidR="00665A13" w:rsidRDefault="00665A13" w:rsidP="00665A13">
      <w:pPr>
        <w:pStyle w:val="BodyText"/>
        <w:tabs>
          <w:tab w:val="left" w:pos="1199"/>
        </w:tabs>
        <w:ind w:left="1200" w:right="450" w:hanging="720"/>
        <w:jc w:val="both"/>
      </w:pPr>
    </w:p>
    <w:p w14:paraId="7F611503" w14:textId="77777777" w:rsidR="00665A13" w:rsidRDefault="00665A13" w:rsidP="00665A13">
      <w:pPr>
        <w:pStyle w:val="BodyText"/>
        <w:tabs>
          <w:tab w:val="left" w:pos="1199"/>
        </w:tabs>
        <w:ind w:left="1200" w:right="450" w:hanging="720"/>
        <w:jc w:val="both"/>
      </w:pPr>
    </w:p>
    <w:p w14:paraId="4A7012F1" w14:textId="77777777" w:rsidR="00665A13" w:rsidRDefault="00665A13" w:rsidP="00665A13">
      <w:pPr>
        <w:pStyle w:val="BodyText"/>
        <w:tabs>
          <w:tab w:val="left" w:pos="1199"/>
        </w:tabs>
        <w:ind w:left="1200" w:right="450" w:hanging="720"/>
        <w:jc w:val="both"/>
      </w:pPr>
    </w:p>
    <w:p w14:paraId="48939552" w14:textId="77777777" w:rsidR="00665A13" w:rsidRDefault="00665A13" w:rsidP="00665A13">
      <w:pPr>
        <w:pStyle w:val="BodyText"/>
        <w:tabs>
          <w:tab w:val="left" w:pos="1199"/>
        </w:tabs>
        <w:ind w:left="1200" w:right="450" w:hanging="720"/>
        <w:jc w:val="both"/>
      </w:pPr>
    </w:p>
    <w:p w14:paraId="60D44899" w14:textId="77777777" w:rsidR="00665A13" w:rsidRDefault="00665A13" w:rsidP="00665A13">
      <w:pPr>
        <w:pStyle w:val="BodyText"/>
        <w:tabs>
          <w:tab w:val="left" w:pos="1199"/>
        </w:tabs>
        <w:ind w:left="1200" w:right="450" w:hanging="720"/>
        <w:jc w:val="both"/>
      </w:pPr>
    </w:p>
    <w:p w14:paraId="4AF1FF4E" w14:textId="77777777" w:rsidR="00665A13" w:rsidRDefault="00665A13" w:rsidP="00665A13">
      <w:pPr>
        <w:jc w:val="both"/>
        <w:sectPr w:rsidR="00665A13">
          <w:footerReference w:type="default" r:id="rId312"/>
          <w:pgSz w:w="11910" w:h="16840"/>
          <w:pgMar w:top="1380" w:right="980" w:bottom="1200" w:left="1320" w:header="0" w:footer="922" w:gutter="0"/>
          <w:cols w:space="720"/>
        </w:sectPr>
      </w:pPr>
    </w:p>
    <w:p w14:paraId="40DC387D" w14:textId="77777777" w:rsidR="00665A13" w:rsidRPr="008B072F" w:rsidRDefault="00665A13" w:rsidP="001414BA">
      <w:pPr>
        <w:spacing w:after="120"/>
        <w:ind w:left="142" w:right="254"/>
        <w:jc w:val="right"/>
        <w:rPr>
          <w:b/>
        </w:rPr>
      </w:pPr>
      <w:bookmarkStart w:id="560" w:name="_TOC_250005"/>
      <w:bookmarkEnd w:id="560"/>
      <w:r w:rsidRPr="008B072F">
        <w:rPr>
          <w:b/>
        </w:rPr>
        <w:lastRenderedPageBreak/>
        <w:t>APPENDIX 1: RECORD OF PLACES OF HERITAGE SIGNIFICANCE</w:t>
      </w:r>
    </w:p>
    <w:p w14:paraId="5B6FF57D" w14:textId="77777777" w:rsidR="00665A13" w:rsidRDefault="00665A13" w:rsidP="008B072F">
      <w:pPr>
        <w:spacing w:before="1" w:after="0"/>
        <w:ind w:left="119"/>
        <w:rPr>
          <w:b/>
          <w:sz w:val="18"/>
        </w:rPr>
      </w:pPr>
      <w:r w:rsidRPr="00593F27">
        <w:rPr>
          <w:b/>
          <w:sz w:val="18"/>
        </w:rPr>
        <w:t>Note:</w:t>
      </w:r>
    </w:p>
    <w:p w14:paraId="7129B3B1" w14:textId="77777777" w:rsidR="00665A13" w:rsidRPr="008B072F" w:rsidRDefault="00665A13" w:rsidP="008B072F">
      <w:pPr>
        <w:spacing w:before="1" w:after="120"/>
        <w:ind w:left="119"/>
        <w:rPr>
          <w:b/>
          <w:sz w:val="20"/>
          <w:szCs w:val="20"/>
        </w:rPr>
      </w:pPr>
      <w:r w:rsidRPr="008B072F">
        <w:rPr>
          <w:sz w:val="20"/>
          <w:szCs w:val="20"/>
        </w:rPr>
        <w:t>The Municipal Heritage Inventory is now referred to as the Local Heritage Survey following proclamation of the State’s new Heritage Act in 2018. Reference to both terms may occur in other Council</w:t>
      </w:r>
      <w:r w:rsidRPr="008B072F">
        <w:rPr>
          <w:spacing w:val="-19"/>
          <w:sz w:val="20"/>
          <w:szCs w:val="20"/>
        </w:rPr>
        <w:t xml:space="preserve"> </w:t>
      </w:r>
      <w:r w:rsidRPr="008B072F">
        <w:rPr>
          <w:sz w:val="20"/>
          <w:szCs w:val="20"/>
        </w:rPr>
        <w:t>documents.</w:t>
      </w: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1843"/>
        <w:gridCol w:w="1130"/>
        <w:gridCol w:w="1569"/>
        <w:gridCol w:w="1278"/>
        <w:gridCol w:w="3108"/>
      </w:tblGrid>
      <w:tr w:rsidR="00665A13" w:rsidRPr="00A53749" w14:paraId="11361995" w14:textId="77777777" w:rsidTr="001C7F4A">
        <w:trPr>
          <w:trHeight w:val="438"/>
        </w:trPr>
        <w:tc>
          <w:tcPr>
            <w:tcW w:w="2268" w:type="dxa"/>
            <w:gridSpan w:val="2"/>
            <w:shd w:val="clear" w:color="auto" w:fill="D9D9D9"/>
          </w:tcPr>
          <w:p w14:paraId="67DF9418" w14:textId="77777777" w:rsidR="00665A13" w:rsidRPr="008B072F" w:rsidRDefault="00665A13" w:rsidP="008B072F">
            <w:pPr>
              <w:spacing w:after="0" w:line="240" w:lineRule="auto"/>
              <w:jc w:val="center"/>
              <w:rPr>
                <w:rFonts w:cstheme="minorHAnsi"/>
                <w:b/>
                <w:sz w:val="18"/>
                <w:szCs w:val="18"/>
              </w:rPr>
            </w:pPr>
            <w:r w:rsidRPr="008B072F">
              <w:rPr>
                <w:rFonts w:cstheme="minorHAnsi"/>
                <w:b/>
                <w:sz w:val="18"/>
                <w:szCs w:val="18"/>
              </w:rPr>
              <w:t>Property Address</w:t>
            </w:r>
          </w:p>
        </w:tc>
        <w:tc>
          <w:tcPr>
            <w:tcW w:w="1130" w:type="dxa"/>
            <w:shd w:val="clear" w:color="auto" w:fill="D9D9D9"/>
          </w:tcPr>
          <w:p w14:paraId="0741543C" w14:textId="77777777" w:rsidR="00665A13" w:rsidRPr="008B072F" w:rsidRDefault="00665A13" w:rsidP="008B072F">
            <w:pPr>
              <w:spacing w:after="0" w:line="240" w:lineRule="auto"/>
              <w:jc w:val="center"/>
              <w:rPr>
                <w:rFonts w:cstheme="minorHAnsi"/>
                <w:b/>
                <w:sz w:val="18"/>
                <w:szCs w:val="18"/>
              </w:rPr>
            </w:pPr>
            <w:r w:rsidRPr="008B072F">
              <w:rPr>
                <w:rFonts w:cstheme="minorHAnsi"/>
                <w:b/>
                <w:sz w:val="18"/>
                <w:szCs w:val="18"/>
              </w:rPr>
              <w:t>Lot No</w:t>
            </w:r>
          </w:p>
        </w:tc>
        <w:tc>
          <w:tcPr>
            <w:tcW w:w="1569" w:type="dxa"/>
            <w:shd w:val="clear" w:color="auto" w:fill="D9D9D9"/>
          </w:tcPr>
          <w:p w14:paraId="70492A68" w14:textId="77777777" w:rsidR="00665A13" w:rsidRPr="008B072F" w:rsidRDefault="00665A13" w:rsidP="008B072F">
            <w:pPr>
              <w:spacing w:after="0" w:line="240" w:lineRule="auto"/>
              <w:jc w:val="center"/>
              <w:rPr>
                <w:rFonts w:cstheme="minorHAnsi"/>
                <w:b/>
                <w:sz w:val="18"/>
                <w:szCs w:val="18"/>
              </w:rPr>
            </w:pPr>
            <w:r w:rsidRPr="008B072F">
              <w:rPr>
                <w:rFonts w:cstheme="minorHAnsi"/>
                <w:b/>
                <w:sz w:val="18"/>
                <w:szCs w:val="18"/>
              </w:rPr>
              <w:t>Architectural</w:t>
            </w:r>
          </w:p>
          <w:p w14:paraId="41ECC2DB" w14:textId="77777777" w:rsidR="00665A13" w:rsidRPr="008B072F" w:rsidRDefault="00665A13" w:rsidP="008B072F">
            <w:pPr>
              <w:spacing w:after="0" w:line="240" w:lineRule="auto"/>
              <w:jc w:val="center"/>
              <w:rPr>
                <w:rFonts w:cstheme="minorHAnsi"/>
                <w:b/>
                <w:sz w:val="18"/>
                <w:szCs w:val="18"/>
              </w:rPr>
            </w:pPr>
            <w:r w:rsidRPr="008B072F">
              <w:rPr>
                <w:rFonts w:cstheme="minorHAnsi"/>
                <w:b/>
                <w:sz w:val="18"/>
                <w:szCs w:val="18"/>
              </w:rPr>
              <w:t>Style</w:t>
            </w:r>
          </w:p>
        </w:tc>
        <w:tc>
          <w:tcPr>
            <w:tcW w:w="1278" w:type="dxa"/>
            <w:shd w:val="clear" w:color="auto" w:fill="D9D9D9"/>
          </w:tcPr>
          <w:p w14:paraId="32FC14C4" w14:textId="77777777" w:rsidR="00665A13" w:rsidRPr="008B072F" w:rsidRDefault="00665A13" w:rsidP="008B072F">
            <w:pPr>
              <w:spacing w:after="0" w:line="240" w:lineRule="auto"/>
              <w:jc w:val="center"/>
              <w:rPr>
                <w:rFonts w:cstheme="minorHAnsi"/>
                <w:b/>
                <w:sz w:val="18"/>
                <w:szCs w:val="18"/>
              </w:rPr>
            </w:pPr>
            <w:r w:rsidRPr="008B072F">
              <w:rPr>
                <w:rFonts w:cstheme="minorHAnsi"/>
                <w:b/>
                <w:sz w:val="18"/>
                <w:szCs w:val="18"/>
              </w:rPr>
              <w:t>Constructed</w:t>
            </w:r>
          </w:p>
          <w:p w14:paraId="0BB56871" w14:textId="77777777" w:rsidR="00665A13" w:rsidRPr="008B072F" w:rsidRDefault="00665A13" w:rsidP="008B072F">
            <w:pPr>
              <w:spacing w:after="0" w:line="240" w:lineRule="auto"/>
              <w:jc w:val="center"/>
              <w:rPr>
                <w:rFonts w:cstheme="minorHAnsi"/>
                <w:b/>
                <w:sz w:val="18"/>
                <w:szCs w:val="18"/>
              </w:rPr>
            </w:pPr>
            <w:r w:rsidRPr="008B072F">
              <w:rPr>
                <w:rFonts w:cstheme="minorHAnsi"/>
                <w:b/>
                <w:sz w:val="18"/>
                <w:szCs w:val="18"/>
              </w:rPr>
              <w:t>(circa)</w:t>
            </w:r>
          </w:p>
        </w:tc>
        <w:tc>
          <w:tcPr>
            <w:tcW w:w="3108" w:type="dxa"/>
            <w:shd w:val="clear" w:color="auto" w:fill="D9D9D9"/>
          </w:tcPr>
          <w:p w14:paraId="4974643B" w14:textId="77777777" w:rsidR="00665A13" w:rsidRPr="008B072F" w:rsidRDefault="00665A13" w:rsidP="008B072F">
            <w:pPr>
              <w:spacing w:after="0" w:line="240" w:lineRule="auto"/>
              <w:jc w:val="center"/>
              <w:rPr>
                <w:rFonts w:cstheme="minorHAnsi"/>
                <w:b/>
                <w:sz w:val="18"/>
                <w:szCs w:val="18"/>
              </w:rPr>
            </w:pPr>
            <w:r w:rsidRPr="008B072F">
              <w:rPr>
                <w:rFonts w:cstheme="minorHAnsi"/>
                <w:b/>
                <w:sz w:val="18"/>
                <w:szCs w:val="18"/>
              </w:rPr>
              <w:t>Heritage Listing</w:t>
            </w:r>
          </w:p>
        </w:tc>
      </w:tr>
      <w:tr w:rsidR="00665A13" w:rsidRPr="00A53749" w14:paraId="75C2C8CE" w14:textId="77777777" w:rsidTr="001C7F4A">
        <w:trPr>
          <w:trHeight w:val="659"/>
        </w:trPr>
        <w:tc>
          <w:tcPr>
            <w:tcW w:w="425" w:type="dxa"/>
          </w:tcPr>
          <w:p w14:paraId="63801D0D" w14:textId="77777777" w:rsidR="00665A13" w:rsidRPr="008B072F" w:rsidRDefault="00665A13" w:rsidP="008B072F">
            <w:pPr>
              <w:spacing w:after="0" w:line="240" w:lineRule="auto"/>
              <w:rPr>
                <w:rFonts w:cstheme="minorHAnsi"/>
                <w:sz w:val="18"/>
                <w:szCs w:val="18"/>
              </w:rPr>
            </w:pPr>
          </w:p>
        </w:tc>
        <w:tc>
          <w:tcPr>
            <w:tcW w:w="1843" w:type="dxa"/>
          </w:tcPr>
          <w:p w14:paraId="44E77734"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28 East Street</w:t>
            </w:r>
          </w:p>
          <w:p w14:paraId="7ED4ECEA" w14:textId="77777777" w:rsidR="00665A13" w:rsidRPr="008B072F" w:rsidRDefault="00665A13" w:rsidP="008B072F">
            <w:pPr>
              <w:spacing w:after="0" w:line="240" w:lineRule="auto"/>
              <w:rPr>
                <w:rFonts w:cstheme="minorHAnsi"/>
                <w:sz w:val="18"/>
                <w:szCs w:val="18"/>
              </w:rPr>
            </w:pPr>
          </w:p>
        </w:tc>
        <w:tc>
          <w:tcPr>
            <w:tcW w:w="1130" w:type="dxa"/>
          </w:tcPr>
          <w:p w14:paraId="4991C3D8"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36</w:t>
            </w:r>
          </w:p>
        </w:tc>
        <w:tc>
          <w:tcPr>
            <w:tcW w:w="1569" w:type="dxa"/>
          </w:tcPr>
          <w:p w14:paraId="7813129A"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Federation Bungalow</w:t>
            </w:r>
          </w:p>
        </w:tc>
        <w:tc>
          <w:tcPr>
            <w:tcW w:w="1278" w:type="dxa"/>
          </w:tcPr>
          <w:p w14:paraId="0EBD95AF"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circa 1898</w:t>
            </w:r>
          </w:p>
        </w:tc>
        <w:tc>
          <w:tcPr>
            <w:tcW w:w="3108" w:type="dxa"/>
          </w:tcPr>
          <w:p w14:paraId="1A24183E"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Municipal Heritage Inventory Cat C. Include</w:t>
            </w:r>
            <w:r w:rsidR="001C7F4A">
              <w:rPr>
                <w:rFonts w:cstheme="minorHAnsi"/>
                <w:sz w:val="18"/>
                <w:szCs w:val="18"/>
              </w:rPr>
              <w:t xml:space="preserve">d within LPS 3 Heritage List as </w:t>
            </w:r>
            <w:r w:rsidRPr="008B072F">
              <w:rPr>
                <w:rFonts w:cstheme="minorHAnsi"/>
                <w:sz w:val="18"/>
                <w:szCs w:val="18"/>
              </w:rPr>
              <w:t>part of George Street Precinct.</w:t>
            </w:r>
          </w:p>
        </w:tc>
      </w:tr>
      <w:tr w:rsidR="00665A13" w:rsidRPr="00A53749" w14:paraId="6E859A09" w14:textId="77777777" w:rsidTr="001C7F4A">
        <w:trPr>
          <w:trHeight w:val="659"/>
        </w:trPr>
        <w:tc>
          <w:tcPr>
            <w:tcW w:w="425" w:type="dxa"/>
          </w:tcPr>
          <w:p w14:paraId="4C9E6F36" w14:textId="77777777" w:rsidR="00665A13" w:rsidRPr="008B072F" w:rsidRDefault="00665A13" w:rsidP="008B072F">
            <w:pPr>
              <w:spacing w:after="0" w:line="240" w:lineRule="auto"/>
              <w:rPr>
                <w:rFonts w:cstheme="minorHAnsi"/>
                <w:sz w:val="18"/>
                <w:szCs w:val="18"/>
              </w:rPr>
            </w:pPr>
          </w:p>
        </w:tc>
        <w:tc>
          <w:tcPr>
            <w:tcW w:w="1843" w:type="dxa"/>
          </w:tcPr>
          <w:p w14:paraId="751D4581"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30 East Street</w:t>
            </w:r>
          </w:p>
          <w:p w14:paraId="7F004C5D" w14:textId="77777777" w:rsidR="00665A13" w:rsidRPr="008B072F" w:rsidRDefault="00665A13" w:rsidP="008B072F">
            <w:pPr>
              <w:spacing w:after="0" w:line="240" w:lineRule="auto"/>
              <w:rPr>
                <w:rFonts w:cstheme="minorHAnsi"/>
                <w:sz w:val="18"/>
                <w:szCs w:val="18"/>
              </w:rPr>
            </w:pPr>
          </w:p>
        </w:tc>
        <w:tc>
          <w:tcPr>
            <w:tcW w:w="1130" w:type="dxa"/>
          </w:tcPr>
          <w:p w14:paraId="497E7835"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35</w:t>
            </w:r>
          </w:p>
        </w:tc>
        <w:tc>
          <w:tcPr>
            <w:tcW w:w="1569" w:type="dxa"/>
          </w:tcPr>
          <w:p w14:paraId="13D65CCD" w14:textId="77777777" w:rsidR="00665A13" w:rsidRPr="008B072F" w:rsidRDefault="00665A13" w:rsidP="008B072F">
            <w:pPr>
              <w:spacing w:after="0" w:line="240" w:lineRule="auto"/>
              <w:rPr>
                <w:rFonts w:cstheme="minorHAnsi"/>
                <w:sz w:val="18"/>
                <w:szCs w:val="18"/>
              </w:rPr>
            </w:pPr>
          </w:p>
        </w:tc>
        <w:tc>
          <w:tcPr>
            <w:tcW w:w="1278" w:type="dxa"/>
          </w:tcPr>
          <w:p w14:paraId="21B2EC42" w14:textId="77777777" w:rsidR="00665A13" w:rsidRPr="008B072F" w:rsidRDefault="00665A13" w:rsidP="008B072F">
            <w:pPr>
              <w:spacing w:after="0" w:line="240" w:lineRule="auto"/>
              <w:rPr>
                <w:rFonts w:cstheme="minorHAnsi"/>
                <w:sz w:val="18"/>
                <w:szCs w:val="18"/>
              </w:rPr>
            </w:pPr>
          </w:p>
        </w:tc>
        <w:tc>
          <w:tcPr>
            <w:tcW w:w="3108" w:type="dxa"/>
          </w:tcPr>
          <w:p w14:paraId="681E53E6"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No individual listing, however, included within</w:t>
            </w:r>
            <w:r w:rsidR="001C7F4A">
              <w:rPr>
                <w:rFonts w:cstheme="minorHAnsi"/>
                <w:sz w:val="18"/>
                <w:szCs w:val="18"/>
              </w:rPr>
              <w:t xml:space="preserve"> LPS 3 Heritage List as part of </w:t>
            </w:r>
            <w:r w:rsidRPr="008B072F">
              <w:rPr>
                <w:rFonts w:cstheme="minorHAnsi"/>
                <w:sz w:val="18"/>
                <w:szCs w:val="18"/>
              </w:rPr>
              <w:t>George Street Precinct.</w:t>
            </w:r>
          </w:p>
        </w:tc>
      </w:tr>
      <w:tr w:rsidR="00665A13" w:rsidRPr="00A53749" w14:paraId="59B17F52" w14:textId="77777777" w:rsidTr="001C7F4A">
        <w:trPr>
          <w:trHeight w:val="659"/>
        </w:trPr>
        <w:tc>
          <w:tcPr>
            <w:tcW w:w="425" w:type="dxa"/>
          </w:tcPr>
          <w:p w14:paraId="1673324C" w14:textId="77777777" w:rsidR="00665A13" w:rsidRPr="008B072F" w:rsidRDefault="00665A13" w:rsidP="008B072F">
            <w:pPr>
              <w:spacing w:after="0" w:line="240" w:lineRule="auto"/>
              <w:rPr>
                <w:rFonts w:cstheme="minorHAnsi"/>
                <w:sz w:val="18"/>
                <w:szCs w:val="18"/>
              </w:rPr>
            </w:pPr>
          </w:p>
        </w:tc>
        <w:tc>
          <w:tcPr>
            <w:tcW w:w="1843" w:type="dxa"/>
          </w:tcPr>
          <w:p w14:paraId="5C5D5E28"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14 George Street</w:t>
            </w:r>
          </w:p>
          <w:p w14:paraId="04F2087D" w14:textId="77777777" w:rsidR="00665A13" w:rsidRPr="008B072F" w:rsidRDefault="00665A13" w:rsidP="008B072F">
            <w:pPr>
              <w:spacing w:after="0" w:line="240" w:lineRule="auto"/>
              <w:rPr>
                <w:rFonts w:cstheme="minorHAnsi"/>
                <w:sz w:val="18"/>
                <w:szCs w:val="18"/>
              </w:rPr>
            </w:pPr>
          </w:p>
        </w:tc>
        <w:tc>
          <w:tcPr>
            <w:tcW w:w="1130" w:type="dxa"/>
          </w:tcPr>
          <w:p w14:paraId="543C62B9"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2</w:t>
            </w:r>
          </w:p>
        </w:tc>
        <w:tc>
          <w:tcPr>
            <w:tcW w:w="1569" w:type="dxa"/>
          </w:tcPr>
          <w:p w14:paraId="2BA43FB4"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Federation Bungalow</w:t>
            </w:r>
          </w:p>
        </w:tc>
        <w:tc>
          <w:tcPr>
            <w:tcW w:w="1278" w:type="dxa"/>
          </w:tcPr>
          <w:p w14:paraId="572CB6D4"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circa 1896</w:t>
            </w:r>
          </w:p>
        </w:tc>
        <w:tc>
          <w:tcPr>
            <w:tcW w:w="3108" w:type="dxa"/>
          </w:tcPr>
          <w:p w14:paraId="696EC612"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Municipal Heritage Inventory Cat C. Include</w:t>
            </w:r>
            <w:r w:rsidR="001C7F4A">
              <w:rPr>
                <w:rFonts w:cstheme="minorHAnsi"/>
                <w:sz w:val="18"/>
                <w:szCs w:val="18"/>
              </w:rPr>
              <w:t xml:space="preserve">d within LPS 3 Heritage List as </w:t>
            </w:r>
            <w:r w:rsidRPr="008B072F">
              <w:rPr>
                <w:rFonts w:cstheme="minorHAnsi"/>
                <w:sz w:val="18"/>
                <w:szCs w:val="18"/>
              </w:rPr>
              <w:t>part of George Street Precinct.</w:t>
            </w:r>
          </w:p>
        </w:tc>
      </w:tr>
      <w:tr w:rsidR="00665A13" w:rsidRPr="00A53749" w14:paraId="489327BE" w14:textId="77777777" w:rsidTr="001C7F4A">
        <w:trPr>
          <w:trHeight w:val="659"/>
        </w:trPr>
        <w:tc>
          <w:tcPr>
            <w:tcW w:w="425" w:type="dxa"/>
          </w:tcPr>
          <w:p w14:paraId="096E6461" w14:textId="77777777" w:rsidR="00665A13" w:rsidRPr="008B072F" w:rsidRDefault="00665A13" w:rsidP="008B072F">
            <w:pPr>
              <w:spacing w:after="0" w:line="240" w:lineRule="auto"/>
              <w:rPr>
                <w:rFonts w:cstheme="minorHAnsi"/>
                <w:sz w:val="18"/>
                <w:szCs w:val="18"/>
              </w:rPr>
            </w:pPr>
          </w:p>
        </w:tc>
        <w:tc>
          <w:tcPr>
            <w:tcW w:w="1843" w:type="dxa"/>
          </w:tcPr>
          <w:p w14:paraId="6B0D8CD1"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31 Glyde Street</w:t>
            </w:r>
          </w:p>
          <w:p w14:paraId="01E014E2" w14:textId="77777777" w:rsidR="00665A13" w:rsidRPr="008B072F" w:rsidRDefault="00665A13" w:rsidP="008B072F">
            <w:pPr>
              <w:spacing w:after="0" w:line="240" w:lineRule="auto"/>
              <w:rPr>
                <w:rFonts w:cstheme="minorHAnsi"/>
                <w:sz w:val="18"/>
                <w:szCs w:val="18"/>
              </w:rPr>
            </w:pPr>
          </w:p>
        </w:tc>
        <w:tc>
          <w:tcPr>
            <w:tcW w:w="1130" w:type="dxa"/>
          </w:tcPr>
          <w:p w14:paraId="0C8DC565"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303</w:t>
            </w:r>
          </w:p>
        </w:tc>
        <w:tc>
          <w:tcPr>
            <w:tcW w:w="1569" w:type="dxa"/>
          </w:tcPr>
          <w:p w14:paraId="35DA7C60" w14:textId="77777777" w:rsidR="00665A13" w:rsidRPr="008B072F" w:rsidRDefault="00665A13" w:rsidP="008B072F">
            <w:pPr>
              <w:spacing w:after="0" w:line="240" w:lineRule="auto"/>
              <w:rPr>
                <w:rFonts w:cstheme="minorHAnsi"/>
                <w:sz w:val="18"/>
                <w:szCs w:val="18"/>
              </w:rPr>
            </w:pPr>
          </w:p>
        </w:tc>
        <w:tc>
          <w:tcPr>
            <w:tcW w:w="1278" w:type="dxa"/>
          </w:tcPr>
          <w:p w14:paraId="19E240B1" w14:textId="77777777" w:rsidR="00665A13" w:rsidRPr="008B072F" w:rsidRDefault="00665A13" w:rsidP="008B072F">
            <w:pPr>
              <w:spacing w:after="0" w:line="240" w:lineRule="auto"/>
              <w:rPr>
                <w:rFonts w:cstheme="minorHAnsi"/>
                <w:sz w:val="18"/>
                <w:szCs w:val="18"/>
              </w:rPr>
            </w:pPr>
          </w:p>
        </w:tc>
        <w:tc>
          <w:tcPr>
            <w:tcW w:w="3108" w:type="dxa"/>
          </w:tcPr>
          <w:p w14:paraId="17D877FB"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No individual listing, however, included within LPS 3 Heritage List as part of</w:t>
            </w:r>
          </w:p>
          <w:p w14:paraId="667F9C11"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George Street Precinct.</w:t>
            </w:r>
          </w:p>
        </w:tc>
      </w:tr>
      <w:tr w:rsidR="00665A13" w:rsidRPr="00A53749" w14:paraId="436AF9DE" w14:textId="77777777" w:rsidTr="001C7F4A">
        <w:trPr>
          <w:trHeight w:val="877"/>
        </w:trPr>
        <w:tc>
          <w:tcPr>
            <w:tcW w:w="425" w:type="dxa"/>
          </w:tcPr>
          <w:p w14:paraId="50688F9F" w14:textId="77777777" w:rsidR="00665A13" w:rsidRPr="008B072F" w:rsidRDefault="00665A13" w:rsidP="008B072F">
            <w:pPr>
              <w:spacing w:after="0" w:line="240" w:lineRule="auto"/>
              <w:rPr>
                <w:rFonts w:cstheme="minorHAnsi"/>
                <w:sz w:val="18"/>
                <w:szCs w:val="18"/>
              </w:rPr>
            </w:pPr>
          </w:p>
        </w:tc>
        <w:tc>
          <w:tcPr>
            <w:tcW w:w="1843" w:type="dxa"/>
          </w:tcPr>
          <w:p w14:paraId="565A9A4E"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36 Glyde Street</w:t>
            </w:r>
          </w:p>
          <w:p w14:paraId="6CDE907A" w14:textId="77777777" w:rsidR="00665A13" w:rsidRPr="008B072F" w:rsidRDefault="00665A13" w:rsidP="008B072F">
            <w:pPr>
              <w:spacing w:after="0" w:line="240" w:lineRule="auto"/>
              <w:rPr>
                <w:rFonts w:cstheme="minorHAnsi"/>
                <w:sz w:val="18"/>
                <w:szCs w:val="18"/>
              </w:rPr>
            </w:pPr>
          </w:p>
        </w:tc>
        <w:tc>
          <w:tcPr>
            <w:tcW w:w="1130" w:type="dxa"/>
          </w:tcPr>
          <w:p w14:paraId="315998F9"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73</w:t>
            </w:r>
          </w:p>
        </w:tc>
        <w:tc>
          <w:tcPr>
            <w:tcW w:w="1569" w:type="dxa"/>
          </w:tcPr>
          <w:p w14:paraId="554E5DA6"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Federation Bungalow</w:t>
            </w:r>
          </w:p>
        </w:tc>
        <w:tc>
          <w:tcPr>
            <w:tcW w:w="1278" w:type="dxa"/>
          </w:tcPr>
          <w:p w14:paraId="3A6B974D"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circa 1896</w:t>
            </w:r>
          </w:p>
        </w:tc>
        <w:tc>
          <w:tcPr>
            <w:tcW w:w="3108" w:type="dxa"/>
          </w:tcPr>
          <w:p w14:paraId="4C983153"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Municipal Heritage Inventory Cat B. LPS 3 Heritage List (individual).</w:t>
            </w:r>
          </w:p>
          <w:p w14:paraId="05A91A84"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Included with</w:t>
            </w:r>
            <w:r w:rsidR="001C7F4A">
              <w:rPr>
                <w:rFonts w:cstheme="minorHAnsi"/>
                <w:sz w:val="18"/>
                <w:szCs w:val="18"/>
              </w:rPr>
              <w:t xml:space="preserve">in LPS 3 Heritage List as </w:t>
            </w:r>
            <w:r w:rsidRPr="008B072F">
              <w:rPr>
                <w:rFonts w:cstheme="minorHAnsi"/>
                <w:sz w:val="18"/>
                <w:szCs w:val="18"/>
              </w:rPr>
              <w:t>part of George Street Precinct.</w:t>
            </w:r>
          </w:p>
        </w:tc>
      </w:tr>
      <w:tr w:rsidR="00665A13" w:rsidRPr="00A53749" w14:paraId="5D11E585" w14:textId="77777777" w:rsidTr="001C7F4A">
        <w:trPr>
          <w:trHeight w:val="438"/>
        </w:trPr>
        <w:tc>
          <w:tcPr>
            <w:tcW w:w="425" w:type="dxa"/>
          </w:tcPr>
          <w:p w14:paraId="7A009129" w14:textId="77777777" w:rsidR="00665A13" w:rsidRPr="008B072F" w:rsidRDefault="00665A13" w:rsidP="008B072F">
            <w:pPr>
              <w:spacing w:after="0" w:line="240" w:lineRule="auto"/>
              <w:rPr>
                <w:rFonts w:cstheme="minorHAnsi"/>
                <w:sz w:val="18"/>
                <w:szCs w:val="18"/>
              </w:rPr>
            </w:pPr>
          </w:p>
        </w:tc>
        <w:tc>
          <w:tcPr>
            <w:tcW w:w="1843" w:type="dxa"/>
          </w:tcPr>
          <w:p w14:paraId="02CDD818"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38 Glyde Street</w:t>
            </w:r>
          </w:p>
          <w:p w14:paraId="2DE7D07C" w14:textId="77777777" w:rsidR="00665A13" w:rsidRPr="008B072F" w:rsidRDefault="00665A13" w:rsidP="008B072F">
            <w:pPr>
              <w:spacing w:after="0" w:line="240" w:lineRule="auto"/>
              <w:rPr>
                <w:rFonts w:cstheme="minorHAnsi"/>
                <w:sz w:val="18"/>
                <w:szCs w:val="18"/>
              </w:rPr>
            </w:pPr>
          </w:p>
        </w:tc>
        <w:tc>
          <w:tcPr>
            <w:tcW w:w="1130" w:type="dxa"/>
          </w:tcPr>
          <w:p w14:paraId="3135EEA1"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72</w:t>
            </w:r>
          </w:p>
          <w:p w14:paraId="7D106F33"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(Lot 1)</w:t>
            </w:r>
          </w:p>
        </w:tc>
        <w:tc>
          <w:tcPr>
            <w:tcW w:w="1569" w:type="dxa"/>
          </w:tcPr>
          <w:p w14:paraId="7A86FA20"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Federation</w:t>
            </w:r>
          </w:p>
          <w:p w14:paraId="27368E8B"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Bungalow</w:t>
            </w:r>
          </w:p>
        </w:tc>
        <w:tc>
          <w:tcPr>
            <w:tcW w:w="1278" w:type="dxa"/>
          </w:tcPr>
          <w:p w14:paraId="73073A24"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circa 1896</w:t>
            </w:r>
          </w:p>
        </w:tc>
        <w:tc>
          <w:tcPr>
            <w:tcW w:w="3108" w:type="dxa"/>
          </w:tcPr>
          <w:p w14:paraId="774E7A80"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Municipal Heritage Inventory Cat A</w:t>
            </w:r>
          </w:p>
          <w:p w14:paraId="18BE716B"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LPS 3 Heritage List</w:t>
            </w:r>
          </w:p>
        </w:tc>
      </w:tr>
      <w:tr w:rsidR="00665A13" w:rsidRPr="00A53749" w14:paraId="54C1CFE3" w14:textId="77777777" w:rsidTr="001C7F4A">
        <w:trPr>
          <w:trHeight w:val="659"/>
        </w:trPr>
        <w:tc>
          <w:tcPr>
            <w:tcW w:w="425" w:type="dxa"/>
          </w:tcPr>
          <w:p w14:paraId="129EFC61" w14:textId="77777777" w:rsidR="00665A13" w:rsidRPr="008B072F" w:rsidRDefault="00665A13" w:rsidP="008B072F">
            <w:pPr>
              <w:spacing w:after="0" w:line="240" w:lineRule="auto"/>
              <w:rPr>
                <w:rFonts w:cstheme="minorHAnsi"/>
                <w:sz w:val="18"/>
                <w:szCs w:val="18"/>
              </w:rPr>
            </w:pPr>
          </w:p>
        </w:tc>
        <w:tc>
          <w:tcPr>
            <w:tcW w:w="1843" w:type="dxa"/>
          </w:tcPr>
          <w:p w14:paraId="7844DFA4"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36 George Street</w:t>
            </w:r>
          </w:p>
          <w:p w14:paraId="05447E95" w14:textId="77777777" w:rsidR="00665A13" w:rsidRPr="008B072F" w:rsidRDefault="00665A13" w:rsidP="008B072F">
            <w:pPr>
              <w:spacing w:after="0" w:line="240" w:lineRule="auto"/>
              <w:rPr>
                <w:rFonts w:cstheme="minorHAnsi"/>
                <w:sz w:val="18"/>
                <w:szCs w:val="18"/>
              </w:rPr>
            </w:pPr>
          </w:p>
        </w:tc>
        <w:tc>
          <w:tcPr>
            <w:tcW w:w="1130" w:type="dxa"/>
          </w:tcPr>
          <w:p w14:paraId="2FB8D21A"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72</w:t>
            </w:r>
          </w:p>
          <w:p w14:paraId="6060FD38"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(Lot 2)</w:t>
            </w:r>
          </w:p>
        </w:tc>
        <w:tc>
          <w:tcPr>
            <w:tcW w:w="1569" w:type="dxa"/>
          </w:tcPr>
          <w:p w14:paraId="03DF3C04" w14:textId="77777777" w:rsidR="00665A13" w:rsidRPr="008B072F" w:rsidRDefault="00665A13" w:rsidP="008B072F">
            <w:pPr>
              <w:spacing w:after="0" w:line="240" w:lineRule="auto"/>
              <w:rPr>
                <w:rFonts w:cstheme="minorHAnsi"/>
                <w:sz w:val="18"/>
                <w:szCs w:val="18"/>
              </w:rPr>
            </w:pPr>
          </w:p>
        </w:tc>
        <w:tc>
          <w:tcPr>
            <w:tcW w:w="1278" w:type="dxa"/>
          </w:tcPr>
          <w:p w14:paraId="260E23CC" w14:textId="77777777" w:rsidR="00665A13" w:rsidRPr="008B072F" w:rsidRDefault="00665A13" w:rsidP="008B072F">
            <w:pPr>
              <w:spacing w:after="0" w:line="240" w:lineRule="auto"/>
              <w:rPr>
                <w:rFonts w:cstheme="minorHAnsi"/>
                <w:sz w:val="18"/>
                <w:szCs w:val="18"/>
              </w:rPr>
            </w:pPr>
          </w:p>
        </w:tc>
        <w:tc>
          <w:tcPr>
            <w:tcW w:w="3108" w:type="dxa"/>
          </w:tcPr>
          <w:p w14:paraId="07800162"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No individual listing, however, included within L</w:t>
            </w:r>
            <w:r w:rsidR="001C7F4A">
              <w:rPr>
                <w:rFonts w:cstheme="minorHAnsi"/>
                <w:sz w:val="18"/>
                <w:szCs w:val="18"/>
              </w:rPr>
              <w:t xml:space="preserve">PS 3 Heritage List as part of </w:t>
            </w:r>
            <w:r w:rsidRPr="008B072F">
              <w:rPr>
                <w:rFonts w:cstheme="minorHAnsi"/>
                <w:sz w:val="18"/>
                <w:szCs w:val="18"/>
              </w:rPr>
              <w:t>George Street Precinct.</w:t>
            </w:r>
          </w:p>
        </w:tc>
      </w:tr>
      <w:tr w:rsidR="00665A13" w:rsidRPr="00A53749" w14:paraId="6CCA86C0" w14:textId="77777777" w:rsidTr="001C7F4A">
        <w:trPr>
          <w:trHeight w:val="880"/>
        </w:trPr>
        <w:tc>
          <w:tcPr>
            <w:tcW w:w="425" w:type="dxa"/>
          </w:tcPr>
          <w:p w14:paraId="2A5115A7" w14:textId="77777777" w:rsidR="00665A13" w:rsidRPr="008B072F" w:rsidRDefault="00665A13" w:rsidP="008B072F">
            <w:pPr>
              <w:spacing w:after="0" w:line="240" w:lineRule="auto"/>
              <w:rPr>
                <w:rFonts w:cstheme="minorHAnsi"/>
                <w:sz w:val="18"/>
                <w:szCs w:val="18"/>
              </w:rPr>
            </w:pPr>
          </w:p>
        </w:tc>
        <w:tc>
          <w:tcPr>
            <w:tcW w:w="1843" w:type="dxa"/>
          </w:tcPr>
          <w:p w14:paraId="03B86783"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38 George Street</w:t>
            </w:r>
          </w:p>
          <w:p w14:paraId="5467B6C6" w14:textId="77777777" w:rsidR="00665A13" w:rsidRPr="008B072F" w:rsidRDefault="00665A13" w:rsidP="008B072F">
            <w:pPr>
              <w:spacing w:after="0" w:line="240" w:lineRule="auto"/>
              <w:rPr>
                <w:rFonts w:cstheme="minorHAnsi"/>
                <w:sz w:val="18"/>
                <w:szCs w:val="18"/>
              </w:rPr>
            </w:pPr>
          </w:p>
        </w:tc>
        <w:tc>
          <w:tcPr>
            <w:tcW w:w="1130" w:type="dxa"/>
          </w:tcPr>
          <w:p w14:paraId="29DBADE3"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412 &amp; 414</w:t>
            </w:r>
          </w:p>
        </w:tc>
        <w:tc>
          <w:tcPr>
            <w:tcW w:w="1569" w:type="dxa"/>
          </w:tcPr>
          <w:p w14:paraId="6BAA9CC7"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Federation Free Classical</w:t>
            </w:r>
          </w:p>
        </w:tc>
        <w:tc>
          <w:tcPr>
            <w:tcW w:w="1278" w:type="dxa"/>
          </w:tcPr>
          <w:p w14:paraId="0B4D6ACB"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circa 1896</w:t>
            </w:r>
          </w:p>
        </w:tc>
        <w:tc>
          <w:tcPr>
            <w:tcW w:w="3108" w:type="dxa"/>
          </w:tcPr>
          <w:p w14:paraId="3406A1D3"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Municipal Heritage Inventory Cat B. LPS 3 Heritage List (individual).</w:t>
            </w:r>
          </w:p>
          <w:p w14:paraId="7D7AD857"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Include</w:t>
            </w:r>
            <w:r w:rsidR="001C7F4A">
              <w:rPr>
                <w:rFonts w:cstheme="minorHAnsi"/>
                <w:sz w:val="18"/>
                <w:szCs w:val="18"/>
              </w:rPr>
              <w:t xml:space="preserve">d within LPS 3 Heritage List as </w:t>
            </w:r>
            <w:r w:rsidRPr="008B072F">
              <w:rPr>
                <w:rFonts w:cstheme="minorHAnsi"/>
                <w:sz w:val="18"/>
                <w:szCs w:val="18"/>
              </w:rPr>
              <w:t>part of George Street Precinct.</w:t>
            </w:r>
          </w:p>
        </w:tc>
      </w:tr>
      <w:tr w:rsidR="00665A13" w:rsidRPr="00A53749" w14:paraId="324EE8ED" w14:textId="77777777" w:rsidTr="001C7F4A">
        <w:trPr>
          <w:trHeight w:val="877"/>
        </w:trPr>
        <w:tc>
          <w:tcPr>
            <w:tcW w:w="425" w:type="dxa"/>
          </w:tcPr>
          <w:p w14:paraId="30A06B69" w14:textId="77777777" w:rsidR="00665A13" w:rsidRPr="008B072F" w:rsidRDefault="00665A13" w:rsidP="008B072F">
            <w:pPr>
              <w:spacing w:after="0" w:line="240" w:lineRule="auto"/>
              <w:rPr>
                <w:rFonts w:cstheme="minorHAnsi"/>
                <w:sz w:val="18"/>
                <w:szCs w:val="18"/>
              </w:rPr>
            </w:pPr>
          </w:p>
        </w:tc>
        <w:tc>
          <w:tcPr>
            <w:tcW w:w="1843" w:type="dxa"/>
          </w:tcPr>
          <w:p w14:paraId="15457822"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48 George Street</w:t>
            </w:r>
          </w:p>
          <w:p w14:paraId="251E73CA" w14:textId="77777777" w:rsidR="00665A13" w:rsidRPr="008B072F" w:rsidRDefault="00665A13" w:rsidP="008B072F">
            <w:pPr>
              <w:spacing w:after="0" w:line="240" w:lineRule="auto"/>
              <w:rPr>
                <w:rFonts w:cstheme="minorHAnsi"/>
                <w:sz w:val="18"/>
                <w:szCs w:val="18"/>
              </w:rPr>
            </w:pPr>
          </w:p>
        </w:tc>
        <w:tc>
          <w:tcPr>
            <w:tcW w:w="1130" w:type="dxa"/>
          </w:tcPr>
          <w:p w14:paraId="1C4CD225"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300</w:t>
            </w:r>
          </w:p>
        </w:tc>
        <w:tc>
          <w:tcPr>
            <w:tcW w:w="1569" w:type="dxa"/>
          </w:tcPr>
          <w:p w14:paraId="4A268D0A"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Federation Free Classical</w:t>
            </w:r>
          </w:p>
        </w:tc>
        <w:tc>
          <w:tcPr>
            <w:tcW w:w="1278" w:type="dxa"/>
          </w:tcPr>
          <w:p w14:paraId="43FD89EE"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circa 1896</w:t>
            </w:r>
          </w:p>
        </w:tc>
        <w:tc>
          <w:tcPr>
            <w:tcW w:w="3108" w:type="dxa"/>
          </w:tcPr>
          <w:p w14:paraId="70A14C5F"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Municipal Heritage Inventory Cat A. LPS 3 Heritage List (individual).</w:t>
            </w:r>
          </w:p>
          <w:p w14:paraId="76FBBB57"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Include</w:t>
            </w:r>
            <w:r w:rsidR="001C7F4A">
              <w:rPr>
                <w:rFonts w:cstheme="minorHAnsi"/>
                <w:sz w:val="18"/>
                <w:szCs w:val="18"/>
              </w:rPr>
              <w:t xml:space="preserve">d within LPS 3 Heritage List as </w:t>
            </w:r>
            <w:r w:rsidRPr="008B072F">
              <w:rPr>
                <w:rFonts w:cstheme="minorHAnsi"/>
                <w:sz w:val="18"/>
                <w:szCs w:val="18"/>
              </w:rPr>
              <w:t>part of George Street Precinct.</w:t>
            </w:r>
          </w:p>
        </w:tc>
      </w:tr>
      <w:tr w:rsidR="00665A13" w:rsidRPr="00A53749" w14:paraId="3AEC6509" w14:textId="77777777" w:rsidTr="001C7F4A">
        <w:trPr>
          <w:trHeight w:val="877"/>
        </w:trPr>
        <w:tc>
          <w:tcPr>
            <w:tcW w:w="425" w:type="dxa"/>
          </w:tcPr>
          <w:p w14:paraId="184A8A5E" w14:textId="77777777" w:rsidR="00665A13" w:rsidRPr="008B072F" w:rsidRDefault="00665A13" w:rsidP="008B072F">
            <w:pPr>
              <w:spacing w:after="0" w:line="240" w:lineRule="auto"/>
              <w:rPr>
                <w:rFonts w:cstheme="minorHAnsi"/>
                <w:sz w:val="18"/>
                <w:szCs w:val="18"/>
              </w:rPr>
            </w:pPr>
          </w:p>
        </w:tc>
        <w:tc>
          <w:tcPr>
            <w:tcW w:w="1843" w:type="dxa"/>
          </w:tcPr>
          <w:p w14:paraId="7EAAE973"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35 – 37 Hubble Street</w:t>
            </w:r>
          </w:p>
          <w:p w14:paraId="7DCACE8B" w14:textId="77777777" w:rsidR="00665A13" w:rsidRPr="008B072F" w:rsidRDefault="00665A13" w:rsidP="008B072F">
            <w:pPr>
              <w:spacing w:after="0" w:line="240" w:lineRule="auto"/>
              <w:rPr>
                <w:rFonts w:cstheme="minorHAnsi"/>
                <w:sz w:val="18"/>
                <w:szCs w:val="18"/>
              </w:rPr>
            </w:pPr>
          </w:p>
        </w:tc>
        <w:tc>
          <w:tcPr>
            <w:tcW w:w="1130" w:type="dxa"/>
          </w:tcPr>
          <w:p w14:paraId="6862AEBE"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69</w:t>
            </w:r>
          </w:p>
        </w:tc>
        <w:tc>
          <w:tcPr>
            <w:tcW w:w="1569" w:type="dxa"/>
          </w:tcPr>
          <w:p w14:paraId="2CD69FCB"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Federation Bungalow – Duplex</w:t>
            </w:r>
          </w:p>
        </w:tc>
        <w:tc>
          <w:tcPr>
            <w:tcW w:w="1278" w:type="dxa"/>
          </w:tcPr>
          <w:p w14:paraId="40BCF062"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circa 1890</w:t>
            </w:r>
          </w:p>
        </w:tc>
        <w:tc>
          <w:tcPr>
            <w:tcW w:w="3108" w:type="dxa"/>
          </w:tcPr>
          <w:p w14:paraId="2B5EBDF0"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Municipal Heritage Inventory Cat B. LPS 3 Heritage List (individual).</w:t>
            </w:r>
          </w:p>
          <w:p w14:paraId="6CA96DF6"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Include</w:t>
            </w:r>
            <w:r w:rsidR="001C7F4A">
              <w:rPr>
                <w:rFonts w:cstheme="minorHAnsi"/>
                <w:sz w:val="18"/>
                <w:szCs w:val="18"/>
              </w:rPr>
              <w:t xml:space="preserve">d within LPS 3 Heritage List as </w:t>
            </w:r>
            <w:r w:rsidRPr="008B072F">
              <w:rPr>
                <w:rFonts w:cstheme="minorHAnsi"/>
                <w:sz w:val="18"/>
                <w:szCs w:val="18"/>
              </w:rPr>
              <w:t>part of George Street Precinct.</w:t>
            </w:r>
          </w:p>
        </w:tc>
      </w:tr>
      <w:tr w:rsidR="00665A13" w:rsidRPr="00A53749" w14:paraId="3334E885" w14:textId="77777777" w:rsidTr="001C7F4A">
        <w:trPr>
          <w:trHeight w:val="880"/>
        </w:trPr>
        <w:tc>
          <w:tcPr>
            <w:tcW w:w="425" w:type="dxa"/>
          </w:tcPr>
          <w:p w14:paraId="19ECEF0D" w14:textId="77777777" w:rsidR="00665A13" w:rsidRPr="008B072F" w:rsidRDefault="00665A13" w:rsidP="008B072F">
            <w:pPr>
              <w:spacing w:after="0" w:line="240" w:lineRule="auto"/>
              <w:rPr>
                <w:rFonts w:cstheme="minorHAnsi"/>
                <w:sz w:val="18"/>
                <w:szCs w:val="18"/>
              </w:rPr>
            </w:pPr>
          </w:p>
        </w:tc>
        <w:tc>
          <w:tcPr>
            <w:tcW w:w="1843" w:type="dxa"/>
          </w:tcPr>
          <w:p w14:paraId="319B84F7"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38 Hubble Street</w:t>
            </w:r>
          </w:p>
          <w:p w14:paraId="3648B6E5" w14:textId="77777777" w:rsidR="00665A13" w:rsidRPr="008B072F" w:rsidRDefault="00665A13" w:rsidP="008B072F">
            <w:pPr>
              <w:spacing w:after="0" w:line="240" w:lineRule="auto"/>
              <w:rPr>
                <w:rFonts w:cstheme="minorHAnsi"/>
                <w:sz w:val="18"/>
                <w:szCs w:val="18"/>
              </w:rPr>
            </w:pPr>
          </w:p>
        </w:tc>
        <w:tc>
          <w:tcPr>
            <w:tcW w:w="1130" w:type="dxa"/>
          </w:tcPr>
          <w:p w14:paraId="1E9D4DC1"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199</w:t>
            </w:r>
          </w:p>
        </w:tc>
        <w:tc>
          <w:tcPr>
            <w:tcW w:w="1569" w:type="dxa"/>
          </w:tcPr>
          <w:p w14:paraId="13BCA16F"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Adapted Federation Bungalow</w:t>
            </w:r>
          </w:p>
        </w:tc>
        <w:tc>
          <w:tcPr>
            <w:tcW w:w="1278" w:type="dxa"/>
          </w:tcPr>
          <w:p w14:paraId="4689DB44"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 xml:space="preserve">circa 1895 and modified </w:t>
            </w:r>
            <w:proofErr w:type="gramStart"/>
            <w:r w:rsidRPr="008B072F">
              <w:rPr>
                <w:rFonts w:cstheme="minorHAnsi"/>
                <w:sz w:val="18"/>
                <w:szCs w:val="18"/>
              </w:rPr>
              <w:t>Post-World</w:t>
            </w:r>
            <w:proofErr w:type="gramEnd"/>
          </w:p>
          <w:p w14:paraId="31ADA588"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War II</w:t>
            </w:r>
          </w:p>
        </w:tc>
        <w:tc>
          <w:tcPr>
            <w:tcW w:w="3108" w:type="dxa"/>
          </w:tcPr>
          <w:p w14:paraId="6DB42679"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Municipal Heritage Inventory Cat C. Included within LPS 3 Heritage List as part of George Street Precinct.</w:t>
            </w:r>
          </w:p>
        </w:tc>
      </w:tr>
      <w:tr w:rsidR="00665A13" w:rsidRPr="00A53749" w14:paraId="584583C1" w14:textId="77777777" w:rsidTr="001C7F4A">
        <w:trPr>
          <w:trHeight w:val="659"/>
        </w:trPr>
        <w:tc>
          <w:tcPr>
            <w:tcW w:w="425" w:type="dxa"/>
          </w:tcPr>
          <w:p w14:paraId="0FC8F3D6" w14:textId="77777777" w:rsidR="00665A13" w:rsidRPr="008B072F" w:rsidRDefault="00665A13" w:rsidP="008B072F">
            <w:pPr>
              <w:spacing w:after="0" w:line="240" w:lineRule="auto"/>
              <w:rPr>
                <w:rFonts w:cstheme="minorHAnsi"/>
                <w:sz w:val="18"/>
                <w:szCs w:val="18"/>
              </w:rPr>
            </w:pPr>
          </w:p>
        </w:tc>
        <w:tc>
          <w:tcPr>
            <w:tcW w:w="1843" w:type="dxa"/>
          </w:tcPr>
          <w:p w14:paraId="2B3F1117"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39 Hubble Street</w:t>
            </w:r>
          </w:p>
          <w:p w14:paraId="2D7F699C" w14:textId="77777777" w:rsidR="00665A13" w:rsidRPr="008B072F" w:rsidRDefault="00665A13" w:rsidP="008B072F">
            <w:pPr>
              <w:spacing w:after="0" w:line="240" w:lineRule="auto"/>
              <w:rPr>
                <w:rFonts w:cstheme="minorHAnsi"/>
                <w:sz w:val="18"/>
                <w:szCs w:val="18"/>
              </w:rPr>
            </w:pPr>
          </w:p>
        </w:tc>
        <w:tc>
          <w:tcPr>
            <w:tcW w:w="1130" w:type="dxa"/>
          </w:tcPr>
          <w:p w14:paraId="0C035FBD"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415</w:t>
            </w:r>
          </w:p>
        </w:tc>
        <w:tc>
          <w:tcPr>
            <w:tcW w:w="1569" w:type="dxa"/>
          </w:tcPr>
          <w:p w14:paraId="787C95DF" w14:textId="77777777" w:rsidR="00665A13" w:rsidRPr="008B072F" w:rsidRDefault="00665A13" w:rsidP="008B072F">
            <w:pPr>
              <w:spacing w:after="0" w:line="240" w:lineRule="auto"/>
              <w:rPr>
                <w:rFonts w:cstheme="minorHAnsi"/>
                <w:sz w:val="18"/>
                <w:szCs w:val="18"/>
              </w:rPr>
            </w:pPr>
          </w:p>
        </w:tc>
        <w:tc>
          <w:tcPr>
            <w:tcW w:w="1278" w:type="dxa"/>
          </w:tcPr>
          <w:p w14:paraId="5E8E7F66" w14:textId="77777777" w:rsidR="00665A13" w:rsidRPr="008B072F" w:rsidRDefault="00665A13" w:rsidP="008B072F">
            <w:pPr>
              <w:spacing w:after="0" w:line="240" w:lineRule="auto"/>
              <w:rPr>
                <w:rFonts w:cstheme="minorHAnsi"/>
                <w:sz w:val="18"/>
                <w:szCs w:val="18"/>
              </w:rPr>
            </w:pPr>
          </w:p>
        </w:tc>
        <w:tc>
          <w:tcPr>
            <w:tcW w:w="3108" w:type="dxa"/>
          </w:tcPr>
          <w:p w14:paraId="1BBA61C5"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No indivi</w:t>
            </w:r>
            <w:r w:rsidR="001C7F4A">
              <w:rPr>
                <w:rFonts w:cstheme="minorHAnsi"/>
                <w:sz w:val="18"/>
                <w:szCs w:val="18"/>
              </w:rPr>
              <w:t xml:space="preserve">dual listing, however, included </w:t>
            </w:r>
            <w:r w:rsidRPr="008B072F">
              <w:rPr>
                <w:rFonts w:cstheme="minorHAnsi"/>
                <w:sz w:val="18"/>
                <w:szCs w:val="18"/>
              </w:rPr>
              <w:t>within LPS 3 Heritage List as part of George Street Precinct.</w:t>
            </w:r>
          </w:p>
        </w:tc>
      </w:tr>
      <w:tr w:rsidR="00665A13" w:rsidRPr="00A53749" w14:paraId="433959C9" w14:textId="77777777" w:rsidTr="001C7F4A">
        <w:trPr>
          <w:trHeight w:val="657"/>
        </w:trPr>
        <w:tc>
          <w:tcPr>
            <w:tcW w:w="425" w:type="dxa"/>
          </w:tcPr>
          <w:p w14:paraId="7DDC5DFF" w14:textId="77777777" w:rsidR="00665A13" w:rsidRPr="008B072F" w:rsidRDefault="00665A13" w:rsidP="008B072F">
            <w:pPr>
              <w:spacing w:after="0" w:line="240" w:lineRule="auto"/>
              <w:rPr>
                <w:rFonts w:cstheme="minorHAnsi"/>
                <w:sz w:val="18"/>
                <w:szCs w:val="18"/>
              </w:rPr>
            </w:pPr>
          </w:p>
        </w:tc>
        <w:tc>
          <w:tcPr>
            <w:tcW w:w="1843" w:type="dxa"/>
          </w:tcPr>
          <w:p w14:paraId="0A0F0C81"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40 Hubble Street</w:t>
            </w:r>
          </w:p>
          <w:p w14:paraId="7E5F76EB" w14:textId="77777777" w:rsidR="00665A13" w:rsidRPr="008B072F" w:rsidRDefault="00665A13" w:rsidP="008B072F">
            <w:pPr>
              <w:spacing w:after="0" w:line="240" w:lineRule="auto"/>
              <w:rPr>
                <w:rFonts w:cstheme="minorHAnsi"/>
                <w:sz w:val="18"/>
                <w:szCs w:val="18"/>
              </w:rPr>
            </w:pPr>
          </w:p>
        </w:tc>
        <w:tc>
          <w:tcPr>
            <w:tcW w:w="1130" w:type="dxa"/>
          </w:tcPr>
          <w:p w14:paraId="2F620F35"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7</w:t>
            </w:r>
          </w:p>
        </w:tc>
        <w:tc>
          <w:tcPr>
            <w:tcW w:w="1569" w:type="dxa"/>
          </w:tcPr>
          <w:p w14:paraId="5FEE2537"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Federation Bungalow</w:t>
            </w:r>
          </w:p>
        </w:tc>
        <w:tc>
          <w:tcPr>
            <w:tcW w:w="1278" w:type="dxa"/>
          </w:tcPr>
          <w:p w14:paraId="4E169B54"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circa 1910</w:t>
            </w:r>
          </w:p>
        </w:tc>
        <w:tc>
          <w:tcPr>
            <w:tcW w:w="3108" w:type="dxa"/>
          </w:tcPr>
          <w:p w14:paraId="5451B204"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Municipal Heritage Inventory Cat C. Included within LPS 3 Heritage List as</w:t>
            </w:r>
          </w:p>
          <w:p w14:paraId="5D272EC0" w14:textId="77777777" w:rsidR="00665A13" w:rsidRPr="008B072F" w:rsidRDefault="00665A13" w:rsidP="008B072F">
            <w:pPr>
              <w:spacing w:after="0" w:line="240" w:lineRule="auto"/>
              <w:rPr>
                <w:rFonts w:cstheme="minorHAnsi"/>
                <w:sz w:val="18"/>
                <w:szCs w:val="18"/>
              </w:rPr>
            </w:pPr>
            <w:r w:rsidRPr="008B072F">
              <w:rPr>
                <w:rFonts w:cstheme="minorHAnsi"/>
                <w:sz w:val="18"/>
                <w:szCs w:val="18"/>
              </w:rPr>
              <w:t>part of George Street Precinct.</w:t>
            </w:r>
          </w:p>
        </w:tc>
      </w:tr>
      <w:tr w:rsidR="00665A13" w:rsidRPr="00A53749" w14:paraId="74224511" w14:textId="77777777" w:rsidTr="001C7F4A">
        <w:trPr>
          <w:trHeight w:val="880"/>
        </w:trPr>
        <w:tc>
          <w:tcPr>
            <w:tcW w:w="425" w:type="dxa"/>
          </w:tcPr>
          <w:p w14:paraId="0A364C4A" w14:textId="77777777" w:rsidR="00665A13" w:rsidRPr="008B072F" w:rsidRDefault="00665A13" w:rsidP="008B072F">
            <w:pPr>
              <w:spacing w:after="0" w:line="240" w:lineRule="auto"/>
              <w:rPr>
                <w:sz w:val="18"/>
                <w:szCs w:val="18"/>
                <w:vertAlign w:val="subscript"/>
              </w:rPr>
            </w:pPr>
          </w:p>
        </w:tc>
        <w:tc>
          <w:tcPr>
            <w:tcW w:w="1843" w:type="dxa"/>
          </w:tcPr>
          <w:p w14:paraId="6019654F" w14:textId="77777777" w:rsidR="00665A13" w:rsidRPr="008B072F" w:rsidRDefault="00665A13" w:rsidP="008B072F">
            <w:pPr>
              <w:spacing w:after="0" w:line="240" w:lineRule="auto"/>
              <w:rPr>
                <w:sz w:val="18"/>
                <w:szCs w:val="18"/>
              </w:rPr>
            </w:pPr>
            <w:r w:rsidRPr="008B072F">
              <w:rPr>
                <w:sz w:val="18"/>
                <w:szCs w:val="18"/>
              </w:rPr>
              <w:t>50 George Street</w:t>
            </w:r>
          </w:p>
        </w:tc>
        <w:tc>
          <w:tcPr>
            <w:tcW w:w="1130" w:type="dxa"/>
          </w:tcPr>
          <w:p w14:paraId="49506AE7" w14:textId="77777777" w:rsidR="00665A13" w:rsidRPr="008B072F" w:rsidRDefault="00665A13" w:rsidP="008B072F">
            <w:pPr>
              <w:spacing w:after="0" w:line="240" w:lineRule="auto"/>
              <w:rPr>
                <w:sz w:val="18"/>
                <w:szCs w:val="18"/>
              </w:rPr>
            </w:pPr>
            <w:r w:rsidRPr="008B072F">
              <w:rPr>
                <w:sz w:val="18"/>
                <w:szCs w:val="18"/>
              </w:rPr>
              <w:t>8</w:t>
            </w:r>
          </w:p>
        </w:tc>
        <w:tc>
          <w:tcPr>
            <w:tcW w:w="1569" w:type="dxa"/>
          </w:tcPr>
          <w:p w14:paraId="2D220CA4" w14:textId="77777777" w:rsidR="00665A13" w:rsidRPr="008B072F" w:rsidRDefault="00665A13" w:rsidP="008B072F">
            <w:pPr>
              <w:spacing w:after="0" w:line="240" w:lineRule="auto"/>
              <w:rPr>
                <w:sz w:val="18"/>
                <w:szCs w:val="18"/>
              </w:rPr>
            </w:pPr>
            <w:r w:rsidRPr="008B072F">
              <w:rPr>
                <w:sz w:val="18"/>
                <w:szCs w:val="18"/>
              </w:rPr>
              <w:t>Federation Free Classical</w:t>
            </w:r>
          </w:p>
        </w:tc>
        <w:tc>
          <w:tcPr>
            <w:tcW w:w="1278" w:type="dxa"/>
          </w:tcPr>
          <w:p w14:paraId="0E4BB890" w14:textId="77777777" w:rsidR="00665A13" w:rsidRPr="008B072F" w:rsidRDefault="00665A13" w:rsidP="008B072F">
            <w:pPr>
              <w:spacing w:after="0" w:line="240" w:lineRule="auto"/>
              <w:rPr>
                <w:sz w:val="18"/>
                <w:szCs w:val="18"/>
              </w:rPr>
            </w:pPr>
            <w:r w:rsidRPr="008B072F">
              <w:rPr>
                <w:sz w:val="18"/>
                <w:szCs w:val="18"/>
              </w:rPr>
              <w:t>circa 1896</w:t>
            </w:r>
          </w:p>
        </w:tc>
        <w:tc>
          <w:tcPr>
            <w:tcW w:w="3108" w:type="dxa"/>
          </w:tcPr>
          <w:p w14:paraId="09F41CA5" w14:textId="77777777" w:rsidR="00665A13" w:rsidRPr="008B072F" w:rsidRDefault="00665A13" w:rsidP="008B072F">
            <w:pPr>
              <w:spacing w:after="0" w:line="240" w:lineRule="auto"/>
              <w:rPr>
                <w:sz w:val="18"/>
                <w:szCs w:val="18"/>
              </w:rPr>
            </w:pPr>
            <w:r w:rsidRPr="008B072F">
              <w:rPr>
                <w:sz w:val="18"/>
                <w:szCs w:val="18"/>
              </w:rPr>
              <w:t>Municipal Heritage Inventory Cat A. LPS 3 Heritage List (individual).</w:t>
            </w:r>
          </w:p>
          <w:p w14:paraId="74FB9F7C" w14:textId="77777777" w:rsidR="00665A13" w:rsidRPr="008B072F" w:rsidRDefault="00665A13" w:rsidP="008B072F">
            <w:pPr>
              <w:spacing w:after="0" w:line="240" w:lineRule="auto"/>
              <w:rPr>
                <w:sz w:val="18"/>
                <w:szCs w:val="18"/>
              </w:rPr>
            </w:pPr>
            <w:r w:rsidRPr="008B072F">
              <w:rPr>
                <w:sz w:val="18"/>
                <w:szCs w:val="18"/>
              </w:rPr>
              <w:t>Include</w:t>
            </w:r>
            <w:r w:rsidR="001C7F4A">
              <w:rPr>
                <w:sz w:val="18"/>
                <w:szCs w:val="18"/>
              </w:rPr>
              <w:t xml:space="preserve">d within LPS 3 Heritage List as </w:t>
            </w:r>
            <w:r w:rsidRPr="008B072F">
              <w:rPr>
                <w:sz w:val="18"/>
                <w:szCs w:val="18"/>
              </w:rPr>
              <w:t>part of George Street Precinct.</w:t>
            </w:r>
          </w:p>
        </w:tc>
      </w:tr>
      <w:tr w:rsidR="00665A13" w:rsidRPr="00A53749" w14:paraId="499BC574" w14:textId="77777777" w:rsidTr="001C7F4A">
        <w:trPr>
          <w:trHeight w:val="659"/>
        </w:trPr>
        <w:tc>
          <w:tcPr>
            <w:tcW w:w="425" w:type="dxa"/>
          </w:tcPr>
          <w:p w14:paraId="61C0821A" w14:textId="77777777" w:rsidR="00665A13" w:rsidRPr="008B072F" w:rsidRDefault="00665A13" w:rsidP="008B072F">
            <w:pPr>
              <w:spacing w:after="0" w:line="240" w:lineRule="auto"/>
              <w:rPr>
                <w:sz w:val="18"/>
                <w:szCs w:val="18"/>
                <w:vertAlign w:val="subscript"/>
              </w:rPr>
            </w:pPr>
          </w:p>
        </w:tc>
        <w:tc>
          <w:tcPr>
            <w:tcW w:w="1843" w:type="dxa"/>
          </w:tcPr>
          <w:p w14:paraId="314C1310" w14:textId="77777777" w:rsidR="00665A13" w:rsidRPr="008B072F" w:rsidRDefault="00665A13" w:rsidP="008B072F">
            <w:pPr>
              <w:spacing w:after="0" w:line="240" w:lineRule="auto"/>
              <w:rPr>
                <w:sz w:val="18"/>
                <w:szCs w:val="18"/>
              </w:rPr>
            </w:pPr>
            <w:r w:rsidRPr="008B072F">
              <w:rPr>
                <w:sz w:val="18"/>
                <w:szCs w:val="18"/>
              </w:rPr>
              <w:t>64 George Street</w:t>
            </w:r>
          </w:p>
          <w:p w14:paraId="4E840AB4" w14:textId="77777777" w:rsidR="00665A13" w:rsidRPr="008B072F" w:rsidRDefault="00665A13" w:rsidP="008B072F">
            <w:pPr>
              <w:spacing w:after="0" w:line="240" w:lineRule="auto"/>
              <w:rPr>
                <w:sz w:val="18"/>
                <w:szCs w:val="18"/>
              </w:rPr>
            </w:pPr>
          </w:p>
        </w:tc>
        <w:tc>
          <w:tcPr>
            <w:tcW w:w="1130" w:type="dxa"/>
          </w:tcPr>
          <w:p w14:paraId="3A9B7694" w14:textId="77777777" w:rsidR="00665A13" w:rsidRPr="008B072F" w:rsidRDefault="00665A13" w:rsidP="008B072F">
            <w:pPr>
              <w:spacing w:after="0" w:line="240" w:lineRule="auto"/>
              <w:rPr>
                <w:sz w:val="18"/>
                <w:szCs w:val="18"/>
              </w:rPr>
            </w:pPr>
            <w:r w:rsidRPr="008B072F">
              <w:rPr>
                <w:sz w:val="18"/>
                <w:szCs w:val="18"/>
              </w:rPr>
              <w:t>9 &amp; 10</w:t>
            </w:r>
          </w:p>
        </w:tc>
        <w:tc>
          <w:tcPr>
            <w:tcW w:w="1569" w:type="dxa"/>
          </w:tcPr>
          <w:p w14:paraId="7920E7C6" w14:textId="77777777" w:rsidR="00665A13" w:rsidRPr="008B072F" w:rsidRDefault="00665A13" w:rsidP="008B072F">
            <w:pPr>
              <w:spacing w:after="0" w:line="240" w:lineRule="auto"/>
              <w:rPr>
                <w:sz w:val="18"/>
                <w:szCs w:val="18"/>
              </w:rPr>
            </w:pPr>
          </w:p>
        </w:tc>
        <w:tc>
          <w:tcPr>
            <w:tcW w:w="1278" w:type="dxa"/>
          </w:tcPr>
          <w:p w14:paraId="7E68993A" w14:textId="77777777" w:rsidR="00665A13" w:rsidRPr="008B072F" w:rsidRDefault="00665A13" w:rsidP="008B072F">
            <w:pPr>
              <w:spacing w:after="0" w:line="240" w:lineRule="auto"/>
              <w:rPr>
                <w:sz w:val="18"/>
                <w:szCs w:val="18"/>
              </w:rPr>
            </w:pPr>
          </w:p>
        </w:tc>
        <w:tc>
          <w:tcPr>
            <w:tcW w:w="3108" w:type="dxa"/>
          </w:tcPr>
          <w:p w14:paraId="0DCB417B" w14:textId="77777777" w:rsidR="00665A13" w:rsidRPr="008B072F" w:rsidRDefault="00665A13" w:rsidP="008B072F">
            <w:pPr>
              <w:spacing w:after="0" w:line="240" w:lineRule="auto"/>
              <w:rPr>
                <w:sz w:val="18"/>
                <w:szCs w:val="18"/>
              </w:rPr>
            </w:pPr>
            <w:r w:rsidRPr="008B072F">
              <w:rPr>
                <w:sz w:val="18"/>
                <w:szCs w:val="18"/>
              </w:rPr>
              <w:t>No individual listing, however, included within</w:t>
            </w:r>
            <w:r w:rsidR="001C7F4A">
              <w:rPr>
                <w:sz w:val="18"/>
                <w:szCs w:val="18"/>
              </w:rPr>
              <w:t xml:space="preserve"> LPS 3 Heritage List as part of </w:t>
            </w:r>
            <w:r w:rsidRPr="008B072F">
              <w:rPr>
                <w:sz w:val="18"/>
                <w:szCs w:val="18"/>
              </w:rPr>
              <w:t>George Street Precinct.</w:t>
            </w:r>
          </w:p>
        </w:tc>
      </w:tr>
      <w:tr w:rsidR="00665A13" w:rsidRPr="00A53749" w14:paraId="32433F67" w14:textId="77777777" w:rsidTr="001C7F4A">
        <w:trPr>
          <w:trHeight w:val="438"/>
        </w:trPr>
        <w:tc>
          <w:tcPr>
            <w:tcW w:w="425" w:type="dxa"/>
          </w:tcPr>
          <w:p w14:paraId="77F2CEB3" w14:textId="77777777" w:rsidR="00665A13" w:rsidRPr="008B072F" w:rsidRDefault="00665A13" w:rsidP="008B072F">
            <w:pPr>
              <w:spacing w:after="0" w:line="240" w:lineRule="auto"/>
              <w:rPr>
                <w:sz w:val="18"/>
                <w:szCs w:val="18"/>
                <w:vertAlign w:val="subscript"/>
              </w:rPr>
            </w:pPr>
          </w:p>
        </w:tc>
        <w:tc>
          <w:tcPr>
            <w:tcW w:w="1843" w:type="dxa"/>
          </w:tcPr>
          <w:p w14:paraId="38F0A7E2" w14:textId="77777777" w:rsidR="00665A13" w:rsidRPr="008B072F" w:rsidRDefault="00665A13" w:rsidP="008B072F">
            <w:pPr>
              <w:spacing w:after="0" w:line="240" w:lineRule="auto"/>
              <w:rPr>
                <w:sz w:val="18"/>
                <w:szCs w:val="18"/>
              </w:rPr>
            </w:pPr>
            <w:r w:rsidRPr="008B072F">
              <w:rPr>
                <w:sz w:val="18"/>
                <w:szCs w:val="18"/>
              </w:rPr>
              <w:t>66 George Street</w:t>
            </w:r>
          </w:p>
          <w:p w14:paraId="03655083" w14:textId="77777777" w:rsidR="00665A13" w:rsidRPr="008B072F" w:rsidRDefault="00665A13" w:rsidP="008B072F">
            <w:pPr>
              <w:spacing w:after="0" w:line="240" w:lineRule="auto"/>
              <w:rPr>
                <w:sz w:val="18"/>
                <w:szCs w:val="18"/>
              </w:rPr>
            </w:pPr>
          </w:p>
        </w:tc>
        <w:tc>
          <w:tcPr>
            <w:tcW w:w="1130" w:type="dxa"/>
          </w:tcPr>
          <w:p w14:paraId="60CE6909" w14:textId="77777777" w:rsidR="00665A13" w:rsidRPr="008B072F" w:rsidRDefault="00665A13" w:rsidP="008B072F">
            <w:pPr>
              <w:spacing w:after="0" w:line="240" w:lineRule="auto"/>
              <w:rPr>
                <w:sz w:val="18"/>
                <w:szCs w:val="18"/>
              </w:rPr>
            </w:pPr>
            <w:r w:rsidRPr="008B072F">
              <w:rPr>
                <w:sz w:val="18"/>
                <w:szCs w:val="18"/>
              </w:rPr>
              <w:t>601</w:t>
            </w:r>
          </w:p>
          <w:p w14:paraId="69A067FE" w14:textId="77777777" w:rsidR="00665A13" w:rsidRPr="008B072F" w:rsidRDefault="00665A13" w:rsidP="008B072F">
            <w:pPr>
              <w:spacing w:after="0" w:line="240" w:lineRule="auto"/>
              <w:rPr>
                <w:sz w:val="18"/>
                <w:szCs w:val="18"/>
              </w:rPr>
            </w:pPr>
            <w:r w:rsidRPr="008B072F">
              <w:rPr>
                <w:sz w:val="18"/>
                <w:szCs w:val="18"/>
              </w:rPr>
              <w:t>(Lot 1)</w:t>
            </w:r>
          </w:p>
        </w:tc>
        <w:tc>
          <w:tcPr>
            <w:tcW w:w="1569" w:type="dxa"/>
          </w:tcPr>
          <w:p w14:paraId="49C2606D" w14:textId="77777777" w:rsidR="00665A13" w:rsidRPr="008B072F" w:rsidRDefault="00665A13" w:rsidP="008B072F">
            <w:pPr>
              <w:spacing w:after="0" w:line="240" w:lineRule="auto"/>
              <w:rPr>
                <w:sz w:val="18"/>
                <w:szCs w:val="18"/>
              </w:rPr>
            </w:pPr>
            <w:r w:rsidRPr="008B072F">
              <w:rPr>
                <w:sz w:val="18"/>
                <w:szCs w:val="18"/>
              </w:rPr>
              <w:t>Federation Free</w:t>
            </w:r>
          </w:p>
          <w:p w14:paraId="40FA17AE" w14:textId="77777777" w:rsidR="00665A13" w:rsidRPr="008B072F" w:rsidRDefault="00665A13" w:rsidP="008B072F">
            <w:pPr>
              <w:spacing w:after="0" w:line="240" w:lineRule="auto"/>
              <w:rPr>
                <w:sz w:val="18"/>
                <w:szCs w:val="18"/>
              </w:rPr>
            </w:pPr>
            <w:r w:rsidRPr="008B072F">
              <w:rPr>
                <w:sz w:val="18"/>
                <w:szCs w:val="18"/>
              </w:rPr>
              <w:t>Classical</w:t>
            </w:r>
          </w:p>
        </w:tc>
        <w:tc>
          <w:tcPr>
            <w:tcW w:w="1278" w:type="dxa"/>
          </w:tcPr>
          <w:p w14:paraId="556B3F22" w14:textId="77777777" w:rsidR="00665A13" w:rsidRPr="008B072F" w:rsidRDefault="00665A13" w:rsidP="008B072F">
            <w:pPr>
              <w:spacing w:after="0" w:line="240" w:lineRule="auto"/>
              <w:rPr>
                <w:sz w:val="18"/>
                <w:szCs w:val="18"/>
              </w:rPr>
            </w:pPr>
            <w:r w:rsidRPr="008B072F">
              <w:rPr>
                <w:sz w:val="18"/>
                <w:szCs w:val="18"/>
              </w:rPr>
              <w:t>circa 1883</w:t>
            </w:r>
          </w:p>
        </w:tc>
        <w:tc>
          <w:tcPr>
            <w:tcW w:w="3108" w:type="dxa"/>
          </w:tcPr>
          <w:p w14:paraId="0E61DBCA" w14:textId="77777777" w:rsidR="00665A13" w:rsidRPr="008B072F" w:rsidRDefault="00665A13" w:rsidP="008B072F">
            <w:pPr>
              <w:spacing w:after="0" w:line="240" w:lineRule="auto"/>
              <w:rPr>
                <w:sz w:val="18"/>
                <w:szCs w:val="18"/>
              </w:rPr>
            </w:pPr>
            <w:r w:rsidRPr="008B072F">
              <w:rPr>
                <w:sz w:val="18"/>
                <w:szCs w:val="18"/>
              </w:rPr>
              <w:t>Municipal Heritage Inventory Cat A.</w:t>
            </w:r>
          </w:p>
          <w:p w14:paraId="5B397F17" w14:textId="77777777" w:rsidR="00665A13" w:rsidRDefault="00665A13" w:rsidP="008B072F">
            <w:pPr>
              <w:spacing w:after="0" w:line="240" w:lineRule="auto"/>
              <w:rPr>
                <w:sz w:val="18"/>
                <w:szCs w:val="18"/>
              </w:rPr>
            </w:pPr>
            <w:r w:rsidRPr="008B072F">
              <w:rPr>
                <w:sz w:val="18"/>
                <w:szCs w:val="18"/>
              </w:rPr>
              <w:t>LPS 3 Heritage List (individual).</w:t>
            </w:r>
          </w:p>
          <w:p w14:paraId="47CD83BA" w14:textId="77777777" w:rsidR="008B072F" w:rsidRPr="008B072F" w:rsidRDefault="008B072F" w:rsidP="008B072F">
            <w:pPr>
              <w:spacing w:after="0" w:line="240" w:lineRule="auto"/>
              <w:rPr>
                <w:sz w:val="18"/>
                <w:szCs w:val="18"/>
              </w:rPr>
            </w:pPr>
            <w:r>
              <w:rPr>
                <w:sz w:val="18"/>
                <w:szCs w:val="18"/>
              </w:rPr>
              <w:t>Included within LPS 3 Heritage List as part of George Street Precinct.</w:t>
            </w:r>
          </w:p>
        </w:tc>
      </w:tr>
      <w:tr w:rsidR="00665A13" w:rsidRPr="00A53749" w14:paraId="55A3741D" w14:textId="77777777" w:rsidTr="001C7F4A">
        <w:trPr>
          <w:trHeight w:val="438"/>
        </w:trPr>
        <w:tc>
          <w:tcPr>
            <w:tcW w:w="2268" w:type="dxa"/>
            <w:gridSpan w:val="2"/>
            <w:shd w:val="clear" w:color="auto" w:fill="D9D9D9"/>
          </w:tcPr>
          <w:p w14:paraId="58E41B2C" w14:textId="77777777" w:rsidR="00665A13" w:rsidRPr="00A42BE9" w:rsidRDefault="00665A13" w:rsidP="00A9290F">
            <w:pPr>
              <w:pStyle w:val="TableParagraph"/>
              <w:spacing w:before="1"/>
              <w:ind w:left="484"/>
              <w:rPr>
                <w:rFonts w:asciiTheme="minorHAnsi" w:hAnsiTheme="minorHAnsi" w:cstheme="minorHAnsi"/>
                <w:b/>
                <w:sz w:val="18"/>
                <w:szCs w:val="18"/>
              </w:rPr>
            </w:pPr>
            <w:r w:rsidRPr="00A42BE9">
              <w:rPr>
                <w:rFonts w:asciiTheme="minorHAnsi" w:hAnsiTheme="minorHAnsi" w:cstheme="minorHAnsi"/>
                <w:b/>
                <w:sz w:val="18"/>
                <w:szCs w:val="18"/>
              </w:rPr>
              <w:lastRenderedPageBreak/>
              <w:t>Property Address</w:t>
            </w:r>
          </w:p>
        </w:tc>
        <w:tc>
          <w:tcPr>
            <w:tcW w:w="1130" w:type="dxa"/>
            <w:shd w:val="clear" w:color="auto" w:fill="D9D9D9"/>
          </w:tcPr>
          <w:p w14:paraId="41F34F23" w14:textId="77777777" w:rsidR="00665A13" w:rsidRPr="00A42BE9" w:rsidRDefault="00665A13" w:rsidP="00A9290F">
            <w:pPr>
              <w:pStyle w:val="TableParagraph"/>
              <w:spacing w:before="1"/>
              <w:ind w:left="95" w:right="88"/>
              <w:jc w:val="center"/>
              <w:rPr>
                <w:rFonts w:asciiTheme="minorHAnsi" w:hAnsiTheme="minorHAnsi" w:cstheme="minorHAnsi"/>
                <w:b/>
                <w:sz w:val="18"/>
                <w:szCs w:val="18"/>
              </w:rPr>
            </w:pPr>
            <w:r w:rsidRPr="00A42BE9">
              <w:rPr>
                <w:rFonts w:asciiTheme="minorHAnsi" w:hAnsiTheme="minorHAnsi" w:cstheme="minorHAnsi"/>
                <w:b/>
                <w:sz w:val="18"/>
                <w:szCs w:val="18"/>
              </w:rPr>
              <w:t>Lot No</w:t>
            </w:r>
          </w:p>
        </w:tc>
        <w:tc>
          <w:tcPr>
            <w:tcW w:w="1569" w:type="dxa"/>
            <w:shd w:val="clear" w:color="auto" w:fill="D9D9D9"/>
          </w:tcPr>
          <w:p w14:paraId="2E2FB7A0" w14:textId="77777777" w:rsidR="00665A13" w:rsidRPr="00A42BE9" w:rsidRDefault="00665A13" w:rsidP="00A9290F">
            <w:pPr>
              <w:pStyle w:val="TableParagraph"/>
              <w:spacing w:before="1" w:line="219" w:lineRule="exact"/>
              <w:ind w:left="183" w:right="174"/>
              <w:jc w:val="center"/>
              <w:rPr>
                <w:rFonts w:asciiTheme="minorHAnsi" w:hAnsiTheme="minorHAnsi" w:cstheme="minorHAnsi"/>
                <w:b/>
                <w:sz w:val="18"/>
                <w:szCs w:val="18"/>
              </w:rPr>
            </w:pPr>
            <w:r w:rsidRPr="00A42BE9">
              <w:rPr>
                <w:rFonts w:asciiTheme="minorHAnsi" w:hAnsiTheme="minorHAnsi" w:cstheme="minorHAnsi"/>
                <w:b/>
                <w:sz w:val="18"/>
                <w:szCs w:val="18"/>
              </w:rPr>
              <w:t>Architectural</w:t>
            </w:r>
          </w:p>
          <w:p w14:paraId="77A43AA8" w14:textId="77777777" w:rsidR="00665A13" w:rsidRPr="00A42BE9" w:rsidRDefault="00665A13" w:rsidP="00A9290F">
            <w:pPr>
              <w:pStyle w:val="TableParagraph"/>
              <w:spacing w:line="199" w:lineRule="exact"/>
              <w:ind w:left="181" w:right="174"/>
              <w:jc w:val="center"/>
              <w:rPr>
                <w:rFonts w:asciiTheme="minorHAnsi" w:hAnsiTheme="minorHAnsi" w:cstheme="minorHAnsi"/>
                <w:b/>
                <w:sz w:val="18"/>
                <w:szCs w:val="18"/>
              </w:rPr>
            </w:pPr>
            <w:r w:rsidRPr="00A42BE9">
              <w:rPr>
                <w:rFonts w:asciiTheme="minorHAnsi" w:hAnsiTheme="minorHAnsi" w:cstheme="minorHAnsi"/>
                <w:b/>
                <w:sz w:val="18"/>
                <w:szCs w:val="18"/>
              </w:rPr>
              <w:t>Style</w:t>
            </w:r>
          </w:p>
        </w:tc>
        <w:tc>
          <w:tcPr>
            <w:tcW w:w="1278" w:type="dxa"/>
            <w:shd w:val="clear" w:color="auto" w:fill="D9D9D9"/>
          </w:tcPr>
          <w:p w14:paraId="726B2E72" w14:textId="77777777" w:rsidR="00665A13" w:rsidRPr="00A42BE9" w:rsidRDefault="00665A13" w:rsidP="00A9290F">
            <w:pPr>
              <w:pStyle w:val="TableParagraph"/>
              <w:spacing w:before="1" w:line="219" w:lineRule="exact"/>
              <w:ind w:left="162" w:right="152"/>
              <w:jc w:val="center"/>
              <w:rPr>
                <w:rFonts w:asciiTheme="minorHAnsi" w:hAnsiTheme="minorHAnsi" w:cstheme="minorHAnsi"/>
                <w:b/>
                <w:sz w:val="18"/>
                <w:szCs w:val="18"/>
              </w:rPr>
            </w:pPr>
            <w:r w:rsidRPr="00A42BE9">
              <w:rPr>
                <w:rFonts w:asciiTheme="minorHAnsi" w:hAnsiTheme="minorHAnsi" w:cstheme="minorHAnsi"/>
                <w:b/>
                <w:sz w:val="18"/>
                <w:szCs w:val="18"/>
              </w:rPr>
              <w:t>Constructed</w:t>
            </w:r>
          </w:p>
          <w:p w14:paraId="14E1CF84" w14:textId="77777777" w:rsidR="00665A13" w:rsidRPr="00A42BE9" w:rsidRDefault="00665A13" w:rsidP="00A9290F">
            <w:pPr>
              <w:pStyle w:val="TableParagraph"/>
              <w:spacing w:line="199" w:lineRule="exact"/>
              <w:ind w:left="162" w:right="151"/>
              <w:jc w:val="center"/>
              <w:rPr>
                <w:rFonts w:asciiTheme="minorHAnsi" w:hAnsiTheme="minorHAnsi" w:cstheme="minorHAnsi"/>
                <w:b/>
                <w:sz w:val="18"/>
                <w:szCs w:val="18"/>
              </w:rPr>
            </w:pPr>
            <w:r w:rsidRPr="00A42BE9">
              <w:rPr>
                <w:rFonts w:asciiTheme="minorHAnsi" w:hAnsiTheme="minorHAnsi" w:cstheme="minorHAnsi"/>
                <w:b/>
                <w:sz w:val="18"/>
                <w:szCs w:val="18"/>
              </w:rPr>
              <w:t>(circa)</w:t>
            </w:r>
          </w:p>
        </w:tc>
        <w:tc>
          <w:tcPr>
            <w:tcW w:w="3108" w:type="dxa"/>
            <w:shd w:val="clear" w:color="auto" w:fill="D9D9D9"/>
          </w:tcPr>
          <w:p w14:paraId="35E2B76C" w14:textId="77777777" w:rsidR="00665A13" w:rsidRPr="00A42BE9" w:rsidRDefault="00665A13" w:rsidP="00A9290F">
            <w:pPr>
              <w:pStyle w:val="TableParagraph"/>
              <w:spacing w:before="1"/>
              <w:ind w:left="975"/>
              <w:rPr>
                <w:rFonts w:asciiTheme="minorHAnsi" w:hAnsiTheme="minorHAnsi" w:cstheme="minorHAnsi"/>
                <w:b/>
                <w:sz w:val="18"/>
                <w:szCs w:val="18"/>
              </w:rPr>
            </w:pPr>
            <w:r w:rsidRPr="00A42BE9">
              <w:rPr>
                <w:rFonts w:asciiTheme="minorHAnsi" w:hAnsiTheme="minorHAnsi" w:cstheme="minorHAnsi"/>
                <w:b/>
                <w:sz w:val="18"/>
                <w:szCs w:val="18"/>
              </w:rPr>
              <w:t>Heritage Listing</w:t>
            </w:r>
          </w:p>
        </w:tc>
      </w:tr>
      <w:tr w:rsidR="00665A13" w:rsidRPr="00A53749" w14:paraId="3A4180CE" w14:textId="77777777" w:rsidTr="001C7F4A">
        <w:trPr>
          <w:trHeight w:val="657"/>
        </w:trPr>
        <w:tc>
          <w:tcPr>
            <w:tcW w:w="425" w:type="dxa"/>
          </w:tcPr>
          <w:p w14:paraId="7AAA5A1E"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74502C14" w14:textId="77777777" w:rsidR="00665A13" w:rsidRPr="00A42BE9" w:rsidRDefault="00665A13" w:rsidP="00A42BE9">
            <w:pPr>
              <w:pStyle w:val="TableParagraph"/>
              <w:spacing w:line="219" w:lineRule="exact"/>
              <w:ind w:left="12"/>
              <w:rPr>
                <w:rFonts w:asciiTheme="minorHAnsi" w:hAnsiTheme="minorHAnsi" w:cstheme="minorHAnsi"/>
                <w:sz w:val="18"/>
                <w:szCs w:val="18"/>
              </w:rPr>
            </w:pPr>
            <w:r w:rsidRPr="00A42BE9">
              <w:rPr>
                <w:rFonts w:asciiTheme="minorHAnsi" w:hAnsiTheme="minorHAnsi" w:cstheme="minorHAnsi"/>
                <w:sz w:val="18"/>
                <w:szCs w:val="18"/>
              </w:rPr>
              <w:t>68 George Street</w:t>
            </w:r>
          </w:p>
        </w:tc>
        <w:tc>
          <w:tcPr>
            <w:tcW w:w="1130" w:type="dxa"/>
          </w:tcPr>
          <w:p w14:paraId="42B7ECC8" w14:textId="77777777" w:rsidR="00665A13" w:rsidRPr="00A42BE9" w:rsidRDefault="00665A13" w:rsidP="00A9290F">
            <w:pPr>
              <w:pStyle w:val="TableParagraph"/>
              <w:spacing w:line="219" w:lineRule="exact"/>
              <w:ind w:left="94" w:right="88"/>
              <w:jc w:val="center"/>
              <w:rPr>
                <w:rFonts w:asciiTheme="minorHAnsi" w:hAnsiTheme="minorHAnsi" w:cstheme="minorHAnsi"/>
                <w:sz w:val="18"/>
                <w:szCs w:val="18"/>
              </w:rPr>
            </w:pPr>
            <w:r w:rsidRPr="00A42BE9">
              <w:rPr>
                <w:rFonts w:asciiTheme="minorHAnsi" w:hAnsiTheme="minorHAnsi" w:cstheme="minorHAnsi"/>
                <w:sz w:val="18"/>
                <w:szCs w:val="18"/>
              </w:rPr>
              <w:t>601</w:t>
            </w:r>
          </w:p>
          <w:p w14:paraId="250395B1" w14:textId="77777777" w:rsidR="00665A13" w:rsidRPr="00A42BE9" w:rsidRDefault="00665A13" w:rsidP="00A9290F">
            <w:pPr>
              <w:pStyle w:val="TableParagraph"/>
              <w:spacing w:before="1"/>
              <w:ind w:left="95" w:right="84"/>
              <w:jc w:val="center"/>
              <w:rPr>
                <w:rFonts w:asciiTheme="minorHAnsi" w:hAnsiTheme="minorHAnsi" w:cstheme="minorHAnsi"/>
                <w:sz w:val="18"/>
                <w:szCs w:val="18"/>
              </w:rPr>
            </w:pPr>
            <w:r w:rsidRPr="00A42BE9">
              <w:rPr>
                <w:rFonts w:asciiTheme="minorHAnsi" w:hAnsiTheme="minorHAnsi" w:cstheme="minorHAnsi"/>
                <w:sz w:val="18"/>
                <w:szCs w:val="18"/>
              </w:rPr>
              <w:t>(Lot 2)</w:t>
            </w:r>
          </w:p>
        </w:tc>
        <w:tc>
          <w:tcPr>
            <w:tcW w:w="1569" w:type="dxa"/>
          </w:tcPr>
          <w:p w14:paraId="15926365" w14:textId="77777777" w:rsidR="00665A13" w:rsidRPr="00A42BE9" w:rsidRDefault="00665A13" w:rsidP="00A9290F">
            <w:pPr>
              <w:pStyle w:val="TableParagraph"/>
              <w:ind w:left="0"/>
              <w:rPr>
                <w:rFonts w:asciiTheme="minorHAnsi" w:hAnsiTheme="minorHAnsi" w:cstheme="minorHAnsi"/>
                <w:sz w:val="18"/>
                <w:szCs w:val="18"/>
              </w:rPr>
            </w:pPr>
          </w:p>
        </w:tc>
        <w:tc>
          <w:tcPr>
            <w:tcW w:w="1278" w:type="dxa"/>
          </w:tcPr>
          <w:p w14:paraId="2BFBE718" w14:textId="77777777" w:rsidR="00665A13" w:rsidRPr="00A42BE9" w:rsidRDefault="00665A13" w:rsidP="00A9290F">
            <w:pPr>
              <w:pStyle w:val="TableParagraph"/>
              <w:ind w:left="0"/>
              <w:rPr>
                <w:rFonts w:asciiTheme="minorHAnsi" w:hAnsiTheme="minorHAnsi" w:cstheme="minorHAnsi"/>
                <w:sz w:val="18"/>
                <w:szCs w:val="18"/>
              </w:rPr>
            </w:pPr>
          </w:p>
        </w:tc>
        <w:tc>
          <w:tcPr>
            <w:tcW w:w="3108" w:type="dxa"/>
          </w:tcPr>
          <w:p w14:paraId="79DD4F8B" w14:textId="77777777" w:rsidR="00665A13" w:rsidRPr="00A42BE9" w:rsidRDefault="00665A13" w:rsidP="00A42BE9">
            <w:pPr>
              <w:pStyle w:val="TableParagraph"/>
              <w:ind w:left="109"/>
              <w:rPr>
                <w:rFonts w:asciiTheme="minorHAnsi" w:hAnsiTheme="minorHAnsi" w:cstheme="minorHAnsi"/>
                <w:sz w:val="18"/>
                <w:szCs w:val="18"/>
              </w:rPr>
            </w:pPr>
            <w:r w:rsidRPr="00A42BE9">
              <w:rPr>
                <w:rFonts w:asciiTheme="minorHAnsi" w:hAnsiTheme="minorHAnsi" w:cstheme="minorHAnsi"/>
                <w:sz w:val="18"/>
                <w:szCs w:val="18"/>
              </w:rPr>
              <w:t>No individual listing, however, included within LPS 3 Heritage List as part of</w:t>
            </w:r>
            <w:r w:rsidR="00A42BE9" w:rsidRPr="00A42BE9">
              <w:rPr>
                <w:rFonts w:asciiTheme="minorHAnsi" w:hAnsiTheme="minorHAnsi" w:cstheme="minorHAnsi"/>
                <w:sz w:val="18"/>
                <w:szCs w:val="18"/>
              </w:rPr>
              <w:t xml:space="preserve"> </w:t>
            </w:r>
            <w:r w:rsidRPr="00A42BE9">
              <w:rPr>
                <w:rFonts w:asciiTheme="minorHAnsi" w:hAnsiTheme="minorHAnsi" w:cstheme="minorHAnsi"/>
                <w:sz w:val="18"/>
                <w:szCs w:val="18"/>
              </w:rPr>
              <w:t>George Street Precinct.</w:t>
            </w:r>
          </w:p>
        </w:tc>
      </w:tr>
      <w:tr w:rsidR="00665A13" w:rsidRPr="00A53749" w14:paraId="5074C155" w14:textId="77777777" w:rsidTr="001C7F4A">
        <w:trPr>
          <w:trHeight w:val="880"/>
        </w:trPr>
        <w:tc>
          <w:tcPr>
            <w:tcW w:w="425" w:type="dxa"/>
          </w:tcPr>
          <w:p w14:paraId="7DF73BAB"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10B9115A" w14:textId="77777777" w:rsidR="00665A13" w:rsidRPr="00A42BE9" w:rsidRDefault="00665A13" w:rsidP="00A42BE9">
            <w:pPr>
              <w:pStyle w:val="TableParagraph"/>
              <w:spacing w:before="1"/>
              <w:ind w:left="12" w:right="463"/>
              <w:rPr>
                <w:rFonts w:asciiTheme="minorHAnsi" w:hAnsiTheme="minorHAnsi" w:cstheme="minorHAnsi"/>
                <w:sz w:val="18"/>
                <w:szCs w:val="18"/>
              </w:rPr>
            </w:pPr>
            <w:r w:rsidRPr="00A42BE9">
              <w:rPr>
                <w:rFonts w:asciiTheme="minorHAnsi" w:hAnsiTheme="minorHAnsi" w:cstheme="minorHAnsi"/>
                <w:sz w:val="18"/>
                <w:szCs w:val="18"/>
              </w:rPr>
              <w:t>76 &amp; 76B George Street</w:t>
            </w:r>
          </w:p>
        </w:tc>
        <w:tc>
          <w:tcPr>
            <w:tcW w:w="1130" w:type="dxa"/>
          </w:tcPr>
          <w:p w14:paraId="26DB517C" w14:textId="77777777" w:rsidR="00665A13" w:rsidRPr="00A42BE9" w:rsidRDefault="00665A13" w:rsidP="00A9290F">
            <w:pPr>
              <w:pStyle w:val="TableParagraph"/>
              <w:spacing w:before="1"/>
              <w:ind w:left="95" w:right="88"/>
              <w:jc w:val="center"/>
              <w:rPr>
                <w:rFonts w:asciiTheme="minorHAnsi" w:hAnsiTheme="minorHAnsi" w:cstheme="minorHAnsi"/>
                <w:sz w:val="18"/>
                <w:szCs w:val="18"/>
              </w:rPr>
            </w:pPr>
            <w:r w:rsidRPr="00A42BE9">
              <w:rPr>
                <w:rFonts w:asciiTheme="minorHAnsi" w:hAnsiTheme="minorHAnsi" w:cstheme="minorHAnsi"/>
                <w:sz w:val="18"/>
                <w:szCs w:val="18"/>
              </w:rPr>
              <w:t>602</w:t>
            </w:r>
          </w:p>
        </w:tc>
        <w:tc>
          <w:tcPr>
            <w:tcW w:w="1569" w:type="dxa"/>
          </w:tcPr>
          <w:p w14:paraId="46D1C6D5" w14:textId="77777777" w:rsidR="00665A13" w:rsidRPr="00A42BE9" w:rsidRDefault="00665A13" w:rsidP="00A42BE9">
            <w:pPr>
              <w:pStyle w:val="TableParagraph"/>
              <w:spacing w:before="1"/>
              <w:ind w:left="161" w:right="173"/>
              <w:rPr>
                <w:rFonts w:asciiTheme="minorHAnsi" w:hAnsiTheme="minorHAnsi" w:cstheme="minorHAnsi"/>
                <w:sz w:val="18"/>
                <w:szCs w:val="18"/>
              </w:rPr>
            </w:pPr>
            <w:r w:rsidRPr="00A42BE9">
              <w:rPr>
                <w:rFonts w:asciiTheme="minorHAnsi" w:hAnsiTheme="minorHAnsi" w:cstheme="minorHAnsi"/>
                <w:sz w:val="18"/>
                <w:szCs w:val="18"/>
              </w:rPr>
              <w:t>Federation Free Classical</w:t>
            </w:r>
          </w:p>
        </w:tc>
        <w:tc>
          <w:tcPr>
            <w:tcW w:w="1278" w:type="dxa"/>
          </w:tcPr>
          <w:p w14:paraId="78C5A979" w14:textId="77777777" w:rsidR="00665A13" w:rsidRPr="00A42BE9" w:rsidRDefault="00665A13" w:rsidP="00A9290F">
            <w:pPr>
              <w:pStyle w:val="TableParagraph"/>
              <w:spacing w:before="1"/>
              <w:ind w:left="162" w:right="148"/>
              <w:jc w:val="center"/>
              <w:rPr>
                <w:rFonts w:asciiTheme="minorHAnsi" w:hAnsiTheme="minorHAnsi" w:cstheme="minorHAnsi"/>
                <w:sz w:val="18"/>
                <w:szCs w:val="18"/>
              </w:rPr>
            </w:pPr>
            <w:r w:rsidRPr="00A42BE9">
              <w:rPr>
                <w:rFonts w:asciiTheme="minorHAnsi" w:hAnsiTheme="minorHAnsi" w:cstheme="minorHAnsi"/>
                <w:sz w:val="18"/>
                <w:szCs w:val="18"/>
              </w:rPr>
              <w:t>circa 1896</w:t>
            </w:r>
          </w:p>
        </w:tc>
        <w:tc>
          <w:tcPr>
            <w:tcW w:w="3108" w:type="dxa"/>
          </w:tcPr>
          <w:p w14:paraId="52038DD4" w14:textId="77777777" w:rsidR="00665A13" w:rsidRPr="00A42BE9" w:rsidRDefault="00665A13" w:rsidP="00A9290F">
            <w:pPr>
              <w:pStyle w:val="TableParagraph"/>
              <w:spacing w:before="1"/>
              <w:ind w:left="109" w:right="370" w:hanging="1"/>
              <w:rPr>
                <w:rFonts w:asciiTheme="minorHAnsi" w:hAnsiTheme="minorHAnsi" w:cstheme="minorHAnsi"/>
                <w:sz w:val="18"/>
                <w:szCs w:val="18"/>
              </w:rPr>
            </w:pPr>
            <w:r w:rsidRPr="00A42BE9">
              <w:rPr>
                <w:rFonts w:asciiTheme="minorHAnsi" w:hAnsiTheme="minorHAnsi" w:cstheme="minorHAnsi"/>
                <w:sz w:val="18"/>
                <w:szCs w:val="18"/>
              </w:rPr>
              <w:t>Municipal Heritage Inventory Cat B. LPS 3 Heritage List (individual).</w:t>
            </w:r>
          </w:p>
          <w:p w14:paraId="6D64D60E" w14:textId="77777777" w:rsidR="00665A13" w:rsidRPr="00A42BE9" w:rsidRDefault="00665A13" w:rsidP="00A42BE9">
            <w:pPr>
              <w:pStyle w:val="TableParagraph"/>
              <w:spacing w:line="219" w:lineRule="exact"/>
              <w:ind w:left="109"/>
              <w:rPr>
                <w:rFonts w:asciiTheme="minorHAnsi" w:hAnsiTheme="minorHAnsi" w:cstheme="minorHAnsi"/>
                <w:sz w:val="18"/>
                <w:szCs w:val="18"/>
              </w:rPr>
            </w:pPr>
            <w:r w:rsidRPr="00A42BE9">
              <w:rPr>
                <w:rFonts w:asciiTheme="minorHAnsi" w:hAnsiTheme="minorHAnsi" w:cstheme="minorHAnsi"/>
                <w:sz w:val="18"/>
                <w:szCs w:val="18"/>
              </w:rPr>
              <w:t>Included within LPS 3 Heritage List as</w:t>
            </w:r>
            <w:r w:rsidR="00A42BE9" w:rsidRPr="00A42BE9">
              <w:rPr>
                <w:rFonts w:asciiTheme="minorHAnsi" w:hAnsiTheme="minorHAnsi" w:cstheme="minorHAnsi"/>
                <w:sz w:val="18"/>
                <w:szCs w:val="18"/>
              </w:rPr>
              <w:t xml:space="preserve"> </w:t>
            </w:r>
            <w:r w:rsidRPr="00A42BE9">
              <w:rPr>
                <w:rFonts w:asciiTheme="minorHAnsi" w:hAnsiTheme="minorHAnsi" w:cstheme="minorHAnsi"/>
                <w:sz w:val="18"/>
                <w:szCs w:val="18"/>
              </w:rPr>
              <w:t>part of George Street Precinct.</w:t>
            </w:r>
          </w:p>
        </w:tc>
      </w:tr>
      <w:tr w:rsidR="00665A13" w:rsidRPr="00A53749" w14:paraId="1FB8B0DD" w14:textId="77777777" w:rsidTr="001C7F4A">
        <w:trPr>
          <w:trHeight w:val="659"/>
        </w:trPr>
        <w:tc>
          <w:tcPr>
            <w:tcW w:w="425" w:type="dxa"/>
          </w:tcPr>
          <w:p w14:paraId="2A29C999"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2027C5C1" w14:textId="77777777" w:rsidR="00665A13" w:rsidRPr="00A42BE9" w:rsidRDefault="00665A13" w:rsidP="00A42BE9">
            <w:pPr>
              <w:pStyle w:val="TableParagraph"/>
              <w:spacing w:line="219" w:lineRule="exact"/>
              <w:ind w:left="12"/>
              <w:rPr>
                <w:rFonts w:asciiTheme="minorHAnsi" w:hAnsiTheme="minorHAnsi" w:cstheme="minorHAnsi"/>
                <w:sz w:val="18"/>
                <w:szCs w:val="18"/>
              </w:rPr>
            </w:pPr>
            <w:r w:rsidRPr="00A42BE9">
              <w:rPr>
                <w:rFonts w:asciiTheme="minorHAnsi" w:hAnsiTheme="minorHAnsi" w:cstheme="minorHAnsi"/>
                <w:sz w:val="18"/>
                <w:szCs w:val="18"/>
              </w:rPr>
              <w:t>36 Sewell Street</w:t>
            </w:r>
          </w:p>
          <w:p w14:paraId="30DA486B" w14:textId="77777777" w:rsidR="00665A13" w:rsidRPr="00A42BE9" w:rsidRDefault="00665A13" w:rsidP="00A42BE9">
            <w:pPr>
              <w:pStyle w:val="TableParagraph"/>
              <w:spacing w:before="1"/>
              <w:ind w:left="12"/>
              <w:rPr>
                <w:rFonts w:asciiTheme="minorHAnsi" w:hAnsiTheme="minorHAnsi" w:cstheme="minorHAnsi"/>
                <w:sz w:val="18"/>
                <w:szCs w:val="18"/>
              </w:rPr>
            </w:pPr>
          </w:p>
        </w:tc>
        <w:tc>
          <w:tcPr>
            <w:tcW w:w="1130" w:type="dxa"/>
          </w:tcPr>
          <w:p w14:paraId="4118F967" w14:textId="77777777" w:rsidR="00665A13" w:rsidRPr="00A42BE9" w:rsidRDefault="00665A13" w:rsidP="00A9290F">
            <w:pPr>
              <w:pStyle w:val="TableParagraph"/>
              <w:spacing w:line="219" w:lineRule="exact"/>
              <w:ind w:left="95" w:right="88"/>
              <w:jc w:val="center"/>
              <w:rPr>
                <w:rFonts w:asciiTheme="minorHAnsi" w:hAnsiTheme="minorHAnsi" w:cstheme="minorHAnsi"/>
                <w:sz w:val="18"/>
                <w:szCs w:val="18"/>
              </w:rPr>
            </w:pPr>
            <w:r w:rsidRPr="00A42BE9">
              <w:rPr>
                <w:rFonts w:asciiTheme="minorHAnsi" w:hAnsiTheme="minorHAnsi" w:cstheme="minorHAnsi"/>
                <w:sz w:val="18"/>
                <w:szCs w:val="18"/>
              </w:rPr>
              <w:t>532</w:t>
            </w:r>
          </w:p>
        </w:tc>
        <w:tc>
          <w:tcPr>
            <w:tcW w:w="1569" w:type="dxa"/>
          </w:tcPr>
          <w:p w14:paraId="7624B7A9" w14:textId="77777777" w:rsidR="00665A13" w:rsidRPr="00A42BE9" w:rsidRDefault="00665A13" w:rsidP="00A42BE9">
            <w:pPr>
              <w:pStyle w:val="TableParagraph"/>
              <w:ind w:left="161" w:right="357"/>
              <w:rPr>
                <w:rFonts w:asciiTheme="minorHAnsi" w:hAnsiTheme="minorHAnsi" w:cstheme="minorHAnsi"/>
                <w:sz w:val="18"/>
                <w:szCs w:val="18"/>
              </w:rPr>
            </w:pPr>
            <w:r w:rsidRPr="00A42BE9">
              <w:rPr>
                <w:rFonts w:asciiTheme="minorHAnsi" w:hAnsiTheme="minorHAnsi" w:cstheme="minorHAnsi"/>
                <w:sz w:val="18"/>
                <w:szCs w:val="18"/>
              </w:rPr>
              <w:t>Federation Bungalow</w:t>
            </w:r>
          </w:p>
        </w:tc>
        <w:tc>
          <w:tcPr>
            <w:tcW w:w="1278" w:type="dxa"/>
          </w:tcPr>
          <w:p w14:paraId="79A6C707" w14:textId="77777777" w:rsidR="00665A13" w:rsidRPr="00A42BE9" w:rsidRDefault="00665A13" w:rsidP="00A9290F">
            <w:pPr>
              <w:pStyle w:val="TableParagraph"/>
              <w:spacing w:line="219" w:lineRule="exact"/>
              <w:ind w:left="162" w:right="148"/>
              <w:jc w:val="center"/>
              <w:rPr>
                <w:rFonts w:asciiTheme="minorHAnsi" w:hAnsiTheme="minorHAnsi" w:cstheme="minorHAnsi"/>
                <w:sz w:val="18"/>
                <w:szCs w:val="18"/>
              </w:rPr>
            </w:pPr>
            <w:r w:rsidRPr="00A42BE9">
              <w:rPr>
                <w:rFonts w:asciiTheme="minorHAnsi" w:hAnsiTheme="minorHAnsi" w:cstheme="minorHAnsi"/>
                <w:sz w:val="18"/>
                <w:szCs w:val="18"/>
              </w:rPr>
              <w:t>circa 1908</w:t>
            </w:r>
          </w:p>
        </w:tc>
        <w:tc>
          <w:tcPr>
            <w:tcW w:w="3108" w:type="dxa"/>
          </w:tcPr>
          <w:p w14:paraId="0E2E4278" w14:textId="77777777" w:rsidR="00665A13" w:rsidRPr="00A42BE9" w:rsidRDefault="00665A13" w:rsidP="00A42BE9">
            <w:pPr>
              <w:pStyle w:val="TableParagraph"/>
              <w:ind w:left="109" w:right="264" w:hanging="1"/>
              <w:rPr>
                <w:rFonts w:asciiTheme="minorHAnsi" w:hAnsiTheme="minorHAnsi" w:cstheme="minorHAnsi"/>
                <w:sz w:val="18"/>
                <w:szCs w:val="18"/>
              </w:rPr>
            </w:pPr>
            <w:r w:rsidRPr="00A42BE9">
              <w:rPr>
                <w:rFonts w:asciiTheme="minorHAnsi" w:hAnsiTheme="minorHAnsi" w:cstheme="minorHAnsi"/>
                <w:sz w:val="18"/>
                <w:szCs w:val="18"/>
              </w:rPr>
              <w:t>Municipal Heritage Inventory Cat C. Included within LPS 3 Heritage List as</w:t>
            </w:r>
            <w:r w:rsidR="00A42BE9" w:rsidRPr="00A42BE9">
              <w:rPr>
                <w:rFonts w:asciiTheme="minorHAnsi" w:hAnsiTheme="minorHAnsi" w:cstheme="minorHAnsi"/>
                <w:sz w:val="18"/>
                <w:szCs w:val="18"/>
              </w:rPr>
              <w:t xml:space="preserve"> </w:t>
            </w:r>
            <w:r w:rsidRPr="00A42BE9">
              <w:rPr>
                <w:rFonts w:asciiTheme="minorHAnsi" w:hAnsiTheme="minorHAnsi" w:cstheme="minorHAnsi"/>
                <w:sz w:val="18"/>
                <w:szCs w:val="18"/>
              </w:rPr>
              <w:t>part of George Street Precinct.</w:t>
            </w:r>
          </w:p>
        </w:tc>
      </w:tr>
      <w:tr w:rsidR="00665A13" w:rsidRPr="00A53749" w14:paraId="0AD3A3B9" w14:textId="77777777" w:rsidTr="001C7F4A">
        <w:trPr>
          <w:trHeight w:val="657"/>
        </w:trPr>
        <w:tc>
          <w:tcPr>
            <w:tcW w:w="425" w:type="dxa"/>
          </w:tcPr>
          <w:p w14:paraId="0B65DBC4"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5DAC9AA2" w14:textId="77777777" w:rsidR="00665A13" w:rsidRPr="00A42BE9" w:rsidRDefault="00665A13" w:rsidP="00A42BE9">
            <w:pPr>
              <w:pStyle w:val="TableParagraph"/>
              <w:spacing w:line="219" w:lineRule="exact"/>
              <w:ind w:left="12"/>
              <w:rPr>
                <w:rFonts w:asciiTheme="minorHAnsi" w:hAnsiTheme="minorHAnsi" w:cstheme="minorHAnsi"/>
                <w:sz w:val="18"/>
                <w:szCs w:val="18"/>
              </w:rPr>
            </w:pPr>
            <w:r w:rsidRPr="00A42BE9">
              <w:rPr>
                <w:rFonts w:asciiTheme="minorHAnsi" w:hAnsiTheme="minorHAnsi" w:cstheme="minorHAnsi"/>
                <w:sz w:val="18"/>
                <w:szCs w:val="18"/>
              </w:rPr>
              <w:t>38 Sewell Street</w:t>
            </w:r>
          </w:p>
          <w:p w14:paraId="41B52E0A" w14:textId="77777777" w:rsidR="00665A13" w:rsidRPr="00A42BE9" w:rsidRDefault="00665A13" w:rsidP="00A42BE9">
            <w:pPr>
              <w:pStyle w:val="TableParagraph"/>
              <w:spacing w:before="1"/>
              <w:ind w:left="12"/>
              <w:rPr>
                <w:rFonts w:asciiTheme="minorHAnsi" w:hAnsiTheme="minorHAnsi" w:cstheme="minorHAnsi"/>
                <w:sz w:val="18"/>
                <w:szCs w:val="18"/>
              </w:rPr>
            </w:pPr>
          </w:p>
        </w:tc>
        <w:tc>
          <w:tcPr>
            <w:tcW w:w="1130" w:type="dxa"/>
          </w:tcPr>
          <w:p w14:paraId="5EB412C4" w14:textId="77777777" w:rsidR="00665A13" w:rsidRPr="00A42BE9" w:rsidRDefault="00665A13" w:rsidP="00A9290F">
            <w:pPr>
              <w:pStyle w:val="TableParagraph"/>
              <w:spacing w:line="219" w:lineRule="exact"/>
              <w:ind w:left="95" w:right="88"/>
              <w:jc w:val="center"/>
              <w:rPr>
                <w:rFonts w:asciiTheme="minorHAnsi" w:hAnsiTheme="minorHAnsi" w:cstheme="minorHAnsi"/>
                <w:sz w:val="18"/>
                <w:szCs w:val="18"/>
              </w:rPr>
            </w:pPr>
            <w:r w:rsidRPr="00A42BE9">
              <w:rPr>
                <w:rFonts w:asciiTheme="minorHAnsi" w:hAnsiTheme="minorHAnsi" w:cstheme="minorHAnsi"/>
                <w:sz w:val="18"/>
                <w:szCs w:val="18"/>
              </w:rPr>
              <w:t>531</w:t>
            </w:r>
          </w:p>
        </w:tc>
        <w:tc>
          <w:tcPr>
            <w:tcW w:w="1569" w:type="dxa"/>
          </w:tcPr>
          <w:p w14:paraId="3D40E0F0" w14:textId="77777777" w:rsidR="00665A13" w:rsidRPr="00A42BE9" w:rsidRDefault="00665A13" w:rsidP="00A42BE9">
            <w:pPr>
              <w:pStyle w:val="TableParagraph"/>
              <w:ind w:left="161" w:right="173"/>
              <w:rPr>
                <w:rFonts w:asciiTheme="minorHAnsi" w:hAnsiTheme="minorHAnsi" w:cstheme="minorHAnsi"/>
                <w:sz w:val="18"/>
                <w:szCs w:val="18"/>
              </w:rPr>
            </w:pPr>
            <w:r w:rsidRPr="00A42BE9">
              <w:rPr>
                <w:rFonts w:asciiTheme="minorHAnsi" w:hAnsiTheme="minorHAnsi" w:cstheme="minorHAnsi"/>
                <w:sz w:val="18"/>
                <w:szCs w:val="18"/>
              </w:rPr>
              <w:t>Federation Free Classical</w:t>
            </w:r>
          </w:p>
        </w:tc>
        <w:tc>
          <w:tcPr>
            <w:tcW w:w="1278" w:type="dxa"/>
          </w:tcPr>
          <w:p w14:paraId="7D023B10" w14:textId="77777777" w:rsidR="00665A13" w:rsidRPr="00A42BE9" w:rsidRDefault="00665A13" w:rsidP="00A9290F">
            <w:pPr>
              <w:pStyle w:val="TableParagraph"/>
              <w:spacing w:line="219" w:lineRule="exact"/>
              <w:ind w:left="162" w:right="148"/>
              <w:jc w:val="center"/>
              <w:rPr>
                <w:rFonts w:asciiTheme="minorHAnsi" w:hAnsiTheme="minorHAnsi" w:cstheme="minorHAnsi"/>
                <w:sz w:val="18"/>
                <w:szCs w:val="18"/>
              </w:rPr>
            </w:pPr>
            <w:r w:rsidRPr="00A42BE9">
              <w:rPr>
                <w:rFonts w:asciiTheme="minorHAnsi" w:hAnsiTheme="minorHAnsi" w:cstheme="minorHAnsi"/>
                <w:sz w:val="18"/>
                <w:szCs w:val="18"/>
              </w:rPr>
              <w:t>circa 1896</w:t>
            </w:r>
          </w:p>
        </w:tc>
        <w:tc>
          <w:tcPr>
            <w:tcW w:w="3108" w:type="dxa"/>
          </w:tcPr>
          <w:p w14:paraId="59A0D9E2" w14:textId="77777777" w:rsidR="00665A13" w:rsidRPr="00A42BE9" w:rsidRDefault="00665A13" w:rsidP="00A42BE9">
            <w:pPr>
              <w:pStyle w:val="TableParagraph"/>
              <w:ind w:left="109" w:right="264" w:hanging="1"/>
              <w:rPr>
                <w:rFonts w:asciiTheme="minorHAnsi" w:hAnsiTheme="minorHAnsi" w:cstheme="minorHAnsi"/>
                <w:sz w:val="18"/>
                <w:szCs w:val="18"/>
              </w:rPr>
            </w:pPr>
            <w:r w:rsidRPr="00A42BE9">
              <w:rPr>
                <w:rFonts w:asciiTheme="minorHAnsi" w:hAnsiTheme="minorHAnsi" w:cstheme="minorHAnsi"/>
                <w:sz w:val="18"/>
                <w:szCs w:val="18"/>
              </w:rPr>
              <w:t>Municipal Heritage Inventory Cat C. Included within LPS 3 Heritage List as</w:t>
            </w:r>
            <w:r w:rsidR="00A42BE9" w:rsidRPr="00A42BE9">
              <w:rPr>
                <w:rFonts w:asciiTheme="minorHAnsi" w:hAnsiTheme="minorHAnsi" w:cstheme="minorHAnsi"/>
                <w:sz w:val="18"/>
                <w:szCs w:val="18"/>
              </w:rPr>
              <w:t xml:space="preserve"> </w:t>
            </w:r>
            <w:r w:rsidRPr="00A42BE9">
              <w:rPr>
                <w:rFonts w:asciiTheme="minorHAnsi" w:hAnsiTheme="minorHAnsi" w:cstheme="minorHAnsi"/>
                <w:sz w:val="18"/>
                <w:szCs w:val="18"/>
              </w:rPr>
              <w:t>part of George Street Precinct.</w:t>
            </w:r>
          </w:p>
        </w:tc>
      </w:tr>
      <w:tr w:rsidR="00665A13" w:rsidRPr="00A53749" w14:paraId="6FC07B6D" w14:textId="77777777" w:rsidTr="001C7F4A">
        <w:trPr>
          <w:trHeight w:val="659"/>
        </w:trPr>
        <w:tc>
          <w:tcPr>
            <w:tcW w:w="425" w:type="dxa"/>
          </w:tcPr>
          <w:p w14:paraId="743CA3E8"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5568E1DB" w14:textId="77777777" w:rsidR="00665A13" w:rsidRPr="00A42BE9" w:rsidRDefault="00665A13" w:rsidP="00A42BE9">
            <w:pPr>
              <w:pStyle w:val="TableParagraph"/>
              <w:spacing w:before="1"/>
              <w:ind w:left="12"/>
              <w:rPr>
                <w:rFonts w:asciiTheme="minorHAnsi" w:hAnsiTheme="minorHAnsi" w:cstheme="minorHAnsi"/>
                <w:sz w:val="18"/>
                <w:szCs w:val="18"/>
              </w:rPr>
            </w:pPr>
            <w:r w:rsidRPr="00A42BE9">
              <w:rPr>
                <w:rFonts w:asciiTheme="minorHAnsi" w:hAnsiTheme="minorHAnsi" w:cstheme="minorHAnsi"/>
                <w:sz w:val="18"/>
                <w:szCs w:val="18"/>
              </w:rPr>
              <w:t>88</w:t>
            </w:r>
            <w:r w:rsidRPr="00A42BE9">
              <w:rPr>
                <w:rFonts w:asciiTheme="minorHAnsi" w:hAnsiTheme="minorHAnsi" w:cstheme="minorHAnsi"/>
                <w:spacing w:val="-3"/>
                <w:sz w:val="18"/>
                <w:szCs w:val="18"/>
              </w:rPr>
              <w:t xml:space="preserve"> </w:t>
            </w:r>
            <w:r w:rsidRPr="00A42BE9">
              <w:rPr>
                <w:rFonts w:asciiTheme="minorHAnsi" w:hAnsiTheme="minorHAnsi" w:cstheme="minorHAnsi"/>
                <w:sz w:val="18"/>
                <w:szCs w:val="18"/>
              </w:rPr>
              <w:t>George</w:t>
            </w:r>
          </w:p>
          <w:p w14:paraId="33AD8206" w14:textId="77777777" w:rsidR="00665A13" w:rsidRPr="00A42BE9" w:rsidRDefault="00665A13" w:rsidP="00A42BE9">
            <w:pPr>
              <w:pStyle w:val="TableParagraph"/>
              <w:spacing w:before="1" w:line="219" w:lineRule="exact"/>
              <w:ind w:left="12"/>
              <w:rPr>
                <w:rFonts w:asciiTheme="minorHAnsi" w:hAnsiTheme="minorHAnsi" w:cstheme="minorHAnsi"/>
                <w:sz w:val="18"/>
                <w:szCs w:val="18"/>
              </w:rPr>
            </w:pPr>
            <w:r w:rsidRPr="00A42BE9">
              <w:rPr>
                <w:rFonts w:asciiTheme="minorHAnsi" w:hAnsiTheme="minorHAnsi" w:cstheme="minorHAnsi"/>
                <w:sz w:val="18"/>
                <w:szCs w:val="18"/>
              </w:rPr>
              <w:t>(Units</w:t>
            </w:r>
            <w:r w:rsidRPr="00A42BE9">
              <w:rPr>
                <w:rFonts w:asciiTheme="minorHAnsi" w:hAnsiTheme="minorHAnsi" w:cstheme="minorHAnsi"/>
                <w:spacing w:val="-6"/>
                <w:sz w:val="18"/>
                <w:szCs w:val="18"/>
              </w:rPr>
              <w:t xml:space="preserve"> </w:t>
            </w:r>
            <w:r w:rsidRPr="00A42BE9">
              <w:rPr>
                <w:rFonts w:asciiTheme="minorHAnsi" w:hAnsiTheme="minorHAnsi" w:cstheme="minorHAnsi"/>
                <w:sz w:val="18"/>
                <w:szCs w:val="18"/>
              </w:rPr>
              <w:t>1-4)</w:t>
            </w:r>
          </w:p>
          <w:p w14:paraId="2261F680" w14:textId="77777777" w:rsidR="00665A13" w:rsidRPr="00A42BE9" w:rsidRDefault="00665A13" w:rsidP="00A42BE9">
            <w:pPr>
              <w:pStyle w:val="TableParagraph"/>
              <w:spacing w:line="199" w:lineRule="exact"/>
              <w:ind w:left="12"/>
              <w:rPr>
                <w:rFonts w:asciiTheme="minorHAnsi" w:hAnsiTheme="minorHAnsi" w:cstheme="minorHAnsi"/>
                <w:sz w:val="18"/>
                <w:szCs w:val="18"/>
              </w:rPr>
            </w:pPr>
          </w:p>
        </w:tc>
        <w:tc>
          <w:tcPr>
            <w:tcW w:w="1130" w:type="dxa"/>
          </w:tcPr>
          <w:p w14:paraId="233A4992" w14:textId="77777777" w:rsidR="00665A13" w:rsidRPr="00A42BE9" w:rsidRDefault="00665A13" w:rsidP="00A9290F">
            <w:pPr>
              <w:pStyle w:val="TableParagraph"/>
              <w:spacing w:before="1"/>
              <w:ind w:left="95" w:right="88"/>
              <w:jc w:val="center"/>
              <w:rPr>
                <w:rFonts w:asciiTheme="minorHAnsi" w:hAnsiTheme="minorHAnsi" w:cstheme="minorHAnsi"/>
                <w:sz w:val="18"/>
                <w:szCs w:val="18"/>
              </w:rPr>
            </w:pPr>
            <w:r w:rsidRPr="00A42BE9">
              <w:rPr>
                <w:rFonts w:asciiTheme="minorHAnsi" w:hAnsiTheme="minorHAnsi" w:cstheme="minorHAnsi"/>
                <w:sz w:val="18"/>
                <w:szCs w:val="18"/>
              </w:rPr>
              <w:t>800</w:t>
            </w:r>
          </w:p>
          <w:p w14:paraId="0E251AF1" w14:textId="77777777" w:rsidR="00665A13" w:rsidRPr="00A42BE9" w:rsidRDefault="00665A13" w:rsidP="00A9290F">
            <w:pPr>
              <w:pStyle w:val="TableParagraph"/>
              <w:spacing w:before="1"/>
              <w:ind w:left="95" w:right="84"/>
              <w:jc w:val="center"/>
              <w:rPr>
                <w:rFonts w:asciiTheme="minorHAnsi" w:hAnsiTheme="minorHAnsi" w:cstheme="minorHAnsi"/>
                <w:sz w:val="18"/>
                <w:szCs w:val="18"/>
              </w:rPr>
            </w:pPr>
            <w:r w:rsidRPr="00A42BE9">
              <w:rPr>
                <w:rFonts w:asciiTheme="minorHAnsi" w:hAnsiTheme="minorHAnsi" w:cstheme="minorHAnsi"/>
                <w:sz w:val="18"/>
                <w:szCs w:val="18"/>
              </w:rPr>
              <w:t>(Lots 1-4)</w:t>
            </w:r>
          </w:p>
        </w:tc>
        <w:tc>
          <w:tcPr>
            <w:tcW w:w="1569" w:type="dxa"/>
          </w:tcPr>
          <w:p w14:paraId="40874C2B" w14:textId="77777777" w:rsidR="00665A13" w:rsidRPr="00A42BE9" w:rsidRDefault="00665A13" w:rsidP="00A42BE9">
            <w:pPr>
              <w:pStyle w:val="TableParagraph"/>
              <w:spacing w:before="1"/>
              <w:ind w:left="161" w:right="173"/>
              <w:rPr>
                <w:rFonts w:asciiTheme="minorHAnsi" w:hAnsiTheme="minorHAnsi" w:cstheme="minorHAnsi"/>
                <w:sz w:val="18"/>
                <w:szCs w:val="18"/>
              </w:rPr>
            </w:pPr>
            <w:r w:rsidRPr="00A42BE9">
              <w:rPr>
                <w:rFonts w:asciiTheme="minorHAnsi" w:hAnsiTheme="minorHAnsi" w:cstheme="minorHAnsi"/>
                <w:sz w:val="18"/>
                <w:szCs w:val="18"/>
              </w:rPr>
              <w:t>Federation Free Classical</w:t>
            </w:r>
          </w:p>
        </w:tc>
        <w:tc>
          <w:tcPr>
            <w:tcW w:w="1278" w:type="dxa"/>
          </w:tcPr>
          <w:p w14:paraId="2181E570" w14:textId="77777777" w:rsidR="00665A13" w:rsidRPr="00A42BE9" w:rsidRDefault="00665A13" w:rsidP="00A9290F">
            <w:pPr>
              <w:pStyle w:val="TableParagraph"/>
              <w:spacing w:before="1"/>
              <w:ind w:left="162" w:right="148"/>
              <w:jc w:val="center"/>
              <w:rPr>
                <w:rFonts w:asciiTheme="minorHAnsi" w:hAnsiTheme="minorHAnsi" w:cstheme="minorHAnsi"/>
                <w:sz w:val="18"/>
                <w:szCs w:val="18"/>
              </w:rPr>
            </w:pPr>
            <w:r w:rsidRPr="00A42BE9">
              <w:rPr>
                <w:rFonts w:asciiTheme="minorHAnsi" w:hAnsiTheme="minorHAnsi" w:cstheme="minorHAnsi"/>
                <w:sz w:val="18"/>
                <w:szCs w:val="18"/>
              </w:rPr>
              <w:t>circa 1894</w:t>
            </w:r>
          </w:p>
        </w:tc>
        <w:tc>
          <w:tcPr>
            <w:tcW w:w="3108" w:type="dxa"/>
          </w:tcPr>
          <w:p w14:paraId="0F4BCF09" w14:textId="77777777" w:rsidR="00665A13" w:rsidRPr="00A42BE9" w:rsidRDefault="00665A13" w:rsidP="00A9290F">
            <w:pPr>
              <w:pStyle w:val="TableParagraph"/>
              <w:spacing w:before="1"/>
              <w:ind w:left="109" w:right="264" w:hanging="1"/>
              <w:rPr>
                <w:rFonts w:asciiTheme="minorHAnsi" w:hAnsiTheme="minorHAnsi" w:cstheme="minorHAnsi"/>
                <w:sz w:val="18"/>
                <w:szCs w:val="18"/>
              </w:rPr>
            </w:pPr>
            <w:r w:rsidRPr="00A42BE9">
              <w:rPr>
                <w:rFonts w:asciiTheme="minorHAnsi" w:hAnsiTheme="minorHAnsi" w:cstheme="minorHAnsi"/>
                <w:sz w:val="18"/>
                <w:szCs w:val="18"/>
              </w:rPr>
              <w:t>Municipal Heritage Inventory Cat C. Included within LPS 3 Heritage List as</w:t>
            </w:r>
          </w:p>
          <w:p w14:paraId="6A523B79" w14:textId="77777777" w:rsidR="00665A13" w:rsidRPr="00A42BE9" w:rsidRDefault="00665A13" w:rsidP="00A9290F">
            <w:pPr>
              <w:pStyle w:val="TableParagraph"/>
              <w:spacing w:line="199" w:lineRule="exact"/>
              <w:ind w:left="109"/>
              <w:rPr>
                <w:rFonts w:asciiTheme="minorHAnsi" w:hAnsiTheme="minorHAnsi" w:cstheme="minorHAnsi"/>
                <w:sz w:val="18"/>
                <w:szCs w:val="18"/>
              </w:rPr>
            </w:pPr>
            <w:r w:rsidRPr="00A42BE9">
              <w:rPr>
                <w:rFonts w:asciiTheme="minorHAnsi" w:hAnsiTheme="minorHAnsi" w:cstheme="minorHAnsi"/>
                <w:sz w:val="18"/>
                <w:szCs w:val="18"/>
              </w:rPr>
              <w:t>part of George Street Precinct.</w:t>
            </w:r>
          </w:p>
        </w:tc>
      </w:tr>
      <w:tr w:rsidR="00665A13" w:rsidRPr="00A53749" w14:paraId="43A771A4" w14:textId="77777777" w:rsidTr="001C7F4A">
        <w:trPr>
          <w:trHeight w:val="659"/>
        </w:trPr>
        <w:tc>
          <w:tcPr>
            <w:tcW w:w="425" w:type="dxa"/>
          </w:tcPr>
          <w:p w14:paraId="464C0912"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6E04D6C5" w14:textId="77777777" w:rsidR="00665A13" w:rsidRPr="00A42BE9" w:rsidRDefault="00665A13" w:rsidP="00A42BE9">
            <w:pPr>
              <w:pStyle w:val="TableParagraph"/>
              <w:spacing w:before="1" w:line="219" w:lineRule="exact"/>
              <w:ind w:left="12"/>
              <w:rPr>
                <w:rFonts w:asciiTheme="minorHAnsi" w:hAnsiTheme="minorHAnsi" w:cstheme="minorHAnsi"/>
                <w:sz w:val="18"/>
                <w:szCs w:val="18"/>
              </w:rPr>
            </w:pPr>
            <w:r w:rsidRPr="00A42BE9">
              <w:rPr>
                <w:rFonts w:asciiTheme="minorHAnsi" w:hAnsiTheme="minorHAnsi" w:cstheme="minorHAnsi"/>
                <w:sz w:val="18"/>
                <w:szCs w:val="18"/>
              </w:rPr>
              <w:t>96 George Street</w:t>
            </w:r>
          </w:p>
          <w:p w14:paraId="4AB03E99" w14:textId="77777777" w:rsidR="00665A13" w:rsidRPr="00A42BE9" w:rsidRDefault="00665A13" w:rsidP="00A42BE9">
            <w:pPr>
              <w:pStyle w:val="TableParagraph"/>
              <w:spacing w:line="219" w:lineRule="exact"/>
              <w:ind w:left="12"/>
              <w:rPr>
                <w:rFonts w:asciiTheme="minorHAnsi" w:hAnsiTheme="minorHAnsi" w:cstheme="minorHAnsi"/>
                <w:sz w:val="18"/>
                <w:szCs w:val="18"/>
              </w:rPr>
            </w:pPr>
          </w:p>
        </w:tc>
        <w:tc>
          <w:tcPr>
            <w:tcW w:w="1130" w:type="dxa"/>
          </w:tcPr>
          <w:p w14:paraId="665E574F" w14:textId="77777777" w:rsidR="00665A13" w:rsidRPr="00A42BE9" w:rsidRDefault="00665A13" w:rsidP="00A9290F">
            <w:pPr>
              <w:pStyle w:val="TableParagraph"/>
              <w:spacing w:before="1"/>
              <w:ind w:left="95" w:right="86"/>
              <w:jc w:val="center"/>
              <w:rPr>
                <w:rFonts w:asciiTheme="minorHAnsi" w:hAnsiTheme="minorHAnsi" w:cstheme="minorHAnsi"/>
                <w:sz w:val="18"/>
                <w:szCs w:val="18"/>
              </w:rPr>
            </w:pPr>
            <w:r w:rsidRPr="00A42BE9">
              <w:rPr>
                <w:rFonts w:asciiTheme="minorHAnsi" w:hAnsiTheme="minorHAnsi" w:cstheme="minorHAnsi"/>
                <w:sz w:val="18"/>
                <w:szCs w:val="18"/>
              </w:rPr>
              <w:t>535 &amp; 536</w:t>
            </w:r>
          </w:p>
        </w:tc>
        <w:tc>
          <w:tcPr>
            <w:tcW w:w="1569" w:type="dxa"/>
          </w:tcPr>
          <w:p w14:paraId="4C4868D6" w14:textId="77777777" w:rsidR="00665A13" w:rsidRPr="00A42BE9" w:rsidRDefault="00665A13" w:rsidP="00A42BE9">
            <w:pPr>
              <w:pStyle w:val="TableParagraph"/>
              <w:spacing w:before="1"/>
              <w:ind w:left="161"/>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1278" w:type="dxa"/>
          </w:tcPr>
          <w:p w14:paraId="10EAAC3E" w14:textId="77777777" w:rsidR="00665A13" w:rsidRPr="00A42BE9" w:rsidRDefault="00665A13" w:rsidP="00A9290F">
            <w:pPr>
              <w:pStyle w:val="TableParagraph"/>
              <w:spacing w:before="1"/>
              <w:ind w:left="10"/>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3108" w:type="dxa"/>
          </w:tcPr>
          <w:p w14:paraId="15DE797A" w14:textId="77777777" w:rsidR="00665A13" w:rsidRPr="00A42BE9" w:rsidRDefault="00665A13" w:rsidP="00A9290F">
            <w:pPr>
              <w:pStyle w:val="TableParagraph"/>
              <w:spacing w:before="1"/>
              <w:ind w:left="109" w:right="97" w:hanging="1"/>
              <w:rPr>
                <w:rFonts w:asciiTheme="minorHAnsi" w:hAnsiTheme="minorHAnsi" w:cstheme="minorHAnsi"/>
                <w:sz w:val="18"/>
                <w:szCs w:val="18"/>
              </w:rPr>
            </w:pPr>
            <w:r w:rsidRPr="00A42BE9">
              <w:rPr>
                <w:rFonts w:asciiTheme="minorHAnsi" w:hAnsiTheme="minorHAnsi" w:cstheme="minorHAnsi"/>
                <w:sz w:val="18"/>
                <w:szCs w:val="18"/>
              </w:rPr>
              <w:t>No individual listing, however, included within LPS 3 Heritage List as part of</w:t>
            </w:r>
          </w:p>
          <w:p w14:paraId="12E70495" w14:textId="77777777" w:rsidR="00665A13" w:rsidRPr="00A42BE9" w:rsidRDefault="00665A13" w:rsidP="00A9290F">
            <w:pPr>
              <w:pStyle w:val="TableParagraph"/>
              <w:spacing w:line="199" w:lineRule="exact"/>
              <w:ind w:left="109"/>
              <w:rPr>
                <w:rFonts w:asciiTheme="minorHAnsi" w:hAnsiTheme="minorHAnsi" w:cstheme="minorHAnsi"/>
                <w:sz w:val="18"/>
                <w:szCs w:val="18"/>
              </w:rPr>
            </w:pPr>
            <w:r w:rsidRPr="00A42BE9">
              <w:rPr>
                <w:rFonts w:asciiTheme="minorHAnsi" w:hAnsiTheme="minorHAnsi" w:cstheme="minorHAnsi"/>
                <w:sz w:val="18"/>
                <w:szCs w:val="18"/>
              </w:rPr>
              <w:t>George Street Precinct.</w:t>
            </w:r>
          </w:p>
        </w:tc>
      </w:tr>
      <w:tr w:rsidR="00665A13" w:rsidRPr="00A53749" w14:paraId="1B432ADF" w14:textId="77777777" w:rsidTr="001C7F4A">
        <w:trPr>
          <w:trHeight w:val="659"/>
        </w:trPr>
        <w:tc>
          <w:tcPr>
            <w:tcW w:w="425" w:type="dxa"/>
          </w:tcPr>
          <w:p w14:paraId="09BF6C2F"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0FA6051E" w14:textId="77777777" w:rsidR="00665A13" w:rsidRPr="00A42BE9" w:rsidRDefault="00665A13" w:rsidP="00A42BE9">
            <w:pPr>
              <w:pStyle w:val="TableParagraph"/>
              <w:spacing w:before="1" w:line="219" w:lineRule="exact"/>
              <w:ind w:left="12"/>
              <w:rPr>
                <w:rFonts w:asciiTheme="minorHAnsi" w:hAnsiTheme="minorHAnsi" w:cstheme="minorHAnsi"/>
                <w:sz w:val="18"/>
                <w:szCs w:val="18"/>
              </w:rPr>
            </w:pPr>
            <w:r w:rsidRPr="00A42BE9">
              <w:rPr>
                <w:rFonts w:asciiTheme="minorHAnsi" w:hAnsiTheme="minorHAnsi" w:cstheme="minorHAnsi"/>
                <w:sz w:val="18"/>
                <w:szCs w:val="18"/>
              </w:rPr>
              <w:t>92-96 George Street</w:t>
            </w:r>
          </w:p>
          <w:p w14:paraId="6F1F12A8" w14:textId="77777777" w:rsidR="00665A13" w:rsidRPr="00A42BE9" w:rsidRDefault="00665A13" w:rsidP="00A42BE9">
            <w:pPr>
              <w:pStyle w:val="TableParagraph"/>
              <w:spacing w:line="219" w:lineRule="exact"/>
              <w:ind w:left="12"/>
              <w:rPr>
                <w:rFonts w:asciiTheme="minorHAnsi" w:hAnsiTheme="minorHAnsi" w:cstheme="minorHAnsi"/>
                <w:sz w:val="18"/>
                <w:szCs w:val="18"/>
              </w:rPr>
            </w:pPr>
          </w:p>
        </w:tc>
        <w:tc>
          <w:tcPr>
            <w:tcW w:w="1130" w:type="dxa"/>
          </w:tcPr>
          <w:p w14:paraId="161BB12B" w14:textId="77777777" w:rsidR="00665A13" w:rsidRPr="00A42BE9" w:rsidRDefault="00665A13" w:rsidP="00A9290F">
            <w:pPr>
              <w:pStyle w:val="TableParagraph"/>
              <w:spacing w:before="1"/>
              <w:ind w:left="95" w:right="86"/>
              <w:jc w:val="center"/>
              <w:rPr>
                <w:rFonts w:asciiTheme="minorHAnsi" w:hAnsiTheme="minorHAnsi" w:cstheme="minorHAnsi"/>
                <w:sz w:val="18"/>
                <w:szCs w:val="18"/>
              </w:rPr>
            </w:pPr>
            <w:r w:rsidRPr="00A42BE9">
              <w:rPr>
                <w:rFonts w:asciiTheme="minorHAnsi" w:hAnsiTheme="minorHAnsi" w:cstheme="minorHAnsi"/>
                <w:sz w:val="18"/>
                <w:szCs w:val="18"/>
              </w:rPr>
              <w:t>537 &amp; 538</w:t>
            </w:r>
          </w:p>
        </w:tc>
        <w:tc>
          <w:tcPr>
            <w:tcW w:w="1569" w:type="dxa"/>
          </w:tcPr>
          <w:p w14:paraId="3F687518" w14:textId="77777777" w:rsidR="00665A13" w:rsidRPr="00A42BE9" w:rsidRDefault="00665A13" w:rsidP="00A42BE9">
            <w:pPr>
              <w:pStyle w:val="TableParagraph"/>
              <w:spacing w:before="1"/>
              <w:ind w:left="161"/>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1278" w:type="dxa"/>
          </w:tcPr>
          <w:p w14:paraId="2560F595" w14:textId="77777777" w:rsidR="00665A13" w:rsidRPr="00A42BE9" w:rsidRDefault="00665A13" w:rsidP="00A9290F">
            <w:pPr>
              <w:pStyle w:val="TableParagraph"/>
              <w:spacing w:before="1"/>
              <w:ind w:left="10"/>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3108" w:type="dxa"/>
          </w:tcPr>
          <w:p w14:paraId="13BA2322" w14:textId="77777777" w:rsidR="00665A13" w:rsidRPr="00A42BE9" w:rsidRDefault="00665A13" w:rsidP="00A9290F">
            <w:pPr>
              <w:pStyle w:val="TableParagraph"/>
              <w:spacing w:before="1"/>
              <w:ind w:left="109" w:right="97" w:hanging="1"/>
              <w:rPr>
                <w:rFonts w:asciiTheme="minorHAnsi" w:hAnsiTheme="minorHAnsi" w:cstheme="minorHAnsi"/>
                <w:sz w:val="18"/>
                <w:szCs w:val="18"/>
              </w:rPr>
            </w:pPr>
            <w:r w:rsidRPr="00A42BE9">
              <w:rPr>
                <w:rFonts w:asciiTheme="minorHAnsi" w:hAnsiTheme="minorHAnsi" w:cstheme="minorHAnsi"/>
                <w:sz w:val="18"/>
                <w:szCs w:val="18"/>
              </w:rPr>
              <w:t>No individual listing, however, included within LPS 3 Heritage List as part of</w:t>
            </w:r>
          </w:p>
          <w:p w14:paraId="66E28632" w14:textId="77777777" w:rsidR="00665A13" w:rsidRPr="00A42BE9" w:rsidRDefault="00665A13" w:rsidP="00A9290F">
            <w:pPr>
              <w:pStyle w:val="TableParagraph"/>
              <w:spacing w:line="199" w:lineRule="exact"/>
              <w:ind w:left="109"/>
              <w:rPr>
                <w:rFonts w:asciiTheme="minorHAnsi" w:hAnsiTheme="minorHAnsi" w:cstheme="minorHAnsi"/>
                <w:sz w:val="18"/>
                <w:szCs w:val="18"/>
              </w:rPr>
            </w:pPr>
            <w:r w:rsidRPr="00A42BE9">
              <w:rPr>
                <w:rFonts w:asciiTheme="minorHAnsi" w:hAnsiTheme="minorHAnsi" w:cstheme="minorHAnsi"/>
                <w:sz w:val="18"/>
                <w:szCs w:val="18"/>
              </w:rPr>
              <w:t>George Street Precinct.</w:t>
            </w:r>
          </w:p>
        </w:tc>
      </w:tr>
      <w:tr w:rsidR="00665A13" w:rsidRPr="00A53749" w14:paraId="5CF4A11C" w14:textId="77777777" w:rsidTr="001C7F4A">
        <w:trPr>
          <w:trHeight w:val="877"/>
        </w:trPr>
        <w:tc>
          <w:tcPr>
            <w:tcW w:w="425" w:type="dxa"/>
          </w:tcPr>
          <w:p w14:paraId="7AD06667"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27F582DE" w14:textId="77777777" w:rsidR="00665A13" w:rsidRPr="00A42BE9" w:rsidRDefault="00665A13" w:rsidP="00A42BE9">
            <w:pPr>
              <w:pStyle w:val="TableParagraph"/>
              <w:spacing w:before="1" w:line="219" w:lineRule="exact"/>
              <w:ind w:left="12"/>
              <w:rPr>
                <w:rFonts w:asciiTheme="minorHAnsi" w:hAnsiTheme="minorHAnsi" w:cstheme="minorHAnsi"/>
                <w:sz w:val="18"/>
                <w:szCs w:val="18"/>
              </w:rPr>
            </w:pPr>
            <w:r w:rsidRPr="00A42BE9">
              <w:rPr>
                <w:rFonts w:asciiTheme="minorHAnsi" w:hAnsiTheme="minorHAnsi" w:cstheme="minorHAnsi"/>
                <w:sz w:val="18"/>
                <w:szCs w:val="18"/>
              </w:rPr>
              <w:t>41 King Street</w:t>
            </w:r>
          </w:p>
          <w:p w14:paraId="10AA4575" w14:textId="77777777" w:rsidR="00665A13" w:rsidRPr="00A42BE9" w:rsidRDefault="00665A13" w:rsidP="00A42BE9">
            <w:pPr>
              <w:pStyle w:val="TableParagraph"/>
              <w:spacing w:line="219" w:lineRule="exact"/>
              <w:ind w:left="12"/>
              <w:rPr>
                <w:rFonts w:asciiTheme="minorHAnsi" w:hAnsiTheme="minorHAnsi" w:cstheme="minorHAnsi"/>
                <w:sz w:val="18"/>
                <w:szCs w:val="18"/>
              </w:rPr>
            </w:pPr>
            <w:r w:rsidRPr="00A42BE9">
              <w:rPr>
                <w:rFonts w:asciiTheme="minorHAnsi" w:hAnsiTheme="minorHAnsi" w:cstheme="minorHAnsi"/>
                <w:sz w:val="18"/>
                <w:szCs w:val="18"/>
              </w:rPr>
              <w:t>(Units 1-3)</w:t>
            </w:r>
          </w:p>
          <w:p w14:paraId="6F3765EE" w14:textId="77777777" w:rsidR="00665A13" w:rsidRPr="00A42BE9" w:rsidRDefault="00665A13" w:rsidP="00A42BE9">
            <w:pPr>
              <w:pStyle w:val="TableParagraph"/>
              <w:spacing w:before="1"/>
              <w:ind w:left="12"/>
              <w:rPr>
                <w:rFonts w:asciiTheme="minorHAnsi" w:hAnsiTheme="minorHAnsi" w:cstheme="minorHAnsi"/>
                <w:sz w:val="18"/>
                <w:szCs w:val="18"/>
              </w:rPr>
            </w:pPr>
          </w:p>
        </w:tc>
        <w:tc>
          <w:tcPr>
            <w:tcW w:w="1130" w:type="dxa"/>
          </w:tcPr>
          <w:p w14:paraId="3B4E3FCA" w14:textId="77777777" w:rsidR="00665A13" w:rsidRPr="00A42BE9" w:rsidRDefault="00665A13" w:rsidP="00A9290F">
            <w:pPr>
              <w:pStyle w:val="TableParagraph"/>
              <w:spacing w:before="1" w:line="219" w:lineRule="exact"/>
              <w:ind w:left="95" w:right="88"/>
              <w:jc w:val="center"/>
              <w:rPr>
                <w:rFonts w:asciiTheme="minorHAnsi" w:hAnsiTheme="minorHAnsi" w:cstheme="minorHAnsi"/>
                <w:sz w:val="18"/>
                <w:szCs w:val="18"/>
              </w:rPr>
            </w:pPr>
            <w:r w:rsidRPr="00A42BE9">
              <w:rPr>
                <w:rFonts w:asciiTheme="minorHAnsi" w:hAnsiTheme="minorHAnsi" w:cstheme="minorHAnsi"/>
                <w:sz w:val="18"/>
                <w:szCs w:val="18"/>
              </w:rPr>
              <w:t>127</w:t>
            </w:r>
          </w:p>
          <w:p w14:paraId="43F20A9D" w14:textId="77777777" w:rsidR="00665A13" w:rsidRPr="00A42BE9" w:rsidRDefault="00665A13" w:rsidP="00A9290F">
            <w:pPr>
              <w:pStyle w:val="TableParagraph"/>
              <w:spacing w:line="219" w:lineRule="exact"/>
              <w:ind w:left="95" w:right="86"/>
              <w:jc w:val="center"/>
              <w:rPr>
                <w:rFonts w:asciiTheme="minorHAnsi" w:hAnsiTheme="minorHAnsi" w:cstheme="minorHAnsi"/>
                <w:sz w:val="18"/>
                <w:szCs w:val="18"/>
              </w:rPr>
            </w:pPr>
            <w:r w:rsidRPr="00A42BE9">
              <w:rPr>
                <w:rFonts w:asciiTheme="minorHAnsi" w:hAnsiTheme="minorHAnsi" w:cstheme="minorHAnsi"/>
                <w:sz w:val="18"/>
                <w:szCs w:val="18"/>
              </w:rPr>
              <w:t>(Lots1-3)</w:t>
            </w:r>
          </w:p>
        </w:tc>
        <w:tc>
          <w:tcPr>
            <w:tcW w:w="1569" w:type="dxa"/>
          </w:tcPr>
          <w:p w14:paraId="378E07E5" w14:textId="77777777" w:rsidR="00665A13" w:rsidRPr="00A42BE9" w:rsidRDefault="00665A13" w:rsidP="00A42BE9">
            <w:pPr>
              <w:pStyle w:val="TableParagraph"/>
              <w:spacing w:before="1"/>
              <w:ind w:left="161" w:right="108"/>
              <w:rPr>
                <w:rFonts w:asciiTheme="minorHAnsi" w:hAnsiTheme="minorHAnsi" w:cstheme="minorHAnsi"/>
                <w:sz w:val="18"/>
                <w:szCs w:val="18"/>
              </w:rPr>
            </w:pPr>
            <w:r w:rsidRPr="00A42BE9">
              <w:rPr>
                <w:rFonts w:asciiTheme="minorHAnsi" w:hAnsiTheme="minorHAnsi" w:cstheme="minorHAnsi"/>
                <w:sz w:val="18"/>
                <w:szCs w:val="18"/>
              </w:rPr>
              <w:t>Post World War II Industrial</w:t>
            </w:r>
          </w:p>
        </w:tc>
        <w:tc>
          <w:tcPr>
            <w:tcW w:w="1278" w:type="dxa"/>
          </w:tcPr>
          <w:p w14:paraId="5ED1B461" w14:textId="77777777" w:rsidR="00665A13" w:rsidRPr="00A42BE9" w:rsidRDefault="00665A13" w:rsidP="00A9290F">
            <w:pPr>
              <w:pStyle w:val="TableParagraph"/>
              <w:spacing w:before="1"/>
              <w:ind w:left="162" w:right="148"/>
              <w:jc w:val="center"/>
              <w:rPr>
                <w:rFonts w:asciiTheme="minorHAnsi" w:hAnsiTheme="minorHAnsi" w:cstheme="minorHAnsi"/>
                <w:sz w:val="18"/>
                <w:szCs w:val="18"/>
              </w:rPr>
            </w:pPr>
            <w:r w:rsidRPr="00A42BE9">
              <w:rPr>
                <w:rFonts w:asciiTheme="minorHAnsi" w:hAnsiTheme="minorHAnsi" w:cstheme="minorHAnsi"/>
                <w:sz w:val="18"/>
                <w:szCs w:val="18"/>
              </w:rPr>
              <w:t>circa 1960</w:t>
            </w:r>
          </w:p>
        </w:tc>
        <w:tc>
          <w:tcPr>
            <w:tcW w:w="3108" w:type="dxa"/>
          </w:tcPr>
          <w:p w14:paraId="2E01E56D" w14:textId="77777777" w:rsidR="00665A13" w:rsidRPr="00A42BE9" w:rsidRDefault="00665A13" w:rsidP="00A9290F">
            <w:pPr>
              <w:pStyle w:val="TableParagraph"/>
              <w:spacing w:before="1"/>
              <w:ind w:left="109" w:right="370" w:hanging="1"/>
              <w:rPr>
                <w:rFonts w:asciiTheme="minorHAnsi" w:hAnsiTheme="minorHAnsi" w:cstheme="minorHAnsi"/>
                <w:sz w:val="18"/>
                <w:szCs w:val="18"/>
              </w:rPr>
            </w:pPr>
            <w:r w:rsidRPr="00A42BE9">
              <w:rPr>
                <w:rFonts w:asciiTheme="minorHAnsi" w:hAnsiTheme="minorHAnsi" w:cstheme="minorHAnsi"/>
                <w:sz w:val="18"/>
                <w:szCs w:val="18"/>
              </w:rPr>
              <w:t>Municipal Heritage Inventory Cat B. LPS 3 Heritage List (individual).</w:t>
            </w:r>
          </w:p>
          <w:p w14:paraId="19CB4790" w14:textId="77777777" w:rsidR="00665A13" w:rsidRPr="00A42BE9" w:rsidRDefault="00665A13" w:rsidP="00A9290F">
            <w:pPr>
              <w:pStyle w:val="TableParagraph"/>
              <w:spacing w:line="219" w:lineRule="exact"/>
              <w:ind w:left="109"/>
              <w:rPr>
                <w:rFonts w:asciiTheme="minorHAnsi" w:hAnsiTheme="minorHAnsi" w:cstheme="minorHAnsi"/>
                <w:sz w:val="18"/>
                <w:szCs w:val="18"/>
              </w:rPr>
            </w:pPr>
            <w:r w:rsidRPr="00A42BE9">
              <w:rPr>
                <w:rFonts w:asciiTheme="minorHAnsi" w:hAnsiTheme="minorHAnsi" w:cstheme="minorHAnsi"/>
                <w:sz w:val="18"/>
                <w:szCs w:val="18"/>
              </w:rPr>
              <w:t>Included within LPS 3 Heritage List as</w:t>
            </w:r>
          </w:p>
          <w:p w14:paraId="2685254C" w14:textId="77777777" w:rsidR="00665A13" w:rsidRPr="00A42BE9" w:rsidRDefault="00665A13" w:rsidP="00A9290F">
            <w:pPr>
              <w:pStyle w:val="TableParagraph"/>
              <w:spacing w:line="199" w:lineRule="exact"/>
              <w:ind w:left="109"/>
              <w:rPr>
                <w:rFonts w:asciiTheme="minorHAnsi" w:hAnsiTheme="minorHAnsi" w:cstheme="minorHAnsi"/>
                <w:sz w:val="18"/>
                <w:szCs w:val="18"/>
              </w:rPr>
            </w:pPr>
            <w:r w:rsidRPr="00A42BE9">
              <w:rPr>
                <w:rFonts w:asciiTheme="minorHAnsi" w:hAnsiTheme="minorHAnsi" w:cstheme="minorHAnsi"/>
                <w:sz w:val="18"/>
                <w:szCs w:val="18"/>
              </w:rPr>
              <w:t>part of George Street Precinct.</w:t>
            </w:r>
          </w:p>
        </w:tc>
      </w:tr>
      <w:tr w:rsidR="00665A13" w:rsidRPr="00A53749" w14:paraId="4713A242" w14:textId="77777777" w:rsidTr="001C7F4A">
        <w:trPr>
          <w:trHeight w:val="1098"/>
        </w:trPr>
        <w:tc>
          <w:tcPr>
            <w:tcW w:w="425" w:type="dxa"/>
          </w:tcPr>
          <w:p w14:paraId="2FD59A78"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3093CBA1" w14:textId="77777777" w:rsidR="00665A13" w:rsidRPr="00A42BE9" w:rsidRDefault="00665A13" w:rsidP="00A42BE9">
            <w:pPr>
              <w:pStyle w:val="TableParagraph"/>
              <w:spacing w:before="1"/>
              <w:ind w:left="12"/>
              <w:rPr>
                <w:rFonts w:asciiTheme="minorHAnsi" w:hAnsiTheme="minorHAnsi" w:cstheme="minorHAnsi"/>
                <w:sz w:val="18"/>
                <w:szCs w:val="18"/>
              </w:rPr>
            </w:pPr>
            <w:r w:rsidRPr="00A42BE9">
              <w:rPr>
                <w:rFonts w:asciiTheme="minorHAnsi" w:hAnsiTheme="minorHAnsi" w:cstheme="minorHAnsi"/>
                <w:sz w:val="18"/>
                <w:szCs w:val="18"/>
              </w:rPr>
              <w:t>46-52 King Street</w:t>
            </w:r>
          </w:p>
          <w:p w14:paraId="30F7B7C1" w14:textId="77777777" w:rsidR="00665A13" w:rsidRPr="00A42BE9" w:rsidRDefault="00665A13" w:rsidP="00A42BE9">
            <w:pPr>
              <w:pStyle w:val="TableParagraph"/>
              <w:spacing w:before="1"/>
              <w:ind w:left="12"/>
              <w:rPr>
                <w:rFonts w:asciiTheme="minorHAnsi" w:hAnsiTheme="minorHAnsi" w:cstheme="minorHAnsi"/>
                <w:sz w:val="18"/>
                <w:szCs w:val="18"/>
              </w:rPr>
            </w:pPr>
          </w:p>
        </w:tc>
        <w:tc>
          <w:tcPr>
            <w:tcW w:w="1130" w:type="dxa"/>
          </w:tcPr>
          <w:p w14:paraId="2A513FE8" w14:textId="77777777" w:rsidR="00665A13" w:rsidRPr="00A42BE9" w:rsidRDefault="00665A13" w:rsidP="00A9290F">
            <w:pPr>
              <w:pStyle w:val="TableParagraph"/>
              <w:spacing w:before="1"/>
              <w:ind w:left="95" w:right="83"/>
              <w:jc w:val="center"/>
              <w:rPr>
                <w:rFonts w:asciiTheme="minorHAnsi" w:hAnsiTheme="minorHAnsi" w:cstheme="minorHAnsi"/>
                <w:sz w:val="18"/>
                <w:szCs w:val="18"/>
              </w:rPr>
            </w:pPr>
            <w:r w:rsidRPr="00A42BE9">
              <w:rPr>
                <w:rFonts w:asciiTheme="minorHAnsi" w:hAnsiTheme="minorHAnsi" w:cstheme="minorHAnsi"/>
                <w:sz w:val="18"/>
                <w:szCs w:val="18"/>
              </w:rPr>
              <w:t>Lot 23</w:t>
            </w:r>
          </w:p>
          <w:p w14:paraId="0A0D6420" w14:textId="77777777" w:rsidR="00665A13" w:rsidRPr="00A42BE9" w:rsidRDefault="00665A13" w:rsidP="00A9290F">
            <w:pPr>
              <w:pStyle w:val="TableParagraph"/>
              <w:spacing w:before="1"/>
              <w:ind w:left="95" w:right="84"/>
              <w:jc w:val="center"/>
              <w:rPr>
                <w:rFonts w:asciiTheme="minorHAnsi" w:hAnsiTheme="minorHAnsi" w:cstheme="minorHAnsi"/>
                <w:sz w:val="18"/>
                <w:szCs w:val="18"/>
              </w:rPr>
            </w:pPr>
            <w:r w:rsidRPr="00A42BE9">
              <w:rPr>
                <w:rFonts w:asciiTheme="minorHAnsi" w:hAnsiTheme="minorHAnsi" w:cstheme="minorHAnsi"/>
                <w:sz w:val="18"/>
                <w:szCs w:val="18"/>
              </w:rPr>
              <w:t>(Lots 1-4)</w:t>
            </w:r>
          </w:p>
        </w:tc>
        <w:tc>
          <w:tcPr>
            <w:tcW w:w="1569" w:type="dxa"/>
          </w:tcPr>
          <w:p w14:paraId="3EC6E5FC" w14:textId="77777777" w:rsidR="00665A13" w:rsidRPr="00A42BE9" w:rsidRDefault="00665A13" w:rsidP="00A42BE9">
            <w:pPr>
              <w:pStyle w:val="TableParagraph"/>
              <w:spacing w:before="1"/>
              <w:ind w:left="161" w:right="356"/>
              <w:rPr>
                <w:rFonts w:asciiTheme="minorHAnsi" w:hAnsiTheme="minorHAnsi" w:cstheme="minorHAnsi"/>
                <w:sz w:val="18"/>
                <w:szCs w:val="18"/>
              </w:rPr>
            </w:pPr>
            <w:r w:rsidRPr="00A42BE9">
              <w:rPr>
                <w:rFonts w:asciiTheme="minorHAnsi" w:hAnsiTheme="minorHAnsi" w:cstheme="minorHAnsi"/>
                <w:sz w:val="18"/>
                <w:szCs w:val="18"/>
              </w:rPr>
              <w:t>Federation Italianate</w:t>
            </w:r>
          </w:p>
        </w:tc>
        <w:tc>
          <w:tcPr>
            <w:tcW w:w="1278" w:type="dxa"/>
          </w:tcPr>
          <w:p w14:paraId="6F71BD86" w14:textId="77777777" w:rsidR="00665A13" w:rsidRPr="00A42BE9" w:rsidRDefault="00665A13" w:rsidP="00A9290F">
            <w:pPr>
              <w:pStyle w:val="TableParagraph"/>
              <w:spacing w:before="1"/>
              <w:ind w:left="162" w:right="148"/>
              <w:jc w:val="center"/>
              <w:rPr>
                <w:rFonts w:asciiTheme="minorHAnsi" w:hAnsiTheme="minorHAnsi" w:cstheme="minorHAnsi"/>
                <w:sz w:val="18"/>
                <w:szCs w:val="18"/>
              </w:rPr>
            </w:pPr>
            <w:r w:rsidRPr="00A42BE9">
              <w:rPr>
                <w:rFonts w:asciiTheme="minorHAnsi" w:hAnsiTheme="minorHAnsi" w:cstheme="minorHAnsi"/>
                <w:sz w:val="18"/>
                <w:szCs w:val="18"/>
              </w:rPr>
              <w:t>circa 1910</w:t>
            </w:r>
          </w:p>
        </w:tc>
        <w:tc>
          <w:tcPr>
            <w:tcW w:w="3108" w:type="dxa"/>
          </w:tcPr>
          <w:p w14:paraId="7980BABB" w14:textId="77777777" w:rsidR="00665A13" w:rsidRPr="00A42BE9" w:rsidRDefault="00665A13" w:rsidP="00A9290F">
            <w:pPr>
              <w:pStyle w:val="TableParagraph"/>
              <w:spacing w:before="1"/>
              <w:ind w:left="109" w:right="376" w:hanging="1"/>
              <w:rPr>
                <w:rFonts w:asciiTheme="minorHAnsi" w:hAnsiTheme="minorHAnsi" w:cstheme="minorHAnsi"/>
                <w:sz w:val="18"/>
                <w:szCs w:val="18"/>
              </w:rPr>
            </w:pPr>
            <w:r w:rsidRPr="00A42BE9">
              <w:rPr>
                <w:rFonts w:asciiTheme="minorHAnsi" w:hAnsiTheme="minorHAnsi" w:cstheme="minorHAnsi"/>
                <w:sz w:val="18"/>
                <w:szCs w:val="18"/>
              </w:rPr>
              <w:t>Municipal Heritage Inventory Cat</w:t>
            </w:r>
            <w:r w:rsidRPr="00A42BE9">
              <w:rPr>
                <w:rFonts w:asciiTheme="minorHAnsi" w:hAnsiTheme="minorHAnsi" w:cstheme="minorHAnsi"/>
                <w:spacing w:val="-13"/>
                <w:sz w:val="18"/>
                <w:szCs w:val="18"/>
              </w:rPr>
              <w:t xml:space="preserve"> </w:t>
            </w:r>
            <w:r w:rsidRPr="00A42BE9">
              <w:rPr>
                <w:rFonts w:asciiTheme="minorHAnsi" w:hAnsiTheme="minorHAnsi" w:cstheme="minorHAnsi"/>
                <w:sz w:val="18"/>
                <w:szCs w:val="18"/>
              </w:rPr>
              <w:t>A. LPS 3 Heritage List</w:t>
            </w:r>
            <w:r w:rsidRPr="00A42BE9">
              <w:rPr>
                <w:rFonts w:asciiTheme="minorHAnsi" w:hAnsiTheme="minorHAnsi" w:cstheme="minorHAnsi"/>
                <w:spacing w:val="-9"/>
                <w:sz w:val="18"/>
                <w:szCs w:val="18"/>
              </w:rPr>
              <w:t xml:space="preserve"> </w:t>
            </w:r>
            <w:r w:rsidRPr="00A42BE9">
              <w:rPr>
                <w:rFonts w:asciiTheme="minorHAnsi" w:hAnsiTheme="minorHAnsi" w:cstheme="minorHAnsi"/>
                <w:sz w:val="18"/>
                <w:szCs w:val="18"/>
              </w:rPr>
              <w:t>(individual).</w:t>
            </w:r>
          </w:p>
          <w:p w14:paraId="5A889E47" w14:textId="77777777" w:rsidR="00665A13" w:rsidRPr="00A42BE9" w:rsidRDefault="00665A13" w:rsidP="00A9290F">
            <w:pPr>
              <w:pStyle w:val="TableParagraph"/>
              <w:ind w:left="109" w:right="278"/>
              <w:rPr>
                <w:rFonts w:asciiTheme="minorHAnsi" w:hAnsiTheme="minorHAnsi" w:cstheme="minorHAnsi"/>
                <w:sz w:val="18"/>
                <w:szCs w:val="18"/>
              </w:rPr>
            </w:pPr>
            <w:r w:rsidRPr="00A42BE9">
              <w:rPr>
                <w:rFonts w:asciiTheme="minorHAnsi" w:hAnsiTheme="minorHAnsi" w:cstheme="minorHAnsi"/>
                <w:sz w:val="18"/>
                <w:szCs w:val="18"/>
              </w:rPr>
              <w:t>Included within LPS 3 Heritage List</w:t>
            </w:r>
            <w:r w:rsidRPr="00A42BE9">
              <w:rPr>
                <w:rFonts w:asciiTheme="minorHAnsi" w:hAnsiTheme="minorHAnsi" w:cstheme="minorHAnsi"/>
                <w:spacing w:val="-14"/>
                <w:sz w:val="18"/>
                <w:szCs w:val="18"/>
              </w:rPr>
              <w:t xml:space="preserve"> </w:t>
            </w:r>
            <w:r w:rsidRPr="00A42BE9">
              <w:rPr>
                <w:rFonts w:asciiTheme="minorHAnsi" w:hAnsiTheme="minorHAnsi" w:cstheme="minorHAnsi"/>
                <w:sz w:val="18"/>
                <w:szCs w:val="18"/>
              </w:rPr>
              <w:t>as part of George Street</w:t>
            </w:r>
            <w:r w:rsidRPr="00A42BE9">
              <w:rPr>
                <w:rFonts w:asciiTheme="minorHAnsi" w:hAnsiTheme="minorHAnsi" w:cstheme="minorHAnsi"/>
                <w:spacing w:val="-7"/>
                <w:sz w:val="18"/>
                <w:szCs w:val="18"/>
              </w:rPr>
              <w:t xml:space="preserve"> </w:t>
            </w:r>
            <w:r w:rsidRPr="00A42BE9">
              <w:rPr>
                <w:rFonts w:asciiTheme="minorHAnsi" w:hAnsiTheme="minorHAnsi" w:cstheme="minorHAnsi"/>
                <w:sz w:val="18"/>
                <w:szCs w:val="18"/>
              </w:rPr>
              <w:t>Precinct.</w:t>
            </w:r>
          </w:p>
          <w:p w14:paraId="462CFDDB" w14:textId="77777777" w:rsidR="00665A13" w:rsidRPr="00A42BE9" w:rsidRDefault="00665A13" w:rsidP="00A9290F">
            <w:pPr>
              <w:pStyle w:val="TableParagraph"/>
              <w:spacing w:line="199" w:lineRule="exact"/>
              <w:ind w:left="109"/>
              <w:rPr>
                <w:rFonts w:asciiTheme="minorHAnsi" w:hAnsiTheme="minorHAnsi" w:cstheme="minorHAnsi"/>
                <w:sz w:val="18"/>
                <w:szCs w:val="18"/>
              </w:rPr>
            </w:pPr>
            <w:r w:rsidRPr="00A42BE9">
              <w:rPr>
                <w:rFonts w:asciiTheme="minorHAnsi" w:hAnsiTheme="minorHAnsi" w:cstheme="minorHAnsi"/>
                <w:sz w:val="18"/>
                <w:szCs w:val="18"/>
              </w:rPr>
              <w:t>Classified by National Trust</w:t>
            </w:r>
          </w:p>
        </w:tc>
      </w:tr>
      <w:tr w:rsidR="00665A13" w:rsidRPr="00A53749" w14:paraId="3D1660BE" w14:textId="77777777" w:rsidTr="001C7F4A">
        <w:trPr>
          <w:trHeight w:val="659"/>
        </w:trPr>
        <w:tc>
          <w:tcPr>
            <w:tcW w:w="425" w:type="dxa"/>
          </w:tcPr>
          <w:p w14:paraId="5744A6CD"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7FBFE4BB" w14:textId="77777777" w:rsidR="00665A13" w:rsidRPr="00A42BE9" w:rsidRDefault="00665A13" w:rsidP="00A42BE9">
            <w:pPr>
              <w:pStyle w:val="TableParagraph"/>
              <w:spacing w:before="1" w:line="219" w:lineRule="exact"/>
              <w:ind w:left="12"/>
              <w:rPr>
                <w:rFonts w:asciiTheme="minorHAnsi" w:hAnsiTheme="minorHAnsi" w:cstheme="minorHAnsi"/>
                <w:sz w:val="18"/>
                <w:szCs w:val="18"/>
              </w:rPr>
            </w:pPr>
            <w:r w:rsidRPr="00A42BE9">
              <w:rPr>
                <w:rFonts w:asciiTheme="minorHAnsi" w:hAnsiTheme="minorHAnsi" w:cstheme="minorHAnsi"/>
                <w:sz w:val="18"/>
                <w:szCs w:val="18"/>
              </w:rPr>
              <w:t>128 George Street</w:t>
            </w:r>
          </w:p>
          <w:p w14:paraId="7FB6C71A" w14:textId="77777777" w:rsidR="00665A13" w:rsidRPr="00A42BE9" w:rsidRDefault="00665A13" w:rsidP="00A42BE9">
            <w:pPr>
              <w:pStyle w:val="TableParagraph"/>
              <w:spacing w:line="219" w:lineRule="exact"/>
              <w:ind w:left="12"/>
              <w:rPr>
                <w:rFonts w:asciiTheme="minorHAnsi" w:hAnsiTheme="minorHAnsi" w:cstheme="minorHAnsi"/>
                <w:sz w:val="18"/>
                <w:szCs w:val="18"/>
              </w:rPr>
            </w:pPr>
          </w:p>
        </w:tc>
        <w:tc>
          <w:tcPr>
            <w:tcW w:w="1130" w:type="dxa"/>
          </w:tcPr>
          <w:p w14:paraId="22012350" w14:textId="77777777" w:rsidR="00665A13" w:rsidRPr="00A42BE9" w:rsidRDefault="00665A13" w:rsidP="00A9290F">
            <w:pPr>
              <w:pStyle w:val="TableParagraph"/>
              <w:spacing w:before="1"/>
              <w:ind w:left="7"/>
              <w:jc w:val="center"/>
              <w:rPr>
                <w:rFonts w:asciiTheme="minorHAnsi" w:hAnsiTheme="minorHAnsi" w:cstheme="minorHAnsi"/>
                <w:sz w:val="18"/>
                <w:szCs w:val="18"/>
              </w:rPr>
            </w:pPr>
            <w:r w:rsidRPr="00A42BE9">
              <w:rPr>
                <w:rFonts w:asciiTheme="minorHAnsi" w:hAnsiTheme="minorHAnsi" w:cstheme="minorHAnsi"/>
                <w:sz w:val="18"/>
                <w:szCs w:val="18"/>
              </w:rPr>
              <w:t>5</w:t>
            </w:r>
          </w:p>
        </w:tc>
        <w:tc>
          <w:tcPr>
            <w:tcW w:w="1569" w:type="dxa"/>
          </w:tcPr>
          <w:p w14:paraId="20B47913" w14:textId="77777777" w:rsidR="00665A13" w:rsidRPr="00A42BE9" w:rsidRDefault="00665A13" w:rsidP="00A9290F">
            <w:pPr>
              <w:pStyle w:val="TableParagraph"/>
              <w:spacing w:before="1"/>
              <w:ind w:left="7"/>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1278" w:type="dxa"/>
          </w:tcPr>
          <w:p w14:paraId="46958C8B" w14:textId="77777777" w:rsidR="00665A13" w:rsidRPr="00A42BE9" w:rsidRDefault="00665A13" w:rsidP="00A9290F">
            <w:pPr>
              <w:pStyle w:val="TableParagraph"/>
              <w:spacing w:before="1"/>
              <w:ind w:left="10"/>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3108" w:type="dxa"/>
          </w:tcPr>
          <w:p w14:paraId="723D84A3" w14:textId="77777777" w:rsidR="00665A13" w:rsidRPr="00A42BE9" w:rsidRDefault="00665A13" w:rsidP="00A42BE9">
            <w:pPr>
              <w:pStyle w:val="TableParagraph"/>
              <w:spacing w:before="1"/>
              <w:ind w:left="109" w:right="97" w:hanging="1"/>
              <w:rPr>
                <w:rFonts w:asciiTheme="minorHAnsi" w:hAnsiTheme="minorHAnsi" w:cstheme="minorHAnsi"/>
                <w:sz w:val="18"/>
                <w:szCs w:val="18"/>
              </w:rPr>
            </w:pPr>
            <w:r w:rsidRPr="00A42BE9">
              <w:rPr>
                <w:rFonts w:asciiTheme="minorHAnsi" w:hAnsiTheme="minorHAnsi" w:cstheme="minorHAnsi"/>
                <w:sz w:val="18"/>
                <w:szCs w:val="18"/>
              </w:rPr>
              <w:t>No individual listing, however, included within</w:t>
            </w:r>
            <w:r w:rsidR="00A42BE9">
              <w:rPr>
                <w:rFonts w:asciiTheme="minorHAnsi" w:hAnsiTheme="minorHAnsi" w:cstheme="minorHAnsi"/>
                <w:sz w:val="18"/>
                <w:szCs w:val="18"/>
              </w:rPr>
              <w:t xml:space="preserve"> LPS 3 Heritage List as part of </w:t>
            </w:r>
            <w:r w:rsidRPr="00A42BE9">
              <w:rPr>
                <w:rFonts w:asciiTheme="minorHAnsi" w:hAnsiTheme="minorHAnsi" w:cstheme="minorHAnsi"/>
                <w:sz w:val="18"/>
                <w:szCs w:val="18"/>
              </w:rPr>
              <w:t>George Street Precinct.</w:t>
            </w:r>
          </w:p>
        </w:tc>
      </w:tr>
      <w:tr w:rsidR="00665A13" w:rsidRPr="00A53749" w14:paraId="495E9675" w14:textId="77777777" w:rsidTr="001C7F4A">
        <w:trPr>
          <w:trHeight w:val="659"/>
        </w:trPr>
        <w:tc>
          <w:tcPr>
            <w:tcW w:w="425" w:type="dxa"/>
          </w:tcPr>
          <w:p w14:paraId="1E8A38DC"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37B40F9D" w14:textId="77777777" w:rsidR="00665A13" w:rsidRPr="00A42BE9" w:rsidRDefault="00665A13" w:rsidP="00A42BE9">
            <w:pPr>
              <w:pStyle w:val="TableParagraph"/>
              <w:spacing w:before="1" w:line="219" w:lineRule="exact"/>
              <w:ind w:left="12"/>
              <w:rPr>
                <w:rFonts w:asciiTheme="minorHAnsi" w:hAnsiTheme="minorHAnsi" w:cstheme="minorHAnsi"/>
                <w:sz w:val="18"/>
                <w:szCs w:val="18"/>
              </w:rPr>
            </w:pPr>
            <w:r w:rsidRPr="00A42BE9">
              <w:rPr>
                <w:rFonts w:asciiTheme="minorHAnsi" w:hAnsiTheme="minorHAnsi" w:cstheme="minorHAnsi"/>
                <w:sz w:val="18"/>
                <w:szCs w:val="18"/>
              </w:rPr>
              <w:t>128A George Street</w:t>
            </w:r>
          </w:p>
          <w:p w14:paraId="11C7BCA6" w14:textId="77777777" w:rsidR="00665A13" w:rsidRPr="00A42BE9" w:rsidRDefault="00665A13" w:rsidP="00A42BE9">
            <w:pPr>
              <w:pStyle w:val="TableParagraph"/>
              <w:spacing w:line="219" w:lineRule="exact"/>
              <w:ind w:left="12"/>
              <w:rPr>
                <w:rFonts w:asciiTheme="minorHAnsi" w:hAnsiTheme="minorHAnsi" w:cstheme="minorHAnsi"/>
                <w:sz w:val="18"/>
                <w:szCs w:val="18"/>
              </w:rPr>
            </w:pPr>
          </w:p>
        </w:tc>
        <w:tc>
          <w:tcPr>
            <w:tcW w:w="1130" w:type="dxa"/>
          </w:tcPr>
          <w:p w14:paraId="369CF224" w14:textId="77777777" w:rsidR="00665A13" w:rsidRPr="00A42BE9" w:rsidRDefault="00665A13" w:rsidP="00A9290F">
            <w:pPr>
              <w:pStyle w:val="TableParagraph"/>
              <w:spacing w:before="1"/>
              <w:ind w:left="95" w:right="88"/>
              <w:jc w:val="center"/>
              <w:rPr>
                <w:rFonts w:asciiTheme="minorHAnsi" w:hAnsiTheme="minorHAnsi" w:cstheme="minorHAnsi"/>
                <w:sz w:val="18"/>
                <w:szCs w:val="18"/>
              </w:rPr>
            </w:pPr>
            <w:r w:rsidRPr="00A42BE9">
              <w:rPr>
                <w:rFonts w:asciiTheme="minorHAnsi" w:hAnsiTheme="minorHAnsi" w:cstheme="minorHAnsi"/>
                <w:sz w:val="18"/>
                <w:szCs w:val="18"/>
              </w:rPr>
              <w:t>10</w:t>
            </w:r>
          </w:p>
        </w:tc>
        <w:tc>
          <w:tcPr>
            <w:tcW w:w="1569" w:type="dxa"/>
          </w:tcPr>
          <w:p w14:paraId="3E020DA5" w14:textId="77777777" w:rsidR="00665A13" w:rsidRPr="00A42BE9" w:rsidRDefault="00665A13" w:rsidP="00A9290F">
            <w:pPr>
              <w:pStyle w:val="TableParagraph"/>
              <w:spacing w:before="1"/>
              <w:ind w:left="8"/>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1278" w:type="dxa"/>
          </w:tcPr>
          <w:p w14:paraId="6FD2401D" w14:textId="77777777" w:rsidR="00665A13" w:rsidRPr="00A42BE9" w:rsidRDefault="00665A13" w:rsidP="00A9290F">
            <w:pPr>
              <w:pStyle w:val="TableParagraph"/>
              <w:spacing w:before="1"/>
              <w:ind w:left="12"/>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3108" w:type="dxa"/>
          </w:tcPr>
          <w:p w14:paraId="6FF29C2E" w14:textId="77777777" w:rsidR="00665A13" w:rsidRPr="00A42BE9" w:rsidRDefault="00665A13" w:rsidP="00A42BE9">
            <w:pPr>
              <w:pStyle w:val="TableParagraph"/>
              <w:spacing w:before="1"/>
              <w:ind w:left="109"/>
              <w:rPr>
                <w:rFonts w:asciiTheme="minorHAnsi" w:hAnsiTheme="minorHAnsi" w:cstheme="minorHAnsi"/>
                <w:sz w:val="18"/>
                <w:szCs w:val="18"/>
              </w:rPr>
            </w:pPr>
            <w:r w:rsidRPr="00A42BE9">
              <w:rPr>
                <w:rFonts w:asciiTheme="minorHAnsi" w:hAnsiTheme="minorHAnsi" w:cstheme="minorHAnsi"/>
                <w:sz w:val="18"/>
                <w:szCs w:val="18"/>
              </w:rPr>
              <w:t>No individual listing, however, included within</w:t>
            </w:r>
            <w:r w:rsidR="00A42BE9">
              <w:rPr>
                <w:rFonts w:asciiTheme="minorHAnsi" w:hAnsiTheme="minorHAnsi" w:cstheme="minorHAnsi"/>
                <w:sz w:val="18"/>
                <w:szCs w:val="18"/>
              </w:rPr>
              <w:t xml:space="preserve"> LPS 3 Heritage List as part of </w:t>
            </w:r>
            <w:r w:rsidRPr="00A42BE9">
              <w:rPr>
                <w:rFonts w:asciiTheme="minorHAnsi" w:hAnsiTheme="minorHAnsi" w:cstheme="minorHAnsi"/>
                <w:sz w:val="18"/>
                <w:szCs w:val="18"/>
              </w:rPr>
              <w:t>George Street Precinct.</w:t>
            </w:r>
          </w:p>
        </w:tc>
      </w:tr>
      <w:tr w:rsidR="00665A13" w:rsidRPr="00A53749" w14:paraId="74188A40" w14:textId="77777777" w:rsidTr="001C7F4A">
        <w:trPr>
          <w:trHeight w:val="659"/>
        </w:trPr>
        <w:tc>
          <w:tcPr>
            <w:tcW w:w="425" w:type="dxa"/>
          </w:tcPr>
          <w:p w14:paraId="4CBEE92F"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53049261" w14:textId="77777777" w:rsidR="00665A13" w:rsidRPr="00A42BE9" w:rsidRDefault="00665A13" w:rsidP="00A42BE9">
            <w:pPr>
              <w:pStyle w:val="TableParagraph"/>
              <w:spacing w:before="1" w:line="219" w:lineRule="exact"/>
              <w:ind w:left="12"/>
              <w:rPr>
                <w:rFonts w:asciiTheme="minorHAnsi" w:hAnsiTheme="minorHAnsi" w:cstheme="minorHAnsi"/>
                <w:sz w:val="18"/>
                <w:szCs w:val="18"/>
              </w:rPr>
            </w:pPr>
            <w:r w:rsidRPr="00A42BE9">
              <w:rPr>
                <w:rFonts w:asciiTheme="minorHAnsi" w:hAnsiTheme="minorHAnsi" w:cstheme="minorHAnsi"/>
                <w:sz w:val="18"/>
                <w:szCs w:val="18"/>
              </w:rPr>
              <w:t>130A George Street</w:t>
            </w:r>
          </w:p>
          <w:p w14:paraId="71707910" w14:textId="77777777" w:rsidR="00665A13" w:rsidRPr="00A42BE9" w:rsidRDefault="00665A13" w:rsidP="00A42BE9">
            <w:pPr>
              <w:pStyle w:val="TableParagraph"/>
              <w:spacing w:line="219" w:lineRule="exact"/>
              <w:ind w:left="12"/>
              <w:rPr>
                <w:rFonts w:asciiTheme="minorHAnsi" w:hAnsiTheme="minorHAnsi" w:cstheme="minorHAnsi"/>
                <w:sz w:val="18"/>
                <w:szCs w:val="18"/>
              </w:rPr>
            </w:pPr>
          </w:p>
        </w:tc>
        <w:tc>
          <w:tcPr>
            <w:tcW w:w="1130" w:type="dxa"/>
          </w:tcPr>
          <w:p w14:paraId="02E15540" w14:textId="77777777" w:rsidR="00665A13" w:rsidRPr="00A42BE9" w:rsidRDefault="00665A13" w:rsidP="00A9290F">
            <w:pPr>
              <w:pStyle w:val="TableParagraph"/>
              <w:spacing w:before="1"/>
              <w:ind w:left="7"/>
              <w:jc w:val="center"/>
              <w:rPr>
                <w:rFonts w:asciiTheme="minorHAnsi" w:hAnsiTheme="minorHAnsi" w:cstheme="minorHAnsi"/>
                <w:sz w:val="18"/>
                <w:szCs w:val="18"/>
              </w:rPr>
            </w:pPr>
            <w:r w:rsidRPr="00A42BE9">
              <w:rPr>
                <w:rFonts w:asciiTheme="minorHAnsi" w:hAnsiTheme="minorHAnsi" w:cstheme="minorHAnsi"/>
                <w:sz w:val="18"/>
                <w:szCs w:val="18"/>
              </w:rPr>
              <w:t>3</w:t>
            </w:r>
          </w:p>
        </w:tc>
        <w:tc>
          <w:tcPr>
            <w:tcW w:w="1569" w:type="dxa"/>
          </w:tcPr>
          <w:p w14:paraId="1990243C" w14:textId="77777777" w:rsidR="00665A13" w:rsidRPr="00A42BE9" w:rsidRDefault="00665A13" w:rsidP="00A9290F">
            <w:pPr>
              <w:pStyle w:val="TableParagraph"/>
              <w:spacing w:before="1"/>
              <w:ind w:left="7"/>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1278" w:type="dxa"/>
          </w:tcPr>
          <w:p w14:paraId="49CADD2D" w14:textId="77777777" w:rsidR="00665A13" w:rsidRPr="00A42BE9" w:rsidRDefault="00665A13" w:rsidP="00A9290F">
            <w:pPr>
              <w:pStyle w:val="TableParagraph"/>
              <w:spacing w:before="1"/>
              <w:ind w:left="10"/>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3108" w:type="dxa"/>
          </w:tcPr>
          <w:p w14:paraId="0693EDDA" w14:textId="77777777" w:rsidR="00665A13" w:rsidRPr="00A42BE9" w:rsidRDefault="00665A13" w:rsidP="00A42BE9">
            <w:pPr>
              <w:pStyle w:val="TableParagraph"/>
              <w:spacing w:before="1"/>
              <w:ind w:left="109" w:right="97" w:hanging="1"/>
              <w:rPr>
                <w:rFonts w:asciiTheme="minorHAnsi" w:hAnsiTheme="minorHAnsi" w:cstheme="minorHAnsi"/>
                <w:sz w:val="18"/>
                <w:szCs w:val="18"/>
              </w:rPr>
            </w:pPr>
            <w:r w:rsidRPr="00A42BE9">
              <w:rPr>
                <w:rFonts w:asciiTheme="minorHAnsi" w:hAnsiTheme="minorHAnsi" w:cstheme="minorHAnsi"/>
                <w:sz w:val="18"/>
                <w:szCs w:val="18"/>
              </w:rPr>
              <w:t>No individual listing, however, included within</w:t>
            </w:r>
            <w:r w:rsidR="00A42BE9">
              <w:rPr>
                <w:rFonts w:asciiTheme="minorHAnsi" w:hAnsiTheme="minorHAnsi" w:cstheme="minorHAnsi"/>
                <w:sz w:val="18"/>
                <w:szCs w:val="18"/>
              </w:rPr>
              <w:t xml:space="preserve"> LPS 3 Heritage List as part of </w:t>
            </w:r>
            <w:r w:rsidRPr="00A42BE9">
              <w:rPr>
                <w:rFonts w:asciiTheme="minorHAnsi" w:hAnsiTheme="minorHAnsi" w:cstheme="minorHAnsi"/>
                <w:sz w:val="18"/>
                <w:szCs w:val="18"/>
              </w:rPr>
              <w:t>George Street Precinct.</w:t>
            </w:r>
          </w:p>
        </w:tc>
      </w:tr>
      <w:tr w:rsidR="00665A13" w:rsidRPr="00A53749" w14:paraId="4C07F290" w14:textId="77777777" w:rsidTr="001C7F4A">
        <w:trPr>
          <w:trHeight w:val="657"/>
        </w:trPr>
        <w:tc>
          <w:tcPr>
            <w:tcW w:w="425" w:type="dxa"/>
          </w:tcPr>
          <w:p w14:paraId="6C7CB315"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06EF13F5" w14:textId="77777777" w:rsidR="00665A13" w:rsidRPr="00A42BE9" w:rsidRDefault="00665A13" w:rsidP="00A42BE9">
            <w:pPr>
              <w:pStyle w:val="TableParagraph"/>
              <w:spacing w:line="219" w:lineRule="exact"/>
              <w:ind w:left="12"/>
              <w:rPr>
                <w:rFonts w:asciiTheme="minorHAnsi" w:hAnsiTheme="minorHAnsi" w:cstheme="minorHAnsi"/>
                <w:sz w:val="18"/>
                <w:szCs w:val="18"/>
              </w:rPr>
            </w:pPr>
            <w:r w:rsidRPr="00A42BE9">
              <w:rPr>
                <w:rFonts w:asciiTheme="minorHAnsi" w:hAnsiTheme="minorHAnsi" w:cstheme="minorHAnsi"/>
                <w:sz w:val="18"/>
                <w:szCs w:val="18"/>
              </w:rPr>
              <w:t>130B George Street</w:t>
            </w:r>
          </w:p>
          <w:p w14:paraId="1CDD6410" w14:textId="77777777" w:rsidR="00665A13" w:rsidRPr="00A42BE9" w:rsidRDefault="00665A13" w:rsidP="00A42BE9">
            <w:pPr>
              <w:pStyle w:val="TableParagraph"/>
              <w:spacing w:before="1"/>
              <w:ind w:left="12"/>
              <w:rPr>
                <w:rFonts w:asciiTheme="minorHAnsi" w:hAnsiTheme="minorHAnsi" w:cstheme="minorHAnsi"/>
                <w:sz w:val="18"/>
                <w:szCs w:val="18"/>
              </w:rPr>
            </w:pPr>
          </w:p>
        </w:tc>
        <w:tc>
          <w:tcPr>
            <w:tcW w:w="1130" w:type="dxa"/>
          </w:tcPr>
          <w:p w14:paraId="74548D48" w14:textId="77777777" w:rsidR="00665A13" w:rsidRPr="00A42BE9" w:rsidRDefault="00665A13" w:rsidP="00A9290F">
            <w:pPr>
              <w:pStyle w:val="TableParagraph"/>
              <w:spacing w:line="219" w:lineRule="exact"/>
              <w:ind w:left="7"/>
              <w:jc w:val="center"/>
              <w:rPr>
                <w:rFonts w:asciiTheme="minorHAnsi" w:hAnsiTheme="minorHAnsi" w:cstheme="minorHAnsi"/>
                <w:sz w:val="18"/>
                <w:szCs w:val="18"/>
              </w:rPr>
            </w:pPr>
            <w:r w:rsidRPr="00A42BE9">
              <w:rPr>
                <w:rFonts w:asciiTheme="minorHAnsi" w:hAnsiTheme="minorHAnsi" w:cstheme="minorHAnsi"/>
                <w:sz w:val="18"/>
                <w:szCs w:val="18"/>
              </w:rPr>
              <w:t>2</w:t>
            </w:r>
          </w:p>
        </w:tc>
        <w:tc>
          <w:tcPr>
            <w:tcW w:w="1569" w:type="dxa"/>
          </w:tcPr>
          <w:p w14:paraId="6ABCEA55" w14:textId="77777777" w:rsidR="00665A13" w:rsidRPr="00A42BE9" w:rsidRDefault="00665A13" w:rsidP="00A9290F">
            <w:pPr>
              <w:pStyle w:val="TableParagraph"/>
              <w:ind w:left="0"/>
              <w:rPr>
                <w:rFonts w:asciiTheme="minorHAnsi" w:hAnsiTheme="minorHAnsi" w:cstheme="minorHAnsi"/>
                <w:sz w:val="18"/>
                <w:szCs w:val="18"/>
              </w:rPr>
            </w:pPr>
          </w:p>
        </w:tc>
        <w:tc>
          <w:tcPr>
            <w:tcW w:w="1278" w:type="dxa"/>
          </w:tcPr>
          <w:p w14:paraId="6C769D5C" w14:textId="77777777" w:rsidR="00665A13" w:rsidRPr="00A42BE9" w:rsidRDefault="00665A13" w:rsidP="00A9290F">
            <w:pPr>
              <w:pStyle w:val="TableParagraph"/>
              <w:ind w:left="0"/>
              <w:rPr>
                <w:rFonts w:asciiTheme="minorHAnsi" w:hAnsiTheme="minorHAnsi" w:cstheme="minorHAnsi"/>
                <w:sz w:val="18"/>
                <w:szCs w:val="18"/>
              </w:rPr>
            </w:pPr>
          </w:p>
        </w:tc>
        <w:tc>
          <w:tcPr>
            <w:tcW w:w="3108" w:type="dxa"/>
          </w:tcPr>
          <w:p w14:paraId="1D7FD480" w14:textId="77777777" w:rsidR="00665A13" w:rsidRPr="00A42BE9" w:rsidRDefault="00665A13" w:rsidP="00A42BE9">
            <w:pPr>
              <w:pStyle w:val="TableParagraph"/>
              <w:ind w:left="109" w:hanging="1"/>
              <w:rPr>
                <w:rFonts w:asciiTheme="minorHAnsi" w:hAnsiTheme="minorHAnsi" w:cstheme="minorHAnsi"/>
                <w:sz w:val="18"/>
                <w:szCs w:val="18"/>
              </w:rPr>
            </w:pPr>
            <w:r w:rsidRPr="00A42BE9">
              <w:rPr>
                <w:rFonts w:asciiTheme="minorHAnsi" w:hAnsiTheme="minorHAnsi" w:cstheme="minorHAnsi"/>
                <w:sz w:val="18"/>
                <w:szCs w:val="18"/>
              </w:rPr>
              <w:t>No individual listing, however, included within</w:t>
            </w:r>
            <w:r w:rsidR="00A42BE9">
              <w:rPr>
                <w:rFonts w:asciiTheme="minorHAnsi" w:hAnsiTheme="minorHAnsi" w:cstheme="minorHAnsi"/>
                <w:sz w:val="18"/>
                <w:szCs w:val="18"/>
              </w:rPr>
              <w:t xml:space="preserve"> LPS 3 Heritage List as part of </w:t>
            </w:r>
            <w:r w:rsidRPr="00A42BE9">
              <w:rPr>
                <w:rFonts w:asciiTheme="minorHAnsi" w:hAnsiTheme="minorHAnsi" w:cstheme="minorHAnsi"/>
                <w:sz w:val="18"/>
                <w:szCs w:val="18"/>
              </w:rPr>
              <w:t>George Street Precinct.</w:t>
            </w:r>
          </w:p>
        </w:tc>
      </w:tr>
      <w:tr w:rsidR="00665A13" w:rsidRPr="00A53749" w14:paraId="14A5F6DC" w14:textId="77777777" w:rsidTr="001C7F4A">
        <w:trPr>
          <w:trHeight w:val="880"/>
        </w:trPr>
        <w:tc>
          <w:tcPr>
            <w:tcW w:w="425" w:type="dxa"/>
          </w:tcPr>
          <w:p w14:paraId="67F163C3"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328D2DCC" w14:textId="77777777" w:rsidR="00665A13" w:rsidRPr="00A42BE9" w:rsidRDefault="00665A13" w:rsidP="00A42BE9">
            <w:pPr>
              <w:pStyle w:val="TableParagraph"/>
              <w:spacing w:before="1"/>
              <w:ind w:left="12"/>
              <w:rPr>
                <w:rFonts w:asciiTheme="minorHAnsi" w:hAnsiTheme="minorHAnsi" w:cstheme="minorHAnsi"/>
                <w:sz w:val="18"/>
                <w:szCs w:val="18"/>
              </w:rPr>
            </w:pPr>
            <w:r w:rsidRPr="00A42BE9">
              <w:rPr>
                <w:rFonts w:asciiTheme="minorHAnsi" w:hAnsiTheme="minorHAnsi" w:cstheme="minorHAnsi"/>
                <w:sz w:val="18"/>
                <w:szCs w:val="18"/>
              </w:rPr>
              <w:t>132 George Street</w:t>
            </w:r>
          </w:p>
          <w:p w14:paraId="6D22AB8C" w14:textId="77777777" w:rsidR="00665A13" w:rsidRPr="00A42BE9" w:rsidRDefault="00665A13" w:rsidP="00A42BE9">
            <w:pPr>
              <w:pStyle w:val="TableParagraph"/>
              <w:spacing w:before="1"/>
              <w:ind w:left="12"/>
              <w:rPr>
                <w:rFonts w:asciiTheme="minorHAnsi" w:hAnsiTheme="minorHAnsi" w:cstheme="minorHAnsi"/>
                <w:sz w:val="18"/>
                <w:szCs w:val="18"/>
              </w:rPr>
            </w:pPr>
          </w:p>
        </w:tc>
        <w:tc>
          <w:tcPr>
            <w:tcW w:w="1130" w:type="dxa"/>
          </w:tcPr>
          <w:p w14:paraId="661BFBCA" w14:textId="77777777" w:rsidR="00665A13" w:rsidRPr="00A42BE9" w:rsidRDefault="00665A13" w:rsidP="00A9290F">
            <w:pPr>
              <w:pStyle w:val="TableParagraph"/>
              <w:spacing w:before="1"/>
              <w:ind w:left="7"/>
              <w:jc w:val="center"/>
              <w:rPr>
                <w:rFonts w:asciiTheme="minorHAnsi" w:hAnsiTheme="minorHAnsi" w:cstheme="minorHAnsi"/>
                <w:sz w:val="18"/>
                <w:szCs w:val="18"/>
              </w:rPr>
            </w:pPr>
            <w:r w:rsidRPr="00A42BE9">
              <w:rPr>
                <w:rFonts w:asciiTheme="minorHAnsi" w:hAnsiTheme="minorHAnsi" w:cstheme="minorHAnsi"/>
                <w:sz w:val="18"/>
                <w:szCs w:val="18"/>
              </w:rPr>
              <w:t>1</w:t>
            </w:r>
          </w:p>
        </w:tc>
        <w:tc>
          <w:tcPr>
            <w:tcW w:w="1569" w:type="dxa"/>
          </w:tcPr>
          <w:p w14:paraId="5A975DCE" w14:textId="77777777" w:rsidR="00665A13" w:rsidRPr="00A42BE9" w:rsidRDefault="00665A13" w:rsidP="00A42BE9">
            <w:pPr>
              <w:pStyle w:val="TableParagraph"/>
              <w:spacing w:before="1"/>
              <w:ind w:left="161" w:right="325"/>
              <w:rPr>
                <w:rFonts w:asciiTheme="minorHAnsi" w:hAnsiTheme="minorHAnsi" w:cstheme="minorHAnsi"/>
                <w:sz w:val="18"/>
                <w:szCs w:val="18"/>
              </w:rPr>
            </w:pPr>
            <w:r w:rsidRPr="00A42BE9">
              <w:rPr>
                <w:rFonts w:asciiTheme="minorHAnsi" w:hAnsiTheme="minorHAnsi" w:cstheme="minorHAnsi"/>
                <w:sz w:val="18"/>
                <w:szCs w:val="18"/>
              </w:rPr>
              <w:t>Simple Free Classical</w:t>
            </w:r>
          </w:p>
        </w:tc>
        <w:tc>
          <w:tcPr>
            <w:tcW w:w="1278" w:type="dxa"/>
          </w:tcPr>
          <w:p w14:paraId="7BF6977A" w14:textId="77777777" w:rsidR="00665A13" w:rsidRPr="00A42BE9" w:rsidRDefault="00665A13" w:rsidP="00A9290F">
            <w:pPr>
              <w:pStyle w:val="TableParagraph"/>
              <w:spacing w:before="1"/>
              <w:ind w:left="162" w:right="148"/>
              <w:jc w:val="center"/>
              <w:rPr>
                <w:rFonts w:asciiTheme="minorHAnsi" w:hAnsiTheme="minorHAnsi" w:cstheme="minorHAnsi"/>
                <w:sz w:val="18"/>
                <w:szCs w:val="18"/>
              </w:rPr>
            </w:pPr>
            <w:r w:rsidRPr="00A42BE9">
              <w:rPr>
                <w:rFonts w:asciiTheme="minorHAnsi" w:hAnsiTheme="minorHAnsi" w:cstheme="minorHAnsi"/>
                <w:sz w:val="18"/>
                <w:szCs w:val="18"/>
              </w:rPr>
              <w:t>circa 1894</w:t>
            </w:r>
          </w:p>
        </w:tc>
        <w:tc>
          <w:tcPr>
            <w:tcW w:w="3108" w:type="dxa"/>
          </w:tcPr>
          <w:p w14:paraId="3E1E15E3" w14:textId="77777777" w:rsidR="00665A13" w:rsidRPr="00A42BE9" w:rsidRDefault="00665A13" w:rsidP="00A9290F">
            <w:pPr>
              <w:pStyle w:val="TableParagraph"/>
              <w:spacing w:before="1"/>
              <w:ind w:left="109" w:right="415" w:hanging="1"/>
              <w:rPr>
                <w:rFonts w:asciiTheme="minorHAnsi" w:hAnsiTheme="minorHAnsi" w:cstheme="minorHAnsi"/>
                <w:sz w:val="18"/>
                <w:szCs w:val="18"/>
              </w:rPr>
            </w:pPr>
            <w:r w:rsidRPr="00A42BE9">
              <w:rPr>
                <w:rFonts w:asciiTheme="minorHAnsi" w:hAnsiTheme="minorHAnsi" w:cstheme="minorHAnsi"/>
                <w:sz w:val="18"/>
                <w:szCs w:val="18"/>
              </w:rPr>
              <w:t>Municipal Heritage Inventory Cat B LPS 3 Heritage List (individual).</w:t>
            </w:r>
          </w:p>
          <w:p w14:paraId="233A74F7" w14:textId="77777777" w:rsidR="00665A13" w:rsidRPr="00A42BE9" w:rsidRDefault="00665A13" w:rsidP="00A42BE9">
            <w:pPr>
              <w:pStyle w:val="TableParagraph"/>
              <w:spacing w:line="219" w:lineRule="exact"/>
              <w:ind w:left="109"/>
              <w:rPr>
                <w:rFonts w:asciiTheme="minorHAnsi" w:hAnsiTheme="minorHAnsi" w:cstheme="minorHAnsi"/>
                <w:sz w:val="18"/>
                <w:szCs w:val="18"/>
              </w:rPr>
            </w:pPr>
            <w:r w:rsidRPr="00A42BE9">
              <w:rPr>
                <w:rFonts w:asciiTheme="minorHAnsi" w:hAnsiTheme="minorHAnsi" w:cstheme="minorHAnsi"/>
                <w:sz w:val="18"/>
                <w:szCs w:val="18"/>
              </w:rPr>
              <w:t>Included within LPS 3 Heritage List a</w:t>
            </w:r>
            <w:r w:rsidR="00A42BE9">
              <w:rPr>
                <w:rFonts w:asciiTheme="minorHAnsi" w:hAnsiTheme="minorHAnsi" w:cstheme="minorHAnsi"/>
                <w:sz w:val="18"/>
                <w:szCs w:val="18"/>
              </w:rPr>
              <w:t xml:space="preserve">s </w:t>
            </w:r>
            <w:r w:rsidRPr="00A42BE9">
              <w:rPr>
                <w:rFonts w:asciiTheme="minorHAnsi" w:hAnsiTheme="minorHAnsi" w:cstheme="minorHAnsi"/>
                <w:sz w:val="18"/>
                <w:szCs w:val="18"/>
              </w:rPr>
              <w:t>part of George Street Precinct.</w:t>
            </w:r>
          </w:p>
        </w:tc>
      </w:tr>
      <w:tr w:rsidR="00665A13" w:rsidRPr="00A53749" w14:paraId="19A2943C" w14:textId="77777777" w:rsidTr="001C7F4A">
        <w:trPr>
          <w:trHeight w:val="659"/>
        </w:trPr>
        <w:tc>
          <w:tcPr>
            <w:tcW w:w="425" w:type="dxa"/>
          </w:tcPr>
          <w:p w14:paraId="3DFC0234"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07ED6C25" w14:textId="77777777" w:rsidR="00665A13" w:rsidRPr="00A42BE9" w:rsidRDefault="00665A13" w:rsidP="00A42BE9">
            <w:pPr>
              <w:pStyle w:val="TableParagraph"/>
              <w:spacing w:line="219" w:lineRule="exact"/>
              <w:ind w:left="12"/>
              <w:rPr>
                <w:rFonts w:asciiTheme="minorHAnsi" w:hAnsiTheme="minorHAnsi" w:cstheme="minorHAnsi"/>
                <w:sz w:val="18"/>
                <w:szCs w:val="18"/>
              </w:rPr>
            </w:pPr>
            <w:r w:rsidRPr="00A42BE9">
              <w:rPr>
                <w:rFonts w:asciiTheme="minorHAnsi" w:hAnsiTheme="minorHAnsi" w:cstheme="minorHAnsi"/>
                <w:sz w:val="18"/>
                <w:szCs w:val="18"/>
              </w:rPr>
              <w:t>40 Glyde Street</w:t>
            </w:r>
          </w:p>
          <w:p w14:paraId="3A5A8675" w14:textId="77777777" w:rsidR="00665A13" w:rsidRPr="00A42BE9" w:rsidRDefault="00665A13" w:rsidP="00A42BE9">
            <w:pPr>
              <w:pStyle w:val="TableParagraph"/>
              <w:spacing w:before="1"/>
              <w:ind w:left="12"/>
              <w:rPr>
                <w:rFonts w:asciiTheme="minorHAnsi" w:hAnsiTheme="minorHAnsi" w:cstheme="minorHAnsi"/>
                <w:sz w:val="18"/>
                <w:szCs w:val="18"/>
              </w:rPr>
            </w:pPr>
          </w:p>
        </w:tc>
        <w:tc>
          <w:tcPr>
            <w:tcW w:w="1130" w:type="dxa"/>
          </w:tcPr>
          <w:p w14:paraId="3DE50721" w14:textId="77777777" w:rsidR="00665A13" w:rsidRPr="00A42BE9" w:rsidRDefault="00665A13" w:rsidP="00A9290F">
            <w:pPr>
              <w:pStyle w:val="TableParagraph"/>
              <w:spacing w:line="219" w:lineRule="exact"/>
              <w:ind w:left="95" w:right="88"/>
              <w:jc w:val="center"/>
              <w:rPr>
                <w:rFonts w:asciiTheme="minorHAnsi" w:hAnsiTheme="minorHAnsi" w:cstheme="minorHAnsi"/>
                <w:sz w:val="18"/>
                <w:szCs w:val="18"/>
              </w:rPr>
            </w:pPr>
            <w:r w:rsidRPr="00A42BE9">
              <w:rPr>
                <w:rFonts w:asciiTheme="minorHAnsi" w:hAnsiTheme="minorHAnsi" w:cstheme="minorHAnsi"/>
                <w:sz w:val="18"/>
                <w:szCs w:val="18"/>
              </w:rPr>
              <w:t>143</w:t>
            </w:r>
          </w:p>
        </w:tc>
        <w:tc>
          <w:tcPr>
            <w:tcW w:w="1569" w:type="dxa"/>
          </w:tcPr>
          <w:p w14:paraId="164F418D" w14:textId="77777777" w:rsidR="00665A13" w:rsidRPr="00A42BE9" w:rsidRDefault="00665A13" w:rsidP="00A42BE9">
            <w:pPr>
              <w:pStyle w:val="TableParagraph"/>
              <w:ind w:left="161" w:right="286"/>
              <w:rPr>
                <w:rFonts w:asciiTheme="minorHAnsi" w:hAnsiTheme="minorHAnsi" w:cstheme="minorHAnsi"/>
                <w:sz w:val="18"/>
                <w:szCs w:val="18"/>
              </w:rPr>
            </w:pPr>
            <w:r w:rsidRPr="00A42BE9">
              <w:rPr>
                <w:rFonts w:asciiTheme="minorHAnsi" w:hAnsiTheme="minorHAnsi" w:cstheme="minorHAnsi"/>
                <w:sz w:val="18"/>
                <w:szCs w:val="18"/>
              </w:rPr>
              <w:t>Glasson Park (Part of)</w:t>
            </w:r>
          </w:p>
        </w:tc>
        <w:tc>
          <w:tcPr>
            <w:tcW w:w="1278" w:type="dxa"/>
          </w:tcPr>
          <w:p w14:paraId="7992796A" w14:textId="77777777" w:rsidR="00665A13" w:rsidRPr="00A42BE9" w:rsidRDefault="00665A13" w:rsidP="00A9290F">
            <w:pPr>
              <w:pStyle w:val="TableParagraph"/>
              <w:spacing w:line="219" w:lineRule="exact"/>
              <w:ind w:left="11"/>
              <w:jc w:val="center"/>
              <w:rPr>
                <w:rFonts w:asciiTheme="minorHAnsi" w:hAnsiTheme="minorHAnsi" w:cstheme="minorHAnsi"/>
                <w:sz w:val="18"/>
                <w:szCs w:val="18"/>
              </w:rPr>
            </w:pPr>
            <w:r w:rsidRPr="00A42BE9">
              <w:rPr>
                <w:rFonts w:asciiTheme="minorHAnsi" w:hAnsiTheme="minorHAnsi" w:cstheme="minorHAnsi"/>
                <w:sz w:val="18"/>
                <w:szCs w:val="18"/>
              </w:rPr>
              <w:t>-</w:t>
            </w:r>
          </w:p>
        </w:tc>
        <w:tc>
          <w:tcPr>
            <w:tcW w:w="3108" w:type="dxa"/>
          </w:tcPr>
          <w:p w14:paraId="0348C462" w14:textId="77777777" w:rsidR="00665A13" w:rsidRPr="00A42BE9" w:rsidRDefault="00665A13" w:rsidP="00A42BE9">
            <w:pPr>
              <w:pStyle w:val="TableParagraph"/>
              <w:ind w:left="109"/>
              <w:rPr>
                <w:rFonts w:asciiTheme="minorHAnsi" w:hAnsiTheme="minorHAnsi" w:cstheme="minorHAnsi"/>
                <w:sz w:val="18"/>
                <w:szCs w:val="18"/>
              </w:rPr>
            </w:pPr>
            <w:r w:rsidRPr="00A42BE9">
              <w:rPr>
                <w:rFonts w:asciiTheme="minorHAnsi" w:hAnsiTheme="minorHAnsi" w:cstheme="minorHAnsi"/>
                <w:sz w:val="18"/>
                <w:szCs w:val="18"/>
              </w:rPr>
              <w:t>No individual listing, however, included within</w:t>
            </w:r>
            <w:r w:rsidR="00A42BE9">
              <w:rPr>
                <w:rFonts w:asciiTheme="minorHAnsi" w:hAnsiTheme="minorHAnsi" w:cstheme="minorHAnsi"/>
                <w:sz w:val="18"/>
                <w:szCs w:val="18"/>
              </w:rPr>
              <w:t xml:space="preserve"> LPS 3 Heritage List as part of </w:t>
            </w:r>
            <w:r w:rsidRPr="00A42BE9">
              <w:rPr>
                <w:rFonts w:asciiTheme="minorHAnsi" w:hAnsiTheme="minorHAnsi" w:cstheme="minorHAnsi"/>
                <w:sz w:val="18"/>
                <w:szCs w:val="18"/>
              </w:rPr>
              <w:t>George Street Precinct.</w:t>
            </w:r>
          </w:p>
        </w:tc>
      </w:tr>
      <w:tr w:rsidR="00665A13" w:rsidRPr="00A53749" w14:paraId="21FC3C26" w14:textId="77777777" w:rsidTr="001C7F4A">
        <w:trPr>
          <w:trHeight w:val="657"/>
        </w:trPr>
        <w:tc>
          <w:tcPr>
            <w:tcW w:w="425" w:type="dxa"/>
          </w:tcPr>
          <w:p w14:paraId="0D1D70DC"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3D7F4EBC" w14:textId="77777777" w:rsidR="00665A13" w:rsidRPr="00A42BE9" w:rsidRDefault="00665A13" w:rsidP="00A42BE9">
            <w:pPr>
              <w:pStyle w:val="TableParagraph"/>
              <w:spacing w:line="219" w:lineRule="exact"/>
              <w:ind w:left="12"/>
              <w:rPr>
                <w:rFonts w:asciiTheme="minorHAnsi" w:hAnsiTheme="minorHAnsi" w:cstheme="minorHAnsi"/>
                <w:sz w:val="18"/>
                <w:szCs w:val="18"/>
              </w:rPr>
            </w:pPr>
            <w:r w:rsidRPr="00A42BE9">
              <w:rPr>
                <w:rFonts w:asciiTheme="minorHAnsi" w:hAnsiTheme="minorHAnsi" w:cstheme="minorHAnsi"/>
                <w:sz w:val="18"/>
                <w:szCs w:val="18"/>
              </w:rPr>
              <w:t>42 Glyde Street</w:t>
            </w:r>
          </w:p>
          <w:p w14:paraId="57FC5F95" w14:textId="77777777" w:rsidR="00665A13" w:rsidRPr="00A42BE9" w:rsidRDefault="00665A13" w:rsidP="00A42BE9">
            <w:pPr>
              <w:pStyle w:val="TableParagraph"/>
              <w:spacing w:before="1"/>
              <w:ind w:left="12"/>
              <w:rPr>
                <w:rFonts w:asciiTheme="minorHAnsi" w:hAnsiTheme="minorHAnsi" w:cstheme="minorHAnsi"/>
                <w:sz w:val="18"/>
                <w:szCs w:val="18"/>
              </w:rPr>
            </w:pPr>
          </w:p>
        </w:tc>
        <w:tc>
          <w:tcPr>
            <w:tcW w:w="1130" w:type="dxa"/>
          </w:tcPr>
          <w:p w14:paraId="07EBB671" w14:textId="77777777" w:rsidR="00665A13" w:rsidRPr="00A42BE9" w:rsidRDefault="00665A13" w:rsidP="00A9290F">
            <w:pPr>
              <w:pStyle w:val="TableParagraph"/>
              <w:spacing w:line="219" w:lineRule="exact"/>
              <w:ind w:left="95" w:right="86"/>
              <w:jc w:val="center"/>
              <w:rPr>
                <w:rFonts w:asciiTheme="minorHAnsi" w:hAnsiTheme="minorHAnsi" w:cstheme="minorHAnsi"/>
                <w:sz w:val="18"/>
                <w:szCs w:val="18"/>
              </w:rPr>
            </w:pPr>
            <w:r w:rsidRPr="00A42BE9">
              <w:rPr>
                <w:rFonts w:asciiTheme="minorHAnsi" w:hAnsiTheme="minorHAnsi" w:cstheme="minorHAnsi"/>
                <w:sz w:val="18"/>
                <w:szCs w:val="18"/>
              </w:rPr>
              <w:t>Lots 147 &amp;</w:t>
            </w:r>
          </w:p>
          <w:p w14:paraId="78C2C252" w14:textId="77777777" w:rsidR="00665A13" w:rsidRPr="00A42BE9" w:rsidRDefault="00665A13" w:rsidP="00A9290F">
            <w:pPr>
              <w:pStyle w:val="TableParagraph"/>
              <w:spacing w:before="1"/>
              <w:ind w:left="95" w:right="88"/>
              <w:jc w:val="center"/>
              <w:rPr>
                <w:rFonts w:asciiTheme="minorHAnsi" w:hAnsiTheme="minorHAnsi" w:cstheme="minorHAnsi"/>
                <w:sz w:val="18"/>
                <w:szCs w:val="18"/>
              </w:rPr>
            </w:pPr>
            <w:r w:rsidRPr="00A42BE9">
              <w:rPr>
                <w:rFonts w:asciiTheme="minorHAnsi" w:hAnsiTheme="minorHAnsi" w:cstheme="minorHAnsi"/>
                <w:sz w:val="18"/>
                <w:szCs w:val="18"/>
              </w:rPr>
              <w:t>410</w:t>
            </w:r>
          </w:p>
        </w:tc>
        <w:tc>
          <w:tcPr>
            <w:tcW w:w="1569" w:type="dxa"/>
          </w:tcPr>
          <w:p w14:paraId="62A5C99C" w14:textId="77777777" w:rsidR="00665A13" w:rsidRPr="00A42BE9" w:rsidRDefault="00665A13" w:rsidP="00A42BE9">
            <w:pPr>
              <w:pStyle w:val="TableParagraph"/>
              <w:ind w:left="161" w:right="356"/>
              <w:rPr>
                <w:rFonts w:asciiTheme="minorHAnsi" w:hAnsiTheme="minorHAnsi" w:cstheme="minorHAnsi"/>
                <w:sz w:val="18"/>
                <w:szCs w:val="18"/>
              </w:rPr>
            </w:pPr>
            <w:r w:rsidRPr="00A42BE9">
              <w:rPr>
                <w:rFonts w:asciiTheme="minorHAnsi" w:hAnsiTheme="minorHAnsi" w:cstheme="minorHAnsi"/>
                <w:sz w:val="18"/>
                <w:szCs w:val="18"/>
              </w:rPr>
              <w:t>Federation Bungalow</w:t>
            </w:r>
          </w:p>
          <w:p w14:paraId="0D344F66" w14:textId="77777777" w:rsidR="00665A13" w:rsidRPr="00A42BE9" w:rsidRDefault="00665A13" w:rsidP="00A42BE9">
            <w:pPr>
              <w:pStyle w:val="TableParagraph"/>
              <w:spacing w:line="199" w:lineRule="exact"/>
              <w:ind w:left="161"/>
              <w:rPr>
                <w:rFonts w:asciiTheme="minorHAnsi" w:hAnsiTheme="minorHAnsi" w:cstheme="minorHAnsi"/>
                <w:sz w:val="18"/>
                <w:szCs w:val="18"/>
              </w:rPr>
            </w:pPr>
            <w:r w:rsidRPr="00A42BE9">
              <w:rPr>
                <w:rFonts w:asciiTheme="minorHAnsi" w:hAnsiTheme="minorHAnsi" w:cstheme="minorHAnsi"/>
                <w:sz w:val="18"/>
                <w:szCs w:val="18"/>
              </w:rPr>
              <w:t>Glyde In</w:t>
            </w:r>
          </w:p>
        </w:tc>
        <w:tc>
          <w:tcPr>
            <w:tcW w:w="1278" w:type="dxa"/>
          </w:tcPr>
          <w:p w14:paraId="2AD6BAD9" w14:textId="77777777" w:rsidR="00665A13" w:rsidRPr="00A42BE9" w:rsidRDefault="00665A13" w:rsidP="00A9290F">
            <w:pPr>
              <w:pStyle w:val="TableParagraph"/>
              <w:spacing w:line="219" w:lineRule="exact"/>
              <w:ind w:left="162" w:right="148"/>
              <w:jc w:val="center"/>
              <w:rPr>
                <w:rFonts w:asciiTheme="minorHAnsi" w:hAnsiTheme="minorHAnsi" w:cstheme="minorHAnsi"/>
                <w:sz w:val="18"/>
                <w:szCs w:val="18"/>
              </w:rPr>
            </w:pPr>
            <w:r w:rsidRPr="00A42BE9">
              <w:rPr>
                <w:rFonts w:asciiTheme="minorHAnsi" w:hAnsiTheme="minorHAnsi" w:cstheme="minorHAnsi"/>
                <w:sz w:val="18"/>
                <w:szCs w:val="18"/>
              </w:rPr>
              <w:t>circa 1910</w:t>
            </w:r>
          </w:p>
        </w:tc>
        <w:tc>
          <w:tcPr>
            <w:tcW w:w="3108" w:type="dxa"/>
          </w:tcPr>
          <w:p w14:paraId="0ACAD28E" w14:textId="77777777" w:rsidR="00665A13" w:rsidRPr="00A42BE9" w:rsidRDefault="00665A13" w:rsidP="00A42BE9">
            <w:pPr>
              <w:pStyle w:val="TableParagraph"/>
              <w:ind w:left="109" w:right="264" w:hanging="1"/>
              <w:rPr>
                <w:rFonts w:asciiTheme="minorHAnsi" w:hAnsiTheme="minorHAnsi" w:cstheme="minorHAnsi"/>
                <w:sz w:val="18"/>
                <w:szCs w:val="18"/>
              </w:rPr>
            </w:pPr>
            <w:r w:rsidRPr="00A42BE9">
              <w:rPr>
                <w:rFonts w:asciiTheme="minorHAnsi" w:hAnsiTheme="minorHAnsi" w:cstheme="minorHAnsi"/>
                <w:sz w:val="18"/>
                <w:szCs w:val="18"/>
              </w:rPr>
              <w:t>Municipal Heritage Inventory Cat C. Include</w:t>
            </w:r>
            <w:r w:rsidR="00A42BE9">
              <w:rPr>
                <w:rFonts w:asciiTheme="minorHAnsi" w:hAnsiTheme="minorHAnsi" w:cstheme="minorHAnsi"/>
                <w:sz w:val="18"/>
                <w:szCs w:val="18"/>
              </w:rPr>
              <w:t xml:space="preserve">d within LPS 3 Heritage List as </w:t>
            </w:r>
            <w:r w:rsidRPr="00A42BE9">
              <w:rPr>
                <w:rFonts w:asciiTheme="minorHAnsi" w:hAnsiTheme="minorHAnsi" w:cstheme="minorHAnsi"/>
                <w:sz w:val="18"/>
                <w:szCs w:val="18"/>
              </w:rPr>
              <w:t>part of George Street Precinct.</w:t>
            </w:r>
          </w:p>
        </w:tc>
      </w:tr>
      <w:tr w:rsidR="00665A13" w:rsidRPr="00A53749" w14:paraId="0538963E" w14:textId="77777777" w:rsidTr="001C7F4A">
        <w:trPr>
          <w:trHeight w:val="880"/>
        </w:trPr>
        <w:tc>
          <w:tcPr>
            <w:tcW w:w="425" w:type="dxa"/>
          </w:tcPr>
          <w:p w14:paraId="649C37DF"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58185D72" w14:textId="77777777" w:rsidR="00665A13" w:rsidRPr="000E4502" w:rsidRDefault="00665A13" w:rsidP="000E4502">
            <w:pPr>
              <w:pStyle w:val="TableParagraph"/>
              <w:spacing w:before="1"/>
              <w:ind w:left="12"/>
              <w:rPr>
                <w:rFonts w:asciiTheme="minorHAnsi" w:hAnsiTheme="minorHAnsi" w:cstheme="minorHAnsi"/>
                <w:sz w:val="18"/>
                <w:szCs w:val="18"/>
              </w:rPr>
            </w:pPr>
            <w:r w:rsidRPr="000E4502">
              <w:rPr>
                <w:rFonts w:asciiTheme="minorHAnsi" w:hAnsiTheme="minorHAnsi" w:cstheme="minorHAnsi"/>
                <w:sz w:val="18"/>
                <w:szCs w:val="18"/>
              </w:rPr>
              <w:t>61 George Street</w:t>
            </w:r>
          </w:p>
          <w:p w14:paraId="39C5CCC9" w14:textId="77777777" w:rsidR="00665A13" w:rsidRPr="000E4502" w:rsidRDefault="00665A13" w:rsidP="00A9290F">
            <w:pPr>
              <w:pStyle w:val="TableParagraph"/>
              <w:spacing w:before="1"/>
              <w:rPr>
                <w:rFonts w:asciiTheme="minorHAnsi" w:hAnsiTheme="minorHAnsi" w:cstheme="minorHAnsi"/>
                <w:sz w:val="18"/>
                <w:szCs w:val="18"/>
              </w:rPr>
            </w:pPr>
          </w:p>
        </w:tc>
        <w:tc>
          <w:tcPr>
            <w:tcW w:w="1130" w:type="dxa"/>
          </w:tcPr>
          <w:p w14:paraId="744E03D9" w14:textId="77777777" w:rsidR="00665A13" w:rsidRPr="000E4502" w:rsidRDefault="00665A13" w:rsidP="00A9290F">
            <w:pPr>
              <w:pStyle w:val="TableParagraph"/>
              <w:spacing w:before="1"/>
              <w:ind w:left="271"/>
              <w:rPr>
                <w:rFonts w:asciiTheme="minorHAnsi" w:hAnsiTheme="minorHAnsi" w:cstheme="minorHAnsi"/>
                <w:sz w:val="18"/>
                <w:szCs w:val="18"/>
              </w:rPr>
            </w:pPr>
            <w:r w:rsidRPr="000E4502">
              <w:rPr>
                <w:rFonts w:asciiTheme="minorHAnsi" w:hAnsiTheme="minorHAnsi" w:cstheme="minorHAnsi"/>
                <w:sz w:val="18"/>
                <w:szCs w:val="18"/>
              </w:rPr>
              <w:t>50,</w:t>
            </w:r>
            <w:r w:rsidRPr="000E4502">
              <w:rPr>
                <w:rFonts w:asciiTheme="minorHAnsi" w:hAnsiTheme="minorHAnsi" w:cstheme="minorHAnsi"/>
                <w:spacing w:val="-1"/>
                <w:sz w:val="18"/>
                <w:szCs w:val="18"/>
              </w:rPr>
              <w:t xml:space="preserve"> </w:t>
            </w:r>
            <w:r w:rsidRPr="000E4502">
              <w:rPr>
                <w:rFonts w:asciiTheme="minorHAnsi" w:hAnsiTheme="minorHAnsi" w:cstheme="minorHAnsi"/>
                <w:sz w:val="18"/>
                <w:szCs w:val="18"/>
              </w:rPr>
              <w:t>144,</w:t>
            </w:r>
          </w:p>
          <w:p w14:paraId="6FF68AF3" w14:textId="77777777" w:rsidR="00665A13" w:rsidRPr="000E4502" w:rsidRDefault="00665A13" w:rsidP="00A9290F">
            <w:pPr>
              <w:pStyle w:val="TableParagraph"/>
              <w:spacing w:before="1"/>
              <w:ind w:left="287" w:right="259" w:firstLine="72"/>
              <w:rPr>
                <w:rFonts w:asciiTheme="minorHAnsi" w:hAnsiTheme="minorHAnsi" w:cstheme="minorHAnsi"/>
                <w:sz w:val="18"/>
                <w:szCs w:val="18"/>
              </w:rPr>
            </w:pPr>
            <w:r w:rsidRPr="000E4502">
              <w:rPr>
                <w:rFonts w:asciiTheme="minorHAnsi" w:hAnsiTheme="minorHAnsi" w:cstheme="minorHAnsi"/>
                <w:sz w:val="18"/>
                <w:szCs w:val="18"/>
              </w:rPr>
              <w:t>6228, R24701</w:t>
            </w:r>
          </w:p>
        </w:tc>
        <w:tc>
          <w:tcPr>
            <w:tcW w:w="1569" w:type="dxa"/>
          </w:tcPr>
          <w:p w14:paraId="603D7480" w14:textId="77777777" w:rsidR="00665A13" w:rsidRPr="000E4502" w:rsidRDefault="00665A13" w:rsidP="000E4502">
            <w:pPr>
              <w:pStyle w:val="TableParagraph"/>
              <w:spacing w:before="1"/>
              <w:ind w:left="182" w:right="174"/>
              <w:rPr>
                <w:rFonts w:asciiTheme="minorHAnsi" w:hAnsiTheme="minorHAnsi" w:cstheme="minorHAnsi"/>
                <w:sz w:val="18"/>
                <w:szCs w:val="18"/>
              </w:rPr>
            </w:pPr>
            <w:r w:rsidRPr="000E4502">
              <w:rPr>
                <w:rFonts w:asciiTheme="minorHAnsi" w:hAnsiTheme="minorHAnsi" w:cstheme="minorHAnsi"/>
                <w:sz w:val="18"/>
                <w:szCs w:val="18"/>
              </w:rPr>
              <w:t>Glasson Park</w:t>
            </w:r>
          </w:p>
        </w:tc>
        <w:tc>
          <w:tcPr>
            <w:tcW w:w="1278" w:type="dxa"/>
          </w:tcPr>
          <w:p w14:paraId="30AB45D1" w14:textId="77777777" w:rsidR="00665A13" w:rsidRPr="000E4502" w:rsidRDefault="00665A13" w:rsidP="00A9290F">
            <w:pPr>
              <w:pStyle w:val="TableParagraph"/>
              <w:spacing w:before="1"/>
              <w:ind w:left="13"/>
              <w:jc w:val="center"/>
              <w:rPr>
                <w:rFonts w:asciiTheme="minorHAnsi" w:hAnsiTheme="minorHAnsi" w:cstheme="minorHAnsi"/>
                <w:sz w:val="18"/>
                <w:szCs w:val="18"/>
              </w:rPr>
            </w:pPr>
            <w:r w:rsidRPr="000E4502">
              <w:rPr>
                <w:rFonts w:asciiTheme="minorHAnsi" w:hAnsiTheme="minorHAnsi" w:cstheme="minorHAnsi"/>
                <w:sz w:val="18"/>
                <w:szCs w:val="18"/>
              </w:rPr>
              <w:t>c</w:t>
            </w:r>
          </w:p>
        </w:tc>
        <w:tc>
          <w:tcPr>
            <w:tcW w:w="3108" w:type="dxa"/>
          </w:tcPr>
          <w:p w14:paraId="35A22B4F" w14:textId="77777777" w:rsidR="00665A13" w:rsidRPr="000E4502" w:rsidRDefault="00665A13" w:rsidP="00A9290F">
            <w:pPr>
              <w:pStyle w:val="TableParagraph"/>
              <w:spacing w:before="1"/>
              <w:ind w:left="109" w:right="362"/>
              <w:rPr>
                <w:rFonts w:asciiTheme="minorHAnsi" w:hAnsiTheme="minorHAnsi" w:cstheme="minorHAnsi"/>
                <w:sz w:val="18"/>
                <w:szCs w:val="18"/>
              </w:rPr>
            </w:pPr>
            <w:r w:rsidRPr="000E4502">
              <w:rPr>
                <w:rFonts w:asciiTheme="minorHAnsi" w:hAnsiTheme="minorHAnsi" w:cstheme="minorHAnsi"/>
                <w:sz w:val="18"/>
                <w:szCs w:val="18"/>
              </w:rPr>
              <w:t>Municipal Heritage Inventory Cat A. LPS 3 Heritage List (individual).</w:t>
            </w:r>
          </w:p>
          <w:p w14:paraId="29643B02" w14:textId="77777777" w:rsidR="00665A13" w:rsidRPr="000E4502" w:rsidRDefault="00665A13" w:rsidP="000E4502">
            <w:pPr>
              <w:pStyle w:val="TableParagraph"/>
              <w:spacing w:line="219" w:lineRule="exact"/>
              <w:ind w:left="109"/>
              <w:rPr>
                <w:rFonts w:asciiTheme="minorHAnsi" w:hAnsiTheme="minorHAnsi" w:cstheme="minorHAnsi"/>
                <w:sz w:val="18"/>
                <w:szCs w:val="18"/>
              </w:rPr>
            </w:pPr>
            <w:r w:rsidRPr="000E4502">
              <w:rPr>
                <w:rFonts w:asciiTheme="minorHAnsi" w:hAnsiTheme="minorHAnsi" w:cstheme="minorHAnsi"/>
                <w:sz w:val="18"/>
                <w:szCs w:val="18"/>
              </w:rPr>
              <w:t>Include</w:t>
            </w:r>
            <w:r w:rsidR="000E4502">
              <w:rPr>
                <w:rFonts w:asciiTheme="minorHAnsi" w:hAnsiTheme="minorHAnsi" w:cstheme="minorHAnsi"/>
                <w:sz w:val="18"/>
                <w:szCs w:val="18"/>
              </w:rPr>
              <w:t xml:space="preserve">d within LPS 3 Heritage List as </w:t>
            </w:r>
            <w:r w:rsidRPr="000E4502">
              <w:rPr>
                <w:rFonts w:asciiTheme="minorHAnsi" w:hAnsiTheme="minorHAnsi" w:cstheme="minorHAnsi"/>
                <w:sz w:val="18"/>
                <w:szCs w:val="18"/>
              </w:rPr>
              <w:t>part of George Street Precinct.</w:t>
            </w:r>
          </w:p>
        </w:tc>
      </w:tr>
    </w:tbl>
    <w:p w14:paraId="66E88C2E" w14:textId="77777777" w:rsidR="001C7F4A" w:rsidRDefault="001C7F4A"/>
    <w:p w14:paraId="0256C1BE" w14:textId="77777777" w:rsidR="001C7F4A" w:rsidRDefault="001C7F4A" w:rsidP="001C7F4A">
      <w:r>
        <w:br w:type="page"/>
      </w: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1843"/>
        <w:gridCol w:w="1130"/>
        <w:gridCol w:w="1569"/>
        <w:gridCol w:w="1274"/>
        <w:gridCol w:w="3112"/>
      </w:tblGrid>
      <w:tr w:rsidR="001C7F4A" w:rsidRPr="00A53749" w14:paraId="6C9B5261" w14:textId="77777777" w:rsidTr="00AB60B0">
        <w:trPr>
          <w:trHeight w:val="408"/>
        </w:trPr>
        <w:tc>
          <w:tcPr>
            <w:tcW w:w="2268" w:type="dxa"/>
            <w:gridSpan w:val="2"/>
            <w:shd w:val="clear" w:color="auto" w:fill="D9D9D9" w:themeFill="background1" w:themeFillShade="D9"/>
          </w:tcPr>
          <w:p w14:paraId="55534142" w14:textId="77777777" w:rsidR="001C7F4A" w:rsidRPr="00A42BE9" w:rsidRDefault="001C7F4A" w:rsidP="001C7F4A">
            <w:pPr>
              <w:pStyle w:val="TableParagraph"/>
              <w:spacing w:before="1"/>
              <w:ind w:left="484"/>
              <w:rPr>
                <w:rFonts w:asciiTheme="minorHAnsi" w:hAnsiTheme="minorHAnsi" w:cstheme="minorHAnsi"/>
                <w:b/>
                <w:sz w:val="18"/>
                <w:szCs w:val="18"/>
              </w:rPr>
            </w:pPr>
            <w:r w:rsidRPr="00A42BE9">
              <w:rPr>
                <w:rFonts w:asciiTheme="minorHAnsi" w:hAnsiTheme="minorHAnsi" w:cstheme="minorHAnsi"/>
                <w:b/>
                <w:sz w:val="18"/>
                <w:szCs w:val="18"/>
              </w:rPr>
              <w:lastRenderedPageBreak/>
              <w:t>Property Address</w:t>
            </w:r>
          </w:p>
        </w:tc>
        <w:tc>
          <w:tcPr>
            <w:tcW w:w="1130" w:type="dxa"/>
            <w:shd w:val="clear" w:color="auto" w:fill="D9D9D9" w:themeFill="background1" w:themeFillShade="D9"/>
          </w:tcPr>
          <w:p w14:paraId="75FB5366" w14:textId="77777777" w:rsidR="001C7F4A" w:rsidRPr="00A42BE9" w:rsidRDefault="001C7F4A" w:rsidP="001C7F4A">
            <w:pPr>
              <w:pStyle w:val="TableParagraph"/>
              <w:spacing w:before="1"/>
              <w:ind w:left="95" w:right="88"/>
              <w:jc w:val="center"/>
              <w:rPr>
                <w:rFonts w:asciiTheme="minorHAnsi" w:hAnsiTheme="minorHAnsi" w:cstheme="minorHAnsi"/>
                <w:b/>
                <w:sz w:val="18"/>
                <w:szCs w:val="18"/>
              </w:rPr>
            </w:pPr>
            <w:r w:rsidRPr="00A42BE9">
              <w:rPr>
                <w:rFonts w:asciiTheme="minorHAnsi" w:hAnsiTheme="minorHAnsi" w:cstheme="minorHAnsi"/>
                <w:b/>
                <w:sz w:val="18"/>
                <w:szCs w:val="18"/>
              </w:rPr>
              <w:t>Lot No</w:t>
            </w:r>
          </w:p>
        </w:tc>
        <w:tc>
          <w:tcPr>
            <w:tcW w:w="1569" w:type="dxa"/>
            <w:shd w:val="clear" w:color="auto" w:fill="D9D9D9" w:themeFill="background1" w:themeFillShade="D9"/>
          </w:tcPr>
          <w:p w14:paraId="45BB5967" w14:textId="77777777" w:rsidR="001C7F4A" w:rsidRPr="00A42BE9" w:rsidRDefault="001C7F4A" w:rsidP="001C7F4A">
            <w:pPr>
              <w:pStyle w:val="TableParagraph"/>
              <w:spacing w:before="1" w:line="219" w:lineRule="exact"/>
              <w:ind w:left="183" w:right="174"/>
              <w:jc w:val="center"/>
              <w:rPr>
                <w:rFonts w:asciiTheme="minorHAnsi" w:hAnsiTheme="minorHAnsi" w:cstheme="minorHAnsi"/>
                <w:b/>
                <w:sz w:val="18"/>
                <w:szCs w:val="18"/>
              </w:rPr>
            </w:pPr>
            <w:r w:rsidRPr="00A42BE9">
              <w:rPr>
                <w:rFonts w:asciiTheme="minorHAnsi" w:hAnsiTheme="minorHAnsi" w:cstheme="minorHAnsi"/>
                <w:b/>
                <w:sz w:val="18"/>
                <w:szCs w:val="18"/>
              </w:rPr>
              <w:t>Architectural</w:t>
            </w:r>
          </w:p>
          <w:p w14:paraId="3F61AD3E" w14:textId="77777777" w:rsidR="001C7F4A" w:rsidRPr="00A42BE9" w:rsidRDefault="001C7F4A" w:rsidP="001C7F4A">
            <w:pPr>
              <w:pStyle w:val="TableParagraph"/>
              <w:spacing w:line="199" w:lineRule="exact"/>
              <w:ind w:left="181" w:right="174"/>
              <w:jc w:val="center"/>
              <w:rPr>
                <w:rFonts w:asciiTheme="minorHAnsi" w:hAnsiTheme="minorHAnsi" w:cstheme="minorHAnsi"/>
                <w:b/>
                <w:sz w:val="18"/>
                <w:szCs w:val="18"/>
              </w:rPr>
            </w:pPr>
            <w:r w:rsidRPr="00A42BE9">
              <w:rPr>
                <w:rFonts w:asciiTheme="minorHAnsi" w:hAnsiTheme="minorHAnsi" w:cstheme="minorHAnsi"/>
                <w:b/>
                <w:sz w:val="18"/>
                <w:szCs w:val="18"/>
              </w:rPr>
              <w:t>Style</w:t>
            </w:r>
          </w:p>
        </w:tc>
        <w:tc>
          <w:tcPr>
            <w:tcW w:w="1274" w:type="dxa"/>
            <w:shd w:val="clear" w:color="auto" w:fill="D9D9D9" w:themeFill="background1" w:themeFillShade="D9"/>
          </w:tcPr>
          <w:p w14:paraId="214001C9" w14:textId="77777777" w:rsidR="001C7F4A" w:rsidRPr="00A42BE9" w:rsidRDefault="001C7F4A" w:rsidP="001C7F4A">
            <w:pPr>
              <w:pStyle w:val="TableParagraph"/>
              <w:spacing w:before="1" w:line="219" w:lineRule="exact"/>
              <w:ind w:left="162" w:right="152"/>
              <w:jc w:val="center"/>
              <w:rPr>
                <w:rFonts w:asciiTheme="minorHAnsi" w:hAnsiTheme="minorHAnsi" w:cstheme="minorHAnsi"/>
                <w:b/>
                <w:sz w:val="18"/>
                <w:szCs w:val="18"/>
              </w:rPr>
            </w:pPr>
            <w:r w:rsidRPr="00A42BE9">
              <w:rPr>
                <w:rFonts w:asciiTheme="minorHAnsi" w:hAnsiTheme="minorHAnsi" w:cstheme="minorHAnsi"/>
                <w:b/>
                <w:sz w:val="18"/>
                <w:szCs w:val="18"/>
              </w:rPr>
              <w:t>Constructed</w:t>
            </w:r>
          </w:p>
          <w:p w14:paraId="2F9142D4" w14:textId="77777777" w:rsidR="001C7F4A" w:rsidRPr="00A42BE9" w:rsidRDefault="001C7F4A" w:rsidP="001C7F4A">
            <w:pPr>
              <w:pStyle w:val="TableParagraph"/>
              <w:spacing w:line="199" w:lineRule="exact"/>
              <w:ind w:left="162" w:right="151"/>
              <w:jc w:val="center"/>
              <w:rPr>
                <w:rFonts w:asciiTheme="minorHAnsi" w:hAnsiTheme="minorHAnsi" w:cstheme="minorHAnsi"/>
                <w:b/>
                <w:sz w:val="18"/>
                <w:szCs w:val="18"/>
              </w:rPr>
            </w:pPr>
            <w:r w:rsidRPr="00A42BE9">
              <w:rPr>
                <w:rFonts w:asciiTheme="minorHAnsi" w:hAnsiTheme="minorHAnsi" w:cstheme="minorHAnsi"/>
                <w:b/>
                <w:sz w:val="18"/>
                <w:szCs w:val="18"/>
              </w:rPr>
              <w:t>(circa)</w:t>
            </w:r>
          </w:p>
        </w:tc>
        <w:tc>
          <w:tcPr>
            <w:tcW w:w="3112" w:type="dxa"/>
            <w:shd w:val="clear" w:color="auto" w:fill="D9D9D9" w:themeFill="background1" w:themeFillShade="D9"/>
          </w:tcPr>
          <w:p w14:paraId="72BD8B71" w14:textId="77777777" w:rsidR="001C7F4A" w:rsidRPr="00A42BE9" w:rsidRDefault="001C7F4A" w:rsidP="001C7F4A">
            <w:pPr>
              <w:pStyle w:val="TableParagraph"/>
              <w:spacing w:before="1"/>
              <w:ind w:left="975"/>
              <w:rPr>
                <w:rFonts w:asciiTheme="minorHAnsi" w:hAnsiTheme="minorHAnsi" w:cstheme="minorHAnsi"/>
                <w:b/>
                <w:sz w:val="18"/>
                <w:szCs w:val="18"/>
              </w:rPr>
            </w:pPr>
            <w:r w:rsidRPr="00A42BE9">
              <w:rPr>
                <w:rFonts w:asciiTheme="minorHAnsi" w:hAnsiTheme="minorHAnsi" w:cstheme="minorHAnsi"/>
                <w:b/>
                <w:sz w:val="18"/>
                <w:szCs w:val="18"/>
              </w:rPr>
              <w:t>Heritage Listing</w:t>
            </w:r>
          </w:p>
        </w:tc>
      </w:tr>
      <w:tr w:rsidR="00665A13" w:rsidRPr="00A53749" w14:paraId="76DDC3CA" w14:textId="77777777" w:rsidTr="00A9290F">
        <w:trPr>
          <w:trHeight w:val="659"/>
        </w:trPr>
        <w:tc>
          <w:tcPr>
            <w:tcW w:w="425" w:type="dxa"/>
          </w:tcPr>
          <w:p w14:paraId="1DB43579"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25741B88" w14:textId="77777777" w:rsidR="00665A13" w:rsidRPr="000E4502" w:rsidRDefault="00901DFF" w:rsidP="00901DFF">
            <w:pPr>
              <w:pStyle w:val="TableParagraph"/>
              <w:ind w:left="12" w:right="166"/>
              <w:rPr>
                <w:rFonts w:asciiTheme="minorHAnsi" w:hAnsiTheme="minorHAnsi" w:cstheme="minorHAnsi"/>
                <w:sz w:val="18"/>
                <w:szCs w:val="18"/>
              </w:rPr>
            </w:pPr>
            <w:r w:rsidRPr="000E4502">
              <w:rPr>
                <w:rFonts w:asciiTheme="minorHAnsi" w:hAnsiTheme="minorHAnsi" w:cstheme="minorHAnsi"/>
                <w:sz w:val="18"/>
                <w:szCs w:val="18"/>
              </w:rPr>
              <w:t>44 Hubble Street (previously known as 65 George Street)</w:t>
            </w:r>
          </w:p>
        </w:tc>
        <w:tc>
          <w:tcPr>
            <w:tcW w:w="1130" w:type="dxa"/>
          </w:tcPr>
          <w:p w14:paraId="7250E933" w14:textId="77777777" w:rsidR="00901DFF" w:rsidRPr="000E4502" w:rsidRDefault="00901DFF" w:rsidP="00901DFF">
            <w:pPr>
              <w:pStyle w:val="TableParagraph"/>
              <w:ind w:left="95" w:right="85"/>
              <w:jc w:val="center"/>
              <w:rPr>
                <w:rFonts w:asciiTheme="minorHAnsi" w:hAnsiTheme="minorHAnsi" w:cstheme="minorHAnsi"/>
                <w:sz w:val="18"/>
                <w:szCs w:val="18"/>
              </w:rPr>
            </w:pPr>
            <w:r w:rsidRPr="000E4502">
              <w:rPr>
                <w:rFonts w:asciiTheme="minorHAnsi" w:hAnsiTheme="minorHAnsi" w:cstheme="minorHAnsi"/>
                <w:sz w:val="18"/>
                <w:szCs w:val="18"/>
              </w:rPr>
              <w:t>Strata Plan 16096</w:t>
            </w:r>
          </w:p>
          <w:p w14:paraId="250F3D98" w14:textId="77777777" w:rsidR="00665A13" w:rsidRPr="000E4502" w:rsidRDefault="00901DFF" w:rsidP="00901DFF">
            <w:pPr>
              <w:pStyle w:val="TableParagraph"/>
              <w:spacing w:line="21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264</w:t>
            </w:r>
          </w:p>
        </w:tc>
        <w:tc>
          <w:tcPr>
            <w:tcW w:w="1569" w:type="dxa"/>
          </w:tcPr>
          <w:p w14:paraId="54BAB1A1" w14:textId="77777777" w:rsidR="00665A13" w:rsidRPr="000E4502" w:rsidRDefault="00901DFF" w:rsidP="000E4502">
            <w:pPr>
              <w:pStyle w:val="TableParagraph"/>
              <w:spacing w:line="219" w:lineRule="exact"/>
              <w:ind w:left="161"/>
              <w:rPr>
                <w:rFonts w:asciiTheme="minorHAnsi" w:hAnsiTheme="minorHAnsi" w:cstheme="minorHAnsi"/>
                <w:sz w:val="18"/>
                <w:szCs w:val="18"/>
              </w:rPr>
            </w:pPr>
            <w:r w:rsidRPr="000E4502">
              <w:rPr>
                <w:rFonts w:asciiTheme="minorHAnsi" w:hAnsiTheme="minorHAnsi" w:cstheme="minorHAnsi"/>
                <w:sz w:val="18"/>
                <w:szCs w:val="18"/>
              </w:rPr>
              <w:t>Federation Free Classical</w:t>
            </w:r>
          </w:p>
        </w:tc>
        <w:tc>
          <w:tcPr>
            <w:tcW w:w="1274" w:type="dxa"/>
          </w:tcPr>
          <w:p w14:paraId="193D5D49" w14:textId="77777777" w:rsidR="00665A13" w:rsidRPr="000E4502" w:rsidRDefault="00901DFF" w:rsidP="00A9290F">
            <w:pPr>
              <w:pStyle w:val="TableParagraph"/>
              <w:spacing w:line="219" w:lineRule="exact"/>
              <w:ind w:left="11"/>
              <w:jc w:val="center"/>
              <w:rPr>
                <w:rFonts w:asciiTheme="minorHAnsi" w:hAnsiTheme="minorHAnsi" w:cstheme="minorHAnsi"/>
                <w:sz w:val="18"/>
                <w:szCs w:val="18"/>
              </w:rPr>
            </w:pPr>
            <w:r w:rsidRPr="000E4502">
              <w:rPr>
                <w:rFonts w:asciiTheme="minorHAnsi" w:hAnsiTheme="minorHAnsi" w:cstheme="minorHAnsi"/>
                <w:sz w:val="18"/>
                <w:szCs w:val="18"/>
              </w:rPr>
              <w:t>circa 1900</w:t>
            </w:r>
          </w:p>
        </w:tc>
        <w:tc>
          <w:tcPr>
            <w:tcW w:w="3112" w:type="dxa"/>
          </w:tcPr>
          <w:p w14:paraId="62306D4B" w14:textId="77777777" w:rsidR="00665A13" w:rsidRPr="000E4502" w:rsidRDefault="00901DFF" w:rsidP="000E4502">
            <w:pPr>
              <w:pStyle w:val="TableParagraph"/>
              <w:ind w:left="109"/>
              <w:rPr>
                <w:rFonts w:asciiTheme="minorHAnsi" w:hAnsiTheme="minorHAnsi" w:cstheme="minorHAnsi"/>
                <w:sz w:val="18"/>
                <w:szCs w:val="18"/>
              </w:rPr>
            </w:pPr>
            <w:r>
              <w:rPr>
                <w:rFonts w:asciiTheme="minorHAnsi" w:hAnsiTheme="minorHAnsi" w:cstheme="minorHAnsi"/>
                <w:sz w:val="18"/>
                <w:szCs w:val="18"/>
              </w:rPr>
              <w:t>N</w:t>
            </w:r>
            <w:r w:rsidRPr="000E4502">
              <w:rPr>
                <w:rFonts w:asciiTheme="minorHAnsi" w:hAnsiTheme="minorHAnsi" w:cstheme="minorHAnsi"/>
                <w:sz w:val="18"/>
                <w:szCs w:val="18"/>
              </w:rPr>
              <w:t>OTE: (was listed in Municipal Heritage Inventory Cat B in 2006 – omitted from LPS 3 Heritage List in 2015 due to an administrative error – subject of</w:t>
            </w:r>
            <w:r>
              <w:rPr>
                <w:rFonts w:asciiTheme="minorHAnsi" w:hAnsiTheme="minorHAnsi" w:cstheme="minorHAnsi"/>
                <w:sz w:val="18"/>
                <w:szCs w:val="18"/>
              </w:rPr>
              <w:t xml:space="preserve"> separate report to Council for reinstatement on Heritage List.</w:t>
            </w:r>
          </w:p>
        </w:tc>
      </w:tr>
      <w:tr w:rsidR="00901DFF" w:rsidRPr="00A53749" w14:paraId="2033E73F" w14:textId="77777777" w:rsidTr="00A9290F">
        <w:trPr>
          <w:trHeight w:val="659"/>
        </w:trPr>
        <w:tc>
          <w:tcPr>
            <w:tcW w:w="425" w:type="dxa"/>
          </w:tcPr>
          <w:p w14:paraId="34AD0BA7"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6DA4D577" w14:textId="77777777" w:rsidR="00901DFF" w:rsidRPr="000E4502" w:rsidRDefault="00901DFF" w:rsidP="001C7F4A">
            <w:pPr>
              <w:pStyle w:val="TableParagraph"/>
              <w:spacing w:line="219" w:lineRule="exact"/>
              <w:ind w:left="12"/>
              <w:rPr>
                <w:rFonts w:asciiTheme="minorHAnsi" w:hAnsiTheme="minorHAnsi" w:cstheme="minorHAnsi"/>
                <w:sz w:val="18"/>
                <w:szCs w:val="18"/>
              </w:rPr>
            </w:pPr>
            <w:r w:rsidRPr="000E4502">
              <w:rPr>
                <w:rFonts w:asciiTheme="minorHAnsi" w:hAnsiTheme="minorHAnsi" w:cstheme="minorHAnsi"/>
                <w:sz w:val="18"/>
                <w:szCs w:val="18"/>
              </w:rPr>
              <w:t>46 Hubble Street</w:t>
            </w:r>
          </w:p>
          <w:p w14:paraId="679E213A" w14:textId="77777777" w:rsidR="00901DFF" w:rsidRPr="000E4502" w:rsidRDefault="00901DFF" w:rsidP="001C7F4A">
            <w:pPr>
              <w:pStyle w:val="TableParagraph"/>
              <w:spacing w:before="1"/>
              <w:ind w:left="12"/>
              <w:rPr>
                <w:rFonts w:asciiTheme="minorHAnsi" w:hAnsiTheme="minorHAnsi" w:cstheme="minorHAnsi"/>
                <w:sz w:val="18"/>
                <w:szCs w:val="18"/>
              </w:rPr>
            </w:pPr>
          </w:p>
        </w:tc>
        <w:tc>
          <w:tcPr>
            <w:tcW w:w="1130" w:type="dxa"/>
          </w:tcPr>
          <w:p w14:paraId="386D9699" w14:textId="77777777" w:rsidR="00901DFF" w:rsidRPr="000E4502" w:rsidRDefault="00901DFF" w:rsidP="00901DFF">
            <w:pPr>
              <w:pStyle w:val="TableParagraph"/>
              <w:spacing w:line="21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265</w:t>
            </w:r>
          </w:p>
        </w:tc>
        <w:tc>
          <w:tcPr>
            <w:tcW w:w="1569" w:type="dxa"/>
          </w:tcPr>
          <w:p w14:paraId="5F372DF8" w14:textId="77777777" w:rsidR="00901DFF" w:rsidRPr="000E4502" w:rsidRDefault="00901DFF" w:rsidP="00901DFF">
            <w:pPr>
              <w:pStyle w:val="TableParagraph"/>
              <w:spacing w:line="219" w:lineRule="exact"/>
              <w:ind w:left="161"/>
              <w:rPr>
                <w:rFonts w:asciiTheme="minorHAnsi" w:hAnsiTheme="minorHAnsi" w:cstheme="minorHAnsi"/>
                <w:sz w:val="18"/>
                <w:szCs w:val="18"/>
              </w:rPr>
            </w:pPr>
            <w:r w:rsidRPr="000E4502">
              <w:rPr>
                <w:rFonts w:asciiTheme="minorHAnsi" w:hAnsiTheme="minorHAnsi" w:cstheme="minorHAnsi"/>
                <w:sz w:val="18"/>
                <w:szCs w:val="18"/>
              </w:rPr>
              <w:t>-</w:t>
            </w:r>
          </w:p>
        </w:tc>
        <w:tc>
          <w:tcPr>
            <w:tcW w:w="1274" w:type="dxa"/>
          </w:tcPr>
          <w:p w14:paraId="62EB5A62" w14:textId="77777777" w:rsidR="00901DFF" w:rsidRPr="000E4502" w:rsidRDefault="00901DFF" w:rsidP="00901DFF">
            <w:pPr>
              <w:pStyle w:val="TableParagraph"/>
              <w:spacing w:line="219" w:lineRule="exact"/>
              <w:ind w:left="11"/>
              <w:jc w:val="center"/>
              <w:rPr>
                <w:rFonts w:asciiTheme="minorHAnsi" w:hAnsiTheme="minorHAnsi" w:cstheme="minorHAnsi"/>
                <w:sz w:val="18"/>
                <w:szCs w:val="18"/>
              </w:rPr>
            </w:pPr>
            <w:r w:rsidRPr="000E4502">
              <w:rPr>
                <w:rFonts w:asciiTheme="minorHAnsi" w:hAnsiTheme="minorHAnsi" w:cstheme="minorHAnsi"/>
                <w:sz w:val="18"/>
                <w:szCs w:val="18"/>
              </w:rPr>
              <w:t>-</w:t>
            </w:r>
          </w:p>
        </w:tc>
        <w:tc>
          <w:tcPr>
            <w:tcW w:w="3112" w:type="dxa"/>
          </w:tcPr>
          <w:p w14:paraId="79F752E4" w14:textId="77777777" w:rsidR="00901DFF" w:rsidRPr="000E4502" w:rsidRDefault="00901DFF" w:rsidP="00901DFF">
            <w:pPr>
              <w:pStyle w:val="TableParagraph"/>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w:t>
            </w:r>
            <w:r>
              <w:rPr>
                <w:rFonts w:asciiTheme="minorHAnsi" w:hAnsiTheme="minorHAnsi" w:cstheme="minorHAnsi"/>
                <w:sz w:val="18"/>
                <w:szCs w:val="18"/>
              </w:rPr>
              <w:t xml:space="preserve"> LPS 3 Heritage List as part of </w:t>
            </w:r>
            <w:r w:rsidRPr="000E4502">
              <w:rPr>
                <w:rFonts w:asciiTheme="minorHAnsi" w:hAnsiTheme="minorHAnsi" w:cstheme="minorHAnsi"/>
                <w:sz w:val="18"/>
                <w:szCs w:val="18"/>
              </w:rPr>
              <w:t>George Street Precinct.</w:t>
            </w:r>
          </w:p>
        </w:tc>
      </w:tr>
      <w:tr w:rsidR="00901DFF" w:rsidRPr="00A53749" w14:paraId="3D6EAD60" w14:textId="77777777" w:rsidTr="00A9290F">
        <w:trPr>
          <w:trHeight w:val="657"/>
        </w:trPr>
        <w:tc>
          <w:tcPr>
            <w:tcW w:w="425" w:type="dxa"/>
          </w:tcPr>
          <w:p w14:paraId="023B1D74"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30E59C25" w14:textId="77777777" w:rsidR="00901DFF" w:rsidRPr="000E4502" w:rsidRDefault="00901DFF" w:rsidP="001C7F4A">
            <w:pPr>
              <w:pStyle w:val="TableParagraph"/>
              <w:spacing w:line="219" w:lineRule="exact"/>
              <w:ind w:left="12"/>
              <w:rPr>
                <w:rFonts w:asciiTheme="minorHAnsi" w:hAnsiTheme="minorHAnsi" w:cstheme="minorHAnsi"/>
                <w:sz w:val="18"/>
                <w:szCs w:val="18"/>
              </w:rPr>
            </w:pPr>
            <w:r w:rsidRPr="000E4502">
              <w:rPr>
                <w:rFonts w:asciiTheme="minorHAnsi" w:hAnsiTheme="minorHAnsi" w:cstheme="minorHAnsi"/>
                <w:sz w:val="18"/>
                <w:szCs w:val="18"/>
              </w:rPr>
              <w:t>49 Hubble</w:t>
            </w:r>
          </w:p>
        </w:tc>
        <w:tc>
          <w:tcPr>
            <w:tcW w:w="1130" w:type="dxa"/>
          </w:tcPr>
          <w:p w14:paraId="73A40956" w14:textId="77777777" w:rsidR="00901DFF" w:rsidRPr="000E4502" w:rsidRDefault="00901DFF" w:rsidP="00901DFF">
            <w:pPr>
              <w:pStyle w:val="TableParagraph"/>
              <w:spacing w:line="219" w:lineRule="exact"/>
              <w:ind w:left="95" w:right="87"/>
              <w:jc w:val="center"/>
              <w:rPr>
                <w:rFonts w:asciiTheme="minorHAnsi" w:hAnsiTheme="minorHAnsi" w:cstheme="minorHAnsi"/>
                <w:sz w:val="18"/>
                <w:szCs w:val="18"/>
              </w:rPr>
            </w:pPr>
            <w:r w:rsidRPr="000E4502">
              <w:rPr>
                <w:rFonts w:asciiTheme="minorHAnsi" w:hAnsiTheme="minorHAnsi" w:cstheme="minorHAnsi"/>
                <w:sz w:val="18"/>
                <w:szCs w:val="18"/>
              </w:rPr>
              <w:t>411</w:t>
            </w:r>
          </w:p>
        </w:tc>
        <w:tc>
          <w:tcPr>
            <w:tcW w:w="1569" w:type="dxa"/>
          </w:tcPr>
          <w:p w14:paraId="77072D89" w14:textId="77777777" w:rsidR="00901DFF" w:rsidRPr="000E4502" w:rsidRDefault="00901DFF" w:rsidP="00901DFF">
            <w:pPr>
              <w:pStyle w:val="TableParagraph"/>
              <w:spacing w:line="219" w:lineRule="exact"/>
              <w:ind w:left="161"/>
              <w:rPr>
                <w:rFonts w:asciiTheme="minorHAnsi" w:hAnsiTheme="minorHAnsi" w:cstheme="minorHAnsi"/>
                <w:sz w:val="18"/>
                <w:szCs w:val="18"/>
              </w:rPr>
            </w:pPr>
            <w:r w:rsidRPr="000E4502">
              <w:rPr>
                <w:rFonts w:asciiTheme="minorHAnsi" w:hAnsiTheme="minorHAnsi" w:cstheme="minorHAnsi"/>
                <w:sz w:val="18"/>
                <w:szCs w:val="18"/>
              </w:rPr>
              <w:t>-</w:t>
            </w:r>
          </w:p>
        </w:tc>
        <w:tc>
          <w:tcPr>
            <w:tcW w:w="1274" w:type="dxa"/>
          </w:tcPr>
          <w:p w14:paraId="696AE65D" w14:textId="77777777" w:rsidR="00901DFF" w:rsidRPr="000E4502" w:rsidRDefault="00901DFF" w:rsidP="00901DFF">
            <w:pPr>
              <w:pStyle w:val="TableParagraph"/>
              <w:spacing w:line="219" w:lineRule="exact"/>
              <w:ind w:left="12"/>
              <w:jc w:val="center"/>
              <w:rPr>
                <w:rFonts w:asciiTheme="minorHAnsi" w:hAnsiTheme="minorHAnsi" w:cstheme="minorHAnsi"/>
                <w:sz w:val="18"/>
                <w:szCs w:val="18"/>
              </w:rPr>
            </w:pPr>
            <w:r w:rsidRPr="000E4502">
              <w:rPr>
                <w:rFonts w:asciiTheme="minorHAnsi" w:hAnsiTheme="minorHAnsi" w:cstheme="minorHAnsi"/>
                <w:sz w:val="18"/>
                <w:szCs w:val="18"/>
              </w:rPr>
              <w:t>-</w:t>
            </w:r>
          </w:p>
        </w:tc>
        <w:tc>
          <w:tcPr>
            <w:tcW w:w="3112" w:type="dxa"/>
          </w:tcPr>
          <w:p w14:paraId="451478E4" w14:textId="77777777" w:rsidR="00901DFF" w:rsidRPr="000E4502" w:rsidRDefault="00901DFF" w:rsidP="00901DFF">
            <w:pPr>
              <w:pStyle w:val="TableParagraph"/>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w:t>
            </w:r>
            <w:r>
              <w:rPr>
                <w:rFonts w:asciiTheme="minorHAnsi" w:hAnsiTheme="minorHAnsi" w:cstheme="minorHAnsi"/>
                <w:sz w:val="18"/>
                <w:szCs w:val="18"/>
              </w:rPr>
              <w:t xml:space="preserve"> LPS 3 Heritage List as part of </w:t>
            </w:r>
            <w:r w:rsidRPr="000E4502">
              <w:rPr>
                <w:rFonts w:asciiTheme="minorHAnsi" w:hAnsiTheme="minorHAnsi" w:cstheme="minorHAnsi"/>
                <w:sz w:val="18"/>
                <w:szCs w:val="18"/>
              </w:rPr>
              <w:t>George Street Precinct.</w:t>
            </w:r>
          </w:p>
        </w:tc>
      </w:tr>
      <w:tr w:rsidR="00901DFF" w:rsidRPr="00A53749" w14:paraId="48D6BC09" w14:textId="77777777" w:rsidTr="00A9290F">
        <w:trPr>
          <w:trHeight w:val="880"/>
        </w:trPr>
        <w:tc>
          <w:tcPr>
            <w:tcW w:w="425" w:type="dxa"/>
          </w:tcPr>
          <w:p w14:paraId="59FE20F4"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05430BC2" w14:textId="77777777" w:rsidR="00901DFF" w:rsidRPr="000E4502" w:rsidRDefault="00901DFF" w:rsidP="001C7F4A">
            <w:pPr>
              <w:pStyle w:val="TableParagraph"/>
              <w:spacing w:before="1"/>
              <w:ind w:left="12"/>
              <w:rPr>
                <w:rFonts w:asciiTheme="minorHAnsi" w:hAnsiTheme="minorHAnsi" w:cstheme="minorHAnsi"/>
                <w:sz w:val="18"/>
                <w:szCs w:val="18"/>
              </w:rPr>
            </w:pPr>
            <w:r w:rsidRPr="000E4502">
              <w:rPr>
                <w:rFonts w:asciiTheme="minorHAnsi" w:hAnsiTheme="minorHAnsi" w:cstheme="minorHAnsi"/>
                <w:sz w:val="18"/>
                <w:szCs w:val="18"/>
              </w:rPr>
              <w:t>50 Hubble Street</w:t>
            </w:r>
          </w:p>
          <w:p w14:paraId="7826C027" w14:textId="77777777" w:rsidR="00901DFF" w:rsidRPr="000E4502" w:rsidRDefault="00901DFF" w:rsidP="001C7F4A">
            <w:pPr>
              <w:pStyle w:val="TableParagraph"/>
              <w:spacing w:before="1"/>
              <w:ind w:left="12"/>
              <w:rPr>
                <w:rFonts w:asciiTheme="minorHAnsi" w:hAnsiTheme="minorHAnsi" w:cstheme="minorHAnsi"/>
                <w:sz w:val="18"/>
                <w:szCs w:val="18"/>
              </w:rPr>
            </w:pPr>
          </w:p>
        </w:tc>
        <w:tc>
          <w:tcPr>
            <w:tcW w:w="1130" w:type="dxa"/>
          </w:tcPr>
          <w:p w14:paraId="01A69E98" w14:textId="77777777" w:rsidR="00901DFF" w:rsidRPr="000E4502" w:rsidRDefault="00901DFF" w:rsidP="00901DFF">
            <w:pPr>
              <w:pStyle w:val="TableParagraph"/>
              <w:spacing w:before="1"/>
              <w:ind w:left="95" w:right="88"/>
              <w:jc w:val="center"/>
              <w:rPr>
                <w:rFonts w:asciiTheme="minorHAnsi" w:hAnsiTheme="minorHAnsi" w:cstheme="minorHAnsi"/>
                <w:sz w:val="18"/>
                <w:szCs w:val="18"/>
              </w:rPr>
            </w:pPr>
            <w:r w:rsidRPr="000E4502">
              <w:rPr>
                <w:rFonts w:asciiTheme="minorHAnsi" w:hAnsiTheme="minorHAnsi" w:cstheme="minorHAnsi"/>
                <w:sz w:val="18"/>
                <w:szCs w:val="18"/>
              </w:rPr>
              <w:t>266</w:t>
            </w:r>
          </w:p>
        </w:tc>
        <w:tc>
          <w:tcPr>
            <w:tcW w:w="1569" w:type="dxa"/>
          </w:tcPr>
          <w:p w14:paraId="701EDB99" w14:textId="77777777" w:rsidR="00901DFF" w:rsidRPr="000E4502" w:rsidRDefault="00901DFF" w:rsidP="00901DFF">
            <w:pPr>
              <w:pStyle w:val="TableParagraph"/>
              <w:spacing w:before="1"/>
              <w:ind w:left="161" w:right="357"/>
              <w:rPr>
                <w:rFonts w:asciiTheme="minorHAnsi" w:hAnsiTheme="minorHAnsi" w:cstheme="minorHAnsi"/>
                <w:sz w:val="18"/>
                <w:szCs w:val="18"/>
              </w:rPr>
            </w:pPr>
            <w:r w:rsidRPr="000E4502">
              <w:rPr>
                <w:rFonts w:asciiTheme="minorHAnsi" w:hAnsiTheme="minorHAnsi" w:cstheme="minorHAnsi"/>
                <w:sz w:val="18"/>
                <w:szCs w:val="18"/>
              </w:rPr>
              <w:t>Federation Bungalow</w:t>
            </w:r>
          </w:p>
        </w:tc>
        <w:tc>
          <w:tcPr>
            <w:tcW w:w="1274" w:type="dxa"/>
          </w:tcPr>
          <w:p w14:paraId="6ADB6721" w14:textId="77777777" w:rsidR="00901DFF" w:rsidRPr="000E4502" w:rsidRDefault="00901DFF" w:rsidP="00901DFF">
            <w:pPr>
              <w:pStyle w:val="TableParagraph"/>
              <w:spacing w:before="1"/>
              <w:ind w:left="162" w:right="148"/>
              <w:jc w:val="center"/>
              <w:rPr>
                <w:rFonts w:asciiTheme="minorHAnsi" w:hAnsiTheme="minorHAnsi" w:cstheme="minorHAnsi"/>
                <w:sz w:val="18"/>
                <w:szCs w:val="18"/>
              </w:rPr>
            </w:pPr>
            <w:r w:rsidRPr="000E4502">
              <w:rPr>
                <w:rFonts w:asciiTheme="minorHAnsi" w:hAnsiTheme="minorHAnsi" w:cstheme="minorHAnsi"/>
                <w:sz w:val="18"/>
                <w:szCs w:val="18"/>
              </w:rPr>
              <w:t>circa 1894</w:t>
            </w:r>
          </w:p>
        </w:tc>
        <w:tc>
          <w:tcPr>
            <w:tcW w:w="3112" w:type="dxa"/>
          </w:tcPr>
          <w:p w14:paraId="7E104D9A" w14:textId="77777777" w:rsidR="00901DFF" w:rsidRPr="000E4502" w:rsidRDefault="00901DFF" w:rsidP="00901DFF">
            <w:pPr>
              <w:pStyle w:val="TableParagraph"/>
              <w:spacing w:before="1"/>
              <w:ind w:left="109" w:right="415"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B LPS 3 Heritage List (individual).</w:t>
            </w:r>
          </w:p>
          <w:p w14:paraId="527E0D72" w14:textId="77777777" w:rsidR="00901DFF" w:rsidRPr="000E4502" w:rsidRDefault="00901DFF" w:rsidP="00901DFF">
            <w:pPr>
              <w:pStyle w:val="TableParagraph"/>
              <w:spacing w:line="219" w:lineRule="exact"/>
              <w:ind w:left="109"/>
              <w:rPr>
                <w:rFonts w:asciiTheme="minorHAnsi" w:hAnsiTheme="minorHAnsi" w:cstheme="minorHAnsi"/>
                <w:sz w:val="18"/>
                <w:szCs w:val="18"/>
              </w:rPr>
            </w:pPr>
            <w:r w:rsidRPr="000E4502">
              <w:rPr>
                <w:rFonts w:asciiTheme="minorHAnsi" w:hAnsiTheme="minorHAnsi" w:cstheme="minorHAnsi"/>
                <w:sz w:val="18"/>
                <w:szCs w:val="18"/>
              </w:rPr>
              <w:t>Include</w:t>
            </w:r>
            <w:r>
              <w:rPr>
                <w:rFonts w:asciiTheme="minorHAnsi" w:hAnsiTheme="minorHAnsi" w:cstheme="minorHAnsi"/>
                <w:sz w:val="18"/>
                <w:szCs w:val="18"/>
              </w:rPr>
              <w:t xml:space="preserve">d within LPS 3 Heritage List as </w:t>
            </w:r>
            <w:r w:rsidRPr="000E4502">
              <w:rPr>
                <w:rFonts w:asciiTheme="minorHAnsi" w:hAnsiTheme="minorHAnsi" w:cstheme="minorHAnsi"/>
                <w:sz w:val="18"/>
                <w:szCs w:val="18"/>
              </w:rPr>
              <w:t>part of George Street Precinct.</w:t>
            </w:r>
          </w:p>
        </w:tc>
      </w:tr>
      <w:tr w:rsidR="00901DFF" w:rsidRPr="00A53749" w14:paraId="0D1FB215" w14:textId="77777777" w:rsidTr="00A9290F">
        <w:trPr>
          <w:trHeight w:val="659"/>
        </w:trPr>
        <w:tc>
          <w:tcPr>
            <w:tcW w:w="425" w:type="dxa"/>
          </w:tcPr>
          <w:p w14:paraId="70F87524"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06B2D80C" w14:textId="77777777" w:rsidR="00901DFF" w:rsidRPr="000E4502" w:rsidRDefault="00901DFF" w:rsidP="001C7F4A">
            <w:pPr>
              <w:pStyle w:val="TableParagraph"/>
              <w:spacing w:line="219" w:lineRule="exact"/>
              <w:ind w:left="12"/>
              <w:rPr>
                <w:rFonts w:asciiTheme="minorHAnsi" w:hAnsiTheme="minorHAnsi" w:cstheme="minorHAnsi"/>
                <w:sz w:val="18"/>
                <w:szCs w:val="18"/>
              </w:rPr>
            </w:pPr>
            <w:r w:rsidRPr="000E4502">
              <w:rPr>
                <w:rFonts w:asciiTheme="minorHAnsi" w:hAnsiTheme="minorHAnsi" w:cstheme="minorHAnsi"/>
                <w:sz w:val="18"/>
                <w:szCs w:val="18"/>
              </w:rPr>
              <w:t>54 Hubble Street</w:t>
            </w:r>
          </w:p>
          <w:p w14:paraId="1617027A" w14:textId="77777777" w:rsidR="00901DFF" w:rsidRPr="000E4502" w:rsidRDefault="00901DFF" w:rsidP="001C7F4A">
            <w:pPr>
              <w:pStyle w:val="TableParagraph"/>
              <w:spacing w:before="1"/>
              <w:ind w:left="12"/>
              <w:rPr>
                <w:rFonts w:asciiTheme="minorHAnsi" w:hAnsiTheme="minorHAnsi" w:cstheme="minorHAnsi"/>
                <w:sz w:val="18"/>
                <w:szCs w:val="18"/>
              </w:rPr>
            </w:pPr>
          </w:p>
        </w:tc>
        <w:tc>
          <w:tcPr>
            <w:tcW w:w="1130" w:type="dxa"/>
          </w:tcPr>
          <w:p w14:paraId="0BC6CC0E" w14:textId="77777777" w:rsidR="00901DFF" w:rsidRPr="000E4502" w:rsidRDefault="00901DFF" w:rsidP="00901DFF">
            <w:pPr>
              <w:pStyle w:val="TableParagraph"/>
              <w:ind w:left="95" w:right="85"/>
              <w:jc w:val="center"/>
              <w:rPr>
                <w:rFonts w:asciiTheme="minorHAnsi" w:hAnsiTheme="minorHAnsi" w:cstheme="minorHAnsi"/>
                <w:sz w:val="18"/>
                <w:szCs w:val="18"/>
              </w:rPr>
            </w:pPr>
            <w:r w:rsidRPr="000E4502">
              <w:rPr>
                <w:rFonts w:asciiTheme="minorHAnsi" w:hAnsiTheme="minorHAnsi" w:cstheme="minorHAnsi"/>
                <w:sz w:val="18"/>
                <w:szCs w:val="18"/>
              </w:rPr>
              <w:t>Strata Plan 53551</w:t>
            </w:r>
          </w:p>
          <w:p w14:paraId="648EDE5F" w14:textId="77777777" w:rsidR="00901DFF" w:rsidRPr="000E4502" w:rsidRDefault="00901DFF" w:rsidP="00901DFF">
            <w:pPr>
              <w:pStyle w:val="TableParagraph"/>
              <w:spacing w:before="1" w:line="19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20</w:t>
            </w:r>
          </w:p>
        </w:tc>
        <w:tc>
          <w:tcPr>
            <w:tcW w:w="1569" w:type="dxa"/>
          </w:tcPr>
          <w:p w14:paraId="57F5BF92" w14:textId="77777777" w:rsidR="00901DFF" w:rsidRPr="000E4502" w:rsidRDefault="00901DFF" w:rsidP="00901DFF">
            <w:pPr>
              <w:pStyle w:val="TableParagraph"/>
              <w:spacing w:line="219" w:lineRule="exact"/>
              <w:ind w:left="161"/>
              <w:rPr>
                <w:rFonts w:asciiTheme="minorHAnsi" w:hAnsiTheme="minorHAnsi" w:cstheme="minorHAnsi"/>
                <w:sz w:val="18"/>
                <w:szCs w:val="18"/>
              </w:rPr>
            </w:pPr>
            <w:r w:rsidRPr="000E4502">
              <w:rPr>
                <w:rFonts w:asciiTheme="minorHAnsi" w:hAnsiTheme="minorHAnsi" w:cstheme="minorHAnsi"/>
                <w:sz w:val="18"/>
                <w:szCs w:val="18"/>
              </w:rPr>
              <w:t>-</w:t>
            </w:r>
          </w:p>
        </w:tc>
        <w:tc>
          <w:tcPr>
            <w:tcW w:w="1274" w:type="dxa"/>
          </w:tcPr>
          <w:p w14:paraId="09C334CF" w14:textId="77777777" w:rsidR="00901DFF" w:rsidRPr="000E4502" w:rsidRDefault="00901DFF" w:rsidP="00901DFF">
            <w:pPr>
              <w:pStyle w:val="TableParagraph"/>
              <w:spacing w:line="219" w:lineRule="exact"/>
              <w:ind w:left="11"/>
              <w:jc w:val="center"/>
              <w:rPr>
                <w:rFonts w:asciiTheme="minorHAnsi" w:hAnsiTheme="minorHAnsi" w:cstheme="minorHAnsi"/>
                <w:sz w:val="18"/>
                <w:szCs w:val="18"/>
              </w:rPr>
            </w:pPr>
            <w:r w:rsidRPr="000E4502">
              <w:rPr>
                <w:rFonts w:asciiTheme="minorHAnsi" w:hAnsiTheme="minorHAnsi" w:cstheme="minorHAnsi"/>
                <w:sz w:val="18"/>
                <w:szCs w:val="18"/>
              </w:rPr>
              <w:t>-</w:t>
            </w:r>
          </w:p>
        </w:tc>
        <w:tc>
          <w:tcPr>
            <w:tcW w:w="3112" w:type="dxa"/>
          </w:tcPr>
          <w:p w14:paraId="20CDAAD7" w14:textId="77777777" w:rsidR="00901DFF" w:rsidRPr="000E4502" w:rsidRDefault="00901DFF" w:rsidP="00901DFF">
            <w:pPr>
              <w:pStyle w:val="TableParagraph"/>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 LPS 3 Heritage List as part of</w:t>
            </w:r>
            <w:r>
              <w:rPr>
                <w:rFonts w:asciiTheme="minorHAnsi" w:hAnsiTheme="minorHAnsi" w:cstheme="minorHAnsi"/>
                <w:sz w:val="18"/>
                <w:szCs w:val="18"/>
              </w:rPr>
              <w:t xml:space="preserve"> </w:t>
            </w:r>
            <w:r w:rsidRPr="000E4502">
              <w:rPr>
                <w:rFonts w:asciiTheme="minorHAnsi" w:hAnsiTheme="minorHAnsi" w:cstheme="minorHAnsi"/>
                <w:sz w:val="18"/>
                <w:szCs w:val="18"/>
              </w:rPr>
              <w:t>George Street Precinct.</w:t>
            </w:r>
          </w:p>
        </w:tc>
      </w:tr>
      <w:tr w:rsidR="00901DFF" w:rsidRPr="00A53749" w14:paraId="1F517B08" w14:textId="77777777" w:rsidTr="001C7F4A">
        <w:trPr>
          <w:trHeight w:val="586"/>
        </w:trPr>
        <w:tc>
          <w:tcPr>
            <w:tcW w:w="425" w:type="dxa"/>
          </w:tcPr>
          <w:p w14:paraId="13FF770B"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4A86A94D" w14:textId="77777777" w:rsidR="00901DFF" w:rsidRPr="000E4502" w:rsidRDefault="00901DFF" w:rsidP="001C7F4A">
            <w:pPr>
              <w:pStyle w:val="TableParagraph"/>
              <w:spacing w:line="219" w:lineRule="exact"/>
              <w:ind w:left="12"/>
              <w:rPr>
                <w:rFonts w:asciiTheme="minorHAnsi" w:hAnsiTheme="minorHAnsi" w:cstheme="minorHAnsi"/>
                <w:sz w:val="18"/>
                <w:szCs w:val="18"/>
              </w:rPr>
            </w:pPr>
            <w:r w:rsidRPr="000E4502">
              <w:rPr>
                <w:rFonts w:asciiTheme="minorHAnsi" w:hAnsiTheme="minorHAnsi" w:cstheme="minorHAnsi"/>
                <w:sz w:val="18"/>
                <w:szCs w:val="18"/>
              </w:rPr>
              <w:t>65a George Street</w:t>
            </w:r>
          </w:p>
          <w:p w14:paraId="2B19D3AE" w14:textId="77777777" w:rsidR="00901DFF" w:rsidRPr="000E4502" w:rsidRDefault="00901DFF" w:rsidP="001C7F4A">
            <w:pPr>
              <w:pStyle w:val="TableParagraph"/>
              <w:spacing w:before="1"/>
              <w:ind w:left="12"/>
              <w:rPr>
                <w:rFonts w:asciiTheme="minorHAnsi" w:hAnsiTheme="minorHAnsi" w:cstheme="minorHAnsi"/>
                <w:sz w:val="18"/>
                <w:szCs w:val="18"/>
              </w:rPr>
            </w:pPr>
          </w:p>
        </w:tc>
        <w:tc>
          <w:tcPr>
            <w:tcW w:w="1130" w:type="dxa"/>
          </w:tcPr>
          <w:p w14:paraId="18DA727C" w14:textId="77777777" w:rsidR="00901DFF" w:rsidRPr="000E4502" w:rsidRDefault="00901DFF" w:rsidP="00901DFF">
            <w:pPr>
              <w:pStyle w:val="TableParagraph"/>
              <w:ind w:left="95" w:right="85"/>
              <w:jc w:val="center"/>
              <w:rPr>
                <w:rFonts w:asciiTheme="minorHAnsi" w:hAnsiTheme="minorHAnsi" w:cstheme="minorHAnsi"/>
                <w:sz w:val="18"/>
                <w:szCs w:val="18"/>
              </w:rPr>
            </w:pPr>
            <w:r w:rsidRPr="000E4502">
              <w:rPr>
                <w:rFonts w:asciiTheme="minorHAnsi" w:hAnsiTheme="minorHAnsi" w:cstheme="minorHAnsi"/>
                <w:sz w:val="18"/>
                <w:szCs w:val="18"/>
              </w:rPr>
              <w:t>Strata Plan 16096</w:t>
            </w:r>
          </w:p>
          <w:p w14:paraId="0F66C256" w14:textId="77777777" w:rsidR="00901DFF" w:rsidRPr="000E4502" w:rsidRDefault="00901DFF" w:rsidP="00901DFF">
            <w:pPr>
              <w:pStyle w:val="TableParagraph"/>
              <w:spacing w:line="21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264</w:t>
            </w:r>
          </w:p>
        </w:tc>
        <w:tc>
          <w:tcPr>
            <w:tcW w:w="1569" w:type="dxa"/>
          </w:tcPr>
          <w:p w14:paraId="743A1510" w14:textId="77777777" w:rsidR="00901DFF" w:rsidRPr="000E4502" w:rsidRDefault="00901DFF" w:rsidP="00901DFF">
            <w:pPr>
              <w:pStyle w:val="TableParagraph"/>
              <w:spacing w:line="219" w:lineRule="exact"/>
              <w:ind w:left="161"/>
              <w:rPr>
                <w:rFonts w:asciiTheme="minorHAnsi" w:hAnsiTheme="minorHAnsi" w:cstheme="minorHAnsi"/>
                <w:sz w:val="18"/>
                <w:szCs w:val="18"/>
              </w:rPr>
            </w:pPr>
            <w:r w:rsidRPr="000E4502">
              <w:rPr>
                <w:rFonts w:asciiTheme="minorHAnsi" w:hAnsiTheme="minorHAnsi" w:cstheme="minorHAnsi"/>
                <w:sz w:val="18"/>
                <w:szCs w:val="18"/>
              </w:rPr>
              <w:t>-</w:t>
            </w:r>
          </w:p>
        </w:tc>
        <w:tc>
          <w:tcPr>
            <w:tcW w:w="1274" w:type="dxa"/>
          </w:tcPr>
          <w:p w14:paraId="7346ED03" w14:textId="77777777" w:rsidR="00901DFF" w:rsidRPr="000E4502" w:rsidRDefault="00901DFF" w:rsidP="00901DFF">
            <w:pPr>
              <w:pStyle w:val="TableParagraph"/>
              <w:spacing w:line="219" w:lineRule="exact"/>
              <w:ind w:left="11"/>
              <w:jc w:val="center"/>
              <w:rPr>
                <w:rFonts w:asciiTheme="minorHAnsi" w:hAnsiTheme="minorHAnsi" w:cstheme="minorHAnsi"/>
                <w:sz w:val="18"/>
                <w:szCs w:val="18"/>
              </w:rPr>
            </w:pPr>
            <w:r w:rsidRPr="000E4502">
              <w:rPr>
                <w:rFonts w:asciiTheme="minorHAnsi" w:hAnsiTheme="minorHAnsi" w:cstheme="minorHAnsi"/>
                <w:sz w:val="18"/>
                <w:szCs w:val="18"/>
              </w:rPr>
              <w:t>-</w:t>
            </w:r>
          </w:p>
        </w:tc>
        <w:tc>
          <w:tcPr>
            <w:tcW w:w="3112" w:type="dxa"/>
          </w:tcPr>
          <w:p w14:paraId="02FF8301" w14:textId="77777777" w:rsidR="00901DFF" w:rsidRPr="000E4502" w:rsidRDefault="00901DFF" w:rsidP="00901DFF">
            <w:pPr>
              <w:pStyle w:val="TableParagraph"/>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w:t>
            </w:r>
            <w:r>
              <w:rPr>
                <w:rFonts w:asciiTheme="minorHAnsi" w:hAnsiTheme="minorHAnsi" w:cstheme="minorHAnsi"/>
                <w:sz w:val="18"/>
                <w:szCs w:val="18"/>
              </w:rPr>
              <w:t xml:space="preserve"> LPS 3 Heritage List as part of </w:t>
            </w:r>
            <w:r w:rsidRPr="000E4502">
              <w:rPr>
                <w:rFonts w:asciiTheme="minorHAnsi" w:hAnsiTheme="minorHAnsi" w:cstheme="minorHAnsi"/>
                <w:sz w:val="18"/>
                <w:szCs w:val="18"/>
              </w:rPr>
              <w:t>George Street Precinct.</w:t>
            </w:r>
          </w:p>
        </w:tc>
      </w:tr>
      <w:tr w:rsidR="00901DFF" w:rsidRPr="00A53749" w14:paraId="4B31C471" w14:textId="77777777" w:rsidTr="00A9290F">
        <w:trPr>
          <w:trHeight w:val="659"/>
        </w:trPr>
        <w:tc>
          <w:tcPr>
            <w:tcW w:w="425" w:type="dxa"/>
          </w:tcPr>
          <w:p w14:paraId="13E9A832"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05E638D2" w14:textId="77777777" w:rsidR="00901DFF" w:rsidRPr="000E4502" w:rsidRDefault="00901DFF" w:rsidP="001C7F4A">
            <w:pPr>
              <w:pStyle w:val="TableParagraph"/>
              <w:spacing w:before="1" w:line="219" w:lineRule="exact"/>
              <w:ind w:left="12"/>
              <w:rPr>
                <w:rFonts w:asciiTheme="minorHAnsi" w:hAnsiTheme="minorHAnsi" w:cstheme="minorHAnsi"/>
                <w:sz w:val="18"/>
                <w:szCs w:val="18"/>
              </w:rPr>
            </w:pPr>
            <w:r w:rsidRPr="000E4502">
              <w:rPr>
                <w:rFonts w:asciiTheme="minorHAnsi" w:hAnsiTheme="minorHAnsi" w:cstheme="minorHAnsi"/>
                <w:sz w:val="18"/>
                <w:szCs w:val="18"/>
              </w:rPr>
              <w:t>65-67 George Street</w:t>
            </w:r>
          </w:p>
          <w:p w14:paraId="6C1E7BAC" w14:textId="77777777" w:rsidR="00901DFF" w:rsidRPr="000E4502" w:rsidRDefault="00901DFF" w:rsidP="001C7F4A">
            <w:pPr>
              <w:pStyle w:val="TableParagraph"/>
              <w:spacing w:line="219" w:lineRule="exact"/>
              <w:ind w:left="12"/>
              <w:rPr>
                <w:rFonts w:asciiTheme="minorHAnsi" w:hAnsiTheme="minorHAnsi" w:cstheme="minorHAnsi"/>
                <w:sz w:val="18"/>
                <w:szCs w:val="18"/>
              </w:rPr>
            </w:pPr>
          </w:p>
        </w:tc>
        <w:tc>
          <w:tcPr>
            <w:tcW w:w="1130" w:type="dxa"/>
          </w:tcPr>
          <w:p w14:paraId="687B55D7" w14:textId="77777777" w:rsidR="00901DFF" w:rsidRPr="000E4502" w:rsidRDefault="00901DFF" w:rsidP="00901DFF">
            <w:pPr>
              <w:pStyle w:val="TableParagraph"/>
              <w:spacing w:before="1"/>
              <w:ind w:left="95" w:right="85"/>
              <w:jc w:val="center"/>
              <w:rPr>
                <w:rFonts w:asciiTheme="minorHAnsi" w:hAnsiTheme="minorHAnsi" w:cstheme="minorHAnsi"/>
                <w:sz w:val="18"/>
                <w:szCs w:val="18"/>
              </w:rPr>
            </w:pPr>
            <w:r w:rsidRPr="000E4502">
              <w:rPr>
                <w:rFonts w:asciiTheme="minorHAnsi" w:hAnsiTheme="minorHAnsi" w:cstheme="minorHAnsi"/>
                <w:sz w:val="18"/>
                <w:szCs w:val="18"/>
              </w:rPr>
              <w:t>Strata Plan 16096</w:t>
            </w:r>
          </w:p>
          <w:p w14:paraId="5E9909B9" w14:textId="77777777" w:rsidR="00901DFF" w:rsidRPr="000E4502" w:rsidRDefault="00901DFF" w:rsidP="00901DFF">
            <w:pPr>
              <w:pStyle w:val="TableParagraph"/>
              <w:spacing w:line="19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264</w:t>
            </w:r>
          </w:p>
        </w:tc>
        <w:tc>
          <w:tcPr>
            <w:tcW w:w="1569" w:type="dxa"/>
          </w:tcPr>
          <w:p w14:paraId="3016D846" w14:textId="77777777" w:rsidR="00901DFF" w:rsidRPr="000E4502" w:rsidRDefault="00901DFF" w:rsidP="00901DFF">
            <w:pPr>
              <w:pStyle w:val="TableParagraph"/>
              <w:spacing w:before="1"/>
              <w:ind w:left="161"/>
              <w:rPr>
                <w:rFonts w:asciiTheme="minorHAnsi" w:hAnsiTheme="minorHAnsi" w:cstheme="minorHAnsi"/>
                <w:sz w:val="18"/>
                <w:szCs w:val="18"/>
              </w:rPr>
            </w:pPr>
            <w:r w:rsidRPr="000E4502">
              <w:rPr>
                <w:rFonts w:asciiTheme="minorHAnsi" w:hAnsiTheme="minorHAnsi" w:cstheme="minorHAnsi"/>
                <w:sz w:val="18"/>
                <w:szCs w:val="18"/>
              </w:rPr>
              <w:t>-</w:t>
            </w:r>
          </w:p>
        </w:tc>
        <w:tc>
          <w:tcPr>
            <w:tcW w:w="1274" w:type="dxa"/>
          </w:tcPr>
          <w:p w14:paraId="7773B5A4" w14:textId="77777777" w:rsidR="00901DFF" w:rsidRPr="000E4502" w:rsidRDefault="00901DFF" w:rsidP="00901DFF">
            <w:pPr>
              <w:pStyle w:val="TableParagraph"/>
              <w:spacing w:before="1"/>
              <w:ind w:left="11"/>
              <w:jc w:val="center"/>
              <w:rPr>
                <w:rFonts w:asciiTheme="minorHAnsi" w:hAnsiTheme="minorHAnsi" w:cstheme="minorHAnsi"/>
                <w:sz w:val="18"/>
                <w:szCs w:val="18"/>
              </w:rPr>
            </w:pPr>
            <w:r w:rsidRPr="000E4502">
              <w:rPr>
                <w:rFonts w:asciiTheme="minorHAnsi" w:hAnsiTheme="minorHAnsi" w:cstheme="minorHAnsi"/>
                <w:sz w:val="18"/>
                <w:szCs w:val="18"/>
              </w:rPr>
              <w:t>-</w:t>
            </w:r>
          </w:p>
        </w:tc>
        <w:tc>
          <w:tcPr>
            <w:tcW w:w="3112" w:type="dxa"/>
          </w:tcPr>
          <w:p w14:paraId="2D0C47F8" w14:textId="77777777" w:rsidR="00901DFF" w:rsidRPr="000E4502" w:rsidRDefault="00901DFF" w:rsidP="001C7F4A">
            <w:pPr>
              <w:pStyle w:val="TableParagraph"/>
              <w:spacing w:before="1"/>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w:t>
            </w:r>
            <w:r w:rsidR="001C7F4A">
              <w:rPr>
                <w:rFonts w:asciiTheme="minorHAnsi" w:hAnsiTheme="minorHAnsi" w:cstheme="minorHAnsi"/>
                <w:sz w:val="18"/>
                <w:szCs w:val="18"/>
              </w:rPr>
              <w:t xml:space="preserve"> LPS 3 Heritage List as part of </w:t>
            </w:r>
            <w:r w:rsidRPr="000E4502">
              <w:rPr>
                <w:rFonts w:asciiTheme="minorHAnsi" w:hAnsiTheme="minorHAnsi" w:cstheme="minorHAnsi"/>
                <w:sz w:val="18"/>
                <w:szCs w:val="18"/>
              </w:rPr>
              <w:t>George Street Precinct.</w:t>
            </w:r>
          </w:p>
        </w:tc>
      </w:tr>
      <w:tr w:rsidR="00901DFF" w:rsidRPr="00A53749" w14:paraId="4E40E509" w14:textId="77777777" w:rsidTr="00A9290F">
        <w:trPr>
          <w:trHeight w:val="877"/>
        </w:trPr>
        <w:tc>
          <w:tcPr>
            <w:tcW w:w="425" w:type="dxa"/>
          </w:tcPr>
          <w:p w14:paraId="4F4A0A9A"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668590D5" w14:textId="77777777" w:rsidR="00901DFF" w:rsidRPr="000E4502" w:rsidRDefault="00901DFF" w:rsidP="001C7F4A">
            <w:pPr>
              <w:pStyle w:val="TableParagraph"/>
              <w:spacing w:line="219" w:lineRule="exact"/>
              <w:ind w:left="12"/>
              <w:rPr>
                <w:rFonts w:asciiTheme="minorHAnsi" w:hAnsiTheme="minorHAnsi" w:cstheme="minorHAnsi"/>
                <w:sz w:val="18"/>
                <w:szCs w:val="18"/>
              </w:rPr>
            </w:pPr>
            <w:r w:rsidRPr="000E4502">
              <w:rPr>
                <w:rFonts w:asciiTheme="minorHAnsi" w:hAnsiTheme="minorHAnsi" w:cstheme="minorHAnsi"/>
                <w:sz w:val="18"/>
                <w:szCs w:val="18"/>
              </w:rPr>
              <w:t>37 Sewell Street</w:t>
            </w:r>
          </w:p>
          <w:p w14:paraId="2D1221E2" w14:textId="77777777" w:rsidR="00901DFF" w:rsidRPr="000E4502" w:rsidRDefault="001C7F4A" w:rsidP="001C7F4A">
            <w:pPr>
              <w:pStyle w:val="TableParagraph"/>
              <w:spacing w:before="1"/>
              <w:ind w:left="12" w:right="588"/>
              <w:rPr>
                <w:rFonts w:asciiTheme="minorHAnsi" w:hAnsiTheme="minorHAnsi" w:cstheme="minorHAnsi"/>
                <w:sz w:val="18"/>
                <w:szCs w:val="18"/>
              </w:rPr>
            </w:pPr>
            <w:r>
              <w:rPr>
                <w:rFonts w:asciiTheme="minorHAnsi" w:hAnsiTheme="minorHAnsi" w:cstheme="minorHAnsi"/>
                <w:sz w:val="18"/>
                <w:szCs w:val="18"/>
              </w:rPr>
              <w:t>(includes 69-75 George Street)</w:t>
            </w:r>
          </w:p>
        </w:tc>
        <w:tc>
          <w:tcPr>
            <w:tcW w:w="1130" w:type="dxa"/>
          </w:tcPr>
          <w:p w14:paraId="2BAAA129" w14:textId="77777777" w:rsidR="00901DFF" w:rsidRPr="000E4502" w:rsidRDefault="00901DFF" w:rsidP="00901DFF">
            <w:pPr>
              <w:pStyle w:val="TableParagraph"/>
              <w:spacing w:line="21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237</w:t>
            </w:r>
          </w:p>
        </w:tc>
        <w:tc>
          <w:tcPr>
            <w:tcW w:w="1569" w:type="dxa"/>
          </w:tcPr>
          <w:p w14:paraId="4BF5755D" w14:textId="77777777" w:rsidR="00901DFF" w:rsidRPr="000E4502" w:rsidRDefault="00901DFF" w:rsidP="00901DFF">
            <w:pPr>
              <w:pStyle w:val="TableParagraph"/>
              <w:spacing w:line="219" w:lineRule="exact"/>
              <w:ind w:left="161"/>
              <w:rPr>
                <w:rFonts w:asciiTheme="minorHAnsi" w:hAnsiTheme="minorHAnsi" w:cstheme="minorHAnsi"/>
                <w:sz w:val="18"/>
                <w:szCs w:val="18"/>
              </w:rPr>
            </w:pPr>
            <w:r w:rsidRPr="000E4502">
              <w:rPr>
                <w:rFonts w:asciiTheme="minorHAnsi" w:hAnsiTheme="minorHAnsi" w:cstheme="minorHAnsi"/>
                <w:sz w:val="18"/>
                <w:szCs w:val="18"/>
              </w:rPr>
              <w:t>-</w:t>
            </w:r>
          </w:p>
        </w:tc>
        <w:tc>
          <w:tcPr>
            <w:tcW w:w="1274" w:type="dxa"/>
          </w:tcPr>
          <w:p w14:paraId="22A457F7" w14:textId="77777777" w:rsidR="00901DFF" w:rsidRPr="000E4502" w:rsidRDefault="00901DFF" w:rsidP="00901DFF">
            <w:pPr>
              <w:pStyle w:val="TableParagraph"/>
              <w:spacing w:line="219" w:lineRule="exact"/>
              <w:ind w:left="11"/>
              <w:jc w:val="center"/>
              <w:rPr>
                <w:rFonts w:asciiTheme="minorHAnsi" w:hAnsiTheme="minorHAnsi" w:cstheme="minorHAnsi"/>
                <w:sz w:val="18"/>
                <w:szCs w:val="18"/>
              </w:rPr>
            </w:pPr>
            <w:r w:rsidRPr="000E4502">
              <w:rPr>
                <w:rFonts w:asciiTheme="minorHAnsi" w:hAnsiTheme="minorHAnsi" w:cstheme="minorHAnsi"/>
                <w:sz w:val="18"/>
                <w:szCs w:val="18"/>
              </w:rPr>
              <w:t>-</w:t>
            </w:r>
          </w:p>
        </w:tc>
        <w:tc>
          <w:tcPr>
            <w:tcW w:w="3112" w:type="dxa"/>
          </w:tcPr>
          <w:p w14:paraId="15CF56C8" w14:textId="77777777" w:rsidR="00901DFF" w:rsidRPr="000E4502" w:rsidRDefault="00901DFF" w:rsidP="00901DFF">
            <w:pPr>
              <w:pStyle w:val="TableParagraph"/>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 LPS 3 Heritage List as part of George Street Precinct.</w:t>
            </w:r>
          </w:p>
        </w:tc>
      </w:tr>
      <w:tr w:rsidR="00901DFF" w:rsidRPr="00A53749" w14:paraId="758FA98D" w14:textId="77777777" w:rsidTr="00A9290F">
        <w:trPr>
          <w:trHeight w:val="681"/>
        </w:trPr>
        <w:tc>
          <w:tcPr>
            <w:tcW w:w="425" w:type="dxa"/>
          </w:tcPr>
          <w:p w14:paraId="2A9F74D2"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42515B01" w14:textId="77777777" w:rsidR="00901DFF" w:rsidRPr="000E4502" w:rsidRDefault="00901DFF" w:rsidP="001C7F4A">
            <w:pPr>
              <w:pStyle w:val="TableParagraph"/>
              <w:spacing w:before="11"/>
              <w:ind w:left="12"/>
              <w:rPr>
                <w:rFonts w:asciiTheme="minorHAnsi" w:hAnsiTheme="minorHAnsi" w:cstheme="minorHAnsi"/>
                <w:sz w:val="18"/>
                <w:szCs w:val="18"/>
              </w:rPr>
            </w:pPr>
            <w:r w:rsidRPr="000E4502">
              <w:rPr>
                <w:rFonts w:asciiTheme="minorHAnsi" w:hAnsiTheme="minorHAnsi" w:cstheme="minorHAnsi"/>
                <w:sz w:val="18"/>
                <w:szCs w:val="18"/>
              </w:rPr>
              <w:t>39 Sewell Street</w:t>
            </w:r>
          </w:p>
          <w:p w14:paraId="461D107A" w14:textId="77777777" w:rsidR="00901DFF" w:rsidRPr="000E4502" w:rsidRDefault="00901DFF" w:rsidP="001C7F4A">
            <w:pPr>
              <w:pStyle w:val="TableParagraph"/>
              <w:spacing w:before="5"/>
              <w:ind w:left="12"/>
              <w:rPr>
                <w:rFonts w:asciiTheme="minorHAnsi" w:hAnsiTheme="minorHAnsi" w:cstheme="minorHAnsi"/>
                <w:sz w:val="18"/>
                <w:szCs w:val="18"/>
              </w:rPr>
            </w:pPr>
          </w:p>
        </w:tc>
        <w:tc>
          <w:tcPr>
            <w:tcW w:w="1130" w:type="dxa"/>
          </w:tcPr>
          <w:p w14:paraId="640DED5D" w14:textId="77777777" w:rsidR="00901DFF" w:rsidRPr="000E4502" w:rsidRDefault="00901DFF" w:rsidP="00901DFF">
            <w:pPr>
              <w:pStyle w:val="TableParagraph"/>
              <w:spacing w:before="11"/>
              <w:ind w:left="95" w:right="88"/>
              <w:jc w:val="center"/>
              <w:rPr>
                <w:rFonts w:asciiTheme="minorHAnsi" w:hAnsiTheme="minorHAnsi" w:cstheme="minorHAnsi"/>
                <w:sz w:val="18"/>
                <w:szCs w:val="18"/>
              </w:rPr>
            </w:pPr>
            <w:r w:rsidRPr="000E4502">
              <w:rPr>
                <w:rFonts w:asciiTheme="minorHAnsi" w:hAnsiTheme="minorHAnsi" w:cstheme="minorHAnsi"/>
                <w:sz w:val="18"/>
                <w:szCs w:val="18"/>
              </w:rPr>
              <w:t>238</w:t>
            </w:r>
          </w:p>
        </w:tc>
        <w:tc>
          <w:tcPr>
            <w:tcW w:w="1569" w:type="dxa"/>
          </w:tcPr>
          <w:p w14:paraId="0557E8D9" w14:textId="77777777" w:rsidR="00901DFF" w:rsidRPr="000E4502" w:rsidRDefault="00901DFF" w:rsidP="00901DFF">
            <w:pPr>
              <w:pStyle w:val="TableParagraph"/>
              <w:ind w:left="161"/>
              <w:rPr>
                <w:rFonts w:asciiTheme="minorHAnsi" w:hAnsiTheme="minorHAnsi" w:cstheme="minorHAnsi"/>
                <w:sz w:val="18"/>
                <w:szCs w:val="18"/>
              </w:rPr>
            </w:pPr>
          </w:p>
        </w:tc>
        <w:tc>
          <w:tcPr>
            <w:tcW w:w="1274" w:type="dxa"/>
          </w:tcPr>
          <w:p w14:paraId="188C7B11" w14:textId="77777777" w:rsidR="00901DFF" w:rsidRPr="000E4502" w:rsidRDefault="00901DFF" w:rsidP="00901DFF">
            <w:pPr>
              <w:pStyle w:val="TableParagraph"/>
              <w:ind w:left="0"/>
              <w:rPr>
                <w:rFonts w:asciiTheme="minorHAnsi" w:hAnsiTheme="minorHAnsi" w:cstheme="minorHAnsi"/>
                <w:sz w:val="18"/>
                <w:szCs w:val="18"/>
              </w:rPr>
            </w:pPr>
          </w:p>
        </w:tc>
        <w:tc>
          <w:tcPr>
            <w:tcW w:w="3112" w:type="dxa"/>
          </w:tcPr>
          <w:p w14:paraId="6059F16C" w14:textId="77777777" w:rsidR="00901DFF" w:rsidRPr="000E4502" w:rsidRDefault="00901DFF" w:rsidP="00901DFF">
            <w:pPr>
              <w:pStyle w:val="TableParagraph"/>
              <w:spacing w:before="1"/>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 LPS 3 Heritage List as part of George Street Precinct.</w:t>
            </w:r>
          </w:p>
        </w:tc>
      </w:tr>
      <w:tr w:rsidR="00901DFF" w:rsidRPr="00A53749" w14:paraId="248E6F39" w14:textId="77777777" w:rsidTr="00A9290F">
        <w:trPr>
          <w:trHeight w:val="877"/>
        </w:trPr>
        <w:tc>
          <w:tcPr>
            <w:tcW w:w="425" w:type="dxa"/>
          </w:tcPr>
          <w:p w14:paraId="236886F4"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7C0DF483" w14:textId="77777777" w:rsidR="00901DFF" w:rsidRPr="000E4502" w:rsidRDefault="00901DFF" w:rsidP="001C7F4A">
            <w:pPr>
              <w:pStyle w:val="TableParagraph"/>
              <w:spacing w:before="1" w:line="219" w:lineRule="exact"/>
              <w:ind w:left="12"/>
              <w:rPr>
                <w:rFonts w:asciiTheme="minorHAnsi" w:hAnsiTheme="minorHAnsi" w:cstheme="minorHAnsi"/>
                <w:sz w:val="18"/>
                <w:szCs w:val="18"/>
              </w:rPr>
            </w:pPr>
            <w:r w:rsidRPr="000E4502">
              <w:rPr>
                <w:rFonts w:asciiTheme="minorHAnsi" w:hAnsiTheme="minorHAnsi" w:cstheme="minorHAnsi"/>
                <w:sz w:val="18"/>
                <w:szCs w:val="18"/>
              </w:rPr>
              <w:t>77-85 George Street</w:t>
            </w:r>
          </w:p>
          <w:p w14:paraId="3E6A366F" w14:textId="77777777" w:rsidR="00901DFF" w:rsidRPr="000E4502" w:rsidRDefault="00901DFF" w:rsidP="001C7F4A">
            <w:pPr>
              <w:pStyle w:val="TableParagraph"/>
              <w:spacing w:line="219" w:lineRule="exact"/>
              <w:ind w:left="12"/>
              <w:rPr>
                <w:rFonts w:asciiTheme="minorHAnsi" w:hAnsiTheme="minorHAnsi" w:cstheme="minorHAnsi"/>
                <w:sz w:val="18"/>
                <w:szCs w:val="18"/>
              </w:rPr>
            </w:pPr>
          </w:p>
        </w:tc>
        <w:tc>
          <w:tcPr>
            <w:tcW w:w="1130" w:type="dxa"/>
          </w:tcPr>
          <w:p w14:paraId="0BB70915" w14:textId="77777777" w:rsidR="00901DFF" w:rsidRPr="000E4502" w:rsidRDefault="00901DFF" w:rsidP="00901DFF">
            <w:pPr>
              <w:pStyle w:val="TableParagraph"/>
              <w:spacing w:before="1"/>
              <w:ind w:left="95" w:right="88"/>
              <w:jc w:val="center"/>
              <w:rPr>
                <w:rFonts w:asciiTheme="minorHAnsi" w:hAnsiTheme="minorHAnsi" w:cstheme="minorHAnsi"/>
                <w:sz w:val="18"/>
                <w:szCs w:val="18"/>
              </w:rPr>
            </w:pPr>
            <w:r w:rsidRPr="000E4502">
              <w:rPr>
                <w:rFonts w:asciiTheme="minorHAnsi" w:hAnsiTheme="minorHAnsi" w:cstheme="minorHAnsi"/>
                <w:sz w:val="18"/>
                <w:szCs w:val="18"/>
              </w:rPr>
              <w:t>700</w:t>
            </w:r>
          </w:p>
        </w:tc>
        <w:tc>
          <w:tcPr>
            <w:tcW w:w="1569" w:type="dxa"/>
          </w:tcPr>
          <w:p w14:paraId="07E42C6B" w14:textId="77777777" w:rsidR="00901DFF" w:rsidRPr="000E4502" w:rsidRDefault="00901DFF" w:rsidP="00901DFF">
            <w:pPr>
              <w:pStyle w:val="TableParagraph"/>
              <w:spacing w:before="1"/>
              <w:ind w:left="161" w:right="173"/>
              <w:rPr>
                <w:rFonts w:asciiTheme="minorHAnsi" w:hAnsiTheme="minorHAnsi" w:cstheme="minorHAnsi"/>
                <w:sz w:val="18"/>
                <w:szCs w:val="18"/>
              </w:rPr>
            </w:pPr>
            <w:r w:rsidRPr="000E4502">
              <w:rPr>
                <w:rFonts w:asciiTheme="minorHAnsi" w:hAnsiTheme="minorHAnsi" w:cstheme="minorHAnsi"/>
                <w:sz w:val="18"/>
                <w:szCs w:val="18"/>
              </w:rPr>
              <w:t>Federation Free Classical</w:t>
            </w:r>
          </w:p>
        </w:tc>
        <w:tc>
          <w:tcPr>
            <w:tcW w:w="1274" w:type="dxa"/>
          </w:tcPr>
          <w:p w14:paraId="5788CAC7" w14:textId="77777777" w:rsidR="00901DFF" w:rsidRPr="000E4502" w:rsidRDefault="00901DFF" w:rsidP="00901DFF">
            <w:pPr>
              <w:pStyle w:val="TableParagraph"/>
              <w:spacing w:before="1"/>
              <w:ind w:left="162" w:right="148"/>
              <w:jc w:val="center"/>
              <w:rPr>
                <w:rFonts w:asciiTheme="minorHAnsi" w:hAnsiTheme="minorHAnsi" w:cstheme="minorHAnsi"/>
                <w:sz w:val="18"/>
                <w:szCs w:val="18"/>
              </w:rPr>
            </w:pPr>
            <w:r w:rsidRPr="000E4502">
              <w:rPr>
                <w:rFonts w:asciiTheme="minorHAnsi" w:hAnsiTheme="minorHAnsi" w:cstheme="minorHAnsi"/>
                <w:sz w:val="18"/>
                <w:szCs w:val="18"/>
              </w:rPr>
              <w:t>circa 1894</w:t>
            </w:r>
          </w:p>
        </w:tc>
        <w:tc>
          <w:tcPr>
            <w:tcW w:w="3112" w:type="dxa"/>
          </w:tcPr>
          <w:p w14:paraId="35D82031" w14:textId="77777777" w:rsidR="00901DFF" w:rsidRPr="000E4502" w:rsidRDefault="00901DFF" w:rsidP="00901DFF">
            <w:pPr>
              <w:pStyle w:val="TableParagraph"/>
              <w:spacing w:before="1"/>
              <w:ind w:left="109" w:right="363"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A. LPS 3 Heritage List (individual).</w:t>
            </w:r>
          </w:p>
          <w:p w14:paraId="3F57C0DB" w14:textId="77777777" w:rsidR="00901DFF" w:rsidRPr="000E4502" w:rsidRDefault="00901DFF" w:rsidP="00901DFF">
            <w:pPr>
              <w:pStyle w:val="TableParagraph"/>
              <w:spacing w:line="219" w:lineRule="exact"/>
              <w:ind w:left="109"/>
              <w:rPr>
                <w:rFonts w:asciiTheme="minorHAnsi" w:hAnsiTheme="minorHAnsi" w:cstheme="minorHAnsi"/>
                <w:sz w:val="18"/>
                <w:szCs w:val="18"/>
              </w:rPr>
            </w:pPr>
            <w:r w:rsidRPr="000E4502">
              <w:rPr>
                <w:rFonts w:asciiTheme="minorHAnsi" w:hAnsiTheme="minorHAnsi" w:cstheme="minorHAnsi"/>
                <w:sz w:val="18"/>
                <w:szCs w:val="18"/>
              </w:rPr>
              <w:t xml:space="preserve">Included within </w:t>
            </w:r>
            <w:r>
              <w:rPr>
                <w:rFonts w:asciiTheme="minorHAnsi" w:hAnsiTheme="minorHAnsi" w:cstheme="minorHAnsi"/>
                <w:sz w:val="18"/>
                <w:szCs w:val="18"/>
              </w:rPr>
              <w:t xml:space="preserve">LPS 3 Heritage List as </w:t>
            </w:r>
            <w:r w:rsidRPr="000E4502">
              <w:rPr>
                <w:rFonts w:asciiTheme="minorHAnsi" w:hAnsiTheme="minorHAnsi" w:cstheme="minorHAnsi"/>
                <w:sz w:val="18"/>
                <w:szCs w:val="18"/>
              </w:rPr>
              <w:t>part of George Street Precinct.</w:t>
            </w:r>
          </w:p>
        </w:tc>
      </w:tr>
      <w:tr w:rsidR="00901DFF" w:rsidRPr="00A53749" w14:paraId="21322744" w14:textId="77777777" w:rsidTr="00A9290F">
        <w:trPr>
          <w:trHeight w:val="659"/>
        </w:trPr>
        <w:tc>
          <w:tcPr>
            <w:tcW w:w="425" w:type="dxa"/>
          </w:tcPr>
          <w:p w14:paraId="074D9322"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46124662" w14:textId="77777777" w:rsidR="00901DFF" w:rsidRPr="000E4502" w:rsidRDefault="00901DFF" w:rsidP="001C7F4A">
            <w:pPr>
              <w:pStyle w:val="TableParagraph"/>
              <w:spacing w:before="1"/>
              <w:ind w:left="12"/>
              <w:rPr>
                <w:rFonts w:asciiTheme="minorHAnsi" w:hAnsiTheme="minorHAnsi" w:cstheme="minorHAnsi"/>
                <w:sz w:val="18"/>
                <w:szCs w:val="18"/>
              </w:rPr>
            </w:pPr>
            <w:r w:rsidRPr="000E4502">
              <w:rPr>
                <w:rFonts w:asciiTheme="minorHAnsi" w:hAnsiTheme="minorHAnsi" w:cstheme="minorHAnsi"/>
                <w:sz w:val="18"/>
                <w:szCs w:val="18"/>
              </w:rPr>
              <w:t>87 George Street</w:t>
            </w:r>
          </w:p>
          <w:p w14:paraId="4622FEEF" w14:textId="77777777" w:rsidR="00901DFF" w:rsidRPr="000E4502" w:rsidRDefault="00901DFF" w:rsidP="001C7F4A">
            <w:pPr>
              <w:pStyle w:val="TableParagraph"/>
              <w:spacing w:before="1"/>
              <w:ind w:left="12"/>
              <w:rPr>
                <w:rFonts w:asciiTheme="minorHAnsi" w:hAnsiTheme="minorHAnsi" w:cstheme="minorHAnsi"/>
                <w:sz w:val="18"/>
                <w:szCs w:val="18"/>
              </w:rPr>
            </w:pPr>
          </w:p>
        </w:tc>
        <w:tc>
          <w:tcPr>
            <w:tcW w:w="1130" w:type="dxa"/>
          </w:tcPr>
          <w:p w14:paraId="479AEECA" w14:textId="77777777" w:rsidR="00901DFF" w:rsidRPr="000E4502" w:rsidRDefault="00901DFF" w:rsidP="00901DFF">
            <w:pPr>
              <w:pStyle w:val="TableParagraph"/>
              <w:spacing w:before="1"/>
              <w:ind w:left="95" w:right="86"/>
              <w:jc w:val="center"/>
              <w:rPr>
                <w:rFonts w:asciiTheme="minorHAnsi" w:hAnsiTheme="minorHAnsi" w:cstheme="minorHAnsi"/>
                <w:sz w:val="18"/>
                <w:szCs w:val="18"/>
              </w:rPr>
            </w:pPr>
            <w:r w:rsidRPr="000E4502">
              <w:rPr>
                <w:rFonts w:asciiTheme="minorHAnsi" w:hAnsiTheme="minorHAnsi" w:cstheme="minorHAnsi"/>
                <w:sz w:val="18"/>
                <w:szCs w:val="18"/>
              </w:rPr>
              <w:t>316 &amp; 317</w:t>
            </w:r>
          </w:p>
        </w:tc>
        <w:tc>
          <w:tcPr>
            <w:tcW w:w="1569" w:type="dxa"/>
          </w:tcPr>
          <w:p w14:paraId="1DC79EAA" w14:textId="77777777" w:rsidR="00901DFF" w:rsidRPr="000E4502" w:rsidRDefault="00901DFF" w:rsidP="00901DFF">
            <w:pPr>
              <w:pStyle w:val="TableParagraph"/>
              <w:ind w:left="161"/>
              <w:rPr>
                <w:rFonts w:asciiTheme="minorHAnsi" w:hAnsiTheme="minorHAnsi" w:cstheme="minorHAnsi"/>
                <w:sz w:val="18"/>
                <w:szCs w:val="18"/>
              </w:rPr>
            </w:pPr>
          </w:p>
        </w:tc>
        <w:tc>
          <w:tcPr>
            <w:tcW w:w="1274" w:type="dxa"/>
          </w:tcPr>
          <w:p w14:paraId="0E1EAD16" w14:textId="77777777" w:rsidR="00901DFF" w:rsidRPr="000E4502" w:rsidRDefault="00901DFF" w:rsidP="00901DFF">
            <w:pPr>
              <w:pStyle w:val="TableParagraph"/>
              <w:ind w:left="0"/>
              <w:rPr>
                <w:rFonts w:asciiTheme="minorHAnsi" w:hAnsiTheme="minorHAnsi" w:cstheme="minorHAnsi"/>
                <w:sz w:val="18"/>
                <w:szCs w:val="18"/>
              </w:rPr>
            </w:pPr>
          </w:p>
        </w:tc>
        <w:tc>
          <w:tcPr>
            <w:tcW w:w="3112" w:type="dxa"/>
          </w:tcPr>
          <w:p w14:paraId="49E2E9DA" w14:textId="77777777" w:rsidR="00901DFF" w:rsidRPr="000E4502" w:rsidRDefault="00901DFF" w:rsidP="00901DFF">
            <w:pPr>
              <w:pStyle w:val="TableParagraph"/>
              <w:spacing w:before="1"/>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w:t>
            </w:r>
            <w:r>
              <w:rPr>
                <w:rFonts w:asciiTheme="minorHAnsi" w:hAnsiTheme="minorHAnsi" w:cstheme="minorHAnsi"/>
                <w:sz w:val="18"/>
                <w:szCs w:val="18"/>
              </w:rPr>
              <w:t xml:space="preserve"> LPS 3 Heritage List as part of </w:t>
            </w:r>
            <w:r w:rsidRPr="000E4502">
              <w:rPr>
                <w:rFonts w:asciiTheme="minorHAnsi" w:hAnsiTheme="minorHAnsi" w:cstheme="minorHAnsi"/>
                <w:sz w:val="18"/>
                <w:szCs w:val="18"/>
              </w:rPr>
              <w:t>George Street Precinct.</w:t>
            </w:r>
          </w:p>
        </w:tc>
      </w:tr>
      <w:tr w:rsidR="00901DFF" w:rsidRPr="00A53749" w14:paraId="53F0A57B" w14:textId="77777777" w:rsidTr="00A9290F">
        <w:trPr>
          <w:trHeight w:val="659"/>
        </w:trPr>
        <w:tc>
          <w:tcPr>
            <w:tcW w:w="425" w:type="dxa"/>
          </w:tcPr>
          <w:p w14:paraId="1C1911BB"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08C9E4FD" w14:textId="77777777" w:rsidR="00901DFF" w:rsidRPr="000E4502" w:rsidRDefault="00901DFF" w:rsidP="001C7F4A">
            <w:pPr>
              <w:pStyle w:val="TableParagraph"/>
              <w:spacing w:before="1"/>
              <w:ind w:left="12"/>
              <w:rPr>
                <w:rFonts w:asciiTheme="minorHAnsi" w:hAnsiTheme="minorHAnsi" w:cstheme="minorHAnsi"/>
                <w:sz w:val="18"/>
                <w:szCs w:val="18"/>
              </w:rPr>
            </w:pPr>
            <w:r w:rsidRPr="000E4502">
              <w:rPr>
                <w:rFonts w:asciiTheme="minorHAnsi" w:hAnsiTheme="minorHAnsi" w:cstheme="minorHAnsi"/>
                <w:sz w:val="18"/>
                <w:szCs w:val="18"/>
              </w:rPr>
              <w:t>89-93 George Street</w:t>
            </w:r>
          </w:p>
          <w:p w14:paraId="44627E46" w14:textId="77777777" w:rsidR="00901DFF" w:rsidRPr="000E4502" w:rsidRDefault="00901DFF" w:rsidP="001C7F4A">
            <w:pPr>
              <w:pStyle w:val="TableParagraph"/>
              <w:spacing w:before="1"/>
              <w:ind w:left="12"/>
              <w:rPr>
                <w:rFonts w:asciiTheme="minorHAnsi" w:hAnsiTheme="minorHAnsi" w:cstheme="minorHAnsi"/>
                <w:sz w:val="18"/>
                <w:szCs w:val="18"/>
              </w:rPr>
            </w:pPr>
          </w:p>
        </w:tc>
        <w:tc>
          <w:tcPr>
            <w:tcW w:w="1130" w:type="dxa"/>
          </w:tcPr>
          <w:p w14:paraId="11931E65" w14:textId="77777777" w:rsidR="00901DFF" w:rsidRPr="000E4502" w:rsidRDefault="00901DFF" w:rsidP="00901DFF">
            <w:pPr>
              <w:pStyle w:val="TableParagraph"/>
              <w:spacing w:before="1"/>
              <w:ind w:left="95" w:right="88"/>
              <w:jc w:val="center"/>
              <w:rPr>
                <w:rFonts w:asciiTheme="minorHAnsi" w:hAnsiTheme="minorHAnsi" w:cstheme="minorHAnsi"/>
                <w:sz w:val="18"/>
                <w:szCs w:val="18"/>
              </w:rPr>
            </w:pPr>
            <w:r w:rsidRPr="000E4502">
              <w:rPr>
                <w:rFonts w:asciiTheme="minorHAnsi" w:hAnsiTheme="minorHAnsi" w:cstheme="minorHAnsi"/>
                <w:sz w:val="18"/>
                <w:szCs w:val="18"/>
              </w:rPr>
              <w:t>318</w:t>
            </w:r>
          </w:p>
          <w:p w14:paraId="5401CFCC" w14:textId="77777777" w:rsidR="00901DFF" w:rsidRPr="000E4502" w:rsidRDefault="00901DFF" w:rsidP="00901DFF">
            <w:pPr>
              <w:pStyle w:val="TableParagraph"/>
              <w:spacing w:before="1"/>
              <w:ind w:left="95" w:right="84"/>
              <w:jc w:val="center"/>
              <w:rPr>
                <w:rFonts w:asciiTheme="minorHAnsi" w:hAnsiTheme="minorHAnsi" w:cstheme="minorHAnsi"/>
                <w:sz w:val="18"/>
                <w:szCs w:val="18"/>
              </w:rPr>
            </w:pPr>
            <w:r w:rsidRPr="000E4502">
              <w:rPr>
                <w:rFonts w:asciiTheme="minorHAnsi" w:hAnsiTheme="minorHAnsi" w:cstheme="minorHAnsi"/>
                <w:sz w:val="18"/>
                <w:szCs w:val="18"/>
              </w:rPr>
              <w:t>(Lots 1-3)</w:t>
            </w:r>
          </w:p>
        </w:tc>
        <w:tc>
          <w:tcPr>
            <w:tcW w:w="1569" w:type="dxa"/>
          </w:tcPr>
          <w:p w14:paraId="648DAD68" w14:textId="77777777" w:rsidR="00901DFF" w:rsidRPr="000E4502" w:rsidRDefault="00901DFF" w:rsidP="00901DFF">
            <w:pPr>
              <w:pStyle w:val="TableParagraph"/>
              <w:ind w:left="161"/>
              <w:rPr>
                <w:rFonts w:asciiTheme="minorHAnsi" w:hAnsiTheme="minorHAnsi" w:cstheme="minorHAnsi"/>
                <w:sz w:val="18"/>
                <w:szCs w:val="18"/>
              </w:rPr>
            </w:pPr>
          </w:p>
        </w:tc>
        <w:tc>
          <w:tcPr>
            <w:tcW w:w="1274" w:type="dxa"/>
          </w:tcPr>
          <w:p w14:paraId="2A4268FE" w14:textId="77777777" w:rsidR="00901DFF" w:rsidRPr="000E4502" w:rsidRDefault="00901DFF" w:rsidP="00901DFF">
            <w:pPr>
              <w:pStyle w:val="TableParagraph"/>
              <w:ind w:left="0"/>
              <w:rPr>
                <w:rFonts w:asciiTheme="minorHAnsi" w:hAnsiTheme="minorHAnsi" w:cstheme="minorHAnsi"/>
                <w:sz w:val="18"/>
                <w:szCs w:val="18"/>
              </w:rPr>
            </w:pPr>
          </w:p>
        </w:tc>
        <w:tc>
          <w:tcPr>
            <w:tcW w:w="3112" w:type="dxa"/>
          </w:tcPr>
          <w:p w14:paraId="50C29590" w14:textId="77777777" w:rsidR="00901DFF" w:rsidRPr="000E4502" w:rsidRDefault="00901DFF" w:rsidP="00901DFF">
            <w:pPr>
              <w:pStyle w:val="TableParagraph"/>
              <w:spacing w:before="1"/>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w:t>
            </w:r>
            <w:r>
              <w:rPr>
                <w:rFonts w:asciiTheme="minorHAnsi" w:hAnsiTheme="minorHAnsi" w:cstheme="minorHAnsi"/>
                <w:sz w:val="18"/>
                <w:szCs w:val="18"/>
              </w:rPr>
              <w:t xml:space="preserve"> LPS 3 Heritage List as part of </w:t>
            </w:r>
            <w:r w:rsidRPr="000E4502">
              <w:rPr>
                <w:rFonts w:asciiTheme="minorHAnsi" w:hAnsiTheme="minorHAnsi" w:cstheme="minorHAnsi"/>
                <w:sz w:val="18"/>
                <w:szCs w:val="18"/>
              </w:rPr>
              <w:t>George Street Precinct.</w:t>
            </w:r>
          </w:p>
        </w:tc>
      </w:tr>
      <w:tr w:rsidR="00901DFF" w:rsidRPr="00A53749" w14:paraId="0AD033B5" w14:textId="77777777" w:rsidTr="00A9290F">
        <w:trPr>
          <w:trHeight w:val="659"/>
        </w:trPr>
        <w:tc>
          <w:tcPr>
            <w:tcW w:w="425" w:type="dxa"/>
          </w:tcPr>
          <w:p w14:paraId="5209364D"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467500EA" w14:textId="77777777" w:rsidR="00901DFF" w:rsidRPr="000E4502" w:rsidRDefault="00901DFF" w:rsidP="001C7F4A">
            <w:pPr>
              <w:pStyle w:val="TableParagraph"/>
              <w:spacing w:before="1" w:line="219" w:lineRule="exact"/>
              <w:ind w:left="12"/>
              <w:rPr>
                <w:rFonts w:asciiTheme="minorHAnsi" w:hAnsiTheme="minorHAnsi" w:cstheme="minorHAnsi"/>
                <w:sz w:val="18"/>
                <w:szCs w:val="18"/>
              </w:rPr>
            </w:pPr>
            <w:r w:rsidRPr="000E4502">
              <w:rPr>
                <w:rFonts w:asciiTheme="minorHAnsi" w:hAnsiTheme="minorHAnsi" w:cstheme="minorHAnsi"/>
                <w:sz w:val="18"/>
                <w:szCs w:val="18"/>
              </w:rPr>
              <w:t>49 King Street</w:t>
            </w:r>
          </w:p>
          <w:p w14:paraId="11B0DBCA" w14:textId="77777777" w:rsidR="00901DFF" w:rsidRPr="000E4502" w:rsidRDefault="00901DFF" w:rsidP="001C7F4A">
            <w:pPr>
              <w:pStyle w:val="TableParagraph"/>
              <w:spacing w:line="219" w:lineRule="exact"/>
              <w:ind w:left="12"/>
              <w:rPr>
                <w:rFonts w:asciiTheme="minorHAnsi" w:hAnsiTheme="minorHAnsi" w:cstheme="minorHAnsi"/>
                <w:sz w:val="18"/>
                <w:szCs w:val="18"/>
              </w:rPr>
            </w:pPr>
          </w:p>
        </w:tc>
        <w:tc>
          <w:tcPr>
            <w:tcW w:w="1130" w:type="dxa"/>
          </w:tcPr>
          <w:p w14:paraId="48EC9280" w14:textId="77777777" w:rsidR="00901DFF" w:rsidRPr="000E4502" w:rsidRDefault="00901DFF" w:rsidP="00901DFF">
            <w:pPr>
              <w:pStyle w:val="TableParagraph"/>
              <w:spacing w:before="1"/>
              <w:ind w:left="95" w:right="88"/>
              <w:jc w:val="center"/>
              <w:rPr>
                <w:rFonts w:asciiTheme="minorHAnsi" w:hAnsiTheme="minorHAnsi" w:cstheme="minorHAnsi"/>
                <w:sz w:val="18"/>
                <w:szCs w:val="18"/>
              </w:rPr>
            </w:pPr>
            <w:r w:rsidRPr="000E4502">
              <w:rPr>
                <w:rFonts w:asciiTheme="minorHAnsi" w:hAnsiTheme="minorHAnsi" w:cstheme="minorHAnsi"/>
                <w:sz w:val="18"/>
                <w:szCs w:val="18"/>
              </w:rPr>
              <w:t>319</w:t>
            </w:r>
          </w:p>
        </w:tc>
        <w:tc>
          <w:tcPr>
            <w:tcW w:w="1569" w:type="dxa"/>
          </w:tcPr>
          <w:p w14:paraId="36BD023B" w14:textId="77777777" w:rsidR="00901DFF" w:rsidRPr="000E4502" w:rsidRDefault="00901DFF" w:rsidP="00901DFF">
            <w:pPr>
              <w:pStyle w:val="TableParagraph"/>
              <w:spacing w:before="1"/>
              <w:ind w:left="161" w:right="394"/>
              <w:rPr>
                <w:rFonts w:asciiTheme="minorHAnsi" w:hAnsiTheme="minorHAnsi" w:cstheme="minorHAnsi"/>
                <w:sz w:val="18"/>
                <w:szCs w:val="18"/>
              </w:rPr>
            </w:pPr>
            <w:r w:rsidRPr="000E4502">
              <w:rPr>
                <w:rFonts w:asciiTheme="minorHAnsi" w:hAnsiTheme="minorHAnsi" w:cstheme="minorHAnsi"/>
                <w:sz w:val="18"/>
                <w:szCs w:val="18"/>
              </w:rPr>
              <w:t>Inter-War Bungalow</w:t>
            </w:r>
          </w:p>
        </w:tc>
        <w:tc>
          <w:tcPr>
            <w:tcW w:w="1274" w:type="dxa"/>
          </w:tcPr>
          <w:p w14:paraId="0C0B6116" w14:textId="77777777" w:rsidR="00901DFF" w:rsidRPr="000E4502" w:rsidRDefault="00901DFF" w:rsidP="00901DFF">
            <w:pPr>
              <w:pStyle w:val="TableParagraph"/>
              <w:spacing w:before="1"/>
              <w:ind w:left="162" w:right="148"/>
              <w:jc w:val="center"/>
              <w:rPr>
                <w:rFonts w:asciiTheme="minorHAnsi" w:hAnsiTheme="minorHAnsi" w:cstheme="minorHAnsi"/>
                <w:sz w:val="18"/>
                <w:szCs w:val="18"/>
              </w:rPr>
            </w:pPr>
            <w:r w:rsidRPr="000E4502">
              <w:rPr>
                <w:rFonts w:asciiTheme="minorHAnsi" w:hAnsiTheme="minorHAnsi" w:cstheme="minorHAnsi"/>
                <w:sz w:val="18"/>
                <w:szCs w:val="18"/>
              </w:rPr>
              <w:t>circa 1920</w:t>
            </w:r>
          </w:p>
        </w:tc>
        <w:tc>
          <w:tcPr>
            <w:tcW w:w="3112" w:type="dxa"/>
          </w:tcPr>
          <w:p w14:paraId="2B983FB1" w14:textId="77777777" w:rsidR="00901DFF" w:rsidRPr="000E4502" w:rsidRDefault="00901DFF" w:rsidP="00901DFF">
            <w:pPr>
              <w:pStyle w:val="TableParagraph"/>
              <w:spacing w:before="1"/>
              <w:ind w:left="109" w:right="264"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C. Include</w:t>
            </w:r>
            <w:r>
              <w:rPr>
                <w:rFonts w:asciiTheme="minorHAnsi" w:hAnsiTheme="minorHAnsi" w:cstheme="minorHAnsi"/>
                <w:sz w:val="18"/>
                <w:szCs w:val="18"/>
              </w:rPr>
              <w:t xml:space="preserve">d within LPS 3 Heritage List as </w:t>
            </w:r>
            <w:r w:rsidRPr="000E4502">
              <w:rPr>
                <w:rFonts w:asciiTheme="minorHAnsi" w:hAnsiTheme="minorHAnsi" w:cstheme="minorHAnsi"/>
                <w:sz w:val="18"/>
                <w:szCs w:val="18"/>
              </w:rPr>
              <w:t>part of George Street Precinct.</w:t>
            </w:r>
          </w:p>
        </w:tc>
      </w:tr>
      <w:tr w:rsidR="00901DFF" w:rsidRPr="00A53749" w14:paraId="570AA43D" w14:textId="77777777" w:rsidTr="00A9290F">
        <w:trPr>
          <w:trHeight w:val="1317"/>
        </w:trPr>
        <w:tc>
          <w:tcPr>
            <w:tcW w:w="425" w:type="dxa"/>
          </w:tcPr>
          <w:p w14:paraId="705C6863"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241DA2AA" w14:textId="77777777" w:rsidR="00901DFF" w:rsidRPr="000E4502" w:rsidRDefault="00901DFF" w:rsidP="001C7F4A">
            <w:pPr>
              <w:pStyle w:val="TableParagraph"/>
              <w:spacing w:before="1"/>
              <w:ind w:left="12" w:right="527"/>
              <w:rPr>
                <w:rFonts w:asciiTheme="minorHAnsi" w:hAnsiTheme="minorHAnsi" w:cstheme="minorHAnsi"/>
                <w:sz w:val="18"/>
                <w:szCs w:val="18"/>
              </w:rPr>
            </w:pPr>
            <w:r w:rsidRPr="000E4502">
              <w:rPr>
                <w:rFonts w:asciiTheme="minorHAnsi" w:hAnsiTheme="minorHAnsi" w:cstheme="minorHAnsi"/>
                <w:sz w:val="18"/>
                <w:szCs w:val="18"/>
              </w:rPr>
              <w:t>107-121 George Street</w:t>
            </w:r>
          </w:p>
          <w:p w14:paraId="1FF6219C" w14:textId="77777777" w:rsidR="00901DFF" w:rsidRPr="000E4502" w:rsidRDefault="00901DFF" w:rsidP="001C7F4A">
            <w:pPr>
              <w:pStyle w:val="TableParagraph"/>
              <w:spacing w:line="219" w:lineRule="exact"/>
              <w:ind w:left="12"/>
              <w:rPr>
                <w:rFonts w:asciiTheme="minorHAnsi" w:hAnsiTheme="minorHAnsi" w:cstheme="minorHAnsi"/>
                <w:sz w:val="18"/>
                <w:szCs w:val="18"/>
              </w:rPr>
            </w:pPr>
          </w:p>
        </w:tc>
        <w:tc>
          <w:tcPr>
            <w:tcW w:w="1130" w:type="dxa"/>
          </w:tcPr>
          <w:p w14:paraId="40742CF2" w14:textId="77777777" w:rsidR="00901DFF" w:rsidRPr="000E4502" w:rsidRDefault="00901DFF" w:rsidP="00901DFF">
            <w:pPr>
              <w:pStyle w:val="TableParagraph"/>
              <w:spacing w:before="1" w:line="21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502</w:t>
            </w:r>
          </w:p>
          <w:p w14:paraId="43ED207F" w14:textId="77777777" w:rsidR="00901DFF" w:rsidRPr="000E4502" w:rsidRDefault="00901DFF" w:rsidP="00901DFF">
            <w:pPr>
              <w:pStyle w:val="TableParagraph"/>
              <w:spacing w:line="219" w:lineRule="exact"/>
              <w:ind w:left="95" w:right="84"/>
              <w:jc w:val="center"/>
              <w:rPr>
                <w:rFonts w:asciiTheme="minorHAnsi" w:hAnsiTheme="minorHAnsi" w:cstheme="minorHAnsi"/>
                <w:sz w:val="18"/>
                <w:szCs w:val="18"/>
              </w:rPr>
            </w:pPr>
            <w:r w:rsidRPr="000E4502">
              <w:rPr>
                <w:rFonts w:asciiTheme="minorHAnsi" w:hAnsiTheme="minorHAnsi" w:cstheme="minorHAnsi"/>
                <w:sz w:val="18"/>
                <w:szCs w:val="18"/>
              </w:rPr>
              <w:t>(Lots 1-8)</w:t>
            </w:r>
          </w:p>
        </w:tc>
        <w:tc>
          <w:tcPr>
            <w:tcW w:w="1569" w:type="dxa"/>
          </w:tcPr>
          <w:p w14:paraId="7B048724" w14:textId="77777777" w:rsidR="00901DFF" w:rsidRPr="000E4502" w:rsidRDefault="00901DFF" w:rsidP="00901DFF">
            <w:pPr>
              <w:pStyle w:val="TableParagraph"/>
              <w:spacing w:before="1"/>
              <w:ind w:left="161" w:right="265"/>
              <w:rPr>
                <w:rFonts w:asciiTheme="minorHAnsi" w:hAnsiTheme="minorHAnsi" w:cstheme="minorHAnsi"/>
                <w:sz w:val="18"/>
                <w:szCs w:val="18"/>
              </w:rPr>
            </w:pPr>
            <w:r w:rsidRPr="000E4502">
              <w:rPr>
                <w:rFonts w:asciiTheme="minorHAnsi" w:hAnsiTheme="minorHAnsi" w:cstheme="minorHAnsi"/>
                <w:sz w:val="18"/>
                <w:szCs w:val="18"/>
              </w:rPr>
              <w:t>Federation Cottage Orne</w:t>
            </w:r>
          </w:p>
        </w:tc>
        <w:tc>
          <w:tcPr>
            <w:tcW w:w="1274" w:type="dxa"/>
          </w:tcPr>
          <w:p w14:paraId="77C17C91" w14:textId="77777777" w:rsidR="00901DFF" w:rsidRPr="000E4502" w:rsidRDefault="00901DFF" w:rsidP="00901DFF">
            <w:pPr>
              <w:pStyle w:val="TableParagraph"/>
              <w:spacing w:before="1"/>
              <w:ind w:left="162" w:right="148"/>
              <w:jc w:val="center"/>
              <w:rPr>
                <w:rFonts w:asciiTheme="minorHAnsi" w:hAnsiTheme="minorHAnsi" w:cstheme="minorHAnsi"/>
                <w:sz w:val="18"/>
                <w:szCs w:val="18"/>
              </w:rPr>
            </w:pPr>
            <w:r w:rsidRPr="000E4502">
              <w:rPr>
                <w:rFonts w:asciiTheme="minorHAnsi" w:hAnsiTheme="minorHAnsi" w:cstheme="minorHAnsi"/>
                <w:sz w:val="18"/>
                <w:szCs w:val="18"/>
              </w:rPr>
              <w:t>circa 1905</w:t>
            </w:r>
          </w:p>
        </w:tc>
        <w:tc>
          <w:tcPr>
            <w:tcW w:w="3112" w:type="dxa"/>
          </w:tcPr>
          <w:p w14:paraId="54D4B6B1" w14:textId="77777777" w:rsidR="00901DFF" w:rsidRPr="000E4502" w:rsidRDefault="00901DFF" w:rsidP="00901DFF">
            <w:pPr>
              <w:pStyle w:val="TableParagraph"/>
              <w:spacing w:before="1"/>
              <w:ind w:left="109" w:right="376"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w:t>
            </w:r>
            <w:r w:rsidRPr="000E4502">
              <w:rPr>
                <w:rFonts w:asciiTheme="minorHAnsi" w:hAnsiTheme="minorHAnsi" w:cstheme="minorHAnsi"/>
                <w:spacing w:val="-13"/>
                <w:sz w:val="18"/>
                <w:szCs w:val="18"/>
              </w:rPr>
              <w:t xml:space="preserve"> </w:t>
            </w:r>
            <w:r w:rsidRPr="000E4502">
              <w:rPr>
                <w:rFonts w:asciiTheme="minorHAnsi" w:hAnsiTheme="minorHAnsi" w:cstheme="minorHAnsi"/>
                <w:sz w:val="18"/>
                <w:szCs w:val="18"/>
              </w:rPr>
              <w:t>A. LPS 3 Heritage List</w:t>
            </w:r>
            <w:r w:rsidRPr="000E4502">
              <w:rPr>
                <w:rFonts w:asciiTheme="minorHAnsi" w:hAnsiTheme="minorHAnsi" w:cstheme="minorHAnsi"/>
                <w:spacing w:val="-9"/>
                <w:sz w:val="18"/>
                <w:szCs w:val="18"/>
              </w:rPr>
              <w:t xml:space="preserve"> </w:t>
            </w:r>
            <w:r w:rsidRPr="000E4502">
              <w:rPr>
                <w:rFonts w:asciiTheme="minorHAnsi" w:hAnsiTheme="minorHAnsi" w:cstheme="minorHAnsi"/>
                <w:sz w:val="18"/>
                <w:szCs w:val="18"/>
              </w:rPr>
              <w:t>(individual).</w:t>
            </w:r>
          </w:p>
          <w:p w14:paraId="7F71936A" w14:textId="77777777" w:rsidR="00901DFF" w:rsidRPr="000E4502" w:rsidRDefault="00901DFF" w:rsidP="00901DFF">
            <w:pPr>
              <w:pStyle w:val="TableParagraph"/>
              <w:ind w:left="109" w:right="278"/>
              <w:rPr>
                <w:rFonts w:asciiTheme="minorHAnsi" w:hAnsiTheme="minorHAnsi" w:cstheme="minorHAnsi"/>
                <w:sz w:val="18"/>
                <w:szCs w:val="18"/>
              </w:rPr>
            </w:pPr>
            <w:r w:rsidRPr="000E4502">
              <w:rPr>
                <w:rFonts w:asciiTheme="minorHAnsi" w:hAnsiTheme="minorHAnsi" w:cstheme="minorHAnsi"/>
                <w:sz w:val="18"/>
                <w:szCs w:val="18"/>
              </w:rPr>
              <w:t>Included within LPS 3 Heritage List</w:t>
            </w:r>
            <w:r w:rsidRPr="000E4502">
              <w:rPr>
                <w:rFonts w:asciiTheme="minorHAnsi" w:hAnsiTheme="minorHAnsi" w:cstheme="minorHAnsi"/>
                <w:spacing w:val="-14"/>
                <w:sz w:val="18"/>
                <w:szCs w:val="18"/>
              </w:rPr>
              <w:t xml:space="preserve"> </w:t>
            </w:r>
            <w:r w:rsidRPr="000E4502">
              <w:rPr>
                <w:rFonts w:asciiTheme="minorHAnsi" w:hAnsiTheme="minorHAnsi" w:cstheme="minorHAnsi"/>
                <w:sz w:val="18"/>
                <w:szCs w:val="18"/>
              </w:rPr>
              <w:t>as part of George Street</w:t>
            </w:r>
            <w:r w:rsidRPr="000E4502">
              <w:rPr>
                <w:rFonts w:asciiTheme="minorHAnsi" w:hAnsiTheme="minorHAnsi" w:cstheme="minorHAnsi"/>
                <w:spacing w:val="-7"/>
                <w:sz w:val="18"/>
                <w:szCs w:val="18"/>
              </w:rPr>
              <w:t xml:space="preserve"> </w:t>
            </w:r>
            <w:r>
              <w:rPr>
                <w:rFonts w:asciiTheme="minorHAnsi" w:hAnsiTheme="minorHAnsi" w:cstheme="minorHAnsi"/>
                <w:sz w:val="18"/>
                <w:szCs w:val="18"/>
              </w:rPr>
              <w:t xml:space="preserve">Precinct. </w:t>
            </w:r>
            <w:r w:rsidRPr="000E4502">
              <w:rPr>
                <w:rFonts w:asciiTheme="minorHAnsi" w:hAnsiTheme="minorHAnsi" w:cstheme="minorHAnsi"/>
                <w:sz w:val="18"/>
                <w:szCs w:val="18"/>
              </w:rPr>
              <w:t>Classified by National Trust.</w:t>
            </w:r>
          </w:p>
          <w:p w14:paraId="43315806" w14:textId="77777777" w:rsidR="00901DFF" w:rsidRPr="000E4502" w:rsidRDefault="00901DFF" w:rsidP="00901DFF">
            <w:pPr>
              <w:pStyle w:val="TableParagraph"/>
              <w:spacing w:line="199" w:lineRule="exact"/>
              <w:ind w:left="109"/>
              <w:rPr>
                <w:rFonts w:asciiTheme="minorHAnsi" w:hAnsiTheme="minorHAnsi" w:cstheme="minorHAnsi"/>
                <w:sz w:val="18"/>
                <w:szCs w:val="18"/>
              </w:rPr>
            </w:pPr>
            <w:r w:rsidRPr="000E4502">
              <w:rPr>
                <w:rFonts w:asciiTheme="minorHAnsi" w:hAnsiTheme="minorHAnsi" w:cstheme="minorHAnsi"/>
                <w:sz w:val="18"/>
                <w:szCs w:val="18"/>
              </w:rPr>
              <w:t>Register of the National Trust.</w:t>
            </w:r>
          </w:p>
        </w:tc>
      </w:tr>
      <w:tr w:rsidR="00901DFF" w:rsidRPr="00A53749" w14:paraId="4CC0B405" w14:textId="77777777" w:rsidTr="00A9290F">
        <w:trPr>
          <w:trHeight w:val="441"/>
        </w:trPr>
        <w:tc>
          <w:tcPr>
            <w:tcW w:w="425" w:type="dxa"/>
          </w:tcPr>
          <w:p w14:paraId="4E4B8BA1" w14:textId="77777777" w:rsidR="00901DFF" w:rsidRPr="00A53749" w:rsidRDefault="00901DFF" w:rsidP="00901DFF">
            <w:pPr>
              <w:pStyle w:val="TableParagraph"/>
              <w:ind w:left="0"/>
              <w:rPr>
                <w:rFonts w:asciiTheme="minorHAnsi" w:hAnsiTheme="minorHAnsi" w:cstheme="minorHAnsi"/>
                <w:sz w:val="18"/>
                <w:szCs w:val="18"/>
                <w:vertAlign w:val="subscript"/>
              </w:rPr>
            </w:pPr>
          </w:p>
        </w:tc>
        <w:tc>
          <w:tcPr>
            <w:tcW w:w="1843" w:type="dxa"/>
          </w:tcPr>
          <w:p w14:paraId="433886AA" w14:textId="77777777" w:rsidR="00901DFF" w:rsidRPr="000E4502" w:rsidRDefault="00901DFF" w:rsidP="001C7F4A">
            <w:pPr>
              <w:pStyle w:val="TableParagraph"/>
              <w:spacing w:before="1"/>
              <w:ind w:left="12"/>
              <w:rPr>
                <w:rFonts w:asciiTheme="minorHAnsi" w:hAnsiTheme="minorHAnsi" w:cstheme="minorHAnsi"/>
                <w:sz w:val="18"/>
                <w:szCs w:val="18"/>
              </w:rPr>
            </w:pPr>
            <w:r w:rsidRPr="000E4502">
              <w:rPr>
                <w:rFonts w:asciiTheme="minorHAnsi" w:hAnsiTheme="minorHAnsi" w:cstheme="minorHAnsi"/>
                <w:sz w:val="18"/>
                <w:szCs w:val="18"/>
              </w:rPr>
              <w:t>129 George Street</w:t>
            </w:r>
          </w:p>
          <w:p w14:paraId="6A93062A" w14:textId="77777777" w:rsidR="00901DFF" w:rsidRPr="000E4502" w:rsidRDefault="00901DFF" w:rsidP="001C7F4A">
            <w:pPr>
              <w:pStyle w:val="TableParagraph"/>
              <w:spacing w:before="1" w:line="199" w:lineRule="exact"/>
              <w:ind w:left="12"/>
              <w:rPr>
                <w:rFonts w:asciiTheme="minorHAnsi" w:hAnsiTheme="minorHAnsi" w:cstheme="minorHAnsi"/>
                <w:sz w:val="18"/>
                <w:szCs w:val="18"/>
              </w:rPr>
            </w:pPr>
          </w:p>
        </w:tc>
        <w:tc>
          <w:tcPr>
            <w:tcW w:w="1130" w:type="dxa"/>
          </w:tcPr>
          <w:p w14:paraId="2560745E" w14:textId="77777777" w:rsidR="00901DFF" w:rsidRPr="000E4502" w:rsidRDefault="00901DFF" w:rsidP="00901DFF">
            <w:pPr>
              <w:pStyle w:val="TableParagraph"/>
              <w:spacing w:before="1"/>
              <w:ind w:left="95" w:right="88"/>
              <w:jc w:val="center"/>
              <w:rPr>
                <w:rFonts w:asciiTheme="minorHAnsi" w:hAnsiTheme="minorHAnsi" w:cstheme="minorHAnsi"/>
                <w:sz w:val="18"/>
                <w:szCs w:val="18"/>
              </w:rPr>
            </w:pPr>
            <w:r w:rsidRPr="000E4502">
              <w:rPr>
                <w:rFonts w:asciiTheme="minorHAnsi" w:hAnsiTheme="minorHAnsi" w:cstheme="minorHAnsi"/>
                <w:sz w:val="18"/>
                <w:szCs w:val="18"/>
              </w:rPr>
              <w:t>372</w:t>
            </w:r>
          </w:p>
          <w:p w14:paraId="005CFE56" w14:textId="77777777" w:rsidR="00901DFF" w:rsidRPr="000E4502" w:rsidRDefault="00901DFF" w:rsidP="00901DFF">
            <w:pPr>
              <w:pStyle w:val="TableParagraph"/>
              <w:spacing w:before="1" w:line="19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(Strata Lot 3</w:t>
            </w:r>
          </w:p>
        </w:tc>
        <w:tc>
          <w:tcPr>
            <w:tcW w:w="1569" w:type="dxa"/>
          </w:tcPr>
          <w:p w14:paraId="0A95E7F6" w14:textId="77777777" w:rsidR="00901DFF" w:rsidRPr="000E4502" w:rsidRDefault="00901DFF" w:rsidP="00901DFF">
            <w:pPr>
              <w:pStyle w:val="TableParagraph"/>
              <w:spacing w:before="1" w:line="220" w:lineRule="atLeast"/>
              <w:ind w:left="161" w:right="356"/>
              <w:rPr>
                <w:rFonts w:asciiTheme="minorHAnsi" w:hAnsiTheme="minorHAnsi" w:cstheme="minorHAnsi"/>
                <w:sz w:val="18"/>
                <w:szCs w:val="18"/>
              </w:rPr>
            </w:pPr>
            <w:r w:rsidRPr="000E4502">
              <w:rPr>
                <w:rFonts w:asciiTheme="minorHAnsi" w:hAnsiTheme="minorHAnsi" w:cstheme="minorHAnsi"/>
                <w:sz w:val="18"/>
                <w:szCs w:val="18"/>
              </w:rPr>
              <w:t>Federation Bungalow</w:t>
            </w:r>
          </w:p>
        </w:tc>
        <w:tc>
          <w:tcPr>
            <w:tcW w:w="1274" w:type="dxa"/>
          </w:tcPr>
          <w:p w14:paraId="33F07D1F" w14:textId="77777777" w:rsidR="00901DFF" w:rsidRPr="000E4502" w:rsidRDefault="00901DFF" w:rsidP="00901DFF">
            <w:pPr>
              <w:pStyle w:val="TableParagraph"/>
              <w:spacing w:before="1"/>
              <w:ind w:left="162" w:right="148"/>
              <w:jc w:val="center"/>
              <w:rPr>
                <w:rFonts w:asciiTheme="minorHAnsi" w:hAnsiTheme="minorHAnsi" w:cstheme="minorHAnsi"/>
                <w:sz w:val="18"/>
                <w:szCs w:val="18"/>
              </w:rPr>
            </w:pPr>
            <w:r w:rsidRPr="000E4502">
              <w:rPr>
                <w:rFonts w:asciiTheme="minorHAnsi" w:hAnsiTheme="minorHAnsi" w:cstheme="minorHAnsi"/>
                <w:sz w:val="18"/>
                <w:szCs w:val="18"/>
              </w:rPr>
              <w:t>circa 1896</w:t>
            </w:r>
          </w:p>
        </w:tc>
        <w:tc>
          <w:tcPr>
            <w:tcW w:w="3112" w:type="dxa"/>
          </w:tcPr>
          <w:p w14:paraId="2BFCCB52" w14:textId="77777777" w:rsidR="00901DFF" w:rsidRDefault="00901DFF" w:rsidP="00901DFF">
            <w:pPr>
              <w:pStyle w:val="TableParagraph"/>
              <w:spacing w:before="1" w:line="220" w:lineRule="atLeast"/>
              <w:ind w:left="109" w:right="370"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B. LPS 3 Heritage List (individual).</w:t>
            </w:r>
          </w:p>
          <w:p w14:paraId="1C10D4CE" w14:textId="77777777" w:rsidR="001C7F4A" w:rsidRPr="000E4502" w:rsidRDefault="001C7F4A" w:rsidP="00901DFF">
            <w:pPr>
              <w:pStyle w:val="TableParagraph"/>
              <w:spacing w:before="1" w:line="220" w:lineRule="atLeast"/>
              <w:ind w:left="109" w:right="370" w:hanging="1"/>
              <w:rPr>
                <w:rFonts w:asciiTheme="minorHAnsi" w:hAnsiTheme="minorHAnsi" w:cstheme="minorHAnsi"/>
                <w:sz w:val="18"/>
                <w:szCs w:val="18"/>
              </w:rPr>
            </w:pPr>
            <w:r>
              <w:rPr>
                <w:rFonts w:asciiTheme="minorHAnsi" w:hAnsiTheme="minorHAnsi" w:cstheme="minorHAnsi"/>
                <w:sz w:val="18"/>
                <w:szCs w:val="18"/>
              </w:rPr>
              <w:t>Included within LPS 3 Heritage List as part of George Street Precinct</w:t>
            </w:r>
          </w:p>
        </w:tc>
      </w:tr>
    </w:tbl>
    <w:p w14:paraId="17C70976" w14:textId="77777777" w:rsidR="001C7F4A" w:rsidRDefault="001C7F4A"/>
    <w:p w14:paraId="49C2A35F" w14:textId="77777777" w:rsidR="001C7F4A" w:rsidRDefault="001C7F4A" w:rsidP="001C7F4A">
      <w:r>
        <w:br w:type="page"/>
      </w: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1843"/>
        <w:gridCol w:w="1130"/>
        <w:gridCol w:w="1569"/>
        <w:gridCol w:w="1274"/>
        <w:gridCol w:w="3112"/>
      </w:tblGrid>
      <w:tr w:rsidR="00665A13" w:rsidRPr="00A53749" w14:paraId="5904AF7B" w14:textId="77777777" w:rsidTr="00A9290F">
        <w:trPr>
          <w:trHeight w:val="438"/>
        </w:trPr>
        <w:tc>
          <w:tcPr>
            <w:tcW w:w="2268" w:type="dxa"/>
            <w:gridSpan w:val="2"/>
            <w:shd w:val="clear" w:color="auto" w:fill="D9D9D9"/>
          </w:tcPr>
          <w:p w14:paraId="4B02537F" w14:textId="77777777" w:rsidR="00665A13" w:rsidRPr="001C7F4A" w:rsidRDefault="00665A13" w:rsidP="00A9290F">
            <w:pPr>
              <w:pStyle w:val="TableParagraph"/>
              <w:spacing w:before="1"/>
              <w:ind w:left="484"/>
              <w:rPr>
                <w:rFonts w:asciiTheme="minorHAnsi" w:hAnsiTheme="minorHAnsi" w:cstheme="minorHAnsi"/>
                <w:b/>
                <w:sz w:val="18"/>
                <w:szCs w:val="18"/>
              </w:rPr>
            </w:pPr>
            <w:r w:rsidRPr="001C7F4A">
              <w:rPr>
                <w:rFonts w:asciiTheme="minorHAnsi" w:hAnsiTheme="minorHAnsi" w:cstheme="minorHAnsi"/>
                <w:b/>
                <w:sz w:val="18"/>
                <w:szCs w:val="18"/>
              </w:rPr>
              <w:lastRenderedPageBreak/>
              <w:t>Property Address</w:t>
            </w:r>
          </w:p>
        </w:tc>
        <w:tc>
          <w:tcPr>
            <w:tcW w:w="1130" w:type="dxa"/>
            <w:shd w:val="clear" w:color="auto" w:fill="D9D9D9"/>
          </w:tcPr>
          <w:p w14:paraId="3349FCC3" w14:textId="77777777" w:rsidR="00665A13" w:rsidRPr="001C7F4A" w:rsidRDefault="00665A13" w:rsidP="00A9290F">
            <w:pPr>
              <w:pStyle w:val="TableParagraph"/>
              <w:spacing w:before="1"/>
              <w:ind w:left="95" w:right="88"/>
              <w:jc w:val="center"/>
              <w:rPr>
                <w:rFonts w:asciiTheme="minorHAnsi" w:hAnsiTheme="minorHAnsi" w:cstheme="minorHAnsi"/>
                <w:b/>
                <w:sz w:val="18"/>
                <w:szCs w:val="18"/>
              </w:rPr>
            </w:pPr>
            <w:r w:rsidRPr="001C7F4A">
              <w:rPr>
                <w:rFonts w:asciiTheme="minorHAnsi" w:hAnsiTheme="minorHAnsi" w:cstheme="minorHAnsi"/>
                <w:b/>
                <w:sz w:val="18"/>
                <w:szCs w:val="18"/>
              </w:rPr>
              <w:t>Lot No</w:t>
            </w:r>
          </w:p>
        </w:tc>
        <w:tc>
          <w:tcPr>
            <w:tcW w:w="1569" w:type="dxa"/>
            <w:shd w:val="clear" w:color="auto" w:fill="D9D9D9"/>
          </w:tcPr>
          <w:p w14:paraId="3872A593" w14:textId="77777777" w:rsidR="00665A13" w:rsidRPr="001C7F4A" w:rsidRDefault="00665A13" w:rsidP="00A9290F">
            <w:pPr>
              <w:pStyle w:val="TableParagraph"/>
              <w:spacing w:before="1" w:line="219" w:lineRule="exact"/>
              <w:ind w:left="183" w:right="174"/>
              <w:jc w:val="center"/>
              <w:rPr>
                <w:rFonts w:asciiTheme="minorHAnsi" w:hAnsiTheme="minorHAnsi" w:cstheme="minorHAnsi"/>
                <w:b/>
                <w:sz w:val="18"/>
                <w:szCs w:val="18"/>
              </w:rPr>
            </w:pPr>
            <w:r w:rsidRPr="001C7F4A">
              <w:rPr>
                <w:rFonts w:asciiTheme="minorHAnsi" w:hAnsiTheme="minorHAnsi" w:cstheme="minorHAnsi"/>
                <w:b/>
                <w:sz w:val="18"/>
                <w:szCs w:val="18"/>
              </w:rPr>
              <w:t>Architectural</w:t>
            </w:r>
          </w:p>
          <w:p w14:paraId="2146BEFD" w14:textId="77777777" w:rsidR="00665A13" w:rsidRPr="001C7F4A" w:rsidRDefault="00665A13" w:rsidP="00A9290F">
            <w:pPr>
              <w:pStyle w:val="TableParagraph"/>
              <w:spacing w:line="199" w:lineRule="exact"/>
              <w:ind w:left="181" w:right="174"/>
              <w:jc w:val="center"/>
              <w:rPr>
                <w:rFonts w:asciiTheme="minorHAnsi" w:hAnsiTheme="minorHAnsi" w:cstheme="minorHAnsi"/>
                <w:b/>
                <w:sz w:val="18"/>
                <w:szCs w:val="18"/>
              </w:rPr>
            </w:pPr>
            <w:r w:rsidRPr="001C7F4A">
              <w:rPr>
                <w:rFonts w:asciiTheme="minorHAnsi" w:hAnsiTheme="minorHAnsi" w:cstheme="minorHAnsi"/>
                <w:b/>
                <w:sz w:val="18"/>
                <w:szCs w:val="18"/>
              </w:rPr>
              <w:t>Style</w:t>
            </w:r>
          </w:p>
        </w:tc>
        <w:tc>
          <w:tcPr>
            <w:tcW w:w="1274" w:type="dxa"/>
            <w:shd w:val="clear" w:color="auto" w:fill="D9D9D9"/>
          </w:tcPr>
          <w:p w14:paraId="3219A76F" w14:textId="77777777" w:rsidR="00665A13" w:rsidRPr="001C7F4A" w:rsidRDefault="00665A13" w:rsidP="00A9290F">
            <w:pPr>
              <w:pStyle w:val="TableParagraph"/>
              <w:spacing w:before="1" w:line="219" w:lineRule="exact"/>
              <w:ind w:left="162" w:right="152"/>
              <w:jc w:val="center"/>
              <w:rPr>
                <w:rFonts w:asciiTheme="minorHAnsi" w:hAnsiTheme="minorHAnsi" w:cstheme="minorHAnsi"/>
                <w:b/>
                <w:sz w:val="18"/>
                <w:szCs w:val="18"/>
              </w:rPr>
            </w:pPr>
            <w:r w:rsidRPr="001C7F4A">
              <w:rPr>
                <w:rFonts w:asciiTheme="minorHAnsi" w:hAnsiTheme="minorHAnsi" w:cstheme="minorHAnsi"/>
                <w:b/>
                <w:sz w:val="18"/>
                <w:szCs w:val="18"/>
              </w:rPr>
              <w:t>Constructed</w:t>
            </w:r>
          </w:p>
          <w:p w14:paraId="1D3917A8" w14:textId="77777777" w:rsidR="00665A13" w:rsidRPr="001C7F4A" w:rsidRDefault="00665A13" w:rsidP="00A9290F">
            <w:pPr>
              <w:pStyle w:val="TableParagraph"/>
              <w:spacing w:line="199" w:lineRule="exact"/>
              <w:ind w:left="162" w:right="151"/>
              <w:jc w:val="center"/>
              <w:rPr>
                <w:rFonts w:asciiTheme="minorHAnsi" w:hAnsiTheme="minorHAnsi" w:cstheme="minorHAnsi"/>
                <w:b/>
                <w:sz w:val="18"/>
                <w:szCs w:val="18"/>
              </w:rPr>
            </w:pPr>
            <w:r w:rsidRPr="001C7F4A">
              <w:rPr>
                <w:rFonts w:asciiTheme="minorHAnsi" w:hAnsiTheme="minorHAnsi" w:cstheme="minorHAnsi"/>
                <w:b/>
                <w:sz w:val="18"/>
                <w:szCs w:val="18"/>
              </w:rPr>
              <w:t>(circa)</w:t>
            </w:r>
          </w:p>
        </w:tc>
        <w:tc>
          <w:tcPr>
            <w:tcW w:w="3112" w:type="dxa"/>
            <w:shd w:val="clear" w:color="auto" w:fill="D9D9D9"/>
          </w:tcPr>
          <w:p w14:paraId="324D42B4" w14:textId="77777777" w:rsidR="00665A13" w:rsidRPr="001C7F4A" w:rsidRDefault="00665A13" w:rsidP="00A9290F">
            <w:pPr>
              <w:pStyle w:val="TableParagraph"/>
              <w:spacing w:before="1"/>
              <w:ind w:left="975"/>
              <w:rPr>
                <w:rFonts w:asciiTheme="minorHAnsi" w:hAnsiTheme="minorHAnsi" w:cstheme="minorHAnsi"/>
                <w:b/>
                <w:sz w:val="18"/>
                <w:szCs w:val="18"/>
              </w:rPr>
            </w:pPr>
            <w:r w:rsidRPr="001C7F4A">
              <w:rPr>
                <w:rFonts w:asciiTheme="minorHAnsi" w:hAnsiTheme="minorHAnsi" w:cstheme="minorHAnsi"/>
                <w:b/>
                <w:sz w:val="18"/>
                <w:szCs w:val="18"/>
              </w:rPr>
              <w:t>Heritage Listing</w:t>
            </w:r>
          </w:p>
        </w:tc>
      </w:tr>
      <w:tr w:rsidR="00665A13" w:rsidRPr="00A53749" w14:paraId="2D719C34" w14:textId="77777777" w:rsidTr="001C7F4A">
        <w:trPr>
          <w:trHeight w:val="811"/>
        </w:trPr>
        <w:tc>
          <w:tcPr>
            <w:tcW w:w="425" w:type="dxa"/>
          </w:tcPr>
          <w:p w14:paraId="23CCF573"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08F1089C" w14:textId="77777777" w:rsidR="00665A13" w:rsidRPr="000E4502" w:rsidRDefault="00665A13" w:rsidP="000E4502">
            <w:pPr>
              <w:pStyle w:val="TableParagraph"/>
              <w:spacing w:line="219" w:lineRule="exact"/>
              <w:ind w:left="12"/>
              <w:rPr>
                <w:rFonts w:asciiTheme="minorHAnsi" w:hAnsiTheme="minorHAnsi" w:cstheme="minorHAnsi"/>
                <w:sz w:val="18"/>
                <w:szCs w:val="18"/>
              </w:rPr>
            </w:pPr>
            <w:r w:rsidRPr="000E4502">
              <w:rPr>
                <w:rFonts w:asciiTheme="minorHAnsi" w:hAnsiTheme="minorHAnsi" w:cstheme="minorHAnsi"/>
                <w:sz w:val="18"/>
                <w:szCs w:val="18"/>
              </w:rPr>
              <w:t>133 George Street</w:t>
            </w:r>
          </w:p>
          <w:p w14:paraId="21E3F542" w14:textId="77777777" w:rsidR="00665A13" w:rsidRPr="000E4502" w:rsidRDefault="00665A13" w:rsidP="000E4502">
            <w:pPr>
              <w:pStyle w:val="TableParagraph"/>
              <w:spacing w:before="1"/>
              <w:ind w:left="12"/>
              <w:rPr>
                <w:rFonts w:asciiTheme="minorHAnsi" w:hAnsiTheme="minorHAnsi" w:cstheme="minorHAnsi"/>
                <w:sz w:val="18"/>
                <w:szCs w:val="18"/>
              </w:rPr>
            </w:pPr>
          </w:p>
        </w:tc>
        <w:tc>
          <w:tcPr>
            <w:tcW w:w="1130" w:type="dxa"/>
          </w:tcPr>
          <w:p w14:paraId="41449B60" w14:textId="77777777" w:rsidR="00665A13" w:rsidRPr="000E4502" w:rsidRDefault="00665A13" w:rsidP="00A9290F">
            <w:pPr>
              <w:pStyle w:val="TableParagraph"/>
              <w:spacing w:line="21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372</w:t>
            </w:r>
          </w:p>
          <w:p w14:paraId="000986C6" w14:textId="77777777" w:rsidR="00665A13" w:rsidRPr="000E4502" w:rsidRDefault="00665A13" w:rsidP="00A9290F">
            <w:pPr>
              <w:pStyle w:val="TableParagraph"/>
              <w:spacing w:before="1"/>
              <w:ind w:left="95" w:right="84"/>
              <w:jc w:val="center"/>
              <w:rPr>
                <w:rFonts w:asciiTheme="minorHAnsi" w:hAnsiTheme="minorHAnsi" w:cstheme="minorHAnsi"/>
                <w:sz w:val="18"/>
                <w:szCs w:val="18"/>
              </w:rPr>
            </w:pPr>
            <w:r w:rsidRPr="000E4502">
              <w:rPr>
                <w:rFonts w:asciiTheme="minorHAnsi" w:hAnsiTheme="minorHAnsi" w:cstheme="minorHAnsi"/>
                <w:sz w:val="18"/>
                <w:szCs w:val="18"/>
              </w:rPr>
              <w:t>(Lot 2)</w:t>
            </w:r>
          </w:p>
        </w:tc>
        <w:tc>
          <w:tcPr>
            <w:tcW w:w="1569" w:type="dxa"/>
          </w:tcPr>
          <w:p w14:paraId="088405B1" w14:textId="77777777" w:rsidR="00665A13" w:rsidRPr="000E4502" w:rsidRDefault="00665A13" w:rsidP="000E4502">
            <w:pPr>
              <w:pStyle w:val="TableParagraph"/>
              <w:ind w:left="161" w:right="173"/>
              <w:rPr>
                <w:rFonts w:asciiTheme="minorHAnsi" w:hAnsiTheme="minorHAnsi" w:cstheme="minorHAnsi"/>
                <w:sz w:val="18"/>
                <w:szCs w:val="18"/>
              </w:rPr>
            </w:pPr>
            <w:r w:rsidRPr="000E4502">
              <w:rPr>
                <w:rFonts w:asciiTheme="minorHAnsi" w:hAnsiTheme="minorHAnsi" w:cstheme="minorHAnsi"/>
                <w:sz w:val="18"/>
                <w:szCs w:val="18"/>
              </w:rPr>
              <w:t>Federation Free Classical</w:t>
            </w:r>
          </w:p>
        </w:tc>
        <w:tc>
          <w:tcPr>
            <w:tcW w:w="1274" w:type="dxa"/>
          </w:tcPr>
          <w:p w14:paraId="4BDB0DC6" w14:textId="77777777" w:rsidR="00665A13" w:rsidRPr="000E4502" w:rsidRDefault="00665A13" w:rsidP="00A9290F">
            <w:pPr>
              <w:pStyle w:val="TableParagraph"/>
              <w:spacing w:line="219" w:lineRule="exact"/>
              <w:ind w:left="264"/>
              <w:rPr>
                <w:rFonts w:asciiTheme="minorHAnsi" w:hAnsiTheme="minorHAnsi" w:cstheme="minorHAnsi"/>
                <w:sz w:val="18"/>
                <w:szCs w:val="18"/>
              </w:rPr>
            </w:pPr>
            <w:r w:rsidRPr="000E4502">
              <w:rPr>
                <w:rFonts w:asciiTheme="minorHAnsi" w:hAnsiTheme="minorHAnsi" w:cstheme="minorHAnsi"/>
                <w:sz w:val="18"/>
                <w:szCs w:val="18"/>
              </w:rPr>
              <w:t>circa 1897</w:t>
            </w:r>
          </w:p>
        </w:tc>
        <w:tc>
          <w:tcPr>
            <w:tcW w:w="3112" w:type="dxa"/>
          </w:tcPr>
          <w:p w14:paraId="2DAC4E73" w14:textId="77777777" w:rsidR="00665A13" w:rsidRPr="000E4502" w:rsidRDefault="00665A13" w:rsidP="00A9290F">
            <w:pPr>
              <w:pStyle w:val="TableParagraph"/>
              <w:ind w:left="109" w:right="370"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B. LPS 3 Heritage List</w:t>
            </w:r>
            <w:r w:rsidRPr="000E4502">
              <w:rPr>
                <w:rFonts w:asciiTheme="minorHAnsi" w:hAnsiTheme="minorHAnsi" w:cstheme="minorHAnsi"/>
                <w:spacing w:val="-9"/>
                <w:sz w:val="18"/>
                <w:szCs w:val="18"/>
              </w:rPr>
              <w:t xml:space="preserve"> </w:t>
            </w:r>
            <w:r w:rsidRPr="000E4502">
              <w:rPr>
                <w:rFonts w:asciiTheme="minorHAnsi" w:hAnsiTheme="minorHAnsi" w:cstheme="minorHAnsi"/>
                <w:sz w:val="18"/>
                <w:szCs w:val="18"/>
              </w:rPr>
              <w:t>(individual).</w:t>
            </w:r>
          </w:p>
          <w:p w14:paraId="464A5A28" w14:textId="77777777" w:rsidR="00665A13" w:rsidRPr="000E4502" w:rsidRDefault="00665A13" w:rsidP="00A9290F">
            <w:pPr>
              <w:pStyle w:val="TableParagraph"/>
              <w:ind w:left="109" w:right="278"/>
              <w:rPr>
                <w:rFonts w:asciiTheme="minorHAnsi" w:hAnsiTheme="minorHAnsi" w:cstheme="minorHAnsi"/>
                <w:sz w:val="18"/>
                <w:szCs w:val="18"/>
              </w:rPr>
            </w:pPr>
            <w:r w:rsidRPr="000E4502">
              <w:rPr>
                <w:rFonts w:asciiTheme="minorHAnsi" w:hAnsiTheme="minorHAnsi" w:cstheme="minorHAnsi"/>
                <w:sz w:val="18"/>
                <w:szCs w:val="18"/>
              </w:rPr>
              <w:t>Included within LPS 3 Heritage List</w:t>
            </w:r>
            <w:r w:rsidRPr="000E4502">
              <w:rPr>
                <w:rFonts w:asciiTheme="minorHAnsi" w:hAnsiTheme="minorHAnsi" w:cstheme="minorHAnsi"/>
                <w:spacing w:val="-14"/>
                <w:sz w:val="18"/>
                <w:szCs w:val="18"/>
              </w:rPr>
              <w:t xml:space="preserve"> </w:t>
            </w:r>
            <w:r w:rsidRPr="000E4502">
              <w:rPr>
                <w:rFonts w:asciiTheme="minorHAnsi" w:hAnsiTheme="minorHAnsi" w:cstheme="minorHAnsi"/>
                <w:sz w:val="18"/>
                <w:szCs w:val="18"/>
              </w:rPr>
              <w:t>as part of George Street</w:t>
            </w:r>
            <w:r w:rsidRPr="000E4502">
              <w:rPr>
                <w:rFonts w:asciiTheme="minorHAnsi" w:hAnsiTheme="minorHAnsi" w:cstheme="minorHAnsi"/>
                <w:spacing w:val="-7"/>
                <w:sz w:val="18"/>
                <w:szCs w:val="18"/>
              </w:rPr>
              <w:t xml:space="preserve"> </w:t>
            </w:r>
            <w:r w:rsidRPr="000E4502">
              <w:rPr>
                <w:rFonts w:asciiTheme="minorHAnsi" w:hAnsiTheme="minorHAnsi" w:cstheme="minorHAnsi"/>
                <w:sz w:val="18"/>
                <w:szCs w:val="18"/>
              </w:rPr>
              <w:t>Precinct.</w:t>
            </w:r>
          </w:p>
        </w:tc>
      </w:tr>
      <w:tr w:rsidR="00665A13" w:rsidRPr="00A53749" w14:paraId="4CCC90D8" w14:textId="77777777" w:rsidTr="001C7F4A">
        <w:trPr>
          <w:trHeight w:val="924"/>
        </w:trPr>
        <w:tc>
          <w:tcPr>
            <w:tcW w:w="425" w:type="dxa"/>
          </w:tcPr>
          <w:p w14:paraId="7A825167"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7479C670" w14:textId="77777777" w:rsidR="00665A13" w:rsidRPr="000E4502" w:rsidRDefault="00665A13" w:rsidP="000E4502">
            <w:pPr>
              <w:pStyle w:val="TableParagraph"/>
              <w:spacing w:before="1" w:line="219" w:lineRule="exact"/>
              <w:ind w:left="12"/>
              <w:rPr>
                <w:rFonts w:asciiTheme="minorHAnsi" w:hAnsiTheme="minorHAnsi" w:cstheme="minorHAnsi"/>
                <w:sz w:val="18"/>
                <w:szCs w:val="18"/>
              </w:rPr>
            </w:pPr>
            <w:r w:rsidRPr="000E4502">
              <w:rPr>
                <w:rFonts w:asciiTheme="minorHAnsi" w:hAnsiTheme="minorHAnsi" w:cstheme="minorHAnsi"/>
                <w:sz w:val="18"/>
                <w:szCs w:val="18"/>
              </w:rPr>
              <w:t>25 Duke Street</w:t>
            </w:r>
          </w:p>
          <w:p w14:paraId="7EBEB7C9" w14:textId="77777777" w:rsidR="00665A13" w:rsidRPr="000E4502" w:rsidRDefault="00665A13" w:rsidP="000E4502">
            <w:pPr>
              <w:pStyle w:val="TableParagraph"/>
              <w:spacing w:line="219" w:lineRule="exact"/>
              <w:ind w:left="12"/>
              <w:rPr>
                <w:rFonts w:asciiTheme="minorHAnsi" w:hAnsiTheme="minorHAnsi" w:cstheme="minorHAnsi"/>
                <w:sz w:val="18"/>
                <w:szCs w:val="18"/>
              </w:rPr>
            </w:pPr>
          </w:p>
        </w:tc>
        <w:tc>
          <w:tcPr>
            <w:tcW w:w="1130" w:type="dxa"/>
          </w:tcPr>
          <w:p w14:paraId="759D9905" w14:textId="77777777" w:rsidR="00665A13" w:rsidRPr="000E4502" w:rsidRDefault="00665A13" w:rsidP="00A9290F">
            <w:pPr>
              <w:pStyle w:val="TableParagraph"/>
              <w:spacing w:before="1"/>
              <w:ind w:left="95" w:right="88"/>
              <w:jc w:val="center"/>
              <w:rPr>
                <w:rFonts w:asciiTheme="minorHAnsi" w:hAnsiTheme="minorHAnsi" w:cstheme="minorHAnsi"/>
                <w:sz w:val="18"/>
                <w:szCs w:val="18"/>
              </w:rPr>
            </w:pPr>
            <w:r w:rsidRPr="000E4502">
              <w:rPr>
                <w:rFonts w:asciiTheme="minorHAnsi" w:hAnsiTheme="minorHAnsi" w:cstheme="minorHAnsi"/>
                <w:sz w:val="18"/>
                <w:szCs w:val="18"/>
              </w:rPr>
              <w:t>14</w:t>
            </w:r>
          </w:p>
        </w:tc>
        <w:tc>
          <w:tcPr>
            <w:tcW w:w="1569" w:type="dxa"/>
          </w:tcPr>
          <w:p w14:paraId="3A045086" w14:textId="77777777" w:rsidR="00665A13" w:rsidRPr="000E4502" w:rsidRDefault="00665A13" w:rsidP="000E4502">
            <w:pPr>
              <w:pStyle w:val="TableParagraph"/>
              <w:spacing w:before="1"/>
              <w:ind w:left="161" w:right="356"/>
              <w:rPr>
                <w:rFonts w:asciiTheme="minorHAnsi" w:hAnsiTheme="minorHAnsi" w:cstheme="minorHAnsi"/>
                <w:sz w:val="18"/>
                <w:szCs w:val="18"/>
              </w:rPr>
            </w:pPr>
            <w:r w:rsidRPr="000E4502">
              <w:rPr>
                <w:rFonts w:asciiTheme="minorHAnsi" w:hAnsiTheme="minorHAnsi" w:cstheme="minorHAnsi"/>
                <w:sz w:val="18"/>
                <w:szCs w:val="18"/>
              </w:rPr>
              <w:t>Federation Bungalow</w:t>
            </w:r>
          </w:p>
        </w:tc>
        <w:tc>
          <w:tcPr>
            <w:tcW w:w="1274" w:type="dxa"/>
          </w:tcPr>
          <w:p w14:paraId="5291FA52" w14:textId="77777777" w:rsidR="00665A13" w:rsidRPr="000E4502" w:rsidRDefault="00665A13" w:rsidP="00A9290F">
            <w:pPr>
              <w:pStyle w:val="TableParagraph"/>
              <w:spacing w:before="1"/>
              <w:ind w:left="264"/>
              <w:rPr>
                <w:rFonts w:asciiTheme="minorHAnsi" w:hAnsiTheme="minorHAnsi" w:cstheme="minorHAnsi"/>
                <w:sz w:val="18"/>
                <w:szCs w:val="18"/>
              </w:rPr>
            </w:pPr>
            <w:r w:rsidRPr="000E4502">
              <w:rPr>
                <w:rFonts w:asciiTheme="minorHAnsi" w:hAnsiTheme="minorHAnsi" w:cstheme="minorHAnsi"/>
                <w:sz w:val="18"/>
                <w:szCs w:val="18"/>
              </w:rPr>
              <w:t>circa 1915</w:t>
            </w:r>
          </w:p>
        </w:tc>
        <w:tc>
          <w:tcPr>
            <w:tcW w:w="3112" w:type="dxa"/>
          </w:tcPr>
          <w:p w14:paraId="453D0D3B" w14:textId="77777777" w:rsidR="00665A13" w:rsidRPr="000E4502" w:rsidRDefault="00665A13" w:rsidP="00A9290F">
            <w:pPr>
              <w:pStyle w:val="TableParagraph"/>
              <w:spacing w:before="1"/>
              <w:ind w:left="109" w:right="370"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B. LPS 3 Heritage List</w:t>
            </w:r>
            <w:r w:rsidRPr="000E4502">
              <w:rPr>
                <w:rFonts w:asciiTheme="minorHAnsi" w:hAnsiTheme="minorHAnsi" w:cstheme="minorHAnsi"/>
                <w:spacing w:val="-9"/>
                <w:sz w:val="18"/>
                <w:szCs w:val="18"/>
              </w:rPr>
              <w:t xml:space="preserve"> </w:t>
            </w:r>
            <w:r w:rsidRPr="000E4502">
              <w:rPr>
                <w:rFonts w:asciiTheme="minorHAnsi" w:hAnsiTheme="minorHAnsi" w:cstheme="minorHAnsi"/>
                <w:sz w:val="18"/>
                <w:szCs w:val="18"/>
              </w:rPr>
              <w:t>(individual).</w:t>
            </w:r>
          </w:p>
          <w:p w14:paraId="52316A6C" w14:textId="77777777" w:rsidR="001C7F4A" w:rsidRPr="000E4502" w:rsidRDefault="00665A13" w:rsidP="001C7F4A">
            <w:pPr>
              <w:pStyle w:val="TableParagraph"/>
              <w:ind w:left="109" w:right="278"/>
              <w:rPr>
                <w:rFonts w:asciiTheme="minorHAnsi" w:hAnsiTheme="minorHAnsi" w:cstheme="minorHAnsi"/>
                <w:sz w:val="18"/>
                <w:szCs w:val="18"/>
              </w:rPr>
            </w:pPr>
            <w:r w:rsidRPr="000E4502">
              <w:rPr>
                <w:rFonts w:asciiTheme="minorHAnsi" w:hAnsiTheme="minorHAnsi" w:cstheme="minorHAnsi"/>
                <w:sz w:val="18"/>
                <w:szCs w:val="18"/>
              </w:rPr>
              <w:t>Included within LPS 3 Heritage List</w:t>
            </w:r>
            <w:r w:rsidRPr="000E4502">
              <w:rPr>
                <w:rFonts w:asciiTheme="minorHAnsi" w:hAnsiTheme="minorHAnsi" w:cstheme="minorHAnsi"/>
                <w:spacing w:val="-14"/>
                <w:sz w:val="18"/>
                <w:szCs w:val="18"/>
              </w:rPr>
              <w:t xml:space="preserve"> </w:t>
            </w:r>
            <w:r w:rsidRPr="000E4502">
              <w:rPr>
                <w:rFonts w:asciiTheme="minorHAnsi" w:hAnsiTheme="minorHAnsi" w:cstheme="minorHAnsi"/>
                <w:sz w:val="18"/>
                <w:szCs w:val="18"/>
              </w:rPr>
              <w:t>as part of George Street</w:t>
            </w:r>
            <w:r w:rsidRPr="000E4502">
              <w:rPr>
                <w:rFonts w:asciiTheme="minorHAnsi" w:hAnsiTheme="minorHAnsi" w:cstheme="minorHAnsi"/>
                <w:spacing w:val="-7"/>
                <w:sz w:val="18"/>
                <w:szCs w:val="18"/>
              </w:rPr>
              <w:t xml:space="preserve"> </w:t>
            </w:r>
            <w:r w:rsidR="001C7F4A">
              <w:rPr>
                <w:rFonts w:asciiTheme="minorHAnsi" w:hAnsiTheme="minorHAnsi" w:cstheme="minorHAnsi"/>
                <w:sz w:val="18"/>
                <w:szCs w:val="18"/>
              </w:rPr>
              <w:t>Precinct</w:t>
            </w:r>
          </w:p>
        </w:tc>
      </w:tr>
      <w:tr w:rsidR="00665A13" w:rsidRPr="00A53749" w14:paraId="725CC420" w14:textId="77777777" w:rsidTr="001C7F4A">
        <w:trPr>
          <w:trHeight w:val="804"/>
        </w:trPr>
        <w:tc>
          <w:tcPr>
            <w:tcW w:w="425" w:type="dxa"/>
          </w:tcPr>
          <w:p w14:paraId="5EDD7F9D"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72759F5F" w14:textId="77777777" w:rsidR="00665A13" w:rsidRPr="000E4502" w:rsidRDefault="00665A13" w:rsidP="000E4502">
            <w:pPr>
              <w:pStyle w:val="TableParagraph"/>
              <w:spacing w:before="1" w:line="219" w:lineRule="exact"/>
              <w:ind w:left="12"/>
              <w:rPr>
                <w:rFonts w:asciiTheme="minorHAnsi" w:hAnsiTheme="minorHAnsi" w:cstheme="minorHAnsi"/>
                <w:sz w:val="18"/>
                <w:szCs w:val="18"/>
              </w:rPr>
            </w:pPr>
            <w:r w:rsidRPr="000E4502">
              <w:rPr>
                <w:rFonts w:asciiTheme="minorHAnsi" w:hAnsiTheme="minorHAnsi" w:cstheme="minorHAnsi"/>
                <w:sz w:val="18"/>
                <w:szCs w:val="18"/>
              </w:rPr>
              <w:t>27 Duke Street</w:t>
            </w:r>
          </w:p>
          <w:p w14:paraId="256FEA96" w14:textId="77777777" w:rsidR="00665A13" w:rsidRPr="000E4502" w:rsidRDefault="00665A13" w:rsidP="000E4502">
            <w:pPr>
              <w:pStyle w:val="TableParagraph"/>
              <w:spacing w:line="219" w:lineRule="exact"/>
              <w:ind w:left="12"/>
              <w:rPr>
                <w:rFonts w:asciiTheme="minorHAnsi" w:hAnsiTheme="minorHAnsi" w:cstheme="minorHAnsi"/>
                <w:sz w:val="18"/>
                <w:szCs w:val="18"/>
              </w:rPr>
            </w:pPr>
          </w:p>
        </w:tc>
        <w:tc>
          <w:tcPr>
            <w:tcW w:w="1130" w:type="dxa"/>
          </w:tcPr>
          <w:p w14:paraId="518745B2" w14:textId="77777777" w:rsidR="00665A13" w:rsidRPr="000E4502" w:rsidRDefault="00665A13" w:rsidP="00A9290F">
            <w:pPr>
              <w:pStyle w:val="TableParagraph"/>
              <w:spacing w:before="1"/>
              <w:ind w:left="95" w:right="85"/>
              <w:jc w:val="center"/>
              <w:rPr>
                <w:rFonts w:asciiTheme="minorHAnsi" w:hAnsiTheme="minorHAnsi" w:cstheme="minorHAnsi"/>
                <w:sz w:val="18"/>
                <w:szCs w:val="18"/>
              </w:rPr>
            </w:pPr>
            <w:r w:rsidRPr="000E4502">
              <w:rPr>
                <w:rFonts w:asciiTheme="minorHAnsi" w:hAnsiTheme="minorHAnsi" w:cstheme="minorHAnsi"/>
                <w:sz w:val="18"/>
                <w:szCs w:val="18"/>
              </w:rPr>
              <w:t xml:space="preserve">Strata </w:t>
            </w:r>
            <w:r w:rsidRPr="000E4502">
              <w:rPr>
                <w:rFonts w:asciiTheme="minorHAnsi" w:hAnsiTheme="minorHAnsi" w:cstheme="minorHAnsi"/>
                <w:spacing w:val="-4"/>
                <w:sz w:val="18"/>
                <w:szCs w:val="18"/>
              </w:rPr>
              <w:t xml:space="preserve">Plan </w:t>
            </w:r>
            <w:r w:rsidRPr="000E4502">
              <w:rPr>
                <w:rFonts w:asciiTheme="minorHAnsi" w:hAnsiTheme="minorHAnsi" w:cstheme="minorHAnsi"/>
                <w:sz w:val="18"/>
                <w:szCs w:val="18"/>
              </w:rPr>
              <w:t>20848</w:t>
            </w:r>
          </w:p>
          <w:p w14:paraId="4D89A943" w14:textId="77777777" w:rsidR="00665A13" w:rsidRPr="000E4502" w:rsidRDefault="00665A13" w:rsidP="00A9290F">
            <w:pPr>
              <w:pStyle w:val="TableParagraph"/>
              <w:spacing w:line="219" w:lineRule="exact"/>
              <w:ind w:left="95" w:right="84"/>
              <w:jc w:val="center"/>
              <w:rPr>
                <w:rFonts w:asciiTheme="minorHAnsi" w:hAnsiTheme="minorHAnsi" w:cstheme="minorHAnsi"/>
                <w:sz w:val="18"/>
                <w:szCs w:val="18"/>
              </w:rPr>
            </w:pPr>
            <w:r w:rsidRPr="000E4502">
              <w:rPr>
                <w:rFonts w:asciiTheme="minorHAnsi" w:hAnsiTheme="minorHAnsi" w:cstheme="minorHAnsi"/>
                <w:sz w:val="18"/>
                <w:szCs w:val="18"/>
              </w:rPr>
              <w:t>(Lot 1)</w:t>
            </w:r>
          </w:p>
        </w:tc>
        <w:tc>
          <w:tcPr>
            <w:tcW w:w="1569" w:type="dxa"/>
          </w:tcPr>
          <w:p w14:paraId="352F42E3" w14:textId="77777777" w:rsidR="00665A13" w:rsidRPr="000E4502" w:rsidRDefault="00665A13" w:rsidP="000E4502">
            <w:pPr>
              <w:pStyle w:val="TableParagraph"/>
              <w:spacing w:before="1"/>
              <w:ind w:left="161" w:right="394"/>
              <w:rPr>
                <w:rFonts w:asciiTheme="minorHAnsi" w:hAnsiTheme="minorHAnsi" w:cstheme="minorHAnsi"/>
                <w:sz w:val="18"/>
                <w:szCs w:val="18"/>
              </w:rPr>
            </w:pPr>
            <w:r w:rsidRPr="000E4502">
              <w:rPr>
                <w:rFonts w:asciiTheme="minorHAnsi" w:hAnsiTheme="minorHAnsi" w:cstheme="minorHAnsi"/>
                <w:sz w:val="18"/>
                <w:szCs w:val="18"/>
              </w:rPr>
              <w:t>Inter-War Bungalow</w:t>
            </w:r>
          </w:p>
        </w:tc>
        <w:tc>
          <w:tcPr>
            <w:tcW w:w="1274" w:type="dxa"/>
          </w:tcPr>
          <w:p w14:paraId="7125C63E" w14:textId="77777777" w:rsidR="00665A13" w:rsidRPr="000E4502" w:rsidRDefault="00665A13" w:rsidP="00A9290F">
            <w:pPr>
              <w:pStyle w:val="TableParagraph"/>
              <w:spacing w:before="1"/>
              <w:ind w:left="207"/>
              <w:rPr>
                <w:rFonts w:asciiTheme="minorHAnsi" w:hAnsiTheme="minorHAnsi" w:cstheme="minorHAnsi"/>
                <w:sz w:val="18"/>
                <w:szCs w:val="18"/>
              </w:rPr>
            </w:pPr>
            <w:r w:rsidRPr="000E4502">
              <w:rPr>
                <w:rFonts w:asciiTheme="minorHAnsi" w:hAnsiTheme="minorHAnsi" w:cstheme="minorHAnsi"/>
                <w:sz w:val="18"/>
                <w:szCs w:val="18"/>
              </w:rPr>
              <w:t>circa 1920’s</w:t>
            </w:r>
          </w:p>
        </w:tc>
        <w:tc>
          <w:tcPr>
            <w:tcW w:w="3112" w:type="dxa"/>
          </w:tcPr>
          <w:p w14:paraId="5133392D" w14:textId="77777777" w:rsidR="00665A13" w:rsidRPr="000E4502" w:rsidRDefault="00665A13" w:rsidP="00A9290F">
            <w:pPr>
              <w:pStyle w:val="TableParagraph"/>
              <w:spacing w:before="1"/>
              <w:ind w:left="109" w:right="372"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C. LPS 3 Heritage List</w:t>
            </w:r>
            <w:r w:rsidRPr="000E4502">
              <w:rPr>
                <w:rFonts w:asciiTheme="minorHAnsi" w:hAnsiTheme="minorHAnsi" w:cstheme="minorHAnsi"/>
                <w:spacing w:val="-9"/>
                <w:sz w:val="18"/>
                <w:szCs w:val="18"/>
              </w:rPr>
              <w:t xml:space="preserve"> </w:t>
            </w:r>
            <w:r w:rsidRPr="000E4502">
              <w:rPr>
                <w:rFonts w:asciiTheme="minorHAnsi" w:hAnsiTheme="minorHAnsi" w:cstheme="minorHAnsi"/>
                <w:sz w:val="18"/>
                <w:szCs w:val="18"/>
              </w:rPr>
              <w:t>(individual).</w:t>
            </w:r>
          </w:p>
          <w:p w14:paraId="3525488B" w14:textId="77777777" w:rsidR="00665A13" w:rsidRPr="000E4502" w:rsidRDefault="00665A13" w:rsidP="00A9290F">
            <w:pPr>
              <w:pStyle w:val="TableParagraph"/>
              <w:ind w:left="109" w:right="278"/>
              <w:rPr>
                <w:rFonts w:asciiTheme="minorHAnsi" w:hAnsiTheme="minorHAnsi" w:cstheme="minorHAnsi"/>
                <w:sz w:val="18"/>
                <w:szCs w:val="18"/>
              </w:rPr>
            </w:pPr>
            <w:r w:rsidRPr="000E4502">
              <w:rPr>
                <w:rFonts w:asciiTheme="minorHAnsi" w:hAnsiTheme="minorHAnsi" w:cstheme="minorHAnsi"/>
                <w:sz w:val="18"/>
                <w:szCs w:val="18"/>
              </w:rPr>
              <w:t>Included within LPS 3 Heritage List</w:t>
            </w:r>
            <w:r w:rsidRPr="000E4502">
              <w:rPr>
                <w:rFonts w:asciiTheme="minorHAnsi" w:hAnsiTheme="minorHAnsi" w:cstheme="minorHAnsi"/>
                <w:spacing w:val="-14"/>
                <w:sz w:val="18"/>
                <w:szCs w:val="18"/>
              </w:rPr>
              <w:t xml:space="preserve"> </w:t>
            </w:r>
            <w:r w:rsidRPr="000E4502">
              <w:rPr>
                <w:rFonts w:asciiTheme="minorHAnsi" w:hAnsiTheme="minorHAnsi" w:cstheme="minorHAnsi"/>
                <w:sz w:val="18"/>
                <w:szCs w:val="18"/>
              </w:rPr>
              <w:t>as part of George Street</w:t>
            </w:r>
            <w:r w:rsidRPr="000E4502">
              <w:rPr>
                <w:rFonts w:asciiTheme="minorHAnsi" w:hAnsiTheme="minorHAnsi" w:cstheme="minorHAnsi"/>
                <w:spacing w:val="-7"/>
                <w:sz w:val="18"/>
                <w:szCs w:val="18"/>
              </w:rPr>
              <w:t xml:space="preserve"> </w:t>
            </w:r>
            <w:r w:rsidRPr="000E4502">
              <w:rPr>
                <w:rFonts w:asciiTheme="minorHAnsi" w:hAnsiTheme="minorHAnsi" w:cstheme="minorHAnsi"/>
                <w:sz w:val="18"/>
                <w:szCs w:val="18"/>
              </w:rPr>
              <w:t>Precinct.</w:t>
            </w:r>
          </w:p>
        </w:tc>
      </w:tr>
      <w:tr w:rsidR="00665A13" w:rsidRPr="00A53749" w14:paraId="3BDA5EA8" w14:textId="77777777" w:rsidTr="001C7F4A">
        <w:trPr>
          <w:trHeight w:val="651"/>
        </w:trPr>
        <w:tc>
          <w:tcPr>
            <w:tcW w:w="425" w:type="dxa"/>
          </w:tcPr>
          <w:p w14:paraId="6BDCF256"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1649D10B" w14:textId="77777777" w:rsidR="00665A13" w:rsidRPr="000E4502" w:rsidRDefault="00665A13" w:rsidP="000E4502">
            <w:pPr>
              <w:pStyle w:val="TableParagraph"/>
              <w:spacing w:before="1" w:line="219" w:lineRule="exact"/>
              <w:ind w:left="12"/>
              <w:rPr>
                <w:rFonts w:asciiTheme="minorHAnsi" w:hAnsiTheme="minorHAnsi" w:cstheme="minorHAnsi"/>
                <w:sz w:val="18"/>
                <w:szCs w:val="18"/>
              </w:rPr>
            </w:pPr>
            <w:r w:rsidRPr="000E4502">
              <w:rPr>
                <w:rFonts w:asciiTheme="minorHAnsi" w:hAnsiTheme="minorHAnsi" w:cstheme="minorHAnsi"/>
                <w:sz w:val="18"/>
                <w:szCs w:val="18"/>
              </w:rPr>
              <w:t>27A Duke Street</w:t>
            </w:r>
          </w:p>
          <w:p w14:paraId="28E559F4" w14:textId="77777777" w:rsidR="00665A13" w:rsidRPr="000E4502" w:rsidRDefault="00665A13" w:rsidP="000E4502">
            <w:pPr>
              <w:pStyle w:val="TableParagraph"/>
              <w:spacing w:line="219" w:lineRule="exact"/>
              <w:ind w:left="12"/>
              <w:rPr>
                <w:rFonts w:asciiTheme="minorHAnsi" w:hAnsiTheme="minorHAnsi" w:cstheme="minorHAnsi"/>
                <w:sz w:val="18"/>
                <w:szCs w:val="18"/>
              </w:rPr>
            </w:pPr>
          </w:p>
        </w:tc>
        <w:tc>
          <w:tcPr>
            <w:tcW w:w="1130" w:type="dxa"/>
          </w:tcPr>
          <w:p w14:paraId="01B8C002" w14:textId="77777777" w:rsidR="00665A13" w:rsidRPr="000E4502" w:rsidRDefault="00665A13" w:rsidP="00A9290F">
            <w:pPr>
              <w:pStyle w:val="TableParagraph"/>
              <w:spacing w:before="1"/>
              <w:ind w:left="95" w:right="85"/>
              <w:jc w:val="center"/>
              <w:rPr>
                <w:rFonts w:asciiTheme="minorHAnsi" w:hAnsiTheme="minorHAnsi" w:cstheme="minorHAnsi"/>
                <w:sz w:val="18"/>
                <w:szCs w:val="18"/>
              </w:rPr>
            </w:pPr>
            <w:r w:rsidRPr="000E4502">
              <w:rPr>
                <w:rFonts w:asciiTheme="minorHAnsi" w:hAnsiTheme="minorHAnsi" w:cstheme="minorHAnsi"/>
                <w:sz w:val="18"/>
                <w:szCs w:val="18"/>
              </w:rPr>
              <w:t xml:space="preserve">Strata </w:t>
            </w:r>
            <w:r w:rsidRPr="000E4502">
              <w:rPr>
                <w:rFonts w:asciiTheme="minorHAnsi" w:hAnsiTheme="minorHAnsi" w:cstheme="minorHAnsi"/>
                <w:spacing w:val="-4"/>
                <w:sz w:val="18"/>
                <w:szCs w:val="18"/>
              </w:rPr>
              <w:t xml:space="preserve">Plan </w:t>
            </w:r>
            <w:r w:rsidRPr="000E4502">
              <w:rPr>
                <w:rFonts w:asciiTheme="minorHAnsi" w:hAnsiTheme="minorHAnsi" w:cstheme="minorHAnsi"/>
                <w:sz w:val="18"/>
                <w:szCs w:val="18"/>
              </w:rPr>
              <w:t>20848</w:t>
            </w:r>
          </w:p>
          <w:p w14:paraId="27AAC274" w14:textId="77777777" w:rsidR="00665A13" w:rsidRPr="000E4502" w:rsidRDefault="00665A13" w:rsidP="00A9290F">
            <w:pPr>
              <w:pStyle w:val="TableParagraph"/>
              <w:spacing w:line="219" w:lineRule="exact"/>
              <w:ind w:left="95" w:right="84"/>
              <w:jc w:val="center"/>
              <w:rPr>
                <w:rFonts w:asciiTheme="minorHAnsi" w:hAnsiTheme="minorHAnsi" w:cstheme="minorHAnsi"/>
                <w:sz w:val="18"/>
                <w:szCs w:val="18"/>
              </w:rPr>
            </w:pPr>
            <w:r w:rsidRPr="000E4502">
              <w:rPr>
                <w:rFonts w:asciiTheme="minorHAnsi" w:hAnsiTheme="minorHAnsi" w:cstheme="minorHAnsi"/>
                <w:sz w:val="18"/>
                <w:szCs w:val="18"/>
              </w:rPr>
              <w:t>(Lot 2)</w:t>
            </w:r>
          </w:p>
        </w:tc>
        <w:tc>
          <w:tcPr>
            <w:tcW w:w="1569" w:type="dxa"/>
          </w:tcPr>
          <w:p w14:paraId="5CF298AF" w14:textId="77777777" w:rsidR="00665A13" w:rsidRPr="000E4502" w:rsidRDefault="00665A13" w:rsidP="000E4502">
            <w:pPr>
              <w:pStyle w:val="TableParagraph"/>
              <w:ind w:left="161"/>
              <w:rPr>
                <w:rFonts w:asciiTheme="minorHAnsi" w:hAnsiTheme="minorHAnsi" w:cstheme="minorHAnsi"/>
                <w:sz w:val="18"/>
                <w:szCs w:val="18"/>
              </w:rPr>
            </w:pPr>
          </w:p>
        </w:tc>
        <w:tc>
          <w:tcPr>
            <w:tcW w:w="1274" w:type="dxa"/>
          </w:tcPr>
          <w:p w14:paraId="61D8596C" w14:textId="77777777" w:rsidR="00665A13" w:rsidRPr="000E4502" w:rsidRDefault="00665A13" w:rsidP="00A9290F">
            <w:pPr>
              <w:pStyle w:val="TableParagraph"/>
              <w:ind w:left="0"/>
              <w:rPr>
                <w:rFonts w:asciiTheme="minorHAnsi" w:hAnsiTheme="minorHAnsi" w:cstheme="minorHAnsi"/>
                <w:sz w:val="18"/>
                <w:szCs w:val="18"/>
              </w:rPr>
            </w:pPr>
          </w:p>
        </w:tc>
        <w:tc>
          <w:tcPr>
            <w:tcW w:w="3112" w:type="dxa"/>
          </w:tcPr>
          <w:p w14:paraId="43EB7AFF" w14:textId="77777777" w:rsidR="00665A13" w:rsidRPr="000E4502" w:rsidRDefault="00665A13" w:rsidP="00A9290F">
            <w:pPr>
              <w:pStyle w:val="TableParagraph"/>
              <w:spacing w:before="1"/>
              <w:ind w:left="109"/>
              <w:rPr>
                <w:rFonts w:asciiTheme="minorHAnsi" w:hAnsiTheme="minorHAnsi" w:cstheme="minorHAnsi"/>
                <w:sz w:val="18"/>
                <w:szCs w:val="18"/>
              </w:rPr>
            </w:pPr>
            <w:r w:rsidRPr="000E4502">
              <w:rPr>
                <w:rFonts w:asciiTheme="minorHAnsi" w:hAnsiTheme="minorHAnsi" w:cstheme="minorHAnsi"/>
                <w:sz w:val="18"/>
                <w:szCs w:val="18"/>
              </w:rPr>
              <w:t>No individual listing, however, included within LPS 3 Heritage List as part of George Street Precinct.</w:t>
            </w:r>
          </w:p>
        </w:tc>
      </w:tr>
      <w:tr w:rsidR="00665A13" w:rsidRPr="00A53749" w14:paraId="769360FB" w14:textId="77777777" w:rsidTr="001C7F4A">
        <w:trPr>
          <w:trHeight w:val="844"/>
        </w:trPr>
        <w:tc>
          <w:tcPr>
            <w:tcW w:w="425" w:type="dxa"/>
          </w:tcPr>
          <w:p w14:paraId="436E1A96"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71FED83D" w14:textId="77777777" w:rsidR="00665A13" w:rsidRPr="000E4502" w:rsidRDefault="00665A13" w:rsidP="000E4502">
            <w:pPr>
              <w:pStyle w:val="TableParagraph"/>
              <w:spacing w:before="1" w:line="219" w:lineRule="exact"/>
              <w:ind w:left="12"/>
              <w:rPr>
                <w:rFonts w:asciiTheme="minorHAnsi" w:hAnsiTheme="minorHAnsi" w:cstheme="minorHAnsi"/>
                <w:sz w:val="18"/>
                <w:szCs w:val="18"/>
              </w:rPr>
            </w:pPr>
            <w:r w:rsidRPr="000E4502">
              <w:rPr>
                <w:rFonts w:asciiTheme="minorHAnsi" w:hAnsiTheme="minorHAnsi" w:cstheme="minorHAnsi"/>
                <w:sz w:val="18"/>
                <w:szCs w:val="18"/>
              </w:rPr>
              <w:t>31 Duke Street</w:t>
            </w:r>
          </w:p>
          <w:p w14:paraId="58BA7DA4" w14:textId="77777777" w:rsidR="00665A13" w:rsidRPr="000E4502" w:rsidRDefault="00665A13" w:rsidP="000E4502">
            <w:pPr>
              <w:pStyle w:val="TableParagraph"/>
              <w:spacing w:line="219" w:lineRule="exact"/>
              <w:ind w:left="12"/>
              <w:rPr>
                <w:rFonts w:asciiTheme="minorHAnsi" w:hAnsiTheme="minorHAnsi" w:cstheme="minorHAnsi"/>
                <w:sz w:val="18"/>
                <w:szCs w:val="18"/>
              </w:rPr>
            </w:pPr>
          </w:p>
        </w:tc>
        <w:tc>
          <w:tcPr>
            <w:tcW w:w="1130" w:type="dxa"/>
          </w:tcPr>
          <w:p w14:paraId="0572E28F" w14:textId="77777777" w:rsidR="00665A13" w:rsidRPr="000E4502" w:rsidRDefault="00665A13" w:rsidP="00A9290F">
            <w:pPr>
              <w:pStyle w:val="TableParagraph"/>
              <w:spacing w:before="1"/>
              <w:ind w:left="167" w:right="157" w:hanging="1"/>
              <w:jc w:val="center"/>
              <w:rPr>
                <w:rFonts w:asciiTheme="minorHAnsi" w:hAnsiTheme="minorHAnsi" w:cstheme="minorHAnsi"/>
                <w:sz w:val="18"/>
                <w:szCs w:val="18"/>
              </w:rPr>
            </w:pPr>
            <w:r w:rsidRPr="000E4502">
              <w:rPr>
                <w:rFonts w:asciiTheme="minorHAnsi" w:hAnsiTheme="minorHAnsi" w:cstheme="minorHAnsi"/>
                <w:sz w:val="18"/>
                <w:szCs w:val="18"/>
              </w:rPr>
              <w:t>Lots 1 &amp; 2 Strata Plan 67536</w:t>
            </w:r>
          </w:p>
        </w:tc>
        <w:tc>
          <w:tcPr>
            <w:tcW w:w="1569" w:type="dxa"/>
          </w:tcPr>
          <w:p w14:paraId="236A4398" w14:textId="77777777" w:rsidR="00665A13" w:rsidRPr="000E4502" w:rsidRDefault="00665A13" w:rsidP="000E4502">
            <w:pPr>
              <w:pStyle w:val="TableParagraph"/>
              <w:spacing w:before="1"/>
              <w:ind w:left="161" w:right="373"/>
              <w:jc w:val="both"/>
              <w:rPr>
                <w:rFonts w:asciiTheme="minorHAnsi" w:hAnsiTheme="minorHAnsi" w:cstheme="minorHAnsi"/>
                <w:sz w:val="18"/>
                <w:szCs w:val="18"/>
              </w:rPr>
            </w:pPr>
            <w:r w:rsidRPr="000E4502">
              <w:rPr>
                <w:rFonts w:asciiTheme="minorHAnsi" w:hAnsiTheme="minorHAnsi" w:cstheme="minorHAnsi"/>
                <w:sz w:val="18"/>
                <w:szCs w:val="18"/>
              </w:rPr>
              <w:t>Federation Bungalow Duplex</w:t>
            </w:r>
          </w:p>
        </w:tc>
        <w:tc>
          <w:tcPr>
            <w:tcW w:w="1274" w:type="dxa"/>
          </w:tcPr>
          <w:p w14:paraId="3EAFE82C" w14:textId="77777777" w:rsidR="00665A13" w:rsidRPr="000E4502" w:rsidRDefault="00665A13" w:rsidP="00A9290F">
            <w:pPr>
              <w:pStyle w:val="TableParagraph"/>
              <w:spacing w:before="1"/>
              <w:ind w:left="207"/>
              <w:rPr>
                <w:rFonts w:asciiTheme="minorHAnsi" w:hAnsiTheme="minorHAnsi" w:cstheme="minorHAnsi"/>
                <w:sz w:val="18"/>
                <w:szCs w:val="18"/>
              </w:rPr>
            </w:pPr>
            <w:r w:rsidRPr="000E4502">
              <w:rPr>
                <w:rFonts w:asciiTheme="minorHAnsi" w:hAnsiTheme="minorHAnsi" w:cstheme="minorHAnsi"/>
                <w:sz w:val="18"/>
                <w:szCs w:val="18"/>
              </w:rPr>
              <w:t>circa 1890’s</w:t>
            </w:r>
          </w:p>
        </w:tc>
        <w:tc>
          <w:tcPr>
            <w:tcW w:w="3112" w:type="dxa"/>
          </w:tcPr>
          <w:p w14:paraId="7D6AC489" w14:textId="77777777" w:rsidR="00665A13" w:rsidRPr="000E4502" w:rsidRDefault="00665A13" w:rsidP="00A9290F">
            <w:pPr>
              <w:pStyle w:val="TableParagraph"/>
              <w:spacing w:before="1"/>
              <w:ind w:left="109" w:right="370"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B. LPS 3 Heritage List</w:t>
            </w:r>
            <w:r w:rsidRPr="000E4502">
              <w:rPr>
                <w:rFonts w:asciiTheme="minorHAnsi" w:hAnsiTheme="minorHAnsi" w:cstheme="minorHAnsi"/>
                <w:spacing w:val="-9"/>
                <w:sz w:val="18"/>
                <w:szCs w:val="18"/>
              </w:rPr>
              <w:t xml:space="preserve"> </w:t>
            </w:r>
            <w:r w:rsidRPr="000E4502">
              <w:rPr>
                <w:rFonts w:asciiTheme="minorHAnsi" w:hAnsiTheme="minorHAnsi" w:cstheme="minorHAnsi"/>
                <w:sz w:val="18"/>
                <w:szCs w:val="18"/>
              </w:rPr>
              <w:t>(individual).</w:t>
            </w:r>
          </w:p>
          <w:p w14:paraId="0402B2D6" w14:textId="77777777" w:rsidR="00665A13" w:rsidRPr="000E4502" w:rsidRDefault="00665A13" w:rsidP="00A9290F">
            <w:pPr>
              <w:pStyle w:val="TableParagraph"/>
              <w:ind w:left="109" w:right="278"/>
              <w:rPr>
                <w:rFonts w:asciiTheme="minorHAnsi" w:hAnsiTheme="minorHAnsi" w:cstheme="minorHAnsi"/>
                <w:sz w:val="18"/>
                <w:szCs w:val="18"/>
              </w:rPr>
            </w:pPr>
            <w:r w:rsidRPr="000E4502">
              <w:rPr>
                <w:rFonts w:asciiTheme="minorHAnsi" w:hAnsiTheme="minorHAnsi" w:cstheme="minorHAnsi"/>
                <w:sz w:val="18"/>
                <w:szCs w:val="18"/>
              </w:rPr>
              <w:t>Included within LPS 3 Heritage List</w:t>
            </w:r>
            <w:r w:rsidRPr="000E4502">
              <w:rPr>
                <w:rFonts w:asciiTheme="minorHAnsi" w:hAnsiTheme="minorHAnsi" w:cstheme="minorHAnsi"/>
                <w:spacing w:val="-14"/>
                <w:sz w:val="18"/>
                <w:szCs w:val="18"/>
              </w:rPr>
              <w:t xml:space="preserve"> </w:t>
            </w:r>
            <w:r w:rsidRPr="000E4502">
              <w:rPr>
                <w:rFonts w:asciiTheme="minorHAnsi" w:hAnsiTheme="minorHAnsi" w:cstheme="minorHAnsi"/>
                <w:sz w:val="18"/>
                <w:szCs w:val="18"/>
              </w:rPr>
              <w:t>as part of George Street</w:t>
            </w:r>
            <w:r w:rsidRPr="000E4502">
              <w:rPr>
                <w:rFonts w:asciiTheme="minorHAnsi" w:hAnsiTheme="minorHAnsi" w:cstheme="minorHAnsi"/>
                <w:spacing w:val="-7"/>
                <w:sz w:val="18"/>
                <w:szCs w:val="18"/>
              </w:rPr>
              <w:t xml:space="preserve"> </w:t>
            </w:r>
            <w:r w:rsidRPr="000E4502">
              <w:rPr>
                <w:rFonts w:asciiTheme="minorHAnsi" w:hAnsiTheme="minorHAnsi" w:cstheme="minorHAnsi"/>
                <w:sz w:val="18"/>
                <w:szCs w:val="18"/>
              </w:rPr>
              <w:t>Precinct.</w:t>
            </w:r>
          </w:p>
        </w:tc>
      </w:tr>
      <w:tr w:rsidR="00665A13" w:rsidRPr="00A53749" w14:paraId="79DA3AC0" w14:textId="77777777" w:rsidTr="001C7F4A">
        <w:trPr>
          <w:trHeight w:val="928"/>
        </w:trPr>
        <w:tc>
          <w:tcPr>
            <w:tcW w:w="425" w:type="dxa"/>
          </w:tcPr>
          <w:p w14:paraId="0EFC6197"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0338A09F" w14:textId="77777777" w:rsidR="00665A13" w:rsidRPr="000E4502" w:rsidRDefault="00665A13" w:rsidP="000E4502">
            <w:pPr>
              <w:pStyle w:val="TableParagraph"/>
              <w:spacing w:before="1" w:line="219" w:lineRule="exact"/>
              <w:ind w:left="12"/>
              <w:rPr>
                <w:rFonts w:asciiTheme="minorHAnsi" w:hAnsiTheme="minorHAnsi" w:cstheme="minorHAnsi"/>
                <w:sz w:val="18"/>
                <w:szCs w:val="18"/>
              </w:rPr>
            </w:pPr>
            <w:r w:rsidRPr="000E4502">
              <w:rPr>
                <w:rFonts w:asciiTheme="minorHAnsi" w:hAnsiTheme="minorHAnsi" w:cstheme="minorHAnsi"/>
                <w:sz w:val="18"/>
                <w:szCs w:val="18"/>
              </w:rPr>
              <w:t>33 Duke Street</w:t>
            </w:r>
          </w:p>
          <w:p w14:paraId="2E76A12B" w14:textId="77777777" w:rsidR="00665A13" w:rsidRPr="000E4502" w:rsidRDefault="00665A13" w:rsidP="000E4502">
            <w:pPr>
              <w:pStyle w:val="TableParagraph"/>
              <w:spacing w:line="219" w:lineRule="exact"/>
              <w:ind w:left="12"/>
              <w:rPr>
                <w:rFonts w:asciiTheme="minorHAnsi" w:hAnsiTheme="minorHAnsi" w:cstheme="minorHAnsi"/>
                <w:sz w:val="18"/>
                <w:szCs w:val="18"/>
              </w:rPr>
            </w:pPr>
          </w:p>
        </w:tc>
        <w:tc>
          <w:tcPr>
            <w:tcW w:w="1130" w:type="dxa"/>
          </w:tcPr>
          <w:p w14:paraId="1811CB50" w14:textId="77777777" w:rsidR="00665A13" w:rsidRPr="000E4502" w:rsidRDefault="00665A13" w:rsidP="00A9290F">
            <w:pPr>
              <w:pStyle w:val="TableParagraph"/>
              <w:spacing w:before="1"/>
              <w:ind w:left="167" w:right="157" w:hanging="1"/>
              <w:jc w:val="center"/>
              <w:rPr>
                <w:rFonts w:asciiTheme="minorHAnsi" w:hAnsiTheme="minorHAnsi" w:cstheme="minorHAnsi"/>
                <w:sz w:val="18"/>
                <w:szCs w:val="18"/>
              </w:rPr>
            </w:pPr>
            <w:r w:rsidRPr="000E4502">
              <w:rPr>
                <w:rFonts w:asciiTheme="minorHAnsi" w:hAnsiTheme="minorHAnsi" w:cstheme="minorHAnsi"/>
                <w:sz w:val="18"/>
                <w:szCs w:val="18"/>
              </w:rPr>
              <w:t>Lots 1 &amp; 2 Strata Plan 67536</w:t>
            </w:r>
          </w:p>
        </w:tc>
        <w:tc>
          <w:tcPr>
            <w:tcW w:w="1569" w:type="dxa"/>
          </w:tcPr>
          <w:p w14:paraId="7DB17AA0" w14:textId="77777777" w:rsidR="00665A13" w:rsidRPr="000E4502" w:rsidRDefault="00665A13" w:rsidP="000E4502">
            <w:pPr>
              <w:pStyle w:val="TableParagraph"/>
              <w:spacing w:before="1"/>
              <w:ind w:left="161" w:right="373"/>
              <w:jc w:val="both"/>
              <w:rPr>
                <w:rFonts w:asciiTheme="minorHAnsi" w:hAnsiTheme="minorHAnsi" w:cstheme="minorHAnsi"/>
                <w:sz w:val="18"/>
                <w:szCs w:val="18"/>
              </w:rPr>
            </w:pPr>
            <w:r w:rsidRPr="000E4502">
              <w:rPr>
                <w:rFonts w:asciiTheme="minorHAnsi" w:hAnsiTheme="minorHAnsi" w:cstheme="minorHAnsi"/>
                <w:sz w:val="18"/>
                <w:szCs w:val="18"/>
              </w:rPr>
              <w:t>Federation Bungalow Duplex</w:t>
            </w:r>
          </w:p>
        </w:tc>
        <w:tc>
          <w:tcPr>
            <w:tcW w:w="1274" w:type="dxa"/>
          </w:tcPr>
          <w:p w14:paraId="1CBA3FAB" w14:textId="77777777" w:rsidR="00665A13" w:rsidRPr="000E4502" w:rsidRDefault="00665A13" w:rsidP="00A9290F">
            <w:pPr>
              <w:pStyle w:val="TableParagraph"/>
              <w:spacing w:before="1"/>
              <w:ind w:left="207"/>
              <w:rPr>
                <w:rFonts w:asciiTheme="minorHAnsi" w:hAnsiTheme="minorHAnsi" w:cstheme="minorHAnsi"/>
                <w:sz w:val="18"/>
                <w:szCs w:val="18"/>
              </w:rPr>
            </w:pPr>
            <w:r w:rsidRPr="000E4502">
              <w:rPr>
                <w:rFonts w:asciiTheme="minorHAnsi" w:hAnsiTheme="minorHAnsi" w:cstheme="minorHAnsi"/>
                <w:sz w:val="18"/>
                <w:szCs w:val="18"/>
              </w:rPr>
              <w:t>circa 1890’s</w:t>
            </w:r>
          </w:p>
        </w:tc>
        <w:tc>
          <w:tcPr>
            <w:tcW w:w="3112" w:type="dxa"/>
          </w:tcPr>
          <w:p w14:paraId="30293A32" w14:textId="77777777" w:rsidR="00665A13" w:rsidRPr="000E4502" w:rsidRDefault="00665A13" w:rsidP="00A9290F">
            <w:pPr>
              <w:pStyle w:val="TableParagraph"/>
              <w:spacing w:before="1"/>
              <w:ind w:left="109" w:right="370"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B. LPS 3 Heritage List</w:t>
            </w:r>
            <w:r w:rsidRPr="000E4502">
              <w:rPr>
                <w:rFonts w:asciiTheme="minorHAnsi" w:hAnsiTheme="minorHAnsi" w:cstheme="minorHAnsi"/>
                <w:spacing w:val="-9"/>
                <w:sz w:val="18"/>
                <w:szCs w:val="18"/>
              </w:rPr>
              <w:t xml:space="preserve"> </w:t>
            </w:r>
            <w:r w:rsidRPr="000E4502">
              <w:rPr>
                <w:rFonts w:asciiTheme="minorHAnsi" w:hAnsiTheme="minorHAnsi" w:cstheme="minorHAnsi"/>
                <w:sz w:val="18"/>
                <w:szCs w:val="18"/>
              </w:rPr>
              <w:t>(individual).</w:t>
            </w:r>
          </w:p>
          <w:p w14:paraId="38AA570C" w14:textId="77777777" w:rsidR="00665A13" w:rsidRPr="000E4502" w:rsidRDefault="00665A13" w:rsidP="00A9290F">
            <w:pPr>
              <w:pStyle w:val="TableParagraph"/>
              <w:ind w:left="109" w:right="278"/>
              <w:rPr>
                <w:rFonts w:asciiTheme="minorHAnsi" w:hAnsiTheme="minorHAnsi" w:cstheme="minorHAnsi"/>
                <w:sz w:val="18"/>
                <w:szCs w:val="18"/>
              </w:rPr>
            </w:pPr>
            <w:r w:rsidRPr="000E4502">
              <w:rPr>
                <w:rFonts w:asciiTheme="minorHAnsi" w:hAnsiTheme="minorHAnsi" w:cstheme="minorHAnsi"/>
                <w:sz w:val="18"/>
                <w:szCs w:val="18"/>
              </w:rPr>
              <w:t>Included within LPS 3 Heritage List</w:t>
            </w:r>
            <w:r w:rsidRPr="000E4502">
              <w:rPr>
                <w:rFonts w:asciiTheme="minorHAnsi" w:hAnsiTheme="minorHAnsi" w:cstheme="minorHAnsi"/>
                <w:spacing w:val="-14"/>
                <w:sz w:val="18"/>
                <w:szCs w:val="18"/>
              </w:rPr>
              <w:t xml:space="preserve"> </w:t>
            </w:r>
            <w:r w:rsidRPr="000E4502">
              <w:rPr>
                <w:rFonts w:asciiTheme="minorHAnsi" w:hAnsiTheme="minorHAnsi" w:cstheme="minorHAnsi"/>
                <w:sz w:val="18"/>
                <w:szCs w:val="18"/>
              </w:rPr>
              <w:t>as part of George Street</w:t>
            </w:r>
            <w:r w:rsidRPr="000E4502">
              <w:rPr>
                <w:rFonts w:asciiTheme="minorHAnsi" w:hAnsiTheme="minorHAnsi" w:cstheme="minorHAnsi"/>
                <w:spacing w:val="-7"/>
                <w:sz w:val="18"/>
                <w:szCs w:val="18"/>
              </w:rPr>
              <w:t xml:space="preserve"> </w:t>
            </w:r>
            <w:r w:rsidRPr="000E4502">
              <w:rPr>
                <w:rFonts w:asciiTheme="minorHAnsi" w:hAnsiTheme="minorHAnsi" w:cstheme="minorHAnsi"/>
                <w:sz w:val="18"/>
                <w:szCs w:val="18"/>
              </w:rPr>
              <w:t>Precinct.</w:t>
            </w:r>
          </w:p>
        </w:tc>
      </w:tr>
      <w:tr w:rsidR="00665A13" w:rsidRPr="00A53749" w14:paraId="31172596" w14:textId="77777777" w:rsidTr="00A9290F">
        <w:trPr>
          <w:trHeight w:val="1758"/>
        </w:trPr>
        <w:tc>
          <w:tcPr>
            <w:tcW w:w="425" w:type="dxa"/>
          </w:tcPr>
          <w:p w14:paraId="440CDE52"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3CB9D252" w14:textId="77777777" w:rsidR="00665A13" w:rsidRPr="000E4502" w:rsidRDefault="00665A13" w:rsidP="000E4502">
            <w:pPr>
              <w:pStyle w:val="TableParagraph"/>
              <w:spacing w:before="1" w:line="219" w:lineRule="exact"/>
              <w:ind w:left="12"/>
              <w:rPr>
                <w:rFonts w:asciiTheme="minorHAnsi" w:hAnsiTheme="minorHAnsi" w:cstheme="minorHAnsi"/>
                <w:sz w:val="18"/>
                <w:szCs w:val="18"/>
              </w:rPr>
            </w:pPr>
            <w:r w:rsidRPr="000E4502">
              <w:rPr>
                <w:rFonts w:asciiTheme="minorHAnsi" w:hAnsiTheme="minorHAnsi" w:cstheme="minorHAnsi"/>
                <w:sz w:val="18"/>
                <w:szCs w:val="18"/>
              </w:rPr>
              <w:t>34 Duke Street</w:t>
            </w:r>
          </w:p>
          <w:p w14:paraId="3FC66829" w14:textId="77777777" w:rsidR="00665A13" w:rsidRPr="000E4502" w:rsidRDefault="00665A13" w:rsidP="000E4502">
            <w:pPr>
              <w:pStyle w:val="TableParagraph"/>
              <w:spacing w:line="219" w:lineRule="exact"/>
              <w:ind w:left="12"/>
              <w:rPr>
                <w:rFonts w:asciiTheme="minorHAnsi" w:hAnsiTheme="minorHAnsi" w:cstheme="minorHAnsi"/>
                <w:sz w:val="18"/>
                <w:szCs w:val="18"/>
              </w:rPr>
            </w:pPr>
          </w:p>
        </w:tc>
        <w:tc>
          <w:tcPr>
            <w:tcW w:w="1130" w:type="dxa"/>
          </w:tcPr>
          <w:p w14:paraId="3996B49A" w14:textId="77777777" w:rsidR="00665A13" w:rsidRPr="000E4502" w:rsidRDefault="00665A13" w:rsidP="00A9290F">
            <w:pPr>
              <w:pStyle w:val="TableParagraph"/>
              <w:spacing w:before="1"/>
              <w:ind w:left="95" w:right="88"/>
              <w:jc w:val="center"/>
              <w:rPr>
                <w:rFonts w:asciiTheme="minorHAnsi" w:hAnsiTheme="minorHAnsi" w:cstheme="minorHAnsi"/>
                <w:sz w:val="18"/>
                <w:szCs w:val="18"/>
              </w:rPr>
            </w:pPr>
            <w:r w:rsidRPr="000E4502">
              <w:rPr>
                <w:rFonts w:asciiTheme="minorHAnsi" w:hAnsiTheme="minorHAnsi" w:cstheme="minorHAnsi"/>
                <w:sz w:val="18"/>
                <w:szCs w:val="18"/>
              </w:rPr>
              <w:t>Lot 303</w:t>
            </w:r>
          </w:p>
        </w:tc>
        <w:tc>
          <w:tcPr>
            <w:tcW w:w="1569" w:type="dxa"/>
          </w:tcPr>
          <w:p w14:paraId="659B4B43" w14:textId="77777777" w:rsidR="00665A13" w:rsidRPr="000E4502" w:rsidRDefault="00665A13" w:rsidP="000E4502">
            <w:pPr>
              <w:pStyle w:val="TableParagraph"/>
              <w:spacing w:before="1"/>
              <w:ind w:left="161" w:right="172"/>
              <w:jc w:val="center"/>
              <w:rPr>
                <w:rFonts w:asciiTheme="minorHAnsi" w:hAnsiTheme="minorHAnsi" w:cstheme="minorHAnsi"/>
                <w:sz w:val="18"/>
                <w:szCs w:val="18"/>
              </w:rPr>
            </w:pPr>
            <w:r w:rsidRPr="000E4502">
              <w:rPr>
                <w:rFonts w:asciiTheme="minorHAnsi" w:hAnsiTheme="minorHAnsi" w:cstheme="minorHAnsi"/>
                <w:sz w:val="18"/>
                <w:szCs w:val="18"/>
              </w:rPr>
              <w:t>Hotel</w:t>
            </w:r>
          </w:p>
        </w:tc>
        <w:tc>
          <w:tcPr>
            <w:tcW w:w="1274" w:type="dxa"/>
          </w:tcPr>
          <w:p w14:paraId="11A348F2" w14:textId="77777777" w:rsidR="00665A13" w:rsidRPr="000E4502" w:rsidRDefault="00665A13" w:rsidP="00A9290F">
            <w:pPr>
              <w:pStyle w:val="TableParagraph"/>
              <w:spacing w:before="1"/>
              <w:ind w:left="264"/>
              <w:rPr>
                <w:rFonts w:asciiTheme="minorHAnsi" w:hAnsiTheme="minorHAnsi" w:cstheme="minorHAnsi"/>
                <w:sz w:val="18"/>
                <w:szCs w:val="18"/>
              </w:rPr>
            </w:pPr>
            <w:r w:rsidRPr="000E4502">
              <w:rPr>
                <w:rFonts w:asciiTheme="minorHAnsi" w:hAnsiTheme="minorHAnsi" w:cstheme="minorHAnsi"/>
                <w:sz w:val="18"/>
                <w:szCs w:val="18"/>
              </w:rPr>
              <w:t>circa 1900</w:t>
            </w:r>
          </w:p>
        </w:tc>
        <w:tc>
          <w:tcPr>
            <w:tcW w:w="3112" w:type="dxa"/>
          </w:tcPr>
          <w:p w14:paraId="40322C34" w14:textId="77777777" w:rsidR="00665A13" w:rsidRPr="000E4502" w:rsidRDefault="00665A13" w:rsidP="00A9290F">
            <w:pPr>
              <w:pStyle w:val="TableParagraph"/>
              <w:spacing w:before="1"/>
              <w:ind w:left="109" w:right="363"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A. LPS 3 Heritage List</w:t>
            </w:r>
            <w:r w:rsidRPr="000E4502">
              <w:rPr>
                <w:rFonts w:asciiTheme="minorHAnsi" w:hAnsiTheme="minorHAnsi" w:cstheme="minorHAnsi"/>
                <w:spacing w:val="-9"/>
                <w:sz w:val="18"/>
                <w:szCs w:val="18"/>
              </w:rPr>
              <w:t xml:space="preserve"> </w:t>
            </w:r>
            <w:r w:rsidRPr="000E4502">
              <w:rPr>
                <w:rFonts w:asciiTheme="minorHAnsi" w:hAnsiTheme="minorHAnsi" w:cstheme="minorHAnsi"/>
                <w:sz w:val="18"/>
                <w:szCs w:val="18"/>
              </w:rPr>
              <w:t>(individual).</w:t>
            </w:r>
          </w:p>
          <w:p w14:paraId="5FD69AE2" w14:textId="77777777" w:rsidR="00665A13" w:rsidRPr="000E4502" w:rsidRDefault="00665A13" w:rsidP="00A9290F">
            <w:pPr>
              <w:pStyle w:val="TableParagraph"/>
              <w:ind w:left="109" w:right="278"/>
              <w:rPr>
                <w:rFonts w:asciiTheme="minorHAnsi" w:hAnsiTheme="minorHAnsi" w:cstheme="minorHAnsi"/>
                <w:sz w:val="18"/>
                <w:szCs w:val="18"/>
              </w:rPr>
            </w:pPr>
            <w:r w:rsidRPr="000E4502">
              <w:rPr>
                <w:rFonts w:asciiTheme="minorHAnsi" w:hAnsiTheme="minorHAnsi" w:cstheme="minorHAnsi"/>
                <w:sz w:val="18"/>
                <w:szCs w:val="18"/>
              </w:rPr>
              <w:t>Included within LPS 3 Heritage List</w:t>
            </w:r>
            <w:r w:rsidRPr="000E4502">
              <w:rPr>
                <w:rFonts w:asciiTheme="minorHAnsi" w:hAnsiTheme="minorHAnsi" w:cstheme="minorHAnsi"/>
                <w:spacing w:val="-14"/>
                <w:sz w:val="18"/>
                <w:szCs w:val="18"/>
              </w:rPr>
              <w:t xml:space="preserve"> </w:t>
            </w:r>
            <w:r w:rsidRPr="000E4502">
              <w:rPr>
                <w:rFonts w:asciiTheme="minorHAnsi" w:hAnsiTheme="minorHAnsi" w:cstheme="minorHAnsi"/>
                <w:sz w:val="18"/>
                <w:szCs w:val="18"/>
              </w:rPr>
              <w:t>as part of George Street</w:t>
            </w:r>
            <w:r w:rsidRPr="000E4502">
              <w:rPr>
                <w:rFonts w:asciiTheme="minorHAnsi" w:hAnsiTheme="minorHAnsi" w:cstheme="minorHAnsi"/>
                <w:spacing w:val="-7"/>
                <w:sz w:val="18"/>
                <w:szCs w:val="18"/>
              </w:rPr>
              <w:t xml:space="preserve"> </w:t>
            </w:r>
            <w:r w:rsidRPr="000E4502">
              <w:rPr>
                <w:rFonts w:asciiTheme="minorHAnsi" w:hAnsiTheme="minorHAnsi" w:cstheme="minorHAnsi"/>
                <w:sz w:val="18"/>
                <w:szCs w:val="18"/>
              </w:rPr>
              <w:t>Precinct.</w:t>
            </w:r>
          </w:p>
          <w:p w14:paraId="4700C1B1" w14:textId="77777777" w:rsidR="00665A13" w:rsidRPr="000E4502" w:rsidRDefault="00665A13" w:rsidP="00A9290F">
            <w:pPr>
              <w:pStyle w:val="TableParagraph"/>
              <w:ind w:left="109" w:right="81"/>
              <w:rPr>
                <w:rFonts w:asciiTheme="minorHAnsi" w:hAnsiTheme="minorHAnsi" w:cstheme="minorHAnsi"/>
                <w:sz w:val="18"/>
                <w:szCs w:val="18"/>
              </w:rPr>
            </w:pPr>
            <w:r w:rsidRPr="000E4502">
              <w:rPr>
                <w:rFonts w:asciiTheme="minorHAnsi" w:hAnsiTheme="minorHAnsi" w:cstheme="minorHAnsi"/>
                <w:sz w:val="18"/>
                <w:szCs w:val="18"/>
              </w:rPr>
              <w:t>State Heritage Register – Permanent 30 October 1998 (P 0794)</w:t>
            </w:r>
          </w:p>
          <w:p w14:paraId="03138B3B" w14:textId="77777777" w:rsidR="00665A13" w:rsidRPr="000E4502" w:rsidRDefault="00665A13" w:rsidP="00A9290F">
            <w:pPr>
              <w:pStyle w:val="TableParagraph"/>
              <w:spacing w:line="219" w:lineRule="exact"/>
              <w:ind w:left="109"/>
              <w:rPr>
                <w:rFonts w:asciiTheme="minorHAnsi" w:hAnsiTheme="minorHAnsi" w:cstheme="minorHAnsi"/>
                <w:sz w:val="18"/>
                <w:szCs w:val="18"/>
              </w:rPr>
            </w:pPr>
            <w:r w:rsidRPr="000E4502">
              <w:rPr>
                <w:rFonts w:asciiTheme="minorHAnsi" w:hAnsiTheme="minorHAnsi" w:cstheme="minorHAnsi"/>
                <w:sz w:val="18"/>
                <w:szCs w:val="18"/>
              </w:rPr>
              <w:t>Heritage Agreement</w:t>
            </w:r>
          </w:p>
          <w:p w14:paraId="1FD10770" w14:textId="77777777" w:rsidR="00665A13" w:rsidRPr="000E4502" w:rsidRDefault="00665A13" w:rsidP="00A9290F">
            <w:pPr>
              <w:pStyle w:val="TableParagraph"/>
              <w:spacing w:line="199" w:lineRule="exact"/>
              <w:ind w:left="109"/>
              <w:rPr>
                <w:rFonts w:asciiTheme="minorHAnsi" w:hAnsiTheme="minorHAnsi" w:cstheme="minorHAnsi"/>
                <w:sz w:val="18"/>
                <w:szCs w:val="18"/>
              </w:rPr>
            </w:pPr>
            <w:r w:rsidRPr="000E4502">
              <w:rPr>
                <w:rFonts w:asciiTheme="minorHAnsi" w:hAnsiTheme="minorHAnsi" w:cstheme="minorHAnsi"/>
                <w:sz w:val="18"/>
                <w:szCs w:val="18"/>
              </w:rPr>
              <w:t>Classified by the National Trust</w:t>
            </w:r>
          </w:p>
        </w:tc>
      </w:tr>
      <w:tr w:rsidR="00665A13" w:rsidRPr="00A53749" w14:paraId="48EF179C" w14:textId="77777777" w:rsidTr="00A9290F">
        <w:trPr>
          <w:trHeight w:val="878"/>
        </w:trPr>
        <w:tc>
          <w:tcPr>
            <w:tcW w:w="425" w:type="dxa"/>
          </w:tcPr>
          <w:p w14:paraId="6009CA6D"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72A796C1" w14:textId="77777777" w:rsidR="00665A13" w:rsidRPr="000E4502" w:rsidRDefault="00665A13" w:rsidP="000E4502">
            <w:pPr>
              <w:pStyle w:val="TableParagraph"/>
              <w:spacing w:line="219" w:lineRule="exact"/>
              <w:ind w:left="12"/>
              <w:rPr>
                <w:rFonts w:asciiTheme="minorHAnsi" w:hAnsiTheme="minorHAnsi" w:cstheme="minorHAnsi"/>
                <w:sz w:val="18"/>
                <w:szCs w:val="18"/>
              </w:rPr>
            </w:pPr>
            <w:r w:rsidRPr="000E4502">
              <w:rPr>
                <w:rFonts w:asciiTheme="minorHAnsi" w:hAnsiTheme="minorHAnsi" w:cstheme="minorHAnsi"/>
                <w:sz w:val="18"/>
                <w:szCs w:val="18"/>
              </w:rPr>
              <w:t>35 Duke Street</w:t>
            </w:r>
          </w:p>
          <w:p w14:paraId="224F5E2E" w14:textId="77777777" w:rsidR="00665A13" w:rsidRPr="000E4502" w:rsidRDefault="00665A13" w:rsidP="000E4502">
            <w:pPr>
              <w:pStyle w:val="TableParagraph"/>
              <w:spacing w:before="1"/>
              <w:ind w:left="12"/>
              <w:rPr>
                <w:rFonts w:asciiTheme="minorHAnsi" w:hAnsiTheme="minorHAnsi" w:cstheme="minorHAnsi"/>
                <w:sz w:val="18"/>
                <w:szCs w:val="18"/>
              </w:rPr>
            </w:pPr>
          </w:p>
        </w:tc>
        <w:tc>
          <w:tcPr>
            <w:tcW w:w="1130" w:type="dxa"/>
          </w:tcPr>
          <w:p w14:paraId="59DCCC1F" w14:textId="77777777" w:rsidR="00665A13" w:rsidRPr="000E4502" w:rsidRDefault="00665A13" w:rsidP="00A9290F">
            <w:pPr>
              <w:pStyle w:val="TableParagraph"/>
              <w:spacing w:line="219" w:lineRule="exact"/>
              <w:ind w:left="95" w:right="88"/>
              <w:jc w:val="center"/>
              <w:rPr>
                <w:rFonts w:asciiTheme="minorHAnsi" w:hAnsiTheme="minorHAnsi" w:cstheme="minorHAnsi"/>
                <w:sz w:val="18"/>
                <w:szCs w:val="18"/>
              </w:rPr>
            </w:pPr>
            <w:r w:rsidRPr="000E4502">
              <w:rPr>
                <w:rFonts w:asciiTheme="minorHAnsi" w:hAnsiTheme="minorHAnsi" w:cstheme="minorHAnsi"/>
                <w:sz w:val="18"/>
                <w:szCs w:val="18"/>
              </w:rPr>
              <w:t>372</w:t>
            </w:r>
          </w:p>
          <w:p w14:paraId="068FB10F" w14:textId="77777777" w:rsidR="00665A13" w:rsidRPr="000E4502" w:rsidRDefault="00665A13" w:rsidP="00A9290F">
            <w:pPr>
              <w:pStyle w:val="TableParagraph"/>
              <w:spacing w:before="1"/>
              <w:ind w:left="95" w:right="84"/>
              <w:jc w:val="center"/>
              <w:rPr>
                <w:rFonts w:asciiTheme="minorHAnsi" w:hAnsiTheme="minorHAnsi" w:cstheme="minorHAnsi"/>
                <w:sz w:val="18"/>
                <w:szCs w:val="18"/>
              </w:rPr>
            </w:pPr>
            <w:r w:rsidRPr="000E4502">
              <w:rPr>
                <w:rFonts w:asciiTheme="minorHAnsi" w:hAnsiTheme="minorHAnsi" w:cstheme="minorHAnsi"/>
                <w:sz w:val="18"/>
                <w:szCs w:val="18"/>
              </w:rPr>
              <w:t>(Lot 1)</w:t>
            </w:r>
          </w:p>
        </w:tc>
        <w:tc>
          <w:tcPr>
            <w:tcW w:w="1569" w:type="dxa"/>
          </w:tcPr>
          <w:p w14:paraId="51884039" w14:textId="77777777" w:rsidR="00665A13" w:rsidRPr="000E4502" w:rsidRDefault="00665A13" w:rsidP="000E4502">
            <w:pPr>
              <w:pStyle w:val="TableParagraph"/>
              <w:ind w:left="161" w:right="173"/>
              <w:rPr>
                <w:rFonts w:asciiTheme="minorHAnsi" w:hAnsiTheme="minorHAnsi" w:cstheme="minorHAnsi"/>
                <w:sz w:val="18"/>
                <w:szCs w:val="18"/>
              </w:rPr>
            </w:pPr>
            <w:r w:rsidRPr="000E4502">
              <w:rPr>
                <w:rFonts w:asciiTheme="minorHAnsi" w:hAnsiTheme="minorHAnsi" w:cstheme="minorHAnsi"/>
                <w:sz w:val="18"/>
                <w:szCs w:val="18"/>
              </w:rPr>
              <w:t>Federation Free Classical</w:t>
            </w:r>
          </w:p>
        </w:tc>
        <w:tc>
          <w:tcPr>
            <w:tcW w:w="1274" w:type="dxa"/>
          </w:tcPr>
          <w:p w14:paraId="7314B840" w14:textId="77777777" w:rsidR="00665A13" w:rsidRPr="000E4502" w:rsidRDefault="00665A13" w:rsidP="00A9290F">
            <w:pPr>
              <w:pStyle w:val="TableParagraph"/>
              <w:spacing w:line="219" w:lineRule="exact"/>
              <w:ind w:left="264"/>
              <w:rPr>
                <w:rFonts w:asciiTheme="minorHAnsi" w:hAnsiTheme="minorHAnsi" w:cstheme="minorHAnsi"/>
                <w:sz w:val="18"/>
                <w:szCs w:val="18"/>
              </w:rPr>
            </w:pPr>
            <w:r w:rsidRPr="000E4502">
              <w:rPr>
                <w:rFonts w:asciiTheme="minorHAnsi" w:hAnsiTheme="minorHAnsi" w:cstheme="minorHAnsi"/>
                <w:sz w:val="18"/>
                <w:szCs w:val="18"/>
              </w:rPr>
              <w:t>circa 1897</w:t>
            </w:r>
          </w:p>
        </w:tc>
        <w:tc>
          <w:tcPr>
            <w:tcW w:w="3112" w:type="dxa"/>
          </w:tcPr>
          <w:p w14:paraId="7CED5E84" w14:textId="77777777" w:rsidR="00665A13" w:rsidRPr="000E4502" w:rsidRDefault="00665A13" w:rsidP="00A9290F">
            <w:pPr>
              <w:pStyle w:val="TableParagraph"/>
              <w:ind w:left="109" w:right="370"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B. LPS 3 Heritage List (individual).</w:t>
            </w:r>
          </w:p>
          <w:p w14:paraId="394FE41E" w14:textId="77777777" w:rsidR="00665A13" w:rsidRPr="000E4502" w:rsidRDefault="00665A13" w:rsidP="000E4502">
            <w:pPr>
              <w:pStyle w:val="TableParagraph"/>
              <w:spacing w:line="219" w:lineRule="exact"/>
              <w:ind w:left="109"/>
              <w:rPr>
                <w:rFonts w:asciiTheme="minorHAnsi" w:hAnsiTheme="minorHAnsi" w:cstheme="minorHAnsi"/>
                <w:sz w:val="18"/>
                <w:szCs w:val="18"/>
              </w:rPr>
            </w:pPr>
            <w:r w:rsidRPr="000E4502">
              <w:rPr>
                <w:rFonts w:asciiTheme="minorHAnsi" w:hAnsiTheme="minorHAnsi" w:cstheme="minorHAnsi"/>
                <w:sz w:val="18"/>
                <w:szCs w:val="18"/>
              </w:rPr>
              <w:t>Include</w:t>
            </w:r>
            <w:r w:rsidR="000E4502">
              <w:rPr>
                <w:rFonts w:asciiTheme="minorHAnsi" w:hAnsiTheme="minorHAnsi" w:cstheme="minorHAnsi"/>
                <w:sz w:val="18"/>
                <w:szCs w:val="18"/>
              </w:rPr>
              <w:t xml:space="preserve">d within LPS 3 Heritage List as </w:t>
            </w:r>
            <w:r w:rsidRPr="000E4502">
              <w:rPr>
                <w:rFonts w:asciiTheme="minorHAnsi" w:hAnsiTheme="minorHAnsi" w:cstheme="minorHAnsi"/>
                <w:sz w:val="18"/>
                <w:szCs w:val="18"/>
              </w:rPr>
              <w:t>part of George Street Precinct.</w:t>
            </w:r>
          </w:p>
        </w:tc>
      </w:tr>
      <w:tr w:rsidR="00665A13" w:rsidRPr="00A53749" w14:paraId="5C3726E5" w14:textId="77777777" w:rsidTr="00A9290F">
        <w:trPr>
          <w:trHeight w:val="877"/>
        </w:trPr>
        <w:tc>
          <w:tcPr>
            <w:tcW w:w="425" w:type="dxa"/>
          </w:tcPr>
          <w:p w14:paraId="176984CE"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4618911A" w14:textId="77777777" w:rsidR="00665A13" w:rsidRPr="000E4502" w:rsidRDefault="00665A13" w:rsidP="000E4502">
            <w:pPr>
              <w:pStyle w:val="TableParagraph"/>
              <w:spacing w:before="11"/>
              <w:ind w:left="12"/>
              <w:rPr>
                <w:rFonts w:asciiTheme="minorHAnsi" w:hAnsiTheme="minorHAnsi" w:cstheme="minorHAnsi"/>
                <w:sz w:val="18"/>
                <w:szCs w:val="18"/>
              </w:rPr>
            </w:pPr>
            <w:r w:rsidRPr="000E4502">
              <w:rPr>
                <w:rFonts w:asciiTheme="minorHAnsi" w:hAnsiTheme="minorHAnsi" w:cstheme="minorHAnsi"/>
                <w:sz w:val="18"/>
                <w:szCs w:val="18"/>
              </w:rPr>
              <w:t>37 Duke Street</w:t>
            </w:r>
          </w:p>
          <w:p w14:paraId="37836A1D" w14:textId="77777777" w:rsidR="00665A13" w:rsidRPr="000E4502" w:rsidRDefault="00665A13" w:rsidP="000E4502">
            <w:pPr>
              <w:pStyle w:val="TableParagraph"/>
              <w:spacing w:before="5"/>
              <w:ind w:left="12"/>
              <w:rPr>
                <w:rFonts w:asciiTheme="minorHAnsi" w:hAnsiTheme="minorHAnsi" w:cstheme="minorHAnsi"/>
                <w:sz w:val="18"/>
                <w:szCs w:val="18"/>
              </w:rPr>
            </w:pPr>
          </w:p>
        </w:tc>
        <w:tc>
          <w:tcPr>
            <w:tcW w:w="1130" w:type="dxa"/>
          </w:tcPr>
          <w:p w14:paraId="478AA1F1" w14:textId="77777777" w:rsidR="00665A13" w:rsidRPr="000E4502" w:rsidRDefault="00665A13" w:rsidP="00A9290F">
            <w:pPr>
              <w:pStyle w:val="TableParagraph"/>
              <w:spacing w:before="11"/>
              <w:ind w:left="95" w:right="88"/>
              <w:jc w:val="center"/>
              <w:rPr>
                <w:rFonts w:asciiTheme="minorHAnsi" w:hAnsiTheme="minorHAnsi" w:cstheme="minorHAnsi"/>
                <w:sz w:val="18"/>
                <w:szCs w:val="18"/>
              </w:rPr>
            </w:pPr>
            <w:r w:rsidRPr="000E4502">
              <w:rPr>
                <w:rFonts w:asciiTheme="minorHAnsi" w:hAnsiTheme="minorHAnsi" w:cstheme="minorHAnsi"/>
                <w:sz w:val="18"/>
                <w:szCs w:val="18"/>
              </w:rPr>
              <w:t>373</w:t>
            </w:r>
          </w:p>
        </w:tc>
        <w:tc>
          <w:tcPr>
            <w:tcW w:w="1569" w:type="dxa"/>
          </w:tcPr>
          <w:p w14:paraId="2C73785D" w14:textId="77777777" w:rsidR="00665A13" w:rsidRPr="000E4502" w:rsidRDefault="00665A13" w:rsidP="000E4502">
            <w:pPr>
              <w:pStyle w:val="TableParagraph"/>
              <w:spacing w:before="1"/>
              <w:ind w:left="161" w:right="356"/>
              <w:rPr>
                <w:rFonts w:asciiTheme="minorHAnsi" w:hAnsiTheme="minorHAnsi" w:cstheme="minorHAnsi"/>
                <w:sz w:val="18"/>
                <w:szCs w:val="18"/>
              </w:rPr>
            </w:pPr>
            <w:r w:rsidRPr="000E4502">
              <w:rPr>
                <w:rFonts w:asciiTheme="minorHAnsi" w:hAnsiTheme="minorHAnsi" w:cstheme="minorHAnsi"/>
                <w:sz w:val="18"/>
                <w:szCs w:val="18"/>
              </w:rPr>
              <w:t>Federation Bungalow</w:t>
            </w:r>
          </w:p>
        </w:tc>
        <w:tc>
          <w:tcPr>
            <w:tcW w:w="1274" w:type="dxa"/>
          </w:tcPr>
          <w:p w14:paraId="64DD4B25" w14:textId="77777777" w:rsidR="00665A13" w:rsidRPr="000E4502" w:rsidRDefault="00665A13" w:rsidP="00A9290F">
            <w:pPr>
              <w:pStyle w:val="TableParagraph"/>
              <w:spacing w:before="1"/>
              <w:ind w:left="264"/>
              <w:rPr>
                <w:rFonts w:asciiTheme="minorHAnsi" w:hAnsiTheme="minorHAnsi" w:cstheme="minorHAnsi"/>
                <w:sz w:val="18"/>
                <w:szCs w:val="18"/>
              </w:rPr>
            </w:pPr>
            <w:r w:rsidRPr="000E4502">
              <w:rPr>
                <w:rFonts w:asciiTheme="minorHAnsi" w:hAnsiTheme="minorHAnsi" w:cstheme="minorHAnsi"/>
                <w:sz w:val="18"/>
                <w:szCs w:val="18"/>
              </w:rPr>
              <w:t>circa 1898</w:t>
            </w:r>
          </w:p>
        </w:tc>
        <w:tc>
          <w:tcPr>
            <w:tcW w:w="3112" w:type="dxa"/>
          </w:tcPr>
          <w:p w14:paraId="1898AF99" w14:textId="77777777" w:rsidR="00665A13" w:rsidRPr="000E4502" w:rsidRDefault="00665A13" w:rsidP="00A9290F">
            <w:pPr>
              <w:pStyle w:val="TableParagraph"/>
              <w:spacing w:before="1"/>
              <w:ind w:left="109" w:right="370"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B. LPS 3 Heritage List (individual).</w:t>
            </w:r>
          </w:p>
          <w:p w14:paraId="34953C4D" w14:textId="77777777" w:rsidR="00665A13" w:rsidRPr="000E4502" w:rsidRDefault="00665A13" w:rsidP="000E4502">
            <w:pPr>
              <w:pStyle w:val="TableParagraph"/>
              <w:spacing w:line="219" w:lineRule="exact"/>
              <w:ind w:left="109"/>
              <w:rPr>
                <w:rFonts w:asciiTheme="minorHAnsi" w:hAnsiTheme="minorHAnsi" w:cstheme="minorHAnsi"/>
                <w:sz w:val="18"/>
                <w:szCs w:val="18"/>
              </w:rPr>
            </w:pPr>
            <w:r w:rsidRPr="000E4502">
              <w:rPr>
                <w:rFonts w:asciiTheme="minorHAnsi" w:hAnsiTheme="minorHAnsi" w:cstheme="minorHAnsi"/>
                <w:sz w:val="18"/>
                <w:szCs w:val="18"/>
              </w:rPr>
              <w:t>Include</w:t>
            </w:r>
            <w:r w:rsidR="000E4502">
              <w:rPr>
                <w:rFonts w:asciiTheme="minorHAnsi" w:hAnsiTheme="minorHAnsi" w:cstheme="minorHAnsi"/>
                <w:sz w:val="18"/>
                <w:szCs w:val="18"/>
              </w:rPr>
              <w:t xml:space="preserve">d within LPS 3 Heritage List as </w:t>
            </w:r>
            <w:r w:rsidRPr="000E4502">
              <w:rPr>
                <w:rFonts w:asciiTheme="minorHAnsi" w:hAnsiTheme="minorHAnsi" w:cstheme="minorHAnsi"/>
                <w:sz w:val="18"/>
                <w:szCs w:val="18"/>
              </w:rPr>
              <w:t>part of George Street Precinct.</w:t>
            </w:r>
          </w:p>
        </w:tc>
      </w:tr>
      <w:tr w:rsidR="00665A13" w:rsidRPr="00A53749" w14:paraId="7FDC3B88" w14:textId="77777777" w:rsidTr="00A9290F">
        <w:trPr>
          <w:trHeight w:val="659"/>
        </w:trPr>
        <w:tc>
          <w:tcPr>
            <w:tcW w:w="425" w:type="dxa"/>
          </w:tcPr>
          <w:p w14:paraId="4ADBFFA0"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74EA6E32" w14:textId="77777777" w:rsidR="00665A13" w:rsidRPr="000E4502" w:rsidRDefault="00665A13" w:rsidP="000E4502">
            <w:pPr>
              <w:pStyle w:val="TableParagraph"/>
              <w:spacing w:before="11"/>
              <w:ind w:left="12"/>
              <w:rPr>
                <w:rFonts w:asciiTheme="minorHAnsi" w:hAnsiTheme="minorHAnsi" w:cstheme="minorHAnsi"/>
                <w:sz w:val="18"/>
                <w:szCs w:val="18"/>
              </w:rPr>
            </w:pPr>
            <w:r w:rsidRPr="000E4502">
              <w:rPr>
                <w:rFonts w:asciiTheme="minorHAnsi" w:hAnsiTheme="minorHAnsi" w:cstheme="minorHAnsi"/>
                <w:sz w:val="18"/>
                <w:szCs w:val="18"/>
              </w:rPr>
              <w:t>39 Duke Street</w:t>
            </w:r>
          </w:p>
          <w:p w14:paraId="60926288" w14:textId="77777777" w:rsidR="00665A13" w:rsidRPr="000E4502" w:rsidRDefault="00665A13" w:rsidP="000E4502">
            <w:pPr>
              <w:pStyle w:val="TableParagraph"/>
              <w:spacing w:before="8"/>
              <w:ind w:left="12"/>
              <w:rPr>
                <w:rFonts w:asciiTheme="minorHAnsi" w:hAnsiTheme="minorHAnsi" w:cstheme="minorHAnsi"/>
                <w:sz w:val="18"/>
                <w:szCs w:val="18"/>
              </w:rPr>
            </w:pPr>
          </w:p>
        </w:tc>
        <w:tc>
          <w:tcPr>
            <w:tcW w:w="1130" w:type="dxa"/>
          </w:tcPr>
          <w:p w14:paraId="6ADAEAAC" w14:textId="77777777" w:rsidR="00665A13" w:rsidRPr="000E4502" w:rsidRDefault="00665A13" w:rsidP="00A9290F">
            <w:pPr>
              <w:pStyle w:val="TableParagraph"/>
              <w:spacing w:before="11"/>
              <w:ind w:left="95" w:right="88"/>
              <w:jc w:val="center"/>
              <w:rPr>
                <w:rFonts w:asciiTheme="minorHAnsi" w:hAnsiTheme="minorHAnsi" w:cstheme="minorHAnsi"/>
                <w:sz w:val="18"/>
                <w:szCs w:val="18"/>
              </w:rPr>
            </w:pPr>
            <w:r w:rsidRPr="000E4502">
              <w:rPr>
                <w:rFonts w:asciiTheme="minorHAnsi" w:hAnsiTheme="minorHAnsi" w:cstheme="minorHAnsi"/>
                <w:sz w:val="18"/>
                <w:szCs w:val="18"/>
              </w:rPr>
              <w:t>374</w:t>
            </w:r>
          </w:p>
        </w:tc>
        <w:tc>
          <w:tcPr>
            <w:tcW w:w="1569" w:type="dxa"/>
          </w:tcPr>
          <w:p w14:paraId="6B69BE92" w14:textId="77777777" w:rsidR="00665A13" w:rsidRPr="000E4502" w:rsidRDefault="00665A13" w:rsidP="000E4502">
            <w:pPr>
              <w:pStyle w:val="TableParagraph"/>
              <w:spacing w:before="1"/>
              <w:ind w:left="161" w:right="356"/>
              <w:rPr>
                <w:rFonts w:asciiTheme="minorHAnsi" w:hAnsiTheme="minorHAnsi" w:cstheme="minorHAnsi"/>
                <w:sz w:val="18"/>
                <w:szCs w:val="18"/>
              </w:rPr>
            </w:pPr>
            <w:r w:rsidRPr="000E4502">
              <w:rPr>
                <w:rFonts w:asciiTheme="minorHAnsi" w:hAnsiTheme="minorHAnsi" w:cstheme="minorHAnsi"/>
                <w:sz w:val="18"/>
                <w:szCs w:val="18"/>
              </w:rPr>
              <w:t>Federation Bungalow</w:t>
            </w:r>
          </w:p>
        </w:tc>
        <w:tc>
          <w:tcPr>
            <w:tcW w:w="1274" w:type="dxa"/>
          </w:tcPr>
          <w:p w14:paraId="52C0CB11" w14:textId="77777777" w:rsidR="00665A13" w:rsidRPr="000E4502" w:rsidRDefault="00665A13" w:rsidP="00A9290F">
            <w:pPr>
              <w:pStyle w:val="TableParagraph"/>
              <w:spacing w:before="1"/>
              <w:ind w:left="264"/>
              <w:rPr>
                <w:rFonts w:asciiTheme="minorHAnsi" w:hAnsiTheme="minorHAnsi" w:cstheme="minorHAnsi"/>
                <w:sz w:val="18"/>
                <w:szCs w:val="18"/>
              </w:rPr>
            </w:pPr>
            <w:r w:rsidRPr="000E4502">
              <w:rPr>
                <w:rFonts w:asciiTheme="minorHAnsi" w:hAnsiTheme="minorHAnsi" w:cstheme="minorHAnsi"/>
                <w:sz w:val="18"/>
                <w:szCs w:val="18"/>
              </w:rPr>
              <w:t>circa 1915</w:t>
            </w:r>
          </w:p>
        </w:tc>
        <w:tc>
          <w:tcPr>
            <w:tcW w:w="3112" w:type="dxa"/>
          </w:tcPr>
          <w:p w14:paraId="493B37E6" w14:textId="77777777" w:rsidR="00665A13" w:rsidRPr="000E4502" w:rsidRDefault="00665A13" w:rsidP="000E4502">
            <w:pPr>
              <w:pStyle w:val="TableParagraph"/>
              <w:spacing w:before="1"/>
              <w:ind w:left="109" w:right="264" w:hanging="1"/>
              <w:rPr>
                <w:rFonts w:asciiTheme="minorHAnsi" w:hAnsiTheme="minorHAnsi" w:cstheme="minorHAnsi"/>
                <w:sz w:val="18"/>
                <w:szCs w:val="18"/>
              </w:rPr>
            </w:pPr>
            <w:r w:rsidRPr="000E4502">
              <w:rPr>
                <w:rFonts w:asciiTheme="minorHAnsi" w:hAnsiTheme="minorHAnsi" w:cstheme="minorHAnsi"/>
                <w:sz w:val="18"/>
                <w:szCs w:val="18"/>
              </w:rPr>
              <w:t>Municipal Heritage Inventory Cat C. Include</w:t>
            </w:r>
            <w:r w:rsidR="000E4502">
              <w:rPr>
                <w:rFonts w:asciiTheme="minorHAnsi" w:hAnsiTheme="minorHAnsi" w:cstheme="minorHAnsi"/>
                <w:sz w:val="18"/>
                <w:szCs w:val="18"/>
              </w:rPr>
              <w:t xml:space="preserve">d within LPS 3 Heritage List as </w:t>
            </w:r>
            <w:r w:rsidRPr="000E4502">
              <w:rPr>
                <w:rFonts w:asciiTheme="minorHAnsi" w:hAnsiTheme="minorHAnsi" w:cstheme="minorHAnsi"/>
                <w:sz w:val="18"/>
                <w:szCs w:val="18"/>
              </w:rPr>
              <w:t>part of George Street Precinct.</w:t>
            </w:r>
          </w:p>
        </w:tc>
      </w:tr>
      <w:tr w:rsidR="00665A13" w:rsidRPr="00A53749" w14:paraId="7027833C" w14:textId="77777777" w:rsidTr="001C7F4A">
        <w:trPr>
          <w:trHeight w:val="462"/>
        </w:trPr>
        <w:tc>
          <w:tcPr>
            <w:tcW w:w="425" w:type="dxa"/>
          </w:tcPr>
          <w:p w14:paraId="3EE4CD76"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6AAB07D9" w14:textId="77777777" w:rsidR="00665A13" w:rsidRPr="000E4502" w:rsidRDefault="00665A13" w:rsidP="001C7F4A">
            <w:pPr>
              <w:pStyle w:val="TableParagraph"/>
              <w:spacing w:before="1"/>
              <w:ind w:left="12"/>
              <w:rPr>
                <w:rFonts w:ascii="Calibri" w:hAnsi="Calibri" w:cs="Calibri"/>
                <w:sz w:val="18"/>
                <w:szCs w:val="18"/>
              </w:rPr>
            </w:pPr>
            <w:r w:rsidRPr="000E4502">
              <w:rPr>
                <w:rFonts w:ascii="Calibri" w:hAnsi="Calibri" w:cs="Calibri"/>
                <w:sz w:val="18"/>
                <w:szCs w:val="18"/>
              </w:rPr>
              <w:t>36 Duke Street</w:t>
            </w:r>
          </w:p>
          <w:p w14:paraId="3E5903D2" w14:textId="77777777" w:rsidR="00665A13" w:rsidRPr="000E4502" w:rsidRDefault="00665A13" w:rsidP="001C7F4A">
            <w:pPr>
              <w:pStyle w:val="TableParagraph"/>
              <w:spacing w:before="1" w:line="219" w:lineRule="exact"/>
              <w:ind w:left="12"/>
              <w:rPr>
                <w:rFonts w:ascii="Calibri" w:hAnsi="Calibri" w:cs="Calibri"/>
                <w:sz w:val="18"/>
                <w:szCs w:val="18"/>
              </w:rPr>
            </w:pPr>
          </w:p>
        </w:tc>
        <w:tc>
          <w:tcPr>
            <w:tcW w:w="1130" w:type="dxa"/>
          </w:tcPr>
          <w:p w14:paraId="77F47005" w14:textId="77777777" w:rsidR="00665A13" w:rsidRPr="000E4502" w:rsidRDefault="00665A13" w:rsidP="00A9290F">
            <w:pPr>
              <w:pStyle w:val="TableParagraph"/>
              <w:spacing w:before="1"/>
              <w:ind w:left="95" w:right="86"/>
              <w:jc w:val="center"/>
              <w:rPr>
                <w:rFonts w:ascii="Calibri" w:hAnsi="Calibri" w:cs="Calibri"/>
                <w:sz w:val="18"/>
                <w:szCs w:val="18"/>
              </w:rPr>
            </w:pPr>
            <w:r w:rsidRPr="000E4502">
              <w:rPr>
                <w:rFonts w:ascii="Calibri" w:hAnsi="Calibri" w:cs="Calibri"/>
                <w:sz w:val="18"/>
                <w:szCs w:val="18"/>
              </w:rPr>
              <w:t>801 &amp; 802</w:t>
            </w:r>
          </w:p>
        </w:tc>
        <w:tc>
          <w:tcPr>
            <w:tcW w:w="1569" w:type="dxa"/>
          </w:tcPr>
          <w:p w14:paraId="777A5CC2" w14:textId="77777777" w:rsidR="00665A13" w:rsidRPr="000E4502" w:rsidRDefault="00665A13" w:rsidP="0074553C">
            <w:pPr>
              <w:pStyle w:val="TableParagraph"/>
              <w:spacing w:before="1"/>
              <w:ind w:left="0" w:right="173" w:firstLine="19"/>
              <w:rPr>
                <w:rFonts w:ascii="Calibri" w:hAnsi="Calibri" w:cs="Calibri"/>
                <w:sz w:val="18"/>
                <w:szCs w:val="18"/>
              </w:rPr>
            </w:pPr>
            <w:r w:rsidRPr="000E4502">
              <w:rPr>
                <w:rFonts w:ascii="Calibri" w:hAnsi="Calibri" w:cs="Calibri"/>
                <w:sz w:val="18"/>
                <w:szCs w:val="18"/>
              </w:rPr>
              <w:t>Federation Free Classical</w:t>
            </w:r>
          </w:p>
        </w:tc>
        <w:tc>
          <w:tcPr>
            <w:tcW w:w="1274" w:type="dxa"/>
          </w:tcPr>
          <w:p w14:paraId="2C4582E0" w14:textId="77777777" w:rsidR="00665A13" w:rsidRPr="000E4502" w:rsidRDefault="00665A13" w:rsidP="00A9290F">
            <w:pPr>
              <w:pStyle w:val="TableParagraph"/>
              <w:spacing w:before="1"/>
              <w:ind w:left="162" w:right="148"/>
              <w:jc w:val="center"/>
              <w:rPr>
                <w:rFonts w:ascii="Calibri" w:hAnsi="Calibri" w:cs="Calibri"/>
                <w:sz w:val="18"/>
                <w:szCs w:val="18"/>
              </w:rPr>
            </w:pPr>
            <w:r w:rsidRPr="000E4502">
              <w:rPr>
                <w:rFonts w:ascii="Calibri" w:hAnsi="Calibri" w:cs="Calibri"/>
                <w:sz w:val="18"/>
                <w:szCs w:val="18"/>
              </w:rPr>
              <w:t>circa 1900</w:t>
            </w:r>
          </w:p>
        </w:tc>
        <w:tc>
          <w:tcPr>
            <w:tcW w:w="3112" w:type="dxa"/>
          </w:tcPr>
          <w:p w14:paraId="01BAA3B8" w14:textId="77777777" w:rsidR="00665A13" w:rsidRPr="000E4502" w:rsidRDefault="00665A13" w:rsidP="00A9290F">
            <w:pPr>
              <w:pStyle w:val="TableParagraph"/>
              <w:spacing w:before="1"/>
              <w:ind w:left="109" w:right="409" w:hanging="1"/>
              <w:rPr>
                <w:rFonts w:ascii="Calibri" w:hAnsi="Calibri" w:cs="Calibri"/>
                <w:sz w:val="18"/>
                <w:szCs w:val="18"/>
              </w:rPr>
            </w:pPr>
            <w:r w:rsidRPr="000E4502">
              <w:rPr>
                <w:rFonts w:ascii="Calibri" w:hAnsi="Calibri" w:cs="Calibri"/>
                <w:sz w:val="18"/>
                <w:szCs w:val="18"/>
              </w:rPr>
              <w:t>Municipal Heritage Inventory Cat A LPS 3 Heritage List</w:t>
            </w:r>
          </w:p>
        </w:tc>
      </w:tr>
      <w:tr w:rsidR="00665A13" w:rsidRPr="00A53749" w14:paraId="08BC188F" w14:textId="77777777" w:rsidTr="001C7F4A">
        <w:trPr>
          <w:trHeight w:val="980"/>
        </w:trPr>
        <w:tc>
          <w:tcPr>
            <w:tcW w:w="425" w:type="dxa"/>
          </w:tcPr>
          <w:p w14:paraId="36E29A3F" w14:textId="77777777" w:rsidR="00665A13" w:rsidRPr="00A53749" w:rsidRDefault="00665A13" w:rsidP="00A9290F">
            <w:pPr>
              <w:pStyle w:val="TableParagraph"/>
              <w:ind w:left="0"/>
              <w:rPr>
                <w:rFonts w:asciiTheme="minorHAnsi" w:hAnsiTheme="minorHAnsi" w:cstheme="minorHAnsi"/>
                <w:sz w:val="18"/>
                <w:szCs w:val="18"/>
                <w:vertAlign w:val="subscript"/>
              </w:rPr>
            </w:pPr>
          </w:p>
        </w:tc>
        <w:tc>
          <w:tcPr>
            <w:tcW w:w="1843" w:type="dxa"/>
          </w:tcPr>
          <w:p w14:paraId="2E4440A0" w14:textId="77777777" w:rsidR="00665A13" w:rsidRPr="000E4502" w:rsidRDefault="00665A13" w:rsidP="001C7F4A">
            <w:pPr>
              <w:pStyle w:val="TableParagraph"/>
              <w:spacing w:line="219" w:lineRule="exact"/>
              <w:ind w:left="12"/>
              <w:rPr>
                <w:rFonts w:ascii="Calibri" w:hAnsi="Calibri" w:cs="Calibri"/>
                <w:sz w:val="18"/>
                <w:szCs w:val="18"/>
              </w:rPr>
            </w:pPr>
            <w:r w:rsidRPr="000E4502">
              <w:rPr>
                <w:rFonts w:ascii="Calibri" w:hAnsi="Calibri" w:cs="Calibri"/>
                <w:sz w:val="18"/>
                <w:szCs w:val="18"/>
              </w:rPr>
              <w:t>40 – 42 Duke Street</w:t>
            </w:r>
          </w:p>
          <w:p w14:paraId="0B6FF685" w14:textId="77777777" w:rsidR="00665A13" w:rsidRPr="000E4502" w:rsidRDefault="00665A13" w:rsidP="001C7F4A">
            <w:pPr>
              <w:pStyle w:val="TableParagraph"/>
              <w:spacing w:before="1"/>
              <w:ind w:left="12"/>
              <w:rPr>
                <w:rFonts w:ascii="Calibri" w:hAnsi="Calibri" w:cs="Calibri"/>
                <w:sz w:val="18"/>
                <w:szCs w:val="18"/>
              </w:rPr>
            </w:pPr>
          </w:p>
        </w:tc>
        <w:tc>
          <w:tcPr>
            <w:tcW w:w="1130" w:type="dxa"/>
          </w:tcPr>
          <w:p w14:paraId="61510F3A" w14:textId="77777777" w:rsidR="00665A13" w:rsidRPr="000E4502" w:rsidRDefault="00665A13" w:rsidP="00A9290F">
            <w:pPr>
              <w:pStyle w:val="TableParagraph"/>
              <w:ind w:left="167" w:right="157" w:firstLine="3"/>
              <w:jc w:val="center"/>
              <w:rPr>
                <w:rFonts w:ascii="Calibri" w:hAnsi="Calibri" w:cs="Calibri"/>
                <w:sz w:val="18"/>
                <w:szCs w:val="18"/>
              </w:rPr>
            </w:pPr>
            <w:r w:rsidRPr="000E4502">
              <w:rPr>
                <w:rFonts w:ascii="Calibri" w:hAnsi="Calibri" w:cs="Calibri"/>
                <w:sz w:val="18"/>
                <w:szCs w:val="18"/>
              </w:rPr>
              <w:t>Lot 801 Strata Plan 69657</w:t>
            </w:r>
          </w:p>
          <w:p w14:paraId="7DC205C6" w14:textId="77777777" w:rsidR="00665A13" w:rsidRPr="000E4502" w:rsidRDefault="00665A13" w:rsidP="00A9290F">
            <w:pPr>
              <w:pStyle w:val="TableParagraph"/>
              <w:ind w:left="95" w:right="84"/>
              <w:jc w:val="center"/>
              <w:rPr>
                <w:rFonts w:ascii="Calibri" w:hAnsi="Calibri" w:cs="Calibri"/>
                <w:sz w:val="18"/>
                <w:szCs w:val="18"/>
              </w:rPr>
            </w:pPr>
            <w:r w:rsidRPr="000E4502">
              <w:rPr>
                <w:rFonts w:ascii="Calibri" w:hAnsi="Calibri" w:cs="Calibri"/>
                <w:sz w:val="18"/>
                <w:szCs w:val="18"/>
              </w:rPr>
              <w:t>(Lots 1-12)</w:t>
            </w:r>
          </w:p>
        </w:tc>
        <w:tc>
          <w:tcPr>
            <w:tcW w:w="1569" w:type="dxa"/>
          </w:tcPr>
          <w:p w14:paraId="176477BD" w14:textId="77777777" w:rsidR="00665A13" w:rsidRPr="000E4502" w:rsidRDefault="00665A13" w:rsidP="00A9290F">
            <w:pPr>
              <w:pStyle w:val="TableParagraph"/>
              <w:spacing w:line="219" w:lineRule="exact"/>
              <w:ind w:left="8"/>
              <w:jc w:val="center"/>
              <w:rPr>
                <w:rFonts w:ascii="Calibri" w:hAnsi="Calibri" w:cs="Calibri"/>
                <w:sz w:val="18"/>
                <w:szCs w:val="18"/>
              </w:rPr>
            </w:pPr>
            <w:r w:rsidRPr="000E4502">
              <w:rPr>
                <w:rFonts w:ascii="Calibri" w:hAnsi="Calibri" w:cs="Calibri"/>
                <w:sz w:val="18"/>
                <w:szCs w:val="18"/>
              </w:rPr>
              <w:t>-</w:t>
            </w:r>
          </w:p>
        </w:tc>
        <w:tc>
          <w:tcPr>
            <w:tcW w:w="1274" w:type="dxa"/>
          </w:tcPr>
          <w:p w14:paraId="04525C6A" w14:textId="77777777" w:rsidR="00665A13" w:rsidRPr="000E4502" w:rsidRDefault="00665A13" w:rsidP="00A9290F">
            <w:pPr>
              <w:pStyle w:val="TableParagraph"/>
              <w:spacing w:line="219" w:lineRule="exact"/>
              <w:ind w:left="11"/>
              <w:jc w:val="center"/>
              <w:rPr>
                <w:rFonts w:ascii="Calibri" w:hAnsi="Calibri" w:cs="Calibri"/>
                <w:sz w:val="18"/>
                <w:szCs w:val="18"/>
              </w:rPr>
            </w:pPr>
            <w:r w:rsidRPr="000E4502">
              <w:rPr>
                <w:rFonts w:ascii="Calibri" w:hAnsi="Calibri" w:cs="Calibri"/>
                <w:sz w:val="18"/>
                <w:szCs w:val="18"/>
              </w:rPr>
              <w:t>-</w:t>
            </w:r>
          </w:p>
        </w:tc>
        <w:tc>
          <w:tcPr>
            <w:tcW w:w="3112" w:type="dxa"/>
          </w:tcPr>
          <w:p w14:paraId="66AFFE4F" w14:textId="77777777" w:rsidR="00665A13" w:rsidRPr="000E4502" w:rsidRDefault="00665A13" w:rsidP="00A9290F">
            <w:pPr>
              <w:pStyle w:val="TableParagraph"/>
              <w:ind w:left="109" w:right="100"/>
              <w:rPr>
                <w:rFonts w:ascii="Calibri" w:hAnsi="Calibri" w:cs="Calibri"/>
                <w:sz w:val="18"/>
                <w:szCs w:val="18"/>
              </w:rPr>
            </w:pPr>
            <w:r w:rsidRPr="000E4502">
              <w:rPr>
                <w:rFonts w:ascii="Calibri" w:hAnsi="Calibri" w:cs="Calibri"/>
                <w:sz w:val="18"/>
                <w:szCs w:val="18"/>
              </w:rPr>
              <w:t>Previously Municipal Heritage Inventory Cat A. (individual) listing - part of Brush Factory site (36 – 42</w:t>
            </w:r>
            <w:r w:rsidRPr="000E4502">
              <w:rPr>
                <w:rFonts w:ascii="Calibri" w:hAnsi="Calibri" w:cs="Calibri"/>
                <w:spacing w:val="-14"/>
                <w:sz w:val="18"/>
                <w:szCs w:val="18"/>
              </w:rPr>
              <w:t xml:space="preserve"> </w:t>
            </w:r>
            <w:r w:rsidRPr="000E4502">
              <w:rPr>
                <w:rFonts w:ascii="Calibri" w:hAnsi="Calibri" w:cs="Calibri"/>
                <w:sz w:val="18"/>
                <w:szCs w:val="18"/>
              </w:rPr>
              <w:t>Duke Street)</w:t>
            </w:r>
          </w:p>
        </w:tc>
      </w:tr>
    </w:tbl>
    <w:p w14:paraId="3306E318" w14:textId="77777777" w:rsidR="00665A13" w:rsidRDefault="00665A13" w:rsidP="00665A13">
      <w:pPr>
        <w:rPr>
          <w:sz w:val="18"/>
        </w:rPr>
        <w:sectPr w:rsidR="00665A13">
          <w:pgSz w:w="11910" w:h="16840"/>
          <w:pgMar w:top="1420" w:right="980" w:bottom="1120" w:left="1320" w:header="0" w:footer="922" w:gutter="0"/>
          <w:cols w:space="720"/>
        </w:sectPr>
      </w:pPr>
    </w:p>
    <w:p w14:paraId="2A42CB97" w14:textId="77777777" w:rsidR="001414BA" w:rsidRDefault="00665A13" w:rsidP="001414BA">
      <w:pPr>
        <w:spacing w:after="0"/>
        <w:ind w:right="538"/>
        <w:jc w:val="right"/>
        <w:rPr>
          <w:b/>
        </w:rPr>
      </w:pPr>
      <w:r w:rsidRPr="00AB60B0">
        <w:rPr>
          <w:b/>
        </w:rPr>
        <w:lastRenderedPageBreak/>
        <w:t>APPENDIX 2: LINE OF SIGHT DIAGRAMS</w:t>
      </w:r>
    </w:p>
    <w:p w14:paraId="5F89185A" w14:textId="77777777" w:rsidR="00665A13" w:rsidRPr="00AB60B0" w:rsidRDefault="00665A13" w:rsidP="001414BA">
      <w:pPr>
        <w:ind w:right="538"/>
        <w:jc w:val="right"/>
        <w:rPr>
          <w:b/>
        </w:rPr>
      </w:pPr>
      <w:r w:rsidRPr="00AB60B0">
        <w:rPr>
          <w:b/>
        </w:rPr>
        <w:t>(ADDITIONS AND ALTERATIONS TO CONTRIBUTORY</w:t>
      </w:r>
      <w:r w:rsidRPr="00AB60B0">
        <w:rPr>
          <w:b/>
          <w:spacing w:val="-21"/>
        </w:rPr>
        <w:t xml:space="preserve"> </w:t>
      </w:r>
      <w:r w:rsidRPr="00AB60B0">
        <w:rPr>
          <w:b/>
        </w:rPr>
        <w:t>BUILDINGS)</w:t>
      </w:r>
    </w:p>
    <w:p w14:paraId="29780CE3" w14:textId="77777777" w:rsidR="00665A13" w:rsidRDefault="00665A13" w:rsidP="00665A13">
      <w:pPr>
        <w:pStyle w:val="BodyText"/>
        <w:rPr>
          <w:b/>
          <w:sz w:val="20"/>
        </w:rPr>
      </w:pPr>
    </w:p>
    <w:p w14:paraId="7D933248" w14:textId="77777777" w:rsidR="00665A13" w:rsidRDefault="00665A13" w:rsidP="00665A13">
      <w:pPr>
        <w:pStyle w:val="BodyText"/>
        <w:rPr>
          <w:b/>
          <w:sz w:val="20"/>
        </w:rPr>
      </w:pPr>
    </w:p>
    <w:p w14:paraId="12FD01D9" w14:textId="77777777" w:rsidR="00665A13" w:rsidRDefault="00665A13" w:rsidP="00665A13">
      <w:pPr>
        <w:pStyle w:val="BodyText"/>
        <w:spacing w:before="11"/>
        <w:rPr>
          <w:b/>
          <w:sz w:val="25"/>
        </w:rPr>
      </w:pPr>
      <w:r>
        <w:rPr>
          <w:noProof/>
          <w:lang w:val="en-AU" w:eastAsia="en-AU"/>
        </w:rPr>
        <mc:AlternateContent>
          <mc:Choice Requires="wpg">
            <w:drawing>
              <wp:anchor distT="0" distB="0" distL="0" distR="0" simplePos="0" relativeHeight="251619328" behindDoc="1" locked="0" layoutInCell="1" allowOverlap="1" wp14:anchorId="109DF81B" wp14:editId="1743E5FA">
                <wp:simplePos x="0" y="0"/>
                <wp:positionH relativeFrom="page">
                  <wp:posOffset>1153795</wp:posOffset>
                </wp:positionH>
                <wp:positionV relativeFrom="paragraph">
                  <wp:posOffset>225425</wp:posOffset>
                </wp:positionV>
                <wp:extent cx="5488305" cy="4622800"/>
                <wp:effectExtent l="0" t="0" r="0" b="0"/>
                <wp:wrapTopAndBottom/>
                <wp:docPr id="23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8305" cy="4622800"/>
                          <a:chOff x="1817" y="355"/>
                          <a:chExt cx="8643" cy="7280"/>
                        </a:xfrm>
                      </wpg:grpSpPr>
                      <pic:pic xmlns:pic="http://schemas.openxmlformats.org/drawingml/2006/picture">
                        <pic:nvPicPr>
                          <pic:cNvPr id="235" name="Picture 2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1824" y="362"/>
                            <a:ext cx="8626" cy="7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AutoShape 27"/>
                        <wps:cNvSpPr>
                          <a:spLocks/>
                        </wps:cNvSpPr>
                        <wps:spPr bwMode="auto">
                          <a:xfrm>
                            <a:off x="1816" y="355"/>
                            <a:ext cx="8643" cy="7280"/>
                          </a:xfrm>
                          <a:custGeom>
                            <a:avLst/>
                            <a:gdLst>
                              <a:gd name="T0" fmla="+- 0 10457 1817"/>
                              <a:gd name="T1" fmla="*/ T0 w 8643"/>
                              <a:gd name="T2" fmla="+- 0 7634 355"/>
                              <a:gd name="T3" fmla="*/ 7634 h 7280"/>
                              <a:gd name="T4" fmla="+- 0 1819 1817"/>
                              <a:gd name="T5" fmla="*/ T4 w 8643"/>
                              <a:gd name="T6" fmla="+- 0 7634 355"/>
                              <a:gd name="T7" fmla="*/ 7634 h 7280"/>
                              <a:gd name="T8" fmla="+- 0 1817 1817"/>
                              <a:gd name="T9" fmla="*/ T8 w 8643"/>
                              <a:gd name="T10" fmla="+- 0 7630 355"/>
                              <a:gd name="T11" fmla="*/ 7630 h 7280"/>
                              <a:gd name="T12" fmla="+- 0 1817 1817"/>
                              <a:gd name="T13" fmla="*/ T12 w 8643"/>
                              <a:gd name="T14" fmla="+- 0 358 355"/>
                              <a:gd name="T15" fmla="*/ 358 h 7280"/>
                              <a:gd name="T16" fmla="+- 0 1819 1817"/>
                              <a:gd name="T17" fmla="*/ T16 w 8643"/>
                              <a:gd name="T18" fmla="+- 0 355 355"/>
                              <a:gd name="T19" fmla="*/ 355 h 7280"/>
                              <a:gd name="T20" fmla="+- 0 10457 1817"/>
                              <a:gd name="T21" fmla="*/ T20 w 8643"/>
                              <a:gd name="T22" fmla="+- 0 355 355"/>
                              <a:gd name="T23" fmla="*/ 355 h 7280"/>
                              <a:gd name="T24" fmla="+- 0 10459 1817"/>
                              <a:gd name="T25" fmla="*/ T24 w 8643"/>
                              <a:gd name="T26" fmla="+- 0 358 355"/>
                              <a:gd name="T27" fmla="*/ 358 h 7280"/>
                              <a:gd name="T28" fmla="+- 0 10459 1817"/>
                              <a:gd name="T29" fmla="*/ T28 w 8643"/>
                              <a:gd name="T30" fmla="+- 0 362 355"/>
                              <a:gd name="T31" fmla="*/ 362 h 7280"/>
                              <a:gd name="T32" fmla="+- 0 1831 1817"/>
                              <a:gd name="T33" fmla="*/ T32 w 8643"/>
                              <a:gd name="T34" fmla="+- 0 362 355"/>
                              <a:gd name="T35" fmla="*/ 362 h 7280"/>
                              <a:gd name="T36" fmla="+- 0 1824 1817"/>
                              <a:gd name="T37" fmla="*/ T36 w 8643"/>
                              <a:gd name="T38" fmla="+- 0 370 355"/>
                              <a:gd name="T39" fmla="*/ 370 h 7280"/>
                              <a:gd name="T40" fmla="+- 0 1831 1817"/>
                              <a:gd name="T41" fmla="*/ T40 w 8643"/>
                              <a:gd name="T42" fmla="+- 0 370 355"/>
                              <a:gd name="T43" fmla="*/ 370 h 7280"/>
                              <a:gd name="T44" fmla="+- 0 1831 1817"/>
                              <a:gd name="T45" fmla="*/ T44 w 8643"/>
                              <a:gd name="T46" fmla="+- 0 7620 355"/>
                              <a:gd name="T47" fmla="*/ 7620 h 7280"/>
                              <a:gd name="T48" fmla="+- 0 1824 1817"/>
                              <a:gd name="T49" fmla="*/ T48 w 8643"/>
                              <a:gd name="T50" fmla="+- 0 7620 355"/>
                              <a:gd name="T51" fmla="*/ 7620 h 7280"/>
                              <a:gd name="T52" fmla="+- 0 1831 1817"/>
                              <a:gd name="T53" fmla="*/ T52 w 8643"/>
                              <a:gd name="T54" fmla="+- 0 7627 355"/>
                              <a:gd name="T55" fmla="*/ 7627 h 7280"/>
                              <a:gd name="T56" fmla="+- 0 10459 1817"/>
                              <a:gd name="T57" fmla="*/ T56 w 8643"/>
                              <a:gd name="T58" fmla="+- 0 7627 355"/>
                              <a:gd name="T59" fmla="*/ 7627 h 7280"/>
                              <a:gd name="T60" fmla="+- 0 10459 1817"/>
                              <a:gd name="T61" fmla="*/ T60 w 8643"/>
                              <a:gd name="T62" fmla="+- 0 7630 355"/>
                              <a:gd name="T63" fmla="*/ 7630 h 7280"/>
                              <a:gd name="T64" fmla="+- 0 10457 1817"/>
                              <a:gd name="T65" fmla="*/ T64 w 8643"/>
                              <a:gd name="T66" fmla="+- 0 7634 355"/>
                              <a:gd name="T67" fmla="*/ 7634 h 7280"/>
                              <a:gd name="T68" fmla="+- 0 1831 1817"/>
                              <a:gd name="T69" fmla="*/ T68 w 8643"/>
                              <a:gd name="T70" fmla="+- 0 370 355"/>
                              <a:gd name="T71" fmla="*/ 370 h 7280"/>
                              <a:gd name="T72" fmla="+- 0 1824 1817"/>
                              <a:gd name="T73" fmla="*/ T72 w 8643"/>
                              <a:gd name="T74" fmla="+- 0 370 355"/>
                              <a:gd name="T75" fmla="*/ 370 h 7280"/>
                              <a:gd name="T76" fmla="+- 0 1831 1817"/>
                              <a:gd name="T77" fmla="*/ T76 w 8643"/>
                              <a:gd name="T78" fmla="+- 0 362 355"/>
                              <a:gd name="T79" fmla="*/ 362 h 7280"/>
                              <a:gd name="T80" fmla="+- 0 1831 1817"/>
                              <a:gd name="T81" fmla="*/ T80 w 8643"/>
                              <a:gd name="T82" fmla="+- 0 370 355"/>
                              <a:gd name="T83" fmla="*/ 370 h 7280"/>
                              <a:gd name="T84" fmla="+- 0 10445 1817"/>
                              <a:gd name="T85" fmla="*/ T84 w 8643"/>
                              <a:gd name="T86" fmla="+- 0 370 355"/>
                              <a:gd name="T87" fmla="*/ 370 h 7280"/>
                              <a:gd name="T88" fmla="+- 0 1831 1817"/>
                              <a:gd name="T89" fmla="*/ T88 w 8643"/>
                              <a:gd name="T90" fmla="+- 0 370 355"/>
                              <a:gd name="T91" fmla="*/ 370 h 7280"/>
                              <a:gd name="T92" fmla="+- 0 1831 1817"/>
                              <a:gd name="T93" fmla="*/ T92 w 8643"/>
                              <a:gd name="T94" fmla="+- 0 362 355"/>
                              <a:gd name="T95" fmla="*/ 362 h 7280"/>
                              <a:gd name="T96" fmla="+- 0 10445 1817"/>
                              <a:gd name="T97" fmla="*/ T96 w 8643"/>
                              <a:gd name="T98" fmla="+- 0 362 355"/>
                              <a:gd name="T99" fmla="*/ 362 h 7280"/>
                              <a:gd name="T100" fmla="+- 0 10445 1817"/>
                              <a:gd name="T101" fmla="*/ T100 w 8643"/>
                              <a:gd name="T102" fmla="+- 0 370 355"/>
                              <a:gd name="T103" fmla="*/ 370 h 7280"/>
                              <a:gd name="T104" fmla="+- 0 10445 1817"/>
                              <a:gd name="T105" fmla="*/ T104 w 8643"/>
                              <a:gd name="T106" fmla="+- 0 7627 355"/>
                              <a:gd name="T107" fmla="*/ 7627 h 7280"/>
                              <a:gd name="T108" fmla="+- 0 10445 1817"/>
                              <a:gd name="T109" fmla="*/ T108 w 8643"/>
                              <a:gd name="T110" fmla="+- 0 362 355"/>
                              <a:gd name="T111" fmla="*/ 362 h 7280"/>
                              <a:gd name="T112" fmla="+- 0 10452 1817"/>
                              <a:gd name="T113" fmla="*/ T112 w 8643"/>
                              <a:gd name="T114" fmla="+- 0 370 355"/>
                              <a:gd name="T115" fmla="*/ 370 h 7280"/>
                              <a:gd name="T116" fmla="+- 0 10459 1817"/>
                              <a:gd name="T117" fmla="*/ T116 w 8643"/>
                              <a:gd name="T118" fmla="+- 0 370 355"/>
                              <a:gd name="T119" fmla="*/ 370 h 7280"/>
                              <a:gd name="T120" fmla="+- 0 10459 1817"/>
                              <a:gd name="T121" fmla="*/ T120 w 8643"/>
                              <a:gd name="T122" fmla="+- 0 7620 355"/>
                              <a:gd name="T123" fmla="*/ 7620 h 7280"/>
                              <a:gd name="T124" fmla="+- 0 10452 1817"/>
                              <a:gd name="T125" fmla="*/ T124 w 8643"/>
                              <a:gd name="T126" fmla="+- 0 7620 355"/>
                              <a:gd name="T127" fmla="*/ 7620 h 7280"/>
                              <a:gd name="T128" fmla="+- 0 10445 1817"/>
                              <a:gd name="T129" fmla="*/ T128 w 8643"/>
                              <a:gd name="T130" fmla="+- 0 7627 355"/>
                              <a:gd name="T131" fmla="*/ 7627 h 7280"/>
                              <a:gd name="T132" fmla="+- 0 10459 1817"/>
                              <a:gd name="T133" fmla="*/ T132 w 8643"/>
                              <a:gd name="T134" fmla="+- 0 370 355"/>
                              <a:gd name="T135" fmla="*/ 370 h 7280"/>
                              <a:gd name="T136" fmla="+- 0 10452 1817"/>
                              <a:gd name="T137" fmla="*/ T136 w 8643"/>
                              <a:gd name="T138" fmla="+- 0 370 355"/>
                              <a:gd name="T139" fmla="*/ 370 h 7280"/>
                              <a:gd name="T140" fmla="+- 0 10445 1817"/>
                              <a:gd name="T141" fmla="*/ T140 w 8643"/>
                              <a:gd name="T142" fmla="+- 0 362 355"/>
                              <a:gd name="T143" fmla="*/ 362 h 7280"/>
                              <a:gd name="T144" fmla="+- 0 10459 1817"/>
                              <a:gd name="T145" fmla="*/ T144 w 8643"/>
                              <a:gd name="T146" fmla="+- 0 362 355"/>
                              <a:gd name="T147" fmla="*/ 362 h 7280"/>
                              <a:gd name="T148" fmla="+- 0 10459 1817"/>
                              <a:gd name="T149" fmla="*/ T148 w 8643"/>
                              <a:gd name="T150" fmla="+- 0 370 355"/>
                              <a:gd name="T151" fmla="*/ 370 h 7280"/>
                              <a:gd name="T152" fmla="+- 0 1831 1817"/>
                              <a:gd name="T153" fmla="*/ T152 w 8643"/>
                              <a:gd name="T154" fmla="+- 0 7627 355"/>
                              <a:gd name="T155" fmla="*/ 7627 h 7280"/>
                              <a:gd name="T156" fmla="+- 0 1824 1817"/>
                              <a:gd name="T157" fmla="*/ T156 w 8643"/>
                              <a:gd name="T158" fmla="+- 0 7620 355"/>
                              <a:gd name="T159" fmla="*/ 7620 h 7280"/>
                              <a:gd name="T160" fmla="+- 0 1831 1817"/>
                              <a:gd name="T161" fmla="*/ T160 w 8643"/>
                              <a:gd name="T162" fmla="+- 0 7620 355"/>
                              <a:gd name="T163" fmla="*/ 7620 h 7280"/>
                              <a:gd name="T164" fmla="+- 0 1831 1817"/>
                              <a:gd name="T165" fmla="*/ T164 w 8643"/>
                              <a:gd name="T166" fmla="+- 0 7627 355"/>
                              <a:gd name="T167" fmla="*/ 7627 h 7280"/>
                              <a:gd name="T168" fmla="+- 0 10445 1817"/>
                              <a:gd name="T169" fmla="*/ T168 w 8643"/>
                              <a:gd name="T170" fmla="+- 0 7627 355"/>
                              <a:gd name="T171" fmla="*/ 7627 h 7280"/>
                              <a:gd name="T172" fmla="+- 0 1831 1817"/>
                              <a:gd name="T173" fmla="*/ T172 w 8643"/>
                              <a:gd name="T174" fmla="+- 0 7627 355"/>
                              <a:gd name="T175" fmla="*/ 7627 h 7280"/>
                              <a:gd name="T176" fmla="+- 0 1831 1817"/>
                              <a:gd name="T177" fmla="*/ T176 w 8643"/>
                              <a:gd name="T178" fmla="+- 0 7620 355"/>
                              <a:gd name="T179" fmla="*/ 7620 h 7280"/>
                              <a:gd name="T180" fmla="+- 0 10445 1817"/>
                              <a:gd name="T181" fmla="*/ T180 w 8643"/>
                              <a:gd name="T182" fmla="+- 0 7620 355"/>
                              <a:gd name="T183" fmla="*/ 7620 h 7280"/>
                              <a:gd name="T184" fmla="+- 0 10445 1817"/>
                              <a:gd name="T185" fmla="*/ T184 w 8643"/>
                              <a:gd name="T186" fmla="+- 0 7627 355"/>
                              <a:gd name="T187" fmla="*/ 7627 h 7280"/>
                              <a:gd name="T188" fmla="+- 0 10459 1817"/>
                              <a:gd name="T189" fmla="*/ T188 w 8643"/>
                              <a:gd name="T190" fmla="+- 0 7627 355"/>
                              <a:gd name="T191" fmla="*/ 7627 h 7280"/>
                              <a:gd name="T192" fmla="+- 0 10445 1817"/>
                              <a:gd name="T193" fmla="*/ T192 w 8643"/>
                              <a:gd name="T194" fmla="+- 0 7627 355"/>
                              <a:gd name="T195" fmla="*/ 7627 h 7280"/>
                              <a:gd name="T196" fmla="+- 0 10452 1817"/>
                              <a:gd name="T197" fmla="*/ T196 w 8643"/>
                              <a:gd name="T198" fmla="+- 0 7620 355"/>
                              <a:gd name="T199" fmla="*/ 7620 h 7280"/>
                              <a:gd name="T200" fmla="+- 0 10459 1817"/>
                              <a:gd name="T201" fmla="*/ T200 w 8643"/>
                              <a:gd name="T202" fmla="+- 0 7620 355"/>
                              <a:gd name="T203" fmla="*/ 7620 h 7280"/>
                              <a:gd name="T204" fmla="+- 0 10459 1817"/>
                              <a:gd name="T205" fmla="*/ T204 w 8643"/>
                              <a:gd name="T206" fmla="+- 0 7627 355"/>
                              <a:gd name="T207" fmla="*/ 7627 h 7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643" h="7280">
                                <a:moveTo>
                                  <a:pt x="8640" y="7279"/>
                                </a:moveTo>
                                <a:lnTo>
                                  <a:pt x="2" y="7279"/>
                                </a:lnTo>
                                <a:lnTo>
                                  <a:pt x="0" y="7275"/>
                                </a:lnTo>
                                <a:lnTo>
                                  <a:pt x="0" y="3"/>
                                </a:lnTo>
                                <a:lnTo>
                                  <a:pt x="2" y="0"/>
                                </a:lnTo>
                                <a:lnTo>
                                  <a:pt x="8640" y="0"/>
                                </a:lnTo>
                                <a:lnTo>
                                  <a:pt x="8642" y="3"/>
                                </a:lnTo>
                                <a:lnTo>
                                  <a:pt x="8642" y="7"/>
                                </a:lnTo>
                                <a:lnTo>
                                  <a:pt x="14" y="7"/>
                                </a:lnTo>
                                <a:lnTo>
                                  <a:pt x="7" y="15"/>
                                </a:lnTo>
                                <a:lnTo>
                                  <a:pt x="14" y="15"/>
                                </a:lnTo>
                                <a:lnTo>
                                  <a:pt x="14" y="7265"/>
                                </a:lnTo>
                                <a:lnTo>
                                  <a:pt x="7" y="7265"/>
                                </a:lnTo>
                                <a:lnTo>
                                  <a:pt x="14" y="7272"/>
                                </a:lnTo>
                                <a:lnTo>
                                  <a:pt x="8642" y="7272"/>
                                </a:lnTo>
                                <a:lnTo>
                                  <a:pt x="8642" y="7275"/>
                                </a:lnTo>
                                <a:lnTo>
                                  <a:pt x="8640" y="7279"/>
                                </a:lnTo>
                                <a:close/>
                                <a:moveTo>
                                  <a:pt x="14" y="15"/>
                                </a:moveTo>
                                <a:lnTo>
                                  <a:pt x="7" y="15"/>
                                </a:lnTo>
                                <a:lnTo>
                                  <a:pt x="14" y="7"/>
                                </a:lnTo>
                                <a:lnTo>
                                  <a:pt x="14" y="15"/>
                                </a:lnTo>
                                <a:close/>
                                <a:moveTo>
                                  <a:pt x="8628" y="15"/>
                                </a:moveTo>
                                <a:lnTo>
                                  <a:pt x="14" y="15"/>
                                </a:lnTo>
                                <a:lnTo>
                                  <a:pt x="14" y="7"/>
                                </a:lnTo>
                                <a:lnTo>
                                  <a:pt x="8628" y="7"/>
                                </a:lnTo>
                                <a:lnTo>
                                  <a:pt x="8628" y="15"/>
                                </a:lnTo>
                                <a:close/>
                                <a:moveTo>
                                  <a:pt x="8628" y="7272"/>
                                </a:moveTo>
                                <a:lnTo>
                                  <a:pt x="8628" y="7"/>
                                </a:lnTo>
                                <a:lnTo>
                                  <a:pt x="8635" y="15"/>
                                </a:lnTo>
                                <a:lnTo>
                                  <a:pt x="8642" y="15"/>
                                </a:lnTo>
                                <a:lnTo>
                                  <a:pt x="8642" y="7265"/>
                                </a:lnTo>
                                <a:lnTo>
                                  <a:pt x="8635" y="7265"/>
                                </a:lnTo>
                                <a:lnTo>
                                  <a:pt x="8628" y="7272"/>
                                </a:lnTo>
                                <a:close/>
                                <a:moveTo>
                                  <a:pt x="8642" y="15"/>
                                </a:moveTo>
                                <a:lnTo>
                                  <a:pt x="8635" y="15"/>
                                </a:lnTo>
                                <a:lnTo>
                                  <a:pt x="8628" y="7"/>
                                </a:lnTo>
                                <a:lnTo>
                                  <a:pt x="8642" y="7"/>
                                </a:lnTo>
                                <a:lnTo>
                                  <a:pt x="8642" y="15"/>
                                </a:lnTo>
                                <a:close/>
                                <a:moveTo>
                                  <a:pt x="14" y="7272"/>
                                </a:moveTo>
                                <a:lnTo>
                                  <a:pt x="7" y="7265"/>
                                </a:lnTo>
                                <a:lnTo>
                                  <a:pt x="14" y="7265"/>
                                </a:lnTo>
                                <a:lnTo>
                                  <a:pt x="14" y="7272"/>
                                </a:lnTo>
                                <a:close/>
                                <a:moveTo>
                                  <a:pt x="8628" y="7272"/>
                                </a:moveTo>
                                <a:lnTo>
                                  <a:pt x="14" y="7272"/>
                                </a:lnTo>
                                <a:lnTo>
                                  <a:pt x="14" y="7265"/>
                                </a:lnTo>
                                <a:lnTo>
                                  <a:pt x="8628" y="7265"/>
                                </a:lnTo>
                                <a:lnTo>
                                  <a:pt x="8628" y="7272"/>
                                </a:lnTo>
                                <a:close/>
                                <a:moveTo>
                                  <a:pt x="8642" y="7272"/>
                                </a:moveTo>
                                <a:lnTo>
                                  <a:pt x="8628" y="7272"/>
                                </a:lnTo>
                                <a:lnTo>
                                  <a:pt x="8635" y="7265"/>
                                </a:lnTo>
                                <a:lnTo>
                                  <a:pt x="8642" y="7265"/>
                                </a:lnTo>
                                <a:lnTo>
                                  <a:pt x="8642" y="7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ABE484" id="Group 26" o:spid="_x0000_s1026" style="position:absolute;margin-left:90.85pt;margin-top:17.75pt;width:432.15pt;height:364pt;z-index:-251697152;mso-wrap-distance-left:0;mso-wrap-distance-right:0;mso-position-horizontal-relative:page" coordorigin="1817,355" coordsize="8643,7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">
                <v:shape id="Picture 28" o:spid="_x0000_s1027" type="#_x0000_t75" style="position:absolute;left:1824;top:362;width:8626;height:7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">
                  <v:imagedata r:id="rId314" o:title=""/>
                </v:shape>
                <v:shape id="AutoShape 27" o:spid="_x0000_s1028" style="position:absolute;left:1816;top:355;width:8643;height:7280;visibility:visible;mso-wrap-style:square;v-text-anchor:top" coordsize="8643,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" path="m8640,7279l2,7279,,7275,,3,2,,8640,r2,3l8642,7,14,7,7,15r7,l14,7265r-7,l14,7272r8628,l8642,7275r-2,4xm14,15r-7,l14,7r,8xm8628,15l14,15r,-8l8628,7r,8xm8628,7272l8628,7r7,8l8642,15r,7250l8635,7265r-7,7xm8642,15r-7,l8628,7r14,l8642,15xm14,7272r-7,-7l14,7265r,7xm8628,7272r-8614,l14,7265r8614,l8628,7272xm8642,7272r-14,l8635,7265r7,l8642,7272xe" fillcolor="black" stroked="f">
                  <v:path arrowok="t" o:connecttype="custom" o:connectlocs="8640,7634;2,7634;0,7630;0,358;2,355;8640,355;8642,358;8642,362;14,362;7,370;14,370;14,7620;7,7620;14,7627;8642,7627;8642,7630;8640,7634;14,370;7,370;14,362;14,370;8628,370;14,370;14,362;8628,362;8628,370;8628,7627;8628,362;8635,370;8642,370;8642,7620;8635,7620;8628,7627;8642,370;8635,370;8628,362;8642,362;8642,370;14,7627;7,7620;14,7620;14,7627;8628,7627;14,7627;14,7620;8628,7620;8628,7627;8642,7627;8628,7627;8635,7620;8642,7620;8642,7627" o:connectangles="0,0,0,0,0,0,0,0,0,0,0,0,0,0,0,0,0,0,0,0,0,0,0,0,0,0,0,0,0,0,0,0,0,0,0,0,0,0,0,0,0,0,0,0,0,0,0,0,0,0,0,0"/>
                </v:shape>
                <w10:wrap type="topAndBottom" anchorx="page"/>
              </v:group>
            </w:pict>
          </mc:Fallback>
        </mc:AlternateContent>
      </w:r>
    </w:p>
    <w:p w14:paraId="0F3CA7E5" w14:textId="77777777" w:rsidR="00665A13" w:rsidRDefault="00665A13" w:rsidP="00665A13">
      <w:pPr>
        <w:pStyle w:val="BodyText"/>
        <w:spacing w:before="4"/>
        <w:rPr>
          <w:b/>
        </w:rPr>
      </w:pPr>
    </w:p>
    <w:p w14:paraId="2501A94D" w14:textId="77777777" w:rsidR="00665A13" w:rsidRDefault="00665A13" w:rsidP="00665A13">
      <w:pPr>
        <w:ind w:left="494"/>
        <w:rPr>
          <w:i/>
        </w:rPr>
      </w:pPr>
      <w:r>
        <w:rPr>
          <w:b/>
        </w:rPr>
        <w:t xml:space="preserve">Figure 2 – Elevations illustrating compatible alterations and additions.  </w:t>
      </w:r>
      <w:r>
        <w:rPr>
          <w:i/>
        </w:rPr>
        <w:t>Griffiths Architects</w:t>
      </w:r>
      <w:r>
        <w:rPr>
          <w:i/>
          <w:spacing w:val="-27"/>
        </w:rPr>
        <w:t xml:space="preserve"> </w:t>
      </w:r>
      <w:r>
        <w:rPr>
          <w:i/>
        </w:rPr>
        <w:t>2015</w:t>
      </w:r>
    </w:p>
    <w:p w14:paraId="4BC8AFC9" w14:textId="77777777" w:rsidR="00665A13" w:rsidRDefault="00665A13" w:rsidP="00665A13">
      <w:pPr>
        <w:sectPr w:rsidR="00665A13">
          <w:footerReference w:type="default" r:id="rId315"/>
          <w:pgSz w:w="11910" w:h="16840"/>
          <w:pgMar w:top="1380" w:right="980" w:bottom="1120" w:left="1320" w:header="0" w:footer="922" w:gutter="0"/>
          <w:cols w:space="720"/>
        </w:sectPr>
      </w:pPr>
    </w:p>
    <w:p w14:paraId="6D0C906D" w14:textId="77777777" w:rsidR="00665A13" w:rsidRDefault="00665A13" w:rsidP="00665A13">
      <w:pPr>
        <w:pStyle w:val="BodyText"/>
        <w:ind w:left="295"/>
        <w:rPr>
          <w:sz w:val="20"/>
        </w:rPr>
      </w:pPr>
      <w:r>
        <w:rPr>
          <w:noProof/>
          <w:sz w:val="20"/>
          <w:lang w:val="en-AU" w:eastAsia="en-AU"/>
        </w:rPr>
        <w:lastRenderedPageBreak/>
        <mc:AlternateContent>
          <mc:Choice Requires="wpg">
            <w:drawing>
              <wp:inline distT="0" distB="0" distL="0" distR="0" wp14:anchorId="22DA5AD9" wp14:editId="2DDC050F">
                <wp:extent cx="5614670" cy="4791710"/>
                <wp:effectExtent l="0" t="0" r="5080" b="8890"/>
                <wp:docPr id="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4791710"/>
                          <a:chOff x="0" y="0"/>
                          <a:chExt cx="8842" cy="7546"/>
                        </a:xfrm>
                      </wpg:grpSpPr>
                      <pic:pic xmlns:pic="http://schemas.openxmlformats.org/drawingml/2006/picture">
                        <pic:nvPicPr>
                          <pic:cNvPr id="238" name="Picture 25"/>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12" y="7"/>
                            <a:ext cx="8818" cy="7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9" name="AutoShape 24"/>
                        <wps:cNvSpPr>
                          <a:spLocks/>
                        </wps:cNvSpPr>
                        <wps:spPr bwMode="auto">
                          <a:xfrm>
                            <a:off x="0" y="0"/>
                            <a:ext cx="8842" cy="7546"/>
                          </a:xfrm>
                          <a:custGeom>
                            <a:avLst/>
                            <a:gdLst>
                              <a:gd name="T0" fmla="*/ 8837 w 8842"/>
                              <a:gd name="T1" fmla="*/ 7546 h 7546"/>
                              <a:gd name="T2" fmla="*/ 5 w 8842"/>
                              <a:gd name="T3" fmla="*/ 7546 h 7546"/>
                              <a:gd name="T4" fmla="*/ 0 w 8842"/>
                              <a:gd name="T5" fmla="*/ 7541 h 7546"/>
                              <a:gd name="T6" fmla="*/ 0 w 8842"/>
                              <a:gd name="T7" fmla="*/ 2 h 7546"/>
                              <a:gd name="T8" fmla="*/ 5 w 8842"/>
                              <a:gd name="T9" fmla="*/ 0 h 7546"/>
                              <a:gd name="T10" fmla="*/ 8837 w 8842"/>
                              <a:gd name="T11" fmla="*/ 0 h 7546"/>
                              <a:gd name="T12" fmla="*/ 8842 w 8842"/>
                              <a:gd name="T13" fmla="*/ 2 h 7546"/>
                              <a:gd name="T14" fmla="*/ 8842 w 8842"/>
                              <a:gd name="T15" fmla="*/ 7 h 7546"/>
                              <a:gd name="T16" fmla="*/ 17 w 8842"/>
                              <a:gd name="T17" fmla="*/ 7 h 7546"/>
                              <a:gd name="T18" fmla="*/ 10 w 8842"/>
                              <a:gd name="T19" fmla="*/ 14 h 7546"/>
                              <a:gd name="T20" fmla="*/ 17 w 8842"/>
                              <a:gd name="T21" fmla="*/ 14 h 7546"/>
                              <a:gd name="T22" fmla="*/ 17 w 8842"/>
                              <a:gd name="T23" fmla="*/ 7531 h 7546"/>
                              <a:gd name="T24" fmla="*/ 10 w 8842"/>
                              <a:gd name="T25" fmla="*/ 7531 h 7546"/>
                              <a:gd name="T26" fmla="*/ 17 w 8842"/>
                              <a:gd name="T27" fmla="*/ 7538 h 7546"/>
                              <a:gd name="T28" fmla="*/ 8842 w 8842"/>
                              <a:gd name="T29" fmla="*/ 7538 h 7546"/>
                              <a:gd name="T30" fmla="*/ 8842 w 8842"/>
                              <a:gd name="T31" fmla="*/ 7541 h 7546"/>
                              <a:gd name="T32" fmla="*/ 8837 w 8842"/>
                              <a:gd name="T33" fmla="*/ 7546 h 7546"/>
                              <a:gd name="T34" fmla="*/ 17 w 8842"/>
                              <a:gd name="T35" fmla="*/ 14 h 7546"/>
                              <a:gd name="T36" fmla="*/ 10 w 8842"/>
                              <a:gd name="T37" fmla="*/ 14 h 7546"/>
                              <a:gd name="T38" fmla="*/ 17 w 8842"/>
                              <a:gd name="T39" fmla="*/ 7 h 7546"/>
                              <a:gd name="T40" fmla="*/ 17 w 8842"/>
                              <a:gd name="T41" fmla="*/ 14 h 7546"/>
                              <a:gd name="T42" fmla="*/ 8825 w 8842"/>
                              <a:gd name="T43" fmla="*/ 14 h 7546"/>
                              <a:gd name="T44" fmla="*/ 17 w 8842"/>
                              <a:gd name="T45" fmla="*/ 14 h 7546"/>
                              <a:gd name="T46" fmla="*/ 17 w 8842"/>
                              <a:gd name="T47" fmla="*/ 7 h 7546"/>
                              <a:gd name="T48" fmla="*/ 8825 w 8842"/>
                              <a:gd name="T49" fmla="*/ 7 h 7546"/>
                              <a:gd name="T50" fmla="*/ 8825 w 8842"/>
                              <a:gd name="T51" fmla="*/ 14 h 7546"/>
                              <a:gd name="T52" fmla="*/ 8825 w 8842"/>
                              <a:gd name="T53" fmla="*/ 7538 h 7546"/>
                              <a:gd name="T54" fmla="*/ 8825 w 8842"/>
                              <a:gd name="T55" fmla="*/ 7 h 7546"/>
                              <a:gd name="T56" fmla="*/ 8832 w 8842"/>
                              <a:gd name="T57" fmla="*/ 14 h 7546"/>
                              <a:gd name="T58" fmla="*/ 8842 w 8842"/>
                              <a:gd name="T59" fmla="*/ 14 h 7546"/>
                              <a:gd name="T60" fmla="*/ 8842 w 8842"/>
                              <a:gd name="T61" fmla="*/ 7531 h 7546"/>
                              <a:gd name="T62" fmla="*/ 8832 w 8842"/>
                              <a:gd name="T63" fmla="*/ 7531 h 7546"/>
                              <a:gd name="T64" fmla="*/ 8825 w 8842"/>
                              <a:gd name="T65" fmla="*/ 7538 h 7546"/>
                              <a:gd name="T66" fmla="*/ 8842 w 8842"/>
                              <a:gd name="T67" fmla="*/ 14 h 7546"/>
                              <a:gd name="T68" fmla="*/ 8832 w 8842"/>
                              <a:gd name="T69" fmla="*/ 14 h 7546"/>
                              <a:gd name="T70" fmla="*/ 8825 w 8842"/>
                              <a:gd name="T71" fmla="*/ 7 h 7546"/>
                              <a:gd name="T72" fmla="*/ 8842 w 8842"/>
                              <a:gd name="T73" fmla="*/ 7 h 7546"/>
                              <a:gd name="T74" fmla="*/ 8842 w 8842"/>
                              <a:gd name="T75" fmla="*/ 14 h 7546"/>
                              <a:gd name="T76" fmla="*/ 17 w 8842"/>
                              <a:gd name="T77" fmla="*/ 7538 h 7546"/>
                              <a:gd name="T78" fmla="*/ 10 w 8842"/>
                              <a:gd name="T79" fmla="*/ 7531 h 7546"/>
                              <a:gd name="T80" fmla="*/ 17 w 8842"/>
                              <a:gd name="T81" fmla="*/ 7531 h 7546"/>
                              <a:gd name="T82" fmla="*/ 17 w 8842"/>
                              <a:gd name="T83" fmla="*/ 7538 h 7546"/>
                              <a:gd name="T84" fmla="*/ 8825 w 8842"/>
                              <a:gd name="T85" fmla="*/ 7538 h 7546"/>
                              <a:gd name="T86" fmla="*/ 17 w 8842"/>
                              <a:gd name="T87" fmla="*/ 7538 h 7546"/>
                              <a:gd name="T88" fmla="*/ 17 w 8842"/>
                              <a:gd name="T89" fmla="*/ 7531 h 7546"/>
                              <a:gd name="T90" fmla="*/ 8825 w 8842"/>
                              <a:gd name="T91" fmla="*/ 7531 h 7546"/>
                              <a:gd name="T92" fmla="*/ 8825 w 8842"/>
                              <a:gd name="T93" fmla="*/ 7538 h 7546"/>
                              <a:gd name="T94" fmla="*/ 8842 w 8842"/>
                              <a:gd name="T95" fmla="*/ 7538 h 7546"/>
                              <a:gd name="T96" fmla="*/ 8825 w 8842"/>
                              <a:gd name="T97" fmla="*/ 7538 h 7546"/>
                              <a:gd name="T98" fmla="*/ 8832 w 8842"/>
                              <a:gd name="T99" fmla="*/ 7531 h 7546"/>
                              <a:gd name="T100" fmla="*/ 8842 w 8842"/>
                              <a:gd name="T101" fmla="*/ 7531 h 7546"/>
                              <a:gd name="T102" fmla="*/ 8842 w 8842"/>
                              <a:gd name="T103" fmla="*/ 7538 h 7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842" h="7546">
                                <a:moveTo>
                                  <a:pt x="8837" y="7546"/>
                                </a:moveTo>
                                <a:lnTo>
                                  <a:pt x="5" y="7546"/>
                                </a:lnTo>
                                <a:lnTo>
                                  <a:pt x="0" y="7541"/>
                                </a:lnTo>
                                <a:lnTo>
                                  <a:pt x="0" y="2"/>
                                </a:lnTo>
                                <a:lnTo>
                                  <a:pt x="5" y="0"/>
                                </a:lnTo>
                                <a:lnTo>
                                  <a:pt x="8837" y="0"/>
                                </a:lnTo>
                                <a:lnTo>
                                  <a:pt x="8842" y="2"/>
                                </a:lnTo>
                                <a:lnTo>
                                  <a:pt x="8842" y="7"/>
                                </a:lnTo>
                                <a:lnTo>
                                  <a:pt x="17" y="7"/>
                                </a:lnTo>
                                <a:lnTo>
                                  <a:pt x="10" y="14"/>
                                </a:lnTo>
                                <a:lnTo>
                                  <a:pt x="17" y="14"/>
                                </a:lnTo>
                                <a:lnTo>
                                  <a:pt x="17" y="7531"/>
                                </a:lnTo>
                                <a:lnTo>
                                  <a:pt x="10" y="7531"/>
                                </a:lnTo>
                                <a:lnTo>
                                  <a:pt x="17" y="7538"/>
                                </a:lnTo>
                                <a:lnTo>
                                  <a:pt x="8842" y="7538"/>
                                </a:lnTo>
                                <a:lnTo>
                                  <a:pt x="8842" y="7541"/>
                                </a:lnTo>
                                <a:lnTo>
                                  <a:pt x="8837" y="7546"/>
                                </a:lnTo>
                                <a:close/>
                                <a:moveTo>
                                  <a:pt x="17" y="14"/>
                                </a:moveTo>
                                <a:lnTo>
                                  <a:pt x="10" y="14"/>
                                </a:lnTo>
                                <a:lnTo>
                                  <a:pt x="17" y="7"/>
                                </a:lnTo>
                                <a:lnTo>
                                  <a:pt x="17" y="14"/>
                                </a:lnTo>
                                <a:close/>
                                <a:moveTo>
                                  <a:pt x="8825" y="14"/>
                                </a:moveTo>
                                <a:lnTo>
                                  <a:pt x="17" y="14"/>
                                </a:lnTo>
                                <a:lnTo>
                                  <a:pt x="17" y="7"/>
                                </a:lnTo>
                                <a:lnTo>
                                  <a:pt x="8825" y="7"/>
                                </a:lnTo>
                                <a:lnTo>
                                  <a:pt x="8825" y="14"/>
                                </a:lnTo>
                                <a:close/>
                                <a:moveTo>
                                  <a:pt x="8825" y="7538"/>
                                </a:moveTo>
                                <a:lnTo>
                                  <a:pt x="8825" y="7"/>
                                </a:lnTo>
                                <a:lnTo>
                                  <a:pt x="8832" y="14"/>
                                </a:lnTo>
                                <a:lnTo>
                                  <a:pt x="8842" y="14"/>
                                </a:lnTo>
                                <a:lnTo>
                                  <a:pt x="8842" y="7531"/>
                                </a:lnTo>
                                <a:lnTo>
                                  <a:pt x="8832" y="7531"/>
                                </a:lnTo>
                                <a:lnTo>
                                  <a:pt x="8825" y="7538"/>
                                </a:lnTo>
                                <a:close/>
                                <a:moveTo>
                                  <a:pt x="8842" y="14"/>
                                </a:moveTo>
                                <a:lnTo>
                                  <a:pt x="8832" y="14"/>
                                </a:lnTo>
                                <a:lnTo>
                                  <a:pt x="8825" y="7"/>
                                </a:lnTo>
                                <a:lnTo>
                                  <a:pt x="8842" y="7"/>
                                </a:lnTo>
                                <a:lnTo>
                                  <a:pt x="8842" y="14"/>
                                </a:lnTo>
                                <a:close/>
                                <a:moveTo>
                                  <a:pt x="17" y="7538"/>
                                </a:moveTo>
                                <a:lnTo>
                                  <a:pt x="10" y="7531"/>
                                </a:lnTo>
                                <a:lnTo>
                                  <a:pt x="17" y="7531"/>
                                </a:lnTo>
                                <a:lnTo>
                                  <a:pt x="17" y="7538"/>
                                </a:lnTo>
                                <a:close/>
                                <a:moveTo>
                                  <a:pt x="8825" y="7538"/>
                                </a:moveTo>
                                <a:lnTo>
                                  <a:pt x="17" y="7538"/>
                                </a:lnTo>
                                <a:lnTo>
                                  <a:pt x="17" y="7531"/>
                                </a:lnTo>
                                <a:lnTo>
                                  <a:pt x="8825" y="7531"/>
                                </a:lnTo>
                                <a:lnTo>
                                  <a:pt x="8825" y="7538"/>
                                </a:lnTo>
                                <a:close/>
                                <a:moveTo>
                                  <a:pt x="8842" y="7538"/>
                                </a:moveTo>
                                <a:lnTo>
                                  <a:pt x="8825" y="7538"/>
                                </a:lnTo>
                                <a:lnTo>
                                  <a:pt x="8832" y="7531"/>
                                </a:lnTo>
                                <a:lnTo>
                                  <a:pt x="8842" y="7531"/>
                                </a:lnTo>
                                <a:lnTo>
                                  <a:pt x="8842" y="75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0C7273" id="Group 23" o:spid="_x0000_s1026" style="width:442.1pt;height:377.3pt;mso-position-horizontal-relative:char;mso-position-vertical-relative:line" coordsize="8842,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">
                <v:shape id="Picture 25" o:spid="_x0000_s1027" type="#_x0000_t75" style="position:absolute;left:12;top:7;width:8818;height:7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">
                  <v:imagedata r:id="rId317" o:title=""/>
                </v:shape>
                <v:shape id="AutoShape 24" o:spid="_x0000_s1028" style="position:absolute;width:8842;height:7546;visibility:visible;mso-wrap-style:square;v-text-anchor:top" coordsize="8842,7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" path="m8837,7546l5,7546,,7541,,2,5,,8837,r5,2l8842,7,17,7r-7,7l17,14r,7517l10,7531r7,7l8842,7538r,3l8837,7546xm17,14r-7,l17,7r,7xm8825,14l17,14r,-7l8825,7r,7xm8825,7538l8825,7r7,7l8842,14r,7517l8832,7531r-7,7xm8842,14r-10,l8825,7r17,l8842,14xm17,7538r-7,-7l17,7531r,7xm8825,7538r-8808,l17,7531r8808,l8825,7538xm8842,7538r-17,l8832,7531r10,l8842,7538xe" fillcolor="black" stroked="f">
                  <v:path arrowok="t" o:connecttype="custom" o:connectlocs="8837,7546;5,7546;0,7541;0,2;5,0;8837,0;8842,2;8842,7;17,7;10,14;17,14;17,7531;10,7531;17,7538;8842,7538;8842,7541;8837,7546;17,14;10,14;17,7;17,14;8825,14;17,14;17,7;8825,7;8825,14;8825,7538;8825,7;8832,14;8842,14;8842,7531;8832,7531;8825,7538;8842,14;8832,14;8825,7;8842,7;8842,14;17,7538;10,7531;17,7531;17,7538;8825,7538;17,7538;17,7531;8825,7531;8825,7538;8842,7538;8825,7538;8832,7531;8842,7531;8842,7538" o:connectangles="0,0,0,0,0,0,0,0,0,0,0,0,0,0,0,0,0,0,0,0,0,0,0,0,0,0,0,0,0,0,0,0,0,0,0,0,0,0,0,0,0,0,0,0,0,0,0,0,0,0,0,0"/>
                </v:shape>
                <w10:anchorlock/>
              </v:group>
            </w:pict>
          </mc:Fallback>
        </mc:AlternateContent>
      </w:r>
    </w:p>
    <w:p w14:paraId="160DA0B5" w14:textId="77777777" w:rsidR="00665A13" w:rsidRPr="00AB60B0" w:rsidRDefault="00665A13" w:rsidP="00AB60B0">
      <w:pPr>
        <w:rPr>
          <w:b/>
          <w:i/>
        </w:rPr>
      </w:pPr>
      <w:r w:rsidRPr="00AB60B0">
        <w:rPr>
          <w:b/>
        </w:rPr>
        <w:t xml:space="preserve">Figure 3 – Elevations illustrating compatible alterations and additions. </w:t>
      </w:r>
      <w:r w:rsidRPr="001414BA">
        <w:rPr>
          <w:i/>
        </w:rPr>
        <w:t xml:space="preserve">Griffiths </w:t>
      </w:r>
      <w:r w:rsidR="001414BA">
        <w:rPr>
          <w:i/>
        </w:rPr>
        <w:t xml:space="preserve">Architect </w:t>
      </w:r>
      <w:r w:rsidRPr="001414BA">
        <w:rPr>
          <w:i/>
        </w:rPr>
        <w:t>2015</w:t>
      </w:r>
    </w:p>
    <w:p w14:paraId="23DB0404" w14:textId="77777777" w:rsidR="00665A13" w:rsidRDefault="00665A13" w:rsidP="001414BA">
      <w:pPr>
        <w:pStyle w:val="BodyText"/>
        <w:spacing w:before="3"/>
        <w:rPr>
          <w:i/>
          <w:sz w:val="19"/>
        </w:rPr>
      </w:pPr>
      <w:r>
        <w:rPr>
          <w:noProof/>
          <w:lang w:val="en-AU" w:eastAsia="en-AU"/>
        </w:rPr>
        <mc:AlternateContent>
          <mc:Choice Requires="wpg">
            <w:drawing>
              <wp:anchor distT="0" distB="0" distL="0" distR="0" simplePos="0" relativeHeight="251620352" behindDoc="1" locked="0" layoutInCell="1" allowOverlap="1" wp14:anchorId="6CBADC33" wp14:editId="579E82DE">
                <wp:simplePos x="0" y="0"/>
                <wp:positionH relativeFrom="page">
                  <wp:posOffset>1025525</wp:posOffset>
                </wp:positionH>
                <wp:positionV relativeFrom="paragraph">
                  <wp:posOffset>182245</wp:posOffset>
                </wp:positionV>
                <wp:extent cx="5598160" cy="3075940"/>
                <wp:effectExtent l="0" t="0" r="0" b="0"/>
                <wp:wrapTopAndBottom/>
                <wp:docPr id="39324790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8160" cy="3075940"/>
                          <a:chOff x="1615" y="287"/>
                          <a:chExt cx="8816" cy="4844"/>
                        </a:xfrm>
                      </wpg:grpSpPr>
                      <pic:pic xmlns:pic="http://schemas.openxmlformats.org/drawingml/2006/picture">
                        <pic:nvPicPr>
                          <pic:cNvPr id="2087744819" name="Picture 22"/>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1780" y="409"/>
                            <a:ext cx="8487" cy="4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171286" name="AutoShape 21"/>
                        <wps:cNvSpPr>
                          <a:spLocks/>
                        </wps:cNvSpPr>
                        <wps:spPr bwMode="auto">
                          <a:xfrm>
                            <a:off x="1615" y="286"/>
                            <a:ext cx="8816" cy="4844"/>
                          </a:xfrm>
                          <a:custGeom>
                            <a:avLst/>
                            <a:gdLst>
                              <a:gd name="T0" fmla="+- 0 10426 1615"/>
                              <a:gd name="T1" fmla="*/ T0 w 8816"/>
                              <a:gd name="T2" fmla="+- 0 5130 287"/>
                              <a:gd name="T3" fmla="*/ 5130 h 4844"/>
                              <a:gd name="T4" fmla="+- 0 1620 1615"/>
                              <a:gd name="T5" fmla="*/ T4 w 8816"/>
                              <a:gd name="T6" fmla="+- 0 5130 287"/>
                              <a:gd name="T7" fmla="*/ 5130 h 4844"/>
                              <a:gd name="T8" fmla="+- 0 1615 1615"/>
                              <a:gd name="T9" fmla="*/ T8 w 8816"/>
                              <a:gd name="T10" fmla="+- 0 5128 287"/>
                              <a:gd name="T11" fmla="*/ 5128 h 4844"/>
                              <a:gd name="T12" fmla="+- 0 1615 1615"/>
                              <a:gd name="T13" fmla="*/ T12 w 8816"/>
                              <a:gd name="T14" fmla="+- 0 289 287"/>
                              <a:gd name="T15" fmla="*/ 289 h 4844"/>
                              <a:gd name="T16" fmla="+- 0 1620 1615"/>
                              <a:gd name="T17" fmla="*/ T16 w 8816"/>
                              <a:gd name="T18" fmla="+- 0 287 287"/>
                              <a:gd name="T19" fmla="*/ 287 h 4844"/>
                              <a:gd name="T20" fmla="+- 0 10426 1615"/>
                              <a:gd name="T21" fmla="*/ T20 w 8816"/>
                              <a:gd name="T22" fmla="+- 0 287 287"/>
                              <a:gd name="T23" fmla="*/ 287 h 4844"/>
                              <a:gd name="T24" fmla="+- 0 10430 1615"/>
                              <a:gd name="T25" fmla="*/ T24 w 8816"/>
                              <a:gd name="T26" fmla="+- 0 289 287"/>
                              <a:gd name="T27" fmla="*/ 289 h 4844"/>
                              <a:gd name="T28" fmla="+- 0 10430 1615"/>
                              <a:gd name="T29" fmla="*/ T28 w 8816"/>
                              <a:gd name="T30" fmla="+- 0 294 287"/>
                              <a:gd name="T31" fmla="*/ 294 h 4844"/>
                              <a:gd name="T32" fmla="+- 0 1632 1615"/>
                              <a:gd name="T33" fmla="*/ T32 w 8816"/>
                              <a:gd name="T34" fmla="+- 0 294 287"/>
                              <a:gd name="T35" fmla="*/ 294 h 4844"/>
                              <a:gd name="T36" fmla="+- 0 1625 1615"/>
                              <a:gd name="T37" fmla="*/ T36 w 8816"/>
                              <a:gd name="T38" fmla="+- 0 301 287"/>
                              <a:gd name="T39" fmla="*/ 301 h 4844"/>
                              <a:gd name="T40" fmla="+- 0 1632 1615"/>
                              <a:gd name="T41" fmla="*/ T40 w 8816"/>
                              <a:gd name="T42" fmla="+- 0 301 287"/>
                              <a:gd name="T43" fmla="*/ 301 h 4844"/>
                              <a:gd name="T44" fmla="+- 0 1632 1615"/>
                              <a:gd name="T45" fmla="*/ T44 w 8816"/>
                              <a:gd name="T46" fmla="+- 0 5116 287"/>
                              <a:gd name="T47" fmla="*/ 5116 h 4844"/>
                              <a:gd name="T48" fmla="+- 0 1625 1615"/>
                              <a:gd name="T49" fmla="*/ T48 w 8816"/>
                              <a:gd name="T50" fmla="+- 0 5116 287"/>
                              <a:gd name="T51" fmla="*/ 5116 h 4844"/>
                              <a:gd name="T52" fmla="+- 0 1632 1615"/>
                              <a:gd name="T53" fmla="*/ T52 w 8816"/>
                              <a:gd name="T54" fmla="+- 0 5123 287"/>
                              <a:gd name="T55" fmla="*/ 5123 h 4844"/>
                              <a:gd name="T56" fmla="+- 0 10430 1615"/>
                              <a:gd name="T57" fmla="*/ T56 w 8816"/>
                              <a:gd name="T58" fmla="+- 0 5123 287"/>
                              <a:gd name="T59" fmla="*/ 5123 h 4844"/>
                              <a:gd name="T60" fmla="+- 0 10430 1615"/>
                              <a:gd name="T61" fmla="*/ T60 w 8816"/>
                              <a:gd name="T62" fmla="+- 0 5128 287"/>
                              <a:gd name="T63" fmla="*/ 5128 h 4844"/>
                              <a:gd name="T64" fmla="+- 0 10426 1615"/>
                              <a:gd name="T65" fmla="*/ T64 w 8816"/>
                              <a:gd name="T66" fmla="+- 0 5130 287"/>
                              <a:gd name="T67" fmla="*/ 5130 h 4844"/>
                              <a:gd name="T68" fmla="+- 0 1632 1615"/>
                              <a:gd name="T69" fmla="*/ T68 w 8816"/>
                              <a:gd name="T70" fmla="+- 0 301 287"/>
                              <a:gd name="T71" fmla="*/ 301 h 4844"/>
                              <a:gd name="T72" fmla="+- 0 1625 1615"/>
                              <a:gd name="T73" fmla="*/ T72 w 8816"/>
                              <a:gd name="T74" fmla="+- 0 301 287"/>
                              <a:gd name="T75" fmla="*/ 301 h 4844"/>
                              <a:gd name="T76" fmla="+- 0 1632 1615"/>
                              <a:gd name="T77" fmla="*/ T76 w 8816"/>
                              <a:gd name="T78" fmla="+- 0 294 287"/>
                              <a:gd name="T79" fmla="*/ 294 h 4844"/>
                              <a:gd name="T80" fmla="+- 0 1632 1615"/>
                              <a:gd name="T81" fmla="*/ T80 w 8816"/>
                              <a:gd name="T82" fmla="+- 0 301 287"/>
                              <a:gd name="T83" fmla="*/ 301 h 4844"/>
                              <a:gd name="T84" fmla="+- 0 10416 1615"/>
                              <a:gd name="T85" fmla="*/ T84 w 8816"/>
                              <a:gd name="T86" fmla="+- 0 301 287"/>
                              <a:gd name="T87" fmla="*/ 301 h 4844"/>
                              <a:gd name="T88" fmla="+- 0 1632 1615"/>
                              <a:gd name="T89" fmla="*/ T88 w 8816"/>
                              <a:gd name="T90" fmla="+- 0 301 287"/>
                              <a:gd name="T91" fmla="*/ 301 h 4844"/>
                              <a:gd name="T92" fmla="+- 0 1632 1615"/>
                              <a:gd name="T93" fmla="*/ T92 w 8816"/>
                              <a:gd name="T94" fmla="+- 0 294 287"/>
                              <a:gd name="T95" fmla="*/ 294 h 4844"/>
                              <a:gd name="T96" fmla="+- 0 10416 1615"/>
                              <a:gd name="T97" fmla="*/ T96 w 8816"/>
                              <a:gd name="T98" fmla="+- 0 294 287"/>
                              <a:gd name="T99" fmla="*/ 294 h 4844"/>
                              <a:gd name="T100" fmla="+- 0 10416 1615"/>
                              <a:gd name="T101" fmla="*/ T100 w 8816"/>
                              <a:gd name="T102" fmla="+- 0 301 287"/>
                              <a:gd name="T103" fmla="*/ 301 h 4844"/>
                              <a:gd name="T104" fmla="+- 0 10416 1615"/>
                              <a:gd name="T105" fmla="*/ T104 w 8816"/>
                              <a:gd name="T106" fmla="+- 0 5123 287"/>
                              <a:gd name="T107" fmla="*/ 5123 h 4844"/>
                              <a:gd name="T108" fmla="+- 0 10416 1615"/>
                              <a:gd name="T109" fmla="*/ T108 w 8816"/>
                              <a:gd name="T110" fmla="+- 0 294 287"/>
                              <a:gd name="T111" fmla="*/ 294 h 4844"/>
                              <a:gd name="T112" fmla="+- 0 10423 1615"/>
                              <a:gd name="T113" fmla="*/ T112 w 8816"/>
                              <a:gd name="T114" fmla="+- 0 301 287"/>
                              <a:gd name="T115" fmla="*/ 301 h 4844"/>
                              <a:gd name="T116" fmla="+- 0 10430 1615"/>
                              <a:gd name="T117" fmla="*/ T116 w 8816"/>
                              <a:gd name="T118" fmla="+- 0 301 287"/>
                              <a:gd name="T119" fmla="*/ 301 h 4844"/>
                              <a:gd name="T120" fmla="+- 0 10430 1615"/>
                              <a:gd name="T121" fmla="*/ T120 w 8816"/>
                              <a:gd name="T122" fmla="+- 0 5116 287"/>
                              <a:gd name="T123" fmla="*/ 5116 h 4844"/>
                              <a:gd name="T124" fmla="+- 0 10423 1615"/>
                              <a:gd name="T125" fmla="*/ T124 w 8816"/>
                              <a:gd name="T126" fmla="+- 0 5116 287"/>
                              <a:gd name="T127" fmla="*/ 5116 h 4844"/>
                              <a:gd name="T128" fmla="+- 0 10416 1615"/>
                              <a:gd name="T129" fmla="*/ T128 w 8816"/>
                              <a:gd name="T130" fmla="+- 0 5123 287"/>
                              <a:gd name="T131" fmla="*/ 5123 h 4844"/>
                              <a:gd name="T132" fmla="+- 0 10430 1615"/>
                              <a:gd name="T133" fmla="*/ T132 w 8816"/>
                              <a:gd name="T134" fmla="+- 0 301 287"/>
                              <a:gd name="T135" fmla="*/ 301 h 4844"/>
                              <a:gd name="T136" fmla="+- 0 10423 1615"/>
                              <a:gd name="T137" fmla="*/ T136 w 8816"/>
                              <a:gd name="T138" fmla="+- 0 301 287"/>
                              <a:gd name="T139" fmla="*/ 301 h 4844"/>
                              <a:gd name="T140" fmla="+- 0 10416 1615"/>
                              <a:gd name="T141" fmla="*/ T140 w 8816"/>
                              <a:gd name="T142" fmla="+- 0 294 287"/>
                              <a:gd name="T143" fmla="*/ 294 h 4844"/>
                              <a:gd name="T144" fmla="+- 0 10430 1615"/>
                              <a:gd name="T145" fmla="*/ T144 w 8816"/>
                              <a:gd name="T146" fmla="+- 0 294 287"/>
                              <a:gd name="T147" fmla="*/ 294 h 4844"/>
                              <a:gd name="T148" fmla="+- 0 10430 1615"/>
                              <a:gd name="T149" fmla="*/ T148 w 8816"/>
                              <a:gd name="T150" fmla="+- 0 301 287"/>
                              <a:gd name="T151" fmla="*/ 301 h 4844"/>
                              <a:gd name="T152" fmla="+- 0 1632 1615"/>
                              <a:gd name="T153" fmla="*/ T152 w 8816"/>
                              <a:gd name="T154" fmla="+- 0 5123 287"/>
                              <a:gd name="T155" fmla="*/ 5123 h 4844"/>
                              <a:gd name="T156" fmla="+- 0 1625 1615"/>
                              <a:gd name="T157" fmla="*/ T156 w 8816"/>
                              <a:gd name="T158" fmla="+- 0 5116 287"/>
                              <a:gd name="T159" fmla="*/ 5116 h 4844"/>
                              <a:gd name="T160" fmla="+- 0 1632 1615"/>
                              <a:gd name="T161" fmla="*/ T160 w 8816"/>
                              <a:gd name="T162" fmla="+- 0 5116 287"/>
                              <a:gd name="T163" fmla="*/ 5116 h 4844"/>
                              <a:gd name="T164" fmla="+- 0 1632 1615"/>
                              <a:gd name="T165" fmla="*/ T164 w 8816"/>
                              <a:gd name="T166" fmla="+- 0 5123 287"/>
                              <a:gd name="T167" fmla="*/ 5123 h 4844"/>
                              <a:gd name="T168" fmla="+- 0 10416 1615"/>
                              <a:gd name="T169" fmla="*/ T168 w 8816"/>
                              <a:gd name="T170" fmla="+- 0 5123 287"/>
                              <a:gd name="T171" fmla="*/ 5123 h 4844"/>
                              <a:gd name="T172" fmla="+- 0 1632 1615"/>
                              <a:gd name="T173" fmla="*/ T172 w 8816"/>
                              <a:gd name="T174" fmla="+- 0 5123 287"/>
                              <a:gd name="T175" fmla="*/ 5123 h 4844"/>
                              <a:gd name="T176" fmla="+- 0 1632 1615"/>
                              <a:gd name="T177" fmla="*/ T176 w 8816"/>
                              <a:gd name="T178" fmla="+- 0 5116 287"/>
                              <a:gd name="T179" fmla="*/ 5116 h 4844"/>
                              <a:gd name="T180" fmla="+- 0 10416 1615"/>
                              <a:gd name="T181" fmla="*/ T180 w 8816"/>
                              <a:gd name="T182" fmla="+- 0 5116 287"/>
                              <a:gd name="T183" fmla="*/ 5116 h 4844"/>
                              <a:gd name="T184" fmla="+- 0 10416 1615"/>
                              <a:gd name="T185" fmla="*/ T184 w 8816"/>
                              <a:gd name="T186" fmla="+- 0 5123 287"/>
                              <a:gd name="T187" fmla="*/ 5123 h 4844"/>
                              <a:gd name="T188" fmla="+- 0 10430 1615"/>
                              <a:gd name="T189" fmla="*/ T188 w 8816"/>
                              <a:gd name="T190" fmla="+- 0 5123 287"/>
                              <a:gd name="T191" fmla="*/ 5123 h 4844"/>
                              <a:gd name="T192" fmla="+- 0 10416 1615"/>
                              <a:gd name="T193" fmla="*/ T192 w 8816"/>
                              <a:gd name="T194" fmla="+- 0 5123 287"/>
                              <a:gd name="T195" fmla="*/ 5123 h 4844"/>
                              <a:gd name="T196" fmla="+- 0 10423 1615"/>
                              <a:gd name="T197" fmla="*/ T196 w 8816"/>
                              <a:gd name="T198" fmla="+- 0 5116 287"/>
                              <a:gd name="T199" fmla="*/ 5116 h 4844"/>
                              <a:gd name="T200" fmla="+- 0 10430 1615"/>
                              <a:gd name="T201" fmla="*/ T200 w 8816"/>
                              <a:gd name="T202" fmla="+- 0 5116 287"/>
                              <a:gd name="T203" fmla="*/ 5116 h 4844"/>
                              <a:gd name="T204" fmla="+- 0 10430 1615"/>
                              <a:gd name="T205" fmla="*/ T204 w 8816"/>
                              <a:gd name="T206" fmla="+- 0 5123 287"/>
                              <a:gd name="T207" fmla="*/ 5123 h 48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816" h="4844">
                                <a:moveTo>
                                  <a:pt x="8811" y="4843"/>
                                </a:moveTo>
                                <a:lnTo>
                                  <a:pt x="5" y="4843"/>
                                </a:lnTo>
                                <a:lnTo>
                                  <a:pt x="0" y="4841"/>
                                </a:lnTo>
                                <a:lnTo>
                                  <a:pt x="0" y="2"/>
                                </a:lnTo>
                                <a:lnTo>
                                  <a:pt x="5" y="0"/>
                                </a:lnTo>
                                <a:lnTo>
                                  <a:pt x="8811" y="0"/>
                                </a:lnTo>
                                <a:lnTo>
                                  <a:pt x="8815" y="2"/>
                                </a:lnTo>
                                <a:lnTo>
                                  <a:pt x="8815" y="7"/>
                                </a:lnTo>
                                <a:lnTo>
                                  <a:pt x="17" y="7"/>
                                </a:lnTo>
                                <a:lnTo>
                                  <a:pt x="10" y="14"/>
                                </a:lnTo>
                                <a:lnTo>
                                  <a:pt x="17" y="14"/>
                                </a:lnTo>
                                <a:lnTo>
                                  <a:pt x="17" y="4829"/>
                                </a:lnTo>
                                <a:lnTo>
                                  <a:pt x="10" y="4829"/>
                                </a:lnTo>
                                <a:lnTo>
                                  <a:pt x="17" y="4836"/>
                                </a:lnTo>
                                <a:lnTo>
                                  <a:pt x="8815" y="4836"/>
                                </a:lnTo>
                                <a:lnTo>
                                  <a:pt x="8815" y="4841"/>
                                </a:lnTo>
                                <a:lnTo>
                                  <a:pt x="8811" y="4843"/>
                                </a:lnTo>
                                <a:close/>
                                <a:moveTo>
                                  <a:pt x="17" y="14"/>
                                </a:moveTo>
                                <a:lnTo>
                                  <a:pt x="10" y="14"/>
                                </a:lnTo>
                                <a:lnTo>
                                  <a:pt x="17" y="7"/>
                                </a:lnTo>
                                <a:lnTo>
                                  <a:pt x="17" y="14"/>
                                </a:lnTo>
                                <a:close/>
                                <a:moveTo>
                                  <a:pt x="8801" y="14"/>
                                </a:moveTo>
                                <a:lnTo>
                                  <a:pt x="17" y="14"/>
                                </a:lnTo>
                                <a:lnTo>
                                  <a:pt x="17" y="7"/>
                                </a:lnTo>
                                <a:lnTo>
                                  <a:pt x="8801" y="7"/>
                                </a:lnTo>
                                <a:lnTo>
                                  <a:pt x="8801" y="14"/>
                                </a:lnTo>
                                <a:close/>
                                <a:moveTo>
                                  <a:pt x="8801" y="4836"/>
                                </a:moveTo>
                                <a:lnTo>
                                  <a:pt x="8801" y="7"/>
                                </a:lnTo>
                                <a:lnTo>
                                  <a:pt x="8808" y="14"/>
                                </a:lnTo>
                                <a:lnTo>
                                  <a:pt x="8815" y="14"/>
                                </a:lnTo>
                                <a:lnTo>
                                  <a:pt x="8815" y="4829"/>
                                </a:lnTo>
                                <a:lnTo>
                                  <a:pt x="8808" y="4829"/>
                                </a:lnTo>
                                <a:lnTo>
                                  <a:pt x="8801" y="4836"/>
                                </a:lnTo>
                                <a:close/>
                                <a:moveTo>
                                  <a:pt x="8815" y="14"/>
                                </a:moveTo>
                                <a:lnTo>
                                  <a:pt x="8808" y="14"/>
                                </a:lnTo>
                                <a:lnTo>
                                  <a:pt x="8801" y="7"/>
                                </a:lnTo>
                                <a:lnTo>
                                  <a:pt x="8815" y="7"/>
                                </a:lnTo>
                                <a:lnTo>
                                  <a:pt x="8815" y="14"/>
                                </a:lnTo>
                                <a:close/>
                                <a:moveTo>
                                  <a:pt x="17" y="4836"/>
                                </a:moveTo>
                                <a:lnTo>
                                  <a:pt x="10" y="4829"/>
                                </a:lnTo>
                                <a:lnTo>
                                  <a:pt x="17" y="4829"/>
                                </a:lnTo>
                                <a:lnTo>
                                  <a:pt x="17" y="4836"/>
                                </a:lnTo>
                                <a:close/>
                                <a:moveTo>
                                  <a:pt x="8801" y="4836"/>
                                </a:moveTo>
                                <a:lnTo>
                                  <a:pt x="17" y="4836"/>
                                </a:lnTo>
                                <a:lnTo>
                                  <a:pt x="17" y="4829"/>
                                </a:lnTo>
                                <a:lnTo>
                                  <a:pt x="8801" y="4829"/>
                                </a:lnTo>
                                <a:lnTo>
                                  <a:pt x="8801" y="4836"/>
                                </a:lnTo>
                                <a:close/>
                                <a:moveTo>
                                  <a:pt x="8815" y="4836"/>
                                </a:moveTo>
                                <a:lnTo>
                                  <a:pt x="8801" y="4836"/>
                                </a:lnTo>
                                <a:lnTo>
                                  <a:pt x="8808" y="4829"/>
                                </a:lnTo>
                                <a:lnTo>
                                  <a:pt x="8815" y="4829"/>
                                </a:lnTo>
                                <a:lnTo>
                                  <a:pt x="8815" y="48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967E7A" id="Group 20" o:spid="_x0000_s1026" style="position:absolute;margin-left:80.75pt;margin-top:14.35pt;width:440.8pt;height:242.2pt;z-index:-251696128;mso-wrap-distance-left:0;mso-wrap-distance-right:0;mso-position-horizontal-relative:page" coordorigin="1615,287" coordsize="8816,4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">
                <v:shape id="Picture 22" o:spid="_x0000_s1027" type="#_x0000_t75" style="position:absolute;left:1780;top:409;width:8487;height: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">
                  <v:imagedata r:id="rId319" o:title=""/>
                </v:shape>
                <v:shape id="AutoShape 21" o:spid="_x0000_s1028" style="position:absolute;left:1615;top:286;width:8816;height:4844;visibility:visible;mso-wrap-style:square;v-text-anchor:top" coordsize="8816,4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" path="m8811,4843l5,4843,,4841,,2,5,,8811,r4,2l8815,7,17,7r-7,7l17,14r,4815l10,4829r7,7l8815,4836r,5l8811,4843xm17,14r-7,l17,7r,7xm8801,14l17,14r,-7l8801,7r,7xm8801,4836l8801,7r7,7l8815,14r,4815l8808,4829r-7,7xm8815,14r-7,l8801,7r14,l8815,14xm17,4836r-7,-7l17,4829r,7xm8801,4836r-8784,l17,4829r8784,l8801,4836xm8815,4836r-14,l8808,4829r7,l8815,4836xe" fillcolor="black" stroked="f">
                  <v:path arrowok="t" o:connecttype="custom" o:connectlocs="8811,5130;5,5130;0,5128;0,289;5,287;8811,287;8815,289;8815,294;17,294;10,301;17,301;17,5116;10,5116;17,5123;8815,5123;8815,5128;8811,5130;17,301;10,301;17,294;17,301;8801,301;17,301;17,294;8801,294;8801,301;8801,5123;8801,294;8808,301;8815,301;8815,5116;8808,5116;8801,5123;8815,301;8808,301;8801,294;8815,294;8815,301;17,5123;10,5116;17,5116;17,5123;8801,5123;17,5123;17,5116;8801,5116;8801,5123;8815,5123;8801,5123;8808,5116;8815,5116;8815,5123" o:connectangles="0,0,0,0,0,0,0,0,0,0,0,0,0,0,0,0,0,0,0,0,0,0,0,0,0,0,0,0,0,0,0,0,0,0,0,0,0,0,0,0,0,0,0,0,0,0,0,0,0,0,0,0"/>
                </v:shape>
                <w10:wrap type="topAndBottom" anchorx="page"/>
              </v:group>
            </w:pict>
          </mc:Fallback>
        </mc:AlternateContent>
      </w:r>
    </w:p>
    <w:p w14:paraId="2435D323" w14:textId="77777777" w:rsidR="00665A13" w:rsidRDefault="00665A13" w:rsidP="00665A13">
      <w:pPr>
        <w:ind w:left="411" w:right="582"/>
        <w:jc w:val="center"/>
        <w:rPr>
          <w:i/>
        </w:rPr>
      </w:pPr>
      <w:r>
        <w:rPr>
          <w:b/>
        </w:rPr>
        <w:t xml:space="preserve">Figure 4 - Elevations illustrating compatible alterations and additions. </w:t>
      </w:r>
      <w:r>
        <w:rPr>
          <w:i/>
        </w:rPr>
        <w:t>Griffiths Architects 2015</w:t>
      </w:r>
    </w:p>
    <w:p w14:paraId="3FF1BCB5" w14:textId="77777777" w:rsidR="00665A13" w:rsidRDefault="00665A13" w:rsidP="00665A13">
      <w:pPr>
        <w:jc w:val="center"/>
        <w:sectPr w:rsidR="00665A13">
          <w:footerReference w:type="default" r:id="rId320"/>
          <w:pgSz w:w="11910" w:h="16840"/>
          <w:pgMar w:top="1440" w:right="980" w:bottom="1200" w:left="1320" w:header="0" w:footer="1002" w:gutter="0"/>
          <w:pgNumType w:start="1"/>
          <w:cols w:space="720"/>
        </w:sectPr>
      </w:pPr>
    </w:p>
    <w:p w14:paraId="37E1412C" w14:textId="77777777" w:rsidR="00665A13" w:rsidRDefault="00665A13" w:rsidP="00665A13">
      <w:pPr>
        <w:pStyle w:val="BodyText"/>
        <w:ind w:left="136"/>
        <w:rPr>
          <w:sz w:val="20"/>
        </w:rPr>
      </w:pPr>
      <w:r>
        <w:rPr>
          <w:noProof/>
          <w:sz w:val="20"/>
          <w:lang w:val="en-AU" w:eastAsia="en-AU"/>
        </w:rPr>
        <w:lastRenderedPageBreak/>
        <mc:AlternateContent>
          <mc:Choice Requires="wpg">
            <w:drawing>
              <wp:inline distT="0" distB="0" distL="0" distR="0" wp14:anchorId="770F5FAD" wp14:editId="23D678AB">
                <wp:extent cx="5689600" cy="5280660"/>
                <wp:effectExtent l="0" t="0" r="6350" b="5715"/>
                <wp:docPr id="5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9600" cy="5280660"/>
                          <a:chOff x="0" y="0"/>
                          <a:chExt cx="8960" cy="8316"/>
                        </a:xfrm>
                      </wpg:grpSpPr>
                      <pic:pic xmlns:pic="http://schemas.openxmlformats.org/drawingml/2006/picture">
                        <pic:nvPicPr>
                          <pic:cNvPr id="69" name="Picture 19"/>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7" y="7"/>
                            <a:ext cx="8943" cy="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AutoShape 18"/>
                        <wps:cNvSpPr>
                          <a:spLocks/>
                        </wps:cNvSpPr>
                        <wps:spPr bwMode="auto">
                          <a:xfrm>
                            <a:off x="0" y="0"/>
                            <a:ext cx="8960" cy="8316"/>
                          </a:xfrm>
                          <a:custGeom>
                            <a:avLst/>
                            <a:gdLst>
                              <a:gd name="T0" fmla="*/ 8957 w 8960"/>
                              <a:gd name="T1" fmla="*/ 8316 h 8316"/>
                              <a:gd name="T2" fmla="*/ 2 w 8960"/>
                              <a:gd name="T3" fmla="*/ 8316 h 8316"/>
                              <a:gd name="T4" fmla="*/ 0 w 8960"/>
                              <a:gd name="T5" fmla="*/ 8314 h 8316"/>
                              <a:gd name="T6" fmla="*/ 0 w 8960"/>
                              <a:gd name="T7" fmla="*/ 2 h 8316"/>
                              <a:gd name="T8" fmla="*/ 2 w 8960"/>
                              <a:gd name="T9" fmla="*/ 0 h 8316"/>
                              <a:gd name="T10" fmla="*/ 8957 w 8960"/>
                              <a:gd name="T11" fmla="*/ 0 h 8316"/>
                              <a:gd name="T12" fmla="*/ 8959 w 8960"/>
                              <a:gd name="T13" fmla="*/ 2 h 8316"/>
                              <a:gd name="T14" fmla="*/ 8959 w 8960"/>
                              <a:gd name="T15" fmla="*/ 7 h 8316"/>
                              <a:gd name="T16" fmla="*/ 14 w 8960"/>
                              <a:gd name="T17" fmla="*/ 7 h 8316"/>
                              <a:gd name="T18" fmla="*/ 7 w 8960"/>
                              <a:gd name="T19" fmla="*/ 14 h 8316"/>
                              <a:gd name="T20" fmla="*/ 14 w 8960"/>
                              <a:gd name="T21" fmla="*/ 14 h 8316"/>
                              <a:gd name="T22" fmla="*/ 14 w 8960"/>
                              <a:gd name="T23" fmla="*/ 8302 h 8316"/>
                              <a:gd name="T24" fmla="*/ 7 w 8960"/>
                              <a:gd name="T25" fmla="*/ 8302 h 8316"/>
                              <a:gd name="T26" fmla="*/ 14 w 8960"/>
                              <a:gd name="T27" fmla="*/ 8309 h 8316"/>
                              <a:gd name="T28" fmla="*/ 8959 w 8960"/>
                              <a:gd name="T29" fmla="*/ 8309 h 8316"/>
                              <a:gd name="T30" fmla="*/ 8959 w 8960"/>
                              <a:gd name="T31" fmla="*/ 8314 h 8316"/>
                              <a:gd name="T32" fmla="*/ 8957 w 8960"/>
                              <a:gd name="T33" fmla="*/ 8316 h 8316"/>
                              <a:gd name="T34" fmla="*/ 14 w 8960"/>
                              <a:gd name="T35" fmla="*/ 14 h 8316"/>
                              <a:gd name="T36" fmla="*/ 7 w 8960"/>
                              <a:gd name="T37" fmla="*/ 14 h 8316"/>
                              <a:gd name="T38" fmla="*/ 14 w 8960"/>
                              <a:gd name="T39" fmla="*/ 7 h 8316"/>
                              <a:gd name="T40" fmla="*/ 14 w 8960"/>
                              <a:gd name="T41" fmla="*/ 14 h 8316"/>
                              <a:gd name="T42" fmla="*/ 8945 w 8960"/>
                              <a:gd name="T43" fmla="*/ 14 h 8316"/>
                              <a:gd name="T44" fmla="*/ 14 w 8960"/>
                              <a:gd name="T45" fmla="*/ 14 h 8316"/>
                              <a:gd name="T46" fmla="*/ 14 w 8960"/>
                              <a:gd name="T47" fmla="*/ 7 h 8316"/>
                              <a:gd name="T48" fmla="*/ 8945 w 8960"/>
                              <a:gd name="T49" fmla="*/ 7 h 8316"/>
                              <a:gd name="T50" fmla="*/ 8945 w 8960"/>
                              <a:gd name="T51" fmla="*/ 14 h 8316"/>
                              <a:gd name="T52" fmla="*/ 8945 w 8960"/>
                              <a:gd name="T53" fmla="*/ 8309 h 8316"/>
                              <a:gd name="T54" fmla="*/ 8945 w 8960"/>
                              <a:gd name="T55" fmla="*/ 7 h 8316"/>
                              <a:gd name="T56" fmla="*/ 8952 w 8960"/>
                              <a:gd name="T57" fmla="*/ 14 h 8316"/>
                              <a:gd name="T58" fmla="*/ 8959 w 8960"/>
                              <a:gd name="T59" fmla="*/ 14 h 8316"/>
                              <a:gd name="T60" fmla="*/ 8959 w 8960"/>
                              <a:gd name="T61" fmla="*/ 8302 h 8316"/>
                              <a:gd name="T62" fmla="*/ 8952 w 8960"/>
                              <a:gd name="T63" fmla="*/ 8302 h 8316"/>
                              <a:gd name="T64" fmla="*/ 8945 w 8960"/>
                              <a:gd name="T65" fmla="*/ 8309 h 8316"/>
                              <a:gd name="T66" fmla="*/ 8959 w 8960"/>
                              <a:gd name="T67" fmla="*/ 14 h 8316"/>
                              <a:gd name="T68" fmla="*/ 8952 w 8960"/>
                              <a:gd name="T69" fmla="*/ 14 h 8316"/>
                              <a:gd name="T70" fmla="*/ 8945 w 8960"/>
                              <a:gd name="T71" fmla="*/ 7 h 8316"/>
                              <a:gd name="T72" fmla="*/ 8959 w 8960"/>
                              <a:gd name="T73" fmla="*/ 7 h 8316"/>
                              <a:gd name="T74" fmla="*/ 8959 w 8960"/>
                              <a:gd name="T75" fmla="*/ 14 h 8316"/>
                              <a:gd name="T76" fmla="*/ 14 w 8960"/>
                              <a:gd name="T77" fmla="*/ 8309 h 8316"/>
                              <a:gd name="T78" fmla="*/ 7 w 8960"/>
                              <a:gd name="T79" fmla="*/ 8302 h 8316"/>
                              <a:gd name="T80" fmla="*/ 14 w 8960"/>
                              <a:gd name="T81" fmla="*/ 8302 h 8316"/>
                              <a:gd name="T82" fmla="*/ 14 w 8960"/>
                              <a:gd name="T83" fmla="*/ 8309 h 8316"/>
                              <a:gd name="T84" fmla="*/ 8945 w 8960"/>
                              <a:gd name="T85" fmla="*/ 8309 h 8316"/>
                              <a:gd name="T86" fmla="*/ 14 w 8960"/>
                              <a:gd name="T87" fmla="*/ 8309 h 8316"/>
                              <a:gd name="T88" fmla="*/ 14 w 8960"/>
                              <a:gd name="T89" fmla="*/ 8302 h 8316"/>
                              <a:gd name="T90" fmla="*/ 8945 w 8960"/>
                              <a:gd name="T91" fmla="*/ 8302 h 8316"/>
                              <a:gd name="T92" fmla="*/ 8945 w 8960"/>
                              <a:gd name="T93" fmla="*/ 8309 h 8316"/>
                              <a:gd name="T94" fmla="*/ 8959 w 8960"/>
                              <a:gd name="T95" fmla="*/ 8309 h 8316"/>
                              <a:gd name="T96" fmla="*/ 8945 w 8960"/>
                              <a:gd name="T97" fmla="*/ 8309 h 8316"/>
                              <a:gd name="T98" fmla="*/ 8952 w 8960"/>
                              <a:gd name="T99" fmla="*/ 8302 h 8316"/>
                              <a:gd name="T100" fmla="*/ 8959 w 8960"/>
                              <a:gd name="T101" fmla="*/ 8302 h 8316"/>
                              <a:gd name="T102" fmla="*/ 8959 w 8960"/>
                              <a:gd name="T103" fmla="*/ 8309 h 8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960" h="8316">
                                <a:moveTo>
                                  <a:pt x="8957" y="8316"/>
                                </a:moveTo>
                                <a:lnTo>
                                  <a:pt x="2" y="8316"/>
                                </a:lnTo>
                                <a:lnTo>
                                  <a:pt x="0" y="8314"/>
                                </a:lnTo>
                                <a:lnTo>
                                  <a:pt x="0" y="2"/>
                                </a:lnTo>
                                <a:lnTo>
                                  <a:pt x="2" y="0"/>
                                </a:lnTo>
                                <a:lnTo>
                                  <a:pt x="8957" y="0"/>
                                </a:lnTo>
                                <a:lnTo>
                                  <a:pt x="8959" y="2"/>
                                </a:lnTo>
                                <a:lnTo>
                                  <a:pt x="8959" y="7"/>
                                </a:lnTo>
                                <a:lnTo>
                                  <a:pt x="14" y="7"/>
                                </a:lnTo>
                                <a:lnTo>
                                  <a:pt x="7" y="14"/>
                                </a:lnTo>
                                <a:lnTo>
                                  <a:pt x="14" y="14"/>
                                </a:lnTo>
                                <a:lnTo>
                                  <a:pt x="14" y="8302"/>
                                </a:lnTo>
                                <a:lnTo>
                                  <a:pt x="7" y="8302"/>
                                </a:lnTo>
                                <a:lnTo>
                                  <a:pt x="14" y="8309"/>
                                </a:lnTo>
                                <a:lnTo>
                                  <a:pt x="8959" y="8309"/>
                                </a:lnTo>
                                <a:lnTo>
                                  <a:pt x="8959" y="8314"/>
                                </a:lnTo>
                                <a:lnTo>
                                  <a:pt x="8957" y="8316"/>
                                </a:lnTo>
                                <a:close/>
                                <a:moveTo>
                                  <a:pt x="14" y="14"/>
                                </a:moveTo>
                                <a:lnTo>
                                  <a:pt x="7" y="14"/>
                                </a:lnTo>
                                <a:lnTo>
                                  <a:pt x="14" y="7"/>
                                </a:lnTo>
                                <a:lnTo>
                                  <a:pt x="14" y="14"/>
                                </a:lnTo>
                                <a:close/>
                                <a:moveTo>
                                  <a:pt x="8945" y="14"/>
                                </a:moveTo>
                                <a:lnTo>
                                  <a:pt x="14" y="14"/>
                                </a:lnTo>
                                <a:lnTo>
                                  <a:pt x="14" y="7"/>
                                </a:lnTo>
                                <a:lnTo>
                                  <a:pt x="8945" y="7"/>
                                </a:lnTo>
                                <a:lnTo>
                                  <a:pt x="8945" y="14"/>
                                </a:lnTo>
                                <a:close/>
                                <a:moveTo>
                                  <a:pt x="8945" y="8309"/>
                                </a:moveTo>
                                <a:lnTo>
                                  <a:pt x="8945" y="7"/>
                                </a:lnTo>
                                <a:lnTo>
                                  <a:pt x="8952" y="14"/>
                                </a:lnTo>
                                <a:lnTo>
                                  <a:pt x="8959" y="14"/>
                                </a:lnTo>
                                <a:lnTo>
                                  <a:pt x="8959" y="8302"/>
                                </a:lnTo>
                                <a:lnTo>
                                  <a:pt x="8952" y="8302"/>
                                </a:lnTo>
                                <a:lnTo>
                                  <a:pt x="8945" y="8309"/>
                                </a:lnTo>
                                <a:close/>
                                <a:moveTo>
                                  <a:pt x="8959" y="14"/>
                                </a:moveTo>
                                <a:lnTo>
                                  <a:pt x="8952" y="14"/>
                                </a:lnTo>
                                <a:lnTo>
                                  <a:pt x="8945" y="7"/>
                                </a:lnTo>
                                <a:lnTo>
                                  <a:pt x="8959" y="7"/>
                                </a:lnTo>
                                <a:lnTo>
                                  <a:pt x="8959" y="14"/>
                                </a:lnTo>
                                <a:close/>
                                <a:moveTo>
                                  <a:pt x="14" y="8309"/>
                                </a:moveTo>
                                <a:lnTo>
                                  <a:pt x="7" y="8302"/>
                                </a:lnTo>
                                <a:lnTo>
                                  <a:pt x="14" y="8302"/>
                                </a:lnTo>
                                <a:lnTo>
                                  <a:pt x="14" y="8309"/>
                                </a:lnTo>
                                <a:close/>
                                <a:moveTo>
                                  <a:pt x="8945" y="8309"/>
                                </a:moveTo>
                                <a:lnTo>
                                  <a:pt x="14" y="8309"/>
                                </a:lnTo>
                                <a:lnTo>
                                  <a:pt x="14" y="8302"/>
                                </a:lnTo>
                                <a:lnTo>
                                  <a:pt x="8945" y="8302"/>
                                </a:lnTo>
                                <a:lnTo>
                                  <a:pt x="8945" y="8309"/>
                                </a:lnTo>
                                <a:close/>
                                <a:moveTo>
                                  <a:pt x="8959" y="8309"/>
                                </a:moveTo>
                                <a:lnTo>
                                  <a:pt x="8945" y="8309"/>
                                </a:lnTo>
                                <a:lnTo>
                                  <a:pt x="8952" y="8302"/>
                                </a:lnTo>
                                <a:lnTo>
                                  <a:pt x="8959" y="8302"/>
                                </a:lnTo>
                                <a:lnTo>
                                  <a:pt x="8959" y="83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1D9EEFF" id="Group 17" o:spid="_x0000_s1026" style="width:448pt;height:415.8pt;mso-position-horizontal-relative:char;mso-position-vertical-relative:line" coordsize="8960,8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">
                <v:shape id="Picture 19" o:spid="_x0000_s1027" type="#_x0000_t75" style="position:absolute;left:7;top:7;width:8943;height: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">
                  <v:imagedata r:id="rId322" o:title=""/>
                </v:shape>
                <v:shape id="AutoShape 18" o:spid="_x0000_s1028" style="position:absolute;width:8960;height:8316;visibility:visible;mso-wrap-style:square;v-text-anchor:top" coordsize="8960,8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" path="m8957,8316l2,8316,,8314,,2,2,,8957,r2,2l8959,7,14,7,7,14r7,l14,8302r-7,l14,8309r8945,l8959,8314r-2,2xm14,14r-7,l14,7r,7xm8945,14l14,14r,-7l8945,7r,7xm8945,8309l8945,7r7,7l8959,14r,8288l8952,8302r-7,7xm8959,14r-7,l8945,7r14,l8959,14xm14,8309r-7,-7l14,8302r,7xm8945,8309r-8931,l14,8302r8931,l8945,8309xm8959,8309r-14,l8952,8302r7,l8959,8309xe" fillcolor="black" stroked="f">
                  <v:path arrowok="t" o:connecttype="custom" o:connectlocs="8957,8316;2,8316;0,8314;0,2;2,0;8957,0;8959,2;8959,7;14,7;7,14;14,14;14,8302;7,8302;14,8309;8959,8309;8959,8314;8957,8316;14,14;7,14;14,7;14,14;8945,14;14,14;14,7;8945,7;8945,14;8945,8309;8945,7;8952,14;8959,14;8959,8302;8952,8302;8945,8309;8959,14;8952,14;8945,7;8959,7;8959,14;14,8309;7,8302;14,8302;14,8309;8945,8309;14,8309;14,8302;8945,8302;8945,8309;8959,8309;8945,8309;8952,8302;8959,8302;8959,8309" o:connectangles="0,0,0,0,0,0,0,0,0,0,0,0,0,0,0,0,0,0,0,0,0,0,0,0,0,0,0,0,0,0,0,0,0,0,0,0,0,0,0,0,0,0,0,0,0,0,0,0,0,0,0,0"/>
                </v:shape>
                <w10:anchorlock/>
              </v:group>
            </w:pict>
          </mc:Fallback>
        </mc:AlternateContent>
      </w:r>
    </w:p>
    <w:p w14:paraId="578E1185" w14:textId="77777777" w:rsidR="00665A13" w:rsidRDefault="00665A13" w:rsidP="00665A13">
      <w:pPr>
        <w:pStyle w:val="BodyText"/>
        <w:rPr>
          <w:i/>
          <w:sz w:val="15"/>
        </w:rPr>
      </w:pPr>
    </w:p>
    <w:p w14:paraId="004301AC" w14:textId="77777777" w:rsidR="00665A13" w:rsidRDefault="00665A13" w:rsidP="00665A13">
      <w:pPr>
        <w:spacing w:before="56"/>
        <w:ind w:left="335"/>
        <w:rPr>
          <w:i/>
        </w:rPr>
      </w:pPr>
      <w:r>
        <w:rPr>
          <w:b/>
        </w:rPr>
        <w:t>Figure 5 - Elevations illustrating incompatible alterations and additions</w:t>
      </w:r>
      <w:r>
        <w:rPr>
          <w:b/>
          <w:i/>
        </w:rPr>
        <w:t xml:space="preserve">. </w:t>
      </w:r>
      <w:r>
        <w:rPr>
          <w:i/>
        </w:rPr>
        <w:t>Griffiths Architects 2015</w:t>
      </w:r>
    </w:p>
    <w:p w14:paraId="25A3DB9C" w14:textId="77777777" w:rsidR="00665A13" w:rsidRDefault="00665A13" w:rsidP="00665A13">
      <w:pPr>
        <w:sectPr w:rsidR="00665A13">
          <w:pgSz w:w="11910" w:h="16840"/>
          <w:pgMar w:top="1440" w:right="980" w:bottom="1200" w:left="1320" w:header="0" w:footer="1002" w:gutter="0"/>
          <w:cols w:space="720"/>
        </w:sectPr>
      </w:pPr>
    </w:p>
    <w:p w14:paraId="1A2CA506" w14:textId="77777777" w:rsidR="00665A13" w:rsidRPr="001414BA" w:rsidRDefault="00665A13" w:rsidP="001414BA">
      <w:pPr>
        <w:ind w:right="538"/>
        <w:jc w:val="right"/>
        <w:rPr>
          <w:b/>
        </w:rPr>
      </w:pPr>
      <w:bookmarkStart w:id="561" w:name="_TOC_250004"/>
      <w:bookmarkEnd w:id="561"/>
      <w:r w:rsidRPr="001414BA">
        <w:rPr>
          <w:b/>
        </w:rPr>
        <w:lastRenderedPageBreak/>
        <w:t>APPENDIX 3: HERCON CRITERIA</w:t>
      </w:r>
    </w:p>
    <w:p w14:paraId="3DC3A5A1" w14:textId="77777777" w:rsidR="00665A13" w:rsidRDefault="00665A13" w:rsidP="00665A13">
      <w:pPr>
        <w:pStyle w:val="BodyText"/>
        <w:rPr>
          <w:b/>
        </w:rPr>
      </w:pPr>
    </w:p>
    <w:p w14:paraId="15B5F226" w14:textId="77777777" w:rsidR="00665A13" w:rsidRPr="001414BA" w:rsidRDefault="00665A13" w:rsidP="00665A13">
      <w:pPr>
        <w:pStyle w:val="BodyText"/>
        <w:ind w:left="120" w:right="451"/>
        <w:jc w:val="both"/>
        <w:rPr>
          <w:rFonts w:asciiTheme="minorHAnsi" w:hAnsiTheme="minorHAnsi" w:cstheme="minorHAnsi"/>
        </w:rPr>
      </w:pPr>
      <w:r w:rsidRPr="001414BA">
        <w:rPr>
          <w:rFonts w:asciiTheme="minorHAnsi" w:hAnsiTheme="minorHAnsi" w:cstheme="minorHAnsi"/>
        </w:rPr>
        <w:t>The</w:t>
      </w:r>
      <w:r w:rsidRPr="001414BA">
        <w:rPr>
          <w:rFonts w:asciiTheme="minorHAnsi" w:hAnsiTheme="minorHAnsi" w:cstheme="minorHAnsi"/>
          <w:spacing w:val="-11"/>
        </w:rPr>
        <w:t xml:space="preserve"> </w:t>
      </w:r>
      <w:r w:rsidRPr="001414BA">
        <w:rPr>
          <w:rFonts w:asciiTheme="minorHAnsi" w:hAnsiTheme="minorHAnsi" w:cstheme="minorHAnsi"/>
        </w:rPr>
        <w:t>following</w:t>
      </w:r>
      <w:r w:rsidRPr="001414BA">
        <w:rPr>
          <w:rFonts w:asciiTheme="minorHAnsi" w:hAnsiTheme="minorHAnsi" w:cstheme="minorHAnsi"/>
          <w:spacing w:val="-10"/>
        </w:rPr>
        <w:t xml:space="preserve"> </w:t>
      </w:r>
      <w:r w:rsidRPr="001414BA">
        <w:rPr>
          <w:rFonts w:asciiTheme="minorHAnsi" w:hAnsiTheme="minorHAnsi" w:cstheme="minorHAnsi"/>
        </w:rPr>
        <w:t>list</w:t>
      </w:r>
      <w:r w:rsidRPr="001414BA">
        <w:rPr>
          <w:rFonts w:asciiTheme="minorHAnsi" w:hAnsiTheme="minorHAnsi" w:cstheme="minorHAnsi"/>
          <w:spacing w:val="-11"/>
        </w:rPr>
        <w:t xml:space="preserve"> </w:t>
      </w:r>
      <w:r w:rsidRPr="001414BA">
        <w:rPr>
          <w:rFonts w:asciiTheme="minorHAnsi" w:hAnsiTheme="minorHAnsi" w:cstheme="minorHAnsi"/>
        </w:rPr>
        <w:t>is</w:t>
      </w:r>
      <w:r w:rsidRPr="001414BA">
        <w:rPr>
          <w:rFonts w:asciiTheme="minorHAnsi" w:hAnsiTheme="minorHAnsi" w:cstheme="minorHAnsi"/>
          <w:spacing w:val="-10"/>
        </w:rPr>
        <w:t xml:space="preserve"> </w:t>
      </w:r>
      <w:r w:rsidRPr="001414BA">
        <w:rPr>
          <w:rFonts w:asciiTheme="minorHAnsi" w:hAnsiTheme="minorHAnsi" w:cstheme="minorHAnsi"/>
        </w:rPr>
        <w:t>the</w:t>
      </w:r>
      <w:r w:rsidRPr="001414BA">
        <w:rPr>
          <w:rFonts w:asciiTheme="minorHAnsi" w:hAnsiTheme="minorHAnsi" w:cstheme="minorHAnsi"/>
          <w:spacing w:val="-12"/>
        </w:rPr>
        <w:t xml:space="preserve"> </w:t>
      </w:r>
      <w:r w:rsidRPr="001414BA">
        <w:rPr>
          <w:rFonts w:asciiTheme="minorHAnsi" w:hAnsiTheme="minorHAnsi" w:cstheme="minorHAnsi"/>
        </w:rPr>
        <w:t>Common</w:t>
      </w:r>
      <w:r w:rsidRPr="001414BA">
        <w:rPr>
          <w:rFonts w:asciiTheme="minorHAnsi" w:hAnsiTheme="minorHAnsi" w:cstheme="minorHAnsi"/>
          <w:spacing w:val="-14"/>
        </w:rPr>
        <w:t xml:space="preserve"> </w:t>
      </w:r>
      <w:r w:rsidRPr="001414BA">
        <w:rPr>
          <w:rFonts w:asciiTheme="minorHAnsi" w:hAnsiTheme="minorHAnsi" w:cstheme="minorHAnsi"/>
        </w:rPr>
        <w:t>Criteria</w:t>
      </w:r>
      <w:r w:rsidRPr="001414BA">
        <w:rPr>
          <w:rFonts w:asciiTheme="minorHAnsi" w:hAnsiTheme="minorHAnsi" w:cstheme="minorHAnsi"/>
          <w:spacing w:val="-10"/>
        </w:rPr>
        <w:t xml:space="preserve"> </w:t>
      </w:r>
      <w:r w:rsidRPr="001414BA">
        <w:rPr>
          <w:rFonts w:asciiTheme="minorHAnsi" w:hAnsiTheme="minorHAnsi" w:cstheme="minorHAnsi"/>
        </w:rPr>
        <w:t>adopted</w:t>
      </w:r>
      <w:r w:rsidRPr="001414BA">
        <w:rPr>
          <w:rFonts w:asciiTheme="minorHAnsi" w:hAnsiTheme="minorHAnsi" w:cstheme="minorHAnsi"/>
          <w:spacing w:val="-13"/>
        </w:rPr>
        <w:t xml:space="preserve"> </w:t>
      </w:r>
      <w:r w:rsidRPr="001414BA">
        <w:rPr>
          <w:rFonts w:asciiTheme="minorHAnsi" w:hAnsiTheme="minorHAnsi" w:cstheme="minorHAnsi"/>
        </w:rPr>
        <w:t>by</w:t>
      </w:r>
      <w:r w:rsidRPr="001414BA">
        <w:rPr>
          <w:rFonts w:asciiTheme="minorHAnsi" w:hAnsiTheme="minorHAnsi" w:cstheme="minorHAnsi"/>
          <w:spacing w:val="-11"/>
        </w:rPr>
        <w:t xml:space="preserve"> </w:t>
      </w:r>
      <w:r w:rsidRPr="001414BA">
        <w:rPr>
          <w:rFonts w:asciiTheme="minorHAnsi" w:hAnsiTheme="minorHAnsi" w:cstheme="minorHAnsi"/>
        </w:rPr>
        <w:t>the</w:t>
      </w:r>
      <w:r w:rsidRPr="001414BA">
        <w:rPr>
          <w:rFonts w:asciiTheme="minorHAnsi" w:hAnsiTheme="minorHAnsi" w:cstheme="minorHAnsi"/>
          <w:spacing w:val="-12"/>
        </w:rPr>
        <w:t xml:space="preserve"> </w:t>
      </w:r>
      <w:r w:rsidRPr="001414BA">
        <w:rPr>
          <w:rFonts w:asciiTheme="minorHAnsi" w:hAnsiTheme="minorHAnsi" w:cstheme="minorHAnsi"/>
        </w:rPr>
        <w:t>Environment</w:t>
      </w:r>
      <w:r w:rsidRPr="001414BA">
        <w:rPr>
          <w:rFonts w:asciiTheme="minorHAnsi" w:hAnsiTheme="minorHAnsi" w:cstheme="minorHAnsi"/>
          <w:spacing w:val="-13"/>
        </w:rPr>
        <w:t xml:space="preserve"> </w:t>
      </w:r>
      <w:r w:rsidRPr="001414BA">
        <w:rPr>
          <w:rFonts w:asciiTheme="minorHAnsi" w:hAnsiTheme="minorHAnsi" w:cstheme="minorHAnsi"/>
        </w:rPr>
        <w:t>Protection</w:t>
      </w:r>
      <w:r w:rsidRPr="001414BA">
        <w:rPr>
          <w:rFonts w:asciiTheme="minorHAnsi" w:hAnsiTheme="minorHAnsi" w:cstheme="minorHAnsi"/>
          <w:spacing w:val="-14"/>
        </w:rPr>
        <w:t xml:space="preserve"> </w:t>
      </w:r>
      <w:r w:rsidRPr="001414BA">
        <w:rPr>
          <w:rFonts w:asciiTheme="minorHAnsi" w:hAnsiTheme="minorHAnsi" w:cstheme="minorHAnsi"/>
        </w:rPr>
        <w:t>and</w:t>
      </w:r>
      <w:r w:rsidRPr="001414BA">
        <w:rPr>
          <w:rFonts w:asciiTheme="minorHAnsi" w:hAnsiTheme="minorHAnsi" w:cstheme="minorHAnsi"/>
          <w:spacing w:val="-10"/>
        </w:rPr>
        <w:t xml:space="preserve"> </w:t>
      </w:r>
      <w:r w:rsidRPr="001414BA">
        <w:rPr>
          <w:rFonts w:asciiTheme="minorHAnsi" w:hAnsiTheme="minorHAnsi" w:cstheme="minorHAnsi"/>
        </w:rPr>
        <w:t>Heritage</w:t>
      </w:r>
      <w:r w:rsidRPr="001414BA">
        <w:rPr>
          <w:rFonts w:asciiTheme="minorHAnsi" w:hAnsiTheme="minorHAnsi" w:cstheme="minorHAnsi"/>
          <w:spacing w:val="-11"/>
        </w:rPr>
        <w:t xml:space="preserve"> </w:t>
      </w:r>
      <w:r w:rsidRPr="001414BA">
        <w:rPr>
          <w:rFonts w:asciiTheme="minorHAnsi" w:hAnsiTheme="minorHAnsi" w:cstheme="minorHAnsi"/>
        </w:rPr>
        <w:t>Council of the Australian and State/Territory Governments in April 2008 (comprising the model criteria developed at the National Heritage Convention (HERCON) in Canberra,</w:t>
      </w:r>
      <w:r w:rsidRPr="001414BA">
        <w:rPr>
          <w:rFonts w:asciiTheme="minorHAnsi" w:hAnsiTheme="minorHAnsi" w:cstheme="minorHAnsi"/>
          <w:spacing w:val="-11"/>
        </w:rPr>
        <w:t xml:space="preserve"> </w:t>
      </w:r>
      <w:r w:rsidRPr="001414BA">
        <w:rPr>
          <w:rFonts w:asciiTheme="minorHAnsi" w:hAnsiTheme="minorHAnsi" w:cstheme="minorHAnsi"/>
        </w:rPr>
        <w:t>1998):</w:t>
      </w:r>
    </w:p>
    <w:p w14:paraId="00175B6C" w14:textId="77777777" w:rsidR="00665A13" w:rsidRDefault="00665A13" w:rsidP="002A3889">
      <w:pPr>
        <w:pStyle w:val="ListParagraph"/>
        <w:widowControl w:val="0"/>
        <w:numPr>
          <w:ilvl w:val="0"/>
          <w:numId w:val="392"/>
        </w:numPr>
        <w:tabs>
          <w:tab w:val="left" w:pos="480"/>
        </w:tabs>
        <w:autoSpaceDE w:val="0"/>
        <w:autoSpaceDN w:val="0"/>
        <w:spacing w:after="0" w:line="240" w:lineRule="auto"/>
        <w:contextualSpacing w:val="0"/>
        <w:jc w:val="both"/>
      </w:pPr>
      <w:r>
        <w:t>Importance to the course, or pattern of our cultural or natural</w:t>
      </w:r>
      <w:r>
        <w:rPr>
          <w:spacing w:val="-18"/>
        </w:rPr>
        <w:t xml:space="preserve"> </w:t>
      </w:r>
      <w:r>
        <w:t>history.</w:t>
      </w:r>
    </w:p>
    <w:p w14:paraId="1B1AF9E1" w14:textId="77777777" w:rsidR="00665A13" w:rsidRDefault="00665A13" w:rsidP="002A3889">
      <w:pPr>
        <w:pStyle w:val="ListParagraph"/>
        <w:widowControl w:val="0"/>
        <w:numPr>
          <w:ilvl w:val="0"/>
          <w:numId w:val="392"/>
        </w:numPr>
        <w:tabs>
          <w:tab w:val="left" w:pos="480"/>
        </w:tabs>
        <w:autoSpaceDE w:val="0"/>
        <w:autoSpaceDN w:val="0"/>
        <w:spacing w:after="0" w:line="240" w:lineRule="auto"/>
        <w:contextualSpacing w:val="0"/>
        <w:jc w:val="both"/>
      </w:pPr>
      <w:r>
        <w:t>Possession of uncommon, rare or endangered aspects of our cultural or natural</w:t>
      </w:r>
      <w:r>
        <w:rPr>
          <w:spacing w:val="-23"/>
        </w:rPr>
        <w:t xml:space="preserve"> </w:t>
      </w:r>
      <w:r>
        <w:t>history.</w:t>
      </w:r>
    </w:p>
    <w:p w14:paraId="74F0F6B1" w14:textId="77777777" w:rsidR="00665A13" w:rsidRDefault="00665A13" w:rsidP="002A3889">
      <w:pPr>
        <w:pStyle w:val="ListParagraph"/>
        <w:widowControl w:val="0"/>
        <w:numPr>
          <w:ilvl w:val="0"/>
          <w:numId w:val="392"/>
        </w:numPr>
        <w:tabs>
          <w:tab w:val="left" w:pos="480"/>
        </w:tabs>
        <w:autoSpaceDE w:val="0"/>
        <w:autoSpaceDN w:val="0"/>
        <w:spacing w:after="0" w:line="240" w:lineRule="auto"/>
        <w:ind w:right="455"/>
        <w:contextualSpacing w:val="0"/>
        <w:jc w:val="both"/>
      </w:pPr>
      <w:r>
        <w:t xml:space="preserve">Potential to yield information that will contribute to </w:t>
      </w:r>
      <w:r>
        <w:rPr>
          <w:spacing w:val="-3"/>
        </w:rPr>
        <w:t xml:space="preserve">an </w:t>
      </w:r>
      <w:r>
        <w:t>understanding of our cultural or natural history.</w:t>
      </w:r>
    </w:p>
    <w:p w14:paraId="5B34D67D" w14:textId="77777777" w:rsidR="00665A13" w:rsidRDefault="00665A13" w:rsidP="002A3889">
      <w:pPr>
        <w:pStyle w:val="ListParagraph"/>
        <w:widowControl w:val="0"/>
        <w:numPr>
          <w:ilvl w:val="0"/>
          <w:numId w:val="392"/>
        </w:numPr>
        <w:tabs>
          <w:tab w:val="left" w:pos="480"/>
        </w:tabs>
        <w:autoSpaceDE w:val="0"/>
        <w:autoSpaceDN w:val="0"/>
        <w:spacing w:before="1" w:after="0" w:line="240" w:lineRule="auto"/>
        <w:ind w:right="452"/>
        <w:contextualSpacing w:val="0"/>
        <w:jc w:val="both"/>
      </w:pPr>
      <w:r>
        <w:t>Important in demonstrating the principal characteristics of a class of cultural or natural places or environments.</w:t>
      </w:r>
    </w:p>
    <w:p w14:paraId="151572B9" w14:textId="77777777" w:rsidR="00665A13" w:rsidRDefault="00665A13" w:rsidP="002A3889">
      <w:pPr>
        <w:pStyle w:val="ListParagraph"/>
        <w:widowControl w:val="0"/>
        <w:numPr>
          <w:ilvl w:val="0"/>
          <w:numId w:val="392"/>
        </w:numPr>
        <w:tabs>
          <w:tab w:val="left" w:pos="480"/>
        </w:tabs>
        <w:autoSpaceDE w:val="0"/>
        <w:autoSpaceDN w:val="0"/>
        <w:spacing w:after="0" w:line="240" w:lineRule="auto"/>
        <w:contextualSpacing w:val="0"/>
        <w:jc w:val="both"/>
      </w:pPr>
      <w:r>
        <w:t xml:space="preserve">Importance in exhibiting </w:t>
      </w:r>
      <w:proofErr w:type="gramStart"/>
      <w:r>
        <w:t>particular aesthetic</w:t>
      </w:r>
      <w:proofErr w:type="gramEnd"/>
      <w:r>
        <w:rPr>
          <w:spacing w:val="-9"/>
        </w:rPr>
        <w:t xml:space="preserve"> </w:t>
      </w:r>
      <w:r>
        <w:t>characteristics.</w:t>
      </w:r>
    </w:p>
    <w:p w14:paraId="72DED99A" w14:textId="77777777" w:rsidR="00665A13" w:rsidRDefault="00665A13" w:rsidP="002A3889">
      <w:pPr>
        <w:pStyle w:val="ListParagraph"/>
        <w:widowControl w:val="0"/>
        <w:numPr>
          <w:ilvl w:val="0"/>
          <w:numId w:val="392"/>
        </w:numPr>
        <w:tabs>
          <w:tab w:val="left" w:pos="480"/>
        </w:tabs>
        <w:autoSpaceDE w:val="0"/>
        <w:autoSpaceDN w:val="0"/>
        <w:spacing w:before="3" w:after="0" w:line="237" w:lineRule="auto"/>
        <w:ind w:right="450"/>
        <w:contextualSpacing w:val="0"/>
        <w:jc w:val="both"/>
      </w:pPr>
      <w:r>
        <w:t>Importance in demonstrating a high degree of creative or technical achievement at a particular period.</w:t>
      </w:r>
    </w:p>
    <w:p w14:paraId="6A4EE433" w14:textId="77777777" w:rsidR="00665A13" w:rsidRDefault="00665A13" w:rsidP="002A3889">
      <w:pPr>
        <w:pStyle w:val="ListParagraph"/>
        <w:widowControl w:val="0"/>
        <w:numPr>
          <w:ilvl w:val="0"/>
          <w:numId w:val="392"/>
        </w:numPr>
        <w:tabs>
          <w:tab w:val="left" w:pos="480"/>
        </w:tabs>
        <w:autoSpaceDE w:val="0"/>
        <w:autoSpaceDN w:val="0"/>
        <w:spacing w:before="1" w:after="0" w:line="240" w:lineRule="auto"/>
        <w:ind w:right="452"/>
        <w:contextualSpacing w:val="0"/>
        <w:jc w:val="both"/>
      </w:pPr>
      <w:r>
        <w:t>Strong or special association with a particular community or cultural group for social, cultural or spiritual reasons. This includes the significance of a place to Indigenous peoples as part of their continuing and developing cultural</w:t>
      </w:r>
      <w:r>
        <w:rPr>
          <w:spacing w:val="-5"/>
        </w:rPr>
        <w:t xml:space="preserve"> </w:t>
      </w:r>
      <w:r>
        <w:t>traditions.</w:t>
      </w:r>
    </w:p>
    <w:p w14:paraId="6F957116" w14:textId="77777777" w:rsidR="00665A13" w:rsidRDefault="00665A13" w:rsidP="002A3889">
      <w:pPr>
        <w:pStyle w:val="ListParagraph"/>
        <w:widowControl w:val="0"/>
        <w:numPr>
          <w:ilvl w:val="0"/>
          <w:numId w:val="392"/>
        </w:numPr>
        <w:tabs>
          <w:tab w:val="left" w:pos="480"/>
        </w:tabs>
        <w:autoSpaceDE w:val="0"/>
        <w:autoSpaceDN w:val="0"/>
        <w:spacing w:before="1" w:after="0" w:line="240" w:lineRule="auto"/>
        <w:ind w:right="451"/>
        <w:contextualSpacing w:val="0"/>
        <w:jc w:val="both"/>
      </w:pPr>
      <w:r>
        <w:t>Special association with the life or works of a person, or group of persons, of importance in our history.</w:t>
      </w:r>
    </w:p>
    <w:p w14:paraId="53203CCC" w14:textId="77777777" w:rsidR="00665A13" w:rsidRDefault="00665A13" w:rsidP="00665A13">
      <w:pPr>
        <w:jc w:val="both"/>
        <w:sectPr w:rsidR="00665A13">
          <w:pgSz w:w="11910" w:h="16840"/>
          <w:pgMar w:top="1380" w:right="980" w:bottom="1200" w:left="1320" w:header="0" w:footer="1002" w:gutter="0"/>
          <w:cols w:space="720"/>
        </w:sectPr>
      </w:pPr>
    </w:p>
    <w:p w14:paraId="16C935DA" w14:textId="77777777" w:rsidR="00665A13" w:rsidRPr="001414BA" w:rsidRDefault="00665A13" w:rsidP="001414BA">
      <w:pPr>
        <w:ind w:right="396"/>
        <w:jc w:val="right"/>
        <w:rPr>
          <w:b/>
        </w:rPr>
      </w:pPr>
      <w:bookmarkStart w:id="562" w:name="_TOC_250003"/>
      <w:bookmarkEnd w:id="562"/>
      <w:r w:rsidRPr="001414BA">
        <w:rPr>
          <w:b/>
        </w:rPr>
        <w:lastRenderedPageBreak/>
        <w:t>APPENDIX 4: NEW BUILDINGS</w:t>
      </w:r>
    </w:p>
    <w:p w14:paraId="4023BA92" w14:textId="77777777" w:rsidR="00665A13" w:rsidRDefault="00665A13" w:rsidP="00665A13">
      <w:pPr>
        <w:pStyle w:val="BodyText"/>
        <w:spacing w:before="3"/>
        <w:rPr>
          <w:b/>
          <w:sz w:val="20"/>
        </w:rPr>
      </w:pPr>
      <w:r>
        <w:rPr>
          <w:noProof/>
          <w:lang w:val="en-AU" w:eastAsia="en-AU"/>
        </w:rPr>
        <mc:AlternateContent>
          <mc:Choice Requires="wpg">
            <w:drawing>
              <wp:anchor distT="0" distB="0" distL="0" distR="0" simplePos="0" relativeHeight="251621376" behindDoc="1" locked="0" layoutInCell="1" allowOverlap="1" wp14:anchorId="75E005AB" wp14:editId="2E467140">
                <wp:simplePos x="0" y="0"/>
                <wp:positionH relativeFrom="page">
                  <wp:posOffset>925195</wp:posOffset>
                </wp:positionH>
                <wp:positionV relativeFrom="paragraph">
                  <wp:posOffset>181610</wp:posOffset>
                </wp:positionV>
                <wp:extent cx="5753100" cy="2581910"/>
                <wp:effectExtent l="0" t="0" r="0" b="0"/>
                <wp:wrapTopAndBottom/>
                <wp:docPr id="24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0" cy="2581910"/>
                          <a:chOff x="1457" y="286"/>
                          <a:chExt cx="9060" cy="4066"/>
                        </a:xfrm>
                      </wpg:grpSpPr>
                      <pic:pic xmlns:pic="http://schemas.openxmlformats.org/drawingml/2006/picture">
                        <pic:nvPicPr>
                          <pic:cNvPr id="247" name="Picture 16"/>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1771" y="370"/>
                            <a:ext cx="8640" cy="3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AutoShape 15"/>
                        <wps:cNvSpPr>
                          <a:spLocks/>
                        </wps:cNvSpPr>
                        <wps:spPr bwMode="auto">
                          <a:xfrm>
                            <a:off x="1456" y="286"/>
                            <a:ext cx="9060" cy="4066"/>
                          </a:xfrm>
                          <a:custGeom>
                            <a:avLst/>
                            <a:gdLst>
                              <a:gd name="T0" fmla="+- 0 10512 1457"/>
                              <a:gd name="T1" fmla="*/ T0 w 9060"/>
                              <a:gd name="T2" fmla="+- 0 4352 286"/>
                              <a:gd name="T3" fmla="*/ 4352 h 4066"/>
                              <a:gd name="T4" fmla="+- 0 1459 1457"/>
                              <a:gd name="T5" fmla="*/ T4 w 9060"/>
                              <a:gd name="T6" fmla="+- 0 4352 286"/>
                              <a:gd name="T7" fmla="*/ 4352 h 4066"/>
                              <a:gd name="T8" fmla="+- 0 1457 1457"/>
                              <a:gd name="T9" fmla="*/ T8 w 9060"/>
                              <a:gd name="T10" fmla="+- 0 4350 286"/>
                              <a:gd name="T11" fmla="*/ 4350 h 4066"/>
                              <a:gd name="T12" fmla="+- 0 1457 1457"/>
                              <a:gd name="T13" fmla="*/ T12 w 9060"/>
                              <a:gd name="T14" fmla="+- 0 289 286"/>
                              <a:gd name="T15" fmla="*/ 289 h 4066"/>
                              <a:gd name="T16" fmla="+- 0 1459 1457"/>
                              <a:gd name="T17" fmla="*/ T16 w 9060"/>
                              <a:gd name="T18" fmla="+- 0 286 286"/>
                              <a:gd name="T19" fmla="*/ 286 h 4066"/>
                              <a:gd name="T20" fmla="+- 0 10512 1457"/>
                              <a:gd name="T21" fmla="*/ T20 w 9060"/>
                              <a:gd name="T22" fmla="+- 0 286 286"/>
                              <a:gd name="T23" fmla="*/ 286 h 4066"/>
                              <a:gd name="T24" fmla="+- 0 10517 1457"/>
                              <a:gd name="T25" fmla="*/ T24 w 9060"/>
                              <a:gd name="T26" fmla="+- 0 289 286"/>
                              <a:gd name="T27" fmla="*/ 289 h 4066"/>
                              <a:gd name="T28" fmla="+- 0 10517 1457"/>
                              <a:gd name="T29" fmla="*/ T28 w 9060"/>
                              <a:gd name="T30" fmla="+- 0 294 286"/>
                              <a:gd name="T31" fmla="*/ 294 h 4066"/>
                              <a:gd name="T32" fmla="+- 0 1471 1457"/>
                              <a:gd name="T33" fmla="*/ T32 w 9060"/>
                              <a:gd name="T34" fmla="+- 0 294 286"/>
                              <a:gd name="T35" fmla="*/ 294 h 4066"/>
                              <a:gd name="T36" fmla="+- 0 1464 1457"/>
                              <a:gd name="T37" fmla="*/ T36 w 9060"/>
                              <a:gd name="T38" fmla="+- 0 301 286"/>
                              <a:gd name="T39" fmla="*/ 301 h 4066"/>
                              <a:gd name="T40" fmla="+- 0 1471 1457"/>
                              <a:gd name="T41" fmla="*/ T40 w 9060"/>
                              <a:gd name="T42" fmla="+- 0 301 286"/>
                              <a:gd name="T43" fmla="*/ 301 h 4066"/>
                              <a:gd name="T44" fmla="+- 0 1471 1457"/>
                              <a:gd name="T45" fmla="*/ T44 w 9060"/>
                              <a:gd name="T46" fmla="+- 0 4338 286"/>
                              <a:gd name="T47" fmla="*/ 4338 h 4066"/>
                              <a:gd name="T48" fmla="+- 0 1464 1457"/>
                              <a:gd name="T49" fmla="*/ T48 w 9060"/>
                              <a:gd name="T50" fmla="+- 0 4338 286"/>
                              <a:gd name="T51" fmla="*/ 4338 h 4066"/>
                              <a:gd name="T52" fmla="+- 0 1471 1457"/>
                              <a:gd name="T53" fmla="*/ T52 w 9060"/>
                              <a:gd name="T54" fmla="+- 0 4345 286"/>
                              <a:gd name="T55" fmla="*/ 4345 h 4066"/>
                              <a:gd name="T56" fmla="+- 0 10517 1457"/>
                              <a:gd name="T57" fmla="*/ T56 w 9060"/>
                              <a:gd name="T58" fmla="+- 0 4345 286"/>
                              <a:gd name="T59" fmla="*/ 4345 h 4066"/>
                              <a:gd name="T60" fmla="+- 0 10517 1457"/>
                              <a:gd name="T61" fmla="*/ T60 w 9060"/>
                              <a:gd name="T62" fmla="+- 0 4350 286"/>
                              <a:gd name="T63" fmla="*/ 4350 h 4066"/>
                              <a:gd name="T64" fmla="+- 0 10512 1457"/>
                              <a:gd name="T65" fmla="*/ T64 w 9060"/>
                              <a:gd name="T66" fmla="+- 0 4352 286"/>
                              <a:gd name="T67" fmla="*/ 4352 h 4066"/>
                              <a:gd name="T68" fmla="+- 0 1471 1457"/>
                              <a:gd name="T69" fmla="*/ T68 w 9060"/>
                              <a:gd name="T70" fmla="+- 0 301 286"/>
                              <a:gd name="T71" fmla="*/ 301 h 4066"/>
                              <a:gd name="T72" fmla="+- 0 1464 1457"/>
                              <a:gd name="T73" fmla="*/ T72 w 9060"/>
                              <a:gd name="T74" fmla="+- 0 301 286"/>
                              <a:gd name="T75" fmla="*/ 301 h 4066"/>
                              <a:gd name="T76" fmla="+- 0 1471 1457"/>
                              <a:gd name="T77" fmla="*/ T76 w 9060"/>
                              <a:gd name="T78" fmla="+- 0 294 286"/>
                              <a:gd name="T79" fmla="*/ 294 h 4066"/>
                              <a:gd name="T80" fmla="+- 0 1471 1457"/>
                              <a:gd name="T81" fmla="*/ T80 w 9060"/>
                              <a:gd name="T82" fmla="+- 0 301 286"/>
                              <a:gd name="T83" fmla="*/ 301 h 4066"/>
                              <a:gd name="T84" fmla="+- 0 10500 1457"/>
                              <a:gd name="T85" fmla="*/ T84 w 9060"/>
                              <a:gd name="T86" fmla="+- 0 301 286"/>
                              <a:gd name="T87" fmla="*/ 301 h 4066"/>
                              <a:gd name="T88" fmla="+- 0 1471 1457"/>
                              <a:gd name="T89" fmla="*/ T88 w 9060"/>
                              <a:gd name="T90" fmla="+- 0 301 286"/>
                              <a:gd name="T91" fmla="*/ 301 h 4066"/>
                              <a:gd name="T92" fmla="+- 0 1471 1457"/>
                              <a:gd name="T93" fmla="*/ T92 w 9060"/>
                              <a:gd name="T94" fmla="+- 0 294 286"/>
                              <a:gd name="T95" fmla="*/ 294 h 4066"/>
                              <a:gd name="T96" fmla="+- 0 10500 1457"/>
                              <a:gd name="T97" fmla="*/ T96 w 9060"/>
                              <a:gd name="T98" fmla="+- 0 294 286"/>
                              <a:gd name="T99" fmla="*/ 294 h 4066"/>
                              <a:gd name="T100" fmla="+- 0 10500 1457"/>
                              <a:gd name="T101" fmla="*/ T100 w 9060"/>
                              <a:gd name="T102" fmla="+- 0 301 286"/>
                              <a:gd name="T103" fmla="*/ 301 h 4066"/>
                              <a:gd name="T104" fmla="+- 0 10500 1457"/>
                              <a:gd name="T105" fmla="*/ T104 w 9060"/>
                              <a:gd name="T106" fmla="+- 0 4345 286"/>
                              <a:gd name="T107" fmla="*/ 4345 h 4066"/>
                              <a:gd name="T108" fmla="+- 0 10500 1457"/>
                              <a:gd name="T109" fmla="*/ T108 w 9060"/>
                              <a:gd name="T110" fmla="+- 0 294 286"/>
                              <a:gd name="T111" fmla="*/ 294 h 4066"/>
                              <a:gd name="T112" fmla="+- 0 10510 1457"/>
                              <a:gd name="T113" fmla="*/ T112 w 9060"/>
                              <a:gd name="T114" fmla="+- 0 301 286"/>
                              <a:gd name="T115" fmla="*/ 301 h 4066"/>
                              <a:gd name="T116" fmla="+- 0 10517 1457"/>
                              <a:gd name="T117" fmla="*/ T116 w 9060"/>
                              <a:gd name="T118" fmla="+- 0 301 286"/>
                              <a:gd name="T119" fmla="*/ 301 h 4066"/>
                              <a:gd name="T120" fmla="+- 0 10517 1457"/>
                              <a:gd name="T121" fmla="*/ T120 w 9060"/>
                              <a:gd name="T122" fmla="+- 0 4338 286"/>
                              <a:gd name="T123" fmla="*/ 4338 h 4066"/>
                              <a:gd name="T124" fmla="+- 0 10510 1457"/>
                              <a:gd name="T125" fmla="*/ T124 w 9060"/>
                              <a:gd name="T126" fmla="+- 0 4338 286"/>
                              <a:gd name="T127" fmla="*/ 4338 h 4066"/>
                              <a:gd name="T128" fmla="+- 0 10500 1457"/>
                              <a:gd name="T129" fmla="*/ T128 w 9060"/>
                              <a:gd name="T130" fmla="+- 0 4345 286"/>
                              <a:gd name="T131" fmla="*/ 4345 h 4066"/>
                              <a:gd name="T132" fmla="+- 0 10517 1457"/>
                              <a:gd name="T133" fmla="*/ T132 w 9060"/>
                              <a:gd name="T134" fmla="+- 0 301 286"/>
                              <a:gd name="T135" fmla="*/ 301 h 4066"/>
                              <a:gd name="T136" fmla="+- 0 10510 1457"/>
                              <a:gd name="T137" fmla="*/ T136 w 9060"/>
                              <a:gd name="T138" fmla="+- 0 301 286"/>
                              <a:gd name="T139" fmla="*/ 301 h 4066"/>
                              <a:gd name="T140" fmla="+- 0 10500 1457"/>
                              <a:gd name="T141" fmla="*/ T140 w 9060"/>
                              <a:gd name="T142" fmla="+- 0 294 286"/>
                              <a:gd name="T143" fmla="*/ 294 h 4066"/>
                              <a:gd name="T144" fmla="+- 0 10517 1457"/>
                              <a:gd name="T145" fmla="*/ T144 w 9060"/>
                              <a:gd name="T146" fmla="+- 0 294 286"/>
                              <a:gd name="T147" fmla="*/ 294 h 4066"/>
                              <a:gd name="T148" fmla="+- 0 10517 1457"/>
                              <a:gd name="T149" fmla="*/ T148 w 9060"/>
                              <a:gd name="T150" fmla="+- 0 301 286"/>
                              <a:gd name="T151" fmla="*/ 301 h 4066"/>
                              <a:gd name="T152" fmla="+- 0 1471 1457"/>
                              <a:gd name="T153" fmla="*/ T152 w 9060"/>
                              <a:gd name="T154" fmla="+- 0 4345 286"/>
                              <a:gd name="T155" fmla="*/ 4345 h 4066"/>
                              <a:gd name="T156" fmla="+- 0 1464 1457"/>
                              <a:gd name="T157" fmla="*/ T156 w 9060"/>
                              <a:gd name="T158" fmla="+- 0 4338 286"/>
                              <a:gd name="T159" fmla="*/ 4338 h 4066"/>
                              <a:gd name="T160" fmla="+- 0 1471 1457"/>
                              <a:gd name="T161" fmla="*/ T160 w 9060"/>
                              <a:gd name="T162" fmla="+- 0 4338 286"/>
                              <a:gd name="T163" fmla="*/ 4338 h 4066"/>
                              <a:gd name="T164" fmla="+- 0 1471 1457"/>
                              <a:gd name="T165" fmla="*/ T164 w 9060"/>
                              <a:gd name="T166" fmla="+- 0 4345 286"/>
                              <a:gd name="T167" fmla="*/ 4345 h 4066"/>
                              <a:gd name="T168" fmla="+- 0 10500 1457"/>
                              <a:gd name="T169" fmla="*/ T168 w 9060"/>
                              <a:gd name="T170" fmla="+- 0 4345 286"/>
                              <a:gd name="T171" fmla="*/ 4345 h 4066"/>
                              <a:gd name="T172" fmla="+- 0 1471 1457"/>
                              <a:gd name="T173" fmla="*/ T172 w 9060"/>
                              <a:gd name="T174" fmla="+- 0 4345 286"/>
                              <a:gd name="T175" fmla="*/ 4345 h 4066"/>
                              <a:gd name="T176" fmla="+- 0 1471 1457"/>
                              <a:gd name="T177" fmla="*/ T176 w 9060"/>
                              <a:gd name="T178" fmla="+- 0 4338 286"/>
                              <a:gd name="T179" fmla="*/ 4338 h 4066"/>
                              <a:gd name="T180" fmla="+- 0 10500 1457"/>
                              <a:gd name="T181" fmla="*/ T180 w 9060"/>
                              <a:gd name="T182" fmla="+- 0 4338 286"/>
                              <a:gd name="T183" fmla="*/ 4338 h 4066"/>
                              <a:gd name="T184" fmla="+- 0 10500 1457"/>
                              <a:gd name="T185" fmla="*/ T184 w 9060"/>
                              <a:gd name="T186" fmla="+- 0 4345 286"/>
                              <a:gd name="T187" fmla="*/ 4345 h 4066"/>
                              <a:gd name="T188" fmla="+- 0 10517 1457"/>
                              <a:gd name="T189" fmla="*/ T188 w 9060"/>
                              <a:gd name="T190" fmla="+- 0 4345 286"/>
                              <a:gd name="T191" fmla="*/ 4345 h 4066"/>
                              <a:gd name="T192" fmla="+- 0 10500 1457"/>
                              <a:gd name="T193" fmla="*/ T192 w 9060"/>
                              <a:gd name="T194" fmla="+- 0 4345 286"/>
                              <a:gd name="T195" fmla="*/ 4345 h 4066"/>
                              <a:gd name="T196" fmla="+- 0 10510 1457"/>
                              <a:gd name="T197" fmla="*/ T196 w 9060"/>
                              <a:gd name="T198" fmla="+- 0 4338 286"/>
                              <a:gd name="T199" fmla="*/ 4338 h 4066"/>
                              <a:gd name="T200" fmla="+- 0 10517 1457"/>
                              <a:gd name="T201" fmla="*/ T200 w 9060"/>
                              <a:gd name="T202" fmla="+- 0 4338 286"/>
                              <a:gd name="T203" fmla="*/ 4338 h 4066"/>
                              <a:gd name="T204" fmla="+- 0 10517 1457"/>
                              <a:gd name="T205" fmla="*/ T204 w 9060"/>
                              <a:gd name="T206" fmla="+- 0 4345 286"/>
                              <a:gd name="T207" fmla="*/ 4345 h 4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060" h="4066">
                                <a:moveTo>
                                  <a:pt x="9055" y="4066"/>
                                </a:moveTo>
                                <a:lnTo>
                                  <a:pt x="2" y="4066"/>
                                </a:lnTo>
                                <a:lnTo>
                                  <a:pt x="0" y="4064"/>
                                </a:lnTo>
                                <a:lnTo>
                                  <a:pt x="0" y="3"/>
                                </a:lnTo>
                                <a:lnTo>
                                  <a:pt x="2" y="0"/>
                                </a:lnTo>
                                <a:lnTo>
                                  <a:pt x="9055" y="0"/>
                                </a:lnTo>
                                <a:lnTo>
                                  <a:pt x="9060" y="3"/>
                                </a:lnTo>
                                <a:lnTo>
                                  <a:pt x="9060" y="8"/>
                                </a:lnTo>
                                <a:lnTo>
                                  <a:pt x="14" y="8"/>
                                </a:lnTo>
                                <a:lnTo>
                                  <a:pt x="7" y="15"/>
                                </a:lnTo>
                                <a:lnTo>
                                  <a:pt x="14" y="15"/>
                                </a:lnTo>
                                <a:lnTo>
                                  <a:pt x="14" y="4052"/>
                                </a:lnTo>
                                <a:lnTo>
                                  <a:pt x="7" y="4052"/>
                                </a:lnTo>
                                <a:lnTo>
                                  <a:pt x="14" y="4059"/>
                                </a:lnTo>
                                <a:lnTo>
                                  <a:pt x="9060" y="4059"/>
                                </a:lnTo>
                                <a:lnTo>
                                  <a:pt x="9060" y="4064"/>
                                </a:lnTo>
                                <a:lnTo>
                                  <a:pt x="9055" y="4066"/>
                                </a:lnTo>
                                <a:close/>
                                <a:moveTo>
                                  <a:pt x="14" y="15"/>
                                </a:moveTo>
                                <a:lnTo>
                                  <a:pt x="7" y="15"/>
                                </a:lnTo>
                                <a:lnTo>
                                  <a:pt x="14" y="8"/>
                                </a:lnTo>
                                <a:lnTo>
                                  <a:pt x="14" y="15"/>
                                </a:lnTo>
                                <a:close/>
                                <a:moveTo>
                                  <a:pt x="9043" y="15"/>
                                </a:moveTo>
                                <a:lnTo>
                                  <a:pt x="14" y="15"/>
                                </a:lnTo>
                                <a:lnTo>
                                  <a:pt x="14" y="8"/>
                                </a:lnTo>
                                <a:lnTo>
                                  <a:pt x="9043" y="8"/>
                                </a:lnTo>
                                <a:lnTo>
                                  <a:pt x="9043" y="15"/>
                                </a:lnTo>
                                <a:close/>
                                <a:moveTo>
                                  <a:pt x="9043" y="4059"/>
                                </a:moveTo>
                                <a:lnTo>
                                  <a:pt x="9043" y="8"/>
                                </a:lnTo>
                                <a:lnTo>
                                  <a:pt x="9053" y="15"/>
                                </a:lnTo>
                                <a:lnTo>
                                  <a:pt x="9060" y="15"/>
                                </a:lnTo>
                                <a:lnTo>
                                  <a:pt x="9060" y="4052"/>
                                </a:lnTo>
                                <a:lnTo>
                                  <a:pt x="9053" y="4052"/>
                                </a:lnTo>
                                <a:lnTo>
                                  <a:pt x="9043" y="4059"/>
                                </a:lnTo>
                                <a:close/>
                                <a:moveTo>
                                  <a:pt x="9060" y="15"/>
                                </a:moveTo>
                                <a:lnTo>
                                  <a:pt x="9053" y="15"/>
                                </a:lnTo>
                                <a:lnTo>
                                  <a:pt x="9043" y="8"/>
                                </a:lnTo>
                                <a:lnTo>
                                  <a:pt x="9060" y="8"/>
                                </a:lnTo>
                                <a:lnTo>
                                  <a:pt x="9060" y="15"/>
                                </a:lnTo>
                                <a:close/>
                                <a:moveTo>
                                  <a:pt x="14" y="4059"/>
                                </a:moveTo>
                                <a:lnTo>
                                  <a:pt x="7" y="4052"/>
                                </a:lnTo>
                                <a:lnTo>
                                  <a:pt x="14" y="4052"/>
                                </a:lnTo>
                                <a:lnTo>
                                  <a:pt x="14" y="4059"/>
                                </a:lnTo>
                                <a:close/>
                                <a:moveTo>
                                  <a:pt x="9043" y="4059"/>
                                </a:moveTo>
                                <a:lnTo>
                                  <a:pt x="14" y="4059"/>
                                </a:lnTo>
                                <a:lnTo>
                                  <a:pt x="14" y="4052"/>
                                </a:lnTo>
                                <a:lnTo>
                                  <a:pt x="9043" y="4052"/>
                                </a:lnTo>
                                <a:lnTo>
                                  <a:pt x="9043" y="4059"/>
                                </a:lnTo>
                                <a:close/>
                                <a:moveTo>
                                  <a:pt x="9060" y="4059"/>
                                </a:moveTo>
                                <a:lnTo>
                                  <a:pt x="9043" y="4059"/>
                                </a:lnTo>
                                <a:lnTo>
                                  <a:pt x="9053" y="4052"/>
                                </a:lnTo>
                                <a:lnTo>
                                  <a:pt x="9060" y="4052"/>
                                </a:lnTo>
                                <a:lnTo>
                                  <a:pt x="9060" y="40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1AAB3D" id="Group 14" o:spid="_x0000_s1026" style="position:absolute;margin-left:72.85pt;margin-top:14.3pt;width:453pt;height:203.3pt;z-index:-251695104;mso-wrap-distance-left:0;mso-wrap-distance-right:0;mso-position-horizontal-relative:page" coordorigin="1457,286" coordsize="9060,4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">
                <v:shape id="Picture 16" o:spid="_x0000_s1027" type="#_x0000_t75" style="position:absolute;left:1771;top:370;width:8640;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">
                  <v:imagedata r:id="rId324" o:title=""/>
                </v:shape>
                <v:shape id="AutoShape 15" o:spid="_x0000_s1028" style="position:absolute;left:1456;top:286;width:9060;height:4066;visibility:visible;mso-wrap-style:square;v-text-anchor:top" coordsize="9060,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" path="m9055,4066l2,4066,,4064,,3,2,,9055,r5,3l9060,8,14,8,7,15r7,l14,4052r-7,l14,4059r9046,l9060,4064r-5,2xm14,15r-7,l14,8r,7xm9043,15l14,15r,-7l9043,8r,7xm9043,4059l9043,8r10,7l9060,15r,4037l9053,4052r-10,7xm9060,15r-7,l9043,8r17,l9060,15xm14,4059r-7,-7l14,4052r,7xm9043,4059r-9029,l14,4052r9029,l9043,4059xm9060,4059r-17,l9053,4052r7,l9060,4059xe" fillcolor="black" stroked="f">
                  <v:path arrowok="t" o:connecttype="custom" o:connectlocs="9055,4352;2,4352;0,4350;0,289;2,286;9055,286;9060,289;9060,294;14,294;7,301;14,301;14,4338;7,4338;14,4345;9060,4345;9060,4350;9055,4352;14,301;7,301;14,294;14,301;9043,301;14,301;14,294;9043,294;9043,301;9043,4345;9043,294;9053,301;9060,301;9060,4338;9053,4338;9043,4345;9060,301;9053,301;9043,294;9060,294;9060,301;14,4345;7,4338;14,4338;14,4345;9043,4345;14,4345;14,4338;9043,4338;9043,4345;9060,4345;9043,4345;9053,4338;9060,4338;9060,4345" o:connectangles="0,0,0,0,0,0,0,0,0,0,0,0,0,0,0,0,0,0,0,0,0,0,0,0,0,0,0,0,0,0,0,0,0,0,0,0,0,0,0,0,0,0,0,0,0,0,0,0,0,0,0,0"/>
                </v:shape>
                <w10:wrap type="topAndBottom" anchorx="page"/>
              </v:group>
            </w:pict>
          </mc:Fallback>
        </mc:AlternateContent>
      </w:r>
    </w:p>
    <w:p w14:paraId="35B94CBB" w14:textId="77777777" w:rsidR="00665A13" w:rsidRDefault="00665A13" w:rsidP="00665A13">
      <w:pPr>
        <w:pStyle w:val="BodyText"/>
        <w:spacing w:before="9"/>
        <w:rPr>
          <w:b/>
          <w:sz w:val="21"/>
        </w:rPr>
      </w:pPr>
    </w:p>
    <w:p w14:paraId="20C165AC" w14:textId="77777777" w:rsidR="00665A13" w:rsidRDefault="00665A13" w:rsidP="00665A13">
      <w:pPr>
        <w:ind w:left="261" w:right="596"/>
        <w:jc w:val="center"/>
        <w:rPr>
          <w:b/>
        </w:rPr>
      </w:pPr>
      <w:r>
        <w:rPr>
          <w:b/>
        </w:rPr>
        <w:t>Figure 6 – Street elevation illustrating incompatible faux heritage development.</w:t>
      </w:r>
    </w:p>
    <w:p w14:paraId="366632C1" w14:textId="77777777" w:rsidR="00665A13" w:rsidRDefault="00665A13" w:rsidP="00665A13">
      <w:pPr>
        <w:ind w:left="261" w:right="596"/>
        <w:jc w:val="center"/>
        <w:rPr>
          <w:i/>
        </w:rPr>
      </w:pPr>
      <w:r>
        <w:rPr>
          <w:i/>
        </w:rPr>
        <w:t>Griffiths Architects 2015</w:t>
      </w:r>
    </w:p>
    <w:p w14:paraId="09B5E398" w14:textId="77777777" w:rsidR="00665A13" w:rsidRDefault="00665A13" w:rsidP="00665A13">
      <w:pPr>
        <w:pStyle w:val="BodyText"/>
        <w:rPr>
          <w:i/>
          <w:sz w:val="20"/>
        </w:rPr>
      </w:pPr>
    </w:p>
    <w:p w14:paraId="21E8EAA7" w14:textId="77777777" w:rsidR="00665A13" w:rsidRDefault="00665A13" w:rsidP="00665A13">
      <w:pPr>
        <w:pStyle w:val="BodyText"/>
        <w:rPr>
          <w:i/>
          <w:sz w:val="20"/>
        </w:rPr>
      </w:pPr>
    </w:p>
    <w:p w14:paraId="7F7ED77D" w14:textId="77777777" w:rsidR="00665A13" w:rsidRDefault="00665A13" w:rsidP="00665A13">
      <w:pPr>
        <w:pStyle w:val="BodyText"/>
        <w:rPr>
          <w:i/>
          <w:sz w:val="20"/>
        </w:rPr>
      </w:pPr>
    </w:p>
    <w:p w14:paraId="401DD9E9" w14:textId="77777777" w:rsidR="00665A13" w:rsidRDefault="00665A13" w:rsidP="00665A13">
      <w:pPr>
        <w:pStyle w:val="BodyText"/>
        <w:spacing w:before="2"/>
        <w:rPr>
          <w:i/>
          <w:sz w:val="26"/>
        </w:rPr>
      </w:pPr>
      <w:r>
        <w:rPr>
          <w:noProof/>
          <w:lang w:val="en-AU" w:eastAsia="en-AU"/>
        </w:rPr>
        <mc:AlternateContent>
          <mc:Choice Requires="wpg">
            <w:drawing>
              <wp:anchor distT="0" distB="0" distL="0" distR="0" simplePos="0" relativeHeight="251622400" behindDoc="1" locked="0" layoutInCell="1" allowOverlap="1" wp14:anchorId="5F736F1A" wp14:editId="6A7A23E4">
                <wp:simplePos x="0" y="0"/>
                <wp:positionH relativeFrom="page">
                  <wp:posOffset>925195</wp:posOffset>
                </wp:positionH>
                <wp:positionV relativeFrom="paragraph">
                  <wp:posOffset>227965</wp:posOffset>
                </wp:positionV>
                <wp:extent cx="5753100" cy="2014855"/>
                <wp:effectExtent l="0" t="0" r="0" b="0"/>
                <wp:wrapTopAndBottom/>
                <wp:docPr id="21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0" cy="2014855"/>
                          <a:chOff x="1457" y="359"/>
                          <a:chExt cx="9060" cy="3173"/>
                        </a:xfrm>
                      </wpg:grpSpPr>
                      <pic:pic xmlns:pic="http://schemas.openxmlformats.org/drawingml/2006/picture">
                        <pic:nvPicPr>
                          <pic:cNvPr id="243" name="Picture 13"/>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1579" y="444"/>
                            <a:ext cx="864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AutoShape 12"/>
                        <wps:cNvSpPr>
                          <a:spLocks/>
                        </wps:cNvSpPr>
                        <wps:spPr bwMode="auto">
                          <a:xfrm>
                            <a:off x="1456" y="358"/>
                            <a:ext cx="9060" cy="3173"/>
                          </a:xfrm>
                          <a:custGeom>
                            <a:avLst/>
                            <a:gdLst>
                              <a:gd name="T0" fmla="+- 0 10512 1457"/>
                              <a:gd name="T1" fmla="*/ T0 w 9060"/>
                              <a:gd name="T2" fmla="+- 0 3531 359"/>
                              <a:gd name="T3" fmla="*/ 3531 h 3173"/>
                              <a:gd name="T4" fmla="+- 0 1459 1457"/>
                              <a:gd name="T5" fmla="*/ T4 w 9060"/>
                              <a:gd name="T6" fmla="+- 0 3531 359"/>
                              <a:gd name="T7" fmla="*/ 3531 h 3173"/>
                              <a:gd name="T8" fmla="+- 0 1457 1457"/>
                              <a:gd name="T9" fmla="*/ T8 w 9060"/>
                              <a:gd name="T10" fmla="+- 0 3529 359"/>
                              <a:gd name="T11" fmla="*/ 3529 h 3173"/>
                              <a:gd name="T12" fmla="+- 0 1457 1457"/>
                              <a:gd name="T13" fmla="*/ T12 w 9060"/>
                              <a:gd name="T14" fmla="+- 0 363 359"/>
                              <a:gd name="T15" fmla="*/ 363 h 3173"/>
                              <a:gd name="T16" fmla="+- 0 1459 1457"/>
                              <a:gd name="T17" fmla="*/ T16 w 9060"/>
                              <a:gd name="T18" fmla="+- 0 359 359"/>
                              <a:gd name="T19" fmla="*/ 359 h 3173"/>
                              <a:gd name="T20" fmla="+- 0 10512 1457"/>
                              <a:gd name="T21" fmla="*/ T20 w 9060"/>
                              <a:gd name="T22" fmla="+- 0 359 359"/>
                              <a:gd name="T23" fmla="*/ 359 h 3173"/>
                              <a:gd name="T24" fmla="+- 0 10517 1457"/>
                              <a:gd name="T25" fmla="*/ T24 w 9060"/>
                              <a:gd name="T26" fmla="+- 0 363 359"/>
                              <a:gd name="T27" fmla="*/ 363 h 3173"/>
                              <a:gd name="T28" fmla="+- 0 10517 1457"/>
                              <a:gd name="T29" fmla="*/ T28 w 9060"/>
                              <a:gd name="T30" fmla="+- 0 366 359"/>
                              <a:gd name="T31" fmla="*/ 366 h 3173"/>
                              <a:gd name="T32" fmla="+- 0 1471 1457"/>
                              <a:gd name="T33" fmla="*/ T32 w 9060"/>
                              <a:gd name="T34" fmla="+- 0 366 359"/>
                              <a:gd name="T35" fmla="*/ 366 h 3173"/>
                              <a:gd name="T36" fmla="+- 0 1464 1457"/>
                              <a:gd name="T37" fmla="*/ T36 w 9060"/>
                              <a:gd name="T38" fmla="+- 0 375 359"/>
                              <a:gd name="T39" fmla="*/ 375 h 3173"/>
                              <a:gd name="T40" fmla="+- 0 1471 1457"/>
                              <a:gd name="T41" fmla="*/ T40 w 9060"/>
                              <a:gd name="T42" fmla="+- 0 375 359"/>
                              <a:gd name="T43" fmla="*/ 375 h 3173"/>
                              <a:gd name="T44" fmla="+- 0 1471 1457"/>
                              <a:gd name="T45" fmla="*/ T44 w 9060"/>
                              <a:gd name="T46" fmla="+- 0 3517 359"/>
                              <a:gd name="T47" fmla="*/ 3517 h 3173"/>
                              <a:gd name="T48" fmla="+- 0 1464 1457"/>
                              <a:gd name="T49" fmla="*/ T48 w 9060"/>
                              <a:gd name="T50" fmla="+- 0 3517 359"/>
                              <a:gd name="T51" fmla="*/ 3517 h 3173"/>
                              <a:gd name="T52" fmla="+- 0 1471 1457"/>
                              <a:gd name="T53" fmla="*/ T52 w 9060"/>
                              <a:gd name="T54" fmla="+- 0 3524 359"/>
                              <a:gd name="T55" fmla="*/ 3524 h 3173"/>
                              <a:gd name="T56" fmla="+- 0 10517 1457"/>
                              <a:gd name="T57" fmla="*/ T56 w 9060"/>
                              <a:gd name="T58" fmla="+- 0 3524 359"/>
                              <a:gd name="T59" fmla="*/ 3524 h 3173"/>
                              <a:gd name="T60" fmla="+- 0 10517 1457"/>
                              <a:gd name="T61" fmla="*/ T60 w 9060"/>
                              <a:gd name="T62" fmla="+- 0 3529 359"/>
                              <a:gd name="T63" fmla="*/ 3529 h 3173"/>
                              <a:gd name="T64" fmla="+- 0 10512 1457"/>
                              <a:gd name="T65" fmla="*/ T64 w 9060"/>
                              <a:gd name="T66" fmla="+- 0 3531 359"/>
                              <a:gd name="T67" fmla="*/ 3531 h 3173"/>
                              <a:gd name="T68" fmla="+- 0 1471 1457"/>
                              <a:gd name="T69" fmla="*/ T68 w 9060"/>
                              <a:gd name="T70" fmla="+- 0 375 359"/>
                              <a:gd name="T71" fmla="*/ 375 h 3173"/>
                              <a:gd name="T72" fmla="+- 0 1464 1457"/>
                              <a:gd name="T73" fmla="*/ T72 w 9060"/>
                              <a:gd name="T74" fmla="+- 0 375 359"/>
                              <a:gd name="T75" fmla="*/ 375 h 3173"/>
                              <a:gd name="T76" fmla="+- 0 1471 1457"/>
                              <a:gd name="T77" fmla="*/ T76 w 9060"/>
                              <a:gd name="T78" fmla="+- 0 366 359"/>
                              <a:gd name="T79" fmla="*/ 366 h 3173"/>
                              <a:gd name="T80" fmla="+- 0 1471 1457"/>
                              <a:gd name="T81" fmla="*/ T80 w 9060"/>
                              <a:gd name="T82" fmla="+- 0 375 359"/>
                              <a:gd name="T83" fmla="*/ 375 h 3173"/>
                              <a:gd name="T84" fmla="+- 0 10500 1457"/>
                              <a:gd name="T85" fmla="*/ T84 w 9060"/>
                              <a:gd name="T86" fmla="+- 0 375 359"/>
                              <a:gd name="T87" fmla="*/ 375 h 3173"/>
                              <a:gd name="T88" fmla="+- 0 1471 1457"/>
                              <a:gd name="T89" fmla="*/ T88 w 9060"/>
                              <a:gd name="T90" fmla="+- 0 375 359"/>
                              <a:gd name="T91" fmla="*/ 375 h 3173"/>
                              <a:gd name="T92" fmla="+- 0 1471 1457"/>
                              <a:gd name="T93" fmla="*/ T92 w 9060"/>
                              <a:gd name="T94" fmla="+- 0 366 359"/>
                              <a:gd name="T95" fmla="*/ 366 h 3173"/>
                              <a:gd name="T96" fmla="+- 0 10500 1457"/>
                              <a:gd name="T97" fmla="*/ T96 w 9060"/>
                              <a:gd name="T98" fmla="+- 0 366 359"/>
                              <a:gd name="T99" fmla="*/ 366 h 3173"/>
                              <a:gd name="T100" fmla="+- 0 10500 1457"/>
                              <a:gd name="T101" fmla="*/ T100 w 9060"/>
                              <a:gd name="T102" fmla="+- 0 375 359"/>
                              <a:gd name="T103" fmla="*/ 375 h 3173"/>
                              <a:gd name="T104" fmla="+- 0 10500 1457"/>
                              <a:gd name="T105" fmla="*/ T104 w 9060"/>
                              <a:gd name="T106" fmla="+- 0 3524 359"/>
                              <a:gd name="T107" fmla="*/ 3524 h 3173"/>
                              <a:gd name="T108" fmla="+- 0 10500 1457"/>
                              <a:gd name="T109" fmla="*/ T108 w 9060"/>
                              <a:gd name="T110" fmla="+- 0 366 359"/>
                              <a:gd name="T111" fmla="*/ 366 h 3173"/>
                              <a:gd name="T112" fmla="+- 0 10507 1457"/>
                              <a:gd name="T113" fmla="*/ T112 w 9060"/>
                              <a:gd name="T114" fmla="+- 0 375 359"/>
                              <a:gd name="T115" fmla="*/ 375 h 3173"/>
                              <a:gd name="T116" fmla="+- 0 10517 1457"/>
                              <a:gd name="T117" fmla="*/ T116 w 9060"/>
                              <a:gd name="T118" fmla="+- 0 375 359"/>
                              <a:gd name="T119" fmla="*/ 375 h 3173"/>
                              <a:gd name="T120" fmla="+- 0 10517 1457"/>
                              <a:gd name="T121" fmla="*/ T120 w 9060"/>
                              <a:gd name="T122" fmla="+- 0 3517 359"/>
                              <a:gd name="T123" fmla="*/ 3517 h 3173"/>
                              <a:gd name="T124" fmla="+- 0 10507 1457"/>
                              <a:gd name="T125" fmla="*/ T124 w 9060"/>
                              <a:gd name="T126" fmla="+- 0 3517 359"/>
                              <a:gd name="T127" fmla="*/ 3517 h 3173"/>
                              <a:gd name="T128" fmla="+- 0 10500 1457"/>
                              <a:gd name="T129" fmla="*/ T128 w 9060"/>
                              <a:gd name="T130" fmla="+- 0 3524 359"/>
                              <a:gd name="T131" fmla="*/ 3524 h 3173"/>
                              <a:gd name="T132" fmla="+- 0 10517 1457"/>
                              <a:gd name="T133" fmla="*/ T132 w 9060"/>
                              <a:gd name="T134" fmla="+- 0 375 359"/>
                              <a:gd name="T135" fmla="*/ 375 h 3173"/>
                              <a:gd name="T136" fmla="+- 0 10507 1457"/>
                              <a:gd name="T137" fmla="*/ T136 w 9060"/>
                              <a:gd name="T138" fmla="+- 0 375 359"/>
                              <a:gd name="T139" fmla="*/ 375 h 3173"/>
                              <a:gd name="T140" fmla="+- 0 10500 1457"/>
                              <a:gd name="T141" fmla="*/ T140 w 9060"/>
                              <a:gd name="T142" fmla="+- 0 366 359"/>
                              <a:gd name="T143" fmla="*/ 366 h 3173"/>
                              <a:gd name="T144" fmla="+- 0 10517 1457"/>
                              <a:gd name="T145" fmla="*/ T144 w 9060"/>
                              <a:gd name="T146" fmla="+- 0 366 359"/>
                              <a:gd name="T147" fmla="*/ 366 h 3173"/>
                              <a:gd name="T148" fmla="+- 0 10517 1457"/>
                              <a:gd name="T149" fmla="*/ T148 w 9060"/>
                              <a:gd name="T150" fmla="+- 0 375 359"/>
                              <a:gd name="T151" fmla="*/ 375 h 3173"/>
                              <a:gd name="T152" fmla="+- 0 1471 1457"/>
                              <a:gd name="T153" fmla="*/ T152 w 9060"/>
                              <a:gd name="T154" fmla="+- 0 3524 359"/>
                              <a:gd name="T155" fmla="*/ 3524 h 3173"/>
                              <a:gd name="T156" fmla="+- 0 1464 1457"/>
                              <a:gd name="T157" fmla="*/ T156 w 9060"/>
                              <a:gd name="T158" fmla="+- 0 3517 359"/>
                              <a:gd name="T159" fmla="*/ 3517 h 3173"/>
                              <a:gd name="T160" fmla="+- 0 1471 1457"/>
                              <a:gd name="T161" fmla="*/ T160 w 9060"/>
                              <a:gd name="T162" fmla="+- 0 3517 359"/>
                              <a:gd name="T163" fmla="*/ 3517 h 3173"/>
                              <a:gd name="T164" fmla="+- 0 1471 1457"/>
                              <a:gd name="T165" fmla="*/ T164 w 9060"/>
                              <a:gd name="T166" fmla="+- 0 3524 359"/>
                              <a:gd name="T167" fmla="*/ 3524 h 3173"/>
                              <a:gd name="T168" fmla="+- 0 10500 1457"/>
                              <a:gd name="T169" fmla="*/ T168 w 9060"/>
                              <a:gd name="T170" fmla="+- 0 3524 359"/>
                              <a:gd name="T171" fmla="*/ 3524 h 3173"/>
                              <a:gd name="T172" fmla="+- 0 1471 1457"/>
                              <a:gd name="T173" fmla="*/ T172 w 9060"/>
                              <a:gd name="T174" fmla="+- 0 3524 359"/>
                              <a:gd name="T175" fmla="*/ 3524 h 3173"/>
                              <a:gd name="T176" fmla="+- 0 1471 1457"/>
                              <a:gd name="T177" fmla="*/ T176 w 9060"/>
                              <a:gd name="T178" fmla="+- 0 3517 359"/>
                              <a:gd name="T179" fmla="*/ 3517 h 3173"/>
                              <a:gd name="T180" fmla="+- 0 10500 1457"/>
                              <a:gd name="T181" fmla="*/ T180 w 9060"/>
                              <a:gd name="T182" fmla="+- 0 3517 359"/>
                              <a:gd name="T183" fmla="*/ 3517 h 3173"/>
                              <a:gd name="T184" fmla="+- 0 10500 1457"/>
                              <a:gd name="T185" fmla="*/ T184 w 9060"/>
                              <a:gd name="T186" fmla="+- 0 3524 359"/>
                              <a:gd name="T187" fmla="*/ 3524 h 3173"/>
                              <a:gd name="T188" fmla="+- 0 10517 1457"/>
                              <a:gd name="T189" fmla="*/ T188 w 9060"/>
                              <a:gd name="T190" fmla="+- 0 3524 359"/>
                              <a:gd name="T191" fmla="*/ 3524 h 3173"/>
                              <a:gd name="T192" fmla="+- 0 10500 1457"/>
                              <a:gd name="T193" fmla="*/ T192 w 9060"/>
                              <a:gd name="T194" fmla="+- 0 3524 359"/>
                              <a:gd name="T195" fmla="*/ 3524 h 3173"/>
                              <a:gd name="T196" fmla="+- 0 10507 1457"/>
                              <a:gd name="T197" fmla="*/ T196 w 9060"/>
                              <a:gd name="T198" fmla="+- 0 3517 359"/>
                              <a:gd name="T199" fmla="*/ 3517 h 3173"/>
                              <a:gd name="T200" fmla="+- 0 10517 1457"/>
                              <a:gd name="T201" fmla="*/ T200 w 9060"/>
                              <a:gd name="T202" fmla="+- 0 3517 359"/>
                              <a:gd name="T203" fmla="*/ 3517 h 3173"/>
                              <a:gd name="T204" fmla="+- 0 10517 1457"/>
                              <a:gd name="T205" fmla="*/ T204 w 9060"/>
                              <a:gd name="T206" fmla="+- 0 3524 359"/>
                              <a:gd name="T207" fmla="*/ 3524 h 3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060" h="3173">
                                <a:moveTo>
                                  <a:pt x="9055" y="3172"/>
                                </a:moveTo>
                                <a:lnTo>
                                  <a:pt x="2" y="3172"/>
                                </a:lnTo>
                                <a:lnTo>
                                  <a:pt x="0" y="3170"/>
                                </a:lnTo>
                                <a:lnTo>
                                  <a:pt x="0" y="4"/>
                                </a:lnTo>
                                <a:lnTo>
                                  <a:pt x="2" y="0"/>
                                </a:lnTo>
                                <a:lnTo>
                                  <a:pt x="9055" y="0"/>
                                </a:lnTo>
                                <a:lnTo>
                                  <a:pt x="9060" y="4"/>
                                </a:lnTo>
                                <a:lnTo>
                                  <a:pt x="9060" y="7"/>
                                </a:lnTo>
                                <a:lnTo>
                                  <a:pt x="14" y="7"/>
                                </a:lnTo>
                                <a:lnTo>
                                  <a:pt x="7" y="16"/>
                                </a:lnTo>
                                <a:lnTo>
                                  <a:pt x="14" y="16"/>
                                </a:lnTo>
                                <a:lnTo>
                                  <a:pt x="14" y="3158"/>
                                </a:lnTo>
                                <a:lnTo>
                                  <a:pt x="7" y="3158"/>
                                </a:lnTo>
                                <a:lnTo>
                                  <a:pt x="14" y="3165"/>
                                </a:lnTo>
                                <a:lnTo>
                                  <a:pt x="9060" y="3165"/>
                                </a:lnTo>
                                <a:lnTo>
                                  <a:pt x="9060" y="3170"/>
                                </a:lnTo>
                                <a:lnTo>
                                  <a:pt x="9055" y="3172"/>
                                </a:lnTo>
                                <a:close/>
                                <a:moveTo>
                                  <a:pt x="14" y="16"/>
                                </a:moveTo>
                                <a:lnTo>
                                  <a:pt x="7" y="16"/>
                                </a:lnTo>
                                <a:lnTo>
                                  <a:pt x="14" y="7"/>
                                </a:lnTo>
                                <a:lnTo>
                                  <a:pt x="14" y="16"/>
                                </a:lnTo>
                                <a:close/>
                                <a:moveTo>
                                  <a:pt x="9043" y="16"/>
                                </a:moveTo>
                                <a:lnTo>
                                  <a:pt x="14" y="16"/>
                                </a:lnTo>
                                <a:lnTo>
                                  <a:pt x="14" y="7"/>
                                </a:lnTo>
                                <a:lnTo>
                                  <a:pt x="9043" y="7"/>
                                </a:lnTo>
                                <a:lnTo>
                                  <a:pt x="9043" y="16"/>
                                </a:lnTo>
                                <a:close/>
                                <a:moveTo>
                                  <a:pt x="9043" y="3165"/>
                                </a:moveTo>
                                <a:lnTo>
                                  <a:pt x="9043" y="7"/>
                                </a:lnTo>
                                <a:lnTo>
                                  <a:pt x="9050" y="16"/>
                                </a:lnTo>
                                <a:lnTo>
                                  <a:pt x="9060" y="16"/>
                                </a:lnTo>
                                <a:lnTo>
                                  <a:pt x="9060" y="3158"/>
                                </a:lnTo>
                                <a:lnTo>
                                  <a:pt x="9050" y="3158"/>
                                </a:lnTo>
                                <a:lnTo>
                                  <a:pt x="9043" y="3165"/>
                                </a:lnTo>
                                <a:close/>
                                <a:moveTo>
                                  <a:pt x="9060" y="16"/>
                                </a:moveTo>
                                <a:lnTo>
                                  <a:pt x="9050" y="16"/>
                                </a:lnTo>
                                <a:lnTo>
                                  <a:pt x="9043" y="7"/>
                                </a:lnTo>
                                <a:lnTo>
                                  <a:pt x="9060" y="7"/>
                                </a:lnTo>
                                <a:lnTo>
                                  <a:pt x="9060" y="16"/>
                                </a:lnTo>
                                <a:close/>
                                <a:moveTo>
                                  <a:pt x="14" y="3165"/>
                                </a:moveTo>
                                <a:lnTo>
                                  <a:pt x="7" y="3158"/>
                                </a:lnTo>
                                <a:lnTo>
                                  <a:pt x="14" y="3158"/>
                                </a:lnTo>
                                <a:lnTo>
                                  <a:pt x="14" y="3165"/>
                                </a:lnTo>
                                <a:close/>
                                <a:moveTo>
                                  <a:pt x="9043" y="3165"/>
                                </a:moveTo>
                                <a:lnTo>
                                  <a:pt x="14" y="3165"/>
                                </a:lnTo>
                                <a:lnTo>
                                  <a:pt x="14" y="3158"/>
                                </a:lnTo>
                                <a:lnTo>
                                  <a:pt x="9043" y="3158"/>
                                </a:lnTo>
                                <a:lnTo>
                                  <a:pt x="9043" y="3165"/>
                                </a:lnTo>
                                <a:close/>
                                <a:moveTo>
                                  <a:pt x="9060" y="3165"/>
                                </a:moveTo>
                                <a:lnTo>
                                  <a:pt x="9043" y="3165"/>
                                </a:lnTo>
                                <a:lnTo>
                                  <a:pt x="9050" y="3158"/>
                                </a:lnTo>
                                <a:lnTo>
                                  <a:pt x="9060" y="3158"/>
                                </a:lnTo>
                                <a:lnTo>
                                  <a:pt x="9060" y="31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1A2D78" id="Group 11" o:spid="_x0000_s1026" style="position:absolute;margin-left:72.85pt;margin-top:17.95pt;width:453pt;height:158.65pt;z-index:-251694080;mso-wrap-distance-left:0;mso-wrap-distance-right:0;mso-position-horizontal-relative:page" coordorigin="1457,359" coordsize="9060,3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">
                <v:shape id="Picture 13" o:spid="_x0000_s1027" type="#_x0000_t75" style="position:absolute;left:1579;top:444;width:864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">
                  <v:imagedata r:id="rId326" o:title=""/>
                </v:shape>
                <v:shape id="AutoShape 12" o:spid="_x0000_s1028" style="position:absolute;left:1456;top:358;width:9060;height:3173;visibility:visible;mso-wrap-style:square;v-text-anchor:top" coordsize="9060,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" path="m9055,3172l2,3172,,3170,,4,2,,9055,r5,4l9060,7,14,7,7,16r7,l14,3158r-7,l14,3165r9046,l9060,3170r-5,2xm14,16r-7,l14,7r,9xm9043,16l14,16r,-9l9043,7r,9xm9043,3165l9043,7r7,9l9060,16r,3142l9050,3158r-7,7xm9060,16r-10,l9043,7r17,l9060,16xm14,3165r-7,-7l14,3158r,7xm9043,3165r-9029,l14,3158r9029,l9043,3165xm9060,3165r-17,l9050,3158r10,l9060,3165xe" fillcolor="black" stroked="f">
                  <v:path arrowok="t" o:connecttype="custom" o:connectlocs="9055,3531;2,3531;0,3529;0,363;2,359;9055,359;9060,363;9060,366;14,366;7,375;14,375;14,3517;7,3517;14,3524;9060,3524;9060,3529;9055,3531;14,375;7,375;14,366;14,375;9043,375;14,375;14,366;9043,366;9043,375;9043,3524;9043,366;9050,375;9060,375;9060,3517;9050,3517;9043,3524;9060,375;9050,375;9043,366;9060,366;9060,375;14,3524;7,3517;14,3517;14,3524;9043,3524;14,3524;14,3517;9043,3517;9043,3524;9060,3524;9043,3524;9050,3517;9060,3517;9060,3524" o:connectangles="0,0,0,0,0,0,0,0,0,0,0,0,0,0,0,0,0,0,0,0,0,0,0,0,0,0,0,0,0,0,0,0,0,0,0,0,0,0,0,0,0,0,0,0,0,0,0,0,0,0,0,0"/>
                </v:shape>
                <w10:wrap type="topAndBottom" anchorx="page"/>
              </v:group>
            </w:pict>
          </mc:Fallback>
        </mc:AlternateContent>
      </w:r>
    </w:p>
    <w:p w14:paraId="543D9117" w14:textId="77777777" w:rsidR="00665A13" w:rsidRDefault="00665A13" w:rsidP="00665A13">
      <w:pPr>
        <w:pStyle w:val="BodyText"/>
        <w:spacing w:before="4"/>
        <w:rPr>
          <w:i/>
          <w:sz w:val="21"/>
        </w:rPr>
      </w:pPr>
    </w:p>
    <w:p w14:paraId="58F40A34" w14:textId="77777777" w:rsidR="00665A13" w:rsidRDefault="00665A13" w:rsidP="00665A13">
      <w:pPr>
        <w:ind w:left="263" w:right="596"/>
        <w:jc w:val="center"/>
        <w:rPr>
          <w:i/>
        </w:rPr>
      </w:pPr>
      <w:r>
        <w:rPr>
          <w:b/>
        </w:rPr>
        <w:t xml:space="preserve">Figure 7 - Street elevation illustrating compatible building envelope. </w:t>
      </w:r>
      <w:r>
        <w:rPr>
          <w:i/>
        </w:rPr>
        <w:t>Griffiths Architects 2015</w:t>
      </w:r>
    </w:p>
    <w:p w14:paraId="2538477B" w14:textId="77777777" w:rsidR="00665A13" w:rsidRDefault="00665A13" w:rsidP="00665A13">
      <w:pPr>
        <w:jc w:val="center"/>
        <w:sectPr w:rsidR="00665A13">
          <w:pgSz w:w="11910" w:h="16840"/>
          <w:pgMar w:top="1380" w:right="980" w:bottom="1200" w:left="1320" w:header="0" w:footer="1002" w:gutter="0"/>
          <w:cols w:space="720"/>
        </w:sectPr>
      </w:pPr>
    </w:p>
    <w:p w14:paraId="7B1B044F" w14:textId="77777777" w:rsidR="00665A13" w:rsidRDefault="00665A13" w:rsidP="00665A13">
      <w:pPr>
        <w:pStyle w:val="BodyText"/>
        <w:ind w:left="136"/>
        <w:rPr>
          <w:sz w:val="20"/>
        </w:rPr>
      </w:pPr>
      <w:r>
        <w:rPr>
          <w:noProof/>
          <w:sz w:val="20"/>
          <w:lang w:val="en-AU" w:eastAsia="en-AU"/>
        </w:rPr>
        <w:lastRenderedPageBreak/>
        <mc:AlternateContent>
          <mc:Choice Requires="wpg">
            <w:drawing>
              <wp:inline distT="0" distB="0" distL="0" distR="0" wp14:anchorId="6ABFCDCC" wp14:editId="5B47017F">
                <wp:extent cx="5751830" cy="4358640"/>
                <wp:effectExtent l="0" t="9525" r="1270" b="3810"/>
                <wp:docPr id="25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830" cy="4358640"/>
                          <a:chOff x="0" y="0"/>
                          <a:chExt cx="9058" cy="6864"/>
                        </a:xfrm>
                      </wpg:grpSpPr>
                      <pic:pic xmlns:pic="http://schemas.openxmlformats.org/drawingml/2006/picture">
                        <pic:nvPicPr>
                          <pic:cNvPr id="253" name="Picture 10"/>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7" y="7"/>
                            <a:ext cx="9039" cy="6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AutoShape 9"/>
                        <wps:cNvSpPr>
                          <a:spLocks/>
                        </wps:cNvSpPr>
                        <wps:spPr bwMode="auto">
                          <a:xfrm>
                            <a:off x="0" y="0"/>
                            <a:ext cx="9058" cy="6864"/>
                          </a:xfrm>
                          <a:custGeom>
                            <a:avLst/>
                            <a:gdLst>
                              <a:gd name="T0" fmla="*/ 9055 w 9058"/>
                              <a:gd name="T1" fmla="*/ 6864 h 6864"/>
                              <a:gd name="T2" fmla="*/ 2 w 9058"/>
                              <a:gd name="T3" fmla="*/ 6864 h 6864"/>
                              <a:gd name="T4" fmla="*/ 0 w 9058"/>
                              <a:gd name="T5" fmla="*/ 6862 h 6864"/>
                              <a:gd name="T6" fmla="*/ 0 w 9058"/>
                              <a:gd name="T7" fmla="*/ 2 h 6864"/>
                              <a:gd name="T8" fmla="*/ 2 w 9058"/>
                              <a:gd name="T9" fmla="*/ 0 h 6864"/>
                              <a:gd name="T10" fmla="*/ 9055 w 9058"/>
                              <a:gd name="T11" fmla="*/ 0 h 6864"/>
                              <a:gd name="T12" fmla="*/ 9058 w 9058"/>
                              <a:gd name="T13" fmla="*/ 2 h 6864"/>
                              <a:gd name="T14" fmla="*/ 9058 w 9058"/>
                              <a:gd name="T15" fmla="*/ 7 h 6864"/>
                              <a:gd name="T16" fmla="*/ 14 w 9058"/>
                              <a:gd name="T17" fmla="*/ 7 h 6864"/>
                              <a:gd name="T18" fmla="*/ 7 w 9058"/>
                              <a:gd name="T19" fmla="*/ 14 h 6864"/>
                              <a:gd name="T20" fmla="*/ 14 w 9058"/>
                              <a:gd name="T21" fmla="*/ 14 h 6864"/>
                              <a:gd name="T22" fmla="*/ 14 w 9058"/>
                              <a:gd name="T23" fmla="*/ 6850 h 6864"/>
                              <a:gd name="T24" fmla="*/ 7 w 9058"/>
                              <a:gd name="T25" fmla="*/ 6850 h 6864"/>
                              <a:gd name="T26" fmla="*/ 14 w 9058"/>
                              <a:gd name="T27" fmla="*/ 6857 h 6864"/>
                              <a:gd name="T28" fmla="*/ 9058 w 9058"/>
                              <a:gd name="T29" fmla="*/ 6857 h 6864"/>
                              <a:gd name="T30" fmla="*/ 9058 w 9058"/>
                              <a:gd name="T31" fmla="*/ 6862 h 6864"/>
                              <a:gd name="T32" fmla="*/ 9055 w 9058"/>
                              <a:gd name="T33" fmla="*/ 6864 h 6864"/>
                              <a:gd name="T34" fmla="*/ 14 w 9058"/>
                              <a:gd name="T35" fmla="*/ 14 h 6864"/>
                              <a:gd name="T36" fmla="*/ 7 w 9058"/>
                              <a:gd name="T37" fmla="*/ 14 h 6864"/>
                              <a:gd name="T38" fmla="*/ 14 w 9058"/>
                              <a:gd name="T39" fmla="*/ 7 h 6864"/>
                              <a:gd name="T40" fmla="*/ 14 w 9058"/>
                              <a:gd name="T41" fmla="*/ 14 h 6864"/>
                              <a:gd name="T42" fmla="*/ 9043 w 9058"/>
                              <a:gd name="T43" fmla="*/ 14 h 6864"/>
                              <a:gd name="T44" fmla="*/ 14 w 9058"/>
                              <a:gd name="T45" fmla="*/ 14 h 6864"/>
                              <a:gd name="T46" fmla="*/ 14 w 9058"/>
                              <a:gd name="T47" fmla="*/ 7 h 6864"/>
                              <a:gd name="T48" fmla="*/ 9043 w 9058"/>
                              <a:gd name="T49" fmla="*/ 7 h 6864"/>
                              <a:gd name="T50" fmla="*/ 9043 w 9058"/>
                              <a:gd name="T51" fmla="*/ 14 h 6864"/>
                              <a:gd name="T52" fmla="*/ 9043 w 9058"/>
                              <a:gd name="T53" fmla="*/ 6857 h 6864"/>
                              <a:gd name="T54" fmla="*/ 9043 w 9058"/>
                              <a:gd name="T55" fmla="*/ 7 h 6864"/>
                              <a:gd name="T56" fmla="*/ 9050 w 9058"/>
                              <a:gd name="T57" fmla="*/ 14 h 6864"/>
                              <a:gd name="T58" fmla="*/ 9058 w 9058"/>
                              <a:gd name="T59" fmla="*/ 14 h 6864"/>
                              <a:gd name="T60" fmla="*/ 9058 w 9058"/>
                              <a:gd name="T61" fmla="*/ 6850 h 6864"/>
                              <a:gd name="T62" fmla="*/ 9050 w 9058"/>
                              <a:gd name="T63" fmla="*/ 6850 h 6864"/>
                              <a:gd name="T64" fmla="*/ 9043 w 9058"/>
                              <a:gd name="T65" fmla="*/ 6857 h 6864"/>
                              <a:gd name="T66" fmla="*/ 9058 w 9058"/>
                              <a:gd name="T67" fmla="*/ 14 h 6864"/>
                              <a:gd name="T68" fmla="*/ 9050 w 9058"/>
                              <a:gd name="T69" fmla="*/ 14 h 6864"/>
                              <a:gd name="T70" fmla="*/ 9043 w 9058"/>
                              <a:gd name="T71" fmla="*/ 7 h 6864"/>
                              <a:gd name="T72" fmla="*/ 9058 w 9058"/>
                              <a:gd name="T73" fmla="*/ 7 h 6864"/>
                              <a:gd name="T74" fmla="*/ 9058 w 9058"/>
                              <a:gd name="T75" fmla="*/ 14 h 6864"/>
                              <a:gd name="T76" fmla="*/ 14 w 9058"/>
                              <a:gd name="T77" fmla="*/ 6857 h 6864"/>
                              <a:gd name="T78" fmla="*/ 7 w 9058"/>
                              <a:gd name="T79" fmla="*/ 6850 h 6864"/>
                              <a:gd name="T80" fmla="*/ 14 w 9058"/>
                              <a:gd name="T81" fmla="*/ 6850 h 6864"/>
                              <a:gd name="T82" fmla="*/ 14 w 9058"/>
                              <a:gd name="T83" fmla="*/ 6857 h 6864"/>
                              <a:gd name="T84" fmla="*/ 9043 w 9058"/>
                              <a:gd name="T85" fmla="*/ 6857 h 6864"/>
                              <a:gd name="T86" fmla="*/ 14 w 9058"/>
                              <a:gd name="T87" fmla="*/ 6857 h 6864"/>
                              <a:gd name="T88" fmla="*/ 14 w 9058"/>
                              <a:gd name="T89" fmla="*/ 6850 h 6864"/>
                              <a:gd name="T90" fmla="*/ 9043 w 9058"/>
                              <a:gd name="T91" fmla="*/ 6850 h 6864"/>
                              <a:gd name="T92" fmla="*/ 9043 w 9058"/>
                              <a:gd name="T93" fmla="*/ 6857 h 6864"/>
                              <a:gd name="T94" fmla="*/ 9058 w 9058"/>
                              <a:gd name="T95" fmla="*/ 6857 h 6864"/>
                              <a:gd name="T96" fmla="*/ 9043 w 9058"/>
                              <a:gd name="T97" fmla="*/ 6857 h 6864"/>
                              <a:gd name="T98" fmla="*/ 9050 w 9058"/>
                              <a:gd name="T99" fmla="*/ 6850 h 6864"/>
                              <a:gd name="T100" fmla="*/ 9058 w 9058"/>
                              <a:gd name="T101" fmla="*/ 6850 h 6864"/>
                              <a:gd name="T102" fmla="*/ 9058 w 9058"/>
                              <a:gd name="T103" fmla="*/ 6857 h 68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9058" h="6864">
                                <a:moveTo>
                                  <a:pt x="9055" y="6864"/>
                                </a:moveTo>
                                <a:lnTo>
                                  <a:pt x="2" y="6864"/>
                                </a:lnTo>
                                <a:lnTo>
                                  <a:pt x="0" y="6862"/>
                                </a:lnTo>
                                <a:lnTo>
                                  <a:pt x="0" y="2"/>
                                </a:lnTo>
                                <a:lnTo>
                                  <a:pt x="2" y="0"/>
                                </a:lnTo>
                                <a:lnTo>
                                  <a:pt x="9055" y="0"/>
                                </a:lnTo>
                                <a:lnTo>
                                  <a:pt x="9058" y="2"/>
                                </a:lnTo>
                                <a:lnTo>
                                  <a:pt x="9058" y="7"/>
                                </a:lnTo>
                                <a:lnTo>
                                  <a:pt x="14" y="7"/>
                                </a:lnTo>
                                <a:lnTo>
                                  <a:pt x="7" y="14"/>
                                </a:lnTo>
                                <a:lnTo>
                                  <a:pt x="14" y="14"/>
                                </a:lnTo>
                                <a:lnTo>
                                  <a:pt x="14" y="6850"/>
                                </a:lnTo>
                                <a:lnTo>
                                  <a:pt x="7" y="6850"/>
                                </a:lnTo>
                                <a:lnTo>
                                  <a:pt x="14" y="6857"/>
                                </a:lnTo>
                                <a:lnTo>
                                  <a:pt x="9058" y="6857"/>
                                </a:lnTo>
                                <a:lnTo>
                                  <a:pt x="9058" y="6862"/>
                                </a:lnTo>
                                <a:lnTo>
                                  <a:pt x="9055" y="6864"/>
                                </a:lnTo>
                                <a:close/>
                                <a:moveTo>
                                  <a:pt x="14" y="14"/>
                                </a:moveTo>
                                <a:lnTo>
                                  <a:pt x="7" y="14"/>
                                </a:lnTo>
                                <a:lnTo>
                                  <a:pt x="14" y="7"/>
                                </a:lnTo>
                                <a:lnTo>
                                  <a:pt x="14" y="14"/>
                                </a:lnTo>
                                <a:close/>
                                <a:moveTo>
                                  <a:pt x="9043" y="14"/>
                                </a:moveTo>
                                <a:lnTo>
                                  <a:pt x="14" y="14"/>
                                </a:lnTo>
                                <a:lnTo>
                                  <a:pt x="14" y="7"/>
                                </a:lnTo>
                                <a:lnTo>
                                  <a:pt x="9043" y="7"/>
                                </a:lnTo>
                                <a:lnTo>
                                  <a:pt x="9043" y="14"/>
                                </a:lnTo>
                                <a:close/>
                                <a:moveTo>
                                  <a:pt x="9043" y="6857"/>
                                </a:moveTo>
                                <a:lnTo>
                                  <a:pt x="9043" y="7"/>
                                </a:lnTo>
                                <a:lnTo>
                                  <a:pt x="9050" y="14"/>
                                </a:lnTo>
                                <a:lnTo>
                                  <a:pt x="9058" y="14"/>
                                </a:lnTo>
                                <a:lnTo>
                                  <a:pt x="9058" y="6850"/>
                                </a:lnTo>
                                <a:lnTo>
                                  <a:pt x="9050" y="6850"/>
                                </a:lnTo>
                                <a:lnTo>
                                  <a:pt x="9043" y="6857"/>
                                </a:lnTo>
                                <a:close/>
                                <a:moveTo>
                                  <a:pt x="9058" y="14"/>
                                </a:moveTo>
                                <a:lnTo>
                                  <a:pt x="9050" y="14"/>
                                </a:lnTo>
                                <a:lnTo>
                                  <a:pt x="9043" y="7"/>
                                </a:lnTo>
                                <a:lnTo>
                                  <a:pt x="9058" y="7"/>
                                </a:lnTo>
                                <a:lnTo>
                                  <a:pt x="9058" y="14"/>
                                </a:lnTo>
                                <a:close/>
                                <a:moveTo>
                                  <a:pt x="14" y="6857"/>
                                </a:moveTo>
                                <a:lnTo>
                                  <a:pt x="7" y="6850"/>
                                </a:lnTo>
                                <a:lnTo>
                                  <a:pt x="14" y="6850"/>
                                </a:lnTo>
                                <a:lnTo>
                                  <a:pt x="14" y="6857"/>
                                </a:lnTo>
                                <a:close/>
                                <a:moveTo>
                                  <a:pt x="9043" y="6857"/>
                                </a:moveTo>
                                <a:lnTo>
                                  <a:pt x="14" y="6857"/>
                                </a:lnTo>
                                <a:lnTo>
                                  <a:pt x="14" y="6850"/>
                                </a:lnTo>
                                <a:lnTo>
                                  <a:pt x="9043" y="6850"/>
                                </a:lnTo>
                                <a:lnTo>
                                  <a:pt x="9043" y="6857"/>
                                </a:lnTo>
                                <a:close/>
                                <a:moveTo>
                                  <a:pt x="9058" y="6857"/>
                                </a:moveTo>
                                <a:lnTo>
                                  <a:pt x="9043" y="6857"/>
                                </a:lnTo>
                                <a:lnTo>
                                  <a:pt x="9050" y="6850"/>
                                </a:lnTo>
                                <a:lnTo>
                                  <a:pt x="9058" y="6850"/>
                                </a:lnTo>
                                <a:lnTo>
                                  <a:pt x="9058" y="68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0A3E3B" id="Group 8" o:spid="_x0000_s1026" style="width:452.9pt;height:343.2pt;mso-position-horizontal-relative:char;mso-position-vertical-relative:line" coordsize="9058,6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">
                <v:shape id="Picture 10" o:spid="_x0000_s1027" type="#_x0000_t75" style="position:absolute;left:7;top:7;width:9039;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">
                  <v:imagedata r:id="rId328" o:title=""/>
                </v:shape>
                <v:shape id="AutoShape 9" o:spid="_x0000_s1028" style="position:absolute;width:9058;height:6864;visibility:visible;mso-wrap-style:square;v-text-anchor:top" coordsize="9058,6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" path="m9055,6864l2,6864,,6862,,2,2,,9055,r3,2l9058,7,14,7,7,14r7,l14,6850r-7,l14,6857r9044,l9058,6862r-3,2xm14,14r-7,l14,7r,7xm9043,14l14,14r,-7l9043,7r,7xm9043,6857l9043,7r7,7l9058,14r,6836l9050,6850r-7,7xm9058,14r-8,l9043,7r15,l9058,14xm14,6857r-7,-7l14,6850r,7xm9043,6857r-9029,l14,6850r9029,l9043,6857xm9058,6857r-15,l9050,6850r8,l9058,6857xe" fillcolor="black" stroked="f">
                  <v:path arrowok="t" o:connecttype="custom" o:connectlocs="9055,6864;2,6864;0,6862;0,2;2,0;9055,0;9058,2;9058,7;14,7;7,14;14,14;14,6850;7,6850;14,6857;9058,6857;9058,6862;9055,6864;14,14;7,14;14,7;14,14;9043,14;14,14;14,7;9043,7;9043,14;9043,6857;9043,7;9050,14;9058,14;9058,6850;9050,6850;9043,6857;9058,14;9050,14;9043,7;9058,7;9058,14;14,6857;7,6850;14,6850;14,6857;9043,6857;14,6857;14,6850;9043,6850;9043,6857;9058,6857;9043,6857;9050,6850;9058,6850;9058,6857" o:connectangles="0,0,0,0,0,0,0,0,0,0,0,0,0,0,0,0,0,0,0,0,0,0,0,0,0,0,0,0,0,0,0,0,0,0,0,0,0,0,0,0,0,0,0,0,0,0,0,0,0,0,0,0"/>
                </v:shape>
                <w10:anchorlock/>
              </v:group>
            </w:pict>
          </mc:Fallback>
        </mc:AlternateContent>
      </w:r>
    </w:p>
    <w:p w14:paraId="5681479B" w14:textId="77777777" w:rsidR="00665A13" w:rsidRDefault="00665A13" w:rsidP="00665A13">
      <w:pPr>
        <w:pStyle w:val="BodyText"/>
        <w:spacing w:before="3"/>
        <w:rPr>
          <w:i/>
          <w:sz w:val="16"/>
        </w:rPr>
      </w:pPr>
    </w:p>
    <w:p w14:paraId="38A4D75B" w14:textId="77777777" w:rsidR="00665A13" w:rsidRPr="001414BA" w:rsidRDefault="00665A13" w:rsidP="001414BA">
      <w:pPr>
        <w:jc w:val="center"/>
        <w:rPr>
          <w:b/>
        </w:rPr>
      </w:pPr>
      <w:r w:rsidRPr="001414BA">
        <w:rPr>
          <w:b/>
        </w:rPr>
        <w:t>Figure 8 – Site plan illustrating existing setback patterns and compatible new development.</w:t>
      </w:r>
    </w:p>
    <w:p w14:paraId="26E693EE" w14:textId="77777777" w:rsidR="00665A13" w:rsidRDefault="00665A13" w:rsidP="00665A13">
      <w:pPr>
        <w:ind w:left="261" w:right="596"/>
        <w:jc w:val="center"/>
        <w:rPr>
          <w:i/>
        </w:rPr>
      </w:pPr>
      <w:r>
        <w:rPr>
          <w:i/>
        </w:rPr>
        <w:t>Griffiths Architects 2015</w:t>
      </w:r>
    </w:p>
    <w:p w14:paraId="76C5CB14" w14:textId="77777777" w:rsidR="00665A13" w:rsidRDefault="00665A13" w:rsidP="00665A13">
      <w:pPr>
        <w:jc w:val="center"/>
        <w:sectPr w:rsidR="00665A13">
          <w:pgSz w:w="11910" w:h="16840"/>
          <w:pgMar w:top="1440" w:right="980" w:bottom="1200" w:left="1320" w:header="0" w:footer="1002" w:gutter="0"/>
          <w:cols w:space="720"/>
        </w:sectPr>
      </w:pPr>
    </w:p>
    <w:p w14:paraId="1D0CB242" w14:textId="77777777" w:rsidR="00665A13" w:rsidRPr="001414BA" w:rsidRDefault="00665A13" w:rsidP="001414BA">
      <w:pPr>
        <w:ind w:right="538"/>
        <w:jc w:val="right"/>
        <w:rPr>
          <w:b/>
        </w:rPr>
      </w:pPr>
      <w:bookmarkStart w:id="563" w:name="_TOC_250002"/>
      <w:bookmarkEnd w:id="563"/>
      <w:r w:rsidRPr="001414BA">
        <w:rPr>
          <w:b/>
        </w:rPr>
        <w:lastRenderedPageBreak/>
        <w:t>APPENDIX 5: ADVERTISING SIGNS AND INCIDENTAL DEVELOPMENT</w:t>
      </w:r>
    </w:p>
    <w:p w14:paraId="0B1F4859" w14:textId="77777777" w:rsidR="00665A13" w:rsidRDefault="00665A13" w:rsidP="00665A13">
      <w:pPr>
        <w:pStyle w:val="BodyText"/>
        <w:rPr>
          <w:b/>
          <w:sz w:val="20"/>
        </w:rPr>
      </w:pPr>
    </w:p>
    <w:p w14:paraId="4A2744EA" w14:textId="77777777" w:rsidR="00665A13" w:rsidRDefault="00665A13" w:rsidP="00665A13">
      <w:pPr>
        <w:pStyle w:val="BodyText"/>
        <w:spacing w:before="1"/>
        <w:rPr>
          <w:b/>
        </w:rPr>
      </w:pPr>
      <w:r>
        <w:rPr>
          <w:noProof/>
          <w:lang w:val="en-AU" w:eastAsia="en-AU"/>
        </w:rPr>
        <mc:AlternateContent>
          <mc:Choice Requires="wpg">
            <w:drawing>
              <wp:anchor distT="0" distB="0" distL="0" distR="0" simplePos="0" relativeHeight="251623424" behindDoc="1" locked="0" layoutInCell="1" allowOverlap="1" wp14:anchorId="4E113EAD" wp14:editId="069E4F03">
                <wp:simplePos x="0" y="0"/>
                <wp:positionH relativeFrom="page">
                  <wp:posOffset>925195</wp:posOffset>
                </wp:positionH>
                <wp:positionV relativeFrom="paragraph">
                  <wp:posOffset>196215</wp:posOffset>
                </wp:positionV>
                <wp:extent cx="5721350" cy="3923030"/>
                <wp:effectExtent l="0" t="0" r="0" b="0"/>
                <wp:wrapTopAndBottom/>
                <wp:docPr id="1216364633"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1350" cy="3923030"/>
                          <a:chOff x="1457" y="309"/>
                          <a:chExt cx="9010" cy="6178"/>
                        </a:xfrm>
                      </wpg:grpSpPr>
                      <pic:pic xmlns:pic="http://schemas.openxmlformats.org/drawingml/2006/picture">
                        <pic:nvPicPr>
                          <pic:cNvPr id="471361881" name="Picture 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2116" y="356"/>
                            <a:ext cx="7872" cy="5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139474" name="AutoShape 6"/>
                        <wps:cNvSpPr>
                          <a:spLocks/>
                        </wps:cNvSpPr>
                        <wps:spPr bwMode="auto">
                          <a:xfrm>
                            <a:off x="1456" y="308"/>
                            <a:ext cx="9010" cy="6178"/>
                          </a:xfrm>
                          <a:custGeom>
                            <a:avLst/>
                            <a:gdLst>
                              <a:gd name="T0" fmla="+- 0 10464 1457"/>
                              <a:gd name="T1" fmla="*/ T0 w 9010"/>
                              <a:gd name="T2" fmla="+- 0 6486 309"/>
                              <a:gd name="T3" fmla="*/ 6486 h 6178"/>
                              <a:gd name="T4" fmla="+- 0 1459 1457"/>
                              <a:gd name="T5" fmla="*/ T4 w 9010"/>
                              <a:gd name="T6" fmla="+- 0 6486 309"/>
                              <a:gd name="T7" fmla="*/ 6486 h 6178"/>
                              <a:gd name="T8" fmla="+- 0 1457 1457"/>
                              <a:gd name="T9" fmla="*/ T8 w 9010"/>
                              <a:gd name="T10" fmla="+- 0 6482 309"/>
                              <a:gd name="T11" fmla="*/ 6482 h 6178"/>
                              <a:gd name="T12" fmla="+- 0 1457 1457"/>
                              <a:gd name="T13" fmla="*/ T12 w 9010"/>
                              <a:gd name="T14" fmla="+- 0 314 309"/>
                              <a:gd name="T15" fmla="*/ 314 h 6178"/>
                              <a:gd name="T16" fmla="+- 0 1459 1457"/>
                              <a:gd name="T17" fmla="*/ T16 w 9010"/>
                              <a:gd name="T18" fmla="+- 0 309 309"/>
                              <a:gd name="T19" fmla="*/ 309 h 6178"/>
                              <a:gd name="T20" fmla="+- 0 10464 1457"/>
                              <a:gd name="T21" fmla="*/ T20 w 9010"/>
                              <a:gd name="T22" fmla="+- 0 309 309"/>
                              <a:gd name="T23" fmla="*/ 309 h 6178"/>
                              <a:gd name="T24" fmla="+- 0 10466 1457"/>
                              <a:gd name="T25" fmla="*/ T24 w 9010"/>
                              <a:gd name="T26" fmla="+- 0 314 309"/>
                              <a:gd name="T27" fmla="*/ 314 h 6178"/>
                              <a:gd name="T28" fmla="+- 0 10466 1457"/>
                              <a:gd name="T29" fmla="*/ T28 w 9010"/>
                              <a:gd name="T30" fmla="+- 0 318 309"/>
                              <a:gd name="T31" fmla="*/ 318 h 6178"/>
                              <a:gd name="T32" fmla="+- 0 1471 1457"/>
                              <a:gd name="T33" fmla="*/ T32 w 9010"/>
                              <a:gd name="T34" fmla="+- 0 318 309"/>
                              <a:gd name="T35" fmla="*/ 318 h 6178"/>
                              <a:gd name="T36" fmla="+- 0 1464 1457"/>
                              <a:gd name="T37" fmla="*/ T36 w 9010"/>
                              <a:gd name="T38" fmla="+- 0 326 309"/>
                              <a:gd name="T39" fmla="*/ 326 h 6178"/>
                              <a:gd name="T40" fmla="+- 0 1471 1457"/>
                              <a:gd name="T41" fmla="*/ T40 w 9010"/>
                              <a:gd name="T42" fmla="+- 0 326 309"/>
                              <a:gd name="T43" fmla="*/ 326 h 6178"/>
                              <a:gd name="T44" fmla="+- 0 1471 1457"/>
                              <a:gd name="T45" fmla="*/ T44 w 9010"/>
                              <a:gd name="T46" fmla="+- 0 6470 309"/>
                              <a:gd name="T47" fmla="*/ 6470 h 6178"/>
                              <a:gd name="T48" fmla="+- 0 1464 1457"/>
                              <a:gd name="T49" fmla="*/ T48 w 9010"/>
                              <a:gd name="T50" fmla="+- 0 6470 309"/>
                              <a:gd name="T51" fmla="*/ 6470 h 6178"/>
                              <a:gd name="T52" fmla="+- 0 1471 1457"/>
                              <a:gd name="T53" fmla="*/ T52 w 9010"/>
                              <a:gd name="T54" fmla="+- 0 6479 309"/>
                              <a:gd name="T55" fmla="*/ 6479 h 6178"/>
                              <a:gd name="T56" fmla="+- 0 10466 1457"/>
                              <a:gd name="T57" fmla="*/ T56 w 9010"/>
                              <a:gd name="T58" fmla="+- 0 6479 309"/>
                              <a:gd name="T59" fmla="*/ 6479 h 6178"/>
                              <a:gd name="T60" fmla="+- 0 10466 1457"/>
                              <a:gd name="T61" fmla="*/ T60 w 9010"/>
                              <a:gd name="T62" fmla="+- 0 6482 309"/>
                              <a:gd name="T63" fmla="*/ 6482 h 6178"/>
                              <a:gd name="T64" fmla="+- 0 10464 1457"/>
                              <a:gd name="T65" fmla="*/ T64 w 9010"/>
                              <a:gd name="T66" fmla="+- 0 6486 309"/>
                              <a:gd name="T67" fmla="*/ 6486 h 6178"/>
                              <a:gd name="T68" fmla="+- 0 1471 1457"/>
                              <a:gd name="T69" fmla="*/ T68 w 9010"/>
                              <a:gd name="T70" fmla="+- 0 326 309"/>
                              <a:gd name="T71" fmla="*/ 326 h 6178"/>
                              <a:gd name="T72" fmla="+- 0 1464 1457"/>
                              <a:gd name="T73" fmla="*/ T72 w 9010"/>
                              <a:gd name="T74" fmla="+- 0 326 309"/>
                              <a:gd name="T75" fmla="*/ 326 h 6178"/>
                              <a:gd name="T76" fmla="+- 0 1471 1457"/>
                              <a:gd name="T77" fmla="*/ T76 w 9010"/>
                              <a:gd name="T78" fmla="+- 0 318 309"/>
                              <a:gd name="T79" fmla="*/ 318 h 6178"/>
                              <a:gd name="T80" fmla="+- 0 1471 1457"/>
                              <a:gd name="T81" fmla="*/ T80 w 9010"/>
                              <a:gd name="T82" fmla="+- 0 326 309"/>
                              <a:gd name="T83" fmla="*/ 326 h 6178"/>
                              <a:gd name="T84" fmla="+- 0 10452 1457"/>
                              <a:gd name="T85" fmla="*/ T84 w 9010"/>
                              <a:gd name="T86" fmla="+- 0 326 309"/>
                              <a:gd name="T87" fmla="*/ 326 h 6178"/>
                              <a:gd name="T88" fmla="+- 0 1471 1457"/>
                              <a:gd name="T89" fmla="*/ T88 w 9010"/>
                              <a:gd name="T90" fmla="+- 0 326 309"/>
                              <a:gd name="T91" fmla="*/ 326 h 6178"/>
                              <a:gd name="T92" fmla="+- 0 1471 1457"/>
                              <a:gd name="T93" fmla="*/ T92 w 9010"/>
                              <a:gd name="T94" fmla="+- 0 318 309"/>
                              <a:gd name="T95" fmla="*/ 318 h 6178"/>
                              <a:gd name="T96" fmla="+- 0 10452 1457"/>
                              <a:gd name="T97" fmla="*/ T96 w 9010"/>
                              <a:gd name="T98" fmla="+- 0 318 309"/>
                              <a:gd name="T99" fmla="*/ 318 h 6178"/>
                              <a:gd name="T100" fmla="+- 0 10452 1457"/>
                              <a:gd name="T101" fmla="*/ T100 w 9010"/>
                              <a:gd name="T102" fmla="+- 0 326 309"/>
                              <a:gd name="T103" fmla="*/ 326 h 6178"/>
                              <a:gd name="T104" fmla="+- 0 10452 1457"/>
                              <a:gd name="T105" fmla="*/ T104 w 9010"/>
                              <a:gd name="T106" fmla="+- 0 6479 309"/>
                              <a:gd name="T107" fmla="*/ 6479 h 6178"/>
                              <a:gd name="T108" fmla="+- 0 10452 1457"/>
                              <a:gd name="T109" fmla="*/ T108 w 9010"/>
                              <a:gd name="T110" fmla="+- 0 318 309"/>
                              <a:gd name="T111" fmla="*/ 318 h 6178"/>
                              <a:gd name="T112" fmla="+- 0 10459 1457"/>
                              <a:gd name="T113" fmla="*/ T112 w 9010"/>
                              <a:gd name="T114" fmla="+- 0 326 309"/>
                              <a:gd name="T115" fmla="*/ 326 h 6178"/>
                              <a:gd name="T116" fmla="+- 0 10466 1457"/>
                              <a:gd name="T117" fmla="*/ T116 w 9010"/>
                              <a:gd name="T118" fmla="+- 0 326 309"/>
                              <a:gd name="T119" fmla="*/ 326 h 6178"/>
                              <a:gd name="T120" fmla="+- 0 10466 1457"/>
                              <a:gd name="T121" fmla="*/ T120 w 9010"/>
                              <a:gd name="T122" fmla="+- 0 6470 309"/>
                              <a:gd name="T123" fmla="*/ 6470 h 6178"/>
                              <a:gd name="T124" fmla="+- 0 10459 1457"/>
                              <a:gd name="T125" fmla="*/ T124 w 9010"/>
                              <a:gd name="T126" fmla="+- 0 6470 309"/>
                              <a:gd name="T127" fmla="*/ 6470 h 6178"/>
                              <a:gd name="T128" fmla="+- 0 10452 1457"/>
                              <a:gd name="T129" fmla="*/ T128 w 9010"/>
                              <a:gd name="T130" fmla="+- 0 6479 309"/>
                              <a:gd name="T131" fmla="*/ 6479 h 6178"/>
                              <a:gd name="T132" fmla="+- 0 10466 1457"/>
                              <a:gd name="T133" fmla="*/ T132 w 9010"/>
                              <a:gd name="T134" fmla="+- 0 326 309"/>
                              <a:gd name="T135" fmla="*/ 326 h 6178"/>
                              <a:gd name="T136" fmla="+- 0 10459 1457"/>
                              <a:gd name="T137" fmla="*/ T136 w 9010"/>
                              <a:gd name="T138" fmla="+- 0 326 309"/>
                              <a:gd name="T139" fmla="*/ 326 h 6178"/>
                              <a:gd name="T140" fmla="+- 0 10452 1457"/>
                              <a:gd name="T141" fmla="*/ T140 w 9010"/>
                              <a:gd name="T142" fmla="+- 0 318 309"/>
                              <a:gd name="T143" fmla="*/ 318 h 6178"/>
                              <a:gd name="T144" fmla="+- 0 10466 1457"/>
                              <a:gd name="T145" fmla="*/ T144 w 9010"/>
                              <a:gd name="T146" fmla="+- 0 318 309"/>
                              <a:gd name="T147" fmla="*/ 318 h 6178"/>
                              <a:gd name="T148" fmla="+- 0 10466 1457"/>
                              <a:gd name="T149" fmla="*/ T148 w 9010"/>
                              <a:gd name="T150" fmla="+- 0 326 309"/>
                              <a:gd name="T151" fmla="*/ 326 h 6178"/>
                              <a:gd name="T152" fmla="+- 0 1471 1457"/>
                              <a:gd name="T153" fmla="*/ T152 w 9010"/>
                              <a:gd name="T154" fmla="+- 0 6479 309"/>
                              <a:gd name="T155" fmla="*/ 6479 h 6178"/>
                              <a:gd name="T156" fmla="+- 0 1464 1457"/>
                              <a:gd name="T157" fmla="*/ T156 w 9010"/>
                              <a:gd name="T158" fmla="+- 0 6470 309"/>
                              <a:gd name="T159" fmla="*/ 6470 h 6178"/>
                              <a:gd name="T160" fmla="+- 0 1471 1457"/>
                              <a:gd name="T161" fmla="*/ T160 w 9010"/>
                              <a:gd name="T162" fmla="+- 0 6470 309"/>
                              <a:gd name="T163" fmla="*/ 6470 h 6178"/>
                              <a:gd name="T164" fmla="+- 0 1471 1457"/>
                              <a:gd name="T165" fmla="*/ T164 w 9010"/>
                              <a:gd name="T166" fmla="+- 0 6479 309"/>
                              <a:gd name="T167" fmla="*/ 6479 h 6178"/>
                              <a:gd name="T168" fmla="+- 0 10452 1457"/>
                              <a:gd name="T169" fmla="*/ T168 w 9010"/>
                              <a:gd name="T170" fmla="+- 0 6479 309"/>
                              <a:gd name="T171" fmla="*/ 6479 h 6178"/>
                              <a:gd name="T172" fmla="+- 0 1471 1457"/>
                              <a:gd name="T173" fmla="*/ T172 w 9010"/>
                              <a:gd name="T174" fmla="+- 0 6479 309"/>
                              <a:gd name="T175" fmla="*/ 6479 h 6178"/>
                              <a:gd name="T176" fmla="+- 0 1471 1457"/>
                              <a:gd name="T177" fmla="*/ T176 w 9010"/>
                              <a:gd name="T178" fmla="+- 0 6470 309"/>
                              <a:gd name="T179" fmla="*/ 6470 h 6178"/>
                              <a:gd name="T180" fmla="+- 0 10452 1457"/>
                              <a:gd name="T181" fmla="*/ T180 w 9010"/>
                              <a:gd name="T182" fmla="+- 0 6470 309"/>
                              <a:gd name="T183" fmla="*/ 6470 h 6178"/>
                              <a:gd name="T184" fmla="+- 0 10452 1457"/>
                              <a:gd name="T185" fmla="*/ T184 w 9010"/>
                              <a:gd name="T186" fmla="+- 0 6479 309"/>
                              <a:gd name="T187" fmla="*/ 6479 h 6178"/>
                              <a:gd name="T188" fmla="+- 0 10466 1457"/>
                              <a:gd name="T189" fmla="*/ T188 w 9010"/>
                              <a:gd name="T190" fmla="+- 0 6479 309"/>
                              <a:gd name="T191" fmla="*/ 6479 h 6178"/>
                              <a:gd name="T192" fmla="+- 0 10452 1457"/>
                              <a:gd name="T193" fmla="*/ T192 w 9010"/>
                              <a:gd name="T194" fmla="+- 0 6479 309"/>
                              <a:gd name="T195" fmla="*/ 6479 h 6178"/>
                              <a:gd name="T196" fmla="+- 0 10459 1457"/>
                              <a:gd name="T197" fmla="*/ T196 w 9010"/>
                              <a:gd name="T198" fmla="+- 0 6470 309"/>
                              <a:gd name="T199" fmla="*/ 6470 h 6178"/>
                              <a:gd name="T200" fmla="+- 0 10466 1457"/>
                              <a:gd name="T201" fmla="*/ T200 w 9010"/>
                              <a:gd name="T202" fmla="+- 0 6470 309"/>
                              <a:gd name="T203" fmla="*/ 6470 h 6178"/>
                              <a:gd name="T204" fmla="+- 0 10466 1457"/>
                              <a:gd name="T205" fmla="*/ T204 w 9010"/>
                              <a:gd name="T206" fmla="+- 0 6479 309"/>
                              <a:gd name="T207" fmla="*/ 6479 h 6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010" h="6178">
                                <a:moveTo>
                                  <a:pt x="9007" y="6177"/>
                                </a:moveTo>
                                <a:lnTo>
                                  <a:pt x="2" y="6177"/>
                                </a:lnTo>
                                <a:lnTo>
                                  <a:pt x="0" y="6173"/>
                                </a:lnTo>
                                <a:lnTo>
                                  <a:pt x="0" y="5"/>
                                </a:lnTo>
                                <a:lnTo>
                                  <a:pt x="2" y="0"/>
                                </a:lnTo>
                                <a:lnTo>
                                  <a:pt x="9007" y="0"/>
                                </a:lnTo>
                                <a:lnTo>
                                  <a:pt x="9009" y="5"/>
                                </a:lnTo>
                                <a:lnTo>
                                  <a:pt x="9009" y="9"/>
                                </a:lnTo>
                                <a:lnTo>
                                  <a:pt x="14" y="9"/>
                                </a:lnTo>
                                <a:lnTo>
                                  <a:pt x="7" y="17"/>
                                </a:lnTo>
                                <a:lnTo>
                                  <a:pt x="14" y="17"/>
                                </a:lnTo>
                                <a:lnTo>
                                  <a:pt x="14" y="6161"/>
                                </a:lnTo>
                                <a:lnTo>
                                  <a:pt x="7" y="6161"/>
                                </a:lnTo>
                                <a:lnTo>
                                  <a:pt x="14" y="6170"/>
                                </a:lnTo>
                                <a:lnTo>
                                  <a:pt x="9009" y="6170"/>
                                </a:lnTo>
                                <a:lnTo>
                                  <a:pt x="9009" y="6173"/>
                                </a:lnTo>
                                <a:lnTo>
                                  <a:pt x="9007" y="6177"/>
                                </a:lnTo>
                                <a:close/>
                                <a:moveTo>
                                  <a:pt x="14" y="17"/>
                                </a:moveTo>
                                <a:lnTo>
                                  <a:pt x="7" y="17"/>
                                </a:lnTo>
                                <a:lnTo>
                                  <a:pt x="14" y="9"/>
                                </a:lnTo>
                                <a:lnTo>
                                  <a:pt x="14" y="17"/>
                                </a:lnTo>
                                <a:close/>
                                <a:moveTo>
                                  <a:pt x="8995" y="17"/>
                                </a:moveTo>
                                <a:lnTo>
                                  <a:pt x="14" y="17"/>
                                </a:lnTo>
                                <a:lnTo>
                                  <a:pt x="14" y="9"/>
                                </a:lnTo>
                                <a:lnTo>
                                  <a:pt x="8995" y="9"/>
                                </a:lnTo>
                                <a:lnTo>
                                  <a:pt x="8995" y="17"/>
                                </a:lnTo>
                                <a:close/>
                                <a:moveTo>
                                  <a:pt x="8995" y="6170"/>
                                </a:moveTo>
                                <a:lnTo>
                                  <a:pt x="8995" y="9"/>
                                </a:lnTo>
                                <a:lnTo>
                                  <a:pt x="9002" y="17"/>
                                </a:lnTo>
                                <a:lnTo>
                                  <a:pt x="9009" y="17"/>
                                </a:lnTo>
                                <a:lnTo>
                                  <a:pt x="9009" y="6161"/>
                                </a:lnTo>
                                <a:lnTo>
                                  <a:pt x="9002" y="6161"/>
                                </a:lnTo>
                                <a:lnTo>
                                  <a:pt x="8995" y="6170"/>
                                </a:lnTo>
                                <a:close/>
                                <a:moveTo>
                                  <a:pt x="9009" y="17"/>
                                </a:moveTo>
                                <a:lnTo>
                                  <a:pt x="9002" y="17"/>
                                </a:lnTo>
                                <a:lnTo>
                                  <a:pt x="8995" y="9"/>
                                </a:lnTo>
                                <a:lnTo>
                                  <a:pt x="9009" y="9"/>
                                </a:lnTo>
                                <a:lnTo>
                                  <a:pt x="9009" y="17"/>
                                </a:lnTo>
                                <a:close/>
                                <a:moveTo>
                                  <a:pt x="14" y="6170"/>
                                </a:moveTo>
                                <a:lnTo>
                                  <a:pt x="7" y="6161"/>
                                </a:lnTo>
                                <a:lnTo>
                                  <a:pt x="14" y="6161"/>
                                </a:lnTo>
                                <a:lnTo>
                                  <a:pt x="14" y="6170"/>
                                </a:lnTo>
                                <a:close/>
                                <a:moveTo>
                                  <a:pt x="8995" y="6170"/>
                                </a:moveTo>
                                <a:lnTo>
                                  <a:pt x="14" y="6170"/>
                                </a:lnTo>
                                <a:lnTo>
                                  <a:pt x="14" y="6161"/>
                                </a:lnTo>
                                <a:lnTo>
                                  <a:pt x="8995" y="6161"/>
                                </a:lnTo>
                                <a:lnTo>
                                  <a:pt x="8995" y="6170"/>
                                </a:lnTo>
                                <a:close/>
                                <a:moveTo>
                                  <a:pt x="9009" y="6170"/>
                                </a:moveTo>
                                <a:lnTo>
                                  <a:pt x="8995" y="6170"/>
                                </a:lnTo>
                                <a:lnTo>
                                  <a:pt x="9002" y="6161"/>
                                </a:lnTo>
                                <a:lnTo>
                                  <a:pt x="9009" y="6161"/>
                                </a:lnTo>
                                <a:lnTo>
                                  <a:pt x="9009" y="61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619DD2" id="Group 5" o:spid="_x0000_s1026" style="position:absolute;margin-left:72.85pt;margin-top:15.45pt;width:450.5pt;height:308.9pt;z-index:-251693056;mso-wrap-distance-left:0;mso-wrap-distance-right:0;mso-position-horizontal-relative:page" coordorigin="1457,309" coordsize="9010,6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&#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">
                <v:shape id="Picture 7" o:spid="_x0000_s1027" type="#_x0000_t75" style="position:absolute;left:2116;top:356;width:7872;height:5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">
                  <v:imagedata r:id="rId330" o:title=""/>
                </v:shape>
                <v:shape id="AutoShape 6" o:spid="_x0000_s1028" style="position:absolute;left:1456;top:308;width:9010;height:6178;visibility:visible;mso-wrap-style:square;v-text-anchor:top" coordsize="9010,6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" path="m9007,6177l2,6177,,6173,,5,2,,9007,r2,5l9009,9,14,9,7,17r7,l14,6161r-7,l14,6170r8995,l9009,6173r-2,4xm14,17r-7,l14,9r,8xm8995,17l14,17r,-8l8995,9r,8xm8995,6170l8995,9r7,8l9009,17r,6144l9002,6161r-7,9xm9009,17r-7,l8995,9r14,l9009,17xm14,6170r-7,-9l14,6161r,9xm8995,6170r-8981,l14,6161r8981,l8995,6170xm9009,6170r-14,l9002,6161r7,l9009,6170xe" fillcolor="black" stroked="f">
                  <v:path arrowok="t" o:connecttype="custom" o:connectlocs="9007,6486;2,6486;0,6482;0,314;2,309;9007,309;9009,314;9009,318;14,318;7,326;14,326;14,6470;7,6470;14,6479;9009,6479;9009,6482;9007,6486;14,326;7,326;14,318;14,326;8995,326;14,326;14,318;8995,318;8995,326;8995,6479;8995,318;9002,326;9009,326;9009,6470;9002,6470;8995,6479;9009,326;9002,326;8995,318;9009,318;9009,326;14,6479;7,6470;14,6470;14,6479;8995,6479;14,6479;14,6470;8995,6470;8995,6479;9009,6479;8995,6479;9002,6470;9009,6470;9009,6479" o:connectangles="0,0,0,0,0,0,0,0,0,0,0,0,0,0,0,0,0,0,0,0,0,0,0,0,0,0,0,0,0,0,0,0,0,0,0,0,0,0,0,0,0,0,0,0,0,0,0,0,0,0,0,0"/>
                </v:shape>
                <w10:wrap type="topAndBottom" anchorx="page"/>
              </v:group>
            </w:pict>
          </mc:Fallback>
        </mc:AlternateContent>
      </w:r>
    </w:p>
    <w:p w14:paraId="5F8BA2E4" w14:textId="77777777" w:rsidR="00665A13" w:rsidRDefault="00665A13" w:rsidP="00665A13">
      <w:pPr>
        <w:pStyle w:val="BodyText"/>
        <w:spacing w:before="11"/>
        <w:rPr>
          <w:b/>
          <w:sz w:val="20"/>
        </w:rPr>
      </w:pPr>
    </w:p>
    <w:p w14:paraId="0AF4F586" w14:textId="77777777" w:rsidR="00665A13" w:rsidRDefault="00665A13" w:rsidP="00665A13">
      <w:pPr>
        <w:ind w:left="691"/>
        <w:rPr>
          <w:i/>
        </w:rPr>
      </w:pPr>
      <w:r>
        <w:rPr>
          <w:b/>
        </w:rPr>
        <w:t xml:space="preserve">Figure 9 - Examples of appropriate and inappropriate signage. </w:t>
      </w:r>
      <w:r>
        <w:rPr>
          <w:i/>
        </w:rPr>
        <w:t>Griffiths Architects 2015</w:t>
      </w:r>
    </w:p>
    <w:p w14:paraId="727BD059" w14:textId="77777777" w:rsidR="00665A13" w:rsidRDefault="00665A13" w:rsidP="00665A13">
      <w:pPr>
        <w:sectPr w:rsidR="00665A13">
          <w:pgSz w:w="11910" w:h="16840"/>
          <w:pgMar w:top="1380" w:right="980" w:bottom="1200" w:left="1320" w:header="0" w:footer="1002" w:gutter="0"/>
          <w:cols w:space="720"/>
        </w:sectPr>
      </w:pPr>
    </w:p>
    <w:p w14:paraId="12F4C8CA" w14:textId="77777777" w:rsidR="00665A13" w:rsidRDefault="00665A13" w:rsidP="00665A13">
      <w:pPr>
        <w:pStyle w:val="BodyText"/>
        <w:rPr>
          <w:i/>
          <w:sz w:val="20"/>
        </w:rPr>
      </w:pPr>
    </w:p>
    <w:p w14:paraId="53C7BAEF" w14:textId="77777777" w:rsidR="00665A13" w:rsidRDefault="00665A13" w:rsidP="00665A13">
      <w:pPr>
        <w:pStyle w:val="BodyText"/>
        <w:rPr>
          <w:i/>
          <w:sz w:val="13"/>
        </w:rPr>
      </w:pPr>
    </w:p>
    <w:p w14:paraId="305B3C97" w14:textId="77777777" w:rsidR="00665A13" w:rsidRDefault="00665A13" w:rsidP="00665A13">
      <w:pPr>
        <w:pStyle w:val="BodyText"/>
        <w:ind w:left="127"/>
        <w:rPr>
          <w:sz w:val="20"/>
        </w:rPr>
      </w:pPr>
      <w:r>
        <w:rPr>
          <w:noProof/>
          <w:sz w:val="20"/>
          <w:lang w:val="en-AU" w:eastAsia="en-AU"/>
        </w:rPr>
        <mc:AlternateContent>
          <mc:Choice Requires="wpg">
            <w:drawing>
              <wp:inline distT="0" distB="0" distL="0" distR="0" wp14:anchorId="0249E99B" wp14:editId="689385AB">
                <wp:extent cx="5695315" cy="7246620"/>
                <wp:effectExtent l="9525" t="9525" r="635" b="1905"/>
                <wp:docPr id="25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5315" cy="7246620"/>
                          <a:chOff x="0" y="0"/>
                          <a:chExt cx="8969" cy="11412"/>
                        </a:xfrm>
                      </wpg:grpSpPr>
                      <pic:pic xmlns:pic="http://schemas.openxmlformats.org/drawingml/2006/picture">
                        <pic:nvPicPr>
                          <pic:cNvPr id="257" name="Picture 4"/>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7" y="9"/>
                            <a:ext cx="8952" cy="11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AutoShape 3"/>
                        <wps:cNvSpPr>
                          <a:spLocks/>
                        </wps:cNvSpPr>
                        <wps:spPr bwMode="auto">
                          <a:xfrm>
                            <a:off x="0" y="0"/>
                            <a:ext cx="8969" cy="11412"/>
                          </a:xfrm>
                          <a:custGeom>
                            <a:avLst/>
                            <a:gdLst>
                              <a:gd name="T0" fmla="*/ 8966 w 8969"/>
                              <a:gd name="T1" fmla="*/ 11412 h 11412"/>
                              <a:gd name="T2" fmla="*/ 2 w 8969"/>
                              <a:gd name="T3" fmla="*/ 11412 h 11412"/>
                              <a:gd name="T4" fmla="*/ 0 w 8969"/>
                              <a:gd name="T5" fmla="*/ 11407 h 11412"/>
                              <a:gd name="T6" fmla="*/ 0 w 8969"/>
                              <a:gd name="T7" fmla="*/ 2 h 11412"/>
                              <a:gd name="T8" fmla="*/ 2 w 8969"/>
                              <a:gd name="T9" fmla="*/ 0 h 11412"/>
                              <a:gd name="T10" fmla="*/ 8966 w 8969"/>
                              <a:gd name="T11" fmla="*/ 0 h 11412"/>
                              <a:gd name="T12" fmla="*/ 8969 w 8969"/>
                              <a:gd name="T13" fmla="*/ 2 h 11412"/>
                              <a:gd name="T14" fmla="*/ 8969 w 8969"/>
                              <a:gd name="T15" fmla="*/ 7 h 11412"/>
                              <a:gd name="T16" fmla="*/ 14 w 8969"/>
                              <a:gd name="T17" fmla="*/ 7 h 11412"/>
                              <a:gd name="T18" fmla="*/ 7 w 8969"/>
                              <a:gd name="T19" fmla="*/ 14 h 11412"/>
                              <a:gd name="T20" fmla="*/ 14 w 8969"/>
                              <a:gd name="T21" fmla="*/ 14 h 11412"/>
                              <a:gd name="T22" fmla="*/ 14 w 8969"/>
                              <a:gd name="T23" fmla="*/ 11398 h 11412"/>
                              <a:gd name="T24" fmla="*/ 7 w 8969"/>
                              <a:gd name="T25" fmla="*/ 11398 h 11412"/>
                              <a:gd name="T26" fmla="*/ 14 w 8969"/>
                              <a:gd name="T27" fmla="*/ 11405 h 11412"/>
                              <a:gd name="T28" fmla="*/ 8969 w 8969"/>
                              <a:gd name="T29" fmla="*/ 11405 h 11412"/>
                              <a:gd name="T30" fmla="*/ 8969 w 8969"/>
                              <a:gd name="T31" fmla="*/ 11407 h 11412"/>
                              <a:gd name="T32" fmla="*/ 8966 w 8969"/>
                              <a:gd name="T33" fmla="*/ 11412 h 11412"/>
                              <a:gd name="T34" fmla="*/ 14 w 8969"/>
                              <a:gd name="T35" fmla="*/ 14 h 11412"/>
                              <a:gd name="T36" fmla="*/ 7 w 8969"/>
                              <a:gd name="T37" fmla="*/ 14 h 11412"/>
                              <a:gd name="T38" fmla="*/ 14 w 8969"/>
                              <a:gd name="T39" fmla="*/ 7 h 11412"/>
                              <a:gd name="T40" fmla="*/ 14 w 8969"/>
                              <a:gd name="T41" fmla="*/ 14 h 11412"/>
                              <a:gd name="T42" fmla="*/ 8954 w 8969"/>
                              <a:gd name="T43" fmla="*/ 14 h 11412"/>
                              <a:gd name="T44" fmla="*/ 14 w 8969"/>
                              <a:gd name="T45" fmla="*/ 14 h 11412"/>
                              <a:gd name="T46" fmla="*/ 14 w 8969"/>
                              <a:gd name="T47" fmla="*/ 7 h 11412"/>
                              <a:gd name="T48" fmla="*/ 8954 w 8969"/>
                              <a:gd name="T49" fmla="*/ 7 h 11412"/>
                              <a:gd name="T50" fmla="*/ 8954 w 8969"/>
                              <a:gd name="T51" fmla="*/ 14 h 11412"/>
                              <a:gd name="T52" fmla="*/ 8954 w 8969"/>
                              <a:gd name="T53" fmla="*/ 11405 h 11412"/>
                              <a:gd name="T54" fmla="*/ 8954 w 8969"/>
                              <a:gd name="T55" fmla="*/ 7 h 11412"/>
                              <a:gd name="T56" fmla="*/ 8962 w 8969"/>
                              <a:gd name="T57" fmla="*/ 14 h 11412"/>
                              <a:gd name="T58" fmla="*/ 8969 w 8969"/>
                              <a:gd name="T59" fmla="*/ 14 h 11412"/>
                              <a:gd name="T60" fmla="*/ 8969 w 8969"/>
                              <a:gd name="T61" fmla="*/ 11398 h 11412"/>
                              <a:gd name="T62" fmla="*/ 8962 w 8969"/>
                              <a:gd name="T63" fmla="*/ 11398 h 11412"/>
                              <a:gd name="T64" fmla="*/ 8954 w 8969"/>
                              <a:gd name="T65" fmla="*/ 11405 h 11412"/>
                              <a:gd name="T66" fmla="*/ 8969 w 8969"/>
                              <a:gd name="T67" fmla="*/ 14 h 11412"/>
                              <a:gd name="T68" fmla="*/ 8962 w 8969"/>
                              <a:gd name="T69" fmla="*/ 14 h 11412"/>
                              <a:gd name="T70" fmla="*/ 8954 w 8969"/>
                              <a:gd name="T71" fmla="*/ 7 h 11412"/>
                              <a:gd name="T72" fmla="*/ 8969 w 8969"/>
                              <a:gd name="T73" fmla="*/ 7 h 11412"/>
                              <a:gd name="T74" fmla="*/ 8969 w 8969"/>
                              <a:gd name="T75" fmla="*/ 14 h 11412"/>
                              <a:gd name="T76" fmla="*/ 14 w 8969"/>
                              <a:gd name="T77" fmla="*/ 11405 h 11412"/>
                              <a:gd name="T78" fmla="*/ 7 w 8969"/>
                              <a:gd name="T79" fmla="*/ 11398 h 11412"/>
                              <a:gd name="T80" fmla="*/ 14 w 8969"/>
                              <a:gd name="T81" fmla="*/ 11398 h 11412"/>
                              <a:gd name="T82" fmla="*/ 14 w 8969"/>
                              <a:gd name="T83" fmla="*/ 11405 h 11412"/>
                              <a:gd name="T84" fmla="*/ 8954 w 8969"/>
                              <a:gd name="T85" fmla="*/ 11405 h 11412"/>
                              <a:gd name="T86" fmla="*/ 14 w 8969"/>
                              <a:gd name="T87" fmla="*/ 11405 h 11412"/>
                              <a:gd name="T88" fmla="*/ 14 w 8969"/>
                              <a:gd name="T89" fmla="*/ 11398 h 11412"/>
                              <a:gd name="T90" fmla="*/ 8954 w 8969"/>
                              <a:gd name="T91" fmla="*/ 11398 h 11412"/>
                              <a:gd name="T92" fmla="*/ 8954 w 8969"/>
                              <a:gd name="T93" fmla="*/ 11405 h 11412"/>
                              <a:gd name="T94" fmla="*/ 8969 w 8969"/>
                              <a:gd name="T95" fmla="*/ 11405 h 11412"/>
                              <a:gd name="T96" fmla="*/ 8954 w 8969"/>
                              <a:gd name="T97" fmla="*/ 11405 h 11412"/>
                              <a:gd name="T98" fmla="*/ 8962 w 8969"/>
                              <a:gd name="T99" fmla="*/ 11398 h 11412"/>
                              <a:gd name="T100" fmla="*/ 8969 w 8969"/>
                              <a:gd name="T101" fmla="*/ 11398 h 11412"/>
                              <a:gd name="T102" fmla="*/ 8969 w 8969"/>
                              <a:gd name="T103" fmla="*/ 11405 h 114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969" h="11412">
                                <a:moveTo>
                                  <a:pt x="8966" y="11412"/>
                                </a:moveTo>
                                <a:lnTo>
                                  <a:pt x="2" y="11412"/>
                                </a:lnTo>
                                <a:lnTo>
                                  <a:pt x="0" y="11407"/>
                                </a:lnTo>
                                <a:lnTo>
                                  <a:pt x="0" y="2"/>
                                </a:lnTo>
                                <a:lnTo>
                                  <a:pt x="2" y="0"/>
                                </a:lnTo>
                                <a:lnTo>
                                  <a:pt x="8966" y="0"/>
                                </a:lnTo>
                                <a:lnTo>
                                  <a:pt x="8969" y="2"/>
                                </a:lnTo>
                                <a:lnTo>
                                  <a:pt x="8969" y="7"/>
                                </a:lnTo>
                                <a:lnTo>
                                  <a:pt x="14" y="7"/>
                                </a:lnTo>
                                <a:lnTo>
                                  <a:pt x="7" y="14"/>
                                </a:lnTo>
                                <a:lnTo>
                                  <a:pt x="14" y="14"/>
                                </a:lnTo>
                                <a:lnTo>
                                  <a:pt x="14" y="11398"/>
                                </a:lnTo>
                                <a:lnTo>
                                  <a:pt x="7" y="11398"/>
                                </a:lnTo>
                                <a:lnTo>
                                  <a:pt x="14" y="11405"/>
                                </a:lnTo>
                                <a:lnTo>
                                  <a:pt x="8969" y="11405"/>
                                </a:lnTo>
                                <a:lnTo>
                                  <a:pt x="8969" y="11407"/>
                                </a:lnTo>
                                <a:lnTo>
                                  <a:pt x="8966" y="11412"/>
                                </a:lnTo>
                                <a:close/>
                                <a:moveTo>
                                  <a:pt x="14" y="14"/>
                                </a:moveTo>
                                <a:lnTo>
                                  <a:pt x="7" y="14"/>
                                </a:lnTo>
                                <a:lnTo>
                                  <a:pt x="14" y="7"/>
                                </a:lnTo>
                                <a:lnTo>
                                  <a:pt x="14" y="14"/>
                                </a:lnTo>
                                <a:close/>
                                <a:moveTo>
                                  <a:pt x="8954" y="14"/>
                                </a:moveTo>
                                <a:lnTo>
                                  <a:pt x="14" y="14"/>
                                </a:lnTo>
                                <a:lnTo>
                                  <a:pt x="14" y="7"/>
                                </a:lnTo>
                                <a:lnTo>
                                  <a:pt x="8954" y="7"/>
                                </a:lnTo>
                                <a:lnTo>
                                  <a:pt x="8954" y="14"/>
                                </a:lnTo>
                                <a:close/>
                                <a:moveTo>
                                  <a:pt x="8954" y="11405"/>
                                </a:moveTo>
                                <a:lnTo>
                                  <a:pt x="8954" y="7"/>
                                </a:lnTo>
                                <a:lnTo>
                                  <a:pt x="8962" y="14"/>
                                </a:lnTo>
                                <a:lnTo>
                                  <a:pt x="8969" y="14"/>
                                </a:lnTo>
                                <a:lnTo>
                                  <a:pt x="8969" y="11398"/>
                                </a:lnTo>
                                <a:lnTo>
                                  <a:pt x="8962" y="11398"/>
                                </a:lnTo>
                                <a:lnTo>
                                  <a:pt x="8954" y="11405"/>
                                </a:lnTo>
                                <a:close/>
                                <a:moveTo>
                                  <a:pt x="8969" y="14"/>
                                </a:moveTo>
                                <a:lnTo>
                                  <a:pt x="8962" y="14"/>
                                </a:lnTo>
                                <a:lnTo>
                                  <a:pt x="8954" y="7"/>
                                </a:lnTo>
                                <a:lnTo>
                                  <a:pt x="8969" y="7"/>
                                </a:lnTo>
                                <a:lnTo>
                                  <a:pt x="8969" y="14"/>
                                </a:lnTo>
                                <a:close/>
                                <a:moveTo>
                                  <a:pt x="14" y="11405"/>
                                </a:moveTo>
                                <a:lnTo>
                                  <a:pt x="7" y="11398"/>
                                </a:lnTo>
                                <a:lnTo>
                                  <a:pt x="14" y="11398"/>
                                </a:lnTo>
                                <a:lnTo>
                                  <a:pt x="14" y="11405"/>
                                </a:lnTo>
                                <a:close/>
                                <a:moveTo>
                                  <a:pt x="8954" y="11405"/>
                                </a:moveTo>
                                <a:lnTo>
                                  <a:pt x="14" y="11405"/>
                                </a:lnTo>
                                <a:lnTo>
                                  <a:pt x="14" y="11398"/>
                                </a:lnTo>
                                <a:lnTo>
                                  <a:pt x="8954" y="11398"/>
                                </a:lnTo>
                                <a:lnTo>
                                  <a:pt x="8954" y="11405"/>
                                </a:lnTo>
                                <a:close/>
                                <a:moveTo>
                                  <a:pt x="8969" y="11405"/>
                                </a:moveTo>
                                <a:lnTo>
                                  <a:pt x="8954" y="11405"/>
                                </a:lnTo>
                                <a:lnTo>
                                  <a:pt x="8962" y="11398"/>
                                </a:lnTo>
                                <a:lnTo>
                                  <a:pt x="8969" y="11398"/>
                                </a:lnTo>
                                <a:lnTo>
                                  <a:pt x="8969" y="114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C72D06" id="Group 2" o:spid="_x0000_s1026" style="width:448.45pt;height:570.6pt;mso-position-horizontal-relative:char;mso-position-vertical-relative:line" coordsize="8969,11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">
                <v:shape id="Picture 4" o:spid="_x0000_s1027" type="#_x0000_t75" style="position:absolute;left:7;top:9;width:8952;height:11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">
                  <v:imagedata r:id="rId332" o:title=""/>
                </v:shape>
                <v:shape id="AutoShape 3" o:spid="_x0000_s1028" style="position:absolute;width:8969;height:11412;visibility:visible;mso-wrap-style:square;v-text-anchor:top" coordsize="8969,1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" path="m8966,11412r-8964,l,11407,,2,2,,8966,r3,2l8969,7,14,7,7,14r7,l14,11398r-7,l14,11405r8955,l8969,11407r-3,5xm14,14r-7,l14,7r,7xm8954,14l14,14r,-7l8954,7r,7xm8954,11405l8954,7r8,7l8969,14r,11384l8962,11398r-8,7xm8969,14r-7,l8954,7r15,l8969,14xm14,11405r-7,-7l14,11398r,7xm8954,11405r-8940,l14,11398r8940,l8954,11405xm8969,11405r-15,l8962,11398r7,l8969,11405xe" fillcolor="black" stroked="f">
                  <v:path arrowok="t" o:connecttype="custom" o:connectlocs="8966,11412;2,11412;0,11407;0,2;2,0;8966,0;8969,2;8969,7;14,7;7,14;14,14;14,11398;7,11398;14,11405;8969,11405;8969,11407;8966,11412;14,14;7,14;14,7;14,14;8954,14;14,14;14,7;8954,7;8954,14;8954,11405;8954,7;8962,14;8969,14;8969,11398;8962,11398;8954,11405;8969,14;8962,14;8954,7;8969,7;8969,14;14,11405;7,11398;14,11398;14,11405;8954,11405;14,11405;14,11398;8954,11398;8954,11405;8969,11405;8954,11405;8962,11398;8969,11398;8969,11405" o:connectangles="0,0,0,0,0,0,0,0,0,0,0,0,0,0,0,0,0,0,0,0,0,0,0,0,0,0,0,0,0,0,0,0,0,0,0,0,0,0,0,0,0,0,0,0,0,0,0,0,0,0,0,0"/>
                </v:shape>
                <w10:anchorlock/>
              </v:group>
            </w:pict>
          </mc:Fallback>
        </mc:AlternateContent>
      </w:r>
    </w:p>
    <w:p w14:paraId="3730378F" w14:textId="77777777" w:rsidR="00665A13" w:rsidRDefault="00665A13" w:rsidP="00665A13">
      <w:pPr>
        <w:pStyle w:val="BodyText"/>
        <w:rPr>
          <w:i/>
          <w:sz w:val="17"/>
        </w:rPr>
      </w:pPr>
    </w:p>
    <w:p w14:paraId="4FD04676" w14:textId="77777777" w:rsidR="00665A13" w:rsidRDefault="00665A13" w:rsidP="00665A13">
      <w:pPr>
        <w:spacing w:before="56"/>
        <w:ind w:left="264" w:right="596"/>
        <w:jc w:val="center"/>
        <w:rPr>
          <w:i/>
        </w:rPr>
      </w:pPr>
      <w:r>
        <w:rPr>
          <w:b/>
        </w:rPr>
        <w:t xml:space="preserve">Figure 10 - Location of Incidental developments. </w:t>
      </w:r>
      <w:r>
        <w:rPr>
          <w:i/>
        </w:rPr>
        <w:t>Griffiths Architects 2015.</w:t>
      </w:r>
    </w:p>
    <w:p w14:paraId="042BEAB9" w14:textId="77777777" w:rsidR="00665A13" w:rsidRDefault="00665A13" w:rsidP="00665A13">
      <w:pPr>
        <w:jc w:val="center"/>
        <w:sectPr w:rsidR="00665A13">
          <w:pgSz w:w="11910" w:h="16840"/>
          <w:pgMar w:top="1580" w:right="980" w:bottom="1200" w:left="1320" w:header="0" w:footer="1002" w:gutter="0"/>
          <w:cols w:space="720"/>
        </w:sectPr>
      </w:pPr>
    </w:p>
    <w:p w14:paraId="23D8641F" w14:textId="03556A88" w:rsidR="00665A13" w:rsidRPr="001414BA" w:rsidRDefault="00665A13" w:rsidP="001414BA">
      <w:pPr>
        <w:spacing w:after="0"/>
        <w:ind w:right="538"/>
        <w:jc w:val="right"/>
        <w:rPr>
          <w:b/>
        </w:rPr>
      </w:pPr>
      <w:bookmarkStart w:id="564" w:name="_TOC_250001"/>
      <w:r w:rsidRPr="001414BA">
        <w:rPr>
          <w:b/>
        </w:rPr>
        <w:lastRenderedPageBreak/>
        <w:t>APPENDIX 6 STANDARD NOTIFICATION AND MEMORIAL</w:t>
      </w:r>
      <w:r w:rsidRPr="001414BA">
        <w:rPr>
          <w:b/>
          <w:spacing w:val="-20"/>
        </w:rPr>
        <w:t xml:space="preserve"> </w:t>
      </w:r>
      <w:bookmarkEnd w:id="564"/>
      <w:r w:rsidRPr="001414BA">
        <w:rPr>
          <w:b/>
        </w:rPr>
        <w:t>WORDING</w:t>
      </w:r>
    </w:p>
    <w:p w14:paraId="3F85B37B" w14:textId="77777777" w:rsidR="00665A13" w:rsidRDefault="00665A13" w:rsidP="00665A13">
      <w:pPr>
        <w:ind w:right="451"/>
        <w:jc w:val="right"/>
        <w:rPr>
          <w:b/>
        </w:rPr>
      </w:pPr>
      <w:r>
        <w:rPr>
          <w:b/>
        </w:rPr>
        <w:t>(FREMANTLE PORTS BUFFER AREA</w:t>
      </w:r>
      <w:r>
        <w:rPr>
          <w:b/>
          <w:spacing w:val="-11"/>
        </w:rPr>
        <w:t xml:space="preserve"> </w:t>
      </w:r>
      <w:r>
        <w:rPr>
          <w:b/>
        </w:rPr>
        <w:t>2)</w:t>
      </w:r>
    </w:p>
    <w:p w14:paraId="074354B2" w14:textId="77777777" w:rsidR="00665A13" w:rsidRDefault="00665A13" w:rsidP="00665A13">
      <w:pPr>
        <w:pStyle w:val="BodyText"/>
        <w:rPr>
          <w:b/>
        </w:rPr>
      </w:pPr>
    </w:p>
    <w:p w14:paraId="3D14F06E" w14:textId="77777777" w:rsidR="00665A13" w:rsidRDefault="00665A13" w:rsidP="00665A13">
      <w:pPr>
        <w:ind w:left="120" w:right="450"/>
        <w:jc w:val="both"/>
        <w:rPr>
          <w:i/>
        </w:rPr>
      </w:pPr>
      <w:r>
        <w:rPr>
          <w:b/>
          <w:i/>
        </w:rPr>
        <w:t>“</w:t>
      </w:r>
      <w:r>
        <w:rPr>
          <w:i/>
        </w:rPr>
        <w:t>The subject lot is located within (x) kilometres of Fremantle Port. From time to time the location may experience</w:t>
      </w:r>
      <w:r>
        <w:rPr>
          <w:i/>
          <w:spacing w:val="-12"/>
        </w:rPr>
        <w:t xml:space="preserve"> </w:t>
      </w:r>
      <w:r>
        <w:rPr>
          <w:i/>
        </w:rPr>
        <w:t>noise,</w:t>
      </w:r>
      <w:r>
        <w:rPr>
          <w:i/>
          <w:spacing w:val="-9"/>
        </w:rPr>
        <w:t xml:space="preserve"> </w:t>
      </w:r>
      <w:r>
        <w:rPr>
          <w:i/>
        </w:rPr>
        <w:t>odour,</w:t>
      </w:r>
      <w:r>
        <w:rPr>
          <w:i/>
          <w:spacing w:val="-10"/>
        </w:rPr>
        <w:t xml:space="preserve"> </w:t>
      </w:r>
      <w:r>
        <w:rPr>
          <w:i/>
        </w:rPr>
        <w:t>light</w:t>
      </w:r>
      <w:r>
        <w:rPr>
          <w:i/>
          <w:spacing w:val="-10"/>
        </w:rPr>
        <w:t xml:space="preserve"> </w:t>
      </w:r>
      <w:r>
        <w:rPr>
          <w:i/>
        </w:rPr>
        <w:t>spill</w:t>
      </w:r>
      <w:r>
        <w:rPr>
          <w:i/>
          <w:spacing w:val="-10"/>
        </w:rPr>
        <w:t xml:space="preserve"> </w:t>
      </w:r>
      <w:r>
        <w:rPr>
          <w:i/>
        </w:rPr>
        <w:t>and</w:t>
      </w:r>
      <w:r>
        <w:rPr>
          <w:i/>
          <w:spacing w:val="-11"/>
        </w:rPr>
        <w:t xml:space="preserve"> </w:t>
      </w:r>
      <w:r>
        <w:rPr>
          <w:i/>
        </w:rPr>
        <w:t>other</w:t>
      </w:r>
      <w:r>
        <w:rPr>
          <w:i/>
          <w:spacing w:val="-9"/>
        </w:rPr>
        <w:t xml:space="preserve"> </w:t>
      </w:r>
      <w:r>
        <w:rPr>
          <w:i/>
        </w:rPr>
        <w:t>factors</w:t>
      </w:r>
      <w:r>
        <w:rPr>
          <w:i/>
          <w:spacing w:val="-10"/>
        </w:rPr>
        <w:t xml:space="preserve"> </w:t>
      </w:r>
      <w:r>
        <w:rPr>
          <w:i/>
        </w:rPr>
        <w:t>that</w:t>
      </w:r>
      <w:r>
        <w:rPr>
          <w:i/>
          <w:spacing w:val="-10"/>
        </w:rPr>
        <w:t xml:space="preserve"> </w:t>
      </w:r>
      <w:r>
        <w:rPr>
          <w:i/>
        </w:rPr>
        <w:t>arise</w:t>
      </w:r>
      <w:r>
        <w:rPr>
          <w:i/>
          <w:spacing w:val="-11"/>
        </w:rPr>
        <w:t xml:space="preserve"> </w:t>
      </w:r>
      <w:r>
        <w:rPr>
          <w:i/>
        </w:rPr>
        <w:t>from</w:t>
      </w:r>
      <w:r>
        <w:rPr>
          <w:i/>
          <w:spacing w:val="-9"/>
        </w:rPr>
        <w:t xml:space="preserve"> </w:t>
      </w:r>
      <w:r>
        <w:rPr>
          <w:i/>
        </w:rPr>
        <w:t>the</w:t>
      </w:r>
      <w:r>
        <w:rPr>
          <w:i/>
          <w:spacing w:val="-10"/>
        </w:rPr>
        <w:t xml:space="preserve"> </w:t>
      </w:r>
      <w:r>
        <w:rPr>
          <w:i/>
        </w:rPr>
        <w:t>normal</w:t>
      </w:r>
      <w:r>
        <w:rPr>
          <w:i/>
          <w:spacing w:val="-10"/>
        </w:rPr>
        <w:t xml:space="preserve"> </w:t>
      </w:r>
      <w:r>
        <w:rPr>
          <w:i/>
        </w:rPr>
        <w:t>operations</w:t>
      </w:r>
      <w:r>
        <w:rPr>
          <w:i/>
          <w:spacing w:val="-8"/>
        </w:rPr>
        <w:t xml:space="preserve"> </w:t>
      </w:r>
      <w:r>
        <w:rPr>
          <w:i/>
        </w:rPr>
        <w:t>of</w:t>
      </w:r>
      <w:r>
        <w:rPr>
          <w:i/>
          <w:spacing w:val="-11"/>
        </w:rPr>
        <w:t xml:space="preserve"> </w:t>
      </w:r>
      <w:r>
        <w:rPr>
          <w:i/>
        </w:rPr>
        <w:t>a</w:t>
      </w:r>
      <w:r>
        <w:rPr>
          <w:i/>
          <w:spacing w:val="-13"/>
        </w:rPr>
        <w:t xml:space="preserve"> </w:t>
      </w:r>
      <w:proofErr w:type="gramStart"/>
      <w:r>
        <w:rPr>
          <w:i/>
        </w:rPr>
        <w:t>24</w:t>
      </w:r>
      <w:r>
        <w:rPr>
          <w:i/>
          <w:spacing w:val="-7"/>
        </w:rPr>
        <w:t xml:space="preserve"> </w:t>
      </w:r>
      <w:r>
        <w:rPr>
          <w:i/>
        </w:rPr>
        <w:t>hour</w:t>
      </w:r>
      <w:proofErr w:type="gramEnd"/>
      <w:r>
        <w:rPr>
          <w:i/>
        </w:rPr>
        <w:t xml:space="preserve"> working</w:t>
      </w:r>
      <w:r>
        <w:rPr>
          <w:i/>
          <w:spacing w:val="-2"/>
        </w:rPr>
        <w:t xml:space="preserve"> </w:t>
      </w:r>
      <w:r>
        <w:rPr>
          <w:i/>
        </w:rPr>
        <w:t>port.”</w:t>
      </w:r>
    </w:p>
    <w:p w14:paraId="6758758A" w14:textId="77777777" w:rsidR="00665A13" w:rsidRDefault="00665A13" w:rsidP="00665A13">
      <w:pPr>
        <w:jc w:val="both"/>
        <w:sectPr w:rsidR="00665A13">
          <w:pgSz w:w="11910" w:h="16840"/>
          <w:pgMar w:top="1380" w:right="980" w:bottom="1200" w:left="1320" w:header="0" w:footer="1002" w:gutter="0"/>
          <w:cols w:space="720"/>
        </w:sectPr>
      </w:pPr>
    </w:p>
    <w:p w14:paraId="47A21735" w14:textId="77777777" w:rsidR="00665A13" w:rsidRPr="001414BA" w:rsidRDefault="00665A13" w:rsidP="00C646B2">
      <w:pPr>
        <w:ind w:right="-46"/>
        <w:jc w:val="right"/>
        <w:rPr>
          <w:b/>
        </w:rPr>
      </w:pPr>
      <w:bookmarkStart w:id="565" w:name="_TOC_250000"/>
      <w:bookmarkEnd w:id="565"/>
      <w:r w:rsidRPr="001414BA">
        <w:rPr>
          <w:b/>
        </w:rPr>
        <w:lastRenderedPageBreak/>
        <w:t>APPENDIX 7 DEVELOPMENT APPLICATIONS -PLANS AND DRAWINGS</w:t>
      </w:r>
    </w:p>
    <w:p w14:paraId="3061318F" w14:textId="77777777" w:rsidR="00665A13" w:rsidRPr="001414BA" w:rsidRDefault="00665A13" w:rsidP="001414BA">
      <w:pPr>
        <w:spacing w:after="0"/>
        <w:ind w:left="119"/>
        <w:jc w:val="both"/>
        <w:rPr>
          <w:rFonts w:cstheme="minorHAnsi"/>
          <w:b/>
        </w:rPr>
      </w:pPr>
      <w:r w:rsidRPr="001414BA">
        <w:rPr>
          <w:rFonts w:cstheme="minorHAnsi"/>
          <w:b/>
        </w:rPr>
        <w:t>Development Approval</w:t>
      </w:r>
    </w:p>
    <w:p w14:paraId="1BB7049B" w14:textId="77777777" w:rsidR="00665A13" w:rsidRPr="001414BA" w:rsidRDefault="00665A13" w:rsidP="00C646B2">
      <w:pPr>
        <w:pStyle w:val="BodyText"/>
        <w:ind w:left="119" w:right="-45"/>
        <w:jc w:val="both"/>
        <w:rPr>
          <w:rFonts w:asciiTheme="minorHAnsi" w:hAnsiTheme="minorHAnsi" w:cstheme="minorHAnsi"/>
        </w:rPr>
      </w:pPr>
      <w:r w:rsidRPr="001414BA">
        <w:rPr>
          <w:rFonts w:asciiTheme="minorHAnsi" w:hAnsiTheme="minorHAnsi" w:cstheme="minorHAnsi"/>
        </w:rPr>
        <w:t>Development</w:t>
      </w:r>
      <w:r w:rsidRPr="001414BA">
        <w:rPr>
          <w:rFonts w:asciiTheme="minorHAnsi" w:hAnsiTheme="minorHAnsi" w:cstheme="minorHAnsi"/>
          <w:spacing w:val="-13"/>
        </w:rPr>
        <w:t xml:space="preserve"> </w:t>
      </w:r>
      <w:r w:rsidRPr="001414BA">
        <w:rPr>
          <w:rFonts w:asciiTheme="minorHAnsi" w:hAnsiTheme="minorHAnsi" w:cstheme="minorHAnsi"/>
        </w:rPr>
        <w:t>approval</w:t>
      </w:r>
      <w:r w:rsidRPr="001414BA">
        <w:rPr>
          <w:rFonts w:asciiTheme="minorHAnsi" w:hAnsiTheme="minorHAnsi" w:cstheme="minorHAnsi"/>
          <w:spacing w:val="-11"/>
        </w:rPr>
        <w:t xml:space="preserve"> </w:t>
      </w:r>
      <w:r w:rsidRPr="001414BA">
        <w:rPr>
          <w:rFonts w:asciiTheme="minorHAnsi" w:hAnsiTheme="minorHAnsi" w:cstheme="minorHAnsi"/>
        </w:rPr>
        <w:t>is</w:t>
      </w:r>
      <w:r w:rsidRPr="001414BA">
        <w:rPr>
          <w:rFonts w:asciiTheme="minorHAnsi" w:hAnsiTheme="minorHAnsi" w:cstheme="minorHAnsi"/>
          <w:spacing w:val="-13"/>
        </w:rPr>
        <w:t xml:space="preserve"> </w:t>
      </w:r>
      <w:r w:rsidRPr="001414BA">
        <w:rPr>
          <w:rFonts w:asciiTheme="minorHAnsi" w:hAnsiTheme="minorHAnsi" w:cstheme="minorHAnsi"/>
        </w:rPr>
        <w:t>required</w:t>
      </w:r>
      <w:r w:rsidRPr="001414BA">
        <w:rPr>
          <w:rFonts w:asciiTheme="minorHAnsi" w:hAnsiTheme="minorHAnsi" w:cstheme="minorHAnsi"/>
          <w:spacing w:val="-10"/>
        </w:rPr>
        <w:t xml:space="preserve"> </w:t>
      </w:r>
      <w:r w:rsidRPr="001414BA">
        <w:rPr>
          <w:rFonts w:asciiTheme="minorHAnsi" w:hAnsiTheme="minorHAnsi" w:cstheme="minorHAnsi"/>
        </w:rPr>
        <w:t>for</w:t>
      </w:r>
      <w:r w:rsidRPr="001414BA">
        <w:rPr>
          <w:rFonts w:asciiTheme="minorHAnsi" w:hAnsiTheme="minorHAnsi" w:cstheme="minorHAnsi"/>
          <w:spacing w:val="-13"/>
        </w:rPr>
        <w:t xml:space="preserve"> </w:t>
      </w:r>
      <w:r w:rsidRPr="001414BA">
        <w:rPr>
          <w:rFonts w:asciiTheme="minorHAnsi" w:hAnsiTheme="minorHAnsi" w:cstheme="minorHAnsi"/>
        </w:rPr>
        <w:t>most</w:t>
      </w:r>
      <w:r w:rsidRPr="001414BA">
        <w:rPr>
          <w:rFonts w:asciiTheme="minorHAnsi" w:hAnsiTheme="minorHAnsi" w:cstheme="minorHAnsi"/>
          <w:spacing w:val="-14"/>
        </w:rPr>
        <w:t xml:space="preserve"> </w:t>
      </w:r>
      <w:r w:rsidRPr="001414BA">
        <w:rPr>
          <w:rFonts w:asciiTheme="minorHAnsi" w:hAnsiTheme="minorHAnsi" w:cstheme="minorHAnsi"/>
        </w:rPr>
        <w:t>works</w:t>
      </w:r>
      <w:r w:rsidRPr="001414BA">
        <w:rPr>
          <w:rFonts w:asciiTheme="minorHAnsi" w:hAnsiTheme="minorHAnsi" w:cstheme="minorHAnsi"/>
          <w:spacing w:val="-14"/>
        </w:rPr>
        <w:t xml:space="preserve"> </w:t>
      </w:r>
      <w:r w:rsidRPr="001414BA">
        <w:rPr>
          <w:rFonts w:asciiTheme="minorHAnsi" w:hAnsiTheme="minorHAnsi" w:cstheme="minorHAnsi"/>
        </w:rPr>
        <w:t>to</w:t>
      </w:r>
      <w:r w:rsidRPr="001414BA">
        <w:rPr>
          <w:rFonts w:asciiTheme="minorHAnsi" w:hAnsiTheme="minorHAnsi" w:cstheme="minorHAnsi"/>
          <w:spacing w:val="-13"/>
        </w:rPr>
        <w:t xml:space="preserve"> </w:t>
      </w:r>
      <w:r w:rsidRPr="001414BA">
        <w:rPr>
          <w:rFonts w:asciiTheme="minorHAnsi" w:hAnsiTheme="minorHAnsi" w:cstheme="minorHAnsi"/>
        </w:rPr>
        <w:t>a</w:t>
      </w:r>
      <w:r w:rsidRPr="001414BA">
        <w:rPr>
          <w:rFonts w:asciiTheme="minorHAnsi" w:hAnsiTheme="minorHAnsi" w:cstheme="minorHAnsi"/>
          <w:spacing w:val="-16"/>
        </w:rPr>
        <w:t xml:space="preserve"> </w:t>
      </w:r>
      <w:r w:rsidRPr="001414BA">
        <w:rPr>
          <w:rFonts w:asciiTheme="minorHAnsi" w:hAnsiTheme="minorHAnsi" w:cstheme="minorHAnsi"/>
        </w:rPr>
        <w:t>heritage</w:t>
      </w:r>
      <w:r w:rsidRPr="001414BA">
        <w:rPr>
          <w:rFonts w:asciiTheme="minorHAnsi" w:hAnsiTheme="minorHAnsi" w:cstheme="minorHAnsi"/>
          <w:spacing w:val="-14"/>
        </w:rPr>
        <w:t xml:space="preserve"> </w:t>
      </w:r>
      <w:r w:rsidRPr="001414BA">
        <w:rPr>
          <w:rFonts w:asciiTheme="minorHAnsi" w:hAnsiTheme="minorHAnsi" w:cstheme="minorHAnsi"/>
        </w:rPr>
        <w:t>place</w:t>
      </w:r>
      <w:r w:rsidRPr="001414BA">
        <w:rPr>
          <w:rFonts w:asciiTheme="minorHAnsi" w:hAnsiTheme="minorHAnsi" w:cstheme="minorHAnsi"/>
          <w:spacing w:val="-13"/>
        </w:rPr>
        <w:t xml:space="preserve"> </w:t>
      </w:r>
      <w:r w:rsidRPr="001414BA">
        <w:rPr>
          <w:rFonts w:asciiTheme="minorHAnsi" w:hAnsiTheme="minorHAnsi" w:cstheme="minorHAnsi"/>
        </w:rPr>
        <w:t>or</w:t>
      </w:r>
      <w:r w:rsidRPr="001414BA">
        <w:rPr>
          <w:rFonts w:asciiTheme="minorHAnsi" w:hAnsiTheme="minorHAnsi" w:cstheme="minorHAnsi"/>
          <w:spacing w:val="-14"/>
        </w:rPr>
        <w:t xml:space="preserve"> </w:t>
      </w:r>
      <w:r w:rsidRPr="001414BA">
        <w:rPr>
          <w:rFonts w:asciiTheme="minorHAnsi" w:hAnsiTheme="minorHAnsi" w:cstheme="minorHAnsi"/>
        </w:rPr>
        <w:t>to</w:t>
      </w:r>
      <w:r w:rsidRPr="001414BA">
        <w:rPr>
          <w:rFonts w:asciiTheme="minorHAnsi" w:hAnsiTheme="minorHAnsi" w:cstheme="minorHAnsi"/>
          <w:spacing w:val="-12"/>
        </w:rPr>
        <w:t xml:space="preserve"> </w:t>
      </w:r>
      <w:r w:rsidRPr="001414BA">
        <w:rPr>
          <w:rFonts w:asciiTheme="minorHAnsi" w:hAnsiTheme="minorHAnsi" w:cstheme="minorHAnsi"/>
        </w:rPr>
        <w:t>a</w:t>
      </w:r>
      <w:r w:rsidRPr="001414BA">
        <w:rPr>
          <w:rFonts w:asciiTheme="minorHAnsi" w:hAnsiTheme="minorHAnsi" w:cstheme="minorHAnsi"/>
          <w:spacing w:val="-13"/>
        </w:rPr>
        <w:t xml:space="preserve"> </w:t>
      </w:r>
      <w:r w:rsidRPr="001414BA">
        <w:rPr>
          <w:rFonts w:asciiTheme="minorHAnsi" w:hAnsiTheme="minorHAnsi" w:cstheme="minorHAnsi"/>
        </w:rPr>
        <w:t>property</w:t>
      </w:r>
      <w:r w:rsidRPr="001414BA">
        <w:rPr>
          <w:rFonts w:asciiTheme="minorHAnsi" w:hAnsiTheme="minorHAnsi" w:cstheme="minorHAnsi"/>
          <w:spacing w:val="-11"/>
        </w:rPr>
        <w:t xml:space="preserve"> </w:t>
      </w:r>
      <w:r w:rsidRPr="001414BA">
        <w:rPr>
          <w:rFonts w:asciiTheme="minorHAnsi" w:hAnsiTheme="minorHAnsi" w:cstheme="minorHAnsi"/>
        </w:rPr>
        <w:t>within</w:t>
      </w:r>
      <w:r w:rsidRPr="001414BA">
        <w:rPr>
          <w:rFonts w:asciiTheme="minorHAnsi" w:hAnsiTheme="minorHAnsi" w:cstheme="minorHAnsi"/>
          <w:spacing w:val="-14"/>
        </w:rPr>
        <w:t xml:space="preserve"> </w:t>
      </w:r>
      <w:r w:rsidRPr="001414BA">
        <w:rPr>
          <w:rFonts w:asciiTheme="minorHAnsi" w:hAnsiTheme="minorHAnsi" w:cstheme="minorHAnsi"/>
        </w:rPr>
        <w:t>a</w:t>
      </w:r>
      <w:r w:rsidRPr="001414BA">
        <w:rPr>
          <w:rFonts w:asciiTheme="minorHAnsi" w:hAnsiTheme="minorHAnsi" w:cstheme="minorHAnsi"/>
          <w:spacing w:val="-13"/>
        </w:rPr>
        <w:t xml:space="preserve"> </w:t>
      </w:r>
      <w:r w:rsidRPr="001414BA">
        <w:rPr>
          <w:rFonts w:asciiTheme="minorHAnsi" w:hAnsiTheme="minorHAnsi" w:cstheme="minorHAnsi"/>
        </w:rPr>
        <w:t>Heritage Area. This may include works that affect only the interior of the building and those that do not materially affect the appearance of the</w:t>
      </w:r>
      <w:r w:rsidRPr="001414BA">
        <w:rPr>
          <w:rFonts w:asciiTheme="minorHAnsi" w:hAnsiTheme="minorHAnsi" w:cstheme="minorHAnsi"/>
          <w:spacing w:val="-8"/>
        </w:rPr>
        <w:t xml:space="preserve"> </w:t>
      </w:r>
      <w:r w:rsidRPr="001414BA">
        <w:rPr>
          <w:rFonts w:asciiTheme="minorHAnsi" w:hAnsiTheme="minorHAnsi" w:cstheme="minorHAnsi"/>
        </w:rPr>
        <w:t>exterior.</w:t>
      </w:r>
    </w:p>
    <w:p w14:paraId="573876FD" w14:textId="77777777" w:rsidR="00665A13" w:rsidRPr="00593F27" w:rsidRDefault="00665A13" w:rsidP="00C646B2">
      <w:pPr>
        <w:ind w:left="120" w:right="-46"/>
        <w:jc w:val="both"/>
        <w:rPr>
          <w:i/>
        </w:rPr>
      </w:pPr>
      <w:r w:rsidRPr="00593F27">
        <w:rPr>
          <w:i/>
        </w:rPr>
        <w:t>Note: 1. Clause 61 exempts some development under the Deemed Provisions including internal works in accordance with Clause 61(1) (b).</w:t>
      </w:r>
    </w:p>
    <w:p w14:paraId="2C39A918" w14:textId="77777777" w:rsidR="00665A13" w:rsidRPr="001414BA" w:rsidRDefault="00665A13" w:rsidP="00C646B2">
      <w:pPr>
        <w:spacing w:after="0"/>
        <w:ind w:left="142" w:right="-46"/>
        <w:rPr>
          <w:b/>
        </w:rPr>
      </w:pPr>
      <w:r w:rsidRPr="001414BA">
        <w:rPr>
          <w:b/>
        </w:rPr>
        <w:t>Accompanying Material</w:t>
      </w:r>
    </w:p>
    <w:p w14:paraId="3B18C7C0" w14:textId="77777777" w:rsidR="00665A13" w:rsidRPr="001414BA" w:rsidRDefault="00665A13" w:rsidP="00C646B2">
      <w:pPr>
        <w:pStyle w:val="BodyText"/>
        <w:spacing w:after="200"/>
        <w:ind w:left="119" w:right="-46"/>
        <w:jc w:val="both"/>
        <w:rPr>
          <w:rFonts w:asciiTheme="minorHAnsi" w:hAnsiTheme="minorHAnsi" w:cstheme="minorHAnsi"/>
        </w:rPr>
      </w:pPr>
      <w:r w:rsidRPr="001414BA">
        <w:rPr>
          <w:rFonts w:asciiTheme="minorHAnsi" w:hAnsiTheme="minorHAnsi" w:cstheme="minorHAnsi"/>
        </w:rPr>
        <w:t>All applications for works to a heritage place or within a Heritage Area should demonstrate that the impact on the cultural heritage significance of the building and the locality has been addressed. It is strongly recommended that the input of a heritage professional is sought to ensure that the application is suitably informed, particularly for major works. If there is a question as to whether a heritage professional is required the Town’s officers may be able to offer advice in this regard and should be consulted, prior to a development approval application being submitted.</w:t>
      </w:r>
    </w:p>
    <w:p w14:paraId="40B3D5E9" w14:textId="77777777" w:rsidR="00665A13" w:rsidRPr="001414BA" w:rsidRDefault="00665A13" w:rsidP="00C646B2">
      <w:pPr>
        <w:pStyle w:val="BodyText"/>
        <w:spacing w:after="200"/>
        <w:ind w:left="119" w:right="-46"/>
        <w:jc w:val="both"/>
        <w:rPr>
          <w:rFonts w:asciiTheme="minorHAnsi" w:hAnsiTheme="minorHAnsi" w:cstheme="minorHAnsi"/>
        </w:rPr>
      </w:pPr>
      <w:r w:rsidRPr="001414BA">
        <w:rPr>
          <w:rFonts w:asciiTheme="minorHAnsi" w:hAnsiTheme="minorHAnsi" w:cstheme="minorHAnsi"/>
        </w:rPr>
        <w:t>The extent of accompanying material will be determined by the scale and impact of the proposed works.</w:t>
      </w:r>
      <w:r w:rsidRPr="001414BA">
        <w:rPr>
          <w:rFonts w:asciiTheme="minorHAnsi" w:hAnsiTheme="minorHAnsi" w:cstheme="minorHAnsi"/>
          <w:spacing w:val="-6"/>
        </w:rPr>
        <w:t xml:space="preserve"> </w:t>
      </w:r>
      <w:r w:rsidRPr="001414BA">
        <w:rPr>
          <w:rFonts w:asciiTheme="minorHAnsi" w:hAnsiTheme="minorHAnsi" w:cstheme="minorHAnsi"/>
        </w:rPr>
        <w:t>Minor</w:t>
      </w:r>
      <w:r w:rsidRPr="001414BA">
        <w:rPr>
          <w:rFonts w:asciiTheme="minorHAnsi" w:hAnsiTheme="minorHAnsi" w:cstheme="minorHAnsi"/>
          <w:spacing w:val="-7"/>
        </w:rPr>
        <w:t xml:space="preserve"> </w:t>
      </w:r>
      <w:r w:rsidRPr="001414BA">
        <w:rPr>
          <w:rFonts w:asciiTheme="minorHAnsi" w:hAnsiTheme="minorHAnsi" w:cstheme="minorHAnsi"/>
        </w:rPr>
        <w:t>works</w:t>
      </w:r>
      <w:r w:rsidRPr="001414BA">
        <w:rPr>
          <w:rFonts w:asciiTheme="minorHAnsi" w:hAnsiTheme="minorHAnsi" w:cstheme="minorHAnsi"/>
          <w:spacing w:val="-5"/>
        </w:rPr>
        <w:t xml:space="preserve"> </w:t>
      </w:r>
      <w:r w:rsidRPr="001414BA">
        <w:rPr>
          <w:rFonts w:asciiTheme="minorHAnsi" w:hAnsiTheme="minorHAnsi" w:cstheme="minorHAnsi"/>
        </w:rPr>
        <w:t>will</w:t>
      </w:r>
      <w:r w:rsidRPr="001414BA">
        <w:rPr>
          <w:rFonts w:asciiTheme="minorHAnsi" w:hAnsiTheme="minorHAnsi" w:cstheme="minorHAnsi"/>
          <w:spacing w:val="-5"/>
        </w:rPr>
        <w:t xml:space="preserve"> </w:t>
      </w:r>
      <w:r w:rsidRPr="001414BA">
        <w:rPr>
          <w:rFonts w:asciiTheme="minorHAnsi" w:hAnsiTheme="minorHAnsi" w:cstheme="minorHAnsi"/>
        </w:rPr>
        <w:t>need</w:t>
      </w:r>
      <w:r w:rsidRPr="001414BA">
        <w:rPr>
          <w:rFonts w:asciiTheme="minorHAnsi" w:hAnsiTheme="minorHAnsi" w:cstheme="minorHAnsi"/>
          <w:spacing w:val="-5"/>
        </w:rPr>
        <w:t xml:space="preserve"> </w:t>
      </w:r>
      <w:r w:rsidRPr="001414BA">
        <w:rPr>
          <w:rFonts w:asciiTheme="minorHAnsi" w:hAnsiTheme="minorHAnsi" w:cstheme="minorHAnsi"/>
        </w:rPr>
        <w:t>to</w:t>
      </w:r>
      <w:r w:rsidRPr="001414BA">
        <w:rPr>
          <w:rFonts w:asciiTheme="minorHAnsi" w:hAnsiTheme="minorHAnsi" w:cstheme="minorHAnsi"/>
          <w:spacing w:val="-6"/>
        </w:rPr>
        <w:t xml:space="preserve"> </w:t>
      </w:r>
      <w:r w:rsidRPr="001414BA">
        <w:rPr>
          <w:rFonts w:asciiTheme="minorHAnsi" w:hAnsiTheme="minorHAnsi" w:cstheme="minorHAnsi"/>
        </w:rPr>
        <w:t>demonstrate</w:t>
      </w:r>
      <w:r w:rsidRPr="001414BA">
        <w:rPr>
          <w:rFonts w:asciiTheme="minorHAnsi" w:hAnsiTheme="minorHAnsi" w:cstheme="minorHAnsi"/>
          <w:spacing w:val="-7"/>
        </w:rPr>
        <w:t xml:space="preserve"> </w:t>
      </w:r>
      <w:r w:rsidRPr="001414BA">
        <w:rPr>
          <w:rFonts w:asciiTheme="minorHAnsi" w:hAnsiTheme="minorHAnsi" w:cstheme="minorHAnsi"/>
        </w:rPr>
        <w:t>that</w:t>
      </w:r>
      <w:r w:rsidRPr="001414BA">
        <w:rPr>
          <w:rFonts w:asciiTheme="minorHAnsi" w:hAnsiTheme="minorHAnsi" w:cstheme="minorHAnsi"/>
          <w:spacing w:val="-6"/>
        </w:rPr>
        <w:t xml:space="preserve"> </w:t>
      </w:r>
      <w:r w:rsidRPr="001414BA">
        <w:rPr>
          <w:rFonts w:asciiTheme="minorHAnsi" w:hAnsiTheme="minorHAnsi" w:cstheme="minorHAnsi"/>
        </w:rPr>
        <w:t>they</w:t>
      </w:r>
      <w:r w:rsidRPr="001414BA">
        <w:rPr>
          <w:rFonts w:asciiTheme="minorHAnsi" w:hAnsiTheme="minorHAnsi" w:cstheme="minorHAnsi"/>
          <w:spacing w:val="-6"/>
        </w:rPr>
        <w:t xml:space="preserve"> </w:t>
      </w:r>
      <w:r w:rsidRPr="001414BA">
        <w:rPr>
          <w:rFonts w:asciiTheme="minorHAnsi" w:hAnsiTheme="minorHAnsi" w:cstheme="minorHAnsi"/>
        </w:rPr>
        <w:t>will</w:t>
      </w:r>
      <w:r w:rsidRPr="001414BA">
        <w:rPr>
          <w:rFonts w:asciiTheme="minorHAnsi" w:hAnsiTheme="minorHAnsi" w:cstheme="minorHAnsi"/>
          <w:spacing w:val="-5"/>
        </w:rPr>
        <w:t xml:space="preserve"> </w:t>
      </w:r>
      <w:r w:rsidRPr="001414BA">
        <w:rPr>
          <w:rFonts w:asciiTheme="minorHAnsi" w:hAnsiTheme="minorHAnsi" w:cstheme="minorHAnsi"/>
        </w:rPr>
        <w:t>not</w:t>
      </w:r>
      <w:r w:rsidRPr="001414BA">
        <w:rPr>
          <w:rFonts w:asciiTheme="minorHAnsi" w:hAnsiTheme="minorHAnsi" w:cstheme="minorHAnsi"/>
          <w:spacing w:val="-5"/>
        </w:rPr>
        <w:t xml:space="preserve"> </w:t>
      </w:r>
      <w:r w:rsidRPr="001414BA">
        <w:rPr>
          <w:rFonts w:asciiTheme="minorHAnsi" w:hAnsiTheme="minorHAnsi" w:cstheme="minorHAnsi"/>
        </w:rPr>
        <w:t>have</w:t>
      </w:r>
      <w:r w:rsidRPr="001414BA">
        <w:rPr>
          <w:rFonts w:asciiTheme="minorHAnsi" w:hAnsiTheme="minorHAnsi" w:cstheme="minorHAnsi"/>
          <w:spacing w:val="-7"/>
        </w:rPr>
        <w:t xml:space="preserve"> </w:t>
      </w:r>
      <w:r w:rsidRPr="001414BA">
        <w:rPr>
          <w:rFonts w:asciiTheme="minorHAnsi" w:hAnsiTheme="minorHAnsi" w:cstheme="minorHAnsi"/>
        </w:rPr>
        <w:t>an</w:t>
      </w:r>
      <w:r w:rsidRPr="001414BA">
        <w:rPr>
          <w:rFonts w:asciiTheme="minorHAnsi" w:hAnsiTheme="minorHAnsi" w:cstheme="minorHAnsi"/>
          <w:spacing w:val="-5"/>
        </w:rPr>
        <w:t xml:space="preserve"> </w:t>
      </w:r>
      <w:r w:rsidRPr="001414BA">
        <w:rPr>
          <w:rFonts w:asciiTheme="minorHAnsi" w:hAnsiTheme="minorHAnsi" w:cstheme="minorHAnsi"/>
        </w:rPr>
        <w:t>adverse</w:t>
      </w:r>
      <w:r w:rsidRPr="001414BA">
        <w:rPr>
          <w:rFonts w:asciiTheme="minorHAnsi" w:hAnsiTheme="minorHAnsi" w:cstheme="minorHAnsi"/>
          <w:spacing w:val="-7"/>
        </w:rPr>
        <w:t xml:space="preserve"> </w:t>
      </w:r>
      <w:r w:rsidRPr="001414BA">
        <w:rPr>
          <w:rFonts w:asciiTheme="minorHAnsi" w:hAnsiTheme="minorHAnsi" w:cstheme="minorHAnsi"/>
        </w:rPr>
        <w:t>effect</w:t>
      </w:r>
      <w:r w:rsidRPr="001414BA">
        <w:rPr>
          <w:rFonts w:asciiTheme="minorHAnsi" w:hAnsiTheme="minorHAnsi" w:cstheme="minorHAnsi"/>
          <w:spacing w:val="-6"/>
        </w:rPr>
        <w:t xml:space="preserve"> </w:t>
      </w:r>
      <w:r w:rsidRPr="001414BA">
        <w:rPr>
          <w:rFonts w:asciiTheme="minorHAnsi" w:hAnsiTheme="minorHAnsi" w:cstheme="minorHAnsi"/>
        </w:rPr>
        <w:t>on</w:t>
      </w:r>
      <w:r w:rsidRPr="001414BA">
        <w:rPr>
          <w:rFonts w:asciiTheme="minorHAnsi" w:hAnsiTheme="minorHAnsi" w:cstheme="minorHAnsi"/>
          <w:spacing w:val="-4"/>
        </w:rPr>
        <w:t xml:space="preserve"> </w:t>
      </w:r>
      <w:r w:rsidRPr="001414BA">
        <w:rPr>
          <w:rFonts w:asciiTheme="minorHAnsi" w:hAnsiTheme="minorHAnsi" w:cstheme="minorHAnsi"/>
        </w:rPr>
        <w:t>the</w:t>
      </w:r>
      <w:r w:rsidRPr="001414BA">
        <w:rPr>
          <w:rFonts w:asciiTheme="minorHAnsi" w:hAnsiTheme="minorHAnsi" w:cstheme="minorHAnsi"/>
          <w:spacing w:val="-5"/>
        </w:rPr>
        <w:t xml:space="preserve"> </w:t>
      </w:r>
      <w:r w:rsidRPr="001414BA">
        <w:rPr>
          <w:rFonts w:asciiTheme="minorHAnsi" w:hAnsiTheme="minorHAnsi" w:cstheme="minorHAnsi"/>
        </w:rPr>
        <w:t xml:space="preserve">cultural heritage significance of the </w:t>
      </w:r>
      <w:proofErr w:type="gramStart"/>
      <w:r w:rsidRPr="001414BA">
        <w:rPr>
          <w:rFonts w:asciiTheme="minorHAnsi" w:hAnsiTheme="minorHAnsi" w:cstheme="minorHAnsi"/>
        </w:rPr>
        <w:t>place, but</w:t>
      </w:r>
      <w:proofErr w:type="gramEnd"/>
      <w:r w:rsidRPr="001414BA">
        <w:rPr>
          <w:rFonts w:asciiTheme="minorHAnsi" w:hAnsiTheme="minorHAnsi" w:cstheme="minorHAnsi"/>
        </w:rPr>
        <w:t xml:space="preserve"> will not generally require additional supporting material. For a development application concerning conservation works or works to adapt the external or internal fabric</w:t>
      </w:r>
      <w:r w:rsidRPr="001414BA">
        <w:rPr>
          <w:rFonts w:asciiTheme="minorHAnsi" w:hAnsiTheme="minorHAnsi" w:cstheme="minorHAnsi"/>
          <w:spacing w:val="-5"/>
        </w:rPr>
        <w:t xml:space="preserve"> </w:t>
      </w:r>
      <w:r w:rsidRPr="001414BA">
        <w:rPr>
          <w:rFonts w:asciiTheme="minorHAnsi" w:hAnsiTheme="minorHAnsi" w:cstheme="minorHAnsi"/>
        </w:rPr>
        <w:t>of</w:t>
      </w:r>
      <w:r w:rsidRPr="001414BA">
        <w:rPr>
          <w:rFonts w:asciiTheme="minorHAnsi" w:hAnsiTheme="minorHAnsi" w:cstheme="minorHAnsi"/>
          <w:spacing w:val="-4"/>
        </w:rPr>
        <w:t xml:space="preserve"> </w:t>
      </w:r>
      <w:r w:rsidRPr="001414BA">
        <w:rPr>
          <w:rFonts w:asciiTheme="minorHAnsi" w:hAnsiTheme="minorHAnsi" w:cstheme="minorHAnsi"/>
        </w:rPr>
        <w:t>a</w:t>
      </w:r>
      <w:r w:rsidRPr="001414BA">
        <w:rPr>
          <w:rFonts w:asciiTheme="minorHAnsi" w:hAnsiTheme="minorHAnsi" w:cstheme="minorHAnsi"/>
          <w:spacing w:val="-8"/>
        </w:rPr>
        <w:t xml:space="preserve"> </w:t>
      </w:r>
      <w:r w:rsidRPr="001414BA">
        <w:rPr>
          <w:rFonts w:asciiTheme="minorHAnsi" w:hAnsiTheme="minorHAnsi" w:cstheme="minorHAnsi"/>
        </w:rPr>
        <w:t>heritage</w:t>
      </w:r>
      <w:r w:rsidRPr="001414BA">
        <w:rPr>
          <w:rFonts w:asciiTheme="minorHAnsi" w:hAnsiTheme="minorHAnsi" w:cstheme="minorHAnsi"/>
          <w:spacing w:val="-8"/>
        </w:rPr>
        <w:t xml:space="preserve"> </w:t>
      </w:r>
      <w:r w:rsidRPr="001414BA">
        <w:rPr>
          <w:rFonts w:asciiTheme="minorHAnsi" w:hAnsiTheme="minorHAnsi" w:cstheme="minorHAnsi"/>
        </w:rPr>
        <w:t>building,</w:t>
      </w:r>
      <w:r w:rsidRPr="001414BA">
        <w:rPr>
          <w:rFonts w:asciiTheme="minorHAnsi" w:hAnsiTheme="minorHAnsi" w:cstheme="minorHAnsi"/>
          <w:spacing w:val="-4"/>
        </w:rPr>
        <w:t xml:space="preserve"> </w:t>
      </w:r>
      <w:r w:rsidRPr="001414BA">
        <w:rPr>
          <w:rFonts w:asciiTheme="minorHAnsi" w:hAnsiTheme="minorHAnsi" w:cstheme="minorHAnsi"/>
        </w:rPr>
        <w:t>“as</w:t>
      </w:r>
      <w:r w:rsidRPr="001414BA">
        <w:rPr>
          <w:rFonts w:asciiTheme="minorHAnsi" w:hAnsiTheme="minorHAnsi" w:cstheme="minorHAnsi"/>
          <w:spacing w:val="-7"/>
        </w:rPr>
        <w:t xml:space="preserve"> </w:t>
      </w:r>
      <w:r w:rsidRPr="001414BA">
        <w:rPr>
          <w:rFonts w:asciiTheme="minorHAnsi" w:hAnsiTheme="minorHAnsi" w:cstheme="minorHAnsi"/>
        </w:rPr>
        <w:t>existing”</w:t>
      </w:r>
      <w:r w:rsidRPr="001414BA">
        <w:rPr>
          <w:rFonts w:asciiTheme="minorHAnsi" w:hAnsiTheme="minorHAnsi" w:cstheme="minorHAnsi"/>
          <w:spacing w:val="-4"/>
        </w:rPr>
        <w:t xml:space="preserve"> </w:t>
      </w:r>
      <w:r w:rsidRPr="001414BA">
        <w:rPr>
          <w:rFonts w:asciiTheme="minorHAnsi" w:hAnsiTheme="minorHAnsi" w:cstheme="minorHAnsi"/>
        </w:rPr>
        <w:t>plans</w:t>
      </w:r>
      <w:r w:rsidRPr="001414BA">
        <w:rPr>
          <w:rFonts w:asciiTheme="minorHAnsi" w:hAnsiTheme="minorHAnsi" w:cstheme="minorHAnsi"/>
          <w:spacing w:val="-4"/>
        </w:rPr>
        <w:t xml:space="preserve"> </w:t>
      </w:r>
      <w:r w:rsidRPr="001414BA">
        <w:rPr>
          <w:rFonts w:asciiTheme="minorHAnsi" w:hAnsiTheme="minorHAnsi" w:cstheme="minorHAnsi"/>
        </w:rPr>
        <w:t>and</w:t>
      </w:r>
      <w:r w:rsidRPr="001414BA">
        <w:rPr>
          <w:rFonts w:asciiTheme="minorHAnsi" w:hAnsiTheme="minorHAnsi" w:cstheme="minorHAnsi"/>
          <w:spacing w:val="-5"/>
        </w:rPr>
        <w:t xml:space="preserve"> </w:t>
      </w:r>
      <w:r w:rsidRPr="001414BA">
        <w:rPr>
          <w:rFonts w:asciiTheme="minorHAnsi" w:hAnsiTheme="minorHAnsi" w:cstheme="minorHAnsi"/>
        </w:rPr>
        <w:t>elevations</w:t>
      </w:r>
      <w:r w:rsidRPr="001414BA">
        <w:rPr>
          <w:rFonts w:asciiTheme="minorHAnsi" w:hAnsiTheme="minorHAnsi" w:cstheme="minorHAnsi"/>
          <w:spacing w:val="-7"/>
        </w:rPr>
        <w:t xml:space="preserve"> </w:t>
      </w:r>
      <w:r w:rsidRPr="001414BA">
        <w:rPr>
          <w:rFonts w:asciiTheme="minorHAnsi" w:hAnsiTheme="minorHAnsi" w:cstheme="minorHAnsi"/>
        </w:rPr>
        <w:t>must</w:t>
      </w:r>
      <w:r w:rsidRPr="001414BA">
        <w:rPr>
          <w:rFonts w:asciiTheme="minorHAnsi" w:hAnsiTheme="minorHAnsi" w:cstheme="minorHAnsi"/>
          <w:spacing w:val="-5"/>
        </w:rPr>
        <w:t xml:space="preserve"> </w:t>
      </w:r>
      <w:r w:rsidRPr="001414BA">
        <w:rPr>
          <w:rFonts w:asciiTheme="minorHAnsi" w:hAnsiTheme="minorHAnsi" w:cstheme="minorHAnsi"/>
        </w:rPr>
        <w:t>be</w:t>
      </w:r>
      <w:r w:rsidRPr="001414BA">
        <w:rPr>
          <w:rFonts w:asciiTheme="minorHAnsi" w:hAnsiTheme="minorHAnsi" w:cstheme="minorHAnsi"/>
          <w:spacing w:val="-4"/>
        </w:rPr>
        <w:t xml:space="preserve"> </w:t>
      </w:r>
      <w:r w:rsidRPr="001414BA">
        <w:rPr>
          <w:rFonts w:asciiTheme="minorHAnsi" w:hAnsiTheme="minorHAnsi" w:cstheme="minorHAnsi"/>
        </w:rPr>
        <w:t>provided</w:t>
      </w:r>
      <w:r w:rsidRPr="001414BA">
        <w:rPr>
          <w:rFonts w:asciiTheme="minorHAnsi" w:hAnsiTheme="minorHAnsi" w:cstheme="minorHAnsi"/>
          <w:spacing w:val="-7"/>
        </w:rPr>
        <w:t xml:space="preserve"> </w:t>
      </w:r>
      <w:r w:rsidRPr="001414BA">
        <w:rPr>
          <w:rFonts w:asciiTheme="minorHAnsi" w:hAnsiTheme="minorHAnsi" w:cstheme="minorHAnsi"/>
        </w:rPr>
        <w:t>with</w:t>
      </w:r>
      <w:r w:rsidRPr="001414BA">
        <w:rPr>
          <w:rFonts w:asciiTheme="minorHAnsi" w:hAnsiTheme="minorHAnsi" w:cstheme="minorHAnsi"/>
          <w:spacing w:val="-6"/>
        </w:rPr>
        <w:t xml:space="preserve"> </w:t>
      </w:r>
      <w:r w:rsidRPr="001414BA">
        <w:rPr>
          <w:rFonts w:asciiTheme="minorHAnsi" w:hAnsiTheme="minorHAnsi" w:cstheme="minorHAnsi"/>
        </w:rPr>
        <w:t>the</w:t>
      </w:r>
      <w:r w:rsidRPr="001414BA">
        <w:rPr>
          <w:rFonts w:asciiTheme="minorHAnsi" w:hAnsiTheme="minorHAnsi" w:cstheme="minorHAnsi"/>
          <w:spacing w:val="-6"/>
        </w:rPr>
        <w:t xml:space="preserve"> </w:t>
      </w:r>
      <w:r w:rsidRPr="001414BA">
        <w:rPr>
          <w:rFonts w:asciiTheme="minorHAnsi" w:hAnsiTheme="minorHAnsi" w:cstheme="minorHAnsi"/>
        </w:rPr>
        <w:t>application.</w:t>
      </w:r>
    </w:p>
    <w:p w14:paraId="4E221839" w14:textId="77777777" w:rsidR="00665A13" w:rsidRPr="001414BA" w:rsidRDefault="00665A13" w:rsidP="00C646B2">
      <w:pPr>
        <w:pStyle w:val="BodyText"/>
        <w:spacing w:after="200"/>
        <w:ind w:left="119" w:right="-46"/>
        <w:jc w:val="both"/>
        <w:rPr>
          <w:rFonts w:asciiTheme="minorHAnsi" w:hAnsiTheme="minorHAnsi" w:cstheme="minorHAnsi"/>
        </w:rPr>
      </w:pPr>
      <w:r w:rsidRPr="001414BA">
        <w:rPr>
          <w:rFonts w:asciiTheme="minorHAnsi" w:hAnsiTheme="minorHAnsi" w:cstheme="minorHAnsi"/>
        </w:rPr>
        <w:t xml:space="preserve">For a development application concerning a new infill building in a Heritage Area, streetscape drawings that illustrate the impact of the proposed development on the adjacent buildings and the street </w:t>
      </w:r>
      <w:proofErr w:type="gramStart"/>
      <w:r w:rsidRPr="001414BA">
        <w:rPr>
          <w:rFonts w:asciiTheme="minorHAnsi" w:hAnsiTheme="minorHAnsi" w:cstheme="minorHAnsi"/>
        </w:rPr>
        <w:t>as a whole must</w:t>
      </w:r>
      <w:proofErr w:type="gramEnd"/>
      <w:r w:rsidRPr="001414BA">
        <w:rPr>
          <w:rFonts w:asciiTheme="minorHAnsi" w:hAnsiTheme="minorHAnsi" w:cstheme="minorHAnsi"/>
        </w:rPr>
        <w:t xml:space="preserve"> be provided with the application.</w:t>
      </w:r>
    </w:p>
    <w:p w14:paraId="0D080E9D" w14:textId="77777777" w:rsidR="00665A13" w:rsidRPr="001414BA" w:rsidRDefault="00665A13" w:rsidP="00C646B2">
      <w:pPr>
        <w:pStyle w:val="BodyText"/>
        <w:spacing w:after="60"/>
        <w:ind w:left="120" w:right="-46"/>
        <w:jc w:val="both"/>
        <w:rPr>
          <w:rFonts w:asciiTheme="minorHAnsi" w:hAnsiTheme="minorHAnsi" w:cstheme="minorHAnsi"/>
        </w:rPr>
      </w:pPr>
      <w:r w:rsidRPr="001414BA">
        <w:rPr>
          <w:rFonts w:asciiTheme="minorHAnsi" w:hAnsiTheme="minorHAnsi" w:cstheme="minorHAnsi"/>
        </w:rPr>
        <w:t>The local government may require an applicant to provide one or more of the following to assist in the determination of a development approval application:</w:t>
      </w:r>
    </w:p>
    <w:p w14:paraId="09255097" w14:textId="77777777" w:rsidR="00665A13" w:rsidRPr="00593F27" w:rsidRDefault="00665A13" w:rsidP="002A3889">
      <w:pPr>
        <w:pStyle w:val="ListParagraph"/>
        <w:widowControl w:val="0"/>
        <w:numPr>
          <w:ilvl w:val="0"/>
          <w:numId w:val="420"/>
        </w:numPr>
        <w:tabs>
          <w:tab w:val="left" w:pos="840"/>
        </w:tabs>
        <w:autoSpaceDE w:val="0"/>
        <w:autoSpaceDN w:val="0"/>
        <w:spacing w:after="60" w:line="240" w:lineRule="auto"/>
        <w:ind w:right="-46"/>
        <w:contextualSpacing w:val="0"/>
        <w:jc w:val="both"/>
      </w:pPr>
      <w:r w:rsidRPr="00593F27">
        <w:t>A Heritage Assessment, to be prepared by a recognised heritage expert at the applicant’s expense. Where a Heritage Plan is available, this, or relevant sections of the Plan, should be provided with the development application. Conservation Plans should be prepared by a recognised heritage expert to appropriate</w:t>
      </w:r>
      <w:r w:rsidRPr="00593F27">
        <w:rPr>
          <w:spacing w:val="-12"/>
        </w:rPr>
        <w:t xml:space="preserve"> </w:t>
      </w:r>
      <w:r w:rsidRPr="00593F27">
        <w:t>standards.</w:t>
      </w:r>
    </w:p>
    <w:p w14:paraId="77916321" w14:textId="77777777" w:rsidR="00665A13" w:rsidRPr="00593F27" w:rsidRDefault="00665A13" w:rsidP="002A3889">
      <w:pPr>
        <w:pStyle w:val="ListParagraph"/>
        <w:widowControl w:val="0"/>
        <w:numPr>
          <w:ilvl w:val="0"/>
          <w:numId w:val="420"/>
        </w:numPr>
        <w:tabs>
          <w:tab w:val="left" w:pos="840"/>
        </w:tabs>
        <w:autoSpaceDE w:val="0"/>
        <w:autoSpaceDN w:val="0"/>
        <w:spacing w:after="60" w:line="240" w:lineRule="auto"/>
        <w:ind w:right="-46"/>
        <w:contextualSpacing w:val="0"/>
        <w:jc w:val="both"/>
      </w:pPr>
      <w:r w:rsidRPr="00593F27">
        <w:t>If structural failure is cited as a justification for the demolition of a building or place (either whole or part), evidence must be provided from a registered structural engineer that the structural</w:t>
      </w:r>
      <w:r w:rsidRPr="00593F27">
        <w:rPr>
          <w:spacing w:val="-9"/>
        </w:rPr>
        <w:t xml:space="preserve"> </w:t>
      </w:r>
      <w:r w:rsidRPr="00593F27">
        <w:t>integrity</w:t>
      </w:r>
      <w:r w:rsidRPr="00593F27">
        <w:rPr>
          <w:spacing w:val="-4"/>
        </w:rPr>
        <w:t xml:space="preserve"> </w:t>
      </w:r>
      <w:r w:rsidRPr="00593F27">
        <w:t>of</w:t>
      </w:r>
      <w:r w:rsidRPr="00593F27">
        <w:rPr>
          <w:spacing w:val="-7"/>
        </w:rPr>
        <w:t xml:space="preserve"> </w:t>
      </w:r>
      <w:r w:rsidRPr="00593F27">
        <w:t>the</w:t>
      </w:r>
      <w:r w:rsidRPr="00593F27">
        <w:rPr>
          <w:spacing w:val="-6"/>
        </w:rPr>
        <w:t xml:space="preserve"> </w:t>
      </w:r>
      <w:r w:rsidRPr="00593F27">
        <w:t>building</w:t>
      </w:r>
      <w:r w:rsidRPr="00593F27">
        <w:rPr>
          <w:spacing w:val="-8"/>
        </w:rPr>
        <w:t xml:space="preserve"> </w:t>
      </w:r>
      <w:r w:rsidRPr="00593F27">
        <w:t>has</w:t>
      </w:r>
      <w:r w:rsidRPr="00593F27">
        <w:rPr>
          <w:spacing w:val="-6"/>
        </w:rPr>
        <w:t xml:space="preserve"> </w:t>
      </w:r>
      <w:r w:rsidRPr="00593F27">
        <w:t>failed,</w:t>
      </w:r>
      <w:r w:rsidRPr="00593F27">
        <w:rPr>
          <w:spacing w:val="-6"/>
        </w:rPr>
        <w:t xml:space="preserve"> </w:t>
      </w:r>
      <w:r w:rsidRPr="00593F27">
        <w:t>to</w:t>
      </w:r>
      <w:r w:rsidRPr="00593F27">
        <w:rPr>
          <w:spacing w:val="-6"/>
        </w:rPr>
        <w:t xml:space="preserve"> </w:t>
      </w:r>
      <w:r w:rsidRPr="00593F27">
        <w:t>the</w:t>
      </w:r>
      <w:r w:rsidRPr="00593F27">
        <w:rPr>
          <w:spacing w:val="-6"/>
        </w:rPr>
        <w:t xml:space="preserve"> </w:t>
      </w:r>
      <w:r w:rsidRPr="00593F27">
        <w:t>point</w:t>
      </w:r>
      <w:r w:rsidRPr="00593F27">
        <w:rPr>
          <w:spacing w:val="-7"/>
        </w:rPr>
        <w:t xml:space="preserve"> </w:t>
      </w:r>
      <w:r w:rsidRPr="00593F27">
        <w:t>where</w:t>
      </w:r>
      <w:r w:rsidRPr="00593F27">
        <w:rPr>
          <w:spacing w:val="-6"/>
        </w:rPr>
        <w:t xml:space="preserve"> </w:t>
      </w:r>
      <w:r w:rsidRPr="00593F27">
        <w:t>it</w:t>
      </w:r>
      <w:r w:rsidRPr="00593F27">
        <w:rPr>
          <w:spacing w:val="-9"/>
        </w:rPr>
        <w:t xml:space="preserve"> </w:t>
      </w:r>
      <w:r w:rsidRPr="00593F27">
        <w:t>cannot</w:t>
      </w:r>
      <w:r w:rsidRPr="00593F27">
        <w:rPr>
          <w:spacing w:val="-5"/>
        </w:rPr>
        <w:t xml:space="preserve"> </w:t>
      </w:r>
      <w:r w:rsidRPr="00593F27">
        <w:t>be</w:t>
      </w:r>
      <w:r w:rsidRPr="00593F27">
        <w:rPr>
          <w:spacing w:val="-6"/>
        </w:rPr>
        <w:t xml:space="preserve"> </w:t>
      </w:r>
      <w:r w:rsidRPr="00593F27">
        <w:t>rectified</w:t>
      </w:r>
      <w:r w:rsidRPr="00593F27">
        <w:rPr>
          <w:spacing w:val="-7"/>
        </w:rPr>
        <w:t xml:space="preserve"> </w:t>
      </w:r>
      <w:r w:rsidRPr="00593F27">
        <w:t xml:space="preserve">without removal of </w:t>
      </w:r>
      <w:proofErr w:type="gramStart"/>
      <w:r w:rsidRPr="00593F27">
        <w:t>a majority of</w:t>
      </w:r>
      <w:proofErr w:type="gramEnd"/>
      <w:r w:rsidRPr="00593F27">
        <w:t xml:space="preserve"> its significant fabric, and/or the incurring of prohibitive</w:t>
      </w:r>
      <w:r w:rsidRPr="00593F27">
        <w:rPr>
          <w:spacing w:val="-31"/>
        </w:rPr>
        <w:t xml:space="preserve"> </w:t>
      </w:r>
      <w:r w:rsidRPr="00593F27">
        <w:t>costs.</w:t>
      </w:r>
    </w:p>
    <w:p w14:paraId="1F94E49F" w14:textId="77777777" w:rsidR="00665A13" w:rsidRPr="00593F27" w:rsidRDefault="00665A13" w:rsidP="002A3889">
      <w:pPr>
        <w:pStyle w:val="ListParagraph"/>
        <w:widowControl w:val="0"/>
        <w:numPr>
          <w:ilvl w:val="0"/>
          <w:numId w:val="420"/>
        </w:numPr>
        <w:tabs>
          <w:tab w:val="left" w:pos="840"/>
        </w:tabs>
        <w:autoSpaceDE w:val="0"/>
        <w:autoSpaceDN w:val="0"/>
        <w:spacing w:after="60" w:line="240" w:lineRule="auto"/>
        <w:ind w:right="-46"/>
        <w:contextualSpacing w:val="0"/>
        <w:jc w:val="both"/>
      </w:pPr>
      <w:r w:rsidRPr="00593F27">
        <w:t>Despite any existing assessment on record, the local government may require a heritage assessment</w:t>
      </w:r>
      <w:r w:rsidRPr="00593F27">
        <w:rPr>
          <w:spacing w:val="-10"/>
        </w:rPr>
        <w:t xml:space="preserve"> </w:t>
      </w:r>
      <w:r w:rsidRPr="00593F27">
        <w:t>to</w:t>
      </w:r>
      <w:r w:rsidRPr="00593F27">
        <w:rPr>
          <w:spacing w:val="-7"/>
        </w:rPr>
        <w:t xml:space="preserve"> </w:t>
      </w:r>
      <w:r w:rsidRPr="00593F27">
        <w:t>be</w:t>
      </w:r>
      <w:r w:rsidRPr="00593F27">
        <w:rPr>
          <w:spacing w:val="-9"/>
        </w:rPr>
        <w:t xml:space="preserve"> </w:t>
      </w:r>
      <w:r w:rsidRPr="00593F27">
        <w:t>carried</w:t>
      </w:r>
      <w:r w:rsidRPr="00593F27">
        <w:rPr>
          <w:spacing w:val="-10"/>
        </w:rPr>
        <w:t xml:space="preserve"> </w:t>
      </w:r>
      <w:r w:rsidRPr="00593F27">
        <w:t>out</w:t>
      </w:r>
      <w:r w:rsidRPr="00593F27">
        <w:rPr>
          <w:spacing w:val="-7"/>
        </w:rPr>
        <w:t xml:space="preserve"> </w:t>
      </w:r>
      <w:r w:rsidRPr="00593F27">
        <w:t>prior</w:t>
      </w:r>
      <w:r w:rsidRPr="00593F27">
        <w:rPr>
          <w:spacing w:val="-9"/>
        </w:rPr>
        <w:t xml:space="preserve"> </w:t>
      </w:r>
      <w:r w:rsidRPr="00593F27">
        <w:t>to</w:t>
      </w:r>
      <w:r w:rsidRPr="00593F27">
        <w:rPr>
          <w:spacing w:val="-12"/>
        </w:rPr>
        <w:t xml:space="preserve"> </w:t>
      </w:r>
      <w:r w:rsidRPr="00593F27">
        <w:t>the</w:t>
      </w:r>
      <w:r w:rsidRPr="00593F27">
        <w:rPr>
          <w:spacing w:val="-7"/>
        </w:rPr>
        <w:t xml:space="preserve"> </w:t>
      </w:r>
      <w:r w:rsidRPr="00593F27">
        <w:t>approval</w:t>
      </w:r>
      <w:r w:rsidRPr="00593F27">
        <w:rPr>
          <w:spacing w:val="-12"/>
        </w:rPr>
        <w:t xml:space="preserve"> </w:t>
      </w:r>
      <w:r w:rsidRPr="00593F27">
        <w:t>of</w:t>
      </w:r>
      <w:r w:rsidRPr="00593F27">
        <w:rPr>
          <w:spacing w:val="-8"/>
        </w:rPr>
        <w:t xml:space="preserve"> </w:t>
      </w:r>
      <w:r w:rsidRPr="00593F27">
        <w:t>any</w:t>
      </w:r>
      <w:r w:rsidRPr="00593F27">
        <w:rPr>
          <w:spacing w:val="-9"/>
        </w:rPr>
        <w:t xml:space="preserve"> </w:t>
      </w:r>
      <w:r w:rsidRPr="00593F27">
        <w:t>development</w:t>
      </w:r>
      <w:r w:rsidRPr="00593F27">
        <w:rPr>
          <w:spacing w:val="-9"/>
        </w:rPr>
        <w:t xml:space="preserve"> </w:t>
      </w:r>
      <w:r w:rsidRPr="00593F27">
        <w:t>proposed</w:t>
      </w:r>
      <w:r w:rsidRPr="00593F27">
        <w:rPr>
          <w:spacing w:val="-8"/>
        </w:rPr>
        <w:t xml:space="preserve"> </w:t>
      </w:r>
      <w:r w:rsidRPr="00593F27">
        <w:rPr>
          <w:spacing w:val="-3"/>
        </w:rPr>
        <w:t>in</w:t>
      </w:r>
      <w:r w:rsidRPr="00593F27">
        <w:rPr>
          <w:spacing w:val="-7"/>
        </w:rPr>
        <w:t xml:space="preserve"> </w:t>
      </w:r>
      <w:r w:rsidRPr="00593F27">
        <w:t>a</w:t>
      </w:r>
      <w:r w:rsidRPr="00593F27">
        <w:rPr>
          <w:spacing w:val="-10"/>
        </w:rPr>
        <w:t xml:space="preserve"> </w:t>
      </w:r>
      <w:r w:rsidRPr="00593F27">
        <w:t>Heritage Area or in respect of a place entered on the Heritage</w:t>
      </w:r>
      <w:r w:rsidRPr="00593F27">
        <w:rPr>
          <w:spacing w:val="-18"/>
        </w:rPr>
        <w:t xml:space="preserve"> </w:t>
      </w:r>
      <w:r w:rsidRPr="00593F27">
        <w:t>List.</w:t>
      </w:r>
    </w:p>
    <w:p w14:paraId="2E137683" w14:textId="77777777" w:rsidR="00665A13" w:rsidRPr="00593F27" w:rsidRDefault="00665A13" w:rsidP="002A3889">
      <w:pPr>
        <w:pStyle w:val="ListParagraph"/>
        <w:widowControl w:val="0"/>
        <w:numPr>
          <w:ilvl w:val="0"/>
          <w:numId w:val="420"/>
        </w:numPr>
        <w:tabs>
          <w:tab w:val="left" w:pos="840"/>
        </w:tabs>
        <w:autoSpaceDE w:val="0"/>
        <w:autoSpaceDN w:val="0"/>
        <w:spacing w:after="60" w:line="240" w:lineRule="auto"/>
        <w:ind w:right="-46"/>
        <w:contextualSpacing w:val="0"/>
        <w:jc w:val="both"/>
      </w:pPr>
      <w:r w:rsidRPr="00593F27">
        <w:t xml:space="preserve">Three (3) copies of a street elevation, to scale (not smaller than 1:100), of </w:t>
      </w:r>
      <w:r w:rsidRPr="00593F27">
        <w:rPr>
          <w:spacing w:val="-2"/>
        </w:rPr>
        <w:t xml:space="preserve">the </w:t>
      </w:r>
      <w:r w:rsidRPr="00593F27">
        <w:t>existing building/s onsite and the buildings on each adjoining property which fronts the street frontage.</w:t>
      </w:r>
    </w:p>
    <w:p w14:paraId="3BB655C2" w14:textId="77777777" w:rsidR="00665A13" w:rsidRPr="00593F27" w:rsidRDefault="00665A13" w:rsidP="002A3889">
      <w:pPr>
        <w:pStyle w:val="ListParagraph"/>
        <w:widowControl w:val="0"/>
        <w:numPr>
          <w:ilvl w:val="0"/>
          <w:numId w:val="420"/>
        </w:numPr>
        <w:tabs>
          <w:tab w:val="left" w:pos="840"/>
        </w:tabs>
        <w:autoSpaceDE w:val="0"/>
        <w:autoSpaceDN w:val="0"/>
        <w:spacing w:after="0" w:line="240" w:lineRule="auto"/>
        <w:ind w:right="-46"/>
        <w:contextualSpacing w:val="0"/>
        <w:jc w:val="both"/>
      </w:pPr>
      <w:r w:rsidRPr="00593F27">
        <w:t xml:space="preserve">If the site is on a street </w:t>
      </w:r>
      <w:proofErr w:type="gramStart"/>
      <w:r w:rsidRPr="00593F27">
        <w:t>corner</w:t>
      </w:r>
      <w:proofErr w:type="gramEnd"/>
      <w:r w:rsidRPr="00593F27">
        <w:t xml:space="preserve"> then a separate elevation of each streetscape is required. The elevation (on each street) to be presented as one continuous elevation and</w:t>
      </w:r>
      <w:r w:rsidRPr="00593F27">
        <w:rPr>
          <w:spacing w:val="-30"/>
        </w:rPr>
        <w:t xml:space="preserve"> </w:t>
      </w:r>
      <w:r w:rsidRPr="00593F27">
        <w:t>including:</w:t>
      </w:r>
    </w:p>
    <w:p w14:paraId="5D04C8F8" w14:textId="77777777" w:rsidR="00665A13" w:rsidRPr="00593F27" w:rsidRDefault="00665A13" w:rsidP="002A3889">
      <w:pPr>
        <w:pStyle w:val="ListParagraph"/>
        <w:widowControl w:val="0"/>
        <w:numPr>
          <w:ilvl w:val="1"/>
          <w:numId w:val="421"/>
        </w:numPr>
        <w:tabs>
          <w:tab w:val="left" w:pos="1253"/>
        </w:tabs>
        <w:autoSpaceDE w:val="0"/>
        <w:autoSpaceDN w:val="0"/>
        <w:spacing w:before="109" w:after="0" w:line="240" w:lineRule="auto"/>
        <w:ind w:right="455"/>
        <w:contextualSpacing w:val="0"/>
        <w:jc w:val="both"/>
      </w:pPr>
      <w:r w:rsidRPr="00593F27">
        <w:t xml:space="preserve">the architectural detail of the buildings (e.g. style of windows, doors, style of </w:t>
      </w:r>
      <w:proofErr w:type="spellStart"/>
      <w:r w:rsidRPr="00593F27">
        <w:t>verandah</w:t>
      </w:r>
      <w:proofErr w:type="spellEnd"/>
      <w:r w:rsidRPr="00593F27">
        <w:t>/balcony columns, style and pitch of roof, chimneys</w:t>
      </w:r>
      <w:r w:rsidRPr="00593F27">
        <w:rPr>
          <w:spacing w:val="-12"/>
        </w:rPr>
        <w:t xml:space="preserve"> </w:t>
      </w:r>
      <w:r w:rsidRPr="00593F27">
        <w:t>etc.</w:t>
      </w:r>
      <w:proofErr w:type="gramStart"/>
      <w:r w:rsidRPr="00593F27">
        <w:t>);</w:t>
      </w:r>
      <w:proofErr w:type="gramEnd"/>
    </w:p>
    <w:p w14:paraId="1B9EB59A" w14:textId="77777777" w:rsidR="00665A13" w:rsidRPr="00593F27" w:rsidRDefault="00665A13" w:rsidP="002A3889">
      <w:pPr>
        <w:pStyle w:val="ListParagraph"/>
        <w:widowControl w:val="0"/>
        <w:numPr>
          <w:ilvl w:val="1"/>
          <w:numId w:val="421"/>
        </w:numPr>
        <w:tabs>
          <w:tab w:val="left" w:pos="1253"/>
        </w:tabs>
        <w:autoSpaceDE w:val="0"/>
        <w:autoSpaceDN w:val="0"/>
        <w:spacing w:before="3" w:after="0" w:line="237" w:lineRule="auto"/>
        <w:ind w:right="455"/>
        <w:contextualSpacing w:val="0"/>
        <w:jc w:val="both"/>
      </w:pPr>
      <w:r w:rsidRPr="00593F27">
        <w:t>the colour and type of building materials used (on roof, walls, paved areas, fencing etc.); and</w:t>
      </w:r>
    </w:p>
    <w:p w14:paraId="32A990D0" w14:textId="77777777" w:rsidR="00665A13" w:rsidRPr="00593F27" w:rsidRDefault="00665A13" w:rsidP="002A3889">
      <w:pPr>
        <w:pStyle w:val="ListParagraph"/>
        <w:widowControl w:val="0"/>
        <w:numPr>
          <w:ilvl w:val="1"/>
          <w:numId w:val="421"/>
        </w:numPr>
        <w:tabs>
          <w:tab w:val="left" w:pos="1253"/>
        </w:tabs>
        <w:autoSpaceDE w:val="0"/>
        <w:autoSpaceDN w:val="0"/>
        <w:spacing w:before="1" w:after="0" w:line="240" w:lineRule="auto"/>
        <w:contextualSpacing w:val="0"/>
        <w:jc w:val="both"/>
      </w:pPr>
      <w:r w:rsidRPr="00593F27">
        <w:t>the height of the</w:t>
      </w:r>
      <w:r w:rsidRPr="00593F27">
        <w:rPr>
          <w:spacing w:val="-5"/>
        </w:rPr>
        <w:t xml:space="preserve"> </w:t>
      </w:r>
      <w:r w:rsidRPr="00593F27">
        <w:t>buildings.</w:t>
      </w:r>
    </w:p>
    <w:p w14:paraId="2E255A6C" w14:textId="77777777" w:rsidR="00C145D1" w:rsidRDefault="00C145D1">
      <w:pPr>
        <w:rPr>
          <w:rFonts w:cstheme="minorHAnsi"/>
          <w:lang w:val="en-US"/>
        </w:rPr>
      </w:pPr>
      <w:r>
        <w:rPr>
          <w:rFonts w:cstheme="minorHAnsi"/>
          <w:lang w:val="en-US"/>
        </w:rPr>
        <w:br w:type="page"/>
      </w:r>
    </w:p>
    <w:p w14:paraId="6A0AB96C" w14:textId="271FED8D" w:rsidR="00465205" w:rsidRPr="00616F3C" w:rsidRDefault="00837116" w:rsidP="00465205">
      <w:pPr>
        <w:pStyle w:val="Title"/>
        <w:pBdr>
          <w:bottom w:val="none" w:sz="0" w:space="0" w:color="auto"/>
        </w:pBdr>
        <w:spacing w:after="240"/>
        <w:jc w:val="right"/>
        <w:rPr>
          <w:rFonts w:ascii="Arial" w:hAnsi="Arial" w:cs="Arial"/>
          <w:b/>
          <w:color w:val="auto"/>
          <w:sz w:val="28"/>
          <w:szCs w:val="28"/>
          <w:lang w:val="en-US"/>
        </w:rPr>
      </w:pPr>
      <w:r>
        <w:rPr>
          <w:noProof/>
          <w:lang w:eastAsia="en-AU"/>
        </w:rPr>
        <w:lastRenderedPageBreak/>
        <w:drawing>
          <wp:anchor distT="0" distB="0" distL="114300" distR="114300" simplePos="0" relativeHeight="251652096" behindDoc="1" locked="0" layoutInCell="1" allowOverlap="1" wp14:anchorId="6004FE80" wp14:editId="1B8C8B7A">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38785C6C" w14:textId="77777777" w:rsidR="00465205" w:rsidRPr="00DB1A99" w:rsidRDefault="00465205" w:rsidP="00465205">
      <w:pPr>
        <w:pStyle w:val="Title"/>
        <w:pBdr>
          <w:bottom w:val="none" w:sz="0" w:space="0" w:color="auto"/>
        </w:pBdr>
        <w:spacing w:before="360" w:after="240"/>
        <w:rPr>
          <w:rFonts w:ascii="Arial" w:hAnsi="Arial" w:cs="Arial"/>
          <w:b/>
          <w:color w:val="auto"/>
          <w:sz w:val="16"/>
          <w:szCs w:val="28"/>
          <w:lang w:val="en-US"/>
        </w:rPr>
      </w:pPr>
    </w:p>
    <w:p w14:paraId="1B15E521" w14:textId="77777777" w:rsidR="00837116" w:rsidRDefault="00837116" w:rsidP="00465205">
      <w:pPr>
        <w:pStyle w:val="Policy3"/>
      </w:pPr>
    </w:p>
    <w:p w14:paraId="7C7E5C32" w14:textId="0EE8FBF0" w:rsidR="00465205" w:rsidRPr="003627B3" w:rsidRDefault="00465205" w:rsidP="00465205">
      <w:pPr>
        <w:pStyle w:val="Policy3"/>
      </w:pPr>
      <w:bookmarkStart w:id="566" w:name="_Toc216866720"/>
      <w:r w:rsidRPr="003627B3">
        <w:t>3.1.7</w:t>
      </w:r>
      <w:r w:rsidRPr="003627B3">
        <w:tab/>
        <w:t>Wood Encouragement - Council</w:t>
      </w:r>
      <w:bookmarkEnd w:id="566"/>
    </w:p>
    <w:tbl>
      <w:tblPr>
        <w:tblStyle w:val="TableGrid"/>
        <w:tblW w:w="0" w:type="auto"/>
        <w:tblLook w:val="04A0" w:firstRow="1" w:lastRow="0" w:firstColumn="1" w:lastColumn="0" w:noHBand="0" w:noVBand="1"/>
      </w:tblPr>
      <w:tblGrid>
        <w:gridCol w:w="3027"/>
        <w:gridCol w:w="5989"/>
      </w:tblGrid>
      <w:tr w:rsidR="00465205" w:rsidRPr="00A30336" w14:paraId="2BD31965" w14:textId="77777777" w:rsidTr="00FD4C05">
        <w:tc>
          <w:tcPr>
            <w:tcW w:w="3027" w:type="dxa"/>
          </w:tcPr>
          <w:p w14:paraId="16A3D683" w14:textId="77777777" w:rsidR="00465205" w:rsidRPr="00A30336" w:rsidRDefault="00465205" w:rsidP="00FD4C05">
            <w:pPr>
              <w:rPr>
                <w:rFonts w:cstheme="minorHAnsi"/>
                <w:b/>
                <w:lang w:val="en-US"/>
              </w:rPr>
            </w:pPr>
            <w:r w:rsidRPr="00A30336">
              <w:rPr>
                <w:rFonts w:cstheme="minorHAnsi"/>
                <w:b/>
                <w:lang w:val="en-US"/>
              </w:rPr>
              <w:t>Type:</w:t>
            </w:r>
          </w:p>
        </w:tc>
        <w:tc>
          <w:tcPr>
            <w:tcW w:w="5989" w:type="dxa"/>
          </w:tcPr>
          <w:p w14:paraId="26692C3E" w14:textId="77777777" w:rsidR="00465205" w:rsidRPr="00A30336" w:rsidRDefault="00465205" w:rsidP="00FD4C05">
            <w:pPr>
              <w:rPr>
                <w:rFonts w:cstheme="minorHAnsi"/>
                <w:lang w:val="en-US"/>
              </w:rPr>
            </w:pPr>
            <w:r>
              <w:rPr>
                <w:rFonts w:cstheme="minorHAnsi"/>
                <w:lang w:val="en-US"/>
              </w:rPr>
              <w:t>Regulatory Services - Planning</w:t>
            </w:r>
          </w:p>
        </w:tc>
      </w:tr>
      <w:tr w:rsidR="00465205" w:rsidRPr="00A30336" w14:paraId="7883628E" w14:textId="77777777" w:rsidTr="00FD4C05">
        <w:tc>
          <w:tcPr>
            <w:tcW w:w="3027" w:type="dxa"/>
          </w:tcPr>
          <w:p w14:paraId="5C820D7C" w14:textId="77777777" w:rsidR="00465205" w:rsidRPr="00A30336" w:rsidRDefault="00465205" w:rsidP="00FD4C05">
            <w:pPr>
              <w:rPr>
                <w:rFonts w:cstheme="minorHAnsi"/>
                <w:b/>
                <w:lang w:val="en-US"/>
              </w:rPr>
            </w:pPr>
            <w:r w:rsidRPr="00A30336">
              <w:rPr>
                <w:rFonts w:cstheme="minorHAnsi"/>
                <w:b/>
                <w:lang w:val="en-US"/>
              </w:rPr>
              <w:t>Legislation:</w:t>
            </w:r>
          </w:p>
        </w:tc>
        <w:tc>
          <w:tcPr>
            <w:tcW w:w="5989" w:type="dxa"/>
          </w:tcPr>
          <w:p w14:paraId="044C2711" w14:textId="77777777" w:rsidR="00465205" w:rsidRPr="00A30336" w:rsidRDefault="00465205" w:rsidP="00FD4C05">
            <w:pPr>
              <w:rPr>
                <w:rFonts w:cstheme="minorHAnsi"/>
                <w:lang w:val="en-US"/>
              </w:rPr>
            </w:pPr>
            <w:r>
              <w:rPr>
                <w:rFonts w:cstheme="minorHAnsi"/>
                <w:lang w:val="en-US"/>
              </w:rPr>
              <w:t>Local Government Act, 1995</w:t>
            </w:r>
          </w:p>
        </w:tc>
      </w:tr>
      <w:tr w:rsidR="00465205" w:rsidRPr="00A30336" w14:paraId="3389B2B5" w14:textId="77777777" w:rsidTr="00FD4C05">
        <w:tc>
          <w:tcPr>
            <w:tcW w:w="3027" w:type="dxa"/>
          </w:tcPr>
          <w:p w14:paraId="6368E84E" w14:textId="77777777" w:rsidR="00465205" w:rsidRPr="00A30336" w:rsidRDefault="00465205" w:rsidP="00FD4C05">
            <w:pPr>
              <w:rPr>
                <w:rFonts w:cstheme="minorHAnsi"/>
                <w:b/>
                <w:lang w:val="en-US"/>
              </w:rPr>
            </w:pPr>
            <w:r w:rsidRPr="00A30336">
              <w:rPr>
                <w:rFonts w:cstheme="minorHAnsi"/>
                <w:b/>
                <w:lang w:val="en-US"/>
              </w:rPr>
              <w:t>Delegation:</w:t>
            </w:r>
          </w:p>
        </w:tc>
        <w:tc>
          <w:tcPr>
            <w:tcW w:w="5989" w:type="dxa"/>
          </w:tcPr>
          <w:p w14:paraId="4AA4E8F4" w14:textId="77777777" w:rsidR="00465205" w:rsidRPr="00A30336" w:rsidRDefault="00465205" w:rsidP="00FD4C05">
            <w:pPr>
              <w:rPr>
                <w:rFonts w:cstheme="minorHAnsi"/>
                <w:lang w:val="en-US"/>
              </w:rPr>
            </w:pPr>
            <w:r w:rsidRPr="00A30336">
              <w:rPr>
                <w:rFonts w:cstheme="minorHAnsi"/>
                <w:lang w:val="en-US"/>
              </w:rPr>
              <w:t>N/A</w:t>
            </w:r>
          </w:p>
        </w:tc>
      </w:tr>
      <w:tr w:rsidR="00465205" w:rsidRPr="00A30336" w14:paraId="5493C09C" w14:textId="77777777" w:rsidTr="00FD4C05">
        <w:tc>
          <w:tcPr>
            <w:tcW w:w="3027" w:type="dxa"/>
          </w:tcPr>
          <w:p w14:paraId="449989F8" w14:textId="77777777" w:rsidR="00465205" w:rsidRPr="00A30336" w:rsidRDefault="00465205" w:rsidP="00FD4C05">
            <w:pPr>
              <w:rPr>
                <w:rFonts w:cstheme="minorHAnsi"/>
                <w:b/>
                <w:lang w:val="en-US"/>
              </w:rPr>
            </w:pPr>
            <w:r w:rsidRPr="00A30336">
              <w:rPr>
                <w:rFonts w:cstheme="minorHAnsi"/>
                <w:b/>
                <w:lang w:val="en-US"/>
              </w:rPr>
              <w:t>Other Related Document:</w:t>
            </w:r>
          </w:p>
        </w:tc>
        <w:tc>
          <w:tcPr>
            <w:tcW w:w="5989" w:type="dxa"/>
          </w:tcPr>
          <w:p w14:paraId="514EBC1F" w14:textId="77777777" w:rsidR="00465205" w:rsidRPr="00A30336" w:rsidRDefault="00465205" w:rsidP="00FD4C05">
            <w:pPr>
              <w:rPr>
                <w:rFonts w:cstheme="minorHAnsi"/>
                <w:lang w:val="en-US"/>
              </w:rPr>
            </w:pPr>
            <w:proofErr w:type="spellStart"/>
            <w:r w:rsidRPr="00A30336">
              <w:rPr>
                <w:rFonts w:cstheme="minorHAnsi"/>
                <w:lang w:val="en-US"/>
              </w:rPr>
              <w:t>ToEF</w:t>
            </w:r>
            <w:proofErr w:type="spellEnd"/>
            <w:r w:rsidRPr="00A30336">
              <w:rPr>
                <w:rFonts w:cstheme="minorHAnsi"/>
                <w:lang w:val="en-US"/>
              </w:rPr>
              <w:t xml:space="preserve"> Residential Design Guidelines Policy</w:t>
            </w:r>
          </w:p>
        </w:tc>
      </w:tr>
    </w:tbl>
    <w:p w14:paraId="43510839" w14:textId="77777777" w:rsidR="00465205" w:rsidRPr="00A30336" w:rsidRDefault="00465205" w:rsidP="00465205">
      <w:pPr>
        <w:spacing w:before="240" w:after="0" w:line="240" w:lineRule="auto"/>
        <w:ind w:right="51"/>
        <w:jc w:val="both"/>
        <w:rPr>
          <w:rFonts w:cstheme="minorHAnsi"/>
          <w:b/>
          <w:spacing w:val="-1"/>
          <w:sz w:val="28"/>
          <w:szCs w:val="28"/>
        </w:rPr>
      </w:pPr>
      <w:r w:rsidRPr="00A30336">
        <w:rPr>
          <w:rFonts w:cstheme="minorHAnsi"/>
          <w:b/>
          <w:spacing w:val="-1"/>
          <w:sz w:val="28"/>
          <w:szCs w:val="28"/>
        </w:rPr>
        <w:t>Objective</w:t>
      </w:r>
    </w:p>
    <w:p w14:paraId="16B54D99" w14:textId="77777777" w:rsidR="00465205" w:rsidRPr="00A30336" w:rsidRDefault="00465205" w:rsidP="002A3889">
      <w:pPr>
        <w:pStyle w:val="ListParagraph"/>
        <w:numPr>
          <w:ilvl w:val="0"/>
          <w:numId w:val="305"/>
        </w:numPr>
        <w:spacing w:after="60" w:line="240" w:lineRule="auto"/>
        <w:ind w:left="567" w:right="-45" w:hanging="567"/>
        <w:contextualSpacing w:val="0"/>
        <w:jc w:val="both"/>
        <w:rPr>
          <w:rFonts w:cstheme="minorHAnsi"/>
          <w:spacing w:val="-1"/>
        </w:rPr>
      </w:pPr>
      <w:r w:rsidRPr="00A30336">
        <w:rPr>
          <w:rFonts w:cstheme="minorHAnsi"/>
          <w:spacing w:val="-1"/>
        </w:rPr>
        <w:t>To encourage the use of wood in the construction and fit out of Council buildings and infrastructure</w:t>
      </w:r>
    </w:p>
    <w:p w14:paraId="446EA6B9" w14:textId="77777777" w:rsidR="00465205" w:rsidRPr="00A30336" w:rsidRDefault="00465205" w:rsidP="002A3889">
      <w:pPr>
        <w:pStyle w:val="ListParagraph"/>
        <w:numPr>
          <w:ilvl w:val="0"/>
          <w:numId w:val="305"/>
        </w:numPr>
        <w:spacing w:after="60" w:line="240" w:lineRule="auto"/>
        <w:ind w:left="567" w:right="-45" w:hanging="567"/>
        <w:contextualSpacing w:val="0"/>
        <w:jc w:val="both"/>
        <w:rPr>
          <w:rFonts w:cstheme="minorHAnsi"/>
          <w:spacing w:val="-1"/>
        </w:rPr>
      </w:pPr>
      <w:r w:rsidRPr="00A30336">
        <w:rPr>
          <w:rFonts w:cstheme="minorHAnsi"/>
          <w:spacing w:val="-1"/>
        </w:rPr>
        <w:t xml:space="preserve">To recognise </w:t>
      </w:r>
      <w:proofErr w:type="gramStart"/>
      <w:r w:rsidRPr="00A30336">
        <w:rPr>
          <w:rFonts w:cstheme="minorHAnsi"/>
          <w:spacing w:val="-1"/>
        </w:rPr>
        <w:t>all of</w:t>
      </w:r>
      <w:proofErr w:type="gramEnd"/>
      <w:r w:rsidRPr="00A30336">
        <w:rPr>
          <w:rFonts w:cstheme="minorHAnsi"/>
          <w:spacing w:val="-1"/>
        </w:rPr>
        <w:t xml:space="preserve"> the benefits that make wood a smart choice for Council buildings and infrastructure</w:t>
      </w:r>
    </w:p>
    <w:p w14:paraId="63FECD43" w14:textId="77777777" w:rsidR="00465205" w:rsidRPr="00A30336" w:rsidRDefault="00465205" w:rsidP="002A3889">
      <w:pPr>
        <w:pStyle w:val="ListParagraph"/>
        <w:numPr>
          <w:ilvl w:val="0"/>
          <w:numId w:val="305"/>
        </w:numPr>
        <w:spacing w:after="0" w:line="240" w:lineRule="auto"/>
        <w:ind w:left="567" w:right="-46" w:hanging="567"/>
        <w:jc w:val="both"/>
        <w:rPr>
          <w:rFonts w:cstheme="minorHAnsi"/>
          <w:spacing w:val="-1"/>
        </w:rPr>
      </w:pPr>
      <w:r w:rsidRPr="00A30336">
        <w:rPr>
          <w:rFonts w:cstheme="minorHAnsi"/>
          <w:spacing w:val="-1"/>
        </w:rPr>
        <w:t>To demonstrate local and national leadership by enacting the Wood Encouragement Policy on Council buildings and infrastructure</w:t>
      </w:r>
    </w:p>
    <w:p w14:paraId="41157D2C" w14:textId="77777777" w:rsidR="00465205" w:rsidRPr="00A30336" w:rsidRDefault="00465205" w:rsidP="00465205">
      <w:pPr>
        <w:spacing w:before="200" w:line="240" w:lineRule="auto"/>
        <w:ind w:right="51"/>
        <w:jc w:val="both"/>
        <w:rPr>
          <w:rFonts w:cstheme="minorHAnsi"/>
          <w:spacing w:val="-1"/>
        </w:rPr>
      </w:pPr>
      <w:r w:rsidRPr="00A30336">
        <w:rPr>
          <w:rFonts w:cstheme="minorHAnsi"/>
          <w:spacing w:val="-1"/>
        </w:rPr>
        <w:t xml:space="preserve">This Wood Encouragement Policy for the Council has been developed to clearly articulate how the Town of East Fremantle will encourage the use of wood in the construction and fit out of Council buildings and infrastructure.  </w:t>
      </w:r>
    </w:p>
    <w:p w14:paraId="706FE828" w14:textId="77777777" w:rsidR="00465205" w:rsidRPr="00A30336" w:rsidRDefault="00465205" w:rsidP="00465205">
      <w:pPr>
        <w:spacing w:line="240" w:lineRule="auto"/>
        <w:ind w:right="51"/>
        <w:jc w:val="both"/>
        <w:rPr>
          <w:rFonts w:cstheme="minorHAnsi"/>
          <w:spacing w:val="-1"/>
        </w:rPr>
      </w:pPr>
      <w:r w:rsidRPr="00A30336">
        <w:rPr>
          <w:rFonts w:cstheme="minorHAnsi"/>
          <w:spacing w:val="-1"/>
        </w:rPr>
        <w:t>The vision is to develop a policy that is an environmental policy that encourages the sustainable use of wood within East Fremantle and is responsive to environmental issues such as climate change and environmental protection.</w:t>
      </w:r>
    </w:p>
    <w:p w14:paraId="102A4B4F" w14:textId="77777777" w:rsidR="00465205" w:rsidRPr="00A30336" w:rsidRDefault="00465205" w:rsidP="00465205">
      <w:pPr>
        <w:spacing w:after="0" w:line="240" w:lineRule="auto"/>
        <w:ind w:right="51"/>
        <w:jc w:val="both"/>
        <w:rPr>
          <w:rFonts w:cstheme="minorHAnsi"/>
          <w:b/>
          <w:spacing w:val="-1"/>
          <w:sz w:val="28"/>
          <w:szCs w:val="28"/>
        </w:rPr>
      </w:pPr>
      <w:r w:rsidRPr="00A30336">
        <w:rPr>
          <w:rFonts w:cstheme="minorHAnsi"/>
          <w:b/>
          <w:spacing w:val="-1"/>
          <w:sz w:val="28"/>
          <w:szCs w:val="28"/>
        </w:rPr>
        <w:t>Policy Scope</w:t>
      </w:r>
    </w:p>
    <w:p w14:paraId="4197C414" w14:textId="77777777" w:rsidR="00465205" w:rsidRPr="00A30336" w:rsidRDefault="00465205" w:rsidP="00465205">
      <w:pPr>
        <w:spacing w:line="240" w:lineRule="auto"/>
        <w:ind w:right="51"/>
        <w:jc w:val="both"/>
        <w:rPr>
          <w:rFonts w:cstheme="minorHAnsi"/>
          <w:spacing w:val="-1"/>
        </w:rPr>
      </w:pPr>
      <w:r w:rsidRPr="00A30336">
        <w:rPr>
          <w:rFonts w:cstheme="minorHAnsi"/>
          <w:spacing w:val="-1"/>
        </w:rPr>
        <w:t xml:space="preserve">The Policy relates specifically to any Council owned building/ infrastructure. </w:t>
      </w:r>
    </w:p>
    <w:p w14:paraId="764A1DD0" w14:textId="77777777" w:rsidR="00465205" w:rsidRPr="00A30336" w:rsidRDefault="00465205" w:rsidP="00465205">
      <w:pPr>
        <w:spacing w:after="0" w:line="240" w:lineRule="auto"/>
        <w:ind w:right="51"/>
        <w:jc w:val="both"/>
        <w:rPr>
          <w:rFonts w:cstheme="minorHAnsi"/>
          <w:b/>
          <w:spacing w:val="-1"/>
          <w:sz w:val="28"/>
          <w:szCs w:val="28"/>
        </w:rPr>
      </w:pPr>
      <w:r w:rsidRPr="00A30336">
        <w:rPr>
          <w:rFonts w:cstheme="minorHAnsi"/>
          <w:b/>
          <w:spacing w:val="-1"/>
          <w:sz w:val="28"/>
          <w:szCs w:val="28"/>
        </w:rPr>
        <w:t>Policy</w:t>
      </w:r>
    </w:p>
    <w:p w14:paraId="146699A5" w14:textId="77777777" w:rsidR="00465205" w:rsidRPr="00A30336" w:rsidRDefault="00465205" w:rsidP="00465205">
      <w:pPr>
        <w:spacing w:line="240" w:lineRule="auto"/>
        <w:ind w:right="50"/>
        <w:jc w:val="both"/>
        <w:rPr>
          <w:rFonts w:cstheme="minorHAnsi"/>
          <w:spacing w:val="-1"/>
        </w:rPr>
      </w:pPr>
      <w:r w:rsidRPr="00A30336">
        <w:rPr>
          <w:rFonts w:cstheme="minorHAnsi"/>
          <w:spacing w:val="-1"/>
        </w:rPr>
        <w:t xml:space="preserve">Trees provide environmental, health and amenity benefits in relation to solar and privacy screening, microclimate, carbon absorption, bird and animal habitat, air quality and visual attractiveness within a Local Government area. The use of wood as a construction material is also considered to have mutual environmental, health, ecological and sustainable benefits which provide urban design benefits for the local community. </w:t>
      </w:r>
    </w:p>
    <w:p w14:paraId="3F2103C4" w14:textId="77777777" w:rsidR="00465205" w:rsidRPr="00A30336" w:rsidRDefault="00465205" w:rsidP="00465205">
      <w:pPr>
        <w:spacing w:line="240" w:lineRule="auto"/>
        <w:ind w:right="45"/>
        <w:jc w:val="both"/>
        <w:rPr>
          <w:rFonts w:cstheme="minorHAnsi"/>
          <w:spacing w:val="-1"/>
        </w:rPr>
      </w:pPr>
      <w:r w:rsidRPr="00A30336">
        <w:rPr>
          <w:rFonts w:cstheme="minorHAnsi"/>
          <w:spacing w:val="-1"/>
        </w:rPr>
        <w:t>This Policy does not in any way mandate the use of wood, only that wood is at least considered as a suitable material for construction and fit out in any development or redevelopment of a Council building/ infrastructure.</w:t>
      </w:r>
    </w:p>
    <w:p w14:paraId="709A5236" w14:textId="77777777" w:rsidR="00465205" w:rsidRPr="00A30336" w:rsidRDefault="00465205" w:rsidP="00465205">
      <w:pPr>
        <w:spacing w:line="240" w:lineRule="auto"/>
        <w:ind w:right="45"/>
        <w:jc w:val="both"/>
        <w:rPr>
          <w:rFonts w:cstheme="minorHAnsi"/>
          <w:spacing w:val="-1"/>
        </w:rPr>
      </w:pPr>
      <w:r w:rsidRPr="00A30336">
        <w:rPr>
          <w:rFonts w:cstheme="minorHAnsi"/>
          <w:spacing w:val="-1"/>
        </w:rPr>
        <w:t xml:space="preserve">Council recognises the importance of forestry and the timber industry to the broader Western Australian region. Central to Council’s desire to be environmentally and ecologically sustainable is supporting the broader Australian timber industry, whilst also to give wood a preference where practical as it has a substantially lower carbon impact than other building materials. </w:t>
      </w:r>
    </w:p>
    <w:p w14:paraId="6B50E3EA" w14:textId="77777777" w:rsidR="00465205" w:rsidRPr="00A30336" w:rsidRDefault="00465205" w:rsidP="00465205">
      <w:pPr>
        <w:spacing w:line="240" w:lineRule="auto"/>
        <w:ind w:right="47"/>
        <w:jc w:val="both"/>
        <w:rPr>
          <w:rFonts w:cstheme="minorHAnsi"/>
          <w:color w:val="231F20"/>
          <w:spacing w:val="-1"/>
        </w:rPr>
      </w:pPr>
      <w:r w:rsidRPr="00A30336">
        <w:rPr>
          <w:rFonts w:cstheme="minorHAnsi"/>
          <w:color w:val="231F20"/>
          <w:spacing w:val="-1"/>
        </w:rPr>
        <w:t xml:space="preserve">Timber is the only major building material that helps tackle climate change. Wood uses much less energy - known as embodied energy - than most other building materials, giving wood products a significantly lower carbon footprint. As a </w:t>
      </w:r>
      <w:proofErr w:type="gramStart"/>
      <w:r w:rsidRPr="00A30336">
        <w:rPr>
          <w:rFonts w:cstheme="minorHAnsi"/>
          <w:color w:val="231F20"/>
          <w:spacing w:val="-1"/>
        </w:rPr>
        <w:t>result</w:t>
      </w:r>
      <w:proofErr w:type="gramEnd"/>
      <w:r w:rsidRPr="00A30336">
        <w:rPr>
          <w:rFonts w:cstheme="minorHAnsi"/>
          <w:color w:val="231F20"/>
          <w:spacing w:val="-1"/>
        </w:rPr>
        <w:t xml:space="preserve"> wood can be used as a low-emission substitute for materials that require larger amounts of fossil fuels to be produced.</w:t>
      </w:r>
    </w:p>
    <w:p w14:paraId="1944836B" w14:textId="77777777" w:rsidR="00465205" w:rsidRPr="00A30336" w:rsidRDefault="00465205" w:rsidP="00465205">
      <w:pPr>
        <w:spacing w:after="60" w:line="240" w:lineRule="auto"/>
        <w:ind w:right="45"/>
        <w:jc w:val="both"/>
        <w:rPr>
          <w:rFonts w:cstheme="minorHAnsi"/>
          <w:spacing w:val="-1"/>
        </w:rPr>
      </w:pPr>
      <w:r w:rsidRPr="00A30336">
        <w:rPr>
          <w:rFonts w:cstheme="minorHAnsi"/>
          <w:spacing w:val="-1"/>
        </w:rPr>
        <w:t>Council will encourage the increased utilisation of wood in Council assets by:</w:t>
      </w:r>
    </w:p>
    <w:p w14:paraId="747259A3" w14:textId="77777777" w:rsidR="00465205" w:rsidRPr="00A30336" w:rsidRDefault="00465205" w:rsidP="002A3889">
      <w:pPr>
        <w:pStyle w:val="ListParagraph"/>
        <w:numPr>
          <w:ilvl w:val="0"/>
          <w:numId w:val="306"/>
        </w:numPr>
        <w:spacing w:after="60" w:line="240" w:lineRule="auto"/>
        <w:ind w:left="567" w:right="45" w:hanging="567"/>
        <w:contextualSpacing w:val="0"/>
        <w:jc w:val="both"/>
        <w:rPr>
          <w:rFonts w:cstheme="minorHAnsi"/>
          <w:spacing w:val="-1"/>
        </w:rPr>
      </w:pPr>
      <w:r w:rsidRPr="00A30336">
        <w:rPr>
          <w:rFonts w:cstheme="minorHAnsi"/>
          <w:spacing w:val="-1"/>
        </w:rPr>
        <w:lastRenderedPageBreak/>
        <w:t>ensuring that all briefs for new Council projects consider the requirement to use wood as a material for both construction and fit out purposes, where wood is deemed a suitable material for the proposed application</w:t>
      </w:r>
    </w:p>
    <w:p w14:paraId="61E5C424" w14:textId="77777777" w:rsidR="00465205" w:rsidRPr="00A30336" w:rsidRDefault="00465205" w:rsidP="002A3889">
      <w:pPr>
        <w:pStyle w:val="ListParagraph"/>
        <w:numPr>
          <w:ilvl w:val="0"/>
          <w:numId w:val="306"/>
        </w:numPr>
        <w:spacing w:after="60" w:line="240" w:lineRule="auto"/>
        <w:ind w:left="567" w:right="45" w:hanging="567"/>
        <w:contextualSpacing w:val="0"/>
        <w:jc w:val="both"/>
        <w:rPr>
          <w:rFonts w:cstheme="minorHAnsi"/>
          <w:spacing w:val="-1"/>
        </w:rPr>
      </w:pPr>
      <w:r w:rsidRPr="00A30336">
        <w:rPr>
          <w:rFonts w:cstheme="minorHAnsi"/>
          <w:spacing w:val="-1"/>
        </w:rPr>
        <w:t>endeavouring to seek those who can find, practical, efficient, versatile and cost-effective building and design solutions using wood when sourcing design and architectural expertise</w:t>
      </w:r>
    </w:p>
    <w:p w14:paraId="46A271B8" w14:textId="77777777" w:rsidR="00465205" w:rsidRPr="00A30336" w:rsidRDefault="00465205" w:rsidP="002A3889">
      <w:pPr>
        <w:pStyle w:val="ListParagraph"/>
        <w:numPr>
          <w:ilvl w:val="0"/>
          <w:numId w:val="306"/>
        </w:numPr>
        <w:spacing w:after="0" w:line="240" w:lineRule="auto"/>
        <w:ind w:left="567" w:right="45" w:hanging="567"/>
        <w:jc w:val="both"/>
        <w:rPr>
          <w:rFonts w:cstheme="minorHAnsi"/>
          <w:spacing w:val="-1"/>
        </w:rPr>
      </w:pPr>
      <w:r w:rsidRPr="00A30336">
        <w:rPr>
          <w:rFonts w:cstheme="minorHAnsi"/>
          <w:spacing w:val="-1"/>
        </w:rPr>
        <w:t>where possible, sourcing locally (West Australian) produced wood products for construction and fit out purposes</w:t>
      </w:r>
    </w:p>
    <w:p w14:paraId="60F1751C" w14:textId="77777777" w:rsidR="00465205" w:rsidRPr="00A30336" w:rsidRDefault="00465205" w:rsidP="00465205">
      <w:pPr>
        <w:spacing w:before="200" w:after="60" w:line="240" w:lineRule="auto"/>
        <w:ind w:right="45"/>
        <w:jc w:val="both"/>
        <w:rPr>
          <w:rFonts w:cstheme="minorHAnsi"/>
          <w:spacing w:val="-1"/>
        </w:rPr>
      </w:pPr>
      <w:r w:rsidRPr="00A30336">
        <w:rPr>
          <w:rFonts w:cstheme="minorHAnsi"/>
          <w:spacing w:val="-1"/>
        </w:rPr>
        <w:t>Council will encourage the increased utilisation of wood in any development/ redevelopment within the Local Government area by:</w:t>
      </w:r>
    </w:p>
    <w:p w14:paraId="2A26A823" w14:textId="77777777" w:rsidR="00465205" w:rsidRPr="00A30336" w:rsidRDefault="00465205" w:rsidP="002A3889">
      <w:pPr>
        <w:pStyle w:val="ListParagraph"/>
        <w:numPr>
          <w:ilvl w:val="0"/>
          <w:numId w:val="306"/>
        </w:numPr>
        <w:spacing w:after="60" w:line="240" w:lineRule="auto"/>
        <w:ind w:left="567" w:right="45" w:hanging="567"/>
        <w:contextualSpacing w:val="0"/>
        <w:jc w:val="both"/>
        <w:rPr>
          <w:rFonts w:cstheme="minorHAnsi"/>
          <w:spacing w:val="-1"/>
        </w:rPr>
      </w:pPr>
      <w:r w:rsidRPr="00A30336">
        <w:rPr>
          <w:rFonts w:cstheme="minorHAnsi"/>
          <w:spacing w:val="-1"/>
        </w:rPr>
        <w:t>facilitating the promotion of using sustainable wood as a construction and fit out material in the Local Government area in any development/ redevelopment</w:t>
      </w:r>
    </w:p>
    <w:p w14:paraId="280D0EF3" w14:textId="77777777" w:rsidR="00465205" w:rsidRPr="00A30336" w:rsidRDefault="00465205" w:rsidP="002A3889">
      <w:pPr>
        <w:pStyle w:val="ListParagraph"/>
        <w:numPr>
          <w:ilvl w:val="0"/>
          <w:numId w:val="306"/>
        </w:numPr>
        <w:spacing w:after="60" w:line="240" w:lineRule="auto"/>
        <w:ind w:left="567" w:right="45" w:hanging="567"/>
        <w:contextualSpacing w:val="0"/>
        <w:jc w:val="both"/>
        <w:rPr>
          <w:rFonts w:cstheme="minorHAnsi"/>
          <w:spacing w:val="-1"/>
        </w:rPr>
      </w:pPr>
      <w:r w:rsidRPr="00A30336">
        <w:rPr>
          <w:rFonts w:cstheme="minorHAnsi"/>
          <w:spacing w:val="-1"/>
        </w:rPr>
        <w:t>where possible/ practical, utilising locally (West Australian) produced and sourced wood products for construction and fit out purposes</w:t>
      </w:r>
    </w:p>
    <w:p w14:paraId="180337A7" w14:textId="77777777" w:rsidR="00465205" w:rsidRPr="00A30336" w:rsidRDefault="00465205" w:rsidP="002A3889">
      <w:pPr>
        <w:pStyle w:val="ListParagraph"/>
        <w:numPr>
          <w:ilvl w:val="0"/>
          <w:numId w:val="306"/>
        </w:numPr>
        <w:spacing w:after="60" w:line="240" w:lineRule="auto"/>
        <w:ind w:left="567" w:right="45" w:hanging="567"/>
        <w:contextualSpacing w:val="0"/>
        <w:jc w:val="both"/>
        <w:rPr>
          <w:rFonts w:cstheme="minorHAnsi"/>
          <w:spacing w:val="-1"/>
        </w:rPr>
      </w:pPr>
      <w:r w:rsidRPr="00A30336">
        <w:rPr>
          <w:rFonts w:cstheme="minorHAnsi"/>
          <w:spacing w:val="-1"/>
        </w:rPr>
        <w:t>encouraging designers/ architects/ engineers or similar professions to use new, innovative wood products/ materials and manufacturers to work with the existing built environment to enhance the urban fabric of the Local Government Area</w:t>
      </w:r>
    </w:p>
    <w:p w14:paraId="4E7ABE0F" w14:textId="77777777" w:rsidR="00465205" w:rsidRPr="00A30336" w:rsidRDefault="00465205" w:rsidP="002A3889">
      <w:pPr>
        <w:pStyle w:val="ListParagraph"/>
        <w:numPr>
          <w:ilvl w:val="0"/>
          <w:numId w:val="306"/>
        </w:numPr>
        <w:spacing w:after="0" w:line="240" w:lineRule="auto"/>
        <w:ind w:left="567" w:right="45" w:hanging="567"/>
        <w:jc w:val="both"/>
        <w:rPr>
          <w:rFonts w:cstheme="minorHAnsi"/>
          <w:spacing w:val="-1"/>
        </w:rPr>
      </w:pPr>
      <w:r w:rsidRPr="00A30336">
        <w:rPr>
          <w:rFonts w:cstheme="minorHAnsi"/>
          <w:spacing w:val="-1"/>
        </w:rPr>
        <w:t>ensuring that it represents value for money</w:t>
      </w:r>
    </w:p>
    <w:p w14:paraId="55DA2EB9" w14:textId="77777777" w:rsidR="00465205" w:rsidRPr="00A30336" w:rsidRDefault="00465205" w:rsidP="00465205">
      <w:pPr>
        <w:spacing w:before="200" w:after="60" w:line="240" w:lineRule="auto"/>
        <w:ind w:right="45"/>
        <w:jc w:val="both"/>
        <w:rPr>
          <w:rFonts w:cstheme="minorHAnsi"/>
          <w:spacing w:val="-1"/>
        </w:rPr>
      </w:pPr>
      <w:r w:rsidRPr="00A30336">
        <w:rPr>
          <w:rFonts w:cstheme="minorHAnsi"/>
          <w:spacing w:val="-1"/>
        </w:rPr>
        <w:t>In using wood as a construction material for Council infrastructure, Council will have regard to:</w:t>
      </w:r>
    </w:p>
    <w:p w14:paraId="2E3F50EA" w14:textId="77777777" w:rsidR="00465205" w:rsidRPr="00A30336" w:rsidRDefault="00465205" w:rsidP="002A3889">
      <w:pPr>
        <w:pStyle w:val="ListParagraph"/>
        <w:numPr>
          <w:ilvl w:val="0"/>
          <w:numId w:val="307"/>
        </w:numPr>
        <w:spacing w:after="60" w:line="240" w:lineRule="auto"/>
        <w:ind w:left="567" w:right="45" w:hanging="567"/>
        <w:contextualSpacing w:val="0"/>
        <w:jc w:val="both"/>
        <w:rPr>
          <w:rFonts w:cstheme="minorHAnsi"/>
          <w:spacing w:val="-1"/>
        </w:rPr>
      </w:pPr>
      <w:r w:rsidRPr="00A30336">
        <w:rPr>
          <w:rFonts w:cstheme="minorHAnsi"/>
          <w:spacing w:val="-1"/>
        </w:rPr>
        <w:t>the utilisation of wood products that meet the Australian Forest Standard, Program for the Endorsement of Forest Certification and/or Forest Stewardship Council certifications</w:t>
      </w:r>
    </w:p>
    <w:p w14:paraId="4E0FF574" w14:textId="77777777" w:rsidR="00465205" w:rsidRPr="00A30336" w:rsidRDefault="00465205" w:rsidP="002A3889">
      <w:pPr>
        <w:pStyle w:val="ListParagraph"/>
        <w:numPr>
          <w:ilvl w:val="0"/>
          <w:numId w:val="307"/>
        </w:numPr>
        <w:spacing w:after="60" w:line="240" w:lineRule="auto"/>
        <w:ind w:left="567" w:right="45" w:hanging="567"/>
        <w:contextualSpacing w:val="0"/>
        <w:jc w:val="both"/>
        <w:rPr>
          <w:rFonts w:cstheme="minorHAnsi"/>
          <w:spacing w:val="-1"/>
        </w:rPr>
      </w:pPr>
      <w:r w:rsidRPr="00A30336">
        <w:rPr>
          <w:rFonts w:cstheme="minorHAnsi"/>
          <w:spacing w:val="-1"/>
        </w:rPr>
        <w:t>maintenance required throughout the life of the project</w:t>
      </w:r>
    </w:p>
    <w:p w14:paraId="554831D0" w14:textId="77777777" w:rsidR="00465205" w:rsidRPr="00A30336" w:rsidRDefault="00465205" w:rsidP="002A3889">
      <w:pPr>
        <w:pStyle w:val="ListParagraph"/>
        <w:numPr>
          <w:ilvl w:val="0"/>
          <w:numId w:val="307"/>
        </w:numPr>
        <w:spacing w:after="60" w:line="240" w:lineRule="auto"/>
        <w:ind w:left="567" w:right="45" w:hanging="567"/>
        <w:contextualSpacing w:val="0"/>
        <w:jc w:val="both"/>
        <w:rPr>
          <w:rFonts w:cstheme="minorHAnsi"/>
          <w:spacing w:val="-1"/>
        </w:rPr>
      </w:pPr>
      <w:r w:rsidRPr="00A30336">
        <w:rPr>
          <w:rFonts w:cstheme="minorHAnsi"/>
          <w:spacing w:val="-1"/>
        </w:rPr>
        <w:t>pest and fungus protection</w:t>
      </w:r>
    </w:p>
    <w:p w14:paraId="4DABEE20" w14:textId="77777777" w:rsidR="00465205" w:rsidRPr="00A30336" w:rsidRDefault="00465205" w:rsidP="002A3889">
      <w:pPr>
        <w:pStyle w:val="ListParagraph"/>
        <w:numPr>
          <w:ilvl w:val="0"/>
          <w:numId w:val="307"/>
        </w:numPr>
        <w:spacing w:after="60" w:line="240" w:lineRule="auto"/>
        <w:ind w:left="567" w:right="45" w:hanging="567"/>
        <w:contextualSpacing w:val="0"/>
        <w:jc w:val="both"/>
        <w:rPr>
          <w:rFonts w:cstheme="minorHAnsi"/>
          <w:spacing w:val="-1"/>
        </w:rPr>
      </w:pPr>
      <w:r w:rsidRPr="00A30336">
        <w:rPr>
          <w:rFonts w:cstheme="minorHAnsi"/>
          <w:spacing w:val="-1"/>
        </w:rPr>
        <w:t>using wood only when it is the right material for the selected application (i.e. there are no technical reasons for it not to be used)</w:t>
      </w:r>
    </w:p>
    <w:p w14:paraId="57DB1B3D" w14:textId="77777777" w:rsidR="00465205" w:rsidRPr="00A30336" w:rsidRDefault="00465205" w:rsidP="002A3889">
      <w:pPr>
        <w:pStyle w:val="ListParagraph"/>
        <w:numPr>
          <w:ilvl w:val="0"/>
          <w:numId w:val="307"/>
        </w:numPr>
        <w:spacing w:after="0" w:line="240" w:lineRule="auto"/>
        <w:ind w:left="567" w:right="45" w:hanging="567"/>
        <w:jc w:val="both"/>
        <w:rPr>
          <w:rFonts w:cstheme="minorHAnsi"/>
          <w:spacing w:val="-1"/>
        </w:rPr>
      </w:pPr>
      <w:r w:rsidRPr="00A30336">
        <w:rPr>
          <w:rFonts w:cstheme="minorHAnsi"/>
          <w:spacing w:val="-1"/>
        </w:rPr>
        <w:t>ensuring that it represents value for money</w:t>
      </w:r>
    </w:p>
    <w:p w14:paraId="0BB0D64B" w14:textId="77777777" w:rsidR="00465205" w:rsidRPr="00A30336" w:rsidRDefault="00465205" w:rsidP="00465205">
      <w:pPr>
        <w:spacing w:after="0" w:line="240" w:lineRule="auto"/>
        <w:ind w:right="45"/>
        <w:jc w:val="both"/>
        <w:rPr>
          <w:rFonts w:cstheme="minorHAnsi"/>
          <w:spacing w:val="-1"/>
        </w:rPr>
      </w:pPr>
    </w:p>
    <w:p w14:paraId="1A19BAA3" w14:textId="77777777" w:rsidR="00465205" w:rsidRPr="00A30336" w:rsidRDefault="00465205" w:rsidP="00465205">
      <w:pPr>
        <w:spacing w:after="0" w:line="240" w:lineRule="auto"/>
        <w:ind w:right="45"/>
        <w:jc w:val="both"/>
        <w:rPr>
          <w:rFonts w:cstheme="minorHAnsi"/>
          <w:spacing w:val="-1"/>
        </w:rPr>
      </w:pPr>
    </w:p>
    <w:tbl>
      <w:tblPr>
        <w:tblStyle w:val="TableGrid"/>
        <w:tblW w:w="0" w:type="auto"/>
        <w:tblLook w:val="04A0" w:firstRow="1" w:lastRow="0" w:firstColumn="1" w:lastColumn="0" w:noHBand="0" w:noVBand="1"/>
      </w:tblPr>
      <w:tblGrid>
        <w:gridCol w:w="3369"/>
        <w:gridCol w:w="5647"/>
      </w:tblGrid>
      <w:tr w:rsidR="00465205" w:rsidRPr="00A30336" w14:paraId="240EFD75" w14:textId="77777777" w:rsidTr="00FD4C05">
        <w:tc>
          <w:tcPr>
            <w:tcW w:w="3369" w:type="dxa"/>
          </w:tcPr>
          <w:p w14:paraId="6819CC50" w14:textId="77777777" w:rsidR="00465205" w:rsidRPr="00A30336" w:rsidRDefault="00465205" w:rsidP="00FD4C05">
            <w:pPr>
              <w:jc w:val="both"/>
              <w:rPr>
                <w:rFonts w:cstheme="minorHAnsi"/>
                <w:b/>
                <w:lang w:val="en-US"/>
              </w:rPr>
            </w:pPr>
            <w:r w:rsidRPr="00A30336">
              <w:rPr>
                <w:rFonts w:cstheme="minorHAnsi"/>
                <w:b/>
                <w:lang w:val="en-US"/>
              </w:rPr>
              <w:t>Responsible Directorate:</w:t>
            </w:r>
          </w:p>
        </w:tc>
        <w:tc>
          <w:tcPr>
            <w:tcW w:w="5647" w:type="dxa"/>
          </w:tcPr>
          <w:p w14:paraId="40C015BE" w14:textId="77777777" w:rsidR="00465205" w:rsidRPr="00A30336" w:rsidRDefault="00465205" w:rsidP="00FD4C05">
            <w:pPr>
              <w:jc w:val="both"/>
              <w:rPr>
                <w:rFonts w:cstheme="minorHAnsi"/>
                <w:lang w:val="en-US"/>
              </w:rPr>
            </w:pPr>
            <w:r>
              <w:rPr>
                <w:rFonts w:cstheme="minorHAnsi"/>
                <w:lang w:val="en-US"/>
              </w:rPr>
              <w:t>Regulatory Services</w:t>
            </w:r>
          </w:p>
        </w:tc>
      </w:tr>
      <w:tr w:rsidR="00465205" w:rsidRPr="00A30336" w14:paraId="3A4BC0F2" w14:textId="77777777" w:rsidTr="00FD4C05">
        <w:tc>
          <w:tcPr>
            <w:tcW w:w="3369" w:type="dxa"/>
          </w:tcPr>
          <w:p w14:paraId="6E1E2667" w14:textId="77777777" w:rsidR="00465205" w:rsidRPr="00A30336" w:rsidRDefault="00465205" w:rsidP="00FD4C05">
            <w:pPr>
              <w:jc w:val="both"/>
              <w:rPr>
                <w:rFonts w:cstheme="minorHAnsi"/>
                <w:b/>
                <w:lang w:val="en-US"/>
              </w:rPr>
            </w:pPr>
            <w:r w:rsidRPr="00A30336">
              <w:rPr>
                <w:rFonts w:cstheme="minorHAnsi"/>
                <w:b/>
                <w:lang w:val="en-US"/>
              </w:rPr>
              <w:t>Reviewing Officer:</w:t>
            </w:r>
          </w:p>
        </w:tc>
        <w:tc>
          <w:tcPr>
            <w:tcW w:w="5647" w:type="dxa"/>
          </w:tcPr>
          <w:p w14:paraId="15B42067" w14:textId="77777777" w:rsidR="00465205" w:rsidRPr="00A30336" w:rsidRDefault="00465205" w:rsidP="00FD4C05">
            <w:pPr>
              <w:jc w:val="both"/>
              <w:rPr>
                <w:rFonts w:cstheme="minorHAnsi"/>
                <w:lang w:val="en-US"/>
              </w:rPr>
            </w:pPr>
            <w:r w:rsidRPr="00A30336">
              <w:rPr>
                <w:rFonts w:cstheme="minorHAnsi"/>
                <w:lang w:val="en-US"/>
              </w:rPr>
              <w:t>Executive Manager Regulatory Services</w:t>
            </w:r>
          </w:p>
        </w:tc>
      </w:tr>
      <w:tr w:rsidR="00465205" w:rsidRPr="00A30336" w14:paraId="32E9CCCD" w14:textId="77777777" w:rsidTr="00FD4C05">
        <w:tc>
          <w:tcPr>
            <w:tcW w:w="3369" w:type="dxa"/>
          </w:tcPr>
          <w:p w14:paraId="0735E03B" w14:textId="77777777" w:rsidR="00465205" w:rsidRPr="00A30336" w:rsidRDefault="00465205" w:rsidP="00FD4C05">
            <w:pPr>
              <w:jc w:val="both"/>
              <w:rPr>
                <w:rFonts w:cstheme="minorHAnsi"/>
                <w:b/>
                <w:lang w:val="en-US"/>
              </w:rPr>
            </w:pPr>
            <w:r w:rsidRPr="00A30336">
              <w:rPr>
                <w:rFonts w:cstheme="minorHAnsi"/>
                <w:b/>
                <w:lang w:val="en-US"/>
              </w:rPr>
              <w:t>Decision making Authority:</w:t>
            </w:r>
          </w:p>
        </w:tc>
        <w:tc>
          <w:tcPr>
            <w:tcW w:w="5647" w:type="dxa"/>
          </w:tcPr>
          <w:p w14:paraId="38E7E285" w14:textId="77777777" w:rsidR="00465205" w:rsidRPr="00A30336" w:rsidRDefault="00465205" w:rsidP="00FD4C05">
            <w:pPr>
              <w:jc w:val="both"/>
              <w:rPr>
                <w:rFonts w:cstheme="minorHAnsi"/>
                <w:lang w:val="en-US"/>
              </w:rPr>
            </w:pPr>
            <w:r w:rsidRPr="00A30336">
              <w:rPr>
                <w:rFonts w:cstheme="minorHAnsi"/>
                <w:lang w:val="en-US"/>
              </w:rPr>
              <w:t>Council</w:t>
            </w:r>
          </w:p>
        </w:tc>
      </w:tr>
      <w:tr w:rsidR="00465205" w:rsidRPr="00A30336" w14:paraId="28709C98" w14:textId="77777777" w:rsidTr="00FD4C05">
        <w:tc>
          <w:tcPr>
            <w:tcW w:w="3369" w:type="dxa"/>
          </w:tcPr>
          <w:p w14:paraId="4E62AF0F" w14:textId="77777777" w:rsidR="00465205" w:rsidRPr="00A30336" w:rsidRDefault="00465205" w:rsidP="00FD4C05">
            <w:pPr>
              <w:jc w:val="both"/>
              <w:rPr>
                <w:rFonts w:cstheme="minorHAnsi"/>
                <w:b/>
                <w:lang w:val="en-US"/>
              </w:rPr>
            </w:pPr>
            <w:r w:rsidRPr="00A30336">
              <w:rPr>
                <w:rFonts w:cstheme="minorHAnsi"/>
                <w:b/>
                <w:lang w:val="en-US"/>
              </w:rPr>
              <w:t>Policy Adopted:</w:t>
            </w:r>
          </w:p>
        </w:tc>
        <w:tc>
          <w:tcPr>
            <w:tcW w:w="5647" w:type="dxa"/>
          </w:tcPr>
          <w:p w14:paraId="3AE2C371" w14:textId="77777777" w:rsidR="00465205" w:rsidRPr="00A30336" w:rsidRDefault="00465205" w:rsidP="00FD4C05">
            <w:pPr>
              <w:jc w:val="both"/>
              <w:rPr>
                <w:rFonts w:cstheme="minorHAnsi"/>
                <w:lang w:val="en-US"/>
              </w:rPr>
            </w:pPr>
            <w:r w:rsidRPr="00A30336">
              <w:rPr>
                <w:rFonts w:cstheme="minorHAnsi"/>
                <w:lang w:val="en-US"/>
              </w:rPr>
              <w:t>21/10/17</w:t>
            </w:r>
          </w:p>
        </w:tc>
      </w:tr>
      <w:tr w:rsidR="00465205" w:rsidRPr="00A30336" w14:paraId="0518B223" w14:textId="77777777" w:rsidTr="00FD4C05">
        <w:tc>
          <w:tcPr>
            <w:tcW w:w="3369" w:type="dxa"/>
          </w:tcPr>
          <w:p w14:paraId="03344532" w14:textId="77777777" w:rsidR="00465205" w:rsidRPr="00A30336" w:rsidRDefault="00465205" w:rsidP="00FD4C05">
            <w:pPr>
              <w:jc w:val="both"/>
              <w:rPr>
                <w:rFonts w:cstheme="minorHAnsi"/>
                <w:b/>
                <w:lang w:val="en-US"/>
              </w:rPr>
            </w:pPr>
            <w:r w:rsidRPr="00A30336">
              <w:rPr>
                <w:rFonts w:cstheme="minorHAnsi"/>
                <w:b/>
                <w:lang w:val="en-US"/>
              </w:rPr>
              <w:t>Policy Amended/Reviewed:</w:t>
            </w:r>
          </w:p>
        </w:tc>
        <w:tc>
          <w:tcPr>
            <w:tcW w:w="5647" w:type="dxa"/>
          </w:tcPr>
          <w:p w14:paraId="074F37B4" w14:textId="77777777" w:rsidR="00465205" w:rsidRPr="00A30336" w:rsidRDefault="00465205" w:rsidP="00FD4C05">
            <w:pPr>
              <w:jc w:val="both"/>
              <w:rPr>
                <w:rFonts w:cstheme="minorHAnsi"/>
                <w:lang w:val="en-US"/>
              </w:rPr>
            </w:pPr>
            <w:r>
              <w:rPr>
                <w:rFonts w:cstheme="minorHAnsi"/>
                <w:lang w:val="en-US"/>
              </w:rPr>
              <w:t>15/10/19</w:t>
            </w:r>
          </w:p>
        </w:tc>
      </w:tr>
      <w:tr w:rsidR="00465205" w:rsidRPr="00A30336" w14:paraId="6B470DEB" w14:textId="77777777" w:rsidTr="00FD4C05">
        <w:tc>
          <w:tcPr>
            <w:tcW w:w="3369" w:type="dxa"/>
          </w:tcPr>
          <w:p w14:paraId="1F76A699" w14:textId="77777777" w:rsidR="00465205" w:rsidRPr="00A30336" w:rsidRDefault="00465205" w:rsidP="00FD4C05">
            <w:pPr>
              <w:jc w:val="both"/>
              <w:rPr>
                <w:rFonts w:cstheme="minorHAnsi"/>
                <w:b/>
                <w:lang w:val="en-US"/>
              </w:rPr>
            </w:pPr>
            <w:r>
              <w:rPr>
                <w:rFonts w:cstheme="minorHAnsi"/>
                <w:b/>
                <w:lang w:val="en-US"/>
              </w:rPr>
              <w:t>Former Policy No.</w:t>
            </w:r>
          </w:p>
        </w:tc>
        <w:tc>
          <w:tcPr>
            <w:tcW w:w="5647" w:type="dxa"/>
          </w:tcPr>
          <w:p w14:paraId="25E20784" w14:textId="77777777" w:rsidR="00465205" w:rsidRPr="00A30336" w:rsidRDefault="00465205" w:rsidP="00FD4C05">
            <w:pPr>
              <w:jc w:val="both"/>
              <w:rPr>
                <w:rFonts w:cstheme="minorHAnsi"/>
                <w:lang w:val="en-US"/>
              </w:rPr>
            </w:pPr>
            <w:r>
              <w:rPr>
                <w:rFonts w:cstheme="minorHAnsi"/>
                <w:lang w:val="en-US"/>
              </w:rPr>
              <w:t>3.1.7</w:t>
            </w:r>
          </w:p>
        </w:tc>
      </w:tr>
    </w:tbl>
    <w:p w14:paraId="1FEDEEB4" w14:textId="77777777" w:rsidR="00465205" w:rsidRPr="00A30336" w:rsidRDefault="00465205" w:rsidP="00465205">
      <w:pPr>
        <w:jc w:val="both"/>
        <w:rPr>
          <w:rFonts w:cstheme="minorHAnsi"/>
          <w:lang w:val="en-US"/>
        </w:rPr>
      </w:pPr>
    </w:p>
    <w:p w14:paraId="05EB2C76" w14:textId="77777777" w:rsidR="00465205" w:rsidRDefault="00465205" w:rsidP="00465205">
      <w:r>
        <w:rPr>
          <w:rFonts w:cstheme="minorHAnsi"/>
          <w:lang w:val="en-US"/>
        </w:rPr>
        <w:br w:type="page"/>
      </w:r>
    </w:p>
    <w:p w14:paraId="2A155FC5" w14:textId="2E88418E" w:rsidR="00465205" w:rsidRPr="00A02FF9" w:rsidRDefault="00837116" w:rsidP="00465205">
      <w:pPr>
        <w:pStyle w:val="Title"/>
        <w:pBdr>
          <w:bottom w:val="none" w:sz="0" w:space="0" w:color="auto"/>
        </w:pBdr>
        <w:spacing w:after="360"/>
        <w:jc w:val="right"/>
        <w:rPr>
          <w:rFonts w:ascii="Arial" w:hAnsi="Arial" w:cs="Arial"/>
          <w:b/>
          <w:sz w:val="34"/>
          <w:szCs w:val="28"/>
          <w:lang w:val="en-US"/>
        </w:rPr>
      </w:pPr>
      <w:r>
        <w:rPr>
          <w:noProof/>
          <w:lang w:eastAsia="en-AU"/>
        </w:rPr>
        <w:lastRenderedPageBreak/>
        <w:drawing>
          <wp:anchor distT="0" distB="0" distL="114300" distR="114300" simplePos="0" relativeHeight="251654144" behindDoc="1" locked="0" layoutInCell="1" allowOverlap="1" wp14:anchorId="5B9A3E9F" wp14:editId="7367251F">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107C530" w14:textId="77777777" w:rsidR="00465205" w:rsidRPr="00A02FF9" w:rsidRDefault="00465205" w:rsidP="00465205">
      <w:pPr>
        <w:pStyle w:val="Title"/>
        <w:pBdr>
          <w:bottom w:val="none" w:sz="0" w:space="0" w:color="auto"/>
        </w:pBdr>
        <w:spacing w:after="0"/>
        <w:ind w:left="1134" w:hanging="1134"/>
        <w:contextualSpacing w:val="0"/>
        <w:rPr>
          <w:rFonts w:asciiTheme="minorHAnsi" w:hAnsiTheme="minorHAnsi" w:cstheme="minorHAnsi"/>
          <w:b/>
          <w:color w:val="1F497D" w:themeColor="text2"/>
          <w:sz w:val="2"/>
          <w:szCs w:val="28"/>
          <w:lang w:val="en-US"/>
        </w:rPr>
      </w:pPr>
    </w:p>
    <w:p w14:paraId="2655D94C" w14:textId="77777777" w:rsidR="00837116" w:rsidRDefault="00837116" w:rsidP="00465205">
      <w:pPr>
        <w:pStyle w:val="Policy3"/>
      </w:pPr>
    </w:p>
    <w:p w14:paraId="6D76F8DF" w14:textId="77777777" w:rsidR="00837116" w:rsidRDefault="00837116" w:rsidP="00465205">
      <w:pPr>
        <w:pStyle w:val="Policy3"/>
      </w:pPr>
    </w:p>
    <w:p w14:paraId="298EFDC4" w14:textId="77777777" w:rsidR="00837116" w:rsidRDefault="00837116" w:rsidP="00465205">
      <w:pPr>
        <w:pStyle w:val="Policy3"/>
      </w:pPr>
    </w:p>
    <w:p w14:paraId="722473E3" w14:textId="08366360" w:rsidR="00465205" w:rsidRPr="004A6683" w:rsidRDefault="00465205" w:rsidP="00465205">
      <w:pPr>
        <w:pStyle w:val="Policy3"/>
      </w:pPr>
      <w:bookmarkStart w:id="567" w:name="_Toc216866721"/>
      <w:r w:rsidRPr="004A6683">
        <w:t>3.1.8</w:t>
      </w:r>
      <w:r w:rsidRPr="004A6683">
        <w:tab/>
        <w:t>Wood Encouragement – General</w:t>
      </w:r>
      <w:bookmarkEnd w:id="567"/>
    </w:p>
    <w:tbl>
      <w:tblPr>
        <w:tblStyle w:val="TableGrid"/>
        <w:tblW w:w="0" w:type="auto"/>
        <w:tblLook w:val="04A0" w:firstRow="1" w:lastRow="0" w:firstColumn="1" w:lastColumn="0" w:noHBand="0" w:noVBand="1"/>
      </w:tblPr>
      <w:tblGrid>
        <w:gridCol w:w="3027"/>
        <w:gridCol w:w="5989"/>
      </w:tblGrid>
      <w:tr w:rsidR="00465205" w:rsidRPr="00D850CC" w14:paraId="5BD6C3A4" w14:textId="77777777" w:rsidTr="00FD4C05">
        <w:tc>
          <w:tcPr>
            <w:tcW w:w="3027" w:type="dxa"/>
          </w:tcPr>
          <w:p w14:paraId="7B7EC72B" w14:textId="77777777" w:rsidR="00465205" w:rsidRPr="00D850CC" w:rsidRDefault="00465205" w:rsidP="00FD4C05">
            <w:pPr>
              <w:rPr>
                <w:rFonts w:cstheme="minorHAnsi"/>
                <w:b/>
                <w:lang w:val="en-US"/>
              </w:rPr>
            </w:pPr>
            <w:r w:rsidRPr="00D850CC">
              <w:rPr>
                <w:rFonts w:cstheme="minorHAnsi"/>
                <w:b/>
                <w:lang w:val="en-US"/>
              </w:rPr>
              <w:t>Type:</w:t>
            </w:r>
          </w:p>
        </w:tc>
        <w:tc>
          <w:tcPr>
            <w:tcW w:w="5989" w:type="dxa"/>
          </w:tcPr>
          <w:p w14:paraId="49ABB8A1" w14:textId="77777777" w:rsidR="00465205" w:rsidRPr="00D850CC" w:rsidRDefault="00465205" w:rsidP="00FD4C05">
            <w:pPr>
              <w:rPr>
                <w:rFonts w:cstheme="minorHAnsi"/>
                <w:lang w:val="en-US"/>
              </w:rPr>
            </w:pPr>
            <w:r>
              <w:rPr>
                <w:rFonts w:cstheme="minorHAnsi"/>
                <w:lang w:val="en-US"/>
              </w:rPr>
              <w:t>Regulatory Services - Planning</w:t>
            </w:r>
          </w:p>
        </w:tc>
      </w:tr>
      <w:tr w:rsidR="00465205" w:rsidRPr="00D850CC" w14:paraId="4AB0ECF4" w14:textId="77777777" w:rsidTr="00FD4C05">
        <w:tc>
          <w:tcPr>
            <w:tcW w:w="3027" w:type="dxa"/>
          </w:tcPr>
          <w:p w14:paraId="591C4B89" w14:textId="77777777" w:rsidR="00465205" w:rsidRPr="00D850CC" w:rsidRDefault="00465205" w:rsidP="00FD4C05">
            <w:pPr>
              <w:rPr>
                <w:rFonts w:cstheme="minorHAnsi"/>
                <w:b/>
                <w:lang w:val="en-US"/>
              </w:rPr>
            </w:pPr>
            <w:r w:rsidRPr="00D850CC">
              <w:rPr>
                <w:rFonts w:cstheme="minorHAnsi"/>
                <w:b/>
                <w:lang w:val="en-US"/>
              </w:rPr>
              <w:t>Legislation:</w:t>
            </w:r>
          </w:p>
        </w:tc>
        <w:tc>
          <w:tcPr>
            <w:tcW w:w="5989" w:type="dxa"/>
          </w:tcPr>
          <w:p w14:paraId="2D8AA242" w14:textId="77777777" w:rsidR="00465205" w:rsidRDefault="00465205" w:rsidP="00FD4C05">
            <w:pPr>
              <w:rPr>
                <w:rFonts w:cstheme="minorHAnsi"/>
                <w:lang w:val="en-US"/>
              </w:rPr>
            </w:pPr>
            <w:r>
              <w:rPr>
                <w:rFonts w:cstheme="minorHAnsi"/>
                <w:lang w:val="en-US"/>
              </w:rPr>
              <w:t>Planning and Development Act 2005</w:t>
            </w:r>
          </w:p>
          <w:p w14:paraId="3A7F8F80" w14:textId="77777777" w:rsidR="00465205" w:rsidRPr="00D850CC" w:rsidRDefault="00465205" w:rsidP="00FD4C05">
            <w:pPr>
              <w:rPr>
                <w:rFonts w:cstheme="minorHAnsi"/>
                <w:lang w:val="en-US"/>
              </w:rPr>
            </w:pPr>
            <w:r>
              <w:rPr>
                <w:rFonts w:cstheme="minorHAnsi"/>
                <w:lang w:val="en-US"/>
              </w:rPr>
              <w:t>Planning and Development (Local Planning Schemes) Regulations 2015</w:t>
            </w:r>
          </w:p>
        </w:tc>
      </w:tr>
      <w:tr w:rsidR="00465205" w:rsidRPr="00D850CC" w14:paraId="5376F55E" w14:textId="77777777" w:rsidTr="00FD4C05">
        <w:tc>
          <w:tcPr>
            <w:tcW w:w="3027" w:type="dxa"/>
          </w:tcPr>
          <w:p w14:paraId="007F231D" w14:textId="77777777" w:rsidR="00465205" w:rsidRPr="00D850CC" w:rsidRDefault="00465205" w:rsidP="00FD4C05">
            <w:pPr>
              <w:rPr>
                <w:rFonts w:cstheme="minorHAnsi"/>
                <w:b/>
                <w:lang w:val="en-US"/>
              </w:rPr>
            </w:pPr>
            <w:r w:rsidRPr="00D850CC">
              <w:rPr>
                <w:rFonts w:cstheme="minorHAnsi"/>
                <w:b/>
                <w:lang w:val="en-US"/>
              </w:rPr>
              <w:t>Delegation:</w:t>
            </w:r>
          </w:p>
        </w:tc>
        <w:tc>
          <w:tcPr>
            <w:tcW w:w="5989" w:type="dxa"/>
          </w:tcPr>
          <w:p w14:paraId="2872B42D" w14:textId="77777777" w:rsidR="00465205" w:rsidRPr="00D850CC" w:rsidRDefault="00465205" w:rsidP="00FD4C05">
            <w:pPr>
              <w:rPr>
                <w:rFonts w:cstheme="minorHAnsi"/>
                <w:lang w:val="en-US"/>
              </w:rPr>
            </w:pPr>
            <w:r w:rsidRPr="00D850CC">
              <w:rPr>
                <w:rFonts w:cstheme="minorHAnsi"/>
                <w:lang w:val="en-US"/>
              </w:rPr>
              <w:t>N/A</w:t>
            </w:r>
          </w:p>
        </w:tc>
      </w:tr>
      <w:tr w:rsidR="00465205" w:rsidRPr="00D850CC" w14:paraId="7B2F143C" w14:textId="77777777" w:rsidTr="00FD4C05">
        <w:tc>
          <w:tcPr>
            <w:tcW w:w="3027" w:type="dxa"/>
          </w:tcPr>
          <w:p w14:paraId="15B00662" w14:textId="77777777" w:rsidR="00465205" w:rsidRPr="00D850CC" w:rsidRDefault="00465205" w:rsidP="00FD4C05">
            <w:pPr>
              <w:rPr>
                <w:rFonts w:cstheme="minorHAnsi"/>
                <w:b/>
                <w:lang w:val="en-US"/>
              </w:rPr>
            </w:pPr>
            <w:r w:rsidRPr="00D850CC">
              <w:rPr>
                <w:rFonts w:cstheme="minorHAnsi"/>
                <w:b/>
                <w:lang w:val="en-US"/>
              </w:rPr>
              <w:t>Other Related Document:</w:t>
            </w:r>
          </w:p>
        </w:tc>
        <w:tc>
          <w:tcPr>
            <w:tcW w:w="5989" w:type="dxa"/>
          </w:tcPr>
          <w:p w14:paraId="1CF196B3" w14:textId="77777777" w:rsidR="00465205" w:rsidRPr="00D850CC" w:rsidRDefault="00465205" w:rsidP="00FD4C05">
            <w:pPr>
              <w:rPr>
                <w:rFonts w:cstheme="minorHAnsi"/>
                <w:lang w:val="en-US"/>
              </w:rPr>
            </w:pPr>
            <w:proofErr w:type="spellStart"/>
            <w:r w:rsidRPr="00D850CC">
              <w:rPr>
                <w:rFonts w:cstheme="minorHAnsi"/>
                <w:lang w:val="en-US"/>
              </w:rPr>
              <w:t>ToEF</w:t>
            </w:r>
            <w:proofErr w:type="spellEnd"/>
            <w:r w:rsidRPr="00D850CC">
              <w:rPr>
                <w:rFonts w:cstheme="minorHAnsi"/>
                <w:lang w:val="en-US"/>
              </w:rPr>
              <w:t xml:space="preserve"> Residential Design Guidelines</w:t>
            </w:r>
            <w:r>
              <w:rPr>
                <w:rFonts w:cstheme="minorHAnsi"/>
                <w:lang w:val="en-US"/>
              </w:rPr>
              <w:t xml:space="preserve"> – Local Planning</w:t>
            </w:r>
            <w:r w:rsidRPr="00D850CC">
              <w:rPr>
                <w:rFonts w:cstheme="minorHAnsi"/>
                <w:lang w:val="en-US"/>
              </w:rPr>
              <w:t xml:space="preserve"> Policy</w:t>
            </w:r>
          </w:p>
        </w:tc>
      </w:tr>
    </w:tbl>
    <w:p w14:paraId="58283F60" w14:textId="77777777" w:rsidR="00465205" w:rsidRPr="00A307B7" w:rsidRDefault="00465205" w:rsidP="00465205">
      <w:pPr>
        <w:spacing w:before="240" w:after="0" w:line="240" w:lineRule="auto"/>
        <w:ind w:right="50"/>
        <w:jc w:val="both"/>
        <w:rPr>
          <w:rFonts w:cstheme="minorHAnsi"/>
          <w:b/>
          <w:spacing w:val="-1"/>
          <w:sz w:val="28"/>
          <w:szCs w:val="28"/>
        </w:rPr>
      </w:pPr>
      <w:r w:rsidRPr="00A307B7">
        <w:rPr>
          <w:rFonts w:cstheme="minorHAnsi"/>
          <w:b/>
          <w:spacing w:val="-1"/>
          <w:sz w:val="28"/>
          <w:szCs w:val="28"/>
        </w:rPr>
        <w:t>Objective</w:t>
      </w:r>
    </w:p>
    <w:p w14:paraId="1B143033" w14:textId="77777777" w:rsidR="00465205" w:rsidRPr="00D850CC" w:rsidRDefault="00465205" w:rsidP="00465205">
      <w:pPr>
        <w:tabs>
          <w:tab w:val="left" w:pos="7230"/>
        </w:tabs>
        <w:spacing w:after="60" w:line="240" w:lineRule="auto"/>
        <w:ind w:left="567" w:right="-34" w:hanging="567"/>
        <w:jc w:val="both"/>
        <w:rPr>
          <w:rFonts w:cstheme="minorHAnsi"/>
        </w:rPr>
      </w:pPr>
      <w:r w:rsidRPr="00D850CC">
        <w:rPr>
          <w:rFonts w:cstheme="minorHAnsi"/>
        </w:rPr>
        <w:t>(a)</w:t>
      </w:r>
      <w:r w:rsidRPr="00D850CC">
        <w:rPr>
          <w:rFonts w:cstheme="minorHAnsi"/>
        </w:rPr>
        <w:tab/>
        <w:t xml:space="preserve">To reinforce Council’s preference for quality wood buildings in the development of briefs for residential development within the Town. </w:t>
      </w:r>
    </w:p>
    <w:p w14:paraId="7089E4B3" w14:textId="77777777" w:rsidR="00465205" w:rsidRPr="00D850CC" w:rsidRDefault="00465205" w:rsidP="00465205">
      <w:pPr>
        <w:tabs>
          <w:tab w:val="left" w:pos="7230"/>
        </w:tabs>
        <w:spacing w:after="60" w:line="240" w:lineRule="auto"/>
        <w:ind w:left="567" w:right="-34" w:hanging="567"/>
        <w:jc w:val="both"/>
        <w:rPr>
          <w:rFonts w:cstheme="minorHAnsi"/>
        </w:rPr>
      </w:pPr>
      <w:r w:rsidRPr="00D850CC">
        <w:rPr>
          <w:rFonts w:cstheme="minorHAnsi"/>
        </w:rPr>
        <w:t>(b)</w:t>
      </w:r>
      <w:r w:rsidRPr="00D850CC">
        <w:rPr>
          <w:rFonts w:cstheme="minorHAnsi"/>
        </w:rPr>
        <w:tab/>
        <w:t>To encourage the design of residential development in a manner that promotes the use of wood within the built form.</w:t>
      </w:r>
    </w:p>
    <w:p w14:paraId="75178E80" w14:textId="77777777" w:rsidR="00465205" w:rsidRPr="00D850CC" w:rsidRDefault="00465205" w:rsidP="00465205">
      <w:pPr>
        <w:tabs>
          <w:tab w:val="left" w:pos="7230"/>
        </w:tabs>
        <w:spacing w:after="60" w:line="240" w:lineRule="auto"/>
        <w:ind w:left="567" w:right="-34" w:hanging="567"/>
        <w:jc w:val="both"/>
        <w:rPr>
          <w:rFonts w:cstheme="minorHAnsi"/>
        </w:rPr>
      </w:pPr>
      <w:r w:rsidRPr="00D850CC">
        <w:rPr>
          <w:rFonts w:cstheme="minorHAnsi"/>
        </w:rPr>
        <w:t>(c)</w:t>
      </w:r>
      <w:r w:rsidRPr="00D850CC">
        <w:rPr>
          <w:rFonts w:cstheme="minorHAnsi"/>
        </w:rPr>
        <w:tab/>
        <w:t xml:space="preserve">To recognise all of the benefits that make sustainably sourced wood a smart choice for residential buildings and </w:t>
      </w:r>
      <w:proofErr w:type="gramStart"/>
      <w:r w:rsidRPr="00D850CC">
        <w:rPr>
          <w:rFonts w:cstheme="minorHAnsi"/>
        </w:rPr>
        <w:t>infrastructure;</w:t>
      </w:r>
      <w:proofErr w:type="gramEnd"/>
      <w:r w:rsidRPr="00D850CC">
        <w:rPr>
          <w:rFonts w:cstheme="minorHAnsi"/>
        </w:rPr>
        <w:t xml:space="preserve"> </w:t>
      </w:r>
    </w:p>
    <w:p w14:paraId="23C2BEDC" w14:textId="77777777" w:rsidR="00465205" w:rsidRPr="00D850CC" w:rsidRDefault="00465205" w:rsidP="00465205">
      <w:pPr>
        <w:tabs>
          <w:tab w:val="left" w:pos="7230"/>
        </w:tabs>
        <w:spacing w:after="0" w:line="240" w:lineRule="auto"/>
        <w:ind w:left="567" w:right="-34" w:hanging="567"/>
        <w:jc w:val="both"/>
        <w:rPr>
          <w:rFonts w:cstheme="minorHAnsi"/>
        </w:rPr>
      </w:pPr>
      <w:r w:rsidRPr="00D850CC">
        <w:rPr>
          <w:rFonts w:cstheme="minorHAnsi"/>
        </w:rPr>
        <w:t>(d)</w:t>
      </w:r>
      <w:r w:rsidRPr="00D850CC">
        <w:rPr>
          <w:rFonts w:cstheme="minorHAnsi"/>
        </w:rPr>
        <w:tab/>
        <w:t>To encourage the use of sustainably sourced wood in the construction and fit out of any development/ redevelopment of a property within the Local Government area, where it is practical to do so.</w:t>
      </w:r>
    </w:p>
    <w:p w14:paraId="0120C93B" w14:textId="77777777" w:rsidR="00465205" w:rsidRPr="00D850CC" w:rsidRDefault="00465205" w:rsidP="00465205">
      <w:pPr>
        <w:tabs>
          <w:tab w:val="left" w:pos="7230"/>
        </w:tabs>
        <w:spacing w:before="200" w:after="0" w:line="240" w:lineRule="auto"/>
        <w:ind w:right="-34"/>
        <w:jc w:val="both"/>
        <w:rPr>
          <w:rFonts w:cstheme="minorHAnsi"/>
        </w:rPr>
      </w:pPr>
      <w:r w:rsidRPr="00D850CC">
        <w:rPr>
          <w:rFonts w:cstheme="minorHAnsi"/>
          <w:spacing w:val="-1"/>
        </w:rPr>
        <w:t xml:space="preserve">This Wood Encouragement Policy for the Council has been developed to clearly articulate how the Town of East Fremantle will encourage the use of </w:t>
      </w:r>
      <w:r w:rsidRPr="00D850CC">
        <w:rPr>
          <w:rFonts w:cstheme="minorHAnsi"/>
        </w:rPr>
        <w:t xml:space="preserve">sustainably sourced </w:t>
      </w:r>
      <w:r w:rsidRPr="00D850CC">
        <w:rPr>
          <w:rFonts w:cstheme="minorHAnsi"/>
          <w:spacing w:val="-1"/>
        </w:rPr>
        <w:t xml:space="preserve">wood in the construction/ </w:t>
      </w:r>
      <w:r w:rsidRPr="00D850CC">
        <w:rPr>
          <w:rFonts w:cstheme="minorHAnsi"/>
        </w:rPr>
        <w:t>development/ redevelopment of a dwelling within the Town of East Fremantle</w:t>
      </w:r>
      <w:r w:rsidRPr="00D850CC">
        <w:rPr>
          <w:rFonts w:cstheme="minorHAnsi"/>
          <w:spacing w:val="-1"/>
        </w:rPr>
        <w:t xml:space="preserve">. </w:t>
      </w:r>
      <w:r w:rsidRPr="00D850CC">
        <w:rPr>
          <w:rFonts w:cstheme="minorHAnsi"/>
        </w:rPr>
        <w:t xml:space="preserve"> </w:t>
      </w:r>
    </w:p>
    <w:p w14:paraId="61D47E99" w14:textId="77777777" w:rsidR="00465205" w:rsidRPr="00D850CC" w:rsidRDefault="00465205" w:rsidP="00465205">
      <w:pPr>
        <w:spacing w:before="200" w:after="0" w:line="240" w:lineRule="auto"/>
        <w:ind w:right="50"/>
        <w:jc w:val="both"/>
        <w:rPr>
          <w:rFonts w:cstheme="minorHAnsi"/>
          <w:spacing w:val="-1"/>
        </w:rPr>
      </w:pPr>
      <w:r w:rsidRPr="00D850CC">
        <w:rPr>
          <w:rFonts w:cstheme="minorHAnsi"/>
          <w:spacing w:val="-1"/>
        </w:rPr>
        <w:t>The vision is to develop a policy that is an environmental policy that encourages the sustainable use of wood within East Fremantle and is responsive to environmental issues such as climate change and environmental protection.</w:t>
      </w:r>
    </w:p>
    <w:p w14:paraId="3009AD31" w14:textId="77777777" w:rsidR="00465205" w:rsidRPr="00A307B7" w:rsidRDefault="00465205" w:rsidP="00465205">
      <w:pPr>
        <w:spacing w:before="200" w:after="0" w:line="240" w:lineRule="auto"/>
        <w:ind w:right="50"/>
        <w:jc w:val="both"/>
        <w:rPr>
          <w:rFonts w:cstheme="minorHAnsi"/>
          <w:b/>
          <w:spacing w:val="-1"/>
          <w:sz w:val="28"/>
          <w:szCs w:val="28"/>
        </w:rPr>
      </w:pPr>
      <w:r w:rsidRPr="00A307B7">
        <w:rPr>
          <w:rFonts w:cstheme="minorHAnsi"/>
          <w:b/>
          <w:spacing w:val="-1"/>
          <w:sz w:val="28"/>
          <w:szCs w:val="28"/>
        </w:rPr>
        <w:t>Policy Scope</w:t>
      </w:r>
    </w:p>
    <w:p w14:paraId="7E460E88" w14:textId="77777777" w:rsidR="00465205" w:rsidRPr="00D850CC" w:rsidRDefault="00465205" w:rsidP="00465205">
      <w:pPr>
        <w:spacing w:line="240" w:lineRule="auto"/>
        <w:ind w:right="51"/>
        <w:jc w:val="both"/>
        <w:rPr>
          <w:rFonts w:cstheme="minorHAnsi"/>
          <w:color w:val="231F20"/>
          <w:spacing w:val="-1"/>
        </w:rPr>
      </w:pPr>
      <w:r w:rsidRPr="00D850CC">
        <w:rPr>
          <w:rFonts w:cstheme="minorHAnsi"/>
          <w:color w:val="231F20"/>
          <w:spacing w:val="-1"/>
        </w:rPr>
        <w:t xml:space="preserve">The Policy relates to any </w:t>
      </w:r>
      <w:r w:rsidRPr="00D850CC">
        <w:rPr>
          <w:rFonts w:cstheme="minorHAnsi"/>
        </w:rPr>
        <w:t xml:space="preserve">sustainably sourced </w:t>
      </w:r>
      <w:r w:rsidRPr="00D850CC">
        <w:rPr>
          <w:rFonts w:cstheme="minorHAnsi"/>
          <w:color w:val="231F20"/>
          <w:spacing w:val="-1"/>
        </w:rPr>
        <w:t xml:space="preserve">wood, where feasible and practical, to be utilised as a building material in the construction and fit out of new dwellings and additions and alterations of existing dwellings in the Town. </w:t>
      </w:r>
    </w:p>
    <w:p w14:paraId="60A88086" w14:textId="77777777" w:rsidR="00465205" w:rsidRPr="00D850CC" w:rsidRDefault="00465205" w:rsidP="00465205">
      <w:pPr>
        <w:spacing w:line="240" w:lineRule="auto"/>
        <w:ind w:right="51"/>
        <w:jc w:val="both"/>
        <w:rPr>
          <w:rFonts w:cstheme="minorHAnsi"/>
          <w:color w:val="231F20"/>
          <w:spacing w:val="-1"/>
        </w:rPr>
      </w:pPr>
      <w:r w:rsidRPr="00D850CC">
        <w:rPr>
          <w:rFonts w:cstheme="minorHAnsi"/>
          <w:color w:val="231F20"/>
          <w:spacing w:val="-1"/>
        </w:rPr>
        <w:t xml:space="preserve">This Policy applies to any site where new dwellings or additions to an existing dwelling are proposed. </w:t>
      </w:r>
    </w:p>
    <w:p w14:paraId="3B577E1B" w14:textId="77777777" w:rsidR="00465205" w:rsidRPr="00A307B7" w:rsidRDefault="00465205" w:rsidP="00465205">
      <w:pPr>
        <w:spacing w:after="0" w:line="240" w:lineRule="auto"/>
        <w:ind w:right="51"/>
        <w:jc w:val="both"/>
        <w:rPr>
          <w:rFonts w:cstheme="minorHAnsi"/>
          <w:b/>
          <w:sz w:val="28"/>
          <w:szCs w:val="28"/>
          <w:lang w:val="en-US"/>
        </w:rPr>
      </w:pPr>
      <w:r w:rsidRPr="00A307B7">
        <w:rPr>
          <w:rFonts w:cstheme="minorHAnsi"/>
          <w:b/>
          <w:spacing w:val="-1"/>
          <w:sz w:val="28"/>
          <w:szCs w:val="28"/>
        </w:rPr>
        <w:t>Policy</w:t>
      </w:r>
    </w:p>
    <w:p w14:paraId="268D9B17" w14:textId="77777777" w:rsidR="00465205" w:rsidRPr="00D850CC" w:rsidRDefault="00465205" w:rsidP="00465205">
      <w:pPr>
        <w:spacing w:after="0" w:line="240" w:lineRule="auto"/>
        <w:ind w:right="45"/>
        <w:jc w:val="both"/>
        <w:rPr>
          <w:rFonts w:cstheme="minorHAnsi"/>
          <w:color w:val="231F20"/>
          <w:spacing w:val="-1"/>
        </w:rPr>
      </w:pPr>
      <w:r w:rsidRPr="00D850CC">
        <w:rPr>
          <w:rFonts w:cstheme="minorHAnsi"/>
          <w:color w:val="231F20"/>
          <w:spacing w:val="-1"/>
        </w:rPr>
        <w:t xml:space="preserve">Trees </w:t>
      </w:r>
      <w:r w:rsidRPr="00D850CC">
        <w:rPr>
          <w:rFonts w:cstheme="minorHAnsi"/>
          <w:spacing w:val="-1"/>
        </w:rPr>
        <w:t xml:space="preserve">provide environmental, </w:t>
      </w:r>
      <w:r w:rsidRPr="00D850CC">
        <w:rPr>
          <w:rFonts w:cstheme="minorHAnsi"/>
          <w:color w:val="231F20"/>
          <w:spacing w:val="-1"/>
        </w:rPr>
        <w:t xml:space="preserve">health and amenity benefits in relation to solar and privacy screening, microclimate, carbon absorption, bird and animal habitat, air quality and visual attractiveness. The use of </w:t>
      </w:r>
      <w:r w:rsidRPr="00D850CC">
        <w:rPr>
          <w:rFonts w:cstheme="minorHAnsi"/>
        </w:rPr>
        <w:t xml:space="preserve">sustainably sourced </w:t>
      </w:r>
      <w:r w:rsidRPr="00D850CC">
        <w:rPr>
          <w:rFonts w:cstheme="minorHAnsi"/>
          <w:color w:val="231F20"/>
          <w:spacing w:val="-1"/>
        </w:rPr>
        <w:t xml:space="preserve">wood as a construction material is also considered to have mutual environmental, health, ecological and sustainable benefits which provide economic and urban design benefits for the local community and State as a whole. </w:t>
      </w:r>
    </w:p>
    <w:p w14:paraId="21838D8F" w14:textId="77777777" w:rsidR="00465205" w:rsidRPr="00D850CC" w:rsidRDefault="00465205" w:rsidP="00465205">
      <w:pPr>
        <w:spacing w:before="200" w:line="240" w:lineRule="auto"/>
        <w:ind w:right="45"/>
        <w:jc w:val="both"/>
        <w:rPr>
          <w:rFonts w:cstheme="minorHAnsi"/>
          <w:color w:val="231F20"/>
          <w:spacing w:val="-1"/>
        </w:rPr>
      </w:pPr>
      <w:r w:rsidRPr="00D850CC">
        <w:rPr>
          <w:rFonts w:cstheme="minorHAnsi"/>
        </w:rPr>
        <w:t xml:space="preserve">Sustainably sourced </w:t>
      </w:r>
      <w:r w:rsidRPr="00D850CC">
        <w:rPr>
          <w:rFonts w:cstheme="minorHAnsi"/>
          <w:spacing w:val="-1"/>
        </w:rPr>
        <w:t xml:space="preserve">wood is the only major building material that helps tackle climate change. It is renewable and stores carbon for its life in use. In addition, wood </w:t>
      </w:r>
      <w:r w:rsidRPr="00D850CC">
        <w:rPr>
          <w:rFonts w:cstheme="minorHAnsi"/>
          <w:color w:val="231F20"/>
          <w:spacing w:val="-1"/>
        </w:rPr>
        <w:t xml:space="preserve">uses much less energy - known as embodied energy - than most other building materials, giving wood products a significantly lower carbon </w:t>
      </w:r>
      <w:r w:rsidRPr="00D850CC">
        <w:rPr>
          <w:rFonts w:cstheme="minorHAnsi"/>
          <w:color w:val="231F20"/>
          <w:spacing w:val="-1"/>
        </w:rPr>
        <w:lastRenderedPageBreak/>
        <w:t xml:space="preserve">footprint. As a </w:t>
      </w:r>
      <w:proofErr w:type="gramStart"/>
      <w:r w:rsidRPr="00D850CC">
        <w:rPr>
          <w:rFonts w:cstheme="minorHAnsi"/>
          <w:color w:val="231F20"/>
          <w:spacing w:val="-1"/>
        </w:rPr>
        <w:t>result</w:t>
      </w:r>
      <w:proofErr w:type="gramEnd"/>
      <w:r w:rsidRPr="00D850CC">
        <w:rPr>
          <w:rFonts w:cstheme="minorHAnsi"/>
          <w:color w:val="231F20"/>
          <w:spacing w:val="-1"/>
        </w:rPr>
        <w:t xml:space="preserve"> wood can be used as a low-emission substitute for materials that require larger amounts of fossil fuels to be produced.</w:t>
      </w:r>
    </w:p>
    <w:p w14:paraId="4EDA765F" w14:textId="77777777" w:rsidR="00465205" w:rsidRPr="00D850CC" w:rsidRDefault="00465205" w:rsidP="00465205">
      <w:pPr>
        <w:spacing w:after="60" w:line="240" w:lineRule="auto"/>
        <w:ind w:right="45"/>
        <w:jc w:val="both"/>
        <w:rPr>
          <w:rFonts w:cstheme="minorHAnsi"/>
          <w:color w:val="231F20"/>
          <w:spacing w:val="-1"/>
        </w:rPr>
      </w:pPr>
      <w:r w:rsidRPr="00D850CC">
        <w:rPr>
          <w:rFonts w:cstheme="minorHAnsi"/>
          <w:color w:val="231F20"/>
          <w:spacing w:val="-1"/>
        </w:rPr>
        <w:t>The Town of East Fremantle Policy: Residential Design Guidelines Section 3.7.9 Materials and Colours states:</w:t>
      </w:r>
    </w:p>
    <w:p w14:paraId="2DFC0908" w14:textId="77777777" w:rsidR="00465205" w:rsidRPr="00D850CC" w:rsidRDefault="00465205" w:rsidP="00465205">
      <w:pPr>
        <w:spacing w:after="0" w:line="240" w:lineRule="auto"/>
        <w:ind w:left="720" w:right="45"/>
        <w:jc w:val="both"/>
        <w:rPr>
          <w:rFonts w:cstheme="minorHAnsi"/>
          <w:i/>
          <w:color w:val="231F20"/>
          <w:spacing w:val="-1"/>
        </w:rPr>
      </w:pPr>
      <w:r w:rsidRPr="00D850CC">
        <w:rPr>
          <w:rFonts w:cstheme="minorHAnsi"/>
          <w:i/>
          <w:color w:val="231F20"/>
          <w:spacing w:val="-1"/>
        </w:rPr>
        <w:t xml:space="preserve">3.7.9.1 Statement </w:t>
      </w:r>
    </w:p>
    <w:p w14:paraId="38F34EAD" w14:textId="77777777" w:rsidR="00465205" w:rsidRPr="00D850CC" w:rsidRDefault="00465205" w:rsidP="00465205">
      <w:pPr>
        <w:spacing w:after="60" w:line="240" w:lineRule="auto"/>
        <w:ind w:left="720" w:right="45"/>
        <w:jc w:val="both"/>
        <w:rPr>
          <w:rFonts w:cstheme="minorHAnsi"/>
          <w:i/>
          <w:color w:val="231F20"/>
          <w:spacing w:val="-1"/>
        </w:rPr>
      </w:pPr>
      <w:r w:rsidRPr="00D850CC">
        <w:rPr>
          <w:rFonts w:cstheme="minorHAnsi"/>
          <w:i/>
          <w:color w:val="231F20"/>
          <w:spacing w:val="-1"/>
        </w:rPr>
        <w:t xml:space="preserve">Residences in the Policy Area are predominantly of timber, brick and limestone construction with corrugated iron and Marseille tiled roofs. </w:t>
      </w:r>
      <w:proofErr w:type="gramStart"/>
      <w:r w:rsidRPr="00D850CC">
        <w:rPr>
          <w:rFonts w:cstheme="minorHAnsi"/>
          <w:i/>
          <w:color w:val="231F20"/>
          <w:spacing w:val="-1"/>
        </w:rPr>
        <w:t>Face brick,</w:t>
      </w:r>
      <w:proofErr w:type="gramEnd"/>
      <w:r w:rsidRPr="00D850CC">
        <w:rPr>
          <w:rFonts w:cstheme="minorHAnsi"/>
          <w:i/>
          <w:color w:val="231F20"/>
          <w:spacing w:val="-1"/>
        </w:rPr>
        <w:t xml:space="preserve"> rendered brick and painted brick finishes are evident throughout the Policy Area. Some corrugated iron roofs have been replaced with </w:t>
      </w:r>
      <w:proofErr w:type="spellStart"/>
      <w:r w:rsidRPr="00D850CC">
        <w:rPr>
          <w:rFonts w:cstheme="minorHAnsi"/>
          <w:i/>
          <w:color w:val="231F20"/>
          <w:spacing w:val="-1"/>
        </w:rPr>
        <w:t>Colorbond</w:t>
      </w:r>
      <w:proofErr w:type="spellEnd"/>
      <w:r w:rsidRPr="00D850CC">
        <w:rPr>
          <w:rFonts w:cstheme="minorHAnsi"/>
          <w:i/>
          <w:color w:val="231F20"/>
          <w:spacing w:val="-1"/>
        </w:rPr>
        <w:t xml:space="preserve"> or </w:t>
      </w:r>
      <w:proofErr w:type="spellStart"/>
      <w:r w:rsidRPr="00D850CC">
        <w:rPr>
          <w:rFonts w:cstheme="minorHAnsi"/>
          <w:i/>
          <w:color w:val="231F20"/>
          <w:spacing w:val="-1"/>
        </w:rPr>
        <w:t>Zincalume</w:t>
      </w:r>
      <w:proofErr w:type="spellEnd"/>
      <w:r w:rsidRPr="00D850CC">
        <w:rPr>
          <w:rFonts w:cstheme="minorHAnsi"/>
          <w:i/>
          <w:color w:val="231F20"/>
          <w:spacing w:val="-1"/>
        </w:rPr>
        <w:t xml:space="preserve">. </w:t>
      </w:r>
    </w:p>
    <w:p w14:paraId="691E035C" w14:textId="77777777" w:rsidR="00465205" w:rsidRPr="00D850CC" w:rsidRDefault="00465205" w:rsidP="00465205">
      <w:pPr>
        <w:spacing w:after="60" w:line="240" w:lineRule="auto"/>
        <w:ind w:left="720" w:right="45"/>
        <w:jc w:val="both"/>
        <w:rPr>
          <w:rFonts w:cstheme="minorHAnsi"/>
          <w:i/>
          <w:color w:val="231F20"/>
          <w:spacing w:val="-1"/>
        </w:rPr>
      </w:pPr>
      <w:r w:rsidRPr="00D850CC">
        <w:rPr>
          <w:rFonts w:cstheme="minorHAnsi"/>
          <w:i/>
          <w:color w:val="231F20"/>
          <w:spacing w:val="-1"/>
        </w:rPr>
        <w:t xml:space="preserve">For a specific existing material palette for each Precinct refer to the Town of East Fremantle Precinct Survey. </w:t>
      </w:r>
    </w:p>
    <w:p w14:paraId="3F73C952" w14:textId="77777777" w:rsidR="00465205" w:rsidRPr="00D850CC" w:rsidRDefault="00465205" w:rsidP="00465205">
      <w:pPr>
        <w:spacing w:after="60" w:line="240" w:lineRule="auto"/>
        <w:ind w:left="720" w:right="45"/>
        <w:jc w:val="both"/>
        <w:rPr>
          <w:rFonts w:cstheme="minorHAnsi"/>
          <w:i/>
          <w:color w:val="231F20"/>
          <w:spacing w:val="-1"/>
        </w:rPr>
      </w:pPr>
      <w:r w:rsidRPr="00D850CC">
        <w:rPr>
          <w:rFonts w:cstheme="minorHAnsi"/>
          <w:i/>
          <w:color w:val="231F20"/>
          <w:spacing w:val="-1"/>
        </w:rPr>
        <w:t>External face brick or stone walls are defining elements or characteristics of a building and should not be coated, rendered or painted. Full authentic restoration of original colour schemes is not required in the Policy Area. Original cladding materials should not be removed. Where repairs or replacement are necessary, this should be undertaken using materials consistent with the existing fabric.</w:t>
      </w:r>
    </w:p>
    <w:p w14:paraId="57FF3404" w14:textId="77777777" w:rsidR="00465205" w:rsidRPr="00D850CC" w:rsidRDefault="00465205" w:rsidP="00465205">
      <w:pPr>
        <w:spacing w:after="0" w:line="240" w:lineRule="auto"/>
        <w:ind w:left="720" w:right="45"/>
        <w:jc w:val="both"/>
        <w:rPr>
          <w:rFonts w:cstheme="minorHAnsi"/>
          <w:i/>
          <w:color w:val="231F20"/>
          <w:spacing w:val="-1"/>
        </w:rPr>
      </w:pPr>
      <w:r w:rsidRPr="00D850CC">
        <w:rPr>
          <w:rFonts w:cstheme="minorHAnsi"/>
          <w:i/>
          <w:color w:val="231F20"/>
          <w:spacing w:val="-1"/>
        </w:rPr>
        <w:t xml:space="preserve">3.7.9.2 Desired Development Outcomes </w:t>
      </w:r>
    </w:p>
    <w:p w14:paraId="747B6680" w14:textId="77777777" w:rsidR="00465205" w:rsidRPr="00D850CC" w:rsidRDefault="00465205" w:rsidP="00465205">
      <w:pPr>
        <w:spacing w:after="60" w:line="240" w:lineRule="auto"/>
        <w:ind w:left="720" w:right="45"/>
        <w:jc w:val="both"/>
        <w:rPr>
          <w:rFonts w:cstheme="minorHAnsi"/>
          <w:i/>
          <w:color w:val="231F20"/>
          <w:spacing w:val="-1"/>
        </w:rPr>
      </w:pPr>
      <w:proofErr w:type="spellStart"/>
      <w:r w:rsidRPr="00D850CC">
        <w:rPr>
          <w:rFonts w:cstheme="minorHAnsi"/>
          <w:i/>
          <w:color w:val="231F20"/>
          <w:spacing w:val="-1"/>
        </w:rPr>
        <w:t>i</w:t>
      </w:r>
      <w:proofErr w:type="spellEnd"/>
      <w:r w:rsidRPr="00D850CC">
        <w:rPr>
          <w:rFonts w:cstheme="minorHAnsi"/>
          <w:i/>
          <w:color w:val="231F20"/>
          <w:spacing w:val="-1"/>
        </w:rPr>
        <w:t xml:space="preserve">. For existing contributory buildings, retain original materials where possible. Where materials require replacement, the policy of replacing ‘like for like’ should be </w:t>
      </w:r>
      <w:proofErr w:type="gramStart"/>
      <w:r w:rsidRPr="00D850CC">
        <w:rPr>
          <w:rFonts w:cstheme="minorHAnsi"/>
          <w:i/>
          <w:color w:val="231F20"/>
          <w:spacing w:val="-1"/>
        </w:rPr>
        <w:t>applied;</w:t>
      </w:r>
      <w:proofErr w:type="gramEnd"/>
    </w:p>
    <w:p w14:paraId="3D182FAA" w14:textId="77777777" w:rsidR="00465205" w:rsidRPr="00D850CC" w:rsidRDefault="00465205" w:rsidP="00465205">
      <w:pPr>
        <w:spacing w:after="60" w:line="240" w:lineRule="auto"/>
        <w:ind w:left="720" w:right="45"/>
        <w:jc w:val="both"/>
        <w:rPr>
          <w:rFonts w:cstheme="minorHAnsi"/>
          <w:i/>
          <w:color w:val="231F20"/>
          <w:spacing w:val="-1"/>
        </w:rPr>
      </w:pPr>
      <w:r w:rsidRPr="00D850CC">
        <w:rPr>
          <w:rFonts w:cstheme="minorHAnsi"/>
          <w:i/>
          <w:color w:val="231F20"/>
          <w:spacing w:val="-1"/>
        </w:rPr>
        <w:t xml:space="preserve">ii. External colour schemes to existing buildings should be appropriate to the architectural period and style of the building, based on historical evidence where </w:t>
      </w:r>
      <w:proofErr w:type="gramStart"/>
      <w:r w:rsidRPr="00D850CC">
        <w:rPr>
          <w:rFonts w:cstheme="minorHAnsi"/>
          <w:i/>
          <w:color w:val="231F20"/>
          <w:spacing w:val="-1"/>
        </w:rPr>
        <w:t>possible;</w:t>
      </w:r>
      <w:proofErr w:type="gramEnd"/>
      <w:r w:rsidRPr="00D850CC">
        <w:rPr>
          <w:rFonts w:cstheme="minorHAnsi"/>
          <w:i/>
          <w:color w:val="231F20"/>
          <w:spacing w:val="-1"/>
        </w:rPr>
        <w:t xml:space="preserve"> </w:t>
      </w:r>
    </w:p>
    <w:p w14:paraId="63E96DA3" w14:textId="77777777" w:rsidR="00465205" w:rsidRPr="00D850CC" w:rsidRDefault="00465205" w:rsidP="00465205">
      <w:pPr>
        <w:spacing w:after="60" w:line="240" w:lineRule="auto"/>
        <w:ind w:left="720" w:right="45"/>
        <w:jc w:val="both"/>
        <w:rPr>
          <w:rFonts w:cstheme="minorHAnsi"/>
          <w:i/>
          <w:color w:val="231F20"/>
          <w:spacing w:val="-1"/>
        </w:rPr>
      </w:pPr>
      <w:r w:rsidRPr="00D850CC">
        <w:rPr>
          <w:rFonts w:cstheme="minorHAnsi"/>
          <w:i/>
          <w:color w:val="231F20"/>
          <w:spacing w:val="-1"/>
        </w:rPr>
        <w:t xml:space="preserve">iii. New materials and colours that are compatible but distinguish the addition and alteration from the existing building are preferred; and, </w:t>
      </w:r>
    </w:p>
    <w:p w14:paraId="0D20011A" w14:textId="77777777" w:rsidR="00465205" w:rsidRPr="00D850CC" w:rsidRDefault="00465205" w:rsidP="00465205">
      <w:pPr>
        <w:spacing w:after="0" w:line="240" w:lineRule="auto"/>
        <w:ind w:left="720" w:right="45"/>
        <w:jc w:val="both"/>
        <w:rPr>
          <w:rFonts w:cstheme="minorHAnsi"/>
          <w:color w:val="231F20"/>
          <w:spacing w:val="-1"/>
        </w:rPr>
      </w:pPr>
      <w:r w:rsidRPr="00D850CC">
        <w:rPr>
          <w:rFonts w:cstheme="minorHAnsi"/>
          <w:i/>
          <w:color w:val="231F20"/>
          <w:spacing w:val="-1"/>
        </w:rPr>
        <w:t>iv. New materials should be easily distinguishable from existing materials without detracting from the character and heritage significance of the Precinct.</w:t>
      </w:r>
    </w:p>
    <w:p w14:paraId="1FD6F1BA" w14:textId="77777777" w:rsidR="00465205" w:rsidRPr="00D850CC" w:rsidRDefault="00465205" w:rsidP="00465205">
      <w:pPr>
        <w:spacing w:before="200" w:after="0" w:line="240" w:lineRule="auto"/>
        <w:ind w:right="45"/>
        <w:jc w:val="both"/>
        <w:rPr>
          <w:rFonts w:cstheme="minorHAnsi"/>
          <w:color w:val="231F20"/>
          <w:spacing w:val="-1"/>
        </w:rPr>
      </w:pPr>
      <w:r w:rsidRPr="00D850CC">
        <w:rPr>
          <w:rFonts w:cstheme="minorHAnsi"/>
          <w:color w:val="231F20"/>
          <w:spacing w:val="-1"/>
        </w:rPr>
        <w:t xml:space="preserve">This Policy further elaborates on the preferred use of construction materials within the Town, with a preference for wood products and finishes to be utilised where practical. This Wood Encouragement Policy does not in any way mandate the use of wood, only that wood </w:t>
      </w:r>
      <w:r w:rsidRPr="00D850CC">
        <w:rPr>
          <w:rFonts w:cstheme="minorHAnsi"/>
          <w:spacing w:val="-1"/>
        </w:rPr>
        <w:t xml:space="preserve">should </w:t>
      </w:r>
      <w:r w:rsidRPr="00D850CC">
        <w:rPr>
          <w:rFonts w:cstheme="minorHAnsi"/>
          <w:color w:val="231F20"/>
          <w:spacing w:val="-1"/>
        </w:rPr>
        <w:t xml:space="preserve">at least be considered as a preferred choice of material for construction and fit out in any development or redevelopment of a property. </w:t>
      </w:r>
    </w:p>
    <w:p w14:paraId="140437A7" w14:textId="77777777" w:rsidR="00465205" w:rsidRPr="00D850CC" w:rsidRDefault="00465205" w:rsidP="00465205">
      <w:pPr>
        <w:spacing w:before="200" w:after="0" w:line="240" w:lineRule="auto"/>
        <w:ind w:right="45"/>
        <w:jc w:val="both"/>
        <w:rPr>
          <w:rFonts w:cstheme="minorHAnsi"/>
          <w:color w:val="231F20"/>
          <w:spacing w:val="-1"/>
        </w:rPr>
      </w:pPr>
      <w:r w:rsidRPr="00D850CC">
        <w:rPr>
          <w:rFonts w:cstheme="minorHAnsi"/>
          <w:color w:val="231F20"/>
          <w:spacing w:val="-1"/>
        </w:rPr>
        <w:t xml:space="preserve">Council recognises the importance of forestry and the timber products industry to the broader West Australian region. Central to Council’s desire to be environmentally and ecologically sustainable is to enable wood to be utilised as a preferred material, where deemed appropriate. </w:t>
      </w:r>
    </w:p>
    <w:p w14:paraId="00D7B54C" w14:textId="77777777" w:rsidR="00465205" w:rsidRPr="00D850CC" w:rsidRDefault="00465205" w:rsidP="00465205">
      <w:pPr>
        <w:spacing w:before="200" w:after="60" w:line="240" w:lineRule="auto"/>
        <w:ind w:right="45"/>
        <w:jc w:val="both"/>
        <w:rPr>
          <w:rFonts w:cstheme="minorHAnsi"/>
          <w:color w:val="231F20"/>
          <w:spacing w:val="-1"/>
        </w:rPr>
      </w:pPr>
      <w:r w:rsidRPr="00D850CC">
        <w:rPr>
          <w:rFonts w:cstheme="minorHAnsi"/>
          <w:color w:val="231F20"/>
          <w:spacing w:val="-1"/>
        </w:rPr>
        <w:t>Council will encourage the increased utilisation of wood in any development/ redevelopment within the Local Government area by:</w:t>
      </w:r>
    </w:p>
    <w:p w14:paraId="6E52DDDA" w14:textId="77777777" w:rsidR="00465205" w:rsidRPr="00D850CC" w:rsidRDefault="00465205" w:rsidP="002A3889">
      <w:pPr>
        <w:pStyle w:val="ListParagraph"/>
        <w:numPr>
          <w:ilvl w:val="0"/>
          <w:numId w:val="306"/>
        </w:numPr>
        <w:spacing w:after="60" w:line="240" w:lineRule="auto"/>
        <w:ind w:left="426" w:right="45" w:hanging="426"/>
        <w:contextualSpacing w:val="0"/>
        <w:jc w:val="both"/>
        <w:rPr>
          <w:rFonts w:cstheme="minorHAnsi"/>
          <w:color w:val="231F20"/>
          <w:spacing w:val="-1"/>
        </w:rPr>
      </w:pPr>
      <w:r w:rsidRPr="00D850CC">
        <w:rPr>
          <w:rFonts w:cstheme="minorHAnsi"/>
          <w:color w:val="231F20"/>
          <w:spacing w:val="-1"/>
        </w:rPr>
        <w:t>Facilitating the wider use of wood as a construction and fit out material in the Local Government area in any development/ redevelopment</w:t>
      </w:r>
    </w:p>
    <w:p w14:paraId="7C15EBB4" w14:textId="77777777" w:rsidR="00465205" w:rsidRPr="00D850CC" w:rsidRDefault="00465205" w:rsidP="002A3889">
      <w:pPr>
        <w:pStyle w:val="ListParagraph"/>
        <w:numPr>
          <w:ilvl w:val="0"/>
          <w:numId w:val="306"/>
        </w:numPr>
        <w:spacing w:after="60" w:line="240" w:lineRule="auto"/>
        <w:ind w:left="426" w:right="45" w:hanging="426"/>
        <w:contextualSpacing w:val="0"/>
        <w:jc w:val="both"/>
        <w:rPr>
          <w:rFonts w:cstheme="minorHAnsi"/>
          <w:color w:val="231F20"/>
          <w:spacing w:val="-1"/>
        </w:rPr>
      </w:pPr>
      <w:r w:rsidRPr="00D850CC">
        <w:rPr>
          <w:rFonts w:cstheme="minorHAnsi"/>
          <w:color w:val="231F20"/>
          <w:spacing w:val="-1"/>
        </w:rPr>
        <w:t>Giving preference to the use of wood as a construction material, where deemed appropriate</w:t>
      </w:r>
    </w:p>
    <w:p w14:paraId="70005957" w14:textId="77777777" w:rsidR="00465205" w:rsidRPr="00D850CC" w:rsidRDefault="00465205" w:rsidP="002A3889">
      <w:pPr>
        <w:pStyle w:val="ListParagraph"/>
        <w:numPr>
          <w:ilvl w:val="0"/>
          <w:numId w:val="306"/>
        </w:numPr>
        <w:spacing w:after="60" w:line="240" w:lineRule="auto"/>
        <w:ind w:left="426" w:right="45" w:hanging="426"/>
        <w:contextualSpacing w:val="0"/>
        <w:jc w:val="both"/>
        <w:rPr>
          <w:rFonts w:cstheme="minorHAnsi"/>
          <w:color w:val="231F20"/>
          <w:spacing w:val="-1"/>
        </w:rPr>
      </w:pPr>
      <w:r w:rsidRPr="00D850CC">
        <w:rPr>
          <w:rFonts w:cstheme="minorHAnsi"/>
          <w:color w:val="231F20"/>
          <w:spacing w:val="-1"/>
        </w:rPr>
        <w:t>Where possible, promote the sourcing of locally (West Australian) produced wood products for construction and fit out purposes</w:t>
      </w:r>
    </w:p>
    <w:p w14:paraId="58704FAC" w14:textId="77777777" w:rsidR="00465205" w:rsidRPr="00D850CC" w:rsidRDefault="00465205" w:rsidP="002A3889">
      <w:pPr>
        <w:pStyle w:val="ListParagraph"/>
        <w:numPr>
          <w:ilvl w:val="0"/>
          <w:numId w:val="306"/>
        </w:numPr>
        <w:spacing w:after="0" w:line="240" w:lineRule="auto"/>
        <w:ind w:left="426" w:right="45" w:hanging="426"/>
        <w:jc w:val="both"/>
        <w:rPr>
          <w:rFonts w:cstheme="minorHAnsi"/>
          <w:spacing w:val="-1"/>
        </w:rPr>
      </w:pPr>
      <w:r w:rsidRPr="00D850CC">
        <w:rPr>
          <w:rFonts w:cstheme="minorHAnsi"/>
          <w:spacing w:val="-1"/>
        </w:rPr>
        <w:t>Encouraging designers/ architects/ engineers or similar professions to use new, innovative wood design, products and/ or materials to work with the existing built environment to enhance the urban fabric of the Local Government Area.</w:t>
      </w:r>
    </w:p>
    <w:p w14:paraId="67AD5711" w14:textId="77777777" w:rsidR="00465205" w:rsidRPr="00D850CC" w:rsidRDefault="00465205" w:rsidP="00465205">
      <w:pPr>
        <w:spacing w:before="200" w:after="60" w:line="240" w:lineRule="auto"/>
        <w:ind w:right="45"/>
        <w:jc w:val="both"/>
        <w:rPr>
          <w:rFonts w:cstheme="minorHAnsi"/>
          <w:color w:val="231F20"/>
          <w:spacing w:val="-1"/>
        </w:rPr>
      </w:pPr>
      <w:r w:rsidRPr="00D850CC">
        <w:rPr>
          <w:rFonts w:cstheme="minorHAnsi"/>
          <w:color w:val="231F20"/>
          <w:spacing w:val="-1"/>
        </w:rPr>
        <w:t>In facilitating the use of wood as a preferred construction material for new developments/ redevelopments within the Local Government Area, Council will have regard to:</w:t>
      </w:r>
    </w:p>
    <w:p w14:paraId="7FF2225B" w14:textId="77777777" w:rsidR="00465205" w:rsidRPr="00D850CC" w:rsidRDefault="00465205" w:rsidP="002A3889">
      <w:pPr>
        <w:pStyle w:val="ListParagraph"/>
        <w:numPr>
          <w:ilvl w:val="0"/>
          <w:numId w:val="307"/>
        </w:numPr>
        <w:tabs>
          <w:tab w:val="left" w:pos="426"/>
        </w:tabs>
        <w:spacing w:after="60" w:line="240" w:lineRule="auto"/>
        <w:ind w:left="426" w:right="45" w:hanging="426"/>
        <w:contextualSpacing w:val="0"/>
        <w:jc w:val="both"/>
        <w:rPr>
          <w:rFonts w:cstheme="minorHAnsi"/>
          <w:color w:val="231F20"/>
          <w:spacing w:val="-1"/>
        </w:rPr>
      </w:pPr>
      <w:r w:rsidRPr="00D850CC">
        <w:rPr>
          <w:rFonts w:cstheme="minorHAnsi"/>
          <w:color w:val="231F20"/>
          <w:spacing w:val="-1"/>
        </w:rPr>
        <w:lastRenderedPageBreak/>
        <w:t>The utilisation of wood products that meet the Australian Forest Standard, Program for the Endorsement of Forest Certification and/or Forest Stewardship Council certifications; maintenance required throughout the life of the project</w:t>
      </w:r>
    </w:p>
    <w:p w14:paraId="071CEE94" w14:textId="77777777" w:rsidR="00465205" w:rsidRPr="00D850CC" w:rsidRDefault="00465205" w:rsidP="002A3889">
      <w:pPr>
        <w:pStyle w:val="ListParagraph"/>
        <w:numPr>
          <w:ilvl w:val="0"/>
          <w:numId w:val="307"/>
        </w:numPr>
        <w:tabs>
          <w:tab w:val="left" w:pos="426"/>
        </w:tabs>
        <w:spacing w:after="60" w:line="240" w:lineRule="auto"/>
        <w:ind w:left="709" w:right="45" w:hanging="709"/>
        <w:contextualSpacing w:val="0"/>
        <w:jc w:val="both"/>
        <w:rPr>
          <w:rFonts w:cstheme="minorHAnsi"/>
          <w:spacing w:val="-1"/>
        </w:rPr>
      </w:pPr>
      <w:r w:rsidRPr="00D850CC">
        <w:rPr>
          <w:rFonts w:cstheme="minorHAnsi"/>
          <w:spacing w:val="-1"/>
        </w:rPr>
        <w:t>Maintenance required throughout the life of the project</w:t>
      </w:r>
    </w:p>
    <w:p w14:paraId="7BF95E6E" w14:textId="77777777" w:rsidR="00465205" w:rsidRPr="00D850CC" w:rsidRDefault="00465205" w:rsidP="002A3889">
      <w:pPr>
        <w:pStyle w:val="ListParagraph"/>
        <w:numPr>
          <w:ilvl w:val="0"/>
          <w:numId w:val="307"/>
        </w:numPr>
        <w:spacing w:after="60" w:line="240" w:lineRule="auto"/>
        <w:ind w:left="426" w:right="45" w:hanging="426"/>
        <w:contextualSpacing w:val="0"/>
        <w:jc w:val="both"/>
        <w:rPr>
          <w:rFonts w:cstheme="minorHAnsi"/>
          <w:color w:val="231F20"/>
          <w:spacing w:val="-1"/>
        </w:rPr>
      </w:pPr>
      <w:r w:rsidRPr="00D850CC">
        <w:rPr>
          <w:rFonts w:cstheme="minorHAnsi"/>
          <w:color w:val="231F20"/>
          <w:spacing w:val="-1"/>
        </w:rPr>
        <w:t>Pest and fungus protection</w:t>
      </w:r>
    </w:p>
    <w:p w14:paraId="28A8AAC8" w14:textId="77777777" w:rsidR="00465205" w:rsidRPr="00D850CC" w:rsidRDefault="00465205" w:rsidP="002A3889">
      <w:pPr>
        <w:pStyle w:val="ListParagraph"/>
        <w:numPr>
          <w:ilvl w:val="0"/>
          <w:numId w:val="307"/>
        </w:numPr>
        <w:spacing w:after="0" w:line="240" w:lineRule="auto"/>
        <w:ind w:left="426" w:right="45" w:hanging="426"/>
        <w:jc w:val="both"/>
        <w:rPr>
          <w:rFonts w:cstheme="minorHAnsi"/>
          <w:color w:val="231F20"/>
          <w:spacing w:val="-1"/>
        </w:rPr>
      </w:pPr>
      <w:r w:rsidRPr="00D850CC">
        <w:rPr>
          <w:rFonts w:cstheme="minorHAnsi"/>
          <w:color w:val="231F20"/>
          <w:spacing w:val="-1"/>
        </w:rPr>
        <w:t>Using wood only when it is the right material for the selected application</w:t>
      </w:r>
    </w:p>
    <w:p w14:paraId="69AC8834" w14:textId="77777777" w:rsidR="00465205" w:rsidRPr="00D850CC" w:rsidRDefault="00465205" w:rsidP="00465205">
      <w:pPr>
        <w:rPr>
          <w:rFonts w:cstheme="minorHAnsi"/>
          <w:color w:val="231F20"/>
          <w:spacing w:val="-1"/>
        </w:rPr>
      </w:pPr>
    </w:p>
    <w:tbl>
      <w:tblPr>
        <w:tblStyle w:val="TableGrid"/>
        <w:tblW w:w="0" w:type="auto"/>
        <w:tblLook w:val="04A0" w:firstRow="1" w:lastRow="0" w:firstColumn="1" w:lastColumn="0" w:noHBand="0" w:noVBand="1"/>
      </w:tblPr>
      <w:tblGrid>
        <w:gridCol w:w="3227"/>
        <w:gridCol w:w="5789"/>
      </w:tblGrid>
      <w:tr w:rsidR="00465205" w:rsidRPr="00D850CC" w14:paraId="7658F8D3" w14:textId="77777777" w:rsidTr="00FD4C05">
        <w:tc>
          <w:tcPr>
            <w:tcW w:w="3227" w:type="dxa"/>
          </w:tcPr>
          <w:p w14:paraId="1AF23305" w14:textId="77777777" w:rsidR="00465205" w:rsidRPr="00D850CC" w:rsidRDefault="00465205" w:rsidP="00FD4C05">
            <w:pPr>
              <w:jc w:val="both"/>
              <w:rPr>
                <w:rFonts w:cstheme="minorHAnsi"/>
                <w:b/>
                <w:lang w:val="en-US"/>
              </w:rPr>
            </w:pPr>
            <w:r w:rsidRPr="00D850CC">
              <w:rPr>
                <w:rFonts w:cstheme="minorHAnsi"/>
                <w:b/>
                <w:lang w:val="en-US"/>
              </w:rPr>
              <w:t>Responsible Directorate:</w:t>
            </w:r>
          </w:p>
        </w:tc>
        <w:tc>
          <w:tcPr>
            <w:tcW w:w="5789" w:type="dxa"/>
          </w:tcPr>
          <w:p w14:paraId="589C1185" w14:textId="77777777" w:rsidR="00465205" w:rsidRPr="00D850CC" w:rsidRDefault="00465205" w:rsidP="00FD4C05">
            <w:pPr>
              <w:jc w:val="both"/>
              <w:rPr>
                <w:rFonts w:cstheme="minorHAnsi"/>
                <w:lang w:val="en-US"/>
              </w:rPr>
            </w:pPr>
            <w:r>
              <w:rPr>
                <w:rFonts w:cstheme="minorHAnsi"/>
                <w:lang w:val="en-US"/>
              </w:rPr>
              <w:t>Regulatory Services</w:t>
            </w:r>
          </w:p>
        </w:tc>
      </w:tr>
      <w:tr w:rsidR="00465205" w:rsidRPr="00D850CC" w14:paraId="37077F30" w14:textId="77777777" w:rsidTr="00FD4C05">
        <w:tc>
          <w:tcPr>
            <w:tcW w:w="3227" w:type="dxa"/>
          </w:tcPr>
          <w:p w14:paraId="4E4EAADE" w14:textId="77777777" w:rsidR="00465205" w:rsidRPr="00D850CC" w:rsidRDefault="00465205" w:rsidP="00FD4C05">
            <w:pPr>
              <w:jc w:val="both"/>
              <w:rPr>
                <w:rFonts w:cstheme="minorHAnsi"/>
                <w:b/>
                <w:lang w:val="en-US"/>
              </w:rPr>
            </w:pPr>
            <w:r w:rsidRPr="00D850CC">
              <w:rPr>
                <w:rFonts w:cstheme="minorHAnsi"/>
                <w:b/>
                <w:lang w:val="en-US"/>
              </w:rPr>
              <w:t>Reviewing Officer:</w:t>
            </w:r>
          </w:p>
        </w:tc>
        <w:tc>
          <w:tcPr>
            <w:tcW w:w="5789" w:type="dxa"/>
          </w:tcPr>
          <w:p w14:paraId="3AFDD600" w14:textId="77777777" w:rsidR="00465205" w:rsidRPr="00D850CC" w:rsidRDefault="00465205" w:rsidP="00FD4C05">
            <w:pPr>
              <w:jc w:val="both"/>
              <w:rPr>
                <w:rFonts w:cstheme="minorHAnsi"/>
                <w:lang w:val="en-US"/>
              </w:rPr>
            </w:pPr>
            <w:r w:rsidRPr="00D850CC">
              <w:rPr>
                <w:rFonts w:cstheme="minorHAnsi"/>
                <w:lang w:val="en-US"/>
              </w:rPr>
              <w:t>Executive Manager Regulatory Services</w:t>
            </w:r>
          </w:p>
        </w:tc>
      </w:tr>
      <w:tr w:rsidR="00465205" w:rsidRPr="00D850CC" w14:paraId="55151817" w14:textId="77777777" w:rsidTr="00FD4C05">
        <w:tc>
          <w:tcPr>
            <w:tcW w:w="3227" w:type="dxa"/>
          </w:tcPr>
          <w:p w14:paraId="35A72F54" w14:textId="77777777" w:rsidR="00465205" w:rsidRPr="00D850CC" w:rsidRDefault="00465205" w:rsidP="00FD4C05">
            <w:pPr>
              <w:rPr>
                <w:rFonts w:cstheme="minorHAnsi"/>
                <w:b/>
                <w:lang w:val="en-US"/>
              </w:rPr>
            </w:pPr>
            <w:r w:rsidRPr="00D850CC">
              <w:rPr>
                <w:rFonts w:cstheme="minorHAnsi"/>
                <w:b/>
                <w:lang w:val="en-US"/>
              </w:rPr>
              <w:t>Decision making Authority:</w:t>
            </w:r>
          </w:p>
        </w:tc>
        <w:tc>
          <w:tcPr>
            <w:tcW w:w="5789" w:type="dxa"/>
          </w:tcPr>
          <w:p w14:paraId="69CF69A7" w14:textId="77777777" w:rsidR="00465205" w:rsidRPr="00D850CC" w:rsidRDefault="00465205" w:rsidP="00FD4C05">
            <w:pPr>
              <w:jc w:val="both"/>
              <w:rPr>
                <w:rFonts w:cstheme="minorHAnsi"/>
                <w:lang w:val="en-US"/>
              </w:rPr>
            </w:pPr>
            <w:r w:rsidRPr="00D850CC">
              <w:rPr>
                <w:rFonts w:cstheme="minorHAnsi"/>
                <w:lang w:val="en-US"/>
              </w:rPr>
              <w:t>Council</w:t>
            </w:r>
          </w:p>
        </w:tc>
      </w:tr>
      <w:tr w:rsidR="00465205" w:rsidRPr="00D850CC" w14:paraId="3FF7996D" w14:textId="77777777" w:rsidTr="00FD4C05">
        <w:tc>
          <w:tcPr>
            <w:tcW w:w="3227" w:type="dxa"/>
          </w:tcPr>
          <w:p w14:paraId="2549FDD4" w14:textId="77777777" w:rsidR="00465205" w:rsidRPr="00D850CC" w:rsidRDefault="00465205" w:rsidP="00FD4C05">
            <w:pPr>
              <w:jc w:val="both"/>
              <w:rPr>
                <w:rFonts w:cstheme="minorHAnsi"/>
                <w:b/>
                <w:lang w:val="en-US"/>
              </w:rPr>
            </w:pPr>
            <w:r w:rsidRPr="00D850CC">
              <w:rPr>
                <w:rFonts w:cstheme="minorHAnsi"/>
                <w:b/>
                <w:lang w:val="en-US"/>
              </w:rPr>
              <w:t>Policy Adopted:</w:t>
            </w:r>
          </w:p>
        </w:tc>
        <w:tc>
          <w:tcPr>
            <w:tcW w:w="5789" w:type="dxa"/>
          </w:tcPr>
          <w:p w14:paraId="229B6ED5" w14:textId="77777777" w:rsidR="00465205" w:rsidRPr="00D850CC" w:rsidRDefault="00465205" w:rsidP="00FD4C05">
            <w:pPr>
              <w:jc w:val="both"/>
              <w:rPr>
                <w:rFonts w:cstheme="minorHAnsi"/>
                <w:lang w:val="en-US"/>
              </w:rPr>
            </w:pPr>
            <w:r w:rsidRPr="00D850CC">
              <w:rPr>
                <w:rFonts w:cstheme="minorHAnsi"/>
                <w:lang w:val="en-US"/>
              </w:rPr>
              <w:t>12/12/17</w:t>
            </w:r>
          </w:p>
        </w:tc>
      </w:tr>
      <w:tr w:rsidR="00465205" w:rsidRPr="00D850CC" w14:paraId="3FFE583F" w14:textId="77777777" w:rsidTr="00FD4C05">
        <w:tc>
          <w:tcPr>
            <w:tcW w:w="3227" w:type="dxa"/>
          </w:tcPr>
          <w:p w14:paraId="18C5BF58" w14:textId="77777777" w:rsidR="00465205" w:rsidRPr="00D850CC" w:rsidRDefault="00465205" w:rsidP="00FD4C05">
            <w:pPr>
              <w:jc w:val="both"/>
              <w:rPr>
                <w:rFonts w:cstheme="minorHAnsi"/>
                <w:b/>
                <w:lang w:val="en-US"/>
              </w:rPr>
            </w:pPr>
            <w:r w:rsidRPr="00D850CC">
              <w:rPr>
                <w:rFonts w:cstheme="minorHAnsi"/>
                <w:b/>
                <w:lang w:val="en-US"/>
              </w:rPr>
              <w:t>Policy Amended/Reviewed:</w:t>
            </w:r>
          </w:p>
        </w:tc>
        <w:tc>
          <w:tcPr>
            <w:tcW w:w="5789" w:type="dxa"/>
          </w:tcPr>
          <w:p w14:paraId="754A5727" w14:textId="77777777" w:rsidR="00465205" w:rsidRPr="00D850CC" w:rsidRDefault="00465205" w:rsidP="00FD4C05">
            <w:pPr>
              <w:jc w:val="both"/>
              <w:rPr>
                <w:rFonts w:cstheme="minorHAnsi"/>
                <w:lang w:val="en-US"/>
              </w:rPr>
            </w:pPr>
            <w:r>
              <w:rPr>
                <w:rFonts w:cstheme="minorHAnsi"/>
                <w:lang w:val="en-US"/>
              </w:rPr>
              <w:t>15/10/19</w:t>
            </w:r>
          </w:p>
        </w:tc>
      </w:tr>
      <w:tr w:rsidR="00465205" w:rsidRPr="00D850CC" w14:paraId="2FF1B4F2" w14:textId="77777777" w:rsidTr="00FD4C05">
        <w:tc>
          <w:tcPr>
            <w:tcW w:w="3227" w:type="dxa"/>
          </w:tcPr>
          <w:p w14:paraId="1B8C4414" w14:textId="77777777" w:rsidR="00465205" w:rsidRPr="00D850CC" w:rsidRDefault="00465205" w:rsidP="00FD4C05">
            <w:pPr>
              <w:jc w:val="both"/>
              <w:rPr>
                <w:rFonts w:cstheme="minorHAnsi"/>
                <w:b/>
                <w:lang w:val="en-US"/>
              </w:rPr>
            </w:pPr>
            <w:r>
              <w:rPr>
                <w:rFonts w:cstheme="minorHAnsi"/>
                <w:b/>
                <w:lang w:val="en-US"/>
              </w:rPr>
              <w:t>Former Policy No</w:t>
            </w:r>
            <w:r w:rsidRPr="00D850CC">
              <w:rPr>
                <w:rFonts w:cstheme="minorHAnsi"/>
                <w:b/>
                <w:lang w:val="en-US"/>
              </w:rPr>
              <w:t>:</w:t>
            </w:r>
          </w:p>
        </w:tc>
        <w:tc>
          <w:tcPr>
            <w:tcW w:w="5789" w:type="dxa"/>
          </w:tcPr>
          <w:p w14:paraId="6F1C68E9" w14:textId="77777777" w:rsidR="00465205" w:rsidRPr="00D850CC" w:rsidRDefault="00465205" w:rsidP="00FD4C05">
            <w:pPr>
              <w:jc w:val="both"/>
              <w:rPr>
                <w:rFonts w:cstheme="minorHAnsi"/>
                <w:lang w:val="en-US"/>
              </w:rPr>
            </w:pPr>
            <w:r>
              <w:rPr>
                <w:rFonts w:cstheme="minorHAnsi"/>
                <w:lang w:val="en-US"/>
              </w:rPr>
              <w:t>3.1.8</w:t>
            </w:r>
          </w:p>
        </w:tc>
      </w:tr>
    </w:tbl>
    <w:p w14:paraId="66B77CF5" w14:textId="77777777" w:rsidR="00465205" w:rsidRPr="00D850CC" w:rsidRDefault="00465205" w:rsidP="00465205">
      <w:pPr>
        <w:jc w:val="both"/>
        <w:rPr>
          <w:rFonts w:cstheme="minorHAnsi"/>
          <w:lang w:val="en-US"/>
        </w:rPr>
      </w:pPr>
    </w:p>
    <w:p w14:paraId="2841A310" w14:textId="77777777" w:rsidR="00465205" w:rsidRPr="004A6683" w:rsidRDefault="00465205" w:rsidP="00465205">
      <w:pPr>
        <w:rPr>
          <w:rFonts w:cstheme="minorHAnsi"/>
          <w:lang w:val="en-US"/>
        </w:rPr>
      </w:pPr>
    </w:p>
    <w:p w14:paraId="79197167" w14:textId="77777777" w:rsidR="006D0967" w:rsidRDefault="006D0967">
      <w:pPr>
        <w:rPr>
          <w:rFonts w:cstheme="minorHAnsi"/>
          <w:lang w:val="en-US"/>
        </w:rPr>
      </w:pPr>
      <w:r>
        <w:rPr>
          <w:rFonts w:cstheme="minorHAnsi"/>
          <w:lang w:val="en-US"/>
        </w:rPr>
        <w:br w:type="page"/>
      </w:r>
    </w:p>
    <w:p w14:paraId="60207F64" w14:textId="1FD6A61D" w:rsidR="00465205" w:rsidRPr="002B310E" w:rsidRDefault="00837116" w:rsidP="00465205">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56192" behindDoc="1" locked="0" layoutInCell="1" allowOverlap="1" wp14:anchorId="32F17148" wp14:editId="5D66068A">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59C40CA6" w14:textId="77777777" w:rsidR="00465205" w:rsidRPr="00C21933" w:rsidRDefault="00465205" w:rsidP="00465205">
      <w:pPr>
        <w:pStyle w:val="Title"/>
        <w:pBdr>
          <w:bottom w:val="none" w:sz="0" w:space="0" w:color="auto"/>
        </w:pBdr>
        <w:spacing w:before="240" w:after="240"/>
        <w:ind w:left="1134" w:hanging="1134"/>
        <w:rPr>
          <w:rFonts w:asciiTheme="minorHAnsi" w:hAnsiTheme="minorHAnsi" w:cstheme="minorHAnsi"/>
          <w:b/>
          <w:color w:val="365F91" w:themeColor="accent1" w:themeShade="BF"/>
          <w:sz w:val="2"/>
          <w:szCs w:val="28"/>
          <w:lang w:val="en-US"/>
        </w:rPr>
      </w:pPr>
    </w:p>
    <w:p w14:paraId="4E078FB5" w14:textId="77777777" w:rsidR="00837116" w:rsidRDefault="00837116" w:rsidP="00837116">
      <w:pPr>
        <w:pStyle w:val="Policy3"/>
      </w:pPr>
    </w:p>
    <w:p w14:paraId="726BE604" w14:textId="77777777" w:rsidR="00837116" w:rsidRDefault="00837116" w:rsidP="00837116">
      <w:pPr>
        <w:pStyle w:val="Policy3"/>
      </w:pPr>
    </w:p>
    <w:p w14:paraId="0B38A1E4" w14:textId="77777777" w:rsidR="00837116" w:rsidRDefault="00837116" w:rsidP="00837116">
      <w:pPr>
        <w:pStyle w:val="Policy3"/>
      </w:pPr>
    </w:p>
    <w:p w14:paraId="512616AB" w14:textId="306419A5" w:rsidR="00465205" w:rsidRPr="00486AE5" w:rsidRDefault="00465205" w:rsidP="00837116">
      <w:pPr>
        <w:pStyle w:val="Policy3"/>
      </w:pPr>
      <w:bookmarkStart w:id="568" w:name="_Toc216866722"/>
      <w:r w:rsidRPr="00486AE5">
        <w:t>3.1.9</w:t>
      </w:r>
      <w:r w:rsidRPr="00486AE5">
        <w:tab/>
        <w:t>Percent for Public Art – Local Planning Policy</w:t>
      </w:r>
      <w:bookmarkEnd w:id="568"/>
    </w:p>
    <w:tbl>
      <w:tblPr>
        <w:tblStyle w:val="TableGrid"/>
        <w:tblW w:w="0" w:type="auto"/>
        <w:tblLook w:val="04A0" w:firstRow="1" w:lastRow="0" w:firstColumn="1" w:lastColumn="0" w:noHBand="0" w:noVBand="1"/>
      </w:tblPr>
      <w:tblGrid>
        <w:gridCol w:w="3023"/>
        <w:gridCol w:w="5993"/>
      </w:tblGrid>
      <w:tr w:rsidR="00465205" w:rsidRPr="00C21933" w14:paraId="40CDC3BE" w14:textId="77777777" w:rsidTr="00FD4C05">
        <w:tc>
          <w:tcPr>
            <w:tcW w:w="3023" w:type="dxa"/>
          </w:tcPr>
          <w:p w14:paraId="3D407A35" w14:textId="77777777" w:rsidR="00465205" w:rsidRPr="00C21933" w:rsidRDefault="00465205" w:rsidP="00FD4C05">
            <w:pPr>
              <w:rPr>
                <w:rFonts w:cstheme="minorHAnsi"/>
                <w:b/>
                <w:lang w:val="en-US"/>
              </w:rPr>
            </w:pPr>
            <w:r w:rsidRPr="00C21933">
              <w:rPr>
                <w:rFonts w:cstheme="minorHAnsi"/>
                <w:b/>
                <w:lang w:val="en-US"/>
              </w:rPr>
              <w:t>Type:</w:t>
            </w:r>
          </w:p>
        </w:tc>
        <w:tc>
          <w:tcPr>
            <w:tcW w:w="5993" w:type="dxa"/>
          </w:tcPr>
          <w:p w14:paraId="6D9D2628" w14:textId="77777777" w:rsidR="00465205" w:rsidRPr="00C21933" w:rsidRDefault="00465205" w:rsidP="00FD4C05">
            <w:pPr>
              <w:rPr>
                <w:rFonts w:cstheme="minorHAnsi"/>
                <w:lang w:val="en-US"/>
              </w:rPr>
            </w:pPr>
            <w:r>
              <w:rPr>
                <w:rFonts w:cstheme="minorHAnsi"/>
                <w:lang w:val="en-US"/>
              </w:rPr>
              <w:t>Regulatory Services - Planning</w:t>
            </w:r>
          </w:p>
        </w:tc>
      </w:tr>
      <w:tr w:rsidR="00465205" w:rsidRPr="00C21933" w14:paraId="531F741B" w14:textId="77777777" w:rsidTr="00FD4C05">
        <w:tc>
          <w:tcPr>
            <w:tcW w:w="3023" w:type="dxa"/>
          </w:tcPr>
          <w:p w14:paraId="30DB2990" w14:textId="77777777" w:rsidR="00465205" w:rsidRPr="00C21933" w:rsidRDefault="00465205" w:rsidP="00FD4C05">
            <w:pPr>
              <w:rPr>
                <w:rFonts w:cstheme="minorHAnsi"/>
                <w:b/>
                <w:lang w:val="en-US"/>
              </w:rPr>
            </w:pPr>
            <w:r w:rsidRPr="00C21933">
              <w:rPr>
                <w:rFonts w:cstheme="minorHAnsi"/>
                <w:b/>
                <w:lang w:val="en-US"/>
              </w:rPr>
              <w:t>Legislation:</w:t>
            </w:r>
          </w:p>
        </w:tc>
        <w:tc>
          <w:tcPr>
            <w:tcW w:w="5993" w:type="dxa"/>
          </w:tcPr>
          <w:p w14:paraId="62D65579" w14:textId="77777777" w:rsidR="00465205" w:rsidRDefault="00465205" w:rsidP="00FD4C05">
            <w:pPr>
              <w:rPr>
                <w:rFonts w:cstheme="minorHAnsi"/>
                <w:lang w:val="en-US"/>
              </w:rPr>
            </w:pPr>
            <w:r>
              <w:rPr>
                <w:rFonts w:cstheme="minorHAnsi"/>
                <w:lang w:val="en-US"/>
              </w:rPr>
              <w:t>Planning and Development Act 2005</w:t>
            </w:r>
          </w:p>
          <w:p w14:paraId="5399ECD4" w14:textId="77777777" w:rsidR="00465205" w:rsidRPr="00C21933" w:rsidRDefault="00465205" w:rsidP="00FD4C05">
            <w:pPr>
              <w:rPr>
                <w:rFonts w:cstheme="minorHAnsi"/>
                <w:lang w:val="en-US"/>
              </w:rPr>
            </w:pPr>
            <w:r>
              <w:rPr>
                <w:rFonts w:cstheme="minorHAnsi"/>
                <w:lang w:val="en-US"/>
              </w:rPr>
              <w:t>Planning and Development (Local Planning Schemes) Regulations 2015</w:t>
            </w:r>
          </w:p>
        </w:tc>
      </w:tr>
      <w:tr w:rsidR="00465205" w:rsidRPr="00C21933" w14:paraId="72BBAE5B" w14:textId="77777777" w:rsidTr="00FD4C05">
        <w:tc>
          <w:tcPr>
            <w:tcW w:w="3023" w:type="dxa"/>
          </w:tcPr>
          <w:p w14:paraId="78B609A5" w14:textId="77777777" w:rsidR="00465205" w:rsidRPr="00C21933" w:rsidRDefault="00465205" w:rsidP="00FD4C05">
            <w:pPr>
              <w:rPr>
                <w:rFonts w:cstheme="minorHAnsi"/>
                <w:b/>
                <w:lang w:val="en-US"/>
              </w:rPr>
            </w:pPr>
            <w:r w:rsidRPr="00C21933">
              <w:rPr>
                <w:rFonts w:cstheme="minorHAnsi"/>
                <w:b/>
                <w:lang w:val="en-US"/>
              </w:rPr>
              <w:t>Procedure:</w:t>
            </w:r>
          </w:p>
        </w:tc>
        <w:tc>
          <w:tcPr>
            <w:tcW w:w="5993" w:type="dxa"/>
          </w:tcPr>
          <w:p w14:paraId="7A9CF6F9" w14:textId="77777777" w:rsidR="00465205" w:rsidRPr="00C21933" w:rsidRDefault="00465205" w:rsidP="00FD4C05">
            <w:pPr>
              <w:rPr>
                <w:rFonts w:cstheme="minorHAnsi"/>
                <w:lang w:val="en-US"/>
              </w:rPr>
            </w:pPr>
            <w:r w:rsidRPr="00C21933">
              <w:rPr>
                <w:rFonts w:cstheme="minorHAnsi"/>
                <w:lang w:val="en-US"/>
              </w:rPr>
              <w:t>N/A</w:t>
            </w:r>
          </w:p>
        </w:tc>
      </w:tr>
      <w:tr w:rsidR="00465205" w:rsidRPr="00C21933" w14:paraId="76AEB5D9" w14:textId="77777777" w:rsidTr="00FD4C05">
        <w:tc>
          <w:tcPr>
            <w:tcW w:w="3023" w:type="dxa"/>
          </w:tcPr>
          <w:p w14:paraId="251CDBA9" w14:textId="77777777" w:rsidR="00465205" w:rsidRPr="00C21933" w:rsidRDefault="00465205" w:rsidP="00FD4C05">
            <w:pPr>
              <w:rPr>
                <w:rFonts w:cstheme="minorHAnsi"/>
                <w:b/>
                <w:lang w:val="en-US"/>
              </w:rPr>
            </w:pPr>
            <w:r w:rsidRPr="00C21933">
              <w:rPr>
                <w:rFonts w:cstheme="minorHAnsi"/>
                <w:b/>
                <w:lang w:val="en-US"/>
              </w:rPr>
              <w:t>Delegation:</w:t>
            </w:r>
          </w:p>
        </w:tc>
        <w:tc>
          <w:tcPr>
            <w:tcW w:w="5993" w:type="dxa"/>
          </w:tcPr>
          <w:p w14:paraId="5F23ACF2" w14:textId="77777777" w:rsidR="00465205" w:rsidRPr="00C21933" w:rsidRDefault="00465205" w:rsidP="00FD4C05">
            <w:pPr>
              <w:rPr>
                <w:rFonts w:cstheme="minorHAnsi"/>
                <w:lang w:val="en-US"/>
              </w:rPr>
            </w:pPr>
            <w:r w:rsidRPr="00C21933">
              <w:rPr>
                <w:rFonts w:cstheme="minorHAnsi"/>
                <w:lang w:val="en-US"/>
              </w:rPr>
              <w:t>N/A</w:t>
            </w:r>
          </w:p>
        </w:tc>
      </w:tr>
      <w:tr w:rsidR="00465205" w:rsidRPr="00C21933" w14:paraId="2A946048" w14:textId="77777777" w:rsidTr="00FD4C05">
        <w:tc>
          <w:tcPr>
            <w:tcW w:w="3023" w:type="dxa"/>
          </w:tcPr>
          <w:p w14:paraId="2783424A" w14:textId="77777777" w:rsidR="00465205" w:rsidRPr="00C21933" w:rsidRDefault="00465205" w:rsidP="00FD4C05">
            <w:pPr>
              <w:rPr>
                <w:rFonts w:cstheme="minorHAnsi"/>
                <w:b/>
                <w:lang w:val="en-US"/>
              </w:rPr>
            </w:pPr>
            <w:r w:rsidRPr="00C21933">
              <w:rPr>
                <w:rFonts w:cstheme="minorHAnsi"/>
                <w:b/>
                <w:lang w:val="en-US"/>
              </w:rPr>
              <w:t>Other Related Document:</w:t>
            </w:r>
          </w:p>
        </w:tc>
        <w:tc>
          <w:tcPr>
            <w:tcW w:w="5993" w:type="dxa"/>
          </w:tcPr>
          <w:p w14:paraId="7192DF7B" w14:textId="77777777" w:rsidR="00465205" w:rsidRPr="00C21933" w:rsidRDefault="00465205" w:rsidP="00FD4C05">
            <w:pPr>
              <w:rPr>
                <w:rFonts w:cstheme="minorHAnsi"/>
                <w:lang w:val="en-US"/>
              </w:rPr>
            </w:pPr>
            <w:r w:rsidRPr="00C21933">
              <w:rPr>
                <w:rFonts w:cstheme="minorHAnsi"/>
                <w:lang w:val="en-US"/>
              </w:rPr>
              <w:t>Public Art Strategy; Public Art Panel 4.1.</w:t>
            </w:r>
            <w:r>
              <w:rPr>
                <w:rFonts w:cstheme="minorHAnsi"/>
                <w:lang w:val="en-US"/>
              </w:rPr>
              <w:t>2</w:t>
            </w:r>
            <w:r w:rsidRPr="00C21933">
              <w:rPr>
                <w:rFonts w:cstheme="minorHAnsi"/>
                <w:lang w:val="en-US"/>
              </w:rPr>
              <w:t>; Public Art Policy 4.</w:t>
            </w:r>
            <w:r>
              <w:rPr>
                <w:rFonts w:cstheme="minorHAnsi"/>
                <w:lang w:val="en-US"/>
              </w:rPr>
              <w:t>1.3</w:t>
            </w:r>
          </w:p>
        </w:tc>
      </w:tr>
    </w:tbl>
    <w:p w14:paraId="193E6188" w14:textId="77777777" w:rsidR="00465205" w:rsidRPr="006D0967" w:rsidRDefault="00465205" w:rsidP="00465205">
      <w:pPr>
        <w:spacing w:before="240" w:after="0"/>
        <w:rPr>
          <w:b/>
          <w:sz w:val="28"/>
          <w:szCs w:val="28"/>
          <w:lang w:val="en-US"/>
        </w:rPr>
      </w:pPr>
      <w:r w:rsidRPr="006D0967">
        <w:rPr>
          <w:b/>
          <w:sz w:val="28"/>
          <w:szCs w:val="28"/>
          <w:lang w:val="en-US"/>
        </w:rPr>
        <w:t>Objective</w:t>
      </w:r>
    </w:p>
    <w:p w14:paraId="09305ACD" w14:textId="77777777" w:rsidR="00465205" w:rsidRPr="00C21933" w:rsidRDefault="00465205" w:rsidP="00465205">
      <w:pPr>
        <w:spacing w:after="60"/>
        <w:jc w:val="both"/>
        <w:rPr>
          <w:rFonts w:cstheme="minorHAnsi"/>
          <w:szCs w:val="24"/>
        </w:rPr>
      </w:pPr>
      <w:r w:rsidRPr="00C21933">
        <w:rPr>
          <w:rFonts w:cstheme="minorHAnsi"/>
          <w:szCs w:val="24"/>
        </w:rPr>
        <w:t>The objectives of the Percent for Public Art Policy are:</w:t>
      </w:r>
    </w:p>
    <w:p w14:paraId="1F182D63" w14:textId="77777777" w:rsidR="00465205" w:rsidRPr="00C21933" w:rsidRDefault="00465205" w:rsidP="002A3889">
      <w:pPr>
        <w:numPr>
          <w:ilvl w:val="0"/>
          <w:numId w:val="308"/>
        </w:numPr>
        <w:tabs>
          <w:tab w:val="clear" w:pos="720"/>
          <w:tab w:val="num" w:pos="426"/>
        </w:tabs>
        <w:spacing w:after="60" w:line="240" w:lineRule="auto"/>
        <w:ind w:left="425" w:hanging="425"/>
        <w:jc w:val="both"/>
        <w:rPr>
          <w:rFonts w:cstheme="minorHAnsi"/>
          <w:szCs w:val="24"/>
          <w:lang w:val="en-GB"/>
        </w:rPr>
      </w:pPr>
      <w:r w:rsidRPr="00C21933">
        <w:rPr>
          <w:rFonts w:cstheme="minorHAnsi"/>
          <w:szCs w:val="24"/>
          <w:lang w:val="en-GB"/>
        </w:rPr>
        <w:t xml:space="preserve">to contribute to a sense of </w:t>
      </w:r>
      <w:proofErr w:type="gramStart"/>
      <w:r w:rsidRPr="00C21933">
        <w:rPr>
          <w:rFonts w:cstheme="minorHAnsi"/>
          <w:szCs w:val="24"/>
          <w:lang w:val="en-GB"/>
        </w:rPr>
        <w:t>place;</w:t>
      </w:r>
      <w:proofErr w:type="gramEnd"/>
    </w:p>
    <w:p w14:paraId="7D91EA4E" w14:textId="77777777" w:rsidR="00465205" w:rsidRPr="00C21933" w:rsidRDefault="00465205" w:rsidP="002A3889">
      <w:pPr>
        <w:numPr>
          <w:ilvl w:val="0"/>
          <w:numId w:val="308"/>
        </w:numPr>
        <w:tabs>
          <w:tab w:val="clear" w:pos="720"/>
          <w:tab w:val="num" w:pos="426"/>
        </w:tabs>
        <w:spacing w:after="60" w:line="240" w:lineRule="auto"/>
        <w:ind w:left="425" w:hanging="425"/>
        <w:jc w:val="both"/>
        <w:rPr>
          <w:rFonts w:cstheme="minorHAnsi"/>
          <w:szCs w:val="24"/>
          <w:lang w:val="en-GB"/>
        </w:rPr>
      </w:pPr>
      <w:r w:rsidRPr="00C21933">
        <w:rPr>
          <w:rFonts w:cstheme="minorHAnsi"/>
          <w:szCs w:val="24"/>
          <w:lang w:val="en-GB"/>
        </w:rPr>
        <w:t xml:space="preserve">to enhance public enjoyment and understanding of </w:t>
      </w:r>
      <w:proofErr w:type="gramStart"/>
      <w:r w:rsidRPr="00C21933">
        <w:rPr>
          <w:rFonts w:cstheme="minorHAnsi"/>
          <w:szCs w:val="24"/>
          <w:lang w:val="en-GB"/>
        </w:rPr>
        <w:t>places;</w:t>
      </w:r>
      <w:proofErr w:type="gramEnd"/>
    </w:p>
    <w:p w14:paraId="61D6AD24" w14:textId="77777777" w:rsidR="00465205" w:rsidRPr="00C21933" w:rsidRDefault="00465205" w:rsidP="002A3889">
      <w:pPr>
        <w:numPr>
          <w:ilvl w:val="0"/>
          <w:numId w:val="308"/>
        </w:numPr>
        <w:tabs>
          <w:tab w:val="clear" w:pos="720"/>
          <w:tab w:val="num" w:pos="426"/>
        </w:tabs>
        <w:spacing w:after="60" w:line="240" w:lineRule="auto"/>
        <w:ind w:left="425" w:hanging="425"/>
        <w:jc w:val="both"/>
        <w:rPr>
          <w:rFonts w:cstheme="minorHAnsi"/>
          <w:szCs w:val="24"/>
        </w:rPr>
      </w:pPr>
      <w:r w:rsidRPr="00C21933">
        <w:rPr>
          <w:rFonts w:cstheme="minorHAnsi"/>
          <w:szCs w:val="24"/>
          <w:lang w:val="en-GB"/>
        </w:rPr>
        <w:t xml:space="preserve">to create local </w:t>
      </w:r>
      <w:proofErr w:type="gramStart"/>
      <w:r w:rsidRPr="00C21933">
        <w:rPr>
          <w:rFonts w:cstheme="minorHAnsi"/>
          <w:szCs w:val="24"/>
          <w:lang w:val="en-GB"/>
        </w:rPr>
        <w:t>landmarks</w:t>
      </w:r>
      <w:r w:rsidRPr="00C21933">
        <w:rPr>
          <w:rFonts w:cstheme="minorHAnsi"/>
          <w:szCs w:val="24"/>
        </w:rPr>
        <w:t>;</w:t>
      </w:r>
      <w:proofErr w:type="gramEnd"/>
      <w:r w:rsidRPr="00C21933">
        <w:rPr>
          <w:rFonts w:cstheme="minorHAnsi"/>
          <w:szCs w:val="24"/>
        </w:rPr>
        <w:t xml:space="preserve"> </w:t>
      </w:r>
    </w:p>
    <w:p w14:paraId="03BD3332" w14:textId="77777777" w:rsidR="00465205" w:rsidRPr="00C21933" w:rsidRDefault="00465205" w:rsidP="002A3889">
      <w:pPr>
        <w:numPr>
          <w:ilvl w:val="0"/>
          <w:numId w:val="308"/>
        </w:numPr>
        <w:tabs>
          <w:tab w:val="clear" w:pos="720"/>
          <w:tab w:val="num" w:pos="426"/>
        </w:tabs>
        <w:spacing w:after="60" w:line="240" w:lineRule="auto"/>
        <w:ind w:left="425" w:hanging="425"/>
        <w:jc w:val="both"/>
        <w:rPr>
          <w:rFonts w:cstheme="minorHAnsi"/>
          <w:szCs w:val="24"/>
        </w:rPr>
      </w:pPr>
      <w:r w:rsidRPr="00C21933">
        <w:rPr>
          <w:rFonts w:cstheme="minorHAnsi"/>
          <w:szCs w:val="24"/>
        </w:rPr>
        <w:t>to make streets, open spaces, and buildings more distinctive; and</w:t>
      </w:r>
    </w:p>
    <w:p w14:paraId="0C61B4F9" w14:textId="77777777" w:rsidR="00465205" w:rsidRPr="00C21933" w:rsidRDefault="00465205" w:rsidP="002A3889">
      <w:pPr>
        <w:numPr>
          <w:ilvl w:val="0"/>
          <w:numId w:val="308"/>
        </w:numPr>
        <w:tabs>
          <w:tab w:val="clear" w:pos="720"/>
          <w:tab w:val="num" w:pos="426"/>
        </w:tabs>
        <w:spacing w:after="0" w:line="240" w:lineRule="auto"/>
        <w:ind w:left="426" w:hanging="426"/>
        <w:jc w:val="both"/>
        <w:rPr>
          <w:rFonts w:cstheme="minorHAnsi"/>
          <w:szCs w:val="24"/>
        </w:rPr>
      </w:pPr>
      <w:r w:rsidRPr="00C21933">
        <w:rPr>
          <w:rFonts w:cstheme="minorHAnsi"/>
        </w:rPr>
        <w:t xml:space="preserve">to develop public art that </w:t>
      </w:r>
      <w:r w:rsidRPr="00C21933">
        <w:rPr>
          <w:rFonts w:cstheme="minorHAnsi"/>
          <w:lang w:val="en-GB"/>
        </w:rPr>
        <w:t xml:space="preserve">captures the spirit of </w:t>
      </w:r>
      <w:r w:rsidRPr="00C21933">
        <w:rPr>
          <w:rFonts w:cstheme="minorHAnsi"/>
        </w:rPr>
        <w:t xml:space="preserve">East Fremantle, is responsive to East Fremantle’s distinct domains </w:t>
      </w:r>
      <w:r w:rsidRPr="00C21933">
        <w:rPr>
          <w:rFonts w:cstheme="minorHAnsi"/>
          <w:lang w:val="en-GB"/>
        </w:rPr>
        <w:t>and considers the foreshore as a natural destination to explore.</w:t>
      </w:r>
    </w:p>
    <w:p w14:paraId="1B686397" w14:textId="77777777" w:rsidR="00465205" w:rsidRPr="006D0967" w:rsidRDefault="00465205" w:rsidP="00465205">
      <w:pPr>
        <w:spacing w:before="200" w:after="0"/>
        <w:rPr>
          <w:b/>
          <w:sz w:val="28"/>
          <w:szCs w:val="28"/>
          <w:lang w:val="en-US"/>
        </w:rPr>
      </w:pPr>
      <w:r w:rsidRPr="006D0967">
        <w:rPr>
          <w:b/>
          <w:sz w:val="28"/>
          <w:szCs w:val="28"/>
          <w:lang w:val="en-US"/>
        </w:rPr>
        <w:t>Policy Scope</w:t>
      </w:r>
    </w:p>
    <w:p w14:paraId="0EC15500" w14:textId="77777777" w:rsidR="00465205" w:rsidRPr="00C21933" w:rsidRDefault="00465205" w:rsidP="00465205">
      <w:pPr>
        <w:pStyle w:val="ListParagraph"/>
        <w:ind w:left="0"/>
        <w:jc w:val="both"/>
        <w:rPr>
          <w:rFonts w:cstheme="minorHAnsi"/>
          <w:szCs w:val="24"/>
          <w:lang w:val="en-GB"/>
        </w:rPr>
      </w:pPr>
      <w:r w:rsidRPr="00C21933">
        <w:rPr>
          <w:rFonts w:cstheme="minorHAnsi"/>
          <w:szCs w:val="24"/>
          <w:lang w:val="en-GB"/>
        </w:rPr>
        <w:t xml:space="preserve">This policy applies to all new developments within the </w:t>
      </w:r>
      <w:r w:rsidRPr="00C21933">
        <w:rPr>
          <w:rFonts w:cstheme="minorHAnsi"/>
        </w:rPr>
        <w:t>Town of East Fremantle including</w:t>
      </w:r>
      <w:r w:rsidRPr="00C21933">
        <w:rPr>
          <w:rFonts w:cstheme="minorHAnsi"/>
          <w:szCs w:val="24"/>
          <w:lang w:val="en-GB"/>
        </w:rPr>
        <w:t xml:space="preserve"> multiple dwellings comprising fifteen or more dwellings, mixed use, commercial and non-residential developments, with an estimated construction cost of three million dollars or greater.</w:t>
      </w:r>
    </w:p>
    <w:p w14:paraId="29E69CDF" w14:textId="77777777" w:rsidR="00465205" w:rsidRPr="00C21933" w:rsidRDefault="00465205" w:rsidP="00465205">
      <w:pPr>
        <w:spacing w:before="200" w:line="240" w:lineRule="auto"/>
        <w:jc w:val="both"/>
        <w:rPr>
          <w:rFonts w:cstheme="minorHAnsi"/>
          <w:lang w:val="en-GB"/>
        </w:rPr>
      </w:pPr>
      <w:r w:rsidRPr="00C21933">
        <w:rPr>
          <w:rFonts w:cstheme="minorHAnsi"/>
          <w:lang w:val="en-GB"/>
        </w:rPr>
        <w:t>The policy details the requirements for public art contributions as part of a development proposal and provides performance standards to guide the provision of public art and assessment of development applications that include public art.</w:t>
      </w:r>
    </w:p>
    <w:p w14:paraId="0F1CCF83" w14:textId="77777777" w:rsidR="00465205" w:rsidRPr="00C21933" w:rsidRDefault="00465205" w:rsidP="00465205">
      <w:pPr>
        <w:spacing w:line="240" w:lineRule="auto"/>
        <w:jc w:val="both"/>
        <w:rPr>
          <w:rFonts w:cstheme="minorHAnsi"/>
          <w:lang w:val="en-GB"/>
        </w:rPr>
      </w:pPr>
      <w:r w:rsidRPr="00C21933">
        <w:rPr>
          <w:rFonts w:cstheme="minorHAnsi"/>
          <w:lang w:val="en-GB"/>
        </w:rPr>
        <w:t>Applicants are encouraged to contact the Town of East Fremantle as early as possible to discuss options for the provision of public art in their development.</w:t>
      </w:r>
    </w:p>
    <w:p w14:paraId="5F51866A" w14:textId="77777777" w:rsidR="00465205" w:rsidRPr="00C21933" w:rsidRDefault="00465205" w:rsidP="00465205">
      <w:pPr>
        <w:jc w:val="both"/>
        <w:rPr>
          <w:rFonts w:cstheme="minorHAnsi"/>
          <w:szCs w:val="24"/>
        </w:rPr>
      </w:pPr>
      <w:r w:rsidRPr="00C21933">
        <w:rPr>
          <w:rFonts w:cstheme="minorHAnsi"/>
          <w:szCs w:val="24"/>
        </w:rPr>
        <w:t xml:space="preserve">Any development proposals requiring planning approval of a construction value greater than AUD$3,000,000 will be required to provide public art under this policy. </w:t>
      </w:r>
    </w:p>
    <w:p w14:paraId="559E88B1" w14:textId="77777777" w:rsidR="00465205" w:rsidRDefault="00465205" w:rsidP="00465205">
      <w:pPr>
        <w:jc w:val="both"/>
        <w:rPr>
          <w:rFonts w:cstheme="minorHAnsi"/>
          <w:szCs w:val="24"/>
        </w:rPr>
      </w:pPr>
      <w:r w:rsidRPr="00C21933">
        <w:rPr>
          <w:rFonts w:cstheme="minorHAnsi"/>
          <w:szCs w:val="24"/>
        </w:rPr>
        <w:t xml:space="preserve">The public art contribution is set at a contribution rate of 1% of the construction cost* until the construction cost reaches $100,000,000 and then the contribution rate is set at 0.75%.  </w:t>
      </w:r>
    </w:p>
    <w:p w14:paraId="3DEED5A1" w14:textId="77777777" w:rsidR="00465205" w:rsidRPr="00C21933" w:rsidRDefault="00465205" w:rsidP="00465205">
      <w:pPr>
        <w:jc w:val="both"/>
        <w:rPr>
          <w:rFonts w:cstheme="minorHAnsi"/>
        </w:rPr>
      </w:pPr>
      <w:r w:rsidRPr="00C21933">
        <w:rPr>
          <w:rFonts w:cstheme="minorHAnsi"/>
        </w:rPr>
        <w:t>*</w:t>
      </w:r>
      <w:proofErr w:type="gramStart"/>
      <w:r w:rsidRPr="00C21933">
        <w:rPr>
          <w:rFonts w:cstheme="minorHAnsi"/>
        </w:rPr>
        <w:t>For the purpose of</w:t>
      </w:r>
      <w:proofErr w:type="gramEnd"/>
      <w:r w:rsidRPr="00C21933">
        <w:rPr>
          <w:rFonts w:cstheme="minorHAnsi"/>
        </w:rPr>
        <w:t xml:space="preserve"> the Policy “construction cost” means the estimated cost of the equipment, financing services and utilities that are required to carry out a development but does not include the cost of land acquisition. The Council will generally accept this to be the same as the estimated cost of the development stated by the applicant on the Building Permit application.  This does not include GST.</w:t>
      </w:r>
    </w:p>
    <w:p w14:paraId="0E86477A" w14:textId="77777777" w:rsidR="00465205" w:rsidRPr="00C21933" w:rsidRDefault="00465205" w:rsidP="00465205">
      <w:pPr>
        <w:spacing w:after="60"/>
        <w:jc w:val="both"/>
        <w:rPr>
          <w:rFonts w:cstheme="minorHAnsi"/>
          <w:szCs w:val="24"/>
        </w:rPr>
      </w:pPr>
      <w:r w:rsidRPr="00C21933">
        <w:rPr>
          <w:rFonts w:cstheme="minorHAnsi"/>
          <w:szCs w:val="24"/>
        </w:rPr>
        <w:t xml:space="preserve">Developments excluded from this requirement to contribute are as follows: </w:t>
      </w:r>
    </w:p>
    <w:p w14:paraId="5070B975" w14:textId="77777777" w:rsidR="00465205" w:rsidRPr="00C21933" w:rsidRDefault="00465205" w:rsidP="002A3889">
      <w:pPr>
        <w:numPr>
          <w:ilvl w:val="0"/>
          <w:numId w:val="308"/>
        </w:numPr>
        <w:spacing w:after="60" w:line="240" w:lineRule="auto"/>
        <w:ind w:left="426" w:hanging="426"/>
        <w:jc w:val="both"/>
        <w:rPr>
          <w:rFonts w:cstheme="minorHAnsi"/>
          <w:szCs w:val="24"/>
          <w:lang w:val="en-GB"/>
        </w:rPr>
      </w:pPr>
      <w:proofErr w:type="gramStart"/>
      <w:r w:rsidRPr="00C21933">
        <w:rPr>
          <w:rFonts w:cstheme="minorHAnsi"/>
          <w:szCs w:val="24"/>
        </w:rPr>
        <w:lastRenderedPageBreak/>
        <w:t>demolition;</w:t>
      </w:r>
      <w:proofErr w:type="gramEnd"/>
    </w:p>
    <w:p w14:paraId="0F87A8CE" w14:textId="77777777" w:rsidR="00465205" w:rsidRPr="00C21933" w:rsidRDefault="00465205" w:rsidP="002A3889">
      <w:pPr>
        <w:numPr>
          <w:ilvl w:val="0"/>
          <w:numId w:val="308"/>
        </w:numPr>
        <w:spacing w:after="60" w:line="240" w:lineRule="auto"/>
        <w:ind w:left="426" w:hanging="426"/>
        <w:jc w:val="both"/>
        <w:rPr>
          <w:rFonts w:cstheme="minorHAnsi"/>
          <w:szCs w:val="24"/>
          <w:lang w:val="en-GB"/>
        </w:rPr>
      </w:pPr>
      <w:r w:rsidRPr="00C21933">
        <w:rPr>
          <w:rFonts w:cstheme="minorHAnsi"/>
          <w:szCs w:val="24"/>
        </w:rPr>
        <w:t xml:space="preserve">single residential </w:t>
      </w:r>
      <w:proofErr w:type="gramStart"/>
      <w:r w:rsidRPr="00C21933">
        <w:rPr>
          <w:rFonts w:cstheme="minorHAnsi"/>
          <w:szCs w:val="24"/>
        </w:rPr>
        <w:t>developments;</w:t>
      </w:r>
      <w:proofErr w:type="gramEnd"/>
    </w:p>
    <w:p w14:paraId="62639E82" w14:textId="77777777" w:rsidR="00465205" w:rsidRPr="00C21933" w:rsidRDefault="00465205" w:rsidP="002A3889">
      <w:pPr>
        <w:numPr>
          <w:ilvl w:val="0"/>
          <w:numId w:val="308"/>
        </w:numPr>
        <w:spacing w:after="60" w:line="240" w:lineRule="auto"/>
        <w:ind w:left="426" w:hanging="426"/>
        <w:jc w:val="both"/>
        <w:rPr>
          <w:rFonts w:cstheme="minorHAnsi"/>
          <w:szCs w:val="24"/>
          <w:lang w:val="en-GB"/>
        </w:rPr>
      </w:pPr>
      <w:r w:rsidRPr="00C21933">
        <w:rPr>
          <w:rFonts w:cstheme="minorHAnsi"/>
          <w:szCs w:val="24"/>
        </w:rPr>
        <w:t xml:space="preserve">group dwelling </w:t>
      </w:r>
      <w:proofErr w:type="gramStart"/>
      <w:r w:rsidRPr="00C21933">
        <w:rPr>
          <w:rFonts w:cstheme="minorHAnsi"/>
          <w:szCs w:val="24"/>
        </w:rPr>
        <w:t>developments;</w:t>
      </w:r>
      <w:proofErr w:type="gramEnd"/>
    </w:p>
    <w:p w14:paraId="22C4B97F" w14:textId="77777777" w:rsidR="00465205" w:rsidRPr="00C21933" w:rsidRDefault="00465205" w:rsidP="002A3889">
      <w:pPr>
        <w:numPr>
          <w:ilvl w:val="0"/>
          <w:numId w:val="308"/>
        </w:numPr>
        <w:spacing w:after="60" w:line="240" w:lineRule="auto"/>
        <w:ind w:left="426" w:hanging="426"/>
        <w:jc w:val="both"/>
        <w:rPr>
          <w:rFonts w:cstheme="minorHAnsi"/>
          <w:szCs w:val="24"/>
          <w:lang w:val="en-GB"/>
        </w:rPr>
      </w:pPr>
      <w:r w:rsidRPr="00C21933">
        <w:rPr>
          <w:rFonts w:cstheme="minorHAnsi"/>
          <w:szCs w:val="24"/>
        </w:rPr>
        <w:t xml:space="preserve">multiple dwellings less than fifteen </w:t>
      </w:r>
      <w:proofErr w:type="gramStart"/>
      <w:r w:rsidRPr="00C21933">
        <w:rPr>
          <w:rFonts w:cstheme="minorHAnsi"/>
          <w:szCs w:val="24"/>
        </w:rPr>
        <w:t>dwellings;</w:t>
      </w:r>
      <w:proofErr w:type="gramEnd"/>
    </w:p>
    <w:p w14:paraId="700CEF90" w14:textId="77777777" w:rsidR="00465205" w:rsidRPr="00C21933" w:rsidRDefault="00465205" w:rsidP="002A3889">
      <w:pPr>
        <w:numPr>
          <w:ilvl w:val="0"/>
          <w:numId w:val="308"/>
        </w:numPr>
        <w:spacing w:after="60" w:line="240" w:lineRule="auto"/>
        <w:ind w:left="426" w:hanging="426"/>
        <w:jc w:val="both"/>
        <w:rPr>
          <w:rFonts w:cstheme="minorHAnsi"/>
          <w:szCs w:val="24"/>
          <w:lang w:val="en-GB"/>
        </w:rPr>
      </w:pPr>
      <w:r w:rsidRPr="00C21933">
        <w:rPr>
          <w:rFonts w:cstheme="minorHAnsi"/>
          <w:szCs w:val="24"/>
        </w:rPr>
        <w:t>State and Federal projects where an equivalent public art contribution policy is applied; and</w:t>
      </w:r>
    </w:p>
    <w:p w14:paraId="3B4F4A85" w14:textId="77777777" w:rsidR="00465205" w:rsidRPr="00C21933" w:rsidRDefault="00465205" w:rsidP="002A3889">
      <w:pPr>
        <w:numPr>
          <w:ilvl w:val="0"/>
          <w:numId w:val="308"/>
        </w:numPr>
        <w:tabs>
          <w:tab w:val="clear" w:pos="720"/>
          <w:tab w:val="num" w:pos="426"/>
        </w:tabs>
        <w:spacing w:after="60" w:line="240" w:lineRule="auto"/>
        <w:ind w:left="714" w:hanging="714"/>
        <w:jc w:val="both"/>
        <w:rPr>
          <w:rFonts w:cstheme="minorHAnsi"/>
          <w:szCs w:val="24"/>
          <w:lang w:val="en-GB"/>
        </w:rPr>
      </w:pPr>
      <w:r w:rsidRPr="00C21933">
        <w:rPr>
          <w:rFonts w:cstheme="minorHAnsi"/>
          <w:szCs w:val="24"/>
        </w:rPr>
        <w:t>heritage works.</w:t>
      </w:r>
    </w:p>
    <w:p w14:paraId="6BEA96AC" w14:textId="77777777" w:rsidR="00465205" w:rsidRPr="00EF56B4" w:rsidRDefault="00465205" w:rsidP="00465205">
      <w:pPr>
        <w:spacing w:before="200" w:after="60"/>
        <w:jc w:val="both"/>
        <w:rPr>
          <w:b/>
          <w:sz w:val="28"/>
          <w:szCs w:val="28"/>
          <w:lang w:val="en-US"/>
        </w:rPr>
      </w:pPr>
      <w:r w:rsidRPr="00EF56B4">
        <w:rPr>
          <w:b/>
          <w:sz w:val="28"/>
          <w:szCs w:val="28"/>
          <w:lang w:val="en-US"/>
        </w:rPr>
        <w:t xml:space="preserve">Policy </w:t>
      </w:r>
    </w:p>
    <w:p w14:paraId="21A333D4" w14:textId="77777777" w:rsidR="00465205" w:rsidRPr="00EF56B4" w:rsidRDefault="00465205" w:rsidP="00465205">
      <w:pPr>
        <w:spacing w:after="60"/>
        <w:jc w:val="both"/>
        <w:rPr>
          <w:rFonts w:cstheme="minorHAnsi"/>
          <w:b/>
          <w:sz w:val="24"/>
          <w:szCs w:val="24"/>
        </w:rPr>
      </w:pPr>
      <w:r w:rsidRPr="00EF56B4">
        <w:rPr>
          <w:rFonts w:cstheme="minorHAnsi"/>
          <w:b/>
          <w:sz w:val="24"/>
          <w:szCs w:val="24"/>
        </w:rPr>
        <w:t xml:space="preserve">Section 1: Background </w:t>
      </w:r>
    </w:p>
    <w:p w14:paraId="0D0822DC" w14:textId="77777777" w:rsidR="00465205" w:rsidRPr="00C21933" w:rsidRDefault="00465205" w:rsidP="002A3889">
      <w:pPr>
        <w:pStyle w:val="ListParagraph"/>
        <w:numPr>
          <w:ilvl w:val="1"/>
          <w:numId w:val="316"/>
        </w:numPr>
        <w:spacing w:after="0" w:line="240" w:lineRule="auto"/>
        <w:ind w:left="426" w:hanging="426"/>
        <w:jc w:val="both"/>
        <w:rPr>
          <w:rFonts w:cstheme="minorHAnsi"/>
          <w:b/>
          <w:szCs w:val="24"/>
          <w:lang w:val="en-GB"/>
        </w:rPr>
      </w:pPr>
      <w:r w:rsidRPr="00C21933">
        <w:rPr>
          <w:rFonts w:cstheme="minorHAnsi"/>
          <w:b/>
          <w:szCs w:val="24"/>
          <w:lang w:val="en-GB"/>
        </w:rPr>
        <w:t xml:space="preserve">Form of Percent for Public Art Contribution </w:t>
      </w:r>
    </w:p>
    <w:p w14:paraId="0C2E1968" w14:textId="77777777" w:rsidR="00465205" w:rsidRPr="00C21933" w:rsidRDefault="00465205" w:rsidP="00465205">
      <w:pPr>
        <w:ind w:left="426"/>
        <w:jc w:val="both"/>
        <w:rPr>
          <w:rFonts w:cstheme="minorHAnsi"/>
          <w:szCs w:val="24"/>
          <w:lang w:val="en-GB"/>
        </w:rPr>
      </w:pPr>
      <w:r w:rsidRPr="00C21933">
        <w:rPr>
          <w:rFonts w:cstheme="minorHAnsi"/>
        </w:rPr>
        <w:t>On submission of a development approval application the applicant must nominate the way in which the public art contribution will be met for the consideration of the Town of East Fremantle Public Art Panel (the Panel)</w:t>
      </w:r>
      <w:r w:rsidRPr="00C21933">
        <w:rPr>
          <w:rFonts w:cstheme="minorHAnsi"/>
          <w:szCs w:val="24"/>
          <w:lang w:val="en-GB"/>
        </w:rPr>
        <w:t>.</w:t>
      </w:r>
    </w:p>
    <w:p w14:paraId="5F916932" w14:textId="77777777" w:rsidR="00465205" w:rsidRPr="00C21933" w:rsidRDefault="00465205" w:rsidP="00465205">
      <w:pPr>
        <w:spacing w:after="60"/>
        <w:ind w:left="426"/>
        <w:jc w:val="both"/>
        <w:rPr>
          <w:rFonts w:cstheme="minorHAnsi"/>
          <w:szCs w:val="24"/>
          <w:lang w:val="en-GB"/>
        </w:rPr>
      </w:pPr>
      <w:r w:rsidRPr="00C21933">
        <w:rPr>
          <w:rFonts w:cstheme="minorHAnsi"/>
          <w:color w:val="000000" w:themeColor="text1"/>
          <w:szCs w:val="24"/>
          <w:lang w:val="en-GB"/>
        </w:rPr>
        <w:t xml:space="preserve">Following the consideration of the public art proposal by the Panel and at the discretion of the Council </w:t>
      </w:r>
      <w:r w:rsidRPr="00C21933">
        <w:rPr>
          <w:rFonts w:cstheme="minorHAnsi"/>
          <w:szCs w:val="24"/>
          <w:lang w:val="en-GB"/>
        </w:rPr>
        <w:t>the proponent will meet their public art contribution in one or more of the following ways:</w:t>
      </w:r>
    </w:p>
    <w:p w14:paraId="687D88C4" w14:textId="77777777" w:rsidR="00465205" w:rsidRPr="00C21933" w:rsidRDefault="00465205" w:rsidP="002A3889">
      <w:pPr>
        <w:numPr>
          <w:ilvl w:val="0"/>
          <w:numId w:val="311"/>
        </w:numPr>
        <w:spacing w:after="60" w:line="240" w:lineRule="auto"/>
        <w:ind w:left="851" w:hanging="425"/>
        <w:jc w:val="both"/>
        <w:rPr>
          <w:rFonts w:cstheme="minorHAnsi"/>
          <w:szCs w:val="24"/>
          <w:lang w:val="en-GB"/>
        </w:rPr>
      </w:pPr>
      <w:r w:rsidRPr="00C21933">
        <w:rPr>
          <w:rFonts w:cstheme="minorHAnsi"/>
          <w:szCs w:val="24"/>
          <w:lang w:val="en-GB"/>
        </w:rPr>
        <w:t xml:space="preserve">by established public art ‘on-site’ as a component of their </w:t>
      </w:r>
      <w:proofErr w:type="gramStart"/>
      <w:r w:rsidRPr="00C21933">
        <w:rPr>
          <w:rFonts w:cstheme="minorHAnsi"/>
          <w:szCs w:val="24"/>
          <w:lang w:val="en-GB"/>
        </w:rPr>
        <w:t>development;</w:t>
      </w:r>
      <w:proofErr w:type="gramEnd"/>
    </w:p>
    <w:p w14:paraId="32F4ACBB" w14:textId="77777777" w:rsidR="00465205" w:rsidRPr="00C21933" w:rsidRDefault="00465205" w:rsidP="002A3889">
      <w:pPr>
        <w:numPr>
          <w:ilvl w:val="0"/>
          <w:numId w:val="311"/>
        </w:numPr>
        <w:spacing w:after="60" w:line="240" w:lineRule="auto"/>
        <w:ind w:left="851" w:hanging="425"/>
        <w:jc w:val="both"/>
        <w:rPr>
          <w:rFonts w:cstheme="minorHAnsi"/>
          <w:szCs w:val="24"/>
          <w:lang w:val="en-GB"/>
        </w:rPr>
      </w:pPr>
      <w:r w:rsidRPr="00C21933">
        <w:rPr>
          <w:rFonts w:cstheme="minorHAnsi"/>
          <w:szCs w:val="24"/>
          <w:lang w:val="en-GB"/>
        </w:rPr>
        <w:t>by providing public art in the vicinity of the site in the public realm; and/or</w:t>
      </w:r>
    </w:p>
    <w:p w14:paraId="6F93607E" w14:textId="77777777" w:rsidR="00465205" w:rsidRPr="00C21933" w:rsidRDefault="00465205" w:rsidP="002A3889">
      <w:pPr>
        <w:numPr>
          <w:ilvl w:val="0"/>
          <w:numId w:val="311"/>
        </w:numPr>
        <w:spacing w:after="0" w:line="240" w:lineRule="auto"/>
        <w:ind w:left="851" w:hanging="425"/>
        <w:jc w:val="both"/>
        <w:rPr>
          <w:rFonts w:cstheme="minorHAnsi"/>
          <w:szCs w:val="24"/>
          <w:lang w:val="en-GB"/>
        </w:rPr>
      </w:pPr>
      <w:r w:rsidRPr="00C21933">
        <w:rPr>
          <w:rFonts w:cstheme="minorHAnsi"/>
          <w:szCs w:val="24"/>
          <w:lang w:val="en-GB"/>
        </w:rPr>
        <w:t>by providing cash in lieu for the provision of public art as identified in the Public Art Strategy to the amount specified within the development approval condition.</w:t>
      </w:r>
    </w:p>
    <w:p w14:paraId="03E9A475" w14:textId="77777777" w:rsidR="00465205" w:rsidRPr="00C21933" w:rsidRDefault="00465205" w:rsidP="00465205">
      <w:pPr>
        <w:spacing w:before="200"/>
        <w:ind w:left="426"/>
        <w:jc w:val="both"/>
        <w:rPr>
          <w:rFonts w:cstheme="minorHAnsi"/>
        </w:rPr>
      </w:pPr>
      <w:r w:rsidRPr="00C21933">
        <w:rPr>
          <w:rFonts w:cstheme="minorHAnsi"/>
        </w:rPr>
        <w:t>In some cases, the cash-in-lieu contribution may be required by the Council as a condition of planning approval.</w:t>
      </w:r>
    </w:p>
    <w:p w14:paraId="3556D886" w14:textId="77777777" w:rsidR="00465205" w:rsidRPr="00EF56B4" w:rsidRDefault="00465205" w:rsidP="002A3889">
      <w:pPr>
        <w:pStyle w:val="ListParagraph"/>
        <w:numPr>
          <w:ilvl w:val="1"/>
          <w:numId w:val="316"/>
        </w:numPr>
        <w:spacing w:after="0" w:line="240" w:lineRule="auto"/>
        <w:ind w:left="426" w:hanging="426"/>
        <w:jc w:val="both"/>
        <w:rPr>
          <w:rFonts w:cstheme="minorHAnsi"/>
          <w:szCs w:val="24"/>
          <w:lang w:val="en-GB"/>
        </w:rPr>
      </w:pPr>
      <w:r w:rsidRPr="006D0967">
        <w:rPr>
          <w:rFonts w:cstheme="minorHAnsi"/>
          <w:b/>
        </w:rPr>
        <w:t>Public Art Delivery Guidance</w:t>
      </w:r>
    </w:p>
    <w:p w14:paraId="5FBD531C" w14:textId="77777777" w:rsidR="00465205" w:rsidRPr="00EF56B4" w:rsidRDefault="00465205" w:rsidP="00465205">
      <w:pPr>
        <w:spacing w:after="0" w:line="240" w:lineRule="auto"/>
        <w:ind w:left="426"/>
        <w:jc w:val="both"/>
        <w:rPr>
          <w:rFonts w:cstheme="minorHAnsi"/>
          <w:szCs w:val="24"/>
          <w:lang w:val="en-GB"/>
        </w:rPr>
      </w:pPr>
      <w:r w:rsidRPr="00EF56B4">
        <w:rPr>
          <w:rFonts w:cstheme="minorHAnsi"/>
          <w:szCs w:val="24"/>
          <w:lang w:val="en-GB"/>
        </w:rPr>
        <w:t xml:space="preserve">Within the development or on public land within the vicinity of the development (the location to be determined by the Panel) as outlined in the </w:t>
      </w:r>
      <w:r w:rsidRPr="00EF56B4">
        <w:rPr>
          <w:rFonts w:cstheme="minorHAnsi"/>
        </w:rPr>
        <w:t>Public Art Strategy</w:t>
      </w:r>
      <w:r w:rsidRPr="00EF56B4">
        <w:rPr>
          <w:rFonts w:cstheme="minorHAnsi"/>
          <w:szCs w:val="24"/>
          <w:lang w:val="en-GB"/>
        </w:rPr>
        <w:t xml:space="preserve">. </w:t>
      </w:r>
    </w:p>
    <w:p w14:paraId="7D2A4F7B" w14:textId="77777777" w:rsidR="00465205" w:rsidRPr="00EF56B4" w:rsidRDefault="00465205" w:rsidP="00465205">
      <w:pPr>
        <w:spacing w:before="200" w:line="240" w:lineRule="auto"/>
        <w:ind w:left="426"/>
        <w:jc w:val="both"/>
        <w:rPr>
          <w:rFonts w:cstheme="minorHAnsi"/>
          <w:sz w:val="24"/>
          <w:szCs w:val="24"/>
        </w:rPr>
      </w:pPr>
      <w:r w:rsidRPr="00C21933">
        <w:rPr>
          <w:rFonts w:cstheme="minorHAnsi"/>
        </w:rPr>
        <w:t xml:space="preserve">The expenditure of cash in lieu will be undertaken as soon as practically possible and the artwork will carry a plaque indicating the </w:t>
      </w:r>
      <w:r w:rsidRPr="00EF56B4">
        <w:rPr>
          <w:rFonts w:cstheme="minorHAnsi"/>
          <w:sz w:val="24"/>
          <w:szCs w:val="24"/>
        </w:rPr>
        <w:t>source of the contributions.</w:t>
      </w:r>
    </w:p>
    <w:p w14:paraId="5B381A9E" w14:textId="77777777" w:rsidR="00465205" w:rsidRPr="00EF56B4" w:rsidRDefault="00465205" w:rsidP="00465205">
      <w:pPr>
        <w:spacing w:after="60" w:line="240" w:lineRule="auto"/>
        <w:jc w:val="both"/>
        <w:rPr>
          <w:rFonts w:cstheme="minorHAnsi"/>
          <w:b/>
          <w:sz w:val="24"/>
          <w:szCs w:val="24"/>
        </w:rPr>
      </w:pPr>
      <w:r w:rsidRPr="00EF56B4">
        <w:rPr>
          <w:rFonts w:cstheme="minorHAnsi"/>
          <w:b/>
          <w:sz w:val="24"/>
          <w:szCs w:val="24"/>
        </w:rPr>
        <w:t>Section 2: Approval Process</w:t>
      </w:r>
    </w:p>
    <w:p w14:paraId="1261FFD6" w14:textId="77777777" w:rsidR="00465205" w:rsidRPr="00C21933" w:rsidRDefault="00465205" w:rsidP="002A3889">
      <w:pPr>
        <w:pStyle w:val="ListParagraph"/>
        <w:numPr>
          <w:ilvl w:val="1"/>
          <w:numId w:val="317"/>
        </w:numPr>
        <w:spacing w:after="60" w:line="240" w:lineRule="auto"/>
        <w:ind w:left="567" w:hanging="567"/>
        <w:contextualSpacing w:val="0"/>
        <w:jc w:val="both"/>
        <w:rPr>
          <w:rFonts w:cstheme="minorHAnsi"/>
          <w:b/>
          <w:szCs w:val="24"/>
          <w:lang w:val="en-GB"/>
        </w:rPr>
      </w:pPr>
      <w:r w:rsidRPr="00C21933">
        <w:rPr>
          <w:rFonts w:cstheme="minorHAnsi"/>
          <w:b/>
          <w:szCs w:val="24"/>
          <w:lang w:val="en-GB"/>
        </w:rPr>
        <w:t>Approval Process</w:t>
      </w:r>
    </w:p>
    <w:p w14:paraId="54A05F73" w14:textId="77777777" w:rsidR="00465205" w:rsidRPr="00C21933" w:rsidRDefault="00465205" w:rsidP="00465205">
      <w:pPr>
        <w:spacing w:after="0" w:line="240" w:lineRule="auto"/>
        <w:ind w:left="1276" w:hanging="709"/>
        <w:jc w:val="both"/>
        <w:rPr>
          <w:rFonts w:cstheme="minorHAnsi"/>
          <w:b/>
        </w:rPr>
      </w:pPr>
      <w:r w:rsidRPr="00C21933">
        <w:rPr>
          <w:rFonts w:cstheme="minorHAnsi"/>
          <w:b/>
        </w:rPr>
        <w:t>2.1.1</w:t>
      </w:r>
      <w:r w:rsidRPr="00C21933">
        <w:rPr>
          <w:rFonts w:cstheme="minorHAnsi"/>
          <w:b/>
        </w:rPr>
        <w:tab/>
        <w:t xml:space="preserve">Town of East Fremantle Public Art Panel </w:t>
      </w:r>
    </w:p>
    <w:p w14:paraId="277AAD26" w14:textId="77777777" w:rsidR="00465205" w:rsidRPr="00C21933" w:rsidRDefault="00465205" w:rsidP="002A3889">
      <w:pPr>
        <w:pStyle w:val="ListParagraph"/>
        <w:numPr>
          <w:ilvl w:val="0"/>
          <w:numId w:val="315"/>
        </w:numPr>
        <w:spacing w:after="60" w:line="240" w:lineRule="auto"/>
        <w:ind w:left="1276" w:hanging="709"/>
        <w:contextualSpacing w:val="0"/>
        <w:jc w:val="both"/>
        <w:rPr>
          <w:rFonts w:cstheme="minorHAnsi"/>
        </w:rPr>
      </w:pPr>
      <w:r w:rsidRPr="00C21933">
        <w:rPr>
          <w:rFonts w:cstheme="minorHAnsi"/>
        </w:rPr>
        <w:t>T</w:t>
      </w:r>
      <w:r w:rsidRPr="00C21933">
        <w:rPr>
          <w:rFonts w:eastAsia="Calibri" w:cstheme="minorHAnsi"/>
        </w:rPr>
        <w:t xml:space="preserve">he Council will appoint a Town of East Fremantle Public Art Panel </w:t>
      </w:r>
      <w:r w:rsidRPr="00C21933">
        <w:rPr>
          <w:rFonts w:cstheme="minorHAnsi"/>
        </w:rPr>
        <w:t>as per the Public Art Panel Policy No. 4.1.5.</w:t>
      </w:r>
    </w:p>
    <w:p w14:paraId="285153A3" w14:textId="77777777" w:rsidR="00465205" w:rsidRPr="00C21933" w:rsidRDefault="00465205" w:rsidP="002A3889">
      <w:pPr>
        <w:pStyle w:val="ListParagraph"/>
        <w:numPr>
          <w:ilvl w:val="0"/>
          <w:numId w:val="315"/>
        </w:numPr>
        <w:spacing w:after="60" w:line="240" w:lineRule="auto"/>
        <w:ind w:left="1276" w:hanging="709"/>
        <w:contextualSpacing w:val="0"/>
        <w:jc w:val="both"/>
        <w:rPr>
          <w:rFonts w:cstheme="minorHAnsi"/>
        </w:rPr>
      </w:pPr>
      <w:r w:rsidRPr="00C21933">
        <w:rPr>
          <w:rFonts w:eastAsia="Calibri" w:cstheme="minorHAnsi"/>
        </w:rPr>
        <w:t xml:space="preserve">Where Council determines that the proponent will provide the public art, the proponent shall submit a Public Art Report to the </w:t>
      </w:r>
      <w:r w:rsidRPr="00C21933">
        <w:rPr>
          <w:rFonts w:cstheme="minorHAnsi"/>
        </w:rPr>
        <w:t>Town</w:t>
      </w:r>
      <w:r w:rsidRPr="00C21933">
        <w:rPr>
          <w:rFonts w:eastAsia="Calibri" w:cstheme="minorHAnsi"/>
        </w:rPr>
        <w:t xml:space="preserve"> which addresses the criteria outlined under Clause </w:t>
      </w:r>
      <w:r w:rsidRPr="00C21933">
        <w:rPr>
          <w:rFonts w:cstheme="minorHAnsi"/>
        </w:rPr>
        <w:t xml:space="preserve">3.1 </w:t>
      </w:r>
      <w:r w:rsidRPr="00C21933">
        <w:rPr>
          <w:rFonts w:eastAsia="Calibri" w:cstheme="minorHAnsi"/>
        </w:rPr>
        <w:t xml:space="preserve">of this Policy. </w:t>
      </w:r>
    </w:p>
    <w:p w14:paraId="53025CF8" w14:textId="77777777" w:rsidR="00465205" w:rsidRPr="00C21933" w:rsidRDefault="00465205" w:rsidP="002A3889">
      <w:pPr>
        <w:pStyle w:val="ListParagraph"/>
        <w:numPr>
          <w:ilvl w:val="0"/>
          <w:numId w:val="315"/>
        </w:numPr>
        <w:spacing w:after="60" w:line="240" w:lineRule="auto"/>
        <w:ind w:left="1276" w:hanging="709"/>
        <w:contextualSpacing w:val="0"/>
        <w:jc w:val="both"/>
        <w:rPr>
          <w:rFonts w:cstheme="minorHAnsi"/>
        </w:rPr>
      </w:pPr>
      <w:r w:rsidRPr="00C21933">
        <w:rPr>
          <w:rFonts w:cstheme="minorHAnsi"/>
        </w:rPr>
        <w:t>T</w:t>
      </w:r>
      <w:r w:rsidRPr="00C21933">
        <w:rPr>
          <w:rFonts w:eastAsia="Calibri" w:cstheme="minorHAnsi"/>
        </w:rPr>
        <w:t xml:space="preserve">he Public Art Report will be submitted with the development application.  </w:t>
      </w:r>
    </w:p>
    <w:p w14:paraId="1CB57E3F" w14:textId="77777777" w:rsidR="00465205" w:rsidRPr="00C21933" w:rsidRDefault="00465205" w:rsidP="002A3889">
      <w:pPr>
        <w:pStyle w:val="ListParagraph"/>
        <w:numPr>
          <w:ilvl w:val="0"/>
          <w:numId w:val="315"/>
        </w:numPr>
        <w:spacing w:after="60" w:line="240" w:lineRule="auto"/>
        <w:ind w:left="1276" w:hanging="709"/>
        <w:contextualSpacing w:val="0"/>
        <w:jc w:val="both"/>
        <w:rPr>
          <w:rFonts w:cstheme="minorHAnsi"/>
        </w:rPr>
      </w:pPr>
      <w:proofErr w:type="gramStart"/>
      <w:r w:rsidRPr="00C21933">
        <w:rPr>
          <w:rFonts w:eastAsia="Calibri" w:cstheme="minorHAnsi"/>
        </w:rPr>
        <w:t>All of</w:t>
      </w:r>
      <w:proofErr w:type="gramEnd"/>
      <w:r w:rsidRPr="00C21933">
        <w:rPr>
          <w:rFonts w:eastAsia="Calibri" w:cstheme="minorHAnsi"/>
        </w:rPr>
        <w:t xml:space="preserve"> the documentation contained in the Public Art Report is to be submitted to the Public Art Panel for consideration and approval.  </w:t>
      </w:r>
    </w:p>
    <w:p w14:paraId="79B8FCCB" w14:textId="77777777" w:rsidR="00465205" w:rsidRPr="00C21933" w:rsidRDefault="00465205" w:rsidP="002A3889">
      <w:pPr>
        <w:pStyle w:val="ListParagraph"/>
        <w:numPr>
          <w:ilvl w:val="0"/>
          <w:numId w:val="315"/>
        </w:numPr>
        <w:spacing w:after="60" w:line="240" w:lineRule="auto"/>
        <w:ind w:left="1276" w:hanging="709"/>
        <w:contextualSpacing w:val="0"/>
        <w:jc w:val="both"/>
        <w:rPr>
          <w:rFonts w:cstheme="minorHAnsi"/>
        </w:rPr>
      </w:pPr>
      <w:r w:rsidRPr="00C21933">
        <w:rPr>
          <w:rFonts w:eastAsia="Calibri" w:cstheme="minorHAnsi"/>
        </w:rPr>
        <w:t xml:space="preserve">The Public Art Report will be required to be </w:t>
      </w:r>
      <w:r w:rsidRPr="00C21933">
        <w:rPr>
          <w:rFonts w:cstheme="minorHAnsi"/>
        </w:rPr>
        <w:t xml:space="preserve">considered </w:t>
      </w:r>
      <w:r w:rsidRPr="00C21933">
        <w:rPr>
          <w:rFonts w:eastAsia="Calibri" w:cstheme="minorHAnsi"/>
        </w:rPr>
        <w:t>by the Public Art Panel prior to the lodgement of a Building Permit application for the given development.</w:t>
      </w:r>
    </w:p>
    <w:p w14:paraId="48C6E3A5" w14:textId="77777777" w:rsidR="00465205" w:rsidRPr="00C21933" w:rsidRDefault="00465205" w:rsidP="002A3889">
      <w:pPr>
        <w:pStyle w:val="ListParagraph"/>
        <w:numPr>
          <w:ilvl w:val="0"/>
          <w:numId w:val="315"/>
        </w:numPr>
        <w:spacing w:after="60" w:line="240" w:lineRule="auto"/>
        <w:ind w:left="1276" w:hanging="709"/>
        <w:contextualSpacing w:val="0"/>
        <w:jc w:val="both"/>
        <w:rPr>
          <w:rFonts w:eastAsia="Calibri" w:cstheme="minorHAnsi"/>
        </w:rPr>
      </w:pPr>
      <w:r w:rsidRPr="00C21933">
        <w:rPr>
          <w:rFonts w:eastAsia="Calibri" w:cstheme="minorHAnsi"/>
        </w:rPr>
        <w:t xml:space="preserve">The Public Art Report will be considered by the Public Art </w:t>
      </w:r>
      <w:proofErr w:type="gramStart"/>
      <w:r w:rsidRPr="00C21933">
        <w:rPr>
          <w:rFonts w:eastAsia="Calibri" w:cstheme="minorHAnsi"/>
        </w:rPr>
        <w:t>Panel</w:t>
      </w:r>
      <w:proofErr w:type="gramEnd"/>
      <w:r w:rsidRPr="00C21933">
        <w:rPr>
          <w:rFonts w:eastAsia="Calibri" w:cstheme="minorHAnsi"/>
        </w:rPr>
        <w:t xml:space="preserve"> and the proponent will be notified of its approval or refusal no later than 60 days from the date of submission (or </w:t>
      </w:r>
      <w:r w:rsidRPr="00C21933">
        <w:rPr>
          <w:rFonts w:eastAsia="Calibri" w:cstheme="minorHAnsi"/>
        </w:rPr>
        <w:lastRenderedPageBreak/>
        <w:t>such other period agreed by the proponent).  If modifications are required</w:t>
      </w:r>
      <w:r w:rsidRPr="00C21933">
        <w:rPr>
          <w:rFonts w:cstheme="minorHAnsi"/>
        </w:rPr>
        <w:t>,</w:t>
      </w:r>
      <w:r w:rsidRPr="00C21933">
        <w:rPr>
          <w:rFonts w:eastAsia="Calibri" w:cstheme="minorHAnsi"/>
        </w:rPr>
        <w:t xml:space="preserve"> the Public Art Pane</w:t>
      </w:r>
      <w:r w:rsidRPr="00C21933">
        <w:rPr>
          <w:rFonts w:cstheme="minorHAnsi"/>
        </w:rPr>
        <w:t>l</w:t>
      </w:r>
      <w:r w:rsidRPr="00C21933">
        <w:rPr>
          <w:rFonts w:eastAsia="Calibri" w:cstheme="minorHAnsi"/>
        </w:rPr>
        <w:t xml:space="preserve"> will liaise with the proponent prior to making any final decision on the proposal.</w:t>
      </w:r>
    </w:p>
    <w:p w14:paraId="1117FA00" w14:textId="77777777" w:rsidR="00465205" w:rsidRPr="00C21933" w:rsidRDefault="00465205" w:rsidP="002A3889">
      <w:pPr>
        <w:pStyle w:val="ListParagraph"/>
        <w:numPr>
          <w:ilvl w:val="0"/>
          <w:numId w:val="315"/>
        </w:numPr>
        <w:spacing w:after="60" w:line="240" w:lineRule="auto"/>
        <w:ind w:left="1276" w:hanging="709"/>
        <w:contextualSpacing w:val="0"/>
        <w:rPr>
          <w:rFonts w:eastAsia="Calibri" w:cstheme="minorHAnsi"/>
        </w:rPr>
      </w:pPr>
      <w:r w:rsidRPr="00C21933">
        <w:rPr>
          <w:rFonts w:eastAsia="Calibri" w:cstheme="minorHAnsi"/>
        </w:rPr>
        <w:t xml:space="preserve">Where it has been determined under this Policy that the proponent will provide the public art contribution, and the Public Art </w:t>
      </w:r>
      <w:r w:rsidRPr="00C21933">
        <w:rPr>
          <w:rFonts w:cstheme="minorHAnsi"/>
        </w:rPr>
        <w:t>P</w:t>
      </w:r>
      <w:r w:rsidRPr="00C21933">
        <w:rPr>
          <w:rFonts w:eastAsia="Calibri" w:cstheme="minorHAnsi"/>
        </w:rPr>
        <w:t>anel considers that the Public Art Report fails to meet the objectives and criteria outlined in this policy</w:t>
      </w:r>
      <w:r w:rsidRPr="00C21933">
        <w:rPr>
          <w:rFonts w:cstheme="minorHAnsi"/>
        </w:rPr>
        <w:t>,</w:t>
      </w:r>
      <w:r w:rsidRPr="00C21933">
        <w:rPr>
          <w:rFonts w:eastAsia="Calibri" w:cstheme="minorHAnsi"/>
        </w:rPr>
        <w:t xml:space="preserve"> the proponent may be directed to provide more detailed plans, modifications to plans or provide a cash-in-lieu contribution.</w:t>
      </w:r>
    </w:p>
    <w:p w14:paraId="5FDE894C" w14:textId="77777777" w:rsidR="00465205" w:rsidRPr="00C21933" w:rsidRDefault="00465205" w:rsidP="002A3889">
      <w:pPr>
        <w:pStyle w:val="ListParagraph"/>
        <w:numPr>
          <w:ilvl w:val="0"/>
          <w:numId w:val="315"/>
        </w:numPr>
        <w:spacing w:after="60" w:line="240" w:lineRule="auto"/>
        <w:ind w:left="1276" w:right="-196" w:hanging="709"/>
        <w:contextualSpacing w:val="0"/>
        <w:rPr>
          <w:rFonts w:eastAsia="Calibri" w:cstheme="minorHAnsi"/>
        </w:rPr>
      </w:pPr>
      <w:r w:rsidRPr="00C21933">
        <w:rPr>
          <w:rFonts w:eastAsia="Calibri" w:cstheme="minorHAnsi"/>
          <w:color w:val="000000" w:themeColor="text1"/>
        </w:rPr>
        <w:t>Council</w:t>
      </w:r>
      <w:r w:rsidRPr="00C21933">
        <w:rPr>
          <w:rFonts w:eastAsia="Calibri" w:cstheme="minorHAnsi"/>
          <w:color w:val="FF0000"/>
        </w:rPr>
        <w:t xml:space="preserve"> </w:t>
      </w:r>
      <w:r w:rsidRPr="00C21933">
        <w:rPr>
          <w:rFonts w:eastAsia="Calibri" w:cstheme="minorHAnsi"/>
        </w:rPr>
        <w:t>may apply further conditions regarding the proposed public</w:t>
      </w:r>
      <w:r w:rsidRPr="00C21933">
        <w:rPr>
          <w:rFonts w:cstheme="minorHAnsi"/>
        </w:rPr>
        <w:t xml:space="preserve"> a</w:t>
      </w:r>
      <w:r w:rsidRPr="00C21933">
        <w:rPr>
          <w:rFonts w:eastAsia="Calibri" w:cstheme="minorHAnsi"/>
        </w:rPr>
        <w:t>rtworks on the original development approval.</w:t>
      </w:r>
    </w:p>
    <w:p w14:paraId="77460465" w14:textId="77777777" w:rsidR="00465205" w:rsidRPr="00C21933" w:rsidRDefault="00465205" w:rsidP="002A3889">
      <w:pPr>
        <w:pStyle w:val="ListParagraph"/>
        <w:numPr>
          <w:ilvl w:val="0"/>
          <w:numId w:val="315"/>
        </w:numPr>
        <w:spacing w:after="60" w:line="240" w:lineRule="auto"/>
        <w:ind w:left="1276" w:hanging="709"/>
        <w:contextualSpacing w:val="0"/>
        <w:rPr>
          <w:rFonts w:eastAsia="Calibri" w:cstheme="minorHAnsi"/>
        </w:rPr>
      </w:pPr>
      <w:r w:rsidRPr="00C21933">
        <w:rPr>
          <w:rFonts w:eastAsia="Calibri" w:cstheme="minorHAnsi"/>
        </w:rPr>
        <w:t xml:space="preserve">Public art in fulfilment of a condition of planning approval shall not require a further development application. Where the public art entails structural elements a building permit application will be required. </w:t>
      </w:r>
    </w:p>
    <w:p w14:paraId="54238416" w14:textId="77777777" w:rsidR="00465205" w:rsidRPr="00C21933" w:rsidRDefault="00465205" w:rsidP="002A3889">
      <w:pPr>
        <w:pStyle w:val="ListParagraph"/>
        <w:numPr>
          <w:ilvl w:val="0"/>
          <w:numId w:val="315"/>
        </w:numPr>
        <w:spacing w:after="60" w:line="240" w:lineRule="auto"/>
        <w:ind w:left="1276" w:hanging="709"/>
        <w:contextualSpacing w:val="0"/>
        <w:rPr>
          <w:rFonts w:eastAsia="Calibri" w:cstheme="minorHAnsi"/>
        </w:rPr>
      </w:pPr>
      <w:r w:rsidRPr="00C21933">
        <w:rPr>
          <w:rFonts w:eastAsia="Calibri" w:cstheme="minorHAnsi"/>
        </w:rPr>
        <w:t>The proponent will be required to forward copies of the artist's contract, maintenance schedule and artist contact details to the Town at the commencement of the art project.</w:t>
      </w:r>
    </w:p>
    <w:p w14:paraId="718F2152" w14:textId="77777777" w:rsidR="00465205" w:rsidRPr="00C21933" w:rsidRDefault="00465205" w:rsidP="002A3889">
      <w:pPr>
        <w:pStyle w:val="ListParagraph"/>
        <w:numPr>
          <w:ilvl w:val="0"/>
          <w:numId w:val="315"/>
        </w:numPr>
        <w:spacing w:after="60" w:line="240" w:lineRule="auto"/>
        <w:ind w:left="1276" w:hanging="709"/>
        <w:contextualSpacing w:val="0"/>
        <w:rPr>
          <w:rFonts w:eastAsia="Calibri" w:cstheme="minorHAnsi"/>
        </w:rPr>
      </w:pPr>
      <w:r w:rsidRPr="00C21933">
        <w:rPr>
          <w:rFonts w:eastAsia="Calibri" w:cstheme="minorHAnsi"/>
        </w:rPr>
        <w:t>Where provided by the proponent, the public art must be installed prior to the issue of an Occupancy Permit.</w:t>
      </w:r>
    </w:p>
    <w:p w14:paraId="1AFE451F" w14:textId="77777777" w:rsidR="00465205" w:rsidRPr="00C21933" w:rsidRDefault="00465205" w:rsidP="002A3889">
      <w:pPr>
        <w:pStyle w:val="ListParagraph"/>
        <w:numPr>
          <w:ilvl w:val="0"/>
          <w:numId w:val="315"/>
        </w:numPr>
        <w:spacing w:after="0" w:line="240" w:lineRule="auto"/>
        <w:ind w:left="1276" w:hanging="709"/>
        <w:rPr>
          <w:rFonts w:eastAsia="Calibri" w:cstheme="minorHAnsi"/>
        </w:rPr>
      </w:pPr>
      <w:r w:rsidRPr="00C21933">
        <w:rPr>
          <w:rFonts w:eastAsia="Calibri" w:cstheme="minorHAnsi"/>
        </w:rPr>
        <w:t xml:space="preserve">Where development does not proceed within the timeframe for which planning approval is granted (24 months), the requirement for public art will no longer apply unless an extension of the development approval has been granted by the Responsible Authority. </w:t>
      </w:r>
    </w:p>
    <w:p w14:paraId="27AE7355" w14:textId="77777777" w:rsidR="00465205" w:rsidRPr="00C21933" w:rsidRDefault="00465205" w:rsidP="00465205">
      <w:pPr>
        <w:spacing w:before="200" w:after="0" w:line="240" w:lineRule="auto"/>
        <w:ind w:left="1276" w:hanging="709"/>
        <w:jc w:val="both"/>
        <w:rPr>
          <w:rFonts w:cstheme="minorHAnsi"/>
          <w:b/>
          <w:szCs w:val="24"/>
          <w:lang w:val="en-GB"/>
        </w:rPr>
      </w:pPr>
      <w:r w:rsidRPr="00C21933">
        <w:rPr>
          <w:rFonts w:eastAsia="Calibri" w:cstheme="minorHAnsi"/>
          <w:b/>
        </w:rPr>
        <w:t>2.1.2</w:t>
      </w:r>
      <w:r w:rsidRPr="00C21933">
        <w:rPr>
          <w:rFonts w:eastAsia="Calibri" w:cstheme="minorHAnsi"/>
          <w:b/>
        </w:rPr>
        <w:tab/>
      </w:r>
      <w:r w:rsidRPr="00C21933">
        <w:rPr>
          <w:rFonts w:cstheme="minorHAnsi"/>
          <w:b/>
          <w:szCs w:val="24"/>
          <w:lang w:val="en-GB"/>
        </w:rPr>
        <w:t xml:space="preserve">Cash-in-lieu Contribution </w:t>
      </w:r>
    </w:p>
    <w:p w14:paraId="6A8B38C7" w14:textId="77777777" w:rsidR="00465205" w:rsidRPr="00C21933" w:rsidRDefault="00465205" w:rsidP="00465205">
      <w:pPr>
        <w:spacing w:after="0" w:line="240" w:lineRule="auto"/>
        <w:ind w:left="1276"/>
        <w:rPr>
          <w:rFonts w:eastAsia="Calibri" w:cstheme="minorHAnsi"/>
        </w:rPr>
      </w:pPr>
      <w:r w:rsidRPr="00C21933">
        <w:rPr>
          <w:rFonts w:eastAsia="Calibri" w:cstheme="minorHAnsi"/>
          <w:b/>
        </w:rPr>
        <w:t>Collection and expenditure of cash-in-lieu for public art</w:t>
      </w:r>
      <w:r w:rsidRPr="00C21933">
        <w:rPr>
          <w:rFonts w:eastAsia="Calibri" w:cstheme="minorHAnsi"/>
        </w:rPr>
        <w:t xml:space="preserve"> </w:t>
      </w:r>
    </w:p>
    <w:p w14:paraId="7A0E0D45" w14:textId="77777777" w:rsidR="00465205" w:rsidRPr="00C21933" w:rsidRDefault="00465205" w:rsidP="002A3889">
      <w:pPr>
        <w:pStyle w:val="ListParagraph"/>
        <w:numPr>
          <w:ilvl w:val="0"/>
          <w:numId w:val="323"/>
        </w:numPr>
        <w:spacing w:after="60" w:line="240" w:lineRule="auto"/>
        <w:ind w:left="1276" w:hanging="709"/>
        <w:contextualSpacing w:val="0"/>
        <w:rPr>
          <w:rFonts w:eastAsia="Calibri" w:cstheme="minorHAnsi"/>
        </w:rPr>
      </w:pPr>
      <w:r w:rsidRPr="00C21933">
        <w:rPr>
          <w:rFonts w:eastAsia="Calibri" w:cstheme="minorHAnsi"/>
        </w:rPr>
        <w:t xml:space="preserve">Cash-in-lieu shall be paid </w:t>
      </w:r>
      <w:r w:rsidRPr="00C21933">
        <w:rPr>
          <w:rFonts w:cstheme="minorHAnsi"/>
        </w:rPr>
        <w:t>into Council's Arts &amp; Sculpture Reserve.</w:t>
      </w:r>
    </w:p>
    <w:p w14:paraId="08200E40" w14:textId="77777777" w:rsidR="00465205" w:rsidRPr="00C21933" w:rsidRDefault="00465205" w:rsidP="002A3889">
      <w:pPr>
        <w:pStyle w:val="ListParagraph"/>
        <w:numPr>
          <w:ilvl w:val="0"/>
          <w:numId w:val="323"/>
        </w:numPr>
        <w:spacing w:after="60" w:line="240" w:lineRule="auto"/>
        <w:ind w:left="1276" w:hanging="709"/>
        <w:contextualSpacing w:val="0"/>
        <w:jc w:val="both"/>
        <w:rPr>
          <w:rFonts w:cstheme="minorHAnsi"/>
          <w:szCs w:val="24"/>
          <w:lang w:val="en-GB"/>
        </w:rPr>
      </w:pPr>
      <w:r w:rsidRPr="00C21933">
        <w:rPr>
          <w:rFonts w:cstheme="minorHAnsi"/>
        </w:rPr>
        <w:t xml:space="preserve">Contributions </w:t>
      </w:r>
      <w:r w:rsidRPr="00C21933">
        <w:rPr>
          <w:rFonts w:cstheme="minorHAnsi"/>
          <w:szCs w:val="24"/>
          <w:lang w:val="en-GB"/>
        </w:rPr>
        <w:t>within a domain area may be accrued in the Arts &amp; Sculpture Reserve, for larger public art projects.</w:t>
      </w:r>
    </w:p>
    <w:p w14:paraId="50CF5C3B" w14:textId="77777777" w:rsidR="00465205" w:rsidRPr="00C21933" w:rsidRDefault="00465205" w:rsidP="002A3889">
      <w:pPr>
        <w:pStyle w:val="ListParagraph"/>
        <w:numPr>
          <w:ilvl w:val="0"/>
          <w:numId w:val="323"/>
        </w:numPr>
        <w:spacing w:after="60" w:line="240" w:lineRule="auto"/>
        <w:ind w:left="1276" w:hanging="709"/>
        <w:contextualSpacing w:val="0"/>
        <w:rPr>
          <w:rFonts w:eastAsia="Calibri" w:cstheme="minorHAnsi"/>
        </w:rPr>
      </w:pPr>
      <w:r w:rsidRPr="00C21933">
        <w:rPr>
          <w:rFonts w:eastAsia="Calibri" w:cstheme="minorHAnsi"/>
        </w:rPr>
        <w:t>Where applicable, the Town is to have received the cash-in-lieu contribution prior to the issue of an Occupancy Permit.</w:t>
      </w:r>
    </w:p>
    <w:p w14:paraId="3E121901" w14:textId="77777777" w:rsidR="00465205" w:rsidRPr="00C21933" w:rsidRDefault="00465205" w:rsidP="002A3889">
      <w:pPr>
        <w:pStyle w:val="ListParagraph"/>
        <w:numPr>
          <w:ilvl w:val="0"/>
          <w:numId w:val="323"/>
        </w:numPr>
        <w:spacing w:after="60" w:line="240" w:lineRule="auto"/>
        <w:ind w:left="1276" w:hanging="709"/>
        <w:contextualSpacing w:val="0"/>
        <w:rPr>
          <w:rFonts w:eastAsia="Calibri" w:cstheme="minorHAnsi"/>
        </w:rPr>
      </w:pPr>
      <w:r w:rsidRPr="00C21933">
        <w:rPr>
          <w:rFonts w:eastAsia="Calibri" w:cstheme="minorHAnsi"/>
        </w:rPr>
        <w:t>Funds are to only be expended on public art located on public land within the vicinity of the development (for instance adjacent to the site or within the Town Centre) unless otherwise agreed between the applicant and the Council.</w:t>
      </w:r>
    </w:p>
    <w:p w14:paraId="5755FF79" w14:textId="77777777" w:rsidR="00465205" w:rsidRPr="00C21933" w:rsidRDefault="00465205" w:rsidP="002A3889">
      <w:pPr>
        <w:pStyle w:val="ListParagraph"/>
        <w:numPr>
          <w:ilvl w:val="0"/>
          <w:numId w:val="323"/>
        </w:numPr>
        <w:spacing w:after="60" w:line="240" w:lineRule="auto"/>
        <w:ind w:left="1276" w:hanging="709"/>
        <w:contextualSpacing w:val="0"/>
        <w:rPr>
          <w:rFonts w:eastAsia="Calibri" w:cstheme="minorHAnsi"/>
        </w:rPr>
      </w:pPr>
      <w:r w:rsidRPr="00C21933">
        <w:rPr>
          <w:rFonts w:eastAsia="Calibri" w:cstheme="minorHAnsi"/>
        </w:rPr>
        <w:t>Cash-in-lieu funds may be accrued for more comprehensive public art projects as determined by the Town.</w:t>
      </w:r>
    </w:p>
    <w:p w14:paraId="1936A312" w14:textId="77777777" w:rsidR="00465205" w:rsidRPr="00C21933" w:rsidRDefault="00465205" w:rsidP="002A3889">
      <w:pPr>
        <w:pStyle w:val="ListParagraph"/>
        <w:numPr>
          <w:ilvl w:val="0"/>
          <w:numId w:val="323"/>
        </w:numPr>
        <w:spacing w:after="60" w:line="240" w:lineRule="auto"/>
        <w:ind w:left="1276" w:hanging="709"/>
        <w:contextualSpacing w:val="0"/>
        <w:rPr>
          <w:rFonts w:eastAsia="Calibri" w:cstheme="minorHAnsi"/>
        </w:rPr>
      </w:pPr>
      <w:r w:rsidRPr="00C21933">
        <w:rPr>
          <w:rFonts w:eastAsia="Calibri" w:cstheme="minorHAnsi"/>
        </w:rPr>
        <w:t>Cash-in-lieu funds may be used towards maintenance of public artworks.</w:t>
      </w:r>
    </w:p>
    <w:p w14:paraId="601AA268" w14:textId="77777777" w:rsidR="00465205" w:rsidRPr="00C21933" w:rsidRDefault="00465205" w:rsidP="002A3889">
      <w:pPr>
        <w:pStyle w:val="ListParagraph"/>
        <w:numPr>
          <w:ilvl w:val="0"/>
          <w:numId w:val="323"/>
        </w:numPr>
        <w:spacing w:after="0" w:line="240" w:lineRule="auto"/>
        <w:ind w:left="1276" w:hanging="709"/>
        <w:rPr>
          <w:rFonts w:cstheme="minorHAnsi"/>
        </w:rPr>
      </w:pPr>
      <w:r w:rsidRPr="00C21933">
        <w:rPr>
          <w:rFonts w:eastAsia="Calibri" w:cstheme="minorHAnsi"/>
        </w:rPr>
        <w:t>Funds will be refunded to the owner/applicant in the event the development does not proceed.</w:t>
      </w:r>
    </w:p>
    <w:p w14:paraId="78D56ACF" w14:textId="77777777" w:rsidR="00465205" w:rsidRPr="00C21933" w:rsidRDefault="00465205" w:rsidP="002A3889">
      <w:pPr>
        <w:pStyle w:val="ListParagraph"/>
        <w:numPr>
          <w:ilvl w:val="1"/>
          <w:numId w:val="317"/>
        </w:numPr>
        <w:spacing w:before="200" w:after="0" w:line="240" w:lineRule="auto"/>
        <w:ind w:left="426" w:hanging="426"/>
        <w:contextualSpacing w:val="0"/>
        <w:jc w:val="both"/>
        <w:rPr>
          <w:rFonts w:cstheme="minorHAnsi"/>
          <w:b/>
          <w:szCs w:val="24"/>
          <w:lang w:val="en-GB"/>
        </w:rPr>
      </w:pPr>
      <w:r w:rsidRPr="00C21933">
        <w:rPr>
          <w:rFonts w:cstheme="minorHAnsi"/>
          <w:b/>
          <w:szCs w:val="24"/>
          <w:lang w:val="en-GB"/>
        </w:rPr>
        <w:t xml:space="preserve">Initiation </w:t>
      </w:r>
    </w:p>
    <w:p w14:paraId="2E6F9125" w14:textId="77777777" w:rsidR="00465205" w:rsidRPr="00C21933" w:rsidRDefault="00465205" w:rsidP="00465205">
      <w:pPr>
        <w:spacing w:line="240" w:lineRule="auto"/>
        <w:ind w:left="425"/>
        <w:jc w:val="both"/>
        <w:rPr>
          <w:rFonts w:cstheme="minorHAnsi"/>
          <w:szCs w:val="24"/>
          <w:lang w:val="en-GB"/>
        </w:rPr>
      </w:pPr>
      <w:r w:rsidRPr="00C21933">
        <w:rPr>
          <w:rFonts w:cstheme="minorHAnsi"/>
          <w:szCs w:val="24"/>
          <w:lang w:val="en-GB"/>
        </w:rPr>
        <w:t>Applicants are required to contact the Town for information about the appropriate approval processes.</w:t>
      </w:r>
      <w:r w:rsidRPr="00C21933">
        <w:rPr>
          <w:rFonts w:cstheme="minorHAnsi"/>
          <w:b/>
          <w:szCs w:val="24"/>
          <w:lang w:val="en-GB"/>
        </w:rPr>
        <w:t xml:space="preserve"> </w:t>
      </w:r>
      <w:r w:rsidRPr="00C21933">
        <w:rPr>
          <w:rFonts w:cstheme="minorHAnsi"/>
          <w:szCs w:val="24"/>
          <w:lang w:val="en-GB"/>
        </w:rPr>
        <w:t>If the Town determines that an applicant is to develop a public artwork on site, then the applicant must engage a Public Art Consultant at the earliest opportunity.</w:t>
      </w:r>
    </w:p>
    <w:p w14:paraId="091FFB5B" w14:textId="77777777" w:rsidR="00465205" w:rsidRPr="00C21933" w:rsidRDefault="00465205" w:rsidP="00465205">
      <w:pPr>
        <w:spacing w:after="0" w:line="240" w:lineRule="auto"/>
        <w:ind w:left="426" w:hanging="426"/>
        <w:jc w:val="both"/>
        <w:rPr>
          <w:rFonts w:cstheme="minorHAnsi"/>
          <w:b/>
          <w:szCs w:val="24"/>
          <w:lang w:val="en-GB"/>
        </w:rPr>
      </w:pPr>
      <w:r w:rsidRPr="00C21933">
        <w:rPr>
          <w:rFonts w:cstheme="minorHAnsi"/>
          <w:b/>
          <w:szCs w:val="24"/>
          <w:lang w:val="en-GB"/>
        </w:rPr>
        <w:t xml:space="preserve">2.3 </w:t>
      </w:r>
      <w:r>
        <w:rPr>
          <w:rFonts w:cstheme="minorHAnsi"/>
          <w:b/>
          <w:szCs w:val="24"/>
          <w:lang w:val="en-GB"/>
        </w:rPr>
        <w:tab/>
      </w:r>
      <w:r w:rsidRPr="00C21933">
        <w:rPr>
          <w:rFonts w:cstheme="minorHAnsi"/>
          <w:b/>
          <w:szCs w:val="24"/>
          <w:lang w:val="en-GB"/>
        </w:rPr>
        <w:t>Development Approval Application</w:t>
      </w:r>
    </w:p>
    <w:p w14:paraId="2AFA8D67" w14:textId="77777777" w:rsidR="00465205" w:rsidRPr="00C21933" w:rsidRDefault="00465205" w:rsidP="00465205">
      <w:pPr>
        <w:spacing w:line="240" w:lineRule="auto"/>
        <w:ind w:left="426"/>
        <w:jc w:val="both"/>
        <w:rPr>
          <w:rFonts w:cstheme="minorHAnsi"/>
          <w:szCs w:val="24"/>
          <w:lang w:val="en-GB"/>
        </w:rPr>
      </w:pPr>
      <w:r w:rsidRPr="00C21933">
        <w:rPr>
          <w:rFonts w:cstheme="minorHAnsi"/>
          <w:szCs w:val="24"/>
          <w:lang w:val="en-GB"/>
        </w:rPr>
        <w:t xml:space="preserve">The applicant must submit a Public Art Report to the satisfaction of the Town with the Development Approval application. </w:t>
      </w:r>
    </w:p>
    <w:p w14:paraId="690F7CDC" w14:textId="77777777" w:rsidR="00465205" w:rsidRPr="00C21933" w:rsidRDefault="00465205" w:rsidP="00465205">
      <w:pPr>
        <w:spacing w:line="240" w:lineRule="auto"/>
        <w:ind w:left="426"/>
        <w:jc w:val="both"/>
        <w:rPr>
          <w:rFonts w:cstheme="minorHAnsi"/>
          <w:szCs w:val="24"/>
          <w:lang w:val="en-GB"/>
        </w:rPr>
      </w:pPr>
      <w:r w:rsidRPr="00C21933">
        <w:rPr>
          <w:rFonts w:cstheme="minorHAnsi"/>
          <w:szCs w:val="24"/>
          <w:lang w:val="en-GB"/>
        </w:rPr>
        <w:t>The Public Art Report will be assessed by the Town against this policy, the Public Art Policy, and the Public Art Strategy and any other statutory provisions that may be required.</w:t>
      </w:r>
    </w:p>
    <w:p w14:paraId="1235F8F7" w14:textId="77777777" w:rsidR="00465205" w:rsidRPr="00C21933" w:rsidRDefault="00465205" w:rsidP="00465205">
      <w:pPr>
        <w:spacing w:line="240" w:lineRule="auto"/>
        <w:ind w:left="360"/>
        <w:jc w:val="both"/>
        <w:rPr>
          <w:rFonts w:cstheme="minorHAnsi"/>
          <w:szCs w:val="24"/>
          <w:lang w:val="en-GB"/>
        </w:rPr>
      </w:pPr>
      <w:r w:rsidRPr="00C21933">
        <w:rPr>
          <w:rFonts w:cstheme="minorHAnsi"/>
          <w:szCs w:val="24"/>
          <w:lang w:val="en-GB"/>
        </w:rPr>
        <w:lastRenderedPageBreak/>
        <w:t xml:space="preserve">Alternatively, where the applicant elects, and the Council agrees, the public art contribution may be satisfied by cash-in-lieu. </w:t>
      </w:r>
    </w:p>
    <w:p w14:paraId="3B9CC491" w14:textId="77777777" w:rsidR="00465205" w:rsidRPr="00C21933" w:rsidRDefault="00465205" w:rsidP="002A3889">
      <w:pPr>
        <w:pStyle w:val="ListParagraph"/>
        <w:numPr>
          <w:ilvl w:val="1"/>
          <w:numId w:val="318"/>
        </w:numPr>
        <w:spacing w:after="0" w:line="240" w:lineRule="auto"/>
        <w:jc w:val="both"/>
        <w:rPr>
          <w:rFonts w:cstheme="minorHAnsi"/>
          <w:szCs w:val="24"/>
          <w:lang w:val="en-GB"/>
        </w:rPr>
      </w:pPr>
      <w:r w:rsidRPr="00C21933">
        <w:rPr>
          <w:rFonts w:cstheme="minorHAnsi"/>
          <w:b/>
          <w:szCs w:val="24"/>
          <w:lang w:val="en-GB"/>
        </w:rPr>
        <w:t>Prior to Occupancy</w:t>
      </w:r>
    </w:p>
    <w:p w14:paraId="082DC84B" w14:textId="77777777" w:rsidR="00465205" w:rsidRDefault="00465205" w:rsidP="00465205">
      <w:pPr>
        <w:spacing w:after="0" w:line="240" w:lineRule="auto"/>
        <w:rPr>
          <w:rFonts w:cstheme="minorHAnsi"/>
          <w:szCs w:val="24"/>
          <w:lang w:val="en-GB"/>
        </w:rPr>
      </w:pPr>
      <w:r w:rsidRPr="00C21933">
        <w:rPr>
          <w:rFonts w:cstheme="minorHAnsi"/>
          <w:szCs w:val="24"/>
          <w:lang w:val="en-GB"/>
        </w:rPr>
        <w:t xml:space="preserve">Prior to issue of an Occupancy Permit, the applicant must submit proof of a Section 70A Notification under the Land Administration Act being registered on the Certificate of Title, in accordance with Section 3.3 (PS.9) </w:t>
      </w:r>
    </w:p>
    <w:p w14:paraId="5F69A203" w14:textId="77777777" w:rsidR="00465205" w:rsidRPr="00EF56B4" w:rsidRDefault="00465205" w:rsidP="00465205">
      <w:pPr>
        <w:spacing w:before="200" w:after="0" w:line="240" w:lineRule="auto"/>
        <w:rPr>
          <w:rFonts w:cstheme="minorHAnsi"/>
          <w:b/>
          <w:sz w:val="24"/>
          <w:szCs w:val="24"/>
        </w:rPr>
      </w:pPr>
      <w:r w:rsidRPr="00EF56B4">
        <w:rPr>
          <w:rFonts w:cstheme="minorHAnsi"/>
          <w:b/>
          <w:sz w:val="24"/>
          <w:szCs w:val="24"/>
        </w:rPr>
        <w:t>Section 3: Development Approval Requirements</w:t>
      </w:r>
    </w:p>
    <w:p w14:paraId="727932D7" w14:textId="77777777" w:rsidR="00465205" w:rsidRPr="00C21933" w:rsidRDefault="00465205" w:rsidP="00465205">
      <w:pPr>
        <w:spacing w:after="60"/>
        <w:jc w:val="both"/>
        <w:rPr>
          <w:rFonts w:cstheme="minorHAnsi"/>
          <w:szCs w:val="24"/>
          <w:lang w:val="en-GB"/>
        </w:rPr>
      </w:pPr>
      <w:r w:rsidRPr="00C21933">
        <w:rPr>
          <w:rFonts w:cstheme="minorHAnsi"/>
          <w:szCs w:val="24"/>
          <w:lang w:val="en-GB"/>
        </w:rPr>
        <w:t>Development applications for public art must clearly demonstrate that the proposal meets the Performance Standards for Development Approval (see Section 3.3 of the Policy) and any other statutory provisions that may apply, including:</w:t>
      </w:r>
    </w:p>
    <w:p w14:paraId="2EA05592" w14:textId="77777777" w:rsidR="00465205" w:rsidRPr="00C21933" w:rsidRDefault="00465205" w:rsidP="002A3889">
      <w:pPr>
        <w:numPr>
          <w:ilvl w:val="0"/>
          <w:numId w:val="308"/>
        </w:numPr>
        <w:tabs>
          <w:tab w:val="clear" w:pos="720"/>
          <w:tab w:val="num" w:pos="426"/>
        </w:tabs>
        <w:spacing w:after="60" w:line="240" w:lineRule="auto"/>
        <w:ind w:left="426" w:hanging="426"/>
        <w:jc w:val="both"/>
        <w:rPr>
          <w:rFonts w:cstheme="minorHAnsi"/>
          <w:szCs w:val="24"/>
          <w:lang w:val="en-GB"/>
        </w:rPr>
      </w:pPr>
      <w:r w:rsidRPr="00C21933">
        <w:rPr>
          <w:rFonts w:cstheme="minorHAnsi"/>
          <w:szCs w:val="24"/>
          <w:lang w:val="en-GB"/>
        </w:rPr>
        <w:t xml:space="preserve">the objectives of this </w:t>
      </w:r>
      <w:proofErr w:type="gramStart"/>
      <w:r w:rsidRPr="00C21933">
        <w:rPr>
          <w:rFonts w:cstheme="minorHAnsi"/>
          <w:szCs w:val="24"/>
          <w:lang w:val="en-GB"/>
        </w:rPr>
        <w:t>policy;</w:t>
      </w:r>
      <w:proofErr w:type="gramEnd"/>
    </w:p>
    <w:p w14:paraId="57FF986E" w14:textId="77777777" w:rsidR="00465205" w:rsidRPr="00C21933" w:rsidRDefault="00465205" w:rsidP="002A3889">
      <w:pPr>
        <w:numPr>
          <w:ilvl w:val="0"/>
          <w:numId w:val="308"/>
        </w:numPr>
        <w:tabs>
          <w:tab w:val="clear" w:pos="720"/>
          <w:tab w:val="num" w:pos="426"/>
        </w:tabs>
        <w:spacing w:after="60" w:line="240" w:lineRule="auto"/>
        <w:ind w:left="426" w:hanging="426"/>
        <w:jc w:val="both"/>
        <w:rPr>
          <w:rFonts w:cstheme="minorHAnsi"/>
          <w:szCs w:val="24"/>
          <w:lang w:val="en-GB"/>
        </w:rPr>
      </w:pPr>
      <w:r w:rsidRPr="00C21933">
        <w:rPr>
          <w:rFonts w:cstheme="minorHAnsi"/>
          <w:szCs w:val="24"/>
          <w:lang w:val="en-GB"/>
        </w:rPr>
        <w:t>other development policies; and</w:t>
      </w:r>
    </w:p>
    <w:p w14:paraId="03879E5D" w14:textId="77777777" w:rsidR="00465205" w:rsidRPr="00C21933" w:rsidRDefault="00465205" w:rsidP="002A3889">
      <w:pPr>
        <w:numPr>
          <w:ilvl w:val="0"/>
          <w:numId w:val="308"/>
        </w:numPr>
        <w:tabs>
          <w:tab w:val="clear" w:pos="720"/>
          <w:tab w:val="num" w:pos="426"/>
        </w:tabs>
        <w:spacing w:after="0" w:line="240" w:lineRule="auto"/>
        <w:ind w:left="426" w:hanging="426"/>
        <w:jc w:val="both"/>
        <w:rPr>
          <w:rFonts w:cstheme="minorHAnsi"/>
          <w:szCs w:val="24"/>
          <w:lang w:val="en-GB"/>
        </w:rPr>
      </w:pPr>
      <w:r w:rsidRPr="00C21933">
        <w:rPr>
          <w:rFonts w:cstheme="minorHAnsi"/>
          <w:szCs w:val="24"/>
          <w:lang w:val="en-GB"/>
        </w:rPr>
        <w:t>and design or development guidelines that may apply to the site.</w:t>
      </w:r>
    </w:p>
    <w:p w14:paraId="04D30691" w14:textId="77777777" w:rsidR="00465205" w:rsidRPr="00C21933" w:rsidRDefault="00465205" w:rsidP="002A3889">
      <w:pPr>
        <w:pStyle w:val="ListParagraph"/>
        <w:numPr>
          <w:ilvl w:val="1"/>
          <w:numId w:val="319"/>
        </w:numPr>
        <w:spacing w:before="200" w:after="0" w:line="240" w:lineRule="auto"/>
        <w:ind w:left="426" w:hanging="426"/>
        <w:jc w:val="both"/>
        <w:rPr>
          <w:rFonts w:cstheme="minorHAnsi"/>
          <w:b/>
          <w:szCs w:val="24"/>
          <w:lang w:val="en-GB"/>
        </w:rPr>
      </w:pPr>
      <w:r w:rsidRPr="00C21933">
        <w:rPr>
          <w:rFonts w:cstheme="minorHAnsi"/>
          <w:b/>
          <w:szCs w:val="24"/>
          <w:lang w:val="en-GB"/>
        </w:rPr>
        <w:t>Development Application Submission Requirements</w:t>
      </w:r>
    </w:p>
    <w:p w14:paraId="2EAFA5AB" w14:textId="77777777" w:rsidR="00465205" w:rsidRPr="00C21933" w:rsidRDefault="00465205" w:rsidP="00465205">
      <w:pPr>
        <w:ind w:left="426"/>
        <w:jc w:val="both"/>
        <w:rPr>
          <w:rFonts w:cstheme="minorHAnsi"/>
          <w:lang w:val="en-GB" w:eastAsia="en-GB"/>
        </w:rPr>
      </w:pPr>
      <w:r w:rsidRPr="00C21933">
        <w:rPr>
          <w:rFonts w:cstheme="minorHAnsi"/>
          <w:lang w:val="en-GB"/>
        </w:rPr>
        <w:t xml:space="preserve">A Public Art Report for all proposed artworks is to be prepared and submitted with the Development Application to ensure public art is integrated into a public place, development site or building design. </w:t>
      </w:r>
    </w:p>
    <w:p w14:paraId="2373656B" w14:textId="77777777" w:rsidR="00465205" w:rsidRPr="00C21933" w:rsidRDefault="00465205" w:rsidP="00465205">
      <w:pPr>
        <w:spacing w:after="60"/>
        <w:ind w:left="426"/>
        <w:jc w:val="both"/>
        <w:rPr>
          <w:rFonts w:cstheme="minorHAnsi"/>
          <w:lang w:val="en-GB" w:eastAsia="en-GB"/>
        </w:rPr>
      </w:pPr>
      <w:r w:rsidRPr="00C21933">
        <w:rPr>
          <w:rFonts w:cstheme="minorHAnsi"/>
          <w:lang w:val="en-GB" w:eastAsia="en-GB"/>
        </w:rPr>
        <w:t xml:space="preserve">The </w:t>
      </w:r>
      <w:r w:rsidRPr="00C21933">
        <w:rPr>
          <w:rFonts w:cstheme="minorHAnsi"/>
          <w:lang w:val="en-GB"/>
        </w:rPr>
        <w:t>Public Art Report</w:t>
      </w:r>
      <w:r w:rsidRPr="00C21933">
        <w:rPr>
          <w:rFonts w:cstheme="minorHAnsi"/>
          <w:b/>
          <w:lang w:val="en-GB"/>
        </w:rPr>
        <w:t xml:space="preserve"> </w:t>
      </w:r>
      <w:r w:rsidRPr="00C21933">
        <w:rPr>
          <w:rFonts w:cstheme="minorHAnsi"/>
          <w:lang w:val="en-GB" w:eastAsia="en-GB"/>
        </w:rPr>
        <w:t>must be prepared by a Public Art Consultant or Artist and will include:</w:t>
      </w:r>
    </w:p>
    <w:p w14:paraId="1D067A9D" w14:textId="77777777" w:rsidR="00465205" w:rsidRPr="00C21933" w:rsidRDefault="00465205" w:rsidP="002A3889">
      <w:pPr>
        <w:pStyle w:val="ListParagraph"/>
        <w:numPr>
          <w:ilvl w:val="0"/>
          <w:numId w:val="314"/>
        </w:numPr>
        <w:spacing w:after="60" w:line="240" w:lineRule="auto"/>
        <w:ind w:hanging="654"/>
        <w:contextualSpacing w:val="0"/>
        <w:rPr>
          <w:rFonts w:cstheme="minorHAnsi"/>
        </w:rPr>
      </w:pPr>
      <w:r w:rsidRPr="00C21933">
        <w:rPr>
          <w:rFonts w:cstheme="minorHAnsi"/>
        </w:rPr>
        <w:t xml:space="preserve">Details of the artist's qualification, experience and suitability to the </w:t>
      </w:r>
      <w:proofErr w:type="gramStart"/>
      <w:r w:rsidRPr="00C21933">
        <w:rPr>
          <w:rFonts w:cstheme="minorHAnsi"/>
        </w:rPr>
        <w:t>project;</w:t>
      </w:r>
      <w:proofErr w:type="gramEnd"/>
    </w:p>
    <w:p w14:paraId="1C9A8A1E" w14:textId="77777777" w:rsidR="00465205" w:rsidRPr="00C21933" w:rsidRDefault="00465205" w:rsidP="002A3889">
      <w:pPr>
        <w:pStyle w:val="ListParagraph"/>
        <w:numPr>
          <w:ilvl w:val="0"/>
          <w:numId w:val="314"/>
        </w:numPr>
        <w:spacing w:after="60" w:line="240" w:lineRule="auto"/>
        <w:ind w:hanging="654"/>
        <w:contextualSpacing w:val="0"/>
        <w:rPr>
          <w:rFonts w:cstheme="minorHAnsi"/>
        </w:rPr>
      </w:pPr>
      <w:r w:rsidRPr="00C21933">
        <w:rPr>
          <w:rFonts w:cstheme="minorHAnsi"/>
        </w:rPr>
        <w:t xml:space="preserve">Design documentation - including research, concept development and a detailed statement addressing compliance with this Percent for Public Art Policy, Public Art Policy and Public Art </w:t>
      </w:r>
      <w:proofErr w:type="gramStart"/>
      <w:r w:rsidRPr="00C21933">
        <w:rPr>
          <w:rFonts w:cstheme="minorHAnsi"/>
        </w:rPr>
        <w:t>Strategy;</w:t>
      </w:r>
      <w:proofErr w:type="gramEnd"/>
      <w:r w:rsidRPr="00C21933">
        <w:rPr>
          <w:rFonts w:cstheme="minorHAnsi"/>
        </w:rPr>
        <w:t xml:space="preserve"> </w:t>
      </w:r>
    </w:p>
    <w:p w14:paraId="6FB15366" w14:textId="77777777" w:rsidR="00465205" w:rsidRPr="00C21933" w:rsidRDefault="00465205" w:rsidP="002A3889">
      <w:pPr>
        <w:pStyle w:val="ListParagraph"/>
        <w:numPr>
          <w:ilvl w:val="0"/>
          <w:numId w:val="314"/>
        </w:numPr>
        <w:spacing w:after="60" w:line="240" w:lineRule="auto"/>
        <w:ind w:hanging="654"/>
        <w:contextualSpacing w:val="0"/>
        <w:rPr>
          <w:rFonts w:cstheme="minorHAnsi"/>
        </w:rPr>
      </w:pPr>
      <w:r w:rsidRPr="00C21933">
        <w:rPr>
          <w:rFonts w:cstheme="minorHAnsi"/>
        </w:rPr>
        <w:t xml:space="preserve">Detailed plans of the public art. Plans are to be to scale and include dimensions, materials, colours and installation </w:t>
      </w:r>
      <w:proofErr w:type="gramStart"/>
      <w:r w:rsidRPr="00C21933">
        <w:rPr>
          <w:rFonts w:cstheme="minorHAnsi"/>
        </w:rPr>
        <w:t>details;</w:t>
      </w:r>
      <w:proofErr w:type="gramEnd"/>
      <w:r w:rsidRPr="00C21933">
        <w:rPr>
          <w:rFonts w:cstheme="minorHAnsi"/>
        </w:rPr>
        <w:t xml:space="preserve"> </w:t>
      </w:r>
    </w:p>
    <w:p w14:paraId="00D95A3B" w14:textId="77777777" w:rsidR="00465205" w:rsidRPr="00C21933" w:rsidRDefault="00465205" w:rsidP="002A3889">
      <w:pPr>
        <w:pStyle w:val="ListParagraph"/>
        <w:numPr>
          <w:ilvl w:val="0"/>
          <w:numId w:val="314"/>
        </w:numPr>
        <w:spacing w:after="60" w:line="240" w:lineRule="auto"/>
        <w:ind w:hanging="654"/>
        <w:contextualSpacing w:val="0"/>
        <w:rPr>
          <w:rFonts w:cstheme="minorHAnsi"/>
        </w:rPr>
      </w:pPr>
      <w:r w:rsidRPr="00C21933">
        <w:rPr>
          <w:rFonts w:cstheme="minorHAnsi"/>
        </w:rPr>
        <w:t xml:space="preserve">Plans showing location of proposed public </w:t>
      </w:r>
      <w:proofErr w:type="gramStart"/>
      <w:r w:rsidRPr="00C21933">
        <w:rPr>
          <w:rFonts w:cstheme="minorHAnsi"/>
        </w:rPr>
        <w:t>art;</w:t>
      </w:r>
      <w:proofErr w:type="gramEnd"/>
      <w:r w:rsidRPr="00C21933">
        <w:rPr>
          <w:rFonts w:cstheme="minorHAnsi"/>
        </w:rPr>
        <w:t xml:space="preserve"> </w:t>
      </w:r>
    </w:p>
    <w:p w14:paraId="2D674BBF" w14:textId="77777777" w:rsidR="00465205" w:rsidRPr="00C21933" w:rsidRDefault="00465205" w:rsidP="002A3889">
      <w:pPr>
        <w:pStyle w:val="ListParagraph"/>
        <w:numPr>
          <w:ilvl w:val="0"/>
          <w:numId w:val="314"/>
        </w:numPr>
        <w:spacing w:after="60" w:line="240" w:lineRule="auto"/>
        <w:ind w:hanging="654"/>
        <w:contextualSpacing w:val="0"/>
        <w:rPr>
          <w:rFonts w:cstheme="minorHAnsi"/>
        </w:rPr>
      </w:pPr>
      <w:r w:rsidRPr="00C21933">
        <w:rPr>
          <w:rFonts w:cstheme="minorHAnsi"/>
        </w:rPr>
        <w:t xml:space="preserve">Details of cost calculations including construction cost and the public art contributions costs, in accordance with this </w:t>
      </w:r>
      <w:proofErr w:type="gramStart"/>
      <w:r w:rsidRPr="00C21933">
        <w:rPr>
          <w:rFonts w:cstheme="minorHAnsi"/>
        </w:rPr>
        <w:t>Policy;</w:t>
      </w:r>
      <w:proofErr w:type="gramEnd"/>
      <w:r w:rsidRPr="00C21933">
        <w:rPr>
          <w:rFonts w:cstheme="minorHAnsi"/>
        </w:rPr>
        <w:t xml:space="preserve"> </w:t>
      </w:r>
    </w:p>
    <w:p w14:paraId="6ED1AEB5" w14:textId="77777777" w:rsidR="00465205" w:rsidRPr="00C21933" w:rsidRDefault="00465205" w:rsidP="002A3889">
      <w:pPr>
        <w:pStyle w:val="ListParagraph"/>
        <w:numPr>
          <w:ilvl w:val="0"/>
          <w:numId w:val="314"/>
        </w:numPr>
        <w:spacing w:after="60" w:line="240" w:lineRule="auto"/>
        <w:ind w:hanging="654"/>
        <w:contextualSpacing w:val="0"/>
        <w:rPr>
          <w:rFonts w:cstheme="minorHAnsi"/>
        </w:rPr>
      </w:pPr>
      <w:r w:rsidRPr="00C21933">
        <w:rPr>
          <w:rFonts w:cstheme="minorHAnsi"/>
        </w:rPr>
        <w:t xml:space="preserve">For public art to be located on or over the public land, written consent of the landowner and/or authority with management control of the land; and </w:t>
      </w:r>
    </w:p>
    <w:p w14:paraId="7D2856AA" w14:textId="77777777" w:rsidR="00465205" w:rsidRPr="00C21933" w:rsidRDefault="00465205" w:rsidP="002A3889">
      <w:pPr>
        <w:pStyle w:val="ListParagraph"/>
        <w:numPr>
          <w:ilvl w:val="0"/>
          <w:numId w:val="314"/>
        </w:numPr>
        <w:spacing w:after="0" w:line="240" w:lineRule="auto"/>
        <w:ind w:hanging="654"/>
        <w:contextualSpacing w:val="0"/>
        <w:rPr>
          <w:rFonts w:cstheme="minorHAnsi"/>
        </w:rPr>
      </w:pPr>
      <w:r w:rsidRPr="00C21933">
        <w:rPr>
          <w:rFonts w:cstheme="minorHAnsi"/>
        </w:rPr>
        <w:t xml:space="preserve">Details of requirements and written consent from the artist for any </w:t>
      </w:r>
      <w:proofErr w:type="gramStart"/>
      <w:r w:rsidRPr="00C21933">
        <w:rPr>
          <w:rFonts w:cstheme="minorHAnsi"/>
        </w:rPr>
        <w:t>ongoing  operational</w:t>
      </w:r>
      <w:proofErr w:type="gramEnd"/>
      <w:r w:rsidRPr="00C21933">
        <w:rPr>
          <w:rFonts w:cstheme="minorHAnsi"/>
        </w:rPr>
        <w:t xml:space="preserve"> details, care and/or maintenance of the artwork by the owner or the Town.</w:t>
      </w:r>
    </w:p>
    <w:p w14:paraId="0F91B890" w14:textId="77777777" w:rsidR="00465205" w:rsidRPr="00C21933" w:rsidRDefault="00465205" w:rsidP="002A3889">
      <w:pPr>
        <w:pStyle w:val="ListParagraph"/>
        <w:numPr>
          <w:ilvl w:val="1"/>
          <w:numId w:val="319"/>
        </w:numPr>
        <w:spacing w:before="200" w:after="0" w:line="240" w:lineRule="auto"/>
        <w:ind w:left="425" w:hanging="425"/>
        <w:contextualSpacing w:val="0"/>
        <w:jc w:val="both"/>
        <w:rPr>
          <w:rFonts w:cstheme="minorHAnsi"/>
          <w:b/>
          <w:szCs w:val="24"/>
          <w:lang w:val="en-GB"/>
        </w:rPr>
      </w:pPr>
      <w:r w:rsidRPr="00C21933">
        <w:rPr>
          <w:rFonts w:cstheme="minorHAnsi"/>
          <w:b/>
          <w:szCs w:val="24"/>
          <w:lang w:val="en-GB"/>
        </w:rPr>
        <w:t>Structure Plan Submission Requirements</w:t>
      </w:r>
    </w:p>
    <w:p w14:paraId="64622914" w14:textId="77777777" w:rsidR="00465205" w:rsidRPr="00C21933" w:rsidRDefault="00465205" w:rsidP="00465205">
      <w:pPr>
        <w:ind w:left="426"/>
        <w:jc w:val="both"/>
        <w:rPr>
          <w:rFonts w:cstheme="minorHAnsi"/>
          <w:szCs w:val="24"/>
          <w:lang w:val="en-GB"/>
        </w:rPr>
      </w:pPr>
      <w:r w:rsidRPr="00C21933">
        <w:rPr>
          <w:rFonts w:cstheme="minorHAnsi"/>
          <w:szCs w:val="24"/>
          <w:lang w:val="en-GB"/>
        </w:rPr>
        <w:t>For large scale development projects, such as those requiring a Structure Plan, a Public Art Strategy is required to be prepared</w:t>
      </w:r>
      <w:r w:rsidRPr="00C21933">
        <w:rPr>
          <w:rFonts w:cstheme="minorHAnsi"/>
          <w:szCs w:val="24"/>
          <w:lang w:val="en-GB" w:eastAsia="en-GB"/>
        </w:rPr>
        <w:t xml:space="preserve"> by a Public Art Consultant</w:t>
      </w:r>
      <w:r w:rsidRPr="00C21933">
        <w:rPr>
          <w:rFonts w:cstheme="minorHAnsi"/>
          <w:szCs w:val="24"/>
          <w:lang w:val="en-GB"/>
        </w:rPr>
        <w:t>, outlining the themes, locations and installation staging of artwork across the development site/s.</w:t>
      </w:r>
    </w:p>
    <w:p w14:paraId="24CECA05" w14:textId="77777777" w:rsidR="00465205" w:rsidRPr="00C21933" w:rsidRDefault="00465205" w:rsidP="002A3889">
      <w:pPr>
        <w:pStyle w:val="ListParagraph"/>
        <w:numPr>
          <w:ilvl w:val="1"/>
          <w:numId w:val="319"/>
        </w:numPr>
        <w:spacing w:after="0" w:line="240" w:lineRule="auto"/>
        <w:ind w:left="426" w:hanging="426"/>
        <w:jc w:val="both"/>
        <w:rPr>
          <w:rFonts w:cstheme="minorHAnsi"/>
          <w:b/>
          <w:szCs w:val="24"/>
          <w:lang w:val="en-GB"/>
        </w:rPr>
      </w:pPr>
      <w:r w:rsidRPr="00C21933">
        <w:rPr>
          <w:rFonts w:cstheme="minorHAnsi"/>
          <w:b/>
          <w:szCs w:val="24"/>
          <w:lang w:val="en-GB"/>
        </w:rPr>
        <w:t>Performance Standards for Development Approval</w:t>
      </w:r>
    </w:p>
    <w:p w14:paraId="2C28EEEB" w14:textId="77777777" w:rsidR="00465205" w:rsidRPr="00C21933" w:rsidRDefault="00465205" w:rsidP="00465205">
      <w:pPr>
        <w:spacing w:after="60"/>
        <w:ind w:left="1134" w:hanging="709"/>
        <w:jc w:val="both"/>
        <w:rPr>
          <w:rFonts w:cstheme="minorHAnsi"/>
          <w:szCs w:val="24"/>
          <w:lang w:val="en-GB"/>
        </w:rPr>
      </w:pPr>
      <w:r w:rsidRPr="00C21933">
        <w:rPr>
          <w:rFonts w:cstheme="minorHAnsi"/>
          <w:b/>
          <w:szCs w:val="24"/>
          <w:lang w:val="en-GB"/>
        </w:rPr>
        <w:t>PS1.</w:t>
      </w:r>
      <w:r w:rsidRPr="00C21933">
        <w:rPr>
          <w:rFonts w:cstheme="minorHAnsi"/>
          <w:b/>
          <w:szCs w:val="24"/>
          <w:lang w:val="en-GB"/>
        </w:rPr>
        <w:tab/>
      </w:r>
      <w:r w:rsidRPr="00C21933">
        <w:rPr>
          <w:rFonts w:cstheme="minorHAnsi"/>
          <w:szCs w:val="24"/>
          <w:lang w:val="en-GB"/>
        </w:rPr>
        <w:t xml:space="preserve">Where it is determined that the applicant will commission a public artwork, the artwork is to be located within the lot boundaries of the development site. </w:t>
      </w:r>
    </w:p>
    <w:p w14:paraId="396283B0" w14:textId="77777777" w:rsidR="00465205" w:rsidRPr="00C21933" w:rsidRDefault="00465205" w:rsidP="00465205">
      <w:pPr>
        <w:spacing w:after="60"/>
        <w:ind w:left="1134" w:hanging="709"/>
        <w:jc w:val="both"/>
        <w:rPr>
          <w:rFonts w:cstheme="minorHAnsi"/>
          <w:szCs w:val="24"/>
          <w:lang w:val="en-GB"/>
        </w:rPr>
      </w:pPr>
      <w:r w:rsidRPr="00C21933">
        <w:rPr>
          <w:rFonts w:cstheme="minorHAnsi"/>
          <w:b/>
          <w:szCs w:val="24"/>
          <w:lang w:val="en-GB"/>
        </w:rPr>
        <w:t>PS2.</w:t>
      </w:r>
      <w:r w:rsidRPr="00C21933">
        <w:rPr>
          <w:rFonts w:cstheme="minorHAnsi"/>
          <w:b/>
          <w:szCs w:val="24"/>
          <w:lang w:val="en-GB"/>
        </w:rPr>
        <w:tab/>
      </w:r>
      <w:r w:rsidRPr="00C21933">
        <w:rPr>
          <w:rFonts w:cstheme="minorHAnsi"/>
          <w:szCs w:val="24"/>
          <w:lang w:val="en-GB"/>
        </w:rPr>
        <w:t>The artwork is to be designed and created by a professional artist (refer to definitions).</w:t>
      </w:r>
    </w:p>
    <w:p w14:paraId="1362DA5F" w14:textId="77777777" w:rsidR="00465205" w:rsidRPr="00C21933" w:rsidRDefault="00465205" w:rsidP="00465205">
      <w:pPr>
        <w:spacing w:after="60"/>
        <w:ind w:left="1134" w:hanging="709"/>
        <w:jc w:val="both"/>
        <w:rPr>
          <w:rFonts w:cstheme="minorHAnsi"/>
          <w:szCs w:val="24"/>
          <w:lang w:val="en-GB"/>
        </w:rPr>
      </w:pPr>
      <w:r w:rsidRPr="00C21933">
        <w:rPr>
          <w:rFonts w:cstheme="minorHAnsi"/>
          <w:b/>
          <w:szCs w:val="24"/>
          <w:lang w:val="en-GB"/>
        </w:rPr>
        <w:t>PS3.</w:t>
      </w:r>
      <w:r w:rsidRPr="00C21933">
        <w:rPr>
          <w:rFonts w:cstheme="minorHAnsi"/>
          <w:b/>
          <w:szCs w:val="24"/>
          <w:lang w:val="en-GB"/>
        </w:rPr>
        <w:tab/>
      </w:r>
      <w:r w:rsidRPr="00C21933">
        <w:rPr>
          <w:rFonts w:cstheme="minorHAnsi"/>
          <w:szCs w:val="24"/>
          <w:lang w:val="en-GB"/>
        </w:rPr>
        <w:t>The artwork must be clearly visible from, or located in, the public realm.</w:t>
      </w:r>
    </w:p>
    <w:p w14:paraId="52602369" w14:textId="77777777" w:rsidR="00465205" w:rsidRPr="00C21933" w:rsidRDefault="00465205" w:rsidP="00465205">
      <w:pPr>
        <w:spacing w:after="60"/>
        <w:ind w:left="1134" w:hanging="709"/>
        <w:jc w:val="both"/>
        <w:rPr>
          <w:rFonts w:cstheme="minorHAnsi"/>
          <w:szCs w:val="24"/>
          <w:lang w:val="en-GB"/>
        </w:rPr>
      </w:pPr>
      <w:r w:rsidRPr="00C21933">
        <w:rPr>
          <w:rFonts w:cstheme="minorHAnsi"/>
          <w:b/>
          <w:szCs w:val="24"/>
          <w:lang w:val="en-GB"/>
        </w:rPr>
        <w:t>PS4.</w:t>
      </w:r>
      <w:r w:rsidRPr="00C21933">
        <w:rPr>
          <w:rFonts w:cstheme="minorHAnsi"/>
          <w:b/>
          <w:szCs w:val="24"/>
          <w:lang w:val="en-GB"/>
        </w:rPr>
        <w:tab/>
      </w:r>
      <w:r w:rsidRPr="00C21933">
        <w:rPr>
          <w:rFonts w:cstheme="minorHAnsi"/>
          <w:szCs w:val="24"/>
          <w:lang w:val="en-GB"/>
        </w:rPr>
        <w:t>The artwork must contribute to an attractive, stimulating environment and not detract from the amenity, safety or function of the public realm. </w:t>
      </w:r>
    </w:p>
    <w:p w14:paraId="4D3B5620" w14:textId="77777777" w:rsidR="00465205" w:rsidRPr="00C21933" w:rsidRDefault="00465205" w:rsidP="00465205">
      <w:pPr>
        <w:spacing w:after="60"/>
        <w:ind w:left="1134" w:hanging="709"/>
        <w:jc w:val="both"/>
        <w:rPr>
          <w:rFonts w:cstheme="minorHAnsi"/>
          <w:szCs w:val="24"/>
          <w:lang w:val="en-GB"/>
        </w:rPr>
      </w:pPr>
      <w:r w:rsidRPr="00C21933">
        <w:rPr>
          <w:rFonts w:cstheme="minorHAnsi"/>
          <w:b/>
          <w:szCs w:val="24"/>
          <w:lang w:val="en-GB"/>
        </w:rPr>
        <w:lastRenderedPageBreak/>
        <w:t>PS5.</w:t>
      </w:r>
      <w:r w:rsidRPr="00C21933">
        <w:rPr>
          <w:rFonts w:cstheme="minorHAnsi"/>
          <w:b/>
          <w:szCs w:val="24"/>
          <w:lang w:val="en-GB"/>
        </w:rPr>
        <w:tab/>
      </w:r>
      <w:r w:rsidRPr="00C21933">
        <w:rPr>
          <w:rFonts w:cstheme="minorHAnsi"/>
          <w:szCs w:val="24"/>
          <w:lang w:val="en-GB"/>
        </w:rPr>
        <w:t>The artwork is original and of high aesthetic quality.</w:t>
      </w:r>
    </w:p>
    <w:p w14:paraId="7863E170" w14:textId="77777777" w:rsidR="00465205" w:rsidRPr="00C21933" w:rsidRDefault="00465205" w:rsidP="00465205">
      <w:pPr>
        <w:spacing w:after="60"/>
        <w:ind w:left="1134" w:hanging="709"/>
        <w:jc w:val="both"/>
        <w:rPr>
          <w:rFonts w:cstheme="minorHAnsi"/>
          <w:szCs w:val="24"/>
          <w:lang w:val="en-GB"/>
        </w:rPr>
      </w:pPr>
      <w:r w:rsidRPr="00C21933">
        <w:rPr>
          <w:rFonts w:cstheme="minorHAnsi"/>
          <w:b/>
          <w:szCs w:val="24"/>
          <w:lang w:val="en-GB"/>
        </w:rPr>
        <w:t>PS6.</w:t>
      </w:r>
      <w:r w:rsidRPr="00C21933">
        <w:rPr>
          <w:rFonts w:cstheme="minorHAnsi"/>
          <w:b/>
          <w:szCs w:val="24"/>
          <w:lang w:val="en-GB"/>
        </w:rPr>
        <w:tab/>
      </w:r>
      <w:r w:rsidRPr="00C21933">
        <w:rPr>
          <w:rFonts w:cstheme="minorHAnsi"/>
          <w:szCs w:val="24"/>
          <w:lang w:val="en-GB"/>
        </w:rPr>
        <w:t>The artwork is permanent (i.e. for the life of the artwork stated in the maintenance Report) durable and easy to maintain.</w:t>
      </w:r>
    </w:p>
    <w:p w14:paraId="2ACC8165" w14:textId="77777777" w:rsidR="00465205" w:rsidRPr="00C21933" w:rsidRDefault="00465205" w:rsidP="00465205">
      <w:pPr>
        <w:spacing w:after="60"/>
        <w:ind w:left="1134" w:hanging="709"/>
        <w:jc w:val="both"/>
        <w:rPr>
          <w:rFonts w:cstheme="minorHAnsi"/>
          <w:szCs w:val="24"/>
          <w:lang w:val="en-GB"/>
        </w:rPr>
      </w:pPr>
      <w:r w:rsidRPr="00C21933">
        <w:rPr>
          <w:rFonts w:cstheme="minorHAnsi"/>
          <w:b/>
          <w:szCs w:val="24"/>
          <w:lang w:val="en-GB"/>
        </w:rPr>
        <w:t>PS7.</w:t>
      </w:r>
      <w:r w:rsidRPr="00C21933">
        <w:rPr>
          <w:rFonts w:cstheme="minorHAnsi"/>
          <w:b/>
          <w:szCs w:val="24"/>
          <w:lang w:val="en-GB"/>
        </w:rPr>
        <w:tab/>
      </w:r>
      <w:r w:rsidRPr="00C21933">
        <w:rPr>
          <w:rFonts w:cstheme="minorHAnsi"/>
          <w:szCs w:val="24"/>
          <w:lang w:val="en-GB"/>
        </w:rPr>
        <w:t>The artwork is consistent with any applicable public art policy or strategy prepared or approved by the Town of East Fremantle for the relevant project area or domain.</w:t>
      </w:r>
    </w:p>
    <w:p w14:paraId="028CD557" w14:textId="77777777" w:rsidR="00465205" w:rsidRPr="00C21933" w:rsidRDefault="00465205" w:rsidP="00465205">
      <w:pPr>
        <w:spacing w:after="60"/>
        <w:ind w:left="1134" w:hanging="709"/>
        <w:jc w:val="both"/>
        <w:rPr>
          <w:rFonts w:cstheme="minorHAnsi"/>
          <w:szCs w:val="24"/>
          <w:lang w:val="en-GB"/>
        </w:rPr>
      </w:pPr>
      <w:r w:rsidRPr="00C21933">
        <w:rPr>
          <w:rFonts w:cstheme="minorHAnsi"/>
          <w:b/>
          <w:szCs w:val="24"/>
          <w:lang w:val="en-GB"/>
        </w:rPr>
        <w:t>PS8.</w:t>
      </w:r>
      <w:r w:rsidRPr="00C21933">
        <w:rPr>
          <w:rFonts w:cstheme="minorHAnsi"/>
          <w:b/>
          <w:szCs w:val="24"/>
          <w:lang w:val="en-GB"/>
        </w:rPr>
        <w:tab/>
      </w:r>
      <w:r w:rsidRPr="00C21933">
        <w:rPr>
          <w:rFonts w:cstheme="minorHAnsi"/>
          <w:szCs w:val="24"/>
          <w:lang w:val="en-GB"/>
        </w:rPr>
        <w:t>A plaque or similar identifier is to be installed on, or near the public art which details the artist’s name, name of the installation and date of the installation.</w:t>
      </w:r>
    </w:p>
    <w:p w14:paraId="6FE10F51" w14:textId="77777777" w:rsidR="00465205" w:rsidRPr="00C21933" w:rsidRDefault="00465205" w:rsidP="00465205">
      <w:pPr>
        <w:ind w:left="1134" w:hanging="709"/>
        <w:jc w:val="both"/>
        <w:rPr>
          <w:rFonts w:cstheme="minorHAnsi"/>
          <w:szCs w:val="24"/>
          <w:lang w:val="en-GB"/>
        </w:rPr>
      </w:pPr>
      <w:r w:rsidRPr="00C21933">
        <w:rPr>
          <w:rFonts w:cstheme="minorHAnsi"/>
          <w:b/>
          <w:szCs w:val="24"/>
          <w:lang w:val="en-GB"/>
        </w:rPr>
        <w:t>PS9.</w:t>
      </w:r>
      <w:r w:rsidRPr="00C21933">
        <w:rPr>
          <w:rFonts w:cstheme="minorHAnsi"/>
          <w:szCs w:val="24"/>
          <w:lang w:val="en-GB"/>
        </w:rPr>
        <w:tab/>
        <w:t>A notification pursuant to Section 70A of the Transfer of Land Act is to be lodged against the Certificate of Title to the land on which the public art is located to make the proprietors and prospective purchasers aware of the requirements to maintain the public art, in accordance with Section 3.4 of this Policy.</w:t>
      </w:r>
    </w:p>
    <w:p w14:paraId="281596C8" w14:textId="77777777" w:rsidR="00465205" w:rsidRPr="00C21933" w:rsidRDefault="00465205" w:rsidP="002A3889">
      <w:pPr>
        <w:pStyle w:val="ListParagraph"/>
        <w:numPr>
          <w:ilvl w:val="1"/>
          <w:numId w:val="319"/>
        </w:numPr>
        <w:spacing w:before="20" w:after="20" w:line="240" w:lineRule="auto"/>
        <w:ind w:left="426" w:hanging="426"/>
        <w:jc w:val="both"/>
        <w:rPr>
          <w:rFonts w:cstheme="minorHAnsi"/>
          <w:b/>
        </w:rPr>
      </w:pPr>
      <w:r w:rsidRPr="00C21933">
        <w:rPr>
          <w:rFonts w:cstheme="minorHAnsi"/>
          <w:b/>
        </w:rPr>
        <w:t>Maintenance</w:t>
      </w:r>
    </w:p>
    <w:p w14:paraId="5F4646E7" w14:textId="77777777" w:rsidR="00465205" w:rsidRPr="00C21933" w:rsidRDefault="00465205" w:rsidP="00465205">
      <w:pPr>
        <w:ind w:left="426"/>
        <w:jc w:val="both"/>
        <w:rPr>
          <w:rFonts w:cstheme="minorHAnsi"/>
        </w:rPr>
      </w:pPr>
      <w:r w:rsidRPr="00C21933">
        <w:rPr>
          <w:rFonts w:cstheme="minorHAnsi"/>
        </w:rPr>
        <w:t xml:space="preserve">The applicant and any subsequent owner/s of the development are required to fully maintain the artwork to the satisfaction of the Council.  The artwork must be kept safe and in good condition, for the life stated in the Maintenance Report.  </w:t>
      </w:r>
    </w:p>
    <w:p w14:paraId="261AFA5D" w14:textId="77777777" w:rsidR="00465205" w:rsidRPr="00C21933" w:rsidRDefault="00465205" w:rsidP="00465205">
      <w:pPr>
        <w:ind w:left="426"/>
        <w:jc w:val="both"/>
        <w:rPr>
          <w:rFonts w:cstheme="minorHAnsi"/>
        </w:rPr>
      </w:pPr>
      <w:r w:rsidRPr="00C21933">
        <w:rPr>
          <w:rFonts w:cstheme="minorHAnsi"/>
        </w:rPr>
        <w:t>The applicant/s (and any subsequent owners) of the subject development are to comply with any reasonable request by the Council.</w:t>
      </w:r>
    </w:p>
    <w:p w14:paraId="74039195" w14:textId="77777777" w:rsidR="00465205" w:rsidRPr="00C21933" w:rsidRDefault="00465205" w:rsidP="002A3889">
      <w:pPr>
        <w:pStyle w:val="ListParagraph"/>
        <w:numPr>
          <w:ilvl w:val="1"/>
          <w:numId w:val="319"/>
        </w:numPr>
        <w:spacing w:before="20" w:after="20" w:line="240" w:lineRule="auto"/>
        <w:ind w:left="426" w:hanging="426"/>
        <w:jc w:val="both"/>
        <w:rPr>
          <w:rFonts w:cstheme="minorHAnsi"/>
          <w:b/>
        </w:rPr>
      </w:pPr>
      <w:r w:rsidRPr="00C21933">
        <w:rPr>
          <w:rFonts w:cstheme="minorHAnsi"/>
          <w:b/>
        </w:rPr>
        <w:t>Infringement and complaints</w:t>
      </w:r>
    </w:p>
    <w:p w14:paraId="47F4EC20" w14:textId="77777777" w:rsidR="00465205" w:rsidRPr="00C21933" w:rsidRDefault="00465205" w:rsidP="00465205">
      <w:pPr>
        <w:spacing w:after="60"/>
        <w:ind w:left="426"/>
        <w:jc w:val="both"/>
        <w:rPr>
          <w:rFonts w:cstheme="minorHAnsi"/>
        </w:rPr>
      </w:pPr>
      <w:r w:rsidRPr="00C21933">
        <w:rPr>
          <w:rFonts w:cstheme="minorHAnsi"/>
        </w:rPr>
        <w:t>The Town may act:</w:t>
      </w:r>
    </w:p>
    <w:p w14:paraId="1A137027" w14:textId="77777777" w:rsidR="00465205" w:rsidRPr="00C21933" w:rsidRDefault="00465205" w:rsidP="002A3889">
      <w:pPr>
        <w:numPr>
          <w:ilvl w:val="0"/>
          <w:numId w:val="310"/>
        </w:numPr>
        <w:spacing w:after="60" w:line="240" w:lineRule="auto"/>
        <w:ind w:hanging="294"/>
        <w:jc w:val="both"/>
        <w:rPr>
          <w:rFonts w:cstheme="minorHAnsi"/>
          <w:szCs w:val="24"/>
          <w:lang w:val="en-GB"/>
        </w:rPr>
      </w:pPr>
      <w:r w:rsidRPr="00C21933">
        <w:rPr>
          <w:rFonts w:cstheme="minorHAnsi"/>
        </w:rPr>
        <w:t xml:space="preserve">where the artwork has become unsafe, damaged, “tagged” with graffiti or vandalised or </w:t>
      </w:r>
      <w:proofErr w:type="gramStart"/>
      <w:r w:rsidRPr="00C21933">
        <w:rPr>
          <w:rFonts w:cstheme="minorHAnsi"/>
        </w:rPr>
        <w:t>irreparable;</w:t>
      </w:r>
      <w:proofErr w:type="gramEnd"/>
    </w:p>
    <w:p w14:paraId="76C24A8D" w14:textId="77777777" w:rsidR="00465205" w:rsidRPr="00C21933" w:rsidRDefault="00465205" w:rsidP="002A3889">
      <w:pPr>
        <w:numPr>
          <w:ilvl w:val="0"/>
          <w:numId w:val="310"/>
        </w:numPr>
        <w:spacing w:after="60" w:line="240" w:lineRule="auto"/>
        <w:ind w:hanging="294"/>
        <w:jc w:val="both"/>
        <w:rPr>
          <w:rFonts w:cstheme="minorHAnsi"/>
          <w:szCs w:val="24"/>
          <w:lang w:val="en-GB"/>
        </w:rPr>
      </w:pPr>
      <w:r w:rsidRPr="00C21933">
        <w:rPr>
          <w:rFonts w:cstheme="minorHAnsi"/>
        </w:rPr>
        <w:t>to allow future works in the public place; or</w:t>
      </w:r>
    </w:p>
    <w:p w14:paraId="16B300E1" w14:textId="77777777" w:rsidR="00465205" w:rsidRPr="00C21933" w:rsidRDefault="00465205" w:rsidP="002A3889">
      <w:pPr>
        <w:numPr>
          <w:ilvl w:val="0"/>
          <w:numId w:val="310"/>
        </w:numPr>
        <w:spacing w:after="0" w:line="240" w:lineRule="auto"/>
        <w:ind w:hanging="294"/>
        <w:jc w:val="both"/>
        <w:rPr>
          <w:rFonts w:cstheme="minorHAnsi"/>
          <w:szCs w:val="24"/>
          <w:lang w:val="en-GB"/>
        </w:rPr>
      </w:pPr>
      <w:r w:rsidRPr="00C21933">
        <w:rPr>
          <w:rFonts w:cstheme="minorHAnsi"/>
        </w:rPr>
        <w:t>where the artwork is not being maintained to the satisfaction of the Town.</w:t>
      </w:r>
      <w:r w:rsidRPr="00C21933">
        <w:rPr>
          <w:rFonts w:cstheme="minorHAnsi"/>
          <w:szCs w:val="24"/>
          <w:lang w:val="en-GB"/>
        </w:rPr>
        <w:br/>
      </w:r>
    </w:p>
    <w:p w14:paraId="6C3582BD" w14:textId="77777777" w:rsidR="00465205" w:rsidRPr="00C21933" w:rsidRDefault="00465205" w:rsidP="00465205">
      <w:pPr>
        <w:ind w:left="426"/>
        <w:jc w:val="both"/>
        <w:rPr>
          <w:rFonts w:cstheme="minorHAnsi"/>
        </w:rPr>
      </w:pPr>
      <w:r w:rsidRPr="00C21933">
        <w:rPr>
          <w:rFonts w:cstheme="minorHAnsi"/>
        </w:rPr>
        <w:t xml:space="preserve">If the applicant/owner fails to comply, the Town in its absolute discretion, after giving the owner of the artwork twenty-eight (28) days’ notice in writing of the Town’s intention to do so, and the owner failing to comply with the requirements of the notice, may carry out the requirements of the notice. This may include the removal of the </w:t>
      </w:r>
      <w:proofErr w:type="gramStart"/>
      <w:r w:rsidRPr="00C21933">
        <w:rPr>
          <w:rFonts w:cstheme="minorHAnsi"/>
        </w:rPr>
        <w:t>art work</w:t>
      </w:r>
      <w:proofErr w:type="gramEnd"/>
      <w:r w:rsidRPr="00C21933">
        <w:rPr>
          <w:rFonts w:cstheme="minorHAnsi"/>
        </w:rPr>
        <w:t xml:space="preserve"> from the site for either cleaning, repairing, storing, relocating permanently or temporarily, selling or otherwise disposing of the art work.</w:t>
      </w:r>
    </w:p>
    <w:p w14:paraId="5BE5860B" w14:textId="77777777" w:rsidR="00465205" w:rsidRPr="00C21933" w:rsidRDefault="00465205" w:rsidP="00465205">
      <w:pPr>
        <w:spacing w:before="20"/>
        <w:ind w:left="425"/>
        <w:jc w:val="both"/>
        <w:rPr>
          <w:rFonts w:cstheme="minorHAnsi"/>
          <w:b/>
        </w:rPr>
      </w:pPr>
      <w:r w:rsidRPr="00C21933">
        <w:rPr>
          <w:rFonts w:cstheme="minorHAnsi"/>
        </w:rPr>
        <w:t>The Town may recover any costs associated with such works from the applicant/owner.</w:t>
      </w:r>
      <w:r w:rsidRPr="00C21933">
        <w:rPr>
          <w:rFonts w:cstheme="minorHAnsi"/>
          <w:b/>
        </w:rPr>
        <w:t xml:space="preserve"> </w:t>
      </w:r>
    </w:p>
    <w:p w14:paraId="0F5437BB" w14:textId="77777777" w:rsidR="00465205" w:rsidRPr="00635833" w:rsidRDefault="00465205" w:rsidP="00465205">
      <w:pPr>
        <w:spacing w:after="0"/>
        <w:jc w:val="both"/>
        <w:rPr>
          <w:rFonts w:cstheme="minorHAnsi"/>
          <w:b/>
          <w:sz w:val="24"/>
          <w:szCs w:val="24"/>
        </w:rPr>
      </w:pPr>
      <w:r w:rsidRPr="00635833">
        <w:rPr>
          <w:rFonts w:cstheme="minorHAnsi"/>
          <w:b/>
          <w:sz w:val="24"/>
          <w:szCs w:val="24"/>
        </w:rPr>
        <w:t xml:space="preserve">Section 4: Related Policies and Plans  </w:t>
      </w:r>
    </w:p>
    <w:p w14:paraId="2CEAAB58" w14:textId="77777777" w:rsidR="00465205" w:rsidRPr="00C21933" w:rsidRDefault="00465205" w:rsidP="00465205">
      <w:pPr>
        <w:spacing w:after="60"/>
        <w:jc w:val="both"/>
        <w:rPr>
          <w:rFonts w:cstheme="minorHAnsi"/>
          <w:szCs w:val="24"/>
        </w:rPr>
      </w:pPr>
      <w:r w:rsidRPr="00C21933">
        <w:rPr>
          <w:rFonts w:cstheme="minorHAnsi"/>
          <w:szCs w:val="24"/>
        </w:rPr>
        <w:t>Interpretation and implementation of this Policy is in accordance with the Town of East Fremantle documents as outlined below.</w:t>
      </w:r>
    </w:p>
    <w:p w14:paraId="41BC2177" w14:textId="77777777" w:rsidR="00465205" w:rsidRPr="00C21933" w:rsidRDefault="00465205" w:rsidP="002A3889">
      <w:pPr>
        <w:numPr>
          <w:ilvl w:val="0"/>
          <w:numId w:val="309"/>
        </w:numPr>
        <w:tabs>
          <w:tab w:val="clear" w:pos="360"/>
        </w:tabs>
        <w:spacing w:after="60" w:line="240" w:lineRule="auto"/>
        <w:ind w:left="426" w:hanging="426"/>
        <w:jc w:val="both"/>
        <w:rPr>
          <w:rFonts w:cstheme="minorHAnsi"/>
          <w:szCs w:val="24"/>
        </w:rPr>
      </w:pPr>
      <w:r w:rsidRPr="00C21933">
        <w:rPr>
          <w:rFonts w:cstheme="minorHAnsi"/>
          <w:szCs w:val="24"/>
        </w:rPr>
        <w:t>Town of East Fremantle Public Art Strategy</w:t>
      </w:r>
    </w:p>
    <w:p w14:paraId="695CAB8B" w14:textId="77777777" w:rsidR="00465205" w:rsidRPr="00C21933" w:rsidRDefault="00465205" w:rsidP="002A3889">
      <w:pPr>
        <w:numPr>
          <w:ilvl w:val="0"/>
          <w:numId w:val="309"/>
        </w:numPr>
        <w:tabs>
          <w:tab w:val="clear" w:pos="360"/>
        </w:tabs>
        <w:spacing w:after="60" w:line="240" w:lineRule="auto"/>
        <w:ind w:left="426" w:hanging="426"/>
        <w:jc w:val="both"/>
        <w:rPr>
          <w:rFonts w:cstheme="minorHAnsi"/>
          <w:szCs w:val="24"/>
        </w:rPr>
      </w:pPr>
      <w:r w:rsidRPr="00C21933">
        <w:rPr>
          <w:rFonts w:cstheme="minorHAnsi"/>
          <w:szCs w:val="24"/>
        </w:rPr>
        <w:t>Town of East Fremantle Public Art Policy 4.2.5</w:t>
      </w:r>
    </w:p>
    <w:p w14:paraId="232DE11E" w14:textId="77777777" w:rsidR="00465205" w:rsidRPr="00C21933" w:rsidRDefault="00465205" w:rsidP="002A3889">
      <w:pPr>
        <w:numPr>
          <w:ilvl w:val="0"/>
          <w:numId w:val="309"/>
        </w:numPr>
        <w:tabs>
          <w:tab w:val="clear" w:pos="360"/>
        </w:tabs>
        <w:spacing w:after="0" w:line="240" w:lineRule="auto"/>
        <w:ind w:left="426" w:hanging="426"/>
        <w:jc w:val="both"/>
        <w:rPr>
          <w:rFonts w:cstheme="minorHAnsi"/>
          <w:szCs w:val="24"/>
        </w:rPr>
      </w:pPr>
      <w:r w:rsidRPr="00C21933">
        <w:rPr>
          <w:rFonts w:cstheme="minorHAnsi"/>
          <w:szCs w:val="24"/>
        </w:rPr>
        <w:t>Town of East Fremantle Public Art Panel Policy 4.1.5</w:t>
      </w:r>
    </w:p>
    <w:p w14:paraId="32220BC6" w14:textId="77777777" w:rsidR="00465205" w:rsidRPr="00C21933" w:rsidRDefault="00465205" w:rsidP="00465205">
      <w:pPr>
        <w:spacing w:before="200" w:after="0"/>
        <w:jc w:val="both"/>
        <w:rPr>
          <w:rFonts w:cstheme="minorHAnsi"/>
          <w:b/>
          <w:szCs w:val="24"/>
        </w:rPr>
      </w:pPr>
      <w:r w:rsidRPr="00C21933">
        <w:rPr>
          <w:rFonts w:cstheme="minorHAnsi"/>
          <w:b/>
          <w:szCs w:val="24"/>
        </w:rPr>
        <w:t>Other Related Policies or Plans</w:t>
      </w:r>
    </w:p>
    <w:p w14:paraId="5F2A7688" w14:textId="77777777" w:rsidR="00465205" w:rsidRPr="00C21933" w:rsidRDefault="00465205" w:rsidP="002A3889">
      <w:pPr>
        <w:pStyle w:val="ListParagraph"/>
        <w:numPr>
          <w:ilvl w:val="0"/>
          <w:numId w:val="322"/>
        </w:numPr>
        <w:ind w:left="426" w:hanging="426"/>
        <w:jc w:val="both"/>
        <w:rPr>
          <w:rFonts w:cstheme="minorHAnsi"/>
          <w:szCs w:val="24"/>
        </w:rPr>
      </w:pPr>
      <w:r w:rsidRPr="00C21933">
        <w:rPr>
          <w:rFonts w:cstheme="minorHAnsi"/>
          <w:szCs w:val="24"/>
        </w:rPr>
        <w:t xml:space="preserve">Town of East Fremantle Strategic Community Plan 2017-2027 </w:t>
      </w:r>
    </w:p>
    <w:p w14:paraId="7E80E013" w14:textId="77777777" w:rsidR="00A27277" w:rsidRDefault="00A27277">
      <w:pPr>
        <w:rPr>
          <w:rFonts w:cstheme="minorHAnsi"/>
          <w:b/>
          <w:sz w:val="24"/>
          <w:szCs w:val="24"/>
        </w:rPr>
      </w:pPr>
      <w:r>
        <w:rPr>
          <w:rFonts w:cstheme="minorHAnsi"/>
          <w:b/>
          <w:sz w:val="24"/>
          <w:szCs w:val="24"/>
        </w:rPr>
        <w:br w:type="page"/>
      </w:r>
    </w:p>
    <w:p w14:paraId="7B1223CF" w14:textId="7555FABB" w:rsidR="00465205" w:rsidRPr="00635833" w:rsidRDefault="00465205" w:rsidP="00465205">
      <w:pPr>
        <w:spacing w:after="60"/>
        <w:jc w:val="both"/>
        <w:rPr>
          <w:rFonts w:cstheme="minorHAnsi"/>
          <w:b/>
          <w:sz w:val="24"/>
          <w:szCs w:val="24"/>
        </w:rPr>
      </w:pPr>
      <w:r w:rsidRPr="00635833">
        <w:rPr>
          <w:rFonts w:cstheme="minorHAnsi"/>
          <w:b/>
          <w:sz w:val="24"/>
          <w:szCs w:val="24"/>
        </w:rPr>
        <w:lastRenderedPageBreak/>
        <w:t>Section 5:  Definitions</w:t>
      </w:r>
    </w:p>
    <w:p w14:paraId="01F4A554" w14:textId="77777777" w:rsidR="00465205" w:rsidRPr="00C21933" w:rsidRDefault="00465205" w:rsidP="00465205">
      <w:pPr>
        <w:spacing w:after="0"/>
        <w:jc w:val="both"/>
        <w:rPr>
          <w:rFonts w:cstheme="minorHAnsi"/>
          <w:b/>
          <w:i/>
          <w:szCs w:val="24"/>
        </w:rPr>
      </w:pPr>
      <w:r w:rsidRPr="00C21933">
        <w:rPr>
          <w:rFonts w:cstheme="minorHAnsi"/>
          <w:b/>
          <w:i/>
          <w:szCs w:val="24"/>
        </w:rPr>
        <w:t>Public Art</w:t>
      </w:r>
    </w:p>
    <w:p w14:paraId="21773500" w14:textId="77777777" w:rsidR="00465205" w:rsidRPr="00C21933" w:rsidRDefault="00465205" w:rsidP="00465205">
      <w:pPr>
        <w:spacing w:after="60"/>
        <w:jc w:val="both"/>
        <w:rPr>
          <w:rFonts w:cstheme="minorHAnsi"/>
          <w:i/>
          <w:szCs w:val="24"/>
        </w:rPr>
      </w:pPr>
      <w:r w:rsidRPr="00C21933">
        <w:rPr>
          <w:rFonts w:cstheme="minorHAnsi"/>
          <w:i/>
          <w:szCs w:val="24"/>
        </w:rPr>
        <w:t>For the purposes of this Policy, public art is defined as a work of art that is created by an artist, sited in a visually accessible public location. Public art can include (but is not limited to):</w:t>
      </w:r>
    </w:p>
    <w:p w14:paraId="7538FE4A" w14:textId="77777777" w:rsidR="00465205" w:rsidRPr="00C21933" w:rsidRDefault="00465205" w:rsidP="002A3889">
      <w:pPr>
        <w:numPr>
          <w:ilvl w:val="0"/>
          <w:numId w:val="320"/>
        </w:numPr>
        <w:spacing w:after="60" w:line="240" w:lineRule="auto"/>
        <w:jc w:val="both"/>
        <w:rPr>
          <w:rFonts w:cstheme="minorHAnsi"/>
          <w:i/>
          <w:szCs w:val="24"/>
        </w:rPr>
      </w:pPr>
      <w:r w:rsidRPr="00C21933">
        <w:rPr>
          <w:rFonts w:cstheme="minorHAnsi"/>
          <w:i/>
          <w:szCs w:val="24"/>
        </w:rPr>
        <w:t xml:space="preserve">the artistic treatment of functional equipment such as bike racks, benches, fountains, playground equipment, light posts or shade structures which are </w:t>
      </w:r>
      <w:proofErr w:type="gramStart"/>
      <w:r w:rsidRPr="00C21933">
        <w:rPr>
          <w:rFonts w:cstheme="minorHAnsi"/>
          <w:i/>
          <w:szCs w:val="24"/>
        </w:rPr>
        <w:t>unique;</w:t>
      </w:r>
      <w:proofErr w:type="gramEnd"/>
    </w:p>
    <w:p w14:paraId="2680640E" w14:textId="77777777" w:rsidR="00465205" w:rsidRPr="00C21933" w:rsidRDefault="00465205" w:rsidP="002A3889">
      <w:pPr>
        <w:numPr>
          <w:ilvl w:val="0"/>
          <w:numId w:val="320"/>
        </w:numPr>
        <w:spacing w:after="60" w:line="240" w:lineRule="auto"/>
        <w:jc w:val="both"/>
        <w:rPr>
          <w:rFonts w:cstheme="minorHAnsi"/>
          <w:i/>
          <w:szCs w:val="24"/>
        </w:rPr>
      </w:pPr>
      <w:r w:rsidRPr="00C21933">
        <w:rPr>
          <w:rFonts w:cstheme="minorHAnsi"/>
          <w:i/>
          <w:szCs w:val="24"/>
        </w:rPr>
        <w:t xml:space="preserve">landscape art enhancements such as walkways, bridges or art features within a public </w:t>
      </w:r>
      <w:proofErr w:type="gramStart"/>
      <w:r w:rsidRPr="00C21933">
        <w:rPr>
          <w:rFonts w:cstheme="minorHAnsi"/>
          <w:i/>
          <w:szCs w:val="24"/>
        </w:rPr>
        <w:t>garden;</w:t>
      </w:r>
      <w:proofErr w:type="gramEnd"/>
    </w:p>
    <w:p w14:paraId="268B3AA3" w14:textId="77777777" w:rsidR="00465205" w:rsidRPr="00C21933" w:rsidRDefault="00465205" w:rsidP="002A3889">
      <w:pPr>
        <w:numPr>
          <w:ilvl w:val="0"/>
          <w:numId w:val="320"/>
        </w:numPr>
        <w:spacing w:after="60" w:line="240" w:lineRule="auto"/>
        <w:jc w:val="both"/>
        <w:rPr>
          <w:rFonts w:cstheme="minorHAnsi"/>
          <w:i/>
          <w:szCs w:val="24"/>
        </w:rPr>
      </w:pPr>
      <w:r w:rsidRPr="00C21933">
        <w:rPr>
          <w:rFonts w:cstheme="minorHAnsi"/>
          <w:i/>
          <w:szCs w:val="24"/>
        </w:rPr>
        <w:t>murals, tiles and mosaics covering walls, floors and walkways; and</w:t>
      </w:r>
    </w:p>
    <w:p w14:paraId="465558FB" w14:textId="77777777" w:rsidR="00465205" w:rsidRPr="00C21933" w:rsidRDefault="00465205" w:rsidP="002A3889">
      <w:pPr>
        <w:numPr>
          <w:ilvl w:val="0"/>
          <w:numId w:val="320"/>
        </w:numPr>
        <w:spacing w:after="0" w:line="240" w:lineRule="auto"/>
        <w:jc w:val="both"/>
        <w:rPr>
          <w:rFonts w:cstheme="minorHAnsi"/>
          <w:i/>
          <w:szCs w:val="24"/>
        </w:rPr>
      </w:pPr>
      <w:r w:rsidRPr="00C21933">
        <w:rPr>
          <w:rFonts w:cstheme="minorHAnsi"/>
          <w:i/>
          <w:szCs w:val="24"/>
        </w:rPr>
        <w:t>sculptures, free-standing or incorporated as an integral element of a building’s design, paintings, pictures and photographic works.</w:t>
      </w:r>
    </w:p>
    <w:p w14:paraId="53435FE3" w14:textId="77777777" w:rsidR="00465205" w:rsidRPr="00C21933" w:rsidRDefault="00465205" w:rsidP="00465205">
      <w:pPr>
        <w:spacing w:before="200" w:after="60"/>
        <w:jc w:val="both"/>
        <w:rPr>
          <w:rFonts w:cstheme="minorHAnsi"/>
          <w:i/>
          <w:szCs w:val="24"/>
        </w:rPr>
      </w:pPr>
      <w:r w:rsidRPr="00C21933">
        <w:rPr>
          <w:rFonts w:cstheme="minorHAnsi"/>
          <w:i/>
          <w:szCs w:val="24"/>
        </w:rPr>
        <w:t>Public art does not include:</w:t>
      </w:r>
    </w:p>
    <w:p w14:paraId="5AC264F9" w14:textId="77777777" w:rsidR="00465205" w:rsidRPr="00C21933" w:rsidRDefault="00465205" w:rsidP="002A3889">
      <w:pPr>
        <w:numPr>
          <w:ilvl w:val="0"/>
          <w:numId w:val="321"/>
        </w:numPr>
        <w:spacing w:after="60" w:line="240" w:lineRule="auto"/>
        <w:ind w:left="714" w:hanging="357"/>
        <w:jc w:val="both"/>
        <w:rPr>
          <w:rFonts w:cstheme="minorHAnsi"/>
          <w:i/>
          <w:szCs w:val="24"/>
        </w:rPr>
      </w:pPr>
      <w:r w:rsidRPr="00C21933">
        <w:rPr>
          <w:rFonts w:cstheme="minorHAnsi"/>
          <w:i/>
          <w:szCs w:val="24"/>
        </w:rPr>
        <w:t xml:space="preserve">business </w:t>
      </w:r>
      <w:proofErr w:type="gramStart"/>
      <w:r w:rsidRPr="00C21933">
        <w:rPr>
          <w:rFonts w:cstheme="minorHAnsi"/>
          <w:i/>
          <w:szCs w:val="24"/>
        </w:rPr>
        <w:t>logos;</w:t>
      </w:r>
      <w:proofErr w:type="gramEnd"/>
    </w:p>
    <w:p w14:paraId="6EA898AB" w14:textId="77777777" w:rsidR="00465205" w:rsidRPr="00C21933" w:rsidRDefault="00465205" w:rsidP="002A3889">
      <w:pPr>
        <w:numPr>
          <w:ilvl w:val="0"/>
          <w:numId w:val="321"/>
        </w:numPr>
        <w:spacing w:after="60" w:line="240" w:lineRule="auto"/>
        <w:ind w:left="714" w:hanging="357"/>
        <w:jc w:val="both"/>
        <w:rPr>
          <w:rFonts w:cstheme="minorHAnsi"/>
          <w:i/>
          <w:szCs w:val="24"/>
        </w:rPr>
      </w:pPr>
      <w:r w:rsidRPr="00C21933">
        <w:rPr>
          <w:rFonts w:cstheme="minorHAnsi"/>
          <w:i/>
          <w:szCs w:val="24"/>
        </w:rPr>
        <w:t xml:space="preserve">advertising </w:t>
      </w:r>
      <w:proofErr w:type="gramStart"/>
      <w:r w:rsidRPr="00C21933">
        <w:rPr>
          <w:rFonts w:cstheme="minorHAnsi"/>
          <w:i/>
          <w:szCs w:val="24"/>
        </w:rPr>
        <w:t>signage;</w:t>
      </w:r>
      <w:proofErr w:type="gramEnd"/>
    </w:p>
    <w:p w14:paraId="54F5CDC2" w14:textId="77777777" w:rsidR="00465205" w:rsidRPr="00C21933" w:rsidRDefault="00465205" w:rsidP="002A3889">
      <w:pPr>
        <w:numPr>
          <w:ilvl w:val="0"/>
          <w:numId w:val="321"/>
        </w:numPr>
        <w:spacing w:after="60" w:line="240" w:lineRule="auto"/>
        <w:ind w:left="714" w:hanging="357"/>
        <w:jc w:val="both"/>
        <w:rPr>
          <w:rFonts w:cstheme="minorHAnsi"/>
          <w:i/>
          <w:szCs w:val="24"/>
        </w:rPr>
      </w:pPr>
      <w:r w:rsidRPr="00C21933">
        <w:rPr>
          <w:rFonts w:cstheme="minorHAnsi"/>
          <w:i/>
          <w:szCs w:val="24"/>
        </w:rPr>
        <w:t>art objects which are mass produced or off the-shelf reproductions; and</w:t>
      </w:r>
    </w:p>
    <w:p w14:paraId="74E36C35" w14:textId="77777777" w:rsidR="00465205" w:rsidRPr="00C21933" w:rsidRDefault="00465205" w:rsidP="002A3889">
      <w:pPr>
        <w:numPr>
          <w:ilvl w:val="0"/>
          <w:numId w:val="321"/>
        </w:numPr>
        <w:spacing w:after="0" w:line="240" w:lineRule="auto"/>
        <w:jc w:val="both"/>
        <w:rPr>
          <w:rFonts w:cstheme="minorHAnsi"/>
          <w:i/>
          <w:szCs w:val="24"/>
        </w:rPr>
      </w:pPr>
      <w:r w:rsidRPr="00C21933">
        <w:rPr>
          <w:rFonts w:cstheme="minorHAnsi"/>
          <w:i/>
          <w:szCs w:val="24"/>
        </w:rPr>
        <w:t xml:space="preserve">landscaping or architectural features which are considered by the Council to </w:t>
      </w:r>
      <w:proofErr w:type="gramStart"/>
      <w:r w:rsidRPr="00C21933">
        <w:rPr>
          <w:rFonts w:cstheme="minorHAnsi"/>
          <w:i/>
          <w:szCs w:val="24"/>
        </w:rPr>
        <w:t>be  normally</w:t>
      </w:r>
      <w:proofErr w:type="gramEnd"/>
      <w:r w:rsidRPr="00C21933">
        <w:rPr>
          <w:rFonts w:cstheme="minorHAnsi"/>
          <w:i/>
          <w:szCs w:val="24"/>
        </w:rPr>
        <w:t xml:space="preserve"> integrated into the building or development.</w:t>
      </w:r>
    </w:p>
    <w:p w14:paraId="53BB1A33" w14:textId="77777777" w:rsidR="00465205" w:rsidRPr="00C21933" w:rsidRDefault="00465205" w:rsidP="00465205">
      <w:pPr>
        <w:spacing w:before="360" w:after="0"/>
        <w:jc w:val="both"/>
        <w:rPr>
          <w:rFonts w:cstheme="minorHAnsi"/>
          <w:b/>
          <w:szCs w:val="24"/>
        </w:rPr>
      </w:pPr>
      <w:r>
        <w:rPr>
          <w:rFonts w:cstheme="minorHAnsi"/>
          <w:b/>
          <w:szCs w:val="24"/>
        </w:rPr>
        <w:t>Attachment</w:t>
      </w:r>
    </w:p>
    <w:p w14:paraId="4BE8F490" w14:textId="77777777" w:rsidR="00465205" w:rsidRPr="00C21933" w:rsidRDefault="00465205" w:rsidP="00465205">
      <w:pPr>
        <w:jc w:val="both"/>
        <w:rPr>
          <w:rFonts w:cstheme="minorHAnsi"/>
          <w:szCs w:val="24"/>
        </w:rPr>
      </w:pPr>
      <w:r w:rsidRPr="00C21933">
        <w:rPr>
          <w:rFonts w:cstheme="minorHAnsi"/>
          <w:szCs w:val="24"/>
        </w:rPr>
        <w:t>For an extended list of detailed definition</w:t>
      </w:r>
      <w:r>
        <w:rPr>
          <w:rFonts w:cstheme="minorHAnsi"/>
          <w:szCs w:val="24"/>
        </w:rPr>
        <w:t>s please refer to the Appendix</w:t>
      </w:r>
    </w:p>
    <w:tbl>
      <w:tblPr>
        <w:tblStyle w:val="TableGrid"/>
        <w:tblW w:w="0" w:type="auto"/>
        <w:tblLook w:val="04A0" w:firstRow="1" w:lastRow="0" w:firstColumn="1" w:lastColumn="0" w:noHBand="0" w:noVBand="1"/>
      </w:tblPr>
      <w:tblGrid>
        <w:gridCol w:w="3076"/>
        <w:gridCol w:w="6106"/>
      </w:tblGrid>
      <w:tr w:rsidR="00465205" w:rsidRPr="00C21933" w14:paraId="0BAEE8CB" w14:textId="77777777" w:rsidTr="00FD4C05">
        <w:tc>
          <w:tcPr>
            <w:tcW w:w="3085" w:type="dxa"/>
          </w:tcPr>
          <w:p w14:paraId="42FB1094" w14:textId="77777777" w:rsidR="00465205" w:rsidRPr="00C21933" w:rsidRDefault="00465205" w:rsidP="00FD4C05">
            <w:pPr>
              <w:jc w:val="both"/>
              <w:rPr>
                <w:rFonts w:cstheme="minorHAnsi"/>
                <w:b/>
                <w:lang w:val="en-US"/>
              </w:rPr>
            </w:pPr>
            <w:r w:rsidRPr="00C21933">
              <w:rPr>
                <w:rFonts w:cstheme="minorHAnsi"/>
                <w:b/>
                <w:lang w:val="en-US"/>
              </w:rPr>
              <w:t>Responsible Directorate:</w:t>
            </w:r>
          </w:p>
        </w:tc>
        <w:tc>
          <w:tcPr>
            <w:tcW w:w="6157" w:type="dxa"/>
          </w:tcPr>
          <w:p w14:paraId="34B7D68F" w14:textId="77777777" w:rsidR="00465205" w:rsidRPr="00C21933" w:rsidRDefault="00465205" w:rsidP="00FD4C05">
            <w:pPr>
              <w:jc w:val="both"/>
              <w:rPr>
                <w:rFonts w:cstheme="minorHAnsi"/>
                <w:lang w:val="en-US"/>
              </w:rPr>
            </w:pPr>
            <w:r>
              <w:rPr>
                <w:rFonts w:cstheme="minorHAnsi"/>
                <w:lang w:val="en-US"/>
              </w:rPr>
              <w:t>Regulatory Services</w:t>
            </w:r>
          </w:p>
        </w:tc>
      </w:tr>
      <w:tr w:rsidR="00465205" w:rsidRPr="00C21933" w14:paraId="0E3EEA14" w14:textId="77777777" w:rsidTr="00FD4C05">
        <w:tc>
          <w:tcPr>
            <w:tcW w:w="3085" w:type="dxa"/>
          </w:tcPr>
          <w:p w14:paraId="50257A1A" w14:textId="77777777" w:rsidR="00465205" w:rsidRPr="00C21933" w:rsidRDefault="00465205" w:rsidP="00FD4C05">
            <w:pPr>
              <w:jc w:val="both"/>
              <w:rPr>
                <w:rFonts w:cstheme="minorHAnsi"/>
                <w:b/>
                <w:lang w:val="en-US"/>
              </w:rPr>
            </w:pPr>
            <w:r w:rsidRPr="00C21933">
              <w:rPr>
                <w:rFonts w:cstheme="minorHAnsi"/>
                <w:b/>
                <w:lang w:val="en-US"/>
              </w:rPr>
              <w:t>Reviewing Officer:</w:t>
            </w:r>
          </w:p>
        </w:tc>
        <w:tc>
          <w:tcPr>
            <w:tcW w:w="6157" w:type="dxa"/>
          </w:tcPr>
          <w:p w14:paraId="48CA26CA" w14:textId="77777777" w:rsidR="00465205" w:rsidRPr="00C21933" w:rsidRDefault="00465205" w:rsidP="00FD4C05">
            <w:pPr>
              <w:jc w:val="both"/>
              <w:rPr>
                <w:rFonts w:cstheme="minorHAnsi"/>
                <w:lang w:val="en-US"/>
              </w:rPr>
            </w:pPr>
            <w:r w:rsidRPr="00C21933">
              <w:rPr>
                <w:rFonts w:cstheme="minorHAnsi"/>
                <w:lang w:val="en-US"/>
              </w:rPr>
              <w:t xml:space="preserve">Executive Manager Regulatory Services </w:t>
            </w:r>
          </w:p>
        </w:tc>
      </w:tr>
      <w:tr w:rsidR="00465205" w:rsidRPr="00C21933" w14:paraId="6E323D32" w14:textId="77777777" w:rsidTr="00FD4C05">
        <w:tc>
          <w:tcPr>
            <w:tcW w:w="3085" w:type="dxa"/>
          </w:tcPr>
          <w:p w14:paraId="1EA6BAD0" w14:textId="77777777" w:rsidR="00465205" w:rsidRPr="00C21933" w:rsidRDefault="00465205" w:rsidP="00FD4C05">
            <w:pPr>
              <w:jc w:val="both"/>
              <w:rPr>
                <w:rFonts w:cstheme="minorHAnsi"/>
                <w:b/>
                <w:lang w:val="en-US"/>
              </w:rPr>
            </w:pPr>
            <w:r w:rsidRPr="00C21933">
              <w:rPr>
                <w:rFonts w:cstheme="minorHAnsi"/>
                <w:b/>
                <w:lang w:val="en-US"/>
              </w:rPr>
              <w:t>Decision making Authority:</w:t>
            </w:r>
          </w:p>
        </w:tc>
        <w:tc>
          <w:tcPr>
            <w:tcW w:w="6157" w:type="dxa"/>
          </w:tcPr>
          <w:p w14:paraId="7D598437" w14:textId="77777777" w:rsidR="00465205" w:rsidRPr="00C21933" w:rsidRDefault="00465205" w:rsidP="00FD4C05">
            <w:pPr>
              <w:jc w:val="both"/>
              <w:rPr>
                <w:rFonts w:cstheme="minorHAnsi"/>
                <w:lang w:val="en-US"/>
              </w:rPr>
            </w:pPr>
            <w:r w:rsidRPr="00C21933">
              <w:rPr>
                <w:rFonts w:cstheme="minorHAnsi"/>
                <w:lang w:val="en-US"/>
              </w:rPr>
              <w:t>Council</w:t>
            </w:r>
          </w:p>
        </w:tc>
      </w:tr>
      <w:tr w:rsidR="00465205" w:rsidRPr="00C21933" w14:paraId="067BAFFB" w14:textId="77777777" w:rsidTr="00FD4C05">
        <w:tc>
          <w:tcPr>
            <w:tcW w:w="3085" w:type="dxa"/>
          </w:tcPr>
          <w:p w14:paraId="186293E3" w14:textId="77777777" w:rsidR="00465205" w:rsidRPr="00C21933" w:rsidRDefault="00465205" w:rsidP="00FD4C05">
            <w:pPr>
              <w:jc w:val="both"/>
              <w:rPr>
                <w:rFonts w:cstheme="minorHAnsi"/>
                <w:b/>
                <w:lang w:val="en-US"/>
              </w:rPr>
            </w:pPr>
            <w:r w:rsidRPr="00C21933">
              <w:rPr>
                <w:rFonts w:cstheme="minorHAnsi"/>
                <w:b/>
                <w:lang w:val="en-US"/>
              </w:rPr>
              <w:t>Policy Adopted:</w:t>
            </w:r>
          </w:p>
        </w:tc>
        <w:tc>
          <w:tcPr>
            <w:tcW w:w="6157" w:type="dxa"/>
          </w:tcPr>
          <w:p w14:paraId="18D03486" w14:textId="77777777" w:rsidR="00465205" w:rsidRPr="00C21933" w:rsidRDefault="00465205" w:rsidP="00FD4C05">
            <w:pPr>
              <w:jc w:val="both"/>
              <w:rPr>
                <w:rFonts w:cstheme="minorHAnsi"/>
                <w:lang w:val="en-US"/>
              </w:rPr>
            </w:pPr>
            <w:r w:rsidRPr="00C21933">
              <w:rPr>
                <w:rFonts w:cstheme="minorHAnsi"/>
                <w:lang w:val="en-US"/>
              </w:rPr>
              <w:t>20</w:t>
            </w:r>
            <w:r>
              <w:rPr>
                <w:rFonts w:cstheme="minorHAnsi"/>
                <w:lang w:val="en-US"/>
              </w:rPr>
              <w:t>/02/18</w:t>
            </w:r>
          </w:p>
        </w:tc>
      </w:tr>
      <w:tr w:rsidR="00465205" w:rsidRPr="00C21933" w14:paraId="0242D2BA" w14:textId="77777777" w:rsidTr="00FD4C05">
        <w:tc>
          <w:tcPr>
            <w:tcW w:w="3085" w:type="dxa"/>
          </w:tcPr>
          <w:p w14:paraId="521AE59B" w14:textId="77777777" w:rsidR="00465205" w:rsidRPr="00C21933" w:rsidRDefault="00465205" w:rsidP="00FD4C05">
            <w:pPr>
              <w:jc w:val="both"/>
              <w:rPr>
                <w:rFonts w:cstheme="minorHAnsi"/>
                <w:b/>
                <w:lang w:val="en-US"/>
              </w:rPr>
            </w:pPr>
            <w:r>
              <w:rPr>
                <w:rFonts w:cstheme="minorHAnsi"/>
                <w:b/>
                <w:lang w:val="en-US"/>
              </w:rPr>
              <w:t>Policy Amended/Reviewed</w:t>
            </w:r>
            <w:r w:rsidRPr="00C21933">
              <w:rPr>
                <w:rFonts w:cstheme="minorHAnsi"/>
                <w:b/>
                <w:lang w:val="en-US"/>
              </w:rPr>
              <w:t>:</w:t>
            </w:r>
          </w:p>
        </w:tc>
        <w:tc>
          <w:tcPr>
            <w:tcW w:w="6157" w:type="dxa"/>
          </w:tcPr>
          <w:p w14:paraId="6CE758B4" w14:textId="77777777" w:rsidR="00465205" w:rsidRPr="00C21933" w:rsidRDefault="00465205" w:rsidP="00FD4C05">
            <w:pPr>
              <w:jc w:val="both"/>
              <w:rPr>
                <w:rFonts w:cstheme="minorHAnsi"/>
                <w:lang w:val="en-US"/>
              </w:rPr>
            </w:pPr>
            <w:r>
              <w:rPr>
                <w:rFonts w:cstheme="minorHAnsi"/>
                <w:lang w:val="en-US"/>
              </w:rPr>
              <w:t>15/10/19</w:t>
            </w:r>
          </w:p>
        </w:tc>
      </w:tr>
      <w:tr w:rsidR="00465205" w:rsidRPr="00C21933" w14:paraId="0DF820ED" w14:textId="77777777" w:rsidTr="00FD4C05">
        <w:tc>
          <w:tcPr>
            <w:tcW w:w="3085" w:type="dxa"/>
          </w:tcPr>
          <w:p w14:paraId="589ADB3F" w14:textId="77777777" w:rsidR="00465205" w:rsidRPr="00C21933" w:rsidRDefault="00465205" w:rsidP="00FD4C05">
            <w:pPr>
              <w:jc w:val="both"/>
              <w:rPr>
                <w:rFonts w:cstheme="minorHAnsi"/>
                <w:b/>
                <w:lang w:val="en-US"/>
              </w:rPr>
            </w:pPr>
            <w:r>
              <w:rPr>
                <w:rFonts w:cstheme="minorHAnsi"/>
                <w:b/>
                <w:lang w:val="en-US"/>
              </w:rPr>
              <w:t>Former Policy No:</w:t>
            </w:r>
          </w:p>
        </w:tc>
        <w:tc>
          <w:tcPr>
            <w:tcW w:w="6157" w:type="dxa"/>
          </w:tcPr>
          <w:p w14:paraId="47D9EA23" w14:textId="77777777" w:rsidR="00465205" w:rsidRPr="00C21933" w:rsidRDefault="00465205" w:rsidP="00FD4C05">
            <w:pPr>
              <w:jc w:val="both"/>
              <w:rPr>
                <w:rFonts w:cstheme="minorHAnsi"/>
                <w:lang w:val="en-US"/>
              </w:rPr>
            </w:pPr>
            <w:r>
              <w:rPr>
                <w:rFonts w:cstheme="minorHAnsi"/>
                <w:lang w:val="en-US"/>
              </w:rPr>
              <w:t>3.1.9</w:t>
            </w:r>
          </w:p>
        </w:tc>
      </w:tr>
    </w:tbl>
    <w:p w14:paraId="0313E045" w14:textId="77777777" w:rsidR="00465205" w:rsidRPr="00C21933" w:rsidRDefault="00465205" w:rsidP="00465205">
      <w:pPr>
        <w:jc w:val="both"/>
        <w:rPr>
          <w:rFonts w:eastAsia="Gulim" w:cstheme="minorHAnsi"/>
          <w:sz w:val="48"/>
          <w:szCs w:val="48"/>
        </w:rPr>
      </w:pPr>
    </w:p>
    <w:p w14:paraId="2C8F6513" w14:textId="77777777" w:rsidR="00465205" w:rsidRDefault="00465205" w:rsidP="00465205">
      <w:r>
        <w:br w:type="page"/>
      </w:r>
    </w:p>
    <w:p w14:paraId="1425519D" w14:textId="77777777" w:rsidR="00465205" w:rsidRPr="00FA5404" w:rsidRDefault="00465205" w:rsidP="00465205">
      <w:pPr>
        <w:spacing w:after="160" w:line="259" w:lineRule="auto"/>
        <w:jc w:val="right"/>
        <w:rPr>
          <w:rFonts w:ascii="Arial" w:hAnsi="Arial" w:cs="Arial"/>
          <w:b/>
          <w:bCs/>
          <w:sz w:val="24"/>
          <w:szCs w:val="24"/>
        </w:rPr>
      </w:pPr>
      <w:r w:rsidRPr="00FA5404">
        <w:rPr>
          <w:rFonts w:ascii="Arial" w:eastAsia="Gulim" w:hAnsi="Arial" w:cs="Arial"/>
          <w:sz w:val="24"/>
          <w:szCs w:val="24"/>
        </w:rPr>
        <w:lastRenderedPageBreak/>
        <w:t>Appendix</w:t>
      </w:r>
    </w:p>
    <w:p w14:paraId="76B8B7FE" w14:textId="77777777" w:rsidR="00465205" w:rsidRPr="00FA5404" w:rsidRDefault="00465205" w:rsidP="00465205">
      <w:pPr>
        <w:rPr>
          <w:rFonts w:ascii="Arial" w:hAnsi="Arial" w:cs="Arial"/>
          <w:b/>
          <w:sz w:val="24"/>
          <w:szCs w:val="24"/>
        </w:rPr>
      </w:pPr>
      <w:r w:rsidRPr="00FA5404">
        <w:rPr>
          <w:rFonts w:ascii="Arial" w:hAnsi="Arial" w:cs="Arial"/>
          <w:b/>
          <w:sz w:val="24"/>
          <w:szCs w:val="24"/>
        </w:rPr>
        <w:t>A. Types of public art</w:t>
      </w:r>
    </w:p>
    <w:p w14:paraId="277781D0"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Cs/>
          <w:sz w:val="18"/>
          <w:szCs w:val="18"/>
        </w:rPr>
        <w:t>The descriptors that follow indicate the diversity of approaches to public art projects.</w:t>
      </w:r>
    </w:p>
    <w:p w14:paraId="2EBBC9D4"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Ephemeral Artworks</w:t>
      </w:r>
      <w:r w:rsidRPr="002B310E">
        <w:rPr>
          <w:rFonts w:ascii="Arial" w:hAnsi="Arial" w:cs="Arial"/>
          <w:bCs/>
          <w:sz w:val="18"/>
          <w:szCs w:val="18"/>
        </w:rPr>
        <w:t>: those works that are short lived, based on a specific occasion or event and are transitory in nature. Ephemeral art describes projects that may be environmental, lighting or projection where there is no physical artwork created. The term also applies to physical works in non-permanent materials such as natural found materials that degrade as part of the art process.</w:t>
      </w:r>
    </w:p>
    <w:p w14:paraId="753A8581"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Functional Artworks:</w:t>
      </w:r>
      <w:r w:rsidRPr="002B310E">
        <w:rPr>
          <w:rFonts w:ascii="Arial" w:hAnsi="Arial" w:cs="Arial"/>
          <w:bCs/>
          <w:sz w:val="18"/>
          <w:szCs w:val="18"/>
        </w:rPr>
        <w:t xml:space="preserve"> where the primary purpose of the element is utilitarian such as seating, lighting, bollards, rubbish bins, bike racks, shelters and paving. These can vary in form, scale or quantity, dependent on the location. Functional works can reinforce a design aesthetic or thematic concern and be playful, delightful or sophisticated. </w:t>
      </w:r>
    </w:p>
    <w:p w14:paraId="6120AE9B"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Ground Plane Artworks:</w:t>
      </w:r>
      <w:r w:rsidRPr="002B310E">
        <w:rPr>
          <w:rFonts w:ascii="Arial" w:hAnsi="Arial" w:cs="Arial"/>
          <w:bCs/>
          <w:sz w:val="18"/>
          <w:szCs w:val="18"/>
        </w:rPr>
        <w:t xml:space="preserve"> form part of the ground in a public setting and may be experienced as carved/shaped paving elements, metal relief elements, toughened glass panels and ceramic or mosaic inserts, amongst others. Ground plane works are designed to be viewed closely by pedestrians in the space, potentially slowing their movement through the area and creating the opportunity for an intimate and personal engagement between the work and the viewer. Ground Plane works are useful as a way finding tool.</w:t>
      </w:r>
    </w:p>
    <w:p w14:paraId="3DD75D2E"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Iconic Artworks:</w:t>
      </w:r>
      <w:r w:rsidRPr="002B310E">
        <w:rPr>
          <w:rFonts w:ascii="Arial" w:hAnsi="Arial" w:cs="Arial"/>
          <w:bCs/>
          <w:sz w:val="18"/>
          <w:szCs w:val="18"/>
        </w:rPr>
        <w:t xml:space="preserve"> a significant, freestanding work, where the approach is largely independent of other considerations.</w:t>
      </w:r>
    </w:p>
    <w:p w14:paraId="0A1E84A2"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Integrated Artworks:</w:t>
      </w:r>
      <w:r w:rsidRPr="002B310E">
        <w:rPr>
          <w:rFonts w:ascii="Arial" w:hAnsi="Arial" w:cs="Arial"/>
          <w:bCs/>
          <w:sz w:val="18"/>
          <w:szCs w:val="18"/>
        </w:rPr>
        <w:t xml:space="preserve"> works that are fully incorporated within the design of the built or natural environment.</w:t>
      </w:r>
    </w:p>
    <w:p w14:paraId="4FD2E2F0"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Interactive Artworks:</w:t>
      </w:r>
      <w:r w:rsidRPr="002B310E">
        <w:rPr>
          <w:rFonts w:ascii="Arial" w:hAnsi="Arial" w:cs="Arial"/>
          <w:bCs/>
          <w:sz w:val="18"/>
          <w:szCs w:val="18"/>
        </w:rPr>
        <w:t xml:space="preserve"> are works that are designed to encourage a tactile response.</w:t>
      </w:r>
    </w:p>
    <w:p w14:paraId="6858F1D8"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Interpretive Artworks:</w:t>
      </w:r>
      <w:r w:rsidRPr="002B310E">
        <w:rPr>
          <w:rFonts w:ascii="Arial" w:hAnsi="Arial" w:cs="Arial"/>
          <w:bCs/>
          <w:sz w:val="18"/>
          <w:szCs w:val="18"/>
        </w:rPr>
        <w:t xml:space="preserve"> where the primary purpose of the artwork is to tell a story, describe, educate or comment on an issue, event or situation.</w:t>
      </w:r>
    </w:p>
    <w:p w14:paraId="3742D172"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Intervention Artworks:</w:t>
      </w:r>
      <w:r w:rsidRPr="002B310E">
        <w:rPr>
          <w:rFonts w:ascii="Arial" w:hAnsi="Arial" w:cs="Arial"/>
          <w:bCs/>
          <w:sz w:val="18"/>
          <w:szCs w:val="18"/>
        </w:rPr>
        <w:t xml:space="preserve"> provoke an idea or thought or an element of surprise often in an unexpected location.</w:t>
      </w:r>
    </w:p>
    <w:p w14:paraId="1969E46C"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Landmark Artworks:</w:t>
      </w:r>
      <w:r w:rsidRPr="002B310E">
        <w:rPr>
          <w:rFonts w:ascii="Arial" w:hAnsi="Arial" w:cs="Arial"/>
          <w:bCs/>
          <w:sz w:val="18"/>
          <w:szCs w:val="18"/>
        </w:rPr>
        <w:t xml:space="preserve"> could be considered a signature or icon for a city. Large in scale or ambitious in concept, such works tend to be major stand-alone commissions and not part of a capital works project.</w:t>
      </w:r>
    </w:p>
    <w:p w14:paraId="0E6CCD31"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Medium Scale/Human Scale Artworks:</w:t>
      </w:r>
      <w:r w:rsidRPr="002B310E">
        <w:rPr>
          <w:rFonts w:ascii="Arial" w:hAnsi="Arial" w:cs="Arial"/>
          <w:bCs/>
          <w:sz w:val="18"/>
          <w:szCs w:val="18"/>
        </w:rPr>
        <w:t xml:space="preserve"> are artworks approximately the size of an average person. These artworks are easily interacted with and are accessible to pedestrians. </w:t>
      </w:r>
    </w:p>
    <w:p w14:paraId="7F088EFD"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Memorial:</w:t>
      </w:r>
      <w:r w:rsidRPr="002B310E">
        <w:rPr>
          <w:rFonts w:ascii="Arial" w:hAnsi="Arial" w:cs="Arial"/>
          <w:bCs/>
          <w:sz w:val="18"/>
          <w:szCs w:val="18"/>
        </w:rPr>
        <w:t xml:space="preserve"> a structure, sculpture or other object erected to commemorate a person or an event.</w:t>
      </w:r>
    </w:p>
    <w:p w14:paraId="066276FA"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Nodal Artwork</w:t>
      </w:r>
      <w:r w:rsidRPr="002B310E">
        <w:rPr>
          <w:rFonts w:ascii="Arial" w:hAnsi="Arial" w:cs="Arial"/>
          <w:bCs/>
          <w:sz w:val="18"/>
          <w:szCs w:val="18"/>
        </w:rPr>
        <w:t>: an artwork that comprises of a series of component parts and a central focus element.</w:t>
      </w:r>
    </w:p>
    <w:p w14:paraId="0A7AFA10"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Site Specific Artworks:</w:t>
      </w:r>
      <w:r w:rsidRPr="002B310E">
        <w:rPr>
          <w:rFonts w:ascii="Arial" w:hAnsi="Arial" w:cs="Arial"/>
          <w:bCs/>
          <w:sz w:val="18"/>
          <w:szCs w:val="18"/>
        </w:rPr>
        <w:t xml:space="preserve"> designed specifically for and responding to a particular site through scale, material, form or concept.</w:t>
      </w:r>
    </w:p>
    <w:p w14:paraId="2AD7F5DB"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Permanent Artworks:</w:t>
      </w:r>
      <w:r w:rsidRPr="002B310E">
        <w:rPr>
          <w:rFonts w:ascii="Arial" w:hAnsi="Arial" w:cs="Arial"/>
          <w:bCs/>
          <w:sz w:val="18"/>
          <w:szCs w:val="18"/>
        </w:rPr>
        <w:t xml:space="preserve"> refers to public art with a lifespan of at least twenty years.</w:t>
      </w:r>
    </w:p>
    <w:p w14:paraId="39FF9552"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Plaque</w:t>
      </w:r>
      <w:r w:rsidRPr="002B310E">
        <w:rPr>
          <w:rFonts w:ascii="Arial" w:hAnsi="Arial" w:cs="Arial"/>
          <w:bCs/>
          <w:sz w:val="18"/>
          <w:szCs w:val="18"/>
        </w:rPr>
        <w:t xml:space="preserve">: a flat tablet or sign, affixed to an object, building or pavement, of metal, stone or other appropriate material, which may include text and/or images </w:t>
      </w:r>
      <w:proofErr w:type="gramStart"/>
      <w:r w:rsidRPr="002B310E">
        <w:rPr>
          <w:rFonts w:ascii="Arial" w:hAnsi="Arial" w:cs="Arial"/>
          <w:bCs/>
          <w:sz w:val="18"/>
          <w:szCs w:val="18"/>
        </w:rPr>
        <w:t>in order to</w:t>
      </w:r>
      <w:proofErr w:type="gramEnd"/>
      <w:r w:rsidRPr="002B310E">
        <w:rPr>
          <w:rFonts w:ascii="Arial" w:hAnsi="Arial" w:cs="Arial"/>
          <w:bCs/>
          <w:sz w:val="18"/>
          <w:szCs w:val="18"/>
        </w:rPr>
        <w:t xml:space="preserve"> provide interpretive information. Plaques may identify an artwork, commemorate a person, place, object or an event and/or provide historical text or information relevant to its location.</w:t>
      </w:r>
    </w:p>
    <w:p w14:paraId="1D103E90"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Street Art: </w:t>
      </w:r>
      <w:r w:rsidRPr="002B310E">
        <w:rPr>
          <w:rFonts w:ascii="Arial" w:hAnsi="Arial" w:cs="Arial"/>
          <w:bCs/>
          <w:sz w:val="18"/>
          <w:szCs w:val="18"/>
        </w:rPr>
        <w:t xml:space="preserve"> may include spray or aerosol art, stencils, sticker art, paste-ups (wheat pasting and poster art), video projection, art interventions, guerrilla art, flash-mobbing and installations.</w:t>
      </w:r>
    </w:p>
    <w:p w14:paraId="133CD0A3"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Temporary Artwork: </w:t>
      </w:r>
      <w:r w:rsidRPr="002B310E">
        <w:rPr>
          <w:rFonts w:ascii="Arial" w:hAnsi="Arial" w:cs="Arial"/>
          <w:bCs/>
          <w:sz w:val="18"/>
          <w:szCs w:val="18"/>
        </w:rPr>
        <w:t xml:space="preserve"> refers to artwork that is made to last for a specific duration for example, one week or one year. This may include one off or scheduled events such as outdoor exhibitions or installations. The dynamic nature of temporary works </w:t>
      </w:r>
      <w:proofErr w:type="gramStart"/>
      <w:r w:rsidRPr="002B310E">
        <w:rPr>
          <w:rFonts w:ascii="Arial" w:hAnsi="Arial" w:cs="Arial"/>
          <w:bCs/>
          <w:sz w:val="18"/>
          <w:szCs w:val="18"/>
        </w:rPr>
        <w:t>are</w:t>
      </w:r>
      <w:proofErr w:type="gramEnd"/>
      <w:r w:rsidRPr="002B310E">
        <w:rPr>
          <w:rFonts w:ascii="Arial" w:hAnsi="Arial" w:cs="Arial"/>
          <w:bCs/>
          <w:sz w:val="18"/>
          <w:szCs w:val="18"/>
        </w:rPr>
        <w:t xml:space="preserve"> an important place activation tool.</w:t>
      </w:r>
    </w:p>
    <w:p w14:paraId="1F1CCB25"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lastRenderedPageBreak/>
        <w:t>Textural Artworks: </w:t>
      </w:r>
      <w:r w:rsidRPr="002B310E">
        <w:rPr>
          <w:rFonts w:ascii="Arial" w:hAnsi="Arial" w:cs="Arial"/>
          <w:bCs/>
          <w:sz w:val="18"/>
          <w:szCs w:val="18"/>
        </w:rPr>
        <w:t xml:space="preserve"> are small in scale, often items of architectural, streetscape and landscape detail, which contributes to the local character of a place.</w:t>
      </w:r>
    </w:p>
    <w:p w14:paraId="2EA9FA52" w14:textId="77777777" w:rsidR="00465205" w:rsidRPr="002B310E" w:rsidRDefault="00465205" w:rsidP="00465205">
      <w:pPr>
        <w:pStyle w:val="NormalWeb"/>
        <w:spacing w:after="240"/>
        <w:jc w:val="both"/>
        <w:rPr>
          <w:rFonts w:ascii="Arial" w:hAnsi="Arial" w:cs="Arial"/>
          <w:bCs/>
          <w:sz w:val="18"/>
          <w:szCs w:val="18"/>
        </w:rPr>
      </w:pPr>
      <w:r w:rsidRPr="002B310E">
        <w:rPr>
          <w:rFonts w:ascii="Arial" w:hAnsi="Arial" w:cs="Arial"/>
          <w:b/>
          <w:bCs/>
          <w:sz w:val="18"/>
          <w:szCs w:val="18"/>
        </w:rPr>
        <w:t>Transition Artworks: </w:t>
      </w:r>
      <w:r w:rsidRPr="002B310E">
        <w:rPr>
          <w:rFonts w:ascii="Arial" w:hAnsi="Arial" w:cs="Arial"/>
          <w:bCs/>
          <w:sz w:val="18"/>
          <w:szCs w:val="18"/>
        </w:rPr>
        <w:t xml:space="preserve"> provide an element that links one space to another such as an internal to an external public space or a hardscaped space to a landscaped space.</w:t>
      </w:r>
    </w:p>
    <w:p w14:paraId="49F4F840" w14:textId="77777777" w:rsidR="00465205" w:rsidRPr="00FA5404" w:rsidRDefault="00465205" w:rsidP="00465205">
      <w:pPr>
        <w:rPr>
          <w:rFonts w:ascii="Arial" w:hAnsi="Arial" w:cs="Arial"/>
          <w:b/>
          <w:sz w:val="24"/>
          <w:szCs w:val="24"/>
        </w:rPr>
      </w:pPr>
      <w:r w:rsidRPr="00FA5404">
        <w:rPr>
          <w:rFonts w:ascii="Arial" w:hAnsi="Arial" w:cs="Arial"/>
          <w:b/>
          <w:sz w:val="24"/>
          <w:szCs w:val="24"/>
        </w:rPr>
        <w:t>B. Definitions</w:t>
      </w:r>
    </w:p>
    <w:p w14:paraId="55E48EA2" w14:textId="77777777" w:rsidR="00465205" w:rsidRPr="002B310E" w:rsidRDefault="00465205" w:rsidP="00465205">
      <w:pPr>
        <w:pStyle w:val="Text"/>
        <w:rPr>
          <w:b/>
          <w:sz w:val="18"/>
        </w:rPr>
      </w:pPr>
      <w:r w:rsidRPr="002B310E">
        <w:rPr>
          <w:b/>
          <w:sz w:val="18"/>
        </w:rPr>
        <w:t>Artist</w:t>
      </w:r>
    </w:p>
    <w:p w14:paraId="3C40BF75" w14:textId="77777777" w:rsidR="00465205" w:rsidRPr="002B310E" w:rsidRDefault="00465205" w:rsidP="00465205">
      <w:pPr>
        <w:pStyle w:val="Text"/>
        <w:rPr>
          <w:sz w:val="18"/>
        </w:rPr>
      </w:pPr>
      <w:r w:rsidRPr="002B310E">
        <w:rPr>
          <w:sz w:val="18"/>
        </w:rPr>
        <w:t>A professional visual artist can be defined as a person who fits into at least two of the following categories:</w:t>
      </w:r>
    </w:p>
    <w:p w14:paraId="1AFDC6D8" w14:textId="77777777" w:rsidR="00465205" w:rsidRPr="002B310E" w:rsidRDefault="00465205" w:rsidP="00465205">
      <w:pPr>
        <w:pStyle w:val="Default"/>
        <w:rPr>
          <w:sz w:val="18"/>
          <w:szCs w:val="18"/>
          <w:lang w:eastAsia="en-GB"/>
        </w:rPr>
      </w:pPr>
    </w:p>
    <w:p w14:paraId="14C2100F" w14:textId="77777777" w:rsidR="00465205" w:rsidRPr="002B310E" w:rsidRDefault="00465205" w:rsidP="002A3889">
      <w:pPr>
        <w:pStyle w:val="Text"/>
        <w:numPr>
          <w:ilvl w:val="0"/>
          <w:numId w:val="313"/>
        </w:numPr>
        <w:spacing w:after="120"/>
        <w:ind w:left="714" w:hanging="357"/>
        <w:jc w:val="both"/>
        <w:outlineLvl w:val="0"/>
        <w:rPr>
          <w:sz w:val="18"/>
        </w:rPr>
      </w:pPr>
      <w:r w:rsidRPr="002B310E">
        <w:rPr>
          <w:sz w:val="18"/>
        </w:rPr>
        <w:t xml:space="preserve">a person who has a tertiary qualification in the visual arts, or when the brief calls for it, other art forms such as </w:t>
      </w:r>
      <w:proofErr w:type="gramStart"/>
      <w:r w:rsidRPr="002B310E">
        <w:rPr>
          <w:sz w:val="18"/>
        </w:rPr>
        <w:t>multimedia;</w:t>
      </w:r>
      <w:proofErr w:type="gramEnd"/>
    </w:p>
    <w:p w14:paraId="73EEBCC7" w14:textId="77777777" w:rsidR="00465205" w:rsidRPr="002B310E" w:rsidRDefault="00465205" w:rsidP="002A3889">
      <w:pPr>
        <w:pStyle w:val="Text"/>
        <w:numPr>
          <w:ilvl w:val="0"/>
          <w:numId w:val="313"/>
        </w:numPr>
        <w:spacing w:after="120"/>
        <w:ind w:left="714" w:hanging="357"/>
        <w:jc w:val="both"/>
        <w:outlineLvl w:val="0"/>
        <w:rPr>
          <w:sz w:val="18"/>
        </w:rPr>
      </w:pPr>
      <w:r w:rsidRPr="002B310E">
        <w:rPr>
          <w:sz w:val="18"/>
        </w:rPr>
        <w:t xml:space="preserve">a person who has a track record of exhibiting their artwork at reputable art galleries that sells the work of professional </w:t>
      </w:r>
      <w:proofErr w:type="gramStart"/>
      <w:r w:rsidRPr="002B310E">
        <w:rPr>
          <w:sz w:val="18"/>
        </w:rPr>
        <w:t>artists;</w:t>
      </w:r>
      <w:proofErr w:type="gramEnd"/>
    </w:p>
    <w:p w14:paraId="28CD1A60" w14:textId="77777777" w:rsidR="00465205" w:rsidRPr="002B310E" w:rsidRDefault="00465205" w:rsidP="002A3889">
      <w:pPr>
        <w:pStyle w:val="Text"/>
        <w:numPr>
          <w:ilvl w:val="0"/>
          <w:numId w:val="313"/>
        </w:numPr>
        <w:spacing w:after="120"/>
        <w:ind w:left="714" w:hanging="357"/>
        <w:jc w:val="both"/>
        <w:outlineLvl w:val="0"/>
        <w:rPr>
          <w:sz w:val="18"/>
        </w:rPr>
      </w:pPr>
      <w:r w:rsidRPr="002B310E">
        <w:rPr>
          <w:sz w:val="18"/>
        </w:rPr>
        <w:t>a person whose work is represented in major public or private collections; and</w:t>
      </w:r>
    </w:p>
    <w:p w14:paraId="5F79A6EB" w14:textId="77777777" w:rsidR="00465205" w:rsidRPr="002B310E" w:rsidRDefault="00465205" w:rsidP="002A3889">
      <w:pPr>
        <w:pStyle w:val="Text"/>
        <w:numPr>
          <w:ilvl w:val="0"/>
          <w:numId w:val="313"/>
        </w:numPr>
        <w:spacing w:after="120"/>
        <w:ind w:left="714" w:hanging="357"/>
        <w:jc w:val="both"/>
        <w:outlineLvl w:val="0"/>
        <w:rPr>
          <w:sz w:val="18"/>
        </w:rPr>
      </w:pPr>
      <w:r w:rsidRPr="002B310E">
        <w:rPr>
          <w:sz w:val="18"/>
        </w:rPr>
        <w:t>a person who earns more than 50% of their income from arts related activities, such as teaching, selling artwork or undertaking public art commissions.</w:t>
      </w:r>
      <w:r>
        <w:rPr>
          <w:sz w:val="18"/>
        </w:rPr>
        <w:t xml:space="preserve"> </w:t>
      </w:r>
      <w:r w:rsidRPr="002B310E">
        <w:rPr>
          <w:sz w:val="18"/>
        </w:rPr>
        <w:t xml:space="preserve">In some cases, this definition may be relaxed where it may be specified for a particular project. </w:t>
      </w:r>
    </w:p>
    <w:p w14:paraId="5905819A" w14:textId="77777777" w:rsidR="00465205" w:rsidRPr="002B310E" w:rsidRDefault="00465205" w:rsidP="00465205">
      <w:pPr>
        <w:pStyle w:val="Text"/>
        <w:rPr>
          <w:sz w:val="18"/>
        </w:rPr>
      </w:pPr>
      <w:r w:rsidRPr="002B310E">
        <w:rPr>
          <w:sz w:val="18"/>
        </w:rPr>
        <w:t>For example, a project involving emerging artists, Indigenous artists, students or street/graffiti artists.</w:t>
      </w:r>
    </w:p>
    <w:p w14:paraId="4349D0EE" w14:textId="77777777" w:rsidR="00465205" w:rsidRPr="002B310E" w:rsidRDefault="00465205" w:rsidP="00465205">
      <w:pPr>
        <w:pStyle w:val="Text"/>
        <w:rPr>
          <w:b/>
          <w:sz w:val="18"/>
        </w:rPr>
      </w:pPr>
    </w:p>
    <w:p w14:paraId="01E10817" w14:textId="77777777" w:rsidR="00465205" w:rsidRPr="002B310E" w:rsidRDefault="00465205" w:rsidP="00465205">
      <w:pPr>
        <w:pStyle w:val="Text"/>
        <w:rPr>
          <w:b/>
          <w:sz w:val="18"/>
        </w:rPr>
      </w:pPr>
      <w:r w:rsidRPr="002B310E">
        <w:rPr>
          <w:b/>
          <w:sz w:val="18"/>
        </w:rPr>
        <w:t>Artist Fees</w:t>
      </w:r>
    </w:p>
    <w:p w14:paraId="310014BA" w14:textId="77777777" w:rsidR="00465205" w:rsidRPr="002B310E" w:rsidRDefault="00465205" w:rsidP="00465205">
      <w:pPr>
        <w:pStyle w:val="Text"/>
        <w:rPr>
          <w:sz w:val="18"/>
        </w:rPr>
      </w:pPr>
      <w:r w:rsidRPr="002B310E">
        <w:rPr>
          <w:sz w:val="18"/>
        </w:rPr>
        <w:t>That portion of the art project budget reserved for payment to the artist for his/her creative services for design, fabrication, and/or project management services.</w:t>
      </w:r>
    </w:p>
    <w:p w14:paraId="6B27EA27" w14:textId="77777777" w:rsidR="00465205" w:rsidRPr="002B310E" w:rsidRDefault="00465205" w:rsidP="00465205">
      <w:pPr>
        <w:pStyle w:val="Text"/>
        <w:rPr>
          <w:b/>
          <w:sz w:val="18"/>
        </w:rPr>
      </w:pPr>
    </w:p>
    <w:p w14:paraId="754ECF0E" w14:textId="77777777" w:rsidR="00465205" w:rsidRPr="002B310E" w:rsidRDefault="00465205" w:rsidP="00465205">
      <w:pPr>
        <w:pStyle w:val="Text"/>
        <w:rPr>
          <w:b/>
          <w:sz w:val="18"/>
        </w:rPr>
      </w:pPr>
      <w:r w:rsidRPr="002B310E">
        <w:rPr>
          <w:b/>
          <w:sz w:val="18"/>
        </w:rPr>
        <w:t>Artwork or Work of Art</w:t>
      </w:r>
    </w:p>
    <w:p w14:paraId="6B6A33B6" w14:textId="77777777" w:rsidR="00465205" w:rsidRPr="002B310E" w:rsidRDefault="00465205" w:rsidP="00465205">
      <w:pPr>
        <w:pStyle w:val="Text"/>
        <w:rPr>
          <w:sz w:val="18"/>
        </w:rPr>
      </w:pPr>
      <w:r w:rsidRPr="002B310E">
        <w:rPr>
          <w:sz w:val="18"/>
        </w:rPr>
        <w:t>Any work or object designed by an Artist.</w:t>
      </w:r>
    </w:p>
    <w:p w14:paraId="644EAF0C" w14:textId="77777777" w:rsidR="00465205" w:rsidRPr="002B310E" w:rsidRDefault="00465205" w:rsidP="00465205">
      <w:pPr>
        <w:pStyle w:val="Text"/>
        <w:rPr>
          <w:b/>
          <w:sz w:val="18"/>
        </w:rPr>
      </w:pPr>
    </w:p>
    <w:p w14:paraId="399E48C9" w14:textId="77777777" w:rsidR="00465205" w:rsidRPr="002B310E" w:rsidRDefault="00465205" w:rsidP="00465205">
      <w:pPr>
        <w:pStyle w:val="Text"/>
        <w:rPr>
          <w:b/>
          <w:sz w:val="18"/>
        </w:rPr>
      </w:pPr>
      <w:r w:rsidRPr="002B310E">
        <w:rPr>
          <w:b/>
          <w:sz w:val="18"/>
        </w:rPr>
        <w:t>Collection Management</w:t>
      </w:r>
    </w:p>
    <w:p w14:paraId="085B104E" w14:textId="77777777" w:rsidR="00465205" w:rsidRPr="002B310E" w:rsidRDefault="00465205" w:rsidP="00465205">
      <w:pPr>
        <w:pStyle w:val="Text"/>
        <w:rPr>
          <w:sz w:val="18"/>
        </w:rPr>
      </w:pPr>
      <w:r w:rsidRPr="002B310E">
        <w:rPr>
          <w:sz w:val="18"/>
        </w:rPr>
        <w:t>The administration and management of an Art Collection. This encompasses the management of collection records both electronic and hard copy, the database, catalogues, inventories and condition assessments, maintenance and conservation programs, accession of new acquisitions and overseeing the deaccession, disposal or relocation of public artwork.</w:t>
      </w:r>
    </w:p>
    <w:p w14:paraId="288D262D" w14:textId="77777777" w:rsidR="00465205" w:rsidRPr="002B310E" w:rsidRDefault="00465205" w:rsidP="00465205">
      <w:pPr>
        <w:pStyle w:val="Text"/>
        <w:rPr>
          <w:b/>
          <w:sz w:val="18"/>
        </w:rPr>
      </w:pPr>
    </w:p>
    <w:p w14:paraId="49FE5BC5" w14:textId="77777777" w:rsidR="00465205" w:rsidRPr="002B310E" w:rsidRDefault="00465205" w:rsidP="00465205">
      <w:pPr>
        <w:pStyle w:val="Text"/>
        <w:rPr>
          <w:b/>
          <w:sz w:val="18"/>
        </w:rPr>
      </w:pPr>
      <w:r w:rsidRPr="002B310E">
        <w:rPr>
          <w:b/>
          <w:sz w:val="18"/>
        </w:rPr>
        <w:t>Community Art</w:t>
      </w:r>
    </w:p>
    <w:p w14:paraId="3E138316" w14:textId="77777777" w:rsidR="00465205" w:rsidRPr="002B310E" w:rsidRDefault="00465205" w:rsidP="00465205">
      <w:pPr>
        <w:pStyle w:val="Text"/>
        <w:rPr>
          <w:sz w:val="18"/>
        </w:rPr>
      </w:pPr>
      <w:r w:rsidRPr="002B310E">
        <w:rPr>
          <w:sz w:val="18"/>
        </w:rPr>
        <w:t>A process where the community initiates or participates in the art project.</w:t>
      </w:r>
    </w:p>
    <w:p w14:paraId="0D98B9C3" w14:textId="77777777" w:rsidR="00465205" w:rsidRPr="002B310E" w:rsidRDefault="00465205" w:rsidP="00465205">
      <w:pPr>
        <w:pStyle w:val="Text"/>
        <w:rPr>
          <w:b/>
          <w:sz w:val="18"/>
        </w:rPr>
      </w:pPr>
    </w:p>
    <w:p w14:paraId="371B2E5B" w14:textId="77777777" w:rsidR="00465205" w:rsidRPr="002B310E" w:rsidRDefault="00465205" w:rsidP="00465205">
      <w:pPr>
        <w:pStyle w:val="Text"/>
        <w:rPr>
          <w:b/>
          <w:sz w:val="18"/>
        </w:rPr>
      </w:pPr>
      <w:r w:rsidRPr="002B310E">
        <w:rPr>
          <w:b/>
          <w:sz w:val="18"/>
        </w:rPr>
        <w:t>Contemporary Art</w:t>
      </w:r>
    </w:p>
    <w:p w14:paraId="28CE1B99" w14:textId="77777777" w:rsidR="00465205" w:rsidRPr="002B310E" w:rsidRDefault="00465205" w:rsidP="00465205">
      <w:pPr>
        <w:pStyle w:val="Text"/>
        <w:rPr>
          <w:sz w:val="18"/>
        </w:rPr>
      </w:pPr>
      <w:r w:rsidRPr="002B310E">
        <w:rPr>
          <w:sz w:val="18"/>
        </w:rPr>
        <w:t>Artwork created in the present day that engages with issues relevant to its time or uses materials and processes that are at the forefront of arts practice.</w:t>
      </w:r>
    </w:p>
    <w:p w14:paraId="06057B73" w14:textId="77777777" w:rsidR="00465205" w:rsidRPr="002B310E" w:rsidRDefault="00465205" w:rsidP="00465205">
      <w:pPr>
        <w:pStyle w:val="Text"/>
        <w:rPr>
          <w:b/>
          <w:sz w:val="18"/>
        </w:rPr>
      </w:pPr>
    </w:p>
    <w:p w14:paraId="1B5DAD77" w14:textId="77777777" w:rsidR="00465205" w:rsidRPr="002B310E" w:rsidRDefault="00465205" w:rsidP="00465205">
      <w:pPr>
        <w:pStyle w:val="Text"/>
        <w:rPr>
          <w:b/>
          <w:sz w:val="18"/>
        </w:rPr>
      </w:pPr>
      <w:r w:rsidRPr="002B310E">
        <w:rPr>
          <w:b/>
          <w:sz w:val="18"/>
        </w:rPr>
        <w:t>Hand-over</w:t>
      </w:r>
    </w:p>
    <w:p w14:paraId="73D47B07" w14:textId="77777777" w:rsidR="00465205" w:rsidRPr="002B310E" w:rsidRDefault="00465205" w:rsidP="00465205">
      <w:pPr>
        <w:pStyle w:val="Text"/>
        <w:rPr>
          <w:sz w:val="18"/>
        </w:rPr>
      </w:pPr>
      <w:r w:rsidRPr="002B310E">
        <w:rPr>
          <w:sz w:val="18"/>
        </w:rPr>
        <w:t>The transfer of ownership of an artwork from one party to another. This includes the transfer of legal title and the supplying of the Maintenance Manual and other associated contractual documents.</w:t>
      </w:r>
    </w:p>
    <w:p w14:paraId="3980C2B7" w14:textId="77777777" w:rsidR="00465205" w:rsidRPr="002B310E" w:rsidRDefault="00465205" w:rsidP="00465205">
      <w:pPr>
        <w:pStyle w:val="Text"/>
        <w:rPr>
          <w:b/>
          <w:sz w:val="18"/>
        </w:rPr>
      </w:pPr>
    </w:p>
    <w:p w14:paraId="1BBAB409" w14:textId="77777777" w:rsidR="00465205" w:rsidRPr="002B310E" w:rsidRDefault="00465205" w:rsidP="00465205">
      <w:pPr>
        <w:pStyle w:val="Text"/>
        <w:rPr>
          <w:b/>
          <w:sz w:val="18"/>
        </w:rPr>
      </w:pPr>
      <w:r w:rsidRPr="002B310E">
        <w:rPr>
          <w:b/>
          <w:sz w:val="18"/>
        </w:rPr>
        <w:t>Maintenance Manual</w:t>
      </w:r>
    </w:p>
    <w:p w14:paraId="649970AB" w14:textId="77777777" w:rsidR="00465205" w:rsidRPr="002B310E" w:rsidRDefault="00465205" w:rsidP="00465205">
      <w:pPr>
        <w:pStyle w:val="Text"/>
        <w:rPr>
          <w:sz w:val="18"/>
        </w:rPr>
      </w:pPr>
      <w:r w:rsidRPr="002B310E">
        <w:rPr>
          <w:sz w:val="18"/>
        </w:rPr>
        <w:t>Those forms completed by the artist detailing the maintenance and technical information for the completed artwork.</w:t>
      </w:r>
    </w:p>
    <w:p w14:paraId="6D84412F" w14:textId="77777777" w:rsidR="00465205" w:rsidRPr="002B310E" w:rsidRDefault="00465205" w:rsidP="00465205">
      <w:pPr>
        <w:pStyle w:val="Text"/>
        <w:rPr>
          <w:b/>
          <w:sz w:val="18"/>
        </w:rPr>
      </w:pPr>
    </w:p>
    <w:p w14:paraId="05C5ABF4" w14:textId="77777777" w:rsidR="00465205" w:rsidRPr="002B310E" w:rsidRDefault="00465205" w:rsidP="00465205">
      <w:pPr>
        <w:pStyle w:val="Text"/>
        <w:rPr>
          <w:b/>
          <w:sz w:val="18"/>
        </w:rPr>
      </w:pPr>
      <w:r w:rsidRPr="002B310E">
        <w:rPr>
          <w:b/>
          <w:sz w:val="18"/>
        </w:rPr>
        <w:t>Public Art</w:t>
      </w:r>
    </w:p>
    <w:p w14:paraId="0B625722" w14:textId="77777777" w:rsidR="00465205" w:rsidRPr="002B310E" w:rsidRDefault="00465205" w:rsidP="00465205">
      <w:pPr>
        <w:pStyle w:val="Text"/>
        <w:rPr>
          <w:sz w:val="18"/>
        </w:rPr>
      </w:pPr>
      <w:r w:rsidRPr="002B310E">
        <w:rPr>
          <w:sz w:val="18"/>
        </w:rPr>
        <w:t>Public art is a work of art that is created by an artist, sited in a visually accessible public location. Public art can include (but is not limited to):</w:t>
      </w:r>
    </w:p>
    <w:p w14:paraId="56B55C43" w14:textId="77777777" w:rsidR="00465205" w:rsidRPr="002B310E" w:rsidRDefault="00465205" w:rsidP="00465205">
      <w:pPr>
        <w:pStyle w:val="Default"/>
        <w:rPr>
          <w:sz w:val="18"/>
          <w:szCs w:val="18"/>
          <w:lang w:eastAsia="en-GB"/>
        </w:rPr>
      </w:pPr>
    </w:p>
    <w:p w14:paraId="06A156ED" w14:textId="77777777" w:rsidR="00465205" w:rsidRPr="002B310E" w:rsidRDefault="00465205" w:rsidP="002A3889">
      <w:pPr>
        <w:pStyle w:val="Text"/>
        <w:numPr>
          <w:ilvl w:val="0"/>
          <w:numId w:val="312"/>
        </w:numPr>
        <w:spacing w:after="120"/>
        <w:ind w:left="714" w:hanging="357"/>
        <w:jc w:val="both"/>
        <w:outlineLvl w:val="0"/>
        <w:rPr>
          <w:sz w:val="18"/>
        </w:rPr>
      </w:pPr>
      <w:r w:rsidRPr="002B310E">
        <w:rPr>
          <w:sz w:val="18"/>
        </w:rPr>
        <w:t xml:space="preserve">the artistic treatment of functional equipment such as bike racks, benches, fountains, playground equipment, light posts or shade structures which are </w:t>
      </w:r>
      <w:proofErr w:type="gramStart"/>
      <w:r w:rsidRPr="002B310E">
        <w:rPr>
          <w:sz w:val="18"/>
        </w:rPr>
        <w:t>unique;</w:t>
      </w:r>
      <w:proofErr w:type="gramEnd"/>
    </w:p>
    <w:p w14:paraId="76907ABE" w14:textId="77777777" w:rsidR="00465205" w:rsidRPr="002B310E" w:rsidRDefault="00465205" w:rsidP="002A3889">
      <w:pPr>
        <w:pStyle w:val="Text"/>
        <w:numPr>
          <w:ilvl w:val="0"/>
          <w:numId w:val="312"/>
        </w:numPr>
        <w:spacing w:after="120"/>
        <w:ind w:left="714" w:hanging="357"/>
        <w:jc w:val="both"/>
        <w:outlineLvl w:val="0"/>
        <w:rPr>
          <w:sz w:val="18"/>
        </w:rPr>
      </w:pPr>
      <w:r w:rsidRPr="002B310E">
        <w:rPr>
          <w:sz w:val="18"/>
        </w:rPr>
        <w:t xml:space="preserve">landscape art enhancements such as walkways, bridges or art features within a </w:t>
      </w:r>
      <w:proofErr w:type="gramStart"/>
      <w:r w:rsidRPr="002B310E">
        <w:rPr>
          <w:sz w:val="18"/>
        </w:rPr>
        <w:t>garden;</w:t>
      </w:r>
      <w:proofErr w:type="gramEnd"/>
    </w:p>
    <w:p w14:paraId="1FC1B127" w14:textId="77777777" w:rsidR="00465205" w:rsidRPr="002B310E" w:rsidRDefault="00465205" w:rsidP="002A3889">
      <w:pPr>
        <w:pStyle w:val="Text"/>
        <w:numPr>
          <w:ilvl w:val="0"/>
          <w:numId w:val="312"/>
        </w:numPr>
        <w:spacing w:after="120"/>
        <w:ind w:left="714" w:hanging="357"/>
        <w:jc w:val="both"/>
        <w:outlineLvl w:val="0"/>
        <w:rPr>
          <w:sz w:val="18"/>
        </w:rPr>
      </w:pPr>
      <w:r w:rsidRPr="002B310E">
        <w:rPr>
          <w:sz w:val="18"/>
        </w:rPr>
        <w:t>murals, tiles and mosaics covering walls, floors and walkways; and</w:t>
      </w:r>
    </w:p>
    <w:p w14:paraId="64B5EED2" w14:textId="77777777" w:rsidR="00465205" w:rsidRPr="008F53A4" w:rsidRDefault="00465205" w:rsidP="002A3889">
      <w:pPr>
        <w:numPr>
          <w:ilvl w:val="0"/>
          <w:numId w:val="312"/>
        </w:numPr>
        <w:spacing w:after="0" w:line="240" w:lineRule="auto"/>
        <w:jc w:val="both"/>
        <w:rPr>
          <w:rFonts w:ascii="Arial" w:hAnsi="Arial" w:cs="Arial"/>
          <w:sz w:val="18"/>
          <w:szCs w:val="24"/>
        </w:rPr>
      </w:pPr>
      <w:r w:rsidRPr="008F53A4">
        <w:rPr>
          <w:rFonts w:ascii="Arial" w:hAnsi="Arial" w:cs="Arial"/>
          <w:sz w:val="18"/>
          <w:szCs w:val="24"/>
        </w:rPr>
        <w:t>sculptures, free-standing or incorporated as an integral element of a building’s design, paintings, pictures and photographic works.</w:t>
      </w:r>
    </w:p>
    <w:p w14:paraId="3297DD55" w14:textId="77777777" w:rsidR="00465205" w:rsidRPr="002B310E" w:rsidRDefault="00465205" w:rsidP="00465205">
      <w:pPr>
        <w:pStyle w:val="Text"/>
        <w:rPr>
          <w:b/>
          <w:sz w:val="18"/>
        </w:rPr>
      </w:pPr>
    </w:p>
    <w:p w14:paraId="0712E711" w14:textId="77777777" w:rsidR="00465205" w:rsidRPr="002B310E" w:rsidRDefault="00465205" w:rsidP="00465205">
      <w:pPr>
        <w:pStyle w:val="Text"/>
        <w:rPr>
          <w:b/>
          <w:sz w:val="18"/>
        </w:rPr>
      </w:pPr>
      <w:r w:rsidRPr="002B310E">
        <w:rPr>
          <w:b/>
          <w:sz w:val="18"/>
        </w:rPr>
        <w:t>Public art does not include:</w:t>
      </w:r>
    </w:p>
    <w:p w14:paraId="7B371AD7" w14:textId="77777777" w:rsidR="00465205" w:rsidRPr="002B310E" w:rsidRDefault="00465205" w:rsidP="002A3889">
      <w:pPr>
        <w:pStyle w:val="Text"/>
        <w:numPr>
          <w:ilvl w:val="0"/>
          <w:numId w:val="312"/>
        </w:numPr>
        <w:spacing w:after="120"/>
        <w:ind w:left="714" w:hanging="357"/>
        <w:jc w:val="both"/>
        <w:outlineLvl w:val="0"/>
        <w:rPr>
          <w:sz w:val="18"/>
        </w:rPr>
      </w:pPr>
      <w:r w:rsidRPr="002B310E">
        <w:rPr>
          <w:sz w:val="18"/>
        </w:rPr>
        <w:t xml:space="preserve">business </w:t>
      </w:r>
      <w:proofErr w:type="gramStart"/>
      <w:r w:rsidRPr="002B310E">
        <w:rPr>
          <w:sz w:val="18"/>
        </w:rPr>
        <w:t>logos;</w:t>
      </w:r>
      <w:proofErr w:type="gramEnd"/>
    </w:p>
    <w:p w14:paraId="0C0D95A2" w14:textId="77777777" w:rsidR="00465205" w:rsidRPr="002B310E" w:rsidRDefault="00465205" w:rsidP="002A3889">
      <w:pPr>
        <w:pStyle w:val="Text"/>
        <w:numPr>
          <w:ilvl w:val="0"/>
          <w:numId w:val="312"/>
        </w:numPr>
        <w:spacing w:after="120"/>
        <w:ind w:left="714" w:hanging="357"/>
        <w:jc w:val="both"/>
        <w:outlineLvl w:val="0"/>
        <w:rPr>
          <w:sz w:val="18"/>
        </w:rPr>
      </w:pPr>
      <w:r w:rsidRPr="002B310E">
        <w:rPr>
          <w:sz w:val="18"/>
        </w:rPr>
        <w:lastRenderedPageBreak/>
        <w:t xml:space="preserve">advertising </w:t>
      </w:r>
      <w:proofErr w:type="gramStart"/>
      <w:r w:rsidRPr="002B310E">
        <w:rPr>
          <w:sz w:val="18"/>
        </w:rPr>
        <w:t>signage;</w:t>
      </w:r>
      <w:proofErr w:type="gramEnd"/>
    </w:p>
    <w:p w14:paraId="00320E25" w14:textId="77777777" w:rsidR="00465205" w:rsidRPr="002B310E" w:rsidRDefault="00465205" w:rsidP="002A3889">
      <w:pPr>
        <w:pStyle w:val="Text"/>
        <w:numPr>
          <w:ilvl w:val="0"/>
          <w:numId w:val="312"/>
        </w:numPr>
        <w:spacing w:after="120"/>
        <w:ind w:left="714" w:hanging="357"/>
        <w:jc w:val="both"/>
        <w:outlineLvl w:val="0"/>
        <w:rPr>
          <w:sz w:val="18"/>
        </w:rPr>
      </w:pPr>
      <w:r w:rsidRPr="002B310E">
        <w:rPr>
          <w:sz w:val="18"/>
        </w:rPr>
        <w:t>art objects which are mass produced or off the-shelf reproductions; and</w:t>
      </w:r>
    </w:p>
    <w:p w14:paraId="1B554DF4" w14:textId="77777777" w:rsidR="00465205" w:rsidRPr="002B310E" w:rsidRDefault="00465205" w:rsidP="002A3889">
      <w:pPr>
        <w:pStyle w:val="Text"/>
        <w:numPr>
          <w:ilvl w:val="0"/>
          <w:numId w:val="312"/>
        </w:numPr>
        <w:ind w:left="567" w:hanging="207"/>
        <w:jc w:val="both"/>
        <w:outlineLvl w:val="0"/>
        <w:rPr>
          <w:sz w:val="18"/>
        </w:rPr>
      </w:pPr>
      <w:r w:rsidRPr="002B310E">
        <w:rPr>
          <w:sz w:val="18"/>
        </w:rPr>
        <w:t>landscaping or architectural features which would normally be integrated into the building or development.</w:t>
      </w:r>
    </w:p>
    <w:p w14:paraId="329C3913" w14:textId="77777777" w:rsidR="00465205" w:rsidRPr="002B310E" w:rsidRDefault="00465205" w:rsidP="00465205">
      <w:pPr>
        <w:pStyle w:val="Text"/>
        <w:rPr>
          <w:b/>
          <w:sz w:val="18"/>
        </w:rPr>
      </w:pPr>
    </w:p>
    <w:p w14:paraId="2E464EF1" w14:textId="77777777" w:rsidR="00465205" w:rsidRPr="002B310E" w:rsidRDefault="00465205" w:rsidP="00465205">
      <w:pPr>
        <w:pStyle w:val="Text"/>
        <w:rPr>
          <w:b/>
          <w:sz w:val="18"/>
        </w:rPr>
      </w:pPr>
      <w:r w:rsidRPr="002B310E">
        <w:rPr>
          <w:b/>
          <w:sz w:val="18"/>
        </w:rPr>
        <w:t>Public Art Maintenance &amp; Conservation Program</w:t>
      </w:r>
    </w:p>
    <w:p w14:paraId="5A4F4080" w14:textId="77777777" w:rsidR="00465205" w:rsidRPr="002B310E" w:rsidRDefault="00465205" w:rsidP="00465205">
      <w:pPr>
        <w:pStyle w:val="Text"/>
        <w:rPr>
          <w:sz w:val="18"/>
        </w:rPr>
      </w:pPr>
      <w:r w:rsidRPr="002B310E">
        <w:rPr>
          <w:sz w:val="18"/>
        </w:rPr>
        <w:t>The coordinated administration of regular treatments, professional conservation and repairs to works in an Art Collection to maintain their integrity.</w:t>
      </w:r>
    </w:p>
    <w:p w14:paraId="2D6A5D3F" w14:textId="77777777" w:rsidR="00465205" w:rsidRPr="002B310E" w:rsidRDefault="00465205" w:rsidP="00465205">
      <w:pPr>
        <w:pStyle w:val="Text"/>
        <w:rPr>
          <w:b/>
          <w:sz w:val="18"/>
        </w:rPr>
      </w:pPr>
    </w:p>
    <w:p w14:paraId="6487FF32" w14:textId="77777777" w:rsidR="00465205" w:rsidRPr="002B310E" w:rsidRDefault="00465205" w:rsidP="00465205">
      <w:pPr>
        <w:pStyle w:val="Text"/>
        <w:rPr>
          <w:b/>
          <w:sz w:val="18"/>
        </w:rPr>
      </w:pPr>
      <w:r w:rsidRPr="002B310E">
        <w:rPr>
          <w:b/>
          <w:sz w:val="18"/>
        </w:rPr>
        <w:t>Public Art Consultant</w:t>
      </w:r>
    </w:p>
    <w:p w14:paraId="5055FBAD" w14:textId="77777777" w:rsidR="00465205" w:rsidRPr="002B310E" w:rsidRDefault="00465205" w:rsidP="00465205">
      <w:pPr>
        <w:pStyle w:val="Text"/>
        <w:rPr>
          <w:sz w:val="18"/>
        </w:rPr>
      </w:pPr>
      <w:r w:rsidRPr="002B310E">
        <w:rPr>
          <w:sz w:val="18"/>
        </w:rPr>
        <w:t>A professional specialising in public art, engaged to provide expert advice or project management.</w:t>
      </w:r>
    </w:p>
    <w:p w14:paraId="0DA505E0" w14:textId="77777777" w:rsidR="00465205" w:rsidRPr="002B310E" w:rsidRDefault="00465205" w:rsidP="00465205">
      <w:pPr>
        <w:pStyle w:val="Text"/>
        <w:rPr>
          <w:b/>
          <w:sz w:val="18"/>
        </w:rPr>
      </w:pPr>
    </w:p>
    <w:p w14:paraId="0EDF16AE" w14:textId="77777777" w:rsidR="00465205" w:rsidRPr="002B310E" w:rsidRDefault="00465205" w:rsidP="00465205">
      <w:pPr>
        <w:pStyle w:val="Text"/>
        <w:rPr>
          <w:b/>
          <w:sz w:val="18"/>
        </w:rPr>
      </w:pPr>
      <w:r w:rsidRPr="002B310E">
        <w:rPr>
          <w:b/>
          <w:sz w:val="18"/>
        </w:rPr>
        <w:t>Public Art Project Manager</w:t>
      </w:r>
    </w:p>
    <w:p w14:paraId="1F75BC72" w14:textId="77777777" w:rsidR="00465205" w:rsidRPr="002B310E" w:rsidRDefault="00465205" w:rsidP="00465205">
      <w:pPr>
        <w:pStyle w:val="Text"/>
        <w:rPr>
          <w:sz w:val="18"/>
        </w:rPr>
      </w:pPr>
      <w:r w:rsidRPr="002B310E">
        <w:rPr>
          <w:sz w:val="18"/>
        </w:rPr>
        <w:t>A professional employee or contractor responsible for the planning, execution, contract management and close-out of the public art project.</w:t>
      </w:r>
    </w:p>
    <w:p w14:paraId="02CB33D7" w14:textId="77777777" w:rsidR="00465205" w:rsidRPr="002B310E" w:rsidRDefault="00465205" w:rsidP="00465205">
      <w:pPr>
        <w:jc w:val="both"/>
        <w:rPr>
          <w:rFonts w:ascii="Arial" w:hAnsi="Arial" w:cs="Arial"/>
          <w:lang w:val="en-US"/>
        </w:rPr>
      </w:pPr>
    </w:p>
    <w:p w14:paraId="48906B17" w14:textId="77777777" w:rsidR="00465205" w:rsidRDefault="00465205" w:rsidP="00465205"/>
    <w:p w14:paraId="67691CBC" w14:textId="77777777" w:rsidR="006D0967" w:rsidRPr="00C21933" w:rsidRDefault="006D0967" w:rsidP="006D0967">
      <w:pPr>
        <w:jc w:val="both"/>
        <w:rPr>
          <w:rFonts w:eastAsia="Gulim" w:cstheme="minorHAnsi"/>
          <w:sz w:val="48"/>
          <w:szCs w:val="48"/>
        </w:rPr>
      </w:pPr>
    </w:p>
    <w:p w14:paraId="46803ECC" w14:textId="77777777" w:rsidR="006D0967" w:rsidRDefault="006D0967" w:rsidP="006D0967">
      <w:r>
        <w:br w:type="page"/>
      </w:r>
    </w:p>
    <w:p w14:paraId="40F60488" w14:textId="21F0F5B8" w:rsidR="004F6193" w:rsidRDefault="00837116" w:rsidP="004F6193">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58240" behindDoc="1" locked="0" layoutInCell="1" allowOverlap="1" wp14:anchorId="2DD6ABF7" wp14:editId="342FFA8B">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4BC7E896" w14:textId="77777777" w:rsidR="00837116" w:rsidRDefault="00837116" w:rsidP="00AF746E">
      <w:pPr>
        <w:pStyle w:val="Policy2"/>
        <w:spacing w:after="120"/>
      </w:pPr>
    </w:p>
    <w:p w14:paraId="64A40F0A" w14:textId="77777777" w:rsidR="00837116" w:rsidRDefault="00837116" w:rsidP="00AF746E">
      <w:pPr>
        <w:pStyle w:val="Policy2"/>
        <w:spacing w:after="120"/>
      </w:pPr>
    </w:p>
    <w:p w14:paraId="3918A8E1" w14:textId="4F32A300" w:rsidR="00AF746E" w:rsidRDefault="00AF746E" w:rsidP="00AF746E">
      <w:pPr>
        <w:pStyle w:val="Policy2"/>
        <w:spacing w:after="120"/>
      </w:pPr>
      <w:bookmarkStart w:id="569" w:name="_Toc216866723"/>
      <w:r>
        <w:t>3.2</w:t>
      </w:r>
      <w:r>
        <w:tab/>
        <w:t>ENVIRONMENTAL HEALTH</w:t>
      </w:r>
      <w:bookmarkEnd w:id="569"/>
    </w:p>
    <w:p w14:paraId="0213808E" w14:textId="77777777" w:rsidR="004F6193" w:rsidRPr="004F6193" w:rsidRDefault="005171F2" w:rsidP="00AF746E">
      <w:pPr>
        <w:pStyle w:val="Policy3"/>
      </w:pPr>
      <w:bookmarkStart w:id="570" w:name="_Toc216866724"/>
      <w:r>
        <w:t>3.2</w:t>
      </w:r>
      <w:r w:rsidR="004F6193">
        <w:t>.1</w:t>
      </w:r>
      <w:r w:rsidR="004F6193">
        <w:tab/>
      </w:r>
      <w:r w:rsidR="004F6193" w:rsidRPr="004F6193">
        <w:t>H</w:t>
      </w:r>
      <w:r w:rsidR="00AF746E">
        <w:t>ealthy Eating</w:t>
      </w:r>
      <w:bookmarkEnd w:id="570"/>
    </w:p>
    <w:tbl>
      <w:tblPr>
        <w:tblStyle w:val="TableGrid"/>
        <w:tblW w:w="0" w:type="auto"/>
        <w:tblLook w:val="04A0" w:firstRow="1" w:lastRow="0" w:firstColumn="1" w:lastColumn="0" w:noHBand="0" w:noVBand="1"/>
      </w:tblPr>
      <w:tblGrid>
        <w:gridCol w:w="3024"/>
        <w:gridCol w:w="5992"/>
      </w:tblGrid>
      <w:tr w:rsidR="004F6193" w:rsidRPr="004F6193" w14:paraId="67F64EC5" w14:textId="77777777" w:rsidTr="005171F2">
        <w:tc>
          <w:tcPr>
            <w:tcW w:w="3024" w:type="dxa"/>
          </w:tcPr>
          <w:p w14:paraId="41377FA2" w14:textId="77777777" w:rsidR="004F6193" w:rsidRPr="004F6193" w:rsidRDefault="004F6193" w:rsidP="00EB60AD">
            <w:pPr>
              <w:rPr>
                <w:rFonts w:cstheme="minorHAnsi"/>
                <w:b/>
                <w:lang w:val="en-US"/>
              </w:rPr>
            </w:pPr>
            <w:r w:rsidRPr="004F6193">
              <w:rPr>
                <w:rFonts w:cstheme="minorHAnsi"/>
                <w:b/>
                <w:lang w:val="en-US"/>
              </w:rPr>
              <w:t>Type:</w:t>
            </w:r>
          </w:p>
        </w:tc>
        <w:tc>
          <w:tcPr>
            <w:tcW w:w="5992" w:type="dxa"/>
          </w:tcPr>
          <w:p w14:paraId="09283E9A" w14:textId="77777777" w:rsidR="004F6193" w:rsidRPr="004F6193" w:rsidRDefault="004F6193" w:rsidP="00EB60AD">
            <w:pPr>
              <w:rPr>
                <w:rFonts w:cstheme="minorHAnsi"/>
                <w:lang w:val="en-US"/>
              </w:rPr>
            </w:pPr>
            <w:r w:rsidRPr="004F6193">
              <w:rPr>
                <w:rFonts w:cstheme="minorHAnsi"/>
                <w:lang w:val="en-US"/>
              </w:rPr>
              <w:t>Regulatory Services –</w:t>
            </w:r>
            <w:r w:rsidR="008F4A30">
              <w:rPr>
                <w:rFonts w:cstheme="minorHAnsi"/>
                <w:lang w:val="en-US"/>
              </w:rPr>
              <w:t xml:space="preserve"> Environmental Health</w:t>
            </w:r>
          </w:p>
        </w:tc>
      </w:tr>
      <w:tr w:rsidR="004F6193" w:rsidRPr="004F6193" w14:paraId="65DAC26F" w14:textId="77777777" w:rsidTr="005171F2">
        <w:tc>
          <w:tcPr>
            <w:tcW w:w="3024" w:type="dxa"/>
          </w:tcPr>
          <w:p w14:paraId="6F38B793" w14:textId="77777777" w:rsidR="004F6193" w:rsidRPr="004F6193" w:rsidRDefault="004F6193" w:rsidP="00EB60AD">
            <w:pPr>
              <w:rPr>
                <w:rFonts w:cstheme="minorHAnsi"/>
                <w:b/>
                <w:lang w:val="en-US"/>
              </w:rPr>
            </w:pPr>
            <w:r w:rsidRPr="004F6193">
              <w:rPr>
                <w:rFonts w:cstheme="minorHAnsi"/>
                <w:b/>
                <w:lang w:val="en-US"/>
              </w:rPr>
              <w:t>Legislation:</w:t>
            </w:r>
          </w:p>
        </w:tc>
        <w:tc>
          <w:tcPr>
            <w:tcW w:w="5992" w:type="dxa"/>
          </w:tcPr>
          <w:p w14:paraId="6DE784B3" w14:textId="77777777" w:rsidR="004F6193" w:rsidRPr="004F6193" w:rsidRDefault="004F6193" w:rsidP="00EB60AD">
            <w:pPr>
              <w:rPr>
                <w:rFonts w:cstheme="minorHAnsi"/>
                <w:lang w:val="en-US"/>
              </w:rPr>
            </w:pPr>
            <w:r w:rsidRPr="004F6193">
              <w:rPr>
                <w:rFonts w:cstheme="minorHAnsi"/>
                <w:lang w:val="en-US"/>
              </w:rPr>
              <w:t>N/A</w:t>
            </w:r>
          </w:p>
        </w:tc>
      </w:tr>
      <w:tr w:rsidR="004F6193" w:rsidRPr="004F6193" w14:paraId="53EC94AA" w14:textId="77777777" w:rsidTr="005171F2">
        <w:tc>
          <w:tcPr>
            <w:tcW w:w="3024" w:type="dxa"/>
          </w:tcPr>
          <w:p w14:paraId="1461FC76" w14:textId="77777777" w:rsidR="004F6193" w:rsidRPr="004F6193" w:rsidRDefault="004F6193" w:rsidP="00EB60AD">
            <w:pPr>
              <w:rPr>
                <w:rFonts w:cstheme="minorHAnsi"/>
                <w:b/>
                <w:lang w:val="en-US"/>
              </w:rPr>
            </w:pPr>
            <w:r w:rsidRPr="004F6193">
              <w:rPr>
                <w:rFonts w:cstheme="minorHAnsi"/>
                <w:b/>
                <w:lang w:val="en-US"/>
              </w:rPr>
              <w:t>Delegation:</w:t>
            </w:r>
          </w:p>
        </w:tc>
        <w:tc>
          <w:tcPr>
            <w:tcW w:w="5992" w:type="dxa"/>
          </w:tcPr>
          <w:p w14:paraId="0E1EF012" w14:textId="77777777" w:rsidR="004F6193" w:rsidRPr="004F6193" w:rsidRDefault="004F6193" w:rsidP="00EB60AD">
            <w:pPr>
              <w:rPr>
                <w:rFonts w:cstheme="minorHAnsi"/>
                <w:lang w:val="en-US"/>
              </w:rPr>
            </w:pPr>
            <w:r w:rsidRPr="004F6193">
              <w:rPr>
                <w:rFonts w:cstheme="minorHAnsi"/>
                <w:lang w:val="en-US"/>
              </w:rPr>
              <w:t>N/A</w:t>
            </w:r>
          </w:p>
        </w:tc>
      </w:tr>
      <w:tr w:rsidR="004F6193" w:rsidRPr="004F6193" w14:paraId="31151265" w14:textId="77777777" w:rsidTr="005171F2">
        <w:tc>
          <w:tcPr>
            <w:tcW w:w="3024" w:type="dxa"/>
          </w:tcPr>
          <w:p w14:paraId="36102B74" w14:textId="77777777" w:rsidR="004F6193" w:rsidRPr="004F6193" w:rsidRDefault="004F6193" w:rsidP="00EB60AD">
            <w:pPr>
              <w:rPr>
                <w:rFonts w:cstheme="minorHAnsi"/>
                <w:b/>
                <w:lang w:val="en-US"/>
              </w:rPr>
            </w:pPr>
            <w:r w:rsidRPr="004F6193">
              <w:rPr>
                <w:rFonts w:cstheme="minorHAnsi"/>
                <w:b/>
                <w:lang w:val="en-US"/>
              </w:rPr>
              <w:t>Other Related Document:</w:t>
            </w:r>
          </w:p>
        </w:tc>
        <w:tc>
          <w:tcPr>
            <w:tcW w:w="5992" w:type="dxa"/>
          </w:tcPr>
          <w:p w14:paraId="255FD7FC" w14:textId="77777777" w:rsidR="004F6193" w:rsidRPr="004F6193" w:rsidRDefault="00FA5404" w:rsidP="00EB60AD">
            <w:pPr>
              <w:rPr>
                <w:rFonts w:cstheme="minorHAnsi"/>
                <w:lang w:val="en-US"/>
              </w:rPr>
            </w:pPr>
            <w:r>
              <w:rPr>
                <w:rFonts w:cstheme="minorHAnsi"/>
                <w:lang w:val="en-US"/>
              </w:rPr>
              <w:t>Health Eating Procedure PRO</w:t>
            </w:r>
            <w:r w:rsidR="005171F2">
              <w:rPr>
                <w:rFonts w:cstheme="minorHAnsi"/>
                <w:lang w:val="en-US"/>
              </w:rPr>
              <w:t>3.2</w:t>
            </w:r>
            <w:r w:rsidR="004F6193" w:rsidRPr="004F6193">
              <w:rPr>
                <w:rFonts w:cstheme="minorHAnsi"/>
                <w:lang w:val="en-US"/>
              </w:rPr>
              <w:t>.1</w:t>
            </w:r>
          </w:p>
          <w:p w14:paraId="68EDA607" w14:textId="77777777" w:rsidR="004F6193" w:rsidRPr="004F6193" w:rsidRDefault="004F6193" w:rsidP="00EB60AD">
            <w:pPr>
              <w:rPr>
                <w:rFonts w:cstheme="minorHAnsi"/>
                <w:lang w:val="en-US"/>
              </w:rPr>
            </w:pPr>
            <w:r w:rsidRPr="004F6193">
              <w:rPr>
                <w:rFonts w:cstheme="minorHAnsi"/>
                <w:lang w:val="en-US"/>
              </w:rPr>
              <w:t xml:space="preserve">Dietary Guidelines for Australians </w:t>
            </w:r>
          </w:p>
          <w:p w14:paraId="00073F53" w14:textId="77777777" w:rsidR="004F6193" w:rsidRPr="004F6193" w:rsidRDefault="004F6193" w:rsidP="00EB60AD">
            <w:pPr>
              <w:rPr>
                <w:rFonts w:cstheme="minorHAnsi"/>
                <w:lang w:val="en-US"/>
              </w:rPr>
            </w:pPr>
            <w:r w:rsidRPr="004F6193">
              <w:rPr>
                <w:rFonts w:cstheme="minorHAnsi"/>
                <w:lang w:val="en-US"/>
              </w:rPr>
              <w:t>The Australian Guide to Healthy Eating</w:t>
            </w:r>
          </w:p>
        </w:tc>
      </w:tr>
    </w:tbl>
    <w:p w14:paraId="106F6BDC" w14:textId="77777777" w:rsidR="004F6193" w:rsidRPr="0063759C" w:rsidRDefault="004F6193" w:rsidP="0063759C">
      <w:pPr>
        <w:spacing w:before="240" w:after="0"/>
        <w:rPr>
          <w:b/>
          <w:sz w:val="28"/>
          <w:szCs w:val="28"/>
          <w:lang w:val="en-US"/>
        </w:rPr>
      </w:pPr>
      <w:r w:rsidRPr="0063759C">
        <w:rPr>
          <w:b/>
          <w:sz w:val="28"/>
          <w:szCs w:val="28"/>
          <w:lang w:val="en-US"/>
        </w:rPr>
        <w:t>Objective</w:t>
      </w:r>
    </w:p>
    <w:p w14:paraId="1D899CC2" w14:textId="77777777" w:rsidR="004F6193" w:rsidRPr="004F6193" w:rsidRDefault="004F6193" w:rsidP="004F6193">
      <w:pPr>
        <w:spacing w:after="120" w:line="240" w:lineRule="auto"/>
        <w:jc w:val="both"/>
        <w:rPr>
          <w:rFonts w:cstheme="minorHAnsi"/>
          <w:iCs/>
          <w:lang w:val="en-US"/>
        </w:rPr>
      </w:pPr>
      <w:r w:rsidRPr="004F6193">
        <w:rPr>
          <w:rFonts w:cstheme="minorHAnsi"/>
          <w:iCs/>
          <w:lang w:val="en-US"/>
        </w:rPr>
        <w:t>The purpose of this policy is to ensure access to healthy food and drink choices at Council operated facilities, workplaces and Council sponsored events that encourage the community to make food and drink choices that will impact positively on health.</w:t>
      </w:r>
    </w:p>
    <w:p w14:paraId="434F7D0B" w14:textId="77777777" w:rsidR="004F6193" w:rsidRPr="004F6193" w:rsidRDefault="004F6193" w:rsidP="004F6193">
      <w:pPr>
        <w:spacing w:before="200" w:after="0"/>
        <w:rPr>
          <w:b/>
          <w:sz w:val="28"/>
          <w:szCs w:val="28"/>
          <w:lang w:val="en-US"/>
        </w:rPr>
      </w:pPr>
      <w:r w:rsidRPr="004F6193">
        <w:rPr>
          <w:b/>
          <w:sz w:val="28"/>
          <w:szCs w:val="28"/>
          <w:lang w:val="en-US"/>
        </w:rPr>
        <w:t>Policy Scope</w:t>
      </w:r>
    </w:p>
    <w:p w14:paraId="5B7CDC2C" w14:textId="77777777" w:rsidR="004F6193" w:rsidRPr="004F6193" w:rsidRDefault="004F6193" w:rsidP="005171F2">
      <w:pPr>
        <w:spacing w:line="240" w:lineRule="auto"/>
        <w:jc w:val="both"/>
        <w:rPr>
          <w:rFonts w:cstheme="minorHAnsi"/>
          <w:lang w:val="en-US"/>
        </w:rPr>
      </w:pPr>
      <w:r w:rsidRPr="004F6193">
        <w:rPr>
          <w:rFonts w:cstheme="minorHAnsi"/>
          <w:lang w:val="en-US"/>
        </w:rPr>
        <w:t>This policy will affect the Town of East Fremantle community, staff, volunteers and visitors and applies to food and drinks funded and or supplied by the Town of East Fremantle.</w:t>
      </w:r>
    </w:p>
    <w:p w14:paraId="60176145" w14:textId="77777777" w:rsidR="004F6193" w:rsidRPr="004F6193" w:rsidRDefault="004F6193" w:rsidP="004F6193">
      <w:pPr>
        <w:spacing w:after="0" w:line="240" w:lineRule="auto"/>
        <w:jc w:val="both"/>
        <w:rPr>
          <w:rFonts w:cstheme="minorHAnsi"/>
          <w:lang w:val="en-US"/>
        </w:rPr>
      </w:pPr>
      <w:r w:rsidRPr="004F6193">
        <w:rPr>
          <w:rFonts w:cstheme="minorHAnsi"/>
          <w:lang w:val="en-US"/>
        </w:rPr>
        <w:t>This policy does not apply to food and drinks that staff, visitors or volunteers bring from home for their personal use or to share for personal celebrations such as birthdays or farewells.</w:t>
      </w:r>
    </w:p>
    <w:p w14:paraId="7BFB735F" w14:textId="77777777" w:rsidR="004F6193" w:rsidRPr="004F6193" w:rsidRDefault="004F6193" w:rsidP="004F6193">
      <w:pPr>
        <w:spacing w:before="200" w:after="0"/>
        <w:rPr>
          <w:b/>
          <w:sz w:val="28"/>
          <w:szCs w:val="28"/>
          <w:lang w:val="en-US"/>
        </w:rPr>
      </w:pPr>
      <w:r w:rsidRPr="004F6193">
        <w:rPr>
          <w:b/>
          <w:sz w:val="28"/>
          <w:szCs w:val="28"/>
          <w:lang w:val="en-US"/>
        </w:rPr>
        <w:t xml:space="preserve">Policy </w:t>
      </w:r>
    </w:p>
    <w:p w14:paraId="78860582" w14:textId="77777777" w:rsidR="004F6193" w:rsidRPr="004F6193" w:rsidRDefault="004F6193" w:rsidP="004F6193">
      <w:pPr>
        <w:jc w:val="both"/>
        <w:rPr>
          <w:rFonts w:cstheme="minorHAnsi"/>
          <w:lang w:val="en-US"/>
        </w:rPr>
      </w:pPr>
      <w:r w:rsidRPr="004F6193">
        <w:rPr>
          <w:rFonts w:cstheme="minorHAnsi"/>
        </w:rPr>
        <w:t xml:space="preserve">The Town of East Fremantle provides a range of healthy food and drink choices that </w:t>
      </w:r>
      <w:r w:rsidRPr="004F6193">
        <w:rPr>
          <w:rFonts w:cstheme="minorHAnsi"/>
          <w:lang w:val="en-US"/>
        </w:rPr>
        <w:t>reflect the Dietary Guidelines for Australians, The Australian Guide to Healthy Eating and other government recommendations for people living in Australia to achieve and maintain good health.</w:t>
      </w:r>
    </w:p>
    <w:p w14:paraId="488E5220" w14:textId="77777777" w:rsidR="004F6193" w:rsidRPr="004F6193" w:rsidRDefault="004F6193" w:rsidP="004F6193">
      <w:pPr>
        <w:jc w:val="both"/>
        <w:rPr>
          <w:rFonts w:cstheme="minorHAnsi"/>
          <w:lang w:val="en-US"/>
        </w:rPr>
      </w:pPr>
      <w:r w:rsidRPr="004F6193">
        <w:rPr>
          <w:rFonts w:cstheme="minorHAnsi"/>
          <w:lang w:val="en-US"/>
        </w:rPr>
        <w:t>When applying this policy, Town of East Fremantle staff will be guided by the principles outlined in the Healthy Eating Procedures PRO/</w:t>
      </w:r>
      <w:r>
        <w:rPr>
          <w:rFonts w:cstheme="minorHAnsi"/>
          <w:lang w:val="en-US"/>
        </w:rPr>
        <w:t>3</w:t>
      </w:r>
      <w:r w:rsidRPr="004F6193">
        <w:rPr>
          <w:rFonts w:cstheme="minorHAnsi"/>
          <w:lang w:val="en-US"/>
        </w:rPr>
        <w:t>.</w:t>
      </w:r>
      <w:r w:rsidR="005171F2">
        <w:rPr>
          <w:rFonts w:cstheme="minorHAnsi"/>
          <w:lang w:val="en-US"/>
        </w:rPr>
        <w:t>2</w:t>
      </w:r>
      <w:r w:rsidRPr="004F6193">
        <w:rPr>
          <w:rFonts w:cstheme="minorHAnsi"/>
          <w:lang w:val="en-US"/>
        </w:rPr>
        <w:t>.1.</w:t>
      </w:r>
    </w:p>
    <w:p w14:paraId="16F15FE2" w14:textId="77777777" w:rsidR="004F6193" w:rsidRPr="004F6193" w:rsidRDefault="004F6193" w:rsidP="004F6193">
      <w:pPr>
        <w:spacing w:after="0"/>
        <w:rPr>
          <w:rFonts w:cstheme="minorHAnsi"/>
          <w:b/>
          <w:lang w:val="en-US"/>
        </w:rPr>
      </w:pPr>
      <w:r w:rsidRPr="004F6193">
        <w:rPr>
          <w:rFonts w:cstheme="minorHAnsi"/>
          <w:b/>
          <w:lang w:val="en-US"/>
        </w:rPr>
        <w:t xml:space="preserve">Attachment </w:t>
      </w:r>
    </w:p>
    <w:p w14:paraId="44F814CD" w14:textId="77777777" w:rsidR="004F6193" w:rsidRPr="004F6193" w:rsidRDefault="004F6193" w:rsidP="004F6193">
      <w:pPr>
        <w:spacing w:after="0"/>
        <w:rPr>
          <w:rFonts w:cstheme="minorHAnsi"/>
          <w:lang w:val="en-US"/>
        </w:rPr>
      </w:pPr>
      <w:r w:rsidRPr="004F6193">
        <w:rPr>
          <w:rFonts w:cstheme="minorHAnsi"/>
          <w:lang w:val="en-US"/>
        </w:rPr>
        <w:t>Healthy Eating Procedures</w:t>
      </w:r>
    </w:p>
    <w:p w14:paraId="7C42E30C" w14:textId="77777777" w:rsidR="004F6193" w:rsidRPr="004F6193" w:rsidRDefault="004F6193" w:rsidP="004F6193">
      <w:pPr>
        <w:rPr>
          <w:rFonts w:cstheme="minorHAnsi"/>
          <w:sz w:val="24"/>
          <w:lang w:val="en-US"/>
        </w:rPr>
      </w:pPr>
    </w:p>
    <w:tbl>
      <w:tblPr>
        <w:tblStyle w:val="TableGrid"/>
        <w:tblW w:w="0" w:type="auto"/>
        <w:tblLook w:val="04A0" w:firstRow="1" w:lastRow="0" w:firstColumn="1" w:lastColumn="0" w:noHBand="0" w:noVBand="1"/>
      </w:tblPr>
      <w:tblGrid>
        <w:gridCol w:w="3076"/>
        <w:gridCol w:w="6106"/>
      </w:tblGrid>
      <w:tr w:rsidR="004F6193" w:rsidRPr="004F6193" w14:paraId="0F872DA3" w14:textId="77777777" w:rsidTr="00EB60AD">
        <w:tc>
          <w:tcPr>
            <w:tcW w:w="3085" w:type="dxa"/>
          </w:tcPr>
          <w:p w14:paraId="2D0D36C0" w14:textId="77777777" w:rsidR="004F6193" w:rsidRPr="004F6193" w:rsidRDefault="004F6193" w:rsidP="00EB60AD">
            <w:pPr>
              <w:jc w:val="both"/>
              <w:rPr>
                <w:rFonts w:cstheme="minorHAnsi"/>
                <w:b/>
                <w:lang w:val="en-US"/>
              </w:rPr>
            </w:pPr>
            <w:r w:rsidRPr="004F6193">
              <w:rPr>
                <w:rFonts w:cstheme="minorHAnsi"/>
                <w:b/>
                <w:lang w:val="en-US"/>
              </w:rPr>
              <w:t>Responsible Directorate:</w:t>
            </w:r>
          </w:p>
        </w:tc>
        <w:tc>
          <w:tcPr>
            <w:tcW w:w="6157" w:type="dxa"/>
          </w:tcPr>
          <w:p w14:paraId="6EFA3319" w14:textId="77777777" w:rsidR="004F6193" w:rsidRPr="004F6193" w:rsidRDefault="005171F2" w:rsidP="00EB60AD">
            <w:pPr>
              <w:jc w:val="both"/>
              <w:rPr>
                <w:rFonts w:cstheme="minorHAnsi"/>
                <w:lang w:val="en-US"/>
              </w:rPr>
            </w:pPr>
            <w:r>
              <w:rPr>
                <w:rFonts w:cstheme="minorHAnsi"/>
                <w:lang w:val="en-US"/>
              </w:rPr>
              <w:t>Regulatory Services</w:t>
            </w:r>
          </w:p>
        </w:tc>
      </w:tr>
      <w:tr w:rsidR="004F6193" w:rsidRPr="004F6193" w14:paraId="4C5F6419" w14:textId="77777777" w:rsidTr="00EB60AD">
        <w:tc>
          <w:tcPr>
            <w:tcW w:w="3085" w:type="dxa"/>
          </w:tcPr>
          <w:p w14:paraId="4FEE7AE4" w14:textId="77777777" w:rsidR="004F6193" w:rsidRPr="004F6193" w:rsidRDefault="004F6193" w:rsidP="00EB60AD">
            <w:pPr>
              <w:jc w:val="both"/>
              <w:rPr>
                <w:rFonts w:cstheme="minorHAnsi"/>
                <w:b/>
                <w:lang w:val="en-US"/>
              </w:rPr>
            </w:pPr>
            <w:r w:rsidRPr="004F6193">
              <w:rPr>
                <w:rFonts w:cstheme="minorHAnsi"/>
                <w:b/>
                <w:lang w:val="en-US"/>
              </w:rPr>
              <w:t>Reviewing Officer:</w:t>
            </w:r>
          </w:p>
        </w:tc>
        <w:tc>
          <w:tcPr>
            <w:tcW w:w="6157" w:type="dxa"/>
          </w:tcPr>
          <w:p w14:paraId="0AED4AE8" w14:textId="77777777" w:rsidR="004F6193" w:rsidRPr="004F6193" w:rsidRDefault="004F6193" w:rsidP="00EB60AD">
            <w:pPr>
              <w:jc w:val="both"/>
              <w:rPr>
                <w:rFonts w:cstheme="minorHAnsi"/>
                <w:lang w:val="en-US"/>
              </w:rPr>
            </w:pPr>
            <w:r w:rsidRPr="004F6193">
              <w:rPr>
                <w:rFonts w:cstheme="minorHAnsi"/>
                <w:lang w:val="en-US"/>
              </w:rPr>
              <w:t>PEHO</w:t>
            </w:r>
          </w:p>
        </w:tc>
      </w:tr>
      <w:tr w:rsidR="004F6193" w:rsidRPr="004F6193" w14:paraId="2C32C860" w14:textId="77777777" w:rsidTr="00EB60AD">
        <w:tc>
          <w:tcPr>
            <w:tcW w:w="3085" w:type="dxa"/>
          </w:tcPr>
          <w:p w14:paraId="028FE74E" w14:textId="77777777" w:rsidR="004F6193" w:rsidRPr="004F6193" w:rsidRDefault="004F6193" w:rsidP="00EB60AD">
            <w:pPr>
              <w:jc w:val="both"/>
              <w:rPr>
                <w:rFonts w:cstheme="minorHAnsi"/>
                <w:b/>
                <w:lang w:val="en-US"/>
              </w:rPr>
            </w:pPr>
            <w:r w:rsidRPr="004F6193">
              <w:rPr>
                <w:rFonts w:cstheme="minorHAnsi"/>
                <w:b/>
                <w:lang w:val="en-US"/>
              </w:rPr>
              <w:t>Decision making Authority:</w:t>
            </w:r>
          </w:p>
        </w:tc>
        <w:tc>
          <w:tcPr>
            <w:tcW w:w="6157" w:type="dxa"/>
          </w:tcPr>
          <w:p w14:paraId="65A9551B" w14:textId="77777777" w:rsidR="004F6193" w:rsidRPr="004F6193" w:rsidRDefault="004F6193" w:rsidP="00EB60AD">
            <w:pPr>
              <w:jc w:val="both"/>
              <w:rPr>
                <w:rFonts w:cstheme="minorHAnsi"/>
                <w:lang w:val="en-US"/>
              </w:rPr>
            </w:pPr>
            <w:r w:rsidRPr="004F6193">
              <w:rPr>
                <w:rFonts w:cstheme="minorHAnsi"/>
                <w:lang w:val="en-US"/>
              </w:rPr>
              <w:t>Council</w:t>
            </w:r>
          </w:p>
        </w:tc>
      </w:tr>
      <w:tr w:rsidR="004F6193" w:rsidRPr="004F6193" w14:paraId="6B7AFDF0" w14:textId="77777777" w:rsidTr="00EB60AD">
        <w:tc>
          <w:tcPr>
            <w:tcW w:w="3085" w:type="dxa"/>
          </w:tcPr>
          <w:p w14:paraId="333DD402" w14:textId="77777777" w:rsidR="004F6193" w:rsidRPr="004F6193" w:rsidRDefault="004F6193" w:rsidP="00EB60AD">
            <w:pPr>
              <w:jc w:val="both"/>
              <w:rPr>
                <w:rFonts w:cstheme="minorHAnsi"/>
                <w:b/>
                <w:lang w:val="en-US"/>
              </w:rPr>
            </w:pPr>
            <w:r w:rsidRPr="004F6193">
              <w:rPr>
                <w:rFonts w:cstheme="minorHAnsi"/>
                <w:b/>
                <w:lang w:val="en-US"/>
              </w:rPr>
              <w:t>Policy Adopted:</w:t>
            </w:r>
          </w:p>
        </w:tc>
        <w:tc>
          <w:tcPr>
            <w:tcW w:w="6157" w:type="dxa"/>
          </w:tcPr>
          <w:p w14:paraId="65FB0EFD" w14:textId="77777777" w:rsidR="004F6193" w:rsidRPr="004F6193" w:rsidRDefault="004F6193" w:rsidP="00EB60AD">
            <w:pPr>
              <w:jc w:val="both"/>
              <w:rPr>
                <w:rFonts w:cstheme="minorHAnsi"/>
                <w:lang w:val="en-US"/>
              </w:rPr>
            </w:pPr>
            <w:r w:rsidRPr="004F6193">
              <w:rPr>
                <w:rFonts w:cstheme="minorHAnsi"/>
                <w:lang w:val="en-US"/>
              </w:rPr>
              <w:t>17/11/15</w:t>
            </w:r>
          </w:p>
        </w:tc>
      </w:tr>
      <w:tr w:rsidR="004F6193" w:rsidRPr="004F6193" w14:paraId="1BEFAE29" w14:textId="77777777" w:rsidTr="00EB60AD">
        <w:tc>
          <w:tcPr>
            <w:tcW w:w="3085" w:type="dxa"/>
          </w:tcPr>
          <w:p w14:paraId="686CCDF5" w14:textId="77777777" w:rsidR="004F6193" w:rsidRPr="004F6193" w:rsidRDefault="004F6193" w:rsidP="00EB60AD">
            <w:pPr>
              <w:jc w:val="both"/>
              <w:rPr>
                <w:rFonts w:cstheme="minorHAnsi"/>
                <w:b/>
                <w:lang w:val="en-US"/>
              </w:rPr>
            </w:pPr>
            <w:r w:rsidRPr="004F6193">
              <w:rPr>
                <w:rFonts w:cstheme="minorHAnsi"/>
                <w:b/>
                <w:lang w:val="en-US"/>
              </w:rPr>
              <w:t>Policy Amended</w:t>
            </w:r>
            <w:r>
              <w:rPr>
                <w:rFonts w:cstheme="minorHAnsi"/>
                <w:b/>
                <w:lang w:val="en-US"/>
              </w:rPr>
              <w:t>/Reviewed</w:t>
            </w:r>
            <w:r w:rsidRPr="004F6193">
              <w:rPr>
                <w:rFonts w:cstheme="minorHAnsi"/>
                <w:b/>
                <w:lang w:val="en-US"/>
              </w:rPr>
              <w:t>:</w:t>
            </w:r>
          </w:p>
        </w:tc>
        <w:tc>
          <w:tcPr>
            <w:tcW w:w="6157" w:type="dxa"/>
          </w:tcPr>
          <w:p w14:paraId="31260DE4" w14:textId="77777777" w:rsidR="004F6193" w:rsidRPr="004F6193" w:rsidRDefault="00160E4C" w:rsidP="00EB60AD">
            <w:pPr>
              <w:jc w:val="both"/>
              <w:rPr>
                <w:rFonts w:cstheme="minorHAnsi"/>
                <w:lang w:val="en-US"/>
              </w:rPr>
            </w:pPr>
            <w:r>
              <w:rPr>
                <w:rFonts w:cstheme="minorHAnsi"/>
                <w:lang w:val="en-US"/>
              </w:rPr>
              <w:t>17/9/19</w:t>
            </w:r>
          </w:p>
        </w:tc>
      </w:tr>
      <w:tr w:rsidR="004F6193" w:rsidRPr="004F6193" w14:paraId="5B45ADF7" w14:textId="77777777" w:rsidTr="00EB60AD">
        <w:tc>
          <w:tcPr>
            <w:tcW w:w="3085" w:type="dxa"/>
          </w:tcPr>
          <w:p w14:paraId="54F91590" w14:textId="77777777" w:rsidR="004F6193" w:rsidRPr="004F6193" w:rsidRDefault="004F6193" w:rsidP="00EB60AD">
            <w:pPr>
              <w:jc w:val="both"/>
              <w:rPr>
                <w:rFonts w:cstheme="minorHAnsi"/>
                <w:b/>
                <w:lang w:val="en-US"/>
              </w:rPr>
            </w:pPr>
            <w:r>
              <w:rPr>
                <w:rFonts w:cstheme="minorHAnsi"/>
                <w:b/>
                <w:lang w:val="en-US"/>
              </w:rPr>
              <w:t>Former Policy No:</w:t>
            </w:r>
          </w:p>
        </w:tc>
        <w:tc>
          <w:tcPr>
            <w:tcW w:w="6157" w:type="dxa"/>
          </w:tcPr>
          <w:p w14:paraId="72BD17C4" w14:textId="77777777" w:rsidR="004F6193" w:rsidRPr="004F6193" w:rsidRDefault="004F6193" w:rsidP="00EB60AD">
            <w:pPr>
              <w:jc w:val="both"/>
              <w:rPr>
                <w:rFonts w:cstheme="minorHAnsi"/>
                <w:lang w:val="en-US"/>
              </w:rPr>
            </w:pPr>
            <w:r>
              <w:rPr>
                <w:rFonts w:cstheme="minorHAnsi"/>
                <w:lang w:val="en-US"/>
              </w:rPr>
              <w:t>1.2.1</w:t>
            </w:r>
          </w:p>
        </w:tc>
      </w:tr>
    </w:tbl>
    <w:p w14:paraId="1B2FCF00" w14:textId="77777777" w:rsidR="004F6193" w:rsidRPr="004F6193" w:rsidRDefault="004F6193" w:rsidP="004F6193">
      <w:pPr>
        <w:jc w:val="both"/>
        <w:rPr>
          <w:rFonts w:cstheme="minorHAnsi"/>
          <w:lang w:val="en-US"/>
        </w:rPr>
      </w:pPr>
    </w:p>
    <w:p w14:paraId="1424E68E" w14:textId="77777777" w:rsidR="004F6193" w:rsidRPr="004F6193" w:rsidRDefault="004F6193" w:rsidP="004F6193">
      <w:pPr>
        <w:jc w:val="both"/>
        <w:rPr>
          <w:rFonts w:cstheme="minorHAnsi"/>
          <w:lang w:val="en-US"/>
        </w:rPr>
      </w:pPr>
    </w:p>
    <w:p w14:paraId="66AD87DC" w14:textId="77777777" w:rsidR="004F6193" w:rsidRDefault="004F6193">
      <w:pPr>
        <w:rPr>
          <w:rFonts w:cstheme="minorHAnsi"/>
        </w:rPr>
      </w:pPr>
      <w:r>
        <w:rPr>
          <w:rFonts w:cstheme="minorHAnsi"/>
        </w:rPr>
        <w:br w:type="page"/>
      </w:r>
    </w:p>
    <w:p w14:paraId="2A41FE8E" w14:textId="77777777" w:rsidR="00EB60AD" w:rsidRDefault="00EB60AD" w:rsidP="00AF746E">
      <w:pPr>
        <w:jc w:val="right"/>
        <w:rPr>
          <w:spacing w:val="-1"/>
        </w:rPr>
      </w:pPr>
      <w:r w:rsidRPr="00456DE4">
        <w:rPr>
          <w:noProof/>
          <w:lang w:eastAsia="en-AU"/>
        </w:rPr>
        <w:lastRenderedPageBreak/>
        <w:drawing>
          <wp:inline distT="0" distB="0" distL="0" distR="0" wp14:anchorId="47C3B3D1" wp14:editId="39D646FF">
            <wp:extent cx="1161563" cy="466725"/>
            <wp:effectExtent l="0" t="0" r="635" b="0"/>
            <wp:docPr id="444" name="Picture 444"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CEO Admin\WORDDOCS\Logo\Town of East Fremantle_Logo_Landscape_Colour [HIGHRE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3912" cy="467669"/>
                    </a:xfrm>
                    <a:prstGeom prst="rect">
                      <a:avLst/>
                    </a:prstGeom>
                    <a:noFill/>
                    <a:ln>
                      <a:noFill/>
                    </a:ln>
                  </pic:spPr>
                </pic:pic>
              </a:graphicData>
            </a:graphic>
          </wp:inline>
        </w:drawing>
      </w:r>
    </w:p>
    <w:p w14:paraId="40CF5C30" w14:textId="77777777" w:rsidR="00EB60AD" w:rsidRPr="00AF746E" w:rsidRDefault="00EB60AD" w:rsidP="00AF746E">
      <w:pPr>
        <w:jc w:val="center"/>
        <w:rPr>
          <w:b/>
          <w:lang w:val="en-US"/>
        </w:rPr>
      </w:pPr>
      <w:r w:rsidRPr="00AF746E">
        <w:rPr>
          <w:b/>
          <w:lang w:val="en-US"/>
        </w:rPr>
        <w:t>HEALTHY EATING PROCEDURES (PRO3.</w:t>
      </w:r>
      <w:r w:rsidR="005171F2" w:rsidRPr="00AF746E">
        <w:rPr>
          <w:b/>
          <w:lang w:val="en-US"/>
        </w:rPr>
        <w:t>2</w:t>
      </w:r>
      <w:r w:rsidRPr="00AF746E">
        <w:rPr>
          <w:b/>
          <w:lang w:val="en-US"/>
        </w:rPr>
        <w:t>.1)</w:t>
      </w:r>
    </w:p>
    <w:p w14:paraId="6E1065AA" w14:textId="77777777" w:rsidR="004F6193" w:rsidRPr="0063759C" w:rsidRDefault="004F6193" w:rsidP="0063759C">
      <w:pPr>
        <w:spacing w:after="0"/>
        <w:rPr>
          <w:b/>
          <w:lang w:val="en-US"/>
        </w:rPr>
      </w:pPr>
      <w:r w:rsidRPr="0063759C">
        <w:rPr>
          <w:b/>
          <w:lang w:val="en-US"/>
        </w:rPr>
        <w:t>Objective</w:t>
      </w:r>
    </w:p>
    <w:p w14:paraId="06192EDC" w14:textId="77777777" w:rsidR="004F6193" w:rsidRPr="00EB60AD" w:rsidRDefault="004F6193" w:rsidP="004F6193">
      <w:pPr>
        <w:jc w:val="both"/>
        <w:rPr>
          <w:rFonts w:cstheme="minorHAnsi"/>
          <w:lang w:val="en-US"/>
        </w:rPr>
      </w:pPr>
      <w:r w:rsidRPr="00EB60AD">
        <w:rPr>
          <w:rFonts w:cstheme="minorHAnsi"/>
          <w:lang w:val="en-US"/>
        </w:rPr>
        <w:t>The objectives of this procedure are to provide a role model for healthy food and drink choices to the Town of East Fremantle community, staff, volunteers and visitors, and support community initiatives that have the potential to impact positively on the health and wellbeing of the community by:</w:t>
      </w:r>
    </w:p>
    <w:p w14:paraId="0F276A64" w14:textId="77777777" w:rsidR="004F6193" w:rsidRPr="00EB60AD" w:rsidRDefault="004F6193" w:rsidP="002A3889">
      <w:pPr>
        <w:pStyle w:val="ListParagraph"/>
        <w:numPr>
          <w:ilvl w:val="0"/>
          <w:numId w:val="302"/>
        </w:numPr>
        <w:ind w:left="714" w:hanging="357"/>
        <w:jc w:val="both"/>
        <w:rPr>
          <w:rFonts w:cstheme="minorHAnsi"/>
          <w:lang w:val="en-US"/>
        </w:rPr>
      </w:pPr>
      <w:r w:rsidRPr="00EB60AD">
        <w:rPr>
          <w:rFonts w:cstheme="minorHAnsi"/>
          <w:lang w:val="en-US"/>
        </w:rPr>
        <w:t xml:space="preserve">ensuring healthy food and drink choices are always </w:t>
      </w:r>
      <w:proofErr w:type="gramStart"/>
      <w:r w:rsidRPr="00EB60AD">
        <w:rPr>
          <w:rFonts w:cstheme="minorHAnsi"/>
          <w:lang w:val="en-US"/>
        </w:rPr>
        <w:t>available;</w:t>
      </w:r>
      <w:proofErr w:type="gramEnd"/>
    </w:p>
    <w:p w14:paraId="76294834" w14:textId="77777777" w:rsidR="004F6193" w:rsidRPr="00EB60AD" w:rsidRDefault="004F6193" w:rsidP="002A3889">
      <w:pPr>
        <w:pStyle w:val="ListParagraph"/>
        <w:numPr>
          <w:ilvl w:val="0"/>
          <w:numId w:val="302"/>
        </w:numPr>
        <w:ind w:left="714" w:hanging="357"/>
        <w:jc w:val="both"/>
        <w:rPr>
          <w:rFonts w:cstheme="minorHAnsi"/>
          <w:lang w:val="en-US"/>
        </w:rPr>
      </w:pPr>
      <w:r w:rsidRPr="00EB60AD">
        <w:rPr>
          <w:rFonts w:cstheme="minorHAnsi"/>
          <w:lang w:val="en-US"/>
        </w:rPr>
        <w:t xml:space="preserve">increasing the availability of healthy food and drink choices over </w:t>
      </w:r>
      <w:proofErr w:type="gramStart"/>
      <w:r w:rsidRPr="00EB60AD">
        <w:rPr>
          <w:rFonts w:cstheme="minorHAnsi"/>
          <w:lang w:val="en-US"/>
        </w:rPr>
        <w:t>time;</w:t>
      </w:r>
      <w:proofErr w:type="gramEnd"/>
    </w:p>
    <w:p w14:paraId="28C3F6D7" w14:textId="77777777" w:rsidR="004F6193" w:rsidRPr="00EB60AD" w:rsidRDefault="004F6193" w:rsidP="002A3889">
      <w:pPr>
        <w:pStyle w:val="ListParagraph"/>
        <w:numPr>
          <w:ilvl w:val="0"/>
          <w:numId w:val="302"/>
        </w:numPr>
        <w:ind w:left="714" w:hanging="357"/>
        <w:jc w:val="both"/>
        <w:rPr>
          <w:rFonts w:cstheme="minorHAnsi"/>
          <w:lang w:val="en-US"/>
        </w:rPr>
      </w:pPr>
      <w:r w:rsidRPr="00EB60AD">
        <w:rPr>
          <w:rFonts w:cstheme="minorHAnsi"/>
          <w:lang w:val="en-US"/>
        </w:rPr>
        <w:t>promoting healthy food and drink choices in a positive way; and</w:t>
      </w:r>
    </w:p>
    <w:p w14:paraId="00E16B01" w14:textId="77777777" w:rsidR="004F6193" w:rsidRPr="00EB60AD" w:rsidRDefault="004F6193" w:rsidP="002A3889">
      <w:pPr>
        <w:pStyle w:val="ListParagraph"/>
        <w:numPr>
          <w:ilvl w:val="0"/>
          <w:numId w:val="302"/>
        </w:numPr>
        <w:ind w:left="714" w:hanging="357"/>
        <w:jc w:val="both"/>
        <w:rPr>
          <w:rFonts w:cstheme="minorHAnsi"/>
          <w:lang w:val="en-US"/>
        </w:rPr>
      </w:pPr>
      <w:r w:rsidRPr="00EB60AD">
        <w:rPr>
          <w:rFonts w:cstheme="minorHAnsi"/>
          <w:lang w:val="en-US"/>
        </w:rPr>
        <w:t>presenting health food and drink choices as appealing and attractive alternatives to unhealthy food and drinks.</w:t>
      </w:r>
    </w:p>
    <w:p w14:paraId="62D2B11F" w14:textId="77777777" w:rsidR="004F6193" w:rsidRPr="0063759C" w:rsidRDefault="004F6193" w:rsidP="0063759C">
      <w:pPr>
        <w:spacing w:after="0"/>
        <w:rPr>
          <w:b/>
          <w:lang w:val="en-US"/>
        </w:rPr>
      </w:pPr>
      <w:r w:rsidRPr="0063759C">
        <w:rPr>
          <w:b/>
          <w:lang w:val="en-US"/>
        </w:rPr>
        <w:t xml:space="preserve">Procedure </w:t>
      </w:r>
    </w:p>
    <w:p w14:paraId="47E1CF19" w14:textId="77777777" w:rsidR="004F6193" w:rsidRPr="00EB60AD" w:rsidRDefault="004F6193" w:rsidP="004F6193">
      <w:pPr>
        <w:jc w:val="both"/>
        <w:rPr>
          <w:rFonts w:cstheme="minorHAnsi"/>
          <w:lang w:val="en-US"/>
        </w:rPr>
      </w:pPr>
      <w:r w:rsidRPr="00EB60AD">
        <w:rPr>
          <w:rFonts w:cstheme="minorHAnsi"/>
          <w:lang w:val="en-US"/>
        </w:rPr>
        <w:t>This procedure applies to all food and drink provided at the Town of East Fremantle operated facilities, services and workplaces as well as council sponsored events. This procedure applies to:</w:t>
      </w:r>
    </w:p>
    <w:p w14:paraId="3CD2D969" w14:textId="77777777" w:rsidR="004F6193" w:rsidRPr="00EB60AD" w:rsidRDefault="004F6193" w:rsidP="004F6193">
      <w:pPr>
        <w:jc w:val="both"/>
        <w:rPr>
          <w:rFonts w:cstheme="minorHAnsi"/>
          <w:lang w:val="en-US"/>
        </w:rPr>
      </w:pPr>
      <w:r w:rsidRPr="00EB60AD">
        <w:rPr>
          <w:rFonts w:cstheme="minorHAnsi"/>
          <w:lang w:val="en-US"/>
        </w:rPr>
        <w:t>Internal catering and food provision:</w:t>
      </w:r>
    </w:p>
    <w:p w14:paraId="7FEB5720" w14:textId="77777777" w:rsidR="004F6193" w:rsidRPr="00EB60AD" w:rsidRDefault="004F6193" w:rsidP="002A3889">
      <w:pPr>
        <w:pStyle w:val="ListParagraph"/>
        <w:numPr>
          <w:ilvl w:val="0"/>
          <w:numId w:val="303"/>
        </w:numPr>
        <w:jc w:val="both"/>
        <w:rPr>
          <w:rFonts w:cstheme="minorHAnsi"/>
          <w:lang w:val="en-US"/>
        </w:rPr>
      </w:pPr>
      <w:r w:rsidRPr="00EB60AD">
        <w:rPr>
          <w:rFonts w:cstheme="minorHAnsi"/>
          <w:lang w:val="en-US"/>
        </w:rPr>
        <w:t>Provision of food and drinks to staff, visitors, volunteers and elected members in the event of meetings, workshops, training events and conferences.</w:t>
      </w:r>
    </w:p>
    <w:p w14:paraId="027A597F" w14:textId="77777777" w:rsidR="004F6193" w:rsidRPr="00EB60AD" w:rsidRDefault="004F6193" w:rsidP="002A3889">
      <w:pPr>
        <w:pStyle w:val="ListParagraph"/>
        <w:numPr>
          <w:ilvl w:val="0"/>
          <w:numId w:val="303"/>
        </w:numPr>
        <w:jc w:val="both"/>
        <w:rPr>
          <w:rFonts w:cstheme="minorHAnsi"/>
          <w:lang w:val="en-US"/>
        </w:rPr>
      </w:pPr>
      <w:r w:rsidRPr="00EB60AD">
        <w:rPr>
          <w:rFonts w:cstheme="minorHAnsi"/>
          <w:lang w:val="en-US"/>
        </w:rPr>
        <w:t xml:space="preserve">Provision of tea and coffee facilities for staff at the Town Hall, </w:t>
      </w:r>
      <w:proofErr w:type="spellStart"/>
      <w:r w:rsidRPr="00EB60AD">
        <w:rPr>
          <w:rFonts w:cstheme="minorHAnsi"/>
          <w:lang w:val="en-US"/>
        </w:rPr>
        <w:t>Dovenby</w:t>
      </w:r>
      <w:proofErr w:type="spellEnd"/>
      <w:r w:rsidRPr="00EB60AD">
        <w:rPr>
          <w:rFonts w:cstheme="minorHAnsi"/>
          <w:lang w:val="en-US"/>
        </w:rPr>
        <w:t xml:space="preserve"> House, </w:t>
      </w:r>
      <w:proofErr w:type="spellStart"/>
      <w:r w:rsidRPr="00EB60AD">
        <w:rPr>
          <w:rFonts w:cstheme="minorHAnsi"/>
          <w:lang w:val="en-US"/>
        </w:rPr>
        <w:t>Tricolore</w:t>
      </w:r>
      <w:proofErr w:type="spellEnd"/>
      <w:r w:rsidRPr="00EB60AD">
        <w:rPr>
          <w:rFonts w:cstheme="minorHAnsi"/>
          <w:lang w:val="en-US"/>
        </w:rPr>
        <w:t xml:space="preserve"> Day Centre and Council Depot.</w:t>
      </w:r>
    </w:p>
    <w:p w14:paraId="2AC7FBC9" w14:textId="77777777" w:rsidR="004F6193" w:rsidRPr="00EB60AD" w:rsidRDefault="004F6193" w:rsidP="002A3889">
      <w:pPr>
        <w:pStyle w:val="ListParagraph"/>
        <w:numPr>
          <w:ilvl w:val="0"/>
          <w:numId w:val="303"/>
        </w:numPr>
        <w:jc w:val="both"/>
        <w:rPr>
          <w:rFonts w:cstheme="minorHAnsi"/>
          <w:lang w:val="en-US"/>
        </w:rPr>
      </w:pPr>
      <w:r w:rsidRPr="00EB60AD">
        <w:rPr>
          <w:rFonts w:cstheme="minorHAnsi"/>
          <w:lang w:val="en-US"/>
        </w:rPr>
        <w:t xml:space="preserve">Provision of BBQ meals associated with </w:t>
      </w:r>
      <w:proofErr w:type="gramStart"/>
      <w:r w:rsidRPr="00EB60AD">
        <w:rPr>
          <w:rFonts w:cstheme="minorHAnsi"/>
          <w:lang w:val="en-US"/>
        </w:rPr>
        <w:t>tool box</w:t>
      </w:r>
      <w:proofErr w:type="gramEnd"/>
      <w:r w:rsidRPr="00EB60AD">
        <w:rPr>
          <w:rFonts w:cstheme="minorHAnsi"/>
          <w:lang w:val="en-US"/>
        </w:rPr>
        <w:t xml:space="preserve"> meetings at the Council Depot.</w:t>
      </w:r>
    </w:p>
    <w:p w14:paraId="55130CA9" w14:textId="77777777" w:rsidR="004F6193" w:rsidRPr="00EB60AD" w:rsidRDefault="004F6193" w:rsidP="004F6193">
      <w:pPr>
        <w:jc w:val="both"/>
        <w:rPr>
          <w:rFonts w:cstheme="minorHAnsi"/>
          <w:lang w:val="en-US"/>
        </w:rPr>
      </w:pPr>
      <w:r w:rsidRPr="00EB60AD">
        <w:rPr>
          <w:rFonts w:cstheme="minorHAnsi"/>
          <w:lang w:val="en-US"/>
        </w:rPr>
        <w:t>External catering and food provision:</w:t>
      </w:r>
    </w:p>
    <w:p w14:paraId="56D99A8A" w14:textId="77777777" w:rsidR="004F6193" w:rsidRPr="00EB60AD" w:rsidRDefault="004F6193" w:rsidP="002A3889">
      <w:pPr>
        <w:pStyle w:val="ListParagraph"/>
        <w:numPr>
          <w:ilvl w:val="0"/>
          <w:numId w:val="304"/>
        </w:numPr>
        <w:jc w:val="both"/>
        <w:rPr>
          <w:rFonts w:cstheme="minorHAnsi"/>
          <w:lang w:val="en-US"/>
        </w:rPr>
      </w:pPr>
      <w:r w:rsidRPr="00EB60AD">
        <w:rPr>
          <w:rFonts w:cstheme="minorHAnsi"/>
          <w:lang w:val="en-US"/>
        </w:rPr>
        <w:t xml:space="preserve">Provision of food and drinks at Council’s Home and Community Care Program including meals provided </w:t>
      </w:r>
      <w:proofErr w:type="gramStart"/>
      <w:r w:rsidRPr="00EB60AD">
        <w:rPr>
          <w:rFonts w:cstheme="minorHAnsi"/>
          <w:lang w:val="en-US"/>
        </w:rPr>
        <w:t xml:space="preserve">at  </w:t>
      </w:r>
      <w:proofErr w:type="spellStart"/>
      <w:r w:rsidRPr="00EB60AD">
        <w:rPr>
          <w:rFonts w:cstheme="minorHAnsi"/>
          <w:lang w:val="en-US"/>
        </w:rPr>
        <w:t>Tricolore</w:t>
      </w:r>
      <w:proofErr w:type="spellEnd"/>
      <w:proofErr w:type="gramEnd"/>
      <w:r w:rsidRPr="00EB60AD">
        <w:rPr>
          <w:rFonts w:cstheme="minorHAnsi"/>
          <w:lang w:val="en-US"/>
        </w:rPr>
        <w:t xml:space="preserve"> Day Centre, during bus trips, and at  </w:t>
      </w:r>
      <w:proofErr w:type="spellStart"/>
      <w:r w:rsidRPr="00EB60AD">
        <w:rPr>
          <w:rFonts w:cstheme="minorHAnsi"/>
          <w:lang w:val="en-US"/>
        </w:rPr>
        <w:t>Sumpton</w:t>
      </w:r>
      <w:proofErr w:type="spellEnd"/>
      <w:r w:rsidRPr="00EB60AD">
        <w:rPr>
          <w:rFonts w:cstheme="minorHAnsi"/>
          <w:lang w:val="en-US"/>
        </w:rPr>
        <w:t xml:space="preserve"> Green for the duration of the holiday program.</w:t>
      </w:r>
    </w:p>
    <w:p w14:paraId="750A9697" w14:textId="77777777" w:rsidR="004F6193" w:rsidRPr="00EB60AD" w:rsidRDefault="004F6193" w:rsidP="002A3889">
      <w:pPr>
        <w:pStyle w:val="ListParagraph"/>
        <w:numPr>
          <w:ilvl w:val="0"/>
          <w:numId w:val="304"/>
        </w:numPr>
        <w:jc w:val="both"/>
        <w:rPr>
          <w:rFonts w:cstheme="minorHAnsi"/>
          <w:lang w:val="en-US"/>
        </w:rPr>
      </w:pPr>
      <w:r w:rsidRPr="00EB60AD">
        <w:rPr>
          <w:rFonts w:cstheme="minorHAnsi"/>
          <w:lang w:val="en-US"/>
        </w:rPr>
        <w:t xml:space="preserve">Provision of healthy food and drink options during the annual East Fremantle Festival. </w:t>
      </w:r>
    </w:p>
    <w:p w14:paraId="324025BA" w14:textId="77777777" w:rsidR="004F6193" w:rsidRPr="00EB60AD" w:rsidRDefault="004F6193" w:rsidP="004F6193">
      <w:pPr>
        <w:jc w:val="both"/>
        <w:rPr>
          <w:rFonts w:cstheme="minorHAnsi"/>
          <w:lang w:val="en-US"/>
        </w:rPr>
      </w:pPr>
      <w:r w:rsidRPr="00EB60AD">
        <w:rPr>
          <w:rFonts w:cstheme="minorHAnsi"/>
          <w:lang w:val="en-US"/>
        </w:rPr>
        <w:t>This procedure does not apply to food and drinks that staff, visitors or volunteers bring from home for their personal use or to share for personal celebrations such as birthdays or farewells. It applies to food and drinks funded by the Town of East Fremantle.</w:t>
      </w:r>
    </w:p>
    <w:p w14:paraId="61F4289C" w14:textId="77777777" w:rsidR="004F6193" w:rsidRPr="00EB60AD" w:rsidRDefault="004F6193" w:rsidP="004F6193">
      <w:pPr>
        <w:rPr>
          <w:rFonts w:cstheme="minorHAnsi"/>
          <w:lang w:val="en-US"/>
        </w:rPr>
      </w:pPr>
    </w:p>
    <w:p w14:paraId="6EC6D2EB" w14:textId="77777777" w:rsidR="00063DD7" w:rsidRDefault="00063DD7">
      <w:pPr>
        <w:rPr>
          <w:rFonts w:cstheme="minorHAnsi"/>
        </w:rPr>
      </w:pPr>
      <w:r>
        <w:rPr>
          <w:rFonts w:cstheme="minorHAnsi"/>
        </w:rPr>
        <w:br w:type="page"/>
      </w:r>
    </w:p>
    <w:p w14:paraId="5C9670F0" w14:textId="57485989" w:rsidR="008F4A30" w:rsidRDefault="00837116" w:rsidP="008F4A30">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60288" behindDoc="1" locked="0" layoutInCell="1" allowOverlap="1" wp14:anchorId="67E3934E" wp14:editId="3B6860B4">
            <wp:simplePos x="0" y="0"/>
            <wp:positionH relativeFrom="column">
              <wp:posOffset>4067175</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27792DD" w14:textId="77777777" w:rsidR="008F4A30" w:rsidRPr="008F4A30" w:rsidRDefault="008F4A30" w:rsidP="008F4A30">
      <w:pPr>
        <w:pStyle w:val="Title"/>
        <w:pBdr>
          <w:bottom w:val="none" w:sz="0" w:space="0" w:color="auto"/>
        </w:pBdr>
        <w:spacing w:before="240" w:after="240"/>
        <w:rPr>
          <w:rFonts w:asciiTheme="minorHAnsi" w:hAnsiTheme="minorHAnsi" w:cstheme="minorHAnsi"/>
          <w:b/>
          <w:sz w:val="22"/>
          <w:szCs w:val="22"/>
          <w:lang w:val="en-US"/>
        </w:rPr>
      </w:pPr>
    </w:p>
    <w:p w14:paraId="4278387E" w14:textId="77777777" w:rsidR="00837116" w:rsidRDefault="00837116" w:rsidP="00AF746E">
      <w:pPr>
        <w:pStyle w:val="Policy3"/>
      </w:pPr>
    </w:p>
    <w:p w14:paraId="63C1EFDF" w14:textId="77777777" w:rsidR="00837116" w:rsidRDefault="00837116" w:rsidP="00AF746E">
      <w:pPr>
        <w:pStyle w:val="Policy3"/>
      </w:pPr>
    </w:p>
    <w:p w14:paraId="1049DC70" w14:textId="191C0A40" w:rsidR="008F4A30" w:rsidRPr="008F4A30" w:rsidRDefault="008F4A30" w:rsidP="00AF746E">
      <w:pPr>
        <w:pStyle w:val="Policy3"/>
      </w:pPr>
      <w:bookmarkStart w:id="571" w:name="_Toc216866725"/>
      <w:r>
        <w:t>3.2.2</w:t>
      </w:r>
      <w:r>
        <w:tab/>
      </w:r>
      <w:r w:rsidRPr="008F4A30">
        <w:t>N</w:t>
      </w:r>
      <w:r w:rsidR="00AF746E">
        <w:t>oise Attenuation</w:t>
      </w:r>
      <w:bookmarkEnd w:id="571"/>
    </w:p>
    <w:tbl>
      <w:tblPr>
        <w:tblStyle w:val="TableGrid"/>
        <w:tblW w:w="0" w:type="auto"/>
        <w:tblLook w:val="04A0" w:firstRow="1" w:lastRow="0" w:firstColumn="1" w:lastColumn="0" w:noHBand="0" w:noVBand="1"/>
      </w:tblPr>
      <w:tblGrid>
        <w:gridCol w:w="3021"/>
        <w:gridCol w:w="5995"/>
      </w:tblGrid>
      <w:tr w:rsidR="008F4A30" w:rsidRPr="008F4A30" w14:paraId="3EB6B062" w14:textId="77777777" w:rsidTr="00CB0129">
        <w:tc>
          <w:tcPr>
            <w:tcW w:w="3021" w:type="dxa"/>
          </w:tcPr>
          <w:p w14:paraId="7C9A7858" w14:textId="77777777" w:rsidR="008F4A30" w:rsidRPr="008F4A30" w:rsidRDefault="008F4A30" w:rsidP="008F4A30">
            <w:pPr>
              <w:rPr>
                <w:rFonts w:cstheme="minorHAnsi"/>
                <w:b/>
                <w:lang w:val="en-US"/>
              </w:rPr>
            </w:pPr>
            <w:r w:rsidRPr="008F4A30">
              <w:rPr>
                <w:rFonts w:cstheme="minorHAnsi"/>
                <w:b/>
                <w:lang w:val="en-US"/>
              </w:rPr>
              <w:t>Type:</w:t>
            </w:r>
          </w:p>
        </w:tc>
        <w:tc>
          <w:tcPr>
            <w:tcW w:w="5995" w:type="dxa"/>
          </w:tcPr>
          <w:p w14:paraId="4D07C8FF" w14:textId="77777777" w:rsidR="008F4A30" w:rsidRPr="008F4A30" w:rsidRDefault="008F4A30" w:rsidP="008F4A30">
            <w:pPr>
              <w:rPr>
                <w:rFonts w:cstheme="minorHAnsi"/>
                <w:lang w:val="en-US"/>
              </w:rPr>
            </w:pPr>
            <w:r>
              <w:rPr>
                <w:rFonts w:cstheme="minorHAnsi"/>
                <w:lang w:val="en-US"/>
              </w:rPr>
              <w:t>Regulatory Services – Environmental Health</w:t>
            </w:r>
          </w:p>
        </w:tc>
      </w:tr>
      <w:tr w:rsidR="008F4A30" w:rsidRPr="008F4A30" w14:paraId="303A5016" w14:textId="77777777" w:rsidTr="00CB0129">
        <w:tc>
          <w:tcPr>
            <w:tcW w:w="3021" w:type="dxa"/>
          </w:tcPr>
          <w:p w14:paraId="01997FF7" w14:textId="77777777" w:rsidR="008F4A30" w:rsidRPr="008F4A30" w:rsidRDefault="008F4A30" w:rsidP="008F4A30">
            <w:pPr>
              <w:rPr>
                <w:rFonts w:cstheme="minorHAnsi"/>
                <w:b/>
                <w:lang w:val="en-US"/>
              </w:rPr>
            </w:pPr>
            <w:r w:rsidRPr="008F4A30">
              <w:rPr>
                <w:rFonts w:cstheme="minorHAnsi"/>
                <w:b/>
                <w:lang w:val="en-US"/>
              </w:rPr>
              <w:t>Legislation:</w:t>
            </w:r>
          </w:p>
        </w:tc>
        <w:tc>
          <w:tcPr>
            <w:tcW w:w="5995" w:type="dxa"/>
          </w:tcPr>
          <w:p w14:paraId="78CECA78" w14:textId="77777777" w:rsidR="008F4A30" w:rsidRPr="008F4A30" w:rsidRDefault="008F4A30" w:rsidP="008F4A30">
            <w:pPr>
              <w:rPr>
                <w:rFonts w:cstheme="minorHAnsi"/>
                <w:lang w:val="en-US"/>
              </w:rPr>
            </w:pPr>
            <w:r w:rsidRPr="008F4A30">
              <w:rPr>
                <w:rFonts w:cstheme="minorHAnsi"/>
                <w:lang w:val="en-US"/>
              </w:rPr>
              <w:t>Planning &amp; Development Act 2005</w:t>
            </w:r>
          </w:p>
        </w:tc>
      </w:tr>
      <w:tr w:rsidR="008F4A30" w:rsidRPr="008F4A30" w14:paraId="3A8ACEA4" w14:textId="77777777" w:rsidTr="00CB0129">
        <w:tc>
          <w:tcPr>
            <w:tcW w:w="3021" w:type="dxa"/>
          </w:tcPr>
          <w:p w14:paraId="481F2FFD" w14:textId="77777777" w:rsidR="008F4A30" w:rsidRPr="008F4A30" w:rsidRDefault="008F4A30" w:rsidP="008F4A30">
            <w:pPr>
              <w:rPr>
                <w:rFonts w:cstheme="minorHAnsi"/>
                <w:b/>
                <w:lang w:val="en-US"/>
              </w:rPr>
            </w:pPr>
            <w:r w:rsidRPr="008F4A30">
              <w:rPr>
                <w:rFonts w:cstheme="minorHAnsi"/>
                <w:b/>
                <w:lang w:val="en-US"/>
              </w:rPr>
              <w:t>Delegation:</w:t>
            </w:r>
          </w:p>
        </w:tc>
        <w:tc>
          <w:tcPr>
            <w:tcW w:w="5995" w:type="dxa"/>
          </w:tcPr>
          <w:p w14:paraId="6F80C823" w14:textId="77777777" w:rsidR="008F4A30" w:rsidRPr="008F4A30" w:rsidRDefault="008F4A30" w:rsidP="008F4A30">
            <w:pPr>
              <w:rPr>
                <w:rFonts w:cstheme="minorHAnsi"/>
                <w:lang w:val="en-US"/>
              </w:rPr>
            </w:pPr>
            <w:r w:rsidRPr="008F4A30">
              <w:rPr>
                <w:rFonts w:cstheme="minorHAnsi"/>
                <w:lang w:val="en-US"/>
              </w:rPr>
              <w:t>N/A</w:t>
            </w:r>
          </w:p>
        </w:tc>
      </w:tr>
      <w:tr w:rsidR="008F4A30" w:rsidRPr="008F4A30" w14:paraId="4944DDF1" w14:textId="77777777" w:rsidTr="00CB0129">
        <w:tc>
          <w:tcPr>
            <w:tcW w:w="3021" w:type="dxa"/>
          </w:tcPr>
          <w:p w14:paraId="7A264104" w14:textId="77777777" w:rsidR="008F4A30" w:rsidRPr="008F4A30" w:rsidRDefault="008F4A30" w:rsidP="008F4A30">
            <w:pPr>
              <w:rPr>
                <w:rFonts w:cstheme="minorHAnsi"/>
                <w:b/>
                <w:lang w:val="en-US"/>
              </w:rPr>
            </w:pPr>
            <w:r w:rsidRPr="008F4A30">
              <w:rPr>
                <w:rFonts w:cstheme="minorHAnsi"/>
                <w:b/>
                <w:lang w:val="en-US"/>
              </w:rPr>
              <w:t>Other Related Document:</w:t>
            </w:r>
          </w:p>
        </w:tc>
        <w:tc>
          <w:tcPr>
            <w:tcW w:w="5995" w:type="dxa"/>
          </w:tcPr>
          <w:p w14:paraId="289935AF" w14:textId="77777777" w:rsidR="008F4A30" w:rsidRPr="008F4A30" w:rsidRDefault="008F4A30" w:rsidP="008F4A30">
            <w:pPr>
              <w:tabs>
                <w:tab w:val="right" w:pos="9000"/>
              </w:tabs>
              <w:rPr>
                <w:rFonts w:cstheme="minorHAnsi"/>
                <w:bCs/>
              </w:rPr>
            </w:pPr>
            <w:proofErr w:type="spellStart"/>
            <w:r w:rsidRPr="008F4A30">
              <w:rPr>
                <w:rFonts w:cstheme="minorHAnsi"/>
                <w:bCs/>
              </w:rPr>
              <w:t>ToEF</w:t>
            </w:r>
            <w:proofErr w:type="spellEnd"/>
            <w:r w:rsidRPr="008F4A30">
              <w:rPr>
                <w:rFonts w:cstheme="minorHAnsi"/>
                <w:bCs/>
              </w:rPr>
              <w:t xml:space="preserve"> Town Planning Scheme No 3 (Part 2)</w:t>
            </w:r>
          </w:p>
          <w:p w14:paraId="18AD3E89" w14:textId="77777777" w:rsidR="008F4A30" w:rsidRPr="008F4A30" w:rsidRDefault="008F4A30" w:rsidP="008F4A30">
            <w:pPr>
              <w:tabs>
                <w:tab w:val="right" w:pos="9000"/>
              </w:tabs>
              <w:rPr>
                <w:rFonts w:cstheme="minorHAnsi"/>
                <w:bCs/>
              </w:rPr>
            </w:pPr>
            <w:r w:rsidRPr="008F4A30">
              <w:rPr>
                <w:rFonts w:cstheme="minorHAnsi"/>
                <w:bCs/>
              </w:rPr>
              <w:t>Residential Design Guidelines Pol</w:t>
            </w:r>
            <w:r w:rsidR="00AF746E">
              <w:rPr>
                <w:rFonts w:cstheme="minorHAnsi"/>
                <w:bCs/>
              </w:rPr>
              <w:t>icy (3</w:t>
            </w:r>
            <w:r w:rsidRPr="008F4A30">
              <w:rPr>
                <w:rFonts w:cstheme="minorHAnsi"/>
                <w:bCs/>
              </w:rPr>
              <w:t>.1.1)</w:t>
            </w:r>
          </w:p>
        </w:tc>
      </w:tr>
    </w:tbl>
    <w:p w14:paraId="72034E06" w14:textId="77777777" w:rsidR="008F4A30" w:rsidRPr="008F4A30" w:rsidRDefault="008F4A30" w:rsidP="008F4A30">
      <w:pPr>
        <w:spacing w:before="240" w:after="0"/>
        <w:rPr>
          <w:b/>
          <w:sz w:val="28"/>
          <w:szCs w:val="28"/>
          <w:lang w:val="en-US"/>
        </w:rPr>
      </w:pPr>
      <w:r w:rsidRPr="008F4A30">
        <w:rPr>
          <w:b/>
          <w:sz w:val="28"/>
          <w:szCs w:val="28"/>
          <w:lang w:val="en-US"/>
        </w:rPr>
        <w:t>Objective</w:t>
      </w:r>
    </w:p>
    <w:p w14:paraId="03D53677" w14:textId="77777777" w:rsidR="008F4A30" w:rsidRPr="008F4A30" w:rsidRDefault="008F4A30" w:rsidP="008F4A30">
      <w:pPr>
        <w:tabs>
          <w:tab w:val="right" w:pos="9000"/>
        </w:tabs>
        <w:spacing w:after="60"/>
        <w:rPr>
          <w:rFonts w:cstheme="minorHAnsi"/>
        </w:rPr>
      </w:pPr>
      <w:r w:rsidRPr="008F4A30">
        <w:rPr>
          <w:rFonts w:cstheme="minorHAnsi"/>
        </w:rPr>
        <w:t>This Noise Attenuation Policy aims to achieve the following:</w:t>
      </w:r>
    </w:p>
    <w:p w14:paraId="2597377E" w14:textId="77777777" w:rsidR="008F4A30" w:rsidRPr="008F4A30" w:rsidRDefault="008F4A30" w:rsidP="002A3889">
      <w:pPr>
        <w:numPr>
          <w:ilvl w:val="0"/>
          <w:numId w:val="324"/>
        </w:numPr>
        <w:tabs>
          <w:tab w:val="clear" w:pos="1854"/>
          <w:tab w:val="left" w:pos="1134"/>
          <w:tab w:val="right" w:pos="9072"/>
        </w:tabs>
        <w:spacing w:after="60" w:line="240" w:lineRule="auto"/>
        <w:ind w:left="425" w:hanging="425"/>
        <w:jc w:val="both"/>
        <w:rPr>
          <w:rFonts w:cstheme="minorHAnsi"/>
        </w:rPr>
      </w:pPr>
      <w:r w:rsidRPr="008F4A30">
        <w:rPr>
          <w:rFonts w:cstheme="minorHAnsi"/>
        </w:rPr>
        <w:t xml:space="preserve">Provide a clear framework for addressing noise concerns in (and near) mixed-use areas and areas subject to ambient environmental noise, that may be subject to higher levels of noise than average suburban </w:t>
      </w:r>
      <w:proofErr w:type="gramStart"/>
      <w:r w:rsidRPr="008F4A30">
        <w:rPr>
          <w:rFonts w:cstheme="minorHAnsi"/>
        </w:rPr>
        <w:t>areas;</w:t>
      </w:r>
      <w:proofErr w:type="gramEnd"/>
      <w:r w:rsidRPr="008F4A30">
        <w:rPr>
          <w:rFonts w:cstheme="minorHAnsi"/>
        </w:rPr>
        <w:t xml:space="preserve"> </w:t>
      </w:r>
    </w:p>
    <w:p w14:paraId="3538A275" w14:textId="77777777" w:rsidR="008F4A30" w:rsidRPr="008F4A30" w:rsidRDefault="008F4A30" w:rsidP="002A3889">
      <w:pPr>
        <w:numPr>
          <w:ilvl w:val="0"/>
          <w:numId w:val="324"/>
        </w:numPr>
        <w:tabs>
          <w:tab w:val="clear" w:pos="1854"/>
          <w:tab w:val="left" w:pos="1134"/>
          <w:tab w:val="right" w:pos="9072"/>
        </w:tabs>
        <w:spacing w:before="120" w:after="60" w:line="240" w:lineRule="auto"/>
        <w:ind w:left="426" w:hanging="426"/>
        <w:jc w:val="both"/>
        <w:rPr>
          <w:rFonts w:cstheme="minorHAnsi"/>
        </w:rPr>
      </w:pPr>
      <w:r w:rsidRPr="008F4A30">
        <w:rPr>
          <w:rFonts w:cstheme="minorHAnsi"/>
        </w:rPr>
        <w:t xml:space="preserve">Establish appropriate criteria for measuring and identifying potential noise impacts before they </w:t>
      </w:r>
      <w:proofErr w:type="gramStart"/>
      <w:r w:rsidRPr="008F4A30">
        <w:rPr>
          <w:rFonts w:cstheme="minorHAnsi"/>
        </w:rPr>
        <w:t>occur;</w:t>
      </w:r>
      <w:proofErr w:type="gramEnd"/>
    </w:p>
    <w:p w14:paraId="58BD397F" w14:textId="77777777" w:rsidR="008F4A30" w:rsidRPr="008F4A30" w:rsidRDefault="008F4A30" w:rsidP="002A3889">
      <w:pPr>
        <w:numPr>
          <w:ilvl w:val="0"/>
          <w:numId w:val="324"/>
        </w:numPr>
        <w:tabs>
          <w:tab w:val="clear" w:pos="1854"/>
          <w:tab w:val="left" w:pos="1134"/>
          <w:tab w:val="right" w:pos="9072"/>
        </w:tabs>
        <w:spacing w:before="120" w:after="60" w:line="240" w:lineRule="auto"/>
        <w:ind w:left="426" w:hanging="426"/>
        <w:jc w:val="both"/>
        <w:rPr>
          <w:rFonts w:cstheme="minorHAnsi"/>
        </w:rPr>
      </w:pPr>
      <w:r w:rsidRPr="008F4A30">
        <w:rPr>
          <w:rFonts w:cstheme="minorHAnsi"/>
        </w:rPr>
        <w:t xml:space="preserve">Clarify the process and extent of reporting required in certifying proposed noise attenuation measures; and </w:t>
      </w:r>
    </w:p>
    <w:p w14:paraId="6E53928D" w14:textId="77777777" w:rsidR="008F4A30" w:rsidRPr="008F4A30" w:rsidRDefault="008F4A30" w:rsidP="002A3889">
      <w:pPr>
        <w:numPr>
          <w:ilvl w:val="0"/>
          <w:numId w:val="324"/>
        </w:numPr>
        <w:tabs>
          <w:tab w:val="clear" w:pos="1854"/>
          <w:tab w:val="left" w:pos="1134"/>
          <w:tab w:val="right" w:pos="9072"/>
        </w:tabs>
        <w:spacing w:before="120" w:after="0" w:line="240" w:lineRule="auto"/>
        <w:ind w:left="426" w:hanging="426"/>
        <w:jc w:val="both"/>
        <w:rPr>
          <w:rFonts w:cstheme="minorHAnsi"/>
        </w:rPr>
      </w:pPr>
      <w:r w:rsidRPr="008F4A30">
        <w:rPr>
          <w:rFonts w:cstheme="minorHAnsi"/>
        </w:rPr>
        <w:t xml:space="preserve">Protect the amenity of existing and future residents within (and near) mixed-use precincts and areas subject to ambient environmental noise, through enhanced building design and construction. </w:t>
      </w:r>
    </w:p>
    <w:p w14:paraId="172A2E20" w14:textId="77777777" w:rsidR="008F4A30" w:rsidRPr="008F4A30" w:rsidRDefault="008F4A30" w:rsidP="008F4A30">
      <w:pPr>
        <w:spacing w:before="200" w:after="0"/>
        <w:rPr>
          <w:b/>
          <w:sz w:val="28"/>
          <w:szCs w:val="28"/>
          <w:lang w:val="en-US"/>
        </w:rPr>
      </w:pPr>
      <w:r w:rsidRPr="008F4A30">
        <w:rPr>
          <w:b/>
          <w:sz w:val="28"/>
          <w:szCs w:val="28"/>
          <w:lang w:val="en-US"/>
        </w:rPr>
        <w:t xml:space="preserve">Policy </w:t>
      </w:r>
    </w:p>
    <w:p w14:paraId="483841B0" w14:textId="77777777" w:rsidR="008F4A30" w:rsidRPr="008F4A30" w:rsidRDefault="008F4A30" w:rsidP="008F4A30">
      <w:pPr>
        <w:tabs>
          <w:tab w:val="right" w:pos="9000"/>
        </w:tabs>
        <w:jc w:val="both"/>
        <w:rPr>
          <w:rFonts w:cstheme="minorHAnsi"/>
        </w:rPr>
      </w:pPr>
      <w:r w:rsidRPr="008F4A30">
        <w:rPr>
          <w:rFonts w:cstheme="minorHAnsi"/>
        </w:rPr>
        <w:t>In providing for the sustainable co-existence of a mix of land uses (including residential, retail, recreational, commercial and entertainment uses) within, or adjacent to, areas that are likely to be subject to ambient environmental noise, measures need to be taken to minimise the adverse impacts of noise.</w:t>
      </w:r>
    </w:p>
    <w:p w14:paraId="313CE264" w14:textId="77777777" w:rsidR="008F4A30" w:rsidRPr="008F4A30" w:rsidRDefault="008F4A30" w:rsidP="008F4A30">
      <w:pPr>
        <w:tabs>
          <w:tab w:val="right" w:pos="9000"/>
        </w:tabs>
        <w:jc w:val="both"/>
        <w:rPr>
          <w:rFonts w:cstheme="minorHAnsi"/>
        </w:rPr>
      </w:pPr>
      <w:r w:rsidRPr="008F4A30">
        <w:rPr>
          <w:rFonts w:cstheme="minorHAnsi"/>
        </w:rPr>
        <w:t>There are various provisions for the regulation of noise levels in respect to established land uses</w:t>
      </w:r>
      <w:r w:rsidRPr="008F4A30">
        <w:rPr>
          <w:rFonts w:cstheme="minorHAnsi"/>
          <w:vertAlign w:val="superscript"/>
        </w:rPr>
        <w:footnoteReference w:id="1"/>
      </w:r>
      <w:r w:rsidRPr="008F4A30">
        <w:rPr>
          <w:rFonts w:cstheme="minorHAnsi"/>
        </w:rPr>
        <w:t xml:space="preserve"> This policy is intended to reduce the potential for ‘nuisance’ occurring from noise by providing for the appropriate assessment and design responses to be incorporated within development proposals. This Policy is intended to clarify the Council’s approach to noise-generating and noise-sensitive developments within the Town of East Fremantle. </w:t>
      </w:r>
    </w:p>
    <w:p w14:paraId="07C5EDEC" w14:textId="77777777" w:rsidR="008F4A30" w:rsidRPr="008F4A30" w:rsidRDefault="008F4A30" w:rsidP="008F4A30">
      <w:pPr>
        <w:tabs>
          <w:tab w:val="right" w:pos="9000"/>
        </w:tabs>
        <w:jc w:val="both"/>
        <w:rPr>
          <w:rFonts w:cstheme="minorHAnsi"/>
        </w:rPr>
      </w:pPr>
      <w:r w:rsidRPr="008F4A30">
        <w:rPr>
          <w:rFonts w:cstheme="minorHAnsi"/>
        </w:rPr>
        <w:t xml:space="preserve">To achieve appropriate acoustic environments within noise sensitive premises, ambient environmental noise needs to be considered as part of the application for planning approval for </w:t>
      </w:r>
      <w:proofErr w:type="gramStart"/>
      <w:r w:rsidRPr="008F4A30">
        <w:rPr>
          <w:rFonts w:cstheme="minorHAnsi"/>
        </w:rPr>
        <w:t>developments, and</w:t>
      </w:r>
      <w:proofErr w:type="gramEnd"/>
      <w:r w:rsidRPr="008F4A30">
        <w:rPr>
          <w:rFonts w:cstheme="minorHAnsi"/>
        </w:rPr>
        <w:t xml:space="preserve"> </w:t>
      </w:r>
      <w:r w:rsidRPr="008F4A30">
        <w:rPr>
          <w:rFonts w:cstheme="minorHAnsi"/>
        </w:rPr>
        <w:lastRenderedPageBreak/>
        <w:t>subsequently addressed during design development and documentation for implementation during construction.</w:t>
      </w:r>
    </w:p>
    <w:p w14:paraId="4F45372C" w14:textId="77777777" w:rsidR="008F4A30" w:rsidRPr="008F4A30" w:rsidRDefault="008F4A30" w:rsidP="008F4A30">
      <w:pPr>
        <w:tabs>
          <w:tab w:val="right" w:pos="9000"/>
        </w:tabs>
        <w:spacing w:after="60"/>
        <w:jc w:val="both"/>
        <w:rPr>
          <w:rFonts w:cstheme="minorHAnsi"/>
          <w:b/>
        </w:rPr>
      </w:pPr>
      <w:r w:rsidRPr="008F4A30">
        <w:rPr>
          <w:rFonts w:cstheme="minorHAnsi"/>
          <w:b/>
        </w:rPr>
        <w:t>AMBIENT ENVIRONMENTAL NOISE</w:t>
      </w:r>
    </w:p>
    <w:p w14:paraId="2D6274EB" w14:textId="77777777" w:rsidR="008F4A30" w:rsidRPr="008F4A30" w:rsidRDefault="008F4A30" w:rsidP="008F4A30">
      <w:pPr>
        <w:tabs>
          <w:tab w:val="right" w:pos="9000"/>
        </w:tabs>
        <w:spacing w:after="0"/>
        <w:jc w:val="both"/>
        <w:rPr>
          <w:rFonts w:cstheme="minorHAnsi"/>
          <w:b/>
        </w:rPr>
      </w:pPr>
      <w:r w:rsidRPr="008F4A30">
        <w:rPr>
          <w:rFonts w:cstheme="minorHAnsi"/>
          <w:b/>
        </w:rPr>
        <w:t>Sources</w:t>
      </w:r>
    </w:p>
    <w:p w14:paraId="352C1E5C" w14:textId="77777777" w:rsidR="008F4A30" w:rsidRPr="008F4A30" w:rsidRDefault="008F4A30" w:rsidP="008F4A30">
      <w:pPr>
        <w:tabs>
          <w:tab w:val="right" w:pos="9000"/>
        </w:tabs>
        <w:spacing w:after="60"/>
        <w:jc w:val="both"/>
        <w:rPr>
          <w:rFonts w:cstheme="minorHAnsi"/>
        </w:rPr>
      </w:pPr>
      <w:r w:rsidRPr="008F4A30">
        <w:rPr>
          <w:rFonts w:cstheme="minorHAnsi"/>
        </w:rPr>
        <w:t>Ambient environmental noise relates to the measurable existing (or projected) noise levels at a particular location. Environmental noise sources that may occur include:</w:t>
      </w:r>
    </w:p>
    <w:p w14:paraId="789571BB" w14:textId="77777777" w:rsidR="008F4A30" w:rsidRPr="008F4A30" w:rsidRDefault="008F4A30" w:rsidP="008A6DA7">
      <w:pPr>
        <w:tabs>
          <w:tab w:val="right" w:pos="9000"/>
        </w:tabs>
        <w:spacing w:after="0"/>
        <w:ind w:left="425" w:hanging="425"/>
        <w:jc w:val="both"/>
        <w:rPr>
          <w:rFonts w:cstheme="minorHAnsi"/>
          <w:b/>
        </w:rPr>
      </w:pPr>
      <w:r w:rsidRPr="008F4A30">
        <w:rPr>
          <w:rFonts w:cstheme="minorHAnsi"/>
        </w:rPr>
        <w:t>(a)</w:t>
      </w:r>
      <w:r w:rsidRPr="008F4A30">
        <w:rPr>
          <w:rFonts w:cstheme="minorHAnsi"/>
        </w:rPr>
        <w:tab/>
      </w:r>
      <w:r w:rsidRPr="008F4A30">
        <w:rPr>
          <w:rFonts w:cstheme="minorHAnsi"/>
          <w:u w:val="single"/>
        </w:rPr>
        <w:t>Traffic Noise</w:t>
      </w:r>
    </w:p>
    <w:p w14:paraId="1839099F" w14:textId="77777777" w:rsidR="008F4A30" w:rsidRPr="008F4A30" w:rsidRDefault="008F4A30" w:rsidP="008A6DA7">
      <w:pPr>
        <w:tabs>
          <w:tab w:val="right" w:pos="9000"/>
        </w:tabs>
        <w:spacing w:after="60"/>
        <w:ind w:left="426"/>
        <w:jc w:val="both"/>
        <w:rPr>
          <w:rFonts w:cstheme="minorHAnsi"/>
        </w:rPr>
      </w:pPr>
      <w:r w:rsidRPr="008F4A30">
        <w:rPr>
          <w:rFonts w:cstheme="minorHAnsi"/>
        </w:rPr>
        <w:t xml:space="preserve">Major roads contribute to the ambient environmental noise of an area. In most cases, these roads are characterised by a daily traffic noise pattern with an average daily traffic count of more than 15,000 vehicles. </w:t>
      </w:r>
    </w:p>
    <w:p w14:paraId="5F32E7CF" w14:textId="77777777" w:rsidR="008F4A30" w:rsidRPr="008F4A30" w:rsidRDefault="008F4A30" w:rsidP="008A6DA7">
      <w:pPr>
        <w:tabs>
          <w:tab w:val="right" w:pos="9000"/>
        </w:tabs>
        <w:spacing w:after="0"/>
        <w:ind w:left="425" w:hanging="425"/>
        <w:jc w:val="both"/>
        <w:rPr>
          <w:rFonts w:cstheme="minorHAnsi"/>
        </w:rPr>
      </w:pPr>
      <w:r w:rsidRPr="008F4A30">
        <w:rPr>
          <w:rFonts w:cstheme="minorHAnsi"/>
        </w:rPr>
        <w:t>(b)</w:t>
      </w:r>
      <w:r w:rsidRPr="008F4A30">
        <w:rPr>
          <w:rFonts w:cstheme="minorHAnsi"/>
        </w:rPr>
        <w:tab/>
      </w:r>
      <w:r w:rsidRPr="008F4A30">
        <w:rPr>
          <w:rFonts w:cstheme="minorHAnsi"/>
          <w:u w:val="single"/>
        </w:rPr>
        <w:t>Port Operations</w:t>
      </w:r>
    </w:p>
    <w:p w14:paraId="3EF3E23E" w14:textId="77777777" w:rsidR="008F4A30" w:rsidRPr="008F4A30" w:rsidRDefault="008F4A30" w:rsidP="008A6DA7">
      <w:pPr>
        <w:tabs>
          <w:tab w:val="right" w:pos="9000"/>
        </w:tabs>
        <w:spacing w:after="60"/>
        <w:ind w:left="426"/>
        <w:jc w:val="both"/>
        <w:rPr>
          <w:rFonts w:cstheme="minorHAnsi"/>
        </w:rPr>
      </w:pPr>
      <w:r w:rsidRPr="008F4A30">
        <w:rPr>
          <w:rFonts w:cstheme="minorHAnsi"/>
        </w:rPr>
        <w:t xml:space="preserve">The Port of Fremantle is Western Australia’s dedicated container port. The Port is a significant noise source which impacts on the amenity of noise-sensitive premises, particularly residential uses. Council’s Residential Design Guidelines established three buffer areas surrounding the port within which restrictions or prohibitions on development are applied to ensure the continuation of Fremantle as a working port. The provisions of these Guidelines take precedent and are additional to, the Noise Attenuation Policy. </w:t>
      </w:r>
    </w:p>
    <w:p w14:paraId="2D3B2989" w14:textId="77777777" w:rsidR="008F4A30" w:rsidRPr="008F4A30" w:rsidRDefault="008F4A30" w:rsidP="008A6DA7">
      <w:pPr>
        <w:tabs>
          <w:tab w:val="right" w:pos="9000"/>
        </w:tabs>
        <w:spacing w:after="0"/>
        <w:ind w:left="425" w:hanging="425"/>
        <w:jc w:val="both"/>
        <w:rPr>
          <w:rFonts w:cstheme="minorHAnsi"/>
          <w:u w:val="single"/>
        </w:rPr>
      </w:pPr>
      <w:r w:rsidRPr="008F4A30">
        <w:rPr>
          <w:rFonts w:cstheme="minorHAnsi"/>
        </w:rPr>
        <w:t>(c)</w:t>
      </w:r>
      <w:r w:rsidRPr="008F4A30">
        <w:rPr>
          <w:rFonts w:cstheme="minorHAnsi"/>
        </w:rPr>
        <w:tab/>
      </w:r>
      <w:r w:rsidRPr="008F4A30">
        <w:rPr>
          <w:rFonts w:cstheme="minorHAnsi"/>
          <w:u w:val="single"/>
        </w:rPr>
        <w:t>Noise from Entertainment and Other Uses</w:t>
      </w:r>
    </w:p>
    <w:p w14:paraId="51B52B69" w14:textId="77777777" w:rsidR="008F4A30" w:rsidRPr="008F4A30" w:rsidRDefault="008F4A30" w:rsidP="008A6DA7">
      <w:pPr>
        <w:tabs>
          <w:tab w:val="right" w:pos="9000"/>
        </w:tabs>
        <w:spacing w:after="60"/>
        <w:ind w:left="426"/>
        <w:jc w:val="both"/>
        <w:rPr>
          <w:rFonts w:cstheme="minorHAnsi"/>
        </w:rPr>
      </w:pPr>
      <w:r w:rsidRPr="008F4A30">
        <w:rPr>
          <w:rFonts w:cstheme="minorHAnsi"/>
        </w:rPr>
        <w:t xml:space="preserve">Developments that accommodate entertainment and other uses including cafes, restaurants, markets, hotels and other entertainment venues are integral to the vitality and enjoyment of mixed-use localities. Noise emission from such venues is regulated under the Environmental Protection (Noise) Regulations 1997 however, residual ‘break-out’ noise does occur, contributing to general ambient environmental noise. Alfresco areas associated with hotels, cafés and restaurants can be a major contributor to general ambient environmental noise. </w:t>
      </w:r>
    </w:p>
    <w:p w14:paraId="2E4F2F4A" w14:textId="77777777" w:rsidR="008F4A30" w:rsidRPr="008F4A30" w:rsidRDefault="008F4A30" w:rsidP="008A6DA7">
      <w:pPr>
        <w:tabs>
          <w:tab w:val="right" w:pos="9000"/>
        </w:tabs>
        <w:spacing w:after="0"/>
        <w:ind w:left="426" w:hanging="426"/>
        <w:jc w:val="both"/>
        <w:rPr>
          <w:rFonts w:cstheme="minorHAnsi"/>
          <w:u w:val="single"/>
        </w:rPr>
      </w:pPr>
      <w:r w:rsidRPr="008F4A30">
        <w:rPr>
          <w:rFonts w:cstheme="minorHAnsi"/>
        </w:rPr>
        <w:t>(d)</w:t>
      </w:r>
      <w:r w:rsidRPr="008F4A30">
        <w:rPr>
          <w:rFonts w:cstheme="minorHAnsi"/>
        </w:rPr>
        <w:tab/>
      </w:r>
      <w:r w:rsidRPr="008F4A30">
        <w:rPr>
          <w:rFonts w:cstheme="minorHAnsi"/>
          <w:u w:val="single"/>
        </w:rPr>
        <w:t>Street Noise</w:t>
      </w:r>
    </w:p>
    <w:p w14:paraId="2ED6030D" w14:textId="77777777" w:rsidR="008F4A30" w:rsidRPr="008F4A30" w:rsidRDefault="008F4A30" w:rsidP="008A6DA7">
      <w:pPr>
        <w:tabs>
          <w:tab w:val="right" w:pos="9000"/>
        </w:tabs>
        <w:spacing w:after="60"/>
        <w:ind w:left="426"/>
        <w:jc w:val="both"/>
        <w:rPr>
          <w:rFonts w:cstheme="minorHAnsi"/>
        </w:rPr>
      </w:pPr>
      <w:r w:rsidRPr="008F4A30">
        <w:rPr>
          <w:rFonts w:cstheme="minorHAnsi"/>
        </w:rPr>
        <w:t xml:space="preserve">Urban locations containing the mix of lifestyle uses that contribute to the vitality and enjoyment of such areas are also characterised by increased levels of pedestrian activity. The noise associated with this pedestrian activity, including movement to and from different establishments, and persons getting into and out of parked cars can contribute significantly to general ambient environmental noise (particularly when this occurs late at night or early morning). This can create an impact on the amenity of noise sensitive premises, particularly residential. </w:t>
      </w:r>
    </w:p>
    <w:p w14:paraId="633FC30A" w14:textId="77777777" w:rsidR="008F4A30" w:rsidRPr="008F4A30" w:rsidRDefault="008F4A30" w:rsidP="008A6DA7">
      <w:pPr>
        <w:tabs>
          <w:tab w:val="right" w:pos="9000"/>
        </w:tabs>
        <w:spacing w:after="0"/>
        <w:ind w:left="426" w:hanging="426"/>
        <w:jc w:val="both"/>
        <w:rPr>
          <w:rFonts w:cstheme="minorHAnsi"/>
          <w:u w:val="single"/>
        </w:rPr>
      </w:pPr>
      <w:r w:rsidRPr="008F4A30">
        <w:rPr>
          <w:rFonts w:cstheme="minorHAnsi"/>
        </w:rPr>
        <w:t>(e)</w:t>
      </w:r>
      <w:r w:rsidRPr="008F4A30">
        <w:rPr>
          <w:rFonts w:cstheme="minorHAnsi"/>
        </w:rPr>
        <w:tab/>
      </w:r>
      <w:r w:rsidRPr="008F4A30">
        <w:rPr>
          <w:rFonts w:cstheme="minorHAnsi"/>
          <w:u w:val="single"/>
        </w:rPr>
        <w:t>Mechanical Plant</w:t>
      </w:r>
    </w:p>
    <w:p w14:paraId="202A551D" w14:textId="77777777" w:rsidR="008F4A30" w:rsidRPr="008F4A30" w:rsidRDefault="008F4A30" w:rsidP="008A6DA7">
      <w:pPr>
        <w:tabs>
          <w:tab w:val="right" w:pos="9000"/>
        </w:tabs>
        <w:ind w:left="426"/>
        <w:jc w:val="both"/>
        <w:rPr>
          <w:rFonts w:cstheme="minorHAnsi"/>
        </w:rPr>
      </w:pPr>
      <w:r w:rsidRPr="008F4A30">
        <w:rPr>
          <w:rFonts w:cstheme="minorHAnsi"/>
        </w:rPr>
        <w:t xml:space="preserve">Air-conditioning and related service hardware can impact on the amenity of noise sensitive premises. In a residential setting, the noise emission from air conditioner condensers can affect the amenity of neighbouring property. In mixed use locations, exhaust fans associated with commercial kitchens, smoke exhaust systems, refrigeration compressors and chillers and other equipment associated with the air conditioning of larger premises are significant noise sources that impact on the general ambient environmental noise. </w:t>
      </w:r>
    </w:p>
    <w:p w14:paraId="13100464" w14:textId="77777777" w:rsidR="008A6DA7" w:rsidRDefault="008A6DA7">
      <w:pPr>
        <w:rPr>
          <w:rFonts w:cstheme="minorHAnsi"/>
          <w:b/>
        </w:rPr>
      </w:pPr>
      <w:r>
        <w:rPr>
          <w:rFonts w:cstheme="minorHAnsi"/>
          <w:b/>
        </w:rPr>
        <w:br w:type="page"/>
      </w:r>
    </w:p>
    <w:p w14:paraId="68853569" w14:textId="77777777" w:rsidR="008F4A30" w:rsidRPr="008F4A30" w:rsidRDefault="008F4A30" w:rsidP="008F4A30">
      <w:pPr>
        <w:tabs>
          <w:tab w:val="right" w:pos="9000"/>
        </w:tabs>
        <w:spacing w:after="60"/>
        <w:jc w:val="both"/>
        <w:rPr>
          <w:rFonts w:cstheme="minorHAnsi"/>
          <w:b/>
        </w:rPr>
      </w:pPr>
      <w:r w:rsidRPr="008F4A30">
        <w:rPr>
          <w:rFonts w:cstheme="minorHAnsi"/>
          <w:b/>
        </w:rPr>
        <w:lastRenderedPageBreak/>
        <w:t>MEASURES REQUIRED</w:t>
      </w:r>
    </w:p>
    <w:p w14:paraId="595EE91D" w14:textId="77777777" w:rsidR="008F4A30" w:rsidRPr="008F4A30" w:rsidRDefault="008F4A30" w:rsidP="008A6DA7">
      <w:pPr>
        <w:tabs>
          <w:tab w:val="right" w:pos="9000"/>
        </w:tabs>
        <w:spacing w:after="0"/>
        <w:ind w:left="426" w:hanging="426"/>
        <w:jc w:val="both"/>
        <w:rPr>
          <w:rFonts w:cstheme="minorHAnsi"/>
          <w:b/>
        </w:rPr>
      </w:pPr>
      <w:r w:rsidRPr="008F4A30">
        <w:rPr>
          <w:rFonts w:cstheme="minorHAnsi"/>
          <w:b/>
        </w:rPr>
        <w:t>1.</w:t>
      </w:r>
      <w:r w:rsidRPr="008F4A30">
        <w:rPr>
          <w:rFonts w:cstheme="minorHAnsi"/>
          <w:b/>
        </w:rPr>
        <w:tab/>
        <w:t>General</w:t>
      </w:r>
    </w:p>
    <w:p w14:paraId="2921F3EC" w14:textId="77777777" w:rsidR="008F4A30" w:rsidRPr="008F4A30" w:rsidRDefault="008F4A30" w:rsidP="008A6DA7">
      <w:pPr>
        <w:tabs>
          <w:tab w:val="right" w:pos="9000"/>
        </w:tabs>
        <w:ind w:left="426"/>
        <w:jc w:val="both"/>
        <w:rPr>
          <w:rFonts w:cstheme="minorHAnsi"/>
        </w:rPr>
      </w:pPr>
      <w:proofErr w:type="gramStart"/>
      <w:r w:rsidRPr="008F4A30">
        <w:rPr>
          <w:rFonts w:cstheme="minorHAnsi"/>
        </w:rPr>
        <w:t>In order to</w:t>
      </w:r>
      <w:proofErr w:type="gramEnd"/>
      <w:r w:rsidRPr="008F4A30">
        <w:rPr>
          <w:rFonts w:cstheme="minorHAnsi"/>
        </w:rPr>
        <w:t xml:space="preserve"> address noise from the above sources, the potential noise impacts upon new development shall be addressed at the planning and design stage. Measures to minimise the impacts of noise are to be incorporated at the time of construction. </w:t>
      </w:r>
    </w:p>
    <w:p w14:paraId="16977E47" w14:textId="77777777" w:rsidR="008F4A30" w:rsidRPr="008F4A30" w:rsidRDefault="008F4A30" w:rsidP="008A6DA7">
      <w:pPr>
        <w:tabs>
          <w:tab w:val="right" w:pos="9000"/>
        </w:tabs>
        <w:spacing w:after="60"/>
        <w:ind w:left="426"/>
        <w:jc w:val="both"/>
        <w:rPr>
          <w:rFonts w:cstheme="minorHAnsi"/>
        </w:rPr>
      </w:pPr>
      <w:r w:rsidRPr="008F4A30">
        <w:rPr>
          <w:rFonts w:cstheme="minorHAnsi"/>
        </w:rPr>
        <w:t>For residential uses, measures are required to manage noise intrusion from sources, including:</w:t>
      </w:r>
    </w:p>
    <w:p w14:paraId="4CD41F97" w14:textId="77777777" w:rsidR="008F4A30" w:rsidRPr="008F4A30" w:rsidRDefault="008F4A30" w:rsidP="008A6DA7">
      <w:pPr>
        <w:tabs>
          <w:tab w:val="left" w:pos="1680"/>
          <w:tab w:val="right" w:pos="9000"/>
        </w:tabs>
        <w:spacing w:after="60"/>
        <w:ind w:left="851" w:hanging="425"/>
        <w:jc w:val="both"/>
        <w:rPr>
          <w:rFonts w:cstheme="minorHAnsi"/>
        </w:rPr>
      </w:pPr>
      <w:r w:rsidRPr="008F4A30">
        <w:rPr>
          <w:rFonts w:cstheme="minorHAnsi"/>
        </w:rPr>
        <w:t>(a)</w:t>
      </w:r>
      <w:r w:rsidRPr="008F4A30">
        <w:rPr>
          <w:rFonts w:cstheme="minorHAnsi"/>
        </w:rPr>
        <w:tab/>
        <w:t xml:space="preserve">Traffic </w:t>
      </w:r>
      <w:proofErr w:type="gramStart"/>
      <w:r w:rsidRPr="008F4A30">
        <w:rPr>
          <w:rFonts w:cstheme="minorHAnsi"/>
        </w:rPr>
        <w:t>noise;</w:t>
      </w:r>
      <w:proofErr w:type="gramEnd"/>
      <w:r w:rsidRPr="008F4A30">
        <w:rPr>
          <w:rFonts w:cstheme="minorHAnsi"/>
        </w:rPr>
        <w:t xml:space="preserve"> </w:t>
      </w:r>
    </w:p>
    <w:p w14:paraId="00CCCDBC" w14:textId="77777777" w:rsidR="008F4A30" w:rsidRPr="008F4A30" w:rsidRDefault="008F4A30" w:rsidP="008A6DA7">
      <w:pPr>
        <w:tabs>
          <w:tab w:val="left" w:pos="1680"/>
          <w:tab w:val="right" w:pos="9000"/>
        </w:tabs>
        <w:spacing w:after="60"/>
        <w:ind w:left="851" w:hanging="425"/>
        <w:jc w:val="both"/>
        <w:rPr>
          <w:rFonts w:cstheme="minorHAnsi"/>
        </w:rPr>
      </w:pPr>
      <w:r w:rsidRPr="008F4A30">
        <w:rPr>
          <w:rFonts w:cstheme="minorHAnsi"/>
        </w:rPr>
        <w:t>(b)</w:t>
      </w:r>
      <w:r w:rsidRPr="008F4A30">
        <w:rPr>
          <w:rFonts w:cstheme="minorHAnsi"/>
        </w:rPr>
        <w:tab/>
        <w:t xml:space="preserve">Port </w:t>
      </w:r>
      <w:proofErr w:type="gramStart"/>
      <w:r w:rsidRPr="008F4A30">
        <w:rPr>
          <w:rFonts w:cstheme="minorHAnsi"/>
        </w:rPr>
        <w:t>noise;</w:t>
      </w:r>
      <w:proofErr w:type="gramEnd"/>
      <w:r w:rsidRPr="008F4A30">
        <w:rPr>
          <w:rFonts w:cstheme="minorHAnsi"/>
        </w:rPr>
        <w:t xml:space="preserve"> </w:t>
      </w:r>
    </w:p>
    <w:p w14:paraId="4BFD4BA9" w14:textId="77777777" w:rsidR="008F4A30" w:rsidRPr="008F4A30" w:rsidRDefault="008F4A30" w:rsidP="008A6DA7">
      <w:pPr>
        <w:tabs>
          <w:tab w:val="left" w:pos="1680"/>
          <w:tab w:val="right" w:pos="9000"/>
        </w:tabs>
        <w:spacing w:after="60"/>
        <w:ind w:left="851" w:hanging="425"/>
        <w:jc w:val="both"/>
        <w:rPr>
          <w:rFonts w:cstheme="minorHAnsi"/>
        </w:rPr>
      </w:pPr>
      <w:r w:rsidRPr="008F4A30">
        <w:rPr>
          <w:rFonts w:cstheme="minorHAnsi"/>
        </w:rPr>
        <w:t>(c)</w:t>
      </w:r>
      <w:r w:rsidRPr="008F4A30">
        <w:rPr>
          <w:rFonts w:cstheme="minorHAnsi"/>
        </w:rPr>
        <w:tab/>
        <w:t xml:space="preserve">Residual break out noise from entertainment uses and </w:t>
      </w:r>
      <w:proofErr w:type="gramStart"/>
      <w:r w:rsidRPr="008F4A30">
        <w:rPr>
          <w:rFonts w:cstheme="minorHAnsi"/>
        </w:rPr>
        <w:t>venues;</w:t>
      </w:r>
      <w:proofErr w:type="gramEnd"/>
      <w:r w:rsidRPr="008F4A30">
        <w:rPr>
          <w:rFonts w:cstheme="minorHAnsi"/>
        </w:rPr>
        <w:t xml:space="preserve"> </w:t>
      </w:r>
    </w:p>
    <w:p w14:paraId="4F4C6C3C" w14:textId="77777777" w:rsidR="008F4A30" w:rsidRPr="008F4A30" w:rsidRDefault="008F4A30" w:rsidP="008A6DA7">
      <w:pPr>
        <w:tabs>
          <w:tab w:val="left" w:pos="1680"/>
          <w:tab w:val="right" w:pos="9000"/>
        </w:tabs>
        <w:spacing w:after="60"/>
        <w:ind w:left="851" w:hanging="425"/>
        <w:jc w:val="both"/>
        <w:rPr>
          <w:rFonts w:cstheme="minorHAnsi"/>
        </w:rPr>
      </w:pPr>
      <w:r w:rsidRPr="008F4A30">
        <w:rPr>
          <w:rFonts w:cstheme="minorHAnsi"/>
        </w:rPr>
        <w:t>(d)</w:t>
      </w:r>
      <w:r w:rsidRPr="008F4A30">
        <w:rPr>
          <w:rFonts w:cstheme="minorHAnsi"/>
        </w:rPr>
        <w:tab/>
        <w:t>Street noise; and</w:t>
      </w:r>
    </w:p>
    <w:p w14:paraId="41E116EF" w14:textId="77777777" w:rsidR="008F4A30" w:rsidRPr="008F4A30" w:rsidRDefault="008F4A30" w:rsidP="008A6DA7">
      <w:pPr>
        <w:tabs>
          <w:tab w:val="left" w:pos="1680"/>
          <w:tab w:val="right" w:pos="9000"/>
        </w:tabs>
        <w:ind w:left="851" w:hanging="425"/>
        <w:jc w:val="both"/>
        <w:rPr>
          <w:rFonts w:cstheme="minorHAnsi"/>
        </w:rPr>
      </w:pPr>
      <w:r w:rsidRPr="008F4A30">
        <w:rPr>
          <w:rFonts w:cstheme="minorHAnsi"/>
        </w:rPr>
        <w:t>(e)</w:t>
      </w:r>
      <w:r w:rsidRPr="008F4A30">
        <w:rPr>
          <w:rFonts w:cstheme="minorHAnsi"/>
        </w:rPr>
        <w:tab/>
        <w:t>Mechanical plant (on adjoining or adjacent properties).</w:t>
      </w:r>
    </w:p>
    <w:p w14:paraId="7339A032" w14:textId="77777777" w:rsidR="008F4A30" w:rsidRPr="008F4A30" w:rsidRDefault="008F4A30" w:rsidP="008A6DA7">
      <w:pPr>
        <w:tabs>
          <w:tab w:val="right" w:pos="9000"/>
        </w:tabs>
        <w:spacing w:after="60"/>
        <w:ind w:left="284"/>
        <w:jc w:val="both"/>
        <w:rPr>
          <w:rFonts w:cstheme="minorHAnsi"/>
        </w:rPr>
      </w:pPr>
      <w:r w:rsidRPr="008F4A30">
        <w:rPr>
          <w:rFonts w:cstheme="minorHAnsi"/>
        </w:rPr>
        <w:t>For commercial uses, measures are required to control noise emissions generated by the use, including:</w:t>
      </w:r>
    </w:p>
    <w:p w14:paraId="04C3820C" w14:textId="77777777" w:rsidR="008F4A30" w:rsidRPr="008F4A30" w:rsidRDefault="008F4A30" w:rsidP="008A6DA7">
      <w:pPr>
        <w:tabs>
          <w:tab w:val="left" w:pos="1680"/>
          <w:tab w:val="right" w:pos="9000"/>
        </w:tabs>
        <w:spacing w:after="60"/>
        <w:ind w:left="851" w:hanging="425"/>
        <w:jc w:val="both"/>
        <w:rPr>
          <w:rFonts w:cstheme="minorHAnsi"/>
        </w:rPr>
      </w:pPr>
      <w:r w:rsidRPr="008F4A30">
        <w:rPr>
          <w:rFonts w:cstheme="minorHAnsi"/>
        </w:rPr>
        <w:t>(a)</w:t>
      </w:r>
      <w:r w:rsidRPr="008F4A30">
        <w:rPr>
          <w:rFonts w:cstheme="minorHAnsi"/>
        </w:rPr>
        <w:tab/>
        <w:t xml:space="preserve">Noise </w:t>
      </w:r>
      <w:proofErr w:type="gramStart"/>
      <w:r w:rsidRPr="008F4A30">
        <w:rPr>
          <w:rFonts w:cstheme="minorHAnsi"/>
        </w:rPr>
        <w:t>break</w:t>
      </w:r>
      <w:proofErr w:type="gramEnd"/>
      <w:r w:rsidRPr="008F4A30">
        <w:rPr>
          <w:rFonts w:cstheme="minorHAnsi"/>
        </w:rPr>
        <w:t xml:space="preserve"> out from non-residential and other uses such as entertainment venues; and</w:t>
      </w:r>
    </w:p>
    <w:p w14:paraId="5B60BEC7" w14:textId="77777777" w:rsidR="008F4A30" w:rsidRPr="008F4A30" w:rsidRDefault="008F4A30" w:rsidP="008A6DA7">
      <w:pPr>
        <w:tabs>
          <w:tab w:val="left" w:pos="1680"/>
          <w:tab w:val="right" w:pos="9000"/>
        </w:tabs>
        <w:ind w:left="851" w:hanging="425"/>
        <w:jc w:val="both"/>
        <w:rPr>
          <w:rFonts w:cstheme="minorHAnsi"/>
        </w:rPr>
      </w:pPr>
      <w:r w:rsidRPr="008F4A30">
        <w:rPr>
          <w:rFonts w:cstheme="minorHAnsi"/>
        </w:rPr>
        <w:t>(b)</w:t>
      </w:r>
      <w:r w:rsidRPr="008F4A30">
        <w:rPr>
          <w:rFonts w:cstheme="minorHAnsi"/>
        </w:rPr>
        <w:tab/>
        <w:t>Mechanical plant.</w:t>
      </w:r>
    </w:p>
    <w:p w14:paraId="2983CFE1" w14:textId="77777777" w:rsidR="008F4A30" w:rsidRPr="008F4A30" w:rsidRDefault="008F4A30" w:rsidP="008A6DA7">
      <w:pPr>
        <w:tabs>
          <w:tab w:val="right" w:pos="9000"/>
        </w:tabs>
        <w:spacing w:after="0"/>
        <w:ind w:left="426" w:hanging="426"/>
        <w:jc w:val="both"/>
        <w:rPr>
          <w:rFonts w:cstheme="minorHAnsi"/>
          <w:b/>
        </w:rPr>
      </w:pPr>
      <w:r w:rsidRPr="008F4A30">
        <w:rPr>
          <w:rFonts w:cstheme="minorHAnsi"/>
          <w:b/>
        </w:rPr>
        <w:t>2.</w:t>
      </w:r>
      <w:r w:rsidRPr="008F4A30">
        <w:rPr>
          <w:rFonts w:cstheme="minorHAnsi"/>
          <w:b/>
        </w:rPr>
        <w:tab/>
        <w:t>Acoustic Reporting Requirements</w:t>
      </w:r>
    </w:p>
    <w:p w14:paraId="40CAC0AE" w14:textId="77777777" w:rsidR="008F4A30" w:rsidRPr="008F4A30" w:rsidRDefault="008F4A30" w:rsidP="008A6DA7">
      <w:pPr>
        <w:tabs>
          <w:tab w:val="right" w:pos="9000"/>
        </w:tabs>
        <w:ind w:left="426"/>
        <w:jc w:val="both"/>
        <w:rPr>
          <w:rFonts w:cstheme="minorHAnsi"/>
        </w:rPr>
      </w:pPr>
      <w:r w:rsidRPr="008F4A30">
        <w:rPr>
          <w:rFonts w:cstheme="minorHAnsi"/>
        </w:rPr>
        <w:t>The Council will require an acoustic report to form part of a proposal for development which it determines may be subject to (or emit) environmental noise. The report shall demonstrate how the proposed development has been acoustically assessed and designed for the purpose of minimising the effects of noise intrusion and/or noise emissions.</w:t>
      </w:r>
    </w:p>
    <w:p w14:paraId="3D4EBA2A" w14:textId="77777777" w:rsidR="008F4A30" w:rsidRPr="008F4A30" w:rsidRDefault="008F4A30" w:rsidP="008A6DA7">
      <w:pPr>
        <w:tabs>
          <w:tab w:val="right" w:pos="9000"/>
        </w:tabs>
        <w:spacing w:after="60"/>
        <w:ind w:left="426"/>
        <w:jc w:val="both"/>
        <w:rPr>
          <w:rFonts w:cstheme="minorHAnsi"/>
        </w:rPr>
      </w:pPr>
      <w:r w:rsidRPr="008F4A30">
        <w:rPr>
          <w:rFonts w:cstheme="minorHAnsi"/>
        </w:rPr>
        <w:t>Where the Council requires a report, the report shall:</w:t>
      </w:r>
    </w:p>
    <w:p w14:paraId="1048A6C4" w14:textId="77777777" w:rsidR="008F4A30" w:rsidRPr="008F4A30" w:rsidRDefault="008F4A30" w:rsidP="008A6DA7">
      <w:pPr>
        <w:tabs>
          <w:tab w:val="left" w:pos="1680"/>
          <w:tab w:val="right" w:pos="9000"/>
        </w:tabs>
        <w:spacing w:after="60"/>
        <w:ind w:left="851" w:hanging="425"/>
        <w:jc w:val="both"/>
        <w:rPr>
          <w:rFonts w:cstheme="minorHAnsi"/>
        </w:rPr>
      </w:pPr>
      <w:r w:rsidRPr="008F4A30">
        <w:rPr>
          <w:rFonts w:cstheme="minorHAnsi"/>
        </w:rPr>
        <w:t>(a)</w:t>
      </w:r>
      <w:r w:rsidRPr="008F4A30">
        <w:rPr>
          <w:rFonts w:cstheme="minorHAnsi"/>
        </w:rPr>
        <w:tab/>
        <w:t>be prepared by an acoustical consultant with relevant qualifications and experience equivalent to those required for admission as a Member of the Australian Acoustical Society (to the satisfaction of Council</w:t>
      </w:r>
      <w:proofErr w:type="gramStart"/>
      <w:r w:rsidRPr="008F4A30">
        <w:rPr>
          <w:rFonts w:cstheme="minorHAnsi"/>
        </w:rPr>
        <w:t>);</w:t>
      </w:r>
      <w:proofErr w:type="gramEnd"/>
      <w:r w:rsidRPr="008F4A30">
        <w:rPr>
          <w:rFonts w:cstheme="minorHAnsi"/>
        </w:rPr>
        <w:t xml:space="preserve"> </w:t>
      </w:r>
    </w:p>
    <w:p w14:paraId="4E3267F2" w14:textId="77777777" w:rsidR="008F4A30" w:rsidRPr="008F4A30" w:rsidRDefault="008F4A30" w:rsidP="008A6DA7">
      <w:pPr>
        <w:tabs>
          <w:tab w:val="left" w:pos="1680"/>
          <w:tab w:val="right" w:pos="9000"/>
        </w:tabs>
        <w:spacing w:after="60"/>
        <w:ind w:left="851" w:hanging="425"/>
        <w:jc w:val="both"/>
        <w:rPr>
          <w:rFonts w:cstheme="minorHAnsi"/>
        </w:rPr>
      </w:pPr>
      <w:r w:rsidRPr="008F4A30">
        <w:rPr>
          <w:rFonts w:cstheme="minorHAnsi"/>
        </w:rPr>
        <w:t>(b)</w:t>
      </w:r>
      <w:r w:rsidRPr="008F4A30">
        <w:rPr>
          <w:rFonts w:cstheme="minorHAnsi"/>
        </w:rPr>
        <w:tab/>
        <w:t xml:space="preserve">be lodged during the development approval application stage; and </w:t>
      </w:r>
    </w:p>
    <w:p w14:paraId="7ECA9856" w14:textId="77777777" w:rsidR="008F4A30" w:rsidRPr="008F4A30" w:rsidRDefault="008F4A30" w:rsidP="008A6DA7">
      <w:pPr>
        <w:tabs>
          <w:tab w:val="left" w:pos="1680"/>
          <w:tab w:val="right" w:pos="9000"/>
        </w:tabs>
        <w:spacing w:after="60"/>
        <w:ind w:left="851" w:hanging="425"/>
        <w:jc w:val="both"/>
        <w:rPr>
          <w:rFonts w:cstheme="minorHAnsi"/>
        </w:rPr>
      </w:pPr>
      <w:r w:rsidRPr="008F4A30">
        <w:rPr>
          <w:rFonts w:cstheme="minorHAnsi"/>
        </w:rPr>
        <w:t>(c)</w:t>
      </w:r>
      <w:r w:rsidRPr="008F4A30">
        <w:rPr>
          <w:rFonts w:cstheme="minorHAnsi"/>
        </w:rPr>
        <w:tab/>
        <w:t xml:space="preserve">to the satisfaction of the Council, address all matters that are required to demonstrate that the acceptable noise criteria will be achieved including: </w:t>
      </w:r>
    </w:p>
    <w:p w14:paraId="3D430AE3" w14:textId="77777777" w:rsidR="008F4A30" w:rsidRPr="008F4A30" w:rsidRDefault="008F4A30" w:rsidP="008A6DA7">
      <w:pPr>
        <w:tabs>
          <w:tab w:val="right" w:pos="9000"/>
        </w:tabs>
        <w:spacing w:after="60"/>
        <w:ind w:left="1276" w:hanging="425"/>
        <w:jc w:val="both"/>
        <w:rPr>
          <w:rFonts w:cstheme="minorHAnsi"/>
        </w:rPr>
      </w:pPr>
      <w:r w:rsidRPr="008F4A30">
        <w:rPr>
          <w:rFonts w:cstheme="minorHAnsi"/>
        </w:rPr>
        <w:t>(</w:t>
      </w:r>
      <w:proofErr w:type="spellStart"/>
      <w:r w:rsidRPr="008F4A30">
        <w:rPr>
          <w:rFonts w:cstheme="minorHAnsi"/>
        </w:rPr>
        <w:t>i</w:t>
      </w:r>
      <w:proofErr w:type="spellEnd"/>
      <w:r w:rsidRPr="008F4A30">
        <w:rPr>
          <w:rFonts w:cstheme="minorHAnsi"/>
        </w:rPr>
        <w:t>)</w:t>
      </w:r>
      <w:r w:rsidRPr="008F4A30">
        <w:rPr>
          <w:rFonts w:cstheme="minorHAnsi"/>
        </w:rPr>
        <w:tab/>
        <w:t>for developments that may receive noise (noise intrusion):</w:t>
      </w:r>
    </w:p>
    <w:p w14:paraId="500572D1" w14:textId="77777777" w:rsidR="008F4A30" w:rsidRPr="008F4A30" w:rsidRDefault="008F4A30" w:rsidP="002A3889">
      <w:pPr>
        <w:numPr>
          <w:ilvl w:val="0"/>
          <w:numId w:val="325"/>
        </w:numPr>
        <w:tabs>
          <w:tab w:val="clear" w:pos="3240"/>
          <w:tab w:val="left" w:pos="1134"/>
          <w:tab w:val="right" w:pos="9072"/>
        </w:tabs>
        <w:spacing w:after="60" w:line="240" w:lineRule="auto"/>
        <w:ind w:left="1701" w:hanging="425"/>
        <w:jc w:val="both"/>
        <w:rPr>
          <w:rFonts w:cstheme="minorHAnsi"/>
        </w:rPr>
      </w:pPr>
      <w:r w:rsidRPr="008F4A30">
        <w:rPr>
          <w:rFonts w:cstheme="minorHAnsi"/>
        </w:rPr>
        <w:t xml:space="preserve">the identification of all significant existing and potential environmental noise </w:t>
      </w:r>
      <w:proofErr w:type="gramStart"/>
      <w:r w:rsidRPr="008F4A30">
        <w:rPr>
          <w:rFonts w:cstheme="minorHAnsi"/>
        </w:rPr>
        <w:t>sources;</w:t>
      </w:r>
      <w:proofErr w:type="gramEnd"/>
    </w:p>
    <w:p w14:paraId="7C129948" w14:textId="77777777" w:rsidR="008F4A30" w:rsidRPr="008F4A30" w:rsidRDefault="008F4A30" w:rsidP="002A3889">
      <w:pPr>
        <w:numPr>
          <w:ilvl w:val="0"/>
          <w:numId w:val="325"/>
        </w:numPr>
        <w:tabs>
          <w:tab w:val="clear" w:pos="3240"/>
          <w:tab w:val="left" w:pos="1134"/>
          <w:tab w:val="right" w:pos="9072"/>
        </w:tabs>
        <w:spacing w:after="60" w:line="240" w:lineRule="auto"/>
        <w:ind w:left="1701" w:hanging="425"/>
        <w:jc w:val="both"/>
        <w:rPr>
          <w:rFonts w:cstheme="minorHAnsi"/>
        </w:rPr>
      </w:pPr>
      <w:r w:rsidRPr="008F4A30">
        <w:rPr>
          <w:rFonts w:cstheme="minorHAnsi"/>
        </w:rPr>
        <w:t xml:space="preserve">the measurement of all identified noise sources </w:t>
      </w:r>
      <w:proofErr w:type="gramStart"/>
      <w:r w:rsidRPr="008F4A30">
        <w:rPr>
          <w:rFonts w:cstheme="minorHAnsi"/>
        </w:rPr>
        <w:t>including,</w:t>
      </w:r>
      <w:proofErr w:type="gramEnd"/>
      <w:r w:rsidRPr="008F4A30">
        <w:rPr>
          <w:rFonts w:cstheme="minorHAnsi"/>
        </w:rPr>
        <w:t xml:space="preserve"> adequate sampling to enable the establishment of reliable design noise levels. For example, for traffic noise, measurements at different times such as during peak traffic times and late at night on </w:t>
      </w:r>
      <w:proofErr w:type="gramStart"/>
      <w:r w:rsidRPr="008F4A30">
        <w:rPr>
          <w:rFonts w:cstheme="minorHAnsi"/>
        </w:rPr>
        <w:t>weekends;</w:t>
      </w:r>
      <w:proofErr w:type="gramEnd"/>
    </w:p>
    <w:p w14:paraId="708F6BCB" w14:textId="77777777" w:rsidR="008F4A30" w:rsidRPr="008F4A30" w:rsidRDefault="008F4A30" w:rsidP="002A3889">
      <w:pPr>
        <w:numPr>
          <w:ilvl w:val="0"/>
          <w:numId w:val="325"/>
        </w:numPr>
        <w:tabs>
          <w:tab w:val="clear" w:pos="3240"/>
          <w:tab w:val="left" w:pos="1134"/>
          <w:tab w:val="right" w:pos="9072"/>
        </w:tabs>
        <w:spacing w:after="60" w:line="240" w:lineRule="auto"/>
        <w:ind w:left="1701" w:hanging="425"/>
        <w:jc w:val="both"/>
        <w:rPr>
          <w:rFonts w:cstheme="minorHAnsi"/>
        </w:rPr>
      </w:pPr>
      <w:r w:rsidRPr="008F4A30">
        <w:rPr>
          <w:rFonts w:cstheme="minorHAnsi"/>
        </w:rPr>
        <w:t>the character of the noise source to be adequately described in terms of frequency analysis (minimum of octave bands</w:t>
      </w:r>
      <w:proofErr w:type="gramStart"/>
      <w:r w:rsidRPr="008F4A30">
        <w:rPr>
          <w:rFonts w:cstheme="minorHAnsi"/>
        </w:rPr>
        <w:t>);</w:t>
      </w:r>
      <w:proofErr w:type="gramEnd"/>
    </w:p>
    <w:p w14:paraId="492748B3" w14:textId="77777777" w:rsidR="008F4A30" w:rsidRPr="008F4A30" w:rsidRDefault="008F4A30" w:rsidP="002A3889">
      <w:pPr>
        <w:numPr>
          <w:ilvl w:val="0"/>
          <w:numId w:val="325"/>
        </w:numPr>
        <w:tabs>
          <w:tab w:val="clear" w:pos="3240"/>
          <w:tab w:val="left" w:pos="1134"/>
          <w:tab w:val="right" w:pos="9072"/>
        </w:tabs>
        <w:spacing w:after="60" w:line="240" w:lineRule="auto"/>
        <w:ind w:left="1701" w:hanging="425"/>
        <w:jc w:val="both"/>
        <w:rPr>
          <w:rFonts w:cstheme="minorHAnsi"/>
        </w:rPr>
      </w:pPr>
      <w:r w:rsidRPr="008F4A30">
        <w:rPr>
          <w:rFonts w:cstheme="minorHAnsi"/>
        </w:rPr>
        <w:t>the establishment of appropriate interior design sound levels for various areas of occupancy in accordance with the Noise Criteria (outlined below</w:t>
      </w:r>
      <w:proofErr w:type="gramStart"/>
      <w:r w:rsidRPr="008F4A30">
        <w:rPr>
          <w:rFonts w:cstheme="minorHAnsi"/>
        </w:rPr>
        <w:t>);</w:t>
      </w:r>
      <w:proofErr w:type="gramEnd"/>
    </w:p>
    <w:p w14:paraId="031CE1E8" w14:textId="77777777" w:rsidR="008F4A30" w:rsidRPr="008F4A30" w:rsidRDefault="008F4A30" w:rsidP="002A3889">
      <w:pPr>
        <w:numPr>
          <w:ilvl w:val="0"/>
          <w:numId w:val="325"/>
        </w:numPr>
        <w:tabs>
          <w:tab w:val="clear" w:pos="3240"/>
          <w:tab w:val="left" w:pos="1134"/>
          <w:tab w:val="right" w:pos="9072"/>
        </w:tabs>
        <w:spacing w:after="60" w:line="240" w:lineRule="auto"/>
        <w:ind w:left="1701" w:hanging="425"/>
        <w:jc w:val="both"/>
        <w:rPr>
          <w:rFonts w:cstheme="minorHAnsi"/>
        </w:rPr>
      </w:pPr>
      <w:r w:rsidRPr="008F4A30">
        <w:rPr>
          <w:rFonts w:cstheme="minorHAnsi"/>
        </w:rPr>
        <w:t xml:space="preserve">a detailed description of the construction measures that are required to be included, or which have been included, in the proposed development to achieve the noise </w:t>
      </w:r>
      <w:r w:rsidRPr="008F4A30">
        <w:rPr>
          <w:rFonts w:cstheme="minorHAnsi"/>
        </w:rPr>
        <w:lastRenderedPageBreak/>
        <w:t xml:space="preserve">levels prescribed in the Noise Criteria (outlined below). Calculations shall be based on octave band noise source data and octave band sound reduction performance for construction elements; and </w:t>
      </w:r>
    </w:p>
    <w:p w14:paraId="061343D2" w14:textId="77777777" w:rsidR="008F4A30" w:rsidRPr="008F4A30" w:rsidRDefault="008F4A30" w:rsidP="002A3889">
      <w:pPr>
        <w:numPr>
          <w:ilvl w:val="0"/>
          <w:numId w:val="325"/>
        </w:numPr>
        <w:tabs>
          <w:tab w:val="clear" w:pos="3240"/>
          <w:tab w:val="right" w:pos="9072"/>
        </w:tabs>
        <w:spacing w:after="60" w:line="240" w:lineRule="auto"/>
        <w:ind w:left="1701" w:hanging="425"/>
        <w:jc w:val="both"/>
        <w:rPr>
          <w:rFonts w:cstheme="minorHAnsi"/>
        </w:rPr>
      </w:pPr>
      <w:r w:rsidRPr="008F4A30">
        <w:rPr>
          <w:rFonts w:cstheme="minorHAnsi"/>
        </w:rPr>
        <w:t>the provision of the following:</w:t>
      </w:r>
    </w:p>
    <w:p w14:paraId="2C1D8E28" w14:textId="77777777" w:rsidR="008F4A30" w:rsidRPr="008F4A30" w:rsidRDefault="008F4A30" w:rsidP="008A6DA7">
      <w:pPr>
        <w:spacing w:after="60"/>
        <w:ind w:left="1985" w:hanging="284"/>
        <w:jc w:val="both"/>
        <w:rPr>
          <w:rFonts w:cstheme="minorHAnsi"/>
        </w:rPr>
      </w:pPr>
      <w:r w:rsidRPr="008F4A30">
        <w:rPr>
          <w:rFonts w:cstheme="minorHAnsi"/>
        </w:rPr>
        <w:t>-</w:t>
      </w:r>
      <w:r w:rsidRPr="008F4A30">
        <w:rPr>
          <w:rFonts w:cstheme="minorHAnsi"/>
        </w:rPr>
        <w:tab/>
        <w:t xml:space="preserve">date, time and results of </w:t>
      </w:r>
      <w:proofErr w:type="gramStart"/>
      <w:r w:rsidRPr="008F4A30">
        <w:rPr>
          <w:rFonts w:cstheme="minorHAnsi"/>
        </w:rPr>
        <w:t>measurements;</w:t>
      </w:r>
      <w:proofErr w:type="gramEnd"/>
    </w:p>
    <w:p w14:paraId="04E36E37" w14:textId="77777777" w:rsidR="008F4A30" w:rsidRPr="008F4A30" w:rsidRDefault="008F4A30" w:rsidP="008A6DA7">
      <w:pPr>
        <w:spacing w:after="60"/>
        <w:ind w:left="1985" w:hanging="284"/>
        <w:jc w:val="both"/>
        <w:rPr>
          <w:rFonts w:cstheme="minorHAnsi"/>
        </w:rPr>
      </w:pPr>
      <w:r w:rsidRPr="008F4A30">
        <w:rPr>
          <w:rFonts w:cstheme="minorHAnsi"/>
        </w:rPr>
        <w:t>-</w:t>
      </w:r>
      <w:r w:rsidRPr="008F4A30">
        <w:rPr>
          <w:rFonts w:cstheme="minorHAnsi"/>
        </w:rPr>
        <w:tab/>
        <w:t xml:space="preserve">design noise levels used in </w:t>
      </w:r>
      <w:proofErr w:type="gramStart"/>
      <w:r w:rsidRPr="008F4A30">
        <w:rPr>
          <w:rFonts w:cstheme="minorHAnsi"/>
        </w:rPr>
        <w:t>assessment;</w:t>
      </w:r>
      <w:proofErr w:type="gramEnd"/>
    </w:p>
    <w:p w14:paraId="2407E878" w14:textId="77777777" w:rsidR="008F4A30" w:rsidRPr="008F4A30" w:rsidRDefault="008F4A30" w:rsidP="008A6DA7">
      <w:pPr>
        <w:spacing w:after="60"/>
        <w:ind w:left="1985" w:hanging="284"/>
        <w:jc w:val="both"/>
        <w:rPr>
          <w:rFonts w:cstheme="minorHAnsi"/>
        </w:rPr>
      </w:pPr>
      <w:r w:rsidRPr="008F4A30">
        <w:rPr>
          <w:rFonts w:cstheme="minorHAnsi"/>
        </w:rPr>
        <w:t>-</w:t>
      </w:r>
      <w:r w:rsidRPr="008F4A30">
        <w:rPr>
          <w:rFonts w:cstheme="minorHAnsi"/>
        </w:rPr>
        <w:tab/>
        <w:t>design sound levels used for internal spaces; and</w:t>
      </w:r>
    </w:p>
    <w:p w14:paraId="5E6E136E" w14:textId="77777777" w:rsidR="008F4A30" w:rsidRPr="008F4A30" w:rsidRDefault="008F4A30" w:rsidP="008A6DA7">
      <w:pPr>
        <w:spacing w:after="60"/>
        <w:ind w:left="1985" w:hanging="284"/>
        <w:jc w:val="both"/>
        <w:rPr>
          <w:rFonts w:cstheme="minorHAnsi"/>
        </w:rPr>
      </w:pPr>
      <w:r w:rsidRPr="008F4A30">
        <w:rPr>
          <w:rFonts w:cstheme="minorHAnsi"/>
        </w:rPr>
        <w:t>-</w:t>
      </w:r>
      <w:r w:rsidRPr="008F4A30">
        <w:rPr>
          <w:rFonts w:cstheme="minorHAnsi"/>
        </w:rPr>
        <w:tab/>
        <w:t>recommendations for construction.</w:t>
      </w:r>
    </w:p>
    <w:p w14:paraId="3FEC3E43" w14:textId="77777777" w:rsidR="008F4A30" w:rsidRPr="008F4A30" w:rsidRDefault="008F4A30" w:rsidP="008A6DA7">
      <w:pPr>
        <w:tabs>
          <w:tab w:val="right" w:pos="9000"/>
        </w:tabs>
        <w:spacing w:after="60"/>
        <w:ind w:left="1276" w:hanging="425"/>
        <w:jc w:val="both"/>
        <w:rPr>
          <w:rFonts w:cstheme="minorHAnsi"/>
        </w:rPr>
      </w:pPr>
      <w:r w:rsidRPr="008F4A30">
        <w:rPr>
          <w:rFonts w:cstheme="minorHAnsi"/>
        </w:rPr>
        <w:t>(ii)</w:t>
      </w:r>
      <w:r w:rsidRPr="008F4A30">
        <w:rPr>
          <w:rFonts w:cstheme="minorHAnsi"/>
        </w:rPr>
        <w:tab/>
        <w:t>for developments that may emit noise (noise emissions):</w:t>
      </w:r>
    </w:p>
    <w:p w14:paraId="651D63A8" w14:textId="77777777" w:rsidR="008F4A30" w:rsidRPr="008F4A30" w:rsidRDefault="008F4A30" w:rsidP="002A3889">
      <w:pPr>
        <w:numPr>
          <w:ilvl w:val="0"/>
          <w:numId w:val="326"/>
        </w:numPr>
        <w:tabs>
          <w:tab w:val="clear" w:pos="3240"/>
          <w:tab w:val="right" w:pos="9000"/>
        </w:tabs>
        <w:spacing w:after="60" w:line="240" w:lineRule="auto"/>
        <w:ind w:left="1701" w:hanging="425"/>
        <w:jc w:val="both"/>
        <w:rPr>
          <w:rFonts w:cstheme="minorHAnsi"/>
        </w:rPr>
      </w:pPr>
      <w:r w:rsidRPr="008F4A30">
        <w:rPr>
          <w:rFonts w:cstheme="minorHAnsi"/>
        </w:rPr>
        <w:t xml:space="preserve">the identification of all noise sources to be addressed, including alfresco areas for Entertainment Uses such as cafes, restaurants and </w:t>
      </w:r>
      <w:proofErr w:type="gramStart"/>
      <w:r w:rsidRPr="008F4A30">
        <w:rPr>
          <w:rFonts w:cstheme="minorHAnsi"/>
        </w:rPr>
        <w:t>hotels;</w:t>
      </w:r>
      <w:proofErr w:type="gramEnd"/>
    </w:p>
    <w:p w14:paraId="338523A3" w14:textId="77777777" w:rsidR="008F4A30" w:rsidRPr="008F4A30" w:rsidRDefault="008F4A30" w:rsidP="002A3889">
      <w:pPr>
        <w:numPr>
          <w:ilvl w:val="0"/>
          <w:numId w:val="326"/>
        </w:numPr>
        <w:tabs>
          <w:tab w:val="clear" w:pos="3240"/>
          <w:tab w:val="right" w:pos="9000"/>
        </w:tabs>
        <w:spacing w:after="60" w:line="240" w:lineRule="auto"/>
        <w:ind w:left="1701" w:hanging="425"/>
        <w:jc w:val="both"/>
        <w:rPr>
          <w:rFonts w:cstheme="minorHAnsi"/>
        </w:rPr>
      </w:pPr>
      <w:r w:rsidRPr="008F4A30">
        <w:rPr>
          <w:rFonts w:cstheme="minorHAnsi"/>
        </w:rPr>
        <w:t xml:space="preserve">determination of noise source levels and </w:t>
      </w:r>
      <w:proofErr w:type="gramStart"/>
      <w:r w:rsidRPr="008F4A30">
        <w:rPr>
          <w:rFonts w:cstheme="minorHAnsi"/>
        </w:rPr>
        <w:t>character;</w:t>
      </w:r>
      <w:proofErr w:type="gramEnd"/>
    </w:p>
    <w:p w14:paraId="15B4E482" w14:textId="77777777" w:rsidR="008F4A30" w:rsidRPr="008F4A30" w:rsidRDefault="008F4A30" w:rsidP="002A3889">
      <w:pPr>
        <w:numPr>
          <w:ilvl w:val="0"/>
          <w:numId w:val="326"/>
        </w:numPr>
        <w:tabs>
          <w:tab w:val="clear" w:pos="3240"/>
          <w:tab w:val="right" w:pos="9000"/>
        </w:tabs>
        <w:spacing w:after="60" w:line="240" w:lineRule="auto"/>
        <w:ind w:left="1701" w:hanging="425"/>
        <w:jc w:val="both"/>
        <w:rPr>
          <w:rFonts w:cstheme="minorHAnsi"/>
        </w:rPr>
      </w:pPr>
      <w:r w:rsidRPr="008F4A30">
        <w:rPr>
          <w:rFonts w:cstheme="minorHAnsi"/>
        </w:rPr>
        <w:t xml:space="preserve">acoustic data to be in octave bands where noise sources are </w:t>
      </w:r>
      <w:proofErr w:type="gramStart"/>
      <w:r w:rsidRPr="008F4A30">
        <w:rPr>
          <w:rFonts w:cstheme="minorHAnsi"/>
        </w:rPr>
        <w:t>internal;</w:t>
      </w:r>
      <w:proofErr w:type="gramEnd"/>
    </w:p>
    <w:p w14:paraId="57AEFCDB" w14:textId="77777777" w:rsidR="008F4A30" w:rsidRPr="008F4A30" w:rsidRDefault="008F4A30" w:rsidP="002A3889">
      <w:pPr>
        <w:numPr>
          <w:ilvl w:val="0"/>
          <w:numId w:val="326"/>
        </w:numPr>
        <w:tabs>
          <w:tab w:val="clear" w:pos="3240"/>
          <w:tab w:val="right" w:pos="9000"/>
        </w:tabs>
        <w:spacing w:after="60" w:line="240" w:lineRule="auto"/>
        <w:ind w:left="1701" w:hanging="425"/>
        <w:jc w:val="both"/>
        <w:rPr>
          <w:rFonts w:cstheme="minorHAnsi"/>
        </w:rPr>
      </w:pPr>
      <w:r w:rsidRPr="008F4A30">
        <w:rPr>
          <w:rFonts w:cstheme="minorHAnsi"/>
        </w:rPr>
        <w:t xml:space="preserve">the establishment of Assigned Levels for noise sensitive premises in the vicinity in accordance with the Environmental Protection (Noise) Regulations </w:t>
      </w:r>
      <w:proofErr w:type="gramStart"/>
      <w:r w:rsidRPr="008F4A30">
        <w:rPr>
          <w:rFonts w:cstheme="minorHAnsi"/>
        </w:rPr>
        <w:t>1997;</w:t>
      </w:r>
      <w:proofErr w:type="gramEnd"/>
      <w:r w:rsidRPr="008F4A30">
        <w:rPr>
          <w:rFonts w:cstheme="minorHAnsi"/>
        </w:rPr>
        <w:t xml:space="preserve"> </w:t>
      </w:r>
    </w:p>
    <w:p w14:paraId="6F274F26" w14:textId="77777777" w:rsidR="008F4A30" w:rsidRPr="008F4A30" w:rsidRDefault="008F4A30" w:rsidP="002A3889">
      <w:pPr>
        <w:numPr>
          <w:ilvl w:val="0"/>
          <w:numId w:val="326"/>
        </w:numPr>
        <w:tabs>
          <w:tab w:val="clear" w:pos="3240"/>
          <w:tab w:val="right" w:pos="9000"/>
        </w:tabs>
        <w:spacing w:after="60" w:line="240" w:lineRule="auto"/>
        <w:ind w:left="1701" w:hanging="425"/>
        <w:jc w:val="both"/>
        <w:rPr>
          <w:rFonts w:cstheme="minorHAnsi"/>
        </w:rPr>
      </w:pPr>
      <w:r w:rsidRPr="008F4A30">
        <w:rPr>
          <w:rFonts w:cstheme="minorHAnsi"/>
        </w:rPr>
        <w:t xml:space="preserve">a detailed description of the construction measures that are required to be included, or which have been included, in the proposed development to achieve the noise levels prescribed in the Noise Criteria (outlined below). Calculations shall be based on octave band noise source data and octave band sound reduction performance for construction </w:t>
      </w:r>
      <w:proofErr w:type="gramStart"/>
      <w:r w:rsidRPr="008F4A30">
        <w:rPr>
          <w:rFonts w:cstheme="minorHAnsi"/>
        </w:rPr>
        <w:t>elements;</w:t>
      </w:r>
      <w:proofErr w:type="gramEnd"/>
      <w:r w:rsidRPr="008F4A30">
        <w:rPr>
          <w:rFonts w:cstheme="minorHAnsi"/>
        </w:rPr>
        <w:t xml:space="preserve"> </w:t>
      </w:r>
    </w:p>
    <w:p w14:paraId="52144CBB" w14:textId="77777777" w:rsidR="008F4A30" w:rsidRPr="008F4A30" w:rsidRDefault="008F4A30" w:rsidP="002A3889">
      <w:pPr>
        <w:numPr>
          <w:ilvl w:val="0"/>
          <w:numId w:val="326"/>
        </w:numPr>
        <w:tabs>
          <w:tab w:val="clear" w:pos="3240"/>
          <w:tab w:val="right" w:pos="9000"/>
        </w:tabs>
        <w:spacing w:after="60" w:line="240" w:lineRule="auto"/>
        <w:ind w:left="1701" w:hanging="425"/>
        <w:jc w:val="both"/>
        <w:rPr>
          <w:rFonts w:cstheme="minorHAnsi"/>
        </w:rPr>
      </w:pPr>
      <w:r w:rsidRPr="008F4A30">
        <w:rPr>
          <w:rFonts w:cstheme="minorHAnsi"/>
        </w:rPr>
        <w:t>for commercial premises that have external noise sources, a description of the measures that are required to be included, or which have been included, in the proposed development to comply with the Environmental Protection (Noise) Regulations 1997; and</w:t>
      </w:r>
    </w:p>
    <w:p w14:paraId="6FD0795F" w14:textId="77777777" w:rsidR="008F4A30" w:rsidRPr="008F4A30" w:rsidRDefault="008F4A30" w:rsidP="002A3889">
      <w:pPr>
        <w:numPr>
          <w:ilvl w:val="0"/>
          <w:numId w:val="326"/>
        </w:numPr>
        <w:tabs>
          <w:tab w:val="clear" w:pos="3240"/>
          <w:tab w:val="right" w:pos="9000"/>
        </w:tabs>
        <w:spacing w:after="60" w:line="240" w:lineRule="auto"/>
        <w:ind w:left="1701" w:hanging="425"/>
        <w:jc w:val="both"/>
        <w:rPr>
          <w:rFonts w:cstheme="minorHAnsi"/>
        </w:rPr>
      </w:pPr>
      <w:r w:rsidRPr="008F4A30">
        <w:rPr>
          <w:rFonts w:cstheme="minorHAnsi"/>
        </w:rPr>
        <w:t>the provision of the following:</w:t>
      </w:r>
    </w:p>
    <w:p w14:paraId="2BCD30BE" w14:textId="77777777" w:rsidR="008F4A30" w:rsidRPr="008F4A30" w:rsidRDefault="008F4A30" w:rsidP="008A6DA7">
      <w:pPr>
        <w:spacing w:after="60"/>
        <w:ind w:left="1985" w:hanging="284"/>
        <w:jc w:val="both"/>
        <w:rPr>
          <w:rFonts w:cstheme="minorHAnsi"/>
        </w:rPr>
      </w:pPr>
      <w:r w:rsidRPr="008F4A30">
        <w:rPr>
          <w:rFonts w:cstheme="minorHAnsi"/>
        </w:rPr>
        <w:t>-</w:t>
      </w:r>
      <w:r w:rsidRPr="008F4A30">
        <w:rPr>
          <w:rFonts w:cstheme="minorHAnsi"/>
        </w:rPr>
        <w:tab/>
        <w:t xml:space="preserve">date, time and results of </w:t>
      </w:r>
      <w:proofErr w:type="gramStart"/>
      <w:r w:rsidRPr="008F4A30">
        <w:rPr>
          <w:rFonts w:cstheme="minorHAnsi"/>
        </w:rPr>
        <w:t>measurements;</w:t>
      </w:r>
      <w:proofErr w:type="gramEnd"/>
    </w:p>
    <w:p w14:paraId="79D3ACFB" w14:textId="77777777" w:rsidR="008F4A30" w:rsidRPr="008F4A30" w:rsidRDefault="008F4A30" w:rsidP="008A6DA7">
      <w:pPr>
        <w:spacing w:after="60"/>
        <w:ind w:left="1985" w:hanging="284"/>
        <w:jc w:val="both"/>
        <w:rPr>
          <w:rFonts w:cstheme="minorHAnsi"/>
        </w:rPr>
      </w:pPr>
      <w:r w:rsidRPr="008F4A30">
        <w:rPr>
          <w:rFonts w:cstheme="minorHAnsi"/>
        </w:rPr>
        <w:t>-</w:t>
      </w:r>
      <w:r w:rsidRPr="008F4A30">
        <w:rPr>
          <w:rFonts w:cstheme="minorHAnsi"/>
        </w:rPr>
        <w:tab/>
        <w:t xml:space="preserve">design noise levels used in </w:t>
      </w:r>
      <w:proofErr w:type="gramStart"/>
      <w:r w:rsidRPr="008F4A30">
        <w:rPr>
          <w:rFonts w:cstheme="minorHAnsi"/>
        </w:rPr>
        <w:t>assessment;</w:t>
      </w:r>
      <w:proofErr w:type="gramEnd"/>
    </w:p>
    <w:p w14:paraId="48A00FB8" w14:textId="77777777" w:rsidR="008F4A30" w:rsidRPr="008F4A30" w:rsidRDefault="008F4A30" w:rsidP="008A6DA7">
      <w:pPr>
        <w:spacing w:after="60"/>
        <w:ind w:left="1985" w:hanging="284"/>
        <w:jc w:val="both"/>
        <w:rPr>
          <w:rFonts w:cstheme="minorHAnsi"/>
        </w:rPr>
      </w:pPr>
      <w:r w:rsidRPr="008F4A30">
        <w:rPr>
          <w:rFonts w:cstheme="minorHAnsi"/>
        </w:rPr>
        <w:t>-</w:t>
      </w:r>
      <w:r w:rsidRPr="008F4A30">
        <w:rPr>
          <w:rFonts w:cstheme="minorHAnsi"/>
        </w:rPr>
        <w:tab/>
        <w:t>Assigned Levels determined for adjacent areas/noise sensitive premises in the vicinity; and</w:t>
      </w:r>
    </w:p>
    <w:p w14:paraId="3F87ED78" w14:textId="77777777" w:rsidR="008F4A30" w:rsidRPr="008F4A30" w:rsidRDefault="008F4A30" w:rsidP="008A6DA7">
      <w:pPr>
        <w:spacing w:after="120"/>
        <w:ind w:left="1985" w:hanging="284"/>
        <w:jc w:val="both"/>
        <w:rPr>
          <w:rFonts w:cstheme="minorHAnsi"/>
        </w:rPr>
      </w:pPr>
      <w:r w:rsidRPr="008F4A30">
        <w:rPr>
          <w:rFonts w:cstheme="minorHAnsi"/>
        </w:rPr>
        <w:t>-</w:t>
      </w:r>
      <w:r w:rsidRPr="008F4A30">
        <w:rPr>
          <w:rFonts w:cstheme="minorHAnsi"/>
        </w:rPr>
        <w:tab/>
        <w:t>recommendations for construction and noise control.</w:t>
      </w:r>
    </w:p>
    <w:p w14:paraId="5CADF673" w14:textId="77777777" w:rsidR="008F4A30" w:rsidRPr="008F4A30" w:rsidRDefault="008F4A30" w:rsidP="008F4A30">
      <w:pPr>
        <w:tabs>
          <w:tab w:val="right" w:pos="9000"/>
        </w:tabs>
        <w:spacing w:after="0"/>
        <w:jc w:val="both"/>
        <w:rPr>
          <w:rFonts w:cstheme="minorHAnsi"/>
          <w:b/>
        </w:rPr>
      </w:pPr>
      <w:r w:rsidRPr="008F4A30">
        <w:rPr>
          <w:rFonts w:cstheme="minorHAnsi"/>
          <w:b/>
        </w:rPr>
        <w:t>ACCEPTABLE NOISE CRITERIA</w:t>
      </w:r>
    </w:p>
    <w:p w14:paraId="18D47C29" w14:textId="77777777" w:rsidR="008F4A30" w:rsidRPr="008F4A30" w:rsidRDefault="008F4A30" w:rsidP="008F4A30">
      <w:pPr>
        <w:tabs>
          <w:tab w:val="right" w:pos="9000"/>
        </w:tabs>
        <w:spacing w:after="0"/>
        <w:jc w:val="both"/>
        <w:rPr>
          <w:rFonts w:cstheme="minorHAnsi"/>
          <w:b/>
        </w:rPr>
      </w:pPr>
      <w:r w:rsidRPr="008F4A30">
        <w:rPr>
          <w:rFonts w:cstheme="minorHAnsi"/>
          <w:b/>
        </w:rPr>
        <w:t>Noise Intrusion (Residential Development)</w:t>
      </w:r>
    </w:p>
    <w:p w14:paraId="2AABF754" w14:textId="77777777" w:rsidR="008F4A30" w:rsidRPr="008F4A30" w:rsidRDefault="008F4A30" w:rsidP="008F4A30">
      <w:pPr>
        <w:tabs>
          <w:tab w:val="right" w:pos="9000"/>
        </w:tabs>
        <w:spacing w:after="60"/>
        <w:jc w:val="both"/>
        <w:rPr>
          <w:rFonts w:cstheme="minorHAnsi"/>
        </w:rPr>
      </w:pPr>
      <w:r w:rsidRPr="008F4A30">
        <w:rPr>
          <w:rFonts w:cstheme="minorHAnsi"/>
        </w:rPr>
        <w:t>Buildings containing a residential component are to be designed so that the interior of residential units achieve the following design sound levels:</w:t>
      </w:r>
    </w:p>
    <w:p w14:paraId="223C2177" w14:textId="77777777" w:rsidR="008F4A30" w:rsidRPr="008F4A30" w:rsidRDefault="008F4A30" w:rsidP="008F4A30">
      <w:pPr>
        <w:tabs>
          <w:tab w:val="right" w:pos="9000"/>
        </w:tabs>
        <w:spacing w:after="60"/>
        <w:ind w:left="567" w:hanging="567"/>
        <w:jc w:val="both"/>
        <w:rPr>
          <w:rFonts w:cstheme="minorHAnsi"/>
        </w:rPr>
      </w:pPr>
      <w:r w:rsidRPr="008F4A30">
        <w:rPr>
          <w:rFonts w:cstheme="minorHAnsi"/>
        </w:rPr>
        <w:t>(a)</w:t>
      </w:r>
      <w:r w:rsidRPr="008F4A30">
        <w:rPr>
          <w:rFonts w:cstheme="minorHAnsi"/>
        </w:rPr>
        <w:tab/>
      </w:r>
      <w:proofErr w:type="spellStart"/>
      <w:r w:rsidRPr="008F4A30">
        <w:rPr>
          <w:rFonts w:cstheme="minorHAnsi"/>
        </w:rPr>
        <w:t>Leq</w:t>
      </w:r>
      <w:proofErr w:type="spellEnd"/>
      <w:r w:rsidRPr="008F4A30">
        <w:rPr>
          <w:rFonts w:cstheme="minorHAnsi"/>
        </w:rPr>
        <w:t xml:space="preserve"> 35 dB(A) in sleeping areas (bedrooms); and</w:t>
      </w:r>
    </w:p>
    <w:p w14:paraId="77DCA4CC" w14:textId="77777777" w:rsidR="008F4A30" w:rsidRPr="008F4A30" w:rsidRDefault="008F4A30" w:rsidP="008F4A30">
      <w:pPr>
        <w:tabs>
          <w:tab w:val="right" w:pos="9000"/>
        </w:tabs>
        <w:spacing w:after="120"/>
        <w:ind w:left="567" w:hanging="567"/>
        <w:jc w:val="both"/>
        <w:rPr>
          <w:rFonts w:cstheme="minorHAnsi"/>
        </w:rPr>
      </w:pPr>
      <w:r w:rsidRPr="008F4A30">
        <w:rPr>
          <w:rFonts w:cstheme="minorHAnsi"/>
        </w:rPr>
        <w:t>(b)</w:t>
      </w:r>
      <w:r w:rsidRPr="008F4A30">
        <w:rPr>
          <w:rFonts w:cstheme="minorHAnsi"/>
        </w:rPr>
        <w:tab/>
      </w:r>
      <w:proofErr w:type="spellStart"/>
      <w:r w:rsidRPr="008F4A30">
        <w:rPr>
          <w:rFonts w:cstheme="minorHAnsi"/>
        </w:rPr>
        <w:t>Leq</w:t>
      </w:r>
      <w:proofErr w:type="spellEnd"/>
      <w:r w:rsidRPr="008F4A30">
        <w:rPr>
          <w:rFonts w:cstheme="minorHAnsi"/>
        </w:rPr>
        <w:t xml:space="preserve"> 40 dB(A) in living / work areas.</w:t>
      </w:r>
    </w:p>
    <w:p w14:paraId="66AB2CC1" w14:textId="77777777" w:rsidR="008F4A30" w:rsidRPr="008F4A30" w:rsidRDefault="008F4A30" w:rsidP="008F4A30">
      <w:pPr>
        <w:tabs>
          <w:tab w:val="right" w:pos="9000"/>
        </w:tabs>
        <w:spacing w:after="0"/>
        <w:jc w:val="both"/>
        <w:rPr>
          <w:rFonts w:cstheme="minorHAnsi"/>
        </w:rPr>
      </w:pPr>
      <w:r w:rsidRPr="008F4A30">
        <w:rPr>
          <w:rFonts w:cstheme="minorHAnsi"/>
        </w:rPr>
        <w:t>For residential dwellings fronting a major road</w:t>
      </w:r>
      <w:r w:rsidRPr="008F4A30">
        <w:rPr>
          <w:rFonts w:cstheme="minorHAnsi"/>
          <w:vertAlign w:val="superscript"/>
        </w:rPr>
        <w:footnoteReference w:id="2"/>
      </w:r>
      <w:r w:rsidRPr="008F4A30">
        <w:rPr>
          <w:rFonts w:cstheme="minorHAnsi"/>
        </w:rPr>
        <w:t xml:space="preserve">, a design sound level tolerance of 5 dB </w:t>
      </w:r>
      <w:proofErr w:type="gramStart"/>
      <w:r w:rsidRPr="008F4A30">
        <w:rPr>
          <w:rFonts w:cstheme="minorHAnsi"/>
        </w:rPr>
        <w:t>in excess of</w:t>
      </w:r>
      <w:proofErr w:type="gramEnd"/>
      <w:r w:rsidRPr="008F4A30">
        <w:rPr>
          <w:rFonts w:cstheme="minorHAnsi"/>
        </w:rPr>
        <w:t xml:space="preserve"> the above levels is acceptable.</w:t>
      </w:r>
    </w:p>
    <w:p w14:paraId="4FE0D1B0" w14:textId="77777777" w:rsidR="008F4A30" w:rsidRPr="008F4A30" w:rsidRDefault="008F4A30" w:rsidP="008F4A30">
      <w:pPr>
        <w:tabs>
          <w:tab w:val="right" w:pos="9000"/>
        </w:tabs>
        <w:spacing w:after="0"/>
        <w:jc w:val="both"/>
        <w:rPr>
          <w:rFonts w:cstheme="minorHAnsi"/>
          <w:b/>
        </w:rPr>
      </w:pPr>
      <w:r w:rsidRPr="008F4A30">
        <w:rPr>
          <w:rFonts w:cstheme="minorHAnsi"/>
          <w:b/>
        </w:rPr>
        <w:lastRenderedPageBreak/>
        <w:t>Construction Requirement</w:t>
      </w:r>
    </w:p>
    <w:p w14:paraId="7ED92427" w14:textId="77777777" w:rsidR="008F4A30" w:rsidRPr="008F4A30" w:rsidRDefault="008F4A30" w:rsidP="008F4A30">
      <w:pPr>
        <w:tabs>
          <w:tab w:val="right" w:pos="9000"/>
        </w:tabs>
        <w:jc w:val="both"/>
        <w:rPr>
          <w:rFonts w:cstheme="minorHAnsi"/>
        </w:rPr>
      </w:pPr>
      <w:r w:rsidRPr="008F4A30">
        <w:rPr>
          <w:rFonts w:cstheme="minorHAnsi"/>
        </w:rPr>
        <w:t xml:space="preserve">Multi-residential developments shall be constructed to meet the requirements of the Building Code of Australia (BCA) Part F5 – Sound Transmission and Insulation. </w:t>
      </w:r>
    </w:p>
    <w:p w14:paraId="6B4CD67D" w14:textId="77777777" w:rsidR="008F4A30" w:rsidRPr="008F4A30" w:rsidRDefault="008F4A30" w:rsidP="008F4A30">
      <w:pPr>
        <w:tabs>
          <w:tab w:val="right" w:pos="9000"/>
        </w:tabs>
        <w:jc w:val="both"/>
        <w:rPr>
          <w:rFonts w:cstheme="minorHAnsi"/>
        </w:rPr>
      </w:pPr>
      <w:r w:rsidRPr="008F4A30">
        <w:rPr>
          <w:rFonts w:cstheme="minorHAnsi"/>
        </w:rPr>
        <w:t>For all other development, unless another level is specifically prescribed in this Policy, noise intrusion is to be controlled to achieve the indoor design sound levels for buildings as set out in Australian Standard AS/NZS2107: Acoustics - Recommended Design Sound Levels and Reverberation Times for Building Interiors.</w:t>
      </w:r>
    </w:p>
    <w:p w14:paraId="7DCD7005" w14:textId="77777777" w:rsidR="008F4A30" w:rsidRPr="008F4A30" w:rsidRDefault="008F4A30" w:rsidP="008F4A30">
      <w:pPr>
        <w:tabs>
          <w:tab w:val="right" w:pos="9000"/>
        </w:tabs>
        <w:spacing w:after="0"/>
        <w:jc w:val="both"/>
        <w:rPr>
          <w:rFonts w:cstheme="minorHAnsi"/>
          <w:b/>
        </w:rPr>
      </w:pPr>
      <w:r w:rsidRPr="008F4A30">
        <w:rPr>
          <w:rFonts w:cstheme="minorHAnsi"/>
          <w:b/>
        </w:rPr>
        <w:t>Noise Emission</w:t>
      </w:r>
    </w:p>
    <w:p w14:paraId="4D4F5E56" w14:textId="77777777" w:rsidR="008F4A30" w:rsidRPr="008F4A30" w:rsidRDefault="008F4A30" w:rsidP="008F4A30">
      <w:pPr>
        <w:tabs>
          <w:tab w:val="right" w:pos="9000"/>
        </w:tabs>
        <w:spacing w:after="120"/>
        <w:jc w:val="both"/>
        <w:rPr>
          <w:rFonts w:cstheme="minorHAnsi"/>
          <w:i/>
        </w:rPr>
      </w:pPr>
      <w:r w:rsidRPr="008F4A30">
        <w:rPr>
          <w:rFonts w:cstheme="minorHAnsi"/>
        </w:rPr>
        <w:t xml:space="preserve">Noise emission from all developments shall comply with the </w:t>
      </w:r>
      <w:r w:rsidRPr="008F4A30">
        <w:rPr>
          <w:rFonts w:cstheme="minorHAnsi"/>
          <w:i/>
        </w:rPr>
        <w:t>Environmental Protection (Noise) Regulations 1997.</w:t>
      </w:r>
    </w:p>
    <w:p w14:paraId="78E2E015" w14:textId="77777777" w:rsidR="008F4A30" w:rsidRPr="008F4A30" w:rsidRDefault="008F4A30" w:rsidP="008F4A30">
      <w:pPr>
        <w:tabs>
          <w:tab w:val="right" w:pos="9000"/>
        </w:tabs>
        <w:spacing w:after="0"/>
        <w:jc w:val="both"/>
        <w:rPr>
          <w:rFonts w:cstheme="minorHAnsi"/>
          <w:b/>
        </w:rPr>
      </w:pPr>
      <w:r w:rsidRPr="008F4A30">
        <w:rPr>
          <w:rFonts w:cstheme="minorHAnsi"/>
          <w:b/>
        </w:rPr>
        <w:t>PLANNING &amp; DESIGN CONSIDERATIONS</w:t>
      </w:r>
    </w:p>
    <w:p w14:paraId="32BB737A" w14:textId="77777777" w:rsidR="008F4A30" w:rsidRPr="008F4A30" w:rsidRDefault="008F4A30" w:rsidP="008F4A30">
      <w:pPr>
        <w:tabs>
          <w:tab w:val="right" w:pos="9000"/>
        </w:tabs>
        <w:spacing w:after="60"/>
        <w:jc w:val="both"/>
        <w:rPr>
          <w:rFonts w:cstheme="minorHAnsi"/>
        </w:rPr>
      </w:pPr>
      <w:r w:rsidRPr="008F4A30">
        <w:rPr>
          <w:rFonts w:cstheme="minorHAnsi"/>
        </w:rPr>
        <w:t>The consideration of sound attenuation at the planning stage of a development can contribute significantly to achieving the required Noise Criteria - as well as reducing the eventual cost of construction. Factors that affect the acoustic performance of a building that should be considered include:</w:t>
      </w:r>
    </w:p>
    <w:p w14:paraId="5C49CDE2" w14:textId="77777777" w:rsidR="008F4A30" w:rsidRPr="008F4A30" w:rsidRDefault="008F4A30" w:rsidP="008F4A30">
      <w:pPr>
        <w:tabs>
          <w:tab w:val="left" w:pos="567"/>
          <w:tab w:val="right" w:pos="9000"/>
        </w:tabs>
        <w:spacing w:after="60"/>
        <w:ind w:left="567" w:hanging="567"/>
        <w:jc w:val="both"/>
        <w:rPr>
          <w:rFonts w:cstheme="minorHAnsi"/>
        </w:rPr>
      </w:pPr>
      <w:r w:rsidRPr="008F4A30">
        <w:rPr>
          <w:rFonts w:cstheme="minorHAnsi"/>
        </w:rPr>
        <w:t>(a)</w:t>
      </w:r>
      <w:r w:rsidRPr="008F4A30">
        <w:rPr>
          <w:rFonts w:cstheme="minorHAnsi"/>
        </w:rPr>
        <w:tab/>
        <w:t xml:space="preserve">the identification of existing/potential environmental noise </w:t>
      </w:r>
      <w:proofErr w:type="gramStart"/>
      <w:r w:rsidRPr="008F4A30">
        <w:rPr>
          <w:rFonts w:cstheme="minorHAnsi"/>
        </w:rPr>
        <w:t>sources;</w:t>
      </w:r>
      <w:proofErr w:type="gramEnd"/>
    </w:p>
    <w:p w14:paraId="166C4AA5" w14:textId="77777777" w:rsidR="008F4A30" w:rsidRPr="008F4A30" w:rsidRDefault="008F4A30" w:rsidP="008F4A30">
      <w:pPr>
        <w:tabs>
          <w:tab w:val="left" w:pos="567"/>
          <w:tab w:val="right" w:pos="9000"/>
        </w:tabs>
        <w:spacing w:after="60"/>
        <w:ind w:left="567" w:hanging="567"/>
        <w:jc w:val="both"/>
        <w:rPr>
          <w:rFonts w:cstheme="minorHAnsi"/>
        </w:rPr>
      </w:pPr>
      <w:r w:rsidRPr="008F4A30">
        <w:rPr>
          <w:rFonts w:cstheme="minorHAnsi"/>
        </w:rPr>
        <w:t>(b)</w:t>
      </w:r>
      <w:r w:rsidRPr="008F4A30">
        <w:rPr>
          <w:rFonts w:cstheme="minorHAnsi"/>
        </w:rPr>
        <w:tab/>
        <w:t xml:space="preserve">development orientation and layout taking into account the location of existing/potential environmental noise </w:t>
      </w:r>
      <w:proofErr w:type="gramStart"/>
      <w:r w:rsidRPr="008F4A30">
        <w:rPr>
          <w:rFonts w:cstheme="minorHAnsi"/>
        </w:rPr>
        <w:t>sources;</w:t>
      </w:r>
      <w:proofErr w:type="gramEnd"/>
    </w:p>
    <w:p w14:paraId="537852DD" w14:textId="77777777" w:rsidR="008F4A30" w:rsidRPr="008F4A30" w:rsidRDefault="008F4A30" w:rsidP="008F4A30">
      <w:pPr>
        <w:tabs>
          <w:tab w:val="left" w:pos="567"/>
          <w:tab w:val="right" w:pos="9000"/>
        </w:tabs>
        <w:spacing w:after="60"/>
        <w:ind w:left="567" w:hanging="567"/>
        <w:jc w:val="both"/>
        <w:rPr>
          <w:rFonts w:cstheme="minorHAnsi"/>
        </w:rPr>
      </w:pPr>
      <w:r w:rsidRPr="008F4A30">
        <w:rPr>
          <w:rFonts w:cstheme="minorHAnsi"/>
        </w:rPr>
        <w:t>(c)</w:t>
      </w:r>
      <w:r w:rsidRPr="008F4A30">
        <w:rPr>
          <w:rFonts w:cstheme="minorHAnsi"/>
        </w:rPr>
        <w:tab/>
        <w:t xml:space="preserve">the location of bedrooms away from noise </w:t>
      </w:r>
      <w:proofErr w:type="gramStart"/>
      <w:r w:rsidRPr="008F4A30">
        <w:rPr>
          <w:rFonts w:cstheme="minorHAnsi"/>
        </w:rPr>
        <w:t>sources;</w:t>
      </w:r>
      <w:proofErr w:type="gramEnd"/>
    </w:p>
    <w:p w14:paraId="4A0FC798" w14:textId="77777777" w:rsidR="008F4A30" w:rsidRPr="008F4A30" w:rsidRDefault="008F4A30" w:rsidP="008F4A30">
      <w:pPr>
        <w:tabs>
          <w:tab w:val="left" w:pos="567"/>
          <w:tab w:val="right" w:pos="9000"/>
        </w:tabs>
        <w:spacing w:after="60"/>
        <w:ind w:left="567" w:hanging="567"/>
        <w:jc w:val="both"/>
        <w:rPr>
          <w:rFonts w:cstheme="minorHAnsi"/>
        </w:rPr>
      </w:pPr>
      <w:r w:rsidRPr="008F4A30">
        <w:rPr>
          <w:rFonts w:cstheme="minorHAnsi"/>
        </w:rPr>
        <w:t>(d)</w:t>
      </w:r>
      <w:r w:rsidRPr="008F4A30">
        <w:rPr>
          <w:rFonts w:cstheme="minorHAnsi"/>
        </w:rPr>
        <w:tab/>
        <w:t>the location of outdoor living areas including balconies and the location of windows away from noise sources;</w:t>
      </w:r>
      <w:r w:rsidRPr="008F4A30">
        <w:rPr>
          <w:rStyle w:val="FootnoteReference"/>
          <w:rFonts w:cstheme="minorHAnsi"/>
        </w:rPr>
        <w:footnoteReference w:id="3"/>
      </w:r>
    </w:p>
    <w:p w14:paraId="5A68EDDB" w14:textId="77777777" w:rsidR="008F4A30" w:rsidRPr="008F4A30" w:rsidRDefault="008F4A30" w:rsidP="008F4A30">
      <w:pPr>
        <w:tabs>
          <w:tab w:val="left" w:pos="567"/>
          <w:tab w:val="right" w:pos="9000"/>
        </w:tabs>
        <w:spacing w:after="60"/>
        <w:ind w:left="567" w:hanging="567"/>
        <w:jc w:val="both"/>
        <w:rPr>
          <w:rFonts w:cstheme="minorHAnsi"/>
        </w:rPr>
      </w:pPr>
      <w:r w:rsidRPr="008F4A30">
        <w:rPr>
          <w:rFonts w:cstheme="minorHAnsi"/>
        </w:rPr>
        <w:t>(e)</w:t>
      </w:r>
      <w:r w:rsidRPr="008F4A30">
        <w:rPr>
          <w:rFonts w:cstheme="minorHAnsi"/>
        </w:rPr>
        <w:tab/>
        <w:t xml:space="preserve">the use of </w:t>
      </w:r>
      <w:proofErr w:type="gramStart"/>
      <w:r w:rsidRPr="008F4A30">
        <w:rPr>
          <w:rFonts w:cstheme="minorHAnsi"/>
        </w:rPr>
        <w:t>development built</w:t>
      </w:r>
      <w:proofErr w:type="gramEnd"/>
      <w:r w:rsidRPr="008F4A30">
        <w:rPr>
          <w:rFonts w:cstheme="minorHAnsi"/>
        </w:rPr>
        <w:t xml:space="preserve"> form (blade walls etc) to screen noise sources; and</w:t>
      </w:r>
    </w:p>
    <w:p w14:paraId="0679CA05" w14:textId="77777777" w:rsidR="008F4A30" w:rsidRPr="008F4A30" w:rsidRDefault="008F4A30" w:rsidP="008F4A30">
      <w:pPr>
        <w:tabs>
          <w:tab w:val="right" w:pos="9000"/>
        </w:tabs>
        <w:ind w:left="567" w:hanging="567"/>
        <w:jc w:val="both"/>
        <w:rPr>
          <w:rFonts w:cstheme="minorHAnsi"/>
        </w:rPr>
      </w:pPr>
      <w:r w:rsidRPr="008F4A30">
        <w:rPr>
          <w:rFonts w:cstheme="minorHAnsi"/>
        </w:rPr>
        <w:t>(f)</w:t>
      </w:r>
      <w:r w:rsidRPr="008F4A30">
        <w:rPr>
          <w:rFonts w:cstheme="minorHAnsi"/>
        </w:rPr>
        <w:tab/>
        <w:t>the use of building design elements (balcony balustrades, decorative screens etc) to provide some reduction in noise impact on windows.</w:t>
      </w:r>
    </w:p>
    <w:p w14:paraId="0947E508" w14:textId="77777777" w:rsidR="008F4A30" w:rsidRPr="008F4A30" w:rsidRDefault="008F4A30" w:rsidP="008F4A30">
      <w:pPr>
        <w:tabs>
          <w:tab w:val="right" w:pos="9000"/>
        </w:tabs>
        <w:spacing w:before="240" w:after="0"/>
        <w:jc w:val="both"/>
        <w:rPr>
          <w:rFonts w:cstheme="minorHAnsi"/>
          <w:b/>
        </w:rPr>
      </w:pPr>
      <w:r w:rsidRPr="008F4A30">
        <w:rPr>
          <w:rFonts w:cstheme="minorHAnsi"/>
          <w:b/>
        </w:rPr>
        <w:t>Design Development (Documentation) Considerations</w:t>
      </w:r>
    </w:p>
    <w:p w14:paraId="262A14C3" w14:textId="77777777" w:rsidR="008F4A30" w:rsidRPr="008F4A30" w:rsidRDefault="008F4A30" w:rsidP="008F4A30">
      <w:pPr>
        <w:tabs>
          <w:tab w:val="right" w:pos="9000"/>
        </w:tabs>
        <w:jc w:val="both"/>
        <w:rPr>
          <w:rFonts w:cstheme="minorHAnsi"/>
        </w:rPr>
      </w:pPr>
      <w:r w:rsidRPr="008F4A30">
        <w:rPr>
          <w:rFonts w:cstheme="minorHAnsi"/>
        </w:rPr>
        <w:t xml:space="preserve">At the design documentation stage, working drawings should reflect the outcomes and recommendations in the acoustic report that was prepared and submitted at the planning application stage. </w:t>
      </w:r>
    </w:p>
    <w:p w14:paraId="376B40CD" w14:textId="77777777" w:rsidR="008F4A30" w:rsidRPr="008F4A30" w:rsidRDefault="008F4A30" w:rsidP="008F4A30">
      <w:pPr>
        <w:tabs>
          <w:tab w:val="right" w:pos="9000"/>
        </w:tabs>
        <w:spacing w:before="240" w:after="0"/>
        <w:jc w:val="both"/>
        <w:rPr>
          <w:rFonts w:cstheme="minorHAnsi"/>
          <w:b/>
        </w:rPr>
      </w:pPr>
      <w:r w:rsidRPr="008F4A30">
        <w:rPr>
          <w:rFonts w:cstheme="minorHAnsi"/>
          <w:b/>
        </w:rPr>
        <w:t>Construction Considerations</w:t>
      </w:r>
    </w:p>
    <w:p w14:paraId="28A1C8A6" w14:textId="77777777" w:rsidR="008F4A30" w:rsidRPr="008F4A30" w:rsidRDefault="008F4A30" w:rsidP="008F4A30">
      <w:pPr>
        <w:tabs>
          <w:tab w:val="right" w:pos="9000"/>
        </w:tabs>
        <w:spacing w:after="60"/>
        <w:jc w:val="both"/>
        <w:rPr>
          <w:rFonts w:cstheme="minorHAnsi"/>
        </w:rPr>
      </w:pPr>
      <w:r w:rsidRPr="008F4A30">
        <w:rPr>
          <w:rFonts w:cstheme="minorHAnsi"/>
        </w:rPr>
        <w:t>Noise attenuation measures that may be addressed in the acoustic report and implemented into the construction of the development to achieve the Noise Criteria include:</w:t>
      </w:r>
    </w:p>
    <w:p w14:paraId="619B496A" w14:textId="77777777" w:rsidR="008F4A30" w:rsidRPr="008F4A30" w:rsidRDefault="008F4A30" w:rsidP="008A6DA7">
      <w:pPr>
        <w:spacing w:after="60"/>
        <w:ind w:left="426" w:hanging="426"/>
        <w:jc w:val="both"/>
        <w:rPr>
          <w:rFonts w:cstheme="minorHAnsi"/>
        </w:rPr>
      </w:pPr>
      <w:r w:rsidRPr="008F4A30">
        <w:rPr>
          <w:rFonts w:cstheme="minorHAnsi"/>
        </w:rPr>
        <w:t>(a)</w:t>
      </w:r>
      <w:r w:rsidRPr="008F4A30">
        <w:rPr>
          <w:rFonts w:cstheme="minorHAnsi"/>
        </w:rPr>
        <w:tab/>
        <w:t>Windows:</w:t>
      </w:r>
    </w:p>
    <w:p w14:paraId="1D5C61CB" w14:textId="77777777" w:rsidR="008F4A30" w:rsidRPr="008F4A30" w:rsidRDefault="008F4A30" w:rsidP="008A6DA7">
      <w:pPr>
        <w:spacing w:after="60"/>
        <w:ind w:left="993" w:hanging="567"/>
        <w:jc w:val="both"/>
        <w:rPr>
          <w:rFonts w:cstheme="minorHAnsi"/>
        </w:rPr>
      </w:pPr>
      <w:r w:rsidRPr="008F4A30">
        <w:rPr>
          <w:rFonts w:cstheme="minorHAnsi"/>
        </w:rPr>
        <w:t>(</w:t>
      </w:r>
      <w:proofErr w:type="spellStart"/>
      <w:r w:rsidRPr="008F4A30">
        <w:rPr>
          <w:rFonts w:cstheme="minorHAnsi"/>
        </w:rPr>
        <w:t>i</w:t>
      </w:r>
      <w:proofErr w:type="spellEnd"/>
      <w:r w:rsidRPr="008F4A30">
        <w:rPr>
          <w:rFonts w:cstheme="minorHAnsi"/>
        </w:rPr>
        <w:t>)</w:t>
      </w:r>
      <w:r w:rsidRPr="008F4A30">
        <w:rPr>
          <w:rFonts w:cstheme="minorHAnsi"/>
        </w:rPr>
        <w:tab/>
        <w:t xml:space="preserve">heavyweight / thicker </w:t>
      </w:r>
      <w:proofErr w:type="gramStart"/>
      <w:r w:rsidRPr="008F4A30">
        <w:rPr>
          <w:rFonts w:cstheme="minorHAnsi"/>
        </w:rPr>
        <w:t>glass;</w:t>
      </w:r>
      <w:proofErr w:type="gramEnd"/>
    </w:p>
    <w:p w14:paraId="7C206D01" w14:textId="77777777" w:rsidR="008F4A30" w:rsidRPr="008F4A30" w:rsidRDefault="008F4A30" w:rsidP="008A6DA7">
      <w:pPr>
        <w:spacing w:after="60"/>
        <w:ind w:left="993" w:hanging="567"/>
        <w:jc w:val="both"/>
        <w:rPr>
          <w:rFonts w:cstheme="minorHAnsi"/>
        </w:rPr>
      </w:pPr>
      <w:r w:rsidRPr="008F4A30">
        <w:rPr>
          <w:rFonts w:cstheme="minorHAnsi"/>
        </w:rPr>
        <w:t>(ii)</w:t>
      </w:r>
      <w:r w:rsidRPr="008F4A30">
        <w:rPr>
          <w:rFonts w:cstheme="minorHAnsi"/>
        </w:rPr>
        <w:tab/>
        <w:t xml:space="preserve">double </w:t>
      </w:r>
      <w:proofErr w:type="gramStart"/>
      <w:r w:rsidRPr="008F4A30">
        <w:rPr>
          <w:rFonts w:cstheme="minorHAnsi"/>
        </w:rPr>
        <w:t>glazing;</w:t>
      </w:r>
      <w:proofErr w:type="gramEnd"/>
    </w:p>
    <w:p w14:paraId="0302AB6A" w14:textId="77777777" w:rsidR="008F4A30" w:rsidRPr="008F4A30" w:rsidRDefault="008F4A30" w:rsidP="008A6DA7">
      <w:pPr>
        <w:spacing w:after="60"/>
        <w:ind w:left="993" w:hanging="567"/>
        <w:jc w:val="both"/>
        <w:rPr>
          <w:rFonts w:cstheme="minorHAnsi"/>
        </w:rPr>
      </w:pPr>
      <w:r w:rsidRPr="008F4A30">
        <w:rPr>
          <w:rFonts w:cstheme="minorHAnsi"/>
        </w:rPr>
        <w:t>(iii)</w:t>
      </w:r>
      <w:r w:rsidRPr="008F4A30">
        <w:rPr>
          <w:rFonts w:cstheme="minorHAnsi"/>
        </w:rPr>
        <w:tab/>
        <w:t xml:space="preserve">allow for window construction to be readily upgraded to double glazing in the </w:t>
      </w:r>
      <w:proofErr w:type="gramStart"/>
      <w:r w:rsidRPr="008F4A30">
        <w:rPr>
          <w:rFonts w:cstheme="minorHAnsi"/>
        </w:rPr>
        <w:t>future;</w:t>
      </w:r>
      <w:proofErr w:type="gramEnd"/>
    </w:p>
    <w:p w14:paraId="1876B24A" w14:textId="77777777" w:rsidR="008F4A30" w:rsidRPr="008F4A30" w:rsidRDefault="008F4A30" w:rsidP="008A6DA7">
      <w:pPr>
        <w:spacing w:after="120"/>
        <w:ind w:left="993" w:hanging="567"/>
        <w:jc w:val="both"/>
        <w:rPr>
          <w:rFonts w:cstheme="minorHAnsi"/>
        </w:rPr>
      </w:pPr>
      <w:r w:rsidRPr="008F4A30">
        <w:rPr>
          <w:rFonts w:cstheme="minorHAnsi"/>
        </w:rPr>
        <w:t>(iv)</w:t>
      </w:r>
      <w:r w:rsidRPr="008F4A30">
        <w:rPr>
          <w:rFonts w:cstheme="minorHAnsi"/>
        </w:rPr>
        <w:tab/>
        <w:t>special acoustic requirements for window frames; and</w:t>
      </w:r>
    </w:p>
    <w:p w14:paraId="1CA27DE1" w14:textId="77777777" w:rsidR="008F4A30" w:rsidRPr="008F4A30" w:rsidRDefault="008F4A30" w:rsidP="008A6DA7">
      <w:pPr>
        <w:spacing w:after="60"/>
        <w:ind w:left="993" w:hanging="567"/>
        <w:jc w:val="both"/>
        <w:rPr>
          <w:rFonts w:cstheme="minorHAnsi"/>
        </w:rPr>
      </w:pPr>
      <w:r w:rsidRPr="008F4A30">
        <w:rPr>
          <w:rFonts w:cstheme="minorHAnsi"/>
        </w:rPr>
        <w:lastRenderedPageBreak/>
        <w:t>(v)</w:t>
      </w:r>
      <w:r w:rsidRPr="008F4A30">
        <w:rPr>
          <w:rFonts w:cstheme="minorHAnsi"/>
        </w:rPr>
        <w:tab/>
        <w:t>specific acoustic performance requirements – Laboratory tests data.</w:t>
      </w:r>
    </w:p>
    <w:p w14:paraId="20C3E5AD" w14:textId="77777777" w:rsidR="008F4A30" w:rsidRPr="008F4A30" w:rsidRDefault="008F4A30" w:rsidP="008A6DA7">
      <w:pPr>
        <w:spacing w:after="60"/>
        <w:ind w:left="426" w:hanging="426"/>
        <w:jc w:val="both"/>
        <w:rPr>
          <w:rFonts w:cstheme="minorHAnsi"/>
        </w:rPr>
      </w:pPr>
      <w:r w:rsidRPr="008F4A30">
        <w:rPr>
          <w:rFonts w:cstheme="minorHAnsi"/>
        </w:rPr>
        <w:t>(b)</w:t>
      </w:r>
      <w:r w:rsidRPr="008F4A30">
        <w:rPr>
          <w:rFonts w:cstheme="minorHAnsi"/>
        </w:rPr>
        <w:tab/>
        <w:t>Walls:</w:t>
      </w:r>
    </w:p>
    <w:p w14:paraId="164ED586" w14:textId="77777777" w:rsidR="008F4A30" w:rsidRPr="008F4A30" w:rsidRDefault="008F4A30" w:rsidP="008A6DA7">
      <w:pPr>
        <w:spacing w:after="60"/>
        <w:ind w:left="993" w:hanging="567"/>
        <w:jc w:val="both"/>
        <w:rPr>
          <w:rFonts w:cstheme="minorHAnsi"/>
        </w:rPr>
      </w:pPr>
      <w:r w:rsidRPr="008F4A30">
        <w:rPr>
          <w:rFonts w:cstheme="minorHAnsi"/>
        </w:rPr>
        <w:t>(</w:t>
      </w:r>
      <w:proofErr w:type="spellStart"/>
      <w:r w:rsidRPr="008F4A30">
        <w:rPr>
          <w:rFonts w:cstheme="minorHAnsi"/>
        </w:rPr>
        <w:t>i</w:t>
      </w:r>
      <w:proofErr w:type="spellEnd"/>
      <w:r w:rsidRPr="008F4A30">
        <w:rPr>
          <w:rFonts w:cstheme="minorHAnsi"/>
        </w:rPr>
        <w:t>)</w:t>
      </w:r>
      <w:r w:rsidRPr="008F4A30">
        <w:rPr>
          <w:rFonts w:cstheme="minorHAnsi"/>
        </w:rPr>
        <w:tab/>
        <w:t xml:space="preserve">stud frame walls may require acoustic </w:t>
      </w:r>
      <w:proofErr w:type="gramStart"/>
      <w:r w:rsidRPr="008F4A30">
        <w:rPr>
          <w:rFonts w:cstheme="minorHAnsi"/>
        </w:rPr>
        <w:t>upgrading;</w:t>
      </w:r>
      <w:proofErr w:type="gramEnd"/>
    </w:p>
    <w:p w14:paraId="69622794" w14:textId="77777777" w:rsidR="008F4A30" w:rsidRPr="008F4A30" w:rsidRDefault="008F4A30" w:rsidP="008A6DA7">
      <w:pPr>
        <w:spacing w:after="60"/>
        <w:ind w:left="993" w:hanging="567"/>
        <w:jc w:val="both"/>
        <w:rPr>
          <w:rFonts w:cstheme="minorHAnsi"/>
        </w:rPr>
      </w:pPr>
      <w:r w:rsidRPr="008F4A30">
        <w:rPr>
          <w:rFonts w:cstheme="minorHAnsi"/>
        </w:rPr>
        <w:t>(ii)</w:t>
      </w:r>
      <w:r w:rsidRPr="008F4A30">
        <w:rPr>
          <w:rFonts w:cstheme="minorHAnsi"/>
        </w:rPr>
        <w:tab/>
        <w:t xml:space="preserve">acoustic attenuation for exhaust vents through </w:t>
      </w:r>
      <w:proofErr w:type="gramStart"/>
      <w:r w:rsidRPr="008F4A30">
        <w:rPr>
          <w:rFonts w:cstheme="minorHAnsi"/>
        </w:rPr>
        <w:t>wall;</w:t>
      </w:r>
      <w:proofErr w:type="gramEnd"/>
    </w:p>
    <w:p w14:paraId="759557EA" w14:textId="77777777" w:rsidR="008F4A30" w:rsidRPr="008F4A30" w:rsidRDefault="008F4A30" w:rsidP="008A6DA7">
      <w:pPr>
        <w:spacing w:after="60"/>
        <w:ind w:left="993" w:hanging="567"/>
        <w:jc w:val="both"/>
        <w:rPr>
          <w:rFonts w:cstheme="minorHAnsi"/>
        </w:rPr>
      </w:pPr>
      <w:r w:rsidRPr="008F4A30">
        <w:rPr>
          <w:rFonts w:cstheme="minorHAnsi"/>
        </w:rPr>
        <w:t>(iii)</w:t>
      </w:r>
      <w:r w:rsidRPr="008F4A30">
        <w:rPr>
          <w:rFonts w:cstheme="minorHAnsi"/>
        </w:rPr>
        <w:tab/>
        <w:t>specific acoustic requirements for external doors; and</w:t>
      </w:r>
    </w:p>
    <w:p w14:paraId="7D5AB593" w14:textId="77777777" w:rsidR="008F4A30" w:rsidRPr="008F4A30" w:rsidRDefault="008F4A30" w:rsidP="008A6DA7">
      <w:pPr>
        <w:spacing w:after="60"/>
        <w:ind w:left="993" w:hanging="567"/>
        <w:jc w:val="both"/>
        <w:rPr>
          <w:rFonts w:cstheme="minorHAnsi"/>
        </w:rPr>
      </w:pPr>
      <w:r w:rsidRPr="008F4A30">
        <w:rPr>
          <w:rFonts w:cstheme="minorHAnsi"/>
        </w:rPr>
        <w:t>(iv)</w:t>
      </w:r>
      <w:r w:rsidRPr="008F4A30">
        <w:rPr>
          <w:rFonts w:cstheme="minorHAnsi"/>
        </w:rPr>
        <w:tab/>
        <w:t>appropriate selection of garage doors to reduce noise.</w:t>
      </w:r>
    </w:p>
    <w:p w14:paraId="1BF4B520" w14:textId="77777777" w:rsidR="008F4A30" w:rsidRPr="008F4A30" w:rsidRDefault="008F4A30" w:rsidP="008A6DA7">
      <w:pPr>
        <w:spacing w:after="60"/>
        <w:ind w:left="426" w:hanging="426"/>
        <w:jc w:val="both"/>
        <w:rPr>
          <w:rFonts w:cstheme="minorHAnsi"/>
        </w:rPr>
      </w:pPr>
      <w:r w:rsidRPr="008F4A30">
        <w:rPr>
          <w:rFonts w:cstheme="minorHAnsi"/>
        </w:rPr>
        <w:t>(c)</w:t>
      </w:r>
      <w:r w:rsidRPr="008F4A30">
        <w:rPr>
          <w:rFonts w:cstheme="minorHAnsi"/>
        </w:rPr>
        <w:tab/>
        <w:t>Roof - Ceiling:</w:t>
      </w:r>
    </w:p>
    <w:p w14:paraId="15D555AF" w14:textId="77777777" w:rsidR="008F4A30" w:rsidRPr="008F4A30" w:rsidRDefault="008F4A30" w:rsidP="008A6DA7">
      <w:pPr>
        <w:spacing w:after="60"/>
        <w:ind w:left="993" w:hanging="567"/>
        <w:jc w:val="both"/>
        <w:rPr>
          <w:rFonts w:cstheme="minorHAnsi"/>
        </w:rPr>
      </w:pPr>
      <w:r w:rsidRPr="008F4A30">
        <w:rPr>
          <w:rFonts w:cstheme="minorHAnsi"/>
        </w:rPr>
        <w:t>(</w:t>
      </w:r>
      <w:proofErr w:type="spellStart"/>
      <w:r w:rsidRPr="008F4A30">
        <w:rPr>
          <w:rFonts w:cstheme="minorHAnsi"/>
        </w:rPr>
        <w:t>i</w:t>
      </w:r>
      <w:proofErr w:type="spellEnd"/>
      <w:r w:rsidRPr="008F4A30">
        <w:rPr>
          <w:rFonts w:cstheme="minorHAnsi"/>
        </w:rPr>
        <w:t>)</w:t>
      </w:r>
      <w:r w:rsidRPr="008F4A30">
        <w:rPr>
          <w:rFonts w:cstheme="minorHAnsi"/>
        </w:rPr>
        <w:tab/>
        <w:t xml:space="preserve">specific acoustic requirements for sealing </w:t>
      </w:r>
      <w:proofErr w:type="gramStart"/>
      <w:r w:rsidRPr="008F4A30">
        <w:rPr>
          <w:rFonts w:cstheme="minorHAnsi"/>
        </w:rPr>
        <w:t>roof;</w:t>
      </w:r>
      <w:proofErr w:type="gramEnd"/>
    </w:p>
    <w:p w14:paraId="3444D1DF" w14:textId="77777777" w:rsidR="008F4A30" w:rsidRPr="008F4A30" w:rsidRDefault="008F4A30" w:rsidP="008A6DA7">
      <w:pPr>
        <w:spacing w:after="60"/>
        <w:ind w:left="993" w:hanging="567"/>
        <w:jc w:val="both"/>
        <w:rPr>
          <w:rFonts w:cstheme="minorHAnsi"/>
        </w:rPr>
      </w:pPr>
      <w:r w:rsidRPr="008F4A30">
        <w:rPr>
          <w:rFonts w:cstheme="minorHAnsi"/>
        </w:rPr>
        <w:t>(ii)</w:t>
      </w:r>
      <w:r w:rsidRPr="008F4A30">
        <w:rPr>
          <w:rFonts w:cstheme="minorHAnsi"/>
        </w:rPr>
        <w:tab/>
        <w:t xml:space="preserve">timber framing or insulated metal </w:t>
      </w:r>
      <w:proofErr w:type="gramStart"/>
      <w:r w:rsidRPr="008F4A30">
        <w:rPr>
          <w:rFonts w:cstheme="minorHAnsi"/>
        </w:rPr>
        <w:t>framing;</w:t>
      </w:r>
      <w:proofErr w:type="gramEnd"/>
    </w:p>
    <w:p w14:paraId="4F3433CC" w14:textId="77777777" w:rsidR="008F4A30" w:rsidRPr="008F4A30" w:rsidRDefault="008F4A30" w:rsidP="008A6DA7">
      <w:pPr>
        <w:spacing w:after="60"/>
        <w:ind w:left="993" w:hanging="567"/>
        <w:jc w:val="both"/>
        <w:rPr>
          <w:rFonts w:cstheme="minorHAnsi"/>
        </w:rPr>
      </w:pPr>
      <w:r w:rsidRPr="008F4A30">
        <w:rPr>
          <w:rFonts w:cstheme="minorHAnsi"/>
        </w:rPr>
        <w:t>(iii)</w:t>
      </w:r>
      <w:r w:rsidRPr="008F4A30">
        <w:rPr>
          <w:rFonts w:cstheme="minorHAnsi"/>
        </w:rPr>
        <w:tab/>
        <w:t xml:space="preserve">upgraded acoustic performance for </w:t>
      </w:r>
      <w:proofErr w:type="gramStart"/>
      <w:r w:rsidRPr="008F4A30">
        <w:rPr>
          <w:rFonts w:cstheme="minorHAnsi"/>
        </w:rPr>
        <w:t>ceiling;</w:t>
      </w:r>
      <w:proofErr w:type="gramEnd"/>
    </w:p>
    <w:p w14:paraId="20B40682" w14:textId="77777777" w:rsidR="008F4A30" w:rsidRPr="008F4A30" w:rsidRDefault="008F4A30" w:rsidP="008A6DA7">
      <w:pPr>
        <w:spacing w:after="60"/>
        <w:ind w:left="993" w:hanging="567"/>
        <w:jc w:val="both"/>
        <w:rPr>
          <w:rFonts w:cstheme="minorHAnsi"/>
        </w:rPr>
      </w:pPr>
      <w:r w:rsidRPr="008F4A30">
        <w:rPr>
          <w:rFonts w:cstheme="minorHAnsi"/>
        </w:rPr>
        <w:t>(iv)</w:t>
      </w:r>
      <w:r w:rsidRPr="008F4A30">
        <w:rPr>
          <w:rFonts w:cstheme="minorHAnsi"/>
        </w:rPr>
        <w:tab/>
        <w:t xml:space="preserve">closing / sealing of </w:t>
      </w:r>
      <w:proofErr w:type="gramStart"/>
      <w:r w:rsidRPr="008F4A30">
        <w:rPr>
          <w:rFonts w:cstheme="minorHAnsi"/>
        </w:rPr>
        <w:t>eaves;</w:t>
      </w:r>
      <w:proofErr w:type="gramEnd"/>
    </w:p>
    <w:p w14:paraId="356A6432" w14:textId="77777777" w:rsidR="008F4A30" w:rsidRPr="008F4A30" w:rsidRDefault="008F4A30" w:rsidP="008A6DA7">
      <w:pPr>
        <w:spacing w:after="60"/>
        <w:ind w:left="993" w:hanging="567"/>
        <w:jc w:val="both"/>
        <w:rPr>
          <w:rFonts w:cstheme="minorHAnsi"/>
        </w:rPr>
      </w:pPr>
      <w:r w:rsidRPr="008F4A30">
        <w:rPr>
          <w:rFonts w:cstheme="minorHAnsi"/>
        </w:rPr>
        <w:t>(v)</w:t>
      </w:r>
      <w:r w:rsidRPr="008F4A30">
        <w:rPr>
          <w:rFonts w:cstheme="minorHAnsi"/>
        </w:rPr>
        <w:tab/>
        <w:t>insulation of ceiling void; and</w:t>
      </w:r>
    </w:p>
    <w:p w14:paraId="4D92AA21" w14:textId="77777777" w:rsidR="008F4A30" w:rsidRPr="008F4A30" w:rsidRDefault="008F4A30" w:rsidP="008A6DA7">
      <w:pPr>
        <w:spacing w:after="60"/>
        <w:ind w:left="993" w:hanging="567"/>
        <w:jc w:val="both"/>
        <w:rPr>
          <w:rFonts w:cstheme="minorHAnsi"/>
        </w:rPr>
      </w:pPr>
      <w:r w:rsidRPr="008F4A30">
        <w:rPr>
          <w:rFonts w:cstheme="minorHAnsi"/>
        </w:rPr>
        <w:t>(vi)</w:t>
      </w:r>
      <w:r w:rsidRPr="008F4A30">
        <w:rPr>
          <w:rFonts w:cstheme="minorHAnsi"/>
        </w:rPr>
        <w:tab/>
        <w:t>acoustic attenuation for vents through roof.</w:t>
      </w:r>
    </w:p>
    <w:p w14:paraId="0E959746" w14:textId="77777777" w:rsidR="008F4A30" w:rsidRPr="008F4A30" w:rsidRDefault="008F4A30" w:rsidP="008F4A30">
      <w:pPr>
        <w:jc w:val="both"/>
        <w:rPr>
          <w:rFonts w:cstheme="minorHAnsi"/>
        </w:rPr>
      </w:pPr>
      <w:r w:rsidRPr="008F4A30">
        <w:rPr>
          <w:rFonts w:cstheme="minorHAnsi"/>
        </w:rPr>
        <w:t>Attention to sealing all gaps is critical to successful noise amelioration.</w:t>
      </w:r>
    </w:p>
    <w:p w14:paraId="1BD8FF65" w14:textId="77777777" w:rsidR="008F4A30" w:rsidRPr="008F4A30" w:rsidRDefault="008F4A30" w:rsidP="008F4A30">
      <w:pPr>
        <w:spacing w:after="0"/>
        <w:jc w:val="both"/>
        <w:rPr>
          <w:rFonts w:cstheme="minorHAnsi"/>
          <w:b/>
        </w:rPr>
      </w:pPr>
      <w:r w:rsidRPr="008F4A30">
        <w:rPr>
          <w:rFonts w:cstheme="minorHAnsi"/>
          <w:b/>
        </w:rPr>
        <w:t>Noise Emission</w:t>
      </w:r>
    </w:p>
    <w:p w14:paraId="6ECA8A8C" w14:textId="77777777" w:rsidR="008F4A30" w:rsidRPr="008F4A30" w:rsidRDefault="008F4A30" w:rsidP="008A6DA7">
      <w:pPr>
        <w:spacing w:after="60"/>
        <w:ind w:left="426" w:hanging="426"/>
        <w:jc w:val="both"/>
        <w:rPr>
          <w:rFonts w:cstheme="minorHAnsi"/>
        </w:rPr>
      </w:pPr>
      <w:r w:rsidRPr="008F4A30">
        <w:rPr>
          <w:rFonts w:cstheme="minorHAnsi"/>
        </w:rPr>
        <w:t>(a)</w:t>
      </w:r>
      <w:r w:rsidRPr="008F4A30">
        <w:rPr>
          <w:rFonts w:cstheme="minorHAnsi"/>
        </w:rPr>
        <w:tab/>
        <w:t>Environmental Protection (Noise) Regulations 1997:</w:t>
      </w:r>
    </w:p>
    <w:p w14:paraId="6B321A49" w14:textId="77777777" w:rsidR="008F4A30" w:rsidRPr="008F4A30" w:rsidRDefault="008F4A30" w:rsidP="008A6DA7">
      <w:pPr>
        <w:spacing w:after="60"/>
        <w:ind w:left="993" w:hanging="567"/>
        <w:jc w:val="both"/>
        <w:rPr>
          <w:rFonts w:cstheme="minorHAnsi"/>
        </w:rPr>
      </w:pPr>
      <w:r w:rsidRPr="008F4A30">
        <w:rPr>
          <w:rFonts w:cstheme="minorHAnsi"/>
        </w:rPr>
        <w:t>(</w:t>
      </w:r>
      <w:proofErr w:type="spellStart"/>
      <w:r w:rsidRPr="008F4A30">
        <w:rPr>
          <w:rFonts w:cstheme="minorHAnsi"/>
        </w:rPr>
        <w:t>i</w:t>
      </w:r>
      <w:proofErr w:type="spellEnd"/>
      <w:r w:rsidRPr="008F4A30">
        <w:rPr>
          <w:rFonts w:cstheme="minorHAnsi"/>
        </w:rPr>
        <w:t>)</w:t>
      </w:r>
      <w:r w:rsidRPr="008F4A30">
        <w:rPr>
          <w:rFonts w:cstheme="minorHAnsi"/>
        </w:rPr>
        <w:tab/>
        <w:t xml:space="preserve">Assigned Levels identified for various times of day; and </w:t>
      </w:r>
    </w:p>
    <w:p w14:paraId="7C27656A" w14:textId="77777777" w:rsidR="008F4A30" w:rsidRPr="008F4A30" w:rsidRDefault="008F4A30" w:rsidP="008A6DA7">
      <w:pPr>
        <w:spacing w:after="60"/>
        <w:ind w:left="993" w:hanging="567"/>
        <w:jc w:val="both"/>
        <w:rPr>
          <w:rFonts w:cstheme="minorHAnsi"/>
        </w:rPr>
      </w:pPr>
      <w:r w:rsidRPr="008F4A30">
        <w:rPr>
          <w:rFonts w:cstheme="minorHAnsi"/>
        </w:rPr>
        <w:t>(ii)</w:t>
      </w:r>
      <w:r w:rsidRPr="008F4A30">
        <w:rPr>
          <w:rFonts w:cstheme="minorHAnsi"/>
        </w:rPr>
        <w:tab/>
        <w:t xml:space="preserve">adjustments for noise characteristics identified. </w:t>
      </w:r>
    </w:p>
    <w:p w14:paraId="0E6AA04D" w14:textId="77777777" w:rsidR="008F4A30" w:rsidRPr="008F4A30" w:rsidRDefault="008F4A30" w:rsidP="008A6DA7">
      <w:pPr>
        <w:spacing w:after="60"/>
        <w:ind w:left="567" w:hanging="567"/>
        <w:jc w:val="both"/>
        <w:rPr>
          <w:rFonts w:cstheme="minorHAnsi"/>
        </w:rPr>
      </w:pPr>
      <w:r w:rsidRPr="008F4A30">
        <w:rPr>
          <w:rFonts w:cstheme="minorHAnsi"/>
        </w:rPr>
        <w:t>(b)</w:t>
      </w:r>
      <w:r w:rsidRPr="008F4A30">
        <w:rPr>
          <w:rFonts w:cstheme="minorHAnsi"/>
        </w:rPr>
        <w:tab/>
        <w:t>Noise breakout from premises:</w:t>
      </w:r>
    </w:p>
    <w:p w14:paraId="2B946924" w14:textId="77777777" w:rsidR="008F4A30" w:rsidRPr="008F4A30" w:rsidRDefault="008F4A30" w:rsidP="008A6DA7">
      <w:pPr>
        <w:spacing w:after="60"/>
        <w:ind w:left="993" w:hanging="567"/>
        <w:jc w:val="both"/>
        <w:rPr>
          <w:rFonts w:cstheme="minorHAnsi"/>
        </w:rPr>
      </w:pPr>
      <w:r w:rsidRPr="008F4A30">
        <w:rPr>
          <w:rFonts w:cstheme="minorHAnsi"/>
        </w:rPr>
        <w:t>(</w:t>
      </w:r>
      <w:proofErr w:type="spellStart"/>
      <w:r w:rsidRPr="008F4A30">
        <w:rPr>
          <w:rFonts w:cstheme="minorHAnsi"/>
        </w:rPr>
        <w:t>i</w:t>
      </w:r>
      <w:proofErr w:type="spellEnd"/>
      <w:r w:rsidRPr="008F4A30">
        <w:rPr>
          <w:rFonts w:cstheme="minorHAnsi"/>
        </w:rPr>
        <w:t>)</w:t>
      </w:r>
      <w:r w:rsidRPr="008F4A30">
        <w:rPr>
          <w:rFonts w:cstheme="minorHAnsi"/>
        </w:rPr>
        <w:tab/>
        <w:t xml:space="preserve">acoustic upgrade of </w:t>
      </w:r>
      <w:proofErr w:type="gramStart"/>
      <w:r w:rsidRPr="008F4A30">
        <w:rPr>
          <w:rFonts w:cstheme="minorHAnsi"/>
        </w:rPr>
        <w:t>windows;</w:t>
      </w:r>
      <w:proofErr w:type="gramEnd"/>
    </w:p>
    <w:p w14:paraId="77924245" w14:textId="77777777" w:rsidR="008F4A30" w:rsidRPr="008F4A30" w:rsidRDefault="008F4A30" w:rsidP="008A6DA7">
      <w:pPr>
        <w:spacing w:after="60"/>
        <w:ind w:left="993" w:hanging="567"/>
        <w:jc w:val="both"/>
        <w:rPr>
          <w:rFonts w:cstheme="minorHAnsi"/>
        </w:rPr>
      </w:pPr>
      <w:r w:rsidRPr="008F4A30">
        <w:rPr>
          <w:rFonts w:cstheme="minorHAnsi"/>
        </w:rPr>
        <w:t>(ii)</w:t>
      </w:r>
      <w:r w:rsidRPr="008F4A30">
        <w:rPr>
          <w:rFonts w:cstheme="minorHAnsi"/>
        </w:rPr>
        <w:tab/>
        <w:t xml:space="preserve">acoustic lobbies at entry and exit points in the </w:t>
      </w:r>
      <w:proofErr w:type="gramStart"/>
      <w:r w:rsidRPr="008F4A30">
        <w:rPr>
          <w:rFonts w:cstheme="minorHAnsi"/>
        </w:rPr>
        <w:t>building;</w:t>
      </w:r>
      <w:proofErr w:type="gramEnd"/>
    </w:p>
    <w:p w14:paraId="41055A1C" w14:textId="77777777" w:rsidR="008F4A30" w:rsidRPr="008F4A30" w:rsidRDefault="008F4A30" w:rsidP="008A6DA7">
      <w:pPr>
        <w:spacing w:after="60"/>
        <w:ind w:left="993" w:hanging="567"/>
        <w:jc w:val="both"/>
        <w:rPr>
          <w:rFonts w:cstheme="minorHAnsi"/>
        </w:rPr>
      </w:pPr>
      <w:r w:rsidRPr="008F4A30">
        <w:rPr>
          <w:rFonts w:cstheme="minorHAnsi"/>
        </w:rPr>
        <w:t>(iii)</w:t>
      </w:r>
      <w:r w:rsidRPr="008F4A30">
        <w:rPr>
          <w:rFonts w:cstheme="minorHAnsi"/>
        </w:rPr>
        <w:tab/>
        <w:t xml:space="preserve">acoustic upgrade to walls and roof-ceiling </w:t>
      </w:r>
      <w:proofErr w:type="gramStart"/>
      <w:r w:rsidRPr="008F4A30">
        <w:rPr>
          <w:rFonts w:cstheme="minorHAnsi"/>
        </w:rPr>
        <w:t>construction;</w:t>
      </w:r>
      <w:proofErr w:type="gramEnd"/>
    </w:p>
    <w:p w14:paraId="055EC68E" w14:textId="77777777" w:rsidR="008F4A30" w:rsidRPr="008F4A30" w:rsidRDefault="008F4A30" w:rsidP="008A6DA7">
      <w:pPr>
        <w:spacing w:after="60"/>
        <w:ind w:left="993" w:hanging="567"/>
        <w:jc w:val="both"/>
        <w:rPr>
          <w:rFonts w:cstheme="minorHAnsi"/>
        </w:rPr>
      </w:pPr>
      <w:r w:rsidRPr="008F4A30">
        <w:rPr>
          <w:rFonts w:cstheme="minorHAnsi"/>
        </w:rPr>
        <w:t>(iv)</w:t>
      </w:r>
      <w:r w:rsidRPr="008F4A30">
        <w:rPr>
          <w:rFonts w:cstheme="minorHAnsi"/>
        </w:rPr>
        <w:tab/>
        <w:t xml:space="preserve">process for determining maximum allowable internal noise </w:t>
      </w:r>
      <w:proofErr w:type="gramStart"/>
      <w:r w:rsidRPr="008F4A30">
        <w:rPr>
          <w:rFonts w:cstheme="minorHAnsi"/>
        </w:rPr>
        <w:t>level;</w:t>
      </w:r>
      <w:proofErr w:type="gramEnd"/>
    </w:p>
    <w:p w14:paraId="1FF3FC05" w14:textId="77777777" w:rsidR="008F4A30" w:rsidRPr="008F4A30" w:rsidRDefault="008F4A30" w:rsidP="008A6DA7">
      <w:pPr>
        <w:spacing w:after="60"/>
        <w:ind w:left="993" w:hanging="567"/>
        <w:jc w:val="both"/>
        <w:rPr>
          <w:rFonts w:cstheme="minorHAnsi"/>
        </w:rPr>
      </w:pPr>
      <w:r w:rsidRPr="008F4A30">
        <w:rPr>
          <w:rFonts w:cstheme="minorHAnsi"/>
        </w:rPr>
        <w:t>(v)</w:t>
      </w:r>
      <w:r w:rsidRPr="008F4A30">
        <w:rPr>
          <w:rFonts w:cstheme="minorHAnsi"/>
        </w:rPr>
        <w:tab/>
        <w:t xml:space="preserve">use of permanent noise monitoring with integrated audio control </w:t>
      </w:r>
      <w:proofErr w:type="gramStart"/>
      <w:r w:rsidRPr="008F4A30">
        <w:rPr>
          <w:rFonts w:cstheme="minorHAnsi"/>
        </w:rPr>
        <w:t>system;</w:t>
      </w:r>
      <w:proofErr w:type="gramEnd"/>
    </w:p>
    <w:p w14:paraId="6E181BC3" w14:textId="77777777" w:rsidR="008F4A30" w:rsidRPr="008F4A30" w:rsidRDefault="008F4A30" w:rsidP="008A6DA7">
      <w:pPr>
        <w:spacing w:after="60"/>
        <w:ind w:left="993" w:hanging="567"/>
        <w:jc w:val="both"/>
        <w:rPr>
          <w:rFonts w:cstheme="minorHAnsi"/>
        </w:rPr>
      </w:pPr>
      <w:r w:rsidRPr="008F4A30">
        <w:rPr>
          <w:rFonts w:cstheme="minorHAnsi"/>
        </w:rPr>
        <w:t>(vi)</w:t>
      </w:r>
      <w:r w:rsidRPr="008F4A30">
        <w:rPr>
          <w:rFonts w:cstheme="minorHAnsi"/>
        </w:rPr>
        <w:tab/>
        <w:t>management strategies to control breakout noise; and</w:t>
      </w:r>
    </w:p>
    <w:p w14:paraId="2DEE00C7" w14:textId="77777777" w:rsidR="008F4A30" w:rsidRPr="008F4A30" w:rsidRDefault="008F4A30" w:rsidP="008A6DA7">
      <w:pPr>
        <w:spacing w:after="60"/>
        <w:ind w:left="993" w:hanging="567"/>
        <w:jc w:val="both"/>
        <w:rPr>
          <w:rFonts w:cstheme="minorHAnsi"/>
        </w:rPr>
      </w:pPr>
      <w:r w:rsidRPr="008F4A30">
        <w:rPr>
          <w:rFonts w:cstheme="minorHAnsi"/>
        </w:rPr>
        <w:t>(vii)</w:t>
      </w:r>
      <w:r w:rsidRPr="008F4A30">
        <w:rPr>
          <w:rFonts w:cstheme="minorHAnsi"/>
        </w:rPr>
        <w:tab/>
        <w:t>management strategies for control of noise during deliveries and disposal of rubbish.</w:t>
      </w:r>
    </w:p>
    <w:p w14:paraId="1EA08C5D" w14:textId="77777777" w:rsidR="008F4A30" w:rsidRPr="008F4A30" w:rsidRDefault="008F4A30" w:rsidP="008A6DA7">
      <w:pPr>
        <w:spacing w:after="60"/>
        <w:ind w:left="426" w:hanging="426"/>
        <w:jc w:val="both"/>
        <w:rPr>
          <w:rFonts w:cstheme="minorHAnsi"/>
        </w:rPr>
      </w:pPr>
      <w:r w:rsidRPr="008F4A30">
        <w:rPr>
          <w:rFonts w:cstheme="minorHAnsi"/>
        </w:rPr>
        <w:t>(c)</w:t>
      </w:r>
      <w:r w:rsidRPr="008F4A30">
        <w:rPr>
          <w:rFonts w:cstheme="minorHAnsi"/>
        </w:rPr>
        <w:tab/>
        <w:t>Mechanical Plant:</w:t>
      </w:r>
    </w:p>
    <w:p w14:paraId="10359CDC" w14:textId="77777777" w:rsidR="008F4A30" w:rsidRPr="008F4A30" w:rsidRDefault="008F4A30" w:rsidP="008A6DA7">
      <w:pPr>
        <w:spacing w:after="60"/>
        <w:ind w:left="993" w:hanging="567"/>
        <w:jc w:val="both"/>
        <w:rPr>
          <w:rFonts w:cstheme="minorHAnsi"/>
        </w:rPr>
      </w:pPr>
      <w:r w:rsidRPr="008F4A30">
        <w:rPr>
          <w:rFonts w:cstheme="minorHAnsi"/>
        </w:rPr>
        <w:t>(</w:t>
      </w:r>
      <w:proofErr w:type="spellStart"/>
      <w:r w:rsidRPr="008F4A30">
        <w:rPr>
          <w:rFonts w:cstheme="minorHAnsi"/>
        </w:rPr>
        <w:t>i</w:t>
      </w:r>
      <w:proofErr w:type="spellEnd"/>
      <w:r w:rsidRPr="008F4A30">
        <w:rPr>
          <w:rFonts w:cstheme="minorHAnsi"/>
        </w:rPr>
        <w:t>)</w:t>
      </w:r>
      <w:r w:rsidRPr="008F4A30">
        <w:rPr>
          <w:rFonts w:cstheme="minorHAnsi"/>
        </w:rPr>
        <w:tab/>
        <w:t>importance of selecting an appropriate location; and</w:t>
      </w:r>
    </w:p>
    <w:p w14:paraId="73CF6BED" w14:textId="77777777" w:rsidR="008F4A30" w:rsidRPr="008F4A30" w:rsidRDefault="008F4A30" w:rsidP="008A6DA7">
      <w:pPr>
        <w:ind w:left="993" w:hanging="567"/>
        <w:jc w:val="both"/>
        <w:rPr>
          <w:rFonts w:cstheme="minorHAnsi"/>
        </w:rPr>
      </w:pPr>
      <w:r w:rsidRPr="008F4A30">
        <w:rPr>
          <w:rFonts w:cstheme="minorHAnsi"/>
        </w:rPr>
        <w:t>(ii)</w:t>
      </w:r>
      <w:r w:rsidRPr="008F4A30">
        <w:rPr>
          <w:rFonts w:cstheme="minorHAnsi"/>
        </w:rPr>
        <w:tab/>
        <w:t>noise control measures required including barriers and enclosures.</w:t>
      </w:r>
    </w:p>
    <w:p w14:paraId="776C524A" w14:textId="77777777" w:rsidR="008F4A30" w:rsidRPr="008F4A30" w:rsidRDefault="008F4A30" w:rsidP="008A6DA7">
      <w:pPr>
        <w:spacing w:after="0"/>
        <w:jc w:val="both"/>
        <w:rPr>
          <w:rFonts w:cstheme="minorHAnsi"/>
          <w:b/>
        </w:rPr>
      </w:pPr>
      <w:r w:rsidRPr="008F4A30">
        <w:rPr>
          <w:rFonts w:cstheme="minorHAnsi"/>
          <w:b/>
        </w:rPr>
        <w:t>NOTIFICATIONS ON TITLE</w:t>
      </w:r>
    </w:p>
    <w:p w14:paraId="119DD001" w14:textId="77777777" w:rsidR="008F4A30" w:rsidRPr="008F4A30" w:rsidRDefault="008F4A30" w:rsidP="008F4A30">
      <w:pPr>
        <w:tabs>
          <w:tab w:val="right" w:pos="9000"/>
        </w:tabs>
        <w:jc w:val="both"/>
        <w:rPr>
          <w:rFonts w:cstheme="minorHAnsi"/>
        </w:rPr>
      </w:pPr>
      <w:r w:rsidRPr="008F4A30">
        <w:rPr>
          <w:rFonts w:cstheme="minorHAnsi"/>
        </w:rPr>
        <w:t>Notifications on title may be proposed by the Council as a condition of approval for subdivision/development proposals where the area forms part of (or is adjacent to) a current and/or proposed mixed use area or environmental noise source.</w:t>
      </w:r>
    </w:p>
    <w:p w14:paraId="6E417839" w14:textId="77777777" w:rsidR="008F4A30" w:rsidRPr="008F4A30" w:rsidRDefault="008F4A30" w:rsidP="008F4A30">
      <w:pPr>
        <w:tabs>
          <w:tab w:val="right" w:pos="9000"/>
        </w:tabs>
        <w:jc w:val="both"/>
        <w:rPr>
          <w:rFonts w:cstheme="minorHAnsi"/>
        </w:rPr>
      </w:pPr>
      <w:r w:rsidRPr="008F4A30">
        <w:rPr>
          <w:rFonts w:cstheme="minorHAnsi"/>
        </w:rPr>
        <w:t xml:space="preserve">The title notifications are proposed because future resident’s response to noise intrusion into their property can be influenced by their expectations for the environment they are entering. In a </w:t>
      </w:r>
      <w:proofErr w:type="gramStart"/>
      <w:r w:rsidRPr="008F4A30">
        <w:rPr>
          <w:rFonts w:cstheme="minorHAnsi"/>
        </w:rPr>
        <w:t>mixed use</w:t>
      </w:r>
      <w:proofErr w:type="gramEnd"/>
      <w:r w:rsidRPr="008F4A30">
        <w:rPr>
          <w:rFonts w:cstheme="minorHAnsi"/>
        </w:rPr>
        <w:t xml:space="preserve"> environment, the noise levels experienced are generally higher than those within a more traditional suburban environment. At the subdivision and/or development approval stage of any development with a residential component, notifications shall be sought on the title pursuant to section 70A of Transfer </w:t>
      </w:r>
      <w:r w:rsidRPr="008F4A30">
        <w:rPr>
          <w:rFonts w:cstheme="minorHAnsi"/>
        </w:rPr>
        <w:lastRenderedPageBreak/>
        <w:t xml:space="preserve">of Land Act 1893, together with section 165 of the Planning and Development Act 2005 to inform prospective future residents of the likelihood of higher noise levels in the locality. </w:t>
      </w:r>
    </w:p>
    <w:p w14:paraId="60AE15F2" w14:textId="77777777" w:rsidR="008F4A30" w:rsidRPr="008F4A30" w:rsidRDefault="008F4A30" w:rsidP="008F4A30">
      <w:pPr>
        <w:tabs>
          <w:tab w:val="right" w:pos="9000"/>
        </w:tabs>
        <w:spacing w:after="0"/>
        <w:jc w:val="both"/>
        <w:rPr>
          <w:rFonts w:cstheme="minorHAnsi"/>
          <w:b/>
        </w:rPr>
      </w:pPr>
      <w:r w:rsidRPr="008F4A30">
        <w:rPr>
          <w:rFonts w:cstheme="minorHAnsi"/>
          <w:b/>
        </w:rPr>
        <w:t>Sample Conditions of Subdivision and or Development</w:t>
      </w:r>
    </w:p>
    <w:p w14:paraId="118CCCD8" w14:textId="77777777" w:rsidR="008F4A30" w:rsidRPr="008F4A30" w:rsidRDefault="008F4A30" w:rsidP="008F4A30">
      <w:pPr>
        <w:tabs>
          <w:tab w:val="left" w:pos="426"/>
          <w:tab w:val="right" w:pos="9000"/>
        </w:tabs>
        <w:ind w:left="426" w:hanging="426"/>
        <w:jc w:val="both"/>
        <w:rPr>
          <w:rFonts w:cstheme="minorHAnsi"/>
        </w:rPr>
      </w:pPr>
      <w:r w:rsidRPr="008F4A30">
        <w:rPr>
          <w:rFonts w:cstheme="minorHAnsi"/>
        </w:rPr>
        <w:t>1.</w:t>
      </w:r>
      <w:r w:rsidRPr="008F4A30">
        <w:rPr>
          <w:rFonts w:cstheme="minorHAnsi"/>
        </w:rPr>
        <w:tab/>
        <w:t>A Notification under Section 70A of the Transfer of Land Act 1893 must be registered over the Certificate Of Title to the land (the subject of the proposed subdivision/development) prior to works proceeding on site, to notify owners and prospective purchasers of the land, that the land is located in (or adjacent to) an area where non-residential uses may be approved and the land may be affected by activities and noise not normally associated with residential development.</w:t>
      </w:r>
    </w:p>
    <w:p w14:paraId="619B2B78" w14:textId="77777777" w:rsidR="008F4A30" w:rsidRPr="008F4A30" w:rsidRDefault="008F4A30" w:rsidP="008F4A30">
      <w:pPr>
        <w:tabs>
          <w:tab w:val="left" w:pos="426"/>
          <w:tab w:val="right" w:pos="9000"/>
        </w:tabs>
        <w:ind w:left="426" w:hanging="426"/>
        <w:jc w:val="both"/>
        <w:rPr>
          <w:rFonts w:cstheme="minorHAnsi"/>
        </w:rPr>
      </w:pPr>
      <w:r w:rsidRPr="008F4A30">
        <w:rPr>
          <w:rFonts w:cstheme="minorHAnsi"/>
        </w:rPr>
        <w:t>2.</w:t>
      </w:r>
      <w:r w:rsidRPr="008F4A30">
        <w:rPr>
          <w:rFonts w:cstheme="minorHAnsi"/>
        </w:rPr>
        <w:tab/>
        <w:t>The Section 70A Notification shall be prepared to the satisfaction of the Town of East Fremantle and all costs of and incidental to the preparation of and registration of the Section 70A notification including related Council Solicitors’ costs shall be met by the applicant or the owner of the land.</w:t>
      </w:r>
    </w:p>
    <w:p w14:paraId="18DF92DB" w14:textId="77777777" w:rsidR="008F4A30" w:rsidRPr="008F4A30" w:rsidRDefault="008F4A30" w:rsidP="008F4A30">
      <w:pPr>
        <w:jc w:val="both"/>
        <w:rPr>
          <w:rFonts w:cstheme="minorHAnsi"/>
          <w:lang w:val="en-US"/>
        </w:rPr>
      </w:pPr>
    </w:p>
    <w:tbl>
      <w:tblPr>
        <w:tblStyle w:val="TableGrid"/>
        <w:tblW w:w="0" w:type="auto"/>
        <w:tblLook w:val="04A0" w:firstRow="1" w:lastRow="0" w:firstColumn="1" w:lastColumn="0" w:noHBand="0" w:noVBand="1"/>
      </w:tblPr>
      <w:tblGrid>
        <w:gridCol w:w="3076"/>
        <w:gridCol w:w="6106"/>
      </w:tblGrid>
      <w:tr w:rsidR="008F4A30" w:rsidRPr="008F4A30" w14:paraId="4C056C17" w14:textId="77777777" w:rsidTr="008F4A30">
        <w:tc>
          <w:tcPr>
            <w:tcW w:w="3085" w:type="dxa"/>
          </w:tcPr>
          <w:p w14:paraId="5411A37D" w14:textId="77777777" w:rsidR="008F4A30" w:rsidRPr="008F4A30" w:rsidRDefault="008F4A30" w:rsidP="008F4A30">
            <w:pPr>
              <w:jc w:val="both"/>
              <w:rPr>
                <w:rFonts w:cstheme="minorHAnsi"/>
                <w:b/>
                <w:lang w:val="en-US"/>
              </w:rPr>
            </w:pPr>
            <w:r w:rsidRPr="008F4A30">
              <w:rPr>
                <w:rFonts w:cstheme="minorHAnsi"/>
                <w:b/>
                <w:lang w:val="en-US"/>
              </w:rPr>
              <w:t>Responsible Directorate:</w:t>
            </w:r>
          </w:p>
        </w:tc>
        <w:tc>
          <w:tcPr>
            <w:tcW w:w="6157" w:type="dxa"/>
          </w:tcPr>
          <w:p w14:paraId="43B9DAA3" w14:textId="77777777" w:rsidR="008F4A30" w:rsidRPr="008F4A30" w:rsidRDefault="008A6DA7" w:rsidP="008F4A30">
            <w:pPr>
              <w:jc w:val="both"/>
              <w:rPr>
                <w:rFonts w:cstheme="minorHAnsi"/>
                <w:lang w:val="en-US"/>
              </w:rPr>
            </w:pPr>
            <w:r>
              <w:rPr>
                <w:rFonts w:cstheme="minorHAnsi"/>
                <w:lang w:val="en-US"/>
              </w:rPr>
              <w:t>Regulatory</w:t>
            </w:r>
            <w:r w:rsidR="008F4A30" w:rsidRPr="008F4A30">
              <w:rPr>
                <w:rFonts w:cstheme="minorHAnsi"/>
                <w:lang w:val="en-US"/>
              </w:rPr>
              <w:t xml:space="preserve"> Services</w:t>
            </w:r>
          </w:p>
        </w:tc>
      </w:tr>
      <w:tr w:rsidR="008F4A30" w:rsidRPr="008F4A30" w14:paraId="4CD355CB" w14:textId="77777777" w:rsidTr="008F4A30">
        <w:tc>
          <w:tcPr>
            <w:tcW w:w="3085" w:type="dxa"/>
          </w:tcPr>
          <w:p w14:paraId="07109623" w14:textId="77777777" w:rsidR="008F4A30" w:rsidRPr="008F4A30" w:rsidRDefault="008F4A30" w:rsidP="008F4A30">
            <w:pPr>
              <w:jc w:val="both"/>
              <w:rPr>
                <w:rFonts w:cstheme="minorHAnsi"/>
                <w:b/>
                <w:lang w:val="en-US"/>
              </w:rPr>
            </w:pPr>
            <w:r w:rsidRPr="008F4A30">
              <w:rPr>
                <w:rFonts w:cstheme="minorHAnsi"/>
                <w:b/>
                <w:lang w:val="en-US"/>
              </w:rPr>
              <w:t>Reviewing Officer:</w:t>
            </w:r>
          </w:p>
        </w:tc>
        <w:tc>
          <w:tcPr>
            <w:tcW w:w="6157" w:type="dxa"/>
          </w:tcPr>
          <w:p w14:paraId="225C5FC9" w14:textId="77777777" w:rsidR="008F4A30" w:rsidRPr="008F4A30" w:rsidRDefault="008A6DA7" w:rsidP="008A6DA7">
            <w:pPr>
              <w:jc w:val="both"/>
              <w:rPr>
                <w:rFonts w:cstheme="minorHAnsi"/>
                <w:lang w:val="en-US"/>
              </w:rPr>
            </w:pPr>
            <w:r>
              <w:rPr>
                <w:rFonts w:cstheme="minorHAnsi"/>
                <w:lang w:val="en-US"/>
              </w:rPr>
              <w:t xml:space="preserve">Executive </w:t>
            </w:r>
            <w:r w:rsidR="008F4A30" w:rsidRPr="008F4A30">
              <w:rPr>
                <w:rFonts w:cstheme="minorHAnsi"/>
                <w:lang w:val="en-US"/>
              </w:rPr>
              <w:t xml:space="preserve">Manager </w:t>
            </w:r>
            <w:r>
              <w:rPr>
                <w:rFonts w:cstheme="minorHAnsi"/>
                <w:lang w:val="en-US"/>
              </w:rPr>
              <w:t>Regulatory</w:t>
            </w:r>
            <w:r w:rsidR="008F4A30" w:rsidRPr="008F4A30">
              <w:rPr>
                <w:rFonts w:cstheme="minorHAnsi"/>
                <w:lang w:val="en-US"/>
              </w:rPr>
              <w:t xml:space="preserve"> Services</w:t>
            </w:r>
          </w:p>
        </w:tc>
      </w:tr>
      <w:tr w:rsidR="008F4A30" w:rsidRPr="008F4A30" w14:paraId="69F75FE4" w14:textId="77777777" w:rsidTr="008F4A30">
        <w:tc>
          <w:tcPr>
            <w:tcW w:w="3085" w:type="dxa"/>
          </w:tcPr>
          <w:p w14:paraId="628F3A4A" w14:textId="77777777" w:rsidR="008F4A30" w:rsidRPr="008F4A30" w:rsidRDefault="008F4A30" w:rsidP="008F4A30">
            <w:pPr>
              <w:jc w:val="both"/>
              <w:rPr>
                <w:rFonts w:cstheme="minorHAnsi"/>
                <w:b/>
                <w:lang w:val="en-US"/>
              </w:rPr>
            </w:pPr>
            <w:r w:rsidRPr="008F4A30">
              <w:rPr>
                <w:rFonts w:cstheme="minorHAnsi"/>
                <w:b/>
                <w:lang w:val="en-US"/>
              </w:rPr>
              <w:t>Decision making Authority:</w:t>
            </w:r>
          </w:p>
        </w:tc>
        <w:tc>
          <w:tcPr>
            <w:tcW w:w="6157" w:type="dxa"/>
          </w:tcPr>
          <w:p w14:paraId="2BBC1827" w14:textId="77777777" w:rsidR="008F4A30" w:rsidRPr="008F4A30" w:rsidRDefault="008F4A30" w:rsidP="008F4A30">
            <w:pPr>
              <w:jc w:val="both"/>
              <w:rPr>
                <w:rFonts w:cstheme="minorHAnsi"/>
                <w:lang w:val="en-US"/>
              </w:rPr>
            </w:pPr>
            <w:r w:rsidRPr="008F4A30">
              <w:rPr>
                <w:rFonts w:cstheme="minorHAnsi"/>
                <w:lang w:val="en-US"/>
              </w:rPr>
              <w:t>Council</w:t>
            </w:r>
          </w:p>
        </w:tc>
      </w:tr>
      <w:tr w:rsidR="008F4A30" w:rsidRPr="008F4A30" w14:paraId="6D3B9243" w14:textId="77777777" w:rsidTr="008F4A30">
        <w:tc>
          <w:tcPr>
            <w:tcW w:w="3085" w:type="dxa"/>
          </w:tcPr>
          <w:p w14:paraId="522691DB" w14:textId="77777777" w:rsidR="008F4A30" w:rsidRPr="008F4A30" w:rsidRDefault="008F4A30" w:rsidP="008F4A30">
            <w:pPr>
              <w:jc w:val="both"/>
              <w:rPr>
                <w:rFonts w:cstheme="minorHAnsi"/>
                <w:b/>
                <w:lang w:val="en-US"/>
              </w:rPr>
            </w:pPr>
            <w:r w:rsidRPr="008F4A30">
              <w:rPr>
                <w:rFonts w:cstheme="minorHAnsi"/>
                <w:b/>
                <w:lang w:val="en-US"/>
              </w:rPr>
              <w:t>Policy Adopted:</w:t>
            </w:r>
          </w:p>
        </w:tc>
        <w:tc>
          <w:tcPr>
            <w:tcW w:w="6157" w:type="dxa"/>
          </w:tcPr>
          <w:p w14:paraId="2CB66B35" w14:textId="77777777" w:rsidR="008F4A30" w:rsidRPr="008F4A30" w:rsidRDefault="008F4A30" w:rsidP="008F4A30">
            <w:pPr>
              <w:jc w:val="both"/>
              <w:rPr>
                <w:rFonts w:cstheme="minorHAnsi"/>
                <w:lang w:val="en-US"/>
              </w:rPr>
            </w:pPr>
            <w:r w:rsidRPr="008F4A30">
              <w:rPr>
                <w:rFonts w:cstheme="minorHAnsi"/>
                <w:lang w:val="en-US"/>
              </w:rPr>
              <w:t>15/2/11</w:t>
            </w:r>
          </w:p>
        </w:tc>
      </w:tr>
      <w:tr w:rsidR="008F4A30" w:rsidRPr="008F4A30" w14:paraId="4E36AD97" w14:textId="77777777" w:rsidTr="008F4A30">
        <w:tc>
          <w:tcPr>
            <w:tcW w:w="3085" w:type="dxa"/>
          </w:tcPr>
          <w:p w14:paraId="21671585" w14:textId="77777777" w:rsidR="008F4A30" w:rsidRPr="008F4A30" w:rsidRDefault="008F4A30" w:rsidP="008F4A30">
            <w:pPr>
              <w:jc w:val="both"/>
              <w:rPr>
                <w:rFonts w:cstheme="minorHAnsi"/>
                <w:b/>
                <w:lang w:val="en-US"/>
              </w:rPr>
            </w:pPr>
            <w:r w:rsidRPr="008F4A30">
              <w:rPr>
                <w:rFonts w:cstheme="minorHAnsi"/>
                <w:b/>
                <w:lang w:val="en-US"/>
              </w:rPr>
              <w:t>Policy Amended/Reviewed:</w:t>
            </w:r>
          </w:p>
        </w:tc>
        <w:tc>
          <w:tcPr>
            <w:tcW w:w="6157" w:type="dxa"/>
          </w:tcPr>
          <w:p w14:paraId="0AB1487E" w14:textId="77777777" w:rsidR="008F4A30" w:rsidRPr="008F4A30" w:rsidRDefault="008F4A30" w:rsidP="008F4A30">
            <w:pPr>
              <w:jc w:val="both"/>
              <w:rPr>
                <w:rFonts w:cstheme="minorHAnsi"/>
                <w:lang w:val="en-US"/>
              </w:rPr>
            </w:pPr>
            <w:r w:rsidRPr="008F4A30">
              <w:rPr>
                <w:rFonts w:cstheme="minorHAnsi"/>
                <w:lang w:val="en-US"/>
              </w:rPr>
              <w:t>20/7/15</w:t>
            </w:r>
            <w:r w:rsidR="00160E4C">
              <w:rPr>
                <w:rFonts w:cstheme="minorHAnsi"/>
                <w:lang w:val="en-US"/>
              </w:rPr>
              <w:t>, 17/9/19</w:t>
            </w:r>
          </w:p>
        </w:tc>
      </w:tr>
      <w:tr w:rsidR="008F4A30" w:rsidRPr="008F4A30" w14:paraId="6B8B7378" w14:textId="77777777" w:rsidTr="008F4A30">
        <w:tc>
          <w:tcPr>
            <w:tcW w:w="3085" w:type="dxa"/>
          </w:tcPr>
          <w:p w14:paraId="22AE4CF4" w14:textId="77777777" w:rsidR="008F4A30" w:rsidRPr="008F4A30" w:rsidRDefault="008A6DA7" w:rsidP="008F4A30">
            <w:pPr>
              <w:jc w:val="both"/>
              <w:rPr>
                <w:rFonts w:cstheme="minorHAnsi"/>
                <w:b/>
                <w:lang w:val="en-US"/>
              </w:rPr>
            </w:pPr>
            <w:r>
              <w:rPr>
                <w:rFonts w:cstheme="minorHAnsi"/>
                <w:b/>
                <w:lang w:val="en-US"/>
              </w:rPr>
              <w:t>Former Policy No:</w:t>
            </w:r>
          </w:p>
        </w:tc>
        <w:tc>
          <w:tcPr>
            <w:tcW w:w="6157" w:type="dxa"/>
          </w:tcPr>
          <w:p w14:paraId="13CAF0FA" w14:textId="77777777" w:rsidR="008F4A30" w:rsidRPr="008F4A30" w:rsidRDefault="008A6DA7" w:rsidP="008F4A30">
            <w:pPr>
              <w:jc w:val="both"/>
              <w:rPr>
                <w:rFonts w:cstheme="minorHAnsi"/>
                <w:lang w:val="en-US"/>
              </w:rPr>
            </w:pPr>
            <w:r>
              <w:rPr>
                <w:rFonts w:cstheme="minorHAnsi"/>
                <w:lang w:val="en-US"/>
              </w:rPr>
              <w:t>3.1.2</w:t>
            </w:r>
          </w:p>
        </w:tc>
      </w:tr>
    </w:tbl>
    <w:p w14:paraId="5FD9BBD3" w14:textId="31213AC1" w:rsidR="008F4A30" w:rsidRDefault="008F4A30" w:rsidP="008F4A30">
      <w:pPr>
        <w:jc w:val="both"/>
        <w:rPr>
          <w:rFonts w:cstheme="minorHAnsi"/>
          <w:lang w:val="en-US"/>
        </w:rPr>
      </w:pPr>
    </w:p>
    <w:p w14:paraId="62D7CFB5" w14:textId="0C484B8B" w:rsidR="00A27277" w:rsidRDefault="00A27277" w:rsidP="008F4A30">
      <w:pPr>
        <w:jc w:val="both"/>
        <w:rPr>
          <w:rFonts w:cstheme="minorHAnsi"/>
          <w:lang w:val="en-US"/>
        </w:rPr>
      </w:pPr>
    </w:p>
    <w:p w14:paraId="4C86BF7B" w14:textId="686C9D0F" w:rsidR="00A27277" w:rsidRDefault="00A27277">
      <w:pPr>
        <w:rPr>
          <w:rFonts w:cstheme="minorHAnsi"/>
          <w:lang w:val="en-US"/>
        </w:rPr>
      </w:pPr>
      <w:r>
        <w:rPr>
          <w:rFonts w:cstheme="minorHAnsi"/>
          <w:lang w:val="en-US"/>
        </w:rPr>
        <w:br w:type="page"/>
      </w:r>
    </w:p>
    <w:p w14:paraId="01AD5231" w14:textId="77777777" w:rsidR="00A27277" w:rsidRPr="009F5ABD" w:rsidRDefault="00A27277" w:rsidP="00A27277">
      <w:pPr>
        <w:pStyle w:val="Title"/>
        <w:pBdr>
          <w:bottom w:val="none" w:sz="0" w:space="0" w:color="auto"/>
        </w:pBdr>
        <w:spacing w:after="240"/>
        <w:jc w:val="right"/>
        <w:rPr>
          <w:rFonts w:asciiTheme="minorHAnsi" w:hAnsiTheme="minorHAnsi" w:cstheme="minorHAnsi"/>
          <w:b/>
          <w:sz w:val="22"/>
          <w:szCs w:val="22"/>
          <w:lang w:val="en-US"/>
        </w:rPr>
      </w:pPr>
      <w:r w:rsidRPr="009F5ABD">
        <w:rPr>
          <w:rFonts w:asciiTheme="minorHAnsi" w:hAnsiTheme="minorHAnsi" w:cstheme="minorHAnsi"/>
          <w:b/>
          <w:sz w:val="22"/>
          <w:szCs w:val="22"/>
          <w:lang w:val="en-US"/>
        </w:rPr>
        <w:lastRenderedPageBreak/>
        <w:t xml:space="preserve">  </w:t>
      </w:r>
      <w:r>
        <w:rPr>
          <w:noProof/>
        </w:rPr>
        <w:drawing>
          <wp:inline distT="0" distB="0" distL="0" distR="0" wp14:anchorId="184F15E3" wp14:editId="2D07703F">
            <wp:extent cx="1569085" cy="63052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99821" cy="642871"/>
                    </a:xfrm>
                    <a:prstGeom prst="rect">
                      <a:avLst/>
                    </a:prstGeom>
                    <a:noFill/>
                    <a:ln>
                      <a:noFill/>
                    </a:ln>
                  </pic:spPr>
                </pic:pic>
              </a:graphicData>
            </a:graphic>
          </wp:inline>
        </w:drawing>
      </w:r>
    </w:p>
    <w:p w14:paraId="7136CE15" w14:textId="77777777" w:rsidR="00A27277" w:rsidRPr="008B6410" w:rsidRDefault="00A27277" w:rsidP="00A27277">
      <w:pPr>
        <w:pStyle w:val="Title"/>
        <w:pBdr>
          <w:bottom w:val="none" w:sz="0" w:space="0" w:color="auto"/>
        </w:pBdr>
        <w:spacing w:after="240"/>
        <w:jc w:val="right"/>
        <w:rPr>
          <w:rFonts w:asciiTheme="minorHAnsi" w:hAnsiTheme="minorHAnsi" w:cstheme="minorHAnsi"/>
          <w:b/>
          <w:sz w:val="28"/>
          <w:szCs w:val="28"/>
          <w:lang w:val="en-US"/>
        </w:rPr>
      </w:pPr>
    </w:p>
    <w:p w14:paraId="5E8CE2E2" w14:textId="77777777" w:rsidR="00A27277" w:rsidRPr="00FD55D7" w:rsidRDefault="00A27277" w:rsidP="00FD55D7">
      <w:pPr>
        <w:pStyle w:val="Policy3"/>
      </w:pPr>
      <w:bookmarkStart w:id="572" w:name="_Toc216866726"/>
      <w:r w:rsidRPr="00FD55D7">
        <w:t>3.2.3</w:t>
      </w:r>
      <w:r w:rsidRPr="00FD55D7">
        <w:tab/>
        <w:t>Waterwise Pool &amp; Spa Cover Policy</w:t>
      </w:r>
      <w:bookmarkEnd w:id="572"/>
    </w:p>
    <w:tbl>
      <w:tblPr>
        <w:tblStyle w:val="TableGrid"/>
        <w:tblW w:w="0" w:type="auto"/>
        <w:tblLook w:val="04A0" w:firstRow="1" w:lastRow="0" w:firstColumn="1" w:lastColumn="0" w:noHBand="0" w:noVBand="1"/>
      </w:tblPr>
      <w:tblGrid>
        <w:gridCol w:w="3068"/>
        <w:gridCol w:w="6114"/>
      </w:tblGrid>
      <w:tr w:rsidR="00A27277" w:rsidRPr="008B6410" w14:paraId="42AEA190" w14:textId="77777777" w:rsidTr="007E0F07">
        <w:tc>
          <w:tcPr>
            <w:tcW w:w="3085" w:type="dxa"/>
          </w:tcPr>
          <w:p w14:paraId="5DE8CE31" w14:textId="77777777" w:rsidR="00A27277" w:rsidRPr="008B6410" w:rsidRDefault="00A27277" w:rsidP="007E0F07">
            <w:pPr>
              <w:rPr>
                <w:rFonts w:cstheme="minorHAnsi"/>
                <w:b/>
                <w:lang w:val="en-US"/>
              </w:rPr>
            </w:pPr>
            <w:r w:rsidRPr="008B6410">
              <w:rPr>
                <w:rFonts w:cstheme="minorHAnsi"/>
                <w:b/>
                <w:lang w:val="en-US"/>
              </w:rPr>
              <w:t>Type:</w:t>
            </w:r>
          </w:p>
        </w:tc>
        <w:tc>
          <w:tcPr>
            <w:tcW w:w="6157" w:type="dxa"/>
          </w:tcPr>
          <w:p w14:paraId="473B22B0" w14:textId="77777777" w:rsidR="00A27277" w:rsidRPr="008B6410" w:rsidRDefault="00A27277" w:rsidP="007E0F07">
            <w:pPr>
              <w:rPr>
                <w:rFonts w:cstheme="minorHAnsi"/>
                <w:lang w:val="en-US"/>
              </w:rPr>
            </w:pPr>
            <w:r>
              <w:rPr>
                <w:rFonts w:cstheme="minorHAnsi"/>
                <w:lang w:val="en-US"/>
              </w:rPr>
              <w:t>Planning – Environmental Health</w:t>
            </w:r>
          </w:p>
        </w:tc>
      </w:tr>
      <w:tr w:rsidR="00A27277" w:rsidRPr="008B6410" w14:paraId="06E83BCD" w14:textId="77777777" w:rsidTr="007E0F07">
        <w:trPr>
          <w:trHeight w:val="335"/>
        </w:trPr>
        <w:tc>
          <w:tcPr>
            <w:tcW w:w="3085" w:type="dxa"/>
          </w:tcPr>
          <w:p w14:paraId="4078F32B" w14:textId="77777777" w:rsidR="00A27277" w:rsidRPr="008B6410" w:rsidRDefault="00A27277" w:rsidP="007E0F07">
            <w:pPr>
              <w:rPr>
                <w:rFonts w:cstheme="minorHAnsi"/>
                <w:b/>
                <w:lang w:val="en-US"/>
              </w:rPr>
            </w:pPr>
            <w:r w:rsidRPr="008B6410">
              <w:rPr>
                <w:rFonts w:cstheme="minorHAnsi"/>
                <w:b/>
                <w:lang w:val="en-US"/>
              </w:rPr>
              <w:t>Legislation:</w:t>
            </w:r>
          </w:p>
        </w:tc>
        <w:tc>
          <w:tcPr>
            <w:tcW w:w="6157" w:type="dxa"/>
          </w:tcPr>
          <w:p w14:paraId="7B159B00" w14:textId="77777777" w:rsidR="00A27277" w:rsidRPr="008B6410" w:rsidRDefault="00A27277" w:rsidP="007E0F07">
            <w:pPr>
              <w:rPr>
                <w:rFonts w:cstheme="minorHAnsi"/>
                <w:lang w:val="en-US"/>
              </w:rPr>
            </w:pPr>
            <w:r w:rsidRPr="008B6410">
              <w:rPr>
                <w:rFonts w:cstheme="minorHAnsi"/>
              </w:rPr>
              <w:t>National Construction Code 2016 (NCC) Western Australian additions (WA Part 2.3.2 Acceptable Construction Practice)</w:t>
            </w:r>
          </w:p>
        </w:tc>
      </w:tr>
      <w:tr w:rsidR="00A27277" w:rsidRPr="008B6410" w14:paraId="583E4319" w14:textId="77777777" w:rsidTr="007E0F07">
        <w:tc>
          <w:tcPr>
            <w:tcW w:w="3085" w:type="dxa"/>
          </w:tcPr>
          <w:p w14:paraId="164AD110" w14:textId="77777777" w:rsidR="00A27277" w:rsidRPr="008B6410" w:rsidRDefault="00A27277" w:rsidP="007E0F07">
            <w:pPr>
              <w:rPr>
                <w:rFonts w:cstheme="minorHAnsi"/>
                <w:b/>
                <w:lang w:val="en-US"/>
              </w:rPr>
            </w:pPr>
            <w:r w:rsidRPr="008B6410">
              <w:rPr>
                <w:rFonts w:cstheme="minorHAnsi"/>
                <w:b/>
                <w:lang w:val="en-US"/>
              </w:rPr>
              <w:t xml:space="preserve">Delegation: </w:t>
            </w:r>
          </w:p>
        </w:tc>
        <w:tc>
          <w:tcPr>
            <w:tcW w:w="6157" w:type="dxa"/>
          </w:tcPr>
          <w:p w14:paraId="4F42FF05" w14:textId="77777777" w:rsidR="00A27277" w:rsidRPr="008B6410" w:rsidRDefault="00A27277" w:rsidP="007E0F07">
            <w:pPr>
              <w:rPr>
                <w:rFonts w:cstheme="minorHAnsi"/>
                <w:lang w:val="en-US"/>
              </w:rPr>
            </w:pPr>
          </w:p>
        </w:tc>
      </w:tr>
      <w:tr w:rsidR="00A27277" w:rsidRPr="008B6410" w14:paraId="28E29C52" w14:textId="77777777" w:rsidTr="007E0F07">
        <w:tc>
          <w:tcPr>
            <w:tcW w:w="3085" w:type="dxa"/>
          </w:tcPr>
          <w:p w14:paraId="67A0FF94" w14:textId="77777777" w:rsidR="00A27277" w:rsidRPr="008B6410" w:rsidRDefault="00A27277" w:rsidP="007E0F07">
            <w:pPr>
              <w:rPr>
                <w:rFonts w:cstheme="minorHAnsi"/>
                <w:b/>
                <w:lang w:val="en-US"/>
              </w:rPr>
            </w:pPr>
            <w:r w:rsidRPr="008B6410">
              <w:rPr>
                <w:rFonts w:cstheme="minorHAnsi"/>
                <w:b/>
                <w:lang w:val="en-US"/>
              </w:rPr>
              <w:t>Other Related Document:</w:t>
            </w:r>
          </w:p>
        </w:tc>
        <w:tc>
          <w:tcPr>
            <w:tcW w:w="6157" w:type="dxa"/>
          </w:tcPr>
          <w:p w14:paraId="2679C761" w14:textId="77777777" w:rsidR="00A27277" w:rsidRPr="00BC2340" w:rsidRDefault="00A27277" w:rsidP="007E0F07">
            <w:pPr>
              <w:rPr>
                <w:rFonts w:cstheme="minorHAnsi"/>
                <w:color w:val="FF0000"/>
                <w:lang w:val="en-US"/>
              </w:rPr>
            </w:pPr>
            <w:r w:rsidRPr="001F10DC">
              <w:rPr>
                <w:rFonts w:cstheme="minorHAnsi"/>
                <w:lang w:val="en-US"/>
              </w:rPr>
              <w:t>Swimming Pool/Spa Inspection Report 2020</w:t>
            </w:r>
          </w:p>
        </w:tc>
      </w:tr>
    </w:tbl>
    <w:p w14:paraId="1893C597" w14:textId="77777777" w:rsidR="00A27277" w:rsidRPr="00962F17" w:rsidRDefault="00A27277" w:rsidP="00FD55D7">
      <w:pPr>
        <w:pStyle w:val="Heading1"/>
        <w:spacing w:before="240"/>
        <w:rPr>
          <w:rFonts w:asciiTheme="minorHAnsi" w:hAnsiTheme="minorHAnsi" w:cstheme="minorHAnsi"/>
          <w:color w:val="auto"/>
          <w:lang w:val="en-US"/>
        </w:rPr>
      </w:pPr>
      <w:r w:rsidRPr="00962F17">
        <w:rPr>
          <w:rFonts w:asciiTheme="minorHAnsi" w:hAnsiTheme="minorHAnsi" w:cstheme="minorHAnsi"/>
          <w:color w:val="auto"/>
          <w:lang w:val="en-US"/>
        </w:rPr>
        <w:t xml:space="preserve">Objective </w:t>
      </w:r>
    </w:p>
    <w:p w14:paraId="780FF67D" w14:textId="77777777" w:rsidR="00A27277" w:rsidRDefault="00A27277" w:rsidP="00A27277">
      <w:pPr>
        <w:spacing w:line="240" w:lineRule="auto"/>
        <w:jc w:val="both"/>
        <w:rPr>
          <w:rFonts w:cstheme="minorHAnsi"/>
          <w:lang w:val="en-US"/>
        </w:rPr>
      </w:pPr>
      <w:r>
        <w:rPr>
          <w:rFonts w:cstheme="minorHAnsi"/>
          <w:lang w:val="en-US"/>
        </w:rPr>
        <w:t>T</w:t>
      </w:r>
      <w:r w:rsidRPr="008B6410">
        <w:rPr>
          <w:rFonts w:cstheme="minorHAnsi"/>
          <w:lang w:val="en-US"/>
        </w:rPr>
        <w:t xml:space="preserve">o </w:t>
      </w:r>
      <w:r>
        <w:rPr>
          <w:rFonts w:cstheme="minorHAnsi"/>
          <w:lang w:val="en-US"/>
        </w:rPr>
        <w:t>emphasize</w:t>
      </w:r>
      <w:r w:rsidRPr="008B6410">
        <w:rPr>
          <w:rFonts w:cstheme="minorHAnsi"/>
          <w:lang w:val="en-US"/>
        </w:rPr>
        <w:t xml:space="preserve"> the Town of East Fremantle’s </w:t>
      </w:r>
      <w:r>
        <w:rPr>
          <w:rFonts w:cstheme="minorHAnsi"/>
          <w:lang w:val="en-US"/>
        </w:rPr>
        <w:t xml:space="preserve">commitment to environmental sustainability over each aspect of the Town’s service areas. </w:t>
      </w:r>
    </w:p>
    <w:p w14:paraId="177001F0" w14:textId="77777777" w:rsidR="00A27277" w:rsidRPr="00AA6E2D" w:rsidRDefault="00A27277" w:rsidP="00A27277">
      <w:pPr>
        <w:spacing w:line="240" w:lineRule="auto"/>
        <w:jc w:val="both"/>
        <w:rPr>
          <w:rFonts w:cstheme="minorHAnsi"/>
          <w:lang w:val="en-US"/>
        </w:rPr>
      </w:pPr>
      <w:r>
        <w:rPr>
          <w:rFonts w:cstheme="minorHAnsi"/>
          <w:lang w:val="en-US"/>
        </w:rPr>
        <w:t xml:space="preserve">The aim of this policy is to </w:t>
      </w:r>
      <w:r w:rsidRPr="008B6410">
        <w:rPr>
          <w:rFonts w:cstheme="minorHAnsi"/>
          <w:lang w:val="en-US"/>
        </w:rPr>
        <w:t>reduc</w:t>
      </w:r>
      <w:r>
        <w:rPr>
          <w:rFonts w:cstheme="minorHAnsi"/>
          <w:lang w:val="en-US"/>
        </w:rPr>
        <w:t>e future water consumption and</w:t>
      </w:r>
      <w:r w:rsidRPr="008B6410">
        <w:rPr>
          <w:rFonts w:cstheme="minorHAnsi"/>
          <w:lang w:val="en-US"/>
        </w:rPr>
        <w:t xml:space="preserve"> evaporation</w:t>
      </w:r>
      <w:r>
        <w:rPr>
          <w:rFonts w:cstheme="minorHAnsi"/>
          <w:lang w:val="en-US"/>
        </w:rPr>
        <w:t xml:space="preserve"> in the Town of East Fremantle</w:t>
      </w:r>
      <w:r w:rsidRPr="001F10DC">
        <w:rPr>
          <w:rFonts w:cstheme="minorHAnsi"/>
          <w:lang w:val="en-US"/>
        </w:rPr>
        <w:t xml:space="preserve"> </w:t>
      </w:r>
      <w:r>
        <w:rPr>
          <w:rFonts w:cstheme="minorHAnsi"/>
          <w:lang w:val="en-US"/>
        </w:rPr>
        <w:t xml:space="preserve">by enforcing the use of </w:t>
      </w:r>
      <w:r w:rsidRPr="008B6410">
        <w:rPr>
          <w:rFonts w:cstheme="minorHAnsi"/>
          <w:lang w:val="en-US"/>
        </w:rPr>
        <w:t xml:space="preserve">pool </w:t>
      </w:r>
      <w:r>
        <w:rPr>
          <w:rFonts w:cstheme="minorHAnsi"/>
          <w:lang w:val="en-US"/>
        </w:rPr>
        <w:t xml:space="preserve">and spa </w:t>
      </w:r>
      <w:r w:rsidRPr="008B6410">
        <w:rPr>
          <w:rFonts w:cstheme="minorHAnsi"/>
          <w:lang w:val="en-US"/>
        </w:rPr>
        <w:t>covers/blankets in</w:t>
      </w:r>
      <w:r>
        <w:rPr>
          <w:rFonts w:cstheme="minorHAnsi"/>
          <w:lang w:val="en-US"/>
        </w:rPr>
        <w:t xml:space="preserve"> residential properties. </w:t>
      </w:r>
      <w:bookmarkStart w:id="573" w:name="_Hlk52372765"/>
      <w:r w:rsidRPr="008B6410">
        <w:rPr>
          <w:rFonts w:cstheme="minorHAnsi"/>
          <w:lang w:val="en-US"/>
        </w:rPr>
        <w:t>In accordance with the National Construction Code</w:t>
      </w:r>
      <w:r>
        <w:rPr>
          <w:rFonts w:cstheme="minorHAnsi"/>
          <w:lang w:val="en-US"/>
        </w:rPr>
        <w:t>,</w:t>
      </w:r>
      <w:r w:rsidRPr="008B6410">
        <w:rPr>
          <w:rFonts w:cstheme="minorHAnsi"/>
          <w:lang w:val="en-US"/>
        </w:rPr>
        <w:t xml:space="preserve"> the Town</w:t>
      </w:r>
      <w:r>
        <w:rPr>
          <w:rFonts w:cstheme="minorHAnsi"/>
          <w:lang w:val="en-US"/>
        </w:rPr>
        <w:t xml:space="preserve"> of East Fremantle</w:t>
      </w:r>
      <w:r w:rsidRPr="008B6410">
        <w:rPr>
          <w:rFonts w:cstheme="minorHAnsi"/>
          <w:lang w:val="en-US"/>
        </w:rPr>
        <w:t xml:space="preserve"> will require that all </w:t>
      </w:r>
      <w:r>
        <w:rPr>
          <w:rFonts w:cstheme="minorHAnsi"/>
          <w:lang w:val="en-US"/>
        </w:rPr>
        <w:t xml:space="preserve">future </w:t>
      </w:r>
      <w:r w:rsidRPr="00CD29D4">
        <w:rPr>
          <w:rFonts w:eastAsia="Calibri" w:cstheme="minorHAnsi"/>
        </w:rPr>
        <w:t>outdoor swimming pool</w:t>
      </w:r>
      <w:r>
        <w:rPr>
          <w:rFonts w:eastAsia="Calibri" w:cstheme="minorHAnsi"/>
        </w:rPr>
        <w:t>s</w:t>
      </w:r>
      <w:r w:rsidRPr="00CD29D4">
        <w:rPr>
          <w:rFonts w:eastAsia="Calibri" w:cstheme="minorHAnsi"/>
        </w:rPr>
        <w:t xml:space="preserve"> associated with a Class 1 </w:t>
      </w:r>
      <w:r>
        <w:rPr>
          <w:rFonts w:eastAsia="Calibri" w:cstheme="minorHAnsi"/>
        </w:rPr>
        <w:t>and</w:t>
      </w:r>
      <w:r w:rsidRPr="006F0963">
        <w:rPr>
          <w:rFonts w:eastAsia="Calibri" w:cstheme="minorHAnsi"/>
        </w:rPr>
        <w:t xml:space="preserve"> </w:t>
      </w:r>
      <w:r>
        <w:rPr>
          <w:rFonts w:eastAsia="Calibri" w:cstheme="minorHAnsi"/>
        </w:rPr>
        <w:t xml:space="preserve">Class 2 </w:t>
      </w:r>
      <w:r w:rsidRPr="00CD29D4">
        <w:rPr>
          <w:rFonts w:eastAsia="Calibri" w:cstheme="minorHAnsi"/>
        </w:rPr>
        <w:t>building</w:t>
      </w:r>
      <w:r w:rsidRPr="008B6410">
        <w:rPr>
          <w:rFonts w:eastAsia="Calibri" w:cstheme="minorHAnsi"/>
        </w:rPr>
        <w:t xml:space="preserve"> </w:t>
      </w:r>
      <w:r>
        <w:rPr>
          <w:rFonts w:eastAsia="Calibri" w:cstheme="minorHAnsi"/>
        </w:rPr>
        <w:t>to be fitted with an appropriate pool/spa cover</w:t>
      </w:r>
      <w:r w:rsidRPr="008B6410">
        <w:rPr>
          <w:rFonts w:eastAsia="Calibri" w:cstheme="minorHAnsi"/>
        </w:rPr>
        <w:t xml:space="preserve">. </w:t>
      </w:r>
      <w:bookmarkEnd w:id="573"/>
      <w:r w:rsidRPr="008B6410">
        <w:rPr>
          <w:rFonts w:eastAsia="Calibri" w:cstheme="minorHAnsi"/>
        </w:rPr>
        <w:t>This policy will</w:t>
      </w:r>
      <w:r>
        <w:rPr>
          <w:rFonts w:eastAsia="Calibri" w:cstheme="minorHAnsi"/>
        </w:rPr>
        <w:t xml:space="preserve"> infer a new condition to the Town’s building permit application noting the requirement of a cover/blanket on all Class 1 and Class 2 Swimming pools.   </w:t>
      </w:r>
    </w:p>
    <w:p w14:paraId="3F0716A6" w14:textId="77777777" w:rsidR="00A27277" w:rsidRPr="00962F17" w:rsidRDefault="00A27277" w:rsidP="00A27277">
      <w:pPr>
        <w:spacing w:after="0"/>
        <w:rPr>
          <w:rFonts w:cstheme="minorHAnsi"/>
          <w:b/>
          <w:sz w:val="28"/>
          <w:szCs w:val="28"/>
          <w:lang w:val="en-US"/>
        </w:rPr>
      </w:pPr>
      <w:r w:rsidRPr="00962F17">
        <w:rPr>
          <w:rFonts w:cstheme="minorHAnsi"/>
          <w:b/>
          <w:sz w:val="28"/>
          <w:szCs w:val="28"/>
          <w:lang w:val="en-US"/>
        </w:rPr>
        <w:t>Policy Scope</w:t>
      </w:r>
    </w:p>
    <w:p w14:paraId="0DFCBC91" w14:textId="77777777" w:rsidR="00A27277" w:rsidRPr="002872EB" w:rsidRDefault="00A27277" w:rsidP="00A27277">
      <w:pPr>
        <w:spacing w:line="240" w:lineRule="auto"/>
        <w:jc w:val="both"/>
        <w:rPr>
          <w:rFonts w:cstheme="minorHAnsi"/>
          <w:color w:val="000000" w:themeColor="text1"/>
          <w:lang w:val="en-US"/>
        </w:rPr>
      </w:pPr>
      <w:r w:rsidRPr="008B6410">
        <w:rPr>
          <w:rFonts w:cstheme="minorHAnsi"/>
          <w:lang w:val="en-US"/>
        </w:rPr>
        <w:t xml:space="preserve">This Policy applies to </w:t>
      </w:r>
      <w:bookmarkStart w:id="574" w:name="_Hlk52374399"/>
      <w:r w:rsidRPr="008B6410">
        <w:rPr>
          <w:rFonts w:cstheme="minorHAnsi"/>
          <w:lang w:val="en-US"/>
        </w:rPr>
        <w:t>all future</w:t>
      </w:r>
      <w:r>
        <w:rPr>
          <w:rFonts w:cstheme="minorHAnsi"/>
          <w:lang w:val="en-US"/>
        </w:rPr>
        <w:t xml:space="preserve"> Class 1 and Class 2</w:t>
      </w:r>
      <w:r w:rsidRPr="008B6410">
        <w:rPr>
          <w:rFonts w:cstheme="minorHAnsi"/>
          <w:lang w:val="en-US"/>
        </w:rPr>
        <w:t xml:space="preserve"> residential </w:t>
      </w:r>
      <w:r>
        <w:rPr>
          <w:rFonts w:cstheme="minorHAnsi"/>
          <w:lang w:val="en-US"/>
        </w:rPr>
        <w:t>properties in the Town</w:t>
      </w:r>
      <w:r w:rsidRPr="008B6410">
        <w:rPr>
          <w:rFonts w:cstheme="minorHAnsi"/>
          <w:lang w:val="en-US"/>
        </w:rPr>
        <w:t>. This policy does not apply to</w:t>
      </w:r>
      <w:r>
        <w:rPr>
          <w:rFonts w:cstheme="minorHAnsi"/>
          <w:lang w:val="en-US"/>
        </w:rPr>
        <w:t xml:space="preserve"> preexisting pools,</w:t>
      </w:r>
      <w:r w:rsidRPr="008B6410">
        <w:rPr>
          <w:rFonts w:cstheme="minorHAnsi"/>
          <w:lang w:val="en-US"/>
        </w:rPr>
        <w:t xml:space="preserve"> </w:t>
      </w:r>
      <w:r>
        <w:rPr>
          <w:rFonts w:cstheme="minorHAnsi"/>
          <w:lang w:val="en-US"/>
        </w:rPr>
        <w:t>indoor pools or</w:t>
      </w:r>
      <w:r w:rsidRPr="00776D5F">
        <w:rPr>
          <w:rFonts w:cstheme="minorHAnsi"/>
          <w:color w:val="FF0000"/>
          <w:lang w:val="en-US"/>
        </w:rPr>
        <w:t xml:space="preserve"> </w:t>
      </w:r>
      <w:r w:rsidRPr="00962F17">
        <w:rPr>
          <w:rFonts w:cstheme="minorHAnsi"/>
          <w:color w:val="000000" w:themeColor="text1"/>
          <w:lang w:val="en-US"/>
        </w:rPr>
        <w:t>public pools</w:t>
      </w:r>
      <w:r>
        <w:rPr>
          <w:rFonts w:cstheme="minorHAnsi"/>
          <w:color w:val="000000" w:themeColor="text1"/>
          <w:lang w:val="en-US"/>
        </w:rPr>
        <w:t xml:space="preserve"> prior to the time this report was accepted by council</w:t>
      </w:r>
      <w:r w:rsidRPr="00962F17">
        <w:rPr>
          <w:rFonts w:cstheme="minorHAnsi"/>
          <w:color w:val="000000" w:themeColor="text1"/>
          <w:lang w:val="en-US"/>
        </w:rPr>
        <w:t>.</w:t>
      </w:r>
      <w:r>
        <w:rPr>
          <w:rFonts w:cstheme="minorHAnsi"/>
          <w:color w:val="000000" w:themeColor="text1"/>
          <w:lang w:val="en-US"/>
        </w:rPr>
        <w:t xml:space="preserve"> </w:t>
      </w:r>
    </w:p>
    <w:bookmarkEnd w:id="574"/>
    <w:p w14:paraId="33DACD7C" w14:textId="77777777" w:rsidR="00A27277" w:rsidRPr="00962F17" w:rsidRDefault="00A27277" w:rsidP="00A27277">
      <w:pPr>
        <w:pStyle w:val="Heading1"/>
        <w:spacing w:before="360"/>
        <w:jc w:val="both"/>
        <w:rPr>
          <w:rFonts w:asciiTheme="minorHAnsi" w:hAnsiTheme="minorHAnsi" w:cstheme="minorHAnsi"/>
          <w:color w:val="auto"/>
          <w:lang w:val="en-US"/>
        </w:rPr>
      </w:pPr>
      <w:r w:rsidRPr="00962F17">
        <w:rPr>
          <w:rFonts w:asciiTheme="minorHAnsi" w:hAnsiTheme="minorHAnsi" w:cstheme="minorHAnsi"/>
          <w:color w:val="auto"/>
          <w:lang w:val="en-US"/>
        </w:rPr>
        <w:t>Policy</w:t>
      </w:r>
    </w:p>
    <w:p w14:paraId="6C09DA79" w14:textId="77777777" w:rsidR="00A27277" w:rsidRPr="008B6410" w:rsidRDefault="00A27277" w:rsidP="00A27277">
      <w:pPr>
        <w:spacing w:after="120" w:line="240" w:lineRule="auto"/>
        <w:jc w:val="both"/>
        <w:rPr>
          <w:rFonts w:cstheme="minorHAnsi"/>
          <w:lang w:val="en-US"/>
        </w:rPr>
      </w:pPr>
      <w:r w:rsidRPr="008B6410">
        <w:rPr>
          <w:rFonts w:cstheme="minorHAnsi"/>
          <w:lang w:val="en-US"/>
        </w:rPr>
        <w:t>This p</w:t>
      </w:r>
      <w:r>
        <w:rPr>
          <w:rFonts w:cstheme="minorHAnsi"/>
          <w:lang w:val="en-US"/>
        </w:rPr>
        <w:t>olicy</w:t>
      </w:r>
      <w:r w:rsidRPr="008B6410">
        <w:rPr>
          <w:rFonts w:cstheme="minorHAnsi"/>
          <w:lang w:val="en-US"/>
        </w:rPr>
        <w:t xml:space="preserve"> will be enforced </w:t>
      </w:r>
      <w:r>
        <w:rPr>
          <w:rFonts w:cstheme="minorHAnsi"/>
          <w:lang w:val="en-US"/>
        </w:rPr>
        <w:t>through the addition of a condition to the Town of East Fremantle’s Building Permit’s relating to swimming pool/Spa applications. This policy applies to all:</w:t>
      </w:r>
    </w:p>
    <w:p w14:paraId="510F3849" w14:textId="77777777" w:rsidR="00A27277" w:rsidRPr="008B6410" w:rsidRDefault="00A27277" w:rsidP="002A3889">
      <w:pPr>
        <w:numPr>
          <w:ilvl w:val="0"/>
          <w:numId w:val="469"/>
        </w:numPr>
        <w:spacing w:after="120" w:line="240" w:lineRule="auto"/>
        <w:jc w:val="both"/>
        <w:rPr>
          <w:rFonts w:cstheme="minorHAnsi"/>
        </w:rPr>
      </w:pPr>
      <w:r w:rsidRPr="008B6410">
        <w:rPr>
          <w:rFonts w:cstheme="minorHAnsi"/>
        </w:rPr>
        <w:t xml:space="preserve">in-ground pools and </w:t>
      </w:r>
      <w:proofErr w:type="gramStart"/>
      <w:r w:rsidRPr="008B6410">
        <w:rPr>
          <w:rFonts w:cstheme="minorHAnsi"/>
        </w:rPr>
        <w:t>spas;</w:t>
      </w:r>
      <w:proofErr w:type="gramEnd"/>
    </w:p>
    <w:p w14:paraId="4FEF2AC0" w14:textId="77777777" w:rsidR="00A27277" w:rsidRPr="00875336" w:rsidRDefault="00A27277" w:rsidP="002A3889">
      <w:pPr>
        <w:numPr>
          <w:ilvl w:val="0"/>
          <w:numId w:val="469"/>
        </w:numPr>
        <w:spacing w:line="240" w:lineRule="auto"/>
        <w:jc w:val="both"/>
        <w:rPr>
          <w:rFonts w:cstheme="minorHAnsi"/>
        </w:rPr>
      </w:pPr>
      <w:r w:rsidRPr="008B6410">
        <w:rPr>
          <w:rFonts w:cstheme="minorHAnsi"/>
        </w:rPr>
        <w:t>above-ground pools and spas (excluding inflatab</w:t>
      </w:r>
      <w:r>
        <w:rPr>
          <w:rFonts w:cstheme="minorHAnsi"/>
        </w:rPr>
        <w:t>le and portable pools and spas)</w:t>
      </w:r>
    </w:p>
    <w:p w14:paraId="2547E69C" w14:textId="77777777" w:rsidR="00A27277" w:rsidRPr="00875336" w:rsidRDefault="00A27277" w:rsidP="00A27277">
      <w:pPr>
        <w:spacing w:line="240" w:lineRule="auto"/>
        <w:jc w:val="both"/>
        <w:rPr>
          <w:rFonts w:cstheme="minorHAnsi"/>
          <w:lang w:val="en-US"/>
        </w:rPr>
      </w:pPr>
      <w:bookmarkStart w:id="575" w:name="_Hlk52372838"/>
      <w:r>
        <w:rPr>
          <w:rFonts w:cstheme="minorHAnsi"/>
          <w:lang w:val="en-US"/>
        </w:rPr>
        <w:t>The use of Pool and Spa covers aligns with the Town of East Fremantle’s</w:t>
      </w:r>
      <w:r w:rsidRPr="00892A1F">
        <w:rPr>
          <w:rFonts w:cstheme="minorHAnsi"/>
          <w:lang w:val="en-US"/>
        </w:rPr>
        <w:t xml:space="preserve"> agreement to the Water Corporation and aligns with the National Construction Code WA Part 2.3.2</w:t>
      </w:r>
      <w:bookmarkEnd w:id="575"/>
      <w:r w:rsidRPr="00892A1F">
        <w:rPr>
          <w:rFonts w:cstheme="minorHAnsi"/>
          <w:lang w:val="en-US"/>
        </w:rPr>
        <w:t xml:space="preserve">. </w:t>
      </w:r>
      <w:r>
        <w:rPr>
          <w:rFonts w:cstheme="minorHAnsi"/>
          <w:lang w:val="en-US"/>
        </w:rPr>
        <w:t>Swimming pool</w:t>
      </w:r>
      <w:r w:rsidRPr="00892A1F">
        <w:rPr>
          <w:rFonts w:cstheme="minorHAnsi"/>
          <w:lang w:val="en-US"/>
        </w:rPr>
        <w:t xml:space="preserve"> blankets or covers must be designed to reduce water evaporation and must</w:t>
      </w:r>
      <w:r>
        <w:rPr>
          <w:rFonts w:cstheme="minorHAnsi"/>
          <w:lang w:val="en-US"/>
        </w:rPr>
        <w:t xml:space="preserve"> be accredited water efficient </w:t>
      </w:r>
      <w:r w:rsidRPr="00892A1F">
        <w:rPr>
          <w:rFonts w:cstheme="minorHAnsi"/>
          <w:lang w:val="en-US"/>
        </w:rPr>
        <w:t xml:space="preserve">under the Smart Approved Watermark Scheme </w:t>
      </w:r>
      <w:hyperlink r:id="rId333" w:history="1">
        <w:r w:rsidRPr="00E3376F">
          <w:rPr>
            <w:rStyle w:val="Hyperlink"/>
            <w:rFonts w:cstheme="minorHAnsi"/>
            <w:lang w:val="en-US"/>
          </w:rPr>
          <w:t>www.smartwatermark.org</w:t>
        </w:r>
      </w:hyperlink>
    </w:p>
    <w:p w14:paraId="5266C6DD" w14:textId="77777777" w:rsidR="00A27277" w:rsidRDefault="00A27277" w:rsidP="00A27277">
      <w:pPr>
        <w:spacing w:after="0" w:line="240" w:lineRule="auto"/>
        <w:jc w:val="both"/>
        <w:rPr>
          <w:rFonts w:cstheme="minorHAnsi"/>
          <w:b/>
          <w:lang w:val="en-US"/>
        </w:rPr>
      </w:pPr>
      <w:r w:rsidRPr="00721DC1">
        <w:rPr>
          <w:rFonts w:cstheme="minorHAnsi"/>
          <w:b/>
          <w:lang w:val="en-US"/>
        </w:rPr>
        <w:t xml:space="preserve">Pool Inspections </w:t>
      </w:r>
    </w:p>
    <w:p w14:paraId="4BE7DE1B" w14:textId="77777777" w:rsidR="00A27277" w:rsidRPr="00875336" w:rsidRDefault="00A27277" w:rsidP="00A27277">
      <w:pPr>
        <w:spacing w:line="240" w:lineRule="auto"/>
        <w:jc w:val="both"/>
        <w:rPr>
          <w:rFonts w:cstheme="minorHAnsi"/>
          <w:lang w:val="en-US"/>
        </w:rPr>
      </w:pPr>
      <w:r>
        <w:rPr>
          <w:rFonts w:cstheme="minorHAnsi"/>
          <w:lang w:val="en-US"/>
        </w:rPr>
        <w:t xml:space="preserve">The Town will undertake follow up inspections both after the </w:t>
      </w:r>
      <w:proofErr w:type="spellStart"/>
      <w:r>
        <w:rPr>
          <w:rFonts w:cstheme="minorHAnsi"/>
          <w:lang w:val="en-US"/>
        </w:rPr>
        <w:t>finalisation</w:t>
      </w:r>
      <w:proofErr w:type="spellEnd"/>
      <w:r>
        <w:rPr>
          <w:rFonts w:cstheme="minorHAnsi"/>
          <w:lang w:val="en-US"/>
        </w:rPr>
        <w:t xml:space="preserve"> of the pool construction and 4 years later. At the point of the </w:t>
      </w:r>
      <w:proofErr w:type="gramStart"/>
      <w:r>
        <w:rPr>
          <w:rFonts w:cstheme="minorHAnsi"/>
          <w:lang w:val="en-US"/>
        </w:rPr>
        <w:t>inspection</w:t>
      </w:r>
      <w:proofErr w:type="gramEnd"/>
      <w:r>
        <w:rPr>
          <w:rFonts w:cstheme="minorHAnsi"/>
          <w:lang w:val="en-US"/>
        </w:rPr>
        <w:t xml:space="preserve"> it will be noted if the pool is compliant to the conditions under the Building Permit application. </w:t>
      </w:r>
    </w:p>
    <w:p w14:paraId="0AF66046" w14:textId="77777777" w:rsidR="00A27277" w:rsidRDefault="00A27277">
      <w:pPr>
        <w:rPr>
          <w:rFonts w:cstheme="minorHAnsi"/>
          <w:b/>
          <w:lang w:val="en-US"/>
        </w:rPr>
      </w:pPr>
      <w:r>
        <w:rPr>
          <w:rFonts w:cstheme="minorHAnsi"/>
          <w:b/>
          <w:lang w:val="en-US"/>
        </w:rPr>
        <w:br w:type="page"/>
      </w:r>
    </w:p>
    <w:p w14:paraId="19409923" w14:textId="18EB039D" w:rsidR="00A27277" w:rsidRPr="00B50CAE" w:rsidRDefault="00A27277" w:rsidP="00A27277">
      <w:pPr>
        <w:spacing w:after="0"/>
        <w:rPr>
          <w:rFonts w:cstheme="minorHAnsi"/>
          <w:b/>
          <w:lang w:val="en-US"/>
        </w:rPr>
      </w:pPr>
      <w:r w:rsidRPr="00DB0A3F">
        <w:rPr>
          <w:rFonts w:cstheme="minorHAnsi"/>
          <w:b/>
          <w:lang w:val="en-US"/>
        </w:rPr>
        <w:lastRenderedPageBreak/>
        <w:t xml:space="preserve">Definitions </w:t>
      </w:r>
    </w:p>
    <w:p w14:paraId="5E3F99B2" w14:textId="77777777" w:rsidR="00A27277" w:rsidRPr="00D211A8" w:rsidRDefault="00A27277" w:rsidP="00A27277">
      <w:pPr>
        <w:spacing w:before="120" w:after="0"/>
        <w:rPr>
          <w:rFonts w:cstheme="minorHAnsi"/>
          <w:u w:val="single"/>
          <w:lang w:val="en-US"/>
        </w:rPr>
      </w:pPr>
      <w:r w:rsidRPr="00D211A8">
        <w:rPr>
          <w:rFonts w:cstheme="minorHAnsi"/>
          <w:u w:val="single"/>
          <w:lang w:val="en-US"/>
        </w:rPr>
        <w:t>Swimming Pool</w:t>
      </w:r>
    </w:p>
    <w:p w14:paraId="48F83487" w14:textId="77777777" w:rsidR="00A27277" w:rsidRPr="005F15AD" w:rsidRDefault="00A27277" w:rsidP="00A27277">
      <w:pPr>
        <w:spacing w:line="240" w:lineRule="auto"/>
        <w:jc w:val="both"/>
        <w:rPr>
          <w:rFonts w:cstheme="minorHAnsi"/>
          <w:lang w:val="en-US"/>
        </w:rPr>
      </w:pPr>
      <w:r w:rsidRPr="005F15AD">
        <w:rPr>
          <w:rFonts w:cstheme="minorHAnsi"/>
          <w:lang w:val="en-US"/>
        </w:rPr>
        <w:t>(Building Class 10b): Swimming pool means any excavation or structure containing water and principally used, or that is designed, manufactured or adapted to be principally used for swimming, wading, paddling, or the like, including a bathing or wading pool, or spa.</w:t>
      </w:r>
    </w:p>
    <w:p w14:paraId="75040A56" w14:textId="77777777" w:rsidR="00A27277" w:rsidRPr="006F0963" w:rsidRDefault="00A27277" w:rsidP="00A27277">
      <w:pPr>
        <w:spacing w:after="0" w:line="240" w:lineRule="auto"/>
        <w:rPr>
          <w:rFonts w:cstheme="minorHAnsi"/>
          <w:lang w:val="en-US"/>
        </w:rPr>
      </w:pPr>
      <w:r w:rsidRPr="006F0963">
        <w:rPr>
          <w:rFonts w:cstheme="minorHAnsi"/>
          <w:u w:val="single"/>
          <w:lang w:val="en-US"/>
        </w:rPr>
        <w:t xml:space="preserve">Class 1 Building </w:t>
      </w:r>
    </w:p>
    <w:p w14:paraId="370D89A4" w14:textId="77777777" w:rsidR="00A27277" w:rsidRPr="00D211A8" w:rsidRDefault="00A27277" w:rsidP="002A3889">
      <w:pPr>
        <w:pStyle w:val="ListParagraph"/>
        <w:numPr>
          <w:ilvl w:val="0"/>
          <w:numId w:val="471"/>
        </w:numPr>
        <w:spacing w:after="120" w:line="240" w:lineRule="auto"/>
        <w:ind w:left="426" w:hanging="425"/>
        <w:contextualSpacing w:val="0"/>
        <w:rPr>
          <w:rFonts w:cstheme="minorHAnsi"/>
          <w:lang w:val="en-US"/>
        </w:rPr>
      </w:pPr>
      <w:r w:rsidRPr="00D211A8">
        <w:rPr>
          <w:rFonts w:cstheme="minorHAnsi"/>
          <w:b/>
          <w:lang w:val="en-US"/>
        </w:rPr>
        <w:t>Class 1a</w:t>
      </w:r>
      <w:r w:rsidRPr="00D211A8">
        <w:rPr>
          <w:rFonts w:cstheme="minorHAnsi"/>
          <w:lang w:val="en-US"/>
        </w:rPr>
        <w:t xml:space="preserve"> - a single dwelling being</w:t>
      </w:r>
    </w:p>
    <w:p w14:paraId="1D6630EC" w14:textId="77777777" w:rsidR="00A27277" w:rsidRPr="00DB0A3F" w:rsidRDefault="00A27277" w:rsidP="002A3889">
      <w:pPr>
        <w:pStyle w:val="ListParagraph"/>
        <w:numPr>
          <w:ilvl w:val="1"/>
          <w:numId w:val="470"/>
        </w:numPr>
        <w:spacing w:after="120" w:line="240" w:lineRule="auto"/>
        <w:ind w:left="993" w:hanging="425"/>
        <w:contextualSpacing w:val="0"/>
        <w:rPr>
          <w:rFonts w:cstheme="minorHAnsi"/>
          <w:lang w:val="en-US"/>
        </w:rPr>
      </w:pPr>
      <w:r w:rsidRPr="00DB0A3F">
        <w:rPr>
          <w:rFonts w:cstheme="minorHAnsi"/>
          <w:lang w:val="en-US"/>
        </w:rPr>
        <w:t>(</w:t>
      </w:r>
      <w:proofErr w:type="spellStart"/>
      <w:r w:rsidRPr="00DB0A3F">
        <w:rPr>
          <w:rFonts w:cstheme="minorHAnsi"/>
          <w:lang w:val="en-US"/>
        </w:rPr>
        <w:t>i</w:t>
      </w:r>
      <w:proofErr w:type="spellEnd"/>
      <w:r w:rsidRPr="00DB0A3F">
        <w:rPr>
          <w:rFonts w:cstheme="minorHAnsi"/>
          <w:lang w:val="en-US"/>
        </w:rPr>
        <w:t>) a detached house</w:t>
      </w:r>
    </w:p>
    <w:p w14:paraId="746F8720" w14:textId="77777777" w:rsidR="00A27277" w:rsidRDefault="00A27277" w:rsidP="002A3889">
      <w:pPr>
        <w:pStyle w:val="ListParagraph"/>
        <w:numPr>
          <w:ilvl w:val="1"/>
          <w:numId w:val="470"/>
        </w:numPr>
        <w:spacing w:line="240" w:lineRule="auto"/>
        <w:ind w:left="993" w:hanging="426"/>
        <w:contextualSpacing w:val="0"/>
        <w:rPr>
          <w:rFonts w:cstheme="minorHAnsi"/>
          <w:lang w:val="en-US"/>
        </w:rPr>
      </w:pPr>
      <w:r w:rsidRPr="00DB0A3F">
        <w:rPr>
          <w:rFonts w:cstheme="minorHAnsi"/>
          <w:lang w:val="en-US"/>
        </w:rPr>
        <w:t>(ii) one of a group of two or more attached dwellings, each being a building, separated by a fire-resisting wall, including a row house, terrace house, town house or villa unit or</w:t>
      </w:r>
    </w:p>
    <w:p w14:paraId="759FDC12" w14:textId="77777777" w:rsidR="00A27277" w:rsidRPr="00D211A8" w:rsidRDefault="00A27277" w:rsidP="002A3889">
      <w:pPr>
        <w:pStyle w:val="ListParagraph"/>
        <w:numPr>
          <w:ilvl w:val="0"/>
          <w:numId w:val="470"/>
        </w:numPr>
        <w:spacing w:after="120" w:line="240" w:lineRule="auto"/>
        <w:ind w:left="426" w:hanging="425"/>
        <w:contextualSpacing w:val="0"/>
        <w:rPr>
          <w:rFonts w:cstheme="minorHAnsi"/>
          <w:lang w:val="en-US"/>
        </w:rPr>
      </w:pPr>
      <w:r w:rsidRPr="00D211A8">
        <w:rPr>
          <w:rFonts w:cstheme="minorHAnsi"/>
          <w:b/>
          <w:lang w:val="en-US"/>
        </w:rPr>
        <w:t>Class 1b</w:t>
      </w:r>
      <w:r w:rsidRPr="00D211A8">
        <w:rPr>
          <w:rFonts w:cstheme="minorHAnsi"/>
          <w:lang w:val="en-US"/>
        </w:rPr>
        <w:t xml:space="preserve"> - a boarding house, guest house, hostel or the like</w:t>
      </w:r>
    </w:p>
    <w:p w14:paraId="10CA8BB6" w14:textId="77777777" w:rsidR="00A27277" w:rsidRPr="00DB0A3F" w:rsidRDefault="00A27277" w:rsidP="002A3889">
      <w:pPr>
        <w:pStyle w:val="ListParagraph"/>
        <w:numPr>
          <w:ilvl w:val="1"/>
          <w:numId w:val="470"/>
        </w:numPr>
        <w:spacing w:after="120" w:line="240" w:lineRule="auto"/>
        <w:ind w:left="993" w:hanging="425"/>
        <w:contextualSpacing w:val="0"/>
        <w:rPr>
          <w:rFonts w:cstheme="minorHAnsi"/>
          <w:lang w:val="en-US"/>
        </w:rPr>
      </w:pPr>
      <w:r w:rsidRPr="00DB0A3F">
        <w:rPr>
          <w:rFonts w:cstheme="minorHAnsi"/>
          <w:lang w:val="en-US"/>
        </w:rPr>
        <w:t>(</w:t>
      </w:r>
      <w:proofErr w:type="spellStart"/>
      <w:r w:rsidRPr="00DB0A3F">
        <w:rPr>
          <w:rFonts w:cstheme="minorHAnsi"/>
          <w:lang w:val="en-US"/>
        </w:rPr>
        <w:t>i</w:t>
      </w:r>
      <w:proofErr w:type="spellEnd"/>
      <w:r w:rsidRPr="00DB0A3F">
        <w:rPr>
          <w:rFonts w:cstheme="minorHAnsi"/>
          <w:lang w:val="en-US"/>
        </w:rPr>
        <w:t xml:space="preserve">) with a total area of all floors not exceeding 300 m2 measured over the enclosing walls of the Class 1b and </w:t>
      </w:r>
    </w:p>
    <w:p w14:paraId="455E919E" w14:textId="77777777" w:rsidR="00A27277" w:rsidRPr="00DB0A3F" w:rsidRDefault="00A27277" w:rsidP="002A3889">
      <w:pPr>
        <w:pStyle w:val="ListParagraph"/>
        <w:numPr>
          <w:ilvl w:val="1"/>
          <w:numId w:val="470"/>
        </w:numPr>
        <w:spacing w:after="120" w:line="240" w:lineRule="auto"/>
        <w:ind w:left="993" w:hanging="425"/>
        <w:contextualSpacing w:val="0"/>
        <w:rPr>
          <w:rFonts w:cstheme="minorHAnsi"/>
          <w:lang w:val="en-US"/>
        </w:rPr>
      </w:pPr>
      <w:r w:rsidRPr="00DB0A3F">
        <w:rPr>
          <w:rFonts w:cstheme="minorHAnsi"/>
          <w:lang w:val="en-US"/>
        </w:rPr>
        <w:t>(ii) in which not more than 12 persons would ordinarily be resident</w:t>
      </w:r>
    </w:p>
    <w:p w14:paraId="580545B2" w14:textId="77777777" w:rsidR="00A27277" w:rsidRDefault="00A27277" w:rsidP="002A3889">
      <w:pPr>
        <w:pStyle w:val="ListParagraph"/>
        <w:numPr>
          <w:ilvl w:val="1"/>
          <w:numId w:val="470"/>
        </w:numPr>
        <w:spacing w:line="240" w:lineRule="auto"/>
        <w:ind w:left="993" w:hanging="426"/>
        <w:contextualSpacing w:val="0"/>
        <w:rPr>
          <w:rFonts w:cstheme="minorHAnsi"/>
          <w:lang w:val="en-US"/>
        </w:rPr>
      </w:pPr>
      <w:r w:rsidRPr="00DB0A3F">
        <w:rPr>
          <w:rFonts w:cstheme="minorHAnsi"/>
          <w:lang w:val="en-US"/>
        </w:rPr>
        <w:t>which is not located above or below another dwelling or another Class of building other than a private garage</w:t>
      </w:r>
    </w:p>
    <w:p w14:paraId="5D4F9BB3" w14:textId="77777777" w:rsidR="00A27277" w:rsidRPr="00106F03" w:rsidRDefault="00A27277" w:rsidP="00A27277">
      <w:pPr>
        <w:spacing w:after="0" w:line="240" w:lineRule="auto"/>
        <w:rPr>
          <w:rFonts w:cstheme="minorHAnsi"/>
          <w:color w:val="202124"/>
          <w:u w:val="single"/>
          <w:shd w:val="clear" w:color="auto" w:fill="FFFFFF"/>
        </w:rPr>
      </w:pPr>
      <w:r w:rsidRPr="00106F03">
        <w:rPr>
          <w:rFonts w:cstheme="minorHAnsi"/>
          <w:color w:val="202124"/>
          <w:u w:val="single"/>
          <w:shd w:val="clear" w:color="auto" w:fill="FFFFFF"/>
        </w:rPr>
        <w:t xml:space="preserve">Class 2 Building </w:t>
      </w:r>
    </w:p>
    <w:p w14:paraId="5214FA4B" w14:textId="77777777" w:rsidR="00A27277" w:rsidRPr="005F15AD" w:rsidRDefault="00A27277" w:rsidP="00A27277">
      <w:pPr>
        <w:spacing w:line="240" w:lineRule="auto"/>
        <w:rPr>
          <w:rFonts w:cstheme="minorHAnsi"/>
          <w:b/>
          <w:bCs/>
          <w:lang w:val="en-US"/>
        </w:rPr>
      </w:pPr>
      <w:r w:rsidRPr="005F15AD">
        <w:rPr>
          <w:rFonts w:cstheme="minorHAnsi"/>
          <w:color w:val="202124"/>
          <w:shd w:val="clear" w:color="auto" w:fill="FFFFFF"/>
        </w:rPr>
        <w:t>A building containing 2 or more sole-occupancy units each being a separate dwelling.</w:t>
      </w:r>
    </w:p>
    <w:p w14:paraId="09D2E80A" w14:textId="77777777" w:rsidR="00A27277" w:rsidRPr="00D211A8" w:rsidRDefault="00A27277" w:rsidP="00A27277">
      <w:pPr>
        <w:pStyle w:val="ListParagraph"/>
        <w:spacing w:line="240" w:lineRule="auto"/>
        <w:ind w:left="1440"/>
        <w:contextualSpacing w:val="0"/>
        <w:rPr>
          <w:rFonts w:cstheme="minorHAnsi"/>
          <w:lang w:val="en-US"/>
        </w:rPr>
      </w:pPr>
    </w:p>
    <w:tbl>
      <w:tblPr>
        <w:tblStyle w:val="TableGrid"/>
        <w:tblW w:w="0" w:type="auto"/>
        <w:tblLook w:val="04A0" w:firstRow="1" w:lastRow="0" w:firstColumn="1" w:lastColumn="0" w:noHBand="0" w:noVBand="1"/>
      </w:tblPr>
      <w:tblGrid>
        <w:gridCol w:w="3323"/>
        <w:gridCol w:w="5693"/>
      </w:tblGrid>
      <w:tr w:rsidR="00A27277" w:rsidRPr="008B6410" w14:paraId="445A9644" w14:textId="77777777" w:rsidTr="007E0F07">
        <w:tc>
          <w:tcPr>
            <w:tcW w:w="3323" w:type="dxa"/>
          </w:tcPr>
          <w:p w14:paraId="7B1C8479" w14:textId="77777777" w:rsidR="00A27277" w:rsidRPr="008B6410" w:rsidRDefault="00A27277" w:rsidP="007E0F07">
            <w:pPr>
              <w:jc w:val="both"/>
              <w:rPr>
                <w:rFonts w:cstheme="minorHAnsi"/>
                <w:b/>
                <w:lang w:val="en-US"/>
              </w:rPr>
            </w:pPr>
            <w:r w:rsidRPr="008B6410">
              <w:rPr>
                <w:rFonts w:cstheme="minorHAnsi"/>
                <w:b/>
                <w:lang w:val="en-US"/>
              </w:rPr>
              <w:t>Responsible Directorate:</w:t>
            </w:r>
          </w:p>
        </w:tc>
        <w:tc>
          <w:tcPr>
            <w:tcW w:w="5693" w:type="dxa"/>
          </w:tcPr>
          <w:p w14:paraId="101302AE" w14:textId="77777777" w:rsidR="00A27277" w:rsidRPr="008B6410" w:rsidRDefault="00A27277" w:rsidP="007E0F07">
            <w:pPr>
              <w:jc w:val="both"/>
              <w:rPr>
                <w:rFonts w:cstheme="minorHAnsi"/>
                <w:lang w:val="en-US"/>
              </w:rPr>
            </w:pPr>
            <w:r w:rsidRPr="00975F95">
              <w:rPr>
                <w:rFonts w:cstheme="minorHAnsi"/>
                <w:lang w:val="en-US"/>
              </w:rPr>
              <w:t>Regulatory Services</w:t>
            </w:r>
          </w:p>
        </w:tc>
      </w:tr>
      <w:tr w:rsidR="00A27277" w:rsidRPr="008B6410" w14:paraId="6765796F" w14:textId="77777777" w:rsidTr="007E0F07">
        <w:tc>
          <w:tcPr>
            <w:tcW w:w="3323" w:type="dxa"/>
          </w:tcPr>
          <w:p w14:paraId="62438C5D" w14:textId="77777777" w:rsidR="00A27277" w:rsidRPr="008B6410" w:rsidRDefault="00A27277" w:rsidP="007E0F07">
            <w:pPr>
              <w:jc w:val="both"/>
              <w:rPr>
                <w:rFonts w:cstheme="minorHAnsi"/>
                <w:b/>
                <w:lang w:val="en-US"/>
              </w:rPr>
            </w:pPr>
            <w:r w:rsidRPr="008B6410">
              <w:rPr>
                <w:rFonts w:cstheme="minorHAnsi"/>
                <w:b/>
                <w:lang w:val="en-US"/>
              </w:rPr>
              <w:t>Reviewing Officer:</w:t>
            </w:r>
          </w:p>
        </w:tc>
        <w:tc>
          <w:tcPr>
            <w:tcW w:w="5693" w:type="dxa"/>
          </w:tcPr>
          <w:p w14:paraId="546CA792" w14:textId="77777777" w:rsidR="00A27277" w:rsidRPr="008B6410" w:rsidRDefault="00A27277" w:rsidP="007E0F07">
            <w:pPr>
              <w:jc w:val="both"/>
              <w:rPr>
                <w:rFonts w:cstheme="minorHAnsi"/>
                <w:lang w:val="en-US"/>
              </w:rPr>
            </w:pPr>
            <w:r w:rsidRPr="008227F2">
              <w:rPr>
                <w:rFonts w:cstheme="minorHAnsi"/>
                <w:lang w:val="en-US"/>
              </w:rPr>
              <w:t>Executive Manager Regulatory Services</w:t>
            </w:r>
          </w:p>
        </w:tc>
      </w:tr>
      <w:tr w:rsidR="00A27277" w:rsidRPr="008B6410" w14:paraId="7400C5EA" w14:textId="77777777" w:rsidTr="007E0F07">
        <w:tc>
          <w:tcPr>
            <w:tcW w:w="3323" w:type="dxa"/>
          </w:tcPr>
          <w:p w14:paraId="3AF078A8" w14:textId="77777777" w:rsidR="00A27277" w:rsidRPr="008B6410" w:rsidRDefault="00A27277" w:rsidP="007E0F07">
            <w:pPr>
              <w:jc w:val="both"/>
              <w:rPr>
                <w:rFonts w:cstheme="minorHAnsi"/>
                <w:b/>
                <w:lang w:val="en-US"/>
              </w:rPr>
            </w:pPr>
            <w:r w:rsidRPr="008B6410">
              <w:rPr>
                <w:rFonts w:cstheme="minorHAnsi"/>
                <w:b/>
                <w:lang w:val="en-US"/>
              </w:rPr>
              <w:t>Decision making Authority:</w:t>
            </w:r>
          </w:p>
        </w:tc>
        <w:tc>
          <w:tcPr>
            <w:tcW w:w="5693" w:type="dxa"/>
          </w:tcPr>
          <w:p w14:paraId="36519CFF" w14:textId="5DCA85E0" w:rsidR="00A27277" w:rsidRPr="008B6410" w:rsidRDefault="00A27277" w:rsidP="007E0F07">
            <w:pPr>
              <w:jc w:val="both"/>
              <w:rPr>
                <w:rFonts w:cstheme="minorHAnsi"/>
                <w:lang w:val="en-US"/>
              </w:rPr>
            </w:pPr>
            <w:r>
              <w:rPr>
                <w:rFonts w:cstheme="minorHAnsi"/>
                <w:lang w:val="en-US"/>
              </w:rPr>
              <w:t xml:space="preserve">Council </w:t>
            </w:r>
          </w:p>
        </w:tc>
      </w:tr>
      <w:tr w:rsidR="00A27277" w:rsidRPr="008B6410" w14:paraId="5D8DB388" w14:textId="77777777" w:rsidTr="007E0F07">
        <w:tc>
          <w:tcPr>
            <w:tcW w:w="3323" w:type="dxa"/>
          </w:tcPr>
          <w:p w14:paraId="5CB595B2" w14:textId="77777777" w:rsidR="00A27277" w:rsidRPr="008B6410" w:rsidRDefault="00A27277" w:rsidP="007E0F07">
            <w:pPr>
              <w:jc w:val="both"/>
              <w:rPr>
                <w:rFonts w:cstheme="minorHAnsi"/>
                <w:b/>
                <w:lang w:val="en-US"/>
              </w:rPr>
            </w:pPr>
            <w:r w:rsidRPr="008B6410">
              <w:rPr>
                <w:rFonts w:cstheme="minorHAnsi"/>
                <w:b/>
                <w:lang w:val="en-US"/>
              </w:rPr>
              <w:t>Policy Adopted:</w:t>
            </w:r>
          </w:p>
        </w:tc>
        <w:tc>
          <w:tcPr>
            <w:tcW w:w="5693" w:type="dxa"/>
          </w:tcPr>
          <w:p w14:paraId="3D3CB8E3" w14:textId="77777777" w:rsidR="00A27277" w:rsidRPr="008B6410" w:rsidRDefault="00A27277" w:rsidP="007E0F07">
            <w:pPr>
              <w:jc w:val="both"/>
              <w:rPr>
                <w:rFonts w:cstheme="minorHAnsi"/>
                <w:lang w:val="en-US"/>
              </w:rPr>
            </w:pPr>
            <w:r>
              <w:rPr>
                <w:rFonts w:cstheme="minorHAnsi"/>
                <w:lang w:val="en-US"/>
              </w:rPr>
              <w:t>21/2/21</w:t>
            </w:r>
          </w:p>
        </w:tc>
      </w:tr>
      <w:tr w:rsidR="00A27277" w:rsidRPr="008B6410" w14:paraId="50A1239F" w14:textId="77777777" w:rsidTr="007E0F07">
        <w:tc>
          <w:tcPr>
            <w:tcW w:w="3323" w:type="dxa"/>
          </w:tcPr>
          <w:p w14:paraId="202D44CC" w14:textId="77777777" w:rsidR="00A27277" w:rsidRPr="008B6410" w:rsidRDefault="00A27277" w:rsidP="007E0F07">
            <w:pPr>
              <w:jc w:val="both"/>
              <w:rPr>
                <w:rFonts w:cstheme="minorHAnsi"/>
                <w:b/>
                <w:lang w:val="en-US"/>
              </w:rPr>
            </w:pPr>
            <w:r>
              <w:rPr>
                <w:rFonts w:cstheme="minorHAnsi"/>
                <w:b/>
                <w:lang w:val="en-US"/>
              </w:rPr>
              <w:t xml:space="preserve">Policy </w:t>
            </w:r>
            <w:r w:rsidRPr="008B6410">
              <w:rPr>
                <w:rFonts w:cstheme="minorHAnsi"/>
                <w:b/>
                <w:lang w:val="en-US"/>
              </w:rPr>
              <w:t>Amended</w:t>
            </w:r>
            <w:r>
              <w:rPr>
                <w:rFonts w:cstheme="minorHAnsi"/>
                <w:b/>
                <w:lang w:val="en-US"/>
              </w:rPr>
              <w:t>/Reviewed</w:t>
            </w:r>
            <w:r w:rsidRPr="008B6410">
              <w:rPr>
                <w:rFonts w:cstheme="minorHAnsi"/>
                <w:b/>
                <w:lang w:val="en-US"/>
              </w:rPr>
              <w:t>:</w:t>
            </w:r>
          </w:p>
        </w:tc>
        <w:tc>
          <w:tcPr>
            <w:tcW w:w="5693" w:type="dxa"/>
          </w:tcPr>
          <w:p w14:paraId="03B4F82A" w14:textId="77777777" w:rsidR="00A27277" w:rsidRPr="008B6410" w:rsidRDefault="00A27277" w:rsidP="007E0F07">
            <w:pPr>
              <w:jc w:val="both"/>
              <w:rPr>
                <w:rFonts w:cstheme="minorHAnsi"/>
                <w:lang w:val="en-US"/>
              </w:rPr>
            </w:pPr>
          </w:p>
        </w:tc>
      </w:tr>
    </w:tbl>
    <w:p w14:paraId="50E065B9" w14:textId="3D7EC2BC" w:rsidR="00A27277" w:rsidRDefault="00A27277" w:rsidP="00A27277">
      <w:pPr>
        <w:jc w:val="both"/>
        <w:rPr>
          <w:rFonts w:ascii="Arial" w:hAnsi="Arial" w:cs="Arial"/>
          <w:lang w:val="en-US"/>
        </w:rPr>
      </w:pPr>
    </w:p>
    <w:p w14:paraId="43017067" w14:textId="2941EB8C" w:rsidR="00E9280E" w:rsidRDefault="00E9280E" w:rsidP="00A27277">
      <w:pPr>
        <w:jc w:val="both"/>
        <w:rPr>
          <w:rFonts w:ascii="Arial" w:hAnsi="Arial" w:cs="Arial"/>
          <w:lang w:val="en-US"/>
        </w:rPr>
      </w:pPr>
    </w:p>
    <w:p w14:paraId="60F62250" w14:textId="5D8F49B4" w:rsidR="00E9280E" w:rsidRDefault="00E9280E">
      <w:pPr>
        <w:rPr>
          <w:rFonts w:ascii="Arial" w:hAnsi="Arial" w:cs="Arial"/>
          <w:lang w:val="en-US"/>
        </w:rPr>
      </w:pPr>
      <w:r>
        <w:rPr>
          <w:rFonts w:ascii="Arial" w:hAnsi="Arial" w:cs="Arial"/>
          <w:lang w:val="en-US"/>
        </w:rPr>
        <w:br w:type="page"/>
      </w:r>
    </w:p>
    <w:p w14:paraId="2D7B2C19" w14:textId="77777777" w:rsidR="00E9280E" w:rsidRDefault="00E9280E" w:rsidP="00E9280E">
      <w:pPr>
        <w:pStyle w:val="Title"/>
        <w:pBdr>
          <w:bottom w:val="none" w:sz="0" w:space="0" w:color="auto"/>
        </w:pBdr>
        <w:spacing w:after="240"/>
        <w:jc w:val="right"/>
        <w:rPr>
          <w:rFonts w:asciiTheme="minorHAnsi" w:hAnsiTheme="minorHAnsi" w:cstheme="minorHAnsi"/>
          <w:b/>
          <w:sz w:val="28"/>
          <w:szCs w:val="28"/>
        </w:rPr>
      </w:pPr>
      <w:r>
        <w:rPr>
          <w:noProof/>
        </w:rPr>
        <w:lastRenderedPageBreak/>
        <w:drawing>
          <wp:inline distT="0" distB="0" distL="0" distR="0" wp14:anchorId="24D529C4" wp14:editId="20B00F49">
            <wp:extent cx="1569085" cy="63052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99821" cy="642871"/>
                    </a:xfrm>
                    <a:prstGeom prst="rect">
                      <a:avLst/>
                    </a:prstGeom>
                    <a:noFill/>
                    <a:ln>
                      <a:noFill/>
                    </a:ln>
                  </pic:spPr>
                </pic:pic>
              </a:graphicData>
            </a:graphic>
          </wp:inline>
        </w:drawing>
      </w:r>
    </w:p>
    <w:p w14:paraId="5F4EF96D" w14:textId="77777777" w:rsidR="00052293" w:rsidRDefault="00052293" w:rsidP="00052293">
      <w:pPr>
        <w:pStyle w:val="Policy3"/>
      </w:pPr>
      <w:bookmarkStart w:id="576" w:name="_Toc216866727"/>
      <w:r>
        <w:rPr>
          <w:spacing w:val="-2"/>
        </w:rPr>
        <w:t>3.2.4</w:t>
      </w:r>
      <w:r>
        <w:tab/>
        <w:t>Verge</w:t>
      </w:r>
      <w:r>
        <w:rPr>
          <w:spacing w:val="10"/>
        </w:rPr>
        <w:t xml:space="preserve"> </w:t>
      </w:r>
      <w:r>
        <w:t>Treatment</w:t>
      </w:r>
      <w:r>
        <w:rPr>
          <w:spacing w:val="17"/>
        </w:rPr>
        <w:t xml:space="preserve"> </w:t>
      </w:r>
      <w:r>
        <w:rPr>
          <w:spacing w:val="-2"/>
        </w:rPr>
        <w:t>Policy</w:t>
      </w:r>
      <w:bookmarkEnd w:id="576"/>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2"/>
        <w:gridCol w:w="5998"/>
      </w:tblGrid>
      <w:tr w:rsidR="00052293" w14:paraId="2D0D9018" w14:textId="77777777" w:rsidTr="00A47694">
        <w:trPr>
          <w:trHeight w:val="268"/>
        </w:trPr>
        <w:tc>
          <w:tcPr>
            <w:tcW w:w="3022" w:type="dxa"/>
          </w:tcPr>
          <w:p w14:paraId="361A70BF" w14:textId="77777777" w:rsidR="00052293" w:rsidRPr="00052293" w:rsidRDefault="00052293" w:rsidP="00052293">
            <w:pPr>
              <w:pStyle w:val="TableParagraph"/>
              <w:spacing w:line="248" w:lineRule="exact"/>
              <w:ind w:left="149"/>
              <w:rPr>
                <w:rFonts w:asciiTheme="minorHAnsi" w:hAnsiTheme="minorHAnsi" w:cstheme="minorHAnsi"/>
                <w:b/>
              </w:rPr>
            </w:pPr>
            <w:r w:rsidRPr="00052293">
              <w:rPr>
                <w:rFonts w:asciiTheme="minorHAnsi" w:hAnsiTheme="minorHAnsi" w:cstheme="minorHAnsi"/>
                <w:b/>
                <w:spacing w:val="-2"/>
              </w:rPr>
              <w:t>Type:</w:t>
            </w:r>
          </w:p>
        </w:tc>
        <w:tc>
          <w:tcPr>
            <w:tcW w:w="5998" w:type="dxa"/>
          </w:tcPr>
          <w:p w14:paraId="2F6411D9" w14:textId="77777777" w:rsidR="00052293" w:rsidRPr="00052293" w:rsidRDefault="00052293" w:rsidP="00052293">
            <w:pPr>
              <w:pStyle w:val="TableParagraph"/>
              <w:spacing w:line="248" w:lineRule="exact"/>
              <w:ind w:left="111"/>
              <w:rPr>
                <w:rFonts w:asciiTheme="minorHAnsi" w:hAnsiTheme="minorHAnsi" w:cstheme="minorHAnsi"/>
              </w:rPr>
            </w:pPr>
            <w:r w:rsidRPr="00052293">
              <w:rPr>
                <w:rFonts w:asciiTheme="minorHAnsi" w:hAnsiTheme="minorHAnsi" w:cstheme="minorHAnsi"/>
              </w:rPr>
              <w:t>Regulatory</w:t>
            </w:r>
            <w:r w:rsidRPr="00052293">
              <w:rPr>
                <w:rFonts w:asciiTheme="minorHAnsi" w:hAnsiTheme="minorHAnsi" w:cstheme="minorHAnsi"/>
                <w:spacing w:val="-8"/>
              </w:rPr>
              <w:t xml:space="preserve"> </w:t>
            </w:r>
            <w:r w:rsidRPr="00052293">
              <w:rPr>
                <w:rFonts w:asciiTheme="minorHAnsi" w:hAnsiTheme="minorHAnsi" w:cstheme="minorHAnsi"/>
              </w:rPr>
              <w:t>Services,</w:t>
            </w:r>
            <w:r w:rsidRPr="00052293">
              <w:rPr>
                <w:rFonts w:asciiTheme="minorHAnsi" w:hAnsiTheme="minorHAnsi" w:cstheme="minorHAnsi"/>
                <w:spacing w:val="-9"/>
              </w:rPr>
              <w:t xml:space="preserve"> </w:t>
            </w:r>
            <w:r w:rsidRPr="00052293">
              <w:rPr>
                <w:rFonts w:asciiTheme="minorHAnsi" w:hAnsiTheme="minorHAnsi" w:cstheme="minorHAnsi"/>
              </w:rPr>
              <w:t>Environmental</w:t>
            </w:r>
            <w:r w:rsidRPr="00052293">
              <w:rPr>
                <w:rFonts w:asciiTheme="minorHAnsi" w:hAnsiTheme="minorHAnsi" w:cstheme="minorHAnsi"/>
                <w:spacing w:val="-10"/>
              </w:rPr>
              <w:t xml:space="preserve"> </w:t>
            </w:r>
            <w:r w:rsidRPr="00052293">
              <w:rPr>
                <w:rFonts w:asciiTheme="minorHAnsi" w:hAnsiTheme="minorHAnsi" w:cstheme="minorHAnsi"/>
                <w:spacing w:val="-2"/>
              </w:rPr>
              <w:t>Health</w:t>
            </w:r>
          </w:p>
        </w:tc>
      </w:tr>
      <w:tr w:rsidR="00052293" w14:paraId="3DE9D1EC" w14:textId="77777777" w:rsidTr="00A47694">
        <w:trPr>
          <w:trHeight w:val="335"/>
        </w:trPr>
        <w:tc>
          <w:tcPr>
            <w:tcW w:w="3022" w:type="dxa"/>
          </w:tcPr>
          <w:p w14:paraId="7C5DAF86" w14:textId="77777777" w:rsidR="00052293" w:rsidRPr="00052293" w:rsidRDefault="00052293" w:rsidP="00052293">
            <w:pPr>
              <w:pStyle w:val="TableParagraph"/>
              <w:spacing w:before="6"/>
              <w:ind w:left="149"/>
              <w:rPr>
                <w:rFonts w:asciiTheme="minorHAnsi" w:hAnsiTheme="minorHAnsi" w:cstheme="minorHAnsi"/>
                <w:b/>
              </w:rPr>
            </w:pPr>
            <w:r w:rsidRPr="00052293">
              <w:rPr>
                <w:rFonts w:asciiTheme="minorHAnsi" w:hAnsiTheme="minorHAnsi" w:cstheme="minorHAnsi"/>
                <w:b/>
                <w:spacing w:val="-2"/>
              </w:rPr>
              <w:t>Legislation:</w:t>
            </w:r>
          </w:p>
        </w:tc>
        <w:tc>
          <w:tcPr>
            <w:tcW w:w="5998" w:type="dxa"/>
          </w:tcPr>
          <w:p w14:paraId="31239A79" w14:textId="77777777" w:rsidR="00052293" w:rsidRPr="00052293" w:rsidRDefault="00052293" w:rsidP="00052293">
            <w:pPr>
              <w:pStyle w:val="TableParagraph"/>
              <w:spacing w:before="6"/>
              <w:ind w:left="111"/>
              <w:rPr>
                <w:rFonts w:asciiTheme="minorHAnsi" w:hAnsiTheme="minorHAnsi" w:cstheme="minorHAnsi"/>
              </w:rPr>
            </w:pPr>
            <w:r w:rsidRPr="00052293">
              <w:rPr>
                <w:rFonts w:asciiTheme="minorHAnsi" w:hAnsiTheme="minorHAnsi" w:cstheme="minorHAnsi"/>
              </w:rPr>
              <w:t>Public</w:t>
            </w:r>
            <w:r w:rsidRPr="00052293">
              <w:rPr>
                <w:rFonts w:asciiTheme="minorHAnsi" w:hAnsiTheme="minorHAnsi" w:cstheme="minorHAnsi"/>
                <w:spacing w:val="-6"/>
              </w:rPr>
              <w:t xml:space="preserve"> </w:t>
            </w:r>
            <w:r w:rsidRPr="00052293">
              <w:rPr>
                <w:rFonts w:asciiTheme="minorHAnsi" w:hAnsiTheme="minorHAnsi" w:cstheme="minorHAnsi"/>
              </w:rPr>
              <w:t>Places</w:t>
            </w:r>
            <w:r w:rsidRPr="00052293">
              <w:rPr>
                <w:rFonts w:asciiTheme="minorHAnsi" w:hAnsiTheme="minorHAnsi" w:cstheme="minorHAnsi"/>
                <w:spacing w:val="-8"/>
              </w:rPr>
              <w:t xml:space="preserve"> </w:t>
            </w:r>
            <w:r w:rsidRPr="00052293">
              <w:rPr>
                <w:rFonts w:asciiTheme="minorHAnsi" w:hAnsiTheme="minorHAnsi" w:cstheme="minorHAnsi"/>
              </w:rPr>
              <w:t>and</w:t>
            </w:r>
            <w:r w:rsidRPr="00052293">
              <w:rPr>
                <w:rFonts w:asciiTheme="minorHAnsi" w:hAnsiTheme="minorHAnsi" w:cstheme="minorHAnsi"/>
                <w:spacing w:val="-7"/>
              </w:rPr>
              <w:t xml:space="preserve"> </w:t>
            </w:r>
            <w:r w:rsidRPr="00052293">
              <w:rPr>
                <w:rFonts w:asciiTheme="minorHAnsi" w:hAnsiTheme="minorHAnsi" w:cstheme="minorHAnsi"/>
              </w:rPr>
              <w:t>Local</w:t>
            </w:r>
            <w:r w:rsidRPr="00052293">
              <w:rPr>
                <w:rFonts w:asciiTheme="minorHAnsi" w:hAnsiTheme="minorHAnsi" w:cstheme="minorHAnsi"/>
                <w:spacing w:val="-8"/>
              </w:rPr>
              <w:t xml:space="preserve"> </w:t>
            </w:r>
            <w:r w:rsidRPr="00052293">
              <w:rPr>
                <w:rFonts w:asciiTheme="minorHAnsi" w:hAnsiTheme="minorHAnsi" w:cstheme="minorHAnsi"/>
              </w:rPr>
              <w:t>Government</w:t>
            </w:r>
            <w:r w:rsidRPr="00052293">
              <w:rPr>
                <w:rFonts w:asciiTheme="minorHAnsi" w:hAnsiTheme="minorHAnsi" w:cstheme="minorHAnsi"/>
                <w:spacing w:val="-6"/>
              </w:rPr>
              <w:t xml:space="preserve"> </w:t>
            </w:r>
            <w:r w:rsidRPr="00052293">
              <w:rPr>
                <w:rFonts w:asciiTheme="minorHAnsi" w:hAnsiTheme="minorHAnsi" w:cstheme="minorHAnsi"/>
              </w:rPr>
              <w:t>Property</w:t>
            </w:r>
            <w:r w:rsidRPr="00052293">
              <w:rPr>
                <w:rFonts w:asciiTheme="minorHAnsi" w:hAnsiTheme="minorHAnsi" w:cstheme="minorHAnsi"/>
                <w:spacing w:val="-7"/>
              </w:rPr>
              <w:t xml:space="preserve"> </w:t>
            </w:r>
            <w:r w:rsidRPr="00052293">
              <w:rPr>
                <w:rFonts w:asciiTheme="minorHAnsi" w:hAnsiTheme="minorHAnsi" w:cstheme="minorHAnsi"/>
              </w:rPr>
              <w:t>Local</w:t>
            </w:r>
            <w:r w:rsidRPr="00052293">
              <w:rPr>
                <w:rFonts w:asciiTheme="minorHAnsi" w:hAnsiTheme="minorHAnsi" w:cstheme="minorHAnsi"/>
                <w:spacing w:val="-9"/>
              </w:rPr>
              <w:t xml:space="preserve"> </w:t>
            </w:r>
            <w:r w:rsidRPr="00052293">
              <w:rPr>
                <w:rFonts w:asciiTheme="minorHAnsi" w:hAnsiTheme="minorHAnsi" w:cstheme="minorHAnsi"/>
              </w:rPr>
              <w:t>Law</w:t>
            </w:r>
            <w:r w:rsidRPr="00052293">
              <w:rPr>
                <w:rFonts w:asciiTheme="minorHAnsi" w:hAnsiTheme="minorHAnsi" w:cstheme="minorHAnsi"/>
                <w:spacing w:val="-4"/>
              </w:rPr>
              <w:t xml:space="preserve"> 2016</w:t>
            </w:r>
          </w:p>
        </w:tc>
      </w:tr>
      <w:tr w:rsidR="00052293" w14:paraId="11C5B529" w14:textId="77777777" w:rsidTr="00A47694">
        <w:trPr>
          <w:trHeight w:val="265"/>
        </w:trPr>
        <w:tc>
          <w:tcPr>
            <w:tcW w:w="3022" w:type="dxa"/>
          </w:tcPr>
          <w:p w14:paraId="4E272CE4" w14:textId="77777777" w:rsidR="00052293" w:rsidRPr="00052293" w:rsidRDefault="00052293" w:rsidP="00052293">
            <w:pPr>
              <w:pStyle w:val="TableParagraph"/>
              <w:spacing w:line="246" w:lineRule="exact"/>
              <w:ind w:left="149"/>
              <w:rPr>
                <w:rFonts w:asciiTheme="minorHAnsi" w:hAnsiTheme="minorHAnsi" w:cstheme="minorHAnsi"/>
                <w:b/>
              </w:rPr>
            </w:pPr>
            <w:r w:rsidRPr="00052293">
              <w:rPr>
                <w:rFonts w:asciiTheme="minorHAnsi" w:hAnsiTheme="minorHAnsi" w:cstheme="minorHAnsi"/>
                <w:b/>
                <w:spacing w:val="-2"/>
              </w:rPr>
              <w:t>Delegation:</w:t>
            </w:r>
          </w:p>
        </w:tc>
        <w:tc>
          <w:tcPr>
            <w:tcW w:w="5998" w:type="dxa"/>
          </w:tcPr>
          <w:p w14:paraId="4FF1FEB8" w14:textId="77777777" w:rsidR="00052293" w:rsidRPr="00052293" w:rsidRDefault="00052293" w:rsidP="00A47694">
            <w:pPr>
              <w:pStyle w:val="TableParagraph"/>
              <w:ind w:left="0"/>
              <w:rPr>
                <w:rFonts w:asciiTheme="minorHAnsi" w:hAnsiTheme="minorHAnsi" w:cstheme="minorHAnsi"/>
                <w:sz w:val="18"/>
              </w:rPr>
            </w:pPr>
          </w:p>
        </w:tc>
      </w:tr>
      <w:tr w:rsidR="00052293" w14:paraId="2FE7706F" w14:textId="77777777" w:rsidTr="00A47694">
        <w:trPr>
          <w:trHeight w:val="537"/>
        </w:trPr>
        <w:tc>
          <w:tcPr>
            <w:tcW w:w="3022" w:type="dxa"/>
          </w:tcPr>
          <w:p w14:paraId="68C390FA" w14:textId="77777777" w:rsidR="00052293" w:rsidRPr="00052293" w:rsidRDefault="00052293" w:rsidP="00052293">
            <w:pPr>
              <w:pStyle w:val="TableParagraph"/>
              <w:spacing w:before="6"/>
              <w:ind w:left="149"/>
              <w:rPr>
                <w:rFonts w:asciiTheme="minorHAnsi" w:hAnsiTheme="minorHAnsi" w:cstheme="minorHAnsi"/>
                <w:b/>
              </w:rPr>
            </w:pPr>
            <w:r w:rsidRPr="00052293">
              <w:rPr>
                <w:rFonts w:asciiTheme="minorHAnsi" w:hAnsiTheme="minorHAnsi" w:cstheme="minorHAnsi"/>
                <w:b/>
              </w:rPr>
              <w:t>Other</w:t>
            </w:r>
            <w:r w:rsidRPr="00052293">
              <w:rPr>
                <w:rFonts w:asciiTheme="minorHAnsi" w:hAnsiTheme="minorHAnsi" w:cstheme="minorHAnsi"/>
                <w:b/>
                <w:spacing w:val="-7"/>
              </w:rPr>
              <w:t xml:space="preserve"> </w:t>
            </w:r>
            <w:r w:rsidRPr="00052293">
              <w:rPr>
                <w:rFonts w:asciiTheme="minorHAnsi" w:hAnsiTheme="minorHAnsi" w:cstheme="minorHAnsi"/>
                <w:b/>
              </w:rPr>
              <w:t>Related</w:t>
            </w:r>
            <w:r w:rsidRPr="00052293">
              <w:rPr>
                <w:rFonts w:asciiTheme="minorHAnsi" w:hAnsiTheme="minorHAnsi" w:cstheme="minorHAnsi"/>
                <w:b/>
                <w:spacing w:val="-10"/>
              </w:rPr>
              <w:t xml:space="preserve"> </w:t>
            </w:r>
            <w:r w:rsidRPr="00052293">
              <w:rPr>
                <w:rFonts w:asciiTheme="minorHAnsi" w:hAnsiTheme="minorHAnsi" w:cstheme="minorHAnsi"/>
                <w:b/>
                <w:spacing w:val="-2"/>
              </w:rPr>
              <w:t>Document:</w:t>
            </w:r>
          </w:p>
        </w:tc>
        <w:tc>
          <w:tcPr>
            <w:tcW w:w="5998" w:type="dxa"/>
          </w:tcPr>
          <w:p w14:paraId="319DB1AB" w14:textId="77777777" w:rsidR="00052293" w:rsidRPr="00052293" w:rsidRDefault="00052293" w:rsidP="00052293">
            <w:pPr>
              <w:pStyle w:val="TableParagraph"/>
              <w:spacing w:before="6" w:line="260" w:lineRule="exact"/>
              <w:ind w:left="111"/>
              <w:rPr>
                <w:rFonts w:asciiTheme="minorHAnsi" w:hAnsiTheme="minorHAnsi" w:cstheme="minorHAnsi"/>
              </w:rPr>
            </w:pPr>
            <w:r w:rsidRPr="00052293">
              <w:rPr>
                <w:rFonts w:asciiTheme="minorHAnsi" w:hAnsiTheme="minorHAnsi" w:cstheme="minorHAnsi"/>
              </w:rPr>
              <w:t>Town</w:t>
            </w:r>
            <w:r w:rsidRPr="00052293">
              <w:rPr>
                <w:rFonts w:asciiTheme="minorHAnsi" w:hAnsiTheme="minorHAnsi" w:cstheme="minorHAnsi"/>
                <w:spacing w:val="-9"/>
              </w:rPr>
              <w:t xml:space="preserve"> </w:t>
            </w:r>
            <w:r w:rsidRPr="00052293">
              <w:rPr>
                <w:rFonts w:asciiTheme="minorHAnsi" w:hAnsiTheme="minorHAnsi" w:cstheme="minorHAnsi"/>
              </w:rPr>
              <w:t>of</w:t>
            </w:r>
            <w:r w:rsidRPr="00052293">
              <w:rPr>
                <w:rFonts w:asciiTheme="minorHAnsi" w:hAnsiTheme="minorHAnsi" w:cstheme="minorHAnsi"/>
                <w:spacing w:val="-9"/>
              </w:rPr>
              <w:t xml:space="preserve"> </w:t>
            </w:r>
            <w:r w:rsidRPr="00052293">
              <w:rPr>
                <w:rFonts w:asciiTheme="minorHAnsi" w:hAnsiTheme="minorHAnsi" w:cstheme="minorHAnsi"/>
              </w:rPr>
              <w:t>East</w:t>
            </w:r>
            <w:r w:rsidRPr="00052293">
              <w:rPr>
                <w:rFonts w:asciiTheme="minorHAnsi" w:hAnsiTheme="minorHAnsi" w:cstheme="minorHAnsi"/>
                <w:spacing w:val="-6"/>
              </w:rPr>
              <w:t xml:space="preserve"> </w:t>
            </w:r>
            <w:r w:rsidRPr="00052293">
              <w:rPr>
                <w:rFonts w:asciiTheme="minorHAnsi" w:hAnsiTheme="minorHAnsi" w:cstheme="minorHAnsi"/>
              </w:rPr>
              <w:t>Fremantle</w:t>
            </w:r>
            <w:r w:rsidRPr="00052293">
              <w:rPr>
                <w:rFonts w:asciiTheme="minorHAnsi" w:hAnsiTheme="minorHAnsi" w:cstheme="minorHAnsi"/>
                <w:spacing w:val="-5"/>
              </w:rPr>
              <w:t xml:space="preserve"> </w:t>
            </w:r>
            <w:r w:rsidRPr="00052293">
              <w:rPr>
                <w:rFonts w:asciiTheme="minorHAnsi" w:hAnsiTheme="minorHAnsi" w:cstheme="minorHAnsi"/>
              </w:rPr>
              <w:t>Greening</w:t>
            </w:r>
            <w:r w:rsidRPr="00052293">
              <w:rPr>
                <w:rFonts w:asciiTheme="minorHAnsi" w:hAnsiTheme="minorHAnsi" w:cstheme="minorHAnsi"/>
                <w:spacing w:val="-4"/>
              </w:rPr>
              <w:t xml:space="preserve"> </w:t>
            </w:r>
            <w:r w:rsidRPr="00052293">
              <w:rPr>
                <w:rFonts w:asciiTheme="minorHAnsi" w:hAnsiTheme="minorHAnsi" w:cstheme="minorHAnsi"/>
                <w:spacing w:val="-2"/>
              </w:rPr>
              <w:t>Guidelines</w:t>
            </w:r>
          </w:p>
          <w:p w14:paraId="09B5C7B7" w14:textId="77777777" w:rsidR="00052293" w:rsidRPr="00052293" w:rsidRDefault="00052293" w:rsidP="00052293">
            <w:pPr>
              <w:pStyle w:val="TableParagraph"/>
              <w:spacing w:line="251" w:lineRule="exact"/>
              <w:ind w:left="111"/>
              <w:rPr>
                <w:rFonts w:asciiTheme="minorHAnsi" w:hAnsiTheme="minorHAnsi" w:cstheme="minorHAnsi"/>
                <w:spacing w:val="-2"/>
              </w:rPr>
            </w:pPr>
            <w:r w:rsidRPr="00052293">
              <w:rPr>
                <w:rFonts w:asciiTheme="minorHAnsi" w:hAnsiTheme="minorHAnsi" w:cstheme="minorHAnsi"/>
              </w:rPr>
              <w:t>Maintenance</w:t>
            </w:r>
            <w:r w:rsidRPr="00052293">
              <w:rPr>
                <w:rFonts w:asciiTheme="minorHAnsi" w:hAnsiTheme="minorHAnsi" w:cstheme="minorHAnsi"/>
                <w:spacing w:val="-4"/>
              </w:rPr>
              <w:t xml:space="preserve"> </w:t>
            </w:r>
            <w:r w:rsidRPr="00052293">
              <w:rPr>
                <w:rFonts w:asciiTheme="minorHAnsi" w:hAnsiTheme="minorHAnsi" w:cstheme="minorHAnsi"/>
              </w:rPr>
              <w:t>and</w:t>
            </w:r>
            <w:r w:rsidRPr="00052293">
              <w:rPr>
                <w:rFonts w:asciiTheme="minorHAnsi" w:hAnsiTheme="minorHAnsi" w:cstheme="minorHAnsi"/>
                <w:spacing w:val="-5"/>
              </w:rPr>
              <w:t xml:space="preserve"> </w:t>
            </w:r>
            <w:r w:rsidRPr="00052293">
              <w:rPr>
                <w:rFonts w:asciiTheme="minorHAnsi" w:hAnsiTheme="minorHAnsi" w:cstheme="minorHAnsi"/>
              </w:rPr>
              <w:t>Removal</w:t>
            </w:r>
            <w:r w:rsidRPr="00052293">
              <w:rPr>
                <w:rFonts w:asciiTheme="minorHAnsi" w:hAnsiTheme="minorHAnsi" w:cstheme="minorHAnsi"/>
                <w:spacing w:val="-10"/>
              </w:rPr>
              <w:t xml:space="preserve"> </w:t>
            </w:r>
            <w:r w:rsidRPr="00052293">
              <w:rPr>
                <w:rFonts w:asciiTheme="minorHAnsi" w:hAnsiTheme="minorHAnsi" w:cstheme="minorHAnsi"/>
              </w:rPr>
              <w:t>of</w:t>
            </w:r>
            <w:r w:rsidRPr="00052293">
              <w:rPr>
                <w:rFonts w:asciiTheme="minorHAnsi" w:hAnsiTheme="minorHAnsi" w:cstheme="minorHAnsi"/>
                <w:spacing w:val="-8"/>
              </w:rPr>
              <w:t xml:space="preserve"> </w:t>
            </w:r>
            <w:r w:rsidRPr="00052293">
              <w:rPr>
                <w:rFonts w:asciiTheme="minorHAnsi" w:hAnsiTheme="minorHAnsi" w:cstheme="minorHAnsi"/>
              </w:rPr>
              <w:t>Public</w:t>
            </w:r>
            <w:r w:rsidRPr="00052293">
              <w:rPr>
                <w:rFonts w:asciiTheme="minorHAnsi" w:hAnsiTheme="minorHAnsi" w:cstheme="minorHAnsi"/>
                <w:spacing w:val="-3"/>
              </w:rPr>
              <w:t xml:space="preserve"> </w:t>
            </w:r>
            <w:r w:rsidRPr="00052293">
              <w:rPr>
                <w:rFonts w:asciiTheme="minorHAnsi" w:hAnsiTheme="minorHAnsi" w:cstheme="minorHAnsi"/>
              </w:rPr>
              <w:t>and</w:t>
            </w:r>
            <w:r w:rsidRPr="00052293">
              <w:rPr>
                <w:rFonts w:asciiTheme="minorHAnsi" w:hAnsiTheme="minorHAnsi" w:cstheme="minorHAnsi"/>
                <w:spacing w:val="-6"/>
              </w:rPr>
              <w:t xml:space="preserve"> </w:t>
            </w:r>
            <w:r w:rsidRPr="00052293">
              <w:rPr>
                <w:rFonts w:asciiTheme="minorHAnsi" w:hAnsiTheme="minorHAnsi" w:cstheme="minorHAnsi"/>
              </w:rPr>
              <w:t>Verge</w:t>
            </w:r>
            <w:r w:rsidRPr="00052293">
              <w:rPr>
                <w:rFonts w:asciiTheme="minorHAnsi" w:hAnsiTheme="minorHAnsi" w:cstheme="minorHAnsi"/>
                <w:spacing w:val="-7"/>
              </w:rPr>
              <w:t xml:space="preserve"> </w:t>
            </w:r>
            <w:r w:rsidRPr="00052293">
              <w:rPr>
                <w:rFonts w:asciiTheme="minorHAnsi" w:hAnsiTheme="minorHAnsi" w:cstheme="minorHAnsi"/>
              </w:rPr>
              <w:t>Trees</w:t>
            </w:r>
            <w:r w:rsidRPr="00052293">
              <w:rPr>
                <w:rFonts w:asciiTheme="minorHAnsi" w:hAnsiTheme="minorHAnsi" w:cstheme="minorHAnsi"/>
                <w:spacing w:val="-5"/>
              </w:rPr>
              <w:t xml:space="preserve"> </w:t>
            </w:r>
            <w:r w:rsidRPr="00052293">
              <w:rPr>
                <w:rFonts w:asciiTheme="minorHAnsi" w:hAnsiTheme="minorHAnsi" w:cstheme="minorHAnsi"/>
                <w:spacing w:val="-2"/>
              </w:rPr>
              <w:t>Policy</w:t>
            </w:r>
          </w:p>
          <w:p w14:paraId="1DBB5BC0" w14:textId="77777777" w:rsidR="00052293" w:rsidRPr="00052293" w:rsidRDefault="00052293" w:rsidP="00052293">
            <w:pPr>
              <w:pStyle w:val="TableParagraph"/>
              <w:spacing w:line="251" w:lineRule="exact"/>
              <w:ind w:left="111"/>
              <w:rPr>
                <w:rFonts w:asciiTheme="minorHAnsi" w:hAnsiTheme="minorHAnsi" w:cstheme="minorHAnsi"/>
                <w:spacing w:val="-2"/>
              </w:rPr>
            </w:pPr>
            <w:r w:rsidRPr="00052293">
              <w:rPr>
                <w:rFonts w:asciiTheme="minorHAnsi" w:hAnsiTheme="minorHAnsi" w:cstheme="minorHAnsi"/>
                <w:spacing w:val="-2"/>
              </w:rPr>
              <w:t xml:space="preserve">Climate Emergency Strategy 2022-2032 </w:t>
            </w:r>
          </w:p>
          <w:p w14:paraId="37BB84EE" w14:textId="77777777" w:rsidR="00052293" w:rsidRPr="00052293" w:rsidRDefault="00052293" w:rsidP="00052293">
            <w:pPr>
              <w:pStyle w:val="TableParagraph"/>
              <w:spacing w:line="251" w:lineRule="exact"/>
              <w:ind w:left="111"/>
              <w:rPr>
                <w:rFonts w:asciiTheme="minorHAnsi" w:hAnsiTheme="minorHAnsi" w:cstheme="minorHAnsi"/>
              </w:rPr>
            </w:pPr>
            <w:r w:rsidRPr="00052293">
              <w:rPr>
                <w:rFonts w:asciiTheme="minorHAnsi" w:hAnsiTheme="minorHAnsi" w:cstheme="minorHAnsi"/>
                <w:spacing w:val="-2"/>
              </w:rPr>
              <w:t>Climate Emergency Action Plan 2023 - 2033</w:t>
            </w:r>
          </w:p>
        </w:tc>
      </w:tr>
    </w:tbl>
    <w:p w14:paraId="5CD12139" w14:textId="77777777" w:rsidR="00052293" w:rsidRPr="00D4082F" w:rsidRDefault="00052293" w:rsidP="00052293">
      <w:pPr>
        <w:pStyle w:val="BodyText"/>
        <w:spacing w:before="3"/>
        <w:ind w:left="0"/>
        <w:rPr>
          <w:b/>
          <w:sz w:val="24"/>
          <w:szCs w:val="24"/>
        </w:rPr>
      </w:pPr>
    </w:p>
    <w:p w14:paraId="5DF46BCF" w14:textId="77777777" w:rsidR="00052293" w:rsidRDefault="00052293" w:rsidP="00D03274">
      <w:pPr>
        <w:spacing w:after="0" w:line="341" w:lineRule="exact"/>
        <w:ind w:left="120"/>
        <w:rPr>
          <w:b/>
          <w:spacing w:val="-2"/>
          <w:sz w:val="28"/>
        </w:rPr>
      </w:pPr>
      <w:r>
        <w:rPr>
          <w:b/>
          <w:spacing w:val="-2"/>
          <w:sz w:val="28"/>
        </w:rPr>
        <w:t>Objective</w:t>
      </w:r>
    </w:p>
    <w:p w14:paraId="04D8D7D1" w14:textId="77777777" w:rsidR="00052293" w:rsidRPr="00052293" w:rsidRDefault="00052293" w:rsidP="00052293">
      <w:pPr>
        <w:pStyle w:val="BodyText"/>
        <w:spacing w:line="242" w:lineRule="auto"/>
        <w:ind w:left="142" w:right="219"/>
        <w:rPr>
          <w:rFonts w:asciiTheme="minorHAnsi" w:hAnsiTheme="minorHAnsi" w:cstheme="minorHAnsi"/>
        </w:rPr>
      </w:pPr>
      <w:r w:rsidRPr="00052293">
        <w:rPr>
          <w:rFonts w:asciiTheme="minorHAnsi" w:hAnsiTheme="minorHAnsi" w:cstheme="minorHAnsi"/>
        </w:rPr>
        <w:t>To</w:t>
      </w:r>
      <w:r w:rsidRPr="00052293">
        <w:rPr>
          <w:rFonts w:asciiTheme="minorHAnsi" w:hAnsiTheme="minorHAnsi" w:cstheme="minorHAnsi"/>
          <w:spacing w:val="-1"/>
        </w:rPr>
        <w:t xml:space="preserve"> </w:t>
      </w:r>
      <w:r w:rsidRPr="00052293">
        <w:rPr>
          <w:rFonts w:asciiTheme="minorHAnsi" w:hAnsiTheme="minorHAnsi" w:cstheme="minorHAnsi"/>
        </w:rPr>
        <w:t>promote the installation</w:t>
      </w:r>
      <w:r w:rsidRPr="00052293">
        <w:rPr>
          <w:rFonts w:asciiTheme="minorHAnsi" w:hAnsiTheme="minorHAnsi" w:cstheme="minorHAnsi"/>
          <w:spacing w:val="-1"/>
        </w:rPr>
        <w:t xml:space="preserve"> </w:t>
      </w:r>
      <w:r w:rsidRPr="00052293">
        <w:rPr>
          <w:rFonts w:asciiTheme="minorHAnsi" w:hAnsiTheme="minorHAnsi" w:cstheme="minorHAnsi"/>
        </w:rPr>
        <w:t>of</w:t>
      </w:r>
      <w:r w:rsidRPr="00052293">
        <w:rPr>
          <w:rFonts w:asciiTheme="minorHAnsi" w:hAnsiTheme="minorHAnsi" w:cstheme="minorHAnsi"/>
          <w:spacing w:val="-2"/>
        </w:rPr>
        <w:t xml:space="preserve"> </w:t>
      </w:r>
      <w:r w:rsidRPr="00052293">
        <w:rPr>
          <w:rFonts w:asciiTheme="minorHAnsi" w:hAnsiTheme="minorHAnsi" w:cstheme="minorHAnsi"/>
        </w:rPr>
        <w:t>soft</w:t>
      </w:r>
      <w:r w:rsidRPr="00052293">
        <w:rPr>
          <w:rFonts w:asciiTheme="minorHAnsi" w:hAnsiTheme="minorHAnsi" w:cstheme="minorHAnsi"/>
          <w:spacing w:val="-1"/>
        </w:rPr>
        <w:t xml:space="preserve"> </w:t>
      </w:r>
      <w:r w:rsidRPr="00052293">
        <w:rPr>
          <w:rFonts w:asciiTheme="minorHAnsi" w:hAnsiTheme="minorHAnsi" w:cstheme="minorHAnsi"/>
        </w:rPr>
        <w:t xml:space="preserve">landscaping in the local road verge area, </w:t>
      </w:r>
      <w:proofErr w:type="spellStart"/>
      <w:r w:rsidRPr="00052293">
        <w:rPr>
          <w:rFonts w:asciiTheme="minorHAnsi" w:hAnsiTheme="minorHAnsi" w:cstheme="minorHAnsi"/>
        </w:rPr>
        <w:t>utilising</w:t>
      </w:r>
      <w:proofErr w:type="spellEnd"/>
      <w:r w:rsidRPr="00052293">
        <w:rPr>
          <w:rFonts w:asciiTheme="minorHAnsi" w:hAnsiTheme="minorHAnsi" w:cstheme="minorHAnsi"/>
        </w:rPr>
        <w:t xml:space="preserve"> vegetation that </w:t>
      </w:r>
      <w:proofErr w:type="spellStart"/>
      <w:r w:rsidRPr="00052293">
        <w:rPr>
          <w:rFonts w:asciiTheme="minorHAnsi" w:hAnsiTheme="minorHAnsi" w:cstheme="minorHAnsi"/>
        </w:rPr>
        <w:t>optimises</w:t>
      </w:r>
      <w:proofErr w:type="spellEnd"/>
      <w:r w:rsidRPr="00052293">
        <w:rPr>
          <w:rFonts w:asciiTheme="minorHAnsi" w:hAnsiTheme="minorHAnsi" w:cstheme="minorHAnsi"/>
        </w:rPr>
        <w:t xml:space="preserve"> permeable surfaces to attain the following objectives:</w:t>
      </w:r>
    </w:p>
    <w:p w14:paraId="0DDC2AD2" w14:textId="77777777" w:rsidR="00052293" w:rsidRDefault="00052293" w:rsidP="00303E96">
      <w:pPr>
        <w:pStyle w:val="ListParagraph"/>
        <w:widowControl w:val="0"/>
        <w:numPr>
          <w:ilvl w:val="0"/>
          <w:numId w:val="532"/>
        </w:numPr>
        <w:tabs>
          <w:tab w:val="left" w:pos="478"/>
        </w:tabs>
        <w:autoSpaceDE w:val="0"/>
        <w:autoSpaceDN w:val="0"/>
        <w:spacing w:before="115" w:after="0" w:line="240" w:lineRule="auto"/>
        <w:ind w:left="478" w:hanging="358"/>
        <w:contextualSpacing w:val="0"/>
      </w:pPr>
      <w:r w:rsidRPr="000410EE">
        <w:t xml:space="preserve">Establish </w:t>
      </w:r>
      <w:proofErr w:type="spellStart"/>
      <w:r w:rsidRPr="000410EE">
        <w:t>livable</w:t>
      </w:r>
      <w:proofErr w:type="spellEnd"/>
      <w:r w:rsidRPr="000410EE">
        <w:t>, waterwise, and green public corridors and verge areas supporting local wildlife and biodiversity.</w:t>
      </w:r>
    </w:p>
    <w:p w14:paraId="52636F1D" w14:textId="77777777" w:rsidR="00052293" w:rsidRDefault="00052293" w:rsidP="00303E96">
      <w:pPr>
        <w:pStyle w:val="ListParagraph"/>
        <w:widowControl w:val="0"/>
        <w:numPr>
          <w:ilvl w:val="0"/>
          <w:numId w:val="532"/>
        </w:numPr>
        <w:tabs>
          <w:tab w:val="left" w:pos="478"/>
        </w:tabs>
        <w:autoSpaceDE w:val="0"/>
        <w:autoSpaceDN w:val="0"/>
        <w:spacing w:after="0" w:line="240" w:lineRule="auto"/>
        <w:ind w:left="478" w:hanging="358"/>
        <w:contextualSpacing w:val="0"/>
      </w:pPr>
      <w:r>
        <w:t>Establish</w:t>
      </w:r>
      <w:r w:rsidRPr="000410EE">
        <w:t xml:space="preserve"> resilient shaded </w:t>
      </w:r>
      <w:r>
        <w:t>spaces</w:t>
      </w:r>
      <w:r w:rsidRPr="000410EE">
        <w:t xml:space="preserve"> that not only mitigate urban heat but also contribute to fostering healthy and </w:t>
      </w:r>
      <w:proofErr w:type="spellStart"/>
      <w:r w:rsidRPr="000410EE">
        <w:t>livable</w:t>
      </w:r>
      <w:proofErr w:type="spellEnd"/>
      <w:r w:rsidRPr="000410EE">
        <w:t xml:space="preserve"> communities within the Town, in response to the challenges posed by climate change.</w:t>
      </w:r>
    </w:p>
    <w:p w14:paraId="4BAA878C" w14:textId="77777777" w:rsidR="00052293" w:rsidRDefault="00052293" w:rsidP="00303E96">
      <w:pPr>
        <w:pStyle w:val="ListParagraph"/>
        <w:widowControl w:val="0"/>
        <w:numPr>
          <w:ilvl w:val="0"/>
          <w:numId w:val="532"/>
        </w:numPr>
        <w:tabs>
          <w:tab w:val="left" w:pos="478"/>
        </w:tabs>
        <w:autoSpaceDE w:val="0"/>
        <w:autoSpaceDN w:val="0"/>
        <w:spacing w:after="0" w:line="240" w:lineRule="auto"/>
        <w:ind w:left="478" w:hanging="358"/>
        <w:contextualSpacing w:val="0"/>
      </w:pPr>
      <w:r>
        <w:t>Limit</w:t>
      </w:r>
      <w:r w:rsidRPr="000410EE">
        <w:t xml:space="preserve"> the discharge of stormwater containing hazardous chemicals and materials</w:t>
      </w:r>
      <w:r>
        <w:t xml:space="preserve"> such as microplastics</w:t>
      </w:r>
      <w:r w:rsidRPr="000410EE">
        <w:t xml:space="preserve"> into sensitive environments, including the Swan River.</w:t>
      </w:r>
    </w:p>
    <w:p w14:paraId="681EE1CB" w14:textId="77777777" w:rsidR="00052293" w:rsidRDefault="00052293" w:rsidP="00303E96">
      <w:pPr>
        <w:pStyle w:val="ListParagraph"/>
        <w:widowControl w:val="0"/>
        <w:numPr>
          <w:ilvl w:val="0"/>
          <w:numId w:val="532"/>
        </w:numPr>
        <w:tabs>
          <w:tab w:val="left" w:pos="478"/>
        </w:tabs>
        <w:autoSpaceDE w:val="0"/>
        <w:autoSpaceDN w:val="0"/>
        <w:spacing w:line="240" w:lineRule="auto"/>
        <w:ind w:left="478" w:hanging="358"/>
        <w:contextualSpacing w:val="0"/>
      </w:pPr>
      <w:r w:rsidRPr="00810D6B">
        <w:t>Enhance the visual appeal of the streetscape and promote public health by contributing to the aesthetic improvement of public spaces.</w:t>
      </w:r>
    </w:p>
    <w:p w14:paraId="03C92415" w14:textId="77777777" w:rsidR="00052293" w:rsidRPr="00D03274" w:rsidRDefault="00052293" w:rsidP="00D03274">
      <w:pPr>
        <w:spacing w:after="0"/>
        <w:ind w:left="142"/>
        <w:rPr>
          <w:b/>
          <w:bCs/>
          <w:sz w:val="28"/>
          <w:szCs w:val="28"/>
        </w:rPr>
      </w:pPr>
      <w:r w:rsidRPr="00D03274">
        <w:rPr>
          <w:b/>
          <w:bCs/>
          <w:sz w:val="28"/>
          <w:szCs w:val="28"/>
        </w:rPr>
        <w:t>Policy Scope</w:t>
      </w:r>
    </w:p>
    <w:p w14:paraId="5679EC5B" w14:textId="77777777" w:rsidR="00052293" w:rsidRPr="00D03274" w:rsidRDefault="00052293" w:rsidP="00D03274">
      <w:pPr>
        <w:pStyle w:val="BodyText"/>
        <w:spacing w:line="242" w:lineRule="auto"/>
        <w:ind w:left="142" w:right="219"/>
        <w:rPr>
          <w:rFonts w:asciiTheme="minorHAnsi" w:hAnsiTheme="minorHAnsi" w:cstheme="minorHAnsi"/>
        </w:rPr>
      </w:pPr>
      <w:r w:rsidRPr="00D03274">
        <w:rPr>
          <w:rFonts w:asciiTheme="minorHAnsi" w:hAnsiTheme="minorHAnsi" w:cstheme="minorHAnsi"/>
        </w:rPr>
        <w:t>This policy is applicable to all land within the road and street verge areas controlled by the Town, where the Town has authority over the road reserve. Although verges are Crown Land, adjacent landowners are responsible for maintaining and enhancing them.</w:t>
      </w:r>
    </w:p>
    <w:p w14:paraId="1E6D37C7" w14:textId="77777777" w:rsidR="00052293" w:rsidRPr="00D03274" w:rsidRDefault="00052293" w:rsidP="00D03274">
      <w:pPr>
        <w:spacing w:before="207" w:after="0" w:line="289" w:lineRule="exact"/>
        <w:ind w:left="120"/>
        <w:rPr>
          <w:i/>
          <w:spacing w:val="-2"/>
          <w:sz w:val="24"/>
          <w:szCs w:val="24"/>
        </w:rPr>
      </w:pPr>
      <w:r w:rsidRPr="00D03274">
        <w:rPr>
          <w:b/>
          <w:sz w:val="24"/>
          <w:szCs w:val="24"/>
        </w:rPr>
        <w:t>Legislative</w:t>
      </w:r>
      <w:r w:rsidRPr="00D03274">
        <w:rPr>
          <w:b/>
          <w:spacing w:val="-8"/>
          <w:sz w:val="24"/>
          <w:szCs w:val="24"/>
        </w:rPr>
        <w:t xml:space="preserve"> </w:t>
      </w:r>
      <w:r w:rsidRPr="00D03274">
        <w:rPr>
          <w:b/>
          <w:spacing w:val="-2"/>
          <w:sz w:val="24"/>
          <w:szCs w:val="24"/>
        </w:rPr>
        <w:t>Requirements</w:t>
      </w:r>
    </w:p>
    <w:p w14:paraId="5F01832A" w14:textId="77777777" w:rsidR="00052293" w:rsidRPr="00096983" w:rsidRDefault="00052293" w:rsidP="00052293">
      <w:pPr>
        <w:ind w:left="120" w:right="426"/>
        <w:rPr>
          <w:iCs/>
        </w:rPr>
      </w:pPr>
      <w:r w:rsidRPr="00096983">
        <w:rPr>
          <w:iCs/>
        </w:rPr>
        <w:t xml:space="preserve">In compliance with the Town of East Fremantle </w:t>
      </w:r>
      <w:hyperlink r:id="rId334" w:history="1">
        <w:r w:rsidRPr="00096983">
          <w:rPr>
            <w:rStyle w:val="Hyperlink"/>
            <w:iCs/>
          </w:rPr>
          <w:t>Public Places and Local Government Property Local Law 2016</w:t>
        </w:r>
      </w:hyperlink>
      <w:r w:rsidRPr="00096983">
        <w:rPr>
          <w:iCs/>
        </w:rPr>
        <w:t>, landowners and occupiers abutting a verge can install a 'permissible verge treatment.' Further details can be found in the Verge Treatment Policy (this policy) and the Town of East Fremantle Public Places and Local Government Property Local Law 2016.</w:t>
      </w:r>
    </w:p>
    <w:p w14:paraId="5811D319" w14:textId="77777777" w:rsidR="00052293" w:rsidRPr="00D03274" w:rsidRDefault="00052293" w:rsidP="00D03274">
      <w:pPr>
        <w:spacing w:after="0"/>
        <w:ind w:left="142"/>
        <w:rPr>
          <w:b/>
          <w:bCs/>
          <w:sz w:val="28"/>
          <w:szCs w:val="28"/>
        </w:rPr>
      </w:pPr>
      <w:r w:rsidRPr="00D03274">
        <w:rPr>
          <w:b/>
          <w:bCs/>
          <w:sz w:val="28"/>
          <w:szCs w:val="28"/>
        </w:rPr>
        <w:t>Policy</w:t>
      </w:r>
    </w:p>
    <w:p w14:paraId="3EDC550D" w14:textId="77777777" w:rsidR="00052293" w:rsidRDefault="00052293" w:rsidP="00052293">
      <w:pPr>
        <w:ind w:left="120" w:right="430"/>
        <w:rPr>
          <w:iCs/>
        </w:rPr>
      </w:pPr>
      <w:r>
        <w:t xml:space="preserve">This policy has been developed in accordance with the Water Corporation’s </w:t>
      </w:r>
      <w:hyperlink r:id="rId335" w:history="1">
        <w:r w:rsidRPr="00810D6B">
          <w:rPr>
            <w:rStyle w:val="Hyperlink"/>
            <w:i/>
          </w:rPr>
          <w:t>Waterwise Verge Best Practice Guidelines</w:t>
        </w:r>
      </w:hyperlink>
      <w:r>
        <w:rPr>
          <w:i/>
        </w:rPr>
        <w:t xml:space="preserve"> </w:t>
      </w:r>
      <w:r>
        <w:t xml:space="preserve">and provides further guidance for permissible verge treatments as stated in the </w:t>
      </w:r>
      <w:r w:rsidRPr="00096983">
        <w:rPr>
          <w:iCs/>
        </w:rPr>
        <w:t>Town of East Fremantle Public Places and Local Government Property Local Law 2016.</w:t>
      </w:r>
    </w:p>
    <w:p w14:paraId="25B7ADF0" w14:textId="77777777" w:rsidR="00052293" w:rsidRPr="00D03274" w:rsidRDefault="00052293" w:rsidP="00D03274">
      <w:pPr>
        <w:spacing w:after="0"/>
        <w:ind w:left="142"/>
        <w:rPr>
          <w:b/>
          <w:bCs/>
          <w:sz w:val="24"/>
          <w:szCs w:val="24"/>
        </w:rPr>
      </w:pPr>
      <w:r w:rsidRPr="00D03274">
        <w:rPr>
          <w:b/>
          <w:bCs/>
          <w:sz w:val="24"/>
          <w:szCs w:val="24"/>
        </w:rPr>
        <w:t>Design</w:t>
      </w:r>
      <w:r w:rsidRPr="00D03274">
        <w:rPr>
          <w:b/>
          <w:bCs/>
          <w:spacing w:val="-8"/>
          <w:sz w:val="24"/>
          <w:szCs w:val="24"/>
        </w:rPr>
        <w:t xml:space="preserve"> </w:t>
      </w:r>
      <w:r w:rsidRPr="00D03274">
        <w:rPr>
          <w:b/>
          <w:bCs/>
          <w:spacing w:val="-2"/>
          <w:sz w:val="24"/>
          <w:szCs w:val="24"/>
        </w:rPr>
        <w:t>Guide</w:t>
      </w:r>
    </w:p>
    <w:p w14:paraId="12989E57" w14:textId="77777777" w:rsidR="00052293" w:rsidRPr="00D03274" w:rsidRDefault="00052293" w:rsidP="00D03274">
      <w:pPr>
        <w:pStyle w:val="BodyText"/>
        <w:spacing w:before="1"/>
        <w:ind w:left="142" w:right="1204"/>
        <w:rPr>
          <w:rFonts w:asciiTheme="minorHAnsi" w:hAnsiTheme="minorHAnsi" w:cstheme="minorHAnsi"/>
        </w:rPr>
      </w:pPr>
      <w:r w:rsidRPr="00D03274">
        <w:rPr>
          <w:rFonts w:asciiTheme="minorHAnsi" w:hAnsiTheme="minorHAnsi" w:cstheme="minorHAnsi"/>
        </w:rPr>
        <w:t>Residents are encouraged to install permeable soft landscaping with the following requirements:</w:t>
      </w:r>
    </w:p>
    <w:p w14:paraId="03FF3465" w14:textId="77777777" w:rsidR="00052293" w:rsidRPr="00D03274" w:rsidRDefault="00052293" w:rsidP="00303E96">
      <w:pPr>
        <w:pStyle w:val="BodyText"/>
        <w:widowControl w:val="0"/>
        <w:numPr>
          <w:ilvl w:val="0"/>
          <w:numId w:val="533"/>
        </w:numPr>
        <w:autoSpaceDE w:val="0"/>
        <w:autoSpaceDN w:val="0"/>
        <w:spacing w:before="1" w:after="0"/>
        <w:ind w:left="839" w:right="1202" w:hanging="357"/>
        <w:jc w:val="both"/>
        <w:rPr>
          <w:rFonts w:asciiTheme="minorHAnsi" w:hAnsiTheme="minorHAnsi" w:cstheme="minorHAnsi"/>
        </w:rPr>
      </w:pPr>
      <w:r w:rsidRPr="00D03274">
        <w:rPr>
          <w:rFonts w:asciiTheme="minorHAnsi" w:hAnsiTheme="minorHAnsi" w:cstheme="minorHAnsi"/>
        </w:rPr>
        <w:lastRenderedPageBreak/>
        <w:t>Features must be set back to provide clear access to infrastructure (underground services, power poles) and not obstruct lines of sight for pedestrians, cyclists, or motorists.</w:t>
      </w:r>
    </w:p>
    <w:p w14:paraId="7089B06D" w14:textId="77777777" w:rsidR="00052293" w:rsidRPr="00D03274" w:rsidRDefault="00052293" w:rsidP="00303E96">
      <w:pPr>
        <w:pStyle w:val="BodyText"/>
        <w:widowControl w:val="0"/>
        <w:numPr>
          <w:ilvl w:val="0"/>
          <w:numId w:val="533"/>
        </w:numPr>
        <w:autoSpaceDE w:val="0"/>
        <w:autoSpaceDN w:val="0"/>
        <w:spacing w:before="1" w:after="0"/>
        <w:ind w:left="839" w:right="1202" w:hanging="357"/>
        <w:jc w:val="both"/>
        <w:rPr>
          <w:rFonts w:asciiTheme="minorHAnsi" w:hAnsiTheme="minorHAnsi" w:cstheme="minorHAnsi"/>
        </w:rPr>
      </w:pPr>
      <w:r w:rsidRPr="00D03274">
        <w:rPr>
          <w:rFonts w:asciiTheme="minorHAnsi" w:hAnsiTheme="minorHAnsi" w:cstheme="minorHAnsi"/>
        </w:rPr>
        <w:t xml:space="preserve">For verges without footpaths, plants should be set back at least one </w:t>
      </w:r>
      <w:proofErr w:type="spellStart"/>
      <w:r w:rsidRPr="00D03274">
        <w:rPr>
          <w:rFonts w:asciiTheme="minorHAnsi" w:hAnsiTheme="minorHAnsi" w:cstheme="minorHAnsi"/>
        </w:rPr>
        <w:t>metre</w:t>
      </w:r>
      <w:proofErr w:type="spellEnd"/>
      <w:r w:rsidRPr="00D03274">
        <w:rPr>
          <w:rFonts w:asciiTheme="minorHAnsi" w:hAnsiTheme="minorHAnsi" w:cstheme="minorHAnsi"/>
        </w:rPr>
        <w:t xml:space="preserve"> from the road </w:t>
      </w:r>
      <w:proofErr w:type="spellStart"/>
      <w:r w:rsidRPr="00D03274">
        <w:rPr>
          <w:rFonts w:asciiTheme="minorHAnsi" w:hAnsiTheme="minorHAnsi" w:cstheme="minorHAnsi"/>
        </w:rPr>
        <w:t>kerb</w:t>
      </w:r>
      <w:proofErr w:type="spellEnd"/>
      <w:r w:rsidRPr="00D03274">
        <w:rPr>
          <w:rFonts w:asciiTheme="minorHAnsi" w:hAnsiTheme="minorHAnsi" w:cstheme="minorHAnsi"/>
        </w:rPr>
        <w:t xml:space="preserve"> to allow for pedestrian movement and waste collection.</w:t>
      </w:r>
    </w:p>
    <w:p w14:paraId="6D42261A" w14:textId="77777777" w:rsidR="00052293" w:rsidRPr="00D03274" w:rsidRDefault="00052293" w:rsidP="00303E96">
      <w:pPr>
        <w:pStyle w:val="BodyText"/>
        <w:widowControl w:val="0"/>
        <w:numPr>
          <w:ilvl w:val="0"/>
          <w:numId w:val="533"/>
        </w:numPr>
        <w:autoSpaceDE w:val="0"/>
        <w:autoSpaceDN w:val="0"/>
        <w:spacing w:before="1" w:after="0"/>
        <w:ind w:left="839" w:right="1202" w:hanging="357"/>
        <w:jc w:val="both"/>
        <w:rPr>
          <w:rFonts w:asciiTheme="minorHAnsi" w:hAnsiTheme="minorHAnsi" w:cstheme="minorHAnsi"/>
        </w:rPr>
      </w:pPr>
      <w:r w:rsidRPr="00D03274">
        <w:rPr>
          <w:rFonts w:asciiTheme="minorHAnsi" w:hAnsiTheme="minorHAnsi" w:cstheme="minorHAnsi"/>
        </w:rPr>
        <w:t xml:space="preserve">Footpaths and </w:t>
      </w:r>
      <w:proofErr w:type="spellStart"/>
      <w:r w:rsidRPr="00D03274">
        <w:rPr>
          <w:rFonts w:asciiTheme="minorHAnsi" w:hAnsiTheme="minorHAnsi" w:cstheme="minorHAnsi"/>
        </w:rPr>
        <w:t>kerbing</w:t>
      </w:r>
      <w:proofErr w:type="spellEnd"/>
      <w:r w:rsidRPr="00D03274">
        <w:rPr>
          <w:rFonts w:asciiTheme="minorHAnsi" w:hAnsiTheme="minorHAnsi" w:cstheme="minorHAnsi"/>
        </w:rPr>
        <w:t xml:space="preserve"> are not to be removed or replaced for landscaping.</w:t>
      </w:r>
    </w:p>
    <w:p w14:paraId="1DBCB1DA" w14:textId="77777777" w:rsidR="00052293" w:rsidRPr="00D03274" w:rsidRDefault="00052293" w:rsidP="00303E96">
      <w:pPr>
        <w:pStyle w:val="BodyText"/>
        <w:widowControl w:val="0"/>
        <w:numPr>
          <w:ilvl w:val="0"/>
          <w:numId w:val="533"/>
        </w:numPr>
        <w:autoSpaceDE w:val="0"/>
        <w:autoSpaceDN w:val="0"/>
        <w:spacing w:before="1" w:after="0"/>
        <w:ind w:left="839" w:right="1202" w:hanging="357"/>
        <w:jc w:val="both"/>
        <w:rPr>
          <w:rFonts w:asciiTheme="minorHAnsi" w:hAnsiTheme="minorHAnsi" w:cstheme="minorHAnsi"/>
        </w:rPr>
      </w:pPr>
      <w:r w:rsidRPr="00D03274">
        <w:rPr>
          <w:rFonts w:asciiTheme="minorHAnsi" w:hAnsiTheme="minorHAnsi" w:cstheme="minorHAnsi"/>
        </w:rPr>
        <w:t>Verge installations must not include unsafe materials or structures.</w:t>
      </w:r>
    </w:p>
    <w:p w14:paraId="6AFFBC27" w14:textId="77777777" w:rsidR="00052293" w:rsidRPr="00D03274" w:rsidRDefault="00052293" w:rsidP="00D03274">
      <w:pPr>
        <w:spacing w:before="200" w:after="0"/>
        <w:ind w:left="142"/>
        <w:rPr>
          <w:b/>
          <w:bCs/>
          <w:sz w:val="24"/>
          <w:szCs w:val="24"/>
        </w:rPr>
      </w:pPr>
      <w:r w:rsidRPr="00D03274">
        <w:rPr>
          <w:b/>
          <w:bCs/>
          <w:sz w:val="24"/>
          <w:szCs w:val="24"/>
        </w:rPr>
        <w:t>Verge</w:t>
      </w:r>
      <w:r w:rsidRPr="00D03274" w:rsidDel="00BE2359">
        <w:rPr>
          <w:b/>
          <w:bCs/>
          <w:sz w:val="24"/>
          <w:szCs w:val="24"/>
        </w:rPr>
        <w:t xml:space="preserve"> </w:t>
      </w:r>
      <w:r w:rsidRPr="00D03274">
        <w:rPr>
          <w:b/>
          <w:bCs/>
          <w:sz w:val="24"/>
          <w:szCs w:val="24"/>
        </w:rPr>
        <w:t>Garden</w:t>
      </w:r>
      <w:r w:rsidRPr="00D03274">
        <w:rPr>
          <w:b/>
          <w:bCs/>
          <w:spacing w:val="-6"/>
          <w:sz w:val="24"/>
          <w:szCs w:val="24"/>
        </w:rPr>
        <w:t xml:space="preserve"> </w:t>
      </w:r>
      <w:r w:rsidRPr="00D03274">
        <w:rPr>
          <w:b/>
          <w:bCs/>
          <w:spacing w:val="-2"/>
          <w:sz w:val="24"/>
          <w:szCs w:val="24"/>
        </w:rPr>
        <w:t>Materials</w:t>
      </w:r>
    </w:p>
    <w:p w14:paraId="6FE21AB4" w14:textId="77777777" w:rsidR="00052293" w:rsidRPr="00D03274" w:rsidRDefault="00052293" w:rsidP="00D03274">
      <w:pPr>
        <w:pStyle w:val="BodyText"/>
        <w:ind w:left="142" w:right="426"/>
        <w:jc w:val="both"/>
        <w:rPr>
          <w:rFonts w:asciiTheme="minorHAnsi" w:hAnsiTheme="minorHAnsi" w:cstheme="minorHAnsi"/>
        </w:rPr>
      </w:pPr>
      <w:r w:rsidRPr="00D03274">
        <w:rPr>
          <w:rFonts w:asciiTheme="minorHAnsi" w:hAnsiTheme="minorHAnsi" w:cstheme="minorHAnsi"/>
        </w:rPr>
        <w:t>The following table outlines acceptable and unacceptable verge treatments. All treatment placed in the verge area should be permeable for water and set back to provide clear sightlines and safety areas for the public and access to any services.</w:t>
      </w:r>
      <w:r w:rsidRPr="00D03274" w:rsidDel="00B00EA8">
        <w:rPr>
          <w:rFonts w:asciiTheme="minorHAnsi" w:hAnsiTheme="minorHAnsi" w:cstheme="minorHAnsi"/>
        </w:rPr>
        <w:t xml:space="preserve"> </w:t>
      </w: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24"/>
        <w:gridCol w:w="5836"/>
      </w:tblGrid>
      <w:tr w:rsidR="00052293" w:rsidRPr="00D03274" w14:paraId="536A72F3" w14:textId="77777777" w:rsidTr="00A47694">
        <w:trPr>
          <w:trHeight w:val="268"/>
        </w:trPr>
        <w:tc>
          <w:tcPr>
            <w:tcW w:w="3524" w:type="dxa"/>
            <w:shd w:val="clear" w:color="auto" w:fill="DAECF3"/>
          </w:tcPr>
          <w:p w14:paraId="50275304" w14:textId="77777777" w:rsidR="00052293" w:rsidRPr="00D03274" w:rsidRDefault="00052293" w:rsidP="00A47694">
            <w:pPr>
              <w:pStyle w:val="TableParagraph"/>
              <w:spacing w:line="248" w:lineRule="exact"/>
              <w:rPr>
                <w:rFonts w:asciiTheme="minorHAnsi" w:hAnsiTheme="minorHAnsi" w:cstheme="minorHAnsi"/>
                <w:b/>
              </w:rPr>
            </w:pPr>
          </w:p>
        </w:tc>
        <w:tc>
          <w:tcPr>
            <w:tcW w:w="5836" w:type="dxa"/>
            <w:shd w:val="clear" w:color="auto" w:fill="DAECF3"/>
          </w:tcPr>
          <w:p w14:paraId="0FA8A263" w14:textId="77777777" w:rsidR="00052293" w:rsidRPr="00D03274" w:rsidRDefault="00052293" w:rsidP="00A47694">
            <w:pPr>
              <w:pStyle w:val="TableParagraph"/>
              <w:spacing w:line="248" w:lineRule="exact"/>
              <w:ind w:left="21"/>
              <w:jc w:val="center"/>
              <w:rPr>
                <w:rFonts w:asciiTheme="minorHAnsi" w:hAnsiTheme="minorHAnsi" w:cstheme="minorHAnsi"/>
                <w:b/>
              </w:rPr>
            </w:pPr>
            <w:r w:rsidRPr="00D03274">
              <w:rPr>
                <w:rFonts w:asciiTheme="minorHAnsi" w:hAnsiTheme="minorHAnsi" w:cstheme="minorHAnsi"/>
                <w:b/>
              </w:rPr>
              <w:t>Material</w:t>
            </w:r>
            <w:r w:rsidRPr="00D03274">
              <w:rPr>
                <w:rFonts w:asciiTheme="minorHAnsi" w:hAnsiTheme="minorHAnsi" w:cstheme="minorHAnsi"/>
                <w:b/>
                <w:spacing w:val="-8"/>
              </w:rPr>
              <w:t xml:space="preserve"> </w:t>
            </w:r>
            <w:r w:rsidRPr="00D03274">
              <w:rPr>
                <w:rFonts w:asciiTheme="minorHAnsi" w:hAnsiTheme="minorHAnsi" w:cstheme="minorHAnsi"/>
                <w:b/>
                <w:spacing w:val="-2"/>
              </w:rPr>
              <w:t>Description</w:t>
            </w:r>
          </w:p>
        </w:tc>
      </w:tr>
      <w:tr w:rsidR="00052293" w:rsidRPr="00D03274" w14:paraId="6BC56F25" w14:textId="77777777" w:rsidTr="00A47694">
        <w:trPr>
          <w:trHeight w:val="1685"/>
        </w:trPr>
        <w:tc>
          <w:tcPr>
            <w:tcW w:w="3524" w:type="dxa"/>
            <w:shd w:val="clear" w:color="auto" w:fill="EAF1DD" w:themeFill="accent3" w:themeFillTint="33"/>
          </w:tcPr>
          <w:p w14:paraId="35C8BCF4" w14:textId="77777777" w:rsidR="00052293" w:rsidRPr="00D03274" w:rsidRDefault="00052293" w:rsidP="00D03274">
            <w:pPr>
              <w:pStyle w:val="TableParagraph"/>
              <w:spacing w:before="6"/>
              <w:ind w:left="149"/>
              <w:rPr>
                <w:rFonts w:asciiTheme="minorHAnsi" w:hAnsiTheme="minorHAnsi" w:cstheme="minorHAnsi"/>
                <w:spacing w:val="-10"/>
              </w:rPr>
            </w:pPr>
            <w:r w:rsidRPr="00D03274">
              <w:rPr>
                <w:rFonts w:asciiTheme="minorHAnsi" w:hAnsiTheme="minorHAnsi" w:cstheme="minorHAnsi"/>
                <w:spacing w:val="-10"/>
              </w:rPr>
              <w:t xml:space="preserve">Verge Treatments </w:t>
            </w:r>
          </w:p>
          <w:p w14:paraId="7105ACF6" w14:textId="77777777" w:rsidR="00052293" w:rsidRPr="00D03274" w:rsidRDefault="00052293" w:rsidP="00D03274">
            <w:pPr>
              <w:pStyle w:val="TableParagraph"/>
              <w:spacing w:before="6"/>
              <w:ind w:left="149"/>
              <w:rPr>
                <w:rFonts w:asciiTheme="minorHAnsi" w:hAnsiTheme="minorHAnsi" w:cstheme="minorHAnsi"/>
              </w:rPr>
            </w:pPr>
            <w:r w:rsidRPr="00D03274">
              <w:rPr>
                <w:rFonts w:asciiTheme="minorHAnsi" w:hAnsiTheme="minorHAnsi" w:cstheme="minorHAnsi"/>
              </w:rPr>
              <w:t>Approved</w:t>
            </w:r>
            <w:r w:rsidRPr="00D03274">
              <w:rPr>
                <w:rFonts w:asciiTheme="minorHAnsi" w:hAnsiTheme="minorHAnsi" w:cstheme="minorHAnsi"/>
                <w:spacing w:val="-10"/>
              </w:rPr>
              <w:t xml:space="preserve"> </w:t>
            </w:r>
            <w:r w:rsidRPr="00D03274">
              <w:rPr>
                <w:rFonts w:asciiTheme="minorHAnsi" w:hAnsiTheme="minorHAnsi" w:cstheme="minorHAnsi"/>
                <w:b/>
              </w:rPr>
              <w:t>no</w:t>
            </w:r>
            <w:r w:rsidRPr="00D03274">
              <w:rPr>
                <w:rFonts w:asciiTheme="minorHAnsi" w:hAnsiTheme="minorHAnsi" w:cstheme="minorHAnsi"/>
                <w:b/>
                <w:spacing w:val="-7"/>
              </w:rPr>
              <w:t xml:space="preserve"> </w:t>
            </w:r>
            <w:r w:rsidRPr="00D03274">
              <w:rPr>
                <w:rFonts w:asciiTheme="minorHAnsi" w:hAnsiTheme="minorHAnsi" w:cstheme="minorHAnsi"/>
                <w:b/>
              </w:rPr>
              <w:t>approval</w:t>
            </w:r>
            <w:r w:rsidRPr="00D03274">
              <w:rPr>
                <w:rFonts w:asciiTheme="minorHAnsi" w:hAnsiTheme="minorHAnsi" w:cstheme="minorHAnsi"/>
                <w:b/>
                <w:spacing w:val="-8"/>
              </w:rPr>
              <w:t xml:space="preserve"> </w:t>
            </w:r>
            <w:r w:rsidRPr="00D03274">
              <w:rPr>
                <w:rFonts w:asciiTheme="minorHAnsi" w:hAnsiTheme="minorHAnsi" w:cstheme="minorHAnsi"/>
                <w:b/>
                <w:spacing w:val="-2"/>
              </w:rPr>
              <w:t>required</w:t>
            </w:r>
          </w:p>
        </w:tc>
        <w:tc>
          <w:tcPr>
            <w:tcW w:w="5836" w:type="dxa"/>
          </w:tcPr>
          <w:p w14:paraId="01C94EC9" w14:textId="77777777" w:rsidR="00052293" w:rsidRPr="00D03274" w:rsidRDefault="00052293" w:rsidP="00303E96">
            <w:pPr>
              <w:pStyle w:val="TableParagraph"/>
              <w:numPr>
                <w:ilvl w:val="0"/>
                <w:numId w:val="530"/>
              </w:numPr>
              <w:tabs>
                <w:tab w:val="left" w:pos="453"/>
              </w:tabs>
              <w:ind w:right="231"/>
              <w:rPr>
                <w:rFonts w:asciiTheme="minorHAnsi" w:hAnsiTheme="minorHAnsi" w:cstheme="minorHAnsi"/>
              </w:rPr>
            </w:pPr>
            <w:r w:rsidRPr="00D03274">
              <w:rPr>
                <w:rFonts w:asciiTheme="minorHAnsi" w:hAnsiTheme="minorHAnsi" w:cstheme="minorHAnsi"/>
              </w:rPr>
              <w:t>Mulch</w:t>
            </w:r>
            <w:r w:rsidRPr="00D03274">
              <w:rPr>
                <w:rFonts w:asciiTheme="minorHAnsi" w:hAnsiTheme="minorHAnsi" w:cstheme="minorHAnsi"/>
                <w:spacing w:val="-4"/>
              </w:rPr>
              <w:t xml:space="preserve"> (</w:t>
            </w:r>
            <w:r w:rsidRPr="00D03274">
              <w:rPr>
                <w:rFonts w:asciiTheme="minorHAnsi" w:hAnsiTheme="minorHAnsi" w:cstheme="minorHAnsi"/>
              </w:rPr>
              <w:t>contained</w:t>
            </w:r>
            <w:r w:rsidRPr="00D03274">
              <w:rPr>
                <w:rFonts w:asciiTheme="minorHAnsi" w:hAnsiTheme="minorHAnsi" w:cstheme="minorHAnsi"/>
                <w:spacing w:val="-6"/>
              </w:rPr>
              <w:t xml:space="preserve"> </w:t>
            </w:r>
            <w:r w:rsidRPr="00D03274">
              <w:rPr>
                <w:rFonts w:asciiTheme="minorHAnsi" w:hAnsiTheme="minorHAnsi" w:cstheme="minorHAnsi"/>
              </w:rPr>
              <w:t>within</w:t>
            </w:r>
            <w:r w:rsidRPr="00D03274">
              <w:rPr>
                <w:rFonts w:asciiTheme="minorHAnsi" w:hAnsiTheme="minorHAnsi" w:cstheme="minorHAnsi"/>
                <w:spacing w:val="-7"/>
              </w:rPr>
              <w:t xml:space="preserve"> </w:t>
            </w:r>
            <w:r w:rsidRPr="00D03274">
              <w:rPr>
                <w:rFonts w:asciiTheme="minorHAnsi" w:hAnsiTheme="minorHAnsi" w:cstheme="minorHAnsi"/>
              </w:rPr>
              <w:t>the boundary of the verge).</w:t>
            </w:r>
          </w:p>
          <w:p w14:paraId="22E01A69" w14:textId="77777777" w:rsidR="00052293" w:rsidRPr="00D03274" w:rsidRDefault="00052293" w:rsidP="00303E96">
            <w:pPr>
              <w:pStyle w:val="TableParagraph"/>
              <w:numPr>
                <w:ilvl w:val="0"/>
                <w:numId w:val="530"/>
              </w:numPr>
              <w:tabs>
                <w:tab w:val="left" w:pos="453"/>
              </w:tabs>
              <w:ind w:right="231"/>
              <w:rPr>
                <w:rFonts w:asciiTheme="minorHAnsi" w:hAnsiTheme="minorHAnsi" w:cstheme="minorHAnsi"/>
              </w:rPr>
            </w:pPr>
            <w:r w:rsidRPr="00D03274">
              <w:rPr>
                <w:rFonts w:asciiTheme="minorHAnsi" w:hAnsiTheme="minorHAnsi" w:cstheme="minorHAnsi"/>
              </w:rPr>
              <w:t>Maintained</w:t>
            </w:r>
            <w:r w:rsidRPr="00D03274">
              <w:rPr>
                <w:rFonts w:asciiTheme="minorHAnsi" w:hAnsiTheme="minorHAnsi" w:cstheme="minorHAnsi"/>
                <w:spacing w:val="-6"/>
              </w:rPr>
              <w:t xml:space="preserve"> </w:t>
            </w:r>
            <w:r w:rsidRPr="00D03274">
              <w:rPr>
                <w:rFonts w:asciiTheme="minorHAnsi" w:hAnsiTheme="minorHAnsi" w:cstheme="minorHAnsi"/>
              </w:rPr>
              <w:t>gardens</w:t>
            </w:r>
            <w:r w:rsidRPr="00D03274">
              <w:rPr>
                <w:rFonts w:asciiTheme="minorHAnsi" w:hAnsiTheme="minorHAnsi" w:cstheme="minorHAnsi"/>
                <w:spacing w:val="-9"/>
              </w:rPr>
              <w:t xml:space="preserve"> </w:t>
            </w:r>
            <w:r w:rsidRPr="00D03274">
              <w:rPr>
                <w:rFonts w:asciiTheme="minorHAnsi" w:hAnsiTheme="minorHAnsi" w:cstheme="minorHAnsi"/>
              </w:rPr>
              <w:t>native</w:t>
            </w:r>
            <w:r w:rsidRPr="00D03274">
              <w:rPr>
                <w:rFonts w:asciiTheme="minorHAnsi" w:hAnsiTheme="minorHAnsi" w:cstheme="minorHAnsi"/>
                <w:spacing w:val="-6"/>
              </w:rPr>
              <w:t xml:space="preserve"> </w:t>
            </w:r>
            <w:r w:rsidRPr="00D03274">
              <w:rPr>
                <w:rFonts w:asciiTheme="minorHAnsi" w:hAnsiTheme="minorHAnsi" w:cstheme="minorHAnsi"/>
              </w:rPr>
              <w:t>and</w:t>
            </w:r>
            <w:r w:rsidRPr="00D03274">
              <w:rPr>
                <w:rFonts w:asciiTheme="minorHAnsi" w:hAnsiTheme="minorHAnsi" w:cstheme="minorHAnsi"/>
                <w:spacing w:val="-7"/>
              </w:rPr>
              <w:t xml:space="preserve"> </w:t>
            </w:r>
            <w:r w:rsidRPr="00D03274">
              <w:rPr>
                <w:rFonts w:asciiTheme="minorHAnsi" w:hAnsiTheme="minorHAnsi" w:cstheme="minorHAnsi"/>
              </w:rPr>
              <w:t>waterwise</w:t>
            </w:r>
            <w:r w:rsidRPr="00D03274">
              <w:rPr>
                <w:rFonts w:asciiTheme="minorHAnsi" w:hAnsiTheme="minorHAnsi" w:cstheme="minorHAnsi"/>
                <w:spacing w:val="-5"/>
              </w:rPr>
              <w:t xml:space="preserve"> </w:t>
            </w:r>
            <w:r w:rsidRPr="00D03274">
              <w:rPr>
                <w:rFonts w:asciiTheme="minorHAnsi" w:hAnsiTheme="minorHAnsi" w:cstheme="minorHAnsi"/>
              </w:rPr>
              <w:t>preferred</w:t>
            </w:r>
            <w:r w:rsidRPr="00D03274">
              <w:rPr>
                <w:rFonts w:asciiTheme="minorHAnsi" w:hAnsiTheme="minorHAnsi" w:cstheme="minorHAnsi"/>
                <w:spacing w:val="-9"/>
              </w:rPr>
              <w:t xml:space="preserve"> </w:t>
            </w:r>
            <w:r w:rsidRPr="00D03274">
              <w:rPr>
                <w:rFonts w:asciiTheme="minorHAnsi" w:hAnsiTheme="minorHAnsi" w:cstheme="minorHAnsi"/>
              </w:rPr>
              <w:t>(below 750mm)</w:t>
            </w:r>
          </w:p>
          <w:p w14:paraId="0A61FA21" w14:textId="77777777" w:rsidR="00052293" w:rsidRPr="00D03274" w:rsidRDefault="00052293" w:rsidP="00303E96">
            <w:pPr>
              <w:pStyle w:val="TableParagraph"/>
              <w:numPr>
                <w:ilvl w:val="0"/>
                <w:numId w:val="530"/>
              </w:numPr>
              <w:tabs>
                <w:tab w:val="left" w:pos="452"/>
              </w:tabs>
              <w:ind w:right="231"/>
              <w:rPr>
                <w:rFonts w:asciiTheme="minorHAnsi" w:hAnsiTheme="minorHAnsi" w:cstheme="minorHAnsi"/>
              </w:rPr>
            </w:pPr>
            <w:r w:rsidRPr="00D03274">
              <w:rPr>
                <w:rFonts w:asciiTheme="minorHAnsi" w:hAnsiTheme="minorHAnsi" w:cstheme="minorHAnsi"/>
              </w:rPr>
              <w:t xml:space="preserve">Drought-tolerant lawn varieties such as couch, kikuyu, and warm-season buffalo (however, lawn verges not preferred). </w:t>
            </w:r>
          </w:p>
        </w:tc>
      </w:tr>
      <w:tr w:rsidR="00052293" w:rsidRPr="00D03274" w14:paraId="281AFB9C" w14:textId="77777777" w:rsidTr="00A47694">
        <w:trPr>
          <w:trHeight w:val="1170"/>
        </w:trPr>
        <w:tc>
          <w:tcPr>
            <w:tcW w:w="3524" w:type="dxa"/>
            <w:shd w:val="clear" w:color="auto" w:fill="EAF1DD" w:themeFill="accent3" w:themeFillTint="33"/>
          </w:tcPr>
          <w:p w14:paraId="1045D043" w14:textId="77777777" w:rsidR="00052293" w:rsidRPr="00D03274" w:rsidRDefault="00052293" w:rsidP="00D03274">
            <w:pPr>
              <w:pStyle w:val="TableParagraph"/>
              <w:spacing w:line="268" w:lineRule="exact"/>
              <w:ind w:left="149"/>
              <w:rPr>
                <w:rFonts w:asciiTheme="minorHAnsi" w:hAnsiTheme="minorHAnsi" w:cstheme="minorHAnsi"/>
              </w:rPr>
            </w:pPr>
            <w:r w:rsidRPr="00D03274">
              <w:rPr>
                <w:rFonts w:asciiTheme="minorHAnsi" w:hAnsiTheme="minorHAnsi" w:cstheme="minorHAnsi"/>
                <w:spacing w:val="-11"/>
              </w:rPr>
              <w:t>Verge Treatments</w:t>
            </w:r>
            <w:r w:rsidRPr="00D03274" w:rsidDel="00BB221B">
              <w:rPr>
                <w:rFonts w:asciiTheme="minorHAnsi" w:hAnsiTheme="minorHAnsi" w:cstheme="minorHAnsi"/>
              </w:rPr>
              <w:t xml:space="preserve"> </w:t>
            </w:r>
          </w:p>
          <w:p w14:paraId="61534A84" w14:textId="77777777" w:rsidR="00052293" w:rsidRPr="00D03274" w:rsidRDefault="00052293" w:rsidP="00D03274">
            <w:pPr>
              <w:pStyle w:val="TableParagraph"/>
              <w:spacing w:line="268" w:lineRule="exact"/>
              <w:ind w:left="149"/>
              <w:rPr>
                <w:rFonts w:asciiTheme="minorHAnsi" w:hAnsiTheme="minorHAnsi" w:cstheme="minorHAnsi"/>
                <w:b/>
                <w:spacing w:val="-2"/>
                <w:u w:val="single"/>
              </w:rPr>
            </w:pPr>
            <w:r w:rsidRPr="00D03274">
              <w:rPr>
                <w:rFonts w:asciiTheme="minorHAnsi" w:hAnsiTheme="minorHAnsi" w:cstheme="minorHAnsi"/>
              </w:rPr>
              <w:t>Approved</w:t>
            </w:r>
            <w:r w:rsidRPr="00D03274">
              <w:rPr>
                <w:rFonts w:asciiTheme="minorHAnsi" w:hAnsiTheme="minorHAnsi" w:cstheme="minorHAnsi"/>
                <w:spacing w:val="-11"/>
              </w:rPr>
              <w:t xml:space="preserve"> </w:t>
            </w:r>
            <w:r w:rsidRPr="00D03274">
              <w:rPr>
                <w:rFonts w:asciiTheme="minorHAnsi" w:hAnsiTheme="minorHAnsi" w:cstheme="minorHAnsi"/>
                <w:b/>
                <w:u w:val="single"/>
              </w:rPr>
              <w:t>subject</w:t>
            </w:r>
            <w:r w:rsidRPr="00D03274">
              <w:rPr>
                <w:rFonts w:asciiTheme="minorHAnsi" w:hAnsiTheme="minorHAnsi" w:cstheme="minorHAnsi"/>
                <w:b/>
                <w:spacing w:val="-5"/>
                <w:u w:val="single"/>
              </w:rPr>
              <w:t xml:space="preserve"> </w:t>
            </w:r>
            <w:r w:rsidRPr="00D03274">
              <w:rPr>
                <w:rFonts w:asciiTheme="minorHAnsi" w:hAnsiTheme="minorHAnsi" w:cstheme="minorHAnsi"/>
                <w:b/>
                <w:u w:val="single"/>
              </w:rPr>
              <w:t>to</w:t>
            </w:r>
            <w:r w:rsidRPr="00D03274">
              <w:rPr>
                <w:rFonts w:asciiTheme="minorHAnsi" w:hAnsiTheme="minorHAnsi" w:cstheme="minorHAnsi"/>
                <w:b/>
                <w:spacing w:val="-6"/>
                <w:u w:val="single"/>
              </w:rPr>
              <w:t xml:space="preserve"> </w:t>
            </w:r>
            <w:r w:rsidRPr="00D03274">
              <w:rPr>
                <w:rFonts w:asciiTheme="minorHAnsi" w:hAnsiTheme="minorHAnsi" w:cstheme="minorHAnsi"/>
                <w:b/>
                <w:spacing w:val="-2"/>
                <w:u w:val="single"/>
              </w:rPr>
              <w:t>approval</w:t>
            </w:r>
          </w:p>
          <w:p w14:paraId="535EA249" w14:textId="77777777" w:rsidR="00052293" w:rsidRPr="00D03274" w:rsidRDefault="00052293" w:rsidP="00D03274">
            <w:pPr>
              <w:pStyle w:val="TableParagraph"/>
              <w:spacing w:line="268" w:lineRule="exact"/>
              <w:ind w:left="149"/>
              <w:rPr>
                <w:rFonts w:asciiTheme="minorHAnsi" w:hAnsiTheme="minorHAnsi" w:cstheme="minorHAnsi"/>
                <w:spacing w:val="-11"/>
              </w:rPr>
            </w:pPr>
            <w:r w:rsidRPr="00D03274">
              <w:rPr>
                <w:rFonts w:asciiTheme="minorHAnsi" w:hAnsiTheme="minorHAnsi" w:cstheme="minorHAnsi"/>
                <w:spacing w:val="-11"/>
              </w:rPr>
              <w:t xml:space="preserve"> </w:t>
            </w:r>
          </w:p>
        </w:tc>
        <w:tc>
          <w:tcPr>
            <w:tcW w:w="5836" w:type="dxa"/>
          </w:tcPr>
          <w:p w14:paraId="7084BFC8" w14:textId="77777777" w:rsidR="00052293" w:rsidRPr="00D03274" w:rsidRDefault="00052293" w:rsidP="00303E96">
            <w:pPr>
              <w:pStyle w:val="TableParagraph"/>
              <w:numPr>
                <w:ilvl w:val="0"/>
                <w:numId w:val="529"/>
              </w:numPr>
              <w:tabs>
                <w:tab w:val="left" w:pos="453"/>
              </w:tabs>
              <w:ind w:right="441"/>
              <w:rPr>
                <w:rFonts w:asciiTheme="minorHAnsi" w:hAnsiTheme="minorHAnsi" w:cstheme="minorHAnsi"/>
              </w:rPr>
            </w:pPr>
            <w:r w:rsidRPr="00D03274">
              <w:rPr>
                <w:rFonts w:asciiTheme="minorHAnsi" w:hAnsiTheme="minorHAnsi" w:cstheme="minorHAnsi"/>
              </w:rPr>
              <w:t>Irrigation installed in the verge.</w:t>
            </w:r>
          </w:p>
          <w:p w14:paraId="2FBE3FC3" w14:textId="77777777" w:rsidR="00052293" w:rsidRPr="00D03274" w:rsidRDefault="00052293" w:rsidP="00303E96">
            <w:pPr>
              <w:pStyle w:val="TableParagraph"/>
              <w:numPr>
                <w:ilvl w:val="0"/>
                <w:numId w:val="529"/>
              </w:numPr>
              <w:tabs>
                <w:tab w:val="left" w:pos="453"/>
              </w:tabs>
              <w:ind w:right="441"/>
              <w:rPr>
                <w:rFonts w:asciiTheme="minorHAnsi" w:hAnsiTheme="minorHAnsi" w:cstheme="minorHAnsi"/>
              </w:rPr>
            </w:pPr>
            <w:r w:rsidRPr="00D03274">
              <w:rPr>
                <w:rFonts w:asciiTheme="minorHAnsi" w:hAnsiTheme="minorHAnsi" w:cstheme="minorHAnsi"/>
              </w:rPr>
              <w:t>Edible plants, ensuring regular harvesting and preventing any produce from being left on the ground to decompose (less than 750mm).</w:t>
            </w:r>
          </w:p>
          <w:p w14:paraId="30A0E918" w14:textId="77777777" w:rsidR="00052293" w:rsidRPr="00D03274" w:rsidRDefault="00052293" w:rsidP="00A47694">
            <w:pPr>
              <w:pStyle w:val="TableParagraph"/>
              <w:tabs>
                <w:tab w:val="left" w:pos="453"/>
              </w:tabs>
              <w:ind w:left="453" w:right="441"/>
              <w:rPr>
                <w:rFonts w:asciiTheme="minorHAnsi" w:hAnsiTheme="minorHAnsi" w:cstheme="minorHAnsi"/>
              </w:rPr>
            </w:pPr>
          </w:p>
        </w:tc>
      </w:tr>
      <w:tr w:rsidR="00052293" w:rsidRPr="00D03274" w14:paraId="2C917CE2" w14:textId="77777777" w:rsidTr="00A47694">
        <w:trPr>
          <w:trHeight w:val="2219"/>
        </w:trPr>
        <w:tc>
          <w:tcPr>
            <w:tcW w:w="3524" w:type="dxa"/>
            <w:shd w:val="clear" w:color="auto" w:fill="F2DBDB" w:themeFill="accent2" w:themeFillTint="33"/>
          </w:tcPr>
          <w:p w14:paraId="2E336ADC" w14:textId="77777777" w:rsidR="00052293" w:rsidRPr="00D03274" w:rsidRDefault="00052293" w:rsidP="00D03274">
            <w:pPr>
              <w:pStyle w:val="TableParagraph"/>
              <w:spacing w:before="4"/>
              <w:ind w:left="149"/>
              <w:rPr>
                <w:rFonts w:asciiTheme="minorHAnsi" w:hAnsiTheme="minorHAnsi" w:cstheme="minorHAnsi"/>
              </w:rPr>
            </w:pPr>
            <w:r w:rsidRPr="00D03274">
              <w:rPr>
                <w:rFonts w:asciiTheme="minorHAnsi" w:hAnsiTheme="minorHAnsi" w:cstheme="minorHAnsi"/>
              </w:rPr>
              <w:t xml:space="preserve">Unapproved Verge Treatments </w:t>
            </w:r>
          </w:p>
          <w:p w14:paraId="059755F0" w14:textId="77777777" w:rsidR="00052293" w:rsidRPr="00D03274" w:rsidRDefault="00052293" w:rsidP="00D03274">
            <w:pPr>
              <w:pStyle w:val="TableParagraph"/>
              <w:spacing w:before="5"/>
              <w:ind w:left="149"/>
              <w:rPr>
                <w:rFonts w:asciiTheme="minorHAnsi" w:hAnsiTheme="minorHAnsi" w:cstheme="minorHAnsi"/>
              </w:rPr>
            </w:pPr>
          </w:p>
          <w:p w14:paraId="19C88DC4" w14:textId="77777777" w:rsidR="00052293" w:rsidRPr="00D03274" w:rsidRDefault="00052293" w:rsidP="00D03274">
            <w:pPr>
              <w:pStyle w:val="TableParagraph"/>
              <w:ind w:left="149"/>
              <w:rPr>
                <w:rFonts w:asciiTheme="minorHAnsi" w:hAnsiTheme="minorHAnsi" w:cstheme="minorHAnsi"/>
              </w:rPr>
            </w:pPr>
            <w:r w:rsidRPr="00D03274">
              <w:rPr>
                <w:rFonts w:asciiTheme="minorHAnsi" w:hAnsiTheme="minorHAnsi" w:cstheme="minorHAnsi"/>
              </w:rPr>
              <w:t>When the Town deems a material, structure, or verge treatment to be hazardous or posing a significant risk to the public the material will be deemed unacceptable</w:t>
            </w:r>
          </w:p>
        </w:tc>
        <w:tc>
          <w:tcPr>
            <w:tcW w:w="5836" w:type="dxa"/>
          </w:tcPr>
          <w:p w14:paraId="3DF346CF" w14:textId="77777777" w:rsidR="00052293" w:rsidRPr="00D03274" w:rsidRDefault="00052293" w:rsidP="00303E96">
            <w:pPr>
              <w:pStyle w:val="TableParagraph"/>
              <w:numPr>
                <w:ilvl w:val="0"/>
                <w:numId w:val="528"/>
              </w:numPr>
              <w:tabs>
                <w:tab w:val="left" w:pos="453"/>
              </w:tabs>
              <w:ind w:right="83"/>
              <w:jc w:val="both"/>
              <w:rPr>
                <w:rFonts w:asciiTheme="minorHAnsi" w:hAnsiTheme="minorHAnsi" w:cstheme="minorHAnsi"/>
              </w:rPr>
            </w:pPr>
            <w:r w:rsidRPr="00D03274">
              <w:rPr>
                <w:rFonts w:asciiTheme="minorHAnsi" w:hAnsiTheme="minorHAnsi" w:cstheme="minorHAnsi"/>
              </w:rPr>
              <w:t xml:space="preserve">Toxic, spikey, or poisonous plants or plantings. </w:t>
            </w:r>
            <w:r w:rsidRPr="00D03274">
              <w:rPr>
                <w:rFonts w:asciiTheme="minorHAnsi" w:hAnsiTheme="minorHAnsi" w:cstheme="minorHAnsi"/>
                <w:spacing w:val="-6"/>
              </w:rPr>
              <w:t xml:space="preserve"> </w:t>
            </w:r>
          </w:p>
          <w:p w14:paraId="38F04C4A" w14:textId="77777777" w:rsidR="00052293" w:rsidRPr="00D03274" w:rsidRDefault="00052293" w:rsidP="00303E96">
            <w:pPr>
              <w:pStyle w:val="TableParagraph"/>
              <w:numPr>
                <w:ilvl w:val="0"/>
                <w:numId w:val="528"/>
              </w:numPr>
              <w:tabs>
                <w:tab w:val="left" w:pos="452"/>
              </w:tabs>
              <w:spacing w:before="3" w:line="278" w:lineRule="exact"/>
              <w:ind w:left="452" w:hanging="285"/>
              <w:jc w:val="both"/>
              <w:rPr>
                <w:rFonts w:asciiTheme="minorHAnsi" w:hAnsiTheme="minorHAnsi" w:cstheme="minorHAnsi"/>
              </w:rPr>
            </w:pPr>
            <w:r w:rsidRPr="00D03274">
              <w:rPr>
                <w:rFonts w:asciiTheme="minorHAnsi" w:hAnsiTheme="minorHAnsi" w:cstheme="minorHAnsi"/>
              </w:rPr>
              <w:t>Paving,</w:t>
            </w:r>
            <w:r w:rsidRPr="00D03274">
              <w:rPr>
                <w:rFonts w:asciiTheme="minorHAnsi" w:hAnsiTheme="minorHAnsi" w:cstheme="minorHAnsi"/>
                <w:spacing w:val="-4"/>
              </w:rPr>
              <w:t xml:space="preserve"> </w:t>
            </w:r>
            <w:r w:rsidRPr="00D03274">
              <w:rPr>
                <w:rFonts w:asciiTheme="minorHAnsi" w:hAnsiTheme="minorHAnsi" w:cstheme="minorHAnsi"/>
              </w:rPr>
              <w:t>concrete,</w:t>
            </w:r>
            <w:r w:rsidRPr="00D03274">
              <w:rPr>
                <w:rFonts w:asciiTheme="minorHAnsi" w:hAnsiTheme="minorHAnsi" w:cstheme="minorHAnsi"/>
                <w:spacing w:val="-5"/>
              </w:rPr>
              <w:t xml:space="preserve"> </w:t>
            </w:r>
            <w:r w:rsidRPr="00D03274">
              <w:rPr>
                <w:rFonts w:asciiTheme="minorHAnsi" w:hAnsiTheme="minorHAnsi" w:cstheme="minorHAnsi"/>
              </w:rPr>
              <w:t>or</w:t>
            </w:r>
            <w:r w:rsidRPr="00D03274">
              <w:rPr>
                <w:rFonts w:asciiTheme="minorHAnsi" w:hAnsiTheme="minorHAnsi" w:cstheme="minorHAnsi"/>
                <w:spacing w:val="-10"/>
              </w:rPr>
              <w:t xml:space="preserve"> </w:t>
            </w:r>
            <w:r w:rsidRPr="00D03274">
              <w:rPr>
                <w:rFonts w:asciiTheme="minorHAnsi" w:hAnsiTheme="minorHAnsi" w:cstheme="minorHAnsi"/>
              </w:rPr>
              <w:t>other</w:t>
            </w:r>
            <w:r w:rsidRPr="00D03274">
              <w:rPr>
                <w:rFonts w:asciiTheme="minorHAnsi" w:hAnsiTheme="minorHAnsi" w:cstheme="minorHAnsi"/>
                <w:spacing w:val="-10"/>
              </w:rPr>
              <w:t xml:space="preserve"> </w:t>
            </w:r>
            <w:r w:rsidRPr="00D03274">
              <w:rPr>
                <w:rFonts w:asciiTheme="minorHAnsi" w:hAnsiTheme="minorHAnsi" w:cstheme="minorHAnsi"/>
              </w:rPr>
              <w:t>similar</w:t>
            </w:r>
            <w:r w:rsidRPr="00D03274">
              <w:rPr>
                <w:rFonts w:asciiTheme="minorHAnsi" w:hAnsiTheme="minorHAnsi" w:cstheme="minorHAnsi"/>
                <w:spacing w:val="-5"/>
              </w:rPr>
              <w:t xml:space="preserve"> </w:t>
            </w:r>
            <w:r w:rsidRPr="00D03274">
              <w:rPr>
                <w:rFonts w:asciiTheme="minorHAnsi" w:hAnsiTheme="minorHAnsi" w:cstheme="minorHAnsi"/>
              </w:rPr>
              <w:t>hardstand</w:t>
            </w:r>
            <w:r w:rsidRPr="00D03274">
              <w:rPr>
                <w:rFonts w:asciiTheme="minorHAnsi" w:hAnsiTheme="minorHAnsi" w:cstheme="minorHAnsi"/>
                <w:spacing w:val="-5"/>
              </w:rPr>
              <w:t xml:space="preserve"> </w:t>
            </w:r>
            <w:r w:rsidRPr="00D03274">
              <w:rPr>
                <w:rFonts w:asciiTheme="minorHAnsi" w:hAnsiTheme="minorHAnsi" w:cstheme="minorHAnsi"/>
                <w:spacing w:val="-2"/>
              </w:rPr>
              <w:t>materials.</w:t>
            </w:r>
          </w:p>
          <w:p w14:paraId="75AB8B98" w14:textId="77777777" w:rsidR="00052293" w:rsidRPr="00D03274" w:rsidRDefault="00052293" w:rsidP="00303E96">
            <w:pPr>
              <w:pStyle w:val="TableParagraph"/>
              <w:numPr>
                <w:ilvl w:val="0"/>
                <w:numId w:val="528"/>
              </w:numPr>
              <w:tabs>
                <w:tab w:val="left" w:pos="452"/>
              </w:tabs>
              <w:spacing w:line="278" w:lineRule="exact"/>
              <w:ind w:left="452" w:hanging="285"/>
              <w:jc w:val="both"/>
              <w:rPr>
                <w:rFonts w:asciiTheme="minorHAnsi" w:hAnsiTheme="minorHAnsi" w:cstheme="minorHAnsi"/>
              </w:rPr>
            </w:pPr>
            <w:r w:rsidRPr="00D03274">
              <w:rPr>
                <w:rFonts w:asciiTheme="minorHAnsi" w:hAnsiTheme="minorHAnsi" w:cstheme="minorHAnsi"/>
              </w:rPr>
              <w:t>Limestone</w:t>
            </w:r>
            <w:r w:rsidRPr="00D03274">
              <w:rPr>
                <w:rFonts w:asciiTheme="minorHAnsi" w:hAnsiTheme="minorHAnsi" w:cstheme="minorHAnsi"/>
                <w:spacing w:val="-5"/>
              </w:rPr>
              <w:t xml:space="preserve"> </w:t>
            </w:r>
            <w:r w:rsidRPr="00D03274">
              <w:rPr>
                <w:rFonts w:asciiTheme="minorHAnsi" w:hAnsiTheme="minorHAnsi" w:cstheme="minorHAnsi"/>
              </w:rPr>
              <w:t>rubble,</w:t>
            </w:r>
            <w:r w:rsidRPr="00D03274">
              <w:rPr>
                <w:rFonts w:asciiTheme="minorHAnsi" w:hAnsiTheme="minorHAnsi" w:cstheme="minorHAnsi"/>
                <w:spacing w:val="-5"/>
              </w:rPr>
              <w:t xml:space="preserve"> </w:t>
            </w:r>
            <w:r w:rsidRPr="00D03274">
              <w:rPr>
                <w:rFonts w:asciiTheme="minorHAnsi" w:hAnsiTheme="minorHAnsi" w:cstheme="minorHAnsi"/>
              </w:rPr>
              <w:t>gravel,</w:t>
            </w:r>
            <w:r w:rsidRPr="00D03274">
              <w:rPr>
                <w:rFonts w:asciiTheme="minorHAnsi" w:hAnsiTheme="minorHAnsi" w:cstheme="minorHAnsi"/>
                <w:spacing w:val="-5"/>
              </w:rPr>
              <w:t xml:space="preserve"> </w:t>
            </w:r>
            <w:r w:rsidRPr="00D03274">
              <w:rPr>
                <w:rFonts w:asciiTheme="minorHAnsi" w:hAnsiTheme="minorHAnsi" w:cstheme="minorHAnsi"/>
              </w:rPr>
              <w:t>or</w:t>
            </w:r>
            <w:r w:rsidRPr="00D03274">
              <w:rPr>
                <w:rFonts w:asciiTheme="minorHAnsi" w:hAnsiTheme="minorHAnsi" w:cstheme="minorHAnsi"/>
                <w:spacing w:val="-4"/>
              </w:rPr>
              <w:t xml:space="preserve"> </w:t>
            </w:r>
            <w:r w:rsidRPr="00D03274">
              <w:rPr>
                <w:rFonts w:asciiTheme="minorHAnsi" w:hAnsiTheme="minorHAnsi" w:cstheme="minorHAnsi"/>
              </w:rPr>
              <w:t>any</w:t>
            </w:r>
            <w:r w:rsidRPr="00D03274">
              <w:rPr>
                <w:rFonts w:asciiTheme="minorHAnsi" w:hAnsiTheme="minorHAnsi" w:cstheme="minorHAnsi"/>
                <w:spacing w:val="-4"/>
              </w:rPr>
              <w:t xml:space="preserve"> </w:t>
            </w:r>
            <w:r w:rsidRPr="00D03274">
              <w:rPr>
                <w:rFonts w:asciiTheme="minorHAnsi" w:hAnsiTheme="minorHAnsi" w:cstheme="minorHAnsi"/>
              </w:rPr>
              <w:t>similar</w:t>
            </w:r>
            <w:r w:rsidRPr="00D03274">
              <w:rPr>
                <w:rFonts w:asciiTheme="minorHAnsi" w:hAnsiTheme="minorHAnsi" w:cstheme="minorHAnsi"/>
                <w:spacing w:val="-5"/>
              </w:rPr>
              <w:t xml:space="preserve"> </w:t>
            </w:r>
            <w:r w:rsidRPr="00D03274">
              <w:rPr>
                <w:rFonts w:asciiTheme="minorHAnsi" w:hAnsiTheme="minorHAnsi" w:cstheme="minorHAnsi"/>
              </w:rPr>
              <w:t>loose</w:t>
            </w:r>
            <w:r w:rsidRPr="00D03274">
              <w:rPr>
                <w:rFonts w:asciiTheme="minorHAnsi" w:hAnsiTheme="minorHAnsi" w:cstheme="minorHAnsi"/>
                <w:spacing w:val="-5"/>
              </w:rPr>
              <w:t xml:space="preserve"> </w:t>
            </w:r>
            <w:r w:rsidRPr="00D03274">
              <w:rPr>
                <w:rFonts w:asciiTheme="minorHAnsi" w:hAnsiTheme="minorHAnsi" w:cstheme="minorHAnsi"/>
                <w:spacing w:val="-2"/>
              </w:rPr>
              <w:t>aggregates.</w:t>
            </w:r>
          </w:p>
          <w:p w14:paraId="511748D1" w14:textId="77777777" w:rsidR="00052293" w:rsidRPr="00D03274" w:rsidRDefault="00052293" w:rsidP="00303E96">
            <w:pPr>
              <w:pStyle w:val="TableParagraph"/>
              <w:numPr>
                <w:ilvl w:val="0"/>
                <w:numId w:val="528"/>
              </w:numPr>
              <w:tabs>
                <w:tab w:val="left" w:pos="452"/>
              </w:tabs>
              <w:ind w:left="452" w:hanging="285"/>
              <w:jc w:val="both"/>
              <w:rPr>
                <w:rFonts w:asciiTheme="minorHAnsi" w:hAnsiTheme="minorHAnsi" w:cstheme="minorHAnsi"/>
              </w:rPr>
            </w:pPr>
            <w:r w:rsidRPr="00D03274">
              <w:rPr>
                <w:rFonts w:asciiTheme="minorHAnsi" w:hAnsiTheme="minorHAnsi" w:cstheme="minorHAnsi"/>
                <w:spacing w:val="-2"/>
              </w:rPr>
              <w:t>Artificial/synthetic lawn</w:t>
            </w:r>
            <w:r w:rsidRPr="00D03274">
              <w:rPr>
                <w:rFonts w:asciiTheme="minorHAnsi" w:hAnsiTheme="minorHAnsi" w:cstheme="minorHAnsi"/>
                <w:spacing w:val="-4"/>
              </w:rPr>
              <w:t xml:space="preserve">. </w:t>
            </w:r>
          </w:p>
          <w:p w14:paraId="05516AD9" w14:textId="77777777" w:rsidR="00052293" w:rsidRPr="00D03274" w:rsidRDefault="00052293" w:rsidP="00303E96">
            <w:pPr>
              <w:pStyle w:val="TableParagraph"/>
              <w:numPr>
                <w:ilvl w:val="0"/>
                <w:numId w:val="528"/>
              </w:numPr>
              <w:tabs>
                <w:tab w:val="left" w:pos="452"/>
              </w:tabs>
              <w:spacing w:before="3" w:line="278" w:lineRule="exact"/>
              <w:ind w:left="452" w:hanging="285"/>
              <w:jc w:val="both"/>
              <w:rPr>
                <w:rFonts w:asciiTheme="minorHAnsi" w:hAnsiTheme="minorHAnsi" w:cstheme="minorHAnsi"/>
              </w:rPr>
            </w:pPr>
            <w:r w:rsidRPr="00D03274">
              <w:rPr>
                <w:rFonts w:asciiTheme="minorHAnsi" w:hAnsiTheme="minorHAnsi" w:cstheme="minorHAnsi"/>
              </w:rPr>
              <w:t>Verge</w:t>
            </w:r>
            <w:r w:rsidRPr="00D03274">
              <w:rPr>
                <w:rFonts w:asciiTheme="minorHAnsi" w:hAnsiTheme="minorHAnsi" w:cstheme="minorHAnsi"/>
                <w:spacing w:val="-3"/>
              </w:rPr>
              <w:t xml:space="preserve"> </w:t>
            </w:r>
            <w:r w:rsidRPr="00D03274">
              <w:rPr>
                <w:rFonts w:asciiTheme="minorHAnsi" w:hAnsiTheme="minorHAnsi" w:cstheme="minorHAnsi"/>
              </w:rPr>
              <w:t>trees</w:t>
            </w:r>
            <w:r w:rsidRPr="00D03274">
              <w:rPr>
                <w:rFonts w:asciiTheme="minorHAnsi" w:hAnsiTheme="minorHAnsi" w:cstheme="minorHAnsi"/>
                <w:spacing w:val="-7"/>
              </w:rPr>
              <w:t xml:space="preserve"> </w:t>
            </w:r>
            <w:r w:rsidRPr="00D03274">
              <w:rPr>
                <w:rFonts w:asciiTheme="minorHAnsi" w:hAnsiTheme="minorHAnsi" w:cstheme="minorHAnsi"/>
              </w:rPr>
              <w:t>other</w:t>
            </w:r>
            <w:r w:rsidRPr="00D03274">
              <w:rPr>
                <w:rFonts w:asciiTheme="minorHAnsi" w:hAnsiTheme="minorHAnsi" w:cstheme="minorHAnsi"/>
                <w:spacing w:val="-4"/>
              </w:rPr>
              <w:t xml:space="preserve"> </w:t>
            </w:r>
            <w:r w:rsidRPr="00D03274">
              <w:rPr>
                <w:rFonts w:asciiTheme="minorHAnsi" w:hAnsiTheme="minorHAnsi" w:cstheme="minorHAnsi"/>
              </w:rPr>
              <w:t>than</w:t>
            </w:r>
            <w:r w:rsidRPr="00D03274">
              <w:rPr>
                <w:rFonts w:asciiTheme="minorHAnsi" w:hAnsiTheme="minorHAnsi" w:cstheme="minorHAnsi"/>
                <w:spacing w:val="-9"/>
              </w:rPr>
              <w:t xml:space="preserve"> </w:t>
            </w:r>
            <w:r w:rsidRPr="00D03274">
              <w:rPr>
                <w:rFonts w:asciiTheme="minorHAnsi" w:hAnsiTheme="minorHAnsi" w:cstheme="minorHAnsi"/>
              </w:rPr>
              <w:t>those</w:t>
            </w:r>
            <w:r w:rsidRPr="00D03274">
              <w:rPr>
                <w:rFonts w:asciiTheme="minorHAnsi" w:hAnsiTheme="minorHAnsi" w:cstheme="minorHAnsi"/>
                <w:spacing w:val="-1"/>
              </w:rPr>
              <w:t xml:space="preserve"> </w:t>
            </w:r>
            <w:r w:rsidRPr="00D03274">
              <w:rPr>
                <w:rFonts w:asciiTheme="minorHAnsi" w:hAnsiTheme="minorHAnsi" w:cstheme="minorHAnsi"/>
              </w:rPr>
              <w:t>planted</w:t>
            </w:r>
            <w:r w:rsidRPr="00D03274">
              <w:rPr>
                <w:rFonts w:asciiTheme="minorHAnsi" w:hAnsiTheme="minorHAnsi" w:cstheme="minorHAnsi"/>
                <w:spacing w:val="-5"/>
              </w:rPr>
              <w:t xml:space="preserve"> </w:t>
            </w:r>
            <w:r w:rsidRPr="00D03274">
              <w:rPr>
                <w:rFonts w:asciiTheme="minorHAnsi" w:hAnsiTheme="minorHAnsi" w:cstheme="minorHAnsi"/>
              </w:rPr>
              <w:t>by</w:t>
            </w:r>
            <w:r w:rsidRPr="00D03274">
              <w:rPr>
                <w:rFonts w:asciiTheme="minorHAnsi" w:hAnsiTheme="minorHAnsi" w:cstheme="minorHAnsi"/>
                <w:spacing w:val="-3"/>
              </w:rPr>
              <w:t xml:space="preserve"> </w:t>
            </w:r>
            <w:r w:rsidRPr="00D03274">
              <w:rPr>
                <w:rFonts w:asciiTheme="minorHAnsi" w:hAnsiTheme="minorHAnsi" w:cstheme="minorHAnsi"/>
              </w:rPr>
              <w:t>the</w:t>
            </w:r>
            <w:r w:rsidRPr="00D03274">
              <w:rPr>
                <w:rFonts w:asciiTheme="minorHAnsi" w:hAnsiTheme="minorHAnsi" w:cstheme="minorHAnsi"/>
                <w:spacing w:val="-8"/>
              </w:rPr>
              <w:t xml:space="preserve"> </w:t>
            </w:r>
            <w:r w:rsidRPr="00D03274">
              <w:rPr>
                <w:rFonts w:asciiTheme="minorHAnsi" w:hAnsiTheme="minorHAnsi" w:cstheme="minorHAnsi"/>
              </w:rPr>
              <w:t>Town</w:t>
            </w:r>
            <w:r w:rsidRPr="00D03274">
              <w:rPr>
                <w:rFonts w:asciiTheme="minorHAnsi" w:hAnsiTheme="minorHAnsi" w:cstheme="minorHAnsi"/>
                <w:spacing w:val="-10"/>
              </w:rPr>
              <w:t>.</w:t>
            </w:r>
          </w:p>
          <w:p w14:paraId="1F7CB00B" w14:textId="77777777" w:rsidR="00052293" w:rsidRPr="00D03274" w:rsidRDefault="00052293" w:rsidP="00303E96">
            <w:pPr>
              <w:pStyle w:val="TableParagraph"/>
              <w:numPr>
                <w:ilvl w:val="0"/>
                <w:numId w:val="528"/>
              </w:numPr>
              <w:tabs>
                <w:tab w:val="left" w:pos="453"/>
              </w:tabs>
              <w:ind w:right="83"/>
              <w:jc w:val="both"/>
              <w:rPr>
                <w:rFonts w:asciiTheme="minorHAnsi" w:hAnsiTheme="minorHAnsi" w:cstheme="minorHAnsi"/>
              </w:rPr>
            </w:pPr>
            <w:r w:rsidRPr="00D03274">
              <w:rPr>
                <w:rFonts w:asciiTheme="minorHAnsi" w:hAnsiTheme="minorHAnsi" w:cstheme="minorHAnsi"/>
              </w:rPr>
              <w:t>Materials or structures which are unsafe, block sightlines, are</w:t>
            </w:r>
            <w:r w:rsidRPr="00D03274">
              <w:rPr>
                <w:rFonts w:asciiTheme="minorHAnsi" w:hAnsiTheme="minorHAnsi" w:cstheme="minorHAnsi"/>
                <w:spacing w:val="-7"/>
              </w:rPr>
              <w:t xml:space="preserve"> </w:t>
            </w:r>
            <w:r w:rsidRPr="00D03274">
              <w:rPr>
                <w:rFonts w:asciiTheme="minorHAnsi" w:hAnsiTheme="minorHAnsi" w:cstheme="minorHAnsi"/>
              </w:rPr>
              <w:t>loose</w:t>
            </w:r>
            <w:r w:rsidRPr="00D03274">
              <w:rPr>
                <w:rFonts w:asciiTheme="minorHAnsi" w:hAnsiTheme="minorHAnsi" w:cstheme="minorHAnsi"/>
                <w:spacing w:val="-8"/>
              </w:rPr>
              <w:t xml:space="preserve"> </w:t>
            </w:r>
            <w:r w:rsidRPr="00D03274">
              <w:rPr>
                <w:rFonts w:asciiTheme="minorHAnsi" w:hAnsiTheme="minorHAnsi" w:cstheme="minorHAnsi"/>
              </w:rPr>
              <w:t>or</w:t>
            </w:r>
            <w:r w:rsidRPr="00D03274">
              <w:rPr>
                <w:rFonts w:asciiTheme="minorHAnsi" w:hAnsiTheme="minorHAnsi" w:cstheme="minorHAnsi"/>
                <w:spacing w:val="-8"/>
              </w:rPr>
              <w:t xml:space="preserve"> </w:t>
            </w:r>
            <w:r w:rsidRPr="00D03274">
              <w:rPr>
                <w:rFonts w:asciiTheme="minorHAnsi" w:hAnsiTheme="minorHAnsi" w:cstheme="minorHAnsi"/>
              </w:rPr>
              <w:t>slippery,</w:t>
            </w:r>
            <w:r w:rsidRPr="00D03274">
              <w:rPr>
                <w:rFonts w:asciiTheme="minorHAnsi" w:hAnsiTheme="minorHAnsi" w:cstheme="minorHAnsi"/>
                <w:spacing w:val="-7"/>
              </w:rPr>
              <w:t xml:space="preserve"> </w:t>
            </w:r>
            <w:r w:rsidRPr="00D03274">
              <w:rPr>
                <w:rFonts w:asciiTheme="minorHAnsi" w:hAnsiTheme="minorHAnsi" w:cstheme="minorHAnsi"/>
              </w:rPr>
              <w:t>present</w:t>
            </w:r>
            <w:r w:rsidRPr="00D03274">
              <w:rPr>
                <w:rFonts w:asciiTheme="minorHAnsi" w:hAnsiTheme="minorHAnsi" w:cstheme="minorHAnsi"/>
                <w:spacing w:val="-4"/>
              </w:rPr>
              <w:t xml:space="preserve"> </w:t>
            </w:r>
            <w:r w:rsidRPr="00D03274">
              <w:rPr>
                <w:rFonts w:asciiTheme="minorHAnsi" w:hAnsiTheme="minorHAnsi" w:cstheme="minorHAnsi"/>
              </w:rPr>
              <w:t>hazard or</w:t>
            </w:r>
            <w:r w:rsidRPr="00D03274">
              <w:rPr>
                <w:rFonts w:asciiTheme="minorHAnsi" w:hAnsiTheme="minorHAnsi" w:cstheme="minorHAnsi"/>
                <w:spacing w:val="-6"/>
              </w:rPr>
              <w:t xml:space="preserve"> </w:t>
            </w:r>
            <w:r w:rsidRPr="00D03274">
              <w:rPr>
                <w:rFonts w:asciiTheme="minorHAnsi" w:hAnsiTheme="minorHAnsi" w:cstheme="minorHAnsi"/>
              </w:rPr>
              <w:t>are</w:t>
            </w:r>
            <w:r w:rsidRPr="00D03274">
              <w:rPr>
                <w:rFonts w:asciiTheme="minorHAnsi" w:hAnsiTheme="minorHAnsi" w:cstheme="minorHAnsi"/>
                <w:spacing w:val="-7"/>
              </w:rPr>
              <w:t xml:space="preserve"> </w:t>
            </w:r>
            <w:r w:rsidRPr="00D03274">
              <w:rPr>
                <w:rFonts w:asciiTheme="minorHAnsi" w:hAnsiTheme="minorHAnsi" w:cstheme="minorHAnsi"/>
              </w:rPr>
              <w:t>impermeable.</w:t>
            </w:r>
          </w:p>
          <w:p w14:paraId="0D7A6C18" w14:textId="77777777" w:rsidR="00052293" w:rsidRPr="00D03274" w:rsidRDefault="00052293" w:rsidP="00A47694">
            <w:pPr>
              <w:pStyle w:val="TableParagraph"/>
              <w:tabs>
                <w:tab w:val="left" w:pos="452"/>
              </w:tabs>
              <w:spacing w:before="1"/>
              <w:ind w:left="452"/>
              <w:jc w:val="both"/>
              <w:rPr>
                <w:rFonts w:asciiTheme="minorHAnsi" w:hAnsiTheme="minorHAnsi" w:cstheme="minorHAnsi"/>
              </w:rPr>
            </w:pPr>
          </w:p>
        </w:tc>
      </w:tr>
    </w:tbl>
    <w:p w14:paraId="6470AB5D" w14:textId="77777777" w:rsidR="00052293" w:rsidRPr="00D03274" w:rsidRDefault="00052293" w:rsidP="00D03274">
      <w:pPr>
        <w:spacing w:before="200" w:after="0"/>
        <w:ind w:left="142"/>
        <w:rPr>
          <w:b/>
          <w:bCs/>
          <w:sz w:val="24"/>
          <w:szCs w:val="24"/>
        </w:rPr>
      </w:pPr>
      <w:r w:rsidRPr="00D03274">
        <w:rPr>
          <w:b/>
          <w:bCs/>
          <w:sz w:val="24"/>
          <w:szCs w:val="24"/>
        </w:rPr>
        <w:t>When to apply for a Verge Treatment requiring approval?</w:t>
      </w:r>
    </w:p>
    <w:p w14:paraId="516AF0A4" w14:textId="77777777" w:rsidR="00052293" w:rsidRPr="00096983" w:rsidRDefault="00052293" w:rsidP="00D03274">
      <w:pPr>
        <w:spacing w:after="120"/>
        <w:ind w:left="142"/>
        <w:rPr>
          <w:b/>
          <w:bCs/>
        </w:rPr>
      </w:pPr>
      <w:r w:rsidRPr="00096983">
        <w:t xml:space="preserve">A verge treatment </w:t>
      </w:r>
      <w:r>
        <w:t xml:space="preserve">application is not required when installing Verge Treatments which are accepted and do not require approval. </w:t>
      </w:r>
    </w:p>
    <w:p w14:paraId="775194CC" w14:textId="77777777" w:rsidR="00052293" w:rsidRDefault="00052293" w:rsidP="00D03274">
      <w:pPr>
        <w:tabs>
          <w:tab w:val="left" w:pos="546"/>
        </w:tabs>
        <w:spacing w:after="0"/>
        <w:ind w:left="142"/>
      </w:pPr>
      <w:r w:rsidRPr="00EB28A8">
        <w:t>To apply for an Accepted Material Type that requires approval, follow these steps:</w:t>
      </w:r>
    </w:p>
    <w:p w14:paraId="0FC64C6D" w14:textId="77777777" w:rsidR="00052293" w:rsidRDefault="00052293" w:rsidP="00303E96">
      <w:pPr>
        <w:pStyle w:val="ListParagraph"/>
        <w:widowControl w:val="0"/>
        <w:numPr>
          <w:ilvl w:val="0"/>
          <w:numId w:val="531"/>
        </w:numPr>
        <w:tabs>
          <w:tab w:val="left" w:pos="545"/>
          <w:tab w:val="left" w:pos="547"/>
        </w:tabs>
        <w:autoSpaceDE w:val="0"/>
        <w:autoSpaceDN w:val="0"/>
        <w:spacing w:after="0" w:line="240" w:lineRule="auto"/>
        <w:ind w:right="429" w:hanging="405"/>
        <w:contextualSpacing w:val="0"/>
      </w:pPr>
      <w:r w:rsidRPr="00EB28A8">
        <w:t xml:space="preserve">Fill out the Alteration to Verge Form available at </w:t>
      </w:r>
      <w:hyperlink r:id="rId336" w:history="1">
        <w:r w:rsidRPr="00EB28A8">
          <w:rPr>
            <w:rStyle w:val="Hyperlink"/>
          </w:rPr>
          <w:t>Verge Treatments and Street Trees</w:t>
        </w:r>
      </w:hyperlink>
      <w:r>
        <w:t>.</w:t>
      </w:r>
    </w:p>
    <w:p w14:paraId="456E9DE1" w14:textId="77777777" w:rsidR="00052293" w:rsidRDefault="00052293" w:rsidP="00303E96">
      <w:pPr>
        <w:pStyle w:val="ListParagraph"/>
        <w:widowControl w:val="0"/>
        <w:numPr>
          <w:ilvl w:val="0"/>
          <w:numId w:val="531"/>
        </w:numPr>
        <w:tabs>
          <w:tab w:val="left" w:pos="545"/>
          <w:tab w:val="left" w:pos="547"/>
        </w:tabs>
        <w:autoSpaceDE w:val="0"/>
        <w:autoSpaceDN w:val="0"/>
        <w:spacing w:after="0" w:line="240" w:lineRule="auto"/>
        <w:ind w:right="429" w:hanging="405"/>
        <w:contextualSpacing w:val="0"/>
      </w:pPr>
      <w:r w:rsidRPr="0051047F">
        <w:t xml:space="preserve">The Application Form must include a diagrammatic sketch, identifying any proposed </w:t>
      </w:r>
      <w:r>
        <w:t>Irrigation or Edible Plants proposed for the area</w:t>
      </w:r>
      <w:r w:rsidRPr="0051047F">
        <w:t>.</w:t>
      </w:r>
      <w:r>
        <w:t xml:space="preserve"> For all irrigation conditions refer to </w:t>
      </w:r>
      <w:hyperlink r:id="rId337" w:history="1">
        <w:r w:rsidRPr="00EB28A8">
          <w:rPr>
            <w:rStyle w:val="Hyperlink"/>
          </w:rPr>
          <w:t>Verge Treatments and Street Trees – Conditions for installing irrigation.</w:t>
        </w:r>
      </w:hyperlink>
      <w:r>
        <w:t xml:space="preserve"> </w:t>
      </w:r>
    </w:p>
    <w:p w14:paraId="37587A4A" w14:textId="77777777" w:rsidR="00052293" w:rsidRDefault="00052293" w:rsidP="00D03274">
      <w:pPr>
        <w:tabs>
          <w:tab w:val="left" w:pos="545"/>
          <w:tab w:val="left" w:pos="547"/>
        </w:tabs>
        <w:spacing w:before="120"/>
        <w:ind w:left="142" w:right="429"/>
      </w:pPr>
      <w:r w:rsidRPr="0051047F">
        <w:t xml:space="preserve">If the application is adjacent to a strata-titled property, obtain written </w:t>
      </w:r>
      <w:r>
        <w:t>approval</w:t>
      </w:r>
      <w:r w:rsidRPr="0051047F">
        <w:t xml:space="preserve"> </w:t>
      </w:r>
      <w:r>
        <w:t xml:space="preserve">for the works </w:t>
      </w:r>
      <w:r w:rsidRPr="0051047F">
        <w:t>from all str</w:t>
      </w:r>
      <w:r>
        <w:t>ata ow</w:t>
      </w:r>
      <w:r w:rsidRPr="0051047F">
        <w:t>ners/managers.</w:t>
      </w:r>
    </w:p>
    <w:p w14:paraId="58583981" w14:textId="77777777" w:rsidR="00052293" w:rsidRPr="00D03274" w:rsidRDefault="00052293" w:rsidP="00D03274">
      <w:pPr>
        <w:spacing w:after="0"/>
        <w:ind w:left="142"/>
        <w:rPr>
          <w:b/>
          <w:bCs/>
          <w:sz w:val="24"/>
          <w:szCs w:val="24"/>
        </w:rPr>
      </w:pPr>
      <w:r w:rsidRPr="00D03274">
        <w:rPr>
          <w:b/>
          <w:bCs/>
          <w:sz w:val="24"/>
          <w:szCs w:val="24"/>
        </w:rPr>
        <w:t>Underground</w:t>
      </w:r>
      <w:r w:rsidRPr="00D03274">
        <w:rPr>
          <w:b/>
          <w:bCs/>
          <w:spacing w:val="-11"/>
          <w:sz w:val="24"/>
          <w:szCs w:val="24"/>
        </w:rPr>
        <w:t xml:space="preserve"> </w:t>
      </w:r>
      <w:r w:rsidRPr="00D03274">
        <w:rPr>
          <w:b/>
          <w:bCs/>
          <w:spacing w:val="-2"/>
          <w:sz w:val="24"/>
          <w:szCs w:val="24"/>
        </w:rPr>
        <w:t>Services</w:t>
      </w:r>
    </w:p>
    <w:p w14:paraId="4BA2F4C9" w14:textId="77777777" w:rsidR="00052293" w:rsidRPr="00D03274" w:rsidRDefault="00052293" w:rsidP="00D03274">
      <w:pPr>
        <w:pStyle w:val="BodyText"/>
        <w:ind w:left="142" w:right="429"/>
        <w:rPr>
          <w:rFonts w:asciiTheme="minorHAnsi" w:hAnsiTheme="minorHAnsi" w:cstheme="minorHAnsi"/>
        </w:rPr>
      </w:pPr>
      <w:r w:rsidRPr="00D03274">
        <w:rPr>
          <w:rFonts w:asciiTheme="minorHAnsi" w:hAnsiTheme="minorHAnsi" w:cstheme="minorHAnsi"/>
        </w:rPr>
        <w:t xml:space="preserve">Before starting any works on the verge, including irrigation and planting, applicants must contact </w:t>
      </w:r>
      <w:hyperlink r:id="rId338">
        <w:r w:rsidRPr="00D03274">
          <w:rPr>
            <w:rFonts w:asciiTheme="minorHAnsi" w:hAnsiTheme="minorHAnsi" w:cstheme="minorHAnsi"/>
            <w:color w:val="0000FF"/>
            <w:u w:val="single" w:color="0000FF"/>
          </w:rPr>
          <w:t>Dial Before You Dig</w:t>
        </w:r>
      </w:hyperlink>
      <w:r w:rsidRPr="00D03274">
        <w:rPr>
          <w:rFonts w:asciiTheme="minorHAnsi" w:hAnsiTheme="minorHAnsi" w:cstheme="minorHAnsi"/>
          <w:color w:val="0000FF"/>
          <w:u w:val="single" w:color="0000FF"/>
        </w:rPr>
        <w:t xml:space="preserve"> </w:t>
      </w:r>
      <w:r w:rsidRPr="00D03274">
        <w:rPr>
          <w:rFonts w:asciiTheme="minorHAnsi" w:hAnsiTheme="minorHAnsi" w:cstheme="minorHAnsi"/>
        </w:rPr>
        <w:t xml:space="preserve">to identify the location of underground services. For more information, visit </w:t>
      </w:r>
      <w:hyperlink r:id="rId339" w:history="1">
        <w:r w:rsidRPr="00D03274">
          <w:rPr>
            <w:rStyle w:val="Hyperlink"/>
            <w:rFonts w:asciiTheme="minorHAnsi" w:hAnsiTheme="minorHAnsi" w:cstheme="minorHAnsi"/>
          </w:rPr>
          <w:t>https://www.1100.com.au/</w:t>
        </w:r>
      </w:hyperlink>
      <w:r w:rsidRPr="00D03274">
        <w:rPr>
          <w:rFonts w:asciiTheme="minorHAnsi" w:hAnsiTheme="minorHAnsi" w:cstheme="minorHAnsi"/>
        </w:rPr>
        <w:t xml:space="preserve"> or call 1100 during business hours.</w:t>
      </w:r>
    </w:p>
    <w:p w14:paraId="4595A493" w14:textId="77777777" w:rsidR="00052293" w:rsidRPr="00D03274" w:rsidRDefault="00052293" w:rsidP="00D03274">
      <w:pPr>
        <w:pStyle w:val="BodyText"/>
        <w:spacing w:before="200"/>
        <w:ind w:left="142" w:right="429"/>
        <w:rPr>
          <w:rFonts w:asciiTheme="minorHAnsi" w:hAnsiTheme="minorHAnsi" w:cstheme="minorHAnsi"/>
        </w:rPr>
      </w:pPr>
      <w:r w:rsidRPr="00D03274">
        <w:rPr>
          <w:rFonts w:asciiTheme="minorHAnsi" w:hAnsiTheme="minorHAnsi" w:cstheme="minorHAnsi"/>
        </w:rPr>
        <w:lastRenderedPageBreak/>
        <w:t xml:space="preserve">Any works conducted by the applicant on the verge that result in damage or disruption to services must be reinstated at the applicant’s expense. The Town, along with service providers, retains the right to undertake necessary works on the verge or </w:t>
      </w:r>
      <w:proofErr w:type="spellStart"/>
      <w:r w:rsidRPr="00D03274">
        <w:rPr>
          <w:rFonts w:asciiTheme="minorHAnsi" w:hAnsiTheme="minorHAnsi" w:cstheme="minorHAnsi"/>
        </w:rPr>
        <w:t>authorise</w:t>
      </w:r>
      <w:proofErr w:type="spellEnd"/>
      <w:r w:rsidRPr="00D03274">
        <w:rPr>
          <w:rFonts w:asciiTheme="minorHAnsi" w:hAnsiTheme="minorHAnsi" w:cstheme="minorHAnsi"/>
        </w:rPr>
        <w:t xml:space="preserve"> others to do so. Periodically, works will be undertaken on the verge, such as tree pruning or service maintenance/upgrades, which may damage or disturb verge gardens. The resident/landowner is responsible for the reinstatement of the verge garden following any works by utility providers or other </w:t>
      </w:r>
      <w:proofErr w:type="spellStart"/>
      <w:r w:rsidRPr="00D03274">
        <w:rPr>
          <w:rFonts w:asciiTheme="minorHAnsi" w:hAnsiTheme="minorHAnsi" w:cstheme="minorHAnsi"/>
        </w:rPr>
        <w:t>authorised</w:t>
      </w:r>
      <w:proofErr w:type="spellEnd"/>
      <w:r w:rsidRPr="00D03274">
        <w:rPr>
          <w:rFonts w:asciiTheme="minorHAnsi" w:hAnsiTheme="minorHAnsi" w:cstheme="minorHAnsi"/>
        </w:rPr>
        <w:t xml:space="preserve"> parties.</w:t>
      </w:r>
    </w:p>
    <w:p w14:paraId="18D78847" w14:textId="77777777" w:rsidR="00052293" w:rsidRPr="00016932" w:rsidRDefault="00052293" w:rsidP="00D03274">
      <w:pPr>
        <w:pStyle w:val="BodyText"/>
        <w:spacing w:before="208" w:after="0"/>
        <w:ind w:left="142"/>
        <w:rPr>
          <w:rFonts w:asciiTheme="minorHAnsi" w:hAnsiTheme="minorHAnsi" w:cstheme="minorHAnsi"/>
          <w:sz w:val="24"/>
          <w:szCs w:val="24"/>
        </w:rPr>
      </w:pPr>
      <w:r w:rsidRPr="00016932">
        <w:rPr>
          <w:rFonts w:asciiTheme="minorHAnsi" w:hAnsiTheme="minorHAnsi" w:cstheme="minorHAnsi"/>
          <w:b/>
          <w:bCs/>
          <w:sz w:val="24"/>
          <w:szCs w:val="24"/>
        </w:rPr>
        <w:t>Plant</w:t>
      </w:r>
      <w:r w:rsidRPr="00016932">
        <w:rPr>
          <w:rFonts w:asciiTheme="minorHAnsi" w:hAnsiTheme="minorHAnsi" w:cstheme="minorHAnsi"/>
          <w:b/>
          <w:bCs/>
          <w:spacing w:val="-7"/>
          <w:sz w:val="24"/>
          <w:szCs w:val="24"/>
        </w:rPr>
        <w:t xml:space="preserve"> </w:t>
      </w:r>
      <w:r w:rsidRPr="00016932">
        <w:rPr>
          <w:rFonts w:asciiTheme="minorHAnsi" w:hAnsiTheme="minorHAnsi" w:cstheme="minorHAnsi"/>
          <w:b/>
          <w:bCs/>
          <w:spacing w:val="-2"/>
          <w:sz w:val="24"/>
          <w:szCs w:val="24"/>
        </w:rPr>
        <w:t>Selection</w:t>
      </w:r>
    </w:p>
    <w:p w14:paraId="1F93BC59" w14:textId="77777777" w:rsidR="00052293" w:rsidRPr="00D03274" w:rsidRDefault="00052293" w:rsidP="00D03274">
      <w:pPr>
        <w:pStyle w:val="BodyText"/>
        <w:ind w:left="142" w:right="426"/>
        <w:rPr>
          <w:rFonts w:asciiTheme="minorHAnsi" w:hAnsiTheme="minorHAnsi" w:cstheme="minorHAnsi"/>
        </w:rPr>
      </w:pPr>
      <w:r w:rsidRPr="00D03274">
        <w:rPr>
          <w:rFonts w:asciiTheme="minorHAnsi" w:hAnsiTheme="minorHAnsi" w:cstheme="minorHAnsi"/>
        </w:rPr>
        <w:t xml:space="preserve">The Town encourages waterwise plant use, offering native plants at the annual Apace Nursery plant sale every May. Refer to the Water Corporation’s </w:t>
      </w:r>
      <w:hyperlink r:id="rId340">
        <w:r w:rsidRPr="00D03274">
          <w:rPr>
            <w:rFonts w:asciiTheme="minorHAnsi" w:hAnsiTheme="minorHAnsi" w:cstheme="minorHAnsi"/>
            <w:color w:val="0000FF"/>
            <w:u w:val="single" w:color="0000FF"/>
          </w:rPr>
          <w:t>Waterwise</w:t>
        </w:r>
        <w:r w:rsidRPr="00D03274">
          <w:rPr>
            <w:rFonts w:asciiTheme="minorHAnsi" w:hAnsiTheme="minorHAnsi" w:cstheme="minorHAnsi"/>
            <w:color w:val="0000FF"/>
            <w:spacing w:val="-5"/>
            <w:u w:val="single" w:color="0000FF"/>
          </w:rPr>
          <w:t xml:space="preserve"> </w:t>
        </w:r>
        <w:r w:rsidRPr="00D03274">
          <w:rPr>
            <w:rFonts w:asciiTheme="minorHAnsi" w:hAnsiTheme="minorHAnsi" w:cstheme="minorHAnsi"/>
            <w:color w:val="0000FF"/>
            <w:u w:val="single" w:color="0000FF"/>
          </w:rPr>
          <w:t>Plant</w:t>
        </w:r>
        <w:r w:rsidRPr="00D03274">
          <w:rPr>
            <w:rFonts w:asciiTheme="minorHAnsi" w:hAnsiTheme="minorHAnsi" w:cstheme="minorHAnsi"/>
            <w:color w:val="0000FF"/>
            <w:spacing w:val="-2"/>
            <w:u w:val="single" w:color="0000FF"/>
          </w:rPr>
          <w:t xml:space="preserve"> </w:t>
        </w:r>
        <w:r w:rsidRPr="00D03274">
          <w:rPr>
            <w:rFonts w:asciiTheme="minorHAnsi" w:hAnsiTheme="minorHAnsi" w:cstheme="minorHAnsi"/>
            <w:color w:val="0000FF"/>
            <w:u w:val="single" w:color="0000FF"/>
          </w:rPr>
          <w:t>Selection</w:t>
        </w:r>
        <w:r w:rsidRPr="00D03274">
          <w:rPr>
            <w:rFonts w:asciiTheme="minorHAnsi" w:hAnsiTheme="minorHAnsi" w:cstheme="minorHAnsi"/>
            <w:color w:val="0000FF"/>
            <w:spacing w:val="-5"/>
            <w:u w:val="single" w:color="0000FF"/>
          </w:rPr>
          <w:t xml:space="preserve"> </w:t>
        </w:r>
        <w:r w:rsidRPr="00D03274">
          <w:rPr>
            <w:rFonts w:asciiTheme="minorHAnsi" w:hAnsiTheme="minorHAnsi" w:cstheme="minorHAnsi"/>
            <w:color w:val="0000FF"/>
            <w:u w:val="single" w:color="0000FF"/>
          </w:rPr>
          <w:t>Tool</w:t>
        </w:r>
      </w:hyperlink>
      <w:r w:rsidRPr="00D03274">
        <w:rPr>
          <w:rFonts w:asciiTheme="minorHAnsi" w:hAnsiTheme="minorHAnsi" w:cstheme="minorHAnsi"/>
          <w:color w:val="0000FF"/>
          <w:u w:val="single" w:color="0000FF"/>
        </w:rPr>
        <w:t xml:space="preserve"> </w:t>
      </w:r>
      <w:r w:rsidRPr="00D03274">
        <w:rPr>
          <w:rFonts w:asciiTheme="minorHAnsi" w:hAnsiTheme="minorHAnsi" w:cstheme="minorHAnsi"/>
        </w:rPr>
        <w:t>or the Town's Greening Guidelines for suitable species.</w:t>
      </w:r>
    </w:p>
    <w:p w14:paraId="01AD70C9" w14:textId="77777777" w:rsidR="00052293" w:rsidRPr="00016932" w:rsidRDefault="00052293" w:rsidP="00016932">
      <w:pPr>
        <w:spacing w:before="200" w:after="0"/>
        <w:ind w:left="142"/>
        <w:rPr>
          <w:b/>
          <w:bCs/>
          <w:sz w:val="24"/>
          <w:szCs w:val="24"/>
        </w:rPr>
      </w:pPr>
      <w:r w:rsidRPr="00016932">
        <w:rPr>
          <w:b/>
          <w:bCs/>
          <w:sz w:val="24"/>
          <w:szCs w:val="24"/>
        </w:rPr>
        <w:t>Street</w:t>
      </w:r>
      <w:r w:rsidRPr="00016932">
        <w:rPr>
          <w:b/>
          <w:bCs/>
          <w:spacing w:val="-9"/>
          <w:sz w:val="24"/>
          <w:szCs w:val="24"/>
        </w:rPr>
        <w:t xml:space="preserve"> </w:t>
      </w:r>
      <w:r w:rsidRPr="00016932">
        <w:rPr>
          <w:b/>
          <w:bCs/>
          <w:spacing w:val="-2"/>
          <w:sz w:val="24"/>
          <w:szCs w:val="24"/>
        </w:rPr>
        <w:t>Trees</w:t>
      </w:r>
    </w:p>
    <w:p w14:paraId="75CC8950" w14:textId="77777777" w:rsidR="00052293" w:rsidRDefault="00052293" w:rsidP="00016932">
      <w:pPr>
        <w:spacing w:after="120" w:line="240" w:lineRule="auto"/>
        <w:ind w:left="119" w:right="442"/>
      </w:pPr>
      <w:r w:rsidRPr="0051047F">
        <w:t xml:space="preserve">Residents can apply for a street tree </w:t>
      </w:r>
      <w:r>
        <w:t>by completing</w:t>
      </w:r>
      <w:r w:rsidRPr="0051047F">
        <w:t xml:space="preserve"> the </w:t>
      </w:r>
      <w:hyperlink r:id="rId341">
        <w:r>
          <w:rPr>
            <w:color w:val="0000FF"/>
            <w:u w:val="single" w:color="0000FF"/>
          </w:rPr>
          <w:t>Verge Tree Request Form</w:t>
        </w:r>
      </w:hyperlink>
      <w:r w:rsidRPr="0051047F">
        <w:t>. The Town is responsible for planting, maintaining, and removing all street and reserve trees according to its 'Maintenance and Removal of Public and Verge Trees Policy.'</w:t>
      </w:r>
    </w:p>
    <w:p w14:paraId="42BCA80B" w14:textId="77777777" w:rsidR="00052293" w:rsidRPr="00016932" w:rsidRDefault="00052293" w:rsidP="00D4082F">
      <w:pPr>
        <w:pStyle w:val="BodyText"/>
        <w:spacing w:before="241" w:after="200"/>
        <w:ind w:left="142" w:right="428"/>
        <w:rPr>
          <w:rFonts w:asciiTheme="minorHAnsi" w:hAnsiTheme="minorHAnsi" w:cstheme="minorHAnsi"/>
        </w:rPr>
      </w:pPr>
      <w:r w:rsidRPr="00016932">
        <w:rPr>
          <w:rFonts w:asciiTheme="minorHAnsi" w:hAnsiTheme="minorHAnsi" w:cstheme="minorHAnsi"/>
        </w:rPr>
        <w:t>The Town is committed to preserving healthy verge trees that pose no safety concerns. Removal requests lacking suitable justification will not be supported. Pruning of verge trees will only occur if a tree causes adverse impacts, as determined by the Town or its contractor. When installing verge gardens, care must be taken to protect the trunk, canopy, and preserve the root zone of street trees.</w:t>
      </w:r>
    </w:p>
    <w:p w14:paraId="5A8780A4" w14:textId="77777777" w:rsidR="00052293" w:rsidRPr="00D4082F" w:rsidRDefault="00052293" w:rsidP="00D4082F">
      <w:pPr>
        <w:spacing w:after="0"/>
        <w:ind w:left="142"/>
        <w:rPr>
          <w:b/>
          <w:bCs/>
          <w:sz w:val="24"/>
          <w:szCs w:val="24"/>
        </w:rPr>
      </w:pPr>
      <w:r w:rsidRPr="00D4082F">
        <w:rPr>
          <w:b/>
          <w:bCs/>
          <w:sz w:val="24"/>
          <w:szCs w:val="24"/>
        </w:rPr>
        <w:t>Maintenance</w:t>
      </w:r>
      <w:r w:rsidRPr="00D4082F">
        <w:rPr>
          <w:b/>
          <w:bCs/>
          <w:spacing w:val="-8"/>
          <w:sz w:val="24"/>
          <w:szCs w:val="24"/>
        </w:rPr>
        <w:t xml:space="preserve"> </w:t>
      </w:r>
      <w:r w:rsidRPr="00D4082F">
        <w:rPr>
          <w:b/>
          <w:bCs/>
          <w:sz w:val="24"/>
          <w:szCs w:val="24"/>
        </w:rPr>
        <w:t>and</w:t>
      </w:r>
      <w:r w:rsidRPr="00D4082F">
        <w:rPr>
          <w:b/>
          <w:bCs/>
          <w:spacing w:val="-8"/>
          <w:sz w:val="24"/>
          <w:szCs w:val="24"/>
        </w:rPr>
        <w:t xml:space="preserve"> </w:t>
      </w:r>
      <w:r w:rsidRPr="00D4082F">
        <w:rPr>
          <w:b/>
          <w:bCs/>
          <w:spacing w:val="-2"/>
          <w:sz w:val="24"/>
          <w:szCs w:val="24"/>
        </w:rPr>
        <w:t>Upkeep</w:t>
      </w:r>
    </w:p>
    <w:p w14:paraId="1B5EFAD5" w14:textId="77777777" w:rsidR="00052293" w:rsidRPr="000A4875" w:rsidRDefault="00052293" w:rsidP="00D4082F">
      <w:pPr>
        <w:spacing w:after="120" w:line="240" w:lineRule="auto"/>
        <w:ind w:left="142"/>
        <w:rPr>
          <w:b/>
          <w:bCs/>
        </w:rPr>
      </w:pPr>
      <w:r w:rsidRPr="000A4875">
        <w:t>The maintenance of the verge is the responsibility of the adjacent owner or occupier, with the Town assuming no responsibility for the health and well-being of approved verge gardens. Once installed, a verge garden is expected to adhere to the following guidelines:</w:t>
      </w:r>
    </w:p>
    <w:p w14:paraId="25C97C65" w14:textId="77777777" w:rsidR="00052293" w:rsidRPr="000A4875" w:rsidRDefault="00052293" w:rsidP="00D4082F">
      <w:pPr>
        <w:spacing w:after="120" w:line="240" w:lineRule="auto"/>
        <w:ind w:left="142"/>
        <w:rPr>
          <w:b/>
          <w:bCs/>
        </w:rPr>
      </w:pPr>
      <w:r w:rsidRPr="000A4875">
        <w:t xml:space="preserve">Plant growth must be confined within the verge area, avoiding spillage into footpaths or road areas, and should not exceed a height of </w:t>
      </w:r>
      <w:r>
        <w:t>750mm</w:t>
      </w:r>
      <w:r w:rsidRPr="000A4875">
        <w:t>.</w:t>
      </w:r>
    </w:p>
    <w:p w14:paraId="3DB5FF51" w14:textId="77777777" w:rsidR="00052293" w:rsidRPr="000A4875" w:rsidRDefault="00052293" w:rsidP="00D4082F">
      <w:pPr>
        <w:spacing w:after="120" w:line="240" w:lineRule="auto"/>
        <w:ind w:left="142"/>
        <w:rPr>
          <w:b/>
          <w:bCs/>
        </w:rPr>
      </w:pPr>
      <w:r w:rsidRPr="000A4875">
        <w:t>Plants must be consistently maintained in a weed-free state and watered as needed for establishment and upkeep.</w:t>
      </w:r>
    </w:p>
    <w:p w14:paraId="0A108AFD" w14:textId="77777777" w:rsidR="00052293" w:rsidRDefault="00052293" w:rsidP="00D4082F">
      <w:pPr>
        <w:spacing w:after="120" w:line="240" w:lineRule="auto"/>
        <w:ind w:left="142"/>
        <w:rPr>
          <w:b/>
          <w:bCs/>
        </w:rPr>
      </w:pPr>
      <w:r w:rsidRPr="000A4875">
        <w:t>The removal of all excess soils and litter resulting from plantings is the responsibility of the applicant and must be conducted at their expense.</w:t>
      </w:r>
    </w:p>
    <w:p w14:paraId="13D31D52" w14:textId="77777777" w:rsidR="00052293" w:rsidRPr="00D4082F" w:rsidRDefault="00052293" w:rsidP="00D4082F">
      <w:pPr>
        <w:pStyle w:val="BodyText"/>
        <w:ind w:left="142" w:right="428"/>
        <w:rPr>
          <w:rFonts w:asciiTheme="minorHAnsi" w:hAnsiTheme="minorHAnsi" w:cstheme="minorHAnsi"/>
        </w:rPr>
      </w:pPr>
      <w:r w:rsidRPr="00D4082F">
        <w:rPr>
          <w:rFonts w:asciiTheme="minorHAnsi" w:hAnsiTheme="minorHAnsi" w:cstheme="minorHAnsi"/>
        </w:rPr>
        <w:t>In cases where a verge landscaping feature is deemed by the Town to pose a safety concern or fails to meet established guidelines, the Town may instruct the applicant to revise specific aspects or the entirety of the feature to align with this policy and Town requirements. Alternatively, the Town retains the right to remove or mandate the removal of any non-compliant feature at cost to the owner of the adjacent property.</w:t>
      </w:r>
    </w:p>
    <w:p w14:paraId="25188358" w14:textId="77777777" w:rsidR="00052293" w:rsidRDefault="00052293" w:rsidP="00052293">
      <w:pPr>
        <w:pStyle w:val="BodyText"/>
        <w:spacing w:before="8"/>
        <w:ind w:left="0"/>
        <w:rPr>
          <w:sz w:val="16"/>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09"/>
        <w:gridCol w:w="5559"/>
      </w:tblGrid>
      <w:tr w:rsidR="00052293" w14:paraId="11F8C306" w14:textId="77777777" w:rsidTr="00A47694">
        <w:trPr>
          <w:trHeight w:val="268"/>
        </w:trPr>
        <w:tc>
          <w:tcPr>
            <w:tcW w:w="3209" w:type="dxa"/>
          </w:tcPr>
          <w:p w14:paraId="3873956B" w14:textId="77777777" w:rsidR="00052293" w:rsidRPr="00D4082F" w:rsidRDefault="00052293" w:rsidP="00D4082F">
            <w:pPr>
              <w:pStyle w:val="TableParagraph"/>
              <w:spacing w:line="248" w:lineRule="exact"/>
              <w:ind w:left="149"/>
              <w:rPr>
                <w:rFonts w:asciiTheme="minorHAnsi" w:hAnsiTheme="minorHAnsi" w:cstheme="minorHAnsi"/>
                <w:b/>
              </w:rPr>
            </w:pPr>
            <w:r w:rsidRPr="00D4082F">
              <w:rPr>
                <w:rFonts w:asciiTheme="minorHAnsi" w:hAnsiTheme="minorHAnsi" w:cstheme="minorHAnsi"/>
                <w:b/>
              </w:rPr>
              <w:t>Responsible</w:t>
            </w:r>
            <w:r w:rsidRPr="00D4082F">
              <w:rPr>
                <w:rFonts w:asciiTheme="minorHAnsi" w:hAnsiTheme="minorHAnsi" w:cstheme="minorHAnsi"/>
                <w:b/>
                <w:spacing w:val="-12"/>
              </w:rPr>
              <w:t xml:space="preserve"> </w:t>
            </w:r>
            <w:r w:rsidRPr="00D4082F">
              <w:rPr>
                <w:rFonts w:asciiTheme="minorHAnsi" w:hAnsiTheme="minorHAnsi" w:cstheme="minorHAnsi"/>
                <w:b/>
                <w:spacing w:val="-2"/>
              </w:rPr>
              <w:t>Directorate:</w:t>
            </w:r>
          </w:p>
        </w:tc>
        <w:tc>
          <w:tcPr>
            <w:tcW w:w="5559" w:type="dxa"/>
          </w:tcPr>
          <w:p w14:paraId="45380A87" w14:textId="77777777" w:rsidR="00052293" w:rsidRPr="00D4082F" w:rsidRDefault="00052293" w:rsidP="00D4082F">
            <w:pPr>
              <w:pStyle w:val="TableParagraph"/>
              <w:spacing w:line="248" w:lineRule="exact"/>
              <w:ind w:left="57"/>
              <w:rPr>
                <w:rFonts w:asciiTheme="minorHAnsi" w:hAnsiTheme="minorHAnsi" w:cstheme="minorHAnsi"/>
              </w:rPr>
            </w:pPr>
            <w:r w:rsidRPr="00D4082F">
              <w:rPr>
                <w:rFonts w:asciiTheme="minorHAnsi" w:hAnsiTheme="minorHAnsi" w:cstheme="minorHAnsi"/>
                <w:spacing w:val="-2"/>
              </w:rPr>
              <w:t>Operations</w:t>
            </w:r>
          </w:p>
        </w:tc>
      </w:tr>
      <w:tr w:rsidR="00052293" w14:paraId="697A1EDC" w14:textId="77777777" w:rsidTr="00A47694">
        <w:trPr>
          <w:trHeight w:val="265"/>
        </w:trPr>
        <w:tc>
          <w:tcPr>
            <w:tcW w:w="3209" w:type="dxa"/>
          </w:tcPr>
          <w:p w14:paraId="0F5E78D3" w14:textId="77777777" w:rsidR="00052293" w:rsidRPr="00D4082F" w:rsidRDefault="00052293" w:rsidP="00D4082F">
            <w:pPr>
              <w:pStyle w:val="TableParagraph"/>
              <w:spacing w:line="246" w:lineRule="exact"/>
              <w:ind w:left="149"/>
              <w:rPr>
                <w:rFonts w:asciiTheme="minorHAnsi" w:hAnsiTheme="minorHAnsi" w:cstheme="minorHAnsi"/>
                <w:b/>
              </w:rPr>
            </w:pPr>
            <w:r w:rsidRPr="00D4082F">
              <w:rPr>
                <w:rFonts w:asciiTheme="minorHAnsi" w:hAnsiTheme="minorHAnsi" w:cstheme="minorHAnsi"/>
                <w:b/>
              </w:rPr>
              <w:t>Reviewing</w:t>
            </w:r>
            <w:r w:rsidRPr="00D4082F">
              <w:rPr>
                <w:rFonts w:asciiTheme="minorHAnsi" w:hAnsiTheme="minorHAnsi" w:cstheme="minorHAnsi"/>
                <w:b/>
                <w:spacing w:val="-10"/>
              </w:rPr>
              <w:t xml:space="preserve"> </w:t>
            </w:r>
            <w:r w:rsidRPr="00D4082F">
              <w:rPr>
                <w:rFonts w:asciiTheme="minorHAnsi" w:hAnsiTheme="minorHAnsi" w:cstheme="minorHAnsi"/>
                <w:b/>
                <w:spacing w:val="-2"/>
              </w:rPr>
              <w:t>Officer:</w:t>
            </w:r>
          </w:p>
        </w:tc>
        <w:tc>
          <w:tcPr>
            <w:tcW w:w="5559" w:type="dxa"/>
          </w:tcPr>
          <w:p w14:paraId="364E009C" w14:textId="77777777" w:rsidR="00052293" w:rsidRPr="00D4082F" w:rsidRDefault="00052293" w:rsidP="00D4082F">
            <w:pPr>
              <w:pStyle w:val="TableParagraph"/>
              <w:spacing w:line="246" w:lineRule="exact"/>
              <w:ind w:left="57"/>
              <w:rPr>
                <w:rFonts w:asciiTheme="minorHAnsi" w:hAnsiTheme="minorHAnsi" w:cstheme="minorHAnsi"/>
              </w:rPr>
            </w:pPr>
            <w:r w:rsidRPr="00D4082F">
              <w:rPr>
                <w:rFonts w:asciiTheme="minorHAnsi" w:hAnsiTheme="minorHAnsi" w:cstheme="minorHAnsi"/>
                <w:spacing w:val="-4"/>
              </w:rPr>
              <w:t>WASO</w:t>
            </w:r>
          </w:p>
        </w:tc>
      </w:tr>
      <w:tr w:rsidR="00052293" w14:paraId="00401D58" w14:textId="77777777" w:rsidTr="00A47694">
        <w:trPr>
          <w:trHeight w:val="268"/>
        </w:trPr>
        <w:tc>
          <w:tcPr>
            <w:tcW w:w="3209" w:type="dxa"/>
          </w:tcPr>
          <w:p w14:paraId="0CFED4FD" w14:textId="77777777" w:rsidR="00052293" w:rsidRPr="00D4082F" w:rsidRDefault="00052293" w:rsidP="00D4082F">
            <w:pPr>
              <w:pStyle w:val="TableParagraph"/>
              <w:spacing w:line="248" w:lineRule="exact"/>
              <w:ind w:left="149"/>
              <w:rPr>
                <w:rFonts w:asciiTheme="minorHAnsi" w:hAnsiTheme="minorHAnsi" w:cstheme="minorHAnsi"/>
                <w:b/>
              </w:rPr>
            </w:pPr>
            <w:r w:rsidRPr="00D4082F">
              <w:rPr>
                <w:rFonts w:asciiTheme="minorHAnsi" w:hAnsiTheme="minorHAnsi" w:cstheme="minorHAnsi"/>
                <w:b/>
              </w:rPr>
              <w:t>Decision</w:t>
            </w:r>
            <w:r w:rsidRPr="00D4082F">
              <w:rPr>
                <w:rFonts w:asciiTheme="minorHAnsi" w:hAnsiTheme="minorHAnsi" w:cstheme="minorHAnsi"/>
                <w:b/>
                <w:spacing w:val="-11"/>
              </w:rPr>
              <w:t xml:space="preserve"> </w:t>
            </w:r>
            <w:r w:rsidRPr="00D4082F">
              <w:rPr>
                <w:rFonts w:asciiTheme="minorHAnsi" w:hAnsiTheme="minorHAnsi" w:cstheme="minorHAnsi"/>
                <w:b/>
              </w:rPr>
              <w:t>making</w:t>
            </w:r>
            <w:r w:rsidRPr="00D4082F">
              <w:rPr>
                <w:rFonts w:asciiTheme="minorHAnsi" w:hAnsiTheme="minorHAnsi" w:cstheme="minorHAnsi"/>
                <w:b/>
                <w:spacing w:val="-11"/>
              </w:rPr>
              <w:t xml:space="preserve"> </w:t>
            </w:r>
            <w:r w:rsidRPr="00D4082F">
              <w:rPr>
                <w:rFonts w:asciiTheme="minorHAnsi" w:hAnsiTheme="minorHAnsi" w:cstheme="minorHAnsi"/>
                <w:b/>
                <w:spacing w:val="-2"/>
              </w:rPr>
              <w:t>Authority:</w:t>
            </w:r>
          </w:p>
        </w:tc>
        <w:tc>
          <w:tcPr>
            <w:tcW w:w="5559" w:type="dxa"/>
          </w:tcPr>
          <w:p w14:paraId="273D9314" w14:textId="77777777" w:rsidR="00052293" w:rsidRPr="00D4082F" w:rsidRDefault="00052293" w:rsidP="00D4082F">
            <w:pPr>
              <w:pStyle w:val="TableParagraph"/>
              <w:spacing w:line="248" w:lineRule="exact"/>
              <w:ind w:left="57"/>
              <w:rPr>
                <w:rFonts w:asciiTheme="minorHAnsi" w:hAnsiTheme="minorHAnsi" w:cstheme="minorHAnsi"/>
              </w:rPr>
            </w:pPr>
            <w:r w:rsidRPr="00D4082F">
              <w:rPr>
                <w:rFonts w:asciiTheme="minorHAnsi" w:hAnsiTheme="minorHAnsi" w:cstheme="minorHAnsi"/>
                <w:spacing w:val="-2"/>
              </w:rPr>
              <w:t>Council</w:t>
            </w:r>
          </w:p>
        </w:tc>
      </w:tr>
      <w:tr w:rsidR="00052293" w14:paraId="2973446F" w14:textId="77777777" w:rsidTr="00A47694">
        <w:trPr>
          <w:trHeight w:val="268"/>
        </w:trPr>
        <w:tc>
          <w:tcPr>
            <w:tcW w:w="3209" w:type="dxa"/>
          </w:tcPr>
          <w:p w14:paraId="36B2597D" w14:textId="77777777" w:rsidR="00052293" w:rsidRPr="00D4082F" w:rsidRDefault="00052293" w:rsidP="00D4082F">
            <w:pPr>
              <w:pStyle w:val="TableParagraph"/>
              <w:spacing w:line="248" w:lineRule="exact"/>
              <w:ind w:left="149"/>
              <w:rPr>
                <w:rFonts w:asciiTheme="minorHAnsi" w:hAnsiTheme="minorHAnsi" w:cstheme="minorHAnsi"/>
                <w:b/>
              </w:rPr>
            </w:pPr>
            <w:r w:rsidRPr="00D4082F">
              <w:rPr>
                <w:rFonts w:asciiTheme="minorHAnsi" w:hAnsiTheme="minorHAnsi" w:cstheme="minorHAnsi"/>
                <w:b/>
              </w:rPr>
              <w:t>Date</w:t>
            </w:r>
            <w:r w:rsidRPr="00D4082F">
              <w:rPr>
                <w:rFonts w:asciiTheme="minorHAnsi" w:hAnsiTheme="minorHAnsi" w:cstheme="minorHAnsi"/>
                <w:b/>
                <w:spacing w:val="-5"/>
              </w:rPr>
              <w:t xml:space="preserve"> </w:t>
            </w:r>
            <w:r w:rsidRPr="00D4082F">
              <w:rPr>
                <w:rFonts w:asciiTheme="minorHAnsi" w:hAnsiTheme="minorHAnsi" w:cstheme="minorHAnsi"/>
                <w:b/>
              </w:rPr>
              <w:t>of</w:t>
            </w:r>
            <w:r w:rsidRPr="00D4082F">
              <w:rPr>
                <w:rFonts w:asciiTheme="minorHAnsi" w:hAnsiTheme="minorHAnsi" w:cstheme="minorHAnsi"/>
                <w:b/>
                <w:spacing w:val="-2"/>
              </w:rPr>
              <w:t xml:space="preserve"> Adoption:</w:t>
            </w:r>
          </w:p>
        </w:tc>
        <w:tc>
          <w:tcPr>
            <w:tcW w:w="5559" w:type="dxa"/>
          </w:tcPr>
          <w:p w14:paraId="731FE3CE" w14:textId="77777777" w:rsidR="00052293" w:rsidRPr="00D4082F" w:rsidRDefault="00052293" w:rsidP="00D4082F">
            <w:pPr>
              <w:pStyle w:val="TableParagraph"/>
              <w:spacing w:line="248" w:lineRule="exact"/>
              <w:ind w:left="57"/>
              <w:rPr>
                <w:rFonts w:asciiTheme="minorHAnsi" w:hAnsiTheme="minorHAnsi" w:cstheme="minorHAnsi"/>
              </w:rPr>
            </w:pPr>
            <w:r w:rsidRPr="00D4082F">
              <w:rPr>
                <w:rFonts w:asciiTheme="minorHAnsi" w:hAnsiTheme="minorHAnsi" w:cstheme="minorHAnsi"/>
                <w:spacing w:val="-2"/>
              </w:rPr>
              <w:t>20/7/21</w:t>
            </w:r>
          </w:p>
        </w:tc>
      </w:tr>
      <w:tr w:rsidR="00052293" w14:paraId="1BD61A26" w14:textId="77777777" w:rsidTr="00A47694">
        <w:trPr>
          <w:trHeight w:val="268"/>
        </w:trPr>
        <w:tc>
          <w:tcPr>
            <w:tcW w:w="3209" w:type="dxa"/>
          </w:tcPr>
          <w:p w14:paraId="46150DB2" w14:textId="77777777" w:rsidR="00052293" w:rsidRPr="00D4082F" w:rsidRDefault="00052293" w:rsidP="00D4082F">
            <w:pPr>
              <w:pStyle w:val="TableParagraph"/>
              <w:spacing w:line="248" w:lineRule="exact"/>
              <w:ind w:left="149"/>
              <w:rPr>
                <w:rFonts w:asciiTheme="minorHAnsi" w:hAnsiTheme="minorHAnsi" w:cstheme="minorHAnsi"/>
                <w:b/>
              </w:rPr>
            </w:pPr>
            <w:r w:rsidRPr="00D4082F">
              <w:rPr>
                <w:rFonts w:asciiTheme="minorHAnsi" w:hAnsiTheme="minorHAnsi" w:cstheme="minorHAnsi"/>
                <w:b/>
              </w:rPr>
              <w:t>Policy</w:t>
            </w:r>
            <w:r w:rsidRPr="00D4082F">
              <w:rPr>
                <w:rFonts w:asciiTheme="minorHAnsi" w:hAnsiTheme="minorHAnsi" w:cstheme="minorHAnsi"/>
                <w:b/>
                <w:spacing w:val="-9"/>
              </w:rPr>
              <w:t xml:space="preserve"> </w:t>
            </w:r>
            <w:r w:rsidRPr="00D4082F">
              <w:rPr>
                <w:rFonts w:asciiTheme="minorHAnsi" w:hAnsiTheme="minorHAnsi" w:cstheme="minorHAnsi"/>
                <w:b/>
                <w:spacing w:val="-2"/>
              </w:rPr>
              <w:t>Amended/Reviewed:</w:t>
            </w:r>
          </w:p>
        </w:tc>
        <w:tc>
          <w:tcPr>
            <w:tcW w:w="5559" w:type="dxa"/>
          </w:tcPr>
          <w:p w14:paraId="30BB486C" w14:textId="22B3BCCB" w:rsidR="00052293" w:rsidRPr="00D4082F" w:rsidRDefault="00052293" w:rsidP="00A47694">
            <w:pPr>
              <w:pStyle w:val="TableParagraph"/>
              <w:ind w:left="0"/>
              <w:rPr>
                <w:rFonts w:asciiTheme="minorHAnsi" w:hAnsiTheme="minorHAnsi" w:cstheme="minorHAnsi"/>
              </w:rPr>
            </w:pPr>
            <w:r w:rsidRPr="00D4082F">
              <w:rPr>
                <w:rFonts w:asciiTheme="minorHAnsi" w:hAnsiTheme="minorHAnsi" w:cstheme="minorHAnsi"/>
                <w:sz w:val="18"/>
              </w:rPr>
              <w:t xml:space="preserve">  </w:t>
            </w:r>
            <w:r w:rsidRPr="00D4082F">
              <w:rPr>
                <w:rFonts w:asciiTheme="minorHAnsi" w:hAnsiTheme="minorHAnsi" w:cstheme="minorHAnsi"/>
              </w:rPr>
              <w:t>19/11/24</w:t>
            </w:r>
          </w:p>
        </w:tc>
      </w:tr>
    </w:tbl>
    <w:p w14:paraId="7FB5DF25" w14:textId="77777777" w:rsidR="00052293" w:rsidRDefault="00052293" w:rsidP="00052293"/>
    <w:p w14:paraId="3F0789F5" w14:textId="77777777" w:rsidR="00CB0129" w:rsidRDefault="00CB0129">
      <w:pPr>
        <w:rPr>
          <w:rFonts w:ascii="Arial" w:hAnsi="Arial" w:cs="Arial"/>
          <w:lang w:val="en-US"/>
        </w:rPr>
      </w:pPr>
      <w:r>
        <w:rPr>
          <w:rFonts w:ascii="Arial" w:hAnsi="Arial" w:cs="Arial"/>
          <w:lang w:val="en-US"/>
        </w:rPr>
        <w:br w:type="page"/>
      </w:r>
    </w:p>
    <w:p w14:paraId="1CA548EA" w14:textId="17A2F6E8" w:rsidR="00837116" w:rsidRDefault="00837116" w:rsidP="00E9280E">
      <w:pPr>
        <w:pStyle w:val="Title"/>
        <w:pBdr>
          <w:bottom w:val="none" w:sz="0" w:space="0" w:color="auto"/>
        </w:pBdr>
        <w:spacing w:after="240"/>
        <w:jc w:val="right"/>
      </w:pPr>
      <w:r>
        <w:rPr>
          <w:noProof/>
          <w:lang w:eastAsia="en-AU"/>
        </w:rPr>
        <w:lastRenderedPageBreak/>
        <w:drawing>
          <wp:anchor distT="0" distB="0" distL="114300" distR="114300" simplePos="0" relativeHeight="251662336" behindDoc="1" locked="0" layoutInCell="1" allowOverlap="1" wp14:anchorId="2D301C52" wp14:editId="61C65C3F">
            <wp:simplePos x="0" y="0"/>
            <wp:positionH relativeFrom="margin">
              <wp:align>right</wp:align>
            </wp:positionH>
            <wp:positionV relativeFrom="paragraph">
              <wp:posOffset>9525</wp:posOffset>
            </wp:positionV>
            <wp:extent cx="1744345" cy="699135"/>
            <wp:effectExtent l="0" t="0" r="8255" b="5715"/>
            <wp:wrapTight wrapText="bothSides">
              <wp:wrapPolygon edited="0">
                <wp:start x="0" y="0"/>
                <wp:lineTo x="0" y="21188"/>
                <wp:lineTo x="21466" y="21188"/>
                <wp:lineTo x="21466"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4DBE8B62" w14:textId="77777777" w:rsidR="00837116" w:rsidRDefault="00837116" w:rsidP="00BC54F9">
      <w:pPr>
        <w:pStyle w:val="Policy1"/>
        <w:spacing w:after="120"/>
      </w:pPr>
    </w:p>
    <w:p w14:paraId="1D951A83" w14:textId="0BEAE778" w:rsidR="00BC54F9" w:rsidRPr="00C0368D" w:rsidRDefault="00BC54F9" w:rsidP="00BC54F9">
      <w:pPr>
        <w:pStyle w:val="Policy1"/>
        <w:spacing w:after="120"/>
      </w:pPr>
      <w:bookmarkStart w:id="577" w:name="_Toc216866728"/>
      <w:r w:rsidRPr="00C0368D">
        <w:t>4.</w:t>
      </w:r>
      <w:r w:rsidRPr="00C0368D">
        <w:tab/>
        <w:t>OPERATIONS</w:t>
      </w:r>
      <w:bookmarkEnd w:id="577"/>
    </w:p>
    <w:p w14:paraId="7C26CE55" w14:textId="77777777" w:rsidR="00BC54F9" w:rsidRPr="00BC54F9" w:rsidRDefault="00BC54F9" w:rsidP="00BC54F9">
      <w:pPr>
        <w:pStyle w:val="Policy2"/>
        <w:spacing w:after="120"/>
      </w:pPr>
      <w:bookmarkStart w:id="578" w:name="_Toc216866729"/>
      <w:r>
        <w:t>4.1</w:t>
      </w:r>
      <w:r>
        <w:tab/>
        <w:t>PUBLIC INFRASTRUCTURE</w:t>
      </w:r>
      <w:bookmarkEnd w:id="578"/>
    </w:p>
    <w:p w14:paraId="4BBD076E" w14:textId="4534BF18" w:rsidR="0033352E" w:rsidRPr="00B11C8A" w:rsidRDefault="0033352E" w:rsidP="0033352E">
      <w:pPr>
        <w:pStyle w:val="Policy3"/>
      </w:pPr>
      <w:bookmarkStart w:id="579" w:name="_Toc216866730"/>
      <w:r w:rsidRPr="00B11C8A">
        <w:t>4.1.</w:t>
      </w:r>
      <w:r>
        <w:t>1</w:t>
      </w:r>
      <w:r w:rsidRPr="00B11C8A">
        <w:tab/>
      </w:r>
      <w:r>
        <w:t>Removal of Graffiti</w:t>
      </w:r>
      <w:bookmarkEnd w:id="579"/>
    </w:p>
    <w:tbl>
      <w:tblPr>
        <w:tblStyle w:val="TableGrid"/>
        <w:tblW w:w="0" w:type="auto"/>
        <w:tblLook w:val="04A0" w:firstRow="1" w:lastRow="0" w:firstColumn="1" w:lastColumn="0" w:noHBand="0" w:noVBand="1"/>
      </w:tblPr>
      <w:tblGrid>
        <w:gridCol w:w="3022"/>
        <w:gridCol w:w="5994"/>
      </w:tblGrid>
      <w:tr w:rsidR="008240F7" w:rsidRPr="008434EA" w14:paraId="09EF8F22" w14:textId="77777777" w:rsidTr="008434EA">
        <w:tc>
          <w:tcPr>
            <w:tcW w:w="3022" w:type="dxa"/>
          </w:tcPr>
          <w:p w14:paraId="149B85B2" w14:textId="77777777" w:rsidR="008240F7" w:rsidRPr="008434EA" w:rsidRDefault="008240F7" w:rsidP="00E16F52">
            <w:pPr>
              <w:rPr>
                <w:rFonts w:cstheme="minorHAnsi"/>
                <w:b/>
                <w:lang w:val="en-US"/>
              </w:rPr>
            </w:pPr>
            <w:r w:rsidRPr="008434EA">
              <w:rPr>
                <w:rFonts w:cstheme="minorHAnsi"/>
                <w:b/>
                <w:lang w:val="en-US"/>
              </w:rPr>
              <w:t>Type:</w:t>
            </w:r>
          </w:p>
        </w:tc>
        <w:tc>
          <w:tcPr>
            <w:tcW w:w="5994" w:type="dxa"/>
          </w:tcPr>
          <w:p w14:paraId="2D64AA8C" w14:textId="77777777" w:rsidR="008240F7" w:rsidRPr="008434EA" w:rsidRDefault="008240F7" w:rsidP="00E16F52">
            <w:pPr>
              <w:rPr>
                <w:rFonts w:cstheme="minorHAnsi"/>
                <w:lang w:val="en-US"/>
              </w:rPr>
            </w:pPr>
            <w:r w:rsidRPr="008434EA">
              <w:rPr>
                <w:rFonts w:cstheme="minorHAnsi"/>
                <w:lang w:val="en-US"/>
              </w:rPr>
              <w:t>Operations – Public Infrastructure</w:t>
            </w:r>
          </w:p>
        </w:tc>
      </w:tr>
      <w:tr w:rsidR="008240F7" w:rsidRPr="008434EA" w14:paraId="0204609F" w14:textId="77777777" w:rsidTr="008434EA">
        <w:tc>
          <w:tcPr>
            <w:tcW w:w="3022" w:type="dxa"/>
          </w:tcPr>
          <w:p w14:paraId="4652CFC3" w14:textId="77777777" w:rsidR="008240F7" w:rsidRPr="008434EA" w:rsidRDefault="008240F7" w:rsidP="00E16F52">
            <w:pPr>
              <w:rPr>
                <w:rFonts w:cstheme="minorHAnsi"/>
                <w:b/>
                <w:lang w:val="en-US"/>
              </w:rPr>
            </w:pPr>
            <w:r w:rsidRPr="008434EA">
              <w:rPr>
                <w:rFonts w:cstheme="minorHAnsi"/>
                <w:b/>
                <w:lang w:val="en-US"/>
              </w:rPr>
              <w:t>Legislation:</w:t>
            </w:r>
          </w:p>
        </w:tc>
        <w:tc>
          <w:tcPr>
            <w:tcW w:w="5994" w:type="dxa"/>
          </w:tcPr>
          <w:p w14:paraId="71F93F75" w14:textId="77777777" w:rsidR="008240F7" w:rsidRPr="008434EA" w:rsidRDefault="008240F7" w:rsidP="00E16F52">
            <w:pPr>
              <w:rPr>
                <w:rFonts w:cstheme="minorHAnsi"/>
                <w:lang w:val="en-US"/>
              </w:rPr>
            </w:pPr>
          </w:p>
        </w:tc>
      </w:tr>
      <w:tr w:rsidR="008240F7" w:rsidRPr="008434EA" w14:paraId="1CBFE119" w14:textId="77777777" w:rsidTr="008434EA">
        <w:tc>
          <w:tcPr>
            <w:tcW w:w="3022" w:type="dxa"/>
          </w:tcPr>
          <w:p w14:paraId="7CFB63A3" w14:textId="77777777" w:rsidR="008240F7" w:rsidRPr="008434EA" w:rsidRDefault="008240F7" w:rsidP="00E16F52">
            <w:pPr>
              <w:rPr>
                <w:rFonts w:cstheme="minorHAnsi"/>
                <w:b/>
                <w:lang w:val="en-US"/>
              </w:rPr>
            </w:pPr>
            <w:r w:rsidRPr="008434EA">
              <w:rPr>
                <w:rFonts w:cstheme="minorHAnsi"/>
                <w:b/>
                <w:lang w:val="en-US"/>
              </w:rPr>
              <w:t>Delegation:</w:t>
            </w:r>
          </w:p>
        </w:tc>
        <w:tc>
          <w:tcPr>
            <w:tcW w:w="5994" w:type="dxa"/>
          </w:tcPr>
          <w:p w14:paraId="532A670B" w14:textId="77777777" w:rsidR="008240F7" w:rsidRPr="008434EA" w:rsidRDefault="008240F7" w:rsidP="00E16F52">
            <w:pPr>
              <w:rPr>
                <w:rFonts w:cstheme="minorHAnsi"/>
                <w:lang w:val="en-US"/>
              </w:rPr>
            </w:pPr>
            <w:r w:rsidRPr="008434EA">
              <w:rPr>
                <w:rFonts w:cstheme="minorHAnsi"/>
                <w:lang w:val="en-US"/>
              </w:rPr>
              <w:t>N/A</w:t>
            </w:r>
          </w:p>
        </w:tc>
      </w:tr>
      <w:tr w:rsidR="008240F7" w:rsidRPr="008434EA" w14:paraId="3F05476C" w14:textId="77777777" w:rsidTr="008434EA">
        <w:tc>
          <w:tcPr>
            <w:tcW w:w="3022" w:type="dxa"/>
          </w:tcPr>
          <w:p w14:paraId="082B363B" w14:textId="77777777" w:rsidR="008240F7" w:rsidRPr="008434EA" w:rsidRDefault="008240F7" w:rsidP="00E16F52">
            <w:pPr>
              <w:rPr>
                <w:rFonts w:cstheme="minorHAnsi"/>
                <w:b/>
                <w:lang w:val="en-US"/>
              </w:rPr>
            </w:pPr>
            <w:r w:rsidRPr="008434EA">
              <w:rPr>
                <w:rFonts w:cstheme="minorHAnsi"/>
                <w:b/>
                <w:lang w:val="en-US"/>
              </w:rPr>
              <w:t>Other Related Document:</w:t>
            </w:r>
          </w:p>
        </w:tc>
        <w:tc>
          <w:tcPr>
            <w:tcW w:w="5994" w:type="dxa"/>
          </w:tcPr>
          <w:p w14:paraId="7CCC271C" w14:textId="77777777" w:rsidR="008240F7" w:rsidRPr="008434EA" w:rsidRDefault="008240F7" w:rsidP="00E16F52">
            <w:pPr>
              <w:rPr>
                <w:rFonts w:cstheme="minorHAnsi"/>
                <w:lang w:val="en-US"/>
              </w:rPr>
            </w:pPr>
            <w:r w:rsidRPr="008434EA">
              <w:rPr>
                <w:rFonts w:cstheme="minorHAnsi"/>
                <w:lang w:val="en-US"/>
              </w:rPr>
              <w:t>Removal of Graffiti Procedures</w:t>
            </w:r>
            <w:r w:rsidR="008434EA">
              <w:rPr>
                <w:rFonts w:cstheme="minorHAnsi"/>
                <w:lang w:val="en-US"/>
              </w:rPr>
              <w:t xml:space="preserve"> PRO</w:t>
            </w:r>
            <w:r w:rsidRPr="008434EA">
              <w:rPr>
                <w:rFonts w:cstheme="minorHAnsi"/>
                <w:lang w:val="en-US"/>
              </w:rPr>
              <w:t>4.1.1</w:t>
            </w:r>
          </w:p>
        </w:tc>
      </w:tr>
    </w:tbl>
    <w:p w14:paraId="4891C397" w14:textId="77777777" w:rsidR="008240F7" w:rsidRPr="008434EA" w:rsidRDefault="008240F7" w:rsidP="008240F7">
      <w:pPr>
        <w:spacing w:before="240" w:after="0"/>
        <w:rPr>
          <w:rFonts w:cstheme="minorHAnsi"/>
          <w:b/>
          <w:sz w:val="28"/>
          <w:szCs w:val="28"/>
          <w:lang w:val="en-US"/>
        </w:rPr>
      </w:pPr>
      <w:r w:rsidRPr="008434EA">
        <w:rPr>
          <w:rFonts w:cstheme="minorHAnsi"/>
          <w:b/>
          <w:sz w:val="28"/>
          <w:szCs w:val="28"/>
          <w:lang w:val="en-US"/>
        </w:rPr>
        <w:t>Objective</w:t>
      </w:r>
    </w:p>
    <w:p w14:paraId="1B094B07" w14:textId="77777777" w:rsidR="008240F7" w:rsidRPr="008434EA" w:rsidRDefault="008240F7" w:rsidP="008240F7">
      <w:pPr>
        <w:jc w:val="both"/>
        <w:rPr>
          <w:rFonts w:cstheme="minorHAnsi"/>
          <w:lang w:val="en-US"/>
        </w:rPr>
      </w:pPr>
      <w:r w:rsidRPr="008434EA">
        <w:rPr>
          <w:rFonts w:cstheme="minorHAnsi"/>
          <w:lang w:val="en-US"/>
        </w:rPr>
        <w:t>This policy sets out the criteria for the removal of graffiti within the Town.</w:t>
      </w:r>
    </w:p>
    <w:p w14:paraId="4E9016D8" w14:textId="77777777" w:rsidR="008240F7" w:rsidRPr="008434EA" w:rsidRDefault="008240F7" w:rsidP="008240F7">
      <w:pPr>
        <w:spacing w:after="0"/>
        <w:rPr>
          <w:rFonts w:cstheme="minorHAnsi"/>
          <w:b/>
          <w:sz w:val="28"/>
          <w:szCs w:val="28"/>
          <w:lang w:val="en-US"/>
        </w:rPr>
      </w:pPr>
      <w:r w:rsidRPr="008434EA">
        <w:rPr>
          <w:rFonts w:cstheme="minorHAnsi"/>
          <w:b/>
          <w:sz w:val="28"/>
          <w:szCs w:val="28"/>
          <w:lang w:val="en-US"/>
        </w:rPr>
        <w:t>Policy Scope</w:t>
      </w:r>
    </w:p>
    <w:p w14:paraId="08C94B5E" w14:textId="77777777" w:rsidR="008240F7" w:rsidRPr="008434EA" w:rsidRDefault="008240F7" w:rsidP="008240F7">
      <w:pPr>
        <w:jc w:val="both"/>
        <w:rPr>
          <w:rFonts w:cstheme="minorHAnsi"/>
          <w:lang w:val="en-US"/>
        </w:rPr>
      </w:pPr>
      <w:r w:rsidRPr="008434EA">
        <w:rPr>
          <w:rFonts w:cstheme="minorHAnsi"/>
          <w:lang w:val="en-US"/>
        </w:rPr>
        <w:t>This policy will affect private property and Town of East Fremantle assets and infrastructure.</w:t>
      </w:r>
    </w:p>
    <w:p w14:paraId="2D5D0208" w14:textId="77777777" w:rsidR="008240F7" w:rsidRPr="008434EA" w:rsidRDefault="008240F7" w:rsidP="008240F7">
      <w:pPr>
        <w:spacing w:after="0"/>
        <w:rPr>
          <w:rFonts w:cstheme="minorHAnsi"/>
          <w:b/>
          <w:sz w:val="28"/>
          <w:szCs w:val="28"/>
          <w:lang w:val="en-US"/>
        </w:rPr>
      </w:pPr>
      <w:r w:rsidRPr="008434EA">
        <w:rPr>
          <w:rFonts w:cstheme="minorHAnsi"/>
          <w:b/>
          <w:sz w:val="28"/>
          <w:szCs w:val="28"/>
          <w:lang w:val="en-US"/>
        </w:rPr>
        <w:t xml:space="preserve">Policy </w:t>
      </w:r>
    </w:p>
    <w:p w14:paraId="6423BF2D" w14:textId="77777777" w:rsidR="008240F7" w:rsidRPr="008434EA" w:rsidRDefault="008240F7" w:rsidP="008240F7">
      <w:pPr>
        <w:jc w:val="both"/>
        <w:rPr>
          <w:rFonts w:cstheme="minorHAnsi"/>
        </w:rPr>
      </w:pPr>
      <w:r w:rsidRPr="008434EA">
        <w:rPr>
          <w:rFonts w:cstheme="minorHAnsi"/>
        </w:rPr>
        <w:t xml:space="preserve">The Town of East Fremantle resolves to remove graffiti within five (5) working days of it being reported and offensive graffiti will be given a higher priority. </w:t>
      </w:r>
    </w:p>
    <w:p w14:paraId="4A6A0C1F" w14:textId="77777777" w:rsidR="008240F7" w:rsidRPr="008434EA" w:rsidRDefault="008240F7" w:rsidP="008240F7">
      <w:pPr>
        <w:spacing w:after="60"/>
        <w:jc w:val="both"/>
        <w:rPr>
          <w:rFonts w:cstheme="minorHAnsi"/>
          <w:lang w:val="en-US"/>
        </w:rPr>
      </w:pPr>
      <w:r w:rsidRPr="008434EA">
        <w:rPr>
          <w:rFonts w:cstheme="minorHAnsi"/>
          <w:lang w:val="en-US"/>
        </w:rPr>
        <w:t>The Town of East Fremantle may arrange a contractor to remove graffiti from privately owned property where:</w:t>
      </w:r>
    </w:p>
    <w:p w14:paraId="615FD4E1" w14:textId="77777777" w:rsidR="008240F7" w:rsidRPr="008434EA" w:rsidRDefault="008240F7" w:rsidP="002A3889">
      <w:pPr>
        <w:pStyle w:val="ListParagraph"/>
        <w:numPr>
          <w:ilvl w:val="0"/>
          <w:numId w:val="327"/>
        </w:numPr>
        <w:spacing w:after="60"/>
        <w:ind w:left="426" w:hanging="426"/>
        <w:contextualSpacing w:val="0"/>
        <w:jc w:val="both"/>
        <w:rPr>
          <w:rFonts w:cstheme="minorHAnsi"/>
          <w:lang w:val="en-US"/>
        </w:rPr>
      </w:pPr>
      <w:r w:rsidRPr="008434EA">
        <w:rPr>
          <w:rFonts w:cstheme="minorHAnsi"/>
          <w:lang w:val="en-US"/>
        </w:rPr>
        <w:t xml:space="preserve">the property owner has reported the </w:t>
      </w:r>
      <w:proofErr w:type="gramStart"/>
      <w:r w:rsidRPr="008434EA">
        <w:rPr>
          <w:rFonts w:cstheme="minorHAnsi"/>
          <w:lang w:val="en-US"/>
        </w:rPr>
        <w:t>graffiti  to</w:t>
      </w:r>
      <w:proofErr w:type="gramEnd"/>
      <w:r w:rsidRPr="008434EA">
        <w:rPr>
          <w:rFonts w:cstheme="minorHAnsi"/>
          <w:lang w:val="en-US"/>
        </w:rPr>
        <w:t xml:space="preserve"> the Goodbye Graffiti Hotline by calling 1800 44 22 55 or online at www.goodbyegraffiti.wa.gov.au</w:t>
      </w:r>
    </w:p>
    <w:p w14:paraId="3476B0DA" w14:textId="77777777" w:rsidR="008240F7" w:rsidRPr="008434EA" w:rsidRDefault="008240F7" w:rsidP="002A3889">
      <w:pPr>
        <w:pStyle w:val="ListParagraph"/>
        <w:numPr>
          <w:ilvl w:val="0"/>
          <w:numId w:val="327"/>
        </w:numPr>
        <w:spacing w:after="60"/>
        <w:ind w:left="426" w:hanging="426"/>
        <w:contextualSpacing w:val="0"/>
        <w:jc w:val="both"/>
        <w:rPr>
          <w:rFonts w:cstheme="minorHAnsi"/>
          <w:lang w:val="en-US"/>
        </w:rPr>
      </w:pPr>
      <w:r w:rsidRPr="008434EA">
        <w:rPr>
          <w:rFonts w:cstheme="minorHAnsi"/>
          <w:lang w:val="en-US"/>
        </w:rPr>
        <w:t>the property owner has submitted a graffiti waiver form to the Town of East Fremantle to enable the removal or painting out of graffiti, without the potential for liability claims.</w:t>
      </w:r>
    </w:p>
    <w:p w14:paraId="486B715D" w14:textId="77777777" w:rsidR="008240F7" w:rsidRPr="008434EA" w:rsidRDefault="008240F7" w:rsidP="002A3889">
      <w:pPr>
        <w:pStyle w:val="ListParagraph"/>
        <w:numPr>
          <w:ilvl w:val="0"/>
          <w:numId w:val="327"/>
        </w:numPr>
        <w:spacing w:after="60"/>
        <w:ind w:left="426" w:hanging="426"/>
        <w:contextualSpacing w:val="0"/>
        <w:jc w:val="both"/>
        <w:rPr>
          <w:rFonts w:cstheme="minorHAnsi"/>
          <w:lang w:val="en-US"/>
        </w:rPr>
      </w:pPr>
      <w:r w:rsidRPr="008434EA">
        <w:rPr>
          <w:rFonts w:cstheme="minorHAnsi"/>
          <w:lang w:val="en-US"/>
        </w:rPr>
        <w:t>the private property adjoins a public walkway or thoroughfare.</w:t>
      </w:r>
    </w:p>
    <w:p w14:paraId="5CE8D247" w14:textId="77777777" w:rsidR="008240F7" w:rsidRPr="008434EA" w:rsidRDefault="008240F7" w:rsidP="002A3889">
      <w:pPr>
        <w:pStyle w:val="ListParagraph"/>
        <w:numPr>
          <w:ilvl w:val="0"/>
          <w:numId w:val="327"/>
        </w:numPr>
        <w:ind w:left="426" w:hanging="426"/>
        <w:jc w:val="both"/>
        <w:rPr>
          <w:rFonts w:cstheme="minorHAnsi"/>
          <w:lang w:val="en-US"/>
        </w:rPr>
      </w:pPr>
      <w:r w:rsidRPr="008434EA">
        <w:rPr>
          <w:rFonts w:cstheme="minorHAnsi"/>
          <w:lang w:val="en-US"/>
        </w:rPr>
        <w:t>the Town will provide this service on a cost plus 25% recovery basis.</w:t>
      </w:r>
    </w:p>
    <w:p w14:paraId="6AD7D14C" w14:textId="77777777" w:rsidR="008240F7" w:rsidRPr="008434EA" w:rsidRDefault="008240F7" w:rsidP="008240F7">
      <w:pPr>
        <w:jc w:val="both"/>
        <w:rPr>
          <w:rFonts w:cstheme="minorHAnsi"/>
          <w:lang w:val="en-US"/>
        </w:rPr>
      </w:pPr>
      <w:r w:rsidRPr="008434EA">
        <w:rPr>
          <w:rFonts w:cstheme="minorHAnsi"/>
          <w:lang w:val="en-US"/>
        </w:rPr>
        <w:t>Notwithstanding the above, the Town reserves the right to remove offensive or unsightly graffiti from private property at its discretion.</w:t>
      </w:r>
    </w:p>
    <w:p w14:paraId="748532D6" w14:textId="77777777" w:rsidR="008240F7" w:rsidRDefault="008434EA" w:rsidP="006D089F">
      <w:pPr>
        <w:spacing w:after="0"/>
        <w:jc w:val="both"/>
        <w:rPr>
          <w:rFonts w:cstheme="minorHAnsi"/>
          <w:b/>
          <w:lang w:val="en-US"/>
        </w:rPr>
      </w:pPr>
      <w:r>
        <w:rPr>
          <w:rFonts w:cstheme="minorHAnsi"/>
          <w:b/>
          <w:lang w:val="en-US"/>
        </w:rPr>
        <w:t>Attachment</w:t>
      </w:r>
    </w:p>
    <w:p w14:paraId="34FC410A" w14:textId="77777777" w:rsidR="008434EA" w:rsidRPr="008434EA" w:rsidRDefault="008434EA" w:rsidP="008240F7">
      <w:pPr>
        <w:jc w:val="both"/>
        <w:rPr>
          <w:rFonts w:cstheme="minorHAnsi"/>
          <w:lang w:val="en-US"/>
        </w:rPr>
      </w:pPr>
      <w:r>
        <w:rPr>
          <w:rFonts w:cstheme="minorHAnsi"/>
          <w:lang w:val="en-US"/>
        </w:rPr>
        <w:t>Removal of Graffiti Procedures</w:t>
      </w:r>
    </w:p>
    <w:tbl>
      <w:tblPr>
        <w:tblStyle w:val="TableGrid"/>
        <w:tblW w:w="0" w:type="auto"/>
        <w:tblLook w:val="04A0" w:firstRow="1" w:lastRow="0" w:firstColumn="1" w:lastColumn="0" w:noHBand="0" w:noVBand="1"/>
      </w:tblPr>
      <w:tblGrid>
        <w:gridCol w:w="3069"/>
        <w:gridCol w:w="6113"/>
      </w:tblGrid>
      <w:tr w:rsidR="008240F7" w:rsidRPr="008434EA" w14:paraId="7CF12F01" w14:textId="77777777" w:rsidTr="00E16F52">
        <w:tc>
          <w:tcPr>
            <w:tcW w:w="3085" w:type="dxa"/>
          </w:tcPr>
          <w:p w14:paraId="4C57FBDE" w14:textId="77777777" w:rsidR="008240F7" w:rsidRPr="008434EA" w:rsidRDefault="008240F7" w:rsidP="00E16F52">
            <w:pPr>
              <w:jc w:val="both"/>
              <w:rPr>
                <w:rFonts w:cstheme="minorHAnsi"/>
                <w:b/>
                <w:lang w:val="en-US"/>
              </w:rPr>
            </w:pPr>
            <w:r w:rsidRPr="008434EA">
              <w:rPr>
                <w:rFonts w:cstheme="minorHAnsi"/>
                <w:b/>
                <w:lang w:val="en-US"/>
              </w:rPr>
              <w:t>Responsible Directorate:</w:t>
            </w:r>
          </w:p>
        </w:tc>
        <w:tc>
          <w:tcPr>
            <w:tcW w:w="6157" w:type="dxa"/>
          </w:tcPr>
          <w:p w14:paraId="66664851" w14:textId="77777777" w:rsidR="008240F7" w:rsidRPr="008434EA" w:rsidRDefault="008434EA" w:rsidP="00E16F52">
            <w:pPr>
              <w:jc w:val="both"/>
              <w:rPr>
                <w:rFonts w:cstheme="minorHAnsi"/>
                <w:lang w:val="en-US"/>
              </w:rPr>
            </w:pPr>
            <w:r>
              <w:rPr>
                <w:rFonts w:cstheme="minorHAnsi"/>
                <w:lang w:val="en-US"/>
              </w:rPr>
              <w:t>Operations</w:t>
            </w:r>
          </w:p>
        </w:tc>
      </w:tr>
      <w:tr w:rsidR="008240F7" w:rsidRPr="008434EA" w14:paraId="3FCCD04A" w14:textId="77777777" w:rsidTr="00E16F52">
        <w:tc>
          <w:tcPr>
            <w:tcW w:w="3085" w:type="dxa"/>
          </w:tcPr>
          <w:p w14:paraId="4BA52290" w14:textId="77777777" w:rsidR="008240F7" w:rsidRPr="008434EA" w:rsidRDefault="008240F7" w:rsidP="00E16F52">
            <w:pPr>
              <w:jc w:val="both"/>
              <w:rPr>
                <w:rFonts w:cstheme="minorHAnsi"/>
                <w:b/>
                <w:lang w:val="en-US"/>
              </w:rPr>
            </w:pPr>
            <w:r w:rsidRPr="008434EA">
              <w:rPr>
                <w:rFonts w:cstheme="minorHAnsi"/>
                <w:b/>
                <w:lang w:val="en-US"/>
              </w:rPr>
              <w:t>Reviewing Officer:</w:t>
            </w:r>
          </w:p>
        </w:tc>
        <w:tc>
          <w:tcPr>
            <w:tcW w:w="6157" w:type="dxa"/>
          </w:tcPr>
          <w:p w14:paraId="192BC90E" w14:textId="77777777" w:rsidR="008240F7" w:rsidRPr="008434EA" w:rsidRDefault="008434EA" w:rsidP="00E16F52">
            <w:pPr>
              <w:jc w:val="both"/>
              <w:rPr>
                <w:rFonts w:cstheme="minorHAnsi"/>
                <w:lang w:val="en-US"/>
              </w:rPr>
            </w:pPr>
            <w:r>
              <w:rPr>
                <w:rFonts w:cstheme="minorHAnsi"/>
                <w:lang w:val="en-US"/>
              </w:rPr>
              <w:t>Operations Manager</w:t>
            </w:r>
          </w:p>
        </w:tc>
      </w:tr>
      <w:tr w:rsidR="008240F7" w:rsidRPr="008434EA" w14:paraId="5A847FF7" w14:textId="77777777" w:rsidTr="00E16F52">
        <w:tc>
          <w:tcPr>
            <w:tcW w:w="3085" w:type="dxa"/>
          </w:tcPr>
          <w:p w14:paraId="2F5F752F" w14:textId="77777777" w:rsidR="008240F7" w:rsidRPr="008434EA" w:rsidRDefault="008240F7" w:rsidP="00E16F52">
            <w:pPr>
              <w:jc w:val="both"/>
              <w:rPr>
                <w:rFonts w:cstheme="minorHAnsi"/>
                <w:b/>
                <w:lang w:val="en-US"/>
              </w:rPr>
            </w:pPr>
            <w:r w:rsidRPr="008434EA">
              <w:rPr>
                <w:rFonts w:cstheme="minorHAnsi"/>
                <w:b/>
                <w:lang w:val="en-US"/>
              </w:rPr>
              <w:t>Decision making Authority:</w:t>
            </w:r>
          </w:p>
        </w:tc>
        <w:tc>
          <w:tcPr>
            <w:tcW w:w="6157" w:type="dxa"/>
          </w:tcPr>
          <w:p w14:paraId="7C1F5ECB" w14:textId="77777777" w:rsidR="008240F7" w:rsidRPr="008434EA" w:rsidRDefault="008240F7" w:rsidP="00E16F52">
            <w:pPr>
              <w:jc w:val="both"/>
              <w:rPr>
                <w:rFonts w:cstheme="minorHAnsi"/>
                <w:lang w:val="en-US"/>
              </w:rPr>
            </w:pPr>
            <w:r w:rsidRPr="008434EA">
              <w:rPr>
                <w:rFonts w:cstheme="minorHAnsi"/>
                <w:lang w:val="en-US"/>
              </w:rPr>
              <w:t>Council</w:t>
            </w:r>
          </w:p>
        </w:tc>
      </w:tr>
      <w:tr w:rsidR="008240F7" w:rsidRPr="008434EA" w14:paraId="32CE2693" w14:textId="77777777" w:rsidTr="00E16F52">
        <w:tc>
          <w:tcPr>
            <w:tcW w:w="3085" w:type="dxa"/>
          </w:tcPr>
          <w:p w14:paraId="282E0810" w14:textId="77777777" w:rsidR="008240F7" w:rsidRPr="008434EA" w:rsidRDefault="008240F7" w:rsidP="00E16F52">
            <w:pPr>
              <w:jc w:val="both"/>
              <w:rPr>
                <w:rFonts w:cstheme="minorHAnsi"/>
                <w:b/>
                <w:lang w:val="en-US"/>
              </w:rPr>
            </w:pPr>
            <w:r w:rsidRPr="008434EA">
              <w:rPr>
                <w:rFonts w:cstheme="minorHAnsi"/>
                <w:b/>
                <w:lang w:val="en-US"/>
              </w:rPr>
              <w:t>Policy Adopted:</w:t>
            </w:r>
          </w:p>
        </w:tc>
        <w:tc>
          <w:tcPr>
            <w:tcW w:w="6157" w:type="dxa"/>
          </w:tcPr>
          <w:p w14:paraId="08F825C8" w14:textId="77777777" w:rsidR="008240F7" w:rsidRPr="008434EA" w:rsidRDefault="008240F7" w:rsidP="00E16F52">
            <w:pPr>
              <w:jc w:val="both"/>
              <w:rPr>
                <w:rFonts w:cstheme="minorHAnsi"/>
                <w:lang w:val="en-US"/>
              </w:rPr>
            </w:pPr>
            <w:r w:rsidRPr="008434EA">
              <w:rPr>
                <w:rFonts w:cstheme="minorHAnsi"/>
                <w:lang w:val="en-US"/>
              </w:rPr>
              <w:t>20/10/15</w:t>
            </w:r>
          </w:p>
        </w:tc>
      </w:tr>
      <w:tr w:rsidR="008240F7" w:rsidRPr="008434EA" w14:paraId="158BD6D1" w14:textId="77777777" w:rsidTr="00E16F52">
        <w:tc>
          <w:tcPr>
            <w:tcW w:w="3085" w:type="dxa"/>
          </w:tcPr>
          <w:p w14:paraId="29AAA2BB" w14:textId="77777777" w:rsidR="008240F7" w:rsidRPr="008434EA" w:rsidRDefault="008240F7" w:rsidP="00E16F52">
            <w:pPr>
              <w:jc w:val="both"/>
              <w:rPr>
                <w:rFonts w:cstheme="minorHAnsi"/>
                <w:b/>
                <w:lang w:val="en-US"/>
              </w:rPr>
            </w:pPr>
            <w:r w:rsidRPr="008434EA">
              <w:rPr>
                <w:rFonts w:cstheme="minorHAnsi"/>
                <w:b/>
                <w:lang w:val="en-US"/>
              </w:rPr>
              <w:t>Policy Amended:</w:t>
            </w:r>
          </w:p>
        </w:tc>
        <w:tc>
          <w:tcPr>
            <w:tcW w:w="6157" w:type="dxa"/>
          </w:tcPr>
          <w:p w14:paraId="1231A4CC" w14:textId="77777777" w:rsidR="008240F7" w:rsidRPr="008434EA" w:rsidRDefault="00160E4C" w:rsidP="00E16F52">
            <w:pPr>
              <w:jc w:val="both"/>
              <w:rPr>
                <w:rFonts w:cstheme="minorHAnsi"/>
                <w:lang w:val="en-US"/>
              </w:rPr>
            </w:pPr>
            <w:r>
              <w:rPr>
                <w:rFonts w:cstheme="minorHAnsi"/>
                <w:lang w:val="en-US"/>
              </w:rPr>
              <w:t>17/9/19</w:t>
            </w:r>
          </w:p>
        </w:tc>
      </w:tr>
      <w:tr w:rsidR="008240F7" w:rsidRPr="008434EA" w14:paraId="68801406" w14:textId="77777777" w:rsidTr="00E16F52">
        <w:tc>
          <w:tcPr>
            <w:tcW w:w="3085" w:type="dxa"/>
          </w:tcPr>
          <w:p w14:paraId="30BCC5F3" w14:textId="77777777" w:rsidR="008240F7" w:rsidRPr="008434EA" w:rsidRDefault="008434EA" w:rsidP="00E16F52">
            <w:pPr>
              <w:jc w:val="both"/>
              <w:rPr>
                <w:rFonts w:cstheme="minorHAnsi"/>
                <w:b/>
                <w:lang w:val="en-US"/>
              </w:rPr>
            </w:pPr>
            <w:r>
              <w:rPr>
                <w:rFonts w:cstheme="minorHAnsi"/>
                <w:b/>
                <w:lang w:val="en-US"/>
              </w:rPr>
              <w:t>Former Policy No</w:t>
            </w:r>
          </w:p>
        </w:tc>
        <w:tc>
          <w:tcPr>
            <w:tcW w:w="6157" w:type="dxa"/>
          </w:tcPr>
          <w:p w14:paraId="5502D3B1" w14:textId="77777777" w:rsidR="008240F7" w:rsidRPr="008434EA" w:rsidRDefault="008434EA" w:rsidP="00E16F52">
            <w:pPr>
              <w:jc w:val="both"/>
              <w:rPr>
                <w:rFonts w:cstheme="minorHAnsi"/>
                <w:lang w:val="en-US"/>
              </w:rPr>
            </w:pPr>
            <w:r>
              <w:rPr>
                <w:rFonts w:cstheme="minorHAnsi"/>
                <w:lang w:val="en-US"/>
              </w:rPr>
              <w:t>2.1.1</w:t>
            </w:r>
          </w:p>
        </w:tc>
      </w:tr>
    </w:tbl>
    <w:p w14:paraId="148D2B82" w14:textId="77777777" w:rsidR="00BC54F9" w:rsidRDefault="00BC54F9" w:rsidP="008240F7">
      <w:pPr>
        <w:jc w:val="both"/>
        <w:rPr>
          <w:rFonts w:cstheme="minorHAnsi"/>
          <w:lang w:val="en-US"/>
        </w:rPr>
      </w:pPr>
    </w:p>
    <w:p w14:paraId="06CAE156" w14:textId="77777777" w:rsidR="007E6E51" w:rsidRDefault="007E6E51" w:rsidP="00BC54F9">
      <w:pPr>
        <w:jc w:val="right"/>
        <w:rPr>
          <w:spacing w:val="-1"/>
        </w:rPr>
      </w:pPr>
      <w:r w:rsidRPr="00456DE4">
        <w:rPr>
          <w:noProof/>
          <w:lang w:eastAsia="en-AU"/>
        </w:rPr>
        <w:lastRenderedPageBreak/>
        <w:drawing>
          <wp:inline distT="0" distB="0" distL="0" distR="0" wp14:anchorId="4549DF16" wp14:editId="3E00374B">
            <wp:extent cx="1161563" cy="466725"/>
            <wp:effectExtent l="0" t="0" r="635" b="0"/>
            <wp:docPr id="445" name="Picture 445" descr="Y:\Office of CEO\CEO Admin\WORDDOCS\Logo\Town of East Fremantle_Logo_Landscape_Colour [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ffice of CEO\CEO Admin\WORDDOCS\Logo\Town of East Fremantle_Logo_Landscape_Colour [HIGHRE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3912" cy="467669"/>
                    </a:xfrm>
                    <a:prstGeom prst="rect">
                      <a:avLst/>
                    </a:prstGeom>
                    <a:noFill/>
                    <a:ln>
                      <a:noFill/>
                    </a:ln>
                  </pic:spPr>
                </pic:pic>
              </a:graphicData>
            </a:graphic>
          </wp:inline>
        </w:drawing>
      </w:r>
    </w:p>
    <w:p w14:paraId="3033622E" w14:textId="77777777" w:rsidR="007E6E51" w:rsidRPr="00BC54F9" w:rsidRDefault="007E6E51" w:rsidP="00BC54F9">
      <w:pPr>
        <w:jc w:val="center"/>
        <w:rPr>
          <w:b/>
          <w:lang w:val="en-US"/>
        </w:rPr>
      </w:pPr>
      <w:r w:rsidRPr="00BC54F9">
        <w:rPr>
          <w:b/>
          <w:lang w:val="en-US"/>
        </w:rPr>
        <w:t>REMOVAL OF GRAFFITI PROCEDURE (PRO4.1.1)</w:t>
      </w:r>
    </w:p>
    <w:p w14:paraId="3E4A528E" w14:textId="77777777" w:rsidR="007E6E51" w:rsidRDefault="007E6E51" w:rsidP="007E6E51">
      <w:pPr>
        <w:spacing w:after="0"/>
        <w:rPr>
          <w:rFonts w:cstheme="minorHAnsi"/>
          <w:b/>
          <w:lang w:val="en-US"/>
        </w:rPr>
      </w:pPr>
    </w:p>
    <w:p w14:paraId="444DF53E" w14:textId="77777777" w:rsidR="007E6E51" w:rsidRPr="007E6E51" w:rsidRDefault="007E6E51" w:rsidP="007E6E51">
      <w:pPr>
        <w:spacing w:after="0"/>
        <w:rPr>
          <w:rFonts w:cstheme="minorHAnsi"/>
          <w:b/>
          <w:lang w:val="en-US"/>
        </w:rPr>
      </w:pPr>
      <w:r w:rsidRPr="007E6E51">
        <w:rPr>
          <w:rFonts w:cstheme="minorHAnsi"/>
          <w:b/>
          <w:lang w:val="en-US"/>
        </w:rPr>
        <w:t>Objective</w:t>
      </w:r>
    </w:p>
    <w:p w14:paraId="7DC61553" w14:textId="77777777" w:rsidR="007E6E51" w:rsidRPr="007E6E51" w:rsidRDefault="007E6E51" w:rsidP="007E6E51">
      <w:pPr>
        <w:rPr>
          <w:b/>
          <w:lang w:val="en-US"/>
        </w:rPr>
      </w:pPr>
      <w:r w:rsidRPr="007E6E51">
        <w:rPr>
          <w:lang w:val="en-US"/>
        </w:rPr>
        <w:t>The Town of East Fremantle undertakes to remove graffiti from Council and private property in the following manner.</w:t>
      </w:r>
    </w:p>
    <w:p w14:paraId="332D0E22" w14:textId="77777777" w:rsidR="007E6E51" w:rsidRPr="007E6E51" w:rsidRDefault="007E6E51" w:rsidP="007E6E51">
      <w:pPr>
        <w:spacing w:after="0"/>
        <w:rPr>
          <w:b/>
          <w:lang w:val="en-US"/>
        </w:rPr>
      </w:pPr>
      <w:r w:rsidRPr="007E6E51">
        <w:rPr>
          <w:b/>
          <w:lang w:val="en-US"/>
        </w:rPr>
        <w:t xml:space="preserve">Procedure </w:t>
      </w:r>
    </w:p>
    <w:p w14:paraId="6284074A" w14:textId="77777777" w:rsidR="007E6E51" w:rsidRPr="007E6E51" w:rsidRDefault="007E6E51" w:rsidP="007E6E51">
      <w:pPr>
        <w:spacing w:after="60"/>
        <w:jc w:val="both"/>
        <w:rPr>
          <w:rFonts w:cstheme="minorHAnsi"/>
          <w:lang w:val="en-US"/>
        </w:rPr>
      </w:pPr>
      <w:r w:rsidRPr="007E6E51">
        <w:rPr>
          <w:rFonts w:cstheme="minorHAnsi"/>
          <w:lang w:val="en-US"/>
        </w:rPr>
        <w:t xml:space="preserve">Graffiti may be reported to Council by </w:t>
      </w:r>
      <w:proofErr w:type="gramStart"/>
      <w:r w:rsidRPr="007E6E51">
        <w:rPr>
          <w:rFonts w:cstheme="minorHAnsi"/>
          <w:lang w:val="en-US"/>
        </w:rPr>
        <w:t>a number of</w:t>
      </w:r>
      <w:proofErr w:type="gramEnd"/>
      <w:r w:rsidRPr="007E6E51">
        <w:rPr>
          <w:rFonts w:cstheme="minorHAnsi"/>
          <w:lang w:val="en-US"/>
        </w:rPr>
        <w:t xml:space="preserve"> means:</w:t>
      </w:r>
    </w:p>
    <w:p w14:paraId="7E189305" w14:textId="77777777" w:rsidR="007E6E51" w:rsidRPr="007E6E51" w:rsidRDefault="007E6E51" w:rsidP="002A3889">
      <w:pPr>
        <w:pStyle w:val="ListParagraph"/>
        <w:numPr>
          <w:ilvl w:val="0"/>
          <w:numId w:val="328"/>
        </w:numPr>
        <w:ind w:left="426" w:hanging="426"/>
        <w:jc w:val="both"/>
        <w:rPr>
          <w:rFonts w:cstheme="minorHAnsi"/>
          <w:lang w:val="en-US"/>
        </w:rPr>
      </w:pPr>
      <w:r w:rsidRPr="007E6E51">
        <w:rPr>
          <w:rFonts w:cstheme="minorHAnsi"/>
          <w:lang w:val="en-US"/>
        </w:rPr>
        <w:t>Direct telephone call, letter, email from resident to the Town or via the Goodbye Graffiti website.</w:t>
      </w:r>
    </w:p>
    <w:p w14:paraId="0FCD31A9" w14:textId="77777777" w:rsidR="007E6E51" w:rsidRPr="007E6E51" w:rsidRDefault="007E6E51" w:rsidP="002A3889">
      <w:pPr>
        <w:pStyle w:val="ListParagraph"/>
        <w:numPr>
          <w:ilvl w:val="0"/>
          <w:numId w:val="328"/>
        </w:numPr>
        <w:ind w:left="426" w:hanging="426"/>
        <w:jc w:val="both"/>
        <w:rPr>
          <w:rFonts w:cstheme="minorHAnsi"/>
          <w:lang w:val="en-US"/>
        </w:rPr>
      </w:pPr>
      <w:r w:rsidRPr="007E6E51">
        <w:rPr>
          <w:rFonts w:cstheme="minorHAnsi"/>
          <w:lang w:val="en-US"/>
        </w:rPr>
        <w:t xml:space="preserve">Via </w:t>
      </w:r>
      <w:proofErr w:type="spellStart"/>
      <w:r w:rsidRPr="007E6E51">
        <w:rPr>
          <w:rFonts w:cstheme="minorHAnsi"/>
          <w:lang w:val="en-US"/>
        </w:rPr>
        <w:t>Neighbourhood</w:t>
      </w:r>
      <w:proofErr w:type="spellEnd"/>
      <w:r w:rsidRPr="007E6E51">
        <w:rPr>
          <w:rFonts w:cstheme="minorHAnsi"/>
          <w:lang w:val="en-US"/>
        </w:rPr>
        <w:t xml:space="preserve"> Watch Coordinator.</w:t>
      </w:r>
    </w:p>
    <w:p w14:paraId="4DF6EA33" w14:textId="77777777" w:rsidR="007E6E51" w:rsidRPr="007E6E51" w:rsidRDefault="007E6E51" w:rsidP="007E6E51">
      <w:pPr>
        <w:jc w:val="both"/>
        <w:rPr>
          <w:rFonts w:cstheme="minorHAnsi"/>
          <w:lang w:val="en-US"/>
        </w:rPr>
      </w:pPr>
      <w:r w:rsidRPr="007E6E51">
        <w:rPr>
          <w:rFonts w:cstheme="minorHAnsi"/>
          <w:lang w:val="en-US"/>
        </w:rPr>
        <w:t>All graffiti reports are to be sent to Town of East Fremantle Operations Manager.  It is recommended that graffiti reports be accompanied by a photograph.</w:t>
      </w:r>
    </w:p>
    <w:p w14:paraId="14837D26" w14:textId="77777777" w:rsidR="007E6E51" w:rsidRPr="007E6E51" w:rsidRDefault="007E6E51" w:rsidP="007E6E51">
      <w:pPr>
        <w:jc w:val="both"/>
        <w:rPr>
          <w:rFonts w:cstheme="minorHAnsi"/>
          <w:lang w:val="en-US"/>
        </w:rPr>
      </w:pPr>
      <w:r w:rsidRPr="007E6E51">
        <w:rPr>
          <w:rFonts w:cstheme="minorHAnsi"/>
          <w:lang w:val="en-US"/>
        </w:rPr>
        <w:t xml:space="preserve">Graffiti will be removed within five (5) working days. </w:t>
      </w:r>
    </w:p>
    <w:p w14:paraId="1364CD62" w14:textId="77777777" w:rsidR="007E6E51" w:rsidRPr="007E6E51" w:rsidRDefault="007E6E51" w:rsidP="007E6E51">
      <w:pPr>
        <w:jc w:val="both"/>
        <w:rPr>
          <w:rFonts w:cstheme="minorHAnsi"/>
          <w:lang w:val="en-US"/>
        </w:rPr>
      </w:pPr>
      <w:r w:rsidRPr="007E6E51">
        <w:rPr>
          <w:rFonts w:cstheme="minorHAnsi"/>
          <w:lang w:val="en-US"/>
        </w:rPr>
        <w:t>Offensive graffiti will be removed as soon as possible.</w:t>
      </w:r>
    </w:p>
    <w:p w14:paraId="1D27F362" w14:textId="77777777" w:rsidR="007E6E51" w:rsidRPr="007E6E51" w:rsidRDefault="007E6E51" w:rsidP="007E6E51">
      <w:pPr>
        <w:spacing w:after="0"/>
        <w:jc w:val="both"/>
        <w:rPr>
          <w:rFonts w:cstheme="minorHAnsi"/>
          <w:u w:val="single"/>
          <w:lang w:val="en-US"/>
        </w:rPr>
      </w:pPr>
      <w:r w:rsidRPr="007E6E51">
        <w:rPr>
          <w:rFonts w:cstheme="minorHAnsi"/>
          <w:u w:val="single"/>
          <w:lang w:val="en-US"/>
        </w:rPr>
        <w:t>Public Assets</w:t>
      </w:r>
    </w:p>
    <w:p w14:paraId="20B0B4B8" w14:textId="77777777" w:rsidR="007E6E51" w:rsidRPr="007E6E51" w:rsidRDefault="007E6E51" w:rsidP="007E6E51">
      <w:pPr>
        <w:jc w:val="both"/>
        <w:rPr>
          <w:rFonts w:cstheme="minorHAnsi"/>
          <w:lang w:val="en-US"/>
        </w:rPr>
      </w:pPr>
      <w:r w:rsidRPr="007E6E51">
        <w:rPr>
          <w:rFonts w:cstheme="minorHAnsi"/>
          <w:lang w:val="en-US"/>
        </w:rPr>
        <w:t>The Operations Manager will allocate staff to remove graffiti from Town assets including bus shelters, structures, buildings, signs and bins. Staff time and resources will be costed to Expenditure Account E11424.</w:t>
      </w:r>
    </w:p>
    <w:p w14:paraId="3611C093" w14:textId="77777777" w:rsidR="007E6E51" w:rsidRPr="007E6E51" w:rsidRDefault="007E6E51" w:rsidP="007E6E51">
      <w:pPr>
        <w:spacing w:after="0"/>
        <w:jc w:val="both"/>
        <w:rPr>
          <w:rFonts w:cstheme="minorHAnsi"/>
          <w:u w:val="single"/>
          <w:lang w:val="en-US"/>
        </w:rPr>
      </w:pPr>
      <w:r w:rsidRPr="007E6E51">
        <w:rPr>
          <w:rFonts w:cstheme="minorHAnsi"/>
          <w:u w:val="single"/>
          <w:lang w:val="en-US"/>
        </w:rPr>
        <w:t>Private Property</w:t>
      </w:r>
    </w:p>
    <w:p w14:paraId="6215970D" w14:textId="77777777" w:rsidR="007E6E51" w:rsidRPr="007E6E51" w:rsidRDefault="007E6E51" w:rsidP="007E6E51">
      <w:pPr>
        <w:spacing w:after="60"/>
        <w:jc w:val="both"/>
        <w:rPr>
          <w:rFonts w:cstheme="minorHAnsi"/>
          <w:lang w:val="en-US"/>
        </w:rPr>
      </w:pPr>
      <w:r w:rsidRPr="007E6E51">
        <w:rPr>
          <w:rFonts w:cstheme="minorHAnsi"/>
          <w:lang w:val="en-US"/>
        </w:rPr>
        <w:t>Operations Manager is to arrange a contractor to remove graffiti from privately owned property where:</w:t>
      </w:r>
    </w:p>
    <w:p w14:paraId="7150AAC8" w14:textId="77777777" w:rsidR="007E6E51" w:rsidRPr="007E6E51" w:rsidRDefault="007E6E51" w:rsidP="002A3889">
      <w:pPr>
        <w:pStyle w:val="ListParagraph"/>
        <w:numPr>
          <w:ilvl w:val="0"/>
          <w:numId w:val="329"/>
        </w:numPr>
        <w:ind w:left="426" w:hanging="426"/>
        <w:jc w:val="both"/>
        <w:rPr>
          <w:rFonts w:cstheme="minorHAnsi"/>
          <w:lang w:val="en-US"/>
        </w:rPr>
      </w:pPr>
      <w:r>
        <w:rPr>
          <w:rFonts w:cstheme="minorHAnsi"/>
          <w:lang w:val="en-US"/>
        </w:rPr>
        <w:t>t</w:t>
      </w:r>
      <w:r w:rsidRPr="007E6E51">
        <w:rPr>
          <w:rFonts w:cstheme="minorHAnsi"/>
          <w:lang w:val="en-US"/>
        </w:rPr>
        <w:t xml:space="preserve">he property owner has reported the graffiti to the Goodbye Graffiti Hotline. </w:t>
      </w:r>
    </w:p>
    <w:p w14:paraId="3EB4AB6C" w14:textId="77777777" w:rsidR="007E6E51" w:rsidRPr="007E6E51" w:rsidRDefault="007E6E51" w:rsidP="002A3889">
      <w:pPr>
        <w:pStyle w:val="ListParagraph"/>
        <w:numPr>
          <w:ilvl w:val="0"/>
          <w:numId w:val="329"/>
        </w:numPr>
        <w:ind w:left="426" w:hanging="426"/>
        <w:jc w:val="both"/>
        <w:rPr>
          <w:rFonts w:cstheme="minorHAnsi"/>
          <w:lang w:val="en-US"/>
        </w:rPr>
      </w:pPr>
      <w:r>
        <w:rPr>
          <w:rFonts w:cstheme="minorHAnsi"/>
          <w:lang w:val="en-US"/>
        </w:rPr>
        <w:t>t</w:t>
      </w:r>
      <w:r w:rsidRPr="007E6E51">
        <w:rPr>
          <w:rFonts w:cstheme="minorHAnsi"/>
          <w:lang w:val="en-US"/>
        </w:rPr>
        <w:t>he property owner has submitted a graffiti waiver form to the Town of East Fremantle to enable the removal or painting out of graffiti, without the potential for liability claims.</w:t>
      </w:r>
    </w:p>
    <w:p w14:paraId="34213650" w14:textId="77777777" w:rsidR="007E6E51" w:rsidRPr="007E6E51" w:rsidRDefault="007E6E51" w:rsidP="002A3889">
      <w:pPr>
        <w:pStyle w:val="ListParagraph"/>
        <w:numPr>
          <w:ilvl w:val="0"/>
          <w:numId w:val="329"/>
        </w:numPr>
        <w:ind w:left="426" w:hanging="426"/>
        <w:jc w:val="both"/>
        <w:rPr>
          <w:rFonts w:cstheme="minorHAnsi"/>
          <w:lang w:val="en-US"/>
        </w:rPr>
      </w:pPr>
      <w:r>
        <w:rPr>
          <w:rFonts w:cstheme="minorHAnsi"/>
          <w:lang w:val="en-US"/>
        </w:rPr>
        <w:t>t</w:t>
      </w:r>
      <w:r w:rsidRPr="007E6E51">
        <w:rPr>
          <w:rFonts w:cstheme="minorHAnsi"/>
          <w:lang w:val="en-US"/>
        </w:rPr>
        <w:t>he private property adjoins a public walkway or thoroughfare.</w:t>
      </w:r>
    </w:p>
    <w:p w14:paraId="792D5A00" w14:textId="77777777" w:rsidR="007E6E51" w:rsidRPr="007E6E51" w:rsidRDefault="007E6E51" w:rsidP="007E6E51">
      <w:pPr>
        <w:jc w:val="both"/>
        <w:rPr>
          <w:rFonts w:cstheme="minorHAnsi"/>
          <w:lang w:val="en-US"/>
        </w:rPr>
      </w:pPr>
      <w:r w:rsidRPr="007E6E51">
        <w:rPr>
          <w:rFonts w:cstheme="minorHAnsi"/>
          <w:lang w:val="en-US"/>
        </w:rPr>
        <w:t>The Town will provide this service on a cost recovery basis comprising cost plus 25% administration fee.</w:t>
      </w:r>
    </w:p>
    <w:p w14:paraId="5BE2A204" w14:textId="77777777" w:rsidR="008F4A30" w:rsidRPr="007E6E51" w:rsidRDefault="008F4A30" w:rsidP="008F4A30">
      <w:pPr>
        <w:jc w:val="both"/>
        <w:rPr>
          <w:rFonts w:cstheme="minorHAnsi"/>
          <w:lang w:val="en-US"/>
        </w:rPr>
      </w:pPr>
    </w:p>
    <w:p w14:paraId="206E6293" w14:textId="77777777" w:rsidR="007E6E51" w:rsidRDefault="007E6E51">
      <w:pPr>
        <w:rPr>
          <w:rFonts w:cstheme="minorHAnsi"/>
        </w:rPr>
      </w:pPr>
      <w:r>
        <w:rPr>
          <w:rFonts w:cstheme="minorHAnsi"/>
        </w:rPr>
        <w:br w:type="page"/>
      </w:r>
    </w:p>
    <w:p w14:paraId="45C86330" w14:textId="481595BB" w:rsidR="00113E47" w:rsidRDefault="00837116" w:rsidP="00113E47">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64384" behindDoc="1" locked="0" layoutInCell="1" allowOverlap="1" wp14:anchorId="77BFBC6F" wp14:editId="63E8ABA5">
            <wp:simplePos x="0" y="0"/>
            <wp:positionH relativeFrom="column">
              <wp:posOffset>3981450</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3C0AE95F" w14:textId="77777777" w:rsidR="00837116" w:rsidRDefault="00837116" w:rsidP="00113E47">
      <w:pPr>
        <w:pStyle w:val="Policy3"/>
      </w:pPr>
      <w:bookmarkStart w:id="580" w:name="_Toc14942666"/>
    </w:p>
    <w:p w14:paraId="01724CE4" w14:textId="77777777" w:rsidR="00837116" w:rsidRDefault="00837116" w:rsidP="00113E47">
      <w:pPr>
        <w:pStyle w:val="Policy3"/>
      </w:pPr>
    </w:p>
    <w:p w14:paraId="339214B6" w14:textId="09A7B25D" w:rsidR="00113E47" w:rsidRPr="00B11C8A" w:rsidRDefault="00113E47" w:rsidP="00113E47">
      <w:pPr>
        <w:pStyle w:val="Policy3"/>
      </w:pPr>
      <w:bookmarkStart w:id="581" w:name="_Toc216866731"/>
      <w:r w:rsidRPr="00B11C8A">
        <w:t>4.1.2</w:t>
      </w:r>
      <w:r w:rsidRPr="00B11C8A">
        <w:tab/>
        <w:t>Public Art Panel</w:t>
      </w:r>
      <w:bookmarkEnd w:id="580"/>
      <w:bookmarkEnd w:id="581"/>
    </w:p>
    <w:tbl>
      <w:tblPr>
        <w:tblStyle w:val="TableGrid"/>
        <w:tblW w:w="0" w:type="auto"/>
        <w:tblLook w:val="04A0" w:firstRow="1" w:lastRow="0" w:firstColumn="1" w:lastColumn="0" w:noHBand="0" w:noVBand="1"/>
      </w:tblPr>
      <w:tblGrid>
        <w:gridCol w:w="3023"/>
        <w:gridCol w:w="5993"/>
      </w:tblGrid>
      <w:tr w:rsidR="00113E47" w:rsidRPr="00FD02DE" w14:paraId="49A8D0DE" w14:textId="77777777" w:rsidTr="00FD4C05">
        <w:tc>
          <w:tcPr>
            <w:tcW w:w="3023" w:type="dxa"/>
          </w:tcPr>
          <w:p w14:paraId="06314FA8" w14:textId="77777777" w:rsidR="00113E47" w:rsidRPr="00FD02DE" w:rsidRDefault="00113E47" w:rsidP="00FD4C05">
            <w:pPr>
              <w:rPr>
                <w:rFonts w:cstheme="minorHAnsi"/>
                <w:b/>
                <w:lang w:val="en-US"/>
              </w:rPr>
            </w:pPr>
            <w:r w:rsidRPr="00FD02DE">
              <w:rPr>
                <w:rFonts w:cstheme="minorHAnsi"/>
                <w:b/>
                <w:lang w:val="en-US"/>
              </w:rPr>
              <w:t>Type:</w:t>
            </w:r>
          </w:p>
        </w:tc>
        <w:tc>
          <w:tcPr>
            <w:tcW w:w="5993" w:type="dxa"/>
          </w:tcPr>
          <w:p w14:paraId="2CC982B9" w14:textId="77777777" w:rsidR="00113E47" w:rsidRPr="00FD02DE" w:rsidRDefault="00113E47" w:rsidP="00FD4C05">
            <w:pPr>
              <w:rPr>
                <w:rFonts w:cstheme="minorHAnsi"/>
                <w:lang w:val="en-US"/>
              </w:rPr>
            </w:pPr>
            <w:r>
              <w:rPr>
                <w:rFonts w:cstheme="minorHAnsi"/>
                <w:lang w:val="en-US"/>
              </w:rPr>
              <w:t xml:space="preserve">Operations – Public </w:t>
            </w:r>
            <w:proofErr w:type="spellStart"/>
            <w:r>
              <w:rPr>
                <w:rFonts w:cstheme="minorHAnsi"/>
                <w:lang w:val="en-US"/>
              </w:rPr>
              <w:t>Infrastrucure</w:t>
            </w:r>
            <w:proofErr w:type="spellEnd"/>
          </w:p>
        </w:tc>
      </w:tr>
      <w:tr w:rsidR="00113E47" w:rsidRPr="00FD02DE" w14:paraId="5FC2972D" w14:textId="77777777" w:rsidTr="00FD4C05">
        <w:tc>
          <w:tcPr>
            <w:tcW w:w="3023" w:type="dxa"/>
          </w:tcPr>
          <w:p w14:paraId="6C61B06F" w14:textId="77777777" w:rsidR="00113E47" w:rsidRPr="00FD02DE" w:rsidRDefault="00113E47" w:rsidP="00FD4C05">
            <w:pPr>
              <w:rPr>
                <w:rFonts w:cstheme="minorHAnsi"/>
                <w:b/>
                <w:lang w:val="en-US"/>
              </w:rPr>
            </w:pPr>
            <w:r w:rsidRPr="00FD02DE">
              <w:rPr>
                <w:rFonts w:cstheme="minorHAnsi"/>
                <w:b/>
                <w:lang w:val="en-US"/>
              </w:rPr>
              <w:t>Legislation:</w:t>
            </w:r>
          </w:p>
        </w:tc>
        <w:tc>
          <w:tcPr>
            <w:tcW w:w="5993" w:type="dxa"/>
          </w:tcPr>
          <w:p w14:paraId="7ABA7FB7" w14:textId="77777777" w:rsidR="00113E47" w:rsidRPr="00FD02DE" w:rsidRDefault="00113E47" w:rsidP="00FD4C05">
            <w:pPr>
              <w:rPr>
                <w:rFonts w:cstheme="minorHAnsi"/>
                <w:lang w:val="en-US"/>
              </w:rPr>
            </w:pPr>
            <w:r w:rsidRPr="00FD02DE">
              <w:rPr>
                <w:rFonts w:cstheme="minorHAnsi"/>
                <w:lang w:val="en-US"/>
              </w:rPr>
              <w:t>Local Government Act 1995</w:t>
            </w:r>
          </w:p>
        </w:tc>
      </w:tr>
      <w:tr w:rsidR="00113E47" w:rsidRPr="00FD02DE" w14:paraId="0E8D8030" w14:textId="77777777" w:rsidTr="00FD4C05">
        <w:tc>
          <w:tcPr>
            <w:tcW w:w="3023" w:type="dxa"/>
          </w:tcPr>
          <w:p w14:paraId="472E7163" w14:textId="77777777" w:rsidR="00113E47" w:rsidRPr="00FD02DE" w:rsidRDefault="00113E47" w:rsidP="00FD4C05">
            <w:pPr>
              <w:rPr>
                <w:rFonts w:cstheme="minorHAnsi"/>
                <w:b/>
                <w:lang w:val="en-US"/>
              </w:rPr>
            </w:pPr>
            <w:r w:rsidRPr="00FD02DE">
              <w:rPr>
                <w:rFonts w:cstheme="minorHAnsi"/>
                <w:b/>
                <w:lang w:val="en-US"/>
              </w:rPr>
              <w:t>Delegation:</w:t>
            </w:r>
          </w:p>
        </w:tc>
        <w:tc>
          <w:tcPr>
            <w:tcW w:w="5993" w:type="dxa"/>
          </w:tcPr>
          <w:p w14:paraId="5BC0CD36" w14:textId="77777777" w:rsidR="00113E47" w:rsidRPr="00FD02DE" w:rsidRDefault="00113E47" w:rsidP="00FD4C05">
            <w:pPr>
              <w:rPr>
                <w:rFonts w:cstheme="minorHAnsi"/>
                <w:lang w:val="en-US"/>
              </w:rPr>
            </w:pPr>
          </w:p>
        </w:tc>
      </w:tr>
      <w:tr w:rsidR="00113E47" w:rsidRPr="00FD02DE" w14:paraId="10FD92B1" w14:textId="77777777" w:rsidTr="00FD4C05">
        <w:tc>
          <w:tcPr>
            <w:tcW w:w="3023" w:type="dxa"/>
          </w:tcPr>
          <w:p w14:paraId="657B76AB" w14:textId="77777777" w:rsidR="00113E47" w:rsidRPr="00FD02DE" w:rsidRDefault="00113E47" w:rsidP="00FD4C05">
            <w:pPr>
              <w:rPr>
                <w:rFonts w:cstheme="minorHAnsi"/>
                <w:b/>
                <w:lang w:val="en-US"/>
              </w:rPr>
            </w:pPr>
            <w:r w:rsidRPr="00FD02DE">
              <w:rPr>
                <w:rFonts w:cstheme="minorHAnsi"/>
                <w:b/>
                <w:lang w:val="en-US"/>
              </w:rPr>
              <w:t>Other Related Document:</w:t>
            </w:r>
          </w:p>
        </w:tc>
        <w:tc>
          <w:tcPr>
            <w:tcW w:w="5993" w:type="dxa"/>
          </w:tcPr>
          <w:p w14:paraId="4C847807" w14:textId="77777777" w:rsidR="00113E47" w:rsidRPr="00FD02DE" w:rsidRDefault="00113E47" w:rsidP="00FD4C05">
            <w:pPr>
              <w:rPr>
                <w:rFonts w:cstheme="minorHAnsi"/>
                <w:lang w:val="en-US"/>
              </w:rPr>
            </w:pPr>
            <w:r w:rsidRPr="00FD02DE">
              <w:rPr>
                <w:rFonts w:cstheme="minorHAnsi"/>
                <w:lang w:val="en-US"/>
              </w:rPr>
              <w:t>Public Art Policy</w:t>
            </w:r>
            <w:r>
              <w:rPr>
                <w:rFonts w:cstheme="minorHAnsi"/>
                <w:lang w:val="en-US"/>
              </w:rPr>
              <w:t xml:space="preserve"> 4.1.3</w:t>
            </w:r>
          </w:p>
        </w:tc>
      </w:tr>
    </w:tbl>
    <w:p w14:paraId="16022E23" w14:textId="77777777" w:rsidR="00272EB4" w:rsidRPr="00FD02DE" w:rsidRDefault="00272EB4" w:rsidP="00272EB4">
      <w:pPr>
        <w:spacing w:before="240" w:after="0"/>
        <w:rPr>
          <w:b/>
          <w:sz w:val="28"/>
          <w:szCs w:val="28"/>
          <w:lang w:val="en-US"/>
        </w:rPr>
      </w:pPr>
      <w:r w:rsidRPr="00FD02DE">
        <w:rPr>
          <w:b/>
          <w:sz w:val="28"/>
          <w:szCs w:val="28"/>
          <w:lang w:val="en-US"/>
        </w:rPr>
        <w:t>Objective</w:t>
      </w:r>
    </w:p>
    <w:p w14:paraId="6CB0BA78" w14:textId="77777777" w:rsidR="00272EB4" w:rsidRPr="00FD02DE" w:rsidRDefault="00272EB4" w:rsidP="00272EB4">
      <w:pPr>
        <w:spacing w:line="240" w:lineRule="auto"/>
        <w:jc w:val="both"/>
        <w:rPr>
          <w:rFonts w:cstheme="minorHAnsi"/>
        </w:rPr>
      </w:pPr>
      <w:r w:rsidRPr="00FD02DE">
        <w:rPr>
          <w:rFonts w:cstheme="minorHAnsi"/>
          <w:bCs/>
          <w:szCs w:val="19"/>
          <w:lang w:bidi="en-US"/>
        </w:rPr>
        <w:t xml:space="preserve">To establish </w:t>
      </w:r>
      <w:r w:rsidRPr="00FD02DE">
        <w:rPr>
          <w:rFonts w:cstheme="minorHAnsi"/>
        </w:rPr>
        <w:t>a Public Art Panel to guide the Town of East Fremantle Public Art Strategy in accordance with associated policies, processes and procedures.</w:t>
      </w:r>
    </w:p>
    <w:p w14:paraId="52EE91EB" w14:textId="77777777" w:rsidR="00272EB4" w:rsidRPr="00FD02DE" w:rsidRDefault="00272EB4" w:rsidP="00272EB4">
      <w:pPr>
        <w:widowControl w:val="0"/>
        <w:spacing w:after="120" w:line="240" w:lineRule="auto"/>
        <w:ind w:right="2982"/>
        <w:jc w:val="both"/>
        <w:rPr>
          <w:rFonts w:cstheme="minorHAnsi"/>
          <w:b/>
        </w:rPr>
      </w:pPr>
      <w:r w:rsidRPr="00FD02DE">
        <w:rPr>
          <w:rFonts w:cstheme="minorHAnsi"/>
          <w:b/>
          <w:bCs/>
          <w:spacing w:val="-3"/>
        </w:rPr>
        <w:t>P</w:t>
      </w:r>
      <w:r w:rsidRPr="00FD02DE">
        <w:rPr>
          <w:rFonts w:cstheme="minorHAnsi"/>
          <w:b/>
          <w:bCs/>
        </w:rPr>
        <w:t>o</w:t>
      </w:r>
      <w:r w:rsidRPr="00FD02DE">
        <w:rPr>
          <w:rFonts w:cstheme="minorHAnsi"/>
          <w:b/>
          <w:bCs/>
          <w:spacing w:val="1"/>
        </w:rPr>
        <w:t>l</w:t>
      </w:r>
      <w:r w:rsidRPr="00FD02DE">
        <w:rPr>
          <w:rFonts w:cstheme="minorHAnsi"/>
          <w:b/>
          <w:bCs/>
        </w:rPr>
        <w:t xml:space="preserve">icy </w:t>
      </w:r>
      <w:r w:rsidRPr="00FD02DE">
        <w:rPr>
          <w:rFonts w:cstheme="minorHAnsi"/>
          <w:b/>
          <w:bCs/>
          <w:spacing w:val="1"/>
        </w:rPr>
        <w:t>St</w:t>
      </w:r>
      <w:r w:rsidRPr="00FD02DE">
        <w:rPr>
          <w:rFonts w:cstheme="minorHAnsi"/>
          <w:b/>
          <w:bCs/>
        </w:rPr>
        <w:t>a</w:t>
      </w:r>
      <w:r w:rsidRPr="00FD02DE">
        <w:rPr>
          <w:rFonts w:cstheme="minorHAnsi"/>
          <w:b/>
          <w:bCs/>
          <w:spacing w:val="1"/>
        </w:rPr>
        <w:t>te</w:t>
      </w:r>
      <w:r w:rsidRPr="00FD02DE">
        <w:rPr>
          <w:rFonts w:cstheme="minorHAnsi"/>
          <w:b/>
          <w:bCs/>
          <w:spacing w:val="-1"/>
        </w:rPr>
        <w:t>m</w:t>
      </w:r>
      <w:r w:rsidRPr="00FD02DE">
        <w:rPr>
          <w:rFonts w:cstheme="minorHAnsi"/>
          <w:b/>
          <w:bCs/>
          <w:spacing w:val="1"/>
        </w:rPr>
        <w:t>e</w:t>
      </w:r>
      <w:r w:rsidRPr="00FD02DE">
        <w:rPr>
          <w:rFonts w:cstheme="minorHAnsi"/>
          <w:b/>
          <w:bCs/>
        </w:rPr>
        <w:t>nt D</w:t>
      </w:r>
      <w:r w:rsidRPr="00FD02DE">
        <w:rPr>
          <w:rFonts w:cstheme="minorHAnsi"/>
          <w:b/>
          <w:bCs/>
          <w:spacing w:val="1"/>
        </w:rPr>
        <w:t>e</w:t>
      </w:r>
      <w:r w:rsidRPr="00FD02DE">
        <w:rPr>
          <w:rFonts w:cstheme="minorHAnsi"/>
          <w:b/>
          <w:bCs/>
          <w:spacing w:val="-3"/>
        </w:rPr>
        <w:t>f</w:t>
      </w:r>
      <w:r w:rsidRPr="00FD02DE">
        <w:rPr>
          <w:rFonts w:cstheme="minorHAnsi"/>
          <w:b/>
          <w:bCs/>
        </w:rPr>
        <w:t>ini</w:t>
      </w:r>
      <w:r w:rsidRPr="00FD02DE">
        <w:rPr>
          <w:rFonts w:cstheme="minorHAnsi"/>
          <w:b/>
          <w:bCs/>
          <w:spacing w:val="1"/>
        </w:rPr>
        <w:t>t</w:t>
      </w:r>
      <w:r w:rsidRPr="00FD02DE">
        <w:rPr>
          <w:rFonts w:cstheme="minorHAnsi"/>
          <w:b/>
          <w:bCs/>
        </w:rPr>
        <w:t>ions</w:t>
      </w:r>
    </w:p>
    <w:p w14:paraId="2560B5D2" w14:textId="77777777" w:rsidR="00272EB4" w:rsidRPr="00FD02DE" w:rsidRDefault="00272EB4" w:rsidP="00272EB4">
      <w:pPr>
        <w:widowControl w:val="0"/>
        <w:spacing w:after="0" w:line="240" w:lineRule="auto"/>
        <w:ind w:right="-47"/>
        <w:jc w:val="both"/>
        <w:rPr>
          <w:rFonts w:cstheme="minorHAnsi"/>
        </w:rPr>
      </w:pPr>
      <w:r w:rsidRPr="00FD02DE">
        <w:rPr>
          <w:rFonts w:cstheme="minorHAnsi"/>
          <w:i/>
          <w:spacing w:val="1"/>
          <w:position w:val="1"/>
        </w:rPr>
        <w:t xml:space="preserve">“The Panel” </w:t>
      </w:r>
      <w:r w:rsidRPr="00FD02DE">
        <w:rPr>
          <w:rFonts w:cstheme="minorHAnsi"/>
          <w:position w:val="1"/>
        </w:rPr>
        <w:t>m</w:t>
      </w:r>
      <w:r w:rsidRPr="00FD02DE">
        <w:rPr>
          <w:rFonts w:cstheme="minorHAnsi"/>
          <w:spacing w:val="-1"/>
          <w:position w:val="1"/>
        </w:rPr>
        <w:t>ea</w:t>
      </w:r>
      <w:r w:rsidRPr="00FD02DE">
        <w:rPr>
          <w:rFonts w:cstheme="minorHAnsi"/>
          <w:position w:val="1"/>
        </w:rPr>
        <w:t>ns the</w:t>
      </w:r>
      <w:r w:rsidRPr="00FD02DE">
        <w:rPr>
          <w:rFonts w:cstheme="minorHAnsi"/>
          <w:spacing w:val="-1"/>
          <w:position w:val="1"/>
        </w:rPr>
        <w:t xml:space="preserve"> Public Art Panel r</w:t>
      </w:r>
      <w:r w:rsidRPr="00FD02DE">
        <w:rPr>
          <w:rFonts w:cstheme="minorHAnsi"/>
          <w:spacing w:val="1"/>
          <w:position w:val="1"/>
        </w:rPr>
        <w:t>e</w:t>
      </w:r>
      <w:r w:rsidRPr="00FD02DE">
        <w:rPr>
          <w:rFonts w:cstheme="minorHAnsi"/>
          <w:spacing w:val="-1"/>
          <w:position w:val="1"/>
        </w:rPr>
        <w:t>fer</w:t>
      </w:r>
      <w:r w:rsidRPr="00FD02DE">
        <w:rPr>
          <w:rFonts w:cstheme="minorHAnsi"/>
          <w:spacing w:val="2"/>
          <w:position w:val="1"/>
        </w:rPr>
        <w:t>r</w:t>
      </w:r>
      <w:r w:rsidRPr="00FD02DE">
        <w:rPr>
          <w:rFonts w:cstheme="minorHAnsi"/>
          <w:spacing w:val="-1"/>
          <w:position w:val="1"/>
        </w:rPr>
        <w:t>e</w:t>
      </w:r>
      <w:r w:rsidRPr="00FD02DE">
        <w:rPr>
          <w:rFonts w:cstheme="minorHAnsi"/>
          <w:position w:val="1"/>
        </w:rPr>
        <w:t xml:space="preserve">d to in this </w:t>
      </w:r>
      <w:r w:rsidRPr="00FD02DE">
        <w:rPr>
          <w:rFonts w:cstheme="minorHAnsi"/>
          <w:spacing w:val="1"/>
          <w:position w:val="1"/>
        </w:rPr>
        <w:t>P</w:t>
      </w:r>
      <w:r w:rsidRPr="00FD02DE">
        <w:rPr>
          <w:rFonts w:cstheme="minorHAnsi"/>
          <w:position w:val="1"/>
        </w:rPr>
        <w:t>oli</w:t>
      </w:r>
      <w:r w:rsidRPr="00FD02DE">
        <w:rPr>
          <w:rFonts w:cstheme="minorHAnsi"/>
          <w:spacing w:val="1"/>
          <w:position w:val="1"/>
        </w:rPr>
        <w:t>c</w:t>
      </w:r>
      <w:r w:rsidRPr="00FD02DE">
        <w:rPr>
          <w:rFonts w:cstheme="minorHAnsi"/>
          <w:spacing w:val="-7"/>
          <w:position w:val="1"/>
        </w:rPr>
        <w:t>y</w:t>
      </w:r>
      <w:r w:rsidRPr="00FD02DE">
        <w:rPr>
          <w:rFonts w:cstheme="minorHAnsi"/>
          <w:position w:val="1"/>
        </w:rPr>
        <w:t>.</w:t>
      </w:r>
    </w:p>
    <w:p w14:paraId="0A2BFDC7" w14:textId="77777777" w:rsidR="00272EB4" w:rsidRPr="00FD02DE" w:rsidRDefault="00272EB4" w:rsidP="00272EB4">
      <w:pPr>
        <w:widowControl w:val="0"/>
        <w:spacing w:line="240" w:lineRule="auto"/>
        <w:ind w:right="-45"/>
        <w:jc w:val="both"/>
        <w:rPr>
          <w:rFonts w:cstheme="minorHAnsi"/>
        </w:rPr>
      </w:pPr>
      <w:r w:rsidRPr="00FD02DE">
        <w:rPr>
          <w:rFonts w:cstheme="minorHAnsi"/>
          <w:i/>
          <w:spacing w:val="1"/>
        </w:rPr>
        <w:t>“</w:t>
      </w:r>
      <w:r w:rsidRPr="00FD02DE">
        <w:rPr>
          <w:rFonts w:cstheme="minorHAnsi"/>
          <w:i/>
        </w:rPr>
        <w:t>Finan</w:t>
      </w:r>
      <w:r w:rsidRPr="00FD02DE">
        <w:rPr>
          <w:rFonts w:cstheme="minorHAnsi"/>
          <w:i/>
          <w:spacing w:val="-1"/>
        </w:rPr>
        <w:t>c</w:t>
      </w:r>
      <w:r w:rsidRPr="00FD02DE">
        <w:rPr>
          <w:rFonts w:cstheme="minorHAnsi"/>
          <w:i/>
        </w:rPr>
        <w:t>ial</w:t>
      </w:r>
      <w:r w:rsidRPr="00FD02DE">
        <w:rPr>
          <w:rFonts w:cstheme="minorHAnsi"/>
          <w:i/>
          <w:spacing w:val="27"/>
        </w:rPr>
        <w:t xml:space="preserve"> </w:t>
      </w:r>
      <w:r w:rsidRPr="00FD02DE">
        <w:rPr>
          <w:rFonts w:cstheme="minorHAnsi"/>
          <w:i/>
          <w:spacing w:val="-1"/>
        </w:rPr>
        <w:t>I</w:t>
      </w:r>
      <w:r w:rsidRPr="00FD02DE">
        <w:rPr>
          <w:rFonts w:cstheme="minorHAnsi"/>
          <w:i/>
        </w:rPr>
        <w:t>nt</w:t>
      </w:r>
      <w:r w:rsidRPr="00FD02DE">
        <w:rPr>
          <w:rFonts w:cstheme="minorHAnsi"/>
          <w:i/>
          <w:spacing w:val="-1"/>
        </w:rPr>
        <w:t>e</w:t>
      </w:r>
      <w:r w:rsidRPr="00FD02DE">
        <w:rPr>
          <w:rFonts w:cstheme="minorHAnsi"/>
          <w:i/>
        </w:rPr>
        <w:t>r</w:t>
      </w:r>
      <w:r w:rsidRPr="00FD02DE">
        <w:rPr>
          <w:rFonts w:cstheme="minorHAnsi"/>
          <w:i/>
          <w:spacing w:val="-1"/>
        </w:rPr>
        <w:t>e</w:t>
      </w:r>
      <w:r w:rsidRPr="00FD02DE">
        <w:rPr>
          <w:rFonts w:cstheme="minorHAnsi"/>
          <w:i/>
        </w:rPr>
        <w:t>st”</w:t>
      </w:r>
      <w:r w:rsidRPr="00FD02DE">
        <w:rPr>
          <w:rFonts w:cstheme="minorHAnsi"/>
          <w:i/>
          <w:spacing w:val="27"/>
        </w:rPr>
        <w:t xml:space="preserve"> </w:t>
      </w:r>
      <w:r w:rsidRPr="00FD02DE">
        <w:rPr>
          <w:rFonts w:cstheme="minorHAnsi"/>
          <w:spacing w:val="-1"/>
        </w:rPr>
        <w:t>h</w:t>
      </w:r>
      <w:r w:rsidRPr="00FD02DE">
        <w:rPr>
          <w:rFonts w:cstheme="minorHAnsi"/>
        </w:rPr>
        <w:t>as</w:t>
      </w:r>
      <w:r w:rsidRPr="00FD02DE">
        <w:rPr>
          <w:rFonts w:cstheme="minorHAnsi"/>
          <w:spacing w:val="27"/>
        </w:rPr>
        <w:t xml:space="preserve"> </w:t>
      </w:r>
      <w:r w:rsidRPr="00FD02DE">
        <w:rPr>
          <w:rFonts w:cstheme="minorHAnsi"/>
        </w:rPr>
        <w:t>t</w:t>
      </w:r>
      <w:r w:rsidRPr="00FD02DE">
        <w:rPr>
          <w:rFonts w:cstheme="minorHAnsi"/>
          <w:spacing w:val="-1"/>
        </w:rPr>
        <w:t>h</w:t>
      </w:r>
      <w:r w:rsidRPr="00FD02DE">
        <w:rPr>
          <w:rFonts w:cstheme="minorHAnsi"/>
        </w:rPr>
        <w:t>e</w:t>
      </w:r>
      <w:r w:rsidRPr="00FD02DE">
        <w:rPr>
          <w:rFonts w:cstheme="minorHAnsi"/>
          <w:spacing w:val="26"/>
        </w:rPr>
        <w:t xml:space="preserve"> </w:t>
      </w:r>
      <w:r w:rsidRPr="00FD02DE">
        <w:rPr>
          <w:rFonts w:cstheme="minorHAnsi"/>
        </w:rPr>
        <w:t>s</w:t>
      </w:r>
      <w:r w:rsidRPr="00FD02DE">
        <w:rPr>
          <w:rFonts w:cstheme="minorHAnsi"/>
          <w:spacing w:val="-1"/>
        </w:rPr>
        <w:t>a</w:t>
      </w:r>
      <w:r w:rsidRPr="00FD02DE">
        <w:rPr>
          <w:rFonts w:cstheme="minorHAnsi"/>
        </w:rPr>
        <w:t>me</w:t>
      </w:r>
      <w:r w:rsidRPr="00FD02DE">
        <w:rPr>
          <w:rFonts w:cstheme="minorHAnsi"/>
          <w:spacing w:val="25"/>
        </w:rPr>
        <w:t xml:space="preserve"> </w:t>
      </w:r>
      <w:r w:rsidRPr="00FD02DE">
        <w:rPr>
          <w:rFonts w:cstheme="minorHAnsi"/>
        </w:rPr>
        <w:t>m</w:t>
      </w:r>
      <w:r w:rsidRPr="00FD02DE">
        <w:rPr>
          <w:rFonts w:cstheme="minorHAnsi"/>
          <w:spacing w:val="-1"/>
        </w:rPr>
        <w:t>ean</w:t>
      </w:r>
      <w:r w:rsidRPr="00FD02DE">
        <w:rPr>
          <w:rFonts w:cstheme="minorHAnsi"/>
          <w:spacing w:val="1"/>
        </w:rPr>
        <w:t>i</w:t>
      </w:r>
      <w:r w:rsidRPr="00FD02DE">
        <w:rPr>
          <w:rFonts w:cstheme="minorHAnsi"/>
          <w:spacing w:val="2"/>
        </w:rPr>
        <w:t>n</w:t>
      </w:r>
      <w:r w:rsidRPr="00FD02DE">
        <w:rPr>
          <w:rFonts w:cstheme="minorHAnsi"/>
        </w:rPr>
        <w:t>g</w:t>
      </w:r>
      <w:r w:rsidRPr="00FD02DE">
        <w:rPr>
          <w:rFonts w:cstheme="minorHAnsi"/>
          <w:spacing w:val="24"/>
        </w:rPr>
        <w:t xml:space="preserve"> </w:t>
      </w:r>
      <w:r w:rsidRPr="00FD02DE">
        <w:rPr>
          <w:rFonts w:cstheme="minorHAnsi"/>
          <w:spacing w:val="-1"/>
        </w:rPr>
        <w:t>a</w:t>
      </w:r>
      <w:r w:rsidRPr="00FD02DE">
        <w:rPr>
          <w:rFonts w:cstheme="minorHAnsi"/>
        </w:rPr>
        <w:t>s</w:t>
      </w:r>
      <w:r w:rsidRPr="00FD02DE">
        <w:rPr>
          <w:rFonts w:cstheme="minorHAnsi"/>
          <w:spacing w:val="29"/>
        </w:rPr>
        <w:t xml:space="preserve"> </w:t>
      </w:r>
      <w:r w:rsidRPr="00FD02DE">
        <w:rPr>
          <w:rFonts w:cstheme="minorHAnsi"/>
          <w:spacing w:val="-2"/>
        </w:rPr>
        <w:t>g</w:t>
      </w:r>
      <w:r w:rsidRPr="00FD02DE">
        <w:rPr>
          <w:rFonts w:cstheme="minorHAnsi"/>
          <w:spacing w:val="3"/>
        </w:rPr>
        <w:t>i</w:t>
      </w:r>
      <w:r w:rsidRPr="00FD02DE">
        <w:rPr>
          <w:rFonts w:cstheme="minorHAnsi"/>
          <w:spacing w:val="-1"/>
        </w:rPr>
        <w:t>v</w:t>
      </w:r>
      <w:r w:rsidRPr="00FD02DE">
        <w:rPr>
          <w:rFonts w:cstheme="minorHAnsi"/>
        </w:rPr>
        <w:t>en</w:t>
      </w:r>
      <w:r w:rsidRPr="00FD02DE">
        <w:rPr>
          <w:rFonts w:cstheme="minorHAnsi"/>
          <w:spacing w:val="26"/>
        </w:rPr>
        <w:t xml:space="preserve"> </w:t>
      </w:r>
      <w:r w:rsidRPr="00FD02DE">
        <w:rPr>
          <w:rFonts w:cstheme="minorHAnsi"/>
          <w:spacing w:val="2"/>
        </w:rPr>
        <w:t>b</w:t>
      </w:r>
      <w:r w:rsidRPr="00FD02DE">
        <w:rPr>
          <w:rFonts w:cstheme="minorHAnsi"/>
        </w:rPr>
        <w:t>y</w:t>
      </w:r>
      <w:r w:rsidRPr="00FD02DE">
        <w:rPr>
          <w:rFonts w:cstheme="minorHAnsi"/>
          <w:spacing w:val="22"/>
        </w:rPr>
        <w:t xml:space="preserve"> </w:t>
      </w:r>
      <w:r w:rsidRPr="00FD02DE">
        <w:rPr>
          <w:rFonts w:cstheme="minorHAnsi"/>
          <w:spacing w:val="1"/>
        </w:rPr>
        <w:t>Se</w:t>
      </w:r>
      <w:r w:rsidRPr="00FD02DE">
        <w:rPr>
          <w:rFonts w:cstheme="minorHAnsi"/>
          <w:spacing w:val="-1"/>
        </w:rPr>
        <w:t>c</w:t>
      </w:r>
      <w:r w:rsidRPr="00FD02DE">
        <w:rPr>
          <w:rFonts w:cstheme="minorHAnsi"/>
        </w:rPr>
        <w:t>tion</w:t>
      </w:r>
      <w:r w:rsidRPr="00FD02DE">
        <w:rPr>
          <w:rFonts w:cstheme="minorHAnsi"/>
          <w:spacing w:val="26"/>
        </w:rPr>
        <w:t xml:space="preserve"> </w:t>
      </w:r>
      <w:r w:rsidRPr="00FD02DE">
        <w:rPr>
          <w:rFonts w:cstheme="minorHAnsi"/>
        </w:rPr>
        <w:t>5.60A</w:t>
      </w:r>
      <w:r w:rsidRPr="00FD02DE">
        <w:rPr>
          <w:rFonts w:cstheme="minorHAnsi"/>
          <w:spacing w:val="26"/>
        </w:rPr>
        <w:t xml:space="preserve"> </w:t>
      </w:r>
      <w:r w:rsidRPr="00FD02DE">
        <w:rPr>
          <w:rFonts w:cstheme="minorHAnsi"/>
        </w:rPr>
        <w:t>of</w:t>
      </w:r>
      <w:r w:rsidRPr="00FD02DE">
        <w:rPr>
          <w:rFonts w:cstheme="minorHAnsi"/>
          <w:spacing w:val="28"/>
        </w:rPr>
        <w:t xml:space="preserve"> </w:t>
      </w:r>
      <w:r w:rsidRPr="00FD02DE">
        <w:rPr>
          <w:rFonts w:cstheme="minorHAnsi"/>
        </w:rPr>
        <w:t>the</w:t>
      </w:r>
      <w:r w:rsidRPr="00FD02DE">
        <w:rPr>
          <w:rFonts w:cstheme="minorHAnsi"/>
          <w:spacing w:val="25"/>
        </w:rPr>
        <w:t xml:space="preserve"> </w:t>
      </w:r>
      <w:r w:rsidRPr="00FD02DE">
        <w:rPr>
          <w:rFonts w:cstheme="minorHAnsi"/>
          <w:i/>
          <w:spacing w:val="1"/>
        </w:rPr>
        <w:t>L</w:t>
      </w:r>
      <w:r w:rsidRPr="00FD02DE">
        <w:rPr>
          <w:rFonts w:cstheme="minorHAnsi"/>
          <w:i/>
          <w:spacing w:val="-2"/>
        </w:rPr>
        <w:t>o</w:t>
      </w:r>
      <w:r w:rsidRPr="00FD02DE">
        <w:rPr>
          <w:rFonts w:cstheme="minorHAnsi"/>
          <w:i/>
          <w:spacing w:val="1"/>
        </w:rPr>
        <w:t>c</w:t>
      </w:r>
      <w:r w:rsidRPr="00FD02DE">
        <w:rPr>
          <w:rFonts w:cstheme="minorHAnsi"/>
          <w:i/>
          <w:spacing w:val="-2"/>
        </w:rPr>
        <w:t xml:space="preserve">al </w:t>
      </w:r>
      <w:r w:rsidRPr="00FD02DE">
        <w:rPr>
          <w:rFonts w:cstheme="minorHAnsi"/>
          <w:i/>
        </w:rPr>
        <w:t>Go</w:t>
      </w:r>
      <w:r w:rsidRPr="00FD02DE">
        <w:rPr>
          <w:rFonts w:cstheme="minorHAnsi"/>
          <w:i/>
          <w:spacing w:val="-1"/>
        </w:rPr>
        <w:t>ve</w:t>
      </w:r>
      <w:r w:rsidRPr="00FD02DE">
        <w:rPr>
          <w:rFonts w:cstheme="minorHAnsi"/>
          <w:i/>
        </w:rPr>
        <w:t>rn</w:t>
      </w:r>
      <w:r w:rsidRPr="00FD02DE">
        <w:rPr>
          <w:rFonts w:cstheme="minorHAnsi"/>
          <w:i/>
          <w:spacing w:val="2"/>
        </w:rPr>
        <w:t>m</w:t>
      </w:r>
      <w:r w:rsidRPr="00FD02DE">
        <w:rPr>
          <w:rFonts w:cstheme="minorHAnsi"/>
          <w:i/>
          <w:spacing w:val="-1"/>
        </w:rPr>
        <w:t>e</w:t>
      </w:r>
      <w:r w:rsidRPr="00FD02DE">
        <w:rPr>
          <w:rFonts w:cstheme="minorHAnsi"/>
          <w:i/>
        </w:rPr>
        <w:t>nt A</w:t>
      </w:r>
      <w:r w:rsidRPr="00FD02DE">
        <w:rPr>
          <w:rFonts w:cstheme="minorHAnsi"/>
          <w:i/>
          <w:spacing w:val="-1"/>
        </w:rPr>
        <w:t>c</w:t>
      </w:r>
      <w:r w:rsidRPr="00FD02DE">
        <w:rPr>
          <w:rFonts w:cstheme="minorHAnsi"/>
          <w:i/>
        </w:rPr>
        <w:t>t 1995</w:t>
      </w:r>
      <w:r w:rsidRPr="00FD02DE">
        <w:rPr>
          <w:rFonts w:cstheme="minorHAnsi"/>
        </w:rPr>
        <w:t>.</w:t>
      </w:r>
    </w:p>
    <w:p w14:paraId="54B36F84" w14:textId="77777777" w:rsidR="00272EB4" w:rsidRPr="00FD02DE" w:rsidRDefault="00272EB4" w:rsidP="00272EB4">
      <w:pPr>
        <w:widowControl w:val="0"/>
        <w:spacing w:line="240" w:lineRule="auto"/>
        <w:ind w:right="-45"/>
        <w:jc w:val="both"/>
        <w:rPr>
          <w:rFonts w:cstheme="minorHAnsi"/>
        </w:rPr>
      </w:pPr>
      <w:r w:rsidRPr="00FD02DE">
        <w:rPr>
          <w:rFonts w:cstheme="minorHAnsi"/>
          <w:i/>
          <w:spacing w:val="1"/>
        </w:rPr>
        <w:t>“</w:t>
      </w:r>
      <w:r w:rsidRPr="00FD02DE">
        <w:rPr>
          <w:rFonts w:cstheme="minorHAnsi"/>
          <w:i/>
        </w:rPr>
        <w:t>Pro</w:t>
      </w:r>
      <w:r w:rsidRPr="00FD02DE">
        <w:rPr>
          <w:rFonts w:cstheme="minorHAnsi"/>
          <w:i/>
          <w:spacing w:val="-1"/>
        </w:rPr>
        <w:t>x</w:t>
      </w:r>
      <w:r w:rsidRPr="00FD02DE">
        <w:rPr>
          <w:rFonts w:cstheme="minorHAnsi"/>
          <w:i/>
        </w:rPr>
        <w:t>imity</w:t>
      </w:r>
      <w:r w:rsidRPr="00FD02DE">
        <w:rPr>
          <w:rFonts w:cstheme="minorHAnsi"/>
          <w:i/>
          <w:spacing w:val="25"/>
        </w:rPr>
        <w:t xml:space="preserve"> </w:t>
      </w:r>
      <w:r w:rsidRPr="00FD02DE">
        <w:rPr>
          <w:rFonts w:cstheme="minorHAnsi"/>
          <w:i/>
          <w:spacing w:val="-1"/>
        </w:rPr>
        <w:t>I</w:t>
      </w:r>
      <w:r w:rsidRPr="00FD02DE">
        <w:rPr>
          <w:rFonts w:cstheme="minorHAnsi"/>
          <w:i/>
        </w:rPr>
        <w:t>nt</w:t>
      </w:r>
      <w:r w:rsidRPr="00FD02DE">
        <w:rPr>
          <w:rFonts w:cstheme="minorHAnsi"/>
          <w:i/>
          <w:spacing w:val="-1"/>
        </w:rPr>
        <w:t>e</w:t>
      </w:r>
      <w:r w:rsidRPr="00FD02DE">
        <w:rPr>
          <w:rFonts w:cstheme="minorHAnsi"/>
          <w:i/>
        </w:rPr>
        <w:t>r</w:t>
      </w:r>
      <w:r w:rsidRPr="00FD02DE">
        <w:rPr>
          <w:rFonts w:cstheme="minorHAnsi"/>
          <w:i/>
          <w:spacing w:val="-1"/>
        </w:rPr>
        <w:t>e</w:t>
      </w:r>
      <w:r w:rsidRPr="00FD02DE">
        <w:rPr>
          <w:rFonts w:cstheme="minorHAnsi"/>
          <w:i/>
        </w:rPr>
        <w:t>st”</w:t>
      </w:r>
      <w:r w:rsidRPr="00FD02DE">
        <w:rPr>
          <w:rFonts w:cstheme="minorHAnsi"/>
          <w:i/>
          <w:spacing w:val="27"/>
        </w:rPr>
        <w:t xml:space="preserve"> </w:t>
      </w:r>
      <w:r w:rsidRPr="00FD02DE">
        <w:rPr>
          <w:rFonts w:cstheme="minorHAnsi"/>
        </w:rPr>
        <w:t>h</w:t>
      </w:r>
      <w:r w:rsidRPr="00FD02DE">
        <w:rPr>
          <w:rFonts w:cstheme="minorHAnsi"/>
          <w:spacing w:val="-1"/>
        </w:rPr>
        <w:t>a</w:t>
      </w:r>
      <w:r w:rsidRPr="00FD02DE">
        <w:rPr>
          <w:rFonts w:cstheme="minorHAnsi"/>
        </w:rPr>
        <w:t>s</w:t>
      </w:r>
      <w:r w:rsidRPr="00FD02DE">
        <w:rPr>
          <w:rFonts w:cstheme="minorHAnsi"/>
          <w:spacing w:val="27"/>
        </w:rPr>
        <w:t xml:space="preserve"> </w:t>
      </w:r>
      <w:r w:rsidRPr="00FD02DE">
        <w:rPr>
          <w:rFonts w:cstheme="minorHAnsi"/>
        </w:rPr>
        <w:t>the</w:t>
      </w:r>
      <w:r w:rsidRPr="00FD02DE">
        <w:rPr>
          <w:rFonts w:cstheme="minorHAnsi"/>
          <w:spacing w:val="25"/>
        </w:rPr>
        <w:t xml:space="preserve"> </w:t>
      </w:r>
      <w:r w:rsidRPr="00FD02DE">
        <w:rPr>
          <w:rFonts w:cstheme="minorHAnsi"/>
        </w:rPr>
        <w:t>s</w:t>
      </w:r>
      <w:r w:rsidRPr="00FD02DE">
        <w:rPr>
          <w:rFonts w:cstheme="minorHAnsi"/>
          <w:spacing w:val="-1"/>
        </w:rPr>
        <w:t>a</w:t>
      </w:r>
      <w:r w:rsidRPr="00FD02DE">
        <w:rPr>
          <w:rFonts w:cstheme="minorHAnsi"/>
        </w:rPr>
        <w:t>me</w:t>
      </w:r>
      <w:r w:rsidRPr="00FD02DE">
        <w:rPr>
          <w:rFonts w:cstheme="minorHAnsi"/>
          <w:spacing w:val="25"/>
        </w:rPr>
        <w:t xml:space="preserve"> </w:t>
      </w:r>
      <w:r w:rsidRPr="00FD02DE">
        <w:rPr>
          <w:rFonts w:cstheme="minorHAnsi"/>
        </w:rPr>
        <w:t>m</w:t>
      </w:r>
      <w:r w:rsidRPr="00FD02DE">
        <w:rPr>
          <w:rFonts w:cstheme="minorHAnsi"/>
          <w:spacing w:val="-1"/>
        </w:rPr>
        <w:t>ea</w:t>
      </w:r>
      <w:r w:rsidRPr="00FD02DE">
        <w:rPr>
          <w:rFonts w:cstheme="minorHAnsi"/>
        </w:rPr>
        <w:t>ni</w:t>
      </w:r>
      <w:r w:rsidRPr="00FD02DE">
        <w:rPr>
          <w:rFonts w:cstheme="minorHAnsi"/>
          <w:spacing w:val="2"/>
        </w:rPr>
        <w:t>n</w:t>
      </w:r>
      <w:r w:rsidRPr="00FD02DE">
        <w:rPr>
          <w:rFonts w:cstheme="minorHAnsi"/>
        </w:rPr>
        <w:t>g</w:t>
      </w:r>
      <w:r w:rsidRPr="00FD02DE">
        <w:rPr>
          <w:rFonts w:cstheme="minorHAnsi"/>
          <w:spacing w:val="24"/>
        </w:rPr>
        <w:t xml:space="preserve"> </w:t>
      </w:r>
      <w:r w:rsidRPr="00FD02DE">
        <w:rPr>
          <w:rFonts w:cstheme="minorHAnsi"/>
          <w:spacing w:val="-1"/>
        </w:rPr>
        <w:t>a</w:t>
      </w:r>
      <w:r w:rsidRPr="00FD02DE">
        <w:rPr>
          <w:rFonts w:cstheme="minorHAnsi"/>
        </w:rPr>
        <w:t>s</w:t>
      </w:r>
      <w:r w:rsidRPr="00FD02DE">
        <w:rPr>
          <w:rFonts w:cstheme="minorHAnsi"/>
          <w:spacing w:val="29"/>
        </w:rPr>
        <w:t xml:space="preserve"> </w:t>
      </w:r>
      <w:r w:rsidRPr="00FD02DE">
        <w:rPr>
          <w:rFonts w:cstheme="minorHAnsi"/>
          <w:spacing w:val="-2"/>
        </w:rPr>
        <w:t>g</w:t>
      </w:r>
      <w:r w:rsidRPr="00FD02DE">
        <w:rPr>
          <w:rFonts w:cstheme="minorHAnsi"/>
          <w:spacing w:val="3"/>
        </w:rPr>
        <w:t>i</w:t>
      </w:r>
      <w:r w:rsidRPr="00FD02DE">
        <w:rPr>
          <w:rFonts w:cstheme="minorHAnsi"/>
        </w:rPr>
        <w:t>v</w:t>
      </w:r>
      <w:r w:rsidRPr="00FD02DE">
        <w:rPr>
          <w:rFonts w:cstheme="minorHAnsi"/>
          <w:spacing w:val="-1"/>
        </w:rPr>
        <w:t>e</w:t>
      </w:r>
      <w:r w:rsidRPr="00FD02DE">
        <w:rPr>
          <w:rFonts w:cstheme="minorHAnsi"/>
        </w:rPr>
        <w:t>n</w:t>
      </w:r>
      <w:r w:rsidRPr="00FD02DE">
        <w:rPr>
          <w:rFonts w:cstheme="minorHAnsi"/>
          <w:spacing w:val="26"/>
        </w:rPr>
        <w:t xml:space="preserve"> </w:t>
      </w:r>
      <w:r w:rsidRPr="00FD02DE">
        <w:rPr>
          <w:rFonts w:cstheme="minorHAnsi"/>
          <w:spacing w:val="2"/>
        </w:rPr>
        <w:t>b</w:t>
      </w:r>
      <w:r w:rsidRPr="00FD02DE">
        <w:rPr>
          <w:rFonts w:cstheme="minorHAnsi"/>
        </w:rPr>
        <w:t>y</w:t>
      </w:r>
      <w:r w:rsidRPr="00FD02DE">
        <w:rPr>
          <w:rFonts w:cstheme="minorHAnsi"/>
          <w:spacing w:val="22"/>
        </w:rPr>
        <w:t xml:space="preserve"> </w:t>
      </w:r>
      <w:r w:rsidRPr="00FD02DE">
        <w:rPr>
          <w:rFonts w:cstheme="minorHAnsi"/>
          <w:spacing w:val="1"/>
        </w:rPr>
        <w:t>Se</w:t>
      </w:r>
      <w:r w:rsidRPr="00FD02DE">
        <w:rPr>
          <w:rFonts w:cstheme="minorHAnsi"/>
          <w:spacing w:val="-1"/>
        </w:rPr>
        <w:t>c</w:t>
      </w:r>
      <w:r w:rsidRPr="00FD02DE">
        <w:rPr>
          <w:rFonts w:cstheme="minorHAnsi"/>
        </w:rPr>
        <w:t>tion</w:t>
      </w:r>
      <w:r w:rsidRPr="00FD02DE">
        <w:rPr>
          <w:rFonts w:cstheme="minorHAnsi"/>
          <w:spacing w:val="26"/>
        </w:rPr>
        <w:t xml:space="preserve"> </w:t>
      </w:r>
      <w:r w:rsidRPr="00FD02DE">
        <w:rPr>
          <w:rFonts w:cstheme="minorHAnsi"/>
        </w:rPr>
        <w:t>5.60B</w:t>
      </w:r>
      <w:r w:rsidRPr="00FD02DE">
        <w:rPr>
          <w:rFonts w:cstheme="minorHAnsi"/>
          <w:spacing w:val="25"/>
        </w:rPr>
        <w:t xml:space="preserve"> </w:t>
      </w:r>
      <w:r w:rsidRPr="00FD02DE">
        <w:rPr>
          <w:rFonts w:cstheme="minorHAnsi"/>
        </w:rPr>
        <w:t>of</w:t>
      </w:r>
      <w:r w:rsidRPr="00FD02DE">
        <w:rPr>
          <w:rFonts w:cstheme="minorHAnsi"/>
          <w:spacing w:val="28"/>
        </w:rPr>
        <w:t xml:space="preserve"> </w:t>
      </w:r>
      <w:r w:rsidRPr="00FD02DE">
        <w:rPr>
          <w:rFonts w:cstheme="minorHAnsi"/>
        </w:rPr>
        <w:t>the</w:t>
      </w:r>
      <w:r w:rsidRPr="00FD02DE">
        <w:rPr>
          <w:rFonts w:cstheme="minorHAnsi"/>
          <w:spacing w:val="25"/>
        </w:rPr>
        <w:t xml:space="preserve"> </w:t>
      </w:r>
      <w:r w:rsidRPr="00FD02DE">
        <w:rPr>
          <w:rFonts w:cstheme="minorHAnsi"/>
          <w:i/>
          <w:spacing w:val="1"/>
        </w:rPr>
        <w:t>L</w:t>
      </w:r>
      <w:r w:rsidRPr="00FD02DE">
        <w:rPr>
          <w:rFonts w:cstheme="minorHAnsi"/>
          <w:i/>
        </w:rPr>
        <w:t>o</w:t>
      </w:r>
      <w:r w:rsidRPr="00FD02DE">
        <w:rPr>
          <w:rFonts w:cstheme="minorHAnsi"/>
          <w:i/>
          <w:spacing w:val="-1"/>
        </w:rPr>
        <w:t>c</w:t>
      </w:r>
      <w:r w:rsidRPr="00FD02DE">
        <w:rPr>
          <w:rFonts w:cstheme="minorHAnsi"/>
          <w:i/>
        </w:rPr>
        <w:t>al Go</w:t>
      </w:r>
      <w:r w:rsidRPr="00FD02DE">
        <w:rPr>
          <w:rFonts w:cstheme="minorHAnsi"/>
          <w:i/>
          <w:spacing w:val="-1"/>
        </w:rPr>
        <w:t>ve</w:t>
      </w:r>
      <w:r w:rsidRPr="00FD02DE">
        <w:rPr>
          <w:rFonts w:cstheme="minorHAnsi"/>
          <w:i/>
        </w:rPr>
        <w:t>rn</w:t>
      </w:r>
      <w:r w:rsidRPr="00FD02DE">
        <w:rPr>
          <w:rFonts w:cstheme="minorHAnsi"/>
          <w:i/>
          <w:spacing w:val="2"/>
        </w:rPr>
        <w:t>m</w:t>
      </w:r>
      <w:r w:rsidRPr="00FD02DE">
        <w:rPr>
          <w:rFonts w:cstheme="minorHAnsi"/>
          <w:i/>
          <w:spacing w:val="-1"/>
        </w:rPr>
        <w:t>e</w:t>
      </w:r>
      <w:r w:rsidRPr="00FD02DE">
        <w:rPr>
          <w:rFonts w:cstheme="minorHAnsi"/>
          <w:i/>
        </w:rPr>
        <w:t>nt A</w:t>
      </w:r>
      <w:r w:rsidRPr="00FD02DE">
        <w:rPr>
          <w:rFonts w:cstheme="minorHAnsi"/>
          <w:i/>
          <w:spacing w:val="-1"/>
        </w:rPr>
        <w:t>c</w:t>
      </w:r>
      <w:r w:rsidRPr="00FD02DE">
        <w:rPr>
          <w:rFonts w:cstheme="minorHAnsi"/>
          <w:i/>
        </w:rPr>
        <w:t>t 1995</w:t>
      </w:r>
      <w:r w:rsidRPr="00FD02DE">
        <w:rPr>
          <w:rFonts w:cstheme="minorHAnsi"/>
        </w:rPr>
        <w:t>.</w:t>
      </w:r>
    </w:p>
    <w:p w14:paraId="02CA0BF3" w14:textId="77777777" w:rsidR="00272EB4" w:rsidRPr="00FD02DE" w:rsidRDefault="00272EB4" w:rsidP="00272EB4">
      <w:pPr>
        <w:widowControl w:val="0"/>
        <w:spacing w:after="0" w:line="240" w:lineRule="auto"/>
        <w:ind w:right="-46"/>
        <w:jc w:val="both"/>
        <w:rPr>
          <w:rFonts w:cstheme="minorHAnsi"/>
        </w:rPr>
      </w:pPr>
      <w:r w:rsidRPr="00FD02DE">
        <w:rPr>
          <w:rFonts w:cstheme="minorHAnsi"/>
          <w:i/>
          <w:spacing w:val="1"/>
        </w:rPr>
        <w:t>“</w:t>
      </w:r>
      <w:r w:rsidRPr="00FD02DE">
        <w:rPr>
          <w:rFonts w:cstheme="minorHAnsi"/>
          <w:i/>
          <w:spacing w:val="-1"/>
        </w:rPr>
        <w:t>I</w:t>
      </w:r>
      <w:r w:rsidRPr="00FD02DE">
        <w:rPr>
          <w:rFonts w:cstheme="minorHAnsi"/>
          <w:i/>
        </w:rPr>
        <w:t>mpa</w:t>
      </w:r>
      <w:r w:rsidRPr="00FD02DE">
        <w:rPr>
          <w:rFonts w:cstheme="minorHAnsi"/>
          <w:i/>
          <w:spacing w:val="-1"/>
        </w:rPr>
        <w:t>r</w:t>
      </w:r>
      <w:r w:rsidRPr="00FD02DE">
        <w:rPr>
          <w:rFonts w:cstheme="minorHAnsi"/>
          <w:i/>
        </w:rPr>
        <w:t>tiality</w:t>
      </w:r>
      <w:r w:rsidRPr="00FD02DE">
        <w:rPr>
          <w:rFonts w:cstheme="minorHAnsi"/>
          <w:i/>
          <w:spacing w:val="1"/>
        </w:rPr>
        <w:t xml:space="preserve"> </w:t>
      </w:r>
      <w:r w:rsidRPr="00FD02DE">
        <w:rPr>
          <w:rFonts w:cstheme="minorHAnsi"/>
          <w:i/>
          <w:spacing w:val="-1"/>
        </w:rPr>
        <w:t>I</w:t>
      </w:r>
      <w:r w:rsidRPr="00FD02DE">
        <w:rPr>
          <w:rFonts w:cstheme="minorHAnsi"/>
          <w:i/>
        </w:rPr>
        <w:t>nt</w:t>
      </w:r>
      <w:r w:rsidRPr="00FD02DE">
        <w:rPr>
          <w:rFonts w:cstheme="minorHAnsi"/>
          <w:i/>
          <w:spacing w:val="-1"/>
        </w:rPr>
        <w:t>e</w:t>
      </w:r>
      <w:r w:rsidRPr="00FD02DE">
        <w:rPr>
          <w:rFonts w:cstheme="minorHAnsi"/>
          <w:i/>
        </w:rPr>
        <w:t>r</w:t>
      </w:r>
      <w:r w:rsidRPr="00FD02DE">
        <w:rPr>
          <w:rFonts w:cstheme="minorHAnsi"/>
          <w:i/>
          <w:spacing w:val="-1"/>
        </w:rPr>
        <w:t>e</w:t>
      </w:r>
      <w:r w:rsidRPr="00FD02DE">
        <w:rPr>
          <w:rFonts w:cstheme="minorHAnsi"/>
          <w:i/>
        </w:rPr>
        <w:t>st”</w:t>
      </w:r>
      <w:r w:rsidRPr="00FD02DE">
        <w:rPr>
          <w:rFonts w:cstheme="minorHAnsi"/>
          <w:i/>
          <w:spacing w:val="1"/>
        </w:rPr>
        <w:t xml:space="preserve"> </w:t>
      </w:r>
      <w:r w:rsidRPr="00FD02DE">
        <w:rPr>
          <w:rFonts w:cstheme="minorHAnsi"/>
        </w:rPr>
        <w:t>m</w:t>
      </w:r>
      <w:r w:rsidRPr="00FD02DE">
        <w:rPr>
          <w:rFonts w:cstheme="minorHAnsi"/>
          <w:spacing w:val="-1"/>
        </w:rPr>
        <w:t>ea</w:t>
      </w:r>
      <w:r w:rsidRPr="00FD02DE">
        <w:rPr>
          <w:rFonts w:cstheme="minorHAnsi"/>
        </w:rPr>
        <w:t>ns</w:t>
      </w:r>
      <w:r w:rsidRPr="00FD02DE">
        <w:rPr>
          <w:rFonts w:cstheme="minorHAnsi"/>
          <w:spacing w:val="2"/>
        </w:rPr>
        <w:t xml:space="preserve"> </w:t>
      </w:r>
      <w:r w:rsidRPr="00FD02DE">
        <w:rPr>
          <w:rFonts w:cstheme="minorHAnsi"/>
          <w:spacing w:val="-1"/>
        </w:rPr>
        <w:t>a</w:t>
      </w:r>
      <w:r w:rsidRPr="00FD02DE">
        <w:rPr>
          <w:rFonts w:cstheme="minorHAnsi"/>
        </w:rPr>
        <w:t>n</w:t>
      </w:r>
      <w:r w:rsidRPr="00FD02DE">
        <w:rPr>
          <w:rFonts w:cstheme="minorHAnsi"/>
          <w:spacing w:val="2"/>
        </w:rPr>
        <w:t xml:space="preserve"> </w:t>
      </w:r>
      <w:r w:rsidRPr="00FD02DE">
        <w:rPr>
          <w:rFonts w:cstheme="minorHAnsi"/>
        </w:rPr>
        <w:t>int</w:t>
      </w:r>
      <w:r w:rsidRPr="00FD02DE">
        <w:rPr>
          <w:rFonts w:cstheme="minorHAnsi"/>
          <w:spacing w:val="-1"/>
        </w:rPr>
        <w:t>ere</w:t>
      </w:r>
      <w:r w:rsidRPr="00FD02DE">
        <w:rPr>
          <w:rFonts w:cstheme="minorHAnsi"/>
        </w:rPr>
        <w:t>st</w:t>
      </w:r>
      <w:r w:rsidRPr="00FD02DE">
        <w:rPr>
          <w:rFonts w:cstheme="minorHAnsi"/>
          <w:spacing w:val="3"/>
        </w:rPr>
        <w:t xml:space="preserve"> </w:t>
      </w:r>
      <w:r w:rsidRPr="00FD02DE">
        <w:rPr>
          <w:rFonts w:cstheme="minorHAnsi"/>
        </w:rPr>
        <w:t>th</w:t>
      </w:r>
      <w:r w:rsidRPr="00FD02DE">
        <w:rPr>
          <w:rFonts w:cstheme="minorHAnsi"/>
          <w:spacing w:val="-1"/>
        </w:rPr>
        <w:t>a</w:t>
      </w:r>
      <w:r w:rsidRPr="00FD02DE">
        <w:rPr>
          <w:rFonts w:cstheme="minorHAnsi"/>
        </w:rPr>
        <w:t>t</w:t>
      </w:r>
      <w:r w:rsidRPr="00FD02DE">
        <w:rPr>
          <w:rFonts w:cstheme="minorHAnsi"/>
          <w:spacing w:val="3"/>
        </w:rPr>
        <w:t xml:space="preserve"> </w:t>
      </w:r>
      <w:r w:rsidRPr="00FD02DE">
        <w:rPr>
          <w:rFonts w:cstheme="minorHAnsi"/>
          <w:spacing w:val="-1"/>
        </w:rPr>
        <w:t>c</w:t>
      </w:r>
      <w:r w:rsidRPr="00FD02DE">
        <w:rPr>
          <w:rFonts w:cstheme="minorHAnsi"/>
          <w:spacing w:val="2"/>
        </w:rPr>
        <w:t>o</w:t>
      </w:r>
      <w:r w:rsidRPr="00FD02DE">
        <w:rPr>
          <w:rFonts w:cstheme="minorHAnsi"/>
        </w:rPr>
        <w:t>uld,</w:t>
      </w:r>
      <w:r w:rsidRPr="00FD02DE">
        <w:rPr>
          <w:rFonts w:cstheme="minorHAnsi"/>
          <w:spacing w:val="2"/>
        </w:rPr>
        <w:t xml:space="preserve"> </w:t>
      </w:r>
      <w:r w:rsidRPr="00FD02DE">
        <w:rPr>
          <w:rFonts w:cstheme="minorHAnsi"/>
        </w:rPr>
        <w:t>or</w:t>
      </w:r>
      <w:r w:rsidRPr="00FD02DE">
        <w:rPr>
          <w:rFonts w:cstheme="minorHAnsi"/>
          <w:spacing w:val="1"/>
        </w:rPr>
        <w:t xml:space="preserve"> </w:t>
      </w:r>
      <w:r w:rsidRPr="00FD02DE">
        <w:rPr>
          <w:rFonts w:cstheme="minorHAnsi"/>
          <w:spacing w:val="-1"/>
        </w:rPr>
        <w:t>c</w:t>
      </w:r>
      <w:r w:rsidRPr="00FD02DE">
        <w:rPr>
          <w:rFonts w:cstheme="minorHAnsi"/>
        </w:rPr>
        <w:t>ould</w:t>
      </w:r>
      <w:r w:rsidRPr="00FD02DE">
        <w:rPr>
          <w:rFonts w:cstheme="minorHAnsi"/>
          <w:spacing w:val="2"/>
        </w:rPr>
        <w:t xml:space="preserve"> </w:t>
      </w:r>
      <w:r w:rsidRPr="00FD02DE">
        <w:rPr>
          <w:rFonts w:cstheme="minorHAnsi"/>
          <w:spacing w:val="-1"/>
        </w:rPr>
        <w:t>rea</w:t>
      </w:r>
      <w:r w:rsidRPr="00FD02DE">
        <w:rPr>
          <w:rFonts w:cstheme="minorHAnsi"/>
        </w:rPr>
        <w:t>son</w:t>
      </w:r>
      <w:r w:rsidRPr="00FD02DE">
        <w:rPr>
          <w:rFonts w:cstheme="minorHAnsi"/>
          <w:spacing w:val="-1"/>
        </w:rPr>
        <w:t>a</w:t>
      </w:r>
      <w:r w:rsidRPr="00FD02DE">
        <w:rPr>
          <w:rFonts w:cstheme="minorHAnsi"/>
        </w:rPr>
        <w:t>b</w:t>
      </w:r>
      <w:r w:rsidRPr="00FD02DE">
        <w:rPr>
          <w:rFonts w:cstheme="minorHAnsi"/>
          <w:spacing w:val="5"/>
        </w:rPr>
        <w:t>l</w:t>
      </w:r>
      <w:r w:rsidRPr="00FD02DE">
        <w:rPr>
          <w:rFonts w:cstheme="minorHAnsi"/>
        </w:rPr>
        <w:t>y be</w:t>
      </w:r>
      <w:r w:rsidRPr="00FD02DE">
        <w:rPr>
          <w:rFonts w:cstheme="minorHAnsi"/>
          <w:spacing w:val="1"/>
        </w:rPr>
        <w:t xml:space="preserve"> </w:t>
      </w:r>
      <w:r w:rsidRPr="00FD02DE">
        <w:rPr>
          <w:rFonts w:cstheme="minorHAnsi"/>
        </w:rPr>
        <w:t>p</w:t>
      </w:r>
      <w:r w:rsidRPr="00FD02DE">
        <w:rPr>
          <w:rFonts w:cstheme="minorHAnsi"/>
          <w:spacing w:val="-1"/>
        </w:rPr>
        <w:t>er</w:t>
      </w:r>
      <w:r w:rsidRPr="00FD02DE">
        <w:rPr>
          <w:rFonts w:cstheme="minorHAnsi"/>
          <w:spacing w:val="1"/>
        </w:rPr>
        <w:t>c</w:t>
      </w:r>
      <w:r w:rsidRPr="00FD02DE">
        <w:rPr>
          <w:rFonts w:cstheme="minorHAnsi"/>
          <w:spacing w:val="-1"/>
        </w:rPr>
        <w:t>e</w:t>
      </w:r>
      <w:r w:rsidRPr="00FD02DE">
        <w:rPr>
          <w:rFonts w:cstheme="minorHAnsi"/>
        </w:rPr>
        <w:t>iv</w:t>
      </w:r>
      <w:r w:rsidRPr="00FD02DE">
        <w:rPr>
          <w:rFonts w:cstheme="minorHAnsi"/>
          <w:spacing w:val="-1"/>
        </w:rPr>
        <w:t>e</w:t>
      </w:r>
      <w:r w:rsidRPr="00FD02DE">
        <w:rPr>
          <w:rFonts w:cstheme="minorHAnsi"/>
        </w:rPr>
        <w:t>d t</w:t>
      </w:r>
      <w:r w:rsidRPr="00FD02DE">
        <w:rPr>
          <w:rFonts w:cstheme="minorHAnsi"/>
          <w:spacing w:val="-1"/>
        </w:rPr>
        <w:t>o</w:t>
      </w:r>
      <w:r w:rsidRPr="00FD02DE">
        <w:rPr>
          <w:rFonts w:cstheme="minorHAnsi"/>
        </w:rPr>
        <w:t>,</w:t>
      </w:r>
      <w:r w:rsidRPr="00FD02DE">
        <w:rPr>
          <w:rFonts w:cstheme="minorHAnsi"/>
          <w:spacing w:val="6"/>
        </w:rPr>
        <w:t xml:space="preserve"> </w:t>
      </w:r>
      <w:r w:rsidRPr="00FD02DE">
        <w:rPr>
          <w:rFonts w:cstheme="minorHAnsi"/>
          <w:spacing w:val="-1"/>
        </w:rPr>
        <w:t>adv</w:t>
      </w:r>
      <w:r w:rsidRPr="00FD02DE">
        <w:rPr>
          <w:rFonts w:cstheme="minorHAnsi"/>
          <w:spacing w:val="1"/>
        </w:rPr>
        <w:t>e</w:t>
      </w:r>
      <w:r w:rsidRPr="00FD02DE">
        <w:rPr>
          <w:rFonts w:cstheme="minorHAnsi"/>
          <w:spacing w:val="-1"/>
        </w:rPr>
        <w:t>r</w:t>
      </w:r>
      <w:r w:rsidRPr="00FD02DE">
        <w:rPr>
          <w:rFonts w:cstheme="minorHAnsi"/>
        </w:rPr>
        <w:t>s</w:t>
      </w:r>
      <w:r w:rsidRPr="00FD02DE">
        <w:rPr>
          <w:rFonts w:cstheme="minorHAnsi"/>
          <w:spacing w:val="-1"/>
        </w:rPr>
        <w:t>e</w:t>
      </w:r>
      <w:r w:rsidRPr="00FD02DE">
        <w:rPr>
          <w:rFonts w:cstheme="minorHAnsi"/>
          <w:spacing w:val="5"/>
        </w:rPr>
        <w:t>l</w:t>
      </w:r>
      <w:r w:rsidRPr="00FD02DE">
        <w:rPr>
          <w:rFonts w:cstheme="minorHAnsi"/>
        </w:rPr>
        <w:t xml:space="preserve">y </w:t>
      </w:r>
      <w:r w:rsidRPr="00FD02DE">
        <w:rPr>
          <w:rFonts w:cstheme="minorHAnsi"/>
          <w:spacing w:val="1"/>
        </w:rPr>
        <w:t>a</w:t>
      </w:r>
      <w:r w:rsidRPr="00FD02DE">
        <w:rPr>
          <w:rFonts w:cstheme="minorHAnsi"/>
          <w:spacing w:val="-1"/>
        </w:rPr>
        <w:t>ff</w:t>
      </w:r>
      <w:r w:rsidRPr="00FD02DE">
        <w:rPr>
          <w:rFonts w:cstheme="minorHAnsi"/>
          <w:spacing w:val="1"/>
        </w:rPr>
        <w:t>e</w:t>
      </w:r>
      <w:r w:rsidRPr="00FD02DE">
        <w:rPr>
          <w:rFonts w:cstheme="minorHAnsi"/>
          <w:spacing w:val="-1"/>
        </w:rPr>
        <w:t>c</w:t>
      </w:r>
      <w:r w:rsidRPr="00FD02DE">
        <w:rPr>
          <w:rFonts w:cstheme="minorHAnsi"/>
        </w:rPr>
        <w:t>t</w:t>
      </w:r>
      <w:r w:rsidRPr="00FD02DE">
        <w:rPr>
          <w:rFonts w:cstheme="minorHAnsi"/>
          <w:spacing w:val="6"/>
        </w:rPr>
        <w:t xml:space="preserve"> </w:t>
      </w:r>
      <w:r w:rsidRPr="00FD02DE">
        <w:rPr>
          <w:rFonts w:cstheme="minorHAnsi"/>
        </w:rPr>
        <w:t>the</w:t>
      </w:r>
      <w:r w:rsidRPr="00FD02DE">
        <w:rPr>
          <w:rFonts w:cstheme="minorHAnsi"/>
          <w:spacing w:val="4"/>
        </w:rPr>
        <w:t xml:space="preserve"> </w:t>
      </w:r>
      <w:r w:rsidRPr="00FD02DE">
        <w:rPr>
          <w:rFonts w:cstheme="minorHAnsi"/>
          <w:spacing w:val="3"/>
        </w:rPr>
        <w:t>i</w:t>
      </w:r>
      <w:r w:rsidRPr="00FD02DE">
        <w:rPr>
          <w:rFonts w:cstheme="minorHAnsi"/>
        </w:rPr>
        <w:t>mp</w:t>
      </w:r>
      <w:r w:rsidRPr="00FD02DE">
        <w:rPr>
          <w:rFonts w:cstheme="minorHAnsi"/>
          <w:spacing w:val="-1"/>
        </w:rPr>
        <w:t>ar</w:t>
      </w:r>
      <w:r w:rsidRPr="00FD02DE">
        <w:rPr>
          <w:rFonts w:cstheme="minorHAnsi"/>
        </w:rPr>
        <w:t>ti</w:t>
      </w:r>
      <w:r w:rsidRPr="00FD02DE">
        <w:rPr>
          <w:rFonts w:cstheme="minorHAnsi"/>
          <w:spacing w:val="-1"/>
        </w:rPr>
        <w:t>a</w:t>
      </w:r>
      <w:r w:rsidRPr="00FD02DE">
        <w:rPr>
          <w:rFonts w:cstheme="minorHAnsi"/>
        </w:rPr>
        <w:t>li</w:t>
      </w:r>
      <w:r w:rsidRPr="00FD02DE">
        <w:rPr>
          <w:rFonts w:cstheme="minorHAnsi"/>
          <w:spacing w:val="3"/>
        </w:rPr>
        <w:t>t</w:t>
      </w:r>
      <w:r w:rsidRPr="00FD02DE">
        <w:rPr>
          <w:rFonts w:cstheme="minorHAnsi"/>
        </w:rPr>
        <w:t>y of</w:t>
      </w:r>
      <w:r w:rsidRPr="00FD02DE">
        <w:rPr>
          <w:rFonts w:cstheme="minorHAnsi"/>
          <w:spacing w:val="4"/>
        </w:rPr>
        <w:t xml:space="preserve"> </w:t>
      </w:r>
      <w:r w:rsidRPr="00FD02DE">
        <w:rPr>
          <w:rFonts w:cstheme="minorHAnsi"/>
        </w:rPr>
        <w:t>the</w:t>
      </w:r>
      <w:r w:rsidRPr="00FD02DE">
        <w:rPr>
          <w:rFonts w:cstheme="minorHAnsi"/>
          <w:spacing w:val="4"/>
        </w:rPr>
        <w:t xml:space="preserve"> </w:t>
      </w:r>
      <w:r w:rsidRPr="00FD02DE">
        <w:rPr>
          <w:rFonts w:cstheme="minorHAnsi"/>
          <w:spacing w:val="2"/>
        </w:rPr>
        <w:t>p</w:t>
      </w:r>
      <w:r w:rsidRPr="00FD02DE">
        <w:rPr>
          <w:rFonts w:cstheme="minorHAnsi"/>
          <w:spacing w:val="-1"/>
        </w:rPr>
        <w:t>er</w:t>
      </w:r>
      <w:r w:rsidRPr="00FD02DE">
        <w:rPr>
          <w:rFonts w:cstheme="minorHAnsi"/>
        </w:rPr>
        <w:t>son</w:t>
      </w:r>
      <w:r w:rsidRPr="00FD02DE">
        <w:rPr>
          <w:rFonts w:cstheme="minorHAnsi"/>
          <w:spacing w:val="7"/>
        </w:rPr>
        <w:t xml:space="preserve"> </w:t>
      </w:r>
      <w:r w:rsidRPr="00FD02DE">
        <w:rPr>
          <w:rFonts w:cstheme="minorHAnsi"/>
        </w:rPr>
        <w:t>h</w:t>
      </w:r>
      <w:r w:rsidRPr="00FD02DE">
        <w:rPr>
          <w:rFonts w:cstheme="minorHAnsi"/>
          <w:spacing w:val="-1"/>
        </w:rPr>
        <w:t>a</w:t>
      </w:r>
      <w:r w:rsidRPr="00FD02DE">
        <w:rPr>
          <w:rFonts w:cstheme="minorHAnsi"/>
        </w:rPr>
        <w:t>ving</w:t>
      </w:r>
      <w:r w:rsidRPr="00FD02DE">
        <w:rPr>
          <w:rFonts w:cstheme="minorHAnsi"/>
          <w:spacing w:val="2"/>
        </w:rPr>
        <w:t xml:space="preserve"> </w:t>
      </w:r>
      <w:r w:rsidRPr="00FD02DE">
        <w:rPr>
          <w:rFonts w:cstheme="minorHAnsi"/>
        </w:rPr>
        <w:t>int</w:t>
      </w:r>
      <w:r w:rsidRPr="00FD02DE">
        <w:rPr>
          <w:rFonts w:cstheme="minorHAnsi"/>
          <w:spacing w:val="1"/>
        </w:rPr>
        <w:t>e</w:t>
      </w:r>
      <w:r w:rsidRPr="00FD02DE">
        <w:rPr>
          <w:rFonts w:cstheme="minorHAnsi"/>
          <w:spacing w:val="-1"/>
        </w:rPr>
        <w:t>re</w:t>
      </w:r>
      <w:r w:rsidRPr="00FD02DE">
        <w:rPr>
          <w:rFonts w:cstheme="minorHAnsi"/>
        </w:rPr>
        <w:t>st</w:t>
      </w:r>
      <w:r w:rsidRPr="00FD02DE">
        <w:rPr>
          <w:rFonts w:cstheme="minorHAnsi"/>
          <w:spacing w:val="6"/>
        </w:rPr>
        <w:t xml:space="preserve"> </w:t>
      </w:r>
      <w:r w:rsidRPr="00FD02DE">
        <w:rPr>
          <w:rFonts w:cstheme="minorHAnsi"/>
          <w:spacing w:val="-1"/>
        </w:rPr>
        <w:t>ar</w:t>
      </w:r>
      <w:r w:rsidRPr="00FD02DE">
        <w:rPr>
          <w:rFonts w:cstheme="minorHAnsi"/>
        </w:rPr>
        <w:t>isi</w:t>
      </w:r>
      <w:r w:rsidRPr="00FD02DE">
        <w:rPr>
          <w:rFonts w:cstheme="minorHAnsi"/>
          <w:spacing w:val="2"/>
        </w:rPr>
        <w:t>n</w:t>
      </w:r>
      <w:r w:rsidRPr="00FD02DE">
        <w:rPr>
          <w:rFonts w:cstheme="minorHAnsi"/>
        </w:rPr>
        <w:t>g</w:t>
      </w:r>
      <w:r w:rsidRPr="00FD02DE">
        <w:rPr>
          <w:rFonts w:cstheme="minorHAnsi"/>
          <w:spacing w:val="3"/>
        </w:rPr>
        <w:t xml:space="preserve"> </w:t>
      </w:r>
      <w:r w:rsidRPr="00FD02DE">
        <w:rPr>
          <w:rFonts w:cstheme="minorHAnsi"/>
          <w:spacing w:val="-1"/>
        </w:rPr>
        <w:t>f</w:t>
      </w:r>
      <w:r w:rsidRPr="00FD02DE">
        <w:rPr>
          <w:rFonts w:cstheme="minorHAnsi"/>
          <w:spacing w:val="2"/>
        </w:rPr>
        <w:t>r</w:t>
      </w:r>
      <w:r w:rsidRPr="00FD02DE">
        <w:rPr>
          <w:rFonts w:cstheme="minorHAnsi"/>
        </w:rPr>
        <w:t>om</w:t>
      </w:r>
      <w:r w:rsidRPr="00FD02DE">
        <w:rPr>
          <w:rFonts w:cstheme="minorHAnsi"/>
          <w:spacing w:val="5"/>
        </w:rPr>
        <w:t xml:space="preserve"> </w:t>
      </w:r>
      <w:r w:rsidRPr="00FD02DE">
        <w:rPr>
          <w:rFonts w:cstheme="minorHAnsi"/>
        </w:rPr>
        <w:t xml:space="preserve">kinship, </w:t>
      </w:r>
      <w:r w:rsidRPr="00FD02DE">
        <w:rPr>
          <w:rFonts w:cstheme="minorHAnsi"/>
          <w:spacing w:val="-1"/>
        </w:rPr>
        <w:t>fr</w:t>
      </w:r>
      <w:r w:rsidRPr="00FD02DE">
        <w:rPr>
          <w:rFonts w:cstheme="minorHAnsi"/>
        </w:rPr>
        <w:t>i</w:t>
      </w:r>
      <w:r w:rsidRPr="00FD02DE">
        <w:rPr>
          <w:rFonts w:cstheme="minorHAnsi"/>
          <w:spacing w:val="-1"/>
        </w:rPr>
        <w:t>e</w:t>
      </w:r>
      <w:r w:rsidRPr="00FD02DE">
        <w:rPr>
          <w:rFonts w:cstheme="minorHAnsi"/>
        </w:rPr>
        <w:t>ndship or</w:t>
      </w:r>
      <w:r w:rsidRPr="00FD02DE">
        <w:rPr>
          <w:rFonts w:cstheme="minorHAnsi"/>
          <w:spacing w:val="-1"/>
        </w:rPr>
        <w:t xml:space="preserve"> </w:t>
      </w:r>
      <w:r w:rsidRPr="00FD02DE">
        <w:rPr>
          <w:rFonts w:cstheme="minorHAnsi"/>
        </w:rPr>
        <w:t>m</w:t>
      </w:r>
      <w:r w:rsidRPr="00FD02DE">
        <w:rPr>
          <w:rFonts w:cstheme="minorHAnsi"/>
          <w:spacing w:val="-1"/>
        </w:rPr>
        <w:t>e</w:t>
      </w:r>
      <w:r w:rsidRPr="00FD02DE">
        <w:rPr>
          <w:rFonts w:cstheme="minorHAnsi"/>
        </w:rPr>
        <w:t>mb</w:t>
      </w:r>
      <w:r w:rsidRPr="00FD02DE">
        <w:rPr>
          <w:rFonts w:cstheme="minorHAnsi"/>
          <w:spacing w:val="-1"/>
        </w:rPr>
        <w:t>er</w:t>
      </w:r>
      <w:r w:rsidRPr="00FD02DE">
        <w:rPr>
          <w:rFonts w:cstheme="minorHAnsi"/>
        </w:rPr>
        <w:t>sh</w:t>
      </w:r>
      <w:r w:rsidRPr="00FD02DE">
        <w:rPr>
          <w:rFonts w:cstheme="minorHAnsi"/>
          <w:spacing w:val="3"/>
        </w:rPr>
        <w:t>i</w:t>
      </w:r>
      <w:r w:rsidRPr="00FD02DE">
        <w:rPr>
          <w:rFonts w:cstheme="minorHAnsi"/>
        </w:rPr>
        <w:t>p of</w:t>
      </w:r>
      <w:r w:rsidRPr="00FD02DE">
        <w:rPr>
          <w:rFonts w:cstheme="minorHAnsi"/>
          <w:spacing w:val="-1"/>
        </w:rPr>
        <w:t xml:space="preserve"> a</w:t>
      </w:r>
      <w:r w:rsidRPr="00FD02DE">
        <w:rPr>
          <w:rFonts w:cstheme="minorHAnsi"/>
        </w:rPr>
        <w:t xml:space="preserve">n </w:t>
      </w:r>
      <w:r w:rsidRPr="00FD02DE">
        <w:rPr>
          <w:rFonts w:cstheme="minorHAnsi"/>
          <w:spacing w:val="-1"/>
        </w:rPr>
        <w:t>a</w:t>
      </w:r>
      <w:r w:rsidRPr="00FD02DE">
        <w:rPr>
          <w:rFonts w:cstheme="minorHAnsi"/>
        </w:rPr>
        <w:t>sso</w:t>
      </w:r>
      <w:r w:rsidRPr="00FD02DE">
        <w:rPr>
          <w:rFonts w:cstheme="minorHAnsi"/>
          <w:spacing w:val="-1"/>
        </w:rPr>
        <w:t>c</w:t>
      </w:r>
      <w:r w:rsidRPr="00FD02DE">
        <w:rPr>
          <w:rFonts w:cstheme="minorHAnsi"/>
          <w:spacing w:val="3"/>
        </w:rPr>
        <w:t>i</w:t>
      </w:r>
      <w:r w:rsidRPr="00FD02DE">
        <w:rPr>
          <w:rFonts w:cstheme="minorHAnsi"/>
          <w:spacing w:val="-1"/>
        </w:rPr>
        <w:t>a</w:t>
      </w:r>
      <w:r w:rsidRPr="00FD02DE">
        <w:rPr>
          <w:rFonts w:cstheme="minorHAnsi"/>
        </w:rPr>
        <w:t>tion.</w:t>
      </w:r>
    </w:p>
    <w:p w14:paraId="1C391975" w14:textId="77777777" w:rsidR="00272EB4" w:rsidRPr="00FD02DE" w:rsidRDefault="00272EB4" w:rsidP="00272EB4">
      <w:pPr>
        <w:spacing w:before="200" w:after="0"/>
        <w:rPr>
          <w:b/>
          <w:sz w:val="28"/>
          <w:szCs w:val="28"/>
          <w:lang w:val="en-US"/>
        </w:rPr>
      </w:pPr>
      <w:r w:rsidRPr="00FD02DE">
        <w:rPr>
          <w:b/>
          <w:sz w:val="28"/>
          <w:szCs w:val="28"/>
          <w:lang w:val="en-US"/>
        </w:rPr>
        <w:t>Policy Scope</w:t>
      </w:r>
    </w:p>
    <w:p w14:paraId="55926F7A" w14:textId="77777777" w:rsidR="00272EB4" w:rsidRPr="00FD02DE" w:rsidRDefault="00272EB4" w:rsidP="00272EB4">
      <w:pPr>
        <w:widowControl w:val="0"/>
        <w:spacing w:before="60" w:after="0" w:line="240" w:lineRule="auto"/>
        <w:ind w:right="3215"/>
        <w:jc w:val="both"/>
        <w:rPr>
          <w:rFonts w:cstheme="minorHAnsi"/>
          <w:b/>
          <w:bCs/>
          <w:spacing w:val="1"/>
          <w:sz w:val="24"/>
        </w:rPr>
      </w:pPr>
      <w:r w:rsidRPr="00FD02DE">
        <w:rPr>
          <w:rFonts w:cstheme="minorHAnsi"/>
          <w:b/>
          <w:bCs/>
          <w:spacing w:val="1"/>
          <w:sz w:val="24"/>
        </w:rPr>
        <w:t>Background</w:t>
      </w:r>
    </w:p>
    <w:p w14:paraId="6DCB8138" w14:textId="77777777" w:rsidR="00272EB4" w:rsidRPr="00FD02DE" w:rsidRDefault="00272EB4" w:rsidP="00272EB4">
      <w:pPr>
        <w:pStyle w:val="BodyTextA"/>
        <w:spacing w:after="200" w:line="240" w:lineRule="auto"/>
        <w:rPr>
          <w:rFonts w:asciiTheme="minorHAnsi" w:hAnsiTheme="minorHAnsi" w:cstheme="minorHAnsi"/>
          <w:sz w:val="22"/>
        </w:rPr>
      </w:pPr>
      <w:r w:rsidRPr="00FD02DE">
        <w:rPr>
          <w:rFonts w:asciiTheme="minorHAnsi" w:hAnsiTheme="minorHAnsi" w:cstheme="minorHAnsi"/>
          <w:sz w:val="22"/>
        </w:rPr>
        <w:t>Consultation and research undertaken has shown that it is best practice for Local Government Authorities to appoint a panel or committee with responsibility for making decisions and recommendations about public art.</w:t>
      </w:r>
    </w:p>
    <w:p w14:paraId="332942BF" w14:textId="77777777" w:rsidR="00272EB4" w:rsidRPr="00FD02DE" w:rsidRDefault="00272EB4" w:rsidP="00272EB4">
      <w:pPr>
        <w:pStyle w:val="BodyTextA"/>
        <w:spacing w:after="200" w:line="240" w:lineRule="auto"/>
        <w:rPr>
          <w:rFonts w:asciiTheme="minorHAnsi" w:hAnsiTheme="minorHAnsi" w:cstheme="minorHAnsi"/>
          <w:sz w:val="22"/>
          <w:szCs w:val="24"/>
        </w:rPr>
      </w:pPr>
      <w:r w:rsidRPr="00FD02DE">
        <w:rPr>
          <w:rFonts w:asciiTheme="minorHAnsi" w:hAnsiTheme="minorHAnsi" w:cstheme="minorHAnsi"/>
          <w:sz w:val="22"/>
        </w:rPr>
        <w:t xml:space="preserve">The Town of East Fremantle Public Art Panel should comprise Elected Members, staff and dedicated experts in the field. It is important that Panel Membership covers a range of expertise in public art </w:t>
      </w:r>
      <w:r w:rsidRPr="00FD02DE">
        <w:rPr>
          <w:rFonts w:asciiTheme="minorHAnsi" w:hAnsiTheme="minorHAnsi" w:cstheme="minorHAnsi"/>
          <w:sz w:val="22"/>
          <w:szCs w:val="24"/>
        </w:rPr>
        <w:t>to ensure a balance of skill and opinion.</w:t>
      </w:r>
    </w:p>
    <w:p w14:paraId="50F26789" w14:textId="77777777" w:rsidR="00272EB4" w:rsidRPr="00FD02DE" w:rsidRDefault="00272EB4" w:rsidP="00272EB4">
      <w:pPr>
        <w:pStyle w:val="BodyTextA"/>
        <w:spacing w:after="200" w:line="240" w:lineRule="auto"/>
        <w:rPr>
          <w:rFonts w:asciiTheme="minorHAnsi" w:hAnsiTheme="minorHAnsi" w:cstheme="minorHAnsi"/>
          <w:sz w:val="22"/>
        </w:rPr>
      </w:pPr>
      <w:r w:rsidRPr="00FD02DE">
        <w:rPr>
          <w:rFonts w:asciiTheme="minorHAnsi" w:hAnsiTheme="minorHAnsi" w:cstheme="minorHAnsi"/>
          <w:sz w:val="22"/>
        </w:rPr>
        <w:t>The Panel would conduct itself according to the role given to it by the Council, which would outline the Panel’s responsibilities, operations and composition.</w:t>
      </w:r>
    </w:p>
    <w:p w14:paraId="7E7ADDEA" w14:textId="77777777" w:rsidR="00272EB4" w:rsidRPr="00FD02DE" w:rsidRDefault="00272EB4" w:rsidP="00272EB4">
      <w:pPr>
        <w:widowControl w:val="0"/>
        <w:spacing w:after="0" w:line="240" w:lineRule="auto"/>
        <w:ind w:right="3215"/>
        <w:jc w:val="both"/>
        <w:rPr>
          <w:rFonts w:cstheme="minorHAnsi"/>
          <w:sz w:val="24"/>
        </w:rPr>
      </w:pPr>
      <w:r w:rsidRPr="00FD02DE">
        <w:rPr>
          <w:rFonts w:cstheme="minorHAnsi"/>
          <w:b/>
          <w:bCs/>
          <w:spacing w:val="1"/>
          <w:sz w:val="24"/>
        </w:rPr>
        <w:t>Status and Role of the Panel</w:t>
      </w:r>
    </w:p>
    <w:p w14:paraId="4AA05078" w14:textId="77777777" w:rsidR="00272EB4" w:rsidRPr="00FD02DE" w:rsidRDefault="00272EB4" w:rsidP="00272EB4">
      <w:pPr>
        <w:pStyle w:val="BodyTextA"/>
        <w:spacing w:after="60" w:line="240" w:lineRule="auto"/>
        <w:rPr>
          <w:rFonts w:asciiTheme="minorHAnsi" w:hAnsiTheme="minorHAnsi" w:cstheme="minorHAnsi"/>
          <w:sz w:val="22"/>
        </w:rPr>
      </w:pPr>
      <w:r w:rsidRPr="00FD02DE">
        <w:rPr>
          <w:rFonts w:asciiTheme="minorHAnsi" w:hAnsiTheme="minorHAnsi" w:cstheme="minorHAnsi"/>
          <w:sz w:val="22"/>
        </w:rPr>
        <w:t>The Public Art Panel will:</w:t>
      </w:r>
    </w:p>
    <w:p w14:paraId="033BEC2E" w14:textId="77777777" w:rsidR="00272EB4" w:rsidRPr="00FD02DE" w:rsidRDefault="00272EB4" w:rsidP="00272EB4">
      <w:pPr>
        <w:pStyle w:val="BodyTextA"/>
        <w:numPr>
          <w:ilvl w:val="1"/>
          <w:numId w:val="330"/>
        </w:numPr>
        <w:tabs>
          <w:tab w:val="clear" w:pos="1440"/>
          <w:tab w:val="num" w:pos="0"/>
        </w:tabs>
        <w:spacing w:after="60" w:line="240" w:lineRule="auto"/>
        <w:ind w:left="709"/>
        <w:rPr>
          <w:rFonts w:asciiTheme="minorHAnsi" w:hAnsiTheme="minorHAnsi" w:cstheme="minorHAnsi"/>
          <w:sz w:val="22"/>
        </w:rPr>
      </w:pPr>
      <w:r>
        <w:rPr>
          <w:rFonts w:asciiTheme="minorHAnsi" w:hAnsiTheme="minorHAnsi" w:cstheme="minorHAnsi"/>
          <w:sz w:val="22"/>
        </w:rPr>
        <w:t>o</w:t>
      </w:r>
      <w:r w:rsidRPr="00FD02DE">
        <w:rPr>
          <w:rFonts w:asciiTheme="minorHAnsi" w:hAnsiTheme="minorHAnsi" w:cstheme="minorHAnsi"/>
          <w:sz w:val="22"/>
        </w:rPr>
        <w:t>versee and make recommendations to the Council on matters related to:</w:t>
      </w:r>
    </w:p>
    <w:p w14:paraId="2CE0595C" w14:textId="77777777" w:rsidR="00272EB4" w:rsidRPr="00FD02DE" w:rsidRDefault="00272EB4" w:rsidP="00272EB4">
      <w:pPr>
        <w:pStyle w:val="BodyTextA"/>
        <w:numPr>
          <w:ilvl w:val="1"/>
          <w:numId w:val="331"/>
        </w:numPr>
        <w:tabs>
          <w:tab w:val="clear" w:pos="360"/>
          <w:tab w:val="num" w:pos="0"/>
        </w:tabs>
        <w:spacing w:after="60" w:line="240" w:lineRule="auto"/>
        <w:ind w:left="1276" w:hanging="567"/>
        <w:rPr>
          <w:rFonts w:asciiTheme="minorHAnsi" w:hAnsiTheme="minorHAnsi" w:cstheme="minorHAnsi"/>
          <w:sz w:val="22"/>
        </w:rPr>
      </w:pPr>
      <w:r w:rsidRPr="00FD02DE">
        <w:rPr>
          <w:rFonts w:asciiTheme="minorHAnsi" w:hAnsiTheme="minorHAnsi" w:cstheme="minorHAnsi"/>
          <w:sz w:val="22"/>
        </w:rPr>
        <w:t xml:space="preserve">the strategic direction, policy and public program matters </w:t>
      </w:r>
      <w:r w:rsidRPr="00FD02DE" w:rsidDel="004F47C7">
        <w:rPr>
          <w:rFonts w:asciiTheme="minorHAnsi" w:hAnsiTheme="minorHAnsi" w:cstheme="minorHAnsi"/>
          <w:sz w:val="22"/>
        </w:rPr>
        <w:t>of</w:t>
      </w:r>
      <w:r w:rsidRPr="00FD02DE">
        <w:rPr>
          <w:rFonts w:asciiTheme="minorHAnsi" w:hAnsiTheme="minorHAnsi" w:cstheme="minorHAnsi"/>
          <w:sz w:val="22"/>
        </w:rPr>
        <w:t xml:space="preserve"> the Town of East Fremantle Public Art </w:t>
      </w:r>
      <w:proofErr w:type="gramStart"/>
      <w:r w:rsidRPr="00FD02DE">
        <w:rPr>
          <w:rFonts w:asciiTheme="minorHAnsi" w:hAnsiTheme="minorHAnsi" w:cstheme="minorHAnsi"/>
          <w:sz w:val="22"/>
        </w:rPr>
        <w:t>Strategy;</w:t>
      </w:r>
      <w:proofErr w:type="gramEnd"/>
    </w:p>
    <w:p w14:paraId="35D0DE30" w14:textId="77777777" w:rsidR="00272EB4" w:rsidRPr="00FD02DE" w:rsidRDefault="00272EB4" w:rsidP="00272EB4">
      <w:pPr>
        <w:pStyle w:val="BodyTextA"/>
        <w:numPr>
          <w:ilvl w:val="1"/>
          <w:numId w:val="331"/>
        </w:numPr>
        <w:tabs>
          <w:tab w:val="clear" w:pos="360"/>
          <w:tab w:val="num" w:pos="0"/>
        </w:tabs>
        <w:spacing w:after="60" w:line="240" w:lineRule="auto"/>
        <w:ind w:left="1276" w:hanging="567"/>
        <w:rPr>
          <w:rFonts w:asciiTheme="minorHAnsi" w:hAnsiTheme="minorHAnsi" w:cstheme="minorHAnsi"/>
          <w:sz w:val="22"/>
        </w:rPr>
      </w:pPr>
      <w:r w:rsidRPr="00FD02DE">
        <w:rPr>
          <w:rFonts w:asciiTheme="minorHAnsi" w:hAnsiTheme="minorHAnsi" w:cstheme="minorHAnsi"/>
          <w:sz w:val="22"/>
        </w:rPr>
        <w:t xml:space="preserve">the development of public art project </w:t>
      </w:r>
      <w:proofErr w:type="gramStart"/>
      <w:r w:rsidRPr="00FD02DE">
        <w:rPr>
          <w:rFonts w:asciiTheme="minorHAnsi" w:hAnsiTheme="minorHAnsi" w:cstheme="minorHAnsi"/>
          <w:sz w:val="22"/>
        </w:rPr>
        <w:t>briefs;</w:t>
      </w:r>
      <w:proofErr w:type="gramEnd"/>
    </w:p>
    <w:p w14:paraId="28E8B806" w14:textId="77777777" w:rsidR="00272EB4" w:rsidRPr="00FD02DE" w:rsidRDefault="00272EB4" w:rsidP="00272EB4">
      <w:pPr>
        <w:pStyle w:val="BodyTextA"/>
        <w:numPr>
          <w:ilvl w:val="1"/>
          <w:numId w:val="331"/>
        </w:numPr>
        <w:tabs>
          <w:tab w:val="clear" w:pos="360"/>
          <w:tab w:val="num" w:pos="0"/>
        </w:tabs>
        <w:spacing w:after="60" w:line="240" w:lineRule="auto"/>
        <w:ind w:left="1276" w:hanging="567"/>
        <w:rPr>
          <w:rFonts w:asciiTheme="minorHAnsi" w:hAnsiTheme="minorHAnsi" w:cstheme="minorHAnsi"/>
          <w:sz w:val="22"/>
        </w:rPr>
      </w:pPr>
      <w:r w:rsidRPr="00FD02DE">
        <w:rPr>
          <w:rFonts w:asciiTheme="minorHAnsi" w:hAnsiTheme="minorHAnsi" w:cstheme="minorHAnsi"/>
          <w:sz w:val="22"/>
        </w:rPr>
        <w:t xml:space="preserve">the deaccession, relocation, removal and disposal of public artworks; and </w:t>
      </w:r>
    </w:p>
    <w:p w14:paraId="02E876D4" w14:textId="77777777" w:rsidR="00272EB4" w:rsidRPr="00FD02DE" w:rsidRDefault="00272EB4" w:rsidP="00272EB4">
      <w:pPr>
        <w:pStyle w:val="BodyTextA"/>
        <w:numPr>
          <w:ilvl w:val="1"/>
          <w:numId w:val="331"/>
        </w:numPr>
        <w:tabs>
          <w:tab w:val="clear" w:pos="360"/>
          <w:tab w:val="num" w:pos="0"/>
        </w:tabs>
        <w:spacing w:after="60" w:line="240" w:lineRule="auto"/>
        <w:ind w:left="1276" w:hanging="567"/>
        <w:rPr>
          <w:rFonts w:asciiTheme="minorHAnsi" w:hAnsiTheme="minorHAnsi" w:cstheme="minorHAnsi"/>
          <w:sz w:val="22"/>
        </w:rPr>
      </w:pPr>
      <w:r w:rsidRPr="00FD02DE">
        <w:rPr>
          <w:rFonts w:asciiTheme="minorHAnsi" w:hAnsiTheme="minorHAnsi" w:cstheme="minorHAnsi"/>
          <w:sz w:val="22"/>
        </w:rPr>
        <w:t>to assess and determine the suitability of percent for public art proposals submitted in accordance with the Town’s Percent for Public Art Policy</w:t>
      </w:r>
    </w:p>
    <w:p w14:paraId="2B2362C8" w14:textId="77777777" w:rsidR="00272EB4" w:rsidRPr="00FD02DE" w:rsidRDefault="00272EB4" w:rsidP="00272EB4">
      <w:pPr>
        <w:pStyle w:val="BodyTextA"/>
        <w:numPr>
          <w:ilvl w:val="1"/>
          <w:numId w:val="330"/>
        </w:numPr>
        <w:tabs>
          <w:tab w:val="clear" w:pos="1440"/>
          <w:tab w:val="num" w:pos="0"/>
        </w:tabs>
        <w:spacing w:after="60" w:line="240" w:lineRule="auto"/>
        <w:ind w:left="709"/>
        <w:rPr>
          <w:rFonts w:asciiTheme="minorHAnsi" w:hAnsiTheme="minorHAnsi" w:cstheme="minorHAnsi"/>
          <w:sz w:val="22"/>
        </w:rPr>
      </w:pPr>
      <w:r>
        <w:rPr>
          <w:rFonts w:asciiTheme="minorHAnsi" w:hAnsiTheme="minorHAnsi" w:cstheme="minorHAnsi"/>
          <w:sz w:val="22"/>
        </w:rPr>
        <w:lastRenderedPageBreak/>
        <w:t>c</w:t>
      </w:r>
      <w:r w:rsidRPr="00FD02DE">
        <w:rPr>
          <w:rFonts w:asciiTheme="minorHAnsi" w:hAnsiTheme="minorHAnsi" w:cstheme="minorHAnsi"/>
          <w:sz w:val="22"/>
        </w:rPr>
        <w:t xml:space="preserve">onsider the recommendations of specialist selection </w:t>
      </w:r>
      <w:proofErr w:type="gramStart"/>
      <w:r w:rsidRPr="00FD02DE">
        <w:rPr>
          <w:rFonts w:asciiTheme="minorHAnsi" w:hAnsiTheme="minorHAnsi" w:cstheme="minorHAnsi"/>
          <w:sz w:val="22"/>
        </w:rPr>
        <w:t>panels;</w:t>
      </w:r>
      <w:proofErr w:type="gramEnd"/>
    </w:p>
    <w:p w14:paraId="07915C3E" w14:textId="77777777" w:rsidR="00272EB4" w:rsidRPr="00FD02DE" w:rsidRDefault="00272EB4" w:rsidP="00272EB4">
      <w:pPr>
        <w:pStyle w:val="BodyTextA"/>
        <w:numPr>
          <w:ilvl w:val="1"/>
          <w:numId w:val="330"/>
        </w:numPr>
        <w:tabs>
          <w:tab w:val="clear" w:pos="1440"/>
          <w:tab w:val="num" w:pos="0"/>
        </w:tabs>
        <w:spacing w:after="200" w:line="240" w:lineRule="auto"/>
        <w:ind w:left="709" w:hanging="357"/>
        <w:rPr>
          <w:rFonts w:asciiTheme="minorHAnsi" w:hAnsiTheme="minorHAnsi" w:cstheme="minorHAnsi"/>
          <w:sz w:val="22"/>
        </w:rPr>
      </w:pPr>
      <w:r>
        <w:rPr>
          <w:rFonts w:asciiTheme="minorHAnsi" w:hAnsiTheme="minorHAnsi" w:cstheme="minorHAnsi"/>
          <w:sz w:val="22"/>
        </w:rPr>
        <w:t>a</w:t>
      </w:r>
      <w:r w:rsidRPr="00FD02DE">
        <w:rPr>
          <w:rFonts w:asciiTheme="minorHAnsi" w:hAnsiTheme="minorHAnsi" w:cstheme="minorHAnsi"/>
          <w:sz w:val="22"/>
        </w:rPr>
        <w:t xml:space="preserve">ssess the implementation of the </w:t>
      </w:r>
      <w:r w:rsidRPr="00FD02DE" w:rsidDel="004F47C7">
        <w:rPr>
          <w:rFonts w:asciiTheme="minorHAnsi" w:hAnsiTheme="minorHAnsi" w:cstheme="minorHAnsi"/>
          <w:sz w:val="22"/>
        </w:rPr>
        <w:t xml:space="preserve">public art </w:t>
      </w:r>
      <w:r w:rsidRPr="00FD02DE">
        <w:rPr>
          <w:rFonts w:asciiTheme="minorHAnsi" w:hAnsiTheme="minorHAnsi" w:cstheme="minorHAnsi"/>
          <w:sz w:val="22"/>
        </w:rPr>
        <w:t>annual action plan.</w:t>
      </w:r>
    </w:p>
    <w:p w14:paraId="6E8C68DF" w14:textId="77777777" w:rsidR="00272EB4" w:rsidRPr="00FD02DE" w:rsidRDefault="00272EB4" w:rsidP="00272EB4">
      <w:pPr>
        <w:pStyle w:val="BodyTextA"/>
        <w:tabs>
          <w:tab w:val="clear" w:pos="0"/>
        </w:tabs>
        <w:spacing w:line="240" w:lineRule="auto"/>
        <w:rPr>
          <w:rFonts w:asciiTheme="minorHAnsi" w:hAnsiTheme="minorHAnsi" w:cstheme="minorHAnsi"/>
          <w:sz w:val="22"/>
        </w:rPr>
      </w:pPr>
      <w:r w:rsidRPr="00FD02DE">
        <w:rPr>
          <w:rFonts w:asciiTheme="minorHAnsi" w:hAnsiTheme="minorHAnsi" w:cstheme="minorHAnsi"/>
          <w:sz w:val="22"/>
        </w:rPr>
        <w:t>Positions on the Panel will be non-paid.</w:t>
      </w:r>
    </w:p>
    <w:p w14:paraId="1BA0359D" w14:textId="77777777" w:rsidR="00272EB4" w:rsidRPr="00FD02DE" w:rsidRDefault="00272EB4" w:rsidP="00272EB4">
      <w:pPr>
        <w:spacing w:before="200" w:after="0"/>
        <w:rPr>
          <w:rFonts w:cstheme="minorHAnsi"/>
          <w:b/>
          <w:sz w:val="28"/>
          <w:szCs w:val="28"/>
          <w:lang w:val="en-US"/>
        </w:rPr>
      </w:pPr>
      <w:r w:rsidRPr="00FD02DE">
        <w:rPr>
          <w:rFonts w:cstheme="minorHAnsi"/>
          <w:b/>
          <w:sz w:val="28"/>
          <w:szCs w:val="28"/>
          <w:lang w:val="en-US"/>
        </w:rPr>
        <w:t xml:space="preserve">Policy </w:t>
      </w:r>
    </w:p>
    <w:p w14:paraId="6C359296" w14:textId="77777777" w:rsidR="00272EB4" w:rsidRPr="00FD02DE" w:rsidRDefault="00272EB4" w:rsidP="00272EB4">
      <w:pPr>
        <w:widowControl w:val="0"/>
        <w:tabs>
          <w:tab w:val="left" w:pos="1560"/>
        </w:tabs>
        <w:spacing w:after="60" w:line="240" w:lineRule="auto"/>
        <w:ind w:right="74"/>
        <w:jc w:val="both"/>
        <w:rPr>
          <w:rFonts w:cstheme="minorHAnsi"/>
          <w:b/>
          <w:sz w:val="24"/>
          <w:szCs w:val="24"/>
        </w:rPr>
      </w:pPr>
      <w:r w:rsidRPr="00FD02DE">
        <w:rPr>
          <w:rFonts w:cstheme="minorHAnsi"/>
          <w:b/>
          <w:sz w:val="24"/>
          <w:szCs w:val="24"/>
        </w:rPr>
        <w:t>Section 1: Terms of Reference</w:t>
      </w:r>
    </w:p>
    <w:p w14:paraId="5E457A6E" w14:textId="77777777" w:rsidR="00272EB4" w:rsidRPr="00FD02DE" w:rsidRDefault="00272EB4" w:rsidP="00272EB4">
      <w:pPr>
        <w:numPr>
          <w:ilvl w:val="0"/>
          <w:numId w:val="332"/>
        </w:numPr>
        <w:spacing w:after="60" w:line="240" w:lineRule="auto"/>
        <w:ind w:left="357" w:hanging="357"/>
        <w:jc w:val="both"/>
        <w:rPr>
          <w:rFonts w:cstheme="minorHAnsi"/>
        </w:rPr>
      </w:pPr>
      <w:r w:rsidRPr="00FD02DE">
        <w:rPr>
          <w:rFonts w:cstheme="minorHAnsi"/>
        </w:rPr>
        <w:t xml:space="preserve">To provide guidance for the Town of East Fremantle Public Art Strategy. </w:t>
      </w:r>
    </w:p>
    <w:p w14:paraId="2A76A434" w14:textId="77777777" w:rsidR="00272EB4" w:rsidRPr="00FD02DE" w:rsidRDefault="00272EB4" w:rsidP="00272EB4">
      <w:pPr>
        <w:numPr>
          <w:ilvl w:val="0"/>
          <w:numId w:val="332"/>
        </w:numPr>
        <w:spacing w:after="60" w:line="240" w:lineRule="auto"/>
        <w:ind w:left="357" w:hanging="357"/>
        <w:jc w:val="both"/>
        <w:rPr>
          <w:rFonts w:cstheme="minorHAnsi"/>
        </w:rPr>
      </w:pPr>
      <w:r w:rsidRPr="00FD02DE">
        <w:rPr>
          <w:rFonts w:cstheme="minorHAnsi"/>
        </w:rPr>
        <w:t xml:space="preserve">To act in an advisory capacity and make recommendations on specified projects in </w:t>
      </w:r>
      <w:proofErr w:type="gramStart"/>
      <w:r w:rsidRPr="00FD02DE">
        <w:rPr>
          <w:rFonts w:cstheme="minorHAnsi"/>
        </w:rPr>
        <w:t>relation  the</w:t>
      </w:r>
      <w:proofErr w:type="gramEnd"/>
      <w:r w:rsidRPr="00FD02DE">
        <w:rPr>
          <w:rFonts w:cstheme="minorHAnsi"/>
        </w:rPr>
        <w:t xml:space="preserve"> acquisition of public art; development projects with public art components; and </w:t>
      </w:r>
      <w:r w:rsidRPr="00FD02DE">
        <w:rPr>
          <w:rFonts w:cstheme="minorHAnsi"/>
          <w:lang w:val="en-US" w:bidi="en-US"/>
        </w:rPr>
        <w:t xml:space="preserve">any proposed projects that have the potential for public controversy and/or risk to the Town’s reputation (noting that this does not include the selection or approval of new works where they meet the Policy; </w:t>
      </w:r>
    </w:p>
    <w:p w14:paraId="24863B5B" w14:textId="77777777" w:rsidR="00272EB4" w:rsidRPr="00FD02DE" w:rsidRDefault="00272EB4" w:rsidP="00272EB4">
      <w:pPr>
        <w:numPr>
          <w:ilvl w:val="0"/>
          <w:numId w:val="332"/>
        </w:numPr>
        <w:spacing w:after="60" w:line="240" w:lineRule="auto"/>
        <w:ind w:left="357" w:hanging="357"/>
        <w:jc w:val="both"/>
        <w:rPr>
          <w:rFonts w:cstheme="minorHAnsi"/>
        </w:rPr>
      </w:pPr>
      <w:r w:rsidRPr="00FD02DE">
        <w:rPr>
          <w:rFonts w:cstheme="minorHAnsi"/>
          <w:lang w:val="en-US" w:bidi="en-US"/>
        </w:rPr>
        <w:t>The Panel will provide expert advice in the development and review of the Town’s</w:t>
      </w:r>
      <w:r w:rsidRPr="00FD02DE">
        <w:rPr>
          <w:rFonts w:cstheme="minorHAnsi"/>
        </w:rPr>
        <w:t xml:space="preserve"> </w:t>
      </w:r>
      <w:r w:rsidRPr="00FD02DE">
        <w:rPr>
          <w:rFonts w:cstheme="minorHAnsi"/>
          <w:lang w:val="en-US" w:bidi="en-US"/>
        </w:rPr>
        <w:t>public art program and on public art projects.</w:t>
      </w:r>
    </w:p>
    <w:p w14:paraId="4C9FCB14" w14:textId="77777777" w:rsidR="00272EB4" w:rsidRPr="00FD02DE" w:rsidRDefault="00272EB4" w:rsidP="00272EB4">
      <w:pPr>
        <w:numPr>
          <w:ilvl w:val="0"/>
          <w:numId w:val="332"/>
        </w:numPr>
        <w:spacing w:after="0" w:line="240" w:lineRule="auto"/>
        <w:jc w:val="both"/>
        <w:rPr>
          <w:rFonts w:cstheme="minorHAnsi"/>
          <w:lang w:val="en-US" w:bidi="en-US"/>
        </w:rPr>
      </w:pPr>
      <w:r w:rsidRPr="00FD02DE">
        <w:rPr>
          <w:rFonts w:cstheme="minorHAnsi"/>
          <w:lang w:val="en-US" w:bidi="en-US"/>
        </w:rPr>
        <w:t>The Panel’s advice will help the Town achieve high-quality public art outcomes; an excellent reputation with stakeholders; effective relationships with partners and the arts sector.</w:t>
      </w:r>
    </w:p>
    <w:p w14:paraId="293EA0DF" w14:textId="77777777" w:rsidR="00272EB4" w:rsidRPr="00FD02DE" w:rsidRDefault="00272EB4" w:rsidP="00272EB4">
      <w:pPr>
        <w:widowControl w:val="0"/>
        <w:tabs>
          <w:tab w:val="left" w:pos="1560"/>
        </w:tabs>
        <w:spacing w:before="200" w:after="60" w:line="240" w:lineRule="auto"/>
        <w:ind w:right="74"/>
        <w:jc w:val="both"/>
        <w:rPr>
          <w:rFonts w:cstheme="minorHAnsi"/>
          <w:b/>
          <w:bCs/>
          <w:sz w:val="24"/>
          <w:szCs w:val="24"/>
        </w:rPr>
      </w:pPr>
      <w:r w:rsidRPr="00FD02DE">
        <w:rPr>
          <w:rFonts w:cstheme="minorHAnsi"/>
          <w:b/>
          <w:bCs/>
          <w:spacing w:val="-1"/>
          <w:sz w:val="24"/>
          <w:szCs w:val="24"/>
        </w:rPr>
        <w:t>Section 2: M</w:t>
      </w:r>
      <w:r w:rsidRPr="00FD02DE">
        <w:rPr>
          <w:rFonts w:cstheme="minorHAnsi"/>
          <w:b/>
          <w:bCs/>
          <w:spacing w:val="1"/>
          <w:sz w:val="24"/>
          <w:szCs w:val="24"/>
        </w:rPr>
        <w:t>e</w:t>
      </w:r>
      <w:r w:rsidRPr="00FD02DE">
        <w:rPr>
          <w:rFonts w:cstheme="minorHAnsi"/>
          <w:b/>
          <w:bCs/>
          <w:spacing w:val="-1"/>
          <w:sz w:val="24"/>
          <w:szCs w:val="24"/>
        </w:rPr>
        <w:t>m</w:t>
      </w:r>
      <w:r w:rsidRPr="00FD02DE">
        <w:rPr>
          <w:rFonts w:cstheme="minorHAnsi"/>
          <w:b/>
          <w:bCs/>
          <w:spacing w:val="1"/>
          <w:sz w:val="24"/>
          <w:szCs w:val="24"/>
        </w:rPr>
        <w:t>be</w:t>
      </w:r>
      <w:r w:rsidRPr="00FD02DE">
        <w:rPr>
          <w:rFonts w:cstheme="minorHAnsi"/>
          <w:b/>
          <w:bCs/>
          <w:sz w:val="24"/>
          <w:szCs w:val="24"/>
        </w:rPr>
        <w:t>r</w:t>
      </w:r>
      <w:r w:rsidRPr="00FD02DE">
        <w:rPr>
          <w:rFonts w:cstheme="minorHAnsi"/>
          <w:b/>
          <w:bCs/>
          <w:spacing w:val="1"/>
          <w:sz w:val="24"/>
          <w:szCs w:val="24"/>
        </w:rPr>
        <w:t>s</w:t>
      </w:r>
      <w:r w:rsidRPr="00FD02DE">
        <w:rPr>
          <w:rFonts w:cstheme="minorHAnsi"/>
          <w:b/>
          <w:bCs/>
          <w:sz w:val="24"/>
          <w:szCs w:val="24"/>
        </w:rPr>
        <w:t>hip</w:t>
      </w:r>
    </w:p>
    <w:p w14:paraId="62AE6659" w14:textId="77777777" w:rsidR="00272EB4" w:rsidRPr="00FD02DE" w:rsidRDefault="00272EB4" w:rsidP="00272EB4">
      <w:pPr>
        <w:pStyle w:val="ListParagraph"/>
        <w:numPr>
          <w:ilvl w:val="0"/>
          <w:numId w:val="342"/>
        </w:numPr>
        <w:spacing w:after="60" w:line="240" w:lineRule="auto"/>
        <w:ind w:left="357" w:hanging="357"/>
        <w:contextualSpacing w:val="0"/>
        <w:jc w:val="both"/>
        <w:rPr>
          <w:rFonts w:cstheme="minorHAnsi"/>
          <w:szCs w:val="24"/>
        </w:rPr>
      </w:pPr>
      <w:r w:rsidRPr="00FD02DE">
        <w:rPr>
          <w:rFonts w:cstheme="minorHAnsi"/>
          <w:lang w:val="en-US" w:bidi="en-US"/>
        </w:rPr>
        <w:t xml:space="preserve">The Town will engage the correct or suitable expertise (art, architecture, urban design and cultural expertise) to achieve high-quality art outcomes for the Town. </w:t>
      </w:r>
    </w:p>
    <w:p w14:paraId="57994E48" w14:textId="77777777" w:rsidR="00272EB4" w:rsidRPr="00FD02DE" w:rsidRDefault="00272EB4" w:rsidP="00272EB4">
      <w:pPr>
        <w:pStyle w:val="ListParagraph"/>
        <w:numPr>
          <w:ilvl w:val="0"/>
          <w:numId w:val="342"/>
        </w:numPr>
        <w:spacing w:after="60" w:line="240" w:lineRule="auto"/>
        <w:ind w:left="357" w:hanging="357"/>
        <w:contextualSpacing w:val="0"/>
        <w:jc w:val="both"/>
        <w:rPr>
          <w:rFonts w:cstheme="minorHAnsi"/>
          <w:szCs w:val="24"/>
        </w:rPr>
      </w:pPr>
      <w:r w:rsidRPr="00FD02DE">
        <w:rPr>
          <w:rFonts w:cstheme="minorHAnsi"/>
        </w:rPr>
        <w:t xml:space="preserve">It is important that Panel Members are specialists in their field and that the membership covers a range of expertise in public art </w:t>
      </w:r>
      <w:r w:rsidRPr="00FD02DE">
        <w:rPr>
          <w:rFonts w:cstheme="minorHAnsi"/>
          <w:szCs w:val="24"/>
        </w:rPr>
        <w:t>to ensure a balance of skill and opinion.</w:t>
      </w:r>
    </w:p>
    <w:p w14:paraId="2F5CF3DA" w14:textId="77777777" w:rsidR="00272EB4" w:rsidRPr="00FD02DE" w:rsidRDefault="00272EB4" w:rsidP="00272EB4">
      <w:pPr>
        <w:pStyle w:val="ListParagraph"/>
        <w:numPr>
          <w:ilvl w:val="0"/>
          <w:numId w:val="342"/>
        </w:numPr>
        <w:spacing w:after="60" w:line="240" w:lineRule="auto"/>
        <w:ind w:left="357" w:hanging="357"/>
        <w:contextualSpacing w:val="0"/>
        <w:jc w:val="both"/>
        <w:rPr>
          <w:rFonts w:cstheme="minorHAnsi"/>
          <w:szCs w:val="24"/>
        </w:rPr>
      </w:pPr>
      <w:r w:rsidRPr="00FD02DE">
        <w:rPr>
          <w:rFonts w:cstheme="minorHAnsi"/>
          <w:lang w:val="en-US" w:bidi="en-US"/>
        </w:rPr>
        <w:t xml:space="preserve">Artists, curators, architects and other design and cultural experts will help the Council achieve public art outcomes for the Town of East Fremantle that are world-class and innovative, and that surprise, delight, challenge and stimulate. </w:t>
      </w:r>
    </w:p>
    <w:p w14:paraId="1C03C7EA" w14:textId="77777777" w:rsidR="00272EB4" w:rsidRPr="00FD02DE" w:rsidRDefault="00272EB4" w:rsidP="00272EB4">
      <w:pPr>
        <w:pStyle w:val="ListParagraph"/>
        <w:numPr>
          <w:ilvl w:val="0"/>
          <w:numId w:val="342"/>
        </w:numPr>
        <w:spacing w:after="60" w:line="240" w:lineRule="auto"/>
        <w:ind w:left="357" w:hanging="357"/>
        <w:contextualSpacing w:val="0"/>
        <w:jc w:val="both"/>
        <w:rPr>
          <w:rFonts w:cstheme="minorHAnsi"/>
          <w:szCs w:val="24"/>
        </w:rPr>
      </w:pPr>
      <w:r w:rsidRPr="00FD02DE">
        <w:rPr>
          <w:rFonts w:cstheme="minorHAnsi"/>
        </w:rPr>
        <w:t xml:space="preserve">Invitations to nominate for the Public Art Panel </w:t>
      </w:r>
      <w:r w:rsidRPr="00FD02DE">
        <w:rPr>
          <w:rFonts w:cstheme="minorHAnsi"/>
          <w:szCs w:val="24"/>
        </w:rPr>
        <w:t xml:space="preserve">are to be advertised biennially.  Nominees will be invited to provide a response to the criteria. </w:t>
      </w:r>
    </w:p>
    <w:p w14:paraId="58192E0E" w14:textId="77777777" w:rsidR="00272EB4" w:rsidRPr="00FD02DE" w:rsidRDefault="00272EB4" w:rsidP="00272EB4">
      <w:pPr>
        <w:pStyle w:val="ListParagraph"/>
        <w:numPr>
          <w:ilvl w:val="0"/>
          <w:numId w:val="342"/>
        </w:numPr>
        <w:spacing w:after="60" w:line="240" w:lineRule="auto"/>
        <w:ind w:left="357" w:hanging="357"/>
        <w:contextualSpacing w:val="0"/>
        <w:jc w:val="both"/>
        <w:rPr>
          <w:rFonts w:cstheme="minorHAnsi"/>
          <w:szCs w:val="24"/>
        </w:rPr>
      </w:pPr>
      <w:r w:rsidRPr="00FD02DE">
        <w:rPr>
          <w:rFonts w:cstheme="minorHAnsi"/>
          <w:szCs w:val="24"/>
        </w:rPr>
        <w:t>The Council will appoint Panel Members on the recommendation of the administration following the assessment of applications.</w:t>
      </w:r>
    </w:p>
    <w:p w14:paraId="5908A4F4" w14:textId="77777777" w:rsidR="00272EB4" w:rsidRPr="00FD02DE" w:rsidRDefault="00272EB4" w:rsidP="00272EB4">
      <w:pPr>
        <w:pStyle w:val="ListParagraph"/>
        <w:numPr>
          <w:ilvl w:val="0"/>
          <w:numId w:val="342"/>
        </w:numPr>
        <w:spacing w:after="60" w:line="240" w:lineRule="auto"/>
        <w:ind w:left="357" w:hanging="357"/>
        <w:contextualSpacing w:val="0"/>
        <w:jc w:val="both"/>
        <w:rPr>
          <w:rFonts w:cstheme="minorHAnsi"/>
          <w:szCs w:val="24"/>
        </w:rPr>
      </w:pPr>
      <w:r w:rsidRPr="00FD02DE">
        <w:rPr>
          <w:rFonts w:cstheme="minorHAnsi"/>
        </w:rPr>
        <w:t xml:space="preserve">The Panel should have up to </w:t>
      </w:r>
      <w:r>
        <w:rPr>
          <w:rFonts w:cstheme="minorHAnsi"/>
        </w:rPr>
        <w:t>nine</w:t>
      </w:r>
      <w:r w:rsidRPr="00FD02DE">
        <w:rPr>
          <w:rFonts w:cstheme="minorHAnsi"/>
        </w:rPr>
        <w:t xml:space="preserve"> representatives (including the Chair) covering a range of expertise and ideally made up as follows:</w:t>
      </w:r>
    </w:p>
    <w:p w14:paraId="3BAD04A0" w14:textId="77777777" w:rsidR="00272EB4" w:rsidRPr="00FD02DE" w:rsidRDefault="00272EB4" w:rsidP="00272EB4">
      <w:pPr>
        <w:pStyle w:val="BodyTextA"/>
        <w:numPr>
          <w:ilvl w:val="0"/>
          <w:numId w:val="333"/>
        </w:numPr>
        <w:spacing w:after="60" w:line="240" w:lineRule="auto"/>
        <w:rPr>
          <w:rFonts w:asciiTheme="minorHAnsi" w:hAnsiTheme="minorHAnsi" w:cstheme="minorHAnsi"/>
          <w:sz w:val="22"/>
          <w:szCs w:val="19"/>
          <w:lang w:bidi="en-US"/>
        </w:rPr>
      </w:pPr>
      <w:r w:rsidRPr="00FD02DE">
        <w:rPr>
          <w:rFonts w:asciiTheme="minorHAnsi" w:hAnsiTheme="minorHAnsi" w:cstheme="minorHAnsi"/>
          <w:sz w:val="22"/>
          <w:szCs w:val="19"/>
          <w:lang w:bidi="en-US"/>
        </w:rPr>
        <w:t xml:space="preserve">Two Elected Members (including the </w:t>
      </w:r>
      <w:proofErr w:type="gramStart"/>
      <w:r w:rsidRPr="00FD02DE">
        <w:rPr>
          <w:rFonts w:asciiTheme="minorHAnsi" w:hAnsiTheme="minorHAnsi" w:cstheme="minorHAnsi"/>
          <w:sz w:val="22"/>
          <w:szCs w:val="19"/>
          <w:lang w:bidi="en-US"/>
        </w:rPr>
        <w:t>Mayor</w:t>
      </w:r>
      <w:proofErr w:type="gramEnd"/>
      <w:r w:rsidRPr="00FD02DE">
        <w:rPr>
          <w:rFonts w:asciiTheme="minorHAnsi" w:hAnsiTheme="minorHAnsi" w:cstheme="minorHAnsi"/>
          <w:sz w:val="22"/>
          <w:szCs w:val="19"/>
          <w:lang w:bidi="en-US"/>
        </w:rPr>
        <w:t xml:space="preserve"> or representative);</w:t>
      </w:r>
    </w:p>
    <w:p w14:paraId="77973BBF" w14:textId="77777777" w:rsidR="00272EB4" w:rsidRPr="00FD02DE" w:rsidRDefault="00272EB4" w:rsidP="00272EB4">
      <w:pPr>
        <w:pStyle w:val="BodyTextA"/>
        <w:numPr>
          <w:ilvl w:val="0"/>
          <w:numId w:val="333"/>
        </w:numPr>
        <w:spacing w:after="60" w:line="240" w:lineRule="auto"/>
        <w:rPr>
          <w:rFonts w:asciiTheme="minorHAnsi" w:hAnsiTheme="minorHAnsi" w:cstheme="minorHAnsi"/>
          <w:sz w:val="22"/>
          <w:szCs w:val="19"/>
          <w:lang w:bidi="en-US"/>
        </w:rPr>
      </w:pPr>
      <w:r w:rsidRPr="00FD02DE">
        <w:rPr>
          <w:rFonts w:asciiTheme="minorHAnsi" w:hAnsiTheme="minorHAnsi" w:cstheme="minorHAnsi"/>
          <w:sz w:val="22"/>
          <w:szCs w:val="19"/>
          <w:lang w:bidi="en-US"/>
        </w:rPr>
        <w:t xml:space="preserve">Chief Executive Officer (or </w:t>
      </w:r>
      <w:r>
        <w:rPr>
          <w:rFonts w:asciiTheme="minorHAnsi" w:hAnsiTheme="minorHAnsi" w:cstheme="minorHAnsi"/>
          <w:sz w:val="22"/>
          <w:szCs w:val="19"/>
          <w:lang w:bidi="en-US"/>
        </w:rPr>
        <w:t xml:space="preserve">his </w:t>
      </w:r>
      <w:r w:rsidRPr="00FD02DE">
        <w:rPr>
          <w:rFonts w:asciiTheme="minorHAnsi" w:hAnsiTheme="minorHAnsi" w:cstheme="minorHAnsi"/>
          <w:sz w:val="22"/>
          <w:szCs w:val="19"/>
          <w:lang w:bidi="en-US"/>
        </w:rPr>
        <w:t>representative)</w:t>
      </w:r>
    </w:p>
    <w:p w14:paraId="7FDC157B" w14:textId="77777777" w:rsidR="00272EB4" w:rsidRPr="00FD02DE" w:rsidRDefault="00272EB4" w:rsidP="00272EB4">
      <w:pPr>
        <w:pStyle w:val="BodyTextA"/>
        <w:numPr>
          <w:ilvl w:val="0"/>
          <w:numId w:val="333"/>
        </w:numPr>
        <w:spacing w:line="240" w:lineRule="auto"/>
        <w:rPr>
          <w:rFonts w:asciiTheme="minorHAnsi" w:hAnsiTheme="minorHAnsi" w:cstheme="minorHAnsi"/>
          <w:sz w:val="22"/>
        </w:rPr>
      </w:pPr>
      <w:r>
        <w:rPr>
          <w:rFonts w:asciiTheme="minorHAnsi" w:hAnsiTheme="minorHAnsi" w:cstheme="minorHAnsi"/>
          <w:sz w:val="22"/>
          <w:szCs w:val="19"/>
          <w:lang w:bidi="en-US"/>
        </w:rPr>
        <w:t>Six</w:t>
      </w:r>
      <w:r w:rsidRPr="00FD02DE">
        <w:rPr>
          <w:rFonts w:asciiTheme="minorHAnsi" w:hAnsiTheme="minorHAnsi" w:cstheme="minorHAnsi"/>
          <w:sz w:val="22"/>
          <w:szCs w:val="19"/>
          <w:lang w:bidi="en-US"/>
        </w:rPr>
        <w:t xml:space="preserve"> other specialists such as </w:t>
      </w:r>
      <w:r w:rsidRPr="00FD02DE">
        <w:rPr>
          <w:rFonts w:asciiTheme="minorHAnsi" w:hAnsiTheme="minorHAnsi" w:cstheme="minorHAnsi"/>
          <w:sz w:val="22"/>
        </w:rPr>
        <w:t xml:space="preserve">a practising artist, </w:t>
      </w:r>
      <w:r w:rsidRPr="00FD02DE">
        <w:rPr>
          <w:rFonts w:asciiTheme="minorHAnsi" w:hAnsiTheme="minorHAnsi" w:cstheme="minorHAnsi"/>
          <w:sz w:val="22"/>
          <w:szCs w:val="19"/>
          <w:lang w:bidi="en-US"/>
        </w:rPr>
        <w:t xml:space="preserve">public art coordinator, curator, art historian, academic, art critic or design professional </w:t>
      </w:r>
      <w:r w:rsidRPr="00FD02DE" w:rsidDel="004F47C7">
        <w:rPr>
          <w:rFonts w:asciiTheme="minorHAnsi" w:hAnsiTheme="minorHAnsi" w:cstheme="minorHAnsi"/>
          <w:sz w:val="22"/>
        </w:rPr>
        <w:t>(</w:t>
      </w:r>
      <w:r w:rsidRPr="00FD02DE">
        <w:rPr>
          <w:rFonts w:asciiTheme="minorHAnsi" w:hAnsiTheme="minorHAnsi" w:cstheme="minorHAnsi"/>
          <w:sz w:val="22"/>
        </w:rPr>
        <w:t>expertise in theory and/or practice of contemporary art, urban design or related practice or n</w:t>
      </w:r>
      <w:r w:rsidRPr="00FD02DE">
        <w:rPr>
          <w:rFonts w:asciiTheme="minorHAnsi" w:hAnsiTheme="minorHAnsi" w:cstheme="minorHAnsi"/>
          <w:sz w:val="22"/>
          <w:szCs w:val="24"/>
        </w:rPr>
        <w:t>ational and international public art perspectives should be rated highly).</w:t>
      </w:r>
    </w:p>
    <w:p w14:paraId="3930FCB4" w14:textId="77777777" w:rsidR="00272EB4" w:rsidRPr="00FD02DE" w:rsidRDefault="00272EB4" w:rsidP="00272EB4">
      <w:pPr>
        <w:widowControl w:val="0"/>
        <w:tabs>
          <w:tab w:val="left" w:pos="1560"/>
        </w:tabs>
        <w:spacing w:before="200" w:after="0" w:line="240" w:lineRule="auto"/>
        <w:ind w:right="74"/>
        <w:jc w:val="both"/>
        <w:rPr>
          <w:rFonts w:cstheme="minorHAnsi"/>
          <w:b/>
          <w:bCs/>
          <w:sz w:val="24"/>
        </w:rPr>
      </w:pPr>
      <w:r w:rsidRPr="00FD02DE">
        <w:rPr>
          <w:rFonts w:cstheme="minorHAnsi"/>
          <w:b/>
          <w:bCs/>
          <w:spacing w:val="1"/>
          <w:sz w:val="24"/>
        </w:rPr>
        <w:t>T</w:t>
      </w:r>
      <w:r w:rsidRPr="00FD02DE">
        <w:rPr>
          <w:rFonts w:cstheme="minorHAnsi"/>
          <w:b/>
          <w:bCs/>
          <w:sz w:val="24"/>
        </w:rPr>
        <w:t>he</w:t>
      </w:r>
      <w:r w:rsidRPr="00FD02DE">
        <w:rPr>
          <w:rFonts w:cstheme="minorHAnsi"/>
          <w:b/>
          <w:bCs/>
          <w:spacing w:val="1"/>
          <w:sz w:val="24"/>
        </w:rPr>
        <w:t xml:space="preserve"> </w:t>
      </w:r>
      <w:r w:rsidRPr="00FD02DE">
        <w:rPr>
          <w:rFonts w:cstheme="minorHAnsi"/>
          <w:b/>
          <w:bCs/>
          <w:sz w:val="24"/>
        </w:rPr>
        <w:t>Chair</w:t>
      </w:r>
      <w:r w:rsidRPr="00FD02DE">
        <w:rPr>
          <w:rFonts w:cstheme="minorHAnsi"/>
          <w:b/>
          <w:bCs/>
          <w:spacing w:val="-3"/>
          <w:sz w:val="24"/>
        </w:rPr>
        <w:t>p</w:t>
      </w:r>
      <w:r w:rsidRPr="00FD02DE">
        <w:rPr>
          <w:rFonts w:cstheme="minorHAnsi"/>
          <w:b/>
          <w:bCs/>
          <w:spacing w:val="1"/>
          <w:sz w:val="24"/>
        </w:rPr>
        <w:t>e</w:t>
      </w:r>
      <w:r w:rsidRPr="00FD02DE">
        <w:rPr>
          <w:rFonts w:cstheme="minorHAnsi"/>
          <w:b/>
          <w:bCs/>
          <w:sz w:val="24"/>
        </w:rPr>
        <w:t>r</w:t>
      </w:r>
      <w:r w:rsidRPr="00FD02DE">
        <w:rPr>
          <w:rFonts w:cstheme="minorHAnsi"/>
          <w:b/>
          <w:bCs/>
          <w:spacing w:val="1"/>
          <w:sz w:val="24"/>
        </w:rPr>
        <w:t>s</w:t>
      </w:r>
      <w:r w:rsidRPr="00FD02DE">
        <w:rPr>
          <w:rFonts w:cstheme="minorHAnsi"/>
          <w:b/>
          <w:bCs/>
          <w:sz w:val="24"/>
        </w:rPr>
        <w:t>on</w:t>
      </w:r>
    </w:p>
    <w:p w14:paraId="275B6A52" w14:textId="77777777" w:rsidR="00272EB4" w:rsidRPr="00FD02DE" w:rsidRDefault="00272EB4" w:rsidP="00272EB4">
      <w:pPr>
        <w:pStyle w:val="ListParagraph"/>
        <w:widowControl w:val="0"/>
        <w:numPr>
          <w:ilvl w:val="0"/>
          <w:numId w:val="334"/>
        </w:numPr>
        <w:tabs>
          <w:tab w:val="left" w:pos="1560"/>
        </w:tabs>
        <w:spacing w:after="60" w:line="240" w:lineRule="auto"/>
        <w:ind w:left="425" w:right="74" w:hanging="425"/>
        <w:contextualSpacing w:val="0"/>
        <w:jc w:val="both"/>
        <w:rPr>
          <w:rFonts w:cstheme="minorHAnsi"/>
          <w:spacing w:val="-1"/>
        </w:rPr>
      </w:pPr>
      <w:r w:rsidRPr="00FD02DE">
        <w:rPr>
          <w:rFonts w:cstheme="minorHAnsi"/>
        </w:rPr>
        <w:t>The</w:t>
      </w:r>
      <w:r w:rsidRPr="00FD02DE">
        <w:rPr>
          <w:rFonts w:cstheme="minorHAnsi"/>
          <w:spacing w:val="23"/>
        </w:rPr>
        <w:t xml:space="preserve"> </w:t>
      </w:r>
      <w:r w:rsidRPr="00FD02DE">
        <w:rPr>
          <w:rFonts w:cstheme="minorHAnsi"/>
        </w:rPr>
        <w:t>Panel</w:t>
      </w:r>
      <w:r w:rsidRPr="00FD02DE">
        <w:rPr>
          <w:rFonts w:cstheme="minorHAnsi"/>
          <w:spacing w:val="27"/>
        </w:rPr>
        <w:t xml:space="preserve"> </w:t>
      </w:r>
      <w:r w:rsidRPr="00FD02DE">
        <w:rPr>
          <w:rFonts w:cstheme="minorHAnsi"/>
          <w:spacing w:val="1"/>
        </w:rPr>
        <w:t>C</w:t>
      </w:r>
      <w:r w:rsidRPr="00FD02DE">
        <w:rPr>
          <w:rFonts w:cstheme="minorHAnsi"/>
        </w:rPr>
        <w:t>h</w:t>
      </w:r>
      <w:r w:rsidRPr="00FD02DE">
        <w:rPr>
          <w:rFonts w:cstheme="minorHAnsi"/>
          <w:spacing w:val="-1"/>
        </w:rPr>
        <w:t>a</w:t>
      </w:r>
      <w:r w:rsidRPr="00FD02DE">
        <w:rPr>
          <w:rFonts w:cstheme="minorHAnsi"/>
        </w:rPr>
        <w:t>i</w:t>
      </w:r>
      <w:r w:rsidRPr="00FD02DE">
        <w:rPr>
          <w:rFonts w:cstheme="minorHAnsi"/>
          <w:spacing w:val="-1"/>
        </w:rPr>
        <w:t>r</w:t>
      </w:r>
      <w:r w:rsidRPr="00FD02DE">
        <w:rPr>
          <w:rFonts w:cstheme="minorHAnsi"/>
        </w:rPr>
        <w:t>p</w:t>
      </w:r>
      <w:r w:rsidRPr="00FD02DE">
        <w:rPr>
          <w:rFonts w:cstheme="minorHAnsi"/>
          <w:spacing w:val="-1"/>
        </w:rPr>
        <w:t>er</w:t>
      </w:r>
      <w:r w:rsidRPr="00FD02DE">
        <w:rPr>
          <w:rFonts w:cstheme="minorHAnsi"/>
        </w:rPr>
        <w:t>son</w:t>
      </w:r>
      <w:r w:rsidRPr="00FD02DE">
        <w:rPr>
          <w:rFonts w:cstheme="minorHAnsi"/>
          <w:spacing w:val="26"/>
        </w:rPr>
        <w:t xml:space="preserve"> </w:t>
      </w:r>
      <w:r w:rsidRPr="00FD02DE">
        <w:rPr>
          <w:rFonts w:cstheme="minorHAnsi"/>
          <w:spacing w:val="-1"/>
        </w:rPr>
        <w:t>is an Elected Member of Council and appointed by Council.</w:t>
      </w:r>
    </w:p>
    <w:p w14:paraId="790A98F6" w14:textId="77777777" w:rsidR="00272EB4" w:rsidRPr="00FD02DE" w:rsidRDefault="00272EB4" w:rsidP="00272EB4">
      <w:pPr>
        <w:pStyle w:val="ListParagraph"/>
        <w:widowControl w:val="0"/>
        <w:numPr>
          <w:ilvl w:val="0"/>
          <w:numId w:val="334"/>
        </w:numPr>
        <w:tabs>
          <w:tab w:val="left" w:pos="1560"/>
        </w:tabs>
        <w:spacing w:after="0" w:line="240" w:lineRule="auto"/>
        <w:ind w:left="426" w:right="75" w:hanging="426"/>
        <w:jc w:val="both"/>
        <w:rPr>
          <w:rFonts w:cstheme="minorHAnsi"/>
        </w:rPr>
      </w:pPr>
      <w:r w:rsidRPr="00FD02DE">
        <w:rPr>
          <w:rFonts w:cstheme="minorHAnsi"/>
        </w:rPr>
        <w:t>T</w:t>
      </w:r>
      <w:r w:rsidRPr="00FD02DE">
        <w:rPr>
          <w:rFonts w:cstheme="minorHAnsi"/>
          <w:spacing w:val="-1"/>
        </w:rPr>
        <w:t>h</w:t>
      </w:r>
      <w:r w:rsidRPr="00FD02DE">
        <w:rPr>
          <w:rFonts w:cstheme="minorHAnsi"/>
        </w:rPr>
        <w:t>e</w:t>
      </w:r>
      <w:r w:rsidRPr="00FD02DE">
        <w:rPr>
          <w:rFonts w:cstheme="minorHAnsi"/>
          <w:spacing w:val="19"/>
        </w:rPr>
        <w:t xml:space="preserve"> </w:t>
      </w:r>
      <w:r w:rsidRPr="00FD02DE">
        <w:rPr>
          <w:rFonts w:cstheme="minorHAnsi"/>
          <w:spacing w:val="1"/>
        </w:rPr>
        <w:t>C</w:t>
      </w:r>
      <w:r w:rsidRPr="00FD02DE">
        <w:rPr>
          <w:rFonts w:cstheme="minorHAnsi"/>
          <w:spacing w:val="-1"/>
        </w:rPr>
        <w:t>h</w:t>
      </w:r>
      <w:r w:rsidRPr="00FD02DE">
        <w:rPr>
          <w:rFonts w:cstheme="minorHAnsi"/>
          <w:spacing w:val="1"/>
        </w:rPr>
        <w:t>i</w:t>
      </w:r>
      <w:r w:rsidRPr="00FD02DE">
        <w:rPr>
          <w:rFonts w:cstheme="minorHAnsi"/>
          <w:spacing w:val="-1"/>
        </w:rPr>
        <w:t>e</w:t>
      </w:r>
      <w:r w:rsidRPr="00FD02DE">
        <w:rPr>
          <w:rFonts w:cstheme="minorHAnsi"/>
        </w:rPr>
        <w:t>f</w:t>
      </w:r>
      <w:r w:rsidRPr="00FD02DE">
        <w:rPr>
          <w:rFonts w:cstheme="minorHAnsi"/>
          <w:spacing w:val="18"/>
        </w:rPr>
        <w:t xml:space="preserve"> </w:t>
      </w:r>
      <w:r w:rsidRPr="00FD02DE">
        <w:rPr>
          <w:rFonts w:cstheme="minorHAnsi"/>
        </w:rPr>
        <w:t>E</w:t>
      </w:r>
      <w:r w:rsidRPr="00FD02DE">
        <w:rPr>
          <w:rFonts w:cstheme="minorHAnsi"/>
          <w:spacing w:val="2"/>
        </w:rPr>
        <w:t>x</w:t>
      </w:r>
      <w:r w:rsidRPr="00FD02DE">
        <w:rPr>
          <w:rFonts w:cstheme="minorHAnsi"/>
          <w:spacing w:val="-1"/>
        </w:rPr>
        <w:t>ecu</w:t>
      </w:r>
      <w:r w:rsidRPr="00FD02DE">
        <w:rPr>
          <w:rFonts w:cstheme="minorHAnsi"/>
          <w:spacing w:val="1"/>
        </w:rPr>
        <w:t>t</w:t>
      </w:r>
      <w:r w:rsidRPr="00FD02DE">
        <w:rPr>
          <w:rFonts w:cstheme="minorHAnsi"/>
        </w:rPr>
        <w:t>i</w:t>
      </w:r>
      <w:r w:rsidRPr="00FD02DE">
        <w:rPr>
          <w:rFonts w:cstheme="minorHAnsi"/>
          <w:spacing w:val="-1"/>
        </w:rPr>
        <w:t>v</w:t>
      </w:r>
      <w:r w:rsidRPr="00FD02DE">
        <w:rPr>
          <w:rFonts w:cstheme="minorHAnsi"/>
        </w:rPr>
        <w:t>e</w:t>
      </w:r>
      <w:r w:rsidRPr="00FD02DE">
        <w:rPr>
          <w:rFonts w:cstheme="minorHAnsi"/>
          <w:spacing w:val="19"/>
        </w:rPr>
        <w:t xml:space="preserve"> </w:t>
      </w:r>
      <w:r w:rsidRPr="00FD02DE">
        <w:rPr>
          <w:rFonts w:cstheme="minorHAnsi"/>
        </w:rPr>
        <w:t>O</w:t>
      </w:r>
      <w:r w:rsidRPr="00FD02DE">
        <w:rPr>
          <w:rFonts w:cstheme="minorHAnsi"/>
          <w:spacing w:val="-1"/>
        </w:rPr>
        <w:t>ff</w:t>
      </w:r>
      <w:r w:rsidRPr="00FD02DE">
        <w:rPr>
          <w:rFonts w:cstheme="minorHAnsi"/>
        </w:rPr>
        <w:t>i</w:t>
      </w:r>
      <w:r w:rsidRPr="00FD02DE">
        <w:rPr>
          <w:rFonts w:cstheme="minorHAnsi"/>
          <w:spacing w:val="-1"/>
        </w:rPr>
        <w:t>ce</w:t>
      </w:r>
      <w:r w:rsidRPr="00FD02DE">
        <w:rPr>
          <w:rFonts w:cstheme="minorHAnsi"/>
        </w:rPr>
        <w:t>r</w:t>
      </w:r>
      <w:r w:rsidRPr="00FD02DE">
        <w:rPr>
          <w:rFonts w:cstheme="minorHAnsi"/>
          <w:spacing w:val="18"/>
        </w:rPr>
        <w:t xml:space="preserve"> </w:t>
      </w:r>
      <w:r w:rsidRPr="00FD02DE">
        <w:rPr>
          <w:rFonts w:cstheme="minorHAnsi"/>
        </w:rPr>
        <w:t>s</w:t>
      </w:r>
      <w:r w:rsidRPr="00FD02DE">
        <w:rPr>
          <w:rFonts w:cstheme="minorHAnsi"/>
          <w:spacing w:val="-1"/>
        </w:rPr>
        <w:t>h</w:t>
      </w:r>
      <w:r w:rsidRPr="00FD02DE">
        <w:rPr>
          <w:rFonts w:cstheme="minorHAnsi"/>
        </w:rPr>
        <w:t>all</w:t>
      </w:r>
      <w:r w:rsidRPr="00FD02DE">
        <w:rPr>
          <w:rFonts w:cstheme="minorHAnsi"/>
          <w:spacing w:val="20"/>
        </w:rPr>
        <w:t xml:space="preserve"> </w:t>
      </w:r>
      <w:r w:rsidRPr="00FD02DE">
        <w:rPr>
          <w:rFonts w:cstheme="minorHAnsi"/>
          <w:spacing w:val="-2"/>
        </w:rPr>
        <w:t>g</w:t>
      </w:r>
      <w:r w:rsidRPr="00FD02DE">
        <w:rPr>
          <w:rFonts w:cstheme="minorHAnsi"/>
        </w:rPr>
        <w:t>i</w:t>
      </w:r>
      <w:r w:rsidRPr="00FD02DE">
        <w:rPr>
          <w:rFonts w:cstheme="minorHAnsi"/>
          <w:spacing w:val="-1"/>
        </w:rPr>
        <w:t>v</w:t>
      </w:r>
      <w:r w:rsidRPr="00FD02DE">
        <w:rPr>
          <w:rFonts w:cstheme="minorHAnsi"/>
        </w:rPr>
        <w:t>e</w:t>
      </w:r>
      <w:r w:rsidRPr="00FD02DE">
        <w:rPr>
          <w:rFonts w:cstheme="minorHAnsi"/>
          <w:spacing w:val="19"/>
        </w:rPr>
        <w:t xml:space="preserve"> </w:t>
      </w:r>
      <w:r w:rsidRPr="00FD02DE">
        <w:rPr>
          <w:rFonts w:cstheme="minorHAnsi"/>
          <w:spacing w:val="-1"/>
        </w:rPr>
        <w:t>a</w:t>
      </w:r>
      <w:r w:rsidRPr="00FD02DE">
        <w:rPr>
          <w:rFonts w:cstheme="minorHAnsi"/>
        </w:rPr>
        <w:t>ll</w:t>
      </w:r>
      <w:r w:rsidRPr="00FD02DE">
        <w:rPr>
          <w:rFonts w:cstheme="minorHAnsi"/>
          <w:spacing w:val="20"/>
        </w:rPr>
        <w:t xml:space="preserve"> </w:t>
      </w:r>
      <w:r w:rsidRPr="00FD02DE">
        <w:rPr>
          <w:rFonts w:cstheme="minorHAnsi"/>
          <w:spacing w:val="-1"/>
        </w:rPr>
        <w:t>a</w:t>
      </w:r>
      <w:r w:rsidRPr="00FD02DE">
        <w:rPr>
          <w:rFonts w:cstheme="minorHAnsi"/>
        </w:rPr>
        <w:t>ssist</w:t>
      </w:r>
      <w:r w:rsidRPr="00FD02DE">
        <w:rPr>
          <w:rFonts w:cstheme="minorHAnsi"/>
          <w:spacing w:val="-1"/>
        </w:rPr>
        <w:t>an</w:t>
      </w:r>
      <w:r w:rsidRPr="00FD02DE">
        <w:rPr>
          <w:rFonts w:cstheme="minorHAnsi"/>
        </w:rPr>
        <w:t>ce</w:t>
      </w:r>
      <w:r w:rsidRPr="00FD02DE">
        <w:rPr>
          <w:rFonts w:cstheme="minorHAnsi"/>
          <w:spacing w:val="18"/>
        </w:rPr>
        <w:t xml:space="preserve"> </w:t>
      </w:r>
      <w:r w:rsidRPr="00FD02DE">
        <w:rPr>
          <w:rFonts w:cstheme="minorHAnsi"/>
        </w:rPr>
        <w:t>to the</w:t>
      </w:r>
      <w:r w:rsidRPr="00FD02DE">
        <w:rPr>
          <w:rFonts w:cstheme="minorHAnsi"/>
          <w:spacing w:val="49"/>
        </w:rPr>
        <w:t xml:space="preserve"> </w:t>
      </w:r>
      <w:r w:rsidRPr="00FD02DE">
        <w:rPr>
          <w:rFonts w:cstheme="minorHAnsi"/>
        </w:rPr>
        <w:t>Panel</w:t>
      </w:r>
      <w:r w:rsidRPr="00FD02DE">
        <w:rPr>
          <w:rFonts w:cstheme="minorHAnsi"/>
          <w:spacing w:val="27"/>
        </w:rPr>
        <w:t xml:space="preserve"> </w:t>
      </w:r>
      <w:r w:rsidRPr="00FD02DE">
        <w:rPr>
          <w:rFonts w:cstheme="minorHAnsi"/>
          <w:spacing w:val="1"/>
        </w:rPr>
        <w:t>C</w:t>
      </w:r>
      <w:r w:rsidRPr="00FD02DE">
        <w:rPr>
          <w:rFonts w:cstheme="minorHAnsi"/>
        </w:rPr>
        <w:t>h</w:t>
      </w:r>
      <w:r w:rsidRPr="00FD02DE">
        <w:rPr>
          <w:rFonts w:cstheme="minorHAnsi"/>
          <w:spacing w:val="-1"/>
        </w:rPr>
        <w:t>a</w:t>
      </w:r>
      <w:r w:rsidRPr="00FD02DE">
        <w:rPr>
          <w:rFonts w:cstheme="minorHAnsi"/>
        </w:rPr>
        <w:t>i</w:t>
      </w:r>
      <w:r w:rsidRPr="00FD02DE">
        <w:rPr>
          <w:rFonts w:cstheme="minorHAnsi"/>
          <w:spacing w:val="-1"/>
        </w:rPr>
        <w:t>r</w:t>
      </w:r>
      <w:r w:rsidRPr="00FD02DE">
        <w:rPr>
          <w:rFonts w:cstheme="minorHAnsi"/>
        </w:rPr>
        <w:t>p</w:t>
      </w:r>
      <w:r w:rsidRPr="00FD02DE">
        <w:rPr>
          <w:rFonts w:cstheme="minorHAnsi"/>
          <w:spacing w:val="-1"/>
        </w:rPr>
        <w:t>er</w:t>
      </w:r>
      <w:r w:rsidRPr="00FD02DE">
        <w:rPr>
          <w:rFonts w:cstheme="minorHAnsi"/>
        </w:rPr>
        <w:t>son</w:t>
      </w:r>
      <w:r w:rsidRPr="00FD02DE">
        <w:rPr>
          <w:rFonts w:cstheme="minorHAnsi"/>
          <w:spacing w:val="26"/>
        </w:rPr>
        <w:t xml:space="preserve"> </w:t>
      </w:r>
      <w:r w:rsidRPr="00FD02DE">
        <w:rPr>
          <w:rFonts w:cstheme="minorHAnsi"/>
        </w:rPr>
        <w:t>in respect to administrative support for the Panel.</w:t>
      </w:r>
    </w:p>
    <w:p w14:paraId="269B1905" w14:textId="77777777" w:rsidR="00272EB4" w:rsidRPr="00FD02DE" w:rsidRDefault="00272EB4" w:rsidP="00272EB4">
      <w:pPr>
        <w:widowControl w:val="0"/>
        <w:tabs>
          <w:tab w:val="left" w:pos="840"/>
        </w:tabs>
        <w:spacing w:before="200" w:after="60" w:line="240" w:lineRule="auto"/>
        <w:ind w:right="-23"/>
        <w:jc w:val="both"/>
        <w:rPr>
          <w:rFonts w:cstheme="minorHAnsi"/>
          <w:sz w:val="24"/>
          <w:szCs w:val="24"/>
        </w:rPr>
      </w:pPr>
      <w:r w:rsidRPr="00FD02DE">
        <w:rPr>
          <w:rFonts w:cstheme="minorHAnsi"/>
          <w:b/>
          <w:bCs/>
          <w:spacing w:val="-1"/>
          <w:sz w:val="24"/>
          <w:szCs w:val="24"/>
        </w:rPr>
        <w:t>Section 3: M</w:t>
      </w:r>
      <w:r w:rsidRPr="00FD02DE">
        <w:rPr>
          <w:rFonts w:cstheme="minorHAnsi"/>
          <w:b/>
          <w:bCs/>
          <w:spacing w:val="1"/>
          <w:sz w:val="24"/>
          <w:szCs w:val="24"/>
        </w:rPr>
        <w:t>eet</w:t>
      </w:r>
      <w:r w:rsidRPr="00FD02DE">
        <w:rPr>
          <w:rFonts w:cstheme="minorHAnsi"/>
          <w:b/>
          <w:bCs/>
          <w:sz w:val="24"/>
          <w:szCs w:val="24"/>
        </w:rPr>
        <w:t xml:space="preserve">ing </w:t>
      </w:r>
      <w:r w:rsidRPr="00FD02DE">
        <w:rPr>
          <w:rFonts w:cstheme="minorHAnsi"/>
          <w:b/>
          <w:bCs/>
          <w:spacing w:val="-3"/>
          <w:sz w:val="24"/>
          <w:szCs w:val="24"/>
        </w:rPr>
        <w:t>P</w:t>
      </w:r>
      <w:r w:rsidRPr="00FD02DE">
        <w:rPr>
          <w:rFonts w:cstheme="minorHAnsi"/>
          <w:b/>
          <w:bCs/>
          <w:sz w:val="24"/>
          <w:szCs w:val="24"/>
        </w:rPr>
        <w:t>roc</w:t>
      </w:r>
      <w:r w:rsidRPr="00FD02DE">
        <w:rPr>
          <w:rFonts w:cstheme="minorHAnsi"/>
          <w:b/>
          <w:bCs/>
          <w:spacing w:val="1"/>
          <w:sz w:val="24"/>
          <w:szCs w:val="24"/>
        </w:rPr>
        <w:t>e</w:t>
      </w:r>
      <w:r w:rsidRPr="00FD02DE">
        <w:rPr>
          <w:rFonts w:cstheme="minorHAnsi"/>
          <w:b/>
          <w:bCs/>
          <w:sz w:val="24"/>
          <w:szCs w:val="24"/>
        </w:rPr>
        <w:t>d</w:t>
      </w:r>
      <w:r w:rsidRPr="00FD02DE">
        <w:rPr>
          <w:rFonts w:cstheme="minorHAnsi"/>
          <w:b/>
          <w:bCs/>
          <w:spacing w:val="2"/>
          <w:sz w:val="24"/>
          <w:szCs w:val="24"/>
        </w:rPr>
        <w:t>u</w:t>
      </w:r>
      <w:r w:rsidRPr="00FD02DE">
        <w:rPr>
          <w:rFonts w:cstheme="minorHAnsi"/>
          <w:b/>
          <w:bCs/>
          <w:sz w:val="24"/>
          <w:szCs w:val="24"/>
        </w:rPr>
        <w:t>re</w:t>
      </w:r>
      <w:r w:rsidRPr="00FD02DE">
        <w:rPr>
          <w:rFonts w:cstheme="minorHAnsi"/>
          <w:b/>
          <w:bCs/>
          <w:spacing w:val="3"/>
          <w:sz w:val="24"/>
          <w:szCs w:val="24"/>
        </w:rPr>
        <w:t xml:space="preserve"> </w:t>
      </w:r>
      <w:r w:rsidRPr="00FD02DE">
        <w:rPr>
          <w:rFonts w:cstheme="minorHAnsi"/>
          <w:b/>
          <w:bCs/>
          <w:spacing w:val="-3"/>
          <w:sz w:val="24"/>
          <w:szCs w:val="24"/>
        </w:rPr>
        <w:t>a</w:t>
      </w:r>
      <w:r w:rsidRPr="00FD02DE">
        <w:rPr>
          <w:rFonts w:cstheme="minorHAnsi"/>
          <w:b/>
          <w:bCs/>
          <w:sz w:val="24"/>
          <w:szCs w:val="24"/>
        </w:rPr>
        <w:t>nd</w:t>
      </w:r>
      <w:r w:rsidRPr="00FD02DE">
        <w:rPr>
          <w:rFonts w:cstheme="minorHAnsi"/>
          <w:b/>
          <w:bCs/>
          <w:spacing w:val="2"/>
          <w:sz w:val="24"/>
          <w:szCs w:val="24"/>
        </w:rPr>
        <w:t xml:space="preserve"> </w:t>
      </w:r>
      <w:r w:rsidRPr="00FD02DE">
        <w:rPr>
          <w:rFonts w:cstheme="minorHAnsi"/>
          <w:b/>
          <w:bCs/>
          <w:spacing w:val="-3"/>
          <w:sz w:val="24"/>
          <w:szCs w:val="24"/>
        </w:rPr>
        <w:t>P</w:t>
      </w:r>
      <w:r w:rsidRPr="00FD02DE">
        <w:rPr>
          <w:rFonts w:cstheme="minorHAnsi"/>
          <w:b/>
          <w:bCs/>
          <w:sz w:val="24"/>
          <w:szCs w:val="24"/>
        </w:rPr>
        <w:t>roc</w:t>
      </w:r>
      <w:r w:rsidRPr="00FD02DE">
        <w:rPr>
          <w:rFonts w:cstheme="minorHAnsi"/>
          <w:b/>
          <w:bCs/>
          <w:spacing w:val="1"/>
          <w:sz w:val="24"/>
          <w:szCs w:val="24"/>
        </w:rPr>
        <w:t>es</w:t>
      </w:r>
      <w:r w:rsidRPr="00FD02DE">
        <w:rPr>
          <w:rFonts w:cstheme="minorHAnsi"/>
          <w:b/>
          <w:bCs/>
          <w:sz w:val="24"/>
          <w:szCs w:val="24"/>
        </w:rPr>
        <w:t>s</w:t>
      </w:r>
    </w:p>
    <w:p w14:paraId="271B8DD7" w14:textId="77777777" w:rsidR="00272EB4" w:rsidRPr="00FD02DE" w:rsidRDefault="00272EB4" w:rsidP="00272EB4">
      <w:pPr>
        <w:pStyle w:val="ListParagraph"/>
        <w:widowControl w:val="0"/>
        <w:numPr>
          <w:ilvl w:val="3"/>
          <w:numId w:val="335"/>
        </w:numPr>
        <w:spacing w:after="60" w:line="240" w:lineRule="auto"/>
        <w:ind w:left="357" w:right="75" w:hanging="357"/>
        <w:contextualSpacing w:val="0"/>
        <w:jc w:val="both"/>
        <w:rPr>
          <w:rFonts w:cstheme="minorHAnsi"/>
        </w:rPr>
      </w:pPr>
      <w:r w:rsidRPr="00FD02DE">
        <w:rPr>
          <w:rFonts w:cstheme="minorHAnsi"/>
        </w:rPr>
        <w:t>Unl</w:t>
      </w:r>
      <w:r w:rsidRPr="00FD02DE">
        <w:rPr>
          <w:rFonts w:cstheme="minorHAnsi"/>
          <w:spacing w:val="-1"/>
        </w:rPr>
        <w:t>e</w:t>
      </w:r>
      <w:r w:rsidRPr="00FD02DE">
        <w:rPr>
          <w:rFonts w:cstheme="minorHAnsi"/>
        </w:rPr>
        <w:t>ss</w:t>
      </w:r>
      <w:r w:rsidRPr="00FD02DE">
        <w:rPr>
          <w:rFonts w:cstheme="minorHAnsi"/>
          <w:spacing w:val="5"/>
        </w:rPr>
        <w:t xml:space="preserve"> </w:t>
      </w:r>
      <w:r w:rsidRPr="00FD02DE">
        <w:rPr>
          <w:rFonts w:cstheme="minorHAnsi"/>
          <w:spacing w:val="-1"/>
        </w:rPr>
        <w:t>a</w:t>
      </w:r>
      <w:r w:rsidRPr="00FD02DE">
        <w:rPr>
          <w:rFonts w:cstheme="minorHAnsi"/>
        </w:rPr>
        <w:t>pp</w:t>
      </w:r>
      <w:r w:rsidRPr="00FD02DE">
        <w:rPr>
          <w:rFonts w:cstheme="minorHAnsi"/>
          <w:spacing w:val="-1"/>
        </w:rPr>
        <w:t>r</w:t>
      </w:r>
      <w:r w:rsidRPr="00FD02DE">
        <w:rPr>
          <w:rFonts w:cstheme="minorHAnsi"/>
        </w:rPr>
        <w:t>o</w:t>
      </w:r>
      <w:r w:rsidRPr="00FD02DE">
        <w:rPr>
          <w:rFonts w:cstheme="minorHAnsi"/>
          <w:spacing w:val="2"/>
        </w:rPr>
        <w:t>v</w:t>
      </w:r>
      <w:r w:rsidRPr="00FD02DE">
        <w:rPr>
          <w:rFonts w:cstheme="minorHAnsi"/>
          <w:spacing w:val="-1"/>
        </w:rPr>
        <w:t>e</w:t>
      </w:r>
      <w:r w:rsidRPr="00FD02DE">
        <w:rPr>
          <w:rFonts w:cstheme="minorHAnsi"/>
        </w:rPr>
        <w:t>d</w:t>
      </w:r>
      <w:r w:rsidRPr="00FD02DE">
        <w:rPr>
          <w:rFonts w:cstheme="minorHAnsi"/>
          <w:spacing w:val="5"/>
        </w:rPr>
        <w:t xml:space="preserve"> b</w:t>
      </w:r>
      <w:r w:rsidRPr="00FD02DE">
        <w:rPr>
          <w:rFonts w:cstheme="minorHAnsi"/>
        </w:rPr>
        <w:t>y the</w:t>
      </w:r>
      <w:r w:rsidRPr="00FD02DE">
        <w:rPr>
          <w:rFonts w:cstheme="minorHAnsi"/>
          <w:spacing w:val="9"/>
        </w:rPr>
        <w:t xml:space="preserve"> </w:t>
      </w:r>
      <w:r w:rsidRPr="00FD02DE">
        <w:rPr>
          <w:rFonts w:cstheme="minorHAnsi"/>
          <w:spacing w:val="1"/>
        </w:rPr>
        <w:t>C</w:t>
      </w:r>
      <w:r w:rsidRPr="00FD02DE">
        <w:rPr>
          <w:rFonts w:cstheme="minorHAnsi"/>
        </w:rPr>
        <w:t>oun</w:t>
      </w:r>
      <w:r w:rsidRPr="00FD02DE">
        <w:rPr>
          <w:rFonts w:cstheme="minorHAnsi"/>
          <w:spacing w:val="-1"/>
        </w:rPr>
        <w:t>c</w:t>
      </w:r>
      <w:r w:rsidRPr="00FD02DE">
        <w:rPr>
          <w:rFonts w:cstheme="minorHAnsi"/>
        </w:rPr>
        <w:t>il</w:t>
      </w:r>
      <w:r w:rsidRPr="00FD02DE">
        <w:rPr>
          <w:rFonts w:cstheme="minorHAnsi"/>
          <w:spacing w:val="6"/>
        </w:rPr>
        <w:t xml:space="preserve"> </w:t>
      </w:r>
      <w:r w:rsidRPr="00FD02DE">
        <w:rPr>
          <w:rFonts w:cstheme="minorHAnsi"/>
        </w:rPr>
        <w:t>or</w:t>
      </w:r>
      <w:r w:rsidRPr="00FD02DE">
        <w:rPr>
          <w:rFonts w:cstheme="minorHAnsi"/>
          <w:spacing w:val="4"/>
        </w:rPr>
        <w:t xml:space="preserve"> </w:t>
      </w:r>
      <w:r w:rsidRPr="00FD02DE">
        <w:rPr>
          <w:rFonts w:cstheme="minorHAnsi"/>
        </w:rPr>
        <w:t>th</w:t>
      </w:r>
      <w:r w:rsidRPr="00FD02DE">
        <w:rPr>
          <w:rFonts w:cstheme="minorHAnsi"/>
          <w:spacing w:val="-1"/>
        </w:rPr>
        <w:t>er</w:t>
      </w:r>
      <w:r w:rsidRPr="00FD02DE">
        <w:rPr>
          <w:rFonts w:cstheme="minorHAnsi"/>
        </w:rPr>
        <w:t>e</w:t>
      </w:r>
      <w:r w:rsidRPr="00FD02DE">
        <w:rPr>
          <w:rFonts w:cstheme="minorHAnsi"/>
          <w:spacing w:val="7"/>
        </w:rPr>
        <w:t xml:space="preserve"> </w:t>
      </w:r>
      <w:r w:rsidRPr="00FD02DE">
        <w:rPr>
          <w:rFonts w:cstheme="minorHAnsi"/>
        </w:rPr>
        <w:t>is</w:t>
      </w:r>
      <w:r w:rsidRPr="00FD02DE">
        <w:rPr>
          <w:rFonts w:cstheme="minorHAnsi"/>
          <w:spacing w:val="5"/>
        </w:rPr>
        <w:t xml:space="preserve"> </w:t>
      </w:r>
      <w:r w:rsidRPr="00FD02DE">
        <w:rPr>
          <w:rFonts w:cstheme="minorHAnsi"/>
        </w:rPr>
        <w:t>a</w:t>
      </w:r>
      <w:r w:rsidRPr="00FD02DE">
        <w:rPr>
          <w:rFonts w:cstheme="minorHAnsi"/>
          <w:spacing w:val="4"/>
        </w:rPr>
        <w:t xml:space="preserve"> </w:t>
      </w:r>
      <w:r w:rsidRPr="00FD02DE">
        <w:rPr>
          <w:rFonts w:cstheme="minorHAnsi"/>
          <w:spacing w:val="2"/>
        </w:rPr>
        <w:t>n</w:t>
      </w:r>
      <w:r w:rsidRPr="00FD02DE">
        <w:rPr>
          <w:rFonts w:cstheme="minorHAnsi"/>
          <w:spacing w:val="-1"/>
        </w:rPr>
        <w:t>e</w:t>
      </w:r>
      <w:r w:rsidRPr="00FD02DE">
        <w:rPr>
          <w:rFonts w:cstheme="minorHAnsi"/>
          <w:spacing w:val="1"/>
        </w:rPr>
        <w:t>e</w:t>
      </w:r>
      <w:r w:rsidRPr="00FD02DE">
        <w:rPr>
          <w:rFonts w:cstheme="minorHAnsi"/>
        </w:rPr>
        <w:t>d</w:t>
      </w:r>
      <w:r w:rsidRPr="00FD02DE">
        <w:rPr>
          <w:rFonts w:cstheme="minorHAnsi"/>
          <w:spacing w:val="5"/>
        </w:rPr>
        <w:t xml:space="preserve"> </w:t>
      </w:r>
      <w:r w:rsidRPr="00FD02DE">
        <w:rPr>
          <w:rFonts w:cstheme="minorHAnsi"/>
        </w:rPr>
        <w:t>to</w:t>
      </w:r>
      <w:r w:rsidRPr="00FD02DE">
        <w:rPr>
          <w:rFonts w:cstheme="minorHAnsi"/>
          <w:spacing w:val="5"/>
        </w:rPr>
        <w:t xml:space="preserve"> </w:t>
      </w:r>
      <w:r w:rsidRPr="00FD02DE">
        <w:rPr>
          <w:rFonts w:cstheme="minorHAnsi"/>
          <w:spacing w:val="-1"/>
        </w:rPr>
        <w:t>add</w:t>
      </w:r>
      <w:r w:rsidRPr="00FD02DE">
        <w:rPr>
          <w:rFonts w:cstheme="minorHAnsi"/>
          <w:spacing w:val="1"/>
        </w:rPr>
        <w:t>r</w:t>
      </w:r>
      <w:r w:rsidRPr="00FD02DE">
        <w:rPr>
          <w:rFonts w:cstheme="minorHAnsi"/>
          <w:spacing w:val="-1"/>
        </w:rPr>
        <w:t>e</w:t>
      </w:r>
      <w:r w:rsidRPr="00FD02DE">
        <w:rPr>
          <w:rFonts w:cstheme="minorHAnsi"/>
        </w:rPr>
        <w:t>ss</w:t>
      </w:r>
      <w:r w:rsidRPr="00FD02DE">
        <w:rPr>
          <w:rFonts w:cstheme="minorHAnsi"/>
          <w:spacing w:val="8"/>
        </w:rPr>
        <w:t xml:space="preserve"> </w:t>
      </w:r>
      <w:r w:rsidRPr="00FD02DE">
        <w:rPr>
          <w:rFonts w:cstheme="minorHAnsi"/>
          <w:spacing w:val="-1"/>
        </w:rPr>
        <w:t xml:space="preserve">an </w:t>
      </w:r>
      <w:r w:rsidRPr="00FD02DE">
        <w:rPr>
          <w:rFonts w:cstheme="minorHAnsi"/>
        </w:rPr>
        <w:t>u</w:t>
      </w:r>
      <w:r w:rsidRPr="00FD02DE">
        <w:rPr>
          <w:rFonts w:cstheme="minorHAnsi"/>
          <w:spacing w:val="-1"/>
        </w:rPr>
        <w:t>r</w:t>
      </w:r>
      <w:r w:rsidRPr="00FD02DE">
        <w:rPr>
          <w:rFonts w:cstheme="minorHAnsi"/>
        </w:rPr>
        <w:t>g</w:t>
      </w:r>
      <w:r w:rsidRPr="00FD02DE">
        <w:rPr>
          <w:rFonts w:cstheme="minorHAnsi"/>
          <w:spacing w:val="-1"/>
        </w:rPr>
        <w:t>e</w:t>
      </w:r>
      <w:r w:rsidRPr="00FD02DE">
        <w:rPr>
          <w:rFonts w:cstheme="minorHAnsi"/>
        </w:rPr>
        <w:t>nt</w:t>
      </w:r>
      <w:r w:rsidRPr="00FD02DE">
        <w:rPr>
          <w:rFonts w:cstheme="minorHAnsi"/>
          <w:spacing w:val="5"/>
        </w:rPr>
        <w:t xml:space="preserve"> </w:t>
      </w:r>
      <w:r w:rsidRPr="00FD02DE">
        <w:rPr>
          <w:rFonts w:cstheme="minorHAnsi"/>
        </w:rPr>
        <w:t>issue</w:t>
      </w:r>
      <w:r w:rsidRPr="00FD02DE">
        <w:rPr>
          <w:rFonts w:cstheme="minorHAnsi"/>
          <w:spacing w:val="3"/>
        </w:rPr>
        <w:t xml:space="preserve"> </w:t>
      </w:r>
      <w:r w:rsidRPr="00FD02DE">
        <w:rPr>
          <w:rFonts w:cstheme="minorHAnsi"/>
          <w:spacing w:val="-1"/>
        </w:rPr>
        <w:t>(</w:t>
      </w:r>
      <w:r w:rsidRPr="00FD02DE">
        <w:rPr>
          <w:rFonts w:cstheme="minorHAnsi"/>
        </w:rPr>
        <w:t>t</w:t>
      </w:r>
      <w:r w:rsidRPr="00FD02DE">
        <w:rPr>
          <w:rFonts w:cstheme="minorHAnsi"/>
          <w:spacing w:val="2"/>
        </w:rPr>
        <w:t>h</w:t>
      </w:r>
      <w:r w:rsidRPr="00FD02DE">
        <w:rPr>
          <w:rFonts w:cstheme="minorHAnsi"/>
        </w:rPr>
        <w:t>e</w:t>
      </w:r>
      <w:r w:rsidRPr="00FD02DE">
        <w:rPr>
          <w:rFonts w:cstheme="minorHAnsi"/>
          <w:spacing w:val="3"/>
        </w:rPr>
        <w:t xml:space="preserve"> </w:t>
      </w:r>
      <w:r w:rsidRPr="00FD02DE">
        <w:rPr>
          <w:rFonts w:cstheme="minorHAnsi"/>
        </w:rPr>
        <w:t>l</w:t>
      </w:r>
      <w:r w:rsidRPr="00FD02DE">
        <w:rPr>
          <w:rFonts w:cstheme="minorHAnsi"/>
          <w:spacing w:val="-1"/>
        </w:rPr>
        <w:t>a</w:t>
      </w:r>
      <w:r w:rsidRPr="00FD02DE">
        <w:rPr>
          <w:rFonts w:cstheme="minorHAnsi"/>
        </w:rPr>
        <w:t>tt</w:t>
      </w:r>
      <w:r w:rsidRPr="00FD02DE">
        <w:rPr>
          <w:rFonts w:cstheme="minorHAnsi"/>
          <w:spacing w:val="-1"/>
        </w:rPr>
        <w:t>e</w:t>
      </w:r>
      <w:r w:rsidRPr="00FD02DE">
        <w:rPr>
          <w:rFonts w:cstheme="minorHAnsi"/>
        </w:rPr>
        <w:t>r</w:t>
      </w:r>
      <w:r w:rsidRPr="00FD02DE">
        <w:rPr>
          <w:rFonts w:cstheme="minorHAnsi"/>
          <w:spacing w:val="6"/>
        </w:rPr>
        <w:t xml:space="preserve"> </w:t>
      </w:r>
      <w:r w:rsidRPr="00FD02DE">
        <w:rPr>
          <w:rFonts w:cstheme="minorHAnsi"/>
        </w:rPr>
        <w:t>to</w:t>
      </w:r>
      <w:r w:rsidRPr="00FD02DE">
        <w:rPr>
          <w:rFonts w:cstheme="minorHAnsi"/>
          <w:spacing w:val="7"/>
        </w:rPr>
        <w:t xml:space="preserve"> </w:t>
      </w:r>
      <w:r w:rsidRPr="00FD02DE">
        <w:rPr>
          <w:rFonts w:cstheme="minorHAnsi"/>
        </w:rPr>
        <w:t>be</w:t>
      </w:r>
      <w:r w:rsidRPr="00FD02DE">
        <w:rPr>
          <w:rFonts w:cstheme="minorHAnsi"/>
          <w:spacing w:val="3"/>
        </w:rPr>
        <w:t xml:space="preserve"> </w:t>
      </w:r>
      <w:r w:rsidRPr="00FD02DE">
        <w:rPr>
          <w:rFonts w:cstheme="minorHAnsi"/>
          <w:spacing w:val="1"/>
        </w:rPr>
        <w:t>a</w:t>
      </w:r>
      <w:r w:rsidRPr="00FD02DE">
        <w:rPr>
          <w:rFonts w:cstheme="minorHAnsi"/>
        </w:rPr>
        <w:t>g</w:t>
      </w:r>
      <w:r w:rsidRPr="00FD02DE">
        <w:rPr>
          <w:rFonts w:cstheme="minorHAnsi"/>
          <w:spacing w:val="-1"/>
        </w:rPr>
        <w:t>r</w:t>
      </w:r>
      <w:r w:rsidRPr="00FD02DE">
        <w:rPr>
          <w:rFonts w:cstheme="minorHAnsi"/>
          <w:spacing w:val="1"/>
        </w:rPr>
        <w:t>e</w:t>
      </w:r>
      <w:r w:rsidRPr="00FD02DE">
        <w:rPr>
          <w:rFonts w:cstheme="minorHAnsi"/>
          <w:spacing w:val="-1"/>
        </w:rPr>
        <w:t>e</w:t>
      </w:r>
      <w:r w:rsidRPr="00FD02DE">
        <w:rPr>
          <w:rFonts w:cstheme="minorHAnsi"/>
        </w:rPr>
        <w:t>d</w:t>
      </w:r>
      <w:r w:rsidRPr="00FD02DE">
        <w:rPr>
          <w:rFonts w:cstheme="minorHAnsi"/>
          <w:spacing w:val="4"/>
        </w:rPr>
        <w:t xml:space="preserve"> </w:t>
      </w:r>
      <w:r w:rsidRPr="00FD02DE">
        <w:rPr>
          <w:rFonts w:cstheme="minorHAnsi"/>
          <w:spacing w:val="5"/>
        </w:rPr>
        <w:t>b</w:t>
      </w:r>
      <w:r w:rsidRPr="00FD02DE">
        <w:rPr>
          <w:rFonts w:cstheme="minorHAnsi"/>
        </w:rPr>
        <w:t>y the</w:t>
      </w:r>
      <w:r w:rsidRPr="00FD02DE">
        <w:rPr>
          <w:rFonts w:cstheme="minorHAnsi"/>
          <w:spacing w:val="6"/>
        </w:rPr>
        <w:t xml:space="preserve"> </w:t>
      </w:r>
      <w:r w:rsidRPr="00FD02DE">
        <w:rPr>
          <w:rFonts w:cstheme="minorHAnsi"/>
          <w:spacing w:val="1"/>
        </w:rPr>
        <w:t>C</w:t>
      </w:r>
      <w:r w:rsidRPr="00FD02DE">
        <w:rPr>
          <w:rFonts w:cstheme="minorHAnsi"/>
        </w:rPr>
        <w:t>h</w:t>
      </w:r>
      <w:r w:rsidRPr="00FD02DE">
        <w:rPr>
          <w:rFonts w:cstheme="minorHAnsi"/>
          <w:spacing w:val="-1"/>
        </w:rPr>
        <w:t>a</w:t>
      </w:r>
      <w:r w:rsidRPr="00FD02DE">
        <w:rPr>
          <w:rFonts w:cstheme="minorHAnsi"/>
        </w:rPr>
        <w:t>i</w:t>
      </w:r>
      <w:r w:rsidRPr="00FD02DE">
        <w:rPr>
          <w:rFonts w:cstheme="minorHAnsi"/>
          <w:spacing w:val="-1"/>
        </w:rPr>
        <w:t>r</w:t>
      </w:r>
      <w:r w:rsidRPr="00FD02DE">
        <w:rPr>
          <w:rFonts w:cstheme="minorHAnsi"/>
          <w:spacing w:val="2"/>
        </w:rPr>
        <w:t>p</w:t>
      </w:r>
      <w:r w:rsidRPr="00FD02DE">
        <w:rPr>
          <w:rFonts w:cstheme="minorHAnsi"/>
          <w:spacing w:val="-1"/>
        </w:rPr>
        <w:t>er</w:t>
      </w:r>
      <w:r w:rsidRPr="00FD02DE">
        <w:rPr>
          <w:rFonts w:cstheme="minorHAnsi"/>
        </w:rPr>
        <w:t>son</w:t>
      </w:r>
      <w:r w:rsidRPr="00FD02DE">
        <w:rPr>
          <w:rFonts w:cstheme="minorHAnsi"/>
          <w:spacing w:val="4"/>
        </w:rPr>
        <w:t xml:space="preserve"> </w:t>
      </w:r>
      <w:r w:rsidRPr="00FD02DE">
        <w:rPr>
          <w:rFonts w:cstheme="minorHAnsi"/>
          <w:spacing w:val="-1"/>
        </w:rPr>
        <w:t>a</w:t>
      </w:r>
      <w:r w:rsidRPr="00FD02DE">
        <w:rPr>
          <w:rFonts w:cstheme="minorHAnsi"/>
        </w:rPr>
        <w:t>nd</w:t>
      </w:r>
      <w:r w:rsidRPr="00FD02DE">
        <w:rPr>
          <w:rFonts w:cstheme="minorHAnsi"/>
          <w:spacing w:val="7"/>
        </w:rPr>
        <w:t xml:space="preserve"> </w:t>
      </w:r>
      <w:r w:rsidRPr="00FD02DE">
        <w:rPr>
          <w:rFonts w:cstheme="minorHAnsi"/>
        </w:rPr>
        <w:t xml:space="preserve">the </w:t>
      </w:r>
      <w:r w:rsidRPr="00FD02DE">
        <w:rPr>
          <w:rFonts w:cstheme="minorHAnsi"/>
          <w:spacing w:val="1"/>
        </w:rPr>
        <w:t>C</w:t>
      </w:r>
      <w:r w:rsidRPr="00FD02DE">
        <w:rPr>
          <w:rFonts w:cstheme="minorHAnsi"/>
          <w:spacing w:val="-1"/>
        </w:rPr>
        <w:t>h</w:t>
      </w:r>
      <w:r w:rsidRPr="00FD02DE">
        <w:rPr>
          <w:rFonts w:cstheme="minorHAnsi"/>
          <w:spacing w:val="1"/>
        </w:rPr>
        <w:t>i</w:t>
      </w:r>
      <w:r w:rsidRPr="00FD02DE">
        <w:rPr>
          <w:rFonts w:cstheme="minorHAnsi"/>
          <w:spacing w:val="-1"/>
        </w:rPr>
        <w:t>e</w:t>
      </w:r>
      <w:r w:rsidRPr="00FD02DE">
        <w:rPr>
          <w:rFonts w:cstheme="minorHAnsi"/>
        </w:rPr>
        <w:t>f E</w:t>
      </w:r>
      <w:r w:rsidRPr="00FD02DE">
        <w:rPr>
          <w:rFonts w:cstheme="minorHAnsi"/>
          <w:spacing w:val="2"/>
        </w:rPr>
        <w:t>x</w:t>
      </w:r>
      <w:r w:rsidRPr="00FD02DE">
        <w:rPr>
          <w:rFonts w:cstheme="minorHAnsi"/>
          <w:spacing w:val="-1"/>
        </w:rPr>
        <w:t>ecu</w:t>
      </w:r>
      <w:r w:rsidRPr="00FD02DE">
        <w:rPr>
          <w:rFonts w:cstheme="minorHAnsi"/>
          <w:spacing w:val="1"/>
        </w:rPr>
        <w:t>t</w:t>
      </w:r>
      <w:r w:rsidRPr="00FD02DE">
        <w:rPr>
          <w:rFonts w:cstheme="minorHAnsi"/>
        </w:rPr>
        <w:t>i</w:t>
      </w:r>
      <w:r w:rsidRPr="00FD02DE">
        <w:rPr>
          <w:rFonts w:cstheme="minorHAnsi"/>
          <w:spacing w:val="-1"/>
        </w:rPr>
        <w:t>v</w:t>
      </w:r>
      <w:r w:rsidRPr="00FD02DE">
        <w:rPr>
          <w:rFonts w:cstheme="minorHAnsi"/>
        </w:rPr>
        <w:t>e O</w:t>
      </w:r>
      <w:r w:rsidRPr="00FD02DE">
        <w:rPr>
          <w:rFonts w:cstheme="minorHAnsi"/>
          <w:spacing w:val="-1"/>
        </w:rPr>
        <w:t>ff</w:t>
      </w:r>
      <w:r w:rsidRPr="00FD02DE">
        <w:rPr>
          <w:rFonts w:cstheme="minorHAnsi"/>
          <w:spacing w:val="3"/>
        </w:rPr>
        <w:t>i</w:t>
      </w:r>
      <w:r w:rsidRPr="00FD02DE">
        <w:rPr>
          <w:rFonts w:cstheme="minorHAnsi"/>
          <w:spacing w:val="-1"/>
        </w:rPr>
        <w:t>ce</w:t>
      </w:r>
      <w:r w:rsidRPr="00FD02DE">
        <w:rPr>
          <w:rFonts w:cstheme="minorHAnsi"/>
          <w:spacing w:val="2"/>
        </w:rPr>
        <w:t>r</w:t>
      </w:r>
      <w:r w:rsidRPr="00FD02DE">
        <w:rPr>
          <w:rFonts w:cstheme="minorHAnsi"/>
          <w:spacing w:val="-1"/>
        </w:rPr>
        <w:t>)</w:t>
      </w:r>
      <w:r w:rsidRPr="00FD02DE">
        <w:rPr>
          <w:rFonts w:cstheme="minorHAnsi"/>
        </w:rPr>
        <w:t>, t</w:t>
      </w:r>
      <w:r w:rsidRPr="00FD02DE">
        <w:rPr>
          <w:rFonts w:cstheme="minorHAnsi"/>
          <w:spacing w:val="-1"/>
        </w:rPr>
        <w:t>h</w:t>
      </w:r>
      <w:r w:rsidRPr="00FD02DE">
        <w:rPr>
          <w:rFonts w:cstheme="minorHAnsi"/>
        </w:rPr>
        <w:t>e Panel</w:t>
      </w:r>
      <w:r w:rsidRPr="00FD02DE">
        <w:rPr>
          <w:rFonts w:cstheme="minorHAnsi"/>
          <w:spacing w:val="1"/>
        </w:rPr>
        <w:t xml:space="preserve"> </w:t>
      </w:r>
      <w:r w:rsidRPr="00FD02DE">
        <w:rPr>
          <w:rFonts w:cstheme="minorHAnsi"/>
        </w:rPr>
        <w:t>s</w:t>
      </w:r>
      <w:r w:rsidRPr="00FD02DE">
        <w:rPr>
          <w:rFonts w:cstheme="minorHAnsi"/>
          <w:spacing w:val="2"/>
        </w:rPr>
        <w:t>h</w:t>
      </w:r>
      <w:r w:rsidRPr="00FD02DE">
        <w:rPr>
          <w:rFonts w:cstheme="minorHAnsi"/>
          <w:spacing w:val="-1"/>
        </w:rPr>
        <w:t>a</w:t>
      </w:r>
      <w:r w:rsidRPr="00FD02DE">
        <w:rPr>
          <w:rFonts w:cstheme="minorHAnsi"/>
        </w:rPr>
        <w:t>ll</w:t>
      </w:r>
      <w:r w:rsidRPr="00FD02DE">
        <w:rPr>
          <w:rFonts w:cstheme="minorHAnsi"/>
          <w:spacing w:val="1"/>
        </w:rPr>
        <w:t xml:space="preserve"> </w:t>
      </w:r>
      <w:r w:rsidRPr="00FD02DE">
        <w:rPr>
          <w:rFonts w:cstheme="minorHAnsi"/>
        </w:rPr>
        <w:t>m</w:t>
      </w:r>
      <w:r w:rsidRPr="00FD02DE">
        <w:rPr>
          <w:rFonts w:cstheme="minorHAnsi"/>
          <w:spacing w:val="-1"/>
        </w:rPr>
        <w:t>ee</w:t>
      </w:r>
      <w:r w:rsidRPr="00FD02DE">
        <w:rPr>
          <w:rFonts w:cstheme="minorHAnsi"/>
        </w:rPr>
        <w:t>t</w:t>
      </w:r>
      <w:r w:rsidRPr="00FD02DE">
        <w:rPr>
          <w:rFonts w:cstheme="minorHAnsi"/>
          <w:spacing w:val="3"/>
        </w:rPr>
        <w:t xml:space="preserve"> </w:t>
      </w:r>
      <w:r w:rsidRPr="00FD02DE">
        <w:rPr>
          <w:rFonts w:cstheme="minorHAnsi"/>
          <w:spacing w:val="-1"/>
        </w:rPr>
        <w:t>a</w:t>
      </w:r>
      <w:r w:rsidRPr="00FD02DE">
        <w:rPr>
          <w:rFonts w:cstheme="minorHAnsi"/>
        </w:rPr>
        <w:t>s</w:t>
      </w:r>
      <w:r w:rsidRPr="00FD02DE">
        <w:rPr>
          <w:rFonts w:cstheme="minorHAnsi"/>
          <w:spacing w:val="1"/>
        </w:rPr>
        <w:t xml:space="preserve"> </w:t>
      </w:r>
      <w:r w:rsidRPr="00FD02DE">
        <w:rPr>
          <w:rFonts w:cstheme="minorHAnsi"/>
          <w:spacing w:val="2"/>
        </w:rPr>
        <w:t>r</w:t>
      </w:r>
      <w:r w:rsidRPr="00FD02DE">
        <w:rPr>
          <w:rFonts w:cstheme="minorHAnsi"/>
          <w:spacing w:val="-1"/>
        </w:rPr>
        <w:t>equ</w:t>
      </w:r>
      <w:r w:rsidRPr="00FD02DE">
        <w:rPr>
          <w:rFonts w:cstheme="minorHAnsi"/>
          <w:spacing w:val="2"/>
        </w:rPr>
        <w:t>i</w:t>
      </w:r>
      <w:r w:rsidRPr="00FD02DE">
        <w:rPr>
          <w:rFonts w:cstheme="minorHAnsi"/>
          <w:spacing w:val="-1"/>
        </w:rPr>
        <w:t xml:space="preserve">red. </w:t>
      </w:r>
      <w:r w:rsidRPr="00FD02DE">
        <w:rPr>
          <w:rFonts w:cstheme="minorHAnsi"/>
        </w:rPr>
        <w:t>Addition</w:t>
      </w:r>
      <w:r w:rsidRPr="00FD02DE">
        <w:rPr>
          <w:rFonts w:cstheme="minorHAnsi"/>
          <w:spacing w:val="-1"/>
        </w:rPr>
        <w:t>a</w:t>
      </w:r>
      <w:r w:rsidRPr="00FD02DE">
        <w:rPr>
          <w:rFonts w:cstheme="minorHAnsi"/>
        </w:rPr>
        <w:t>l</w:t>
      </w:r>
      <w:r w:rsidRPr="00FD02DE">
        <w:rPr>
          <w:rFonts w:cstheme="minorHAnsi"/>
          <w:spacing w:val="32"/>
        </w:rPr>
        <w:t xml:space="preserve"> </w:t>
      </w:r>
      <w:r w:rsidRPr="00FD02DE">
        <w:rPr>
          <w:rFonts w:cstheme="minorHAnsi"/>
        </w:rPr>
        <w:t>m</w:t>
      </w:r>
      <w:r w:rsidRPr="00FD02DE">
        <w:rPr>
          <w:rFonts w:cstheme="minorHAnsi"/>
          <w:spacing w:val="-1"/>
        </w:rPr>
        <w:t>ee</w:t>
      </w:r>
      <w:r w:rsidRPr="00FD02DE">
        <w:rPr>
          <w:rFonts w:cstheme="minorHAnsi"/>
        </w:rPr>
        <w:t>tin</w:t>
      </w:r>
      <w:r w:rsidRPr="00FD02DE">
        <w:rPr>
          <w:rFonts w:cstheme="minorHAnsi"/>
          <w:spacing w:val="-2"/>
        </w:rPr>
        <w:t>g</w:t>
      </w:r>
      <w:r w:rsidRPr="00FD02DE">
        <w:rPr>
          <w:rFonts w:cstheme="minorHAnsi"/>
        </w:rPr>
        <w:t>s</w:t>
      </w:r>
      <w:r w:rsidRPr="00FD02DE">
        <w:rPr>
          <w:rFonts w:cstheme="minorHAnsi"/>
          <w:spacing w:val="31"/>
        </w:rPr>
        <w:t xml:space="preserve"> </w:t>
      </w:r>
      <w:r w:rsidRPr="00FD02DE">
        <w:rPr>
          <w:rFonts w:cstheme="minorHAnsi"/>
          <w:spacing w:val="3"/>
        </w:rPr>
        <w:t>m</w:t>
      </w:r>
      <w:r w:rsidRPr="00FD02DE">
        <w:rPr>
          <w:rFonts w:cstheme="minorHAnsi"/>
          <w:spacing w:val="1"/>
        </w:rPr>
        <w:t>a</w:t>
      </w:r>
      <w:r w:rsidRPr="00FD02DE">
        <w:rPr>
          <w:rFonts w:cstheme="minorHAnsi"/>
        </w:rPr>
        <w:t>y</w:t>
      </w:r>
      <w:r w:rsidRPr="00FD02DE">
        <w:rPr>
          <w:rFonts w:cstheme="minorHAnsi"/>
          <w:spacing w:val="29"/>
        </w:rPr>
        <w:t xml:space="preserve"> </w:t>
      </w:r>
      <w:r w:rsidRPr="00FD02DE">
        <w:rPr>
          <w:rFonts w:cstheme="minorHAnsi"/>
          <w:spacing w:val="2"/>
        </w:rPr>
        <w:t>b</w:t>
      </w:r>
      <w:r w:rsidRPr="00FD02DE">
        <w:rPr>
          <w:rFonts w:cstheme="minorHAnsi"/>
        </w:rPr>
        <w:t>e</w:t>
      </w:r>
      <w:r w:rsidRPr="00FD02DE">
        <w:rPr>
          <w:rFonts w:cstheme="minorHAnsi"/>
          <w:spacing w:val="30"/>
        </w:rPr>
        <w:t xml:space="preserve"> </w:t>
      </w:r>
      <w:r w:rsidRPr="00FD02DE">
        <w:rPr>
          <w:rFonts w:cstheme="minorHAnsi"/>
          <w:spacing w:val="-1"/>
        </w:rPr>
        <w:t>c</w:t>
      </w:r>
      <w:r w:rsidRPr="00FD02DE">
        <w:rPr>
          <w:rFonts w:cstheme="minorHAnsi"/>
        </w:rPr>
        <w:t>on</w:t>
      </w:r>
      <w:r w:rsidRPr="00FD02DE">
        <w:rPr>
          <w:rFonts w:cstheme="minorHAnsi"/>
          <w:spacing w:val="2"/>
        </w:rPr>
        <w:t>v</w:t>
      </w:r>
      <w:r w:rsidRPr="00FD02DE">
        <w:rPr>
          <w:rFonts w:cstheme="minorHAnsi"/>
          <w:spacing w:val="-1"/>
        </w:rPr>
        <w:t>e</w:t>
      </w:r>
      <w:r w:rsidRPr="00FD02DE">
        <w:rPr>
          <w:rFonts w:cstheme="minorHAnsi"/>
        </w:rPr>
        <w:t>n</w:t>
      </w:r>
      <w:r w:rsidRPr="00FD02DE">
        <w:rPr>
          <w:rFonts w:cstheme="minorHAnsi"/>
          <w:spacing w:val="-1"/>
        </w:rPr>
        <w:t>e</w:t>
      </w:r>
      <w:r w:rsidRPr="00FD02DE">
        <w:rPr>
          <w:rFonts w:cstheme="minorHAnsi"/>
        </w:rPr>
        <w:t>d</w:t>
      </w:r>
      <w:r w:rsidRPr="00FD02DE">
        <w:rPr>
          <w:rFonts w:cstheme="minorHAnsi"/>
          <w:spacing w:val="34"/>
        </w:rPr>
        <w:t xml:space="preserve"> </w:t>
      </w:r>
      <w:r w:rsidRPr="00FD02DE">
        <w:rPr>
          <w:rFonts w:cstheme="minorHAnsi"/>
          <w:spacing w:val="-1"/>
        </w:rPr>
        <w:t>a</w:t>
      </w:r>
      <w:r w:rsidRPr="00FD02DE">
        <w:rPr>
          <w:rFonts w:cstheme="minorHAnsi"/>
        </w:rPr>
        <w:t>t</w:t>
      </w:r>
      <w:r w:rsidRPr="00FD02DE">
        <w:rPr>
          <w:rFonts w:cstheme="minorHAnsi"/>
          <w:spacing w:val="32"/>
        </w:rPr>
        <w:t xml:space="preserve"> </w:t>
      </w:r>
      <w:r w:rsidRPr="00FD02DE">
        <w:rPr>
          <w:rFonts w:cstheme="minorHAnsi"/>
        </w:rPr>
        <w:t>the</w:t>
      </w:r>
      <w:r w:rsidRPr="00FD02DE">
        <w:rPr>
          <w:rFonts w:cstheme="minorHAnsi"/>
          <w:spacing w:val="30"/>
        </w:rPr>
        <w:t xml:space="preserve"> </w:t>
      </w:r>
      <w:r w:rsidRPr="00FD02DE">
        <w:rPr>
          <w:rFonts w:cstheme="minorHAnsi"/>
        </w:rPr>
        <w:t>d</w:t>
      </w:r>
      <w:r w:rsidRPr="00FD02DE">
        <w:rPr>
          <w:rFonts w:cstheme="minorHAnsi"/>
          <w:spacing w:val="3"/>
        </w:rPr>
        <w:t>i</w:t>
      </w:r>
      <w:r w:rsidRPr="00FD02DE">
        <w:rPr>
          <w:rFonts w:cstheme="minorHAnsi"/>
        </w:rPr>
        <w:t>s</w:t>
      </w:r>
      <w:r w:rsidRPr="00FD02DE">
        <w:rPr>
          <w:rFonts w:cstheme="minorHAnsi"/>
          <w:spacing w:val="-1"/>
        </w:rPr>
        <w:t>cre</w:t>
      </w:r>
      <w:r w:rsidRPr="00FD02DE">
        <w:rPr>
          <w:rFonts w:cstheme="minorHAnsi"/>
        </w:rPr>
        <w:t>tion</w:t>
      </w:r>
      <w:r w:rsidRPr="00FD02DE">
        <w:rPr>
          <w:rFonts w:cstheme="minorHAnsi"/>
          <w:spacing w:val="31"/>
        </w:rPr>
        <w:t xml:space="preserve"> </w:t>
      </w:r>
      <w:r w:rsidRPr="00FD02DE">
        <w:rPr>
          <w:rFonts w:cstheme="minorHAnsi"/>
        </w:rPr>
        <w:t>of</w:t>
      </w:r>
      <w:r w:rsidRPr="00FD02DE">
        <w:rPr>
          <w:rFonts w:cstheme="minorHAnsi"/>
          <w:spacing w:val="30"/>
        </w:rPr>
        <w:t xml:space="preserve"> </w:t>
      </w:r>
      <w:r w:rsidRPr="00FD02DE">
        <w:rPr>
          <w:rFonts w:cstheme="minorHAnsi"/>
        </w:rPr>
        <w:t>t</w:t>
      </w:r>
      <w:r w:rsidRPr="00FD02DE">
        <w:rPr>
          <w:rFonts w:cstheme="minorHAnsi"/>
          <w:spacing w:val="2"/>
        </w:rPr>
        <w:t>h</w:t>
      </w:r>
      <w:r w:rsidRPr="00FD02DE">
        <w:rPr>
          <w:rFonts w:cstheme="minorHAnsi"/>
        </w:rPr>
        <w:t xml:space="preserve">e </w:t>
      </w:r>
      <w:r w:rsidRPr="00FD02DE">
        <w:rPr>
          <w:rFonts w:cstheme="minorHAnsi"/>
          <w:spacing w:val="1"/>
        </w:rPr>
        <w:t>C</w:t>
      </w:r>
      <w:r w:rsidRPr="00FD02DE">
        <w:rPr>
          <w:rFonts w:cstheme="minorHAnsi"/>
          <w:spacing w:val="-1"/>
        </w:rPr>
        <w:t>h</w:t>
      </w:r>
      <w:r w:rsidRPr="00FD02DE">
        <w:rPr>
          <w:rFonts w:cstheme="minorHAnsi"/>
          <w:spacing w:val="1"/>
        </w:rPr>
        <w:t>i</w:t>
      </w:r>
      <w:r w:rsidRPr="00FD02DE">
        <w:rPr>
          <w:rFonts w:cstheme="minorHAnsi"/>
          <w:spacing w:val="-1"/>
        </w:rPr>
        <w:t>e</w:t>
      </w:r>
      <w:r w:rsidRPr="00FD02DE">
        <w:rPr>
          <w:rFonts w:cstheme="minorHAnsi"/>
        </w:rPr>
        <w:t>f</w:t>
      </w:r>
      <w:r w:rsidRPr="00FD02DE">
        <w:rPr>
          <w:rFonts w:cstheme="minorHAnsi"/>
          <w:spacing w:val="-1"/>
        </w:rPr>
        <w:t xml:space="preserve"> </w:t>
      </w:r>
      <w:r w:rsidRPr="00FD02DE">
        <w:rPr>
          <w:rFonts w:cstheme="minorHAnsi"/>
        </w:rPr>
        <w:t>E</w:t>
      </w:r>
      <w:r w:rsidRPr="00FD02DE">
        <w:rPr>
          <w:rFonts w:cstheme="minorHAnsi"/>
          <w:spacing w:val="2"/>
        </w:rPr>
        <w:t>x</w:t>
      </w:r>
      <w:r w:rsidRPr="00FD02DE">
        <w:rPr>
          <w:rFonts w:cstheme="minorHAnsi"/>
          <w:spacing w:val="-1"/>
        </w:rPr>
        <w:t>ecu</w:t>
      </w:r>
      <w:r w:rsidRPr="00FD02DE">
        <w:rPr>
          <w:rFonts w:cstheme="minorHAnsi"/>
          <w:spacing w:val="1"/>
        </w:rPr>
        <w:t>t</w:t>
      </w:r>
      <w:r w:rsidRPr="00FD02DE">
        <w:rPr>
          <w:rFonts w:cstheme="minorHAnsi"/>
        </w:rPr>
        <w:t>i</w:t>
      </w:r>
      <w:r w:rsidRPr="00FD02DE">
        <w:rPr>
          <w:rFonts w:cstheme="minorHAnsi"/>
          <w:spacing w:val="-1"/>
        </w:rPr>
        <w:t>v</w:t>
      </w:r>
      <w:r w:rsidRPr="00FD02DE">
        <w:rPr>
          <w:rFonts w:cstheme="minorHAnsi"/>
        </w:rPr>
        <w:t>e O</w:t>
      </w:r>
      <w:r w:rsidRPr="00FD02DE">
        <w:rPr>
          <w:rFonts w:cstheme="minorHAnsi"/>
          <w:spacing w:val="-1"/>
        </w:rPr>
        <w:t>ff</w:t>
      </w:r>
      <w:r w:rsidRPr="00FD02DE">
        <w:rPr>
          <w:rFonts w:cstheme="minorHAnsi"/>
        </w:rPr>
        <w:t>i</w:t>
      </w:r>
      <w:r w:rsidRPr="00FD02DE">
        <w:rPr>
          <w:rFonts w:cstheme="minorHAnsi"/>
          <w:spacing w:val="-1"/>
        </w:rPr>
        <w:t>c</w:t>
      </w:r>
      <w:r w:rsidRPr="00FD02DE">
        <w:rPr>
          <w:rFonts w:cstheme="minorHAnsi"/>
          <w:spacing w:val="1"/>
        </w:rPr>
        <w:t>e</w:t>
      </w:r>
      <w:r w:rsidRPr="00FD02DE">
        <w:rPr>
          <w:rFonts w:cstheme="minorHAnsi"/>
          <w:spacing w:val="-1"/>
        </w:rPr>
        <w:t>r</w:t>
      </w:r>
      <w:r w:rsidRPr="00FD02DE">
        <w:rPr>
          <w:rFonts w:cstheme="minorHAnsi"/>
        </w:rPr>
        <w:t>.</w:t>
      </w:r>
    </w:p>
    <w:p w14:paraId="671D2D59" w14:textId="77777777" w:rsidR="00272EB4" w:rsidRPr="00FD02DE" w:rsidRDefault="00272EB4" w:rsidP="00272EB4">
      <w:pPr>
        <w:pStyle w:val="ListParagraph"/>
        <w:widowControl w:val="0"/>
        <w:numPr>
          <w:ilvl w:val="3"/>
          <w:numId w:val="335"/>
        </w:numPr>
        <w:tabs>
          <w:tab w:val="left" w:pos="1843"/>
        </w:tabs>
        <w:spacing w:after="60" w:line="240" w:lineRule="auto"/>
        <w:ind w:left="357" w:right="78" w:hanging="357"/>
        <w:contextualSpacing w:val="0"/>
        <w:jc w:val="both"/>
        <w:rPr>
          <w:rFonts w:cstheme="minorHAnsi"/>
        </w:rPr>
      </w:pPr>
      <w:r w:rsidRPr="00FD02DE">
        <w:rPr>
          <w:rFonts w:cstheme="minorHAnsi"/>
        </w:rPr>
        <w:lastRenderedPageBreak/>
        <w:t>M</w:t>
      </w:r>
      <w:r w:rsidRPr="00FD02DE">
        <w:rPr>
          <w:rFonts w:cstheme="minorHAnsi"/>
          <w:spacing w:val="-1"/>
        </w:rPr>
        <w:t>e</w:t>
      </w:r>
      <w:r w:rsidRPr="00FD02DE">
        <w:rPr>
          <w:rFonts w:cstheme="minorHAnsi"/>
        </w:rPr>
        <w:t>mb</w:t>
      </w:r>
      <w:r w:rsidRPr="00FD02DE">
        <w:rPr>
          <w:rFonts w:cstheme="minorHAnsi"/>
          <w:spacing w:val="-1"/>
        </w:rPr>
        <w:t>er</w:t>
      </w:r>
      <w:r w:rsidRPr="00FD02DE">
        <w:rPr>
          <w:rFonts w:cstheme="minorHAnsi"/>
        </w:rPr>
        <w:t>s</w:t>
      </w:r>
      <w:r w:rsidRPr="00FD02DE">
        <w:rPr>
          <w:rFonts w:cstheme="minorHAnsi"/>
          <w:spacing w:val="1"/>
        </w:rPr>
        <w:t xml:space="preserve"> </w:t>
      </w:r>
      <w:r w:rsidRPr="00FD02DE">
        <w:rPr>
          <w:rFonts w:cstheme="minorHAnsi"/>
        </w:rPr>
        <w:t>will</w:t>
      </w:r>
      <w:r w:rsidRPr="00FD02DE">
        <w:rPr>
          <w:rFonts w:cstheme="minorHAnsi"/>
          <w:spacing w:val="2"/>
        </w:rPr>
        <w:t xml:space="preserve"> </w:t>
      </w:r>
      <w:r w:rsidRPr="00FD02DE">
        <w:rPr>
          <w:rFonts w:cstheme="minorHAnsi"/>
        </w:rPr>
        <w:t>be</w:t>
      </w:r>
      <w:r w:rsidRPr="00FD02DE">
        <w:rPr>
          <w:rFonts w:cstheme="minorHAnsi"/>
          <w:spacing w:val="3"/>
        </w:rPr>
        <w:t xml:space="preserve"> </w:t>
      </w:r>
      <w:r w:rsidRPr="00FD02DE">
        <w:rPr>
          <w:rFonts w:cstheme="minorHAnsi"/>
          <w:spacing w:val="-1"/>
        </w:rPr>
        <w:t>re</w:t>
      </w:r>
      <w:r w:rsidRPr="00FD02DE">
        <w:rPr>
          <w:rFonts w:cstheme="minorHAnsi"/>
        </w:rPr>
        <w:t>qui</w:t>
      </w:r>
      <w:r w:rsidRPr="00FD02DE">
        <w:rPr>
          <w:rFonts w:cstheme="minorHAnsi"/>
          <w:spacing w:val="2"/>
        </w:rPr>
        <w:t>r</w:t>
      </w:r>
      <w:r w:rsidRPr="00FD02DE">
        <w:rPr>
          <w:rFonts w:cstheme="minorHAnsi"/>
          <w:spacing w:val="-1"/>
        </w:rPr>
        <w:t>e</w:t>
      </w:r>
      <w:r w:rsidRPr="00FD02DE">
        <w:rPr>
          <w:rFonts w:cstheme="minorHAnsi"/>
        </w:rPr>
        <w:t>d</w:t>
      </w:r>
      <w:r w:rsidRPr="00FD02DE">
        <w:rPr>
          <w:rFonts w:cstheme="minorHAnsi"/>
          <w:spacing w:val="1"/>
        </w:rPr>
        <w:t xml:space="preserve"> </w:t>
      </w:r>
      <w:r w:rsidRPr="00FD02DE">
        <w:rPr>
          <w:rFonts w:cstheme="minorHAnsi"/>
        </w:rPr>
        <w:t>to</w:t>
      </w:r>
      <w:r w:rsidRPr="00FD02DE">
        <w:rPr>
          <w:rFonts w:cstheme="minorHAnsi"/>
          <w:spacing w:val="1"/>
        </w:rPr>
        <w:t xml:space="preserve"> </w:t>
      </w:r>
      <w:r w:rsidRPr="00FD02DE">
        <w:rPr>
          <w:rFonts w:cstheme="minorHAnsi"/>
        </w:rPr>
        <w:t>p</w:t>
      </w:r>
      <w:r w:rsidRPr="00FD02DE">
        <w:rPr>
          <w:rFonts w:cstheme="minorHAnsi"/>
          <w:spacing w:val="-1"/>
        </w:rPr>
        <w:t>r</w:t>
      </w:r>
      <w:r w:rsidRPr="00FD02DE">
        <w:rPr>
          <w:rFonts w:cstheme="minorHAnsi"/>
        </w:rPr>
        <w:t>ovide</w:t>
      </w:r>
      <w:r w:rsidRPr="00FD02DE">
        <w:rPr>
          <w:rFonts w:cstheme="minorHAnsi"/>
          <w:spacing w:val="3"/>
        </w:rPr>
        <w:t xml:space="preserve"> </w:t>
      </w:r>
      <w:r w:rsidRPr="00FD02DE">
        <w:rPr>
          <w:rFonts w:cstheme="minorHAnsi"/>
        </w:rPr>
        <w:t>su</w:t>
      </w:r>
      <w:r w:rsidRPr="00FD02DE">
        <w:rPr>
          <w:rFonts w:cstheme="minorHAnsi"/>
          <w:spacing w:val="-1"/>
        </w:rPr>
        <w:t>ff</w:t>
      </w:r>
      <w:r w:rsidRPr="00FD02DE">
        <w:rPr>
          <w:rFonts w:cstheme="minorHAnsi"/>
        </w:rPr>
        <w:t>i</w:t>
      </w:r>
      <w:r w:rsidRPr="00FD02DE">
        <w:rPr>
          <w:rFonts w:cstheme="minorHAnsi"/>
          <w:spacing w:val="-1"/>
        </w:rPr>
        <w:t>c</w:t>
      </w:r>
      <w:r w:rsidRPr="00FD02DE">
        <w:rPr>
          <w:rFonts w:cstheme="minorHAnsi"/>
        </w:rPr>
        <w:t>i</w:t>
      </w:r>
      <w:r w:rsidRPr="00FD02DE">
        <w:rPr>
          <w:rFonts w:cstheme="minorHAnsi"/>
          <w:spacing w:val="-1"/>
        </w:rPr>
        <w:t>e</w:t>
      </w:r>
      <w:r w:rsidRPr="00FD02DE">
        <w:rPr>
          <w:rFonts w:cstheme="minorHAnsi"/>
        </w:rPr>
        <w:t>nt</w:t>
      </w:r>
      <w:r w:rsidRPr="00FD02DE">
        <w:rPr>
          <w:rFonts w:cstheme="minorHAnsi"/>
          <w:spacing w:val="4"/>
        </w:rPr>
        <w:t xml:space="preserve"> </w:t>
      </w:r>
      <w:r w:rsidRPr="00FD02DE">
        <w:rPr>
          <w:rFonts w:cstheme="minorHAnsi"/>
        </w:rPr>
        <w:t>noti</w:t>
      </w:r>
      <w:r w:rsidRPr="00FD02DE">
        <w:rPr>
          <w:rFonts w:cstheme="minorHAnsi"/>
          <w:spacing w:val="-1"/>
        </w:rPr>
        <w:t>c</w:t>
      </w:r>
      <w:r w:rsidRPr="00FD02DE">
        <w:rPr>
          <w:rFonts w:cstheme="minorHAnsi"/>
        </w:rPr>
        <w:t>e of th</w:t>
      </w:r>
      <w:r w:rsidRPr="00FD02DE">
        <w:rPr>
          <w:rFonts w:cstheme="minorHAnsi"/>
          <w:spacing w:val="-1"/>
        </w:rPr>
        <w:t>e</w:t>
      </w:r>
      <w:r w:rsidRPr="00FD02DE">
        <w:rPr>
          <w:rFonts w:cstheme="minorHAnsi"/>
          <w:spacing w:val="3"/>
        </w:rPr>
        <w:t>i</w:t>
      </w:r>
      <w:r w:rsidRPr="00FD02DE">
        <w:rPr>
          <w:rFonts w:cstheme="minorHAnsi"/>
        </w:rPr>
        <w:t xml:space="preserve">r </w:t>
      </w:r>
      <w:r w:rsidRPr="00FD02DE">
        <w:rPr>
          <w:rFonts w:cstheme="minorHAnsi"/>
          <w:spacing w:val="-1"/>
        </w:rPr>
        <w:t>a</w:t>
      </w:r>
      <w:r w:rsidRPr="00FD02DE">
        <w:rPr>
          <w:rFonts w:cstheme="minorHAnsi"/>
        </w:rPr>
        <w:t>bili</w:t>
      </w:r>
      <w:r w:rsidRPr="00FD02DE">
        <w:rPr>
          <w:rFonts w:cstheme="minorHAnsi"/>
          <w:spacing w:val="3"/>
        </w:rPr>
        <w:t>t</w:t>
      </w:r>
      <w:r w:rsidRPr="00FD02DE">
        <w:rPr>
          <w:rFonts w:cstheme="minorHAnsi"/>
        </w:rPr>
        <w:t>y or</w:t>
      </w:r>
      <w:r w:rsidRPr="00FD02DE">
        <w:rPr>
          <w:rFonts w:cstheme="minorHAnsi"/>
          <w:spacing w:val="4"/>
        </w:rPr>
        <w:t xml:space="preserve"> </w:t>
      </w:r>
      <w:r w:rsidRPr="00FD02DE">
        <w:rPr>
          <w:rFonts w:cstheme="minorHAnsi"/>
        </w:rPr>
        <w:t>in</w:t>
      </w:r>
      <w:r w:rsidRPr="00FD02DE">
        <w:rPr>
          <w:rFonts w:cstheme="minorHAnsi"/>
          <w:spacing w:val="-1"/>
        </w:rPr>
        <w:t>a</w:t>
      </w:r>
      <w:r w:rsidRPr="00FD02DE">
        <w:rPr>
          <w:rFonts w:cstheme="minorHAnsi"/>
        </w:rPr>
        <w:t>bili</w:t>
      </w:r>
      <w:r w:rsidRPr="00FD02DE">
        <w:rPr>
          <w:rFonts w:cstheme="minorHAnsi"/>
          <w:spacing w:val="3"/>
        </w:rPr>
        <w:t>t</w:t>
      </w:r>
      <w:r w:rsidRPr="00FD02DE">
        <w:rPr>
          <w:rFonts w:cstheme="minorHAnsi"/>
        </w:rPr>
        <w:t>y to</w:t>
      </w:r>
      <w:r w:rsidRPr="00FD02DE">
        <w:rPr>
          <w:rFonts w:cstheme="minorHAnsi"/>
          <w:spacing w:val="8"/>
        </w:rPr>
        <w:t xml:space="preserve"> </w:t>
      </w:r>
      <w:r w:rsidRPr="00FD02DE">
        <w:rPr>
          <w:rFonts w:cstheme="minorHAnsi"/>
          <w:spacing w:val="-1"/>
        </w:rPr>
        <w:t>a</w:t>
      </w:r>
      <w:r w:rsidRPr="00FD02DE">
        <w:rPr>
          <w:rFonts w:cstheme="minorHAnsi"/>
        </w:rPr>
        <w:t>tt</w:t>
      </w:r>
      <w:r w:rsidRPr="00FD02DE">
        <w:rPr>
          <w:rFonts w:cstheme="minorHAnsi"/>
          <w:spacing w:val="-1"/>
        </w:rPr>
        <w:t>e</w:t>
      </w:r>
      <w:r w:rsidRPr="00FD02DE">
        <w:rPr>
          <w:rFonts w:cstheme="minorHAnsi"/>
        </w:rPr>
        <w:t>nd</w:t>
      </w:r>
      <w:r w:rsidRPr="00FD02DE">
        <w:rPr>
          <w:rFonts w:cstheme="minorHAnsi"/>
          <w:spacing w:val="5"/>
        </w:rPr>
        <w:t xml:space="preserve"> </w:t>
      </w:r>
      <w:r w:rsidRPr="00FD02DE">
        <w:rPr>
          <w:rFonts w:cstheme="minorHAnsi"/>
        </w:rPr>
        <w:t>th</w:t>
      </w:r>
      <w:r w:rsidRPr="00FD02DE">
        <w:rPr>
          <w:rFonts w:cstheme="minorHAnsi"/>
          <w:spacing w:val="-1"/>
        </w:rPr>
        <w:t>e next scheduled</w:t>
      </w:r>
      <w:r w:rsidRPr="00FD02DE">
        <w:rPr>
          <w:rFonts w:cstheme="minorHAnsi"/>
          <w:spacing w:val="5"/>
        </w:rPr>
        <w:t xml:space="preserve"> </w:t>
      </w:r>
      <w:r w:rsidRPr="00FD02DE">
        <w:rPr>
          <w:rFonts w:cstheme="minorHAnsi"/>
        </w:rPr>
        <w:t>m</w:t>
      </w:r>
      <w:r w:rsidRPr="00FD02DE">
        <w:rPr>
          <w:rFonts w:cstheme="minorHAnsi"/>
          <w:spacing w:val="-1"/>
        </w:rPr>
        <w:t>ee</w:t>
      </w:r>
      <w:r w:rsidRPr="00FD02DE">
        <w:rPr>
          <w:rFonts w:cstheme="minorHAnsi"/>
        </w:rPr>
        <w:t>t</w:t>
      </w:r>
      <w:r w:rsidRPr="00FD02DE">
        <w:rPr>
          <w:rFonts w:cstheme="minorHAnsi"/>
          <w:spacing w:val="3"/>
        </w:rPr>
        <w:t>i</w:t>
      </w:r>
      <w:r w:rsidRPr="00FD02DE">
        <w:rPr>
          <w:rFonts w:cstheme="minorHAnsi"/>
        </w:rPr>
        <w:t>n</w:t>
      </w:r>
      <w:r w:rsidRPr="00FD02DE">
        <w:rPr>
          <w:rFonts w:cstheme="minorHAnsi"/>
          <w:spacing w:val="-3"/>
        </w:rPr>
        <w:t>g</w:t>
      </w:r>
      <w:r w:rsidRPr="00FD02DE">
        <w:rPr>
          <w:rFonts w:cstheme="minorHAnsi"/>
        </w:rPr>
        <w:t>.</w:t>
      </w:r>
    </w:p>
    <w:p w14:paraId="65618AAB" w14:textId="77777777" w:rsidR="00272EB4" w:rsidRPr="00FD02DE" w:rsidRDefault="00272EB4" w:rsidP="00272EB4">
      <w:pPr>
        <w:pStyle w:val="ListParagraph"/>
        <w:widowControl w:val="0"/>
        <w:numPr>
          <w:ilvl w:val="3"/>
          <w:numId w:val="335"/>
        </w:numPr>
        <w:tabs>
          <w:tab w:val="left" w:pos="1843"/>
        </w:tabs>
        <w:spacing w:after="0" w:line="240" w:lineRule="auto"/>
        <w:ind w:left="360" w:right="78"/>
        <w:jc w:val="both"/>
        <w:rPr>
          <w:rFonts w:cstheme="minorHAnsi"/>
        </w:rPr>
      </w:pPr>
      <w:r w:rsidRPr="00FD02DE">
        <w:rPr>
          <w:rFonts w:cstheme="minorHAnsi"/>
        </w:rPr>
        <w:t>Panel M</w:t>
      </w:r>
      <w:r w:rsidRPr="00FD02DE">
        <w:rPr>
          <w:rFonts w:cstheme="minorHAnsi"/>
          <w:spacing w:val="-1"/>
        </w:rPr>
        <w:t>ee</w:t>
      </w:r>
      <w:r w:rsidRPr="00FD02DE">
        <w:rPr>
          <w:rFonts w:cstheme="minorHAnsi"/>
        </w:rPr>
        <w:t>tin</w:t>
      </w:r>
      <w:r w:rsidRPr="00FD02DE">
        <w:rPr>
          <w:rFonts w:cstheme="minorHAnsi"/>
          <w:spacing w:val="-2"/>
        </w:rPr>
        <w:t>g</w:t>
      </w:r>
      <w:r w:rsidRPr="00FD02DE">
        <w:rPr>
          <w:rFonts w:cstheme="minorHAnsi"/>
        </w:rPr>
        <w:t>s</w:t>
      </w:r>
      <w:r w:rsidRPr="00FD02DE">
        <w:rPr>
          <w:rFonts w:cstheme="minorHAnsi"/>
          <w:spacing w:val="3"/>
        </w:rPr>
        <w:t xml:space="preserve"> </w:t>
      </w:r>
      <w:r w:rsidRPr="00FD02DE">
        <w:rPr>
          <w:rFonts w:cstheme="minorHAnsi"/>
          <w:spacing w:val="-1"/>
        </w:rPr>
        <w:t>ar</w:t>
      </w:r>
      <w:r w:rsidRPr="00FD02DE">
        <w:rPr>
          <w:rFonts w:cstheme="minorHAnsi"/>
        </w:rPr>
        <w:t>e</w:t>
      </w:r>
      <w:r w:rsidRPr="00FD02DE">
        <w:rPr>
          <w:rFonts w:cstheme="minorHAnsi"/>
          <w:spacing w:val="-1"/>
        </w:rPr>
        <w:t xml:space="preserve"> </w:t>
      </w:r>
      <w:r w:rsidRPr="00FD02DE">
        <w:rPr>
          <w:rFonts w:cstheme="minorHAnsi"/>
        </w:rPr>
        <w:t xml:space="preserve">not </w:t>
      </w:r>
      <w:r w:rsidRPr="00FD02DE">
        <w:rPr>
          <w:rFonts w:cstheme="minorHAnsi"/>
          <w:spacing w:val="2"/>
        </w:rPr>
        <w:t>o</w:t>
      </w:r>
      <w:r w:rsidRPr="00FD02DE">
        <w:rPr>
          <w:rFonts w:cstheme="minorHAnsi"/>
        </w:rPr>
        <w:t>p</w:t>
      </w:r>
      <w:r w:rsidRPr="00FD02DE">
        <w:rPr>
          <w:rFonts w:cstheme="minorHAnsi"/>
          <w:spacing w:val="-1"/>
        </w:rPr>
        <w:t>e</w:t>
      </w:r>
      <w:r w:rsidRPr="00FD02DE">
        <w:rPr>
          <w:rFonts w:cstheme="minorHAnsi"/>
        </w:rPr>
        <w:t>n to the</w:t>
      </w:r>
      <w:r w:rsidRPr="00FD02DE">
        <w:rPr>
          <w:rFonts w:cstheme="minorHAnsi"/>
          <w:spacing w:val="-1"/>
        </w:rPr>
        <w:t xml:space="preserve"> </w:t>
      </w:r>
      <w:r w:rsidRPr="00FD02DE">
        <w:rPr>
          <w:rFonts w:cstheme="minorHAnsi"/>
          <w:spacing w:val="1"/>
        </w:rPr>
        <w:t>P</w:t>
      </w:r>
      <w:r w:rsidRPr="00FD02DE">
        <w:rPr>
          <w:rFonts w:cstheme="minorHAnsi"/>
        </w:rPr>
        <w:t>ubli</w:t>
      </w:r>
      <w:r w:rsidRPr="00FD02DE">
        <w:rPr>
          <w:rFonts w:cstheme="minorHAnsi"/>
          <w:spacing w:val="-1"/>
        </w:rPr>
        <w:t>c</w:t>
      </w:r>
      <w:r w:rsidRPr="00FD02DE">
        <w:rPr>
          <w:rFonts w:cstheme="minorHAnsi"/>
        </w:rPr>
        <w:t>.</w:t>
      </w:r>
    </w:p>
    <w:p w14:paraId="6A11AC11" w14:textId="77777777" w:rsidR="00272EB4" w:rsidRPr="00FD02DE" w:rsidRDefault="00272EB4" w:rsidP="00272EB4">
      <w:pPr>
        <w:widowControl w:val="0"/>
        <w:tabs>
          <w:tab w:val="left" w:pos="1540"/>
        </w:tabs>
        <w:spacing w:before="200" w:after="0" w:line="240" w:lineRule="auto"/>
        <w:ind w:right="-23"/>
        <w:jc w:val="both"/>
        <w:rPr>
          <w:rFonts w:cstheme="minorHAnsi"/>
        </w:rPr>
      </w:pPr>
      <w:r w:rsidRPr="00FD02DE">
        <w:rPr>
          <w:rFonts w:cstheme="minorHAnsi"/>
          <w:b/>
          <w:bCs/>
        </w:rPr>
        <w:t>Q</w:t>
      </w:r>
      <w:r w:rsidRPr="00FD02DE">
        <w:rPr>
          <w:rFonts w:cstheme="minorHAnsi"/>
          <w:b/>
          <w:bCs/>
          <w:spacing w:val="1"/>
        </w:rPr>
        <w:t>uo</w:t>
      </w:r>
      <w:r w:rsidRPr="00FD02DE">
        <w:rPr>
          <w:rFonts w:cstheme="minorHAnsi"/>
          <w:b/>
          <w:bCs/>
          <w:spacing w:val="-2"/>
        </w:rPr>
        <w:t>r</w:t>
      </w:r>
      <w:r w:rsidRPr="00FD02DE">
        <w:rPr>
          <w:rFonts w:cstheme="minorHAnsi"/>
          <w:b/>
          <w:bCs/>
          <w:spacing w:val="1"/>
        </w:rPr>
        <w:t>um</w:t>
      </w:r>
    </w:p>
    <w:p w14:paraId="4303023C" w14:textId="77777777" w:rsidR="00272EB4" w:rsidRPr="00FD02DE" w:rsidRDefault="00272EB4" w:rsidP="00272EB4">
      <w:pPr>
        <w:pStyle w:val="ListParagraph"/>
        <w:numPr>
          <w:ilvl w:val="0"/>
          <w:numId w:val="336"/>
        </w:numPr>
        <w:spacing w:after="60" w:line="240" w:lineRule="auto"/>
        <w:ind w:left="425" w:hanging="425"/>
        <w:contextualSpacing w:val="0"/>
        <w:jc w:val="both"/>
        <w:rPr>
          <w:rFonts w:cstheme="minorHAnsi"/>
        </w:rPr>
      </w:pPr>
      <w:r w:rsidRPr="00FD02DE">
        <w:rPr>
          <w:rFonts w:cstheme="minorHAnsi"/>
        </w:rPr>
        <w:t>A</w:t>
      </w:r>
      <w:r w:rsidRPr="00FD02DE">
        <w:rPr>
          <w:rFonts w:cstheme="minorHAnsi"/>
          <w:spacing w:val="31"/>
        </w:rPr>
        <w:t xml:space="preserve"> </w:t>
      </w:r>
      <w:r w:rsidRPr="00FD02DE">
        <w:rPr>
          <w:rFonts w:cstheme="minorHAnsi"/>
        </w:rPr>
        <w:t>quo</w:t>
      </w:r>
      <w:r w:rsidRPr="00FD02DE">
        <w:rPr>
          <w:rFonts w:cstheme="minorHAnsi"/>
          <w:spacing w:val="-2"/>
        </w:rPr>
        <w:t>r</w:t>
      </w:r>
      <w:r w:rsidRPr="00FD02DE">
        <w:rPr>
          <w:rFonts w:cstheme="minorHAnsi"/>
        </w:rPr>
        <w:t>um</w:t>
      </w:r>
      <w:r w:rsidRPr="00FD02DE">
        <w:rPr>
          <w:rFonts w:cstheme="minorHAnsi"/>
          <w:spacing w:val="31"/>
        </w:rPr>
        <w:t xml:space="preserve"> </w:t>
      </w:r>
      <w:r w:rsidRPr="00FD02DE">
        <w:rPr>
          <w:rFonts w:cstheme="minorHAnsi"/>
          <w:spacing w:val="-1"/>
        </w:rPr>
        <w:t>f</w:t>
      </w:r>
      <w:r w:rsidRPr="00FD02DE">
        <w:rPr>
          <w:rFonts w:cstheme="minorHAnsi"/>
        </w:rPr>
        <w:t>or</w:t>
      </w:r>
      <w:r w:rsidRPr="00FD02DE">
        <w:rPr>
          <w:rFonts w:cstheme="minorHAnsi"/>
          <w:spacing w:val="30"/>
        </w:rPr>
        <w:t xml:space="preserve"> </w:t>
      </w:r>
      <w:r w:rsidRPr="00FD02DE">
        <w:rPr>
          <w:rFonts w:cstheme="minorHAnsi"/>
        </w:rPr>
        <w:t>the</w:t>
      </w:r>
      <w:r w:rsidRPr="00FD02DE">
        <w:rPr>
          <w:rFonts w:cstheme="minorHAnsi"/>
          <w:spacing w:val="30"/>
        </w:rPr>
        <w:t xml:space="preserve"> </w:t>
      </w:r>
      <w:r w:rsidRPr="00FD02DE">
        <w:rPr>
          <w:rFonts w:cstheme="minorHAnsi"/>
        </w:rPr>
        <w:t>m</w:t>
      </w:r>
      <w:r w:rsidRPr="00FD02DE">
        <w:rPr>
          <w:rFonts w:cstheme="minorHAnsi"/>
          <w:spacing w:val="-1"/>
        </w:rPr>
        <w:t>ee</w:t>
      </w:r>
      <w:r w:rsidRPr="00FD02DE">
        <w:rPr>
          <w:rFonts w:cstheme="minorHAnsi"/>
        </w:rPr>
        <w:t>t</w:t>
      </w:r>
      <w:r w:rsidRPr="00FD02DE">
        <w:rPr>
          <w:rFonts w:cstheme="minorHAnsi"/>
          <w:spacing w:val="3"/>
        </w:rPr>
        <w:t>i</w:t>
      </w:r>
      <w:r w:rsidRPr="00FD02DE">
        <w:rPr>
          <w:rFonts w:cstheme="minorHAnsi"/>
        </w:rPr>
        <w:t>ng</w:t>
      </w:r>
      <w:r w:rsidRPr="00FD02DE">
        <w:rPr>
          <w:rFonts w:cstheme="minorHAnsi"/>
          <w:spacing w:val="28"/>
        </w:rPr>
        <w:t xml:space="preserve"> </w:t>
      </w:r>
      <w:r w:rsidRPr="00FD02DE">
        <w:rPr>
          <w:rFonts w:cstheme="minorHAnsi"/>
        </w:rPr>
        <w:t>of</w:t>
      </w:r>
      <w:r w:rsidRPr="00FD02DE">
        <w:rPr>
          <w:rFonts w:cstheme="minorHAnsi"/>
          <w:spacing w:val="30"/>
        </w:rPr>
        <w:t xml:space="preserve"> </w:t>
      </w:r>
      <w:r w:rsidRPr="00FD02DE">
        <w:rPr>
          <w:rFonts w:cstheme="minorHAnsi"/>
        </w:rPr>
        <w:t>the</w:t>
      </w:r>
      <w:r w:rsidRPr="00FD02DE">
        <w:rPr>
          <w:rFonts w:cstheme="minorHAnsi"/>
          <w:spacing w:val="30"/>
        </w:rPr>
        <w:t xml:space="preserve"> </w:t>
      </w:r>
      <w:r w:rsidRPr="00FD02DE">
        <w:rPr>
          <w:rFonts w:cstheme="minorHAnsi"/>
          <w:spacing w:val="1"/>
        </w:rPr>
        <w:t>C</w:t>
      </w:r>
      <w:r w:rsidRPr="00FD02DE">
        <w:rPr>
          <w:rFonts w:cstheme="minorHAnsi"/>
        </w:rPr>
        <w:t>ommitt</w:t>
      </w:r>
      <w:r w:rsidRPr="00FD02DE">
        <w:rPr>
          <w:rFonts w:cstheme="minorHAnsi"/>
          <w:spacing w:val="-1"/>
        </w:rPr>
        <w:t>e</w:t>
      </w:r>
      <w:r w:rsidRPr="00FD02DE">
        <w:rPr>
          <w:rFonts w:cstheme="minorHAnsi"/>
        </w:rPr>
        <w:t>e</w:t>
      </w:r>
      <w:r w:rsidRPr="00FD02DE">
        <w:rPr>
          <w:rFonts w:cstheme="minorHAnsi"/>
          <w:spacing w:val="30"/>
        </w:rPr>
        <w:t xml:space="preserve"> </w:t>
      </w:r>
      <w:r w:rsidRPr="00FD02DE">
        <w:rPr>
          <w:rFonts w:cstheme="minorHAnsi"/>
        </w:rPr>
        <w:t>will</w:t>
      </w:r>
      <w:r w:rsidRPr="00FD02DE">
        <w:rPr>
          <w:rFonts w:cstheme="minorHAnsi"/>
          <w:spacing w:val="32"/>
        </w:rPr>
        <w:t xml:space="preserve"> </w:t>
      </w:r>
      <w:r w:rsidRPr="00FD02DE">
        <w:rPr>
          <w:rFonts w:cstheme="minorHAnsi"/>
        </w:rPr>
        <w:t xml:space="preserve">be </w:t>
      </w:r>
      <w:r>
        <w:rPr>
          <w:rFonts w:cstheme="minorHAnsi"/>
        </w:rPr>
        <w:t xml:space="preserve">at least 50% of </w:t>
      </w:r>
      <w:r w:rsidRPr="00FD02DE">
        <w:rPr>
          <w:rFonts w:cstheme="minorHAnsi"/>
        </w:rPr>
        <w:t>voting</w:t>
      </w:r>
      <w:r w:rsidRPr="00FD02DE">
        <w:rPr>
          <w:rFonts w:cstheme="minorHAnsi"/>
          <w:spacing w:val="-2"/>
        </w:rPr>
        <w:t xml:space="preserve"> </w:t>
      </w:r>
      <w:r w:rsidRPr="00FD02DE">
        <w:rPr>
          <w:rFonts w:cstheme="minorHAnsi"/>
        </w:rPr>
        <w:t>m</w:t>
      </w:r>
      <w:r w:rsidRPr="00FD02DE">
        <w:rPr>
          <w:rFonts w:cstheme="minorHAnsi"/>
          <w:spacing w:val="-1"/>
        </w:rPr>
        <w:t>e</w:t>
      </w:r>
      <w:r w:rsidRPr="00FD02DE">
        <w:rPr>
          <w:rFonts w:cstheme="minorHAnsi"/>
        </w:rPr>
        <w:t>mb</w:t>
      </w:r>
      <w:r w:rsidRPr="00FD02DE">
        <w:rPr>
          <w:rFonts w:cstheme="minorHAnsi"/>
          <w:spacing w:val="-1"/>
        </w:rPr>
        <w:t>er</w:t>
      </w:r>
      <w:r w:rsidRPr="00FD02DE">
        <w:rPr>
          <w:rFonts w:cstheme="minorHAnsi"/>
        </w:rPr>
        <w:t>s (including the Chairperson).</w:t>
      </w:r>
    </w:p>
    <w:p w14:paraId="65798D83" w14:textId="77777777" w:rsidR="00272EB4" w:rsidRPr="00FD02DE" w:rsidRDefault="00272EB4" w:rsidP="00272EB4">
      <w:pPr>
        <w:pStyle w:val="ListParagraph"/>
        <w:numPr>
          <w:ilvl w:val="0"/>
          <w:numId w:val="336"/>
        </w:numPr>
        <w:spacing w:after="0" w:line="240" w:lineRule="auto"/>
        <w:ind w:left="426" w:hanging="426"/>
        <w:jc w:val="both"/>
        <w:rPr>
          <w:rFonts w:cstheme="minorHAnsi"/>
        </w:rPr>
      </w:pPr>
      <w:r w:rsidRPr="00FD02DE">
        <w:rPr>
          <w:rFonts w:cstheme="minorHAnsi"/>
        </w:rPr>
        <w:t>The</w:t>
      </w:r>
      <w:r w:rsidRPr="00FD02DE">
        <w:rPr>
          <w:rFonts w:cstheme="minorHAnsi"/>
          <w:spacing w:val="-1"/>
        </w:rPr>
        <w:t xml:space="preserve"> </w:t>
      </w:r>
      <w:r w:rsidRPr="00FD02DE">
        <w:rPr>
          <w:rFonts w:cstheme="minorHAnsi"/>
        </w:rPr>
        <w:t>Panel</w:t>
      </w:r>
      <w:r w:rsidRPr="00FD02DE">
        <w:rPr>
          <w:rFonts w:cstheme="minorHAnsi"/>
          <w:spacing w:val="1"/>
        </w:rPr>
        <w:t xml:space="preserve"> </w:t>
      </w:r>
      <w:r w:rsidRPr="00FD02DE">
        <w:rPr>
          <w:rFonts w:cstheme="minorHAnsi"/>
        </w:rPr>
        <w:t>m</w:t>
      </w:r>
      <w:r w:rsidRPr="00FD02DE">
        <w:rPr>
          <w:rFonts w:cstheme="minorHAnsi"/>
          <w:spacing w:val="-1"/>
        </w:rPr>
        <w:t>ee</w:t>
      </w:r>
      <w:r w:rsidRPr="00FD02DE">
        <w:rPr>
          <w:rFonts w:cstheme="minorHAnsi"/>
        </w:rPr>
        <w:t>ti</w:t>
      </w:r>
      <w:r w:rsidRPr="00FD02DE">
        <w:rPr>
          <w:rFonts w:cstheme="minorHAnsi"/>
          <w:spacing w:val="2"/>
        </w:rPr>
        <w:t>n</w:t>
      </w:r>
      <w:r w:rsidRPr="00FD02DE">
        <w:rPr>
          <w:rFonts w:cstheme="minorHAnsi"/>
        </w:rPr>
        <w:t>g</w:t>
      </w:r>
      <w:r w:rsidRPr="00FD02DE">
        <w:rPr>
          <w:rFonts w:cstheme="minorHAnsi"/>
          <w:spacing w:val="-2"/>
        </w:rPr>
        <w:t xml:space="preserve"> </w:t>
      </w:r>
      <w:r w:rsidRPr="00FD02DE">
        <w:rPr>
          <w:rFonts w:cstheme="minorHAnsi"/>
        </w:rPr>
        <w:t>sh</w:t>
      </w:r>
      <w:r w:rsidRPr="00FD02DE">
        <w:rPr>
          <w:rFonts w:cstheme="minorHAnsi"/>
          <w:spacing w:val="-1"/>
        </w:rPr>
        <w:t>a</w:t>
      </w:r>
      <w:r w:rsidRPr="00FD02DE">
        <w:rPr>
          <w:rFonts w:cstheme="minorHAnsi"/>
        </w:rPr>
        <w:t>ll</w:t>
      </w:r>
      <w:r w:rsidRPr="00FD02DE">
        <w:rPr>
          <w:rFonts w:cstheme="minorHAnsi"/>
          <w:spacing w:val="3"/>
        </w:rPr>
        <w:t xml:space="preserve"> </w:t>
      </w:r>
      <w:r w:rsidRPr="00FD02DE">
        <w:rPr>
          <w:rFonts w:cstheme="minorHAnsi"/>
        </w:rPr>
        <w:t>not p</w:t>
      </w:r>
      <w:r w:rsidRPr="00FD02DE">
        <w:rPr>
          <w:rFonts w:cstheme="minorHAnsi"/>
          <w:spacing w:val="-1"/>
        </w:rPr>
        <w:t>r</w:t>
      </w:r>
      <w:r w:rsidRPr="00FD02DE">
        <w:rPr>
          <w:rFonts w:cstheme="minorHAnsi"/>
        </w:rPr>
        <w:t>o</w:t>
      </w:r>
      <w:r w:rsidRPr="00FD02DE">
        <w:rPr>
          <w:rFonts w:cstheme="minorHAnsi"/>
          <w:spacing w:val="-1"/>
        </w:rPr>
        <w:t>cee</w:t>
      </w:r>
      <w:r w:rsidRPr="00FD02DE">
        <w:rPr>
          <w:rFonts w:cstheme="minorHAnsi"/>
        </w:rPr>
        <w:t>d unl</w:t>
      </w:r>
      <w:r w:rsidRPr="00FD02DE">
        <w:rPr>
          <w:rFonts w:cstheme="minorHAnsi"/>
          <w:spacing w:val="-1"/>
        </w:rPr>
        <w:t>e</w:t>
      </w:r>
      <w:r w:rsidRPr="00FD02DE">
        <w:rPr>
          <w:rFonts w:cstheme="minorHAnsi"/>
        </w:rPr>
        <w:t>ss</w:t>
      </w:r>
      <w:r w:rsidRPr="00FD02DE">
        <w:rPr>
          <w:rFonts w:cstheme="minorHAnsi"/>
          <w:spacing w:val="3"/>
        </w:rPr>
        <w:t xml:space="preserve"> </w:t>
      </w:r>
      <w:r w:rsidRPr="00FD02DE">
        <w:rPr>
          <w:rFonts w:cstheme="minorHAnsi"/>
        </w:rPr>
        <w:t>a</w:t>
      </w:r>
      <w:r w:rsidRPr="00FD02DE">
        <w:rPr>
          <w:rFonts w:cstheme="minorHAnsi"/>
          <w:spacing w:val="-1"/>
        </w:rPr>
        <w:t xml:space="preserve"> </w:t>
      </w:r>
      <w:r w:rsidRPr="00FD02DE">
        <w:rPr>
          <w:rFonts w:cstheme="minorHAnsi"/>
        </w:rPr>
        <w:t>quo</w:t>
      </w:r>
      <w:r w:rsidRPr="00FD02DE">
        <w:rPr>
          <w:rFonts w:cstheme="minorHAnsi"/>
          <w:spacing w:val="2"/>
        </w:rPr>
        <w:t>r</w:t>
      </w:r>
      <w:r w:rsidRPr="00FD02DE">
        <w:rPr>
          <w:rFonts w:cstheme="minorHAnsi"/>
        </w:rPr>
        <w:t>um is p</w:t>
      </w:r>
      <w:r w:rsidRPr="00FD02DE">
        <w:rPr>
          <w:rFonts w:cstheme="minorHAnsi"/>
          <w:spacing w:val="-1"/>
        </w:rPr>
        <w:t>re</w:t>
      </w:r>
      <w:r w:rsidRPr="00FD02DE">
        <w:rPr>
          <w:rFonts w:cstheme="minorHAnsi"/>
        </w:rPr>
        <w:t>s</w:t>
      </w:r>
      <w:r w:rsidRPr="00FD02DE">
        <w:rPr>
          <w:rFonts w:cstheme="minorHAnsi"/>
          <w:spacing w:val="-1"/>
        </w:rPr>
        <w:t>e</w:t>
      </w:r>
      <w:r w:rsidRPr="00FD02DE">
        <w:rPr>
          <w:rFonts w:cstheme="minorHAnsi"/>
        </w:rPr>
        <w:t>nt.</w:t>
      </w:r>
    </w:p>
    <w:p w14:paraId="0336D301" w14:textId="77777777" w:rsidR="00272EB4" w:rsidRPr="00FD02DE" w:rsidRDefault="00272EB4" w:rsidP="00272EB4">
      <w:pPr>
        <w:widowControl w:val="0"/>
        <w:tabs>
          <w:tab w:val="left" w:pos="1540"/>
        </w:tabs>
        <w:spacing w:before="200" w:after="0" w:line="240" w:lineRule="auto"/>
        <w:ind w:right="-23"/>
        <w:jc w:val="both"/>
        <w:rPr>
          <w:rFonts w:cstheme="minorHAnsi"/>
        </w:rPr>
      </w:pPr>
      <w:r w:rsidRPr="00FD02DE">
        <w:rPr>
          <w:rFonts w:cstheme="minorHAnsi"/>
          <w:b/>
          <w:bCs/>
        </w:rPr>
        <w:t>C</w:t>
      </w:r>
      <w:r w:rsidRPr="00FD02DE">
        <w:rPr>
          <w:rFonts w:cstheme="minorHAnsi"/>
          <w:b/>
          <w:bCs/>
          <w:spacing w:val="1"/>
        </w:rPr>
        <w:t>h</w:t>
      </w:r>
      <w:r w:rsidRPr="00FD02DE">
        <w:rPr>
          <w:rFonts w:cstheme="minorHAnsi"/>
          <w:b/>
          <w:bCs/>
          <w:spacing w:val="-1"/>
        </w:rPr>
        <w:t>a</w:t>
      </w:r>
      <w:r w:rsidRPr="00FD02DE">
        <w:rPr>
          <w:rFonts w:cstheme="minorHAnsi"/>
          <w:b/>
          <w:bCs/>
          <w:spacing w:val="1"/>
        </w:rPr>
        <w:t>i</w:t>
      </w:r>
      <w:r w:rsidRPr="00FD02DE">
        <w:rPr>
          <w:rFonts w:cstheme="minorHAnsi"/>
          <w:b/>
          <w:bCs/>
          <w:spacing w:val="-1"/>
        </w:rPr>
        <w:t>r</w:t>
      </w:r>
      <w:r w:rsidRPr="00FD02DE">
        <w:rPr>
          <w:rFonts w:cstheme="minorHAnsi"/>
          <w:b/>
          <w:bCs/>
          <w:spacing w:val="1"/>
        </w:rPr>
        <w:t>p</w:t>
      </w:r>
      <w:r w:rsidRPr="00FD02DE">
        <w:rPr>
          <w:rFonts w:cstheme="minorHAnsi"/>
          <w:b/>
          <w:bCs/>
          <w:spacing w:val="-1"/>
        </w:rPr>
        <w:t>er</w:t>
      </w:r>
      <w:r w:rsidRPr="00FD02DE">
        <w:rPr>
          <w:rFonts w:cstheme="minorHAnsi"/>
          <w:b/>
          <w:bCs/>
        </w:rPr>
        <w:t>s</w:t>
      </w:r>
      <w:r w:rsidRPr="00FD02DE">
        <w:rPr>
          <w:rFonts w:cstheme="minorHAnsi"/>
          <w:b/>
          <w:bCs/>
          <w:spacing w:val="-1"/>
        </w:rPr>
        <w:t>on</w:t>
      </w:r>
    </w:p>
    <w:p w14:paraId="69497CDE" w14:textId="77777777" w:rsidR="00272EB4" w:rsidRPr="00FD02DE" w:rsidRDefault="00272EB4" w:rsidP="00272EB4">
      <w:pPr>
        <w:widowControl w:val="0"/>
        <w:spacing w:after="0" w:line="240" w:lineRule="auto"/>
        <w:ind w:right="74"/>
        <w:jc w:val="both"/>
        <w:rPr>
          <w:rFonts w:cstheme="minorHAnsi"/>
        </w:rPr>
      </w:pPr>
      <w:r w:rsidRPr="00FD02DE">
        <w:rPr>
          <w:rFonts w:cstheme="minorHAnsi"/>
        </w:rPr>
        <w:t xml:space="preserve">The </w:t>
      </w:r>
      <w:r w:rsidRPr="00FD02DE">
        <w:rPr>
          <w:rFonts w:cstheme="minorHAnsi"/>
          <w:spacing w:val="1"/>
        </w:rPr>
        <w:t>C</w:t>
      </w:r>
      <w:r w:rsidRPr="00FD02DE">
        <w:rPr>
          <w:rFonts w:cstheme="minorHAnsi"/>
        </w:rPr>
        <w:t>oun</w:t>
      </w:r>
      <w:r w:rsidRPr="00FD02DE">
        <w:rPr>
          <w:rFonts w:cstheme="minorHAnsi"/>
          <w:spacing w:val="-1"/>
        </w:rPr>
        <w:t>c</w:t>
      </w:r>
      <w:r w:rsidRPr="00FD02DE">
        <w:rPr>
          <w:rFonts w:cstheme="minorHAnsi"/>
        </w:rPr>
        <w:t>il</w:t>
      </w:r>
      <w:r w:rsidRPr="00FD02DE">
        <w:rPr>
          <w:rFonts w:cstheme="minorHAnsi"/>
          <w:spacing w:val="2"/>
        </w:rPr>
        <w:t xml:space="preserve"> </w:t>
      </w:r>
      <w:r w:rsidRPr="00FD02DE">
        <w:rPr>
          <w:rFonts w:cstheme="minorHAnsi"/>
          <w:spacing w:val="-1"/>
        </w:rPr>
        <w:t>a</w:t>
      </w:r>
      <w:r w:rsidRPr="00FD02DE">
        <w:rPr>
          <w:rFonts w:cstheme="minorHAnsi"/>
        </w:rPr>
        <w:t>ppoint</w:t>
      </w:r>
      <w:r w:rsidRPr="00FD02DE">
        <w:rPr>
          <w:rFonts w:cstheme="minorHAnsi"/>
          <w:spacing w:val="-1"/>
        </w:rPr>
        <w:t>e</w:t>
      </w:r>
      <w:r w:rsidRPr="00FD02DE">
        <w:rPr>
          <w:rFonts w:cstheme="minorHAnsi"/>
        </w:rPr>
        <w:t>d</w:t>
      </w:r>
      <w:r w:rsidRPr="00FD02DE">
        <w:rPr>
          <w:rFonts w:cstheme="minorHAnsi"/>
          <w:spacing w:val="1"/>
        </w:rPr>
        <w:t xml:space="preserve"> </w:t>
      </w:r>
      <w:r w:rsidRPr="00FD02DE">
        <w:rPr>
          <w:rFonts w:cstheme="minorHAnsi"/>
          <w:spacing w:val="3"/>
        </w:rPr>
        <w:t>C</w:t>
      </w:r>
      <w:r w:rsidRPr="00FD02DE">
        <w:rPr>
          <w:rFonts w:cstheme="minorHAnsi"/>
        </w:rPr>
        <w:t>h</w:t>
      </w:r>
      <w:r w:rsidRPr="00FD02DE">
        <w:rPr>
          <w:rFonts w:cstheme="minorHAnsi"/>
          <w:spacing w:val="-1"/>
        </w:rPr>
        <w:t>a</w:t>
      </w:r>
      <w:r w:rsidRPr="00FD02DE">
        <w:rPr>
          <w:rFonts w:cstheme="minorHAnsi"/>
        </w:rPr>
        <w:t>i</w:t>
      </w:r>
      <w:r w:rsidRPr="00FD02DE">
        <w:rPr>
          <w:rFonts w:cstheme="minorHAnsi"/>
          <w:spacing w:val="-1"/>
        </w:rPr>
        <w:t>r</w:t>
      </w:r>
      <w:r w:rsidRPr="00FD02DE">
        <w:rPr>
          <w:rFonts w:cstheme="minorHAnsi"/>
        </w:rPr>
        <w:t>p</w:t>
      </w:r>
      <w:r w:rsidRPr="00FD02DE">
        <w:rPr>
          <w:rFonts w:cstheme="minorHAnsi"/>
          <w:spacing w:val="-1"/>
        </w:rPr>
        <w:t>er</w:t>
      </w:r>
      <w:r w:rsidRPr="00FD02DE">
        <w:rPr>
          <w:rFonts w:cstheme="minorHAnsi"/>
        </w:rPr>
        <w:t>son</w:t>
      </w:r>
      <w:r w:rsidRPr="00FD02DE">
        <w:rPr>
          <w:rFonts w:cstheme="minorHAnsi"/>
          <w:spacing w:val="1"/>
        </w:rPr>
        <w:t xml:space="preserve"> </w:t>
      </w:r>
      <w:r w:rsidRPr="00FD02DE">
        <w:rPr>
          <w:rFonts w:cstheme="minorHAnsi"/>
        </w:rPr>
        <w:t>will</w:t>
      </w:r>
      <w:r w:rsidRPr="00FD02DE">
        <w:rPr>
          <w:rFonts w:cstheme="minorHAnsi"/>
          <w:spacing w:val="2"/>
        </w:rPr>
        <w:t xml:space="preserve"> </w:t>
      </w:r>
      <w:r w:rsidRPr="00FD02DE">
        <w:rPr>
          <w:rFonts w:cstheme="minorHAnsi"/>
        </w:rPr>
        <w:t>p</w:t>
      </w:r>
      <w:r w:rsidRPr="00FD02DE">
        <w:rPr>
          <w:rFonts w:cstheme="minorHAnsi"/>
          <w:spacing w:val="2"/>
        </w:rPr>
        <w:t>r</w:t>
      </w:r>
      <w:r w:rsidRPr="00FD02DE">
        <w:rPr>
          <w:rFonts w:cstheme="minorHAnsi"/>
          <w:spacing w:val="-1"/>
        </w:rPr>
        <w:t>e</w:t>
      </w:r>
      <w:r w:rsidRPr="00FD02DE">
        <w:rPr>
          <w:rFonts w:cstheme="minorHAnsi"/>
        </w:rPr>
        <w:t xml:space="preserve">side </w:t>
      </w:r>
      <w:r w:rsidRPr="00FD02DE">
        <w:rPr>
          <w:rFonts w:cstheme="minorHAnsi"/>
          <w:spacing w:val="-1"/>
        </w:rPr>
        <w:t>a</w:t>
      </w:r>
      <w:r w:rsidRPr="00FD02DE">
        <w:rPr>
          <w:rFonts w:cstheme="minorHAnsi"/>
        </w:rPr>
        <w:t>t</w:t>
      </w:r>
      <w:r w:rsidRPr="00FD02DE">
        <w:rPr>
          <w:rFonts w:cstheme="minorHAnsi"/>
          <w:spacing w:val="4"/>
        </w:rPr>
        <w:t xml:space="preserve"> </w:t>
      </w:r>
      <w:r w:rsidRPr="00FD02DE">
        <w:rPr>
          <w:rFonts w:cstheme="minorHAnsi"/>
          <w:spacing w:val="-1"/>
        </w:rPr>
        <w:t>a</w:t>
      </w:r>
      <w:r w:rsidRPr="00FD02DE">
        <w:rPr>
          <w:rFonts w:cstheme="minorHAnsi"/>
        </w:rPr>
        <w:t>ll</w:t>
      </w:r>
      <w:r w:rsidRPr="00FD02DE">
        <w:rPr>
          <w:rFonts w:cstheme="minorHAnsi"/>
          <w:spacing w:val="2"/>
        </w:rPr>
        <w:t xml:space="preserve"> </w:t>
      </w:r>
      <w:r w:rsidRPr="00FD02DE">
        <w:rPr>
          <w:rFonts w:cstheme="minorHAnsi"/>
        </w:rPr>
        <w:t>m</w:t>
      </w:r>
      <w:r w:rsidRPr="00FD02DE">
        <w:rPr>
          <w:rFonts w:cstheme="minorHAnsi"/>
          <w:spacing w:val="-1"/>
        </w:rPr>
        <w:t>ee</w:t>
      </w:r>
      <w:r w:rsidRPr="00FD02DE">
        <w:rPr>
          <w:rFonts w:cstheme="minorHAnsi"/>
        </w:rPr>
        <w:t>tin</w:t>
      </w:r>
      <w:r w:rsidRPr="00FD02DE">
        <w:rPr>
          <w:rFonts w:cstheme="minorHAnsi"/>
          <w:spacing w:val="-2"/>
        </w:rPr>
        <w:t>g</w:t>
      </w:r>
      <w:r w:rsidRPr="00FD02DE">
        <w:rPr>
          <w:rFonts w:cstheme="minorHAnsi"/>
        </w:rPr>
        <w:t xml:space="preserve">s. </w:t>
      </w:r>
      <w:r w:rsidRPr="00FD02DE">
        <w:rPr>
          <w:rFonts w:cstheme="minorHAnsi"/>
          <w:spacing w:val="13"/>
        </w:rPr>
        <w:t xml:space="preserve"> </w:t>
      </w:r>
      <w:r w:rsidRPr="00FD02DE">
        <w:rPr>
          <w:rFonts w:cstheme="minorHAnsi"/>
          <w:spacing w:val="-3"/>
        </w:rPr>
        <w:t>I</w:t>
      </w:r>
      <w:r w:rsidRPr="00FD02DE">
        <w:rPr>
          <w:rFonts w:cstheme="minorHAnsi"/>
        </w:rPr>
        <w:t>n</w:t>
      </w:r>
      <w:r w:rsidRPr="00FD02DE">
        <w:rPr>
          <w:rFonts w:cstheme="minorHAnsi"/>
          <w:spacing w:val="1"/>
        </w:rPr>
        <w:t xml:space="preserve"> </w:t>
      </w:r>
      <w:r w:rsidRPr="00FD02DE">
        <w:rPr>
          <w:rFonts w:cstheme="minorHAnsi"/>
        </w:rPr>
        <w:t xml:space="preserve">the </w:t>
      </w:r>
      <w:proofErr w:type="gramStart"/>
      <w:r w:rsidRPr="00FD02DE">
        <w:rPr>
          <w:rFonts w:cstheme="minorHAnsi"/>
          <w:spacing w:val="-1"/>
        </w:rPr>
        <w:t>a</w:t>
      </w:r>
      <w:r w:rsidRPr="00FD02DE">
        <w:rPr>
          <w:rFonts w:cstheme="minorHAnsi"/>
        </w:rPr>
        <w:t>bs</w:t>
      </w:r>
      <w:r w:rsidRPr="00FD02DE">
        <w:rPr>
          <w:rFonts w:cstheme="minorHAnsi"/>
          <w:spacing w:val="-1"/>
        </w:rPr>
        <w:t>e</w:t>
      </w:r>
      <w:r w:rsidRPr="00FD02DE">
        <w:rPr>
          <w:rFonts w:cstheme="minorHAnsi"/>
        </w:rPr>
        <w:t>n</w:t>
      </w:r>
      <w:r w:rsidRPr="00FD02DE">
        <w:rPr>
          <w:rFonts w:cstheme="minorHAnsi"/>
          <w:spacing w:val="-1"/>
        </w:rPr>
        <w:t>c</w:t>
      </w:r>
      <w:r w:rsidRPr="00FD02DE">
        <w:rPr>
          <w:rFonts w:cstheme="minorHAnsi"/>
        </w:rPr>
        <w:t xml:space="preserve">e </w:t>
      </w:r>
      <w:r w:rsidRPr="00FD02DE">
        <w:rPr>
          <w:rFonts w:cstheme="minorHAnsi"/>
          <w:spacing w:val="6"/>
        </w:rPr>
        <w:t xml:space="preserve"> </w:t>
      </w:r>
      <w:r w:rsidRPr="00FD02DE">
        <w:rPr>
          <w:rFonts w:cstheme="minorHAnsi"/>
        </w:rPr>
        <w:t>of</w:t>
      </w:r>
      <w:proofErr w:type="gramEnd"/>
      <w:r w:rsidRPr="00FD02DE">
        <w:rPr>
          <w:rFonts w:cstheme="minorHAnsi"/>
        </w:rPr>
        <w:t xml:space="preserve"> </w:t>
      </w:r>
      <w:r w:rsidRPr="00FD02DE">
        <w:rPr>
          <w:rFonts w:cstheme="minorHAnsi"/>
          <w:spacing w:val="7"/>
        </w:rPr>
        <w:t xml:space="preserve"> </w:t>
      </w:r>
      <w:r w:rsidRPr="00FD02DE">
        <w:rPr>
          <w:rFonts w:cstheme="minorHAnsi"/>
        </w:rPr>
        <w:t xml:space="preserve">the </w:t>
      </w:r>
      <w:r w:rsidRPr="00FD02DE">
        <w:rPr>
          <w:rFonts w:cstheme="minorHAnsi"/>
          <w:spacing w:val="4"/>
        </w:rPr>
        <w:t xml:space="preserve"> </w:t>
      </w:r>
      <w:r w:rsidRPr="00FD02DE">
        <w:rPr>
          <w:rFonts w:cstheme="minorHAnsi"/>
          <w:spacing w:val="1"/>
        </w:rPr>
        <w:t>C</w:t>
      </w:r>
      <w:r w:rsidRPr="00FD02DE">
        <w:rPr>
          <w:rFonts w:cstheme="minorHAnsi"/>
        </w:rPr>
        <w:t>h</w:t>
      </w:r>
      <w:r w:rsidRPr="00FD02DE">
        <w:rPr>
          <w:rFonts w:cstheme="minorHAnsi"/>
          <w:spacing w:val="-1"/>
        </w:rPr>
        <w:t>a</w:t>
      </w:r>
      <w:r w:rsidRPr="00FD02DE">
        <w:rPr>
          <w:rFonts w:cstheme="minorHAnsi"/>
        </w:rPr>
        <w:t>i</w:t>
      </w:r>
      <w:r w:rsidRPr="00FD02DE">
        <w:rPr>
          <w:rFonts w:cstheme="minorHAnsi"/>
          <w:spacing w:val="-1"/>
        </w:rPr>
        <w:t>r</w:t>
      </w:r>
      <w:r w:rsidRPr="00FD02DE">
        <w:rPr>
          <w:rFonts w:cstheme="minorHAnsi"/>
          <w:spacing w:val="2"/>
        </w:rPr>
        <w:t>p</w:t>
      </w:r>
      <w:r w:rsidRPr="00FD02DE">
        <w:rPr>
          <w:rFonts w:cstheme="minorHAnsi"/>
          <w:spacing w:val="1"/>
        </w:rPr>
        <w:t>e</w:t>
      </w:r>
      <w:r w:rsidRPr="00FD02DE">
        <w:rPr>
          <w:rFonts w:cstheme="minorHAnsi"/>
          <w:spacing w:val="-1"/>
        </w:rPr>
        <w:t>r</w:t>
      </w:r>
      <w:r w:rsidRPr="00FD02DE">
        <w:rPr>
          <w:rFonts w:cstheme="minorHAnsi"/>
        </w:rPr>
        <w:t xml:space="preserve">son, </w:t>
      </w:r>
      <w:r w:rsidRPr="00FD02DE">
        <w:rPr>
          <w:rFonts w:cstheme="minorHAnsi"/>
          <w:spacing w:val="5"/>
        </w:rPr>
        <w:t xml:space="preserve"> </w:t>
      </w:r>
      <w:r w:rsidRPr="00FD02DE">
        <w:rPr>
          <w:rFonts w:cstheme="minorHAnsi"/>
        </w:rPr>
        <w:t xml:space="preserve">a </w:t>
      </w:r>
      <w:r w:rsidRPr="00FD02DE">
        <w:rPr>
          <w:rFonts w:cstheme="minorHAnsi"/>
          <w:spacing w:val="4"/>
        </w:rPr>
        <w:t xml:space="preserve"> </w:t>
      </w:r>
      <w:r w:rsidRPr="00FD02DE">
        <w:rPr>
          <w:rFonts w:cstheme="minorHAnsi"/>
          <w:spacing w:val="2"/>
        </w:rPr>
        <w:t>p</w:t>
      </w:r>
      <w:r w:rsidRPr="00FD02DE">
        <w:rPr>
          <w:rFonts w:cstheme="minorHAnsi"/>
          <w:spacing w:val="-1"/>
        </w:rPr>
        <w:t>er</w:t>
      </w:r>
      <w:r w:rsidRPr="00FD02DE">
        <w:rPr>
          <w:rFonts w:cstheme="minorHAnsi"/>
        </w:rPr>
        <w:t xml:space="preserve">son </w:t>
      </w:r>
      <w:r w:rsidRPr="00FD02DE">
        <w:rPr>
          <w:rFonts w:cstheme="minorHAnsi"/>
          <w:spacing w:val="7"/>
        </w:rPr>
        <w:t xml:space="preserve"> </w:t>
      </w:r>
      <w:r w:rsidRPr="00FD02DE">
        <w:rPr>
          <w:rFonts w:cstheme="minorHAnsi"/>
          <w:spacing w:val="-1"/>
        </w:rPr>
        <w:t>e</w:t>
      </w:r>
      <w:r w:rsidRPr="00FD02DE">
        <w:rPr>
          <w:rFonts w:cstheme="minorHAnsi"/>
        </w:rPr>
        <w:t>l</w:t>
      </w:r>
      <w:r w:rsidRPr="00FD02DE">
        <w:rPr>
          <w:rFonts w:cstheme="minorHAnsi"/>
          <w:spacing w:val="-1"/>
        </w:rPr>
        <w:t>ec</w:t>
      </w:r>
      <w:r w:rsidRPr="00FD02DE">
        <w:rPr>
          <w:rFonts w:cstheme="minorHAnsi"/>
          <w:spacing w:val="3"/>
        </w:rPr>
        <w:t>t</w:t>
      </w:r>
      <w:r w:rsidRPr="00FD02DE">
        <w:rPr>
          <w:rFonts w:cstheme="minorHAnsi"/>
          <w:spacing w:val="-1"/>
        </w:rPr>
        <w:t>e</w:t>
      </w:r>
      <w:r w:rsidRPr="00FD02DE">
        <w:rPr>
          <w:rFonts w:cstheme="minorHAnsi"/>
        </w:rPr>
        <w:t xml:space="preserve">d </w:t>
      </w:r>
      <w:r w:rsidRPr="00FD02DE">
        <w:rPr>
          <w:rFonts w:cstheme="minorHAnsi"/>
          <w:spacing w:val="7"/>
        </w:rPr>
        <w:t xml:space="preserve"> </w:t>
      </w:r>
      <w:r w:rsidRPr="00FD02DE">
        <w:rPr>
          <w:rFonts w:cstheme="minorHAnsi"/>
          <w:spacing w:val="2"/>
        </w:rPr>
        <w:t>b</w:t>
      </w:r>
      <w:r w:rsidRPr="00FD02DE">
        <w:rPr>
          <w:rFonts w:cstheme="minorHAnsi"/>
        </w:rPr>
        <w:t>y  t</w:t>
      </w:r>
      <w:r w:rsidRPr="00FD02DE">
        <w:rPr>
          <w:rFonts w:cstheme="minorHAnsi"/>
          <w:spacing w:val="2"/>
        </w:rPr>
        <w:t>h</w:t>
      </w:r>
      <w:r w:rsidRPr="00FD02DE">
        <w:rPr>
          <w:rFonts w:cstheme="minorHAnsi"/>
        </w:rPr>
        <w:t xml:space="preserve">e </w:t>
      </w:r>
      <w:r w:rsidRPr="00FD02DE">
        <w:rPr>
          <w:rFonts w:cstheme="minorHAnsi"/>
          <w:spacing w:val="4"/>
        </w:rPr>
        <w:t xml:space="preserve"> </w:t>
      </w:r>
      <w:r w:rsidRPr="00FD02DE">
        <w:rPr>
          <w:rFonts w:cstheme="minorHAnsi"/>
        </w:rPr>
        <w:t>quo</w:t>
      </w:r>
      <w:r w:rsidRPr="00FD02DE">
        <w:rPr>
          <w:rFonts w:cstheme="minorHAnsi"/>
          <w:spacing w:val="-1"/>
        </w:rPr>
        <w:t>r</w:t>
      </w:r>
      <w:r w:rsidRPr="00FD02DE">
        <w:rPr>
          <w:rFonts w:cstheme="minorHAnsi"/>
        </w:rPr>
        <w:t xml:space="preserve">um </w:t>
      </w:r>
      <w:r w:rsidRPr="00FD02DE">
        <w:rPr>
          <w:rFonts w:cstheme="minorHAnsi"/>
          <w:spacing w:val="8"/>
        </w:rPr>
        <w:t xml:space="preserve"> </w:t>
      </w:r>
      <w:r w:rsidRPr="00FD02DE">
        <w:rPr>
          <w:rFonts w:cstheme="minorHAnsi"/>
        </w:rPr>
        <w:t xml:space="preserve">will </w:t>
      </w:r>
      <w:r w:rsidRPr="00FD02DE">
        <w:rPr>
          <w:rFonts w:cstheme="minorHAnsi"/>
          <w:spacing w:val="-1"/>
        </w:rPr>
        <w:t>a</w:t>
      </w:r>
      <w:r w:rsidRPr="00FD02DE">
        <w:rPr>
          <w:rFonts w:cstheme="minorHAnsi"/>
        </w:rPr>
        <w:t>ss</w:t>
      </w:r>
      <w:r w:rsidRPr="00FD02DE">
        <w:rPr>
          <w:rFonts w:cstheme="minorHAnsi"/>
          <w:spacing w:val="-1"/>
        </w:rPr>
        <w:t>u</w:t>
      </w:r>
      <w:r w:rsidRPr="00FD02DE">
        <w:rPr>
          <w:rFonts w:cstheme="minorHAnsi"/>
          <w:spacing w:val="1"/>
        </w:rPr>
        <w:t>m</w:t>
      </w:r>
      <w:r w:rsidRPr="00FD02DE">
        <w:rPr>
          <w:rFonts w:cstheme="minorHAnsi"/>
        </w:rPr>
        <w:t>e</w:t>
      </w:r>
      <w:r w:rsidRPr="00FD02DE">
        <w:rPr>
          <w:rFonts w:cstheme="minorHAnsi"/>
          <w:spacing w:val="-1"/>
        </w:rPr>
        <w:t xml:space="preserve"> </w:t>
      </w:r>
      <w:r w:rsidRPr="00FD02DE">
        <w:rPr>
          <w:rFonts w:cstheme="minorHAnsi"/>
        </w:rPr>
        <w:t>t</w:t>
      </w:r>
      <w:r w:rsidRPr="00FD02DE">
        <w:rPr>
          <w:rFonts w:cstheme="minorHAnsi"/>
          <w:spacing w:val="-1"/>
        </w:rPr>
        <w:t>h</w:t>
      </w:r>
      <w:r w:rsidRPr="00FD02DE">
        <w:rPr>
          <w:rFonts w:cstheme="minorHAnsi"/>
        </w:rPr>
        <w:t xml:space="preserve">e </w:t>
      </w:r>
      <w:r w:rsidRPr="00FD02DE">
        <w:rPr>
          <w:rFonts w:cstheme="minorHAnsi"/>
          <w:spacing w:val="1"/>
        </w:rPr>
        <w:t>C</w:t>
      </w:r>
      <w:r w:rsidRPr="00FD02DE">
        <w:rPr>
          <w:rFonts w:cstheme="minorHAnsi"/>
          <w:spacing w:val="-1"/>
        </w:rPr>
        <w:t>h</w:t>
      </w:r>
      <w:r w:rsidRPr="00FD02DE">
        <w:rPr>
          <w:rFonts w:cstheme="minorHAnsi"/>
        </w:rPr>
        <w:t>ai</w:t>
      </w:r>
      <w:r w:rsidRPr="00FD02DE">
        <w:rPr>
          <w:rFonts w:cstheme="minorHAnsi"/>
          <w:spacing w:val="-1"/>
        </w:rPr>
        <w:t>r</w:t>
      </w:r>
      <w:r w:rsidRPr="00FD02DE">
        <w:rPr>
          <w:rFonts w:cstheme="minorHAnsi"/>
        </w:rPr>
        <w:t>.</w:t>
      </w:r>
    </w:p>
    <w:p w14:paraId="434830A2" w14:textId="77777777" w:rsidR="00272EB4" w:rsidRPr="00FD02DE" w:rsidRDefault="00272EB4" w:rsidP="00272EB4">
      <w:pPr>
        <w:widowControl w:val="0"/>
        <w:tabs>
          <w:tab w:val="left" w:pos="1540"/>
        </w:tabs>
        <w:spacing w:before="200" w:after="60" w:line="240" w:lineRule="auto"/>
        <w:ind w:right="-23"/>
        <w:jc w:val="both"/>
        <w:rPr>
          <w:rFonts w:cstheme="minorHAnsi"/>
        </w:rPr>
      </w:pPr>
      <w:r w:rsidRPr="00FD02DE">
        <w:rPr>
          <w:rFonts w:cstheme="minorHAnsi"/>
          <w:b/>
          <w:bCs/>
        </w:rPr>
        <w:t>Ag</w:t>
      </w:r>
      <w:r w:rsidRPr="00FD02DE">
        <w:rPr>
          <w:rFonts w:cstheme="minorHAnsi"/>
          <w:b/>
          <w:bCs/>
          <w:spacing w:val="-1"/>
        </w:rPr>
        <w:t>e</w:t>
      </w:r>
      <w:r w:rsidRPr="00FD02DE">
        <w:rPr>
          <w:rFonts w:cstheme="minorHAnsi"/>
          <w:b/>
          <w:bCs/>
          <w:spacing w:val="1"/>
        </w:rPr>
        <w:t>nd</w:t>
      </w:r>
      <w:r w:rsidRPr="00FD02DE">
        <w:rPr>
          <w:rFonts w:cstheme="minorHAnsi"/>
          <w:b/>
          <w:bCs/>
        </w:rPr>
        <w:t>as</w:t>
      </w:r>
    </w:p>
    <w:p w14:paraId="437E9B7B" w14:textId="77777777" w:rsidR="00272EB4" w:rsidRPr="00FD02DE" w:rsidRDefault="00272EB4" w:rsidP="00272EB4">
      <w:pPr>
        <w:pStyle w:val="ListParagraph"/>
        <w:numPr>
          <w:ilvl w:val="0"/>
          <w:numId w:val="337"/>
        </w:numPr>
        <w:spacing w:after="60" w:line="240" w:lineRule="auto"/>
        <w:ind w:left="425" w:hanging="425"/>
        <w:contextualSpacing w:val="0"/>
        <w:jc w:val="both"/>
        <w:rPr>
          <w:rFonts w:cstheme="minorHAnsi"/>
        </w:rPr>
      </w:pPr>
      <w:r w:rsidRPr="00FD02DE">
        <w:rPr>
          <w:rFonts w:cstheme="minorHAnsi"/>
          <w:spacing w:val="1"/>
        </w:rPr>
        <w:t xml:space="preserve">The Chief Executive Officer will determine the </w:t>
      </w:r>
      <w:proofErr w:type="gramStart"/>
      <w:r w:rsidRPr="00FD02DE">
        <w:rPr>
          <w:rFonts w:cstheme="minorHAnsi"/>
          <w:spacing w:val="1"/>
        </w:rPr>
        <w:t>Agenda</w:t>
      </w:r>
      <w:proofErr w:type="gramEnd"/>
      <w:r w:rsidRPr="00FD02DE">
        <w:rPr>
          <w:rFonts w:cstheme="minorHAnsi"/>
          <w:spacing w:val="1"/>
        </w:rPr>
        <w:t xml:space="preserve"> for each meeting.</w:t>
      </w:r>
      <w:r>
        <w:rPr>
          <w:rFonts w:cstheme="minorHAnsi"/>
          <w:spacing w:val="1"/>
        </w:rPr>
        <w:t xml:space="preserve"> </w:t>
      </w:r>
      <w:r w:rsidRPr="00FD02DE">
        <w:rPr>
          <w:rFonts w:cstheme="minorHAnsi"/>
        </w:rPr>
        <w:t>All m</w:t>
      </w:r>
      <w:r w:rsidRPr="00FD02DE">
        <w:rPr>
          <w:rFonts w:cstheme="minorHAnsi"/>
          <w:spacing w:val="-1"/>
        </w:rPr>
        <w:t>ee</w:t>
      </w:r>
      <w:r w:rsidRPr="00FD02DE">
        <w:rPr>
          <w:rFonts w:cstheme="minorHAnsi"/>
        </w:rPr>
        <w:t>tin</w:t>
      </w:r>
      <w:r w:rsidRPr="00FD02DE">
        <w:rPr>
          <w:rFonts w:cstheme="minorHAnsi"/>
          <w:spacing w:val="-3"/>
        </w:rPr>
        <w:t>g</w:t>
      </w:r>
      <w:r w:rsidRPr="00FD02DE">
        <w:rPr>
          <w:rFonts w:cstheme="minorHAnsi"/>
        </w:rPr>
        <w:t>s sh</w:t>
      </w:r>
      <w:r w:rsidRPr="00FD02DE">
        <w:rPr>
          <w:rFonts w:cstheme="minorHAnsi"/>
          <w:spacing w:val="-1"/>
        </w:rPr>
        <w:t>a</w:t>
      </w:r>
      <w:r w:rsidRPr="00FD02DE">
        <w:rPr>
          <w:rFonts w:cstheme="minorHAnsi"/>
        </w:rPr>
        <w:t>ll be</w:t>
      </w:r>
      <w:r w:rsidRPr="00FD02DE">
        <w:rPr>
          <w:rFonts w:cstheme="minorHAnsi"/>
          <w:spacing w:val="1"/>
        </w:rPr>
        <w:t xml:space="preserve"> </w:t>
      </w:r>
      <w:r w:rsidRPr="00FD02DE">
        <w:rPr>
          <w:rFonts w:cstheme="minorHAnsi"/>
          <w:spacing w:val="-1"/>
        </w:rPr>
        <w:t>c</w:t>
      </w:r>
      <w:r w:rsidRPr="00FD02DE">
        <w:rPr>
          <w:rFonts w:cstheme="minorHAnsi"/>
        </w:rPr>
        <w:t>o</w:t>
      </w:r>
      <w:r w:rsidRPr="00FD02DE">
        <w:rPr>
          <w:rFonts w:cstheme="minorHAnsi"/>
          <w:spacing w:val="2"/>
        </w:rPr>
        <w:t>n</w:t>
      </w:r>
      <w:r w:rsidRPr="00FD02DE">
        <w:rPr>
          <w:rFonts w:cstheme="minorHAnsi"/>
          <w:spacing w:val="-1"/>
        </w:rPr>
        <w:t>f</w:t>
      </w:r>
      <w:r w:rsidRPr="00FD02DE">
        <w:rPr>
          <w:rFonts w:cstheme="minorHAnsi"/>
        </w:rPr>
        <w:t>in</w:t>
      </w:r>
      <w:r w:rsidRPr="00FD02DE">
        <w:rPr>
          <w:rFonts w:cstheme="minorHAnsi"/>
          <w:spacing w:val="-1"/>
        </w:rPr>
        <w:t>e</w:t>
      </w:r>
      <w:r w:rsidRPr="00FD02DE">
        <w:rPr>
          <w:rFonts w:cstheme="minorHAnsi"/>
        </w:rPr>
        <w:t>d to it</w:t>
      </w:r>
      <w:r w:rsidRPr="00FD02DE">
        <w:rPr>
          <w:rFonts w:cstheme="minorHAnsi"/>
          <w:spacing w:val="-1"/>
        </w:rPr>
        <w:t>e</w:t>
      </w:r>
      <w:r w:rsidRPr="00FD02DE">
        <w:rPr>
          <w:rFonts w:cstheme="minorHAnsi"/>
        </w:rPr>
        <w:t>ms list</w:t>
      </w:r>
      <w:r w:rsidRPr="00FD02DE">
        <w:rPr>
          <w:rFonts w:cstheme="minorHAnsi"/>
          <w:spacing w:val="-1"/>
        </w:rPr>
        <w:t>e</w:t>
      </w:r>
      <w:r w:rsidRPr="00FD02DE">
        <w:rPr>
          <w:rFonts w:cstheme="minorHAnsi"/>
        </w:rPr>
        <w:t xml:space="preserve">d on </w:t>
      </w:r>
      <w:r w:rsidRPr="00FD02DE">
        <w:rPr>
          <w:rFonts w:cstheme="minorHAnsi"/>
          <w:spacing w:val="-1"/>
        </w:rPr>
        <w:t>t</w:t>
      </w:r>
      <w:r w:rsidRPr="00FD02DE">
        <w:rPr>
          <w:rFonts w:cstheme="minorHAnsi"/>
          <w:spacing w:val="-2"/>
        </w:rPr>
        <w:t>h</w:t>
      </w:r>
      <w:r w:rsidRPr="00FD02DE">
        <w:rPr>
          <w:rFonts w:cstheme="minorHAnsi"/>
        </w:rPr>
        <w:t>e</w:t>
      </w:r>
      <w:r w:rsidRPr="00FD02DE">
        <w:rPr>
          <w:rFonts w:cstheme="minorHAnsi"/>
          <w:spacing w:val="-1"/>
        </w:rPr>
        <w:t xml:space="preserve"> </w:t>
      </w:r>
      <w:proofErr w:type="gramStart"/>
      <w:r w:rsidRPr="00FD02DE">
        <w:rPr>
          <w:rFonts w:cstheme="minorHAnsi"/>
          <w:spacing w:val="2"/>
        </w:rPr>
        <w:t>A</w:t>
      </w:r>
      <w:r w:rsidRPr="00FD02DE">
        <w:rPr>
          <w:rFonts w:cstheme="minorHAnsi"/>
          <w:spacing w:val="-2"/>
        </w:rPr>
        <w:t>g</w:t>
      </w:r>
      <w:r w:rsidRPr="00FD02DE">
        <w:rPr>
          <w:rFonts w:cstheme="minorHAnsi"/>
          <w:spacing w:val="-1"/>
        </w:rPr>
        <w:t>e</w:t>
      </w:r>
      <w:r w:rsidRPr="00FD02DE">
        <w:rPr>
          <w:rFonts w:cstheme="minorHAnsi"/>
        </w:rPr>
        <w:t>nd</w:t>
      </w:r>
      <w:r w:rsidRPr="00FD02DE">
        <w:rPr>
          <w:rFonts w:cstheme="minorHAnsi"/>
          <w:spacing w:val="-2"/>
        </w:rPr>
        <w:t>a</w:t>
      </w:r>
      <w:proofErr w:type="gramEnd"/>
      <w:r w:rsidRPr="00FD02DE">
        <w:rPr>
          <w:rFonts w:cstheme="minorHAnsi"/>
        </w:rPr>
        <w:t>.</w:t>
      </w:r>
      <w:r>
        <w:rPr>
          <w:rFonts w:cstheme="minorHAnsi"/>
        </w:rPr>
        <w:t xml:space="preserve"> </w:t>
      </w:r>
      <w:r w:rsidRPr="00FD02DE">
        <w:rPr>
          <w:rFonts w:cstheme="minorHAnsi"/>
        </w:rPr>
        <w:t>Ag</w:t>
      </w:r>
      <w:r w:rsidRPr="00FD02DE">
        <w:rPr>
          <w:rFonts w:cstheme="minorHAnsi"/>
          <w:spacing w:val="-1"/>
        </w:rPr>
        <w:t>e</w:t>
      </w:r>
      <w:r w:rsidRPr="00FD02DE">
        <w:rPr>
          <w:rFonts w:cstheme="minorHAnsi"/>
        </w:rPr>
        <w:t>nd</w:t>
      </w:r>
      <w:r w:rsidRPr="00FD02DE">
        <w:rPr>
          <w:rFonts w:cstheme="minorHAnsi"/>
          <w:spacing w:val="-2"/>
        </w:rPr>
        <w:t>a</w:t>
      </w:r>
      <w:r w:rsidRPr="00FD02DE">
        <w:rPr>
          <w:rFonts w:cstheme="minorHAnsi"/>
        </w:rPr>
        <w:t>s</w:t>
      </w:r>
      <w:r w:rsidRPr="00FD02DE">
        <w:rPr>
          <w:rFonts w:cstheme="minorHAnsi"/>
          <w:spacing w:val="55"/>
        </w:rPr>
        <w:t xml:space="preserve"> </w:t>
      </w:r>
      <w:r w:rsidRPr="00FD02DE">
        <w:rPr>
          <w:rFonts w:cstheme="minorHAnsi"/>
        </w:rPr>
        <w:t>will</w:t>
      </w:r>
      <w:r w:rsidRPr="00FD02DE">
        <w:rPr>
          <w:rFonts w:cstheme="minorHAnsi"/>
          <w:spacing w:val="56"/>
        </w:rPr>
        <w:t xml:space="preserve"> </w:t>
      </w:r>
      <w:r w:rsidRPr="00FD02DE">
        <w:rPr>
          <w:rFonts w:cstheme="minorHAnsi"/>
        </w:rPr>
        <w:t>be</w:t>
      </w:r>
      <w:r w:rsidRPr="00FD02DE">
        <w:rPr>
          <w:rFonts w:cstheme="minorHAnsi"/>
          <w:spacing w:val="54"/>
        </w:rPr>
        <w:t xml:space="preserve"> </w:t>
      </w:r>
      <w:r w:rsidRPr="00FD02DE">
        <w:rPr>
          <w:rFonts w:cstheme="minorHAnsi"/>
        </w:rPr>
        <w:t>dist</w:t>
      </w:r>
      <w:r w:rsidRPr="00FD02DE">
        <w:rPr>
          <w:rFonts w:cstheme="minorHAnsi"/>
          <w:spacing w:val="-1"/>
        </w:rPr>
        <w:t>r</w:t>
      </w:r>
      <w:r w:rsidRPr="00FD02DE">
        <w:rPr>
          <w:rFonts w:cstheme="minorHAnsi"/>
        </w:rPr>
        <w:t>ibut</w:t>
      </w:r>
      <w:r w:rsidRPr="00FD02DE">
        <w:rPr>
          <w:rFonts w:cstheme="minorHAnsi"/>
          <w:spacing w:val="-1"/>
        </w:rPr>
        <w:t>e</w:t>
      </w:r>
      <w:r w:rsidRPr="00FD02DE">
        <w:rPr>
          <w:rFonts w:cstheme="minorHAnsi"/>
        </w:rPr>
        <w:t>d</w:t>
      </w:r>
      <w:r w:rsidRPr="00FD02DE">
        <w:rPr>
          <w:rFonts w:cstheme="minorHAnsi"/>
          <w:spacing w:val="55"/>
        </w:rPr>
        <w:t xml:space="preserve"> </w:t>
      </w:r>
      <w:r w:rsidRPr="00FD02DE">
        <w:rPr>
          <w:rFonts w:cstheme="minorHAnsi"/>
        </w:rPr>
        <w:t>to</w:t>
      </w:r>
      <w:r w:rsidRPr="00FD02DE">
        <w:rPr>
          <w:rFonts w:cstheme="minorHAnsi"/>
          <w:spacing w:val="55"/>
        </w:rPr>
        <w:t xml:space="preserve"> </w:t>
      </w:r>
      <w:r w:rsidRPr="00FD02DE">
        <w:rPr>
          <w:rFonts w:cstheme="minorHAnsi"/>
          <w:spacing w:val="-1"/>
        </w:rPr>
        <w:t>a</w:t>
      </w:r>
      <w:r w:rsidRPr="00FD02DE">
        <w:rPr>
          <w:rFonts w:cstheme="minorHAnsi"/>
        </w:rPr>
        <w:t>ll</w:t>
      </w:r>
      <w:r w:rsidRPr="00FD02DE">
        <w:rPr>
          <w:rFonts w:cstheme="minorHAnsi"/>
          <w:spacing w:val="56"/>
        </w:rPr>
        <w:t xml:space="preserve"> </w:t>
      </w:r>
      <w:r w:rsidRPr="00FD02DE">
        <w:rPr>
          <w:rFonts w:cstheme="minorHAnsi"/>
        </w:rPr>
        <w:t>m</w:t>
      </w:r>
      <w:r w:rsidRPr="00FD02DE">
        <w:rPr>
          <w:rFonts w:cstheme="minorHAnsi"/>
          <w:spacing w:val="-1"/>
        </w:rPr>
        <w:t>e</w:t>
      </w:r>
      <w:r w:rsidRPr="00FD02DE">
        <w:rPr>
          <w:rFonts w:cstheme="minorHAnsi"/>
        </w:rPr>
        <w:t>mb</w:t>
      </w:r>
      <w:r w:rsidRPr="00FD02DE">
        <w:rPr>
          <w:rFonts w:cstheme="minorHAnsi"/>
          <w:spacing w:val="-1"/>
        </w:rPr>
        <w:t>er</w:t>
      </w:r>
      <w:r w:rsidRPr="00FD02DE">
        <w:rPr>
          <w:rFonts w:cstheme="minorHAnsi"/>
        </w:rPr>
        <w:t>s</w:t>
      </w:r>
      <w:r w:rsidRPr="00FD02DE">
        <w:rPr>
          <w:rFonts w:cstheme="minorHAnsi"/>
          <w:spacing w:val="55"/>
        </w:rPr>
        <w:t xml:space="preserve"> </w:t>
      </w:r>
      <w:r w:rsidRPr="00FD02DE">
        <w:rPr>
          <w:rFonts w:cstheme="minorHAnsi"/>
          <w:spacing w:val="-1"/>
        </w:rPr>
        <w:t>a</w:t>
      </w:r>
      <w:r w:rsidRPr="00FD02DE">
        <w:rPr>
          <w:rFonts w:cstheme="minorHAnsi"/>
        </w:rPr>
        <w:t>t</w:t>
      </w:r>
      <w:r w:rsidRPr="00FD02DE">
        <w:rPr>
          <w:rFonts w:cstheme="minorHAnsi"/>
          <w:spacing w:val="56"/>
        </w:rPr>
        <w:t xml:space="preserve"> </w:t>
      </w:r>
      <w:r w:rsidRPr="00FD02DE">
        <w:rPr>
          <w:rFonts w:cstheme="minorHAnsi"/>
        </w:rPr>
        <w:t>l</w:t>
      </w:r>
      <w:r w:rsidRPr="00FD02DE">
        <w:rPr>
          <w:rFonts w:cstheme="minorHAnsi"/>
          <w:spacing w:val="-1"/>
        </w:rPr>
        <w:t>ea</w:t>
      </w:r>
      <w:r w:rsidRPr="00FD02DE">
        <w:rPr>
          <w:rFonts w:cstheme="minorHAnsi"/>
        </w:rPr>
        <w:t>st</w:t>
      </w:r>
      <w:r w:rsidRPr="00FD02DE">
        <w:rPr>
          <w:rFonts w:cstheme="minorHAnsi"/>
          <w:spacing w:val="56"/>
        </w:rPr>
        <w:t xml:space="preserve"> </w:t>
      </w:r>
      <w:r w:rsidRPr="00FD02DE">
        <w:rPr>
          <w:rFonts w:cstheme="minorHAnsi"/>
          <w:spacing w:val="-1"/>
        </w:rPr>
        <w:t>four</w:t>
      </w:r>
      <w:r w:rsidRPr="00FD02DE">
        <w:rPr>
          <w:rFonts w:cstheme="minorHAnsi"/>
          <w:spacing w:val="55"/>
        </w:rPr>
        <w:t xml:space="preserve"> </w:t>
      </w:r>
      <w:r w:rsidRPr="00FD02DE">
        <w:rPr>
          <w:rFonts w:cstheme="minorHAnsi"/>
          <w:spacing w:val="-1"/>
        </w:rPr>
        <w:t xml:space="preserve">(4) </w:t>
      </w:r>
      <w:r w:rsidRPr="00FD02DE">
        <w:rPr>
          <w:rFonts w:cstheme="minorHAnsi"/>
        </w:rPr>
        <w:t>wo</w:t>
      </w:r>
      <w:r w:rsidRPr="00FD02DE">
        <w:rPr>
          <w:rFonts w:cstheme="minorHAnsi"/>
          <w:spacing w:val="-1"/>
        </w:rPr>
        <w:t>r</w:t>
      </w:r>
      <w:r w:rsidRPr="00FD02DE">
        <w:rPr>
          <w:rFonts w:cstheme="minorHAnsi"/>
        </w:rPr>
        <w:t>king d</w:t>
      </w:r>
      <w:r w:rsidRPr="00FD02DE">
        <w:rPr>
          <w:rFonts w:cstheme="minorHAnsi"/>
          <w:spacing w:val="4"/>
        </w:rPr>
        <w:t>a</w:t>
      </w:r>
      <w:r w:rsidRPr="00FD02DE">
        <w:rPr>
          <w:rFonts w:cstheme="minorHAnsi"/>
          <w:spacing w:val="-5"/>
        </w:rPr>
        <w:t>y</w:t>
      </w:r>
      <w:r w:rsidRPr="00FD02DE">
        <w:rPr>
          <w:rFonts w:cstheme="minorHAnsi"/>
        </w:rPr>
        <w:t>s</w:t>
      </w:r>
      <w:r w:rsidRPr="00FD02DE">
        <w:rPr>
          <w:rFonts w:cstheme="minorHAnsi"/>
          <w:spacing w:val="3"/>
        </w:rPr>
        <w:t xml:space="preserve"> </w:t>
      </w:r>
      <w:r w:rsidRPr="00FD02DE">
        <w:rPr>
          <w:rFonts w:cstheme="minorHAnsi"/>
        </w:rPr>
        <w:t>in</w:t>
      </w:r>
      <w:r w:rsidRPr="00FD02DE">
        <w:rPr>
          <w:rFonts w:cstheme="minorHAnsi"/>
          <w:spacing w:val="3"/>
        </w:rPr>
        <w:t xml:space="preserve"> </w:t>
      </w:r>
      <w:r w:rsidRPr="00FD02DE">
        <w:rPr>
          <w:rFonts w:cstheme="minorHAnsi"/>
          <w:spacing w:val="-1"/>
        </w:rPr>
        <w:t>a</w:t>
      </w:r>
      <w:r w:rsidRPr="00FD02DE">
        <w:rPr>
          <w:rFonts w:cstheme="minorHAnsi"/>
        </w:rPr>
        <w:t>dv</w:t>
      </w:r>
      <w:r w:rsidRPr="00FD02DE">
        <w:rPr>
          <w:rFonts w:cstheme="minorHAnsi"/>
          <w:spacing w:val="-1"/>
        </w:rPr>
        <w:t>a</w:t>
      </w:r>
      <w:r w:rsidRPr="00FD02DE">
        <w:rPr>
          <w:rFonts w:cstheme="minorHAnsi"/>
        </w:rPr>
        <w:t>n</w:t>
      </w:r>
      <w:r w:rsidRPr="00FD02DE">
        <w:rPr>
          <w:rFonts w:cstheme="minorHAnsi"/>
          <w:spacing w:val="1"/>
        </w:rPr>
        <w:t>c</w:t>
      </w:r>
      <w:r w:rsidRPr="00FD02DE">
        <w:rPr>
          <w:rFonts w:cstheme="minorHAnsi"/>
        </w:rPr>
        <w:t>e</w:t>
      </w:r>
      <w:r w:rsidRPr="00FD02DE">
        <w:rPr>
          <w:rFonts w:cstheme="minorHAnsi"/>
          <w:spacing w:val="4"/>
        </w:rPr>
        <w:t xml:space="preserve"> </w:t>
      </w:r>
      <w:r w:rsidRPr="00FD02DE">
        <w:rPr>
          <w:rFonts w:cstheme="minorHAnsi"/>
        </w:rPr>
        <w:t>of</w:t>
      </w:r>
      <w:r w:rsidRPr="00FD02DE">
        <w:rPr>
          <w:rFonts w:cstheme="minorHAnsi"/>
          <w:spacing w:val="2"/>
        </w:rPr>
        <w:t xml:space="preserve"> </w:t>
      </w:r>
      <w:r w:rsidRPr="00FD02DE">
        <w:rPr>
          <w:rFonts w:cstheme="minorHAnsi"/>
        </w:rPr>
        <w:t>m</w:t>
      </w:r>
      <w:r w:rsidRPr="00FD02DE">
        <w:rPr>
          <w:rFonts w:cstheme="minorHAnsi"/>
          <w:spacing w:val="-1"/>
        </w:rPr>
        <w:t>ee</w:t>
      </w:r>
      <w:r w:rsidRPr="00FD02DE">
        <w:rPr>
          <w:rFonts w:cstheme="minorHAnsi"/>
        </w:rPr>
        <w:t>ting d</w:t>
      </w:r>
      <w:r w:rsidRPr="00FD02DE">
        <w:rPr>
          <w:rFonts w:cstheme="minorHAnsi"/>
          <w:spacing w:val="-1"/>
        </w:rPr>
        <w:t>a</w:t>
      </w:r>
      <w:r w:rsidRPr="00FD02DE">
        <w:rPr>
          <w:rFonts w:cstheme="minorHAnsi"/>
        </w:rPr>
        <w:t>t</w:t>
      </w:r>
      <w:r w:rsidRPr="00FD02DE">
        <w:rPr>
          <w:rFonts w:cstheme="minorHAnsi"/>
          <w:spacing w:val="-1"/>
        </w:rPr>
        <w:t>e</w:t>
      </w:r>
      <w:r w:rsidRPr="00FD02DE">
        <w:rPr>
          <w:rFonts w:cstheme="minorHAnsi"/>
        </w:rPr>
        <w:t xml:space="preserve">s. </w:t>
      </w:r>
      <w:r w:rsidRPr="00FD02DE">
        <w:rPr>
          <w:rFonts w:cstheme="minorHAnsi"/>
          <w:spacing w:val="12"/>
        </w:rPr>
        <w:t xml:space="preserve"> </w:t>
      </w:r>
    </w:p>
    <w:p w14:paraId="6B1F9559" w14:textId="77777777" w:rsidR="00272EB4" w:rsidRPr="00FD02DE" w:rsidRDefault="00272EB4" w:rsidP="00272EB4">
      <w:pPr>
        <w:pStyle w:val="ListParagraph"/>
        <w:numPr>
          <w:ilvl w:val="0"/>
          <w:numId w:val="337"/>
        </w:numPr>
        <w:spacing w:line="240" w:lineRule="auto"/>
        <w:ind w:left="426" w:hanging="426"/>
        <w:jc w:val="both"/>
        <w:rPr>
          <w:rFonts w:cstheme="minorHAnsi"/>
        </w:rPr>
      </w:pPr>
      <w:r w:rsidRPr="00FD02DE">
        <w:rPr>
          <w:rFonts w:cstheme="minorHAnsi"/>
        </w:rPr>
        <w:t>D</w:t>
      </w:r>
      <w:r w:rsidRPr="00FD02DE">
        <w:rPr>
          <w:rFonts w:cstheme="minorHAnsi"/>
          <w:spacing w:val="-1"/>
        </w:rPr>
        <w:t>e</w:t>
      </w:r>
      <w:r w:rsidRPr="00FD02DE">
        <w:rPr>
          <w:rFonts w:cstheme="minorHAnsi"/>
        </w:rPr>
        <w:t>t</w:t>
      </w:r>
      <w:r w:rsidRPr="00FD02DE">
        <w:rPr>
          <w:rFonts w:cstheme="minorHAnsi"/>
          <w:spacing w:val="-1"/>
        </w:rPr>
        <w:t>a</w:t>
      </w:r>
      <w:r w:rsidRPr="00FD02DE">
        <w:rPr>
          <w:rFonts w:cstheme="minorHAnsi"/>
        </w:rPr>
        <w:t>il</w:t>
      </w:r>
      <w:r w:rsidRPr="00FD02DE">
        <w:rPr>
          <w:rFonts w:cstheme="minorHAnsi"/>
          <w:spacing w:val="-1"/>
        </w:rPr>
        <w:t>e</w:t>
      </w:r>
      <w:r w:rsidRPr="00FD02DE">
        <w:rPr>
          <w:rFonts w:cstheme="minorHAnsi"/>
        </w:rPr>
        <w:t>d</w:t>
      </w:r>
      <w:r w:rsidRPr="00FD02DE">
        <w:rPr>
          <w:rFonts w:cstheme="minorHAnsi"/>
          <w:spacing w:val="14"/>
        </w:rPr>
        <w:t xml:space="preserve"> </w:t>
      </w:r>
      <w:r w:rsidRPr="00FD02DE">
        <w:rPr>
          <w:rFonts w:cstheme="minorHAnsi"/>
        </w:rPr>
        <w:t>documents will</w:t>
      </w:r>
      <w:r w:rsidRPr="00FD02DE">
        <w:rPr>
          <w:rFonts w:cstheme="minorHAnsi"/>
          <w:spacing w:val="15"/>
        </w:rPr>
        <w:t xml:space="preserve"> </w:t>
      </w:r>
      <w:r w:rsidRPr="00FD02DE">
        <w:rPr>
          <w:rFonts w:cstheme="minorHAnsi"/>
        </w:rPr>
        <w:t>be</w:t>
      </w:r>
      <w:r w:rsidRPr="00FD02DE">
        <w:rPr>
          <w:rFonts w:cstheme="minorHAnsi"/>
          <w:spacing w:val="13"/>
        </w:rPr>
        <w:t xml:space="preserve"> </w:t>
      </w:r>
      <w:r w:rsidRPr="00FD02DE">
        <w:rPr>
          <w:rFonts w:cstheme="minorHAnsi"/>
        </w:rPr>
        <w:t>dist</w:t>
      </w:r>
      <w:r w:rsidRPr="00FD02DE">
        <w:rPr>
          <w:rFonts w:cstheme="minorHAnsi"/>
          <w:spacing w:val="-1"/>
        </w:rPr>
        <w:t>r</w:t>
      </w:r>
      <w:r w:rsidRPr="00FD02DE">
        <w:rPr>
          <w:rFonts w:cstheme="minorHAnsi"/>
        </w:rPr>
        <w:t>ibut</w:t>
      </w:r>
      <w:r w:rsidRPr="00FD02DE">
        <w:rPr>
          <w:rFonts w:cstheme="minorHAnsi"/>
          <w:spacing w:val="-1"/>
        </w:rPr>
        <w:t>e</w:t>
      </w:r>
      <w:r w:rsidRPr="00FD02DE">
        <w:rPr>
          <w:rFonts w:cstheme="minorHAnsi"/>
        </w:rPr>
        <w:t>d</w:t>
      </w:r>
      <w:r w:rsidRPr="00FD02DE">
        <w:rPr>
          <w:rFonts w:cstheme="minorHAnsi"/>
          <w:spacing w:val="12"/>
        </w:rPr>
        <w:t xml:space="preserve"> </w:t>
      </w:r>
      <w:r w:rsidRPr="00FD02DE">
        <w:rPr>
          <w:rFonts w:cstheme="minorHAnsi"/>
        </w:rPr>
        <w:t>to</w:t>
      </w:r>
      <w:r w:rsidRPr="00FD02DE">
        <w:rPr>
          <w:rFonts w:cstheme="minorHAnsi"/>
          <w:spacing w:val="14"/>
        </w:rPr>
        <w:t xml:space="preserve"> </w:t>
      </w:r>
      <w:r w:rsidRPr="00FD02DE">
        <w:rPr>
          <w:rFonts w:cstheme="minorHAnsi"/>
          <w:spacing w:val="1"/>
        </w:rPr>
        <w:t>Panel</w:t>
      </w:r>
      <w:r w:rsidRPr="00FD02DE">
        <w:rPr>
          <w:rFonts w:cstheme="minorHAnsi"/>
        </w:rPr>
        <w:t xml:space="preserve"> m</w:t>
      </w:r>
      <w:r w:rsidRPr="00FD02DE">
        <w:rPr>
          <w:rFonts w:cstheme="minorHAnsi"/>
          <w:spacing w:val="-1"/>
        </w:rPr>
        <w:t>e</w:t>
      </w:r>
      <w:r w:rsidRPr="00FD02DE">
        <w:rPr>
          <w:rFonts w:cstheme="minorHAnsi"/>
        </w:rPr>
        <w:t>mb</w:t>
      </w:r>
      <w:r w:rsidRPr="00FD02DE">
        <w:rPr>
          <w:rFonts w:cstheme="minorHAnsi"/>
          <w:spacing w:val="-1"/>
        </w:rPr>
        <w:t>er</w:t>
      </w:r>
      <w:r w:rsidRPr="00FD02DE">
        <w:rPr>
          <w:rFonts w:cstheme="minorHAnsi"/>
        </w:rPr>
        <w:t>s</w:t>
      </w:r>
      <w:r w:rsidRPr="00FD02DE">
        <w:rPr>
          <w:rFonts w:cstheme="minorHAnsi"/>
          <w:spacing w:val="3"/>
        </w:rPr>
        <w:t xml:space="preserve"> </w:t>
      </w:r>
      <w:r w:rsidRPr="00FD02DE">
        <w:rPr>
          <w:rFonts w:cstheme="minorHAnsi"/>
          <w:spacing w:val="-1"/>
        </w:rPr>
        <w:t>a</w:t>
      </w:r>
      <w:r w:rsidRPr="00FD02DE">
        <w:rPr>
          <w:rFonts w:cstheme="minorHAnsi"/>
        </w:rPr>
        <w:t>t l</w:t>
      </w:r>
      <w:r w:rsidRPr="00FD02DE">
        <w:rPr>
          <w:rFonts w:cstheme="minorHAnsi"/>
          <w:spacing w:val="-1"/>
        </w:rPr>
        <w:t>ea</w:t>
      </w:r>
      <w:r w:rsidRPr="00FD02DE">
        <w:rPr>
          <w:rFonts w:cstheme="minorHAnsi"/>
        </w:rPr>
        <w:t xml:space="preserve">st </w:t>
      </w:r>
      <w:r w:rsidRPr="00FD02DE">
        <w:rPr>
          <w:rFonts w:cstheme="minorHAnsi"/>
          <w:spacing w:val="-1"/>
        </w:rPr>
        <w:t>four</w:t>
      </w:r>
      <w:r w:rsidRPr="00FD02DE">
        <w:rPr>
          <w:rFonts w:cstheme="minorHAnsi"/>
        </w:rPr>
        <w:t xml:space="preserve"> </w:t>
      </w:r>
      <w:r w:rsidRPr="00FD02DE">
        <w:rPr>
          <w:rFonts w:cstheme="minorHAnsi"/>
          <w:spacing w:val="-1"/>
        </w:rPr>
        <w:t>(</w:t>
      </w:r>
      <w:r w:rsidRPr="00FD02DE">
        <w:rPr>
          <w:rFonts w:cstheme="minorHAnsi"/>
        </w:rPr>
        <w:t>4) wo</w:t>
      </w:r>
      <w:r w:rsidRPr="00FD02DE">
        <w:rPr>
          <w:rFonts w:cstheme="minorHAnsi"/>
          <w:spacing w:val="-1"/>
        </w:rPr>
        <w:t>r</w:t>
      </w:r>
      <w:r w:rsidRPr="00FD02DE">
        <w:rPr>
          <w:rFonts w:cstheme="minorHAnsi"/>
        </w:rPr>
        <w:t>ki</w:t>
      </w:r>
      <w:r w:rsidRPr="00FD02DE">
        <w:rPr>
          <w:rFonts w:cstheme="minorHAnsi"/>
          <w:spacing w:val="2"/>
        </w:rPr>
        <w:t>n</w:t>
      </w:r>
      <w:r w:rsidRPr="00FD02DE">
        <w:rPr>
          <w:rFonts w:cstheme="minorHAnsi"/>
        </w:rPr>
        <w:t>g d</w:t>
      </w:r>
      <w:r w:rsidRPr="00FD02DE">
        <w:rPr>
          <w:rFonts w:cstheme="minorHAnsi"/>
          <w:spacing w:val="1"/>
        </w:rPr>
        <w:t>a</w:t>
      </w:r>
      <w:r w:rsidRPr="00FD02DE">
        <w:rPr>
          <w:rFonts w:cstheme="minorHAnsi"/>
          <w:spacing w:val="-5"/>
        </w:rPr>
        <w:t>y</w:t>
      </w:r>
      <w:r w:rsidRPr="00FD02DE">
        <w:rPr>
          <w:rFonts w:cstheme="minorHAnsi"/>
        </w:rPr>
        <w:t>s</w:t>
      </w:r>
      <w:r w:rsidRPr="00FD02DE">
        <w:rPr>
          <w:rFonts w:cstheme="minorHAnsi"/>
          <w:spacing w:val="3"/>
        </w:rPr>
        <w:t xml:space="preserve"> </w:t>
      </w:r>
      <w:r w:rsidRPr="00FD02DE">
        <w:rPr>
          <w:rFonts w:cstheme="minorHAnsi"/>
        </w:rPr>
        <w:t xml:space="preserve">in </w:t>
      </w:r>
      <w:r w:rsidRPr="00FD02DE">
        <w:rPr>
          <w:rFonts w:cstheme="minorHAnsi"/>
          <w:spacing w:val="1"/>
        </w:rPr>
        <w:t>a</w:t>
      </w:r>
      <w:r w:rsidRPr="00FD02DE">
        <w:rPr>
          <w:rFonts w:cstheme="minorHAnsi"/>
        </w:rPr>
        <w:t>dv</w:t>
      </w:r>
      <w:r w:rsidRPr="00FD02DE">
        <w:rPr>
          <w:rFonts w:cstheme="minorHAnsi"/>
          <w:spacing w:val="-1"/>
        </w:rPr>
        <w:t>an</w:t>
      </w:r>
      <w:r w:rsidRPr="00FD02DE">
        <w:rPr>
          <w:rFonts w:cstheme="minorHAnsi"/>
        </w:rPr>
        <w:t xml:space="preserve">ce </w:t>
      </w:r>
      <w:r w:rsidRPr="00FD02DE">
        <w:rPr>
          <w:rFonts w:cstheme="minorHAnsi"/>
          <w:spacing w:val="-1"/>
        </w:rPr>
        <w:t>o</w:t>
      </w:r>
      <w:r w:rsidRPr="00FD02DE">
        <w:rPr>
          <w:rFonts w:cstheme="minorHAnsi"/>
        </w:rPr>
        <w:t>f t</w:t>
      </w:r>
      <w:r w:rsidRPr="00FD02DE">
        <w:rPr>
          <w:rFonts w:cstheme="minorHAnsi"/>
          <w:spacing w:val="-1"/>
        </w:rPr>
        <w:t xml:space="preserve">he </w:t>
      </w:r>
      <w:r w:rsidRPr="00FD02DE">
        <w:rPr>
          <w:rFonts w:cstheme="minorHAnsi"/>
        </w:rPr>
        <w:t>m</w:t>
      </w:r>
      <w:r w:rsidRPr="00FD02DE">
        <w:rPr>
          <w:rFonts w:cstheme="minorHAnsi"/>
          <w:spacing w:val="-1"/>
        </w:rPr>
        <w:t>ee</w:t>
      </w:r>
      <w:r w:rsidRPr="00FD02DE">
        <w:rPr>
          <w:rFonts w:cstheme="minorHAnsi"/>
        </w:rPr>
        <w:t>ti</w:t>
      </w:r>
      <w:r w:rsidRPr="00FD02DE">
        <w:rPr>
          <w:rFonts w:cstheme="minorHAnsi"/>
          <w:spacing w:val="-1"/>
        </w:rPr>
        <w:t>n</w:t>
      </w:r>
      <w:r w:rsidRPr="00FD02DE">
        <w:rPr>
          <w:rFonts w:cstheme="minorHAnsi"/>
        </w:rPr>
        <w:t>g</w:t>
      </w:r>
      <w:r w:rsidRPr="00FD02DE">
        <w:rPr>
          <w:rFonts w:cstheme="minorHAnsi"/>
          <w:spacing w:val="-1"/>
        </w:rPr>
        <w:t xml:space="preserve"> </w:t>
      </w:r>
      <w:r w:rsidRPr="00FD02DE">
        <w:rPr>
          <w:rFonts w:cstheme="minorHAnsi"/>
          <w:spacing w:val="2"/>
        </w:rPr>
        <w:t>d</w:t>
      </w:r>
      <w:r w:rsidRPr="00FD02DE">
        <w:rPr>
          <w:rFonts w:cstheme="minorHAnsi"/>
          <w:spacing w:val="-1"/>
        </w:rPr>
        <w:t>a</w:t>
      </w:r>
      <w:r w:rsidRPr="00FD02DE">
        <w:rPr>
          <w:rFonts w:cstheme="minorHAnsi"/>
        </w:rPr>
        <w:t>t</w:t>
      </w:r>
      <w:r w:rsidRPr="00FD02DE">
        <w:rPr>
          <w:rFonts w:cstheme="minorHAnsi"/>
          <w:spacing w:val="-1"/>
        </w:rPr>
        <w:t>e</w:t>
      </w:r>
      <w:r w:rsidRPr="00FD02DE">
        <w:rPr>
          <w:rFonts w:cstheme="minorHAnsi"/>
        </w:rPr>
        <w:t>s.</w:t>
      </w:r>
    </w:p>
    <w:p w14:paraId="35B1651A" w14:textId="77777777" w:rsidR="00272EB4" w:rsidRPr="00FD02DE" w:rsidRDefault="00272EB4" w:rsidP="00272EB4">
      <w:pPr>
        <w:widowControl w:val="0"/>
        <w:spacing w:after="60" w:line="240" w:lineRule="auto"/>
        <w:ind w:right="79"/>
        <w:jc w:val="both"/>
        <w:rPr>
          <w:rFonts w:cstheme="minorHAnsi"/>
        </w:rPr>
      </w:pPr>
      <w:r w:rsidRPr="00FD02DE">
        <w:rPr>
          <w:rFonts w:cstheme="minorHAnsi"/>
          <w:b/>
          <w:bCs/>
          <w:spacing w:val="-1"/>
        </w:rPr>
        <w:t>M</w:t>
      </w:r>
      <w:r w:rsidRPr="00FD02DE">
        <w:rPr>
          <w:rFonts w:cstheme="minorHAnsi"/>
          <w:b/>
          <w:bCs/>
        </w:rPr>
        <w:t>i</w:t>
      </w:r>
      <w:r w:rsidRPr="00FD02DE">
        <w:rPr>
          <w:rFonts w:cstheme="minorHAnsi"/>
          <w:b/>
          <w:bCs/>
          <w:spacing w:val="1"/>
        </w:rPr>
        <w:t>nu</w:t>
      </w:r>
      <w:r w:rsidRPr="00FD02DE">
        <w:rPr>
          <w:rFonts w:cstheme="minorHAnsi"/>
          <w:b/>
          <w:bCs/>
          <w:spacing w:val="-1"/>
        </w:rPr>
        <w:t>tes</w:t>
      </w:r>
    </w:p>
    <w:p w14:paraId="71807454" w14:textId="77777777" w:rsidR="00272EB4" w:rsidRPr="00FD02DE" w:rsidRDefault="00272EB4" w:rsidP="00272EB4">
      <w:pPr>
        <w:pStyle w:val="ListParagraph"/>
        <w:numPr>
          <w:ilvl w:val="0"/>
          <w:numId w:val="338"/>
        </w:numPr>
        <w:spacing w:after="60" w:line="240" w:lineRule="auto"/>
        <w:ind w:left="426" w:hanging="426"/>
        <w:contextualSpacing w:val="0"/>
        <w:jc w:val="both"/>
        <w:rPr>
          <w:rFonts w:cstheme="minorHAnsi"/>
        </w:rPr>
      </w:pPr>
      <w:r w:rsidRPr="00FD02DE">
        <w:rPr>
          <w:rFonts w:cstheme="minorHAnsi"/>
        </w:rPr>
        <w:t xml:space="preserve">The Panel </w:t>
      </w:r>
      <w:r w:rsidRPr="00FD02DE">
        <w:rPr>
          <w:rFonts w:cstheme="minorHAnsi"/>
          <w:spacing w:val="4"/>
        </w:rPr>
        <w:t>Chairperson</w:t>
      </w:r>
      <w:r w:rsidRPr="00FD02DE">
        <w:rPr>
          <w:rFonts w:cstheme="minorHAnsi"/>
        </w:rPr>
        <w:t xml:space="preserve"> </w:t>
      </w:r>
      <w:r w:rsidRPr="00FD02DE">
        <w:rPr>
          <w:rFonts w:cstheme="minorHAnsi"/>
          <w:spacing w:val="3"/>
        </w:rPr>
        <w:t>(</w:t>
      </w:r>
      <w:r w:rsidRPr="00FD02DE">
        <w:rPr>
          <w:rFonts w:cstheme="minorHAnsi"/>
        </w:rPr>
        <w:t xml:space="preserve">in </w:t>
      </w:r>
      <w:r w:rsidRPr="00FD02DE">
        <w:rPr>
          <w:rFonts w:cstheme="minorHAnsi"/>
          <w:spacing w:val="3"/>
        </w:rPr>
        <w:t>liaison</w:t>
      </w:r>
      <w:r w:rsidRPr="00FD02DE">
        <w:rPr>
          <w:rFonts w:cstheme="minorHAnsi"/>
        </w:rPr>
        <w:t xml:space="preserve"> with the </w:t>
      </w:r>
      <w:r w:rsidRPr="00FD02DE">
        <w:rPr>
          <w:rFonts w:cstheme="minorHAnsi"/>
          <w:spacing w:val="1"/>
        </w:rPr>
        <w:t>Chief Executive Officer</w:t>
      </w:r>
      <w:r w:rsidRPr="00FD02DE">
        <w:rPr>
          <w:rFonts w:cstheme="minorHAnsi"/>
        </w:rPr>
        <w:t>)</w:t>
      </w:r>
      <w:r w:rsidRPr="00FD02DE">
        <w:rPr>
          <w:rFonts w:cstheme="minorHAnsi"/>
          <w:spacing w:val="5"/>
        </w:rPr>
        <w:t xml:space="preserve"> </w:t>
      </w:r>
      <w:r w:rsidRPr="00FD02DE">
        <w:rPr>
          <w:rFonts w:cstheme="minorHAnsi"/>
        </w:rPr>
        <w:t>sh</w:t>
      </w:r>
      <w:r w:rsidRPr="00FD02DE">
        <w:rPr>
          <w:rFonts w:cstheme="minorHAnsi"/>
          <w:spacing w:val="-1"/>
        </w:rPr>
        <w:t>a</w:t>
      </w:r>
      <w:r w:rsidRPr="00FD02DE">
        <w:rPr>
          <w:rFonts w:cstheme="minorHAnsi"/>
        </w:rPr>
        <w:t>ll</w:t>
      </w:r>
      <w:r w:rsidRPr="00FD02DE">
        <w:rPr>
          <w:rFonts w:cstheme="minorHAnsi"/>
          <w:spacing w:val="4"/>
        </w:rPr>
        <w:t xml:space="preserve"> </w:t>
      </w:r>
      <w:r w:rsidRPr="00FD02DE">
        <w:rPr>
          <w:rFonts w:cstheme="minorHAnsi"/>
        </w:rPr>
        <w:t>be</w:t>
      </w:r>
      <w:r w:rsidRPr="00FD02DE">
        <w:rPr>
          <w:rFonts w:cstheme="minorHAnsi"/>
          <w:spacing w:val="3"/>
        </w:rPr>
        <w:t xml:space="preserve"> </w:t>
      </w:r>
      <w:r w:rsidRPr="00FD02DE">
        <w:rPr>
          <w:rFonts w:cstheme="minorHAnsi"/>
          <w:spacing w:val="-1"/>
        </w:rPr>
        <w:t>re</w:t>
      </w:r>
      <w:r w:rsidRPr="00FD02DE">
        <w:rPr>
          <w:rFonts w:cstheme="minorHAnsi"/>
        </w:rPr>
        <w:t>sponsible to</w:t>
      </w:r>
      <w:r w:rsidRPr="00FD02DE">
        <w:rPr>
          <w:rFonts w:cstheme="minorHAnsi"/>
          <w:spacing w:val="4"/>
        </w:rPr>
        <w:t xml:space="preserve"> </w:t>
      </w:r>
      <w:r w:rsidRPr="00FD02DE">
        <w:rPr>
          <w:rFonts w:cstheme="minorHAnsi"/>
          <w:spacing w:val="-1"/>
        </w:rPr>
        <w:t>en</w:t>
      </w:r>
      <w:r w:rsidRPr="00FD02DE">
        <w:rPr>
          <w:rFonts w:cstheme="minorHAnsi"/>
          <w:spacing w:val="1"/>
        </w:rPr>
        <w:t>s</w:t>
      </w:r>
      <w:r w:rsidRPr="00FD02DE">
        <w:rPr>
          <w:rFonts w:cstheme="minorHAnsi"/>
          <w:spacing w:val="-1"/>
        </w:rPr>
        <w:t>u</w:t>
      </w:r>
      <w:r w:rsidRPr="00FD02DE">
        <w:rPr>
          <w:rFonts w:cstheme="minorHAnsi"/>
        </w:rPr>
        <w:t>re</w:t>
      </w:r>
      <w:r w:rsidRPr="00FD02DE">
        <w:rPr>
          <w:rFonts w:cstheme="minorHAnsi"/>
          <w:spacing w:val="3"/>
        </w:rPr>
        <w:t xml:space="preserve"> </w:t>
      </w:r>
      <w:r w:rsidRPr="00FD02DE">
        <w:rPr>
          <w:rFonts w:cstheme="minorHAnsi"/>
        </w:rPr>
        <w:t>t</w:t>
      </w:r>
      <w:r w:rsidRPr="00FD02DE">
        <w:rPr>
          <w:rFonts w:cstheme="minorHAnsi"/>
          <w:spacing w:val="-1"/>
        </w:rPr>
        <w:t xml:space="preserve">he </w:t>
      </w:r>
      <w:r w:rsidRPr="00FD02DE">
        <w:rPr>
          <w:rFonts w:cstheme="minorHAnsi"/>
        </w:rPr>
        <w:t>p</w:t>
      </w:r>
      <w:r w:rsidRPr="00FD02DE">
        <w:rPr>
          <w:rFonts w:cstheme="minorHAnsi"/>
          <w:spacing w:val="-1"/>
        </w:rPr>
        <w:t>re</w:t>
      </w:r>
      <w:r w:rsidRPr="00FD02DE">
        <w:rPr>
          <w:rFonts w:cstheme="minorHAnsi"/>
        </w:rPr>
        <w:t>p</w:t>
      </w:r>
      <w:r w:rsidRPr="00FD02DE">
        <w:rPr>
          <w:rFonts w:cstheme="minorHAnsi"/>
          <w:spacing w:val="-1"/>
        </w:rPr>
        <w:t>a</w:t>
      </w:r>
      <w:r w:rsidRPr="00FD02DE">
        <w:rPr>
          <w:rFonts w:cstheme="minorHAnsi"/>
          <w:spacing w:val="2"/>
        </w:rPr>
        <w:t>r</w:t>
      </w:r>
      <w:r w:rsidRPr="00FD02DE">
        <w:rPr>
          <w:rFonts w:cstheme="minorHAnsi"/>
          <w:spacing w:val="-1"/>
        </w:rPr>
        <w:t>a</w:t>
      </w:r>
      <w:r w:rsidRPr="00FD02DE">
        <w:rPr>
          <w:rFonts w:cstheme="minorHAnsi"/>
        </w:rPr>
        <w:t xml:space="preserve">tion </w:t>
      </w:r>
      <w:r w:rsidRPr="00FD02DE">
        <w:rPr>
          <w:rFonts w:cstheme="minorHAnsi"/>
          <w:spacing w:val="-1"/>
        </w:rPr>
        <w:t>a</w:t>
      </w:r>
      <w:r w:rsidRPr="00FD02DE">
        <w:rPr>
          <w:rFonts w:cstheme="minorHAnsi"/>
        </w:rPr>
        <w:t xml:space="preserve">nd </w:t>
      </w:r>
      <w:r w:rsidRPr="00FD02DE">
        <w:rPr>
          <w:rFonts w:cstheme="minorHAnsi"/>
          <w:spacing w:val="1"/>
        </w:rPr>
        <w:t>a</w:t>
      </w:r>
      <w:r w:rsidRPr="00FD02DE">
        <w:rPr>
          <w:rFonts w:cstheme="minorHAnsi"/>
          <w:spacing w:val="-1"/>
        </w:rPr>
        <w:t>cc</w:t>
      </w:r>
      <w:r w:rsidRPr="00FD02DE">
        <w:rPr>
          <w:rFonts w:cstheme="minorHAnsi"/>
        </w:rPr>
        <w:t>u</w:t>
      </w:r>
      <w:r w:rsidRPr="00FD02DE">
        <w:rPr>
          <w:rFonts w:cstheme="minorHAnsi"/>
          <w:spacing w:val="2"/>
        </w:rPr>
        <w:t>r</w:t>
      </w:r>
      <w:r w:rsidRPr="00FD02DE">
        <w:rPr>
          <w:rFonts w:cstheme="minorHAnsi"/>
          <w:spacing w:val="-1"/>
        </w:rPr>
        <w:t>a</w:t>
      </w:r>
      <w:r w:rsidRPr="00FD02DE">
        <w:rPr>
          <w:rFonts w:cstheme="minorHAnsi"/>
          <w:spacing w:val="4"/>
        </w:rPr>
        <w:t>c</w:t>
      </w:r>
      <w:r w:rsidRPr="00FD02DE">
        <w:rPr>
          <w:rFonts w:cstheme="minorHAnsi"/>
        </w:rPr>
        <w:t>y</w:t>
      </w:r>
      <w:r w:rsidRPr="00FD02DE">
        <w:rPr>
          <w:rFonts w:cstheme="minorHAnsi"/>
          <w:spacing w:val="-2"/>
        </w:rPr>
        <w:t xml:space="preserve"> </w:t>
      </w:r>
      <w:r w:rsidRPr="00FD02DE">
        <w:rPr>
          <w:rFonts w:cstheme="minorHAnsi"/>
        </w:rPr>
        <w:t>of</w:t>
      </w:r>
      <w:r w:rsidRPr="00FD02DE">
        <w:rPr>
          <w:rFonts w:cstheme="minorHAnsi"/>
          <w:spacing w:val="-1"/>
        </w:rPr>
        <w:t xml:space="preserve"> </w:t>
      </w:r>
      <w:r w:rsidRPr="00FD02DE">
        <w:rPr>
          <w:rFonts w:cstheme="minorHAnsi"/>
        </w:rPr>
        <w:t>the</w:t>
      </w:r>
      <w:r w:rsidRPr="00FD02DE">
        <w:rPr>
          <w:rFonts w:cstheme="minorHAnsi"/>
          <w:spacing w:val="-1"/>
        </w:rPr>
        <w:t xml:space="preserve"> </w:t>
      </w:r>
      <w:r w:rsidRPr="00FD02DE">
        <w:rPr>
          <w:rFonts w:cstheme="minorHAnsi"/>
        </w:rPr>
        <w:t>Minut</w:t>
      </w:r>
      <w:r w:rsidRPr="00FD02DE">
        <w:rPr>
          <w:rFonts w:cstheme="minorHAnsi"/>
          <w:spacing w:val="-1"/>
        </w:rPr>
        <w:t>e</w:t>
      </w:r>
      <w:r w:rsidRPr="00FD02DE">
        <w:rPr>
          <w:rFonts w:cstheme="minorHAnsi"/>
        </w:rPr>
        <w:t>s/M</w:t>
      </w:r>
      <w:r w:rsidRPr="00FD02DE">
        <w:rPr>
          <w:rFonts w:cstheme="minorHAnsi"/>
          <w:spacing w:val="-1"/>
        </w:rPr>
        <w:t>ee</w:t>
      </w:r>
      <w:r w:rsidRPr="00FD02DE">
        <w:rPr>
          <w:rFonts w:cstheme="minorHAnsi"/>
        </w:rPr>
        <w:t>ting not</w:t>
      </w:r>
      <w:r w:rsidRPr="00FD02DE">
        <w:rPr>
          <w:rFonts w:cstheme="minorHAnsi"/>
          <w:spacing w:val="-1"/>
        </w:rPr>
        <w:t>e</w:t>
      </w:r>
      <w:r w:rsidRPr="00FD02DE">
        <w:rPr>
          <w:rFonts w:cstheme="minorHAnsi"/>
        </w:rPr>
        <w:t>s.</w:t>
      </w:r>
    </w:p>
    <w:p w14:paraId="67FBAB35" w14:textId="77777777" w:rsidR="00272EB4" w:rsidRPr="00FD02DE" w:rsidRDefault="00272EB4" w:rsidP="00272EB4">
      <w:pPr>
        <w:pStyle w:val="ListParagraph"/>
        <w:numPr>
          <w:ilvl w:val="0"/>
          <w:numId w:val="338"/>
        </w:numPr>
        <w:spacing w:after="60" w:line="240" w:lineRule="auto"/>
        <w:ind w:left="426" w:hanging="426"/>
        <w:contextualSpacing w:val="0"/>
        <w:jc w:val="both"/>
        <w:rPr>
          <w:rFonts w:cstheme="minorHAnsi"/>
        </w:rPr>
      </w:pPr>
      <w:r w:rsidRPr="00FD02DE">
        <w:rPr>
          <w:rFonts w:cstheme="minorHAnsi"/>
          <w:spacing w:val="-3"/>
        </w:rPr>
        <w:t>I</w:t>
      </w:r>
      <w:r w:rsidRPr="00FD02DE">
        <w:rPr>
          <w:rFonts w:cstheme="minorHAnsi"/>
        </w:rPr>
        <w:t>t</w:t>
      </w:r>
      <w:r w:rsidRPr="00FD02DE">
        <w:rPr>
          <w:rFonts w:cstheme="minorHAnsi"/>
          <w:spacing w:val="-1"/>
        </w:rPr>
        <w:t>e</w:t>
      </w:r>
      <w:r w:rsidRPr="00FD02DE">
        <w:rPr>
          <w:rFonts w:cstheme="minorHAnsi"/>
        </w:rPr>
        <w:t xml:space="preserve">ms </w:t>
      </w:r>
      <w:r w:rsidRPr="00FD02DE">
        <w:rPr>
          <w:rFonts w:cstheme="minorHAnsi"/>
          <w:spacing w:val="5"/>
        </w:rPr>
        <w:t>considered</w:t>
      </w:r>
      <w:r w:rsidRPr="00FD02DE">
        <w:rPr>
          <w:rFonts w:cstheme="minorHAnsi"/>
        </w:rPr>
        <w:t xml:space="preserve"> </w:t>
      </w:r>
      <w:r w:rsidRPr="00FD02DE">
        <w:rPr>
          <w:rFonts w:cstheme="minorHAnsi"/>
          <w:spacing w:val="2"/>
        </w:rPr>
        <w:t>at</w:t>
      </w:r>
      <w:r w:rsidRPr="00FD02DE">
        <w:rPr>
          <w:rFonts w:cstheme="minorHAnsi"/>
        </w:rPr>
        <w:t xml:space="preserve"> </w:t>
      </w:r>
      <w:r w:rsidRPr="00FD02DE">
        <w:rPr>
          <w:rFonts w:cstheme="minorHAnsi"/>
          <w:spacing w:val="3"/>
        </w:rPr>
        <w:t>the</w:t>
      </w:r>
      <w:r w:rsidRPr="00FD02DE">
        <w:rPr>
          <w:rFonts w:cstheme="minorHAnsi"/>
        </w:rPr>
        <w:t xml:space="preserve"> </w:t>
      </w:r>
      <w:r w:rsidRPr="00FD02DE">
        <w:rPr>
          <w:rFonts w:cstheme="minorHAnsi"/>
          <w:spacing w:val="3"/>
        </w:rPr>
        <w:t>meeting</w:t>
      </w:r>
      <w:r w:rsidRPr="00FD02DE">
        <w:rPr>
          <w:rFonts w:cstheme="minorHAnsi"/>
        </w:rPr>
        <w:t xml:space="preserve"> </w:t>
      </w:r>
      <w:r w:rsidRPr="00FD02DE">
        <w:rPr>
          <w:rFonts w:cstheme="minorHAnsi"/>
          <w:spacing w:val="2"/>
        </w:rPr>
        <w:t>will</w:t>
      </w:r>
      <w:r w:rsidRPr="00FD02DE">
        <w:rPr>
          <w:rFonts w:cstheme="minorHAnsi"/>
        </w:rPr>
        <w:t xml:space="preserve"> </w:t>
      </w:r>
      <w:r w:rsidRPr="00FD02DE">
        <w:rPr>
          <w:rFonts w:cstheme="minorHAnsi"/>
          <w:spacing w:val="3"/>
        </w:rPr>
        <w:t>not</w:t>
      </w:r>
      <w:r w:rsidRPr="00FD02DE">
        <w:rPr>
          <w:rFonts w:cstheme="minorHAnsi"/>
        </w:rPr>
        <w:t xml:space="preserve"> </w:t>
      </w:r>
      <w:r w:rsidRPr="00FD02DE">
        <w:rPr>
          <w:rFonts w:cstheme="minorHAnsi"/>
          <w:spacing w:val="2"/>
        </w:rPr>
        <w:t>be</w:t>
      </w:r>
      <w:r w:rsidRPr="00FD02DE">
        <w:rPr>
          <w:rFonts w:cstheme="minorHAnsi"/>
        </w:rPr>
        <w:t xml:space="preserve"> </w:t>
      </w:r>
      <w:r w:rsidRPr="00FD02DE">
        <w:rPr>
          <w:rFonts w:cstheme="minorHAnsi"/>
          <w:spacing w:val="1"/>
        </w:rPr>
        <w:t>formally</w:t>
      </w:r>
      <w:r w:rsidRPr="00FD02DE">
        <w:rPr>
          <w:rFonts w:cstheme="minorHAnsi"/>
          <w:spacing w:val="58"/>
        </w:rPr>
        <w:t xml:space="preserve"> </w:t>
      </w:r>
      <w:r w:rsidRPr="00FD02DE">
        <w:rPr>
          <w:rFonts w:cstheme="minorHAnsi"/>
        </w:rPr>
        <w:t>vot</w:t>
      </w:r>
      <w:r w:rsidRPr="00FD02DE">
        <w:rPr>
          <w:rFonts w:cstheme="minorHAnsi"/>
          <w:spacing w:val="1"/>
        </w:rPr>
        <w:t>e</w:t>
      </w:r>
      <w:r w:rsidRPr="00FD02DE">
        <w:rPr>
          <w:rFonts w:cstheme="minorHAnsi"/>
        </w:rPr>
        <w:t xml:space="preserve">d upon. </w:t>
      </w:r>
      <w:r w:rsidRPr="00FD02DE">
        <w:rPr>
          <w:rFonts w:cstheme="minorHAnsi"/>
          <w:spacing w:val="5"/>
        </w:rPr>
        <w:t xml:space="preserve"> </w:t>
      </w:r>
      <w:r w:rsidRPr="00FD02DE">
        <w:rPr>
          <w:rFonts w:cstheme="minorHAnsi"/>
        </w:rPr>
        <w:t>The</w:t>
      </w:r>
      <w:r w:rsidRPr="00FD02DE">
        <w:rPr>
          <w:rFonts w:cstheme="minorHAnsi"/>
          <w:spacing w:val="1"/>
        </w:rPr>
        <w:t xml:space="preserve"> </w:t>
      </w:r>
      <w:r w:rsidRPr="00FD02DE">
        <w:rPr>
          <w:rFonts w:cstheme="minorHAnsi"/>
        </w:rPr>
        <w:t>Minut</w:t>
      </w:r>
      <w:r w:rsidRPr="00FD02DE">
        <w:rPr>
          <w:rFonts w:cstheme="minorHAnsi"/>
          <w:spacing w:val="-1"/>
        </w:rPr>
        <w:t>e</w:t>
      </w:r>
      <w:r w:rsidRPr="00FD02DE">
        <w:rPr>
          <w:rFonts w:cstheme="minorHAnsi"/>
        </w:rPr>
        <w:t>s/M</w:t>
      </w:r>
      <w:r w:rsidRPr="00FD02DE">
        <w:rPr>
          <w:rFonts w:cstheme="minorHAnsi"/>
          <w:spacing w:val="-1"/>
        </w:rPr>
        <w:t>ee</w:t>
      </w:r>
      <w:r w:rsidRPr="00FD02DE">
        <w:rPr>
          <w:rFonts w:cstheme="minorHAnsi"/>
          <w:spacing w:val="3"/>
        </w:rPr>
        <w:t>t</w:t>
      </w:r>
      <w:r w:rsidRPr="00FD02DE">
        <w:rPr>
          <w:rFonts w:cstheme="minorHAnsi"/>
        </w:rPr>
        <w:t>ing not</w:t>
      </w:r>
      <w:r w:rsidRPr="00FD02DE">
        <w:rPr>
          <w:rFonts w:cstheme="minorHAnsi"/>
          <w:spacing w:val="-1"/>
        </w:rPr>
        <w:t>e</w:t>
      </w:r>
      <w:r w:rsidRPr="00FD02DE">
        <w:rPr>
          <w:rFonts w:cstheme="minorHAnsi"/>
        </w:rPr>
        <w:t>s</w:t>
      </w:r>
      <w:r w:rsidRPr="00FD02DE">
        <w:rPr>
          <w:rFonts w:cstheme="minorHAnsi"/>
          <w:spacing w:val="3"/>
        </w:rPr>
        <w:t xml:space="preserve"> </w:t>
      </w:r>
      <w:r w:rsidRPr="00FD02DE">
        <w:rPr>
          <w:rFonts w:cstheme="minorHAnsi"/>
          <w:spacing w:val="2"/>
        </w:rPr>
        <w:t>o</w:t>
      </w:r>
      <w:r w:rsidRPr="00FD02DE">
        <w:rPr>
          <w:rFonts w:cstheme="minorHAnsi"/>
        </w:rPr>
        <w:t>f</w:t>
      </w:r>
      <w:r w:rsidRPr="00FD02DE">
        <w:rPr>
          <w:rFonts w:cstheme="minorHAnsi"/>
          <w:spacing w:val="2"/>
        </w:rPr>
        <w:t xml:space="preserve"> </w:t>
      </w:r>
      <w:r w:rsidRPr="00FD02DE">
        <w:rPr>
          <w:rFonts w:cstheme="minorHAnsi"/>
        </w:rPr>
        <w:t>the</w:t>
      </w:r>
      <w:r w:rsidRPr="00FD02DE">
        <w:rPr>
          <w:rFonts w:cstheme="minorHAnsi"/>
          <w:spacing w:val="1"/>
        </w:rPr>
        <w:t xml:space="preserve"> Panel </w:t>
      </w:r>
      <w:r w:rsidRPr="00FD02DE">
        <w:rPr>
          <w:rFonts w:cstheme="minorHAnsi"/>
        </w:rPr>
        <w:t>will</w:t>
      </w:r>
      <w:r w:rsidRPr="00FD02DE">
        <w:rPr>
          <w:rFonts w:cstheme="minorHAnsi"/>
          <w:spacing w:val="3"/>
        </w:rPr>
        <w:t xml:space="preserve"> </w:t>
      </w:r>
      <w:r w:rsidRPr="00FD02DE">
        <w:rPr>
          <w:rFonts w:cstheme="minorHAnsi"/>
          <w:spacing w:val="-1"/>
        </w:rPr>
        <w:t>r</w:t>
      </w:r>
      <w:r w:rsidRPr="00FD02DE">
        <w:rPr>
          <w:rFonts w:cstheme="minorHAnsi"/>
          <w:spacing w:val="1"/>
        </w:rPr>
        <w:t>e</w:t>
      </w:r>
      <w:r w:rsidRPr="00FD02DE">
        <w:rPr>
          <w:rFonts w:cstheme="minorHAnsi"/>
          <w:spacing w:val="-1"/>
        </w:rPr>
        <w:t>c</w:t>
      </w:r>
      <w:r w:rsidRPr="00FD02DE">
        <w:rPr>
          <w:rFonts w:cstheme="minorHAnsi"/>
        </w:rPr>
        <w:t>o</w:t>
      </w:r>
      <w:r w:rsidRPr="00FD02DE">
        <w:rPr>
          <w:rFonts w:cstheme="minorHAnsi"/>
          <w:spacing w:val="-1"/>
        </w:rPr>
        <w:t>r</w:t>
      </w:r>
      <w:r w:rsidRPr="00FD02DE">
        <w:rPr>
          <w:rFonts w:cstheme="minorHAnsi"/>
        </w:rPr>
        <w:t xml:space="preserve">d </w:t>
      </w:r>
      <w:r w:rsidRPr="00FD02DE">
        <w:rPr>
          <w:rFonts w:cstheme="minorHAnsi"/>
          <w:spacing w:val="-1"/>
        </w:rPr>
        <w:t>c</w:t>
      </w:r>
      <w:r w:rsidRPr="00FD02DE">
        <w:rPr>
          <w:rFonts w:cstheme="minorHAnsi"/>
        </w:rPr>
        <w:t>ons</w:t>
      </w:r>
      <w:r w:rsidRPr="00FD02DE">
        <w:rPr>
          <w:rFonts w:cstheme="minorHAnsi"/>
          <w:spacing w:val="-1"/>
        </w:rPr>
        <w:t>e</w:t>
      </w:r>
      <w:r w:rsidRPr="00FD02DE">
        <w:rPr>
          <w:rFonts w:cstheme="minorHAnsi"/>
        </w:rPr>
        <w:t>nsus</w:t>
      </w:r>
      <w:r w:rsidRPr="00FD02DE">
        <w:rPr>
          <w:rFonts w:cstheme="minorHAnsi"/>
          <w:spacing w:val="5"/>
        </w:rPr>
        <w:t xml:space="preserve"> </w:t>
      </w:r>
      <w:r w:rsidRPr="00FD02DE">
        <w:rPr>
          <w:rFonts w:cstheme="minorHAnsi"/>
          <w:spacing w:val="1"/>
        </w:rPr>
        <w:t>a</w:t>
      </w:r>
      <w:r w:rsidRPr="00FD02DE">
        <w:rPr>
          <w:rFonts w:cstheme="minorHAnsi"/>
          <w:spacing w:val="-2"/>
        </w:rPr>
        <w:t>g</w:t>
      </w:r>
      <w:r w:rsidRPr="00FD02DE">
        <w:rPr>
          <w:rFonts w:cstheme="minorHAnsi"/>
          <w:spacing w:val="2"/>
        </w:rPr>
        <w:t>r</w:t>
      </w:r>
      <w:r w:rsidRPr="00FD02DE">
        <w:rPr>
          <w:rFonts w:cstheme="minorHAnsi"/>
          <w:spacing w:val="-1"/>
        </w:rPr>
        <w:t>ee</w:t>
      </w:r>
      <w:r w:rsidRPr="00FD02DE">
        <w:rPr>
          <w:rFonts w:cstheme="minorHAnsi"/>
        </w:rPr>
        <w:t>m</w:t>
      </w:r>
      <w:r w:rsidRPr="00FD02DE">
        <w:rPr>
          <w:rFonts w:cstheme="minorHAnsi"/>
          <w:spacing w:val="-1"/>
        </w:rPr>
        <w:t>e</w:t>
      </w:r>
      <w:r w:rsidRPr="00FD02DE">
        <w:rPr>
          <w:rFonts w:cstheme="minorHAnsi"/>
        </w:rPr>
        <w:t>nt</w:t>
      </w:r>
      <w:r w:rsidRPr="00FD02DE">
        <w:rPr>
          <w:rFonts w:cstheme="minorHAnsi"/>
          <w:spacing w:val="5"/>
        </w:rPr>
        <w:t xml:space="preserve"> </w:t>
      </w:r>
      <w:r w:rsidRPr="00FD02DE">
        <w:rPr>
          <w:rFonts w:cstheme="minorHAnsi"/>
          <w:spacing w:val="-1"/>
        </w:rPr>
        <w:t>a</w:t>
      </w:r>
      <w:r w:rsidRPr="00FD02DE">
        <w:rPr>
          <w:rFonts w:cstheme="minorHAnsi"/>
        </w:rPr>
        <w:t>nd</w:t>
      </w:r>
      <w:r w:rsidRPr="00FD02DE">
        <w:rPr>
          <w:rFonts w:cstheme="minorHAnsi"/>
          <w:spacing w:val="5"/>
        </w:rPr>
        <w:t xml:space="preserve"> </w:t>
      </w:r>
      <w:r w:rsidRPr="00FD02DE">
        <w:rPr>
          <w:rFonts w:cstheme="minorHAnsi"/>
          <w:spacing w:val="1"/>
        </w:rPr>
        <w:t>a</w:t>
      </w:r>
      <w:r w:rsidRPr="00FD02DE">
        <w:rPr>
          <w:rFonts w:cstheme="minorHAnsi"/>
          <w:spacing w:val="2"/>
        </w:rPr>
        <w:t>n</w:t>
      </w:r>
      <w:r w:rsidRPr="00FD02DE">
        <w:rPr>
          <w:rFonts w:cstheme="minorHAnsi"/>
        </w:rPr>
        <w:t>y points</w:t>
      </w:r>
      <w:r w:rsidRPr="00FD02DE">
        <w:rPr>
          <w:rFonts w:cstheme="minorHAnsi"/>
          <w:spacing w:val="5"/>
        </w:rPr>
        <w:t xml:space="preserve"> </w:t>
      </w:r>
      <w:r w:rsidRPr="00FD02DE">
        <w:rPr>
          <w:rFonts w:cstheme="minorHAnsi"/>
        </w:rPr>
        <w:t xml:space="preserve">of </w:t>
      </w:r>
      <w:r w:rsidRPr="00FD02DE">
        <w:rPr>
          <w:rFonts w:cstheme="minorHAnsi"/>
          <w:spacing w:val="-1"/>
        </w:rPr>
        <w:t>ag</w:t>
      </w:r>
      <w:r w:rsidRPr="00FD02DE">
        <w:rPr>
          <w:rFonts w:cstheme="minorHAnsi"/>
        </w:rPr>
        <w:t>r</w:t>
      </w:r>
      <w:r w:rsidRPr="00FD02DE">
        <w:rPr>
          <w:rFonts w:cstheme="minorHAnsi"/>
          <w:spacing w:val="-1"/>
        </w:rPr>
        <w:t>ee</w:t>
      </w:r>
      <w:r w:rsidRPr="00FD02DE">
        <w:rPr>
          <w:rFonts w:cstheme="minorHAnsi"/>
          <w:spacing w:val="3"/>
        </w:rPr>
        <w:t>m</w:t>
      </w:r>
      <w:r w:rsidRPr="00FD02DE">
        <w:rPr>
          <w:rFonts w:cstheme="minorHAnsi"/>
          <w:spacing w:val="-1"/>
        </w:rPr>
        <w:t>en</w:t>
      </w:r>
      <w:r w:rsidRPr="00FD02DE">
        <w:rPr>
          <w:rFonts w:cstheme="minorHAnsi"/>
          <w:spacing w:val="1"/>
        </w:rPr>
        <w:t>t</w:t>
      </w:r>
      <w:r w:rsidRPr="00FD02DE">
        <w:rPr>
          <w:rFonts w:cstheme="minorHAnsi"/>
        </w:rPr>
        <w:t>/</w:t>
      </w:r>
      <w:r w:rsidRPr="00FD02DE">
        <w:rPr>
          <w:rFonts w:cstheme="minorHAnsi"/>
          <w:spacing w:val="-1"/>
        </w:rPr>
        <w:t>d</w:t>
      </w:r>
      <w:r w:rsidRPr="00FD02DE">
        <w:rPr>
          <w:rFonts w:cstheme="minorHAnsi"/>
          <w:spacing w:val="1"/>
        </w:rPr>
        <w:t>i</w:t>
      </w:r>
      <w:r w:rsidRPr="00FD02DE">
        <w:rPr>
          <w:rFonts w:cstheme="minorHAnsi"/>
        </w:rPr>
        <w:t>s</w:t>
      </w:r>
      <w:r w:rsidRPr="00FD02DE">
        <w:rPr>
          <w:rFonts w:cstheme="minorHAnsi"/>
          <w:spacing w:val="-1"/>
        </w:rPr>
        <w:t>a</w:t>
      </w:r>
      <w:r w:rsidRPr="00FD02DE">
        <w:rPr>
          <w:rFonts w:cstheme="minorHAnsi"/>
        </w:rPr>
        <w:t>g</w:t>
      </w:r>
      <w:r w:rsidRPr="00FD02DE">
        <w:rPr>
          <w:rFonts w:cstheme="minorHAnsi"/>
          <w:spacing w:val="-1"/>
        </w:rPr>
        <w:t>ree</w:t>
      </w:r>
      <w:r w:rsidRPr="00FD02DE">
        <w:rPr>
          <w:rFonts w:cstheme="minorHAnsi"/>
          <w:spacing w:val="3"/>
        </w:rPr>
        <w:t>m</w:t>
      </w:r>
      <w:r w:rsidRPr="00FD02DE">
        <w:rPr>
          <w:rFonts w:cstheme="minorHAnsi"/>
          <w:spacing w:val="-1"/>
        </w:rPr>
        <w:t>e</w:t>
      </w:r>
      <w:r w:rsidRPr="00FD02DE">
        <w:rPr>
          <w:rFonts w:cstheme="minorHAnsi"/>
        </w:rPr>
        <w:t xml:space="preserve">nt.   </w:t>
      </w:r>
      <w:r w:rsidRPr="00FD02DE">
        <w:rPr>
          <w:rFonts w:cstheme="minorHAnsi"/>
          <w:spacing w:val="14"/>
        </w:rPr>
        <w:t xml:space="preserve"> </w:t>
      </w:r>
      <w:r w:rsidRPr="00FD02DE">
        <w:rPr>
          <w:rFonts w:cstheme="minorHAnsi"/>
        </w:rPr>
        <w:t>Th</w:t>
      </w:r>
      <w:r w:rsidRPr="00FD02DE">
        <w:rPr>
          <w:rFonts w:cstheme="minorHAnsi"/>
          <w:spacing w:val="3"/>
        </w:rPr>
        <w:t>e</w:t>
      </w:r>
      <w:r w:rsidRPr="00FD02DE">
        <w:rPr>
          <w:rFonts w:cstheme="minorHAnsi"/>
        </w:rPr>
        <w:t>y will</w:t>
      </w:r>
      <w:r w:rsidRPr="00FD02DE">
        <w:rPr>
          <w:rFonts w:cstheme="minorHAnsi"/>
          <w:spacing w:val="5"/>
        </w:rPr>
        <w:t xml:space="preserve"> </w:t>
      </w:r>
      <w:r w:rsidRPr="00FD02DE">
        <w:rPr>
          <w:rFonts w:cstheme="minorHAnsi"/>
        </w:rPr>
        <w:t>not</w:t>
      </w:r>
      <w:r w:rsidRPr="00FD02DE">
        <w:rPr>
          <w:rFonts w:cstheme="minorHAnsi"/>
          <w:spacing w:val="4"/>
        </w:rPr>
        <w:t xml:space="preserve"> </w:t>
      </w:r>
      <w:r w:rsidRPr="00FD02DE">
        <w:rPr>
          <w:rFonts w:cstheme="minorHAnsi"/>
          <w:spacing w:val="2"/>
        </w:rPr>
        <w:t>r</w:t>
      </w:r>
      <w:r w:rsidRPr="00FD02DE">
        <w:rPr>
          <w:rFonts w:cstheme="minorHAnsi"/>
          <w:spacing w:val="-1"/>
        </w:rPr>
        <w:t>e</w:t>
      </w:r>
      <w:r w:rsidRPr="00FD02DE">
        <w:rPr>
          <w:rFonts w:cstheme="minorHAnsi"/>
          <w:spacing w:val="2"/>
        </w:rPr>
        <w:t>f</w:t>
      </w:r>
      <w:r w:rsidRPr="00FD02DE">
        <w:rPr>
          <w:rFonts w:cstheme="minorHAnsi"/>
        </w:rPr>
        <w:t>l</w:t>
      </w:r>
      <w:r w:rsidRPr="00FD02DE">
        <w:rPr>
          <w:rFonts w:cstheme="minorHAnsi"/>
          <w:spacing w:val="-1"/>
        </w:rPr>
        <w:t>ec</w:t>
      </w:r>
      <w:r w:rsidRPr="00FD02DE">
        <w:rPr>
          <w:rFonts w:cstheme="minorHAnsi"/>
        </w:rPr>
        <w:t>t</w:t>
      </w:r>
      <w:r w:rsidRPr="00FD02DE">
        <w:rPr>
          <w:rFonts w:cstheme="minorHAnsi"/>
          <w:spacing w:val="5"/>
        </w:rPr>
        <w:t xml:space="preserve"> </w:t>
      </w:r>
      <w:r w:rsidRPr="00FD02DE">
        <w:rPr>
          <w:rFonts w:cstheme="minorHAnsi"/>
        </w:rPr>
        <w:t>v</w:t>
      </w:r>
      <w:r w:rsidRPr="00FD02DE">
        <w:rPr>
          <w:rFonts w:cstheme="minorHAnsi"/>
          <w:spacing w:val="-1"/>
        </w:rPr>
        <w:t>er</w:t>
      </w:r>
      <w:r w:rsidRPr="00FD02DE">
        <w:rPr>
          <w:rFonts w:cstheme="minorHAnsi"/>
          <w:spacing w:val="2"/>
        </w:rPr>
        <w:t>b</w:t>
      </w:r>
      <w:r w:rsidRPr="00FD02DE">
        <w:rPr>
          <w:rFonts w:cstheme="minorHAnsi"/>
          <w:spacing w:val="-1"/>
        </w:rPr>
        <w:t>a</w:t>
      </w:r>
      <w:r w:rsidRPr="00FD02DE">
        <w:rPr>
          <w:rFonts w:cstheme="minorHAnsi"/>
        </w:rPr>
        <w:t>tim dis</w:t>
      </w:r>
      <w:r w:rsidRPr="00FD02DE">
        <w:rPr>
          <w:rFonts w:cstheme="minorHAnsi"/>
          <w:spacing w:val="-1"/>
        </w:rPr>
        <w:t>c</w:t>
      </w:r>
      <w:r w:rsidRPr="00FD02DE">
        <w:rPr>
          <w:rFonts w:cstheme="minorHAnsi"/>
        </w:rPr>
        <w:t>ussion</w:t>
      </w:r>
      <w:r w:rsidRPr="00FD02DE">
        <w:rPr>
          <w:rFonts w:cstheme="minorHAnsi"/>
          <w:spacing w:val="3"/>
        </w:rPr>
        <w:t xml:space="preserve"> </w:t>
      </w:r>
      <w:r w:rsidRPr="00FD02DE">
        <w:rPr>
          <w:rFonts w:cstheme="minorHAnsi"/>
        </w:rPr>
        <w:t>on</w:t>
      </w:r>
      <w:r w:rsidRPr="00FD02DE">
        <w:rPr>
          <w:rFonts w:cstheme="minorHAnsi"/>
          <w:spacing w:val="3"/>
        </w:rPr>
        <w:t xml:space="preserve"> </w:t>
      </w:r>
      <w:r w:rsidRPr="00FD02DE">
        <w:rPr>
          <w:rFonts w:cstheme="minorHAnsi"/>
        </w:rPr>
        <w:t>m</w:t>
      </w:r>
      <w:r w:rsidRPr="00FD02DE">
        <w:rPr>
          <w:rFonts w:cstheme="minorHAnsi"/>
          <w:spacing w:val="-1"/>
        </w:rPr>
        <w:t>a</w:t>
      </w:r>
      <w:r w:rsidRPr="00FD02DE">
        <w:rPr>
          <w:rFonts w:cstheme="minorHAnsi"/>
        </w:rPr>
        <w:t>tt</w:t>
      </w:r>
      <w:r w:rsidRPr="00FD02DE">
        <w:rPr>
          <w:rFonts w:cstheme="minorHAnsi"/>
          <w:spacing w:val="-1"/>
        </w:rPr>
        <w:t>er</w:t>
      </w:r>
      <w:r w:rsidRPr="00FD02DE">
        <w:rPr>
          <w:rFonts w:cstheme="minorHAnsi"/>
        </w:rPr>
        <w:t>s</w:t>
      </w:r>
      <w:r w:rsidRPr="00FD02DE">
        <w:rPr>
          <w:rFonts w:cstheme="minorHAnsi"/>
          <w:spacing w:val="3"/>
        </w:rPr>
        <w:t xml:space="preserve"> </w:t>
      </w:r>
      <w:r w:rsidRPr="00FD02DE">
        <w:rPr>
          <w:rFonts w:cstheme="minorHAnsi"/>
        </w:rPr>
        <w:t>dis</w:t>
      </w:r>
      <w:r w:rsidRPr="00FD02DE">
        <w:rPr>
          <w:rFonts w:cstheme="minorHAnsi"/>
          <w:spacing w:val="-1"/>
        </w:rPr>
        <w:t>c</w:t>
      </w:r>
      <w:r w:rsidRPr="00FD02DE">
        <w:rPr>
          <w:rFonts w:cstheme="minorHAnsi"/>
        </w:rPr>
        <w:t>uss</w:t>
      </w:r>
      <w:r w:rsidRPr="00FD02DE">
        <w:rPr>
          <w:rFonts w:cstheme="minorHAnsi"/>
          <w:spacing w:val="-1"/>
        </w:rPr>
        <w:t>e</w:t>
      </w:r>
      <w:r w:rsidRPr="00FD02DE">
        <w:rPr>
          <w:rFonts w:cstheme="minorHAnsi"/>
        </w:rPr>
        <w:t>d</w:t>
      </w:r>
      <w:r w:rsidRPr="00FD02DE">
        <w:rPr>
          <w:rFonts w:cstheme="minorHAnsi"/>
          <w:spacing w:val="3"/>
        </w:rPr>
        <w:t xml:space="preserve"> </w:t>
      </w:r>
      <w:r w:rsidRPr="00FD02DE">
        <w:rPr>
          <w:rFonts w:cstheme="minorHAnsi"/>
        </w:rPr>
        <w:t>du</w:t>
      </w:r>
      <w:r w:rsidRPr="00FD02DE">
        <w:rPr>
          <w:rFonts w:cstheme="minorHAnsi"/>
          <w:spacing w:val="-1"/>
        </w:rPr>
        <w:t>r</w:t>
      </w:r>
      <w:r w:rsidRPr="00FD02DE">
        <w:rPr>
          <w:rFonts w:cstheme="minorHAnsi"/>
        </w:rPr>
        <w:t>ing</w:t>
      </w:r>
      <w:r w:rsidRPr="00FD02DE">
        <w:rPr>
          <w:rFonts w:cstheme="minorHAnsi"/>
          <w:spacing w:val="3"/>
        </w:rPr>
        <w:t xml:space="preserve"> </w:t>
      </w:r>
      <w:r w:rsidRPr="00FD02DE">
        <w:rPr>
          <w:rFonts w:cstheme="minorHAnsi"/>
          <w:spacing w:val="-1"/>
        </w:rPr>
        <w:t xml:space="preserve">debate prior to consensus agreement being reached. </w:t>
      </w:r>
      <w:r w:rsidRPr="00FD02DE">
        <w:rPr>
          <w:rFonts w:cstheme="minorHAnsi"/>
        </w:rPr>
        <w:t>The</w:t>
      </w:r>
      <w:r w:rsidRPr="00FD02DE">
        <w:rPr>
          <w:rFonts w:cstheme="minorHAnsi"/>
          <w:spacing w:val="1"/>
        </w:rPr>
        <w:t xml:space="preserve"> </w:t>
      </w:r>
      <w:r w:rsidRPr="00FD02DE">
        <w:rPr>
          <w:rFonts w:cstheme="minorHAnsi"/>
        </w:rPr>
        <w:t>Minut</w:t>
      </w:r>
      <w:r w:rsidRPr="00FD02DE">
        <w:rPr>
          <w:rFonts w:cstheme="minorHAnsi"/>
          <w:spacing w:val="-1"/>
        </w:rPr>
        <w:t>e</w:t>
      </w:r>
      <w:r w:rsidRPr="00FD02DE">
        <w:rPr>
          <w:rFonts w:cstheme="minorHAnsi"/>
        </w:rPr>
        <w:t>s/M</w:t>
      </w:r>
      <w:r w:rsidRPr="00FD02DE">
        <w:rPr>
          <w:rFonts w:cstheme="minorHAnsi"/>
          <w:spacing w:val="-1"/>
        </w:rPr>
        <w:t>ee</w:t>
      </w:r>
      <w:r w:rsidRPr="00FD02DE">
        <w:rPr>
          <w:rFonts w:cstheme="minorHAnsi"/>
        </w:rPr>
        <w:t>ti</w:t>
      </w:r>
      <w:r w:rsidRPr="00FD02DE">
        <w:rPr>
          <w:rFonts w:cstheme="minorHAnsi"/>
          <w:spacing w:val="2"/>
        </w:rPr>
        <w:t>n</w:t>
      </w:r>
      <w:r w:rsidRPr="00FD02DE">
        <w:rPr>
          <w:rFonts w:cstheme="minorHAnsi"/>
        </w:rPr>
        <w:t>g n</w:t>
      </w:r>
      <w:r w:rsidRPr="00FD02DE">
        <w:rPr>
          <w:rFonts w:cstheme="minorHAnsi"/>
          <w:spacing w:val="2"/>
        </w:rPr>
        <w:t>o</w:t>
      </w:r>
      <w:r w:rsidRPr="00FD02DE">
        <w:rPr>
          <w:rFonts w:cstheme="minorHAnsi"/>
        </w:rPr>
        <w:t>t</w:t>
      </w:r>
      <w:r w:rsidRPr="00FD02DE">
        <w:rPr>
          <w:rFonts w:cstheme="minorHAnsi"/>
          <w:spacing w:val="-1"/>
        </w:rPr>
        <w:t>e</w:t>
      </w:r>
      <w:r w:rsidRPr="00FD02DE">
        <w:rPr>
          <w:rFonts w:cstheme="minorHAnsi"/>
        </w:rPr>
        <w:t>s</w:t>
      </w:r>
      <w:r w:rsidRPr="00FD02DE">
        <w:rPr>
          <w:rFonts w:cstheme="minorHAnsi"/>
          <w:spacing w:val="3"/>
        </w:rPr>
        <w:t xml:space="preserve"> </w:t>
      </w:r>
      <w:r w:rsidRPr="00FD02DE">
        <w:rPr>
          <w:rFonts w:cstheme="minorHAnsi"/>
          <w:spacing w:val="-1"/>
        </w:rPr>
        <w:t>o</w:t>
      </w:r>
      <w:r w:rsidRPr="00FD02DE">
        <w:rPr>
          <w:rFonts w:cstheme="minorHAnsi"/>
        </w:rPr>
        <w:t>f</w:t>
      </w:r>
      <w:r w:rsidRPr="00FD02DE">
        <w:rPr>
          <w:rFonts w:cstheme="minorHAnsi"/>
          <w:spacing w:val="3"/>
        </w:rPr>
        <w:t xml:space="preserve"> </w:t>
      </w:r>
      <w:r w:rsidRPr="00FD02DE">
        <w:rPr>
          <w:rFonts w:cstheme="minorHAnsi"/>
        </w:rPr>
        <w:t>t</w:t>
      </w:r>
      <w:r w:rsidRPr="00FD02DE">
        <w:rPr>
          <w:rFonts w:cstheme="minorHAnsi"/>
          <w:spacing w:val="2"/>
        </w:rPr>
        <w:t>h</w:t>
      </w:r>
      <w:r w:rsidRPr="00FD02DE">
        <w:rPr>
          <w:rFonts w:cstheme="minorHAnsi"/>
        </w:rPr>
        <w:t>e</w:t>
      </w:r>
      <w:r w:rsidRPr="00FD02DE">
        <w:rPr>
          <w:rFonts w:cstheme="minorHAnsi"/>
          <w:spacing w:val="1"/>
        </w:rPr>
        <w:t xml:space="preserve"> </w:t>
      </w:r>
      <w:r w:rsidRPr="00FD02DE">
        <w:rPr>
          <w:rFonts w:cstheme="minorHAnsi"/>
        </w:rPr>
        <w:t>M</w:t>
      </w:r>
      <w:r w:rsidRPr="00FD02DE">
        <w:rPr>
          <w:rFonts w:cstheme="minorHAnsi"/>
          <w:spacing w:val="1"/>
        </w:rPr>
        <w:t>e</w:t>
      </w:r>
      <w:r w:rsidRPr="00FD02DE">
        <w:rPr>
          <w:rFonts w:cstheme="minorHAnsi"/>
          <w:spacing w:val="-1"/>
        </w:rPr>
        <w:t>e</w:t>
      </w:r>
      <w:r w:rsidRPr="00FD02DE">
        <w:rPr>
          <w:rFonts w:cstheme="minorHAnsi"/>
        </w:rPr>
        <w:t>ti</w:t>
      </w:r>
      <w:r w:rsidRPr="00FD02DE">
        <w:rPr>
          <w:rFonts w:cstheme="minorHAnsi"/>
          <w:spacing w:val="-1"/>
        </w:rPr>
        <w:t>n</w:t>
      </w:r>
      <w:r w:rsidRPr="00FD02DE">
        <w:rPr>
          <w:rFonts w:cstheme="minorHAnsi"/>
        </w:rPr>
        <w:t>g</w:t>
      </w:r>
      <w:r w:rsidRPr="00FD02DE">
        <w:rPr>
          <w:rFonts w:cstheme="minorHAnsi"/>
          <w:spacing w:val="3"/>
        </w:rPr>
        <w:t xml:space="preserve"> </w:t>
      </w:r>
      <w:r w:rsidRPr="00FD02DE">
        <w:rPr>
          <w:rFonts w:cstheme="minorHAnsi"/>
        </w:rPr>
        <w:t>will</w:t>
      </w:r>
      <w:r w:rsidRPr="00FD02DE">
        <w:rPr>
          <w:rFonts w:cstheme="minorHAnsi"/>
          <w:spacing w:val="3"/>
        </w:rPr>
        <w:t xml:space="preserve"> </w:t>
      </w:r>
      <w:r w:rsidRPr="00FD02DE">
        <w:rPr>
          <w:rFonts w:cstheme="minorHAnsi"/>
          <w:spacing w:val="2"/>
        </w:rPr>
        <w:t>b</w:t>
      </w:r>
      <w:r w:rsidRPr="00FD02DE">
        <w:rPr>
          <w:rFonts w:cstheme="minorHAnsi"/>
        </w:rPr>
        <w:t>e</w:t>
      </w:r>
      <w:r w:rsidRPr="00FD02DE">
        <w:rPr>
          <w:rFonts w:cstheme="minorHAnsi"/>
          <w:spacing w:val="1"/>
        </w:rPr>
        <w:t xml:space="preserve"> </w:t>
      </w:r>
      <w:r w:rsidRPr="00FD02DE">
        <w:rPr>
          <w:rFonts w:cstheme="minorHAnsi"/>
          <w:spacing w:val="-1"/>
        </w:rPr>
        <w:t>p</w:t>
      </w:r>
      <w:r w:rsidRPr="00FD02DE">
        <w:rPr>
          <w:rFonts w:cstheme="minorHAnsi"/>
          <w:spacing w:val="3"/>
        </w:rPr>
        <w:t>r</w:t>
      </w:r>
      <w:r w:rsidRPr="00FD02DE">
        <w:rPr>
          <w:rFonts w:cstheme="minorHAnsi"/>
          <w:spacing w:val="-1"/>
        </w:rPr>
        <w:t>ep</w:t>
      </w:r>
      <w:r w:rsidRPr="00FD02DE">
        <w:rPr>
          <w:rFonts w:cstheme="minorHAnsi"/>
        </w:rPr>
        <w:t>a</w:t>
      </w:r>
      <w:r w:rsidRPr="00FD02DE">
        <w:rPr>
          <w:rFonts w:cstheme="minorHAnsi"/>
          <w:spacing w:val="2"/>
        </w:rPr>
        <w:t>r</w:t>
      </w:r>
      <w:r w:rsidRPr="00FD02DE">
        <w:rPr>
          <w:rFonts w:cstheme="minorHAnsi"/>
          <w:spacing w:val="-1"/>
        </w:rPr>
        <w:t>e</w:t>
      </w:r>
      <w:r w:rsidRPr="00FD02DE">
        <w:rPr>
          <w:rFonts w:cstheme="minorHAnsi"/>
        </w:rPr>
        <w:t>d</w:t>
      </w:r>
      <w:r w:rsidRPr="00FD02DE">
        <w:rPr>
          <w:rFonts w:cstheme="minorHAnsi"/>
          <w:spacing w:val="2"/>
        </w:rPr>
        <w:t xml:space="preserve"> </w:t>
      </w:r>
      <w:r w:rsidRPr="00FD02DE">
        <w:rPr>
          <w:rFonts w:cstheme="minorHAnsi"/>
          <w:spacing w:val="5"/>
        </w:rPr>
        <w:t>b</w:t>
      </w:r>
      <w:r w:rsidRPr="00FD02DE">
        <w:rPr>
          <w:rFonts w:cstheme="minorHAnsi"/>
        </w:rPr>
        <w:t xml:space="preserve">y an officer of the Town </w:t>
      </w:r>
      <w:r w:rsidRPr="00FD02DE">
        <w:rPr>
          <w:rFonts w:cstheme="minorHAnsi"/>
          <w:spacing w:val="3"/>
        </w:rPr>
        <w:t>and</w:t>
      </w:r>
      <w:r w:rsidRPr="00FD02DE">
        <w:rPr>
          <w:rFonts w:cstheme="minorHAnsi"/>
        </w:rPr>
        <w:t xml:space="preserve"> </w:t>
      </w:r>
      <w:r w:rsidRPr="00FD02DE">
        <w:rPr>
          <w:rFonts w:cstheme="minorHAnsi"/>
          <w:spacing w:val="1"/>
        </w:rPr>
        <w:t>distributed</w:t>
      </w:r>
      <w:r w:rsidRPr="00FD02DE">
        <w:rPr>
          <w:rFonts w:cstheme="minorHAnsi"/>
        </w:rPr>
        <w:t xml:space="preserve"> </w:t>
      </w:r>
      <w:r w:rsidRPr="00FD02DE">
        <w:rPr>
          <w:rFonts w:cstheme="minorHAnsi"/>
          <w:spacing w:val="1"/>
        </w:rPr>
        <w:t>to</w:t>
      </w:r>
      <w:r w:rsidRPr="00FD02DE">
        <w:rPr>
          <w:rFonts w:cstheme="minorHAnsi"/>
        </w:rPr>
        <w:t xml:space="preserve"> </w:t>
      </w:r>
      <w:r w:rsidRPr="00FD02DE">
        <w:rPr>
          <w:rFonts w:cstheme="minorHAnsi"/>
          <w:spacing w:val="1"/>
        </w:rPr>
        <w:t>members</w:t>
      </w:r>
      <w:r w:rsidRPr="00FD02DE">
        <w:rPr>
          <w:rFonts w:cstheme="minorHAnsi"/>
        </w:rPr>
        <w:t xml:space="preserve"> </w:t>
      </w:r>
      <w:r w:rsidRPr="00FD02DE">
        <w:rPr>
          <w:rFonts w:cstheme="minorHAnsi"/>
          <w:spacing w:val="1"/>
        </w:rPr>
        <w:t>within</w:t>
      </w:r>
      <w:r w:rsidRPr="00FD02DE">
        <w:rPr>
          <w:rFonts w:cstheme="minorHAnsi"/>
        </w:rPr>
        <w:t xml:space="preserve"> </w:t>
      </w:r>
      <w:r w:rsidRPr="00FD02DE">
        <w:rPr>
          <w:rFonts w:cstheme="minorHAnsi"/>
          <w:spacing w:val="-1"/>
        </w:rPr>
        <w:t>f</w:t>
      </w:r>
      <w:r w:rsidRPr="00FD02DE">
        <w:rPr>
          <w:rFonts w:cstheme="minorHAnsi"/>
        </w:rPr>
        <w:t>i</w:t>
      </w:r>
      <w:r w:rsidRPr="00FD02DE">
        <w:rPr>
          <w:rFonts w:cstheme="minorHAnsi"/>
          <w:spacing w:val="-1"/>
        </w:rPr>
        <w:t>v</w:t>
      </w:r>
      <w:r w:rsidRPr="00FD02DE">
        <w:rPr>
          <w:rFonts w:cstheme="minorHAnsi"/>
        </w:rPr>
        <w:t xml:space="preserve">e </w:t>
      </w:r>
      <w:r w:rsidRPr="00FD02DE">
        <w:rPr>
          <w:rFonts w:cstheme="minorHAnsi"/>
          <w:spacing w:val="-1"/>
        </w:rPr>
        <w:t>(5</w:t>
      </w:r>
      <w:r w:rsidRPr="00FD02DE">
        <w:rPr>
          <w:rFonts w:cstheme="minorHAnsi"/>
        </w:rPr>
        <w:t>) w</w:t>
      </w:r>
      <w:r w:rsidRPr="00FD02DE">
        <w:rPr>
          <w:rFonts w:cstheme="minorHAnsi"/>
          <w:spacing w:val="2"/>
        </w:rPr>
        <w:t>o</w:t>
      </w:r>
      <w:r w:rsidRPr="00FD02DE">
        <w:rPr>
          <w:rFonts w:cstheme="minorHAnsi"/>
          <w:spacing w:val="-1"/>
        </w:rPr>
        <w:t>rk</w:t>
      </w:r>
      <w:r w:rsidRPr="00FD02DE">
        <w:rPr>
          <w:rFonts w:cstheme="minorHAnsi"/>
          <w:spacing w:val="1"/>
        </w:rPr>
        <w:t>i</w:t>
      </w:r>
      <w:r w:rsidRPr="00FD02DE">
        <w:rPr>
          <w:rFonts w:cstheme="minorHAnsi"/>
          <w:spacing w:val="-1"/>
        </w:rPr>
        <w:t>n</w:t>
      </w:r>
      <w:r w:rsidRPr="00FD02DE">
        <w:rPr>
          <w:rFonts w:cstheme="minorHAnsi"/>
        </w:rPr>
        <w:t>g</w:t>
      </w:r>
      <w:r w:rsidRPr="00FD02DE">
        <w:rPr>
          <w:rFonts w:cstheme="minorHAnsi"/>
          <w:spacing w:val="-1"/>
        </w:rPr>
        <w:t xml:space="preserve"> </w:t>
      </w:r>
      <w:r w:rsidRPr="00FD02DE">
        <w:rPr>
          <w:rFonts w:cstheme="minorHAnsi"/>
          <w:spacing w:val="2"/>
        </w:rPr>
        <w:t>d</w:t>
      </w:r>
      <w:r w:rsidRPr="00FD02DE">
        <w:rPr>
          <w:rFonts w:cstheme="minorHAnsi"/>
          <w:spacing w:val="4"/>
        </w:rPr>
        <w:t>a</w:t>
      </w:r>
      <w:r w:rsidRPr="00FD02DE">
        <w:rPr>
          <w:rFonts w:cstheme="minorHAnsi"/>
          <w:spacing w:val="-5"/>
        </w:rPr>
        <w:t>y</w:t>
      </w:r>
      <w:r w:rsidRPr="00FD02DE">
        <w:rPr>
          <w:rFonts w:cstheme="minorHAnsi"/>
        </w:rPr>
        <w:t xml:space="preserve">s </w:t>
      </w:r>
      <w:r w:rsidRPr="00FD02DE">
        <w:rPr>
          <w:rFonts w:cstheme="minorHAnsi"/>
          <w:spacing w:val="-1"/>
        </w:rPr>
        <w:t>af</w:t>
      </w:r>
      <w:r w:rsidRPr="00FD02DE">
        <w:rPr>
          <w:rFonts w:cstheme="minorHAnsi"/>
          <w:spacing w:val="3"/>
        </w:rPr>
        <w:t>t</w:t>
      </w:r>
      <w:r w:rsidRPr="00FD02DE">
        <w:rPr>
          <w:rFonts w:cstheme="minorHAnsi"/>
          <w:spacing w:val="-1"/>
        </w:rPr>
        <w:t>e</w:t>
      </w:r>
      <w:r w:rsidRPr="00FD02DE">
        <w:rPr>
          <w:rFonts w:cstheme="minorHAnsi"/>
        </w:rPr>
        <w:t>r</w:t>
      </w:r>
      <w:r w:rsidRPr="00FD02DE">
        <w:rPr>
          <w:rFonts w:cstheme="minorHAnsi"/>
          <w:spacing w:val="-1"/>
        </w:rPr>
        <w:t xml:space="preserve"> </w:t>
      </w:r>
      <w:r w:rsidRPr="00FD02DE">
        <w:rPr>
          <w:rFonts w:cstheme="minorHAnsi"/>
        </w:rPr>
        <w:t>t</w:t>
      </w:r>
      <w:r w:rsidRPr="00FD02DE">
        <w:rPr>
          <w:rFonts w:cstheme="minorHAnsi"/>
          <w:spacing w:val="-1"/>
        </w:rPr>
        <w:t>h</w:t>
      </w:r>
      <w:r w:rsidRPr="00FD02DE">
        <w:rPr>
          <w:rFonts w:cstheme="minorHAnsi"/>
        </w:rPr>
        <w:t xml:space="preserve">e </w:t>
      </w:r>
      <w:r w:rsidRPr="00FD02DE">
        <w:rPr>
          <w:rFonts w:cstheme="minorHAnsi"/>
          <w:spacing w:val="-1"/>
        </w:rPr>
        <w:t>d</w:t>
      </w:r>
      <w:r w:rsidRPr="00FD02DE">
        <w:rPr>
          <w:rFonts w:cstheme="minorHAnsi"/>
        </w:rPr>
        <w:t>ate</w:t>
      </w:r>
      <w:r w:rsidRPr="00FD02DE">
        <w:rPr>
          <w:rFonts w:cstheme="minorHAnsi"/>
          <w:spacing w:val="-1"/>
        </w:rPr>
        <w:t xml:space="preserve"> </w:t>
      </w:r>
      <w:r w:rsidRPr="00FD02DE">
        <w:rPr>
          <w:rFonts w:cstheme="minorHAnsi"/>
          <w:spacing w:val="2"/>
        </w:rPr>
        <w:t>o</w:t>
      </w:r>
      <w:r w:rsidRPr="00FD02DE">
        <w:rPr>
          <w:rFonts w:cstheme="minorHAnsi"/>
        </w:rPr>
        <w:t>f</w:t>
      </w:r>
      <w:r w:rsidRPr="00FD02DE">
        <w:rPr>
          <w:rFonts w:cstheme="minorHAnsi"/>
          <w:spacing w:val="-1"/>
        </w:rPr>
        <w:t xml:space="preserve"> </w:t>
      </w:r>
      <w:r w:rsidRPr="00FD02DE">
        <w:rPr>
          <w:rFonts w:cstheme="minorHAnsi"/>
        </w:rPr>
        <w:t>t</w:t>
      </w:r>
      <w:r w:rsidRPr="00FD02DE">
        <w:rPr>
          <w:rFonts w:cstheme="minorHAnsi"/>
          <w:spacing w:val="-1"/>
        </w:rPr>
        <w:t>h</w:t>
      </w:r>
      <w:r w:rsidRPr="00FD02DE">
        <w:rPr>
          <w:rFonts w:cstheme="minorHAnsi"/>
        </w:rPr>
        <w:t>e m</w:t>
      </w:r>
      <w:r w:rsidRPr="00FD02DE">
        <w:rPr>
          <w:rFonts w:cstheme="minorHAnsi"/>
          <w:spacing w:val="-1"/>
        </w:rPr>
        <w:t>ee</w:t>
      </w:r>
      <w:r w:rsidRPr="00FD02DE">
        <w:rPr>
          <w:rFonts w:cstheme="minorHAnsi"/>
        </w:rPr>
        <w:t>ti</w:t>
      </w:r>
      <w:r w:rsidRPr="00FD02DE">
        <w:rPr>
          <w:rFonts w:cstheme="minorHAnsi"/>
          <w:spacing w:val="2"/>
        </w:rPr>
        <w:t>n</w:t>
      </w:r>
      <w:r w:rsidRPr="00FD02DE">
        <w:rPr>
          <w:rFonts w:cstheme="minorHAnsi"/>
        </w:rPr>
        <w:t>g.</w:t>
      </w:r>
    </w:p>
    <w:p w14:paraId="3CE3F149" w14:textId="77777777" w:rsidR="00272EB4" w:rsidRPr="00FD02DE" w:rsidRDefault="00272EB4" w:rsidP="00272EB4">
      <w:pPr>
        <w:pStyle w:val="ListParagraph"/>
        <w:numPr>
          <w:ilvl w:val="0"/>
          <w:numId w:val="338"/>
        </w:numPr>
        <w:spacing w:after="60" w:line="240" w:lineRule="auto"/>
        <w:ind w:left="426" w:hanging="426"/>
        <w:contextualSpacing w:val="0"/>
        <w:jc w:val="both"/>
        <w:rPr>
          <w:rFonts w:cstheme="minorHAnsi"/>
        </w:rPr>
      </w:pPr>
      <w:r w:rsidRPr="00FD02DE">
        <w:rPr>
          <w:rFonts w:cstheme="minorHAnsi"/>
        </w:rPr>
        <w:t>The</w:t>
      </w:r>
      <w:r w:rsidRPr="00FD02DE">
        <w:rPr>
          <w:rFonts w:cstheme="minorHAnsi"/>
          <w:spacing w:val="54"/>
        </w:rPr>
        <w:t xml:space="preserve"> </w:t>
      </w:r>
      <w:r w:rsidRPr="00FD02DE">
        <w:rPr>
          <w:rFonts w:cstheme="minorHAnsi"/>
        </w:rPr>
        <w:t>Panel Minut</w:t>
      </w:r>
      <w:r w:rsidRPr="00FD02DE">
        <w:rPr>
          <w:rFonts w:cstheme="minorHAnsi"/>
          <w:spacing w:val="-1"/>
        </w:rPr>
        <w:t>e</w:t>
      </w:r>
      <w:r w:rsidRPr="00FD02DE">
        <w:rPr>
          <w:rFonts w:cstheme="minorHAnsi"/>
        </w:rPr>
        <w:t>s/M</w:t>
      </w:r>
      <w:r w:rsidRPr="00FD02DE">
        <w:rPr>
          <w:rFonts w:cstheme="minorHAnsi"/>
          <w:spacing w:val="-1"/>
        </w:rPr>
        <w:t>e</w:t>
      </w:r>
      <w:r w:rsidRPr="00FD02DE">
        <w:rPr>
          <w:rFonts w:cstheme="minorHAnsi"/>
          <w:spacing w:val="1"/>
        </w:rPr>
        <w:t>e</w:t>
      </w:r>
      <w:r w:rsidRPr="00FD02DE">
        <w:rPr>
          <w:rFonts w:cstheme="minorHAnsi"/>
        </w:rPr>
        <w:t>ting</w:t>
      </w:r>
      <w:r w:rsidRPr="00FD02DE">
        <w:rPr>
          <w:rFonts w:cstheme="minorHAnsi"/>
          <w:spacing w:val="53"/>
        </w:rPr>
        <w:t xml:space="preserve"> </w:t>
      </w:r>
      <w:r w:rsidRPr="00FD02DE">
        <w:rPr>
          <w:rFonts w:cstheme="minorHAnsi"/>
        </w:rPr>
        <w:t>not</w:t>
      </w:r>
      <w:r w:rsidRPr="00FD02DE">
        <w:rPr>
          <w:rFonts w:cstheme="minorHAnsi"/>
          <w:spacing w:val="-1"/>
        </w:rPr>
        <w:t>e</w:t>
      </w:r>
      <w:r w:rsidRPr="00FD02DE">
        <w:rPr>
          <w:rFonts w:cstheme="minorHAnsi"/>
        </w:rPr>
        <w:t>s</w:t>
      </w:r>
      <w:r w:rsidRPr="00FD02DE">
        <w:rPr>
          <w:rFonts w:cstheme="minorHAnsi"/>
          <w:spacing w:val="55"/>
        </w:rPr>
        <w:t xml:space="preserve"> </w:t>
      </w:r>
      <w:r w:rsidRPr="00FD02DE">
        <w:rPr>
          <w:rFonts w:cstheme="minorHAnsi"/>
          <w:spacing w:val="1"/>
        </w:rPr>
        <w:t>a</w:t>
      </w:r>
      <w:r w:rsidRPr="00FD02DE">
        <w:rPr>
          <w:rFonts w:cstheme="minorHAnsi"/>
          <w:spacing w:val="-1"/>
        </w:rPr>
        <w:t>r</w:t>
      </w:r>
      <w:r w:rsidRPr="00FD02DE">
        <w:rPr>
          <w:rFonts w:cstheme="minorHAnsi"/>
        </w:rPr>
        <w:t>e</w:t>
      </w:r>
      <w:r w:rsidRPr="00FD02DE">
        <w:rPr>
          <w:rFonts w:cstheme="minorHAnsi"/>
          <w:spacing w:val="54"/>
        </w:rPr>
        <w:t xml:space="preserve"> </w:t>
      </w:r>
      <w:r w:rsidRPr="00FD02DE">
        <w:rPr>
          <w:rFonts w:cstheme="minorHAnsi"/>
        </w:rPr>
        <w:t>to</w:t>
      </w:r>
      <w:r w:rsidRPr="00FD02DE">
        <w:rPr>
          <w:rFonts w:cstheme="minorHAnsi"/>
          <w:spacing w:val="55"/>
        </w:rPr>
        <w:t xml:space="preserve"> </w:t>
      </w:r>
      <w:r w:rsidRPr="00FD02DE">
        <w:rPr>
          <w:rFonts w:cstheme="minorHAnsi"/>
          <w:spacing w:val="2"/>
        </w:rPr>
        <w:t>b</w:t>
      </w:r>
      <w:r w:rsidRPr="00FD02DE">
        <w:rPr>
          <w:rFonts w:cstheme="minorHAnsi"/>
        </w:rPr>
        <w:t>e</w:t>
      </w:r>
      <w:r w:rsidRPr="00FD02DE">
        <w:rPr>
          <w:rFonts w:cstheme="minorHAnsi"/>
          <w:spacing w:val="54"/>
        </w:rPr>
        <w:t xml:space="preserve"> </w:t>
      </w:r>
      <w:r w:rsidRPr="00FD02DE">
        <w:rPr>
          <w:rFonts w:cstheme="minorHAnsi"/>
        </w:rPr>
        <w:t>p</w:t>
      </w:r>
      <w:r w:rsidRPr="00FD02DE">
        <w:rPr>
          <w:rFonts w:cstheme="minorHAnsi"/>
          <w:spacing w:val="2"/>
        </w:rPr>
        <w:t>r</w:t>
      </w:r>
      <w:r w:rsidRPr="00FD02DE">
        <w:rPr>
          <w:rFonts w:cstheme="minorHAnsi"/>
          <w:spacing w:val="-1"/>
        </w:rPr>
        <w:t>e</w:t>
      </w:r>
      <w:r w:rsidRPr="00FD02DE">
        <w:rPr>
          <w:rFonts w:cstheme="minorHAnsi"/>
        </w:rPr>
        <w:t>s</w:t>
      </w:r>
      <w:r w:rsidRPr="00FD02DE">
        <w:rPr>
          <w:rFonts w:cstheme="minorHAnsi"/>
          <w:spacing w:val="-1"/>
        </w:rPr>
        <w:t>e</w:t>
      </w:r>
      <w:r w:rsidRPr="00FD02DE">
        <w:rPr>
          <w:rFonts w:cstheme="minorHAnsi"/>
        </w:rPr>
        <w:t>nt</w:t>
      </w:r>
      <w:r w:rsidRPr="00FD02DE">
        <w:rPr>
          <w:rFonts w:cstheme="minorHAnsi"/>
          <w:spacing w:val="-1"/>
        </w:rPr>
        <w:t>e</w:t>
      </w:r>
      <w:r w:rsidRPr="00FD02DE">
        <w:rPr>
          <w:rFonts w:cstheme="minorHAnsi"/>
        </w:rPr>
        <w:t>d</w:t>
      </w:r>
      <w:r w:rsidRPr="00FD02DE">
        <w:rPr>
          <w:rFonts w:cstheme="minorHAnsi"/>
          <w:spacing w:val="55"/>
        </w:rPr>
        <w:t xml:space="preserve"> </w:t>
      </w:r>
      <w:r w:rsidRPr="00FD02DE">
        <w:rPr>
          <w:rFonts w:cstheme="minorHAnsi"/>
        </w:rPr>
        <w:t>in</w:t>
      </w:r>
      <w:r w:rsidRPr="00FD02DE">
        <w:rPr>
          <w:rFonts w:cstheme="minorHAnsi"/>
          <w:spacing w:val="55"/>
        </w:rPr>
        <w:t xml:space="preserve"> </w:t>
      </w:r>
      <w:r w:rsidRPr="00FD02DE">
        <w:rPr>
          <w:rFonts w:cstheme="minorHAnsi"/>
        </w:rPr>
        <w:t xml:space="preserve">the </w:t>
      </w:r>
      <w:r w:rsidRPr="00FD02DE">
        <w:rPr>
          <w:rFonts w:cstheme="minorHAnsi"/>
          <w:spacing w:val="-1"/>
        </w:rPr>
        <w:t>fo</w:t>
      </w:r>
      <w:r w:rsidRPr="00FD02DE">
        <w:rPr>
          <w:rFonts w:cstheme="minorHAnsi"/>
        </w:rPr>
        <w:t xml:space="preserve">rm </w:t>
      </w:r>
      <w:r w:rsidRPr="00FD02DE">
        <w:rPr>
          <w:rFonts w:cstheme="minorHAnsi"/>
          <w:spacing w:val="-1"/>
        </w:rPr>
        <w:t>o</w:t>
      </w:r>
      <w:r w:rsidRPr="00FD02DE">
        <w:rPr>
          <w:rFonts w:cstheme="minorHAnsi"/>
        </w:rPr>
        <w:t>f:</w:t>
      </w:r>
    </w:p>
    <w:p w14:paraId="0FAC5FFB" w14:textId="77777777" w:rsidR="00272EB4" w:rsidRPr="00FD02DE" w:rsidRDefault="00272EB4" w:rsidP="00272EB4">
      <w:pPr>
        <w:pStyle w:val="ListParagraph"/>
        <w:numPr>
          <w:ilvl w:val="1"/>
          <w:numId w:val="338"/>
        </w:numPr>
        <w:spacing w:after="60" w:line="240" w:lineRule="auto"/>
        <w:ind w:left="851" w:hanging="425"/>
        <w:contextualSpacing w:val="0"/>
        <w:jc w:val="both"/>
        <w:rPr>
          <w:rFonts w:cstheme="minorHAnsi"/>
        </w:rPr>
      </w:pPr>
      <w:r w:rsidRPr="00FD02DE">
        <w:rPr>
          <w:rFonts w:cstheme="minorHAnsi"/>
        </w:rPr>
        <w:t>e</w:t>
      </w:r>
      <w:r w:rsidRPr="00FD02DE">
        <w:rPr>
          <w:rFonts w:cstheme="minorHAnsi"/>
          <w:spacing w:val="2"/>
        </w:rPr>
        <w:t>x</w:t>
      </w:r>
      <w:r w:rsidRPr="00FD02DE">
        <w:rPr>
          <w:rFonts w:cstheme="minorHAnsi"/>
        </w:rPr>
        <w:t>pl</w:t>
      </w:r>
      <w:r w:rsidRPr="00FD02DE">
        <w:rPr>
          <w:rFonts w:cstheme="minorHAnsi"/>
          <w:spacing w:val="-1"/>
        </w:rPr>
        <w:t>a</w:t>
      </w:r>
      <w:r w:rsidRPr="00FD02DE">
        <w:rPr>
          <w:rFonts w:cstheme="minorHAnsi"/>
        </w:rPr>
        <w:t>n</w:t>
      </w:r>
      <w:r w:rsidRPr="00FD02DE">
        <w:rPr>
          <w:rFonts w:cstheme="minorHAnsi"/>
          <w:spacing w:val="-1"/>
        </w:rPr>
        <w:t>a</w:t>
      </w:r>
      <w:r w:rsidRPr="00FD02DE">
        <w:rPr>
          <w:rFonts w:cstheme="minorHAnsi"/>
        </w:rPr>
        <w:t>to</w:t>
      </w:r>
      <w:r w:rsidRPr="00FD02DE">
        <w:rPr>
          <w:rFonts w:cstheme="minorHAnsi"/>
          <w:spacing w:val="2"/>
        </w:rPr>
        <w:t>r</w:t>
      </w:r>
      <w:r w:rsidRPr="00FD02DE">
        <w:rPr>
          <w:rFonts w:cstheme="minorHAnsi"/>
        </w:rPr>
        <w:t>y</w:t>
      </w:r>
      <w:r w:rsidRPr="00FD02DE">
        <w:rPr>
          <w:rFonts w:cstheme="minorHAnsi"/>
          <w:spacing w:val="22"/>
        </w:rPr>
        <w:t xml:space="preserve"> </w:t>
      </w:r>
      <w:r w:rsidRPr="00FD02DE">
        <w:rPr>
          <w:rFonts w:cstheme="minorHAnsi"/>
          <w:spacing w:val="-1"/>
        </w:rPr>
        <w:t>c</w:t>
      </w:r>
      <w:r w:rsidRPr="00FD02DE">
        <w:rPr>
          <w:rFonts w:cstheme="minorHAnsi"/>
        </w:rPr>
        <w:t>omm</w:t>
      </w:r>
      <w:r w:rsidRPr="00FD02DE">
        <w:rPr>
          <w:rFonts w:cstheme="minorHAnsi"/>
          <w:spacing w:val="-1"/>
        </w:rPr>
        <w:t>e</w:t>
      </w:r>
      <w:r w:rsidRPr="00FD02DE">
        <w:rPr>
          <w:rFonts w:cstheme="minorHAnsi"/>
        </w:rPr>
        <w:t>nts</w:t>
      </w:r>
      <w:r w:rsidRPr="00FD02DE">
        <w:rPr>
          <w:rFonts w:cstheme="minorHAnsi"/>
          <w:spacing w:val="27"/>
        </w:rPr>
        <w:t xml:space="preserve"> </w:t>
      </w:r>
      <w:r w:rsidRPr="00FD02DE">
        <w:rPr>
          <w:rFonts w:cstheme="minorHAnsi"/>
          <w:spacing w:val="2"/>
        </w:rPr>
        <w:t>o</w:t>
      </w:r>
      <w:r w:rsidRPr="00FD02DE">
        <w:rPr>
          <w:rFonts w:cstheme="minorHAnsi"/>
        </w:rPr>
        <w:t>n</w:t>
      </w:r>
      <w:r w:rsidRPr="00FD02DE">
        <w:rPr>
          <w:rFonts w:cstheme="minorHAnsi"/>
          <w:spacing w:val="26"/>
        </w:rPr>
        <w:t xml:space="preserve"> </w:t>
      </w:r>
      <w:r w:rsidRPr="00FD02DE">
        <w:rPr>
          <w:rFonts w:cstheme="minorHAnsi"/>
          <w:spacing w:val="-1"/>
        </w:rPr>
        <w:t>the matters before Panel and</w:t>
      </w:r>
      <w:r w:rsidRPr="00FD02DE">
        <w:rPr>
          <w:rFonts w:cstheme="minorHAnsi"/>
        </w:rPr>
        <w:t xml:space="preserve"> g</w:t>
      </w:r>
      <w:r w:rsidRPr="00FD02DE">
        <w:rPr>
          <w:rFonts w:cstheme="minorHAnsi"/>
          <w:spacing w:val="-1"/>
        </w:rPr>
        <w:t>e</w:t>
      </w:r>
      <w:r w:rsidRPr="00FD02DE">
        <w:rPr>
          <w:rFonts w:cstheme="minorHAnsi"/>
        </w:rPr>
        <w:t>n</w:t>
      </w:r>
      <w:r w:rsidRPr="00FD02DE">
        <w:rPr>
          <w:rFonts w:cstheme="minorHAnsi"/>
          <w:spacing w:val="-1"/>
        </w:rPr>
        <w:t>e</w:t>
      </w:r>
      <w:r w:rsidRPr="00FD02DE">
        <w:rPr>
          <w:rFonts w:cstheme="minorHAnsi"/>
          <w:spacing w:val="2"/>
        </w:rPr>
        <w:t>r</w:t>
      </w:r>
      <w:r w:rsidRPr="00FD02DE">
        <w:rPr>
          <w:rFonts w:cstheme="minorHAnsi"/>
          <w:spacing w:val="-1"/>
        </w:rPr>
        <w:t>a</w:t>
      </w:r>
      <w:r w:rsidRPr="00FD02DE">
        <w:rPr>
          <w:rFonts w:cstheme="minorHAnsi"/>
        </w:rPr>
        <w:t>l vi</w:t>
      </w:r>
      <w:r w:rsidRPr="00FD02DE">
        <w:rPr>
          <w:rFonts w:cstheme="minorHAnsi"/>
          <w:spacing w:val="-1"/>
        </w:rPr>
        <w:t>e</w:t>
      </w:r>
      <w:r w:rsidRPr="00FD02DE">
        <w:rPr>
          <w:rFonts w:cstheme="minorHAnsi"/>
        </w:rPr>
        <w:t xml:space="preserve">ws </w:t>
      </w:r>
      <w:r w:rsidRPr="00FD02DE">
        <w:rPr>
          <w:rFonts w:cstheme="minorHAnsi"/>
          <w:spacing w:val="2"/>
        </w:rPr>
        <w:t>r</w:t>
      </w:r>
      <w:r w:rsidRPr="00FD02DE">
        <w:rPr>
          <w:rFonts w:cstheme="minorHAnsi"/>
          <w:spacing w:val="1"/>
        </w:rPr>
        <w:t>e</w:t>
      </w:r>
      <w:r w:rsidRPr="00FD02DE">
        <w:rPr>
          <w:rFonts w:cstheme="minorHAnsi"/>
        </w:rPr>
        <w:t>g</w:t>
      </w:r>
      <w:r w:rsidRPr="00FD02DE">
        <w:rPr>
          <w:rFonts w:cstheme="minorHAnsi"/>
          <w:spacing w:val="-1"/>
        </w:rPr>
        <w:t>ar</w:t>
      </w:r>
      <w:r w:rsidRPr="00FD02DE">
        <w:rPr>
          <w:rFonts w:cstheme="minorHAnsi"/>
        </w:rPr>
        <w:t>ding</w:t>
      </w:r>
      <w:r w:rsidRPr="00FD02DE">
        <w:rPr>
          <w:rFonts w:cstheme="minorHAnsi"/>
          <w:spacing w:val="-2"/>
        </w:rPr>
        <w:t xml:space="preserve"> </w:t>
      </w:r>
      <w:r w:rsidRPr="00FD02DE">
        <w:rPr>
          <w:rFonts w:cstheme="minorHAnsi"/>
        </w:rPr>
        <w:t>t</w:t>
      </w:r>
      <w:r w:rsidRPr="00FD02DE">
        <w:rPr>
          <w:rFonts w:cstheme="minorHAnsi"/>
          <w:spacing w:val="2"/>
        </w:rPr>
        <w:t>h</w:t>
      </w:r>
      <w:r w:rsidRPr="00FD02DE">
        <w:rPr>
          <w:rFonts w:cstheme="minorHAnsi"/>
        </w:rPr>
        <w:t>e</w:t>
      </w:r>
      <w:r w:rsidRPr="00FD02DE">
        <w:rPr>
          <w:rFonts w:cstheme="minorHAnsi"/>
          <w:spacing w:val="-1"/>
        </w:rPr>
        <w:t xml:space="preserve"> </w:t>
      </w:r>
      <w:proofErr w:type="gramStart"/>
      <w:r w:rsidRPr="00FD02DE">
        <w:rPr>
          <w:rFonts w:cstheme="minorHAnsi"/>
        </w:rPr>
        <w:t>p</w:t>
      </w:r>
      <w:r w:rsidRPr="00FD02DE">
        <w:rPr>
          <w:rFonts w:cstheme="minorHAnsi"/>
          <w:spacing w:val="-1"/>
        </w:rPr>
        <w:t>r</w:t>
      </w:r>
      <w:r w:rsidRPr="00FD02DE">
        <w:rPr>
          <w:rFonts w:cstheme="minorHAnsi"/>
        </w:rPr>
        <w:t>opos</w:t>
      </w:r>
      <w:r w:rsidRPr="00FD02DE">
        <w:rPr>
          <w:rFonts w:cstheme="minorHAnsi"/>
          <w:spacing w:val="-1"/>
        </w:rPr>
        <w:t>a</w:t>
      </w:r>
      <w:r w:rsidRPr="00FD02DE">
        <w:rPr>
          <w:rFonts w:cstheme="minorHAnsi"/>
        </w:rPr>
        <w:t>l;</w:t>
      </w:r>
      <w:proofErr w:type="gramEnd"/>
      <w:r w:rsidRPr="00FD02DE">
        <w:rPr>
          <w:rFonts w:cstheme="minorHAnsi"/>
        </w:rPr>
        <w:t xml:space="preserve"> </w:t>
      </w:r>
    </w:p>
    <w:p w14:paraId="62EAC738" w14:textId="77777777" w:rsidR="00272EB4" w:rsidRPr="00FD02DE" w:rsidRDefault="00272EB4" w:rsidP="00272EB4">
      <w:pPr>
        <w:pStyle w:val="ListParagraph"/>
        <w:numPr>
          <w:ilvl w:val="1"/>
          <w:numId w:val="338"/>
        </w:numPr>
        <w:spacing w:after="60" w:line="240" w:lineRule="auto"/>
        <w:ind w:left="851" w:hanging="425"/>
        <w:contextualSpacing w:val="0"/>
        <w:jc w:val="both"/>
        <w:rPr>
          <w:rFonts w:cstheme="minorHAnsi"/>
        </w:rPr>
      </w:pPr>
      <w:r w:rsidRPr="00FD02DE">
        <w:rPr>
          <w:rFonts w:cstheme="minorHAnsi"/>
          <w:spacing w:val="-1"/>
        </w:rPr>
        <w:t>f</w:t>
      </w:r>
      <w:r w:rsidRPr="00FD02DE">
        <w:rPr>
          <w:rFonts w:cstheme="minorHAnsi"/>
        </w:rPr>
        <w:t>o</w:t>
      </w:r>
      <w:r w:rsidRPr="00FD02DE">
        <w:rPr>
          <w:rFonts w:cstheme="minorHAnsi"/>
          <w:spacing w:val="-1"/>
        </w:rPr>
        <w:t>r</w:t>
      </w:r>
      <w:r w:rsidRPr="00FD02DE">
        <w:rPr>
          <w:rFonts w:cstheme="minorHAnsi"/>
        </w:rPr>
        <w:t>m</w:t>
      </w:r>
      <w:r w:rsidRPr="00FD02DE">
        <w:rPr>
          <w:rFonts w:cstheme="minorHAnsi"/>
          <w:spacing w:val="-1"/>
        </w:rPr>
        <w:t>a</w:t>
      </w:r>
      <w:r w:rsidRPr="00FD02DE">
        <w:rPr>
          <w:rFonts w:cstheme="minorHAnsi"/>
        </w:rPr>
        <w:t>l</w:t>
      </w:r>
      <w:r w:rsidRPr="00FD02DE">
        <w:rPr>
          <w:rFonts w:cstheme="minorHAnsi"/>
          <w:spacing w:val="32"/>
        </w:rPr>
        <w:t xml:space="preserve"> </w:t>
      </w:r>
      <w:r w:rsidRPr="00FD02DE">
        <w:rPr>
          <w:rFonts w:cstheme="minorHAnsi"/>
          <w:spacing w:val="-1"/>
        </w:rPr>
        <w:t>rec</w:t>
      </w:r>
      <w:r w:rsidRPr="00FD02DE">
        <w:rPr>
          <w:rFonts w:cstheme="minorHAnsi"/>
        </w:rPr>
        <w:t>omm</w:t>
      </w:r>
      <w:r w:rsidRPr="00FD02DE">
        <w:rPr>
          <w:rFonts w:cstheme="minorHAnsi"/>
          <w:spacing w:val="-1"/>
        </w:rPr>
        <w:t>e</w:t>
      </w:r>
      <w:r w:rsidRPr="00FD02DE">
        <w:rPr>
          <w:rFonts w:cstheme="minorHAnsi"/>
        </w:rPr>
        <w:t>n</w:t>
      </w:r>
      <w:r w:rsidRPr="00FD02DE">
        <w:rPr>
          <w:rFonts w:cstheme="minorHAnsi"/>
          <w:spacing w:val="2"/>
        </w:rPr>
        <w:t>d</w:t>
      </w:r>
      <w:r w:rsidRPr="00FD02DE">
        <w:rPr>
          <w:rFonts w:cstheme="minorHAnsi"/>
          <w:spacing w:val="-1"/>
        </w:rPr>
        <w:t>a</w:t>
      </w:r>
      <w:r w:rsidRPr="00FD02DE">
        <w:rPr>
          <w:rFonts w:cstheme="minorHAnsi"/>
        </w:rPr>
        <w:t>tion</w:t>
      </w:r>
      <w:r w:rsidRPr="00FD02DE">
        <w:rPr>
          <w:rFonts w:cstheme="minorHAnsi"/>
          <w:spacing w:val="29"/>
        </w:rPr>
        <w:t xml:space="preserve"> </w:t>
      </w:r>
      <w:r w:rsidRPr="00FD02DE">
        <w:rPr>
          <w:rFonts w:cstheme="minorHAnsi"/>
        </w:rPr>
        <w:t>to</w:t>
      </w:r>
      <w:r w:rsidRPr="00FD02DE">
        <w:rPr>
          <w:rFonts w:cstheme="minorHAnsi"/>
          <w:spacing w:val="29"/>
        </w:rPr>
        <w:t xml:space="preserve"> </w:t>
      </w:r>
      <w:r w:rsidRPr="00FD02DE">
        <w:rPr>
          <w:rFonts w:cstheme="minorHAnsi"/>
        </w:rPr>
        <w:t>the</w:t>
      </w:r>
      <w:r w:rsidRPr="00FD02DE">
        <w:rPr>
          <w:rFonts w:cstheme="minorHAnsi"/>
          <w:spacing w:val="28"/>
        </w:rPr>
        <w:t xml:space="preserve"> </w:t>
      </w:r>
      <w:r w:rsidRPr="00FD02DE">
        <w:rPr>
          <w:rFonts w:cstheme="minorHAnsi"/>
        </w:rPr>
        <w:t>Council,</w:t>
      </w:r>
      <w:r w:rsidRPr="00FD02DE">
        <w:rPr>
          <w:rFonts w:cstheme="minorHAnsi"/>
          <w:spacing w:val="31"/>
        </w:rPr>
        <w:t xml:space="preserve"> </w:t>
      </w:r>
      <w:r w:rsidRPr="00FD02DE">
        <w:rPr>
          <w:rFonts w:cstheme="minorHAnsi"/>
        </w:rPr>
        <w:t>wh</w:t>
      </w:r>
      <w:r w:rsidRPr="00FD02DE">
        <w:rPr>
          <w:rFonts w:cstheme="minorHAnsi"/>
          <w:spacing w:val="1"/>
        </w:rPr>
        <w:t>e</w:t>
      </w:r>
      <w:r w:rsidRPr="00FD02DE">
        <w:rPr>
          <w:rFonts w:cstheme="minorHAnsi"/>
          <w:spacing w:val="-1"/>
        </w:rPr>
        <w:t>r</w:t>
      </w:r>
      <w:r w:rsidRPr="00FD02DE">
        <w:rPr>
          <w:rFonts w:cstheme="minorHAnsi"/>
        </w:rPr>
        <w:t>e</w:t>
      </w:r>
      <w:r w:rsidRPr="00FD02DE">
        <w:rPr>
          <w:rFonts w:cstheme="minorHAnsi"/>
          <w:spacing w:val="30"/>
        </w:rPr>
        <w:t xml:space="preserve"> </w:t>
      </w:r>
      <w:r w:rsidRPr="00FD02DE">
        <w:rPr>
          <w:rFonts w:cstheme="minorHAnsi"/>
          <w:spacing w:val="-1"/>
        </w:rPr>
        <w:t>a</w:t>
      </w:r>
      <w:r w:rsidRPr="00FD02DE">
        <w:rPr>
          <w:rFonts w:cstheme="minorHAnsi"/>
        </w:rPr>
        <w:t>pp</w:t>
      </w:r>
      <w:r w:rsidRPr="00FD02DE">
        <w:rPr>
          <w:rFonts w:cstheme="minorHAnsi"/>
          <w:spacing w:val="2"/>
        </w:rPr>
        <w:t>r</w:t>
      </w:r>
      <w:r w:rsidRPr="00FD02DE">
        <w:rPr>
          <w:rFonts w:cstheme="minorHAnsi"/>
        </w:rPr>
        <w:t>op</w:t>
      </w:r>
      <w:r w:rsidRPr="00FD02DE">
        <w:rPr>
          <w:rFonts w:cstheme="minorHAnsi"/>
          <w:spacing w:val="-1"/>
        </w:rPr>
        <w:t>r</w:t>
      </w:r>
      <w:r w:rsidRPr="00FD02DE">
        <w:rPr>
          <w:rFonts w:cstheme="minorHAnsi"/>
        </w:rPr>
        <w:t>i</w:t>
      </w:r>
      <w:r w:rsidRPr="00FD02DE">
        <w:rPr>
          <w:rFonts w:cstheme="minorHAnsi"/>
          <w:spacing w:val="-1"/>
        </w:rPr>
        <w:t>a</w:t>
      </w:r>
      <w:r w:rsidRPr="00FD02DE">
        <w:rPr>
          <w:rFonts w:cstheme="minorHAnsi"/>
        </w:rPr>
        <w:t xml:space="preserve">te </w:t>
      </w:r>
      <w:r w:rsidRPr="00FD02DE">
        <w:rPr>
          <w:rFonts w:cstheme="minorHAnsi"/>
          <w:spacing w:val="-1"/>
        </w:rPr>
        <w:t>ref</w:t>
      </w:r>
      <w:r w:rsidRPr="00FD02DE">
        <w:rPr>
          <w:rFonts w:cstheme="minorHAnsi"/>
        </w:rPr>
        <w:t>l</w:t>
      </w:r>
      <w:r w:rsidRPr="00FD02DE">
        <w:rPr>
          <w:rFonts w:cstheme="minorHAnsi"/>
          <w:spacing w:val="1"/>
        </w:rPr>
        <w:t>e</w:t>
      </w:r>
      <w:r w:rsidRPr="00FD02DE">
        <w:rPr>
          <w:rFonts w:cstheme="minorHAnsi"/>
          <w:spacing w:val="-1"/>
        </w:rPr>
        <w:t>c</w:t>
      </w:r>
      <w:r w:rsidRPr="00FD02DE">
        <w:rPr>
          <w:rFonts w:cstheme="minorHAnsi"/>
        </w:rPr>
        <w:t>ting</w:t>
      </w:r>
      <w:r w:rsidRPr="00FD02DE">
        <w:rPr>
          <w:rFonts w:cstheme="minorHAnsi"/>
          <w:spacing w:val="16"/>
        </w:rPr>
        <w:t xml:space="preserve"> </w:t>
      </w:r>
      <w:r w:rsidRPr="00FD02DE">
        <w:rPr>
          <w:rFonts w:cstheme="minorHAnsi"/>
        </w:rPr>
        <w:t>the</w:t>
      </w:r>
      <w:r w:rsidRPr="00FD02DE">
        <w:rPr>
          <w:rFonts w:cstheme="minorHAnsi"/>
          <w:spacing w:val="18"/>
        </w:rPr>
        <w:t xml:space="preserve"> </w:t>
      </w:r>
      <w:r w:rsidRPr="00FD02DE">
        <w:rPr>
          <w:rFonts w:cstheme="minorHAnsi"/>
        </w:rPr>
        <w:t>vi</w:t>
      </w:r>
      <w:r w:rsidRPr="00FD02DE">
        <w:rPr>
          <w:rFonts w:cstheme="minorHAnsi"/>
          <w:spacing w:val="-1"/>
        </w:rPr>
        <w:t>e</w:t>
      </w:r>
      <w:r w:rsidRPr="00FD02DE">
        <w:rPr>
          <w:rFonts w:cstheme="minorHAnsi"/>
        </w:rPr>
        <w:t>ws</w:t>
      </w:r>
      <w:r w:rsidRPr="00FD02DE">
        <w:rPr>
          <w:rFonts w:cstheme="minorHAnsi"/>
          <w:spacing w:val="19"/>
        </w:rPr>
        <w:t xml:space="preserve"> </w:t>
      </w:r>
      <w:r w:rsidRPr="00FD02DE">
        <w:rPr>
          <w:rFonts w:cstheme="minorHAnsi"/>
          <w:spacing w:val="-1"/>
        </w:rPr>
        <w:t>o</w:t>
      </w:r>
      <w:r w:rsidRPr="00FD02DE">
        <w:rPr>
          <w:rFonts w:cstheme="minorHAnsi"/>
        </w:rPr>
        <w:t>f</w:t>
      </w:r>
      <w:r w:rsidRPr="00FD02DE">
        <w:rPr>
          <w:rFonts w:cstheme="minorHAnsi"/>
          <w:spacing w:val="19"/>
        </w:rPr>
        <w:t xml:space="preserve"> </w:t>
      </w:r>
      <w:r w:rsidRPr="00FD02DE">
        <w:rPr>
          <w:rFonts w:cstheme="minorHAnsi"/>
        </w:rPr>
        <w:t>t</w:t>
      </w:r>
      <w:r w:rsidRPr="00FD02DE">
        <w:rPr>
          <w:rFonts w:cstheme="minorHAnsi"/>
          <w:spacing w:val="-1"/>
        </w:rPr>
        <w:t>h</w:t>
      </w:r>
      <w:r w:rsidRPr="00FD02DE">
        <w:rPr>
          <w:rFonts w:cstheme="minorHAnsi"/>
        </w:rPr>
        <w:t>e</w:t>
      </w:r>
      <w:r w:rsidRPr="00FD02DE">
        <w:rPr>
          <w:rFonts w:cstheme="minorHAnsi"/>
          <w:spacing w:val="19"/>
        </w:rPr>
        <w:t xml:space="preserve"> </w:t>
      </w:r>
      <w:r w:rsidRPr="00FD02DE">
        <w:rPr>
          <w:rFonts w:cstheme="minorHAnsi"/>
        </w:rPr>
        <w:t>m</w:t>
      </w:r>
      <w:r w:rsidRPr="00FD02DE">
        <w:rPr>
          <w:rFonts w:cstheme="minorHAnsi"/>
          <w:spacing w:val="-1"/>
        </w:rPr>
        <w:t>a</w:t>
      </w:r>
      <w:r w:rsidRPr="00FD02DE">
        <w:rPr>
          <w:rFonts w:cstheme="minorHAnsi"/>
        </w:rPr>
        <w:t>j</w:t>
      </w:r>
      <w:r w:rsidRPr="00FD02DE">
        <w:rPr>
          <w:rFonts w:cstheme="minorHAnsi"/>
          <w:spacing w:val="-1"/>
        </w:rPr>
        <w:t>o</w:t>
      </w:r>
      <w:r w:rsidRPr="00FD02DE">
        <w:rPr>
          <w:rFonts w:cstheme="minorHAnsi"/>
        </w:rPr>
        <w:t>ri</w:t>
      </w:r>
      <w:r w:rsidRPr="00FD02DE">
        <w:rPr>
          <w:rFonts w:cstheme="minorHAnsi"/>
          <w:spacing w:val="3"/>
        </w:rPr>
        <w:t>t</w:t>
      </w:r>
      <w:r w:rsidRPr="00FD02DE">
        <w:rPr>
          <w:rFonts w:cstheme="minorHAnsi"/>
        </w:rPr>
        <w:t>y</w:t>
      </w:r>
      <w:r w:rsidRPr="00FD02DE">
        <w:rPr>
          <w:rFonts w:cstheme="minorHAnsi"/>
          <w:spacing w:val="12"/>
        </w:rPr>
        <w:t xml:space="preserve"> </w:t>
      </w:r>
      <w:r w:rsidRPr="00FD02DE">
        <w:rPr>
          <w:rFonts w:cstheme="minorHAnsi"/>
          <w:spacing w:val="2"/>
        </w:rPr>
        <w:t>o</w:t>
      </w:r>
      <w:r w:rsidRPr="00FD02DE">
        <w:rPr>
          <w:rFonts w:cstheme="minorHAnsi"/>
        </w:rPr>
        <w:t>f</w:t>
      </w:r>
      <w:r w:rsidRPr="00FD02DE">
        <w:rPr>
          <w:rFonts w:cstheme="minorHAnsi"/>
          <w:spacing w:val="18"/>
        </w:rPr>
        <w:t xml:space="preserve"> </w:t>
      </w:r>
      <w:r w:rsidRPr="00FD02DE">
        <w:rPr>
          <w:rFonts w:cstheme="minorHAnsi"/>
        </w:rPr>
        <w:t>m</w:t>
      </w:r>
      <w:r w:rsidRPr="00FD02DE">
        <w:rPr>
          <w:rFonts w:cstheme="minorHAnsi"/>
          <w:spacing w:val="-1"/>
        </w:rPr>
        <w:t>e</w:t>
      </w:r>
      <w:r w:rsidRPr="00FD02DE">
        <w:rPr>
          <w:rFonts w:cstheme="minorHAnsi"/>
        </w:rPr>
        <w:t>m</w:t>
      </w:r>
      <w:r w:rsidRPr="00FD02DE">
        <w:rPr>
          <w:rFonts w:cstheme="minorHAnsi"/>
          <w:spacing w:val="-1"/>
        </w:rPr>
        <w:t>b</w:t>
      </w:r>
      <w:r w:rsidRPr="00FD02DE">
        <w:rPr>
          <w:rFonts w:cstheme="minorHAnsi"/>
        </w:rPr>
        <w:t>e</w:t>
      </w:r>
      <w:r w:rsidRPr="00FD02DE">
        <w:rPr>
          <w:rFonts w:cstheme="minorHAnsi"/>
          <w:spacing w:val="-1"/>
        </w:rPr>
        <w:t>r</w:t>
      </w:r>
      <w:r w:rsidRPr="00FD02DE">
        <w:rPr>
          <w:rFonts w:cstheme="minorHAnsi"/>
        </w:rPr>
        <w:t>s</w:t>
      </w:r>
      <w:r w:rsidRPr="00FD02DE">
        <w:rPr>
          <w:rFonts w:cstheme="minorHAnsi"/>
          <w:spacing w:val="19"/>
        </w:rPr>
        <w:t xml:space="preserve"> </w:t>
      </w:r>
      <w:r w:rsidRPr="00FD02DE">
        <w:rPr>
          <w:rFonts w:cstheme="minorHAnsi"/>
          <w:spacing w:val="-1"/>
        </w:rPr>
        <w:t>p</w:t>
      </w:r>
      <w:r w:rsidRPr="00FD02DE">
        <w:rPr>
          <w:rFonts w:cstheme="minorHAnsi"/>
        </w:rPr>
        <w:t>r</w:t>
      </w:r>
      <w:r w:rsidRPr="00FD02DE">
        <w:rPr>
          <w:rFonts w:cstheme="minorHAnsi"/>
          <w:spacing w:val="-1"/>
        </w:rPr>
        <w:t>e</w:t>
      </w:r>
      <w:r w:rsidRPr="00FD02DE">
        <w:rPr>
          <w:rFonts w:cstheme="minorHAnsi"/>
        </w:rPr>
        <w:t>s</w:t>
      </w:r>
      <w:r w:rsidRPr="00FD02DE">
        <w:rPr>
          <w:rFonts w:cstheme="minorHAnsi"/>
          <w:spacing w:val="-1"/>
        </w:rPr>
        <w:t>ent a</w:t>
      </w:r>
      <w:r w:rsidRPr="00FD02DE">
        <w:rPr>
          <w:rFonts w:cstheme="minorHAnsi"/>
        </w:rPr>
        <w:t>t the</w:t>
      </w:r>
      <w:r w:rsidRPr="00FD02DE">
        <w:rPr>
          <w:rFonts w:cstheme="minorHAnsi"/>
          <w:spacing w:val="-1"/>
        </w:rPr>
        <w:t xml:space="preserve"> </w:t>
      </w:r>
      <w:proofErr w:type="gramStart"/>
      <w:r w:rsidRPr="00FD02DE">
        <w:rPr>
          <w:rFonts w:cstheme="minorHAnsi"/>
        </w:rPr>
        <w:t>m</w:t>
      </w:r>
      <w:r w:rsidRPr="00FD02DE">
        <w:rPr>
          <w:rFonts w:cstheme="minorHAnsi"/>
          <w:spacing w:val="-1"/>
        </w:rPr>
        <w:t>ee</w:t>
      </w:r>
      <w:r w:rsidRPr="00FD02DE">
        <w:rPr>
          <w:rFonts w:cstheme="minorHAnsi"/>
        </w:rPr>
        <w:t>tin</w:t>
      </w:r>
      <w:r w:rsidRPr="00FD02DE">
        <w:rPr>
          <w:rFonts w:cstheme="minorHAnsi"/>
          <w:spacing w:val="-3"/>
        </w:rPr>
        <w:t>g</w:t>
      </w:r>
      <w:r w:rsidRPr="00FD02DE">
        <w:rPr>
          <w:rFonts w:cstheme="minorHAnsi"/>
        </w:rPr>
        <w:t>;</w:t>
      </w:r>
      <w:proofErr w:type="gramEnd"/>
      <w:r w:rsidRPr="00FD02DE">
        <w:rPr>
          <w:rFonts w:cstheme="minorHAnsi"/>
          <w:spacing w:val="3"/>
        </w:rPr>
        <w:t xml:space="preserve"> </w:t>
      </w:r>
    </w:p>
    <w:p w14:paraId="63E9A188" w14:textId="77777777" w:rsidR="00272EB4" w:rsidRPr="00FD02DE" w:rsidRDefault="00272EB4" w:rsidP="00272EB4">
      <w:pPr>
        <w:pStyle w:val="ListParagraph"/>
        <w:numPr>
          <w:ilvl w:val="1"/>
          <w:numId w:val="338"/>
        </w:numPr>
        <w:spacing w:after="60" w:line="240" w:lineRule="auto"/>
        <w:ind w:left="851" w:hanging="425"/>
        <w:contextualSpacing w:val="0"/>
        <w:jc w:val="both"/>
        <w:rPr>
          <w:rFonts w:cstheme="minorHAnsi"/>
        </w:rPr>
      </w:pPr>
      <w:r w:rsidRPr="00FD02DE">
        <w:rPr>
          <w:rFonts w:cstheme="minorHAnsi"/>
        </w:rPr>
        <w:t>The</w:t>
      </w:r>
      <w:r w:rsidRPr="00FD02DE">
        <w:rPr>
          <w:rFonts w:cstheme="minorHAnsi"/>
          <w:spacing w:val="1"/>
        </w:rPr>
        <w:t xml:space="preserve"> </w:t>
      </w:r>
      <w:r w:rsidRPr="00FD02DE">
        <w:rPr>
          <w:rFonts w:cstheme="minorHAnsi"/>
        </w:rPr>
        <w:t>Panel</w:t>
      </w:r>
      <w:r w:rsidRPr="00FD02DE">
        <w:rPr>
          <w:rFonts w:cstheme="minorHAnsi"/>
          <w:spacing w:val="3"/>
        </w:rPr>
        <w:t xml:space="preserve"> </w:t>
      </w:r>
      <w:r w:rsidRPr="00FD02DE">
        <w:rPr>
          <w:rFonts w:cstheme="minorHAnsi"/>
          <w:spacing w:val="1"/>
        </w:rPr>
        <w:t>C</w:t>
      </w:r>
      <w:r w:rsidRPr="00FD02DE">
        <w:rPr>
          <w:rFonts w:cstheme="minorHAnsi"/>
        </w:rPr>
        <w:t>h</w:t>
      </w:r>
      <w:r w:rsidRPr="00FD02DE">
        <w:rPr>
          <w:rFonts w:cstheme="minorHAnsi"/>
          <w:spacing w:val="-1"/>
        </w:rPr>
        <w:t>a</w:t>
      </w:r>
      <w:r w:rsidRPr="00FD02DE">
        <w:rPr>
          <w:rFonts w:cstheme="minorHAnsi"/>
        </w:rPr>
        <w:t>i</w:t>
      </w:r>
      <w:r w:rsidRPr="00FD02DE">
        <w:rPr>
          <w:rFonts w:cstheme="minorHAnsi"/>
          <w:spacing w:val="-1"/>
        </w:rPr>
        <w:t>r</w:t>
      </w:r>
      <w:r w:rsidRPr="00FD02DE">
        <w:rPr>
          <w:rFonts w:cstheme="minorHAnsi"/>
          <w:spacing w:val="2"/>
        </w:rPr>
        <w:t>p</w:t>
      </w:r>
      <w:r w:rsidRPr="00FD02DE">
        <w:rPr>
          <w:rFonts w:cstheme="minorHAnsi"/>
          <w:spacing w:val="-1"/>
        </w:rPr>
        <w:t>er</w:t>
      </w:r>
      <w:r w:rsidRPr="00FD02DE">
        <w:rPr>
          <w:rFonts w:cstheme="minorHAnsi"/>
        </w:rPr>
        <w:t>son</w:t>
      </w:r>
      <w:r w:rsidRPr="00FD02DE">
        <w:rPr>
          <w:rFonts w:cstheme="minorHAnsi"/>
          <w:spacing w:val="5"/>
        </w:rPr>
        <w:t xml:space="preserve"> </w:t>
      </w:r>
      <w:r w:rsidRPr="00FD02DE">
        <w:rPr>
          <w:rFonts w:cstheme="minorHAnsi"/>
        </w:rPr>
        <w:t>will</w:t>
      </w:r>
      <w:r w:rsidRPr="00FD02DE">
        <w:rPr>
          <w:rFonts w:cstheme="minorHAnsi"/>
          <w:spacing w:val="3"/>
        </w:rPr>
        <w:t xml:space="preserve"> </w:t>
      </w:r>
      <w:r w:rsidRPr="00FD02DE">
        <w:rPr>
          <w:rFonts w:cstheme="minorHAnsi"/>
          <w:spacing w:val="-1"/>
        </w:rPr>
        <w:t>e</w:t>
      </w:r>
      <w:r w:rsidRPr="00FD02DE">
        <w:rPr>
          <w:rFonts w:cstheme="minorHAnsi"/>
        </w:rPr>
        <w:t>ndo</w:t>
      </w:r>
      <w:r w:rsidRPr="00FD02DE">
        <w:rPr>
          <w:rFonts w:cstheme="minorHAnsi"/>
          <w:spacing w:val="-1"/>
        </w:rPr>
        <w:t>r</w:t>
      </w:r>
      <w:r w:rsidRPr="00FD02DE">
        <w:rPr>
          <w:rFonts w:cstheme="minorHAnsi"/>
        </w:rPr>
        <w:t>se</w:t>
      </w:r>
      <w:r w:rsidRPr="00FD02DE">
        <w:rPr>
          <w:rFonts w:cstheme="minorHAnsi"/>
          <w:spacing w:val="1"/>
        </w:rPr>
        <w:t xml:space="preserve"> </w:t>
      </w:r>
      <w:r w:rsidRPr="00FD02DE">
        <w:rPr>
          <w:rFonts w:cstheme="minorHAnsi"/>
        </w:rPr>
        <w:t>the</w:t>
      </w:r>
      <w:r w:rsidRPr="00FD02DE">
        <w:rPr>
          <w:rFonts w:cstheme="minorHAnsi"/>
          <w:spacing w:val="4"/>
        </w:rPr>
        <w:t xml:space="preserve"> </w:t>
      </w:r>
      <w:r w:rsidRPr="00FD02DE">
        <w:rPr>
          <w:rFonts w:cstheme="minorHAnsi"/>
        </w:rPr>
        <w:t>Minut</w:t>
      </w:r>
      <w:r w:rsidRPr="00FD02DE">
        <w:rPr>
          <w:rFonts w:cstheme="minorHAnsi"/>
          <w:spacing w:val="-1"/>
        </w:rPr>
        <w:t>e</w:t>
      </w:r>
      <w:r w:rsidRPr="00FD02DE">
        <w:rPr>
          <w:rFonts w:cstheme="minorHAnsi"/>
        </w:rPr>
        <w:t>s/M</w:t>
      </w:r>
      <w:r w:rsidRPr="00FD02DE">
        <w:rPr>
          <w:rFonts w:cstheme="minorHAnsi"/>
          <w:spacing w:val="-1"/>
        </w:rPr>
        <w:t>ee</w:t>
      </w:r>
      <w:r w:rsidRPr="00FD02DE">
        <w:rPr>
          <w:rFonts w:cstheme="minorHAnsi"/>
        </w:rPr>
        <w:t>ting no</w:t>
      </w:r>
      <w:r w:rsidRPr="00FD02DE">
        <w:rPr>
          <w:rFonts w:cstheme="minorHAnsi"/>
          <w:spacing w:val="3"/>
        </w:rPr>
        <w:t>t</w:t>
      </w:r>
      <w:r w:rsidRPr="00FD02DE">
        <w:rPr>
          <w:rFonts w:cstheme="minorHAnsi"/>
          <w:spacing w:val="-1"/>
        </w:rPr>
        <w:t>e</w:t>
      </w:r>
      <w:r w:rsidRPr="00FD02DE">
        <w:rPr>
          <w:rFonts w:cstheme="minorHAnsi"/>
        </w:rPr>
        <w:t xml:space="preserve">s </w:t>
      </w:r>
      <w:r w:rsidRPr="00FD02DE">
        <w:rPr>
          <w:rFonts w:cstheme="minorHAnsi"/>
          <w:spacing w:val="-1"/>
        </w:rPr>
        <w:t>a</w:t>
      </w:r>
      <w:r w:rsidRPr="00FD02DE">
        <w:rPr>
          <w:rFonts w:cstheme="minorHAnsi"/>
        </w:rPr>
        <w:t>nd p</w:t>
      </w:r>
      <w:r w:rsidRPr="00FD02DE">
        <w:rPr>
          <w:rFonts w:cstheme="minorHAnsi"/>
          <w:spacing w:val="-1"/>
        </w:rPr>
        <w:t>r</w:t>
      </w:r>
      <w:r w:rsidRPr="00FD02DE">
        <w:rPr>
          <w:rFonts w:cstheme="minorHAnsi"/>
        </w:rPr>
        <w:t>opos</w:t>
      </w:r>
      <w:r w:rsidRPr="00FD02DE">
        <w:rPr>
          <w:rFonts w:cstheme="minorHAnsi"/>
          <w:spacing w:val="-1"/>
        </w:rPr>
        <w:t>e</w:t>
      </w:r>
      <w:r w:rsidRPr="00FD02DE">
        <w:rPr>
          <w:rFonts w:cstheme="minorHAnsi"/>
        </w:rPr>
        <w:t xml:space="preserve">d </w:t>
      </w:r>
      <w:r w:rsidRPr="00FD02DE">
        <w:rPr>
          <w:rFonts w:cstheme="minorHAnsi"/>
          <w:spacing w:val="2"/>
        </w:rPr>
        <w:t>r</w:t>
      </w:r>
      <w:r w:rsidRPr="00FD02DE">
        <w:rPr>
          <w:rFonts w:cstheme="minorHAnsi"/>
          <w:spacing w:val="-1"/>
        </w:rPr>
        <w:t>ec</w:t>
      </w:r>
      <w:r w:rsidRPr="00FD02DE">
        <w:rPr>
          <w:rFonts w:cstheme="minorHAnsi"/>
          <w:spacing w:val="2"/>
        </w:rPr>
        <w:t>o</w:t>
      </w:r>
      <w:r w:rsidRPr="00FD02DE">
        <w:rPr>
          <w:rFonts w:cstheme="minorHAnsi"/>
        </w:rPr>
        <w:t>mm</w:t>
      </w:r>
      <w:r w:rsidRPr="00FD02DE">
        <w:rPr>
          <w:rFonts w:cstheme="minorHAnsi"/>
          <w:spacing w:val="-1"/>
        </w:rPr>
        <w:t>e</w:t>
      </w:r>
      <w:r w:rsidRPr="00FD02DE">
        <w:rPr>
          <w:rFonts w:cstheme="minorHAnsi"/>
        </w:rPr>
        <w:t>nd</w:t>
      </w:r>
      <w:r w:rsidRPr="00FD02DE">
        <w:rPr>
          <w:rFonts w:cstheme="minorHAnsi"/>
          <w:spacing w:val="-1"/>
        </w:rPr>
        <w:t>a</w:t>
      </w:r>
      <w:r w:rsidRPr="00FD02DE">
        <w:rPr>
          <w:rFonts w:cstheme="minorHAnsi"/>
        </w:rPr>
        <w:t>tions; and</w:t>
      </w:r>
    </w:p>
    <w:p w14:paraId="14E6D7B8" w14:textId="77777777" w:rsidR="00272EB4" w:rsidRPr="00FD02DE" w:rsidRDefault="00272EB4" w:rsidP="00272EB4">
      <w:pPr>
        <w:pStyle w:val="ListParagraph"/>
        <w:numPr>
          <w:ilvl w:val="1"/>
          <w:numId w:val="338"/>
        </w:numPr>
        <w:spacing w:after="0" w:line="240" w:lineRule="auto"/>
        <w:ind w:left="851" w:hanging="425"/>
        <w:jc w:val="both"/>
        <w:rPr>
          <w:rFonts w:cstheme="minorHAnsi"/>
        </w:rPr>
      </w:pPr>
      <w:r w:rsidRPr="00FD02DE">
        <w:rPr>
          <w:rFonts w:cstheme="minorHAnsi"/>
        </w:rPr>
        <w:t>O</w:t>
      </w:r>
      <w:r w:rsidRPr="00FD02DE">
        <w:rPr>
          <w:rFonts w:cstheme="minorHAnsi"/>
          <w:spacing w:val="-1"/>
        </w:rPr>
        <w:t>r</w:t>
      </w:r>
      <w:r w:rsidRPr="00FD02DE">
        <w:rPr>
          <w:rFonts w:cstheme="minorHAnsi"/>
        </w:rPr>
        <w:t>i</w:t>
      </w:r>
      <w:r w:rsidRPr="00FD02DE">
        <w:rPr>
          <w:rFonts w:cstheme="minorHAnsi"/>
          <w:spacing w:val="-2"/>
        </w:rPr>
        <w:t>g</w:t>
      </w:r>
      <w:r w:rsidRPr="00FD02DE">
        <w:rPr>
          <w:rFonts w:cstheme="minorHAnsi"/>
        </w:rPr>
        <w:t>in</w:t>
      </w:r>
      <w:r w:rsidRPr="00FD02DE">
        <w:rPr>
          <w:rFonts w:cstheme="minorHAnsi"/>
          <w:spacing w:val="-1"/>
        </w:rPr>
        <w:t>a</w:t>
      </w:r>
      <w:r w:rsidRPr="00FD02DE">
        <w:rPr>
          <w:rFonts w:cstheme="minorHAnsi"/>
        </w:rPr>
        <w:t xml:space="preserve">l </w:t>
      </w:r>
      <w:r w:rsidRPr="00FD02DE">
        <w:rPr>
          <w:rFonts w:cstheme="minorHAnsi"/>
          <w:spacing w:val="-1"/>
        </w:rPr>
        <w:t>c</w:t>
      </w:r>
      <w:r w:rsidRPr="00FD02DE">
        <w:rPr>
          <w:rFonts w:cstheme="minorHAnsi"/>
        </w:rPr>
        <w:t>o</w:t>
      </w:r>
      <w:r w:rsidRPr="00FD02DE">
        <w:rPr>
          <w:rFonts w:cstheme="minorHAnsi"/>
          <w:spacing w:val="5"/>
        </w:rPr>
        <w:t>p</w:t>
      </w:r>
      <w:r w:rsidRPr="00FD02DE">
        <w:rPr>
          <w:rFonts w:cstheme="minorHAnsi"/>
        </w:rPr>
        <w:t>y</w:t>
      </w:r>
      <w:r w:rsidRPr="00FD02DE">
        <w:rPr>
          <w:rFonts w:cstheme="minorHAnsi"/>
          <w:spacing w:val="58"/>
        </w:rPr>
        <w:t xml:space="preserve"> </w:t>
      </w:r>
      <w:r w:rsidRPr="00FD02DE">
        <w:rPr>
          <w:rFonts w:cstheme="minorHAnsi"/>
          <w:spacing w:val="2"/>
        </w:rPr>
        <w:t>o</w:t>
      </w:r>
      <w:r w:rsidRPr="00FD02DE">
        <w:rPr>
          <w:rFonts w:cstheme="minorHAnsi"/>
        </w:rPr>
        <w:t xml:space="preserve">f the </w:t>
      </w:r>
      <w:r w:rsidRPr="00FD02DE">
        <w:rPr>
          <w:rFonts w:cstheme="minorHAnsi"/>
          <w:spacing w:val="1"/>
        </w:rPr>
        <w:t>e</w:t>
      </w:r>
      <w:r w:rsidRPr="00FD02DE">
        <w:rPr>
          <w:rFonts w:cstheme="minorHAnsi"/>
        </w:rPr>
        <w:t>ndo</w:t>
      </w:r>
      <w:r w:rsidRPr="00FD02DE">
        <w:rPr>
          <w:rFonts w:cstheme="minorHAnsi"/>
          <w:spacing w:val="-1"/>
        </w:rPr>
        <w:t>r</w:t>
      </w:r>
      <w:r w:rsidRPr="00FD02DE">
        <w:rPr>
          <w:rFonts w:cstheme="minorHAnsi"/>
        </w:rPr>
        <w:t>s</w:t>
      </w:r>
      <w:r w:rsidRPr="00FD02DE">
        <w:rPr>
          <w:rFonts w:cstheme="minorHAnsi"/>
          <w:spacing w:val="-1"/>
        </w:rPr>
        <w:t>e</w:t>
      </w:r>
      <w:r w:rsidRPr="00FD02DE">
        <w:rPr>
          <w:rFonts w:cstheme="minorHAnsi"/>
        </w:rPr>
        <w:t>d</w:t>
      </w:r>
      <w:r w:rsidRPr="00FD02DE">
        <w:rPr>
          <w:rFonts w:cstheme="minorHAnsi"/>
          <w:spacing w:val="2"/>
        </w:rPr>
        <w:t xml:space="preserve"> </w:t>
      </w:r>
      <w:r w:rsidRPr="00FD02DE">
        <w:rPr>
          <w:rFonts w:cstheme="minorHAnsi"/>
        </w:rPr>
        <w:t>Minut</w:t>
      </w:r>
      <w:r w:rsidRPr="00FD02DE">
        <w:rPr>
          <w:rFonts w:cstheme="minorHAnsi"/>
          <w:spacing w:val="-1"/>
        </w:rPr>
        <w:t>e</w:t>
      </w:r>
      <w:r w:rsidRPr="00FD02DE">
        <w:rPr>
          <w:rFonts w:cstheme="minorHAnsi"/>
        </w:rPr>
        <w:t>s/M</w:t>
      </w:r>
      <w:r w:rsidRPr="00FD02DE">
        <w:rPr>
          <w:rFonts w:cstheme="minorHAnsi"/>
          <w:spacing w:val="-1"/>
        </w:rPr>
        <w:t>ee</w:t>
      </w:r>
      <w:r w:rsidRPr="00FD02DE">
        <w:rPr>
          <w:rFonts w:cstheme="minorHAnsi"/>
        </w:rPr>
        <w:t>ti</w:t>
      </w:r>
      <w:r w:rsidRPr="00FD02DE">
        <w:rPr>
          <w:rFonts w:cstheme="minorHAnsi"/>
          <w:spacing w:val="2"/>
        </w:rPr>
        <w:t>n</w:t>
      </w:r>
      <w:r w:rsidRPr="00FD02DE">
        <w:rPr>
          <w:rFonts w:cstheme="minorHAnsi"/>
        </w:rPr>
        <w:t>g no</w:t>
      </w:r>
      <w:r w:rsidRPr="00FD02DE">
        <w:rPr>
          <w:rFonts w:cstheme="minorHAnsi"/>
          <w:spacing w:val="3"/>
        </w:rPr>
        <w:t>t</w:t>
      </w:r>
      <w:r w:rsidRPr="00FD02DE">
        <w:rPr>
          <w:rFonts w:cstheme="minorHAnsi"/>
          <w:spacing w:val="-1"/>
        </w:rPr>
        <w:t>e</w:t>
      </w:r>
      <w:r w:rsidRPr="00FD02DE">
        <w:rPr>
          <w:rFonts w:cstheme="minorHAnsi"/>
        </w:rPr>
        <w:t xml:space="preserve">s to be </w:t>
      </w:r>
      <w:r w:rsidRPr="00FD02DE">
        <w:rPr>
          <w:rFonts w:cstheme="minorHAnsi"/>
          <w:spacing w:val="-1"/>
        </w:rPr>
        <w:t>re</w:t>
      </w:r>
      <w:r w:rsidRPr="00FD02DE">
        <w:rPr>
          <w:rFonts w:cstheme="minorHAnsi"/>
        </w:rPr>
        <w:t>t</w:t>
      </w:r>
      <w:r w:rsidRPr="00FD02DE">
        <w:rPr>
          <w:rFonts w:cstheme="minorHAnsi"/>
          <w:spacing w:val="-1"/>
        </w:rPr>
        <w:t>a</w:t>
      </w:r>
      <w:r w:rsidRPr="00FD02DE">
        <w:rPr>
          <w:rFonts w:cstheme="minorHAnsi"/>
        </w:rPr>
        <w:t>in</w:t>
      </w:r>
      <w:r w:rsidRPr="00FD02DE">
        <w:rPr>
          <w:rFonts w:cstheme="minorHAnsi"/>
          <w:spacing w:val="-1"/>
        </w:rPr>
        <w:t>e</w:t>
      </w:r>
      <w:r w:rsidRPr="00FD02DE">
        <w:rPr>
          <w:rFonts w:cstheme="minorHAnsi"/>
        </w:rPr>
        <w:t>d</w:t>
      </w:r>
      <w:r w:rsidRPr="00FD02DE">
        <w:rPr>
          <w:rFonts w:cstheme="minorHAnsi"/>
          <w:spacing w:val="5"/>
        </w:rPr>
        <w:t xml:space="preserve"> </w:t>
      </w:r>
      <w:r w:rsidRPr="00FD02DE">
        <w:rPr>
          <w:rFonts w:cstheme="minorHAnsi"/>
          <w:spacing w:val="-1"/>
        </w:rPr>
        <w:t>f</w:t>
      </w:r>
      <w:r w:rsidRPr="00FD02DE">
        <w:rPr>
          <w:rFonts w:cstheme="minorHAnsi"/>
        </w:rPr>
        <w:t>or</w:t>
      </w:r>
      <w:r w:rsidRPr="00FD02DE">
        <w:rPr>
          <w:rFonts w:cstheme="minorHAnsi"/>
          <w:spacing w:val="4"/>
        </w:rPr>
        <w:t xml:space="preserve"> </w:t>
      </w:r>
      <w:r w:rsidRPr="00FD02DE">
        <w:rPr>
          <w:rFonts w:cstheme="minorHAnsi"/>
          <w:spacing w:val="2"/>
        </w:rPr>
        <w:t>r</w:t>
      </w:r>
      <w:r w:rsidRPr="00FD02DE">
        <w:rPr>
          <w:rFonts w:cstheme="minorHAnsi"/>
          <w:spacing w:val="-1"/>
        </w:rPr>
        <w:t>ec</w:t>
      </w:r>
      <w:r w:rsidRPr="00FD02DE">
        <w:rPr>
          <w:rFonts w:cstheme="minorHAnsi"/>
        </w:rPr>
        <w:t>o</w:t>
      </w:r>
      <w:r w:rsidRPr="00FD02DE">
        <w:rPr>
          <w:rFonts w:cstheme="minorHAnsi"/>
          <w:spacing w:val="-1"/>
        </w:rPr>
        <w:t>r</w:t>
      </w:r>
      <w:r w:rsidRPr="00FD02DE">
        <w:rPr>
          <w:rFonts w:cstheme="minorHAnsi"/>
        </w:rPr>
        <w:t>d</w:t>
      </w:r>
      <w:r w:rsidRPr="00FD02DE">
        <w:rPr>
          <w:rFonts w:cstheme="minorHAnsi"/>
          <w:spacing w:val="5"/>
        </w:rPr>
        <w:t xml:space="preserve"> </w:t>
      </w:r>
      <w:r w:rsidRPr="00FD02DE">
        <w:rPr>
          <w:rFonts w:cstheme="minorHAnsi"/>
        </w:rPr>
        <w:t>pu</w:t>
      </w:r>
      <w:r w:rsidRPr="00FD02DE">
        <w:rPr>
          <w:rFonts w:cstheme="minorHAnsi"/>
          <w:spacing w:val="2"/>
        </w:rPr>
        <w:t>r</w:t>
      </w:r>
      <w:r w:rsidRPr="00FD02DE">
        <w:rPr>
          <w:rFonts w:cstheme="minorHAnsi"/>
        </w:rPr>
        <w:t>pos</w:t>
      </w:r>
      <w:r w:rsidRPr="00FD02DE">
        <w:rPr>
          <w:rFonts w:cstheme="minorHAnsi"/>
          <w:spacing w:val="-1"/>
        </w:rPr>
        <w:t>e</w:t>
      </w:r>
      <w:r w:rsidRPr="00FD02DE">
        <w:rPr>
          <w:rFonts w:cstheme="minorHAnsi"/>
        </w:rPr>
        <w:t xml:space="preserve">s. </w:t>
      </w:r>
    </w:p>
    <w:p w14:paraId="76EE643D" w14:textId="77777777" w:rsidR="00272EB4" w:rsidRPr="00FD02DE" w:rsidRDefault="00272EB4" w:rsidP="00272EB4">
      <w:pPr>
        <w:widowControl w:val="0"/>
        <w:tabs>
          <w:tab w:val="left" w:pos="1540"/>
        </w:tabs>
        <w:spacing w:before="200" w:after="0" w:line="240" w:lineRule="auto"/>
        <w:ind w:right="-20"/>
        <w:jc w:val="both"/>
        <w:rPr>
          <w:rFonts w:cstheme="minorHAnsi"/>
          <w:sz w:val="24"/>
        </w:rPr>
      </w:pPr>
      <w:r w:rsidRPr="00FD02DE">
        <w:rPr>
          <w:rFonts w:cstheme="minorHAnsi"/>
          <w:b/>
          <w:bCs/>
          <w:sz w:val="24"/>
        </w:rPr>
        <w:t>A</w:t>
      </w:r>
      <w:r w:rsidRPr="00FD02DE">
        <w:rPr>
          <w:rFonts w:cstheme="minorHAnsi"/>
          <w:b/>
          <w:bCs/>
          <w:spacing w:val="1"/>
          <w:sz w:val="24"/>
        </w:rPr>
        <w:t>d</w:t>
      </w:r>
      <w:r w:rsidRPr="00FD02DE">
        <w:rPr>
          <w:rFonts w:cstheme="minorHAnsi"/>
          <w:b/>
          <w:bCs/>
          <w:spacing w:val="-3"/>
          <w:sz w:val="24"/>
        </w:rPr>
        <w:t>m</w:t>
      </w:r>
      <w:r w:rsidRPr="00FD02DE">
        <w:rPr>
          <w:rFonts w:cstheme="minorHAnsi"/>
          <w:b/>
          <w:bCs/>
          <w:sz w:val="24"/>
        </w:rPr>
        <w:t>i</w:t>
      </w:r>
      <w:r w:rsidRPr="00FD02DE">
        <w:rPr>
          <w:rFonts w:cstheme="minorHAnsi"/>
          <w:b/>
          <w:bCs/>
          <w:spacing w:val="1"/>
          <w:sz w:val="24"/>
        </w:rPr>
        <w:t>n</w:t>
      </w:r>
      <w:r w:rsidRPr="00FD02DE">
        <w:rPr>
          <w:rFonts w:cstheme="minorHAnsi"/>
          <w:b/>
          <w:bCs/>
          <w:sz w:val="24"/>
        </w:rPr>
        <w:t>is</w:t>
      </w:r>
      <w:r w:rsidRPr="00FD02DE">
        <w:rPr>
          <w:rFonts w:cstheme="minorHAnsi"/>
          <w:b/>
          <w:bCs/>
          <w:spacing w:val="-1"/>
          <w:sz w:val="24"/>
        </w:rPr>
        <w:t>tr</w:t>
      </w:r>
      <w:r w:rsidRPr="00FD02DE">
        <w:rPr>
          <w:rFonts w:cstheme="minorHAnsi"/>
          <w:b/>
          <w:bCs/>
          <w:spacing w:val="1"/>
          <w:sz w:val="24"/>
        </w:rPr>
        <w:t>a</w:t>
      </w:r>
      <w:r w:rsidRPr="00FD02DE">
        <w:rPr>
          <w:rFonts w:cstheme="minorHAnsi"/>
          <w:b/>
          <w:bCs/>
          <w:spacing w:val="-2"/>
          <w:sz w:val="24"/>
        </w:rPr>
        <w:t>t</w:t>
      </w:r>
      <w:r w:rsidRPr="00FD02DE">
        <w:rPr>
          <w:rFonts w:cstheme="minorHAnsi"/>
          <w:b/>
          <w:bCs/>
          <w:sz w:val="24"/>
        </w:rPr>
        <w:t>i</w:t>
      </w:r>
      <w:r w:rsidRPr="00FD02DE">
        <w:rPr>
          <w:rFonts w:cstheme="minorHAnsi"/>
          <w:b/>
          <w:bCs/>
          <w:spacing w:val="1"/>
          <w:sz w:val="24"/>
        </w:rPr>
        <w:t>v</w:t>
      </w:r>
      <w:r w:rsidRPr="00FD02DE">
        <w:rPr>
          <w:rFonts w:cstheme="minorHAnsi"/>
          <w:b/>
          <w:bCs/>
          <w:sz w:val="24"/>
        </w:rPr>
        <w:t>e</w:t>
      </w:r>
      <w:r w:rsidRPr="00FD02DE">
        <w:rPr>
          <w:rFonts w:cstheme="minorHAnsi"/>
          <w:b/>
          <w:bCs/>
          <w:spacing w:val="-2"/>
          <w:sz w:val="24"/>
        </w:rPr>
        <w:t xml:space="preserve"> </w:t>
      </w:r>
      <w:r w:rsidRPr="00FD02DE">
        <w:rPr>
          <w:rFonts w:cstheme="minorHAnsi"/>
          <w:b/>
          <w:bCs/>
          <w:spacing w:val="1"/>
          <w:sz w:val="24"/>
        </w:rPr>
        <w:t>Suppo</w:t>
      </w:r>
      <w:r w:rsidRPr="00FD02DE">
        <w:rPr>
          <w:rFonts w:cstheme="minorHAnsi"/>
          <w:b/>
          <w:bCs/>
          <w:spacing w:val="-2"/>
          <w:sz w:val="24"/>
        </w:rPr>
        <w:t>r</w:t>
      </w:r>
      <w:r w:rsidRPr="00FD02DE">
        <w:rPr>
          <w:rFonts w:cstheme="minorHAnsi"/>
          <w:b/>
          <w:bCs/>
          <w:sz w:val="24"/>
        </w:rPr>
        <w:t>t</w:t>
      </w:r>
    </w:p>
    <w:p w14:paraId="3288736B" w14:textId="77777777" w:rsidR="00272EB4" w:rsidRPr="00FD02DE" w:rsidRDefault="00272EB4" w:rsidP="00272EB4">
      <w:pPr>
        <w:widowControl w:val="0"/>
        <w:spacing w:after="60" w:line="240" w:lineRule="auto"/>
        <w:ind w:right="73"/>
        <w:jc w:val="both"/>
        <w:rPr>
          <w:rFonts w:cstheme="minorHAnsi"/>
        </w:rPr>
      </w:pPr>
      <w:r w:rsidRPr="00FD02DE">
        <w:rPr>
          <w:rFonts w:cstheme="minorHAnsi"/>
        </w:rPr>
        <w:t>A</w:t>
      </w:r>
      <w:r w:rsidRPr="00FD02DE">
        <w:rPr>
          <w:rFonts w:cstheme="minorHAnsi"/>
          <w:spacing w:val="14"/>
        </w:rPr>
        <w:t xml:space="preserve"> </w:t>
      </w:r>
      <w:r w:rsidRPr="00FD02DE">
        <w:rPr>
          <w:rFonts w:cstheme="minorHAnsi"/>
          <w:spacing w:val="1"/>
        </w:rPr>
        <w:t>Town</w:t>
      </w:r>
      <w:r w:rsidRPr="00FD02DE">
        <w:rPr>
          <w:rFonts w:cstheme="minorHAnsi"/>
          <w:spacing w:val="10"/>
        </w:rPr>
        <w:t xml:space="preserve"> </w:t>
      </w:r>
      <w:r w:rsidRPr="00FD02DE">
        <w:rPr>
          <w:rFonts w:cstheme="minorHAnsi"/>
          <w:spacing w:val="-1"/>
        </w:rPr>
        <w:t>e</w:t>
      </w:r>
      <w:r w:rsidRPr="00FD02DE">
        <w:rPr>
          <w:rFonts w:cstheme="minorHAnsi"/>
        </w:rPr>
        <w:t>mpl</w:t>
      </w:r>
      <w:r w:rsidRPr="00FD02DE">
        <w:rPr>
          <w:rFonts w:cstheme="minorHAnsi"/>
          <w:spacing w:val="5"/>
        </w:rPr>
        <w:t>o</w:t>
      </w:r>
      <w:r w:rsidRPr="00FD02DE">
        <w:rPr>
          <w:rFonts w:cstheme="minorHAnsi"/>
          <w:spacing w:val="-5"/>
        </w:rPr>
        <w:t>y</w:t>
      </w:r>
      <w:r w:rsidRPr="00FD02DE">
        <w:rPr>
          <w:rFonts w:cstheme="minorHAnsi"/>
          <w:spacing w:val="1"/>
        </w:rPr>
        <w:t>e</w:t>
      </w:r>
      <w:r w:rsidRPr="00FD02DE">
        <w:rPr>
          <w:rFonts w:cstheme="minorHAnsi"/>
        </w:rPr>
        <w:t>e</w:t>
      </w:r>
      <w:r w:rsidRPr="00FD02DE">
        <w:rPr>
          <w:rFonts w:cstheme="minorHAnsi"/>
          <w:spacing w:val="13"/>
        </w:rPr>
        <w:t xml:space="preserve"> </w:t>
      </w:r>
      <w:r w:rsidRPr="00FD02DE">
        <w:rPr>
          <w:rFonts w:cstheme="minorHAnsi"/>
        </w:rPr>
        <w:t>will</w:t>
      </w:r>
      <w:r w:rsidRPr="00FD02DE">
        <w:rPr>
          <w:rFonts w:cstheme="minorHAnsi"/>
          <w:spacing w:val="15"/>
        </w:rPr>
        <w:t xml:space="preserve"> </w:t>
      </w:r>
      <w:r w:rsidRPr="00FD02DE">
        <w:rPr>
          <w:rFonts w:cstheme="minorHAnsi"/>
        </w:rPr>
        <w:t>be</w:t>
      </w:r>
      <w:r w:rsidRPr="00FD02DE">
        <w:rPr>
          <w:rFonts w:cstheme="minorHAnsi"/>
          <w:spacing w:val="15"/>
        </w:rPr>
        <w:t xml:space="preserve"> </w:t>
      </w:r>
      <w:r w:rsidRPr="00FD02DE">
        <w:rPr>
          <w:rFonts w:cstheme="minorHAnsi"/>
          <w:spacing w:val="-1"/>
        </w:rPr>
        <w:t>a</w:t>
      </w:r>
      <w:r w:rsidRPr="00FD02DE">
        <w:rPr>
          <w:rFonts w:cstheme="minorHAnsi"/>
        </w:rPr>
        <w:t>ssi</w:t>
      </w:r>
      <w:r w:rsidRPr="00FD02DE">
        <w:rPr>
          <w:rFonts w:cstheme="minorHAnsi"/>
          <w:spacing w:val="-2"/>
        </w:rPr>
        <w:t>g</w:t>
      </w:r>
      <w:r w:rsidRPr="00FD02DE">
        <w:rPr>
          <w:rFonts w:cstheme="minorHAnsi"/>
          <w:spacing w:val="2"/>
        </w:rPr>
        <w:t>n</w:t>
      </w:r>
      <w:r w:rsidRPr="00FD02DE">
        <w:rPr>
          <w:rFonts w:cstheme="minorHAnsi"/>
          <w:spacing w:val="-1"/>
        </w:rPr>
        <w:t>e</w:t>
      </w:r>
      <w:r w:rsidRPr="00FD02DE">
        <w:rPr>
          <w:rFonts w:cstheme="minorHAnsi"/>
        </w:rPr>
        <w:t>d</w:t>
      </w:r>
      <w:r w:rsidRPr="00FD02DE">
        <w:rPr>
          <w:rFonts w:cstheme="minorHAnsi"/>
          <w:spacing w:val="14"/>
        </w:rPr>
        <w:t xml:space="preserve"> </w:t>
      </w:r>
      <w:r w:rsidRPr="00FD02DE">
        <w:rPr>
          <w:rFonts w:cstheme="minorHAnsi"/>
        </w:rPr>
        <w:t>to</w:t>
      </w:r>
      <w:r w:rsidRPr="00FD02DE">
        <w:rPr>
          <w:rFonts w:cstheme="minorHAnsi"/>
          <w:spacing w:val="14"/>
        </w:rPr>
        <w:t xml:space="preserve"> </w:t>
      </w:r>
      <w:r w:rsidRPr="00FD02DE">
        <w:rPr>
          <w:rFonts w:cstheme="minorHAnsi"/>
        </w:rPr>
        <w:t>p</w:t>
      </w:r>
      <w:r w:rsidRPr="00FD02DE">
        <w:rPr>
          <w:rFonts w:cstheme="minorHAnsi"/>
          <w:spacing w:val="-1"/>
        </w:rPr>
        <w:t>r</w:t>
      </w:r>
      <w:r w:rsidRPr="00FD02DE">
        <w:rPr>
          <w:rFonts w:cstheme="minorHAnsi"/>
        </w:rPr>
        <w:t>ovide</w:t>
      </w:r>
      <w:r w:rsidRPr="00FD02DE">
        <w:rPr>
          <w:rFonts w:cstheme="minorHAnsi"/>
          <w:spacing w:val="15"/>
        </w:rPr>
        <w:t xml:space="preserve"> </w:t>
      </w:r>
      <w:r w:rsidRPr="00FD02DE">
        <w:rPr>
          <w:rFonts w:cstheme="minorHAnsi"/>
          <w:spacing w:val="-1"/>
        </w:rPr>
        <w:t>a</w:t>
      </w:r>
      <w:r w:rsidRPr="00FD02DE">
        <w:rPr>
          <w:rFonts w:cstheme="minorHAnsi"/>
          <w:spacing w:val="2"/>
        </w:rPr>
        <w:t>d</w:t>
      </w:r>
      <w:r w:rsidRPr="00FD02DE">
        <w:rPr>
          <w:rFonts w:cstheme="minorHAnsi"/>
        </w:rPr>
        <w:t>minist</w:t>
      </w:r>
      <w:r w:rsidRPr="00FD02DE">
        <w:rPr>
          <w:rFonts w:cstheme="minorHAnsi"/>
          <w:spacing w:val="-1"/>
        </w:rPr>
        <w:t>ra</w:t>
      </w:r>
      <w:r w:rsidRPr="00FD02DE">
        <w:rPr>
          <w:rFonts w:cstheme="minorHAnsi"/>
        </w:rPr>
        <w:t>tive</w:t>
      </w:r>
      <w:r w:rsidRPr="00FD02DE">
        <w:rPr>
          <w:rFonts w:cstheme="minorHAnsi"/>
          <w:spacing w:val="13"/>
        </w:rPr>
        <w:t xml:space="preserve"> </w:t>
      </w:r>
      <w:r w:rsidRPr="00FD02DE">
        <w:rPr>
          <w:rFonts w:cstheme="minorHAnsi"/>
        </w:rPr>
        <w:t>suppo</w:t>
      </w:r>
      <w:r w:rsidRPr="00FD02DE">
        <w:rPr>
          <w:rFonts w:cstheme="minorHAnsi"/>
          <w:spacing w:val="-3"/>
        </w:rPr>
        <w:t>r</w:t>
      </w:r>
      <w:r w:rsidRPr="00FD02DE">
        <w:rPr>
          <w:rFonts w:cstheme="minorHAnsi"/>
        </w:rPr>
        <w:t>t</w:t>
      </w:r>
      <w:r w:rsidRPr="00FD02DE">
        <w:rPr>
          <w:rFonts w:cstheme="minorHAnsi"/>
          <w:spacing w:val="15"/>
        </w:rPr>
        <w:t xml:space="preserve"> </w:t>
      </w:r>
      <w:r w:rsidRPr="00FD02DE">
        <w:rPr>
          <w:rFonts w:cstheme="minorHAnsi"/>
        </w:rPr>
        <w:t>to the Panel.  This p</w:t>
      </w:r>
      <w:r w:rsidRPr="00FD02DE">
        <w:rPr>
          <w:rFonts w:cstheme="minorHAnsi"/>
          <w:spacing w:val="-1"/>
        </w:rPr>
        <w:t>er</w:t>
      </w:r>
      <w:r w:rsidRPr="00FD02DE">
        <w:rPr>
          <w:rFonts w:cstheme="minorHAnsi"/>
        </w:rPr>
        <w:t xml:space="preserve">son </w:t>
      </w:r>
      <w:r w:rsidRPr="00FD02DE">
        <w:rPr>
          <w:rFonts w:cstheme="minorHAnsi"/>
          <w:spacing w:val="2"/>
        </w:rPr>
        <w:t>w</w:t>
      </w:r>
      <w:r w:rsidRPr="00FD02DE">
        <w:rPr>
          <w:rFonts w:cstheme="minorHAnsi"/>
        </w:rPr>
        <w:t>ill be</w:t>
      </w:r>
      <w:r w:rsidRPr="00FD02DE">
        <w:rPr>
          <w:rFonts w:cstheme="minorHAnsi"/>
          <w:spacing w:val="-1"/>
        </w:rPr>
        <w:t xml:space="preserve"> re</w:t>
      </w:r>
      <w:r w:rsidRPr="00FD02DE">
        <w:rPr>
          <w:rFonts w:cstheme="minorHAnsi"/>
        </w:rPr>
        <w:t>sponsible</w:t>
      </w:r>
      <w:r w:rsidRPr="00FD02DE">
        <w:rPr>
          <w:rFonts w:cstheme="minorHAnsi"/>
          <w:spacing w:val="-1"/>
        </w:rPr>
        <w:t xml:space="preserve"> f</w:t>
      </w:r>
      <w:r w:rsidRPr="00FD02DE">
        <w:rPr>
          <w:rFonts w:cstheme="minorHAnsi"/>
        </w:rPr>
        <w:t>or</w:t>
      </w:r>
      <w:r w:rsidRPr="00FD02DE">
        <w:rPr>
          <w:rFonts w:cstheme="minorHAnsi"/>
          <w:spacing w:val="-1"/>
        </w:rPr>
        <w:t xml:space="preserve"> </w:t>
      </w:r>
      <w:r w:rsidRPr="00FD02DE">
        <w:rPr>
          <w:rFonts w:cstheme="minorHAnsi"/>
        </w:rPr>
        <w:t>the</w:t>
      </w:r>
      <w:r w:rsidRPr="00FD02DE">
        <w:rPr>
          <w:rFonts w:cstheme="minorHAnsi"/>
          <w:spacing w:val="1"/>
        </w:rPr>
        <w:t xml:space="preserve"> </w:t>
      </w:r>
      <w:proofErr w:type="gramStart"/>
      <w:r w:rsidRPr="00FD02DE">
        <w:rPr>
          <w:rFonts w:cstheme="minorHAnsi"/>
          <w:spacing w:val="-1"/>
        </w:rPr>
        <w:t>f</w:t>
      </w:r>
      <w:r w:rsidRPr="00FD02DE">
        <w:rPr>
          <w:rFonts w:cstheme="minorHAnsi"/>
        </w:rPr>
        <w:t>ollowin</w:t>
      </w:r>
      <w:r w:rsidRPr="00FD02DE">
        <w:rPr>
          <w:rFonts w:cstheme="minorHAnsi"/>
          <w:spacing w:val="-2"/>
        </w:rPr>
        <w:t>g</w:t>
      </w:r>
      <w:r w:rsidRPr="00FD02DE">
        <w:rPr>
          <w:rFonts w:cstheme="minorHAnsi"/>
        </w:rPr>
        <w:t>;</w:t>
      </w:r>
      <w:proofErr w:type="gramEnd"/>
    </w:p>
    <w:p w14:paraId="37C0A211" w14:textId="77777777" w:rsidR="00272EB4" w:rsidRPr="00FD02DE" w:rsidRDefault="00272EB4" w:rsidP="00272EB4">
      <w:pPr>
        <w:widowControl w:val="0"/>
        <w:spacing w:after="60" w:line="240" w:lineRule="auto"/>
        <w:ind w:left="720" w:right="4373" w:hanging="720"/>
        <w:jc w:val="both"/>
        <w:rPr>
          <w:rFonts w:cstheme="minorHAnsi"/>
        </w:rPr>
      </w:pPr>
      <w:r w:rsidRPr="00FD02DE">
        <w:rPr>
          <w:rFonts w:cstheme="minorHAnsi"/>
          <w:w w:val="131"/>
        </w:rPr>
        <w:t xml:space="preserve">•  </w:t>
      </w:r>
      <w:r w:rsidRPr="00FD02DE">
        <w:rPr>
          <w:rFonts w:cstheme="minorHAnsi"/>
          <w:spacing w:val="78"/>
          <w:w w:val="131"/>
        </w:rPr>
        <w:t xml:space="preserve"> </w:t>
      </w:r>
      <w:r w:rsidRPr="00FD02DE">
        <w:rPr>
          <w:rFonts w:cstheme="minorHAnsi"/>
          <w:spacing w:val="-3"/>
        </w:rPr>
        <w:t>I</w:t>
      </w:r>
      <w:r w:rsidRPr="00FD02DE">
        <w:rPr>
          <w:rFonts w:cstheme="minorHAnsi"/>
        </w:rPr>
        <w:t>ssui</w:t>
      </w:r>
      <w:r w:rsidRPr="00FD02DE">
        <w:rPr>
          <w:rFonts w:cstheme="minorHAnsi"/>
          <w:spacing w:val="2"/>
        </w:rPr>
        <w:t>n</w:t>
      </w:r>
      <w:r w:rsidRPr="00FD02DE">
        <w:rPr>
          <w:rFonts w:cstheme="minorHAnsi"/>
        </w:rPr>
        <w:t>g</w:t>
      </w:r>
      <w:r w:rsidRPr="00FD02DE">
        <w:rPr>
          <w:rFonts w:cstheme="minorHAnsi"/>
          <w:spacing w:val="-2"/>
        </w:rPr>
        <w:t xml:space="preserve"> </w:t>
      </w:r>
      <w:r w:rsidRPr="00FD02DE">
        <w:rPr>
          <w:rFonts w:cstheme="minorHAnsi"/>
        </w:rPr>
        <w:t>of</w:t>
      </w:r>
      <w:r w:rsidRPr="00FD02DE">
        <w:rPr>
          <w:rFonts w:cstheme="minorHAnsi"/>
          <w:spacing w:val="-1"/>
        </w:rPr>
        <w:t xml:space="preserve"> </w:t>
      </w:r>
      <w:r w:rsidRPr="00FD02DE">
        <w:rPr>
          <w:rFonts w:cstheme="minorHAnsi"/>
        </w:rPr>
        <w:t>the</w:t>
      </w:r>
      <w:r w:rsidRPr="00FD02DE">
        <w:rPr>
          <w:rFonts w:cstheme="minorHAnsi"/>
          <w:spacing w:val="1"/>
        </w:rPr>
        <w:t xml:space="preserve"> </w:t>
      </w:r>
      <w:proofErr w:type="gramStart"/>
      <w:r w:rsidRPr="00FD02DE">
        <w:rPr>
          <w:rFonts w:cstheme="minorHAnsi"/>
          <w:spacing w:val="2"/>
        </w:rPr>
        <w:t>A</w:t>
      </w:r>
      <w:r w:rsidRPr="00FD02DE">
        <w:rPr>
          <w:rFonts w:cstheme="minorHAnsi"/>
          <w:spacing w:val="-2"/>
        </w:rPr>
        <w:t>g</w:t>
      </w:r>
      <w:r w:rsidRPr="00FD02DE">
        <w:rPr>
          <w:rFonts w:cstheme="minorHAnsi"/>
          <w:spacing w:val="-1"/>
        </w:rPr>
        <w:t>e</w:t>
      </w:r>
      <w:r w:rsidRPr="00FD02DE">
        <w:rPr>
          <w:rFonts w:cstheme="minorHAnsi"/>
        </w:rPr>
        <w:t>nd</w:t>
      </w:r>
      <w:r w:rsidRPr="00FD02DE">
        <w:rPr>
          <w:rFonts w:cstheme="minorHAnsi"/>
          <w:spacing w:val="-1"/>
        </w:rPr>
        <w:t>a</w:t>
      </w:r>
      <w:r w:rsidRPr="00FD02DE">
        <w:rPr>
          <w:rFonts w:cstheme="minorHAnsi"/>
        </w:rPr>
        <w:t>;</w:t>
      </w:r>
      <w:proofErr w:type="gramEnd"/>
    </w:p>
    <w:p w14:paraId="741649FA" w14:textId="77777777" w:rsidR="00272EB4" w:rsidRPr="00FD02DE" w:rsidRDefault="00272EB4" w:rsidP="00272EB4">
      <w:pPr>
        <w:widowControl w:val="0"/>
        <w:spacing w:after="60" w:line="240" w:lineRule="auto"/>
        <w:ind w:left="720" w:right="2218" w:hanging="720"/>
        <w:jc w:val="both"/>
        <w:rPr>
          <w:rFonts w:cstheme="minorHAnsi"/>
        </w:rPr>
      </w:pPr>
      <w:r w:rsidRPr="00FD02DE">
        <w:rPr>
          <w:rFonts w:cstheme="minorHAnsi"/>
          <w:w w:val="131"/>
        </w:rPr>
        <w:t xml:space="preserve">•  </w:t>
      </w:r>
      <w:r w:rsidRPr="00FD02DE">
        <w:rPr>
          <w:rFonts w:cstheme="minorHAnsi"/>
          <w:spacing w:val="78"/>
          <w:w w:val="131"/>
        </w:rPr>
        <w:t xml:space="preserve"> </w:t>
      </w:r>
      <w:r w:rsidRPr="00FD02DE">
        <w:rPr>
          <w:rFonts w:cstheme="minorHAnsi"/>
          <w:spacing w:val="1"/>
        </w:rPr>
        <w:t>R</w:t>
      </w:r>
      <w:r w:rsidRPr="00FD02DE">
        <w:rPr>
          <w:rFonts w:cstheme="minorHAnsi"/>
          <w:spacing w:val="-1"/>
        </w:rPr>
        <w:t>ec</w:t>
      </w:r>
      <w:r w:rsidRPr="00FD02DE">
        <w:rPr>
          <w:rFonts w:cstheme="minorHAnsi"/>
        </w:rPr>
        <w:t>o</w:t>
      </w:r>
      <w:r w:rsidRPr="00FD02DE">
        <w:rPr>
          <w:rFonts w:cstheme="minorHAnsi"/>
          <w:spacing w:val="-1"/>
        </w:rPr>
        <w:t>r</w:t>
      </w:r>
      <w:r w:rsidRPr="00FD02DE">
        <w:rPr>
          <w:rFonts w:cstheme="minorHAnsi"/>
        </w:rPr>
        <w:t>di</w:t>
      </w:r>
      <w:r w:rsidRPr="00FD02DE">
        <w:rPr>
          <w:rFonts w:cstheme="minorHAnsi"/>
          <w:spacing w:val="2"/>
        </w:rPr>
        <w:t>n</w:t>
      </w:r>
      <w:r w:rsidRPr="00FD02DE">
        <w:rPr>
          <w:rFonts w:cstheme="minorHAnsi"/>
        </w:rPr>
        <w:t>g</w:t>
      </w:r>
      <w:r w:rsidRPr="00FD02DE">
        <w:rPr>
          <w:rFonts w:cstheme="minorHAnsi"/>
          <w:spacing w:val="-2"/>
        </w:rPr>
        <w:t xml:space="preserve"> </w:t>
      </w:r>
      <w:r w:rsidRPr="00FD02DE">
        <w:rPr>
          <w:rFonts w:cstheme="minorHAnsi"/>
        </w:rPr>
        <w:t>of</w:t>
      </w:r>
      <w:r w:rsidRPr="00FD02DE">
        <w:rPr>
          <w:rFonts w:cstheme="minorHAnsi"/>
          <w:spacing w:val="-1"/>
        </w:rPr>
        <w:t xml:space="preserve"> </w:t>
      </w:r>
      <w:r w:rsidRPr="00FD02DE">
        <w:rPr>
          <w:rFonts w:cstheme="minorHAnsi"/>
        </w:rPr>
        <w:t>Apol</w:t>
      </w:r>
      <w:r w:rsidRPr="00FD02DE">
        <w:rPr>
          <w:rFonts w:cstheme="minorHAnsi"/>
          <w:spacing w:val="2"/>
        </w:rPr>
        <w:t>o</w:t>
      </w:r>
      <w:r w:rsidRPr="00FD02DE">
        <w:rPr>
          <w:rFonts w:cstheme="minorHAnsi"/>
          <w:spacing w:val="-2"/>
        </w:rPr>
        <w:t>g</w:t>
      </w:r>
      <w:r w:rsidRPr="00FD02DE">
        <w:rPr>
          <w:rFonts w:cstheme="minorHAnsi"/>
        </w:rPr>
        <w:t>i</w:t>
      </w:r>
      <w:r w:rsidRPr="00FD02DE">
        <w:rPr>
          <w:rFonts w:cstheme="minorHAnsi"/>
          <w:spacing w:val="-1"/>
        </w:rPr>
        <w:t>e</w:t>
      </w:r>
      <w:r w:rsidRPr="00FD02DE">
        <w:rPr>
          <w:rFonts w:cstheme="minorHAnsi"/>
        </w:rPr>
        <w:t>s</w:t>
      </w:r>
      <w:r w:rsidRPr="00FD02DE">
        <w:rPr>
          <w:rFonts w:cstheme="minorHAnsi"/>
          <w:spacing w:val="3"/>
        </w:rPr>
        <w:t xml:space="preserve"> </w:t>
      </w:r>
      <w:r w:rsidRPr="00FD02DE">
        <w:rPr>
          <w:rFonts w:cstheme="minorHAnsi"/>
        </w:rPr>
        <w:t>p</w:t>
      </w:r>
      <w:r w:rsidRPr="00FD02DE">
        <w:rPr>
          <w:rFonts w:cstheme="minorHAnsi"/>
          <w:spacing w:val="-1"/>
        </w:rPr>
        <w:t>r</w:t>
      </w:r>
      <w:r w:rsidRPr="00FD02DE">
        <w:rPr>
          <w:rFonts w:cstheme="minorHAnsi"/>
        </w:rPr>
        <w:t>ior</w:t>
      </w:r>
      <w:r w:rsidRPr="00FD02DE">
        <w:rPr>
          <w:rFonts w:cstheme="minorHAnsi"/>
          <w:spacing w:val="-1"/>
        </w:rPr>
        <w:t xml:space="preserve"> </w:t>
      </w:r>
      <w:r w:rsidRPr="00FD02DE">
        <w:rPr>
          <w:rFonts w:cstheme="minorHAnsi"/>
        </w:rPr>
        <w:t>to the</w:t>
      </w:r>
      <w:r w:rsidRPr="00FD02DE">
        <w:rPr>
          <w:rFonts w:cstheme="minorHAnsi"/>
          <w:spacing w:val="-1"/>
        </w:rPr>
        <w:t xml:space="preserve"> </w:t>
      </w:r>
      <w:proofErr w:type="gramStart"/>
      <w:r w:rsidRPr="00FD02DE">
        <w:rPr>
          <w:rFonts w:cstheme="minorHAnsi"/>
        </w:rPr>
        <w:t>m</w:t>
      </w:r>
      <w:r w:rsidRPr="00FD02DE">
        <w:rPr>
          <w:rFonts w:cstheme="minorHAnsi"/>
          <w:spacing w:val="-1"/>
        </w:rPr>
        <w:t>ee</w:t>
      </w:r>
      <w:r w:rsidRPr="00FD02DE">
        <w:rPr>
          <w:rFonts w:cstheme="minorHAnsi"/>
        </w:rPr>
        <w:t>ti</w:t>
      </w:r>
      <w:r w:rsidRPr="00FD02DE">
        <w:rPr>
          <w:rFonts w:cstheme="minorHAnsi"/>
          <w:spacing w:val="2"/>
        </w:rPr>
        <w:t>n</w:t>
      </w:r>
      <w:r w:rsidRPr="00FD02DE">
        <w:rPr>
          <w:rFonts w:cstheme="minorHAnsi"/>
          <w:spacing w:val="-2"/>
        </w:rPr>
        <w:t>g</w:t>
      </w:r>
      <w:r w:rsidRPr="00FD02DE">
        <w:rPr>
          <w:rFonts w:cstheme="minorHAnsi"/>
        </w:rPr>
        <w:t>;</w:t>
      </w:r>
      <w:proofErr w:type="gramEnd"/>
    </w:p>
    <w:p w14:paraId="1620F9ED" w14:textId="77777777" w:rsidR="00272EB4" w:rsidRPr="00FD02DE" w:rsidRDefault="00272EB4" w:rsidP="00272EB4">
      <w:pPr>
        <w:widowControl w:val="0"/>
        <w:spacing w:after="60" w:line="240" w:lineRule="auto"/>
        <w:ind w:left="720" w:right="2484" w:hanging="720"/>
        <w:jc w:val="both"/>
        <w:rPr>
          <w:rFonts w:cstheme="minorHAnsi"/>
        </w:rPr>
      </w:pPr>
      <w:r w:rsidRPr="00FD02DE">
        <w:rPr>
          <w:rFonts w:cstheme="minorHAnsi"/>
          <w:w w:val="131"/>
        </w:rPr>
        <w:t xml:space="preserve">•  </w:t>
      </w:r>
      <w:r w:rsidRPr="00FD02DE">
        <w:rPr>
          <w:rFonts w:cstheme="minorHAnsi"/>
          <w:spacing w:val="78"/>
          <w:w w:val="131"/>
        </w:rPr>
        <w:t xml:space="preserve"> </w:t>
      </w:r>
      <w:r w:rsidRPr="00FD02DE">
        <w:rPr>
          <w:rFonts w:cstheme="minorHAnsi"/>
          <w:spacing w:val="1"/>
        </w:rPr>
        <w:t>P</w:t>
      </w:r>
      <w:r w:rsidRPr="00FD02DE">
        <w:rPr>
          <w:rFonts w:cstheme="minorHAnsi"/>
          <w:spacing w:val="-1"/>
        </w:rPr>
        <w:t>re</w:t>
      </w:r>
      <w:r w:rsidRPr="00FD02DE">
        <w:rPr>
          <w:rFonts w:cstheme="minorHAnsi"/>
        </w:rPr>
        <w:t>p</w:t>
      </w:r>
      <w:r w:rsidRPr="00FD02DE">
        <w:rPr>
          <w:rFonts w:cstheme="minorHAnsi"/>
          <w:spacing w:val="-1"/>
        </w:rPr>
        <w:t>ara</w:t>
      </w:r>
      <w:r w:rsidRPr="00FD02DE">
        <w:rPr>
          <w:rFonts w:cstheme="minorHAnsi"/>
        </w:rPr>
        <w:t>tion of</w:t>
      </w:r>
      <w:r w:rsidRPr="00FD02DE">
        <w:rPr>
          <w:rFonts w:cstheme="minorHAnsi"/>
          <w:spacing w:val="-1"/>
        </w:rPr>
        <w:t xml:space="preserve"> </w:t>
      </w:r>
      <w:r w:rsidRPr="00FD02DE">
        <w:rPr>
          <w:rFonts w:cstheme="minorHAnsi"/>
        </w:rPr>
        <w:t>the</w:t>
      </w:r>
      <w:r w:rsidRPr="00FD02DE">
        <w:rPr>
          <w:rFonts w:cstheme="minorHAnsi"/>
          <w:spacing w:val="-1"/>
        </w:rPr>
        <w:t xml:space="preserve"> </w:t>
      </w:r>
      <w:r w:rsidRPr="00FD02DE">
        <w:rPr>
          <w:rFonts w:cstheme="minorHAnsi"/>
        </w:rPr>
        <w:t>Minu</w:t>
      </w:r>
      <w:r w:rsidRPr="00FD02DE">
        <w:rPr>
          <w:rFonts w:cstheme="minorHAnsi"/>
          <w:spacing w:val="3"/>
        </w:rPr>
        <w:t>t</w:t>
      </w:r>
      <w:r w:rsidRPr="00FD02DE">
        <w:rPr>
          <w:rFonts w:cstheme="minorHAnsi"/>
          <w:spacing w:val="-1"/>
        </w:rPr>
        <w:t>e</w:t>
      </w:r>
      <w:r w:rsidRPr="00FD02DE">
        <w:rPr>
          <w:rFonts w:cstheme="minorHAnsi"/>
        </w:rPr>
        <w:t>s/M</w:t>
      </w:r>
      <w:r w:rsidRPr="00FD02DE">
        <w:rPr>
          <w:rFonts w:cstheme="minorHAnsi"/>
          <w:spacing w:val="-1"/>
        </w:rPr>
        <w:t>ee</w:t>
      </w:r>
      <w:r w:rsidRPr="00FD02DE">
        <w:rPr>
          <w:rFonts w:cstheme="minorHAnsi"/>
        </w:rPr>
        <w:t>ting</w:t>
      </w:r>
      <w:r w:rsidRPr="00FD02DE">
        <w:rPr>
          <w:rFonts w:cstheme="minorHAnsi"/>
          <w:spacing w:val="-2"/>
        </w:rPr>
        <w:t xml:space="preserve"> </w:t>
      </w:r>
      <w:proofErr w:type="gramStart"/>
      <w:r w:rsidRPr="00FD02DE">
        <w:rPr>
          <w:rFonts w:cstheme="minorHAnsi"/>
        </w:rPr>
        <w:t>no</w:t>
      </w:r>
      <w:r w:rsidRPr="00FD02DE">
        <w:rPr>
          <w:rFonts w:cstheme="minorHAnsi"/>
          <w:spacing w:val="3"/>
        </w:rPr>
        <w:t>t</w:t>
      </w:r>
      <w:r w:rsidRPr="00FD02DE">
        <w:rPr>
          <w:rFonts w:cstheme="minorHAnsi"/>
          <w:spacing w:val="-1"/>
        </w:rPr>
        <w:t>e</w:t>
      </w:r>
      <w:r w:rsidRPr="00FD02DE">
        <w:rPr>
          <w:rFonts w:cstheme="minorHAnsi"/>
        </w:rPr>
        <w:t>s;</w:t>
      </w:r>
      <w:proofErr w:type="gramEnd"/>
    </w:p>
    <w:p w14:paraId="0A20C78D" w14:textId="77777777" w:rsidR="00272EB4" w:rsidRPr="00FD02DE" w:rsidRDefault="00272EB4" w:rsidP="00272EB4">
      <w:pPr>
        <w:widowControl w:val="0"/>
        <w:spacing w:after="60" w:line="240" w:lineRule="auto"/>
        <w:ind w:left="720" w:right="4643" w:hanging="720"/>
        <w:jc w:val="both"/>
        <w:rPr>
          <w:rFonts w:cstheme="minorHAnsi"/>
        </w:rPr>
      </w:pPr>
      <w:r w:rsidRPr="00FD02DE">
        <w:rPr>
          <w:rFonts w:cstheme="minorHAnsi"/>
          <w:w w:val="131"/>
        </w:rPr>
        <w:t xml:space="preserve">•  </w:t>
      </w:r>
      <w:r w:rsidRPr="00FD02DE">
        <w:rPr>
          <w:rFonts w:cstheme="minorHAnsi"/>
          <w:spacing w:val="78"/>
          <w:w w:val="131"/>
        </w:rPr>
        <w:t xml:space="preserve"> </w:t>
      </w:r>
      <w:r w:rsidRPr="00FD02DE">
        <w:rPr>
          <w:rFonts w:cstheme="minorHAnsi"/>
          <w:spacing w:val="1"/>
        </w:rPr>
        <w:t>R</w:t>
      </w:r>
      <w:r w:rsidRPr="00FD02DE">
        <w:rPr>
          <w:rFonts w:cstheme="minorHAnsi"/>
        </w:rPr>
        <w:t>oom bookin</w:t>
      </w:r>
      <w:r w:rsidRPr="00FD02DE">
        <w:rPr>
          <w:rFonts w:cstheme="minorHAnsi"/>
          <w:spacing w:val="-2"/>
        </w:rPr>
        <w:t>g</w:t>
      </w:r>
      <w:r w:rsidRPr="00FD02DE">
        <w:rPr>
          <w:rFonts w:cstheme="minorHAnsi"/>
        </w:rPr>
        <w:t xml:space="preserve">; </w:t>
      </w:r>
      <w:r w:rsidRPr="00FD02DE">
        <w:rPr>
          <w:rFonts w:cstheme="minorHAnsi"/>
          <w:spacing w:val="-1"/>
        </w:rPr>
        <w:t>a</w:t>
      </w:r>
      <w:r w:rsidRPr="00FD02DE">
        <w:rPr>
          <w:rFonts w:cstheme="minorHAnsi"/>
        </w:rPr>
        <w:t>nd</w:t>
      </w:r>
    </w:p>
    <w:p w14:paraId="26942685" w14:textId="77777777" w:rsidR="00272EB4" w:rsidRDefault="00272EB4" w:rsidP="00272EB4">
      <w:pPr>
        <w:widowControl w:val="0"/>
        <w:spacing w:after="0" w:line="240" w:lineRule="auto"/>
        <w:ind w:left="720" w:right="4351" w:hanging="720"/>
        <w:jc w:val="both"/>
        <w:rPr>
          <w:rFonts w:cstheme="minorHAnsi"/>
        </w:rPr>
      </w:pPr>
      <w:r w:rsidRPr="00FD02DE">
        <w:rPr>
          <w:rFonts w:cstheme="minorHAnsi"/>
          <w:w w:val="131"/>
        </w:rPr>
        <w:t xml:space="preserve">•  </w:t>
      </w:r>
      <w:r w:rsidRPr="00FD02DE">
        <w:rPr>
          <w:rFonts w:cstheme="minorHAnsi"/>
          <w:spacing w:val="78"/>
          <w:w w:val="131"/>
        </w:rPr>
        <w:t xml:space="preserve"> </w:t>
      </w:r>
      <w:r w:rsidRPr="00FD02DE">
        <w:rPr>
          <w:rFonts w:cstheme="minorHAnsi"/>
          <w:spacing w:val="1"/>
        </w:rPr>
        <w:t>C</w:t>
      </w:r>
      <w:r w:rsidRPr="00FD02DE">
        <w:rPr>
          <w:rFonts w:cstheme="minorHAnsi"/>
          <w:spacing w:val="-1"/>
        </w:rPr>
        <w:t>a</w:t>
      </w:r>
      <w:r w:rsidRPr="00FD02DE">
        <w:rPr>
          <w:rFonts w:cstheme="minorHAnsi"/>
        </w:rPr>
        <w:t>t</w:t>
      </w:r>
      <w:r w:rsidRPr="00FD02DE">
        <w:rPr>
          <w:rFonts w:cstheme="minorHAnsi"/>
          <w:spacing w:val="-1"/>
        </w:rPr>
        <w:t>er</w:t>
      </w:r>
      <w:r w:rsidRPr="00FD02DE">
        <w:rPr>
          <w:rFonts w:cstheme="minorHAnsi"/>
        </w:rPr>
        <w:t>i</w:t>
      </w:r>
      <w:r w:rsidRPr="00FD02DE">
        <w:rPr>
          <w:rFonts w:cstheme="minorHAnsi"/>
          <w:spacing w:val="-1"/>
        </w:rPr>
        <w:t>n</w:t>
      </w:r>
      <w:r w:rsidRPr="00FD02DE">
        <w:rPr>
          <w:rFonts w:cstheme="minorHAnsi"/>
        </w:rPr>
        <w:t>g</w:t>
      </w:r>
      <w:r w:rsidRPr="00FD02DE">
        <w:rPr>
          <w:rFonts w:cstheme="minorHAnsi"/>
          <w:spacing w:val="1"/>
        </w:rPr>
        <w:t xml:space="preserve"> </w:t>
      </w:r>
      <w:r w:rsidRPr="00FD02DE">
        <w:rPr>
          <w:rFonts w:cstheme="minorHAnsi"/>
          <w:spacing w:val="-1"/>
        </w:rPr>
        <w:t>requ</w:t>
      </w:r>
      <w:r w:rsidRPr="00FD02DE">
        <w:rPr>
          <w:rFonts w:cstheme="minorHAnsi"/>
          <w:spacing w:val="2"/>
        </w:rPr>
        <w:t>ir</w:t>
      </w:r>
      <w:r w:rsidRPr="00FD02DE">
        <w:rPr>
          <w:rFonts w:cstheme="minorHAnsi"/>
          <w:spacing w:val="-1"/>
        </w:rPr>
        <w:t>e</w:t>
      </w:r>
      <w:r w:rsidRPr="00FD02DE">
        <w:rPr>
          <w:rFonts w:cstheme="minorHAnsi"/>
        </w:rPr>
        <w:t>m</w:t>
      </w:r>
      <w:r w:rsidRPr="00FD02DE">
        <w:rPr>
          <w:rFonts w:cstheme="minorHAnsi"/>
          <w:spacing w:val="-1"/>
        </w:rPr>
        <w:t>en</w:t>
      </w:r>
      <w:r w:rsidRPr="00FD02DE">
        <w:rPr>
          <w:rFonts w:cstheme="minorHAnsi"/>
          <w:spacing w:val="1"/>
        </w:rPr>
        <w:t>t</w:t>
      </w:r>
      <w:r w:rsidRPr="00FD02DE">
        <w:rPr>
          <w:rFonts w:cstheme="minorHAnsi"/>
        </w:rPr>
        <w:t>s.</w:t>
      </w:r>
    </w:p>
    <w:p w14:paraId="1C967BEF" w14:textId="77777777" w:rsidR="00272EB4" w:rsidRPr="00B11C8A" w:rsidRDefault="00272EB4" w:rsidP="00272EB4">
      <w:pPr>
        <w:widowControl w:val="0"/>
        <w:spacing w:after="0" w:line="240" w:lineRule="auto"/>
        <w:ind w:left="720" w:right="4351" w:hanging="720"/>
        <w:jc w:val="both"/>
        <w:rPr>
          <w:rFonts w:cstheme="minorHAnsi"/>
        </w:rPr>
      </w:pPr>
    </w:p>
    <w:p w14:paraId="541D3B77" w14:textId="77777777" w:rsidR="00272EB4" w:rsidRDefault="00272EB4" w:rsidP="00272EB4">
      <w:pPr>
        <w:spacing w:after="160" w:line="259" w:lineRule="auto"/>
        <w:rPr>
          <w:rFonts w:cstheme="minorHAnsi"/>
          <w:b/>
          <w:bCs/>
          <w:sz w:val="24"/>
        </w:rPr>
      </w:pPr>
      <w:r>
        <w:rPr>
          <w:rFonts w:cstheme="minorHAnsi"/>
          <w:b/>
          <w:bCs/>
          <w:sz w:val="24"/>
        </w:rPr>
        <w:br w:type="page"/>
      </w:r>
    </w:p>
    <w:p w14:paraId="007F348D" w14:textId="77777777" w:rsidR="00272EB4" w:rsidRPr="00FD02DE" w:rsidRDefault="00272EB4" w:rsidP="00272EB4">
      <w:pPr>
        <w:widowControl w:val="0"/>
        <w:tabs>
          <w:tab w:val="left" w:pos="1540"/>
        </w:tabs>
        <w:spacing w:after="60" w:line="240" w:lineRule="auto"/>
        <w:ind w:right="-23"/>
        <w:jc w:val="both"/>
        <w:rPr>
          <w:rFonts w:cstheme="minorHAnsi"/>
          <w:sz w:val="24"/>
        </w:rPr>
      </w:pPr>
      <w:r w:rsidRPr="00FD02DE">
        <w:rPr>
          <w:rFonts w:cstheme="minorHAnsi"/>
          <w:b/>
          <w:bCs/>
          <w:sz w:val="24"/>
        </w:rPr>
        <w:lastRenderedPageBreak/>
        <w:t>C</w:t>
      </w:r>
      <w:r w:rsidRPr="00FD02DE">
        <w:rPr>
          <w:rFonts w:cstheme="minorHAnsi"/>
          <w:b/>
          <w:bCs/>
          <w:spacing w:val="1"/>
          <w:sz w:val="24"/>
        </w:rPr>
        <w:t>o</w:t>
      </w:r>
      <w:r w:rsidRPr="00FD02DE">
        <w:rPr>
          <w:rFonts w:cstheme="minorHAnsi"/>
          <w:b/>
          <w:bCs/>
          <w:sz w:val="24"/>
        </w:rPr>
        <w:t>de</w:t>
      </w:r>
      <w:r w:rsidRPr="00FD02DE">
        <w:rPr>
          <w:rFonts w:cstheme="minorHAnsi"/>
          <w:b/>
          <w:bCs/>
          <w:spacing w:val="-1"/>
          <w:sz w:val="24"/>
        </w:rPr>
        <w:t xml:space="preserve"> </w:t>
      </w:r>
      <w:r w:rsidRPr="00FD02DE">
        <w:rPr>
          <w:rFonts w:cstheme="minorHAnsi"/>
          <w:b/>
          <w:bCs/>
          <w:spacing w:val="1"/>
          <w:sz w:val="24"/>
        </w:rPr>
        <w:t>o</w:t>
      </w:r>
      <w:r w:rsidRPr="00FD02DE">
        <w:rPr>
          <w:rFonts w:cstheme="minorHAnsi"/>
          <w:b/>
          <w:bCs/>
          <w:sz w:val="24"/>
        </w:rPr>
        <w:t>f</w:t>
      </w:r>
      <w:r w:rsidRPr="00FD02DE">
        <w:rPr>
          <w:rFonts w:cstheme="minorHAnsi"/>
          <w:b/>
          <w:bCs/>
          <w:spacing w:val="1"/>
          <w:sz w:val="24"/>
        </w:rPr>
        <w:t xml:space="preserve"> </w:t>
      </w:r>
      <w:r w:rsidRPr="00FD02DE">
        <w:rPr>
          <w:rFonts w:cstheme="minorHAnsi"/>
          <w:b/>
          <w:bCs/>
          <w:sz w:val="24"/>
        </w:rPr>
        <w:t>C</w:t>
      </w:r>
      <w:r w:rsidRPr="00FD02DE">
        <w:rPr>
          <w:rFonts w:cstheme="minorHAnsi"/>
          <w:b/>
          <w:bCs/>
          <w:spacing w:val="1"/>
          <w:sz w:val="24"/>
        </w:rPr>
        <w:t>o</w:t>
      </w:r>
      <w:r w:rsidRPr="00FD02DE">
        <w:rPr>
          <w:rFonts w:cstheme="minorHAnsi"/>
          <w:b/>
          <w:bCs/>
          <w:sz w:val="24"/>
        </w:rPr>
        <w:t>n</w:t>
      </w:r>
      <w:r w:rsidRPr="00FD02DE">
        <w:rPr>
          <w:rFonts w:cstheme="minorHAnsi"/>
          <w:b/>
          <w:bCs/>
          <w:spacing w:val="1"/>
          <w:sz w:val="24"/>
        </w:rPr>
        <w:t>du</w:t>
      </w:r>
      <w:r w:rsidRPr="00FD02DE">
        <w:rPr>
          <w:rFonts w:cstheme="minorHAnsi"/>
          <w:b/>
          <w:bCs/>
          <w:spacing w:val="-1"/>
          <w:sz w:val="24"/>
        </w:rPr>
        <w:t>c</w:t>
      </w:r>
      <w:r w:rsidRPr="00FD02DE">
        <w:rPr>
          <w:rFonts w:cstheme="minorHAnsi"/>
          <w:b/>
          <w:bCs/>
          <w:sz w:val="24"/>
        </w:rPr>
        <w:t>t</w:t>
      </w:r>
    </w:p>
    <w:p w14:paraId="2B0FC36A" w14:textId="77777777" w:rsidR="00272EB4" w:rsidRPr="00FD02DE" w:rsidRDefault="00272EB4" w:rsidP="00272EB4">
      <w:pPr>
        <w:pStyle w:val="ListParagraph"/>
        <w:numPr>
          <w:ilvl w:val="0"/>
          <w:numId w:val="339"/>
        </w:numPr>
        <w:spacing w:line="240" w:lineRule="auto"/>
        <w:ind w:left="426" w:hanging="426"/>
        <w:jc w:val="both"/>
        <w:rPr>
          <w:rFonts w:cstheme="minorHAnsi"/>
        </w:rPr>
      </w:pPr>
      <w:r w:rsidRPr="00FD02DE">
        <w:rPr>
          <w:rFonts w:cstheme="minorHAnsi"/>
        </w:rPr>
        <w:t>The</w:t>
      </w:r>
      <w:r w:rsidRPr="00FD02DE">
        <w:rPr>
          <w:rFonts w:cstheme="minorHAnsi"/>
          <w:spacing w:val="54"/>
        </w:rPr>
        <w:t xml:space="preserve"> </w:t>
      </w:r>
      <w:r w:rsidRPr="00FD02DE">
        <w:rPr>
          <w:rFonts w:cstheme="minorHAnsi"/>
          <w:spacing w:val="1"/>
        </w:rPr>
        <w:t>Town</w:t>
      </w:r>
      <w:r w:rsidRPr="00FD02DE">
        <w:rPr>
          <w:rFonts w:cstheme="minorHAnsi"/>
          <w:spacing w:val="-1"/>
        </w:rPr>
        <w:t>’</w:t>
      </w:r>
      <w:r w:rsidRPr="00FD02DE">
        <w:rPr>
          <w:rFonts w:cstheme="minorHAnsi"/>
        </w:rPr>
        <w:t>s</w:t>
      </w:r>
      <w:r w:rsidRPr="00FD02DE">
        <w:rPr>
          <w:rFonts w:cstheme="minorHAnsi"/>
          <w:spacing w:val="58"/>
        </w:rPr>
        <w:t xml:space="preserve"> </w:t>
      </w:r>
      <w:r w:rsidRPr="00FD02DE">
        <w:rPr>
          <w:rFonts w:cstheme="minorHAnsi"/>
          <w:spacing w:val="1"/>
        </w:rPr>
        <w:t>C</w:t>
      </w:r>
      <w:r w:rsidRPr="00FD02DE">
        <w:rPr>
          <w:rFonts w:cstheme="minorHAnsi"/>
        </w:rPr>
        <w:t>ode</w:t>
      </w:r>
      <w:r w:rsidRPr="00FD02DE">
        <w:rPr>
          <w:rFonts w:cstheme="minorHAnsi"/>
          <w:spacing w:val="54"/>
        </w:rPr>
        <w:t xml:space="preserve"> </w:t>
      </w:r>
      <w:r w:rsidRPr="00FD02DE">
        <w:rPr>
          <w:rFonts w:cstheme="minorHAnsi"/>
        </w:rPr>
        <w:t>of</w:t>
      </w:r>
      <w:r w:rsidRPr="00FD02DE">
        <w:rPr>
          <w:rFonts w:cstheme="minorHAnsi"/>
          <w:spacing w:val="57"/>
        </w:rPr>
        <w:t xml:space="preserve"> </w:t>
      </w:r>
      <w:r w:rsidRPr="00FD02DE">
        <w:rPr>
          <w:rFonts w:cstheme="minorHAnsi"/>
          <w:spacing w:val="1"/>
        </w:rPr>
        <w:t>C</w:t>
      </w:r>
      <w:r w:rsidRPr="00FD02DE">
        <w:rPr>
          <w:rFonts w:cstheme="minorHAnsi"/>
        </w:rPr>
        <w:t>ondu</w:t>
      </w:r>
      <w:r w:rsidRPr="00FD02DE">
        <w:rPr>
          <w:rFonts w:cstheme="minorHAnsi"/>
          <w:spacing w:val="-1"/>
        </w:rPr>
        <w:t>c</w:t>
      </w:r>
      <w:r w:rsidRPr="00FD02DE">
        <w:rPr>
          <w:rFonts w:cstheme="minorHAnsi"/>
        </w:rPr>
        <w:t>t</w:t>
      </w:r>
      <w:r w:rsidRPr="00FD02DE">
        <w:rPr>
          <w:rFonts w:cstheme="minorHAnsi"/>
          <w:spacing w:val="56"/>
        </w:rPr>
        <w:t xml:space="preserve"> </w:t>
      </w:r>
      <w:r w:rsidRPr="00FD02DE">
        <w:rPr>
          <w:rFonts w:cstheme="minorHAnsi"/>
        </w:rPr>
        <w:t>sh</w:t>
      </w:r>
      <w:r w:rsidRPr="00FD02DE">
        <w:rPr>
          <w:rFonts w:cstheme="minorHAnsi"/>
          <w:spacing w:val="-1"/>
        </w:rPr>
        <w:t>a</w:t>
      </w:r>
      <w:r w:rsidRPr="00FD02DE">
        <w:rPr>
          <w:rFonts w:cstheme="minorHAnsi"/>
        </w:rPr>
        <w:t>ll</w:t>
      </w:r>
      <w:r w:rsidRPr="00FD02DE">
        <w:rPr>
          <w:rFonts w:cstheme="minorHAnsi"/>
          <w:spacing w:val="56"/>
        </w:rPr>
        <w:t xml:space="preserve"> </w:t>
      </w:r>
      <w:r w:rsidRPr="00FD02DE">
        <w:rPr>
          <w:rFonts w:cstheme="minorHAnsi"/>
          <w:spacing w:val="-1"/>
        </w:rPr>
        <w:t>a</w:t>
      </w:r>
      <w:r w:rsidRPr="00FD02DE">
        <w:rPr>
          <w:rFonts w:cstheme="minorHAnsi"/>
        </w:rPr>
        <w:t>pp</w:t>
      </w:r>
      <w:r w:rsidRPr="00FD02DE">
        <w:rPr>
          <w:rFonts w:cstheme="minorHAnsi"/>
          <w:spacing w:val="5"/>
        </w:rPr>
        <w:t>l</w:t>
      </w:r>
      <w:r w:rsidRPr="00FD02DE">
        <w:rPr>
          <w:rFonts w:cstheme="minorHAnsi"/>
        </w:rPr>
        <w:t>y</w:t>
      </w:r>
      <w:r w:rsidRPr="00FD02DE">
        <w:rPr>
          <w:rFonts w:cstheme="minorHAnsi"/>
          <w:spacing w:val="50"/>
        </w:rPr>
        <w:t xml:space="preserve"> </w:t>
      </w:r>
      <w:r w:rsidRPr="00FD02DE">
        <w:rPr>
          <w:rFonts w:cstheme="minorHAnsi"/>
        </w:rPr>
        <w:t>to</w:t>
      </w:r>
      <w:r w:rsidRPr="00FD02DE">
        <w:rPr>
          <w:rFonts w:cstheme="minorHAnsi"/>
          <w:spacing w:val="55"/>
        </w:rPr>
        <w:t xml:space="preserve"> </w:t>
      </w:r>
      <w:r w:rsidRPr="00FD02DE">
        <w:rPr>
          <w:rFonts w:cstheme="minorHAnsi"/>
          <w:spacing w:val="3"/>
        </w:rPr>
        <w:t>m</w:t>
      </w:r>
      <w:r w:rsidRPr="00FD02DE">
        <w:rPr>
          <w:rFonts w:cstheme="minorHAnsi"/>
          <w:spacing w:val="-1"/>
        </w:rPr>
        <w:t>e</w:t>
      </w:r>
      <w:r w:rsidRPr="00FD02DE">
        <w:rPr>
          <w:rFonts w:cstheme="minorHAnsi"/>
        </w:rPr>
        <w:t>mb</w:t>
      </w:r>
      <w:r w:rsidRPr="00FD02DE">
        <w:rPr>
          <w:rFonts w:cstheme="minorHAnsi"/>
          <w:spacing w:val="-1"/>
        </w:rPr>
        <w:t>er</w:t>
      </w:r>
      <w:r w:rsidRPr="00FD02DE">
        <w:rPr>
          <w:rFonts w:cstheme="minorHAnsi"/>
        </w:rPr>
        <w:t>s</w:t>
      </w:r>
      <w:r w:rsidRPr="00FD02DE">
        <w:rPr>
          <w:rFonts w:cstheme="minorHAnsi"/>
          <w:spacing w:val="55"/>
        </w:rPr>
        <w:t xml:space="preserve"> </w:t>
      </w:r>
      <w:r w:rsidRPr="00FD02DE">
        <w:rPr>
          <w:rFonts w:cstheme="minorHAnsi"/>
        </w:rPr>
        <w:t>of</w:t>
      </w:r>
      <w:r w:rsidRPr="00FD02DE">
        <w:rPr>
          <w:rFonts w:cstheme="minorHAnsi"/>
          <w:spacing w:val="57"/>
        </w:rPr>
        <w:t xml:space="preserve"> </w:t>
      </w:r>
      <w:r w:rsidRPr="00FD02DE">
        <w:rPr>
          <w:rFonts w:cstheme="minorHAnsi"/>
        </w:rPr>
        <w:t>the Panel.</w:t>
      </w:r>
    </w:p>
    <w:p w14:paraId="16C88A36" w14:textId="77777777" w:rsidR="00272EB4" w:rsidRPr="00FD02DE" w:rsidRDefault="00272EB4" w:rsidP="00272EB4">
      <w:pPr>
        <w:pStyle w:val="ListParagraph"/>
        <w:numPr>
          <w:ilvl w:val="0"/>
          <w:numId w:val="339"/>
        </w:numPr>
        <w:spacing w:line="240" w:lineRule="auto"/>
        <w:ind w:left="426" w:hanging="426"/>
        <w:jc w:val="both"/>
        <w:rPr>
          <w:rFonts w:cstheme="minorHAnsi"/>
        </w:rPr>
      </w:pPr>
      <w:r w:rsidRPr="00FD02DE">
        <w:rPr>
          <w:rFonts w:cstheme="minorHAnsi"/>
        </w:rPr>
        <w:t>All</w:t>
      </w:r>
      <w:r w:rsidRPr="00FD02DE">
        <w:rPr>
          <w:rFonts w:cstheme="minorHAnsi"/>
          <w:spacing w:val="17"/>
        </w:rPr>
        <w:t xml:space="preserve"> </w:t>
      </w:r>
      <w:r w:rsidRPr="00FD02DE">
        <w:rPr>
          <w:rFonts w:cstheme="minorHAnsi"/>
        </w:rPr>
        <w:t>Panel</w:t>
      </w:r>
      <w:r w:rsidRPr="00FD02DE">
        <w:rPr>
          <w:rFonts w:cstheme="minorHAnsi"/>
          <w:spacing w:val="18"/>
        </w:rPr>
        <w:t xml:space="preserve"> </w:t>
      </w:r>
      <w:r w:rsidRPr="00FD02DE">
        <w:rPr>
          <w:rFonts w:cstheme="minorHAnsi"/>
        </w:rPr>
        <w:t>m</w:t>
      </w:r>
      <w:r w:rsidRPr="00FD02DE">
        <w:rPr>
          <w:rFonts w:cstheme="minorHAnsi"/>
          <w:spacing w:val="-1"/>
        </w:rPr>
        <w:t>e</w:t>
      </w:r>
      <w:r w:rsidRPr="00FD02DE">
        <w:rPr>
          <w:rFonts w:cstheme="minorHAnsi"/>
        </w:rPr>
        <w:t>m</w:t>
      </w:r>
      <w:r w:rsidRPr="00FD02DE">
        <w:rPr>
          <w:rFonts w:cstheme="minorHAnsi"/>
          <w:spacing w:val="-1"/>
        </w:rPr>
        <w:t>b</w:t>
      </w:r>
      <w:r w:rsidRPr="00FD02DE">
        <w:rPr>
          <w:rFonts w:cstheme="minorHAnsi"/>
        </w:rPr>
        <w:t>e</w:t>
      </w:r>
      <w:r w:rsidRPr="00FD02DE">
        <w:rPr>
          <w:rFonts w:cstheme="minorHAnsi"/>
          <w:spacing w:val="-1"/>
        </w:rPr>
        <w:t>r</w:t>
      </w:r>
      <w:r w:rsidRPr="00FD02DE">
        <w:rPr>
          <w:rFonts w:cstheme="minorHAnsi"/>
        </w:rPr>
        <w:t>s</w:t>
      </w:r>
      <w:r w:rsidRPr="00FD02DE">
        <w:rPr>
          <w:rFonts w:cstheme="minorHAnsi"/>
          <w:spacing w:val="17"/>
        </w:rPr>
        <w:t xml:space="preserve"> </w:t>
      </w:r>
      <w:r w:rsidRPr="00FD02DE">
        <w:rPr>
          <w:rFonts w:cstheme="minorHAnsi"/>
        </w:rPr>
        <w:t>s</w:t>
      </w:r>
      <w:r w:rsidRPr="00FD02DE">
        <w:rPr>
          <w:rFonts w:cstheme="minorHAnsi"/>
          <w:spacing w:val="-1"/>
        </w:rPr>
        <w:t>h</w:t>
      </w:r>
      <w:r w:rsidRPr="00FD02DE">
        <w:rPr>
          <w:rFonts w:cstheme="minorHAnsi"/>
        </w:rPr>
        <w:t>all</w:t>
      </w:r>
      <w:r w:rsidRPr="00FD02DE">
        <w:rPr>
          <w:rFonts w:cstheme="minorHAnsi"/>
          <w:spacing w:val="15"/>
        </w:rPr>
        <w:t xml:space="preserve"> </w:t>
      </w:r>
      <w:r w:rsidRPr="00FD02DE">
        <w:rPr>
          <w:rFonts w:cstheme="minorHAnsi"/>
          <w:spacing w:val="-1"/>
        </w:rPr>
        <w:t>b</w:t>
      </w:r>
      <w:r w:rsidRPr="00FD02DE">
        <w:rPr>
          <w:rFonts w:cstheme="minorHAnsi"/>
        </w:rPr>
        <w:t>e</w:t>
      </w:r>
      <w:r w:rsidRPr="00FD02DE">
        <w:rPr>
          <w:rFonts w:cstheme="minorHAnsi"/>
          <w:spacing w:val="17"/>
        </w:rPr>
        <w:t xml:space="preserve"> </w:t>
      </w:r>
      <w:r w:rsidRPr="00FD02DE">
        <w:rPr>
          <w:rFonts w:cstheme="minorHAnsi"/>
          <w:spacing w:val="-1"/>
        </w:rPr>
        <w:t>requ</w:t>
      </w:r>
      <w:r w:rsidRPr="00FD02DE">
        <w:rPr>
          <w:rFonts w:cstheme="minorHAnsi"/>
          <w:spacing w:val="2"/>
        </w:rPr>
        <w:t>i</w:t>
      </w:r>
      <w:r w:rsidRPr="00FD02DE">
        <w:rPr>
          <w:rFonts w:cstheme="minorHAnsi"/>
          <w:spacing w:val="-1"/>
        </w:rPr>
        <w:t>re</w:t>
      </w:r>
      <w:r w:rsidRPr="00FD02DE">
        <w:rPr>
          <w:rFonts w:cstheme="minorHAnsi"/>
        </w:rPr>
        <w:t>d</w:t>
      </w:r>
      <w:r w:rsidRPr="00FD02DE">
        <w:rPr>
          <w:rFonts w:cstheme="minorHAnsi"/>
          <w:spacing w:val="17"/>
        </w:rPr>
        <w:t xml:space="preserve"> </w:t>
      </w:r>
      <w:r w:rsidRPr="00FD02DE">
        <w:rPr>
          <w:rFonts w:cstheme="minorHAnsi"/>
        </w:rPr>
        <w:t>to</w:t>
      </w:r>
      <w:r w:rsidRPr="00FD02DE">
        <w:rPr>
          <w:rFonts w:cstheme="minorHAnsi"/>
          <w:spacing w:val="17"/>
        </w:rPr>
        <w:t xml:space="preserve"> </w:t>
      </w:r>
      <w:r w:rsidRPr="00FD02DE">
        <w:rPr>
          <w:rFonts w:cstheme="minorHAnsi"/>
          <w:spacing w:val="-1"/>
        </w:rPr>
        <w:t>d</w:t>
      </w:r>
      <w:r w:rsidRPr="00FD02DE">
        <w:rPr>
          <w:rFonts w:cstheme="minorHAnsi"/>
        </w:rPr>
        <w:t>e</w:t>
      </w:r>
      <w:r w:rsidRPr="00FD02DE">
        <w:rPr>
          <w:rFonts w:cstheme="minorHAnsi"/>
          <w:spacing w:val="-1"/>
        </w:rPr>
        <w:t>c</w:t>
      </w:r>
      <w:r w:rsidRPr="00FD02DE">
        <w:rPr>
          <w:rFonts w:cstheme="minorHAnsi"/>
        </w:rPr>
        <w:t>l</w:t>
      </w:r>
      <w:r w:rsidRPr="00FD02DE">
        <w:rPr>
          <w:rFonts w:cstheme="minorHAnsi"/>
          <w:spacing w:val="1"/>
        </w:rPr>
        <w:t>a</w:t>
      </w:r>
      <w:r w:rsidRPr="00FD02DE">
        <w:rPr>
          <w:rFonts w:cstheme="minorHAnsi"/>
          <w:spacing w:val="-1"/>
        </w:rPr>
        <w:t>r</w:t>
      </w:r>
      <w:r w:rsidRPr="00FD02DE">
        <w:rPr>
          <w:rFonts w:cstheme="minorHAnsi"/>
        </w:rPr>
        <w:t>e</w:t>
      </w:r>
      <w:r w:rsidRPr="00FD02DE">
        <w:rPr>
          <w:rFonts w:cstheme="minorHAnsi"/>
          <w:spacing w:val="16"/>
        </w:rPr>
        <w:t xml:space="preserve"> </w:t>
      </w:r>
      <w:r w:rsidRPr="00FD02DE">
        <w:rPr>
          <w:rFonts w:cstheme="minorHAnsi"/>
          <w:spacing w:val="-1"/>
        </w:rPr>
        <w:t>a</w:t>
      </w:r>
      <w:r w:rsidRPr="00FD02DE">
        <w:rPr>
          <w:rFonts w:cstheme="minorHAnsi"/>
          <w:spacing w:val="2"/>
        </w:rPr>
        <w:t>n</w:t>
      </w:r>
      <w:r w:rsidRPr="00FD02DE">
        <w:rPr>
          <w:rFonts w:cstheme="minorHAnsi"/>
        </w:rPr>
        <w:t>y</w:t>
      </w:r>
      <w:r w:rsidRPr="00FD02DE">
        <w:rPr>
          <w:rFonts w:cstheme="minorHAnsi"/>
          <w:spacing w:val="14"/>
        </w:rPr>
        <w:t xml:space="preserve"> </w:t>
      </w:r>
      <w:r w:rsidRPr="00FD02DE">
        <w:rPr>
          <w:rFonts w:cstheme="minorHAnsi"/>
          <w:spacing w:val="-1"/>
        </w:rPr>
        <w:t>con</w:t>
      </w:r>
      <w:r w:rsidRPr="00FD02DE">
        <w:rPr>
          <w:rFonts w:cstheme="minorHAnsi"/>
          <w:spacing w:val="1"/>
        </w:rPr>
        <w:t>f</w:t>
      </w:r>
      <w:r w:rsidRPr="00FD02DE">
        <w:rPr>
          <w:rFonts w:cstheme="minorHAnsi"/>
        </w:rPr>
        <w:t>li</w:t>
      </w:r>
      <w:r w:rsidRPr="00FD02DE">
        <w:rPr>
          <w:rFonts w:cstheme="minorHAnsi"/>
          <w:spacing w:val="-1"/>
        </w:rPr>
        <w:t>c</w:t>
      </w:r>
      <w:r w:rsidRPr="00FD02DE">
        <w:rPr>
          <w:rFonts w:cstheme="minorHAnsi"/>
        </w:rPr>
        <w:t>ts</w:t>
      </w:r>
      <w:r w:rsidRPr="00FD02DE">
        <w:rPr>
          <w:rFonts w:cstheme="minorHAnsi"/>
          <w:spacing w:val="17"/>
        </w:rPr>
        <w:t xml:space="preserve"> </w:t>
      </w:r>
      <w:r w:rsidRPr="00FD02DE">
        <w:rPr>
          <w:rFonts w:cstheme="minorHAnsi"/>
          <w:spacing w:val="-1"/>
        </w:rPr>
        <w:t xml:space="preserve">of </w:t>
      </w:r>
      <w:r w:rsidRPr="00FD02DE">
        <w:rPr>
          <w:rFonts w:cstheme="minorHAnsi"/>
        </w:rPr>
        <w:t>int</w:t>
      </w:r>
      <w:r w:rsidRPr="00FD02DE">
        <w:rPr>
          <w:rFonts w:cstheme="minorHAnsi"/>
          <w:spacing w:val="-1"/>
        </w:rPr>
        <w:t>ere</w:t>
      </w:r>
      <w:r w:rsidRPr="00FD02DE">
        <w:rPr>
          <w:rFonts w:cstheme="minorHAnsi"/>
        </w:rPr>
        <w:t>st in m</w:t>
      </w:r>
      <w:r w:rsidRPr="00FD02DE">
        <w:rPr>
          <w:rFonts w:cstheme="minorHAnsi"/>
          <w:spacing w:val="-1"/>
        </w:rPr>
        <w:t>a</w:t>
      </w:r>
      <w:r w:rsidRPr="00FD02DE">
        <w:rPr>
          <w:rFonts w:cstheme="minorHAnsi"/>
        </w:rPr>
        <w:t>tt</w:t>
      </w:r>
      <w:r w:rsidRPr="00FD02DE">
        <w:rPr>
          <w:rFonts w:cstheme="minorHAnsi"/>
          <w:spacing w:val="-1"/>
        </w:rPr>
        <w:t>er</w:t>
      </w:r>
      <w:r w:rsidRPr="00FD02DE">
        <w:rPr>
          <w:rFonts w:cstheme="minorHAnsi"/>
        </w:rPr>
        <w:t>s b</w:t>
      </w:r>
      <w:r w:rsidRPr="00FD02DE">
        <w:rPr>
          <w:rFonts w:cstheme="minorHAnsi"/>
          <w:spacing w:val="-1"/>
        </w:rPr>
        <w:t>e</w:t>
      </w:r>
      <w:r w:rsidRPr="00FD02DE">
        <w:rPr>
          <w:rFonts w:cstheme="minorHAnsi"/>
        </w:rPr>
        <w:t>i</w:t>
      </w:r>
      <w:r w:rsidRPr="00FD02DE">
        <w:rPr>
          <w:rFonts w:cstheme="minorHAnsi"/>
          <w:spacing w:val="2"/>
        </w:rPr>
        <w:t>n</w:t>
      </w:r>
      <w:r w:rsidRPr="00FD02DE">
        <w:rPr>
          <w:rFonts w:cstheme="minorHAnsi"/>
        </w:rPr>
        <w:t>g considered.</w:t>
      </w:r>
    </w:p>
    <w:p w14:paraId="266AEA49" w14:textId="77777777" w:rsidR="00272EB4" w:rsidRPr="00FD02DE" w:rsidRDefault="00272EB4" w:rsidP="00272EB4">
      <w:pPr>
        <w:pStyle w:val="ListParagraph"/>
        <w:numPr>
          <w:ilvl w:val="0"/>
          <w:numId w:val="339"/>
        </w:numPr>
        <w:spacing w:line="240" w:lineRule="auto"/>
        <w:ind w:left="426" w:hanging="426"/>
        <w:jc w:val="both"/>
        <w:rPr>
          <w:rFonts w:cstheme="minorHAnsi"/>
        </w:rPr>
      </w:pPr>
      <w:r w:rsidRPr="00FD02DE">
        <w:rPr>
          <w:rFonts w:cstheme="minorHAnsi"/>
        </w:rPr>
        <w:t>A</w:t>
      </w:r>
      <w:r w:rsidRPr="00FD02DE">
        <w:rPr>
          <w:rFonts w:cstheme="minorHAnsi"/>
          <w:spacing w:val="5"/>
        </w:rPr>
        <w:t xml:space="preserve"> </w:t>
      </w:r>
      <w:r w:rsidRPr="00FD02DE">
        <w:rPr>
          <w:rFonts w:cstheme="minorHAnsi"/>
          <w:spacing w:val="-1"/>
        </w:rPr>
        <w:t>c</w:t>
      </w:r>
      <w:r w:rsidRPr="00FD02DE">
        <w:rPr>
          <w:rFonts w:cstheme="minorHAnsi"/>
        </w:rPr>
        <w:t>o</w:t>
      </w:r>
      <w:r w:rsidRPr="00FD02DE">
        <w:rPr>
          <w:rFonts w:cstheme="minorHAnsi"/>
          <w:spacing w:val="5"/>
        </w:rPr>
        <w:t>p</w:t>
      </w:r>
      <w:r w:rsidRPr="00FD02DE">
        <w:rPr>
          <w:rFonts w:cstheme="minorHAnsi"/>
        </w:rPr>
        <w:t>y of</w:t>
      </w:r>
      <w:r w:rsidRPr="00FD02DE">
        <w:rPr>
          <w:rFonts w:cstheme="minorHAnsi"/>
          <w:spacing w:val="4"/>
        </w:rPr>
        <w:t xml:space="preserve"> </w:t>
      </w:r>
      <w:r w:rsidRPr="00FD02DE">
        <w:rPr>
          <w:rFonts w:cstheme="minorHAnsi"/>
        </w:rPr>
        <w:t>the</w:t>
      </w:r>
      <w:r w:rsidRPr="00FD02DE">
        <w:rPr>
          <w:rFonts w:cstheme="minorHAnsi"/>
          <w:spacing w:val="4"/>
        </w:rPr>
        <w:t xml:space="preserve"> </w:t>
      </w:r>
      <w:r w:rsidRPr="00FD02DE">
        <w:rPr>
          <w:rFonts w:cstheme="minorHAnsi"/>
          <w:spacing w:val="1"/>
        </w:rPr>
        <w:t>Town</w:t>
      </w:r>
      <w:r w:rsidRPr="00FD02DE">
        <w:rPr>
          <w:rFonts w:cstheme="minorHAnsi"/>
          <w:spacing w:val="-1"/>
        </w:rPr>
        <w:t>’</w:t>
      </w:r>
      <w:r w:rsidRPr="00FD02DE">
        <w:rPr>
          <w:rFonts w:cstheme="minorHAnsi"/>
        </w:rPr>
        <w:t>s</w:t>
      </w:r>
      <w:r w:rsidRPr="00FD02DE">
        <w:rPr>
          <w:rFonts w:cstheme="minorHAnsi"/>
          <w:spacing w:val="5"/>
        </w:rPr>
        <w:t xml:space="preserve"> </w:t>
      </w:r>
      <w:r w:rsidRPr="00FD02DE">
        <w:rPr>
          <w:rFonts w:cstheme="minorHAnsi"/>
          <w:spacing w:val="1"/>
        </w:rPr>
        <w:t>C</w:t>
      </w:r>
      <w:r w:rsidRPr="00FD02DE">
        <w:rPr>
          <w:rFonts w:cstheme="minorHAnsi"/>
          <w:spacing w:val="2"/>
        </w:rPr>
        <w:t>o</w:t>
      </w:r>
      <w:r w:rsidRPr="00FD02DE">
        <w:rPr>
          <w:rFonts w:cstheme="minorHAnsi"/>
        </w:rPr>
        <w:t>de</w:t>
      </w:r>
      <w:r w:rsidRPr="00FD02DE">
        <w:rPr>
          <w:rFonts w:cstheme="minorHAnsi"/>
          <w:spacing w:val="4"/>
        </w:rPr>
        <w:t xml:space="preserve"> </w:t>
      </w:r>
      <w:r w:rsidRPr="00FD02DE">
        <w:rPr>
          <w:rFonts w:cstheme="minorHAnsi"/>
        </w:rPr>
        <w:t>of</w:t>
      </w:r>
      <w:r w:rsidRPr="00FD02DE">
        <w:rPr>
          <w:rFonts w:cstheme="minorHAnsi"/>
          <w:spacing w:val="4"/>
        </w:rPr>
        <w:t xml:space="preserve"> </w:t>
      </w:r>
      <w:r w:rsidRPr="00FD02DE">
        <w:rPr>
          <w:rFonts w:cstheme="minorHAnsi"/>
          <w:spacing w:val="1"/>
        </w:rPr>
        <w:t>C</w:t>
      </w:r>
      <w:r w:rsidRPr="00FD02DE">
        <w:rPr>
          <w:rFonts w:cstheme="minorHAnsi"/>
        </w:rPr>
        <w:t>ondu</w:t>
      </w:r>
      <w:r w:rsidRPr="00FD02DE">
        <w:rPr>
          <w:rFonts w:cstheme="minorHAnsi"/>
          <w:spacing w:val="-1"/>
        </w:rPr>
        <w:t>c</w:t>
      </w:r>
      <w:r w:rsidRPr="00FD02DE">
        <w:rPr>
          <w:rFonts w:cstheme="minorHAnsi"/>
        </w:rPr>
        <w:t>t</w:t>
      </w:r>
      <w:r w:rsidRPr="00FD02DE">
        <w:rPr>
          <w:rFonts w:cstheme="minorHAnsi"/>
          <w:spacing w:val="5"/>
        </w:rPr>
        <w:t xml:space="preserve"> </w:t>
      </w:r>
      <w:r w:rsidRPr="00FD02DE">
        <w:rPr>
          <w:rFonts w:cstheme="minorHAnsi"/>
        </w:rPr>
        <w:t>will</w:t>
      </w:r>
      <w:r w:rsidRPr="00FD02DE">
        <w:rPr>
          <w:rFonts w:cstheme="minorHAnsi"/>
          <w:spacing w:val="5"/>
        </w:rPr>
        <w:t xml:space="preserve"> </w:t>
      </w:r>
      <w:r w:rsidRPr="00FD02DE">
        <w:rPr>
          <w:rFonts w:cstheme="minorHAnsi"/>
        </w:rPr>
        <w:t>be</w:t>
      </w:r>
      <w:r w:rsidRPr="00FD02DE">
        <w:rPr>
          <w:rFonts w:cstheme="minorHAnsi"/>
          <w:spacing w:val="4"/>
        </w:rPr>
        <w:t xml:space="preserve"> </w:t>
      </w:r>
      <w:r w:rsidRPr="00FD02DE">
        <w:rPr>
          <w:rFonts w:cstheme="minorHAnsi"/>
        </w:rPr>
        <w:t>p</w:t>
      </w:r>
      <w:r w:rsidRPr="00FD02DE">
        <w:rPr>
          <w:rFonts w:cstheme="minorHAnsi"/>
          <w:spacing w:val="2"/>
        </w:rPr>
        <w:t>r</w:t>
      </w:r>
      <w:r w:rsidRPr="00FD02DE">
        <w:rPr>
          <w:rFonts w:cstheme="minorHAnsi"/>
        </w:rPr>
        <w:t>ovid</w:t>
      </w:r>
      <w:r w:rsidRPr="00FD02DE">
        <w:rPr>
          <w:rFonts w:cstheme="minorHAnsi"/>
          <w:spacing w:val="-1"/>
        </w:rPr>
        <w:t>e</w:t>
      </w:r>
      <w:r w:rsidRPr="00FD02DE">
        <w:rPr>
          <w:rFonts w:cstheme="minorHAnsi"/>
        </w:rPr>
        <w:t>d</w:t>
      </w:r>
      <w:r w:rsidRPr="00FD02DE">
        <w:rPr>
          <w:rFonts w:cstheme="minorHAnsi"/>
          <w:spacing w:val="5"/>
        </w:rPr>
        <w:t xml:space="preserve"> </w:t>
      </w:r>
      <w:r w:rsidRPr="00FD02DE">
        <w:rPr>
          <w:rFonts w:cstheme="minorHAnsi"/>
        </w:rPr>
        <w:t>to</w:t>
      </w:r>
      <w:r w:rsidRPr="00FD02DE">
        <w:rPr>
          <w:rFonts w:cstheme="minorHAnsi"/>
          <w:spacing w:val="5"/>
        </w:rPr>
        <w:t xml:space="preserve"> </w:t>
      </w:r>
      <w:r w:rsidRPr="00FD02DE">
        <w:rPr>
          <w:rFonts w:cstheme="minorHAnsi"/>
          <w:spacing w:val="-1"/>
        </w:rPr>
        <w:t>eac</w:t>
      </w:r>
      <w:r w:rsidRPr="00FD02DE">
        <w:rPr>
          <w:rFonts w:cstheme="minorHAnsi"/>
        </w:rPr>
        <w:t>h m</w:t>
      </w:r>
      <w:r w:rsidRPr="00FD02DE">
        <w:rPr>
          <w:rFonts w:cstheme="minorHAnsi"/>
          <w:spacing w:val="-1"/>
        </w:rPr>
        <w:t>e</w:t>
      </w:r>
      <w:r w:rsidRPr="00FD02DE">
        <w:rPr>
          <w:rFonts w:cstheme="minorHAnsi"/>
        </w:rPr>
        <w:t>mb</w:t>
      </w:r>
      <w:r w:rsidRPr="00FD02DE">
        <w:rPr>
          <w:rFonts w:cstheme="minorHAnsi"/>
          <w:spacing w:val="-1"/>
        </w:rPr>
        <w:t>e</w:t>
      </w:r>
      <w:r w:rsidRPr="00FD02DE">
        <w:rPr>
          <w:rFonts w:cstheme="minorHAnsi"/>
        </w:rPr>
        <w:t>r</w:t>
      </w:r>
      <w:r w:rsidRPr="00FD02DE">
        <w:rPr>
          <w:rFonts w:cstheme="minorHAnsi"/>
          <w:spacing w:val="-1"/>
        </w:rPr>
        <w:t xml:space="preserve"> </w:t>
      </w:r>
      <w:r w:rsidRPr="00FD02DE">
        <w:rPr>
          <w:rFonts w:cstheme="minorHAnsi"/>
        </w:rPr>
        <w:t>upon th</w:t>
      </w:r>
      <w:r w:rsidRPr="00FD02DE">
        <w:rPr>
          <w:rFonts w:cstheme="minorHAnsi"/>
          <w:spacing w:val="-1"/>
        </w:rPr>
        <w:t>e</w:t>
      </w:r>
      <w:r w:rsidRPr="00FD02DE">
        <w:rPr>
          <w:rFonts w:cstheme="minorHAnsi"/>
        </w:rPr>
        <w:t>ir</w:t>
      </w:r>
      <w:r w:rsidRPr="00FD02DE">
        <w:rPr>
          <w:rFonts w:cstheme="minorHAnsi"/>
          <w:spacing w:val="-1"/>
        </w:rPr>
        <w:t xml:space="preserve"> a</w:t>
      </w:r>
      <w:r w:rsidRPr="00FD02DE">
        <w:rPr>
          <w:rFonts w:cstheme="minorHAnsi"/>
        </w:rPr>
        <w:t>ppo</w:t>
      </w:r>
      <w:r w:rsidRPr="00FD02DE">
        <w:rPr>
          <w:rFonts w:cstheme="minorHAnsi"/>
          <w:spacing w:val="3"/>
        </w:rPr>
        <w:t>i</w:t>
      </w:r>
      <w:r w:rsidRPr="00FD02DE">
        <w:rPr>
          <w:rFonts w:cstheme="minorHAnsi"/>
        </w:rPr>
        <w:t>ntm</w:t>
      </w:r>
      <w:r w:rsidRPr="00FD02DE">
        <w:rPr>
          <w:rFonts w:cstheme="minorHAnsi"/>
          <w:spacing w:val="-1"/>
        </w:rPr>
        <w:t>e</w:t>
      </w:r>
      <w:r w:rsidRPr="00FD02DE">
        <w:rPr>
          <w:rFonts w:cstheme="minorHAnsi"/>
        </w:rPr>
        <w:t>nt.</w:t>
      </w:r>
    </w:p>
    <w:p w14:paraId="6EAAB83D" w14:textId="77777777" w:rsidR="00272EB4" w:rsidRPr="00FD02DE" w:rsidRDefault="00272EB4" w:rsidP="00272EB4">
      <w:pPr>
        <w:pStyle w:val="ListParagraph"/>
        <w:numPr>
          <w:ilvl w:val="0"/>
          <w:numId w:val="339"/>
        </w:numPr>
        <w:spacing w:after="0" w:line="240" w:lineRule="auto"/>
        <w:ind w:left="426" w:hanging="426"/>
        <w:jc w:val="both"/>
        <w:rPr>
          <w:rFonts w:cstheme="minorHAnsi"/>
        </w:rPr>
      </w:pPr>
      <w:r w:rsidRPr="00FD02DE">
        <w:rPr>
          <w:rFonts w:cstheme="minorHAnsi"/>
        </w:rPr>
        <w:t>T</w:t>
      </w:r>
      <w:r w:rsidRPr="00FD02DE">
        <w:rPr>
          <w:rFonts w:cstheme="minorHAnsi"/>
          <w:spacing w:val="-5"/>
        </w:rPr>
        <w:t>h</w:t>
      </w:r>
      <w:r w:rsidRPr="00FD02DE">
        <w:rPr>
          <w:rFonts w:cstheme="minorHAnsi"/>
        </w:rPr>
        <w:t>e</w:t>
      </w:r>
      <w:r w:rsidRPr="00FD02DE">
        <w:rPr>
          <w:rFonts w:cstheme="minorHAnsi"/>
          <w:spacing w:val="28"/>
        </w:rPr>
        <w:t xml:space="preserve"> </w:t>
      </w:r>
      <w:r w:rsidRPr="00FD02DE">
        <w:rPr>
          <w:rFonts w:cstheme="minorHAnsi"/>
          <w:spacing w:val="1"/>
        </w:rPr>
        <w:t>Town</w:t>
      </w:r>
      <w:r w:rsidRPr="00FD02DE">
        <w:rPr>
          <w:rFonts w:cstheme="minorHAnsi"/>
          <w:spacing w:val="-1"/>
        </w:rPr>
        <w:t>’</w:t>
      </w:r>
      <w:r w:rsidRPr="00FD02DE">
        <w:rPr>
          <w:rFonts w:cstheme="minorHAnsi"/>
        </w:rPr>
        <w:t>s</w:t>
      </w:r>
      <w:r w:rsidRPr="00FD02DE">
        <w:rPr>
          <w:rFonts w:cstheme="minorHAnsi"/>
          <w:spacing w:val="24"/>
        </w:rPr>
        <w:t xml:space="preserve"> </w:t>
      </w:r>
      <w:r w:rsidRPr="00FD02DE">
        <w:rPr>
          <w:rFonts w:cstheme="minorHAnsi"/>
          <w:spacing w:val="1"/>
        </w:rPr>
        <w:t>C</w:t>
      </w:r>
      <w:r w:rsidRPr="00FD02DE">
        <w:rPr>
          <w:rFonts w:cstheme="minorHAnsi"/>
          <w:spacing w:val="-1"/>
        </w:rPr>
        <w:t>h</w:t>
      </w:r>
      <w:r w:rsidRPr="00FD02DE">
        <w:rPr>
          <w:rFonts w:cstheme="minorHAnsi"/>
          <w:spacing w:val="1"/>
        </w:rPr>
        <w:t>i</w:t>
      </w:r>
      <w:r w:rsidRPr="00FD02DE">
        <w:rPr>
          <w:rFonts w:cstheme="minorHAnsi"/>
          <w:spacing w:val="-1"/>
        </w:rPr>
        <w:t>e</w:t>
      </w:r>
      <w:r w:rsidRPr="00FD02DE">
        <w:rPr>
          <w:rFonts w:cstheme="minorHAnsi"/>
        </w:rPr>
        <w:t>f</w:t>
      </w:r>
      <w:r w:rsidRPr="00FD02DE">
        <w:rPr>
          <w:rFonts w:cstheme="minorHAnsi"/>
          <w:spacing w:val="23"/>
        </w:rPr>
        <w:t xml:space="preserve"> </w:t>
      </w:r>
      <w:r w:rsidRPr="00FD02DE">
        <w:rPr>
          <w:rFonts w:cstheme="minorHAnsi"/>
        </w:rPr>
        <w:t>E</w:t>
      </w:r>
      <w:r w:rsidRPr="00FD02DE">
        <w:rPr>
          <w:rFonts w:cstheme="minorHAnsi"/>
          <w:spacing w:val="2"/>
        </w:rPr>
        <w:t>x</w:t>
      </w:r>
      <w:r w:rsidRPr="00FD02DE">
        <w:rPr>
          <w:rFonts w:cstheme="minorHAnsi"/>
          <w:spacing w:val="-1"/>
        </w:rPr>
        <w:t>ecu</w:t>
      </w:r>
      <w:r w:rsidRPr="00FD02DE">
        <w:rPr>
          <w:rFonts w:cstheme="minorHAnsi"/>
          <w:spacing w:val="1"/>
        </w:rPr>
        <w:t>t</w:t>
      </w:r>
      <w:r w:rsidRPr="00FD02DE">
        <w:rPr>
          <w:rFonts w:cstheme="minorHAnsi"/>
        </w:rPr>
        <w:t>i</w:t>
      </w:r>
      <w:r w:rsidRPr="00FD02DE">
        <w:rPr>
          <w:rFonts w:cstheme="minorHAnsi"/>
          <w:spacing w:val="-1"/>
        </w:rPr>
        <w:t>v</w:t>
      </w:r>
      <w:r w:rsidRPr="00FD02DE">
        <w:rPr>
          <w:rFonts w:cstheme="minorHAnsi"/>
        </w:rPr>
        <w:t>e</w:t>
      </w:r>
      <w:r w:rsidRPr="00FD02DE">
        <w:rPr>
          <w:rFonts w:cstheme="minorHAnsi"/>
          <w:spacing w:val="24"/>
        </w:rPr>
        <w:t xml:space="preserve"> </w:t>
      </w:r>
      <w:r w:rsidRPr="00FD02DE">
        <w:rPr>
          <w:rFonts w:cstheme="minorHAnsi"/>
        </w:rPr>
        <w:t>O</w:t>
      </w:r>
      <w:r w:rsidRPr="00FD02DE">
        <w:rPr>
          <w:rFonts w:cstheme="minorHAnsi"/>
          <w:spacing w:val="-1"/>
        </w:rPr>
        <w:t>ff</w:t>
      </w:r>
      <w:r w:rsidRPr="00FD02DE">
        <w:rPr>
          <w:rFonts w:cstheme="minorHAnsi"/>
        </w:rPr>
        <w:t>i</w:t>
      </w:r>
      <w:r w:rsidRPr="00FD02DE">
        <w:rPr>
          <w:rFonts w:cstheme="minorHAnsi"/>
          <w:spacing w:val="-1"/>
        </w:rPr>
        <w:t>ce</w:t>
      </w:r>
      <w:r w:rsidRPr="00FD02DE">
        <w:rPr>
          <w:rFonts w:cstheme="minorHAnsi"/>
        </w:rPr>
        <w:t>r</w:t>
      </w:r>
      <w:r w:rsidRPr="00FD02DE">
        <w:rPr>
          <w:rFonts w:cstheme="minorHAnsi"/>
          <w:spacing w:val="23"/>
        </w:rPr>
        <w:t xml:space="preserve"> </w:t>
      </w:r>
      <w:r w:rsidRPr="00FD02DE">
        <w:rPr>
          <w:rFonts w:cstheme="minorHAnsi"/>
        </w:rPr>
        <w:t>is</w:t>
      </w:r>
      <w:r w:rsidRPr="00FD02DE">
        <w:rPr>
          <w:rFonts w:cstheme="minorHAnsi"/>
          <w:spacing w:val="24"/>
        </w:rPr>
        <w:t xml:space="preserve"> </w:t>
      </w:r>
      <w:r w:rsidRPr="00FD02DE">
        <w:rPr>
          <w:rFonts w:cstheme="minorHAnsi"/>
          <w:spacing w:val="-1"/>
        </w:rPr>
        <w:t>av</w:t>
      </w:r>
      <w:r w:rsidRPr="00FD02DE">
        <w:rPr>
          <w:rFonts w:cstheme="minorHAnsi"/>
        </w:rPr>
        <w:t>ail</w:t>
      </w:r>
      <w:r w:rsidRPr="00FD02DE">
        <w:rPr>
          <w:rFonts w:cstheme="minorHAnsi"/>
          <w:spacing w:val="-1"/>
        </w:rPr>
        <w:t>ab</w:t>
      </w:r>
      <w:r w:rsidRPr="00FD02DE">
        <w:rPr>
          <w:rFonts w:cstheme="minorHAnsi"/>
          <w:spacing w:val="1"/>
        </w:rPr>
        <w:t>l</w:t>
      </w:r>
      <w:r w:rsidRPr="00FD02DE">
        <w:rPr>
          <w:rFonts w:cstheme="minorHAnsi"/>
        </w:rPr>
        <w:t>e</w:t>
      </w:r>
      <w:r w:rsidRPr="00FD02DE">
        <w:rPr>
          <w:rFonts w:cstheme="minorHAnsi"/>
          <w:spacing w:val="23"/>
        </w:rPr>
        <w:t xml:space="preserve"> </w:t>
      </w:r>
      <w:r w:rsidRPr="00FD02DE">
        <w:rPr>
          <w:rFonts w:cstheme="minorHAnsi"/>
          <w:spacing w:val="3"/>
        </w:rPr>
        <w:t>t</w:t>
      </w:r>
      <w:r w:rsidRPr="00FD02DE">
        <w:rPr>
          <w:rFonts w:cstheme="minorHAnsi"/>
        </w:rPr>
        <w:t>o</w:t>
      </w:r>
      <w:r w:rsidRPr="00FD02DE">
        <w:rPr>
          <w:rFonts w:cstheme="minorHAnsi"/>
          <w:spacing w:val="24"/>
        </w:rPr>
        <w:t xml:space="preserve"> </w:t>
      </w:r>
      <w:r w:rsidRPr="00FD02DE">
        <w:rPr>
          <w:rFonts w:cstheme="minorHAnsi"/>
        </w:rPr>
        <w:t>p</w:t>
      </w:r>
      <w:r w:rsidRPr="00FD02DE">
        <w:rPr>
          <w:rFonts w:cstheme="minorHAnsi"/>
          <w:spacing w:val="-1"/>
        </w:rPr>
        <w:t>r</w:t>
      </w:r>
      <w:r w:rsidRPr="00FD02DE">
        <w:rPr>
          <w:rFonts w:cstheme="minorHAnsi"/>
        </w:rPr>
        <w:t>ovide</w:t>
      </w:r>
      <w:r w:rsidRPr="00FD02DE">
        <w:rPr>
          <w:rFonts w:cstheme="minorHAnsi"/>
          <w:spacing w:val="23"/>
        </w:rPr>
        <w:t xml:space="preserve"> </w:t>
      </w:r>
      <w:r w:rsidRPr="00FD02DE">
        <w:rPr>
          <w:rFonts w:cstheme="minorHAnsi"/>
          <w:spacing w:val="-1"/>
        </w:rPr>
        <w:t>a</w:t>
      </w:r>
      <w:r w:rsidRPr="00FD02DE">
        <w:rPr>
          <w:rFonts w:cstheme="minorHAnsi"/>
          <w:spacing w:val="2"/>
        </w:rPr>
        <w:t>n</w:t>
      </w:r>
      <w:r w:rsidRPr="00FD02DE">
        <w:rPr>
          <w:rFonts w:cstheme="minorHAnsi"/>
        </w:rPr>
        <w:t xml:space="preserve">y </w:t>
      </w:r>
      <w:r w:rsidRPr="00FD02DE">
        <w:rPr>
          <w:rFonts w:cstheme="minorHAnsi"/>
          <w:spacing w:val="-1"/>
        </w:rPr>
        <w:t>a</w:t>
      </w:r>
      <w:r w:rsidRPr="00FD02DE">
        <w:rPr>
          <w:rFonts w:cstheme="minorHAnsi"/>
        </w:rPr>
        <w:t>ssist</w:t>
      </w:r>
      <w:r w:rsidRPr="00FD02DE">
        <w:rPr>
          <w:rFonts w:cstheme="minorHAnsi"/>
          <w:spacing w:val="-1"/>
        </w:rPr>
        <w:t>an</w:t>
      </w:r>
      <w:r w:rsidRPr="00FD02DE">
        <w:rPr>
          <w:rFonts w:cstheme="minorHAnsi"/>
        </w:rPr>
        <w:t>ce</w:t>
      </w:r>
      <w:r w:rsidRPr="00FD02DE">
        <w:rPr>
          <w:rFonts w:cstheme="minorHAnsi"/>
          <w:spacing w:val="33"/>
        </w:rPr>
        <w:t xml:space="preserve"> </w:t>
      </w:r>
      <w:r w:rsidRPr="00FD02DE">
        <w:rPr>
          <w:rFonts w:cstheme="minorHAnsi"/>
          <w:spacing w:val="-1"/>
        </w:rPr>
        <w:t>o</w:t>
      </w:r>
      <w:r w:rsidRPr="00FD02DE">
        <w:rPr>
          <w:rFonts w:cstheme="minorHAnsi"/>
        </w:rPr>
        <w:t>r</w:t>
      </w:r>
      <w:r w:rsidRPr="00FD02DE">
        <w:rPr>
          <w:rFonts w:cstheme="minorHAnsi"/>
          <w:spacing w:val="36"/>
        </w:rPr>
        <w:t xml:space="preserve"> </w:t>
      </w:r>
      <w:r w:rsidRPr="00FD02DE">
        <w:rPr>
          <w:rFonts w:cstheme="minorHAnsi"/>
          <w:spacing w:val="-2"/>
        </w:rPr>
        <w:t>g</w:t>
      </w:r>
      <w:r w:rsidRPr="00FD02DE">
        <w:rPr>
          <w:rFonts w:cstheme="minorHAnsi"/>
          <w:spacing w:val="-1"/>
        </w:rPr>
        <w:t>u</w:t>
      </w:r>
      <w:r w:rsidRPr="00FD02DE">
        <w:rPr>
          <w:rFonts w:cstheme="minorHAnsi"/>
          <w:spacing w:val="1"/>
        </w:rPr>
        <w:t>i</w:t>
      </w:r>
      <w:r w:rsidRPr="00FD02DE">
        <w:rPr>
          <w:rFonts w:cstheme="minorHAnsi"/>
          <w:spacing w:val="-1"/>
        </w:rPr>
        <w:t>d</w:t>
      </w:r>
      <w:r w:rsidRPr="00FD02DE">
        <w:rPr>
          <w:rFonts w:cstheme="minorHAnsi"/>
        </w:rPr>
        <w:t>a</w:t>
      </w:r>
      <w:r w:rsidRPr="00FD02DE">
        <w:rPr>
          <w:rFonts w:cstheme="minorHAnsi"/>
          <w:spacing w:val="2"/>
        </w:rPr>
        <w:t>n</w:t>
      </w:r>
      <w:r w:rsidRPr="00FD02DE">
        <w:rPr>
          <w:rFonts w:cstheme="minorHAnsi"/>
          <w:spacing w:val="-1"/>
        </w:rPr>
        <w:t>c</w:t>
      </w:r>
      <w:r w:rsidRPr="00FD02DE">
        <w:rPr>
          <w:rFonts w:cstheme="minorHAnsi"/>
        </w:rPr>
        <w:t>e</w:t>
      </w:r>
      <w:r w:rsidRPr="00FD02DE">
        <w:rPr>
          <w:rFonts w:cstheme="minorHAnsi"/>
          <w:spacing w:val="33"/>
        </w:rPr>
        <w:t xml:space="preserve"> </w:t>
      </w:r>
      <w:r w:rsidRPr="00FD02DE">
        <w:rPr>
          <w:rFonts w:cstheme="minorHAnsi"/>
          <w:spacing w:val="1"/>
        </w:rPr>
        <w:t>c</w:t>
      </w:r>
      <w:r w:rsidRPr="00FD02DE">
        <w:rPr>
          <w:rFonts w:cstheme="minorHAnsi"/>
          <w:spacing w:val="-1"/>
        </w:rPr>
        <w:t>on</w:t>
      </w:r>
      <w:r w:rsidRPr="00FD02DE">
        <w:rPr>
          <w:rFonts w:cstheme="minorHAnsi"/>
          <w:spacing w:val="1"/>
        </w:rPr>
        <w:t>c</w:t>
      </w:r>
      <w:r w:rsidRPr="00FD02DE">
        <w:rPr>
          <w:rFonts w:cstheme="minorHAnsi"/>
          <w:spacing w:val="-1"/>
        </w:rPr>
        <w:t>ern</w:t>
      </w:r>
      <w:r w:rsidRPr="00FD02DE">
        <w:rPr>
          <w:rFonts w:cstheme="minorHAnsi"/>
          <w:spacing w:val="1"/>
        </w:rPr>
        <w:t>i</w:t>
      </w:r>
      <w:r w:rsidRPr="00FD02DE">
        <w:rPr>
          <w:rFonts w:cstheme="minorHAnsi"/>
          <w:spacing w:val="2"/>
        </w:rPr>
        <w:t>n</w:t>
      </w:r>
      <w:r w:rsidRPr="00FD02DE">
        <w:rPr>
          <w:rFonts w:cstheme="minorHAnsi"/>
        </w:rPr>
        <w:t>g</w:t>
      </w:r>
      <w:r w:rsidRPr="00FD02DE">
        <w:rPr>
          <w:rFonts w:cstheme="minorHAnsi"/>
          <w:spacing w:val="31"/>
        </w:rPr>
        <w:t xml:space="preserve"> </w:t>
      </w:r>
      <w:r w:rsidRPr="00FD02DE">
        <w:rPr>
          <w:rFonts w:cstheme="minorHAnsi"/>
        </w:rPr>
        <w:t>t</w:t>
      </w:r>
      <w:r w:rsidRPr="00FD02DE">
        <w:rPr>
          <w:rFonts w:cstheme="minorHAnsi"/>
          <w:spacing w:val="-1"/>
        </w:rPr>
        <w:t>h</w:t>
      </w:r>
      <w:r w:rsidRPr="00FD02DE">
        <w:rPr>
          <w:rFonts w:cstheme="minorHAnsi"/>
        </w:rPr>
        <w:t>e</w:t>
      </w:r>
      <w:r w:rsidRPr="00FD02DE">
        <w:rPr>
          <w:rFonts w:cstheme="minorHAnsi"/>
          <w:spacing w:val="34"/>
        </w:rPr>
        <w:t xml:space="preserve"> </w:t>
      </w:r>
      <w:r w:rsidRPr="00FD02DE">
        <w:rPr>
          <w:rFonts w:cstheme="minorHAnsi"/>
          <w:spacing w:val="1"/>
        </w:rPr>
        <w:t>C</w:t>
      </w:r>
      <w:r w:rsidRPr="00FD02DE">
        <w:rPr>
          <w:rFonts w:cstheme="minorHAnsi"/>
          <w:spacing w:val="-1"/>
        </w:rPr>
        <w:t>od</w:t>
      </w:r>
      <w:r w:rsidRPr="00FD02DE">
        <w:rPr>
          <w:rFonts w:cstheme="minorHAnsi"/>
        </w:rPr>
        <w:t>e</w:t>
      </w:r>
      <w:r w:rsidRPr="00FD02DE">
        <w:rPr>
          <w:rFonts w:cstheme="minorHAnsi"/>
          <w:spacing w:val="35"/>
        </w:rPr>
        <w:t xml:space="preserve"> </w:t>
      </w:r>
      <w:r w:rsidRPr="00FD02DE">
        <w:rPr>
          <w:rFonts w:cstheme="minorHAnsi"/>
          <w:spacing w:val="-1"/>
        </w:rPr>
        <w:t>o</w:t>
      </w:r>
      <w:r w:rsidRPr="00FD02DE">
        <w:rPr>
          <w:rFonts w:cstheme="minorHAnsi"/>
        </w:rPr>
        <w:t>r</w:t>
      </w:r>
      <w:r w:rsidRPr="00FD02DE">
        <w:rPr>
          <w:rFonts w:cstheme="minorHAnsi"/>
          <w:spacing w:val="36"/>
        </w:rPr>
        <w:t xml:space="preserve"> </w:t>
      </w:r>
      <w:r w:rsidRPr="00FD02DE">
        <w:rPr>
          <w:rFonts w:cstheme="minorHAnsi"/>
          <w:spacing w:val="1"/>
        </w:rPr>
        <w:t>a</w:t>
      </w:r>
      <w:r w:rsidRPr="00FD02DE">
        <w:rPr>
          <w:rFonts w:cstheme="minorHAnsi"/>
          <w:spacing w:val="2"/>
        </w:rPr>
        <w:t>n</w:t>
      </w:r>
      <w:r w:rsidRPr="00FD02DE">
        <w:rPr>
          <w:rFonts w:cstheme="minorHAnsi"/>
        </w:rPr>
        <w:t>y</w:t>
      </w:r>
      <w:r w:rsidRPr="00FD02DE">
        <w:rPr>
          <w:rFonts w:cstheme="minorHAnsi"/>
          <w:spacing w:val="29"/>
        </w:rPr>
        <w:t xml:space="preserve"> </w:t>
      </w:r>
      <w:r w:rsidRPr="00FD02DE">
        <w:rPr>
          <w:rFonts w:cstheme="minorHAnsi"/>
        </w:rPr>
        <w:t>m</w:t>
      </w:r>
      <w:r w:rsidRPr="00FD02DE">
        <w:rPr>
          <w:rFonts w:cstheme="minorHAnsi"/>
          <w:spacing w:val="-1"/>
        </w:rPr>
        <w:t>a</w:t>
      </w:r>
      <w:r w:rsidRPr="00FD02DE">
        <w:rPr>
          <w:rFonts w:cstheme="minorHAnsi"/>
        </w:rPr>
        <w:t>tt</w:t>
      </w:r>
      <w:r w:rsidRPr="00FD02DE">
        <w:rPr>
          <w:rFonts w:cstheme="minorHAnsi"/>
          <w:spacing w:val="-1"/>
        </w:rPr>
        <w:t>er</w:t>
      </w:r>
      <w:r w:rsidRPr="00FD02DE">
        <w:rPr>
          <w:rFonts w:cstheme="minorHAnsi"/>
        </w:rPr>
        <w:t>s</w:t>
      </w:r>
      <w:r w:rsidRPr="00FD02DE">
        <w:rPr>
          <w:rFonts w:cstheme="minorHAnsi"/>
          <w:spacing w:val="34"/>
        </w:rPr>
        <w:t xml:space="preserve"> </w:t>
      </w:r>
      <w:r w:rsidRPr="00FD02DE">
        <w:rPr>
          <w:rFonts w:cstheme="minorHAnsi"/>
          <w:spacing w:val="-1"/>
        </w:rPr>
        <w:t xml:space="preserve">of </w:t>
      </w:r>
      <w:r w:rsidRPr="00FD02DE">
        <w:rPr>
          <w:rFonts w:cstheme="minorHAnsi"/>
          <w:spacing w:val="-3"/>
        </w:rPr>
        <w:t>I</w:t>
      </w:r>
      <w:r w:rsidRPr="00FD02DE">
        <w:rPr>
          <w:rFonts w:cstheme="minorHAnsi"/>
        </w:rPr>
        <w:t>nt</w:t>
      </w:r>
      <w:r w:rsidRPr="00FD02DE">
        <w:rPr>
          <w:rFonts w:cstheme="minorHAnsi"/>
          <w:spacing w:val="1"/>
        </w:rPr>
        <w:t>e</w:t>
      </w:r>
      <w:r w:rsidRPr="00FD02DE">
        <w:rPr>
          <w:rFonts w:cstheme="minorHAnsi"/>
          <w:spacing w:val="-1"/>
        </w:rPr>
        <w:t>re</w:t>
      </w:r>
      <w:r w:rsidRPr="00FD02DE">
        <w:rPr>
          <w:rFonts w:cstheme="minorHAnsi"/>
        </w:rPr>
        <w:t>st.</w:t>
      </w:r>
    </w:p>
    <w:p w14:paraId="266AE9D2" w14:textId="77777777" w:rsidR="00272EB4" w:rsidRPr="00FD02DE" w:rsidRDefault="00272EB4" w:rsidP="00272EB4">
      <w:pPr>
        <w:widowControl w:val="0"/>
        <w:tabs>
          <w:tab w:val="left" w:pos="1540"/>
        </w:tabs>
        <w:spacing w:before="200" w:after="60" w:line="240" w:lineRule="auto"/>
        <w:ind w:right="-23"/>
        <w:jc w:val="both"/>
        <w:rPr>
          <w:rFonts w:cstheme="minorHAnsi"/>
          <w:sz w:val="24"/>
        </w:rPr>
      </w:pPr>
      <w:r w:rsidRPr="00FD02DE">
        <w:rPr>
          <w:rFonts w:cstheme="minorHAnsi"/>
          <w:b/>
          <w:bCs/>
          <w:sz w:val="24"/>
        </w:rPr>
        <w:t>C</w:t>
      </w:r>
      <w:r w:rsidRPr="00FD02DE">
        <w:rPr>
          <w:rFonts w:cstheme="minorHAnsi"/>
          <w:b/>
          <w:bCs/>
          <w:spacing w:val="-1"/>
          <w:sz w:val="24"/>
        </w:rPr>
        <w:t>o</w:t>
      </w:r>
      <w:r w:rsidRPr="00FD02DE">
        <w:rPr>
          <w:rFonts w:cstheme="minorHAnsi"/>
          <w:b/>
          <w:bCs/>
          <w:spacing w:val="2"/>
          <w:sz w:val="24"/>
        </w:rPr>
        <w:t>nf</w:t>
      </w:r>
      <w:r w:rsidRPr="00FD02DE">
        <w:rPr>
          <w:rFonts w:cstheme="minorHAnsi"/>
          <w:b/>
          <w:bCs/>
          <w:sz w:val="24"/>
        </w:rPr>
        <w:t>li</w:t>
      </w:r>
      <w:r w:rsidRPr="00FD02DE">
        <w:rPr>
          <w:rFonts w:cstheme="minorHAnsi"/>
          <w:b/>
          <w:bCs/>
          <w:spacing w:val="-1"/>
          <w:sz w:val="24"/>
        </w:rPr>
        <w:t>c</w:t>
      </w:r>
      <w:r w:rsidRPr="00FD02DE">
        <w:rPr>
          <w:rFonts w:cstheme="minorHAnsi"/>
          <w:b/>
          <w:bCs/>
          <w:sz w:val="24"/>
        </w:rPr>
        <w:t>t</w:t>
      </w:r>
      <w:r w:rsidRPr="00FD02DE">
        <w:rPr>
          <w:rFonts w:cstheme="minorHAnsi"/>
          <w:b/>
          <w:bCs/>
          <w:spacing w:val="-1"/>
          <w:sz w:val="24"/>
        </w:rPr>
        <w:t xml:space="preserve"> o</w:t>
      </w:r>
      <w:r w:rsidRPr="00FD02DE">
        <w:rPr>
          <w:rFonts w:cstheme="minorHAnsi"/>
          <w:b/>
          <w:bCs/>
          <w:sz w:val="24"/>
        </w:rPr>
        <w:t>f</w:t>
      </w:r>
      <w:r w:rsidRPr="00FD02DE">
        <w:rPr>
          <w:rFonts w:cstheme="minorHAnsi"/>
          <w:b/>
          <w:bCs/>
          <w:spacing w:val="3"/>
          <w:sz w:val="24"/>
        </w:rPr>
        <w:t xml:space="preserve"> </w:t>
      </w:r>
      <w:r w:rsidRPr="00FD02DE">
        <w:rPr>
          <w:rFonts w:cstheme="minorHAnsi"/>
          <w:b/>
          <w:bCs/>
          <w:spacing w:val="-2"/>
          <w:sz w:val="24"/>
        </w:rPr>
        <w:t>I</w:t>
      </w:r>
      <w:r w:rsidRPr="00FD02DE">
        <w:rPr>
          <w:rFonts w:cstheme="minorHAnsi"/>
          <w:b/>
          <w:bCs/>
          <w:spacing w:val="1"/>
          <w:sz w:val="24"/>
        </w:rPr>
        <w:t>n</w:t>
      </w:r>
      <w:r w:rsidRPr="00FD02DE">
        <w:rPr>
          <w:rFonts w:cstheme="minorHAnsi"/>
          <w:b/>
          <w:bCs/>
          <w:spacing w:val="-1"/>
          <w:sz w:val="24"/>
        </w:rPr>
        <w:t>tere</w:t>
      </w:r>
      <w:r w:rsidRPr="00FD02DE">
        <w:rPr>
          <w:rFonts w:cstheme="minorHAnsi"/>
          <w:b/>
          <w:bCs/>
          <w:sz w:val="24"/>
        </w:rPr>
        <w:t>st</w:t>
      </w:r>
    </w:p>
    <w:p w14:paraId="6E98DD80" w14:textId="77777777" w:rsidR="00272EB4" w:rsidRPr="00FD02DE" w:rsidRDefault="00272EB4" w:rsidP="00272EB4">
      <w:pPr>
        <w:pStyle w:val="ListParagraph"/>
        <w:widowControl w:val="0"/>
        <w:numPr>
          <w:ilvl w:val="0"/>
          <w:numId w:val="340"/>
        </w:numPr>
        <w:spacing w:after="60" w:line="240" w:lineRule="auto"/>
        <w:ind w:left="425" w:right="74" w:hanging="425"/>
        <w:contextualSpacing w:val="0"/>
        <w:jc w:val="both"/>
        <w:rPr>
          <w:rFonts w:cstheme="minorHAnsi"/>
        </w:rPr>
      </w:pPr>
      <w:r w:rsidRPr="00FD02DE">
        <w:rPr>
          <w:rFonts w:cstheme="minorHAnsi"/>
        </w:rPr>
        <w:t>All m</w:t>
      </w:r>
      <w:r w:rsidRPr="00FD02DE">
        <w:rPr>
          <w:rFonts w:cstheme="minorHAnsi"/>
          <w:spacing w:val="-1"/>
        </w:rPr>
        <w:t>e</w:t>
      </w:r>
      <w:r w:rsidRPr="00FD02DE">
        <w:rPr>
          <w:rFonts w:cstheme="minorHAnsi"/>
        </w:rPr>
        <w:t>m</w:t>
      </w:r>
      <w:r w:rsidRPr="00FD02DE">
        <w:rPr>
          <w:rFonts w:cstheme="minorHAnsi"/>
          <w:spacing w:val="-1"/>
        </w:rPr>
        <w:t>b</w:t>
      </w:r>
      <w:r w:rsidRPr="00FD02DE">
        <w:rPr>
          <w:rFonts w:cstheme="minorHAnsi"/>
        </w:rPr>
        <w:t>e</w:t>
      </w:r>
      <w:r w:rsidRPr="00FD02DE">
        <w:rPr>
          <w:rFonts w:cstheme="minorHAnsi"/>
          <w:spacing w:val="-1"/>
        </w:rPr>
        <w:t>r</w:t>
      </w:r>
      <w:r w:rsidRPr="00FD02DE">
        <w:rPr>
          <w:rFonts w:cstheme="minorHAnsi"/>
        </w:rPr>
        <w:t xml:space="preserve">s </w:t>
      </w:r>
      <w:r w:rsidRPr="00FD02DE">
        <w:rPr>
          <w:rFonts w:cstheme="minorHAnsi"/>
          <w:spacing w:val="-1"/>
        </w:rPr>
        <w:t>n</w:t>
      </w:r>
      <w:r w:rsidRPr="00FD02DE">
        <w:rPr>
          <w:rFonts w:cstheme="minorHAnsi"/>
          <w:spacing w:val="2"/>
        </w:rPr>
        <w:t>e</w:t>
      </w:r>
      <w:r w:rsidRPr="00FD02DE">
        <w:rPr>
          <w:rFonts w:cstheme="minorHAnsi"/>
          <w:spacing w:val="-1"/>
        </w:rPr>
        <w:t>e</w:t>
      </w:r>
      <w:r w:rsidRPr="00FD02DE">
        <w:rPr>
          <w:rFonts w:cstheme="minorHAnsi"/>
        </w:rPr>
        <w:t>d</w:t>
      </w:r>
      <w:r w:rsidRPr="00FD02DE">
        <w:rPr>
          <w:rFonts w:cstheme="minorHAnsi"/>
          <w:spacing w:val="-1"/>
        </w:rPr>
        <w:t xml:space="preserve"> </w:t>
      </w:r>
      <w:r w:rsidRPr="00FD02DE">
        <w:rPr>
          <w:rFonts w:cstheme="minorHAnsi"/>
          <w:spacing w:val="1"/>
        </w:rPr>
        <w:t>t</w:t>
      </w:r>
      <w:r w:rsidRPr="00FD02DE">
        <w:rPr>
          <w:rFonts w:cstheme="minorHAnsi"/>
        </w:rPr>
        <w:t>o</w:t>
      </w:r>
      <w:r w:rsidRPr="00FD02DE">
        <w:rPr>
          <w:rFonts w:cstheme="minorHAnsi"/>
          <w:spacing w:val="-1"/>
        </w:rPr>
        <w:t xml:space="preserve"> b</w:t>
      </w:r>
      <w:r w:rsidRPr="00FD02DE">
        <w:rPr>
          <w:rFonts w:cstheme="minorHAnsi"/>
        </w:rPr>
        <w:t>e</w:t>
      </w:r>
      <w:r w:rsidRPr="00FD02DE">
        <w:rPr>
          <w:rFonts w:cstheme="minorHAnsi"/>
          <w:spacing w:val="6"/>
        </w:rPr>
        <w:t xml:space="preserve"> </w:t>
      </w:r>
      <w:r w:rsidRPr="00FD02DE">
        <w:rPr>
          <w:rFonts w:cstheme="minorHAnsi"/>
          <w:spacing w:val="-1"/>
        </w:rPr>
        <w:t>a</w:t>
      </w:r>
      <w:r w:rsidRPr="00FD02DE">
        <w:rPr>
          <w:rFonts w:cstheme="minorHAnsi"/>
        </w:rPr>
        <w:t>w</w:t>
      </w:r>
      <w:r w:rsidRPr="00FD02DE">
        <w:rPr>
          <w:rFonts w:cstheme="minorHAnsi"/>
          <w:spacing w:val="-1"/>
        </w:rPr>
        <w:t>a</w:t>
      </w:r>
      <w:r w:rsidRPr="00FD02DE">
        <w:rPr>
          <w:rFonts w:cstheme="minorHAnsi"/>
          <w:spacing w:val="2"/>
        </w:rPr>
        <w:t>r</w:t>
      </w:r>
      <w:r w:rsidRPr="00FD02DE">
        <w:rPr>
          <w:rFonts w:cstheme="minorHAnsi"/>
        </w:rPr>
        <w:t>e</w:t>
      </w:r>
      <w:r w:rsidRPr="00FD02DE">
        <w:rPr>
          <w:rFonts w:cstheme="minorHAnsi"/>
          <w:spacing w:val="-1"/>
        </w:rPr>
        <w:t xml:space="preserve"> </w:t>
      </w:r>
      <w:r w:rsidRPr="00FD02DE">
        <w:rPr>
          <w:rFonts w:cstheme="minorHAnsi"/>
        </w:rPr>
        <w:t>t</w:t>
      </w:r>
      <w:r w:rsidRPr="00FD02DE">
        <w:rPr>
          <w:rFonts w:cstheme="minorHAnsi"/>
          <w:spacing w:val="-1"/>
        </w:rPr>
        <w:t>h</w:t>
      </w:r>
      <w:r w:rsidRPr="00FD02DE">
        <w:rPr>
          <w:rFonts w:cstheme="minorHAnsi"/>
        </w:rPr>
        <w:t>at</w:t>
      </w:r>
      <w:r w:rsidRPr="00FD02DE">
        <w:rPr>
          <w:rFonts w:cstheme="minorHAnsi"/>
          <w:spacing w:val="3"/>
        </w:rPr>
        <w:t xml:space="preserve"> </w:t>
      </w:r>
      <w:r w:rsidRPr="00FD02DE">
        <w:rPr>
          <w:rFonts w:cstheme="minorHAnsi"/>
          <w:spacing w:val="-1"/>
        </w:rPr>
        <w:t>a</w:t>
      </w:r>
      <w:r w:rsidRPr="00FD02DE">
        <w:rPr>
          <w:rFonts w:cstheme="minorHAnsi"/>
          <w:spacing w:val="5"/>
        </w:rPr>
        <w:t>n</w:t>
      </w:r>
      <w:r w:rsidRPr="00FD02DE">
        <w:rPr>
          <w:rFonts w:cstheme="minorHAnsi"/>
        </w:rPr>
        <w:t>y</w:t>
      </w:r>
      <w:r w:rsidRPr="00FD02DE">
        <w:rPr>
          <w:rFonts w:cstheme="minorHAnsi"/>
          <w:spacing w:val="-5"/>
        </w:rPr>
        <w:t xml:space="preserve"> </w:t>
      </w:r>
      <w:r w:rsidRPr="00FD02DE">
        <w:rPr>
          <w:rFonts w:cstheme="minorHAnsi"/>
          <w:spacing w:val="-1"/>
        </w:rPr>
        <w:t>co</w:t>
      </w:r>
      <w:r w:rsidRPr="00FD02DE">
        <w:rPr>
          <w:rFonts w:cstheme="minorHAnsi"/>
          <w:spacing w:val="3"/>
        </w:rPr>
        <w:t>n</w:t>
      </w:r>
      <w:r w:rsidRPr="00FD02DE">
        <w:rPr>
          <w:rFonts w:cstheme="minorHAnsi"/>
          <w:spacing w:val="-1"/>
        </w:rPr>
        <w:t>f</w:t>
      </w:r>
      <w:r w:rsidRPr="00FD02DE">
        <w:rPr>
          <w:rFonts w:cstheme="minorHAnsi"/>
        </w:rPr>
        <w:t>li</w:t>
      </w:r>
      <w:r w:rsidRPr="00FD02DE">
        <w:rPr>
          <w:rFonts w:cstheme="minorHAnsi"/>
          <w:spacing w:val="-1"/>
        </w:rPr>
        <w:t>c</w:t>
      </w:r>
      <w:r w:rsidRPr="00FD02DE">
        <w:rPr>
          <w:rFonts w:cstheme="minorHAnsi"/>
        </w:rPr>
        <w:t xml:space="preserve">t </w:t>
      </w:r>
      <w:r w:rsidRPr="00FD02DE">
        <w:rPr>
          <w:rFonts w:cstheme="minorHAnsi"/>
          <w:spacing w:val="-1"/>
        </w:rPr>
        <w:t>o</w:t>
      </w:r>
      <w:r w:rsidRPr="00FD02DE">
        <w:rPr>
          <w:rFonts w:cstheme="minorHAnsi"/>
        </w:rPr>
        <w:t>f</w:t>
      </w:r>
      <w:r w:rsidRPr="00FD02DE">
        <w:rPr>
          <w:rFonts w:cstheme="minorHAnsi"/>
          <w:spacing w:val="3"/>
        </w:rPr>
        <w:t xml:space="preserve"> </w:t>
      </w:r>
      <w:r w:rsidRPr="00FD02DE">
        <w:rPr>
          <w:rFonts w:cstheme="minorHAnsi"/>
        </w:rPr>
        <w:t>i</w:t>
      </w:r>
      <w:r w:rsidRPr="00FD02DE">
        <w:rPr>
          <w:rFonts w:cstheme="minorHAnsi"/>
          <w:spacing w:val="-1"/>
        </w:rPr>
        <w:t>n</w:t>
      </w:r>
      <w:r w:rsidRPr="00FD02DE">
        <w:rPr>
          <w:rFonts w:cstheme="minorHAnsi"/>
          <w:spacing w:val="1"/>
        </w:rPr>
        <w:t>t</w:t>
      </w:r>
      <w:r w:rsidRPr="00FD02DE">
        <w:rPr>
          <w:rFonts w:cstheme="minorHAnsi"/>
          <w:spacing w:val="-1"/>
        </w:rPr>
        <w:t>ere</w:t>
      </w:r>
      <w:r w:rsidRPr="00FD02DE">
        <w:rPr>
          <w:rFonts w:cstheme="minorHAnsi"/>
        </w:rPr>
        <w:t xml:space="preserve">st </w:t>
      </w:r>
      <w:r w:rsidRPr="00FD02DE">
        <w:rPr>
          <w:rFonts w:cstheme="minorHAnsi"/>
          <w:spacing w:val="-1"/>
        </w:rPr>
        <w:t>n</w:t>
      </w:r>
      <w:r w:rsidRPr="00FD02DE">
        <w:rPr>
          <w:rFonts w:cstheme="minorHAnsi"/>
          <w:spacing w:val="2"/>
        </w:rPr>
        <w:t>e</w:t>
      </w:r>
      <w:r w:rsidRPr="00FD02DE">
        <w:rPr>
          <w:rFonts w:cstheme="minorHAnsi"/>
          <w:spacing w:val="-1"/>
        </w:rPr>
        <w:t xml:space="preserve">eds </w:t>
      </w:r>
      <w:r w:rsidRPr="00FD02DE">
        <w:rPr>
          <w:rFonts w:cstheme="minorHAnsi"/>
        </w:rPr>
        <w:t>to</w:t>
      </w:r>
      <w:r w:rsidRPr="00FD02DE">
        <w:rPr>
          <w:rFonts w:cstheme="minorHAnsi"/>
          <w:spacing w:val="1"/>
        </w:rPr>
        <w:t xml:space="preserve"> </w:t>
      </w:r>
      <w:r w:rsidRPr="00FD02DE">
        <w:rPr>
          <w:rFonts w:cstheme="minorHAnsi"/>
          <w:spacing w:val="-1"/>
        </w:rPr>
        <w:t>b</w:t>
      </w:r>
      <w:r w:rsidRPr="00FD02DE">
        <w:rPr>
          <w:rFonts w:cstheme="minorHAnsi"/>
        </w:rPr>
        <w:t>e</w:t>
      </w:r>
      <w:r w:rsidRPr="00FD02DE">
        <w:rPr>
          <w:rFonts w:cstheme="minorHAnsi"/>
          <w:spacing w:val="1"/>
        </w:rPr>
        <w:t xml:space="preserve"> </w:t>
      </w:r>
      <w:r w:rsidRPr="00FD02DE">
        <w:rPr>
          <w:rFonts w:cstheme="minorHAnsi"/>
          <w:spacing w:val="-1"/>
        </w:rPr>
        <w:t>rec</w:t>
      </w:r>
      <w:r w:rsidRPr="00FD02DE">
        <w:rPr>
          <w:rFonts w:cstheme="minorHAnsi"/>
          <w:spacing w:val="2"/>
        </w:rPr>
        <w:t>o</w:t>
      </w:r>
      <w:r w:rsidRPr="00FD02DE">
        <w:rPr>
          <w:rFonts w:cstheme="minorHAnsi"/>
          <w:spacing w:val="-2"/>
        </w:rPr>
        <w:t>g</w:t>
      </w:r>
      <w:r w:rsidRPr="00FD02DE">
        <w:rPr>
          <w:rFonts w:cstheme="minorHAnsi"/>
          <w:spacing w:val="-1"/>
        </w:rPr>
        <w:t>n</w:t>
      </w:r>
      <w:r w:rsidRPr="00FD02DE">
        <w:rPr>
          <w:rFonts w:cstheme="minorHAnsi"/>
          <w:spacing w:val="1"/>
        </w:rPr>
        <w:t>i</w:t>
      </w:r>
      <w:r w:rsidRPr="00FD02DE">
        <w:rPr>
          <w:rFonts w:cstheme="minorHAnsi"/>
          <w:spacing w:val="3"/>
        </w:rPr>
        <w:t>s</w:t>
      </w:r>
      <w:r w:rsidRPr="00FD02DE">
        <w:rPr>
          <w:rFonts w:cstheme="minorHAnsi"/>
          <w:spacing w:val="-1"/>
        </w:rPr>
        <w:t>ed</w:t>
      </w:r>
      <w:r w:rsidRPr="00FD02DE">
        <w:rPr>
          <w:rFonts w:cstheme="minorHAnsi"/>
        </w:rPr>
        <w:t xml:space="preserve">. </w:t>
      </w:r>
      <w:r w:rsidRPr="00FD02DE">
        <w:rPr>
          <w:rFonts w:cstheme="minorHAnsi"/>
          <w:spacing w:val="11"/>
        </w:rPr>
        <w:t xml:space="preserve"> </w:t>
      </w:r>
      <w:r w:rsidRPr="00FD02DE">
        <w:rPr>
          <w:rFonts w:cstheme="minorHAnsi"/>
        </w:rPr>
        <w:t>On</w:t>
      </w:r>
      <w:r w:rsidRPr="00FD02DE">
        <w:rPr>
          <w:rFonts w:cstheme="minorHAnsi"/>
          <w:spacing w:val="1"/>
        </w:rPr>
        <w:t xml:space="preserve"> </w:t>
      </w:r>
      <w:r w:rsidRPr="00FD02DE">
        <w:rPr>
          <w:rFonts w:cstheme="minorHAnsi"/>
          <w:spacing w:val="2"/>
        </w:rPr>
        <w:t>r</w:t>
      </w:r>
      <w:r w:rsidRPr="00FD02DE">
        <w:rPr>
          <w:rFonts w:cstheme="minorHAnsi"/>
          <w:spacing w:val="-1"/>
        </w:rPr>
        <w:t>e</w:t>
      </w:r>
      <w:r w:rsidRPr="00FD02DE">
        <w:rPr>
          <w:rFonts w:cstheme="minorHAnsi"/>
          <w:spacing w:val="1"/>
        </w:rPr>
        <w:t>c</w:t>
      </w:r>
      <w:r w:rsidRPr="00FD02DE">
        <w:rPr>
          <w:rFonts w:cstheme="minorHAnsi"/>
          <w:spacing w:val="-1"/>
        </w:rPr>
        <w:t>e</w:t>
      </w:r>
      <w:r w:rsidRPr="00FD02DE">
        <w:rPr>
          <w:rFonts w:cstheme="minorHAnsi"/>
        </w:rPr>
        <w:t>i</w:t>
      </w:r>
      <w:r w:rsidRPr="00FD02DE">
        <w:rPr>
          <w:rFonts w:cstheme="minorHAnsi"/>
          <w:spacing w:val="-1"/>
        </w:rPr>
        <w:t>p</w:t>
      </w:r>
      <w:r w:rsidRPr="00FD02DE">
        <w:rPr>
          <w:rFonts w:cstheme="minorHAnsi"/>
        </w:rPr>
        <w:t>t</w:t>
      </w:r>
      <w:r w:rsidRPr="00FD02DE">
        <w:rPr>
          <w:rFonts w:cstheme="minorHAnsi"/>
          <w:spacing w:val="2"/>
        </w:rPr>
        <w:t xml:space="preserve"> </w:t>
      </w:r>
      <w:r w:rsidRPr="00FD02DE">
        <w:rPr>
          <w:rFonts w:cstheme="minorHAnsi"/>
          <w:spacing w:val="-1"/>
        </w:rPr>
        <w:t>o</w:t>
      </w:r>
      <w:r w:rsidRPr="00FD02DE">
        <w:rPr>
          <w:rFonts w:cstheme="minorHAnsi"/>
        </w:rPr>
        <w:t>f</w:t>
      </w:r>
      <w:r w:rsidRPr="00FD02DE">
        <w:rPr>
          <w:rFonts w:cstheme="minorHAnsi"/>
          <w:spacing w:val="1"/>
        </w:rPr>
        <w:t xml:space="preserve"> </w:t>
      </w:r>
      <w:r w:rsidRPr="00FD02DE">
        <w:rPr>
          <w:rFonts w:cstheme="minorHAnsi"/>
        </w:rPr>
        <w:t>t</w:t>
      </w:r>
      <w:r w:rsidRPr="00FD02DE">
        <w:rPr>
          <w:rFonts w:cstheme="minorHAnsi"/>
          <w:spacing w:val="-1"/>
        </w:rPr>
        <w:t>h</w:t>
      </w:r>
      <w:r w:rsidRPr="00FD02DE">
        <w:rPr>
          <w:rFonts w:cstheme="minorHAnsi"/>
        </w:rPr>
        <w:t>e</w:t>
      </w:r>
      <w:r w:rsidRPr="00FD02DE">
        <w:rPr>
          <w:rFonts w:cstheme="minorHAnsi"/>
          <w:spacing w:val="1"/>
        </w:rPr>
        <w:t xml:space="preserve"> </w:t>
      </w:r>
      <w:proofErr w:type="gramStart"/>
      <w:r w:rsidRPr="00FD02DE">
        <w:rPr>
          <w:rFonts w:cstheme="minorHAnsi"/>
          <w:spacing w:val="1"/>
        </w:rPr>
        <w:t>A</w:t>
      </w:r>
      <w:r w:rsidRPr="00FD02DE">
        <w:rPr>
          <w:rFonts w:cstheme="minorHAnsi"/>
          <w:spacing w:val="-2"/>
        </w:rPr>
        <w:t>g</w:t>
      </w:r>
      <w:r w:rsidRPr="00FD02DE">
        <w:rPr>
          <w:rFonts w:cstheme="minorHAnsi"/>
          <w:spacing w:val="-1"/>
        </w:rPr>
        <w:t>en</w:t>
      </w:r>
      <w:r w:rsidRPr="00FD02DE">
        <w:rPr>
          <w:rFonts w:cstheme="minorHAnsi"/>
          <w:spacing w:val="3"/>
        </w:rPr>
        <w:t>d</w:t>
      </w:r>
      <w:r w:rsidRPr="00FD02DE">
        <w:rPr>
          <w:rFonts w:cstheme="minorHAnsi"/>
          <w:spacing w:val="-1"/>
        </w:rPr>
        <w:t>a</w:t>
      </w:r>
      <w:proofErr w:type="gramEnd"/>
      <w:r w:rsidRPr="00FD02DE">
        <w:rPr>
          <w:rFonts w:cstheme="minorHAnsi"/>
        </w:rPr>
        <w:t>,</w:t>
      </w:r>
      <w:r w:rsidRPr="00FD02DE">
        <w:rPr>
          <w:rFonts w:cstheme="minorHAnsi"/>
          <w:spacing w:val="1"/>
        </w:rPr>
        <w:t xml:space="preserve"> </w:t>
      </w:r>
      <w:r w:rsidRPr="00FD02DE">
        <w:rPr>
          <w:rFonts w:cstheme="minorHAnsi"/>
        </w:rPr>
        <w:t>if</w:t>
      </w:r>
      <w:r w:rsidRPr="00FD02DE">
        <w:rPr>
          <w:rFonts w:cstheme="minorHAnsi"/>
          <w:spacing w:val="2"/>
        </w:rPr>
        <w:t xml:space="preserve"> </w:t>
      </w:r>
      <w:r w:rsidRPr="00FD02DE">
        <w:rPr>
          <w:rFonts w:cstheme="minorHAnsi"/>
        </w:rPr>
        <w:t>a m</w:t>
      </w:r>
      <w:r w:rsidRPr="00FD02DE">
        <w:rPr>
          <w:rFonts w:cstheme="minorHAnsi"/>
          <w:spacing w:val="-1"/>
        </w:rPr>
        <w:t>e</w:t>
      </w:r>
      <w:r w:rsidRPr="00FD02DE">
        <w:rPr>
          <w:rFonts w:cstheme="minorHAnsi"/>
        </w:rPr>
        <w:t>m</w:t>
      </w:r>
      <w:r w:rsidRPr="00FD02DE">
        <w:rPr>
          <w:rFonts w:cstheme="minorHAnsi"/>
          <w:spacing w:val="-1"/>
        </w:rPr>
        <w:t>b</w:t>
      </w:r>
      <w:r w:rsidRPr="00FD02DE">
        <w:rPr>
          <w:rFonts w:cstheme="minorHAnsi"/>
        </w:rPr>
        <w:t xml:space="preserve">er </w:t>
      </w:r>
      <w:r w:rsidRPr="00FD02DE">
        <w:rPr>
          <w:rFonts w:cstheme="minorHAnsi"/>
          <w:spacing w:val="-1"/>
        </w:rPr>
        <w:t>h</w:t>
      </w:r>
      <w:r w:rsidRPr="00FD02DE">
        <w:rPr>
          <w:rFonts w:cstheme="minorHAnsi"/>
        </w:rPr>
        <w:t>as</w:t>
      </w:r>
      <w:r w:rsidRPr="00FD02DE">
        <w:rPr>
          <w:rFonts w:cstheme="minorHAnsi"/>
          <w:spacing w:val="3"/>
        </w:rPr>
        <w:t xml:space="preserve"> </w:t>
      </w:r>
      <w:r w:rsidRPr="00FD02DE">
        <w:rPr>
          <w:rFonts w:cstheme="minorHAnsi"/>
          <w:spacing w:val="-1"/>
        </w:rPr>
        <w:t xml:space="preserve">an </w:t>
      </w:r>
      <w:r w:rsidRPr="00FD02DE">
        <w:rPr>
          <w:rFonts w:cstheme="minorHAnsi"/>
        </w:rPr>
        <w:t>i</w:t>
      </w:r>
      <w:r w:rsidRPr="00FD02DE">
        <w:rPr>
          <w:rFonts w:cstheme="minorHAnsi"/>
          <w:spacing w:val="-1"/>
        </w:rPr>
        <w:t>n</w:t>
      </w:r>
      <w:r w:rsidRPr="00FD02DE">
        <w:rPr>
          <w:rFonts w:cstheme="minorHAnsi"/>
          <w:spacing w:val="1"/>
        </w:rPr>
        <w:t>t</w:t>
      </w:r>
      <w:r w:rsidRPr="00FD02DE">
        <w:rPr>
          <w:rFonts w:cstheme="minorHAnsi"/>
          <w:spacing w:val="-1"/>
        </w:rPr>
        <w:t>ere</w:t>
      </w:r>
      <w:r w:rsidRPr="00FD02DE">
        <w:rPr>
          <w:rFonts w:cstheme="minorHAnsi"/>
        </w:rPr>
        <w:t>st</w:t>
      </w:r>
      <w:r w:rsidRPr="00FD02DE">
        <w:rPr>
          <w:rFonts w:cstheme="minorHAnsi"/>
          <w:spacing w:val="2"/>
        </w:rPr>
        <w:t xml:space="preserve"> </w:t>
      </w:r>
      <w:r w:rsidRPr="00FD02DE">
        <w:rPr>
          <w:rFonts w:cstheme="minorHAnsi"/>
        </w:rPr>
        <w:t>in</w:t>
      </w:r>
      <w:r w:rsidRPr="00FD02DE">
        <w:rPr>
          <w:rFonts w:cstheme="minorHAnsi"/>
          <w:spacing w:val="2"/>
        </w:rPr>
        <w:t xml:space="preserve"> </w:t>
      </w:r>
      <w:r w:rsidRPr="00FD02DE">
        <w:rPr>
          <w:rFonts w:cstheme="minorHAnsi"/>
        </w:rPr>
        <w:t>the m</w:t>
      </w:r>
      <w:r w:rsidRPr="00FD02DE">
        <w:rPr>
          <w:rFonts w:cstheme="minorHAnsi"/>
          <w:spacing w:val="-1"/>
        </w:rPr>
        <w:t>a</w:t>
      </w:r>
      <w:r w:rsidRPr="00FD02DE">
        <w:rPr>
          <w:rFonts w:cstheme="minorHAnsi"/>
        </w:rPr>
        <w:t>tt</w:t>
      </w:r>
      <w:r w:rsidRPr="00FD02DE">
        <w:rPr>
          <w:rFonts w:cstheme="minorHAnsi"/>
          <w:spacing w:val="-1"/>
        </w:rPr>
        <w:t>er</w:t>
      </w:r>
      <w:r w:rsidRPr="00FD02DE">
        <w:rPr>
          <w:rFonts w:cstheme="minorHAnsi"/>
        </w:rPr>
        <w:t>,</w:t>
      </w:r>
      <w:r w:rsidRPr="00FD02DE">
        <w:rPr>
          <w:rFonts w:cstheme="minorHAnsi"/>
          <w:spacing w:val="2"/>
        </w:rPr>
        <w:t xml:space="preserve"> </w:t>
      </w:r>
      <w:r w:rsidRPr="00FD02DE">
        <w:rPr>
          <w:rFonts w:cstheme="minorHAnsi"/>
        </w:rPr>
        <w:t>th</w:t>
      </w:r>
      <w:r w:rsidRPr="00FD02DE">
        <w:rPr>
          <w:rFonts w:cstheme="minorHAnsi"/>
          <w:spacing w:val="-4"/>
        </w:rPr>
        <w:t>e</w:t>
      </w:r>
      <w:r w:rsidRPr="00FD02DE">
        <w:rPr>
          <w:rFonts w:cstheme="minorHAnsi"/>
        </w:rPr>
        <w:t>n</w:t>
      </w:r>
      <w:r w:rsidRPr="00FD02DE">
        <w:rPr>
          <w:rFonts w:cstheme="minorHAnsi"/>
          <w:spacing w:val="2"/>
        </w:rPr>
        <w:t xml:space="preserve"> </w:t>
      </w:r>
      <w:r w:rsidRPr="00FD02DE">
        <w:rPr>
          <w:rFonts w:cstheme="minorHAnsi"/>
        </w:rPr>
        <w:t>the m</w:t>
      </w:r>
      <w:r w:rsidRPr="00FD02DE">
        <w:rPr>
          <w:rFonts w:cstheme="minorHAnsi"/>
          <w:spacing w:val="-1"/>
        </w:rPr>
        <w:t>e</w:t>
      </w:r>
      <w:r w:rsidRPr="00FD02DE">
        <w:rPr>
          <w:rFonts w:cstheme="minorHAnsi"/>
        </w:rPr>
        <w:t>mb</w:t>
      </w:r>
      <w:r w:rsidRPr="00FD02DE">
        <w:rPr>
          <w:rFonts w:cstheme="minorHAnsi"/>
          <w:spacing w:val="-1"/>
        </w:rPr>
        <w:t>e</w:t>
      </w:r>
      <w:r w:rsidRPr="00FD02DE">
        <w:rPr>
          <w:rFonts w:cstheme="minorHAnsi"/>
        </w:rPr>
        <w:t>r</w:t>
      </w:r>
      <w:r w:rsidRPr="00FD02DE">
        <w:rPr>
          <w:rFonts w:cstheme="minorHAnsi"/>
          <w:spacing w:val="1"/>
        </w:rPr>
        <w:t xml:space="preserve"> </w:t>
      </w:r>
      <w:r w:rsidRPr="00FD02DE">
        <w:rPr>
          <w:rFonts w:cstheme="minorHAnsi"/>
        </w:rPr>
        <w:t>is</w:t>
      </w:r>
      <w:r w:rsidRPr="00FD02DE">
        <w:rPr>
          <w:rFonts w:cstheme="minorHAnsi"/>
          <w:spacing w:val="2"/>
        </w:rPr>
        <w:t xml:space="preserve"> </w:t>
      </w:r>
      <w:r w:rsidRPr="00FD02DE">
        <w:rPr>
          <w:rFonts w:cstheme="minorHAnsi"/>
          <w:spacing w:val="-1"/>
        </w:rPr>
        <w:t>re</w:t>
      </w:r>
      <w:r w:rsidRPr="00FD02DE">
        <w:rPr>
          <w:rFonts w:cstheme="minorHAnsi"/>
        </w:rPr>
        <w:t>qui</w:t>
      </w:r>
      <w:r w:rsidRPr="00FD02DE">
        <w:rPr>
          <w:rFonts w:cstheme="minorHAnsi"/>
          <w:spacing w:val="-1"/>
        </w:rPr>
        <w:t>re</w:t>
      </w:r>
      <w:r w:rsidRPr="00FD02DE">
        <w:rPr>
          <w:rFonts w:cstheme="minorHAnsi"/>
        </w:rPr>
        <w:t>d</w:t>
      </w:r>
      <w:r w:rsidRPr="00FD02DE">
        <w:rPr>
          <w:rFonts w:cstheme="minorHAnsi"/>
          <w:spacing w:val="2"/>
        </w:rPr>
        <w:t xml:space="preserve"> </w:t>
      </w:r>
      <w:r w:rsidRPr="00FD02DE">
        <w:rPr>
          <w:rFonts w:cstheme="minorHAnsi"/>
        </w:rPr>
        <w:t>to</w:t>
      </w:r>
      <w:r w:rsidRPr="00FD02DE">
        <w:rPr>
          <w:rFonts w:cstheme="minorHAnsi"/>
          <w:spacing w:val="2"/>
        </w:rPr>
        <w:t xml:space="preserve"> </w:t>
      </w:r>
      <w:r w:rsidRPr="00FD02DE">
        <w:rPr>
          <w:rFonts w:cstheme="minorHAnsi"/>
        </w:rPr>
        <w:t>d</w:t>
      </w:r>
      <w:r w:rsidRPr="00FD02DE">
        <w:rPr>
          <w:rFonts w:cstheme="minorHAnsi"/>
          <w:spacing w:val="-1"/>
        </w:rPr>
        <w:t>ec</w:t>
      </w:r>
      <w:r w:rsidRPr="00FD02DE">
        <w:rPr>
          <w:rFonts w:cstheme="minorHAnsi"/>
        </w:rPr>
        <w:t>l</w:t>
      </w:r>
      <w:r w:rsidRPr="00FD02DE">
        <w:rPr>
          <w:rFonts w:cstheme="minorHAnsi"/>
          <w:spacing w:val="-1"/>
        </w:rPr>
        <w:t>ar</w:t>
      </w:r>
      <w:r w:rsidRPr="00FD02DE">
        <w:rPr>
          <w:rFonts w:cstheme="minorHAnsi"/>
        </w:rPr>
        <w:t>e</w:t>
      </w:r>
      <w:r w:rsidRPr="00FD02DE">
        <w:rPr>
          <w:rFonts w:cstheme="minorHAnsi"/>
          <w:spacing w:val="1"/>
        </w:rPr>
        <w:t xml:space="preserve"> </w:t>
      </w:r>
      <w:r w:rsidRPr="00FD02DE">
        <w:rPr>
          <w:rFonts w:cstheme="minorHAnsi"/>
        </w:rPr>
        <w:t>the i</w:t>
      </w:r>
      <w:r w:rsidRPr="00FD02DE">
        <w:rPr>
          <w:rFonts w:cstheme="minorHAnsi"/>
          <w:spacing w:val="-1"/>
        </w:rPr>
        <w:t>n</w:t>
      </w:r>
      <w:r w:rsidRPr="00FD02DE">
        <w:rPr>
          <w:rFonts w:cstheme="minorHAnsi"/>
          <w:spacing w:val="1"/>
        </w:rPr>
        <w:t>t</w:t>
      </w:r>
      <w:r w:rsidRPr="00FD02DE">
        <w:rPr>
          <w:rFonts w:cstheme="minorHAnsi"/>
          <w:spacing w:val="-1"/>
        </w:rPr>
        <w:t>ere</w:t>
      </w:r>
      <w:r w:rsidRPr="00FD02DE">
        <w:rPr>
          <w:rFonts w:cstheme="minorHAnsi"/>
        </w:rPr>
        <w:t>st.</w:t>
      </w:r>
    </w:p>
    <w:p w14:paraId="79766AE3" w14:textId="77777777" w:rsidR="00272EB4" w:rsidRPr="00FD02DE" w:rsidRDefault="00272EB4" w:rsidP="00272EB4">
      <w:pPr>
        <w:pStyle w:val="ListParagraph"/>
        <w:widowControl w:val="0"/>
        <w:numPr>
          <w:ilvl w:val="0"/>
          <w:numId w:val="340"/>
        </w:numPr>
        <w:tabs>
          <w:tab w:val="left" w:pos="1985"/>
        </w:tabs>
        <w:spacing w:after="0" w:line="240" w:lineRule="auto"/>
        <w:ind w:left="426" w:right="75" w:hanging="426"/>
        <w:jc w:val="both"/>
        <w:rPr>
          <w:rFonts w:cstheme="minorHAnsi"/>
        </w:rPr>
      </w:pPr>
      <w:r w:rsidRPr="00FD02DE">
        <w:rPr>
          <w:rFonts w:cstheme="minorHAnsi"/>
        </w:rPr>
        <w:t>A</w:t>
      </w:r>
      <w:r w:rsidRPr="00FD02DE">
        <w:rPr>
          <w:rFonts w:cstheme="minorHAnsi"/>
          <w:spacing w:val="2"/>
        </w:rPr>
        <w:t>n</w:t>
      </w:r>
      <w:r w:rsidRPr="00FD02DE">
        <w:rPr>
          <w:rFonts w:cstheme="minorHAnsi"/>
        </w:rPr>
        <w:t>y</w:t>
      </w:r>
      <w:r w:rsidRPr="00FD02DE">
        <w:rPr>
          <w:rFonts w:cstheme="minorHAnsi"/>
          <w:spacing w:val="53"/>
        </w:rPr>
        <w:t xml:space="preserve"> </w:t>
      </w:r>
      <w:r w:rsidRPr="00FD02DE">
        <w:rPr>
          <w:rFonts w:cstheme="minorHAnsi"/>
        </w:rPr>
        <w:t>p</w:t>
      </w:r>
      <w:r w:rsidRPr="00FD02DE">
        <w:rPr>
          <w:rFonts w:cstheme="minorHAnsi"/>
          <w:spacing w:val="-1"/>
        </w:rPr>
        <w:t>er</w:t>
      </w:r>
      <w:r w:rsidRPr="00FD02DE">
        <w:rPr>
          <w:rFonts w:cstheme="minorHAnsi"/>
        </w:rPr>
        <w:t>son</w:t>
      </w:r>
      <w:r w:rsidRPr="00FD02DE">
        <w:rPr>
          <w:rFonts w:cstheme="minorHAnsi"/>
          <w:spacing w:val="58"/>
        </w:rPr>
        <w:t xml:space="preserve"> </w:t>
      </w:r>
      <w:r w:rsidRPr="00FD02DE">
        <w:rPr>
          <w:rFonts w:cstheme="minorHAnsi"/>
        </w:rPr>
        <w:t>who</w:t>
      </w:r>
      <w:r w:rsidRPr="00FD02DE">
        <w:rPr>
          <w:rFonts w:cstheme="minorHAnsi"/>
          <w:spacing w:val="55"/>
        </w:rPr>
        <w:t xml:space="preserve"> </w:t>
      </w:r>
      <w:r w:rsidRPr="00FD02DE">
        <w:rPr>
          <w:rFonts w:cstheme="minorHAnsi"/>
        </w:rPr>
        <w:t>h</w:t>
      </w:r>
      <w:r w:rsidRPr="00FD02DE">
        <w:rPr>
          <w:rFonts w:cstheme="minorHAnsi"/>
          <w:spacing w:val="-1"/>
        </w:rPr>
        <w:t>a</w:t>
      </w:r>
      <w:r w:rsidRPr="00FD02DE">
        <w:rPr>
          <w:rFonts w:cstheme="minorHAnsi"/>
        </w:rPr>
        <w:t>s</w:t>
      </w:r>
      <w:r w:rsidRPr="00FD02DE">
        <w:rPr>
          <w:rFonts w:cstheme="minorHAnsi"/>
          <w:spacing w:val="58"/>
        </w:rPr>
        <w:t xml:space="preserve"> </w:t>
      </w:r>
      <w:r w:rsidRPr="00FD02DE">
        <w:rPr>
          <w:rFonts w:cstheme="minorHAnsi"/>
        </w:rPr>
        <w:t>a</w:t>
      </w:r>
      <w:r w:rsidRPr="00FD02DE">
        <w:rPr>
          <w:rFonts w:cstheme="minorHAnsi"/>
          <w:spacing w:val="57"/>
        </w:rPr>
        <w:t xml:space="preserve"> </w:t>
      </w:r>
      <w:r w:rsidRPr="00FD02DE">
        <w:rPr>
          <w:rFonts w:cstheme="minorHAnsi"/>
          <w:spacing w:val="-1"/>
        </w:rPr>
        <w:t>f</w:t>
      </w:r>
      <w:r w:rsidRPr="00FD02DE">
        <w:rPr>
          <w:rFonts w:cstheme="minorHAnsi"/>
        </w:rPr>
        <w:t>in</w:t>
      </w:r>
      <w:r w:rsidRPr="00FD02DE">
        <w:rPr>
          <w:rFonts w:cstheme="minorHAnsi"/>
          <w:spacing w:val="-1"/>
        </w:rPr>
        <w:t>a</w:t>
      </w:r>
      <w:r w:rsidRPr="00FD02DE">
        <w:rPr>
          <w:rFonts w:cstheme="minorHAnsi"/>
        </w:rPr>
        <w:t>n</w:t>
      </w:r>
      <w:r w:rsidRPr="00FD02DE">
        <w:rPr>
          <w:rFonts w:cstheme="minorHAnsi"/>
          <w:spacing w:val="-1"/>
        </w:rPr>
        <w:t>c</w:t>
      </w:r>
      <w:r w:rsidRPr="00FD02DE">
        <w:rPr>
          <w:rFonts w:cstheme="minorHAnsi"/>
        </w:rPr>
        <w:t>i</w:t>
      </w:r>
      <w:r w:rsidRPr="00FD02DE">
        <w:rPr>
          <w:rFonts w:cstheme="minorHAnsi"/>
          <w:spacing w:val="-1"/>
        </w:rPr>
        <w:t>a</w:t>
      </w:r>
      <w:r w:rsidRPr="00FD02DE">
        <w:rPr>
          <w:rFonts w:cstheme="minorHAnsi"/>
        </w:rPr>
        <w:t>l</w:t>
      </w:r>
      <w:r w:rsidRPr="00FD02DE">
        <w:rPr>
          <w:rFonts w:cstheme="minorHAnsi"/>
          <w:spacing w:val="58"/>
        </w:rPr>
        <w:t xml:space="preserve"> </w:t>
      </w:r>
      <w:r w:rsidRPr="00FD02DE">
        <w:rPr>
          <w:rFonts w:cstheme="minorHAnsi"/>
          <w:spacing w:val="-1"/>
        </w:rPr>
        <w:t>a</w:t>
      </w:r>
      <w:r w:rsidRPr="00FD02DE">
        <w:rPr>
          <w:rFonts w:cstheme="minorHAnsi"/>
        </w:rPr>
        <w:t>nd</w:t>
      </w:r>
      <w:r w:rsidRPr="00FD02DE">
        <w:rPr>
          <w:rFonts w:cstheme="minorHAnsi"/>
          <w:spacing w:val="55"/>
        </w:rPr>
        <w:t xml:space="preserve"> </w:t>
      </w:r>
      <w:r w:rsidRPr="00FD02DE">
        <w:rPr>
          <w:rFonts w:cstheme="minorHAnsi"/>
          <w:spacing w:val="2"/>
        </w:rPr>
        <w:t>p</w:t>
      </w:r>
      <w:r w:rsidRPr="00FD02DE">
        <w:rPr>
          <w:rFonts w:cstheme="minorHAnsi"/>
          <w:spacing w:val="-1"/>
        </w:rPr>
        <w:t>r</w:t>
      </w:r>
      <w:r w:rsidRPr="00FD02DE">
        <w:rPr>
          <w:rFonts w:cstheme="minorHAnsi"/>
        </w:rPr>
        <w:t>o</w:t>
      </w:r>
      <w:r w:rsidRPr="00FD02DE">
        <w:rPr>
          <w:rFonts w:cstheme="minorHAnsi"/>
          <w:spacing w:val="2"/>
        </w:rPr>
        <w:t>x</w:t>
      </w:r>
      <w:r w:rsidRPr="00FD02DE">
        <w:rPr>
          <w:rFonts w:cstheme="minorHAnsi"/>
        </w:rPr>
        <w:t>imi</w:t>
      </w:r>
      <w:r w:rsidRPr="00FD02DE">
        <w:rPr>
          <w:rFonts w:cstheme="minorHAnsi"/>
          <w:spacing w:val="-2"/>
        </w:rPr>
        <w:t>t</w:t>
      </w:r>
      <w:r w:rsidRPr="00FD02DE">
        <w:rPr>
          <w:rFonts w:cstheme="minorHAnsi"/>
        </w:rPr>
        <w:t>y</w:t>
      </w:r>
      <w:r w:rsidRPr="00FD02DE">
        <w:rPr>
          <w:rFonts w:cstheme="minorHAnsi"/>
          <w:spacing w:val="53"/>
        </w:rPr>
        <w:t xml:space="preserve"> </w:t>
      </w:r>
      <w:r w:rsidRPr="00FD02DE">
        <w:rPr>
          <w:rFonts w:cstheme="minorHAnsi"/>
        </w:rPr>
        <w:t>int</w:t>
      </w:r>
      <w:r w:rsidRPr="00FD02DE">
        <w:rPr>
          <w:rFonts w:cstheme="minorHAnsi"/>
          <w:spacing w:val="1"/>
        </w:rPr>
        <w:t>e</w:t>
      </w:r>
      <w:r w:rsidRPr="00FD02DE">
        <w:rPr>
          <w:rFonts w:cstheme="minorHAnsi"/>
          <w:spacing w:val="-1"/>
        </w:rPr>
        <w:t>re</w:t>
      </w:r>
      <w:r w:rsidRPr="00FD02DE">
        <w:rPr>
          <w:rFonts w:cstheme="minorHAnsi"/>
        </w:rPr>
        <w:t>st</w:t>
      </w:r>
      <w:r w:rsidRPr="00FD02DE">
        <w:rPr>
          <w:rFonts w:cstheme="minorHAnsi"/>
          <w:spacing w:val="56"/>
        </w:rPr>
        <w:t xml:space="preserve"> </w:t>
      </w:r>
      <w:r w:rsidRPr="00FD02DE">
        <w:rPr>
          <w:rFonts w:cstheme="minorHAnsi"/>
        </w:rPr>
        <w:t>in</w:t>
      </w:r>
      <w:r w:rsidRPr="00FD02DE">
        <w:rPr>
          <w:rFonts w:cstheme="minorHAnsi"/>
          <w:spacing w:val="58"/>
        </w:rPr>
        <w:t xml:space="preserve"> </w:t>
      </w:r>
      <w:r w:rsidRPr="00FD02DE">
        <w:rPr>
          <w:rFonts w:cstheme="minorHAnsi"/>
        </w:rPr>
        <w:t>a m</w:t>
      </w:r>
      <w:r w:rsidRPr="00FD02DE">
        <w:rPr>
          <w:rFonts w:cstheme="minorHAnsi"/>
          <w:spacing w:val="-1"/>
        </w:rPr>
        <w:t>a</w:t>
      </w:r>
      <w:r w:rsidRPr="00FD02DE">
        <w:rPr>
          <w:rFonts w:cstheme="minorHAnsi"/>
        </w:rPr>
        <w:t>tt</w:t>
      </w:r>
      <w:r w:rsidRPr="00FD02DE">
        <w:rPr>
          <w:rFonts w:cstheme="minorHAnsi"/>
          <w:spacing w:val="-1"/>
        </w:rPr>
        <w:t>e</w:t>
      </w:r>
      <w:r w:rsidRPr="00FD02DE">
        <w:rPr>
          <w:rFonts w:cstheme="minorHAnsi"/>
        </w:rPr>
        <w:t>r sh</w:t>
      </w:r>
      <w:r w:rsidRPr="00FD02DE">
        <w:rPr>
          <w:rFonts w:cstheme="minorHAnsi"/>
          <w:spacing w:val="-1"/>
        </w:rPr>
        <w:t>a</w:t>
      </w:r>
      <w:r w:rsidRPr="00FD02DE">
        <w:rPr>
          <w:rFonts w:cstheme="minorHAnsi"/>
        </w:rPr>
        <w:t>ll</w:t>
      </w:r>
      <w:r w:rsidRPr="00FD02DE">
        <w:rPr>
          <w:rFonts w:cstheme="minorHAnsi"/>
          <w:spacing w:val="1"/>
        </w:rPr>
        <w:t xml:space="preserve"> </w:t>
      </w:r>
      <w:r w:rsidRPr="00FD02DE">
        <w:rPr>
          <w:rFonts w:cstheme="minorHAnsi"/>
          <w:spacing w:val="-1"/>
        </w:rPr>
        <w:t>e</w:t>
      </w:r>
      <w:r w:rsidRPr="00FD02DE">
        <w:rPr>
          <w:rFonts w:cstheme="minorHAnsi"/>
          <w:spacing w:val="2"/>
        </w:rPr>
        <w:t>x</w:t>
      </w:r>
      <w:r w:rsidRPr="00FD02DE">
        <w:rPr>
          <w:rFonts w:cstheme="minorHAnsi"/>
          <w:spacing w:val="-1"/>
        </w:rPr>
        <w:t>c</w:t>
      </w:r>
      <w:r w:rsidRPr="00FD02DE">
        <w:rPr>
          <w:rFonts w:cstheme="minorHAnsi"/>
        </w:rPr>
        <w:t xml:space="preserve">lude </w:t>
      </w:r>
      <w:r w:rsidRPr="00FD02DE">
        <w:rPr>
          <w:rFonts w:cstheme="minorHAnsi"/>
          <w:spacing w:val="3"/>
        </w:rPr>
        <w:t>t</w:t>
      </w:r>
      <w:r w:rsidRPr="00FD02DE">
        <w:rPr>
          <w:rFonts w:cstheme="minorHAnsi"/>
        </w:rPr>
        <w:t>h</w:t>
      </w:r>
      <w:r w:rsidRPr="00FD02DE">
        <w:rPr>
          <w:rFonts w:cstheme="minorHAnsi"/>
          <w:spacing w:val="-1"/>
        </w:rPr>
        <w:t>e</w:t>
      </w:r>
      <w:r w:rsidRPr="00FD02DE">
        <w:rPr>
          <w:rFonts w:cstheme="minorHAnsi"/>
        </w:rPr>
        <w:t>ms</w:t>
      </w:r>
      <w:r w:rsidRPr="00FD02DE">
        <w:rPr>
          <w:rFonts w:cstheme="minorHAnsi"/>
          <w:spacing w:val="-1"/>
        </w:rPr>
        <w:t>e</w:t>
      </w:r>
      <w:r w:rsidRPr="00FD02DE">
        <w:rPr>
          <w:rFonts w:cstheme="minorHAnsi"/>
        </w:rPr>
        <w:t>lv</w:t>
      </w:r>
      <w:r w:rsidRPr="00FD02DE">
        <w:rPr>
          <w:rFonts w:cstheme="minorHAnsi"/>
          <w:spacing w:val="-1"/>
        </w:rPr>
        <w:t>e</w:t>
      </w:r>
      <w:r w:rsidRPr="00FD02DE">
        <w:rPr>
          <w:rFonts w:cstheme="minorHAnsi"/>
        </w:rPr>
        <w:t>s</w:t>
      </w:r>
      <w:r w:rsidRPr="00FD02DE">
        <w:rPr>
          <w:rFonts w:cstheme="minorHAnsi"/>
          <w:spacing w:val="1"/>
        </w:rPr>
        <w:t xml:space="preserve"> </w:t>
      </w:r>
      <w:r w:rsidRPr="00FD02DE">
        <w:rPr>
          <w:rFonts w:cstheme="minorHAnsi"/>
          <w:spacing w:val="-1"/>
        </w:rPr>
        <w:t>fr</w:t>
      </w:r>
      <w:r w:rsidRPr="00FD02DE">
        <w:rPr>
          <w:rFonts w:cstheme="minorHAnsi"/>
        </w:rPr>
        <w:t>om</w:t>
      </w:r>
      <w:r w:rsidRPr="00FD02DE">
        <w:rPr>
          <w:rFonts w:cstheme="minorHAnsi"/>
          <w:spacing w:val="1"/>
        </w:rPr>
        <w:t xml:space="preserve"> </w:t>
      </w:r>
      <w:r w:rsidRPr="00FD02DE">
        <w:rPr>
          <w:rFonts w:cstheme="minorHAnsi"/>
        </w:rPr>
        <w:t>t</w:t>
      </w:r>
      <w:r w:rsidRPr="00FD02DE">
        <w:rPr>
          <w:rFonts w:cstheme="minorHAnsi"/>
          <w:spacing w:val="2"/>
        </w:rPr>
        <w:t>h</w:t>
      </w:r>
      <w:r w:rsidRPr="00FD02DE">
        <w:rPr>
          <w:rFonts w:cstheme="minorHAnsi"/>
        </w:rPr>
        <w:t xml:space="preserve">e </w:t>
      </w:r>
      <w:r w:rsidRPr="00FD02DE">
        <w:rPr>
          <w:rFonts w:cstheme="minorHAnsi"/>
          <w:spacing w:val="2"/>
        </w:rPr>
        <w:t>r</w:t>
      </w:r>
      <w:r w:rsidRPr="00FD02DE">
        <w:rPr>
          <w:rFonts w:cstheme="minorHAnsi"/>
        </w:rPr>
        <w:t>oom</w:t>
      </w:r>
      <w:r w:rsidRPr="00FD02DE">
        <w:rPr>
          <w:rFonts w:cstheme="minorHAnsi"/>
          <w:spacing w:val="1"/>
        </w:rPr>
        <w:t xml:space="preserve"> </w:t>
      </w:r>
      <w:r w:rsidRPr="00FD02DE">
        <w:rPr>
          <w:rFonts w:cstheme="minorHAnsi"/>
          <w:spacing w:val="-1"/>
        </w:rPr>
        <w:t>a</w:t>
      </w:r>
      <w:r w:rsidRPr="00FD02DE">
        <w:rPr>
          <w:rFonts w:cstheme="minorHAnsi"/>
        </w:rPr>
        <w:t>nd</w:t>
      </w:r>
      <w:r w:rsidRPr="00FD02DE">
        <w:rPr>
          <w:rFonts w:cstheme="minorHAnsi"/>
          <w:spacing w:val="1"/>
        </w:rPr>
        <w:t xml:space="preserve"> </w:t>
      </w:r>
      <w:r w:rsidRPr="00FD02DE">
        <w:rPr>
          <w:rFonts w:cstheme="minorHAnsi"/>
        </w:rPr>
        <w:t>not p</w:t>
      </w:r>
      <w:r w:rsidRPr="00FD02DE">
        <w:rPr>
          <w:rFonts w:cstheme="minorHAnsi"/>
          <w:spacing w:val="-1"/>
        </w:rPr>
        <w:t>ar</w:t>
      </w:r>
      <w:r w:rsidRPr="00FD02DE">
        <w:rPr>
          <w:rFonts w:cstheme="minorHAnsi"/>
        </w:rPr>
        <w:t>ti</w:t>
      </w:r>
      <w:r w:rsidRPr="00FD02DE">
        <w:rPr>
          <w:rFonts w:cstheme="minorHAnsi"/>
          <w:spacing w:val="-1"/>
        </w:rPr>
        <w:t>c</w:t>
      </w:r>
      <w:r w:rsidRPr="00FD02DE">
        <w:rPr>
          <w:rFonts w:cstheme="minorHAnsi"/>
        </w:rPr>
        <w:t>ip</w:t>
      </w:r>
      <w:r w:rsidRPr="00FD02DE">
        <w:rPr>
          <w:rFonts w:cstheme="minorHAnsi"/>
          <w:spacing w:val="-1"/>
        </w:rPr>
        <w:t>a</w:t>
      </w:r>
      <w:r w:rsidRPr="00FD02DE">
        <w:rPr>
          <w:rFonts w:cstheme="minorHAnsi"/>
        </w:rPr>
        <w:t>te</w:t>
      </w:r>
      <w:r w:rsidRPr="00FD02DE">
        <w:rPr>
          <w:rFonts w:cstheme="minorHAnsi"/>
          <w:spacing w:val="-1"/>
        </w:rPr>
        <w:t xml:space="preserve"> </w:t>
      </w:r>
      <w:r w:rsidRPr="00FD02DE">
        <w:rPr>
          <w:rFonts w:cstheme="minorHAnsi"/>
        </w:rPr>
        <w:t>in th</w:t>
      </w:r>
      <w:r w:rsidRPr="00FD02DE">
        <w:rPr>
          <w:rFonts w:cstheme="minorHAnsi"/>
          <w:spacing w:val="-1"/>
        </w:rPr>
        <w:t>a</w:t>
      </w:r>
      <w:r w:rsidRPr="00FD02DE">
        <w:rPr>
          <w:rFonts w:cstheme="minorHAnsi"/>
        </w:rPr>
        <w:t>t p</w:t>
      </w:r>
      <w:r w:rsidRPr="00FD02DE">
        <w:rPr>
          <w:rFonts w:cstheme="minorHAnsi"/>
          <w:spacing w:val="-1"/>
        </w:rPr>
        <w:t>ar</w:t>
      </w:r>
      <w:r w:rsidRPr="00FD02DE">
        <w:rPr>
          <w:rFonts w:cstheme="minorHAnsi"/>
        </w:rPr>
        <w:t xml:space="preserve">t </w:t>
      </w:r>
      <w:r w:rsidRPr="00FD02DE">
        <w:rPr>
          <w:rFonts w:cstheme="minorHAnsi"/>
          <w:spacing w:val="2"/>
        </w:rPr>
        <w:t>o</w:t>
      </w:r>
      <w:r w:rsidRPr="00FD02DE">
        <w:rPr>
          <w:rFonts w:cstheme="minorHAnsi"/>
        </w:rPr>
        <w:t>f</w:t>
      </w:r>
      <w:r w:rsidRPr="00FD02DE">
        <w:rPr>
          <w:rFonts w:cstheme="minorHAnsi"/>
          <w:spacing w:val="2"/>
        </w:rPr>
        <w:t xml:space="preserve"> </w:t>
      </w:r>
      <w:r w:rsidRPr="00FD02DE">
        <w:rPr>
          <w:rFonts w:cstheme="minorHAnsi"/>
        </w:rPr>
        <w:t>the</w:t>
      </w:r>
      <w:r w:rsidRPr="00FD02DE">
        <w:rPr>
          <w:rFonts w:cstheme="minorHAnsi"/>
          <w:spacing w:val="-1"/>
        </w:rPr>
        <w:t xml:space="preserve"> </w:t>
      </w:r>
      <w:r w:rsidRPr="00FD02DE">
        <w:rPr>
          <w:rFonts w:cstheme="minorHAnsi"/>
        </w:rPr>
        <w:t>m</w:t>
      </w:r>
      <w:r w:rsidRPr="00FD02DE">
        <w:rPr>
          <w:rFonts w:cstheme="minorHAnsi"/>
          <w:spacing w:val="-1"/>
        </w:rPr>
        <w:t>ee</w:t>
      </w:r>
      <w:r w:rsidRPr="00FD02DE">
        <w:rPr>
          <w:rFonts w:cstheme="minorHAnsi"/>
        </w:rPr>
        <w:t>tin</w:t>
      </w:r>
      <w:r w:rsidRPr="00FD02DE">
        <w:rPr>
          <w:rFonts w:cstheme="minorHAnsi"/>
          <w:spacing w:val="-3"/>
        </w:rPr>
        <w:t>g</w:t>
      </w:r>
      <w:r w:rsidRPr="00FD02DE">
        <w:rPr>
          <w:rFonts w:cstheme="minorHAnsi"/>
        </w:rPr>
        <w:t>.</w:t>
      </w:r>
    </w:p>
    <w:p w14:paraId="4EEF7C2D" w14:textId="77777777" w:rsidR="00272EB4" w:rsidRPr="00FD02DE" w:rsidRDefault="00272EB4" w:rsidP="00272EB4">
      <w:pPr>
        <w:widowControl w:val="0"/>
        <w:tabs>
          <w:tab w:val="left" w:pos="1985"/>
        </w:tabs>
        <w:spacing w:before="200" w:after="0" w:line="240" w:lineRule="auto"/>
        <w:ind w:right="74"/>
        <w:jc w:val="both"/>
        <w:rPr>
          <w:rFonts w:cstheme="minorHAnsi"/>
          <w:sz w:val="24"/>
        </w:rPr>
      </w:pPr>
      <w:r w:rsidRPr="00FD02DE">
        <w:rPr>
          <w:rFonts w:cstheme="minorHAnsi"/>
          <w:b/>
          <w:bCs/>
          <w:spacing w:val="-3"/>
          <w:sz w:val="24"/>
        </w:rPr>
        <w:t>F</w:t>
      </w:r>
      <w:r w:rsidRPr="00FD02DE">
        <w:rPr>
          <w:rFonts w:cstheme="minorHAnsi"/>
          <w:b/>
          <w:bCs/>
          <w:sz w:val="24"/>
        </w:rPr>
        <w:t>i</w:t>
      </w:r>
      <w:r w:rsidRPr="00FD02DE">
        <w:rPr>
          <w:rFonts w:cstheme="minorHAnsi"/>
          <w:b/>
          <w:bCs/>
          <w:spacing w:val="1"/>
          <w:sz w:val="24"/>
        </w:rPr>
        <w:t>na</w:t>
      </w:r>
      <w:r w:rsidRPr="00FD02DE">
        <w:rPr>
          <w:rFonts w:cstheme="minorHAnsi"/>
          <w:b/>
          <w:bCs/>
          <w:sz w:val="24"/>
        </w:rPr>
        <w:t>n</w:t>
      </w:r>
      <w:r w:rsidRPr="00FD02DE">
        <w:rPr>
          <w:rFonts w:cstheme="minorHAnsi"/>
          <w:b/>
          <w:bCs/>
          <w:spacing w:val="-1"/>
          <w:sz w:val="24"/>
        </w:rPr>
        <w:t>c</w:t>
      </w:r>
      <w:r w:rsidRPr="00FD02DE">
        <w:rPr>
          <w:rFonts w:cstheme="minorHAnsi"/>
          <w:b/>
          <w:bCs/>
          <w:sz w:val="24"/>
        </w:rPr>
        <w:t>i</w:t>
      </w:r>
      <w:r w:rsidRPr="00FD02DE">
        <w:rPr>
          <w:rFonts w:cstheme="minorHAnsi"/>
          <w:b/>
          <w:bCs/>
          <w:spacing w:val="1"/>
          <w:sz w:val="24"/>
        </w:rPr>
        <w:t>a</w:t>
      </w:r>
      <w:r w:rsidRPr="00FD02DE">
        <w:rPr>
          <w:rFonts w:cstheme="minorHAnsi"/>
          <w:b/>
          <w:bCs/>
          <w:sz w:val="24"/>
        </w:rPr>
        <w:t xml:space="preserve">l </w:t>
      </w:r>
      <w:r w:rsidRPr="00FD02DE">
        <w:rPr>
          <w:rFonts w:cstheme="minorHAnsi"/>
          <w:b/>
          <w:bCs/>
          <w:spacing w:val="1"/>
          <w:sz w:val="24"/>
        </w:rPr>
        <w:t>a</w:t>
      </w:r>
      <w:r w:rsidRPr="00FD02DE">
        <w:rPr>
          <w:rFonts w:cstheme="minorHAnsi"/>
          <w:b/>
          <w:bCs/>
          <w:sz w:val="24"/>
        </w:rPr>
        <w:t>nd</w:t>
      </w:r>
      <w:r w:rsidRPr="00FD02DE">
        <w:rPr>
          <w:rFonts w:cstheme="minorHAnsi"/>
          <w:b/>
          <w:bCs/>
          <w:spacing w:val="1"/>
          <w:sz w:val="24"/>
        </w:rPr>
        <w:t xml:space="preserve"> </w:t>
      </w:r>
      <w:r w:rsidRPr="00FD02DE">
        <w:rPr>
          <w:rFonts w:cstheme="minorHAnsi"/>
          <w:b/>
          <w:bCs/>
          <w:sz w:val="24"/>
        </w:rPr>
        <w:t>I</w:t>
      </w:r>
      <w:r w:rsidRPr="00FD02DE">
        <w:rPr>
          <w:rFonts w:cstheme="minorHAnsi"/>
          <w:b/>
          <w:bCs/>
          <w:spacing w:val="1"/>
          <w:sz w:val="24"/>
        </w:rPr>
        <w:t>n</w:t>
      </w:r>
      <w:r w:rsidRPr="00FD02DE">
        <w:rPr>
          <w:rFonts w:cstheme="minorHAnsi"/>
          <w:b/>
          <w:bCs/>
          <w:spacing w:val="-2"/>
          <w:sz w:val="24"/>
        </w:rPr>
        <w:t>s</w:t>
      </w:r>
      <w:r w:rsidRPr="00FD02DE">
        <w:rPr>
          <w:rFonts w:cstheme="minorHAnsi"/>
          <w:b/>
          <w:bCs/>
          <w:spacing w:val="1"/>
          <w:sz w:val="24"/>
        </w:rPr>
        <w:t>u</w:t>
      </w:r>
      <w:r w:rsidRPr="00FD02DE">
        <w:rPr>
          <w:rFonts w:cstheme="minorHAnsi"/>
          <w:b/>
          <w:bCs/>
          <w:spacing w:val="-1"/>
          <w:sz w:val="24"/>
        </w:rPr>
        <w:t>r</w:t>
      </w:r>
      <w:r w:rsidRPr="00FD02DE">
        <w:rPr>
          <w:rFonts w:cstheme="minorHAnsi"/>
          <w:b/>
          <w:bCs/>
          <w:spacing w:val="1"/>
          <w:sz w:val="24"/>
        </w:rPr>
        <w:t>a</w:t>
      </w:r>
      <w:r w:rsidRPr="00FD02DE">
        <w:rPr>
          <w:rFonts w:cstheme="minorHAnsi"/>
          <w:b/>
          <w:bCs/>
          <w:sz w:val="24"/>
        </w:rPr>
        <w:t>n</w:t>
      </w:r>
      <w:r w:rsidRPr="00FD02DE">
        <w:rPr>
          <w:rFonts w:cstheme="minorHAnsi"/>
          <w:b/>
          <w:bCs/>
          <w:spacing w:val="-1"/>
          <w:sz w:val="24"/>
        </w:rPr>
        <w:t>ce</w:t>
      </w:r>
      <w:r w:rsidRPr="00FD02DE">
        <w:rPr>
          <w:rFonts w:cstheme="minorHAnsi"/>
          <w:b/>
          <w:bCs/>
          <w:sz w:val="24"/>
        </w:rPr>
        <w:t>s</w:t>
      </w:r>
    </w:p>
    <w:p w14:paraId="547BB1F9" w14:textId="77777777" w:rsidR="00272EB4" w:rsidRPr="00FD02DE" w:rsidRDefault="00272EB4" w:rsidP="00272EB4">
      <w:pPr>
        <w:widowControl w:val="0"/>
        <w:spacing w:after="0" w:line="240" w:lineRule="auto"/>
        <w:ind w:right="77"/>
        <w:jc w:val="both"/>
        <w:rPr>
          <w:rFonts w:cstheme="minorHAnsi"/>
        </w:rPr>
      </w:pPr>
      <w:r w:rsidRPr="00FD02DE">
        <w:rPr>
          <w:rFonts w:cstheme="minorHAnsi"/>
        </w:rPr>
        <w:t>T</w:t>
      </w:r>
      <w:r w:rsidRPr="00FD02DE">
        <w:rPr>
          <w:rFonts w:cstheme="minorHAnsi"/>
          <w:spacing w:val="-1"/>
        </w:rPr>
        <w:t>h</w:t>
      </w:r>
      <w:r w:rsidRPr="00FD02DE">
        <w:rPr>
          <w:rFonts w:cstheme="minorHAnsi"/>
        </w:rPr>
        <w:t>e</w:t>
      </w:r>
      <w:r w:rsidRPr="00FD02DE">
        <w:rPr>
          <w:rFonts w:cstheme="minorHAnsi"/>
          <w:spacing w:val="55"/>
        </w:rPr>
        <w:t xml:space="preserve"> </w:t>
      </w:r>
      <w:r w:rsidRPr="00FD02DE">
        <w:rPr>
          <w:rFonts w:cstheme="minorHAnsi"/>
          <w:spacing w:val="1"/>
        </w:rPr>
        <w:t>Town</w:t>
      </w:r>
      <w:r w:rsidRPr="00FD02DE">
        <w:rPr>
          <w:rFonts w:cstheme="minorHAnsi"/>
          <w:spacing w:val="50"/>
        </w:rPr>
        <w:t xml:space="preserve"> </w:t>
      </w:r>
      <w:r w:rsidRPr="00FD02DE">
        <w:rPr>
          <w:rFonts w:cstheme="minorHAnsi"/>
        </w:rPr>
        <w:t>will</w:t>
      </w:r>
      <w:r w:rsidRPr="00FD02DE">
        <w:rPr>
          <w:rFonts w:cstheme="minorHAnsi"/>
          <w:spacing w:val="56"/>
        </w:rPr>
        <w:t xml:space="preserve"> </w:t>
      </w:r>
      <w:r w:rsidRPr="00FD02DE">
        <w:rPr>
          <w:rFonts w:cstheme="minorHAnsi"/>
          <w:spacing w:val="1"/>
        </w:rPr>
        <w:t>a</w:t>
      </w:r>
      <w:r w:rsidRPr="00FD02DE">
        <w:rPr>
          <w:rFonts w:cstheme="minorHAnsi"/>
          <w:spacing w:val="-1"/>
        </w:rPr>
        <w:t>rra</w:t>
      </w:r>
      <w:r w:rsidRPr="00FD02DE">
        <w:rPr>
          <w:rFonts w:cstheme="minorHAnsi"/>
          <w:spacing w:val="2"/>
        </w:rPr>
        <w:t>n</w:t>
      </w:r>
      <w:r w:rsidRPr="00FD02DE">
        <w:rPr>
          <w:rFonts w:cstheme="minorHAnsi"/>
          <w:spacing w:val="-1"/>
        </w:rPr>
        <w:t>g</w:t>
      </w:r>
      <w:r w:rsidRPr="00FD02DE">
        <w:rPr>
          <w:rFonts w:cstheme="minorHAnsi"/>
        </w:rPr>
        <w:t>e</w:t>
      </w:r>
      <w:r w:rsidRPr="00FD02DE">
        <w:rPr>
          <w:rFonts w:cstheme="minorHAnsi"/>
          <w:spacing w:val="55"/>
        </w:rPr>
        <w:t xml:space="preserve"> </w:t>
      </w:r>
      <w:r w:rsidRPr="00FD02DE">
        <w:rPr>
          <w:rFonts w:cstheme="minorHAnsi"/>
          <w:spacing w:val="1"/>
        </w:rPr>
        <w:t>a</w:t>
      </w:r>
      <w:r w:rsidRPr="00FD02DE">
        <w:rPr>
          <w:rFonts w:cstheme="minorHAnsi"/>
        </w:rPr>
        <w:t>ll</w:t>
      </w:r>
      <w:r w:rsidRPr="00FD02DE">
        <w:rPr>
          <w:rFonts w:cstheme="minorHAnsi"/>
          <w:spacing w:val="56"/>
        </w:rPr>
        <w:t xml:space="preserve"> </w:t>
      </w:r>
      <w:r w:rsidRPr="00FD02DE">
        <w:rPr>
          <w:rFonts w:cstheme="minorHAnsi"/>
        </w:rPr>
        <w:t>i</w:t>
      </w:r>
      <w:r w:rsidRPr="00FD02DE">
        <w:rPr>
          <w:rFonts w:cstheme="minorHAnsi"/>
          <w:spacing w:val="-1"/>
        </w:rPr>
        <w:t>n</w:t>
      </w:r>
      <w:r w:rsidRPr="00FD02DE">
        <w:rPr>
          <w:rFonts w:cstheme="minorHAnsi"/>
          <w:spacing w:val="1"/>
        </w:rPr>
        <w:t>s</w:t>
      </w:r>
      <w:r w:rsidRPr="00FD02DE">
        <w:rPr>
          <w:rFonts w:cstheme="minorHAnsi"/>
          <w:spacing w:val="-1"/>
        </w:rPr>
        <w:t>u</w:t>
      </w:r>
      <w:r w:rsidRPr="00FD02DE">
        <w:rPr>
          <w:rFonts w:cstheme="minorHAnsi"/>
        </w:rPr>
        <w:t>r</w:t>
      </w:r>
      <w:r w:rsidRPr="00FD02DE">
        <w:rPr>
          <w:rFonts w:cstheme="minorHAnsi"/>
          <w:spacing w:val="-1"/>
        </w:rPr>
        <w:t>an</w:t>
      </w:r>
      <w:r w:rsidRPr="00FD02DE">
        <w:rPr>
          <w:rFonts w:cstheme="minorHAnsi"/>
        </w:rPr>
        <w:t>ce</w:t>
      </w:r>
      <w:r w:rsidRPr="00FD02DE">
        <w:rPr>
          <w:rFonts w:cstheme="minorHAnsi"/>
          <w:spacing w:val="54"/>
        </w:rPr>
        <w:t xml:space="preserve"> </w:t>
      </w:r>
      <w:r w:rsidRPr="00FD02DE">
        <w:rPr>
          <w:rFonts w:cstheme="minorHAnsi"/>
        </w:rPr>
        <w:t>to</w:t>
      </w:r>
      <w:r w:rsidRPr="00FD02DE">
        <w:rPr>
          <w:rFonts w:cstheme="minorHAnsi"/>
          <w:spacing w:val="55"/>
        </w:rPr>
        <w:t xml:space="preserve"> </w:t>
      </w:r>
      <w:r w:rsidRPr="00FD02DE">
        <w:rPr>
          <w:rFonts w:cstheme="minorHAnsi"/>
          <w:spacing w:val="-1"/>
        </w:rPr>
        <w:t>co</w:t>
      </w:r>
      <w:r w:rsidRPr="00FD02DE">
        <w:rPr>
          <w:rFonts w:cstheme="minorHAnsi"/>
          <w:spacing w:val="3"/>
        </w:rPr>
        <w:t>v</w:t>
      </w:r>
      <w:r w:rsidRPr="00FD02DE">
        <w:rPr>
          <w:rFonts w:cstheme="minorHAnsi"/>
          <w:spacing w:val="-1"/>
        </w:rPr>
        <w:t>e</w:t>
      </w:r>
      <w:r w:rsidRPr="00FD02DE">
        <w:rPr>
          <w:rFonts w:cstheme="minorHAnsi"/>
        </w:rPr>
        <w:t>r</w:t>
      </w:r>
      <w:r w:rsidRPr="00FD02DE">
        <w:rPr>
          <w:rFonts w:cstheme="minorHAnsi"/>
          <w:spacing w:val="54"/>
        </w:rPr>
        <w:t xml:space="preserve"> </w:t>
      </w:r>
      <w:r w:rsidRPr="00FD02DE">
        <w:rPr>
          <w:rFonts w:cstheme="minorHAnsi"/>
          <w:spacing w:val="2"/>
        </w:rPr>
        <w:t>Panel</w:t>
      </w:r>
      <w:r w:rsidRPr="00FD02DE">
        <w:rPr>
          <w:rFonts w:cstheme="minorHAnsi"/>
          <w:spacing w:val="56"/>
        </w:rPr>
        <w:t xml:space="preserve"> </w:t>
      </w:r>
      <w:r w:rsidRPr="00FD02DE">
        <w:rPr>
          <w:rFonts w:cstheme="minorHAnsi"/>
        </w:rPr>
        <w:t>m</w:t>
      </w:r>
      <w:r w:rsidRPr="00FD02DE">
        <w:rPr>
          <w:rFonts w:cstheme="minorHAnsi"/>
          <w:spacing w:val="-1"/>
        </w:rPr>
        <w:t>e</w:t>
      </w:r>
      <w:r w:rsidRPr="00FD02DE">
        <w:rPr>
          <w:rFonts w:cstheme="minorHAnsi"/>
        </w:rPr>
        <w:t>m</w:t>
      </w:r>
      <w:r w:rsidRPr="00FD02DE">
        <w:rPr>
          <w:rFonts w:cstheme="minorHAnsi"/>
          <w:spacing w:val="-1"/>
        </w:rPr>
        <w:t>b</w:t>
      </w:r>
      <w:r w:rsidRPr="00FD02DE">
        <w:rPr>
          <w:rFonts w:cstheme="minorHAnsi"/>
        </w:rPr>
        <w:t>e</w:t>
      </w:r>
      <w:r w:rsidRPr="00FD02DE">
        <w:rPr>
          <w:rFonts w:cstheme="minorHAnsi"/>
          <w:spacing w:val="-1"/>
        </w:rPr>
        <w:t>r</w:t>
      </w:r>
      <w:r w:rsidRPr="00FD02DE">
        <w:rPr>
          <w:rFonts w:cstheme="minorHAnsi"/>
        </w:rPr>
        <w:t>s wh</w:t>
      </w:r>
      <w:r w:rsidRPr="00FD02DE">
        <w:rPr>
          <w:rFonts w:cstheme="minorHAnsi"/>
          <w:spacing w:val="1"/>
        </w:rPr>
        <w:t>i</w:t>
      </w:r>
      <w:r w:rsidRPr="00FD02DE">
        <w:rPr>
          <w:rFonts w:cstheme="minorHAnsi"/>
        </w:rPr>
        <w:t>lst</w:t>
      </w:r>
      <w:r w:rsidRPr="00FD02DE">
        <w:rPr>
          <w:rFonts w:cstheme="minorHAnsi"/>
          <w:spacing w:val="3"/>
        </w:rPr>
        <w:t xml:space="preserve"> </w:t>
      </w:r>
      <w:r w:rsidRPr="00FD02DE">
        <w:rPr>
          <w:rFonts w:cstheme="minorHAnsi"/>
        </w:rPr>
        <w:t>dis</w:t>
      </w:r>
      <w:r w:rsidRPr="00FD02DE">
        <w:rPr>
          <w:rFonts w:cstheme="minorHAnsi"/>
          <w:spacing w:val="-1"/>
        </w:rPr>
        <w:t>c</w:t>
      </w:r>
      <w:r w:rsidRPr="00FD02DE">
        <w:rPr>
          <w:rFonts w:cstheme="minorHAnsi"/>
        </w:rPr>
        <w:t>h</w:t>
      </w:r>
      <w:r w:rsidRPr="00FD02DE">
        <w:rPr>
          <w:rFonts w:cstheme="minorHAnsi"/>
          <w:spacing w:val="-1"/>
        </w:rPr>
        <w:t>ar</w:t>
      </w:r>
      <w:r w:rsidRPr="00FD02DE">
        <w:rPr>
          <w:rFonts w:cstheme="minorHAnsi"/>
          <w:spacing w:val="-2"/>
        </w:rPr>
        <w:t>g</w:t>
      </w:r>
      <w:r w:rsidRPr="00FD02DE">
        <w:rPr>
          <w:rFonts w:cstheme="minorHAnsi"/>
        </w:rPr>
        <w:t>i</w:t>
      </w:r>
      <w:r w:rsidRPr="00FD02DE">
        <w:rPr>
          <w:rFonts w:cstheme="minorHAnsi"/>
          <w:spacing w:val="2"/>
        </w:rPr>
        <w:t>n</w:t>
      </w:r>
      <w:r w:rsidRPr="00FD02DE">
        <w:rPr>
          <w:rFonts w:cstheme="minorHAnsi"/>
        </w:rPr>
        <w:t>g th</w:t>
      </w:r>
      <w:r w:rsidRPr="00FD02DE">
        <w:rPr>
          <w:rFonts w:cstheme="minorHAnsi"/>
          <w:spacing w:val="-1"/>
        </w:rPr>
        <w:t>e</w:t>
      </w:r>
      <w:r w:rsidRPr="00FD02DE">
        <w:rPr>
          <w:rFonts w:cstheme="minorHAnsi"/>
        </w:rPr>
        <w:t>ir</w:t>
      </w:r>
      <w:r w:rsidRPr="00FD02DE">
        <w:rPr>
          <w:rFonts w:cstheme="minorHAnsi"/>
          <w:spacing w:val="4"/>
        </w:rPr>
        <w:t xml:space="preserve"> </w:t>
      </w:r>
      <w:r w:rsidRPr="00FD02DE">
        <w:rPr>
          <w:rFonts w:cstheme="minorHAnsi"/>
        </w:rPr>
        <w:t>no</w:t>
      </w:r>
      <w:r w:rsidRPr="00FD02DE">
        <w:rPr>
          <w:rFonts w:cstheme="minorHAnsi"/>
          <w:spacing w:val="-1"/>
        </w:rPr>
        <w:t>r</w:t>
      </w:r>
      <w:r w:rsidRPr="00FD02DE">
        <w:rPr>
          <w:rFonts w:cstheme="minorHAnsi"/>
        </w:rPr>
        <w:t>m</w:t>
      </w:r>
      <w:r w:rsidRPr="00FD02DE">
        <w:rPr>
          <w:rFonts w:cstheme="minorHAnsi"/>
          <w:spacing w:val="-1"/>
        </w:rPr>
        <w:t>a</w:t>
      </w:r>
      <w:r w:rsidRPr="00FD02DE">
        <w:rPr>
          <w:rFonts w:cstheme="minorHAnsi"/>
        </w:rPr>
        <w:t>l</w:t>
      </w:r>
      <w:r w:rsidRPr="00FD02DE">
        <w:rPr>
          <w:rFonts w:cstheme="minorHAnsi"/>
          <w:spacing w:val="3"/>
        </w:rPr>
        <w:t xml:space="preserve"> </w:t>
      </w:r>
      <w:r w:rsidRPr="00FD02DE">
        <w:rPr>
          <w:rFonts w:cstheme="minorHAnsi"/>
          <w:spacing w:val="-1"/>
        </w:rPr>
        <w:t>c</w:t>
      </w:r>
      <w:r w:rsidRPr="00FD02DE">
        <w:rPr>
          <w:rFonts w:cstheme="minorHAnsi"/>
        </w:rPr>
        <w:t>ou</w:t>
      </w:r>
      <w:r w:rsidRPr="00FD02DE">
        <w:rPr>
          <w:rFonts w:cstheme="minorHAnsi"/>
          <w:spacing w:val="-1"/>
        </w:rPr>
        <w:t>r</w:t>
      </w:r>
      <w:r w:rsidRPr="00FD02DE">
        <w:rPr>
          <w:rFonts w:cstheme="minorHAnsi"/>
        </w:rPr>
        <w:t>se</w:t>
      </w:r>
      <w:r w:rsidRPr="00FD02DE">
        <w:rPr>
          <w:rFonts w:cstheme="minorHAnsi"/>
          <w:spacing w:val="1"/>
        </w:rPr>
        <w:t xml:space="preserve"> </w:t>
      </w:r>
      <w:r w:rsidRPr="00FD02DE">
        <w:rPr>
          <w:rFonts w:cstheme="minorHAnsi"/>
        </w:rPr>
        <w:t>of</w:t>
      </w:r>
      <w:r w:rsidRPr="00FD02DE">
        <w:rPr>
          <w:rFonts w:cstheme="minorHAnsi"/>
          <w:spacing w:val="2"/>
        </w:rPr>
        <w:t xml:space="preserve"> </w:t>
      </w:r>
      <w:r w:rsidRPr="00FD02DE">
        <w:rPr>
          <w:rFonts w:cstheme="minorHAnsi"/>
        </w:rPr>
        <w:t>du</w:t>
      </w:r>
      <w:r w:rsidRPr="00FD02DE">
        <w:rPr>
          <w:rFonts w:cstheme="minorHAnsi"/>
          <w:spacing w:val="5"/>
        </w:rPr>
        <w:t>t</w:t>
      </w:r>
      <w:r w:rsidRPr="00FD02DE">
        <w:rPr>
          <w:rFonts w:cstheme="minorHAnsi"/>
          <w:spacing w:val="-5"/>
        </w:rPr>
        <w:t>y</w:t>
      </w:r>
      <w:r w:rsidRPr="00FD02DE">
        <w:rPr>
          <w:rFonts w:cstheme="minorHAnsi"/>
        </w:rPr>
        <w:t>,</w:t>
      </w:r>
      <w:r w:rsidRPr="00FD02DE">
        <w:rPr>
          <w:rFonts w:cstheme="minorHAnsi"/>
          <w:spacing w:val="2"/>
        </w:rPr>
        <w:t xml:space="preserve"> </w:t>
      </w:r>
      <w:r w:rsidRPr="00FD02DE">
        <w:rPr>
          <w:rFonts w:cstheme="minorHAnsi"/>
          <w:spacing w:val="3"/>
        </w:rPr>
        <w:t>i</w:t>
      </w:r>
      <w:r w:rsidRPr="00FD02DE">
        <w:rPr>
          <w:rFonts w:cstheme="minorHAnsi"/>
        </w:rPr>
        <w:t>n</w:t>
      </w:r>
      <w:r w:rsidRPr="00FD02DE">
        <w:rPr>
          <w:rFonts w:cstheme="minorHAnsi"/>
          <w:spacing w:val="-1"/>
        </w:rPr>
        <w:t>c</w:t>
      </w:r>
      <w:r w:rsidRPr="00FD02DE">
        <w:rPr>
          <w:rFonts w:cstheme="minorHAnsi"/>
        </w:rPr>
        <w:t>luding t</w:t>
      </w:r>
      <w:r w:rsidRPr="00FD02DE">
        <w:rPr>
          <w:rFonts w:cstheme="minorHAnsi"/>
          <w:spacing w:val="-1"/>
        </w:rPr>
        <w:t>ra</w:t>
      </w:r>
      <w:r w:rsidRPr="00FD02DE">
        <w:rPr>
          <w:rFonts w:cstheme="minorHAnsi"/>
          <w:spacing w:val="2"/>
        </w:rPr>
        <w:t>v</w:t>
      </w:r>
      <w:r w:rsidRPr="00FD02DE">
        <w:rPr>
          <w:rFonts w:cstheme="minorHAnsi"/>
          <w:spacing w:val="-1"/>
        </w:rPr>
        <w:t>e</w:t>
      </w:r>
      <w:r w:rsidRPr="00FD02DE">
        <w:rPr>
          <w:rFonts w:cstheme="minorHAnsi"/>
        </w:rPr>
        <w:t xml:space="preserve">l to </w:t>
      </w:r>
      <w:r w:rsidRPr="00FD02DE">
        <w:rPr>
          <w:rFonts w:cstheme="minorHAnsi"/>
          <w:spacing w:val="-1"/>
        </w:rPr>
        <w:t>a</w:t>
      </w:r>
      <w:r w:rsidRPr="00FD02DE">
        <w:rPr>
          <w:rFonts w:cstheme="minorHAnsi"/>
        </w:rPr>
        <w:t xml:space="preserve">nd </w:t>
      </w:r>
      <w:r w:rsidRPr="00FD02DE">
        <w:rPr>
          <w:rFonts w:cstheme="minorHAnsi"/>
          <w:spacing w:val="-2"/>
        </w:rPr>
        <w:t>f</w:t>
      </w:r>
      <w:r w:rsidRPr="00FD02DE">
        <w:rPr>
          <w:rFonts w:cstheme="minorHAnsi"/>
          <w:spacing w:val="-1"/>
        </w:rPr>
        <w:t>r</w:t>
      </w:r>
      <w:r w:rsidRPr="00FD02DE">
        <w:rPr>
          <w:rFonts w:cstheme="minorHAnsi"/>
        </w:rPr>
        <w:t>om the</w:t>
      </w:r>
      <w:r w:rsidRPr="00FD02DE">
        <w:rPr>
          <w:rFonts w:cstheme="minorHAnsi"/>
          <w:spacing w:val="-1"/>
        </w:rPr>
        <w:t xml:space="preserve"> </w:t>
      </w:r>
      <w:r w:rsidRPr="00FD02DE">
        <w:rPr>
          <w:rFonts w:cstheme="minorHAnsi"/>
        </w:rPr>
        <w:t>m</w:t>
      </w:r>
      <w:r w:rsidRPr="00FD02DE">
        <w:rPr>
          <w:rFonts w:cstheme="minorHAnsi"/>
          <w:spacing w:val="-1"/>
        </w:rPr>
        <w:t>ee</w:t>
      </w:r>
      <w:r w:rsidRPr="00FD02DE">
        <w:rPr>
          <w:rFonts w:cstheme="minorHAnsi"/>
        </w:rPr>
        <w:t>ti</w:t>
      </w:r>
      <w:r w:rsidRPr="00FD02DE">
        <w:rPr>
          <w:rFonts w:cstheme="minorHAnsi"/>
          <w:spacing w:val="2"/>
        </w:rPr>
        <w:t>n</w:t>
      </w:r>
      <w:r w:rsidRPr="00FD02DE">
        <w:rPr>
          <w:rFonts w:cstheme="minorHAnsi"/>
          <w:spacing w:val="-2"/>
        </w:rPr>
        <w:t>g</w:t>
      </w:r>
      <w:r w:rsidRPr="00FD02DE">
        <w:rPr>
          <w:rFonts w:cstheme="minorHAnsi"/>
        </w:rPr>
        <w:t>.</w:t>
      </w:r>
    </w:p>
    <w:p w14:paraId="28677F51" w14:textId="77777777" w:rsidR="00272EB4" w:rsidRPr="00FD02DE" w:rsidRDefault="00272EB4" w:rsidP="00272EB4">
      <w:pPr>
        <w:widowControl w:val="0"/>
        <w:tabs>
          <w:tab w:val="left" w:pos="1540"/>
        </w:tabs>
        <w:spacing w:before="200" w:after="60" w:line="240" w:lineRule="auto"/>
        <w:ind w:right="-23"/>
        <w:jc w:val="both"/>
        <w:rPr>
          <w:rFonts w:cstheme="minorHAnsi"/>
          <w:sz w:val="24"/>
        </w:rPr>
      </w:pPr>
      <w:r w:rsidRPr="00FD02DE">
        <w:rPr>
          <w:rFonts w:cstheme="minorHAnsi"/>
          <w:b/>
          <w:bCs/>
          <w:spacing w:val="1"/>
          <w:sz w:val="24"/>
        </w:rPr>
        <w:t>T</w:t>
      </w:r>
      <w:r w:rsidRPr="00FD02DE">
        <w:rPr>
          <w:rFonts w:cstheme="minorHAnsi"/>
          <w:b/>
          <w:bCs/>
          <w:spacing w:val="-1"/>
          <w:sz w:val="24"/>
        </w:rPr>
        <w:t>e</w:t>
      </w:r>
      <w:r w:rsidRPr="00FD02DE">
        <w:rPr>
          <w:rFonts w:cstheme="minorHAnsi"/>
          <w:b/>
          <w:bCs/>
          <w:spacing w:val="1"/>
          <w:sz w:val="24"/>
        </w:rPr>
        <w:t>nu</w:t>
      </w:r>
      <w:r w:rsidRPr="00FD02DE">
        <w:rPr>
          <w:rFonts w:cstheme="minorHAnsi"/>
          <w:b/>
          <w:bCs/>
          <w:spacing w:val="-1"/>
          <w:sz w:val="24"/>
        </w:rPr>
        <w:t>r</w:t>
      </w:r>
      <w:r w:rsidRPr="00FD02DE">
        <w:rPr>
          <w:rFonts w:cstheme="minorHAnsi"/>
          <w:b/>
          <w:bCs/>
          <w:sz w:val="24"/>
        </w:rPr>
        <w:t>e</w:t>
      </w:r>
      <w:r w:rsidRPr="00FD02DE">
        <w:rPr>
          <w:rFonts w:cstheme="minorHAnsi"/>
          <w:b/>
          <w:bCs/>
          <w:spacing w:val="-1"/>
          <w:sz w:val="24"/>
        </w:rPr>
        <w:t xml:space="preserve"> </w:t>
      </w:r>
      <w:r w:rsidRPr="00FD02DE">
        <w:rPr>
          <w:rFonts w:cstheme="minorHAnsi"/>
          <w:b/>
          <w:bCs/>
          <w:spacing w:val="1"/>
          <w:sz w:val="24"/>
        </w:rPr>
        <w:t>o</w:t>
      </w:r>
      <w:r w:rsidRPr="00FD02DE">
        <w:rPr>
          <w:rFonts w:cstheme="minorHAnsi"/>
          <w:b/>
          <w:bCs/>
          <w:sz w:val="24"/>
        </w:rPr>
        <w:t>f</w:t>
      </w:r>
      <w:r w:rsidRPr="00FD02DE">
        <w:rPr>
          <w:rFonts w:cstheme="minorHAnsi"/>
          <w:b/>
          <w:bCs/>
          <w:spacing w:val="1"/>
          <w:sz w:val="24"/>
        </w:rPr>
        <w:t xml:space="preserve"> </w:t>
      </w:r>
      <w:r w:rsidRPr="00FD02DE">
        <w:rPr>
          <w:rFonts w:cstheme="minorHAnsi"/>
          <w:b/>
          <w:bCs/>
          <w:sz w:val="24"/>
        </w:rPr>
        <w:t>A</w:t>
      </w:r>
      <w:r w:rsidRPr="00FD02DE">
        <w:rPr>
          <w:rFonts w:cstheme="minorHAnsi"/>
          <w:b/>
          <w:bCs/>
          <w:spacing w:val="1"/>
          <w:sz w:val="24"/>
        </w:rPr>
        <w:t>ppo</w:t>
      </w:r>
      <w:r w:rsidRPr="00FD02DE">
        <w:rPr>
          <w:rFonts w:cstheme="minorHAnsi"/>
          <w:b/>
          <w:bCs/>
          <w:spacing w:val="-3"/>
          <w:sz w:val="24"/>
        </w:rPr>
        <w:t>i</w:t>
      </w:r>
      <w:r w:rsidRPr="00FD02DE">
        <w:rPr>
          <w:rFonts w:cstheme="minorHAnsi"/>
          <w:b/>
          <w:bCs/>
          <w:spacing w:val="1"/>
          <w:sz w:val="24"/>
        </w:rPr>
        <w:t>n</w:t>
      </w:r>
      <w:r w:rsidRPr="00FD02DE">
        <w:rPr>
          <w:rFonts w:cstheme="minorHAnsi"/>
          <w:b/>
          <w:bCs/>
          <w:spacing w:val="-1"/>
          <w:sz w:val="24"/>
        </w:rPr>
        <w:t>t</w:t>
      </w:r>
      <w:r w:rsidRPr="00FD02DE">
        <w:rPr>
          <w:rFonts w:cstheme="minorHAnsi"/>
          <w:b/>
          <w:bCs/>
          <w:spacing w:val="-3"/>
          <w:sz w:val="24"/>
        </w:rPr>
        <w:t>m</w:t>
      </w:r>
      <w:r w:rsidRPr="00FD02DE">
        <w:rPr>
          <w:rFonts w:cstheme="minorHAnsi"/>
          <w:b/>
          <w:bCs/>
          <w:spacing w:val="-1"/>
          <w:sz w:val="24"/>
        </w:rPr>
        <w:t>e</w:t>
      </w:r>
      <w:r w:rsidRPr="00FD02DE">
        <w:rPr>
          <w:rFonts w:cstheme="minorHAnsi"/>
          <w:b/>
          <w:bCs/>
          <w:spacing w:val="1"/>
          <w:sz w:val="24"/>
        </w:rPr>
        <w:t>nt</w:t>
      </w:r>
    </w:p>
    <w:p w14:paraId="258C0272" w14:textId="77777777" w:rsidR="00272EB4" w:rsidRPr="00FD02DE" w:rsidRDefault="00272EB4" w:rsidP="00272EB4">
      <w:pPr>
        <w:pStyle w:val="ListParagraph"/>
        <w:widowControl w:val="0"/>
        <w:numPr>
          <w:ilvl w:val="0"/>
          <w:numId w:val="341"/>
        </w:numPr>
        <w:spacing w:after="60" w:line="240" w:lineRule="auto"/>
        <w:ind w:left="425" w:right="75" w:hanging="425"/>
        <w:contextualSpacing w:val="0"/>
        <w:jc w:val="both"/>
        <w:rPr>
          <w:rFonts w:cstheme="minorHAnsi"/>
        </w:rPr>
      </w:pPr>
      <w:r w:rsidRPr="00FD02DE">
        <w:rPr>
          <w:rFonts w:cstheme="minorHAnsi"/>
        </w:rPr>
        <w:t>The</w:t>
      </w:r>
      <w:r w:rsidRPr="00FD02DE">
        <w:rPr>
          <w:rFonts w:cstheme="minorHAnsi"/>
          <w:spacing w:val="4"/>
        </w:rPr>
        <w:t xml:space="preserve"> </w:t>
      </w:r>
      <w:r w:rsidRPr="00FD02DE">
        <w:rPr>
          <w:rFonts w:cstheme="minorHAnsi"/>
          <w:spacing w:val="1"/>
        </w:rPr>
        <w:t>C</w:t>
      </w:r>
      <w:r w:rsidRPr="00FD02DE">
        <w:rPr>
          <w:rFonts w:cstheme="minorHAnsi"/>
        </w:rPr>
        <w:t>oun</w:t>
      </w:r>
      <w:r w:rsidRPr="00FD02DE">
        <w:rPr>
          <w:rFonts w:cstheme="minorHAnsi"/>
          <w:spacing w:val="-2"/>
        </w:rPr>
        <w:t>c</w:t>
      </w:r>
      <w:r w:rsidRPr="00FD02DE">
        <w:rPr>
          <w:rFonts w:cstheme="minorHAnsi"/>
        </w:rPr>
        <w:t>il</w:t>
      </w:r>
      <w:r w:rsidRPr="00FD02DE">
        <w:rPr>
          <w:rFonts w:cstheme="minorHAnsi"/>
          <w:spacing w:val="6"/>
        </w:rPr>
        <w:t xml:space="preserve"> </w:t>
      </w:r>
      <w:r w:rsidRPr="00FD02DE">
        <w:rPr>
          <w:rFonts w:cstheme="minorHAnsi"/>
        </w:rPr>
        <w:t>will</w:t>
      </w:r>
      <w:r w:rsidRPr="00FD02DE">
        <w:rPr>
          <w:rFonts w:cstheme="minorHAnsi"/>
          <w:spacing w:val="6"/>
        </w:rPr>
        <w:t xml:space="preserve"> </w:t>
      </w:r>
      <w:r w:rsidRPr="00FD02DE">
        <w:rPr>
          <w:rFonts w:cstheme="minorHAnsi"/>
          <w:spacing w:val="-1"/>
        </w:rPr>
        <w:t>a</w:t>
      </w:r>
      <w:r w:rsidRPr="00FD02DE">
        <w:rPr>
          <w:rFonts w:cstheme="minorHAnsi"/>
        </w:rPr>
        <w:t>ppo</w:t>
      </w:r>
      <w:r w:rsidRPr="00FD02DE">
        <w:rPr>
          <w:rFonts w:cstheme="minorHAnsi"/>
          <w:spacing w:val="-1"/>
        </w:rPr>
        <w:t>i</w:t>
      </w:r>
      <w:r w:rsidRPr="00FD02DE">
        <w:rPr>
          <w:rFonts w:cstheme="minorHAnsi"/>
          <w:spacing w:val="-2"/>
        </w:rPr>
        <w:t>n</w:t>
      </w:r>
      <w:r w:rsidRPr="00FD02DE">
        <w:rPr>
          <w:rFonts w:cstheme="minorHAnsi"/>
        </w:rPr>
        <w:t>t</w:t>
      </w:r>
      <w:r w:rsidRPr="00FD02DE">
        <w:rPr>
          <w:rFonts w:cstheme="minorHAnsi"/>
          <w:spacing w:val="6"/>
        </w:rPr>
        <w:t xml:space="preserve"> </w:t>
      </w:r>
      <w:r w:rsidRPr="00FD02DE">
        <w:rPr>
          <w:rFonts w:cstheme="minorHAnsi"/>
        </w:rPr>
        <w:t>a</w:t>
      </w:r>
      <w:r w:rsidRPr="00FD02DE">
        <w:rPr>
          <w:rFonts w:cstheme="minorHAnsi"/>
          <w:spacing w:val="5"/>
        </w:rPr>
        <w:t xml:space="preserve"> </w:t>
      </w:r>
      <w:r w:rsidRPr="00FD02DE">
        <w:rPr>
          <w:rFonts w:cstheme="minorHAnsi"/>
        </w:rPr>
        <w:t>m</w:t>
      </w:r>
      <w:r w:rsidRPr="00FD02DE">
        <w:rPr>
          <w:rFonts w:cstheme="minorHAnsi"/>
          <w:spacing w:val="-1"/>
        </w:rPr>
        <w:t>e</w:t>
      </w:r>
      <w:r w:rsidRPr="00FD02DE">
        <w:rPr>
          <w:rFonts w:cstheme="minorHAnsi"/>
        </w:rPr>
        <w:t>mb</w:t>
      </w:r>
      <w:r w:rsidRPr="00FD02DE">
        <w:rPr>
          <w:rFonts w:cstheme="minorHAnsi"/>
          <w:spacing w:val="-1"/>
        </w:rPr>
        <w:t>e</w:t>
      </w:r>
      <w:r w:rsidRPr="00FD02DE">
        <w:rPr>
          <w:rFonts w:cstheme="minorHAnsi"/>
        </w:rPr>
        <w:t>r</w:t>
      </w:r>
      <w:r w:rsidRPr="00FD02DE">
        <w:rPr>
          <w:rFonts w:cstheme="minorHAnsi"/>
          <w:spacing w:val="5"/>
        </w:rPr>
        <w:t xml:space="preserve"> </w:t>
      </w:r>
      <w:r w:rsidRPr="00FD02DE">
        <w:rPr>
          <w:rFonts w:cstheme="minorHAnsi"/>
        </w:rPr>
        <w:t>to</w:t>
      </w:r>
      <w:r w:rsidRPr="00FD02DE">
        <w:rPr>
          <w:rFonts w:cstheme="minorHAnsi"/>
          <w:spacing w:val="6"/>
        </w:rPr>
        <w:t xml:space="preserve"> </w:t>
      </w:r>
      <w:r w:rsidRPr="00FD02DE">
        <w:rPr>
          <w:rFonts w:cstheme="minorHAnsi"/>
        </w:rPr>
        <w:t>the</w:t>
      </w:r>
      <w:r w:rsidRPr="00FD02DE">
        <w:rPr>
          <w:rFonts w:cstheme="minorHAnsi"/>
          <w:spacing w:val="4"/>
        </w:rPr>
        <w:t xml:space="preserve"> </w:t>
      </w:r>
      <w:r w:rsidRPr="00FD02DE">
        <w:rPr>
          <w:rFonts w:cstheme="minorHAnsi"/>
        </w:rPr>
        <w:t>Panel</w:t>
      </w:r>
      <w:r w:rsidRPr="00FD02DE">
        <w:rPr>
          <w:rFonts w:cstheme="minorHAnsi"/>
          <w:spacing w:val="4"/>
        </w:rPr>
        <w:t xml:space="preserve"> </w:t>
      </w:r>
      <w:r w:rsidRPr="00FD02DE">
        <w:rPr>
          <w:rFonts w:cstheme="minorHAnsi"/>
        </w:rPr>
        <w:t>in</w:t>
      </w:r>
      <w:r w:rsidRPr="00FD02DE">
        <w:rPr>
          <w:rFonts w:cstheme="minorHAnsi"/>
          <w:spacing w:val="-1"/>
        </w:rPr>
        <w:t>c</w:t>
      </w:r>
      <w:r w:rsidRPr="00FD02DE">
        <w:rPr>
          <w:rFonts w:cstheme="minorHAnsi"/>
        </w:rPr>
        <w:t>luding</w:t>
      </w:r>
      <w:r w:rsidRPr="00FD02DE">
        <w:rPr>
          <w:rFonts w:cstheme="minorHAnsi"/>
          <w:spacing w:val="3"/>
        </w:rPr>
        <w:t xml:space="preserve"> </w:t>
      </w:r>
      <w:r w:rsidRPr="00FD02DE">
        <w:rPr>
          <w:rFonts w:cstheme="minorHAnsi"/>
        </w:rPr>
        <w:t>the p</w:t>
      </w:r>
      <w:r w:rsidRPr="00FD02DE">
        <w:rPr>
          <w:rFonts w:cstheme="minorHAnsi"/>
          <w:spacing w:val="-1"/>
        </w:rPr>
        <w:t>re</w:t>
      </w:r>
      <w:r w:rsidRPr="00FD02DE">
        <w:rPr>
          <w:rFonts w:cstheme="minorHAnsi"/>
        </w:rPr>
        <w:t>s</w:t>
      </w:r>
      <w:r w:rsidRPr="00FD02DE">
        <w:rPr>
          <w:rFonts w:cstheme="minorHAnsi"/>
          <w:spacing w:val="-1"/>
        </w:rPr>
        <w:t>cr</w:t>
      </w:r>
      <w:r w:rsidRPr="00FD02DE">
        <w:rPr>
          <w:rFonts w:cstheme="minorHAnsi"/>
        </w:rPr>
        <w:t>ib</w:t>
      </w:r>
      <w:r w:rsidRPr="00FD02DE">
        <w:rPr>
          <w:rFonts w:cstheme="minorHAnsi"/>
          <w:spacing w:val="-1"/>
        </w:rPr>
        <w:t>e</w:t>
      </w:r>
      <w:r w:rsidRPr="00FD02DE">
        <w:rPr>
          <w:rFonts w:cstheme="minorHAnsi"/>
        </w:rPr>
        <w:t>d</w:t>
      </w:r>
      <w:r w:rsidRPr="00FD02DE">
        <w:rPr>
          <w:rFonts w:cstheme="minorHAnsi"/>
          <w:spacing w:val="2"/>
        </w:rPr>
        <w:t xml:space="preserve"> </w:t>
      </w:r>
      <w:r w:rsidRPr="00FD02DE">
        <w:rPr>
          <w:rFonts w:cstheme="minorHAnsi"/>
        </w:rPr>
        <w:t>t</w:t>
      </w:r>
      <w:r w:rsidRPr="00FD02DE">
        <w:rPr>
          <w:rFonts w:cstheme="minorHAnsi"/>
          <w:spacing w:val="-1"/>
        </w:rPr>
        <w:t>er</w:t>
      </w:r>
      <w:r w:rsidRPr="00FD02DE">
        <w:rPr>
          <w:rFonts w:cstheme="minorHAnsi"/>
        </w:rPr>
        <w:t>m</w:t>
      </w:r>
      <w:r w:rsidRPr="00FD02DE">
        <w:rPr>
          <w:rFonts w:cstheme="minorHAnsi"/>
          <w:spacing w:val="3"/>
        </w:rPr>
        <w:t xml:space="preserve"> </w:t>
      </w:r>
      <w:r w:rsidRPr="00FD02DE">
        <w:rPr>
          <w:rFonts w:cstheme="minorHAnsi"/>
          <w:spacing w:val="-3"/>
        </w:rPr>
        <w:t>a</w:t>
      </w:r>
      <w:r w:rsidRPr="00FD02DE">
        <w:rPr>
          <w:rFonts w:cstheme="minorHAnsi"/>
        </w:rPr>
        <w:t>nd</w:t>
      </w:r>
      <w:r w:rsidRPr="00FD02DE">
        <w:rPr>
          <w:rFonts w:cstheme="minorHAnsi"/>
          <w:spacing w:val="2"/>
        </w:rPr>
        <w:t xml:space="preserve"> </w:t>
      </w:r>
      <w:r w:rsidRPr="00FD02DE">
        <w:rPr>
          <w:rFonts w:cstheme="minorHAnsi"/>
          <w:spacing w:val="-1"/>
        </w:rPr>
        <w:t>a</w:t>
      </w:r>
      <w:r w:rsidRPr="00FD02DE">
        <w:rPr>
          <w:rFonts w:cstheme="minorHAnsi"/>
          <w:spacing w:val="5"/>
        </w:rPr>
        <w:t>n</w:t>
      </w:r>
      <w:r w:rsidRPr="00FD02DE">
        <w:rPr>
          <w:rFonts w:cstheme="minorHAnsi"/>
        </w:rPr>
        <w:t>y</w:t>
      </w:r>
      <w:r w:rsidRPr="00FD02DE">
        <w:rPr>
          <w:rFonts w:cstheme="minorHAnsi"/>
          <w:spacing w:val="-2"/>
        </w:rPr>
        <w:t xml:space="preserve"> </w:t>
      </w:r>
      <w:r w:rsidRPr="00FD02DE">
        <w:rPr>
          <w:rFonts w:cstheme="minorHAnsi"/>
          <w:spacing w:val="-1"/>
        </w:rPr>
        <w:t>c</w:t>
      </w:r>
      <w:r w:rsidRPr="00FD02DE">
        <w:rPr>
          <w:rFonts w:cstheme="minorHAnsi"/>
        </w:rPr>
        <w:t>onditions.</w:t>
      </w:r>
    </w:p>
    <w:p w14:paraId="074695DA" w14:textId="77777777" w:rsidR="00272EB4" w:rsidRPr="00FD02DE" w:rsidRDefault="00272EB4" w:rsidP="00272EB4">
      <w:pPr>
        <w:pStyle w:val="ListParagraph"/>
        <w:widowControl w:val="0"/>
        <w:numPr>
          <w:ilvl w:val="0"/>
          <w:numId w:val="341"/>
        </w:numPr>
        <w:spacing w:after="60" w:line="240" w:lineRule="auto"/>
        <w:ind w:left="425" w:right="75" w:hanging="425"/>
        <w:contextualSpacing w:val="0"/>
        <w:jc w:val="both"/>
        <w:rPr>
          <w:rFonts w:cstheme="minorHAnsi"/>
        </w:rPr>
      </w:pPr>
      <w:r w:rsidRPr="00FD02DE">
        <w:rPr>
          <w:rFonts w:cstheme="minorHAnsi"/>
        </w:rPr>
        <w:t>The</w:t>
      </w:r>
      <w:r w:rsidRPr="00FD02DE">
        <w:rPr>
          <w:rFonts w:cstheme="minorHAnsi"/>
          <w:spacing w:val="4"/>
        </w:rPr>
        <w:t xml:space="preserve"> </w:t>
      </w:r>
      <w:r w:rsidRPr="00FD02DE">
        <w:rPr>
          <w:rFonts w:cstheme="minorHAnsi"/>
        </w:rPr>
        <w:t>Panel</w:t>
      </w:r>
      <w:r w:rsidRPr="00FD02DE">
        <w:rPr>
          <w:rFonts w:cstheme="minorHAnsi"/>
          <w:spacing w:val="6"/>
        </w:rPr>
        <w:t xml:space="preserve"> </w:t>
      </w:r>
      <w:r w:rsidRPr="00FD02DE">
        <w:rPr>
          <w:rFonts w:cstheme="minorHAnsi"/>
        </w:rPr>
        <w:t>M</w:t>
      </w:r>
      <w:r w:rsidRPr="00FD02DE">
        <w:rPr>
          <w:rFonts w:cstheme="minorHAnsi"/>
          <w:spacing w:val="-1"/>
        </w:rPr>
        <w:t>e</w:t>
      </w:r>
      <w:r w:rsidRPr="00FD02DE">
        <w:rPr>
          <w:rFonts w:cstheme="minorHAnsi"/>
        </w:rPr>
        <w:t>m</w:t>
      </w:r>
      <w:r w:rsidRPr="00FD02DE">
        <w:rPr>
          <w:rFonts w:cstheme="minorHAnsi"/>
          <w:spacing w:val="2"/>
        </w:rPr>
        <w:t>b</w:t>
      </w:r>
      <w:r w:rsidRPr="00FD02DE">
        <w:rPr>
          <w:rFonts w:cstheme="minorHAnsi"/>
          <w:spacing w:val="-1"/>
        </w:rPr>
        <w:t>er</w:t>
      </w:r>
      <w:r w:rsidRPr="00FD02DE">
        <w:rPr>
          <w:rFonts w:cstheme="minorHAnsi"/>
        </w:rPr>
        <w:t>ship</w:t>
      </w:r>
      <w:r w:rsidRPr="00FD02DE">
        <w:rPr>
          <w:rFonts w:cstheme="minorHAnsi"/>
          <w:spacing w:val="5"/>
        </w:rPr>
        <w:t xml:space="preserve"> </w:t>
      </w:r>
      <w:r w:rsidRPr="00FD02DE">
        <w:rPr>
          <w:rFonts w:cstheme="minorHAnsi"/>
        </w:rPr>
        <w:t>is</w:t>
      </w:r>
      <w:r w:rsidRPr="00FD02DE">
        <w:rPr>
          <w:rFonts w:cstheme="minorHAnsi"/>
          <w:spacing w:val="7"/>
        </w:rPr>
        <w:t xml:space="preserve"> </w:t>
      </w:r>
      <w:r w:rsidRPr="00FD02DE">
        <w:rPr>
          <w:rFonts w:cstheme="minorHAnsi"/>
        </w:rPr>
        <w:t>no</w:t>
      </w:r>
      <w:r w:rsidRPr="00FD02DE">
        <w:rPr>
          <w:rFonts w:cstheme="minorHAnsi"/>
          <w:spacing w:val="-1"/>
        </w:rPr>
        <w:t>r</w:t>
      </w:r>
      <w:r w:rsidRPr="00FD02DE">
        <w:rPr>
          <w:rFonts w:cstheme="minorHAnsi"/>
        </w:rPr>
        <w:t>m</w:t>
      </w:r>
      <w:r w:rsidRPr="00FD02DE">
        <w:rPr>
          <w:rFonts w:cstheme="minorHAnsi"/>
          <w:spacing w:val="-1"/>
        </w:rPr>
        <w:t>a</w:t>
      </w:r>
      <w:r w:rsidRPr="00FD02DE">
        <w:rPr>
          <w:rFonts w:cstheme="minorHAnsi"/>
        </w:rPr>
        <w:t>l</w:t>
      </w:r>
      <w:r w:rsidRPr="00FD02DE">
        <w:rPr>
          <w:rFonts w:cstheme="minorHAnsi"/>
          <w:spacing w:val="3"/>
        </w:rPr>
        <w:t>l</w:t>
      </w:r>
      <w:r w:rsidRPr="00FD02DE">
        <w:rPr>
          <w:rFonts w:cstheme="minorHAnsi"/>
        </w:rPr>
        <w:t>y</w:t>
      </w:r>
      <w:r w:rsidRPr="00FD02DE">
        <w:rPr>
          <w:rFonts w:cstheme="minorHAnsi"/>
          <w:spacing w:val="2"/>
        </w:rPr>
        <w:t xml:space="preserve"> </w:t>
      </w:r>
      <w:r w:rsidRPr="00FD02DE">
        <w:rPr>
          <w:rFonts w:cstheme="minorHAnsi"/>
          <w:spacing w:val="-1"/>
        </w:rPr>
        <w:t>f</w:t>
      </w:r>
      <w:r w:rsidRPr="00FD02DE">
        <w:rPr>
          <w:rFonts w:cstheme="minorHAnsi"/>
        </w:rPr>
        <w:t>or</w:t>
      </w:r>
      <w:r w:rsidRPr="00FD02DE">
        <w:rPr>
          <w:rFonts w:cstheme="minorHAnsi"/>
          <w:spacing w:val="6"/>
        </w:rPr>
        <w:t xml:space="preserve"> </w:t>
      </w:r>
      <w:r w:rsidRPr="00FD02DE">
        <w:rPr>
          <w:rFonts w:cstheme="minorHAnsi"/>
        </w:rPr>
        <w:t>a</w:t>
      </w:r>
      <w:r w:rsidRPr="00FD02DE">
        <w:rPr>
          <w:rFonts w:cstheme="minorHAnsi"/>
          <w:spacing w:val="4"/>
        </w:rPr>
        <w:t xml:space="preserve"> </w:t>
      </w:r>
      <w:r w:rsidRPr="00FD02DE">
        <w:rPr>
          <w:rFonts w:cstheme="minorHAnsi"/>
          <w:spacing w:val="2"/>
        </w:rPr>
        <w:t>p</w:t>
      </w:r>
      <w:r w:rsidRPr="00FD02DE">
        <w:rPr>
          <w:rFonts w:cstheme="minorHAnsi"/>
          <w:spacing w:val="-1"/>
        </w:rPr>
        <w:t>er</w:t>
      </w:r>
      <w:r w:rsidRPr="00FD02DE">
        <w:rPr>
          <w:rFonts w:cstheme="minorHAnsi"/>
        </w:rPr>
        <w:t>iod</w:t>
      </w:r>
      <w:r w:rsidRPr="00FD02DE">
        <w:rPr>
          <w:rFonts w:cstheme="minorHAnsi"/>
          <w:spacing w:val="5"/>
        </w:rPr>
        <w:t xml:space="preserve"> </w:t>
      </w:r>
      <w:r w:rsidRPr="00FD02DE">
        <w:rPr>
          <w:rFonts w:cstheme="minorHAnsi"/>
        </w:rPr>
        <w:t>of</w:t>
      </w:r>
      <w:r w:rsidRPr="00FD02DE">
        <w:rPr>
          <w:rFonts w:cstheme="minorHAnsi"/>
          <w:spacing w:val="6"/>
        </w:rPr>
        <w:t xml:space="preserve"> 2</w:t>
      </w:r>
      <w:r w:rsidRPr="00FD02DE">
        <w:rPr>
          <w:rFonts w:cstheme="minorHAnsi"/>
          <w:spacing w:val="9"/>
        </w:rPr>
        <w:t xml:space="preserve"> </w:t>
      </w:r>
      <w:r w:rsidRPr="00FD02DE">
        <w:rPr>
          <w:rFonts w:cstheme="minorHAnsi"/>
          <w:spacing w:val="-5"/>
        </w:rPr>
        <w:t>y</w:t>
      </w:r>
      <w:r w:rsidRPr="00FD02DE">
        <w:rPr>
          <w:rFonts w:cstheme="minorHAnsi"/>
          <w:spacing w:val="1"/>
        </w:rPr>
        <w:t>ea</w:t>
      </w:r>
      <w:r w:rsidRPr="00FD02DE">
        <w:rPr>
          <w:rFonts w:cstheme="minorHAnsi"/>
          <w:spacing w:val="-1"/>
        </w:rPr>
        <w:t>r</w:t>
      </w:r>
      <w:r w:rsidRPr="00FD02DE">
        <w:rPr>
          <w:rFonts w:cstheme="minorHAnsi"/>
        </w:rPr>
        <w:t xml:space="preserve">s </w:t>
      </w:r>
      <w:r w:rsidRPr="00FD02DE">
        <w:rPr>
          <w:rFonts w:cstheme="minorHAnsi"/>
          <w:spacing w:val="-1"/>
        </w:rPr>
        <w:t>fr</w:t>
      </w:r>
      <w:r w:rsidRPr="00FD02DE">
        <w:rPr>
          <w:rFonts w:cstheme="minorHAnsi"/>
        </w:rPr>
        <w:t>om</w:t>
      </w:r>
      <w:r w:rsidRPr="00FD02DE">
        <w:rPr>
          <w:rFonts w:cstheme="minorHAnsi"/>
          <w:spacing w:val="5"/>
        </w:rPr>
        <w:t xml:space="preserve"> </w:t>
      </w:r>
      <w:r w:rsidRPr="00FD02DE">
        <w:rPr>
          <w:rFonts w:cstheme="minorHAnsi"/>
        </w:rPr>
        <w:t>the</w:t>
      </w:r>
      <w:r w:rsidRPr="00FD02DE">
        <w:rPr>
          <w:rFonts w:cstheme="minorHAnsi"/>
          <w:spacing w:val="4"/>
        </w:rPr>
        <w:t xml:space="preserve"> </w:t>
      </w:r>
      <w:r w:rsidRPr="00FD02DE">
        <w:rPr>
          <w:rFonts w:cstheme="minorHAnsi"/>
        </w:rPr>
        <w:t>p</w:t>
      </w:r>
      <w:r w:rsidRPr="00FD02DE">
        <w:rPr>
          <w:rFonts w:cstheme="minorHAnsi"/>
          <w:spacing w:val="-1"/>
        </w:rPr>
        <w:t>er</w:t>
      </w:r>
      <w:r w:rsidRPr="00FD02DE">
        <w:rPr>
          <w:rFonts w:cstheme="minorHAnsi"/>
        </w:rPr>
        <w:t>iod</w:t>
      </w:r>
      <w:r w:rsidRPr="00FD02DE">
        <w:rPr>
          <w:rFonts w:cstheme="minorHAnsi"/>
          <w:spacing w:val="5"/>
        </w:rPr>
        <w:t xml:space="preserve"> </w:t>
      </w:r>
      <w:r w:rsidRPr="00FD02DE">
        <w:rPr>
          <w:rFonts w:cstheme="minorHAnsi"/>
        </w:rPr>
        <w:t>of</w:t>
      </w:r>
      <w:r w:rsidRPr="00FD02DE">
        <w:rPr>
          <w:rFonts w:cstheme="minorHAnsi"/>
          <w:spacing w:val="4"/>
        </w:rPr>
        <w:t xml:space="preserve"> </w:t>
      </w:r>
      <w:r w:rsidRPr="00FD02DE">
        <w:rPr>
          <w:rFonts w:cstheme="minorHAnsi"/>
        </w:rPr>
        <w:t>the</w:t>
      </w:r>
      <w:r w:rsidRPr="00FD02DE">
        <w:rPr>
          <w:rFonts w:cstheme="minorHAnsi"/>
          <w:spacing w:val="4"/>
        </w:rPr>
        <w:t xml:space="preserve"> </w:t>
      </w:r>
      <w:r w:rsidRPr="00FD02DE">
        <w:rPr>
          <w:rFonts w:cstheme="minorHAnsi"/>
          <w:spacing w:val="-1"/>
        </w:rPr>
        <w:t>ra</w:t>
      </w:r>
      <w:r w:rsidRPr="00FD02DE">
        <w:rPr>
          <w:rFonts w:cstheme="minorHAnsi"/>
        </w:rPr>
        <w:t>ti</w:t>
      </w:r>
      <w:r w:rsidRPr="00FD02DE">
        <w:rPr>
          <w:rFonts w:cstheme="minorHAnsi"/>
          <w:spacing w:val="-1"/>
        </w:rPr>
        <w:t>f</w:t>
      </w:r>
      <w:r w:rsidRPr="00FD02DE">
        <w:rPr>
          <w:rFonts w:cstheme="minorHAnsi"/>
        </w:rPr>
        <w:t>i</w:t>
      </w:r>
      <w:r w:rsidRPr="00FD02DE">
        <w:rPr>
          <w:rFonts w:cstheme="minorHAnsi"/>
          <w:spacing w:val="-1"/>
        </w:rPr>
        <w:t>ca</w:t>
      </w:r>
      <w:r w:rsidRPr="00FD02DE">
        <w:rPr>
          <w:rFonts w:cstheme="minorHAnsi"/>
        </w:rPr>
        <w:t>tion</w:t>
      </w:r>
      <w:r w:rsidRPr="00FD02DE">
        <w:rPr>
          <w:rFonts w:cstheme="minorHAnsi"/>
          <w:spacing w:val="5"/>
        </w:rPr>
        <w:t xml:space="preserve"> </w:t>
      </w:r>
      <w:r w:rsidRPr="00FD02DE">
        <w:rPr>
          <w:rFonts w:cstheme="minorHAnsi"/>
        </w:rPr>
        <w:t>of</w:t>
      </w:r>
      <w:r w:rsidRPr="00FD02DE">
        <w:rPr>
          <w:rFonts w:cstheme="minorHAnsi"/>
          <w:spacing w:val="4"/>
        </w:rPr>
        <w:t xml:space="preserve"> </w:t>
      </w:r>
      <w:r w:rsidRPr="00FD02DE">
        <w:rPr>
          <w:rFonts w:cstheme="minorHAnsi"/>
        </w:rPr>
        <w:t>the</w:t>
      </w:r>
      <w:r w:rsidRPr="00FD02DE">
        <w:rPr>
          <w:rFonts w:cstheme="minorHAnsi"/>
          <w:spacing w:val="4"/>
        </w:rPr>
        <w:t xml:space="preserve"> </w:t>
      </w:r>
      <w:r w:rsidRPr="00FD02DE">
        <w:rPr>
          <w:rFonts w:cstheme="minorHAnsi"/>
        </w:rPr>
        <w:t>Panel</w:t>
      </w:r>
      <w:r w:rsidRPr="00FD02DE">
        <w:rPr>
          <w:rFonts w:cstheme="minorHAnsi"/>
          <w:spacing w:val="6"/>
        </w:rPr>
        <w:t xml:space="preserve"> </w:t>
      </w:r>
      <w:r w:rsidRPr="00FD02DE">
        <w:rPr>
          <w:rFonts w:cstheme="minorHAnsi"/>
          <w:spacing w:val="-2"/>
        </w:rPr>
        <w:t>b</w:t>
      </w:r>
      <w:r w:rsidRPr="00FD02DE">
        <w:rPr>
          <w:rFonts w:cstheme="minorHAnsi"/>
        </w:rPr>
        <w:t>y t</w:t>
      </w:r>
      <w:r w:rsidRPr="00FD02DE">
        <w:rPr>
          <w:rFonts w:cstheme="minorHAnsi"/>
          <w:spacing w:val="2"/>
        </w:rPr>
        <w:t>h</w:t>
      </w:r>
      <w:r w:rsidRPr="00FD02DE">
        <w:rPr>
          <w:rFonts w:cstheme="minorHAnsi"/>
        </w:rPr>
        <w:t>e</w:t>
      </w:r>
      <w:r w:rsidRPr="00FD02DE">
        <w:rPr>
          <w:rFonts w:cstheme="minorHAnsi"/>
          <w:spacing w:val="4"/>
        </w:rPr>
        <w:t xml:space="preserve"> </w:t>
      </w:r>
      <w:r w:rsidRPr="00FD02DE">
        <w:rPr>
          <w:rFonts w:cstheme="minorHAnsi"/>
          <w:spacing w:val="1"/>
        </w:rPr>
        <w:t>C</w:t>
      </w:r>
      <w:r w:rsidRPr="00FD02DE">
        <w:rPr>
          <w:rFonts w:cstheme="minorHAnsi"/>
        </w:rPr>
        <w:t>oun</w:t>
      </w:r>
      <w:r w:rsidRPr="00FD02DE">
        <w:rPr>
          <w:rFonts w:cstheme="minorHAnsi"/>
          <w:spacing w:val="-1"/>
        </w:rPr>
        <w:t>c</w:t>
      </w:r>
      <w:r w:rsidRPr="00FD02DE">
        <w:rPr>
          <w:rFonts w:cstheme="minorHAnsi"/>
        </w:rPr>
        <w:t xml:space="preserve">il. </w:t>
      </w:r>
      <w:r w:rsidRPr="00FD02DE">
        <w:rPr>
          <w:rFonts w:cstheme="minorHAnsi"/>
          <w:spacing w:val="-1"/>
        </w:rPr>
        <w:t>(</w:t>
      </w:r>
      <w:proofErr w:type="gramStart"/>
      <w:r w:rsidRPr="00FD02DE">
        <w:rPr>
          <w:rFonts w:cstheme="minorHAnsi"/>
        </w:rPr>
        <w:t>G</w:t>
      </w:r>
      <w:r w:rsidRPr="00FD02DE">
        <w:rPr>
          <w:rFonts w:cstheme="minorHAnsi"/>
          <w:spacing w:val="-1"/>
        </w:rPr>
        <w:t>en</w:t>
      </w:r>
      <w:r w:rsidRPr="00FD02DE">
        <w:rPr>
          <w:rFonts w:cstheme="minorHAnsi"/>
          <w:spacing w:val="2"/>
        </w:rPr>
        <w:t>e</w:t>
      </w:r>
      <w:r w:rsidRPr="00FD02DE">
        <w:rPr>
          <w:rFonts w:cstheme="minorHAnsi"/>
          <w:spacing w:val="-1"/>
        </w:rPr>
        <w:t>ra</w:t>
      </w:r>
      <w:r w:rsidRPr="00FD02DE">
        <w:rPr>
          <w:rFonts w:cstheme="minorHAnsi"/>
        </w:rPr>
        <w:t>l</w:t>
      </w:r>
      <w:r w:rsidRPr="00FD02DE">
        <w:rPr>
          <w:rFonts w:cstheme="minorHAnsi"/>
          <w:spacing w:val="5"/>
        </w:rPr>
        <w:t>l</w:t>
      </w:r>
      <w:r w:rsidRPr="00FD02DE">
        <w:rPr>
          <w:rFonts w:cstheme="minorHAnsi"/>
        </w:rPr>
        <w:t>y</w:t>
      </w:r>
      <w:proofErr w:type="gramEnd"/>
      <w:r w:rsidRPr="00FD02DE">
        <w:rPr>
          <w:rFonts w:cstheme="minorHAnsi"/>
        </w:rPr>
        <w:t xml:space="preserve"> t</w:t>
      </w:r>
      <w:r w:rsidRPr="00FD02DE">
        <w:rPr>
          <w:rFonts w:cstheme="minorHAnsi"/>
          <w:spacing w:val="-1"/>
        </w:rPr>
        <w:t>h</w:t>
      </w:r>
      <w:r w:rsidRPr="00FD02DE">
        <w:rPr>
          <w:rFonts w:cstheme="minorHAnsi"/>
        </w:rPr>
        <w:t>e</w:t>
      </w:r>
      <w:r w:rsidRPr="00FD02DE">
        <w:rPr>
          <w:rFonts w:cstheme="minorHAnsi"/>
          <w:spacing w:val="5"/>
        </w:rPr>
        <w:t xml:space="preserve"> </w:t>
      </w:r>
      <w:r w:rsidRPr="00FD02DE">
        <w:rPr>
          <w:rFonts w:cstheme="minorHAnsi"/>
          <w:spacing w:val="3"/>
        </w:rPr>
        <w:t>t</w:t>
      </w:r>
      <w:r w:rsidRPr="00FD02DE">
        <w:rPr>
          <w:rFonts w:cstheme="minorHAnsi"/>
          <w:spacing w:val="-1"/>
        </w:rPr>
        <w:t>er</w:t>
      </w:r>
      <w:r w:rsidRPr="00FD02DE">
        <w:rPr>
          <w:rFonts w:cstheme="minorHAnsi"/>
        </w:rPr>
        <w:t>m</w:t>
      </w:r>
      <w:r w:rsidRPr="00FD02DE">
        <w:rPr>
          <w:rFonts w:cstheme="minorHAnsi"/>
          <w:spacing w:val="6"/>
        </w:rPr>
        <w:t xml:space="preserve"> </w:t>
      </w:r>
      <w:r w:rsidRPr="00FD02DE">
        <w:rPr>
          <w:rFonts w:cstheme="minorHAnsi"/>
        </w:rPr>
        <w:t>is</w:t>
      </w:r>
      <w:r w:rsidRPr="00FD02DE">
        <w:rPr>
          <w:rFonts w:cstheme="minorHAnsi"/>
          <w:spacing w:val="8"/>
        </w:rPr>
        <w:t xml:space="preserve"> </w:t>
      </w:r>
      <w:r w:rsidRPr="00FD02DE">
        <w:rPr>
          <w:rFonts w:cstheme="minorHAnsi"/>
          <w:spacing w:val="-1"/>
        </w:rPr>
        <w:t>f</w:t>
      </w:r>
      <w:r w:rsidRPr="00FD02DE">
        <w:rPr>
          <w:rFonts w:cstheme="minorHAnsi"/>
          <w:spacing w:val="2"/>
        </w:rPr>
        <w:t>r</w:t>
      </w:r>
      <w:r w:rsidRPr="00FD02DE">
        <w:rPr>
          <w:rFonts w:cstheme="minorHAnsi"/>
          <w:spacing w:val="-1"/>
        </w:rPr>
        <w:t>o</w:t>
      </w:r>
      <w:r w:rsidRPr="00FD02DE">
        <w:rPr>
          <w:rFonts w:cstheme="minorHAnsi"/>
        </w:rPr>
        <w:t>m</w:t>
      </w:r>
      <w:r w:rsidRPr="00FD02DE">
        <w:rPr>
          <w:rFonts w:cstheme="minorHAnsi"/>
          <w:spacing w:val="7"/>
        </w:rPr>
        <w:t xml:space="preserve"> </w:t>
      </w:r>
      <w:r w:rsidRPr="00FD02DE">
        <w:rPr>
          <w:rFonts w:cstheme="minorHAnsi"/>
        </w:rPr>
        <w:t>N</w:t>
      </w:r>
      <w:r w:rsidRPr="00FD02DE">
        <w:rPr>
          <w:rFonts w:cstheme="minorHAnsi"/>
          <w:spacing w:val="-1"/>
        </w:rPr>
        <w:t>ov</w:t>
      </w:r>
      <w:r w:rsidRPr="00FD02DE">
        <w:rPr>
          <w:rFonts w:cstheme="minorHAnsi"/>
          <w:spacing w:val="1"/>
        </w:rPr>
        <w:t>e</w:t>
      </w:r>
      <w:r w:rsidRPr="00FD02DE">
        <w:rPr>
          <w:rFonts w:cstheme="minorHAnsi"/>
        </w:rPr>
        <w:t>m</w:t>
      </w:r>
      <w:r w:rsidRPr="00FD02DE">
        <w:rPr>
          <w:rFonts w:cstheme="minorHAnsi"/>
          <w:spacing w:val="-1"/>
        </w:rPr>
        <w:t>b</w:t>
      </w:r>
      <w:r w:rsidRPr="00FD02DE">
        <w:rPr>
          <w:rFonts w:cstheme="minorHAnsi"/>
        </w:rPr>
        <w:t>er</w:t>
      </w:r>
      <w:r w:rsidRPr="00FD02DE">
        <w:rPr>
          <w:rFonts w:cstheme="minorHAnsi"/>
          <w:spacing w:val="7"/>
        </w:rPr>
        <w:t xml:space="preserve"> </w:t>
      </w:r>
      <w:r w:rsidRPr="00FD02DE">
        <w:rPr>
          <w:rFonts w:cstheme="minorHAnsi"/>
          <w:spacing w:val="-1"/>
        </w:rPr>
        <w:t>af</w:t>
      </w:r>
      <w:r w:rsidRPr="00FD02DE">
        <w:rPr>
          <w:rFonts w:cstheme="minorHAnsi"/>
          <w:spacing w:val="3"/>
        </w:rPr>
        <w:t>t</w:t>
      </w:r>
      <w:r w:rsidRPr="00FD02DE">
        <w:rPr>
          <w:rFonts w:cstheme="minorHAnsi"/>
          <w:spacing w:val="-1"/>
        </w:rPr>
        <w:t>e</w:t>
      </w:r>
      <w:r w:rsidRPr="00FD02DE">
        <w:rPr>
          <w:rFonts w:cstheme="minorHAnsi"/>
        </w:rPr>
        <w:t>r</w:t>
      </w:r>
      <w:r w:rsidRPr="00FD02DE">
        <w:rPr>
          <w:rFonts w:cstheme="minorHAnsi"/>
          <w:spacing w:val="4"/>
        </w:rPr>
        <w:t xml:space="preserve"> </w:t>
      </w:r>
      <w:r w:rsidRPr="00FD02DE">
        <w:rPr>
          <w:rFonts w:cstheme="minorHAnsi"/>
        </w:rPr>
        <w:t>t</w:t>
      </w:r>
      <w:r w:rsidRPr="00FD02DE">
        <w:rPr>
          <w:rFonts w:cstheme="minorHAnsi"/>
          <w:spacing w:val="-1"/>
        </w:rPr>
        <w:t>h</w:t>
      </w:r>
      <w:r w:rsidRPr="00FD02DE">
        <w:rPr>
          <w:rFonts w:cstheme="minorHAnsi"/>
        </w:rPr>
        <w:t>e</w:t>
      </w:r>
      <w:r w:rsidRPr="00FD02DE">
        <w:rPr>
          <w:rFonts w:cstheme="minorHAnsi"/>
          <w:spacing w:val="10"/>
        </w:rPr>
        <w:t xml:space="preserve"> </w:t>
      </w:r>
      <w:r w:rsidRPr="00FD02DE">
        <w:rPr>
          <w:rFonts w:cstheme="minorHAnsi"/>
        </w:rPr>
        <w:t>O</w:t>
      </w:r>
      <w:r w:rsidRPr="00FD02DE">
        <w:rPr>
          <w:rFonts w:cstheme="minorHAnsi"/>
          <w:spacing w:val="-1"/>
        </w:rPr>
        <w:t>rd</w:t>
      </w:r>
      <w:r w:rsidRPr="00FD02DE">
        <w:rPr>
          <w:rFonts w:cstheme="minorHAnsi"/>
          <w:spacing w:val="1"/>
        </w:rPr>
        <w:t>i</w:t>
      </w:r>
      <w:r w:rsidRPr="00FD02DE">
        <w:rPr>
          <w:rFonts w:cstheme="minorHAnsi"/>
          <w:spacing w:val="-1"/>
        </w:rPr>
        <w:t>n</w:t>
      </w:r>
      <w:r w:rsidRPr="00FD02DE">
        <w:rPr>
          <w:rFonts w:cstheme="minorHAnsi"/>
        </w:rPr>
        <w:t>a</w:t>
      </w:r>
      <w:r w:rsidRPr="00FD02DE">
        <w:rPr>
          <w:rFonts w:cstheme="minorHAnsi"/>
          <w:spacing w:val="4"/>
        </w:rPr>
        <w:t>r</w:t>
      </w:r>
      <w:r w:rsidRPr="00FD02DE">
        <w:rPr>
          <w:rFonts w:cstheme="minorHAnsi"/>
        </w:rPr>
        <w:t>y l</w:t>
      </w:r>
      <w:r w:rsidRPr="00FD02DE">
        <w:rPr>
          <w:rFonts w:cstheme="minorHAnsi"/>
          <w:spacing w:val="2"/>
        </w:rPr>
        <w:t>o</w:t>
      </w:r>
      <w:r w:rsidRPr="00FD02DE">
        <w:rPr>
          <w:rFonts w:cstheme="minorHAnsi"/>
          <w:spacing w:val="-1"/>
        </w:rPr>
        <w:t xml:space="preserve">cal </w:t>
      </w:r>
      <w:r w:rsidRPr="00FD02DE">
        <w:rPr>
          <w:rFonts w:cstheme="minorHAnsi"/>
          <w:spacing w:val="-2"/>
        </w:rPr>
        <w:t>g</w:t>
      </w:r>
      <w:r w:rsidRPr="00FD02DE">
        <w:rPr>
          <w:rFonts w:cstheme="minorHAnsi"/>
        </w:rPr>
        <w:t>ov</w:t>
      </w:r>
      <w:r w:rsidRPr="00FD02DE">
        <w:rPr>
          <w:rFonts w:cstheme="minorHAnsi"/>
          <w:spacing w:val="1"/>
        </w:rPr>
        <w:t>e</w:t>
      </w:r>
      <w:r w:rsidRPr="00FD02DE">
        <w:rPr>
          <w:rFonts w:cstheme="minorHAnsi"/>
          <w:spacing w:val="-1"/>
        </w:rPr>
        <w:t>r</w:t>
      </w:r>
      <w:r w:rsidRPr="00FD02DE">
        <w:rPr>
          <w:rFonts w:cstheme="minorHAnsi"/>
        </w:rPr>
        <w:t>nm</w:t>
      </w:r>
      <w:r w:rsidRPr="00FD02DE">
        <w:rPr>
          <w:rFonts w:cstheme="minorHAnsi"/>
          <w:spacing w:val="-1"/>
        </w:rPr>
        <w:t>e</w:t>
      </w:r>
      <w:r w:rsidRPr="00FD02DE">
        <w:rPr>
          <w:rFonts w:cstheme="minorHAnsi"/>
        </w:rPr>
        <w:t>nt</w:t>
      </w:r>
      <w:r w:rsidRPr="00FD02DE">
        <w:rPr>
          <w:rFonts w:cstheme="minorHAnsi"/>
          <w:spacing w:val="1"/>
        </w:rPr>
        <w:t xml:space="preserve"> </w:t>
      </w:r>
      <w:r w:rsidRPr="00FD02DE">
        <w:rPr>
          <w:rFonts w:cstheme="minorHAnsi"/>
          <w:spacing w:val="-1"/>
        </w:rPr>
        <w:t>e</w:t>
      </w:r>
      <w:r w:rsidRPr="00FD02DE">
        <w:rPr>
          <w:rFonts w:cstheme="minorHAnsi"/>
        </w:rPr>
        <w:t>l</w:t>
      </w:r>
      <w:r w:rsidRPr="00FD02DE">
        <w:rPr>
          <w:rFonts w:cstheme="minorHAnsi"/>
          <w:spacing w:val="1"/>
        </w:rPr>
        <w:t>e</w:t>
      </w:r>
      <w:r w:rsidRPr="00FD02DE">
        <w:rPr>
          <w:rFonts w:cstheme="minorHAnsi"/>
          <w:spacing w:val="-1"/>
        </w:rPr>
        <w:t>c</w:t>
      </w:r>
      <w:r w:rsidRPr="00FD02DE">
        <w:rPr>
          <w:rFonts w:cstheme="minorHAnsi"/>
        </w:rPr>
        <w:t>tions.</w:t>
      </w:r>
      <w:r w:rsidRPr="00FD02DE">
        <w:rPr>
          <w:rFonts w:cstheme="minorHAnsi"/>
          <w:spacing w:val="-1"/>
        </w:rPr>
        <w:t>)</w:t>
      </w:r>
      <w:r w:rsidRPr="00FD02DE">
        <w:rPr>
          <w:rFonts w:cstheme="minorHAnsi"/>
        </w:rPr>
        <w:t xml:space="preserve">. </w:t>
      </w:r>
    </w:p>
    <w:p w14:paraId="39EF75C8" w14:textId="77777777" w:rsidR="00272EB4" w:rsidRPr="00FD02DE" w:rsidRDefault="00272EB4" w:rsidP="00272EB4">
      <w:pPr>
        <w:pStyle w:val="ListParagraph"/>
        <w:widowControl w:val="0"/>
        <w:numPr>
          <w:ilvl w:val="0"/>
          <w:numId w:val="341"/>
        </w:numPr>
        <w:spacing w:after="60" w:line="240" w:lineRule="auto"/>
        <w:ind w:left="425" w:right="73" w:hanging="425"/>
        <w:contextualSpacing w:val="0"/>
        <w:jc w:val="both"/>
        <w:rPr>
          <w:rFonts w:cstheme="minorHAnsi"/>
        </w:rPr>
      </w:pPr>
      <w:r w:rsidRPr="00FD02DE">
        <w:rPr>
          <w:rFonts w:cstheme="minorHAnsi"/>
        </w:rPr>
        <w:t>O</w:t>
      </w:r>
      <w:r w:rsidRPr="00FD02DE">
        <w:rPr>
          <w:rFonts w:cstheme="minorHAnsi"/>
          <w:spacing w:val="-1"/>
        </w:rPr>
        <w:t>n</w:t>
      </w:r>
      <w:r w:rsidRPr="00FD02DE">
        <w:rPr>
          <w:rFonts w:cstheme="minorHAnsi"/>
        </w:rPr>
        <w:t>ce s</w:t>
      </w:r>
      <w:r w:rsidRPr="00FD02DE">
        <w:rPr>
          <w:rFonts w:cstheme="minorHAnsi"/>
          <w:spacing w:val="-1"/>
        </w:rPr>
        <w:t>e</w:t>
      </w:r>
      <w:r w:rsidRPr="00FD02DE">
        <w:rPr>
          <w:rFonts w:cstheme="minorHAnsi"/>
        </w:rPr>
        <w:t>l</w:t>
      </w:r>
      <w:r w:rsidRPr="00FD02DE">
        <w:rPr>
          <w:rFonts w:cstheme="minorHAnsi"/>
          <w:spacing w:val="1"/>
        </w:rPr>
        <w:t>e</w:t>
      </w:r>
      <w:r w:rsidRPr="00FD02DE">
        <w:rPr>
          <w:rFonts w:cstheme="minorHAnsi"/>
          <w:spacing w:val="-1"/>
        </w:rPr>
        <w:t>c</w:t>
      </w:r>
      <w:r w:rsidRPr="00FD02DE">
        <w:rPr>
          <w:rFonts w:cstheme="minorHAnsi"/>
        </w:rPr>
        <w:t>t</w:t>
      </w:r>
      <w:r w:rsidRPr="00FD02DE">
        <w:rPr>
          <w:rFonts w:cstheme="minorHAnsi"/>
          <w:spacing w:val="-1"/>
        </w:rPr>
        <w:t>e</w:t>
      </w:r>
      <w:r w:rsidRPr="00FD02DE">
        <w:rPr>
          <w:rFonts w:cstheme="minorHAnsi"/>
        </w:rPr>
        <w:t xml:space="preserve">d </w:t>
      </w:r>
      <w:r w:rsidRPr="00FD02DE">
        <w:rPr>
          <w:rFonts w:cstheme="minorHAnsi"/>
          <w:spacing w:val="2"/>
        </w:rPr>
        <w:t>b</w:t>
      </w:r>
      <w:r w:rsidRPr="00FD02DE">
        <w:rPr>
          <w:rFonts w:cstheme="minorHAnsi"/>
        </w:rPr>
        <w:t>y t</w:t>
      </w:r>
      <w:r w:rsidRPr="00FD02DE">
        <w:rPr>
          <w:rFonts w:cstheme="minorHAnsi"/>
          <w:spacing w:val="2"/>
        </w:rPr>
        <w:t>h</w:t>
      </w:r>
      <w:r w:rsidRPr="00FD02DE">
        <w:rPr>
          <w:rFonts w:cstheme="minorHAnsi"/>
        </w:rPr>
        <w:t xml:space="preserve">e </w:t>
      </w:r>
      <w:r w:rsidRPr="00FD02DE">
        <w:rPr>
          <w:rFonts w:cstheme="minorHAnsi"/>
          <w:spacing w:val="1"/>
        </w:rPr>
        <w:t>Council</w:t>
      </w:r>
      <w:r w:rsidRPr="00FD02DE">
        <w:rPr>
          <w:rFonts w:cstheme="minorHAnsi"/>
        </w:rPr>
        <w:t>,</w:t>
      </w:r>
      <w:r w:rsidRPr="00FD02DE">
        <w:rPr>
          <w:rFonts w:cstheme="minorHAnsi"/>
          <w:spacing w:val="50"/>
        </w:rPr>
        <w:t xml:space="preserve"> </w:t>
      </w:r>
      <w:r w:rsidRPr="00FD02DE">
        <w:rPr>
          <w:rFonts w:cstheme="minorHAnsi"/>
        </w:rPr>
        <w:t>if</w:t>
      </w:r>
      <w:r w:rsidRPr="00FD02DE">
        <w:rPr>
          <w:rFonts w:cstheme="minorHAnsi"/>
          <w:spacing w:val="50"/>
        </w:rPr>
        <w:t xml:space="preserve"> </w:t>
      </w:r>
      <w:r w:rsidRPr="00FD02DE">
        <w:rPr>
          <w:rFonts w:cstheme="minorHAnsi"/>
        </w:rPr>
        <w:t>a</w:t>
      </w:r>
      <w:r w:rsidRPr="00FD02DE">
        <w:rPr>
          <w:rFonts w:cstheme="minorHAnsi"/>
          <w:spacing w:val="49"/>
        </w:rPr>
        <w:t xml:space="preserve"> </w:t>
      </w:r>
      <w:r w:rsidRPr="00FD02DE">
        <w:rPr>
          <w:rFonts w:cstheme="minorHAnsi"/>
        </w:rPr>
        <w:t>m</w:t>
      </w:r>
      <w:r w:rsidRPr="00FD02DE">
        <w:rPr>
          <w:rFonts w:cstheme="minorHAnsi"/>
          <w:spacing w:val="-1"/>
        </w:rPr>
        <w:t>e</w:t>
      </w:r>
      <w:r w:rsidRPr="00FD02DE">
        <w:rPr>
          <w:rFonts w:cstheme="minorHAnsi"/>
        </w:rPr>
        <w:t>m</w:t>
      </w:r>
      <w:r w:rsidRPr="00FD02DE">
        <w:rPr>
          <w:rFonts w:cstheme="minorHAnsi"/>
          <w:spacing w:val="-1"/>
        </w:rPr>
        <w:t>b</w:t>
      </w:r>
      <w:r w:rsidRPr="00FD02DE">
        <w:rPr>
          <w:rFonts w:cstheme="minorHAnsi"/>
        </w:rPr>
        <w:t>er</w:t>
      </w:r>
      <w:r w:rsidRPr="00FD02DE">
        <w:rPr>
          <w:rFonts w:cstheme="minorHAnsi"/>
          <w:spacing w:val="52"/>
        </w:rPr>
        <w:t xml:space="preserve"> </w:t>
      </w:r>
      <w:r w:rsidRPr="00FD02DE">
        <w:rPr>
          <w:rFonts w:cstheme="minorHAnsi"/>
          <w:spacing w:val="-1"/>
        </w:rPr>
        <w:t>fa</w:t>
      </w:r>
      <w:r w:rsidRPr="00FD02DE">
        <w:rPr>
          <w:rFonts w:cstheme="minorHAnsi"/>
        </w:rPr>
        <w:t>ils</w:t>
      </w:r>
      <w:r w:rsidRPr="00FD02DE">
        <w:rPr>
          <w:rFonts w:cstheme="minorHAnsi"/>
          <w:spacing w:val="51"/>
        </w:rPr>
        <w:t xml:space="preserve"> </w:t>
      </w:r>
      <w:r w:rsidRPr="00FD02DE">
        <w:rPr>
          <w:rFonts w:cstheme="minorHAnsi"/>
        </w:rPr>
        <w:t>to</w:t>
      </w:r>
      <w:r w:rsidRPr="00FD02DE">
        <w:rPr>
          <w:rFonts w:cstheme="minorHAnsi"/>
          <w:spacing w:val="50"/>
        </w:rPr>
        <w:t xml:space="preserve"> </w:t>
      </w:r>
      <w:r w:rsidRPr="00FD02DE">
        <w:rPr>
          <w:rFonts w:cstheme="minorHAnsi"/>
          <w:spacing w:val="-1"/>
        </w:rPr>
        <w:t>a</w:t>
      </w:r>
      <w:r w:rsidRPr="00FD02DE">
        <w:rPr>
          <w:rFonts w:cstheme="minorHAnsi"/>
        </w:rPr>
        <w:t>tt</w:t>
      </w:r>
      <w:r w:rsidRPr="00FD02DE">
        <w:rPr>
          <w:rFonts w:cstheme="minorHAnsi"/>
          <w:spacing w:val="-1"/>
        </w:rPr>
        <w:t>en</w:t>
      </w:r>
      <w:r w:rsidRPr="00FD02DE">
        <w:rPr>
          <w:rFonts w:cstheme="minorHAnsi"/>
        </w:rPr>
        <w:t>d</w:t>
      </w:r>
      <w:r w:rsidRPr="00FD02DE">
        <w:rPr>
          <w:rFonts w:cstheme="minorHAnsi"/>
          <w:spacing w:val="51"/>
        </w:rPr>
        <w:t xml:space="preserve"> </w:t>
      </w:r>
      <w:r w:rsidRPr="00FD02DE">
        <w:rPr>
          <w:rFonts w:cstheme="minorHAnsi"/>
        </w:rPr>
        <w:t>t</w:t>
      </w:r>
      <w:r w:rsidRPr="00FD02DE">
        <w:rPr>
          <w:rFonts w:cstheme="minorHAnsi"/>
          <w:spacing w:val="-1"/>
        </w:rPr>
        <w:t>h</w:t>
      </w:r>
      <w:r w:rsidRPr="00FD02DE">
        <w:rPr>
          <w:rFonts w:cstheme="minorHAnsi"/>
        </w:rPr>
        <w:t>r</w:t>
      </w:r>
      <w:r w:rsidRPr="00FD02DE">
        <w:rPr>
          <w:rFonts w:cstheme="minorHAnsi"/>
          <w:spacing w:val="-1"/>
        </w:rPr>
        <w:t>e</w:t>
      </w:r>
      <w:r w:rsidRPr="00FD02DE">
        <w:rPr>
          <w:rFonts w:cstheme="minorHAnsi"/>
        </w:rPr>
        <w:t>e</w:t>
      </w:r>
      <w:r w:rsidRPr="00FD02DE">
        <w:rPr>
          <w:rFonts w:cstheme="minorHAnsi"/>
          <w:spacing w:val="52"/>
        </w:rPr>
        <w:t xml:space="preserve"> </w:t>
      </w:r>
      <w:r w:rsidRPr="00FD02DE">
        <w:rPr>
          <w:rFonts w:cstheme="minorHAnsi"/>
          <w:spacing w:val="-1"/>
        </w:rPr>
        <w:t>(</w:t>
      </w:r>
      <w:r w:rsidRPr="00FD02DE">
        <w:rPr>
          <w:rFonts w:cstheme="minorHAnsi"/>
          <w:spacing w:val="2"/>
        </w:rPr>
        <w:t>3</w:t>
      </w:r>
      <w:r w:rsidRPr="00FD02DE">
        <w:rPr>
          <w:rFonts w:cstheme="minorHAnsi"/>
        </w:rPr>
        <w:t>)</w:t>
      </w:r>
      <w:r w:rsidRPr="00FD02DE">
        <w:rPr>
          <w:rFonts w:cstheme="minorHAnsi"/>
          <w:spacing w:val="50"/>
        </w:rPr>
        <w:t xml:space="preserve"> </w:t>
      </w:r>
      <w:r w:rsidRPr="00FD02DE">
        <w:rPr>
          <w:rFonts w:cstheme="minorHAnsi"/>
          <w:spacing w:val="-1"/>
        </w:rPr>
        <w:t>con</w:t>
      </w:r>
      <w:r w:rsidRPr="00FD02DE">
        <w:rPr>
          <w:rFonts w:cstheme="minorHAnsi"/>
          <w:spacing w:val="2"/>
        </w:rPr>
        <w:t>s</w:t>
      </w:r>
      <w:r w:rsidRPr="00FD02DE">
        <w:rPr>
          <w:rFonts w:cstheme="minorHAnsi"/>
          <w:spacing w:val="-1"/>
        </w:rPr>
        <w:t>ecu</w:t>
      </w:r>
      <w:r w:rsidRPr="00FD02DE">
        <w:rPr>
          <w:rFonts w:cstheme="minorHAnsi"/>
          <w:spacing w:val="1"/>
        </w:rPr>
        <w:t>t</w:t>
      </w:r>
      <w:r w:rsidRPr="00FD02DE">
        <w:rPr>
          <w:rFonts w:cstheme="minorHAnsi"/>
        </w:rPr>
        <w:t>i</w:t>
      </w:r>
      <w:r w:rsidRPr="00FD02DE">
        <w:rPr>
          <w:rFonts w:cstheme="minorHAnsi"/>
          <w:spacing w:val="-1"/>
        </w:rPr>
        <w:t xml:space="preserve">ve </w:t>
      </w:r>
      <w:r w:rsidRPr="00FD02DE">
        <w:rPr>
          <w:rFonts w:cstheme="minorHAnsi"/>
        </w:rPr>
        <w:t>m</w:t>
      </w:r>
      <w:r w:rsidRPr="00FD02DE">
        <w:rPr>
          <w:rFonts w:cstheme="minorHAnsi"/>
          <w:spacing w:val="-1"/>
        </w:rPr>
        <w:t>ee</w:t>
      </w:r>
      <w:r w:rsidRPr="00FD02DE">
        <w:rPr>
          <w:rFonts w:cstheme="minorHAnsi"/>
        </w:rPr>
        <w:t>tin</w:t>
      </w:r>
      <w:r w:rsidRPr="00FD02DE">
        <w:rPr>
          <w:rFonts w:cstheme="minorHAnsi"/>
          <w:spacing w:val="-2"/>
        </w:rPr>
        <w:t>g</w:t>
      </w:r>
      <w:r w:rsidRPr="00FD02DE">
        <w:rPr>
          <w:rFonts w:cstheme="minorHAnsi"/>
        </w:rPr>
        <w:t>s of the Panel, his/h</w:t>
      </w:r>
      <w:r w:rsidRPr="00FD02DE">
        <w:rPr>
          <w:rFonts w:cstheme="minorHAnsi"/>
          <w:spacing w:val="-1"/>
        </w:rPr>
        <w:t>e</w:t>
      </w:r>
      <w:r w:rsidRPr="00FD02DE">
        <w:rPr>
          <w:rFonts w:cstheme="minorHAnsi"/>
        </w:rPr>
        <w:t xml:space="preserve">r </w:t>
      </w:r>
      <w:r w:rsidRPr="00FD02DE">
        <w:rPr>
          <w:rFonts w:cstheme="minorHAnsi"/>
          <w:spacing w:val="-1"/>
        </w:rPr>
        <w:t>a</w:t>
      </w:r>
      <w:r w:rsidRPr="00FD02DE">
        <w:rPr>
          <w:rFonts w:cstheme="minorHAnsi"/>
        </w:rPr>
        <w:t>ppointm</w:t>
      </w:r>
      <w:r w:rsidRPr="00FD02DE">
        <w:rPr>
          <w:rFonts w:cstheme="minorHAnsi"/>
          <w:spacing w:val="-1"/>
        </w:rPr>
        <w:t>e</w:t>
      </w:r>
      <w:r w:rsidRPr="00FD02DE">
        <w:rPr>
          <w:rFonts w:cstheme="minorHAnsi"/>
        </w:rPr>
        <w:t>nt sh</w:t>
      </w:r>
      <w:r w:rsidRPr="00FD02DE">
        <w:rPr>
          <w:rFonts w:cstheme="minorHAnsi"/>
          <w:spacing w:val="-1"/>
        </w:rPr>
        <w:t>a</w:t>
      </w:r>
      <w:r w:rsidRPr="00FD02DE">
        <w:rPr>
          <w:rFonts w:cstheme="minorHAnsi"/>
        </w:rPr>
        <w:t>ll</w:t>
      </w:r>
      <w:r w:rsidRPr="00FD02DE">
        <w:rPr>
          <w:rFonts w:cstheme="minorHAnsi"/>
          <w:spacing w:val="2"/>
        </w:rPr>
        <w:t xml:space="preserve"> </w:t>
      </w:r>
      <w:r w:rsidRPr="00FD02DE">
        <w:rPr>
          <w:rFonts w:cstheme="minorHAnsi"/>
        </w:rPr>
        <w:t xml:space="preserve">be </w:t>
      </w:r>
      <w:r w:rsidRPr="00FD02DE">
        <w:rPr>
          <w:rFonts w:cstheme="minorHAnsi"/>
          <w:spacing w:val="-1"/>
        </w:rPr>
        <w:t>a</w:t>
      </w:r>
      <w:r w:rsidRPr="00FD02DE">
        <w:rPr>
          <w:rFonts w:cstheme="minorHAnsi"/>
        </w:rPr>
        <w:t>utom</w:t>
      </w:r>
      <w:r w:rsidRPr="00FD02DE">
        <w:rPr>
          <w:rFonts w:cstheme="minorHAnsi"/>
          <w:spacing w:val="-1"/>
        </w:rPr>
        <w:t>a</w:t>
      </w:r>
      <w:r w:rsidRPr="00FD02DE">
        <w:rPr>
          <w:rFonts w:cstheme="minorHAnsi"/>
        </w:rPr>
        <w:t>ti</w:t>
      </w:r>
      <w:r w:rsidRPr="00FD02DE">
        <w:rPr>
          <w:rFonts w:cstheme="minorHAnsi"/>
          <w:spacing w:val="-1"/>
        </w:rPr>
        <w:t>ca</w:t>
      </w:r>
      <w:r w:rsidRPr="00FD02DE">
        <w:rPr>
          <w:rFonts w:cstheme="minorHAnsi"/>
        </w:rPr>
        <w:t>l</w:t>
      </w:r>
      <w:r w:rsidRPr="00FD02DE">
        <w:rPr>
          <w:rFonts w:cstheme="minorHAnsi"/>
          <w:spacing w:val="3"/>
        </w:rPr>
        <w:t>l</w:t>
      </w:r>
      <w:r w:rsidRPr="00FD02DE">
        <w:rPr>
          <w:rFonts w:cstheme="minorHAnsi"/>
        </w:rPr>
        <w:t xml:space="preserve">y </w:t>
      </w:r>
      <w:r w:rsidRPr="00FD02DE">
        <w:rPr>
          <w:rFonts w:cstheme="minorHAnsi"/>
          <w:spacing w:val="3"/>
        </w:rPr>
        <w:t>t</w:t>
      </w:r>
      <w:r w:rsidRPr="00FD02DE">
        <w:rPr>
          <w:rFonts w:cstheme="minorHAnsi"/>
          <w:spacing w:val="-1"/>
        </w:rPr>
        <w:t>er</w:t>
      </w:r>
      <w:r w:rsidRPr="00FD02DE">
        <w:rPr>
          <w:rFonts w:cstheme="minorHAnsi"/>
        </w:rPr>
        <w:t>min</w:t>
      </w:r>
      <w:r w:rsidRPr="00FD02DE">
        <w:rPr>
          <w:rFonts w:cstheme="minorHAnsi"/>
          <w:spacing w:val="-1"/>
        </w:rPr>
        <w:t>a</w:t>
      </w:r>
      <w:r w:rsidRPr="00FD02DE">
        <w:rPr>
          <w:rFonts w:cstheme="minorHAnsi"/>
        </w:rPr>
        <w:t>t</w:t>
      </w:r>
      <w:r w:rsidRPr="00FD02DE">
        <w:rPr>
          <w:rFonts w:cstheme="minorHAnsi"/>
          <w:spacing w:val="-1"/>
        </w:rPr>
        <w:t>e</w:t>
      </w:r>
      <w:r w:rsidRPr="00FD02DE">
        <w:rPr>
          <w:rFonts w:cstheme="minorHAnsi"/>
          <w:spacing w:val="2"/>
        </w:rPr>
        <w:t>d</w:t>
      </w:r>
      <w:r w:rsidRPr="00FD02DE">
        <w:rPr>
          <w:rFonts w:cstheme="minorHAnsi"/>
        </w:rPr>
        <w:t>,</w:t>
      </w:r>
      <w:r w:rsidRPr="00FD02DE">
        <w:rPr>
          <w:rFonts w:cstheme="minorHAnsi"/>
          <w:spacing w:val="5"/>
        </w:rPr>
        <w:t xml:space="preserve"> </w:t>
      </w:r>
      <w:r w:rsidRPr="00FD02DE">
        <w:rPr>
          <w:rFonts w:cstheme="minorHAnsi"/>
          <w:spacing w:val="-1"/>
        </w:rPr>
        <w:t>un</w:t>
      </w:r>
      <w:r w:rsidRPr="00FD02DE">
        <w:rPr>
          <w:rFonts w:cstheme="minorHAnsi"/>
          <w:spacing w:val="2"/>
        </w:rPr>
        <w:t>l</w:t>
      </w:r>
      <w:r w:rsidRPr="00FD02DE">
        <w:rPr>
          <w:rFonts w:cstheme="minorHAnsi"/>
          <w:spacing w:val="-1"/>
        </w:rPr>
        <w:t>e</w:t>
      </w:r>
      <w:r w:rsidRPr="00FD02DE">
        <w:rPr>
          <w:rFonts w:cstheme="minorHAnsi"/>
        </w:rPr>
        <w:t>ss</w:t>
      </w:r>
      <w:r w:rsidRPr="00FD02DE">
        <w:rPr>
          <w:rFonts w:cstheme="minorHAnsi"/>
          <w:spacing w:val="8"/>
        </w:rPr>
        <w:t xml:space="preserve"> </w:t>
      </w:r>
      <w:r w:rsidRPr="00FD02DE">
        <w:rPr>
          <w:rFonts w:cstheme="minorHAnsi"/>
          <w:spacing w:val="-3"/>
        </w:rPr>
        <w:t>L</w:t>
      </w:r>
      <w:r w:rsidRPr="00FD02DE">
        <w:rPr>
          <w:rFonts w:cstheme="minorHAnsi"/>
          <w:spacing w:val="-1"/>
        </w:rPr>
        <w:t>eav</w:t>
      </w:r>
      <w:r w:rsidRPr="00FD02DE">
        <w:rPr>
          <w:rFonts w:cstheme="minorHAnsi"/>
        </w:rPr>
        <w:t>e</w:t>
      </w:r>
      <w:r w:rsidRPr="00FD02DE">
        <w:rPr>
          <w:rFonts w:cstheme="minorHAnsi"/>
          <w:spacing w:val="5"/>
        </w:rPr>
        <w:t xml:space="preserve"> </w:t>
      </w:r>
      <w:r w:rsidRPr="00FD02DE">
        <w:rPr>
          <w:rFonts w:cstheme="minorHAnsi"/>
          <w:spacing w:val="2"/>
        </w:rPr>
        <w:t>o</w:t>
      </w:r>
      <w:r w:rsidRPr="00FD02DE">
        <w:rPr>
          <w:rFonts w:cstheme="minorHAnsi"/>
        </w:rPr>
        <w:t>f</w:t>
      </w:r>
      <w:r w:rsidRPr="00FD02DE">
        <w:rPr>
          <w:rFonts w:cstheme="minorHAnsi"/>
          <w:spacing w:val="4"/>
        </w:rPr>
        <w:t xml:space="preserve"> </w:t>
      </w:r>
      <w:r w:rsidRPr="00FD02DE">
        <w:rPr>
          <w:rFonts w:cstheme="minorHAnsi"/>
        </w:rPr>
        <w:t>A</w:t>
      </w:r>
      <w:r w:rsidRPr="00FD02DE">
        <w:rPr>
          <w:rFonts w:cstheme="minorHAnsi"/>
          <w:spacing w:val="-1"/>
        </w:rPr>
        <w:t>b</w:t>
      </w:r>
      <w:r w:rsidRPr="00FD02DE">
        <w:rPr>
          <w:rFonts w:cstheme="minorHAnsi"/>
          <w:spacing w:val="1"/>
        </w:rPr>
        <w:t>se</w:t>
      </w:r>
      <w:r w:rsidRPr="00FD02DE">
        <w:rPr>
          <w:rFonts w:cstheme="minorHAnsi"/>
          <w:spacing w:val="-1"/>
        </w:rPr>
        <w:t>n</w:t>
      </w:r>
      <w:r w:rsidRPr="00FD02DE">
        <w:rPr>
          <w:rFonts w:cstheme="minorHAnsi"/>
        </w:rPr>
        <w:t>ce</w:t>
      </w:r>
      <w:r w:rsidRPr="00FD02DE">
        <w:rPr>
          <w:rFonts w:cstheme="minorHAnsi"/>
          <w:spacing w:val="4"/>
        </w:rPr>
        <w:t xml:space="preserve"> </w:t>
      </w:r>
      <w:r w:rsidRPr="00FD02DE">
        <w:rPr>
          <w:rFonts w:cstheme="minorHAnsi"/>
          <w:spacing w:val="-1"/>
        </w:rPr>
        <w:t>h</w:t>
      </w:r>
      <w:r w:rsidRPr="00FD02DE">
        <w:rPr>
          <w:rFonts w:cstheme="minorHAnsi"/>
        </w:rPr>
        <w:t>as</w:t>
      </w:r>
      <w:r w:rsidRPr="00FD02DE">
        <w:rPr>
          <w:rFonts w:cstheme="minorHAnsi"/>
          <w:spacing w:val="5"/>
        </w:rPr>
        <w:t xml:space="preserve"> </w:t>
      </w:r>
      <w:r w:rsidRPr="00FD02DE">
        <w:rPr>
          <w:rFonts w:cstheme="minorHAnsi"/>
          <w:spacing w:val="2"/>
        </w:rPr>
        <w:t>b</w:t>
      </w:r>
      <w:r w:rsidRPr="00FD02DE">
        <w:rPr>
          <w:rFonts w:cstheme="minorHAnsi"/>
          <w:spacing w:val="-1"/>
        </w:rPr>
        <w:t xml:space="preserve">een </w:t>
      </w:r>
      <w:r w:rsidRPr="00FD02DE">
        <w:rPr>
          <w:rFonts w:cstheme="minorHAnsi"/>
          <w:spacing w:val="-2"/>
        </w:rPr>
        <w:t>g</w:t>
      </w:r>
      <w:r w:rsidRPr="00FD02DE">
        <w:rPr>
          <w:rFonts w:cstheme="minorHAnsi"/>
          <w:spacing w:val="2"/>
        </w:rPr>
        <w:t>r</w:t>
      </w:r>
      <w:r w:rsidRPr="00FD02DE">
        <w:rPr>
          <w:rFonts w:cstheme="minorHAnsi"/>
          <w:spacing w:val="-1"/>
        </w:rPr>
        <w:t>a</w:t>
      </w:r>
      <w:r w:rsidRPr="00FD02DE">
        <w:rPr>
          <w:rFonts w:cstheme="minorHAnsi"/>
        </w:rPr>
        <w:t>nt</w:t>
      </w:r>
      <w:r w:rsidRPr="00FD02DE">
        <w:rPr>
          <w:rFonts w:cstheme="minorHAnsi"/>
          <w:spacing w:val="-1"/>
        </w:rPr>
        <w:t>e</w:t>
      </w:r>
      <w:r w:rsidRPr="00FD02DE">
        <w:rPr>
          <w:rFonts w:cstheme="minorHAnsi"/>
        </w:rPr>
        <w:t xml:space="preserve">d </w:t>
      </w:r>
      <w:r w:rsidRPr="00FD02DE">
        <w:rPr>
          <w:rFonts w:cstheme="minorHAnsi"/>
          <w:spacing w:val="-1"/>
        </w:rPr>
        <w:t>a</w:t>
      </w:r>
      <w:r w:rsidRPr="00FD02DE">
        <w:rPr>
          <w:rFonts w:cstheme="minorHAnsi"/>
        </w:rPr>
        <w:t xml:space="preserve">nd </w:t>
      </w:r>
      <w:r w:rsidRPr="00FD02DE">
        <w:rPr>
          <w:rFonts w:cstheme="minorHAnsi"/>
          <w:spacing w:val="-1"/>
        </w:rPr>
        <w:t>a</w:t>
      </w:r>
      <w:r w:rsidRPr="00FD02DE">
        <w:rPr>
          <w:rFonts w:cstheme="minorHAnsi"/>
        </w:rPr>
        <w:t>p</w:t>
      </w:r>
      <w:r w:rsidRPr="00FD02DE">
        <w:rPr>
          <w:rFonts w:cstheme="minorHAnsi"/>
          <w:spacing w:val="2"/>
        </w:rPr>
        <w:t>p</w:t>
      </w:r>
      <w:r w:rsidRPr="00FD02DE">
        <w:rPr>
          <w:rFonts w:cstheme="minorHAnsi"/>
          <w:spacing w:val="-1"/>
        </w:rPr>
        <w:t>r</w:t>
      </w:r>
      <w:r w:rsidRPr="00FD02DE">
        <w:rPr>
          <w:rFonts w:cstheme="minorHAnsi"/>
        </w:rPr>
        <w:t>ov</w:t>
      </w:r>
      <w:r w:rsidRPr="00FD02DE">
        <w:rPr>
          <w:rFonts w:cstheme="minorHAnsi"/>
          <w:spacing w:val="-1"/>
        </w:rPr>
        <w:t>e</w:t>
      </w:r>
      <w:r w:rsidRPr="00FD02DE">
        <w:rPr>
          <w:rFonts w:cstheme="minorHAnsi"/>
        </w:rPr>
        <w:t xml:space="preserve">d </w:t>
      </w:r>
      <w:r w:rsidRPr="00FD02DE">
        <w:rPr>
          <w:rFonts w:cstheme="minorHAnsi"/>
          <w:spacing w:val="2"/>
        </w:rPr>
        <w:t>b</w:t>
      </w:r>
      <w:r w:rsidRPr="00FD02DE">
        <w:rPr>
          <w:rFonts w:cstheme="minorHAnsi"/>
        </w:rPr>
        <w:t>y t</w:t>
      </w:r>
      <w:r w:rsidRPr="00FD02DE">
        <w:rPr>
          <w:rFonts w:cstheme="minorHAnsi"/>
          <w:spacing w:val="2"/>
        </w:rPr>
        <w:t>h</w:t>
      </w:r>
      <w:r w:rsidRPr="00FD02DE">
        <w:rPr>
          <w:rFonts w:cstheme="minorHAnsi"/>
        </w:rPr>
        <w:t>e Panel.  The</w:t>
      </w:r>
      <w:r w:rsidRPr="00FD02DE">
        <w:rPr>
          <w:rFonts w:cstheme="minorHAnsi"/>
          <w:spacing w:val="21"/>
        </w:rPr>
        <w:t xml:space="preserve"> </w:t>
      </w:r>
      <w:r w:rsidRPr="00FD02DE">
        <w:rPr>
          <w:rFonts w:cstheme="minorHAnsi"/>
          <w:spacing w:val="1"/>
        </w:rPr>
        <w:t>C</w:t>
      </w:r>
      <w:r w:rsidRPr="00FD02DE">
        <w:rPr>
          <w:rFonts w:cstheme="minorHAnsi"/>
        </w:rPr>
        <w:t>hi</w:t>
      </w:r>
      <w:r w:rsidRPr="00FD02DE">
        <w:rPr>
          <w:rFonts w:cstheme="minorHAnsi"/>
          <w:spacing w:val="-1"/>
        </w:rPr>
        <w:t>e</w:t>
      </w:r>
      <w:r w:rsidRPr="00FD02DE">
        <w:rPr>
          <w:rFonts w:cstheme="minorHAnsi"/>
        </w:rPr>
        <w:t>f</w:t>
      </w:r>
      <w:r w:rsidRPr="00FD02DE">
        <w:rPr>
          <w:rFonts w:cstheme="minorHAnsi"/>
          <w:spacing w:val="18"/>
        </w:rPr>
        <w:t xml:space="preserve"> </w:t>
      </w:r>
      <w:r w:rsidRPr="00FD02DE">
        <w:rPr>
          <w:rFonts w:cstheme="minorHAnsi"/>
        </w:rPr>
        <w:t>E</w:t>
      </w:r>
      <w:r w:rsidRPr="00FD02DE">
        <w:rPr>
          <w:rFonts w:cstheme="minorHAnsi"/>
          <w:spacing w:val="2"/>
        </w:rPr>
        <w:t>x</w:t>
      </w:r>
      <w:r w:rsidRPr="00FD02DE">
        <w:rPr>
          <w:rFonts w:cstheme="minorHAnsi"/>
          <w:spacing w:val="-1"/>
        </w:rPr>
        <w:t>ec</w:t>
      </w:r>
      <w:r w:rsidRPr="00FD02DE">
        <w:rPr>
          <w:rFonts w:cstheme="minorHAnsi"/>
        </w:rPr>
        <w:t>utive O</w:t>
      </w:r>
      <w:r w:rsidRPr="00FD02DE">
        <w:rPr>
          <w:rFonts w:cstheme="minorHAnsi"/>
          <w:spacing w:val="-1"/>
        </w:rPr>
        <w:t>ff</w:t>
      </w:r>
      <w:r w:rsidRPr="00FD02DE">
        <w:rPr>
          <w:rFonts w:cstheme="minorHAnsi"/>
        </w:rPr>
        <w:t>i</w:t>
      </w:r>
      <w:r w:rsidRPr="00FD02DE">
        <w:rPr>
          <w:rFonts w:cstheme="minorHAnsi"/>
          <w:spacing w:val="-1"/>
        </w:rPr>
        <w:t>c</w:t>
      </w:r>
      <w:r w:rsidRPr="00FD02DE">
        <w:rPr>
          <w:rFonts w:cstheme="minorHAnsi"/>
          <w:spacing w:val="1"/>
        </w:rPr>
        <w:t>e</w:t>
      </w:r>
      <w:r w:rsidRPr="00FD02DE">
        <w:rPr>
          <w:rFonts w:cstheme="minorHAnsi"/>
        </w:rPr>
        <w:t>r</w:t>
      </w:r>
      <w:r w:rsidRPr="00FD02DE">
        <w:rPr>
          <w:rFonts w:cstheme="minorHAnsi"/>
          <w:spacing w:val="4"/>
        </w:rPr>
        <w:t xml:space="preserve"> </w:t>
      </w:r>
      <w:r w:rsidRPr="00FD02DE">
        <w:rPr>
          <w:rFonts w:cstheme="minorHAnsi"/>
        </w:rPr>
        <w:t>sh</w:t>
      </w:r>
      <w:r w:rsidRPr="00FD02DE">
        <w:rPr>
          <w:rFonts w:cstheme="minorHAnsi"/>
          <w:spacing w:val="-1"/>
        </w:rPr>
        <w:t>a</w:t>
      </w:r>
      <w:r w:rsidRPr="00FD02DE">
        <w:rPr>
          <w:rFonts w:cstheme="minorHAnsi"/>
        </w:rPr>
        <w:t>ll</w:t>
      </w:r>
      <w:r w:rsidRPr="00FD02DE">
        <w:rPr>
          <w:rFonts w:cstheme="minorHAnsi"/>
          <w:spacing w:val="7"/>
        </w:rPr>
        <w:t xml:space="preserve"> </w:t>
      </w:r>
      <w:r w:rsidRPr="00FD02DE">
        <w:rPr>
          <w:rFonts w:cstheme="minorHAnsi"/>
          <w:spacing w:val="-1"/>
        </w:rPr>
        <w:t>a</w:t>
      </w:r>
      <w:r w:rsidRPr="00FD02DE">
        <w:rPr>
          <w:rFonts w:cstheme="minorHAnsi"/>
        </w:rPr>
        <w:t>dvise</w:t>
      </w:r>
      <w:r w:rsidRPr="00FD02DE">
        <w:rPr>
          <w:rFonts w:cstheme="minorHAnsi"/>
          <w:spacing w:val="6"/>
        </w:rPr>
        <w:t xml:space="preserve"> </w:t>
      </w:r>
      <w:r w:rsidRPr="00FD02DE">
        <w:rPr>
          <w:rFonts w:cstheme="minorHAnsi"/>
          <w:spacing w:val="1"/>
        </w:rPr>
        <w:t>a</w:t>
      </w:r>
      <w:r w:rsidRPr="00FD02DE">
        <w:rPr>
          <w:rFonts w:cstheme="minorHAnsi"/>
          <w:spacing w:val="2"/>
        </w:rPr>
        <w:t>n</w:t>
      </w:r>
      <w:r w:rsidRPr="00FD02DE">
        <w:rPr>
          <w:rFonts w:cstheme="minorHAnsi"/>
        </w:rPr>
        <w:t xml:space="preserve">y </w:t>
      </w:r>
      <w:r w:rsidRPr="00FD02DE">
        <w:rPr>
          <w:rFonts w:cstheme="minorHAnsi"/>
          <w:spacing w:val="3"/>
        </w:rPr>
        <w:t>m</w:t>
      </w:r>
      <w:r w:rsidRPr="00FD02DE">
        <w:rPr>
          <w:rFonts w:cstheme="minorHAnsi"/>
          <w:spacing w:val="-1"/>
        </w:rPr>
        <w:t>e</w:t>
      </w:r>
      <w:r w:rsidRPr="00FD02DE">
        <w:rPr>
          <w:rFonts w:cstheme="minorHAnsi"/>
        </w:rPr>
        <w:t>mb</w:t>
      </w:r>
      <w:r w:rsidRPr="00FD02DE">
        <w:rPr>
          <w:rFonts w:cstheme="minorHAnsi"/>
          <w:spacing w:val="-1"/>
        </w:rPr>
        <w:t>er</w:t>
      </w:r>
      <w:r w:rsidRPr="00FD02DE">
        <w:rPr>
          <w:rFonts w:cstheme="minorHAnsi"/>
        </w:rPr>
        <w:t>,</w:t>
      </w:r>
      <w:r w:rsidRPr="00FD02DE">
        <w:rPr>
          <w:rFonts w:cstheme="minorHAnsi"/>
          <w:spacing w:val="7"/>
        </w:rPr>
        <w:t xml:space="preserve"> </w:t>
      </w:r>
      <w:r w:rsidRPr="00FD02DE">
        <w:rPr>
          <w:rFonts w:cstheme="minorHAnsi"/>
        </w:rPr>
        <w:t>in</w:t>
      </w:r>
      <w:r w:rsidRPr="00FD02DE">
        <w:rPr>
          <w:rFonts w:cstheme="minorHAnsi"/>
          <w:spacing w:val="5"/>
        </w:rPr>
        <w:t xml:space="preserve"> </w:t>
      </w:r>
      <w:r w:rsidRPr="00FD02DE">
        <w:rPr>
          <w:rFonts w:cstheme="minorHAnsi"/>
        </w:rPr>
        <w:t>w</w:t>
      </w:r>
      <w:r w:rsidRPr="00FD02DE">
        <w:rPr>
          <w:rFonts w:cstheme="minorHAnsi"/>
          <w:spacing w:val="-1"/>
        </w:rPr>
        <w:t>r</w:t>
      </w:r>
      <w:r w:rsidRPr="00FD02DE">
        <w:rPr>
          <w:rFonts w:cstheme="minorHAnsi"/>
        </w:rPr>
        <w:t>iti</w:t>
      </w:r>
      <w:r w:rsidRPr="00FD02DE">
        <w:rPr>
          <w:rFonts w:cstheme="minorHAnsi"/>
          <w:spacing w:val="2"/>
        </w:rPr>
        <w:t>n</w:t>
      </w:r>
      <w:r w:rsidRPr="00FD02DE">
        <w:rPr>
          <w:rFonts w:cstheme="minorHAnsi"/>
          <w:spacing w:val="-2"/>
        </w:rPr>
        <w:t>g</w:t>
      </w:r>
      <w:r w:rsidRPr="00FD02DE">
        <w:rPr>
          <w:rFonts w:cstheme="minorHAnsi"/>
        </w:rPr>
        <w:t>,</w:t>
      </w:r>
      <w:r w:rsidRPr="00FD02DE">
        <w:rPr>
          <w:rFonts w:cstheme="minorHAnsi"/>
          <w:spacing w:val="7"/>
        </w:rPr>
        <w:t xml:space="preserve"> </w:t>
      </w:r>
      <w:r w:rsidRPr="00FD02DE">
        <w:rPr>
          <w:rFonts w:cstheme="minorHAnsi"/>
        </w:rPr>
        <w:t>wh</w:t>
      </w:r>
      <w:r w:rsidRPr="00FD02DE">
        <w:rPr>
          <w:rFonts w:cstheme="minorHAnsi"/>
          <w:spacing w:val="-1"/>
        </w:rPr>
        <w:t>e</w:t>
      </w:r>
      <w:r w:rsidRPr="00FD02DE">
        <w:rPr>
          <w:rFonts w:cstheme="minorHAnsi"/>
        </w:rPr>
        <w:t>n</w:t>
      </w:r>
      <w:r w:rsidRPr="00FD02DE">
        <w:rPr>
          <w:rFonts w:cstheme="minorHAnsi"/>
          <w:spacing w:val="7"/>
        </w:rPr>
        <w:t xml:space="preserve"> </w:t>
      </w:r>
      <w:r w:rsidRPr="00FD02DE">
        <w:rPr>
          <w:rFonts w:cstheme="minorHAnsi"/>
        </w:rPr>
        <w:t>th</w:t>
      </w:r>
      <w:r w:rsidRPr="00FD02DE">
        <w:rPr>
          <w:rFonts w:cstheme="minorHAnsi"/>
          <w:spacing w:val="-1"/>
        </w:rPr>
        <w:t>e</w:t>
      </w:r>
      <w:r w:rsidRPr="00FD02DE">
        <w:rPr>
          <w:rFonts w:cstheme="minorHAnsi"/>
        </w:rPr>
        <w:t>ir m</w:t>
      </w:r>
      <w:r w:rsidRPr="00FD02DE">
        <w:rPr>
          <w:rFonts w:cstheme="minorHAnsi"/>
          <w:spacing w:val="-1"/>
        </w:rPr>
        <w:t>e</w:t>
      </w:r>
      <w:r w:rsidRPr="00FD02DE">
        <w:rPr>
          <w:rFonts w:cstheme="minorHAnsi"/>
        </w:rPr>
        <w:t>mb</w:t>
      </w:r>
      <w:r w:rsidRPr="00FD02DE">
        <w:rPr>
          <w:rFonts w:cstheme="minorHAnsi"/>
          <w:spacing w:val="-1"/>
        </w:rPr>
        <w:t>er</w:t>
      </w:r>
      <w:r w:rsidRPr="00FD02DE">
        <w:rPr>
          <w:rFonts w:cstheme="minorHAnsi"/>
        </w:rPr>
        <w:t>ship of</w:t>
      </w:r>
      <w:r w:rsidRPr="00FD02DE">
        <w:rPr>
          <w:rFonts w:cstheme="minorHAnsi"/>
          <w:spacing w:val="-2"/>
        </w:rPr>
        <w:t xml:space="preserve"> </w:t>
      </w:r>
      <w:r w:rsidRPr="00FD02DE">
        <w:rPr>
          <w:rFonts w:cstheme="minorHAnsi"/>
        </w:rPr>
        <w:t>Panel is t</w:t>
      </w:r>
      <w:r w:rsidRPr="00FD02DE">
        <w:rPr>
          <w:rFonts w:cstheme="minorHAnsi"/>
          <w:spacing w:val="-1"/>
        </w:rPr>
        <w:t>er</w:t>
      </w:r>
      <w:r w:rsidRPr="00FD02DE">
        <w:rPr>
          <w:rFonts w:cstheme="minorHAnsi"/>
        </w:rPr>
        <w:t>min</w:t>
      </w:r>
      <w:r w:rsidRPr="00FD02DE">
        <w:rPr>
          <w:rFonts w:cstheme="minorHAnsi"/>
          <w:spacing w:val="-1"/>
        </w:rPr>
        <w:t>a</w:t>
      </w:r>
      <w:r w:rsidRPr="00FD02DE">
        <w:rPr>
          <w:rFonts w:cstheme="minorHAnsi"/>
        </w:rPr>
        <w:t>t</w:t>
      </w:r>
      <w:r w:rsidRPr="00FD02DE">
        <w:rPr>
          <w:rFonts w:cstheme="minorHAnsi"/>
          <w:spacing w:val="-1"/>
        </w:rPr>
        <w:t>e</w:t>
      </w:r>
      <w:r w:rsidRPr="00FD02DE">
        <w:rPr>
          <w:rFonts w:cstheme="minorHAnsi"/>
        </w:rPr>
        <w:t>d.</w:t>
      </w:r>
    </w:p>
    <w:p w14:paraId="32864C3A" w14:textId="77777777" w:rsidR="00272EB4" w:rsidRPr="00FD02DE" w:rsidRDefault="00272EB4" w:rsidP="00272EB4">
      <w:pPr>
        <w:pStyle w:val="ListParagraph"/>
        <w:widowControl w:val="0"/>
        <w:numPr>
          <w:ilvl w:val="0"/>
          <w:numId w:val="341"/>
        </w:numPr>
        <w:tabs>
          <w:tab w:val="left" w:pos="2260"/>
        </w:tabs>
        <w:spacing w:after="60" w:line="240" w:lineRule="auto"/>
        <w:ind w:left="425" w:right="75" w:hanging="425"/>
        <w:contextualSpacing w:val="0"/>
        <w:jc w:val="both"/>
        <w:rPr>
          <w:rFonts w:cstheme="minorHAnsi"/>
        </w:rPr>
      </w:pPr>
      <w:r w:rsidRPr="00FD02DE">
        <w:rPr>
          <w:rFonts w:cstheme="minorHAnsi"/>
        </w:rPr>
        <w:t>The</w:t>
      </w:r>
      <w:r w:rsidRPr="00FD02DE">
        <w:rPr>
          <w:rFonts w:cstheme="minorHAnsi"/>
          <w:spacing w:val="51"/>
        </w:rPr>
        <w:t xml:space="preserve"> </w:t>
      </w:r>
      <w:r w:rsidRPr="00FD02DE">
        <w:rPr>
          <w:rFonts w:cstheme="minorHAnsi"/>
          <w:spacing w:val="1"/>
        </w:rPr>
        <w:t>C</w:t>
      </w:r>
      <w:r w:rsidRPr="00FD02DE">
        <w:rPr>
          <w:rFonts w:cstheme="minorHAnsi"/>
        </w:rPr>
        <w:t>oun</w:t>
      </w:r>
      <w:r w:rsidRPr="00FD02DE">
        <w:rPr>
          <w:rFonts w:cstheme="minorHAnsi"/>
          <w:spacing w:val="-2"/>
        </w:rPr>
        <w:t>c</w:t>
      </w:r>
      <w:r w:rsidRPr="00FD02DE">
        <w:rPr>
          <w:rFonts w:cstheme="minorHAnsi"/>
        </w:rPr>
        <w:t>il</w:t>
      </w:r>
      <w:r w:rsidRPr="00FD02DE">
        <w:rPr>
          <w:rFonts w:cstheme="minorHAnsi"/>
          <w:spacing w:val="53"/>
        </w:rPr>
        <w:t xml:space="preserve"> </w:t>
      </w:r>
      <w:r w:rsidRPr="00FD02DE">
        <w:rPr>
          <w:rFonts w:cstheme="minorHAnsi"/>
        </w:rPr>
        <w:t>m</w:t>
      </w:r>
      <w:r w:rsidRPr="00FD02DE">
        <w:rPr>
          <w:rFonts w:cstheme="minorHAnsi"/>
          <w:spacing w:val="4"/>
        </w:rPr>
        <w:t>a</w:t>
      </w:r>
      <w:r w:rsidRPr="00FD02DE">
        <w:rPr>
          <w:rFonts w:cstheme="minorHAnsi"/>
        </w:rPr>
        <w:t>y</w:t>
      </w:r>
      <w:r w:rsidRPr="00FD02DE">
        <w:rPr>
          <w:rFonts w:cstheme="minorHAnsi"/>
          <w:spacing w:val="48"/>
        </w:rPr>
        <w:t xml:space="preserve"> </w:t>
      </w:r>
      <w:r w:rsidRPr="00FD02DE">
        <w:rPr>
          <w:rFonts w:cstheme="minorHAnsi"/>
        </w:rPr>
        <w:t>t</w:t>
      </w:r>
      <w:r w:rsidRPr="00FD02DE">
        <w:rPr>
          <w:rFonts w:cstheme="minorHAnsi"/>
          <w:spacing w:val="1"/>
        </w:rPr>
        <w:t>e</w:t>
      </w:r>
      <w:r w:rsidRPr="00FD02DE">
        <w:rPr>
          <w:rFonts w:cstheme="minorHAnsi"/>
          <w:spacing w:val="-1"/>
        </w:rPr>
        <w:t>r</w:t>
      </w:r>
      <w:r w:rsidRPr="00FD02DE">
        <w:rPr>
          <w:rFonts w:cstheme="minorHAnsi"/>
        </w:rPr>
        <w:t>min</w:t>
      </w:r>
      <w:r w:rsidRPr="00FD02DE">
        <w:rPr>
          <w:rFonts w:cstheme="minorHAnsi"/>
          <w:spacing w:val="-1"/>
        </w:rPr>
        <w:t>a</w:t>
      </w:r>
      <w:r w:rsidRPr="00FD02DE">
        <w:rPr>
          <w:rFonts w:cstheme="minorHAnsi"/>
        </w:rPr>
        <w:t>te</w:t>
      </w:r>
      <w:r w:rsidRPr="00FD02DE">
        <w:rPr>
          <w:rFonts w:cstheme="minorHAnsi"/>
          <w:spacing w:val="52"/>
        </w:rPr>
        <w:t xml:space="preserve"> </w:t>
      </w:r>
      <w:r w:rsidRPr="00FD02DE">
        <w:rPr>
          <w:rFonts w:cstheme="minorHAnsi"/>
        </w:rPr>
        <w:t>the</w:t>
      </w:r>
      <w:r w:rsidRPr="00FD02DE">
        <w:rPr>
          <w:rFonts w:cstheme="minorHAnsi"/>
          <w:spacing w:val="54"/>
        </w:rPr>
        <w:t xml:space="preserve"> </w:t>
      </w:r>
      <w:r w:rsidRPr="00FD02DE">
        <w:rPr>
          <w:rFonts w:cstheme="minorHAnsi"/>
          <w:spacing w:val="-1"/>
        </w:rPr>
        <w:t>a</w:t>
      </w:r>
      <w:r w:rsidRPr="00FD02DE">
        <w:rPr>
          <w:rFonts w:cstheme="minorHAnsi"/>
        </w:rPr>
        <w:t>ppo</w:t>
      </w:r>
      <w:r w:rsidRPr="00FD02DE">
        <w:rPr>
          <w:rFonts w:cstheme="minorHAnsi"/>
          <w:spacing w:val="-1"/>
        </w:rPr>
        <w:t>i</w:t>
      </w:r>
      <w:r w:rsidRPr="00FD02DE">
        <w:rPr>
          <w:rFonts w:cstheme="minorHAnsi"/>
        </w:rPr>
        <w:t>ntm</w:t>
      </w:r>
      <w:r w:rsidRPr="00FD02DE">
        <w:rPr>
          <w:rFonts w:cstheme="minorHAnsi"/>
          <w:spacing w:val="-1"/>
        </w:rPr>
        <w:t>e</w:t>
      </w:r>
      <w:r w:rsidRPr="00FD02DE">
        <w:rPr>
          <w:rFonts w:cstheme="minorHAnsi"/>
        </w:rPr>
        <w:t>nt</w:t>
      </w:r>
      <w:r w:rsidRPr="00FD02DE">
        <w:rPr>
          <w:rFonts w:cstheme="minorHAnsi"/>
          <w:spacing w:val="53"/>
        </w:rPr>
        <w:t xml:space="preserve"> </w:t>
      </w:r>
      <w:r w:rsidRPr="00FD02DE">
        <w:rPr>
          <w:rFonts w:cstheme="minorHAnsi"/>
        </w:rPr>
        <w:t>of</w:t>
      </w:r>
      <w:r w:rsidRPr="00FD02DE">
        <w:rPr>
          <w:rFonts w:cstheme="minorHAnsi"/>
          <w:spacing w:val="54"/>
        </w:rPr>
        <w:t xml:space="preserve"> </w:t>
      </w:r>
      <w:r w:rsidRPr="00FD02DE">
        <w:rPr>
          <w:rFonts w:cstheme="minorHAnsi"/>
          <w:spacing w:val="-1"/>
        </w:rPr>
        <w:t>a</w:t>
      </w:r>
      <w:r w:rsidRPr="00FD02DE">
        <w:rPr>
          <w:rFonts w:cstheme="minorHAnsi"/>
          <w:spacing w:val="5"/>
        </w:rPr>
        <w:t>n</w:t>
      </w:r>
      <w:r w:rsidRPr="00FD02DE">
        <w:rPr>
          <w:rFonts w:cstheme="minorHAnsi"/>
        </w:rPr>
        <w:t>y</w:t>
      </w:r>
      <w:r w:rsidRPr="00FD02DE">
        <w:rPr>
          <w:rFonts w:cstheme="minorHAnsi"/>
          <w:spacing w:val="48"/>
        </w:rPr>
        <w:t xml:space="preserve"> </w:t>
      </w:r>
      <w:r w:rsidRPr="00FD02DE">
        <w:rPr>
          <w:rFonts w:cstheme="minorHAnsi"/>
        </w:rPr>
        <w:t>m</w:t>
      </w:r>
      <w:r w:rsidRPr="00FD02DE">
        <w:rPr>
          <w:rFonts w:cstheme="minorHAnsi"/>
          <w:spacing w:val="-1"/>
        </w:rPr>
        <w:t>e</w:t>
      </w:r>
      <w:r w:rsidRPr="00FD02DE">
        <w:rPr>
          <w:rFonts w:cstheme="minorHAnsi"/>
        </w:rPr>
        <w:t>mb</w:t>
      </w:r>
      <w:r w:rsidRPr="00FD02DE">
        <w:rPr>
          <w:rFonts w:cstheme="minorHAnsi"/>
          <w:spacing w:val="1"/>
        </w:rPr>
        <w:t>e</w:t>
      </w:r>
      <w:r w:rsidRPr="00FD02DE">
        <w:rPr>
          <w:rFonts w:cstheme="minorHAnsi"/>
        </w:rPr>
        <w:t>r p</w:t>
      </w:r>
      <w:r w:rsidRPr="00FD02DE">
        <w:rPr>
          <w:rFonts w:cstheme="minorHAnsi"/>
          <w:spacing w:val="-1"/>
        </w:rPr>
        <w:t>r</w:t>
      </w:r>
      <w:r w:rsidRPr="00FD02DE">
        <w:rPr>
          <w:rFonts w:cstheme="minorHAnsi"/>
        </w:rPr>
        <w:t>ior</w:t>
      </w:r>
      <w:r w:rsidRPr="00FD02DE">
        <w:rPr>
          <w:rFonts w:cstheme="minorHAnsi"/>
          <w:spacing w:val="-1"/>
        </w:rPr>
        <w:t xml:space="preserve"> </w:t>
      </w:r>
      <w:r w:rsidRPr="00FD02DE">
        <w:rPr>
          <w:rFonts w:cstheme="minorHAnsi"/>
        </w:rPr>
        <w:t>to the</w:t>
      </w:r>
      <w:r w:rsidRPr="00FD02DE">
        <w:rPr>
          <w:rFonts w:cstheme="minorHAnsi"/>
          <w:spacing w:val="-1"/>
        </w:rPr>
        <w:t xml:space="preserve"> e</w:t>
      </w:r>
      <w:r w:rsidRPr="00FD02DE">
        <w:rPr>
          <w:rFonts w:cstheme="minorHAnsi"/>
          <w:spacing w:val="2"/>
        </w:rPr>
        <w:t>x</w:t>
      </w:r>
      <w:r w:rsidRPr="00FD02DE">
        <w:rPr>
          <w:rFonts w:cstheme="minorHAnsi"/>
        </w:rPr>
        <w:t>pi</w:t>
      </w:r>
      <w:r w:rsidRPr="00FD02DE">
        <w:rPr>
          <w:rFonts w:cstheme="minorHAnsi"/>
          <w:spacing w:val="2"/>
        </w:rPr>
        <w:t>r</w:t>
      </w:r>
      <w:r w:rsidRPr="00FD02DE">
        <w:rPr>
          <w:rFonts w:cstheme="minorHAnsi"/>
        </w:rPr>
        <w:t>y</w:t>
      </w:r>
      <w:r w:rsidRPr="00FD02DE">
        <w:rPr>
          <w:rFonts w:cstheme="minorHAnsi"/>
          <w:spacing w:val="-5"/>
        </w:rPr>
        <w:t xml:space="preserve"> </w:t>
      </w:r>
      <w:r w:rsidRPr="00FD02DE">
        <w:rPr>
          <w:rFonts w:cstheme="minorHAnsi"/>
        </w:rPr>
        <w:t>of</w:t>
      </w:r>
      <w:r w:rsidRPr="00FD02DE">
        <w:rPr>
          <w:rFonts w:cstheme="minorHAnsi"/>
          <w:spacing w:val="-1"/>
        </w:rPr>
        <w:t xml:space="preserve"> </w:t>
      </w:r>
      <w:r w:rsidRPr="00FD02DE">
        <w:rPr>
          <w:rFonts w:cstheme="minorHAnsi"/>
        </w:rPr>
        <w:t>his</w:t>
      </w:r>
      <w:r w:rsidRPr="00FD02DE">
        <w:rPr>
          <w:rFonts w:cstheme="minorHAnsi"/>
          <w:spacing w:val="3"/>
        </w:rPr>
        <w:t>/</w:t>
      </w:r>
      <w:r w:rsidRPr="00FD02DE">
        <w:rPr>
          <w:rFonts w:cstheme="minorHAnsi"/>
        </w:rPr>
        <w:t>h</w:t>
      </w:r>
      <w:r w:rsidRPr="00FD02DE">
        <w:rPr>
          <w:rFonts w:cstheme="minorHAnsi"/>
          <w:spacing w:val="-1"/>
        </w:rPr>
        <w:t>e</w:t>
      </w:r>
      <w:r w:rsidRPr="00FD02DE">
        <w:rPr>
          <w:rFonts w:cstheme="minorHAnsi"/>
        </w:rPr>
        <w:t>r</w:t>
      </w:r>
      <w:r w:rsidRPr="00FD02DE">
        <w:rPr>
          <w:rFonts w:cstheme="minorHAnsi"/>
          <w:spacing w:val="-1"/>
        </w:rPr>
        <w:t xml:space="preserve"> </w:t>
      </w:r>
      <w:r w:rsidRPr="00FD02DE">
        <w:rPr>
          <w:rFonts w:cstheme="minorHAnsi"/>
        </w:rPr>
        <w:t>t</w:t>
      </w:r>
      <w:r w:rsidRPr="00FD02DE">
        <w:rPr>
          <w:rFonts w:cstheme="minorHAnsi"/>
          <w:spacing w:val="-1"/>
        </w:rPr>
        <w:t>er</w:t>
      </w:r>
      <w:r w:rsidRPr="00FD02DE">
        <w:rPr>
          <w:rFonts w:cstheme="minorHAnsi"/>
        </w:rPr>
        <w:t>m, i</w:t>
      </w:r>
      <w:r w:rsidRPr="00FD02DE">
        <w:rPr>
          <w:rFonts w:cstheme="minorHAnsi"/>
          <w:spacing w:val="-1"/>
        </w:rPr>
        <w:t>f</w:t>
      </w:r>
      <w:r w:rsidRPr="00FD02DE">
        <w:rPr>
          <w:rFonts w:cstheme="minorHAnsi"/>
        </w:rPr>
        <w:t>:</w:t>
      </w:r>
    </w:p>
    <w:p w14:paraId="65272D5A" w14:textId="77777777" w:rsidR="00272EB4" w:rsidRPr="00FD02DE" w:rsidRDefault="00272EB4" w:rsidP="00272EB4">
      <w:pPr>
        <w:pStyle w:val="ListParagraph"/>
        <w:widowControl w:val="0"/>
        <w:numPr>
          <w:ilvl w:val="0"/>
          <w:numId w:val="341"/>
        </w:numPr>
        <w:spacing w:after="60" w:line="240" w:lineRule="auto"/>
        <w:ind w:left="425" w:right="73" w:hanging="425"/>
        <w:contextualSpacing w:val="0"/>
        <w:jc w:val="both"/>
        <w:rPr>
          <w:rFonts w:cstheme="minorHAnsi"/>
        </w:rPr>
      </w:pPr>
      <w:r w:rsidRPr="00FD02DE">
        <w:rPr>
          <w:rFonts w:cstheme="minorHAnsi"/>
        </w:rPr>
        <w:t>T</w:t>
      </w:r>
      <w:r w:rsidRPr="00FD02DE">
        <w:rPr>
          <w:rFonts w:cstheme="minorHAnsi"/>
          <w:spacing w:val="-1"/>
        </w:rPr>
        <w:t>h</w:t>
      </w:r>
      <w:r w:rsidRPr="00FD02DE">
        <w:rPr>
          <w:rFonts w:cstheme="minorHAnsi"/>
        </w:rPr>
        <w:t>e</w:t>
      </w:r>
      <w:r w:rsidRPr="00FD02DE">
        <w:rPr>
          <w:rFonts w:cstheme="minorHAnsi"/>
          <w:spacing w:val="38"/>
        </w:rPr>
        <w:t xml:space="preserve"> </w:t>
      </w:r>
      <w:r w:rsidRPr="00FD02DE">
        <w:rPr>
          <w:rFonts w:cstheme="minorHAnsi"/>
          <w:spacing w:val="1"/>
        </w:rPr>
        <w:t>C</w:t>
      </w:r>
      <w:r w:rsidRPr="00FD02DE">
        <w:rPr>
          <w:rFonts w:cstheme="minorHAnsi"/>
        </w:rPr>
        <w:t>h</w:t>
      </w:r>
      <w:r w:rsidRPr="00FD02DE">
        <w:rPr>
          <w:rFonts w:cstheme="minorHAnsi"/>
          <w:spacing w:val="-1"/>
        </w:rPr>
        <w:t>a</w:t>
      </w:r>
      <w:r w:rsidRPr="00FD02DE">
        <w:rPr>
          <w:rFonts w:cstheme="minorHAnsi"/>
        </w:rPr>
        <w:t>i</w:t>
      </w:r>
      <w:r w:rsidRPr="00FD02DE">
        <w:rPr>
          <w:rFonts w:cstheme="minorHAnsi"/>
          <w:spacing w:val="-1"/>
        </w:rPr>
        <w:t>r</w:t>
      </w:r>
      <w:r w:rsidRPr="00FD02DE">
        <w:rPr>
          <w:rFonts w:cstheme="minorHAnsi"/>
        </w:rPr>
        <w:t>p</w:t>
      </w:r>
      <w:r w:rsidRPr="00FD02DE">
        <w:rPr>
          <w:rFonts w:cstheme="minorHAnsi"/>
          <w:spacing w:val="-1"/>
        </w:rPr>
        <w:t>er</w:t>
      </w:r>
      <w:r w:rsidRPr="00FD02DE">
        <w:rPr>
          <w:rFonts w:cstheme="minorHAnsi"/>
        </w:rPr>
        <w:t>son</w:t>
      </w:r>
      <w:r w:rsidRPr="00FD02DE">
        <w:rPr>
          <w:rFonts w:cstheme="minorHAnsi"/>
          <w:spacing w:val="38"/>
        </w:rPr>
        <w:t xml:space="preserve"> </w:t>
      </w:r>
      <w:r w:rsidRPr="00FD02DE">
        <w:rPr>
          <w:rFonts w:cstheme="minorHAnsi"/>
          <w:spacing w:val="-1"/>
        </w:rPr>
        <w:t>an</w:t>
      </w:r>
      <w:r w:rsidRPr="00FD02DE">
        <w:rPr>
          <w:rFonts w:cstheme="minorHAnsi"/>
        </w:rPr>
        <w:t>d</w:t>
      </w:r>
      <w:r w:rsidRPr="00FD02DE">
        <w:rPr>
          <w:rFonts w:cstheme="minorHAnsi"/>
          <w:spacing w:val="39"/>
        </w:rPr>
        <w:t xml:space="preserve"> </w:t>
      </w:r>
      <w:r w:rsidRPr="00FD02DE">
        <w:rPr>
          <w:rFonts w:cstheme="minorHAnsi"/>
          <w:spacing w:val="1"/>
        </w:rPr>
        <w:t>C</w:t>
      </w:r>
      <w:r w:rsidRPr="00FD02DE">
        <w:rPr>
          <w:rFonts w:cstheme="minorHAnsi"/>
          <w:spacing w:val="-1"/>
        </w:rPr>
        <w:t>h</w:t>
      </w:r>
      <w:r w:rsidRPr="00FD02DE">
        <w:rPr>
          <w:rFonts w:cstheme="minorHAnsi"/>
          <w:spacing w:val="1"/>
        </w:rPr>
        <w:t>i</w:t>
      </w:r>
      <w:r w:rsidRPr="00FD02DE">
        <w:rPr>
          <w:rFonts w:cstheme="minorHAnsi"/>
          <w:spacing w:val="-1"/>
        </w:rPr>
        <w:t>e</w:t>
      </w:r>
      <w:r w:rsidRPr="00FD02DE">
        <w:rPr>
          <w:rFonts w:cstheme="minorHAnsi"/>
        </w:rPr>
        <w:t>f</w:t>
      </w:r>
      <w:r w:rsidRPr="00FD02DE">
        <w:rPr>
          <w:rFonts w:cstheme="minorHAnsi"/>
          <w:spacing w:val="38"/>
        </w:rPr>
        <w:t xml:space="preserve"> </w:t>
      </w:r>
      <w:r w:rsidRPr="00FD02DE">
        <w:rPr>
          <w:rFonts w:cstheme="minorHAnsi"/>
        </w:rPr>
        <w:t>E</w:t>
      </w:r>
      <w:r w:rsidRPr="00FD02DE">
        <w:rPr>
          <w:rFonts w:cstheme="minorHAnsi"/>
          <w:spacing w:val="2"/>
        </w:rPr>
        <w:t>x</w:t>
      </w:r>
      <w:r w:rsidRPr="00FD02DE">
        <w:rPr>
          <w:rFonts w:cstheme="minorHAnsi"/>
          <w:spacing w:val="-1"/>
        </w:rPr>
        <w:t>ecu</w:t>
      </w:r>
      <w:r w:rsidRPr="00FD02DE">
        <w:rPr>
          <w:rFonts w:cstheme="minorHAnsi"/>
          <w:spacing w:val="1"/>
        </w:rPr>
        <w:t>t</w:t>
      </w:r>
      <w:r w:rsidRPr="00FD02DE">
        <w:rPr>
          <w:rFonts w:cstheme="minorHAnsi"/>
        </w:rPr>
        <w:t>i</w:t>
      </w:r>
      <w:r w:rsidRPr="00FD02DE">
        <w:rPr>
          <w:rFonts w:cstheme="minorHAnsi"/>
          <w:spacing w:val="-1"/>
        </w:rPr>
        <w:t>v</w:t>
      </w:r>
      <w:r w:rsidRPr="00FD02DE">
        <w:rPr>
          <w:rFonts w:cstheme="minorHAnsi"/>
        </w:rPr>
        <w:t>e</w:t>
      </w:r>
      <w:r w:rsidRPr="00FD02DE">
        <w:rPr>
          <w:rFonts w:cstheme="minorHAnsi"/>
          <w:spacing w:val="38"/>
        </w:rPr>
        <w:t xml:space="preserve"> </w:t>
      </w:r>
      <w:r w:rsidRPr="00FD02DE">
        <w:rPr>
          <w:rFonts w:cstheme="minorHAnsi"/>
        </w:rPr>
        <w:t>O</w:t>
      </w:r>
      <w:r w:rsidRPr="00FD02DE">
        <w:rPr>
          <w:rFonts w:cstheme="minorHAnsi"/>
          <w:spacing w:val="-1"/>
        </w:rPr>
        <w:t>ff</w:t>
      </w:r>
      <w:r w:rsidRPr="00FD02DE">
        <w:rPr>
          <w:rFonts w:cstheme="minorHAnsi"/>
        </w:rPr>
        <w:t>i</w:t>
      </w:r>
      <w:r w:rsidRPr="00FD02DE">
        <w:rPr>
          <w:rFonts w:cstheme="minorHAnsi"/>
          <w:spacing w:val="-1"/>
        </w:rPr>
        <w:t>ce</w:t>
      </w:r>
      <w:r w:rsidRPr="00FD02DE">
        <w:rPr>
          <w:rFonts w:cstheme="minorHAnsi"/>
        </w:rPr>
        <w:t>r</w:t>
      </w:r>
      <w:r w:rsidRPr="00FD02DE">
        <w:rPr>
          <w:rFonts w:cstheme="minorHAnsi"/>
          <w:spacing w:val="38"/>
        </w:rPr>
        <w:t xml:space="preserve"> </w:t>
      </w:r>
      <w:r w:rsidRPr="00FD02DE">
        <w:rPr>
          <w:rFonts w:cstheme="minorHAnsi"/>
          <w:spacing w:val="1"/>
        </w:rPr>
        <w:t>c</w:t>
      </w:r>
      <w:r w:rsidRPr="00FD02DE">
        <w:rPr>
          <w:rFonts w:cstheme="minorHAnsi"/>
          <w:spacing w:val="-1"/>
        </w:rPr>
        <w:t>on</w:t>
      </w:r>
      <w:r w:rsidRPr="00FD02DE">
        <w:rPr>
          <w:rFonts w:cstheme="minorHAnsi"/>
          <w:spacing w:val="2"/>
        </w:rPr>
        <w:t>s</w:t>
      </w:r>
      <w:r w:rsidRPr="00FD02DE">
        <w:rPr>
          <w:rFonts w:cstheme="minorHAnsi"/>
        </w:rPr>
        <w:t>i</w:t>
      </w:r>
      <w:r w:rsidRPr="00FD02DE">
        <w:rPr>
          <w:rFonts w:cstheme="minorHAnsi"/>
          <w:spacing w:val="-1"/>
        </w:rPr>
        <w:t>d</w:t>
      </w:r>
      <w:r w:rsidRPr="00FD02DE">
        <w:rPr>
          <w:rFonts w:cstheme="minorHAnsi"/>
        </w:rPr>
        <w:t>er th</w:t>
      </w:r>
      <w:r w:rsidRPr="00FD02DE">
        <w:rPr>
          <w:rFonts w:cstheme="minorHAnsi"/>
          <w:spacing w:val="-1"/>
        </w:rPr>
        <w:t>a</w:t>
      </w:r>
      <w:r w:rsidRPr="00FD02DE">
        <w:rPr>
          <w:rFonts w:cstheme="minorHAnsi"/>
        </w:rPr>
        <w:t>t</w:t>
      </w:r>
      <w:r w:rsidRPr="00FD02DE">
        <w:rPr>
          <w:rFonts w:cstheme="minorHAnsi"/>
          <w:spacing w:val="3"/>
        </w:rPr>
        <w:t xml:space="preserve"> </w:t>
      </w:r>
      <w:r w:rsidRPr="00FD02DE">
        <w:rPr>
          <w:rFonts w:cstheme="minorHAnsi"/>
        </w:rPr>
        <w:t>the</w:t>
      </w:r>
      <w:r w:rsidRPr="00FD02DE">
        <w:rPr>
          <w:rFonts w:cstheme="minorHAnsi"/>
          <w:spacing w:val="1"/>
        </w:rPr>
        <w:t xml:space="preserve"> </w:t>
      </w:r>
      <w:r w:rsidRPr="00FD02DE">
        <w:rPr>
          <w:rFonts w:cstheme="minorHAnsi"/>
        </w:rPr>
        <w:t>m</w:t>
      </w:r>
      <w:r w:rsidRPr="00FD02DE">
        <w:rPr>
          <w:rFonts w:cstheme="minorHAnsi"/>
          <w:spacing w:val="-1"/>
        </w:rPr>
        <w:t>e</w:t>
      </w:r>
      <w:r w:rsidRPr="00FD02DE">
        <w:rPr>
          <w:rFonts w:cstheme="minorHAnsi"/>
        </w:rPr>
        <w:t>mb</w:t>
      </w:r>
      <w:r w:rsidRPr="00FD02DE">
        <w:rPr>
          <w:rFonts w:cstheme="minorHAnsi"/>
          <w:spacing w:val="-1"/>
        </w:rPr>
        <w:t>e</w:t>
      </w:r>
      <w:r w:rsidRPr="00FD02DE">
        <w:rPr>
          <w:rFonts w:cstheme="minorHAnsi"/>
        </w:rPr>
        <w:t>r</w:t>
      </w:r>
      <w:r w:rsidRPr="00FD02DE">
        <w:rPr>
          <w:rFonts w:cstheme="minorHAnsi"/>
          <w:spacing w:val="2"/>
        </w:rPr>
        <w:t xml:space="preserve"> </w:t>
      </w:r>
      <w:r w:rsidRPr="00FD02DE">
        <w:rPr>
          <w:rFonts w:cstheme="minorHAnsi"/>
        </w:rPr>
        <w:t>is</w:t>
      </w:r>
      <w:r w:rsidRPr="00FD02DE">
        <w:rPr>
          <w:rFonts w:cstheme="minorHAnsi"/>
          <w:spacing w:val="3"/>
        </w:rPr>
        <w:t xml:space="preserve"> </w:t>
      </w:r>
      <w:r w:rsidRPr="00FD02DE">
        <w:rPr>
          <w:rFonts w:cstheme="minorHAnsi"/>
        </w:rPr>
        <w:t>not</w:t>
      </w:r>
      <w:r w:rsidRPr="00FD02DE">
        <w:rPr>
          <w:rFonts w:cstheme="minorHAnsi"/>
          <w:spacing w:val="2"/>
        </w:rPr>
        <w:t xml:space="preserve"> </w:t>
      </w:r>
      <w:r w:rsidRPr="00FD02DE">
        <w:rPr>
          <w:rFonts w:cstheme="minorHAnsi"/>
        </w:rPr>
        <w:t>m</w:t>
      </w:r>
      <w:r w:rsidRPr="00FD02DE">
        <w:rPr>
          <w:rFonts w:cstheme="minorHAnsi"/>
          <w:spacing w:val="-1"/>
        </w:rPr>
        <w:t>a</w:t>
      </w:r>
      <w:r w:rsidRPr="00FD02DE">
        <w:rPr>
          <w:rFonts w:cstheme="minorHAnsi"/>
        </w:rPr>
        <w:t>king a</w:t>
      </w:r>
      <w:r w:rsidRPr="00FD02DE">
        <w:rPr>
          <w:rFonts w:cstheme="minorHAnsi"/>
          <w:spacing w:val="2"/>
        </w:rPr>
        <w:t xml:space="preserve"> </w:t>
      </w:r>
      <w:r w:rsidRPr="00FD02DE">
        <w:rPr>
          <w:rFonts w:cstheme="minorHAnsi"/>
        </w:rPr>
        <w:t>po</w:t>
      </w:r>
      <w:r w:rsidRPr="00FD02DE">
        <w:rPr>
          <w:rFonts w:cstheme="minorHAnsi"/>
          <w:spacing w:val="-1"/>
        </w:rPr>
        <w:t>s</w:t>
      </w:r>
      <w:r w:rsidRPr="00FD02DE">
        <w:rPr>
          <w:rFonts w:cstheme="minorHAnsi"/>
        </w:rPr>
        <w:t>itive</w:t>
      </w:r>
      <w:r w:rsidRPr="00FD02DE">
        <w:rPr>
          <w:rFonts w:cstheme="minorHAnsi"/>
          <w:spacing w:val="1"/>
        </w:rPr>
        <w:t xml:space="preserve"> </w:t>
      </w:r>
      <w:r w:rsidRPr="00FD02DE">
        <w:rPr>
          <w:rFonts w:cstheme="minorHAnsi"/>
          <w:spacing w:val="-1"/>
        </w:rPr>
        <w:t>c</w:t>
      </w:r>
      <w:r w:rsidRPr="00FD02DE">
        <w:rPr>
          <w:rFonts w:cstheme="minorHAnsi"/>
        </w:rPr>
        <w:t>ont</w:t>
      </w:r>
      <w:r w:rsidRPr="00FD02DE">
        <w:rPr>
          <w:rFonts w:cstheme="minorHAnsi"/>
          <w:spacing w:val="-1"/>
        </w:rPr>
        <w:t>r</w:t>
      </w:r>
      <w:r w:rsidRPr="00FD02DE">
        <w:rPr>
          <w:rFonts w:cstheme="minorHAnsi"/>
        </w:rPr>
        <w:t>ib</w:t>
      </w:r>
      <w:r w:rsidRPr="00FD02DE">
        <w:rPr>
          <w:rFonts w:cstheme="minorHAnsi"/>
          <w:spacing w:val="2"/>
        </w:rPr>
        <w:t>u</w:t>
      </w:r>
      <w:r w:rsidRPr="00FD02DE">
        <w:rPr>
          <w:rFonts w:cstheme="minorHAnsi"/>
        </w:rPr>
        <w:t>tion</w:t>
      </w:r>
      <w:r w:rsidRPr="00FD02DE">
        <w:rPr>
          <w:rFonts w:cstheme="minorHAnsi"/>
          <w:spacing w:val="2"/>
        </w:rPr>
        <w:t xml:space="preserve"> </w:t>
      </w:r>
      <w:r w:rsidRPr="00FD02DE">
        <w:rPr>
          <w:rFonts w:cstheme="minorHAnsi"/>
        </w:rPr>
        <w:t>to the Panel; or</w:t>
      </w:r>
    </w:p>
    <w:p w14:paraId="2B03BF32" w14:textId="77777777" w:rsidR="00272EB4" w:rsidRPr="00FD02DE" w:rsidRDefault="00272EB4" w:rsidP="00272EB4">
      <w:pPr>
        <w:pStyle w:val="ListParagraph"/>
        <w:widowControl w:val="0"/>
        <w:numPr>
          <w:ilvl w:val="0"/>
          <w:numId w:val="341"/>
        </w:numPr>
        <w:spacing w:after="60" w:line="240" w:lineRule="auto"/>
        <w:ind w:left="425" w:right="73" w:hanging="425"/>
        <w:contextualSpacing w:val="0"/>
        <w:jc w:val="both"/>
        <w:rPr>
          <w:rFonts w:cstheme="minorHAnsi"/>
        </w:rPr>
      </w:pPr>
      <w:r w:rsidRPr="00FD02DE">
        <w:rPr>
          <w:rFonts w:cstheme="minorHAnsi"/>
        </w:rPr>
        <w:t>The</w:t>
      </w:r>
      <w:r w:rsidRPr="00FD02DE">
        <w:rPr>
          <w:rFonts w:cstheme="minorHAnsi"/>
          <w:spacing w:val="52"/>
        </w:rPr>
        <w:t xml:space="preserve"> </w:t>
      </w:r>
      <w:r w:rsidRPr="00FD02DE">
        <w:rPr>
          <w:rFonts w:cstheme="minorHAnsi"/>
        </w:rPr>
        <w:t>m</w:t>
      </w:r>
      <w:r w:rsidRPr="00FD02DE">
        <w:rPr>
          <w:rFonts w:cstheme="minorHAnsi"/>
          <w:spacing w:val="-1"/>
        </w:rPr>
        <w:t>e</w:t>
      </w:r>
      <w:r w:rsidRPr="00FD02DE">
        <w:rPr>
          <w:rFonts w:cstheme="minorHAnsi"/>
        </w:rPr>
        <w:t>mb</w:t>
      </w:r>
      <w:r w:rsidRPr="00FD02DE">
        <w:rPr>
          <w:rFonts w:cstheme="minorHAnsi"/>
          <w:spacing w:val="1"/>
        </w:rPr>
        <w:t>e</w:t>
      </w:r>
      <w:r w:rsidRPr="00FD02DE">
        <w:rPr>
          <w:rFonts w:cstheme="minorHAnsi"/>
        </w:rPr>
        <w:t>r</w:t>
      </w:r>
      <w:r w:rsidRPr="00FD02DE">
        <w:rPr>
          <w:rFonts w:cstheme="minorHAnsi"/>
          <w:spacing w:val="52"/>
        </w:rPr>
        <w:t xml:space="preserve"> </w:t>
      </w:r>
      <w:r w:rsidRPr="00FD02DE">
        <w:rPr>
          <w:rFonts w:cstheme="minorHAnsi"/>
        </w:rPr>
        <w:t>is</w:t>
      </w:r>
      <w:r w:rsidRPr="00FD02DE">
        <w:rPr>
          <w:rFonts w:cstheme="minorHAnsi"/>
          <w:spacing w:val="53"/>
        </w:rPr>
        <w:t xml:space="preserve"> </w:t>
      </w:r>
      <w:r w:rsidRPr="00FD02DE">
        <w:rPr>
          <w:rFonts w:cstheme="minorHAnsi"/>
          <w:spacing w:val="-1"/>
        </w:rPr>
        <w:t>f</w:t>
      </w:r>
      <w:r w:rsidRPr="00FD02DE">
        <w:rPr>
          <w:rFonts w:cstheme="minorHAnsi"/>
        </w:rPr>
        <w:t>ound</w:t>
      </w:r>
      <w:r w:rsidRPr="00FD02DE">
        <w:rPr>
          <w:rFonts w:cstheme="minorHAnsi"/>
          <w:spacing w:val="55"/>
        </w:rPr>
        <w:t xml:space="preserve"> </w:t>
      </w:r>
      <w:r w:rsidRPr="00FD02DE">
        <w:rPr>
          <w:rFonts w:cstheme="minorHAnsi"/>
          <w:spacing w:val="3"/>
        </w:rPr>
        <w:t>t</w:t>
      </w:r>
      <w:r w:rsidRPr="00FD02DE">
        <w:rPr>
          <w:rFonts w:cstheme="minorHAnsi"/>
        </w:rPr>
        <w:t>o</w:t>
      </w:r>
      <w:r w:rsidRPr="00FD02DE">
        <w:rPr>
          <w:rFonts w:cstheme="minorHAnsi"/>
          <w:spacing w:val="53"/>
        </w:rPr>
        <w:t xml:space="preserve"> </w:t>
      </w:r>
      <w:r w:rsidRPr="00FD02DE">
        <w:rPr>
          <w:rFonts w:cstheme="minorHAnsi"/>
        </w:rPr>
        <w:t>be</w:t>
      </w:r>
      <w:r w:rsidRPr="00FD02DE">
        <w:rPr>
          <w:rFonts w:cstheme="minorHAnsi"/>
          <w:spacing w:val="52"/>
        </w:rPr>
        <w:t xml:space="preserve"> </w:t>
      </w:r>
      <w:r w:rsidRPr="00FD02DE">
        <w:rPr>
          <w:rFonts w:cstheme="minorHAnsi"/>
        </w:rPr>
        <w:t>in</w:t>
      </w:r>
      <w:r w:rsidRPr="00FD02DE">
        <w:rPr>
          <w:rFonts w:cstheme="minorHAnsi"/>
          <w:spacing w:val="53"/>
        </w:rPr>
        <w:t xml:space="preserve"> </w:t>
      </w:r>
      <w:r w:rsidRPr="00FD02DE">
        <w:rPr>
          <w:rFonts w:cstheme="minorHAnsi"/>
          <w:spacing w:val="2"/>
        </w:rPr>
        <w:t>b</w:t>
      </w:r>
      <w:r w:rsidRPr="00FD02DE">
        <w:rPr>
          <w:rFonts w:cstheme="minorHAnsi"/>
          <w:spacing w:val="-1"/>
        </w:rPr>
        <w:t>r</w:t>
      </w:r>
      <w:r w:rsidRPr="00FD02DE">
        <w:rPr>
          <w:rFonts w:cstheme="minorHAnsi"/>
          <w:spacing w:val="1"/>
        </w:rPr>
        <w:t>e</w:t>
      </w:r>
      <w:r w:rsidRPr="00FD02DE">
        <w:rPr>
          <w:rFonts w:cstheme="minorHAnsi"/>
          <w:spacing w:val="-1"/>
        </w:rPr>
        <w:t>ac</w:t>
      </w:r>
      <w:r w:rsidRPr="00FD02DE">
        <w:rPr>
          <w:rFonts w:cstheme="minorHAnsi"/>
        </w:rPr>
        <w:t>h</w:t>
      </w:r>
      <w:r w:rsidRPr="00FD02DE">
        <w:rPr>
          <w:rFonts w:cstheme="minorHAnsi"/>
          <w:spacing w:val="53"/>
        </w:rPr>
        <w:t xml:space="preserve"> </w:t>
      </w:r>
      <w:r w:rsidRPr="00FD02DE">
        <w:rPr>
          <w:rFonts w:cstheme="minorHAnsi"/>
          <w:spacing w:val="2"/>
        </w:rPr>
        <w:t>o</w:t>
      </w:r>
      <w:r w:rsidRPr="00FD02DE">
        <w:rPr>
          <w:rFonts w:cstheme="minorHAnsi"/>
        </w:rPr>
        <w:t>f</w:t>
      </w:r>
      <w:r w:rsidRPr="00FD02DE">
        <w:rPr>
          <w:rFonts w:cstheme="minorHAnsi"/>
          <w:spacing w:val="52"/>
        </w:rPr>
        <w:t xml:space="preserve"> </w:t>
      </w:r>
      <w:r w:rsidRPr="00FD02DE">
        <w:rPr>
          <w:rFonts w:cstheme="minorHAnsi"/>
        </w:rPr>
        <w:t>the</w:t>
      </w:r>
      <w:r w:rsidRPr="00FD02DE">
        <w:rPr>
          <w:rFonts w:cstheme="minorHAnsi"/>
          <w:spacing w:val="57"/>
        </w:rPr>
        <w:t xml:space="preserve"> </w:t>
      </w:r>
      <w:r w:rsidRPr="00FD02DE">
        <w:rPr>
          <w:rFonts w:cstheme="minorHAnsi"/>
          <w:spacing w:val="1"/>
        </w:rPr>
        <w:t>Town</w:t>
      </w:r>
      <w:r w:rsidRPr="00FD02DE">
        <w:rPr>
          <w:rFonts w:cstheme="minorHAnsi"/>
          <w:spacing w:val="48"/>
        </w:rPr>
        <w:t xml:space="preserve"> </w:t>
      </w:r>
      <w:r w:rsidRPr="00FD02DE">
        <w:rPr>
          <w:rFonts w:cstheme="minorHAnsi"/>
        </w:rPr>
        <w:t>of East Fremantle</w:t>
      </w:r>
      <w:r w:rsidRPr="00FD02DE">
        <w:rPr>
          <w:rFonts w:cstheme="minorHAnsi"/>
          <w:spacing w:val="2"/>
        </w:rPr>
        <w:t xml:space="preserve"> </w:t>
      </w:r>
      <w:r w:rsidRPr="00FD02DE">
        <w:rPr>
          <w:rFonts w:cstheme="minorHAnsi"/>
          <w:spacing w:val="1"/>
        </w:rPr>
        <w:t>C</w:t>
      </w:r>
      <w:r w:rsidRPr="00FD02DE">
        <w:rPr>
          <w:rFonts w:cstheme="minorHAnsi"/>
        </w:rPr>
        <w:t>ode of</w:t>
      </w:r>
      <w:r w:rsidRPr="00FD02DE">
        <w:rPr>
          <w:rFonts w:cstheme="minorHAnsi"/>
          <w:spacing w:val="1"/>
        </w:rPr>
        <w:t xml:space="preserve"> C</w:t>
      </w:r>
      <w:r w:rsidRPr="00FD02DE">
        <w:rPr>
          <w:rFonts w:cstheme="minorHAnsi"/>
        </w:rPr>
        <w:t>ond</w:t>
      </w:r>
      <w:r w:rsidRPr="00FD02DE">
        <w:rPr>
          <w:rFonts w:cstheme="minorHAnsi"/>
          <w:spacing w:val="2"/>
        </w:rPr>
        <w:t>u</w:t>
      </w:r>
      <w:r w:rsidRPr="00FD02DE">
        <w:rPr>
          <w:rFonts w:cstheme="minorHAnsi"/>
          <w:spacing w:val="-1"/>
        </w:rPr>
        <w:t>c</w:t>
      </w:r>
      <w:r w:rsidRPr="00FD02DE">
        <w:rPr>
          <w:rFonts w:cstheme="minorHAnsi"/>
        </w:rPr>
        <w:t>t</w:t>
      </w:r>
      <w:r w:rsidRPr="00FD02DE">
        <w:rPr>
          <w:rFonts w:cstheme="minorHAnsi"/>
          <w:spacing w:val="2"/>
        </w:rPr>
        <w:t xml:space="preserve"> </w:t>
      </w:r>
      <w:r w:rsidRPr="00FD02DE">
        <w:rPr>
          <w:rFonts w:cstheme="minorHAnsi"/>
        </w:rPr>
        <w:t>or</w:t>
      </w:r>
      <w:r w:rsidRPr="00FD02DE">
        <w:rPr>
          <w:rFonts w:cstheme="minorHAnsi"/>
          <w:spacing w:val="1"/>
        </w:rPr>
        <w:t xml:space="preserve"> </w:t>
      </w:r>
      <w:r w:rsidRPr="00FD02DE">
        <w:rPr>
          <w:rFonts w:cstheme="minorHAnsi"/>
        </w:rPr>
        <w:t>a s</w:t>
      </w:r>
      <w:r w:rsidRPr="00FD02DE">
        <w:rPr>
          <w:rFonts w:cstheme="minorHAnsi"/>
          <w:spacing w:val="1"/>
        </w:rPr>
        <w:t>e</w:t>
      </w:r>
      <w:r w:rsidRPr="00FD02DE">
        <w:rPr>
          <w:rFonts w:cstheme="minorHAnsi"/>
          <w:spacing w:val="-1"/>
        </w:rPr>
        <w:t>r</w:t>
      </w:r>
      <w:r w:rsidRPr="00FD02DE">
        <w:rPr>
          <w:rFonts w:cstheme="minorHAnsi"/>
        </w:rPr>
        <w:t>ious</w:t>
      </w:r>
      <w:r w:rsidRPr="00FD02DE">
        <w:rPr>
          <w:rFonts w:cstheme="minorHAnsi"/>
          <w:spacing w:val="2"/>
        </w:rPr>
        <w:t xml:space="preserve"> </w:t>
      </w:r>
      <w:r w:rsidRPr="00FD02DE">
        <w:rPr>
          <w:rFonts w:cstheme="minorHAnsi"/>
          <w:spacing w:val="-1"/>
        </w:rPr>
        <w:t>c</w:t>
      </w:r>
      <w:r w:rsidRPr="00FD02DE">
        <w:rPr>
          <w:rFonts w:cstheme="minorHAnsi"/>
        </w:rPr>
        <w:t>ont</w:t>
      </w:r>
      <w:r w:rsidRPr="00FD02DE">
        <w:rPr>
          <w:rFonts w:cstheme="minorHAnsi"/>
          <w:spacing w:val="-1"/>
        </w:rPr>
        <w:t>ra</w:t>
      </w:r>
      <w:r w:rsidRPr="00FD02DE">
        <w:rPr>
          <w:rFonts w:cstheme="minorHAnsi"/>
          <w:spacing w:val="2"/>
        </w:rPr>
        <w:t>v</w:t>
      </w:r>
      <w:r w:rsidRPr="00FD02DE">
        <w:rPr>
          <w:rFonts w:cstheme="minorHAnsi"/>
          <w:spacing w:val="-1"/>
        </w:rPr>
        <w:t>e</w:t>
      </w:r>
      <w:r w:rsidRPr="00FD02DE">
        <w:rPr>
          <w:rFonts w:cstheme="minorHAnsi"/>
          <w:spacing w:val="2"/>
        </w:rPr>
        <w:t>n</w:t>
      </w:r>
      <w:r w:rsidRPr="00FD02DE">
        <w:rPr>
          <w:rFonts w:cstheme="minorHAnsi"/>
        </w:rPr>
        <w:t>tion</w:t>
      </w:r>
      <w:r w:rsidRPr="00FD02DE">
        <w:rPr>
          <w:rFonts w:cstheme="minorHAnsi"/>
          <w:spacing w:val="1"/>
        </w:rPr>
        <w:t xml:space="preserve"> </w:t>
      </w:r>
      <w:r w:rsidRPr="00FD02DE">
        <w:rPr>
          <w:rFonts w:cstheme="minorHAnsi"/>
        </w:rPr>
        <w:t>of the</w:t>
      </w:r>
      <w:r w:rsidRPr="00FD02DE">
        <w:rPr>
          <w:rFonts w:cstheme="minorHAnsi"/>
          <w:spacing w:val="1"/>
        </w:rPr>
        <w:t xml:space="preserve"> </w:t>
      </w:r>
      <w:r w:rsidRPr="00FD02DE">
        <w:rPr>
          <w:rFonts w:cstheme="minorHAnsi"/>
          <w:spacing w:val="-5"/>
        </w:rPr>
        <w:t>L</w:t>
      </w:r>
      <w:r w:rsidRPr="00FD02DE">
        <w:rPr>
          <w:rFonts w:cstheme="minorHAnsi"/>
          <w:spacing w:val="2"/>
        </w:rPr>
        <w:t>o</w:t>
      </w:r>
      <w:r w:rsidRPr="00FD02DE">
        <w:rPr>
          <w:rFonts w:cstheme="minorHAnsi"/>
          <w:spacing w:val="-1"/>
        </w:rPr>
        <w:t>ca</w:t>
      </w:r>
      <w:r w:rsidRPr="00FD02DE">
        <w:rPr>
          <w:rFonts w:cstheme="minorHAnsi"/>
        </w:rPr>
        <w:t>l Gov</w:t>
      </w:r>
      <w:r w:rsidRPr="00FD02DE">
        <w:rPr>
          <w:rFonts w:cstheme="minorHAnsi"/>
          <w:spacing w:val="1"/>
        </w:rPr>
        <w:t>e</w:t>
      </w:r>
      <w:r w:rsidRPr="00FD02DE">
        <w:rPr>
          <w:rFonts w:cstheme="minorHAnsi"/>
          <w:spacing w:val="-1"/>
        </w:rPr>
        <w:t>r</w:t>
      </w:r>
      <w:r w:rsidRPr="00FD02DE">
        <w:rPr>
          <w:rFonts w:cstheme="minorHAnsi"/>
        </w:rPr>
        <w:t>nm</w:t>
      </w:r>
      <w:r w:rsidRPr="00FD02DE">
        <w:rPr>
          <w:rFonts w:cstheme="minorHAnsi"/>
          <w:spacing w:val="-1"/>
        </w:rPr>
        <w:t>e</w:t>
      </w:r>
      <w:r w:rsidRPr="00FD02DE">
        <w:rPr>
          <w:rFonts w:cstheme="minorHAnsi"/>
        </w:rPr>
        <w:t xml:space="preserve">nt </w:t>
      </w:r>
      <w:r w:rsidRPr="00FD02DE">
        <w:rPr>
          <w:rFonts w:cstheme="minorHAnsi"/>
          <w:spacing w:val="2"/>
        </w:rPr>
        <w:t>A</w:t>
      </w:r>
      <w:r w:rsidRPr="00FD02DE">
        <w:rPr>
          <w:rFonts w:cstheme="minorHAnsi"/>
          <w:spacing w:val="-1"/>
        </w:rPr>
        <w:t>c</w:t>
      </w:r>
      <w:r w:rsidRPr="00FD02DE">
        <w:rPr>
          <w:rFonts w:cstheme="minorHAnsi"/>
        </w:rPr>
        <w:t>t 1995; or</w:t>
      </w:r>
    </w:p>
    <w:p w14:paraId="49CAB169" w14:textId="77777777" w:rsidR="00272EB4" w:rsidRPr="00FD02DE" w:rsidRDefault="00272EB4" w:rsidP="00272EB4">
      <w:pPr>
        <w:pStyle w:val="ListParagraph"/>
        <w:widowControl w:val="0"/>
        <w:numPr>
          <w:ilvl w:val="0"/>
          <w:numId w:val="341"/>
        </w:numPr>
        <w:tabs>
          <w:tab w:val="left" w:pos="2960"/>
        </w:tabs>
        <w:spacing w:after="0" w:line="240" w:lineRule="auto"/>
        <w:ind w:left="426" w:right="-20" w:hanging="426"/>
        <w:jc w:val="both"/>
        <w:rPr>
          <w:rFonts w:cstheme="minorHAnsi"/>
        </w:rPr>
      </w:pPr>
      <w:r w:rsidRPr="00FD02DE">
        <w:rPr>
          <w:rFonts w:cstheme="minorHAnsi"/>
        </w:rPr>
        <w:t xml:space="preserve">A </w:t>
      </w:r>
      <w:r w:rsidRPr="00FD02DE">
        <w:rPr>
          <w:rFonts w:cstheme="minorHAnsi"/>
          <w:spacing w:val="2"/>
        </w:rPr>
        <w:t>member’s</w:t>
      </w:r>
      <w:r w:rsidRPr="00FD02DE">
        <w:rPr>
          <w:rFonts w:cstheme="minorHAnsi"/>
        </w:rPr>
        <w:t xml:space="preserve"> </w:t>
      </w:r>
      <w:r w:rsidRPr="00FD02DE">
        <w:rPr>
          <w:rFonts w:cstheme="minorHAnsi"/>
          <w:spacing w:val="5"/>
        </w:rPr>
        <w:t>conduct</w:t>
      </w:r>
      <w:r w:rsidRPr="00FD02DE">
        <w:rPr>
          <w:rFonts w:cstheme="minorHAnsi"/>
        </w:rPr>
        <w:t xml:space="preserve">, </w:t>
      </w:r>
      <w:r w:rsidRPr="00FD02DE">
        <w:rPr>
          <w:rFonts w:cstheme="minorHAnsi"/>
          <w:spacing w:val="2"/>
        </w:rPr>
        <w:t>action</w:t>
      </w:r>
      <w:r w:rsidRPr="00FD02DE">
        <w:rPr>
          <w:rFonts w:cstheme="minorHAnsi"/>
        </w:rPr>
        <w:t xml:space="preserve"> </w:t>
      </w:r>
      <w:r w:rsidRPr="00FD02DE">
        <w:rPr>
          <w:rFonts w:cstheme="minorHAnsi"/>
          <w:spacing w:val="2"/>
        </w:rPr>
        <w:t>or</w:t>
      </w:r>
      <w:r w:rsidRPr="00FD02DE">
        <w:rPr>
          <w:rFonts w:cstheme="minorHAnsi"/>
        </w:rPr>
        <w:t xml:space="preserve"> </w:t>
      </w:r>
      <w:r w:rsidRPr="00FD02DE">
        <w:rPr>
          <w:rFonts w:cstheme="minorHAnsi"/>
          <w:spacing w:val="2"/>
        </w:rPr>
        <w:t>comments</w:t>
      </w:r>
      <w:r w:rsidRPr="00FD02DE">
        <w:rPr>
          <w:rFonts w:cstheme="minorHAnsi"/>
        </w:rPr>
        <w:t xml:space="preserve"> </w:t>
      </w:r>
      <w:r w:rsidRPr="00FD02DE">
        <w:rPr>
          <w:rFonts w:cstheme="minorHAnsi"/>
          <w:spacing w:val="3"/>
        </w:rPr>
        <w:t>brings</w:t>
      </w:r>
      <w:r w:rsidRPr="00FD02DE">
        <w:rPr>
          <w:rFonts w:cstheme="minorHAnsi"/>
        </w:rPr>
        <w:t xml:space="preserve"> </w:t>
      </w:r>
      <w:r w:rsidRPr="00FD02DE">
        <w:rPr>
          <w:rFonts w:cstheme="minorHAnsi"/>
          <w:spacing w:val="3"/>
        </w:rPr>
        <w:t xml:space="preserve">the </w:t>
      </w:r>
      <w:r w:rsidRPr="00FD02DE">
        <w:rPr>
          <w:rFonts w:cstheme="minorHAnsi"/>
          <w:spacing w:val="1"/>
        </w:rPr>
        <w:t>Town</w:t>
      </w:r>
      <w:r w:rsidRPr="00FD02DE">
        <w:rPr>
          <w:rFonts w:cstheme="minorHAnsi"/>
          <w:spacing w:val="-7"/>
        </w:rPr>
        <w:t xml:space="preserve"> </w:t>
      </w:r>
      <w:r w:rsidRPr="00FD02DE">
        <w:rPr>
          <w:rFonts w:cstheme="minorHAnsi"/>
          <w:spacing w:val="2"/>
        </w:rPr>
        <w:t>o</w:t>
      </w:r>
      <w:r w:rsidRPr="00FD02DE">
        <w:rPr>
          <w:rFonts w:cstheme="minorHAnsi"/>
        </w:rPr>
        <w:t>f</w:t>
      </w:r>
      <w:r w:rsidRPr="00FD02DE">
        <w:rPr>
          <w:rFonts w:cstheme="minorHAnsi"/>
          <w:spacing w:val="-1"/>
        </w:rPr>
        <w:t xml:space="preserve"> East Fremantle</w:t>
      </w:r>
      <w:r w:rsidRPr="00FD02DE">
        <w:rPr>
          <w:rFonts w:cstheme="minorHAnsi"/>
        </w:rPr>
        <w:t xml:space="preserve"> into dis</w:t>
      </w:r>
      <w:r w:rsidRPr="00FD02DE">
        <w:rPr>
          <w:rFonts w:cstheme="minorHAnsi"/>
          <w:spacing w:val="-1"/>
        </w:rPr>
        <w:t>r</w:t>
      </w:r>
      <w:r w:rsidRPr="00FD02DE">
        <w:rPr>
          <w:rFonts w:cstheme="minorHAnsi"/>
          <w:spacing w:val="1"/>
        </w:rPr>
        <w:t>e</w:t>
      </w:r>
      <w:r w:rsidRPr="00FD02DE">
        <w:rPr>
          <w:rFonts w:cstheme="minorHAnsi"/>
        </w:rPr>
        <w:t>put</w:t>
      </w:r>
      <w:r w:rsidRPr="00FD02DE">
        <w:rPr>
          <w:rFonts w:cstheme="minorHAnsi"/>
          <w:spacing w:val="-1"/>
        </w:rPr>
        <w:t>e</w:t>
      </w:r>
      <w:r w:rsidRPr="00FD02DE">
        <w:rPr>
          <w:rFonts w:cstheme="minorHAnsi"/>
        </w:rPr>
        <w:t>.</w:t>
      </w:r>
    </w:p>
    <w:p w14:paraId="0004F798" w14:textId="77777777" w:rsidR="00272EB4" w:rsidRPr="00FD02DE" w:rsidRDefault="00272EB4" w:rsidP="00272EB4">
      <w:pPr>
        <w:widowControl w:val="0"/>
        <w:tabs>
          <w:tab w:val="left" w:pos="1540"/>
        </w:tabs>
        <w:spacing w:before="200" w:after="60" w:line="240" w:lineRule="auto"/>
        <w:ind w:right="-23"/>
        <w:jc w:val="both"/>
        <w:rPr>
          <w:rFonts w:cstheme="minorHAnsi"/>
          <w:b/>
          <w:sz w:val="24"/>
        </w:rPr>
      </w:pPr>
      <w:r w:rsidRPr="00FD02DE">
        <w:rPr>
          <w:rFonts w:cstheme="minorHAnsi"/>
          <w:b/>
          <w:bCs/>
          <w:sz w:val="24"/>
        </w:rPr>
        <w:t>V</w:t>
      </w:r>
      <w:r w:rsidRPr="00FD02DE">
        <w:rPr>
          <w:rFonts w:cstheme="minorHAnsi"/>
          <w:b/>
          <w:bCs/>
          <w:spacing w:val="-1"/>
          <w:sz w:val="24"/>
        </w:rPr>
        <w:t>a</w:t>
      </w:r>
      <w:r w:rsidRPr="00FD02DE">
        <w:rPr>
          <w:rFonts w:cstheme="minorHAnsi"/>
          <w:b/>
          <w:bCs/>
          <w:sz w:val="24"/>
        </w:rPr>
        <w:t>c</w:t>
      </w:r>
      <w:r w:rsidRPr="00FD02DE">
        <w:rPr>
          <w:rFonts w:cstheme="minorHAnsi"/>
          <w:b/>
          <w:bCs/>
          <w:spacing w:val="-1"/>
          <w:sz w:val="24"/>
        </w:rPr>
        <w:t>a</w:t>
      </w:r>
      <w:r w:rsidRPr="00FD02DE">
        <w:rPr>
          <w:rFonts w:cstheme="minorHAnsi"/>
          <w:b/>
          <w:bCs/>
          <w:spacing w:val="2"/>
          <w:sz w:val="24"/>
        </w:rPr>
        <w:t>n</w:t>
      </w:r>
      <w:r w:rsidRPr="00FD02DE">
        <w:rPr>
          <w:rFonts w:cstheme="minorHAnsi"/>
          <w:b/>
          <w:bCs/>
          <w:spacing w:val="-1"/>
          <w:sz w:val="24"/>
        </w:rPr>
        <w:t>c</w:t>
      </w:r>
      <w:r w:rsidRPr="00FD02DE">
        <w:rPr>
          <w:rFonts w:cstheme="minorHAnsi"/>
          <w:b/>
          <w:bCs/>
          <w:sz w:val="24"/>
        </w:rPr>
        <w:t>i</w:t>
      </w:r>
      <w:r w:rsidRPr="00FD02DE">
        <w:rPr>
          <w:rFonts w:cstheme="minorHAnsi"/>
          <w:b/>
          <w:bCs/>
          <w:spacing w:val="-1"/>
          <w:sz w:val="24"/>
        </w:rPr>
        <w:t>es</w:t>
      </w:r>
    </w:p>
    <w:p w14:paraId="599B2BA7" w14:textId="77777777" w:rsidR="00272EB4" w:rsidRPr="00FD02DE" w:rsidRDefault="00272EB4" w:rsidP="00272EB4">
      <w:pPr>
        <w:widowControl w:val="0"/>
        <w:spacing w:after="0" w:line="240" w:lineRule="auto"/>
        <w:ind w:right="74"/>
        <w:jc w:val="both"/>
        <w:rPr>
          <w:rFonts w:cstheme="minorHAnsi"/>
        </w:rPr>
      </w:pPr>
      <w:r w:rsidRPr="00FD02DE">
        <w:rPr>
          <w:rFonts w:cstheme="minorHAnsi"/>
        </w:rPr>
        <w:t>V</w:t>
      </w:r>
      <w:r w:rsidRPr="00FD02DE">
        <w:rPr>
          <w:rFonts w:cstheme="minorHAnsi"/>
          <w:spacing w:val="-1"/>
        </w:rPr>
        <w:t>aca</w:t>
      </w:r>
      <w:r w:rsidRPr="00FD02DE">
        <w:rPr>
          <w:rFonts w:cstheme="minorHAnsi"/>
          <w:spacing w:val="2"/>
        </w:rPr>
        <w:t>n</w:t>
      </w:r>
      <w:r w:rsidRPr="00FD02DE">
        <w:rPr>
          <w:rFonts w:cstheme="minorHAnsi"/>
          <w:spacing w:val="-1"/>
        </w:rPr>
        <w:t>c</w:t>
      </w:r>
      <w:r w:rsidRPr="00FD02DE">
        <w:rPr>
          <w:rFonts w:cstheme="minorHAnsi"/>
        </w:rPr>
        <w:t>i</w:t>
      </w:r>
      <w:r w:rsidRPr="00FD02DE">
        <w:rPr>
          <w:rFonts w:cstheme="minorHAnsi"/>
          <w:spacing w:val="-1"/>
        </w:rPr>
        <w:t>e</w:t>
      </w:r>
      <w:r w:rsidRPr="00FD02DE">
        <w:rPr>
          <w:rFonts w:cstheme="minorHAnsi"/>
        </w:rPr>
        <w:t>s</w:t>
      </w:r>
      <w:r w:rsidRPr="00FD02DE">
        <w:rPr>
          <w:rFonts w:cstheme="minorHAnsi"/>
          <w:spacing w:val="5"/>
        </w:rPr>
        <w:t xml:space="preserve"> </w:t>
      </w:r>
      <w:r w:rsidRPr="00FD02DE">
        <w:rPr>
          <w:rFonts w:cstheme="minorHAnsi"/>
        </w:rPr>
        <w:t>s</w:t>
      </w:r>
      <w:r w:rsidRPr="00FD02DE">
        <w:rPr>
          <w:rFonts w:cstheme="minorHAnsi"/>
          <w:spacing w:val="2"/>
        </w:rPr>
        <w:t>h</w:t>
      </w:r>
      <w:r w:rsidRPr="00FD02DE">
        <w:rPr>
          <w:rFonts w:cstheme="minorHAnsi"/>
          <w:spacing w:val="-1"/>
        </w:rPr>
        <w:t>a</w:t>
      </w:r>
      <w:r w:rsidRPr="00FD02DE">
        <w:rPr>
          <w:rFonts w:cstheme="minorHAnsi"/>
        </w:rPr>
        <w:t>ll</w:t>
      </w:r>
      <w:r w:rsidRPr="00FD02DE">
        <w:rPr>
          <w:rFonts w:cstheme="minorHAnsi"/>
          <w:spacing w:val="5"/>
        </w:rPr>
        <w:t xml:space="preserve"> </w:t>
      </w:r>
      <w:r w:rsidRPr="00FD02DE">
        <w:rPr>
          <w:rFonts w:cstheme="minorHAnsi"/>
          <w:spacing w:val="-1"/>
        </w:rPr>
        <w:t>b</w:t>
      </w:r>
      <w:r w:rsidRPr="00FD02DE">
        <w:rPr>
          <w:rFonts w:cstheme="minorHAnsi"/>
        </w:rPr>
        <w:t>e</w:t>
      </w:r>
      <w:r w:rsidRPr="00FD02DE">
        <w:rPr>
          <w:rFonts w:cstheme="minorHAnsi"/>
          <w:spacing w:val="5"/>
        </w:rPr>
        <w:t xml:space="preserve"> </w:t>
      </w:r>
      <w:r w:rsidRPr="00FD02DE">
        <w:rPr>
          <w:rFonts w:cstheme="minorHAnsi"/>
          <w:spacing w:val="-1"/>
        </w:rPr>
        <w:t>f</w:t>
      </w:r>
      <w:r w:rsidRPr="00FD02DE">
        <w:rPr>
          <w:rFonts w:cstheme="minorHAnsi"/>
        </w:rPr>
        <w:t>il</w:t>
      </w:r>
      <w:r w:rsidRPr="00FD02DE">
        <w:rPr>
          <w:rFonts w:cstheme="minorHAnsi"/>
          <w:spacing w:val="3"/>
        </w:rPr>
        <w:t>l</w:t>
      </w:r>
      <w:r w:rsidRPr="00FD02DE">
        <w:rPr>
          <w:rFonts w:cstheme="minorHAnsi"/>
          <w:spacing w:val="-1"/>
        </w:rPr>
        <w:t>e</w:t>
      </w:r>
      <w:r w:rsidRPr="00FD02DE">
        <w:rPr>
          <w:rFonts w:cstheme="minorHAnsi"/>
        </w:rPr>
        <w:t>d</w:t>
      </w:r>
      <w:r w:rsidRPr="00FD02DE">
        <w:rPr>
          <w:rFonts w:cstheme="minorHAnsi"/>
          <w:spacing w:val="5"/>
        </w:rPr>
        <w:t xml:space="preserve"> b</w:t>
      </w:r>
      <w:r w:rsidRPr="00FD02DE">
        <w:rPr>
          <w:rFonts w:cstheme="minorHAnsi"/>
        </w:rPr>
        <w:t xml:space="preserve">y </w:t>
      </w:r>
      <w:r w:rsidRPr="00FD02DE">
        <w:rPr>
          <w:rFonts w:cstheme="minorHAnsi"/>
          <w:spacing w:val="1"/>
        </w:rPr>
        <w:t>c</w:t>
      </w:r>
      <w:r w:rsidRPr="00FD02DE">
        <w:rPr>
          <w:rFonts w:cstheme="minorHAnsi"/>
          <w:spacing w:val="-1"/>
        </w:rPr>
        <w:t>a</w:t>
      </w:r>
      <w:r w:rsidRPr="00FD02DE">
        <w:rPr>
          <w:rFonts w:cstheme="minorHAnsi"/>
        </w:rPr>
        <w:t>lli</w:t>
      </w:r>
      <w:r w:rsidRPr="00FD02DE">
        <w:rPr>
          <w:rFonts w:cstheme="minorHAnsi"/>
          <w:spacing w:val="-1"/>
        </w:rPr>
        <w:t>n</w:t>
      </w:r>
      <w:r w:rsidRPr="00FD02DE">
        <w:rPr>
          <w:rFonts w:cstheme="minorHAnsi"/>
        </w:rPr>
        <w:t>g</w:t>
      </w:r>
      <w:r w:rsidRPr="00FD02DE">
        <w:rPr>
          <w:rFonts w:cstheme="minorHAnsi"/>
          <w:spacing w:val="6"/>
        </w:rPr>
        <w:t xml:space="preserve"> </w:t>
      </w:r>
      <w:r w:rsidRPr="00FD02DE">
        <w:rPr>
          <w:rFonts w:cstheme="minorHAnsi"/>
          <w:spacing w:val="-1"/>
        </w:rPr>
        <w:t>fo</w:t>
      </w:r>
      <w:r w:rsidRPr="00FD02DE">
        <w:rPr>
          <w:rFonts w:cstheme="minorHAnsi"/>
        </w:rPr>
        <w:t>r</w:t>
      </w:r>
      <w:r w:rsidRPr="00FD02DE">
        <w:rPr>
          <w:rFonts w:cstheme="minorHAnsi"/>
          <w:spacing w:val="5"/>
        </w:rPr>
        <w:t xml:space="preserve"> </w:t>
      </w:r>
      <w:r w:rsidRPr="00FD02DE">
        <w:rPr>
          <w:rFonts w:cstheme="minorHAnsi"/>
          <w:spacing w:val="-1"/>
        </w:rPr>
        <w:t>no</w:t>
      </w:r>
      <w:r w:rsidRPr="00FD02DE">
        <w:rPr>
          <w:rFonts w:cstheme="minorHAnsi"/>
          <w:spacing w:val="5"/>
        </w:rPr>
        <w:t>m</w:t>
      </w:r>
      <w:r w:rsidRPr="00FD02DE">
        <w:rPr>
          <w:rFonts w:cstheme="minorHAnsi"/>
        </w:rPr>
        <w:t>i</w:t>
      </w:r>
      <w:r w:rsidRPr="00FD02DE">
        <w:rPr>
          <w:rFonts w:cstheme="minorHAnsi"/>
          <w:spacing w:val="-1"/>
        </w:rPr>
        <w:t>n</w:t>
      </w:r>
      <w:r w:rsidRPr="00FD02DE">
        <w:rPr>
          <w:rFonts w:cstheme="minorHAnsi"/>
        </w:rPr>
        <w:t>ati</w:t>
      </w:r>
      <w:r w:rsidRPr="00FD02DE">
        <w:rPr>
          <w:rFonts w:cstheme="minorHAnsi"/>
          <w:spacing w:val="-1"/>
        </w:rPr>
        <w:t>on</w:t>
      </w:r>
      <w:r w:rsidRPr="00FD02DE">
        <w:rPr>
          <w:rFonts w:cstheme="minorHAnsi"/>
        </w:rPr>
        <w:t>s</w:t>
      </w:r>
      <w:r w:rsidRPr="00FD02DE">
        <w:rPr>
          <w:rFonts w:cstheme="minorHAnsi"/>
          <w:spacing w:val="7"/>
        </w:rPr>
        <w:t xml:space="preserve"> </w:t>
      </w:r>
      <w:r w:rsidRPr="00FD02DE">
        <w:rPr>
          <w:rFonts w:cstheme="minorHAnsi"/>
          <w:spacing w:val="-1"/>
        </w:rPr>
        <w:t>o</w:t>
      </w:r>
      <w:r w:rsidRPr="00FD02DE">
        <w:rPr>
          <w:rFonts w:cstheme="minorHAnsi"/>
        </w:rPr>
        <w:t>f</w:t>
      </w:r>
      <w:r w:rsidRPr="00FD02DE">
        <w:rPr>
          <w:rFonts w:cstheme="minorHAnsi"/>
          <w:spacing w:val="5"/>
        </w:rPr>
        <w:t xml:space="preserve"> </w:t>
      </w:r>
      <w:r w:rsidRPr="00FD02DE">
        <w:rPr>
          <w:rFonts w:cstheme="minorHAnsi"/>
          <w:spacing w:val="-1"/>
        </w:rPr>
        <w:t>e</w:t>
      </w:r>
      <w:r w:rsidRPr="00FD02DE">
        <w:rPr>
          <w:rFonts w:cstheme="minorHAnsi"/>
          <w:spacing w:val="2"/>
        </w:rPr>
        <w:t>x</w:t>
      </w:r>
      <w:r w:rsidRPr="00FD02DE">
        <w:rPr>
          <w:rFonts w:cstheme="minorHAnsi"/>
        </w:rPr>
        <w:t>t</w:t>
      </w:r>
      <w:r w:rsidRPr="00FD02DE">
        <w:rPr>
          <w:rFonts w:cstheme="minorHAnsi"/>
          <w:spacing w:val="-1"/>
        </w:rPr>
        <w:t>ern</w:t>
      </w:r>
      <w:r w:rsidRPr="00FD02DE">
        <w:rPr>
          <w:rFonts w:cstheme="minorHAnsi"/>
        </w:rPr>
        <w:t>al m</w:t>
      </w:r>
      <w:r w:rsidRPr="00FD02DE">
        <w:rPr>
          <w:rFonts w:cstheme="minorHAnsi"/>
          <w:spacing w:val="-1"/>
        </w:rPr>
        <w:t>e</w:t>
      </w:r>
      <w:r w:rsidRPr="00FD02DE">
        <w:rPr>
          <w:rFonts w:cstheme="minorHAnsi"/>
        </w:rPr>
        <w:t>mb</w:t>
      </w:r>
      <w:r w:rsidRPr="00FD02DE">
        <w:rPr>
          <w:rFonts w:cstheme="minorHAnsi"/>
          <w:spacing w:val="-1"/>
        </w:rPr>
        <w:t>er</w:t>
      </w:r>
      <w:r w:rsidRPr="00FD02DE">
        <w:rPr>
          <w:rFonts w:cstheme="minorHAnsi"/>
        </w:rPr>
        <w:t xml:space="preserve">s.  </w:t>
      </w:r>
      <w:r w:rsidRPr="00FD02DE">
        <w:rPr>
          <w:rFonts w:cstheme="minorHAnsi"/>
          <w:spacing w:val="2"/>
        </w:rPr>
        <w:t xml:space="preserve"> </w:t>
      </w:r>
      <w:r w:rsidRPr="00FD02DE">
        <w:rPr>
          <w:rFonts w:cstheme="minorHAnsi"/>
        </w:rPr>
        <w:t>M</w:t>
      </w:r>
      <w:r w:rsidRPr="00FD02DE">
        <w:rPr>
          <w:rFonts w:cstheme="minorHAnsi"/>
          <w:spacing w:val="-1"/>
        </w:rPr>
        <w:t>e</w:t>
      </w:r>
      <w:r w:rsidRPr="00FD02DE">
        <w:rPr>
          <w:rFonts w:cstheme="minorHAnsi"/>
        </w:rPr>
        <w:t>mb</w:t>
      </w:r>
      <w:r w:rsidRPr="00FD02DE">
        <w:rPr>
          <w:rFonts w:cstheme="minorHAnsi"/>
          <w:spacing w:val="1"/>
        </w:rPr>
        <w:t>e</w:t>
      </w:r>
      <w:r w:rsidRPr="00FD02DE">
        <w:rPr>
          <w:rFonts w:cstheme="minorHAnsi"/>
          <w:spacing w:val="-1"/>
        </w:rPr>
        <w:t>r</w:t>
      </w:r>
      <w:r w:rsidRPr="00FD02DE">
        <w:rPr>
          <w:rFonts w:cstheme="minorHAnsi"/>
        </w:rPr>
        <w:t>s</w:t>
      </w:r>
      <w:r w:rsidRPr="00FD02DE">
        <w:rPr>
          <w:rFonts w:cstheme="minorHAnsi"/>
          <w:spacing w:val="31"/>
        </w:rPr>
        <w:t xml:space="preserve"> </w:t>
      </w:r>
      <w:r w:rsidRPr="00FD02DE">
        <w:rPr>
          <w:rFonts w:cstheme="minorHAnsi"/>
          <w:spacing w:val="-1"/>
        </w:rPr>
        <w:t>f</w:t>
      </w:r>
      <w:r w:rsidRPr="00FD02DE">
        <w:rPr>
          <w:rFonts w:cstheme="minorHAnsi"/>
        </w:rPr>
        <w:t>illing</w:t>
      </w:r>
      <w:r w:rsidRPr="00FD02DE">
        <w:rPr>
          <w:rFonts w:cstheme="minorHAnsi"/>
          <w:spacing w:val="28"/>
        </w:rPr>
        <w:t xml:space="preserve"> </w:t>
      </w:r>
      <w:r w:rsidRPr="00FD02DE">
        <w:rPr>
          <w:rFonts w:cstheme="minorHAnsi"/>
        </w:rPr>
        <w:t>a</w:t>
      </w:r>
      <w:r w:rsidRPr="00FD02DE">
        <w:rPr>
          <w:rFonts w:cstheme="minorHAnsi"/>
          <w:spacing w:val="30"/>
        </w:rPr>
        <w:t xml:space="preserve"> </w:t>
      </w:r>
      <w:r w:rsidRPr="00FD02DE">
        <w:rPr>
          <w:rFonts w:cstheme="minorHAnsi"/>
          <w:spacing w:val="2"/>
        </w:rPr>
        <w:t>v</w:t>
      </w:r>
      <w:r w:rsidRPr="00FD02DE">
        <w:rPr>
          <w:rFonts w:cstheme="minorHAnsi"/>
          <w:spacing w:val="-1"/>
        </w:rPr>
        <w:t>a</w:t>
      </w:r>
      <w:r w:rsidRPr="00FD02DE">
        <w:rPr>
          <w:rFonts w:cstheme="minorHAnsi"/>
          <w:spacing w:val="1"/>
        </w:rPr>
        <w:t>c</w:t>
      </w:r>
      <w:r w:rsidRPr="00FD02DE">
        <w:rPr>
          <w:rFonts w:cstheme="minorHAnsi"/>
          <w:spacing w:val="-1"/>
        </w:rPr>
        <w:t>a</w:t>
      </w:r>
      <w:r w:rsidRPr="00FD02DE">
        <w:rPr>
          <w:rFonts w:cstheme="minorHAnsi"/>
        </w:rPr>
        <w:t>t</w:t>
      </w:r>
      <w:r w:rsidRPr="00FD02DE">
        <w:rPr>
          <w:rFonts w:cstheme="minorHAnsi"/>
          <w:spacing w:val="-1"/>
        </w:rPr>
        <w:t>e</w:t>
      </w:r>
      <w:r w:rsidRPr="00FD02DE">
        <w:rPr>
          <w:rFonts w:cstheme="minorHAnsi"/>
        </w:rPr>
        <w:t>d</w:t>
      </w:r>
      <w:r w:rsidRPr="00FD02DE">
        <w:rPr>
          <w:rFonts w:cstheme="minorHAnsi"/>
          <w:spacing w:val="31"/>
        </w:rPr>
        <w:t xml:space="preserve"> </w:t>
      </w:r>
      <w:r w:rsidRPr="00FD02DE">
        <w:rPr>
          <w:rFonts w:cstheme="minorHAnsi"/>
        </w:rPr>
        <w:t>position</w:t>
      </w:r>
      <w:r w:rsidRPr="00FD02DE">
        <w:rPr>
          <w:rFonts w:cstheme="minorHAnsi"/>
          <w:spacing w:val="31"/>
        </w:rPr>
        <w:t xml:space="preserve"> </w:t>
      </w:r>
      <w:r w:rsidRPr="00FD02DE">
        <w:rPr>
          <w:rFonts w:cstheme="minorHAnsi"/>
        </w:rPr>
        <w:t>will</w:t>
      </w:r>
      <w:r w:rsidRPr="00FD02DE">
        <w:rPr>
          <w:rFonts w:cstheme="minorHAnsi"/>
          <w:spacing w:val="32"/>
        </w:rPr>
        <w:t xml:space="preserve"> </w:t>
      </w:r>
      <w:r w:rsidRPr="00FD02DE">
        <w:rPr>
          <w:rFonts w:cstheme="minorHAnsi"/>
        </w:rPr>
        <w:t>hold</w:t>
      </w:r>
      <w:r w:rsidRPr="00FD02DE">
        <w:rPr>
          <w:rFonts w:cstheme="minorHAnsi"/>
          <w:spacing w:val="31"/>
        </w:rPr>
        <w:t xml:space="preserve"> </w:t>
      </w:r>
      <w:r w:rsidRPr="00FD02DE">
        <w:rPr>
          <w:rFonts w:cstheme="minorHAnsi"/>
        </w:rPr>
        <w:t>th</w:t>
      </w:r>
      <w:r w:rsidRPr="00FD02DE">
        <w:rPr>
          <w:rFonts w:cstheme="minorHAnsi"/>
          <w:spacing w:val="-1"/>
        </w:rPr>
        <w:t>a</w:t>
      </w:r>
      <w:r w:rsidRPr="00FD02DE">
        <w:rPr>
          <w:rFonts w:cstheme="minorHAnsi"/>
        </w:rPr>
        <w:t>t</w:t>
      </w:r>
      <w:r w:rsidRPr="00FD02DE">
        <w:rPr>
          <w:rFonts w:cstheme="minorHAnsi"/>
          <w:spacing w:val="32"/>
        </w:rPr>
        <w:t xml:space="preserve"> </w:t>
      </w:r>
      <w:r w:rsidRPr="00FD02DE">
        <w:rPr>
          <w:rFonts w:cstheme="minorHAnsi"/>
        </w:rPr>
        <w:t xml:space="preserve">position </w:t>
      </w:r>
      <w:r w:rsidRPr="00FD02DE">
        <w:rPr>
          <w:rFonts w:cstheme="minorHAnsi"/>
          <w:spacing w:val="-1"/>
        </w:rPr>
        <w:t>f</w:t>
      </w:r>
      <w:r w:rsidRPr="00FD02DE">
        <w:rPr>
          <w:rFonts w:cstheme="minorHAnsi"/>
        </w:rPr>
        <w:t>or</w:t>
      </w:r>
      <w:r w:rsidRPr="00FD02DE">
        <w:rPr>
          <w:rFonts w:cstheme="minorHAnsi"/>
          <w:spacing w:val="16"/>
        </w:rPr>
        <w:t xml:space="preserve"> </w:t>
      </w:r>
      <w:r w:rsidRPr="00FD02DE">
        <w:rPr>
          <w:rFonts w:cstheme="minorHAnsi"/>
        </w:rPr>
        <w:t>the</w:t>
      </w:r>
      <w:r w:rsidRPr="00FD02DE">
        <w:rPr>
          <w:rFonts w:cstheme="minorHAnsi"/>
          <w:spacing w:val="18"/>
        </w:rPr>
        <w:t xml:space="preserve"> </w:t>
      </w:r>
      <w:r w:rsidRPr="00FD02DE">
        <w:rPr>
          <w:rFonts w:cstheme="minorHAnsi"/>
          <w:spacing w:val="-1"/>
        </w:rPr>
        <w:t>re</w:t>
      </w:r>
      <w:r w:rsidRPr="00FD02DE">
        <w:rPr>
          <w:rFonts w:cstheme="minorHAnsi"/>
        </w:rPr>
        <w:t>m</w:t>
      </w:r>
      <w:r w:rsidRPr="00FD02DE">
        <w:rPr>
          <w:rFonts w:cstheme="minorHAnsi"/>
          <w:spacing w:val="-1"/>
        </w:rPr>
        <w:t>a</w:t>
      </w:r>
      <w:r w:rsidRPr="00FD02DE">
        <w:rPr>
          <w:rFonts w:cstheme="minorHAnsi"/>
        </w:rPr>
        <w:t>ind</w:t>
      </w:r>
      <w:r w:rsidRPr="00FD02DE">
        <w:rPr>
          <w:rFonts w:cstheme="minorHAnsi"/>
          <w:spacing w:val="1"/>
        </w:rPr>
        <w:t>e</w:t>
      </w:r>
      <w:r w:rsidRPr="00FD02DE">
        <w:rPr>
          <w:rFonts w:cstheme="minorHAnsi"/>
        </w:rPr>
        <w:t>r</w:t>
      </w:r>
      <w:r w:rsidRPr="00FD02DE">
        <w:rPr>
          <w:rFonts w:cstheme="minorHAnsi"/>
          <w:spacing w:val="16"/>
        </w:rPr>
        <w:t xml:space="preserve"> </w:t>
      </w:r>
      <w:r w:rsidRPr="00FD02DE">
        <w:rPr>
          <w:rFonts w:cstheme="minorHAnsi"/>
        </w:rPr>
        <w:t>of</w:t>
      </w:r>
      <w:r w:rsidRPr="00FD02DE">
        <w:rPr>
          <w:rFonts w:cstheme="minorHAnsi"/>
          <w:spacing w:val="18"/>
        </w:rPr>
        <w:t xml:space="preserve"> </w:t>
      </w:r>
      <w:r w:rsidRPr="00FD02DE">
        <w:rPr>
          <w:rFonts w:cstheme="minorHAnsi"/>
        </w:rPr>
        <w:t>the</w:t>
      </w:r>
      <w:r w:rsidRPr="00FD02DE">
        <w:rPr>
          <w:rFonts w:cstheme="minorHAnsi"/>
          <w:spacing w:val="18"/>
        </w:rPr>
        <w:t xml:space="preserve"> vacant positions’ term </w:t>
      </w:r>
      <w:r w:rsidRPr="00FD02DE">
        <w:rPr>
          <w:rFonts w:cstheme="minorHAnsi"/>
          <w:spacing w:val="-1"/>
        </w:rPr>
        <w:t>a</w:t>
      </w:r>
      <w:r w:rsidRPr="00FD02DE">
        <w:rPr>
          <w:rFonts w:cstheme="minorHAnsi"/>
        </w:rPr>
        <w:t xml:space="preserve">s </w:t>
      </w:r>
      <w:r w:rsidRPr="00FD02DE">
        <w:rPr>
          <w:rFonts w:cstheme="minorHAnsi"/>
          <w:spacing w:val="-1"/>
        </w:rPr>
        <w:t>a</w:t>
      </w:r>
      <w:r w:rsidRPr="00FD02DE">
        <w:rPr>
          <w:rFonts w:cstheme="minorHAnsi"/>
        </w:rPr>
        <w:t>pp</w:t>
      </w:r>
      <w:r w:rsidRPr="00FD02DE">
        <w:rPr>
          <w:rFonts w:cstheme="minorHAnsi"/>
          <w:spacing w:val="-1"/>
        </w:rPr>
        <w:t>r</w:t>
      </w:r>
      <w:r w:rsidRPr="00FD02DE">
        <w:rPr>
          <w:rFonts w:cstheme="minorHAnsi"/>
        </w:rPr>
        <w:t>ov</w:t>
      </w:r>
      <w:r w:rsidRPr="00FD02DE">
        <w:rPr>
          <w:rFonts w:cstheme="minorHAnsi"/>
          <w:spacing w:val="-1"/>
        </w:rPr>
        <w:t>e</w:t>
      </w:r>
      <w:r w:rsidRPr="00FD02DE">
        <w:rPr>
          <w:rFonts w:cstheme="minorHAnsi"/>
        </w:rPr>
        <w:t xml:space="preserve">d </w:t>
      </w:r>
      <w:r w:rsidRPr="00FD02DE">
        <w:rPr>
          <w:rFonts w:cstheme="minorHAnsi"/>
          <w:spacing w:val="5"/>
        </w:rPr>
        <w:t>b</w:t>
      </w:r>
      <w:r w:rsidRPr="00FD02DE">
        <w:rPr>
          <w:rFonts w:cstheme="minorHAnsi"/>
        </w:rPr>
        <w:t>y</w:t>
      </w:r>
      <w:r w:rsidRPr="00FD02DE">
        <w:rPr>
          <w:rFonts w:cstheme="minorHAnsi"/>
          <w:spacing w:val="-5"/>
        </w:rPr>
        <w:t xml:space="preserve"> </w:t>
      </w:r>
      <w:r w:rsidRPr="00FD02DE">
        <w:rPr>
          <w:rFonts w:cstheme="minorHAnsi"/>
        </w:rPr>
        <w:t>t</w:t>
      </w:r>
      <w:r w:rsidRPr="00FD02DE">
        <w:rPr>
          <w:rFonts w:cstheme="minorHAnsi"/>
          <w:spacing w:val="2"/>
        </w:rPr>
        <w:t>h</w:t>
      </w:r>
      <w:r w:rsidRPr="00FD02DE">
        <w:rPr>
          <w:rFonts w:cstheme="minorHAnsi"/>
        </w:rPr>
        <w:t>e</w:t>
      </w:r>
      <w:r w:rsidRPr="00FD02DE">
        <w:rPr>
          <w:rFonts w:cstheme="minorHAnsi"/>
          <w:spacing w:val="-1"/>
        </w:rPr>
        <w:t xml:space="preserve"> </w:t>
      </w:r>
      <w:r w:rsidRPr="00FD02DE">
        <w:rPr>
          <w:rFonts w:cstheme="minorHAnsi"/>
          <w:spacing w:val="1"/>
        </w:rPr>
        <w:t>C</w:t>
      </w:r>
      <w:r w:rsidRPr="00FD02DE">
        <w:rPr>
          <w:rFonts w:cstheme="minorHAnsi"/>
        </w:rPr>
        <w:t>oun</w:t>
      </w:r>
      <w:r w:rsidRPr="00FD02DE">
        <w:rPr>
          <w:rFonts w:cstheme="minorHAnsi"/>
          <w:spacing w:val="-1"/>
        </w:rPr>
        <w:t>c</w:t>
      </w:r>
      <w:r w:rsidRPr="00FD02DE">
        <w:rPr>
          <w:rFonts w:cstheme="minorHAnsi"/>
        </w:rPr>
        <w:t>il.</w:t>
      </w:r>
    </w:p>
    <w:p w14:paraId="30E690AB" w14:textId="77777777" w:rsidR="00272EB4" w:rsidRPr="00E16F52" w:rsidRDefault="00272EB4" w:rsidP="00272EB4">
      <w:pPr>
        <w:spacing w:before="200" w:after="0"/>
        <w:jc w:val="both"/>
        <w:rPr>
          <w:rFonts w:cstheme="minorHAnsi"/>
          <w:b/>
          <w:sz w:val="24"/>
          <w:szCs w:val="24"/>
        </w:rPr>
      </w:pPr>
      <w:r w:rsidRPr="00E16F52">
        <w:rPr>
          <w:rFonts w:cstheme="minorHAnsi"/>
          <w:b/>
          <w:sz w:val="24"/>
          <w:szCs w:val="24"/>
        </w:rPr>
        <w:t xml:space="preserve">Section 4: Related Policies and Plans  </w:t>
      </w:r>
    </w:p>
    <w:p w14:paraId="1848C026" w14:textId="77777777" w:rsidR="00272EB4" w:rsidRPr="00FD02DE" w:rsidRDefault="00272EB4" w:rsidP="00272EB4">
      <w:pPr>
        <w:spacing w:after="60" w:line="240" w:lineRule="auto"/>
        <w:jc w:val="both"/>
        <w:rPr>
          <w:rFonts w:cstheme="minorHAnsi"/>
          <w:szCs w:val="24"/>
        </w:rPr>
      </w:pPr>
      <w:r w:rsidRPr="00FD02DE">
        <w:rPr>
          <w:rFonts w:cstheme="minorHAnsi"/>
          <w:szCs w:val="24"/>
        </w:rPr>
        <w:t>Interpretation and implementation of this Policy is in accordance with the Town of East Fremantle documents as outlined below.</w:t>
      </w:r>
    </w:p>
    <w:p w14:paraId="3A0024FB" w14:textId="77777777" w:rsidR="00272EB4" w:rsidRPr="00FD02DE" w:rsidRDefault="00272EB4" w:rsidP="00272EB4">
      <w:pPr>
        <w:numPr>
          <w:ilvl w:val="0"/>
          <w:numId w:val="309"/>
        </w:numPr>
        <w:spacing w:after="60" w:line="240" w:lineRule="auto"/>
        <w:jc w:val="both"/>
        <w:rPr>
          <w:rFonts w:cstheme="minorHAnsi"/>
          <w:szCs w:val="24"/>
        </w:rPr>
      </w:pPr>
      <w:r w:rsidRPr="00FD02DE">
        <w:rPr>
          <w:rFonts w:cstheme="minorHAnsi"/>
          <w:szCs w:val="24"/>
        </w:rPr>
        <w:t>Town of East Fremantle Public Art Strategy</w:t>
      </w:r>
    </w:p>
    <w:p w14:paraId="32978D59" w14:textId="77777777" w:rsidR="00272EB4" w:rsidRPr="00FD02DE" w:rsidRDefault="00272EB4" w:rsidP="00272EB4">
      <w:pPr>
        <w:numPr>
          <w:ilvl w:val="0"/>
          <w:numId w:val="309"/>
        </w:numPr>
        <w:spacing w:after="60" w:line="240" w:lineRule="auto"/>
        <w:jc w:val="both"/>
        <w:rPr>
          <w:rFonts w:cstheme="minorHAnsi"/>
          <w:szCs w:val="24"/>
        </w:rPr>
      </w:pPr>
      <w:r w:rsidRPr="00FD02DE">
        <w:rPr>
          <w:rFonts w:cstheme="minorHAnsi"/>
          <w:szCs w:val="24"/>
        </w:rPr>
        <w:t xml:space="preserve">Town of East Fremantle Local Planning Policy - Percent for Public Art </w:t>
      </w:r>
    </w:p>
    <w:p w14:paraId="7B1652D7" w14:textId="77777777" w:rsidR="00272EB4" w:rsidRPr="00FD02DE" w:rsidRDefault="00272EB4" w:rsidP="00272EB4">
      <w:pPr>
        <w:numPr>
          <w:ilvl w:val="0"/>
          <w:numId w:val="309"/>
        </w:numPr>
        <w:spacing w:after="60" w:line="240" w:lineRule="auto"/>
        <w:jc w:val="both"/>
        <w:rPr>
          <w:rFonts w:cstheme="minorHAnsi"/>
          <w:szCs w:val="24"/>
        </w:rPr>
      </w:pPr>
      <w:r w:rsidRPr="00FD02DE">
        <w:rPr>
          <w:rFonts w:cstheme="minorHAnsi"/>
          <w:szCs w:val="24"/>
        </w:rPr>
        <w:t>Town of East Fremantle Public Art Annual Action Plan 2017/18 – 2020/21</w:t>
      </w:r>
    </w:p>
    <w:p w14:paraId="2274F533" w14:textId="77777777" w:rsidR="00272EB4" w:rsidRPr="00FD02DE" w:rsidRDefault="00272EB4" w:rsidP="00272EB4">
      <w:pPr>
        <w:numPr>
          <w:ilvl w:val="0"/>
          <w:numId w:val="309"/>
        </w:numPr>
        <w:spacing w:after="0" w:line="240" w:lineRule="auto"/>
        <w:jc w:val="both"/>
        <w:rPr>
          <w:rFonts w:cstheme="minorHAnsi"/>
          <w:szCs w:val="24"/>
        </w:rPr>
      </w:pPr>
      <w:r w:rsidRPr="00FD02DE">
        <w:rPr>
          <w:rFonts w:cstheme="minorHAnsi"/>
          <w:szCs w:val="24"/>
        </w:rPr>
        <w:t>Town of East Fremantle Public Art Panel Policy</w:t>
      </w:r>
    </w:p>
    <w:p w14:paraId="7BEF5900" w14:textId="77777777" w:rsidR="00272EB4" w:rsidRPr="00FD02DE" w:rsidRDefault="00272EB4" w:rsidP="00272EB4">
      <w:pPr>
        <w:spacing w:before="200" w:after="60" w:line="240" w:lineRule="auto"/>
        <w:jc w:val="both"/>
        <w:rPr>
          <w:rFonts w:cstheme="minorHAnsi"/>
          <w:b/>
          <w:szCs w:val="24"/>
        </w:rPr>
      </w:pPr>
      <w:r w:rsidRPr="00FD02DE">
        <w:rPr>
          <w:rFonts w:cstheme="minorHAnsi"/>
          <w:b/>
          <w:szCs w:val="24"/>
        </w:rPr>
        <w:lastRenderedPageBreak/>
        <w:t>Other Related Policies or Plans</w:t>
      </w:r>
    </w:p>
    <w:p w14:paraId="28364D09" w14:textId="77777777" w:rsidR="00272EB4" w:rsidRPr="00FD02DE" w:rsidRDefault="00272EB4" w:rsidP="00272EB4">
      <w:pPr>
        <w:pStyle w:val="ListParagraph"/>
        <w:numPr>
          <w:ilvl w:val="0"/>
          <w:numId w:val="322"/>
        </w:numPr>
        <w:spacing w:line="240" w:lineRule="auto"/>
        <w:jc w:val="both"/>
        <w:rPr>
          <w:rFonts w:cstheme="minorHAnsi"/>
          <w:szCs w:val="24"/>
        </w:rPr>
      </w:pPr>
      <w:r w:rsidRPr="00FD02DE">
        <w:rPr>
          <w:rFonts w:cstheme="minorHAnsi"/>
          <w:szCs w:val="24"/>
        </w:rPr>
        <w:t xml:space="preserve">Town of East Fremantle Strategic Community Plan 2017-2027 </w:t>
      </w:r>
    </w:p>
    <w:p w14:paraId="46362BCF" w14:textId="77777777" w:rsidR="00272EB4" w:rsidRPr="00E16F52" w:rsidRDefault="00272EB4" w:rsidP="00272EB4">
      <w:pPr>
        <w:spacing w:after="60" w:line="240" w:lineRule="auto"/>
        <w:jc w:val="both"/>
        <w:rPr>
          <w:rFonts w:cstheme="minorHAnsi"/>
          <w:b/>
          <w:sz w:val="24"/>
          <w:szCs w:val="24"/>
        </w:rPr>
      </w:pPr>
      <w:r w:rsidRPr="00E16F52">
        <w:rPr>
          <w:rFonts w:cstheme="minorHAnsi"/>
          <w:b/>
          <w:sz w:val="24"/>
          <w:szCs w:val="24"/>
        </w:rPr>
        <w:t>Section 5: Definitions</w:t>
      </w:r>
    </w:p>
    <w:p w14:paraId="273B805D" w14:textId="77777777" w:rsidR="00272EB4" w:rsidRPr="00FD02DE" w:rsidRDefault="00272EB4" w:rsidP="00272EB4">
      <w:pPr>
        <w:spacing w:after="0" w:line="240" w:lineRule="auto"/>
        <w:jc w:val="both"/>
        <w:rPr>
          <w:rFonts w:cstheme="minorHAnsi"/>
          <w:b/>
          <w:i/>
          <w:szCs w:val="24"/>
        </w:rPr>
      </w:pPr>
      <w:r w:rsidRPr="00FD02DE">
        <w:rPr>
          <w:rFonts w:cstheme="minorHAnsi"/>
          <w:b/>
          <w:i/>
          <w:szCs w:val="24"/>
        </w:rPr>
        <w:t>Public Art</w:t>
      </w:r>
    </w:p>
    <w:p w14:paraId="30B8334C" w14:textId="77777777" w:rsidR="00272EB4" w:rsidRPr="00FD02DE" w:rsidRDefault="00272EB4" w:rsidP="00272EB4">
      <w:pPr>
        <w:spacing w:after="60" w:line="240" w:lineRule="auto"/>
        <w:jc w:val="both"/>
        <w:rPr>
          <w:rFonts w:cstheme="minorHAnsi"/>
          <w:i/>
          <w:szCs w:val="24"/>
        </w:rPr>
      </w:pPr>
      <w:r w:rsidRPr="00FD02DE">
        <w:rPr>
          <w:rFonts w:cstheme="minorHAnsi"/>
          <w:i/>
          <w:szCs w:val="24"/>
        </w:rPr>
        <w:t>For the purposes of this Policy, public art is defined as a work of art that is created by an artist, sited in a visually accessible public location. Public art can include (but is not limited to):</w:t>
      </w:r>
    </w:p>
    <w:p w14:paraId="2594B756" w14:textId="77777777" w:rsidR="00272EB4" w:rsidRPr="00FD02DE" w:rsidRDefault="00272EB4" w:rsidP="00272EB4">
      <w:pPr>
        <w:numPr>
          <w:ilvl w:val="0"/>
          <w:numId w:val="320"/>
        </w:numPr>
        <w:tabs>
          <w:tab w:val="clear" w:pos="720"/>
        </w:tabs>
        <w:spacing w:after="0" w:line="240" w:lineRule="auto"/>
        <w:ind w:left="426" w:hanging="426"/>
        <w:jc w:val="both"/>
        <w:rPr>
          <w:rFonts w:cstheme="minorHAnsi"/>
          <w:i/>
          <w:szCs w:val="24"/>
        </w:rPr>
      </w:pPr>
      <w:r w:rsidRPr="00FD02DE">
        <w:rPr>
          <w:rFonts w:cstheme="minorHAnsi"/>
          <w:i/>
          <w:szCs w:val="24"/>
        </w:rPr>
        <w:t xml:space="preserve">the artistic treatment of functional equipment such as bike racks, benches, fountains, playground equipment, light posts or shade structures which are </w:t>
      </w:r>
      <w:proofErr w:type="gramStart"/>
      <w:r w:rsidRPr="00FD02DE">
        <w:rPr>
          <w:rFonts w:cstheme="minorHAnsi"/>
          <w:i/>
          <w:szCs w:val="24"/>
        </w:rPr>
        <w:t>unique;</w:t>
      </w:r>
      <w:proofErr w:type="gramEnd"/>
    </w:p>
    <w:p w14:paraId="554A3815" w14:textId="77777777" w:rsidR="00272EB4" w:rsidRPr="00FD02DE" w:rsidRDefault="00272EB4" w:rsidP="00272EB4">
      <w:pPr>
        <w:numPr>
          <w:ilvl w:val="0"/>
          <w:numId w:val="320"/>
        </w:numPr>
        <w:tabs>
          <w:tab w:val="clear" w:pos="720"/>
        </w:tabs>
        <w:spacing w:after="0" w:line="240" w:lineRule="auto"/>
        <w:ind w:left="426" w:hanging="426"/>
        <w:jc w:val="both"/>
        <w:rPr>
          <w:rFonts w:cstheme="minorHAnsi"/>
          <w:i/>
          <w:szCs w:val="24"/>
        </w:rPr>
      </w:pPr>
      <w:r w:rsidRPr="00FD02DE">
        <w:rPr>
          <w:rFonts w:cstheme="minorHAnsi"/>
          <w:i/>
          <w:szCs w:val="24"/>
        </w:rPr>
        <w:t xml:space="preserve">landscape art enhancements such as walkways, bridges or art features within a public </w:t>
      </w:r>
      <w:proofErr w:type="gramStart"/>
      <w:r w:rsidRPr="00FD02DE">
        <w:rPr>
          <w:rFonts w:cstheme="minorHAnsi"/>
          <w:i/>
          <w:szCs w:val="24"/>
        </w:rPr>
        <w:t>garden;</w:t>
      </w:r>
      <w:proofErr w:type="gramEnd"/>
    </w:p>
    <w:p w14:paraId="1B564F4E" w14:textId="77777777" w:rsidR="00272EB4" w:rsidRPr="00FD02DE" w:rsidRDefault="00272EB4" w:rsidP="00272EB4">
      <w:pPr>
        <w:numPr>
          <w:ilvl w:val="0"/>
          <w:numId w:val="320"/>
        </w:numPr>
        <w:tabs>
          <w:tab w:val="clear" w:pos="720"/>
        </w:tabs>
        <w:spacing w:after="0" w:line="240" w:lineRule="auto"/>
        <w:ind w:left="426" w:hanging="426"/>
        <w:jc w:val="both"/>
        <w:rPr>
          <w:rFonts w:cstheme="minorHAnsi"/>
          <w:i/>
          <w:szCs w:val="24"/>
        </w:rPr>
      </w:pPr>
      <w:r w:rsidRPr="00FD02DE">
        <w:rPr>
          <w:rFonts w:cstheme="minorHAnsi"/>
          <w:i/>
          <w:szCs w:val="24"/>
        </w:rPr>
        <w:t>murals, tiles and mosaics covering walls, floors and walkways; and</w:t>
      </w:r>
    </w:p>
    <w:p w14:paraId="592D165C" w14:textId="77777777" w:rsidR="00272EB4" w:rsidRPr="00FD02DE" w:rsidRDefault="00272EB4" w:rsidP="00272EB4">
      <w:pPr>
        <w:numPr>
          <w:ilvl w:val="0"/>
          <w:numId w:val="320"/>
        </w:numPr>
        <w:tabs>
          <w:tab w:val="clear" w:pos="720"/>
        </w:tabs>
        <w:spacing w:after="0" w:line="240" w:lineRule="auto"/>
        <w:ind w:left="426" w:hanging="426"/>
        <w:jc w:val="both"/>
        <w:rPr>
          <w:rFonts w:cstheme="minorHAnsi"/>
          <w:i/>
          <w:szCs w:val="24"/>
        </w:rPr>
      </w:pPr>
      <w:r w:rsidRPr="00FD02DE">
        <w:rPr>
          <w:rFonts w:cstheme="minorHAnsi"/>
          <w:i/>
          <w:szCs w:val="24"/>
        </w:rPr>
        <w:t>sculptures, free-standing or incorporated as an integral element of a building’s design, paintings, pictures and photographic works.</w:t>
      </w:r>
    </w:p>
    <w:p w14:paraId="31BFBC03" w14:textId="77777777" w:rsidR="00272EB4" w:rsidRPr="00FD02DE" w:rsidRDefault="00272EB4" w:rsidP="00272EB4">
      <w:pPr>
        <w:spacing w:before="120" w:after="60" w:line="240" w:lineRule="auto"/>
        <w:jc w:val="both"/>
        <w:rPr>
          <w:rFonts w:cstheme="minorHAnsi"/>
          <w:i/>
          <w:szCs w:val="24"/>
        </w:rPr>
      </w:pPr>
      <w:r w:rsidRPr="00FD02DE">
        <w:rPr>
          <w:rFonts w:cstheme="minorHAnsi"/>
          <w:i/>
          <w:szCs w:val="24"/>
        </w:rPr>
        <w:t>Public art does not include:</w:t>
      </w:r>
    </w:p>
    <w:p w14:paraId="239C8AD8" w14:textId="77777777" w:rsidR="00272EB4" w:rsidRPr="00FD02DE" w:rsidRDefault="00272EB4" w:rsidP="00272EB4">
      <w:pPr>
        <w:numPr>
          <w:ilvl w:val="0"/>
          <w:numId w:val="321"/>
        </w:numPr>
        <w:tabs>
          <w:tab w:val="clear" w:pos="720"/>
          <w:tab w:val="num" w:pos="426"/>
        </w:tabs>
        <w:spacing w:after="0" w:line="240" w:lineRule="auto"/>
        <w:ind w:left="426" w:hanging="426"/>
        <w:jc w:val="both"/>
        <w:rPr>
          <w:rFonts w:cstheme="minorHAnsi"/>
          <w:i/>
          <w:szCs w:val="24"/>
        </w:rPr>
      </w:pPr>
      <w:r w:rsidRPr="00FD02DE">
        <w:rPr>
          <w:rFonts w:cstheme="minorHAnsi"/>
          <w:i/>
          <w:szCs w:val="24"/>
        </w:rPr>
        <w:t xml:space="preserve">business </w:t>
      </w:r>
      <w:proofErr w:type="gramStart"/>
      <w:r w:rsidRPr="00FD02DE">
        <w:rPr>
          <w:rFonts w:cstheme="minorHAnsi"/>
          <w:i/>
          <w:szCs w:val="24"/>
        </w:rPr>
        <w:t>logos;</w:t>
      </w:r>
      <w:proofErr w:type="gramEnd"/>
    </w:p>
    <w:p w14:paraId="47874C72" w14:textId="77777777" w:rsidR="00272EB4" w:rsidRPr="00FD02DE" w:rsidRDefault="00272EB4" w:rsidP="00272EB4">
      <w:pPr>
        <w:numPr>
          <w:ilvl w:val="0"/>
          <w:numId w:val="321"/>
        </w:numPr>
        <w:tabs>
          <w:tab w:val="clear" w:pos="720"/>
          <w:tab w:val="num" w:pos="426"/>
        </w:tabs>
        <w:spacing w:after="0" w:line="240" w:lineRule="auto"/>
        <w:ind w:left="426" w:hanging="426"/>
        <w:jc w:val="both"/>
        <w:rPr>
          <w:rFonts w:cstheme="minorHAnsi"/>
          <w:i/>
          <w:szCs w:val="24"/>
        </w:rPr>
      </w:pPr>
      <w:r w:rsidRPr="00FD02DE">
        <w:rPr>
          <w:rFonts w:cstheme="minorHAnsi"/>
          <w:i/>
          <w:szCs w:val="24"/>
        </w:rPr>
        <w:t xml:space="preserve">advertising </w:t>
      </w:r>
      <w:proofErr w:type="gramStart"/>
      <w:r w:rsidRPr="00FD02DE">
        <w:rPr>
          <w:rFonts w:cstheme="minorHAnsi"/>
          <w:i/>
          <w:szCs w:val="24"/>
        </w:rPr>
        <w:t>signage;</w:t>
      </w:r>
      <w:proofErr w:type="gramEnd"/>
    </w:p>
    <w:p w14:paraId="2C8C924C" w14:textId="77777777" w:rsidR="00272EB4" w:rsidRPr="00FD02DE" w:rsidRDefault="00272EB4" w:rsidP="00272EB4">
      <w:pPr>
        <w:numPr>
          <w:ilvl w:val="0"/>
          <w:numId w:val="321"/>
        </w:numPr>
        <w:tabs>
          <w:tab w:val="clear" w:pos="720"/>
          <w:tab w:val="num" w:pos="426"/>
        </w:tabs>
        <w:spacing w:after="0" w:line="240" w:lineRule="auto"/>
        <w:ind w:left="426" w:hanging="426"/>
        <w:jc w:val="both"/>
        <w:rPr>
          <w:rFonts w:cstheme="minorHAnsi"/>
          <w:i/>
          <w:szCs w:val="24"/>
        </w:rPr>
      </w:pPr>
      <w:r w:rsidRPr="00FD02DE">
        <w:rPr>
          <w:rFonts w:cstheme="minorHAnsi"/>
          <w:i/>
          <w:szCs w:val="24"/>
        </w:rPr>
        <w:t>art objects which are mass produced or off the-shelf reproductions; and</w:t>
      </w:r>
    </w:p>
    <w:p w14:paraId="27D54221" w14:textId="77777777" w:rsidR="00272EB4" w:rsidRPr="00FD02DE" w:rsidRDefault="00272EB4" w:rsidP="00272EB4">
      <w:pPr>
        <w:numPr>
          <w:ilvl w:val="0"/>
          <w:numId w:val="321"/>
        </w:numPr>
        <w:tabs>
          <w:tab w:val="clear" w:pos="720"/>
          <w:tab w:val="num" w:pos="426"/>
        </w:tabs>
        <w:spacing w:after="0" w:line="240" w:lineRule="auto"/>
        <w:ind w:left="426" w:hanging="426"/>
        <w:jc w:val="both"/>
        <w:rPr>
          <w:rFonts w:cstheme="minorHAnsi"/>
          <w:i/>
          <w:szCs w:val="24"/>
        </w:rPr>
      </w:pPr>
      <w:r w:rsidRPr="00FD02DE">
        <w:rPr>
          <w:rFonts w:cstheme="minorHAnsi"/>
          <w:i/>
          <w:szCs w:val="24"/>
        </w:rPr>
        <w:t xml:space="preserve">landscaping or architectural features which are considered by the Town to </w:t>
      </w:r>
      <w:proofErr w:type="gramStart"/>
      <w:r w:rsidRPr="00FD02DE">
        <w:rPr>
          <w:rFonts w:cstheme="minorHAnsi"/>
          <w:i/>
          <w:szCs w:val="24"/>
        </w:rPr>
        <w:t>be  normally</w:t>
      </w:r>
      <w:proofErr w:type="gramEnd"/>
      <w:r w:rsidRPr="00FD02DE">
        <w:rPr>
          <w:rFonts w:cstheme="minorHAnsi"/>
          <w:i/>
          <w:szCs w:val="24"/>
        </w:rPr>
        <w:t xml:space="preserve"> integrated into the building or development.</w:t>
      </w:r>
    </w:p>
    <w:p w14:paraId="3B56C1A2" w14:textId="77777777" w:rsidR="00272EB4" w:rsidRPr="00FD02DE" w:rsidRDefault="00272EB4" w:rsidP="00272EB4">
      <w:pPr>
        <w:spacing w:before="200" w:after="0"/>
        <w:jc w:val="both"/>
        <w:rPr>
          <w:rFonts w:cstheme="minorHAnsi"/>
          <w:b/>
          <w:szCs w:val="24"/>
        </w:rPr>
      </w:pPr>
      <w:r>
        <w:rPr>
          <w:rFonts w:cstheme="minorHAnsi"/>
          <w:b/>
          <w:szCs w:val="24"/>
        </w:rPr>
        <w:t>Attachment</w:t>
      </w:r>
    </w:p>
    <w:p w14:paraId="0A4F2EEF" w14:textId="77777777" w:rsidR="00272EB4" w:rsidRPr="00FD02DE" w:rsidRDefault="00272EB4" w:rsidP="00272EB4">
      <w:pPr>
        <w:jc w:val="both"/>
        <w:rPr>
          <w:rFonts w:cstheme="minorHAnsi"/>
          <w:szCs w:val="24"/>
        </w:rPr>
      </w:pPr>
      <w:r w:rsidRPr="00FD02DE">
        <w:rPr>
          <w:rFonts w:cstheme="minorHAnsi"/>
          <w:szCs w:val="24"/>
        </w:rPr>
        <w:t>For an extended list of detailed definition</w:t>
      </w:r>
      <w:r>
        <w:rPr>
          <w:rFonts w:cstheme="minorHAnsi"/>
          <w:szCs w:val="24"/>
        </w:rPr>
        <w:t>s please refer to the Appendix.</w:t>
      </w:r>
    </w:p>
    <w:tbl>
      <w:tblPr>
        <w:tblStyle w:val="TableGrid"/>
        <w:tblW w:w="0" w:type="auto"/>
        <w:tblLook w:val="04A0" w:firstRow="1" w:lastRow="0" w:firstColumn="1" w:lastColumn="0" w:noHBand="0" w:noVBand="1"/>
      </w:tblPr>
      <w:tblGrid>
        <w:gridCol w:w="3075"/>
        <w:gridCol w:w="6107"/>
      </w:tblGrid>
      <w:tr w:rsidR="00272EB4" w:rsidRPr="00FD02DE" w14:paraId="0D15001E" w14:textId="77777777" w:rsidTr="00880AC1">
        <w:tc>
          <w:tcPr>
            <w:tcW w:w="3085" w:type="dxa"/>
          </w:tcPr>
          <w:p w14:paraId="1AC83A74" w14:textId="77777777" w:rsidR="00272EB4" w:rsidRPr="00FD02DE" w:rsidRDefault="00272EB4" w:rsidP="00880AC1">
            <w:pPr>
              <w:jc w:val="both"/>
              <w:rPr>
                <w:rFonts w:cstheme="minorHAnsi"/>
                <w:b/>
                <w:lang w:val="en-US"/>
              </w:rPr>
            </w:pPr>
            <w:r w:rsidRPr="00FD02DE">
              <w:rPr>
                <w:rFonts w:cstheme="minorHAnsi"/>
                <w:b/>
                <w:lang w:val="en-US"/>
              </w:rPr>
              <w:t>Responsible Directorate:</w:t>
            </w:r>
          </w:p>
        </w:tc>
        <w:tc>
          <w:tcPr>
            <w:tcW w:w="6157" w:type="dxa"/>
          </w:tcPr>
          <w:p w14:paraId="0E772D64" w14:textId="77777777" w:rsidR="00272EB4" w:rsidRPr="00E16F52" w:rsidRDefault="00272EB4" w:rsidP="00880AC1">
            <w:pPr>
              <w:jc w:val="both"/>
              <w:rPr>
                <w:rFonts w:cstheme="minorHAnsi"/>
                <w:highlight w:val="yellow"/>
                <w:lang w:val="en-US"/>
              </w:rPr>
            </w:pPr>
            <w:r>
              <w:rPr>
                <w:rFonts w:cstheme="minorHAnsi"/>
                <w:lang w:val="en-US"/>
              </w:rPr>
              <w:t>Office of CEO</w:t>
            </w:r>
          </w:p>
        </w:tc>
      </w:tr>
      <w:tr w:rsidR="00272EB4" w:rsidRPr="00FD02DE" w14:paraId="71AD002D" w14:textId="77777777" w:rsidTr="00880AC1">
        <w:tc>
          <w:tcPr>
            <w:tcW w:w="3085" w:type="dxa"/>
          </w:tcPr>
          <w:p w14:paraId="79B22782" w14:textId="77777777" w:rsidR="00272EB4" w:rsidRPr="00FD02DE" w:rsidRDefault="00272EB4" w:rsidP="00880AC1">
            <w:pPr>
              <w:jc w:val="both"/>
              <w:rPr>
                <w:rFonts w:cstheme="minorHAnsi"/>
                <w:b/>
                <w:lang w:val="en-US"/>
              </w:rPr>
            </w:pPr>
            <w:r w:rsidRPr="00FD02DE">
              <w:rPr>
                <w:rFonts w:cstheme="minorHAnsi"/>
                <w:b/>
                <w:lang w:val="en-US"/>
              </w:rPr>
              <w:t>Reviewing Officer:</w:t>
            </w:r>
          </w:p>
        </w:tc>
        <w:tc>
          <w:tcPr>
            <w:tcW w:w="6157" w:type="dxa"/>
          </w:tcPr>
          <w:p w14:paraId="42A2914D" w14:textId="77777777" w:rsidR="00272EB4" w:rsidRPr="00E16F52" w:rsidRDefault="00272EB4" w:rsidP="00880AC1">
            <w:pPr>
              <w:jc w:val="both"/>
              <w:rPr>
                <w:rFonts w:cstheme="minorHAnsi"/>
                <w:lang w:val="en-US"/>
              </w:rPr>
            </w:pPr>
            <w:r>
              <w:rPr>
                <w:rFonts w:cstheme="minorHAnsi"/>
                <w:lang w:val="en-US"/>
              </w:rPr>
              <w:t>Manager Community Engagement and Communications</w:t>
            </w:r>
          </w:p>
        </w:tc>
      </w:tr>
      <w:tr w:rsidR="00272EB4" w:rsidRPr="00FD02DE" w14:paraId="02F382A7" w14:textId="77777777" w:rsidTr="00880AC1">
        <w:tc>
          <w:tcPr>
            <w:tcW w:w="3085" w:type="dxa"/>
          </w:tcPr>
          <w:p w14:paraId="14ECA9F3" w14:textId="77777777" w:rsidR="00272EB4" w:rsidRPr="00FD02DE" w:rsidRDefault="00272EB4" w:rsidP="00880AC1">
            <w:pPr>
              <w:jc w:val="both"/>
              <w:rPr>
                <w:rFonts w:cstheme="minorHAnsi"/>
                <w:b/>
                <w:lang w:val="en-US"/>
              </w:rPr>
            </w:pPr>
            <w:r w:rsidRPr="00FD02DE">
              <w:rPr>
                <w:rFonts w:cstheme="minorHAnsi"/>
                <w:b/>
                <w:lang w:val="en-US"/>
              </w:rPr>
              <w:t>Decision making Authority:</w:t>
            </w:r>
          </w:p>
        </w:tc>
        <w:tc>
          <w:tcPr>
            <w:tcW w:w="6157" w:type="dxa"/>
          </w:tcPr>
          <w:p w14:paraId="56407C75" w14:textId="77777777" w:rsidR="00272EB4" w:rsidRPr="00FD02DE" w:rsidRDefault="00272EB4" w:rsidP="00880AC1">
            <w:pPr>
              <w:jc w:val="both"/>
              <w:rPr>
                <w:rFonts w:cstheme="minorHAnsi"/>
                <w:lang w:val="en-US"/>
              </w:rPr>
            </w:pPr>
            <w:r w:rsidRPr="00FD02DE">
              <w:rPr>
                <w:rFonts w:cstheme="minorHAnsi"/>
                <w:lang w:val="en-US"/>
              </w:rPr>
              <w:t>Council</w:t>
            </w:r>
          </w:p>
        </w:tc>
      </w:tr>
      <w:tr w:rsidR="00272EB4" w:rsidRPr="00FD02DE" w14:paraId="23742146" w14:textId="77777777" w:rsidTr="00880AC1">
        <w:tc>
          <w:tcPr>
            <w:tcW w:w="3085" w:type="dxa"/>
          </w:tcPr>
          <w:p w14:paraId="52E7F498" w14:textId="77777777" w:rsidR="00272EB4" w:rsidRPr="00FD02DE" w:rsidRDefault="00272EB4" w:rsidP="00880AC1">
            <w:pPr>
              <w:jc w:val="both"/>
              <w:rPr>
                <w:rFonts w:cstheme="minorHAnsi"/>
                <w:b/>
                <w:lang w:val="en-US"/>
              </w:rPr>
            </w:pPr>
            <w:r w:rsidRPr="00FD02DE">
              <w:rPr>
                <w:rFonts w:cstheme="minorHAnsi"/>
                <w:b/>
                <w:lang w:val="en-US"/>
              </w:rPr>
              <w:t>Policy Adopted:</w:t>
            </w:r>
          </w:p>
        </w:tc>
        <w:tc>
          <w:tcPr>
            <w:tcW w:w="6157" w:type="dxa"/>
          </w:tcPr>
          <w:p w14:paraId="279F4057" w14:textId="77777777" w:rsidR="00272EB4" w:rsidRPr="00FD02DE" w:rsidRDefault="00272EB4" w:rsidP="00880AC1">
            <w:pPr>
              <w:jc w:val="both"/>
              <w:rPr>
                <w:rFonts w:cstheme="minorHAnsi"/>
                <w:lang w:val="en-US"/>
              </w:rPr>
            </w:pPr>
            <w:r w:rsidRPr="00FD02DE">
              <w:rPr>
                <w:rFonts w:cstheme="minorHAnsi"/>
                <w:lang w:val="en-US"/>
              </w:rPr>
              <w:t>21/10/17</w:t>
            </w:r>
          </w:p>
        </w:tc>
      </w:tr>
      <w:tr w:rsidR="00272EB4" w:rsidRPr="00FD02DE" w14:paraId="7273E6F2" w14:textId="77777777" w:rsidTr="00880AC1">
        <w:tc>
          <w:tcPr>
            <w:tcW w:w="3085" w:type="dxa"/>
          </w:tcPr>
          <w:p w14:paraId="392D41D6" w14:textId="77777777" w:rsidR="00272EB4" w:rsidRPr="00FD02DE" w:rsidRDefault="00272EB4" w:rsidP="00880AC1">
            <w:pPr>
              <w:jc w:val="both"/>
              <w:rPr>
                <w:rFonts w:cstheme="minorHAnsi"/>
                <w:b/>
                <w:lang w:val="en-US"/>
              </w:rPr>
            </w:pPr>
            <w:r w:rsidRPr="00FD02DE">
              <w:rPr>
                <w:rFonts w:cstheme="minorHAnsi"/>
                <w:b/>
                <w:lang w:val="en-US"/>
              </w:rPr>
              <w:t>Policy Amended</w:t>
            </w:r>
            <w:r>
              <w:rPr>
                <w:rFonts w:cstheme="minorHAnsi"/>
                <w:b/>
                <w:lang w:val="en-US"/>
              </w:rPr>
              <w:t>/Reviewed</w:t>
            </w:r>
            <w:r w:rsidRPr="00FD02DE">
              <w:rPr>
                <w:rFonts w:cstheme="minorHAnsi"/>
                <w:b/>
                <w:lang w:val="en-US"/>
              </w:rPr>
              <w:t>:</w:t>
            </w:r>
          </w:p>
        </w:tc>
        <w:tc>
          <w:tcPr>
            <w:tcW w:w="6157" w:type="dxa"/>
          </w:tcPr>
          <w:p w14:paraId="18438C8E" w14:textId="77777777" w:rsidR="00272EB4" w:rsidRPr="00FD02DE" w:rsidRDefault="00272EB4" w:rsidP="00880AC1">
            <w:pPr>
              <w:jc w:val="both"/>
              <w:rPr>
                <w:rFonts w:cstheme="minorHAnsi"/>
                <w:lang w:val="en-US"/>
              </w:rPr>
            </w:pPr>
            <w:r w:rsidRPr="00FD02DE">
              <w:rPr>
                <w:rFonts w:cstheme="minorHAnsi"/>
                <w:lang w:val="en-US"/>
              </w:rPr>
              <w:t>17/4/18</w:t>
            </w:r>
            <w:r>
              <w:rPr>
                <w:rFonts w:cstheme="minorHAnsi"/>
                <w:lang w:val="en-US"/>
              </w:rPr>
              <w:t>, 17/9/19, 15/10/19, 19/8/25</w:t>
            </w:r>
          </w:p>
        </w:tc>
      </w:tr>
      <w:tr w:rsidR="00272EB4" w:rsidRPr="00FD02DE" w14:paraId="4FDD19A4" w14:textId="77777777" w:rsidTr="00880AC1">
        <w:tc>
          <w:tcPr>
            <w:tcW w:w="3085" w:type="dxa"/>
          </w:tcPr>
          <w:p w14:paraId="636FB711" w14:textId="77777777" w:rsidR="00272EB4" w:rsidRPr="00FD02DE" w:rsidRDefault="00272EB4" w:rsidP="00880AC1">
            <w:pPr>
              <w:jc w:val="both"/>
              <w:rPr>
                <w:rFonts w:cstheme="minorHAnsi"/>
                <w:b/>
                <w:lang w:val="en-US"/>
              </w:rPr>
            </w:pPr>
            <w:r>
              <w:rPr>
                <w:rFonts w:cstheme="minorHAnsi"/>
                <w:b/>
                <w:lang w:val="en-US"/>
              </w:rPr>
              <w:t>Former Policy No:</w:t>
            </w:r>
          </w:p>
        </w:tc>
        <w:tc>
          <w:tcPr>
            <w:tcW w:w="6157" w:type="dxa"/>
          </w:tcPr>
          <w:p w14:paraId="4FCEE968" w14:textId="77777777" w:rsidR="00272EB4" w:rsidRPr="00FD02DE" w:rsidRDefault="00272EB4" w:rsidP="00880AC1">
            <w:pPr>
              <w:jc w:val="both"/>
              <w:rPr>
                <w:rFonts w:cstheme="minorHAnsi"/>
                <w:lang w:val="en-US"/>
              </w:rPr>
            </w:pPr>
            <w:r>
              <w:rPr>
                <w:rFonts w:cstheme="minorHAnsi"/>
                <w:lang w:val="en-US"/>
              </w:rPr>
              <w:t>4.1.6</w:t>
            </w:r>
          </w:p>
        </w:tc>
      </w:tr>
    </w:tbl>
    <w:p w14:paraId="702D80C4" w14:textId="77777777" w:rsidR="00272EB4" w:rsidRPr="00FD02DE" w:rsidRDefault="00272EB4" w:rsidP="00272EB4">
      <w:pPr>
        <w:jc w:val="both"/>
        <w:rPr>
          <w:rFonts w:cstheme="minorHAnsi"/>
          <w:lang w:val="en-US"/>
        </w:rPr>
      </w:pPr>
    </w:p>
    <w:p w14:paraId="1CB1D764" w14:textId="77777777" w:rsidR="00272EB4" w:rsidRPr="00FD02DE" w:rsidRDefault="00272EB4" w:rsidP="00272EB4">
      <w:pPr>
        <w:jc w:val="both"/>
        <w:rPr>
          <w:rFonts w:cstheme="minorHAnsi"/>
          <w:lang w:val="en-US"/>
        </w:rPr>
      </w:pPr>
    </w:p>
    <w:p w14:paraId="6B494492" w14:textId="77777777" w:rsidR="00113E47" w:rsidRPr="00FD02DE" w:rsidRDefault="00113E47" w:rsidP="00113E47">
      <w:pPr>
        <w:jc w:val="both"/>
        <w:rPr>
          <w:rFonts w:cstheme="minorHAnsi"/>
          <w:lang w:val="en-US"/>
        </w:rPr>
      </w:pPr>
    </w:p>
    <w:p w14:paraId="74D881AF" w14:textId="77777777" w:rsidR="00113E47" w:rsidRDefault="00113E47" w:rsidP="00113E47">
      <w:pPr>
        <w:rPr>
          <w:rFonts w:ascii="Arial" w:hAnsi="Arial" w:cs="Arial"/>
          <w:lang w:val="en-US"/>
        </w:rPr>
      </w:pPr>
      <w:r>
        <w:rPr>
          <w:rFonts w:ascii="Arial" w:hAnsi="Arial" w:cs="Arial"/>
          <w:lang w:val="en-US"/>
        </w:rPr>
        <w:br w:type="page"/>
      </w:r>
    </w:p>
    <w:p w14:paraId="30F3FF1A" w14:textId="77777777" w:rsidR="00113E47" w:rsidRPr="006D089F" w:rsidRDefault="00113E47" w:rsidP="00113E47">
      <w:pPr>
        <w:spacing w:after="160" w:line="259" w:lineRule="auto"/>
        <w:jc w:val="right"/>
        <w:rPr>
          <w:rFonts w:ascii="Arial" w:hAnsi="Arial" w:cs="Arial"/>
          <w:b/>
          <w:bCs/>
          <w:sz w:val="24"/>
          <w:szCs w:val="24"/>
        </w:rPr>
      </w:pPr>
      <w:r w:rsidRPr="006D089F">
        <w:rPr>
          <w:rFonts w:ascii="Arial" w:eastAsia="Gulim" w:hAnsi="Arial" w:cs="Arial"/>
          <w:sz w:val="24"/>
          <w:szCs w:val="24"/>
        </w:rPr>
        <w:lastRenderedPageBreak/>
        <w:t>Appendix</w:t>
      </w:r>
    </w:p>
    <w:p w14:paraId="1B8E4AE9" w14:textId="77777777" w:rsidR="00113E47" w:rsidRPr="00BC54F9" w:rsidRDefault="00113E47" w:rsidP="00113E47">
      <w:pPr>
        <w:rPr>
          <w:rFonts w:ascii="Arial" w:hAnsi="Arial" w:cs="Arial"/>
          <w:b/>
          <w:sz w:val="24"/>
          <w:szCs w:val="24"/>
        </w:rPr>
      </w:pPr>
      <w:r w:rsidRPr="00BC54F9">
        <w:rPr>
          <w:rFonts w:ascii="Arial" w:hAnsi="Arial" w:cs="Arial"/>
          <w:b/>
          <w:sz w:val="24"/>
          <w:szCs w:val="24"/>
        </w:rPr>
        <w:t>A. Types of public art</w:t>
      </w:r>
    </w:p>
    <w:p w14:paraId="3CDC848B" w14:textId="77777777" w:rsidR="00113E47" w:rsidRPr="007D4E02" w:rsidRDefault="00113E47" w:rsidP="00113E47">
      <w:pPr>
        <w:pStyle w:val="NormalWeb"/>
        <w:jc w:val="both"/>
        <w:rPr>
          <w:rFonts w:ascii="Arial" w:hAnsi="Arial" w:cs="Arial"/>
          <w:bCs/>
          <w:sz w:val="18"/>
          <w:szCs w:val="18"/>
        </w:rPr>
      </w:pPr>
      <w:r w:rsidRPr="007D4E02">
        <w:rPr>
          <w:rFonts w:ascii="Arial" w:hAnsi="Arial" w:cs="Arial"/>
          <w:bCs/>
          <w:sz w:val="18"/>
          <w:szCs w:val="18"/>
        </w:rPr>
        <w:t>The descriptors that follow indicate the diversity of approaches to public art projects.</w:t>
      </w:r>
    </w:p>
    <w:p w14:paraId="72D58F4D"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Ephemeral Artworks</w:t>
      </w:r>
      <w:r w:rsidRPr="007D4E02">
        <w:rPr>
          <w:rFonts w:ascii="Arial" w:hAnsi="Arial" w:cs="Arial"/>
          <w:bCs/>
          <w:sz w:val="18"/>
          <w:szCs w:val="18"/>
        </w:rPr>
        <w:t>: those works that are short lived, based on a specific occasion or event and are transitory in nature. Ephemeral art describes projects that may be environmental, lighting or projection where there is no physical artwork created. The term also applies to physical works in non-permanent materials such as natural found materials that degrade as part of the art process.</w:t>
      </w:r>
    </w:p>
    <w:p w14:paraId="05E76FC4"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Functional Artworks:</w:t>
      </w:r>
      <w:r w:rsidRPr="007D4E02">
        <w:rPr>
          <w:rFonts w:ascii="Arial" w:hAnsi="Arial" w:cs="Arial"/>
          <w:bCs/>
          <w:sz w:val="18"/>
          <w:szCs w:val="18"/>
        </w:rPr>
        <w:t xml:space="preserve"> where the primary purpose of the element is utilitarian such as seating, lighting, bollards, rubbish bins, bike racks, shelters and paving. These can vary in form, scale or quantity, dependent on the location. Functional works can reinforce a design aesthetic or thematic concern and be playful, delightful or sophisticated. </w:t>
      </w:r>
    </w:p>
    <w:p w14:paraId="1AB7702C"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Ground Plane Artworks:</w:t>
      </w:r>
      <w:r w:rsidRPr="007D4E02">
        <w:rPr>
          <w:rFonts w:ascii="Arial" w:hAnsi="Arial" w:cs="Arial"/>
          <w:bCs/>
          <w:sz w:val="18"/>
          <w:szCs w:val="18"/>
        </w:rPr>
        <w:t xml:space="preserve"> form part of the ground in a public setting and may be experienced as carved/shaped paving elements, metal relief elements, toughened glass panels and ceramic or mosaic inserts, amongst others. Ground plane works are designed to be viewed closely by pedestrians in the space, potentially slowing their movement through the area and creating the opportunity for an intimate and personal engagement between the work and the viewer. Ground Plane works are useful as a way finding tool.</w:t>
      </w:r>
    </w:p>
    <w:p w14:paraId="0A5703C8"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Iconic Artworks:</w:t>
      </w:r>
      <w:r w:rsidRPr="007D4E02">
        <w:rPr>
          <w:rFonts w:ascii="Arial" w:hAnsi="Arial" w:cs="Arial"/>
          <w:bCs/>
          <w:sz w:val="18"/>
          <w:szCs w:val="18"/>
        </w:rPr>
        <w:t xml:space="preserve"> a significant, freestanding work, where the approach is largely independent of other considerations.</w:t>
      </w:r>
    </w:p>
    <w:p w14:paraId="4738C12F"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Integrated Artworks:</w:t>
      </w:r>
      <w:r w:rsidRPr="007D4E02">
        <w:rPr>
          <w:rFonts w:ascii="Arial" w:hAnsi="Arial" w:cs="Arial"/>
          <w:bCs/>
          <w:sz w:val="18"/>
          <w:szCs w:val="18"/>
        </w:rPr>
        <w:t xml:space="preserve"> works that are fully incorporated within the design of the built or natural environment.</w:t>
      </w:r>
    </w:p>
    <w:p w14:paraId="67580462"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Interactive Artworks:</w:t>
      </w:r>
      <w:r w:rsidRPr="007D4E02">
        <w:rPr>
          <w:rFonts w:ascii="Arial" w:hAnsi="Arial" w:cs="Arial"/>
          <w:bCs/>
          <w:sz w:val="18"/>
          <w:szCs w:val="18"/>
        </w:rPr>
        <w:t xml:space="preserve"> are works that are designed to encourage a tactile response.</w:t>
      </w:r>
    </w:p>
    <w:p w14:paraId="36AD1B6A"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Interpretive Artworks:</w:t>
      </w:r>
      <w:r w:rsidRPr="007D4E02">
        <w:rPr>
          <w:rFonts w:ascii="Arial" w:hAnsi="Arial" w:cs="Arial"/>
          <w:bCs/>
          <w:sz w:val="18"/>
          <w:szCs w:val="18"/>
        </w:rPr>
        <w:t xml:space="preserve"> where the primary purpose of the artwork is to tell a story, describe, educate or comment on an issue, event or situation.</w:t>
      </w:r>
    </w:p>
    <w:p w14:paraId="2A0175FE"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Intervention Artworks:</w:t>
      </w:r>
      <w:r w:rsidRPr="007D4E02">
        <w:rPr>
          <w:rFonts w:ascii="Arial" w:hAnsi="Arial" w:cs="Arial"/>
          <w:bCs/>
          <w:sz w:val="18"/>
          <w:szCs w:val="18"/>
        </w:rPr>
        <w:t xml:space="preserve"> provoke an idea or thought or an element of surprise often in an unexpected location.</w:t>
      </w:r>
    </w:p>
    <w:p w14:paraId="15186BDD"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Landmark Artworks:</w:t>
      </w:r>
      <w:r w:rsidRPr="007D4E02">
        <w:rPr>
          <w:rFonts w:ascii="Arial" w:hAnsi="Arial" w:cs="Arial"/>
          <w:bCs/>
          <w:sz w:val="18"/>
          <w:szCs w:val="18"/>
        </w:rPr>
        <w:t xml:space="preserve"> could be considered a signature or icon for a city. Large in scale or ambitious in concept, such works tend to be major stand-alone commissions and not part of a capital works project.</w:t>
      </w:r>
    </w:p>
    <w:p w14:paraId="64EEC7E9"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Medium Scale/Human Scale Artworks:</w:t>
      </w:r>
      <w:r w:rsidRPr="007D4E02">
        <w:rPr>
          <w:rFonts w:ascii="Arial" w:hAnsi="Arial" w:cs="Arial"/>
          <w:bCs/>
          <w:sz w:val="18"/>
          <w:szCs w:val="18"/>
        </w:rPr>
        <w:t xml:space="preserve"> are artworks approximately the size of an average person. These artworks are easily interacted with and are accessible to pedestrians. </w:t>
      </w:r>
    </w:p>
    <w:p w14:paraId="3778328D"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Memorial:</w:t>
      </w:r>
      <w:r w:rsidRPr="007D4E02">
        <w:rPr>
          <w:rFonts w:ascii="Arial" w:hAnsi="Arial" w:cs="Arial"/>
          <w:bCs/>
          <w:sz w:val="18"/>
          <w:szCs w:val="18"/>
        </w:rPr>
        <w:t xml:space="preserve"> a structure, sculpture or other object erected to commemorate a person or an event.</w:t>
      </w:r>
    </w:p>
    <w:p w14:paraId="19381D32"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Nodal Artwork</w:t>
      </w:r>
      <w:r w:rsidRPr="007D4E02">
        <w:rPr>
          <w:rFonts w:ascii="Arial" w:hAnsi="Arial" w:cs="Arial"/>
          <w:bCs/>
          <w:sz w:val="18"/>
          <w:szCs w:val="18"/>
        </w:rPr>
        <w:t>: an artwork that comprises of a series of component parts and a central focus element.</w:t>
      </w:r>
    </w:p>
    <w:p w14:paraId="18C4D611"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Site Specific Artworks:</w:t>
      </w:r>
      <w:r w:rsidRPr="007D4E02">
        <w:rPr>
          <w:rFonts w:ascii="Arial" w:hAnsi="Arial" w:cs="Arial"/>
          <w:bCs/>
          <w:sz w:val="18"/>
          <w:szCs w:val="18"/>
        </w:rPr>
        <w:t xml:space="preserve"> designed specifically for and responding to a particular site through scale, material, form or concept.</w:t>
      </w:r>
    </w:p>
    <w:p w14:paraId="525507EA"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Permanent Artworks:</w:t>
      </w:r>
      <w:r w:rsidRPr="007D4E02">
        <w:rPr>
          <w:rFonts w:ascii="Arial" w:hAnsi="Arial" w:cs="Arial"/>
          <w:bCs/>
          <w:sz w:val="18"/>
          <w:szCs w:val="18"/>
        </w:rPr>
        <w:t xml:space="preserve"> refers to public art with a lifespan of at least twenty years.</w:t>
      </w:r>
    </w:p>
    <w:p w14:paraId="231D8FA0"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Plaque</w:t>
      </w:r>
      <w:r w:rsidRPr="007D4E02">
        <w:rPr>
          <w:rFonts w:ascii="Arial" w:hAnsi="Arial" w:cs="Arial"/>
          <w:bCs/>
          <w:sz w:val="18"/>
          <w:szCs w:val="18"/>
        </w:rPr>
        <w:t xml:space="preserve">: a flat tablet or sign, affixed to an object, building or pavement, of metal, stone or other appropriate material, which may include text and/or images </w:t>
      </w:r>
      <w:proofErr w:type="gramStart"/>
      <w:r w:rsidRPr="007D4E02">
        <w:rPr>
          <w:rFonts w:ascii="Arial" w:hAnsi="Arial" w:cs="Arial"/>
          <w:bCs/>
          <w:sz w:val="18"/>
          <w:szCs w:val="18"/>
        </w:rPr>
        <w:t>in order to</w:t>
      </w:r>
      <w:proofErr w:type="gramEnd"/>
      <w:r w:rsidRPr="007D4E02">
        <w:rPr>
          <w:rFonts w:ascii="Arial" w:hAnsi="Arial" w:cs="Arial"/>
          <w:bCs/>
          <w:sz w:val="18"/>
          <w:szCs w:val="18"/>
        </w:rPr>
        <w:t xml:space="preserve"> provide interpretive information. Plaques may identify an artwork, commemorate a person, place, object or an event and/or provide historical text or information relevant to its location.</w:t>
      </w:r>
    </w:p>
    <w:p w14:paraId="401BAB04"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Street Art: </w:t>
      </w:r>
      <w:r w:rsidRPr="007D4E02">
        <w:rPr>
          <w:rFonts w:ascii="Arial" w:hAnsi="Arial" w:cs="Arial"/>
          <w:bCs/>
          <w:sz w:val="18"/>
          <w:szCs w:val="18"/>
        </w:rPr>
        <w:t xml:space="preserve"> may include spray or aerosol art, stencils, sticker art, paste-ups (wheat pasting and poster art), video projection, art interventions, guerrilla art, flash-mobbing and installations.</w:t>
      </w:r>
    </w:p>
    <w:p w14:paraId="007C93A5"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Temporary Artwork: </w:t>
      </w:r>
      <w:r w:rsidRPr="007D4E02">
        <w:rPr>
          <w:rFonts w:ascii="Arial" w:hAnsi="Arial" w:cs="Arial"/>
          <w:bCs/>
          <w:sz w:val="18"/>
          <w:szCs w:val="18"/>
        </w:rPr>
        <w:t xml:space="preserve"> refers to artwork that is made to last for a specific duration for example, one week or one year. This may include one off or scheduled events such as outdoor exhibitions or installations. The dynamic nature of temporary works </w:t>
      </w:r>
      <w:proofErr w:type="gramStart"/>
      <w:r w:rsidRPr="007D4E02">
        <w:rPr>
          <w:rFonts w:ascii="Arial" w:hAnsi="Arial" w:cs="Arial"/>
          <w:bCs/>
          <w:sz w:val="18"/>
          <w:szCs w:val="18"/>
        </w:rPr>
        <w:t>are</w:t>
      </w:r>
      <w:proofErr w:type="gramEnd"/>
      <w:r w:rsidRPr="007D4E02">
        <w:rPr>
          <w:rFonts w:ascii="Arial" w:hAnsi="Arial" w:cs="Arial"/>
          <w:bCs/>
          <w:sz w:val="18"/>
          <w:szCs w:val="18"/>
        </w:rPr>
        <w:t xml:space="preserve"> an important place activation tool.</w:t>
      </w:r>
    </w:p>
    <w:p w14:paraId="4638D697"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lastRenderedPageBreak/>
        <w:t>Textural Artworks: </w:t>
      </w:r>
      <w:r w:rsidRPr="007D4E02">
        <w:rPr>
          <w:rFonts w:ascii="Arial" w:hAnsi="Arial" w:cs="Arial"/>
          <w:bCs/>
          <w:sz w:val="18"/>
          <w:szCs w:val="18"/>
        </w:rPr>
        <w:t xml:space="preserve"> are small in scale, often items of architectural, streetscape and landscape detail, which contributes to the local character of a place.</w:t>
      </w:r>
    </w:p>
    <w:p w14:paraId="0D8D3ACC" w14:textId="77777777" w:rsidR="00113E47" w:rsidRPr="007D4E02" w:rsidRDefault="00113E47" w:rsidP="00113E47">
      <w:pPr>
        <w:pStyle w:val="NormalWeb"/>
        <w:spacing w:after="240"/>
        <w:jc w:val="both"/>
        <w:rPr>
          <w:rFonts w:ascii="Arial" w:hAnsi="Arial" w:cs="Arial"/>
          <w:bCs/>
          <w:sz w:val="18"/>
          <w:szCs w:val="18"/>
        </w:rPr>
      </w:pPr>
      <w:r w:rsidRPr="007D4E02">
        <w:rPr>
          <w:rFonts w:ascii="Arial" w:hAnsi="Arial" w:cs="Arial"/>
          <w:b/>
          <w:bCs/>
          <w:sz w:val="18"/>
          <w:szCs w:val="18"/>
        </w:rPr>
        <w:t>Transition Artworks: </w:t>
      </w:r>
      <w:r w:rsidRPr="007D4E02">
        <w:rPr>
          <w:rFonts w:ascii="Arial" w:hAnsi="Arial" w:cs="Arial"/>
          <w:bCs/>
          <w:sz w:val="18"/>
          <w:szCs w:val="18"/>
        </w:rPr>
        <w:t xml:space="preserve"> provide an element that links one space to another such as an internal to an external public space or a hardscaped space to a landscaped space.</w:t>
      </w:r>
    </w:p>
    <w:p w14:paraId="7E155E2D" w14:textId="77777777" w:rsidR="00113E47" w:rsidRPr="00BC54F9" w:rsidRDefault="00113E47" w:rsidP="00113E47">
      <w:pPr>
        <w:rPr>
          <w:rFonts w:ascii="Arial" w:hAnsi="Arial" w:cs="Arial"/>
          <w:b/>
          <w:sz w:val="24"/>
          <w:szCs w:val="24"/>
        </w:rPr>
      </w:pPr>
      <w:r w:rsidRPr="00BC54F9">
        <w:rPr>
          <w:rFonts w:ascii="Arial" w:hAnsi="Arial" w:cs="Arial"/>
          <w:b/>
          <w:sz w:val="24"/>
          <w:szCs w:val="24"/>
        </w:rPr>
        <w:t>B. Definitions</w:t>
      </w:r>
    </w:p>
    <w:p w14:paraId="14CADBC9" w14:textId="77777777" w:rsidR="00113E47" w:rsidRPr="007D4E02" w:rsidRDefault="00113E47" w:rsidP="00113E47">
      <w:pPr>
        <w:pStyle w:val="Text"/>
        <w:jc w:val="both"/>
        <w:rPr>
          <w:b/>
          <w:sz w:val="18"/>
        </w:rPr>
      </w:pPr>
      <w:r w:rsidRPr="007D4E02">
        <w:rPr>
          <w:b/>
          <w:sz w:val="18"/>
        </w:rPr>
        <w:t>Artist</w:t>
      </w:r>
    </w:p>
    <w:p w14:paraId="455E762D" w14:textId="77777777" w:rsidR="00113E47" w:rsidRPr="007D4E02" w:rsidRDefault="00113E47" w:rsidP="00113E47">
      <w:pPr>
        <w:pStyle w:val="Text"/>
        <w:jc w:val="both"/>
        <w:rPr>
          <w:sz w:val="18"/>
        </w:rPr>
      </w:pPr>
      <w:r w:rsidRPr="007D4E02">
        <w:rPr>
          <w:sz w:val="18"/>
        </w:rPr>
        <w:t>A professional visual artist can be defined as a person who fits into at least two of the following categories:</w:t>
      </w:r>
    </w:p>
    <w:p w14:paraId="53E8731D" w14:textId="77777777" w:rsidR="00113E47" w:rsidRPr="007D4E02" w:rsidRDefault="00113E47" w:rsidP="00113E47">
      <w:pPr>
        <w:pStyle w:val="Default"/>
        <w:jc w:val="both"/>
        <w:rPr>
          <w:sz w:val="18"/>
          <w:szCs w:val="18"/>
          <w:lang w:eastAsia="en-GB"/>
        </w:rPr>
      </w:pPr>
    </w:p>
    <w:p w14:paraId="1795066A" w14:textId="77777777" w:rsidR="00113E47" w:rsidRPr="007D4E02" w:rsidRDefault="00113E47" w:rsidP="002A3889">
      <w:pPr>
        <w:pStyle w:val="Text"/>
        <w:numPr>
          <w:ilvl w:val="0"/>
          <w:numId w:val="313"/>
        </w:numPr>
        <w:spacing w:after="120"/>
        <w:ind w:left="714" w:hanging="357"/>
        <w:jc w:val="both"/>
        <w:outlineLvl w:val="0"/>
        <w:rPr>
          <w:sz w:val="18"/>
        </w:rPr>
      </w:pPr>
      <w:r w:rsidRPr="007D4E02">
        <w:rPr>
          <w:sz w:val="18"/>
        </w:rPr>
        <w:t xml:space="preserve">a person who has a tertiary qualification in the visual arts, or when the brief calls for it, other art forms such as </w:t>
      </w:r>
      <w:proofErr w:type="gramStart"/>
      <w:r w:rsidRPr="007D4E02">
        <w:rPr>
          <w:sz w:val="18"/>
        </w:rPr>
        <w:t>multimedia;</w:t>
      </w:r>
      <w:proofErr w:type="gramEnd"/>
    </w:p>
    <w:p w14:paraId="4B23D30B" w14:textId="77777777" w:rsidR="00113E47" w:rsidRPr="007D4E02" w:rsidRDefault="00113E47" w:rsidP="002A3889">
      <w:pPr>
        <w:pStyle w:val="Text"/>
        <w:numPr>
          <w:ilvl w:val="0"/>
          <w:numId w:val="313"/>
        </w:numPr>
        <w:spacing w:after="120"/>
        <w:ind w:left="714" w:hanging="357"/>
        <w:jc w:val="both"/>
        <w:outlineLvl w:val="0"/>
        <w:rPr>
          <w:sz w:val="18"/>
        </w:rPr>
      </w:pPr>
      <w:r w:rsidRPr="007D4E02">
        <w:rPr>
          <w:sz w:val="18"/>
        </w:rPr>
        <w:t xml:space="preserve">a person who has a track record of exhibiting their artwork at reputable art galleries that sells the work of professional </w:t>
      </w:r>
      <w:proofErr w:type="gramStart"/>
      <w:r w:rsidRPr="007D4E02">
        <w:rPr>
          <w:sz w:val="18"/>
        </w:rPr>
        <w:t>artists;</w:t>
      </w:r>
      <w:proofErr w:type="gramEnd"/>
    </w:p>
    <w:p w14:paraId="3864323A" w14:textId="77777777" w:rsidR="00113E47" w:rsidRPr="007D4E02" w:rsidRDefault="00113E47" w:rsidP="002A3889">
      <w:pPr>
        <w:pStyle w:val="Text"/>
        <w:numPr>
          <w:ilvl w:val="0"/>
          <w:numId w:val="313"/>
        </w:numPr>
        <w:spacing w:after="120"/>
        <w:ind w:left="714" w:hanging="357"/>
        <w:jc w:val="both"/>
        <w:outlineLvl w:val="0"/>
        <w:rPr>
          <w:sz w:val="18"/>
        </w:rPr>
      </w:pPr>
      <w:r w:rsidRPr="007D4E02">
        <w:rPr>
          <w:sz w:val="18"/>
        </w:rPr>
        <w:t>a person whose work is represented in major public or private collections; and</w:t>
      </w:r>
    </w:p>
    <w:p w14:paraId="76E79DC1" w14:textId="77777777" w:rsidR="00113E47" w:rsidRPr="007D4E02" w:rsidRDefault="00113E47" w:rsidP="00113E47">
      <w:pPr>
        <w:pStyle w:val="Text"/>
        <w:spacing w:after="120"/>
        <w:jc w:val="both"/>
        <w:rPr>
          <w:sz w:val="18"/>
        </w:rPr>
      </w:pPr>
      <w:r>
        <w:rPr>
          <w:sz w:val="18"/>
        </w:rPr>
        <w:t>A</w:t>
      </w:r>
      <w:r w:rsidRPr="007D4E02">
        <w:rPr>
          <w:sz w:val="18"/>
        </w:rPr>
        <w:t xml:space="preserve"> person who earns more than 50% of their income from arts related activities, such as teaching, selling artwork or undertaking public art commissions.</w:t>
      </w:r>
      <w:r>
        <w:rPr>
          <w:sz w:val="18"/>
        </w:rPr>
        <w:t xml:space="preserve"> </w:t>
      </w:r>
      <w:r w:rsidRPr="007D4E02">
        <w:rPr>
          <w:sz w:val="18"/>
        </w:rPr>
        <w:t xml:space="preserve">In some cases, this definition may be relaxed where it may be specified for a particular project. </w:t>
      </w:r>
    </w:p>
    <w:p w14:paraId="2E9BE848" w14:textId="77777777" w:rsidR="00113E47" w:rsidRPr="007D4E02" w:rsidRDefault="00113E47" w:rsidP="00113E47">
      <w:pPr>
        <w:pStyle w:val="Text"/>
        <w:jc w:val="both"/>
        <w:rPr>
          <w:sz w:val="18"/>
        </w:rPr>
      </w:pPr>
      <w:r w:rsidRPr="007D4E02">
        <w:rPr>
          <w:sz w:val="18"/>
        </w:rPr>
        <w:t>For example, a project involving emerging artists, Indigenous artists, students or street/graffiti artists.</w:t>
      </w:r>
    </w:p>
    <w:p w14:paraId="2E2ACCAD" w14:textId="77777777" w:rsidR="00113E47" w:rsidRPr="007D4E02" w:rsidRDefault="00113E47" w:rsidP="00113E47">
      <w:pPr>
        <w:pStyle w:val="Text"/>
        <w:jc w:val="both"/>
        <w:rPr>
          <w:b/>
          <w:sz w:val="18"/>
        </w:rPr>
      </w:pPr>
    </w:p>
    <w:p w14:paraId="3AFADD5E" w14:textId="77777777" w:rsidR="00113E47" w:rsidRPr="007D4E02" w:rsidRDefault="00113E47" w:rsidP="00113E47">
      <w:pPr>
        <w:pStyle w:val="Text"/>
        <w:jc w:val="both"/>
        <w:rPr>
          <w:b/>
          <w:sz w:val="18"/>
        </w:rPr>
      </w:pPr>
      <w:r w:rsidRPr="007D4E02">
        <w:rPr>
          <w:b/>
          <w:sz w:val="18"/>
        </w:rPr>
        <w:t>Artist Fees</w:t>
      </w:r>
    </w:p>
    <w:p w14:paraId="450B34CB" w14:textId="77777777" w:rsidR="00113E47" w:rsidRPr="007D4E02" w:rsidRDefault="00113E47" w:rsidP="00113E47">
      <w:pPr>
        <w:pStyle w:val="Text"/>
        <w:jc w:val="both"/>
        <w:rPr>
          <w:sz w:val="18"/>
        </w:rPr>
      </w:pPr>
      <w:r w:rsidRPr="007D4E02">
        <w:rPr>
          <w:sz w:val="18"/>
        </w:rPr>
        <w:t>That portion of the art project budget reserved for payment to the artist for his/her creative services for design, fabrication, and/or project management services.</w:t>
      </w:r>
    </w:p>
    <w:p w14:paraId="59F51AD3" w14:textId="77777777" w:rsidR="00113E47" w:rsidRPr="007D4E02" w:rsidRDefault="00113E47" w:rsidP="00113E47">
      <w:pPr>
        <w:pStyle w:val="Text"/>
        <w:jc w:val="both"/>
        <w:rPr>
          <w:b/>
          <w:sz w:val="18"/>
        </w:rPr>
      </w:pPr>
    </w:p>
    <w:p w14:paraId="2B12EAA5" w14:textId="77777777" w:rsidR="00113E47" w:rsidRPr="007D4E02" w:rsidRDefault="00113E47" w:rsidP="00113E47">
      <w:pPr>
        <w:pStyle w:val="Text"/>
        <w:jc w:val="both"/>
        <w:rPr>
          <w:b/>
          <w:sz w:val="18"/>
        </w:rPr>
      </w:pPr>
      <w:r w:rsidRPr="007D4E02">
        <w:rPr>
          <w:b/>
          <w:sz w:val="18"/>
        </w:rPr>
        <w:t>Artwork or Work of Art</w:t>
      </w:r>
    </w:p>
    <w:p w14:paraId="0FC07531" w14:textId="77777777" w:rsidR="00113E47" w:rsidRPr="007D4E02" w:rsidRDefault="00113E47" w:rsidP="00113E47">
      <w:pPr>
        <w:pStyle w:val="Text"/>
        <w:jc w:val="both"/>
        <w:rPr>
          <w:sz w:val="18"/>
        </w:rPr>
      </w:pPr>
      <w:r w:rsidRPr="007D4E02">
        <w:rPr>
          <w:sz w:val="18"/>
        </w:rPr>
        <w:t>Any work or object designed by an Artist.</w:t>
      </w:r>
    </w:p>
    <w:p w14:paraId="655C8395" w14:textId="77777777" w:rsidR="00113E47" w:rsidRPr="007D4E02" w:rsidRDefault="00113E47" w:rsidP="00113E47">
      <w:pPr>
        <w:pStyle w:val="Text"/>
        <w:jc w:val="both"/>
        <w:rPr>
          <w:b/>
          <w:sz w:val="18"/>
        </w:rPr>
      </w:pPr>
    </w:p>
    <w:p w14:paraId="2930E078" w14:textId="77777777" w:rsidR="00113E47" w:rsidRPr="007D4E02" w:rsidRDefault="00113E47" w:rsidP="00113E47">
      <w:pPr>
        <w:pStyle w:val="Text"/>
        <w:jc w:val="both"/>
        <w:rPr>
          <w:b/>
          <w:sz w:val="18"/>
        </w:rPr>
      </w:pPr>
      <w:r w:rsidRPr="007D4E02">
        <w:rPr>
          <w:b/>
          <w:sz w:val="18"/>
        </w:rPr>
        <w:t>Collection Management</w:t>
      </w:r>
    </w:p>
    <w:p w14:paraId="5320204D" w14:textId="77777777" w:rsidR="00113E47" w:rsidRPr="007D4E02" w:rsidRDefault="00113E47" w:rsidP="00113E47">
      <w:pPr>
        <w:pStyle w:val="Text"/>
        <w:jc w:val="both"/>
        <w:rPr>
          <w:sz w:val="18"/>
        </w:rPr>
      </w:pPr>
      <w:r w:rsidRPr="007D4E02">
        <w:rPr>
          <w:sz w:val="18"/>
        </w:rPr>
        <w:t>The administration and management of an Art Collection. This encompasses the management of collection records both electronic and hard copy, the database, catalogues, inventories and condition assessments, maintenance and conservation programs, accession of new acquisitions and overseeing the deaccession, disposal or relocation of public artwork.</w:t>
      </w:r>
    </w:p>
    <w:p w14:paraId="12841978" w14:textId="77777777" w:rsidR="00113E47" w:rsidRPr="007D4E02" w:rsidRDefault="00113E47" w:rsidP="00113E47">
      <w:pPr>
        <w:pStyle w:val="Text"/>
        <w:jc w:val="both"/>
        <w:rPr>
          <w:b/>
          <w:sz w:val="18"/>
        </w:rPr>
      </w:pPr>
    </w:p>
    <w:p w14:paraId="70D1CEDB" w14:textId="77777777" w:rsidR="00113E47" w:rsidRPr="007D4E02" w:rsidRDefault="00113E47" w:rsidP="00113E47">
      <w:pPr>
        <w:pStyle w:val="Text"/>
        <w:jc w:val="both"/>
        <w:rPr>
          <w:b/>
          <w:sz w:val="18"/>
        </w:rPr>
      </w:pPr>
      <w:r w:rsidRPr="007D4E02">
        <w:rPr>
          <w:b/>
          <w:sz w:val="18"/>
        </w:rPr>
        <w:t>Community Art</w:t>
      </w:r>
    </w:p>
    <w:p w14:paraId="3BF9A597" w14:textId="77777777" w:rsidR="00113E47" w:rsidRPr="007D4E02" w:rsidRDefault="00113E47" w:rsidP="00113E47">
      <w:pPr>
        <w:pStyle w:val="Text"/>
        <w:jc w:val="both"/>
        <w:rPr>
          <w:sz w:val="18"/>
        </w:rPr>
      </w:pPr>
      <w:r w:rsidRPr="007D4E02">
        <w:rPr>
          <w:sz w:val="18"/>
        </w:rPr>
        <w:t>A process where the community initiates or participates in the art project.</w:t>
      </w:r>
    </w:p>
    <w:p w14:paraId="73525969" w14:textId="77777777" w:rsidR="00113E47" w:rsidRPr="007D4E02" w:rsidRDefault="00113E47" w:rsidP="00113E47">
      <w:pPr>
        <w:pStyle w:val="Text"/>
        <w:jc w:val="both"/>
        <w:rPr>
          <w:b/>
          <w:sz w:val="18"/>
        </w:rPr>
      </w:pPr>
    </w:p>
    <w:p w14:paraId="393CFCE4" w14:textId="77777777" w:rsidR="00113E47" w:rsidRPr="007D4E02" w:rsidRDefault="00113E47" w:rsidP="00113E47">
      <w:pPr>
        <w:pStyle w:val="Text"/>
        <w:jc w:val="both"/>
        <w:rPr>
          <w:b/>
          <w:sz w:val="18"/>
        </w:rPr>
      </w:pPr>
      <w:r w:rsidRPr="007D4E02">
        <w:rPr>
          <w:b/>
          <w:sz w:val="18"/>
        </w:rPr>
        <w:t>Contemporary Art</w:t>
      </w:r>
    </w:p>
    <w:p w14:paraId="73BE9875" w14:textId="77777777" w:rsidR="00113E47" w:rsidRPr="007D4E02" w:rsidRDefault="00113E47" w:rsidP="00113E47">
      <w:pPr>
        <w:pStyle w:val="Text"/>
        <w:jc w:val="both"/>
        <w:rPr>
          <w:sz w:val="18"/>
        </w:rPr>
      </w:pPr>
      <w:r w:rsidRPr="007D4E02">
        <w:rPr>
          <w:sz w:val="18"/>
        </w:rPr>
        <w:t>Artwork created in the present day that engages with issues relevant to its time or uses materials and processes that are at the forefront of arts practice.</w:t>
      </w:r>
    </w:p>
    <w:p w14:paraId="71EBB457" w14:textId="77777777" w:rsidR="00113E47" w:rsidRPr="007D4E02" w:rsidRDefault="00113E47" w:rsidP="00113E47">
      <w:pPr>
        <w:pStyle w:val="Text"/>
        <w:jc w:val="both"/>
        <w:rPr>
          <w:b/>
          <w:sz w:val="18"/>
        </w:rPr>
      </w:pPr>
    </w:p>
    <w:p w14:paraId="7A7266E9" w14:textId="77777777" w:rsidR="00113E47" w:rsidRPr="007D4E02" w:rsidRDefault="00113E47" w:rsidP="00113E47">
      <w:pPr>
        <w:pStyle w:val="Text"/>
        <w:jc w:val="both"/>
        <w:rPr>
          <w:b/>
          <w:sz w:val="18"/>
        </w:rPr>
      </w:pPr>
      <w:r w:rsidRPr="007D4E02">
        <w:rPr>
          <w:b/>
          <w:sz w:val="18"/>
        </w:rPr>
        <w:t>Hand-over</w:t>
      </w:r>
    </w:p>
    <w:p w14:paraId="11E2FBD9" w14:textId="77777777" w:rsidR="00113E47" w:rsidRPr="007D4E02" w:rsidRDefault="00113E47" w:rsidP="00113E47">
      <w:pPr>
        <w:pStyle w:val="Text"/>
        <w:jc w:val="both"/>
        <w:rPr>
          <w:sz w:val="18"/>
        </w:rPr>
      </w:pPr>
      <w:r w:rsidRPr="007D4E02">
        <w:rPr>
          <w:sz w:val="18"/>
        </w:rPr>
        <w:t>The transfer of ownership of an artwork from one party to another. This includes the transfer of legal title and the supplying of the Maintenance Manual and other associated contractual documents.</w:t>
      </w:r>
    </w:p>
    <w:p w14:paraId="4BE46968" w14:textId="77777777" w:rsidR="00113E47" w:rsidRPr="007D4E02" w:rsidRDefault="00113E47" w:rsidP="00113E47">
      <w:pPr>
        <w:pStyle w:val="Text"/>
        <w:jc w:val="both"/>
        <w:rPr>
          <w:b/>
          <w:sz w:val="18"/>
        </w:rPr>
      </w:pPr>
    </w:p>
    <w:p w14:paraId="14AC8FC1" w14:textId="77777777" w:rsidR="00113E47" w:rsidRPr="007D4E02" w:rsidRDefault="00113E47" w:rsidP="00113E47">
      <w:pPr>
        <w:pStyle w:val="Text"/>
        <w:jc w:val="both"/>
        <w:rPr>
          <w:b/>
          <w:sz w:val="18"/>
        </w:rPr>
      </w:pPr>
      <w:r w:rsidRPr="007D4E02">
        <w:rPr>
          <w:b/>
          <w:sz w:val="18"/>
        </w:rPr>
        <w:t>Maintenance Manual</w:t>
      </w:r>
    </w:p>
    <w:p w14:paraId="3B1391D7" w14:textId="77777777" w:rsidR="00113E47" w:rsidRPr="007D4E02" w:rsidRDefault="00113E47" w:rsidP="00113E47">
      <w:pPr>
        <w:pStyle w:val="Text"/>
        <w:jc w:val="both"/>
        <w:rPr>
          <w:sz w:val="18"/>
        </w:rPr>
      </w:pPr>
      <w:r w:rsidRPr="007D4E02">
        <w:rPr>
          <w:sz w:val="18"/>
        </w:rPr>
        <w:t>Those forms completed by the artist detailing the maintenance and technical information for the completed artwork.</w:t>
      </w:r>
    </w:p>
    <w:p w14:paraId="78CEBDD1" w14:textId="77777777" w:rsidR="00113E47" w:rsidRPr="007D4E02" w:rsidRDefault="00113E47" w:rsidP="00113E47">
      <w:pPr>
        <w:pStyle w:val="Text"/>
        <w:jc w:val="both"/>
        <w:rPr>
          <w:b/>
          <w:sz w:val="18"/>
        </w:rPr>
      </w:pPr>
    </w:p>
    <w:p w14:paraId="2E54FD87" w14:textId="77777777" w:rsidR="00113E47" w:rsidRPr="007D4E02" w:rsidRDefault="00113E47" w:rsidP="00113E47">
      <w:pPr>
        <w:pStyle w:val="Text"/>
        <w:rPr>
          <w:b/>
          <w:sz w:val="18"/>
        </w:rPr>
      </w:pPr>
      <w:r w:rsidRPr="007D4E02">
        <w:rPr>
          <w:b/>
          <w:sz w:val="18"/>
        </w:rPr>
        <w:t>Public Art</w:t>
      </w:r>
    </w:p>
    <w:p w14:paraId="0D8EEE9A" w14:textId="77777777" w:rsidR="00113E47" w:rsidRPr="007D4E02" w:rsidRDefault="00113E47" w:rsidP="00113E47">
      <w:pPr>
        <w:pStyle w:val="Text"/>
        <w:rPr>
          <w:sz w:val="18"/>
        </w:rPr>
      </w:pPr>
      <w:r w:rsidRPr="007D4E02">
        <w:rPr>
          <w:sz w:val="18"/>
        </w:rPr>
        <w:t>Public art is a work of art that is created by an artist, sited in a visually accessible public location. Public art can include (but is not limited to):</w:t>
      </w:r>
    </w:p>
    <w:p w14:paraId="3F643328" w14:textId="77777777" w:rsidR="00113E47" w:rsidRPr="007D4E02" w:rsidRDefault="00113E47" w:rsidP="00113E47">
      <w:pPr>
        <w:pStyle w:val="Default"/>
        <w:rPr>
          <w:sz w:val="18"/>
          <w:szCs w:val="18"/>
          <w:lang w:eastAsia="en-GB"/>
        </w:rPr>
      </w:pPr>
    </w:p>
    <w:p w14:paraId="020B5BA1" w14:textId="77777777" w:rsidR="00113E47" w:rsidRPr="007D4E02" w:rsidRDefault="00113E47" w:rsidP="002A3889">
      <w:pPr>
        <w:pStyle w:val="Text"/>
        <w:numPr>
          <w:ilvl w:val="0"/>
          <w:numId w:val="312"/>
        </w:numPr>
        <w:spacing w:after="120"/>
        <w:ind w:left="714" w:hanging="357"/>
        <w:jc w:val="both"/>
        <w:outlineLvl w:val="0"/>
        <w:rPr>
          <w:sz w:val="18"/>
        </w:rPr>
      </w:pPr>
      <w:r w:rsidRPr="007D4E02">
        <w:rPr>
          <w:sz w:val="18"/>
        </w:rPr>
        <w:t xml:space="preserve">the artistic treatment of functional equipment such as bike racks, benches, fountains, playground equipment, light posts or shade structures which are </w:t>
      </w:r>
      <w:proofErr w:type="gramStart"/>
      <w:r w:rsidRPr="007D4E02">
        <w:rPr>
          <w:sz w:val="18"/>
        </w:rPr>
        <w:t>unique;</w:t>
      </w:r>
      <w:proofErr w:type="gramEnd"/>
    </w:p>
    <w:p w14:paraId="08C6D7A7" w14:textId="77777777" w:rsidR="00113E47" w:rsidRPr="007D4E02" w:rsidRDefault="00113E47" w:rsidP="002A3889">
      <w:pPr>
        <w:pStyle w:val="Text"/>
        <w:numPr>
          <w:ilvl w:val="0"/>
          <w:numId w:val="312"/>
        </w:numPr>
        <w:spacing w:after="120"/>
        <w:ind w:left="714" w:hanging="357"/>
        <w:jc w:val="both"/>
        <w:outlineLvl w:val="0"/>
        <w:rPr>
          <w:sz w:val="18"/>
        </w:rPr>
      </w:pPr>
      <w:r w:rsidRPr="007D4E02">
        <w:rPr>
          <w:sz w:val="18"/>
        </w:rPr>
        <w:t xml:space="preserve">landscape art enhancements such as walkways, bridges or art features within a </w:t>
      </w:r>
      <w:proofErr w:type="gramStart"/>
      <w:r w:rsidRPr="007D4E02">
        <w:rPr>
          <w:sz w:val="18"/>
        </w:rPr>
        <w:t>garden;</w:t>
      </w:r>
      <w:proofErr w:type="gramEnd"/>
    </w:p>
    <w:p w14:paraId="4F4BE2EF" w14:textId="77777777" w:rsidR="00113E47" w:rsidRPr="007D4E02" w:rsidRDefault="00113E47" w:rsidP="002A3889">
      <w:pPr>
        <w:pStyle w:val="Text"/>
        <w:numPr>
          <w:ilvl w:val="0"/>
          <w:numId w:val="312"/>
        </w:numPr>
        <w:spacing w:after="120"/>
        <w:ind w:left="714" w:hanging="357"/>
        <w:jc w:val="both"/>
        <w:outlineLvl w:val="0"/>
        <w:rPr>
          <w:sz w:val="18"/>
        </w:rPr>
      </w:pPr>
      <w:r w:rsidRPr="007D4E02">
        <w:rPr>
          <w:sz w:val="18"/>
        </w:rPr>
        <w:t>murals, tiles and mosaics covering walls, floors and walkways; and</w:t>
      </w:r>
    </w:p>
    <w:p w14:paraId="2D4DBD50" w14:textId="77777777" w:rsidR="00113E47" w:rsidRPr="00684797" w:rsidRDefault="00113E47" w:rsidP="002A3889">
      <w:pPr>
        <w:numPr>
          <w:ilvl w:val="0"/>
          <w:numId w:val="312"/>
        </w:numPr>
        <w:spacing w:after="0" w:line="240" w:lineRule="auto"/>
        <w:jc w:val="both"/>
        <w:rPr>
          <w:rFonts w:ascii="Arial" w:hAnsi="Arial" w:cs="Arial"/>
          <w:sz w:val="18"/>
          <w:szCs w:val="24"/>
        </w:rPr>
      </w:pPr>
      <w:r w:rsidRPr="00684797">
        <w:rPr>
          <w:rFonts w:ascii="Arial" w:hAnsi="Arial" w:cs="Arial"/>
          <w:sz w:val="18"/>
          <w:szCs w:val="24"/>
        </w:rPr>
        <w:t>sculptures, free-standing or incorporated as an integral element of a building’s design, paintings, pictures and photographic works.</w:t>
      </w:r>
    </w:p>
    <w:p w14:paraId="1A647018" w14:textId="77777777" w:rsidR="00113E47" w:rsidRPr="007D4E02" w:rsidRDefault="00113E47" w:rsidP="00113E47">
      <w:pPr>
        <w:pStyle w:val="Text"/>
        <w:rPr>
          <w:b/>
          <w:sz w:val="18"/>
        </w:rPr>
      </w:pPr>
    </w:p>
    <w:p w14:paraId="1A2D0DE1" w14:textId="77777777" w:rsidR="00113E47" w:rsidRPr="007D4E02" w:rsidRDefault="00113E47" w:rsidP="00113E47">
      <w:pPr>
        <w:pStyle w:val="Text"/>
        <w:rPr>
          <w:b/>
          <w:sz w:val="18"/>
        </w:rPr>
      </w:pPr>
      <w:r w:rsidRPr="007D4E02">
        <w:rPr>
          <w:b/>
          <w:sz w:val="18"/>
        </w:rPr>
        <w:t>Public art does not include:</w:t>
      </w:r>
    </w:p>
    <w:p w14:paraId="4D7A3D51" w14:textId="77777777" w:rsidR="00113E47" w:rsidRPr="007D4E02" w:rsidRDefault="00113E47" w:rsidP="002A3889">
      <w:pPr>
        <w:pStyle w:val="Text"/>
        <w:numPr>
          <w:ilvl w:val="0"/>
          <w:numId w:val="312"/>
        </w:numPr>
        <w:spacing w:after="120"/>
        <w:ind w:left="714" w:hanging="357"/>
        <w:jc w:val="both"/>
        <w:outlineLvl w:val="0"/>
        <w:rPr>
          <w:sz w:val="18"/>
        </w:rPr>
      </w:pPr>
      <w:r w:rsidRPr="007D4E02">
        <w:rPr>
          <w:sz w:val="18"/>
        </w:rPr>
        <w:t xml:space="preserve">business </w:t>
      </w:r>
      <w:proofErr w:type="gramStart"/>
      <w:r w:rsidRPr="007D4E02">
        <w:rPr>
          <w:sz w:val="18"/>
        </w:rPr>
        <w:t>logos;</w:t>
      </w:r>
      <w:proofErr w:type="gramEnd"/>
    </w:p>
    <w:p w14:paraId="658F1854" w14:textId="77777777" w:rsidR="00113E47" w:rsidRPr="007D4E02" w:rsidRDefault="00113E47" w:rsidP="002A3889">
      <w:pPr>
        <w:pStyle w:val="Text"/>
        <w:numPr>
          <w:ilvl w:val="0"/>
          <w:numId w:val="312"/>
        </w:numPr>
        <w:spacing w:after="120"/>
        <w:ind w:left="714" w:hanging="357"/>
        <w:jc w:val="both"/>
        <w:outlineLvl w:val="0"/>
        <w:rPr>
          <w:sz w:val="18"/>
        </w:rPr>
      </w:pPr>
      <w:r w:rsidRPr="007D4E02">
        <w:rPr>
          <w:sz w:val="18"/>
        </w:rPr>
        <w:lastRenderedPageBreak/>
        <w:t xml:space="preserve">advertising </w:t>
      </w:r>
      <w:proofErr w:type="gramStart"/>
      <w:r w:rsidRPr="007D4E02">
        <w:rPr>
          <w:sz w:val="18"/>
        </w:rPr>
        <w:t>signage;</w:t>
      </w:r>
      <w:proofErr w:type="gramEnd"/>
    </w:p>
    <w:p w14:paraId="3DA5286E" w14:textId="77777777" w:rsidR="00113E47" w:rsidRPr="007D4E02" w:rsidRDefault="00113E47" w:rsidP="002A3889">
      <w:pPr>
        <w:pStyle w:val="Text"/>
        <w:numPr>
          <w:ilvl w:val="0"/>
          <w:numId w:val="312"/>
        </w:numPr>
        <w:spacing w:after="120"/>
        <w:ind w:left="714" w:hanging="357"/>
        <w:jc w:val="both"/>
        <w:outlineLvl w:val="0"/>
        <w:rPr>
          <w:sz w:val="18"/>
        </w:rPr>
      </w:pPr>
      <w:r w:rsidRPr="007D4E02">
        <w:rPr>
          <w:sz w:val="18"/>
        </w:rPr>
        <w:t>art objects which are mass produced or off the-shelf reproductions; and</w:t>
      </w:r>
    </w:p>
    <w:p w14:paraId="040CDC9B" w14:textId="77777777" w:rsidR="00113E47" w:rsidRPr="007D4E02" w:rsidRDefault="00113E47" w:rsidP="002A3889">
      <w:pPr>
        <w:pStyle w:val="Text"/>
        <w:numPr>
          <w:ilvl w:val="0"/>
          <w:numId w:val="312"/>
        </w:numPr>
        <w:ind w:left="567" w:hanging="207"/>
        <w:jc w:val="both"/>
        <w:outlineLvl w:val="0"/>
        <w:rPr>
          <w:sz w:val="18"/>
        </w:rPr>
      </w:pPr>
      <w:r w:rsidRPr="007D4E02">
        <w:rPr>
          <w:sz w:val="18"/>
        </w:rPr>
        <w:t>landscaping or architectural features which would normally be integrated into the building or development.</w:t>
      </w:r>
    </w:p>
    <w:p w14:paraId="7C77D536" w14:textId="77777777" w:rsidR="00113E47" w:rsidRPr="007D4E02" w:rsidRDefault="00113E47" w:rsidP="00113E47">
      <w:pPr>
        <w:pStyle w:val="Text"/>
        <w:rPr>
          <w:b/>
          <w:sz w:val="18"/>
        </w:rPr>
      </w:pPr>
    </w:p>
    <w:p w14:paraId="1C3B6D95" w14:textId="77777777" w:rsidR="00113E47" w:rsidRPr="007D4E02" w:rsidRDefault="00113E47" w:rsidP="00113E47">
      <w:pPr>
        <w:pStyle w:val="Text"/>
        <w:rPr>
          <w:b/>
          <w:sz w:val="18"/>
        </w:rPr>
      </w:pPr>
      <w:r w:rsidRPr="007D4E02">
        <w:rPr>
          <w:b/>
          <w:sz w:val="18"/>
        </w:rPr>
        <w:t>Public Art Maintenance &amp; Conservation Program</w:t>
      </w:r>
    </w:p>
    <w:p w14:paraId="2EE7B570" w14:textId="77777777" w:rsidR="00113E47" w:rsidRPr="007D4E02" w:rsidRDefault="00113E47" w:rsidP="00113E47">
      <w:pPr>
        <w:pStyle w:val="Text"/>
        <w:rPr>
          <w:sz w:val="18"/>
        </w:rPr>
      </w:pPr>
      <w:r w:rsidRPr="007D4E02">
        <w:rPr>
          <w:sz w:val="18"/>
        </w:rPr>
        <w:t>The coordinated administration of regular treatments, professional conservation and repairs to works in an Art Collection to maintain their integrity.</w:t>
      </w:r>
    </w:p>
    <w:p w14:paraId="0A284808" w14:textId="77777777" w:rsidR="00113E47" w:rsidRPr="007D4E02" w:rsidRDefault="00113E47" w:rsidP="00113E47">
      <w:pPr>
        <w:pStyle w:val="Text"/>
        <w:rPr>
          <w:b/>
          <w:sz w:val="18"/>
        </w:rPr>
      </w:pPr>
    </w:p>
    <w:p w14:paraId="4660132D" w14:textId="77777777" w:rsidR="00113E47" w:rsidRPr="007D4E02" w:rsidRDefault="00113E47" w:rsidP="00113E47">
      <w:pPr>
        <w:pStyle w:val="Text"/>
        <w:rPr>
          <w:b/>
          <w:sz w:val="18"/>
        </w:rPr>
      </w:pPr>
      <w:r w:rsidRPr="007D4E02">
        <w:rPr>
          <w:b/>
          <w:sz w:val="18"/>
        </w:rPr>
        <w:t>Public Art Consultant</w:t>
      </w:r>
    </w:p>
    <w:p w14:paraId="6ECC8EFE" w14:textId="77777777" w:rsidR="00113E47" w:rsidRPr="007D4E02" w:rsidRDefault="00113E47" w:rsidP="00113E47">
      <w:pPr>
        <w:pStyle w:val="Text"/>
        <w:rPr>
          <w:sz w:val="18"/>
        </w:rPr>
      </w:pPr>
      <w:r w:rsidRPr="007D4E02">
        <w:rPr>
          <w:sz w:val="18"/>
        </w:rPr>
        <w:t>A professional specialising in public art, engaged to provide expert advice or project management.</w:t>
      </w:r>
    </w:p>
    <w:p w14:paraId="3896AAD3" w14:textId="77777777" w:rsidR="00113E47" w:rsidRPr="007D4E02" w:rsidRDefault="00113E47" w:rsidP="00113E47">
      <w:pPr>
        <w:pStyle w:val="Text"/>
        <w:rPr>
          <w:b/>
          <w:sz w:val="18"/>
        </w:rPr>
      </w:pPr>
    </w:p>
    <w:p w14:paraId="07242092" w14:textId="77777777" w:rsidR="00113E47" w:rsidRPr="007D4E02" w:rsidRDefault="00113E47" w:rsidP="00113E47">
      <w:pPr>
        <w:pStyle w:val="Text"/>
        <w:rPr>
          <w:b/>
          <w:sz w:val="18"/>
        </w:rPr>
      </w:pPr>
      <w:r w:rsidRPr="007D4E02">
        <w:rPr>
          <w:b/>
          <w:sz w:val="18"/>
        </w:rPr>
        <w:t>Public Art Project Manager</w:t>
      </w:r>
    </w:p>
    <w:p w14:paraId="10023232" w14:textId="77777777" w:rsidR="00113E47" w:rsidRPr="007D4E02" w:rsidRDefault="00113E47" w:rsidP="00113E47">
      <w:pPr>
        <w:pStyle w:val="Text"/>
        <w:rPr>
          <w:sz w:val="18"/>
        </w:rPr>
      </w:pPr>
      <w:r w:rsidRPr="007D4E02">
        <w:rPr>
          <w:sz w:val="18"/>
        </w:rPr>
        <w:t>A professional employee or contractor responsible for the planning, execution, contract management and close-out of the public art project.</w:t>
      </w:r>
    </w:p>
    <w:p w14:paraId="3F4C61A2" w14:textId="77777777" w:rsidR="00113E47" w:rsidRPr="007D4E02" w:rsidRDefault="00113E47" w:rsidP="00113E47">
      <w:pPr>
        <w:jc w:val="both"/>
        <w:rPr>
          <w:rFonts w:ascii="Arial" w:hAnsi="Arial" w:cs="Arial"/>
          <w:lang w:val="en-US"/>
        </w:rPr>
      </w:pPr>
    </w:p>
    <w:p w14:paraId="704A69E7" w14:textId="77777777" w:rsidR="00113E47" w:rsidRDefault="00113E47">
      <w:pPr>
        <w:rPr>
          <w:rFonts w:ascii="Arial" w:hAnsi="Arial" w:cs="Arial"/>
          <w:lang w:val="en-US"/>
        </w:rPr>
      </w:pPr>
      <w:r>
        <w:rPr>
          <w:rFonts w:ascii="Arial" w:hAnsi="Arial" w:cs="Arial"/>
          <w:lang w:val="en-US"/>
        </w:rPr>
        <w:br w:type="page"/>
      </w:r>
    </w:p>
    <w:p w14:paraId="71CDABE4" w14:textId="4166E3EE" w:rsidR="00E16F52" w:rsidRPr="007D4E02" w:rsidRDefault="00EF011D" w:rsidP="00E16F52">
      <w:pPr>
        <w:pStyle w:val="Title"/>
        <w:pBdr>
          <w:bottom w:val="none" w:sz="0" w:space="0" w:color="auto"/>
        </w:pBdr>
        <w:spacing w:after="240"/>
        <w:jc w:val="right"/>
        <w:rPr>
          <w:rFonts w:ascii="Arial" w:hAnsi="Arial" w:cs="Arial"/>
          <w:b/>
          <w:sz w:val="28"/>
          <w:szCs w:val="28"/>
          <w:lang w:val="en-US"/>
        </w:rPr>
      </w:pPr>
      <w:r>
        <w:rPr>
          <w:noProof/>
          <w:lang w:eastAsia="en-AU"/>
        </w:rPr>
        <w:lastRenderedPageBreak/>
        <w:drawing>
          <wp:anchor distT="0" distB="0" distL="114300" distR="114300" simplePos="0" relativeHeight="251628544" behindDoc="1" locked="0" layoutInCell="1" allowOverlap="1" wp14:anchorId="0A2D6CC3" wp14:editId="624EDD0C">
            <wp:simplePos x="0" y="0"/>
            <wp:positionH relativeFrom="column">
              <wp:posOffset>4048125</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5ACF54BB" w14:textId="77777777" w:rsidR="00EF011D" w:rsidRDefault="00EF011D" w:rsidP="00BC54F9">
      <w:pPr>
        <w:pStyle w:val="Policy3"/>
      </w:pPr>
    </w:p>
    <w:p w14:paraId="692D7D0A" w14:textId="77777777" w:rsidR="00FC5816" w:rsidRDefault="00FC5816" w:rsidP="00BC54F9">
      <w:pPr>
        <w:pStyle w:val="Policy3"/>
      </w:pPr>
    </w:p>
    <w:p w14:paraId="7A483619" w14:textId="0682F63F" w:rsidR="00E16F52" w:rsidRPr="00E16F52" w:rsidRDefault="00E16F52" w:rsidP="00BC54F9">
      <w:pPr>
        <w:pStyle w:val="Policy3"/>
      </w:pPr>
      <w:bookmarkStart w:id="582" w:name="_Toc216866732"/>
      <w:r>
        <w:t>4.1.3</w:t>
      </w:r>
      <w:r>
        <w:tab/>
      </w:r>
      <w:r w:rsidR="006D089F">
        <w:t>P</w:t>
      </w:r>
      <w:r w:rsidR="00BC54F9">
        <w:t>ublic Art</w:t>
      </w:r>
      <w:bookmarkEnd w:id="582"/>
      <w:r w:rsidR="00BC54F9">
        <w:t xml:space="preserve"> </w:t>
      </w:r>
    </w:p>
    <w:tbl>
      <w:tblPr>
        <w:tblStyle w:val="TableGrid"/>
        <w:tblW w:w="0" w:type="auto"/>
        <w:tblLook w:val="04A0" w:firstRow="1" w:lastRow="0" w:firstColumn="1" w:lastColumn="0" w:noHBand="0" w:noVBand="1"/>
      </w:tblPr>
      <w:tblGrid>
        <w:gridCol w:w="3022"/>
        <w:gridCol w:w="5994"/>
      </w:tblGrid>
      <w:tr w:rsidR="00E16F52" w:rsidRPr="00E16F52" w14:paraId="1902E196" w14:textId="77777777" w:rsidTr="00BC54F9">
        <w:tc>
          <w:tcPr>
            <w:tcW w:w="3022" w:type="dxa"/>
          </w:tcPr>
          <w:p w14:paraId="3F50490E" w14:textId="77777777" w:rsidR="00E16F52" w:rsidRPr="00E16F52" w:rsidRDefault="00E16F52" w:rsidP="00E16F52">
            <w:pPr>
              <w:rPr>
                <w:rFonts w:cstheme="minorHAnsi"/>
                <w:b/>
                <w:lang w:val="en-US"/>
              </w:rPr>
            </w:pPr>
            <w:r w:rsidRPr="00E16F52">
              <w:rPr>
                <w:rFonts w:cstheme="minorHAnsi"/>
                <w:b/>
                <w:lang w:val="en-US"/>
              </w:rPr>
              <w:t>Type:</w:t>
            </w:r>
          </w:p>
        </w:tc>
        <w:tc>
          <w:tcPr>
            <w:tcW w:w="5994" w:type="dxa"/>
          </w:tcPr>
          <w:p w14:paraId="060F6E30" w14:textId="77777777" w:rsidR="00E16F52" w:rsidRPr="00E16F52" w:rsidRDefault="00E16F52" w:rsidP="00E16F52">
            <w:pPr>
              <w:rPr>
                <w:rFonts w:cstheme="minorHAnsi"/>
                <w:lang w:val="en-US"/>
              </w:rPr>
            </w:pPr>
            <w:r w:rsidRPr="00E16F52">
              <w:rPr>
                <w:rFonts w:cstheme="minorHAnsi"/>
                <w:lang w:val="en-US"/>
              </w:rPr>
              <w:t>Operations – Public Infrastructure</w:t>
            </w:r>
          </w:p>
        </w:tc>
      </w:tr>
      <w:tr w:rsidR="00E16F52" w:rsidRPr="00E16F52" w14:paraId="1AA83438" w14:textId="77777777" w:rsidTr="00BC54F9">
        <w:tc>
          <w:tcPr>
            <w:tcW w:w="3022" w:type="dxa"/>
          </w:tcPr>
          <w:p w14:paraId="1E94E92C" w14:textId="77777777" w:rsidR="00E16F52" w:rsidRPr="00E16F52" w:rsidRDefault="00E16F52" w:rsidP="00E16F52">
            <w:pPr>
              <w:rPr>
                <w:rFonts w:cstheme="minorHAnsi"/>
                <w:b/>
                <w:lang w:val="en-US"/>
              </w:rPr>
            </w:pPr>
            <w:r w:rsidRPr="00E16F52">
              <w:rPr>
                <w:rFonts w:cstheme="minorHAnsi"/>
                <w:b/>
                <w:lang w:val="en-US"/>
              </w:rPr>
              <w:t>Legislation:</w:t>
            </w:r>
          </w:p>
        </w:tc>
        <w:tc>
          <w:tcPr>
            <w:tcW w:w="5994" w:type="dxa"/>
          </w:tcPr>
          <w:p w14:paraId="51C200DE" w14:textId="77777777" w:rsidR="00E16F52" w:rsidRPr="00E16F52" w:rsidRDefault="00E16F52" w:rsidP="00E16F52">
            <w:pPr>
              <w:rPr>
                <w:rFonts w:cstheme="minorHAnsi"/>
                <w:lang w:val="en-US"/>
              </w:rPr>
            </w:pPr>
            <w:r w:rsidRPr="00E16F52">
              <w:rPr>
                <w:rFonts w:cstheme="minorHAnsi"/>
                <w:lang w:val="en-US"/>
              </w:rPr>
              <w:t xml:space="preserve">N/A </w:t>
            </w:r>
          </w:p>
        </w:tc>
      </w:tr>
      <w:tr w:rsidR="00E16F52" w:rsidRPr="00E16F52" w14:paraId="6CC156D7" w14:textId="77777777" w:rsidTr="00BC54F9">
        <w:tc>
          <w:tcPr>
            <w:tcW w:w="3022" w:type="dxa"/>
          </w:tcPr>
          <w:p w14:paraId="41E80D94" w14:textId="77777777" w:rsidR="00E16F52" w:rsidRPr="00E16F52" w:rsidRDefault="00E16F52" w:rsidP="00E16F52">
            <w:pPr>
              <w:rPr>
                <w:rFonts w:cstheme="minorHAnsi"/>
                <w:b/>
                <w:lang w:val="en-US"/>
              </w:rPr>
            </w:pPr>
            <w:r w:rsidRPr="00E16F52">
              <w:rPr>
                <w:rFonts w:cstheme="minorHAnsi"/>
                <w:b/>
                <w:lang w:val="en-US"/>
              </w:rPr>
              <w:t>Delegation:</w:t>
            </w:r>
          </w:p>
        </w:tc>
        <w:tc>
          <w:tcPr>
            <w:tcW w:w="5994" w:type="dxa"/>
          </w:tcPr>
          <w:p w14:paraId="7E5DBA4F" w14:textId="77777777" w:rsidR="00E16F52" w:rsidRPr="00E16F52" w:rsidRDefault="00E16F52" w:rsidP="00E16F52">
            <w:pPr>
              <w:rPr>
                <w:rFonts w:cstheme="minorHAnsi"/>
                <w:lang w:val="en-US"/>
              </w:rPr>
            </w:pPr>
          </w:p>
        </w:tc>
      </w:tr>
      <w:tr w:rsidR="00E16F52" w:rsidRPr="00E16F52" w14:paraId="1C05F2E6" w14:textId="77777777" w:rsidTr="00BC54F9">
        <w:tc>
          <w:tcPr>
            <w:tcW w:w="3022" w:type="dxa"/>
          </w:tcPr>
          <w:p w14:paraId="502D76E8" w14:textId="77777777" w:rsidR="00E16F52" w:rsidRPr="00E16F52" w:rsidRDefault="00E16F52" w:rsidP="00E16F52">
            <w:pPr>
              <w:rPr>
                <w:rFonts w:cstheme="minorHAnsi"/>
                <w:b/>
                <w:lang w:val="en-US"/>
              </w:rPr>
            </w:pPr>
            <w:r w:rsidRPr="00E16F52">
              <w:rPr>
                <w:rFonts w:cstheme="minorHAnsi"/>
                <w:b/>
                <w:lang w:val="en-US"/>
              </w:rPr>
              <w:t>Other Related Document:</w:t>
            </w:r>
          </w:p>
        </w:tc>
        <w:tc>
          <w:tcPr>
            <w:tcW w:w="5994" w:type="dxa"/>
          </w:tcPr>
          <w:p w14:paraId="7B378568" w14:textId="77777777" w:rsidR="00E16F52" w:rsidRPr="00E16F52" w:rsidRDefault="00E16F52" w:rsidP="00BC54F9">
            <w:pPr>
              <w:rPr>
                <w:rFonts w:cstheme="minorHAnsi"/>
                <w:lang w:val="en-US"/>
              </w:rPr>
            </w:pPr>
            <w:r w:rsidRPr="00E16F52">
              <w:rPr>
                <w:rFonts w:cstheme="minorHAnsi"/>
                <w:lang w:val="en-US"/>
              </w:rPr>
              <w:t>Public Art Strategy, Public Art Plan, Public Art Panel</w:t>
            </w:r>
            <w:r w:rsidR="00BC54F9">
              <w:rPr>
                <w:rFonts w:cstheme="minorHAnsi"/>
                <w:lang w:val="en-US"/>
              </w:rPr>
              <w:t xml:space="preserve"> Policy 4.1.2</w:t>
            </w:r>
            <w:r w:rsidRPr="00E16F52">
              <w:rPr>
                <w:rFonts w:cstheme="minorHAnsi"/>
                <w:lang w:val="en-US"/>
              </w:rPr>
              <w:t>,</w:t>
            </w:r>
            <w:r w:rsidR="00BC54F9">
              <w:rPr>
                <w:rFonts w:cstheme="minorHAnsi"/>
                <w:color w:val="FF0000"/>
                <w:lang w:val="en-US"/>
              </w:rPr>
              <w:t xml:space="preserve"> </w:t>
            </w:r>
            <w:r w:rsidRPr="00E16F52">
              <w:rPr>
                <w:rFonts w:cstheme="minorHAnsi"/>
                <w:lang w:val="en-US"/>
              </w:rPr>
              <w:t>Percent for Public Art</w:t>
            </w:r>
            <w:r w:rsidR="00BC54F9">
              <w:rPr>
                <w:rFonts w:cstheme="minorHAnsi"/>
                <w:lang w:val="en-US"/>
              </w:rPr>
              <w:t xml:space="preserve"> Local Planning Policy 3.1.9 </w:t>
            </w:r>
          </w:p>
        </w:tc>
      </w:tr>
    </w:tbl>
    <w:p w14:paraId="2B442ECF" w14:textId="77777777" w:rsidR="00E16F52" w:rsidRPr="006D089F" w:rsidRDefault="00E16F52" w:rsidP="006D089F">
      <w:pPr>
        <w:spacing w:before="240" w:after="0"/>
        <w:rPr>
          <w:b/>
          <w:sz w:val="28"/>
          <w:szCs w:val="28"/>
          <w:lang w:val="en-US"/>
        </w:rPr>
      </w:pPr>
      <w:r w:rsidRPr="006D089F">
        <w:rPr>
          <w:b/>
          <w:sz w:val="28"/>
          <w:szCs w:val="28"/>
          <w:lang w:val="en-US"/>
        </w:rPr>
        <w:t>Objective</w:t>
      </w:r>
    </w:p>
    <w:p w14:paraId="71C47916" w14:textId="77777777" w:rsidR="00E16F52" w:rsidRPr="00E16F52" w:rsidRDefault="00E16F52" w:rsidP="006D089F">
      <w:pPr>
        <w:spacing w:line="240" w:lineRule="auto"/>
        <w:jc w:val="both"/>
        <w:rPr>
          <w:rFonts w:cstheme="minorHAnsi"/>
          <w:szCs w:val="24"/>
        </w:rPr>
      </w:pPr>
      <w:r w:rsidRPr="00E16F52">
        <w:rPr>
          <w:rFonts w:cstheme="minorHAnsi"/>
          <w:szCs w:val="24"/>
        </w:rPr>
        <w:t xml:space="preserve">This Public Art Policy has been developed to clearly articulate how the Town of East Fremantle will administer the procurement and management of public art. </w:t>
      </w:r>
    </w:p>
    <w:p w14:paraId="1966428C" w14:textId="77777777" w:rsidR="00E16F52" w:rsidRPr="00E16F52" w:rsidRDefault="00E16F52" w:rsidP="006D089F">
      <w:pPr>
        <w:spacing w:line="240" w:lineRule="auto"/>
        <w:jc w:val="both"/>
        <w:rPr>
          <w:rFonts w:cstheme="minorHAnsi"/>
          <w:szCs w:val="24"/>
        </w:rPr>
      </w:pPr>
      <w:r w:rsidRPr="00E16F52">
        <w:rPr>
          <w:rFonts w:cstheme="minorHAnsi"/>
          <w:szCs w:val="24"/>
        </w:rPr>
        <w:t>Other documents have been developed to support this policy and provide detailed procedures for administering aspects of the Public Art Strategy.</w:t>
      </w:r>
    </w:p>
    <w:p w14:paraId="0313AA96" w14:textId="77777777" w:rsidR="00E16F52" w:rsidRPr="00E16F52" w:rsidRDefault="00E16F52" w:rsidP="006D089F">
      <w:pPr>
        <w:spacing w:line="240" w:lineRule="auto"/>
        <w:jc w:val="both"/>
        <w:rPr>
          <w:rFonts w:cstheme="minorHAnsi"/>
          <w:szCs w:val="24"/>
        </w:rPr>
      </w:pPr>
      <w:r w:rsidRPr="00E16F52">
        <w:rPr>
          <w:rFonts w:cstheme="minorHAnsi"/>
          <w:szCs w:val="24"/>
        </w:rPr>
        <w:t>The vision is to develop public art that captures the spirit of East Fremantle, is responsive to East Fremantle’s history, distinct neighbourhoods, Town Centre and river foreshore.</w:t>
      </w:r>
    </w:p>
    <w:p w14:paraId="2483F909" w14:textId="77777777" w:rsidR="00E16F52" w:rsidRPr="006D089F" w:rsidRDefault="00E16F52" w:rsidP="006D089F">
      <w:pPr>
        <w:spacing w:after="0"/>
        <w:rPr>
          <w:b/>
          <w:sz w:val="28"/>
          <w:szCs w:val="28"/>
          <w:lang w:val="en-US"/>
        </w:rPr>
      </w:pPr>
      <w:r w:rsidRPr="006D089F">
        <w:rPr>
          <w:b/>
          <w:sz w:val="28"/>
          <w:szCs w:val="28"/>
          <w:lang w:val="en-US"/>
        </w:rPr>
        <w:t>Policy Scope</w:t>
      </w:r>
    </w:p>
    <w:p w14:paraId="75F59F1E" w14:textId="77777777" w:rsidR="00E16F52" w:rsidRPr="006D089F" w:rsidRDefault="00E16F52" w:rsidP="00E16F52">
      <w:pPr>
        <w:spacing w:line="240" w:lineRule="auto"/>
        <w:jc w:val="both"/>
        <w:rPr>
          <w:rFonts w:cstheme="minorHAnsi"/>
          <w:lang w:val="en-US"/>
        </w:rPr>
      </w:pPr>
      <w:r w:rsidRPr="00E16F52">
        <w:rPr>
          <w:rFonts w:cstheme="minorHAnsi"/>
          <w:lang w:val="en-US"/>
        </w:rPr>
        <w:t>This policy will affect art and public art acquisitions including paintings and donated artworks, pictures and photographic works and functional equipment for public places</w:t>
      </w:r>
      <w:r w:rsidR="006D089F">
        <w:rPr>
          <w:rFonts w:cstheme="minorHAnsi"/>
          <w:lang w:val="en-US"/>
        </w:rPr>
        <w:t>.</w:t>
      </w:r>
    </w:p>
    <w:p w14:paraId="6AE6325D" w14:textId="77777777" w:rsidR="00E16F52" w:rsidRPr="006D089F" w:rsidRDefault="00E16F52" w:rsidP="006D089F">
      <w:pPr>
        <w:spacing w:after="60"/>
        <w:rPr>
          <w:b/>
          <w:sz w:val="28"/>
          <w:szCs w:val="28"/>
          <w:lang w:val="en-US"/>
        </w:rPr>
      </w:pPr>
      <w:r w:rsidRPr="006D089F">
        <w:rPr>
          <w:b/>
          <w:sz w:val="28"/>
          <w:szCs w:val="28"/>
          <w:lang w:val="en-US"/>
        </w:rPr>
        <w:t xml:space="preserve">Policy </w:t>
      </w:r>
    </w:p>
    <w:p w14:paraId="1C270C5A" w14:textId="77777777" w:rsidR="00E16F52" w:rsidRPr="006D089F" w:rsidRDefault="00E16F52" w:rsidP="00E16F52">
      <w:pPr>
        <w:spacing w:after="0" w:line="240" w:lineRule="auto"/>
        <w:jc w:val="both"/>
        <w:rPr>
          <w:rFonts w:cstheme="minorHAnsi"/>
          <w:b/>
          <w:sz w:val="24"/>
          <w:szCs w:val="24"/>
        </w:rPr>
      </w:pPr>
      <w:r w:rsidRPr="006D089F">
        <w:rPr>
          <w:rFonts w:cstheme="minorHAnsi"/>
          <w:b/>
          <w:sz w:val="24"/>
          <w:szCs w:val="24"/>
        </w:rPr>
        <w:t>Section 1:  Objectives</w:t>
      </w:r>
    </w:p>
    <w:p w14:paraId="2111A832" w14:textId="77777777" w:rsidR="00E16F52" w:rsidRPr="00E16F52" w:rsidRDefault="00E16F52" w:rsidP="00E16F52">
      <w:pPr>
        <w:spacing w:line="240" w:lineRule="auto"/>
        <w:jc w:val="both"/>
        <w:rPr>
          <w:rFonts w:cstheme="minorHAnsi"/>
          <w:szCs w:val="24"/>
        </w:rPr>
      </w:pPr>
      <w:r w:rsidRPr="00E16F52">
        <w:rPr>
          <w:rFonts w:cstheme="minorHAnsi"/>
          <w:szCs w:val="24"/>
        </w:rPr>
        <w:t>The objectives of the Public Art Policy provide the strategic context and direction for all public art planning.</w:t>
      </w:r>
    </w:p>
    <w:p w14:paraId="3D6E554A" w14:textId="77777777" w:rsidR="00E16F52" w:rsidRPr="00E16F52" w:rsidRDefault="00E16F52" w:rsidP="002A3889">
      <w:pPr>
        <w:pStyle w:val="ListParagraph"/>
        <w:numPr>
          <w:ilvl w:val="1"/>
          <w:numId w:val="349"/>
        </w:numPr>
        <w:spacing w:after="0"/>
        <w:ind w:left="426" w:hanging="426"/>
        <w:jc w:val="both"/>
        <w:rPr>
          <w:rFonts w:cstheme="minorHAnsi"/>
          <w:b/>
          <w:szCs w:val="24"/>
        </w:rPr>
      </w:pPr>
      <w:r w:rsidRPr="00E16F52">
        <w:rPr>
          <w:rFonts w:cstheme="minorHAnsi"/>
          <w:b/>
          <w:szCs w:val="24"/>
        </w:rPr>
        <w:t>Cultural</w:t>
      </w:r>
    </w:p>
    <w:p w14:paraId="4CCACA87" w14:textId="77777777" w:rsidR="00E16F52" w:rsidRPr="00E16F52" w:rsidRDefault="00E16F52" w:rsidP="006D089F">
      <w:pPr>
        <w:spacing w:after="60" w:line="240" w:lineRule="auto"/>
        <w:ind w:left="426"/>
        <w:jc w:val="both"/>
        <w:rPr>
          <w:rFonts w:cstheme="minorHAnsi"/>
          <w:szCs w:val="24"/>
        </w:rPr>
      </w:pPr>
      <w:r w:rsidRPr="00E16F52">
        <w:rPr>
          <w:rFonts w:cstheme="minorHAnsi"/>
          <w:szCs w:val="24"/>
        </w:rPr>
        <w:t>To enhance the cultural and aesthetic environment of East Fremantle by:</w:t>
      </w:r>
    </w:p>
    <w:p w14:paraId="1AC8844C" w14:textId="77777777" w:rsidR="00E16F52" w:rsidRPr="00E16F52" w:rsidRDefault="00E16F52" w:rsidP="002A3889">
      <w:pPr>
        <w:numPr>
          <w:ilvl w:val="0"/>
          <w:numId w:val="345"/>
        </w:numPr>
        <w:spacing w:after="60" w:line="240" w:lineRule="auto"/>
        <w:ind w:left="851" w:hanging="425"/>
        <w:jc w:val="both"/>
        <w:rPr>
          <w:rFonts w:cstheme="minorHAnsi"/>
          <w:szCs w:val="24"/>
        </w:rPr>
      </w:pPr>
      <w:r w:rsidRPr="00E16F52">
        <w:rPr>
          <w:rFonts w:cstheme="minorHAnsi"/>
          <w:szCs w:val="24"/>
        </w:rPr>
        <w:t xml:space="preserve">interpreting aspects of its unique cultural </w:t>
      </w:r>
      <w:proofErr w:type="gramStart"/>
      <w:r w:rsidRPr="00E16F52">
        <w:rPr>
          <w:rFonts w:cstheme="minorHAnsi"/>
          <w:szCs w:val="24"/>
        </w:rPr>
        <w:t>heritage;</w:t>
      </w:r>
      <w:proofErr w:type="gramEnd"/>
    </w:p>
    <w:p w14:paraId="198816A0" w14:textId="77777777" w:rsidR="00E16F52" w:rsidRPr="00E16F52" w:rsidRDefault="00E16F52" w:rsidP="002A3889">
      <w:pPr>
        <w:numPr>
          <w:ilvl w:val="0"/>
          <w:numId w:val="345"/>
        </w:numPr>
        <w:spacing w:after="60" w:line="240" w:lineRule="auto"/>
        <w:ind w:left="851" w:hanging="425"/>
        <w:jc w:val="both"/>
        <w:rPr>
          <w:rFonts w:cstheme="minorHAnsi"/>
          <w:szCs w:val="24"/>
        </w:rPr>
      </w:pPr>
      <w:r w:rsidRPr="00E16F52">
        <w:rPr>
          <w:rFonts w:cstheme="minorHAnsi"/>
          <w:szCs w:val="24"/>
        </w:rPr>
        <w:t xml:space="preserve">ensuring that public artworks respond to the </w:t>
      </w:r>
      <w:proofErr w:type="gramStart"/>
      <w:r w:rsidRPr="00E16F52">
        <w:rPr>
          <w:rFonts w:cstheme="minorHAnsi"/>
          <w:szCs w:val="24"/>
        </w:rPr>
        <w:t>site;</w:t>
      </w:r>
      <w:proofErr w:type="gramEnd"/>
    </w:p>
    <w:p w14:paraId="14D8C8C0" w14:textId="77777777" w:rsidR="00E16F52" w:rsidRPr="00E16F52" w:rsidRDefault="00E16F52" w:rsidP="002A3889">
      <w:pPr>
        <w:numPr>
          <w:ilvl w:val="0"/>
          <w:numId w:val="345"/>
        </w:numPr>
        <w:spacing w:after="60" w:line="240" w:lineRule="auto"/>
        <w:ind w:left="851" w:hanging="425"/>
        <w:jc w:val="both"/>
        <w:rPr>
          <w:rFonts w:cstheme="minorHAnsi"/>
          <w:szCs w:val="24"/>
        </w:rPr>
      </w:pPr>
      <w:r w:rsidRPr="00E16F52">
        <w:rPr>
          <w:rFonts w:cstheme="minorHAnsi"/>
          <w:szCs w:val="24"/>
        </w:rPr>
        <w:t xml:space="preserve">valuing quality over quantity; and </w:t>
      </w:r>
    </w:p>
    <w:p w14:paraId="5B9A324F" w14:textId="77777777" w:rsidR="00E16F52" w:rsidRPr="00E16F52" w:rsidRDefault="00E16F52" w:rsidP="002A3889">
      <w:pPr>
        <w:numPr>
          <w:ilvl w:val="0"/>
          <w:numId w:val="345"/>
        </w:numPr>
        <w:spacing w:after="0" w:line="240" w:lineRule="auto"/>
        <w:ind w:left="851" w:hanging="425"/>
        <w:jc w:val="both"/>
        <w:rPr>
          <w:rFonts w:cstheme="minorHAnsi"/>
          <w:szCs w:val="24"/>
        </w:rPr>
      </w:pPr>
      <w:r w:rsidRPr="00E16F52">
        <w:rPr>
          <w:rFonts w:cstheme="minorHAnsi"/>
          <w:szCs w:val="24"/>
        </w:rPr>
        <w:t>acknowledging and celebrating Aboriginal culture and stories.</w:t>
      </w:r>
    </w:p>
    <w:p w14:paraId="4588E241" w14:textId="77777777" w:rsidR="00E16F52" w:rsidRPr="00E16F52" w:rsidRDefault="00E16F52" w:rsidP="002A3889">
      <w:pPr>
        <w:pStyle w:val="ListParagraph"/>
        <w:numPr>
          <w:ilvl w:val="1"/>
          <w:numId w:val="349"/>
        </w:numPr>
        <w:spacing w:before="200" w:after="0"/>
        <w:ind w:left="426" w:hanging="426"/>
        <w:jc w:val="both"/>
        <w:rPr>
          <w:rFonts w:cstheme="minorHAnsi"/>
          <w:b/>
          <w:szCs w:val="24"/>
        </w:rPr>
      </w:pPr>
      <w:r w:rsidRPr="00E16F52">
        <w:rPr>
          <w:rFonts w:cstheme="minorHAnsi"/>
          <w:b/>
          <w:szCs w:val="24"/>
        </w:rPr>
        <w:t>Sustainability</w:t>
      </w:r>
    </w:p>
    <w:p w14:paraId="2F5CC47C" w14:textId="77777777" w:rsidR="00E16F52" w:rsidRPr="00E16F52" w:rsidRDefault="00E16F52" w:rsidP="006D089F">
      <w:pPr>
        <w:pStyle w:val="ListParagraph"/>
        <w:spacing w:after="60"/>
        <w:ind w:left="426"/>
        <w:jc w:val="both"/>
        <w:rPr>
          <w:rFonts w:cstheme="minorHAnsi"/>
          <w:szCs w:val="24"/>
        </w:rPr>
      </w:pPr>
      <w:r w:rsidRPr="00E16F52">
        <w:rPr>
          <w:rFonts w:cstheme="minorHAnsi"/>
          <w:szCs w:val="24"/>
        </w:rPr>
        <w:t>To contribute to a sustainable environment by using public art to:</w:t>
      </w:r>
    </w:p>
    <w:p w14:paraId="14EA9FF7" w14:textId="77777777" w:rsidR="00E16F52" w:rsidRPr="00E16F52" w:rsidRDefault="00E16F52" w:rsidP="002A3889">
      <w:pPr>
        <w:numPr>
          <w:ilvl w:val="0"/>
          <w:numId w:val="346"/>
        </w:numPr>
        <w:spacing w:after="60" w:line="240" w:lineRule="auto"/>
        <w:ind w:left="851" w:hanging="425"/>
        <w:jc w:val="both"/>
        <w:rPr>
          <w:rFonts w:cstheme="minorHAnsi"/>
          <w:szCs w:val="24"/>
        </w:rPr>
      </w:pPr>
      <w:r w:rsidRPr="00E16F52">
        <w:rPr>
          <w:rFonts w:cstheme="minorHAnsi"/>
          <w:szCs w:val="24"/>
        </w:rPr>
        <w:t>develop environments where walking and cycling is encouraged; and</w:t>
      </w:r>
    </w:p>
    <w:p w14:paraId="0807952F" w14:textId="77777777" w:rsidR="00E16F52" w:rsidRPr="00E16F52" w:rsidRDefault="00E16F52" w:rsidP="002A3889">
      <w:pPr>
        <w:numPr>
          <w:ilvl w:val="0"/>
          <w:numId w:val="346"/>
        </w:numPr>
        <w:spacing w:after="0" w:line="240" w:lineRule="auto"/>
        <w:ind w:left="851" w:hanging="425"/>
        <w:jc w:val="both"/>
        <w:rPr>
          <w:rFonts w:cstheme="minorHAnsi"/>
          <w:szCs w:val="24"/>
        </w:rPr>
      </w:pPr>
      <w:r w:rsidRPr="00E16F52">
        <w:rPr>
          <w:rFonts w:cstheme="minorHAnsi"/>
          <w:szCs w:val="24"/>
        </w:rPr>
        <w:t>demonstrate environmentally responsible use of materials, services and lighting.</w:t>
      </w:r>
    </w:p>
    <w:p w14:paraId="25F2E65F" w14:textId="77777777" w:rsidR="00E16F52" w:rsidRPr="00E16F52" w:rsidRDefault="00E16F52" w:rsidP="002A3889">
      <w:pPr>
        <w:pStyle w:val="ListParagraph"/>
        <w:numPr>
          <w:ilvl w:val="1"/>
          <w:numId w:val="349"/>
        </w:numPr>
        <w:spacing w:before="200" w:after="0" w:line="240" w:lineRule="auto"/>
        <w:ind w:left="426" w:hanging="426"/>
        <w:jc w:val="both"/>
        <w:rPr>
          <w:rFonts w:cstheme="minorHAnsi"/>
          <w:b/>
          <w:szCs w:val="24"/>
        </w:rPr>
      </w:pPr>
      <w:r w:rsidRPr="00E16F52">
        <w:rPr>
          <w:rFonts w:cstheme="minorHAnsi"/>
          <w:b/>
          <w:szCs w:val="24"/>
        </w:rPr>
        <w:t>Social</w:t>
      </w:r>
    </w:p>
    <w:p w14:paraId="727C8A20" w14:textId="77777777" w:rsidR="00E16F52" w:rsidRPr="00E16F52" w:rsidRDefault="00E16F52" w:rsidP="006D089F">
      <w:pPr>
        <w:spacing w:after="60" w:line="240" w:lineRule="auto"/>
        <w:ind w:left="426"/>
        <w:jc w:val="both"/>
        <w:rPr>
          <w:rFonts w:cstheme="minorHAnsi"/>
          <w:szCs w:val="24"/>
        </w:rPr>
      </w:pPr>
      <w:r w:rsidRPr="00E16F52">
        <w:rPr>
          <w:rFonts w:cstheme="minorHAnsi"/>
          <w:szCs w:val="24"/>
        </w:rPr>
        <w:t>To enhance social cohesion within East Fremantle by:</w:t>
      </w:r>
    </w:p>
    <w:p w14:paraId="2ECBCFA2" w14:textId="77777777" w:rsidR="00E16F52" w:rsidRPr="00E16F52" w:rsidRDefault="00E16F52" w:rsidP="002A3889">
      <w:pPr>
        <w:numPr>
          <w:ilvl w:val="0"/>
          <w:numId w:val="347"/>
        </w:numPr>
        <w:spacing w:after="60" w:line="240" w:lineRule="auto"/>
        <w:ind w:left="851" w:hanging="425"/>
        <w:jc w:val="both"/>
        <w:rPr>
          <w:rFonts w:cstheme="minorHAnsi"/>
          <w:szCs w:val="24"/>
        </w:rPr>
      </w:pPr>
      <w:r w:rsidRPr="00E16F52">
        <w:rPr>
          <w:rFonts w:cstheme="minorHAnsi"/>
          <w:szCs w:val="24"/>
        </w:rPr>
        <w:t xml:space="preserve">creating landmarks that provide reference points and enable people to orientate </w:t>
      </w:r>
      <w:proofErr w:type="gramStart"/>
      <w:r w:rsidRPr="00E16F52">
        <w:rPr>
          <w:rFonts w:cstheme="minorHAnsi"/>
          <w:szCs w:val="24"/>
        </w:rPr>
        <w:t>themselves;</w:t>
      </w:r>
      <w:proofErr w:type="gramEnd"/>
    </w:p>
    <w:p w14:paraId="5BE943CE" w14:textId="77777777" w:rsidR="00E16F52" w:rsidRPr="00E16F52" w:rsidRDefault="00E16F52" w:rsidP="002A3889">
      <w:pPr>
        <w:numPr>
          <w:ilvl w:val="0"/>
          <w:numId w:val="347"/>
        </w:numPr>
        <w:spacing w:after="60" w:line="240" w:lineRule="auto"/>
        <w:ind w:left="851" w:hanging="425"/>
        <w:jc w:val="both"/>
        <w:rPr>
          <w:rFonts w:cstheme="minorHAnsi"/>
          <w:szCs w:val="24"/>
        </w:rPr>
      </w:pPr>
      <w:r w:rsidRPr="00E16F52">
        <w:rPr>
          <w:rFonts w:cstheme="minorHAnsi"/>
          <w:szCs w:val="24"/>
        </w:rPr>
        <w:t>using public art to develop attractive, diverse places, that the community enjoy; and</w:t>
      </w:r>
    </w:p>
    <w:p w14:paraId="1EDB1A64" w14:textId="77777777" w:rsidR="00E16F52" w:rsidRPr="00E16F52" w:rsidRDefault="00E16F52" w:rsidP="002A3889">
      <w:pPr>
        <w:numPr>
          <w:ilvl w:val="0"/>
          <w:numId w:val="347"/>
        </w:numPr>
        <w:spacing w:after="0" w:line="240" w:lineRule="auto"/>
        <w:ind w:left="851" w:hanging="425"/>
        <w:jc w:val="both"/>
        <w:rPr>
          <w:rFonts w:cstheme="minorHAnsi"/>
          <w:szCs w:val="24"/>
        </w:rPr>
      </w:pPr>
      <w:r w:rsidRPr="00E16F52">
        <w:rPr>
          <w:rFonts w:cstheme="minorHAnsi"/>
          <w:szCs w:val="24"/>
        </w:rPr>
        <w:t>using public art to develop meeting places, that community members want to visit.</w:t>
      </w:r>
    </w:p>
    <w:p w14:paraId="56903F06" w14:textId="77777777" w:rsidR="00E16F52" w:rsidRPr="00E16F52" w:rsidRDefault="00E16F52" w:rsidP="002A3889">
      <w:pPr>
        <w:pStyle w:val="ListParagraph"/>
        <w:numPr>
          <w:ilvl w:val="1"/>
          <w:numId w:val="349"/>
        </w:numPr>
        <w:spacing w:before="200" w:after="0" w:line="240" w:lineRule="auto"/>
        <w:ind w:left="426" w:hanging="426"/>
        <w:jc w:val="both"/>
        <w:rPr>
          <w:rFonts w:cstheme="minorHAnsi"/>
          <w:b/>
          <w:szCs w:val="24"/>
        </w:rPr>
      </w:pPr>
      <w:r w:rsidRPr="00E16F52">
        <w:rPr>
          <w:rFonts w:cstheme="minorHAnsi"/>
          <w:b/>
          <w:szCs w:val="24"/>
        </w:rPr>
        <w:lastRenderedPageBreak/>
        <w:t>Economic</w:t>
      </w:r>
    </w:p>
    <w:p w14:paraId="76CEBB11" w14:textId="77777777" w:rsidR="00E16F52" w:rsidRPr="00E16F52" w:rsidRDefault="00E16F52" w:rsidP="006D089F">
      <w:pPr>
        <w:spacing w:after="60" w:line="240" w:lineRule="auto"/>
        <w:ind w:left="360"/>
        <w:jc w:val="both"/>
        <w:rPr>
          <w:rFonts w:cstheme="minorHAnsi"/>
          <w:szCs w:val="24"/>
        </w:rPr>
      </w:pPr>
      <w:r w:rsidRPr="00E16F52">
        <w:rPr>
          <w:rFonts w:cstheme="minorHAnsi"/>
          <w:szCs w:val="24"/>
        </w:rPr>
        <w:t>To contribute to economic vitality within East Fremantle by using public art to develop:</w:t>
      </w:r>
    </w:p>
    <w:p w14:paraId="73EB7EF9" w14:textId="77777777" w:rsidR="00E16F52" w:rsidRPr="00E16F52" w:rsidRDefault="00E16F52" w:rsidP="002A3889">
      <w:pPr>
        <w:numPr>
          <w:ilvl w:val="0"/>
          <w:numId w:val="348"/>
        </w:numPr>
        <w:spacing w:after="60" w:line="240" w:lineRule="auto"/>
        <w:jc w:val="both"/>
        <w:rPr>
          <w:rFonts w:cstheme="minorHAnsi"/>
          <w:szCs w:val="24"/>
        </w:rPr>
      </w:pPr>
      <w:r w:rsidRPr="00E16F52">
        <w:rPr>
          <w:rFonts w:cstheme="minorHAnsi"/>
          <w:szCs w:val="24"/>
        </w:rPr>
        <w:t>unique and recognisable places, enhancing the ‘place brand</w:t>
      </w:r>
      <w:proofErr w:type="gramStart"/>
      <w:r w:rsidRPr="00E16F52">
        <w:rPr>
          <w:rFonts w:cstheme="minorHAnsi"/>
          <w:szCs w:val="24"/>
        </w:rPr>
        <w:t>’;</w:t>
      </w:r>
      <w:proofErr w:type="gramEnd"/>
    </w:p>
    <w:p w14:paraId="2C7303C7" w14:textId="77777777" w:rsidR="00E16F52" w:rsidRPr="00E16F52" w:rsidRDefault="00E16F52" w:rsidP="002A3889">
      <w:pPr>
        <w:numPr>
          <w:ilvl w:val="0"/>
          <w:numId w:val="348"/>
        </w:numPr>
        <w:spacing w:after="60" w:line="240" w:lineRule="auto"/>
        <w:jc w:val="both"/>
        <w:rPr>
          <w:rFonts w:cstheme="minorHAnsi"/>
          <w:szCs w:val="24"/>
        </w:rPr>
      </w:pPr>
      <w:r w:rsidRPr="00E16F52">
        <w:rPr>
          <w:rFonts w:cstheme="minorHAnsi"/>
          <w:szCs w:val="24"/>
        </w:rPr>
        <w:t>employment opportunities for local artists, craftspeople and associated businesses; and</w:t>
      </w:r>
    </w:p>
    <w:p w14:paraId="5364C3BB" w14:textId="77777777" w:rsidR="00E16F52" w:rsidRPr="00E16F52" w:rsidRDefault="00E16F52" w:rsidP="002A3889">
      <w:pPr>
        <w:numPr>
          <w:ilvl w:val="0"/>
          <w:numId w:val="348"/>
        </w:numPr>
        <w:spacing w:after="0" w:line="240" w:lineRule="auto"/>
        <w:jc w:val="both"/>
        <w:rPr>
          <w:rFonts w:cstheme="minorHAnsi"/>
          <w:szCs w:val="24"/>
        </w:rPr>
      </w:pPr>
      <w:r w:rsidRPr="00E16F52">
        <w:rPr>
          <w:rFonts w:cstheme="minorHAnsi"/>
          <w:szCs w:val="24"/>
        </w:rPr>
        <w:t>social, cultural and economic confidence, thereby stimulating investment and economic growth.</w:t>
      </w:r>
    </w:p>
    <w:p w14:paraId="5BB5BFFD" w14:textId="77777777" w:rsidR="00E16F52" w:rsidRPr="006D089F" w:rsidRDefault="00E16F52" w:rsidP="006D089F">
      <w:pPr>
        <w:spacing w:before="200" w:after="0" w:line="240" w:lineRule="auto"/>
        <w:jc w:val="both"/>
        <w:rPr>
          <w:rFonts w:cstheme="minorHAnsi"/>
          <w:b/>
          <w:sz w:val="24"/>
          <w:szCs w:val="24"/>
        </w:rPr>
      </w:pPr>
      <w:r w:rsidRPr="006D089F">
        <w:rPr>
          <w:rFonts w:cstheme="minorHAnsi"/>
          <w:b/>
          <w:sz w:val="24"/>
          <w:szCs w:val="24"/>
        </w:rPr>
        <w:t>Section 2: Principles</w:t>
      </w:r>
    </w:p>
    <w:p w14:paraId="66932BB1" w14:textId="77777777" w:rsidR="00E16F52" w:rsidRPr="00E16F52" w:rsidRDefault="00E16F52" w:rsidP="00E16F52">
      <w:pPr>
        <w:spacing w:line="240" w:lineRule="auto"/>
        <w:jc w:val="both"/>
        <w:rPr>
          <w:rFonts w:cstheme="minorHAnsi"/>
          <w:szCs w:val="24"/>
        </w:rPr>
      </w:pPr>
      <w:r w:rsidRPr="00E16F52">
        <w:rPr>
          <w:rFonts w:cstheme="minorHAnsi"/>
          <w:szCs w:val="24"/>
        </w:rPr>
        <w:t>The following principles should be used to guide the development of all public artwork in the Town of East Fremantle:</w:t>
      </w:r>
    </w:p>
    <w:p w14:paraId="37001CE3" w14:textId="77777777" w:rsidR="00E16F52" w:rsidRPr="00E16F52" w:rsidRDefault="00E16F52" w:rsidP="002A3889">
      <w:pPr>
        <w:pStyle w:val="ListParagraph"/>
        <w:numPr>
          <w:ilvl w:val="1"/>
          <w:numId w:val="350"/>
        </w:numPr>
        <w:spacing w:after="0" w:line="240" w:lineRule="auto"/>
        <w:ind w:left="426" w:hanging="426"/>
        <w:rPr>
          <w:rFonts w:cstheme="minorHAnsi"/>
          <w:b/>
          <w:szCs w:val="24"/>
        </w:rPr>
      </w:pPr>
      <w:r w:rsidRPr="00E16F52">
        <w:rPr>
          <w:rFonts w:cstheme="minorHAnsi"/>
          <w:b/>
          <w:szCs w:val="24"/>
        </w:rPr>
        <w:t>Place-making</w:t>
      </w:r>
    </w:p>
    <w:p w14:paraId="1A610669" w14:textId="77777777" w:rsidR="00E16F52" w:rsidRPr="00E16F52" w:rsidRDefault="00E16F52" w:rsidP="006D089F">
      <w:pPr>
        <w:spacing w:after="0" w:line="240" w:lineRule="auto"/>
        <w:ind w:left="426"/>
        <w:rPr>
          <w:rFonts w:cstheme="minorHAnsi"/>
          <w:szCs w:val="24"/>
        </w:rPr>
      </w:pPr>
      <w:r w:rsidRPr="00E16F52">
        <w:rPr>
          <w:rFonts w:cstheme="minorHAnsi"/>
          <w:szCs w:val="24"/>
        </w:rPr>
        <w:t xml:space="preserve">Public art </w:t>
      </w:r>
      <w:r w:rsidRPr="00E16F52">
        <w:rPr>
          <w:rFonts w:cstheme="minorHAnsi"/>
          <w:szCs w:val="24"/>
          <w:lang w:val="en-GB"/>
        </w:rPr>
        <w:t>should be designed to enhance the experience of and activate public spaces.</w:t>
      </w:r>
    </w:p>
    <w:p w14:paraId="173FAABC" w14:textId="77777777" w:rsidR="00E16F52" w:rsidRPr="00E16F52" w:rsidRDefault="00E16F52" w:rsidP="00E16F52">
      <w:pPr>
        <w:spacing w:after="0" w:line="240" w:lineRule="auto"/>
        <w:rPr>
          <w:rFonts w:cstheme="minorHAnsi"/>
          <w:b/>
          <w:szCs w:val="24"/>
        </w:rPr>
      </w:pPr>
    </w:p>
    <w:p w14:paraId="0085B7CE" w14:textId="77777777" w:rsidR="00E16F52" w:rsidRPr="00E16F52" w:rsidRDefault="00E16F52" w:rsidP="002A3889">
      <w:pPr>
        <w:pStyle w:val="ListParagraph"/>
        <w:numPr>
          <w:ilvl w:val="1"/>
          <w:numId w:val="350"/>
        </w:numPr>
        <w:spacing w:after="0" w:line="240" w:lineRule="auto"/>
        <w:ind w:left="426" w:hanging="426"/>
        <w:rPr>
          <w:rFonts w:cstheme="minorHAnsi"/>
          <w:b/>
          <w:szCs w:val="24"/>
        </w:rPr>
      </w:pPr>
      <w:r w:rsidRPr="00E16F52">
        <w:rPr>
          <w:rFonts w:cstheme="minorHAnsi"/>
          <w:b/>
          <w:szCs w:val="24"/>
        </w:rPr>
        <w:t>Site Specific</w:t>
      </w:r>
    </w:p>
    <w:p w14:paraId="24E91495" w14:textId="77777777" w:rsidR="00E16F52" w:rsidRPr="00E16F52" w:rsidRDefault="00E16F52" w:rsidP="006D089F">
      <w:pPr>
        <w:spacing w:after="0" w:line="240" w:lineRule="auto"/>
        <w:ind w:left="426"/>
        <w:rPr>
          <w:rFonts w:cstheme="minorHAnsi"/>
          <w:szCs w:val="24"/>
        </w:rPr>
      </w:pPr>
      <w:r w:rsidRPr="00E16F52">
        <w:rPr>
          <w:rFonts w:cstheme="minorHAnsi"/>
          <w:szCs w:val="24"/>
        </w:rPr>
        <w:t>Public art should be designed to be responsive to its specific location.</w:t>
      </w:r>
    </w:p>
    <w:p w14:paraId="1CC75B32" w14:textId="77777777" w:rsidR="00E16F52" w:rsidRPr="00E16F52" w:rsidRDefault="00E16F52" w:rsidP="00E16F52">
      <w:pPr>
        <w:spacing w:after="0" w:line="240" w:lineRule="auto"/>
        <w:rPr>
          <w:rFonts w:cstheme="minorHAnsi"/>
          <w:b/>
          <w:szCs w:val="24"/>
        </w:rPr>
      </w:pPr>
    </w:p>
    <w:p w14:paraId="27023B96" w14:textId="77777777" w:rsidR="00E16F52" w:rsidRPr="00E16F52" w:rsidRDefault="00E16F52" w:rsidP="002A3889">
      <w:pPr>
        <w:pStyle w:val="ListParagraph"/>
        <w:numPr>
          <w:ilvl w:val="1"/>
          <w:numId w:val="350"/>
        </w:numPr>
        <w:spacing w:after="0" w:line="240" w:lineRule="auto"/>
        <w:ind w:left="426" w:hanging="426"/>
        <w:jc w:val="both"/>
        <w:rPr>
          <w:rFonts w:cstheme="minorHAnsi"/>
          <w:b/>
          <w:szCs w:val="24"/>
        </w:rPr>
      </w:pPr>
      <w:r w:rsidRPr="00E16F52">
        <w:rPr>
          <w:rFonts w:cstheme="minorHAnsi"/>
          <w:b/>
          <w:szCs w:val="24"/>
        </w:rPr>
        <w:t>Universal Access</w:t>
      </w:r>
    </w:p>
    <w:p w14:paraId="1BB49DFB" w14:textId="77777777" w:rsidR="00E16F52" w:rsidRPr="00E16F52" w:rsidRDefault="00E16F52" w:rsidP="006D089F">
      <w:pPr>
        <w:spacing w:after="0" w:line="240" w:lineRule="auto"/>
        <w:ind w:left="426"/>
        <w:jc w:val="both"/>
        <w:rPr>
          <w:rFonts w:cstheme="minorHAnsi"/>
          <w:szCs w:val="24"/>
        </w:rPr>
      </w:pPr>
      <w:r w:rsidRPr="00E16F52">
        <w:rPr>
          <w:rFonts w:cstheme="minorHAnsi"/>
          <w:szCs w:val="24"/>
        </w:rPr>
        <w:t>Public art should be designed to engage, and include our diverse community, irrespective of age, ability, social or cultural background.</w:t>
      </w:r>
    </w:p>
    <w:p w14:paraId="7B1D7604" w14:textId="77777777" w:rsidR="00E16F52" w:rsidRPr="00E16F52" w:rsidRDefault="00E16F52" w:rsidP="00E16F52">
      <w:pPr>
        <w:spacing w:after="0" w:line="240" w:lineRule="auto"/>
        <w:jc w:val="both"/>
        <w:rPr>
          <w:rFonts w:cstheme="minorHAnsi"/>
          <w:b/>
          <w:szCs w:val="24"/>
        </w:rPr>
      </w:pPr>
    </w:p>
    <w:p w14:paraId="3445791E" w14:textId="77777777" w:rsidR="00E16F52" w:rsidRPr="00E16F52" w:rsidRDefault="00E16F52" w:rsidP="002A3889">
      <w:pPr>
        <w:pStyle w:val="ListParagraph"/>
        <w:numPr>
          <w:ilvl w:val="1"/>
          <w:numId w:val="350"/>
        </w:numPr>
        <w:spacing w:after="0" w:line="240" w:lineRule="auto"/>
        <w:ind w:left="426" w:hanging="426"/>
        <w:jc w:val="both"/>
        <w:rPr>
          <w:rFonts w:cstheme="minorHAnsi"/>
          <w:b/>
          <w:szCs w:val="24"/>
        </w:rPr>
      </w:pPr>
      <w:r w:rsidRPr="00E16F52">
        <w:rPr>
          <w:rFonts w:cstheme="minorHAnsi"/>
          <w:b/>
          <w:szCs w:val="24"/>
        </w:rPr>
        <w:t>Local and Unique</w:t>
      </w:r>
    </w:p>
    <w:p w14:paraId="6844474B" w14:textId="77777777" w:rsidR="00E16F52" w:rsidRPr="00E16F52" w:rsidRDefault="00E16F52" w:rsidP="006D089F">
      <w:pPr>
        <w:spacing w:after="0" w:line="240" w:lineRule="auto"/>
        <w:ind w:left="426"/>
        <w:jc w:val="both"/>
        <w:rPr>
          <w:rFonts w:cstheme="minorHAnsi"/>
          <w:szCs w:val="24"/>
        </w:rPr>
      </w:pPr>
      <w:r w:rsidRPr="00E16F52">
        <w:rPr>
          <w:rFonts w:cstheme="minorHAnsi"/>
          <w:szCs w:val="24"/>
        </w:rPr>
        <w:t xml:space="preserve">Public art </w:t>
      </w:r>
      <w:r w:rsidRPr="00E16F52">
        <w:rPr>
          <w:rFonts w:cstheme="minorHAnsi"/>
        </w:rPr>
        <w:t>should be designed to contribute to creating a sense of place developing identity and pride in a community.</w:t>
      </w:r>
    </w:p>
    <w:p w14:paraId="1E6FE875" w14:textId="77777777" w:rsidR="00E16F52" w:rsidRPr="00E16F52" w:rsidRDefault="00E16F52" w:rsidP="00E16F52">
      <w:pPr>
        <w:spacing w:after="0" w:line="240" w:lineRule="auto"/>
        <w:jc w:val="both"/>
        <w:rPr>
          <w:rFonts w:cstheme="minorHAnsi"/>
          <w:b/>
          <w:szCs w:val="24"/>
        </w:rPr>
      </w:pPr>
    </w:p>
    <w:p w14:paraId="46358CAC" w14:textId="77777777" w:rsidR="00E16F52" w:rsidRPr="00E16F52" w:rsidRDefault="00E16F52" w:rsidP="002A3889">
      <w:pPr>
        <w:pStyle w:val="ListParagraph"/>
        <w:numPr>
          <w:ilvl w:val="1"/>
          <w:numId w:val="350"/>
        </w:numPr>
        <w:spacing w:after="0" w:line="240" w:lineRule="auto"/>
        <w:ind w:left="426" w:hanging="426"/>
        <w:jc w:val="both"/>
        <w:rPr>
          <w:rFonts w:cstheme="minorHAnsi"/>
          <w:b/>
          <w:szCs w:val="24"/>
        </w:rPr>
      </w:pPr>
      <w:r w:rsidRPr="00E16F52">
        <w:rPr>
          <w:rFonts w:cstheme="minorHAnsi"/>
          <w:b/>
          <w:szCs w:val="24"/>
        </w:rPr>
        <w:t>Best Practice</w:t>
      </w:r>
    </w:p>
    <w:p w14:paraId="0F6276DB" w14:textId="77777777" w:rsidR="00E16F52" w:rsidRPr="00E16F52" w:rsidRDefault="00E16F52" w:rsidP="006D089F">
      <w:pPr>
        <w:spacing w:after="0" w:line="240" w:lineRule="auto"/>
        <w:ind w:left="426"/>
        <w:jc w:val="both"/>
        <w:rPr>
          <w:rFonts w:cstheme="minorHAnsi"/>
          <w:szCs w:val="24"/>
        </w:rPr>
      </w:pPr>
      <w:r w:rsidRPr="00E16F52">
        <w:rPr>
          <w:rFonts w:cstheme="minorHAnsi"/>
          <w:szCs w:val="24"/>
        </w:rPr>
        <w:t>Public art should be designed in accordance with professional standards, to ensure public safety and the longevity of the work in accordance with the intent of the artwork.</w:t>
      </w:r>
    </w:p>
    <w:p w14:paraId="4F767744" w14:textId="77777777" w:rsidR="00E16F52" w:rsidRPr="00E16F52" w:rsidRDefault="00E16F52" w:rsidP="00E16F52">
      <w:pPr>
        <w:spacing w:after="0" w:line="240" w:lineRule="auto"/>
        <w:jc w:val="both"/>
        <w:rPr>
          <w:rFonts w:cstheme="minorHAnsi"/>
          <w:b/>
          <w:szCs w:val="24"/>
        </w:rPr>
      </w:pPr>
    </w:p>
    <w:p w14:paraId="0ECA3F07" w14:textId="77777777" w:rsidR="00E16F52" w:rsidRPr="00E16F52" w:rsidRDefault="00E16F52" w:rsidP="002A3889">
      <w:pPr>
        <w:pStyle w:val="ListParagraph"/>
        <w:numPr>
          <w:ilvl w:val="1"/>
          <w:numId w:val="350"/>
        </w:numPr>
        <w:spacing w:after="0" w:line="240" w:lineRule="auto"/>
        <w:ind w:left="426" w:hanging="426"/>
        <w:jc w:val="both"/>
        <w:rPr>
          <w:rFonts w:cstheme="minorHAnsi"/>
          <w:b/>
          <w:szCs w:val="24"/>
        </w:rPr>
      </w:pPr>
      <w:r w:rsidRPr="00E16F52">
        <w:rPr>
          <w:rFonts w:cstheme="minorHAnsi"/>
          <w:b/>
          <w:szCs w:val="24"/>
        </w:rPr>
        <w:t>Collection Management</w:t>
      </w:r>
    </w:p>
    <w:p w14:paraId="7FE0A26A" w14:textId="77777777" w:rsidR="00E16F52" w:rsidRPr="00E16F52" w:rsidRDefault="00E16F52" w:rsidP="006D089F">
      <w:pPr>
        <w:spacing w:after="0" w:line="240" w:lineRule="auto"/>
        <w:ind w:left="426"/>
        <w:jc w:val="both"/>
        <w:rPr>
          <w:rFonts w:cstheme="minorHAnsi"/>
          <w:szCs w:val="24"/>
        </w:rPr>
      </w:pPr>
      <w:r w:rsidRPr="00E16F52">
        <w:rPr>
          <w:rFonts w:cstheme="minorHAnsi"/>
          <w:szCs w:val="24"/>
        </w:rPr>
        <w:t>Any public artwork commissioned should be maintained, conserved and preserved in accordance with a Maintenance Plan, which should be provided to the Town by the Artist at hand-over.</w:t>
      </w:r>
    </w:p>
    <w:p w14:paraId="67C3C985" w14:textId="77777777" w:rsidR="00E16F52" w:rsidRPr="00E16F52" w:rsidRDefault="00E16F52" w:rsidP="00E16F52">
      <w:pPr>
        <w:spacing w:after="0" w:line="240" w:lineRule="auto"/>
        <w:jc w:val="both"/>
        <w:rPr>
          <w:rFonts w:cstheme="minorHAnsi"/>
          <w:b/>
          <w:bCs/>
          <w:szCs w:val="24"/>
          <w:lang w:val="en-GB"/>
        </w:rPr>
      </w:pPr>
    </w:p>
    <w:p w14:paraId="5D16EDD3" w14:textId="77777777" w:rsidR="00E16F52" w:rsidRPr="00E16F52" w:rsidRDefault="00E16F52" w:rsidP="002A3889">
      <w:pPr>
        <w:pStyle w:val="ListParagraph"/>
        <w:numPr>
          <w:ilvl w:val="1"/>
          <w:numId w:val="350"/>
        </w:numPr>
        <w:spacing w:after="0" w:line="240" w:lineRule="auto"/>
        <w:ind w:left="426" w:hanging="426"/>
        <w:jc w:val="both"/>
        <w:rPr>
          <w:rFonts w:cstheme="minorHAnsi"/>
          <w:b/>
          <w:bCs/>
          <w:szCs w:val="24"/>
          <w:lang w:val="en-GB"/>
        </w:rPr>
      </w:pPr>
      <w:r w:rsidRPr="00E16F52">
        <w:rPr>
          <w:rFonts w:cstheme="minorHAnsi"/>
          <w:b/>
          <w:bCs/>
          <w:szCs w:val="24"/>
          <w:lang w:val="en-GB"/>
        </w:rPr>
        <w:t>Criteria</w:t>
      </w:r>
    </w:p>
    <w:p w14:paraId="53AE90D1" w14:textId="77777777" w:rsidR="00E16F52" w:rsidRPr="00E16F52" w:rsidRDefault="00E16F52" w:rsidP="006D089F">
      <w:pPr>
        <w:spacing w:after="60" w:line="240" w:lineRule="auto"/>
        <w:ind w:left="426"/>
        <w:jc w:val="both"/>
        <w:rPr>
          <w:rFonts w:cstheme="minorHAnsi"/>
          <w:bCs/>
          <w:szCs w:val="24"/>
        </w:rPr>
      </w:pPr>
      <w:r w:rsidRPr="00E16F52">
        <w:rPr>
          <w:rFonts w:cstheme="minorHAnsi"/>
          <w:bCs/>
          <w:szCs w:val="24"/>
        </w:rPr>
        <w:t>Public art in the Town of East Fremantle should satisfy all the following criteria:</w:t>
      </w:r>
    </w:p>
    <w:p w14:paraId="6AF6819B" w14:textId="77777777" w:rsidR="00E16F52" w:rsidRPr="00E16F52" w:rsidRDefault="00E16F52" w:rsidP="002A3889">
      <w:pPr>
        <w:numPr>
          <w:ilvl w:val="0"/>
          <w:numId w:val="343"/>
        </w:numPr>
        <w:spacing w:after="60" w:line="240" w:lineRule="auto"/>
        <w:jc w:val="both"/>
        <w:rPr>
          <w:rFonts w:cstheme="minorHAnsi"/>
          <w:szCs w:val="24"/>
        </w:rPr>
      </w:pPr>
      <w:r w:rsidRPr="00E16F52">
        <w:rPr>
          <w:rFonts w:cstheme="minorHAnsi"/>
          <w:bCs/>
          <w:szCs w:val="24"/>
        </w:rPr>
        <w:t xml:space="preserve">be located where it can be clearly seen from the public </w:t>
      </w:r>
      <w:proofErr w:type="gramStart"/>
      <w:r w:rsidRPr="00E16F52">
        <w:rPr>
          <w:rFonts w:cstheme="minorHAnsi"/>
          <w:bCs/>
          <w:szCs w:val="24"/>
        </w:rPr>
        <w:t>realm;</w:t>
      </w:r>
      <w:proofErr w:type="gramEnd"/>
    </w:p>
    <w:p w14:paraId="0DD715CA" w14:textId="77777777" w:rsidR="00E16F52" w:rsidRPr="00E16F52" w:rsidRDefault="00E16F52" w:rsidP="002A3889">
      <w:pPr>
        <w:numPr>
          <w:ilvl w:val="0"/>
          <w:numId w:val="343"/>
        </w:numPr>
        <w:spacing w:after="60" w:line="240" w:lineRule="auto"/>
        <w:jc w:val="both"/>
        <w:rPr>
          <w:rFonts w:cstheme="minorHAnsi"/>
          <w:szCs w:val="24"/>
        </w:rPr>
      </w:pPr>
      <w:r w:rsidRPr="00E16F52">
        <w:rPr>
          <w:rFonts w:cstheme="minorHAnsi"/>
          <w:bCs/>
          <w:szCs w:val="24"/>
        </w:rPr>
        <w:t xml:space="preserve">be an original </w:t>
      </w:r>
      <w:proofErr w:type="gramStart"/>
      <w:r w:rsidRPr="00E16F52">
        <w:rPr>
          <w:rFonts w:cstheme="minorHAnsi"/>
          <w:bCs/>
          <w:szCs w:val="24"/>
        </w:rPr>
        <w:t>artwork;</w:t>
      </w:r>
      <w:proofErr w:type="gramEnd"/>
    </w:p>
    <w:p w14:paraId="0F6BB13D" w14:textId="77777777" w:rsidR="00E16F52" w:rsidRPr="00E16F52" w:rsidRDefault="00E16F52" w:rsidP="002A3889">
      <w:pPr>
        <w:numPr>
          <w:ilvl w:val="0"/>
          <w:numId w:val="343"/>
        </w:numPr>
        <w:spacing w:after="60" w:line="240" w:lineRule="auto"/>
        <w:jc w:val="both"/>
        <w:rPr>
          <w:rFonts w:cstheme="minorHAnsi"/>
          <w:szCs w:val="24"/>
        </w:rPr>
      </w:pPr>
      <w:r w:rsidRPr="00E16F52">
        <w:rPr>
          <w:rFonts w:cstheme="minorHAnsi"/>
          <w:bCs/>
          <w:szCs w:val="24"/>
        </w:rPr>
        <w:t xml:space="preserve">be of high </w:t>
      </w:r>
      <w:proofErr w:type="gramStart"/>
      <w:r w:rsidRPr="00E16F52">
        <w:rPr>
          <w:rFonts w:cstheme="minorHAnsi"/>
          <w:bCs/>
          <w:szCs w:val="24"/>
        </w:rPr>
        <w:t>quality;</w:t>
      </w:r>
      <w:proofErr w:type="gramEnd"/>
    </w:p>
    <w:p w14:paraId="317B363F" w14:textId="77777777" w:rsidR="00E16F52" w:rsidRPr="00E16F52" w:rsidRDefault="00E16F52" w:rsidP="002A3889">
      <w:pPr>
        <w:numPr>
          <w:ilvl w:val="0"/>
          <w:numId w:val="343"/>
        </w:numPr>
        <w:spacing w:after="60" w:line="240" w:lineRule="auto"/>
        <w:jc w:val="both"/>
        <w:rPr>
          <w:rFonts w:cstheme="minorHAnsi"/>
          <w:szCs w:val="24"/>
        </w:rPr>
      </w:pPr>
      <w:r w:rsidRPr="00E16F52">
        <w:rPr>
          <w:rFonts w:cstheme="minorHAnsi"/>
          <w:bCs/>
          <w:szCs w:val="24"/>
        </w:rPr>
        <w:t xml:space="preserve">be durable, sustainable and easy to </w:t>
      </w:r>
      <w:proofErr w:type="gramStart"/>
      <w:r w:rsidRPr="00E16F52">
        <w:rPr>
          <w:rFonts w:cstheme="minorHAnsi"/>
          <w:bCs/>
          <w:szCs w:val="24"/>
        </w:rPr>
        <w:t>maintain;</w:t>
      </w:r>
      <w:proofErr w:type="gramEnd"/>
    </w:p>
    <w:p w14:paraId="5EDCD47E" w14:textId="77777777" w:rsidR="00E16F52" w:rsidRPr="00E16F52" w:rsidRDefault="00E16F52" w:rsidP="002A3889">
      <w:pPr>
        <w:numPr>
          <w:ilvl w:val="0"/>
          <w:numId w:val="343"/>
        </w:numPr>
        <w:spacing w:after="60" w:line="240" w:lineRule="auto"/>
        <w:jc w:val="both"/>
        <w:rPr>
          <w:rFonts w:cstheme="minorHAnsi"/>
          <w:szCs w:val="24"/>
        </w:rPr>
      </w:pPr>
      <w:r w:rsidRPr="00E16F52">
        <w:rPr>
          <w:rFonts w:cstheme="minorHAnsi"/>
          <w:bCs/>
          <w:szCs w:val="24"/>
        </w:rPr>
        <w:t xml:space="preserve">contribute to an attractive and stimulating </w:t>
      </w:r>
      <w:proofErr w:type="gramStart"/>
      <w:r w:rsidRPr="00E16F52">
        <w:rPr>
          <w:rFonts w:cstheme="minorHAnsi"/>
          <w:bCs/>
          <w:szCs w:val="24"/>
        </w:rPr>
        <w:t>environment;</w:t>
      </w:r>
      <w:proofErr w:type="gramEnd"/>
    </w:p>
    <w:p w14:paraId="58D0DC29" w14:textId="77777777" w:rsidR="00E16F52" w:rsidRPr="00E16F52" w:rsidRDefault="00E16F52" w:rsidP="002A3889">
      <w:pPr>
        <w:numPr>
          <w:ilvl w:val="0"/>
          <w:numId w:val="343"/>
        </w:numPr>
        <w:spacing w:after="60" w:line="240" w:lineRule="auto"/>
        <w:jc w:val="both"/>
        <w:rPr>
          <w:rFonts w:cstheme="minorHAnsi"/>
          <w:szCs w:val="24"/>
        </w:rPr>
      </w:pPr>
      <w:r w:rsidRPr="00E16F52">
        <w:rPr>
          <w:rFonts w:cstheme="minorHAnsi"/>
          <w:bCs/>
          <w:szCs w:val="24"/>
        </w:rPr>
        <w:t xml:space="preserve">not detract from the amenity or safety of the surrounding </w:t>
      </w:r>
      <w:proofErr w:type="gramStart"/>
      <w:r w:rsidRPr="00E16F52">
        <w:rPr>
          <w:rFonts w:cstheme="minorHAnsi"/>
          <w:bCs/>
          <w:szCs w:val="24"/>
        </w:rPr>
        <w:t>area;</w:t>
      </w:r>
      <w:proofErr w:type="gramEnd"/>
    </w:p>
    <w:p w14:paraId="5F9AEA6F" w14:textId="77777777" w:rsidR="00E16F52" w:rsidRPr="00E16F52" w:rsidRDefault="00E16F52" w:rsidP="002A3889">
      <w:pPr>
        <w:numPr>
          <w:ilvl w:val="0"/>
          <w:numId w:val="343"/>
        </w:numPr>
        <w:spacing w:after="60" w:line="240" w:lineRule="auto"/>
        <w:jc w:val="both"/>
        <w:rPr>
          <w:rFonts w:cstheme="minorHAnsi"/>
          <w:szCs w:val="24"/>
        </w:rPr>
      </w:pPr>
      <w:r w:rsidRPr="00E16F52">
        <w:rPr>
          <w:rFonts w:cstheme="minorHAnsi"/>
          <w:bCs/>
          <w:szCs w:val="24"/>
        </w:rPr>
        <w:t xml:space="preserve">where considered appropriate, be lit at </w:t>
      </w:r>
      <w:proofErr w:type="gramStart"/>
      <w:r w:rsidRPr="00E16F52">
        <w:rPr>
          <w:rFonts w:cstheme="minorHAnsi"/>
          <w:bCs/>
          <w:szCs w:val="24"/>
        </w:rPr>
        <w:t>night;</w:t>
      </w:r>
      <w:proofErr w:type="gramEnd"/>
    </w:p>
    <w:p w14:paraId="5520807C" w14:textId="77777777" w:rsidR="00E16F52" w:rsidRPr="00E16F52" w:rsidRDefault="00E16F52" w:rsidP="002A3889">
      <w:pPr>
        <w:numPr>
          <w:ilvl w:val="0"/>
          <w:numId w:val="343"/>
        </w:numPr>
        <w:spacing w:after="60" w:line="240" w:lineRule="auto"/>
        <w:jc w:val="both"/>
        <w:rPr>
          <w:rFonts w:cstheme="minorHAnsi"/>
          <w:szCs w:val="24"/>
        </w:rPr>
      </w:pPr>
      <w:r w:rsidRPr="00E16F52">
        <w:rPr>
          <w:rFonts w:cstheme="minorHAnsi"/>
          <w:bCs/>
          <w:szCs w:val="24"/>
        </w:rPr>
        <w:t xml:space="preserve">be responsive to the site and reflect the local area’s natural, physical, cultural and/or social history, considering </w:t>
      </w:r>
      <w:r w:rsidRPr="00E16F52">
        <w:rPr>
          <w:rFonts w:cstheme="minorHAnsi"/>
          <w:bCs/>
          <w:szCs w:val="24"/>
          <w:lang w:val="en-GB"/>
        </w:rPr>
        <w:t xml:space="preserve">surrounding buildings and </w:t>
      </w:r>
      <w:proofErr w:type="gramStart"/>
      <w:r w:rsidRPr="00E16F52">
        <w:rPr>
          <w:rFonts w:cstheme="minorHAnsi"/>
          <w:bCs/>
          <w:szCs w:val="24"/>
          <w:lang w:val="en-GB"/>
        </w:rPr>
        <w:t>activities;</w:t>
      </w:r>
      <w:proofErr w:type="gramEnd"/>
    </w:p>
    <w:p w14:paraId="5AEDFEEB" w14:textId="77777777" w:rsidR="00E16F52" w:rsidRPr="00E16F52" w:rsidRDefault="00E16F52" w:rsidP="002A3889">
      <w:pPr>
        <w:numPr>
          <w:ilvl w:val="0"/>
          <w:numId w:val="343"/>
        </w:numPr>
        <w:spacing w:after="60" w:line="240" w:lineRule="auto"/>
        <w:jc w:val="both"/>
        <w:rPr>
          <w:rFonts w:cstheme="minorHAnsi"/>
          <w:szCs w:val="24"/>
        </w:rPr>
      </w:pPr>
      <w:r w:rsidRPr="00E16F52">
        <w:rPr>
          <w:rFonts w:cstheme="minorHAnsi"/>
          <w:bCs/>
          <w:szCs w:val="24"/>
        </w:rPr>
        <w:t>consider the existing public art in the vicinity</w:t>
      </w:r>
      <w:r w:rsidRPr="00E16F52">
        <w:rPr>
          <w:rFonts w:eastAsia="Calibri" w:cstheme="minorHAnsi"/>
          <w:bCs/>
          <w:color w:val="000000"/>
          <w:sz w:val="21"/>
          <w:szCs w:val="18"/>
          <w:lang w:eastAsia="en-GB"/>
        </w:rPr>
        <w:t xml:space="preserve"> </w:t>
      </w:r>
      <w:r w:rsidRPr="00E16F52">
        <w:rPr>
          <w:rFonts w:cstheme="minorHAnsi"/>
          <w:bCs/>
          <w:szCs w:val="24"/>
        </w:rPr>
        <w:t xml:space="preserve">to avoid repetition and to ensure the artwork is </w:t>
      </w:r>
      <w:proofErr w:type="gramStart"/>
      <w:r w:rsidRPr="00E16F52">
        <w:rPr>
          <w:rFonts w:cstheme="minorHAnsi"/>
          <w:bCs/>
          <w:szCs w:val="24"/>
        </w:rPr>
        <w:t>unique;</w:t>
      </w:r>
      <w:proofErr w:type="gramEnd"/>
    </w:p>
    <w:p w14:paraId="77597075" w14:textId="77777777" w:rsidR="00E16F52" w:rsidRPr="00E16F52" w:rsidRDefault="00E16F52" w:rsidP="002A3889">
      <w:pPr>
        <w:numPr>
          <w:ilvl w:val="0"/>
          <w:numId w:val="343"/>
        </w:numPr>
        <w:spacing w:after="60" w:line="240" w:lineRule="auto"/>
        <w:ind w:left="714" w:hanging="357"/>
        <w:jc w:val="both"/>
        <w:rPr>
          <w:rFonts w:cstheme="minorHAnsi"/>
          <w:szCs w:val="24"/>
        </w:rPr>
      </w:pPr>
      <w:r w:rsidRPr="00E16F52">
        <w:rPr>
          <w:rFonts w:cstheme="minorHAnsi"/>
          <w:bCs/>
          <w:szCs w:val="24"/>
          <w:lang w:val="en-GB"/>
        </w:rPr>
        <w:t xml:space="preserve">the project may be curated and coordinated by a specialist public art </w:t>
      </w:r>
      <w:proofErr w:type="gramStart"/>
      <w:r w:rsidRPr="00E16F52">
        <w:rPr>
          <w:rFonts w:cstheme="minorHAnsi"/>
          <w:bCs/>
          <w:szCs w:val="24"/>
          <w:lang w:val="en-GB"/>
        </w:rPr>
        <w:t>consultant</w:t>
      </w:r>
      <w:r w:rsidRPr="00E16F52">
        <w:rPr>
          <w:rFonts w:cstheme="minorHAnsi"/>
          <w:szCs w:val="24"/>
        </w:rPr>
        <w:t>;</w:t>
      </w:r>
      <w:proofErr w:type="gramEnd"/>
    </w:p>
    <w:p w14:paraId="3D3C38B5" w14:textId="77777777" w:rsidR="00E16F52" w:rsidRPr="00E16F52" w:rsidRDefault="00E16F52" w:rsidP="002A3889">
      <w:pPr>
        <w:numPr>
          <w:ilvl w:val="0"/>
          <w:numId w:val="343"/>
        </w:numPr>
        <w:spacing w:after="60" w:line="240" w:lineRule="auto"/>
        <w:ind w:left="714" w:hanging="357"/>
        <w:jc w:val="both"/>
        <w:rPr>
          <w:rFonts w:cstheme="minorHAnsi"/>
          <w:szCs w:val="24"/>
        </w:rPr>
      </w:pPr>
      <w:r w:rsidRPr="00E16F52">
        <w:rPr>
          <w:rFonts w:cstheme="minorHAnsi"/>
          <w:bCs/>
          <w:szCs w:val="24"/>
        </w:rPr>
        <w:t>be resistant as possible to vandalism; and</w:t>
      </w:r>
    </w:p>
    <w:p w14:paraId="4A584980" w14:textId="77777777" w:rsidR="00E16F52" w:rsidRPr="00E16F52" w:rsidRDefault="00E16F52" w:rsidP="002A3889">
      <w:pPr>
        <w:numPr>
          <w:ilvl w:val="0"/>
          <w:numId w:val="343"/>
        </w:numPr>
        <w:spacing w:after="0" w:line="240" w:lineRule="auto"/>
        <w:jc w:val="both"/>
        <w:rPr>
          <w:rFonts w:cstheme="minorHAnsi"/>
          <w:szCs w:val="24"/>
        </w:rPr>
      </w:pPr>
      <w:r w:rsidRPr="00E16F52">
        <w:rPr>
          <w:rFonts w:cstheme="minorHAnsi"/>
          <w:bCs/>
          <w:szCs w:val="24"/>
        </w:rPr>
        <w:lastRenderedPageBreak/>
        <w:t>have a minimum lifespan of twenty years unless otherwise stated in the Artist’s brief</w:t>
      </w:r>
      <w:r w:rsidRPr="00E16F52">
        <w:rPr>
          <w:rFonts w:cstheme="minorHAnsi"/>
          <w:bCs/>
          <w:szCs w:val="24"/>
          <w:lang w:val="en-GB"/>
        </w:rPr>
        <w:t>. </w:t>
      </w:r>
    </w:p>
    <w:p w14:paraId="380893DC" w14:textId="77777777" w:rsidR="00E16F52" w:rsidRPr="006D089F" w:rsidRDefault="00E16F52" w:rsidP="006D089F">
      <w:pPr>
        <w:spacing w:before="200" w:after="0" w:line="240" w:lineRule="auto"/>
        <w:jc w:val="both"/>
        <w:rPr>
          <w:rFonts w:cstheme="minorHAnsi"/>
          <w:b/>
          <w:sz w:val="24"/>
          <w:szCs w:val="24"/>
        </w:rPr>
      </w:pPr>
      <w:r w:rsidRPr="006D089F">
        <w:rPr>
          <w:rFonts w:cstheme="minorHAnsi"/>
          <w:b/>
          <w:sz w:val="24"/>
          <w:szCs w:val="24"/>
        </w:rPr>
        <w:t>Section 3: Resources</w:t>
      </w:r>
    </w:p>
    <w:p w14:paraId="3C1D2907" w14:textId="77777777" w:rsidR="00E16F52" w:rsidRPr="00E16F52" w:rsidRDefault="00E16F52" w:rsidP="00E16F52">
      <w:pPr>
        <w:spacing w:line="240" w:lineRule="auto"/>
        <w:jc w:val="both"/>
        <w:rPr>
          <w:rFonts w:cstheme="minorHAnsi"/>
          <w:szCs w:val="24"/>
        </w:rPr>
      </w:pPr>
      <w:r w:rsidRPr="00E16F52">
        <w:rPr>
          <w:rFonts w:cstheme="minorHAnsi"/>
          <w:szCs w:val="24"/>
        </w:rPr>
        <w:t xml:space="preserve">The Town of East Fremantle will ensure the successful progression of public art and allocating appropriate funds in accordance with the Town’s budget. </w:t>
      </w:r>
    </w:p>
    <w:p w14:paraId="45BBBDAC" w14:textId="77777777" w:rsidR="00E16F52" w:rsidRPr="00E16F52" w:rsidRDefault="00E16F52" w:rsidP="00E16F52">
      <w:pPr>
        <w:spacing w:line="240" w:lineRule="auto"/>
        <w:jc w:val="both"/>
        <w:rPr>
          <w:rFonts w:cstheme="minorHAnsi"/>
          <w:szCs w:val="24"/>
        </w:rPr>
      </w:pPr>
      <w:r w:rsidRPr="00E16F52">
        <w:rPr>
          <w:rFonts w:cstheme="minorHAnsi"/>
          <w:szCs w:val="24"/>
        </w:rPr>
        <w:t>The Town of East Fremantle will allocate an annual budget to enable the delivery of a quality public art program. If these funds are not spent within the financial year, the budget allocation will be included in the Arts &amp; Sculpture Reserve.</w:t>
      </w:r>
    </w:p>
    <w:p w14:paraId="4E6837F1" w14:textId="77777777" w:rsidR="00E16F52" w:rsidRPr="00E16F52" w:rsidRDefault="00E16F52" w:rsidP="00E16F52">
      <w:pPr>
        <w:spacing w:line="240" w:lineRule="auto"/>
        <w:jc w:val="both"/>
        <w:rPr>
          <w:rFonts w:cstheme="minorHAnsi"/>
          <w:szCs w:val="24"/>
        </w:rPr>
      </w:pPr>
      <w:r w:rsidRPr="00E16F52">
        <w:rPr>
          <w:rFonts w:cstheme="minorHAnsi"/>
          <w:szCs w:val="24"/>
        </w:rPr>
        <w:t>The Town of East Fremantle will also make budget provisions to care for works in the Council’s Public Art Collection.</w:t>
      </w:r>
    </w:p>
    <w:p w14:paraId="0F36E4D5" w14:textId="77777777" w:rsidR="006D089F" w:rsidRDefault="00E16F52" w:rsidP="006D089F">
      <w:pPr>
        <w:spacing w:after="0" w:line="240" w:lineRule="auto"/>
        <w:ind w:left="426" w:hanging="426"/>
        <w:jc w:val="both"/>
        <w:rPr>
          <w:rFonts w:cstheme="minorHAnsi"/>
          <w:b/>
          <w:szCs w:val="24"/>
        </w:rPr>
      </w:pPr>
      <w:r w:rsidRPr="00E16F52">
        <w:rPr>
          <w:rFonts w:cstheme="minorHAnsi"/>
          <w:b/>
          <w:szCs w:val="24"/>
        </w:rPr>
        <w:t xml:space="preserve">3.1 </w:t>
      </w:r>
      <w:r w:rsidR="006D089F">
        <w:rPr>
          <w:rFonts w:cstheme="minorHAnsi"/>
          <w:b/>
          <w:szCs w:val="24"/>
        </w:rPr>
        <w:tab/>
      </w:r>
      <w:r w:rsidRPr="00E16F52">
        <w:rPr>
          <w:rFonts w:cstheme="minorHAnsi"/>
          <w:b/>
          <w:szCs w:val="24"/>
        </w:rPr>
        <w:t>Percent for Public Art – Town of East Fremantle Works</w:t>
      </w:r>
    </w:p>
    <w:p w14:paraId="47F56F68" w14:textId="77777777" w:rsidR="00E16F52" w:rsidRPr="00E16F52" w:rsidRDefault="00E16F52" w:rsidP="00E16F52">
      <w:pPr>
        <w:spacing w:line="240" w:lineRule="auto"/>
        <w:ind w:left="426"/>
        <w:jc w:val="both"/>
        <w:rPr>
          <w:rFonts w:cstheme="minorHAnsi"/>
          <w:szCs w:val="24"/>
        </w:rPr>
      </w:pPr>
      <w:r w:rsidRPr="00E16F52">
        <w:rPr>
          <w:rFonts w:cstheme="minorHAnsi"/>
          <w:szCs w:val="24"/>
        </w:rPr>
        <w:t>The Town of East Fremantle will allocate a minimum of one percent (1%) of any capital building works project budget to integrating public art into each Council project. This applies to, but is not limited to, all Capital Works Building Projects (excluding public works infrastructure) and all Urban Design Projects with a minimum budget of $1 million</w:t>
      </w:r>
      <w:r w:rsidRPr="00E16F52" w:rsidDel="004F47C7">
        <w:rPr>
          <w:rFonts w:cstheme="minorHAnsi"/>
          <w:szCs w:val="24"/>
        </w:rPr>
        <w:t xml:space="preserve"> </w:t>
      </w:r>
      <w:r w:rsidRPr="00E16F52">
        <w:rPr>
          <w:rFonts w:cstheme="minorHAnsi"/>
          <w:szCs w:val="24"/>
        </w:rPr>
        <w:t xml:space="preserve">with a maximum cap of $100,000 </w:t>
      </w:r>
    </w:p>
    <w:p w14:paraId="2DBFD32E" w14:textId="77777777" w:rsidR="00E16F52" w:rsidRPr="00E16F52" w:rsidRDefault="00E16F52" w:rsidP="00E16F52">
      <w:pPr>
        <w:spacing w:line="240" w:lineRule="auto"/>
        <w:ind w:left="426"/>
        <w:jc w:val="both"/>
        <w:rPr>
          <w:rFonts w:cstheme="minorHAnsi"/>
          <w:szCs w:val="24"/>
        </w:rPr>
      </w:pPr>
      <w:r w:rsidRPr="00E16F52">
        <w:rPr>
          <w:rFonts w:cstheme="minorHAnsi"/>
          <w:szCs w:val="24"/>
        </w:rPr>
        <w:t>Maintenance projects, land acquisitions and general capital expenditure are exempted.</w:t>
      </w:r>
    </w:p>
    <w:p w14:paraId="331562DB" w14:textId="77777777" w:rsidR="00E16F52" w:rsidRPr="00E16F52" w:rsidRDefault="00E16F52" w:rsidP="00E16F52">
      <w:pPr>
        <w:spacing w:line="240" w:lineRule="auto"/>
        <w:ind w:left="426"/>
        <w:jc w:val="both"/>
        <w:rPr>
          <w:rFonts w:cstheme="minorHAnsi"/>
          <w:szCs w:val="24"/>
        </w:rPr>
      </w:pPr>
      <w:r w:rsidRPr="00E16F52">
        <w:rPr>
          <w:rFonts w:cstheme="minorHAnsi"/>
          <w:szCs w:val="24"/>
        </w:rPr>
        <w:t xml:space="preserve">Private developers are required to adhere to the Town of East Fremantle’s Local Planning Policy - Percent for Art.  </w:t>
      </w:r>
    </w:p>
    <w:p w14:paraId="567E288D" w14:textId="77777777" w:rsidR="00E16F52" w:rsidRPr="00E16F52" w:rsidRDefault="00E16F52" w:rsidP="006D089F">
      <w:pPr>
        <w:spacing w:after="0" w:line="240" w:lineRule="auto"/>
        <w:ind w:left="426" w:hanging="426"/>
        <w:jc w:val="both"/>
        <w:rPr>
          <w:rFonts w:cstheme="minorHAnsi"/>
          <w:b/>
          <w:szCs w:val="24"/>
        </w:rPr>
      </w:pPr>
      <w:r w:rsidRPr="00E16F52">
        <w:rPr>
          <w:rFonts w:cstheme="minorHAnsi"/>
          <w:b/>
          <w:szCs w:val="24"/>
        </w:rPr>
        <w:t xml:space="preserve">3.2 </w:t>
      </w:r>
      <w:r w:rsidR="006D089F">
        <w:rPr>
          <w:rFonts w:cstheme="minorHAnsi"/>
          <w:b/>
          <w:szCs w:val="24"/>
        </w:rPr>
        <w:tab/>
      </w:r>
      <w:r w:rsidRPr="00E16F52">
        <w:rPr>
          <w:rFonts w:cstheme="minorHAnsi"/>
          <w:b/>
          <w:szCs w:val="24"/>
        </w:rPr>
        <w:t>Arts &amp; Sculpture Reserve</w:t>
      </w:r>
    </w:p>
    <w:p w14:paraId="40E67D84" w14:textId="77777777" w:rsidR="00E16F52" w:rsidRPr="00E16F52" w:rsidRDefault="00E16F52" w:rsidP="00E16F52">
      <w:pPr>
        <w:spacing w:line="240" w:lineRule="auto"/>
        <w:ind w:left="426"/>
        <w:jc w:val="both"/>
        <w:rPr>
          <w:rFonts w:cstheme="minorHAnsi"/>
          <w:szCs w:val="24"/>
        </w:rPr>
      </w:pPr>
      <w:r w:rsidRPr="00E16F52">
        <w:rPr>
          <w:rFonts w:cstheme="minorHAnsi"/>
          <w:szCs w:val="24"/>
        </w:rPr>
        <w:t xml:space="preserve">The Arts &amp; Sculpture Reserve is the means for collecting and administering monies for the Public Art Strategy. The purpose of the Reserve is to fund the Public Art Strategy and to accumulate a fund to support major public art projects. </w:t>
      </w:r>
    </w:p>
    <w:p w14:paraId="656A180D" w14:textId="77777777" w:rsidR="00E16F52" w:rsidRPr="00E16F52" w:rsidRDefault="00E16F52" w:rsidP="00E16F52">
      <w:pPr>
        <w:spacing w:line="240" w:lineRule="auto"/>
        <w:ind w:left="426"/>
        <w:jc w:val="both"/>
        <w:rPr>
          <w:rFonts w:cstheme="minorHAnsi"/>
          <w:szCs w:val="24"/>
        </w:rPr>
      </w:pPr>
      <w:r w:rsidRPr="00E16F52">
        <w:rPr>
          <w:rFonts w:cstheme="minorHAnsi"/>
          <w:szCs w:val="24"/>
        </w:rPr>
        <w:t xml:space="preserve">Council will consider a contribution to the Arts &amp; Sculpture Reserve each year. Of this, an amount is made available for the implementation of the Public Art Strategy as outlined in the Public Art Annual Action Plan.  Reserve funds are also acquired through developer contributions via the Local Planning Policy - Percent for </w:t>
      </w:r>
      <w:proofErr w:type="gramStart"/>
      <w:r w:rsidRPr="00E16F52">
        <w:rPr>
          <w:rFonts w:cstheme="minorHAnsi"/>
          <w:szCs w:val="24"/>
        </w:rPr>
        <w:t>Art.  .</w:t>
      </w:r>
      <w:proofErr w:type="gramEnd"/>
    </w:p>
    <w:p w14:paraId="3229A887" w14:textId="77777777" w:rsidR="00E16F52" w:rsidRPr="00E16F52" w:rsidRDefault="006D089F" w:rsidP="006D089F">
      <w:pPr>
        <w:spacing w:after="0" w:line="240" w:lineRule="auto"/>
        <w:ind w:left="426" w:hanging="426"/>
        <w:jc w:val="both"/>
        <w:rPr>
          <w:rFonts w:cstheme="minorHAnsi"/>
          <w:b/>
          <w:szCs w:val="24"/>
        </w:rPr>
      </w:pPr>
      <w:r>
        <w:rPr>
          <w:rFonts w:cstheme="minorHAnsi"/>
          <w:b/>
          <w:szCs w:val="24"/>
        </w:rPr>
        <w:t>3.3</w:t>
      </w:r>
      <w:r>
        <w:rPr>
          <w:rFonts w:cstheme="minorHAnsi"/>
          <w:b/>
          <w:szCs w:val="24"/>
        </w:rPr>
        <w:tab/>
      </w:r>
      <w:r w:rsidR="00E16F52" w:rsidRPr="00E16F52">
        <w:rPr>
          <w:rFonts w:cstheme="minorHAnsi"/>
          <w:b/>
          <w:szCs w:val="24"/>
        </w:rPr>
        <w:t xml:space="preserve">Project Planning  </w:t>
      </w:r>
    </w:p>
    <w:p w14:paraId="03331BE9" w14:textId="77777777" w:rsidR="00E16F52" w:rsidRPr="00E16F52" w:rsidRDefault="00E16F52" w:rsidP="00E16F52">
      <w:pPr>
        <w:spacing w:line="240" w:lineRule="auto"/>
        <w:ind w:left="426"/>
        <w:jc w:val="both"/>
        <w:rPr>
          <w:rFonts w:cstheme="minorHAnsi"/>
          <w:szCs w:val="24"/>
        </w:rPr>
      </w:pPr>
      <w:r w:rsidRPr="00E16F52">
        <w:rPr>
          <w:rFonts w:cstheme="minorHAnsi"/>
          <w:szCs w:val="24"/>
        </w:rPr>
        <w:t xml:space="preserve">The Town of East Fremantle will endeavour to take a design exemplar approach to all public art projects by taking time to design well in the initial planning stage and </w:t>
      </w:r>
      <w:r w:rsidRPr="00E16F52" w:rsidDel="004F47C7">
        <w:rPr>
          <w:rFonts w:cstheme="minorHAnsi"/>
          <w:szCs w:val="24"/>
        </w:rPr>
        <w:t xml:space="preserve">by </w:t>
      </w:r>
      <w:r w:rsidRPr="00E16F52">
        <w:rPr>
          <w:rFonts w:cstheme="minorHAnsi"/>
          <w:szCs w:val="24"/>
        </w:rPr>
        <w:t>involving artists at the earliest stage of the design of public spaces and new developments.</w:t>
      </w:r>
    </w:p>
    <w:p w14:paraId="5AC27D74" w14:textId="77777777" w:rsidR="00E16F52" w:rsidRPr="00E16F52" w:rsidRDefault="006D089F" w:rsidP="006D089F">
      <w:pPr>
        <w:spacing w:after="0" w:line="240" w:lineRule="auto"/>
        <w:ind w:left="426" w:hanging="426"/>
        <w:jc w:val="both"/>
        <w:rPr>
          <w:rFonts w:cstheme="minorHAnsi"/>
          <w:b/>
          <w:szCs w:val="24"/>
        </w:rPr>
      </w:pPr>
      <w:r>
        <w:rPr>
          <w:rFonts w:cstheme="minorHAnsi"/>
          <w:b/>
          <w:szCs w:val="24"/>
        </w:rPr>
        <w:t>3.4</w:t>
      </w:r>
      <w:r>
        <w:rPr>
          <w:rFonts w:cstheme="minorHAnsi"/>
          <w:b/>
          <w:szCs w:val="24"/>
        </w:rPr>
        <w:tab/>
      </w:r>
      <w:r w:rsidR="00E16F52" w:rsidRPr="00E16F52">
        <w:rPr>
          <w:rFonts w:cstheme="minorHAnsi"/>
          <w:b/>
          <w:szCs w:val="24"/>
        </w:rPr>
        <w:t>Public Art Panel</w:t>
      </w:r>
    </w:p>
    <w:p w14:paraId="7253B3BD" w14:textId="77777777" w:rsidR="00E16F52" w:rsidRPr="00E16F52" w:rsidRDefault="00E16F52" w:rsidP="00E16F52">
      <w:pPr>
        <w:spacing w:line="240" w:lineRule="auto"/>
        <w:ind w:left="426"/>
        <w:jc w:val="both"/>
        <w:rPr>
          <w:rFonts w:cstheme="minorHAnsi"/>
          <w:szCs w:val="24"/>
        </w:rPr>
      </w:pPr>
      <w:r w:rsidRPr="00E16F52">
        <w:rPr>
          <w:rFonts w:cstheme="minorHAnsi"/>
          <w:szCs w:val="24"/>
        </w:rPr>
        <w:t>A Public Art Panel will be appointed to provide guidance for the Council’s Public Art Strategy. The Public Art Panel has responsibility for overseeing and making recommendations to the Council on matters related to the Public Art Strategy.</w:t>
      </w:r>
    </w:p>
    <w:p w14:paraId="10236062" w14:textId="77777777" w:rsidR="00E16F52" w:rsidRPr="00E16F52" w:rsidRDefault="006D089F" w:rsidP="00E16F52">
      <w:pPr>
        <w:spacing w:line="240" w:lineRule="auto"/>
        <w:ind w:left="426"/>
        <w:jc w:val="both"/>
        <w:rPr>
          <w:rFonts w:cstheme="minorHAnsi"/>
          <w:szCs w:val="24"/>
        </w:rPr>
      </w:pPr>
      <w:r>
        <w:rPr>
          <w:rFonts w:cstheme="minorHAnsi"/>
          <w:szCs w:val="24"/>
        </w:rPr>
        <w:t>See Public Art Panel Policy 4.1.2</w:t>
      </w:r>
    </w:p>
    <w:p w14:paraId="383559DB" w14:textId="77777777" w:rsidR="00E16F52" w:rsidRPr="00E16F52" w:rsidRDefault="00E16F52" w:rsidP="006D089F">
      <w:pPr>
        <w:spacing w:after="0" w:line="240" w:lineRule="auto"/>
        <w:ind w:left="426" w:hanging="426"/>
        <w:jc w:val="both"/>
        <w:rPr>
          <w:rFonts w:cstheme="minorHAnsi"/>
          <w:b/>
          <w:szCs w:val="24"/>
        </w:rPr>
      </w:pPr>
      <w:r w:rsidRPr="00E16F52">
        <w:rPr>
          <w:rFonts w:cstheme="minorHAnsi"/>
          <w:b/>
          <w:szCs w:val="24"/>
        </w:rPr>
        <w:t xml:space="preserve">3.5 </w:t>
      </w:r>
      <w:r w:rsidR="006D089F">
        <w:rPr>
          <w:rFonts w:cstheme="minorHAnsi"/>
          <w:b/>
          <w:szCs w:val="24"/>
        </w:rPr>
        <w:tab/>
      </w:r>
      <w:r w:rsidRPr="00E16F52">
        <w:rPr>
          <w:rFonts w:cstheme="minorHAnsi"/>
          <w:b/>
          <w:szCs w:val="24"/>
        </w:rPr>
        <w:t>Acquisitions</w:t>
      </w:r>
    </w:p>
    <w:p w14:paraId="71C5009F" w14:textId="77777777" w:rsidR="00E16F52" w:rsidRPr="00E16F52" w:rsidRDefault="00E16F52" w:rsidP="00E16F52">
      <w:pPr>
        <w:spacing w:line="240" w:lineRule="auto"/>
        <w:ind w:left="425"/>
        <w:jc w:val="both"/>
        <w:rPr>
          <w:rFonts w:cstheme="minorHAnsi"/>
          <w:szCs w:val="24"/>
        </w:rPr>
      </w:pPr>
      <w:r w:rsidRPr="00E16F52">
        <w:rPr>
          <w:rFonts w:cstheme="minorHAnsi"/>
          <w:szCs w:val="24"/>
        </w:rPr>
        <w:t>The Council may consider employing a public art curator to prepare a report on proposed new acquisitions. The report will include an assessment against the criteria and principals outlined in this policy as well information on installing the work and best practice. This report will be provided to the Public Art Panel to ensure informed decisions are made.</w:t>
      </w:r>
    </w:p>
    <w:p w14:paraId="2DB5BA57" w14:textId="77777777" w:rsidR="00BC54F9" w:rsidRDefault="00BC54F9">
      <w:pPr>
        <w:rPr>
          <w:rFonts w:cstheme="minorHAnsi"/>
          <w:b/>
          <w:szCs w:val="24"/>
        </w:rPr>
      </w:pPr>
      <w:r>
        <w:rPr>
          <w:rFonts w:cstheme="minorHAnsi"/>
          <w:b/>
          <w:szCs w:val="24"/>
        </w:rPr>
        <w:br w:type="page"/>
      </w:r>
    </w:p>
    <w:p w14:paraId="2FBA68B5" w14:textId="77777777" w:rsidR="00E16F52" w:rsidRPr="00E16F52" w:rsidRDefault="00E16F52" w:rsidP="006D089F">
      <w:pPr>
        <w:spacing w:after="0" w:line="240" w:lineRule="auto"/>
        <w:ind w:left="426" w:hanging="426"/>
        <w:jc w:val="both"/>
        <w:rPr>
          <w:rFonts w:cstheme="minorHAnsi"/>
          <w:b/>
          <w:szCs w:val="24"/>
        </w:rPr>
      </w:pPr>
      <w:r w:rsidRPr="00E16F52">
        <w:rPr>
          <w:rFonts w:cstheme="minorHAnsi"/>
          <w:b/>
          <w:szCs w:val="24"/>
        </w:rPr>
        <w:lastRenderedPageBreak/>
        <w:t xml:space="preserve">3.6 </w:t>
      </w:r>
      <w:r w:rsidR="006D089F">
        <w:rPr>
          <w:rFonts w:cstheme="minorHAnsi"/>
          <w:b/>
          <w:szCs w:val="24"/>
        </w:rPr>
        <w:tab/>
      </w:r>
      <w:r w:rsidRPr="00E16F52">
        <w:rPr>
          <w:rFonts w:cstheme="minorHAnsi"/>
          <w:b/>
          <w:szCs w:val="24"/>
        </w:rPr>
        <w:t>Management of the Collection</w:t>
      </w:r>
    </w:p>
    <w:p w14:paraId="1D4FBE13" w14:textId="77777777" w:rsidR="00E16F52" w:rsidRPr="00E16F52" w:rsidRDefault="00E16F52" w:rsidP="006D089F">
      <w:pPr>
        <w:spacing w:after="60"/>
        <w:ind w:left="426"/>
        <w:jc w:val="both"/>
        <w:rPr>
          <w:rFonts w:cstheme="minorHAnsi"/>
          <w:szCs w:val="24"/>
        </w:rPr>
      </w:pPr>
      <w:r w:rsidRPr="00E16F52">
        <w:rPr>
          <w:rFonts w:cstheme="minorHAnsi"/>
          <w:szCs w:val="24"/>
        </w:rPr>
        <w:t>The Town will:</w:t>
      </w:r>
    </w:p>
    <w:p w14:paraId="173B9BF9" w14:textId="77777777" w:rsidR="00E16F52" w:rsidRPr="00E16F52" w:rsidRDefault="00E16F52" w:rsidP="002A3889">
      <w:pPr>
        <w:numPr>
          <w:ilvl w:val="0"/>
          <w:numId w:val="344"/>
        </w:numPr>
        <w:tabs>
          <w:tab w:val="clear" w:pos="720"/>
        </w:tabs>
        <w:spacing w:after="60" w:line="240" w:lineRule="auto"/>
        <w:ind w:left="709" w:hanging="283"/>
        <w:jc w:val="both"/>
        <w:rPr>
          <w:rFonts w:cstheme="minorHAnsi"/>
          <w:szCs w:val="24"/>
        </w:rPr>
      </w:pPr>
      <w:r w:rsidRPr="00E16F52">
        <w:rPr>
          <w:rFonts w:cstheme="minorHAnsi"/>
          <w:szCs w:val="24"/>
        </w:rPr>
        <w:t xml:space="preserve">Review the collection, update the database and submit a condition and insurance report (as required) and make recommendations regarding the general maintenance and conservation of the collection and an appropriate maintenance budget allocation for the </w:t>
      </w:r>
      <w:proofErr w:type="gramStart"/>
      <w:r w:rsidRPr="00E16F52">
        <w:rPr>
          <w:rFonts w:cstheme="minorHAnsi"/>
          <w:szCs w:val="24"/>
        </w:rPr>
        <w:t>collection;</w:t>
      </w:r>
      <w:proofErr w:type="gramEnd"/>
      <w:r w:rsidRPr="00E16F52">
        <w:rPr>
          <w:rFonts w:cstheme="minorHAnsi"/>
          <w:szCs w:val="24"/>
        </w:rPr>
        <w:t xml:space="preserve"> </w:t>
      </w:r>
    </w:p>
    <w:p w14:paraId="64DB545B" w14:textId="77777777" w:rsidR="00E16F52" w:rsidRPr="00E16F52" w:rsidRDefault="00E16F52" w:rsidP="002A3889">
      <w:pPr>
        <w:numPr>
          <w:ilvl w:val="0"/>
          <w:numId w:val="344"/>
        </w:numPr>
        <w:spacing w:after="60" w:line="240" w:lineRule="auto"/>
        <w:ind w:left="709" w:hanging="283"/>
        <w:jc w:val="both"/>
        <w:rPr>
          <w:rFonts w:cstheme="minorHAnsi"/>
          <w:szCs w:val="24"/>
        </w:rPr>
      </w:pPr>
      <w:r w:rsidRPr="00E16F52">
        <w:rPr>
          <w:rFonts w:cstheme="minorHAnsi"/>
          <w:szCs w:val="24"/>
        </w:rPr>
        <w:t xml:space="preserve">The collection shall be well </w:t>
      </w:r>
      <w:proofErr w:type="gramStart"/>
      <w:r w:rsidRPr="00E16F52">
        <w:rPr>
          <w:rFonts w:cstheme="minorHAnsi"/>
          <w:szCs w:val="24"/>
        </w:rPr>
        <w:t>maintained</w:t>
      </w:r>
      <w:proofErr w:type="gramEnd"/>
      <w:r w:rsidRPr="00E16F52">
        <w:rPr>
          <w:rFonts w:cstheme="minorHAnsi"/>
          <w:szCs w:val="24"/>
        </w:rPr>
        <w:t xml:space="preserve"> and the annual budget allocation should reflect the conservation requirements of the current collection based on recommendations sought from suitably qualified professionals;</w:t>
      </w:r>
    </w:p>
    <w:p w14:paraId="4D400A0A" w14:textId="77777777" w:rsidR="00E16F52" w:rsidRPr="00E16F52" w:rsidRDefault="00E16F52" w:rsidP="002A3889">
      <w:pPr>
        <w:numPr>
          <w:ilvl w:val="0"/>
          <w:numId w:val="344"/>
        </w:numPr>
        <w:spacing w:after="60" w:line="240" w:lineRule="auto"/>
        <w:ind w:left="709" w:hanging="283"/>
        <w:jc w:val="both"/>
        <w:rPr>
          <w:rFonts w:cstheme="minorHAnsi"/>
          <w:szCs w:val="24"/>
        </w:rPr>
      </w:pPr>
      <w:r w:rsidRPr="00E16F52">
        <w:rPr>
          <w:rFonts w:cstheme="minorHAnsi"/>
          <w:szCs w:val="24"/>
        </w:rPr>
        <w:t xml:space="preserve">The public art collection database shall detail all works, including the name of artists, work title, date of production, media, technical details, size, preferred viewing specifications, inscriptions, comments or background by the artist and others </w:t>
      </w:r>
      <w:proofErr w:type="gramStart"/>
      <w:r w:rsidRPr="00E16F52">
        <w:rPr>
          <w:rFonts w:cstheme="minorHAnsi"/>
          <w:szCs w:val="24"/>
        </w:rPr>
        <w:t>etc;</w:t>
      </w:r>
      <w:proofErr w:type="gramEnd"/>
    </w:p>
    <w:p w14:paraId="2CCDF973" w14:textId="77777777" w:rsidR="00E16F52" w:rsidRPr="00E16F52" w:rsidRDefault="00E16F52" w:rsidP="002A3889">
      <w:pPr>
        <w:numPr>
          <w:ilvl w:val="0"/>
          <w:numId w:val="344"/>
        </w:numPr>
        <w:spacing w:after="60" w:line="240" w:lineRule="auto"/>
        <w:ind w:left="709" w:hanging="283"/>
        <w:jc w:val="both"/>
        <w:rPr>
          <w:rFonts w:cstheme="minorHAnsi"/>
          <w:szCs w:val="24"/>
        </w:rPr>
      </w:pPr>
      <w:r w:rsidRPr="00E16F52">
        <w:rPr>
          <w:rFonts w:cstheme="minorHAnsi"/>
          <w:szCs w:val="24"/>
        </w:rPr>
        <w:t>A comprehensive photographic archive shall be maintained; and</w:t>
      </w:r>
    </w:p>
    <w:p w14:paraId="74E7861E" w14:textId="77777777" w:rsidR="00E16F52" w:rsidRPr="00E16F52" w:rsidRDefault="00E16F52" w:rsidP="002A3889">
      <w:pPr>
        <w:numPr>
          <w:ilvl w:val="0"/>
          <w:numId w:val="344"/>
        </w:numPr>
        <w:spacing w:line="240" w:lineRule="auto"/>
        <w:ind w:left="709" w:hanging="283"/>
        <w:jc w:val="both"/>
        <w:rPr>
          <w:rFonts w:cstheme="minorHAnsi"/>
          <w:szCs w:val="24"/>
        </w:rPr>
      </w:pPr>
      <w:r w:rsidRPr="00E16F52">
        <w:rPr>
          <w:rFonts w:cstheme="minorHAnsi"/>
          <w:szCs w:val="24"/>
        </w:rPr>
        <w:t>The collection shall be valued at least every five years, or as recommended by professional advice and the valuation is to be recorded in the collection database.</w:t>
      </w:r>
    </w:p>
    <w:p w14:paraId="711128D4" w14:textId="77777777" w:rsidR="00E16F52" w:rsidRPr="00E16F52" w:rsidRDefault="00E16F52" w:rsidP="006D089F">
      <w:pPr>
        <w:spacing w:after="0" w:line="240" w:lineRule="auto"/>
        <w:ind w:left="426" w:hanging="426"/>
        <w:jc w:val="both"/>
        <w:rPr>
          <w:rFonts w:cstheme="minorHAnsi"/>
          <w:b/>
          <w:szCs w:val="24"/>
        </w:rPr>
      </w:pPr>
      <w:r w:rsidRPr="00E16F52">
        <w:rPr>
          <w:rFonts w:cstheme="minorHAnsi"/>
          <w:b/>
          <w:szCs w:val="24"/>
        </w:rPr>
        <w:t xml:space="preserve">3.7 </w:t>
      </w:r>
      <w:r w:rsidR="006D089F">
        <w:rPr>
          <w:rFonts w:cstheme="minorHAnsi"/>
          <w:b/>
          <w:szCs w:val="24"/>
        </w:rPr>
        <w:tab/>
      </w:r>
      <w:r w:rsidRPr="00E16F52">
        <w:rPr>
          <w:rFonts w:cstheme="minorHAnsi"/>
          <w:b/>
          <w:szCs w:val="24"/>
        </w:rPr>
        <w:t xml:space="preserve">Planning </w:t>
      </w:r>
    </w:p>
    <w:p w14:paraId="3A5837A4" w14:textId="77777777" w:rsidR="00E16F52" w:rsidRPr="00E16F52" w:rsidRDefault="00E16F52" w:rsidP="00E16F52">
      <w:pPr>
        <w:spacing w:line="240" w:lineRule="auto"/>
        <w:ind w:left="426"/>
        <w:jc w:val="both"/>
        <w:rPr>
          <w:rFonts w:cstheme="minorHAnsi"/>
          <w:szCs w:val="24"/>
        </w:rPr>
      </w:pPr>
      <w:r w:rsidRPr="00E16F52">
        <w:rPr>
          <w:rFonts w:cstheme="minorHAnsi"/>
          <w:szCs w:val="24"/>
        </w:rPr>
        <w:t xml:space="preserve">The Town of East Fremantle will prepare a </w:t>
      </w:r>
      <w:proofErr w:type="gramStart"/>
      <w:r w:rsidRPr="00E16F52">
        <w:rPr>
          <w:rFonts w:cstheme="minorHAnsi"/>
          <w:szCs w:val="24"/>
        </w:rPr>
        <w:t>Four Year</w:t>
      </w:r>
      <w:proofErr w:type="gramEnd"/>
      <w:r w:rsidRPr="00E16F52">
        <w:rPr>
          <w:rFonts w:cstheme="minorHAnsi"/>
          <w:szCs w:val="24"/>
        </w:rPr>
        <w:t xml:space="preserve"> Public Art Action Plan as a framework to guide the implementation of the Public Art Strategy. </w:t>
      </w:r>
      <w:r w:rsidRPr="00E16F52">
        <w:rPr>
          <w:rFonts w:cstheme="minorHAnsi"/>
          <w:color w:val="FF0000"/>
          <w:szCs w:val="24"/>
        </w:rPr>
        <w:t xml:space="preserve"> </w:t>
      </w:r>
    </w:p>
    <w:p w14:paraId="655B5456" w14:textId="77777777" w:rsidR="00E16F52" w:rsidRPr="00E16F52" w:rsidRDefault="00E16F52" w:rsidP="00E16F52">
      <w:pPr>
        <w:spacing w:line="240" w:lineRule="auto"/>
        <w:ind w:left="426"/>
        <w:jc w:val="both"/>
        <w:rPr>
          <w:rFonts w:cstheme="minorHAnsi"/>
          <w:szCs w:val="24"/>
        </w:rPr>
      </w:pPr>
      <w:r w:rsidRPr="00E16F52">
        <w:rPr>
          <w:rFonts w:cstheme="minorHAnsi"/>
          <w:szCs w:val="24"/>
        </w:rPr>
        <w:t xml:space="preserve">The </w:t>
      </w:r>
      <w:proofErr w:type="gramStart"/>
      <w:r w:rsidRPr="00E16F52">
        <w:rPr>
          <w:rFonts w:cstheme="minorHAnsi"/>
          <w:szCs w:val="24"/>
        </w:rPr>
        <w:t>Four Year</w:t>
      </w:r>
      <w:proofErr w:type="gramEnd"/>
      <w:r w:rsidRPr="00E16F52">
        <w:rPr>
          <w:rFonts w:cstheme="minorHAnsi"/>
          <w:szCs w:val="24"/>
        </w:rPr>
        <w:t xml:space="preserve"> Public Art Action Plan will provide a strategic platform for the ongoing development of the Public Art Strategy with clear direction and enough flexibility to evolve and change as necessary. </w:t>
      </w:r>
    </w:p>
    <w:p w14:paraId="7BBF4533" w14:textId="77777777" w:rsidR="00E16F52" w:rsidRPr="00E16F52" w:rsidRDefault="00E16F52" w:rsidP="006D089F">
      <w:pPr>
        <w:spacing w:after="0" w:line="240" w:lineRule="auto"/>
        <w:ind w:left="426" w:hanging="426"/>
        <w:jc w:val="both"/>
        <w:rPr>
          <w:rFonts w:cstheme="minorHAnsi"/>
          <w:b/>
          <w:szCs w:val="24"/>
        </w:rPr>
      </w:pPr>
      <w:r w:rsidRPr="00E16F52">
        <w:rPr>
          <w:rFonts w:cstheme="minorHAnsi"/>
          <w:b/>
          <w:szCs w:val="24"/>
        </w:rPr>
        <w:t xml:space="preserve">3.8 </w:t>
      </w:r>
      <w:r w:rsidR="006D089F">
        <w:rPr>
          <w:rFonts w:cstheme="minorHAnsi"/>
          <w:b/>
          <w:szCs w:val="24"/>
        </w:rPr>
        <w:tab/>
      </w:r>
      <w:r w:rsidRPr="00E16F52">
        <w:rPr>
          <w:rFonts w:cstheme="minorHAnsi"/>
          <w:b/>
          <w:szCs w:val="24"/>
        </w:rPr>
        <w:t>P</w:t>
      </w:r>
      <w:r w:rsidRPr="00E16F52">
        <w:rPr>
          <w:rFonts w:cstheme="minorHAnsi"/>
          <w:b/>
          <w:bCs/>
          <w:szCs w:val="24"/>
        </w:rPr>
        <w:t>romote</w:t>
      </w:r>
      <w:r w:rsidRPr="00E16F52">
        <w:rPr>
          <w:rStyle w:val="apple-converted-space"/>
          <w:rFonts w:cstheme="minorHAnsi"/>
          <w:b/>
          <w:bCs/>
          <w:szCs w:val="24"/>
        </w:rPr>
        <w:t> </w:t>
      </w:r>
    </w:p>
    <w:p w14:paraId="73CEAD2F" w14:textId="77777777" w:rsidR="00E16F52" w:rsidRPr="00E16F52" w:rsidRDefault="00E16F52" w:rsidP="00E16F52">
      <w:pPr>
        <w:pStyle w:val="p1"/>
        <w:ind w:left="426"/>
        <w:jc w:val="both"/>
        <w:rPr>
          <w:rStyle w:val="apple-converted-space"/>
          <w:rFonts w:asciiTheme="minorHAnsi" w:hAnsiTheme="minorHAnsi" w:cstheme="minorHAnsi"/>
          <w:sz w:val="22"/>
          <w:szCs w:val="24"/>
        </w:rPr>
      </w:pPr>
      <w:r w:rsidRPr="00E16F52">
        <w:rPr>
          <w:rFonts w:asciiTheme="minorHAnsi" w:hAnsiTheme="minorHAnsi" w:cstheme="minorHAnsi"/>
          <w:sz w:val="22"/>
          <w:szCs w:val="24"/>
        </w:rPr>
        <w:t>The Town of East Fremantl</w:t>
      </w:r>
      <w:r w:rsidRPr="00E16F52">
        <w:rPr>
          <w:rFonts w:asciiTheme="minorHAnsi" w:hAnsiTheme="minorHAnsi" w:cstheme="minorHAnsi"/>
          <w:i/>
          <w:sz w:val="22"/>
          <w:szCs w:val="24"/>
        </w:rPr>
        <w:t>e</w:t>
      </w:r>
      <w:r w:rsidRPr="00E16F52">
        <w:rPr>
          <w:rFonts w:asciiTheme="minorHAnsi" w:hAnsiTheme="minorHAnsi" w:cstheme="minorHAnsi"/>
          <w:sz w:val="22"/>
          <w:szCs w:val="24"/>
        </w:rPr>
        <w:t xml:space="preserve"> will provide media announcements, signage, publications, online and other methods to promote its Public Art Collection.</w:t>
      </w:r>
      <w:r w:rsidRPr="00E16F52">
        <w:rPr>
          <w:rStyle w:val="apple-converted-space"/>
          <w:rFonts w:asciiTheme="minorHAnsi" w:hAnsiTheme="minorHAnsi" w:cstheme="minorHAnsi"/>
          <w:sz w:val="22"/>
          <w:szCs w:val="24"/>
        </w:rPr>
        <w:t> </w:t>
      </w:r>
    </w:p>
    <w:p w14:paraId="5AD6E76C" w14:textId="77777777" w:rsidR="00E16F52" w:rsidRPr="006D089F" w:rsidRDefault="00E16F52" w:rsidP="006D089F">
      <w:pPr>
        <w:spacing w:before="200" w:after="0" w:line="240" w:lineRule="auto"/>
        <w:jc w:val="both"/>
        <w:rPr>
          <w:rFonts w:cstheme="minorHAnsi"/>
          <w:b/>
          <w:sz w:val="24"/>
          <w:szCs w:val="24"/>
        </w:rPr>
      </w:pPr>
      <w:r w:rsidRPr="006D089F">
        <w:rPr>
          <w:rFonts w:cstheme="minorHAnsi"/>
          <w:b/>
          <w:sz w:val="24"/>
          <w:szCs w:val="24"/>
        </w:rPr>
        <w:t xml:space="preserve">Section 4: Related Policies and Plans  </w:t>
      </w:r>
    </w:p>
    <w:p w14:paraId="0179041D" w14:textId="77777777" w:rsidR="00E16F52" w:rsidRPr="00E16F52" w:rsidRDefault="00E16F52" w:rsidP="006D089F">
      <w:pPr>
        <w:spacing w:after="60" w:line="240" w:lineRule="auto"/>
        <w:jc w:val="both"/>
        <w:rPr>
          <w:rFonts w:cstheme="minorHAnsi"/>
          <w:szCs w:val="24"/>
        </w:rPr>
      </w:pPr>
      <w:r w:rsidRPr="00E16F52">
        <w:rPr>
          <w:rFonts w:cstheme="minorHAnsi"/>
          <w:szCs w:val="24"/>
        </w:rPr>
        <w:t>Interpretation and implementation of this Policy is in accordance with the Town of East Fremantle documents as outlined below.</w:t>
      </w:r>
    </w:p>
    <w:p w14:paraId="1A9F72E7" w14:textId="77777777" w:rsidR="00E16F52" w:rsidRPr="00E16F52" w:rsidRDefault="00E16F52" w:rsidP="002A3889">
      <w:pPr>
        <w:numPr>
          <w:ilvl w:val="0"/>
          <w:numId w:val="309"/>
        </w:numPr>
        <w:spacing w:after="60" w:line="240" w:lineRule="auto"/>
        <w:jc w:val="both"/>
        <w:rPr>
          <w:rFonts w:cstheme="minorHAnsi"/>
          <w:szCs w:val="24"/>
        </w:rPr>
      </w:pPr>
      <w:r w:rsidRPr="00E16F52">
        <w:rPr>
          <w:rFonts w:cstheme="minorHAnsi"/>
          <w:szCs w:val="24"/>
        </w:rPr>
        <w:t>Town of East Fremantle Public Art Strategy</w:t>
      </w:r>
    </w:p>
    <w:p w14:paraId="7207BB64" w14:textId="77777777" w:rsidR="00E16F52" w:rsidRPr="00E16F52" w:rsidRDefault="00E16F52" w:rsidP="002A3889">
      <w:pPr>
        <w:numPr>
          <w:ilvl w:val="0"/>
          <w:numId w:val="309"/>
        </w:numPr>
        <w:spacing w:after="60" w:line="240" w:lineRule="auto"/>
        <w:jc w:val="both"/>
        <w:rPr>
          <w:rFonts w:cstheme="minorHAnsi"/>
          <w:szCs w:val="24"/>
        </w:rPr>
      </w:pPr>
      <w:r w:rsidRPr="00E16F52">
        <w:rPr>
          <w:rFonts w:cstheme="minorHAnsi"/>
          <w:szCs w:val="24"/>
        </w:rPr>
        <w:t xml:space="preserve">Town of East Fremantle Local Planning Policy - Percent for Public Art </w:t>
      </w:r>
    </w:p>
    <w:p w14:paraId="2DACEEDE" w14:textId="77777777" w:rsidR="00E16F52" w:rsidRPr="00E16F52" w:rsidRDefault="00E16F52" w:rsidP="002A3889">
      <w:pPr>
        <w:numPr>
          <w:ilvl w:val="0"/>
          <w:numId w:val="309"/>
        </w:numPr>
        <w:spacing w:after="60" w:line="240" w:lineRule="auto"/>
        <w:jc w:val="both"/>
        <w:rPr>
          <w:rFonts w:cstheme="minorHAnsi"/>
          <w:szCs w:val="24"/>
        </w:rPr>
      </w:pPr>
      <w:r w:rsidRPr="00E16F52">
        <w:rPr>
          <w:rFonts w:cstheme="minorHAnsi"/>
          <w:szCs w:val="24"/>
        </w:rPr>
        <w:t>Town of East Fremantle Public Art Annual Action Plan 2017/18 – 2020/21</w:t>
      </w:r>
    </w:p>
    <w:p w14:paraId="5E547C5C" w14:textId="77777777" w:rsidR="00E16F52" w:rsidRPr="00E16F52" w:rsidRDefault="00E16F52" w:rsidP="002A3889">
      <w:pPr>
        <w:numPr>
          <w:ilvl w:val="0"/>
          <w:numId w:val="309"/>
        </w:numPr>
        <w:spacing w:after="0" w:line="240" w:lineRule="auto"/>
        <w:jc w:val="both"/>
        <w:rPr>
          <w:rFonts w:cstheme="minorHAnsi"/>
          <w:szCs w:val="24"/>
        </w:rPr>
      </w:pPr>
      <w:r w:rsidRPr="00E16F52">
        <w:rPr>
          <w:rFonts w:cstheme="minorHAnsi"/>
          <w:szCs w:val="24"/>
        </w:rPr>
        <w:t>Town of East Fremantle Public Art Panel Policy</w:t>
      </w:r>
    </w:p>
    <w:p w14:paraId="6A33BAB9" w14:textId="77777777" w:rsidR="00E16F52" w:rsidRPr="00E16F52" w:rsidRDefault="00E16F52" w:rsidP="006D089F">
      <w:pPr>
        <w:spacing w:before="200" w:after="60"/>
        <w:jc w:val="both"/>
        <w:rPr>
          <w:rFonts w:cstheme="minorHAnsi"/>
          <w:b/>
          <w:szCs w:val="24"/>
        </w:rPr>
      </w:pPr>
      <w:r w:rsidRPr="00E16F52">
        <w:rPr>
          <w:rFonts w:cstheme="minorHAnsi"/>
          <w:b/>
          <w:szCs w:val="24"/>
        </w:rPr>
        <w:t>Other Related Policies or Plans</w:t>
      </w:r>
    </w:p>
    <w:p w14:paraId="5D8F3B39" w14:textId="77777777" w:rsidR="00E16F52" w:rsidRPr="00E16F52" w:rsidRDefault="00E16F52" w:rsidP="002A3889">
      <w:pPr>
        <w:pStyle w:val="ListParagraph"/>
        <w:numPr>
          <w:ilvl w:val="0"/>
          <w:numId w:val="322"/>
        </w:numPr>
        <w:spacing w:after="0"/>
        <w:jc w:val="both"/>
        <w:rPr>
          <w:rFonts w:cstheme="minorHAnsi"/>
          <w:szCs w:val="24"/>
        </w:rPr>
      </w:pPr>
      <w:r w:rsidRPr="00E16F52">
        <w:rPr>
          <w:rFonts w:cstheme="minorHAnsi"/>
          <w:szCs w:val="24"/>
        </w:rPr>
        <w:t xml:space="preserve">Town of East Fremantle Strategic Community Plan 2017-2027 </w:t>
      </w:r>
    </w:p>
    <w:p w14:paraId="5ADFE8C0" w14:textId="77777777" w:rsidR="00E16F52" w:rsidRPr="006D089F" w:rsidRDefault="00E16F52" w:rsidP="006D089F">
      <w:pPr>
        <w:spacing w:before="200"/>
        <w:jc w:val="both"/>
        <w:rPr>
          <w:rFonts w:cstheme="minorHAnsi"/>
          <w:b/>
          <w:sz w:val="24"/>
          <w:szCs w:val="24"/>
        </w:rPr>
      </w:pPr>
      <w:r w:rsidRPr="006D089F">
        <w:rPr>
          <w:rFonts w:cstheme="minorHAnsi"/>
          <w:b/>
          <w:sz w:val="24"/>
          <w:szCs w:val="24"/>
        </w:rPr>
        <w:t>Section 5: Definitions</w:t>
      </w:r>
    </w:p>
    <w:p w14:paraId="5AF0EEEE" w14:textId="77777777" w:rsidR="00E16F52" w:rsidRPr="00E16F52" w:rsidRDefault="00E16F52" w:rsidP="006D089F">
      <w:pPr>
        <w:spacing w:after="0"/>
        <w:jc w:val="both"/>
        <w:rPr>
          <w:rFonts w:cstheme="minorHAnsi"/>
          <w:b/>
          <w:i/>
          <w:szCs w:val="24"/>
        </w:rPr>
      </w:pPr>
      <w:r w:rsidRPr="00E16F52">
        <w:rPr>
          <w:rFonts w:cstheme="minorHAnsi"/>
          <w:b/>
          <w:i/>
          <w:szCs w:val="24"/>
        </w:rPr>
        <w:t>Public Art</w:t>
      </w:r>
    </w:p>
    <w:p w14:paraId="680B10DA" w14:textId="77777777" w:rsidR="00E16F52" w:rsidRPr="00E16F52" w:rsidRDefault="00E16F52" w:rsidP="006D089F">
      <w:pPr>
        <w:spacing w:after="60"/>
        <w:jc w:val="both"/>
        <w:rPr>
          <w:rFonts w:cstheme="minorHAnsi"/>
          <w:i/>
          <w:szCs w:val="24"/>
        </w:rPr>
      </w:pPr>
      <w:r w:rsidRPr="00E16F52">
        <w:rPr>
          <w:rFonts w:cstheme="minorHAnsi"/>
          <w:i/>
          <w:szCs w:val="24"/>
        </w:rPr>
        <w:t>For the purposes of this Policy, public art is defined as a work of art that is created by an artist, sited in a visually accessible public location. Public art can include (but is not limited to):</w:t>
      </w:r>
    </w:p>
    <w:p w14:paraId="0B9266B9" w14:textId="77777777" w:rsidR="00E16F52" w:rsidRPr="00E16F52" w:rsidRDefault="00E16F52" w:rsidP="002A3889">
      <w:pPr>
        <w:numPr>
          <w:ilvl w:val="0"/>
          <w:numId w:val="320"/>
        </w:numPr>
        <w:tabs>
          <w:tab w:val="clear" w:pos="720"/>
        </w:tabs>
        <w:spacing w:after="60" w:line="240" w:lineRule="auto"/>
        <w:ind w:left="426"/>
        <w:jc w:val="both"/>
        <w:rPr>
          <w:rFonts w:cstheme="minorHAnsi"/>
          <w:i/>
          <w:szCs w:val="24"/>
        </w:rPr>
      </w:pPr>
      <w:r w:rsidRPr="00E16F52">
        <w:rPr>
          <w:rFonts w:cstheme="minorHAnsi"/>
          <w:i/>
          <w:szCs w:val="24"/>
        </w:rPr>
        <w:t xml:space="preserve">the artistic treatment of functional equipment such as bike racks, benches, fountains, playground equipment, light posts or shade structures which are </w:t>
      </w:r>
      <w:proofErr w:type="gramStart"/>
      <w:r w:rsidRPr="00E16F52">
        <w:rPr>
          <w:rFonts w:cstheme="minorHAnsi"/>
          <w:i/>
          <w:szCs w:val="24"/>
        </w:rPr>
        <w:t>unique;</w:t>
      </w:r>
      <w:proofErr w:type="gramEnd"/>
    </w:p>
    <w:p w14:paraId="0A7B6D6D" w14:textId="77777777" w:rsidR="00E16F52" w:rsidRPr="00E16F52" w:rsidRDefault="00E16F52" w:rsidP="002A3889">
      <w:pPr>
        <w:numPr>
          <w:ilvl w:val="0"/>
          <w:numId w:val="320"/>
        </w:numPr>
        <w:tabs>
          <w:tab w:val="clear" w:pos="720"/>
        </w:tabs>
        <w:spacing w:after="60" w:line="240" w:lineRule="auto"/>
        <w:ind w:left="426"/>
        <w:jc w:val="both"/>
        <w:rPr>
          <w:rFonts w:cstheme="minorHAnsi"/>
          <w:i/>
          <w:szCs w:val="24"/>
        </w:rPr>
      </w:pPr>
      <w:r w:rsidRPr="00E16F52">
        <w:rPr>
          <w:rFonts w:cstheme="minorHAnsi"/>
          <w:i/>
          <w:szCs w:val="24"/>
        </w:rPr>
        <w:t xml:space="preserve">landscape art enhancements such as walkways, bridges or art features within a public </w:t>
      </w:r>
      <w:proofErr w:type="gramStart"/>
      <w:r w:rsidRPr="00E16F52">
        <w:rPr>
          <w:rFonts w:cstheme="minorHAnsi"/>
          <w:i/>
          <w:szCs w:val="24"/>
        </w:rPr>
        <w:t>garden;</w:t>
      </w:r>
      <w:proofErr w:type="gramEnd"/>
    </w:p>
    <w:p w14:paraId="3C219423" w14:textId="77777777" w:rsidR="00E16F52" w:rsidRPr="00E16F52" w:rsidRDefault="00E16F52" w:rsidP="002A3889">
      <w:pPr>
        <w:numPr>
          <w:ilvl w:val="0"/>
          <w:numId w:val="320"/>
        </w:numPr>
        <w:tabs>
          <w:tab w:val="clear" w:pos="720"/>
        </w:tabs>
        <w:spacing w:after="60" w:line="240" w:lineRule="auto"/>
        <w:ind w:left="426"/>
        <w:jc w:val="both"/>
        <w:rPr>
          <w:rFonts w:cstheme="minorHAnsi"/>
          <w:i/>
          <w:szCs w:val="24"/>
        </w:rPr>
      </w:pPr>
      <w:r w:rsidRPr="00E16F52">
        <w:rPr>
          <w:rFonts w:cstheme="minorHAnsi"/>
          <w:i/>
          <w:szCs w:val="24"/>
        </w:rPr>
        <w:t>murals, tiles and mosaics covering walls, floors and walkways; and</w:t>
      </w:r>
    </w:p>
    <w:p w14:paraId="6F3CDCA0" w14:textId="77777777" w:rsidR="00E16F52" w:rsidRPr="00E16F52" w:rsidRDefault="00E16F52" w:rsidP="002A3889">
      <w:pPr>
        <w:numPr>
          <w:ilvl w:val="0"/>
          <w:numId w:val="320"/>
        </w:numPr>
        <w:tabs>
          <w:tab w:val="clear" w:pos="720"/>
        </w:tabs>
        <w:spacing w:after="0" w:line="240" w:lineRule="auto"/>
        <w:ind w:left="426"/>
        <w:jc w:val="both"/>
        <w:rPr>
          <w:rFonts w:cstheme="minorHAnsi"/>
          <w:i/>
          <w:szCs w:val="24"/>
        </w:rPr>
      </w:pPr>
      <w:r w:rsidRPr="00E16F52">
        <w:rPr>
          <w:rFonts w:cstheme="minorHAnsi"/>
          <w:i/>
          <w:szCs w:val="24"/>
        </w:rPr>
        <w:lastRenderedPageBreak/>
        <w:t>sculptures, free-standing or incorporated as an integral element of a building’s design, paintings, pictures and photographic works.</w:t>
      </w:r>
    </w:p>
    <w:p w14:paraId="0CE8E522" w14:textId="77777777" w:rsidR="00E16F52" w:rsidRPr="00E16F52" w:rsidRDefault="00E16F52" w:rsidP="006D089F">
      <w:pPr>
        <w:spacing w:before="200" w:after="60"/>
        <w:jc w:val="both"/>
        <w:rPr>
          <w:rFonts w:cstheme="minorHAnsi"/>
          <w:i/>
          <w:szCs w:val="24"/>
        </w:rPr>
      </w:pPr>
      <w:r w:rsidRPr="00E16F52">
        <w:rPr>
          <w:rFonts w:cstheme="minorHAnsi"/>
          <w:i/>
          <w:szCs w:val="24"/>
        </w:rPr>
        <w:t>Public art does not include:</w:t>
      </w:r>
    </w:p>
    <w:p w14:paraId="5DAAF855" w14:textId="77777777" w:rsidR="00E16F52" w:rsidRPr="00E16F52" w:rsidRDefault="00E16F52" w:rsidP="002A3889">
      <w:pPr>
        <w:numPr>
          <w:ilvl w:val="0"/>
          <w:numId w:val="321"/>
        </w:numPr>
        <w:tabs>
          <w:tab w:val="clear" w:pos="720"/>
        </w:tabs>
        <w:spacing w:after="60" w:line="240" w:lineRule="auto"/>
        <w:ind w:left="425" w:hanging="425"/>
        <w:jc w:val="both"/>
        <w:rPr>
          <w:rFonts w:cstheme="minorHAnsi"/>
          <w:i/>
          <w:szCs w:val="24"/>
        </w:rPr>
      </w:pPr>
      <w:r w:rsidRPr="00E16F52">
        <w:rPr>
          <w:rFonts w:cstheme="minorHAnsi"/>
          <w:i/>
          <w:szCs w:val="24"/>
        </w:rPr>
        <w:t xml:space="preserve">business </w:t>
      </w:r>
      <w:proofErr w:type="gramStart"/>
      <w:r w:rsidRPr="00E16F52">
        <w:rPr>
          <w:rFonts w:cstheme="minorHAnsi"/>
          <w:i/>
          <w:szCs w:val="24"/>
        </w:rPr>
        <w:t>logos;</w:t>
      </w:r>
      <w:proofErr w:type="gramEnd"/>
    </w:p>
    <w:p w14:paraId="0305AA73" w14:textId="77777777" w:rsidR="00E16F52" w:rsidRPr="00E16F52" w:rsidRDefault="00E16F52" w:rsidP="002A3889">
      <w:pPr>
        <w:numPr>
          <w:ilvl w:val="0"/>
          <w:numId w:val="321"/>
        </w:numPr>
        <w:tabs>
          <w:tab w:val="clear" w:pos="720"/>
        </w:tabs>
        <w:spacing w:after="60" w:line="240" w:lineRule="auto"/>
        <w:ind w:left="425" w:hanging="425"/>
        <w:jc w:val="both"/>
        <w:rPr>
          <w:rFonts w:cstheme="minorHAnsi"/>
          <w:i/>
          <w:szCs w:val="24"/>
        </w:rPr>
      </w:pPr>
      <w:r w:rsidRPr="00E16F52">
        <w:rPr>
          <w:rFonts w:cstheme="minorHAnsi"/>
          <w:i/>
          <w:szCs w:val="24"/>
        </w:rPr>
        <w:t xml:space="preserve">advertising </w:t>
      </w:r>
      <w:proofErr w:type="gramStart"/>
      <w:r w:rsidRPr="00E16F52">
        <w:rPr>
          <w:rFonts w:cstheme="minorHAnsi"/>
          <w:i/>
          <w:szCs w:val="24"/>
        </w:rPr>
        <w:t>signage;</w:t>
      </w:r>
      <w:proofErr w:type="gramEnd"/>
    </w:p>
    <w:p w14:paraId="0B68C1E4" w14:textId="77777777" w:rsidR="00E16F52" w:rsidRPr="00E16F52" w:rsidRDefault="00E16F52" w:rsidP="002A3889">
      <w:pPr>
        <w:numPr>
          <w:ilvl w:val="0"/>
          <w:numId w:val="321"/>
        </w:numPr>
        <w:tabs>
          <w:tab w:val="clear" w:pos="720"/>
        </w:tabs>
        <w:spacing w:after="60" w:line="240" w:lineRule="auto"/>
        <w:ind w:left="425" w:hanging="425"/>
        <w:jc w:val="both"/>
        <w:rPr>
          <w:rFonts w:cstheme="minorHAnsi"/>
          <w:i/>
          <w:szCs w:val="24"/>
        </w:rPr>
      </w:pPr>
      <w:r w:rsidRPr="00E16F52">
        <w:rPr>
          <w:rFonts w:cstheme="minorHAnsi"/>
          <w:i/>
          <w:szCs w:val="24"/>
        </w:rPr>
        <w:t>art objects which are mass produced or off the-shelf reproductions; and</w:t>
      </w:r>
    </w:p>
    <w:p w14:paraId="4CE2FF94" w14:textId="77777777" w:rsidR="00E16F52" w:rsidRPr="00E16F52" w:rsidRDefault="00E16F52" w:rsidP="002A3889">
      <w:pPr>
        <w:numPr>
          <w:ilvl w:val="0"/>
          <w:numId w:val="321"/>
        </w:numPr>
        <w:tabs>
          <w:tab w:val="clear" w:pos="720"/>
        </w:tabs>
        <w:spacing w:after="0" w:line="240" w:lineRule="auto"/>
        <w:ind w:left="426" w:hanging="426"/>
        <w:jc w:val="both"/>
        <w:rPr>
          <w:rFonts w:cstheme="minorHAnsi"/>
          <w:i/>
          <w:szCs w:val="24"/>
        </w:rPr>
      </w:pPr>
      <w:r w:rsidRPr="00E16F52">
        <w:rPr>
          <w:rFonts w:cstheme="minorHAnsi"/>
          <w:i/>
          <w:szCs w:val="24"/>
        </w:rPr>
        <w:t xml:space="preserve">landscaping or architectural features which are considered by the Town to </w:t>
      </w:r>
      <w:proofErr w:type="gramStart"/>
      <w:r w:rsidRPr="00E16F52">
        <w:rPr>
          <w:rFonts w:cstheme="minorHAnsi"/>
          <w:i/>
          <w:szCs w:val="24"/>
        </w:rPr>
        <w:t>be  normally</w:t>
      </w:r>
      <w:proofErr w:type="gramEnd"/>
      <w:r w:rsidRPr="00E16F52">
        <w:rPr>
          <w:rFonts w:cstheme="minorHAnsi"/>
          <w:i/>
          <w:szCs w:val="24"/>
        </w:rPr>
        <w:t xml:space="preserve"> integrated into the building or development.</w:t>
      </w:r>
    </w:p>
    <w:p w14:paraId="3B73A0A1" w14:textId="77777777" w:rsidR="00E16F52" w:rsidRPr="00E16F52" w:rsidRDefault="00E16F52" w:rsidP="00E16F52">
      <w:pPr>
        <w:spacing w:after="120"/>
        <w:jc w:val="both"/>
        <w:rPr>
          <w:rFonts w:cstheme="minorHAnsi"/>
          <w:szCs w:val="24"/>
        </w:rPr>
      </w:pPr>
    </w:p>
    <w:p w14:paraId="5DE6232B" w14:textId="77777777" w:rsidR="00E16F52" w:rsidRPr="00E16F52" w:rsidRDefault="006D089F" w:rsidP="006D089F">
      <w:pPr>
        <w:spacing w:after="0"/>
        <w:jc w:val="both"/>
        <w:rPr>
          <w:rFonts w:cstheme="minorHAnsi"/>
          <w:b/>
          <w:szCs w:val="24"/>
        </w:rPr>
      </w:pPr>
      <w:r>
        <w:rPr>
          <w:rFonts w:cstheme="minorHAnsi"/>
          <w:b/>
          <w:szCs w:val="24"/>
        </w:rPr>
        <w:t>Attachment</w:t>
      </w:r>
    </w:p>
    <w:p w14:paraId="60E00AED" w14:textId="77777777" w:rsidR="00E16F52" w:rsidRPr="00E16F52" w:rsidRDefault="00E16F52" w:rsidP="00E16F52">
      <w:pPr>
        <w:jc w:val="both"/>
        <w:rPr>
          <w:rFonts w:cstheme="minorHAnsi"/>
          <w:szCs w:val="24"/>
        </w:rPr>
      </w:pPr>
      <w:r w:rsidRPr="00E16F52">
        <w:rPr>
          <w:rFonts w:cstheme="minorHAnsi"/>
          <w:szCs w:val="24"/>
        </w:rPr>
        <w:t>For an extended list of detailed definition</w:t>
      </w:r>
      <w:r w:rsidR="006D089F">
        <w:rPr>
          <w:rFonts w:cstheme="minorHAnsi"/>
          <w:szCs w:val="24"/>
        </w:rPr>
        <w:t>s please refer to the Appendix</w:t>
      </w:r>
      <w:r w:rsidRPr="00E16F52">
        <w:rPr>
          <w:rFonts w:cstheme="minorHAnsi"/>
          <w:szCs w:val="24"/>
        </w:rPr>
        <w:t>.</w:t>
      </w:r>
    </w:p>
    <w:p w14:paraId="0E100BEE" w14:textId="77777777" w:rsidR="00E16F52" w:rsidRPr="00E16F52" w:rsidRDefault="00E16F52" w:rsidP="00E16F52">
      <w:pPr>
        <w:jc w:val="both"/>
        <w:rPr>
          <w:rFonts w:cstheme="minorHAnsi"/>
          <w:szCs w:val="24"/>
        </w:rPr>
      </w:pPr>
    </w:p>
    <w:tbl>
      <w:tblPr>
        <w:tblStyle w:val="TableGrid"/>
        <w:tblW w:w="0" w:type="auto"/>
        <w:tblLook w:val="04A0" w:firstRow="1" w:lastRow="0" w:firstColumn="1" w:lastColumn="0" w:noHBand="0" w:noVBand="1"/>
      </w:tblPr>
      <w:tblGrid>
        <w:gridCol w:w="3076"/>
        <w:gridCol w:w="6106"/>
      </w:tblGrid>
      <w:tr w:rsidR="00E16F52" w:rsidRPr="00E16F52" w14:paraId="5EF2DBBB" w14:textId="77777777" w:rsidTr="00E16F52">
        <w:tc>
          <w:tcPr>
            <w:tcW w:w="3085" w:type="dxa"/>
          </w:tcPr>
          <w:p w14:paraId="18A6572C" w14:textId="77777777" w:rsidR="00E16F52" w:rsidRPr="00E16F52" w:rsidRDefault="00E16F52" w:rsidP="00E16F52">
            <w:pPr>
              <w:jc w:val="both"/>
              <w:rPr>
                <w:rFonts w:cstheme="minorHAnsi"/>
                <w:b/>
                <w:lang w:val="en-US"/>
              </w:rPr>
            </w:pPr>
            <w:r w:rsidRPr="00E16F52">
              <w:rPr>
                <w:rFonts w:cstheme="minorHAnsi"/>
                <w:b/>
                <w:lang w:val="en-US"/>
              </w:rPr>
              <w:t>Responsible Directorate:</w:t>
            </w:r>
          </w:p>
        </w:tc>
        <w:tc>
          <w:tcPr>
            <w:tcW w:w="6157" w:type="dxa"/>
          </w:tcPr>
          <w:p w14:paraId="406ADED1" w14:textId="77777777" w:rsidR="00E16F52" w:rsidRPr="00E16F52" w:rsidRDefault="006D089F" w:rsidP="00E16F52">
            <w:pPr>
              <w:jc w:val="both"/>
              <w:rPr>
                <w:rFonts w:cstheme="minorHAnsi"/>
                <w:lang w:val="en-US"/>
              </w:rPr>
            </w:pPr>
            <w:r>
              <w:rPr>
                <w:rFonts w:cstheme="minorHAnsi"/>
                <w:lang w:val="en-US"/>
              </w:rPr>
              <w:t>Corporate Services</w:t>
            </w:r>
          </w:p>
        </w:tc>
      </w:tr>
      <w:tr w:rsidR="00E16F52" w:rsidRPr="00E16F52" w14:paraId="2FFE1F66" w14:textId="77777777" w:rsidTr="00E16F52">
        <w:tc>
          <w:tcPr>
            <w:tcW w:w="3085" w:type="dxa"/>
          </w:tcPr>
          <w:p w14:paraId="25E46CAD" w14:textId="77777777" w:rsidR="00E16F52" w:rsidRPr="00E16F52" w:rsidRDefault="00E16F52" w:rsidP="00E16F52">
            <w:pPr>
              <w:jc w:val="both"/>
              <w:rPr>
                <w:rFonts w:cstheme="minorHAnsi"/>
                <w:b/>
                <w:lang w:val="en-US"/>
              </w:rPr>
            </w:pPr>
            <w:r w:rsidRPr="00E16F52">
              <w:rPr>
                <w:rFonts w:cstheme="minorHAnsi"/>
                <w:b/>
                <w:lang w:val="en-US"/>
              </w:rPr>
              <w:t>Reviewing Officer:</w:t>
            </w:r>
          </w:p>
        </w:tc>
        <w:tc>
          <w:tcPr>
            <w:tcW w:w="6157" w:type="dxa"/>
          </w:tcPr>
          <w:p w14:paraId="4729F739" w14:textId="77777777" w:rsidR="00E16F52" w:rsidRPr="00E16F52" w:rsidRDefault="00E16F52" w:rsidP="006D089F">
            <w:pPr>
              <w:jc w:val="both"/>
              <w:rPr>
                <w:rFonts w:cstheme="minorHAnsi"/>
                <w:lang w:val="en-US"/>
              </w:rPr>
            </w:pPr>
            <w:r w:rsidRPr="00E16F52">
              <w:rPr>
                <w:rFonts w:cstheme="minorHAnsi"/>
                <w:lang w:val="en-US"/>
              </w:rPr>
              <w:t xml:space="preserve">Executive Manager Corporate Services </w:t>
            </w:r>
          </w:p>
        </w:tc>
      </w:tr>
      <w:tr w:rsidR="00E16F52" w:rsidRPr="00E16F52" w14:paraId="589498EE" w14:textId="77777777" w:rsidTr="00E16F52">
        <w:tc>
          <w:tcPr>
            <w:tcW w:w="3085" w:type="dxa"/>
          </w:tcPr>
          <w:p w14:paraId="43074FCA" w14:textId="77777777" w:rsidR="00E16F52" w:rsidRPr="00E16F52" w:rsidRDefault="00E16F52" w:rsidP="00E16F52">
            <w:pPr>
              <w:jc w:val="both"/>
              <w:rPr>
                <w:rFonts w:cstheme="minorHAnsi"/>
                <w:b/>
                <w:lang w:val="en-US"/>
              </w:rPr>
            </w:pPr>
            <w:r w:rsidRPr="00E16F52">
              <w:rPr>
                <w:rFonts w:cstheme="minorHAnsi"/>
                <w:b/>
                <w:lang w:val="en-US"/>
              </w:rPr>
              <w:t>Decision making Authority:</w:t>
            </w:r>
          </w:p>
        </w:tc>
        <w:tc>
          <w:tcPr>
            <w:tcW w:w="6157" w:type="dxa"/>
          </w:tcPr>
          <w:p w14:paraId="0A8CDA05" w14:textId="77777777" w:rsidR="00E16F52" w:rsidRPr="00E16F52" w:rsidRDefault="00E16F52" w:rsidP="00E16F52">
            <w:pPr>
              <w:jc w:val="both"/>
              <w:rPr>
                <w:rFonts w:cstheme="minorHAnsi"/>
                <w:lang w:val="en-US"/>
              </w:rPr>
            </w:pPr>
            <w:r w:rsidRPr="00E16F52">
              <w:rPr>
                <w:rFonts w:cstheme="minorHAnsi"/>
                <w:lang w:val="en-US"/>
              </w:rPr>
              <w:t>Council</w:t>
            </w:r>
          </w:p>
        </w:tc>
      </w:tr>
      <w:tr w:rsidR="00E16F52" w:rsidRPr="00E16F52" w14:paraId="52D85C9C" w14:textId="77777777" w:rsidTr="00E16F52">
        <w:tc>
          <w:tcPr>
            <w:tcW w:w="3085" w:type="dxa"/>
          </w:tcPr>
          <w:p w14:paraId="57BBB541" w14:textId="77777777" w:rsidR="00E16F52" w:rsidRPr="00E16F52" w:rsidRDefault="00E16F52" w:rsidP="00E16F52">
            <w:pPr>
              <w:jc w:val="both"/>
              <w:rPr>
                <w:rFonts w:cstheme="minorHAnsi"/>
                <w:b/>
                <w:lang w:val="en-US"/>
              </w:rPr>
            </w:pPr>
            <w:r w:rsidRPr="00E16F52">
              <w:rPr>
                <w:rFonts w:cstheme="minorHAnsi"/>
                <w:b/>
                <w:lang w:val="en-US"/>
              </w:rPr>
              <w:t>Policy Adopted:</w:t>
            </w:r>
          </w:p>
        </w:tc>
        <w:tc>
          <w:tcPr>
            <w:tcW w:w="6157" w:type="dxa"/>
          </w:tcPr>
          <w:p w14:paraId="572573CD" w14:textId="77777777" w:rsidR="00E16F52" w:rsidRPr="00E16F52" w:rsidRDefault="00E16F52" w:rsidP="00E16F52">
            <w:pPr>
              <w:jc w:val="both"/>
              <w:rPr>
                <w:rFonts w:cstheme="minorHAnsi"/>
                <w:lang w:val="en-US"/>
              </w:rPr>
            </w:pPr>
            <w:r w:rsidRPr="00E16F52">
              <w:rPr>
                <w:rFonts w:cstheme="minorHAnsi"/>
                <w:lang w:val="en-US"/>
              </w:rPr>
              <w:t>21/10/17</w:t>
            </w:r>
          </w:p>
        </w:tc>
      </w:tr>
      <w:tr w:rsidR="00E16F52" w:rsidRPr="00E16F52" w14:paraId="683B4315" w14:textId="77777777" w:rsidTr="00E16F52">
        <w:tc>
          <w:tcPr>
            <w:tcW w:w="3085" w:type="dxa"/>
          </w:tcPr>
          <w:p w14:paraId="51659E0B" w14:textId="77777777" w:rsidR="00E16F52" w:rsidRPr="00E16F52" w:rsidRDefault="006D089F" w:rsidP="00E16F52">
            <w:pPr>
              <w:jc w:val="both"/>
              <w:rPr>
                <w:rFonts w:cstheme="minorHAnsi"/>
                <w:b/>
                <w:lang w:val="en-US"/>
              </w:rPr>
            </w:pPr>
            <w:r>
              <w:rPr>
                <w:rFonts w:cstheme="minorHAnsi"/>
                <w:b/>
                <w:lang w:val="en-US"/>
              </w:rPr>
              <w:t>Policy Amended/Reviewed:</w:t>
            </w:r>
          </w:p>
        </w:tc>
        <w:tc>
          <w:tcPr>
            <w:tcW w:w="6157" w:type="dxa"/>
          </w:tcPr>
          <w:p w14:paraId="426CEFE0" w14:textId="77777777" w:rsidR="00E16F52" w:rsidRPr="00E16F52" w:rsidRDefault="00160E4C" w:rsidP="00E16F52">
            <w:pPr>
              <w:jc w:val="both"/>
              <w:rPr>
                <w:rFonts w:cstheme="minorHAnsi"/>
                <w:lang w:val="en-US"/>
              </w:rPr>
            </w:pPr>
            <w:r>
              <w:rPr>
                <w:rFonts w:cstheme="minorHAnsi"/>
                <w:lang w:val="en-US"/>
              </w:rPr>
              <w:t>17/9/19</w:t>
            </w:r>
          </w:p>
        </w:tc>
      </w:tr>
      <w:tr w:rsidR="00E16F52" w:rsidRPr="00E16F52" w14:paraId="59A5C7DA" w14:textId="77777777" w:rsidTr="00E16F52">
        <w:tc>
          <w:tcPr>
            <w:tcW w:w="3085" w:type="dxa"/>
          </w:tcPr>
          <w:p w14:paraId="44896D3F" w14:textId="77777777" w:rsidR="00E16F52" w:rsidRPr="00E16F52" w:rsidRDefault="006D089F" w:rsidP="00E16F52">
            <w:pPr>
              <w:jc w:val="both"/>
              <w:rPr>
                <w:rFonts w:cstheme="minorHAnsi"/>
                <w:b/>
                <w:lang w:val="en-US"/>
              </w:rPr>
            </w:pPr>
            <w:r>
              <w:rPr>
                <w:rFonts w:cstheme="minorHAnsi"/>
                <w:b/>
                <w:lang w:val="en-US"/>
              </w:rPr>
              <w:t>Former Policy No</w:t>
            </w:r>
            <w:r w:rsidR="00E16F52" w:rsidRPr="00E16F52">
              <w:rPr>
                <w:rFonts w:cstheme="minorHAnsi"/>
                <w:b/>
                <w:lang w:val="en-US"/>
              </w:rPr>
              <w:t>:</w:t>
            </w:r>
          </w:p>
        </w:tc>
        <w:tc>
          <w:tcPr>
            <w:tcW w:w="6157" w:type="dxa"/>
          </w:tcPr>
          <w:p w14:paraId="6730E3F3" w14:textId="77777777" w:rsidR="00E16F52" w:rsidRPr="00E16F52" w:rsidRDefault="006D089F" w:rsidP="00E16F52">
            <w:pPr>
              <w:jc w:val="both"/>
              <w:rPr>
                <w:rFonts w:cstheme="minorHAnsi"/>
                <w:lang w:val="en-US"/>
              </w:rPr>
            </w:pPr>
            <w:r>
              <w:rPr>
                <w:rFonts w:cstheme="minorHAnsi"/>
                <w:lang w:val="en-US"/>
              </w:rPr>
              <w:t>4.2.6</w:t>
            </w:r>
          </w:p>
        </w:tc>
      </w:tr>
    </w:tbl>
    <w:p w14:paraId="47F0E996" w14:textId="77777777" w:rsidR="00E16F52" w:rsidRPr="00E16F52" w:rsidRDefault="00E16F52" w:rsidP="00E16F52">
      <w:pPr>
        <w:jc w:val="both"/>
        <w:rPr>
          <w:rFonts w:cstheme="minorHAnsi"/>
          <w:szCs w:val="24"/>
        </w:rPr>
      </w:pPr>
    </w:p>
    <w:p w14:paraId="003DEED8" w14:textId="77777777" w:rsidR="00E16F52" w:rsidRPr="00E16F52" w:rsidRDefault="00E16F52" w:rsidP="00E16F52">
      <w:pPr>
        <w:rPr>
          <w:rFonts w:cstheme="minorHAnsi"/>
          <w:szCs w:val="24"/>
        </w:rPr>
      </w:pPr>
      <w:r w:rsidRPr="00E16F52">
        <w:rPr>
          <w:rFonts w:cstheme="minorHAnsi"/>
          <w:szCs w:val="24"/>
        </w:rPr>
        <w:br w:type="page"/>
      </w:r>
    </w:p>
    <w:p w14:paraId="630095A8" w14:textId="77777777" w:rsidR="00E16F52" w:rsidRPr="007D4E02" w:rsidRDefault="00E16F52" w:rsidP="00E16F52">
      <w:pPr>
        <w:jc w:val="both"/>
        <w:rPr>
          <w:rFonts w:ascii="Arial" w:hAnsi="Arial" w:cs="Arial"/>
          <w:szCs w:val="24"/>
        </w:rPr>
      </w:pPr>
    </w:p>
    <w:p w14:paraId="287A28EC" w14:textId="77777777" w:rsidR="00E16F52" w:rsidRPr="006D089F" w:rsidRDefault="006D089F" w:rsidP="006D089F">
      <w:pPr>
        <w:spacing w:after="160" w:line="259" w:lineRule="auto"/>
        <w:jc w:val="right"/>
        <w:rPr>
          <w:rFonts w:ascii="Arial" w:hAnsi="Arial" w:cs="Arial"/>
          <w:b/>
          <w:bCs/>
          <w:sz w:val="24"/>
          <w:szCs w:val="24"/>
        </w:rPr>
      </w:pPr>
      <w:r>
        <w:rPr>
          <w:rFonts w:ascii="Arial" w:eastAsia="Gulim" w:hAnsi="Arial" w:cs="Arial"/>
          <w:sz w:val="24"/>
          <w:szCs w:val="24"/>
        </w:rPr>
        <w:t>Appendix</w:t>
      </w:r>
    </w:p>
    <w:p w14:paraId="7180B442" w14:textId="77777777" w:rsidR="00E16F52" w:rsidRPr="00BC54F9" w:rsidRDefault="00E16F52" w:rsidP="00BC54F9">
      <w:pPr>
        <w:rPr>
          <w:rFonts w:ascii="Arial" w:hAnsi="Arial" w:cs="Arial"/>
          <w:b/>
          <w:sz w:val="24"/>
          <w:szCs w:val="24"/>
        </w:rPr>
      </w:pPr>
      <w:r w:rsidRPr="00BC54F9">
        <w:rPr>
          <w:rFonts w:ascii="Arial" w:hAnsi="Arial" w:cs="Arial"/>
          <w:b/>
          <w:sz w:val="24"/>
          <w:szCs w:val="24"/>
        </w:rPr>
        <w:t>A. Types of public art</w:t>
      </w:r>
    </w:p>
    <w:p w14:paraId="71902F9A"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Cs/>
          <w:sz w:val="18"/>
          <w:szCs w:val="18"/>
        </w:rPr>
        <w:t>The descriptors that follow indicate the diversity of approaches to public art projects.</w:t>
      </w:r>
    </w:p>
    <w:p w14:paraId="437F08E0"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Ephemeral Artworks</w:t>
      </w:r>
      <w:r w:rsidRPr="007D4E02">
        <w:rPr>
          <w:rFonts w:ascii="Arial" w:hAnsi="Arial" w:cs="Arial"/>
          <w:bCs/>
          <w:sz w:val="18"/>
          <w:szCs w:val="18"/>
        </w:rPr>
        <w:t>: those works that are short lived, based on a specific occasion or event and are transitory in nature. Ephemeral art describes projects that may be environmental, lighting or projection where there is no physical artwork created. The term also applies to physical works in non-permanent materials such as natural found materials that degrade as part of the art process.</w:t>
      </w:r>
    </w:p>
    <w:p w14:paraId="7B8462CC"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Functional Artworks:</w:t>
      </w:r>
      <w:r w:rsidRPr="007D4E02">
        <w:rPr>
          <w:rFonts w:ascii="Arial" w:hAnsi="Arial" w:cs="Arial"/>
          <w:bCs/>
          <w:sz w:val="18"/>
          <w:szCs w:val="18"/>
        </w:rPr>
        <w:t xml:space="preserve"> where the primary purpose of the element is utilitarian such as seating, lighting, bollards, rubbish bins, bike racks, shelters and paving. These can vary in form, scale or quantity, dependent on the location. Functional works can reinforce a design aesthetic or thematic concern and be playful, delightful or sophisticated. </w:t>
      </w:r>
    </w:p>
    <w:p w14:paraId="20CF1BC1"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Ground Plane Artworks:</w:t>
      </w:r>
      <w:r w:rsidRPr="007D4E02">
        <w:rPr>
          <w:rFonts w:ascii="Arial" w:hAnsi="Arial" w:cs="Arial"/>
          <w:bCs/>
          <w:sz w:val="18"/>
          <w:szCs w:val="18"/>
        </w:rPr>
        <w:t xml:space="preserve"> form part of the ground in a public setting and may be experienced as carved/shaped paving elements, metal relief elements, toughened glass panels and ceramic or mosaic inserts, amongst others. Ground plane works are designed to be viewed closely by pedestrians in the space, potentially slowing their movement through the area and creating the opportunity for an intimate and personal engagement between the work and the viewer. Ground Plane works are useful as a way finding tool.</w:t>
      </w:r>
    </w:p>
    <w:p w14:paraId="44688777"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Iconic Artworks:</w:t>
      </w:r>
      <w:r w:rsidRPr="007D4E02">
        <w:rPr>
          <w:rFonts w:ascii="Arial" w:hAnsi="Arial" w:cs="Arial"/>
          <w:bCs/>
          <w:sz w:val="18"/>
          <w:szCs w:val="18"/>
        </w:rPr>
        <w:t xml:space="preserve"> a significant, freestanding work, where the approach is largely independent of other considerations.</w:t>
      </w:r>
    </w:p>
    <w:p w14:paraId="7921BD97"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Integrated Artworks:</w:t>
      </w:r>
      <w:r w:rsidRPr="007D4E02">
        <w:rPr>
          <w:rFonts w:ascii="Arial" w:hAnsi="Arial" w:cs="Arial"/>
          <w:bCs/>
          <w:sz w:val="18"/>
          <w:szCs w:val="18"/>
        </w:rPr>
        <w:t xml:space="preserve"> works that are fully incorporated within the design of the built or natural environment.</w:t>
      </w:r>
    </w:p>
    <w:p w14:paraId="1E733023"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Interactive Artworks:</w:t>
      </w:r>
      <w:r w:rsidRPr="007D4E02">
        <w:rPr>
          <w:rFonts w:ascii="Arial" w:hAnsi="Arial" w:cs="Arial"/>
          <w:bCs/>
          <w:sz w:val="18"/>
          <w:szCs w:val="18"/>
        </w:rPr>
        <w:t xml:space="preserve"> are works that are designed to encourage a tactile response.</w:t>
      </w:r>
    </w:p>
    <w:p w14:paraId="440A5FF1"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Interpretive Artworks:</w:t>
      </w:r>
      <w:r w:rsidRPr="007D4E02">
        <w:rPr>
          <w:rFonts w:ascii="Arial" w:hAnsi="Arial" w:cs="Arial"/>
          <w:bCs/>
          <w:sz w:val="18"/>
          <w:szCs w:val="18"/>
        </w:rPr>
        <w:t xml:space="preserve"> where the primary purpose of the artwork is to tell a story, describe, educate or comment on an issue, event or situation.</w:t>
      </w:r>
    </w:p>
    <w:p w14:paraId="5D0F875A"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Intervention Artworks:</w:t>
      </w:r>
      <w:r w:rsidRPr="007D4E02">
        <w:rPr>
          <w:rFonts w:ascii="Arial" w:hAnsi="Arial" w:cs="Arial"/>
          <w:bCs/>
          <w:sz w:val="18"/>
          <w:szCs w:val="18"/>
        </w:rPr>
        <w:t xml:space="preserve"> provoke an idea or thought or an element of surprise often in an unexpected location.</w:t>
      </w:r>
    </w:p>
    <w:p w14:paraId="37C869A1"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Landmark Artworks:</w:t>
      </w:r>
      <w:r w:rsidRPr="007D4E02">
        <w:rPr>
          <w:rFonts w:ascii="Arial" w:hAnsi="Arial" w:cs="Arial"/>
          <w:bCs/>
          <w:sz w:val="18"/>
          <w:szCs w:val="18"/>
        </w:rPr>
        <w:t xml:space="preserve"> could be considered a signature or icon for a city. Large in scale or ambitious in concept, such works tend to be major stand-alone commissions and not part of a capital works project.</w:t>
      </w:r>
    </w:p>
    <w:p w14:paraId="1E89087A"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Medium Scale/Human Scale Artworks:</w:t>
      </w:r>
      <w:r w:rsidRPr="007D4E02">
        <w:rPr>
          <w:rFonts w:ascii="Arial" w:hAnsi="Arial" w:cs="Arial"/>
          <w:bCs/>
          <w:sz w:val="18"/>
          <w:szCs w:val="18"/>
        </w:rPr>
        <w:t xml:space="preserve"> are artworks approximately the size of an average person. These artworks are easily interacted with and are accessible to pedestrians. </w:t>
      </w:r>
    </w:p>
    <w:p w14:paraId="0A16F2A3"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Memorial:</w:t>
      </w:r>
      <w:r w:rsidRPr="007D4E02">
        <w:rPr>
          <w:rFonts w:ascii="Arial" w:hAnsi="Arial" w:cs="Arial"/>
          <w:bCs/>
          <w:sz w:val="18"/>
          <w:szCs w:val="18"/>
        </w:rPr>
        <w:t xml:space="preserve"> a structure, sculpture or other object erected to commemorate a person or an event.</w:t>
      </w:r>
    </w:p>
    <w:p w14:paraId="2D67012D"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Nodal Artwork</w:t>
      </w:r>
      <w:r w:rsidRPr="007D4E02">
        <w:rPr>
          <w:rFonts w:ascii="Arial" w:hAnsi="Arial" w:cs="Arial"/>
          <w:bCs/>
          <w:sz w:val="18"/>
          <w:szCs w:val="18"/>
        </w:rPr>
        <w:t>: an artwork that comprises of a series of component parts and a central focus element.</w:t>
      </w:r>
    </w:p>
    <w:p w14:paraId="63A4EA65"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Site Specific Artworks:</w:t>
      </w:r>
      <w:r w:rsidRPr="007D4E02">
        <w:rPr>
          <w:rFonts w:ascii="Arial" w:hAnsi="Arial" w:cs="Arial"/>
          <w:bCs/>
          <w:sz w:val="18"/>
          <w:szCs w:val="18"/>
        </w:rPr>
        <w:t xml:space="preserve"> designed specifically for and responding to a particular site through scale, material, form or concept.</w:t>
      </w:r>
    </w:p>
    <w:p w14:paraId="48C116BB"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Permanent Artworks:</w:t>
      </w:r>
      <w:r w:rsidRPr="007D4E02">
        <w:rPr>
          <w:rFonts w:ascii="Arial" w:hAnsi="Arial" w:cs="Arial"/>
          <w:bCs/>
          <w:sz w:val="18"/>
          <w:szCs w:val="18"/>
        </w:rPr>
        <w:t xml:space="preserve"> refers to public art with a lifespan of at least twenty years.</w:t>
      </w:r>
    </w:p>
    <w:p w14:paraId="3291EF4F"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Plaque</w:t>
      </w:r>
      <w:r w:rsidRPr="007D4E02">
        <w:rPr>
          <w:rFonts w:ascii="Arial" w:hAnsi="Arial" w:cs="Arial"/>
          <w:bCs/>
          <w:sz w:val="18"/>
          <w:szCs w:val="18"/>
        </w:rPr>
        <w:t xml:space="preserve">: a flat tablet or sign, affixed to an object, building or pavement, of metal, stone or other appropriate material, which may include text and/or images </w:t>
      </w:r>
      <w:proofErr w:type="gramStart"/>
      <w:r w:rsidRPr="007D4E02">
        <w:rPr>
          <w:rFonts w:ascii="Arial" w:hAnsi="Arial" w:cs="Arial"/>
          <w:bCs/>
          <w:sz w:val="18"/>
          <w:szCs w:val="18"/>
        </w:rPr>
        <w:t>in order to</w:t>
      </w:r>
      <w:proofErr w:type="gramEnd"/>
      <w:r w:rsidRPr="007D4E02">
        <w:rPr>
          <w:rFonts w:ascii="Arial" w:hAnsi="Arial" w:cs="Arial"/>
          <w:bCs/>
          <w:sz w:val="18"/>
          <w:szCs w:val="18"/>
        </w:rPr>
        <w:t xml:space="preserve"> provide interpretive information. Plaques may identify an artwork, commemorate a person, place, object or an event and/or provide historical text or information relevant to its location.</w:t>
      </w:r>
    </w:p>
    <w:p w14:paraId="23966857"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Street Art: </w:t>
      </w:r>
      <w:r w:rsidRPr="007D4E02">
        <w:rPr>
          <w:rFonts w:ascii="Arial" w:hAnsi="Arial" w:cs="Arial"/>
          <w:bCs/>
          <w:sz w:val="18"/>
          <w:szCs w:val="18"/>
        </w:rPr>
        <w:t xml:space="preserve"> may include spray or aerosol art, stencils, sticker art, paste-ups (wheat pasting and poster art), video projection, art interventions, guerrilla art, flash-mobbing and installations.</w:t>
      </w:r>
    </w:p>
    <w:p w14:paraId="5C2DA5C0"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Temporary Artwork: </w:t>
      </w:r>
      <w:r w:rsidRPr="007D4E02">
        <w:rPr>
          <w:rFonts w:ascii="Arial" w:hAnsi="Arial" w:cs="Arial"/>
          <w:bCs/>
          <w:sz w:val="18"/>
          <w:szCs w:val="18"/>
        </w:rPr>
        <w:t xml:space="preserve"> refers to artwork that is made to last for a specific duration for example, one week or one year. This may include one off or scheduled events such as outdoor exhibitions or installations. The dynamic nature of temporary works </w:t>
      </w:r>
      <w:proofErr w:type="gramStart"/>
      <w:r w:rsidRPr="007D4E02">
        <w:rPr>
          <w:rFonts w:ascii="Arial" w:hAnsi="Arial" w:cs="Arial"/>
          <w:bCs/>
          <w:sz w:val="18"/>
          <w:szCs w:val="18"/>
        </w:rPr>
        <w:t>are</w:t>
      </w:r>
      <w:proofErr w:type="gramEnd"/>
      <w:r w:rsidRPr="007D4E02">
        <w:rPr>
          <w:rFonts w:ascii="Arial" w:hAnsi="Arial" w:cs="Arial"/>
          <w:bCs/>
          <w:sz w:val="18"/>
          <w:szCs w:val="18"/>
        </w:rPr>
        <w:t xml:space="preserve"> an important place activation tool.</w:t>
      </w:r>
    </w:p>
    <w:p w14:paraId="5E3C8FEA"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lastRenderedPageBreak/>
        <w:t>Textural Artworks: </w:t>
      </w:r>
      <w:r w:rsidRPr="007D4E02">
        <w:rPr>
          <w:rFonts w:ascii="Arial" w:hAnsi="Arial" w:cs="Arial"/>
          <w:bCs/>
          <w:sz w:val="18"/>
          <w:szCs w:val="18"/>
        </w:rPr>
        <w:t xml:space="preserve"> are small in scale, often items of architectural, streetscape and landscape detail, which contributes to the local character of a place.</w:t>
      </w:r>
    </w:p>
    <w:p w14:paraId="5469E3B1" w14:textId="77777777" w:rsidR="00E16F52" w:rsidRPr="007D4E02" w:rsidRDefault="00E16F52" w:rsidP="00E16F52">
      <w:pPr>
        <w:pStyle w:val="NormalWeb"/>
        <w:spacing w:after="240"/>
        <w:jc w:val="both"/>
        <w:rPr>
          <w:rFonts w:ascii="Arial" w:hAnsi="Arial" w:cs="Arial"/>
          <w:bCs/>
          <w:sz w:val="18"/>
          <w:szCs w:val="18"/>
        </w:rPr>
      </w:pPr>
      <w:r w:rsidRPr="007D4E02">
        <w:rPr>
          <w:rFonts w:ascii="Arial" w:hAnsi="Arial" w:cs="Arial"/>
          <w:b/>
          <w:bCs/>
          <w:sz w:val="18"/>
          <w:szCs w:val="18"/>
        </w:rPr>
        <w:t>Transition Artworks: </w:t>
      </w:r>
      <w:r w:rsidRPr="007D4E02">
        <w:rPr>
          <w:rFonts w:ascii="Arial" w:hAnsi="Arial" w:cs="Arial"/>
          <w:bCs/>
          <w:sz w:val="18"/>
          <w:szCs w:val="18"/>
        </w:rPr>
        <w:t xml:space="preserve"> provide an element that links one space to another such as an internal to an external public space or a hardscaped space to a landscaped space.</w:t>
      </w:r>
    </w:p>
    <w:p w14:paraId="7D50D56A" w14:textId="77777777" w:rsidR="00E16F52" w:rsidRPr="00BC54F9" w:rsidRDefault="00E16F52" w:rsidP="00BC54F9">
      <w:pPr>
        <w:rPr>
          <w:rFonts w:ascii="Arial" w:hAnsi="Arial" w:cs="Arial"/>
          <w:b/>
          <w:sz w:val="24"/>
          <w:szCs w:val="24"/>
        </w:rPr>
      </w:pPr>
      <w:r w:rsidRPr="00BC54F9">
        <w:rPr>
          <w:rFonts w:ascii="Arial" w:hAnsi="Arial" w:cs="Arial"/>
          <w:b/>
          <w:sz w:val="24"/>
          <w:szCs w:val="24"/>
        </w:rPr>
        <w:t>B. Definitions</w:t>
      </w:r>
    </w:p>
    <w:p w14:paraId="211834BA" w14:textId="77777777" w:rsidR="00E16F52" w:rsidRPr="007D4E02" w:rsidRDefault="00E16F52" w:rsidP="00E16F52">
      <w:pPr>
        <w:pStyle w:val="Text"/>
        <w:rPr>
          <w:b/>
          <w:sz w:val="18"/>
        </w:rPr>
      </w:pPr>
      <w:r w:rsidRPr="007D4E02">
        <w:rPr>
          <w:b/>
          <w:sz w:val="18"/>
        </w:rPr>
        <w:t>Artist</w:t>
      </w:r>
    </w:p>
    <w:p w14:paraId="38AB88BB" w14:textId="77777777" w:rsidR="00E16F52" w:rsidRPr="007D4E02" w:rsidRDefault="00E16F52" w:rsidP="00E16F52">
      <w:pPr>
        <w:pStyle w:val="Text"/>
        <w:rPr>
          <w:sz w:val="18"/>
        </w:rPr>
      </w:pPr>
      <w:r w:rsidRPr="007D4E02">
        <w:rPr>
          <w:sz w:val="18"/>
        </w:rPr>
        <w:t>A professional visual artist can be defined as a person who fits into at least two of the following categories:</w:t>
      </w:r>
    </w:p>
    <w:p w14:paraId="27A93A83" w14:textId="77777777" w:rsidR="00E16F52" w:rsidRPr="007D4E02" w:rsidRDefault="00E16F52" w:rsidP="00E16F52">
      <w:pPr>
        <w:pStyle w:val="Default"/>
        <w:rPr>
          <w:sz w:val="18"/>
          <w:szCs w:val="18"/>
          <w:lang w:eastAsia="en-GB"/>
        </w:rPr>
      </w:pPr>
    </w:p>
    <w:p w14:paraId="22367F7F" w14:textId="77777777" w:rsidR="00E16F52" w:rsidRPr="007D4E02" w:rsidRDefault="00E16F52" w:rsidP="002A3889">
      <w:pPr>
        <w:pStyle w:val="Text"/>
        <w:numPr>
          <w:ilvl w:val="0"/>
          <w:numId w:val="313"/>
        </w:numPr>
        <w:spacing w:after="120"/>
        <w:ind w:left="714" w:hanging="357"/>
        <w:jc w:val="both"/>
        <w:outlineLvl w:val="0"/>
        <w:rPr>
          <w:sz w:val="18"/>
        </w:rPr>
      </w:pPr>
      <w:r w:rsidRPr="007D4E02">
        <w:rPr>
          <w:sz w:val="18"/>
        </w:rPr>
        <w:t xml:space="preserve">a person who has a tertiary qualification in the visual arts, or when the brief calls for it, other art forms such as </w:t>
      </w:r>
      <w:proofErr w:type="gramStart"/>
      <w:r w:rsidRPr="007D4E02">
        <w:rPr>
          <w:sz w:val="18"/>
        </w:rPr>
        <w:t>multimedia;</w:t>
      </w:r>
      <w:proofErr w:type="gramEnd"/>
    </w:p>
    <w:p w14:paraId="1FC5DEB1" w14:textId="77777777" w:rsidR="00E16F52" w:rsidRPr="007D4E02" w:rsidRDefault="00E16F52" w:rsidP="002A3889">
      <w:pPr>
        <w:pStyle w:val="Text"/>
        <w:numPr>
          <w:ilvl w:val="0"/>
          <w:numId w:val="313"/>
        </w:numPr>
        <w:spacing w:after="120"/>
        <w:ind w:left="714" w:hanging="357"/>
        <w:jc w:val="both"/>
        <w:outlineLvl w:val="0"/>
        <w:rPr>
          <w:sz w:val="18"/>
        </w:rPr>
      </w:pPr>
      <w:r w:rsidRPr="007D4E02">
        <w:rPr>
          <w:sz w:val="18"/>
        </w:rPr>
        <w:t xml:space="preserve">a person who has a track record of exhibiting their artwork at reputable art galleries that sells the work of professional </w:t>
      </w:r>
      <w:proofErr w:type="gramStart"/>
      <w:r w:rsidRPr="007D4E02">
        <w:rPr>
          <w:sz w:val="18"/>
        </w:rPr>
        <w:t>artists;</w:t>
      </w:r>
      <w:proofErr w:type="gramEnd"/>
    </w:p>
    <w:p w14:paraId="04FCDE95" w14:textId="77777777" w:rsidR="00E16F52" w:rsidRPr="007D4E02" w:rsidRDefault="00E16F52" w:rsidP="002A3889">
      <w:pPr>
        <w:pStyle w:val="Text"/>
        <w:numPr>
          <w:ilvl w:val="0"/>
          <w:numId w:val="313"/>
        </w:numPr>
        <w:spacing w:after="120"/>
        <w:ind w:left="714" w:hanging="357"/>
        <w:jc w:val="both"/>
        <w:outlineLvl w:val="0"/>
        <w:rPr>
          <w:sz w:val="18"/>
        </w:rPr>
      </w:pPr>
      <w:r w:rsidRPr="007D4E02">
        <w:rPr>
          <w:sz w:val="18"/>
        </w:rPr>
        <w:t>a person whose work is represented in major public or private collections; and</w:t>
      </w:r>
    </w:p>
    <w:p w14:paraId="73F3A908" w14:textId="77777777" w:rsidR="00E16F52" w:rsidRPr="007D4E02" w:rsidRDefault="00E16F52" w:rsidP="00E16F52">
      <w:pPr>
        <w:pStyle w:val="Text"/>
        <w:spacing w:after="120"/>
        <w:rPr>
          <w:sz w:val="18"/>
        </w:rPr>
      </w:pPr>
      <w:r>
        <w:rPr>
          <w:sz w:val="18"/>
        </w:rPr>
        <w:t>A</w:t>
      </w:r>
      <w:r w:rsidRPr="007D4E02">
        <w:rPr>
          <w:sz w:val="18"/>
        </w:rPr>
        <w:t xml:space="preserve"> person who earns more than 50% of their income from arts related activities, such as teaching, selling artwork or undertaking public art </w:t>
      </w:r>
      <w:proofErr w:type="spellStart"/>
      <w:proofErr w:type="gramStart"/>
      <w:r w:rsidRPr="007D4E02">
        <w:rPr>
          <w:sz w:val="18"/>
        </w:rPr>
        <w:t>commissions.In</w:t>
      </w:r>
      <w:proofErr w:type="spellEnd"/>
      <w:proofErr w:type="gramEnd"/>
      <w:r w:rsidRPr="007D4E02">
        <w:rPr>
          <w:sz w:val="18"/>
        </w:rPr>
        <w:t xml:space="preserve"> some cases, this definition may be relaxed where it may be specified for a particular project. </w:t>
      </w:r>
    </w:p>
    <w:p w14:paraId="65A88CDE" w14:textId="77777777" w:rsidR="00E16F52" w:rsidRPr="007D4E02" w:rsidRDefault="00E16F52" w:rsidP="00E16F52">
      <w:pPr>
        <w:pStyle w:val="Text"/>
        <w:rPr>
          <w:sz w:val="18"/>
        </w:rPr>
      </w:pPr>
      <w:r w:rsidRPr="007D4E02">
        <w:rPr>
          <w:sz w:val="18"/>
        </w:rPr>
        <w:t>For example, a project involving emerging artists, Indigenous artists, students or street/graffiti artists.</w:t>
      </w:r>
    </w:p>
    <w:p w14:paraId="0E310F52" w14:textId="77777777" w:rsidR="00E16F52" w:rsidRPr="007D4E02" w:rsidRDefault="00E16F52" w:rsidP="00E16F52">
      <w:pPr>
        <w:pStyle w:val="Text"/>
        <w:rPr>
          <w:b/>
          <w:sz w:val="18"/>
        </w:rPr>
      </w:pPr>
    </w:p>
    <w:p w14:paraId="0B257B22" w14:textId="77777777" w:rsidR="00E16F52" w:rsidRPr="007D4E02" w:rsidRDefault="00E16F52" w:rsidP="00E16F52">
      <w:pPr>
        <w:pStyle w:val="Text"/>
        <w:rPr>
          <w:b/>
          <w:sz w:val="18"/>
        </w:rPr>
      </w:pPr>
      <w:r w:rsidRPr="007D4E02">
        <w:rPr>
          <w:b/>
          <w:sz w:val="18"/>
        </w:rPr>
        <w:t>Artist Fees</w:t>
      </w:r>
    </w:p>
    <w:p w14:paraId="37F17FA0" w14:textId="77777777" w:rsidR="00E16F52" w:rsidRPr="007D4E02" w:rsidRDefault="00E16F52" w:rsidP="00E16F52">
      <w:pPr>
        <w:pStyle w:val="Text"/>
        <w:rPr>
          <w:sz w:val="18"/>
        </w:rPr>
      </w:pPr>
      <w:r w:rsidRPr="007D4E02">
        <w:rPr>
          <w:sz w:val="18"/>
        </w:rPr>
        <w:t>That portion of the art project budget reserved for payment to the artist for his/her creative services for design, fabrication, and/or project management services.</w:t>
      </w:r>
    </w:p>
    <w:p w14:paraId="46B9E069" w14:textId="77777777" w:rsidR="00E16F52" w:rsidRPr="007D4E02" w:rsidRDefault="00E16F52" w:rsidP="00E16F52">
      <w:pPr>
        <w:pStyle w:val="Text"/>
        <w:rPr>
          <w:b/>
          <w:sz w:val="18"/>
        </w:rPr>
      </w:pPr>
    </w:p>
    <w:p w14:paraId="63E2FA54" w14:textId="77777777" w:rsidR="00E16F52" w:rsidRPr="007D4E02" w:rsidRDefault="00E16F52" w:rsidP="00E16F52">
      <w:pPr>
        <w:pStyle w:val="Text"/>
        <w:rPr>
          <w:b/>
          <w:sz w:val="18"/>
        </w:rPr>
      </w:pPr>
      <w:r w:rsidRPr="007D4E02">
        <w:rPr>
          <w:b/>
          <w:sz w:val="18"/>
        </w:rPr>
        <w:t>Artwork or Work of Art</w:t>
      </w:r>
    </w:p>
    <w:p w14:paraId="15AA4EB9" w14:textId="77777777" w:rsidR="00E16F52" w:rsidRPr="007D4E02" w:rsidRDefault="00E16F52" w:rsidP="00E16F52">
      <w:pPr>
        <w:pStyle w:val="Text"/>
        <w:rPr>
          <w:sz w:val="18"/>
        </w:rPr>
      </w:pPr>
      <w:r w:rsidRPr="007D4E02">
        <w:rPr>
          <w:sz w:val="18"/>
        </w:rPr>
        <w:t>Any work or object designed by an Artist.</w:t>
      </w:r>
    </w:p>
    <w:p w14:paraId="419AB964" w14:textId="77777777" w:rsidR="00E16F52" w:rsidRPr="007D4E02" w:rsidRDefault="00E16F52" w:rsidP="00E16F52">
      <w:pPr>
        <w:pStyle w:val="Text"/>
        <w:rPr>
          <w:b/>
          <w:sz w:val="18"/>
        </w:rPr>
      </w:pPr>
    </w:p>
    <w:p w14:paraId="67C71548" w14:textId="77777777" w:rsidR="00E16F52" w:rsidRPr="007D4E02" w:rsidRDefault="00E16F52" w:rsidP="00E16F52">
      <w:pPr>
        <w:pStyle w:val="Text"/>
        <w:rPr>
          <w:b/>
          <w:sz w:val="18"/>
        </w:rPr>
      </w:pPr>
      <w:r w:rsidRPr="007D4E02">
        <w:rPr>
          <w:b/>
          <w:sz w:val="18"/>
        </w:rPr>
        <w:t>Collection Management</w:t>
      </w:r>
    </w:p>
    <w:p w14:paraId="5B8850D5" w14:textId="77777777" w:rsidR="00E16F52" w:rsidRPr="007D4E02" w:rsidRDefault="00E16F52" w:rsidP="00E16F52">
      <w:pPr>
        <w:pStyle w:val="Text"/>
        <w:rPr>
          <w:sz w:val="18"/>
        </w:rPr>
      </w:pPr>
      <w:r w:rsidRPr="007D4E02">
        <w:rPr>
          <w:sz w:val="18"/>
        </w:rPr>
        <w:t>The administration and management of an Art Collection. This encompasses the management of collection records both electronic and hard copy, the database, catalogues, inventories and condition assessments, maintenance and conservation programs, accession of new acquisitions and overseeing the deaccession, disposal or relocation of public artwork.</w:t>
      </w:r>
    </w:p>
    <w:p w14:paraId="1791E7E1" w14:textId="77777777" w:rsidR="00E16F52" w:rsidRPr="007D4E02" w:rsidRDefault="00E16F52" w:rsidP="00E16F52">
      <w:pPr>
        <w:pStyle w:val="Text"/>
        <w:rPr>
          <w:b/>
          <w:sz w:val="18"/>
        </w:rPr>
      </w:pPr>
    </w:p>
    <w:p w14:paraId="537956D0" w14:textId="77777777" w:rsidR="00E16F52" w:rsidRPr="007D4E02" w:rsidRDefault="00E16F52" w:rsidP="00E16F52">
      <w:pPr>
        <w:pStyle w:val="Text"/>
        <w:rPr>
          <w:b/>
          <w:sz w:val="18"/>
        </w:rPr>
      </w:pPr>
      <w:r w:rsidRPr="007D4E02">
        <w:rPr>
          <w:b/>
          <w:sz w:val="18"/>
        </w:rPr>
        <w:t>Community Art</w:t>
      </w:r>
    </w:p>
    <w:p w14:paraId="71044C9D" w14:textId="77777777" w:rsidR="00E16F52" w:rsidRPr="007D4E02" w:rsidRDefault="00E16F52" w:rsidP="00E16F52">
      <w:pPr>
        <w:pStyle w:val="Text"/>
        <w:rPr>
          <w:sz w:val="18"/>
        </w:rPr>
      </w:pPr>
      <w:r w:rsidRPr="007D4E02">
        <w:rPr>
          <w:sz w:val="18"/>
        </w:rPr>
        <w:t>A process where the community initiates or participates in the art project.</w:t>
      </w:r>
    </w:p>
    <w:p w14:paraId="4CFC282F" w14:textId="77777777" w:rsidR="00E16F52" w:rsidRPr="007D4E02" w:rsidRDefault="00E16F52" w:rsidP="00E16F52">
      <w:pPr>
        <w:pStyle w:val="Text"/>
        <w:rPr>
          <w:b/>
          <w:sz w:val="18"/>
        </w:rPr>
      </w:pPr>
    </w:p>
    <w:p w14:paraId="009E6460" w14:textId="77777777" w:rsidR="00E16F52" w:rsidRPr="007D4E02" w:rsidRDefault="00E16F52" w:rsidP="00E16F52">
      <w:pPr>
        <w:pStyle w:val="Text"/>
        <w:rPr>
          <w:b/>
          <w:sz w:val="18"/>
        </w:rPr>
      </w:pPr>
      <w:r w:rsidRPr="007D4E02">
        <w:rPr>
          <w:b/>
          <w:sz w:val="18"/>
        </w:rPr>
        <w:t>Contemporary Art</w:t>
      </w:r>
    </w:p>
    <w:p w14:paraId="577D6D6C" w14:textId="77777777" w:rsidR="00E16F52" w:rsidRPr="007D4E02" w:rsidRDefault="00E16F52" w:rsidP="00E16F52">
      <w:pPr>
        <w:pStyle w:val="Text"/>
        <w:rPr>
          <w:sz w:val="18"/>
        </w:rPr>
      </w:pPr>
      <w:r w:rsidRPr="007D4E02">
        <w:rPr>
          <w:sz w:val="18"/>
        </w:rPr>
        <w:t>Artwork created in the present day that engages with issues relevant to its time or uses materials and processes that are at the forefront of arts practice.</w:t>
      </w:r>
    </w:p>
    <w:p w14:paraId="01DBAB12" w14:textId="77777777" w:rsidR="00E16F52" w:rsidRPr="007D4E02" w:rsidRDefault="00E16F52" w:rsidP="00E16F52">
      <w:pPr>
        <w:pStyle w:val="Text"/>
        <w:rPr>
          <w:b/>
          <w:sz w:val="18"/>
        </w:rPr>
      </w:pPr>
    </w:p>
    <w:p w14:paraId="633E8084" w14:textId="77777777" w:rsidR="00E16F52" w:rsidRPr="007D4E02" w:rsidRDefault="00E16F52" w:rsidP="00E16F52">
      <w:pPr>
        <w:pStyle w:val="Text"/>
        <w:rPr>
          <w:b/>
          <w:sz w:val="18"/>
        </w:rPr>
      </w:pPr>
      <w:r w:rsidRPr="007D4E02">
        <w:rPr>
          <w:b/>
          <w:sz w:val="18"/>
        </w:rPr>
        <w:t>Hand-over</w:t>
      </w:r>
    </w:p>
    <w:p w14:paraId="6FD543E2" w14:textId="77777777" w:rsidR="00E16F52" w:rsidRPr="007D4E02" w:rsidRDefault="00E16F52" w:rsidP="00E16F52">
      <w:pPr>
        <w:pStyle w:val="Text"/>
        <w:rPr>
          <w:sz w:val="18"/>
        </w:rPr>
      </w:pPr>
      <w:r w:rsidRPr="007D4E02">
        <w:rPr>
          <w:sz w:val="18"/>
        </w:rPr>
        <w:t>The transfer of ownership of an artwork from one party to another. This includes the transfer of legal title and the supplying of the Maintenance Manual and other associated contractual documents.</w:t>
      </w:r>
    </w:p>
    <w:p w14:paraId="639A3693" w14:textId="77777777" w:rsidR="00E16F52" w:rsidRPr="007D4E02" w:rsidRDefault="00E16F52" w:rsidP="00E16F52">
      <w:pPr>
        <w:pStyle w:val="Text"/>
        <w:rPr>
          <w:b/>
          <w:sz w:val="18"/>
        </w:rPr>
      </w:pPr>
    </w:p>
    <w:p w14:paraId="2E2CA0D0" w14:textId="77777777" w:rsidR="00E16F52" w:rsidRPr="007D4E02" w:rsidRDefault="00E16F52" w:rsidP="00E16F52">
      <w:pPr>
        <w:pStyle w:val="Text"/>
        <w:rPr>
          <w:b/>
          <w:sz w:val="18"/>
        </w:rPr>
      </w:pPr>
      <w:r w:rsidRPr="007D4E02">
        <w:rPr>
          <w:b/>
          <w:sz w:val="18"/>
        </w:rPr>
        <w:t>Maintenance Manual</w:t>
      </w:r>
    </w:p>
    <w:p w14:paraId="01220543" w14:textId="77777777" w:rsidR="00E16F52" w:rsidRPr="007D4E02" w:rsidRDefault="00E16F52" w:rsidP="00E16F52">
      <w:pPr>
        <w:pStyle w:val="Text"/>
        <w:rPr>
          <w:sz w:val="18"/>
        </w:rPr>
      </w:pPr>
      <w:r w:rsidRPr="007D4E02">
        <w:rPr>
          <w:sz w:val="18"/>
        </w:rPr>
        <w:t>Those forms completed by the artist detailing the maintenance and technical information for the completed artwork.</w:t>
      </w:r>
    </w:p>
    <w:p w14:paraId="11308993" w14:textId="77777777" w:rsidR="00E16F52" w:rsidRPr="007D4E02" w:rsidRDefault="00E16F52" w:rsidP="00E16F52">
      <w:pPr>
        <w:pStyle w:val="Text"/>
        <w:rPr>
          <w:b/>
          <w:sz w:val="18"/>
        </w:rPr>
      </w:pPr>
    </w:p>
    <w:p w14:paraId="0E1A82A8" w14:textId="77777777" w:rsidR="00E16F52" w:rsidRPr="007D4E02" w:rsidRDefault="00E16F52" w:rsidP="00E16F52">
      <w:pPr>
        <w:pStyle w:val="Text"/>
        <w:rPr>
          <w:b/>
          <w:sz w:val="18"/>
        </w:rPr>
      </w:pPr>
      <w:r w:rsidRPr="007D4E02">
        <w:rPr>
          <w:b/>
          <w:sz w:val="18"/>
        </w:rPr>
        <w:t>Public Art</w:t>
      </w:r>
    </w:p>
    <w:p w14:paraId="2A131321" w14:textId="77777777" w:rsidR="00E16F52" w:rsidRPr="007D4E02" w:rsidRDefault="00E16F52" w:rsidP="00E16F52">
      <w:pPr>
        <w:pStyle w:val="Text"/>
        <w:rPr>
          <w:sz w:val="18"/>
        </w:rPr>
      </w:pPr>
      <w:r w:rsidRPr="007D4E02">
        <w:rPr>
          <w:sz w:val="18"/>
        </w:rPr>
        <w:t>Public art is a work of art that is created by an artist, sited in a visually accessible public location. Public art can include (but is not limited to):</w:t>
      </w:r>
    </w:p>
    <w:p w14:paraId="38D19BA3" w14:textId="77777777" w:rsidR="00E16F52" w:rsidRPr="007D4E02" w:rsidRDefault="00E16F52" w:rsidP="00E16F52">
      <w:pPr>
        <w:pStyle w:val="Default"/>
        <w:rPr>
          <w:sz w:val="18"/>
          <w:szCs w:val="18"/>
          <w:lang w:eastAsia="en-GB"/>
        </w:rPr>
      </w:pPr>
    </w:p>
    <w:p w14:paraId="5C4C98B6" w14:textId="77777777" w:rsidR="00E16F52" w:rsidRPr="007D4E02" w:rsidRDefault="00E16F52" w:rsidP="002A3889">
      <w:pPr>
        <w:pStyle w:val="Text"/>
        <w:numPr>
          <w:ilvl w:val="0"/>
          <w:numId w:val="312"/>
        </w:numPr>
        <w:spacing w:after="120"/>
        <w:ind w:left="714" w:hanging="357"/>
        <w:jc w:val="both"/>
        <w:outlineLvl w:val="0"/>
        <w:rPr>
          <w:sz w:val="18"/>
        </w:rPr>
      </w:pPr>
      <w:r w:rsidRPr="007D4E02">
        <w:rPr>
          <w:sz w:val="18"/>
        </w:rPr>
        <w:t xml:space="preserve">the artistic treatment of functional equipment such as bike racks, benches, fountains, playground equipment, light posts or shade structures which are </w:t>
      </w:r>
      <w:proofErr w:type="gramStart"/>
      <w:r w:rsidRPr="007D4E02">
        <w:rPr>
          <w:sz w:val="18"/>
        </w:rPr>
        <w:t>unique;</w:t>
      </w:r>
      <w:proofErr w:type="gramEnd"/>
    </w:p>
    <w:p w14:paraId="018B7435" w14:textId="77777777" w:rsidR="00E16F52" w:rsidRPr="007D4E02" w:rsidRDefault="00E16F52" w:rsidP="002A3889">
      <w:pPr>
        <w:pStyle w:val="Text"/>
        <w:numPr>
          <w:ilvl w:val="0"/>
          <w:numId w:val="312"/>
        </w:numPr>
        <w:spacing w:after="120"/>
        <w:ind w:left="714" w:hanging="357"/>
        <w:jc w:val="both"/>
        <w:outlineLvl w:val="0"/>
        <w:rPr>
          <w:sz w:val="18"/>
        </w:rPr>
      </w:pPr>
      <w:r w:rsidRPr="007D4E02">
        <w:rPr>
          <w:sz w:val="18"/>
        </w:rPr>
        <w:t xml:space="preserve">landscape art enhancements such as walkways, bridges or art features within a </w:t>
      </w:r>
      <w:proofErr w:type="gramStart"/>
      <w:r w:rsidRPr="007D4E02">
        <w:rPr>
          <w:sz w:val="18"/>
        </w:rPr>
        <w:t>garden;</w:t>
      </w:r>
      <w:proofErr w:type="gramEnd"/>
    </w:p>
    <w:p w14:paraId="5DF5D2EB" w14:textId="77777777" w:rsidR="00E16F52" w:rsidRPr="007D4E02" w:rsidRDefault="00E16F52" w:rsidP="002A3889">
      <w:pPr>
        <w:pStyle w:val="Text"/>
        <w:numPr>
          <w:ilvl w:val="0"/>
          <w:numId w:val="312"/>
        </w:numPr>
        <w:spacing w:after="120"/>
        <w:ind w:left="714" w:hanging="357"/>
        <w:jc w:val="both"/>
        <w:outlineLvl w:val="0"/>
        <w:rPr>
          <w:sz w:val="18"/>
        </w:rPr>
      </w:pPr>
      <w:r w:rsidRPr="007D4E02">
        <w:rPr>
          <w:sz w:val="18"/>
        </w:rPr>
        <w:t>murals, tiles and mosaics covering walls, floors and walkways; and</w:t>
      </w:r>
    </w:p>
    <w:p w14:paraId="3AA96E05" w14:textId="77777777" w:rsidR="00E16F52" w:rsidRPr="00684797" w:rsidRDefault="00E16F52" w:rsidP="002A3889">
      <w:pPr>
        <w:numPr>
          <w:ilvl w:val="0"/>
          <w:numId w:val="312"/>
        </w:numPr>
        <w:spacing w:after="0" w:line="240" w:lineRule="auto"/>
        <w:jc w:val="both"/>
        <w:rPr>
          <w:rFonts w:ascii="Arial" w:hAnsi="Arial" w:cs="Arial"/>
          <w:sz w:val="18"/>
          <w:szCs w:val="24"/>
        </w:rPr>
      </w:pPr>
      <w:r w:rsidRPr="00684797">
        <w:rPr>
          <w:rFonts w:ascii="Arial" w:hAnsi="Arial" w:cs="Arial"/>
          <w:sz w:val="18"/>
          <w:szCs w:val="24"/>
        </w:rPr>
        <w:t>sculptures, free-standing or incorporated as an integral element of a building’s design, paintings, pictures and photographic works.</w:t>
      </w:r>
    </w:p>
    <w:p w14:paraId="10EE834C" w14:textId="77777777" w:rsidR="00E16F52" w:rsidRPr="007D4E02" w:rsidRDefault="00E16F52" w:rsidP="00E16F52">
      <w:pPr>
        <w:pStyle w:val="Text"/>
        <w:rPr>
          <w:b/>
          <w:sz w:val="18"/>
        </w:rPr>
      </w:pPr>
    </w:p>
    <w:p w14:paraId="292FA70B" w14:textId="77777777" w:rsidR="00E16F52" w:rsidRPr="007D4E02" w:rsidRDefault="00E16F52" w:rsidP="00E16F52">
      <w:pPr>
        <w:pStyle w:val="Text"/>
        <w:rPr>
          <w:b/>
          <w:sz w:val="18"/>
        </w:rPr>
      </w:pPr>
      <w:r w:rsidRPr="007D4E02">
        <w:rPr>
          <w:b/>
          <w:sz w:val="18"/>
        </w:rPr>
        <w:t>Public art does not include:</w:t>
      </w:r>
    </w:p>
    <w:p w14:paraId="24281FD3" w14:textId="48D7BB8F" w:rsidR="00E16F52" w:rsidRPr="007D4E02" w:rsidRDefault="00E16F52" w:rsidP="002A3889">
      <w:pPr>
        <w:pStyle w:val="Text"/>
        <w:numPr>
          <w:ilvl w:val="0"/>
          <w:numId w:val="312"/>
        </w:numPr>
        <w:spacing w:after="120"/>
        <w:ind w:left="714" w:hanging="357"/>
        <w:jc w:val="both"/>
        <w:outlineLvl w:val="0"/>
        <w:rPr>
          <w:sz w:val="18"/>
        </w:rPr>
      </w:pPr>
      <w:r w:rsidRPr="007D4E02">
        <w:rPr>
          <w:sz w:val="18"/>
        </w:rPr>
        <w:t xml:space="preserve">business </w:t>
      </w:r>
      <w:proofErr w:type="gramStart"/>
      <w:r w:rsidRPr="007D4E02">
        <w:rPr>
          <w:sz w:val="18"/>
        </w:rPr>
        <w:t>logos;</w:t>
      </w:r>
      <w:proofErr w:type="gramEnd"/>
    </w:p>
    <w:p w14:paraId="3259986D" w14:textId="77777777" w:rsidR="00E16F52" w:rsidRPr="007D4E02" w:rsidRDefault="00E16F52" w:rsidP="002A3889">
      <w:pPr>
        <w:pStyle w:val="Text"/>
        <w:numPr>
          <w:ilvl w:val="0"/>
          <w:numId w:val="312"/>
        </w:numPr>
        <w:spacing w:after="120"/>
        <w:ind w:left="714" w:hanging="357"/>
        <w:jc w:val="both"/>
        <w:outlineLvl w:val="0"/>
        <w:rPr>
          <w:sz w:val="18"/>
        </w:rPr>
      </w:pPr>
      <w:r w:rsidRPr="007D4E02">
        <w:rPr>
          <w:sz w:val="18"/>
        </w:rPr>
        <w:lastRenderedPageBreak/>
        <w:t xml:space="preserve">advertising </w:t>
      </w:r>
      <w:proofErr w:type="gramStart"/>
      <w:r w:rsidRPr="007D4E02">
        <w:rPr>
          <w:sz w:val="18"/>
        </w:rPr>
        <w:t>signage;</w:t>
      </w:r>
      <w:proofErr w:type="gramEnd"/>
    </w:p>
    <w:p w14:paraId="32395EF9" w14:textId="77777777" w:rsidR="00E16F52" w:rsidRPr="007D4E02" w:rsidRDefault="00E16F52" w:rsidP="002A3889">
      <w:pPr>
        <w:pStyle w:val="Text"/>
        <w:numPr>
          <w:ilvl w:val="0"/>
          <w:numId w:val="312"/>
        </w:numPr>
        <w:spacing w:after="120"/>
        <w:ind w:left="714" w:hanging="357"/>
        <w:jc w:val="both"/>
        <w:outlineLvl w:val="0"/>
        <w:rPr>
          <w:sz w:val="18"/>
        </w:rPr>
      </w:pPr>
      <w:r w:rsidRPr="007D4E02">
        <w:rPr>
          <w:sz w:val="18"/>
        </w:rPr>
        <w:t>art objects which are mass produced or off the-shelf reproductions; and</w:t>
      </w:r>
    </w:p>
    <w:p w14:paraId="5DFD33F9" w14:textId="77777777" w:rsidR="00E16F52" w:rsidRPr="007D4E02" w:rsidRDefault="00E16F52" w:rsidP="002A3889">
      <w:pPr>
        <w:pStyle w:val="Text"/>
        <w:numPr>
          <w:ilvl w:val="0"/>
          <w:numId w:val="312"/>
        </w:numPr>
        <w:ind w:left="567" w:hanging="207"/>
        <w:jc w:val="both"/>
        <w:outlineLvl w:val="0"/>
        <w:rPr>
          <w:sz w:val="18"/>
        </w:rPr>
      </w:pPr>
      <w:r w:rsidRPr="007D4E02">
        <w:rPr>
          <w:sz w:val="18"/>
        </w:rPr>
        <w:t>landscaping or architectural features which would normally be integrated into the building or development.</w:t>
      </w:r>
    </w:p>
    <w:p w14:paraId="55BFB62A" w14:textId="77777777" w:rsidR="00E16F52" w:rsidRPr="007D4E02" w:rsidRDefault="00E16F52" w:rsidP="00E16F52">
      <w:pPr>
        <w:pStyle w:val="Text"/>
        <w:rPr>
          <w:b/>
          <w:sz w:val="18"/>
        </w:rPr>
      </w:pPr>
    </w:p>
    <w:p w14:paraId="36BC59E0" w14:textId="77777777" w:rsidR="00E16F52" w:rsidRPr="007D4E02" w:rsidRDefault="00E16F52" w:rsidP="00E16F52">
      <w:pPr>
        <w:pStyle w:val="Text"/>
        <w:rPr>
          <w:b/>
          <w:sz w:val="18"/>
        </w:rPr>
      </w:pPr>
      <w:r w:rsidRPr="007D4E02">
        <w:rPr>
          <w:b/>
          <w:sz w:val="18"/>
        </w:rPr>
        <w:t>Public Art Maintenance &amp; Conservation Program</w:t>
      </w:r>
    </w:p>
    <w:p w14:paraId="72D0C070" w14:textId="77777777" w:rsidR="00E16F52" w:rsidRPr="007D4E02" w:rsidRDefault="00E16F52" w:rsidP="00E16F52">
      <w:pPr>
        <w:pStyle w:val="Text"/>
        <w:rPr>
          <w:sz w:val="18"/>
        </w:rPr>
      </w:pPr>
      <w:r w:rsidRPr="007D4E02">
        <w:rPr>
          <w:sz w:val="18"/>
        </w:rPr>
        <w:t>The coordinated administration of regular treatments, professional conservation and repairs to works in an Art Collection to maintain their integrity.</w:t>
      </w:r>
    </w:p>
    <w:p w14:paraId="4D736F44" w14:textId="77777777" w:rsidR="00E16F52" w:rsidRPr="007D4E02" w:rsidRDefault="00E16F52" w:rsidP="00E16F52">
      <w:pPr>
        <w:pStyle w:val="Text"/>
        <w:rPr>
          <w:b/>
          <w:sz w:val="18"/>
        </w:rPr>
      </w:pPr>
    </w:p>
    <w:p w14:paraId="608050CD" w14:textId="77777777" w:rsidR="00E16F52" w:rsidRPr="007D4E02" w:rsidRDefault="00E16F52" w:rsidP="00E16F52">
      <w:pPr>
        <w:pStyle w:val="Text"/>
        <w:rPr>
          <w:b/>
          <w:sz w:val="18"/>
        </w:rPr>
      </w:pPr>
      <w:r w:rsidRPr="007D4E02">
        <w:rPr>
          <w:b/>
          <w:sz w:val="18"/>
        </w:rPr>
        <w:t>Public Art Consultant</w:t>
      </w:r>
    </w:p>
    <w:p w14:paraId="35A8C527" w14:textId="77777777" w:rsidR="00E16F52" w:rsidRPr="007D4E02" w:rsidRDefault="00E16F52" w:rsidP="00E16F52">
      <w:pPr>
        <w:pStyle w:val="Text"/>
        <w:rPr>
          <w:sz w:val="18"/>
        </w:rPr>
      </w:pPr>
      <w:r w:rsidRPr="007D4E02">
        <w:rPr>
          <w:sz w:val="18"/>
        </w:rPr>
        <w:t>A professional specialising in public art, engaged to provide expert advice or project management.</w:t>
      </w:r>
    </w:p>
    <w:p w14:paraId="26A04C9A" w14:textId="77777777" w:rsidR="00E16F52" w:rsidRPr="007D4E02" w:rsidRDefault="00E16F52" w:rsidP="00E16F52">
      <w:pPr>
        <w:pStyle w:val="Text"/>
        <w:rPr>
          <w:b/>
          <w:sz w:val="18"/>
        </w:rPr>
      </w:pPr>
    </w:p>
    <w:p w14:paraId="6EA764D8" w14:textId="77777777" w:rsidR="00E16F52" w:rsidRPr="007D4E02" w:rsidRDefault="00E16F52" w:rsidP="00E16F52">
      <w:pPr>
        <w:pStyle w:val="Text"/>
        <w:rPr>
          <w:b/>
          <w:sz w:val="18"/>
        </w:rPr>
      </w:pPr>
      <w:r w:rsidRPr="007D4E02">
        <w:rPr>
          <w:b/>
          <w:sz w:val="18"/>
        </w:rPr>
        <w:t>Public Art Project Manager</w:t>
      </w:r>
    </w:p>
    <w:p w14:paraId="26D49573" w14:textId="77777777" w:rsidR="00E16F52" w:rsidRPr="007D4E02" w:rsidRDefault="00E16F52" w:rsidP="00E16F52">
      <w:pPr>
        <w:pStyle w:val="Text"/>
        <w:rPr>
          <w:sz w:val="18"/>
        </w:rPr>
      </w:pPr>
      <w:r w:rsidRPr="007D4E02">
        <w:rPr>
          <w:sz w:val="18"/>
        </w:rPr>
        <w:t>A professional employee or contractor responsible for the planning, execution, contract management and close-out of the public art project.</w:t>
      </w:r>
    </w:p>
    <w:p w14:paraId="447634AB" w14:textId="77777777" w:rsidR="00E16F52" w:rsidRPr="007D4E02" w:rsidRDefault="00E16F52" w:rsidP="00E16F52">
      <w:pPr>
        <w:jc w:val="both"/>
        <w:rPr>
          <w:rFonts w:ascii="Arial" w:hAnsi="Arial" w:cs="Arial"/>
          <w:lang w:val="en-US"/>
        </w:rPr>
      </w:pPr>
    </w:p>
    <w:p w14:paraId="05CF6070" w14:textId="77777777" w:rsidR="006D089F" w:rsidRDefault="006D089F">
      <w:pPr>
        <w:rPr>
          <w:rFonts w:ascii="Arial" w:hAnsi="Arial" w:cs="Arial"/>
          <w:lang w:val="en-US"/>
        </w:rPr>
      </w:pPr>
      <w:r>
        <w:rPr>
          <w:rFonts w:ascii="Arial" w:hAnsi="Arial" w:cs="Arial"/>
          <w:lang w:val="en-US"/>
        </w:rPr>
        <w:br w:type="page"/>
      </w:r>
    </w:p>
    <w:p w14:paraId="62125604" w14:textId="747AB782" w:rsidR="00EF011D" w:rsidRDefault="00EF011D" w:rsidP="00EF011D">
      <w:pPr>
        <w:pStyle w:val="Title"/>
        <w:pBdr>
          <w:bottom w:val="none" w:sz="0" w:space="0" w:color="auto"/>
        </w:pBdr>
        <w:spacing w:after="240"/>
        <w:jc w:val="right"/>
      </w:pPr>
      <w:r>
        <w:rPr>
          <w:noProof/>
          <w:lang w:eastAsia="en-AU"/>
        </w:rPr>
        <w:lastRenderedPageBreak/>
        <w:drawing>
          <wp:anchor distT="0" distB="0" distL="114300" distR="114300" simplePos="0" relativeHeight="251627520" behindDoc="1" locked="0" layoutInCell="1" allowOverlap="1" wp14:anchorId="2F86D5AF" wp14:editId="08A896D3">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1DA1976B" w14:textId="4E74634D" w:rsidR="006D089F" w:rsidRPr="008240F7" w:rsidRDefault="006D089F" w:rsidP="00BC54F9">
      <w:pPr>
        <w:pStyle w:val="Policy3"/>
      </w:pPr>
      <w:bookmarkStart w:id="583" w:name="_Toc216866733"/>
      <w:r>
        <w:t>4.1.4</w:t>
      </w:r>
      <w:r>
        <w:tab/>
        <w:t>D</w:t>
      </w:r>
      <w:r w:rsidR="00BC54F9">
        <w:t>irectional Signs</w:t>
      </w:r>
      <w:bookmarkEnd w:id="583"/>
    </w:p>
    <w:tbl>
      <w:tblPr>
        <w:tblStyle w:val="TableGrid"/>
        <w:tblW w:w="0" w:type="auto"/>
        <w:tblLook w:val="04A0" w:firstRow="1" w:lastRow="0" w:firstColumn="1" w:lastColumn="0" w:noHBand="0" w:noVBand="1"/>
      </w:tblPr>
      <w:tblGrid>
        <w:gridCol w:w="3022"/>
        <w:gridCol w:w="5994"/>
      </w:tblGrid>
      <w:tr w:rsidR="006D089F" w:rsidRPr="008434EA" w14:paraId="0C460D72" w14:textId="77777777" w:rsidTr="00E845E5">
        <w:tc>
          <w:tcPr>
            <w:tcW w:w="3022" w:type="dxa"/>
          </w:tcPr>
          <w:p w14:paraId="5B3A983F" w14:textId="77777777" w:rsidR="006D089F" w:rsidRPr="008434EA" w:rsidRDefault="006D089F" w:rsidP="00E845E5">
            <w:pPr>
              <w:rPr>
                <w:rFonts w:cstheme="minorHAnsi"/>
                <w:b/>
                <w:lang w:val="en-US"/>
              </w:rPr>
            </w:pPr>
            <w:r w:rsidRPr="008434EA">
              <w:rPr>
                <w:rFonts w:cstheme="minorHAnsi"/>
                <w:b/>
                <w:lang w:val="en-US"/>
              </w:rPr>
              <w:t>Type:</w:t>
            </w:r>
          </w:p>
        </w:tc>
        <w:tc>
          <w:tcPr>
            <w:tcW w:w="5994" w:type="dxa"/>
          </w:tcPr>
          <w:p w14:paraId="71EF8173" w14:textId="77777777" w:rsidR="006D089F" w:rsidRPr="008434EA" w:rsidRDefault="006D089F" w:rsidP="00E845E5">
            <w:pPr>
              <w:rPr>
                <w:rFonts w:cstheme="minorHAnsi"/>
                <w:lang w:val="en-US"/>
              </w:rPr>
            </w:pPr>
            <w:r w:rsidRPr="008434EA">
              <w:rPr>
                <w:rFonts w:cstheme="minorHAnsi"/>
                <w:lang w:val="en-US"/>
              </w:rPr>
              <w:t>Operations – Public Infrastructure</w:t>
            </w:r>
          </w:p>
        </w:tc>
      </w:tr>
      <w:tr w:rsidR="006D089F" w:rsidRPr="008434EA" w14:paraId="244EFB2B" w14:textId="77777777" w:rsidTr="00E845E5">
        <w:tc>
          <w:tcPr>
            <w:tcW w:w="3022" w:type="dxa"/>
          </w:tcPr>
          <w:p w14:paraId="767E7AD8" w14:textId="77777777" w:rsidR="006D089F" w:rsidRPr="008434EA" w:rsidRDefault="006D089F" w:rsidP="00E845E5">
            <w:pPr>
              <w:rPr>
                <w:rFonts w:cstheme="minorHAnsi"/>
                <w:b/>
                <w:lang w:val="en-US"/>
              </w:rPr>
            </w:pPr>
            <w:r w:rsidRPr="008434EA">
              <w:rPr>
                <w:rFonts w:cstheme="minorHAnsi"/>
                <w:b/>
                <w:lang w:val="en-US"/>
              </w:rPr>
              <w:t>Legislation:</w:t>
            </w:r>
          </w:p>
        </w:tc>
        <w:tc>
          <w:tcPr>
            <w:tcW w:w="5994" w:type="dxa"/>
          </w:tcPr>
          <w:p w14:paraId="6D3BA5A7" w14:textId="77777777" w:rsidR="006D089F" w:rsidRPr="008434EA" w:rsidRDefault="006D089F" w:rsidP="00E845E5">
            <w:pPr>
              <w:rPr>
                <w:rFonts w:cstheme="minorHAnsi"/>
                <w:lang w:val="en-US"/>
              </w:rPr>
            </w:pPr>
          </w:p>
        </w:tc>
      </w:tr>
      <w:tr w:rsidR="006D089F" w:rsidRPr="008434EA" w14:paraId="7D8F7DC4" w14:textId="77777777" w:rsidTr="00E845E5">
        <w:tc>
          <w:tcPr>
            <w:tcW w:w="3022" w:type="dxa"/>
          </w:tcPr>
          <w:p w14:paraId="05067212" w14:textId="77777777" w:rsidR="006D089F" w:rsidRPr="008434EA" w:rsidRDefault="006D089F" w:rsidP="00E845E5">
            <w:pPr>
              <w:rPr>
                <w:rFonts w:cstheme="minorHAnsi"/>
                <w:b/>
                <w:lang w:val="en-US"/>
              </w:rPr>
            </w:pPr>
            <w:r w:rsidRPr="008434EA">
              <w:rPr>
                <w:rFonts w:cstheme="minorHAnsi"/>
                <w:b/>
                <w:lang w:val="en-US"/>
              </w:rPr>
              <w:t>Delegation:</w:t>
            </w:r>
          </w:p>
        </w:tc>
        <w:tc>
          <w:tcPr>
            <w:tcW w:w="5994" w:type="dxa"/>
          </w:tcPr>
          <w:p w14:paraId="6352E106" w14:textId="77777777" w:rsidR="006D089F" w:rsidRPr="008434EA" w:rsidRDefault="006D089F" w:rsidP="00E845E5">
            <w:pPr>
              <w:rPr>
                <w:rFonts w:cstheme="minorHAnsi"/>
                <w:lang w:val="en-US"/>
              </w:rPr>
            </w:pPr>
            <w:r w:rsidRPr="008434EA">
              <w:rPr>
                <w:rFonts w:cstheme="minorHAnsi"/>
                <w:lang w:val="en-US"/>
              </w:rPr>
              <w:t>N/A</w:t>
            </w:r>
          </w:p>
        </w:tc>
      </w:tr>
      <w:tr w:rsidR="006D089F" w:rsidRPr="008434EA" w14:paraId="4BC0B6BA" w14:textId="77777777" w:rsidTr="00E845E5">
        <w:tc>
          <w:tcPr>
            <w:tcW w:w="3022" w:type="dxa"/>
          </w:tcPr>
          <w:p w14:paraId="04D8B933" w14:textId="77777777" w:rsidR="006D089F" w:rsidRPr="008434EA" w:rsidRDefault="006D089F" w:rsidP="00E845E5">
            <w:pPr>
              <w:rPr>
                <w:rFonts w:cstheme="minorHAnsi"/>
                <w:b/>
                <w:lang w:val="en-US"/>
              </w:rPr>
            </w:pPr>
            <w:r w:rsidRPr="008434EA">
              <w:rPr>
                <w:rFonts w:cstheme="minorHAnsi"/>
                <w:b/>
                <w:lang w:val="en-US"/>
              </w:rPr>
              <w:t>Other Related Document:</w:t>
            </w:r>
          </w:p>
        </w:tc>
        <w:tc>
          <w:tcPr>
            <w:tcW w:w="5994" w:type="dxa"/>
          </w:tcPr>
          <w:p w14:paraId="094589B6" w14:textId="77777777" w:rsidR="006D089F" w:rsidRPr="008434EA" w:rsidRDefault="006D089F" w:rsidP="00E845E5">
            <w:pPr>
              <w:rPr>
                <w:rFonts w:cstheme="minorHAnsi"/>
                <w:lang w:val="en-US"/>
              </w:rPr>
            </w:pPr>
          </w:p>
        </w:tc>
      </w:tr>
    </w:tbl>
    <w:p w14:paraId="3B2ECC78" w14:textId="77777777" w:rsidR="006D089F" w:rsidRPr="008434EA" w:rsidRDefault="006D089F" w:rsidP="00546492">
      <w:pPr>
        <w:spacing w:before="240" w:after="0"/>
        <w:jc w:val="both"/>
        <w:rPr>
          <w:rFonts w:cstheme="minorHAnsi"/>
          <w:b/>
          <w:sz w:val="28"/>
          <w:szCs w:val="28"/>
          <w:lang w:val="en-US"/>
        </w:rPr>
      </w:pPr>
      <w:r w:rsidRPr="008434EA">
        <w:rPr>
          <w:rFonts w:cstheme="minorHAnsi"/>
          <w:b/>
          <w:sz w:val="28"/>
          <w:szCs w:val="28"/>
          <w:lang w:val="en-US"/>
        </w:rPr>
        <w:t>Objective</w:t>
      </w:r>
    </w:p>
    <w:p w14:paraId="0D66FBB4" w14:textId="77777777" w:rsidR="006D089F" w:rsidRPr="008434EA" w:rsidRDefault="006D089F" w:rsidP="00546492">
      <w:pPr>
        <w:jc w:val="both"/>
        <w:rPr>
          <w:rFonts w:cstheme="minorHAnsi"/>
          <w:lang w:val="en-US"/>
        </w:rPr>
      </w:pPr>
      <w:r w:rsidRPr="008434EA">
        <w:rPr>
          <w:rFonts w:cstheme="minorHAnsi"/>
          <w:lang w:val="en-US"/>
        </w:rPr>
        <w:t>This polic</w:t>
      </w:r>
      <w:r>
        <w:rPr>
          <w:rFonts w:cstheme="minorHAnsi"/>
          <w:lang w:val="en-US"/>
        </w:rPr>
        <w:t xml:space="preserve">y sets out the criteria for directional signs </w:t>
      </w:r>
      <w:r w:rsidRPr="008434EA">
        <w:rPr>
          <w:rFonts w:cstheme="minorHAnsi"/>
          <w:lang w:val="en-US"/>
        </w:rPr>
        <w:t>within the Town.</w:t>
      </w:r>
    </w:p>
    <w:p w14:paraId="42D2CF47" w14:textId="77777777" w:rsidR="006D089F" w:rsidRPr="008434EA" w:rsidRDefault="006D089F" w:rsidP="00546492">
      <w:pPr>
        <w:spacing w:after="0"/>
        <w:jc w:val="both"/>
        <w:rPr>
          <w:rFonts w:cstheme="minorHAnsi"/>
          <w:b/>
          <w:sz w:val="28"/>
          <w:szCs w:val="28"/>
          <w:lang w:val="en-US"/>
        </w:rPr>
      </w:pPr>
      <w:r w:rsidRPr="008434EA">
        <w:rPr>
          <w:rFonts w:cstheme="minorHAnsi"/>
          <w:b/>
          <w:sz w:val="28"/>
          <w:szCs w:val="28"/>
          <w:lang w:val="en-US"/>
        </w:rPr>
        <w:t>Policy Scope</w:t>
      </w:r>
    </w:p>
    <w:p w14:paraId="2C66BB0C" w14:textId="77777777" w:rsidR="006D089F" w:rsidRPr="00753E4D" w:rsidRDefault="006D089F" w:rsidP="00FC6FDE">
      <w:pPr>
        <w:spacing w:line="240" w:lineRule="auto"/>
        <w:jc w:val="both"/>
        <w:rPr>
          <w:lang w:val="en-US"/>
        </w:rPr>
      </w:pPr>
      <w:r w:rsidRPr="00753E4D">
        <w:rPr>
          <w:lang w:val="en-US"/>
        </w:rPr>
        <w:t>Directional signs are defined as those signs which the Council may erect within its boundaries for public guidance as to the location of places of public assembly such as schools, universities, regional shopping centers homes for the aged, hospitals, sporting facilities, churches, scout halls, libraries, or any other facility which the Council considers to be of community benefit, or the Council facilities.</w:t>
      </w:r>
    </w:p>
    <w:p w14:paraId="7C22968B" w14:textId="77777777" w:rsidR="006D089F" w:rsidRPr="00753E4D" w:rsidRDefault="006D089F" w:rsidP="00FC6FDE">
      <w:pPr>
        <w:spacing w:after="60" w:line="240" w:lineRule="auto"/>
        <w:jc w:val="both"/>
        <w:rPr>
          <w:lang w:val="en-US"/>
        </w:rPr>
      </w:pPr>
      <w:r w:rsidRPr="00753E4D">
        <w:rPr>
          <w:lang w:val="en-US"/>
        </w:rPr>
        <w:t>Directional signs shall be of two types:</w:t>
      </w:r>
    </w:p>
    <w:p w14:paraId="55F654DF" w14:textId="77777777" w:rsidR="006D089F" w:rsidRPr="00753E4D" w:rsidRDefault="006D089F" w:rsidP="00FC6FDE">
      <w:pPr>
        <w:spacing w:after="60" w:line="240" w:lineRule="auto"/>
        <w:ind w:left="426" w:hanging="426"/>
        <w:jc w:val="both"/>
        <w:rPr>
          <w:lang w:val="en-US"/>
        </w:rPr>
      </w:pPr>
      <w:proofErr w:type="spellStart"/>
      <w:r w:rsidRPr="00753E4D">
        <w:rPr>
          <w:lang w:val="en-US"/>
        </w:rPr>
        <w:t>i</w:t>
      </w:r>
      <w:proofErr w:type="spellEnd"/>
      <w:r w:rsidRPr="00753E4D">
        <w:rPr>
          <w:lang w:val="en-US"/>
        </w:rPr>
        <w:t>)</w:t>
      </w:r>
      <w:r w:rsidRPr="00753E4D">
        <w:rPr>
          <w:lang w:val="en-US"/>
        </w:rPr>
        <w:tab/>
        <w:t>The Council-owned facilities, and</w:t>
      </w:r>
    </w:p>
    <w:p w14:paraId="6622CAF2" w14:textId="77777777" w:rsidR="006D089F" w:rsidRPr="00753E4D" w:rsidRDefault="006D089F" w:rsidP="00FC6FDE">
      <w:pPr>
        <w:ind w:left="426" w:hanging="426"/>
        <w:jc w:val="both"/>
        <w:rPr>
          <w:lang w:val="en-US"/>
        </w:rPr>
      </w:pPr>
      <w:r w:rsidRPr="00753E4D">
        <w:rPr>
          <w:lang w:val="en-US"/>
        </w:rPr>
        <w:t>ii)</w:t>
      </w:r>
      <w:r w:rsidRPr="00753E4D">
        <w:rPr>
          <w:lang w:val="en-US"/>
        </w:rPr>
        <w:tab/>
      </w:r>
      <w:proofErr w:type="gramStart"/>
      <w:r w:rsidRPr="00753E4D">
        <w:rPr>
          <w:lang w:val="en-US"/>
        </w:rPr>
        <w:t>Non Council</w:t>
      </w:r>
      <w:proofErr w:type="gramEnd"/>
      <w:r w:rsidRPr="00753E4D">
        <w:rPr>
          <w:lang w:val="en-US"/>
        </w:rPr>
        <w:t>-owned facilities.</w:t>
      </w:r>
    </w:p>
    <w:p w14:paraId="5FD0A13F" w14:textId="77777777" w:rsidR="00546492" w:rsidRDefault="006D089F" w:rsidP="00546492">
      <w:pPr>
        <w:spacing w:after="60"/>
        <w:jc w:val="both"/>
        <w:rPr>
          <w:rFonts w:cstheme="minorHAnsi"/>
          <w:b/>
          <w:sz w:val="28"/>
          <w:szCs w:val="28"/>
          <w:lang w:val="en-US"/>
        </w:rPr>
      </w:pPr>
      <w:r w:rsidRPr="008434EA">
        <w:rPr>
          <w:rFonts w:cstheme="minorHAnsi"/>
          <w:b/>
          <w:sz w:val="28"/>
          <w:szCs w:val="28"/>
          <w:lang w:val="en-US"/>
        </w:rPr>
        <w:t xml:space="preserve">Policy </w:t>
      </w:r>
    </w:p>
    <w:p w14:paraId="61C6C6FA" w14:textId="77777777" w:rsidR="006D089F" w:rsidRPr="00546492" w:rsidRDefault="00546492" w:rsidP="00546492">
      <w:pPr>
        <w:spacing w:after="0"/>
        <w:jc w:val="both"/>
        <w:rPr>
          <w:rFonts w:cstheme="minorHAnsi"/>
          <w:b/>
          <w:sz w:val="28"/>
          <w:szCs w:val="28"/>
          <w:lang w:val="en-US"/>
        </w:rPr>
      </w:pPr>
      <w:r>
        <w:rPr>
          <w:b/>
          <w:spacing w:val="-2"/>
          <w:szCs w:val="24"/>
          <w:lang w:val="en-US"/>
        </w:rPr>
        <w:t>Purpose</w:t>
      </w:r>
    </w:p>
    <w:p w14:paraId="21CC3D8A" w14:textId="77777777" w:rsidR="006D089F" w:rsidRPr="00753E4D" w:rsidRDefault="006D089F" w:rsidP="00FC6FDE">
      <w:pPr>
        <w:spacing w:after="60" w:line="240" w:lineRule="auto"/>
        <w:jc w:val="both"/>
        <w:rPr>
          <w:lang w:val="en-US"/>
        </w:rPr>
      </w:pPr>
      <w:r w:rsidRPr="00753E4D">
        <w:rPr>
          <w:lang w:val="en-US"/>
        </w:rPr>
        <w:t>Directional signs shall be for the following purposes:</w:t>
      </w:r>
    </w:p>
    <w:p w14:paraId="33618D02" w14:textId="77777777" w:rsidR="006D089F" w:rsidRPr="00753E4D" w:rsidRDefault="006D089F" w:rsidP="00FC6FDE">
      <w:pPr>
        <w:spacing w:after="60" w:line="240" w:lineRule="auto"/>
        <w:ind w:left="426" w:hanging="426"/>
        <w:jc w:val="both"/>
        <w:rPr>
          <w:lang w:val="en-US"/>
        </w:rPr>
      </w:pPr>
      <w:r w:rsidRPr="00753E4D">
        <w:rPr>
          <w:lang w:val="en-US"/>
        </w:rPr>
        <w:t>a)</w:t>
      </w:r>
      <w:r w:rsidRPr="00753E4D">
        <w:rPr>
          <w:lang w:val="en-US"/>
        </w:rPr>
        <w:tab/>
        <w:t>Those which are intended to direct the public from a major regional road or main road via the Council local road system to a particular facility that is deemed to provide a service to the public.</w:t>
      </w:r>
    </w:p>
    <w:p w14:paraId="406B5035" w14:textId="77777777" w:rsidR="006D089F" w:rsidRPr="00753E4D" w:rsidRDefault="006D089F" w:rsidP="00FC6FDE">
      <w:pPr>
        <w:spacing w:line="240" w:lineRule="auto"/>
        <w:ind w:left="426" w:hanging="426"/>
        <w:jc w:val="both"/>
        <w:rPr>
          <w:lang w:val="en-US"/>
        </w:rPr>
      </w:pPr>
      <w:r w:rsidRPr="00753E4D">
        <w:rPr>
          <w:lang w:val="en-US"/>
        </w:rPr>
        <w:t>b)</w:t>
      </w:r>
      <w:r w:rsidRPr="00753E4D">
        <w:rPr>
          <w:lang w:val="en-US"/>
        </w:rPr>
        <w:tab/>
        <w:t>Those which are intended to direct the public from the Council local road system to a particular public facility.</w:t>
      </w:r>
    </w:p>
    <w:p w14:paraId="6FF0C9DB" w14:textId="77777777" w:rsidR="00E10B57" w:rsidRPr="00546492" w:rsidRDefault="00E10B57" w:rsidP="00FC6FDE">
      <w:pPr>
        <w:spacing w:after="0" w:line="240" w:lineRule="auto"/>
        <w:jc w:val="both"/>
        <w:rPr>
          <w:b/>
          <w:lang w:val="en-US"/>
        </w:rPr>
      </w:pPr>
      <w:r w:rsidRPr="00546492">
        <w:rPr>
          <w:b/>
          <w:lang w:val="en-US"/>
        </w:rPr>
        <w:t>Procedure</w:t>
      </w:r>
    </w:p>
    <w:p w14:paraId="037CD724" w14:textId="77777777" w:rsidR="00E10B57" w:rsidRDefault="00E10B57" w:rsidP="00FC6FDE">
      <w:pPr>
        <w:spacing w:line="240" w:lineRule="auto"/>
        <w:jc w:val="both"/>
        <w:rPr>
          <w:lang w:val="en-US"/>
        </w:rPr>
      </w:pPr>
      <w:r w:rsidRPr="00753E4D">
        <w:rPr>
          <w:lang w:val="en-US"/>
        </w:rPr>
        <w:t>Applications from the public for directional signs for any Council or Government facility shall be first presented to the Chief Executive Officer</w:t>
      </w:r>
      <w:r>
        <w:rPr>
          <w:lang w:val="en-US"/>
        </w:rPr>
        <w:t>.</w:t>
      </w:r>
    </w:p>
    <w:p w14:paraId="675627DD" w14:textId="77777777" w:rsidR="00E10B57" w:rsidRPr="00753E4D" w:rsidRDefault="00E10B57" w:rsidP="00FC6FDE">
      <w:pPr>
        <w:spacing w:line="240" w:lineRule="auto"/>
        <w:jc w:val="both"/>
        <w:rPr>
          <w:lang w:val="en-US"/>
        </w:rPr>
      </w:pPr>
      <w:r>
        <w:rPr>
          <w:lang w:val="en-US"/>
        </w:rPr>
        <w:t>F</w:t>
      </w:r>
      <w:r w:rsidRPr="00753E4D">
        <w:rPr>
          <w:lang w:val="en-US"/>
        </w:rPr>
        <w:t xml:space="preserve">ollowing </w:t>
      </w:r>
      <w:proofErr w:type="gramStart"/>
      <w:r w:rsidRPr="00753E4D">
        <w:rPr>
          <w:lang w:val="en-US"/>
        </w:rPr>
        <w:t>approval</w:t>
      </w:r>
      <w:proofErr w:type="gramEnd"/>
      <w:r w:rsidRPr="00753E4D">
        <w:rPr>
          <w:lang w:val="en-US"/>
        </w:rPr>
        <w:t xml:space="preserve"> the applicant shall be notified in writing of the costs and conditions and that all such costs are payable to the Council prior to any sign being erected or maintained.  All Council owned Building directional signs would be erected and maintained at council’s cost.</w:t>
      </w:r>
    </w:p>
    <w:p w14:paraId="6F44346E" w14:textId="77777777" w:rsidR="006D089F" w:rsidRPr="00753E4D" w:rsidRDefault="00E10B57" w:rsidP="00FC6FDE">
      <w:pPr>
        <w:spacing w:after="60" w:line="240" w:lineRule="auto"/>
        <w:jc w:val="both"/>
        <w:rPr>
          <w:lang w:val="en-US"/>
        </w:rPr>
      </w:pPr>
      <w:r>
        <w:rPr>
          <w:b/>
          <w:lang w:val="en-US"/>
        </w:rPr>
        <w:t>Installation</w:t>
      </w:r>
    </w:p>
    <w:p w14:paraId="269C566D" w14:textId="77777777" w:rsidR="006D089F" w:rsidRPr="00753E4D" w:rsidRDefault="006D089F" w:rsidP="00FC6FDE">
      <w:pPr>
        <w:spacing w:after="60" w:line="240" w:lineRule="auto"/>
        <w:ind w:left="567" w:hanging="567"/>
        <w:jc w:val="both"/>
        <w:rPr>
          <w:lang w:val="en-US"/>
        </w:rPr>
      </w:pPr>
      <w:r w:rsidRPr="00753E4D">
        <w:rPr>
          <w:lang w:val="en-US"/>
        </w:rPr>
        <w:t>a)</w:t>
      </w:r>
      <w:r w:rsidRPr="00753E4D">
        <w:rPr>
          <w:lang w:val="en-US"/>
        </w:rPr>
        <w:tab/>
        <w:t xml:space="preserve">Directional signs for erection on a regional or main road shall be designed as a guide to the location of any of those facilities and in general shall be erected on a multiple signing structure as specified herein.  Except that where one only directional sign is required at any one location such sign may be erected on a single </w:t>
      </w:r>
      <w:proofErr w:type="gramStart"/>
      <w:r w:rsidRPr="00753E4D">
        <w:rPr>
          <w:lang w:val="en-US"/>
        </w:rPr>
        <w:t>sign post</w:t>
      </w:r>
      <w:proofErr w:type="gramEnd"/>
      <w:r w:rsidRPr="00753E4D">
        <w:rPr>
          <w:lang w:val="en-US"/>
        </w:rPr>
        <w:t>.</w:t>
      </w:r>
    </w:p>
    <w:p w14:paraId="56AC4DD1" w14:textId="77777777" w:rsidR="006D089F" w:rsidRPr="00753E4D" w:rsidRDefault="006D089F" w:rsidP="00FC6FDE">
      <w:pPr>
        <w:spacing w:after="60" w:line="240" w:lineRule="auto"/>
        <w:ind w:left="567" w:hanging="567"/>
        <w:jc w:val="both"/>
        <w:rPr>
          <w:lang w:val="en-US"/>
        </w:rPr>
      </w:pPr>
      <w:r w:rsidRPr="00753E4D">
        <w:rPr>
          <w:lang w:val="en-US"/>
        </w:rPr>
        <w:t>b)</w:t>
      </w:r>
      <w:r w:rsidRPr="00753E4D">
        <w:rPr>
          <w:lang w:val="en-US"/>
        </w:rPr>
        <w:tab/>
        <w:t xml:space="preserve">Directional signs on the Council local road system may be erected on multiple or single </w:t>
      </w:r>
      <w:proofErr w:type="gramStart"/>
      <w:r w:rsidRPr="00753E4D">
        <w:rPr>
          <w:lang w:val="en-US"/>
        </w:rPr>
        <w:t>sign posts</w:t>
      </w:r>
      <w:proofErr w:type="gramEnd"/>
      <w:r w:rsidRPr="00753E4D">
        <w:rPr>
          <w:lang w:val="en-US"/>
        </w:rPr>
        <w:t xml:space="preserve"> depending upon number required.</w:t>
      </w:r>
    </w:p>
    <w:p w14:paraId="2B3229F0" w14:textId="77777777" w:rsidR="006D089F" w:rsidRPr="00753E4D" w:rsidRDefault="006D089F" w:rsidP="00546492">
      <w:pPr>
        <w:spacing w:after="60"/>
        <w:ind w:left="567" w:hanging="567"/>
        <w:jc w:val="both"/>
        <w:rPr>
          <w:lang w:val="en-US"/>
        </w:rPr>
      </w:pPr>
      <w:r w:rsidRPr="00753E4D">
        <w:rPr>
          <w:lang w:val="en-US"/>
        </w:rPr>
        <w:t>c)</w:t>
      </w:r>
      <w:r w:rsidRPr="00753E4D">
        <w:rPr>
          <w:lang w:val="en-US"/>
        </w:rPr>
        <w:tab/>
        <w:t>Unless otherwise directed by the Council all directional signs shall be erected at the expense of the applicant.</w:t>
      </w:r>
    </w:p>
    <w:p w14:paraId="3E7F9BF4" w14:textId="77777777" w:rsidR="006D089F" w:rsidRPr="00753E4D" w:rsidRDefault="006D089F" w:rsidP="00546492">
      <w:pPr>
        <w:ind w:left="567" w:hanging="567"/>
        <w:jc w:val="both"/>
        <w:rPr>
          <w:lang w:val="en-US"/>
        </w:rPr>
      </w:pPr>
      <w:r w:rsidRPr="00753E4D">
        <w:rPr>
          <w:lang w:val="en-US"/>
        </w:rPr>
        <w:lastRenderedPageBreak/>
        <w:t>d)</w:t>
      </w:r>
      <w:r w:rsidRPr="00753E4D">
        <w:rPr>
          <w:lang w:val="en-US"/>
        </w:rPr>
        <w:tab/>
        <w:t>Applications for the erection of directional signs for a non-Council facility used for public assembly shall be delegated to the Chief Executive Officer to administer under the guidelines of the Council requirements for directional signs.</w:t>
      </w:r>
    </w:p>
    <w:p w14:paraId="408EA938" w14:textId="77777777" w:rsidR="006D089F" w:rsidRPr="00753E4D" w:rsidRDefault="006D089F" w:rsidP="00546492">
      <w:pPr>
        <w:spacing w:after="60"/>
        <w:jc w:val="both"/>
        <w:rPr>
          <w:lang w:val="en-US"/>
        </w:rPr>
      </w:pPr>
      <w:r w:rsidRPr="00753E4D">
        <w:rPr>
          <w:b/>
          <w:lang w:val="en-US"/>
        </w:rPr>
        <w:t>S</w:t>
      </w:r>
      <w:r w:rsidR="00546492">
        <w:rPr>
          <w:b/>
          <w:lang w:val="en-US"/>
        </w:rPr>
        <w:t>pecifications</w:t>
      </w:r>
    </w:p>
    <w:p w14:paraId="3BFEB16B" w14:textId="77777777" w:rsidR="006D089F" w:rsidRPr="00753E4D" w:rsidRDefault="006D089F" w:rsidP="00546492">
      <w:pPr>
        <w:spacing w:after="60"/>
        <w:ind w:left="567" w:hanging="567"/>
        <w:jc w:val="both"/>
        <w:rPr>
          <w:lang w:val="en-US"/>
        </w:rPr>
      </w:pPr>
      <w:r w:rsidRPr="00753E4D">
        <w:rPr>
          <w:lang w:val="en-US"/>
        </w:rPr>
        <w:t>a)</w:t>
      </w:r>
      <w:r w:rsidRPr="00753E4D">
        <w:rPr>
          <w:lang w:val="en-US"/>
        </w:rPr>
        <w:tab/>
        <w:t>Directional signs shall not be erected on street name plate standards except in cases where one only directional sign is to be provided and subject to the Chief Executive Officer reporting that such sign will not interfere with the street name plates.</w:t>
      </w:r>
    </w:p>
    <w:p w14:paraId="34E93B2D" w14:textId="77777777" w:rsidR="006D089F" w:rsidRPr="00753E4D" w:rsidRDefault="006D089F" w:rsidP="00546492">
      <w:pPr>
        <w:spacing w:after="60"/>
        <w:ind w:left="567" w:hanging="567"/>
        <w:jc w:val="both"/>
        <w:rPr>
          <w:lang w:val="en-US"/>
        </w:rPr>
      </w:pPr>
      <w:r w:rsidRPr="00753E4D">
        <w:rPr>
          <w:lang w:val="en-US"/>
        </w:rPr>
        <w:t>b)</w:t>
      </w:r>
      <w:r w:rsidRPr="00753E4D">
        <w:rPr>
          <w:lang w:val="en-US"/>
        </w:rPr>
        <w:tab/>
        <w:t>Directional</w:t>
      </w:r>
      <w:r w:rsidR="00444F1C">
        <w:rPr>
          <w:lang w:val="en-US"/>
        </w:rPr>
        <w:t xml:space="preserve"> signs shall be located on the n</w:t>
      </w:r>
      <w:r w:rsidRPr="00753E4D">
        <w:rPr>
          <w:lang w:val="en-US"/>
        </w:rPr>
        <w:t>earest Western Power Light pole on approach to the intersection of the junction of streets and shall be in line with the corner truncation of the side on which the sign is to be erected.</w:t>
      </w:r>
    </w:p>
    <w:p w14:paraId="728FF700" w14:textId="77777777" w:rsidR="006D089F" w:rsidRPr="00753E4D" w:rsidRDefault="006D089F" w:rsidP="00546492">
      <w:pPr>
        <w:spacing w:after="60"/>
        <w:ind w:left="567" w:hanging="567"/>
        <w:jc w:val="both"/>
        <w:rPr>
          <w:lang w:val="en-US"/>
        </w:rPr>
      </w:pPr>
      <w:r w:rsidRPr="00753E4D">
        <w:rPr>
          <w:lang w:val="en-US"/>
        </w:rPr>
        <w:t>c)</w:t>
      </w:r>
      <w:r w:rsidRPr="00753E4D">
        <w:rPr>
          <w:lang w:val="en-US"/>
        </w:rPr>
        <w:tab/>
        <w:t xml:space="preserve">All directional signs shall be in </w:t>
      </w:r>
      <w:proofErr w:type="spellStart"/>
      <w:r w:rsidRPr="00753E4D">
        <w:rPr>
          <w:lang w:val="en-US"/>
        </w:rPr>
        <w:t>reflectorised</w:t>
      </w:r>
      <w:proofErr w:type="spellEnd"/>
      <w:r w:rsidRPr="00753E4D">
        <w:rPr>
          <w:lang w:val="en-US"/>
        </w:rPr>
        <w:t xml:space="preserve"> WHITE lettering on BLUE background on aluminum extruded section.</w:t>
      </w:r>
    </w:p>
    <w:p w14:paraId="1803AA0C" w14:textId="77777777" w:rsidR="006D089F" w:rsidRPr="00753E4D" w:rsidRDefault="006D089F" w:rsidP="00546492">
      <w:pPr>
        <w:spacing w:after="60"/>
        <w:ind w:left="567" w:hanging="567"/>
        <w:jc w:val="both"/>
        <w:rPr>
          <w:lang w:val="en-US"/>
        </w:rPr>
      </w:pPr>
      <w:r w:rsidRPr="00753E4D">
        <w:rPr>
          <w:lang w:val="en-US"/>
        </w:rPr>
        <w:t>d)</w:t>
      </w:r>
      <w:r w:rsidRPr="00753E4D">
        <w:rPr>
          <w:lang w:val="en-US"/>
        </w:rPr>
        <w:tab/>
        <w:t>When multiple signs are required the maximum number of signs to be erected on any one standard shall be decided by the Council.</w:t>
      </w:r>
    </w:p>
    <w:p w14:paraId="5F9F4954" w14:textId="77777777" w:rsidR="006D089F" w:rsidRPr="00753E4D" w:rsidRDefault="006D089F" w:rsidP="00546492">
      <w:pPr>
        <w:spacing w:after="60"/>
        <w:ind w:left="567" w:hanging="567"/>
        <w:jc w:val="both"/>
        <w:rPr>
          <w:lang w:val="en-US"/>
        </w:rPr>
      </w:pPr>
      <w:r w:rsidRPr="00753E4D">
        <w:rPr>
          <w:lang w:val="en-US"/>
        </w:rPr>
        <w:t>e)</w:t>
      </w:r>
      <w:r w:rsidRPr="00753E4D">
        <w:rPr>
          <w:lang w:val="en-US"/>
        </w:rPr>
        <w:tab/>
        <w:t xml:space="preserve">The aluminum-extruded section shall be mounted on the Western Power Light pole using steel strap banding painted to match the </w:t>
      </w:r>
      <w:proofErr w:type="spellStart"/>
      <w:r w:rsidRPr="00753E4D">
        <w:rPr>
          <w:lang w:val="en-US"/>
        </w:rPr>
        <w:t>colour</w:t>
      </w:r>
      <w:proofErr w:type="spellEnd"/>
      <w:r w:rsidRPr="00753E4D">
        <w:rPr>
          <w:lang w:val="en-US"/>
        </w:rPr>
        <w:t xml:space="preserve"> of the light pole.</w:t>
      </w:r>
    </w:p>
    <w:p w14:paraId="7CCCF37A" w14:textId="77777777" w:rsidR="006D089F" w:rsidRPr="00753E4D" w:rsidRDefault="006D089F" w:rsidP="00546492">
      <w:pPr>
        <w:spacing w:after="60"/>
        <w:ind w:left="567" w:hanging="567"/>
        <w:jc w:val="both"/>
        <w:rPr>
          <w:lang w:val="en-US"/>
        </w:rPr>
      </w:pPr>
      <w:r w:rsidRPr="00753E4D">
        <w:rPr>
          <w:lang w:val="en-US"/>
        </w:rPr>
        <w:t>f)</w:t>
      </w:r>
      <w:r w:rsidRPr="00753E4D">
        <w:rPr>
          <w:lang w:val="en-US"/>
        </w:rPr>
        <w:tab/>
        <w:t>Where such signing is erected in an area subject to pedestrian traffic the minimum head clearance of 2200 mm shall be provided; where the signs are erected and do not conflict with pedestrian traffic the minimum head clearance may be reduced to 600 mm.</w:t>
      </w:r>
    </w:p>
    <w:p w14:paraId="5DA598F6" w14:textId="77777777" w:rsidR="006D089F" w:rsidRDefault="006D089F" w:rsidP="00546492">
      <w:pPr>
        <w:ind w:left="567" w:hanging="567"/>
        <w:jc w:val="both"/>
        <w:rPr>
          <w:lang w:val="en-US"/>
        </w:rPr>
      </w:pPr>
      <w:r w:rsidRPr="00753E4D">
        <w:rPr>
          <w:lang w:val="en-US"/>
        </w:rPr>
        <w:t>g)</w:t>
      </w:r>
      <w:r w:rsidRPr="00753E4D">
        <w:rPr>
          <w:lang w:val="en-US"/>
        </w:rPr>
        <w:tab/>
        <w:t>All such signs shall be erected and located under the direction of the Chief Executive Officer.</w:t>
      </w:r>
    </w:p>
    <w:p w14:paraId="34EA0922" w14:textId="77777777" w:rsidR="00E10B57" w:rsidRPr="00753E4D" w:rsidRDefault="00E10B57" w:rsidP="00E10B57">
      <w:pPr>
        <w:spacing w:after="0"/>
        <w:jc w:val="both"/>
        <w:rPr>
          <w:lang w:val="en-US"/>
        </w:rPr>
      </w:pPr>
      <w:r>
        <w:rPr>
          <w:b/>
          <w:lang w:val="en-US"/>
        </w:rPr>
        <w:t>Maintenance</w:t>
      </w:r>
    </w:p>
    <w:p w14:paraId="116D292F" w14:textId="77777777" w:rsidR="00E10B57" w:rsidRPr="00753E4D" w:rsidRDefault="00E10B57" w:rsidP="00E10B57">
      <w:pPr>
        <w:jc w:val="both"/>
        <w:rPr>
          <w:lang w:val="en-US"/>
        </w:rPr>
      </w:pPr>
      <w:r w:rsidRPr="00753E4D">
        <w:rPr>
          <w:lang w:val="en-US"/>
        </w:rPr>
        <w:t>The Council at the cost of the applicant shall maintain all directional signs.</w:t>
      </w:r>
    </w:p>
    <w:p w14:paraId="23D19CA9" w14:textId="77777777" w:rsidR="00546492" w:rsidRPr="00753E4D" w:rsidRDefault="00546492" w:rsidP="00546492">
      <w:pPr>
        <w:ind w:left="567" w:hanging="567"/>
        <w:rPr>
          <w:lang w:val="en-US"/>
        </w:rPr>
      </w:pPr>
    </w:p>
    <w:tbl>
      <w:tblPr>
        <w:tblStyle w:val="TableGrid"/>
        <w:tblW w:w="0" w:type="auto"/>
        <w:tblLook w:val="04A0" w:firstRow="1" w:lastRow="0" w:firstColumn="1" w:lastColumn="0" w:noHBand="0" w:noVBand="1"/>
      </w:tblPr>
      <w:tblGrid>
        <w:gridCol w:w="3076"/>
        <w:gridCol w:w="6106"/>
      </w:tblGrid>
      <w:tr w:rsidR="006D089F" w:rsidRPr="008434EA" w14:paraId="0AD5C2B4" w14:textId="77777777" w:rsidTr="00E845E5">
        <w:tc>
          <w:tcPr>
            <w:tcW w:w="3085" w:type="dxa"/>
          </w:tcPr>
          <w:p w14:paraId="3B73B5CB" w14:textId="77777777" w:rsidR="006D089F" w:rsidRPr="008434EA" w:rsidRDefault="006D089F" w:rsidP="00E845E5">
            <w:pPr>
              <w:jc w:val="both"/>
              <w:rPr>
                <w:rFonts w:cstheme="minorHAnsi"/>
                <w:b/>
                <w:lang w:val="en-US"/>
              </w:rPr>
            </w:pPr>
            <w:r w:rsidRPr="008434EA">
              <w:rPr>
                <w:rFonts w:cstheme="minorHAnsi"/>
                <w:b/>
                <w:lang w:val="en-US"/>
              </w:rPr>
              <w:t>Responsible Directorate:</w:t>
            </w:r>
          </w:p>
        </w:tc>
        <w:tc>
          <w:tcPr>
            <w:tcW w:w="6157" w:type="dxa"/>
          </w:tcPr>
          <w:p w14:paraId="611201A3" w14:textId="77777777" w:rsidR="006D089F" w:rsidRPr="008434EA" w:rsidRDefault="006D089F" w:rsidP="00E845E5">
            <w:pPr>
              <w:jc w:val="both"/>
              <w:rPr>
                <w:rFonts w:cstheme="minorHAnsi"/>
                <w:lang w:val="en-US"/>
              </w:rPr>
            </w:pPr>
            <w:r>
              <w:rPr>
                <w:rFonts w:cstheme="minorHAnsi"/>
                <w:lang w:val="en-US"/>
              </w:rPr>
              <w:t>Operations</w:t>
            </w:r>
          </w:p>
        </w:tc>
      </w:tr>
      <w:tr w:rsidR="006D089F" w:rsidRPr="008434EA" w14:paraId="18FA82CF" w14:textId="77777777" w:rsidTr="00E845E5">
        <w:tc>
          <w:tcPr>
            <w:tcW w:w="3085" w:type="dxa"/>
          </w:tcPr>
          <w:p w14:paraId="459B29DD" w14:textId="77777777" w:rsidR="006D089F" w:rsidRPr="008434EA" w:rsidRDefault="006D089F" w:rsidP="00E845E5">
            <w:pPr>
              <w:jc w:val="both"/>
              <w:rPr>
                <w:rFonts w:cstheme="minorHAnsi"/>
                <w:b/>
                <w:lang w:val="en-US"/>
              </w:rPr>
            </w:pPr>
            <w:r w:rsidRPr="008434EA">
              <w:rPr>
                <w:rFonts w:cstheme="minorHAnsi"/>
                <w:b/>
                <w:lang w:val="en-US"/>
              </w:rPr>
              <w:t>Reviewing Officer:</w:t>
            </w:r>
          </w:p>
        </w:tc>
        <w:tc>
          <w:tcPr>
            <w:tcW w:w="6157" w:type="dxa"/>
          </w:tcPr>
          <w:p w14:paraId="6CA1DF25" w14:textId="77777777" w:rsidR="006D089F" w:rsidRPr="008434EA" w:rsidRDefault="006D089F" w:rsidP="00E845E5">
            <w:pPr>
              <w:jc w:val="both"/>
              <w:rPr>
                <w:rFonts w:cstheme="minorHAnsi"/>
                <w:lang w:val="en-US"/>
              </w:rPr>
            </w:pPr>
            <w:r>
              <w:rPr>
                <w:rFonts w:cstheme="minorHAnsi"/>
                <w:lang w:val="en-US"/>
              </w:rPr>
              <w:t>Operations Manager</w:t>
            </w:r>
          </w:p>
        </w:tc>
      </w:tr>
      <w:tr w:rsidR="006D089F" w:rsidRPr="008434EA" w14:paraId="45AED6AD" w14:textId="77777777" w:rsidTr="00E845E5">
        <w:tc>
          <w:tcPr>
            <w:tcW w:w="3085" w:type="dxa"/>
          </w:tcPr>
          <w:p w14:paraId="5D78F61F" w14:textId="77777777" w:rsidR="006D089F" w:rsidRPr="008434EA" w:rsidRDefault="006D089F" w:rsidP="00E845E5">
            <w:pPr>
              <w:jc w:val="both"/>
              <w:rPr>
                <w:rFonts w:cstheme="minorHAnsi"/>
                <w:b/>
                <w:lang w:val="en-US"/>
              </w:rPr>
            </w:pPr>
            <w:r w:rsidRPr="008434EA">
              <w:rPr>
                <w:rFonts w:cstheme="minorHAnsi"/>
                <w:b/>
                <w:lang w:val="en-US"/>
              </w:rPr>
              <w:t>Decision making Authority:</w:t>
            </w:r>
          </w:p>
        </w:tc>
        <w:tc>
          <w:tcPr>
            <w:tcW w:w="6157" w:type="dxa"/>
          </w:tcPr>
          <w:p w14:paraId="0486E293" w14:textId="77777777" w:rsidR="006D089F" w:rsidRPr="008434EA" w:rsidRDefault="006D089F" w:rsidP="00E845E5">
            <w:pPr>
              <w:jc w:val="both"/>
              <w:rPr>
                <w:rFonts w:cstheme="minorHAnsi"/>
                <w:lang w:val="en-US"/>
              </w:rPr>
            </w:pPr>
            <w:r w:rsidRPr="008434EA">
              <w:rPr>
                <w:rFonts w:cstheme="minorHAnsi"/>
                <w:lang w:val="en-US"/>
              </w:rPr>
              <w:t>Council</w:t>
            </w:r>
          </w:p>
        </w:tc>
      </w:tr>
      <w:tr w:rsidR="006D089F" w:rsidRPr="008434EA" w14:paraId="1981B0DD" w14:textId="77777777" w:rsidTr="00E845E5">
        <w:tc>
          <w:tcPr>
            <w:tcW w:w="3085" w:type="dxa"/>
          </w:tcPr>
          <w:p w14:paraId="5F6E8A4E" w14:textId="77777777" w:rsidR="006D089F" w:rsidRPr="008434EA" w:rsidRDefault="006D089F" w:rsidP="00E845E5">
            <w:pPr>
              <w:jc w:val="both"/>
              <w:rPr>
                <w:rFonts w:cstheme="minorHAnsi"/>
                <w:b/>
                <w:lang w:val="en-US"/>
              </w:rPr>
            </w:pPr>
            <w:r w:rsidRPr="008434EA">
              <w:rPr>
                <w:rFonts w:cstheme="minorHAnsi"/>
                <w:b/>
                <w:lang w:val="en-US"/>
              </w:rPr>
              <w:t>Policy Adopted:</w:t>
            </w:r>
          </w:p>
        </w:tc>
        <w:tc>
          <w:tcPr>
            <w:tcW w:w="6157" w:type="dxa"/>
          </w:tcPr>
          <w:p w14:paraId="2EBCBBE9" w14:textId="77777777" w:rsidR="006D089F" w:rsidRPr="008434EA" w:rsidRDefault="00B67169" w:rsidP="00E845E5">
            <w:pPr>
              <w:jc w:val="both"/>
              <w:rPr>
                <w:rFonts w:cstheme="minorHAnsi"/>
                <w:lang w:val="en-US"/>
              </w:rPr>
            </w:pPr>
            <w:r>
              <w:rPr>
                <w:rFonts w:cstheme="minorHAnsi"/>
                <w:lang w:val="en-US"/>
              </w:rPr>
              <w:t>16/04/02</w:t>
            </w:r>
          </w:p>
        </w:tc>
      </w:tr>
      <w:tr w:rsidR="006D089F" w:rsidRPr="008434EA" w14:paraId="75B3A5EC" w14:textId="77777777" w:rsidTr="00E845E5">
        <w:tc>
          <w:tcPr>
            <w:tcW w:w="3085" w:type="dxa"/>
          </w:tcPr>
          <w:p w14:paraId="1F6AD23F" w14:textId="77777777" w:rsidR="006D089F" w:rsidRPr="008434EA" w:rsidRDefault="006D089F" w:rsidP="00E845E5">
            <w:pPr>
              <w:jc w:val="both"/>
              <w:rPr>
                <w:rFonts w:cstheme="minorHAnsi"/>
                <w:b/>
                <w:lang w:val="en-US"/>
              </w:rPr>
            </w:pPr>
            <w:r w:rsidRPr="008434EA">
              <w:rPr>
                <w:rFonts w:cstheme="minorHAnsi"/>
                <w:b/>
                <w:lang w:val="en-US"/>
              </w:rPr>
              <w:t>Policy Amended</w:t>
            </w:r>
            <w:r w:rsidR="00B67169">
              <w:rPr>
                <w:rFonts w:cstheme="minorHAnsi"/>
                <w:b/>
                <w:lang w:val="en-US"/>
              </w:rPr>
              <w:t>/Reviewed</w:t>
            </w:r>
            <w:r w:rsidRPr="008434EA">
              <w:rPr>
                <w:rFonts w:cstheme="minorHAnsi"/>
                <w:b/>
                <w:lang w:val="en-US"/>
              </w:rPr>
              <w:t>:</w:t>
            </w:r>
          </w:p>
        </w:tc>
        <w:tc>
          <w:tcPr>
            <w:tcW w:w="6157" w:type="dxa"/>
          </w:tcPr>
          <w:p w14:paraId="60108B0F" w14:textId="77777777" w:rsidR="006D089F" w:rsidRPr="008434EA" w:rsidRDefault="00160E4C" w:rsidP="00E845E5">
            <w:pPr>
              <w:jc w:val="both"/>
              <w:rPr>
                <w:rFonts w:cstheme="minorHAnsi"/>
                <w:lang w:val="en-US"/>
              </w:rPr>
            </w:pPr>
            <w:r>
              <w:rPr>
                <w:rFonts w:cstheme="minorHAnsi"/>
                <w:lang w:val="en-US"/>
              </w:rPr>
              <w:t>17/9/19</w:t>
            </w:r>
          </w:p>
        </w:tc>
      </w:tr>
      <w:tr w:rsidR="006D089F" w:rsidRPr="008434EA" w14:paraId="46E809F3" w14:textId="77777777" w:rsidTr="00E845E5">
        <w:tc>
          <w:tcPr>
            <w:tcW w:w="3085" w:type="dxa"/>
          </w:tcPr>
          <w:p w14:paraId="07F14905" w14:textId="77777777" w:rsidR="006D089F" w:rsidRPr="008434EA" w:rsidRDefault="006D089F" w:rsidP="00E845E5">
            <w:pPr>
              <w:jc w:val="both"/>
              <w:rPr>
                <w:rFonts w:cstheme="minorHAnsi"/>
                <w:b/>
                <w:lang w:val="en-US"/>
              </w:rPr>
            </w:pPr>
            <w:r>
              <w:rPr>
                <w:rFonts w:cstheme="minorHAnsi"/>
                <w:b/>
                <w:lang w:val="en-US"/>
              </w:rPr>
              <w:t>Former Policy No</w:t>
            </w:r>
          </w:p>
        </w:tc>
        <w:tc>
          <w:tcPr>
            <w:tcW w:w="6157" w:type="dxa"/>
          </w:tcPr>
          <w:p w14:paraId="4E8B0913" w14:textId="77777777" w:rsidR="006D089F" w:rsidRPr="008434EA" w:rsidRDefault="00546492" w:rsidP="00E845E5">
            <w:pPr>
              <w:jc w:val="both"/>
              <w:rPr>
                <w:rFonts w:cstheme="minorHAnsi"/>
                <w:lang w:val="en-US"/>
              </w:rPr>
            </w:pPr>
            <w:r>
              <w:rPr>
                <w:rFonts w:cstheme="minorHAnsi"/>
                <w:lang w:val="en-US"/>
              </w:rPr>
              <w:t>134</w:t>
            </w:r>
          </w:p>
        </w:tc>
      </w:tr>
    </w:tbl>
    <w:p w14:paraId="4ED28645" w14:textId="6B38367F" w:rsidR="00BE10C4" w:rsidRDefault="00BE10C4" w:rsidP="006D089F">
      <w:pPr>
        <w:jc w:val="both"/>
        <w:rPr>
          <w:rFonts w:cstheme="minorHAnsi"/>
          <w:lang w:val="en-US"/>
        </w:rPr>
      </w:pPr>
    </w:p>
    <w:p w14:paraId="668F9F72" w14:textId="77777777" w:rsidR="00BE10C4" w:rsidRDefault="00BE10C4">
      <w:pPr>
        <w:rPr>
          <w:rFonts w:cstheme="minorHAnsi"/>
          <w:lang w:val="en-US"/>
        </w:rPr>
      </w:pPr>
      <w:r>
        <w:rPr>
          <w:rFonts w:cstheme="minorHAnsi"/>
          <w:lang w:val="en-US"/>
        </w:rPr>
        <w:br w:type="page"/>
      </w:r>
    </w:p>
    <w:p w14:paraId="1CBEE05B" w14:textId="77777777" w:rsidR="00BE10C4" w:rsidRPr="00342314" w:rsidRDefault="00BE10C4" w:rsidP="00BE10C4">
      <w:pPr>
        <w:pStyle w:val="Title"/>
        <w:pBdr>
          <w:bottom w:val="none" w:sz="0" w:space="0" w:color="auto"/>
        </w:pBdr>
        <w:spacing w:after="240"/>
        <w:jc w:val="right"/>
      </w:pPr>
      <w:r>
        <w:rPr>
          <w:noProof/>
          <w:lang w:eastAsia="en-AU"/>
        </w:rPr>
        <w:lastRenderedPageBreak/>
        <w:drawing>
          <wp:anchor distT="0" distB="0" distL="114300" distR="114300" simplePos="0" relativeHeight="251626496" behindDoc="1" locked="0" layoutInCell="1" allowOverlap="1" wp14:anchorId="4256E31C" wp14:editId="547394D6">
            <wp:simplePos x="0" y="0"/>
            <wp:positionH relativeFrom="column">
              <wp:posOffset>4133850</wp:posOffset>
            </wp:positionH>
            <wp:positionV relativeFrom="paragraph">
              <wp:posOffset>9525</wp:posOffset>
            </wp:positionV>
            <wp:extent cx="1744345" cy="699135"/>
            <wp:effectExtent l="0" t="0" r="8255" b="5715"/>
            <wp:wrapTight wrapText="bothSides">
              <wp:wrapPolygon edited="0">
                <wp:start x="0" y="0"/>
                <wp:lineTo x="0" y="21188"/>
                <wp:lineTo x="21466" y="21188"/>
                <wp:lineTo x="21466" y="0"/>
                <wp:lineTo x="0" y="0"/>
              </wp:wrapPolygon>
            </wp:wrapTight>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1B1D15B" w14:textId="77777777" w:rsidR="00BE10C4" w:rsidRDefault="00BE10C4" w:rsidP="00BE10C4">
      <w:pPr>
        <w:pStyle w:val="Title"/>
        <w:pBdr>
          <w:bottom w:val="none" w:sz="0" w:space="0" w:color="auto"/>
        </w:pBdr>
        <w:spacing w:after="0"/>
        <w:rPr>
          <w:sz w:val="24"/>
          <w:szCs w:val="24"/>
        </w:rPr>
      </w:pPr>
    </w:p>
    <w:p w14:paraId="7DB98924" w14:textId="77777777" w:rsidR="00BE10C4" w:rsidRPr="003A68A7" w:rsidRDefault="00BE10C4" w:rsidP="00BE10C4">
      <w:pPr>
        <w:spacing w:after="0"/>
      </w:pPr>
    </w:p>
    <w:p w14:paraId="51CF184C" w14:textId="77777777" w:rsidR="00BE10C4" w:rsidRPr="00546E56" w:rsidRDefault="00BE10C4" w:rsidP="00BE10C4">
      <w:pPr>
        <w:pStyle w:val="Policy3"/>
      </w:pPr>
      <w:bookmarkStart w:id="584" w:name="_Toc216866734"/>
      <w:r w:rsidRPr="00546E56">
        <w:t>4.1.5</w:t>
      </w:r>
      <w:r w:rsidRPr="00546E56">
        <w:tab/>
        <w:t>Memorials in Public Places</w:t>
      </w:r>
      <w:bookmarkEnd w:id="584"/>
    </w:p>
    <w:tbl>
      <w:tblPr>
        <w:tblStyle w:val="TableGrid"/>
        <w:tblW w:w="0" w:type="auto"/>
        <w:tblLook w:val="04A0" w:firstRow="1" w:lastRow="0" w:firstColumn="1" w:lastColumn="0" w:noHBand="0" w:noVBand="1"/>
      </w:tblPr>
      <w:tblGrid>
        <w:gridCol w:w="3022"/>
        <w:gridCol w:w="5994"/>
      </w:tblGrid>
      <w:tr w:rsidR="00BE10C4" w:rsidRPr="00EA4EF8" w14:paraId="5854883B" w14:textId="77777777" w:rsidTr="00EF011D">
        <w:tc>
          <w:tcPr>
            <w:tcW w:w="3022" w:type="dxa"/>
          </w:tcPr>
          <w:p w14:paraId="10E3FCF2" w14:textId="77777777" w:rsidR="00BE10C4" w:rsidRPr="00342314" w:rsidRDefault="00BE10C4" w:rsidP="00EF011D">
            <w:r w:rsidRPr="00342314">
              <w:t>Type:</w:t>
            </w:r>
          </w:p>
        </w:tc>
        <w:tc>
          <w:tcPr>
            <w:tcW w:w="5994" w:type="dxa"/>
          </w:tcPr>
          <w:p w14:paraId="156B8185" w14:textId="77777777" w:rsidR="00BE10C4" w:rsidRPr="00342314" w:rsidRDefault="00BE10C4" w:rsidP="00EF011D">
            <w:r>
              <w:t>Operations – Public Infrastructure</w:t>
            </w:r>
          </w:p>
        </w:tc>
      </w:tr>
      <w:tr w:rsidR="00BE10C4" w:rsidRPr="00EA4EF8" w14:paraId="37C2C71D" w14:textId="77777777" w:rsidTr="00EF011D">
        <w:tc>
          <w:tcPr>
            <w:tcW w:w="3022" w:type="dxa"/>
          </w:tcPr>
          <w:p w14:paraId="3DFB3320" w14:textId="77777777" w:rsidR="00BE10C4" w:rsidRPr="00342314" w:rsidRDefault="00BE10C4" w:rsidP="00EF011D">
            <w:r w:rsidRPr="00342314">
              <w:t>Legislation:</w:t>
            </w:r>
          </w:p>
        </w:tc>
        <w:tc>
          <w:tcPr>
            <w:tcW w:w="5994" w:type="dxa"/>
          </w:tcPr>
          <w:p w14:paraId="68E5177B" w14:textId="77777777" w:rsidR="00BE10C4" w:rsidRPr="00342314" w:rsidRDefault="00BE10C4" w:rsidP="00EF011D">
            <w:r w:rsidRPr="00467F6F">
              <w:t>Local Government (Uniform Local Provisions) Regulations 1996</w:t>
            </w:r>
          </w:p>
        </w:tc>
      </w:tr>
      <w:tr w:rsidR="00BE10C4" w:rsidRPr="00EA4EF8" w14:paraId="2AC5ED88" w14:textId="77777777" w:rsidTr="00EF011D">
        <w:tc>
          <w:tcPr>
            <w:tcW w:w="3022" w:type="dxa"/>
          </w:tcPr>
          <w:p w14:paraId="465D7FEC" w14:textId="77777777" w:rsidR="00BE10C4" w:rsidRPr="00342314" w:rsidRDefault="00BE10C4" w:rsidP="00EF011D">
            <w:r w:rsidRPr="00342314">
              <w:t>Delegation:</w:t>
            </w:r>
          </w:p>
        </w:tc>
        <w:tc>
          <w:tcPr>
            <w:tcW w:w="5994" w:type="dxa"/>
          </w:tcPr>
          <w:p w14:paraId="0C015927" w14:textId="77777777" w:rsidR="00BE10C4" w:rsidRPr="00342314" w:rsidRDefault="00BE10C4" w:rsidP="00EF011D"/>
        </w:tc>
      </w:tr>
      <w:tr w:rsidR="00BE10C4" w:rsidRPr="00EA4EF8" w14:paraId="5ED069B2" w14:textId="77777777" w:rsidTr="00EF011D">
        <w:tc>
          <w:tcPr>
            <w:tcW w:w="3022" w:type="dxa"/>
          </w:tcPr>
          <w:p w14:paraId="06365560" w14:textId="77777777" w:rsidR="00BE10C4" w:rsidRPr="00342314" w:rsidRDefault="00BE10C4" w:rsidP="00EF011D">
            <w:r w:rsidRPr="00342314">
              <w:t>Other Related Document:</w:t>
            </w:r>
          </w:p>
        </w:tc>
        <w:tc>
          <w:tcPr>
            <w:tcW w:w="5994" w:type="dxa"/>
          </w:tcPr>
          <w:p w14:paraId="6D75E49E" w14:textId="77777777" w:rsidR="00BE10C4" w:rsidRPr="00342314" w:rsidRDefault="00BE10C4" w:rsidP="00EF011D">
            <w:r>
              <w:t>Nil</w:t>
            </w:r>
          </w:p>
        </w:tc>
      </w:tr>
    </w:tbl>
    <w:p w14:paraId="7C73CBDE" w14:textId="77777777" w:rsidR="00BE10C4" w:rsidRPr="00342314" w:rsidRDefault="00BE10C4" w:rsidP="00BE10C4">
      <w:pPr>
        <w:spacing w:before="360" w:after="0"/>
        <w:rPr>
          <w:b/>
          <w:sz w:val="28"/>
          <w:szCs w:val="28"/>
        </w:rPr>
      </w:pPr>
      <w:r w:rsidRPr="00342314">
        <w:rPr>
          <w:b/>
          <w:sz w:val="28"/>
          <w:szCs w:val="28"/>
        </w:rPr>
        <w:t>Objective</w:t>
      </w:r>
    </w:p>
    <w:p w14:paraId="01610DAC" w14:textId="77777777" w:rsidR="00BE10C4" w:rsidRPr="00467F6F" w:rsidRDefault="00BE10C4" w:rsidP="00BE10C4">
      <w:pPr>
        <w:spacing w:line="240" w:lineRule="auto"/>
        <w:jc w:val="both"/>
      </w:pPr>
      <w:r w:rsidRPr="00467F6F">
        <w:t xml:space="preserve">The policy seeks to establish the processes and procedures by which Council govern and assess members of the </w:t>
      </w:r>
      <w:r>
        <w:t>c</w:t>
      </w:r>
      <w:r w:rsidRPr="00467F6F">
        <w:t>ommunity and residents</w:t>
      </w:r>
      <w:r>
        <w:t>’</w:t>
      </w:r>
      <w:r w:rsidRPr="00467F6F">
        <w:t xml:space="preserve"> requests to memorialise family, friends and members of the Town of East Fremantle community within public places.</w:t>
      </w:r>
    </w:p>
    <w:p w14:paraId="03562314" w14:textId="77777777" w:rsidR="00BE10C4" w:rsidRPr="00342314" w:rsidRDefault="00BE10C4" w:rsidP="00BE10C4">
      <w:pPr>
        <w:spacing w:before="200" w:after="0"/>
        <w:rPr>
          <w:b/>
          <w:sz w:val="28"/>
          <w:szCs w:val="28"/>
        </w:rPr>
      </w:pPr>
      <w:r>
        <w:rPr>
          <w:b/>
          <w:sz w:val="28"/>
          <w:szCs w:val="28"/>
        </w:rPr>
        <w:t>Context</w:t>
      </w:r>
    </w:p>
    <w:p w14:paraId="1A8C7476" w14:textId="77777777" w:rsidR="00BE10C4" w:rsidRPr="00467F6F" w:rsidRDefault="00BE10C4" w:rsidP="00BE10C4">
      <w:pPr>
        <w:spacing w:line="240" w:lineRule="auto"/>
        <w:jc w:val="both"/>
      </w:pPr>
      <w:bookmarkStart w:id="585" w:name="_Hlk50558237"/>
      <w:r w:rsidRPr="00467F6F">
        <w:t xml:space="preserve">The Town recognises that memorials support people grieving the loss of a loved one or close friend and commemorate the contributions made by persons to the local community. </w:t>
      </w:r>
    </w:p>
    <w:p w14:paraId="195C88B3" w14:textId="77777777" w:rsidR="00BE10C4" w:rsidRPr="00467F6F" w:rsidRDefault="00BE10C4" w:rsidP="00BE10C4">
      <w:pPr>
        <w:spacing w:line="240" w:lineRule="auto"/>
        <w:jc w:val="both"/>
      </w:pPr>
      <w:r w:rsidRPr="00467F6F">
        <w:t xml:space="preserve">The Town also recognises that there is a practical need to manage the installation of private memorials in public places for various reasons, including cluttering of public spaces, maintenance, installation costs, damage and controlling the style of memorial. </w:t>
      </w:r>
    </w:p>
    <w:p w14:paraId="0DF50D95" w14:textId="77777777" w:rsidR="00BE10C4" w:rsidRPr="00467F6F" w:rsidRDefault="00BE10C4" w:rsidP="00BE10C4">
      <w:pPr>
        <w:spacing w:line="240" w:lineRule="auto"/>
        <w:jc w:val="both"/>
      </w:pPr>
      <w:r w:rsidRPr="00467F6F">
        <w:t>For the purposes of this policy, ‘Memorials in Public Places’ refers to memorials installed in Crown Land vested in the management of the Town or land owned freehold by the Town which is reserved for the purposes of recreation, public open space or a road reserve.</w:t>
      </w:r>
    </w:p>
    <w:bookmarkEnd w:id="585"/>
    <w:p w14:paraId="0D16CEE7" w14:textId="77777777" w:rsidR="00BE10C4" w:rsidRPr="00342314" w:rsidRDefault="00BE10C4" w:rsidP="00BE10C4">
      <w:pPr>
        <w:spacing w:before="200" w:after="0"/>
        <w:rPr>
          <w:b/>
          <w:sz w:val="28"/>
          <w:szCs w:val="28"/>
        </w:rPr>
      </w:pPr>
      <w:r w:rsidRPr="00342314">
        <w:rPr>
          <w:b/>
          <w:sz w:val="28"/>
          <w:szCs w:val="28"/>
        </w:rPr>
        <w:t xml:space="preserve">Policy </w:t>
      </w:r>
      <w:r>
        <w:rPr>
          <w:b/>
          <w:sz w:val="28"/>
          <w:szCs w:val="28"/>
        </w:rPr>
        <w:t>Scope</w:t>
      </w:r>
    </w:p>
    <w:p w14:paraId="3F0C1B50" w14:textId="77777777" w:rsidR="00BE10C4" w:rsidRPr="00467F6F" w:rsidRDefault="00BE10C4" w:rsidP="00BE10C4">
      <w:pPr>
        <w:spacing w:line="240" w:lineRule="auto"/>
        <w:jc w:val="both"/>
      </w:pPr>
      <w:r w:rsidRPr="00467F6F">
        <w:t>This policy relates to the governance of all private memorials in public places within the Town of East Fremantle.</w:t>
      </w:r>
    </w:p>
    <w:p w14:paraId="4E809C37" w14:textId="77777777" w:rsidR="00BE10C4" w:rsidRPr="00342314" w:rsidRDefault="00BE10C4" w:rsidP="00BE10C4">
      <w:pPr>
        <w:spacing w:after="0"/>
        <w:rPr>
          <w:b/>
        </w:rPr>
      </w:pPr>
      <w:r>
        <w:rPr>
          <w:b/>
        </w:rPr>
        <w:t>Statement</w:t>
      </w:r>
    </w:p>
    <w:p w14:paraId="36F5D953" w14:textId="77777777" w:rsidR="00BE10C4" w:rsidRPr="00467F6F" w:rsidRDefault="00BE10C4" w:rsidP="00BE10C4">
      <w:pPr>
        <w:spacing w:line="240" w:lineRule="auto"/>
        <w:jc w:val="both"/>
      </w:pPr>
      <w:r w:rsidRPr="00467F6F">
        <w:t xml:space="preserve">Subject to the provisions within this policy, </w:t>
      </w:r>
      <w:r w:rsidRPr="00BF7C0B">
        <w:rPr>
          <w:b/>
          <w:bCs/>
        </w:rPr>
        <w:t>the Town will not support the community to memorialise</w:t>
      </w:r>
      <w:r w:rsidRPr="00467F6F">
        <w:t xml:space="preserve"> </w:t>
      </w:r>
      <w:r w:rsidRPr="00BF7C0B">
        <w:rPr>
          <w:b/>
          <w:bCs/>
        </w:rPr>
        <w:t>family, friends and community members</w:t>
      </w:r>
      <w:r w:rsidRPr="00467F6F">
        <w:t xml:space="preserve"> unless at the discretion and approval of Council and if Council so determines the memorial is appropriate, practical and that the individual being memorialised has been a long standing resident</w:t>
      </w:r>
      <w:r>
        <w:t xml:space="preserve"> </w:t>
      </w:r>
      <w:r w:rsidRPr="00030826">
        <w:t>(40 + continuous years</w:t>
      </w:r>
      <w:r>
        <w:t>)</w:t>
      </w:r>
      <w:r w:rsidRPr="00467F6F">
        <w:t xml:space="preserve"> of the Town</w:t>
      </w:r>
      <w:r>
        <w:t xml:space="preserve"> or has worked in the Town </w:t>
      </w:r>
      <w:r w:rsidRPr="00D62B53">
        <w:t>(40 + continuous years</w:t>
      </w:r>
      <w:r>
        <w:t>)</w:t>
      </w:r>
      <w:r w:rsidRPr="00467F6F">
        <w:t xml:space="preserve"> and has contributed in a positive way to the Town. </w:t>
      </w:r>
    </w:p>
    <w:p w14:paraId="109F1BD9" w14:textId="77777777" w:rsidR="00BE10C4" w:rsidRPr="00467F6F" w:rsidRDefault="00BE10C4" w:rsidP="00BE10C4">
      <w:pPr>
        <w:spacing w:line="240" w:lineRule="auto"/>
        <w:jc w:val="both"/>
      </w:pPr>
      <w:r w:rsidRPr="00467F6F">
        <w:t xml:space="preserve">The Council will consider </w:t>
      </w:r>
      <w:r>
        <w:t xml:space="preserve">and may approve </w:t>
      </w:r>
      <w:r w:rsidRPr="00467F6F">
        <w:t>all</w:t>
      </w:r>
      <w:r>
        <w:t xml:space="preserve"> eligible</w:t>
      </w:r>
      <w:r w:rsidRPr="00467F6F">
        <w:t xml:space="preserve"> applications for memorials in accordance with this Policy. </w:t>
      </w:r>
    </w:p>
    <w:p w14:paraId="42FC0D61" w14:textId="77777777" w:rsidR="00BE10C4" w:rsidRPr="00342314" w:rsidRDefault="00BE10C4" w:rsidP="00BE10C4">
      <w:pPr>
        <w:spacing w:after="0"/>
        <w:rPr>
          <w:b/>
        </w:rPr>
      </w:pPr>
      <w:r>
        <w:rPr>
          <w:b/>
        </w:rPr>
        <w:t xml:space="preserve">Memorials in Public Places Requirements: </w:t>
      </w:r>
    </w:p>
    <w:p w14:paraId="5A9A08E5" w14:textId="77777777" w:rsidR="00BE10C4" w:rsidRPr="00467F6F" w:rsidRDefault="00BE10C4" w:rsidP="002A3889">
      <w:pPr>
        <w:pStyle w:val="ListParagraph"/>
        <w:numPr>
          <w:ilvl w:val="0"/>
          <w:numId w:val="457"/>
        </w:numPr>
        <w:spacing w:after="60" w:line="240" w:lineRule="auto"/>
        <w:ind w:left="567" w:hanging="567"/>
        <w:contextualSpacing w:val="0"/>
        <w:jc w:val="both"/>
      </w:pPr>
      <w:r w:rsidRPr="00467F6F">
        <w:t>Community members may apply to the Town to memorialise a family member, close friend or community member who has been a long standing resident of the Town</w:t>
      </w:r>
      <w:r>
        <w:t xml:space="preserve"> or a worker within the Town</w:t>
      </w:r>
      <w:r w:rsidRPr="00467F6F">
        <w:t xml:space="preserve"> </w:t>
      </w:r>
      <w:r>
        <w:t xml:space="preserve">(both 40+ continuous years) </w:t>
      </w:r>
      <w:r w:rsidRPr="00467F6F">
        <w:t>and has made a positive contribution to the Town or has a long standing relationship within the Town through a request to Council for the installation of a memorial plaque in a location deemed suitable and appropriate by Council.</w:t>
      </w:r>
    </w:p>
    <w:p w14:paraId="62541E0B" w14:textId="77777777" w:rsidR="00BE10C4" w:rsidRPr="00467F6F" w:rsidRDefault="00BE10C4" w:rsidP="002A3889">
      <w:pPr>
        <w:pStyle w:val="ListParagraph"/>
        <w:numPr>
          <w:ilvl w:val="0"/>
          <w:numId w:val="457"/>
        </w:numPr>
        <w:spacing w:after="60" w:line="240" w:lineRule="auto"/>
        <w:ind w:left="567" w:hanging="567"/>
        <w:contextualSpacing w:val="0"/>
        <w:jc w:val="both"/>
      </w:pPr>
      <w:r w:rsidRPr="00467F6F">
        <w:t>Memorials shall only be installed at locations deemed appropriate by Council and under the requirements detailed below.</w:t>
      </w:r>
    </w:p>
    <w:p w14:paraId="50117891" w14:textId="77777777" w:rsidR="00BE10C4" w:rsidRPr="009862E2" w:rsidRDefault="00BE10C4" w:rsidP="002A3889">
      <w:pPr>
        <w:pStyle w:val="ListParagraph"/>
        <w:numPr>
          <w:ilvl w:val="0"/>
          <w:numId w:val="457"/>
        </w:numPr>
        <w:spacing w:after="60" w:line="240" w:lineRule="auto"/>
        <w:ind w:left="567" w:hanging="567"/>
        <w:contextualSpacing w:val="0"/>
        <w:jc w:val="both"/>
      </w:pPr>
      <w:r w:rsidRPr="00467F6F">
        <w:lastRenderedPageBreak/>
        <w:t xml:space="preserve">A formal written application shall be submitted to the Chief Executive Officer requesting the </w:t>
      </w:r>
      <w:r w:rsidRPr="009862E2">
        <w:t>installation of the memorial plaque.</w:t>
      </w:r>
    </w:p>
    <w:p w14:paraId="494B3415" w14:textId="77777777" w:rsidR="00BE10C4" w:rsidRPr="009862E2" w:rsidRDefault="00BE10C4" w:rsidP="002A3889">
      <w:pPr>
        <w:pStyle w:val="ListParagraph"/>
        <w:numPr>
          <w:ilvl w:val="0"/>
          <w:numId w:val="457"/>
        </w:numPr>
        <w:spacing w:after="60" w:line="240" w:lineRule="auto"/>
        <w:ind w:left="567" w:hanging="567"/>
        <w:contextualSpacing w:val="0"/>
        <w:jc w:val="both"/>
      </w:pPr>
      <w:r w:rsidRPr="00BD4DE6">
        <w:t xml:space="preserve">Council will consider any eligible </w:t>
      </w:r>
      <w:r w:rsidRPr="009862E2">
        <w:t>formal request and determine the request considering the merits of the request.</w:t>
      </w:r>
    </w:p>
    <w:p w14:paraId="6519E890" w14:textId="77777777" w:rsidR="00BE10C4" w:rsidRPr="009862E2" w:rsidRDefault="00BE10C4" w:rsidP="002A3889">
      <w:pPr>
        <w:pStyle w:val="ListParagraph"/>
        <w:numPr>
          <w:ilvl w:val="0"/>
          <w:numId w:val="457"/>
        </w:numPr>
        <w:spacing w:after="60" w:line="240" w:lineRule="auto"/>
        <w:ind w:left="567" w:hanging="567"/>
        <w:contextualSpacing w:val="0"/>
        <w:jc w:val="both"/>
      </w:pPr>
      <w:r w:rsidRPr="009862E2">
        <w:t>All applications for permanent memorials will only be considered where the person to be commemorated has been deceased for a minimum of 12 months.</w:t>
      </w:r>
    </w:p>
    <w:p w14:paraId="2DFBBB79" w14:textId="77777777" w:rsidR="00BE10C4" w:rsidRPr="009862E2" w:rsidRDefault="00BE10C4" w:rsidP="002A3889">
      <w:pPr>
        <w:pStyle w:val="ListParagraph"/>
        <w:numPr>
          <w:ilvl w:val="0"/>
          <w:numId w:val="457"/>
        </w:numPr>
        <w:spacing w:after="60" w:line="240" w:lineRule="auto"/>
        <w:ind w:left="567" w:hanging="567"/>
        <w:contextualSpacing w:val="0"/>
        <w:jc w:val="both"/>
      </w:pPr>
      <w:r w:rsidRPr="009862E2">
        <w:t>All applications for permanent memorials made by community members must be supported by a family member of the deceased person and shall include the signature of the spouse or children of the deceased.</w:t>
      </w:r>
    </w:p>
    <w:p w14:paraId="2D53DEA9" w14:textId="77777777" w:rsidR="00BE10C4" w:rsidRPr="009862E2" w:rsidRDefault="00BE10C4" w:rsidP="002A3889">
      <w:pPr>
        <w:pStyle w:val="ListParagraph"/>
        <w:numPr>
          <w:ilvl w:val="0"/>
          <w:numId w:val="457"/>
        </w:numPr>
        <w:spacing w:after="60" w:line="240" w:lineRule="auto"/>
        <w:ind w:left="567" w:hanging="567"/>
        <w:contextualSpacing w:val="0"/>
        <w:jc w:val="both"/>
      </w:pPr>
      <w:r w:rsidRPr="009862E2">
        <w:t>Only one memorial per person shall be approved.</w:t>
      </w:r>
    </w:p>
    <w:p w14:paraId="0591BABC" w14:textId="77777777" w:rsidR="00BE10C4" w:rsidRPr="00030826" w:rsidRDefault="00BE10C4" w:rsidP="002A3889">
      <w:pPr>
        <w:pStyle w:val="ListParagraph"/>
        <w:numPr>
          <w:ilvl w:val="0"/>
          <w:numId w:val="457"/>
        </w:numPr>
        <w:spacing w:after="60" w:line="240" w:lineRule="auto"/>
        <w:ind w:left="567" w:hanging="567"/>
        <w:contextualSpacing w:val="0"/>
        <w:jc w:val="both"/>
      </w:pPr>
      <w:r w:rsidRPr="00030826">
        <w:t xml:space="preserve">Statues, street furniture, artwork, plaques and other artefacts may be considered or accepted by Council as a suitable interpretation as a memorial plaque for installation, subject to approval by Council. </w:t>
      </w:r>
    </w:p>
    <w:p w14:paraId="42B580C2" w14:textId="77777777" w:rsidR="00BE10C4" w:rsidRPr="00467F6F" w:rsidRDefault="00BE10C4" w:rsidP="002A3889">
      <w:pPr>
        <w:pStyle w:val="ListParagraph"/>
        <w:numPr>
          <w:ilvl w:val="0"/>
          <w:numId w:val="457"/>
        </w:numPr>
        <w:spacing w:after="60" w:line="240" w:lineRule="auto"/>
        <w:ind w:left="567" w:hanging="567"/>
        <w:contextualSpacing w:val="0"/>
        <w:jc w:val="both"/>
      </w:pPr>
      <w:r w:rsidRPr="00467F6F">
        <w:t>Should for any reason, the applicant or family of the deceased seek the removal of an installed memorial, an application from the family must be submitted to the Town for officers to remove the memorial and return it to the family.</w:t>
      </w:r>
    </w:p>
    <w:p w14:paraId="481970BC" w14:textId="77777777" w:rsidR="00BE10C4" w:rsidRPr="00467F6F" w:rsidRDefault="00BE10C4" w:rsidP="002A3889">
      <w:pPr>
        <w:pStyle w:val="ListParagraph"/>
        <w:numPr>
          <w:ilvl w:val="0"/>
          <w:numId w:val="457"/>
        </w:numPr>
        <w:spacing w:after="60" w:line="240" w:lineRule="auto"/>
        <w:ind w:left="567" w:hanging="567"/>
        <w:contextualSpacing w:val="0"/>
        <w:jc w:val="both"/>
      </w:pPr>
      <w:r w:rsidRPr="00467F6F">
        <w:t>Decisions around the location, type, size and the construction of the memorial and the subsequent positioning of the memorial plaques will be at the sole discretion of Council</w:t>
      </w:r>
      <w:r>
        <w:t xml:space="preserve"> and in accordance with items 11 - 13 below</w:t>
      </w:r>
      <w:r w:rsidRPr="00467F6F">
        <w:t>.</w:t>
      </w:r>
    </w:p>
    <w:p w14:paraId="1306C978" w14:textId="77777777" w:rsidR="00BE10C4" w:rsidRPr="00467F6F" w:rsidRDefault="00BE10C4" w:rsidP="002A3889">
      <w:pPr>
        <w:pStyle w:val="ListParagraph"/>
        <w:numPr>
          <w:ilvl w:val="0"/>
          <w:numId w:val="457"/>
        </w:numPr>
        <w:spacing w:after="60" w:line="240" w:lineRule="auto"/>
        <w:ind w:left="567" w:hanging="567"/>
        <w:contextualSpacing w:val="0"/>
        <w:jc w:val="both"/>
      </w:pPr>
      <w:r w:rsidRPr="00467F6F">
        <w:t>The inscription on the plaque is to be approved by the Council and shall include as a minimum the person’s name including first name and surname.</w:t>
      </w:r>
      <w:r>
        <w:t xml:space="preserve"> </w:t>
      </w:r>
      <w:r w:rsidRPr="00467F6F">
        <w:t>The wording of the memorial plaque shall be included in the application to be approved by the Council.</w:t>
      </w:r>
    </w:p>
    <w:p w14:paraId="066BCD06" w14:textId="77777777" w:rsidR="00BE10C4" w:rsidRPr="00467F6F" w:rsidRDefault="00BE10C4" w:rsidP="002A3889">
      <w:pPr>
        <w:pStyle w:val="ListParagraph"/>
        <w:numPr>
          <w:ilvl w:val="0"/>
          <w:numId w:val="457"/>
        </w:numPr>
        <w:spacing w:after="60" w:line="240" w:lineRule="auto"/>
        <w:ind w:left="567" w:hanging="567"/>
        <w:contextualSpacing w:val="0"/>
        <w:jc w:val="both"/>
      </w:pPr>
      <w:r w:rsidRPr="00467F6F">
        <w:t xml:space="preserve">The costs associated with the plaque with the approved inscription, installation costs and any costs associated with the purchase of street furniture/ </w:t>
      </w:r>
      <w:r w:rsidRPr="00030826">
        <w:t>artwork/ or similar</w:t>
      </w:r>
      <w:r w:rsidRPr="00467F6F">
        <w:t xml:space="preserve"> will be borne by the applicant. An additional cost of </w:t>
      </w:r>
      <w:r>
        <w:t>five</w:t>
      </w:r>
      <w:r w:rsidRPr="00467F6F">
        <w:t xml:space="preserve"> </w:t>
      </w:r>
      <w:r>
        <w:t>Hundred</w:t>
      </w:r>
      <w:r w:rsidRPr="00467F6F">
        <w:t xml:space="preserve"> ($</w:t>
      </w:r>
      <w:r>
        <w:t>5</w:t>
      </w:r>
      <w:r w:rsidRPr="00467F6F">
        <w:t xml:space="preserve">00) dollars will also be paid by the applicant once the memorial has been approved by Council. This additional payment will be utilised for the purposes of purchasing trees for the Town’s use in public spaces. </w:t>
      </w:r>
    </w:p>
    <w:p w14:paraId="70A51D25" w14:textId="77777777" w:rsidR="00BE10C4" w:rsidRPr="00467F6F" w:rsidRDefault="00BE10C4" w:rsidP="002A3889">
      <w:pPr>
        <w:pStyle w:val="ListParagraph"/>
        <w:numPr>
          <w:ilvl w:val="0"/>
          <w:numId w:val="457"/>
        </w:numPr>
        <w:spacing w:after="60" w:line="240" w:lineRule="auto"/>
        <w:ind w:left="567" w:hanging="567"/>
        <w:contextualSpacing w:val="0"/>
        <w:jc w:val="both"/>
      </w:pPr>
      <w:r w:rsidRPr="00467F6F">
        <w:t xml:space="preserve">The plaque is to meet the following </w:t>
      </w:r>
      <w:proofErr w:type="gramStart"/>
      <w:r w:rsidRPr="00467F6F">
        <w:t>specifications;</w:t>
      </w:r>
      <w:proofErr w:type="gramEnd"/>
    </w:p>
    <w:p w14:paraId="095BF69A" w14:textId="77777777" w:rsidR="00BE10C4" w:rsidRPr="00467F6F" w:rsidRDefault="00BE10C4" w:rsidP="002A3889">
      <w:pPr>
        <w:pStyle w:val="ListParagraph"/>
        <w:numPr>
          <w:ilvl w:val="1"/>
          <w:numId w:val="457"/>
        </w:numPr>
        <w:spacing w:after="0" w:line="240" w:lineRule="auto"/>
        <w:ind w:left="1134" w:hanging="567"/>
        <w:jc w:val="both"/>
      </w:pPr>
      <w:r w:rsidRPr="00467F6F">
        <w:t>Maximum size 150mm x 150mm</w:t>
      </w:r>
      <w:r>
        <w:t>.</w:t>
      </w:r>
    </w:p>
    <w:p w14:paraId="281023A0" w14:textId="77777777" w:rsidR="00BE10C4" w:rsidRPr="00467F6F" w:rsidRDefault="00BE10C4" w:rsidP="002A3889">
      <w:pPr>
        <w:pStyle w:val="ListParagraph"/>
        <w:numPr>
          <w:ilvl w:val="1"/>
          <w:numId w:val="457"/>
        </w:numPr>
        <w:spacing w:after="0" w:line="240" w:lineRule="auto"/>
        <w:ind w:left="1134" w:hanging="567"/>
        <w:jc w:val="both"/>
      </w:pPr>
      <w:r w:rsidRPr="00467F6F">
        <w:t>Minimum size 100mm x 100mm</w:t>
      </w:r>
      <w:r>
        <w:t>.</w:t>
      </w:r>
    </w:p>
    <w:p w14:paraId="0E337503" w14:textId="77777777" w:rsidR="00BE10C4" w:rsidRPr="00467F6F" w:rsidRDefault="00BE10C4" w:rsidP="002A3889">
      <w:pPr>
        <w:pStyle w:val="ListParagraph"/>
        <w:numPr>
          <w:ilvl w:val="1"/>
          <w:numId w:val="457"/>
        </w:numPr>
        <w:spacing w:after="0" w:line="240" w:lineRule="auto"/>
        <w:ind w:left="1134" w:hanging="567"/>
        <w:jc w:val="both"/>
      </w:pPr>
      <w:r w:rsidRPr="00467F6F">
        <w:t>Constructed from corrosion resistant metal.</w:t>
      </w:r>
    </w:p>
    <w:p w14:paraId="671CBD4B" w14:textId="77777777" w:rsidR="00BE10C4" w:rsidRPr="00467F6F" w:rsidRDefault="00BE10C4" w:rsidP="002A3889">
      <w:pPr>
        <w:pStyle w:val="ListParagraph"/>
        <w:numPr>
          <w:ilvl w:val="1"/>
          <w:numId w:val="457"/>
        </w:numPr>
        <w:spacing w:after="0" w:line="240" w:lineRule="auto"/>
        <w:ind w:left="1134" w:hanging="567"/>
        <w:jc w:val="both"/>
      </w:pPr>
      <w:r w:rsidRPr="00467F6F">
        <w:t>A minimum of 2 holes at the extremities of the plaque for attaching to the memorial</w:t>
      </w:r>
      <w:r>
        <w:t>.</w:t>
      </w:r>
    </w:p>
    <w:p w14:paraId="5496D1D8" w14:textId="77777777" w:rsidR="00BE10C4" w:rsidRPr="00467F6F" w:rsidRDefault="00BE10C4" w:rsidP="002A3889">
      <w:pPr>
        <w:pStyle w:val="ListParagraph"/>
        <w:numPr>
          <w:ilvl w:val="0"/>
          <w:numId w:val="457"/>
        </w:numPr>
        <w:spacing w:before="60" w:line="240" w:lineRule="auto"/>
        <w:ind w:left="426" w:hanging="426"/>
        <w:contextualSpacing w:val="0"/>
        <w:jc w:val="both"/>
      </w:pPr>
      <w:r w:rsidRPr="00467F6F">
        <w:t xml:space="preserve">If it is necessary for the Town to remove the plaques because of vandalism, deterioration or for other operational reasons then the Town gives no undertaking that it will be replaced. </w:t>
      </w:r>
    </w:p>
    <w:p w14:paraId="38FD1F04" w14:textId="77777777" w:rsidR="00BE10C4" w:rsidRPr="00342314" w:rsidRDefault="00BE10C4" w:rsidP="00BE10C4">
      <w:pPr>
        <w:jc w:val="both"/>
      </w:pPr>
    </w:p>
    <w:tbl>
      <w:tblPr>
        <w:tblStyle w:val="TableGrid"/>
        <w:tblW w:w="0" w:type="auto"/>
        <w:tblLook w:val="04A0" w:firstRow="1" w:lastRow="0" w:firstColumn="1" w:lastColumn="0" w:noHBand="0" w:noVBand="1"/>
      </w:tblPr>
      <w:tblGrid>
        <w:gridCol w:w="3256"/>
        <w:gridCol w:w="5760"/>
      </w:tblGrid>
      <w:tr w:rsidR="00BE10C4" w:rsidRPr="00EA4EF8" w14:paraId="17575D1D" w14:textId="77777777" w:rsidTr="00EF011D">
        <w:tc>
          <w:tcPr>
            <w:tcW w:w="3256" w:type="dxa"/>
            <w:tcBorders>
              <w:top w:val="single" w:sz="4" w:space="0" w:color="auto"/>
              <w:left w:val="single" w:sz="4" w:space="0" w:color="auto"/>
              <w:bottom w:val="single" w:sz="4" w:space="0" w:color="auto"/>
              <w:right w:val="single" w:sz="4" w:space="0" w:color="auto"/>
            </w:tcBorders>
            <w:hideMark/>
          </w:tcPr>
          <w:p w14:paraId="619BA43C" w14:textId="77777777" w:rsidR="00BE10C4" w:rsidRPr="00342314" w:rsidRDefault="00BE10C4" w:rsidP="00EF011D">
            <w:pPr>
              <w:jc w:val="both"/>
            </w:pPr>
            <w:r w:rsidRPr="00342314">
              <w:t>Responsible Directorate:</w:t>
            </w:r>
          </w:p>
        </w:tc>
        <w:tc>
          <w:tcPr>
            <w:tcW w:w="5760" w:type="dxa"/>
            <w:tcBorders>
              <w:top w:val="single" w:sz="4" w:space="0" w:color="auto"/>
              <w:left w:val="single" w:sz="4" w:space="0" w:color="auto"/>
              <w:bottom w:val="single" w:sz="4" w:space="0" w:color="auto"/>
              <w:right w:val="single" w:sz="4" w:space="0" w:color="auto"/>
            </w:tcBorders>
            <w:hideMark/>
          </w:tcPr>
          <w:p w14:paraId="2AF86C16" w14:textId="77777777" w:rsidR="00BE10C4" w:rsidRPr="00342314" w:rsidRDefault="00BE10C4" w:rsidP="00EF011D">
            <w:pPr>
              <w:jc w:val="both"/>
            </w:pPr>
            <w:r>
              <w:t>Operations</w:t>
            </w:r>
          </w:p>
        </w:tc>
      </w:tr>
      <w:tr w:rsidR="00BE10C4" w:rsidRPr="00EA4EF8" w14:paraId="5E17CFFC" w14:textId="77777777" w:rsidTr="00EF011D">
        <w:tc>
          <w:tcPr>
            <w:tcW w:w="3256" w:type="dxa"/>
            <w:tcBorders>
              <w:top w:val="single" w:sz="4" w:space="0" w:color="auto"/>
              <w:left w:val="single" w:sz="4" w:space="0" w:color="auto"/>
              <w:bottom w:val="single" w:sz="4" w:space="0" w:color="auto"/>
              <w:right w:val="single" w:sz="4" w:space="0" w:color="auto"/>
            </w:tcBorders>
            <w:hideMark/>
          </w:tcPr>
          <w:p w14:paraId="0D9BE234" w14:textId="77777777" w:rsidR="00BE10C4" w:rsidRPr="00342314" w:rsidRDefault="00BE10C4" w:rsidP="00EF011D">
            <w:pPr>
              <w:jc w:val="both"/>
            </w:pPr>
            <w:r w:rsidRPr="00342314">
              <w:t>Reviewing Officer:</w:t>
            </w:r>
          </w:p>
        </w:tc>
        <w:tc>
          <w:tcPr>
            <w:tcW w:w="5760" w:type="dxa"/>
            <w:tcBorders>
              <w:top w:val="single" w:sz="4" w:space="0" w:color="auto"/>
              <w:left w:val="single" w:sz="4" w:space="0" w:color="auto"/>
              <w:bottom w:val="single" w:sz="4" w:space="0" w:color="auto"/>
              <w:right w:val="single" w:sz="4" w:space="0" w:color="auto"/>
            </w:tcBorders>
            <w:hideMark/>
          </w:tcPr>
          <w:p w14:paraId="30418F00" w14:textId="77777777" w:rsidR="00BE10C4" w:rsidRPr="00342314" w:rsidRDefault="00BE10C4" w:rsidP="00EF011D">
            <w:pPr>
              <w:jc w:val="both"/>
            </w:pPr>
            <w:r>
              <w:t>Operations Manager</w:t>
            </w:r>
          </w:p>
        </w:tc>
      </w:tr>
      <w:tr w:rsidR="00BE10C4" w:rsidRPr="00EA4EF8" w14:paraId="38665C51" w14:textId="77777777" w:rsidTr="00EF011D">
        <w:tc>
          <w:tcPr>
            <w:tcW w:w="3256" w:type="dxa"/>
            <w:tcBorders>
              <w:top w:val="single" w:sz="4" w:space="0" w:color="auto"/>
              <w:left w:val="single" w:sz="4" w:space="0" w:color="auto"/>
              <w:bottom w:val="single" w:sz="4" w:space="0" w:color="auto"/>
              <w:right w:val="single" w:sz="4" w:space="0" w:color="auto"/>
            </w:tcBorders>
            <w:hideMark/>
          </w:tcPr>
          <w:p w14:paraId="5292E058" w14:textId="77777777" w:rsidR="00BE10C4" w:rsidRPr="00342314" w:rsidRDefault="00BE10C4" w:rsidP="00EF011D">
            <w:pPr>
              <w:jc w:val="both"/>
            </w:pPr>
            <w:r w:rsidRPr="00342314">
              <w:t>Decision making Authority:</w:t>
            </w:r>
          </w:p>
        </w:tc>
        <w:tc>
          <w:tcPr>
            <w:tcW w:w="5760" w:type="dxa"/>
            <w:tcBorders>
              <w:top w:val="single" w:sz="4" w:space="0" w:color="auto"/>
              <w:left w:val="single" w:sz="4" w:space="0" w:color="auto"/>
              <w:bottom w:val="single" w:sz="4" w:space="0" w:color="auto"/>
              <w:right w:val="single" w:sz="4" w:space="0" w:color="auto"/>
            </w:tcBorders>
            <w:hideMark/>
          </w:tcPr>
          <w:p w14:paraId="67B57C17" w14:textId="77777777" w:rsidR="00BE10C4" w:rsidRPr="00342314" w:rsidRDefault="00BE10C4" w:rsidP="00EF011D">
            <w:pPr>
              <w:jc w:val="both"/>
            </w:pPr>
            <w:r w:rsidRPr="00342314">
              <w:t>Council</w:t>
            </w:r>
          </w:p>
        </w:tc>
      </w:tr>
      <w:tr w:rsidR="00BE10C4" w:rsidRPr="00EA4EF8" w14:paraId="23AF3FBB" w14:textId="77777777" w:rsidTr="00EF011D">
        <w:tc>
          <w:tcPr>
            <w:tcW w:w="3256" w:type="dxa"/>
            <w:tcBorders>
              <w:top w:val="single" w:sz="4" w:space="0" w:color="auto"/>
              <w:left w:val="single" w:sz="4" w:space="0" w:color="auto"/>
              <w:bottom w:val="single" w:sz="4" w:space="0" w:color="auto"/>
              <w:right w:val="single" w:sz="4" w:space="0" w:color="auto"/>
            </w:tcBorders>
            <w:hideMark/>
          </w:tcPr>
          <w:p w14:paraId="49F060B9" w14:textId="77777777" w:rsidR="00BE10C4" w:rsidRPr="00342314" w:rsidRDefault="00BE10C4" w:rsidP="00EF011D">
            <w:pPr>
              <w:jc w:val="both"/>
            </w:pPr>
            <w:r w:rsidRPr="00342314">
              <w:t>Policy Adopted:</w:t>
            </w:r>
          </w:p>
        </w:tc>
        <w:tc>
          <w:tcPr>
            <w:tcW w:w="5760" w:type="dxa"/>
            <w:tcBorders>
              <w:top w:val="single" w:sz="4" w:space="0" w:color="auto"/>
              <w:left w:val="single" w:sz="4" w:space="0" w:color="auto"/>
              <w:bottom w:val="single" w:sz="4" w:space="0" w:color="auto"/>
              <w:right w:val="single" w:sz="4" w:space="0" w:color="auto"/>
            </w:tcBorders>
            <w:hideMark/>
          </w:tcPr>
          <w:p w14:paraId="25BB761F" w14:textId="77777777" w:rsidR="00BE10C4" w:rsidRPr="00342314" w:rsidRDefault="00BE10C4" w:rsidP="00EF011D">
            <w:pPr>
              <w:jc w:val="both"/>
            </w:pPr>
            <w:r>
              <w:t>17/11/20</w:t>
            </w:r>
          </w:p>
        </w:tc>
      </w:tr>
      <w:tr w:rsidR="00BE10C4" w:rsidRPr="00EA4EF8" w14:paraId="70E98D9F" w14:textId="77777777" w:rsidTr="00EF011D">
        <w:tc>
          <w:tcPr>
            <w:tcW w:w="3256" w:type="dxa"/>
            <w:tcBorders>
              <w:top w:val="single" w:sz="4" w:space="0" w:color="auto"/>
              <w:left w:val="single" w:sz="4" w:space="0" w:color="auto"/>
              <w:bottom w:val="single" w:sz="4" w:space="0" w:color="auto"/>
              <w:right w:val="single" w:sz="4" w:space="0" w:color="auto"/>
            </w:tcBorders>
            <w:hideMark/>
          </w:tcPr>
          <w:p w14:paraId="152CB2D1" w14:textId="77777777" w:rsidR="00BE10C4" w:rsidRPr="00342314" w:rsidRDefault="00BE10C4" w:rsidP="00EF011D">
            <w:pPr>
              <w:jc w:val="both"/>
            </w:pPr>
            <w:r w:rsidRPr="00342314">
              <w:t>Policy Amended/Reviewed:</w:t>
            </w:r>
          </w:p>
        </w:tc>
        <w:tc>
          <w:tcPr>
            <w:tcW w:w="5760" w:type="dxa"/>
            <w:tcBorders>
              <w:top w:val="single" w:sz="4" w:space="0" w:color="auto"/>
              <w:left w:val="single" w:sz="4" w:space="0" w:color="auto"/>
              <w:bottom w:val="single" w:sz="4" w:space="0" w:color="auto"/>
              <w:right w:val="single" w:sz="4" w:space="0" w:color="auto"/>
            </w:tcBorders>
          </w:tcPr>
          <w:p w14:paraId="6ED4B325" w14:textId="77777777" w:rsidR="00BE10C4" w:rsidRPr="00342314" w:rsidRDefault="00BE10C4" w:rsidP="00EF011D">
            <w:pPr>
              <w:jc w:val="both"/>
            </w:pPr>
          </w:p>
        </w:tc>
      </w:tr>
    </w:tbl>
    <w:p w14:paraId="4AEAFE47" w14:textId="77777777" w:rsidR="00BE10C4" w:rsidRPr="00342314" w:rsidRDefault="00BE10C4" w:rsidP="00BE10C4">
      <w:pPr>
        <w:jc w:val="both"/>
      </w:pPr>
    </w:p>
    <w:p w14:paraId="3429CAD3" w14:textId="77777777" w:rsidR="00BE10C4" w:rsidRPr="00EA4EF8" w:rsidRDefault="00BE10C4" w:rsidP="00BE10C4"/>
    <w:p w14:paraId="39CF929C" w14:textId="77777777" w:rsidR="00FC6FDE" w:rsidRDefault="00FC6FDE" w:rsidP="006D089F">
      <w:pPr>
        <w:jc w:val="both"/>
        <w:rPr>
          <w:rFonts w:cstheme="minorHAnsi"/>
          <w:lang w:val="en-US"/>
        </w:rPr>
      </w:pPr>
    </w:p>
    <w:p w14:paraId="7D75DA7B" w14:textId="77777777" w:rsidR="00FC6FDE" w:rsidRDefault="00FC6FDE" w:rsidP="00FC6FDE">
      <w:pPr>
        <w:rPr>
          <w:lang w:val="en-US"/>
        </w:rPr>
      </w:pPr>
      <w:r>
        <w:rPr>
          <w:lang w:val="en-US"/>
        </w:rPr>
        <w:br w:type="page"/>
      </w:r>
    </w:p>
    <w:p w14:paraId="2D4BA396" w14:textId="5D07E4E4" w:rsidR="00FC6FDE" w:rsidRPr="009F5ABD" w:rsidRDefault="00FC5816" w:rsidP="00FC6FDE">
      <w:pPr>
        <w:pStyle w:val="Title"/>
        <w:pBdr>
          <w:bottom w:val="none" w:sz="0" w:space="0" w:color="auto"/>
        </w:pBdr>
        <w:spacing w:after="240"/>
        <w:jc w:val="right"/>
        <w:rPr>
          <w:rFonts w:asciiTheme="minorHAnsi" w:hAnsiTheme="minorHAnsi" w:cstheme="minorHAnsi"/>
          <w:b/>
          <w:sz w:val="22"/>
          <w:szCs w:val="22"/>
          <w:lang w:val="en-US"/>
        </w:rPr>
      </w:pPr>
      <w:r>
        <w:rPr>
          <w:noProof/>
          <w:lang w:eastAsia="en-AU"/>
        </w:rPr>
        <w:lastRenderedPageBreak/>
        <w:drawing>
          <wp:anchor distT="0" distB="0" distL="114300" distR="114300" simplePos="0" relativeHeight="251629568" behindDoc="1" locked="0" layoutInCell="1" allowOverlap="1" wp14:anchorId="1606DC4B" wp14:editId="214D67CF">
            <wp:simplePos x="0" y="0"/>
            <wp:positionH relativeFrom="column">
              <wp:posOffset>4105275</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r w:rsidR="00FC6FDE" w:rsidRPr="009F5ABD">
        <w:rPr>
          <w:rFonts w:asciiTheme="minorHAnsi" w:hAnsiTheme="minorHAnsi" w:cstheme="minorHAnsi"/>
          <w:b/>
          <w:sz w:val="22"/>
          <w:szCs w:val="22"/>
          <w:lang w:val="en-US"/>
        </w:rPr>
        <w:t xml:space="preserve">  </w:t>
      </w:r>
    </w:p>
    <w:p w14:paraId="1768BDF5" w14:textId="77777777" w:rsidR="00EF011D" w:rsidRDefault="00EF011D" w:rsidP="00FC6FDE">
      <w:pPr>
        <w:pStyle w:val="Policy2"/>
        <w:spacing w:after="0"/>
      </w:pPr>
    </w:p>
    <w:p w14:paraId="090FED4F" w14:textId="77777777" w:rsidR="00EF011D" w:rsidRDefault="00EF011D" w:rsidP="00FC6FDE">
      <w:pPr>
        <w:pStyle w:val="Policy2"/>
        <w:spacing w:after="0"/>
      </w:pPr>
    </w:p>
    <w:p w14:paraId="49CF718E" w14:textId="284C1009" w:rsidR="00FC6FDE" w:rsidRPr="004719B6" w:rsidRDefault="00FC6FDE" w:rsidP="00FC6FDE">
      <w:pPr>
        <w:pStyle w:val="Policy2"/>
        <w:spacing w:after="0"/>
      </w:pPr>
      <w:bookmarkStart w:id="586" w:name="_Toc216866735"/>
      <w:r>
        <w:t>4</w:t>
      </w:r>
      <w:r w:rsidRPr="004719B6">
        <w:t>.</w:t>
      </w:r>
      <w:r>
        <w:t>2</w:t>
      </w:r>
      <w:r w:rsidRPr="004719B6">
        <w:tab/>
      </w:r>
      <w:r>
        <w:t>PARKS &amp; RESERVES</w:t>
      </w:r>
      <w:bookmarkEnd w:id="586"/>
    </w:p>
    <w:p w14:paraId="36443A0A" w14:textId="77777777" w:rsidR="00FC6FDE" w:rsidRPr="004719B6" w:rsidRDefault="00FC6FDE" w:rsidP="00FC6FDE">
      <w:pPr>
        <w:pStyle w:val="Policy3"/>
        <w:spacing w:before="120"/>
      </w:pPr>
      <w:bookmarkStart w:id="587" w:name="_Toc216866736"/>
      <w:r>
        <w:t>4</w:t>
      </w:r>
      <w:r w:rsidRPr="004719B6">
        <w:t>.</w:t>
      </w:r>
      <w:r>
        <w:t>2</w:t>
      </w:r>
      <w:r w:rsidRPr="004719B6">
        <w:t>.</w:t>
      </w:r>
      <w:r>
        <w:t>1</w:t>
      </w:r>
      <w:r w:rsidRPr="004719B6">
        <w:tab/>
      </w:r>
      <w:r>
        <w:t>Maintenance &amp; Removal of Public and Verge Trees</w:t>
      </w:r>
      <w:bookmarkEnd w:id="587"/>
      <w:r w:rsidRPr="004719B6">
        <w:t xml:space="preserve"> </w:t>
      </w:r>
    </w:p>
    <w:tbl>
      <w:tblPr>
        <w:tblStyle w:val="TableGrid"/>
        <w:tblW w:w="0" w:type="auto"/>
        <w:tblLook w:val="04A0" w:firstRow="1" w:lastRow="0" w:firstColumn="1" w:lastColumn="0" w:noHBand="0" w:noVBand="1"/>
      </w:tblPr>
      <w:tblGrid>
        <w:gridCol w:w="3020"/>
        <w:gridCol w:w="5996"/>
      </w:tblGrid>
      <w:tr w:rsidR="00FC6FDE" w:rsidRPr="009F5ABD" w14:paraId="08D2DB29" w14:textId="77777777" w:rsidTr="00FD4C05">
        <w:tc>
          <w:tcPr>
            <w:tcW w:w="3020" w:type="dxa"/>
          </w:tcPr>
          <w:p w14:paraId="72736939" w14:textId="77777777" w:rsidR="00FC6FDE" w:rsidRPr="009F5ABD" w:rsidRDefault="00FC6FDE" w:rsidP="00FD4C05">
            <w:pPr>
              <w:rPr>
                <w:rFonts w:cstheme="minorHAnsi"/>
                <w:b/>
                <w:lang w:val="en-US"/>
              </w:rPr>
            </w:pPr>
            <w:r w:rsidRPr="009F5ABD">
              <w:rPr>
                <w:rFonts w:cstheme="minorHAnsi"/>
                <w:b/>
                <w:lang w:val="en-US"/>
              </w:rPr>
              <w:t>Type:</w:t>
            </w:r>
          </w:p>
        </w:tc>
        <w:tc>
          <w:tcPr>
            <w:tcW w:w="5996" w:type="dxa"/>
          </w:tcPr>
          <w:p w14:paraId="50989682" w14:textId="77777777" w:rsidR="00FC6FDE" w:rsidRPr="009F5ABD" w:rsidRDefault="00FC6FDE" w:rsidP="00FD4C05">
            <w:pPr>
              <w:rPr>
                <w:rFonts w:cstheme="minorHAnsi"/>
                <w:lang w:val="en-US"/>
              </w:rPr>
            </w:pPr>
            <w:r>
              <w:rPr>
                <w:rFonts w:cstheme="minorHAnsi"/>
                <w:lang w:val="en-US"/>
              </w:rPr>
              <w:t>Operations – Parks &amp; Reserves</w:t>
            </w:r>
            <w:r w:rsidRPr="009F5ABD">
              <w:rPr>
                <w:rFonts w:cstheme="minorHAnsi"/>
                <w:lang w:val="en-US"/>
              </w:rPr>
              <w:t xml:space="preserve"> </w:t>
            </w:r>
          </w:p>
        </w:tc>
      </w:tr>
      <w:tr w:rsidR="00FC6FDE" w:rsidRPr="009F5ABD" w14:paraId="5E6578D4" w14:textId="77777777" w:rsidTr="00FD4C05">
        <w:tc>
          <w:tcPr>
            <w:tcW w:w="3020" w:type="dxa"/>
          </w:tcPr>
          <w:p w14:paraId="1C2E76E2" w14:textId="77777777" w:rsidR="00FC6FDE" w:rsidRPr="009F5ABD" w:rsidRDefault="00FC6FDE" w:rsidP="00FD4C05">
            <w:pPr>
              <w:rPr>
                <w:rFonts w:cstheme="minorHAnsi"/>
                <w:b/>
                <w:lang w:val="en-US"/>
              </w:rPr>
            </w:pPr>
            <w:r w:rsidRPr="009F5ABD">
              <w:rPr>
                <w:rFonts w:cstheme="minorHAnsi"/>
                <w:b/>
                <w:lang w:val="en-US"/>
              </w:rPr>
              <w:t>Legislation:</w:t>
            </w:r>
          </w:p>
        </w:tc>
        <w:tc>
          <w:tcPr>
            <w:tcW w:w="5996" w:type="dxa"/>
          </w:tcPr>
          <w:p w14:paraId="3D937E6A" w14:textId="77777777" w:rsidR="00FC6FDE" w:rsidRPr="009F5ABD" w:rsidRDefault="00FC6FDE" w:rsidP="00FD4C05">
            <w:pPr>
              <w:rPr>
                <w:rFonts w:cstheme="minorHAnsi"/>
                <w:lang w:val="en-US"/>
              </w:rPr>
            </w:pPr>
            <w:r>
              <w:rPr>
                <w:rFonts w:cstheme="minorHAnsi"/>
                <w:lang w:val="en-US"/>
              </w:rPr>
              <w:t>N/A</w:t>
            </w:r>
          </w:p>
        </w:tc>
      </w:tr>
      <w:tr w:rsidR="00FC6FDE" w:rsidRPr="009F5ABD" w14:paraId="747D85BC" w14:textId="77777777" w:rsidTr="00FD4C05">
        <w:tc>
          <w:tcPr>
            <w:tcW w:w="3020" w:type="dxa"/>
          </w:tcPr>
          <w:p w14:paraId="75D9526D" w14:textId="77777777" w:rsidR="00FC6FDE" w:rsidRPr="009F5ABD" w:rsidRDefault="00FC6FDE" w:rsidP="00FD4C05">
            <w:pPr>
              <w:rPr>
                <w:rFonts w:cstheme="minorHAnsi"/>
                <w:b/>
                <w:lang w:val="en-US"/>
              </w:rPr>
            </w:pPr>
            <w:r w:rsidRPr="009F5ABD">
              <w:rPr>
                <w:rFonts w:cstheme="minorHAnsi"/>
                <w:b/>
                <w:lang w:val="en-US"/>
              </w:rPr>
              <w:t>Delegation:</w:t>
            </w:r>
          </w:p>
        </w:tc>
        <w:tc>
          <w:tcPr>
            <w:tcW w:w="5996" w:type="dxa"/>
          </w:tcPr>
          <w:p w14:paraId="2D3C11A4" w14:textId="77777777" w:rsidR="00FC6FDE" w:rsidRPr="009F5ABD" w:rsidRDefault="00FC6FDE" w:rsidP="00FD4C05">
            <w:pPr>
              <w:rPr>
                <w:rFonts w:cstheme="minorHAnsi"/>
                <w:lang w:val="en-US"/>
              </w:rPr>
            </w:pPr>
            <w:r>
              <w:rPr>
                <w:rFonts w:cstheme="minorHAnsi"/>
                <w:lang w:val="en-US"/>
              </w:rPr>
              <w:t>DA64 &amp; DA65</w:t>
            </w:r>
          </w:p>
        </w:tc>
      </w:tr>
      <w:tr w:rsidR="00FC6FDE" w:rsidRPr="009F5ABD" w14:paraId="79351F77" w14:textId="77777777" w:rsidTr="00FD4C05">
        <w:tc>
          <w:tcPr>
            <w:tcW w:w="3020" w:type="dxa"/>
          </w:tcPr>
          <w:p w14:paraId="0E80703D" w14:textId="77777777" w:rsidR="00FC6FDE" w:rsidRPr="009F5ABD" w:rsidRDefault="00FC6FDE" w:rsidP="00FD4C05">
            <w:pPr>
              <w:rPr>
                <w:rFonts w:cstheme="minorHAnsi"/>
                <w:b/>
                <w:lang w:val="en-US"/>
              </w:rPr>
            </w:pPr>
            <w:r w:rsidRPr="009F5ABD">
              <w:rPr>
                <w:rFonts w:cstheme="minorHAnsi"/>
                <w:b/>
                <w:lang w:val="en-US"/>
              </w:rPr>
              <w:t>Other Related Document:</w:t>
            </w:r>
          </w:p>
        </w:tc>
        <w:tc>
          <w:tcPr>
            <w:tcW w:w="5996" w:type="dxa"/>
          </w:tcPr>
          <w:p w14:paraId="705EA036" w14:textId="77777777" w:rsidR="00FC6FDE" w:rsidRPr="009F5ABD" w:rsidRDefault="00FC6FDE" w:rsidP="00FD4C05">
            <w:pPr>
              <w:rPr>
                <w:rFonts w:cstheme="minorHAnsi"/>
                <w:lang w:val="en-US"/>
              </w:rPr>
            </w:pPr>
            <w:r>
              <w:rPr>
                <w:rFonts w:cstheme="minorHAnsi"/>
                <w:lang w:val="en-US"/>
              </w:rPr>
              <w:t>Nil</w:t>
            </w:r>
          </w:p>
        </w:tc>
      </w:tr>
    </w:tbl>
    <w:p w14:paraId="06050F25" w14:textId="77777777" w:rsidR="00FC6FDE" w:rsidRPr="00B47F10" w:rsidRDefault="00FC6FDE" w:rsidP="00FC6FDE">
      <w:pPr>
        <w:spacing w:before="240" w:after="0"/>
        <w:rPr>
          <w:b/>
          <w:sz w:val="28"/>
          <w:szCs w:val="28"/>
          <w:lang w:val="en-US"/>
        </w:rPr>
      </w:pPr>
      <w:r w:rsidRPr="00B47F10">
        <w:rPr>
          <w:b/>
          <w:sz w:val="28"/>
          <w:szCs w:val="28"/>
          <w:lang w:val="en-US"/>
        </w:rPr>
        <w:t>Objective</w:t>
      </w:r>
    </w:p>
    <w:p w14:paraId="0B22BC1C" w14:textId="77777777" w:rsidR="00FC6FDE" w:rsidRPr="004719B6" w:rsidRDefault="00FC6FDE" w:rsidP="00FC6FDE">
      <w:pPr>
        <w:pStyle w:val="BodyText2"/>
        <w:spacing w:after="200" w:line="240" w:lineRule="auto"/>
        <w:jc w:val="both"/>
        <w:rPr>
          <w:rFonts w:cstheme="minorHAnsi"/>
        </w:rPr>
      </w:pPr>
      <w:r w:rsidRPr="004719B6">
        <w:rPr>
          <w:rFonts w:cstheme="minorHAnsi"/>
        </w:rPr>
        <w:t xml:space="preserve">The goal of the Town </w:t>
      </w:r>
      <w:r>
        <w:rPr>
          <w:rFonts w:cstheme="minorHAnsi"/>
        </w:rPr>
        <w:t>is to maximise</w:t>
      </w:r>
      <w:r w:rsidRPr="004719B6">
        <w:rPr>
          <w:rFonts w:cstheme="minorHAnsi"/>
        </w:rPr>
        <w:t xml:space="preserve"> </w:t>
      </w:r>
      <w:r>
        <w:rPr>
          <w:rFonts w:cstheme="minorHAnsi"/>
        </w:rPr>
        <w:t xml:space="preserve">the number of trees on </w:t>
      </w:r>
      <w:proofErr w:type="gramStart"/>
      <w:r>
        <w:rPr>
          <w:rFonts w:cstheme="minorHAnsi"/>
        </w:rPr>
        <w:t>Council’s road</w:t>
      </w:r>
      <w:proofErr w:type="gramEnd"/>
      <w:r>
        <w:rPr>
          <w:rFonts w:cstheme="minorHAnsi"/>
        </w:rPr>
        <w:t xml:space="preserve"> reserves, medians and public reserves.</w:t>
      </w:r>
      <w:r w:rsidRPr="004719B6">
        <w:rPr>
          <w:rFonts w:cstheme="minorHAnsi"/>
        </w:rPr>
        <w:t xml:space="preserve"> </w:t>
      </w:r>
      <w:r>
        <w:rPr>
          <w:rFonts w:cstheme="minorHAnsi"/>
        </w:rPr>
        <w:t xml:space="preserve">Ideally this policy will result in </w:t>
      </w:r>
      <w:r w:rsidRPr="004719B6">
        <w:rPr>
          <w:rFonts w:cstheme="minorHAnsi"/>
        </w:rPr>
        <w:t xml:space="preserve">each verge </w:t>
      </w:r>
      <w:r>
        <w:rPr>
          <w:rFonts w:cstheme="minorHAnsi"/>
        </w:rPr>
        <w:t>having</w:t>
      </w:r>
      <w:r w:rsidRPr="004719B6">
        <w:rPr>
          <w:rFonts w:cstheme="minorHAnsi"/>
        </w:rPr>
        <w:t xml:space="preserve"> at least one tree per dwelling. Trees form an important element of the public domain and an important feature of the Town of East Fremantle </w:t>
      </w:r>
      <w:r>
        <w:rPr>
          <w:rFonts w:cstheme="minorHAnsi"/>
        </w:rPr>
        <w:t xml:space="preserve">(Town) </w:t>
      </w:r>
      <w:r w:rsidRPr="004719B6">
        <w:rPr>
          <w:rFonts w:cstheme="minorHAnsi"/>
        </w:rPr>
        <w:t xml:space="preserve">and need to be </w:t>
      </w:r>
      <w:r>
        <w:rPr>
          <w:rFonts w:cstheme="minorHAnsi"/>
        </w:rPr>
        <w:t xml:space="preserve">protected, retained and </w:t>
      </w:r>
      <w:r w:rsidRPr="004719B6">
        <w:rPr>
          <w:rFonts w:cstheme="minorHAnsi"/>
        </w:rPr>
        <w:t xml:space="preserve">conserved.  </w:t>
      </w:r>
    </w:p>
    <w:p w14:paraId="4E974474" w14:textId="77777777" w:rsidR="00FC6FDE" w:rsidRPr="00B47F10" w:rsidRDefault="00FC6FDE" w:rsidP="00FC6FDE">
      <w:pPr>
        <w:spacing w:before="200" w:after="0"/>
        <w:rPr>
          <w:b/>
          <w:sz w:val="28"/>
          <w:szCs w:val="28"/>
          <w:lang w:val="en-US"/>
        </w:rPr>
      </w:pPr>
      <w:r w:rsidRPr="00B47F10">
        <w:rPr>
          <w:b/>
          <w:sz w:val="28"/>
          <w:szCs w:val="28"/>
          <w:lang w:val="en-US"/>
        </w:rPr>
        <w:t>Policy Scope</w:t>
      </w:r>
    </w:p>
    <w:p w14:paraId="1C29FE85" w14:textId="77777777" w:rsidR="00FC6FDE" w:rsidRPr="009F5ABD" w:rsidRDefault="00FC6FDE" w:rsidP="00FC6FDE">
      <w:pPr>
        <w:jc w:val="both"/>
        <w:rPr>
          <w:rFonts w:cstheme="minorHAnsi"/>
          <w:lang w:val="en-US"/>
        </w:rPr>
      </w:pPr>
      <w:r w:rsidRPr="009F5ABD">
        <w:rPr>
          <w:rFonts w:cstheme="minorHAnsi"/>
          <w:lang w:val="en-US"/>
        </w:rPr>
        <w:t xml:space="preserve">This policy applies to all </w:t>
      </w:r>
      <w:r>
        <w:rPr>
          <w:rFonts w:cstheme="minorHAnsi"/>
          <w:lang w:val="en-US"/>
        </w:rPr>
        <w:t xml:space="preserve">trees within the road verges and public areas in the control of the Town. </w:t>
      </w:r>
    </w:p>
    <w:p w14:paraId="1215E8C5" w14:textId="77777777" w:rsidR="00FC6FDE" w:rsidRDefault="00FC6FDE" w:rsidP="00FC6FDE">
      <w:pPr>
        <w:spacing w:before="200" w:after="0"/>
        <w:rPr>
          <w:b/>
          <w:sz w:val="28"/>
          <w:szCs w:val="28"/>
          <w:lang w:val="en-US"/>
        </w:rPr>
      </w:pPr>
      <w:r w:rsidRPr="00B47F10">
        <w:rPr>
          <w:b/>
          <w:sz w:val="28"/>
          <w:szCs w:val="28"/>
          <w:lang w:val="en-US"/>
        </w:rPr>
        <w:t xml:space="preserve">Policy </w:t>
      </w:r>
    </w:p>
    <w:p w14:paraId="6D8F86BC" w14:textId="77777777" w:rsidR="00FC6FDE" w:rsidRDefault="00FC6FDE" w:rsidP="00FC6FDE">
      <w:pPr>
        <w:spacing w:after="0" w:line="240" w:lineRule="auto"/>
        <w:jc w:val="both"/>
        <w:rPr>
          <w:rFonts w:cstheme="minorHAnsi"/>
          <w:lang w:val="en-US"/>
        </w:rPr>
      </w:pPr>
      <w:r w:rsidRPr="006E1388">
        <w:rPr>
          <w:rFonts w:cstheme="minorHAnsi"/>
          <w:lang w:val="en-US"/>
        </w:rPr>
        <w:t xml:space="preserve">The Town </w:t>
      </w:r>
      <w:r>
        <w:rPr>
          <w:rFonts w:cstheme="minorHAnsi"/>
          <w:lang w:val="en-US"/>
        </w:rPr>
        <w:t xml:space="preserve">will generally not support the removal of any public or street unless it is </w:t>
      </w:r>
      <w:r>
        <w:rPr>
          <w:rFonts w:ascii="Calibri" w:hAnsi="Calibri" w:cs="Calibri"/>
        </w:rPr>
        <w:t>dead, dying or stunted.</w:t>
      </w:r>
      <w:r>
        <w:rPr>
          <w:rFonts w:cstheme="minorHAnsi"/>
          <w:lang w:val="en-US"/>
        </w:rPr>
        <w:t xml:space="preserve"> </w:t>
      </w:r>
    </w:p>
    <w:p w14:paraId="3630CAD7" w14:textId="77777777" w:rsidR="00FC6FDE" w:rsidRPr="006E1388" w:rsidRDefault="00FC6FDE" w:rsidP="00FC6FDE">
      <w:pPr>
        <w:spacing w:after="0"/>
        <w:rPr>
          <w:rFonts w:cstheme="minorHAnsi"/>
          <w:lang w:val="en-US"/>
        </w:rPr>
      </w:pPr>
    </w:p>
    <w:p w14:paraId="08E26D5B" w14:textId="77777777" w:rsidR="00FC6FDE" w:rsidRPr="008379D0" w:rsidRDefault="00FC6FDE" w:rsidP="002A3889">
      <w:pPr>
        <w:numPr>
          <w:ilvl w:val="0"/>
          <w:numId w:val="375"/>
        </w:numPr>
        <w:tabs>
          <w:tab w:val="clear" w:pos="360"/>
        </w:tabs>
        <w:autoSpaceDE w:val="0"/>
        <w:autoSpaceDN w:val="0"/>
        <w:spacing w:after="0" w:line="240" w:lineRule="auto"/>
        <w:ind w:left="426" w:hanging="426"/>
        <w:jc w:val="both"/>
        <w:rPr>
          <w:rFonts w:cstheme="minorHAnsi"/>
          <w:b/>
          <w:bCs/>
        </w:rPr>
      </w:pPr>
      <w:r w:rsidRPr="008379D0">
        <w:rPr>
          <w:rFonts w:cstheme="minorHAnsi"/>
          <w:b/>
          <w:bCs/>
        </w:rPr>
        <w:t xml:space="preserve">Removal </w:t>
      </w:r>
    </w:p>
    <w:p w14:paraId="7189E7F7" w14:textId="77777777" w:rsidR="00FC6FDE" w:rsidRPr="008379D0" w:rsidRDefault="00FC6FDE" w:rsidP="00FC6FDE">
      <w:pPr>
        <w:pStyle w:val="BodyText2"/>
        <w:spacing w:after="200" w:line="240" w:lineRule="auto"/>
        <w:jc w:val="both"/>
        <w:rPr>
          <w:rFonts w:cstheme="minorHAnsi"/>
        </w:rPr>
      </w:pPr>
      <w:r>
        <w:rPr>
          <w:rFonts w:cstheme="minorHAnsi"/>
        </w:rPr>
        <w:t xml:space="preserve">It is the Town’s intention to retain verge trees that are healthy, and do not cause any safety concerns. In the absence of suitable justification being provided for the removal of a tree, the request for the tree removal will not be supported. </w:t>
      </w:r>
    </w:p>
    <w:p w14:paraId="5294D981" w14:textId="77777777" w:rsidR="00FC6FDE" w:rsidRPr="008379D0" w:rsidRDefault="00FC6FDE" w:rsidP="00FC6FDE">
      <w:pPr>
        <w:tabs>
          <w:tab w:val="left" w:pos="318"/>
          <w:tab w:val="left" w:pos="1560"/>
          <w:tab w:val="right" w:pos="9072"/>
        </w:tabs>
        <w:spacing w:line="240" w:lineRule="auto"/>
        <w:jc w:val="both"/>
        <w:rPr>
          <w:rFonts w:cstheme="minorHAnsi"/>
        </w:rPr>
      </w:pPr>
      <w:r w:rsidRPr="008379D0">
        <w:rPr>
          <w:rFonts w:cstheme="minorHAnsi"/>
        </w:rPr>
        <w:t xml:space="preserve">The </w:t>
      </w:r>
      <w:r>
        <w:rPr>
          <w:rFonts w:cstheme="minorHAnsi"/>
        </w:rPr>
        <w:t>Operations Manager</w:t>
      </w:r>
      <w:r w:rsidRPr="008379D0">
        <w:rPr>
          <w:rFonts w:cstheme="minorHAnsi"/>
        </w:rPr>
        <w:t xml:space="preserve"> has delegated authority to remove dead or dying street trees in consultation with the Chief Executive Officer</w:t>
      </w:r>
      <w:r>
        <w:rPr>
          <w:rFonts w:cstheme="minorHAnsi"/>
        </w:rPr>
        <w:t xml:space="preserve"> - refer to DA64 &amp; DA65</w:t>
      </w:r>
      <w:r w:rsidRPr="008379D0">
        <w:rPr>
          <w:rFonts w:cstheme="minorHAnsi"/>
        </w:rPr>
        <w:t>.</w:t>
      </w:r>
    </w:p>
    <w:p w14:paraId="3368FD8F" w14:textId="77777777" w:rsidR="00FC6FDE" w:rsidRPr="008379D0" w:rsidRDefault="00FC6FDE" w:rsidP="00FC6FDE">
      <w:pPr>
        <w:spacing w:after="0"/>
        <w:ind w:left="426" w:hanging="426"/>
        <w:jc w:val="both"/>
        <w:rPr>
          <w:rFonts w:cstheme="minorHAnsi"/>
          <w:b/>
          <w:bCs/>
        </w:rPr>
      </w:pPr>
      <w:r>
        <w:rPr>
          <w:rFonts w:cstheme="minorHAnsi"/>
          <w:b/>
          <w:bCs/>
        </w:rPr>
        <w:t>2</w:t>
      </w:r>
      <w:r w:rsidRPr="008379D0">
        <w:rPr>
          <w:rFonts w:cstheme="minorHAnsi"/>
          <w:b/>
          <w:bCs/>
        </w:rPr>
        <w:t>.</w:t>
      </w:r>
      <w:r w:rsidRPr="008379D0">
        <w:rPr>
          <w:rFonts w:cstheme="minorHAnsi"/>
          <w:b/>
          <w:bCs/>
        </w:rPr>
        <w:tab/>
        <w:t>Pruning</w:t>
      </w:r>
      <w:r>
        <w:rPr>
          <w:rFonts w:cstheme="minorHAnsi"/>
          <w:b/>
          <w:bCs/>
        </w:rPr>
        <w:t xml:space="preserve"> (Maintenance)</w:t>
      </w:r>
    </w:p>
    <w:p w14:paraId="5DD42CAA" w14:textId="77777777" w:rsidR="00FC6FDE" w:rsidRPr="008379D0" w:rsidRDefault="00FC6FDE" w:rsidP="00FC6FDE">
      <w:pPr>
        <w:autoSpaceDE w:val="0"/>
        <w:autoSpaceDN w:val="0"/>
        <w:spacing w:line="240" w:lineRule="auto"/>
        <w:jc w:val="both"/>
        <w:rPr>
          <w:rFonts w:cstheme="minorHAnsi"/>
        </w:rPr>
      </w:pPr>
      <w:r w:rsidRPr="008379D0">
        <w:rPr>
          <w:rFonts w:cstheme="minorHAnsi"/>
        </w:rPr>
        <w:t>Council reserves the right to prune, plant,</w:t>
      </w:r>
      <w:r>
        <w:rPr>
          <w:rFonts w:cstheme="minorHAnsi"/>
        </w:rPr>
        <w:t xml:space="preserve"> or</w:t>
      </w:r>
      <w:r w:rsidRPr="008379D0">
        <w:rPr>
          <w:rFonts w:cstheme="minorHAnsi"/>
        </w:rPr>
        <w:t xml:space="preserve"> remove any tree or trees on its land</w:t>
      </w:r>
      <w:r>
        <w:rPr>
          <w:rFonts w:cstheme="minorHAnsi"/>
        </w:rPr>
        <w:t xml:space="preserve"> or within Council’s verge</w:t>
      </w:r>
      <w:r w:rsidRPr="008379D0">
        <w:rPr>
          <w:rFonts w:cstheme="minorHAnsi"/>
        </w:rPr>
        <w:t>, which it deems necessary.</w:t>
      </w:r>
    </w:p>
    <w:p w14:paraId="2FC26E2B" w14:textId="77777777" w:rsidR="00FC6FDE" w:rsidRDefault="00FC6FDE" w:rsidP="00FC6FDE">
      <w:pPr>
        <w:autoSpaceDE w:val="0"/>
        <w:autoSpaceDN w:val="0"/>
        <w:spacing w:line="240" w:lineRule="auto"/>
        <w:jc w:val="both"/>
        <w:rPr>
          <w:rFonts w:cstheme="minorHAnsi"/>
        </w:rPr>
      </w:pPr>
      <w:r w:rsidRPr="008379D0">
        <w:rPr>
          <w:rFonts w:cstheme="minorHAnsi"/>
        </w:rPr>
        <w:t xml:space="preserve">Pruning of </w:t>
      </w:r>
      <w:r>
        <w:rPr>
          <w:rFonts w:cstheme="minorHAnsi"/>
        </w:rPr>
        <w:t>verge</w:t>
      </w:r>
      <w:r w:rsidRPr="008379D0">
        <w:rPr>
          <w:rFonts w:cstheme="minorHAnsi"/>
        </w:rPr>
        <w:t xml:space="preserve"> trees will </w:t>
      </w:r>
      <w:r w:rsidRPr="00B049DB">
        <w:rPr>
          <w:rFonts w:cstheme="minorHAnsi"/>
        </w:rPr>
        <w:t xml:space="preserve">only be carried out by Council or Council’s contractor on those trees that cause an adverse impact to </w:t>
      </w:r>
      <w:proofErr w:type="gramStart"/>
      <w:r w:rsidRPr="00B049DB">
        <w:rPr>
          <w:rFonts w:cstheme="minorHAnsi"/>
        </w:rPr>
        <w:t>street lights</w:t>
      </w:r>
      <w:proofErr w:type="gramEnd"/>
      <w:r w:rsidRPr="008379D0">
        <w:rPr>
          <w:rFonts w:cstheme="minorHAnsi"/>
        </w:rPr>
        <w:t xml:space="preserve">, </w:t>
      </w:r>
      <w:r>
        <w:rPr>
          <w:rFonts w:cstheme="minorHAnsi"/>
        </w:rPr>
        <w:t>services</w:t>
      </w:r>
      <w:r w:rsidRPr="008379D0">
        <w:rPr>
          <w:rFonts w:cstheme="minorHAnsi"/>
        </w:rPr>
        <w:t xml:space="preserve">, </w:t>
      </w:r>
      <w:r>
        <w:rPr>
          <w:rFonts w:cstheme="minorHAnsi"/>
        </w:rPr>
        <w:t>traffic</w:t>
      </w:r>
      <w:r w:rsidRPr="008379D0">
        <w:rPr>
          <w:rFonts w:cstheme="minorHAnsi"/>
        </w:rPr>
        <w:t xml:space="preserve"> or </w:t>
      </w:r>
      <w:r>
        <w:rPr>
          <w:rFonts w:cstheme="minorHAnsi"/>
        </w:rPr>
        <w:t>create</w:t>
      </w:r>
      <w:r w:rsidRPr="008379D0">
        <w:rPr>
          <w:rFonts w:cstheme="minorHAnsi"/>
        </w:rPr>
        <w:t xml:space="preserve"> </w:t>
      </w:r>
      <w:r>
        <w:rPr>
          <w:rFonts w:cstheme="minorHAnsi"/>
        </w:rPr>
        <w:t>any type of pedestrian obstruction or safety impact</w:t>
      </w:r>
      <w:r w:rsidRPr="008379D0">
        <w:rPr>
          <w:rFonts w:cstheme="minorHAnsi"/>
        </w:rPr>
        <w:t>.</w:t>
      </w:r>
    </w:p>
    <w:p w14:paraId="51093D7D" w14:textId="77777777" w:rsidR="00FC6FDE" w:rsidRDefault="00FC6FDE" w:rsidP="00FC6FDE">
      <w:pPr>
        <w:autoSpaceDE w:val="0"/>
        <w:autoSpaceDN w:val="0"/>
        <w:spacing w:after="0" w:line="240" w:lineRule="auto"/>
        <w:ind w:left="709"/>
        <w:jc w:val="both"/>
        <w:rPr>
          <w:rFonts w:cstheme="minorHAnsi"/>
        </w:rPr>
      </w:pPr>
    </w:p>
    <w:tbl>
      <w:tblPr>
        <w:tblStyle w:val="TableGrid"/>
        <w:tblW w:w="0" w:type="auto"/>
        <w:tblLook w:val="04A0" w:firstRow="1" w:lastRow="0" w:firstColumn="1" w:lastColumn="0" w:noHBand="0" w:noVBand="1"/>
      </w:tblPr>
      <w:tblGrid>
        <w:gridCol w:w="3027"/>
        <w:gridCol w:w="5989"/>
      </w:tblGrid>
      <w:tr w:rsidR="00FC6FDE" w:rsidRPr="009F5ABD" w14:paraId="73F51828" w14:textId="77777777" w:rsidTr="00FD4C05">
        <w:tc>
          <w:tcPr>
            <w:tcW w:w="3027" w:type="dxa"/>
          </w:tcPr>
          <w:p w14:paraId="6A88C464" w14:textId="77777777" w:rsidR="00FC6FDE" w:rsidRPr="009F5ABD" w:rsidRDefault="00FC6FDE" w:rsidP="00FD4C05">
            <w:pPr>
              <w:jc w:val="both"/>
              <w:rPr>
                <w:rFonts w:cstheme="minorHAnsi"/>
                <w:b/>
                <w:lang w:val="en-US"/>
              </w:rPr>
            </w:pPr>
            <w:r w:rsidRPr="009F5ABD">
              <w:rPr>
                <w:rFonts w:cstheme="minorHAnsi"/>
                <w:b/>
                <w:lang w:val="en-US"/>
              </w:rPr>
              <w:t>Responsible Directorate:</w:t>
            </w:r>
          </w:p>
        </w:tc>
        <w:tc>
          <w:tcPr>
            <w:tcW w:w="5989" w:type="dxa"/>
          </w:tcPr>
          <w:p w14:paraId="1BE32452" w14:textId="77777777" w:rsidR="00FC6FDE" w:rsidRPr="009F5ABD" w:rsidRDefault="00FC6FDE" w:rsidP="00FD4C05">
            <w:pPr>
              <w:jc w:val="both"/>
              <w:rPr>
                <w:rFonts w:cstheme="minorHAnsi"/>
                <w:lang w:val="en-US"/>
              </w:rPr>
            </w:pPr>
            <w:r>
              <w:rPr>
                <w:rFonts w:cstheme="minorHAnsi"/>
                <w:lang w:val="en-US"/>
              </w:rPr>
              <w:t>Operations</w:t>
            </w:r>
          </w:p>
        </w:tc>
      </w:tr>
      <w:tr w:rsidR="00FC6FDE" w:rsidRPr="009F5ABD" w14:paraId="29F24453" w14:textId="77777777" w:rsidTr="00FD4C05">
        <w:tc>
          <w:tcPr>
            <w:tcW w:w="3027" w:type="dxa"/>
          </w:tcPr>
          <w:p w14:paraId="1CACA37B" w14:textId="77777777" w:rsidR="00FC6FDE" w:rsidRPr="009F5ABD" w:rsidRDefault="00FC6FDE" w:rsidP="00FD4C05">
            <w:pPr>
              <w:jc w:val="both"/>
              <w:rPr>
                <w:rFonts w:cstheme="minorHAnsi"/>
                <w:b/>
                <w:lang w:val="en-US"/>
              </w:rPr>
            </w:pPr>
            <w:r w:rsidRPr="009F5ABD">
              <w:rPr>
                <w:rFonts w:cstheme="minorHAnsi"/>
                <w:b/>
                <w:lang w:val="en-US"/>
              </w:rPr>
              <w:t>Reviewing Officer:</w:t>
            </w:r>
          </w:p>
        </w:tc>
        <w:tc>
          <w:tcPr>
            <w:tcW w:w="5989" w:type="dxa"/>
          </w:tcPr>
          <w:p w14:paraId="26085D5B" w14:textId="77777777" w:rsidR="00FC6FDE" w:rsidRPr="009F5ABD" w:rsidRDefault="00FC6FDE" w:rsidP="00FD4C05">
            <w:pPr>
              <w:jc w:val="both"/>
              <w:rPr>
                <w:rFonts w:cstheme="minorHAnsi"/>
                <w:lang w:val="en-US"/>
              </w:rPr>
            </w:pPr>
            <w:r>
              <w:rPr>
                <w:rFonts w:cstheme="minorHAnsi"/>
                <w:lang w:val="en-US"/>
              </w:rPr>
              <w:t>Operations Manager</w:t>
            </w:r>
          </w:p>
        </w:tc>
      </w:tr>
      <w:tr w:rsidR="00FC6FDE" w:rsidRPr="009F5ABD" w14:paraId="0DD3B4D6" w14:textId="77777777" w:rsidTr="00FD4C05">
        <w:tc>
          <w:tcPr>
            <w:tcW w:w="3027" w:type="dxa"/>
          </w:tcPr>
          <w:p w14:paraId="4E33FCF1" w14:textId="77777777" w:rsidR="00FC6FDE" w:rsidRPr="009F5ABD" w:rsidRDefault="00FC6FDE" w:rsidP="00FD4C05">
            <w:pPr>
              <w:jc w:val="both"/>
              <w:rPr>
                <w:rFonts w:cstheme="minorHAnsi"/>
                <w:b/>
                <w:lang w:val="en-US"/>
              </w:rPr>
            </w:pPr>
            <w:r w:rsidRPr="009F5ABD">
              <w:rPr>
                <w:rFonts w:cstheme="minorHAnsi"/>
                <w:b/>
                <w:lang w:val="en-US"/>
              </w:rPr>
              <w:t>Decision making Authority:</w:t>
            </w:r>
          </w:p>
        </w:tc>
        <w:tc>
          <w:tcPr>
            <w:tcW w:w="5989" w:type="dxa"/>
          </w:tcPr>
          <w:p w14:paraId="3B7B8CC2" w14:textId="77777777" w:rsidR="00FC6FDE" w:rsidRPr="009F5ABD" w:rsidRDefault="00FC6FDE" w:rsidP="00FD4C05">
            <w:pPr>
              <w:jc w:val="both"/>
              <w:rPr>
                <w:rFonts w:cstheme="minorHAnsi"/>
                <w:lang w:val="en-US"/>
              </w:rPr>
            </w:pPr>
            <w:r w:rsidRPr="009F5ABD">
              <w:rPr>
                <w:rFonts w:cstheme="minorHAnsi"/>
                <w:lang w:val="en-US"/>
              </w:rPr>
              <w:t>Council</w:t>
            </w:r>
          </w:p>
        </w:tc>
      </w:tr>
      <w:tr w:rsidR="00FC6FDE" w:rsidRPr="009F5ABD" w14:paraId="1D10F877" w14:textId="77777777" w:rsidTr="00FD4C05">
        <w:tc>
          <w:tcPr>
            <w:tcW w:w="3027" w:type="dxa"/>
          </w:tcPr>
          <w:p w14:paraId="0DCD3EBA" w14:textId="77777777" w:rsidR="00FC6FDE" w:rsidRPr="009F5ABD" w:rsidRDefault="00FC6FDE" w:rsidP="00FD4C05">
            <w:pPr>
              <w:jc w:val="both"/>
              <w:rPr>
                <w:rFonts w:cstheme="minorHAnsi"/>
                <w:b/>
                <w:lang w:val="en-US"/>
              </w:rPr>
            </w:pPr>
            <w:r w:rsidRPr="009F5ABD">
              <w:rPr>
                <w:rFonts w:cstheme="minorHAnsi"/>
                <w:b/>
                <w:lang w:val="en-US"/>
              </w:rPr>
              <w:t>Policy Adopted:</w:t>
            </w:r>
          </w:p>
        </w:tc>
        <w:tc>
          <w:tcPr>
            <w:tcW w:w="5989" w:type="dxa"/>
          </w:tcPr>
          <w:p w14:paraId="15EC15E7" w14:textId="77777777" w:rsidR="00FC6FDE" w:rsidRPr="009F5ABD" w:rsidRDefault="00FC6FDE" w:rsidP="00FC6FDE">
            <w:pPr>
              <w:jc w:val="both"/>
              <w:rPr>
                <w:rFonts w:cstheme="minorHAnsi"/>
                <w:lang w:val="en-US"/>
              </w:rPr>
            </w:pPr>
            <w:r>
              <w:rPr>
                <w:rFonts w:cstheme="minorHAnsi"/>
                <w:lang w:val="en-US"/>
              </w:rPr>
              <w:t>15/10/19</w:t>
            </w:r>
          </w:p>
        </w:tc>
      </w:tr>
      <w:tr w:rsidR="00FC6FDE" w:rsidRPr="009F5ABD" w14:paraId="35453FFF" w14:textId="77777777" w:rsidTr="00FD4C05">
        <w:tc>
          <w:tcPr>
            <w:tcW w:w="3027" w:type="dxa"/>
          </w:tcPr>
          <w:p w14:paraId="2F18B3E4" w14:textId="77777777" w:rsidR="00FC6FDE" w:rsidRPr="009F5ABD" w:rsidRDefault="00FC6FDE" w:rsidP="00FD4C05">
            <w:pPr>
              <w:jc w:val="both"/>
              <w:rPr>
                <w:rFonts w:cstheme="minorHAnsi"/>
                <w:b/>
                <w:lang w:val="en-US"/>
              </w:rPr>
            </w:pPr>
            <w:r w:rsidRPr="009F5ABD">
              <w:rPr>
                <w:rFonts w:cstheme="minorHAnsi"/>
                <w:b/>
                <w:lang w:val="en-US"/>
              </w:rPr>
              <w:t>Policy Amended</w:t>
            </w:r>
            <w:r>
              <w:rPr>
                <w:rFonts w:cstheme="minorHAnsi"/>
                <w:b/>
                <w:lang w:val="en-US"/>
              </w:rPr>
              <w:t>/Reviewed</w:t>
            </w:r>
            <w:r w:rsidRPr="009F5ABD">
              <w:rPr>
                <w:rFonts w:cstheme="minorHAnsi"/>
                <w:b/>
                <w:lang w:val="en-US"/>
              </w:rPr>
              <w:t>:</w:t>
            </w:r>
          </w:p>
        </w:tc>
        <w:tc>
          <w:tcPr>
            <w:tcW w:w="5989" w:type="dxa"/>
          </w:tcPr>
          <w:p w14:paraId="61B9F051" w14:textId="77777777" w:rsidR="00FC6FDE" w:rsidRPr="009F5ABD" w:rsidRDefault="00FC6FDE" w:rsidP="00FD4C05">
            <w:pPr>
              <w:jc w:val="both"/>
              <w:rPr>
                <w:rFonts w:cstheme="minorHAnsi"/>
                <w:lang w:val="en-US"/>
              </w:rPr>
            </w:pPr>
          </w:p>
        </w:tc>
      </w:tr>
    </w:tbl>
    <w:p w14:paraId="3CB4FB0B" w14:textId="77777777" w:rsidR="00FC6FDE" w:rsidRDefault="00FC6FDE" w:rsidP="00FC6FDE"/>
    <w:p w14:paraId="060FB3EF" w14:textId="77777777" w:rsidR="00510F7B" w:rsidRDefault="00510F7B">
      <w:pPr>
        <w:rPr>
          <w:rFonts w:cstheme="minorHAnsi"/>
          <w:lang w:val="en-US"/>
        </w:rPr>
      </w:pPr>
      <w:r>
        <w:rPr>
          <w:rFonts w:cstheme="minorHAnsi"/>
          <w:lang w:val="en-US"/>
        </w:rPr>
        <w:br w:type="page"/>
      </w:r>
    </w:p>
    <w:p w14:paraId="26BEF2B5" w14:textId="14B15DD2" w:rsidR="00003ACA" w:rsidRPr="009A67D4" w:rsidRDefault="00003ACA" w:rsidP="00003ACA">
      <w:pPr>
        <w:pStyle w:val="Title"/>
        <w:pBdr>
          <w:bottom w:val="none" w:sz="0" w:space="0" w:color="auto"/>
        </w:pBdr>
        <w:spacing w:after="240"/>
        <w:jc w:val="right"/>
        <w:rPr>
          <w:rFonts w:ascii="Arial" w:hAnsi="Arial" w:cs="Arial"/>
          <w:b/>
          <w:sz w:val="28"/>
          <w:szCs w:val="28"/>
        </w:rPr>
      </w:pPr>
      <w:r>
        <w:rPr>
          <w:noProof/>
        </w:rPr>
        <w:lastRenderedPageBreak/>
        <w:drawing>
          <wp:inline distT="0" distB="0" distL="0" distR="0" wp14:anchorId="6678F6E3" wp14:editId="7368F2F7">
            <wp:extent cx="1569085" cy="63052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99821" cy="642871"/>
                    </a:xfrm>
                    <a:prstGeom prst="rect">
                      <a:avLst/>
                    </a:prstGeom>
                    <a:noFill/>
                    <a:ln>
                      <a:noFill/>
                    </a:ln>
                  </pic:spPr>
                </pic:pic>
              </a:graphicData>
            </a:graphic>
          </wp:inline>
        </w:drawing>
      </w:r>
    </w:p>
    <w:p w14:paraId="0671DB6E" w14:textId="77777777" w:rsidR="00003ACA" w:rsidRPr="009A67D4" w:rsidRDefault="00003ACA" w:rsidP="00003ACA">
      <w:pPr>
        <w:pStyle w:val="Title"/>
        <w:pBdr>
          <w:bottom w:val="none" w:sz="0" w:space="0" w:color="auto"/>
        </w:pBdr>
        <w:spacing w:before="240" w:after="240"/>
        <w:rPr>
          <w:rFonts w:ascii="Arial" w:hAnsi="Arial" w:cs="Arial"/>
          <w:b/>
          <w:sz w:val="28"/>
          <w:szCs w:val="28"/>
        </w:rPr>
      </w:pPr>
    </w:p>
    <w:p w14:paraId="58FBBDFC" w14:textId="77777777" w:rsidR="00003ACA" w:rsidRPr="00FD55D7" w:rsidRDefault="00003ACA" w:rsidP="00BB7742">
      <w:pPr>
        <w:pStyle w:val="Policy3"/>
      </w:pPr>
      <w:bookmarkStart w:id="588" w:name="_Toc216866737"/>
      <w:r w:rsidRPr="00FD55D7">
        <w:t>4.2.2</w:t>
      </w:r>
      <w:r w:rsidRPr="00FD55D7">
        <w:tab/>
        <w:t>Foreshore Dinghy Management</w:t>
      </w:r>
      <w:bookmarkEnd w:id="588"/>
      <w:r w:rsidRPr="00FD55D7">
        <w:t xml:space="preserve"> </w:t>
      </w:r>
    </w:p>
    <w:tbl>
      <w:tblPr>
        <w:tblStyle w:val="TableGrid"/>
        <w:tblW w:w="0" w:type="auto"/>
        <w:tblLook w:val="04A0" w:firstRow="1" w:lastRow="0" w:firstColumn="1" w:lastColumn="0" w:noHBand="0" w:noVBand="1"/>
      </w:tblPr>
      <w:tblGrid>
        <w:gridCol w:w="3033"/>
        <w:gridCol w:w="5983"/>
      </w:tblGrid>
      <w:tr w:rsidR="00003ACA" w:rsidRPr="00B16EBD" w14:paraId="62659292" w14:textId="77777777" w:rsidTr="007E0F07">
        <w:tc>
          <w:tcPr>
            <w:tcW w:w="3033" w:type="dxa"/>
          </w:tcPr>
          <w:p w14:paraId="4CB46123" w14:textId="77777777" w:rsidR="00003ACA" w:rsidRPr="00B16EBD" w:rsidRDefault="00003ACA" w:rsidP="007E0F07">
            <w:pPr>
              <w:rPr>
                <w:rFonts w:cstheme="minorHAnsi"/>
                <w:b/>
              </w:rPr>
            </w:pPr>
            <w:r w:rsidRPr="00B16EBD">
              <w:rPr>
                <w:rFonts w:cstheme="minorHAnsi"/>
                <w:b/>
              </w:rPr>
              <w:t>Type:</w:t>
            </w:r>
          </w:p>
        </w:tc>
        <w:tc>
          <w:tcPr>
            <w:tcW w:w="5983" w:type="dxa"/>
          </w:tcPr>
          <w:p w14:paraId="3EFF4778" w14:textId="77777777" w:rsidR="00003ACA" w:rsidRPr="00B16EBD" w:rsidRDefault="00003ACA" w:rsidP="007E0F07">
            <w:pPr>
              <w:rPr>
                <w:rFonts w:cstheme="minorHAnsi"/>
              </w:rPr>
            </w:pPr>
            <w:r>
              <w:rPr>
                <w:rFonts w:cstheme="minorHAnsi"/>
              </w:rPr>
              <w:t>Operations – Parks &amp; Reserves</w:t>
            </w:r>
          </w:p>
        </w:tc>
      </w:tr>
      <w:tr w:rsidR="00003ACA" w:rsidRPr="00B16EBD" w14:paraId="7FCEA612" w14:textId="77777777" w:rsidTr="007E0F07">
        <w:tc>
          <w:tcPr>
            <w:tcW w:w="3033" w:type="dxa"/>
          </w:tcPr>
          <w:p w14:paraId="6DB4CBEB" w14:textId="77777777" w:rsidR="00003ACA" w:rsidRPr="00B16EBD" w:rsidRDefault="00003ACA" w:rsidP="007E0F07">
            <w:pPr>
              <w:rPr>
                <w:rFonts w:cstheme="minorHAnsi"/>
                <w:b/>
              </w:rPr>
            </w:pPr>
            <w:r w:rsidRPr="00B16EBD">
              <w:rPr>
                <w:rFonts w:cstheme="minorHAnsi"/>
                <w:b/>
              </w:rPr>
              <w:t>Legislation:</w:t>
            </w:r>
          </w:p>
        </w:tc>
        <w:tc>
          <w:tcPr>
            <w:tcW w:w="5983" w:type="dxa"/>
          </w:tcPr>
          <w:p w14:paraId="4BFFF141" w14:textId="77777777" w:rsidR="00003ACA" w:rsidRPr="00B16EBD" w:rsidRDefault="00003ACA" w:rsidP="007E0F07">
            <w:pPr>
              <w:rPr>
                <w:rFonts w:cstheme="minorHAnsi"/>
              </w:rPr>
            </w:pPr>
            <w:r w:rsidRPr="00B16EBD">
              <w:rPr>
                <w:rFonts w:cstheme="minorHAnsi"/>
              </w:rPr>
              <w:t>Swan and Canning Rivers Management Act 2006</w:t>
            </w:r>
          </w:p>
          <w:p w14:paraId="34D72042" w14:textId="77777777" w:rsidR="00003ACA" w:rsidRPr="00B16EBD" w:rsidRDefault="00003ACA" w:rsidP="007E0F07">
            <w:pPr>
              <w:rPr>
                <w:rFonts w:cstheme="minorHAnsi"/>
              </w:rPr>
            </w:pPr>
            <w:r w:rsidRPr="00B16EBD">
              <w:rPr>
                <w:rFonts w:cstheme="minorHAnsi"/>
              </w:rPr>
              <w:t>Swan and Canning Rivers Management Regulations 2007</w:t>
            </w:r>
          </w:p>
          <w:p w14:paraId="3BFD4F0E" w14:textId="77777777" w:rsidR="00003ACA" w:rsidRPr="00B16EBD" w:rsidRDefault="00003ACA" w:rsidP="007E0F07">
            <w:pPr>
              <w:rPr>
                <w:rFonts w:cstheme="minorHAnsi"/>
              </w:rPr>
            </w:pPr>
            <w:bookmarkStart w:id="589" w:name="_Hlk67473540"/>
            <w:r w:rsidRPr="00B16EBD">
              <w:rPr>
                <w:rFonts w:cstheme="minorHAnsi"/>
              </w:rPr>
              <w:t>Corporate Policy Statement No. 45 - Planning for miscellaneous structures and facilities in the Swan Canning Development Control Area (June 2016)</w:t>
            </w:r>
            <w:bookmarkEnd w:id="589"/>
          </w:p>
        </w:tc>
      </w:tr>
      <w:tr w:rsidR="00003ACA" w:rsidRPr="00B16EBD" w14:paraId="2BC741A3" w14:textId="77777777" w:rsidTr="007E0F07">
        <w:tc>
          <w:tcPr>
            <w:tcW w:w="3033" w:type="dxa"/>
          </w:tcPr>
          <w:p w14:paraId="35C60683" w14:textId="77777777" w:rsidR="00003ACA" w:rsidRPr="00B16EBD" w:rsidRDefault="00003ACA" w:rsidP="007E0F07">
            <w:pPr>
              <w:rPr>
                <w:rFonts w:cstheme="minorHAnsi"/>
                <w:b/>
              </w:rPr>
            </w:pPr>
            <w:r w:rsidRPr="00B16EBD">
              <w:rPr>
                <w:rFonts w:cstheme="minorHAnsi"/>
                <w:b/>
              </w:rPr>
              <w:t>Delegation:</w:t>
            </w:r>
          </w:p>
        </w:tc>
        <w:tc>
          <w:tcPr>
            <w:tcW w:w="5983" w:type="dxa"/>
          </w:tcPr>
          <w:p w14:paraId="08F4A0BE" w14:textId="77777777" w:rsidR="00003ACA" w:rsidRPr="00B16EBD" w:rsidRDefault="00003ACA" w:rsidP="007E0F07">
            <w:pPr>
              <w:rPr>
                <w:rFonts w:cstheme="minorHAnsi"/>
              </w:rPr>
            </w:pPr>
            <w:r>
              <w:rPr>
                <w:rFonts w:ascii="Calibri" w:hAnsi="Calibri" w:cs="Calibri"/>
              </w:rPr>
              <w:t>DA66 Authorisation to Approve the Storage of and Remove Dinghies from Foreshore</w:t>
            </w:r>
          </w:p>
        </w:tc>
      </w:tr>
      <w:tr w:rsidR="00003ACA" w:rsidRPr="00B16EBD" w14:paraId="141C4CB4" w14:textId="77777777" w:rsidTr="007E0F07">
        <w:tc>
          <w:tcPr>
            <w:tcW w:w="3033" w:type="dxa"/>
          </w:tcPr>
          <w:p w14:paraId="162DCEED" w14:textId="77777777" w:rsidR="00003ACA" w:rsidRPr="00B16EBD" w:rsidRDefault="00003ACA" w:rsidP="007E0F07">
            <w:pPr>
              <w:rPr>
                <w:rFonts w:cstheme="minorHAnsi"/>
                <w:b/>
              </w:rPr>
            </w:pPr>
            <w:r w:rsidRPr="00B16EBD">
              <w:rPr>
                <w:rFonts w:cstheme="minorHAnsi"/>
                <w:b/>
              </w:rPr>
              <w:t>Other Related Document:</w:t>
            </w:r>
          </w:p>
        </w:tc>
        <w:tc>
          <w:tcPr>
            <w:tcW w:w="5983" w:type="dxa"/>
          </w:tcPr>
          <w:p w14:paraId="7668233A" w14:textId="77777777" w:rsidR="00003ACA" w:rsidRPr="00B16EBD" w:rsidRDefault="00003ACA" w:rsidP="007E0F07">
            <w:pPr>
              <w:jc w:val="both"/>
              <w:rPr>
                <w:rFonts w:cstheme="minorHAnsi"/>
              </w:rPr>
            </w:pPr>
            <w:r w:rsidRPr="00B16EBD">
              <w:rPr>
                <w:rFonts w:cstheme="minorHAnsi"/>
              </w:rPr>
              <w:t>Town of East Fremantle Fees and Charges</w:t>
            </w:r>
          </w:p>
        </w:tc>
      </w:tr>
    </w:tbl>
    <w:p w14:paraId="1CB746C5" w14:textId="77777777" w:rsidR="00003ACA" w:rsidRPr="00B16EBD" w:rsidRDefault="00003ACA" w:rsidP="00003ACA">
      <w:pPr>
        <w:pStyle w:val="Heading1"/>
        <w:spacing w:before="240" w:after="60" w:line="240" w:lineRule="auto"/>
        <w:rPr>
          <w:rFonts w:asciiTheme="minorHAnsi" w:hAnsiTheme="minorHAnsi" w:cstheme="minorHAnsi"/>
          <w:color w:val="auto"/>
        </w:rPr>
      </w:pPr>
      <w:r w:rsidRPr="00B16EBD">
        <w:rPr>
          <w:rFonts w:asciiTheme="minorHAnsi" w:hAnsiTheme="minorHAnsi" w:cstheme="minorHAnsi"/>
          <w:color w:val="auto"/>
        </w:rPr>
        <w:t xml:space="preserve">Introduction </w:t>
      </w:r>
    </w:p>
    <w:p w14:paraId="3E22C1F1" w14:textId="77777777" w:rsidR="00003ACA" w:rsidRPr="00B16EBD" w:rsidRDefault="00003ACA" w:rsidP="00003ACA">
      <w:pPr>
        <w:spacing w:after="0" w:line="240" w:lineRule="auto"/>
        <w:jc w:val="both"/>
        <w:rPr>
          <w:rFonts w:cstheme="minorHAnsi"/>
        </w:rPr>
      </w:pPr>
      <w:r w:rsidRPr="00B16EBD">
        <w:rPr>
          <w:rFonts w:cstheme="minorHAnsi"/>
        </w:rPr>
        <w:t>The administration of dinghy storage in the Swan Canning Riverpark is the responsibility of the Department of Biodiversity, Conservation and Attractions - Parks and Wildlife Service or other agencies as identified.</w:t>
      </w:r>
    </w:p>
    <w:p w14:paraId="5677143D" w14:textId="77777777" w:rsidR="00003ACA" w:rsidRPr="00B16EBD" w:rsidRDefault="00003ACA" w:rsidP="00003ACA">
      <w:pPr>
        <w:spacing w:before="120" w:after="0" w:line="240" w:lineRule="auto"/>
        <w:jc w:val="both"/>
        <w:rPr>
          <w:rFonts w:cstheme="minorHAnsi"/>
        </w:rPr>
      </w:pPr>
      <w:r w:rsidRPr="00B16EBD">
        <w:rPr>
          <w:rFonts w:cstheme="minorHAnsi"/>
        </w:rPr>
        <w:t>While the informal storage of private dinghies on foreshore areas is a common practice it should be noted that there are no general rights to store dinghies on public lands.</w:t>
      </w:r>
    </w:p>
    <w:p w14:paraId="31505243" w14:textId="77777777" w:rsidR="00003ACA" w:rsidRPr="00B16EBD" w:rsidRDefault="00003ACA" w:rsidP="00003ACA">
      <w:pPr>
        <w:spacing w:before="120" w:after="0" w:line="240" w:lineRule="auto"/>
        <w:jc w:val="both"/>
        <w:rPr>
          <w:rFonts w:cstheme="minorHAnsi"/>
        </w:rPr>
      </w:pPr>
      <w:r w:rsidRPr="00B16EBD">
        <w:rPr>
          <w:rFonts w:cstheme="minorHAnsi"/>
        </w:rPr>
        <w:t xml:space="preserve">Regulation 22A of the Swan and Canning Rivers Management Regulations 2007 states that a person must not leave a vessel unattended for 8 hours or more above the </w:t>
      </w:r>
      <w:proofErr w:type="gramStart"/>
      <w:r w:rsidRPr="00B16EBD">
        <w:rPr>
          <w:rFonts w:cstheme="minorHAnsi"/>
        </w:rPr>
        <w:t>high water</w:t>
      </w:r>
      <w:proofErr w:type="gramEnd"/>
      <w:r w:rsidRPr="00B16EBD">
        <w:rPr>
          <w:rFonts w:cstheme="minorHAnsi"/>
        </w:rPr>
        <w:t xml:space="preserve"> mark, unless the vessel is stored in a facility approved for that purpose. This Policy is developed in response to the Department of Biodiversity, Conservation and Attractions Corporate Policy Statement No. 45 - Planning for miscellaneous structures and facilities in the Swan Canning Development Control Area (June 2016) which supports the development of dinghy storage facilities where:</w:t>
      </w:r>
    </w:p>
    <w:p w14:paraId="71708F9B" w14:textId="77777777" w:rsidR="00003ACA" w:rsidRPr="00B16EBD" w:rsidRDefault="00003ACA" w:rsidP="002A3889">
      <w:pPr>
        <w:pStyle w:val="ListParagraph"/>
        <w:numPr>
          <w:ilvl w:val="0"/>
          <w:numId w:val="390"/>
        </w:numPr>
        <w:spacing w:before="120" w:after="0" w:line="240" w:lineRule="auto"/>
        <w:contextualSpacing w:val="0"/>
        <w:jc w:val="both"/>
        <w:rPr>
          <w:rFonts w:cstheme="minorHAnsi"/>
        </w:rPr>
      </w:pPr>
      <w:r w:rsidRPr="00B16EBD">
        <w:rPr>
          <w:rFonts w:cstheme="minorHAnsi"/>
        </w:rPr>
        <w:t xml:space="preserve">there are limited opportunities to provide launching </w:t>
      </w:r>
      <w:proofErr w:type="gramStart"/>
      <w:r w:rsidRPr="00B16EBD">
        <w:rPr>
          <w:rFonts w:cstheme="minorHAnsi"/>
        </w:rPr>
        <w:t>facilities;</w:t>
      </w:r>
      <w:proofErr w:type="gramEnd"/>
    </w:p>
    <w:p w14:paraId="06422127" w14:textId="77777777" w:rsidR="00003ACA" w:rsidRPr="00B16EBD" w:rsidRDefault="00003ACA" w:rsidP="002A3889">
      <w:pPr>
        <w:pStyle w:val="ListParagraph"/>
        <w:numPr>
          <w:ilvl w:val="0"/>
          <w:numId w:val="390"/>
        </w:numPr>
        <w:spacing w:before="60" w:after="0" w:line="240" w:lineRule="auto"/>
        <w:contextualSpacing w:val="0"/>
        <w:jc w:val="both"/>
        <w:rPr>
          <w:rFonts w:cstheme="minorHAnsi"/>
        </w:rPr>
      </w:pPr>
      <w:r w:rsidRPr="00B16EBD">
        <w:rPr>
          <w:rFonts w:cstheme="minorHAnsi"/>
        </w:rPr>
        <w:t>they are not the predominant use on the foreshore; and</w:t>
      </w:r>
    </w:p>
    <w:p w14:paraId="31FE81C0" w14:textId="77777777" w:rsidR="00003ACA" w:rsidRPr="00B16EBD" w:rsidRDefault="00003ACA" w:rsidP="002A3889">
      <w:pPr>
        <w:pStyle w:val="ListParagraph"/>
        <w:numPr>
          <w:ilvl w:val="0"/>
          <w:numId w:val="390"/>
        </w:numPr>
        <w:spacing w:before="60" w:after="0" w:line="240" w:lineRule="auto"/>
        <w:contextualSpacing w:val="0"/>
        <w:jc w:val="both"/>
        <w:rPr>
          <w:rFonts w:cstheme="minorHAnsi"/>
        </w:rPr>
      </w:pPr>
      <w:r w:rsidRPr="00B16EBD">
        <w:rPr>
          <w:rFonts w:cstheme="minorHAnsi"/>
        </w:rPr>
        <w:t>they do not unacceptably restrict public access, have unmanageable ecological impacts or unreasonably affect the amenity of an area.</w:t>
      </w:r>
    </w:p>
    <w:p w14:paraId="0BC47F84" w14:textId="77777777" w:rsidR="00003ACA" w:rsidRPr="00B16EBD" w:rsidRDefault="00003ACA" w:rsidP="00003ACA">
      <w:pPr>
        <w:pStyle w:val="Heading1"/>
        <w:spacing w:before="200" w:line="240" w:lineRule="auto"/>
        <w:rPr>
          <w:rFonts w:asciiTheme="minorHAnsi" w:hAnsiTheme="minorHAnsi" w:cstheme="minorHAnsi"/>
          <w:color w:val="auto"/>
        </w:rPr>
      </w:pPr>
      <w:r w:rsidRPr="00B16EBD">
        <w:rPr>
          <w:rFonts w:asciiTheme="minorHAnsi" w:hAnsiTheme="minorHAnsi" w:cstheme="minorHAnsi"/>
          <w:color w:val="auto"/>
        </w:rPr>
        <w:t>Objective</w:t>
      </w:r>
    </w:p>
    <w:p w14:paraId="0C5C997D" w14:textId="77777777" w:rsidR="00003ACA" w:rsidRPr="00B16EBD" w:rsidRDefault="00003ACA" w:rsidP="002A3889">
      <w:pPr>
        <w:pStyle w:val="ListParagraph"/>
        <w:numPr>
          <w:ilvl w:val="0"/>
          <w:numId w:val="389"/>
        </w:numPr>
        <w:spacing w:before="60" w:after="0" w:line="240" w:lineRule="auto"/>
        <w:ind w:left="426" w:hanging="426"/>
        <w:contextualSpacing w:val="0"/>
        <w:jc w:val="both"/>
        <w:rPr>
          <w:rFonts w:cstheme="minorHAnsi"/>
        </w:rPr>
      </w:pPr>
      <w:r w:rsidRPr="00B16EBD">
        <w:rPr>
          <w:rFonts w:cstheme="minorHAnsi"/>
        </w:rPr>
        <w:t>To provide for the management and storage of dinghies along the foreshore within the Town of East Fremantle.</w:t>
      </w:r>
    </w:p>
    <w:p w14:paraId="5778FC2B" w14:textId="77777777" w:rsidR="00003ACA" w:rsidRPr="00B16EBD" w:rsidRDefault="00003ACA" w:rsidP="002A3889">
      <w:pPr>
        <w:pStyle w:val="ListParagraph"/>
        <w:numPr>
          <w:ilvl w:val="0"/>
          <w:numId w:val="389"/>
        </w:numPr>
        <w:spacing w:before="120" w:after="0" w:line="240" w:lineRule="auto"/>
        <w:ind w:left="426" w:hanging="426"/>
        <w:contextualSpacing w:val="0"/>
        <w:jc w:val="both"/>
        <w:rPr>
          <w:rFonts w:cstheme="minorHAnsi"/>
        </w:rPr>
      </w:pPr>
      <w:r w:rsidRPr="00B16EBD">
        <w:rPr>
          <w:rFonts w:cstheme="minorHAnsi"/>
        </w:rPr>
        <w:t xml:space="preserve">To maintain and improve public safety, access and amenity at the river foreshore </w:t>
      </w:r>
      <w:proofErr w:type="gramStart"/>
      <w:r w:rsidRPr="00B16EBD">
        <w:rPr>
          <w:rFonts w:cstheme="minorHAnsi"/>
        </w:rPr>
        <w:t>with regard to</w:t>
      </w:r>
      <w:proofErr w:type="gramEnd"/>
      <w:r w:rsidRPr="00B16EBD">
        <w:rPr>
          <w:rFonts w:cstheme="minorHAnsi"/>
        </w:rPr>
        <w:t xml:space="preserve"> the management of dinghy storage by proposing locations with minimal impact on other users.</w:t>
      </w:r>
    </w:p>
    <w:p w14:paraId="576EDA75" w14:textId="77777777" w:rsidR="00003ACA" w:rsidRPr="00B16EBD" w:rsidRDefault="00003ACA" w:rsidP="002A3889">
      <w:pPr>
        <w:pStyle w:val="ListParagraph"/>
        <w:numPr>
          <w:ilvl w:val="0"/>
          <w:numId w:val="389"/>
        </w:numPr>
        <w:spacing w:before="120" w:after="0" w:line="240" w:lineRule="auto"/>
        <w:ind w:left="426" w:hanging="426"/>
        <w:contextualSpacing w:val="0"/>
        <w:jc w:val="both"/>
        <w:rPr>
          <w:rFonts w:cstheme="minorHAnsi"/>
        </w:rPr>
      </w:pPr>
      <w:r w:rsidRPr="00B16EBD">
        <w:rPr>
          <w:rFonts w:cstheme="minorHAnsi"/>
        </w:rPr>
        <w:t>To further protect and enhance the amenity and ecological value of the foreshore by installing adequate infrastructure and requiring registered dinghy owners to tend to their vessel’s upkeep.</w:t>
      </w:r>
    </w:p>
    <w:p w14:paraId="52BF965D" w14:textId="77777777" w:rsidR="00003ACA" w:rsidRPr="00B16EBD" w:rsidRDefault="00003ACA" w:rsidP="00003ACA">
      <w:pPr>
        <w:pStyle w:val="Heading1"/>
        <w:spacing w:before="240" w:line="240" w:lineRule="auto"/>
        <w:jc w:val="both"/>
        <w:rPr>
          <w:rFonts w:asciiTheme="minorHAnsi" w:hAnsiTheme="minorHAnsi" w:cstheme="minorHAnsi"/>
          <w:color w:val="auto"/>
        </w:rPr>
      </w:pPr>
      <w:r w:rsidRPr="00B16EBD">
        <w:rPr>
          <w:rFonts w:asciiTheme="minorHAnsi" w:hAnsiTheme="minorHAnsi" w:cstheme="minorHAnsi"/>
          <w:color w:val="auto"/>
        </w:rPr>
        <w:t>Policy Scope</w:t>
      </w:r>
    </w:p>
    <w:p w14:paraId="1AF86227" w14:textId="77777777" w:rsidR="00003ACA" w:rsidRPr="00B16EBD" w:rsidRDefault="00003ACA" w:rsidP="00003ACA">
      <w:pPr>
        <w:spacing w:before="60" w:after="0" w:line="240" w:lineRule="auto"/>
        <w:jc w:val="both"/>
        <w:rPr>
          <w:rFonts w:cstheme="minorHAnsi"/>
        </w:rPr>
      </w:pPr>
      <w:r w:rsidRPr="00B16EBD">
        <w:rPr>
          <w:rFonts w:cstheme="minorHAnsi"/>
        </w:rPr>
        <w:t>This policy applies to all persons, organisations or others seeking to store or tether a dinghy, canoe, ski, board, tender type vessel, coracle or any waterborne craft on the river foreshore areas that fall within the jurisdiction of the Town of East Fremantle.</w:t>
      </w:r>
    </w:p>
    <w:p w14:paraId="45DA2904" w14:textId="77777777" w:rsidR="00003ACA" w:rsidRPr="00B16EBD" w:rsidRDefault="00003ACA" w:rsidP="00003ACA">
      <w:pPr>
        <w:spacing w:before="120" w:after="0" w:line="240" w:lineRule="auto"/>
        <w:jc w:val="both"/>
        <w:rPr>
          <w:rFonts w:cstheme="minorHAnsi"/>
        </w:rPr>
      </w:pPr>
      <w:r w:rsidRPr="00B16EBD">
        <w:rPr>
          <w:rFonts w:cstheme="minorHAnsi"/>
        </w:rPr>
        <w:lastRenderedPageBreak/>
        <w:t>Storage bays for dinghies are available by application to the Town of East Fremantle and the payment of an annual fee to balance the costs of implementing, administering and maintaining the system and infrastructure. Preference will be given to licensed mooring holders in the East Fremantle area, followed by East Fremantle residents, and then other members of the community/surrounding suburbs. A waitlist will be maintained where the Town is oversubscribed for storage facilities.</w:t>
      </w:r>
    </w:p>
    <w:p w14:paraId="5D6456CB" w14:textId="77777777" w:rsidR="00003ACA" w:rsidRPr="00B16EBD" w:rsidRDefault="00003ACA" w:rsidP="00003ACA">
      <w:pPr>
        <w:spacing w:before="120" w:after="0" w:line="240" w:lineRule="auto"/>
        <w:jc w:val="both"/>
        <w:rPr>
          <w:rFonts w:cstheme="minorHAnsi"/>
        </w:rPr>
      </w:pPr>
      <w:r w:rsidRPr="00B16EBD">
        <w:rPr>
          <w:rFonts w:cstheme="minorHAnsi"/>
        </w:rPr>
        <w:t xml:space="preserve">The Town will undertake ongoing monitoring </w:t>
      </w:r>
      <w:r>
        <w:rPr>
          <w:rFonts w:cstheme="minorHAnsi"/>
        </w:rPr>
        <w:t xml:space="preserve">and maintenance </w:t>
      </w:r>
      <w:r w:rsidRPr="00B16EBD">
        <w:rPr>
          <w:rFonts w:cstheme="minorHAnsi"/>
        </w:rPr>
        <w:t>of the facility area to ensure that the potential increase in pedestrian traffic and activity at the location does not adversely impact the foreshore area.</w:t>
      </w:r>
    </w:p>
    <w:p w14:paraId="6D628981" w14:textId="77777777" w:rsidR="00003ACA" w:rsidRPr="00B16EBD" w:rsidRDefault="00003ACA" w:rsidP="00003ACA">
      <w:pPr>
        <w:pStyle w:val="Heading1"/>
        <w:spacing w:before="200" w:line="240" w:lineRule="auto"/>
        <w:jc w:val="both"/>
        <w:rPr>
          <w:rFonts w:asciiTheme="minorHAnsi" w:hAnsiTheme="minorHAnsi" w:cstheme="minorHAnsi"/>
          <w:color w:val="auto"/>
        </w:rPr>
      </w:pPr>
      <w:r w:rsidRPr="00B16EBD">
        <w:rPr>
          <w:rFonts w:asciiTheme="minorHAnsi" w:hAnsiTheme="minorHAnsi" w:cstheme="minorHAnsi"/>
          <w:color w:val="auto"/>
        </w:rPr>
        <w:t>Definitions</w:t>
      </w:r>
    </w:p>
    <w:p w14:paraId="7841F8F2" w14:textId="77777777" w:rsidR="00003ACA" w:rsidRPr="00B16EBD" w:rsidRDefault="00003ACA" w:rsidP="00003ACA">
      <w:pPr>
        <w:spacing w:before="120" w:after="0" w:line="240" w:lineRule="auto"/>
        <w:ind w:left="2410" w:hanging="2410"/>
        <w:jc w:val="both"/>
        <w:rPr>
          <w:rFonts w:cstheme="minorHAnsi"/>
        </w:rPr>
      </w:pPr>
      <w:r w:rsidRPr="00B16EBD">
        <w:rPr>
          <w:rFonts w:cstheme="minorHAnsi"/>
          <w:b/>
        </w:rPr>
        <w:t>DBCA:</w:t>
      </w:r>
      <w:r w:rsidRPr="00B16EBD">
        <w:rPr>
          <w:rFonts w:cstheme="minorHAnsi"/>
        </w:rPr>
        <w:t xml:space="preserve"> </w:t>
      </w:r>
      <w:r w:rsidRPr="00B16EBD">
        <w:rPr>
          <w:rFonts w:cstheme="minorHAnsi"/>
        </w:rPr>
        <w:tab/>
        <w:t xml:space="preserve">Department of Biodiversity, Conservation and Attractions. </w:t>
      </w:r>
    </w:p>
    <w:p w14:paraId="15F84916" w14:textId="77777777" w:rsidR="00003ACA" w:rsidRPr="00B16EBD" w:rsidRDefault="00003ACA" w:rsidP="00003ACA">
      <w:pPr>
        <w:spacing w:before="120" w:after="0" w:line="240" w:lineRule="auto"/>
        <w:ind w:left="2410" w:hanging="2410"/>
        <w:jc w:val="both"/>
        <w:rPr>
          <w:rFonts w:cstheme="minorHAnsi"/>
        </w:rPr>
      </w:pPr>
      <w:r w:rsidRPr="00B16EBD">
        <w:rPr>
          <w:rFonts w:cstheme="minorHAnsi"/>
          <w:b/>
        </w:rPr>
        <w:t>Dinghy:</w:t>
      </w:r>
      <w:r w:rsidRPr="00B16EBD">
        <w:rPr>
          <w:rFonts w:cstheme="minorHAnsi"/>
        </w:rPr>
        <w:t xml:space="preserve"> </w:t>
      </w:r>
      <w:r w:rsidRPr="00B16EBD">
        <w:rPr>
          <w:rFonts w:cstheme="minorHAnsi"/>
        </w:rPr>
        <w:tab/>
        <w:t xml:space="preserve">A single hull watercraft no longer than 3.5m in length. </w:t>
      </w:r>
    </w:p>
    <w:p w14:paraId="71189D7E" w14:textId="77777777" w:rsidR="00003ACA" w:rsidRPr="00B16EBD" w:rsidRDefault="00003ACA" w:rsidP="00003ACA">
      <w:pPr>
        <w:spacing w:before="120" w:after="0" w:line="240" w:lineRule="auto"/>
        <w:ind w:left="2410" w:hanging="2410"/>
        <w:jc w:val="both"/>
        <w:rPr>
          <w:rFonts w:cstheme="minorHAnsi"/>
        </w:rPr>
      </w:pPr>
      <w:r w:rsidRPr="00B16EBD">
        <w:rPr>
          <w:rFonts w:cstheme="minorHAnsi"/>
          <w:b/>
        </w:rPr>
        <w:t>Dinghy storage area:</w:t>
      </w:r>
      <w:r w:rsidRPr="00B16EBD">
        <w:rPr>
          <w:rFonts w:cstheme="minorHAnsi"/>
        </w:rPr>
        <w:t xml:space="preserve"> </w:t>
      </w:r>
      <w:r w:rsidRPr="00B16EBD">
        <w:rPr>
          <w:rFonts w:cstheme="minorHAnsi"/>
        </w:rPr>
        <w:tab/>
        <w:t xml:space="preserve">Defined area where </w:t>
      </w:r>
      <w:proofErr w:type="gramStart"/>
      <w:r w:rsidRPr="00B16EBD">
        <w:rPr>
          <w:rFonts w:cstheme="minorHAnsi"/>
        </w:rPr>
        <w:t>water craft</w:t>
      </w:r>
      <w:proofErr w:type="gramEnd"/>
      <w:r w:rsidRPr="00B16EBD">
        <w:rPr>
          <w:rFonts w:cstheme="minorHAnsi"/>
        </w:rPr>
        <w:t xml:space="preserve"> are permitted to be stored. Dinghy storage areas may, or may not, be provided with a constructed storage facility. </w:t>
      </w:r>
    </w:p>
    <w:p w14:paraId="585ED612" w14:textId="77777777" w:rsidR="00003ACA" w:rsidRPr="00B16EBD" w:rsidRDefault="00003ACA" w:rsidP="00003ACA">
      <w:pPr>
        <w:spacing w:before="120" w:after="0" w:line="240" w:lineRule="auto"/>
        <w:ind w:left="2410" w:hanging="2410"/>
        <w:jc w:val="both"/>
        <w:rPr>
          <w:rFonts w:cstheme="minorHAnsi"/>
        </w:rPr>
      </w:pPr>
      <w:r w:rsidRPr="00B16EBD">
        <w:rPr>
          <w:rFonts w:cstheme="minorHAnsi"/>
          <w:b/>
        </w:rPr>
        <w:t>Management system:</w:t>
      </w:r>
      <w:r w:rsidRPr="00B16EBD">
        <w:rPr>
          <w:rFonts w:cstheme="minorHAnsi"/>
        </w:rPr>
        <w:t xml:space="preserve"> </w:t>
      </w:r>
      <w:r w:rsidRPr="00B16EBD">
        <w:rPr>
          <w:rFonts w:cstheme="minorHAnsi"/>
        </w:rPr>
        <w:tab/>
        <w:t xml:space="preserve">A management system is a system for the provision of dinghies for access to vessels moored offshore, or for other purposes, that minimises the impact of dinghy usage on the shoreline. Management systems are likely to be particular to each location and may encompass storage facilities or shared usage. Management systems require approval by the Swan River Trust and are administered by the Town. </w:t>
      </w:r>
    </w:p>
    <w:p w14:paraId="49474E93" w14:textId="77777777" w:rsidR="00003ACA" w:rsidRPr="00B16EBD" w:rsidRDefault="00003ACA" w:rsidP="00003ACA">
      <w:pPr>
        <w:spacing w:before="120" w:after="0" w:line="240" w:lineRule="auto"/>
        <w:ind w:left="2410" w:hanging="2410"/>
        <w:jc w:val="both"/>
        <w:rPr>
          <w:rFonts w:cstheme="minorHAnsi"/>
        </w:rPr>
      </w:pPr>
      <w:r w:rsidRPr="00B16EBD">
        <w:rPr>
          <w:rFonts w:cstheme="minorHAnsi"/>
          <w:b/>
        </w:rPr>
        <w:t>Riverpark:</w:t>
      </w:r>
      <w:r w:rsidRPr="00B16EBD">
        <w:rPr>
          <w:rFonts w:cstheme="minorHAnsi"/>
        </w:rPr>
        <w:t xml:space="preserve"> </w:t>
      </w:r>
      <w:r w:rsidRPr="00B16EBD">
        <w:rPr>
          <w:rFonts w:cstheme="minorHAnsi"/>
        </w:rPr>
        <w:tab/>
        <w:t>The Swan Canning Riverpark is defined by the Swan and Canning Rivers Management Act 2006. The Riverpark includes the waters of the Swan and Canning rivers and all public land adjoining these rivers.</w:t>
      </w:r>
    </w:p>
    <w:p w14:paraId="4F9E35AB" w14:textId="77777777" w:rsidR="00003ACA" w:rsidRPr="00B16EBD" w:rsidRDefault="00003ACA" w:rsidP="00003ACA">
      <w:pPr>
        <w:spacing w:before="120" w:after="0" w:line="240" w:lineRule="auto"/>
        <w:ind w:left="2410" w:hanging="2410"/>
        <w:jc w:val="both"/>
        <w:rPr>
          <w:rFonts w:cstheme="minorHAnsi"/>
        </w:rPr>
      </w:pPr>
      <w:r w:rsidRPr="00B16EBD">
        <w:rPr>
          <w:rFonts w:cstheme="minorHAnsi"/>
          <w:b/>
        </w:rPr>
        <w:t>Riverpark shoreline:</w:t>
      </w:r>
      <w:r w:rsidRPr="00B16EBD">
        <w:rPr>
          <w:rFonts w:cstheme="minorHAnsi"/>
        </w:rPr>
        <w:t xml:space="preserve"> </w:t>
      </w:r>
      <w:r w:rsidRPr="00B16EBD">
        <w:rPr>
          <w:rFonts w:cstheme="minorHAnsi"/>
        </w:rPr>
        <w:tab/>
        <w:t xml:space="preserve">The area of Crown land in the Riverpark extending from two metres below the </w:t>
      </w:r>
      <w:proofErr w:type="gramStart"/>
      <w:r w:rsidRPr="00B16EBD">
        <w:rPr>
          <w:rFonts w:cstheme="minorHAnsi"/>
        </w:rPr>
        <w:t>high water</w:t>
      </w:r>
      <w:proofErr w:type="gramEnd"/>
      <w:r w:rsidRPr="00B16EBD">
        <w:rPr>
          <w:rFonts w:cstheme="minorHAnsi"/>
        </w:rPr>
        <w:t xml:space="preserve"> mark to two metres above the high water mark, measured horizontally above the surface of the land and including the surface of any structure built to retain the land.</w:t>
      </w:r>
    </w:p>
    <w:p w14:paraId="037DB9EA" w14:textId="77777777" w:rsidR="00003ACA" w:rsidRPr="00B16EBD" w:rsidRDefault="00003ACA" w:rsidP="00003ACA">
      <w:pPr>
        <w:pStyle w:val="Heading1"/>
        <w:spacing w:before="200" w:line="240" w:lineRule="auto"/>
        <w:jc w:val="both"/>
        <w:rPr>
          <w:rFonts w:asciiTheme="minorHAnsi" w:hAnsiTheme="minorHAnsi" w:cstheme="minorHAnsi"/>
          <w:color w:val="auto"/>
        </w:rPr>
      </w:pPr>
      <w:r w:rsidRPr="00B16EBD">
        <w:rPr>
          <w:rFonts w:asciiTheme="minorHAnsi" w:hAnsiTheme="minorHAnsi" w:cstheme="minorHAnsi"/>
          <w:color w:val="auto"/>
        </w:rPr>
        <w:t xml:space="preserve">Policy </w:t>
      </w:r>
    </w:p>
    <w:p w14:paraId="095202DA" w14:textId="77777777" w:rsidR="00003ACA" w:rsidRPr="00B16EBD" w:rsidRDefault="00003ACA" w:rsidP="00003ACA">
      <w:pPr>
        <w:spacing w:before="60" w:after="0" w:line="240" w:lineRule="auto"/>
        <w:jc w:val="both"/>
        <w:rPr>
          <w:rFonts w:cstheme="minorHAnsi"/>
        </w:rPr>
      </w:pPr>
      <w:r w:rsidRPr="00B16EBD">
        <w:rPr>
          <w:rFonts w:cstheme="minorHAnsi"/>
        </w:rPr>
        <w:t>Support the implementation of a dinghy management policy by implementing storage management policies and procedures:</w:t>
      </w:r>
    </w:p>
    <w:p w14:paraId="2A442B8E" w14:textId="77777777" w:rsidR="00003ACA" w:rsidRPr="00B16EBD" w:rsidRDefault="00003ACA" w:rsidP="002A3889">
      <w:pPr>
        <w:pStyle w:val="ListParagraph"/>
        <w:numPr>
          <w:ilvl w:val="0"/>
          <w:numId w:val="388"/>
        </w:numPr>
        <w:spacing w:before="120" w:after="0" w:line="240" w:lineRule="auto"/>
        <w:ind w:left="357"/>
        <w:contextualSpacing w:val="0"/>
        <w:jc w:val="both"/>
        <w:rPr>
          <w:rFonts w:cstheme="minorHAnsi"/>
        </w:rPr>
      </w:pPr>
      <w:r w:rsidRPr="0057523C">
        <w:rPr>
          <w:rFonts w:cstheme="minorHAnsi"/>
        </w:rPr>
        <w:t xml:space="preserve">The </w:t>
      </w:r>
      <w:proofErr w:type="spellStart"/>
      <w:r w:rsidRPr="0057523C">
        <w:rPr>
          <w:rFonts w:cstheme="minorHAnsi"/>
        </w:rPr>
        <w:t>adhoc</w:t>
      </w:r>
      <w:proofErr w:type="spellEnd"/>
      <w:r w:rsidRPr="0057523C">
        <w:rPr>
          <w:rFonts w:cstheme="minorHAnsi"/>
        </w:rPr>
        <w:t xml:space="preserve"> storage of dinghies is not permitted in any area of the foreshore except where there is</w:t>
      </w:r>
      <w:r w:rsidRPr="00B16EBD">
        <w:rPr>
          <w:rFonts w:cstheme="minorHAnsi"/>
        </w:rPr>
        <w:t xml:space="preserve"> a formal storage area</w:t>
      </w:r>
      <w:r>
        <w:rPr>
          <w:rFonts w:cstheme="minorHAnsi"/>
        </w:rPr>
        <w:t xml:space="preserve"> </w:t>
      </w:r>
      <w:r w:rsidRPr="004756BC">
        <w:rPr>
          <w:rFonts w:cstheme="minorHAnsi"/>
        </w:rPr>
        <w:t>(see attached location plan)</w:t>
      </w:r>
      <w:r w:rsidRPr="00B16EBD">
        <w:rPr>
          <w:rFonts w:cstheme="minorHAnsi"/>
        </w:rPr>
        <w:t xml:space="preserve"> and an authorised permit for the storage of a dinghy has been issued by the Town.</w:t>
      </w:r>
    </w:p>
    <w:p w14:paraId="1447AF92" w14:textId="77777777" w:rsidR="00003ACA" w:rsidRPr="004756BC" w:rsidRDefault="00003ACA" w:rsidP="002A3889">
      <w:pPr>
        <w:pStyle w:val="ListParagraph"/>
        <w:numPr>
          <w:ilvl w:val="0"/>
          <w:numId w:val="388"/>
        </w:numPr>
        <w:spacing w:before="120" w:after="0" w:line="240" w:lineRule="auto"/>
        <w:ind w:left="357"/>
        <w:contextualSpacing w:val="0"/>
        <w:jc w:val="both"/>
        <w:rPr>
          <w:rFonts w:cstheme="minorHAnsi"/>
        </w:rPr>
      </w:pPr>
      <w:r w:rsidRPr="0057523C">
        <w:rPr>
          <w:rFonts w:cstheme="minorHAnsi"/>
        </w:rPr>
        <w:t>Storage will be limited by the available space, not by demand, however it is proposed that the</w:t>
      </w:r>
      <w:r w:rsidRPr="00B16EBD">
        <w:rPr>
          <w:rFonts w:cstheme="minorHAnsi"/>
        </w:rPr>
        <w:t xml:space="preserve"> </w:t>
      </w:r>
      <w:r w:rsidRPr="0057523C">
        <w:rPr>
          <w:rFonts w:cstheme="minorHAnsi"/>
        </w:rPr>
        <w:t>current ‘historical’ number (12) and location of dinghy storage bays be formalised so the dinghies</w:t>
      </w:r>
      <w:r w:rsidRPr="00B16EBD">
        <w:rPr>
          <w:rFonts w:cstheme="minorHAnsi"/>
        </w:rPr>
        <w:t xml:space="preserve"> </w:t>
      </w:r>
      <w:r w:rsidRPr="004756BC">
        <w:rPr>
          <w:rFonts w:cstheme="minorHAnsi"/>
        </w:rPr>
        <w:t>can be managed effectively with minimal disruption.</w:t>
      </w:r>
    </w:p>
    <w:p w14:paraId="1D27245F" w14:textId="77777777" w:rsidR="00003ACA" w:rsidRPr="004756BC" w:rsidRDefault="00003ACA" w:rsidP="002A3889">
      <w:pPr>
        <w:pStyle w:val="ListParagraph"/>
        <w:numPr>
          <w:ilvl w:val="0"/>
          <w:numId w:val="388"/>
        </w:numPr>
        <w:spacing w:before="120" w:after="0" w:line="240" w:lineRule="auto"/>
        <w:ind w:left="357"/>
        <w:contextualSpacing w:val="0"/>
        <w:jc w:val="both"/>
        <w:rPr>
          <w:rFonts w:ascii="Calibri" w:hAnsi="Calibri" w:cs="Calibri"/>
        </w:rPr>
      </w:pPr>
      <w:r w:rsidRPr="00B16EBD">
        <w:rPr>
          <w:rFonts w:cstheme="minorHAnsi"/>
        </w:rPr>
        <w:t>Any dinghy found outside a designated dinghy storage area or any unregistered dinghies within a dinghy storage area may be subject to confiscation or impoundment by the Department of Biodiversity Conservation and Attractions or the Town of East Fremantle</w:t>
      </w:r>
      <w:r>
        <w:rPr>
          <w:rFonts w:cstheme="minorHAnsi"/>
        </w:rPr>
        <w:t xml:space="preserve"> </w:t>
      </w:r>
      <w:r w:rsidRPr="004756BC">
        <w:rPr>
          <w:rFonts w:ascii="Calibri" w:hAnsi="Calibri" w:cs="Calibri"/>
        </w:rPr>
        <w:t>(under Delegation DA66 Authorisation to Remove Dinghies from Foreshore).</w:t>
      </w:r>
    </w:p>
    <w:p w14:paraId="01AB0A10" w14:textId="77777777" w:rsidR="00003ACA" w:rsidRPr="00B16EBD" w:rsidRDefault="00003ACA" w:rsidP="002A3889">
      <w:pPr>
        <w:pStyle w:val="ListParagraph"/>
        <w:numPr>
          <w:ilvl w:val="0"/>
          <w:numId w:val="388"/>
        </w:numPr>
        <w:spacing w:before="120" w:after="0" w:line="240" w:lineRule="auto"/>
        <w:ind w:left="357"/>
        <w:contextualSpacing w:val="0"/>
        <w:jc w:val="both"/>
        <w:rPr>
          <w:rFonts w:cstheme="minorHAnsi"/>
        </w:rPr>
      </w:pPr>
      <w:r w:rsidRPr="00B16EBD">
        <w:rPr>
          <w:rFonts w:cstheme="minorHAnsi"/>
        </w:rPr>
        <w:t xml:space="preserve">While the Swan River is a </w:t>
      </w:r>
      <w:proofErr w:type="gramStart"/>
      <w:r w:rsidRPr="00B16EBD">
        <w:rPr>
          <w:rFonts w:cstheme="minorHAnsi"/>
        </w:rPr>
        <w:t>State</w:t>
      </w:r>
      <w:proofErr w:type="gramEnd"/>
      <w:r w:rsidRPr="00B16EBD">
        <w:rPr>
          <w:rFonts w:cstheme="minorHAnsi"/>
        </w:rPr>
        <w:t xml:space="preserve"> asset, the use of infrastructure to access and store dinghies is funded through municipal rates, and as such, a preference is given to Town of East Fremantle ratepayers. </w:t>
      </w:r>
    </w:p>
    <w:p w14:paraId="19ADA81C" w14:textId="77777777" w:rsidR="00003ACA" w:rsidRPr="00B16EBD" w:rsidRDefault="00003ACA" w:rsidP="002A3889">
      <w:pPr>
        <w:pStyle w:val="ListParagraph"/>
        <w:numPr>
          <w:ilvl w:val="0"/>
          <w:numId w:val="388"/>
        </w:numPr>
        <w:spacing w:before="120" w:after="0" w:line="240" w:lineRule="auto"/>
        <w:contextualSpacing w:val="0"/>
        <w:jc w:val="both"/>
        <w:rPr>
          <w:rFonts w:cstheme="minorHAnsi"/>
        </w:rPr>
      </w:pPr>
      <w:r w:rsidRPr="00B16EBD">
        <w:rPr>
          <w:rFonts w:cstheme="minorHAnsi"/>
        </w:rPr>
        <w:t>Allocation of dinghy storage positions is controlled by the Town and managed via dedicated dinghy storage locations. The order of priority for dinghy storage is as follows:</w:t>
      </w:r>
    </w:p>
    <w:p w14:paraId="3616F8AA" w14:textId="77777777" w:rsidR="00003ACA" w:rsidRPr="00B16EBD" w:rsidRDefault="00003ACA" w:rsidP="002A3889">
      <w:pPr>
        <w:pStyle w:val="ListParagraph"/>
        <w:numPr>
          <w:ilvl w:val="0"/>
          <w:numId w:val="391"/>
        </w:numPr>
        <w:spacing w:before="120" w:after="0" w:line="240" w:lineRule="auto"/>
        <w:ind w:left="851" w:hanging="425"/>
        <w:contextualSpacing w:val="0"/>
        <w:jc w:val="both"/>
        <w:rPr>
          <w:rFonts w:cstheme="minorHAnsi"/>
        </w:rPr>
      </w:pPr>
      <w:r w:rsidRPr="00B16EBD">
        <w:rPr>
          <w:rFonts w:cstheme="minorHAnsi"/>
        </w:rPr>
        <w:lastRenderedPageBreak/>
        <w:t xml:space="preserve">Long Term Mooring Holders who are Town of East Fremantle </w:t>
      </w:r>
      <w:r>
        <w:rPr>
          <w:rFonts w:cstheme="minorHAnsi"/>
        </w:rPr>
        <w:t>r</w:t>
      </w:r>
      <w:r w:rsidRPr="00B16EBD">
        <w:rPr>
          <w:rFonts w:cstheme="minorHAnsi"/>
        </w:rPr>
        <w:t xml:space="preserve">esidents </w:t>
      </w:r>
    </w:p>
    <w:p w14:paraId="2A4E6EF8" w14:textId="77777777" w:rsidR="00003ACA" w:rsidRPr="00B16EBD" w:rsidRDefault="00003ACA" w:rsidP="002A3889">
      <w:pPr>
        <w:pStyle w:val="ListParagraph"/>
        <w:numPr>
          <w:ilvl w:val="0"/>
          <w:numId w:val="391"/>
        </w:numPr>
        <w:spacing w:before="120" w:after="0" w:line="240" w:lineRule="auto"/>
        <w:ind w:left="851" w:hanging="425"/>
        <w:contextualSpacing w:val="0"/>
        <w:jc w:val="both"/>
        <w:rPr>
          <w:rFonts w:cstheme="minorHAnsi"/>
        </w:rPr>
      </w:pPr>
      <w:r w:rsidRPr="00B16EBD">
        <w:rPr>
          <w:rFonts w:cstheme="minorHAnsi"/>
        </w:rPr>
        <w:t xml:space="preserve">Long Term Mooring Holders who are not Town of East Fremantle </w:t>
      </w:r>
      <w:r>
        <w:rPr>
          <w:rFonts w:cstheme="minorHAnsi"/>
        </w:rPr>
        <w:t>r</w:t>
      </w:r>
      <w:r w:rsidRPr="00B16EBD">
        <w:rPr>
          <w:rFonts w:cstheme="minorHAnsi"/>
        </w:rPr>
        <w:t xml:space="preserve">esidents </w:t>
      </w:r>
    </w:p>
    <w:p w14:paraId="1E03F870" w14:textId="77777777" w:rsidR="00003ACA" w:rsidRPr="00B16EBD" w:rsidRDefault="00003ACA" w:rsidP="002A3889">
      <w:pPr>
        <w:pStyle w:val="ListParagraph"/>
        <w:numPr>
          <w:ilvl w:val="0"/>
          <w:numId w:val="391"/>
        </w:numPr>
        <w:spacing w:before="120" w:after="0" w:line="240" w:lineRule="auto"/>
        <w:ind w:left="851" w:hanging="425"/>
        <w:contextualSpacing w:val="0"/>
        <w:jc w:val="both"/>
        <w:rPr>
          <w:rFonts w:cstheme="minorHAnsi"/>
        </w:rPr>
      </w:pPr>
      <w:r w:rsidRPr="00B16EBD">
        <w:rPr>
          <w:rFonts w:cstheme="minorHAnsi"/>
        </w:rPr>
        <w:t xml:space="preserve">Small </w:t>
      </w:r>
      <w:proofErr w:type="gramStart"/>
      <w:r w:rsidRPr="00B16EBD">
        <w:rPr>
          <w:rFonts w:cstheme="minorHAnsi"/>
        </w:rPr>
        <w:t>water craft</w:t>
      </w:r>
      <w:proofErr w:type="gramEnd"/>
      <w:r w:rsidRPr="00B16EBD">
        <w:rPr>
          <w:rFonts w:cstheme="minorHAnsi"/>
        </w:rPr>
        <w:t xml:space="preserve"> owners who are Town of East Fremantle </w:t>
      </w:r>
      <w:r>
        <w:rPr>
          <w:rFonts w:cstheme="minorHAnsi"/>
        </w:rPr>
        <w:t>r</w:t>
      </w:r>
      <w:r w:rsidRPr="00B16EBD">
        <w:rPr>
          <w:rFonts w:cstheme="minorHAnsi"/>
        </w:rPr>
        <w:t xml:space="preserve">esidents </w:t>
      </w:r>
    </w:p>
    <w:p w14:paraId="195E9A16" w14:textId="77777777" w:rsidR="00003ACA" w:rsidRPr="00B16EBD" w:rsidRDefault="00003ACA" w:rsidP="002A3889">
      <w:pPr>
        <w:pStyle w:val="ListParagraph"/>
        <w:numPr>
          <w:ilvl w:val="0"/>
          <w:numId w:val="391"/>
        </w:numPr>
        <w:spacing w:before="120" w:after="0" w:line="240" w:lineRule="auto"/>
        <w:ind w:left="851" w:hanging="425"/>
        <w:contextualSpacing w:val="0"/>
        <w:jc w:val="both"/>
        <w:rPr>
          <w:rFonts w:cstheme="minorHAnsi"/>
        </w:rPr>
      </w:pPr>
      <w:r w:rsidRPr="00B16EBD">
        <w:rPr>
          <w:rFonts w:cstheme="minorHAnsi"/>
        </w:rPr>
        <w:t xml:space="preserve">Small </w:t>
      </w:r>
      <w:proofErr w:type="gramStart"/>
      <w:r w:rsidRPr="00B16EBD">
        <w:rPr>
          <w:rFonts w:cstheme="minorHAnsi"/>
        </w:rPr>
        <w:t>water craft</w:t>
      </w:r>
      <w:proofErr w:type="gramEnd"/>
      <w:r w:rsidRPr="00B16EBD">
        <w:rPr>
          <w:rFonts w:cstheme="minorHAnsi"/>
        </w:rPr>
        <w:t xml:space="preserve"> owners who are not Town of East Fremantle </w:t>
      </w:r>
      <w:r>
        <w:rPr>
          <w:rFonts w:cstheme="minorHAnsi"/>
        </w:rPr>
        <w:t>r</w:t>
      </w:r>
      <w:r w:rsidRPr="00B16EBD">
        <w:rPr>
          <w:rFonts w:cstheme="minorHAnsi"/>
        </w:rPr>
        <w:t xml:space="preserve">esidents </w:t>
      </w:r>
    </w:p>
    <w:p w14:paraId="5D49F6B6" w14:textId="77777777" w:rsidR="00003ACA" w:rsidRPr="00B16EBD" w:rsidRDefault="00003ACA" w:rsidP="002A3889">
      <w:pPr>
        <w:pStyle w:val="ListParagraph"/>
        <w:numPr>
          <w:ilvl w:val="0"/>
          <w:numId w:val="388"/>
        </w:numPr>
        <w:spacing w:before="120" w:after="0" w:line="240" w:lineRule="auto"/>
        <w:ind w:left="357"/>
        <w:contextualSpacing w:val="0"/>
        <w:jc w:val="both"/>
        <w:rPr>
          <w:rFonts w:cstheme="minorHAnsi"/>
        </w:rPr>
      </w:pPr>
      <w:r w:rsidRPr="00B16EBD">
        <w:rPr>
          <w:rFonts w:cstheme="minorHAnsi"/>
        </w:rPr>
        <w:t xml:space="preserve">Private dinghies, and other </w:t>
      </w:r>
      <w:proofErr w:type="gramStart"/>
      <w:r w:rsidRPr="00B16EBD">
        <w:rPr>
          <w:rFonts w:cstheme="minorHAnsi"/>
        </w:rPr>
        <w:t>small approved</w:t>
      </w:r>
      <w:proofErr w:type="gramEnd"/>
      <w:r w:rsidRPr="00B16EBD">
        <w:rPr>
          <w:rFonts w:cstheme="minorHAnsi"/>
        </w:rPr>
        <w:t xml:space="preserve"> watercraft, can be stored for a 12 monthly period once registered with the Town and expires June 30 each year.</w:t>
      </w:r>
    </w:p>
    <w:p w14:paraId="798A9136" w14:textId="77777777" w:rsidR="00003ACA" w:rsidRPr="00B16EBD" w:rsidRDefault="00003ACA" w:rsidP="002A3889">
      <w:pPr>
        <w:pStyle w:val="ListParagraph"/>
        <w:numPr>
          <w:ilvl w:val="0"/>
          <w:numId w:val="388"/>
        </w:numPr>
        <w:spacing w:before="120" w:after="0" w:line="240" w:lineRule="auto"/>
        <w:ind w:left="357"/>
        <w:contextualSpacing w:val="0"/>
        <w:jc w:val="both"/>
        <w:rPr>
          <w:rFonts w:cstheme="minorHAnsi"/>
        </w:rPr>
      </w:pPr>
      <w:r w:rsidRPr="00B16EBD">
        <w:rPr>
          <w:rFonts w:cstheme="minorHAnsi"/>
        </w:rPr>
        <w:t>The Town will retain a ‘Dinghy Registration Waiting List’ for an available bay should demand exceed permitted storage areas.</w:t>
      </w:r>
    </w:p>
    <w:p w14:paraId="53F1B070" w14:textId="77777777" w:rsidR="00003ACA" w:rsidRPr="00B16EBD" w:rsidRDefault="00003ACA" w:rsidP="002A3889">
      <w:pPr>
        <w:pStyle w:val="ListParagraph"/>
        <w:numPr>
          <w:ilvl w:val="0"/>
          <w:numId w:val="388"/>
        </w:numPr>
        <w:spacing w:before="120" w:after="0" w:line="240" w:lineRule="auto"/>
        <w:ind w:left="357"/>
        <w:contextualSpacing w:val="0"/>
        <w:jc w:val="both"/>
        <w:rPr>
          <w:rFonts w:cstheme="minorHAnsi"/>
        </w:rPr>
      </w:pPr>
      <w:r w:rsidRPr="00B16EBD">
        <w:rPr>
          <w:rFonts w:cstheme="minorHAnsi"/>
        </w:rPr>
        <w:t xml:space="preserve">Previous registration holders can apply to renew their storage registration each year and will be given preference over new applicants. </w:t>
      </w:r>
    </w:p>
    <w:p w14:paraId="7A0AA136" w14:textId="77777777" w:rsidR="00003ACA" w:rsidRPr="00B16EBD" w:rsidRDefault="00003ACA" w:rsidP="002A3889">
      <w:pPr>
        <w:pStyle w:val="ListParagraph"/>
        <w:numPr>
          <w:ilvl w:val="0"/>
          <w:numId w:val="388"/>
        </w:numPr>
        <w:spacing w:before="120" w:after="0" w:line="240" w:lineRule="auto"/>
        <w:ind w:left="357"/>
        <w:contextualSpacing w:val="0"/>
        <w:jc w:val="both"/>
        <w:rPr>
          <w:rFonts w:cstheme="minorHAnsi"/>
        </w:rPr>
      </w:pPr>
      <w:r w:rsidRPr="00B16EBD">
        <w:rPr>
          <w:rFonts w:cstheme="minorHAnsi"/>
        </w:rPr>
        <w:t>The ‘on-selling’ or gifting of</w:t>
      </w:r>
      <w:r>
        <w:rPr>
          <w:rFonts w:cstheme="minorHAnsi"/>
        </w:rPr>
        <w:t xml:space="preserve"> storage</w:t>
      </w:r>
      <w:r w:rsidRPr="00B16EBD">
        <w:rPr>
          <w:rFonts w:cstheme="minorHAnsi"/>
        </w:rPr>
        <w:t xml:space="preserve"> bays to third parties or family members is not permitted and will result in the immediate forfeit of the storage bay and remaining fees.</w:t>
      </w:r>
    </w:p>
    <w:p w14:paraId="04D77D5F" w14:textId="77777777" w:rsidR="00003ACA" w:rsidRPr="00B16EBD" w:rsidRDefault="00003ACA" w:rsidP="002A3889">
      <w:pPr>
        <w:pStyle w:val="ListParagraph"/>
        <w:numPr>
          <w:ilvl w:val="0"/>
          <w:numId w:val="388"/>
        </w:numPr>
        <w:spacing w:before="120" w:after="0" w:line="240" w:lineRule="auto"/>
        <w:ind w:left="357"/>
        <w:contextualSpacing w:val="0"/>
        <w:jc w:val="both"/>
        <w:rPr>
          <w:rFonts w:cstheme="minorHAnsi"/>
        </w:rPr>
      </w:pPr>
      <w:r w:rsidRPr="00B16EBD">
        <w:rPr>
          <w:rFonts w:cstheme="minorHAnsi"/>
        </w:rPr>
        <w:t>An annual registration fee applies to all registered storage allocations. This fee will be reviewed on an annual basis.</w:t>
      </w:r>
    </w:p>
    <w:p w14:paraId="59F15697" w14:textId="77777777" w:rsidR="00003ACA" w:rsidRPr="00B16EBD" w:rsidRDefault="00003ACA" w:rsidP="002A3889">
      <w:pPr>
        <w:pStyle w:val="ListParagraph"/>
        <w:numPr>
          <w:ilvl w:val="0"/>
          <w:numId w:val="388"/>
        </w:numPr>
        <w:spacing w:before="120" w:after="0" w:line="240" w:lineRule="auto"/>
        <w:ind w:left="357"/>
        <w:contextualSpacing w:val="0"/>
        <w:jc w:val="both"/>
        <w:rPr>
          <w:rFonts w:cstheme="minorHAnsi"/>
        </w:rPr>
      </w:pPr>
      <w:r w:rsidRPr="00B16EBD">
        <w:rPr>
          <w:rFonts w:cstheme="minorHAnsi"/>
        </w:rPr>
        <w:t>The CEO and Executive Manager Corporate Service</w:t>
      </w:r>
      <w:r>
        <w:rPr>
          <w:rFonts w:cstheme="minorHAnsi"/>
        </w:rPr>
        <w:t>s</w:t>
      </w:r>
      <w:r w:rsidRPr="00B16EBD">
        <w:rPr>
          <w:rFonts w:cstheme="minorHAnsi"/>
        </w:rPr>
        <w:t xml:space="preserve"> has delegation to approve and issue Dinghy Storage registrations in line with this policy.</w:t>
      </w:r>
    </w:p>
    <w:p w14:paraId="1A93B7B9" w14:textId="77777777" w:rsidR="00003ACA" w:rsidRPr="00B16EBD" w:rsidRDefault="00003ACA" w:rsidP="00003ACA">
      <w:pPr>
        <w:spacing w:before="360" w:after="0" w:line="240" w:lineRule="auto"/>
        <w:jc w:val="both"/>
        <w:rPr>
          <w:rFonts w:cstheme="minorHAnsi"/>
        </w:rPr>
      </w:pPr>
    </w:p>
    <w:tbl>
      <w:tblPr>
        <w:tblStyle w:val="TableGrid"/>
        <w:tblW w:w="0" w:type="auto"/>
        <w:tblLook w:val="04A0" w:firstRow="1" w:lastRow="0" w:firstColumn="1" w:lastColumn="0" w:noHBand="0" w:noVBand="1"/>
      </w:tblPr>
      <w:tblGrid>
        <w:gridCol w:w="3038"/>
        <w:gridCol w:w="5978"/>
      </w:tblGrid>
      <w:tr w:rsidR="00003ACA" w:rsidRPr="00B16EBD" w14:paraId="2B30D471" w14:textId="77777777" w:rsidTr="007E0F07">
        <w:tc>
          <w:tcPr>
            <w:tcW w:w="3038" w:type="dxa"/>
          </w:tcPr>
          <w:p w14:paraId="2FFBF805" w14:textId="77777777" w:rsidR="00003ACA" w:rsidRPr="00B16EBD" w:rsidRDefault="00003ACA" w:rsidP="007E0F07">
            <w:pPr>
              <w:jc w:val="both"/>
              <w:rPr>
                <w:rFonts w:cstheme="minorHAnsi"/>
                <w:b/>
              </w:rPr>
            </w:pPr>
            <w:r w:rsidRPr="00B16EBD">
              <w:rPr>
                <w:rFonts w:cstheme="minorHAnsi"/>
                <w:b/>
              </w:rPr>
              <w:t>Responsible Directorate:</w:t>
            </w:r>
          </w:p>
        </w:tc>
        <w:tc>
          <w:tcPr>
            <w:tcW w:w="5978" w:type="dxa"/>
          </w:tcPr>
          <w:p w14:paraId="70669A0D" w14:textId="77777777" w:rsidR="00003ACA" w:rsidRPr="00B16EBD" w:rsidRDefault="00003ACA" w:rsidP="007E0F07">
            <w:pPr>
              <w:jc w:val="both"/>
              <w:rPr>
                <w:rFonts w:cstheme="minorHAnsi"/>
              </w:rPr>
            </w:pPr>
            <w:r>
              <w:rPr>
                <w:rFonts w:cstheme="minorHAnsi"/>
              </w:rPr>
              <w:t>Corporate Services</w:t>
            </w:r>
          </w:p>
        </w:tc>
      </w:tr>
      <w:tr w:rsidR="00003ACA" w:rsidRPr="00B16EBD" w14:paraId="45035983" w14:textId="77777777" w:rsidTr="007E0F07">
        <w:tc>
          <w:tcPr>
            <w:tcW w:w="3038" w:type="dxa"/>
          </w:tcPr>
          <w:p w14:paraId="0B52C64D" w14:textId="77777777" w:rsidR="00003ACA" w:rsidRPr="00B16EBD" w:rsidRDefault="00003ACA" w:rsidP="007E0F07">
            <w:pPr>
              <w:jc w:val="both"/>
              <w:rPr>
                <w:rFonts w:cstheme="minorHAnsi"/>
                <w:b/>
              </w:rPr>
            </w:pPr>
            <w:r w:rsidRPr="00B16EBD">
              <w:rPr>
                <w:rFonts w:cstheme="minorHAnsi"/>
                <w:b/>
              </w:rPr>
              <w:t>Reviewing Officer:</w:t>
            </w:r>
          </w:p>
        </w:tc>
        <w:tc>
          <w:tcPr>
            <w:tcW w:w="5978" w:type="dxa"/>
          </w:tcPr>
          <w:p w14:paraId="018E23E3" w14:textId="77777777" w:rsidR="00003ACA" w:rsidRPr="00B16EBD" w:rsidRDefault="00003ACA" w:rsidP="007E0F07">
            <w:pPr>
              <w:jc w:val="both"/>
              <w:rPr>
                <w:rFonts w:cstheme="minorHAnsi"/>
              </w:rPr>
            </w:pPr>
            <w:r w:rsidRPr="00B16EBD">
              <w:rPr>
                <w:rFonts w:cstheme="minorHAnsi"/>
              </w:rPr>
              <w:t>Executive Manager Community Service</w:t>
            </w:r>
          </w:p>
        </w:tc>
      </w:tr>
      <w:tr w:rsidR="00003ACA" w:rsidRPr="00B16EBD" w14:paraId="6D03E087" w14:textId="77777777" w:rsidTr="007E0F07">
        <w:tc>
          <w:tcPr>
            <w:tcW w:w="3038" w:type="dxa"/>
          </w:tcPr>
          <w:p w14:paraId="2C8DCA36" w14:textId="77777777" w:rsidR="00003ACA" w:rsidRPr="00B16EBD" w:rsidRDefault="00003ACA" w:rsidP="007E0F07">
            <w:pPr>
              <w:rPr>
                <w:rFonts w:cstheme="minorHAnsi"/>
                <w:b/>
              </w:rPr>
            </w:pPr>
            <w:r w:rsidRPr="00B16EBD">
              <w:rPr>
                <w:rFonts w:cstheme="minorHAnsi"/>
                <w:b/>
              </w:rPr>
              <w:t>Decision making Authority:</w:t>
            </w:r>
          </w:p>
        </w:tc>
        <w:tc>
          <w:tcPr>
            <w:tcW w:w="5978" w:type="dxa"/>
          </w:tcPr>
          <w:p w14:paraId="569353D4" w14:textId="77777777" w:rsidR="00003ACA" w:rsidRPr="00B16EBD" w:rsidRDefault="00003ACA" w:rsidP="007E0F07">
            <w:pPr>
              <w:jc w:val="both"/>
              <w:rPr>
                <w:rFonts w:cstheme="minorHAnsi"/>
              </w:rPr>
            </w:pPr>
            <w:r w:rsidRPr="00B16EBD">
              <w:rPr>
                <w:rFonts w:cstheme="minorHAnsi"/>
              </w:rPr>
              <w:t>Council</w:t>
            </w:r>
          </w:p>
        </w:tc>
      </w:tr>
      <w:tr w:rsidR="00003ACA" w:rsidRPr="00B16EBD" w14:paraId="577978CD" w14:textId="77777777" w:rsidTr="007E0F07">
        <w:tc>
          <w:tcPr>
            <w:tcW w:w="3038" w:type="dxa"/>
          </w:tcPr>
          <w:p w14:paraId="48C98631" w14:textId="77777777" w:rsidR="00003ACA" w:rsidRPr="00B16EBD" w:rsidRDefault="00003ACA" w:rsidP="007E0F07">
            <w:pPr>
              <w:jc w:val="both"/>
              <w:rPr>
                <w:rFonts w:cstheme="minorHAnsi"/>
                <w:b/>
              </w:rPr>
            </w:pPr>
            <w:r w:rsidRPr="00B16EBD">
              <w:rPr>
                <w:rFonts w:cstheme="minorHAnsi"/>
                <w:b/>
              </w:rPr>
              <w:t>Policy Adopted:</w:t>
            </w:r>
          </w:p>
        </w:tc>
        <w:tc>
          <w:tcPr>
            <w:tcW w:w="5978" w:type="dxa"/>
          </w:tcPr>
          <w:p w14:paraId="762DD60C" w14:textId="77777777" w:rsidR="00003ACA" w:rsidRPr="00B16EBD" w:rsidRDefault="00003ACA" w:rsidP="007E0F07">
            <w:pPr>
              <w:jc w:val="both"/>
              <w:rPr>
                <w:rFonts w:cstheme="minorHAnsi"/>
              </w:rPr>
            </w:pPr>
            <w:r>
              <w:rPr>
                <w:rFonts w:cstheme="minorHAnsi"/>
              </w:rPr>
              <w:t>18/2/20</w:t>
            </w:r>
          </w:p>
        </w:tc>
      </w:tr>
      <w:tr w:rsidR="00003ACA" w:rsidRPr="00B16EBD" w14:paraId="43640423" w14:textId="77777777" w:rsidTr="007E0F07">
        <w:tc>
          <w:tcPr>
            <w:tcW w:w="3038" w:type="dxa"/>
          </w:tcPr>
          <w:p w14:paraId="6A1C46C8" w14:textId="77777777" w:rsidR="00003ACA" w:rsidRPr="00B16EBD" w:rsidRDefault="00003ACA" w:rsidP="007E0F07">
            <w:pPr>
              <w:jc w:val="both"/>
              <w:rPr>
                <w:rFonts w:cstheme="minorHAnsi"/>
                <w:b/>
              </w:rPr>
            </w:pPr>
            <w:r w:rsidRPr="00B16EBD">
              <w:rPr>
                <w:rFonts w:cstheme="minorHAnsi"/>
                <w:b/>
              </w:rPr>
              <w:t>Policy Amended:</w:t>
            </w:r>
          </w:p>
        </w:tc>
        <w:tc>
          <w:tcPr>
            <w:tcW w:w="5978" w:type="dxa"/>
          </w:tcPr>
          <w:p w14:paraId="59D45F97" w14:textId="77777777" w:rsidR="00003ACA" w:rsidRPr="00B16EBD" w:rsidRDefault="00003ACA" w:rsidP="007E0F07">
            <w:pPr>
              <w:jc w:val="both"/>
              <w:rPr>
                <w:rFonts w:cstheme="minorHAnsi"/>
              </w:rPr>
            </w:pPr>
            <w:r>
              <w:rPr>
                <w:rFonts w:cstheme="minorHAnsi"/>
              </w:rPr>
              <w:t>20/4/21</w:t>
            </w:r>
          </w:p>
        </w:tc>
      </w:tr>
      <w:tr w:rsidR="00003ACA" w:rsidRPr="00B16EBD" w14:paraId="52AD3197" w14:textId="77777777" w:rsidTr="007E0F07">
        <w:tc>
          <w:tcPr>
            <w:tcW w:w="3038" w:type="dxa"/>
          </w:tcPr>
          <w:p w14:paraId="6EFF9C36" w14:textId="77777777" w:rsidR="00003ACA" w:rsidRPr="00B16EBD" w:rsidRDefault="00003ACA" w:rsidP="007E0F07">
            <w:pPr>
              <w:jc w:val="both"/>
              <w:rPr>
                <w:rFonts w:cstheme="minorHAnsi"/>
                <w:b/>
              </w:rPr>
            </w:pPr>
            <w:r w:rsidRPr="00B16EBD">
              <w:rPr>
                <w:rFonts w:cstheme="minorHAnsi"/>
                <w:b/>
              </w:rPr>
              <w:t>Next Review Date:</w:t>
            </w:r>
          </w:p>
        </w:tc>
        <w:tc>
          <w:tcPr>
            <w:tcW w:w="5978" w:type="dxa"/>
          </w:tcPr>
          <w:p w14:paraId="5F18BA3A" w14:textId="77777777" w:rsidR="00003ACA" w:rsidRPr="00B16EBD" w:rsidRDefault="00003ACA" w:rsidP="007E0F07">
            <w:pPr>
              <w:jc w:val="both"/>
              <w:rPr>
                <w:rFonts w:cstheme="minorHAnsi"/>
              </w:rPr>
            </w:pPr>
          </w:p>
        </w:tc>
      </w:tr>
    </w:tbl>
    <w:p w14:paraId="5954449F" w14:textId="77777777" w:rsidR="00003ACA" w:rsidRPr="00B16EBD" w:rsidRDefault="00003ACA" w:rsidP="00003ACA">
      <w:pPr>
        <w:jc w:val="both"/>
        <w:rPr>
          <w:rFonts w:cstheme="minorHAnsi"/>
        </w:rPr>
      </w:pPr>
    </w:p>
    <w:p w14:paraId="10D96EA4" w14:textId="77777777" w:rsidR="00003ACA" w:rsidRPr="00B16EBD" w:rsidRDefault="00003ACA" w:rsidP="00003ACA">
      <w:pPr>
        <w:jc w:val="both"/>
        <w:rPr>
          <w:rFonts w:cstheme="minorHAnsi"/>
        </w:rPr>
      </w:pPr>
    </w:p>
    <w:p w14:paraId="352BF8D6" w14:textId="77777777" w:rsidR="00783E4C" w:rsidRDefault="00783E4C" w:rsidP="00003ACA">
      <w:pPr>
        <w:jc w:val="both"/>
        <w:rPr>
          <w:rFonts w:cstheme="minorHAnsi"/>
        </w:rPr>
        <w:sectPr w:rsidR="00783E4C" w:rsidSect="006C2BE9">
          <w:footerReference w:type="default" r:id="rId342"/>
          <w:pgSz w:w="11906" w:h="16838"/>
          <w:pgMar w:top="1440" w:right="1274" w:bottom="1440" w:left="1440" w:header="709" w:footer="709" w:gutter="0"/>
          <w:cols w:space="708"/>
          <w:docGrid w:linePitch="360"/>
        </w:sectPr>
      </w:pPr>
    </w:p>
    <w:p w14:paraId="524A1355" w14:textId="77777777" w:rsidR="00284F4C" w:rsidRDefault="001903A1" w:rsidP="001903A1">
      <w:pPr>
        <w:rPr>
          <w:rFonts w:cstheme="minorHAnsi"/>
        </w:rPr>
        <w:sectPr w:rsidR="00284F4C" w:rsidSect="001903A1">
          <w:pgSz w:w="16838" w:h="11906" w:orient="landscape"/>
          <w:pgMar w:top="1440" w:right="1440" w:bottom="1274" w:left="1440" w:header="709" w:footer="709" w:gutter="0"/>
          <w:cols w:space="708"/>
          <w:docGrid w:linePitch="360"/>
        </w:sectPr>
      </w:pPr>
      <w:r>
        <w:rPr>
          <w:noProof/>
        </w:rPr>
        <w:lastRenderedPageBreak/>
        <w:drawing>
          <wp:inline distT="0" distB="0" distL="0" distR="0" wp14:anchorId="11EABD7E" wp14:editId="4F15D13A">
            <wp:extent cx="8450592" cy="5981700"/>
            <wp:effectExtent l="0" t="0" r="7620" b="0"/>
            <wp:docPr id="285529460" name="Picture 1" descr="Aerial view of a town by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29460" name="Picture 1" descr="Aerial view of a town by the water&#10;&#10;Description automatically generated"/>
                    <pic:cNvPicPr/>
                  </pic:nvPicPr>
                  <pic:blipFill>
                    <a:blip r:embed="rId343">
                      <a:extLst>
                        <a:ext uri="{28A0092B-C50C-407E-A947-70E740481C1C}">
                          <a14:useLocalDpi xmlns:a14="http://schemas.microsoft.com/office/drawing/2010/main" val="0"/>
                        </a:ext>
                      </a:extLst>
                    </a:blip>
                    <a:stretch>
                      <a:fillRect/>
                    </a:stretch>
                  </pic:blipFill>
                  <pic:spPr>
                    <a:xfrm>
                      <a:off x="0" y="0"/>
                      <a:ext cx="8483438" cy="6004950"/>
                    </a:xfrm>
                    <a:prstGeom prst="rect">
                      <a:avLst/>
                    </a:prstGeom>
                  </pic:spPr>
                </pic:pic>
              </a:graphicData>
            </a:graphic>
          </wp:inline>
        </w:drawing>
      </w:r>
    </w:p>
    <w:p w14:paraId="33BEF6C2" w14:textId="77777777" w:rsidR="00CF01D0" w:rsidRDefault="00CF01D0" w:rsidP="00CF01D0">
      <w:pPr>
        <w:pStyle w:val="Title"/>
        <w:pBdr>
          <w:bottom w:val="none" w:sz="0" w:space="0" w:color="auto"/>
        </w:pBdr>
        <w:spacing w:after="240"/>
        <w:jc w:val="right"/>
        <w:rPr>
          <w:rFonts w:ascii="Arial" w:hAnsi="Arial" w:cs="Arial"/>
          <w:b/>
          <w:sz w:val="28"/>
          <w:szCs w:val="28"/>
          <w:lang w:val="en-US"/>
        </w:rPr>
      </w:pPr>
      <w:r>
        <w:rPr>
          <w:noProof/>
        </w:rPr>
        <w:lastRenderedPageBreak/>
        <w:drawing>
          <wp:inline distT="0" distB="0" distL="0" distR="0" wp14:anchorId="1A7650EA" wp14:editId="480AED23">
            <wp:extent cx="1571625" cy="676275"/>
            <wp:effectExtent l="0" t="0" r="9525" b="9525"/>
            <wp:docPr id="309320696" name="Picture 309320696" descr="A logo for a town&#10;&#10;AI-generated content may be incorrect."/>
            <wp:cNvGraphicFramePr/>
            <a:graphic xmlns:a="http://schemas.openxmlformats.org/drawingml/2006/main">
              <a:graphicData uri="http://schemas.openxmlformats.org/drawingml/2006/picture">
                <pic:pic xmlns:pic="http://schemas.openxmlformats.org/drawingml/2006/picture">
                  <pic:nvPicPr>
                    <pic:cNvPr id="1" name="Picture 1" descr="A logo for a town&#10;&#10;AI-generated content may be incorrect."/>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1625" cy="676275"/>
                    </a:xfrm>
                    <a:prstGeom prst="rect">
                      <a:avLst/>
                    </a:prstGeom>
                    <a:noFill/>
                    <a:ln>
                      <a:noFill/>
                    </a:ln>
                  </pic:spPr>
                </pic:pic>
              </a:graphicData>
            </a:graphic>
          </wp:inline>
        </w:drawing>
      </w:r>
    </w:p>
    <w:p w14:paraId="400D460C" w14:textId="77777777" w:rsidR="00CF01D0" w:rsidRPr="009579A8" w:rsidRDefault="00CF01D0" w:rsidP="00CF01D0">
      <w:pPr>
        <w:pStyle w:val="Title"/>
        <w:pBdr>
          <w:bottom w:val="none" w:sz="0" w:space="0" w:color="auto"/>
        </w:pBdr>
        <w:spacing w:after="0"/>
        <w:rPr>
          <w:rFonts w:ascii="Arial" w:hAnsi="Arial" w:cs="Arial"/>
          <w:b/>
          <w:sz w:val="18"/>
          <w:szCs w:val="28"/>
          <w:lang w:val="en-US"/>
        </w:rPr>
      </w:pPr>
    </w:p>
    <w:p w14:paraId="5844FE78" w14:textId="77777777" w:rsidR="00CF01D0" w:rsidRPr="002744D1" w:rsidRDefault="00CF01D0" w:rsidP="00CF01D0">
      <w:pPr>
        <w:pStyle w:val="Policy3"/>
      </w:pPr>
      <w:bookmarkStart w:id="590" w:name="_Toc216866738"/>
      <w:r>
        <w:t>4.2.3</w:t>
      </w:r>
      <w:r w:rsidRPr="002744D1">
        <w:tab/>
      </w:r>
      <w:r>
        <w:t>Tree Management and Protection in Public Places Plan</w:t>
      </w:r>
      <w:bookmarkEnd w:id="590"/>
      <w:r w:rsidRPr="002744D1">
        <w:t xml:space="preserve"> </w:t>
      </w:r>
    </w:p>
    <w:tbl>
      <w:tblPr>
        <w:tblStyle w:val="TableGrid"/>
        <w:tblW w:w="0" w:type="auto"/>
        <w:tblLook w:val="04A0" w:firstRow="1" w:lastRow="0" w:firstColumn="1" w:lastColumn="0" w:noHBand="0" w:noVBand="1"/>
      </w:tblPr>
      <w:tblGrid>
        <w:gridCol w:w="3024"/>
        <w:gridCol w:w="5992"/>
      </w:tblGrid>
      <w:tr w:rsidR="00CF01D0" w:rsidRPr="0096334F" w14:paraId="54E49DCB" w14:textId="77777777" w:rsidTr="00620F69">
        <w:tc>
          <w:tcPr>
            <w:tcW w:w="3024" w:type="dxa"/>
          </w:tcPr>
          <w:p w14:paraId="69E31FB4" w14:textId="77777777" w:rsidR="00CF01D0" w:rsidRPr="0096334F" w:rsidRDefault="00CF01D0" w:rsidP="00620F69">
            <w:pPr>
              <w:rPr>
                <w:rFonts w:cstheme="minorHAnsi"/>
                <w:b/>
                <w:lang w:val="en-US"/>
              </w:rPr>
            </w:pPr>
            <w:r w:rsidRPr="0096334F">
              <w:rPr>
                <w:rFonts w:cstheme="minorHAnsi"/>
                <w:b/>
                <w:lang w:val="en-US"/>
              </w:rPr>
              <w:t>Type:</w:t>
            </w:r>
          </w:p>
        </w:tc>
        <w:tc>
          <w:tcPr>
            <w:tcW w:w="5992" w:type="dxa"/>
          </w:tcPr>
          <w:p w14:paraId="49441BA0" w14:textId="77777777" w:rsidR="00CF01D0" w:rsidRPr="0096334F" w:rsidRDefault="00CF01D0" w:rsidP="00620F69">
            <w:pPr>
              <w:rPr>
                <w:rFonts w:cstheme="minorHAnsi"/>
                <w:lang w:val="en-US"/>
              </w:rPr>
            </w:pPr>
            <w:r w:rsidRPr="00E02F01">
              <w:rPr>
                <w:rFonts w:cstheme="minorHAnsi"/>
              </w:rPr>
              <w:t xml:space="preserve">Operations – </w:t>
            </w:r>
            <w:r>
              <w:rPr>
                <w:rFonts w:cstheme="minorHAnsi"/>
              </w:rPr>
              <w:t>Parks &amp; Reserves</w:t>
            </w:r>
          </w:p>
        </w:tc>
      </w:tr>
      <w:tr w:rsidR="00CF01D0" w:rsidRPr="0096334F" w14:paraId="1FF8C470" w14:textId="77777777" w:rsidTr="00620F69">
        <w:tc>
          <w:tcPr>
            <w:tcW w:w="3024" w:type="dxa"/>
          </w:tcPr>
          <w:p w14:paraId="61865853" w14:textId="77777777" w:rsidR="00CF01D0" w:rsidRPr="0096334F" w:rsidRDefault="00CF01D0" w:rsidP="00620F69">
            <w:pPr>
              <w:rPr>
                <w:rFonts w:cstheme="minorHAnsi"/>
                <w:b/>
                <w:lang w:val="en-US"/>
              </w:rPr>
            </w:pPr>
            <w:r w:rsidRPr="0096334F">
              <w:rPr>
                <w:rFonts w:cstheme="minorHAnsi"/>
                <w:b/>
                <w:lang w:val="en-US"/>
              </w:rPr>
              <w:t>Legislation:</w:t>
            </w:r>
          </w:p>
        </w:tc>
        <w:tc>
          <w:tcPr>
            <w:tcW w:w="5992" w:type="dxa"/>
          </w:tcPr>
          <w:p w14:paraId="79F75159" w14:textId="77777777" w:rsidR="00CF01D0" w:rsidRPr="0096334F" w:rsidRDefault="00CF01D0" w:rsidP="00620F69">
            <w:pPr>
              <w:rPr>
                <w:rFonts w:cstheme="minorHAnsi"/>
                <w:lang w:val="en-US"/>
              </w:rPr>
            </w:pPr>
            <w:r w:rsidRPr="00E02F01">
              <w:rPr>
                <w:rFonts w:cstheme="minorHAnsi"/>
              </w:rPr>
              <w:t>Public Places and Local Government Property Local Law 2016 Penalty Units Local Law 2016</w:t>
            </w:r>
          </w:p>
        </w:tc>
      </w:tr>
      <w:tr w:rsidR="00CF01D0" w:rsidRPr="0096334F" w14:paraId="3989B563" w14:textId="77777777" w:rsidTr="00620F69">
        <w:tc>
          <w:tcPr>
            <w:tcW w:w="3024" w:type="dxa"/>
          </w:tcPr>
          <w:p w14:paraId="2594AEF7" w14:textId="77777777" w:rsidR="00CF01D0" w:rsidRPr="0096334F" w:rsidRDefault="00CF01D0" w:rsidP="00620F69">
            <w:pPr>
              <w:rPr>
                <w:rFonts w:cstheme="minorHAnsi"/>
                <w:b/>
                <w:lang w:val="en-US"/>
              </w:rPr>
            </w:pPr>
            <w:r w:rsidRPr="0096334F">
              <w:rPr>
                <w:rFonts w:cstheme="minorHAnsi"/>
                <w:b/>
                <w:lang w:val="en-US"/>
              </w:rPr>
              <w:t>Other Related Document:</w:t>
            </w:r>
          </w:p>
        </w:tc>
        <w:tc>
          <w:tcPr>
            <w:tcW w:w="5992" w:type="dxa"/>
          </w:tcPr>
          <w:p w14:paraId="54090EFF" w14:textId="77777777" w:rsidR="00CF01D0" w:rsidRDefault="00CF01D0" w:rsidP="00620F69">
            <w:pPr>
              <w:rPr>
                <w:rFonts w:cstheme="minorHAnsi"/>
              </w:rPr>
            </w:pPr>
            <w:r w:rsidRPr="00E02F01">
              <w:rPr>
                <w:rFonts w:cstheme="minorHAnsi"/>
              </w:rPr>
              <w:t xml:space="preserve">AS 4373 ‘Pruning of Amenity Trees’ 2007 </w:t>
            </w:r>
          </w:p>
          <w:p w14:paraId="7A914199" w14:textId="77777777" w:rsidR="00CF01D0" w:rsidRDefault="00CF01D0" w:rsidP="00620F69">
            <w:pPr>
              <w:rPr>
                <w:rFonts w:cstheme="minorHAnsi"/>
              </w:rPr>
            </w:pPr>
            <w:r w:rsidRPr="00E02F01">
              <w:rPr>
                <w:rFonts w:cstheme="minorHAnsi"/>
              </w:rPr>
              <w:t xml:space="preserve">Council Policy 3.2.4 – Verge Treatment Policy </w:t>
            </w:r>
          </w:p>
          <w:p w14:paraId="318E792D" w14:textId="77777777" w:rsidR="00CF01D0" w:rsidRDefault="00CF01D0" w:rsidP="00620F69">
            <w:pPr>
              <w:rPr>
                <w:rFonts w:cstheme="minorHAnsi"/>
              </w:rPr>
            </w:pPr>
            <w:r w:rsidRPr="00E02F01">
              <w:rPr>
                <w:rFonts w:cstheme="minorHAnsi"/>
              </w:rPr>
              <w:t xml:space="preserve">Council Policy 4.2.1 – Maintenance &amp; Removal of Public and Verge Trees </w:t>
            </w:r>
          </w:p>
          <w:p w14:paraId="41CB9115" w14:textId="77777777" w:rsidR="00CF01D0" w:rsidRPr="0096334F" w:rsidRDefault="00CF01D0" w:rsidP="00620F69">
            <w:pPr>
              <w:rPr>
                <w:rFonts w:cstheme="minorHAnsi"/>
                <w:lang w:val="en-US"/>
              </w:rPr>
            </w:pPr>
            <w:r w:rsidRPr="00E02F01">
              <w:rPr>
                <w:rFonts w:cstheme="minorHAnsi"/>
              </w:rPr>
              <w:t>Town of East Fremantle Climate Emergency Strategy 2022-32. Urban Streetscape and Public Realm Style Guide</w:t>
            </w:r>
          </w:p>
        </w:tc>
      </w:tr>
    </w:tbl>
    <w:p w14:paraId="730059DF" w14:textId="77777777" w:rsidR="00CF01D0" w:rsidRPr="00B47F10" w:rsidRDefault="00CF01D0" w:rsidP="00CF01D0">
      <w:pPr>
        <w:spacing w:before="240" w:after="0"/>
        <w:rPr>
          <w:b/>
          <w:sz w:val="28"/>
          <w:szCs w:val="28"/>
          <w:lang w:val="en-US"/>
        </w:rPr>
      </w:pPr>
      <w:r>
        <w:rPr>
          <w:b/>
          <w:sz w:val="28"/>
          <w:szCs w:val="28"/>
          <w:lang w:val="en-US"/>
        </w:rPr>
        <w:t>Definitions</w:t>
      </w:r>
    </w:p>
    <w:p w14:paraId="6F84C814" w14:textId="77777777" w:rsidR="00CF01D0" w:rsidRDefault="00CF01D0" w:rsidP="00CF01D0">
      <w:pPr>
        <w:spacing w:after="120"/>
        <w:rPr>
          <w:rFonts w:eastAsia="Arial" w:cstheme="minorHAnsi"/>
          <w:spacing w:val="-1"/>
        </w:rPr>
      </w:pPr>
      <w:r w:rsidRPr="00E02F01">
        <w:rPr>
          <w:rFonts w:eastAsia="Arial" w:cstheme="minorHAnsi"/>
          <w:spacing w:val="-1"/>
        </w:rPr>
        <w:t xml:space="preserve">For the purposes of this policy: </w:t>
      </w:r>
    </w:p>
    <w:p w14:paraId="53FCA212" w14:textId="77777777" w:rsidR="00CF01D0" w:rsidRDefault="00CF01D0" w:rsidP="00CF01D0">
      <w:pPr>
        <w:spacing w:after="120"/>
        <w:rPr>
          <w:rFonts w:eastAsia="Arial" w:cstheme="minorHAnsi"/>
          <w:spacing w:val="-1"/>
        </w:rPr>
      </w:pPr>
      <w:r w:rsidRPr="00E02F01">
        <w:rPr>
          <w:rFonts w:eastAsia="Arial" w:cstheme="minorHAnsi"/>
          <w:b/>
          <w:bCs/>
          <w:i/>
          <w:iCs/>
          <w:spacing w:val="-1"/>
        </w:rPr>
        <w:t>“Naturally occurring tree”</w:t>
      </w:r>
      <w:r w:rsidRPr="00E02F01">
        <w:rPr>
          <w:rFonts w:eastAsia="Arial" w:cstheme="minorHAnsi"/>
          <w:spacing w:val="-1"/>
        </w:rPr>
        <w:t xml:space="preserve"> means a remnant of a natural area (for example bushland and river escarpment) that was originally intact but subsequently cleared for development as recreational parkland, residential lot, road reserve and the like. </w:t>
      </w:r>
    </w:p>
    <w:p w14:paraId="1DE281A8" w14:textId="77777777" w:rsidR="00CF01D0" w:rsidRDefault="00CF01D0" w:rsidP="00CF01D0">
      <w:pPr>
        <w:spacing w:after="0"/>
        <w:rPr>
          <w:rFonts w:eastAsia="Arial" w:cstheme="minorHAnsi"/>
          <w:spacing w:val="-1"/>
        </w:rPr>
      </w:pPr>
      <w:r w:rsidRPr="00E02F01">
        <w:rPr>
          <w:rFonts w:eastAsia="Arial" w:cstheme="minorHAnsi"/>
          <w:b/>
          <w:bCs/>
          <w:i/>
          <w:iCs/>
          <w:spacing w:val="-1"/>
        </w:rPr>
        <w:t>“Public places”</w:t>
      </w:r>
      <w:r w:rsidRPr="00E02F01">
        <w:rPr>
          <w:rFonts w:eastAsia="Arial" w:cstheme="minorHAnsi"/>
          <w:spacing w:val="-1"/>
        </w:rPr>
        <w:t xml:space="preserve"> means any land under the care, maintenance and/ or control of the Town of East Fremantle</w:t>
      </w:r>
    </w:p>
    <w:p w14:paraId="1594B9D7" w14:textId="77777777" w:rsidR="00CF01D0" w:rsidRPr="00B47F10" w:rsidRDefault="00CF01D0" w:rsidP="00CF01D0">
      <w:pPr>
        <w:spacing w:before="240" w:after="0"/>
        <w:rPr>
          <w:b/>
          <w:sz w:val="28"/>
          <w:szCs w:val="28"/>
          <w:lang w:val="en-US"/>
        </w:rPr>
      </w:pPr>
      <w:r w:rsidRPr="00B47F10">
        <w:rPr>
          <w:b/>
          <w:sz w:val="28"/>
          <w:szCs w:val="28"/>
          <w:lang w:val="en-US"/>
        </w:rPr>
        <w:t>Objective</w:t>
      </w:r>
    </w:p>
    <w:p w14:paraId="05AA1C3D" w14:textId="77777777" w:rsidR="00CF01D0" w:rsidRDefault="00CF01D0" w:rsidP="00CF01D0">
      <w:pPr>
        <w:spacing w:line="240" w:lineRule="auto"/>
      </w:pPr>
      <w:r>
        <w:t xml:space="preserve">This tree management and protection plan policy has been developed to: </w:t>
      </w:r>
    </w:p>
    <w:p w14:paraId="6A0A0D4D" w14:textId="77777777" w:rsidR="00CF01D0" w:rsidRDefault="00CF01D0" w:rsidP="007B3B6F">
      <w:pPr>
        <w:pStyle w:val="ListParagraph"/>
        <w:numPr>
          <w:ilvl w:val="0"/>
          <w:numId w:val="550"/>
        </w:numPr>
        <w:spacing w:after="120" w:line="240" w:lineRule="auto"/>
        <w:ind w:left="425" w:hanging="425"/>
        <w:contextualSpacing w:val="0"/>
      </w:pPr>
      <w:r>
        <w:t xml:space="preserve">ensure community amenity and environmental sustainability of (new) trees by protecting and preserving trees in public places throughout the Town of East Fremantle (the Town), with </w:t>
      </w:r>
      <w:proofErr w:type="gramStart"/>
      <w:r>
        <w:t>specific  reference</w:t>
      </w:r>
      <w:proofErr w:type="gramEnd"/>
      <w:r>
        <w:t xml:space="preserve"> to the Preston Point Road North Recreation Precinct.</w:t>
      </w:r>
    </w:p>
    <w:p w14:paraId="1EAD2535" w14:textId="77777777" w:rsidR="00CF01D0" w:rsidRDefault="00CF01D0" w:rsidP="007B3B6F">
      <w:pPr>
        <w:pStyle w:val="ListParagraph"/>
        <w:numPr>
          <w:ilvl w:val="0"/>
          <w:numId w:val="550"/>
        </w:numPr>
        <w:spacing w:after="120" w:line="240" w:lineRule="auto"/>
        <w:ind w:left="425" w:hanging="425"/>
        <w:contextualSpacing w:val="0"/>
      </w:pPr>
      <w:r>
        <w:t>determine circumstances under which existing trees may be considered for removal and/or pruning.</w:t>
      </w:r>
    </w:p>
    <w:p w14:paraId="73791ABF" w14:textId="77777777" w:rsidR="00CF01D0" w:rsidRDefault="00CF01D0" w:rsidP="007B3B6F">
      <w:pPr>
        <w:pStyle w:val="ListParagraph"/>
        <w:numPr>
          <w:ilvl w:val="0"/>
          <w:numId w:val="550"/>
        </w:numPr>
        <w:spacing w:after="120" w:line="240" w:lineRule="auto"/>
        <w:ind w:left="425" w:hanging="425"/>
        <w:contextualSpacing w:val="0"/>
      </w:pPr>
      <w:r>
        <w:t>mitigate against risk of vandalism and tree deaths in the Town.</w:t>
      </w:r>
    </w:p>
    <w:p w14:paraId="08040FF2" w14:textId="77777777" w:rsidR="00CF01D0" w:rsidRDefault="00CF01D0" w:rsidP="007B3B6F">
      <w:pPr>
        <w:pStyle w:val="ListParagraph"/>
        <w:numPr>
          <w:ilvl w:val="0"/>
          <w:numId w:val="550"/>
        </w:numPr>
        <w:spacing w:after="120" w:line="240" w:lineRule="auto"/>
        <w:ind w:left="425" w:hanging="425"/>
        <w:contextualSpacing w:val="0"/>
      </w:pPr>
      <w:r>
        <w:t>provide specifications for the replacement of trees that die from natural environmental conditions.</w:t>
      </w:r>
    </w:p>
    <w:p w14:paraId="1EE46273" w14:textId="77777777" w:rsidR="00CF01D0" w:rsidRDefault="00CF01D0" w:rsidP="007B3B6F">
      <w:pPr>
        <w:pStyle w:val="ListParagraph"/>
        <w:numPr>
          <w:ilvl w:val="0"/>
          <w:numId w:val="550"/>
        </w:numPr>
        <w:spacing w:after="120" w:line="240" w:lineRule="auto"/>
        <w:ind w:left="425" w:hanging="425"/>
        <w:contextualSpacing w:val="0"/>
      </w:pPr>
      <w:r>
        <w:t>provide specifications for the management and maintenance of trees.</w:t>
      </w:r>
    </w:p>
    <w:p w14:paraId="3AA19DB6" w14:textId="77777777" w:rsidR="00CF01D0" w:rsidRDefault="00CF01D0" w:rsidP="007B3B6F">
      <w:pPr>
        <w:pStyle w:val="ListParagraph"/>
        <w:numPr>
          <w:ilvl w:val="0"/>
          <w:numId w:val="550"/>
        </w:numPr>
        <w:spacing w:line="240" w:lineRule="auto"/>
        <w:ind w:left="426" w:hanging="426"/>
      </w:pPr>
      <w:r>
        <w:t>provide strategies to protect sensitive view corridors.</w:t>
      </w:r>
    </w:p>
    <w:p w14:paraId="652C10FA" w14:textId="77777777" w:rsidR="00CF01D0" w:rsidRPr="00B47F10" w:rsidRDefault="00CF01D0" w:rsidP="00CF01D0">
      <w:pPr>
        <w:spacing w:before="200" w:after="0"/>
        <w:rPr>
          <w:b/>
          <w:sz w:val="28"/>
          <w:szCs w:val="28"/>
          <w:lang w:val="en-US"/>
        </w:rPr>
      </w:pPr>
      <w:r w:rsidRPr="00B47F10">
        <w:rPr>
          <w:b/>
          <w:sz w:val="28"/>
          <w:szCs w:val="28"/>
          <w:lang w:val="en-US"/>
        </w:rPr>
        <w:t>Policy Scope</w:t>
      </w:r>
    </w:p>
    <w:p w14:paraId="66943A0F" w14:textId="77777777" w:rsidR="00CF01D0" w:rsidRDefault="00CF01D0" w:rsidP="00CF01D0">
      <w:pPr>
        <w:pStyle w:val="ListParagraph"/>
        <w:tabs>
          <w:tab w:val="left" w:pos="1843"/>
        </w:tabs>
        <w:spacing w:line="240" w:lineRule="auto"/>
        <w:ind w:left="0"/>
        <w:contextualSpacing w:val="0"/>
        <w:jc w:val="both"/>
        <w:rPr>
          <w:rFonts w:cstheme="minorHAnsi"/>
        </w:rPr>
      </w:pPr>
      <w:r>
        <w:rPr>
          <w:rFonts w:cstheme="minorHAnsi"/>
        </w:rPr>
        <w:t>Trees form an important element of the public domain and a valued feature of the Town and need to be protected, retained and conserved. This policy applies to all trees and planting within the road verges and all public places under the management and control of the Town.</w:t>
      </w:r>
    </w:p>
    <w:p w14:paraId="5F843939" w14:textId="77777777" w:rsidR="00CF01D0" w:rsidRDefault="00CF01D0" w:rsidP="00CF01D0">
      <w:pPr>
        <w:pStyle w:val="ListParagraph"/>
        <w:tabs>
          <w:tab w:val="left" w:pos="1843"/>
        </w:tabs>
        <w:spacing w:line="240" w:lineRule="auto"/>
        <w:ind w:left="0"/>
        <w:contextualSpacing w:val="0"/>
        <w:jc w:val="both"/>
        <w:rPr>
          <w:rFonts w:cstheme="minorHAnsi"/>
        </w:rPr>
      </w:pPr>
      <w:r w:rsidRPr="003A6859">
        <w:rPr>
          <w:rFonts w:cstheme="minorHAnsi"/>
        </w:rPr>
        <w:t xml:space="preserve">This Policy also specifically references tree management on the Preston Point Road North Recreation Precinct Area A between Preston Point Road and </w:t>
      </w:r>
      <w:proofErr w:type="spellStart"/>
      <w:r w:rsidRPr="003A6859">
        <w:rPr>
          <w:rFonts w:cstheme="minorHAnsi"/>
        </w:rPr>
        <w:t>Jerrat</w:t>
      </w:r>
      <w:proofErr w:type="spellEnd"/>
      <w:r w:rsidRPr="003A6859">
        <w:rPr>
          <w:rFonts w:cstheme="minorHAnsi"/>
        </w:rPr>
        <w:t xml:space="preserve"> Drive (including the verge/ top of escarpment </w:t>
      </w:r>
      <w:r w:rsidRPr="003A6859">
        <w:rPr>
          <w:rFonts w:cstheme="minorHAnsi"/>
        </w:rPr>
        <w:lastRenderedPageBreak/>
        <w:t xml:space="preserve">to the north of </w:t>
      </w:r>
      <w:proofErr w:type="spellStart"/>
      <w:r w:rsidRPr="003A6859">
        <w:rPr>
          <w:rFonts w:cstheme="minorHAnsi"/>
        </w:rPr>
        <w:t>Jerrat</w:t>
      </w:r>
      <w:proofErr w:type="spellEnd"/>
      <w:r w:rsidRPr="003A6859">
        <w:rPr>
          <w:rFonts w:cstheme="minorHAnsi"/>
        </w:rPr>
        <w:t xml:space="preserve"> Drive) and the playground and Petra Street. Protection of view corridors will only be considered in Area A of the identified plan. </w:t>
      </w:r>
    </w:p>
    <w:p w14:paraId="6E942F7F" w14:textId="77777777" w:rsidR="00CF01D0" w:rsidRDefault="00CF01D0" w:rsidP="00CF01D0">
      <w:pPr>
        <w:pStyle w:val="ListParagraph"/>
        <w:tabs>
          <w:tab w:val="left" w:pos="1843"/>
        </w:tabs>
        <w:spacing w:after="120" w:line="240" w:lineRule="auto"/>
        <w:ind w:left="0"/>
        <w:contextualSpacing w:val="0"/>
        <w:jc w:val="both"/>
        <w:rPr>
          <w:rFonts w:cstheme="minorHAnsi"/>
        </w:rPr>
      </w:pPr>
      <w:r w:rsidRPr="003A6859">
        <w:rPr>
          <w:rFonts w:cstheme="minorHAnsi"/>
        </w:rPr>
        <w:t>The management of the trees for the purposes of protecting view corridors will only be to those view corridors considered by Council to be sensitive, specifically:</w:t>
      </w:r>
    </w:p>
    <w:p w14:paraId="45EF1BA4" w14:textId="77777777" w:rsidR="00CF01D0" w:rsidRDefault="00CF01D0" w:rsidP="007B3B6F">
      <w:pPr>
        <w:pStyle w:val="ListParagraph"/>
        <w:numPr>
          <w:ilvl w:val="0"/>
          <w:numId w:val="551"/>
        </w:numPr>
        <w:tabs>
          <w:tab w:val="left" w:pos="1843"/>
        </w:tabs>
        <w:spacing w:after="0" w:line="240" w:lineRule="auto"/>
        <w:contextualSpacing w:val="0"/>
        <w:jc w:val="both"/>
        <w:rPr>
          <w:rFonts w:cstheme="minorHAnsi"/>
        </w:rPr>
      </w:pPr>
      <w:r w:rsidRPr="003A6859">
        <w:rPr>
          <w:rFonts w:cstheme="minorHAnsi"/>
        </w:rPr>
        <w:t xml:space="preserve">Blackwall Reach </w:t>
      </w:r>
    </w:p>
    <w:p w14:paraId="010429D7" w14:textId="77777777" w:rsidR="00CF01D0" w:rsidRDefault="00CF01D0" w:rsidP="007B3B6F">
      <w:pPr>
        <w:pStyle w:val="ListParagraph"/>
        <w:numPr>
          <w:ilvl w:val="0"/>
          <w:numId w:val="551"/>
        </w:numPr>
        <w:tabs>
          <w:tab w:val="left" w:pos="1843"/>
        </w:tabs>
        <w:spacing w:after="0" w:line="240" w:lineRule="auto"/>
        <w:contextualSpacing w:val="0"/>
        <w:jc w:val="both"/>
        <w:rPr>
          <w:rFonts w:cstheme="minorHAnsi"/>
        </w:rPr>
      </w:pPr>
      <w:r w:rsidRPr="003A6859">
        <w:rPr>
          <w:rFonts w:cstheme="minorHAnsi"/>
        </w:rPr>
        <w:t xml:space="preserve">Bicton Baths </w:t>
      </w:r>
    </w:p>
    <w:p w14:paraId="17C5C69E" w14:textId="77777777" w:rsidR="00CF01D0" w:rsidRDefault="00CF01D0" w:rsidP="007B3B6F">
      <w:pPr>
        <w:pStyle w:val="ListParagraph"/>
        <w:numPr>
          <w:ilvl w:val="0"/>
          <w:numId w:val="551"/>
        </w:numPr>
        <w:tabs>
          <w:tab w:val="left" w:pos="1843"/>
        </w:tabs>
        <w:spacing w:after="0" w:line="240" w:lineRule="auto"/>
        <w:contextualSpacing w:val="0"/>
        <w:jc w:val="both"/>
        <w:rPr>
          <w:rFonts w:cstheme="minorHAnsi"/>
        </w:rPr>
      </w:pPr>
      <w:r w:rsidRPr="003A6859">
        <w:rPr>
          <w:rFonts w:cstheme="minorHAnsi"/>
        </w:rPr>
        <w:t xml:space="preserve">Associated mooring areas located between Bicton Baths and Blackwall Reach </w:t>
      </w:r>
    </w:p>
    <w:p w14:paraId="19616701" w14:textId="77777777" w:rsidR="00CF01D0" w:rsidRDefault="00CF01D0" w:rsidP="007B3B6F">
      <w:pPr>
        <w:pStyle w:val="ListParagraph"/>
        <w:numPr>
          <w:ilvl w:val="0"/>
          <w:numId w:val="551"/>
        </w:numPr>
        <w:tabs>
          <w:tab w:val="left" w:pos="1843"/>
        </w:tabs>
        <w:spacing w:after="0" w:line="240" w:lineRule="auto"/>
        <w:contextualSpacing w:val="0"/>
        <w:jc w:val="both"/>
        <w:rPr>
          <w:rFonts w:cstheme="minorHAnsi"/>
        </w:rPr>
      </w:pPr>
      <w:r w:rsidRPr="003A6859">
        <w:rPr>
          <w:rFonts w:cstheme="minorHAnsi"/>
        </w:rPr>
        <w:t xml:space="preserve">Perth City skyline </w:t>
      </w:r>
    </w:p>
    <w:p w14:paraId="48B95AE8" w14:textId="77777777" w:rsidR="00CF01D0" w:rsidRDefault="00CF01D0" w:rsidP="00CF01D0">
      <w:pPr>
        <w:pStyle w:val="ListParagraph"/>
        <w:tabs>
          <w:tab w:val="left" w:pos="1843"/>
        </w:tabs>
        <w:spacing w:before="120" w:line="240" w:lineRule="auto"/>
        <w:ind w:left="0"/>
        <w:contextualSpacing w:val="0"/>
        <w:jc w:val="both"/>
        <w:rPr>
          <w:rFonts w:cstheme="minorHAnsi"/>
        </w:rPr>
      </w:pPr>
      <w:r w:rsidRPr="003A6859">
        <w:rPr>
          <w:rFonts w:cstheme="minorHAnsi"/>
        </w:rPr>
        <w:t xml:space="preserve">Council may also consider other reasonable requests. </w:t>
      </w:r>
    </w:p>
    <w:p w14:paraId="09E147B2" w14:textId="77777777" w:rsidR="00CF01D0" w:rsidRPr="00FC699A" w:rsidRDefault="00CF01D0" w:rsidP="00CF01D0">
      <w:pPr>
        <w:pStyle w:val="ListParagraph"/>
        <w:tabs>
          <w:tab w:val="left" w:pos="1843"/>
        </w:tabs>
        <w:spacing w:after="0" w:line="240" w:lineRule="auto"/>
        <w:ind w:left="0"/>
        <w:contextualSpacing w:val="0"/>
        <w:jc w:val="both"/>
        <w:rPr>
          <w:rFonts w:cstheme="minorHAnsi"/>
          <w:b/>
          <w:bCs/>
        </w:rPr>
      </w:pPr>
      <w:r w:rsidRPr="00FC699A">
        <w:rPr>
          <w:rFonts w:cstheme="minorHAnsi"/>
          <w:b/>
          <w:bCs/>
        </w:rPr>
        <w:t xml:space="preserve">Swan Canning River Development Control Area and Riverpark </w:t>
      </w:r>
    </w:p>
    <w:p w14:paraId="22882586" w14:textId="77777777" w:rsidR="00CF01D0" w:rsidRDefault="00CF01D0" w:rsidP="00CF01D0">
      <w:pPr>
        <w:pStyle w:val="ListParagraph"/>
        <w:tabs>
          <w:tab w:val="left" w:pos="1843"/>
        </w:tabs>
        <w:spacing w:line="240" w:lineRule="auto"/>
        <w:ind w:left="0"/>
        <w:contextualSpacing w:val="0"/>
        <w:jc w:val="both"/>
        <w:rPr>
          <w:rFonts w:cstheme="minorHAnsi"/>
        </w:rPr>
      </w:pPr>
      <w:r w:rsidRPr="003A6859">
        <w:rPr>
          <w:rFonts w:cstheme="minorHAnsi"/>
        </w:rPr>
        <w:t xml:space="preserve">Part of the Town is located within the Swan Canning River Development Control Area (DCA) and associated Swan Canning Riverpark. All development in the DCA is subject to approval and control under the Swan and Canning Rivers Management Act 2006 (SCRM Act) and is subject to the Swan and Canning Rivers Management Regulations 2007 (SCRM Regulations). The Department of Biodiversity, Conservation and Attractions (DBCA) has overall planning, protection and management responsibility for the Swan Canning River system. </w:t>
      </w:r>
    </w:p>
    <w:p w14:paraId="5C143F73" w14:textId="77777777" w:rsidR="00CF01D0" w:rsidRPr="003A6859" w:rsidRDefault="00CF01D0" w:rsidP="00CF01D0">
      <w:pPr>
        <w:pStyle w:val="ListParagraph"/>
        <w:tabs>
          <w:tab w:val="left" w:pos="1843"/>
        </w:tabs>
        <w:spacing w:line="240" w:lineRule="auto"/>
        <w:ind w:left="0"/>
        <w:contextualSpacing w:val="0"/>
        <w:jc w:val="both"/>
        <w:rPr>
          <w:rFonts w:cstheme="minorHAnsi"/>
        </w:rPr>
      </w:pPr>
      <w:r>
        <w:rPr>
          <w:rFonts w:cstheme="minorHAnsi"/>
        </w:rPr>
        <w:t>A</w:t>
      </w:r>
      <w:r w:rsidRPr="003A6859">
        <w:rPr>
          <w:rFonts w:cstheme="minorHAnsi"/>
        </w:rPr>
        <w:t>ll land adjoining the Swan River, including the Preston Point Road North Recreation Precinct is located within the DCA. If/Where this policy is inconsistent with the SCRM Regulations and/or DBCA policy and requirements, the latter will prevail</w:t>
      </w:r>
    </w:p>
    <w:p w14:paraId="0FD2FA58" w14:textId="77777777" w:rsidR="00CF01D0" w:rsidRDefault="00CF01D0" w:rsidP="00CF01D0">
      <w:pPr>
        <w:spacing w:before="240" w:after="0"/>
        <w:rPr>
          <w:b/>
          <w:sz w:val="28"/>
          <w:szCs w:val="28"/>
          <w:lang w:val="en-US"/>
        </w:rPr>
      </w:pPr>
      <w:r>
        <w:rPr>
          <w:b/>
          <w:sz w:val="28"/>
          <w:szCs w:val="28"/>
          <w:lang w:val="en-US"/>
        </w:rPr>
        <w:t>Policy</w:t>
      </w:r>
    </w:p>
    <w:p w14:paraId="2BDAB419" w14:textId="77777777" w:rsidR="00CF01D0" w:rsidRPr="00962E6D" w:rsidRDefault="00CF01D0" w:rsidP="00CF01D0">
      <w:pPr>
        <w:spacing w:before="120" w:after="0"/>
        <w:rPr>
          <w:b/>
          <w:lang w:val="en-US"/>
        </w:rPr>
      </w:pPr>
      <w:r w:rsidRPr="00962E6D">
        <w:rPr>
          <w:b/>
          <w:lang w:val="en-US"/>
        </w:rPr>
        <w:t>Background</w:t>
      </w:r>
    </w:p>
    <w:p w14:paraId="003BEA6B" w14:textId="77777777" w:rsidR="00CF01D0" w:rsidRDefault="00CF01D0" w:rsidP="00CF01D0">
      <w:pPr>
        <w:rPr>
          <w:bCs/>
        </w:rPr>
      </w:pPr>
      <w:r w:rsidRPr="00962E6D">
        <w:rPr>
          <w:bCs/>
        </w:rPr>
        <w:t xml:space="preserve">The Town has the responsibility of planning, establishing and maintaining all trees in public places however, there are some areas within the Town where the DBCA also has a role in tree planting approval. </w:t>
      </w:r>
    </w:p>
    <w:p w14:paraId="159CBB5A" w14:textId="77777777" w:rsidR="00CF01D0" w:rsidRDefault="00CF01D0" w:rsidP="00CF01D0">
      <w:pPr>
        <w:spacing w:after="0"/>
        <w:rPr>
          <w:bCs/>
        </w:rPr>
      </w:pPr>
      <w:r w:rsidRPr="00962E6D">
        <w:rPr>
          <w:bCs/>
        </w:rPr>
        <w:t xml:space="preserve">The Town recognises that trees are a socially, environmentally and economically </w:t>
      </w:r>
      <w:proofErr w:type="gramStart"/>
      <w:r w:rsidRPr="00962E6D">
        <w:rPr>
          <w:bCs/>
        </w:rPr>
        <w:t>valuable asset</w:t>
      </w:r>
      <w:proofErr w:type="gramEnd"/>
      <w:r w:rsidRPr="00962E6D">
        <w:rPr>
          <w:bCs/>
        </w:rPr>
        <w:t xml:space="preserve">, and this policy has been developed to retain and protect the urban tree canopy throughout all public areas under the management and control of the Town as a priority. </w:t>
      </w:r>
    </w:p>
    <w:p w14:paraId="38CC332E" w14:textId="77777777" w:rsidR="00CF01D0" w:rsidRDefault="00CF01D0" w:rsidP="00CF01D0">
      <w:pPr>
        <w:spacing w:after="120"/>
        <w:rPr>
          <w:bCs/>
        </w:rPr>
      </w:pPr>
      <w:r w:rsidRPr="00962E6D">
        <w:rPr>
          <w:bCs/>
        </w:rPr>
        <w:t xml:space="preserve">Trees, naturally occurring and planted, provide </w:t>
      </w:r>
      <w:proofErr w:type="gramStart"/>
      <w:r w:rsidRPr="00962E6D">
        <w:rPr>
          <w:bCs/>
        </w:rPr>
        <w:t>a number of</w:t>
      </w:r>
      <w:proofErr w:type="gramEnd"/>
      <w:r w:rsidRPr="00962E6D">
        <w:rPr>
          <w:bCs/>
        </w:rPr>
        <w:t xml:space="preserve"> significant benefits within the urban setting, including:</w:t>
      </w:r>
    </w:p>
    <w:p w14:paraId="0CD4387F" w14:textId="77777777" w:rsidR="00CF01D0" w:rsidRPr="00962E6D" w:rsidRDefault="00CF01D0" w:rsidP="007B3B6F">
      <w:pPr>
        <w:pStyle w:val="ListParagraph"/>
        <w:numPr>
          <w:ilvl w:val="0"/>
          <w:numId w:val="552"/>
        </w:numPr>
        <w:spacing w:after="120"/>
        <w:ind w:left="426" w:hanging="426"/>
        <w:rPr>
          <w:bCs/>
        </w:rPr>
      </w:pPr>
      <w:r>
        <w:rPr>
          <w:bCs/>
        </w:rPr>
        <w:t>p</w:t>
      </w:r>
      <w:r w:rsidRPr="00962E6D">
        <w:rPr>
          <w:bCs/>
        </w:rPr>
        <w:t xml:space="preserve">hysical health benefits such as reduces pollution, provide shade and sun protection as well as providing a more comfortable environment to encourage walking, cycling and other exercise. </w:t>
      </w:r>
    </w:p>
    <w:p w14:paraId="44882273" w14:textId="77777777" w:rsidR="00CF01D0" w:rsidRPr="00962E6D" w:rsidRDefault="00CF01D0" w:rsidP="007B3B6F">
      <w:pPr>
        <w:pStyle w:val="ListParagraph"/>
        <w:numPr>
          <w:ilvl w:val="0"/>
          <w:numId w:val="552"/>
        </w:numPr>
        <w:spacing w:after="120"/>
        <w:ind w:left="426" w:hanging="426"/>
        <w:rPr>
          <w:bCs/>
        </w:rPr>
      </w:pPr>
      <w:r>
        <w:rPr>
          <w:bCs/>
        </w:rPr>
        <w:t>m</w:t>
      </w:r>
      <w:r w:rsidRPr="00962E6D">
        <w:rPr>
          <w:bCs/>
        </w:rPr>
        <w:t xml:space="preserve">ental Health benefits by providing a pleasant environment for social activity (meeting people. In addition, exposure to nature can be restorative and calming. </w:t>
      </w:r>
    </w:p>
    <w:p w14:paraId="359E661A" w14:textId="77777777" w:rsidR="00CF01D0" w:rsidRPr="00962E6D" w:rsidRDefault="00CF01D0" w:rsidP="007B3B6F">
      <w:pPr>
        <w:pStyle w:val="ListParagraph"/>
        <w:numPr>
          <w:ilvl w:val="0"/>
          <w:numId w:val="552"/>
        </w:numPr>
        <w:spacing w:after="120"/>
        <w:ind w:left="426" w:hanging="426"/>
        <w:rPr>
          <w:bCs/>
        </w:rPr>
      </w:pPr>
      <w:r>
        <w:rPr>
          <w:bCs/>
        </w:rPr>
        <w:t>p</w:t>
      </w:r>
      <w:r w:rsidRPr="00962E6D">
        <w:rPr>
          <w:bCs/>
        </w:rPr>
        <w:t xml:space="preserve">rovide habitat for local wildlife and biodiversity. </w:t>
      </w:r>
    </w:p>
    <w:p w14:paraId="18BFC27F" w14:textId="77777777" w:rsidR="00CF01D0" w:rsidRPr="00962E6D" w:rsidRDefault="00CF01D0" w:rsidP="007B3B6F">
      <w:pPr>
        <w:pStyle w:val="ListParagraph"/>
        <w:numPr>
          <w:ilvl w:val="0"/>
          <w:numId w:val="552"/>
        </w:numPr>
        <w:spacing w:after="120"/>
        <w:ind w:left="426" w:hanging="426"/>
        <w:rPr>
          <w:bCs/>
        </w:rPr>
      </w:pPr>
      <w:r>
        <w:rPr>
          <w:bCs/>
        </w:rPr>
        <w:t>a</w:t>
      </w:r>
      <w:r w:rsidRPr="00962E6D">
        <w:rPr>
          <w:bCs/>
        </w:rPr>
        <w:t xml:space="preserve">ct as a carbon sink, provide oxygen and reduce level of urban heat. </w:t>
      </w:r>
    </w:p>
    <w:p w14:paraId="0F954DD1" w14:textId="77777777" w:rsidR="00CF01D0" w:rsidRPr="00962E6D" w:rsidRDefault="00CF01D0" w:rsidP="007B3B6F">
      <w:pPr>
        <w:pStyle w:val="ListParagraph"/>
        <w:numPr>
          <w:ilvl w:val="0"/>
          <w:numId w:val="552"/>
        </w:numPr>
        <w:ind w:left="425" w:hanging="425"/>
        <w:contextualSpacing w:val="0"/>
        <w:rPr>
          <w:bCs/>
          <w:sz w:val="28"/>
          <w:szCs w:val="28"/>
          <w:lang w:val="en-US"/>
        </w:rPr>
      </w:pPr>
      <w:r>
        <w:rPr>
          <w:bCs/>
        </w:rPr>
        <w:t>c</w:t>
      </w:r>
      <w:r w:rsidRPr="00962E6D">
        <w:rPr>
          <w:bCs/>
        </w:rPr>
        <w:t xml:space="preserve">ontribute to the aesthetic presentation of the streetscape, parkland and public buildings. </w:t>
      </w:r>
    </w:p>
    <w:p w14:paraId="6DD70FEF" w14:textId="77777777" w:rsidR="00CF01D0" w:rsidRDefault="00CF01D0" w:rsidP="00CF01D0">
      <w:pPr>
        <w:pStyle w:val="ListParagraph"/>
        <w:ind w:left="0"/>
        <w:contextualSpacing w:val="0"/>
        <w:rPr>
          <w:bCs/>
        </w:rPr>
      </w:pPr>
      <w:r w:rsidRPr="00962E6D">
        <w:rPr>
          <w:bCs/>
        </w:rPr>
        <w:t xml:space="preserve">The Town has committed to increasing its total vegetation canopy cover to 30% by 2030; to support greening initiatives on both public and private land; and to collaborate with multi-disciplinary organisations to increase and protect green spaces (‘Strategic Objective 2 Green Spaces’ of the Town’s Climate Change Emergency Strategy 2022-32). </w:t>
      </w:r>
    </w:p>
    <w:p w14:paraId="6E8B28D3" w14:textId="77777777" w:rsidR="00CF01D0" w:rsidRDefault="00CF01D0" w:rsidP="00CF01D0">
      <w:pPr>
        <w:pStyle w:val="ListParagraph"/>
        <w:ind w:left="0"/>
        <w:contextualSpacing w:val="0"/>
        <w:rPr>
          <w:bCs/>
        </w:rPr>
      </w:pPr>
      <w:r w:rsidRPr="00962E6D">
        <w:rPr>
          <w:bCs/>
        </w:rPr>
        <w:lastRenderedPageBreak/>
        <w:t xml:space="preserve">The Town’s tree capacity was recently boosted </w:t>
      </w:r>
      <w:proofErr w:type="gramStart"/>
      <w:r w:rsidRPr="00962E6D">
        <w:rPr>
          <w:bCs/>
        </w:rPr>
        <w:t>as a result of</w:t>
      </w:r>
      <w:proofErr w:type="gramEnd"/>
      <w:r w:rsidRPr="00962E6D">
        <w:rPr>
          <w:bCs/>
        </w:rPr>
        <w:t xml:space="preserve"> the 2021/22 Western Australian Local Government Association (WALGA) Local Government Urban Canopy Grant program. The Town’s successful application has enabled the planting of an additional 476 trees, with approximately 40% of these being planted in the Preston Point Road North Recreation Precinct vicinity. </w:t>
      </w:r>
    </w:p>
    <w:p w14:paraId="6BAA2128" w14:textId="77777777" w:rsidR="00CF01D0" w:rsidRPr="00962E6D" w:rsidRDefault="00CF01D0" w:rsidP="00CF01D0">
      <w:pPr>
        <w:pStyle w:val="ListParagraph"/>
        <w:spacing w:after="0"/>
        <w:ind w:left="0"/>
        <w:rPr>
          <w:b/>
        </w:rPr>
      </w:pPr>
      <w:r w:rsidRPr="00962E6D">
        <w:rPr>
          <w:b/>
        </w:rPr>
        <w:t xml:space="preserve">Site Specific – Preston Point Road North Recreation Precinct </w:t>
      </w:r>
    </w:p>
    <w:p w14:paraId="78C6FB22" w14:textId="77777777" w:rsidR="00CF01D0" w:rsidRPr="00962E6D" w:rsidRDefault="00CF01D0" w:rsidP="00CF01D0">
      <w:pPr>
        <w:pStyle w:val="ListParagraph"/>
        <w:spacing w:after="0"/>
        <w:ind w:left="0"/>
        <w:rPr>
          <w:bCs/>
          <w:sz w:val="28"/>
          <w:szCs w:val="28"/>
          <w:lang w:val="en-US"/>
        </w:rPr>
      </w:pPr>
      <w:r w:rsidRPr="00962E6D">
        <w:rPr>
          <w:bCs/>
        </w:rPr>
        <w:t>Notwithstanding DBCA Development Control Area and associated Riverpark requirements to the contrary, the following applies for land within the Preston Point Road North Recreation Precinct as depicted in Figure 1</w:t>
      </w:r>
      <w:r>
        <w:rPr>
          <w:bCs/>
        </w:rPr>
        <w:t>:</w:t>
      </w:r>
    </w:p>
    <w:p w14:paraId="049D2E15" w14:textId="77777777" w:rsidR="00CF01D0" w:rsidRDefault="00CF01D0" w:rsidP="00CF01D0">
      <w:pPr>
        <w:spacing w:before="240" w:after="0"/>
        <w:rPr>
          <w:b/>
          <w:sz w:val="28"/>
          <w:szCs w:val="28"/>
          <w:lang w:val="en-US"/>
        </w:rPr>
      </w:pPr>
      <w:r>
        <w:rPr>
          <w:noProof/>
        </w:rPr>
        <w:drawing>
          <wp:inline distT="0" distB="0" distL="0" distR="0" wp14:anchorId="6638202B" wp14:editId="12370444">
            <wp:extent cx="5731510" cy="3038475"/>
            <wp:effectExtent l="0" t="0" r="2540" b="9525"/>
            <wp:docPr id="230561314" name="Picture 23056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31510" cy="3038475"/>
                    </a:xfrm>
                    <a:prstGeom prst="rect">
                      <a:avLst/>
                    </a:prstGeom>
                    <a:noFill/>
                    <a:ln>
                      <a:noFill/>
                    </a:ln>
                  </pic:spPr>
                </pic:pic>
              </a:graphicData>
            </a:graphic>
          </wp:inline>
        </w:drawing>
      </w:r>
    </w:p>
    <w:p w14:paraId="1CFD904E" w14:textId="77777777" w:rsidR="00CF01D0" w:rsidRPr="00783871" w:rsidRDefault="00CF01D0" w:rsidP="00CF01D0">
      <w:pPr>
        <w:spacing w:after="0"/>
        <w:jc w:val="center"/>
        <w:rPr>
          <w:b/>
          <w:sz w:val="20"/>
          <w:szCs w:val="20"/>
          <w:lang w:val="en-US"/>
        </w:rPr>
      </w:pPr>
      <w:r w:rsidRPr="00783871">
        <w:rPr>
          <w:b/>
          <w:sz w:val="20"/>
          <w:szCs w:val="20"/>
        </w:rPr>
        <w:t>Figure 1 – Preston Point Road North Recreation Precinct – Area A Tree Management Zone</w:t>
      </w:r>
    </w:p>
    <w:p w14:paraId="4695CE69" w14:textId="77777777" w:rsidR="00CF01D0" w:rsidRPr="00783871" w:rsidRDefault="00CF01D0" w:rsidP="00CF01D0">
      <w:pPr>
        <w:spacing w:before="240" w:after="0"/>
        <w:rPr>
          <w:bCs/>
          <w:u w:val="single"/>
        </w:rPr>
      </w:pPr>
      <w:r w:rsidRPr="00783871">
        <w:rPr>
          <w:bCs/>
          <w:u w:val="single"/>
        </w:rPr>
        <w:t xml:space="preserve">Area A: </w:t>
      </w:r>
    </w:p>
    <w:p w14:paraId="7C1C7652" w14:textId="77777777" w:rsidR="00CF01D0" w:rsidRDefault="00CF01D0" w:rsidP="00CF01D0">
      <w:pPr>
        <w:spacing w:after="120"/>
        <w:rPr>
          <w:bCs/>
        </w:rPr>
      </w:pPr>
      <w:r w:rsidRPr="00783871">
        <w:rPr>
          <w:bCs/>
        </w:rPr>
        <w:t xml:space="preserve">The management, planting, and maintenance of trees in Area A will occur as required, and: </w:t>
      </w:r>
    </w:p>
    <w:p w14:paraId="6AF4225F" w14:textId="77777777" w:rsidR="00CF01D0" w:rsidRPr="00783871" w:rsidRDefault="00CF01D0" w:rsidP="007B3B6F">
      <w:pPr>
        <w:pStyle w:val="ListParagraph"/>
        <w:numPr>
          <w:ilvl w:val="0"/>
          <w:numId w:val="553"/>
        </w:numPr>
        <w:spacing w:after="120"/>
        <w:ind w:left="567" w:hanging="567"/>
        <w:contextualSpacing w:val="0"/>
        <w:rPr>
          <w:bCs/>
        </w:rPr>
      </w:pPr>
      <w:r>
        <w:rPr>
          <w:bCs/>
        </w:rPr>
        <w:t>w</w:t>
      </w:r>
      <w:r w:rsidRPr="00783871">
        <w:rPr>
          <w:bCs/>
        </w:rPr>
        <w:t xml:space="preserve">ill take into consideration an assessment of view corridors from residential properties considered by Council to be sensitive, specifically: Blackwall Reach; Bicton Baths; Associated mooring areas located between Bicton Baths and Blackwall Reach; Perth City skyline; and other requests deemed to be reasonable by the Council. </w:t>
      </w:r>
    </w:p>
    <w:p w14:paraId="32D776A5" w14:textId="77777777" w:rsidR="00CF01D0" w:rsidRPr="00783871" w:rsidRDefault="00CF01D0" w:rsidP="007B3B6F">
      <w:pPr>
        <w:pStyle w:val="ListParagraph"/>
        <w:numPr>
          <w:ilvl w:val="0"/>
          <w:numId w:val="553"/>
        </w:numPr>
        <w:spacing w:after="120"/>
        <w:ind w:left="567" w:hanging="567"/>
        <w:contextualSpacing w:val="0"/>
        <w:rPr>
          <w:bCs/>
        </w:rPr>
      </w:pPr>
      <w:r>
        <w:rPr>
          <w:bCs/>
        </w:rPr>
        <w:t>t</w:t>
      </w:r>
      <w:r w:rsidRPr="00783871">
        <w:rPr>
          <w:bCs/>
        </w:rPr>
        <w:t xml:space="preserve">he Town may crown, thin, under prune, property line prune and remedial prune selected trees that impede view corridors, however it will not prune any tree for a period of 5 years after planting unless required to do so to ensure best practice in tree care. </w:t>
      </w:r>
    </w:p>
    <w:p w14:paraId="0EEF7395" w14:textId="77777777" w:rsidR="00CF01D0" w:rsidRPr="00783871" w:rsidRDefault="00CF01D0" w:rsidP="007B3B6F">
      <w:pPr>
        <w:pStyle w:val="ListParagraph"/>
        <w:numPr>
          <w:ilvl w:val="0"/>
          <w:numId w:val="553"/>
        </w:numPr>
        <w:spacing w:after="120"/>
        <w:ind w:left="567" w:hanging="567"/>
        <w:contextualSpacing w:val="0"/>
        <w:rPr>
          <w:bCs/>
        </w:rPr>
      </w:pPr>
      <w:r>
        <w:rPr>
          <w:bCs/>
        </w:rPr>
        <w:t>t</w:t>
      </w:r>
      <w:r w:rsidRPr="00783871">
        <w:rPr>
          <w:bCs/>
        </w:rPr>
        <w:t xml:space="preserve">he height of the trees located to the south of the tennis courts adjoining Preston Point Road will be kept in line with the height of the top of the boundary fence of the tennis club along Preston Point Road, to maintain view corridors. The height of the fence is a minimum of 1400mm from natural ground level at the verge adjoining the footpath on Preston Point Road. </w:t>
      </w:r>
    </w:p>
    <w:p w14:paraId="1331D43A" w14:textId="77777777" w:rsidR="00CF01D0" w:rsidRPr="00783871" w:rsidRDefault="00CF01D0" w:rsidP="007B3B6F">
      <w:pPr>
        <w:pStyle w:val="ListParagraph"/>
        <w:numPr>
          <w:ilvl w:val="0"/>
          <w:numId w:val="553"/>
        </w:numPr>
        <w:ind w:left="567" w:hanging="567"/>
        <w:rPr>
          <w:bCs/>
        </w:rPr>
      </w:pPr>
      <w:r>
        <w:rPr>
          <w:bCs/>
        </w:rPr>
        <w:t>w</w:t>
      </w:r>
      <w:r w:rsidRPr="00783871">
        <w:rPr>
          <w:bCs/>
        </w:rPr>
        <w:t xml:space="preserve">here a tree exceeds a growth height of 4-6 metres for a ‘small tree’ and 6-8 metres for a ‘medium tree’ as advised during tree planting consultation for Preston Point Road North </w:t>
      </w:r>
      <w:r w:rsidRPr="00783871">
        <w:rPr>
          <w:bCs/>
        </w:rPr>
        <w:lastRenderedPageBreak/>
        <w:t xml:space="preserve">Recreation Precinct, the Town may consider the additional tree height as a reason to prune or crown the tree. </w:t>
      </w:r>
    </w:p>
    <w:p w14:paraId="79A77847" w14:textId="77777777" w:rsidR="00CF01D0" w:rsidRPr="00783871" w:rsidRDefault="00CF01D0" w:rsidP="00CF01D0">
      <w:pPr>
        <w:spacing w:after="0"/>
        <w:rPr>
          <w:b/>
        </w:rPr>
      </w:pPr>
      <w:r w:rsidRPr="00783871">
        <w:rPr>
          <w:b/>
        </w:rPr>
        <w:t xml:space="preserve">Maintenance and Management of Trees (General) </w:t>
      </w:r>
    </w:p>
    <w:p w14:paraId="28BE3960" w14:textId="77777777" w:rsidR="00CF01D0" w:rsidRDefault="00CF01D0" w:rsidP="00CF01D0">
      <w:pPr>
        <w:rPr>
          <w:bCs/>
        </w:rPr>
      </w:pPr>
      <w:r w:rsidRPr="00783871">
        <w:rPr>
          <w:bCs/>
        </w:rPr>
        <w:t xml:space="preserve">Ownership and maintenance of trees in public places is the responsibility of the Town. Residents and/or other persons not authorised by the Town are not permitted to prune, remove, or modify any tree in a public place. Where Council considers it to be appropriate, all naturally occurring trees in a public place are to be retained. </w:t>
      </w:r>
    </w:p>
    <w:p w14:paraId="24ABDBD6" w14:textId="77777777" w:rsidR="00CF01D0" w:rsidRDefault="00CF01D0" w:rsidP="00CF01D0">
      <w:pPr>
        <w:rPr>
          <w:bCs/>
        </w:rPr>
      </w:pPr>
      <w:r w:rsidRPr="00783871">
        <w:rPr>
          <w:bCs/>
        </w:rPr>
        <w:t xml:space="preserve">The Town will generally not support the removal of any public or street tree unless it is dead, dying or stunted. </w:t>
      </w:r>
    </w:p>
    <w:p w14:paraId="701D70EA" w14:textId="77777777" w:rsidR="00CF01D0" w:rsidRPr="00783871" w:rsidRDefault="00CF01D0" w:rsidP="00CF01D0">
      <w:pPr>
        <w:spacing w:after="0"/>
        <w:rPr>
          <w:bCs/>
          <w:u w:val="single"/>
        </w:rPr>
      </w:pPr>
      <w:r w:rsidRPr="00783871">
        <w:rPr>
          <w:bCs/>
          <w:u w:val="single"/>
        </w:rPr>
        <w:t xml:space="preserve">Post planting </w:t>
      </w:r>
    </w:p>
    <w:p w14:paraId="3481A87C" w14:textId="77777777" w:rsidR="00CF01D0" w:rsidRDefault="00CF01D0" w:rsidP="00CF01D0">
      <w:pPr>
        <w:spacing w:after="120"/>
        <w:rPr>
          <w:bCs/>
        </w:rPr>
      </w:pPr>
      <w:r w:rsidRPr="00783871">
        <w:rPr>
          <w:bCs/>
        </w:rPr>
        <w:t xml:space="preserve">Unless otherwise required/ directed by the Town, the Town is responsible for the post planting care and maintenance of </w:t>
      </w:r>
      <w:proofErr w:type="gramStart"/>
      <w:r w:rsidRPr="00783871">
        <w:rPr>
          <w:bCs/>
        </w:rPr>
        <w:t>all of</w:t>
      </w:r>
      <w:proofErr w:type="gramEnd"/>
      <w:r w:rsidRPr="00783871">
        <w:rPr>
          <w:bCs/>
        </w:rPr>
        <w:t xml:space="preserve"> the trees in public areas, specifically: </w:t>
      </w:r>
    </w:p>
    <w:p w14:paraId="6D29710A" w14:textId="77777777" w:rsidR="00CF01D0" w:rsidRPr="00783871" w:rsidRDefault="00CF01D0" w:rsidP="007B3B6F">
      <w:pPr>
        <w:pStyle w:val="ListParagraph"/>
        <w:numPr>
          <w:ilvl w:val="0"/>
          <w:numId w:val="554"/>
        </w:numPr>
        <w:spacing w:after="0"/>
        <w:ind w:left="426" w:hanging="426"/>
        <w:rPr>
          <w:bCs/>
        </w:rPr>
      </w:pPr>
      <w:r w:rsidRPr="00783871">
        <w:rPr>
          <w:bCs/>
        </w:rPr>
        <w:t>adopt</w:t>
      </w:r>
      <w:r>
        <w:rPr>
          <w:bCs/>
        </w:rPr>
        <w:t>ing</w:t>
      </w:r>
      <w:r w:rsidRPr="00783871">
        <w:rPr>
          <w:bCs/>
        </w:rPr>
        <w:t xml:space="preserve"> appropriate practices of post planting care to ensure the survival of all trees planted. </w:t>
      </w:r>
    </w:p>
    <w:p w14:paraId="69E27E39" w14:textId="77777777" w:rsidR="00CF01D0" w:rsidRPr="00783871" w:rsidRDefault="00CF01D0" w:rsidP="007B3B6F">
      <w:pPr>
        <w:pStyle w:val="ListParagraph"/>
        <w:numPr>
          <w:ilvl w:val="0"/>
          <w:numId w:val="554"/>
        </w:numPr>
        <w:spacing w:after="0"/>
        <w:ind w:left="426" w:hanging="426"/>
        <w:rPr>
          <w:bCs/>
        </w:rPr>
      </w:pPr>
      <w:r w:rsidRPr="00783871">
        <w:rPr>
          <w:bCs/>
        </w:rPr>
        <w:t>undertak</w:t>
      </w:r>
      <w:r>
        <w:rPr>
          <w:bCs/>
        </w:rPr>
        <w:t>ing</w:t>
      </w:r>
      <w:r w:rsidRPr="00783871">
        <w:rPr>
          <w:bCs/>
        </w:rPr>
        <w:t xml:space="preserve"> the watering and maintenance of all new trees, as and when required, until the trees are established or for a period of not less than two (2) years. </w:t>
      </w:r>
    </w:p>
    <w:p w14:paraId="311138A2" w14:textId="77777777" w:rsidR="00CF01D0" w:rsidRPr="00783871" w:rsidRDefault="00CF01D0" w:rsidP="007B3B6F">
      <w:pPr>
        <w:pStyle w:val="ListParagraph"/>
        <w:numPr>
          <w:ilvl w:val="0"/>
          <w:numId w:val="554"/>
        </w:numPr>
        <w:ind w:left="426" w:hanging="426"/>
        <w:rPr>
          <w:bCs/>
        </w:rPr>
      </w:pPr>
      <w:r>
        <w:rPr>
          <w:bCs/>
        </w:rPr>
        <w:t>t</w:t>
      </w:r>
      <w:r w:rsidRPr="00783871">
        <w:rPr>
          <w:bCs/>
        </w:rPr>
        <w:t xml:space="preserve">ree watering will include </w:t>
      </w:r>
      <w:proofErr w:type="gramStart"/>
      <w:r w:rsidRPr="00783871">
        <w:rPr>
          <w:bCs/>
        </w:rPr>
        <w:t>all of</w:t>
      </w:r>
      <w:proofErr w:type="gramEnd"/>
      <w:r w:rsidRPr="00783871">
        <w:rPr>
          <w:bCs/>
        </w:rPr>
        <w:t xml:space="preserve"> the Town’s programmed plantings. </w:t>
      </w:r>
    </w:p>
    <w:p w14:paraId="7CB67637" w14:textId="77777777" w:rsidR="00CF01D0" w:rsidRPr="00783871" w:rsidRDefault="00CF01D0" w:rsidP="00CF01D0">
      <w:pPr>
        <w:spacing w:after="0"/>
        <w:rPr>
          <w:bCs/>
          <w:u w:val="single"/>
        </w:rPr>
      </w:pPr>
      <w:r w:rsidRPr="00783871">
        <w:rPr>
          <w:bCs/>
          <w:u w:val="single"/>
        </w:rPr>
        <w:t xml:space="preserve">Tree pruning </w:t>
      </w:r>
    </w:p>
    <w:p w14:paraId="7EE2143D" w14:textId="77777777" w:rsidR="00CF01D0" w:rsidRDefault="00CF01D0" w:rsidP="00CF01D0">
      <w:pPr>
        <w:rPr>
          <w:bCs/>
        </w:rPr>
      </w:pPr>
      <w:r w:rsidRPr="00783871">
        <w:rPr>
          <w:bCs/>
        </w:rPr>
        <w:t xml:space="preserve">Selective pruning of tree canopies can help improve structural form and site safety. Correct tree pruning practices can reduce the likelihood of branch failures, limit pest and disease infestations, improve site safety and tree amenity, encourage sound structural development and extend tree longevity. Pruning may be also required in some circumstances for crown lifting for construction, vehicular or machinery access. Incorrect pruning is often irreversible, may negatively impact tree health and structure and create unnecessary hazards within and surrounding the tree. </w:t>
      </w:r>
    </w:p>
    <w:p w14:paraId="422F5688" w14:textId="77777777" w:rsidR="00CF01D0" w:rsidRDefault="00CF01D0" w:rsidP="00CF01D0">
      <w:pPr>
        <w:spacing w:after="120"/>
        <w:rPr>
          <w:bCs/>
        </w:rPr>
      </w:pPr>
      <w:r w:rsidRPr="00783871">
        <w:rPr>
          <w:bCs/>
        </w:rPr>
        <w:t xml:space="preserve">Trees planted in the Town may be considered for pruning by an authorised person for the following reasons: </w:t>
      </w:r>
    </w:p>
    <w:p w14:paraId="2D176850" w14:textId="77777777" w:rsidR="00CF01D0" w:rsidRPr="00783871" w:rsidRDefault="00CF01D0" w:rsidP="007B3B6F">
      <w:pPr>
        <w:pStyle w:val="ListParagraph"/>
        <w:numPr>
          <w:ilvl w:val="0"/>
          <w:numId w:val="555"/>
        </w:numPr>
        <w:spacing w:after="120"/>
        <w:ind w:left="425" w:hanging="425"/>
        <w:contextualSpacing w:val="0"/>
        <w:rPr>
          <w:bCs/>
        </w:rPr>
      </w:pPr>
      <w:r w:rsidRPr="00783871">
        <w:rPr>
          <w:bCs/>
        </w:rPr>
        <w:t xml:space="preserve">A tree and or its limbs are deemed a safety risk to property and/or the community. </w:t>
      </w:r>
    </w:p>
    <w:p w14:paraId="760994C9" w14:textId="77777777" w:rsidR="00CF01D0" w:rsidRPr="00783871" w:rsidRDefault="00CF01D0" w:rsidP="007B3B6F">
      <w:pPr>
        <w:pStyle w:val="ListParagraph"/>
        <w:numPr>
          <w:ilvl w:val="0"/>
          <w:numId w:val="555"/>
        </w:numPr>
        <w:spacing w:after="120"/>
        <w:ind w:left="425" w:hanging="425"/>
        <w:contextualSpacing w:val="0"/>
        <w:rPr>
          <w:bCs/>
        </w:rPr>
      </w:pPr>
      <w:r w:rsidRPr="00783871">
        <w:rPr>
          <w:bCs/>
        </w:rPr>
        <w:t xml:space="preserve">Allow unobstructed pedestrian and vehicle movement on public thoroughfares. </w:t>
      </w:r>
    </w:p>
    <w:p w14:paraId="689DC70C" w14:textId="77777777" w:rsidR="00CF01D0" w:rsidRPr="00783871" w:rsidRDefault="00CF01D0" w:rsidP="007B3B6F">
      <w:pPr>
        <w:pStyle w:val="ListParagraph"/>
        <w:numPr>
          <w:ilvl w:val="0"/>
          <w:numId w:val="555"/>
        </w:numPr>
        <w:spacing w:after="120"/>
        <w:ind w:left="425" w:hanging="425"/>
        <w:contextualSpacing w:val="0"/>
        <w:rPr>
          <w:bCs/>
        </w:rPr>
      </w:pPr>
      <w:r w:rsidRPr="00783871">
        <w:rPr>
          <w:bCs/>
        </w:rPr>
        <w:t xml:space="preserve">Ensure clear traffic sightlines. </w:t>
      </w:r>
    </w:p>
    <w:p w14:paraId="07EA0416" w14:textId="77777777" w:rsidR="00CF01D0" w:rsidRPr="00783871" w:rsidRDefault="00CF01D0" w:rsidP="007B3B6F">
      <w:pPr>
        <w:pStyle w:val="ListParagraph"/>
        <w:numPr>
          <w:ilvl w:val="0"/>
          <w:numId w:val="555"/>
        </w:numPr>
        <w:spacing w:after="120"/>
        <w:ind w:left="425" w:hanging="425"/>
        <w:contextualSpacing w:val="0"/>
        <w:rPr>
          <w:bCs/>
        </w:rPr>
      </w:pPr>
      <w:r w:rsidRPr="00783871">
        <w:rPr>
          <w:bCs/>
        </w:rPr>
        <w:t xml:space="preserve">Improve tree form, structure and health. </w:t>
      </w:r>
    </w:p>
    <w:p w14:paraId="37AB629C" w14:textId="77777777" w:rsidR="00CF01D0" w:rsidRPr="00783871" w:rsidRDefault="00CF01D0" w:rsidP="007B3B6F">
      <w:pPr>
        <w:pStyle w:val="ListParagraph"/>
        <w:numPr>
          <w:ilvl w:val="0"/>
          <w:numId w:val="555"/>
        </w:numPr>
        <w:spacing w:after="120"/>
        <w:ind w:left="425" w:hanging="425"/>
        <w:contextualSpacing w:val="0"/>
        <w:rPr>
          <w:bCs/>
        </w:rPr>
      </w:pPr>
      <w:r w:rsidRPr="00783871">
        <w:rPr>
          <w:bCs/>
        </w:rPr>
        <w:t xml:space="preserve">Remove dead or dying limbs </w:t>
      </w:r>
    </w:p>
    <w:p w14:paraId="44F2D15D" w14:textId="77777777" w:rsidR="00CF01D0" w:rsidRPr="00783871" w:rsidRDefault="00CF01D0" w:rsidP="007B3B6F">
      <w:pPr>
        <w:pStyle w:val="ListParagraph"/>
        <w:numPr>
          <w:ilvl w:val="0"/>
          <w:numId w:val="555"/>
        </w:numPr>
        <w:spacing w:after="120"/>
        <w:ind w:left="425" w:hanging="425"/>
        <w:contextualSpacing w:val="0"/>
        <w:rPr>
          <w:bCs/>
        </w:rPr>
      </w:pPr>
      <w:r w:rsidRPr="00783871">
        <w:rPr>
          <w:bCs/>
        </w:rPr>
        <w:t xml:space="preserve">Remove diseased or pest infested limbs. </w:t>
      </w:r>
    </w:p>
    <w:p w14:paraId="3256BCB2" w14:textId="77777777" w:rsidR="00CF01D0" w:rsidRPr="00783871" w:rsidRDefault="00CF01D0" w:rsidP="007B3B6F">
      <w:pPr>
        <w:pStyle w:val="ListParagraph"/>
        <w:numPr>
          <w:ilvl w:val="0"/>
          <w:numId w:val="555"/>
        </w:numPr>
        <w:spacing w:after="120"/>
        <w:ind w:left="425" w:hanging="425"/>
        <w:contextualSpacing w:val="0"/>
        <w:rPr>
          <w:bCs/>
        </w:rPr>
      </w:pPr>
      <w:r w:rsidRPr="00783871">
        <w:rPr>
          <w:bCs/>
        </w:rPr>
        <w:t xml:space="preserve">A tree is considered unsuitable by the Town. </w:t>
      </w:r>
    </w:p>
    <w:p w14:paraId="4491BF52" w14:textId="77777777" w:rsidR="00CF01D0" w:rsidRPr="00783871" w:rsidRDefault="00CF01D0" w:rsidP="007B3B6F">
      <w:pPr>
        <w:pStyle w:val="ListParagraph"/>
        <w:numPr>
          <w:ilvl w:val="0"/>
          <w:numId w:val="555"/>
        </w:numPr>
        <w:ind w:left="426" w:hanging="426"/>
        <w:rPr>
          <w:bCs/>
        </w:rPr>
      </w:pPr>
      <w:r w:rsidRPr="00783871">
        <w:rPr>
          <w:bCs/>
        </w:rPr>
        <w:t xml:space="preserve">Retention of view corridors strictly relating to those trees in Area A only. Any tree that is replaced because of malicious damage, poisoning and wilful actions does not fall with the requirements of this criteria and therefore is not required to be considered under the provisions of managing sensitive view corridors. Replacement trees are as per the requirements of this Policy. </w:t>
      </w:r>
    </w:p>
    <w:p w14:paraId="266591A5" w14:textId="77777777" w:rsidR="00CF01D0" w:rsidRDefault="00CF01D0" w:rsidP="00CF01D0">
      <w:pPr>
        <w:spacing w:after="120"/>
        <w:rPr>
          <w:bCs/>
        </w:rPr>
      </w:pPr>
      <w:r>
        <w:rPr>
          <w:bCs/>
        </w:rPr>
        <w:t>T</w:t>
      </w:r>
      <w:r w:rsidRPr="00783871">
        <w:rPr>
          <w:bCs/>
        </w:rPr>
        <w:t xml:space="preserve">rees will not be considered for pruning to: </w:t>
      </w:r>
    </w:p>
    <w:p w14:paraId="21912D27" w14:textId="77777777" w:rsidR="00CF01D0" w:rsidRPr="00CF5737" w:rsidRDefault="00CF01D0" w:rsidP="007B3B6F">
      <w:pPr>
        <w:pStyle w:val="ListParagraph"/>
        <w:numPr>
          <w:ilvl w:val="0"/>
          <w:numId w:val="556"/>
        </w:numPr>
        <w:spacing w:after="120"/>
        <w:ind w:left="425" w:hanging="425"/>
        <w:contextualSpacing w:val="0"/>
        <w:rPr>
          <w:bCs/>
        </w:rPr>
      </w:pPr>
      <w:r>
        <w:rPr>
          <w:bCs/>
        </w:rPr>
        <w:lastRenderedPageBreak/>
        <w:t>r</w:t>
      </w:r>
      <w:r w:rsidRPr="00CF5737">
        <w:rPr>
          <w:bCs/>
        </w:rPr>
        <w:t xml:space="preserve">educe leaf or fruit litter, bark drop, bird droppings or similar. </w:t>
      </w:r>
    </w:p>
    <w:p w14:paraId="597DEC36" w14:textId="77777777" w:rsidR="00CF01D0" w:rsidRDefault="00CF01D0" w:rsidP="007B3B6F">
      <w:pPr>
        <w:pStyle w:val="ListParagraph"/>
        <w:numPr>
          <w:ilvl w:val="0"/>
          <w:numId w:val="556"/>
        </w:numPr>
        <w:spacing w:after="120"/>
        <w:ind w:left="425" w:hanging="425"/>
        <w:contextualSpacing w:val="0"/>
        <w:rPr>
          <w:bCs/>
        </w:rPr>
      </w:pPr>
      <w:r>
        <w:rPr>
          <w:bCs/>
        </w:rPr>
        <w:t>r</w:t>
      </w:r>
      <w:r w:rsidRPr="00CF5737">
        <w:rPr>
          <w:bCs/>
        </w:rPr>
        <w:t>educe height without a justifiable arboriculture cause (unless to protect views in Area A and complies with the requirements of the area specific criteria and/ or is not a replacement tree).</w:t>
      </w:r>
    </w:p>
    <w:p w14:paraId="4EDBB28D" w14:textId="77777777" w:rsidR="00CF01D0" w:rsidRPr="00CF5737" w:rsidRDefault="00CF01D0" w:rsidP="007B3B6F">
      <w:pPr>
        <w:pStyle w:val="ListParagraph"/>
        <w:numPr>
          <w:ilvl w:val="0"/>
          <w:numId w:val="556"/>
        </w:numPr>
        <w:spacing w:after="120"/>
        <w:ind w:left="425" w:hanging="425"/>
        <w:contextualSpacing w:val="0"/>
        <w:rPr>
          <w:bCs/>
        </w:rPr>
      </w:pPr>
      <w:r>
        <w:rPr>
          <w:bCs/>
        </w:rPr>
        <w:t>r</w:t>
      </w:r>
      <w:r w:rsidRPr="00CF5737">
        <w:rPr>
          <w:bCs/>
        </w:rPr>
        <w:t xml:space="preserve">educe shade. </w:t>
      </w:r>
    </w:p>
    <w:p w14:paraId="5D5DAA61" w14:textId="77777777" w:rsidR="00CF01D0" w:rsidRPr="00CF5737" w:rsidRDefault="00CF01D0" w:rsidP="007B3B6F">
      <w:pPr>
        <w:pStyle w:val="ListParagraph"/>
        <w:numPr>
          <w:ilvl w:val="0"/>
          <w:numId w:val="556"/>
        </w:numPr>
        <w:ind w:left="426" w:hanging="426"/>
        <w:rPr>
          <w:bCs/>
        </w:rPr>
      </w:pPr>
      <w:r>
        <w:rPr>
          <w:bCs/>
        </w:rPr>
        <w:t>f</w:t>
      </w:r>
      <w:r w:rsidRPr="00CF5737">
        <w:rPr>
          <w:bCs/>
        </w:rPr>
        <w:t xml:space="preserve">acilitate the construction of a new crossover. </w:t>
      </w:r>
    </w:p>
    <w:p w14:paraId="6D5E3F4D" w14:textId="77777777" w:rsidR="00CF01D0" w:rsidRPr="00CF5737" w:rsidRDefault="00CF01D0" w:rsidP="00CF01D0">
      <w:pPr>
        <w:spacing w:after="0"/>
        <w:rPr>
          <w:bCs/>
          <w:u w:val="single"/>
        </w:rPr>
      </w:pPr>
      <w:r w:rsidRPr="00CF5737">
        <w:rPr>
          <w:bCs/>
          <w:u w:val="single"/>
        </w:rPr>
        <w:t xml:space="preserve">Tree pruning specifications </w:t>
      </w:r>
    </w:p>
    <w:p w14:paraId="53AF54AC" w14:textId="77777777" w:rsidR="00CF01D0" w:rsidRDefault="00CF01D0" w:rsidP="00CF01D0">
      <w:pPr>
        <w:rPr>
          <w:bCs/>
        </w:rPr>
      </w:pPr>
      <w:r w:rsidRPr="00783871">
        <w:rPr>
          <w:bCs/>
        </w:rPr>
        <w:t>Where a tree has been assessed by the Town and found to need pruning, the specified required works are to comply with the Australian Standards 4373 ‘Pruning of Amenity Trees’ 2007 and are to be undertaken by a suitably trained and qualified arborist with a (minimum) Australian Qualification Framework (AFQ) Level 5 Arborist (Certificate 3 in Arboriculture/ Diploma in Arboriculture).</w:t>
      </w:r>
    </w:p>
    <w:p w14:paraId="08503350" w14:textId="77777777" w:rsidR="00CF01D0" w:rsidRPr="00CF5737" w:rsidRDefault="00CF01D0" w:rsidP="00CF01D0">
      <w:pPr>
        <w:spacing w:after="0"/>
        <w:rPr>
          <w:b/>
        </w:rPr>
      </w:pPr>
      <w:r w:rsidRPr="00CF5737">
        <w:rPr>
          <w:b/>
        </w:rPr>
        <w:t xml:space="preserve">Procedure for request for pruning </w:t>
      </w:r>
    </w:p>
    <w:p w14:paraId="07CD3BF6" w14:textId="77777777" w:rsidR="00CF01D0" w:rsidRDefault="00CF01D0" w:rsidP="00CF01D0">
      <w:pPr>
        <w:rPr>
          <w:bCs/>
        </w:rPr>
      </w:pPr>
      <w:r w:rsidRPr="00783871">
        <w:rPr>
          <w:bCs/>
        </w:rPr>
        <w:t xml:space="preserve">Residents/ owners may request the Town to consider pruning a tree by writing to the Town specifying the reason for the pruning and provide any other information to support the request based on this policy. </w:t>
      </w:r>
    </w:p>
    <w:p w14:paraId="6782132C" w14:textId="77777777" w:rsidR="00CF01D0" w:rsidRDefault="00CF01D0" w:rsidP="00CF01D0">
      <w:pPr>
        <w:spacing w:after="0"/>
        <w:rPr>
          <w:bCs/>
        </w:rPr>
      </w:pPr>
      <w:r w:rsidRPr="00783871">
        <w:rPr>
          <w:bCs/>
        </w:rPr>
        <w:t xml:space="preserve">Upon receipt of such a request for consideration: </w:t>
      </w:r>
    </w:p>
    <w:p w14:paraId="042671C7" w14:textId="77777777" w:rsidR="00CF01D0" w:rsidRPr="00CF5737" w:rsidRDefault="00CF01D0" w:rsidP="007B3B6F">
      <w:pPr>
        <w:pStyle w:val="ListParagraph"/>
        <w:numPr>
          <w:ilvl w:val="0"/>
          <w:numId w:val="557"/>
        </w:numPr>
        <w:spacing w:after="0"/>
        <w:ind w:left="567" w:hanging="567"/>
        <w:rPr>
          <w:bCs/>
        </w:rPr>
      </w:pPr>
      <w:r>
        <w:rPr>
          <w:bCs/>
        </w:rPr>
        <w:t>the Town will a</w:t>
      </w:r>
      <w:r w:rsidRPr="00CF5737">
        <w:rPr>
          <w:bCs/>
        </w:rPr>
        <w:t xml:space="preserve">ssess the request </w:t>
      </w:r>
      <w:proofErr w:type="gramStart"/>
      <w:r w:rsidRPr="00CF5737">
        <w:rPr>
          <w:bCs/>
        </w:rPr>
        <w:t>on the basis of</w:t>
      </w:r>
      <w:proofErr w:type="gramEnd"/>
      <w:r w:rsidRPr="00CF5737">
        <w:rPr>
          <w:bCs/>
        </w:rPr>
        <w:t xml:space="preserve"> those reasons previously stated in this policy for which pruning may be considered. </w:t>
      </w:r>
    </w:p>
    <w:p w14:paraId="51E79D42" w14:textId="77777777" w:rsidR="00CF01D0" w:rsidRPr="00CF5737" w:rsidRDefault="00CF01D0" w:rsidP="007B3B6F">
      <w:pPr>
        <w:pStyle w:val="ListParagraph"/>
        <w:numPr>
          <w:ilvl w:val="0"/>
          <w:numId w:val="557"/>
        </w:numPr>
        <w:spacing w:after="0"/>
        <w:ind w:left="567" w:hanging="567"/>
        <w:rPr>
          <w:bCs/>
        </w:rPr>
      </w:pPr>
      <w:r>
        <w:rPr>
          <w:bCs/>
        </w:rPr>
        <w:t>the Town will c</w:t>
      </w:r>
      <w:r w:rsidRPr="00CF5737">
        <w:rPr>
          <w:bCs/>
        </w:rPr>
        <w:t xml:space="preserve">ause the tree to be physically inspected by an officer(s) of the Town or an officer appointed by the Town and an inspection report be completed, containing relevant statistical details (for example height, visual health etc). Where further technical information is required, the Town may seek the advice of a qualified </w:t>
      </w:r>
      <w:proofErr w:type="spellStart"/>
      <w:r w:rsidRPr="00CF5737">
        <w:rPr>
          <w:bCs/>
        </w:rPr>
        <w:t>aborist</w:t>
      </w:r>
      <w:proofErr w:type="spellEnd"/>
      <w:r w:rsidRPr="00CF5737">
        <w:rPr>
          <w:bCs/>
        </w:rPr>
        <w:t xml:space="preserve">, the cost of the </w:t>
      </w:r>
      <w:proofErr w:type="spellStart"/>
      <w:r w:rsidRPr="00CF5737">
        <w:rPr>
          <w:bCs/>
        </w:rPr>
        <w:t>aborist</w:t>
      </w:r>
      <w:proofErr w:type="spellEnd"/>
      <w:r w:rsidRPr="00CF5737">
        <w:rPr>
          <w:bCs/>
        </w:rPr>
        <w:t xml:space="preserve"> and any technical information is to be borne by the applicant. </w:t>
      </w:r>
    </w:p>
    <w:p w14:paraId="3D88CF22" w14:textId="77777777" w:rsidR="00CF01D0" w:rsidRPr="00CF5737" w:rsidRDefault="00CF01D0" w:rsidP="007B3B6F">
      <w:pPr>
        <w:pStyle w:val="ListParagraph"/>
        <w:numPr>
          <w:ilvl w:val="0"/>
          <w:numId w:val="557"/>
        </w:numPr>
        <w:spacing w:after="0"/>
        <w:ind w:left="567" w:hanging="567"/>
        <w:rPr>
          <w:bCs/>
        </w:rPr>
      </w:pPr>
      <w:r>
        <w:rPr>
          <w:bCs/>
        </w:rPr>
        <w:t>i</w:t>
      </w:r>
      <w:r w:rsidRPr="00CF5737">
        <w:rPr>
          <w:bCs/>
        </w:rPr>
        <w:t xml:space="preserve">n the case of Area A, an </w:t>
      </w:r>
      <w:r>
        <w:rPr>
          <w:bCs/>
        </w:rPr>
        <w:t>o</w:t>
      </w:r>
      <w:r w:rsidRPr="00CF5737">
        <w:rPr>
          <w:bCs/>
        </w:rPr>
        <w:t xml:space="preserve">fficer of the Town will assess any claimed impact on view corridors and a report will be completed. </w:t>
      </w:r>
    </w:p>
    <w:p w14:paraId="447F233E" w14:textId="77777777" w:rsidR="00CF01D0" w:rsidRPr="00CF5737" w:rsidRDefault="00CF01D0" w:rsidP="007B3B6F">
      <w:pPr>
        <w:pStyle w:val="ListParagraph"/>
        <w:numPr>
          <w:ilvl w:val="0"/>
          <w:numId w:val="557"/>
        </w:numPr>
        <w:spacing w:after="0"/>
        <w:ind w:left="567" w:hanging="567"/>
        <w:rPr>
          <w:bCs/>
        </w:rPr>
      </w:pPr>
      <w:r>
        <w:rPr>
          <w:bCs/>
        </w:rPr>
        <w:t>t</w:t>
      </w:r>
      <w:r w:rsidRPr="00CF5737">
        <w:rPr>
          <w:bCs/>
        </w:rPr>
        <w:t xml:space="preserve">he results and recommendations from these inspections and reports will be presented to the Town’s Chief Executive Officer for a decision on action to be taken. </w:t>
      </w:r>
    </w:p>
    <w:p w14:paraId="5C77DDD5" w14:textId="77777777" w:rsidR="00CF01D0" w:rsidRPr="00CF5737" w:rsidRDefault="00CF01D0" w:rsidP="007B3B6F">
      <w:pPr>
        <w:pStyle w:val="ListParagraph"/>
        <w:numPr>
          <w:ilvl w:val="0"/>
          <w:numId w:val="557"/>
        </w:numPr>
        <w:ind w:left="567" w:hanging="567"/>
        <w:rPr>
          <w:bCs/>
        </w:rPr>
      </w:pPr>
      <w:r>
        <w:rPr>
          <w:bCs/>
        </w:rPr>
        <w:t>a</w:t>
      </w:r>
      <w:r w:rsidRPr="00CF5737">
        <w:rPr>
          <w:bCs/>
        </w:rPr>
        <w:t xml:space="preserve"> report may be presented to Council for consideration and determination where a specific issue relating to pruning of significant trees has not been agreed to the satisfaction of both the Town and the applicant, or in the instance where the request has been refused. </w:t>
      </w:r>
    </w:p>
    <w:p w14:paraId="7D862C30" w14:textId="77777777" w:rsidR="00CF01D0" w:rsidRPr="00CF5737" w:rsidRDefault="00CF01D0" w:rsidP="00CF01D0">
      <w:pPr>
        <w:spacing w:after="0"/>
        <w:rPr>
          <w:b/>
        </w:rPr>
      </w:pPr>
      <w:r w:rsidRPr="00CF5737">
        <w:rPr>
          <w:b/>
        </w:rPr>
        <w:t xml:space="preserve">Tree replacement </w:t>
      </w:r>
    </w:p>
    <w:p w14:paraId="1F5A184A" w14:textId="77777777" w:rsidR="00CF01D0" w:rsidRPr="00CF5737" w:rsidRDefault="00CF01D0" w:rsidP="00CF01D0">
      <w:pPr>
        <w:spacing w:after="0"/>
        <w:rPr>
          <w:bCs/>
          <w:u w:val="single"/>
        </w:rPr>
      </w:pPr>
      <w:r w:rsidRPr="00CF5737">
        <w:rPr>
          <w:bCs/>
          <w:u w:val="single"/>
        </w:rPr>
        <w:t xml:space="preserve">Loss of tree/removal of dead tree due to natural environmental conditions </w:t>
      </w:r>
    </w:p>
    <w:p w14:paraId="5E628342" w14:textId="77777777" w:rsidR="00CF01D0" w:rsidRPr="00CF5737" w:rsidRDefault="00CF01D0" w:rsidP="007B3B6F">
      <w:pPr>
        <w:pStyle w:val="ListParagraph"/>
        <w:numPr>
          <w:ilvl w:val="0"/>
          <w:numId w:val="558"/>
        </w:numPr>
        <w:spacing w:after="0"/>
        <w:ind w:left="567" w:hanging="567"/>
        <w:rPr>
          <w:bCs/>
        </w:rPr>
      </w:pPr>
      <w:r w:rsidRPr="00CF5737">
        <w:rPr>
          <w:bCs/>
        </w:rPr>
        <w:t xml:space="preserve">Where any tree dies or is required to be removed because of natural environmental conditions or by disease, the tree will be replaced with a like-for-like species and at a ratio of 1 to 1. </w:t>
      </w:r>
    </w:p>
    <w:p w14:paraId="0452538C" w14:textId="77777777" w:rsidR="00CF01D0" w:rsidRPr="00CF5737" w:rsidRDefault="00CF01D0" w:rsidP="007B3B6F">
      <w:pPr>
        <w:pStyle w:val="ListParagraph"/>
        <w:numPr>
          <w:ilvl w:val="0"/>
          <w:numId w:val="558"/>
        </w:numPr>
        <w:ind w:left="567" w:hanging="567"/>
        <w:rPr>
          <w:bCs/>
        </w:rPr>
      </w:pPr>
      <w:r w:rsidRPr="00CF5737">
        <w:rPr>
          <w:bCs/>
        </w:rPr>
        <w:t xml:space="preserve">Removal of whole or part of a tree by an authorised person due to the death of a tree will result in the tree being replaced with a tree variety and size selected by the Town and where relevant, as per the requirements of the DBCA. </w:t>
      </w:r>
    </w:p>
    <w:p w14:paraId="655BC9CB" w14:textId="77777777" w:rsidR="00CF01D0" w:rsidRPr="00CF5737" w:rsidRDefault="00CF01D0" w:rsidP="00CF01D0">
      <w:pPr>
        <w:spacing w:after="0"/>
        <w:rPr>
          <w:bCs/>
          <w:u w:val="single"/>
        </w:rPr>
      </w:pPr>
      <w:r w:rsidRPr="00CF5737">
        <w:rPr>
          <w:bCs/>
          <w:u w:val="single"/>
        </w:rPr>
        <w:t xml:space="preserve">Loss of tree due to intentional damage, poisoning, or wilful actions </w:t>
      </w:r>
    </w:p>
    <w:p w14:paraId="0D5969D5" w14:textId="77777777" w:rsidR="00CF01D0" w:rsidRPr="00CF5737" w:rsidRDefault="00CF01D0" w:rsidP="007B3B6F">
      <w:pPr>
        <w:pStyle w:val="ListParagraph"/>
        <w:numPr>
          <w:ilvl w:val="0"/>
          <w:numId w:val="559"/>
        </w:numPr>
        <w:spacing w:after="0"/>
        <w:ind w:left="567" w:hanging="567"/>
        <w:rPr>
          <w:bCs/>
          <w:lang w:val="en-US"/>
        </w:rPr>
      </w:pPr>
      <w:r w:rsidRPr="00CF5737">
        <w:rPr>
          <w:bCs/>
        </w:rPr>
        <w:t xml:space="preserve">Any tree within the Town that is wilfully damaged, removed, poisoned, ring barked or otherwise damaged/killed, will be replaced by a species as recommended by DBCA (where relevant) and chosen by the Town at a ratio of 3 trees planted for any 1 tree removed. • Where it is </w:t>
      </w:r>
      <w:r w:rsidRPr="00CF5737">
        <w:rPr>
          <w:bCs/>
        </w:rPr>
        <w:lastRenderedPageBreak/>
        <w:t>considered that further damage may occur to replacement or other nearby trees, the Town may erect signage or structures to identify a tree(s) was wilfully damaged, prior to planting the 3 replacement trees. The time such signage or structures remains in situ is at the discretion of the Town.</w:t>
      </w:r>
    </w:p>
    <w:p w14:paraId="3A3DD83C" w14:textId="77777777" w:rsidR="00CF01D0" w:rsidRPr="00CF5737" w:rsidRDefault="00CF01D0" w:rsidP="007B3B6F">
      <w:pPr>
        <w:pStyle w:val="ListParagraph"/>
        <w:numPr>
          <w:ilvl w:val="0"/>
          <w:numId w:val="559"/>
        </w:numPr>
        <w:spacing w:after="0"/>
        <w:ind w:left="567" w:hanging="567"/>
        <w:rPr>
          <w:bCs/>
          <w:lang w:val="en-US"/>
        </w:rPr>
      </w:pPr>
      <w:r w:rsidRPr="00CF5737">
        <w:rPr>
          <w:bCs/>
        </w:rPr>
        <w:t xml:space="preserve">No height provision/restrictions will be considered for the replacement tree/s maliciously damaged/killed/removed, including replacement trees provided in Area A (Figure 1). Trees replaced because of intentional actions will not be pruned by the Town for the purposes of maintaining view corridors. </w:t>
      </w:r>
    </w:p>
    <w:p w14:paraId="719D570D" w14:textId="77777777" w:rsidR="00CF01D0" w:rsidRPr="00CF5737" w:rsidRDefault="00CF01D0" w:rsidP="007B3B6F">
      <w:pPr>
        <w:pStyle w:val="ListParagraph"/>
        <w:numPr>
          <w:ilvl w:val="0"/>
          <w:numId w:val="559"/>
        </w:numPr>
        <w:spacing w:after="0"/>
        <w:ind w:left="567" w:hanging="567"/>
        <w:rPr>
          <w:bCs/>
          <w:lang w:val="en-US"/>
        </w:rPr>
      </w:pPr>
      <w:r w:rsidRPr="00CF5737">
        <w:rPr>
          <w:bCs/>
        </w:rPr>
        <w:t xml:space="preserve">The Town will not seek comment on the replacement trees maliciously damaged/killed/removed. </w:t>
      </w:r>
    </w:p>
    <w:p w14:paraId="3C218516" w14:textId="77777777" w:rsidR="00CF01D0" w:rsidRPr="00CF5737" w:rsidRDefault="00CF01D0" w:rsidP="007B3B6F">
      <w:pPr>
        <w:pStyle w:val="ListParagraph"/>
        <w:numPr>
          <w:ilvl w:val="0"/>
          <w:numId w:val="559"/>
        </w:numPr>
        <w:spacing w:after="0"/>
        <w:ind w:left="567" w:hanging="567"/>
        <w:rPr>
          <w:bCs/>
          <w:lang w:val="en-US"/>
        </w:rPr>
      </w:pPr>
      <w:r w:rsidRPr="00CF5737">
        <w:rPr>
          <w:bCs/>
        </w:rPr>
        <w:t xml:space="preserve">The pruning of any tree without the Town’s authorisation affecting tree growth and associated survival will be treated in the same manner </w:t>
      </w:r>
      <w:proofErr w:type="gramStart"/>
      <w:r w:rsidRPr="00CF5737">
        <w:rPr>
          <w:bCs/>
        </w:rPr>
        <w:t>with regard to</w:t>
      </w:r>
      <w:proofErr w:type="gramEnd"/>
      <w:r w:rsidRPr="00CF5737">
        <w:rPr>
          <w:bCs/>
        </w:rPr>
        <w:t xml:space="preserve"> replacement. </w:t>
      </w:r>
    </w:p>
    <w:p w14:paraId="6CFB5E1A" w14:textId="77777777" w:rsidR="00CF01D0" w:rsidRPr="00CF5737" w:rsidRDefault="00CF01D0" w:rsidP="00CF01D0">
      <w:pPr>
        <w:spacing w:after="0"/>
        <w:rPr>
          <w:bCs/>
          <w:i/>
          <w:iCs/>
          <w:sz w:val="18"/>
          <w:szCs w:val="18"/>
        </w:rPr>
      </w:pPr>
      <w:r w:rsidRPr="00CF5737">
        <w:rPr>
          <w:bCs/>
          <w:i/>
          <w:iCs/>
          <w:sz w:val="18"/>
          <w:szCs w:val="18"/>
        </w:rPr>
        <w:t xml:space="preserve">(Note: In addition to the action above, the Town’s local laws allow for a penalty per unauthorised tree removal where it can be identified who removed the tree). </w:t>
      </w:r>
    </w:p>
    <w:p w14:paraId="025605BB" w14:textId="77777777" w:rsidR="00CF01D0" w:rsidRDefault="00CF01D0" w:rsidP="00CF01D0">
      <w:pPr>
        <w:spacing w:after="0"/>
        <w:rPr>
          <w:bCs/>
        </w:rPr>
      </w:pPr>
    </w:p>
    <w:p w14:paraId="39269B32" w14:textId="77777777" w:rsidR="00CF01D0" w:rsidRPr="00CF5737" w:rsidRDefault="00CF01D0" w:rsidP="00CF01D0">
      <w:pPr>
        <w:spacing w:after="0"/>
        <w:rPr>
          <w:b/>
        </w:rPr>
      </w:pPr>
      <w:r w:rsidRPr="00CF5737">
        <w:rPr>
          <w:b/>
        </w:rPr>
        <w:t xml:space="preserve">Other relevant requirements: </w:t>
      </w:r>
    </w:p>
    <w:p w14:paraId="191C92DA" w14:textId="77777777" w:rsidR="00CF01D0" w:rsidRDefault="00CF01D0" w:rsidP="00CF01D0">
      <w:pPr>
        <w:spacing w:after="120"/>
        <w:rPr>
          <w:bCs/>
        </w:rPr>
      </w:pPr>
      <w:r w:rsidRPr="00CF5737">
        <w:rPr>
          <w:bCs/>
        </w:rPr>
        <w:t xml:space="preserve">Town of East Fremantle - Delegations </w:t>
      </w:r>
    </w:p>
    <w:p w14:paraId="783A7CD3" w14:textId="77777777" w:rsidR="00CF01D0" w:rsidRPr="00CF5737" w:rsidRDefault="00CF01D0" w:rsidP="007B3B6F">
      <w:pPr>
        <w:pStyle w:val="ListParagraph"/>
        <w:numPr>
          <w:ilvl w:val="0"/>
          <w:numId w:val="560"/>
        </w:numPr>
        <w:spacing w:after="120"/>
        <w:ind w:left="426" w:hanging="426"/>
        <w:contextualSpacing w:val="0"/>
        <w:rPr>
          <w:bCs/>
        </w:rPr>
      </w:pPr>
      <w:r w:rsidRPr="00CF5737">
        <w:rPr>
          <w:bCs/>
        </w:rPr>
        <w:t xml:space="preserve">DA59 Wilful Damage of Trees and Other Council Property </w:t>
      </w:r>
    </w:p>
    <w:p w14:paraId="76D39D5D" w14:textId="77777777" w:rsidR="00CF01D0" w:rsidRPr="00CF5737" w:rsidRDefault="00CF01D0" w:rsidP="007B3B6F">
      <w:pPr>
        <w:pStyle w:val="ListParagraph"/>
        <w:numPr>
          <w:ilvl w:val="0"/>
          <w:numId w:val="560"/>
        </w:numPr>
        <w:spacing w:after="120"/>
        <w:ind w:left="426" w:hanging="426"/>
        <w:contextualSpacing w:val="0"/>
        <w:rPr>
          <w:bCs/>
        </w:rPr>
      </w:pPr>
      <w:r w:rsidRPr="00CF5737">
        <w:rPr>
          <w:bCs/>
        </w:rPr>
        <w:t xml:space="preserve">DA64 Authorisation to Remove Dead or Dying Street Trees </w:t>
      </w:r>
    </w:p>
    <w:p w14:paraId="2F48FC96" w14:textId="77777777" w:rsidR="00CF01D0" w:rsidRPr="00CF5737" w:rsidRDefault="00CF01D0" w:rsidP="007B3B6F">
      <w:pPr>
        <w:pStyle w:val="ListParagraph"/>
        <w:numPr>
          <w:ilvl w:val="0"/>
          <w:numId w:val="560"/>
        </w:numPr>
        <w:ind w:left="426" w:hanging="426"/>
        <w:rPr>
          <w:bCs/>
        </w:rPr>
      </w:pPr>
      <w:r w:rsidRPr="00CF5737">
        <w:rPr>
          <w:bCs/>
        </w:rPr>
        <w:t xml:space="preserve">DA65 Authorisation to Approve the Remove of Trees of Public Land </w:t>
      </w:r>
    </w:p>
    <w:p w14:paraId="1E0ECD74" w14:textId="77777777" w:rsidR="00CF01D0" w:rsidRPr="00CF5737" w:rsidRDefault="00CF01D0" w:rsidP="00CF01D0">
      <w:pPr>
        <w:spacing w:after="0"/>
        <w:rPr>
          <w:bCs/>
          <w:lang w:val="en-US"/>
        </w:rPr>
      </w:pPr>
      <w:r w:rsidRPr="00CF5737">
        <w:rPr>
          <w:bCs/>
        </w:rPr>
        <w:t>If/Where this policy is inconsistent with any other Council Policy or Delegation requirements, this Policy will prevail</w:t>
      </w:r>
    </w:p>
    <w:p w14:paraId="38EC8F24" w14:textId="77777777" w:rsidR="00CF01D0" w:rsidRDefault="00CF01D0" w:rsidP="00CF01D0">
      <w:pPr>
        <w:autoSpaceDE w:val="0"/>
        <w:autoSpaceDN w:val="0"/>
        <w:adjustRightInd w:val="0"/>
        <w:spacing w:after="0" w:line="240" w:lineRule="auto"/>
        <w:rPr>
          <w:rFonts w:cstheme="minorHAnsi"/>
          <w:b/>
          <w:u w:val="single"/>
        </w:rPr>
      </w:pPr>
    </w:p>
    <w:p w14:paraId="663C342A" w14:textId="77777777" w:rsidR="00CF01D0" w:rsidRDefault="00CF01D0" w:rsidP="00CF01D0">
      <w:pPr>
        <w:pStyle w:val="NoSpacing"/>
        <w:jc w:val="both"/>
      </w:pPr>
    </w:p>
    <w:p w14:paraId="2EAA122A" w14:textId="77777777" w:rsidR="00CF01D0" w:rsidRPr="009359AB" w:rsidRDefault="00CF01D0" w:rsidP="00CF01D0">
      <w:pPr>
        <w:spacing w:line="240" w:lineRule="auto"/>
        <w:jc w:val="both"/>
        <w:rPr>
          <w:color w:val="000000"/>
        </w:rPr>
      </w:pPr>
    </w:p>
    <w:tbl>
      <w:tblPr>
        <w:tblStyle w:val="TableGrid"/>
        <w:tblW w:w="0" w:type="auto"/>
        <w:tblLook w:val="04A0" w:firstRow="1" w:lastRow="0" w:firstColumn="1" w:lastColumn="0" w:noHBand="0" w:noVBand="1"/>
      </w:tblPr>
      <w:tblGrid>
        <w:gridCol w:w="3209"/>
        <w:gridCol w:w="5559"/>
      </w:tblGrid>
      <w:tr w:rsidR="00CF01D0" w:rsidRPr="008B41F5" w14:paraId="5147D99F" w14:textId="77777777" w:rsidTr="00620F69">
        <w:trPr>
          <w:trHeight w:val="252"/>
        </w:trPr>
        <w:tc>
          <w:tcPr>
            <w:tcW w:w="3209" w:type="dxa"/>
          </w:tcPr>
          <w:p w14:paraId="4D87A61B" w14:textId="77777777" w:rsidR="00CF01D0" w:rsidRPr="006A3E0E" w:rsidRDefault="00CF01D0" w:rsidP="00620F69">
            <w:pPr>
              <w:jc w:val="both"/>
              <w:rPr>
                <w:rFonts w:cstheme="minorHAnsi"/>
                <w:b/>
              </w:rPr>
            </w:pPr>
            <w:r w:rsidRPr="006A3E0E">
              <w:rPr>
                <w:rFonts w:cstheme="minorHAnsi"/>
                <w:b/>
              </w:rPr>
              <w:t>Responsible Directorate:</w:t>
            </w:r>
          </w:p>
        </w:tc>
        <w:tc>
          <w:tcPr>
            <w:tcW w:w="5559" w:type="dxa"/>
          </w:tcPr>
          <w:p w14:paraId="67FC3345" w14:textId="77777777" w:rsidR="00CF01D0" w:rsidRPr="006A3E0E" w:rsidRDefault="00CF01D0" w:rsidP="00620F69">
            <w:pPr>
              <w:jc w:val="both"/>
              <w:rPr>
                <w:rFonts w:cstheme="minorHAnsi"/>
              </w:rPr>
            </w:pPr>
            <w:r w:rsidRPr="006A3E0E">
              <w:rPr>
                <w:rFonts w:cstheme="minorHAnsi"/>
              </w:rPr>
              <w:t>Operations</w:t>
            </w:r>
          </w:p>
        </w:tc>
      </w:tr>
      <w:tr w:rsidR="00CF01D0" w:rsidRPr="008B41F5" w14:paraId="349E0E61" w14:textId="77777777" w:rsidTr="00620F69">
        <w:trPr>
          <w:trHeight w:val="252"/>
        </w:trPr>
        <w:tc>
          <w:tcPr>
            <w:tcW w:w="3209" w:type="dxa"/>
          </w:tcPr>
          <w:p w14:paraId="4C7496C2" w14:textId="77777777" w:rsidR="00CF01D0" w:rsidRPr="006A3E0E" w:rsidRDefault="00CF01D0" w:rsidP="00620F69">
            <w:pPr>
              <w:jc w:val="both"/>
              <w:rPr>
                <w:rFonts w:cstheme="minorHAnsi"/>
                <w:b/>
              </w:rPr>
            </w:pPr>
            <w:r w:rsidRPr="006A3E0E">
              <w:rPr>
                <w:rFonts w:cstheme="minorHAnsi"/>
                <w:b/>
              </w:rPr>
              <w:t>Reviewing Officer:</w:t>
            </w:r>
          </w:p>
        </w:tc>
        <w:tc>
          <w:tcPr>
            <w:tcW w:w="5559" w:type="dxa"/>
          </w:tcPr>
          <w:p w14:paraId="2FC85CD4" w14:textId="77777777" w:rsidR="00CF01D0" w:rsidRPr="006A3E0E" w:rsidRDefault="00CF01D0" w:rsidP="00620F69">
            <w:pPr>
              <w:jc w:val="both"/>
              <w:rPr>
                <w:rFonts w:cstheme="minorHAnsi"/>
              </w:rPr>
            </w:pPr>
            <w:r>
              <w:rPr>
                <w:rFonts w:cstheme="minorHAnsi"/>
              </w:rPr>
              <w:t>Executive Manager Technical Services</w:t>
            </w:r>
          </w:p>
        </w:tc>
      </w:tr>
      <w:tr w:rsidR="00CF01D0" w:rsidRPr="008B41F5" w14:paraId="27424369" w14:textId="77777777" w:rsidTr="00620F69">
        <w:trPr>
          <w:trHeight w:val="252"/>
        </w:trPr>
        <w:tc>
          <w:tcPr>
            <w:tcW w:w="3209" w:type="dxa"/>
          </w:tcPr>
          <w:p w14:paraId="2E9A5F27" w14:textId="77777777" w:rsidR="00CF01D0" w:rsidRPr="006A3E0E" w:rsidRDefault="00CF01D0" w:rsidP="00620F69">
            <w:pPr>
              <w:jc w:val="both"/>
              <w:rPr>
                <w:rFonts w:cstheme="minorHAnsi"/>
                <w:b/>
              </w:rPr>
            </w:pPr>
            <w:r w:rsidRPr="006A3E0E">
              <w:rPr>
                <w:rFonts w:cstheme="minorHAnsi"/>
                <w:b/>
              </w:rPr>
              <w:t>Decision making Authority:</w:t>
            </w:r>
          </w:p>
        </w:tc>
        <w:tc>
          <w:tcPr>
            <w:tcW w:w="5559" w:type="dxa"/>
          </w:tcPr>
          <w:p w14:paraId="734132AE" w14:textId="77777777" w:rsidR="00CF01D0" w:rsidRPr="006A3E0E" w:rsidRDefault="00CF01D0" w:rsidP="00620F69">
            <w:pPr>
              <w:jc w:val="both"/>
              <w:rPr>
                <w:rFonts w:cstheme="minorHAnsi"/>
              </w:rPr>
            </w:pPr>
            <w:r>
              <w:rPr>
                <w:rFonts w:cstheme="minorHAnsi"/>
              </w:rPr>
              <w:t>Council</w:t>
            </w:r>
          </w:p>
        </w:tc>
      </w:tr>
      <w:tr w:rsidR="00CF01D0" w:rsidRPr="008B41F5" w14:paraId="66F0B8C8" w14:textId="77777777" w:rsidTr="00620F69">
        <w:trPr>
          <w:trHeight w:val="252"/>
        </w:trPr>
        <w:tc>
          <w:tcPr>
            <w:tcW w:w="3209" w:type="dxa"/>
          </w:tcPr>
          <w:p w14:paraId="3420D2E9" w14:textId="77777777" w:rsidR="00CF01D0" w:rsidRPr="006A3E0E" w:rsidRDefault="00CF01D0" w:rsidP="00620F69">
            <w:pPr>
              <w:jc w:val="both"/>
              <w:rPr>
                <w:rFonts w:cstheme="minorHAnsi"/>
                <w:b/>
              </w:rPr>
            </w:pPr>
            <w:r>
              <w:rPr>
                <w:rFonts w:cstheme="minorHAnsi"/>
                <w:b/>
              </w:rPr>
              <w:t>Policy Adopted:</w:t>
            </w:r>
          </w:p>
        </w:tc>
        <w:tc>
          <w:tcPr>
            <w:tcW w:w="5559" w:type="dxa"/>
          </w:tcPr>
          <w:p w14:paraId="6A47FE39" w14:textId="77777777" w:rsidR="00CF01D0" w:rsidRDefault="00CF01D0" w:rsidP="00620F69">
            <w:pPr>
              <w:jc w:val="both"/>
              <w:rPr>
                <w:rFonts w:cstheme="minorHAnsi"/>
              </w:rPr>
            </w:pPr>
            <w:r>
              <w:rPr>
                <w:rFonts w:cstheme="minorHAnsi"/>
              </w:rPr>
              <w:t>15/11/22</w:t>
            </w:r>
          </w:p>
        </w:tc>
      </w:tr>
      <w:tr w:rsidR="00CF01D0" w:rsidRPr="008B41F5" w14:paraId="722576DB" w14:textId="77777777" w:rsidTr="00620F69">
        <w:trPr>
          <w:trHeight w:val="252"/>
        </w:trPr>
        <w:tc>
          <w:tcPr>
            <w:tcW w:w="3209" w:type="dxa"/>
          </w:tcPr>
          <w:p w14:paraId="3BEDB5F6" w14:textId="77777777" w:rsidR="00CF01D0" w:rsidRDefault="00CF01D0" w:rsidP="00620F69">
            <w:pPr>
              <w:jc w:val="both"/>
              <w:rPr>
                <w:rFonts w:cstheme="minorHAnsi"/>
                <w:b/>
              </w:rPr>
            </w:pPr>
            <w:r>
              <w:rPr>
                <w:rFonts w:cstheme="minorHAnsi"/>
                <w:b/>
              </w:rPr>
              <w:t>Policy Amended/Reviewed:</w:t>
            </w:r>
          </w:p>
        </w:tc>
        <w:tc>
          <w:tcPr>
            <w:tcW w:w="5559" w:type="dxa"/>
          </w:tcPr>
          <w:p w14:paraId="296A6806" w14:textId="77777777" w:rsidR="00CF01D0" w:rsidRDefault="00CF01D0" w:rsidP="00620F69">
            <w:pPr>
              <w:jc w:val="both"/>
              <w:rPr>
                <w:rFonts w:cstheme="minorHAnsi"/>
              </w:rPr>
            </w:pPr>
          </w:p>
        </w:tc>
      </w:tr>
    </w:tbl>
    <w:p w14:paraId="224DB71B" w14:textId="77777777" w:rsidR="00CF01D0" w:rsidRPr="006A3E0E" w:rsidRDefault="00CF01D0" w:rsidP="00CF01D0">
      <w:pPr>
        <w:jc w:val="both"/>
        <w:rPr>
          <w:rFonts w:ascii="Arial" w:hAnsi="Arial" w:cs="Arial"/>
        </w:rPr>
      </w:pPr>
    </w:p>
    <w:p w14:paraId="0E6813C8" w14:textId="0A377C0A" w:rsidR="001903A1" w:rsidRPr="00B16EBD" w:rsidRDefault="001903A1" w:rsidP="001903A1">
      <w:pPr>
        <w:rPr>
          <w:rFonts w:cstheme="minorHAnsi"/>
        </w:rPr>
      </w:pPr>
    </w:p>
    <w:p w14:paraId="72F60A06" w14:textId="77777777" w:rsidR="00783E4C" w:rsidRDefault="00783E4C">
      <w:pPr>
        <w:rPr>
          <w:rFonts w:cstheme="minorHAnsi"/>
          <w:lang w:val="en-US"/>
        </w:rPr>
        <w:sectPr w:rsidR="00783E4C" w:rsidSect="00284F4C">
          <w:pgSz w:w="11906" w:h="16838"/>
          <w:pgMar w:top="1440" w:right="1274" w:bottom="1440" w:left="1440" w:header="709" w:footer="709" w:gutter="0"/>
          <w:cols w:space="708"/>
          <w:docGrid w:linePitch="360"/>
        </w:sectPr>
      </w:pPr>
    </w:p>
    <w:p w14:paraId="5CE608D4" w14:textId="453A44D5" w:rsidR="00197D26" w:rsidRDefault="00EF011D" w:rsidP="001903A1">
      <w:pPr>
        <w:pStyle w:val="Title"/>
        <w:pBdr>
          <w:bottom w:val="none" w:sz="0" w:space="0" w:color="auto"/>
        </w:pBdr>
        <w:spacing w:after="18" w:line="240" w:lineRule="atLeast"/>
        <w:rPr>
          <w:rFonts w:ascii="Arial" w:hAnsi="Arial" w:cs="Arial"/>
          <w:b/>
          <w:sz w:val="28"/>
          <w:szCs w:val="28"/>
          <w:lang w:val="en-US"/>
        </w:rPr>
      </w:pPr>
      <w:r>
        <w:rPr>
          <w:noProof/>
          <w:lang w:eastAsia="en-AU"/>
        </w:rPr>
        <w:lastRenderedPageBreak/>
        <w:drawing>
          <wp:anchor distT="0" distB="0" distL="114300" distR="114300" simplePos="0" relativeHeight="251608064" behindDoc="1" locked="0" layoutInCell="1" allowOverlap="1" wp14:anchorId="00D0636F" wp14:editId="3C4D68C1">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7FED953D" w14:textId="77777777" w:rsidR="00197D26" w:rsidRPr="00486CAC" w:rsidRDefault="00197D26" w:rsidP="00197D26">
      <w:pPr>
        <w:pStyle w:val="Title"/>
        <w:pBdr>
          <w:bottom w:val="none" w:sz="0" w:space="0" w:color="auto"/>
        </w:pBdr>
        <w:spacing w:after="18" w:line="240" w:lineRule="atLeast"/>
        <w:jc w:val="both"/>
        <w:rPr>
          <w:rFonts w:ascii="Arial" w:hAnsi="Arial" w:cs="Arial"/>
          <w:b/>
          <w:sz w:val="2"/>
          <w:szCs w:val="28"/>
          <w:lang w:val="en-US"/>
        </w:rPr>
      </w:pPr>
    </w:p>
    <w:p w14:paraId="389321A6" w14:textId="77777777" w:rsidR="00EF011D" w:rsidRDefault="00EF011D" w:rsidP="00CB7DA7">
      <w:pPr>
        <w:pStyle w:val="Policy1"/>
        <w:spacing w:after="120"/>
      </w:pPr>
    </w:p>
    <w:p w14:paraId="58833866" w14:textId="7F7EAEF9" w:rsidR="00CB7DA7" w:rsidRPr="00DC6735" w:rsidRDefault="00CB7DA7" w:rsidP="00CB7DA7">
      <w:pPr>
        <w:pStyle w:val="Policy1"/>
        <w:spacing w:after="120"/>
      </w:pPr>
      <w:bookmarkStart w:id="591" w:name="_Toc216866739"/>
      <w:r w:rsidRPr="00DC6735">
        <w:t>5.</w:t>
      </w:r>
      <w:r w:rsidRPr="00DC6735">
        <w:tab/>
        <w:t>RANGER SERVICES</w:t>
      </w:r>
      <w:bookmarkEnd w:id="591"/>
    </w:p>
    <w:p w14:paraId="3D1788FB" w14:textId="77777777" w:rsidR="00CB7DA7" w:rsidRDefault="00CB7DA7" w:rsidP="00CB7DA7">
      <w:pPr>
        <w:pStyle w:val="Policy2"/>
        <w:spacing w:after="120"/>
      </w:pPr>
      <w:bookmarkStart w:id="592" w:name="_Toc216866740"/>
      <w:r>
        <w:t>5.1</w:t>
      </w:r>
      <w:r>
        <w:tab/>
      </w:r>
      <w:r w:rsidR="006A7093">
        <w:t>ANIMAL CONTROL</w:t>
      </w:r>
      <w:bookmarkEnd w:id="592"/>
    </w:p>
    <w:p w14:paraId="4AEEDC8D" w14:textId="77777777" w:rsidR="00197D26" w:rsidRPr="00CB7DA7" w:rsidRDefault="00486CAC" w:rsidP="00CB7DA7">
      <w:pPr>
        <w:pStyle w:val="Policy3"/>
      </w:pPr>
      <w:bookmarkStart w:id="593" w:name="_Toc216866741"/>
      <w:r w:rsidRPr="00CB7DA7">
        <w:t>5.1.1</w:t>
      </w:r>
      <w:r w:rsidRPr="00CB7DA7">
        <w:tab/>
      </w:r>
      <w:r w:rsidR="00197D26" w:rsidRPr="00CB7DA7">
        <w:t xml:space="preserve">Dog Management – </w:t>
      </w:r>
      <w:r w:rsidR="00CB7DA7">
        <w:t>Co</w:t>
      </w:r>
      <w:r w:rsidR="00197D26" w:rsidRPr="00CB7DA7">
        <w:t xml:space="preserve">mmunity </w:t>
      </w:r>
      <w:r w:rsidR="00CB7DA7">
        <w:t>S</w:t>
      </w:r>
      <w:r w:rsidR="00197D26" w:rsidRPr="00CB7DA7">
        <w:t>afety</w:t>
      </w:r>
      <w:bookmarkEnd w:id="593"/>
    </w:p>
    <w:tbl>
      <w:tblPr>
        <w:tblStyle w:val="TableGrid"/>
        <w:tblW w:w="0" w:type="auto"/>
        <w:tblLook w:val="04A0" w:firstRow="1" w:lastRow="0" w:firstColumn="1" w:lastColumn="0" w:noHBand="0" w:noVBand="1"/>
      </w:tblPr>
      <w:tblGrid>
        <w:gridCol w:w="3036"/>
        <w:gridCol w:w="5980"/>
      </w:tblGrid>
      <w:tr w:rsidR="00197D26" w:rsidRPr="00486CAC" w14:paraId="182FF007" w14:textId="77777777" w:rsidTr="00E845E5">
        <w:tc>
          <w:tcPr>
            <w:tcW w:w="3036" w:type="dxa"/>
          </w:tcPr>
          <w:p w14:paraId="488FDF1E" w14:textId="77777777" w:rsidR="00197D26" w:rsidRPr="00486CAC" w:rsidRDefault="00197D26" w:rsidP="00E845E5">
            <w:pPr>
              <w:spacing w:after="18" w:line="240" w:lineRule="atLeast"/>
              <w:jc w:val="both"/>
              <w:rPr>
                <w:rFonts w:cstheme="minorHAnsi"/>
                <w:b/>
                <w:lang w:val="en-US"/>
              </w:rPr>
            </w:pPr>
            <w:r w:rsidRPr="00486CAC">
              <w:rPr>
                <w:rFonts w:cstheme="minorHAnsi"/>
                <w:b/>
                <w:lang w:val="en-US"/>
              </w:rPr>
              <w:t>Type:</w:t>
            </w:r>
          </w:p>
        </w:tc>
        <w:tc>
          <w:tcPr>
            <w:tcW w:w="5980" w:type="dxa"/>
          </w:tcPr>
          <w:p w14:paraId="526F7031" w14:textId="77777777" w:rsidR="00197D26" w:rsidRPr="00486CAC" w:rsidRDefault="00486CAC" w:rsidP="00E845E5">
            <w:pPr>
              <w:rPr>
                <w:rFonts w:cstheme="minorHAnsi"/>
                <w:lang w:val="en-US"/>
              </w:rPr>
            </w:pPr>
            <w:r w:rsidRPr="00486CAC">
              <w:rPr>
                <w:rFonts w:cstheme="minorHAnsi"/>
                <w:lang w:val="en-US"/>
              </w:rPr>
              <w:t>Ranger Services - Dogs</w:t>
            </w:r>
          </w:p>
        </w:tc>
      </w:tr>
      <w:tr w:rsidR="00197D26" w:rsidRPr="00486CAC" w14:paraId="02561F85" w14:textId="77777777" w:rsidTr="00E845E5">
        <w:tc>
          <w:tcPr>
            <w:tcW w:w="3036" w:type="dxa"/>
          </w:tcPr>
          <w:p w14:paraId="0218096C" w14:textId="77777777" w:rsidR="00197D26" w:rsidRPr="00486CAC" w:rsidRDefault="00197D26" w:rsidP="00E845E5">
            <w:pPr>
              <w:spacing w:after="18" w:line="240" w:lineRule="atLeast"/>
              <w:jc w:val="both"/>
              <w:rPr>
                <w:rFonts w:cstheme="minorHAnsi"/>
                <w:b/>
                <w:lang w:val="en-US"/>
              </w:rPr>
            </w:pPr>
            <w:r w:rsidRPr="00486CAC">
              <w:rPr>
                <w:rFonts w:cstheme="minorHAnsi"/>
                <w:b/>
                <w:lang w:val="en-US"/>
              </w:rPr>
              <w:t>Legislation:</w:t>
            </w:r>
          </w:p>
        </w:tc>
        <w:tc>
          <w:tcPr>
            <w:tcW w:w="5980" w:type="dxa"/>
          </w:tcPr>
          <w:p w14:paraId="6F2E35A5" w14:textId="77777777" w:rsidR="00197D26" w:rsidRPr="00486CAC" w:rsidRDefault="00197D26" w:rsidP="00E845E5">
            <w:pPr>
              <w:spacing w:after="18" w:line="240" w:lineRule="atLeast"/>
              <w:jc w:val="both"/>
              <w:rPr>
                <w:rFonts w:cstheme="minorHAnsi"/>
              </w:rPr>
            </w:pPr>
            <w:r w:rsidRPr="00486CAC">
              <w:rPr>
                <w:rFonts w:cstheme="minorHAnsi"/>
                <w:i/>
              </w:rPr>
              <w:t>Dog Act 1976</w:t>
            </w:r>
            <w:r w:rsidRPr="00486CAC">
              <w:rPr>
                <w:rFonts w:cstheme="minorHAnsi"/>
              </w:rPr>
              <w:t xml:space="preserve"> (as amended) </w:t>
            </w:r>
          </w:p>
          <w:p w14:paraId="5ACCEABC" w14:textId="77777777" w:rsidR="00197D26" w:rsidRPr="00486CAC" w:rsidRDefault="00197D26" w:rsidP="00E845E5">
            <w:pPr>
              <w:spacing w:after="18" w:line="240" w:lineRule="atLeast"/>
              <w:jc w:val="both"/>
              <w:rPr>
                <w:rFonts w:cstheme="minorHAnsi"/>
              </w:rPr>
            </w:pPr>
            <w:r w:rsidRPr="00486CAC">
              <w:rPr>
                <w:rFonts w:cstheme="minorHAnsi"/>
                <w:i/>
              </w:rPr>
              <w:t>Dog Regulations 2013</w:t>
            </w:r>
            <w:r w:rsidRPr="00486CAC">
              <w:rPr>
                <w:rFonts w:cstheme="minorHAnsi"/>
              </w:rPr>
              <w:t xml:space="preserve"> (as amended)  </w:t>
            </w:r>
          </w:p>
        </w:tc>
      </w:tr>
      <w:tr w:rsidR="00197D26" w:rsidRPr="00486CAC" w14:paraId="7611928C" w14:textId="77777777" w:rsidTr="00E845E5">
        <w:tc>
          <w:tcPr>
            <w:tcW w:w="3036" w:type="dxa"/>
          </w:tcPr>
          <w:p w14:paraId="3D03D00A" w14:textId="77777777" w:rsidR="00197D26" w:rsidRPr="00486CAC" w:rsidRDefault="00197D26" w:rsidP="00E845E5">
            <w:pPr>
              <w:spacing w:after="18" w:line="240" w:lineRule="atLeast"/>
              <w:jc w:val="both"/>
              <w:rPr>
                <w:rFonts w:cstheme="minorHAnsi"/>
                <w:b/>
                <w:lang w:val="en-US"/>
              </w:rPr>
            </w:pPr>
            <w:r w:rsidRPr="00486CAC">
              <w:rPr>
                <w:rFonts w:cstheme="minorHAnsi"/>
                <w:b/>
                <w:lang w:val="en-US"/>
              </w:rPr>
              <w:t>Delegation:</w:t>
            </w:r>
          </w:p>
        </w:tc>
        <w:tc>
          <w:tcPr>
            <w:tcW w:w="5980" w:type="dxa"/>
          </w:tcPr>
          <w:p w14:paraId="5650D53E" w14:textId="77777777" w:rsidR="00197D26" w:rsidRPr="00486CAC" w:rsidRDefault="00197D26" w:rsidP="00E845E5">
            <w:pPr>
              <w:spacing w:after="18" w:line="240" w:lineRule="atLeast"/>
              <w:jc w:val="both"/>
              <w:rPr>
                <w:rFonts w:cstheme="minorHAnsi"/>
                <w:lang w:val="en-US"/>
              </w:rPr>
            </w:pPr>
            <w:r w:rsidRPr="00486CAC">
              <w:rPr>
                <w:rFonts w:cstheme="minorHAnsi"/>
                <w:lang w:val="en-US"/>
              </w:rPr>
              <w:t xml:space="preserve">DA21 Appointment of </w:t>
            </w:r>
            <w:proofErr w:type="spellStart"/>
            <w:r w:rsidRPr="00486CAC">
              <w:rPr>
                <w:rFonts w:cstheme="minorHAnsi"/>
                <w:lang w:val="en-US"/>
              </w:rPr>
              <w:t>Authorised</w:t>
            </w:r>
            <w:proofErr w:type="spellEnd"/>
            <w:r w:rsidRPr="00486CAC">
              <w:rPr>
                <w:rFonts w:cstheme="minorHAnsi"/>
                <w:lang w:val="en-US"/>
              </w:rPr>
              <w:t xml:space="preserve"> Officers </w:t>
            </w:r>
          </w:p>
        </w:tc>
      </w:tr>
      <w:tr w:rsidR="00197D26" w:rsidRPr="00486CAC" w14:paraId="60D961D8" w14:textId="77777777" w:rsidTr="00E845E5">
        <w:tc>
          <w:tcPr>
            <w:tcW w:w="3036" w:type="dxa"/>
          </w:tcPr>
          <w:p w14:paraId="1B2FFBB3" w14:textId="77777777" w:rsidR="00197D26" w:rsidRPr="00486CAC" w:rsidRDefault="00197D26" w:rsidP="00E845E5">
            <w:pPr>
              <w:spacing w:after="18" w:line="240" w:lineRule="atLeast"/>
              <w:jc w:val="both"/>
              <w:rPr>
                <w:rFonts w:cstheme="minorHAnsi"/>
                <w:b/>
                <w:lang w:val="en-US"/>
              </w:rPr>
            </w:pPr>
            <w:r w:rsidRPr="00486CAC">
              <w:rPr>
                <w:rFonts w:cstheme="minorHAnsi"/>
                <w:b/>
                <w:lang w:val="en-US"/>
              </w:rPr>
              <w:t>Other Related Document:</w:t>
            </w:r>
          </w:p>
        </w:tc>
        <w:tc>
          <w:tcPr>
            <w:tcW w:w="5980" w:type="dxa"/>
          </w:tcPr>
          <w:p w14:paraId="1AD7B8CD" w14:textId="77777777" w:rsidR="00197D26" w:rsidRPr="00486CAC" w:rsidRDefault="00197D26" w:rsidP="00E845E5">
            <w:pPr>
              <w:spacing w:after="18" w:line="240" w:lineRule="atLeast"/>
              <w:jc w:val="both"/>
              <w:rPr>
                <w:rFonts w:cstheme="minorHAnsi"/>
                <w:lang w:val="en-US"/>
              </w:rPr>
            </w:pPr>
            <w:r w:rsidRPr="00486CAC">
              <w:rPr>
                <w:rFonts w:cstheme="minorHAnsi"/>
              </w:rPr>
              <w:t>Town of East Fremantle Dogs Local Law (2016)</w:t>
            </w:r>
          </w:p>
        </w:tc>
      </w:tr>
    </w:tbl>
    <w:p w14:paraId="0E8B7F5A" w14:textId="77777777" w:rsidR="00197D26" w:rsidRPr="00486CAC" w:rsidRDefault="00197D26" w:rsidP="00486CAC">
      <w:pPr>
        <w:spacing w:before="240" w:after="0"/>
        <w:rPr>
          <w:b/>
          <w:sz w:val="28"/>
          <w:szCs w:val="28"/>
          <w:lang w:val="en-US"/>
        </w:rPr>
      </w:pPr>
      <w:r w:rsidRPr="00486CAC">
        <w:rPr>
          <w:b/>
          <w:sz w:val="28"/>
          <w:szCs w:val="28"/>
          <w:lang w:val="en-US"/>
        </w:rPr>
        <w:t>Objective</w:t>
      </w:r>
    </w:p>
    <w:p w14:paraId="18A1580B" w14:textId="77777777" w:rsidR="00197D26" w:rsidRPr="00486CAC" w:rsidRDefault="00197D26" w:rsidP="00FC6FDE">
      <w:pPr>
        <w:spacing w:after="18" w:line="240" w:lineRule="auto"/>
        <w:jc w:val="both"/>
        <w:rPr>
          <w:rFonts w:cstheme="minorHAnsi"/>
        </w:rPr>
      </w:pPr>
      <w:r w:rsidRPr="00486CAC">
        <w:rPr>
          <w:rFonts w:cstheme="minorHAnsi"/>
        </w:rPr>
        <w:t xml:space="preserve">This Dog Management Policy is an advisory document that complements the </w:t>
      </w:r>
      <w:r w:rsidRPr="00486CAC">
        <w:rPr>
          <w:rFonts w:cstheme="minorHAnsi"/>
          <w:i/>
        </w:rPr>
        <w:t xml:space="preserve">Dog Act 1976 </w:t>
      </w:r>
      <w:r w:rsidRPr="00486CAC">
        <w:rPr>
          <w:rFonts w:cstheme="minorHAnsi"/>
        </w:rPr>
        <w:t>(as amended)</w:t>
      </w:r>
      <w:r w:rsidRPr="00486CAC">
        <w:rPr>
          <w:rFonts w:cstheme="minorHAnsi"/>
          <w:i/>
        </w:rPr>
        <w:t>,</w:t>
      </w:r>
      <w:r w:rsidRPr="00486CAC">
        <w:rPr>
          <w:rFonts w:cstheme="minorHAnsi"/>
        </w:rPr>
        <w:t xml:space="preserve"> which has the necessary legislative and regulatory powers. The terms used in the Policy have the same meaning as in the Act, unless otherwise defined in this document.</w:t>
      </w:r>
    </w:p>
    <w:p w14:paraId="00BB6841" w14:textId="77777777" w:rsidR="00197D26" w:rsidRPr="00486CAC" w:rsidRDefault="00197D26" w:rsidP="00FC6FDE">
      <w:pPr>
        <w:autoSpaceDE w:val="0"/>
        <w:autoSpaceDN w:val="0"/>
        <w:adjustRightInd w:val="0"/>
        <w:spacing w:before="200" w:after="60" w:line="240" w:lineRule="auto"/>
        <w:jc w:val="both"/>
        <w:rPr>
          <w:rFonts w:cstheme="minorHAnsi"/>
        </w:rPr>
      </w:pPr>
      <w:r w:rsidRPr="00486CAC">
        <w:rPr>
          <w:rFonts w:cstheme="minorHAnsi"/>
        </w:rPr>
        <w:t>The objectives of this policy are to:</w:t>
      </w:r>
    </w:p>
    <w:p w14:paraId="309B3951" w14:textId="77777777" w:rsidR="00197D26" w:rsidRPr="00486CAC" w:rsidRDefault="00197D26" w:rsidP="00FC6FDE">
      <w:pPr>
        <w:autoSpaceDE w:val="0"/>
        <w:autoSpaceDN w:val="0"/>
        <w:adjustRightInd w:val="0"/>
        <w:spacing w:after="60" w:line="240" w:lineRule="auto"/>
        <w:ind w:left="426" w:hanging="426"/>
        <w:jc w:val="both"/>
        <w:rPr>
          <w:rFonts w:cstheme="minorHAnsi"/>
          <w:color w:val="000000"/>
        </w:rPr>
      </w:pPr>
      <w:r w:rsidRPr="00486CAC">
        <w:rPr>
          <w:rFonts w:cstheme="minorHAnsi"/>
          <w:color w:val="000000"/>
        </w:rPr>
        <w:t>a)</w:t>
      </w:r>
      <w:r w:rsidRPr="00486CAC">
        <w:rPr>
          <w:rFonts w:cstheme="minorHAnsi"/>
          <w:color w:val="000000"/>
        </w:rPr>
        <w:tab/>
        <w:t xml:space="preserve">actively support and promote responsible dog ownership through the development of a code relating to responsible ownership of dogs, community education, and the provision of information accessible via a range of media, including the internet, direct customer contact, and Town of East Fremantle’s publications. </w:t>
      </w:r>
    </w:p>
    <w:p w14:paraId="4DF298A4" w14:textId="77777777" w:rsidR="00197D26" w:rsidRPr="00486CAC" w:rsidRDefault="00197D26" w:rsidP="00FC6FDE">
      <w:pPr>
        <w:autoSpaceDE w:val="0"/>
        <w:autoSpaceDN w:val="0"/>
        <w:adjustRightInd w:val="0"/>
        <w:spacing w:after="60" w:line="240" w:lineRule="auto"/>
        <w:ind w:left="426" w:hanging="426"/>
        <w:jc w:val="both"/>
        <w:rPr>
          <w:rFonts w:cstheme="minorHAnsi"/>
          <w:color w:val="000000"/>
        </w:rPr>
      </w:pPr>
      <w:r w:rsidRPr="00486CAC">
        <w:rPr>
          <w:rFonts w:cstheme="minorHAnsi"/>
          <w:color w:val="000000"/>
        </w:rPr>
        <w:t>b)</w:t>
      </w:r>
      <w:r w:rsidRPr="00486CAC">
        <w:rPr>
          <w:rFonts w:cstheme="minorHAnsi"/>
          <w:color w:val="000000"/>
        </w:rPr>
        <w:tab/>
        <w:t xml:space="preserve">strive to achieve a balance between the needs of residents who own dogs and those that don’t in the evaluation of future recreational and strategic development processes. </w:t>
      </w:r>
    </w:p>
    <w:p w14:paraId="6ED6A41A" w14:textId="77777777" w:rsidR="00197D26" w:rsidRPr="00486CAC" w:rsidRDefault="00197D26" w:rsidP="00FC6FDE">
      <w:pPr>
        <w:autoSpaceDE w:val="0"/>
        <w:autoSpaceDN w:val="0"/>
        <w:adjustRightInd w:val="0"/>
        <w:spacing w:after="60" w:line="240" w:lineRule="auto"/>
        <w:ind w:left="426" w:hanging="426"/>
        <w:jc w:val="both"/>
        <w:rPr>
          <w:rFonts w:cstheme="minorHAnsi"/>
          <w:color w:val="000000"/>
        </w:rPr>
      </w:pPr>
      <w:r w:rsidRPr="00486CAC">
        <w:rPr>
          <w:rFonts w:cstheme="minorHAnsi"/>
          <w:color w:val="000000"/>
        </w:rPr>
        <w:t>c)</w:t>
      </w:r>
      <w:r w:rsidRPr="00486CAC">
        <w:rPr>
          <w:rFonts w:cstheme="minorHAnsi"/>
          <w:color w:val="000000"/>
        </w:rPr>
        <w:tab/>
        <w:t>provide, and regularly review, those areas where dogs are permitted, both on-lead and off-lead, and areas where dogs are prohibited or restricted.</w:t>
      </w:r>
    </w:p>
    <w:p w14:paraId="3B627DC5" w14:textId="77777777" w:rsidR="00197D26" w:rsidRPr="00486CAC" w:rsidRDefault="00197D26" w:rsidP="00FC6FDE">
      <w:pPr>
        <w:autoSpaceDE w:val="0"/>
        <w:autoSpaceDN w:val="0"/>
        <w:adjustRightInd w:val="0"/>
        <w:spacing w:after="60" w:line="240" w:lineRule="auto"/>
        <w:ind w:left="426" w:hanging="426"/>
        <w:jc w:val="both"/>
        <w:rPr>
          <w:rFonts w:cstheme="minorHAnsi"/>
          <w:color w:val="000000"/>
        </w:rPr>
      </w:pPr>
      <w:r w:rsidRPr="00486CAC">
        <w:rPr>
          <w:rFonts w:cstheme="minorHAnsi"/>
          <w:color w:val="000000"/>
        </w:rPr>
        <w:t>d)</w:t>
      </w:r>
      <w:r w:rsidRPr="00486CAC">
        <w:rPr>
          <w:rFonts w:cstheme="minorHAnsi"/>
          <w:color w:val="000000"/>
        </w:rPr>
        <w:tab/>
        <w:t>maintain an open dialogue with residents and concerned groups regarding present and future dog management issues.</w:t>
      </w:r>
    </w:p>
    <w:p w14:paraId="4C7FC003" w14:textId="77777777" w:rsidR="00197D26" w:rsidRPr="00486CAC" w:rsidRDefault="00197D26" w:rsidP="00FC6FDE">
      <w:pPr>
        <w:tabs>
          <w:tab w:val="left" w:pos="4253"/>
        </w:tabs>
        <w:autoSpaceDE w:val="0"/>
        <w:autoSpaceDN w:val="0"/>
        <w:adjustRightInd w:val="0"/>
        <w:spacing w:after="18" w:line="240" w:lineRule="auto"/>
        <w:ind w:left="426" w:hanging="426"/>
        <w:jc w:val="both"/>
        <w:rPr>
          <w:rFonts w:cstheme="minorHAnsi"/>
          <w:color w:val="000000"/>
        </w:rPr>
      </w:pPr>
      <w:r w:rsidRPr="00486CAC">
        <w:rPr>
          <w:rFonts w:cstheme="minorHAnsi"/>
          <w:color w:val="000000"/>
        </w:rPr>
        <w:t>e)</w:t>
      </w:r>
      <w:r w:rsidRPr="00486CAC">
        <w:rPr>
          <w:rFonts w:cstheme="minorHAnsi"/>
          <w:color w:val="000000"/>
        </w:rPr>
        <w:tab/>
        <w:t xml:space="preserve">reduce the risk to the community from anti-social and straying dogs through education, routine patrols, and the prompt investigation of concerns and complaints of dog-related issues. Where appropriate, enforcement provisions of the </w:t>
      </w:r>
      <w:r w:rsidRPr="00486CAC">
        <w:rPr>
          <w:rFonts w:cstheme="minorHAnsi"/>
          <w:i/>
          <w:iCs/>
          <w:color w:val="000000"/>
        </w:rPr>
        <w:t xml:space="preserve">Dog Act 1976 </w:t>
      </w:r>
      <w:r w:rsidRPr="00486CAC">
        <w:rPr>
          <w:rFonts w:cstheme="minorHAnsi"/>
          <w:iCs/>
          <w:color w:val="000000"/>
        </w:rPr>
        <w:t>(as amended)</w:t>
      </w:r>
      <w:r w:rsidRPr="00486CAC">
        <w:rPr>
          <w:rFonts w:cstheme="minorHAnsi"/>
          <w:i/>
          <w:iCs/>
          <w:color w:val="000000"/>
        </w:rPr>
        <w:t xml:space="preserve"> </w:t>
      </w:r>
      <w:r w:rsidRPr="00486CAC">
        <w:rPr>
          <w:rFonts w:cstheme="minorHAnsi"/>
          <w:color w:val="000000"/>
        </w:rPr>
        <w:t>may be utilised to penalise breaches of those statutes.</w:t>
      </w:r>
    </w:p>
    <w:p w14:paraId="5BF61DF0" w14:textId="77777777" w:rsidR="00197D26" w:rsidRPr="00486CAC" w:rsidRDefault="00197D26" w:rsidP="00FC6FDE">
      <w:pPr>
        <w:spacing w:before="200" w:after="0" w:line="240" w:lineRule="auto"/>
        <w:rPr>
          <w:b/>
          <w:sz w:val="28"/>
          <w:szCs w:val="28"/>
          <w:lang w:val="en-US"/>
        </w:rPr>
      </w:pPr>
      <w:r w:rsidRPr="00486CAC">
        <w:rPr>
          <w:b/>
          <w:sz w:val="28"/>
          <w:szCs w:val="28"/>
          <w:lang w:val="en-US"/>
        </w:rPr>
        <w:t>Policy Scope</w:t>
      </w:r>
    </w:p>
    <w:p w14:paraId="0BE75AC8" w14:textId="77777777" w:rsidR="00197D26" w:rsidRPr="00486CAC" w:rsidRDefault="00197D26" w:rsidP="00FC6FDE">
      <w:pPr>
        <w:spacing w:line="240" w:lineRule="auto"/>
        <w:ind w:right="-45"/>
        <w:jc w:val="both"/>
        <w:rPr>
          <w:rFonts w:cstheme="minorHAnsi"/>
        </w:rPr>
      </w:pPr>
      <w:r w:rsidRPr="00486CAC">
        <w:rPr>
          <w:rFonts w:cstheme="minorHAnsi"/>
        </w:rPr>
        <w:t xml:space="preserve">In accordance with the </w:t>
      </w:r>
      <w:r w:rsidRPr="00486CAC">
        <w:rPr>
          <w:rFonts w:cstheme="minorHAnsi"/>
          <w:i/>
        </w:rPr>
        <w:t>Dog Act 1976 (as amended)</w:t>
      </w:r>
      <w:r w:rsidRPr="00486CAC">
        <w:rPr>
          <w:rFonts w:cstheme="minorHAnsi"/>
        </w:rPr>
        <w:t>, the Town has the responsibility for ensuring that dog owners either domiciling or exercising their dogs within the Town of East Fremantle are compliant with the</w:t>
      </w:r>
      <w:r w:rsidRPr="00486CAC">
        <w:rPr>
          <w:rFonts w:cstheme="minorHAnsi"/>
          <w:i/>
        </w:rPr>
        <w:t xml:space="preserve"> Dog Act 1976 </w:t>
      </w:r>
      <w:r w:rsidRPr="00486CAC">
        <w:rPr>
          <w:rFonts w:cstheme="minorHAnsi"/>
        </w:rPr>
        <w:t>(as amended)</w:t>
      </w:r>
      <w:r w:rsidRPr="00486CAC">
        <w:rPr>
          <w:rFonts w:cstheme="minorHAnsi"/>
          <w:i/>
        </w:rPr>
        <w:t>.</w:t>
      </w:r>
    </w:p>
    <w:p w14:paraId="45924EEC" w14:textId="77777777" w:rsidR="00197D26" w:rsidRPr="00486CAC" w:rsidRDefault="00197D26" w:rsidP="00FC6FDE">
      <w:pPr>
        <w:autoSpaceDE w:val="0"/>
        <w:autoSpaceDN w:val="0"/>
        <w:adjustRightInd w:val="0"/>
        <w:spacing w:line="240" w:lineRule="auto"/>
        <w:ind w:right="-45"/>
        <w:jc w:val="both"/>
        <w:rPr>
          <w:rFonts w:cstheme="minorHAnsi"/>
        </w:rPr>
      </w:pPr>
      <w:r w:rsidRPr="00486CAC">
        <w:rPr>
          <w:rFonts w:cstheme="minorHAnsi"/>
        </w:rPr>
        <w:t xml:space="preserve">Ranger Services has the primary responsibility for monitoring and enforcing of the </w:t>
      </w:r>
      <w:r w:rsidRPr="00486CAC">
        <w:rPr>
          <w:rFonts w:cstheme="minorHAnsi"/>
          <w:i/>
        </w:rPr>
        <w:t xml:space="preserve">Dog Act 1976 </w:t>
      </w:r>
      <w:r w:rsidRPr="00486CAC">
        <w:rPr>
          <w:rFonts w:cstheme="minorHAnsi"/>
        </w:rPr>
        <w:t xml:space="preserve">(as amended).  </w:t>
      </w:r>
    </w:p>
    <w:p w14:paraId="18EA8A47" w14:textId="77777777" w:rsidR="00197D26" w:rsidRPr="00486CAC" w:rsidRDefault="00197D26" w:rsidP="00FC6FDE">
      <w:pPr>
        <w:autoSpaceDE w:val="0"/>
        <w:autoSpaceDN w:val="0"/>
        <w:adjustRightInd w:val="0"/>
        <w:spacing w:line="240" w:lineRule="auto"/>
        <w:ind w:right="-45"/>
        <w:jc w:val="both"/>
        <w:rPr>
          <w:rFonts w:cstheme="minorHAnsi"/>
          <w:color w:val="000000"/>
        </w:rPr>
      </w:pPr>
      <w:r w:rsidRPr="00486CAC">
        <w:rPr>
          <w:rFonts w:cstheme="minorHAnsi"/>
          <w:color w:val="000000"/>
        </w:rPr>
        <w:t>The Town acknowledges that dog ownership provides many benefits for those involved, including physical health associated with their exercise, companionship, responsibility related to the care and welfare of the animal, and the opportunity to interact socially with other dog and pet owners.</w:t>
      </w:r>
    </w:p>
    <w:p w14:paraId="78C797C3" w14:textId="77777777" w:rsidR="00197D26" w:rsidRPr="00486CAC" w:rsidRDefault="00197D26" w:rsidP="00FC6FDE">
      <w:pPr>
        <w:autoSpaceDE w:val="0"/>
        <w:autoSpaceDN w:val="0"/>
        <w:adjustRightInd w:val="0"/>
        <w:spacing w:after="18" w:line="240" w:lineRule="auto"/>
        <w:jc w:val="both"/>
        <w:rPr>
          <w:rFonts w:cstheme="minorHAnsi"/>
          <w:color w:val="000000"/>
        </w:rPr>
      </w:pPr>
      <w:r w:rsidRPr="00486CAC">
        <w:rPr>
          <w:rFonts w:cstheme="minorHAnsi"/>
          <w:color w:val="000000"/>
        </w:rPr>
        <w:lastRenderedPageBreak/>
        <w:t xml:space="preserve">Equally, there is the potential for problems with straying or poorly socialised dogs and irresponsible owners who fail to properly train, control, or care for their pets, including appropriately disposing of waste. </w:t>
      </w:r>
    </w:p>
    <w:p w14:paraId="1C16091B" w14:textId="77777777" w:rsidR="00197D26" w:rsidRPr="00486CAC" w:rsidRDefault="00197D26" w:rsidP="00FC6FDE">
      <w:pPr>
        <w:spacing w:before="200" w:after="60" w:line="240" w:lineRule="auto"/>
        <w:rPr>
          <w:b/>
          <w:sz w:val="28"/>
          <w:szCs w:val="28"/>
          <w:lang w:val="en-US"/>
        </w:rPr>
      </w:pPr>
      <w:r w:rsidRPr="00486CAC">
        <w:rPr>
          <w:b/>
          <w:sz w:val="28"/>
          <w:szCs w:val="28"/>
          <w:lang w:val="en-US"/>
        </w:rPr>
        <w:t>Policy</w:t>
      </w:r>
    </w:p>
    <w:p w14:paraId="14680EA1" w14:textId="77777777" w:rsidR="00197D26" w:rsidRPr="00486CAC" w:rsidRDefault="00197D26" w:rsidP="00FC6FDE">
      <w:pPr>
        <w:spacing w:after="0" w:line="240" w:lineRule="auto"/>
        <w:jc w:val="both"/>
        <w:rPr>
          <w:rFonts w:cstheme="minorHAnsi"/>
          <w:b/>
          <w:color w:val="000000"/>
        </w:rPr>
      </w:pPr>
      <w:r w:rsidRPr="00486CAC">
        <w:rPr>
          <w:rFonts w:cstheme="minorHAnsi"/>
          <w:b/>
          <w:color w:val="000000"/>
        </w:rPr>
        <w:t>Ranger Services</w:t>
      </w:r>
    </w:p>
    <w:p w14:paraId="7705E457" w14:textId="77777777" w:rsidR="00197D26" w:rsidRPr="00486CAC" w:rsidRDefault="00197D26" w:rsidP="00FC6FDE">
      <w:pPr>
        <w:spacing w:after="60" w:line="240" w:lineRule="auto"/>
        <w:jc w:val="both"/>
        <w:rPr>
          <w:rFonts w:cstheme="minorHAnsi"/>
          <w:color w:val="000000"/>
        </w:rPr>
      </w:pPr>
      <w:r w:rsidRPr="00486CAC">
        <w:rPr>
          <w:rFonts w:cstheme="minorHAnsi"/>
          <w:color w:val="000000"/>
        </w:rPr>
        <w:t xml:space="preserve">To ensure a high standard of service for the community with regards to dog management within the Town of East Fremantle, the Town will apply this Policy and the </w:t>
      </w:r>
      <w:r w:rsidRPr="00486CAC">
        <w:rPr>
          <w:rFonts w:cstheme="minorHAnsi"/>
          <w:i/>
          <w:iCs/>
          <w:color w:val="000000"/>
        </w:rPr>
        <w:t xml:space="preserve">Dog Act 1976 </w:t>
      </w:r>
      <w:r w:rsidRPr="00486CAC">
        <w:rPr>
          <w:rFonts w:cstheme="minorHAnsi"/>
          <w:iCs/>
          <w:color w:val="000000"/>
        </w:rPr>
        <w:t>(as amended)</w:t>
      </w:r>
      <w:r w:rsidRPr="00486CAC">
        <w:rPr>
          <w:rFonts w:cstheme="minorHAnsi"/>
          <w:i/>
          <w:iCs/>
          <w:color w:val="000000"/>
        </w:rPr>
        <w:t xml:space="preserve"> </w:t>
      </w:r>
      <w:r w:rsidRPr="00486CAC">
        <w:rPr>
          <w:rFonts w:cstheme="minorHAnsi"/>
          <w:color w:val="000000"/>
        </w:rPr>
        <w:t xml:space="preserve">and will: </w:t>
      </w:r>
    </w:p>
    <w:p w14:paraId="3815E41A" w14:textId="77777777" w:rsidR="00197D26" w:rsidRPr="00486CAC" w:rsidRDefault="00197D26" w:rsidP="002A3889">
      <w:pPr>
        <w:pStyle w:val="ListParagraph"/>
        <w:numPr>
          <w:ilvl w:val="0"/>
          <w:numId w:val="351"/>
        </w:numPr>
        <w:autoSpaceDE w:val="0"/>
        <w:autoSpaceDN w:val="0"/>
        <w:adjustRightInd w:val="0"/>
        <w:spacing w:after="60" w:line="240" w:lineRule="auto"/>
        <w:ind w:left="426" w:hanging="426"/>
        <w:contextualSpacing w:val="0"/>
        <w:jc w:val="both"/>
        <w:rPr>
          <w:rFonts w:cstheme="minorHAnsi"/>
          <w:color w:val="000000"/>
        </w:rPr>
      </w:pPr>
      <w:r w:rsidRPr="00486CAC">
        <w:rPr>
          <w:rFonts w:cstheme="minorHAnsi"/>
          <w:color w:val="000000"/>
        </w:rPr>
        <w:t xml:space="preserve">be understanding and helpful and treat customers with dignity, respect and </w:t>
      </w:r>
      <w:proofErr w:type="gramStart"/>
      <w:r w:rsidRPr="00486CAC">
        <w:rPr>
          <w:rFonts w:cstheme="minorHAnsi"/>
          <w:color w:val="000000"/>
        </w:rPr>
        <w:t>courtesy;</w:t>
      </w:r>
      <w:proofErr w:type="gramEnd"/>
    </w:p>
    <w:p w14:paraId="3ADC9515" w14:textId="77777777" w:rsidR="00197D26" w:rsidRPr="00486CAC" w:rsidRDefault="00197D26" w:rsidP="002A3889">
      <w:pPr>
        <w:pStyle w:val="ListParagraph"/>
        <w:numPr>
          <w:ilvl w:val="0"/>
          <w:numId w:val="351"/>
        </w:numPr>
        <w:autoSpaceDE w:val="0"/>
        <w:autoSpaceDN w:val="0"/>
        <w:adjustRightInd w:val="0"/>
        <w:spacing w:after="60" w:line="240" w:lineRule="auto"/>
        <w:ind w:left="426" w:hanging="426"/>
        <w:contextualSpacing w:val="0"/>
        <w:jc w:val="both"/>
        <w:rPr>
          <w:rFonts w:cstheme="minorHAnsi"/>
          <w:color w:val="000000"/>
        </w:rPr>
      </w:pPr>
      <w:r w:rsidRPr="00486CAC">
        <w:rPr>
          <w:rFonts w:cstheme="minorHAnsi"/>
          <w:color w:val="000000"/>
        </w:rPr>
        <w:t xml:space="preserve">act professionally and with </w:t>
      </w:r>
      <w:proofErr w:type="gramStart"/>
      <w:r w:rsidRPr="00486CAC">
        <w:rPr>
          <w:rFonts w:cstheme="minorHAnsi"/>
          <w:color w:val="000000"/>
        </w:rPr>
        <w:t>propriety;</w:t>
      </w:r>
      <w:proofErr w:type="gramEnd"/>
    </w:p>
    <w:p w14:paraId="3B502617" w14:textId="77777777" w:rsidR="00197D26" w:rsidRPr="00486CAC" w:rsidRDefault="00197D26" w:rsidP="002A3889">
      <w:pPr>
        <w:pStyle w:val="ListParagraph"/>
        <w:numPr>
          <w:ilvl w:val="0"/>
          <w:numId w:val="351"/>
        </w:numPr>
        <w:autoSpaceDE w:val="0"/>
        <w:autoSpaceDN w:val="0"/>
        <w:adjustRightInd w:val="0"/>
        <w:spacing w:after="60" w:line="240" w:lineRule="auto"/>
        <w:ind w:left="426" w:hanging="426"/>
        <w:contextualSpacing w:val="0"/>
        <w:jc w:val="both"/>
        <w:rPr>
          <w:rFonts w:cstheme="minorHAnsi"/>
          <w:color w:val="000000"/>
        </w:rPr>
      </w:pPr>
      <w:r w:rsidRPr="00486CAC">
        <w:rPr>
          <w:rFonts w:cstheme="minorHAnsi"/>
          <w:color w:val="000000"/>
        </w:rPr>
        <w:t xml:space="preserve">provide necessary and relevant </w:t>
      </w:r>
      <w:proofErr w:type="gramStart"/>
      <w:r w:rsidRPr="00486CAC">
        <w:rPr>
          <w:rFonts w:cstheme="minorHAnsi"/>
          <w:color w:val="000000"/>
        </w:rPr>
        <w:t>information;</w:t>
      </w:r>
      <w:proofErr w:type="gramEnd"/>
    </w:p>
    <w:p w14:paraId="0CD20392" w14:textId="77777777" w:rsidR="00197D26" w:rsidRPr="00486CAC" w:rsidRDefault="00197D26" w:rsidP="002A3889">
      <w:pPr>
        <w:pStyle w:val="ListParagraph"/>
        <w:numPr>
          <w:ilvl w:val="0"/>
          <w:numId w:val="351"/>
        </w:numPr>
        <w:autoSpaceDE w:val="0"/>
        <w:autoSpaceDN w:val="0"/>
        <w:adjustRightInd w:val="0"/>
        <w:spacing w:after="60" w:line="240" w:lineRule="auto"/>
        <w:ind w:left="426" w:hanging="426"/>
        <w:contextualSpacing w:val="0"/>
        <w:jc w:val="both"/>
        <w:rPr>
          <w:rFonts w:cstheme="minorHAnsi"/>
          <w:color w:val="000000"/>
        </w:rPr>
      </w:pPr>
      <w:r w:rsidRPr="00486CAC">
        <w:rPr>
          <w:rFonts w:cstheme="minorHAnsi"/>
          <w:color w:val="000000"/>
        </w:rPr>
        <w:t>maintain privacy; and</w:t>
      </w:r>
    </w:p>
    <w:p w14:paraId="6FDFA8E4" w14:textId="77777777" w:rsidR="00197D26" w:rsidRPr="00486CAC" w:rsidRDefault="00197D26" w:rsidP="002A3889">
      <w:pPr>
        <w:pStyle w:val="ListParagraph"/>
        <w:numPr>
          <w:ilvl w:val="0"/>
          <w:numId w:val="351"/>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be efficient and timely in dealing with issues. </w:t>
      </w:r>
    </w:p>
    <w:p w14:paraId="725F1D26" w14:textId="77777777" w:rsidR="00197D26" w:rsidRPr="00486CAC" w:rsidRDefault="00197D26" w:rsidP="00FC6FDE">
      <w:pPr>
        <w:autoSpaceDE w:val="0"/>
        <w:autoSpaceDN w:val="0"/>
        <w:adjustRightInd w:val="0"/>
        <w:spacing w:before="200" w:after="60" w:line="240" w:lineRule="auto"/>
        <w:jc w:val="both"/>
        <w:rPr>
          <w:rFonts w:cstheme="minorHAnsi"/>
          <w:color w:val="000000"/>
        </w:rPr>
      </w:pPr>
      <w:r w:rsidRPr="00486CAC">
        <w:rPr>
          <w:rFonts w:cstheme="minorHAnsi"/>
          <w:color w:val="000000"/>
        </w:rPr>
        <w:t>The Town will:</w:t>
      </w:r>
    </w:p>
    <w:p w14:paraId="45EE316B" w14:textId="77777777" w:rsidR="00197D26" w:rsidRPr="00486CAC" w:rsidRDefault="00197D26" w:rsidP="002A3889">
      <w:pPr>
        <w:pStyle w:val="ListParagraph"/>
        <w:numPr>
          <w:ilvl w:val="0"/>
          <w:numId w:val="361"/>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 xml:space="preserve">appoint sufficient Ranger Services Officers to effectively meet the obligations of this Policy and the </w:t>
      </w:r>
      <w:r w:rsidRPr="00486CAC">
        <w:rPr>
          <w:rFonts w:cstheme="minorHAnsi"/>
          <w:i/>
          <w:color w:val="000000"/>
        </w:rPr>
        <w:t xml:space="preserve">Dog Act 1976 </w:t>
      </w:r>
      <w:r w:rsidRPr="00486CAC">
        <w:rPr>
          <w:rFonts w:cstheme="minorHAnsi"/>
          <w:color w:val="000000"/>
        </w:rPr>
        <w:t>(as amended)</w:t>
      </w:r>
      <w:r w:rsidRPr="00486CAC">
        <w:rPr>
          <w:rFonts w:cstheme="minorHAnsi"/>
          <w:i/>
          <w:color w:val="000000"/>
        </w:rPr>
        <w:t xml:space="preserve"> </w:t>
      </w:r>
      <w:r w:rsidRPr="00486CAC">
        <w:rPr>
          <w:rFonts w:cstheme="minorHAnsi"/>
          <w:color w:val="000000"/>
        </w:rPr>
        <w:t xml:space="preserve">and will ensure that all Officers responsible for the handling of dogs receive relevant </w:t>
      </w:r>
      <w:proofErr w:type="gramStart"/>
      <w:r w:rsidRPr="00486CAC">
        <w:rPr>
          <w:rFonts w:cstheme="minorHAnsi"/>
          <w:color w:val="000000"/>
        </w:rPr>
        <w:t>training, and</w:t>
      </w:r>
      <w:proofErr w:type="gramEnd"/>
      <w:r w:rsidRPr="00486CAC">
        <w:rPr>
          <w:rFonts w:cstheme="minorHAnsi"/>
          <w:color w:val="000000"/>
        </w:rPr>
        <w:t xml:space="preserve"> execute their duties in a manner that creates minimal distress and avoids harm to the dog. </w:t>
      </w:r>
    </w:p>
    <w:p w14:paraId="5DEA9E07" w14:textId="77777777" w:rsidR="00197D26" w:rsidRPr="00486CAC" w:rsidRDefault="00197D26" w:rsidP="002A3889">
      <w:pPr>
        <w:pStyle w:val="ListParagraph"/>
        <w:numPr>
          <w:ilvl w:val="0"/>
          <w:numId w:val="352"/>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 xml:space="preserve">ensure that any dog pound facility, utilised by the Town or operated by a contractor, is maintained in a humane manner, with proper regard to health, safety and welfare of all dogs in detention, including food, shelter and water, and where required, the services of a veterinary practitioner. </w:t>
      </w:r>
    </w:p>
    <w:p w14:paraId="0CBD4950" w14:textId="77777777" w:rsidR="00197D26" w:rsidRPr="00486CAC" w:rsidRDefault="00197D26" w:rsidP="002A3889">
      <w:pPr>
        <w:pStyle w:val="ListParagraph"/>
        <w:numPr>
          <w:ilvl w:val="0"/>
          <w:numId w:val="352"/>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transfer to an approved animal welfare organisation any dog deemed suitable for rehousing that has been impounded and not been claimed within the statutory holding period; and where rehousing is not appropriate or possible, the dog will be euthanized by a registered veterinary practitioner.</w:t>
      </w:r>
    </w:p>
    <w:p w14:paraId="54B24293" w14:textId="77777777" w:rsidR="00197D26" w:rsidRPr="00486CAC" w:rsidRDefault="00197D26" w:rsidP="002A3889">
      <w:pPr>
        <w:pStyle w:val="ListParagraph"/>
        <w:numPr>
          <w:ilvl w:val="0"/>
          <w:numId w:val="352"/>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 xml:space="preserve">where practicable, provide and maintain appropriate dog waste disposal bins at dog exercise areas and other locations subject to high levels of canine activity. </w:t>
      </w:r>
    </w:p>
    <w:p w14:paraId="55B0EA4D" w14:textId="77777777" w:rsidR="00197D26" w:rsidRPr="00486CAC" w:rsidRDefault="00197D26" w:rsidP="002A3889">
      <w:pPr>
        <w:pStyle w:val="ListParagraph"/>
        <w:numPr>
          <w:ilvl w:val="0"/>
          <w:numId w:val="352"/>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as required and practicable, install appropriate signage, to ensure the Town continues to educate and support the community on responsible dog ownership.</w:t>
      </w:r>
    </w:p>
    <w:p w14:paraId="7F197132" w14:textId="77777777" w:rsidR="00197D26" w:rsidRPr="00486CAC" w:rsidRDefault="00197D26" w:rsidP="00FC6FDE">
      <w:pPr>
        <w:autoSpaceDE w:val="0"/>
        <w:autoSpaceDN w:val="0"/>
        <w:adjustRightInd w:val="0"/>
        <w:spacing w:before="200" w:after="60" w:line="240" w:lineRule="auto"/>
        <w:jc w:val="both"/>
        <w:rPr>
          <w:rFonts w:cstheme="minorHAnsi"/>
          <w:color w:val="000000"/>
        </w:rPr>
      </w:pPr>
      <w:r w:rsidRPr="00486CAC">
        <w:rPr>
          <w:rFonts w:cstheme="minorHAnsi"/>
          <w:color w:val="000000"/>
        </w:rPr>
        <w:t xml:space="preserve">During normal business hours, Ranger Services will conduct regular patrols throughout the municipality to enforce compliance with the </w:t>
      </w:r>
      <w:r w:rsidRPr="00486CAC">
        <w:rPr>
          <w:rFonts w:cstheme="minorHAnsi"/>
          <w:i/>
        </w:rPr>
        <w:t xml:space="preserve">Dog Act 1976 </w:t>
      </w:r>
      <w:r w:rsidRPr="00486CAC">
        <w:rPr>
          <w:rFonts w:cstheme="minorHAnsi"/>
        </w:rPr>
        <w:t>(as amended)</w:t>
      </w:r>
      <w:r w:rsidRPr="00486CAC">
        <w:rPr>
          <w:rFonts w:cstheme="minorHAnsi"/>
          <w:i/>
        </w:rPr>
        <w:t xml:space="preserve"> </w:t>
      </w:r>
      <w:r w:rsidRPr="00486CAC">
        <w:rPr>
          <w:rFonts w:cstheme="minorHAnsi"/>
          <w:color w:val="000000"/>
        </w:rPr>
        <w:t xml:space="preserve">and respond as soon as practicable to: </w:t>
      </w:r>
    </w:p>
    <w:p w14:paraId="0E189A95" w14:textId="77777777" w:rsidR="00197D26" w:rsidRPr="00486CAC" w:rsidRDefault="00197D26" w:rsidP="002A3889">
      <w:pPr>
        <w:pStyle w:val="ListParagraph"/>
        <w:numPr>
          <w:ilvl w:val="0"/>
          <w:numId w:val="353"/>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reports of dogs attacking people or animals.</w:t>
      </w:r>
    </w:p>
    <w:p w14:paraId="60EEECB7" w14:textId="77777777" w:rsidR="00197D26" w:rsidRPr="00486CAC" w:rsidRDefault="00197D26" w:rsidP="002A3889">
      <w:pPr>
        <w:pStyle w:val="ListParagraph"/>
        <w:numPr>
          <w:ilvl w:val="0"/>
          <w:numId w:val="353"/>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formal complaints regarding dog nuisance.</w:t>
      </w:r>
    </w:p>
    <w:p w14:paraId="48FC1739" w14:textId="77777777" w:rsidR="00197D26" w:rsidRPr="00486CAC" w:rsidRDefault="00197D26" w:rsidP="002A3889">
      <w:pPr>
        <w:pStyle w:val="ListParagraph"/>
        <w:numPr>
          <w:ilvl w:val="0"/>
          <w:numId w:val="353"/>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reports of dogs at large. </w:t>
      </w:r>
    </w:p>
    <w:p w14:paraId="0A13D162" w14:textId="77777777" w:rsidR="00197D26" w:rsidRPr="00486CAC" w:rsidRDefault="00197D26" w:rsidP="00FC6FDE">
      <w:pPr>
        <w:autoSpaceDE w:val="0"/>
        <w:autoSpaceDN w:val="0"/>
        <w:adjustRightInd w:val="0"/>
        <w:spacing w:before="200" w:after="60" w:line="240" w:lineRule="auto"/>
        <w:jc w:val="both"/>
        <w:rPr>
          <w:rFonts w:cstheme="minorHAnsi"/>
          <w:color w:val="000000"/>
        </w:rPr>
      </w:pPr>
      <w:r w:rsidRPr="00486CAC">
        <w:rPr>
          <w:rFonts w:cstheme="minorHAnsi"/>
          <w:color w:val="000000"/>
        </w:rPr>
        <w:t xml:space="preserve">After normal business hours, Ranger Services will provide an emergency out-of-hours service to respond to any reports of: </w:t>
      </w:r>
    </w:p>
    <w:p w14:paraId="355450C1" w14:textId="77777777" w:rsidR="00197D26" w:rsidRPr="00486CAC" w:rsidRDefault="00197D26" w:rsidP="002A3889">
      <w:pPr>
        <w:pStyle w:val="ListParagraph"/>
        <w:numPr>
          <w:ilvl w:val="0"/>
          <w:numId w:val="354"/>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Reports of dogs attacking people or animals.</w:t>
      </w:r>
    </w:p>
    <w:p w14:paraId="7EAABFC5" w14:textId="77777777" w:rsidR="00197D26" w:rsidRPr="00486CAC" w:rsidRDefault="00197D26" w:rsidP="002A3889">
      <w:pPr>
        <w:pStyle w:val="ListParagraph"/>
        <w:numPr>
          <w:ilvl w:val="0"/>
          <w:numId w:val="354"/>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Dogs at large that are causing a traffic hazard on a major road.</w:t>
      </w:r>
    </w:p>
    <w:p w14:paraId="778BE997" w14:textId="77777777" w:rsidR="00197D26" w:rsidRPr="00486CAC" w:rsidRDefault="00197D26" w:rsidP="00FC6FDE">
      <w:pPr>
        <w:autoSpaceDE w:val="0"/>
        <w:autoSpaceDN w:val="0"/>
        <w:adjustRightInd w:val="0"/>
        <w:spacing w:before="200" w:after="0" w:line="240" w:lineRule="auto"/>
        <w:jc w:val="both"/>
        <w:rPr>
          <w:rFonts w:cstheme="minorHAnsi"/>
          <w:b/>
          <w:color w:val="000000"/>
        </w:rPr>
      </w:pPr>
      <w:r w:rsidRPr="00486CAC">
        <w:rPr>
          <w:rFonts w:cstheme="minorHAnsi"/>
          <w:b/>
          <w:color w:val="000000"/>
        </w:rPr>
        <w:t>Community Balance</w:t>
      </w:r>
    </w:p>
    <w:p w14:paraId="4D8D3DF7" w14:textId="77777777" w:rsidR="00197D26" w:rsidRPr="00486CAC" w:rsidRDefault="00197D26" w:rsidP="00FC6FDE">
      <w:pPr>
        <w:autoSpaceDE w:val="0"/>
        <w:autoSpaceDN w:val="0"/>
        <w:adjustRightInd w:val="0"/>
        <w:spacing w:after="18" w:line="240" w:lineRule="auto"/>
        <w:jc w:val="both"/>
        <w:rPr>
          <w:rFonts w:cstheme="minorHAnsi"/>
          <w:color w:val="000000"/>
        </w:rPr>
      </w:pPr>
      <w:r w:rsidRPr="00486CAC">
        <w:rPr>
          <w:rFonts w:cstheme="minorHAnsi"/>
          <w:color w:val="000000"/>
        </w:rPr>
        <w:t>The Town of East Fremantle accepts the rights of dog owners to enjoy their association with their dogs whilst at the same time accepting the rights of non-dog owners to go about their normal daily activities unimpeded by nuisance or harassment by dogs.</w:t>
      </w:r>
    </w:p>
    <w:p w14:paraId="3E8F0D2A" w14:textId="77777777" w:rsidR="00197D26" w:rsidRPr="00486CAC" w:rsidRDefault="00197D26" w:rsidP="00FC6FDE">
      <w:pPr>
        <w:autoSpaceDE w:val="0"/>
        <w:autoSpaceDN w:val="0"/>
        <w:adjustRightInd w:val="0"/>
        <w:spacing w:before="200" w:after="60" w:line="240" w:lineRule="auto"/>
        <w:jc w:val="both"/>
        <w:rPr>
          <w:rFonts w:cstheme="minorHAnsi"/>
          <w:color w:val="000000"/>
        </w:rPr>
      </w:pPr>
      <w:r w:rsidRPr="00486CAC">
        <w:rPr>
          <w:rFonts w:cstheme="minorHAnsi"/>
          <w:color w:val="000000"/>
        </w:rPr>
        <w:t>To achieve this, the Town will:</w:t>
      </w:r>
    </w:p>
    <w:p w14:paraId="10F8D555" w14:textId="77777777" w:rsidR="00197D26" w:rsidRPr="00486CAC" w:rsidRDefault="00197D26" w:rsidP="002A3889">
      <w:pPr>
        <w:pStyle w:val="ListParagraph"/>
        <w:numPr>
          <w:ilvl w:val="0"/>
          <w:numId w:val="355"/>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lastRenderedPageBreak/>
        <w:t>liaise with the community and interest groups to ensure that current declared dog exercise areas, including off-lead and beach areas, are appropriate to the needs of dog owners and are maintained in a fit state for the declared use.</w:t>
      </w:r>
    </w:p>
    <w:p w14:paraId="351CE5E3" w14:textId="77777777" w:rsidR="00197D26" w:rsidRPr="00486CAC" w:rsidRDefault="00197D26" w:rsidP="002A3889">
      <w:pPr>
        <w:pStyle w:val="ListParagraph"/>
        <w:numPr>
          <w:ilvl w:val="0"/>
          <w:numId w:val="355"/>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give due consideration to the requirement for new dog exercise areas during recreational and strategic planning processes.</w:t>
      </w:r>
    </w:p>
    <w:p w14:paraId="30ABFE4C" w14:textId="77777777" w:rsidR="00197D26" w:rsidRPr="00486CAC" w:rsidRDefault="00197D26" w:rsidP="002A3889">
      <w:pPr>
        <w:pStyle w:val="ListParagraph"/>
        <w:numPr>
          <w:ilvl w:val="0"/>
          <w:numId w:val="355"/>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notify the community by public notice of any intention to declare any future area as a designated off lead exercise area.</w:t>
      </w:r>
    </w:p>
    <w:p w14:paraId="5147725D" w14:textId="77777777" w:rsidR="00197D26" w:rsidRPr="00486CAC" w:rsidRDefault="00197D26" w:rsidP="002A3889">
      <w:pPr>
        <w:pStyle w:val="ListParagraph"/>
        <w:numPr>
          <w:ilvl w:val="0"/>
          <w:numId w:val="355"/>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ensure that residents who may be affected by any new dog recreation area are given timely notice and the ability to make representations for Council consideration.</w:t>
      </w:r>
    </w:p>
    <w:p w14:paraId="3CFB41F0" w14:textId="77777777" w:rsidR="00197D26" w:rsidRPr="00486CAC" w:rsidRDefault="00197D26" w:rsidP="002A3889">
      <w:pPr>
        <w:pStyle w:val="ListParagraph"/>
        <w:numPr>
          <w:ilvl w:val="0"/>
          <w:numId w:val="355"/>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 xml:space="preserve">liaise with </w:t>
      </w:r>
      <w:proofErr w:type="gramStart"/>
      <w:r w:rsidRPr="00486CAC">
        <w:rPr>
          <w:rFonts w:cstheme="minorHAnsi"/>
          <w:color w:val="000000"/>
        </w:rPr>
        <w:t>local residents</w:t>
      </w:r>
      <w:proofErr w:type="gramEnd"/>
      <w:r w:rsidRPr="00486CAC">
        <w:rPr>
          <w:rFonts w:cstheme="minorHAnsi"/>
          <w:color w:val="000000"/>
        </w:rPr>
        <w:t xml:space="preserve"> and the community in general in relation to any proposed new dog exercise areas prior to the establishment of such an area.</w:t>
      </w:r>
    </w:p>
    <w:p w14:paraId="0E1D5A19" w14:textId="77777777" w:rsidR="00197D26" w:rsidRPr="00486CAC" w:rsidRDefault="00197D26" w:rsidP="002A3889">
      <w:pPr>
        <w:pStyle w:val="ListParagraph"/>
        <w:numPr>
          <w:ilvl w:val="0"/>
          <w:numId w:val="355"/>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 xml:space="preserve">liaise with </w:t>
      </w:r>
      <w:proofErr w:type="gramStart"/>
      <w:r w:rsidRPr="00486CAC">
        <w:rPr>
          <w:rFonts w:cstheme="minorHAnsi"/>
          <w:color w:val="000000"/>
        </w:rPr>
        <w:t>local residents</w:t>
      </w:r>
      <w:proofErr w:type="gramEnd"/>
      <w:r w:rsidRPr="00486CAC">
        <w:rPr>
          <w:rFonts w:cstheme="minorHAnsi"/>
          <w:color w:val="000000"/>
        </w:rPr>
        <w:t xml:space="preserve"> and the community in general in relation to any proposed removal / closure of an existing dog exercise areas prior to removal/closure of any such proposed area; and</w:t>
      </w:r>
    </w:p>
    <w:p w14:paraId="1716369E" w14:textId="77777777" w:rsidR="00197D26" w:rsidRPr="00486CAC" w:rsidRDefault="00197D26" w:rsidP="002A3889">
      <w:pPr>
        <w:pStyle w:val="ListParagraph"/>
        <w:numPr>
          <w:ilvl w:val="0"/>
          <w:numId w:val="355"/>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respond in a timely manner to reports of stray, aggressive and nuisance dogs, and where appropriate enforce the relevant sections of the </w:t>
      </w:r>
      <w:r w:rsidRPr="00486CAC">
        <w:rPr>
          <w:rFonts w:cstheme="minorHAnsi"/>
          <w:i/>
          <w:iCs/>
          <w:color w:val="000000"/>
        </w:rPr>
        <w:t xml:space="preserve">Dog Act 1976 </w:t>
      </w:r>
      <w:r w:rsidRPr="00486CAC">
        <w:rPr>
          <w:rFonts w:cstheme="minorHAnsi"/>
          <w:iCs/>
          <w:color w:val="000000"/>
        </w:rPr>
        <w:t xml:space="preserve">(as </w:t>
      </w:r>
      <w:proofErr w:type="gramStart"/>
      <w:r w:rsidRPr="00486CAC">
        <w:rPr>
          <w:rFonts w:cstheme="minorHAnsi"/>
          <w:iCs/>
          <w:color w:val="000000"/>
        </w:rPr>
        <w:t>amended)</w:t>
      </w:r>
      <w:r w:rsidRPr="00486CAC">
        <w:rPr>
          <w:rFonts w:cstheme="minorHAnsi"/>
          <w:i/>
          <w:iCs/>
          <w:color w:val="000000"/>
        </w:rPr>
        <w:t xml:space="preserve">  </w:t>
      </w:r>
      <w:r w:rsidRPr="00486CAC">
        <w:rPr>
          <w:rFonts w:cstheme="minorHAnsi"/>
          <w:color w:val="000000"/>
        </w:rPr>
        <w:t>to</w:t>
      </w:r>
      <w:proofErr w:type="gramEnd"/>
      <w:r w:rsidRPr="00486CAC">
        <w:rPr>
          <w:rFonts w:cstheme="minorHAnsi"/>
          <w:color w:val="000000"/>
        </w:rPr>
        <w:t xml:space="preserve"> deter irresponsible behaviour by dog owners. </w:t>
      </w:r>
    </w:p>
    <w:p w14:paraId="4A3A1474" w14:textId="77777777" w:rsidR="00197D26" w:rsidRPr="00486CAC" w:rsidRDefault="00197D26" w:rsidP="00FC6FDE">
      <w:pPr>
        <w:kinsoku w:val="0"/>
        <w:overflowPunct w:val="0"/>
        <w:autoSpaceDE w:val="0"/>
        <w:autoSpaceDN w:val="0"/>
        <w:adjustRightInd w:val="0"/>
        <w:spacing w:before="200" w:after="60" w:line="240" w:lineRule="auto"/>
        <w:ind w:left="68"/>
        <w:jc w:val="both"/>
        <w:rPr>
          <w:rFonts w:cstheme="minorHAnsi"/>
        </w:rPr>
      </w:pPr>
      <w:bookmarkStart w:id="594" w:name="DECLARED_AREAS"/>
      <w:bookmarkEnd w:id="594"/>
      <w:r w:rsidRPr="00486CAC">
        <w:rPr>
          <w:rFonts w:cstheme="minorHAnsi"/>
        </w:rPr>
        <w:t xml:space="preserve">In line with the Town of East Fremantle’s objective of maintaining balance within the community and in accordance with the provisions of the </w:t>
      </w:r>
      <w:r w:rsidRPr="00486CAC">
        <w:rPr>
          <w:rFonts w:cstheme="minorHAnsi"/>
          <w:i/>
          <w:iCs/>
          <w:color w:val="000000"/>
        </w:rPr>
        <w:t xml:space="preserve">Dog Act 1976 </w:t>
      </w:r>
      <w:r w:rsidRPr="00486CAC">
        <w:rPr>
          <w:rFonts w:cstheme="minorHAnsi"/>
          <w:iCs/>
          <w:color w:val="000000"/>
        </w:rPr>
        <w:t>(as amended)</w:t>
      </w:r>
      <w:r w:rsidRPr="00486CAC">
        <w:rPr>
          <w:rFonts w:cstheme="minorHAnsi"/>
        </w:rPr>
        <w:t>, the Town may declare and regulate areas of the municipality to be a:</w:t>
      </w:r>
    </w:p>
    <w:p w14:paraId="312F83CD" w14:textId="77777777" w:rsidR="00197D26" w:rsidRPr="00486CAC" w:rsidRDefault="00197D26" w:rsidP="002A3889">
      <w:pPr>
        <w:pStyle w:val="ListParagraph"/>
        <w:numPr>
          <w:ilvl w:val="0"/>
          <w:numId w:val="364"/>
        </w:numPr>
        <w:kinsoku w:val="0"/>
        <w:overflowPunct w:val="0"/>
        <w:autoSpaceDE w:val="0"/>
        <w:autoSpaceDN w:val="0"/>
        <w:adjustRightInd w:val="0"/>
        <w:spacing w:after="18" w:line="240" w:lineRule="auto"/>
        <w:ind w:left="426" w:hanging="426"/>
        <w:jc w:val="both"/>
        <w:rPr>
          <w:rFonts w:cstheme="minorHAnsi"/>
          <w:u w:val="single"/>
        </w:rPr>
      </w:pPr>
      <w:r w:rsidRPr="00486CAC">
        <w:rPr>
          <w:rFonts w:cstheme="minorHAnsi"/>
          <w:u w:val="single"/>
        </w:rPr>
        <w:t>Dog Exercise</w:t>
      </w:r>
      <w:r w:rsidRPr="00486CAC">
        <w:rPr>
          <w:rFonts w:cstheme="minorHAnsi"/>
          <w:spacing w:val="3"/>
          <w:u w:val="single"/>
        </w:rPr>
        <w:t xml:space="preserve"> </w:t>
      </w:r>
      <w:r w:rsidRPr="00486CAC">
        <w:rPr>
          <w:rFonts w:cstheme="minorHAnsi"/>
          <w:u w:val="single"/>
        </w:rPr>
        <w:t>Area</w:t>
      </w:r>
    </w:p>
    <w:p w14:paraId="06E02B43" w14:textId="77777777" w:rsidR="00197D26" w:rsidRPr="00486CAC" w:rsidRDefault="00197D26" w:rsidP="00FC6FDE">
      <w:pPr>
        <w:tabs>
          <w:tab w:val="left" w:pos="1250"/>
        </w:tabs>
        <w:kinsoku w:val="0"/>
        <w:overflowPunct w:val="0"/>
        <w:autoSpaceDE w:val="0"/>
        <w:autoSpaceDN w:val="0"/>
        <w:adjustRightInd w:val="0"/>
        <w:spacing w:after="60" w:line="240" w:lineRule="auto"/>
        <w:ind w:left="426" w:right="100"/>
        <w:jc w:val="both"/>
        <w:rPr>
          <w:rFonts w:cstheme="minorHAnsi"/>
        </w:rPr>
      </w:pPr>
      <w:r w:rsidRPr="00486CAC">
        <w:rPr>
          <w:rFonts w:cstheme="minorHAnsi"/>
        </w:rPr>
        <w:t>An</w:t>
      </w:r>
      <w:r w:rsidRPr="00486CAC">
        <w:rPr>
          <w:rFonts w:cstheme="minorHAnsi"/>
          <w:spacing w:val="39"/>
        </w:rPr>
        <w:t xml:space="preserve"> </w:t>
      </w:r>
      <w:r w:rsidRPr="00486CAC">
        <w:rPr>
          <w:rFonts w:cstheme="minorHAnsi"/>
        </w:rPr>
        <w:t>area</w:t>
      </w:r>
      <w:r w:rsidRPr="00486CAC">
        <w:rPr>
          <w:rFonts w:cstheme="minorHAnsi"/>
          <w:spacing w:val="39"/>
        </w:rPr>
        <w:t xml:space="preserve"> </w:t>
      </w:r>
      <w:r w:rsidRPr="00486CAC">
        <w:rPr>
          <w:rFonts w:cstheme="minorHAnsi"/>
        </w:rPr>
        <w:t>on</w:t>
      </w:r>
      <w:r w:rsidRPr="00486CAC">
        <w:rPr>
          <w:rFonts w:cstheme="minorHAnsi"/>
          <w:spacing w:val="39"/>
        </w:rPr>
        <w:t xml:space="preserve"> </w:t>
      </w:r>
      <w:r w:rsidRPr="00486CAC">
        <w:rPr>
          <w:rFonts w:cstheme="minorHAnsi"/>
        </w:rPr>
        <w:t>which</w:t>
      </w:r>
      <w:r w:rsidRPr="00486CAC">
        <w:rPr>
          <w:rFonts w:cstheme="minorHAnsi"/>
          <w:spacing w:val="39"/>
        </w:rPr>
        <w:t xml:space="preserve"> </w:t>
      </w:r>
      <w:r w:rsidRPr="00486CAC">
        <w:rPr>
          <w:rFonts w:cstheme="minorHAnsi"/>
        </w:rPr>
        <w:t>dogs</w:t>
      </w:r>
      <w:r w:rsidRPr="00486CAC">
        <w:rPr>
          <w:rFonts w:cstheme="minorHAnsi"/>
          <w:spacing w:val="37"/>
        </w:rPr>
        <w:t xml:space="preserve"> </w:t>
      </w:r>
      <w:r w:rsidRPr="00486CAC">
        <w:rPr>
          <w:rFonts w:cstheme="minorHAnsi"/>
        </w:rPr>
        <w:t>may</w:t>
      </w:r>
      <w:r w:rsidRPr="00486CAC">
        <w:rPr>
          <w:rFonts w:cstheme="minorHAnsi"/>
          <w:spacing w:val="37"/>
        </w:rPr>
        <w:t xml:space="preserve"> </w:t>
      </w:r>
      <w:r w:rsidRPr="00486CAC">
        <w:rPr>
          <w:rFonts w:cstheme="minorHAnsi"/>
        </w:rPr>
        <w:t>be</w:t>
      </w:r>
      <w:r w:rsidRPr="00486CAC">
        <w:rPr>
          <w:rFonts w:cstheme="minorHAnsi"/>
          <w:spacing w:val="39"/>
        </w:rPr>
        <w:t xml:space="preserve"> </w:t>
      </w:r>
      <w:r w:rsidRPr="00486CAC">
        <w:rPr>
          <w:rFonts w:cstheme="minorHAnsi"/>
        </w:rPr>
        <w:t>exercised</w:t>
      </w:r>
      <w:r w:rsidRPr="00486CAC">
        <w:rPr>
          <w:rFonts w:cstheme="minorHAnsi"/>
          <w:spacing w:val="39"/>
        </w:rPr>
        <w:t xml:space="preserve"> </w:t>
      </w:r>
      <w:r w:rsidRPr="00486CAC">
        <w:rPr>
          <w:rFonts w:cstheme="minorHAnsi"/>
        </w:rPr>
        <w:t>either</w:t>
      </w:r>
      <w:r w:rsidRPr="00486CAC">
        <w:rPr>
          <w:rFonts w:cstheme="minorHAnsi"/>
          <w:spacing w:val="40"/>
        </w:rPr>
        <w:t xml:space="preserve"> </w:t>
      </w:r>
      <w:r w:rsidRPr="00486CAC">
        <w:rPr>
          <w:rFonts w:cstheme="minorHAnsi"/>
        </w:rPr>
        <w:t>on-lead</w:t>
      </w:r>
      <w:r w:rsidRPr="00486CAC">
        <w:rPr>
          <w:rFonts w:cstheme="minorHAnsi"/>
          <w:spacing w:val="39"/>
        </w:rPr>
        <w:t xml:space="preserve"> </w:t>
      </w:r>
      <w:r w:rsidRPr="00486CAC">
        <w:rPr>
          <w:rFonts w:cstheme="minorHAnsi"/>
        </w:rPr>
        <w:t>or</w:t>
      </w:r>
      <w:r w:rsidRPr="00486CAC">
        <w:rPr>
          <w:rFonts w:cstheme="minorHAnsi"/>
          <w:spacing w:val="40"/>
        </w:rPr>
        <w:t xml:space="preserve"> </w:t>
      </w:r>
      <w:r w:rsidRPr="00486CAC">
        <w:rPr>
          <w:rFonts w:cstheme="minorHAnsi"/>
        </w:rPr>
        <w:t>off-lead,</w:t>
      </w:r>
      <w:r w:rsidRPr="00486CAC">
        <w:rPr>
          <w:rFonts w:cstheme="minorHAnsi"/>
          <w:spacing w:val="40"/>
        </w:rPr>
        <w:t xml:space="preserve"> </w:t>
      </w:r>
      <w:r w:rsidRPr="00486CAC">
        <w:rPr>
          <w:rFonts w:cstheme="minorHAnsi"/>
        </w:rPr>
        <w:t>subject</w:t>
      </w:r>
      <w:r w:rsidRPr="00486CAC">
        <w:rPr>
          <w:rFonts w:cstheme="minorHAnsi"/>
          <w:spacing w:val="38"/>
        </w:rPr>
        <w:t xml:space="preserve"> </w:t>
      </w:r>
      <w:r w:rsidRPr="00486CAC">
        <w:rPr>
          <w:rFonts w:cstheme="minorHAnsi"/>
        </w:rPr>
        <w:t>to</w:t>
      </w:r>
      <w:r w:rsidRPr="00486CAC">
        <w:rPr>
          <w:rFonts w:cstheme="minorHAnsi"/>
          <w:spacing w:val="36"/>
        </w:rPr>
        <w:t xml:space="preserve"> </w:t>
      </w:r>
      <w:r w:rsidRPr="00486CAC">
        <w:rPr>
          <w:rFonts w:cstheme="minorHAnsi"/>
        </w:rPr>
        <w:t>any</w:t>
      </w:r>
      <w:r w:rsidRPr="00486CAC">
        <w:rPr>
          <w:rFonts w:cstheme="minorHAnsi"/>
          <w:spacing w:val="-1"/>
        </w:rPr>
        <w:t xml:space="preserve"> </w:t>
      </w:r>
      <w:r w:rsidRPr="00486CAC">
        <w:rPr>
          <w:rFonts w:cstheme="minorHAnsi"/>
        </w:rPr>
        <w:t>specified conditions.</w:t>
      </w:r>
    </w:p>
    <w:p w14:paraId="60E8705F" w14:textId="77777777" w:rsidR="00197D26" w:rsidRPr="00486CAC" w:rsidRDefault="00197D26" w:rsidP="002A3889">
      <w:pPr>
        <w:pStyle w:val="ListParagraph"/>
        <w:numPr>
          <w:ilvl w:val="0"/>
          <w:numId w:val="364"/>
        </w:numPr>
        <w:tabs>
          <w:tab w:val="left" w:pos="426"/>
        </w:tabs>
        <w:kinsoku w:val="0"/>
        <w:overflowPunct w:val="0"/>
        <w:autoSpaceDE w:val="0"/>
        <w:autoSpaceDN w:val="0"/>
        <w:adjustRightInd w:val="0"/>
        <w:spacing w:after="60" w:line="240" w:lineRule="auto"/>
        <w:ind w:left="567" w:hanging="567"/>
        <w:jc w:val="both"/>
        <w:rPr>
          <w:rFonts w:cstheme="minorHAnsi"/>
          <w:u w:val="single"/>
        </w:rPr>
      </w:pPr>
      <w:r w:rsidRPr="00486CAC">
        <w:rPr>
          <w:rFonts w:cstheme="minorHAnsi"/>
          <w:u w:val="single"/>
        </w:rPr>
        <w:t>Dog Training</w:t>
      </w:r>
      <w:r w:rsidRPr="00486CAC">
        <w:rPr>
          <w:rFonts w:cstheme="minorHAnsi"/>
          <w:spacing w:val="1"/>
          <w:u w:val="single"/>
        </w:rPr>
        <w:t xml:space="preserve"> </w:t>
      </w:r>
      <w:r w:rsidRPr="00486CAC">
        <w:rPr>
          <w:rFonts w:cstheme="minorHAnsi"/>
          <w:u w:val="single"/>
        </w:rPr>
        <w:t>Area</w:t>
      </w:r>
    </w:p>
    <w:p w14:paraId="502BCDD8" w14:textId="77777777" w:rsidR="00197D26" w:rsidRPr="00486CAC" w:rsidRDefault="00197D26" w:rsidP="00FC6FDE">
      <w:pPr>
        <w:tabs>
          <w:tab w:val="left" w:pos="1250"/>
        </w:tabs>
        <w:kinsoku w:val="0"/>
        <w:overflowPunct w:val="0"/>
        <w:autoSpaceDE w:val="0"/>
        <w:autoSpaceDN w:val="0"/>
        <w:adjustRightInd w:val="0"/>
        <w:spacing w:after="60" w:line="240" w:lineRule="auto"/>
        <w:ind w:left="426"/>
        <w:jc w:val="both"/>
        <w:rPr>
          <w:rFonts w:cstheme="minorHAnsi"/>
        </w:rPr>
      </w:pPr>
      <w:r w:rsidRPr="00486CAC">
        <w:rPr>
          <w:rFonts w:cstheme="minorHAnsi"/>
        </w:rPr>
        <w:t>Land on which dogs may be trained, subject to any specified</w:t>
      </w:r>
      <w:r w:rsidRPr="00486CAC">
        <w:rPr>
          <w:rFonts w:cstheme="minorHAnsi"/>
          <w:spacing w:val="-13"/>
        </w:rPr>
        <w:t xml:space="preserve"> </w:t>
      </w:r>
      <w:r w:rsidRPr="00486CAC">
        <w:rPr>
          <w:rFonts w:cstheme="minorHAnsi"/>
        </w:rPr>
        <w:t>conditions.</w:t>
      </w:r>
    </w:p>
    <w:p w14:paraId="3B84AF6F" w14:textId="77777777" w:rsidR="00197D26" w:rsidRPr="00486CAC" w:rsidRDefault="00197D26" w:rsidP="002A3889">
      <w:pPr>
        <w:pStyle w:val="ListParagraph"/>
        <w:numPr>
          <w:ilvl w:val="0"/>
          <w:numId w:val="364"/>
        </w:numPr>
        <w:kinsoku w:val="0"/>
        <w:overflowPunct w:val="0"/>
        <w:autoSpaceDE w:val="0"/>
        <w:autoSpaceDN w:val="0"/>
        <w:adjustRightInd w:val="0"/>
        <w:spacing w:after="60" w:line="240" w:lineRule="auto"/>
        <w:ind w:left="426" w:hanging="426"/>
        <w:jc w:val="both"/>
        <w:rPr>
          <w:rFonts w:cstheme="minorHAnsi"/>
          <w:u w:val="single"/>
        </w:rPr>
      </w:pPr>
      <w:r w:rsidRPr="00486CAC">
        <w:rPr>
          <w:rFonts w:cstheme="minorHAnsi"/>
          <w:u w:val="single"/>
        </w:rPr>
        <w:t>Prohibited Area</w:t>
      </w:r>
    </w:p>
    <w:p w14:paraId="6C4B189A" w14:textId="77777777" w:rsidR="00197D26" w:rsidRPr="00486CAC" w:rsidRDefault="00197D26" w:rsidP="00FC6FDE">
      <w:pPr>
        <w:tabs>
          <w:tab w:val="left" w:pos="1250"/>
        </w:tabs>
        <w:kinsoku w:val="0"/>
        <w:overflowPunct w:val="0"/>
        <w:autoSpaceDE w:val="0"/>
        <w:autoSpaceDN w:val="0"/>
        <w:adjustRightInd w:val="0"/>
        <w:spacing w:after="60" w:line="240" w:lineRule="auto"/>
        <w:ind w:left="426" w:right="104"/>
        <w:jc w:val="both"/>
        <w:rPr>
          <w:rFonts w:cstheme="minorHAnsi"/>
        </w:rPr>
      </w:pPr>
      <w:r w:rsidRPr="00486CAC">
        <w:rPr>
          <w:rFonts w:cstheme="minorHAnsi"/>
        </w:rPr>
        <w:t>An area containing sensitive habitat for native wildlife may be declared as prohibited to dogs, other than a guide dog, hearing</w:t>
      </w:r>
      <w:r w:rsidRPr="00486CAC">
        <w:rPr>
          <w:rFonts w:cstheme="minorHAnsi"/>
          <w:spacing w:val="6"/>
        </w:rPr>
        <w:t xml:space="preserve"> </w:t>
      </w:r>
      <w:r w:rsidRPr="00486CAC">
        <w:rPr>
          <w:rFonts w:cstheme="minorHAnsi"/>
        </w:rPr>
        <w:t>dog or any authorised assistance dog as authorised by the Minister and wearing the prescribed assistance dog coat/harness.</w:t>
      </w:r>
    </w:p>
    <w:p w14:paraId="17FBBFA3" w14:textId="77777777" w:rsidR="00197D26" w:rsidRPr="00486CAC" w:rsidRDefault="00197D26" w:rsidP="002A3889">
      <w:pPr>
        <w:pStyle w:val="ListParagraph"/>
        <w:numPr>
          <w:ilvl w:val="0"/>
          <w:numId w:val="364"/>
        </w:numPr>
        <w:kinsoku w:val="0"/>
        <w:overflowPunct w:val="0"/>
        <w:autoSpaceDE w:val="0"/>
        <w:autoSpaceDN w:val="0"/>
        <w:adjustRightInd w:val="0"/>
        <w:spacing w:after="18" w:line="240" w:lineRule="auto"/>
        <w:ind w:left="426" w:hanging="426"/>
        <w:jc w:val="both"/>
        <w:rPr>
          <w:rFonts w:cstheme="minorHAnsi"/>
          <w:u w:val="single"/>
        </w:rPr>
      </w:pPr>
      <w:r w:rsidRPr="00486CAC">
        <w:rPr>
          <w:rFonts w:cstheme="minorHAnsi"/>
          <w:u w:val="single"/>
        </w:rPr>
        <w:t>Restricted</w:t>
      </w:r>
      <w:r w:rsidRPr="00486CAC">
        <w:rPr>
          <w:rFonts w:cstheme="minorHAnsi"/>
          <w:spacing w:val="-2"/>
          <w:u w:val="single"/>
        </w:rPr>
        <w:t xml:space="preserve"> </w:t>
      </w:r>
      <w:r w:rsidRPr="00486CAC">
        <w:rPr>
          <w:rFonts w:cstheme="minorHAnsi"/>
          <w:u w:val="single"/>
        </w:rPr>
        <w:t>Areas</w:t>
      </w:r>
    </w:p>
    <w:p w14:paraId="2FF39513" w14:textId="77777777" w:rsidR="00197D26" w:rsidRPr="00486CAC" w:rsidRDefault="00197D26" w:rsidP="00FC6FDE">
      <w:pPr>
        <w:tabs>
          <w:tab w:val="left" w:pos="1250"/>
        </w:tabs>
        <w:kinsoku w:val="0"/>
        <w:overflowPunct w:val="0"/>
        <w:autoSpaceDE w:val="0"/>
        <w:autoSpaceDN w:val="0"/>
        <w:adjustRightInd w:val="0"/>
        <w:spacing w:after="18" w:line="240" w:lineRule="auto"/>
        <w:ind w:left="426" w:right="100"/>
        <w:jc w:val="both"/>
        <w:rPr>
          <w:rFonts w:cstheme="minorHAnsi"/>
        </w:rPr>
      </w:pPr>
      <w:r w:rsidRPr="00486CAC">
        <w:rPr>
          <w:rFonts w:cstheme="minorHAnsi"/>
        </w:rPr>
        <w:t>Land on which dogs may not be taken at any time, or only on specified hours, days and</w:t>
      </w:r>
      <w:r w:rsidRPr="00486CAC">
        <w:rPr>
          <w:rFonts w:cstheme="minorHAnsi"/>
          <w:spacing w:val="5"/>
        </w:rPr>
        <w:t xml:space="preserve"> </w:t>
      </w:r>
      <w:r w:rsidRPr="00486CAC">
        <w:rPr>
          <w:rFonts w:cstheme="minorHAnsi"/>
        </w:rPr>
        <w:t xml:space="preserve">seasons. When dog </w:t>
      </w:r>
      <w:proofErr w:type="gramStart"/>
      <w:r w:rsidRPr="00486CAC">
        <w:rPr>
          <w:rFonts w:cstheme="minorHAnsi"/>
        </w:rPr>
        <w:t>are</w:t>
      </w:r>
      <w:proofErr w:type="gramEnd"/>
      <w:r w:rsidRPr="00486CAC">
        <w:rPr>
          <w:rFonts w:cstheme="minorHAnsi"/>
        </w:rPr>
        <w:t xml:space="preserve"> permitted it may be specified as to whether they must be on-lead or may be</w:t>
      </w:r>
      <w:r w:rsidRPr="00486CAC">
        <w:rPr>
          <w:rFonts w:cstheme="minorHAnsi"/>
          <w:spacing w:val="6"/>
        </w:rPr>
        <w:t xml:space="preserve"> </w:t>
      </w:r>
      <w:r w:rsidRPr="00486CAC">
        <w:rPr>
          <w:rFonts w:cstheme="minorHAnsi"/>
        </w:rPr>
        <w:t>off-lead.</w:t>
      </w:r>
    </w:p>
    <w:p w14:paraId="2EAAD0F8" w14:textId="77777777" w:rsidR="00197D26" w:rsidRPr="00486CAC" w:rsidRDefault="00197D26" w:rsidP="00FC6FDE">
      <w:pPr>
        <w:tabs>
          <w:tab w:val="left" w:pos="1250"/>
        </w:tabs>
        <w:kinsoku w:val="0"/>
        <w:overflowPunct w:val="0"/>
        <w:autoSpaceDE w:val="0"/>
        <w:autoSpaceDN w:val="0"/>
        <w:adjustRightInd w:val="0"/>
        <w:spacing w:before="200" w:line="240" w:lineRule="auto"/>
        <w:jc w:val="both"/>
        <w:rPr>
          <w:rFonts w:cstheme="minorHAnsi"/>
        </w:rPr>
      </w:pPr>
      <w:r w:rsidRPr="00486CAC">
        <w:rPr>
          <w:rFonts w:cstheme="minorHAnsi"/>
        </w:rPr>
        <w:t>The above restrictions do not apply to a guide dog, hearing</w:t>
      </w:r>
      <w:r w:rsidRPr="00486CAC">
        <w:rPr>
          <w:rFonts w:cstheme="minorHAnsi"/>
          <w:spacing w:val="-8"/>
        </w:rPr>
        <w:t xml:space="preserve"> </w:t>
      </w:r>
      <w:r w:rsidRPr="00486CAC">
        <w:rPr>
          <w:rFonts w:cstheme="minorHAnsi"/>
        </w:rPr>
        <w:t xml:space="preserve">dog or any authorised assistance as authorised by the Minister and wearing the prescribed assistance dog coat/harness. </w:t>
      </w:r>
    </w:p>
    <w:p w14:paraId="6A1F967A" w14:textId="77777777" w:rsidR="00197D26" w:rsidRPr="00486CAC" w:rsidRDefault="00197D26" w:rsidP="00FC6FDE">
      <w:pPr>
        <w:tabs>
          <w:tab w:val="left" w:pos="1250"/>
        </w:tabs>
        <w:kinsoku w:val="0"/>
        <w:overflowPunct w:val="0"/>
        <w:autoSpaceDE w:val="0"/>
        <w:autoSpaceDN w:val="0"/>
        <w:adjustRightInd w:val="0"/>
        <w:spacing w:after="60" w:line="240" w:lineRule="auto"/>
        <w:jc w:val="both"/>
        <w:rPr>
          <w:rFonts w:cstheme="minorHAnsi"/>
        </w:rPr>
      </w:pPr>
      <w:r w:rsidRPr="00486CAC">
        <w:rPr>
          <w:rFonts w:cstheme="minorHAnsi"/>
        </w:rPr>
        <w:t xml:space="preserve">Council will provide and maintain signage appropriate to identify declared areas where access opportunities or restrictions for dogs apply. In addition to the above, the </w:t>
      </w:r>
      <w:r w:rsidRPr="00486CAC">
        <w:rPr>
          <w:rFonts w:cstheme="minorHAnsi"/>
          <w:i/>
          <w:iCs/>
          <w:color w:val="000000"/>
        </w:rPr>
        <w:t xml:space="preserve">Dog Act 1976 </w:t>
      </w:r>
      <w:r w:rsidRPr="00486CAC">
        <w:rPr>
          <w:rFonts w:cstheme="minorHAnsi"/>
          <w:iCs/>
          <w:color w:val="000000"/>
        </w:rPr>
        <w:t>(as amended)</w:t>
      </w:r>
      <w:r w:rsidRPr="00486CAC">
        <w:rPr>
          <w:rFonts w:cstheme="minorHAnsi"/>
          <w:i/>
          <w:iCs/>
          <w:color w:val="000000"/>
        </w:rPr>
        <w:t xml:space="preserve"> </w:t>
      </w:r>
      <w:r w:rsidRPr="00486CAC">
        <w:rPr>
          <w:rFonts w:cstheme="minorHAnsi"/>
        </w:rPr>
        <w:t>prohibits dogs in:</w:t>
      </w:r>
    </w:p>
    <w:p w14:paraId="58DCC519" w14:textId="77777777" w:rsidR="00197D26" w:rsidRPr="00486CAC" w:rsidRDefault="00197D26" w:rsidP="002A3889">
      <w:pPr>
        <w:pStyle w:val="ListParagraph"/>
        <w:numPr>
          <w:ilvl w:val="0"/>
          <w:numId w:val="356"/>
        </w:numPr>
        <w:kinsoku w:val="0"/>
        <w:overflowPunct w:val="0"/>
        <w:autoSpaceDE w:val="0"/>
        <w:autoSpaceDN w:val="0"/>
        <w:adjustRightInd w:val="0"/>
        <w:spacing w:after="60" w:line="240" w:lineRule="auto"/>
        <w:ind w:left="426" w:right="103" w:hanging="426"/>
        <w:contextualSpacing w:val="0"/>
        <w:jc w:val="both"/>
        <w:rPr>
          <w:rFonts w:cstheme="minorHAnsi"/>
        </w:rPr>
      </w:pPr>
      <w:r w:rsidRPr="00486CAC">
        <w:rPr>
          <w:rFonts w:cstheme="minorHAnsi"/>
        </w:rPr>
        <w:t>any grounds of a school, pre-school, kindergarten, crèche or other place for the reception of children without the permission of the person in charge of the place.</w:t>
      </w:r>
      <w:r w:rsidRPr="00486CAC">
        <w:rPr>
          <w:rFonts w:cstheme="minorHAnsi"/>
          <w:spacing w:val="-6"/>
        </w:rPr>
        <w:t xml:space="preserve"> </w:t>
      </w:r>
    </w:p>
    <w:p w14:paraId="288236CF" w14:textId="77777777" w:rsidR="00197D26" w:rsidRPr="00486CAC" w:rsidRDefault="00197D26" w:rsidP="002A3889">
      <w:pPr>
        <w:pStyle w:val="ListParagraph"/>
        <w:numPr>
          <w:ilvl w:val="0"/>
          <w:numId w:val="356"/>
        </w:numPr>
        <w:kinsoku w:val="0"/>
        <w:overflowPunct w:val="0"/>
        <w:autoSpaceDE w:val="0"/>
        <w:autoSpaceDN w:val="0"/>
        <w:adjustRightInd w:val="0"/>
        <w:spacing w:after="60" w:line="240" w:lineRule="auto"/>
        <w:ind w:left="426" w:right="103" w:hanging="426"/>
        <w:contextualSpacing w:val="0"/>
        <w:jc w:val="both"/>
        <w:rPr>
          <w:rFonts w:cstheme="minorHAnsi"/>
        </w:rPr>
      </w:pPr>
      <w:r w:rsidRPr="00486CAC">
        <w:rPr>
          <w:rFonts w:cstheme="minorHAnsi"/>
        </w:rPr>
        <w:t>any shopping centre, or any shop except a pet shop, premises of a veterinary surgeon, pet grooming shop, or any other premises related to the care and management of dogs.</w:t>
      </w:r>
      <w:r w:rsidRPr="00486CAC">
        <w:rPr>
          <w:rFonts w:cstheme="minorHAnsi"/>
          <w:spacing w:val="40"/>
        </w:rPr>
        <w:t xml:space="preserve"> </w:t>
      </w:r>
      <w:r w:rsidRPr="00486CAC">
        <w:rPr>
          <w:rFonts w:cstheme="minorHAnsi"/>
        </w:rPr>
        <w:t xml:space="preserve"> </w:t>
      </w:r>
    </w:p>
    <w:p w14:paraId="267D7E2A" w14:textId="77777777" w:rsidR="00197D26" w:rsidRPr="00486CAC" w:rsidRDefault="00197D26" w:rsidP="002A3889">
      <w:pPr>
        <w:pStyle w:val="ListParagraph"/>
        <w:numPr>
          <w:ilvl w:val="0"/>
          <w:numId w:val="356"/>
        </w:numPr>
        <w:kinsoku w:val="0"/>
        <w:overflowPunct w:val="0"/>
        <w:autoSpaceDE w:val="0"/>
        <w:autoSpaceDN w:val="0"/>
        <w:adjustRightInd w:val="0"/>
        <w:spacing w:after="18" w:line="240" w:lineRule="auto"/>
        <w:ind w:left="426" w:hanging="426"/>
        <w:jc w:val="both"/>
        <w:rPr>
          <w:rFonts w:cstheme="minorHAnsi"/>
        </w:rPr>
      </w:pPr>
      <w:r w:rsidRPr="00486CAC">
        <w:rPr>
          <w:rFonts w:cstheme="minorHAnsi"/>
        </w:rPr>
        <w:t>any playing area of a sports ground on which sport is being played</w:t>
      </w:r>
      <w:r w:rsidRPr="00486CAC">
        <w:rPr>
          <w:rFonts w:cstheme="minorHAnsi"/>
          <w:spacing w:val="-2"/>
        </w:rPr>
        <w:t xml:space="preserve"> </w:t>
      </w:r>
      <w:r w:rsidRPr="00486CAC">
        <w:rPr>
          <w:rFonts w:cstheme="minorHAnsi"/>
        </w:rPr>
        <w:t>or an area within 10 metres of a children’s</w:t>
      </w:r>
      <w:r w:rsidRPr="00486CAC">
        <w:rPr>
          <w:rFonts w:cstheme="minorHAnsi"/>
          <w:spacing w:val="-1"/>
        </w:rPr>
        <w:t xml:space="preserve"> </w:t>
      </w:r>
      <w:r w:rsidRPr="00486CAC">
        <w:rPr>
          <w:rFonts w:cstheme="minorHAnsi"/>
        </w:rPr>
        <w:t>playground.</w:t>
      </w:r>
    </w:p>
    <w:p w14:paraId="375DD85E" w14:textId="77777777" w:rsidR="00197D26" w:rsidRPr="00486CAC" w:rsidRDefault="00197D26" w:rsidP="00FC6FDE">
      <w:pPr>
        <w:autoSpaceDE w:val="0"/>
        <w:autoSpaceDN w:val="0"/>
        <w:adjustRightInd w:val="0"/>
        <w:spacing w:before="200" w:after="0" w:line="240" w:lineRule="auto"/>
        <w:jc w:val="both"/>
        <w:rPr>
          <w:rFonts w:cstheme="minorHAnsi"/>
          <w:color w:val="000000"/>
          <w:u w:val="single"/>
        </w:rPr>
      </w:pPr>
      <w:r w:rsidRPr="00486CAC">
        <w:rPr>
          <w:rFonts w:cstheme="minorHAnsi"/>
          <w:color w:val="000000"/>
          <w:u w:val="single"/>
        </w:rPr>
        <w:t>Current Designated Approved Off Leash Exercise Areas</w:t>
      </w:r>
    </w:p>
    <w:p w14:paraId="26425016" w14:textId="77777777" w:rsidR="00197D26" w:rsidRPr="00486CAC" w:rsidRDefault="00197D26" w:rsidP="00FC6FDE">
      <w:pPr>
        <w:autoSpaceDE w:val="0"/>
        <w:autoSpaceDN w:val="0"/>
        <w:adjustRightInd w:val="0"/>
        <w:spacing w:after="60" w:line="240" w:lineRule="auto"/>
        <w:jc w:val="both"/>
        <w:rPr>
          <w:rFonts w:cstheme="minorHAnsi"/>
        </w:rPr>
      </w:pPr>
      <w:r w:rsidRPr="00486CAC">
        <w:rPr>
          <w:rFonts w:cstheme="minorHAnsi"/>
        </w:rPr>
        <w:t>The location’s listed below are listed as designated approved off leash exercise areas:</w:t>
      </w:r>
    </w:p>
    <w:p w14:paraId="59072FD6" w14:textId="77777777" w:rsidR="00197D26" w:rsidRPr="00486CAC" w:rsidRDefault="00197D26" w:rsidP="002A3889">
      <w:pPr>
        <w:numPr>
          <w:ilvl w:val="0"/>
          <w:numId w:val="363"/>
        </w:numPr>
        <w:spacing w:after="60" w:line="240" w:lineRule="auto"/>
        <w:ind w:left="425" w:hanging="425"/>
        <w:jc w:val="both"/>
        <w:rPr>
          <w:rFonts w:cstheme="minorHAnsi"/>
          <w:color w:val="000000" w:themeColor="text1"/>
        </w:rPr>
      </w:pPr>
      <w:r w:rsidRPr="00486CAC">
        <w:rPr>
          <w:rFonts w:cstheme="minorHAnsi"/>
          <w:color w:val="000000" w:themeColor="text1"/>
        </w:rPr>
        <w:lastRenderedPageBreak/>
        <w:t>River Foreshore portion (beach areas only) as indicated by signs</w:t>
      </w:r>
    </w:p>
    <w:p w14:paraId="03C30867" w14:textId="77777777" w:rsidR="00197D26" w:rsidRPr="00486CAC" w:rsidRDefault="00197D26" w:rsidP="002A3889">
      <w:pPr>
        <w:numPr>
          <w:ilvl w:val="0"/>
          <w:numId w:val="363"/>
        </w:numPr>
        <w:spacing w:after="60" w:line="240" w:lineRule="auto"/>
        <w:ind w:left="425" w:hanging="425"/>
        <w:jc w:val="both"/>
        <w:rPr>
          <w:rFonts w:cstheme="minorHAnsi"/>
          <w:color w:val="000000" w:themeColor="text1"/>
        </w:rPr>
      </w:pPr>
      <w:r w:rsidRPr="00486CAC">
        <w:rPr>
          <w:rFonts w:cstheme="minorHAnsi"/>
          <w:color w:val="000000" w:themeColor="text1"/>
        </w:rPr>
        <w:t>Preston Point Reserve, Preston Point Road</w:t>
      </w:r>
    </w:p>
    <w:p w14:paraId="6C25FADB" w14:textId="77777777" w:rsidR="00197D26" w:rsidRPr="00486CAC" w:rsidRDefault="00197D26" w:rsidP="002A3889">
      <w:pPr>
        <w:numPr>
          <w:ilvl w:val="0"/>
          <w:numId w:val="363"/>
        </w:numPr>
        <w:spacing w:after="60" w:line="240" w:lineRule="auto"/>
        <w:ind w:left="425" w:hanging="425"/>
        <w:jc w:val="both"/>
        <w:rPr>
          <w:rFonts w:cstheme="minorHAnsi"/>
          <w:color w:val="000000" w:themeColor="text1"/>
        </w:rPr>
      </w:pPr>
      <w:r w:rsidRPr="00486CAC">
        <w:rPr>
          <w:rFonts w:cstheme="minorHAnsi"/>
          <w:color w:val="000000" w:themeColor="text1"/>
        </w:rPr>
        <w:t>Henry Jeffery Oval, Preston Point Road</w:t>
      </w:r>
    </w:p>
    <w:p w14:paraId="0815A08B" w14:textId="77777777" w:rsidR="00197D26" w:rsidRPr="00486CAC" w:rsidRDefault="00197D26" w:rsidP="002A3889">
      <w:pPr>
        <w:numPr>
          <w:ilvl w:val="0"/>
          <w:numId w:val="363"/>
        </w:numPr>
        <w:spacing w:after="60" w:line="240" w:lineRule="auto"/>
        <w:ind w:left="425" w:hanging="425"/>
        <w:jc w:val="both"/>
        <w:rPr>
          <w:rFonts w:cstheme="minorHAnsi"/>
          <w:color w:val="000000" w:themeColor="text1"/>
        </w:rPr>
      </w:pPr>
      <w:r w:rsidRPr="00486CAC">
        <w:rPr>
          <w:rFonts w:cstheme="minorHAnsi"/>
          <w:color w:val="000000" w:themeColor="text1"/>
        </w:rPr>
        <w:t xml:space="preserve">Upper </w:t>
      </w:r>
      <w:proofErr w:type="spellStart"/>
      <w:r w:rsidRPr="00486CAC">
        <w:rPr>
          <w:rFonts w:cstheme="minorHAnsi"/>
          <w:color w:val="000000" w:themeColor="text1"/>
        </w:rPr>
        <w:t>Wauhop</w:t>
      </w:r>
      <w:proofErr w:type="spellEnd"/>
      <w:r w:rsidRPr="00486CAC">
        <w:rPr>
          <w:rFonts w:cstheme="minorHAnsi"/>
          <w:color w:val="000000" w:themeColor="text1"/>
        </w:rPr>
        <w:t xml:space="preserve"> Park, </w:t>
      </w:r>
      <w:proofErr w:type="spellStart"/>
      <w:r w:rsidRPr="00486CAC">
        <w:rPr>
          <w:rFonts w:cstheme="minorHAnsi"/>
          <w:color w:val="000000" w:themeColor="text1"/>
        </w:rPr>
        <w:t>Wauhop</w:t>
      </w:r>
      <w:proofErr w:type="spellEnd"/>
      <w:r w:rsidRPr="00486CAC">
        <w:rPr>
          <w:rFonts w:cstheme="minorHAnsi"/>
          <w:color w:val="000000" w:themeColor="text1"/>
        </w:rPr>
        <w:t xml:space="preserve"> Road</w:t>
      </w:r>
    </w:p>
    <w:p w14:paraId="40BCA713" w14:textId="77777777" w:rsidR="00197D26" w:rsidRPr="00486CAC" w:rsidRDefault="00197D26" w:rsidP="002A3889">
      <w:pPr>
        <w:numPr>
          <w:ilvl w:val="0"/>
          <w:numId w:val="363"/>
        </w:numPr>
        <w:spacing w:after="60" w:line="240" w:lineRule="auto"/>
        <w:ind w:left="425" w:hanging="425"/>
        <w:jc w:val="both"/>
        <w:rPr>
          <w:rFonts w:cstheme="minorHAnsi"/>
          <w:color w:val="000000" w:themeColor="text1"/>
        </w:rPr>
      </w:pPr>
      <w:r w:rsidRPr="00486CAC">
        <w:rPr>
          <w:rFonts w:cstheme="minorHAnsi"/>
          <w:color w:val="000000" w:themeColor="text1"/>
        </w:rPr>
        <w:t>East Fremantle Oval (outer perimeter only)</w:t>
      </w:r>
    </w:p>
    <w:p w14:paraId="20624EAF" w14:textId="77777777" w:rsidR="00197D26" w:rsidRPr="00486CAC" w:rsidRDefault="00197D26" w:rsidP="002A3889">
      <w:pPr>
        <w:numPr>
          <w:ilvl w:val="0"/>
          <w:numId w:val="363"/>
        </w:numPr>
        <w:spacing w:line="240" w:lineRule="auto"/>
        <w:ind w:left="425" w:hanging="425"/>
        <w:contextualSpacing/>
        <w:jc w:val="both"/>
        <w:rPr>
          <w:rFonts w:cstheme="minorHAnsi"/>
          <w:color w:val="000000" w:themeColor="text1"/>
        </w:rPr>
      </w:pPr>
      <w:r w:rsidRPr="00486CAC">
        <w:rPr>
          <w:rFonts w:cstheme="minorHAnsi"/>
          <w:color w:val="000000" w:themeColor="text1"/>
        </w:rPr>
        <w:t>Reserve, corner George and Silas Street.</w:t>
      </w:r>
    </w:p>
    <w:p w14:paraId="76714DB0" w14:textId="77777777" w:rsidR="00197D26" w:rsidRPr="00486CAC" w:rsidRDefault="00197D26" w:rsidP="00FC6FDE">
      <w:pPr>
        <w:autoSpaceDE w:val="0"/>
        <w:autoSpaceDN w:val="0"/>
        <w:adjustRightInd w:val="0"/>
        <w:spacing w:before="200" w:line="240" w:lineRule="auto"/>
        <w:jc w:val="both"/>
        <w:rPr>
          <w:rFonts w:cstheme="minorHAnsi"/>
          <w:color w:val="000000"/>
        </w:rPr>
      </w:pPr>
      <w:r w:rsidRPr="00486CAC">
        <w:rPr>
          <w:rFonts w:cstheme="minorHAnsi"/>
        </w:rPr>
        <w:t>The Town will provide and maintain signage appropriate to identify declared areas where access opportunities or restrictions for dogs apply.</w:t>
      </w:r>
    </w:p>
    <w:p w14:paraId="73BE4907" w14:textId="77777777" w:rsidR="00197D26" w:rsidRPr="00486CAC" w:rsidRDefault="00197D26" w:rsidP="00FC6FDE">
      <w:pPr>
        <w:autoSpaceDE w:val="0"/>
        <w:autoSpaceDN w:val="0"/>
        <w:adjustRightInd w:val="0"/>
        <w:spacing w:after="18" w:line="240" w:lineRule="auto"/>
        <w:jc w:val="both"/>
        <w:rPr>
          <w:rFonts w:cstheme="minorHAnsi"/>
          <w:b/>
          <w:color w:val="000000"/>
        </w:rPr>
      </w:pPr>
      <w:r w:rsidRPr="00486CAC">
        <w:rPr>
          <w:rFonts w:cstheme="minorHAnsi"/>
          <w:b/>
          <w:color w:val="000000"/>
        </w:rPr>
        <w:t>Nuisance Dogs</w:t>
      </w:r>
    </w:p>
    <w:p w14:paraId="6604878E" w14:textId="77777777" w:rsidR="00197D26" w:rsidRPr="00486CAC" w:rsidRDefault="00197D26" w:rsidP="00FC6FDE">
      <w:pPr>
        <w:autoSpaceDE w:val="0"/>
        <w:autoSpaceDN w:val="0"/>
        <w:adjustRightInd w:val="0"/>
        <w:spacing w:after="18" w:line="240" w:lineRule="auto"/>
        <w:jc w:val="both"/>
        <w:rPr>
          <w:rFonts w:cstheme="minorHAnsi"/>
          <w:color w:val="000000"/>
        </w:rPr>
      </w:pPr>
      <w:r w:rsidRPr="00486CAC">
        <w:rPr>
          <w:rFonts w:cstheme="minorHAnsi"/>
          <w:color w:val="000000"/>
        </w:rPr>
        <w:t xml:space="preserve">The Town recognises the health implications the community is exposed to by dogs creating a nuisance by barking inappropriately. When a formal complaint is lodged the Town will investigate the matter in a timely manner and strive to have the matter resolved within six weeks. </w:t>
      </w:r>
    </w:p>
    <w:p w14:paraId="56D12FB9" w14:textId="77777777" w:rsidR="00197D26" w:rsidRPr="00486CAC" w:rsidRDefault="00197D26" w:rsidP="00FC6FDE">
      <w:pPr>
        <w:autoSpaceDE w:val="0"/>
        <w:autoSpaceDN w:val="0"/>
        <w:adjustRightInd w:val="0"/>
        <w:spacing w:before="200" w:after="60" w:line="240" w:lineRule="auto"/>
        <w:jc w:val="both"/>
        <w:rPr>
          <w:rFonts w:cstheme="minorHAnsi"/>
          <w:color w:val="000000"/>
        </w:rPr>
      </w:pPr>
      <w:r w:rsidRPr="00486CAC">
        <w:rPr>
          <w:rFonts w:cstheme="minorHAnsi"/>
          <w:color w:val="000000"/>
        </w:rPr>
        <w:t>The process will be:</w:t>
      </w:r>
    </w:p>
    <w:p w14:paraId="32209D95" w14:textId="77777777" w:rsidR="00197D26" w:rsidRPr="00486CAC" w:rsidRDefault="00197D26" w:rsidP="002A3889">
      <w:pPr>
        <w:pStyle w:val="ListParagraph"/>
        <w:numPr>
          <w:ilvl w:val="0"/>
          <w:numId w:val="358"/>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 xml:space="preserve">streamlined and focused on early </w:t>
      </w:r>
      <w:proofErr w:type="gramStart"/>
      <w:r w:rsidRPr="00486CAC">
        <w:rPr>
          <w:rFonts w:cstheme="minorHAnsi"/>
          <w:color w:val="000000"/>
        </w:rPr>
        <w:t>resolution;</w:t>
      </w:r>
      <w:proofErr w:type="gramEnd"/>
      <w:r w:rsidRPr="00486CAC">
        <w:rPr>
          <w:rFonts w:cstheme="minorHAnsi"/>
          <w:color w:val="000000"/>
        </w:rPr>
        <w:t xml:space="preserve"> educative to both the dog owner and the complainant.</w:t>
      </w:r>
    </w:p>
    <w:p w14:paraId="284A1AA6" w14:textId="77777777" w:rsidR="00197D26" w:rsidRPr="00486CAC" w:rsidRDefault="00197D26" w:rsidP="002A3889">
      <w:pPr>
        <w:pStyle w:val="ListParagraph"/>
        <w:numPr>
          <w:ilvl w:val="0"/>
          <w:numId w:val="357"/>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open, transparent and fair to all parties involved; and conducted within the provisions of the </w:t>
      </w:r>
      <w:r w:rsidRPr="00486CAC">
        <w:rPr>
          <w:rFonts w:cstheme="minorHAnsi"/>
          <w:i/>
          <w:iCs/>
          <w:color w:val="000000"/>
        </w:rPr>
        <w:t xml:space="preserve">Dog Act 1976 </w:t>
      </w:r>
      <w:r w:rsidRPr="00486CAC">
        <w:rPr>
          <w:rFonts w:cstheme="minorHAnsi"/>
          <w:iCs/>
          <w:color w:val="000000"/>
        </w:rPr>
        <w:t>(as amended).</w:t>
      </w:r>
    </w:p>
    <w:p w14:paraId="3DED0AA7" w14:textId="77777777" w:rsidR="00197D26" w:rsidRPr="00486CAC" w:rsidRDefault="00197D26" w:rsidP="00FC6FDE">
      <w:pPr>
        <w:autoSpaceDE w:val="0"/>
        <w:autoSpaceDN w:val="0"/>
        <w:adjustRightInd w:val="0"/>
        <w:spacing w:before="200" w:after="0" w:line="240" w:lineRule="auto"/>
        <w:ind w:right="33"/>
        <w:jc w:val="both"/>
        <w:rPr>
          <w:rFonts w:cstheme="minorHAnsi"/>
          <w:color w:val="000000"/>
        </w:rPr>
      </w:pPr>
      <w:r w:rsidRPr="00486CAC">
        <w:rPr>
          <w:rFonts w:cstheme="minorHAnsi"/>
          <w:color w:val="000000"/>
        </w:rPr>
        <w:t>Where there is evidence that a nuisance dog complaint is justified, the Town will issue the owner of the dog with an abatement notice. This presents the owner with a realistic definite timeline in which to take action to abate the nuisance.</w:t>
      </w:r>
    </w:p>
    <w:p w14:paraId="49BE72EC" w14:textId="77777777" w:rsidR="00197D26" w:rsidRPr="00486CAC" w:rsidRDefault="00197D26" w:rsidP="00FC6FDE">
      <w:pPr>
        <w:autoSpaceDE w:val="0"/>
        <w:autoSpaceDN w:val="0"/>
        <w:adjustRightInd w:val="0"/>
        <w:spacing w:before="200" w:after="0" w:line="240" w:lineRule="auto"/>
        <w:ind w:right="33"/>
        <w:jc w:val="both"/>
        <w:rPr>
          <w:rFonts w:cstheme="minorHAnsi"/>
          <w:color w:val="000000"/>
        </w:rPr>
      </w:pPr>
      <w:r w:rsidRPr="00486CAC">
        <w:rPr>
          <w:rFonts w:cstheme="minorHAnsi"/>
          <w:color w:val="000000"/>
        </w:rPr>
        <w:t>If requested, the Town will provide advice as to corrective measures that may be employed, but it remains the owner’s responsibility to determine and implement the necessary corrective action.</w:t>
      </w:r>
    </w:p>
    <w:p w14:paraId="2A4BA1CD" w14:textId="77777777" w:rsidR="00197D26" w:rsidRPr="00486CAC" w:rsidRDefault="00197D26" w:rsidP="00FC6FDE">
      <w:pPr>
        <w:spacing w:before="200" w:after="0" w:line="240" w:lineRule="auto"/>
        <w:ind w:right="33"/>
        <w:jc w:val="both"/>
        <w:rPr>
          <w:rFonts w:cstheme="minorHAnsi"/>
          <w:color w:val="000000"/>
        </w:rPr>
      </w:pPr>
      <w:r w:rsidRPr="00486CAC">
        <w:rPr>
          <w:rFonts w:cstheme="minorHAnsi"/>
          <w:color w:val="000000"/>
        </w:rPr>
        <w:t>Where the nuisance has not been abated after the abatement period, the Town may issue an Infringement Notice. In the case of continued nuisance, the Town may refer the matter to the Courts for a Magistrate to determine. In these cases, the resolution date will be determined by the Court.</w:t>
      </w:r>
    </w:p>
    <w:p w14:paraId="328AF5B0" w14:textId="77777777" w:rsidR="00197D26" w:rsidRPr="00486CAC" w:rsidRDefault="00197D26" w:rsidP="00FC6FDE">
      <w:pPr>
        <w:tabs>
          <w:tab w:val="left" w:pos="8919"/>
        </w:tabs>
        <w:spacing w:before="200" w:after="0" w:line="240" w:lineRule="auto"/>
        <w:ind w:right="1785"/>
        <w:jc w:val="both"/>
        <w:rPr>
          <w:rFonts w:cstheme="minorHAnsi"/>
          <w:b/>
        </w:rPr>
      </w:pPr>
      <w:r w:rsidRPr="00486CAC">
        <w:rPr>
          <w:rFonts w:cstheme="minorHAnsi"/>
          <w:b/>
        </w:rPr>
        <w:t>Dangerous Dogs</w:t>
      </w:r>
    </w:p>
    <w:p w14:paraId="18002DF7" w14:textId="77777777" w:rsidR="00197D26" w:rsidRPr="00486CAC" w:rsidRDefault="00197D26" w:rsidP="00FC6FDE">
      <w:pPr>
        <w:tabs>
          <w:tab w:val="left" w:pos="8823"/>
        </w:tabs>
        <w:autoSpaceDE w:val="0"/>
        <w:autoSpaceDN w:val="0"/>
        <w:adjustRightInd w:val="0"/>
        <w:spacing w:line="240" w:lineRule="auto"/>
        <w:jc w:val="both"/>
        <w:rPr>
          <w:rFonts w:cstheme="minorHAnsi"/>
          <w:color w:val="000000"/>
        </w:rPr>
      </w:pPr>
      <w:r w:rsidRPr="00486CAC">
        <w:rPr>
          <w:rFonts w:cstheme="minorHAnsi"/>
          <w:color w:val="000000"/>
        </w:rPr>
        <w:t xml:space="preserve">To reduce the risk to the community, the Town will as a matter of urgency investigate and act upon all incidents and allegations of injury and/or harassment caused by dogs. Should such an incident result in a serious injury, the dog may be declared a Dangerous </w:t>
      </w:r>
      <w:proofErr w:type="gramStart"/>
      <w:r w:rsidRPr="00486CAC">
        <w:rPr>
          <w:rFonts w:cstheme="minorHAnsi"/>
          <w:color w:val="000000"/>
        </w:rPr>
        <w:t>Dog, or</w:t>
      </w:r>
      <w:proofErr w:type="gramEnd"/>
      <w:r w:rsidRPr="00486CAC">
        <w:rPr>
          <w:rFonts w:cstheme="minorHAnsi"/>
          <w:color w:val="000000"/>
        </w:rPr>
        <w:t xml:space="preserve"> may be destroyed. </w:t>
      </w:r>
    </w:p>
    <w:p w14:paraId="59F02C14" w14:textId="77777777" w:rsidR="00197D26" w:rsidRPr="00486CAC" w:rsidRDefault="00197D26" w:rsidP="00FC6FDE">
      <w:pPr>
        <w:tabs>
          <w:tab w:val="left" w:pos="8823"/>
        </w:tabs>
        <w:autoSpaceDE w:val="0"/>
        <w:autoSpaceDN w:val="0"/>
        <w:adjustRightInd w:val="0"/>
        <w:spacing w:line="240" w:lineRule="auto"/>
        <w:jc w:val="both"/>
        <w:rPr>
          <w:rFonts w:cstheme="minorHAnsi"/>
          <w:color w:val="000000"/>
        </w:rPr>
      </w:pPr>
      <w:r w:rsidRPr="00486CAC">
        <w:rPr>
          <w:rFonts w:cstheme="minorHAnsi"/>
          <w:color w:val="000000"/>
        </w:rPr>
        <w:t>All commercial security/guard dogs (as defined in the Act) are declared to be a Dangerous Dog.</w:t>
      </w:r>
    </w:p>
    <w:p w14:paraId="6DD7E2D0" w14:textId="77777777" w:rsidR="00197D26" w:rsidRPr="00486CAC" w:rsidRDefault="00197D26" w:rsidP="00FC6FDE">
      <w:pPr>
        <w:tabs>
          <w:tab w:val="left" w:pos="8823"/>
        </w:tabs>
        <w:autoSpaceDE w:val="0"/>
        <w:autoSpaceDN w:val="0"/>
        <w:adjustRightInd w:val="0"/>
        <w:spacing w:line="240" w:lineRule="auto"/>
        <w:jc w:val="both"/>
        <w:rPr>
          <w:rFonts w:cstheme="minorHAnsi"/>
          <w:i/>
          <w:color w:val="000000"/>
        </w:rPr>
      </w:pPr>
      <w:r w:rsidRPr="00486CAC">
        <w:rPr>
          <w:rFonts w:cstheme="minorHAnsi"/>
          <w:color w:val="000000"/>
        </w:rPr>
        <w:t>Where a dog is declared to be a dangerous dog pursuant to the</w:t>
      </w:r>
      <w:r w:rsidRPr="00486CAC">
        <w:rPr>
          <w:rFonts w:cstheme="minorHAnsi"/>
          <w:i/>
          <w:color w:val="000000"/>
        </w:rPr>
        <w:t xml:space="preserve"> Dog Act 1976 </w:t>
      </w:r>
      <w:r w:rsidRPr="00486CAC">
        <w:rPr>
          <w:rFonts w:cstheme="minorHAnsi"/>
          <w:color w:val="000000"/>
        </w:rPr>
        <w:t xml:space="preserve">(as amended), Ranger Services will monitor the property where the dog is domiciled and ensure the property and are owner complies with the relevant provisions of the </w:t>
      </w:r>
      <w:r w:rsidRPr="00486CAC">
        <w:rPr>
          <w:rFonts w:cstheme="minorHAnsi"/>
          <w:i/>
          <w:color w:val="000000"/>
        </w:rPr>
        <w:t>Dog Act 1976 (</w:t>
      </w:r>
      <w:r w:rsidRPr="00486CAC">
        <w:rPr>
          <w:rFonts w:cstheme="minorHAnsi"/>
          <w:color w:val="000000"/>
        </w:rPr>
        <w:t>as amended)</w:t>
      </w:r>
      <w:r w:rsidRPr="00486CAC">
        <w:rPr>
          <w:rFonts w:cstheme="minorHAnsi"/>
          <w:i/>
          <w:color w:val="000000"/>
        </w:rPr>
        <w:t xml:space="preserve">. </w:t>
      </w:r>
    </w:p>
    <w:p w14:paraId="0E2546D1" w14:textId="77777777" w:rsidR="00197D26" w:rsidRPr="00486CAC" w:rsidRDefault="00197D26" w:rsidP="00FC6FDE">
      <w:pPr>
        <w:tabs>
          <w:tab w:val="left" w:pos="8823"/>
        </w:tabs>
        <w:spacing w:line="240" w:lineRule="auto"/>
        <w:ind w:right="-46"/>
        <w:jc w:val="both"/>
        <w:rPr>
          <w:rFonts w:cstheme="minorHAnsi"/>
        </w:rPr>
      </w:pPr>
      <w:r w:rsidRPr="00486CAC">
        <w:rPr>
          <w:rFonts w:cstheme="minorHAnsi"/>
        </w:rPr>
        <w:t>Dangerous dogs must be micro-</w:t>
      </w:r>
      <w:proofErr w:type="gramStart"/>
      <w:r w:rsidRPr="00486CAC">
        <w:rPr>
          <w:rFonts w:cstheme="minorHAnsi"/>
        </w:rPr>
        <w:t>chipped, and</w:t>
      </w:r>
      <w:proofErr w:type="gramEnd"/>
      <w:r w:rsidRPr="00486CAC">
        <w:rPr>
          <w:rFonts w:cstheme="minorHAnsi"/>
        </w:rPr>
        <w:t xml:space="preserve"> must wear an approved advisory collar at all times.</w:t>
      </w:r>
    </w:p>
    <w:p w14:paraId="471A8024" w14:textId="77777777" w:rsidR="00197D26" w:rsidRPr="00486CAC" w:rsidRDefault="00197D26" w:rsidP="00FC6FDE">
      <w:pPr>
        <w:spacing w:line="240" w:lineRule="auto"/>
        <w:ind w:right="95"/>
        <w:jc w:val="both"/>
        <w:rPr>
          <w:rFonts w:cstheme="minorHAnsi"/>
        </w:rPr>
      </w:pPr>
      <w:r w:rsidRPr="00486CAC">
        <w:rPr>
          <w:rFonts w:cstheme="minorHAnsi"/>
        </w:rPr>
        <w:t xml:space="preserve">When in a public place the dog must be muzzled </w:t>
      </w:r>
      <w:proofErr w:type="gramStart"/>
      <w:r w:rsidRPr="00486CAC">
        <w:rPr>
          <w:rFonts w:cstheme="minorHAnsi"/>
        </w:rPr>
        <w:t>and on a lead,</w:t>
      </w:r>
      <w:proofErr w:type="gramEnd"/>
      <w:r w:rsidRPr="00486CAC">
        <w:rPr>
          <w:rFonts w:cstheme="minorHAnsi"/>
        </w:rPr>
        <w:t xml:space="preserve"> even when in an off-lead area.</w:t>
      </w:r>
    </w:p>
    <w:p w14:paraId="5EB2B21A" w14:textId="77777777" w:rsidR="00197D26" w:rsidRPr="00486CAC" w:rsidRDefault="00197D26" w:rsidP="00FC6FDE">
      <w:pPr>
        <w:spacing w:line="240" w:lineRule="auto"/>
        <w:ind w:right="-46"/>
        <w:jc w:val="both"/>
        <w:rPr>
          <w:rFonts w:cstheme="minorHAnsi"/>
        </w:rPr>
      </w:pPr>
      <w:r w:rsidRPr="00486CAC">
        <w:rPr>
          <w:rFonts w:cstheme="minorHAnsi"/>
        </w:rPr>
        <w:t xml:space="preserve">When not in a public place the dog must be housed in an enclosure that complies with the prescribed </w:t>
      </w:r>
      <w:r w:rsidR="00C03313">
        <w:rPr>
          <w:rFonts w:cstheme="minorHAnsi"/>
        </w:rPr>
        <w:t>r</w:t>
      </w:r>
      <w:r w:rsidRPr="00486CAC">
        <w:rPr>
          <w:rFonts w:cstheme="minorHAnsi"/>
        </w:rPr>
        <w:t>equirements. Approved warning signs must be displayed at every entrance to the property.</w:t>
      </w:r>
    </w:p>
    <w:p w14:paraId="08678529" w14:textId="77777777" w:rsidR="00197D26" w:rsidRPr="00486CAC" w:rsidRDefault="00197D26" w:rsidP="00FC6FDE">
      <w:pPr>
        <w:spacing w:line="240" w:lineRule="auto"/>
        <w:ind w:right="95"/>
        <w:jc w:val="both"/>
        <w:rPr>
          <w:rFonts w:cstheme="minorHAnsi"/>
        </w:rPr>
      </w:pPr>
      <w:r w:rsidRPr="00486CAC">
        <w:rPr>
          <w:rFonts w:cstheme="minorHAnsi"/>
        </w:rPr>
        <w:t>Further information regarding dangerous dogs is contained within the Town’s Policy 1.2.3 Dangerous Dog.</w:t>
      </w:r>
    </w:p>
    <w:p w14:paraId="4244A5A9" w14:textId="77777777" w:rsidR="00FC5816" w:rsidRDefault="00FC5816">
      <w:pPr>
        <w:rPr>
          <w:rFonts w:cstheme="minorHAnsi"/>
          <w:b/>
        </w:rPr>
      </w:pPr>
      <w:r>
        <w:rPr>
          <w:rFonts w:cstheme="minorHAnsi"/>
          <w:b/>
        </w:rPr>
        <w:br w:type="page"/>
      </w:r>
    </w:p>
    <w:p w14:paraId="066C3716" w14:textId="00B887F6" w:rsidR="00197D26" w:rsidRPr="00486CAC" w:rsidRDefault="00197D26" w:rsidP="00FC6FDE">
      <w:pPr>
        <w:spacing w:after="18" w:line="240" w:lineRule="auto"/>
        <w:ind w:right="1785"/>
        <w:jc w:val="both"/>
        <w:rPr>
          <w:rFonts w:cstheme="minorHAnsi"/>
          <w:b/>
        </w:rPr>
      </w:pPr>
      <w:r w:rsidRPr="00486CAC">
        <w:rPr>
          <w:rFonts w:cstheme="minorHAnsi"/>
          <w:b/>
        </w:rPr>
        <w:lastRenderedPageBreak/>
        <w:t>Dog Registration</w:t>
      </w:r>
    </w:p>
    <w:p w14:paraId="0089FB85" w14:textId="77777777" w:rsidR="00197D26" w:rsidRPr="00486CAC" w:rsidRDefault="00197D26" w:rsidP="00FC6FDE">
      <w:pPr>
        <w:kinsoku w:val="0"/>
        <w:overflowPunct w:val="0"/>
        <w:autoSpaceDE w:val="0"/>
        <w:autoSpaceDN w:val="0"/>
        <w:adjustRightInd w:val="0"/>
        <w:spacing w:after="0" w:line="240" w:lineRule="auto"/>
        <w:ind w:left="6"/>
        <w:jc w:val="both"/>
        <w:rPr>
          <w:rFonts w:cstheme="minorHAnsi"/>
        </w:rPr>
      </w:pPr>
      <w:bookmarkStart w:id="595" w:name="NUISANCE_DOGS"/>
      <w:bookmarkStart w:id="596" w:name="DOG_REGISTRATION"/>
      <w:bookmarkStart w:id="597" w:name="bookmark0"/>
      <w:bookmarkStart w:id="598" w:name="bookmark1"/>
      <w:bookmarkEnd w:id="595"/>
      <w:bookmarkEnd w:id="596"/>
      <w:bookmarkEnd w:id="597"/>
      <w:bookmarkEnd w:id="598"/>
      <w:r w:rsidRPr="00486CAC">
        <w:rPr>
          <w:rFonts w:cstheme="minorHAnsi"/>
        </w:rPr>
        <w:t>The registration of dogs has benefits to both the Town and the community. Fees and charges are applied to dog management, permitting the Town to provide a safe and pleasant environment, free of the negative impacts of dogs in the community. Dogs wearing a valid registration tag can quickly be returned to the owner if they accidently stray. In most cases when Ranger Services finds a lost registered dog, it is directly returned to its owner.</w:t>
      </w:r>
    </w:p>
    <w:p w14:paraId="4882DD74" w14:textId="77777777" w:rsidR="00197D26" w:rsidRPr="00486CAC" w:rsidRDefault="00197D26" w:rsidP="00FC6FDE">
      <w:pPr>
        <w:kinsoku w:val="0"/>
        <w:overflowPunct w:val="0"/>
        <w:autoSpaceDE w:val="0"/>
        <w:autoSpaceDN w:val="0"/>
        <w:adjustRightInd w:val="0"/>
        <w:spacing w:before="200" w:after="0" w:line="240" w:lineRule="auto"/>
        <w:ind w:left="6" w:hanging="1"/>
        <w:jc w:val="both"/>
        <w:rPr>
          <w:rFonts w:cstheme="minorHAnsi"/>
          <w:color w:val="000000"/>
        </w:rPr>
      </w:pPr>
      <w:r w:rsidRPr="00486CAC">
        <w:rPr>
          <w:rFonts w:cstheme="minorHAnsi"/>
        </w:rPr>
        <w:t>All dogs over three months of age must be registered. Notwithstanding the Town’s education</w:t>
      </w:r>
      <w:r w:rsidRPr="00486CAC">
        <w:rPr>
          <w:rFonts w:cstheme="minorHAnsi"/>
          <w:spacing w:val="60"/>
        </w:rPr>
        <w:t xml:space="preserve"> </w:t>
      </w:r>
      <w:r w:rsidRPr="00486CAC">
        <w:rPr>
          <w:rFonts w:cstheme="minorHAnsi"/>
        </w:rPr>
        <w:t>and enforcement measures, it is the owner’s responsibility to ensure their dog is registered.</w:t>
      </w:r>
      <w:r w:rsidRPr="00486CAC">
        <w:rPr>
          <w:rFonts w:cstheme="minorHAnsi"/>
          <w:color w:val="000000"/>
        </w:rPr>
        <w:t xml:space="preserve"> The Town will maintain a register of all dogs housed within the </w:t>
      </w:r>
      <w:proofErr w:type="gramStart"/>
      <w:r w:rsidRPr="00486CAC">
        <w:rPr>
          <w:rFonts w:cstheme="minorHAnsi"/>
          <w:color w:val="000000"/>
        </w:rPr>
        <w:t>municipality, and</w:t>
      </w:r>
      <w:proofErr w:type="gramEnd"/>
      <w:r w:rsidRPr="00486CAC">
        <w:rPr>
          <w:rFonts w:cstheme="minorHAnsi"/>
          <w:color w:val="000000"/>
        </w:rPr>
        <w:t xml:space="preserve"> will endeavour to ensure that all eligible dogs are registered.</w:t>
      </w:r>
    </w:p>
    <w:p w14:paraId="5F769790" w14:textId="77777777" w:rsidR="00197D26" w:rsidRPr="00486CAC" w:rsidRDefault="00197D26" w:rsidP="00FC6FDE">
      <w:pPr>
        <w:autoSpaceDE w:val="0"/>
        <w:autoSpaceDN w:val="0"/>
        <w:adjustRightInd w:val="0"/>
        <w:spacing w:before="200" w:after="60" w:line="240" w:lineRule="auto"/>
        <w:jc w:val="both"/>
        <w:rPr>
          <w:rFonts w:cstheme="minorHAnsi"/>
          <w:color w:val="000000"/>
        </w:rPr>
      </w:pPr>
      <w:r w:rsidRPr="00486CAC">
        <w:rPr>
          <w:rFonts w:cstheme="minorHAnsi"/>
          <w:color w:val="000000"/>
        </w:rPr>
        <w:t>To achieve this objective the Town will conduct a registration renewal campaign each year by:</w:t>
      </w:r>
    </w:p>
    <w:p w14:paraId="63A14E3F" w14:textId="77777777" w:rsidR="00197D26" w:rsidRPr="00486CAC" w:rsidRDefault="00197D26" w:rsidP="00FC6FDE">
      <w:pPr>
        <w:autoSpaceDE w:val="0"/>
        <w:autoSpaceDN w:val="0"/>
        <w:adjustRightInd w:val="0"/>
        <w:spacing w:after="60" w:line="240" w:lineRule="auto"/>
        <w:ind w:left="425" w:hanging="425"/>
        <w:jc w:val="both"/>
        <w:rPr>
          <w:rFonts w:cstheme="minorHAnsi"/>
          <w:color w:val="000000"/>
        </w:rPr>
      </w:pPr>
      <w:r w:rsidRPr="00486CAC">
        <w:rPr>
          <w:rFonts w:cstheme="minorHAnsi"/>
          <w:color w:val="000000"/>
        </w:rPr>
        <w:t xml:space="preserve">a) </w:t>
      </w:r>
      <w:r w:rsidRPr="00486CAC">
        <w:rPr>
          <w:rFonts w:cstheme="minorHAnsi"/>
          <w:color w:val="000000"/>
        </w:rPr>
        <w:tab/>
        <w:t xml:space="preserve">forwarding renewal letters to owners of all currently registered </w:t>
      </w:r>
      <w:proofErr w:type="gramStart"/>
      <w:r w:rsidRPr="00486CAC">
        <w:rPr>
          <w:rFonts w:cstheme="minorHAnsi"/>
          <w:color w:val="000000"/>
        </w:rPr>
        <w:t>dogs;</w:t>
      </w:r>
      <w:proofErr w:type="gramEnd"/>
      <w:r w:rsidRPr="00486CAC">
        <w:rPr>
          <w:rFonts w:cstheme="minorHAnsi"/>
          <w:color w:val="000000"/>
        </w:rPr>
        <w:t xml:space="preserve"> </w:t>
      </w:r>
    </w:p>
    <w:p w14:paraId="3E43A60C" w14:textId="77777777" w:rsidR="00197D26" w:rsidRPr="00486CAC" w:rsidRDefault="00197D26" w:rsidP="00FC6FDE">
      <w:pPr>
        <w:autoSpaceDE w:val="0"/>
        <w:autoSpaceDN w:val="0"/>
        <w:adjustRightInd w:val="0"/>
        <w:spacing w:after="60" w:line="240" w:lineRule="auto"/>
        <w:ind w:left="425" w:hanging="425"/>
        <w:jc w:val="both"/>
        <w:rPr>
          <w:rFonts w:cstheme="minorHAnsi"/>
          <w:color w:val="000000"/>
        </w:rPr>
      </w:pPr>
      <w:r w:rsidRPr="00486CAC">
        <w:rPr>
          <w:rFonts w:cstheme="minorHAnsi"/>
          <w:color w:val="000000"/>
        </w:rPr>
        <w:t>b)</w:t>
      </w:r>
      <w:r w:rsidRPr="00486CAC">
        <w:rPr>
          <w:rFonts w:cstheme="minorHAnsi"/>
          <w:color w:val="000000"/>
        </w:rPr>
        <w:tab/>
        <w:t xml:space="preserve">placing notices through written and digital media; and </w:t>
      </w:r>
    </w:p>
    <w:p w14:paraId="4445E80F" w14:textId="77777777" w:rsidR="00197D26" w:rsidRPr="00486CAC" w:rsidRDefault="00197D26" w:rsidP="00FC6FDE">
      <w:p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c) </w:t>
      </w:r>
      <w:r w:rsidRPr="00486CAC">
        <w:rPr>
          <w:rFonts w:cstheme="minorHAnsi"/>
          <w:color w:val="000000"/>
        </w:rPr>
        <w:tab/>
        <w:t xml:space="preserve">conducting an audit of the owners who have failed to re-register their dogs. </w:t>
      </w:r>
    </w:p>
    <w:p w14:paraId="48E46F26" w14:textId="77777777" w:rsidR="00197D26" w:rsidRPr="00486CAC" w:rsidRDefault="00197D26" w:rsidP="00FC6FDE">
      <w:pPr>
        <w:autoSpaceDE w:val="0"/>
        <w:autoSpaceDN w:val="0"/>
        <w:adjustRightInd w:val="0"/>
        <w:spacing w:before="200" w:after="60" w:line="240" w:lineRule="auto"/>
        <w:jc w:val="both"/>
        <w:rPr>
          <w:rFonts w:cstheme="minorHAnsi"/>
          <w:color w:val="000000"/>
        </w:rPr>
      </w:pPr>
      <w:r w:rsidRPr="00486CAC">
        <w:rPr>
          <w:rFonts w:cstheme="minorHAnsi"/>
          <w:color w:val="000000"/>
        </w:rPr>
        <w:t>The Town will:</w:t>
      </w:r>
    </w:p>
    <w:p w14:paraId="7E88EDA0" w14:textId="77777777" w:rsidR="00197D26" w:rsidRPr="00486CAC" w:rsidRDefault="00197D26" w:rsidP="002A3889">
      <w:pPr>
        <w:pStyle w:val="ListParagraph"/>
        <w:numPr>
          <w:ilvl w:val="0"/>
          <w:numId w:val="359"/>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 xml:space="preserve">monitor dogs in public places to ensure they are wearing a collar with a valid registration tag. </w:t>
      </w:r>
    </w:p>
    <w:p w14:paraId="661117BF" w14:textId="77777777" w:rsidR="00197D26" w:rsidRPr="00486CAC" w:rsidRDefault="00197D26" w:rsidP="002A3889">
      <w:pPr>
        <w:pStyle w:val="ListParagraph"/>
        <w:numPr>
          <w:ilvl w:val="0"/>
          <w:numId w:val="359"/>
        </w:numPr>
        <w:autoSpaceDE w:val="0"/>
        <w:autoSpaceDN w:val="0"/>
        <w:adjustRightInd w:val="0"/>
        <w:spacing w:after="60" w:line="240" w:lineRule="auto"/>
        <w:ind w:left="425" w:hanging="425"/>
        <w:contextualSpacing w:val="0"/>
        <w:jc w:val="both"/>
        <w:rPr>
          <w:rFonts w:cstheme="minorHAnsi"/>
          <w:color w:val="000000"/>
        </w:rPr>
      </w:pPr>
      <w:r w:rsidRPr="00486CAC">
        <w:rPr>
          <w:rFonts w:cstheme="minorHAnsi"/>
          <w:color w:val="000000"/>
        </w:rPr>
        <w:t xml:space="preserve">ensure that any unregistered dog found at large is registered by the owner before being returned. </w:t>
      </w:r>
    </w:p>
    <w:p w14:paraId="38C8E7B5" w14:textId="77777777" w:rsidR="00197D26" w:rsidRPr="00486CAC" w:rsidRDefault="00197D26" w:rsidP="002A3889">
      <w:pPr>
        <w:pStyle w:val="ListParagraph"/>
        <w:numPr>
          <w:ilvl w:val="0"/>
          <w:numId w:val="359"/>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undertake regular patrols of the municipal area and compare evidence of dog ownership against the dog register. </w:t>
      </w:r>
    </w:p>
    <w:p w14:paraId="0E6DE51F" w14:textId="77777777" w:rsidR="00197D26" w:rsidRPr="00486CAC" w:rsidRDefault="00197D26" w:rsidP="00FC6FDE">
      <w:pPr>
        <w:autoSpaceDE w:val="0"/>
        <w:autoSpaceDN w:val="0"/>
        <w:adjustRightInd w:val="0"/>
        <w:spacing w:before="200" w:after="60" w:line="240" w:lineRule="auto"/>
        <w:jc w:val="both"/>
        <w:rPr>
          <w:rFonts w:cstheme="minorHAnsi"/>
          <w:color w:val="000000"/>
        </w:rPr>
      </w:pPr>
      <w:r w:rsidRPr="00486CAC">
        <w:rPr>
          <w:rFonts w:cstheme="minorHAnsi"/>
          <w:color w:val="000000"/>
        </w:rPr>
        <w:t xml:space="preserve">Pro rata adjustment of the registration fee applies within a registration period for: </w:t>
      </w:r>
    </w:p>
    <w:p w14:paraId="28FB8BFD" w14:textId="77777777" w:rsidR="00197D26" w:rsidRPr="00486CAC" w:rsidRDefault="00197D26" w:rsidP="002A3889">
      <w:pPr>
        <w:pStyle w:val="ListParagraph"/>
        <w:numPr>
          <w:ilvl w:val="0"/>
          <w:numId w:val="360"/>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the voluntary initial registration of a dog that reaches six months of </w:t>
      </w:r>
      <w:proofErr w:type="gramStart"/>
      <w:r w:rsidRPr="00486CAC">
        <w:rPr>
          <w:rFonts w:cstheme="minorHAnsi"/>
          <w:color w:val="000000"/>
        </w:rPr>
        <w:t>age;</w:t>
      </w:r>
      <w:proofErr w:type="gramEnd"/>
    </w:p>
    <w:p w14:paraId="55362574" w14:textId="77777777" w:rsidR="00197D26" w:rsidRPr="00486CAC" w:rsidRDefault="00197D26" w:rsidP="002A3889">
      <w:pPr>
        <w:pStyle w:val="ListParagraph"/>
        <w:numPr>
          <w:ilvl w:val="0"/>
          <w:numId w:val="360"/>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the voluntary initial registration of a dog that is newly housed within the municipality, to which the previous paragraph does not </w:t>
      </w:r>
      <w:proofErr w:type="gramStart"/>
      <w:r w:rsidRPr="00486CAC">
        <w:rPr>
          <w:rFonts w:cstheme="minorHAnsi"/>
          <w:color w:val="000000"/>
        </w:rPr>
        <w:t>apply;</w:t>
      </w:r>
      <w:proofErr w:type="gramEnd"/>
    </w:p>
    <w:p w14:paraId="1947A3FE" w14:textId="77777777" w:rsidR="00197D26" w:rsidRPr="00486CAC" w:rsidRDefault="00197D26" w:rsidP="002A3889">
      <w:pPr>
        <w:pStyle w:val="ListParagraph"/>
        <w:numPr>
          <w:ilvl w:val="0"/>
          <w:numId w:val="360"/>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the de-sexing of a dog; and </w:t>
      </w:r>
    </w:p>
    <w:p w14:paraId="6C6AFA5F" w14:textId="77777777" w:rsidR="00197D26" w:rsidRPr="00486CAC" w:rsidRDefault="00197D26" w:rsidP="002A3889">
      <w:pPr>
        <w:pStyle w:val="ListParagraph"/>
        <w:numPr>
          <w:ilvl w:val="0"/>
          <w:numId w:val="360"/>
        </w:numPr>
        <w:autoSpaceDE w:val="0"/>
        <w:autoSpaceDN w:val="0"/>
        <w:adjustRightInd w:val="0"/>
        <w:spacing w:after="18" w:line="240" w:lineRule="auto"/>
        <w:ind w:left="426" w:hanging="426"/>
        <w:jc w:val="both"/>
        <w:rPr>
          <w:rFonts w:cstheme="minorHAnsi"/>
          <w:color w:val="000000"/>
        </w:rPr>
      </w:pPr>
      <w:r w:rsidRPr="00486CAC">
        <w:rPr>
          <w:rFonts w:cstheme="minorHAnsi"/>
          <w:color w:val="000000"/>
        </w:rPr>
        <w:t xml:space="preserve">the death of a dog, except where it has been destroyed following an attack on a person or animal, or at the direction of Council. </w:t>
      </w:r>
    </w:p>
    <w:p w14:paraId="5F140A11" w14:textId="77777777" w:rsidR="00197D26" w:rsidRPr="00C03313" w:rsidRDefault="00197D26" w:rsidP="00FC6FDE">
      <w:pPr>
        <w:spacing w:before="200" w:after="0" w:line="240" w:lineRule="auto"/>
        <w:rPr>
          <w:b/>
        </w:rPr>
      </w:pPr>
      <w:r w:rsidRPr="00C03313">
        <w:rPr>
          <w:b/>
        </w:rPr>
        <w:t xml:space="preserve">Fees and Charges </w:t>
      </w:r>
    </w:p>
    <w:p w14:paraId="1ED31C3F" w14:textId="77777777" w:rsidR="00197D26" w:rsidRPr="00486CAC" w:rsidRDefault="00197D26" w:rsidP="00FC6FDE">
      <w:pPr>
        <w:spacing w:line="240" w:lineRule="auto"/>
        <w:rPr>
          <w:lang w:val="en-US"/>
        </w:rPr>
      </w:pPr>
      <w:r w:rsidRPr="00486CAC">
        <w:t>Fees and charges are resolved annually by Council and published on the Town of East Fremantle website.</w:t>
      </w:r>
      <w:r w:rsidRPr="00486CAC">
        <w:rPr>
          <w:lang w:val="en-US"/>
        </w:rPr>
        <w:t xml:space="preserve"> </w:t>
      </w:r>
    </w:p>
    <w:p w14:paraId="23EF7036" w14:textId="77777777" w:rsidR="00197D26" w:rsidRPr="00486CAC" w:rsidRDefault="00C03313" w:rsidP="00FC6FDE">
      <w:pPr>
        <w:spacing w:after="18" w:line="240" w:lineRule="auto"/>
        <w:jc w:val="both"/>
        <w:rPr>
          <w:rFonts w:cstheme="minorHAnsi"/>
          <w:b/>
          <w:lang w:val="en-US"/>
        </w:rPr>
      </w:pPr>
      <w:r>
        <w:rPr>
          <w:rFonts w:cstheme="minorHAnsi"/>
          <w:b/>
          <w:lang w:val="en-US"/>
        </w:rPr>
        <w:t>Attachment</w:t>
      </w:r>
      <w:r w:rsidR="00197D26" w:rsidRPr="00486CAC">
        <w:rPr>
          <w:rFonts w:cstheme="minorHAnsi"/>
          <w:b/>
          <w:lang w:val="en-US"/>
        </w:rPr>
        <w:t xml:space="preserve">: </w:t>
      </w:r>
    </w:p>
    <w:p w14:paraId="33B07A7F" w14:textId="77777777" w:rsidR="00197D26" w:rsidRPr="00486CAC" w:rsidRDefault="00197D26" w:rsidP="00FC6FDE">
      <w:pPr>
        <w:spacing w:after="18" w:line="240" w:lineRule="auto"/>
        <w:jc w:val="both"/>
        <w:rPr>
          <w:rFonts w:cstheme="minorHAnsi"/>
          <w:lang w:val="en-US"/>
        </w:rPr>
      </w:pPr>
      <w:r w:rsidRPr="00486CAC">
        <w:rPr>
          <w:rFonts w:cstheme="minorHAnsi"/>
          <w:lang w:val="en-US"/>
        </w:rPr>
        <w:t>Appendix A – Town of East Fremantle Dog Exercise Areas</w:t>
      </w:r>
    </w:p>
    <w:p w14:paraId="14581A6E" w14:textId="77777777" w:rsidR="00197D26" w:rsidRPr="00486CAC" w:rsidRDefault="00197D26" w:rsidP="00197D26">
      <w:pPr>
        <w:spacing w:after="18" w:line="240" w:lineRule="atLeast"/>
        <w:jc w:val="both"/>
        <w:rPr>
          <w:rFonts w:cstheme="minorHAnsi"/>
          <w:lang w:val="en-US"/>
        </w:rPr>
      </w:pPr>
    </w:p>
    <w:tbl>
      <w:tblPr>
        <w:tblStyle w:val="TableGrid"/>
        <w:tblW w:w="9351" w:type="dxa"/>
        <w:tblLook w:val="04A0" w:firstRow="1" w:lastRow="0" w:firstColumn="1" w:lastColumn="0" w:noHBand="0" w:noVBand="1"/>
      </w:tblPr>
      <w:tblGrid>
        <w:gridCol w:w="3256"/>
        <w:gridCol w:w="6095"/>
      </w:tblGrid>
      <w:tr w:rsidR="00197D26" w:rsidRPr="00486CAC" w14:paraId="4EE8BA57" w14:textId="77777777" w:rsidTr="00E845E5">
        <w:tc>
          <w:tcPr>
            <w:tcW w:w="3256" w:type="dxa"/>
          </w:tcPr>
          <w:p w14:paraId="12FA9B98" w14:textId="77777777" w:rsidR="00197D26" w:rsidRPr="00486CAC" w:rsidRDefault="00197D26" w:rsidP="00E845E5">
            <w:pPr>
              <w:spacing w:after="18" w:line="240" w:lineRule="atLeast"/>
              <w:jc w:val="both"/>
              <w:rPr>
                <w:rFonts w:cstheme="minorHAnsi"/>
                <w:b/>
                <w:lang w:val="en-US"/>
              </w:rPr>
            </w:pPr>
            <w:r w:rsidRPr="00486CAC">
              <w:rPr>
                <w:rFonts w:cstheme="minorHAnsi"/>
                <w:b/>
                <w:lang w:val="en-US"/>
              </w:rPr>
              <w:t>Responsible Directorate:</w:t>
            </w:r>
          </w:p>
        </w:tc>
        <w:tc>
          <w:tcPr>
            <w:tcW w:w="6095" w:type="dxa"/>
          </w:tcPr>
          <w:p w14:paraId="332FE173" w14:textId="77777777" w:rsidR="00197D26" w:rsidRPr="00486CAC" w:rsidRDefault="00197D26" w:rsidP="00E845E5">
            <w:pPr>
              <w:spacing w:after="18" w:line="240" w:lineRule="atLeast"/>
              <w:jc w:val="both"/>
              <w:rPr>
                <w:rFonts w:cstheme="minorHAnsi"/>
                <w:lang w:val="en-US"/>
              </w:rPr>
            </w:pPr>
            <w:r w:rsidRPr="00486CAC">
              <w:rPr>
                <w:rFonts w:cstheme="minorHAnsi"/>
                <w:lang w:val="en-US"/>
              </w:rPr>
              <w:t xml:space="preserve">Corporate Services </w:t>
            </w:r>
          </w:p>
        </w:tc>
      </w:tr>
      <w:tr w:rsidR="00197D26" w:rsidRPr="00486CAC" w14:paraId="18E946FE" w14:textId="77777777" w:rsidTr="00E845E5">
        <w:tc>
          <w:tcPr>
            <w:tcW w:w="3256" w:type="dxa"/>
          </w:tcPr>
          <w:p w14:paraId="514172F9" w14:textId="77777777" w:rsidR="00197D26" w:rsidRPr="00486CAC" w:rsidRDefault="00197D26" w:rsidP="00E845E5">
            <w:pPr>
              <w:spacing w:after="18" w:line="240" w:lineRule="atLeast"/>
              <w:jc w:val="both"/>
              <w:rPr>
                <w:rFonts w:cstheme="minorHAnsi"/>
                <w:b/>
                <w:lang w:val="en-US"/>
              </w:rPr>
            </w:pPr>
            <w:r w:rsidRPr="00486CAC">
              <w:rPr>
                <w:rFonts w:cstheme="minorHAnsi"/>
                <w:b/>
                <w:lang w:val="en-US"/>
              </w:rPr>
              <w:t>Reviewing Officer:</w:t>
            </w:r>
          </w:p>
        </w:tc>
        <w:tc>
          <w:tcPr>
            <w:tcW w:w="6095" w:type="dxa"/>
          </w:tcPr>
          <w:p w14:paraId="56E48C5A" w14:textId="77777777" w:rsidR="00197D26" w:rsidRPr="00486CAC" w:rsidRDefault="00197D26" w:rsidP="00E845E5">
            <w:pPr>
              <w:spacing w:after="18" w:line="240" w:lineRule="atLeast"/>
              <w:jc w:val="both"/>
              <w:rPr>
                <w:rFonts w:cstheme="minorHAnsi"/>
                <w:lang w:val="en-US"/>
              </w:rPr>
            </w:pPr>
            <w:r w:rsidRPr="00486CAC">
              <w:rPr>
                <w:rFonts w:cstheme="minorHAnsi"/>
                <w:lang w:val="en-US"/>
              </w:rPr>
              <w:t xml:space="preserve">Senior Ranger </w:t>
            </w:r>
          </w:p>
        </w:tc>
      </w:tr>
      <w:tr w:rsidR="00197D26" w:rsidRPr="00486CAC" w14:paraId="1982C7A2" w14:textId="77777777" w:rsidTr="00E845E5">
        <w:tc>
          <w:tcPr>
            <w:tcW w:w="3256" w:type="dxa"/>
          </w:tcPr>
          <w:p w14:paraId="48554023" w14:textId="77777777" w:rsidR="00197D26" w:rsidRPr="00486CAC" w:rsidRDefault="00197D26" w:rsidP="00E845E5">
            <w:pPr>
              <w:spacing w:after="18" w:line="240" w:lineRule="atLeast"/>
              <w:jc w:val="both"/>
              <w:rPr>
                <w:rFonts w:cstheme="minorHAnsi"/>
                <w:b/>
                <w:lang w:val="en-US"/>
              </w:rPr>
            </w:pPr>
            <w:r w:rsidRPr="00486CAC">
              <w:rPr>
                <w:rFonts w:cstheme="minorHAnsi"/>
                <w:b/>
                <w:lang w:val="en-US"/>
              </w:rPr>
              <w:t>Decision making Authority:</w:t>
            </w:r>
          </w:p>
        </w:tc>
        <w:tc>
          <w:tcPr>
            <w:tcW w:w="6095" w:type="dxa"/>
          </w:tcPr>
          <w:p w14:paraId="098A4B98" w14:textId="77777777" w:rsidR="00197D26" w:rsidRPr="00486CAC" w:rsidRDefault="00197D26" w:rsidP="00E845E5">
            <w:pPr>
              <w:spacing w:after="18" w:line="240" w:lineRule="atLeast"/>
              <w:jc w:val="both"/>
              <w:rPr>
                <w:rFonts w:cstheme="minorHAnsi"/>
                <w:lang w:val="en-US"/>
              </w:rPr>
            </w:pPr>
            <w:r w:rsidRPr="00486CAC">
              <w:rPr>
                <w:rFonts w:cstheme="minorHAnsi"/>
                <w:lang w:val="en-US"/>
              </w:rPr>
              <w:t>Council</w:t>
            </w:r>
          </w:p>
        </w:tc>
      </w:tr>
      <w:tr w:rsidR="00197D26" w:rsidRPr="00486CAC" w14:paraId="41F631CB" w14:textId="77777777" w:rsidTr="00E845E5">
        <w:tc>
          <w:tcPr>
            <w:tcW w:w="3256" w:type="dxa"/>
          </w:tcPr>
          <w:p w14:paraId="49315B48" w14:textId="77777777" w:rsidR="00197D26" w:rsidRPr="00486CAC" w:rsidRDefault="00197D26" w:rsidP="00E845E5">
            <w:pPr>
              <w:spacing w:after="18" w:line="240" w:lineRule="atLeast"/>
              <w:jc w:val="both"/>
              <w:rPr>
                <w:rFonts w:cstheme="minorHAnsi"/>
                <w:b/>
                <w:lang w:val="en-US"/>
              </w:rPr>
            </w:pPr>
            <w:r w:rsidRPr="00486CAC">
              <w:rPr>
                <w:rFonts w:cstheme="minorHAnsi"/>
                <w:b/>
                <w:lang w:val="en-US"/>
              </w:rPr>
              <w:t>Policy Adopted:</w:t>
            </w:r>
          </w:p>
        </w:tc>
        <w:tc>
          <w:tcPr>
            <w:tcW w:w="6095" w:type="dxa"/>
          </w:tcPr>
          <w:p w14:paraId="0587B34D" w14:textId="77777777" w:rsidR="00197D26" w:rsidRPr="00486CAC" w:rsidRDefault="00197D26" w:rsidP="00C03313">
            <w:pPr>
              <w:spacing w:after="18" w:line="240" w:lineRule="atLeast"/>
              <w:jc w:val="both"/>
              <w:rPr>
                <w:rFonts w:cstheme="minorHAnsi"/>
                <w:lang w:val="en-US"/>
              </w:rPr>
            </w:pPr>
            <w:r w:rsidRPr="00486CAC">
              <w:rPr>
                <w:rFonts w:cstheme="minorHAnsi"/>
                <w:lang w:val="en-US"/>
              </w:rPr>
              <w:t>20</w:t>
            </w:r>
            <w:r w:rsidR="00C03313">
              <w:rPr>
                <w:rFonts w:cstheme="minorHAnsi"/>
                <w:lang w:val="en-US"/>
              </w:rPr>
              <w:t>/11/1</w:t>
            </w:r>
            <w:r w:rsidRPr="00486CAC">
              <w:rPr>
                <w:rFonts w:cstheme="minorHAnsi"/>
                <w:lang w:val="en-US"/>
              </w:rPr>
              <w:t>8</w:t>
            </w:r>
          </w:p>
        </w:tc>
      </w:tr>
      <w:tr w:rsidR="00197D26" w:rsidRPr="00486CAC" w14:paraId="1F05675C" w14:textId="77777777" w:rsidTr="00E845E5">
        <w:tc>
          <w:tcPr>
            <w:tcW w:w="3256" w:type="dxa"/>
          </w:tcPr>
          <w:p w14:paraId="1CE101A7" w14:textId="77777777" w:rsidR="00197D26" w:rsidRPr="00486CAC" w:rsidRDefault="00197D26" w:rsidP="00E845E5">
            <w:pPr>
              <w:spacing w:after="18" w:line="240" w:lineRule="atLeast"/>
              <w:jc w:val="both"/>
              <w:rPr>
                <w:rFonts w:cstheme="minorHAnsi"/>
                <w:b/>
                <w:lang w:val="en-US"/>
              </w:rPr>
            </w:pPr>
            <w:r w:rsidRPr="00486CAC">
              <w:rPr>
                <w:rFonts w:cstheme="minorHAnsi"/>
                <w:b/>
                <w:lang w:val="en-US"/>
              </w:rPr>
              <w:t>Policy Amended</w:t>
            </w:r>
            <w:r w:rsidR="00C03313">
              <w:rPr>
                <w:rFonts w:cstheme="minorHAnsi"/>
                <w:b/>
                <w:lang w:val="en-US"/>
              </w:rPr>
              <w:t>/Reviewed</w:t>
            </w:r>
            <w:r w:rsidRPr="00486CAC">
              <w:rPr>
                <w:rFonts w:cstheme="minorHAnsi"/>
                <w:b/>
                <w:lang w:val="en-US"/>
              </w:rPr>
              <w:t>:</w:t>
            </w:r>
          </w:p>
        </w:tc>
        <w:tc>
          <w:tcPr>
            <w:tcW w:w="6095" w:type="dxa"/>
          </w:tcPr>
          <w:p w14:paraId="7F093363" w14:textId="77777777" w:rsidR="00197D26" w:rsidRPr="00486CAC" w:rsidRDefault="00160E4C" w:rsidP="00E845E5">
            <w:pPr>
              <w:spacing w:after="18" w:line="240" w:lineRule="atLeast"/>
              <w:jc w:val="both"/>
              <w:rPr>
                <w:rFonts w:cstheme="minorHAnsi"/>
                <w:lang w:val="en-US"/>
              </w:rPr>
            </w:pPr>
            <w:r>
              <w:rPr>
                <w:rFonts w:cstheme="minorHAnsi"/>
                <w:lang w:val="en-US"/>
              </w:rPr>
              <w:t>17/9/19</w:t>
            </w:r>
          </w:p>
        </w:tc>
      </w:tr>
      <w:tr w:rsidR="00197D26" w:rsidRPr="00486CAC" w14:paraId="1F53AAE9" w14:textId="77777777" w:rsidTr="00E845E5">
        <w:tc>
          <w:tcPr>
            <w:tcW w:w="3256" w:type="dxa"/>
          </w:tcPr>
          <w:p w14:paraId="2D5AFAC8" w14:textId="77777777" w:rsidR="00197D26" w:rsidRPr="00486CAC" w:rsidRDefault="00C03313" w:rsidP="00E845E5">
            <w:pPr>
              <w:spacing w:after="18" w:line="240" w:lineRule="atLeast"/>
              <w:jc w:val="both"/>
              <w:rPr>
                <w:rFonts w:cstheme="minorHAnsi"/>
                <w:b/>
                <w:lang w:val="en-US"/>
              </w:rPr>
            </w:pPr>
            <w:r>
              <w:rPr>
                <w:rFonts w:cstheme="minorHAnsi"/>
                <w:b/>
                <w:lang w:val="en-US"/>
              </w:rPr>
              <w:t>Former Policy No</w:t>
            </w:r>
            <w:r w:rsidR="00197D26" w:rsidRPr="00486CAC">
              <w:rPr>
                <w:rFonts w:cstheme="minorHAnsi"/>
                <w:b/>
                <w:lang w:val="en-US"/>
              </w:rPr>
              <w:t>:</w:t>
            </w:r>
          </w:p>
        </w:tc>
        <w:tc>
          <w:tcPr>
            <w:tcW w:w="6095" w:type="dxa"/>
          </w:tcPr>
          <w:p w14:paraId="165393A4" w14:textId="77777777" w:rsidR="00197D26" w:rsidRPr="00486CAC" w:rsidRDefault="00CB7DA7" w:rsidP="00E845E5">
            <w:pPr>
              <w:spacing w:after="18" w:line="240" w:lineRule="atLeast"/>
              <w:jc w:val="both"/>
              <w:rPr>
                <w:rFonts w:cstheme="minorHAnsi"/>
                <w:lang w:val="en-US"/>
              </w:rPr>
            </w:pPr>
            <w:r>
              <w:rPr>
                <w:rFonts w:cstheme="minorHAnsi"/>
                <w:lang w:val="en-US"/>
              </w:rPr>
              <w:t>1.2.3</w:t>
            </w:r>
          </w:p>
        </w:tc>
      </w:tr>
    </w:tbl>
    <w:p w14:paraId="67D06630" w14:textId="77777777" w:rsidR="00197D26" w:rsidRPr="00486CAC" w:rsidRDefault="00197D26" w:rsidP="00197D26">
      <w:pPr>
        <w:spacing w:after="18" w:line="240" w:lineRule="atLeast"/>
        <w:jc w:val="both"/>
        <w:rPr>
          <w:rFonts w:cstheme="minorHAnsi"/>
          <w:lang w:val="en-US"/>
        </w:rPr>
      </w:pPr>
    </w:p>
    <w:p w14:paraId="40ED2C75" w14:textId="77777777" w:rsidR="00197D26" w:rsidRDefault="00197D26" w:rsidP="00197D26">
      <w:pPr>
        <w:rPr>
          <w:rFonts w:ascii="Arial" w:hAnsi="Arial" w:cs="Arial"/>
          <w:b/>
          <w:lang w:val="en-US"/>
        </w:rPr>
      </w:pPr>
      <w:r>
        <w:rPr>
          <w:rFonts w:ascii="Arial" w:hAnsi="Arial" w:cs="Arial"/>
          <w:b/>
          <w:lang w:val="en-US"/>
        </w:rPr>
        <w:br w:type="page"/>
      </w:r>
    </w:p>
    <w:p w14:paraId="65CF695B" w14:textId="77777777" w:rsidR="00197D26" w:rsidRPr="003F3571" w:rsidRDefault="00197D26" w:rsidP="00C03313">
      <w:pPr>
        <w:jc w:val="right"/>
        <w:rPr>
          <w:rFonts w:ascii="Arial" w:hAnsi="Arial" w:cs="Arial"/>
          <w:b/>
          <w:lang w:val="en-US"/>
        </w:rPr>
      </w:pPr>
      <w:r w:rsidRPr="003F3571">
        <w:rPr>
          <w:rFonts w:ascii="Arial" w:hAnsi="Arial" w:cs="Arial"/>
          <w:b/>
          <w:lang w:val="en-US"/>
        </w:rPr>
        <w:lastRenderedPageBreak/>
        <w:t>APPENDIX A</w:t>
      </w:r>
    </w:p>
    <w:p w14:paraId="6109B4A1" w14:textId="77777777" w:rsidR="00197D26" w:rsidRPr="00C03313" w:rsidRDefault="00197D26" w:rsidP="00197D26">
      <w:pPr>
        <w:rPr>
          <w:rFonts w:cstheme="minorHAnsi"/>
          <w:b/>
          <w:u w:val="single"/>
        </w:rPr>
      </w:pPr>
      <w:r w:rsidRPr="00C03313">
        <w:rPr>
          <w:rFonts w:cstheme="minorHAnsi"/>
          <w:b/>
          <w:u w:val="single"/>
        </w:rPr>
        <w:t>Town of East Fremantle Dog Exercise Areas</w:t>
      </w:r>
    </w:p>
    <w:p w14:paraId="4C6365E5" w14:textId="77777777" w:rsidR="00197D26" w:rsidRPr="00C03313" w:rsidRDefault="00197D26" w:rsidP="00197D26">
      <w:pPr>
        <w:jc w:val="both"/>
        <w:rPr>
          <w:rFonts w:cstheme="minorHAnsi"/>
          <w:b/>
          <w:u w:val="single"/>
        </w:rPr>
      </w:pPr>
      <w:r w:rsidRPr="00C03313">
        <w:rPr>
          <w:rFonts w:cstheme="minorHAnsi"/>
          <w:b/>
          <w:noProof/>
          <w:u w:val="single"/>
          <w:lang w:eastAsia="en-AU"/>
        </w:rPr>
        <w:drawing>
          <wp:anchor distT="0" distB="0" distL="114300" distR="114300" simplePos="0" relativeHeight="251604992" behindDoc="0" locked="0" layoutInCell="1" allowOverlap="1" wp14:anchorId="5073209A" wp14:editId="6BB6A011">
            <wp:simplePos x="0" y="0"/>
            <wp:positionH relativeFrom="margin">
              <wp:posOffset>2838450</wp:posOffset>
            </wp:positionH>
            <wp:positionV relativeFrom="paragraph">
              <wp:posOffset>662940</wp:posOffset>
            </wp:positionV>
            <wp:extent cx="3009900" cy="4915535"/>
            <wp:effectExtent l="0" t="0" r="0" b="0"/>
            <wp:wrapSquare wrapText="bothSides"/>
            <wp:docPr id="1596784196" name="Picture 1596784196" descr="C:\Users\rcashman\Desktop\Dog Ar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cashman\Desktop\Dog Areas.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009900" cy="4915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3313">
        <w:rPr>
          <w:rFonts w:cstheme="minorHAnsi"/>
        </w:rPr>
        <w:t xml:space="preserve">Our hairy hounds are often another extended member of our family and are important additions of our community </w:t>
      </w:r>
      <w:proofErr w:type="gramStart"/>
      <w:r w:rsidRPr="00C03313">
        <w:rPr>
          <w:rFonts w:cstheme="minorHAnsi"/>
        </w:rPr>
        <w:t>also, but</w:t>
      </w:r>
      <w:proofErr w:type="gramEnd"/>
      <w:r w:rsidRPr="00C03313">
        <w:rPr>
          <w:rFonts w:cstheme="minorHAnsi"/>
        </w:rPr>
        <w:t xml:space="preserve"> remember that they must be kept on a leash at all times in public (no longer than 2 metres). Dogs must also wear a current registration tag as well as a name tag/owners contact details in public.</w:t>
      </w:r>
    </w:p>
    <w:p w14:paraId="1C48E121" w14:textId="77777777" w:rsidR="00197D26" w:rsidRPr="00C03313" w:rsidRDefault="00197D26" w:rsidP="00197D26">
      <w:pPr>
        <w:ind w:right="-613"/>
        <w:jc w:val="both"/>
        <w:rPr>
          <w:rFonts w:cstheme="minorHAnsi"/>
        </w:rPr>
      </w:pPr>
      <w:r w:rsidRPr="00C03313">
        <w:rPr>
          <w:rFonts w:cstheme="minorHAnsi"/>
        </w:rPr>
        <w:t>We have six (6) exercise areas available in the Town where your dogs can run and play without a lead.</w:t>
      </w:r>
    </w:p>
    <w:p w14:paraId="32F167C9" w14:textId="77777777" w:rsidR="00197D26" w:rsidRPr="00C03313" w:rsidRDefault="00197D26" w:rsidP="00197D26">
      <w:pPr>
        <w:jc w:val="both"/>
        <w:rPr>
          <w:rFonts w:cstheme="minorHAnsi"/>
          <w:b/>
          <w:u w:val="single"/>
        </w:rPr>
      </w:pPr>
      <w:r w:rsidRPr="00C03313">
        <w:rPr>
          <w:rFonts w:cstheme="minorHAnsi"/>
          <w:b/>
          <w:u w:val="single"/>
        </w:rPr>
        <w:t>DOG OFFLEAD EXERCISE AREAS</w:t>
      </w:r>
    </w:p>
    <w:p w14:paraId="722757B8" w14:textId="77777777" w:rsidR="00197D26" w:rsidRPr="00C03313" w:rsidRDefault="00197D26" w:rsidP="002A3889">
      <w:pPr>
        <w:pStyle w:val="ListParagraph"/>
        <w:numPr>
          <w:ilvl w:val="0"/>
          <w:numId w:val="362"/>
        </w:numPr>
        <w:spacing w:after="0"/>
        <w:ind w:left="426" w:hanging="426"/>
        <w:jc w:val="both"/>
        <w:rPr>
          <w:rFonts w:cstheme="minorHAnsi"/>
          <w:color w:val="000000" w:themeColor="text1"/>
        </w:rPr>
      </w:pPr>
      <w:r w:rsidRPr="00C03313">
        <w:rPr>
          <w:rFonts w:cstheme="minorHAnsi"/>
          <w:color w:val="000000" w:themeColor="text1"/>
        </w:rPr>
        <w:t>River Foreshore portion (beach areas only) as indicated by signs.</w:t>
      </w:r>
    </w:p>
    <w:p w14:paraId="6A5D158B" w14:textId="77777777" w:rsidR="00197D26" w:rsidRPr="00C03313" w:rsidRDefault="00197D26" w:rsidP="002A3889">
      <w:pPr>
        <w:pStyle w:val="ListParagraph"/>
        <w:numPr>
          <w:ilvl w:val="0"/>
          <w:numId w:val="362"/>
        </w:numPr>
        <w:spacing w:after="0"/>
        <w:ind w:left="426" w:hanging="426"/>
        <w:jc w:val="both"/>
        <w:rPr>
          <w:rFonts w:cstheme="minorHAnsi"/>
          <w:color w:val="000000" w:themeColor="text1"/>
        </w:rPr>
      </w:pPr>
      <w:r w:rsidRPr="00C03313">
        <w:rPr>
          <w:rFonts w:cstheme="minorHAnsi"/>
          <w:color w:val="000000" w:themeColor="text1"/>
        </w:rPr>
        <w:t>Preston Point Reserve, Preston Point Road.</w:t>
      </w:r>
    </w:p>
    <w:p w14:paraId="10105E53" w14:textId="77777777" w:rsidR="00197D26" w:rsidRPr="00C03313" w:rsidRDefault="00197D26" w:rsidP="002A3889">
      <w:pPr>
        <w:pStyle w:val="ListParagraph"/>
        <w:numPr>
          <w:ilvl w:val="0"/>
          <w:numId w:val="362"/>
        </w:numPr>
        <w:spacing w:after="0"/>
        <w:ind w:left="426" w:hanging="426"/>
        <w:jc w:val="both"/>
        <w:rPr>
          <w:rFonts w:cstheme="minorHAnsi"/>
          <w:color w:val="000000" w:themeColor="text1"/>
        </w:rPr>
      </w:pPr>
      <w:r w:rsidRPr="00C03313">
        <w:rPr>
          <w:rFonts w:cstheme="minorHAnsi"/>
          <w:color w:val="000000" w:themeColor="text1"/>
        </w:rPr>
        <w:t>Henry Jeffery Oval, Preston Point Road.</w:t>
      </w:r>
    </w:p>
    <w:p w14:paraId="5EFF4E0C" w14:textId="77777777" w:rsidR="00197D26" w:rsidRPr="00C03313" w:rsidRDefault="00197D26" w:rsidP="002A3889">
      <w:pPr>
        <w:pStyle w:val="ListParagraph"/>
        <w:numPr>
          <w:ilvl w:val="0"/>
          <w:numId w:val="362"/>
        </w:numPr>
        <w:spacing w:after="0"/>
        <w:ind w:left="426" w:hanging="426"/>
        <w:jc w:val="both"/>
        <w:rPr>
          <w:rFonts w:cstheme="minorHAnsi"/>
          <w:color w:val="000000" w:themeColor="text1"/>
        </w:rPr>
      </w:pPr>
      <w:r w:rsidRPr="00C03313">
        <w:rPr>
          <w:rFonts w:cstheme="minorHAnsi"/>
          <w:color w:val="000000" w:themeColor="text1"/>
        </w:rPr>
        <w:t xml:space="preserve">Upper </w:t>
      </w:r>
      <w:proofErr w:type="spellStart"/>
      <w:r w:rsidRPr="00C03313">
        <w:rPr>
          <w:rFonts w:cstheme="minorHAnsi"/>
          <w:color w:val="000000" w:themeColor="text1"/>
        </w:rPr>
        <w:t>Wauhop</w:t>
      </w:r>
      <w:proofErr w:type="spellEnd"/>
      <w:r w:rsidRPr="00C03313">
        <w:rPr>
          <w:rFonts w:cstheme="minorHAnsi"/>
          <w:color w:val="000000" w:themeColor="text1"/>
        </w:rPr>
        <w:t xml:space="preserve"> Park, </w:t>
      </w:r>
      <w:proofErr w:type="spellStart"/>
      <w:r w:rsidRPr="00C03313">
        <w:rPr>
          <w:rFonts w:cstheme="minorHAnsi"/>
          <w:color w:val="000000" w:themeColor="text1"/>
        </w:rPr>
        <w:t>Wauhop</w:t>
      </w:r>
      <w:proofErr w:type="spellEnd"/>
      <w:r w:rsidRPr="00C03313">
        <w:rPr>
          <w:rFonts w:cstheme="minorHAnsi"/>
          <w:color w:val="000000" w:themeColor="text1"/>
        </w:rPr>
        <w:t xml:space="preserve"> Road.</w:t>
      </w:r>
    </w:p>
    <w:p w14:paraId="03620F89" w14:textId="77777777" w:rsidR="00197D26" w:rsidRPr="00C03313" w:rsidRDefault="00197D26" w:rsidP="002A3889">
      <w:pPr>
        <w:pStyle w:val="ListParagraph"/>
        <w:numPr>
          <w:ilvl w:val="0"/>
          <w:numId w:val="362"/>
        </w:numPr>
        <w:spacing w:after="0"/>
        <w:ind w:left="426" w:hanging="426"/>
        <w:rPr>
          <w:rFonts w:cstheme="minorHAnsi"/>
          <w:color w:val="000000" w:themeColor="text1"/>
        </w:rPr>
      </w:pPr>
      <w:r w:rsidRPr="00C03313">
        <w:rPr>
          <w:rFonts w:cstheme="minorHAnsi"/>
          <w:color w:val="000000" w:themeColor="text1"/>
        </w:rPr>
        <w:t xml:space="preserve">East Fremantle Oval (outer perimeter only) </w:t>
      </w:r>
    </w:p>
    <w:p w14:paraId="63FAA0D5" w14:textId="77777777" w:rsidR="00197D26" w:rsidRPr="00C03313" w:rsidRDefault="00197D26" w:rsidP="002A3889">
      <w:pPr>
        <w:pStyle w:val="ListParagraph"/>
        <w:numPr>
          <w:ilvl w:val="0"/>
          <w:numId w:val="362"/>
        </w:numPr>
        <w:spacing w:after="0"/>
        <w:ind w:left="426" w:hanging="426"/>
        <w:rPr>
          <w:rFonts w:cstheme="minorHAnsi"/>
          <w:color w:val="000000" w:themeColor="text1"/>
        </w:rPr>
      </w:pPr>
      <w:r w:rsidRPr="00C03313">
        <w:rPr>
          <w:rFonts w:cstheme="minorHAnsi"/>
          <w:color w:val="000000" w:themeColor="text1"/>
        </w:rPr>
        <w:t>Reserve, corner George and Silas Street</w:t>
      </w:r>
    </w:p>
    <w:p w14:paraId="20F8EFB6" w14:textId="77777777" w:rsidR="00197D26" w:rsidRPr="00C03313" w:rsidRDefault="00197D26" w:rsidP="00197D26">
      <w:pPr>
        <w:pStyle w:val="ListParagraph"/>
        <w:spacing w:after="0"/>
        <w:ind w:left="426"/>
        <w:rPr>
          <w:rFonts w:cstheme="minorHAnsi"/>
          <w:color w:val="000000" w:themeColor="text1"/>
        </w:rPr>
      </w:pPr>
    </w:p>
    <w:p w14:paraId="0910D4EA" w14:textId="77777777" w:rsidR="00197D26" w:rsidRPr="00C03313" w:rsidRDefault="00197D26" w:rsidP="00197D26">
      <w:pPr>
        <w:jc w:val="both"/>
        <w:rPr>
          <w:rFonts w:cstheme="minorHAnsi"/>
        </w:rPr>
      </w:pPr>
      <w:r w:rsidRPr="00C03313">
        <w:rPr>
          <w:rFonts w:cstheme="minorHAnsi"/>
        </w:rPr>
        <w:t xml:space="preserve">Areas marked with a stripe become on-lead zones during sporting events and training. </w:t>
      </w:r>
    </w:p>
    <w:p w14:paraId="65C4C689" w14:textId="77777777" w:rsidR="00197D26" w:rsidRPr="00C03313" w:rsidRDefault="00197D26" w:rsidP="00197D26">
      <w:pPr>
        <w:jc w:val="both"/>
        <w:rPr>
          <w:rFonts w:cstheme="minorHAnsi"/>
        </w:rPr>
      </w:pPr>
      <w:r w:rsidRPr="00C03313">
        <w:rPr>
          <w:rFonts w:cstheme="minorHAnsi"/>
        </w:rPr>
        <w:t>Please note, that even though the dog is off lead:</w:t>
      </w:r>
    </w:p>
    <w:p w14:paraId="49015215" w14:textId="77777777" w:rsidR="00197D26" w:rsidRPr="00C03313" w:rsidRDefault="00197D26" w:rsidP="002A3889">
      <w:pPr>
        <w:pStyle w:val="ListParagraph"/>
        <w:numPr>
          <w:ilvl w:val="0"/>
          <w:numId w:val="365"/>
        </w:numPr>
        <w:spacing w:after="0"/>
        <w:jc w:val="both"/>
        <w:rPr>
          <w:rFonts w:cstheme="minorHAnsi"/>
        </w:rPr>
      </w:pPr>
      <w:r w:rsidRPr="00C03313">
        <w:rPr>
          <w:rFonts w:cstheme="minorHAnsi"/>
        </w:rPr>
        <w:t>The dog must be supervised by a competent person who is in reasonable proximity to the dog.</w:t>
      </w:r>
    </w:p>
    <w:p w14:paraId="52B6C113" w14:textId="77777777" w:rsidR="00197D26" w:rsidRPr="00C03313" w:rsidRDefault="00197D26" w:rsidP="002A3889">
      <w:pPr>
        <w:pStyle w:val="ListParagraph"/>
        <w:numPr>
          <w:ilvl w:val="0"/>
          <w:numId w:val="365"/>
        </w:numPr>
        <w:spacing w:after="0"/>
        <w:jc w:val="both"/>
        <w:rPr>
          <w:rFonts w:cstheme="minorHAnsi"/>
        </w:rPr>
      </w:pPr>
      <w:r w:rsidRPr="00C03313">
        <w:rPr>
          <w:rFonts w:cstheme="minorHAnsi"/>
        </w:rPr>
        <w:t>A lead must be carried and attached to the dog, should the dog need to be controlled.</w:t>
      </w:r>
    </w:p>
    <w:p w14:paraId="4819E0C0" w14:textId="77777777" w:rsidR="00197D26" w:rsidRPr="00C03313" w:rsidRDefault="00197D26" w:rsidP="002A3889">
      <w:pPr>
        <w:pStyle w:val="ListParagraph"/>
        <w:numPr>
          <w:ilvl w:val="0"/>
          <w:numId w:val="365"/>
        </w:numPr>
        <w:jc w:val="both"/>
        <w:rPr>
          <w:rFonts w:cstheme="minorHAnsi"/>
        </w:rPr>
      </w:pPr>
      <w:r w:rsidRPr="00C03313">
        <w:rPr>
          <w:rFonts w:cstheme="minorHAnsi"/>
        </w:rPr>
        <w:t>Dogs are not permitted in children’s playgrounds unless signposted.</w:t>
      </w:r>
    </w:p>
    <w:p w14:paraId="23D00057" w14:textId="77777777" w:rsidR="00197D26" w:rsidRPr="00C03313" w:rsidRDefault="00197D26" w:rsidP="00197D26">
      <w:pPr>
        <w:rPr>
          <w:rFonts w:cstheme="minorHAnsi"/>
        </w:rPr>
      </w:pPr>
      <w:r w:rsidRPr="00C03313">
        <w:rPr>
          <w:rFonts w:cstheme="minorHAnsi"/>
        </w:rPr>
        <w:t>If you have any queries, please do not hesitate to contact the Town on 9339 9339 or email: admin@eastfremantle.wa.gov.au</w:t>
      </w:r>
    </w:p>
    <w:p w14:paraId="7DA9D43B" w14:textId="77777777" w:rsidR="00197D26" w:rsidRPr="00C03313" w:rsidRDefault="00197D26" w:rsidP="00197D26">
      <w:pPr>
        <w:rPr>
          <w:rFonts w:cstheme="minorHAnsi"/>
        </w:rPr>
      </w:pPr>
      <w:r w:rsidRPr="00C03313">
        <w:rPr>
          <w:rFonts w:cstheme="minorHAnsi"/>
          <w:noProof/>
          <w:lang w:eastAsia="en-AU"/>
        </w:rPr>
        <w:drawing>
          <wp:anchor distT="0" distB="0" distL="114300" distR="114300" simplePos="0" relativeHeight="251606016" behindDoc="0" locked="0" layoutInCell="1" allowOverlap="1" wp14:anchorId="58278A22" wp14:editId="7FEB3229">
            <wp:simplePos x="0" y="0"/>
            <wp:positionH relativeFrom="margin">
              <wp:posOffset>3072130</wp:posOffset>
            </wp:positionH>
            <wp:positionV relativeFrom="paragraph">
              <wp:posOffset>257810</wp:posOffset>
            </wp:positionV>
            <wp:extent cx="3164205" cy="671830"/>
            <wp:effectExtent l="0" t="0" r="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extLst>
                        <a:ext uri="{28A0092B-C50C-407E-A947-70E740481C1C}">
                          <a14:useLocalDpi xmlns:a14="http://schemas.microsoft.com/office/drawing/2010/main" val="0"/>
                        </a:ext>
                      </a:extLst>
                    </a:blip>
                    <a:stretch>
                      <a:fillRect/>
                    </a:stretch>
                  </pic:blipFill>
                  <pic:spPr>
                    <a:xfrm>
                      <a:off x="0" y="0"/>
                      <a:ext cx="3164205" cy="671830"/>
                    </a:xfrm>
                    <a:prstGeom prst="rect">
                      <a:avLst/>
                    </a:prstGeom>
                  </pic:spPr>
                </pic:pic>
              </a:graphicData>
            </a:graphic>
            <wp14:sizeRelV relativeFrom="margin">
              <wp14:pctHeight>0</wp14:pctHeight>
            </wp14:sizeRelV>
          </wp:anchor>
        </w:drawing>
      </w:r>
      <w:proofErr w:type="gramStart"/>
      <w:r w:rsidRPr="00C03313">
        <w:rPr>
          <w:rFonts w:cstheme="minorHAnsi"/>
        </w:rPr>
        <w:t>Visit</w:t>
      </w:r>
      <w:r w:rsidRPr="00C03313">
        <w:rPr>
          <w:rFonts w:cstheme="minorHAnsi"/>
          <w:color w:val="1F497D" w:themeColor="text2"/>
        </w:rPr>
        <w:t>:</w:t>
      </w:r>
      <w:r w:rsidRPr="00C03313">
        <w:rPr>
          <w:rFonts w:cstheme="minorHAnsi"/>
        </w:rPr>
        <w:t>eastfremantle.wa.gov.au/enjoy-east-fremantle/parks-and-reserves/dog-exercise-areas-in-the-town.aspx</w:t>
      </w:r>
      <w:proofErr w:type="gramEnd"/>
    </w:p>
    <w:p w14:paraId="773FD856" w14:textId="77777777" w:rsidR="00197D26" w:rsidRPr="00DF1F46" w:rsidRDefault="00197D26" w:rsidP="00197D26">
      <w:pPr>
        <w:rPr>
          <w:rFonts w:ascii="Arial" w:hAnsi="Arial" w:cs="Arial"/>
        </w:rPr>
      </w:pPr>
    </w:p>
    <w:p w14:paraId="675B53A6" w14:textId="77777777" w:rsidR="00197D26" w:rsidRPr="006159B7" w:rsidRDefault="00197D26" w:rsidP="00197D26">
      <w:pPr>
        <w:spacing w:after="18" w:line="240" w:lineRule="atLeast"/>
        <w:jc w:val="both"/>
        <w:rPr>
          <w:rFonts w:ascii="Arial" w:hAnsi="Arial" w:cs="Arial"/>
          <w:lang w:val="en-US"/>
        </w:rPr>
      </w:pPr>
    </w:p>
    <w:p w14:paraId="35A5039D" w14:textId="77777777" w:rsidR="00E16F52" w:rsidRPr="007D4E02" w:rsidRDefault="00E16F52" w:rsidP="00E16F52">
      <w:pPr>
        <w:jc w:val="both"/>
        <w:rPr>
          <w:rFonts w:ascii="Arial" w:hAnsi="Arial" w:cs="Arial"/>
          <w:lang w:val="en-US"/>
        </w:rPr>
      </w:pPr>
    </w:p>
    <w:p w14:paraId="16885EA0" w14:textId="77777777" w:rsidR="00C03313" w:rsidRDefault="00C03313">
      <w:pPr>
        <w:rPr>
          <w:rFonts w:ascii="Arial" w:hAnsi="Arial" w:cs="Arial"/>
          <w:lang w:val="en-US"/>
        </w:rPr>
      </w:pPr>
      <w:r>
        <w:rPr>
          <w:rFonts w:ascii="Arial" w:hAnsi="Arial" w:cs="Arial"/>
          <w:lang w:val="en-US"/>
        </w:rPr>
        <w:br w:type="page"/>
      </w:r>
    </w:p>
    <w:p w14:paraId="08A2E9A2" w14:textId="3AFCF0F4" w:rsidR="00C03313" w:rsidRDefault="00EF011D" w:rsidP="00F74526">
      <w:pPr>
        <w:jc w:val="right"/>
        <w:rPr>
          <w:lang w:val="en-US"/>
        </w:rPr>
      </w:pPr>
      <w:r>
        <w:rPr>
          <w:noProof/>
          <w:lang w:eastAsia="en-AU"/>
        </w:rPr>
        <w:lastRenderedPageBreak/>
        <w:drawing>
          <wp:anchor distT="0" distB="0" distL="114300" distR="114300" simplePos="0" relativeHeight="251611136" behindDoc="1" locked="0" layoutInCell="1" allowOverlap="1" wp14:anchorId="3620CE76" wp14:editId="13F29901">
            <wp:simplePos x="0" y="0"/>
            <wp:positionH relativeFrom="column">
              <wp:posOffset>4019550</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6CE9A698" w14:textId="77777777" w:rsidR="00C03313" w:rsidRPr="00C03313" w:rsidRDefault="00C03313" w:rsidP="00C03313">
      <w:pPr>
        <w:pStyle w:val="Title"/>
        <w:pBdr>
          <w:bottom w:val="none" w:sz="0" w:space="0" w:color="auto"/>
        </w:pBdr>
        <w:spacing w:before="240" w:after="240"/>
        <w:rPr>
          <w:rFonts w:ascii="Arial" w:hAnsi="Arial" w:cs="Arial"/>
          <w:b/>
          <w:sz w:val="4"/>
          <w:szCs w:val="28"/>
          <w:lang w:val="en-US"/>
        </w:rPr>
      </w:pPr>
    </w:p>
    <w:p w14:paraId="6C193A93" w14:textId="77777777" w:rsidR="00EF011D" w:rsidRDefault="00EF011D" w:rsidP="00CB7DA7">
      <w:pPr>
        <w:pStyle w:val="Policy3"/>
      </w:pPr>
    </w:p>
    <w:p w14:paraId="5AA8FEA4" w14:textId="14B4832E" w:rsidR="00C03313" w:rsidRPr="00C03313" w:rsidRDefault="00C03313" w:rsidP="00CB7DA7">
      <w:pPr>
        <w:pStyle w:val="Policy3"/>
      </w:pPr>
      <w:bookmarkStart w:id="599" w:name="_Toc216866742"/>
      <w:r>
        <w:t>5.1.2</w:t>
      </w:r>
      <w:r>
        <w:tab/>
      </w:r>
      <w:r w:rsidRPr="00C03313">
        <w:t>D</w:t>
      </w:r>
      <w:r w:rsidR="00CB7DA7">
        <w:t>angerous Dog Declarations</w:t>
      </w:r>
      <w:bookmarkEnd w:id="599"/>
    </w:p>
    <w:tbl>
      <w:tblPr>
        <w:tblStyle w:val="TableGrid"/>
        <w:tblW w:w="0" w:type="auto"/>
        <w:tblLook w:val="04A0" w:firstRow="1" w:lastRow="0" w:firstColumn="1" w:lastColumn="0" w:noHBand="0" w:noVBand="1"/>
      </w:tblPr>
      <w:tblGrid>
        <w:gridCol w:w="3023"/>
        <w:gridCol w:w="5993"/>
      </w:tblGrid>
      <w:tr w:rsidR="00C03313" w:rsidRPr="00C03313" w14:paraId="6FE232F5" w14:textId="77777777" w:rsidTr="004A6CD4">
        <w:tc>
          <w:tcPr>
            <w:tcW w:w="3023" w:type="dxa"/>
          </w:tcPr>
          <w:p w14:paraId="203DC94C" w14:textId="77777777" w:rsidR="00C03313" w:rsidRPr="00C03313" w:rsidRDefault="00C03313" w:rsidP="00E845E5">
            <w:pPr>
              <w:rPr>
                <w:rFonts w:cstheme="minorHAnsi"/>
                <w:b/>
                <w:lang w:val="en-US"/>
              </w:rPr>
            </w:pPr>
            <w:r w:rsidRPr="00C03313">
              <w:rPr>
                <w:rFonts w:cstheme="minorHAnsi"/>
                <w:b/>
                <w:lang w:val="en-US"/>
              </w:rPr>
              <w:t>Type:</w:t>
            </w:r>
          </w:p>
        </w:tc>
        <w:tc>
          <w:tcPr>
            <w:tcW w:w="5993" w:type="dxa"/>
          </w:tcPr>
          <w:p w14:paraId="7D603BC7" w14:textId="77777777" w:rsidR="00C03313" w:rsidRPr="00C03313" w:rsidRDefault="004A6CD4" w:rsidP="00E845E5">
            <w:pPr>
              <w:rPr>
                <w:rFonts w:cstheme="minorHAnsi"/>
                <w:lang w:val="en-US"/>
              </w:rPr>
            </w:pPr>
            <w:r>
              <w:rPr>
                <w:rFonts w:cstheme="minorHAnsi"/>
                <w:lang w:val="en-US"/>
              </w:rPr>
              <w:t>Ranger Services - Dogs</w:t>
            </w:r>
          </w:p>
        </w:tc>
      </w:tr>
      <w:tr w:rsidR="00C03313" w:rsidRPr="00C03313" w14:paraId="437564E4" w14:textId="77777777" w:rsidTr="004A6CD4">
        <w:tc>
          <w:tcPr>
            <w:tcW w:w="3023" w:type="dxa"/>
          </w:tcPr>
          <w:p w14:paraId="53C9CFF9" w14:textId="77777777" w:rsidR="00C03313" w:rsidRPr="00C03313" w:rsidRDefault="00C03313" w:rsidP="00E845E5">
            <w:pPr>
              <w:rPr>
                <w:rFonts w:cstheme="minorHAnsi"/>
                <w:b/>
                <w:lang w:val="en-US"/>
              </w:rPr>
            </w:pPr>
            <w:r w:rsidRPr="00C03313">
              <w:rPr>
                <w:rFonts w:cstheme="minorHAnsi"/>
                <w:b/>
                <w:lang w:val="en-US"/>
              </w:rPr>
              <w:t>Legislation:</w:t>
            </w:r>
          </w:p>
        </w:tc>
        <w:tc>
          <w:tcPr>
            <w:tcW w:w="5993" w:type="dxa"/>
          </w:tcPr>
          <w:p w14:paraId="003C5DC0" w14:textId="77777777" w:rsidR="00C03313" w:rsidRPr="00C03313" w:rsidRDefault="00C03313" w:rsidP="00E845E5">
            <w:pPr>
              <w:rPr>
                <w:rFonts w:cstheme="minorHAnsi"/>
              </w:rPr>
            </w:pPr>
            <w:r w:rsidRPr="00C03313">
              <w:rPr>
                <w:rFonts w:cstheme="minorHAnsi"/>
                <w:i/>
              </w:rPr>
              <w:t>Dog Act 1976</w:t>
            </w:r>
            <w:r w:rsidRPr="00C03313">
              <w:rPr>
                <w:rFonts w:cstheme="minorHAnsi"/>
              </w:rPr>
              <w:t xml:space="preserve"> (as amended)</w:t>
            </w:r>
          </w:p>
          <w:p w14:paraId="26E53D82" w14:textId="77777777" w:rsidR="00C03313" w:rsidRPr="00C03313" w:rsidRDefault="00C03313" w:rsidP="00E845E5">
            <w:pPr>
              <w:rPr>
                <w:rFonts w:cstheme="minorHAnsi"/>
                <w:lang w:val="en-US"/>
              </w:rPr>
            </w:pPr>
            <w:r w:rsidRPr="00C03313">
              <w:rPr>
                <w:rFonts w:cstheme="minorHAnsi"/>
                <w:i/>
              </w:rPr>
              <w:t>Dog Regulations 2013</w:t>
            </w:r>
            <w:r w:rsidRPr="00C03313">
              <w:rPr>
                <w:rFonts w:cstheme="minorHAnsi"/>
              </w:rPr>
              <w:t xml:space="preserve"> (as amended)  </w:t>
            </w:r>
          </w:p>
        </w:tc>
      </w:tr>
      <w:tr w:rsidR="00C03313" w:rsidRPr="00C03313" w14:paraId="069F20D0" w14:textId="77777777" w:rsidTr="004A6CD4">
        <w:tc>
          <w:tcPr>
            <w:tcW w:w="3023" w:type="dxa"/>
          </w:tcPr>
          <w:p w14:paraId="09AC5DB1" w14:textId="77777777" w:rsidR="00C03313" w:rsidRPr="00C03313" w:rsidRDefault="00C03313" w:rsidP="00E845E5">
            <w:pPr>
              <w:rPr>
                <w:rFonts w:cstheme="minorHAnsi"/>
                <w:b/>
                <w:lang w:val="en-US"/>
              </w:rPr>
            </w:pPr>
            <w:r w:rsidRPr="00C03313">
              <w:rPr>
                <w:rFonts w:cstheme="minorHAnsi"/>
                <w:b/>
                <w:lang w:val="en-US"/>
              </w:rPr>
              <w:t>Delegation:</w:t>
            </w:r>
          </w:p>
        </w:tc>
        <w:tc>
          <w:tcPr>
            <w:tcW w:w="5993" w:type="dxa"/>
          </w:tcPr>
          <w:p w14:paraId="34930121" w14:textId="77777777" w:rsidR="00C03313" w:rsidRPr="00C03313" w:rsidRDefault="00C03313" w:rsidP="00E845E5">
            <w:pPr>
              <w:rPr>
                <w:rFonts w:cstheme="minorHAnsi"/>
                <w:lang w:val="en-US"/>
              </w:rPr>
            </w:pPr>
            <w:r w:rsidRPr="00C03313">
              <w:rPr>
                <w:rFonts w:cstheme="minorHAnsi"/>
                <w:lang w:val="en-US"/>
              </w:rPr>
              <w:t xml:space="preserve">DA21 Appointment of </w:t>
            </w:r>
            <w:proofErr w:type="spellStart"/>
            <w:r w:rsidRPr="00C03313">
              <w:rPr>
                <w:rFonts w:cstheme="minorHAnsi"/>
                <w:lang w:val="en-US"/>
              </w:rPr>
              <w:t>Authorised</w:t>
            </w:r>
            <w:proofErr w:type="spellEnd"/>
            <w:r w:rsidRPr="00C03313">
              <w:rPr>
                <w:rFonts w:cstheme="minorHAnsi"/>
                <w:lang w:val="en-US"/>
              </w:rPr>
              <w:t xml:space="preserve"> Officers </w:t>
            </w:r>
          </w:p>
        </w:tc>
      </w:tr>
      <w:tr w:rsidR="00C03313" w:rsidRPr="00C03313" w14:paraId="0505220C" w14:textId="77777777" w:rsidTr="004A6CD4">
        <w:tc>
          <w:tcPr>
            <w:tcW w:w="3023" w:type="dxa"/>
          </w:tcPr>
          <w:p w14:paraId="21BA8C87" w14:textId="77777777" w:rsidR="00C03313" w:rsidRPr="00C03313" w:rsidRDefault="00C03313" w:rsidP="00E845E5">
            <w:pPr>
              <w:rPr>
                <w:rFonts w:cstheme="minorHAnsi"/>
                <w:b/>
                <w:lang w:val="en-US"/>
              </w:rPr>
            </w:pPr>
            <w:r w:rsidRPr="00C03313">
              <w:rPr>
                <w:rFonts w:cstheme="minorHAnsi"/>
                <w:b/>
                <w:lang w:val="en-US"/>
              </w:rPr>
              <w:t>Other Related Document:</w:t>
            </w:r>
          </w:p>
        </w:tc>
        <w:tc>
          <w:tcPr>
            <w:tcW w:w="5993" w:type="dxa"/>
          </w:tcPr>
          <w:p w14:paraId="0CADDD08" w14:textId="77777777" w:rsidR="00C03313" w:rsidRPr="00C03313" w:rsidRDefault="00C03313" w:rsidP="00E845E5">
            <w:pPr>
              <w:rPr>
                <w:rFonts w:cstheme="minorHAnsi"/>
                <w:lang w:val="en-US"/>
              </w:rPr>
            </w:pPr>
          </w:p>
        </w:tc>
      </w:tr>
    </w:tbl>
    <w:p w14:paraId="30F7EB4B" w14:textId="77777777" w:rsidR="00C03313" w:rsidRPr="00C03313" w:rsidRDefault="00C03313" w:rsidP="00C03313">
      <w:pPr>
        <w:spacing w:before="240" w:after="0"/>
        <w:rPr>
          <w:b/>
          <w:sz w:val="28"/>
          <w:szCs w:val="28"/>
        </w:rPr>
      </w:pPr>
      <w:r w:rsidRPr="00C03313">
        <w:rPr>
          <w:b/>
          <w:sz w:val="28"/>
          <w:szCs w:val="28"/>
        </w:rPr>
        <w:t>Objective</w:t>
      </w:r>
    </w:p>
    <w:p w14:paraId="320A7A48" w14:textId="77777777" w:rsidR="00C03313" w:rsidRPr="00C03313" w:rsidRDefault="00C03313" w:rsidP="00FC6FDE">
      <w:pPr>
        <w:spacing w:after="60" w:line="240" w:lineRule="auto"/>
        <w:jc w:val="both"/>
        <w:rPr>
          <w:rFonts w:cstheme="minorHAnsi"/>
        </w:rPr>
      </w:pPr>
      <w:r w:rsidRPr="00C03313">
        <w:rPr>
          <w:rFonts w:cstheme="minorHAnsi"/>
        </w:rPr>
        <w:t>The purpose of this policy is two-fold:</w:t>
      </w:r>
    </w:p>
    <w:p w14:paraId="5701F46C" w14:textId="77777777" w:rsidR="00C03313" w:rsidRPr="00C03313" w:rsidRDefault="00C03313" w:rsidP="00FC6FDE">
      <w:pPr>
        <w:spacing w:after="60" w:line="240" w:lineRule="auto"/>
        <w:ind w:left="426" w:hanging="426"/>
        <w:jc w:val="both"/>
        <w:rPr>
          <w:rFonts w:cstheme="minorHAnsi"/>
        </w:rPr>
      </w:pPr>
      <w:r w:rsidRPr="00C03313">
        <w:rPr>
          <w:rFonts w:cstheme="minorHAnsi"/>
        </w:rPr>
        <w:t>(a)</w:t>
      </w:r>
      <w:r w:rsidRPr="00C03313">
        <w:rPr>
          <w:rFonts w:cstheme="minorHAnsi"/>
        </w:rPr>
        <w:tab/>
        <w:t>to provide guidance to authorised Town Officer’s in relation to the procedures to be followed prior to the issuance of a Dangerous Dog Declaration.</w:t>
      </w:r>
    </w:p>
    <w:p w14:paraId="010AAC07" w14:textId="77777777" w:rsidR="00C03313" w:rsidRPr="00C03313" w:rsidRDefault="00C03313" w:rsidP="00FC6FDE">
      <w:pPr>
        <w:spacing w:after="0" w:line="240" w:lineRule="auto"/>
        <w:ind w:left="425" w:hanging="425"/>
        <w:jc w:val="both"/>
        <w:rPr>
          <w:rFonts w:cstheme="minorHAnsi"/>
          <w:lang w:val="en-US"/>
        </w:rPr>
      </w:pPr>
      <w:r w:rsidRPr="00C03313">
        <w:rPr>
          <w:rFonts w:cstheme="minorHAnsi"/>
        </w:rPr>
        <w:t>(b)</w:t>
      </w:r>
      <w:r w:rsidRPr="00C03313">
        <w:rPr>
          <w:rFonts w:cstheme="minorHAnsi"/>
        </w:rPr>
        <w:tab/>
        <w:t>to ensure that Dangerous Dog Declarations are made in a fair and impartial manner based on in depth investigations of alleged dog attacks either within the municipal boundaries or by dogs domiciled within the municipal boundaries.</w:t>
      </w:r>
    </w:p>
    <w:p w14:paraId="11764563" w14:textId="77777777" w:rsidR="00C03313" w:rsidRPr="00C03313" w:rsidRDefault="00C03313" w:rsidP="00FC6FDE">
      <w:pPr>
        <w:spacing w:before="200" w:after="0" w:line="240" w:lineRule="auto"/>
        <w:rPr>
          <w:b/>
          <w:sz w:val="28"/>
          <w:szCs w:val="28"/>
          <w:lang w:val="en-US"/>
        </w:rPr>
      </w:pPr>
      <w:r w:rsidRPr="00C03313">
        <w:rPr>
          <w:b/>
          <w:sz w:val="28"/>
          <w:szCs w:val="28"/>
          <w:lang w:val="en-US"/>
        </w:rPr>
        <w:t xml:space="preserve">Policy Statement </w:t>
      </w:r>
    </w:p>
    <w:p w14:paraId="0150AD54" w14:textId="77777777" w:rsidR="00C03313" w:rsidRPr="00C03313" w:rsidRDefault="00C03313" w:rsidP="00FC6FDE">
      <w:pPr>
        <w:spacing w:line="240" w:lineRule="auto"/>
        <w:jc w:val="both"/>
        <w:rPr>
          <w:rFonts w:cstheme="minorHAnsi"/>
        </w:rPr>
      </w:pPr>
      <w:r w:rsidRPr="00C03313">
        <w:rPr>
          <w:rFonts w:cstheme="minorHAnsi"/>
        </w:rPr>
        <w:t xml:space="preserve">In accordance with the </w:t>
      </w:r>
      <w:r w:rsidRPr="00C03313">
        <w:rPr>
          <w:rFonts w:cstheme="minorHAnsi"/>
          <w:i/>
        </w:rPr>
        <w:t xml:space="preserve">Dog Act 1976 </w:t>
      </w:r>
      <w:r w:rsidRPr="00C03313">
        <w:rPr>
          <w:rFonts w:cstheme="minorHAnsi"/>
        </w:rPr>
        <w:t xml:space="preserve">(as amended), Council has the responsibility for issuing Dangerous Dog Declarations under the following </w:t>
      </w:r>
      <w:proofErr w:type="gramStart"/>
      <w:r w:rsidRPr="00C03313">
        <w:rPr>
          <w:rFonts w:cstheme="minorHAnsi"/>
        </w:rPr>
        <w:t>circumstances:-</w:t>
      </w:r>
      <w:proofErr w:type="gramEnd"/>
    </w:p>
    <w:p w14:paraId="0F161DA3" w14:textId="77777777" w:rsidR="00C03313" w:rsidRPr="00C03313" w:rsidRDefault="00C03313" w:rsidP="00FC6FDE">
      <w:pPr>
        <w:autoSpaceDE w:val="0"/>
        <w:autoSpaceDN w:val="0"/>
        <w:adjustRightInd w:val="0"/>
        <w:spacing w:after="0" w:line="240" w:lineRule="auto"/>
        <w:jc w:val="both"/>
        <w:rPr>
          <w:rFonts w:cstheme="minorHAnsi"/>
          <w:b/>
          <w:lang w:eastAsia="en-AU"/>
        </w:rPr>
      </w:pPr>
      <w:r w:rsidRPr="00C03313">
        <w:rPr>
          <w:rFonts w:cstheme="minorHAnsi"/>
          <w:b/>
          <w:i/>
          <w:lang w:eastAsia="en-AU"/>
        </w:rPr>
        <w:t>Section 33E</w:t>
      </w:r>
      <w:r w:rsidRPr="00C03313">
        <w:rPr>
          <w:rFonts w:cstheme="minorHAnsi"/>
          <w:b/>
          <w:lang w:eastAsia="en-AU"/>
        </w:rPr>
        <w:t>. Individual dog may be declared to be dangerous dog (declared)</w:t>
      </w:r>
    </w:p>
    <w:p w14:paraId="5E7BB531" w14:textId="77777777" w:rsidR="00C03313" w:rsidRPr="00C03313" w:rsidRDefault="00C03313" w:rsidP="00FC6FDE">
      <w:pPr>
        <w:autoSpaceDE w:val="0"/>
        <w:autoSpaceDN w:val="0"/>
        <w:adjustRightInd w:val="0"/>
        <w:spacing w:after="60" w:line="240" w:lineRule="auto"/>
        <w:ind w:left="426" w:hanging="426"/>
        <w:jc w:val="both"/>
        <w:rPr>
          <w:rFonts w:cstheme="minorHAnsi"/>
          <w:lang w:eastAsia="en-AU"/>
        </w:rPr>
      </w:pPr>
      <w:r w:rsidRPr="00C03313">
        <w:rPr>
          <w:rFonts w:cstheme="minorHAnsi"/>
          <w:lang w:eastAsia="en-AU"/>
        </w:rPr>
        <w:t xml:space="preserve">(1) </w:t>
      </w:r>
      <w:r w:rsidRPr="00C03313">
        <w:rPr>
          <w:rFonts w:cstheme="minorHAnsi"/>
          <w:lang w:eastAsia="en-AU"/>
        </w:rPr>
        <w:tab/>
        <w:t>A local government, or on behalf of the local government an authorised person or person specifically authorised by the local government for the purposes of this section either generally or in a particular case, may, by a notice in writing given in accordance with section 33F, declare an individual dog to be a dangerous dog (declared) if, in the opinion of the local government or that person —</w:t>
      </w:r>
    </w:p>
    <w:p w14:paraId="4AE3049F" w14:textId="77777777" w:rsidR="00C03313" w:rsidRPr="00C03313" w:rsidRDefault="00C03313" w:rsidP="00FC6FDE">
      <w:pPr>
        <w:autoSpaceDE w:val="0"/>
        <w:autoSpaceDN w:val="0"/>
        <w:adjustRightInd w:val="0"/>
        <w:spacing w:after="60" w:line="240" w:lineRule="auto"/>
        <w:ind w:left="851" w:hanging="425"/>
        <w:rPr>
          <w:rFonts w:cstheme="minorHAnsi"/>
          <w:lang w:eastAsia="en-AU"/>
        </w:rPr>
      </w:pPr>
      <w:r w:rsidRPr="00C03313">
        <w:rPr>
          <w:rFonts w:cstheme="minorHAnsi"/>
          <w:lang w:eastAsia="en-AU"/>
        </w:rPr>
        <w:t xml:space="preserve">(a) </w:t>
      </w:r>
      <w:r w:rsidRPr="00C03313">
        <w:rPr>
          <w:rFonts w:cstheme="minorHAnsi"/>
          <w:lang w:eastAsia="en-AU"/>
        </w:rPr>
        <w:tab/>
        <w:t>the dog has caused injury or damage by an attack on, or chasing, a person, animal or vehicle; or</w:t>
      </w:r>
    </w:p>
    <w:p w14:paraId="02353037" w14:textId="77777777" w:rsidR="00C03313" w:rsidRPr="00C03313" w:rsidRDefault="00C03313" w:rsidP="00FC6FDE">
      <w:pPr>
        <w:autoSpaceDE w:val="0"/>
        <w:autoSpaceDN w:val="0"/>
        <w:adjustRightInd w:val="0"/>
        <w:spacing w:after="60" w:line="240" w:lineRule="auto"/>
        <w:ind w:left="851" w:hanging="425"/>
        <w:rPr>
          <w:rFonts w:cstheme="minorHAnsi"/>
          <w:lang w:eastAsia="en-AU"/>
        </w:rPr>
      </w:pPr>
      <w:r w:rsidRPr="00C03313">
        <w:rPr>
          <w:rFonts w:cstheme="minorHAnsi"/>
          <w:lang w:eastAsia="en-AU"/>
        </w:rPr>
        <w:t xml:space="preserve">(b) </w:t>
      </w:r>
      <w:r w:rsidRPr="00C03313">
        <w:rPr>
          <w:rFonts w:cstheme="minorHAnsi"/>
          <w:lang w:eastAsia="en-AU"/>
        </w:rPr>
        <w:tab/>
        <w:t>the dog has, repeatedly, shown a tendency —</w:t>
      </w:r>
    </w:p>
    <w:p w14:paraId="4D876966" w14:textId="77777777" w:rsidR="00C03313" w:rsidRPr="00C03313" w:rsidRDefault="00C03313" w:rsidP="00FC6FDE">
      <w:pPr>
        <w:autoSpaceDE w:val="0"/>
        <w:autoSpaceDN w:val="0"/>
        <w:adjustRightInd w:val="0"/>
        <w:spacing w:after="60" w:line="240" w:lineRule="auto"/>
        <w:ind w:left="1276" w:hanging="425"/>
        <w:rPr>
          <w:rFonts w:cstheme="minorHAnsi"/>
          <w:lang w:eastAsia="en-AU"/>
        </w:rPr>
      </w:pPr>
      <w:r w:rsidRPr="00C03313">
        <w:rPr>
          <w:rFonts w:cstheme="minorHAnsi"/>
          <w:lang w:eastAsia="en-AU"/>
        </w:rPr>
        <w:t>(</w:t>
      </w:r>
      <w:proofErr w:type="spellStart"/>
      <w:r w:rsidRPr="00C03313">
        <w:rPr>
          <w:rFonts w:cstheme="minorHAnsi"/>
          <w:lang w:eastAsia="en-AU"/>
        </w:rPr>
        <w:t>i</w:t>
      </w:r>
      <w:proofErr w:type="spellEnd"/>
      <w:r w:rsidRPr="00C03313">
        <w:rPr>
          <w:rFonts w:cstheme="minorHAnsi"/>
          <w:lang w:eastAsia="en-AU"/>
        </w:rPr>
        <w:t xml:space="preserve">) </w:t>
      </w:r>
      <w:r w:rsidRPr="00C03313">
        <w:rPr>
          <w:rFonts w:cstheme="minorHAnsi"/>
          <w:lang w:eastAsia="en-AU"/>
        </w:rPr>
        <w:tab/>
        <w:t>to attack, or chase, a person, animal or vehicle even though no injury has been caused by that behaviour; or</w:t>
      </w:r>
    </w:p>
    <w:p w14:paraId="5EE34978" w14:textId="77777777" w:rsidR="00C03313" w:rsidRPr="00C03313" w:rsidRDefault="00C03313" w:rsidP="00FC6FDE">
      <w:pPr>
        <w:autoSpaceDE w:val="0"/>
        <w:autoSpaceDN w:val="0"/>
        <w:adjustRightInd w:val="0"/>
        <w:spacing w:after="60" w:line="240" w:lineRule="auto"/>
        <w:ind w:left="1276" w:hanging="425"/>
        <w:rPr>
          <w:rFonts w:cstheme="minorHAnsi"/>
          <w:lang w:eastAsia="en-AU"/>
        </w:rPr>
      </w:pPr>
      <w:r w:rsidRPr="00C03313">
        <w:rPr>
          <w:rFonts w:cstheme="minorHAnsi"/>
          <w:lang w:eastAsia="en-AU"/>
        </w:rPr>
        <w:t xml:space="preserve">(ii) </w:t>
      </w:r>
      <w:r w:rsidRPr="00C03313">
        <w:rPr>
          <w:rFonts w:cstheme="minorHAnsi"/>
          <w:lang w:eastAsia="en-AU"/>
        </w:rPr>
        <w:tab/>
        <w:t>to threaten to attack; or</w:t>
      </w:r>
    </w:p>
    <w:p w14:paraId="50866226" w14:textId="77777777" w:rsidR="00C03313" w:rsidRPr="00C03313" w:rsidRDefault="00C03313" w:rsidP="00FC6FDE">
      <w:pPr>
        <w:autoSpaceDE w:val="0"/>
        <w:autoSpaceDN w:val="0"/>
        <w:adjustRightInd w:val="0"/>
        <w:spacing w:after="0" w:line="240" w:lineRule="auto"/>
        <w:ind w:left="851" w:hanging="425"/>
        <w:rPr>
          <w:rFonts w:cstheme="minorHAnsi"/>
          <w:lang w:eastAsia="en-AU"/>
        </w:rPr>
      </w:pPr>
      <w:r w:rsidRPr="00C03313">
        <w:rPr>
          <w:rFonts w:cstheme="minorHAnsi"/>
          <w:lang w:eastAsia="en-AU"/>
        </w:rPr>
        <w:t xml:space="preserve">(c) </w:t>
      </w:r>
      <w:r w:rsidRPr="00C03313">
        <w:rPr>
          <w:rFonts w:cstheme="minorHAnsi"/>
          <w:lang w:eastAsia="en-AU"/>
        </w:rPr>
        <w:tab/>
        <w:t>the behaviour of the dog meets other criteria prescribed for the purpose of this section.</w:t>
      </w:r>
    </w:p>
    <w:p w14:paraId="4E7038AD" w14:textId="77777777" w:rsidR="00C03313" w:rsidRPr="004A6CD4" w:rsidRDefault="00C03313" w:rsidP="00FC6FDE">
      <w:pPr>
        <w:spacing w:before="200" w:after="0" w:line="240" w:lineRule="auto"/>
        <w:rPr>
          <w:b/>
          <w:sz w:val="28"/>
          <w:szCs w:val="28"/>
        </w:rPr>
      </w:pPr>
      <w:r w:rsidRPr="004A6CD4">
        <w:rPr>
          <w:b/>
          <w:sz w:val="28"/>
          <w:szCs w:val="28"/>
        </w:rPr>
        <w:t xml:space="preserve">Policy </w:t>
      </w:r>
    </w:p>
    <w:p w14:paraId="423B1BC4" w14:textId="77777777" w:rsidR="00C03313" w:rsidRPr="00C03313" w:rsidRDefault="00C03313" w:rsidP="00FC6FDE">
      <w:pPr>
        <w:spacing w:line="240" w:lineRule="auto"/>
        <w:jc w:val="both"/>
        <w:rPr>
          <w:rFonts w:cstheme="minorHAnsi"/>
        </w:rPr>
      </w:pPr>
      <w:r w:rsidRPr="00C03313">
        <w:rPr>
          <w:rFonts w:cstheme="minorHAnsi"/>
        </w:rPr>
        <w:t>The Town of East Fremantle will ensure that all reports of alleged dog attacks (both dog on human and dog on other animal) are investigated professionally, impartially and within as timely a manner as practical.</w:t>
      </w:r>
    </w:p>
    <w:p w14:paraId="70A4FCA7" w14:textId="77777777" w:rsidR="00C03313" w:rsidRPr="00C03313" w:rsidRDefault="00C03313" w:rsidP="00FC6FDE">
      <w:pPr>
        <w:spacing w:after="60" w:line="240" w:lineRule="auto"/>
        <w:jc w:val="both"/>
        <w:rPr>
          <w:rFonts w:cstheme="minorHAnsi"/>
        </w:rPr>
      </w:pPr>
      <w:r w:rsidRPr="00C03313">
        <w:rPr>
          <w:rFonts w:cstheme="minorHAnsi"/>
        </w:rPr>
        <w:t xml:space="preserve">At the conclusion of the investigative process, the authorised investigating officer will submit a report to the Senior Ranger containing the following documentation if </w:t>
      </w:r>
      <w:proofErr w:type="gramStart"/>
      <w:r w:rsidRPr="00C03313">
        <w:rPr>
          <w:rFonts w:cstheme="minorHAnsi"/>
        </w:rPr>
        <w:t>available:-</w:t>
      </w:r>
      <w:proofErr w:type="gramEnd"/>
    </w:p>
    <w:p w14:paraId="047D7354" w14:textId="77777777" w:rsidR="00C03313" w:rsidRPr="00C03313" w:rsidRDefault="00C03313" w:rsidP="00FC6FDE">
      <w:pPr>
        <w:spacing w:after="60" w:line="240" w:lineRule="auto"/>
        <w:ind w:left="426" w:hanging="437"/>
        <w:jc w:val="both"/>
        <w:rPr>
          <w:rFonts w:cstheme="minorHAnsi"/>
        </w:rPr>
      </w:pPr>
      <w:r w:rsidRPr="00C03313">
        <w:rPr>
          <w:rFonts w:cstheme="minorHAnsi"/>
        </w:rPr>
        <w:t>(a)</w:t>
      </w:r>
      <w:r w:rsidRPr="00C03313">
        <w:rPr>
          <w:rFonts w:cstheme="minorHAnsi"/>
        </w:rPr>
        <w:tab/>
        <w:t xml:space="preserve">a written initial incident/occurrence </w:t>
      </w:r>
      <w:proofErr w:type="gramStart"/>
      <w:r w:rsidRPr="00C03313">
        <w:rPr>
          <w:rFonts w:cstheme="minorHAnsi"/>
        </w:rPr>
        <w:t>report;</w:t>
      </w:r>
      <w:proofErr w:type="gramEnd"/>
    </w:p>
    <w:p w14:paraId="5BBE1D47" w14:textId="77777777" w:rsidR="00C03313" w:rsidRPr="00C03313" w:rsidRDefault="00C03313" w:rsidP="00FC6FDE">
      <w:pPr>
        <w:spacing w:after="60" w:line="240" w:lineRule="auto"/>
        <w:ind w:left="426" w:hanging="437"/>
        <w:jc w:val="both"/>
        <w:rPr>
          <w:rFonts w:cstheme="minorHAnsi"/>
        </w:rPr>
      </w:pPr>
      <w:r w:rsidRPr="00C03313">
        <w:rPr>
          <w:rFonts w:cstheme="minorHAnsi"/>
        </w:rPr>
        <w:t>(b)</w:t>
      </w:r>
      <w:r w:rsidRPr="00C03313">
        <w:rPr>
          <w:rFonts w:cstheme="minorHAnsi"/>
        </w:rPr>
        <w:tab/>
        <w:t xml:space="preserve">written statements from all injured parties who are willing to submit such </w:t>
      </w:r>
      <w:proofErr w:type="gramStart"/>
      <w:r w:rsidRPr="00C03313">
        <w:rPr>
          <w:rFonts w:cstheme="minorHAnsi"/>
        </w:rPr>
        <w:t>statements;</w:t>
      </w:r>
      <w:proofErr w:type="gramEnd"/>
    </w:p>
    <w:p w14:paraId="27761CBD" w14:textId="77777777" w:rsidR="00C03313" w:rsidRPr="00C03313" w:rsidRDefault="00C03313" w:rsidP="00FC6FDE">
      <w:pPr>
        <w:spacing w:after="60" w:line="240" w:lineRule="auto"/>
        <w:ind w:left="426" w:hanging="437"/>
        <w:jc w:val="both"/>
        <w:rPr>
          <w:rFonts w:cstheme="minorHAnsi"/>
        </w:rPr>
      </w:pPr>
      <w:r w:rsidRPr="00C03313">
        <w:rPr>
          <w:rFonts w:cstheme="minorHAnsi"/>
        </w:rPr>
        <w:t>(c)</w:t>
      </w:r>
      <w:r w:rsidRPr="00C03313">
        <w:rPr>
          <w:rFonts w:cstheme="minorHAnsi"/>
        </w:rPr>
        <w:tab/>
        <w:t xml:space="preserve">written statements from witnesses who are willing to submit such </w:t>
      </w:r>
      <w:proofErr w:type="gramStart"/>
      <w:r w:rsidRPr="00C03313">
        <w:rPr>
          <w:rFonts w:cstheme="minorHAnsi"/>
        </w:rPr>
        <w:t>statements;</w:t>
      </w:r>
      <w:proofErr w:type="gramEnd"/>
    </w:p>
    <w:p w14:paraId="7939405E" w14:textId="77777777" w:rsidR="00C03313" w:rsidRPr="00C03313" w:rsidRDefault="00C03313" w:rsidP="00FC6FDE">
      <w:pPr>
        <w:spacing w:after="60" w:line="240" w:lineRule="auto"/>
        <w:ind w:left="426" w:hanging="437"/>
        <w:jc w:val="both"/>
        <w:rPr>
          <w:rFonts w:cstheme="minorHAnsi"/>
        </w:rPr>
      </w:pPr>
      <w:r w:rsidRPr="00C03313">
        <w:rPr>
          <w:rFonts w:cstheme="minorHAnsi"/>
        </w:rPr>
        <w:lastRenderedPageBreak/>
        <w:t>(d)</w:t>
      </w:r>
      <w:r w:rsidRPr="00C03313">
        <w:rPr>
          <w:rFonts w:cstheme="minorHAnsi"/>
        </w:rPr>
        <w:tab/>
        <w:t xml:space="preserve">written statements from the dog’s owner should they be willing to submit such statements. Should the owner decline to be interviewed formally by the investigating officer or decline to submit any voluntary statement then a record of times and dates that such refusals occurred are to be reported in writing by the authorised investigating </w:t>
      </w:r>
      <w:proofErr w:type="gramStart"/>
      <w:r w:rsidRPr="00C03313">
        <w:rPr>
          <w:rFonts w:cstheme="minorHAnsi"/>
        </w:rPr>
        <w:t>officer;</w:t>
      </w:r>
      <w:proofErr w:type="gramEnd"/>
    </w:p>
    <w:p w14:paraId="246761D1" w14:textId="77777777" w:rsidR="00C03313" w:rsidRPr="00C03313" w:rsidRDefault="00C03313" w:rsidP="00FC6FDE">
      <w:pPr>
        <w:spacing w:after="60" w:line="240" w:lineRule="auto"/>
        <w:ind w:left="426" w:hanging="437"/>
        <w:jc w:val="both"/>
        <w:rPr>
          <w:rFonts w:cstheme="minorHAnsi"/>
        </w:rPr>
      </w:pPr>
      <w:r w:rsidRPr="00C03313">
        <w:rPr>
          <w:rFonts w:cstheme="minorHAnsi"/>
        </w:rPr>
        <w:t>(e)</w:t>
      </w:r>
      <w:r w:rsidRPr="00C03313">
        <w:rPr>
          <w:rFonts w:cstheme="minorHAnsi"/>
        </w:rPr>
        <w:tab/>
        <w:t xml:space="preserve">written records and photographs of all physical injuries or personal property damaged sustained by each injured </w:t>
      </w:r>
      <w:proofErr w:type="gramStart"/>
      <w:r w:rsidRPr="00C03313">
        <w:rPr>
          <w:rFonts w:cstheme="minorHAnsi"/>
        </w:rPr>
        <w:t>party;</w:t>
      </w:r>
      <w:proofErr w:type="gramEnd"/>
    </w:p>
    <w:p w14:paraId="2D205895" w14:textId="77777777" w:rsidR="00C03313" w:rsidRPr="00C03313" w:rsidRDefault="00C03313" w:rsidP="00FC6FDE">
      <w:pPr>
        <w:spacing w:after="60" w:line="240" w:lineRule="auto"/>
        <w:ind w:left="426" w:hanging="437"/>
        <w:jc w:val="both"/>
        <w:rPr>
          <w:rFonts w:cstheme="minorHAnsi"/>
        </w:rPr>
      </w:pPr>
      <w:r w:rsidRPr="00C03313">
        <w:rPr>
          <w:rFonts w:cstheme="minorHAnsi"/>
        </w:rPr>
        <w:t>(f)</w:t>
      </w:r>
      <w:r w:rsidRPr="00C03313">
        <w:rPr>
          <w:rFonts w:cstheme="minorHAnsi"/>
        </w:rPr>
        <w:tab/>
        <w:t xml:space="preserve">copies of all medical receipts for injuries sustained in the </w:t>
      </w:r>
      <w:proofErr w:type="gramStart"/>
      <w:r w:rsidRPr="00C03313">
        <w:rPr>
          <w:rFonts w:cstheme="minorHAnsi"/>
        </w:rPr>
        <w:t>attack;</w:t>
      </w:r>
      <w:proofErr w:type="gramEnd"/>
    </w:p>
    <w:p w14:paraId="4CF314CF" w14:textId="77777777" w:rsidR="00C03313" w:rsidRPr="00C03313" w:rsidRDefault="00C03313" w:rsidP="00FC6FDE">
      <w:pPr>
        <w:spacing w:after="60" w:line="240" w:lineRule="auto"/>
        <w:ind w:left="426" w:hanging="437"/>
        <w:jc w:val="both"/>
        <w:rPr>
          <w:rFonts w:cstheme="minorHAnsi"/>
        </w:rPr>
      </w:pPr>
      <w:r w:rsidRPr="00C03313">
        <w:rPr>
          <w:rFonts w:cstheme="minorHAnsi"/>
        </w:rPr>
        <w:t>(g)</w:t>
      </w:r>
      <w:r w:rsidRPr="00C03313">
        <w:rPr>
          <w:rFonts w:cstheme="minorHAnsi"/>
        </w:rPr>
        <w:tab/>
        <w:t xml:space="preserve">copies of all receipts for all personal property damage damaged in the </w:t>
      </w:r>
      <w:proofErr w:type="gramStart"/>
      <w:r w:rsidRPr="00C03313">
        <w:rPr>
          <w:rFonts w:cstheme="minorHAnsi"/>
        </w:rPr>
        <w:t>attack;</w:t>
      </w:r>
      <w:proofErr w:type="gramEnd"/>
    </w:p>
    <w:p w14:paraId="24722A62" w14:textId="77777777" w:rsidR="00C03313" w:rsidRPr="00C03313" w:rsidRDefault="00C03313" w:rsidP="00FC6FDE">
      <w:pPr>
        <w:spacing w:after="60" w:line="240" w:lineRule="auto"/>
        <w:ind w:left="426" w:hanging="437"/>
        <w:jc w:val="both"/>
        <w:rPr>
          <w:rFonts w:cstheme="minorHAnsi"/>
        </w:rPr>
      </w:pPr>
      <w:r w:rsidRPr="00C03313">
        <w:rPr>
          <w:rFonts w:cstheme="minorHAnsi"/>
        </w:rPr>
        <w:t>(h)</w:t>
      </w:r>
      <w:r w:rsidRPr="00C03313">
        <w:rPr>
          <w:rFonts w:cstheme="minorHAnsi"/>
        </w:rPr>
        <w:tab/>
        <w:t xml:space="preserve">written record of any voluntary surrender or euthanasia forms signed and submitted by the </w:t>
      </w:r>
      <w:proofErr w:type="gramStart"/>
      <w:r w:rsidRPr="00C03313">
        <w:rPr>
          <w:rFonts w:cstheme="minorHAnsi"/>
        </w:rPr>
        <w:t>owner;</w:t>
      </w:r>
      <w:proofErr w:type="gramEnd"/>
    </w:p>
    <w:p w14:paraId="4AD0BBA1" w14:textId="77777777" w:rsidR="00C03313" w:rsidRPr="00C03313" w:rsidRDefault="00C03313" w:rsidP="00FC6FDE">
      <w:pPr>
        <w:spacing w:after="60" w:line="240" w:lineRule="auto"/>
        <w:ind w:left="426" w:hanging="437"/>
        <w:jc w:val="both"/>
        <w:rPr>
          <w:rFonts w:cstheme="minorHAnsi"/>
          <w:i/>
        </w:rPr>
      </w:pPr>
      <w:r w:rsidRPr="00C03313">
        <w:rPr>
          <w:rFonts w:cstheme="minorHAnsi"/>
        </w:rPr>
        <w:t>(</w:t>
      </w:r>
      <w:proofErr w:type="spellStart"/>
      <w:r w:rsidRPr="00C03313">
        <w:rPr>
          <w:rFonts w:cstheme="minorHAnsi"/>
        </w:rPr>
        <w:t>i</w:t>
      </w:r>
      <w:proofErr w:type="spellEnd"/>
      <w:r w:rsidRPr="00C03313">
        <w:rPr>
          <w:rFonts w:cstheme="minorHAnsi"/>
        </w:rPr>
        <w:t>)</w:t>
      </w:r>
      <w:r w:rsidRPr="00C03313">
        <w:rPr>
          <w:rFonts w:cstheme="minorHAnsi"/>
        </w:rPr>
        <w:tab/>
        <w:t xml:space="preserve">where the owner declines to voluntarily surrender the dog to Council for the term of the investigative process then a written record of Council seizure and impoundment notice issued under section </w:t>
      </w:r>
      <w:r w:rsidRPr="00C03313">
        <w:rPr>
          <w:rFonts w:cstheme="minorHAnsi"/>
          <w:i/>
        </w:rPr>
        <w:t xml:space="preserve">29(3)(a)(b)(d)(e) </w:t>
      </w:r>
      <w:r w:rsidRPr="00C03313">
        <w:rPr>
          <w:rFonts w:cstheme="minorHAnsi"/>
        </w:rPr>
        <w:t>and</w:t>
      </w:r>
      <w:r w:rsidRPr="00C03313">
        <w:rPr>
          <w:rFonts w:cstheme="minorHAnsi"/>
          <w:i/>
        </w:rPr>
        <w:t xml:space="preserve"> section 29(4)(5) of the Dog Act 1976 (as amended</w:t>
      </w:r>
      <w:proofErr w:type="gramStart"/>
      <w:r w:rsidRPr="00C03313">
        <w:rPr>
          <w:rFonts w:cstheme="minorHAnsi"/>
          <w:i/>
        </w:rPr>
        <w:t>);</w:t>
      </w:r>
      <w:proofErr w:type="gramEnd"/>
    </w:p>
    <w:p w14:paraId="44BAFB03" w14:textId="77777777" w:rsidR="00C03313" w:rsidRPr="00C03313" w:rsidRDefault="00C03313" w:rsidP="00FC6FDE">
      <w:pPr>
        <w:spacing w:after="60" w:line="240" w:lineRule="auto"/>
        <w:ind w:left="426" w:hanging="437"/>
        <w:jc w:val="both"/>
        <w:rPr>
          <w:rFonts w:cstheme="minorHAnsi"/>
        </w:rPr>
      </w:pPr>
      <w:r w:rsidRPr="00C03313">
        <w:rPr>
          <w:rFonts w:cstheme="minorHAnsi"/>
        </w:rPr>
        <w:t>(j)</w:t>
      </w:r>
      <w:r w:rsidRPr="00C03313">
        <w:rPr>
          <w:rFonts w:cstheme="minorHAnsi"/>
        </w:rPr>
        <w:tab/>
        <w:t>written record of any voluntary offer by the dog’s owner to compensate injured parties for both reasonable medical costs and damaged personal items (e.g. Clothing, watches, shoes etc.</w:t>
      </w:r>
      <w:proofErr w:type="gramStart"/>
      <w:r w:rsidRPr="00C03313">
        <w:rPr>
          <w:rFonts w:cstheme="minorHAnsi"/>
        </w:rPr>
        <w:t>);</w:t>
      </w:r>
      <w:proofErr w:type="gramEnd"/>
    </w:p>
    <w:p w14:paraId="543C6EAA" w14:textId="77777777" w:rsidR="00C03313" w:rsidRPr="00C03313" w:rsidRDefault="00C03313" w:rsidP="00FC6FDE">
      <w:pPr>
        <w:spacing w:after="60" w:line="240" w:lineRule="auto"/>
        <w:ind w:left="426" w:hanging="437"/>
        <w:jc w:val="both"/>
        <w:rPr>
          <w:rFonts w:cstheme="minorHAnsi"/>
        </w:rPr>
      </w:pPr>
      <w:r w:rsidRPr="00C03313">
        <w:rPr>
          <w:rFonts w:cstheme="minorHAnsi"/>
        </w:rPr>
        <w:t>(k)</w:t>
      </w:r>
      <w:r w:rsidRPr="00C03313">
        <w:rPr>
          <w:rFonts w:cstheme="minorHAnsi"/>
        </w:rPr>
        <w:tab/>
        <w:t xml:space="preserve">copies of all incoming payments from the dog’s owner in relation to medical and personal property damage sustained by dog attack </w:t>
      </w:r>
      <w:proofErr w:type="gramStart"/>
      <w:r w:rsidRPr="00C03313">
        <w:rPr>
          <w:rFonts w:cstheme="minorHAnsi"/>
        </w:rPr>
        <w:t>victims;</w:t>
      </w:r>
      <w:proofErr w:type="gramEnd"/>
    </w:p>
    <w:p w14:paraId="2D6E6206" w14:textId="77777777" w:rsidR="00C03313" w:rsidRPr="00C03313" w:rsidRDefault="00C03313" w:rsidP="00FC6FDE">
      <w:pPr>
        <w:spacing w:after="60" w:line="240" w:lineRule="auto"/>
        <w:ind w:left="426" w:hanging="437"/>
        <w:jc w:val="both"/>
        <w:rPr>
          <w:rFonts w:cstheme="minorHAnsi"/>
        </w:rPr>
      </w:pPr>
      <w:r w:rsidRPr="00C03313">
        <w:rPr>
          <w:rFonts w:cstheme="minorHAnsi"/>
        </w:rPr>
        <w:t>(l)</w:t>
      </w:r>
      <w:r w:rsidRPr="00C03313">
        <w:rPr>
          <w:rFonts w:cstheme="minorHAnsi"/>
        </w:rPr>
        <w:tab/>
        <w:t xml:space="preserve">copies of all Council outgoing medical and personal property disbursement payments to victims from funds received as per section “k” </w:t>
      </w:r>
      <w:proofErr w:type="gramStart"/>
      <w:r w:rsidRPr="00C03313">
        <w:rPr>
          <w:rFonts w:cstheme="minorHAnsi"/>
        </w:rPr>
        <w:t>above;</w:t>
      </w:r>
      <w:proofErr w:type="gramEnd"/>
    </w:p>
    <w:p w14:paraId="7EB35A17" w14:textId="77777777" w:rsidR="00C03313" w:rsidRPr="00C03313" w:rsidRDefault="00C03313" w:rsidP="00FC6FDE">
      <w:pPr>
        <w:spacing w:after="60" w:line="240" w:lineRule="auto"/>
        <w:ind w:left="426" w:hanging="437"/>
        <w:jc w:val="both"/>
        <w:rPr>
          <w:rFonts w:cstheme="minorHAnsi"/>
        </w:rPr>
      </w:pPr>
      <w:r w:rsidRPr="00C03313">
        <w:rPr>
          <w:rFonts w:cstheme="minorHAnsi"/>
        </w:rPr>
        <w:t>(m)</w:t>
      </w:r>
      <w:r w:rsidRPr="00C03313">
        <w:rPr>
          <w:rFonts w:cstheme="minorHAnsi"/>
        </w:rPr>
        <w:tab/>
        <w:t>any known mitigating factors in relation to the dog attack (e.g. alleged victim was seen by witnesses to be provoking the dog prior to the attack occurring</w:t>
      </w:r>
      <w:proofErr w:type="gramStart"/>
      <w:r w:rsidRPr="00C03313">
        <w:rPr>
          <w:rFonts w:cstheme="minorHAnsi"/>
        </w:rPr>
        <w:t>);</w:t>
      </w:r>
      <w:proofErr w:type="gramEnd"/>
    </w:p>
    <w:p w14:paraId="4194235C" w14:textId="77777777" w:rsidR="00C03313" w:rsidRPr="00C03313" w:rsidRDefault="00C03313" w:rsidP="00FC6FDE">
      <w:pPr>
        <w:spacing w:after="60" w:line="240" w:lineRule="auto"/>
        <w:ind w:left="426" w:hanging="437"/>
        <w:jc w:val="both"/>
        <w:rPr>
          <w:rFonts w:cstheme="minorHAnsi"/>
        </w:rPr>
      </w:pPr>
      <w:r w:rsidRPr="00C03313">
        <w:rPr>
          <w:rFonts w:cstheme="minorHAnsi"/>
        </w:rPr>
        <w:t>(n)</w:t>
      </w:r>
      <w:r w:rsidRPr="00C03313">
        <w:rPr>
          <w:rFonts w:cstheme="minorHAnsi"/>
        </w:rPr>
        <w:tab/>
        <w:t xml:space="preserve">what final outcome the injured parties feel would in their opinion be appropriate (after being advised of potential penalties available to the local government in line with the </w:t>
      </w:r>
      <w:r w:rsidRPr="00C03313">
        <w:rPr>
          <w:rFonts w:cstheme="minorHAnsi"/>
          <w:i/>
        </w:rPr>
        <w:t xml:space="preserve">Dog Act 1976 </w:t>
      </w:r>
      <w:r w:rsidRPr="00C03313">
        <w:rPr>
          <w:rFonts w:cstheme="minorHAnsi"/>
        </w:rPr>
        <w:t>(as amended</w:t>
      </w:r>
      <w:proofErr w:type="gramStart"/>
      <w:r w:rsidRPr="00C03313">
        <w:rPr>
          <w:rFonts w:cstheme="minorHAnsi"/>
        </w:rPr>
        <w:t>);</w:t>
      </w:r>
      <w:proofErr w:type="gramEnd"/>
    </w:p>
    <w:p w14:paraId="6B1D55C3" w14:textId="77777777" w:rsidR="00C03313" w:rsidRPr="00C03313" w:rsidRDefault="00C03313" w:rsidP="00FC6FDE">
      <w:pPr>
        <w:spacing w:after="60" w:line="240" w:lineRule="auto"/>
        <w:ind w:left="426" w:hanging="437"/>
        <w:jc w:val="both"/>
        <w:rPr>
          <w:rFonts w:cstheme="minorHAnsi"/>
        </w:rPr>
      </w:pPr>
      <w:r w:rsidRPr="00C03313">
        <w:rPr>
          <w:rFonts w:cstheme="minorHAnsi"/>
        </w:rPr>
        <w:t>(o)</w:t>
      </w:r>
      <w:r w:rsidRPr="00C03313">
        <w:rPr>
          <w:rFonts w:cstheme="minorHAnsi"/>
        </w:rPr>
        <w:tab/>
        <w:t xml:space="preserve">copies of any canine behavioural observation and test reports conducted by a trained and qualified behavioural assessor that was submitted by the dog’s </w:t>
      </w:r>
      <w:proofErr w:type="gramStart"/>
      <w:r w:rsidRPr="00C03313">
        <w:rPr>
          <w:rFonts w:cstheme="minorHAnsi"/>
        </w:rPr>
        <w:t>owner;</w:t>
      </w:r>
      <w:proofErr w:type="gramEnd"/>
    </w:p>
    <w:p w14:paraId="5F7015C5" w14:textId="77777777" w:rsidR="00C03313" w:rsidRPr="00C03313" w:rsidRDefault="00C03313" w:rsidP="00FC6FDE">
      <w:pPr>
        <w:spacing w:after="60" w:line="240" w:lineRule="auto"/>
        <w:ind w:left="426" w:hanging="437"/>
        <w:jc w:val="both"/>
        <w:rPr>
          <w:rFonts w:cstheme="minorHAnsi"/>
        </w:rPr>
      </w:pPr>
      <w:r w:rsidRPr="00C03313">
        <w:rPr>
          <w:rFonts w:cstheme="minorHAnsi"/>
        </w:rPr>
        <w:t>(p)</w:t>
      </w:r>
      <w:r w:rsidRPr="00C03313">
        <w:rPr>
          <w:rFonts w:cstheme="minorHAnsi"/>
        </w:rPr>
        <w:tab/>
        <w:t xml:space="preserve">copies of any canine behavioural observation and test reports conducted by a trained and qualified behavioural assessor at the request of </w:t>
      </w:r>
      <w:proofErr w:type="gramStart"/>
      <w:r w:rsidRPr="00C03313">
        <w:rPr>
          <w:rFonts w:cstheme="minorHAnsi"/>
        </w:rPr>
        <w:t>Council;</w:t>
      </w:r>
      <w:proofErr w:type="gramEnd"/>
    </w:p>
    <w:p w14:paraId="6A001130" w14:textId="77777777" w:rsidR="00C03313" w:rsidRPr="00C03313" w:rsidRDefault="00C03313" w:rsidP="00FC6FDE">
      <w:pPr>
        <w:spacing w:line="240" w:lineRule="auto"/>
        <w:ind w:left="426" w:hanging="437"/>
        <w:jc w:val="both"/>
        <w:rPr>
          <w:rFonts w:cstheme="minorHAnsi"/>
        </w:rPr>
      </w:pPr>
      <w:r w:rsidRPr="00C03313">
        <w:rPr>
          <w:rFonts w:cstheme="minorHAnsi"/>
        </w:rPr>
        <w:t>(q)</w:t>
      </w:r>
      <w:r w:rsidRPr="00C03313">
        <w:rPr>
          <w:rFonts w:cstheme="minorHAnsi"/>
        </w:rPr>
        <w:tab/>
        <w:t>the investigating officer’s final findings and penalty recommendations, based on the evidence available to him/her. Potential penalties could consist of any one or all of the following examples (e.g., dog infringement notices, Dangerous Dog Declaration and / or prosecution</w:t>
      </w:r>
      <w:proofErr w:type="gramStart"/>
      <w:r w:rsidRPr="00C03313">
        <w:rPr>
          <w:rFonts w:cstheme="minorHAnsi"/>
        </w:rPr>
        <w:t>);</w:t>
      </w:r>
      <w:proofErr w:type="gramEnd"/>
    </w:p>
    <w:p w14:paraId="1FA04A7D" w14:textId="77777777" w:rsidR="00C03313" w:rsidRPr="00C03313" w:rsidRDefault="00C03313" w:rsidP="00FC6FDE">
      <w:pPr>
        <w:spacing w:line="240" w:lineRule="auto"/>
        <w:jc w:val="both"/>
        <w:rPr>
          <w:rFonts w:cstheme="minorHAnsi"/>
        </w:rPr>
      </w:pPr>
      <w:r w:rsidRPr="00C03313">
        <w:rPr>
          <w:rFonts w:cstheme="minorHAnsi"/>
        </w:rPr>
        <w:t xml:space="preserve">Once the Senior Ranger has reviewed and discussed all relevant documentation and recommended penalties with the investigating officer, the Senior Ranger will provide the responsible Executive Manager with </w:t>
      </w:r>
      <w:proofErr w:type="gramStart"/>
      <w:r w:rsidRPr="00C03313">
        <w:rPr>
          <w:rFonts w:cstheme="minorHAnsi"/>
        </w:rPr>
        <w:t>all of</w:t>
      </w:r>
      <w:proofErr w:type="gramEnd"/>
      <w:r w:rsidRPr="00C03313">
        <w:rPr>
          <w:rFonts w:cstheme="minorHAnsi"/>
        </w:rPr>
        <w:t xml:space="preserve"> the above listed documentation and a final recommendation in relation to penalties deemed appropriate in each case.</w:t>
      </w:r>
    </w:p>
    <w:p w14:paraId="63564E09" w14:textId="77777777" w:rsidR="00C03313" w:rsidRPr="00C03313" w:rsidRDefault="00C03313" w:rsidP="00FC6FDE">
      <w:pPr>
        <w:spacing w:line="240" w:lineRule="auto"/>
        <w:jc w:val="both"/>
        <w:rPr>
          <w:rFonts w:cstheme="minorHAnsi"/>
        </w:rPr>
      </w:pPr>
      <w:r w:rsidRPr="00C03313">
        <w:rPr>
          <w:rFonts w:cstheme="minorHAnsi"/>
        </w:rPr>
        <w:t>Where the Senior Ranger’s recommended penalties are different from those of the investigating officer, the Senior Ranger will submit his/her reasons for the differing recommendation.</w:t>
      </w:r>
    </w:p>
    <w:p w14:paraId="00FCAB0E" w14:textId="77777777" w:rsidR="00C03313" w:rsidRPr="00C03313" w:rsidRDefault="00C03313" w:rsidP="00FC6FDE">
      <w:pPr>
        <w:spacing w:line="240" w:lineRule="auto"/>
        <w:jc w:val="both"/>
        <w:rPr>
          <w:rFonts w:cstheme="minorHAnsi"/>
        </w:rPr>
      </w:pPr>
      <w:r w:rsidRPr="00C03313">
        <w:rPr>
          <w:rFonts w:cstheme="minorHAnsi"/>
        </w:rPr>
        <w:t>The responsible Executive Manager will review the documentation and make the final decision in relation to what level of penalties will be instituted in each case.</w:t>
      </w:r>
    </w:p>
    <w:p w14:paraId="783AEE42" w14:textId="77777777" w:rsidR="00C03313" w:rsidRPr="00C03313" w:rsidRDefault="00C03313" w:rsidP="00FC6FDE">
      <w:pPr>
        <w:spacing w:line="240" w:lineRule="auto"/>
        <w:jc w:val="both"/>
        <w:rPr>
          <w:rFonts w:cstheme="minorHAnsi"/>
        </w:rPr>
      </w:pPr>
      <w:r w:rsidRPr="00C03313">
        <w:rPr>
          <w:rFonts w:cstheme="minorHAnsi"/>
        </w:rPr>
        <w:t xml:space="preserve">It should be noted that not all dog attack incidents will need a Dangerous Dog Declaration to be made.      </w:t>
      </w:r>
    </w:p>
    <w:p w14:paraId="07D34055" w14:textId="77777777" w:rsidR="00C03313" w:rsidRPr="00C03313" w:rsidRDefault="00C03313" w:rsidP="00FC6FDE">
      <w:pPr>
        <w:spacing w:after="0" w:line="240" w:lineRule="auto"/>
        <w:jc w:val="both"/>
        <w:rPr>
          <w:rFonts w:cstheme="minorHAnsi"/>
          <w:b/>
        </w:rPr>
      </w:pPr>
      <w:r w:rsidRPr="00C03313">
        <w:rPr>
          <w:rFonts w:cstheme="minorHAnsi"/>
          <w:b/>
        </w:rPr>
        <w:t xml:space="preserve">Dogs deemed to require the issuance of a Dangerous Dog Declaration </w:t>
      </w:r>
    </w:p>
    <w:p w14:paraId="4E57C08A" w14:textId="77777777" w:rsidR="00C03313" w:rsidRPr="00C03313" w:rsidRDefault="00C03313" w:rsidP="00FC6FDE">
      <w:pPr>
        <w:spacing w:after="120" w:line="240" w:lineRule="auto"/>
        <w:jc w:val="both"/>
        <w:rPr>
          <w:rFonts w:cstheme="minorHAnsi"/>
        </w:rPr>
      </w:pPr>
      <w:r w:rsidRPr="00C03313">
        <w:rPr>
          <w:rFonts w:cstheme="minorHAnsi"/>
        </w:rPr>
        <w:t xml:space="preserve">Where it is deemed by authorised Council Officer’s that a dog should be made subject to a Dangerous Dog Declaration, then the dog’s owner must be given notice as per section </w:t>
      </w:r>
      <w:r w:rsidRPr="00C03313">
        <w:rPr>
          <w:rFonts w:cstheme="minorHAnsi"/>
          <w:i/>
        </w:rPr>
        <w:t>33F</w:t>
      </w:r>
      <w:r w:rsidRPr="00C03313">
        <w:rPr>
          <w:rFonts w:cstheme="minorHAnsi"/>
        </w:rPr>
        <w:t xml:space="preserve"> of the</w:t>
      </w:r>
      <w:r w:rsidRPr="00C03313">
        <w:rPr>
          <w:rFonts w:cstheme="minorHAnsi"/>
          <w:i/>
        </w:rPr>
        <w:t xml:space="preserve"> Dog Act 1976 </w:t>
      </w:r>
      <w:r w:rsidRPr="00C03313">
        <w:rPr>
          <w:rFonts w:cstheme="minorHAnsi"/>
        </w:rPr>
        <w:t>(as amended) which reads as follows:</w:t>
      </w:r>
    </w:p>
    <w:p w14:paraId="178248CD" w14:textId="77777777" w:rsidR="00E76A93" w:rsidRDefault="00E76A93">
      <w:pPr>
        <w:rPr>
          <w:rFonts w:cstheme="minorHAnsi"/>
          <w:i/>
        </w:rPr>
      </w:pPr>
      <w:r>
        <w:rPr>
          <w:rFonts w:cstheme="minorHAnsi"/>
          <w:i/>
        </w:rPr>
        <w:br w:type="page"/>
      </w:r>
    </w:p>
    <w:p w14:paraId="7C2F8BB4" w14:textId="77777777" w:rsidR="00C03313" w:rsidRPr="00C03313" w:rsidRDefault="00C03313" w:rsidP="00FC6FDE">
      <w:pPr>
        <w:spacing w:after="0" w:line="240" w:lineRule="auto"/>
        <w:jc w:val="both"/>
        <w:rPr>
          <w:rFonts w:cstheme="minorHAnsi"/>
          <w:i/>
        </w:rPr>
      </w:pPr>
      <w:r w:rsidRPr="00C03313">
        <w:rPr>
          <w:rFonts w:cstheme="minorHAnsi"/>
          <w:i/>
        </w:rPr>
        <w:lastRenderedPageBreak/>
        <w:t>Section 33F</w:t>
      </w:r>
    </w:p>
    <w:p w14:paraId="470F712D" w14:textId="77777777" w:rsidR="00C03313" w:rsidRPr="00C03313" w:rsidRDefault="00C03313" w:rsidP="00FC6FDE">
      <w:pPr>
        <w:autoSpaceDE w:val="0"/>
        <w:autoSpaceDN w:val="0"/>
        <w:adjustRightInd w:val="0"/>
        <w:spacing w:after="60" w:line="240" w:lineRule="auto"/>
        <w:ind w:left="567" w:hanging="567"/>
        <w:jc w:val="both"/>
        <w:rPr>
          <w:rFonts w:cstheme="minorHAnsi"/>
          <w:i/>
          <w:lang w:eastAsia="en-AU"/>
        </w:rPr>
      </w:pPr>
      <w:r w:rsidRPr="00C03313">
        <w:rPr>
          <w:rFonts w:cstheme="minorHAnsi"/>
          <w:i/>
          <w:lang w:eastAsia="en-AU"/>
        </w:rPr>
        <w:t xml:space="preserve">(1) </w:t>
      </w:r>
      <w:r w:rsidRPr="00C03313">
        <w:rPr>
          <w:rFonts w:cstheme="minorHAnsi"/>
          <w:i/>
          <w:lang w:eastAsia="en-AU"/>
        </w:rPr>
        <w:tab/>
        <w:t>The local government, or the person by whom the declaration was made on behalf of the local government, must give written notice declaring a dog to be a dangerous dog (declared) to the owner of that dog.</w:t>
      </w:r>
    </w:p>
    <w:p w14:paraId="36759DB2" w14:textId="77777777" w:rsidR="00C03313" w:rsidRPr="00C03313" w:rsidRDefault="00C03313" w:rsidP="00FC6FDE">
      <w:pPr>
        <w:autoSpaceDE w:val="0"/>
        <w:autoSpaceDN w:val="0"/>
        <w:adjustRightInd w:val="0"/>
        <w:spacing w:after="60" w:line="240" w:lineRule="auto"/>
        <w:ind w:left="567" w:hanging="567"/>
        <w:jc w:val="both"/>
        <w:rPr>
          <w:rFonts w:cstheme="minorHAnsi"/>
          <w:i/>
          <w:lang w:eastAsia="en-AU"/>
        </w:rPr>
      </w:pPr>
      <w:r w:rsidRPr="00C03313">
        <w:rPr>
          <w:rFonts w:cstheme="minorHAnsi"/>
          <w:i/>
          <w:lang w:eastAsia="en-AU"/>
        </w:rPr>
        <w:t xml:space="preserve">(2) </w:t>
      </w:r>
      <w:r w:rsidRPr="00C03313">
        <w:rPr>
          <w:rFonts w:cstheme="minorHAnsi"/>
          <w:i/>
          <w:lang w:eastAsia="en-AU"/>
        </w:rPr>
        <w:tab/>
        <w:t>A notice to be given under subsection (1) —</w:t>
      </w:r>
    </w:p>
    <w:p w14:paraId="592F810A" w14:textId="77777777" w:rsidR="00C03313" w:rsidRPr="00C03313" w:rsidRDefault="00C03313" w:rsidP="00FC6FDE">
      <w:pPr>
        <w:autoSpaceDE w:val="0"/>
        <w:autoSpaceDN w:val="0"/>
        <w:adjustRightInd w:val="0"/>
        <w:spacing w:after="60" w:line="240" w:lineRule="auto"/>
        <w:ind w:left="993" w:hanging="426"/>
        <w:jc w:val="both"/>
        <w:rPr>
          <w:rFonts w:cstheme="minorHAnsi"/>
          <w:i/>
          <w:lang w:eastAsia="en-AU"/>
        </w:rPr>
      </w:pPr>
      <w:r w:rsidRPr="00C03313">
        <w:rPr>
          <w:rFonts w:cstheme="minorHAnsi"/>
          <w:i/>
          <w:lang w:eastAsia="en-AU"/>
        </w:rPr>
        <w:t xml:space="preserve">(a) </w:t>
      </w:r>
      <w:r w:rsidRPr="00C03313">
        <w:rPr>
          <w:rFonts w:cstheme="minorHAnsi"/>
          <w:i/>
          <w:lang w:eastAsia="en-AU"/>
        </w:rPr>
        <w:tab/>
        <w:t>shall give reasons for the making of the declaration; and</w:t>
      </w:r>
    </w:p>
    <w:p w14:paraId="0E765280" w14:textId="77777777" w:rsidR="00C03313" w:rsidRPr="00C03313" w:rsidRDefault="00C03313" w:rsidP="00FC6FDE">
      <w:pPr>
        <w:autoSpaceDE w:val="0"/>
        <w:autoSpaceDN w:val="0"/>
        <w:adjustRightInd w:val="0"/>
        <w:spacing w:after="60" w:line="240" w:lineRule="auto"/>
        <w:ind w:left="993" w:hanging="426"/>
        <w:jc w:val="both"/>
        <w:rPr>
          <w:rFonts w:cstheme="minorHAnsi"/>
          <w:i/>
          <w:lang w:eastAsia="en-AU"/>
        </w:rPr>
      </w:pPr>
      <w:r w:rsidRPr="00C03313">
        <w:rPr>
          <w:rFonts w:cstheme="minorHAnsi"/>
          <w:i/>
          <w:lang w:eastAsia="en-AU"/>
        </w:rPr>
        <w:t xml:space="preserve">(b) </w:t>
      </w:r>
      <w:r w:rsidRPr="00C03313">
        <w:rPr>
          <w:rFonts w:cstheme="minorHAnsi"/>
          <w:i/>
          <w:lang w:eastAsia="en-AU"/>
        </w:rPr>
        <w:tab/>
        <w:t>shall specify that the owner has a right under this Division, to be exercised within not more than 7 days after the giving of the notice, either —</w:t>
      </w:r>
    </w:p>
    <w:p w14:paraId="6C47A142" w14:textId="77777777" w:rsidR="00C03313" w:rsidRPr="00C03313" w:rsidRDefault="00C03313" w:rsidP="00FC6FDE">
      <w:pPr>
        <w:autoSpaceDE w:val="0"/>
        <w:autoSpaceDN w:val="0"/>
        <w:adjustRightInd w:val="0"/>
        <w:spacing w:after="60" w:line="240" w:lineRule="auto"/>
        <w:ind w:left="1418" w:hanging="425"/>
        <w:jc w:val="both"/>
        <w:rPr>
          <w:rFonts w:cstheme="minorHAnsi"/>
          <w:i/>
          <w:lang w:eastAsia="en-AU"/>
        </w:rPr>
      </w:pPr>
      <w:r w:rsidRPr="00C03313">
        <w:rPr>
          <w:rFonts w:cstheme="minorHAnsi"/>
          <w:i/>
          <w:lang w:eastAsia="en-AU"/>
        </w:rPr>
        <w:t>(</w:t>
      </w:r>
      <w:proofErr w:type="spellStart"/>
      <w:r w:rsidRPr="00C03313">
        <w:rPr>
          <w:rFonts w:cstheme="minorHAnsi"/>
          <w:i/>
          <w:lang w:eastAsia="en-AU"/>
        </w:rPr>
        <w:t>i</w:t>
      </w:r>
      <w:proofErr w:type="spellEnd"/>
      <w:r w:rsidRPr="00C03313">
        <w:rPr>
          <w:rFonts w:cstheme="minorHAnsi"/>
          <w:i/>
          <w:lang w:eastAsia="en-AU"/>
        </w:rPr>
        <w:t xml:space="preserve">) </w:t>
      </w:r>
      <w:r w:rsidRPr="00C03313">
        <w:rPr>
          <w:rFonts w:cstheme="minorHAnsi"/>
          <w:i/>
          <w:lang w:eastAsia="en-AU"/>
        </w:rPr>
        <w:tab/>
        <w:t>to lodge a written objection with the local government, with a subsequent right to apply to the State Administrative Tribunal for a review of the decision made by the local government on the objection; or</w:t>
      </w:r>
    </w:p>
    <w:p w14:paraId="130259FD" w14:textId="77777777" w:rsidR="00C03313" w:rsidRPr="00C03313" w:rsidRDefault="00C03313" w:rsidP="00FC6FDE">
      <w:pPr>
        <w:autoSpaceDE w:val="0"/>
        <w:autoSpaceDN w:val="0"/>
        <w:adjustRightInd w:val="0"/>
        <w:spacing w:after="60" w:line="240" w:lineRule="auto"/>
        <w:ind w:left="1417" w:hanging="425"/>
        <w:jc w:val="both"/>
        <w:rPr>
          <w:rFonts w:cstheme="minorHAnsi"/>
          <w:i/>
          <w:lang w:eastAsia="en-AU"/>
        </w:rPr>
      </w:pPr>
      <w:r w:rsidRPr="00C03313">
        <w:rPr>
          <w:rFonts w:cstheme="minorHAnsi"/>
          <w:i/>
          <w:lang w:eastAsia="en-AU"/>
        </w:rPr>
        <w:t xml:space="preserve">(ii) </w:t>
      </w:r>
      <w:r w:rsidRPr="00C03313">
        <w:rPr>
          <w:rFonts w:cstheme="minorHAnsi"/>
          <w:i/>
          <w:lang w:eastAsia="en-AU"/>
        </w:rPr>
        <w:tab/>
        <w:t>to apply directly to the State Administrative Tribunal for a review, as to the declaration.</w:t>
      </w:r>
    </w:p>
    <w:p w14:paraId="5C42FFDF" w14:textId="77777777" w:rsidR="00C03313" w:rsidRPr="00C03313" w:rsidRDefault="00C03313" w:rsidP="00FC6FDE">
      <w:pPr>
        <w:autoSpaceDE w:val="0"/>
        <w:autoSpaceDN w:val="0"/>
        <w:adjustRightInd w:val="0"/>
        <w:spacing w:line="240" w:lineRule="auto"/>
        <w:ind w:left="567" w:hanging="567"/>
        <w:jc w:val="both"/>
        <w:rPr>
          <w:rFonts w:cstheme="minorHAnsi"/>
          <w:i/>
        </w:rPr>
      </w:pPr>
      <w:r w:rsidRPr="00C03313">
        <w:rPr>
          <w:rFonts w:cstheme="minorHAnsi"/>
          <w:i/>
          <w:lang w:eastAsia="en-AU"/>
        </w:rPr>
        <w:t xml:space="preserve">(3) </w:t>
      </w:r>
      <w:r w:rsidRPr="00C03313">
        <w:rPr>
          <w:rFonts w:cstheme="minorHAnsi"/>
          <w:i/>
          <w:lang w:eastAsia="en-AU"/>
        </w:rPr>
        <w:tab/>
        <w:t>Whether or not an objection is lodged or application for review is made, the declaration of a dog as a dangerous dog (declared) has effect 7 days after the giving of a notice under subsection (1).</w:t>
      </w:r>
    </w:p>
    <w:p w14:paraId="115EFA5C" w14:textId="77777777" w:rsidR="00C03313" w:rsidRPr="00C03313" w:rsidRDefault="00C03313" w:rsidP="00FC6FDE">
      <w:pPr>
        <w:spacing w:after="0" w:line="240" w:lineRule="auto"/>
        <w:jc w:val="both"/>
        <w:rPr>
          <w:rFonts w:cstheme="minorHAnsi"/>
          <w:b/>
        </w:rPr>
      </w:pPr>
      <w:r w:rsidRPr="00C03313">
        <w:rPr>
          <w:rFonts w:cstheme="minorHAnsi"/>
          <w:b/>
        </w:rPr>
        <w:t xml:space="preserve">Purpose of a Dangerous Dog Declaration </w:t>
      </w:r>
    </w:p>
    <w:p w14:paraId="03B767ED" w14:textId="77777777" w:rsidR="00C03313" w:rsidRPr="00C03313" w:rsidRDefault="00C03313" w:rsidP="00FC6FDE">
      <w:pPr>
        <w:spacing w:after="60" w:line="240" w:lineRule="auto"/>
        <w:jc w:val="both"/>
        <w:rPr>
          <w:rFonts w:cstheme="minorHAnsi"/>
        </w:rPr>
      </w:pPr>
      <w:r w:rsidRPr="00C03313">
        <w:rPr>
          <w:rFonts w:cstheme="minorHAnsi"/>
        </w:rPr>
        <w:t xml:space="preserve">The purpose of issuing a Dangerous Dog Declaration is </w:t>
      </w:r>
      <w:proofErr w:type="gramStart"/>
      <w:r w:rsidRPr="00C03313">
        <w:rPr>
          <w:rFonts w:cstheme="minorHAnsi"/>
        </w:rPr>
        <w:t>sixfold:-</w:t>
      </w:r>
      <w:proofErr w:type="gramEnd"/>
    </w:p>
    <w:p w14:paraId="2E1AB408" w14:textId="77777777" w:rsidR="00C03313" w:rsidRPr="00C03313" w:rsidRDefault="00C03313" w:rsidP="00FC6FDE">
      <w:pPr>
        <w:spacing w:after="60" w:line="240" w:lineRule="auto"/>
        <w:ind w:left="426" w:hanging="426"/>
        <w:jc w:val="both"/>
        <w:rPr>
          <w:rFonts w:cstheme="minorHAnsi"/>
        </w:rPr>
      </w:pPr>
      <w:r w:rsidRPr="00C03313">
        <w:rPr>
          <w:rFonts w:cstheme="minorHAnsi"/>
        </w:rPr>
        <w:t>(a)</w:t>
      </w:r>
      <w:r w:rsidRPr="00C03313">
        <w:rPr>
          <w:rFonts w:cstheme="minorHAnsi"/>
        </w:rPr>
        <w:tab/>
        <w:t>to compel the dog’s owner to ensure that they comply with higher levels of containment and control of their dogs both at their home and when the dog is in a public place.</w:t>
      </w:r>
    </w:p>
    <w:p w14:paraId="517974F1" w14:textId="77777777" w:rsidR="00C03313" w:rsidRPr="00C03313" w:rsidRDefault="00C03313" w:rsidP="00FC6FDE">
      <w:pPr>
        <w:spacing w:after="60" w:line="240" w:lineRule="auto"/>
        <w:ind w:left="426" w:hanging="426"/>
        <w:jc w:val="both"/>
        <w:rPr>
          <w:rFonts w:cstheme="minorHAnsi"/>
        </w:rPr>
      </w:pPr>
      <w:r w:rsidRPr="00C03313">
        <w:rPr>
          <w:rFonts w:cstheme="minorHAnsi"/>
        </w:rPr>
        <w:t>(b)</w:t>
      </w:r>
      <w:r w:rsidRPr="00C03313">
        <w:rPr>
          <w:rFonts w:cstheme="minorHAnsi"/>
        </w:rPr>
        <w:tab/>
        <w:t xml:space="preserve">to heighten public safety in relation to the </w:t>
      </w:r>
      <w:proofErr w:type="gramStart"/>
      <w:r w:rsidRPr="00C03313">
        <w:rPr>
          <w:rFonts w:cstheme="minorHAnsi"/>
        </w:rPr>
        <w:t>dogs</w:t>
      </w:r>
      <w:proofErr w:type="gramEnd"/>
      <w:r w:rsidRPr="00C03313">
        <w:rPr>
          <w:rFonts w:cstheme="minorHAnsi"/>
        </w:rPr>
        <w:t xml:space="preserve"> containment, control and behaviour.</w:t>
      </w:r>
    </w:p>
    <w:p w14:paraId="3B8819D1" w14:textId="77777777" w:rsidR="00C03313" w:rsidRPr="00C03313" w:rsidRDefault="00C03313" w:rsidP="00FC6FDE">
      <w:pPr>
        <w:spacing w:after="60" w:line="240" w:lineRule="auto"/>
        <w:ind w:left="426" w:hanging="426"/>
        <w:jc w:val="both"/>
        <w:rPr>
          <w:rFonts w:cstheme="minorHAnsi"/>
        </w:rPr>
      </w:pPr>
      <w:r w:rsidRPr="00C03313">
        <w:rPr>
          <w:rFonts w:cstheme="minorHAnsi"/>
        </w:rPr>
        <w:t>(c)</w:t>
      </w:r>
      <w:r w:rsidRPr="00C03313">
        <w:rPr>
          <w:rFonts w:cstheme="minorHAnsi"/>
        </w:rPr>
        <w:tab/>
        <w:t xml:space="preserve">to heighten public awareness of the Dangerous Dog status of the dog when visitors/neighbours are in proximity to the </w:t>
      </w:r>
      <w:proofErr w:type="gramStart"/>
      <w:r w:rsidRPr="00C03313">
        <w:rPr>
          <w:rFonts w:cstheme="minorHAnsi"/>
        </w:rPr>
        <w:t>dogs</w:t>
      </w:r>
      <w:proofErr w:type="gramEnd"/>
      <w:r w:rsidRPr="00C03313">
        <w:rPr>
          <w:rFonts w:cstheme="minorHAnsi"/>
        </w:rPr>
        <w:t xml:space="preserve"> domiciled residence or when it is being walked in public places.</w:t>
      </w:r>
    </w:p>
    <w:p w14:paraId="6F533FB7" w14:textId="77777777" w:rsidR="00C03313" w:rsidRPr="00C03313" w:rsidRDefault="00C03313" w:rsidP="00FC6FDE">
      <w:pPr>
        <w:spacing w:after="60" w:line="240" w:lineRule="auto"/>
        <w:ind w:left="426" w:hanging="426"/>
        <w:jc w:val="both"/>
        <w:rPr>
          <w:rFonts w:cstheme="minorHAnsi"/>
        </w:rPr>
      </w:pPr>
      <w:r w:rsidRPr="00C03313">
        <w:rPr>
          <w:rFonts w:cstheme="minorHAnsi"/>
        </w:rPr>
        <w:t>(d)</w:t>
      </w:r>
      <w:r w:rsidRPr="00C03313">
        <w:rPr>
          <w:rFonts w:cstheme="minorHAnsi"/>
        </w:rPr>
        <w:tab/>
        <w:t>allow authorised officers to inspect the dog’s domiciled premises regularly to ensure that owner is adhering to Dangerous Dog Declaration requirements.</w:t>
      </w:r>
    </w:p>
    <w:p w14:paraId="67C032AF" w14:textId="77777777" w:rsidR="00C03313" w:rsidRPr="00C03313" w:rsidRDefault="00C03313" w:rsidP="00FC6FDE">
      <w:pPr>
        <w:spacing w:after="60" w:line="240" w:lineRule="auto"/>
        <w:ind w:left="426" w:hanging="426"/>
        <w:jc w:val="both"/>
        <w:rPr>
          <w:rFonts w:cstheme="minorHAnsi"/>
        </w:rPr>
      </w:pPr>
      <w:r w:rsidRPr="00C03313">
        <w:rPr>
          <w:rFonts w:cstheme="minorHAnsi"/>
        </w:rPr>
        <w:t>(e)</w:t>
      </w:r>
      <w:r w:rsidRPr="00C03313">
        <w:rPr>
          <w:rFonts w:cstheme="minorHAnsi"/>
        </w:rPr>
        <w:tab/>
        <w:t xml:space="preserve">allow authorised officers to identify the dog easily in public places and verify that both the dog’s owner </w:t>
      </w:r>
      <w:proofErr w:type="gramStart"/>
      <w:r w:rsidRPr="00C03313">
        <w:rPr>
          <w:rFonts w:cstheme="minorHAnsi"/>
        </w:rPr>
        <w:t>or</w:t>
      </w:r>
      <w:proofErr w:type="gramEnd"/>
      <w:r w:rsidRPr="00C03313">
        <w:rPr>
          <w:rFonts w:cstheme="minorHAnsi"/>
        </w:rPr>
        <w:t xml:space="preserve"> person in charge of the dog are compliant with Dangerous Dog Declaration requirements in relation to the dog in a public place.</w:t>
      </w:r>
    </w:p>
    <w:p w14:paraId="5365504B" w14:textId="77777777" w:rsidR="00C03313" w:rsidRPr="00C03313" w:rsidRDefault="00C03313" w:rsidP="00FC6FDE">
      <w:pPr>
        <w:spacing w:line="240" w:lineRule="auto"/>
        <w:ind w:left="425" w:hanging="425"/>
        <w:jc w:val="both"/>
        <w:rPr>
          <w:rFonts w:cstheme="minorHAnsi"/>
        </w:rPr>
      </w:pPr>
      <w:r w:rsidRPr="00C03313">
        <w:rPr>
          <w:rFonts w:cstheme="minorHAnsi"/>
        </w:rPr>
        <w:t>(f)</w:t>
      </w:r>
      <w:r w:rsidRPr="00C03313">
        <w:rPr>
          <w:rFonts w:cstheme="minorHAnsi"/>
        </w:rPr>
        <w:tab/>
        <w:t xml:space="preserve">raise the penalties for breaches of both the </w:t>
      </w:r>
      <w:r w:rsidRPr="00C03313">
        <w:rPr>
          <w:rFonts w:cstheme="minorHAnsi"/>
          <w:i/>
        </w:rPr>
        <w:t xml:space="preserve">Dog Act 1976 </w:t>
      </w:r>
      <w:r w:rsidRPr="00C03313">
        <w:rPr>
          <w:rFonts w:cstheme="minorHAnsi"/>
        </w:rPr>
        <w:t>(as amended) and issued Dangerous Dog Declaration conditions.</w:t>
      </w:r>
    </w:p>
    <w:p w14:paraId="70C63C96" w14:textId="77777777" w:rsidR="00C03313" w:rsidRPr="00C03313" w:rsidRDefault="00C03313" w:rsidP="00FC6FDE">
      <w:pPr>
        <w:spacing w:after="0" w:line="240" w:lineRule="auto"/>
        <w:jc w:val="both"/>
        <w:rPr>
          <w:rFonts w:cstheme="minorHAnsi"/>
          <w:b/>
        </w:rPr>
      </w:pPr>
      <w:r w:rsidRPr="00C03313">
        <w:rPr>
          <w:rFonts w:cstheme="minorHAnsi"/>
          <w:b/>
        </w:rPr>
        <w:t xml:space="preserve">Potential costs incurred by Council in relation to dogs deemed to require the issuance of a Dangerous Dog Declaration  </w:t>
      </w:r>
    </w:p>
    <w:p w14:paraId="000F438D" w14:textId="77777777" w:rsidR="00C03313" w:rsidRPr="00C03313" w:rsidRDefault="00C03313" w:rsidP="00FC6FDE">
      <w:pPr>
        <w:spacing w:line="240" w:lineRule="auto"/>
        <w:jc w:val="both"/>
        <w:rPr>
          <w:rFonts w:cstheme="minorHAnsi"/>
        </w:rPr>
      </w:pPr>
      <w:r w:rsidRPr="00C03313">
        <w:rPr>
          <w:rFonts w:cstheme="minorHAnsi"/>
        </w:rPr>
        <w:t>In considering whether to issue a Dangerous Dog Declaration on a dog currently under investigation by authorised officers, the Town may elect to employ the services of a trained canine behaviourist to conduct an independent behavioural assessment in relation to the dog.</w:t>
      </w:r>
    </w:p>
    <w:p w14:paraId="649F31D7" w14:textId="77777777" w:rsidR="00C03313" w:rsidRDefault="00C03313" w:rsidP="00FC6FDE">
      <w:pPr>
        <w:spacing w:line="240" w:lineRule="auto"/>
        <w:jc w:val="both"/>
        <w:rPr>
          <w:rFonts w:cstheme="minorHAnsi"/>
        </w:rPr>
      </w:pPr>
      <w:r w:rsidRPr="00C03313">
        <w:rPr>
          <w:rFonts w:cstheme="minorHAnsi"/>
        </w:rPr>
        <w:t xml:space="preserve">The independent report will not only assist rangers in their investigation </w:t>
      </w:r>
      <w:proofErr w:type="gramStart"/>
      <w:r w:rsidRPr="00C03313">
        <w:rPr>
          <w:rFonts w:cstheme="minorHAnsi"/>
        </w:rPr>
        <w:t>process, but</w:t>
      </w:r>
      <w:proofErr w:type="gramEnd"/>
      <w:r w:rsidRPr="00C03313">
        <w:rPr>
          <w:rFonts w:cstheme="minorHAnsi"/>
        </w:rPr>
        <w:t xml:space="preserve"> may also be used in Court or the State Administrative Tribunal should the dog’s owner request an appeal through either agency.</w:t>
      </w:r>
    </w:p>
    <w:p w14:paraId="4A47F918" w14:textId="77777777" w:rsidR="004A6CD4" w:rsidRPr="00C03313" w:rsidRDefault="004A6CD4" w:rsidP="00C03313">
      <w:pPr>
        <w:jc w:val="both"/>
        <w:rPr>
          <w:rFonts w:cstheme="minorHAnsi"/>
        </w:rPr>
      </w:pPr>
    </w:p>
    <w:tbl>
      <w:tblPr>
        <w:tblStyle w:val="TableGrid"/>
        <w:tblW w:w="0" w:type="auto"/>
        <w:tblLook w:val="04A0" w:firstRow="1" w:lastRow="0" w:firstColumn="1" w:lastColumn="0" w:noHBand="0" w:noVBand="1"/>
      </w:tblPr>
      <w:tblGrid>
        <w:gridCol w:w="3038"/>
        <w:gridCol w:w="5978"/>
      </w:tblGrid>
      <w:tr w:rsidR="00C03313" w:rsidRPr="00C03313" w14:paraId="6E504531" w14:textId="77777777" w:rsidTr="00E845E5">
        <w:tc>
          <w:tcPr>
            <w:tcW w:w="3038" w:type="dxa"/>
          </w:tcPr>
          <w:p w14:paraId="462BFC17" w14:textId="77777777" w:rsidR="00C03313" w:rsidRPr="00C03313" w:rsidRDefault="00C03313" w:rsidP="00E845E5">
            <w:pPr>
              <w:jc w:val="both"/>
              <w:rPr>
                <w:rFonts w:cstheme="minorHAnsi"/>
                <w:b/>
              </w:rPr>
            </w:pPr>
            <w:r w:rsidRPr="00C03313">
              <w:rPr>
                <w:rFonts w:cstheme="minorHAnsi"/>
                <w:b/>
              </w:rPr>
              <w:t>Responsible Directorate:</w:t>
            </w:r>
          </w:p>
        </w:tc>
        <w:tc>
          <w:tcPr>
            <w:tcW w:w="5978" w:type="dxa"/>
          </w:tcPr>
          <w:p w14:paraId="2072C730" w14:textId="77777777" w:rsidR="00C03313" w:rsidRPr="00C03313" w:rsidRDefault="00C03313" w:rsidP="00E845E5">
            <w:pPr>
              <w:jc w:val="both"/>
              <w:rPr>
                <w:rFonts w:cstheme="minorHAnsi"/>
              </w:rPr>
            </w:pPr>
            <w:r w:rsidRPr="00C03313">
              <w:rPr>
                <w:rFonts w:cstheme="minorHAnsi"/>
              </w:rPr>
              <w:t>Executive Manager Corporate Services</w:t>
            </w:r>
          </w:p>
        </w:tc>
      </w:tr>
      <w:tr w:rsidR="00C03313" w:rsidRPr="00C03313" w14:paraId="41B9B47F" w14:textId="77777777" w:rsidTr="00E845E5">
        <w:tc>
          <w:tcPr>
            <w:tcW w:w="3038" w:type="dxa"/>
          </w:tcPr>
          <w:p w14:paraId="187B50F4" w14:textId="77777777" w:rsidR="00C03313" w:rsidRPr="00C03313" w:rsidRDefault="00C03313" w:rsidP="00E845E5">
            <w:pPr>
              <w:jc w:val="both"/>
              <w:rPr>
                <w:rFonts w:cstheme="minorHAnsi"/>
                <w:b/>
              </w:rPr>
            </w:pPr>
            <w:r w:rsidRPr="00C03313">
              <w:rPr>
                <w:rFonts w:cstheme="minorHAnsi"/>
                <w:b/>
              </w:rPr>
              <w:t>Reviewing Officer:</w:t>
            </w:r>
          </w:p>
        </w:tc>
        <w:tc>
          <w:tcPr>
            <w:tcW w:w="5978" w:type="dxa"/>
          </w:tcPr>
          <w:p w14:paraId="4DDD66B3" w14:textId="77777777" w:rsidR="00C03313" w:rsidRPr="00C03313" w:rsidRDefault="00C03313" w:rsidP="00E845E5">
            <w:pPr>
              <w:jc w:val="both"/>
              <w:rPr>
                <w:rFonts w:cstheme="minorHAnsi"/>
              </w:rPr>
            </w:pPr>
            <w:r w:rsidRPr="00C03313">
              <w:rPr>
                <w:rFonts w:cstheme="minorHAnsi"/>
              </w:rPr>
              <w:t>Senior Ranger</w:t>
            </w:r>
          </w:p>
        </w:tc>
      </w:tr>
      <w:tr w:rsidR="00C03313" w:rsidRPr="00C03313" w14:paraId="0D6EB0B4" w14:textId="77777777" w:rsidTr="00E845E5">
        <w:tc>
          <w:tcPr>
            <w:tcW w:w="3038" w:type="dxa"/>
          </w:tcPr>
          <w:p w14:paraId="0C4E5351" w14:textId="77777777" w:rsidR="00C03313" w:rsidRPr="00C03313" w:rsidRDefault="00C03313" w:rsidP="00E845E5">
            <w:pPr>
              <w:rPr>
                <w:rFonts w:cstheme="minorHAnsi"/>
                <w:b/>
              </w:rPr>
            </w:pPr>
            <w:r w:rsidRPr="00C03313">
              <w:rPr>
                <w:rFonts w:cstheme="minorHAnsi"/>
                <w:b/>
              </w:rPr>
              <w:t>Decision making Authority:</w:t>
            </w:r>
          </w:p>
        </w:tc>
        <w:tc>
          <w:tcPr>
            <w:tcW w:w="5978" w:type="dxa"/>
          </w:tcPr>
          <w:p w14:paraId="33DF0279" w14:textId="77777777" w:rsidR="00C03313" w:rsidRPr="00C03313" w:rsidRDefault="00C03313" w:rsidP="00E845E5">
            <w:pPr>
              <w:jc w:val="both"/>
              <w:rPr>
                <w:rFonts w:cstheme="minorHAnsi"/>
              </w:rPr>
            </w:pPr>
            <w:r w:rsidRPr="00C03313">
              <w:rPr>
                <w:rFonts w:cstheme="minorHAnsi"/>
              </w:rPr>
              <w:t xml:space="preserve">Authorised Officer as defined in the </w:t>
            </w:r>
            <w:r w:rsidRPr="00C03313">
              <w:rPr>
                <w:rFonts w:cstheme="minorHAnsi"/>
                <w:i/>
              </w:rPr>
              <w:t>Dog Act 1976 (as amended)</w:t>
            </w:r>
          </w:p>
        </w:tc>
      </w:tr>
      <w:tr w:rsidR="00C03313" w:rsidRPr="00C03313" w14:paraId="1E3CDACC" w14:textId="77777777" w:rsidTr="00E845E5">
        <w:tc>
          <w:tcPr>
            <w:tcW w:w="3038" w:type="dxa"/>
          </w:tcPr>
          <w:p w14:paraId="6A7DAD93" w14:textId="77777777" w:rsidR="00C03313" w:rsidRPr="00C03313" w:rsidRDefault="00C03313" w:rsidP="00E845E5">
            <w:pPr>
              <w:jc w:val="both"/>
              <w:rPr>
                <w:rFonts w:cstheme="minorHAnsi"/>
                <w:b/>
              </w:rPr>
            </w:pPr>
            <w:r w:rsidRPr="00C03313">
              <w:rPr>
                <w:rFonts w:cstheme="minorHAnsi"/>
                <w:b/>
              </w:rPr>
              <w:t>Policy Adopted:</w:t>
            </w:r>
          </w:p>
        </w:tc>
        <w:tc>
          <w:tcPr>
            <w:tcW w:w="5978" w:type="dxa"/>
          </w:tcPr>
          <w:p w14:paraId="7278C57A" w14:textId="77777777" w:rsidR="00C03313" w:rsidRPr="00C03313" w:rsidRDefault="00C03313" w:rsidP="004A6CD4">
            <w:pPr>
              <w:jc w:val="both"/>
              <w:rPr>
                <w:rFonts w:cstheme="minorHAnsi"/>
              </w:rPr>
            </w:pPr>
            <w:r w:rsidRPr="00C03313">
              <w:rPr>
                <w:rFonts w:cstheme="minorHAnsi"/>
              </w:rPr>
              <w:t>21</w:t>
            </w:r>
            <w:r w:rsidR="004A6CD4">
              <w:rPr>
                <w:rFonts w:cstheme="minorHAnsi"/>
              </w:rPr>
              <w:t>/11/1</w:t>
            </w:r>
            <w:r w:rsidRPr="00C03313">
              <w:rPr>
                <w:rFonts w:cstheme="minorHAnsi"/>
              </w:rPr>
              <w:t xml:space="preserve">8 </w:t>
            </w:r>
          </w:p>
        </w:tc>
      </w:tr>
      <w:tr w:rsidR="00C03313" w:rsidRPr="00C03313" w14:paraId="40D17EAA" w14:textId="77777777" w:rsidTr="00E845E5">
        <w:tc>
          <w:tcPr>
            <w:tcW w:w="3038" w:type="dxa"/>
          </w:tcPr>
          <w:p w14:paraId="1FA29928" w14:textId="77777777" w:rsidR="00C03313" w:rsidRPr="00C03313" w:rsidRDefault="00C03313" w:rsidP="00E845E5">
            <w:pPr>
              <w:jc w:val="both"/>
              <w:rPr>
                <w:rFonts w:cstheme="minorHAnsi"/>
                <w:b/>
              </w:rPr>
            </w:pPr>
            <w:r w:rsidRPr="00C03313">
              <w:rPr>
                <w:rFonts w:cstheme="minorHAnsi"/>
                <w:b/>
              </w:rPr>
              <w:t>Policy Amended</w:t>
            </w:r>
            <w:r w:rsidR="004A6CD4">
              <w:rPr>
                <w:rFonts w:cstheme="minorHAnsi"/>
                <w:b/>
              </w:rPr>
              <w:t>/Reviewed</w:t>
            </w:r>
            <w:r w:rsidRPr="00C03313">
              <w:rPr>
                <w:rFonts w:cstheme="minorHAnsi"/>
                <w:b/>
              </w:rPr>
              <w:t>:</w:t>
            </w:r>
          </w:p>
        </w:tc>
        <w:tc>
          <w:tcPr>
            <w:tcW w:w="5978" w:type="dxa"/>
          </w:tcPr>
          <w:p w14:paraId="3BDA4D3A" w14:textId="77777777" w:rsidR="00C03313" w:rsidRPr="00C03313" w:rsidRDefault="00160E4C" w:rsidP="00E845E5">
            <w:pPr>
              <w:jc w:val="both"/>
              <w:rPr>
                <w:rFonts w:cstheme="minorHAnsi"/>
              </w:rPr>
            </w:pPr>
            <w:r>
              <w:rPr>
                <w:rFonts w:cstheme="minorHAnsi"/>
              </w:rPr>
              <w:t>17/9/19</w:t>
            </w:r>
          </w:p>
        </w:tc>
      </w:tr>
      <w:tr w:rsidR="00C03313" w:rsidRPr="00C03313" w14:paraId="077FE8F6" w14:textId="77777777" w:rsidTr="00E845E5">
        <w:tc>
          <w:tcPr>
            <w:tcW w:w="3038" w:type="dxa"/>
          </w:tcPr>
          <w:p w14:paraId="3FF51C5F" w14:textId="77777777" w:rsidR="00C03313" w:rsidRPr="00C03313" w:rsidRDefault="004A6CD4" w:rsidP="00E845E5">
            <w:pPr>
              <w:jc w:val="both"/>
              <w:rPr>
                <w:rFonts w:cstheme="minorHAnsi"/>
                <w:b/>
              </w:rPr>
            </w:pPr>
            <w:r>
              <w:rPr>
                <w:rFonts w:cstheme="minorHAnsi"/>
                <w:b/>
              </w:rPr>
              <w:t>Former Policy No</w:t>
            </w:r>
            <w:r w:rsidR="00C03313" w:rsidRPr="00C03313">
              <w:rPr>
                <w:rFonts w:cstheme="minorHAnsi"/>
                <w:b/>
              </w:rPr>
              <w:t>:</w:t>
            </w:r>
          </w:p>
        </w:tc>
        <w:tc>
          <w:tcPr>
            <w:tcW w:w="5978" w:type="dxa"/>
          </w:tcPr>
          <w:p w14:paraId="394E2F78" w14:textId="77777777" w:rsidR="00C03313" w:rsidRPr="00C03313" w:rsidRDefault="004A6CD4" w:rsidP="00E845E5">
            <w:pPr>
              <w:jc w:val="both"/>
              <w:rPr>
                <w:rFonts w:cstheme="minorHAnsi"/>
              </w:rPr>
            </w:pPr>
            <w:r>
              <w:rPr>
                <w:rFonts w:cstheme="minorHAnsi"/>
              </w:rPr>
              <w:t>1.2.4</w:t>
            </w:r>
          </w:p>
        </w:tc>
      </w:tr>
    </w:tbl>
    <w:p w14:paraId="5118DB17" w14:textId="77777777" w:rsidR="00E76A93" w:rsidRDefault="00E76A93" w:rsidP="00E16F52">
      <w:pPr>
        <w:jc w:val="both"/>
        <w:rPr>
          <w:rFonts w:cstheme="minorHAnsi"/>
          <w:lang w:val="en-US"/>
        </w:rPr>
      </w:pPr>
    </w:p>
    <w:p w14:paraId="4199E443" w14:textId="72B03DED" w:rsidR="00EF1926" w:rsidRDefault="00EF011D" w:rsidP="00EF1926">
      <w:pPr>
        <w:pStyle w:val="Policy3"/>
        <w:spacing w:after="0"/>
        <w:jc w:val="right"/>
      </w:pPr>
      <w:bookmarkStart w:id="600" w:name="_Toc34920568"/>
      <w:bookmarkStart w:id="601" w:name="_Toc38459337"/>
      <w:bookmarkStart w:id="602" w:name="_Toc39733711"/>
      <w:bookmarkStart w:id="603" w:name="_Toc41304244"/>
      <w:bookmarkStart w:id="604" w:name="_Toc44321920"/>
      <w:bookmarkStart w:id="605" w:name="_Toc46914987"/>
      <w:bookmarkStart w:id="606" w:name="_Toc51860112"/>
      <w:bookmarkStart w:id="607" w:name="_Toc54342101"/>
      <w:bookmarkStart w:id="608" w:name="_Toc58575016"/>
      <w:bookmarkStart w:id="609" w:name="_Toc59458452"/>
      <w:bookmarkStart w:id="610" w:name="_Toc64995059"/>
      <w:bookmarkStart w:id="611" w:name="_Toc66971694"/>
      <w:bookmarkStart w:id="612" w:name="_Toc66971948"/>
      <w:bookmarkStart w:id="613" w:name="_Toc70498569"/>
      <w:bookmarkStart w:id="614" w:name="_Toc70499499"/>
      <w:bookmarkStart w:id="615" w:name="_Toc72940330"/>
      <w:bookmarkStart w:id="616" w:name="_Toc73715699"/>
      <w:bookmarkStart w:id="617" w:name="_Toc78453321"/>
      <w:bookmarkStart w:id="618" w:name="_Toc78453565"/>
      <w:bookmarkStart w:id="619" w:name="_Toc80268910"/>
      <w:bookmarkStart w:id="620" w:name="_Toc83368089"/>
      <w:bookmarkStart w:id="621" w:name="_Toc85793453"/>
      <w:bookmarkStart w:id="622" w:name="_Toc87531493"/>
      <w:bookmarkStart w:id="623" w:name="_Toc109733002"/>
      <w:bookmarkStart w:id="624" w:name="_Toc163201311"/>
      <w:bookmarkStart w:id="625" w:name="_Toc164255732"/>
      <w:bookmarkStart w:id="626" w:name="_Toc188617069"/>
      <w:bookmarkStart w:id="627" w:name="_Toc204612856"/>
      <w:bookmarkStart w:id="628" w:name="_Toc214980909"/>
      <w:bookmarkStart w:id="629" w:name="_Toc216866743"/>
      <w:r>
        <w:rPr>
          <w:noProof/>
          <w:lang w:eastAsia="en-AU"/>
        </w:rPr>
        <w:lastRenderedPageBreak/>
        <w:drawing>
          <wp:anchor distT="0" distB="0" distL="114300" distR="114300" simplePos="0" relativeHeight="251613184" behindDoc="1" locked="0" layoutInCell="1" allowOverlap="1" wp14:anchorId="6C0FE917" wp14:editId="40E029A5">
            <wp:simplePos x="0" y="0"/>
            <wp:positionH relativeFrom="margin">
              <wp:align>right</wp:align>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p>
    <w:p w14:paraId="5BF591ED" w14:textId="77777777" w:rsidR="00EF011D" w:rsidRDefault="00EF011D" w:rsidP="00EF1926">
      <w:pPr>
        <w:pStyle w:val="Policy1"/>
        <w:spacing w:after="120"/>
        <w:contextualSpacing w:val="0"/>
      </w:pPr>
    </w:p>
    <w:p w14:paraId="5CA53A3B" w14:textId="77777777" w:rsidR="00EF011D" w:rsidRPr="00EF011D" w:rsidRDefault="00EF011D" w:rsidP="00EF011D">
      <w:pPr>
        <w:pStyle w:val="Policy1"/>
        <w:spacing w:after="0"/>
        <w:contextualSpacing w:val="0"/>
        <w:rPr>
          <w:sz w:val="24"/>
          <w:szCs w:val="24"/>
        </w:rPr>
      </w:pPr>
    </w:p>
    <w:p w14:paraId="47D6AF30" w14:textId="76EC271B" w:rsidR="00EF1926" w:rsidRPr="00EE3CB3" w:rsidRDefault="00EF1926" w:rsidP="00EF1926">
      <w:pPr>
        <w:pStyle w:val="Policy1"/>
        <w:spacing w:after="120"/>
        <w:contextualSpacing w:val="0"/>
      </w:pPr>
      <w:bookmarkStart w:id="630" w:name="_Toc216866744"/>
      <w:r>
        <w:t>6</w:t>
      </w:r>
      <w:r w:rsidRPr="00EE3CB3">
        <w:t>.</w:t>
      </w:r>
      <w:r w:rsidRPr="00EE3CB3">
        <w:tab/>
      </w:r>
      <w:r>
        <w:t>COMMUNITY</w:t>
      </w:r>
      <w:bookmarkEnd w:id="630"/>
    </w:p>
    <w:p w14:paraId="120B9DE8" w14:textId="77777777" w:rsidR="00EF1926" w:rsidRPr="00EE3CB3" w:rsidRDefault="00EF1926" w:rsidP="00EF1926">
      <w:pPr>
        <w:pStyle w:val="Policy2"/>
        <w:spacing w:after="120"/>
        <w:contextualSpacing w:val="0"/>
      </w:pPr>
      <w:bookmarkStart w:id="631" w:name="_Toc216866745"/>
      <w:r w:rsidRPr="00EE3CB3">
        <w:t>6.1</w:t>
      </w:r>
      <w:r w:rsidRPr="00EE3CB3">
        <w:tab/>
        <w:t>ACTIVITIES</w:t>
      </w:r>
      <w:bookmarkEnd w:id="631"/>
    </w:p>
    <w:p w14:paraId="62B57C1C" w14:textId="77777777" w:rsidR="00EF1926" w:rsidRDefault="00EF1926" w:rsidP="00EF1926">
      <w:pPr>
        <w:pStyle w:val="Policy3"/>
        <w:spacing w:after="0"/>
        <w:jc w:val="both"/>
      </w:pPr>
      <w:bookmarkStart w:id="632" w:name="_Toc216866746"/>
      <w:r>
        <w:t>6.1.1</w:t>
      </w:r>
      <w:r w:rsidRPr="002B4D68">
        <w:tab/>
        <w:t>Community Gardens</w:t>
      </w:r>
      <w:bookmarkEnd w:id="632"/>
    </w:p>
    <w:p w14:paraId="67672C2A" w14:textId="77777777" w:rsidR="00EF1926" w:rsidRPr="002B4D68" w:rsidRDefault="00EF1926" w:rsidP="00EF1926">
      <w:pPr>
        <w:pStyle w:val="Policy3"/>
        <w:spacing w:after="0"/>
        <w:jc w:val="both"/>
      </w:pPr>
    </w:p>
    <w:tbl>
      <w:tblPr>
        <w:tblStyle w:val="TableGrid"/>
        <w:tblW w:w="9067" w:type="dxa"/>
        <w:tblLook w:val="04A0" w:firstRow="1" w:lastRow="0" w:firstColumn="1" w:lastColumn="0" w:noHBand="0" w:noVBand="1"/>
      </w:tblPr>
      <w:tblGrid>
        <w:gridCol w:w="3114"/>
        <w:gridCol w:w="5953"/>
      </w:tblGrid>
      <w:tr w:rsidR="00EF1926" w:rsidRPr="00B640E1" w14:paraId="4B9C525A" w14:textId="77777777" w:rsidTr="008E6824">
        <w:trPr>
          <w:trHeight w:val="248"/>
        </w:trPr>
        <w:tc>
          <w:tcPr>
            <w:tcW w:w="3114" w:type="dxa"/>
          </w:tcPr>
          <w:p w14:paraId="7C1639F8" w14:textId="77777777" w:rsidR="00EF1926" w:rsidRPr="00B640E1" w:rsidRDefault="00EF1926" w:rsidP="00A9290F">
            <w:pPr>
              <w:jc w:val="both"/>
              <w:rPr>
                <w:rFonts w:cstheme="minorHAnsi"/>
                <w:b/>
                <w:lang w:val="en-US"/>
              </w:rPr>
            </w:pPr>
            <w:r w:rsidRPr="00B640E1">
              <w:rPr>
                <w:rFonts w:cstheme="minorHAnsi"/>
                <w:b/>
                <w:lang w:val="en-US"/>
              </w:rPr>
              <w:t>Type:</w:t>
            </w:r>
          </w:p>
        </w:tc>
        <w:tc>
          <w:tcPr>
            <w:tcW w:w="5953" w:type="dxa"/>
          </w:tcPr>
          <w:p w14:paraId="7BBAE2D0" w14:textId="77777777" w:rsidR="00EF1926" w:rsidRPr="00B640E1" w:rsidRDefault="00EF1926" w:rsidP="00A9290F">
            <w:pPr>
              <w:jc w:val="both"/>
              <w:rPr>
                <w:rFonts w:cstheme="minorHAnsi"/>
                <w:lang w:val="en-US"/>
              </w:rPr>
            </w:pPr>
            <w:r>
              <w:rPr>
                <w:rFonts w:cstheme="minorHAnsi"/>
                <w:lang w:val="en-US"/>
              </w:rPr>
              <w:t>Community – Activities</w:t>
            </w:r>
          </w:p>
        </w:tc>
      </w:tr>
      <w:tr w:rsidR="00EF1926" w:rsidRPr="00B640E1" w14:paraId="2FA2C463" w14:textId="77777777" w:rsidTr="008E6824">
        <w:trPr>
          <w:trHeight w:val="263"/>
        </w:trPr>
        <w:tc>
          <w:tcPr>
            <w:tcW w:w="3114" w:type="dxa"/>
          </w:tcPr>
          <w:p w14:paraId="47102C39" w14:textId="77777777" w:rsidR="00EF1926" w:rsidRPr="00B640E1" w:rsidRDefault="00EF1926" w:rsidP="00A9290F">
            <w:pPr>
              <w:jc w:val="both"/>
              <w:rPr>
                <w:rFonts w:cstheme="minorHAnsi"/>
                <w:b/>
                <w:lang w:val="en-US"/>
              </w:rPr>
            </w:pPr>
            <w:r w:rsidRPr="00B640E1">
              <w:rPr>
                <w:rFonts w:cstheme="minorHAnsi"/>
                <w:b/>
                <w:lang w:val="en-US"/>
              </w:rPr>
              <w:t>Legislation:</w:t>
            </w:r>
          </w:p>
        </w:tc>
        <w:tc>
          <w:tcPr>
            <w:tcW w:w="5953" w:type="dxa"/>
          </w:tcPr>
          <w:p w14:paraId="527D6544" w14:textId="77777777" w:rsidR="00EF1926" w:rsidRPr="002B4D68" w:rsidRDefault="00EF1926" w:rsidP="00A9290F">
            <w:pPr>
              <w:jc w:val="both"/>
              <w:rPr>
                <w:rFonts w:cstheme="minorHAnsi"/>
                <w:color w:val="000000" w:themeColor="text1"/>
                <w:lang w:val="en-US"/>
              </w:rPr>
            </w:pPr>
          </w:p>
        </w:tc>
      </w:tr>
      <w:tr w:rsidR="00EF1926" w:rsidRPr="00B640E1" w14:paraId="039D753F" w14:textId="77777777" w:rsidTr="008E6824">
        <w:trPr>
          <w:trHeight w:val="263"/>
        </w:trPr>
        <w:tc>
          <w:tcPr>
            <w:tcW w:w="3114" w:type="dxa"/>
          </w:tcPr>
          <w:p w14:paraId="1254C5E9" w14:textId="77777777" w:rsidR="00EF1926" w:rsidRPr="00B640E1" w:rsidRDefault="00EF1926" w:rsidP="00A9290F">
            <w:pPr>
              <w:jc w:val="both"/>
              <w:rPr>
                <w:rFonts w:cstheme="minorHAnsi"/>
                <w:b/>
                <w:lang w:val="en-US"/>
              </w:rPr>
            </w:pPr>
            <w:r w:rsidRPr="00B640E1">
              <w:rPr>
                <w:rFonts w:cstheme="minorHAnsi"/>
                <w:b/>
                <w:lang w:val="en-US"/>
              </w:rPr>
              <w:t>Delegation:</w:t>
            </w:r>
          </w:p>
        </w:tc>
        <w:tc>
          <w:tcPr>
            <w:tcW w:w="5953" w:type="dxa"/>
          </w:tcPr>
          <w:p w14:paraId="59393B1C" w14:textId="77777777" w:rsidR="00EF1926" w:rsidRPr="002B4D68" w:rsidRDefault="00EF1926" w:rsidP="00A9290F">
            <w:pPr>
              <w:jc w:val="both"/>
              <w:rPr>
                <w:rFonts w:cstheme="minorHAnsi"/>
                <w:color w:val="000000" w:themeColor="text1"/>
                <w:lang w:val="en-US"/>
              </w:rPr>
            </w:pPr>
          </w:p>
        </w:tc>
      </w:tr>
      <w:tr w:rsidR="00EF1926" w:rsidRPr="00B640E1" w14:paraId="1BE329BD" w14:textId="77777777" w:rsidTr="008E6824">
        <w:trPr>
          <w:trHeight w:val="248"/>
        </w:trPr>
        <w:tc>
          <w:tcPr>
            <w:tcW w:w="3114" w:type="dxa"/>
          </w:tcPr>
          <w:p w14:paraId="4AA79DB8" w14:textId="77777777" w:rsidR="00EF1926" w:rsidRPr="00B640E1" w:rsidRDefault="00EF1926" w:rsidP="00A9290F">
            <w:pPr>
              <w:jc w:val="both"/>
              <w:rPr>
                <w:rFonts w:cstheme="minorHAnsi"/>
                <w:b/>
                <w:lang w:val="en-US"/>
              </w:rPr>
            </w:pPr>
            <w:r w:rsidRPr="00B640E1">
              <w:rPr>
                <w:rFonts w:cstheme="minorHAnsi"/>
                <w:b/>
                <w:lang w:val="en-US"/>
              </w:rPr>
              <w:t>Other Related Document:</w:t>
            </w:r>
          </w:p>
        </w:tc>
        <w:tc>
          <w:tcPr>
            <w:tcW w:w="5953" w:type="dxa"/>
          </w:tcPr>
          <w:p w14:paraId="1B5A7FA7" w14:textId="77777777" w:rsidR="00EF1926" w:rsidRDefault="00EF1926" w:rsidP="002A3889">
            <w:pPr>
              <w:pStyle w:val="ListParagraph"/>
              <w:numPr>
                <w:ilvl w:val="0"/>
                <w:numId w:val="384"/>
              </w:numPr>
              <w:ind w:left="198" w:hanging="283"/>
              <w:contextualSpacing w:val="0"/>
              <w:jc w:val="both"/>
              <w:rPr>
                <w:rFonts w:cstheme="minorHAnsi"/>
              </w:rPr>
            </w:pPr>
            <w:r>
              <w:rPr>
                <w:rFonts w:cstheme="minorHAnsi"/>
              </w:rPr>
              <w:t>Town of East Fremantle Community Garden Agreement Template (proposed)</w:t>
            </w:r>
          </w:p>
          <w:p w14:paraId="79DFDB0B" w14:textId="77777777" w:rsidR="00EF1926" w:rsidRPr="00087D45" w:rsidRDefault="00EF1926" w:rsidP="002A3889">
            <w:pPr>
              <w:pStyle w:val="ListParagraph"/>
              <w:numPr>
                <w:ilvl w:val="0"/>
                <w:numId w:val="384"/>
              </w:numPr>
              <w:ind w:left="198" w:hanging="283"/>
              <w:contextualSpacing w:val="0"/>
              <w:jc w:val="both"/>
              <w:rPr>
                <w:rFonts w:cstheme="minorHAnsi"/>
              </w:rPr>
            </w:pPr>
            <w:r>
              <w:rPr>
                <w:rFonts w:cstheme="minorHAnsi"/>
              </w:rPr>
              <w:t>Town of East Fremantle Community Garden Toolkit (proposed)</w:t>
            </w:r>
          </w:p>
        </w:tc>
      </w:tr>
    </w:tbl>
    <w:p w14:paraId="74C4EB22" w14:textId="77777777" w:rsidR="00EF1926" w:rsidRDefault="00EF1926" w:rsidP="00EF1926">
      <w:pPr>
        <w:spacing w:after="0"/>
        <w:jc w:val="both"/>
        <w:rPr>
          <w:b/>
          <w:sz w:val="28"/>
          <w:szCs w:val="28"/>
          <w:lang w:val="en-US"/>
        </w:rPr>
      </w:pPr>
    </w:p>
    <w:p w14:paraId="417D6F63" w14:textId="77777777" w:rsidR="00EF1926" w:rsidRDefault="00EF1926" w:rsidP="00EF1926">
      <w:pPr>
        <w:spacing w:after="0"/>
        <w:jc w:val="both"/>
        <w:rPr>
          <w:b/>
          <w:sz w:val="28"/>
          <w:szCs w:val="28"/>
          <w:lang w:val="en-US"/>
        </w:rPr>
      </w:pPr>
      <w:r w:rsidRPr="00832CA2">
        <w:rPr>
          <w:b/>
          <w:sz w:val="28"/>
          <w:szCs w:val="28"/>
          <w:lang w:val="en-US"/>
        </w:rPr>
        <w:t>Objective</w:t>
      </w:r>
    </w:p>
    <w:p w14:paraId="04270282" w14:textId="77777777" w:rsidR="00EF1926" w:rsidRDefault="00EF1926" w:rsidP="00EF1926">
      <w:pPr>
        <w:autoSpaceDE w:val="0"/>
        <w:autoSpaceDN w:val="0"/>
        <w:adjustRightInd w:val="0"/>
        <w:spacing w:after="0"/>
        <w:jc w:val="both"/>
        <w:rPr>
          <w:rFonts w:cstheme="minorHAnsi"/>
          <w:color w:val="000000"/>
        </w:rPr>
      </w:pPr>
      <w:r w:rsidRPr="0085472F">
        <w:rPr>
          <w:rFonts w:cstheme="minorHAnsi"/>
          <w:color w:val="000000"/>
        </w:rPr>
        <w:t xml:space="preserve">To facilitate and promote community gardens, on Town of East Fremantle owned or managed land, that are sustainably managed and led by the community in such a way that the needs of all stakeholders are </w:t>
      </w:r>
      <w:proofErr w:type="gramStart"/>
      <w:r w:rsidRPr="0085472F">
        <w:rPr>
          <w:rFonts w:cstheme="minorHAnsi"/>
          <w:color w:val="000000"/>
        </w:rPr>
        <w:t>taken into account</w:t>
      </w:r>
      <w:proofErr w:type="gramEnd"/>
      <w:r w:rsidRPr="0085472F">
        <w:rPr>
          <w:rFonts w:cstheme="minorHAnsi"/>
          <w:color w:val="000000"/>
        </w:rPr>
        <w:t xml:space="preserve">. </w:t>
      </w:r>
    </w:p>
    <w:p w14:paraId="6797EB06" w14:textId="77777777" w:rsidR="00EF1926" w:rsidRDefault="00EF1926" w:rsidP="00EF1926">
      <w:pPr>
        <w:autoSpaceDE w:val="0"/>
        <w:autoSpaceDN w:val="0"/>
        <w:adjustRightInd w:val="0"/>
        <w:spacing w:after="0"/>
        <w:jc w:val="both"/>
        <w:rPr>
          <w:rFonts w:cstheme="minorHAnsi"/>
          <w:color w:val="000000"/>
        </w:rPr>
      </w:pPr>
    </w:p>
    <w:p w14:paraId="4A202F0E" w14:textId="77777777" w:rsidR="00EF1926" w:rsidRPr="0085472F" w:rsidRDefault="00EF1926" w:rsidP="00EF1926">
      <w:pPr>
        <w:autoSpaceDE w:val="0"/>
        <w:autoSpaceDN w:val="0"/>
        <w:adjustRightInd w:val="0"/>
        <w:spacing w:after="0"/>
        <w:ind w:left="3240" w:right="-59" w:hanging="3240"/>
        <w:jc w:val="both"/>
        <w:rPr>
          <w:rFonts w:cstheme="minorHAnsi"/>
          <w:color w:val="000000"/>
          <w:sz w:val="28"/>
          <w:szCs w:val="28"/>
        </w:rPr>
      </w:pPr>
      <w:r w:rsidRPr="0085472F">
        <w:rPr>
          <w:rFonts w:cstheme="minorHAnsi"/>
          <w:b/>
          <w:bCs/>
          <w:color w:val="000000"/>
          <w:sz w:val="28"/>
          <w:szCs w:val="28"/>
        </w:rPr>
        <w:t xml:space="preserve">Purpose </w:t>
      </w:r>
    </w:p>
    <w:p w14:paraId="4FB9F8D0" w14:textId="77777777" w:rsidR="00EF1926" w:rsidRDefault="00EF1926" w:rsidP="00EF1926">
      <w:pPr>
        <w:autoSpaceDE w:val="0"/>
        <w:autoSpaceDN w:val="0"/>
        <w:adjustRightInd w:val="0"/>
        <w:spacing w:after="0"/>
        <w:ind w:right="-59"/>
        <w:jc w:val="both"/>
        <w:rPr>
          <w:rFonts w:cstheme="minorHAnsi"/>
          <w:b/>
          <w:bCs/>
          <w:color w:val="000000"/>
        </w:rPr>
      </w:pPr>
      <w:r>
        <w:rPr>
          <w:rFonts w:cstheme="minorHAnsi"/>
          <w:bCs/>
          <w:color w:val="000000"/>
        </w:rPr>
        <w:t>This Policy seeks to enable gardeners within the Town of East Fremantle to activate public spaces, participate in community initiatives and interact within a community space, with varying types of open communal garden areas available in accordance with the needs of those stakeholders participating in the initiative.</w:t>
      </w:r>
    </w:p>
    <w:p w14:paraId="2C8B1D67" w14:textId="77777777" w:rsidR="00EF1926" w:rsidRPr="004D4A83" w:rsidRDefault="00EF1926" w:rsidP="00EF1926">
      <w:pPr>
        <w:autoSpaceDE w:val="0"/>
        <w:autoSpaceDN w:val="0"/>
        <w:adjustRightInd w:val="0"/>
        <w:spacing w:after="0"/>
        <w:ind w:right="-59"/>
        <w:jc w:val="both"/>
        <w:rPr>
          <w:rFonts w:cstheme="minorHAnsi"/>
          <w:bCs/>
          <w:color w:val="000000"/>
        </w:rPr>
      </w:pPr>
    </w:p>
    <w:p w14:paraId="6FF3CA16" w14:textId="77777777" w:rsidR="00EF1926" w:rsidRDefault="00EF1926" w:rsidP="00EF1926">
      <w:pPr>
        <w:autoSpaceDE w:val="0"/>
        <w:autoSpaceDN w:val="0"/>
        <w:adjustRightInd w:val="0"/>
        <w:spacing w:after="0"/>
        <w:ind w:right="-59"/>
        <w:jc w:val="both"/>
      </w:pPr>
      <w:r>
        <w:rPr>
          <w:rFonts w:cstheme="minorHAnsi"/>
          <w:bCs/>
          <w:color w:val="000000"/>
        </w:rPr>
        <w:t xml:space="preserve">Users of community gardens on local government owned or managed land have traditionally been, and in this instance will be, required to be an Incorporated Association.  This ensures that adequate </w:t>
      </w:r>
      <w:r>
        <w:t xml:space="preserve">insurance coverage and access to funding support can be made available.  If the Incorporated Association is not based within the Town of East </w:t>
      </w:r>
      <w:proofErr w:type="gramStart"/>
      <w:r>
        <w:t>Fremantle</w:t>
      </w:r>
      <w:proofErr w:type="gramEnd"/>
      <w:r>
        <w:t xml:space="preserve"> they will need to show evidence of how their proposal will benefit residents within the Town </w:t>
      </w:r>
    </w:p>
    <w:p w14:paraId="769CADBE" w14:textId="77777777" w:rsidR="00EF1926" w:rsidRDefault="00EF1926" w:rsidP="00EF1926">
      <w:pPr>
        <w:autoSpaceDE w:val="0"/>
        <w:autoSpaceDN w:val="0"/>
        <w:adjustRightInd w:val="0"/>
        <w:spacing w:after="0"/>
        <w:ind w:left="3240" w:right="-59" w:hanging="3240"/>
        <w:jc w:val="both"/>
        <w:rPr>
          <w:rFonts w:cstheme="minorHAnsi"/>
          <w:b/>
          <w:bCs/>
          <w:color w:val="000000"/>
        </w:rPr>
      </w:pPr>
    </w:p>
    <w:p w14:paraId="73C246AF" w14:textId="77777777" w:rsidR="00EF1926" w:rsidRPr="0085472F" w:rsidRDefault="00EF1926" w:rsidP="00EF1926">
      <w:pPr>
        <w:autoSpaceDE w:val="0"/>
        <w:autoSpaceDN w:val="0"/>
        <w:adjustRightInd w:val="0"/>
        <w:spacing w:after="0"/>
        <w:ind w:left="3240" w:right="-59" w:hanging="3240"/>
        <w:jc w:val="both"/>
        <w:rPr>
          <w:rFonts w:cstheme="minorHAnsi"/>
          <w:color w:val="000000"/>
          <w:sz w:val="28"/>
          <w:szCs w:val="28"/>
        </w:rPr>
      </w:pPr>
      <w:r w:rsidRPr="0085472F">
        <w:rPr>
          <w:rFonts w:cstheme="minorHAnsi"/>
          <w:b/>
          <w:bCs/>
          <w:color w:val="000000"/>
          <w:sz w:val="28"/>
          <w:szCs w:val="28"/>
        </w:rPr>
        <w:t xml:space="preserve">Definitions </w:t>
      </w:r>
    </w:p>
    <w:p w14:paraId="7F1EA0BB" w14:textId="77777777" w:rsidR="00EF1926" w:rsidRDefault="00EF1926" w:rsidP="00EF1926">
      <w:pPr>
        <w:autoSpaceDE w:val="0"/>
        <w:autoSpaceDN w:val="0"/>
        <w:adjustRightInd w:val="0"/>
        <w:spacing w:after="0"/>
        <w:jc w:val="both"/>
        <w:rPr>
          <w:rFonts w:cstheme="minorHAnsi"/>
          <w:color w:val="000000"/>
        </w:rPr>
      </w:pPr>
      <w:r w:rsidRPr="0085472F">
        <w:rPr>
          <w:rFonts w:cstheme="minorHAnsi"/>
          <w:b/>
          <w:bCs/>
          <w:i/>
          <w:iCs/>
          <w:color w:val="000000"/>
        </w:rPr>
        <w:t>“Council owned or managed land</w:t>
      </w:r>
      <w:r w:rsidRPr="0085472F">
        <w:rPr>
          <w:rFonts w:cstheme="minorHAnsi"/>
          <w:b/>
          <w:bCs/>
          <w:color w:val="000000"/>
        </w:rPr>
        <w:t xml:space="preserve">” </w:t>
      </w:r>
      <w:r w:rsidRPr="0085472F">
        <w:rPr>
          <w:rFonts w:cstheme="minorHAnsi"/>
          <w:color w:val="000000"/>
        </w:rPr>
        <w:t xml:space="preserve">includes present and future Town freehold land (land owned by the Town of East Fremantle) and Crown land (land owned by the State, under the care and control of the Town, usually by way of a management order).  It excludes privately owned or controlled land, and land owned or controlled by State Departments. </w:t>
      </w:r>
    </w:p>
    <w:p w14:paraId="55091B32" w14:textId="77777777" w:rsidR="00EF1926" w:rsidRPr="004D4A83" w:rsidRDefault="00EF1926" w:rsidP="00EF1926">
      <w:pPr>
        <w:autoSpaceDE w:val="0"/>
        <w:autoSpaceDN w:val="0"/>
        <w:adjustRightInd w:val="0"/>
        <w:spacing w:after="0"/>
        <w:jc w:val="both"/>
        <w:rPr>
          <w:rFonts w:cstheme="minorHAnsi"/>
          <w:color w:val="000000"/>
        </w:rPr>
      </w:pPr>
    </w:p>
    <w:p w14:paraId="59653158" w14:textId="77777777" w:rsidR="00EF1926" w:rsidRDefault="00EF1926" w:rsidP="00EF1926">
      <w:pPr>
        <w:autoSpaceDE w:val="0"/>
        <w:autoSpaceDN w:val="0"/>
        <w:adjustRightInd w:val="0"/>
        <w:spacing w:after="0"/>
        <w:ind w:right="-59"/>
        <w:jc w:val="both"/>
        <w:rPr>
          <w:rFonts w:cstheme="minorHAnsi"/>
          <w:bCs/>
          <w:color w:val="000000"/>
        </w:rPr>
      </w:pPr>
      <w:r w:rsidRPr="0085472F">
        <w:rPr>
          <w:rFonts w:cstheme="minorHAnsi"/>
          <w:b/>
          <w:bCs/>
          <w:i/>
          <w:iCs/>
          <w:color w:val="000000"/>
        </w:rPr>
        <w:t>“</w:t>
      </w:r>
      <w:r>
        <w:rPr>
          <w:rFonts w:cstheme="minorHAnsi"/>
          <w:b/>
          <w:bCs/>
          <w:i/>
          <w:iCs/>
          <w:color w:val="000000"/>
        </w:rPr>
        <w:t>Incorporated Association</w:t>
      </w:r>
      <w:r w:rsidRPr="0085472F">
        <w:rPr>
          <w:rFonts w:cstheme="minorHAnsi"/>
          <w:b/>
          <w:bCs/>
          <w:color w:val="000000"/>
        </w:rPr>
        <w:t>”</w:t>
      </w:r>
      <w:r>
        <w:rPr>
          <w:rFonts w:cstheme="minorHAnsi"/>
          <w:color w:val="000000"/>
        </w:rPr>
        <w:t xml:space="preserve"> is a registered group that is not for profit and holds a current Certificate of Incorporation</w:t>
      </w:r>
      <w:r>
        <w:t xml:space="preserve"> </w:t>
      </w:r>
      <w:r w:rsidRPr="00F145C2">
        <w:rPr>
          <w:rFonts w:cstheme="minorHAnsi"/>
          <w:bCs/>
          <w:color w:val="000000"/>
        </w:rPr>
        <w:t>under the</w:t>
      </w:r>
      <w:r>
        <w:rPr>
          <w:rFonts w:cstheme="minorHAnsi"/>
          <w:b/>
          <w:bCs/>
          <w:color w:val="000000"/>
        </w:rPr>
        <w:t xml:space="preserve"> </w:t>
      </w:r>
      <w:r>
        <w:rPr>
          <w:rFonts w:cstheme="minorHAnsi"/>
          <w:color w:val="000000"/>
        </w:rPr>
        <w:t>Associations Incorporations Act 2015</w:t>
      </w:r>
      <w:r>
        <w:t xml:space="preserve">.  It is noted that a group may also </w:t>
      </w:r>
      <w:proofErr w:type="gramStart"/>
      <w:r>
        <w:t>enter into</w:t>
      </w:r>
      <w:proofErr w:type="gramEnd"/>
      <w:r>
        <w:t xml:space="preserve"> a satisfactory auspice arrangement with an existing incorporated association which holds the appropriate insurance cover (including public liability cover that indemnifies the Town).</w:t>
      </w:r>
    </w:p>
    <w:p w14:paraId="1A22D131" w14:textId="77777777" w:rsidR="00EF1926" w:rsidRDefault="00EF1926" w:rsidP="00EF1926">
      <w:pPr>
        <w:autoSpaceDE w:val="0"/>
        <w:autoSpaceDN w:val="0"/>
        <w:adjustRightInd w:val="0"/>
        <w:spacing w:after="0"/>
        <w:ind w:left="3240" w:right="-59" w:hanging="3240"/>
        <w:jc w:val="both"/>
        <w:rPr>
          <w:rFonts w:cstheme="minorHAnsi"/>
          <w:b/>
          <w:bCs/>
          <w:color w:val="000000"/>
        </w:rPr>
      </w:pPr>
    </w:p>
    <w:p w14:paraId="44BFFE92" w14:textId="77777777" w:rsidR="00EF1926" w:rsidRDefault="00EF1926" w:rsidP="00EF1926">
      <w:pPr>
        <w:autoSpaceDE w:val="0"/>
        <w:autoSpaceDN w:val="0"/>
        <w:adjustRightInd w:val="0"/>
        <w:spacing w:after="0"/>
        <w:ind w:right="-59"/>
        <w:jc w:val="both"/>
        <w:rPr>
          <w:rFonts w:cstheme="minorHAnsi"/>
          <w:b/>
          <w:bCs/>
          <w:color w:val="000000"/>
        </w:rPr>
      </w:pPr>
      <w:r w:rsidRPr="006D0694">
        <w:rPr>
          <w:rFonts w:cstheme="minorHAnsi"/>
          <w:b/>
          <w:bCs/>
          <w:i/>
          <w:color w:val="000000"/>
        </w:rPr>
        <w:lastRenderedPageBreak/>
        <w:t>“Community Garden Agreement”</w:t>
      </w:r>
      <w:r>
        <w:rPr>
          <w:rFonts w:cstheme="minorHAnsi"/>
          <w:b/>
          <w:bCs/>
          <w:color w:val="000000"/>
        </w:rPr>
        <w:t xml:space="preserve"> </w:t>
      </w:r>
      <w:r w:rsidRPr="00175330">
        <w:rPr>
          <w:rFonts w:cstheme="minorHAnsi"/>
          <w:bCs/>
          <w:color w:val="000000"/>
        </w:rPr>
        <w:t>refers to</w:t>
      </w:r>
      <w:r>
        <w:rPr>
          <w:rFonts w:cstheme="minorHAnsi"/>
          <w:b/>
          <w:bCs/>
          <w:color w:val="000000"/>
        </w:rPr>
        <w:t xml:space="preserve"> </w:t>
      </w:r>
      <w:r w:rsidRPr="00175330">
        <w:rPr>
          <w:rFonts w:cstheme="minorHAnsi"/>
          <w:bCs/>
          <w:color w:val="000000"/>
        </w:rPr>
        <w:t xml:space="preserve">the </w:t>
      </w:r>
      <w:r>
        <w:rPr>
          <w:rFonts w:cstheme="minorHAnsi"/>
          <w:bCs/>
          <w:color w:val="000000"/>
        </w:rPr>
        <w:t xml:space="preserve">licence, lease or Memorandum of Understanding applicable to the </w:t>
      </w:r>
      <w:r w:rsidRPr="00175330">
        <w:rPr>
          <w:rFonts w:cstheme="minorHAnsi"/>
          <w:b/>
          <w:bCs/>
          <w:i/>
          <w:color w:val="000000"/>
        </w:rPr>
        <w:t>Community Garden</w:t>
      </w:r>
      <w:r>
        <w:rPr>
          <w:rFonts w:cstheme="minorHAnsi"/>
          <w:b/>
          <w:bCs/>
          <w:i/>
          <w:color w:val="000000"/>
        </w:rPr>
        <w:t xml:space="preserve"> </w:t>
      </w:r>
      <w:r w:rsidRPr="006D0694">
        <w:rPr>
          <w:rFonts w:cstheme="minorHAnsi"/>
          <w:bCs/>
          <w:color w:val="000000"/>
        </w:rPr>
        <w:t>space</w:t>
      </w:r>
      <w:r>
        <w:rPr>
          <w:rFonts w:cstheme="minorHAnsi"/>
          <w:bCs/>
          <w:color w:val="000000"/>
        </w:rPr>
        <w:t>.</w:t>
      </w:r>
    </w:p>
    <w:p w14:paraId="1496029B" w14:textId="77777777" w:rsidR="00EF1926" w:rsidRPr="004D4A83" w:rsidRDefault="00EF1926" w:rsidP="00EF1926">
      <w:pPr>
        <w:autoSpaceDE w:val="0"/>
        <w:autoSpaceDN w:val="0"/>
        <w:adjustRightInd w:val="0"/>
        <w:spacing w:after="0"/>
        <w:ind w:left="3240" w:right="-59" w:hanging="3240"/>
        <w:jc w:val="both"/>
        <w:rPr>
          <w:rFonts w:cstheme="minorHAnsi"/>
          <w:b/>
          <w:bCs/>
          <w:color w:val="000000"/>
        </w:rPr>
      </w:pPr>
    </w:p>
    <w:p w14:paraId="59EEA66F" w14:textId="77777777" w:rsidR="00EF1926" w:rsidRPr="0085472F" w:rsidRDefault="00EF1926" w:rsidP="00EF1926">
      <w:pPr>
        <w:autoSpaceDE w:val="0"/>
        <w:autoSpaceDN w:val="0"/>
        <w:adjustRightInd w:val="0"/>
        <w:spacing w:after="0"/>
        <w:jc w:val="both"/>
        <w:rPr>
          <w:rFonts w:cstheme="minorHAnsi"/>
          <w:color w:val="000000"/>
        </w:rPr>
      </w:pPr>
      <w:r>
        <w:rPr>
          <w:rFonts w:cstheme="minorHAnsi"/>
          <w:b/>
          <w:bCs/>
          <w:i/>
          <w:iCs/>
          <w:color w:val="000000"/>
        </w:rPr>
        <w:t>“Community Garden”</w:t>
      </w:r>
      <w:r w:rsidRPr="00736CA8">
        <w:rPr>
          <w:rFonts w:cstheme="minorHAnsi"/>
          <w:bCs/>
          <w:i/>
          <w:iCs/>
          <w:color w:val="000000"/>
        </w:rPr>
        <w:t>,</w:t>
      </w:r>
      <w:r>
        <w:rPr>
          <w:rFonts w:cstheme="minorHAnsi"/>
          <w:b/>
          <w:bCs/>
          <w:i/>
          <w:iCs/>
          <w:color w:val="000000"/>
        </w:rPr>
        <w:t xml:space="preserve"> </w:t>
      </w:r>
      <w:r w:rsidRPr="0085472F">
        <w:rPr>
          <w:rFonts w:cstheme="minorHAnsi"/>
          <w:color w:val="000000"/>
        </w:rPr>
        <w:t xml:space="preserve">a piece of land operated collectively by a group of people for the primary purposes of community food production and recreational gardening.  There are </w:t>
      </w:r>
      <w:proofErr w:type="gramStart"/>
      <w:r w:rsidRPr="0085472F">
        <w:rPr>
          <w:rFonts w:cstheme="minorHAnsi"/>
          <w:color w:val="000000"/>
        </w:rPr>
        <w:t>a number of</w:t>
      </w:r>
      <w:proofErr w:type="gramEnd"/>
      <w:r w:rsidRPr="0085472F">
        <w:rPr>
          <w:rFonts w:cstheme="minorHAnsi"/>
          <w:color w:val="000000"/>
        </w:rPr>
        <w:t xml:space="preserve"> different structures of community gardens. The most common types are: </w:t>
      </w:r>
    </w:p>
    <w:p w14:paraId="3373DE05" w14:textId="77777777" w:rsidR="00EF1926" w:rsidRPr="0085472F" w:rsidRDefault="00EF1926" w:rsidP="002A3889">
      <w:pPr>
        <w:numPr>
          <w:ilvl w:val="0"/>
          <w:numId w:val="376"/>
        </w:numPr>
        <w:autoSpaceDE w:val="0"/>
        <w:autoSpaceDN w:val="0"/>
        <w:adjustRightInd w:val="0"/>
        <w:spacing w:after="0" w:line="240" w:lineRule="auto"/>
        <w:ind w:left="426" w:hanging="426"/>
        <w:jc w:val="both"/>
        <w:rPr>
          <w:rFonts w:cstheme="minorHAnsi"/>
          <w:color w:val="000000"/>
        </w:rPr>
      </w:pPr>
      <w:r>
        <w:rPr>
          <w:rFonts w:cstheme="minorHAnsi"/>
          <w:color w:val="000000"/>
        </w:rPr>
        <w:t>C</w:t>
      </w:r>
      <w:r w:rsidRPr="0085472F">
        <w:rPr>
          <w:rFonts w:cstheme="minorHAnsi"/>
          <w:color w:val="000000"/>
        </w:rPr>
        <w:t xml:space="preserve">ommunity gardens with individual allotments allocated to individual </w:t>
      </w:r>
      <w:proofErr w:type="gramStart"/>
      <w:r w:rsidRPr="0085472F">
        <w:rPr>
          <w:rFonts w:cstheme="minorHAnsi"/>
          <w:color w:val="000000"/>
        </w:rPr>
        <w:t>members;</w:t>
      </w:r>
      <w:proofErr w:type="gramEnd"/>
      <w:r w:rsidRPr="0085472F">
        <w:rPr>
          <w:rFonts w:cstheme="minorHAnsi"/>
          <w:color w:val="000000"/>
        </w:rPr>
        <w:t xml:space="preserve"> </w:t>
      </w:r>
    </w:p>
    <w:p w14:paraId="7F193CA8" w14:textId="77777777" w:rsidR="00EF1926" w:rsidRPr="0085472F" w:rsidRDefault="00EF1926" w:rsidP="002A3889">
      <w:pPr>
        <w:numPr>
          <w:ilvl w:val="0"/>
          <w:numId w:val="376"/>
        </w:numPr>
        <w:autoSpaceDE w:val="0"/>
        <w:autoSpaceDN w:val="0"/>
        <w:adjustRightInd w:val="0"/>
        <w:spacing w:after="0" w:line="240" w:lineRule="auto"/>
        <w:ind w:left="426" w:hanging="426"/>
        <w:jc w:val="both"/>
        <w:rPr>
          <w:rFonts w:cstheme="minorHAnsi"/>
          <w:color w:val="000000"/>
        </w:rPr>
      </w:pPr>
      <w:r>
        <w:rPr>
          <w:rFonts w:cstheme="minorHAnsi"/>
          <w:color w:val="000000"/>
        </w:rPr>
        <w:t>C</w:t>
      </w:r>
      <w:r w:rsidRPr="0085472F">
        <w:rPr>
          <w:rFonts w:cstheme="minorHAnsi"/>
          <w:color w:val="000000"/>
        </w:rPr>
        <w:t>ommunity gardens where the entire garden is run collectively as a shared enterprise; and</w:t>
      </w:r>
    </w:p>
    <w:p w14:paraId="0638E6E1" w14:textId="77777777" w:rsidR="00EF1926" w:rsidRPr="0085472F" w:rsidRDefault="00EF1926" w:rsidP="002A3889">
      <w:pPr>
        <w:numPr>
          <w:ilvl w:val="0"/>
          <w:numId w:val="376"/>
        </w:numPr>
        <w:autoSpaceDE w:val="0"/>
        <w:autoSpaceDN w:val="0"/>
        <w:adjustRightInd w:val="0"/>
        <w:spacing w:after="0" w:line="240" w:lineRule="auto"/>
        <w:ind w:left="426" w:hanging="426"/>
        <w:jc w:val="both"/>
        <w:rPr>
          <w:rFonts w:cstheme="minorHAnsi"/>
          <w:color w:val="000000"/>
        </w:rPr>
      </w:pPr>
      <w:r w:rsidRPr="0085472F">
        <w:rPr>
          <w:rFonts w:cstheme="minorHAnsi"/>
          <w:color w:val="000000"/>
        </w:rPr>
        <w:t xml:space="preserve">Community gardens that integrate both allotment and shared gardens. </w:t>
      </w:r>
    </w:p>
    <w:p w14:paraId="4FFE044E" w14:textId="77777777" w:rsidR="00EF1926" w:rsidRPr="004D4A83" w:rsidRDefault="00EF1926" w:rsidP="00EF1926">
      <w:pPr>
        <w:autoSpaceDE w:val="0"/>
        <w:autoSpaceDN w:val="0"/>
        <w:adjustRightInd w:val="0"/>
        <w:spacing w:after="0"/>
        <w:ind w:left="3240" w:right="-59" w:hanging="3240"/>
        <w:jc w:val="both"/>
        <w:rPr>
          <w:rFonts w:cstheme="minorHAnsi"/>
          <w:b/>
          <w:bCs/>
          <w:color w:val="000000"/>
        </w:rPr>
      </w:pPr>
    </w:p>
    <w:p w14:paraId="5EF7F183" w14:textId="77777777" w:rsidR="00EF1926" w:rsidRDefault="00EF1926" w:rsidP="00EF1926">
      <w:pPr>
        <w:autoSpaceDE w:val="0"/>
        <w:autoSpaceDN w:val="0"/>
        <w:adjustRightInd w:val="0"/>
        <w:spacing w:after="0"/>
        <w:ind w:right="-59"/>
        <w:jc w:val="both"/>
      </w:pPr>
      <w:r w:rsidRPr="00237E27">
        <w:rPr>
          <w:b/>
          <w:i/>
        </w:rPr>
        <w:t>“Garden for the Community”</w:t>
      </w:r>
      <w:r w:rsidRPr="00736CA8">
        <w:rPr>
          <w:i/>
        </w:rPr>
        <w:t>,</w:t>
      </w:r>
      <w:r w:rsidRPr="00237E27">
        <w:rPr>
          <w:b/>
        </w:rPr>
        <w:t xml:space="preserve"> </w:t>
      </w:r>
      <w:r w:rsidRPr="002B4D68">
        <w:t>a</w:t>
      </w:r>
      <w:r w:rsidRPr="00237E27">
        <w:t>n area that is intended to be enjoyed</w:t>
      </w:r>
      <w:r>
        <w:t xml:space="preserve"> </w:t>
      </w:r>
      <w:r w:rsidRPr="00237E27">
        <w:t>and cared for by the community</w:t>
      </w:r>
      <w:r>
        <w:t>,</w:t>
      </w:r>
      <w:r w:rsidRPr="00237E27">
        <w:t xml:space="preserve"> but </w:t>
      </w:r>
      <w:r>
        <w:t xml:space="preserve">for which </w:t>
      </w:r>
      <w:r w:rsidRPr="00237E27">
        <w:t xml:space="preserve">the ultimate </w:t>
      </w:r>
      <w:r>
        <w:t xml:space="preserve">maintenance </w:t>
      </w:r>
      <w:r w:rsidRPr="00237E27">
        <w:t xml:space="preserve">responsibility lies with Council.  As such, the Council would undertake </w:t>
      </w:r>
      <w:r>
        <w:t xml:space="preserve">planning, care and control of the area, </w:t>
      </w:r>
      <w:r w:rsidRPr="00237E27">
        <w:t xml:space="preserve">with a </w:t>
      </w:r>
      <w:r>
        <w:t xml:space="preserve">relevant </w:t>
      </w:r>
      <w:r w:rsidRPr="00237E27">
        <w:t>level of con</w:t>
      </w:r>
      <w:r>
        <w:t xml:space="preserve">sultation, </w:t>
      </w:r>
      <w:proofErr w:type="gramStart"/>
      <w:r>
        <w:t>in order to</w:t>
      </w:r>
      <w:proofErr w:type="gramEnd"/>
      <w:r>
        <w:t xml:space="preserve"> make sustainable decisions </w:t>
      </w:r>
      <w:r w:rsidRPr="00237E27">
        <w:t xml:space="preserve">on </w:t>
      </w:r>
      <w:r>
        <w:t xml:space="preserve">appropriate </w:t>
      </w:r>
      <w:r w:rsidRPr="00237E27">
        <w:t xml:space="preserve">infrastructure </w:t>
      </w:r>
      <w:r>
        <w:t xml:space="preserve">and </w:t>
      </w:r>
      <w:r w:rsidRPr="00237E27">
        <w:t>plant</w:t>
      </w:r>
      <w:r>
        <w:t>ing.</w:t>
      </w:r>
    </w:p>
    <w:p w14:paraId="68F90BE0" w14:textId="77777777" w:rsidR="00EF1926" w:rsidRPr="004D4A83" w:rsidRDefault="00EF1926" w:rsidP="00EF1926">
      <w:pPr>
        <w:autoSpaceDE w:val="0"/>
        <w:autoSpaceDN w:val="0"/>
        <w:adjustRightInd w:val="0"/>
        <w:spacing w:after="0"/>
        <w:ind w:right="-59"/>
        <w:jc w:val="both"/>
      </w:pPr>
    </w:p>
    <w:p w14:paraId="35496FAF" w14:textId="77777777" w:rsidR="00EF1926" w:rsidRDefault="00EF1926" w:rsidP="00EF1926">
      <w:pPr>
        <w:autoSpaceDE w:val="0"/>
        <w:autoSpaceDN w:val="0"/>
        <w:adjustRightInd w:val="0"/>
        <w:spacing w:after="0"/>
        <w:jc w:val="both"/>
        <w:rPr>
          <w:rFonts w:cstheme="minorHAnsi"/>
          <w:color w:val="000000"/>
        </w:rPr>
      </w:pPr>
      <w:r w:rsidRPr="00736CA8">
        <w:rPr>
          <w:rFonts w:cstheme="minorHAnsi"/>
          <w:b/>
          <w:i/>
          <w:color w:val="000000"/>
        </w:rPr>
        <w:t>“Memorial Gardens”</w:t>
      </w:r>
      <w:r>
        <w:rPr>
          <w:rFonts w:cstheme="minorHAnsi"/>
          <w:b/>
          <w:color w:val="000000"/>
        </w:rPr>
        <w:t xml:space="preserve"> </w:t>
      </w:r>
      <w:r>
        <w:rPr>
          <w:rFonts w:cstheme="minorHAnsi"/>
          <w:color w:val="000000"/>
        </w:rPr>
        <w:t xml:space="preserve">are a </w:t>
      </w:r>
      <w:r w:rsidRPr="00736CA8">
        <w:rPr>
          <w:rFonts w:cstheme="minorHAnsi"/>
          <w:b/>
          <w:i/>
          <w:color w:val="000000"/>
        </w:rPr>
        <w:t>“Garden for the Community”</w:t>
      </w:r>
      <w:r>
        <w:rPr>
          <w:rFonts w:cstheme="minorHAnsi"/>
          <w:color w:val="000000"/>
        </w:rPr>
        <w:t xml:space="preserve"> created to commemorate someone or something lost, as an ongoing tribute which holds significance for the Town.  </w:t>
      </w:r>
    </w:p>
    <w:p w14:paraId="5D4E6836" w14:textId="77777777" w:rsidR="00EF1926" w:rsidRDefault="00EF1926" w:rsidP="00EF1926">
      <w:pPr>
        <w:autoSpaceDE w:val="0"/>
        <w:autoSpaceDN w:val="0"/>
        <w:adjustRightInd w:val="0"/>
        <w:spacing w:after="0"/>
        <w:jc w:val="both"/>
        <w:rPr>
          <w:rFonts w:cstheme="minorHAnsi"/>
          <w:color w:val="000000"/>
        </w:rPr>
      </w:pPr>
    </w:p>
    <w:p w14:paraId="2400BF14" w14:textId="77777777" w:rsidR="00EF1926" w:rsidRDefault="00EF1926" w:rsidP="00EF1926">
      <w:pPr>
        <w:autoSpaceDE w:val="0"/>
        <w:autoSpaceDN w:val="0"/>
        <w:adjustRightInd w:val="0"/>
        <w:spacing w:after="0"/>
        <w:jc w:val="both"/>
        <w:rPr>
          <w:rFonts w:cstheme="minorHAnsi"/>
          <w:color w:val="000000"/>
        </w:rPr>
      </w:pPr>
      <w:r>
        <w:rPr>
          <w:rFonts w:cstheme="minorHAnsi"/>
          <w:color w:val="000000"/>
        </w:rPr>
        <w:t>“</w:t>
      </w:r>
      <w:r w:rsidRPr="007C5D5B">
        <w:rPr>
          <w:rFonts w:cstheme="minorHAnsi"/>
          <w:b/>
          <w:i/>
          <w:color w:val="000000"/>
        </w:rPr>
        <w:t>Pop Up</w:t>
      </w:r>
      <w:r>
        <w:rPr>
          <w:rFonts w:cstheme="minorHAnsi"/>
          <w:color w:val="000000"/>
        </w:rPr>
        <w:t>” the term pop-up refers to a temporary installation that will be in situ for a period of up to 6 months.</w:t>
      </w:r>
    </w:p>
    <w:p w14:paraId="4BAF257A" w14:textId="77777777" w:rsidR="00EF1926" w:rsidRDefault="00EF1926" w:rsidP="00EF1926">
      <w:pPr>
        <w:autoSpaceDE w:val="0"/>
        <w:autoSpaceDN w:val="0"/>
        <w:adjustRightInd w:val="0"/>
        <w:spacing w:after="0"/>
        <w:jc w:val="both"/>
        <w:rPr>
          <w:rFonts w:cstheme="minorHAnsi"/>
          <w:color w:val="000000"/>
        </w:rPr>
      </w:pPr>
    </w:p>
    <w:p w14:paraId="193D908A" w14:textId="77777777" w:rsidR="00EF1926" w:rsidRDefault="00EF1926" w:rsidP="00EF1926">
      <w:pPr>
        <w:autoSpaceDE w:val="0"/>
        <w:autoSpaceDN w:val="0"/>
        <w:adjustRightInd w:val="0"/>
        <w:spacing w:after="0"/>
        <w:jc w:val="both"/>
        <w:rPr>
          <w:rFonts w:cstheme="minorHAnsi"/>
          <w:color w:val="000000"/>
        </w:rPr>
      </w:pPr>
      <w:r>
        <w:rPr>
          <w:rFonts w:cstheme="minorHAnsi"/>
          <w:color w:val="000000"/>
        </w:rPr>
        <w:t xml:space="preserve">It should be noted that all </w:t>
      </w:r>
      <w:r w:rsidRPr="00F145C2">
        <w:rPr>
          <w:rFonts w:cstheme="minorHAnsi"/>
          <w:b/>
          <w:i/>
          <w:color w:val="000000"/>
        </w:rPr>
        <w:t>Community Gardens</w:t>
      </w:r>
      <w:r>
        <w:rPr>
          <w:rFonts w:cstheme="minorHAnsi"/>
          <w:color w:val="000000"/>
        </w:rPr>
        <w:t xml:space="preserve"> and </w:t>
      </w:r>
      <w:r w:rsidRPr="00F145C2">
        <w:rPr>
          <w:rFonts w:cstheme="minorHAnsi"/>
          <w:b/>
          <w:i/>
          <w:color w:val="000000"/>
        </w:rPr>
        <w:t>Gardens for the Community</w:t>
      </w:r>
      <w:r>
        <w:rPr>
          <w:rFonts w:cstheme="minorHAnsi"/>
          <w:color w:val="000000"/>
        </w:rPr>
        <w:t xml:space="preserve"> will </w:t>
      </w:r>
      <w:proofErr w:type="gramStart"/>
      <w:r>
        <w:rPr>
          <w:rFonts w:cstheme="minorHAnsi"/>
          <w:color w:val="000000"/>
        </w:rPr>
        <w:t>be;</w:t>
      </w:r>
      <w:proofErr w:type="gramEnd"/>
    </w:p>
    <w:p w14:paraId="69DEC217" w14:textId="77777777" w:rsidR="00EF1926" w:rsidRDefault="00EF1926" w:rsidP="002A3889">
      <w:pPr>
        <w:pStyle w:val="ListParagraph"/>
        <w:numPr>
          <w:ilvl w:val="0"/>
          <w:numId w:val="382"/>
        </w:numPr>
        <w:autoSpaceDE w:val="0"/>
        <w:autoSpaceDN w:val="0"/>
        <w:adjustRightInd w:val="0"/>
        <w:spacing w:after="0" w:line="240" w:lineRule="auto"/>
        <w:ind w:left="284" w:hanging="284"/>
        <w:jc w:val="both"/>
        <w:rPr>
          <w:rFonts w:cstheme="minorHAnsi"/>
          <w:color w:val="000000"/>
        </w:rPr>
      </w:pPr>
      <w:r w:rsidRPr="00F145C2">
        <w:rPr>
          <w:rFonts w:cstheme="minorHAnsi"/>
          <w:color w:val="000000"/>
        </w:rPr>
        <w:t>“Smoke Free”</w:t>
      </w:r>
      <w:r>
        <w:rPr>
          <w:rFonts w:cstheme="minorHAnsi"/>
          <w:color w:val="000000"/>
        </w:rPr>
        <w:t xml:space="preserve"> </w:t>
      </w:r>
      <w:proofErr w:type="gramStart"/>
      <w:r>
        <w:rPr>
          <w:rFonts w:cstheme="minorHAnsi"/>
          <w:color w:val="000000"/>
        </w:rPr>
        <w:t>zones;</w:t>
      </w:r>
      <w:proofErr w:type="gramEnd"/>
    </w:p>
    <w:p w14:paraId="21C8E2E5" w14:textId="77777777" w:rsidR="00EF1926" w:rsidRDefault="00EF1926" w:rsidP="002A3889">
      <w:pPr>
        <w:pStyle w:val="ListParagraph"/>
        <w:numPr>
          <w:ilvl w:val="0"/>
          <w:numId w:val="382"/>
        </w:numPr>
        <w:autoSpaceDE w:val="0"/>
        <w:autoSpaceDN w:val="0"/>
        <w:adjustRightInd w:val="0"/>
        <w:spacing w:after="0" w:line="240" w:lineRule="auto"/>
        <w:ind w:left="284" w:hanging="284"/>
        <w:jc w:val="both"/>
        <w:rPr>
          <w:rFonts w:cstheme="minorHAnsi"/>
          <w:color w:val="000000"/>
        </w:rPr>
      </w:pPr>
      <w:r w:rsidRPr="00F145C2">
        <w:rPr>
          <w:rFonts w:cstheme="minorHAnsi"/>
          <w:color w:val="000000"/>
        </w:rPr>
        <w:t>dog on lead friendly areas</w:t>
      </w:r>
      <w:r>
        <w:rPr>
          <w:rFonts w:cstheme="minorHAnsi"/>
          <w:color w:val="000000"/>
        </w:rPr>
        <w:t xml:space="preserve"> (w</w:t>
      </w:r>
      <w:r w:rsidRPr="00F145C2">
        <w:rPr>
          <w:rFonts w:cstheme="minorHAnsi"/>
          <w:color w:val="000000"/>
        </w:rPr>
        <w:t>here appropriate</w:t>
      </w:r>
      <w:proofErr w:type="gramStart"/>
      <w:r>
        <w:rPr>
          <w:rFonts w:cstheme="minorHAnsi"/>
          <w:color w:val="000000"/>
        </w:rPr>
        <w:t>);</w:t>
      </w:r>
      <w:proofErr w:type="gramEnd"/>
    </w:p>
    <w:p w14:paraId="32B52C4E" w14:textId="77777777" w:rsidR="00EF1926" w:rsidRDefault="00EF1926" w:rsidP="002A3889">
      <w:pPr>
        <w:pStyle w:val="ListParagraph"/>
        <w:numPr>
          <w:ilvl w:val="0"/>
          <w:numId w:val="382"/>
        </w:numPr>
        <w:autoSpaceDE w:val="0"/>
        <w:autoSpaceDN w:val="0"/>
        <w:adjustRightInd w:val="0"/>
        <w:spacing w:after="0" w:line="240" w:lineRule="auto"/>
        <w:ind w:left="284" w:hanging="284"/>
        <w:jc w:val="both"/>
        <w:rPr>
          <w:rFonts w:cstheme="minorHAnsi"/>
          <w:color w:val="000000"/>
        </w:rPr>
      </w:pPr>
      <w:r>
        <w:rPr>
          <w:rFonts w:cstheme="minorHAnsi"/>
          <w:color w:val="000000"/>
        </w:rPr>
        <w:t xml:space="preserve">in an easily accessible location suitable for active and passive </w:t>
      </w:r>
      <w:proofErr w:type="gramStart"/>
      <w:r>
        <w:rPr>
          <w:rFonts w:cstheme="minorHAnsi"/>
          <w:color w:val="000000"/>
        </w:rPr>
        <w:t>surveillance;</w:t>
      </w:r>
      <w:proofErr w:type="gramEnd"/>
    </w:p>
    <w:p w14:paraId="6B718041" w14:textId="77777777" w:rsidR="00EF1926" w:rsidRDefault="00EF1926" w:rsidP="002A3889">
      <w:pPr>
        <w:pStyle w:val="ListParagraph"/>
        <w:numPr>
          <w:ilvl w:val="0"/>
          <w:numId w:val="382"/>
        </w:numPr>
        <w:autoSpaceDE w:val="0"/>
        <w:autoSpaceDN w:val="0"/>
        <w:adjustRightInd w:val="0"/>
        <w:spacing w:after="0" w:line="240" w:lineRule="auto"/>
        <w:ind w:left="284" w:hanging="284"/>
        <w:jc w:val="both"/>
        <w:rPr>
          <w:rFonts w:cstheme="minorHAnsi"/>
          <w:color w:val="000000"/>
        </w:rPr>
      </w:pPr>
      <w:r>
        <w:rPr>
          <w:rFonts w:cstheme="minorHAnsi"/>
          <w:color w:val="000000"/>
        </w:rPr>
        <w:t xml:space="preserve">of a suitable size and topography for the proposed </w:t>
      </w:r>
      <w:proofErr w:type="gramStart"/>
      <w:r>
        <w:rPr>
          <w:rFonts w:cstheme="minorHAnsi"/>
          <w:color w:val="000000"/>
        </w:rPr>
        <w:t>use;</w:t>
      </w:r>
      <w:proofErr w:type="gramEnd"/>
    </w:p>
    <w:p w14:paraId="7C52283C" w14:textId="77777777" w:rsidR="00EF1926" w:rsidRDefault="00EF1926" w:rsidP="002A3889">
      <w:pPr>
        <w:pStyle w:val="ListParagraph"/>
        <w:numPr>
          <w:ilvl w:val="0"/>
          <w:numId w:val="382"/>
        </w:numPr>
        <w:autoSpaceDE w:val="0"/>
        <w:autoSpaceDN w:val="0"/>
        <w:adjustRightInd w:val="0"/>
        <w:spacing w:after="0" w:line="240" w:lineRule="auto"/>
        <w:ind w:left="284" w:hanging="284"/>
        <w:jc w:val="both"/>
        <w:rPr>
          <w:rFonts w:cstheme="minorHAnsi"/>
          <w:color w:val="000000"/>
        </w:rPr>
      </w:pPr>
      <w:r>
        <w:rPr>
          <w:rFonts w:cstheme="minorHAnsi"/>
          <w:color w:val="000000"/>
        </w:rPr>
        <w:t xml:space="preserve">subject to community consultation with residents within at least a </w:t>
      </w:r>
      <w:proofErr w:type="gramStart"/>
      <w:r>
        <w:rPr>
          <w:rFonts w:cstheme="minorHAnsi"/>
          <w:color w:val="000000"/>
        </w:rPr>
        <w:t>400 metre</w:t>
      </w:r>
      <w:proofErr w:type="gramEnd"/>
      <w:r>
        <w:rPr>
          <w:rFonts w:cstheme="minorHAnsi"/>
          <w:color w:val="000000"/>
        </w:rPr>
        <w:t xml:space="preserve"> radius; and</w:t>
      </w:r>
    </w:p>
    <w:p w14:paraId="76DE71EA" w14:textId="77777777" w:rsidR="00EF1926" w:rsidRPr="00F145C2" w:rsidRDefault="00EF1926" w:rsidP="002A3889">
      <w:pPr>
        <w:pStyle w:val="ListParagraph"/>
        <w:numPr>
          <w:ilvl w:val="0"/>
          <w:numId w:val="382"/>
        </w:numPr>
        <w:autoSpaceDE w:val="0"/>
        <w:autoSpaceDN w:val="0"/>
        <w:adjustRightInd w:val="0"/>
        <w:spacing w:after="0" w:line="240" w:lineRule="auto"/>
        <w:ind w:left="284" w:hanging="284"/>
        <w:jc w:val="both"/>
        <w:rPr>
          <w:rFonts w:cstheme="minorHAnsi"/>
          <w:color w:val="000000"/>
        </w:rPr>
      </w:pPr>
      <w:r>
        <w:rPr>
          <w:rFonts w:cstheme="minorHAnsi"/>
          <w:color w:val="000000"/>
        </w:rPr>
        <w:t>formally endorsed by Council.</w:t>
      </w:r>
    </w:p>
    <w:p w14:paraId="4EC52268" w14:textId="77777777" w:rsidR="00EF1926" w:rsidRPr="00E65CB2" w:rsidRDefault="00EF1926" w:rsidP="00EF1926">
      <w:pPr>
        <w:autoSpaceDE w:val="0"/>
        <w:autoSpaceDN w:val="0"/>
        <w:adjustRightInd w:val="0"/>
        <w:spacing w:after="0"/>
        <w:ind w:left="3240" w:right="-59" w:hanging="3240"/>
        <w:jc w:val="both"/>
        <w:rPr>
          <w:rFonts w:cstheme="minorHAnsi"/>
          <w:b/>
          <w:bCs/>
          <w:color w:val="000000"/>
        </w:rPr>
      </w:pPr>
    </w:p>
    <w:p w14:paraId="7BC5C81E" w14:textId="77777777" w:rsidR="00EF1926" w:rsidRPr="00201EE4" w:rsidRDefault="00EF1926" w:rsidP="00EF1926">
      <w:pPr>
        <w:autoSpaceDE w:val="0"/>
        <w:autoSpaceDN w:val="0"/>
        <w:adjustRightInd w:val="0"/>
        <w:spacing w:after="0"/>
        <w:ind w:left="3240" w:right="-59" w:hanging="3240"/>
        <w:jc w:val="both"/>
        <w:rPr>
          <w:rFonts w:cstheme="minorHAnsi"/>
          <w:b/>
          <w:bCs/>
          <w:color w:val="000000"/>
          <w:sz w:val="28"/>
          <w:szCs w:val="28"/>
        </w:rPr>
      </w:pPr>
      <w:r>
        <w:rPr>
          <w:rFonts w:cstheme="minorHAnsi"/>
          <w:b/>
          <w:bCs/>
          <w:color w:val="000000"/>
          <w:sz w:val="28"/>
          <w:szCs w:val="28"/>
        </w:rPr>
        <w:t>Community Garden Process</w:t>
      </w:r>
    </w:p>
    <w:p w14:paraId="6D9B2D05" w14:textId="77777777" w:rsidR="00EF1926" w:rsidRPr="004D4A83" w:rsidRDefault="00EF1926" w:rsidP="00EF1926">
      <w:pPr>
        <w:autoSpaceDE w:val="0"/>
        <w:autoSpaceDN w:val="0"/>
        <w:adjustRightInd w:val="0"/>
        <w:spacing w:before="120" w:after="0"/>
        <w:ind w:left="3238" w:right="-57" w:hanging="3238"/>
        <w:jc w:val="both"/>
        <w:rPr>
          <w:rFonts w:cstheme="minorHAnsi"/>
          <w:b/>
          <w:bCs/>
          <w:i/>
          <w:color w:val="000000"/>
        </w:rPr>
      </w:pPr>
      <w:r>
        <w:rPr>
          <w:rFonts w:cstheme="minorHAnsi"/>
          <w:b/>
          <w:bCs/>
          <w:i/>
          <w:color w:val="000000"/>
        </w:rPr>
        <w:t>“Community Garden”</w:t>
      </w:r>
    </w:p>
    <w:p w14:paraId="751AF80C" w14:textId="77777777" w:rsidR="00EF1926" w:rsidRDefault="00EF1926" w:rsidP="002A3889">
      <w:pPr>
        <w:pStyle w:val="ListParagraph"/>
        <w:numPr>
          <w:ilvl w:val="0"/>
          <w:numId w:val="379"/>
        </w:numPr>
        <w:autoSpaceDE w:val="0"/>
        <w:autoSpaceDN w:val="0"/>
        <w:adjustRightInd w:val="0"/>
        <w:spacing w:after="0" w:line="240" w:lineRule="auto"/>
        <w:ind w:left="426" w:right="-59" w:hanging="426"/>
        <w:jc w:val="both"/>
        <w:rPr>
          <w:rFonts w:cstheme="minorHAnsi"/>
          <w:color w:val="000000"/>
        </w:rPr>
      </w:pPr>
      <w:r>
        <w:rPr>
          <w:rFonts w:cstheme="minorHAnsi"/>
          <w:color w:val="000000"/>
        </w:rPr>
        <w:t xml:space="preserve">Interested residents should form a Community Garden Committee consisting of at least five (5) members to formally approach the Town of East Fremantle with the proposal to establish a </w:t>
      </w:r>
      <w:r w:rsidRPr="002D5A8A">
        <w:rPr>
          <w:rFonts w:cstheme="minorHAnsi"/>
          <w:b/>
          <w:i/>
          <w:color w:val="000000"/>
        </w:rPr>
        <w:t>Community Garden</w:t>
      </w:r>
      <w:r>
        <w:rPr>
          <w:rFonts w:cstheme="minorHAnsi"/>
          <w:color w:val="000000"/>
        </w:rPr>
        <w:t xml:space="preserve">.  This enables the Town to ensure that there is a group willing to take a leadership role in the establishment and ongoing management of the proposed </w:t>
      </w:r>
      <w:r w:rsidRPr="002D5A8A">
        <w:rPr>
          <w:rFonts w:cstheme="minorHAnsi"/>
          <w:b/>
          <w:i/>
          <w:color w:val="000000"/>
        </w:rPr>
        <w:t>Community Garden</w:t>
      </w:r>
      <w:r>
        <w:rPr>
          <w:rFonts w:cstheme="minorHAnsi"/>
          <w:color w:val="000000"/>
        </w:rPr>
        <w:t xml:space="preserve">.  The proposal should </w:t>
      </w:r>
      <w:proofErr w:type="gramStart"/>
      <w:r>
        <w:rPr>
          <w:rFonts w:cstheme="minorHAnsi"/>
          <w:color w:val="000000"/>
        </w:rPr>
        <w:t>include;</w:t>
      </w:r>
      <w:proofErr w:type="gramEnd"/>
    </w:p>
    <w:p w14:paraId="26AADF78" w14:textId="77777777" w:rsidR="00EF1926" w:rsidRDefault="00EF1926" w:rsidP="002A3889">
      <w:pPr>
        <w:pStyle w:val="ListParagraph"/>
        <w:numPr>
          <w:ilvl w:val="0"/>
          <w:numId w:val="383"/>
        </w:numPr>
        <w:autoSpaceDE w:val="0"/>
        <w:autoSpaceDN w:val="0"/>
        <w:adjustRightInd w:val="0"/>
        <w:spacing w:after="0" w:line="240" w:lineRule="auto"/>
        <w:ind w:left="851" w:right="-59" w:hanging="425"/>
        <w:jc w:val="both"/>
        <w:rPr>
          <w:rFonts w:cstheme="minorHAnsi"/>
          <w:color w:val="000000"/>
        </w:rPr>
      </w:pPr>
      <w:r>
        <w:rPr>
          <w:rFonts w:cstheme="minorHAnsi"/>
          <w:color w:val="000000"/>
        </w:rPr>
        <w:t>Demonstration of the group’s capacity (commitment, knowledge, experience) to establish and manage the site</w:t>
      </w:r>
    </w:p>
    <w:p w14:paraId="044BC2DB" w14:textId="77777777" w:rsidR="00EF1926" w:rsidRDefault="00EF1926" w:rsidP="002A3889">
      <w:pPr>
        <w:pStyle w:val="ListParagraph"/>
        <w:numPr>
          <w:ilvl w:val="0"/>
          <w:numId w:val="383"/>
        </w:numPr>
        <w:autoSpaceDE w:val="0"/>
        <w:autoSpaceDN w:val="0"/>
        <w:adjustRightInd w:val="0"/>
        <w:spacing w:after="0" w:line="240" w:lineRule="auto"/>
        <w:ind w:left="851" w:right="-59" w:hanging="425"/>
        <w:jc w:val="both"/>
        <w:rPr>
          <w:rFonts w:cstheme="minorHAnsi"/>
          <w:color w:val="000000"/>
        </w:rPr>
      </w:pPr>
      <w:r>
        <w:rPr>
          <w:rFonts w:cstheme="minorHAnsi"/>
          <w:color w:val="000000"/>
        </w:rPr>
        <w:t>Evidence of support from possible partner organisations and / or residents</w:t>
      </w:r>
    </w:p>
    <w:p w14:paraId="697F113D" w14:textId="77777777" w:rsidR="00EF1926" w:rsidRDefault="00EF1926" w:rsidP="002A3889">
      <w:pPr>
        <w:pStyle w:val="ListParagraph"/>
        <w:numPr>
          <w:ilvl w:val="0"/>
          <w:numId w:val="383"/>
        </w:numPr>
        <w:autoSpaceDE w:val="0"/>
        <w:autoSpaceDN w:val="0"/>
        <w:adjustRightInd w:val="0"/>
        <w:spacing w:after="0" w:line="240" w:lineRule="auto"/>
        <w:ind w:left="851" w:right="-59" w:hanging="425"/>
        <w:jc w:val="both"/>
        <w:rPr>
          <w:rFonts w:cstheme="minorHAnsi"/>
          <w:color w:val="000000"/>
        </w:rPr>
      </w:pPr>
      <w:r>
        <w:rPr>
          <w:rFonts w:cstheme="minorHAnsi"/>
          <w:color w:val="000000"/>
        </w:rPr>
        <w:t>A basic design and construction plan, including identified funding sources</w:t>
      </w:r>
    </w:p>
    <w:p w14:paraId="4AC54E84" w14:textId="77777777" w:rsidR="00EF1926" w:rsidRDefault="00EF1926" w:rsidP="002A3889">
      <w:pPr>
        <w:pStyle w:val="ListParagraph"/>
        <w:numPr>
          <w:ilvl w:val="0"/>
          <w:numId w:val="379"/>
        </w:numPr>
        <w:autoSpaceDE w:val="0"/>
        <w:autoSpaceDN w:val="0"/>
        <w:adjustRightInd w:val="0"/>
        <w:spacing w:before="120" w:after="0" w:line="240" w:lineRule="auto"/>
        <w:ind w:left="425" w:right="-57" w:hanging="425"/>
        <w:contextualSpacing w:val="0"/>
        <w:jc w:val="both"/>
        <w:rPr>
          <w:rFonts w:cstheme="minorHAnsi"/>
          <w:color w:val="000000"/>
        </w:rPr>
      </w:pPr>
      <w:r>
        <w:rPr>
          <w:rFonts w:cstheme="minorHAnsi"/>
          <w:color w:val="000000"/>
        </w:rPr>
        <w:t xml:space="preserve">If not already incorporated, the Community Garden </w:t>
      </w:r>
      <w:r>
        <w:rPr>
          <w:rFonts w:cstheme="minorHAnsi"/>
          <w:bCs/>
          <w:color w:val="000000"/>
        </w:rPr>
        <w:t>Committee</w:t>
      </w:r>
      <w:r>
        <w:rPr>
          <w:rFonts w:cstheme="minorHAnsi"/>
          <w:color w:val="000000"/>
        </w:rPr>
        <w:t xml:space="preserve"> b</w:t>
      </w:r>
      <w:r w:rsidRPr="00201EE4">
        <w:rPr>
          <w:rFonts w:cstheme="minorHAnsi"/>
          <w:color w:val="000000"/>
        </w:rPr>
        <w:t>ecome</w:t>
      </w:r>
      <w:r>
        <w:rPr>
          <w:rFonts w:cstheme="minorHAnsi"/>
          <w:color w:val="000000"/>
        </w:rPr>
        <w:t>s an I</w:t>
      </w:r>
      <w:r w:rsidRPr="00201EE4">
        <w:rPr>
          <w:rFonts w:cstheme="minorHAnsi"/>
          <w:color w:val="000000"/>
        </w:rPr>
        <w:t xml:space="preserve">ncorporated </w:t>
      </w:r>
      <w:r>
        <w:rPr>
          <w:rFonts w:cstheme="minorHAnsi"/>
          <w:color w:val="000000"/>
        </w:rPr>
        <w:t>A</w:t>
      </w:r>
      <w:r w:rsidRPr="00201EE4">
        <w:rPr>
          <w:rFonts w:cstheme="minorHAnsi"/>
          <w:color w:val="000000"/>
        </w:rPr>
        <w:t>ssociation</w:t>
      </w:r>
      <w:r>
        <w:rPr>
          <w:rFonts w:cstheme="minorHAnsi"/>
          <w:color w:val="000000"/>
        </w:rPr>
        <w:t>, under the Associations Incorporations Act 2015,</w:t>
      </w:r>
      <w:r w:rsidRPr="00201EE4">
        <w:rPr>
          <w:rFonts w:cstheme="minorHAnsi"/>
          <w:color w:val="000000"/>
        </w:rPr>
        <w:t xml:space="preserve"> </w:t>
      </w:r>
      <w:proofErr w:type="gramStart"/>
      <w:r w:rsidRPr="00201EE4">
        <w:rPr>
          <w:rFonts w:cstheme="minorHAnsi"/>
          <w:color w:val="000000"/>
        </w:rPr>
        <w:t>in order t</w:t>
      </w:r>
      <w:r>
        <w:rPr>
          <w:rFonts w:cstheme="minorHAnsi"/>
          <w:color w:val="000000"/>
        </w:rPr>
        <w:t>o</w:t>
      </w:r>
      <w:proofErr w:type="gramEnd"/>
      <w:r>
        <w:rPr>
          <w:rFonts w:cstheme="minorHAnsi"/>
          <w:color w:val="000000"/>
        </w:rPr>
        <w:t xml:space="preserve"> manage their legal structure and insurance / fund management requirements.</w:t>
      </w:r>
    </w:p>
    <w:p w14:paraId="0E61F360" w14:textId="77777777" w:rsidR="00EF1926" w:rsidRPr="005F15FA" w:rsidRDefault="00EF1926" w:rsidP="00EF1926">
      <w:pPr>
        <w:pStyle w:val="ListParagraph"/>
        <w:autoSpaceDE w:val="0"/>
        <w:autoSpaceDN w:val="0"/>
        <w:adjustRightInd w:val="0"/>
        <w:spacing w:after="0"/>
        <w:ind w:left="426" w:right="-59"/>
        <w:jc w:val="both"/>
        <w:rPr>
          <w:rFonts w:cstheme="minorHAnsi"/>
          <w:i/>
          <w:color w:val="000000"/>
        </w:rPr>
      </w:pPr>
      <w:r w:rsidRPr="005F15FA">
        <w:rPr>
          <w:rFonts w:cstheme="minorHAnsi"/>
          <w:i/>
        </w:rPr>
        <w:t>Unincorporated groups cannot be considered by Council as an organisation suitable to manage or control a community garden due to l</w:t>
      </w:r>
      <w:r w:rsidRPr="005F15FA">
        <w:rPr>
          <w:rFonts w:cstheme="minorHAnsi"/>
          <w:i/>
          <w:color w:val="000000"/>
        </w:rPr>
        <w:t>egal and insurance requirements.</w:t>
      </w:r>
    </w:p>
    <w:p w14:paraId="5EC2600C" w14:textId="77777777" w:rsidR="00EF1926" w:rsidRDefault="00EF1926" w:rsidP="002A3889">
      <w:pPr>
        <w:numPr>
          <w:ilvl w:val="0"/>
          <w:numId w:val="379"/>
        </w:numPr>
        <w:autoSpaceDE w:val="0"/>
        <w:autoSpaceDN w:val="0"/>
        <w:adjustRightInd w:val="0"/>
        <w:spacing w:before="120" w:after="0" w:line="240" w:lineRule="auto"/>
        <w:ind w:left="425" w:hanging="425"/>
        <w:jc w:val="both"/>
        <w:rPr>
          <w:rFonts w:cstheme="minorHAnsi"/>
          <w:color w:val="000000"/>
        </w:rPr>
      </w:pPr>
      <w:r>
        <w:rPr>
          <w:rFonts w:cstheme="minorHAnsi"/>
          <w:bCs/>
          <w:color w:val="000000"/>
        </w:rPr>
        <w:lastRenderedPageBreak/>
        <w:t>The Incorporated Association enters into an agreement with the Town, and agrees to a</w:t>
      </w:r>
      <w:r w:rsidRPr="0085472F">
        <w:rPr>
          <w:rFonts w:cstheme="minorHAnsi"/>
          <w:color w:val="000000"/>
        </w:rPr>
        <w:t>bide by the t</w:t>
      </w:r>
      <w:r>
        <w:rPr>
          <w:rFonts w:cstheme="minorHAnsi"/>
          <w:color w:val="000000"/>
        </w:rPr>
        <w:t xml:space="preserve">erms therein, designating them as the manager of the </w:t>
      </w:r>
      <w:r w:rsidRPr="005F15FA">
        <w:rPr>
          <w:rFonts w:cstheme="minorHAnsi"/>
          <w:b/>
          <w:i/>
          <w:color w:val="000000"/>
        </w:rPr>
        <w:t>Community Garden</w:t>
      </w:r>
      <w:r>
        <w:rPr>
          <w:rFonts w:cstheme="minorHAnsi"/>
          <w:color w:val="000000"/>
        </w:rPr>
        <w:t>.</w:t>
      </w:r>
    </w:p>
    <w:p w14:paraId="61EB92B6" w14:textId="77777777" w:rsidR="00EF1926" w:rsidRDefault="00EF1926" w:rsidP="00EF1926">
      <w:pPr>
        <w:autoSpaceDE w:val="0"/>
        <w:autoSpaceDN w:val="0"/>
        <w:adjustRightInd w:val="0"/>
        <w:spacing w:after="0"/>
        <w:ind w:left="426"/>
        <w:jc w:val="both"/>
        <w:rPr>
          <w:rFonts w:cstheme="minorHAnsi"/>
          <w:i/>
          <w:color w:val="000000"/>
        </w:rPr>
      </w:pPr>
      <w:r>
        <w:rPr>
          <w:rFonts w:cstheme="minorHAnsi"/>
          <w:i/>
          <w:color w:val="000000"/>
        </w:rPr>
        <w:t>The</w:t>
      </w:r>
      <w:r w:rsidRPr="005F15FA">
        <w:rPr>
          <w:rFonts w:cstheme="minorHAnsi"/>
          <w:i/>
          <w:color w:val="000000"/>
        </w:rPr>
        <w:t xml:space="preserve"> terms </w:t>
      </w:r>
      <w:r>
        <w:rPr>
          <w:rFonts w:cstheme="minorHAnsi"/>
          <w:i/>
          <w:color w:val="000000"/>
        </w:rPr>
        <w:t xml:space="preserve">of the </w:t>
      </w:r>
      <w:r w:rsidRPr="00DF7BE8">
        <w:rPr>
          <w:rFonts w:cstheme="minorHAnsi"/>
          <w:b/>
          <w:i/>
          <w:color w:val="000000"/>
        </w:rPr>
        <w:t>Community Garden Agreement</w:t>
      </w:r>
      <w:r>
        <w:rPr>
          <w:rFonts w:cstheme="minorHAnsi"/>
          <w:i/>
          <w:color w:val="000000"/>
        </w:rPr>
        <w:t xml:space="preserve"> will include reference to water</w:t>
      </w:r>
      <w:r w:rsidRPr="005F15FA">
        <w:rPr>
          <w:rFonts w:cstheme="minorHAnsi"/>
          <w:i/>
          <w:color w:val="000000"/>
        </w:rPr>
        <w:t xml:space="preserve"> access</w:t>
      </w:r>
      <w:r>
        <w:rPr>
          <w:rFonts w:cstheme="minorHAnsi"/>
          <w:i/>
          <w:color w:val="000000"/>
        </w:rPr>
        <w:t xml:space="preserve"> and the responsibility for the payment of costs associated with this supply.</w:t>
      </w:r>
    </w:p>
    <w:p w14:paraId="25682E9B" w14:textId="77777777" w:rsidR="00EF1926" w:rsidRDefault="00EF1926" w:rsidP="002A3889">
      <w:pPr>
        <w:numPr>
          <w:ilvl w:val="0"/>
          <w:numId w:val="379"/>
        </w:numPr>
        <w:autoSpaceDE w:val="0"/>
        <w:autoSpaceDN w:val="0"/>
        <w:adjustRightInd w:val="0"/>
        <w:spacing w:before="120" w:after="0" w:line="240" w:lineRule="auto"/>
        <w:ind w:left="425" w:hanging="425"/>
        <w:jc w:val="both"/>
        <w:rPr>
          <w:rFonts w:cstheme="minorHAnsi"/>
          <w:color w:val="000000"/>
        </w:rPr>
      </w:pPr>
      <w:r>
        <w:rPr>
          <w:rFonts w:cstheme="minorHAnsi"/>
          <w:color w:val="000000"/>
        </w:rPr>
        <w:t xml:space="preserve">The </w:t>
      </w:r>
      <w:r>
        <w:rPr>
          <w:rFonts w:cstheme="minorHAnsi"/>
          <w:bCs/>
          <w:color w:val="000000"/>
        </w:rPr>
        <w:t xml:space="preserve">Incorporated Association </w:t>
      </w:r>
      <w:r>
        <w:rPr>
          <w:rFonts w:cstheme="minorHAnsi"/>
          <w:color w:val="000000"/>
        </w:rPr>
        <w:t>s</w:t>
      </w:r>
      <w:r w:rsidRPr="0085472F">
        <w:rPr>
          <w:rFonts w:cstheme="minorHAnsi"/>
          <w:color w:val="000000"/>
        </w:rPr>
        <w:t>ource</w:t>
      </w:r>
      <w:r>
        <w:rPr>
          <w:rFonts w:cstheme="minorHAnsi"/>
          <w:color w:val="000000"/>
        </w:rPr>
        <w:t>s</w:t>
      </w:r>
      <w:r w:rsidRPr="0085472F">
        <w:rPr>
          <w:rFonts w:cstheme="minorHAnsi"/>
          <w:color w:val="000000"/>
        </w:rPr>
        <w:t xml:space="preserve"> any necessary fundin</w:t>
      </w:r>
      <w:r>
        <w:rPr>
          <w:rFonts w:cstheme="minorHAnsi"/>
          <w:color w:val="000000"/>
        </w:rPr>
        <w:t>g for the establishment of the Community G</w:t>
      </w:r>
      <w:r w:rsidRPr="0085472F">
        <w:rPr>
          <w:rFonts w:cstheme="minorHAnsi"/>
          <w:color w:val="000000"/>
        </w:rPr>
        <w:t>ard</w:t>
      </w:r>
      <w:r w:rsidRPr="00201EE4">
        <w:rPr>
          <w:rFonts w:cstheme="minorHAnsi"/>
          <w:color w:val="000000"/>
        </w:rPr>
        <w:t>en</w:t>
      </w:r>
      <w:r>
        <w:rPr>
          <w:rFonts w:cstheme="minorHAnsi"/>
          <w:color w:val="000000"/>
        </w:rPr>
        <w:t>.</w:t>
      </w:r>
    </w:p>
    <w:p w14:paraId="28D0A5A9" w14:textId="77777777" w:rsidR="00EF1926" w:rsidRDefault="00EF1926" w:rsidP="002A3889">
      <w:pPr>
        <w:pStyle w:val="ListParagraph"/>
        <w:numPr>
          <w:ilvl w:val="0"/>
          <w:numId w:val="379"/>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No statutory approvals are required unless the proposal includes building, structures or retaining walls greater than 500mm in height which require Development Approval.  Such buildings and structures will be required to consider the Town’s Wood Encouragement Policy.</w:t>
      </w:r>
    </w:p>
    <w:p w14:paraId="67700475" w14:textId="77777777" w:rsidR="00EF1926" w:rsidRPr="00011AAC" w:rsidRDefault="00EF1926" w:rsidP="002A3889">
      <w:pPr>
        <w:numPr>
          <w:ilvl w:val="0"/>
          <w:numId w:val="379"/>
        </w:numPr>
        <w:autoSpaceDE w:val="0"/>
        <w:autoSpaceDN w:val="0"/>
        <w:adjustRightInd w:val="0"/>
        <w:spacing w:before="120" w:after="0" w:line="240" w:lineRule="auto"/>
        <w:ind w:left="425" w:hanging="425"/>
        <w:jc w:val="both"/>
        <w:rPr>
          <w:rFonts w:cstheme="minorHAnsi"/>
          <w:color w:val="000000"/>
        </w:rPr>
      </w:pPr>
      <w:r w:rsidRPr="00011AAC">
        <w:rPr>
          <w:rFonts w:cstheme="minorHAnsi"/>
          <w:color w:val="000000"/>
        </w:rPr>
        <w:t xml:space="preserve">The </w:t>
      </w:r>
      <w:r>
        <w:rPr>
          <w:rFonts w:cstheme="minorHAnsi"/>
          <w:bCs/>
          <w:color w:val="000000"/>
        </w:rPr>
        <w:t xml:space="preserve">Incorporated Association </w:t>
      </w:r>
      <w:r>
        <w:rPr>
          <w:rFonts w:cstheme="minorHAnsi"/>
          <w:color w:val="000000"/>
        </w:rPr>
        <w:t>maintains financial</w:t>
      </w:r>
      <w:r w:rsidRPr="00011AAC">
        <w:rPr>
          <w:rFonts w:cstheme="minorHAnsi"/>
          <w:color w:val="000000"/>
        </w:rPr>
        <w:t xml:space="preserve"> </w:t>
      </w:r>
      <w:r>
        <w:rPr>
          <w:rFonts w:cstheme="minorHAnsi"/>
          <w:color w:val="000000"/>
        </w:rPr>
        <w:t xml:space="preserve">viability and </w:t>
      </w:r>
      <w:r w:rsidRPr="00011AAC">
        <w:rPr>
          <w:rFonts w:cstheme="minorHAnsi"/>
          <w:color w:val="000000"/>
        </w:rPr>
        <w:t>appropriate insurance cover.</w:t>
      </w:r>
    </w:p>
    <w:p w14:paraId="4F67E1F5" w14:textId="77777777" w:rsidR="00EF1926" w:rsidRDefault="00EF1926" w:rsidP="002A3889">
      <w:pPr>
        <w:numPr>
          <w:ilvl w:val="0"/>
          <w:numId w:val="379"/>
        </w:numPr>
        <w:autoSpaceDE w:val="0"/>
        <w:autoSpaceDN w:val="0"/>
        <w:adjustRightInd w:val="0"/>
        <w:spacing w:before="120" w:after="0" w:line="240" w:lineRule="auto"/>
        <w:ind w:left="425" w:hanging="425"/>
        <w:jc w:val="both"/>
        <w:rPr>
          <w:rFonts w:cstheme="minorHAnsi"/>
          <w:color w:val="000000"/>
        </w:rPr>
      </w:pPr>
      <w:r w:rsidRPr="001F1083">
        <w:rPr>
          <w:rFonts w:cstheme="minorHAnsi"/>
          <w:color w:val="000000"/>
        </w:rPr>
        <w:t xml:space="preserve">The </w:t>
      </w:r>
      <w:r>
        <w:rPr>
          <w:rFonts w:cstheme="minorHAnsi"/>
          <w:bCs/>
          <w:color w:val="000000"/>
        </w:rPr>
        <w:t xml:space="preserve">Incorporated Association </w:t>
      </w:r>
      <w:r w:rsidRPr="001F1083">
        <w:rPr>
          <w:rFonts w:cstheme="minorHAnsi"/>
          <w:color w:val="000000"/>
        </w:rPr>
        <w:t>remains respon</w:t>
      </w:r>
      <w:r>
        <w:rPr>
          <w:rFonts w:cstheme="minorHAnsi"/>
          <w:color w:val="000000"/>
        </w:rPr>
        <w:t>sible for ongoing maintenance.</w:t>
      </w:r>
    </w:p>
    <w:p w14:paraId="5F544B98" w14:textId="77777777" w:rsidR="00EF1926" w:rsidRPr="001F1083" w:rsidRDefault="00EF1926" w:rsidP="002A3889">
      <w:pPr>
        <w:numPr>
          <w:ilvl w:val="0"/>
          <w:numId w:val="379"/>
        </w:numPr>
        <w:autoSpaceDE w:val="0"/>
        <w:autoSpaceDN w:val="0"/>
        <w:adjustRightInd w:val="0"/>
        <w:spacing w:before="120" w:after="0" w:line="240" w:lineRule="auto"/>
        <w:ind w:left="425" w:hanging="425"/>
        <w:jc w:val="both"/>
        <w:rPr>
          <w:rFonts w:cstheme="minorHAnsi"/>
          <w:color w:val="000000"/>
        </w:rPr>
      </w:pPr>
      <w:r w:rsidRPr="001F1083">
        <w:rPr>
          <w:rFonts w:cstheme="minorHAnsi"/>
          <w:color w:val="000000"/>
        </w:rPr>
        <w:t xml:space="preserve">The </w:t>
      </w:r>
      <w:r>
        <w:rPr>
          <w:rFonts w:cstheme="minorHAnsi"/>
          <w:bCs/>
          <w:color w:val="000000"/>
        </w:rPr>
        <w:t xml:space="preserve">Incorporated Association </w:t>
      </w:r>
      <w:r w:rsidRPr="001F1083">
        <w:rPr>
          <w:rFonts w:cstheme="minorHAnsi"/>
          <w:color w:val="000000"/>
        </w:rPr>
        <w:t xml:space="preserve">will return the site to its original </w:t>
      </w:r>
      <w:r>
        <w:rPr>
          <w:rFonts w:cstheme="minorHAnsi"/>
          <w:color w:val="000000"/>
        </w:rPr>
        <w:t xml:space="preserve">(or a mutually agreed) </w:t>
      </w:r>
      <w:r w:rsidRPr="001F1083">
        <w:rPr>
          <w:rFonts w:cstheme="minorHAnsi"/>
          <w:color w:val="000000"/>
        </w:rPr>
        <w:t xml:space="preserve">condition should they </w:t>
      </w:r>
      <w:proofErr w:type="gramStart"/>
      <w:r w:rsidRPr="001F1083">
        <w:rPr>
          <w:rFonts w:cstheme="minorHAnsi"/>
          <w:color w:val="000000"/>
        </w:rPr>
        <w:t>disband</w:t>
      </w:r>
      <w:proofErr w:type="gramEnd"/>
      <w:r w:rsidRPr="001F1083">
        <w:rPr>
          <w:rFonts w:cstheme="minorHAnsi"/>
          <w:color w:val="000000"/>
        </w:rPr>
        <w:t xml:space="preserve"> or the lease not be renewed</w:t>
      </w:r>
      <w:r>
        <w:rPr>
          <w:rFonts w:cstheme="minorHAnsi"/>
          <w:color w:val="000000"/>
        </w:rPr>
        <w:t>.</w:t>
      </w:r>
    </w:p>
    <w:p w14:paraId="3FE4ED05" w14:textId="77777777" w:rsidR="00EF1926" w:rsidRDefault="00EF1926" w:rsidP="00EF1926">
      <w:pPr>
        <w:autoSpaceDE w:val="0"/>
        <w:autoSpaceDN w:val="0"/>
        <w:adjustRightInd w:val="0"/>
        <w:spacing w:after="0"/>
        <w:jc w:val="both"/>
        <w:rPr>
          <w:rFonts w:cstheme="minorHAnsi"/>
          <w:color w:val="000000"/>
        </w:rPr>
      </w:pPr>
    </w:p>
    <w:p w14:paraId="4C65BABF" w14:textId="77777777" w:rsidR="00EF1926" w:rsidRPr="004D4A83" w:rsidRDefault="00EF1926" w:rsidP="00EF1926">
      <w:pPr>
        <w:autoSpaceDE w:val="0"/>
        <w:autoSpaceDN w:val="0"/>
        <w:adjustRightInd w:val="0"/>
        <w:spacing w:after="0"/>
        <w:jc w:val="both"/>
        <w:rPr>
          <w:rFonts w:cstheme="minorHAnsi"/>
          <w:b/>
          <w:i/>
          <w:color w:val="000000"/>
        </w:rPr>
      </w:pPr>
      <w:r>
        <w:rPr>
          <w:rFonts w:cstheme="minorHAnsi"/>
          <w:b/>
          <w:i/>
          <w:color w:val="000000"/>
        </w:rPr>
        <w:t>“</w:t>
      </w:r>
      <w:r w:rsidRPr="004D4A83">
        <w:rPr>
          <w:rFonts w:cstheme="minorHAnsi"/>
          <w:b/>
          <w:i/>
          <w:color w:val="000000"/>
        </w:rPr>
        <w:t>Garden for the Community</w:t>
      </w:r>
      <w:r>
        <w:rPr>
          <w:rFonts w:cstheme="minorHAnsi"/>
          <w:b/>
          <w:i/>
          <w:color w:val="000000"/>
        </w:rPr>
        <w:t>”</w:t>
      </w:r>
    </w:p>
    <w:p w14:paraId="75BA1ABC" w14:textId="77777777" w:rsidR="00EF1926" w:rsidRDefault="00EF1926" w:rsidP="002A3889">
      <w:pPr>
        <w:pStyle w:val="ListParagraph"/>
        <w:numPr>
          <w:ilvl w:val="0"/>
          <w:numId w:val="381"/>
        </w:numPr>
        <w:autoSpaceDE w:val="0"/>
        <w:autoSpaceDN w:val="0"/>
        <w:adjustRightInd w:val="0"/>
        <w:spacing w:after="0" w:line="240" w:lineRule="auto"/>
        <w:ind w:left="426" w:hanging="426"/>
        <w:jc w:val="both"/>
        <w:rPr>
          <w:rFonts w:cstheme="minorHAnsi"/>
          <w:color w:val="000000"/>
        </w:rPr>
      </w:pPr>
      <w:r>
        <w:rPr>
          <w:rFonts w:cstheme="minorHAnsi"/>
          <w:color w:val="000000"/>
        </w:rPr>
        <w:t xml:space="preserve">The Town will identify and allocate suitable land under the Town’s control and management for the facilitation of a community accessible garden area. </w:t>
      </w:r>
    </w:p>
    <w:p w14:paraId="7FA086F8" w14:textId="77777777" w:rsidR="00EF1926" w:rsidRDefault="00EF1926" w:rsidP="002A3889">
      <w:pPr>
        <w:pStyle w:val="ListParagraph"/>
        <w:numPr>
          <w:ilvl w:val="0"/>
          <w:numId w:val="381"/>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 xml:space="preserve">No statutory approvals are required unless the proposal includes building, structures or retaining walls over 500mm in height which require Development Approval.  Such buildings and structures will be required to consider the Town’s Wood Encouragement Policy. </w:t>
      </w:r>
    </w:p>
    <w:p w14:paraId="4C66CEDB" w14:textId="77777777" w:rsidR="00EF1926" w:rsidRDefault="00EF1926" w:rsidP="002A3889">
      <w:pPr>
        <w:pStyle w:val="ListParagraph"/>
        <w:numPr>
          <w:ilvl w:val="0"/>
          <w:numId w:val="381"/>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The Town will as required provide suitable infrastructure and / or vegetation to provide shaded areas for public recreation.</w:t>
      </w:r>
    </w:p>
    <w:p w14:paraId="1F1A7DA7" w14:textId="77777777" w:rsidR="00EF1926" w:rsidRDefault="00EF1926" w:rsidP="002A3889">
      <w:pPr>
        <w:pStyle w:val="ListParagraph"/>
        <w:numPr>
          <w:ilvl w:val="0"/>
          <w:numId w:val="381"/>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The Town will have a requirement, where deemed appropriate to plant native species of vegetation.</w:t>
      </w:r>
    </w:p>
    <w:p w14:paraId="56533E31" w14:textId="77777777" w:rsidR="00EF1926" w:rsidRDefault="00EF1926" w:rsidP="002A3889">
      <w:pPr>
        <w:pStyle w:val="ListParagraph"/>
        <w:numPr>
          <w:ilvl w:val="0"/>
          <w:numId w:val="381"/>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 xml:space="preserve">The Town will endeavour to increase the Town’s urban forest canopy where appropriate. </w:t>
      </w:r>
    </w:p>
    <w:p w14:paraId="5285C56D" w14:textId="77777777" w:rsidR="00EF1926" w:rsidRDefault="00EF1926" w:rsidP="002A3889">
      <w:pPr>
        <w:pStyle w:val="ListParagraph"/>
        <w:numPr>
          <w:ilvl w:val="0"/>
          <w:numId w:val="381"/>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 xml:space="preserve">The Town will project manage the establishment of the garden, with a concept design to be developed and advertised for public comment. </w:t>
      </w:r>
    </w:p>
    <w:p w14:paraId="70F3C874" w14:textId="77777777" w:rsidR="00EF1926" w:rsidRDefault="00EF1926" w:rsidP="002A3889">
      <w:pPr>
        <w:pStyle w:val="ListParagraph"/>
        <w:numPr>
          <w:ilvl w:val="0"/>
          <w:numId w:val="381"/>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 xml:space="preserve">The Town will endeavour to deliver Water Wise and Waste Wise outcomes, and sub funding under these programs. </w:t>
      </w:r>
      <w:r w:rsidRPr="004A19B8">
        <w:rPr>
          <w:rFonts w:cstheme="minorHAnsi"/>
          <w:color w:val="000000"/>
        </w:rPr>
        <w:t xml:space="preserve"> </w:t>
      </w:r>
      <w:r>
        <w:rPr>
          <w:rFonts w:cstheme="minorHAnsi"/>
          <w:color w:val="000000"/>
        </w:rPr>
        <w:t xml:space="preserve">However, it is acknowledged that the </w:t>
      </w:r>
      <w:r w:rsidRPr="004A19B8">
        <w:rPr>
          <w:rFonts w:cstheme="minorHAnsi"/>
          <w:color w:val="000000"/>
        </w:rPr>
        <w:t xml:space="preserve">Town will have limited </w:t>
      </w:r>
      <w:r>
        <w:rPr>
          <w:rFonts w:cstheme="minorHAnsi"/>
          <w:color w:val="000000"/>
        </w:rPr>
        <w:t>access to external funding (</w:t>
      </w:r>
      <w:r w:rsidRPr="004A19B8">
        <w:rPr>
          <w:rFonts w:cstheme="minorHAnsi"/>
          <w:color w:val="000000"/>
        </w:rPr>
        <w:t xml:space="preserve">as </w:t>
      </w:r>
      <w:r>
        <w:rPr>
          <w:rFonts w:cstheme="minorHAnsi"/>
          <w:color w:val="000000"/>
        </w:rPr>
        <w:t xml:space="preserve">the space will </w:t>
      </w:r>
      <w:r w:rsidRPr="004A19B8">
        <w:rPr>
          <w:rFonts w:cstheme="minorHAnsi"/>
          <w:color w:val="000000"/>
        </w:rPr>
        <w:t xml:space="preserve">not </w:t>
      </w:r>
      <w:r>
        <w:rPr>
          <w:rFonts w:cstheme="minorHAnsi"/>
          <w:color w:val="000000"/>
        </w:rPr>
        <w:t xml:space="preserve">be recognised as </w:t>
      </w:r>
      <w:r w:rsidRPr="004A19B8">
        <w:rPr>
          <w:rFonts w:cstheme="minorHAnsi"/>
          <w:color w:val="000000"/>
        </w:rPr>
        <w:t>an Incorporated Community Garden</w:t>
      </w:r>
      <w:r>
        <w:rPr>
          <w:rFonts w:cstheme="minorHAnsi"/>
          <w:color w:val="000000"/>
        </w:rPr>
        <w:t>)</w:t>
      </w:r>
      <w:r w:rsidRPr="004A19B8">
        <w:rPr>
          <w:rFonts w:cstheme="minorHAnsi"/>
          <w:color w:val="000000"/>
        </w:rPr>
        <w:t>.</w:t>
      </w:r>
    </w:p>
    <w:p w14:paraId="535DEC85" w14:textId="77777777" w:rsidR="00EF1926" w:rsidRPr="00E65CB2" w:rsidRDefault="00EF1926" w:rsidP="002A3889">
      <w:pPr>
        <w:pStyle w:val="ListParagraph"/>
        <w:numPr>
          <w:ilvl w:val="0"/>
          <w:numId w:val="381"/>
        </w:numPr>
        <w:autoSpaceDE w:val="0"/>
        <w:autoSpaceDN w:val="0"/>
        <w:adjustRightInd w:val="0"/>
        <w:spacing w:before="120" w:after="0" w:line="240" w:lineRule="auto"/>
        <w:ind w:left="425" w:hanging="425"/>
        <w:contextualSpacing w:val="0"/>
        <w:jc w:val="both"/>
        <w:rPr>
          <w:rFonts w:cstheme="minorHAnsi"/>
          <w:color w:val="000000"/>
        </w:rPr>
      </w:pPr>
      <w:r w:rsidRPr="00E65CB2">
        <w:rPr>
          <w:rFonts w:cstheme="minorHAnsi"/>
          <w:color w:val="000000"/>
        </w:rPr>
        <w:t>Community members who wish to work in the garden will be registered as volunteers.</w:t>
      </w:r>
    </w:p>
    <w:p w14:paraId="55479730" w14:textId="77777777" w:rsidR="00EF1926" w:rsidRDefault="00EF1926" w:rsidP="002A3889">
      <w:pPr>
        <w:pStyle w:val="ListParagraph"/>
        <w:numPr>
          <w:ilvl w:val="0"/>
          <w:numId w:val="381"/>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The garden will be recognised as a public open space for visitors.</w:t>
      </w:r>
    </w:p>
    <w:p w14:paraId="367FE35B" w14:textId="77777777" w:rsidR="00EF1926" w:rsidRDefault="00EF1926" w:rsidP="00EF1926">
      <w:pPr>
        <w:autoSpaceDE w:val="0"/>
        <w:autoSpaceDN w:val="0"/>
        <w:adjustRightInd w:val="0"/>
        <w:spacing w:after="0"/>
        <w:jc w:val="both"/>
        <w:rPr>
          <w:rFonts w:cstheme="minorHAnsi"/>
          <w:b/>
          <w:color w:val="000000"/>
        </w:rPr>
      </w:pPr>
    </w:p>
    <w:p w14:paraId="6341E882" w14:textId="77777777" w:rsidR="00EF1926" w:rsidRPr="0085472F" w:rsidRDefault="00EF1926" w:rsidP="00EF1926">
      <w:pPr>
        <w:autoSpaceDE w:val="0"/>
        <w:autoSpaceDN w:val="0"/>
        <w:adjustRightInd w:val="0"/>
        <w:spacing w:after="0"/>
        <w:ind w:left="3240" w:right="-59" w:hanging="3240"/>
        <w:jc w:val="both"/>
        <w:rPr>
          <w:rFonts w:cstheme="minorHAnsi"/>
          <w:color w:val="000000"/>
          <w:sz w:val="28"/>
          <w:szCs w:val="28"/>
        </w:rPr>
      </w:pPr>
      <w:r w:rsidRPr="0085472F">
        <w:rPr>
          <w:rFonts w:cstheme="minorHAnsi"/>
          <w:b/>
          <w:bCs/>
          <w:color w:val="000000"/>
          <w:sz w:val="28"/>
          <w:szCs w:val="28"/>
        </w:rPr>
        <w:t xml:space="preserve">Policy </w:t>
      </w:r>
      <w:r>
        <w:rPr>
          <w:rFonts w:cstheme="minorHAnsi"/>
          <w:b/>
          <w:bCs/>
          <w:color w:val="000000"/>
          <w:sz w:val="28"/>
          <w:szCs w:val="28"/>
        </w:rPr>
        <w:t xml:space="preserve">for Incorporated Community Gardens </w:t>
      </w:r>
    </w:p>
    <w:p w14:paraId="7281A3E2" w14:textId="77777777" w:rsidR="00EF1926" w:rsidRPr="00011AAC" w:rsidRDefault="00EF1926" w:rsidP="00EF1926">
      <w:pPr>
        <w:autoSpaceDE w:val="0"/>
        <w:autoSpaceDN w:val="0"/>
        <w:adjustRightInd w:val="0"/>
        <w:spacing w:after="120"/>
        <w:jc w:val="both"/>
        <w:rPr>
          <w:rFonts w:cstheme="minorHAnsi"/>
          <w:color w:val="000000"/>
        </w:rPr>
      </w:pPr>
      <w:r w:rsidRPr="00011AAC">
        <w:rPr>
          <w:rFonts w:cstheme="minorHAnsi"/>
          <w:color w:val="000000"/>
        </w:rPr>
        <w:t xml:space="preserve">It is the responsibility of the Town of East Fremantle </w:t>
      </w:r>
      <w:proofErr w:type="gramStart"/>
      <w:r w:rsidRPr="00011AAC">
        <w:rPr>
          <w:rFonts w:cstheme="minorHAnsi"/>
          <w:color w:val="000000"/>
        </w:rPr>
        <w:t>to;</w:t>
      </w:r>
      <w:proofErr w:type="gramEnd"/>
    </w:p>
    <w:p w14:paraId="7278FB14" w14:textId="77777777" w:rsidR="00EF1926" w:rsidRDefault="00EF1926" w:rsidP="002A3889">
      <w:pPr>
        <w:numPr>
          <w:ilvl w:val="0"/>
          <w:numId w:val="378"/>
        </w:numPr>
        <w:autoSpaceDE w:val="0"/>
        <w:autoSpaceDN w:val="0"/>
        <w:adjustRightInd w:val="0"/>
        <w:spacing w:after="0" w:line="240" w:lineRule="auto"/>
        <w:ind w:left="426" w:hanging="426"/>
        <w:jc w:val="both"/>
        <w:rPr>
          <w:rFonts w:cstheme="minorHAnsi"/>
          <w:color w:val="000000"/>
        </w:rPr>
      </w:pPr>
      <w:r>
        <w:rPr>
          <w:rFonts w:cstheme="minorHAnsi"/>
          <w:color w:val="000000"/>
        </w:rPr>
        <w:t>c</w:t>
      </w:r>
      <w:r w:rsidRPr="0085472F">
        <w:rPr>
          <w:rFonts w:cstheme="minorHAnsi"/>
          <w:color w:val="000000"/>
        </w:rPr>
        <w:t xml:space="preserve">onnect groups </w:t>
      </w:r>
      <w:r>
        <w:rPr>
          <w:rFonts w:cstheme="minorHAnsi"/>
          <w:color w:val="000000"/>
        </w:rPr>
        <w:t xml:space="preserve">and community members </w:t>
      </w:r>
      <w:proofErr w:type="gramStart"/>
      <w:r w:rsidRPr="0085472F">
        <w:rPr>
          <w:rFonts w:cstheme="minorHAnsi"/>
          <w:color w:val="000000"/>
        </w:rPr>
        <w:t>to</w:t>
      </w:r>
      <w:r>
        <w:rPr>
          <w:rFonts w:cstheme="minorHAnsi"/>
          <w:color w:val="000000"/>
        </w:rPr>
        <w:t>;</w:t>
      </w:r>
      <w:proofErr w:type="gramEnd"/>
    </w:p>
    <w:p w14:paraId="26451059" w14:textId="77777777" w:rsidR="00EF1926" w:rsidRDefault="00EF1926" w:rsidP="002A3889">
      <w:pPr>
        <w:numPr>
          <w:ilvl w:val="1"/>
          <w:numId w:val="378"/>
        </w:numPr>
        <w:autoSpaceDE w:val="0"/>
        <w:autoSpaceDN w:val="0"/>
        <w:adjustRightInd w:val="0"/>
        <w:spacing w:after="0" w:line="240" w:lineRule="auto"/>
        <w:ind w:left="851" w:hanging="425"/>
        <w:jc w:val="both"/>
        <w:rPr>
          <w:rFonts w:cstheme="minorHAnsi"/>
          <w:color w:val="000000"/>
        </w:rPr>
      </w:pPr>
      <w:r>
        <w:rPr>
          <w:rFonts w:cstheme="minorHAnsi"/>
          <w:color w:val="000000"/>
        </w:rPr>
        <w:t xml:space="preserve">foster </w:t>
      </w:r>
      <w:r w:rsidRPr="0085472F">
        <w:rPr>
          <w:rFonts w:cstheme="minorHAnsi"/>
          <w:color w:val="000000"/>
        </w:rPr>
        <w:t xml:space="preserve">relationship </w:t>
      </w:r>
      <w:proofErr w:type="gramStart"/>
      <w:r w:rsidRPr="0085472F">
        <w:rPr>
          <w:rFonts w:cstheme="minorHAnsi"/>
          <w:color w:val="000000"/>
        </w:rPr>
        <w:t>building</w:t>
      </w:r>
      <w:r>
        <w:rPr>
          <w:rFonts w:cstheme="minorHAnsi"/>
          <w:color w:val="000000"/>
        </w:rPr>
        <w:t>;</w:t>
      </w:r>
      <w:proofErr w:type="gramEnd"/>
      <w:r w:rsidRPr="0085472F">
        <w:rPr>
          <w:rFonts w:cstheme="minorHAnsi"/>
          <w:color w:val="000000"/>
        </w:rPr>
        <w:t xml:space="preserve"> </w:t>
      </w:r>
    </w:p>
    <w:p w14:paraId="4290F754" w14:textId="77777777" w:rsidR="00EF1926" w:rsidRDefault="00EF1926" w:rsidP="002A3889">
      <w:pPr>
        <w:numPr>
          <w:ilvl w:val="1"/>
          <w:numId w:val="378"/>
        </w:numPr>
        <w:autoSpaceDE w:val="0"/>
        <w:autoSpaceDN w:val="0"/>
        <w:adjustRightInd w:val="0"/>
        <w:spacing w:after="0" w:line="240" w:lineRule="auto"/>
        <w:ind w:left="851" w:hanging="425"/>
        <w:jc w:val="both"/>
        <w:rPr>
          <w:rFonts w:cstheme="minorHAnsi"/>
          <w:color w:val="000000"/>
        </w:rPr>
      </w:pPr>
      <w:r>
        <w:rPr>
          <w:rFonts w:cstheme="minorHAnsi"/>
          <w:color w:val="000000"/>
        </w:rPr>
        <w:t xml:space="preserve">encourage </w:t>
      </w:r>
      <w:r w:rsidRPr="0085472F">
        <w:rPr>
          <w:rFonts w:cstheme="minorHAnsi"/>
          <w:color w:val="000000"/>
        </w:rPr>
        <w:t>knowledge and skill sharing</w:t>
      </w:r>
      <w:r>
        <w:rPr>
          <w:rFonts w:cstheme="minorHAnsi"/>
          <w:color w:val="000000"/>
        </w:rPr>
        <w:t>; and</w:t>
      </w:r>
    </w:p>
    <w:p w14:paraId="4E6D38EB" w14:textId="77777777" w:rsidR="00EF1926" w:rsidRPr="0085472F" w:rsidRDefault="00EF1926" w:rsidP="002A3889">
      <w:pPr>
        <w:numPr>
          <w:ilvl w:val="1"/>
          <w:numId w:val="378"/>
        </w:numPr>
        <w:autoSpaceDE w:val="0"/>
        <w:autoSpaceDN w:val="0"/>
        <w:adjustRightInd w:val="0"/>
        <w:spacing w:after="0" w:line="240" w:lineRule="auto"/>
        <w:ind w:left="851" w:hanging="425"/>
        <w:jc w:val="both"/>
        <w:rPr>
          <w:rFonts w:cstheme="minorHAnsi"/>
          <w:color w:val="000000"/>
        </w:rPr>
      </w:pPr>
      <w:r>
        <w:rPr>
          <w:rFonts w:cstheme="minorHAnsi"/>
          <w:color w:val="000000"/>
        </w:rPr>
        <w:t xml:space="preserve">strengthen community cohesion and interaction, particularly for groups that are considered marginalised such as the elderly or </w:t>
      </w:r>
      <w:proofErr w:type="gramStart"/>
      <w:r>
        <w:rPr>
          <w:rFonts w:cstheme="minorHAnsi"/>
          <w:color w:val="000000"/>
        </w:rPr>
        <w:t>disabled;</w:t>
      </w:r>
      <w:proofErr w:type="gramEnd"/>
      <w:r>
        <w:rPr>
          <w:rFonts w:cstheme="minorHAnsi"/>
          <w:color w:val="000000"/>
        </w:rPr>
        <w:t xml:space="preserve"> </w:t>
      </w:r>
    </w:p>
    <w:p w14:paraId="4F2D5C52" w14:textId="77777777" w:rsidR="00EF1926" w:rsidRDefault="00EF1926" w:rsidP="002A3889">
      <w:pPr>
        <w:numPr>
          <w:ilvl w:val="0"/>
          <w:numId w:val="378"/>
        </w:numPr>
        <w:autoSpaceDE w:val="0"/>
        <w:autoSpaceDN w:val="0"/>
        <w:adjustRightInd w:val="0"/>
        <w:spacing w:before="120" w:after="0" w:line="240" w:lineRule="auto"/>
        <w:ind w:left="425" w:hanging="425"/>
        <w:jc w:val="both"/>
        <w:rPr>
          <w:rFonts w:cstheme="minorHAnsi"/>
          <w:color w:val="000000"/>
        </w:rPr>
      </w:pPr>
      <w:r>
        <w:rPr>
          <w:rFonts w:cstheme="minorHAnsi"/>
          <w:color w:val="000000"/>
        </w:rPr>
        <w:t>f</w:t>
      </w:r>
      <w:r w:rsidRPr="0085472F">
        <w:rPr>
          <w:rFonts w:cstheme="minorHAnsi"/>
          <w:color w:val="000000"/>
        </w:rPr>
        <w:t>acilitate</w:t>
      </w:r>
      <w:r>
        <w:rPr>
          <w:rFonts w:cstheme="minorHAnsi"/>
          <w:color w:val="000000"/>
        </w:rPr>
        <w:t>, where appropriate</w:t>
      </w:r>
      <w:r w:rsidRPr="0085472F">
        <w:rPr>
          <w:rFonts w:cstheme="minorHAnsi"/>
          <w:color w:val="000000"/>
        </w:rPr>
        <w:t xml:space="preserve"> </w:t>
      </w:r>
      <w:r>
        <w:rPr>
          <w:rFonts w:cstheme="minorHAnsi"/>
          <w:b/>
          <w:i/>
          <w:color w:val="000000"/>
        </w:rPr>
        <w:t>C</w:t>
      </w:r>
      <w:r w:rsidRPr="00B22A3B">
        <w:rPr>
          <w:rFonts w:cstheme="minorHAnsi"/>
          <w:b/>
          <w:i/>
          <w:color w:val="000000"/>
        </w:rPr>
        <w:t xml:space="preserve">ommunity </w:t>
      </w:r>
      <w:r>
        <w:rPr>
          <w:rFonts w:cstheme="minorHAnsi"/>
          <w:b/>
          <w:i/>
          <w:color w:val="000000"/>
        </w:rPr>
        <w:t>G</w:t>
      </w:r>
      <w:r w:rsidRPr="00B22A3B">
        <w:rPr>
          <w:rFonts w:cstheme="minorHAnsi"/>
          <w:b/>
          <w:i/>
          <w:color w:val="000000"/>
        </w:rPr>
        <w:t>ardens</w:t>
      </w:r>
      <w:r w:rsidRPr="0085472F">
        <w:rPr>
          <w:rFonts w:cstheme="minorHAnsi"/>
          <w:color w:val="000000"/>
        </w:rPr>
        <w:t xml:space="preserve"> through the provision of advice </w:t>
      </w:r>
      <w:r>
        <w:rPr>
          <w:rFonts w:cstheme="minorHAnsi"/>
          <w:color w:val="000000"/>
        </w:rPr>
        <w:t xml:space="preserve">and support for interested </w:t>
      </w:r>
      <w:proofErr w:type="gramStart"/>
      <w:r>
        <w:rPr>
          <w:rFonts w:cstheme="minorHAnsi"/>
          <w:color w:val="000000"/>
        </w:rPr>
        <w:t>groups;</w:t>
      </w:r>
      <w:proofErr w:type="gramEnd"/>
    </w:p>
    <w:p w14:paraId="1A3BA489" w14:textId="77777777" w:rsidR="00EF1926" w:rsidRPr="0085472F" w:rsidRDefault="00EF1926" w:rsidP="002A3889">
      <w:pPr>
        <w:numPr>
          <w:ilvl w:val="0"/>
          <w:numId w:val="378"/>
        </w:numPr>
        <w:autoSpaceDE w:val="0"/>
        <w:autoSpaceDN w:val="0"/>
        <w:adjustRightInd w:val="0"/>
        <w:spacing w:before="120" w:after="0" w:line="240" w:lineRule="auto"/>
        <w:ind w:left="425" w:hanging="425"/>
        <w:jc w:val="both"/>
        <w:rPr>
          <w:rFonts w:cstheme="minorHAnsi"/>
          <w:color w:val="000000"/>
        </w:rPr>
      </w:pPr>
      <w:r>
        <w:rPr>
          <w:rFonts w:cstheme="minorHAnsi"/>
          <w:color w:val="000000"/>
        </w:rPr>
        <w:lastRenderedPageBreak/>
        <w:t>p</w:t>
      </w:r>
      <w:r w:rsidRPr="0085472F">
        <w:rPr>
          <w:rFonts w:cstheme="minorHAnsi"/>
          <w:color w:val="000000"/>
        </w:rPr>
        <w:t xml:space="preserve">rovide a streamlined and consistent approach to the assessment and management of </w:t>
      </w:r>
      <w:r>
        <w:rPr>
          <w:rFonts w:cstheme="minorHAnsi"/>
          <w:b/>
          <w:i/>
          <w:color w:val="000000"/>
        </w:rPr>
        <w:t>C</w:t>
      </w:r>
      <w:r w:rsidRPr="00B22A3B">
        <w:rPr>
          <w:rFonts w:cstheme="minorHAnsi"/>
          <w:b/>
          <w:i/>
          <w:color w:val="000000"/>
        </w:rPr>
        <w:t xml:space="preserve">ommunity </w:t>
      </w:r>
      <w:r>
        <w:rPr>
          <w:rFonts w:cstheme="minorHAnsi"/>
          <w:b/>
          <w:i/>
          <w:color w:val="000000"/>
        </w:rPr>
        <w:t>G</w:t>
      </w:r>
      <w:r w:rsidRPr="00B22A3B">
        <w:rPr>
          <w:rFonts w:cstheme="minorHAnsi"/>
          <w:b/>
          <w:i/>
          <w:color w:val="000000"/>
        </w:rPr>
        <w:t>arden</w:t>
      </w:r>
      <w:r>
        <w:rPr>
          <w:rFonts w:cstheme="minorHAnsi"/>
          <w:b/>
          <w:i/>
          <w:color w:val="000000"/>
        </w:rPr>
        <w:t xml:space="preserve"> </w:t>
      </w:r>
      <w:r w:rsidRPr="0085472F">
        <w:rPr>
          <w:rFonts w:cstheme="minorHAnsi"/>
          <w:color w:val="000000"/>
        </w:rPr>
        <w:t xml:space="preserve">requests on Council owned or managed </w:t>
      </w:r>
      <w:proofErr w:type="gramStart"/>
      <w:r w:rsidRPr="0085472F">
        <w:rPr>
          <w:rFonts w:cstheme="minorHAnsi"/>
          <w:color w:val="000000"/>
        </w:rPr>
        <w:t>land</w:t>
      </w:r>
      <w:r>
        <w:rPr>
          <w:rFonts w:cstheme="minorHAnsi"/>
          <w:color w:val="000000"/>
        </w:rPr>
        <w:t>;</w:t>
      </w:r>
      <w:proofErr w:type="gramEnd"/>
      <w:r w:rsidRPr="0085472F">
        <w:rPr>
          <w:rFonts w:cstheme="minorHAnsi"/>
          <w:color w:val="000000"/>
        </w:rPr>
        <w:t xml:space="preserve"> </w:t>
      </w:r>
    </w:p>
    <w:p w14:paraId="7D23E113" w14:textId="77777777" w:rsidR="00EF1926" w:rsidRDefault="00EF1926" w:rsidP="002A3889">
      <w:pPr>
        <w:numPr>
          <w:ilvl w:val="0"/>
          <w:numId w:val="378"/>
        </w:numPr>
        <w:autoSpaceDE w:val="0"/>
        <w:autoSpaceDN w:val="0"/>
        <w:adjustRightInd w:val="0"/>
        <w:spacing w:before="120" w:after="0" w:line="240" w:lineRule="auto"/>
        <w:ind w:left="425" w:hanging="425"/>
        <w:jc w:val="both"/>
        <w:rPr>
          <w:rFonts w:cstheme="minorHAnsi"/>
          <w:color w:val="000000"/>
        </w:rPr>
      </w:pPr>
      <w:r>
        <w:rPr>
          <w:rFonts w:cstheme="minorHAnsi"/>
          <w:color w:val="000000"/>
        </w:rPr>
        <w:t xml:space="preserve">prepare and maintain </w:t>
      </w:r>
      <w:r w:rsidRPr="00DF7BE8">
        <w:rPr>
          <w:rFonts w:cstheme="minorHAnsi"/>
          <w:b/>
          <w:i/>
          <w:color w:val="000000"/>
        </w:rPr>
        <w:t>Community Garden Agreement</w:t>
      </w:r>
      <w:r>
        <w:rPr>
          <w:rFonts w:cstheme="minorHAnsi"/>
          <w:b/>
          <w:i/>
          <w:color w:val="000000"/>
        </w:rPr>
        <w:t xml:space="preserve"> </w:t>
      </w:r>
      <w:r>
        <w:rPr>
          <w:rFonts w:cstheme="minorHAnsi"/>
          <w:color w:val="000000"/>
        </w:rPr>
        <w:t>as relevant; and</w:t>
      </w:r>
    </w:p>
    <w:p w14:paraId="647E96C7" w14:textId="77777777" w:rsidR="00EF1926" w:rsidRPr="0085472F" w:rsidRDefault="00EF1926" w:rsidP="002A3889">
      <w:pPr>
        <w:numPr>
          <w:ilvl w:val="0"/>
          <w:numId w:val="378"/>
        </w:numPr>
        <w:autoSpaceDE w:val="0"/>
        <w:autoSpaceDN w:val="0"/>
        <w:adjustRightInd w:val="0"/>
        <w:spacing w:before="120" w:after="0" w:line="240" w:lineRule="auto"/>
        <w:ind w:left="425" w:hanging="425"/>
        <w:jc w:val="both"/>
        <w:rPr>
          <w:rFonts w:cstheme="minorHAnsi"/>
          <w:color w:val="000000"/>
        </w:rPr>
      </w:pPr>
      <w:r>
        <w:rPr>
          <w:rFonts w:cstheme="minorHAnsi"/>
          <w:color w:val="000000"/>
        </w:rPr>
        <w:t xml:space="preserve">manage established </w:t>
      </w:r>
      <w:r w:rsidRPr="00B8232E">
        <w:rPr>
          <w:rFonts w:cstheme="minorHAnsi"/>
          <w:b/>
          <w:i/>
          <w:color w:val="000000"/>
        </w:rPr>
        <w:t>Gardens for the Community</w:t>
      </w:r>
      <w:r>
        <w:rPr>
          <w:rFonts w:cstheme="minorHAnsi"/>
          <w:color w:val="000000"/>
        </w:rPr>
        <w:t>.</w:t>
      </w:r>
      <w:r w:rsidRPr="0085472F">
        <w:rPr>
          <w:rFonts w:cstheme="minorHAnsi"/>
          <w:color w:val="000000"/>
        </w:rPr>
        <w:t xml:space="preserve"> </w:t>
      </w:r>
    </w:p>
    <w:p w14:paraId="676B3A50" w14:textId="77777777" w:rsidR="00EF1926" w:rsidRPr="0085472F" w:rsidRDefault="00EF1926" w:rsidP="00EF1926">
      <w:pPr>
        <w:autoSpaceDE w:val="0"/>
        <w:autoSpaceDN w:val="0"/>
        <w:adjustRightInd w:val="0"/>
        <w:spacing w:after="0"/>
        <w:jc w:val="both"/>
        <w:rPr>
          <w:rFonts w:cstheme="minorHAnsi"/>
          <w:color w:val="000000"/>
        </w:rPr>
      </w:pPr>
    </w:p>
    <w:p w14:paraId="17A91018" w14:textId="77777777" w:rsidR="00EF1926" w:rsidRPr="0085472F" w:rsidRDefault="00EF1926" w:rsidP="00EF1926">
      <w:pPr>
        <w:autoSpaceDE w:val="0"/>
        <w:autoSpaceDN w:val="0"/>
        <w:adjustRightInd w:val="0"/>
        <w:spacing w:after="0"/>
        <w:jc w:val="both"/>
        <w:rPr>
          <w:rFonts w:cstheme="minorHAnsi"/>
          <w:b/>
          <w:color w:val="000000"/>
        </w:rPr>
      </w:pPr>
      <w:r>
        <w:rPr>
          <w:rFonts w:cstheme="minorHAnsi"/>
          <w:b/>
          <w:color w:val="000000"/>
        </w:rPr>
        <w:t>Garden Maintenance</w:t>
      </w:r>
    </w:p>
    <w:p w14:paraId="4BDB13F4" w14:textId="77777777" w:rsidR="00EF1926" w:rsidRDefault="00EF1926" w:rsidP="00EF1926">
      <w:pPr>
        <w:autoSpaceDE w:val="0"/>
        <w:autoSpaceDN w:val="0"/>
        <w:adjustRightInd w:val="0"/>
        <w:spacing w:after="0"/>
        <w:jc w:val="both"/>
        <w:rPr>
          <w:rFonts w:cstheme="minorHAnsi"/>
          <w:color w:val="000000"/>
        </w:rPr>
      </w:pPr>
      <w:r>
        <w:rPr>
          <w:rFonts w:cstheme="minorHAnsi"/>
          <w:color w:val="000000"/>
        </w:rPr>
        <w:t xml:space="preserve">The recognised Incorporated Association is </w:t>
      </w:r>
      <w:r w:rsidRPr="0085472F">
        <w:rPr>
          <w:rFonts w:cstheme="minorHAnsi"/>
          <w:color w:val="000000"/>
        </w:rPr>
        <w:t xml:space="preserve">responsible for maintaining </w:t>
      </w:r>
      <w:r>
        <w:rPr>
          <w:rFonts w:cstheme="minorHAnsi"/>
          <w:color w:val="000000"/>
        </w:rPr>
        <w:t xml:space="preserve">their </w:t>
      </w:r>
      <w:r w:rsidRPr="00F60914">
        <w:rPr>
          <w:rFonts w:cstheme="minorHAnsi"/>
          <w:b/>
          <w:i/>
          <w:color w:val="000000"/>
        </w:rPr>
        <w:t>Community Garden</w:t>
      </w:r>
      <w:r>
        <w:rPr>
          <w:rFonts w:cstheme="minorHAnsi"/>
          <w:color w:val="000000"/>
        </w:rPr>
        <w:t xml:space="preserve"> </w:t>
      </w:r>
      <w:r w:rsidRPr="0085472F">
        <w:rPr>
          <w:rFonts w:cstheme="minorHAnsi"/>
          <w:color w:val="000000"/>
        </w:rPr>
        <w:t xml:space="preserve">so that the health and safety of the surrounding community is not adversely impacted. </w:t>
      </w:r>
      <w:r>
        <w:rPr>
          <w:rFonts w:cstheme="minorHAnsi"/>
          <w:color w:val="000000"/>
        </w:rPr>
        <w:t xml:space="preserve"> They become the manager of the space.</w:t>
      </w:r>
    </w:p>
    <w:p w14:paraId="2E994A10" w14:textId="77777777" w:rsidR="00EF1926" w:rsidRDefault="00EF1926" w:rsidP="00EF1926">
      <w:pPr>
        <w:autoSpaceDE w:val="0"/>
        <w:autoSpaceDN w:val="0"/>
        <w:adjustRightInd w:val="0"/>
        <w:spacing w:after="0"/>
        <w:jc w:val="both"/>
        <w:rPr>
          <w:rFonts w:cstheme="minorHAnsi"/>
          <w:color w:val="000000"/>
        </w:rPr>
      </w:pPr>
    </w:p>
    <w:p w14:paraId="49BB1A29" w14:textId="77777777" w:rsidR="00EF1926" w:rsidRDefault="00EF1926" w:rsidP="00EF1926">
      <w:pPr>
        <w:autoSpaceDE w:val="0"/>
        <w:autoSpaceDN w:val="0"/>
        <w:adjustRightInd w:val="0"/>
        <w:spacing w:after="0"/>
        <w:jc w:val="both"/>
        <w:rPr>
          <w:rFonts w:cstheme="minorHAnsi"/>
          <w:color w:val="000000"/>
        </w:rPr>
      </w:pPr>
      <w:r>
        <w:rPr>
          <w:rFonts w:cstheme="minorHAnsi"/>
          <w:color w:val="000000"/>
        </w:rPr>
        <w:t xml:space="preserve">The Town of East Fremantle is responsible for maintaining </w:t>
      </w:r>
      <w:r w:rsidRPr="00F60914">
        <w:rPr>
          <w:rFonts w:cstheme="minorHAnsi"/>
          <w:b/>
          <w:i/>
          <w:color w:val="000000"/>
        </w:rPr>
        <w:t>Gardens for the Community</w:t>
      </w:r>
      <w:r w:rsidRPr="00831D93">
        <w:rPr>
          <w:rFonts w:cstheme="minorHAnsi"/>
          <w:color w:val="000000"/>
        </w:rPr>
        <w:t xml:space="preserve"> </w:t>
      </w:r>
      <w:r w:rsidRPr="0085472F">
        <w:rPr>
          <w:rFonts w:cstheme="minorHAnsi"/>
          <w:color w:val="000000"/>
        </w:rPr>
        <w:t>so that the health and safety of the surrounding community is not adversely impacted.</w:t>
      </w:r>
      <w:r>
        <w:rPr>
          <w:rFonts w:cstheme="minorHAnsi"/>
          <w:color w:val="000000"/>
        </w:rPr>
        <w:t xml:space="preserve">  They are the manager of the space.</w:t>
      </w:r>
    </w:p>
    <w:p w14:paraId="29E76246" w14:textId="77777777" w:rsidR="00EF1926" w:rsidRDefault="00EF1926" w:rsidP="00EF1926">
      <w:pPr>
        <w:autoSpaceDE w:val="0"/>
        <w:autoSpaceDN w:val="0"/>
        <w:adjustRightInd w:val="0"/>
        <w:spacing w:after="0"/>
        <w:jc w:val="both"/>
        <w:rPr>
          <w:rFonts w:cstheme="minorHAnsi"/>
          <w:b/>
          <w:i/>
          <w:color w:val="000000"/>
        </w:rPr>
      </w:pPr>
    </w:p>
    <w:p w14:paraId="2CB1E6EE" w14:textId="77777777" w:rsidR="00EF1926" w:rsidRPr="0085472F" w:rsidRDefault="00EF1926" w:rsidP="00EF1926">
      <w:pPr>
        <w:autoSpaceDE w:val="0"/>
        <w:autoSpaceDN w:val="0"/>
        <w:adjustRightInd w:val="0"/>
        <w:spacing w:after="0"/>
        <w:jc w:val="both"/>
        <w:rPr>
          <w:rFonts w:cstheme="minorHAnsi"/>
          <w:color w:val="000000"/>
        </w:rPr>
      </w:pPr>
      <w:r w:rsidRPr="00B22A3B">
        <w:rPr>
          <w:rFonts w:cstheme="minorHAnsi"/>
          <w:b/>
          <w:i/>
          <w:color w:val="000000"/>
        </w:rPr>
        <w:t>Community Garden</w:t>
      </w:r>
      <w:r>
        <w:rPr>
          <w:rFonts w:cstheme="minorHAnsi"/>
          <w:color w:val="000000"/>
        </w:rPr>
        <w:t xml:space="preserve"> and </w:t>
      </w:r>
      <w:r w:rsidRPr="00B22A3B">
        <w:rPr>
          <w:rFonts w:cstheme="minorHAnsi"/>
          <w:b/>
          <w:i/>
          <w:color w:val="000000"/>
        </w:rPr>
        <w:t>Garden for the Community</w:t>
      </w:r>
      <w:r>
        <w:rPr>
          <w:rFonts w:cstheme="minorHAnsi"/>
          <w:color w:val="000000"/>
        </w:rPr>
        <w:t xml:space="preserve"> managers shall</w:t>
      </w:r>
      <w:r w:rsidRPr="0085472F">
        <w:rPr>
          <w:rFonts w:cstheme="minorHAnsi"/>
          <w:color w:val="000000"/>
        </w:rPr>
        <w:t xml:space="preserve">: </w:t>
      </w:r>
    </w:p>
    <w:p w14:paraId="3FF50796" w14:textId="77777777" w:rsidR="00EF1926" w:rsidRDefault="00EF1926" w:rsidP="002A3889">
      <w:pPr>
        <w:pStyle w:val="ListParagraph"/>
        <w:numPr>
          <w:ilvl w:val="0"/>
          <w:numId w:val="380"/>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a</w:t>
      </w:r>
      <w:r w:rsidRPr="00DE77F0">
        <w:rPr>
          <w:rFonts w:cstheme="minorHAnsi"/>
          <w:color w:val="000000"/>
        </w:rPr>
        <w:t xml:space="preserve">bide by all relevant Town </w:t>
      </w:r>
      <w:r>
        <w:rPr>
          <w:rFonts w:cstheme="minorHAnsi"/>
          <w:color w:val="000000"/>
        </w:rPr>
        <w:t xml:space="preserve">and State legislation and </w:t>
      </w:r>
      <w:proofErr w:type="gramStart"/>
      <w:r>
        <w:rPr>
          <w:rFonts w:cstheme="minorHAnsi"/>
          <w:color w:val="000000"/>
        </w:rPr>
        <w:t>regulations;</w:t>
      </w:r>
      <w:proofErr w:type="gramEnd"/>
    </w:p>
    <w:p w14:paraId="3630D824" w14:textId="77777777" w:rsidR="00EF1926" w:rsidRPr="00DE77F0" w:rsidRDefault="00EF1926" w:rsidP="002A3889">
      <w:pPr>
        <w:pStyle w:val="ListParagraph"/>
        <w:numPr>
          <w:ilvl w:val="0"/>
          <w:numId w:val="380"/>
        </w:numPr>
        <w:autoSpaceDE w:val="0"/>
        <w:autoSpaceDN w:val="0"/>
        <w:adjustRightInd w:val="0"/>
        <w:spacing w:before="120" w:after="0" w:line="240" w:lineRule="auto"/>
        <w:ind w:left="425" w:hanging="425"/>
        <w:contextualSpacing w:val="0"/>
        <w:jc w:val="both"/>
        <w:rPr>
          <w:rFonts w:cstheme="minorHAnsi"/>
          <w:color w:val="000000"/>
        </w:rPr>
      </w:pPr>
      <w:r>
        <w:rPr>
          <w:rFonts w:cstheme="minorHAnsi"/>
          <w:color w:val="000000"/>
        </w:rPr>
        <w:t xml:space="preserve">ensure that the space is kept free of </w:t>
      </w:r>
      <w:proofErr w:type="gramStart"/>
      <w:r>
        <w:rPr>
          <w:rFonts w:cstheme="minorHAnsi"/>
          <w:color w:val="000000"/>
        </w:rPr>
        <w:t>litter;</w:t>
      </w:r>
      <w:proofErr w:type="gramEnd"/>
    </w:p>
    <w:p w14:paraId="0AE09DF8" w14:textId="77777777" w:rsidR="00EF1926" w:rsidRDefault="00EF1926" w:rsidP="002A3889">
      <w:pPr>
        <w:numPr>
          <w:ilvl w:val="0"/>
          <w:numId w:val="377"/>
        </w:numPr>
        <w:autoSpaceDE w:val="0"/>
        <w:autoSpaceDN w:val="0"/>
        <w:adjustRightInd w:val="0"/>
        <w:spacing w:before="120" w:after="0" w:line="240" w:lineRule="auto"/>
        <w:ind w:left="425" w:hanging="425"/>
        <w:jc w:val="both"/>
        <w:rPr>
          <w:rFonts w:cstheme="minorHAnsi"/>
          <w:color w:val="000000"/>
        </w:rPr>
      </w:pPr>
      <w:r>
        <w:rPr>
          <w:rFonts w:cstheme="minorHAnsi"/>
          <w:color w:val="000000"/>
        </w:rPr>
        <w:t>e</w:t>
      </w:r>
      <w:r w:rsidRPr="0085472F">
        <w:rPr>
          <w:rFonts w:cstheme="minorHAnsi"/>
          <w:color w:val="000000"/>
        </w:rPr>
        <w:t xml:space="preserve">nsure any water leaving the garden is not contaminated </w:t>
      </w:r>
      <w:proofErr w:type="gramStart"/>
      <w:r w:rsidRPr="0085472F">
        <w:rPr>
          <w:rFonts w:cstheme="minorHAnsi"/>
          <w:color w:val="000000"/>
        </w:rPr>
        <w:t>by</w:t>
      </w:r>
      <w:r>
        <w:rPr>
          <w:rFonts w:cstheme="minorHAnsi"/>
          <w:color w:val="000000"/>
        </w:rPr>
        <w:t xml:space="preserve">  chemicals</w:t>
      </w:r>
      <w:proofErr w:type="gramEnd"/>
      <w:r>
        <w:rPr>
          <w:rFonts w:cstheme="minorHAnsi"/>
          <w:color w:val="000000"/>
        </w:rPr>
        <w:t>, herbicides, pesticides,</w:t>
      </w:r>
      <w:r w:rsidRPr="0085472F">
        <w:rPr>
          <w:rFonts w:cstheme="minorHAnsi"/>
          <w:color w:val="000000"/>
        </w:rPr>
        <w:t xml:space="preserve"> sediment, fertiliser, manure or excessive organic matt</w:t>
      </w:r>
      <w:r>
        <w:rPr>
          <w:rFonts w:cstheme="minorHAnsi"/>
          <w:color w:val="000000"/>
        </w:rPr>
        <w:t>er that might pollute waterways or cause injury or harm to humans or animals;</w:t>
      </w:r>
    </w:p>
    <w:p w14:paraId="6618F21B" w14:textId="77777777" w:rsidR="00EF1926" w:rsidRDefault="00EF1926" w:rsidP="002A3889">
      <w:pPr>
        <w:numPr>
          <w:ilvl w:val="0"/>
          <w:numId w:val="377"/>
        </w:numPr>
        <w:autoSpaceDE w:val="0"/>
        <w:autoSpaceDN w:val="0"/>
        <w:adjustRightInd w:val="0"/>
        <w:spacing w:before="120" w:after="0" w:line="240" w:lineRule="auto"/>
        <w:ind w:left="425" w:hanging="425"/>
        <w:jc w:val="both"/>
        <w:rPr>
          <w:rFonts w:cstheme="minorHAnsi"/>
          <w:color w:val="000000"/>
        </w:rPr>
      </w:pPr>
      <w:r>
        <w:rPr>
          <w:rFonts w:cstheme="minorHAnsi"/>
          <w:color w:val="000000"/>
        </w:rPr>
        <w:t xml:space="preserve">ensure that excessive water does not enter into the Town’s stormwater </w:t>
      </w:r>
      <w:proofErr w:type="gramStart"/>
      <w:r>
        <w:rPr>
          <w:rFonts w:cstheme="minorHAnsi"/>
          <w:color w:val="000000"/>
        </w:rPr>
        <w:t>infrastructure;</w:t>
      </w:r>
      <w:proofErr w:type="gramEnd"/>
      <w:r>
        <w:rPr>
          <w:rFonts w:cstheme="minorHAnsi"/>
          <w:color w:val="000000"/>
        </w:rPr>
        <w:t xml:space="preserve"> </w:t>
      </w:r>
    </w:p>
    <w:p w14:paraId="660CECCB" w14:textId="77777777" w:rsidR="00EF1926" w:rsidRDefault="00EF1926" w:rsidP="002A3889">
      <w:pPr>
        <w:numPr>
          <w:ilvl w:val="0"/>
          <w:numId w:val="377"/>
        </w:numPr>
        <w:autoSpaceDE w:val="0"/>
        <w:autoSpaceDN w:val="0"/>
        <w:adjustRightInd w:val="0"/>
        <w:spacing w:before="120" w:after="0" w:line="240" w:lineRule="auto"/>
        <w:ind w:left="425" w:hanging="425"/>
        <w:jc w:val="both"/>
        <w:rPr>
          <w:rFonts w:cstheme="minorHAnsi"/>
          <w:color w:val="000000"/>
        </w:rPr>
      </w:pPr>
      <w:r>
        <w:rPr>
          <w:rFonts w:cstheme="minorHAnsi"/>
          <w:color w:val="000000"/>
        </w:rPr>
        <w:t xml:space="preserve">not use </w:t>
      </w:r>
      <w:r w:rsidRPr="00831D93">
        <w:rPr>
          <w:rFonts w:cstheme="minorHAnsi"/>
          <w:color w:val="000000"/>
        </w:rPr>
        <w:t>Glyphosate</w:t>
      </w:r>
      <w:r>
        <w:rPr>
          <w:rFonts w:cstheme="minorHAnsi"/>
          <w:color w:val="000000"/>
        </w:rPr>
        <w:t>, use of this herbicide is not permitted on Council owned or managed land.</w:t>
      </w:r>
    </w:p>
    <w:p w14:paraId="18E512AC" w14:textId="77777777" w:rsidR="00EF1926" w:rsidRPr="005B21D2" w:rsidRDefault="00EF1926" w:rsidP="002A3889">
      <w:pPr>
        <w:numPr>
          <w:ilvl w:val="0"/>
          <w:numId w:val="377"/>
        </w:numPr>
        <w:autoSpaceDE w:val="0"/>
        <w:autoSpaceDN w:val="0"/>
        <w:adjustRightInd w:val="0"/>
        <w:spacing w:before="120" w:after="0" w:line="240" w:lineRule="auto"/>
        <w:ind w:left="425" w:hanging="425"/>
        <w:jc w:val="both"/>
        <w:rPr>
          <w:rFonts w:cstheme="minorHAnsi"/>
          <w:color w:val="000000"/>
        </w:rPr>
      </w:pPr>
      <w:r>
        <w:rPr>
          <w:rFonts w:cstheme="minorHAnsi"/>
          <w:color w:val="000000"/>
        </w:rPr>
        <w:t xml:space="preserve">ensure that food organics are not composted directly within the garden space.  The Town encourages the composting of food and garden organics through the use of the FOGO </w:t>
      </w:r>
      <w:proofErr w:type="gramStart"/>
      <w:r>
        <w:rPr>
          <w:rFonts w:cstheme="minorHAnsi"/>
          <w:color w:val="000000"/>
        </w:rPr>
        <w:t>system;</w:t>
      </w:r>
      <w:proofErr w:type="gramEnd"/>
      <w:r>
        <w:rPr>
          <w:rFonts w:ascii="Arial" w:hAnsi="Arial" w:cs="Arial"/>
          <w:color w:val="222222"/>
          <w:shd w:val="clear" w:color="auto" w:fill="FFFFFF"/>
        </w:rPr>
        <w:t> </w:t>
      </w:r>
    </w:p>
    <w:p w14:paraId="270A0BAE" w14:textId="77777777" w:rsidR="00EF1926" w:rsidRPr="0085472F" w:rsidRDefault="00EF1926" w:rsidP="002A3889">
      <w:pPr>
        <w:numPr>
          <w:ilvl w:val="0"/>
          <w:numId w:val="377"/>
        </w:numPr>
        <w:autoSpaceDE w:val="0"/>
        <w:autoSpaceDN w:val="0"/>
        <w:adjustRightInd w:val="0"/>
        <w:spacing w:before="120" w:after="0" w:line="240" w:lineRule="auto"/>
        <w:ind w:left="425" w:hanging="425"/>
        <w:jc w:val="both"/>
        <w:rPr>
          <w:rFonts w:cstheme="minorHAnsi"/>
          <w:color w:val="000000"/>
        </w:rPr>
      </w:pPr>
      <w:r>
        <w:rPr>
          <w:rFonts w:cstheme="minorHAnsi"/>
          <w:color w:val="000000"/>
        </w:rPr>
        <w:t>ens</w:t>
      </w:r>
      <w:r w:rsidRPr="0085472F">
        <w:rPr>
          <w:rFonts w:cstheme="minorHAnsi"/>
          <w:color w:val="000000"/>
        </w:rPr>
        <w:t xml:space="preserve">ure rainwater harvesting systems are maintained so </w:t>
      </w:r>
      <w:r>
        <w:rPr>
          <w:rFonts w:cstheme="minorHAnsi"/>
          <w:color w:val="000000"/>
        </w:rPr>
        <w:t xml:space="preserve">that water is of a high </w:t>
      </w:r>
      <w:proofErr w:type="gramStart"/>
      <w:r>
        <w:rPr>
          <w:rFonts w:cstheme="minorHAnsi"/>
          <w:color w:val="000000"/>
        </w:rPr>
        <w:t>quality;</w:t>
      </w:r>
      <w:proofErr w:type="gramEnd"/>
    </w:p>
    <w:p w14:paraId="476ED8B8" w14:textId="77777777" w:rsidR="00EF1926" w:rsidRPr="0085472F" w:rsidRDefault="00EF1926" w:rsidP="002A3889">
      <w:pPr>
        <w:numPr>
          <w:ilvl w:val="0"/>
          <w:numId w:val="377"/>
        </w:numPr>
        <w:autoSpaceDE w:val="0"/>
        <w:autoSpaceDN w:val="0"/>
        <w:adjustRightInd w:val="0"/>
        <w:spacing w:before="120" w:after="0" w:line="240" w:lineRule="auto"/>
        <w:ind w:left="425" w:hanging="425"/>
        <w:jc w:val="both"/>
        <w:rPr>
          <w:rFonts w:cstheme="minorHAnsi"/>
          <w:color w:val="000000"/>
        </w:rPr>
      </w:pPr>
      <w:r>
        <w:rPr>
          <w:rFonts w:cstheme="minorHAnsi"/>
          <w:color w:val="000000"/>
        </w:rPr>
        <w:t>e</w:t>
      </w:r>
      <w:r w:rsidRPr="0085472F">
        <w:rPr>
          <w:rFonts w:cstheme="minorHAnsi"/>
          <w:color w:val="000000"/>
        </w:rPr>
        <w:t>nsure compost, worm farming systems and fertilisers are maintained so as not to attract vermin, produce unpleasan</w:t>
      </w:r>
      <w:r>
        <w:rPr>
          <w:rFonts w:cstheme="minorHAnsi"/>
          <w:color w:val="000000"/>
        </w:rPr>
        <w:t>t odours or present a fire risk; and</w:t>
      </w:r>
    </w:p>
    <w:p w14:paraId="027CE1C4" w14:textId="77777777" w:rsidR="00EF1926" w:rsidRPr="0085472F" w:rsidRDefault="00EF1926" w:rsidP="002A3889">
      <w:pPr>
        <w:numPr>
          <w:ilvl w:val="0"/>
          <w:numId w:val="377"/>
        </w:numPr>
        <w:autoSpaceDE w:val="0"/>
        <w:autoSpaceDN w:val="0"/>
        <w:adjustRightInd w:val="0"/>
        <w:spacing w:before="120" w:after="0" w:line="240" w:lineRule="auto"/>
        <w:ind w:left="425" w:hanging="425"/>
        <w:jc w:val="both"/>
        <w:rPr>
          <w:rFonts w:cstheme="minorHAnsi"/>
          <w:color w:val="000000"/>
        </w:rPr>
      </w:pPr>
      <w:r>
        <w:rPr>
          <w:rFonts w:cstheme="minorHAnsi"/>
          <w:color w:val="000000"/>
        </w:rPr>
        <w:t>e</w:t>
      </w:r>
      <w:r w:rsidRPr="0085472F">
        <w:rPr>
          <w:rFonts w:cstheme="minorHAnsi"/>
          <w:color w:val="000000"/>
        </w:rPr>
        <w:t>nsure any materials delivered to, or stored at the garden are maintained so as not to create an unpleasant or unsafe environment for o</w:t>
      </w:r>
      <w:r>
        <w:rPr>
          <w:rFonts w:cstheme="minorHAnsi"/>
          <w:color w:val="000000"/>
        </w:rPr>
        <w:t>ther residents in the community.</w:t>
      </w:r>
    </w:p>
    <w:p w14:paraId="0BEDC44B" w14:textId="77777777" w:rsidR="00EF1926" w:rsidRDefault="00EF1926" w:rsidP="00EF1926">
      <w:pPr>
        <w:spacing w:after="0"/>
        <w:jc w:val="both"/>
        <w:rPr>
          <w:rFonts w:cstheme="minorHAnsi"/>
          <w:b/>
          <w:lang w:val="en-US"/>
        </w:rPr>
      </w:pPr>
    </w:p>
    <w:p w14:paraId="3B902B8B" w14:textId="77777777" w:rsidR="00EF1926" w:rsidRDefault="00EF1926" w:rsidP="00EF1926">
      <w:pPr>
        <w:spacing w:after="0"/>
        <w:jc w:val="both"/>
        <w:rPr>
          <w:rFonts w:cstheme="minorHAnsi"/>
          <w:b/>
          <w:lang w:val="en-US"/>
        </w:rPr>
      </w:pPr>
      <w:r>
        <w:rPr>
          <w:rFonts w:cstheme="minorHAnsi"/>
          <w:b/>
          <w:lang w:val="en-US"/>
        </w:rPr>
        <w:t>Termination</w:t>
      </w:r>
    </w:p>
    <w:p w14:paraId="24E34A1B" w14:textId="77777777" w:rsidR="00EF1926" w:rsidRPr="007919D3" w:rsidRDefault="00EF1926" w:rsidP="00EF1926">
      <w:pPr>
        <w:spacing w:after="0"/>
        <w:jc w:val="both"/>
        <w:rPr>
          <w:rFonts w:cstheme="minorHAnsi"/>
          <w:lang w:val="en-US"/>
        </w:rPr>
      </w:pPr>
      <w:r>
        <w:rPr>
          <w:rFonts w:cstheme="minorHAnsi"/>
          <w:lang w:val="en-US"/>
        </w:rPr>
        <w:t xml:space="preserve">The Town and the Incorporated Association will take all reasonable steps to resolve any issues or disputes that </w:t>
      </w:r>
      <w:proofErr w:type="gramStart"/>
      <w:r>
        <w:rPr>
          <w:rFonts w:cstheme="minorHAnsi"/>
          <w:lang w:val="en-US"/>
        </w:rPr>
        <w:t>may arise,</w:t>
      </w:r>
      <w:proofErr w:type="gramEnd"/>
      <w:r>
        <w:rPr>
          <w:rFonts w:cstheme="minorHAnsi"/>
          <w:lang w:val="en-US"/>
        </w:rPr>
        <w:t xml:space="preserve"> however, the Town reserves the right to terminate a </w:t>
      </w:r>
      <w:r w:rsidRPr="00DF7BE8">
        <w:rPr>
          <w:rFonts w:cstheme="minorHAnsi"/>
          <w:b/>
          <w:i/>
          <w:color w:val="000000"/>
        </w:rPr>
        <w:t>Community Garden Agreement</w:t>
      </w:r>
      <w:r>
        <w:rPr>
          <w:rFonts w:cstheme="minorHAnsi"/>
          <w:lang w:val="en-US"/>
        </w:rPr>
        <w:t xml:space="preserve"> for a breach of conditions by giving 30 days’ written notice of termination.</w:t>
      </w:r>
    </w:p>
    <w:p w14:paraId="3E9EB777" w14:textId="77777777" w:rsidR="00EF1926" w:rsidRDefault="00EF1926" w:rsidP="00EF1926">
      <w:pPr>
        <w:spacing w:after="0"/>
        <w:ind w:left="284" w:hanging="284"/>
        <w:jc w:val="both"/>
        <w:rPr>
          <w:rFonts w:cstheme="minorHAnsi"/>
          <w:b/>
          <w:color w:val="000000" w:themeColor="text1"/>
          <w:lang w:val="en-US"/>
        </w:rPr>
      </w:pPr>
    </w:p>
    <w:p w14:paraId="69F118E9" w14:textId="77777777" w:rsidR="00EF1926" w:rsidRPr="00B640E1" w:rsidRDefault="00EF1926" w:rsidP="00EF1926">
      <w:pPr>
        <w:spacing w:after="0"/>
        <w:ind w:left="284" w:hanging="284"/>
        <w:jc w:val="both"/>
        <w:rPr>
          <w:rFonts w:cstheme="minorHAnsi"/>
          <w:b/>
          <w:color w:val="000000" w:themeColor="text1"/>
          <w:lang w:val="en-US"/>
        </w:rPr>
      </w:pPr>
    </w:p>
    <w:tbl>
      <w:tblPr>
        <w:tblStyle w:val="TableGrid"/>
        <w:tblW w:w="0" w:type="auto"/>
        <w:tblLook w:val="04A0" w:firstRow="1" w:lastRow="0" w:firstColumn="1" w:lastColumn="0" w:noHBand="0" w:noVBand="1"/>
      </w:tblPr>
      <w:tblGrid>
        <w:gridCol w:w="3256"/>
        <w:gridCol w:w="5760"/>
      </w:tblGrid>
      <w:tr w:rsidR="00EF1926" w:rsidRPr="00B640E1" w14:paraId="62535F84" w14:textId="77777777" w:rsidTr="00A9290F">
        <w:tc>
          <w:tcPr>
            <w:tcW w:w="3256" w:type="dxa"/>
          </w:tcPr>
          <w:p w14:paraId="615583D3" w14:textId="77777777" w:rsidR="00EF1926" w:rsidRPr="00B640E1" w:rsidRDefault="00EF1926" w:rsidP="00A9290F">
            <w:pPr>
              <w:jc w:val="both"/>
              <w:rPr>
                <w:rFonts w:cstheme="minorHAnsi"/>
                <w:b/>
                <w:lang w:val="en-US"/>
              </w:rPr>
            </w:pPr>
            <w:r w:rsidRPr="00B640E1">
              <w:rPr>
                <w:rFonts w:cstheme="minorHAnsi"/>
                <w:b/>
                <w:lang w:val="en-US"/>
              </w:rPr>
              <w:t>Responsible Directorate:</w:t>
            </w:r>
          </w:p>
        </w:tc>
        <w:tc>
          <w:tcPr>
            <w:tcW w:w="5760" w:type="dxa"/>
          </w:tcPr>
          <w:p w14:paraId="28AF260C" w14:textId="77777777" w:rsidR="00EF1926" w:rsidRPr="00B640E1" w:rsidRDefault="00EF1926" w:rsidP="00A9290F">
            <w:pPr>
              <w:jc w:val="both"/>
              <w:rPr>
                <w:rFonts w:cstheme="minorHAnsi"/>
                <w:lang w:val="en-US"/>
              </w:rPr>
            </w:pPr>
            <w:r w:rsidRPr="00B640E1">
              <w:rPr>
                <w:rFonts w:cstheme="minorHAnsi"/>
                <w:lang w:val="en-US"/>
              </w:rPr>
              <w:t>Corporate Services</w:t>
            </w:r>
          </w:p>
        </w:tc>
      </w:tr>
      <w:tr w:rsidR="00EF1926" w:rsidRPr="00B640E1" w14:paraId="1058E0A3" w14:textId="77777777" w:rsidTr="00A9290F">
        <w:tc>
          <w:tcPr>
            <w:tcW w:w="3256" w:type="dxa"/>
          </w:tcPr>
          <w:p w14:paraId="33843DE5" w14:textId="77777777" w:rsidR="00EF1926" w:rsidRPr="00B640E1" w:rsidRDefault="00EF1926" w:rsidP="00A9290F">
            <w:pPr>
              <w:jc w:val="both"/>
              <w:rPr>
                <w:rFonts w:cstheme="minorHAnsi"/>
                <w:b/>
                <w:lang w:val="en-US"/>
              </w:rPr>
            </w:pPr>
            <w:r w:rsidRPr="00B640E1">
              <w:rPr>
                <w:rFonts w:cstheme="minorHAnsi"/>
                <w:b/>
                <w:lang w:val="en-US"/>
              </w:rPr>
              <w:t>Reviewing Officer:</w:t>
            </w:r>
          </w:p>
        </w:tc>
        <w:tc>
          <w:tcPr>
            <w:tcW w:w="5760" w:type="dxa"/>
          </w:tcPr>
          <w:p w14:paraId="73474617" w14:textId="77777777" w:rsidR="00EF1926" w:rsidRPr="00B640E1" w:rsidRDefault="00EF1926" w:rsidP="00A9290F">
            <w:pPr>
              <w:jc w:val="both"/>
              <w:rPr>
                <w:rFonts w:cstheme="minorHAnsi"/>
                <w:lang w:val="en-US"/>
              </w:rPr>
            </w:pPr>
            <w:r>
              <w:rPr>
                <w:rFonts w:cstheme="minorHAnsi"/>
                <w:lang w:val="en-US"/>
              </w:rPr>
              <w:t>Executive Manager Corporate Services</w:t>
            </w:r>
          </w:p>
        </w:tc>
      </w:tr>
      <w:tr w:rsidR="00EF1926" w:rsidRPr="00B640E1" w14:paraId="6482A698" w14:textId="77777777" w:rsidTr="00A9290F">
        <w:tc>
          <w:tcPr>
            <w:tcW w:w="3256" w:type="dxa"/>
          </w:tcPr>
          <w:p w14:paraId="3CAE7F7E" w14:textId="77777777" w:rsidR="00EF1926" w:rsidRPr="00B640E1" w:rsidRDefault="00EF1926" w:rsidP="00A9290F">
            <w:pPr>
              <w:jc w:val="both"/>
              <w:rPr>
                <w:rFonts w:cstheme="minorHAnsi"/>
                <w:b/>
                <w:lang w:val="en-US"/>
              </w:rPr>
            </w:pPr>
            <w:r w:rsidRPr="00B640E1">
              <w:rPr>
                <w:rFonts w:cstheme="minorHAnsi"/>
                <w:b/>
                <w:lang w:val="en-US"/>
              </w:rPr>
              <w:t>Decision making Authority:</w:t>
            </w:r>
          </w:p>
        </w:tc>
        <w:tc>
          <w:tcPr>
            <w:tcW w:w="5760" w:type="dxa"/>
          </w:tcPr>
          <w:p w14:paraId="0D5DDA0C" w14:textId="77777777" w:rsidR="00EF1926" w:rsidRPr="00B640E1" w:rsidRDefault="00EF1926" w:rsidP="00A9290F">
            <w:pPr>
              <w:jc w:val="both"/>
              <w:rPr>
                <w:rFonts w:cstheme="minorHAnsi"/>
                <w:lang w:val="en-US"/>
              </w:rPr>
            </w:pPr>
            <w:r w:rsidRPr="00B640E1">
              <w:rPr>
                <w:rFonts w:cstheme="minorHAnsi"/>
                <w:lang w:val="en-US"/>
              </w:rPr>
              <w:t>Council</w:t>
            </w:r>
          </w:p>
        </w:tc>
      </w:tr>
      <w:tr w:rsidR="00EF1926" w:rsidRPr="00B640E1" w14:paraId="1454E65F" w14:textId="77777777" w:rsidTr="00A9290F">
        <w:tc>
          <w:tcPr>
            <w:tcW w:w="3256" w:type="dxa"/>
          </w:tcPr>
          <w:p w14:paraId="033E03D1" w14:textId="77777777" w:rsidR="00EF1926" w:rsidRPr="00B640E1" w:rsidRDefault="00EF1926" w:rsidP="00A9290F">
            <w:pPr>
              <w:jc w:val="both"/>
              <w:rPr>
                <w:rFonts w:cstheme="minorHAnsi"/>
                <w:b/>
                <w:lang w:val="en-US"/>
              </w:rPr>
            </w:pPr>
            <w:r w:rsidRPr="00B640E1">
              <w:rPr>
                <w:rFonts w:cstheme="minorHAnsi"/>
                <w:b/>
                <w:lang w:val="en-US"/>
              </w:rPr>
              <w:t>Policy Adopted:</w:t>
            </w:r>
          </w:p>
        </w:tc>
        <w:tc>
          <w:tcPr>
            <w:tcW w:w="5760" w:type="dxa"/>
          </w:tcPr>
          <w:p w14:paraId="7D25204B" w14:textId="77777777" w:rsidR="00EF1926" w:rsidRPr="00B640E1" w:rsidRDefault="00EF1926" w:rsidP="00A9290F">
            <w:pPr>
              <w:jc w:val="both"/>
              <w:rPr>
                <w:rFonts w:cstheme="minorHAnsi"/>
                <w:lang w:val="en-US"/>
              </w:rPr>
            </w:pPr>
            <w:r>
              <w:rPr>
                <w:rFonts w:cstheme="minorHAnsi"/>
                <w:lang w:val="en-US"/>
              </w:rPr>
              <w:t>18/02/20</w:t>
            </w:r>
          </w:p>
        </w:tc>
      </w:tr>
      <w:tr w:rsidR="00EF1926" w:rsidRPr="00B640E1" w14:paraId="27D1154D" w14:textId="77777777" w:rsidTr="00A9290F">
        <w:tc>
          <w:tcPr>
            <w:tcW w:w="3256" w:type="dxa"/>
          </w:tcPr>
          <w:p w14:paraId="18167E24" w14:textId="77777777" w:rsidR="00EF1926" w:rsidRPr="00B640E1" w:rsidRDefault="00EF1926" w:rsidP="00A9290F">
            <w:pPr>
              <w:jc w:val="both"/>
              <w:rPr>
                <w:rFonts w:cstheme="minorHAnsi"/>
                <w:b/>
                <w:lang w:val="en-US"/>
              </w:rPr>
            </w:pPr>
            <w:r>
              <w:rPr>
                <w:rFonts w:cstheme="minorHAnsi"/>
                <w:b/>
                <w:lang w:val="en-US"/>
              </w:rPr>
              <w:t>Policy Amended/Reviewed:</w:t>
            </w:r>
          </w:p>
        </w:tc>
        <w:tc>
          <w:tcPr>
            <w:tcW w:w="5760" w:type="dxa"/>
          </w:tcPr>
          <w:p w14:paraId="31F1E453" w14:textId="77777777" w:rsidR="00EF1926" w:rsidRPr="00B640E1" w:rsidRDefault="00EF1926" w:rsidP="00A9290F">
            <w:pPr>
              <w:jc w:val="both"/>
              <w:rPr>
                <w:rFonts w:cstheme="minorHAnsi"/>
                <w:lang w:val="en-US"/>
              </w:rPr>
            </w:pPr>
          </w:p>
        </w:tc>
      </w:tr>
    </w:tbl>
    <w:p w14:paraId="1B2AF9F3" w14:textId="77777777" w:rsidR="00EF1926" w:rsidRDefault="00EF1926" w:rsidP="00EF1926">
      <w:pPr>
        <w:spacing w:after="0"/>
        <w:jc w:val="both"/>
        <w:rPr>
          <w:rFonts w:cstheme="minorHAnsi"/>
        </w:rPr>
      </w:pPr>
    </w:p>
    <w:p w14:paraId="5AC3A3FC" w14:textId="77777777" w:rsidR="00A047D0" w:rsidRDefault="00A047D0">
      <w:pPr>
        <w:rPr>
          <w:rFonts w:cstheme="minorHAnsi"/>
          <w:lang w:val="en-US"/>
        </w:rPr>
      </w:pPr>
      <w:r>
        <w:rPr>
          <w:rFonts w:cstheme="minorHAnsi"/>
          <w:lang w:val="en-US"/>
        </w:rPr>
        <w:br w:type="page"/>
      </w:r>
    </w:p>
    <w:p w14:paraId="28081101" w14:textId="58812093" w:rsidR="00EF011D" w:rsidRDefault="00EF011D" w:rsidP="00EF011D">
      <w:pPr>
        <w:pStyle w:val="Title"/>
        <w:pBdr>
          <w:bottom w:val="none" w:sz="0" w:space="0" w:color="auto"/>
        </w:pBdr>
        <w:spacing w:after="240"/>
        <w:jc w:val="right"/>
      </w:pPr>
      <w:r>
        <w:rPr>
          <w:noProof/>
          <w:lang w:eastAsia="en-AU"/>
        </w:rPr>
        <w:lastRenderedPageBreak/>
        <w:drawing>
          <wp:anchor distT="0" distB="0" distL="114300" distR="114300" simplePos="0" relativeHeight="251614208" behindDoc="1" locked="0" layoutInCell="1" allowOverlap="1" wp14:anchorId="46529137" wp14:editId="56920F70">
            <wp:simplePos x="0" y="0"/>
            <wp:positionH relativeFrom="column">
              <wp:posOffset>4076700</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5A13BC16" w14:textId="77777777" w:rsidR="00EF011D" w:rsidRDefault="00EF011D" w:rsidP="00A047D0">
      <w:pPr>
        <w:pStyle w:val="Policy3"/>
        <w:spacing w:after="0"/>
        <w:jc w:val="both"/>
      </w:pPr>
    </w:p>
    <w:p w14:paraId="5E48F001" w14:textId="6CCB9B5A" w:rsidR="00A047D0" w:rsidRDefault="00A047D0" w:rsidP="00A047D0">
      <w:pPr>
        <w:pStyle w:val="Policy3"/>
        <w:spacing w:after="0"/>
        <w:jc w:val="both"/>
      </w:pPr>
      <w:bookmarkStart w:id="633" w:name="_Toc216866747"/>
      <w:r>
        <w:t>6.1.2</w:t>
      </w:r>
      <w:r w:rsidRPr="002B4D68">
        <w:tab/>
      </w:r>
      <w:r>
        <w:t>Trading in Public Places</w:t>
      </w:r>
      <w:bookmarkEnd w:id="633"/>
    </w:p>
    <w:p w14:paraId="2F2C4422" w14:textId="77777777" w:rsidR="00A047D0" w:rsidRDefault="00A047D0" w:rsidP="00A047D0">
      <w:pPr>
        <w:pStyle w:val="Policy3"/>
        <w:spacing w:after="0"/>
        <w:jc w:val="both"/>
      </w:pPr>
    </w:p>
    <w:tbl>
      <w:tblPr>
        <w:tblStyle w:val="TableGrid"/>
        <w:tblW w:w="0" w:type="auto"/>
        <w:tblLook w:val="04A0" w:firstRow="1" w:lastRow="0" w:firstColumn="1" w:lastColumn="0" w:noHBand="0" w:noVBand="1"/>
      </w:tblPr>
      <w:tblGrid>
        <w:gridCol w:w="3033"/>
        <w:gridCol w:w="5983"/>
      </w:tblGrid>
      <w:tr w:rsidR="00A047D0" w:rsidRPr="00714866" w14:paraId="5FDA228D" w14:textId="77777777" w:rsidTr="00492C9F">
        <w:tc>
          <w:tcPr>
            <w:tcW w:w="3033" w:type="dxa"/>
          </w:tcPr>
          <w:p w14:paraId="503EAA29" w14:textId="77777777" w:rsidR="00A047D0" w:rsidRPr="00714866" w:rsidRDefault="00A047D0" w:rsidP="00492C9F">
            <w:pPr>
              <w:rPr>
                <w:rFonts w:ascii="Calibri" w:hAnsi="Calibri" w:cs="Calibri"/>
                <w:b/>
              </w:rPr>
            </w:pPr>
            <w:r w:rsidRPr="00714866">
              <w:rPr>
                <w:rFonts w:ascii="Calibri" w:hAnsi="Calibri" w:cs="Calibri"/>
                <w:b/>
              </w:rPr>
              <w:t>Type:</w:t>
            </w:r>
          </w:p>
        </w:tc>
        <w:tc>
          <w:tcPr>
            <w:tcW w:w="5983" w:type="dxa"/>
          </w:tcPr>
          <w:p w14:paraId="0F12D09F" w14:textId="77777777" w:rsidR="00A047D0" w:rsidRPr="00714866" w:rsidRDefault="00A047D0" w:rsidP="00492C9F">
            <w:pPr>
              <w:rPr>
                <w:rFonts w:ascii="Calibri" w:hAnsi="Calibri" w:cs="Calibri"/>
              </w:rPr>
            </w:pPr>
            <w:r w:rsidRPr="00714866">
              <w:rPr>
                <w:rFonts w:ascii="Calibri" w:hAnsi="Calibri" w:cs="Calibri"/>
              </w:rPr>
              <w:t xml:space="preserve">Community </w:t>
            </w:r>
            <w:r>
              <w:rPr>
                <w:rFonts w:ascii="Calibri" w:hAnsi="Calibri" w:cs="Calibri"/>
              </w:rPr>
              <w:t>- Activities</w:t>
            </w:r>
          </w:p>
        </w:tc>
      </w:tr>
      <w:tr w:rsidR="00A047D0" w:rsidRPr="00714866" w14:paraId="47B9DB38" w14:textId="77777777" w:rsidTr="00492C9F">
        <w:tc>
          <w:tcPr>
            <w:tcW w:w="3033" w:type="dxa"/>
          </w:tcPr>
          <w:p w14:paraId="4E6C5D4E" w14:textId="77777777" w:rsidR="00A047D0" w:rsidRPr="00714866" w:rsidRDefault="00A047D0" w:rsidP="00492C9F">
            <w:pPr>
              <w:rPr>
                <w:rFonts w:ascii="Calibri" w:hAnsi="Calibri" w:cs="Calibri"/>
                <w:b/>
              </w:rPr>
            </w:pPr>
            <w:r w:rsidRPr="00714866">
              <w:rPr>
                <w:rFonts w:ascii="Calibri" w:hAnsi="Calibri" w:cs="Calibri"/>
                <w:b/>
              </w:rPr>
              <w:t>Legislation:</w:t>
            </w:r>
          </w:p>
        </w:tc>
        <w:tc>
          <w:tcPr>
            <w:tcW w:w="5983" w:type="dxa"/>
          </w:tcPr>
          <w:p w14:paraId="2E444A43" w14:textId="77777777" w:rsidR="00A047D0" w:rsidRPr="00714866" w:rsidRDefault="00A047D0" w:rsidP="00492C9F">
            <w:pPr>
              <w:rPr>
                <w:rFonts w:ascii="Calibri" w:hAnsi="Calibri" w:cs="Calibri"/>
              </w:rPr>
            </w:pPr>
            <w:r w:rsidRPr="00714866">
              <w:rPr>
                <w:rFonts w:ascii="Calibri" w:hAnsi="Calibri" w:cs="Calibri"/>
              </w:rPr>
              <w:t>Food Act 2008, Local Government Act 1995.</w:t>
            </w:r>
          </w:p>
          <w:p w14:paraId="0CE1A66A" w14:textId="77777777" w:rsidR="00A047D0" w:rsidRPr="00714866" w:rsidRDefault="00A047D0" w:rsidP="00492C9F">
            <w:pPr>
              <w:rPr>
                <w:rFonts w:ascii="Calibri" w:hAnsi="Calibri" w:cs="Calibri"/>
              </w:rPr>
            </w:pPr>
            <w:r w:rsidRPr="00714866">
              <w:rPr>
                <w:rFonts w:ascii="Calibri" w:hAnsi="Calibri" w:cs="Calibri"/>
              </w:rPr>
              <w:t xml:space="preserve">Public Places and Local Government Property Law 2016  </w:t>
            </w:r>
          </w:p>
        </w:tc>
      </w:tr>
      <w:tr w:rsidR="00A047D0" w:rsidRPr="00714866" w14:paraId="2DBEE7CD" w14:textId="77777777" w:rsidTr="00492C9F">
        <w:tc>
          <w:tcPr>
            <w:tcW w:w="3033" w:type="dxa"/>
          </w:tcPr>
          <w:p w14:paraId="401BBB5A" w14:textId="77777777" w:rsidR="00A047D0" w:rsidRPr="00714866" w:rsidRDefault="00A047D0" w:rsidP="00492C9F">
            <w:pPr>
              <w:rPr>
                <w:rFonts w:ascii="Calibri" w:hAnsi="Calibri" w:cs="Calibri"/>
                <w:b/>
              </w:rPr>
            </w:pPr>
            <w:r w:rsidRPr="00714866">
              <w:rPr>
                <w:rFonts w:ascii="Calibri" w:hAnsi="Calibri" w:cs="Calibri"/>
                <w:b/>
              </w:rPr>
              <w:t>Delegation:</w:t>
            </w:r>
          </w:p>
        </w:tc>
        <w:tc>
          <w:tcPr>
            <w:tcW w:w="5983" w:type="dxa"/>
          </w:tcPr>
          <w:p w14:paraId="02EF3488" w14:textId="77777777" w:rsidR="00A047D0" w:rsidRPr="00A55A79" w:rsidRDefault="00A047D0" w:rsidP="00492C9F">
            <w:pPr>
              <w:rPr>
                <w:rFonts w:ascii="Calibri" w:hAnsi="Calibri" w:cs="Calibri"/>
              </w:rPr>
            </w:pPr>
            <w:r w:rsidRPr="00A55A79">
              <w:rPr>
                <w:rFonts w:ascii="Calibri" w:hAnsi="Calibri" w:cs="Calibri"/>
              </w:rPr>
              <w:t>DA82</w:t>
            </w:r>
          </w:p>
        </w:tc>
      </w:tr>
      <w:tr w:rsidR="00A047D0" w:rsidRPr="00714866" w14:paraId="3B19B215" w14:textId="77777777" w:rsidTr="00492C9F">
        <w:tc>
          <w:tcPr>
            <w:tcW w:w="3033" w:type="dxa"/>
          </w:tcPr>
          <w:p w14:paraId="0FCF6544" w14:textId="77777777" w:rsidR="00A047D0" w:rsidRPr="00714866" w:rsidRDefault="00A047D0" w:rsidP="00492C9F">
            <w:pPr>
              <w:rPr>
                <w:rFonts w:ascii="Calibri" w:hAnsi="Calibri" w:cs="Calibri"/>
                <w:b/>
              </w:rPr>
            </w:pPr>
            <w:r w:rsidRPr="00714866">
              <w:rPr>
                <w:rFonts w:ascii="Calibri" w:hAnsi="Calibri" w:cs="Calibri"/>
                <w:b/>
              </w:rPr>
              <w:t>Other Related Document:</w:t>
            </w:r>
          </w:p>
        </w:tc>
        <w:tc>
          <w:tcPr>
            <w:tcW w:w="5983" w:type="dxa"/>
          </w:tcPr>
          <w:p w14:paraId="226C9841" w14:textId="77777777" w:rsidR="00A047D0" w:rsidRPr="00714866" w:rsidRDefault="00A047D0" w:rsidP="00492C9F">
            <w:pPr>
              <w:jc w:val="both"/>
              <w:rPr>
                <w:rFonts w:ascii="Calibri" w:hAnsi="Calibri" w:cs="Calibri"/>
              </w:rPr>
            </w:pPr>
            <w:r w:rsidRPr="00714866">
              <w:rPr>
                <w:rFonts w:ascii="Calibri" w:hAnsi="Calibri" w:cs="Calibri"/>
              </w:rPr>
              <w:t>Town of East Fremantle Fees and Charges</w:t>
            </w:r>
          </w:p>
        </w:tc>
      </w:tr>
    </w:tbl>
    <w:p w14:paraId="63D19982" w14:textId="77777777" w:rsidR="00A047D0" w:rsidRPr="00BD2065" w:rsidRDefault="00A047D0" w:rsidP="00A047D0">
      <w:pPr>
        <w:pStyle w:val="Heading1"/>
        <w:spacing w:before="360"/>
        <w:rPr>
          <w:rFonts w:ascii="Calibri" w:hAnsi="Calibri" w:cs="Calibri"/>
          <w:color w:val="auto"/>
        </w:rPr>
      </w:pPr>
      <w:r w:rsidRPr="00BD2065">
        <w:rPr>
          <w:rFonts w:ascii="Calibri" w:hAnsi="Calibri" w:cs="Calibri"/>
          <w:color w:val="auto"/>
        </w:rPr>
        <w:t>Objective</w:t>
      </w:r>
    </w:p>
    <w:p w14:paraId="7AFAEDCF" w14:textId="77777777" w:rsidR="00A047D0" w:rsidRPr="00714866" w:rsidRDefault="00A047D0" w:rsidP="00A047D0">
      <w:pPr>
        <w:jc w:val="both"/>
        <w:rPr>
          <w:rFonts w:ascii="Calibri" w:hAnsi="Calibri" w:cs="Calibri"/>
        </w:rPr>
      </w:pPr>
      <w:r w:rsidRPr="00714866">
        <w:rPr>
          <w:rFonts w:ascii="Calibri" w:hAnsi="Calibri" w:cs="Calibri"/>
        </w:rPr>
        <w:t>The purpose of this policy is to provide guidance to mobile food vendors and temporary stall holders about the procedures required for the approval of mobile food vendors and temporary stall holders to trade in a public place within the Town of East Fremantle.</w:t>
      </w:r>
    </w:p>
    <w:p w14:paraId="07821963" w14:textId="77777777" w:rsidR="00A047D0" w:rsidRPr="00BD2065" w:rsidRDefault="00A047D0" w:rsidP="00A047D0">
      <w:pPr>
        <w:pStyle w:val="Heading1"/>
        <w:spacing w:before="0"/>
        <w:jc w:val="both"/>
        <w:rPr>
          <w:rFonts w:ascii="Calibri" w:hAnsi="Calibri" w:cs="Calibri"/>
          <w:color w:val="auto"/>
        </w:rPr>
      </w:pPr>
      <w:r w:rsidRPr="00BD2065">
        <w:rPr>
          <w:rFonts w:ascii="Calibri" w:hAnsi="Calibri" w:cs="Calibri"/>
          <w:color w:val="auto"/>
        </w:rPr>
        <w:t>Policy Scope</w:t>
      </w:r>
    </w:p>
    <w:p w14:paraId="25148FC2" w14:textId="77777777" w:rsidR="00A047D0" w:rsidRPr="00714866" w:rsidRDefault="00A047D0" w:rsidP="00A047D0">
      <w:pPr>
        <w:jc w:val="both"/>
        <w:rPr>
          <w:rFonts w:ascii="Calibri" w:hAnsi="Calibri" w:cs="Calibri"/>
        </w:rPr>
      </w:pPr>
      <w:r w:rsidRPr="00714866">
        <w:rPr>
          <w:rFonts w:ascii="Calibri" w:hAnsi="Calibri" w:cs="Calibri"/>
        </w:rPr>
        <w:t>This policy applies to all mobile food vendors and temporary stall holders who would like to sell goods from Council land, including packaged foods, foods requiring limited food preparation and high risk, take-away and ready-to eat foods or other items such as flowers, plants, books or garage/craft sale type goods.</w:t>
      </w:r>
    </w:p>
    <w:p w14:paraId="20DBC013" w14:textId="77777777" w:rsidR="00A047D0" w:rsidRPr="00714866" w:rsidRDefault="00A047D0" w:rsidP="00A047D0">
      <w:pPr>
        <w:jc w:val="both"/>
        <w:rPr>
          <w:rFonts w:ascii="Calibri" w:hAnsi="Calibri" w:cs="Calibri"/>
        </w:rPr>
      </w:pPr>
      <w:r w:rsidRPr="00714866">
        <w:rPr>
          <w:rFonts w:ascii="Calibri" w:hAnsi="Calibri" w:cs="Calibri"/>
        </w:rPr>
        <w:t>The licence referred to in the policy does not apply to mobile food vendors and temporary stall holders who operate on privately owned land.</w:t>
      </w:r>
    </w:p>
    <w:p w14:paraId="29644E07" w14:textId="77777777" w:rsidR="00A047D0" w:rsidRPr="00BD2065" w:rsidRDefault="00A047D0" w:rsidP="00A047D0">
      <w:pPr>
        <w:pStyle w:val="Heading1"/>
        <w:spacing w:before="0"/>
        <w:jc w:val="both"/>
        <w:rPr>
          <w:rFonts w:ascii="Calibri" w:hAnsi="Calibri" w:cs="Calibri"/>
          <w:color w:val="auto"/>
        </w:rPr>
      </w:pPr>
      <w:r w:rsidRPr="00BD2065">
        <w:rPr>
          <w:rFonts w:ascii="Calibri" w:hAnsi="Calibri" w:cs="Calibri"/>
          <w:color w:val="auto"/>
        </w:rPr>
        <w:t xml:space="preserve">Policy </w:t>
      </w:r>
    </w:p>
    <w:p w14:paraId="08123412" w14:textId="77777777" w:rsidR="00A047D0" w:rsidRPr="00714866" w:rsidRDefault="00A047D0" w:rsidP="00A047D0">
      <w:pPr>
        <w:spacing w:after="120"/>
        <w:jc w:val="both"/>
        <w:rPr>
          <w:rFonts w:ascii="Calibri" w:hAnsi="Calibri" w:cs="Calibri"/>
        </w:rPr>
      </w:pPr>
      <w:r w:rsidRPr="00714866">
        <w:rPr>
          <w:rFonts w:ascii="Calibri" w:hAnsi="Calibri" w:cs="Calibri"/>
        </w:rPr>
        <w:t xml:space="preserve">The Town of East Fremantle will permit trading in a public place in accordance with the </w:t>
      </w:r>
      <w:r w:rsidRPr="00714866">
        <w:rPr>
          <w:rFonts w:ascii="Calibri" w:hAnsi="Calibri" w:cs="Calibri"/>
          <w:i/>
        </w:rPr>
        <w:t>Public Places and Local Government Property Local Law 2016</w:t>
      </w:r>
      <w:r w:rsidRPr="00714866">
        <w:rPr>
          <w:rFonts w:ascii="Calibri" w:hAnsi="Calibri" w:cs="Calibri"/>
        </w:rPr>
        <w:t xml:space="preserve"> subject to the below requirements:</w:t>
      </w:r>
    </w:p>
    <w:p w14:paraId="3D643BA1" w14:textId="77777777" w:rsidR="00A047D0" w:rsidRPr="00714866" w:rsidRDefault="00A047D0" w:rsidP="00A047D0">
      <w:pPr>
        <w:spacing w:after="120"/>
        <w:jc w:val="both"/>
        <w:rPr>
          <w:rFonts w:ascii="Calibri" w:hAnsi="Calibri" w:cs="Calibri"/>
        </w:rPr>
      </w:pPr>
      <w:r w:rsidRPr="00714866">
        <w:rPr>
          <w:rFonts w:ascii="Calibri" w:hAnsi="Calibri" w:cs="Calibri"/>
        </w:rPr>
        <w:t>The Public Places and Local Government Property Law 2016 Part 3 states:</w:t>
      </w:r>
    </w:p>
    <w:p w14:paraId="495065F5" w14:textId="77777777" w:rsidR="00A047D0" w:rsidRPr="00714866" w:rsidRDefault="00A047D0" w:rsidP="00A047D0">
      <w:pPr>
        <w:spacing w:after="60"/>
        <w:jc w:val="both"/>
        <w:rPr>
          <w:rFonts w:ascii="Calibri" w:hAnsi="Calibri" w:cs="Calibri"/>
          <w:i/>
        </w:rPr>
      </w:pPr>
      <w:r w:rsidRPr="00714866">
        <w:rPr>
          <w:rFonts w:ascii="Calibri" w:hAnsi="Calibri" w:cs="Calibri"/>
          <w:i/>
        </w:rPr>
        <w:t>1.</w:t>
      </w:r>
      <w:r w:rsidRPr="00714866">
        <w:rPr>
          <w:rFonts w:ascii="Calibri" w:hAnsi="Calibri" w:cs="Calibri"/>
          <w:i/>
        </w:rPr>
        <w:tab/>
        <w:t>A person must not without a licence:</w:t>
      </w:r>
    </w:p>
    <w:p w14:paraId="2C643302" w14:textId="77777777" w:rsidR="00A047D0" w:rsidRPr="00714866" w:rsidRDefault="00A047D0" w:rsidP="00A047D0">
      <w:pPr>
        <w:spacing w:after="120"/>
        <w:ind w:left="1276" w:hanging="567"/>
        <w:jc w:val="both"/>
        <w:rPr>
          <w:rFonts w:ascii="Calibri" w:hAnsi="Calibri" w:cs="Calibri"/>
          <w:i/>
        </w:rPr>
      </w:pPr>
      <w:r w:rsidRPr="00714866">
        <w:rPr>
          <w:rFonts w:ascii="Calibri" w:hAnsi="Calibri" w:cs="Calibri"/>
          <w:i/>
        </w:rPr>
        <w:t xml:space="preserve">(f) </w:t>
      </w:r>
      <w:r w:rsidRPr="00714866">
        <w:rPr>
          <w:rFonts w:ascii="Calibri" w:hAnsi="Calibri" w:cs="Calibri"/>
          <w:i/>
        </w:rPr>
        <w:tab/>
        <w:t xml:space="preserve">carry on any trading on local government property unless the trading is conducted – </w:t>
      </w:r>
    </w:p>
    <w:p w14:paraId="1B05A6C0" w14:textId="77777777" w:rsidR="00A047D0" w:rsidRPr="00714866" w:rsidRDefault="00A047D0" w:rsidP="00A047D0">
      <w:pPr>
        <w:spacing w:after="120"/>
        <w:ind w:left="1276" w:hanging="567"/>
        <w:jc w:val="both"/>
        <w:rPr>
          <w:rFonts w:ascii="Calibri" w:hAnsi="Calibri" w:cs="Calibri"/>
          <w:i/>
        </w:rPr>
      </w:pPr>
      <w:r w:rsidRPr="00714866">
        <w:rPr>
          <w:rFonts w:ascii="Calibri" w:hAnsi="Calibri" w:cs="Calibri"/>
          <w:i/>
        </w:rPr>
        <w:t>(</w:t>
      </w:r>
      <w:proofErr w:type="spellStart"/>
      <w:r w:rsidRPr="00714866">
        <w:rPr>
          <w:rFonts w:ascii="Calibri" w:hAnsi="Calibri" w:cs="Calibri"/>
          <w:i/>
        </w:rPr>
        <w:t>i</w:t>
      </w:r>
      <w:proofErr w:type="spellEnd"/>
      <w:r w:rsidRPr="00714866">
        <w:rPr>
          <w:rFonts w:ascii="Calibri" w:hAnsi="Calibri" w:cs="Calibri"/>
          <w:i/>
        </w:rPr>
        <w:t xml:space="preserve">) </w:t>
      </w:r>
      <w:r w:rsidRPr="00714866">
        <w:rPr>
          <w:rFonts w:ascii="Calibri" w:hAnsi="Calibri" w:cs="Calibri"/>
          <w:i/>
        </w:rPr>
        <w:tab/>
        <w:t>with the consent of a person who holds a licence to conduct a function, and where the trading is carried on under and in accordance with the licence; or</w:t>
      </w:r>
    </w:p>
    <w:p w14:paraId="42DAD11E" w14:textId="77777777" w:rsidR="00A047D0" w:rsidRPr="00714866" w:rsidRDefault="00A047D0" w:rsidP="00A047D0">
      <w:pPr>
        <w:spacing w:after="120"/>
        <w:ind w:left="1276" w:hanging="567"/>
        <w:jc w:val="both"/>
        <w:rPr>
          <w:rFonts w:ascii="Calibri" w:hAnsi="Calibri" w:cs="Calibri"/>
          <w:i/>
        </w:rPr>
      </w:pPr>
      <w:r w:rsidRPr="00714866">
        <w:rPr>
          <w:rFonts w:ascii="Calibri" w:hAnsi="Calibri" w:cs="Calibri"/>
          <w:i/>
        </w:rPr>
        <w:t>(ii)</w:t>
      </w:r>
      <w:r w:rsidRPr="00714866">
        <w:rPr>
          <w:rFonts w:ascii="Calibri" w:hAnsi="Calibri" w:cs="Calibri"/>
          <w:i/>
        </w:rPr>
        <w:tab/>
        <w:t>by a person who has a licence or permit to carry on trading on local government property under any written law</w:t>
      </w:r>
    </w:p>
    <w:p w14:paraId="5F953CAB" w14:textId="77777777" w:rsidR="00A047D0" w:rsidRPr="00714866" w:rsidRDefault="00A047D0" w:rsidP="00A047D0">
      <w:pPr>
        <w:spacing w:after="60"/>
        <w:jc w:val="both"/>
        <w:rPr>
          <w:rFonts w:ascii="Calibri" w:hAnsi="Calibri" w:cs="Calibri"/>
          <w:i/>
        </w:rPr>
      </w:pPr>
      <w:r w:rsidRPr="00714866">
        <w:rPr>
          <w:rFonts w:ascii="Calibri" w:hAnsi="Calibri" w:cs="Calibri"/>
          <w:i/>
        </w:rPr>
        <w:t xml:space="preserve">8.1 </w:t>
      </w:r>
      <w:r w:rsidRPr="00714866">
        <w:rPr>
          <w:rFonts w:ascii="Calibri" w:hAnsi="Calibri" w:cs="Calibri"/>
          <w:i/>
        </w:rPr>
        <w:tab/>
        <w:t>Application for a licence:</w:t>
      </w:r>
    </w:p>
    <w:p w14:paraId="7B4564FA" w14:textId="77777777" w:rsidR="00A047D0" w:rsidRPr="00714866" w:rsidRDefault="00A047D0" w:rsidP="00A047D0">
      <w:pPr>
        <w:spacing w:after="60"/>
        <w:ind w:left="1134" w:hanging="425"/>
        <w:jc w:val="both"/>
        <w:rPr>
          <w:rFonts w:ascii="Calibri" w:hAnsi="Calibri" w:cs="Calibri"/>
          <w:i/>
        </w:rPr>
      </w:pPr>
      <w:r w:rsidRPr="00714866">
        <w:rPr>
          <w:rFonts w:ascii="Calibri" w:hAnsi="Calibri" w:cs="Calibri"/>
          <w:i/>
        </w:rPr>
        <w:t xml:space="preserve">(2) </w:t>
      </w:r>
      <w:r w:rsidRPr="00714866">
        <w:rPr>
          <w:rFonts w:ascii="Calibri" w:hAnsi="Calibri" w:cs="Calibri"/>
          <w:i/>
        </w:rPr>
        <w:tab/>
        <w:t>An application for a licence under this local law must:</w:t>
      </w:r>
    </w:p>
    <w:p w14:paraId="303FCA80" w14:textId="77777777" w:rsidR="00A047D0" w:rsidRPr="00714866" w:rsidRDefault="00A047D0" w:rsidP="00A047D0">
      <w:pPr>
        <w:spacing w:after="120"/>
        <w:ind w:left="1701" w:hanging="567"/>
        <w:jc w:val="both"/>
        <w:rPr>
          <w:rFonts w:ascii="Calibri" w:hAnsi="Calibri" w:cs="Calibri"/>
          <w:i/>
        </w:rPr>
      </w:pPr>
      <w:r w:rsidRPr="00714866">
        <w:rPr>
          <w:rFonts w:ascii="Calibri" w:hAnsi="Calibri" w:cs="Calibri"/>
          <w:i/>
        </w:rPr>
        <w:t xml:space="preserve">(a) </w:t>
      </w:r>
      <w:r w:rsidRPr="00714866">
        <w:rPr>
          <w:rFonts w:ascii="Calibri" w:hAnsi="Calibri" w:cs="Calibri"/>
          <w:i/>
        </w:rPr>
        <w:tab/>
        <w:t>be in the form determined by the CEO,</w:t>
      </w:r>
    </w:p>
    <w:p w14:paraId="1A4857C2" w14:textId="77777777" w:rsidR="00A047D0" w:rsidRPr="00714866" w:rsidRDefault="00A047D0" w:rsidP="00A047D0">
      <w:pPr>
        <w:spacing w:after="120"/>
        <w:ind w:left="1701" w:hanging="567"/>
        <w:jc w:val="both"/>
        <w:rPr>
          <w:rFonts w:ascii="Calibri" w:hAnsi="Calibri" w:cs="Calibri"/>
          <w:i/>
        </w:rPr>
      </w:pPr>
      <w:r w:rsidRPr="00714866">
        <w:rPr>
          <w:rFonts w:ascii="Calibri" w:hAnsi="Calibri" w:cs="Calibri"/>
          <w:i/>
        </w:rPr>
        <w:t xml:space="preserve">(b) </w:t>
      </w:r>
      <w:r w:rsidRPr="00714866">
        <w:rPr>
          <w:rFonts w:ascii="Calibri" w:hAnsi="Calibri" w:cs="Calibri"/>
          <w:i/>
        </w:rPr>
        <w:tab/>
        <w:t>be signed by the applicant,</w:t>
      </w:r>
    </w:p>
    <w:p w14:paraId="645B7D59" w14:textId="77777777" w:rsidR="00A047D0" w:rsidRPr="00714866" w:rsidRDefault="00A047D0" w:rsidP="00A047D0">
      <w:pPr>
        <w:spacing w:after="120"/>
        <w:ind w:left="1701" w:hanging="567"/>
        <w:jc w:val="both"/>
        <w:rPr>
          <w:rFonts w:ascii="Calibri" w:hAnsi="Calibri" w:cs="Calibri"/>
          <w:i/>
        </w:rPr>
      </w:pPr>
      <w:r w:rsidRPr="00714866">
        <w:rPr>
          <w:rFonts w:ascii="Calibri" w:hAnsi="Calibri" w:cs="Calibri"/>
          <w:i/>
        </w:rPr>
        <w:t xml:space="preserve">(c) </w:t>
      </w:r>
      <w:r w:rsidRPr="00714866">
        <w:rPr>
          <w:rFonts w:ascii="Calibri" w:hAnsi="Calibri" w:cs="Calibri"/>
          <w:i/>
        </w:rPr>
        <w:tab/>
        <w:t>provide the information required by the form; and</w:t>
      </w:r>
    </w:p>
    <w:p w14:paraId="24E4B14D" w14:textId="77777777" w:rsidR="00A047D0" w:rsidRPr="00714866" w:rsidRDefault="00A047D0" w:rsidP="00A047D0">
      <w:pPr>
        <w:spacing w:after="120"/>
        <w:ind w:left="1701" w:hanging="567"/>
        <w:jc w:val="both"/>
        <w:rPr>
          <w:rFonts w:ascii="Calibri" w:hAnsi="Calibri" w:cs="Calibri"/>
          <w:i/>
        </w:rPr>
      </w:pPr>
      <w:r w:rsidRPr="00714866">
        <w:rPr>
          <w:rFonts w:ascii="Calibri" w:hAnsi="Calibri" w:cs="Calibri"/>
          <w:i/>
        </w:rPr>
        <w:lastRenderedPageBreak/>
        <w:t xml:space="preserve">(d) </w:t>
      </w:r>
      <w:r w:rsidRPr="00714866">
        <w:rPr>
          <w:rFonts w:ascii="Calibri" w:hAnsi="Calibri" w:cs="Calibri"/>
          <w:i/>
        </w:rPr>
        <w:tab/>
        <w:t>be forwarded to the CEO together with any fee imposed by the Council under sections 6.16 to 6.19 of the Act.</w:t>
      </w:r>
    </w:p>
    <w:p w14:paraId="74729503" w14:textId="77777777" w:rsidR="00A047D0" w:rsidRPr="00714866" w:rsidRDefault="00A047D0" w:rsidP="00A047D0">
      <w:pPr>
        <w:jc w:val="both"/>
        <w:rPr>
          <w:rFonts w:ascii="Calibri" w:hAnsi="Calibri" w:cs="Calibri"/>
        </w:rPr>
      </w:pPr>
      <w:r w:rsidRPr="00714866">
        <w:rPr>
          <w:rFonts w:ascii="Calibri" w:hAnsi="Calibri" w:cs="Calibri"/>
        </w:rPr>
        <w:t>A licence is valid for one year.</w:t>
      </w:r>
    </w:p>
    <w:p w14:paraId="6ACB7D36" w14:textId="1BB285BC" w:rsidR="00A047D0" w:rsidRPr="00714866" w:rsidRDefault="00A047D0" w:rsidP="00A047D0">
      <w:pPr>
        <w:spacing w:after="0"/>
        <w:jc w:val="both"/>
        <w:rPr>
          <w:rFonts w:ascii="Calibri" w:hAnsi="Calibri" w:cs="Calibri"/>
          <w:b/>
        </w:rPr>
      </w:pPr>
      <w:r w:rsidRPr="00714866">
        <w:rPr>
          <w:rFonts w:ascii="Calibri" w:hAnsi="Calibri" w:cs="Calibri"/>
          <w:b/>
        </w:rPr>
        <w:t>Fees and Charges</w:t>
      </w:r>
    </w:p>
    <w:p w14:paraId="1B8F7AD4" w14:textId="77777777" w:rsidR="00A047D0" w:rsidRPr="00714866" w:rsidRDefault="00A047D0" w:rsidP="00A047D0">
      <w:pPr>
        <w:jc w:val="both"/>
        <w:rPr>
          <w:rFonts w:ascii="Calibri" w:hAnsi="Calibri" w:cs="Calibri"/>
        </w:rPr>
      </w:pPr>
      <w:r w:rsidRPr="00714866">
        <w:rPr>
          <w:rFonts w:ascii="Calibri" w:hAnsi="Calibri" w:cs="Calibri"/>
        </w:rPr>
        <w:t xml:space="preserve">Applicable fees and charges are to be paid as per the Annual Fees and Charges Schedule. </w:t>
      </w:r>
    </w:p>
    <w:p w14:paraId="6A67D461" w14:textId="77777777" w:rsidR="00A047D0" w:rsidRPr="00714866" w:rsidRDefault="00A047D0" w:rsidP="00A047D0">
      <w:pPr>
        <w:jc w:val="both"/>
        <w:rPr>
          <w:rFonts w:ascii="Calibri" w:hAnsi="Calibri" w:cs="Calibri"/>
        </w:rPr>
      </w:pPr>
      <w:r w:rsidRPr="00714866">
        <w:rPr>
          <w:rFonts w:ascii="Calibri" w:hAnsi="Calibri" w:cs="Calibri"/>
        </w:rPr>
        <w:t>The Chief Executive Officer may waive the fees and charges applicable if the trader demonstrates that they are fundraising for a community or sporting group or another charitable or worthwhile cause.</w:t>
      </w:r>
    </w:p>
    <w:p w14:paraId="2C4B8460" w14:textId="77777777" w:rsidR="00A047D0" w:rsidRPr="00714866" w:rsidRDefault="00A047D0" w:rsidP="00A047D0">
      <w:pPr>
        <w:spacing w:after="0"/>
        <w:jc w:val="both"/>
        <w:rPr>
          <w:rFonts w:ascii="Calibri" w:hAnsi="Calibri" w:cs="Calibri"/>
          <w:b/>
        </w:rPr>
      </w:pPr>
      <w:r>
        <w:rPr>
          <w:rFonts w:ascii="Calibri" w:hAnsi="Calibri" w:cs="Calibri"/>
          <w:b/>
        </w:rPr>
        <w:t>Times of Trading</w:t>
      </w:r>
    </w:p>
    <w:p w14:paraId="6822295E" w14:textId="77777777" w:rsidR="00A047D0" w:rsidRPr="00714866" w:rsidRDefault="00A047D0" w:rsidP="00A047D0">
      <w:pPr>
        <w:jc w:val="both"/>
        <w:rPr>
          <w:rFonts w:ascii="Calibri" w:hAnsi="Calibri" w:cs="Calibri"/>
        </w:rPr>
      </w:pPr>
      <w:r w:rsidRPr="00714866">
        <w:rPr>
          <w:rFonts w:ascii="Calibri" w:hAnsi="Calibri" w:cs="Calibri"/>
        </w:rPr>
        <w:t>Temporary food stall holders must only trade during the times and dates stated on the approved licence.</w:t>
      </w:r>
    </w:p>
    <w:p w14:paraId="0199FAD5" w14:textId="77777777" w:rsidR="00A047D0" w:rsidRPr="00714866" w:rsidRDefault="00A047D0" w:rsidP="00A047D0">
      <w:pPr>
        <w:spacing w:after="0"/>
        <w:jc w:val="both"/>
        <w:rPr>
          <w:rFonts w:ascii="Calibri" w:hAnsi="Calibri" w:cs="Calibri"/>
        </w:rPr>
      </w:pPr>
      <w:r w:rsidRPr="00714866">
        <w:rPr>
          <w:rFonts w:ascii="Calibri" w:hAnsi="Calibri" w:cs="Calibri"/>
          <w:b/>
        </w:rPr>
        <w:t>Insurance</w:t>
      </w:r>
    </w:p>
    <w:p w14:paraId="0B385E47" w14:textId="77777777" w:rsidR="00A047D0" w:rsidRPr="00714866" w:rsidRDefault="00A047D0" w:rsidP="00A047D0">
      <w:pPr>
        <w:jc w:val="both"/>
        <w:rPr>
          <w:rFonts w:ascii="Calibri" w:hAnsi="Calibri" w:cs="Calibri"/>
        </w:rPr>
      </w:pPr>
      <w:r w:rsidRPr="00714866">
        <w:rPr>
          <w:rFonts w:ascii="Calibri" w:hAnsi="Calibri" w:cs="Calibri"/>
        </w:rPr>
        <w:t>Mobile food vendors and temporary stall holders must provide their own public liability insurance for $20,000,000.</w:t>
      </w:r>
    </w:p>
    <w:p w14:paraId="0C85734F" w14:textId="77777777" w:rsidR="00A047D0" w:rsidRPr="00862155" w:rsidRDefault="00A047D0" w:rsidP="00A047D0">
      <w:pPr>
        <w:spacing w:after="0"/>
        <w:jc w:val="both"/>
        <w:rPr>
          <w:rFonts w:ascii="Calibri" w:hAnsi="Calibri" w:cs="Calibri"/>
          <w:b/>
        </w:rPr>
      </w:pPr>
      <w:r w:rsidRPr="00862155">
        <w:rPr>
          <w:rFonts w:ascii="Calibri" w:hAnsi="Calibri" w:cs="Calibri"/>
          <w:b/>
        </w:rPr>
        <w:t>Sustainability</w:t>
      </w:r>
    </w:p>
    <w:p w14:paraId="76A54E70" w14:textId="77777777" w:rsidR="00A047D0" w:rsidRPr="00862155" w:rsidRDefault="00A047D0" w:rsidP="00A047D0">
      <w:pPr>
        <w:spacing w:after="0"/>
        <w:jc w:val="both"/>
        <w:rPr>
          <w:rFonts w:ascii="Calibri" w:hAnsi="Calibri" w:cs="Calibri"/>
          <w:b/>
        </w:rPr>
      </w:pPr>
      <w:r w:rsidRPr="00862155">
        <w:rPr>
          <w:rFonts w:ascii="Calibri" w:hAnsi="Calibri" w:cs="Calibri"/>
        </w:rPr>
        <w:t>Traders must exclude:</w:t>
      </w:r>
    </w:p>
    <w:p w14:paraId="3EBF11BE" w14:textId="77777777" w:rsidR="00A047D0" w:rsidRDefault="00A047D0" w:rsidP="002A3889">
      <w:pPr>
        <w:pStyle w:val="BodyTextIndent"/>
        <w:numPr>
          <w:ilvl w:val="0"/>
          <w:numId w:val="447"/>
        </w:numPr>
        <w:tabs>
          <w:tab w:val="left" w:pos="1530"/>
          <w:tab w:val="left" w:pos="1710"/>
          <w:tab w:val="left" w:pos="2070"/>
          <w:tab w:val="right" w:pos="9072"/>
        </w:tabs>
        <w:spacing w:after="60"/>
        <w:rPr>
          <w:rFonts w:cs="Arial"/>
        </w:rPr>
      </w:pPr>
      <w:r>
        <w:rPr>
          <w:rFonts w:cs="Arial"/>
        </w:rPr>
        <w:t>Provision, sale, distribution or use of balloons and confetti as part of the event.</w:t>
      </w:r>
    </w:p>
    <w:p w14:paraId="4318693C" w14:textId="77777777" w:rsidR="00A047D0" w:rsidRDefault="00A047D0" w:rsidP="002A3889">
      <w:pPr>
        <w:pStyle w:val="BodyTextIndent"/>
        <w:numPr>
          <w:ilvl w:val="0"/>
          <w:numId w:val="447"/>
        </w:numPr>
        <w:tabs>
          <w:tab w:val="left" w:pos="1530"/>
          <w:tab w:val="left" w:pos="1710"/>
          <w:tab w:val="left" w:pos="2070"/>
          <w:tab w:val="right" w:pos="9072"/>
        </w:tabs>
        <w:spacing w:after="60"/>
        <w:rPr>
          <w:rFonts w:cs="Arial"/>
        </w:rPr>
      </w:pPr>
      <w:r>
        <w:rPr>
          <w:rFonts w:cs="Arial"/>
        </w:rPr>
        <w:t>Use of Polystyrene and Styrofoam in the sale, distribution of food or beverages at the event</w:t>
      </w:r>
    </w:p>
    <w:p w14:paraId="1A89FA04" w14:textId="77777777" w:rsidR="00A047D0" w:rsidRPr="00E34C14" w:rsidRDefault="00A047D0" w:rsidP="002A3889">
      <w:pPr>
        <w:pStyle w:val="BodyTextIndent"/>
        <w:numPr>
          <w:ilvl w:val="0"/>
          <w:numId w:val="447"/>
        </w:numPr>
        <w:tabs>
          <w:tab w:val="left" w:pos="1530"/>
          <w:tab w:val="left" w:pos="1710"/>
          <w:tab w:val="left" w:pos="2070"/>
          <w:tab w:val="right" w:pos="9072"/>
        </w:tabs>
        <w:spacing w:before="120" w:after="60"/>
        <w:rPr>
          <w:rFonts w:cs="Arial"/>
        </w:rPr>
      </w:pPr>
      <w:r>
        <w:rPr>
          <w:rFonts w:cs="Arial"/>
        </w:rPr>
        <w:t xml:space="preserve">Provision, sale or distribution of single-use plastics at the event including straws, cutlery, cups, coffee cups, bottles (including individual single use water bottles), plates, containers, bags and cling wrap. </w:t>
      </w:r>
    </w:p>
    <w:p w14:paraId="3A492F6A" w14:textId="77777777" w:rsidR="00A047D0" w:rsidRPr="00714866" w:rsidRDefault="00A047D0" w:rsidP="00A047D0">
      <w:pPr>
        <w:spacing w:before="120" w:after="0"/>
        <w:jc w:val="both"/>
        <w:rPr>
          <w:rFonts w:cstheme="minorHAnsi"/>
          <w:b/>
        </w:rPr>
      </w:pPr>
      <w:r>
        <w:rPr>
          <w:rFonts w:cstheme="minorHAnsi"/>
          <w:b/>
        </w:rPr>
        <w:t>L</w:t>
      </w:r>
      <w:r w:rsidRPr="00714866">
        <w:rPr>
          <w:rFonts w:cstheme="minorHAnsi"/>
          <w:b/>
        </w:rPr>
        <w:t>ocations of Trading</w:t>
      </w:r>
    </w:p>
    <w:p w14:paraId="24ACC5AF" w14:textId="77777777" w:rsidR="00A047D0" w:rsidRPr="00714866" w:rsidRDefault="00A047D0" w:rsidP="00A047D0">
      <w:pPr>
        <w:jc w:val="both"/>
        <w:rPr>
          <w:rFonts w:cstheme="minorHAnsi"/>
        </w:rPr>
      </w:pPr>
      <w:r w:rsidRPr="00714866">
        <w:rPr>
          <w:rFonts w:cstheme="minorHAnsi"/>
        </w:rPr>
        <w:t>Mobile food vendors are permitted to trade at the following locations:</w:t>
      </w:r>
    </w:p>
    <w:p w14:paraId="13288BB1" w14:textId="77777777" w:rsidR="00A047D0" w:rsidRPr="00714866" w:rsidRDefault="00A047D0" w:rsidP="002A3889">
      <w:pPr>
        <w:pStyle w:val="ListParagraph"/>
        <w:numPr>
          <w:ilvl w:val="0"/>
          <w:numId w:val="445"/>
        </w:numPr>
        <w:jc w:val="both"/>
        <w:rPr>
          <w:rFonts w:cstheme="minorHAnsi"/>
        </w:rPr>
      </w:pPr>
      <w:r w:rsidRPr="00714866">
        <w:rPr>
          <w:rFonts w:cstheme="minorHAnsi"/>
        </w:rPr>
        <w:t>East Fremantle’s Festival on George Street.</w:t>
      </w:r>
    </w:p>
    <w:p w14:paraId="1583B2DC" w14:textId="77777777" w:rsidR="00A047D0" w:rsidRPr="00714866" w:rsidRDefault="00A047D0" w:rsidP="002A3889">
      <w:pPr>
        <w:pStyle w:val="ListParagraph"/>
        <w:numPr>
          <w:ilvl w:val="0"/>
          <w:numId w:val="445"/>
        </w:numPr>
        <w:jc w:val="both"/>
        <w:rPr>
          <w:rFonts w:cstheme="minorHAnsi"/>
        </w:rPr>
      </w:pPr>
      <w:r w:rsidRPr="00714866">
        <w:rPr>
          <w:rFonts w:cstheme="minorHAnsi"/>
        </w:rPr>
        <w:t>Norm McKenzie Reserve.</w:t>
      </w:r>
    </w:p>
    <w:p w14:paraId="7871662E" w14:textId="77777777" w:rsidR="00A047D0" w:rsidRPr="00714866" w:rsidRDefault="00A047D0" w:rsidP="002A3889">
      <w:pPr>
        <w:pStyle w:val="ListParagraph"/>
        <w:numPr>
          <w:ilvl w:val="0"/>
          <w:numId w:val="445"/>
        </w:numPr>
        <w:jc w:val="both"/>
        <w:rPr>
          <w:rFonts w:cstheme="minorHAnsi"/>
        </w:rPr>
      </w:pPr>
      <w:r w:rsidRPr="00714866">
        <w:rPr>
          <w:rFonts w:cstheme="minorHAnsi"/>
        </w:rPr>
        <w:t>Locke Park on the car park adjoining the Bowling Club.</w:t>
      </w:r>
    </w:p>
    <w:p w14:paraId="3169DEC2" w14:textId="77777777" w:rsidR="00A047D0" w:rsidRPr="00714866" w:rsidRDefault="00A047D0" w:rsidP="002A3889">
      <w:pPr>
        <w:pStyle w:val="ListParagraph"/>
        <w:numPr>
          <w:ilvl w:val="0"/>
          <w:numId w:val="445"/>
        </w:numPr>
        <w:jc w:val="both"/>
        <w:rPr>
          <w:rFonts w:cstheme="minorHAnsi"/>
        </w:rPr>
      </w:pPr>
      <w:proofErr w:type="spellStart"/>
      <w:r w:rsidRPr="00714866">
        <w:rPr>
          <w:rFonts w:cstheme="minorHAnsi"/>
        </w:rPr>
        <w:t>Jerrat</w:t>
      </w:r>
      <w:proofErr w:type="spellEnd"/>
      <w:r w:rsidRPr="00714866">
        <w:rPr>
          <w:rFonts w:cstheme="minorHAnsi"/>
        </w:rPr>
        <w:t xml:space="preserve"> Drive on the car park between the Junior Football Club and Cricket/Lacrosse Club.</w:t>
      </w:r>
    </w:p>
    <w:p w14:paraId="45938F9E" w14:textId="77777777" w:rsidR="00A047D0" w:rsidRPr="00714866" w:rsidRDefault="00A047D0" w:rsidP="002A3889">
      <w:pPr>
        <w:pStyle w:val="ListParagraph"/>
        <w:numPr>
          <w:ilvl w:val="0"/>
          <w:numId w:val="445"/>
        </w:numPr>
        <w:jc w:val="both"/>
        <w:rPr>
          <w:rFonts w:cstheme="minorHAnsi"/>
        </w:rPr>
      </w:pPr>
      <w:r w:rsidRPr="00714866">
        <w:rPr>
          <w:rFonts w:cstheme="minorHAnsi"/>
        </w:rPr>
        <w:t>Raceway Park.</w:t>
      </w:r>
    </w:p>
    <w:p w14:paraId="48F983C1" w14:textId="77777777" w:rsidR="00A047D0" w:rsidRPr="00714866" w:rsidRDefault="00A047D0" w:rsidP="002A3889">
      <w:pPr>
        <w:pStyle w:val="ListParagraph"/>
        <w:numPr>
          <w:ilvl w:val="0"/>
          <w:numId w:val="445"/>
        </w:numPr>
        <w:jc w:val="both"/>
        <w:rPr>
          <w:rFonts w:cstheme="minorHAnsi"/>
        </w:rPr>
      </w:pPr>
      <w:r w:rsidRPr="00714866">
        <w:rPr>
          <w:rFonts w:cstheme="minorHAnsi"/>
        </w:rPr>
        <w:t xml:space="preserve">Any other location considered appropriate and approved by the Chief Executive Officer. </w:t>
      </w:r>
    </w:p>
    <w:p w14:paraId="27405769" w14:textId="77777777" w:rsidR="00A047D0" w:rsidRPr="00714866" w:rsidRDefault="00A047D0" w:rsidP="00A047D0">
      <w:pPr>
        <w:jc w:val="both"/>
        <w:rPr>
          <w:rFonts w:cstheme="minorHAnsi"/>
        </w:rPr>
      </w:pPr>
      <w:r w:rsidRPr="00714866">
        <w:rPr>
          <w:rFonts w:cstheme="minorHAnsi"/>
        </w:rPr>
        <w:t xml:space="preserve">The maximum number of mobile food vendors that are permitted at any of the above sites is at the discretion of the CEO and will be considered on the individual merits and impacts of each licence application. </w:t>
      </w:r>
    </w:p>
    <w:p w14:paraId="6A6617E1" w14:textId="77777777" w:rsidR="00A047D0" w:rsidRPr="00714866" w:rsidRDefault="00A047D0" w:rsidP="00A047D0">
      <w:pPr>
        <w:spacing w:after="0"/>
        <w:jc w:val="both"/>
        <w:rPr>
          <w:rFonts w:cstheme="minorHAnsi"/>
          <w:b/>
        </w:rPr>
      </w:pPr>
      <w:r w:rsidRPr="00714866">
        <w:rPr>
          <w:rFonts w:cstheme="minorHAnsi"/>
          <w:b/>
        </w:rPr>
        <w:t>Conditions of the Licence</w:t>
      </w:r>
    </w:p>
    <w:p w14:paraId="69AF108A" w14:textId="77777777" w:rsidR="00A047D0" w:rsidRPr="00714866" w:rsidRDefault="00A047D0" w:rsidP="00A047D0">
      <w:pPr>
        <w:spacing w:after="60"/>
        <w:jc w:val="both"/>
        <w:rPr>
          <w:rFonts w:cstheme="minorHAnsi"/>
        </w:rPr>
      </w:pPr>
      <w:r w:rsidRPr="00714866">
        <w:rPr>
          <w:rFonts w:cstheme="minorHAnsi"/>
        </w:rPr>
        <w:t>Conditions relating to any stall or van proposing to sell food:</w:t>
      </w:r>
    </w:p>
    <w:p w14:paraId="7C1A7D5C" w14:textId="77777777" w:rsidR="00A047D0" w:rsidRPr="00714866" w:rsidRDefault="00A047D0" w:rsidP="002A3889">
      <w:pPr>
        <w:pStyle w:val="ListParagraph"/>
        <w:numPr>
          <w:ilvl w:val="0"/>
          <w:numId w:val="446"/>
        </w:numPr>
        <w:jc w:val="both"/>
        <w:rPr>
          <w:rFonts w:cstheme="minorHAnsi"/>
        </w:rPr>
      </w:pPr>
      <w:r w:rsidRPr="00714866">
        <w:rPr>
          <w:rFonts w:cstheme="minorHAnsi"/>
        </w:rPr>
        <w:t>Proprietors must comply with the requirements of the Food Act 2008.</w:t>
      </w:r>
    </w:p>
    <w:p w14:paraId="1F481C99" w14:textId="77777777" w:rsidR="00A047D0" w:rsidRPr="00714866" w:rsidRDefault="00A047D0" w:rsidP="002A3889">
      <w:pPr>
        <w:pStyle w:val="ListParagraph"/>
        <w:numPr>
          <w:ilvl w:val="0"/>
          <w:numId w:val="446"/>
        </w:numPr>
        <w:jc w:val="both"/>
        <w:rPr>
          <w:rFonts w:cstheme="minorHAnsi"/>
        </w:rPr>
      </w:pPr>
      <w:r w:rsidRPr="00714866">
        <w:rPr>
          <w:rFonts w:cstheme="minorHAnsi"/>
        </w:rPr>
        <w:t>The proprietors must supply a copy of their Approved Food Business Certificate to Council’s Principal Environmental Health Officer.</w:t>
      </w:r>
    </w:p>
    <w:p w14:paraId="2C7DDBE5" w14:textId="77777777" w:rsidR="00A047D0" w:rsidRPr="00714866" w:rsidRDefault="00A047D0" w:rsidP="002A3889">
      <w:pPr>
        <w:pStyle w:val="ListParagraph"/>
        <w:numPr>
          <w:ilvl w:val="0"/>
          <w:numId w:val="446"/>
        </w:numPr>
        <w:jc w:val="both"/>
        <w:rPr>
          <w:rFonts w:cstheme="minorHAnsi"/>
        </w:rPr>
      </w:pPr>
      <w:r w:rsidRPr="00714866">
        <w:rPr>
          <w:rFonts w:cstheme="minorHAnsi"/>
        </w:rPr>
        <w:t>Any stall or van selling food will be subject to health and safety risk assessments while in operation.</w:t>
      </w:r>
    </w:p>
    <w:p w14:paraId="7369B083" w14:textId="77777777" w:rsidR="00A047D0" w:rsidRPr="00714866" w:rsidRDefault="00A047D0" w:rsidP="002A3889">
      <w:pPr>
        <w:pStyle w:val="ListParagraph"/>
        <w:numPr>
          <w:ilvl w:val="0"/>
          <w:numId w:val="446"/>
        </w:numPr>
        <w:jc w:val="both"/>
        <w:rPr>
          <w:rFonts w:cstheme="minorHAnsi"/>
        </w:rPr>
      </w:pPr>
      <w:r w:rsidRPr="00714866">
        <w:rPr>
          <w:rFonts w:cstheme="minorHAnsi"/>
        </w:rPr>
        <w:lastRenderedPageBreak/>
        <w:t>Proprietors of any stall or van selling food must comply with any direction given by Council’s Principal Environmental Health Officer.</w:t>
      </w:r>
    </w:p>
    <w:p w14:paraId="38A58701" w14:textId="77777777" w:rsidR="00A047D0" w:rsidRPr="00714866" w:rsidRDefault="00A047D0" w:rsidP="00A047D0">
      <w:pPr>
        <w:spacing w:after="0"/>
        <w:rPr>
          <w:rFonts w:cstheme="minorHAnsi"/>
          <w:b/>
        </w:rPr>
      </w:pPr>
      <w:r w:rsidRPr="00714866">
        <w:rPr>
          <w:rFonts w:cstheme="minorHAnsi"/>
          <w:b/>
        </w:rPr>
        <w:t>Other matters to be considered by Council</w:t>
      </w:r>
    </w:p>
    <w:p w14:paraId="4138FD1E" w14:textId="77777777" w:rsidR="00A047D0" w:rsidRDefault="00A047D0" w:rsidP="00A047D0">
      <w:pPr>
        <w:jc w:val="both"/>
        <w:rPr>
          <w:rFonts w:cstheme="minorHAnsi"/>
        </w:rPr>
      </w:pPr>
      <w:r w:rsidRPr="00714866">
        <w:rPr>
          <w:rFonts w:cstheme="minorHAnsi"/>
        </w:rPr>
        <w:t xml:space="preserve">Any activity or event proposed in a river side location will have to seek the prior approval of Department of Biodiversity, Attractions and Conservation prior to operating. This approval is to be provided to Council for consideration. </w:t>
      </w:r>
    </w:p>
    <w:p w14:paraId="28D2DB4A" w14:textId="77777777" w:rsidR="00A047D0" w:rsidRPr="00714866" w:rsidRDefault="00A047D0" w:rsidP="00A047D0">
      <w:pPr>
        <w:jc w:val="both"/>
        <w:rPr>
          <w:rFonts w:cstheme="minorHAnsi"/>
        </w:rPr>
      </w:pPr>
    </w:p>
    <w:tbl>
      <w:tblPr>
        <w:tblStyle w:val="TableGrid"/>
        <w:tblW w:w="0" w:type="auto"/>
        <w:tblLook w:val="04A0" w:firstRow="1" w:lastRow="0" w:firstColumn="1" w:lastColumn="0" w:noHBand="0" w:noVBand="1"/>
      </w:tblPr>
      <w:tblGrid>
        <w:gridCol w:w="3038"/>
        <w:gridCol w:w="5978"/>
      </w:tblGrid>
      <w:tr w:rsidR="00A047D0" w:rsidRPr="00714866" w14:paraId="55CA36C7" w14:textId="77777777" w:rsidTr="00492C9F">
        <w:tc>
          <w:tcPr>
            <w:tcW w:w="3038" w:type="dxa"/>
          </w:tcPr>
          <w:p w14:paraId="0CF9F943" w14:textId="77777777" w:rsidR="00A047D0" w:rsidRPr="00714866" w:rsidRDefault="00A047D0" w:rsidP="00492C9F">
            <w:pPr>
              <w:jc w:val="both"/>
              <w:rPr>
                <w:rFonts w:cstheme="minorHAnsi"/>
                <w:b/>
              </w:rPr>
            </w:pPr>
            <w:r w:rsidRPr="00714866">
              <w:rPr>
                <w:rFonts w:cstheme="minorHAnsi"/>
                <w:b/>
              </w:rPr>
              <w:t>Responsible Directorate:</w:t>
            </w:r>
          </w:p>
        </w:tc>
        <w:tc>
          <w:tcPr>
            <w:tcW w:w="5978" w:type="dxa"/>
          </w:tcPr>
          <w:p w14:paraId="6CDC2D7E" w14:textId="77777777" w:rsidR="00A047D0" w:rsidRPr="00714866" w:rsidRDefault="00A047D0" w:rsidP="00492C9F">
            <w:pPr>
              <w:jc w:val="both"/>
              <w:rPr>
                <w:rFonts w:cstheme="minorHAnsi"/>
              </w:rPr>
            </w:pPr>
            <w:r w:rsidRPr="00714866">
              <w:rPr>
                <w:rFonts w:cstheme="minorHAnsi"/>
              </w:rPr>
              <w:t>Executive Manager Regulatory Services</w:t>
            </w:r>
          </w:p>
        </w:tc>
      </w:tr>
      <w:tr w:rsidR="00A047D0" w:rsidRPr="00714866" w14:paraId="0AD69106" w14:textId="77777777" w:rsidTr="00492C9F">
        <w:tc>
          <w:tcPr>
            <w:tcW w:w="3038" w:type="dxa"/>
          </w:tcPr>
          <w:p w14:paraId="49A461CF" w14:textId="77777777" w:rsidR="00A047D0" w:rsidRPr="00714866" w:rsidRDefault="00A047D0" w:rsidP="00492C9F">
            <w:pPr>
              <w:jc w:val="both"/>
              <w:rPr>
                <w:rFonts w:cstheme="minorHAnsi"/>
                <w:b/>
              </w:rPr>
            </w:pPr>
            <w:r w:rsidRPr="00714866">
              <w:rPr>
                <w:rFonts w:cstheme="minorHAnsi"/>
                <w:b/>
              </w:rPr>
              <w:t>Reviewing Officer:</w:t>
            </w:r>
          </w:p>
        </w:tc>
        <w:tc>
          <w:tcPr>
            <w:tcW w:w="5978" w:type="dxa"/>
          </w:tcPr>
          <w:p w14:paraId="42492328" w14:textId="77777777" w:rsidR="00A047D0" w:rsidRPr="00714866" w:rsidRDefault="00A047D0" w:rsidP="00492C9F">
            <w:pPr>
              <w:jc w:val="both"/>
              <w:rPr>
                <w:rFonts w:cstheme="minorHAnsi"/>
              </w:rPr>
            </w:pPr>
            <w:r w:rsidRPr="00714866">
              <w:rPr>
                <w:rFonts w:cstheme="minorHAnsi"/>
              </w:rPr>
              <w:t>Principal Environmental Health Officer</w:t>
            </w:r>
          </w:p>
        </w:tc>
      </w:tr>
      <w:tr w:rsidR="00A047D0" w:rsidRPr="00714866" w14:paraId="143C24EB" w14:textId="77777777" w:rsidTr="00492C9F">
        <w:tc>
          <w:tcPr>
            <w:tcW w:w="3038" w:type="dxa"/>
          </w:tcPr>
          <w:p w14:paraId="64863E56" w14:textId="77777777" w:rsidR="00A047D0" w:rsidRPr="00714866" w:rsidRDefault="00A047D0" w:rsidP="00492C9F">
            <w:pPr>
              <w:rPr>
                <w:rFonts w:cstheme="minorHAnsi"/>
                <w:b/>
              </w:rPr>
            </w:pPr>
            <w:r w:rsidRPr="00714866">
              <w:rPr>
                <w:rFonts w:cstheme="minorHAnsi"/>
                <w:b/>
              </w:rPr>
              <w:t>Decision making Authority:</w:t>
            </w:r>
          </w:p>
        </w:tc>
        <w:tc>
          <w:tcPr>
            <w:tcW w:w="5978" w:type="dxa"/>
          </w:tcPr>
          <w:p w14:paraId="0D125B10" w14:textId="77777777" w:rsidR="00A047D0" w:rsidRPr="00714866" w:rsidRDefault="00A047D0" w:rsidP="00492C9F">
            <w:pPr>
              <w:jc w:val="both"/>
              <w:rPr>
                <w:rFonts w:cstheme="minorHAnsi"/>
              </w:rPr>
            </w:pPr>
            <w:r w:rsidRPr="00714866">
              <w:rPr>
                <w:rFonts w:cstheme="minorHAnsi"/>
              </w:rPr>
              <w:t>Council</w:t>
            </w:r>
          </w:p>
        </w:tc>
      </w:tr>
      <w:tr w:rsidR="00A047D0" w:rsidRPr="00714866" w14:paraId="5367BBEC" w14:textId="77777777" w:rsidTr="00492C9F">
        <w:tc>
          <w:tcPr>
            <w:tcW w:w="3038" w:type="dxa"/>
          </w:tcPr>
          <w:p w14:paraId="6261165F" w14:textId="77777777" w:rsidR="00A047D0" w:rsidRPr="00714866" w:rsidRDefault="00A047D0" w:rsidP="00492C9F">
            <w:pPr>
              <w:jc w:val="both"/>
              <w:rPr>
                <w:rFonts w:cstheme="minorHAnsi"/>
                <w:b/>
              </w:rPr>
            </w:pPr>
            <w:r w:rsidRPr="00714866">
              <w:rPr>
                <w:rFonts w:cstheme="minorHAnsi"/>
                <w:b/>
              </w:rPr>
              <w:t>Policy Adopted:</w:t>
            </w:r>
          </w:p>
        </w:tc>
        <w:tc>
          <w:tcPr>
            <w:tcW w:w="5978" w:type="dxa"/>
          </w:tcPr>
          <w:p w14:paraId="41A433E5" w14:textId="77777777" w:rsidR="00A047D0" w:rsidRPr="00714866" w:rsidRDefault="00A047D0" w:rsidP="00492C9F">
            <w:pPr>
              <w:jc w:val="both"/>
              <w:rPr>
                <w:rFonts w:cstheme="minorHAnsi"/>
              </w:rPr>
            </w:pPr>
            <w:r>
              <w:rPr>
                <w:rFonts w:cstheme="minorHAnsi"/>
              </w:rPr>
              <w:t>21/07/20</w:t>
            </w:r>
          </w:p>
        </w:tc>
      </w:tr>
      <w:tr w:rsidR="00A047D0" w:rsidRPr="00714866" w14:paraId="4A3B5085" w14:textId="77777777" w:rsidTr="00492C9F">
        <w:tc>
          <w:tcPr>
            <w:tcW w:w="3038" w:type="dxa"/>
          </w:tcPr>
          <w:p w14:paraId="4DA11D82" w14:textId="77777777" w:rsidR="00A047D0" w:rsidRPr="00714866" w:rsidRDefault="00A047D0" w:rsidP="00492C9F">
            <w:pPr>
              <w:jc w:val="both"/>
              <w:rPr>
                <w:rFonts w:cstheme="minorHAnsi"/>
                <w:b/>
              </w:rPr>
            </w:pPr>
            <w:r>
              <w:rPr>
                <w:rFonts w:cstheme="minorHAnsi"/>
                <w:b/>
              </w:rPr>
              <w:t>Policy Amended/Reviewed:</w:t>
            </w:r>
          </w:p>
        </w:tc>
        <w:tc>
          <w:tcPr>
            <w:tcW w:w="5978" w:type="dxa"/>
          </w:tcPr>
          <w:p w14:paraId="38F5D6B9" w14:textId="77777777" w:rsidR="00A047D0" w:rsidRPr="00714866" w:rsidRDefault="00A047D0" w:rsidP="00492C9F">
            <w:pPr>
              <w:jc w:val="both"/>
              <w:rPr>
                <w:rFonts w:cstheme="minorHAnsi"/>
              </w:rPr>
            </w:pPr>
          </w:p>
        </w:tc>
      </w:tr>
    </w:tbl>
    <w:p w14:paraId="608CEBEF" w14:textId="77777777" w:rsidR="00A047D0" w:rsidRPr="00714866" w:rsidRDefault="00A047D0" w:rsidP="00A047D0">
      <w:pPr>
        <w:jc w:val="both"/>
        <w:rPr>
          <w:rFonts w:cstheme="minorHAnsi"/>
        </w:rPr>
      </w:pPr>
    </w:p>
    <w:p w14:paraId="19442610" w14:textId="15436CEE" w:rsidR="00510B12" w:rsidRDefault="00510B12">
      <w:pPr>
        <w:rPr>
          <w:rFonts w:cstheme="minorHAnsi"/>
          <w:lang w:val="en-US"/>
        </w:rPr>
      </w:pPr>
      <w:r>
        <w:rPr>
          <w:rFonts w:cstheme="minorHAnsi"/>
          <w:lang w:val="en-US"/>
        </w:rPr>
        <w:br w:type="page"/>
      </w:r>
    </w:p>
    <w:p w14:paraId="383926F8" w14:textId="77777777" w:rsidR="00510B12" w:rsidRDefault="00510B12" w:rsidP="00510B12">
      <w:pPr>
        <w:pStyle w:val="BodyText"/>
        <w:spacing w:before="8"/>
        <w:rPr>
          <w:rFonts w:ascii="Times New Roman"/>
          <w:sz w:val="8"/>
        </w:rPr>
      </w:pPr>
      <w:r>
        <w:rPr>
          <w:noProof/>
          <w:lang w:eastAsia="en-AU"/>
        </w:rPr>
        <w:lastRenderedPageBreak/>
        <w:drawing>
          <wp:anchor distT="0" distB="0" distL="114300" distR="114300" simplePos="0" relativeHeight="251607040" behindDoc="1" locked="0" layoutInCell="1" allowOverlap="1" wp14:anchorId="7410C4F7" wp14:editId="42612307">
            <wp:simplePos x="0" y="0"/>
            <wp:positionH relativeFrom="margin">
              <wp:posOffset>4035425</wp:posOffset>
            </wp:positionH>
            <wp:positionV relativeFrom="paragraph">
              <wp:posOffset>0</wp:posOffset>
            </wp:positionV>
            <wp:extent cx="1744345" cy="699135"/>
            <wp:effectExtent l="0" t="0" r="8255" b="5715"/>
            <wp:wrapTight wrapText="bothSides">
              <wp:wrapPolygon edited="0">
                <wp:start x="0" y="0"/>
                <wp:lineTo x="0" y="21188"/>
                <wp:lineTo x="21466" y="21188"/>
                <wp:lineTo x="21466" y="0"/>
                <wp:lineTo x="0" y="0"/>
              </wp:wrapPolygon>
            </wp:wrapTight>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of East Fremantle_Logo_Landscape_Colour [HIGH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44345" cy="699135"/>
                    </a:xfrm>
                    <a:prstGeom prst="rect">
                      <a:avLst/>
                    </a:prstGeom>
                  </pic:spPr>
                </pic:pic>
              </a:graphicData>
            </a:graphic>
            <wp14:sizeRelH relativeFrom="margin">
              <wp14:pctWidth>0</wp14:pctWidth>
            </wp14:sizeRelH>
            <wp14:sizeRelV relativeFrom="margin">
              <wp14:pctHeight>0</wp14:pctHeight>
            </wp14:sizeRelV>
          </wp:anchor>
        </w:drawing>
      </w:r>
    </w:p>
    <w:p w14:paraId="0398D0F6" w14:textId="77777777" w:rsidR="00510B12" w:rsidRDefault="00510B12" w:rsidP="00510B12">
      <w:pPr>
        <w:pStyle w:val="BodyText"/>
        <w:ind w:left="5915"/>
        <w:rPr>
          <w:rFonts w:ascii="Times New Roman"/>
          <w:sz w:val="20"/>
        </w:rPr>
      </w:pPr>
    </w:p>
    <w:p w14:paraId="1895312E" w14:textId="77777777" w:rsidR="00510B12" w:rsidRDefault="00510B12" w:rsidP="00510B12">
      <w:pPr>
        <w:pStyle w:val="BodyText"/>
        <w:rPr>
          <w:rFonts w:ascii="Times New Roman"/>
          <w:sz w:val="20"/>
        </w:rPr>
      </w:pPr>
    </w:p>
    <w:p w14:paraId="2E8C73F3" w14:textId="77777777" w:rsidR="00510B12" w:rsidRDefault="00510B12" w:rsidP="00510B12">
      <w:pPr>
        <w:pStyle w:val="Heading1"/>
        <w:spacing w:before="215"/>
        <w:jc w:val="both"/>
        <w:rPr>
          <w:color w:val="313D4F"/>
        </w:rPr>
      </w:pPr>
    </w:p>
    <w:p w14:paraId="5D48FAA1" w14:textId="5F058A9D" w:rsidR="00510B12" w:rsidRPr="00510B12" w:rsidRDefault="00510B12" w:rsidP="00AC6640">
      <w:pPr>
        <w:pStyle w:val="Policy3"/>
      </w:pPr>
      <w:bookmarkStart w:id="634" w:name="_Toc216866748"/>
      <w:r w:rsidRPr="00510B12">
        <w:t xml:space="preserve">6.1.3    </w:t>
      </w:r>
      <w:r w:rsidR="00262175">
        <w:tab/>
      </w:r>
      <w:r w:rsidRPr="00510B12">
        <w:t>Sustainable Event</w:t>
      </w:r>
      <w:bookmarkEnd w:id="634"/>
      <w:r w:rsidRPr="00510B12">
        <w:t xml:space="preserve"> </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7"/>
        <w:gridCol w:w="5991"/>
      </w:tblGrid>
      <w:tr w:rsidR="00510B12" w14:paraId="3CF65F03" w14:textId="77777777" w:rsidTr="00510B12">
        <w:trPr>
          <w:trHeight w:val="309"/>
        </w:trPr>
        <w:tc>
          <w:tcPr>
            <w:tcW w:w="3027" w:type="dxa"/>
          </w:tcPr>
          <w:p w14:paraId="1E426D7C" w14:textId="77777777" w:rsidR="00510B12" w:rsidRPr="00510B12" w:rsidRDefault="00510B12" w:rsidP="00510B12">
            <w:pPr>
              <w:pStyle w:val="TableParagraph"/>
              <w:ind w:left="164"/>
              <w:rPr>
                <w:rFonts w:asciiTheme="minorHAnsi" w:hAnsiTheme="minorHAnsi" w:cstheme="minorHAnsi"/>
                <w:b/>
              </w:rPr>
            </w:pPr>
            <w:r w:rsidRPr="00510B12">
              <w:rPr>
                <w:rFonts w:asciiTheme="minorHAnsi" w:hAnsiTheme="minorHAnsi" w:cstheme="minorHAnsi"/>
                <w:b/>
              </w:rPr>
              <w:t>Type:</w:t>
            </w:r>
          </w:p>
        </w:tc>
        <w:tc>
          <w:tcPr>
            <w:tcW w:w="5991" w:type="dxa"/>
          </w:tcPr>
          <w:p w14:paraId="756EF693" w14:textId="77777777" w:rsidR="00510B12" w:rsidRPr="00510B12" w:rsidRDefault="00510B12" w:rsidP="00510B12">
            <w:pPr>
              <w:pStyle w:val="TableParagraph"/>
              <w:ind w:left="267"/>
              <w:rPr>
                <w:rFonts w:asciiTheme="minorHAnsi" w:hAnsiTheme="minorHAnsi" w:cstheme="minorHAnsi"/>
              </w:rPr>
            </w:pPr>
            <w:r w:rsidRPr="00510B12">
              <w:rPr>
                <w:rFonts w:asciiTheme="minorHAnsi" w:hAnsiTheme="minorHAnsi" w:cstheme="minorHAnsi"/>
              </w:rPr>
              <w:t>Community - Activities</w:t>
            </w:r>
          </w:p>
        </w:tc>
      </w:tr>
      <w:tr w:rsidR="00510B12" w14:paraId="552A27AC" w14:textId="77777777" w:rsidTr="00510B12">
        <w:trPr>
          <w:trHeight w:val="306"/>
        </w:trPr>
        <w:tc>
          <w:tcPr>
            <w:tcW w:w="3027" w:type="dxa"/>
          </w:tcPr>
          <w:p w14:paraId="52A7C86F" w14:textId="77777777" w:rsidR="00510B12" w:rsidRPr="00510B12" w:rsidRDefault="00510B12" w:rsidP="00510B12">
            <w:pPr>
              <w:pStyle w:val="TableParagraph"/>
              <w:ind w:left="164"/>
              <w:rPr>
                <w:rFonts w:asciiTheme="minorHAnsi" w:hAnsiTheme="minorHAnsi" w:cstheme="minorHAnsi"/>
                <w:b/>
              </w:rPr>
            </w:pPr>
            <w:r w:rsidRPr="00510B12">
              <w:rPr>
                <w:rFonts w:asciiTheme="minorHAnsi" w:hAnsiTheme="minorHAnsi" w:cstheme="minorHAnsi"/>
                <w:b/>
              </w:rPr>
              <w:t>Legislation:</w:t>
            </w:r>
          </w:p>
        </w:tc>
        <w:tc>
          <w:tcPr>
            <w:tcW w:w="5991" w:type="dxa"/>
          </w:tcPr>
          <w:p w14:paraId="09C13C12" w14:textId="77777777" w:rsidR="00510B12" w:rsidRPr="00510B12" w:rsidRDefault="00510B12" w:rsidP="00510B12">
            <w:pPr>
              <w:pStyle w:val="TableParagraph"/>
              <w:ind w:left="267"/>
              <w:rPr>
                <w:rFonts w:asciiTheme="minorHAnsi" w:hAnsiTheme="minorHAnsi" w:cstheme="minorHAnsi"/>
              </w:rPr>
            </w:pPr>
          </w:p>
        </w:tc>
      </w:tr>
      <w:tr w:rsidR="00510B12" w14:paraId="193C19B3" w14:textId="77777777" w:rsidTr="00510B12">
        <w:trPr>
          <w:trHeight w:val="309"/>
        </w:trPr>
        <w:tc>
          <w:tcPr>
            <w:tcW w:w="3027" w:type="dxa"/>
          </w:tcPr>
          <w:p w14:paraId="4D40E6F9" w14:textId="77777777" w:rsidR="00510B12" w:rsidRPr="00510B12" w:rsidRDefault="00510B12" w:rsidP="00510B12">
            <w:pPr>
              <w:pStyle w:val="TableParagraph"/>
              <w:spacing w:before="1"/>
              <w:ind w:left="164"/>
              <w:rPr>
                <w:rFonts w:asciiTheme="minorHAnsi" w:hAnsiTheme="minorHAnsi" w:cstheme="minorHAnsi"/>
                <w:b/>
              </w:rPr>
            </w:pPr>
            <w:r w:rsidRPr="00510B12">
              <w:rPr>
                <w:rFonts w:asciiTheme="minorHAnsi" w:hAnsiTheme="minorHAnsi" w:cstheme="minorHAnsi"/>
                <w:b/>
              </w:rPr>
              <w:t>Delegation:</w:t>
            </w:r>
          </w:p>
        </w:tc>
        <w:tc>
          <w:tcPr>
            <w:tcW w:w="5991" w:type="dxa"/>
          </w:tcPr>
          <w:p w14:paraId="4DE9B11A" w14:textId="77777777" w:rsidR="00510B12" w:rsidRPr="00510B12" w:rsidRDefault="00510B12" w:rsidP="00510B12">
            <w:pPr>
              <w:pStyle w:val="TableParagraph"/>
              <w:ind w:left="267"/>
              <w:rPr>
                <w:rFonts w:asciiTheme="minorHAnsi" w:hAnsiTheme="minorHAnsi" w:cstheme="minorHAnsi"/>
              </w:rPr>
            </w:pPr>
          </w:p>
        </w:tc>
      </w:tr>
      <w:tr w:rsidR="00510B12" w14:paraId="18799553" w14:textId="77777777" w:rsidTr="00510B12">
        <w:trPr>
          <w:trHeight w:val="309"/>
        </w:trPr>
        <w:tc>
          <w:tcPr>
            <w:tcW w:w="3027" w:type="dxa"/>
          </w:tcPr>
          <w:p w14:paraId="31B2A70B" w14:textId="77777777" w:rsidR="00510B12" w:rsidRPr="00510B12" w:rsidRDefault="00510B12" w:rsidP="00510B12">
            <w:pPr>
              <w:pStyle w:val="TableParagraph"/>
              <w:ind w:left="164"/>
              <w:rPr>
                <w:rFonts w:asciiTheme="minorHAnsi" w:hAnsiTheme="minorHAnsi" w:cstheme="minorHAnsi"/>
                <w:b/>
              </w:rPr>
            </w:pPr>
            <w:r w:rsidRPr="00510B12">
              <w:rPr>
                <w:rFonts w:asciiTheme="minorHAnsi" w:hAnsiTheme="minorHAnsi" w:cstheme="minorHAnsi"/>
                <w:b/>
              </w:rPr>
              <w:t>Other Related Document:</w:t>
            </w:r>
          </w:p>
        </w:tc>
        <w:tc>
          <w:tcPr>
            <w:tcW w:w="5991" w:type="dxa"/>
          </w:tcPr>
          <w:p w14:paraId="2DBF219F" w14:textId="77777777" w:rsidR="00510B12" w:rsidRPr="00510B12" w:rsidRDefault="00510B12" w:rsidP="00510B12">
            <w:pPr>
              <w:pStyle w:val="TableParagraph"/>
              <w:ind w:left="267"/>
              <w:rPr>
                <w:rFonts w:asciiTheme="minorHAnsi" w:hAnsiTheme="minorHAnsi" w:cstheme="minorHAnsi"/>
              </w:rPr>
            </w:pPr>
            <w:r w:rsidRPr="00510B12">
              <w:rPr>
                <w:rFonts w:asciiTheme="minorHAnsi" w:hAnsiTheme="minorHAnsi" w:cstheme="minorHAnsi"/>
              </w:rPr>
              <w:t xml:space="preserve">Trading in Public Places Policy, Waste Plan (in draft) </w:t>
            </w:r>
          </w:p>
        </w:tc>
      </w:tr>
    </w:tbl>
    <w:p w14:paraId="0B624C59" w14:textId="77777777" w:rsidR="00510B12" w:rsidRDefault="00510B12" w:rsidP="00510B12">
      <w:pPr>
        <w:spacing w:before="242" w:after="0"/>
        <w:ind w:left="102"/>
        <w:rPr>
          <w:b/>
          <w:sz w:val="28"/>
        </w:rPr>
      </w:pPr>
      <w:r>
        <w:rPr>
          <w:b/>
          <w:sz w:val="28"/>
        </w:rPr>
        <w:t>Objective</w:t>
      </w:r>
    </w:p>
    <w:p w14:paraId="5517B8D7" w14:textId="26D85679" w:rsidR="00510B12" w:rsidRPr="00510B12" w:rsidRDefault="00510B12" w:rsidP="008E6824">
      <w:pPr>
        <w:pStyle w:val="BodyText"/>
        <w:spacing w:before="49" w:after="200"/>
        <w:ind w:left="102" w:right="-22"/>
        <w:jc w:val="both"/>
        <w:rPr>
          <w:rFonts w:asciiTheme="minorHAnsi" w:hAnsiTheme="minorHAnsi" w:cstheme="minorHAnsi"/>
        </w:rPr>
      </w:pPr>
      <w:r w:rsidRPr="00510B12">
        <w:rPr>
          <w:rFonts w:asciiTheme="minorHAnsi" w:hAnsiTheme="minorHAnsi" w:cstheme="minorHAnsi"/>
        </w:rPr>
        <w:t>The Town of East Fremantle is committed to environmental and sustainable practi</w:t>
      </w:r>
      <w:r w:rsidR="009C6164">
        <w:rPr>
          <w:rFonts w:asciiTheme="minorHAnsi" w:hAnsiTheme="minorHAnsi" w:cstheme="minorHAnsi"/>
        </w:rPr>
        <w:t>c</w:t>
      </w:r>
      <w:r w:rsidRPr="00510B12">
        <w:rPr>
          <w:rFonts w:asciiTheme="minorHAnsi" w:hAnsiTheme="minorHAnsi" w:cstheme="minorHAnsi"/>
        </w:rPr>
        <w:t>es that limit negative</w:t>
      </w:r>
      <w:r w:rsidRPr="00510B12">
        <w:rPr>
          <w:rFonts w:asciiTheme="minorHAnsi" w:hAnsiTheme="minorHAnsi" w:cstheme="minorHAnsi"/>
          <w:spacing w:val="-7"/>
        </w:rPr>
        <w:t xml:space="preserve"> </w:t>
      </w:r>
      <w:r w:rsidRPr="00510B12">
        <w:rPr>
          <w:rFonts w:asciiTheme="minorHAnsi" w:hAnsiTheme="minorHAnsi" w:cstheme="minorHAnsi"/>
        </w:rPr>
        <w:t>impacts</w:t>
      </w:r>
      <w:r w:rsidRPr="00510B12">
        <w:rPr>
          <w:rFonts w:asciiTheme="minorHAnsi" w:hAnsiTheme="minorHAnsi" w:cstheme="minorHAnsi"/>
          <w:spacing w:val="-7"/>
        </w:rPr>
        <w:t xml:space="preserve"> </w:t>
      </w:r>
      <w:r w:rsidRPr="00510B12">
        <w:rPr>
          <w:rFonts w:asciiTheme="minorHAnsi" w:hAnsiTheme="minorHAnsi" w:cstheme="minorHAnsi"/>
        </w:rPr>
        <w:t>to</w:t>
      </w:r>
      <w:r w:rsidRPr="00510B12">
        <w:rPr>
          <w:rFonts w:asciiTheme="minorHAnsi" w:hAnsiTheme="minorHAnsi" w:cstheme="minorHAnsi"/>
          <w:spacing w:val="-7"/>
        </w:rPr>
        <w:t xml:space="preserve"> </w:t>
      </w:r>
      <w:r w:rsidRPr="00510B12">
        <w:rPr>
          <w:rFonts w:asciiTheme="minorHAnsi" w:hAnsiTheme="minorHAnsi" w:cstheme="minorHAnsi"/>
        </w:rPr>
        <w:t>the</w:t>
      </w:r>
      <w:r w:rsidRPr="00510B12">
        <w:rPr>
          <w:rFonts w:asciiTheme="minorHAnsi" w:hAnsiTheme="minorHAnsi" w:cstheme="minorHAnsi"/>
          <w:spacing w:val="-8"/>
        </w:rPr>
        <w:t xml:space="preserve"> </w:t>
      </w:r>
      <w:r w:rsidRPr="00510B12">
        <w:rPr>
          <w:rFonts w:asciiTheme="minorHAnsi" w:hAnsiTheme="minorHAnsi" w:cstheme="minorHAnsi"/>
        </w:rPr>
        <w:t>environment.</w:t>
      </w:r>
      <w:r w:rsidRPr="00510B12">
        <w:rPr>
          <w:rFonts w:asciiTheme="minorHAnsi" w:hAnsiTheme="minorHAnsi" w:cstheme="minorHAnsi"/>
          <w:spacing w:val="-9"/>
        </w:rPr>
        <w:t xml:space="preserve"> </w:t>
      </w:r>
      <w:r w:rsidRPr="00510B12">
        <w:rPr>
          <w:rFonts w:asciiTheme="minorHAnsi" w:hAnsiTheme="minorHAnsi" w:cstheme="minorHAnsi"/>
        </w:rPr>
        <w:t>Since</w:t>
      </w:r>
      <w:r w:rsidRPr="00510B12">
        <w:rPr>
          <w:rFonts w:asciiTheme="minorHAnsi" w:hAnsiTheme="minorHAnsi" w:cstheme="minorHAnsi"/>
          <w:spacing w:val="-7"/>
        </w:rPr>
        <w:t xml:space="preserve"> </w:t>
      </w:r>
      <w:r w:rsidRPr="00510B12">
        <w:rPr>
          <w:rFonts w:asciiTheme="minorHAnsi" w:hAnsiTheme="minorHAnsi" w:cstheme="minorHAnsi"/>
        </w:rPr>
        <w:t>the</w:t>
      </w:r>
      <w:r w:rsidRPr="00510B12">
        <w:rPr>
          <w:rFonts w:asciiTheme="minorHAnsi" w:hAnsiTheme="minorHAnsi" w:cstheme="minorHAnsi"/>
          <w:spacing w:val="-6"/>
        </w:rPr>
        <w:t xml:space="preserve"> </w:t>
      </w:r>
      <w:r w:rsidRPr="00510B12">
        <w:rPr>
          <w:rFonts w:asciiTheme="minorHAnsi" w:hAnsiTheme="minorHAnsi" w:cstheme="minorHAnsi"/>
        </w:rPr>
        <w:t>rollout</w:t>
      </w:r>
      <w:r w:rsidRPr="00510B12">
        <w:rPr>
          <w:rFonts w:asciiTheme="minorHAnsi" w:hAnsiTheme="minorHAnsi" w:cstheme="minorHAnsi"/>
          <w:spacing w:val="-5"/>
        </w:rPr>
        <w:t xml:space="preserve"> </w:t>
      </w:r>
      <w:r w:rsidRPr="00510B12">
        <w:rPr>
          <w:rFonts w:asciiTheme="minorHAnsi" w:hAnsiTheme="minorHAnsi" w:cstheme="minorHAnsi"/>
        </w:rPr>
        <w:t>of</w:t>
      </w:r>
      <w:r w:rsidRPr="00510B12">
        <w:rPr>
          <w:rFonts w:asciiTheme="minorHAnsi" w:hAnsiTheme="minorHAnsi" w:cstheme="minorHAnsi"/>
          <w:spacing w:val="-8"/>
        </w:rPr>
        <w:t xml:space="preserve"> </w:t>
      </w:r>
      <w:r w:rsidRPr="00510B12">
        <w:rPr>
          <w:rFonts w:asciiTheme="minorHAnsi" w:hAnsiTheme="minorHAnsi" w:cstheme="minorHAnsi"/>
        </w:rPr>
        <w:t>the</w:t>
      </w:r>
      <w:r w:rsidRPr="00510B12">
        <w:rPr>
          <w:rFonts w:asciiTheme="minorHAnsi" w:hAnsiTheme="minorHAnsi" w:cstheme="minorHAnsi"/>
          <w:spacing w:val="-6"/>
        </w:rPr>
        <w:t xml:space="preserve"> </w:t>
      </w:r>
      <w:r w:rsidRPr="00510B12">
        <w:rPr>
          <w:rFonts w:asciiTheme="minorHAnsi" w:hAnsiTheme="minorHAnsi" w:cstheme="minorHAnsi"/>
        </w:rPr>
        <w:t>Food</w:t>
      </w:r>
      <w:r w:rsidRPr="00510B12">
        <w:rPr>
          <w:rFonts w:asciiTheme="minorHAnsi" w:hAnsiTheme="minorHAnsi" w:cstheme="minorHAnsi"/>
          <w:spacing w:val="-6"/>
        </w:rPr>
        <w:t xml:space="preserve"> </w:t>
      </w:r>
      <w:r w:rsidRPr="00510B12">
        <w:rPr>
          <w:rFonts w:asciiTheme="minorHAnsi" w:hAnsiTheme="minorHAnsi" w:cstheme="minorHAnsi"/>
        </w:rPr>
        <w:t>Organics,</w:t>
      </w:r>
      <w:r w:rsidRPr="00510B12">
        <w:rPr>
          <w:rFonts w:asciiTheme="minorHAnsi" w:hAnsiTheme="minorHAnsi" w:cstheme="minorHAnsi"/>
          <w:spacing w:val="-5"/>
        </w:rPr>
        <w:t xml:space="preserve"> </w:t>
      </w:r>
      <w:r w:rsidRPr="00510B12">
        <w:rPr>
          <w:rFonts w:asciiTheme="minorHAnsi" w:hAnsiTheme="minorHAnsi" w:cstheme="minorHAnsi"/>
        </w:rPr>
        <w:t>Garden</w:t>
      </w:r>
      <w:r w:rsidRPr="00510B12">
        <w:rPr>
          <w:rFonts w:asciiTheme="minorHAnsi" w:hAnsiTheme="minorHAnsi" w:cstheme="minorHAnsi"/>
          <w:spacing w:val="-6"/>
        </w:rPr>
        <w:t xml:space="preserve"> </w:t>
      </w:r>
      <w:r w:rsidRPr="00510B12">
        <w:rPr>
          <w:rFonts w:asciiTheme="minorHAnsi" w:hAnsiTheme="minorHAnsi" w:cstheme="minorHAnsi"/>
        </w:rPr>
        <w:t>Organics</w:t>
      </w:r>
      <w:r w:rsidRPr="00510B12">
        <w:rPr>
          <w:rFonts w:asciiTheme="minorHAnsi" w:hAnsiTheme="minorHAnsi" w:cstheme="minorHAnsi"/>
          <w:spacing w:val="-6"/>
        </w:rPr>
        <w:t xml:space="preserve"> </w:t>
      </w:r>
      <w:r w:rsidRPr="00510B12">
        <w:rPr>
          <w:rFonts w:asciiTheme="minorHAnsi" w:hAnsiTheme="minorHAnsi" w:cstheme="minorHAnsi"/>
        </w:rPr>
        <w:t>(FOGO) waste</w:t>
      </w:r>
      <w:r w:rsidRPr="00510B12">
        <w:rPr>
          <w:rFonts w:asciiTheme="minorHAnsi" w:hAnsiTheme="minorHAnsi" w:cstheme="minorHAnsi"/>
          <w:spacing w:val="-6"/>
        </w:rPr>
        <w:t xml:space="preserve"> </w:t>
      </w:r>
      <w:r w:rsidRPr="00510B12">
        <w:rPr>
          <w:rFonts w:asciiTheme="minorHAnsi" w:hAnsiTheme="minorHAnsi" w:cstheme="minorHAnsi"/>
        </w:rPr>
        <w:t>service,</w:t>
      </w:r>
      <w:r w:rsidRPr="00510B12">
        <w:rPr>
          <w:rFonts w:asciiTheme="minorHAnsi" w:hAnsiTheme="minorHAnsi" w:cstheme="minorHAnsi"/>
          <w:spacing w:val="-6"/>
        </w:rPr>
        <w:t xml:space="preserve"> </w:t>
      </w:r>
      <w:r w:rsidRPr="00510B12">
        <w:rPr>
          <w:rFonts w:asciiTheme="minorHAnsi" w:hAnsiTheme="minorHAnsi" w:cstheme="minorHAnsi"/>
        </w:rPr>
        <w:t>the</w:t>
      </w:r>
      <w:r w:rsidRPr="00510B12">
        <w:rPr>
          <w:rFonts w:asciiTheme="minorHAnsi" w:hAnsiTheme="minorHAnsi" w:cstheme="minorHAnsi"/>
          <w:spacing w:val="-6"/>
        </w:rPr>
        <w:t xml:space="preserve"> </w:t>
      </w:r>
      <w:r w:rsidRPr="00510B12">
        <w:rPr>
          <w:rFonts w:asciiTheme="minorHAnsi" w:hAnsiTheme="minorHAnsi" w:cstheme="minorHAnsi"/>
        </w:rPr>
        <w:t>Town</w:t>
      </w:r>
      <w:r w:rsidRPr="00510B12">
        <w:rPr>
          <w:rFonts w:asciiTheme="minorHAnsi" w:hAnsiTheme="minorHAnsi" w:cstheme="minorHAnsi"/>
          <w:spacing w:val="-7"/>
        </w:rPr>
        <w:t xml:space="preserve"> </w:t>
      </w:r>
      <w:r w:rsidRPr="00510B12">
        <w:rPr>
          <w:rFonts w:asciiTheme="minorHAnsi" w:hAnsiTheme="minorHAnsi" w:cstheme="minorHAnsi"/>
        </w:rPr>
        <w:t>has</w:t>
      </w:r>
      <w:r w:rsidRPr="00510B12">
        <w:rPr>
          <w:rFonts w:asciiTheme="minorHAnsi" w:hAnsiTheme="minorHAnsi" w:cstheme="minorHAnsi"/>
          <w:spacing w:val="-6"/>
        </w:rPr>
        <w:t xml:space="preserve"> </w:t>
      </w:r>
      <w:r w:rsidRPr="00510B12">
        <w:rPr>
          <w:rFonts w:asciiTheme="minorHAnsi" w:hAnsiTheme="minorHAnsi" w:cstheme="minorHAnsi"/>
        </w:rPr>
        <w:t>strived</w:t>
      </w:r>
      <w:r w:rsidRPr="00510B12">
        <w:rPr>
          <w:rFonts w:asciiTheme="minorHAnsi" w:hAnsiTheme="minorHAnsi" w:cstheme="minorHAnsi"/>
          <w:spacing w:val="-6"/>
        </w:rPr>
        <w:t xml:space="preserve"> </w:t>
      </w:r>
      <w:r w:rsidRPr="00510B12">
        <w:rPr>
          <w:rFonts w:asciiTheme="minorHAnsi" w:hAnsiTheme="minorHAnsi" w:cstheme="minorHAnsi"/>
        </w:rPr>
        <w:t>to</w:t>
      </w:r>
      <w:r w:rsidRPr="00510B12">
        <w:rPr>
          <w:rFonts w:asciiTheme="minorHAnsi" w:hAnsiTheme="minorHAnsi" w:cstheme="minorHAnsi"/>
          <w:spacing w:val="-4"/>
        </w:rPr>
        <w:t xml:space="preserve"> </w:t>
      </w:r>
      <w:r w:rsidRPr="00510B12">
        <w:rPr>
          <w:rFonts w:asciiTheme="minorHAnsi" w:hAnsiTheme="minorHAnsi" w:cstheme="minorHAnsi"/>
        </w:rPr>
        <w:t>reduce</w:t>
      </w:r>
      <w:r w:rsidRPr="00510B12">
        <w:rPr>
          <w:rFonts w:asciiTheme="minorHAnsi" w:hAnsiTheme="minorHAnsi" w:cstheme="minorHAnsi"/>
          <w:spacing w:val="-6"/>
        </w:rPr>
        <w:t xml:space="preserve"> </w:t>
      </w:r>
      <w:r w:rsidRPr="00510B12">
        <w:rPr>
          <w:rFonts w:asciiTheme="minorHAnsi" w:hAnsiTheme="minorHAnsi" w:cstheme="minorHAnsi"/>
        </w:rPr>
        <w:t>unnecessary</w:t>
      </w:r>
      <w:r w:rsidRPr="00510B12">
        <w:rPr>
          <w:rFonts w:asciiTheme="minorHAnsi" w:hAnsiTheme="minorHAnsi" w:cstheme="minorHAnsi"/>
          <w:spacing w:val="-4"/>
        </w:rPr>
        <w:t xml:space="preserve"> </w:t>
      </w:r>
      <w:r w:rsidRPr="00510B12">
        <w:rPr>
          <w:rFonts w:asciiTheme="minorHAnsi" w:hAnsiTheme="minorHAnsi" w:cstheme="minorHAnsi"/>
        </w:rPr>
        <w:t>waste</w:t>
      </w:r>
      <w:r w:rsidRPr="00510B12">
        <w:rPr>
          <w:rFonts w:asciiTheme="minorHAnsi" w:hAnsiTheme="minorHAnsi" w:cstheme="minorHAnsi"/>
          <w:spacing w:val="-6"/>
        </w:rPr>
        <w:t xml:space="preserve"> </w:t>
      </w:r>
      <w:r w:rsidRPr="00510B12">
        <w:rPr>
          <w:rFonts w:asciiTheme="minorHAnsi" w:hAnsiTheme="minorHAnsi" w:cstheme="minorHAnsi"/>
        </w:rPr>
        <w:t>at</w:t>
      </w:r>
      <w:r w:rsidRPr="00510B12">
        <w:rPr>
          <w:rFonts w:asciiTheme="minorHAnsi" w:hAnsiTheme="minorHAnsi" w:cstheme="minorHAnsi"/>
          <w:spacing w:val="-8"/>
        </w:rPr>
        <w:t xml:space="preserve"> </w:t>
      </w:r>
      <w:r w:rsidRPr="00510B12">
        <w:rPr>
          <w:rFonts w:asciiTheme="minorHAnsi" w:hAnsiTheme="minorHAnsi" w:cstheme="minorHAnsi"/>
        </w:rPr>
        <w:t>corporate</w:t>
      </w:r>
      <w:r w:rsidRPr="00510B12">
        <w:rPr>
          <w:rFonts w:asciiTheme="minorHAnsi" w:hAnsiTheme="minorHAnsi" w:cstheme="minorHAnsi"/>
          <w:spacing w:val="-6"/>
        </w:rPr>
        <w:t xml:space="preserve"> </w:t>
      </w:r>
      <w:r w:rsidRPr="00510B12">
        <w:rPr>
          <w:rFonts w:asciiTheme="minorHAnsi" w:hAnsiTheme="minorHAnsi" w:cstheme="minorHAnsi"/>
        </w:rPr>
        <w:t>and</w:t>
      </w:r>
      <w:r w:rsidRPr="00510B12">
        <w:rPr>
          <w:rFonts w:asciiTheme="minorHAnsi" w:hAnsiTheme="minorHAnsi" w:cstheme="minorHAnsi"/>
          <w:spacing w:val="-6"/>
        </w:rPr>
        <w:t xml:space="preserve"> </w:t>
      </w:r>
      <w:r w:rsidRPr="00510B12">
        <w:rPr>
          <w:rFonts w:asciiTheme="minorHAnsi" w:hAnsiTheme="minorHAnsi" w:cstheme="minorHAnsi"/>
        </w:rPr>
        <w:t>community</w:t>
      </w:r>
      <w:r w:rsidRPr="00510B12">
        <w:rPr>
          <w:rFonts w:asciiTheme="minorHAnsi" w:hAnsiTheme="minorHAnsi" w:cstheme="minorHAnsi"/>
          <w:spacing w:val="-6"/>
        </w:rPr>
        <w:t xml:space="preserve"> </w:t>
      </w:r>
      <w:r w:rsidRPr="00510B12">
        <w:rPr>
          <w:rFonts w:asciiTheme="minorHAnsi" w:hAnsiTheme="minorHAnsi" w:cstheme="minorHAnsi"/>
        </w:rPr>
        <w:t>events by incorporating FOGO waste practice and using material that is either reusable or compostable. The Sustainable Events Policy is to provide the Town, community and third parties a guide to the requirements when trading in the</w:t>
      </w:r>
      <w:r w:rsidRPr="00510B12">
        <w:rPr>
          <w:rFonts w:asciiTheme="minorHAnsi" w:hAnsiTheme="minorHAnsi" w:cstheme="minorHAnsi"/>
          <w:spacing w:val="-7"/>
        </w:rPr>
        <w:t xml:space="preserve"> </w:t>
      </w:r>
      <w:r w:rsidRPr="00510B12">
        <w:rPr>
          <w:rFonts w:asciiTheme="minorHAnsi" w:hAnsiTheme="minorHAnsi" w:cstheme="minorHAnsi"/>
        </w:rPr>
        <w:t>Town.</w:t>
      </w:r>
    </w:p>
    <w:p w14:paraId="451D9FA1" w14:textId="6CBA8F52" w:rsidR="00510B12" w:rsidRPr="00510B12" w:rsidRDefault="00510B12" w:rsidP="008E6824">
      <w:pPr>
        <w:pStyle w:val="Heading1"/>
        <w:spacing w:before="120"/>
        <w:ind w:left="142" w:right="-22"/>
        <w:rPr>
          <w:rFonts w:asciiTheme="minorHAnsi" w:hAnsiTheme="minorHAnsi" w:cstheme="minorHAnsi"/>
          <w:color w:val="auto"/>
        </w:rPr>
      </w:pPr>
      <w:r w:rsidRPr="00510B12">
        <w:rPr>
          <w:rFonts w:asciiTheme="minorHAnsi" w:hAnsiTheme="minorHAnsi" w:cstheme="minorHAnsi"/>
          <w:color w:val="auto"/>
        </w:rPr>
        <w:t>Policy</w:t>
      </w:r>
    </w:p>
    <w:p w14:paraId="1C81C426" w14:textId="77777777" w:rsidR="00510B12" w:rsidRPr="00510B12" w:rsidRDefault="00510B12" w:rsidP="008E6824">
      <w:pPr>
        <w:pStyle w:val="BodyText"/>
        <w:spacing w:before="49"/>
        <w:ind w:left="100" w:right="-22"/>
        <w:rPr>
          <w:rFonts w:asciiTheme="minorHAnsi" w:hAnsiTheme="minorHAnsi" w:cstheme="minorHAnsi"/>
          <w:szCs w:val="22"/>
        </w:rPr>
      </w:pPr>
      <w:r w:rsidRPr="00510B12">
        <w:rPr>
          <w:rFonts w:asciiTheme="minorHAnsi" w:hAnsiTheme="minorHAnsi" w:cstheme="minorHAnsi"/>
          <w:szCs w:val="22"/>
        </w:rPr>
        <w:t>This policy applies to:</w:t>
      </w:r>
    </w:p>
    <w:p w14:paraId="394EA56B" w14:textId="77777777" w:rsidR="00510B12" w:rsidRDefault="00510B12" w:rsidP="002A3889">
      <w:pPr>
        <w:pStyle w:val="ListParagraph"/>
        <w:widowControl w:val="0"/>
        <w:numPr>
          <w:ilvl w:val="0"/>
          <w:numId w:val="456"/>
        </w:numPr>
        <w:tabs>
          <w:tab w:val="left" w:pos="667"/>
        </w:tabs>
        <w:autoSpaceDE w:val="0"/>
        <w:autoSpaceDN w:val="0"/>
        <w:spacing w:before="161" w:after="0"/>
        <w:ind w:right="-22"/>
        <w:contextualSpacing w:val="0"/>
        <w:jc w:val="both"/>
      </w:pPr>
      <w:r>
        <w:t>all events coordinated by the Town, or contractors who are employed by the Town to coordinate an event (‘Town</w:t>
      </w:r>
      <w:r>
        <w:rPr>
          <w:spacing w:val="-5"/>
        </w:rPr>
        <w:t xml:space="preserve"> </w:t>
      </w:r>
      <w:r>
        <w:t>Events’).</w:t>
      </w:r>
    </w:p>
    <w:p w14:paraId="192CDBE1" w14:textId="77777777" w:rsidR="00510B12" w:rsidRDefault="00510B12" w:rsidP="002A3889">
      <w:pPr>
        <w:pStyle w:val="ListParagraph"/>
        <w:widowControl w:val="0"/>
        <w:numPr>
          <w:ilvl w:val="0"/>
          <w:numId w:val="456"/>
        </w:numPr>
        <w:tabs>
          <w:tab w:val="left" w:pos="667"/>
        </w:tabs>
        <w:autoSpaceDE w:val="0"/>
        <w:autoSpaceDN w:val="0"/>
        <w:spacing w:before="59" w:after="0"/>
        <w:ind w:right="-22"/>
        <w:contextualSpacing w:val="0"/>
        <w:jc w:val="both"/>
      </w:pPr>
      <w:r>
        <w:t>all</w:t>
      </w:r>
      <w:r>
        <w:rPr>
          <w:spacing w:val="-8"/>
        </w:rPr>
        <w:t xml:space="preserve"> </w:t>
      </w:r>
      <w:r>
        <w:t>events</w:t>
      </w:r>
      <w:r>
        <w:rPr>
          <w:spacing w:val="-7"/>
        </w:rPr>
        <w:t xml:space="preserve"> </w:t>
      </w:r>
      <w:r>
        <w:t>produced</w:t>
      </w:r>
      <w:r>
        <w:rPr>
          <w:spacing w:val="-8"/>
        </w:rPr>
        <w:t xml:space="preserve"> </w:t>
      </w:r>
      <w:r>
        <w:t>by</w:t>
      </w:r>
      <w:r>
        <w:rPr>
          <w:spacing w:val="-6"/>
        </w:rPr>
        <w:t xml:space="preserve"> </w:t>
      </w:r>
      <w:r>
        <w:t>a</w:t>
      </w:r>
      <w:r>
        <w:rPr>
          <w:spacing w:val="-11"/>
        </w:rPr>
        <w:t xml:space="preserve"> </w:t>
      </w:r>
      <w:r>
        <w:t>third</w:t>
      </w:r>
      <w:r>
        <w:rPr>
          <w:spacing w:val="-8"/>
        </w:rPr>
        <w:t xml:space="preserve"> </w:t>
      </w:r>
      <w:r>
        <w:t>party</w:t>
      </w:r>
      <w:r>
        <w:rPr>
          <w:spacing w:val="-7"/>
        </w:rPr>
        <w:t xml:space="preserve"> </w:t>
      </w:r>
      <w:r>
        <w:t>but</w:t>
      </w:r>
      <w:r>
        <w:rPr>
          <w:spacing w:val="-9"/>
        </w:rPr>
        <w:t xml:space="preserve"> </w:t>
      </w:r>
      <w:r>
        <w:t>subject</w:t>
      </w:r>
      <w:r>
        <w:rPr>
          <w:spacing w:val="-10"/>
        </w:rPr>
        <w:t xml:space="preserve"> </w:t>
      </w:r>
      <w:r>
        <w:t>to</w:t>
      </w:r>
      <w:r>
        <w:rPr>
          <w:spacing w:val="-6"/>
        </w:rPr>
        <w:t xml:space="preserve"> </w:t>
      </w:r>
      <w:r>
        <w:t>formal</w:t>
      </w:r>
      <w:r>
        <w:rPr>
          <w:spacing w:val="-9"/>
        </w:rPr>
        <w:t xml:space="preserve"> </w:t>
      </w:r>
      <w:r>
        <w:t>approval</w:t>
      </w:r>
      <w:r>
        <w:rPr>
          <w:spacing w:val="-10"/>
        </w:rPr>
        <w:t xml:space="preserve"> </w:t>
      </w:r>
      <w:r>
        <w:t>by</w:t>
      </w:r>
      <w:r>
        <w:rPr>
          <w:spacing w:val="-10"/>
        </w:rPr>
        <w:t xml:space="preserve"> </w:t>
      </w:r>
      <w:r>
        <w:t>the</w:t>
      </w:r>
      <w:r>
        <w:rPr>
          <w:spacing w:val="-10"/>
        </w:rPr>
        <w:t xml:space="preserve"> </w:t>
      </w:r>
      <w:r>
        <w:t>Town</w:t>
      </w:r>
      <w:r>
        <w:rPr>
          <w:spacing w:val="-7"/>
        </w:rPr>
        <w:t xml:space="preserve"> </w:t>
      </w:r>
      <w:r>
        <w:t>including</w:t>
      </w:r>
      <w:r>
        <w:rPr>
          <w:spacing w:val="-9"/>
        </w:rPr>
        <w:t xml:space="preserve"> </w:t>
      </w:r>
      <w:r>
        <w:t>events held on land under the Town’s care and control, and events supported by Town grants (Approved</w:t>
      </w:r>
      <w:r>
        <w:rPr>
          <w:spacing w:val="-1"/>
        </w:rPr>
        <w:t xml:space="preserve"> </w:t>
      </w:r>
      <w:r>
        <w:t>Events).</w:t>
      </w:r>
    </w:p>
    <w:p w14:paraId="68FC10B1" w14:textId="77777777" w:rsidR="00510B12" w:rsidRDefault="00510B12" w:rsidP="002A3889">
      <w:pPr>
        <w:pStyle w:val="ListParagraph"/>
        <w:widowControl w:val="0"/>
        <w:numPr>
          <w:ilvl w:val="0"/>
          <w:numId w:val="456"/>
        </w:numPr>
        <w:tabs>
          <w:tab w:val="left" w:pos="667"/>
        </w:tabs>
        <w:autoSpaceDE w:val="0"/>
        <w:autoSpaceDN w:val="0"/>
        <w:spacing w:before="60"/>
        <w:ind w:right="-22"/>
        <w:contextualSpacing w:val="0"/>
        <w:jc w:val="both"/>
      </w:pPr>
      <w:r>
        <w:t>all</w:t>
      </w:r>
      <w:r>
        <w:rPr>
          <w:spacing w:val="-13"/>
        </w:rPr>
        <w:t xml:space="preserve"> </w:t>
      </w:r>
      <w:r>
        <w:t>events</w:t>
      </w:r>
      <w:r>
        <w:rPr>
          <w:spacing w:val="-12"/>
        </w:rPr>
        <w:t xml:space="preserve"> </w:t>
      </w:r>
      <w:r>
        <w:t>that</w:t>
      </w:r>
      <w:r>
        <w:rPr>
          <w:spacing w:val="-12"/>
        </w:rPr>
        <w:t xml:space="preserve"> </w:t>
      </w:r>
      <w:r>
        <w:t>include</w:t>
      </w:r>
      <w:r>
        <w:rPr>
          <w:spacing w:val="-11"/>
        </w:rPr>
        <w:t xml:space="preserve"> </w:t>
      </w:r>
      <w:r>
        <w:t>any</w:t>
      </w:r>
      <w:r>
        <w:rPr>
          <w:spacing w:val="-11"/>
        </w:rPr>
        <w:t xml:space="preserve"> </w:t>
      </w:r>
      <w:r>
        <w:t>form</w:t>
      </w:r>
      <w:r>
        <w:rPr>
          <w:spacing w:val="-13"/>
        </w:rPr>
        <w:t xml:space="preserve"> </w:t>
      </w:r>
      <w:r>
        <w:t>of</w:t>
      </w:r>
      <w:r>
        <w:rPr>
          <w:spacing w:val="-12"/>
        </w:rPr>
        <w:t xml:space="preserve"> </w:t>
      </w:r>
      <w:r>
        <w:t>actions</w:t>
      </w:r>
      <w:r>
        <w:rPr>
          <w:spacing w:val="-14"/>
        </w:rPr>
        <w:t xml:space="preserve"> </w:t>
      </w:r>
      <w:r>
        <w:t>or</w:t>
      </w:r>
      <w:r>
        <w:rPr>
          <w:spacing w:val="-12"/>
        </w:rPr>
        <w:t xml:space="preserve"> </w:t>
      </w:r>
      <w:r>
        <w:t>business</w:t>
      </w:r>
      <w:r>
        <w:rPr>
          <w:spacing w:val="-13"/>
        </w:rPr>
        <w:t xml:space="preserve"> </w:t>
      </w:r>
      <w:r>
        <w:t>which</w:t>
      </w:r>
      <w:r>
        <w:rPr>
          <w:spacing w:val="-13"/>
        </w:rPr>
        <w:t xml:space="preserve"> </w:t>
      </w:r>
      <w:r>
        <w:t>apply</w:t>
      </w:r>
      <w:r>
        <w:rPr>
          <w:spacing w:val="-11"/>
        </w:rPr>
        <w:t xml:space="preserve"> </w:t>
      </w:r>
      <w:r>
        <w:t>to</w:t>
      </w:r>
      <w:r>
        <w:rPr>
          <w:spacing w:val="-10"/>
        </w:rPr>
        <w:t xml:space="preserve"> </w:t>
      </w:r>
      <w:r>
        <w:t>the</w:t>
      </w:r>
      <w:r>
        <w:rPr>
          <w:spacing w:val="-11"/>
        </w:rPr>
        <w:t xml:space="preserve"> </w:t>
      </w:r>
      <w:r>
        <w:t>Trading</w:t>
      </w:r>
      <w:r>
        <w:rPr>
          <w:spacing w:val="-13"/>
        </w:rPr>
        <w:t xml:space="preserve"> </w:t>
      </w:r>
      <w:r>
        <w:t>in</w:t>
      </w:r>
      <w:r>
        <w:rPr>
          <w:spacing w:val="-13"/>
        </w:rPr>
        <w:t xml:space="preserve"> </w:t>
      </w:r>
      <w:r>
        <w:t>Public</w:t>
      </w:r>
      <w:r>
        <w:rPr>
          <w:spacing w:val="-12"/>
        </w:rPr>
        <w:t xml:space="preserve"> </w:t>
      </w:r>
      <w:r>
        <w:t>Places Policy.</w:t>
      </w:r>
    </w:p>
    <w:p w14:paraId="47F3B442" w14:textId="116CAF19" w:rsidR="00510B12" w:rsidRPr="00510B12" w:rsidRDefault="00510B12" w:rsidP="008E6824">
      <w:pPr>
        <w:pStyle w:val="Heading2"/>
        <w:keepNext w:val="0"/>
        <w:keepLines w:val="0"/>
        <w:widowControl w:val="0"/>
        <w:tabs>
          <w:tab w:val="left" w:pos="526"/>
        </w:tabs>
        <w:autoSpaceDE w:val="0"/>
        <w:autoSpaceDN w:val="0"/>
        <w:spacing w:before="0" w:line="240" w:lineRule="auto"/>
        <w:ind w:left="567" w:right="-22" w:hanging="468"/>
        <w:jc w:val="both"/>
        <w:rPr>
          <w:rFonts w:asciiTheme="minorHAnsi" w:hAnsiTheme="minorHAnsi" w:cstheme="minorHAnsi"/>
          <w:color w:val="auto"/>
          <w:sz w:val="22"/>
          <w:szCs w:val="22"/>
        </w:rPr>
      </w:pPr>
      <w:r>
        <w:rPr>
          <w:rFonts w:asciiTheme="minorHAnsi" w:hAnsiTheme="minorHAnsi" w:cstheme="minorHAnsi"/>
          <w:color w:val="auto"/>
          <w:sz w:val="22"/>
          <w:szCs w:val="22"/>
        </w:rPr>
        <w:t>1.</w:t>
      </w:r>
      <w:r>
        <w:rPr>
          <w:rFonts w:asciiTheme="minorHAnsi" w:hAnsiTheme="minorHAnsi" w:cstheme="minorHAnsi"/>
          <w:color w:val="auto"/>
          <w:sz w:val="22"/>
          <w:szCs w:val="22"/>
        </w:rPr>
        <w:tab/>
      </w:r>
      <w:r w:rsidRPr="00510B12">
        <w:rPr>
          <w:rFonts w:asciiTheme="minorHAnsi" w:hAnsiTheme="minorHAnsi" w:cstheme="minorHAnsi"/>
          <w:color w:val="auto"/>
          <w:sz w:val="22"/>
          <w:szCs w:val="22"/>
        </w:rPr>
        <w:t>Town</w:t>
      </w:r>
      <w:r w:rsidRPr="00510B12">
        <w:rPr>
          <w:rFonts w:asciiTheme="minorHAnsi" w:hAnsiTheme="minorHAnsi" w:cstheme="minorHAnsi"/>
          <w:color w:val="auto"/>
          <w:spacing w:val="-1"/>
          <w:sz w:val="22"/>
          <w:szCs w:val="22"/>
        </w:rPr>
        <w:t xml:space="preserve"> </w:t>
      </w:r>
      <w:r w:rsidRPr="00510B12">
        <w:rPr>
          <w:rFonts w:asciiTheme="minorHAnsi" w:hAnsiTheme="minorHAnsi" w:cstheme="minorHAnsi"/>
          <w:color w:val="auto"/>
          <w:sz w:val="22"/>
          <w:szCs w:val="22"/>
        </w:rPr>
        <w:t>Events</w:t>
      </w:r>
    </w:p>
    <w:p w14:paraId="6B571381" w14:textId="37470D46" w:rsidR="00510B12" w:rsidRDefault="009C6164" w:rsidP="008E6824">
      <w:pPr>
        <w:widowControl w:val="0"/>
        <w:tabs>
          <w:tab w:val="left" w:pos="1094"/>
        </w:tabs>
        <w:autoSpaceDE w:val="0"/>
        <w:autoSpaceDN w:val="0"/>
        <w:spacing w:before="1" w:after="0"/>
        <w:ind w:left="1134" w:right="-22" w:hanging="573"/>
        <w:jc w:val="both"/>
      </w:pPr>
      <w:proofErr w:type="spellStart"/>
      <w:r>
        <w:t>i</w:t>
      </w:r>
      <w:proofErr w:type="spellEnd"/>
      <w:r>
        <w:t>.</w:t>
      </w:r>
      <w:r>
        <w:tab/>
      </w:r>
      <w:r w:rsidR="00510B12">
        <w:t>Events organised by the Town or contractors employed by the Town to produce an event are to:</w:t>
      </w:r>
    </w:p>
    <w:p w14:paraId="0694194D" w14:textId="77777777" w:rsidR="00510B12" w:rsidRPr="00826AC6" w:rsidRDefault="00510B12" w:rsidP="002A3889">
      <w:pPr>
        <w:pStyle w:val="ListParagraph"/>
        <w:widowControl w:val="0"/>
        <w:numPr>
          <w:ilvl w:val="2"/>
          <w:numId w:val="455"/>
        </w:numPr>
        <w:tabs>
          <w:tab w:val="left" w:pos="1519"/>
        </w:tabs>
        <w:autoSpaceDE w:val="0"/>
        <w:autoSpaceDN w:val="0"/>
        <w:spacing w:before="59" w:after="0" w:line="240" w:lineRule="auto"/>
        <w:ind w:hanging="361"/>
        <w:contextualSpacing w:val="0"/>
        <w:jc w:val="both"/>
      </w:pPr>
      <w:r w:rsidRPr="00826AC6">
        <w:t>provide clearly labelled and attended Recycling, FOGO and General Waste Bins with signage indicating correct waste disposal for each waste stream</w:t>
      </w:r>
      <w:r w:rsidRPr="00826AC6">
        <w:rPr>
          <w:spacing w:val="-14"/>
        </w:rPr>
        <w:t xml:space="preserve"> with </w:t>
      </w:r>
      <w:r w:rsidRPr="00826AC6">
        <w:t>bin monitors to reduce contamination.</w:t>
      </w:r>
    </w:p>
    <w:p w14:paraId="7A9B65ED" w14:textId="77777777" w:rsidR="00510B12" w:rsidRDefault="00510B12" w:rsidP="002A3889">
      <w:pPr>
        <w:pStyle w:val="ListParagraph"/>
        <w:widowControl w:val="0"/>
        <w:numPr>
          <w:ilvl w:val="2"/>
          <w:numId w:val="455"/>
        </w:numPr>
        <w:tabs>
          <w:tab w:val="left" w:pos="1519"/>
        </w:tabs>
        <w:autoSpaceDE w:val="0"/>
        <w:autoSpaceDN w:val="0"/>
        <w:spacing w:before="101" w:after="0" w:line="240" w:lineRule="auto"/>
        <w:ind w:hanging="361"/>
        <w:contextualSpacing w:val="0"/>
        <w:jc w:val="both"/>
      </w:pPr>
      <w:r>
        <w:t>exclude:</w:t>
      </w:r>
    </w:p>
    <w:p w14:paraId="36A235D3" w14:textId="77777777" w:rsidR="00510B12" w:rsidRDefault="00510B12" w:rsidP="002A3889">
      <w:pPr>
        <w:pStyle w:val="ListParagraph"/>
        <w:widowControl w:val="0"/>
        <w:numPr>
          <w:ilvl w:val="3"/>
          <w:numId w:val="455"/>
        </w:numPr>
        <w:tabs>
          <w:tab w:val="left" w:pos="1944"/>
        </w:tabs>
        <w:autoSpaceDE w:val="0"/>
        <w:autoSpaceDN w:val="0"/>
        <w:spacing w:before="101" w:after="0" w:line="240" w:lineRule="auto"/>
        <w:ind w:hanging="361"/>
        <w:contextualSpacing w:val="0"/>
        <w:jc w:val="both"/>
      </w:pPr>
      <w:r>
        <w:t xml:space="preserve">provision, sale, distribution or use of balloons, confetti </w:t>
      </w:r>
      <w:r w:rsidRPr="00826AC6">
        <w:t>and glitter as</w:t>
      </w:r>
      <w:r>
        <w:t xml:space="preserve"> part of the</w:t>
      </w:r>
      <w:r>
        <w:rPr>
          <w:spacing w:val="-19"/>
        </w:rPr>
        <w:t xml:space="preserve"> </w:t>
      </w:r>
      <w:proofErr w:type="gramStart"/>
      <w:r>
        <w:t>event;</w:t>
      </w:r>
      <w:proofErr w:type="gramEnd"/>
    </w:p>
    <w:p w14:paraId="07F7BBE5" w14:textId="77777777" w:rsidR="00510B12" w:rsidRDefault="00510B12" w:rsidP="002A3889">
      <w:pPr>
        <w:pStyle w:val="ListParagraph"/>
        <w:widowControl w:val="0"/>
        <w:numPr>
          <w:ilvl w:val="3"/>
          <w:numId w:val="455"/>
        </w:numPr>
        <w:tabs>
          <w:tab w:val="left" w:pos="1944"/>
        </w:tabs>
        <w:autoSpaceDE w:val="0"/>
        <w:autoSpaceDN w:val="0"/>
        <w:spacing w:before="99" w:after="0"/>
        <w:ind w:right="-22"/>
        <w:contextualSpacing w:val="0"/>
        <w:jc w:val="both"/>
      </w:pPr>
      <w:r>
        <w:t>use of polystyrene and Styrofoam in the sale and distribution of food or beverages at the event;</w:t>
      </w:r>
      <w:r>
        <w:rPr>
          <w:spacing w:val="-6"/>
        </w:rPr>
        <w:t xml:space="preserve"> </w:t>
      </w:r>
      <w:r>
        <w:t>and</w:t>
      </w:r>
    </w:p>
    <w:p w14:paraId="45EFE44F" w14:textId="77777777" w:rsidR="00510B12" w:rsidRDefault="00510B12" w:rsidP="002A3889">
      <w:pPr>
        <w:pStyle w:val="ListParagraph"/>
        <w:widowControl w:val="0"/>
        <w:numPr>
          <w:ilvl w:val="3"/>
          <w:numId w:val="455"/>
        </w:numPr>
        <w:tabs>
          <w:tab w:val="left" w:pos="1944"/>
        </w:tabs>
        <w:autoSpaceDE w:val="0"/>
        <w:autoSpaceDN w:val="0"/>
        <w:spacing w:before="61" w:after="0"/>
        <w:ind w:right="-22"/>
        <w:contextualSpacing w:val="0"/>
        <w:jc w:val="both"/>
      </w:pPr>
      <w:r>
        <w:t xml:space="preserve">provision, sale or distribution of single-use plastics at the event. This includes straws, cutlery, cups, coffee cups, bottles (including individual </w:t>
      </w:r>
      <w:r w:rsidRPr="00826AC6">
        <w:t>single-use water bottles),</w:t>
      </w:r>
      <w:r>
        <w:t xml:space="preserve"> plates, containers and</w:t>
      </w:r>
      <w:r>
        <w:rPr>
          <w:spacing w:val="-4"/>
        </w:rPr>
        <w:t xml:space="preserve"> </w:t>
      </w:r>
      <w:r>
        <w:t>bags.</w:t>
      </w:r>
    </w:p>
    <w:p w14:paraId="1F16734F" w14:textId="47D7EF09" w:rsidR="00510B12" w:rsidRDefault="009C6164" w:rsidP="008E6824">
      <w:pPr>
        <w:widowControl w:val="0"/>
        <w:tabs>
          <w:tab w:val="left" w:pos="1094"/>
        </w:tabs>
        <w:autoSpaceDE w:val="0"/>
        <w:autoSpaceDN w:val="0"/>
        <w:spacing w:before="61" w:after="0" w:line="273" w:lineRule="auto"/>
        <w:ind w:left="1134" w:right="-22" w:hanging="624"/>
        <w:jc w:val="both"/>
      </w:pPr>
      <w:r>
        <w:t>ii.</w:t>
      </w:r>
      <w:r>
        <w:tab/>
      </w:r>
      <w:r w:rsidR="00510B12">
        <w:t xml:space="preserve">provide an easily accessible alternative to bottled water which enables patrons to refill </w:t>
      </w:r>
      <w:r w:rsidR="00510B12">
        <w:lastRenderedPageBreak/>
        <w:t>empty drink bottles with drinking water free of</w:t>
      </w:r>
      <w:r w:rsidR="00510B12" w:rsidRPr="009C6164">
        <w:rPr>
          <w:spacing w:val="-10"/>
        </w:rPr>
        <w:t xml:space="preserve"> </w:t>
      </w:r>
      <w:r w:rsidR="00510B12">
        <w:t>cost.</w:t>
      </w:r>
    </w:p>
    <w:p w14:paraId="600F5C5F" w14:textId="76AF5DBF" w:rsidR="009C6164" w:rsidRDefault="009C6164" w:rsidP="008E6824">
      <w:pPr>
        <w:widowControl w:val="0"/>
        <w:tabs>
          <w:tab w:val="left" w:pos="1094"/>
        </w:tabs>
        <w:autoSpaceDE w:val="0"/>
        <w:autoSpaceDN w:val="0"/>
        <w:spacing w:before="64" w:after="0"/>
        <w:ind w:left="1134" w:right="-22" w:hanging="624"/>
        <w:jc w:val="both"/>
      </w:pPr>
      <w:r>
        <w:t>iii.</w:t>
      </w:r>
      <w:r>
        <w:tab/>
      </w:r>
      <w:r w:rsidR="00510B12">
        <w:t>restrict promotional material, decorations and supplies to those which can be reused and/or recycled.</w:t>
      </w:r>
    </w:p>
    <w:p w14:paraId="485793A9" w14:textId="38E18116" w:rsidR="00510B12" w:rsidRDefault="009C6164" w:rsidP="008E6824">
      <w:pPr>
        <w:widowControl w:val="0"/>
        <w:tabs>
          <w:tab w:val="left" w:pos="1094"/>
        </w:tabs>
        <w:autoSpaceDE w:val="0"/>
        <w:autoSpaceDN w:val="0"/>
        <w:spacing w:before="46" w:after="0"/>
        <w:ind w:left="1134" w:right="-22" w:hanging="624"/>
        <w:jc w:val="both"/>
      </w:pPr>
      <w:r>
        <w:t>iv.</w:t>
      </w:r>
      <w:r>
        <w:tab/>
      </w:r>
      <w:r w:rsidR="00510B12">
        <w:t xml:space="preserve">minimise the use of printed promotional material for example posters, flyers, business cards and newspaper </w:t>
      </w:r>
      <w:proofErr w:type="gramStart"/>
      <w:r w:rsidR="00510B12">
        <w:t>inserts</w:t>
      </w:r>
      <w:proofErr w:type="gramEnd"/>
      <w:r w:rsidR="00510B12">
        <w:t xml:space="preserve"> by maximising the use of social media platforms and local publications for the distribution and dissemination of promotional</w:t>
      </w:r>
      <w:r w:rsidR="00510B12" w:rsidRPr="009C6164">
        <w:rPr>
          <w:spacing w:val="-14"/>
        </w:rPr>
        <w:t xml:space="preserve"> </w:t>
      </w:r>
      <w:r w:rsidR="00510B12">
        <w:t>material.</w:t>
      </w:r>
    </w:p>
    <w:p w14:paraId="62C88A7E" w14:textId="1282D770" w:rsidR="00510B12" w:rsidRDefault="009C6164" w:rsidP="009C6164">
      <w:pPr>
        <w:widowControl w:val="0"/>
        <w:tabs>
          <w:tab w:val="left" w:pos="1094"/>
        </w:tabs>
        <w:autoSpaceDE w:val="0"/>
        <w:autoSpaceDN w:val="0"/>
        <w:spacing w:before="63" w:after="0" w:line="240" w:lineRule="auto"/>
        <w:ind w:left="1134" w:hanging="624"/>
        <w:jc w:val="both"/>
      </w:pPr>
      <w:r>
        <w:t>v.</w:t>
      </w:r>
      <w:r>
        <w:tab/>
      </w:r>
      <w:proofErr w:type="gramStart"/>
      <w:r w:rsidR="00510B12">
        <w:t>incorporate</w:t>
      </w:r>
      <w:proofErr w:type="gramEnd"/>
      <w:r w:rsidR="00510B12">
        <w:t>:</w:t>
      </w:r>
    </w:p>
    <w:p w14:paraId="4275E448" w14:textId="77777777" w:rsidR="00510B12" w:rsidRDefault="00510B12" w:rsidP="002A3889">
      <w:pPr>
        <w:pStyle w:val="ListParagraph"/>
        <w:widowControl w:val="0"/>
        <w:numPr>
          <w:ilvl w:val="2"/>
          <w:numId w:val="455"/>
        </w:numPr>
        <w:tabs>
          <w:tab w:val="left" w:pos="1519"/>
        </w:tabs>
        <w:autoSpaceDE w:val="0"/>
        <w:autoSpaceDN w:val="0"/>
        <w:spacing w:before="98" w:after="0" w:line="240" w:lineRule="auto"/>
        <w:ind w:hanging="361"/>
        <w:contextualSpacing w:val="0"/>
        <w:jc w:val="both"/>
      </w:pPr>
      <w:r>
        <w:t>promotion of walking, cycling and public transport</w:t>
      </w:r>
      <w:r>
        <w:rPr>
          <w:spacing w:val="-6"/>
        </w:rPr>
        <w:t xml:space="preserve"> </w:t>
      </w:r>
      <w:r>
        <w:t>options.</w:t>
      </w:r>
    </w:p>
    <w:p w14:paraId="3FC37633" w14:textId="77777777" w:rsidR="00510B12" w:rsidRDefault="00510B12" w:rsidP="002A3889">
      <w:pPr>
        <w:pStyle w:val="ListParagraph"/>
        <w:widowControl w:val="0"/>
        <w:numPr>
          <w:ilvl w:val="2"/>
          <w:numId w:val="455"/>
        </w:numPr>
        <w:tabs>
          <w:tab w:val="left" w:pos="1519"/>
        </w:tabs>
        <w:autoSpaceDE w:val="0"/>
        <w:autoSpaceDN w:val="0"/>
        <w:spacing w:before="101" w:after="0" w:line="240" w:lineRule="auto"/>
        <w:ind w:hanging="361"/>
        <w:contextualSpacing w:val="0"/>
        <w:jc w:val="both"/>
      </w:pPr>
      <w:r>
        <w:t xml:space="preserve">provision of adequate bike parking for all </w:t>
      </w:r>
      <w:proofErr w:type="gramStart"/>
      <w:r>
        <w:t>large scale</w:t>
      </w:r>
      <w:proofErr w:type="gramEnd"/>
      <w:r>
        <w:rPr>
          <w:spacing w:val="-10"/>
        </w:rPr>
        <w:t xml:space="preserve"> </w:t>
      </w:r>
      <w:r>
        <w:t>events.</w:t>
      </w:r>
    </w:p>
    <w:p w14:paraId="489A466A" w14:textId="77777777" w:rsidR="00510B12" w:rsidRDefault="00510B12" w:rsidP="002A3889">
      <w:pPr>
        <w:pStyle w:val="ListParagraph"/>
        <w:widowControl w:val="0"/>
        <w:numPr>
          <w:ilvl w:val="2"/>
          <w:numId w:val="455"/>
        </w:numPr>
        <w:tabs>
          <w:tab w:val="left" w:pos="1516"/>
          <w:tab w:val="left" w:pos="1517"/>
        </w:tabs>
        <w:autoSpaceDE w:val="0"/>
        <w:autoSpaceDN w:val="0"/>
        <w:spacing w:before="101" w:after="0" w:line="240" w:lineRule="auto"/>
        <w:ind w:left="1516" w:hanging="356"/>
        <w:contextualSpacing w:val="0"/>
        <w:jc w:val="both"/>
      </w:pPr>
      <w:r>
        <w:t>Provision of reusable alternatives for single use items including cups, plates and</w:t>
      </w:r>
      <w:r>
        <w:rPr>
          <w:spacing w:val="-12"/>
        </w:rPr>
        <w:t xml:space="preserve"> </w:t>
      </w:r>
      <w:r>
        <w:t>cutlery.</w:t>
      </w:r>
    </w:p>
    <w:p w14:paraId="618C19B6" w14:textId="77777777" w:rsidR="00510B12" w:rsidRPr="00826AC6" w:rsidRDefault="00510B12" w:rsidP="002A3889">
      <w:pPr>
        <w:pStyle w:val="ListParagraph"/>
        <w:widowControl w:val="0"/>
        <w:numPr>
          <w:ilvl w:val="2"/>
          <w:numId w:val="455"/>
        </w:numPr>
        <w:tabs>
          <w:tab w:val="left" w:pos="1516"/>
          <w:tab w:val="left" w:pos="1517"/>
        </w:tabs>
        <w:autoSpaceDE w:val="0"/>
        <w:autoSpaceDN w:val="0"/>
        <w:spacing w:before="101" w:after="0" w:line="240" w:lineRule="auto"/>
        <w:ind w:left="1516" w:hanging="356"/>
        <w:contextualSpacing w:val="0"/>
        <w:jc w:val="both"/>
      </w:pPr>
      <w:r w:rsidRPr="00826AC6">
        <w:t>Preference of local suppliers and services.</w:t>
      </w:r>
    </w:p>
    <w:p w14:paraId="56C346B7" w14:textId="77777777" w:rsidR="00510B12" w:rsidRPr="00826AC6" w:rsidRDefault="00510B12" w:rsidP="002A3889">
      <w:pPr>
        <w:pStyle w:val="ListParagraph"/>
        <w:widowControl w:val="0"/>
        <w:numPr>
          <w:ilvl w:val="2"/>
          <w:numId w:val="455"/>
        </w:numPr>
        <w:tabs>
          <w:tab w:val="left" w:pos="1516"/>
          <w:tab w:val="left" w:pos="1517"/>
        </w:tabs>
        <w:autoSpaceDE w:val="0"/>
        <w:autoSpaceDN w:val="0"/>
        <w:spacing w:before="101" w:line="240" w:lineRule="auto"/>
        <w:ind w:left="1519" w:hanging="357"/>
        <w:contextualSpacing w:val="0"/>
        <w:jc w:val="both"/>
      </w:pPr>
      <w:r w:rsidRPr="00826AC6">
        <w:t xml:space="preserve">Provision of post event clean-up.   </w:t>
      </w:r>
    </w:p>
    <w:p w14:paraId="762D0A52" w14:textId="4C30DB03" w:rsidR="00510B12" w:rsidRPr="00510B12" w:rsidRDefault="00510B12" w:rsidP="00510B12">
      <w:pPr>
        <w:pStyle w:val="Heading2"/>
        <w:keepNext w:val="0"/>
        <w:keepLines w:val="0"/>
        <w:widowControl w:val="0"/>
        <w:tabs>
          <w:tab w:val="left" w:pos="526"/>
        </w:tabs>
        <w:autoSpaceDE w:val="0"/>
        <w:autoSpaceDN w:val="0"/>
        <w:spacing w:before="120" w:line="240" w:lineRule="auto"/>
        <w:ind w:left="567" w:hanging="468"/>
        <w:jc w:val="both"/>
        <w:rPr>
          <w:rFonts w:asciiTheme="minorHAnsi" w:hAnsiTheme="minorHAnsi" w:cstheme="minorHAnsi"/>
          <w:color w:val="auto"/>
          <w:sz w:val="22"/>
          <w:szCs w:val="22"/>
        </w:rPr>
      </w:pPr>
      <w:r>
        <w:rPr>
          <w:rFonts w:asciiTheme="minorHAnsi" w:hAnsiTheme="minorHAnsi" w:cstheme="minorHAnsi"/>
          <w:color w:val="auto"/>
          <w:sz w:val="22"/>
          <w:szCs w:val="22"/>
        </w:rPr>
        <w:t>2.</w:t>
      </w:r>
      <w:r>
        <w:rPr>
          <w:rFonts w:asciiTheme="minorHAnsi" w:hAnsiTheme="minorHAnsi" w:cstheme="minorHAnsi"/>
          <w:color w:val="auto"/>
          <w:sz w:val="22"/>
          <w:szCs w:val="22"/>
        </w:rPr>
        <w:tab/>
      </w:r>
      <w:r w:rsidRPr="00510B12">
        <w:rPr>
          <w:rFonts w:asciiTheme="minorHAnsi" w:hAnsiTheme="minorHAnsi" w:cstheme="minorHAnsi"/>
          <w:color w:val="auto"/>
          <w:sz w:val="22"/>
          <w:szCs w:val="22"/>
        </w:rPr>
        <w:t>Approved</w:t>
      </w:r>
      <w:r w:rsidRPr="00510B12">
        <w:rPr>
          <w:rFonts w:asciiTheme="minorHAnsi" w:hAnsiTheme="minorHAnsi" w:cstheme="minorHAnsi"/>
          <w:color w:val="auto"/>
          <w:spacing w:val="-2"/>
          <w:sz w:val="22"/>
          <w:szCs w:val="22"/>
        </w:rPr>
        <w:t xml:space="preserve"> </w:t>
      </w:r>
      <w:r w:rsidRPr="00510B12">
        <w:rPr>
          <w:rFonts w:asciiTheme="minorHAnsi" w:hAnsiTheme="minorHAnsi" w:cstheme="minorHAnsi"/>
          <w:color w:val="auto"/>
          <w:sz w:val="22"/>
          <w:szCs w:val="22"/>
        </w:rPr>
        <w:t>events</w:t>
      </w:r>
    </w:p>
    <w:p w14:paraId="38F1EC71" w14:textId="0DAA8E6A" w:rsidR="00510B12" w:rsidRDefault="00510B12" w:rsidP="008E6824">
      <w:pPr>
        <w:widowControl w:val="0"/>
        <w:tabs>
          <w:tab w:val="left" w:pos="1104"/>
        </w:tabs>
        <w:autoSpaceDE w:val="0"/>
        <w:autoSpaceDN w:val="0"/>
        <w:spacing w:before="61" w:after="0" w:line="273" w:lineRule="auto"/>
        <w:ind w:left="1134" w:right="-22" w:hanging="574"/>
        <w:jc w:val="both"/>
      </w:pPr>
      <w:proofErr w:type="spellStart"/>
      <w:r>
        <w:t>i</w:t>
      </w:r>
      <w:proofErr w:type="spellEnd"/>
      <w:r>
        <w:t>.</w:t>
      </w:r>
      <w:r>
        <w:tab/>
        <w:t>Events</w:t>
      </w:r>
      <w:r w:rsidRPr="00510B12">
        <w:rPr>
          <w:spacing w:val="-3"/>
        </w:rPr>
        <w:t xml:space="preserve"> </w:t>
      </w:r>
      <w:r>
        <w:t>produced</w:t>
      </w:r>
      <w:r w:rsidRPr="00510B12">
        <w:rPr>
          <w:spacing w:val="-2"/>
        </w:rPr>
        <w:t xml:space="preserve"> </w:t>
      </w:r>
      <w:r>
        <w:t>by</w:t>
      </w:r>
      <w:r w:rsidRPr="00510B12">
        <w:rPr>
          <w:spacing w:val="-3"/>
        </w:rPr>
        <w:t xml:space="preserve"> </w:t>
      </w:r>
      <w:r>
        <w:t>a</w:t>
      </w:r>
      <w:r w:rsidRPr="00510B12">
        <w:rPr>
          <w:spacing w:val="-5"/>
        </w:rPr>
        <w:t xml:space="preserve"> </w:t>
      </w:r>
      <w:r>
        <w:t>third</w:t>
      </w:r>
      <w:r w:rsidRPr="00510B12">
        <w:rPr>
          <w:spacing w:val="-3"/>
        </w:rPr>
        <w:t xml:space="preserve"> </w:t>
      </w:r>
      <w:r>
        <w:t>party</w:t>
      </w:r>
      <w:r w:rsidRPr="00510B12">
        <w:rPr>
          <w:spacing w:val="-2"/>
        </w:rPr>
        <w:t xml:space="preserve"> </w:t>
      </w:r>
      <w:r>
        <w:t>but</w:t>
      </w:r>
      <w:r w:rsidRPr="00510B12">
        <w:rPr>
          <w:spacing w:val="-3"/>
        </w:rPr>
        <w:t xml:space="preserve"> </w:t>
      </w:r>
      <w:r>
        <w:t>subject</w:t>
      </w:r>
      <w:r w:rsidRPr="00510B12">
        <w:rPr>
          <w:spacing w:val="-4"/>
        </w:rPr>
        <w:t xml:space="preserve"> </w:t>
      </w:r>
      <w:r>
        <w:t>to</w:t>
      </w:r>
      <w:r w:rsidRPr="00510B12">
        <w:rPr>
          <w:spacing w:val="-2"/>
        </w:rPr>
        <w:t xml:space="preserve"> </w:t>
      </w:r>
      <w:r>
        <w:t>the</w:t>
      </w:r>
      <w:r w:rsidRPr="00510B12">
        <w:rPr>
          <w:spacing w:val="-2"/>
        </w:rPr>
        <w:t xml:space="preserve"> </w:t>
      </w:r>
      <w:r>
        <w:t>formal</w:t>
      </w:r>
      <w:r w:rsidRPr="00510B12">
        <w:rPr>
          <w:spacing w:val="-3"/>
        </w:rPr>
        <w:t xml:space="preserve"> </w:t>
      </w:r>
      <w:r>
        <w:t>approval</w:t>
      </w:r>
      <w:r w:rsidRPr="00510B12">
        <w:rPr>
          <w:spacing w:val="-4"/>
        </w:rPr>
        <w:t xml:space="preserve"> </w:t>
      </w:r>
      <w:r>
        <w:t>of</w:t>
      </w:r>
      <w:r w:rsidRPr="00510B12">
        <w:rPr>
          <w:spacing w:val="-5"/>
        </w:rPr>
        <w:t xml:space="preserve"> </w:t>
      </w:r>
      <w:r>
        <w:t>the</w:t>
      </w:r>
      <w:r w:rsidRPr="00510B12">
        <w:rPr>
          <w:spacing w:val="-2"/>
        </w:rPr>
        <w:t xml:space="preserve"> </w:t>
      </w:r>
      <w:r>
        <w:t>Town</w:t>
      </w:r>
      <w:r w:rsidRPr="00510B12">
        <w:rPr>
          <w:spacing w:val="-3"/>
        </w:rPr>
        <w:t xml:space="preserve"> </w:t>
      </w:r>
      <w:r>
        <w:t>or</w:t>
      </w:r>
      <w:r w:rsidRPr="00510B12">
        <w:rPr>
          <w:spacing w:val="-2"/>
        </w:rPr>
        <w:t xml:space="preserve"> </w:t>
      </w:r>
      <w:r>
        <w:t>events where approval is required under the provisions of Trading in Public Places Policy are</w:t>
      </w:r>
      <w:r w:rsidRPr="00510B12">
        <w:rPr>
          <w:spacing w:val="-20"/>
        </w:rPr>
        <w:t xml:space="preserve"> </w:t>
      </w:r>
      <w:r>
        <w:t>to:</w:t>
      </w:r>
    </w:p>
    <w:p w14:paraId="3408803F" w14:textId="1FE5EF55" w:rsidR="00510B12" w:rsidRDefault="00510B12" w:rsidP="00510B12">
      <w:pPr>
        <w:widowControl w:val="0"/>
        <w:tabs>
          <w:tab w:val="left" w:pos="1570"/>
        </w:tabs>
        <w:autoSpaceDE w:val="0"/>
        <w:autoSpaceDN w:val="0"/>
        <w:spacing w:before="64" w:after="0" w:line="240" w:lineRule="auto"/>
        <w:ind w:left="1093"/>
        <w:jc w:val="both"/>
      </w:pPr>
      <w:r>
        <w:t>a.</w:t>
      </w:r>
      <w:r>
        <w:tab/>
        <w:t>exclude:</w:t>
      </w:r>
    </w:p>
    <w:p w14:paraId="452CB885" w14:textId="77777777" w:rsidR="00510B12" w:rsidRDefault="00510B12" w:rsidP="002A3889">
      <w:pPr>
        <w:pStyle w:val="ListParagraph"/>
        <w:widowControl w:val="0"/>
        <w:numPr>
          <w:ilvl w:val="3"/>
          <w:numId w:val="455"/>
        </w:numPr>
        <w:tabs>
          <w:tab w:val="left" w:pos="1944"/>
        </w:tabs>
        <w:autoSpaceDE w:val="0"/>
        <w:autoSpaceDN w:val="0"/>
        <w:spacing w:before="101" w:after="0" w:line="240" w:lineRule="auto"/>
        <w:ind w:hanging="361"/>
        <w:contextualSpacing w:val="0"/>
        <w:jc w:val="both"/>
      </w:pPr>
      <w:r>
        <w:t xml:space="preserve">provision, distribution and use of balloons, confetti </w:t>
      </w:r>
      <w:r w:rsidRPr="00826AC6">
        <w:t>and glitter as</w:t>
      </w:r>
      <w:r>
        <w:t xml:space="preserve"> part of an</w:t>
      </w:r>
      <w:r>
        <w:rPr>
          <w:spacing w:val="-16"/>
        </w:rPr>
        <w:t xml:space="preserve"> </w:t>
      </w:r>
      <w:r>
        <w:t>event</w:t>
      </w:r>
    </w:p>
    <w:p w14:paraId="5FAF92AB" w14:textId="77777777" w:rsidR="00510B12" w:rsidRDefault="00510B12" w:rsidP="002A3889">
      <w:pPr>
        <w:pStyle w:val="ListParagraph"/>
        <w:widowControl w:val="0"/>
        <w:numPr>
          <w:ilvl w:val="3"/>
          <w:numId w:val="455"/>
        </w:numPr>
        <w:tabs>
          <w:tab w:val="left" w:pos="1944"/>
        </w:tabs>
        <w:autoSpaceDE w:val="0"/>
        <w:autoSpaceDN w:val="0"/>
        <w:spacing w:before="99" w:after="0" w:line="278" w:lineRule="auto"/>
        <w:ind w:right="-22"/>
        <w:contextualSpacing w:val="0"/>
        <w:jc w:val="both"/>
      </w:pPr>
      <w:r>
        <w:t>use of polystyrene and Styrofoam in the sale in the sale or distribution of food and</w:t>
      </w:r>
      <w:r>
        <w:rPr>
          <w:spacing w:val="-1"/>
        </w:rPr>
        <w:t xml:space="preserve"> </w:t>
      </w:r>
      <w:r>
        <w:t>beverages.</w:t>
      </w:r>
    </w:p>
    <w:p w14:paraId="6D9A877B" w14:textId="77777777" w:rsidR="00510B12" w:rsidRDefault="00510B12" w:rsidP="002A3889">
      <w:pPr>
        <w:pStyle w:val="ListParagraph"/>
        <w:widowControl w:val="0"/>
        <w:numPr>
          <w:ilvl w:val="3"/>
          <w:numId w:val="455"/>
        </w:numPr>
        <w:tabs>
          <w:tab w:val="left" w:pos="1944"/>
        </w:tabs>
        <w:autoSpaceDE w:val="0"/>
        <w:autoSpaceDN w:val="0"/>
        <w:spacing w:before="57" w:after="0"/>
        <w:ind w:right="-22"/>
        <w:contextualSpacing w:val="0"/>
        <w:jc w:val="both"/>
      </w:pPr>
      <w:r>
        <w:t>provision,</w:t>
      </w:r>
      <w:r>
        <w:rPr>
          <w:spacing w:val="-5"/>
        </w:rPr>
        <w:t xml:space="preserve"> </w:t>
      </w:r>
      <w:r>
        <w:t>sale</w:t>
      </w:r>
      <w:r>
        <w:rPr>
          <w:spacing w:val="-8"/>
        </w:rPr>
        <w:t xml:space="preserve"> </w:t>
      </w:r>
      <w:r>
        <w:t>or</w:t>
      </w:r>
      <w:r>
        <w:rPr>
          <w:spacing w:val="-6"/>
        </w:rPr>
        <w:t xml:space="preserve"> </w:t>
      </w:r>
      <w:r>
        <w:t>distribution</w:t>
      </w:r>
      <w:r>
        <w:rPr>
          <w:spacing w:val="-6"/>
        </w:rPr>
        <w:t xml:space="preserve"> </w:t>
      </w:r>
      <w:r>
        <w:t>of</w:t>
      </w:r>
      <w:r>
        <w:rPr>
          <w:spacing w:val="-6"/>
        </w:rPr>
        <w:t xml:space="preserve"> </w:t>
      </w:r>
      <w:r>
        <w:t>plastic</w:t>
      </w:r>
      <w:r>
        <w:rPr>
          <w:spacing w:val="-5"/>
        </w:rPr>
        <w:t xml:space="preserve"> </w:t>
      </w:r>
      <w:r>
        <w:t>straws</w:t>
      </w:r>
      <w:r>
        <w:rPr>
          <w:spacing w:val="-5"/>
        </w:rPr>
        <w:t xml:space="preserve"> </w:t>
      </w:r>
      <w:r>
        <w:t>at</w:t>
      </w:r>
      <w:r>
        <w:rPr>
          <w:spacing w:val="-8"/>
        </w:rPr>
        <w:t xml:space="preserve"> </w:t>
      </w:r>
      <w:r>
        <w:t>the</w:t>
      </w:r>
      <w:r>
        <w:rPr>
          <w:spacing w:val="-6"/>
        </w:rPr>
        <w:t xml:space="preserve"> </w:t>
      </w:r>
      <w:r>
        <w:t>event.</w:t>
      </w:r>
      <w:r>
        <w:rPr>
          <w:spacing w:val="-6"/>
        </w:rPr>
        <w:t xml:space="preserve"> </w:t>
      </w:r>
      <w:r>
        <w:t>This</w:t>
      </w:r>
      <w:r>
        <w:rPr>
          <w:spacing w:val="-6"/>
        </w:rPr>
        <w:t xml:space="preserve"> </w:t>
      </w:r>
      <w:r>
        <w:t>does</w:t>
      </w:r>
      <w:r>
        <w:rPr>
          <w:spacing w:val="-5"/>
        </w:rPr>
        <w:t xml:space="preserve"> </w:t>
      </w:r>
      <w:r>
        <w:t>not</w:t>
      </w:r>
      <w:r>
        <w:rPr>
          <w:spacing w:val="-5"/>
        </w:rPr>
        <w:t xml:space="preserve"> </w:t>
      </w:r>
      <w:r>
        <w:t>include paper or cardboard</w:t>
      </w:r>
      <w:r>
        <w:rPr>
          <w:spacing w:val="-5"/>
        </w:rPr>
        <w:t xml:space="preserve"> </w:t>
      </w:r>
      <w:r>
        <w:t>straws.</w:t>
      </w:r>
    </w:p>
    <w:p w14:paraId="5C4C5FF6" w14:textId="77777777" w:rsidR="00510B12" w:rsidRDefault="00510B12" w:rsidP="002A3889">
      <w:pPr>
        <w:pStyle w:val="ListParagraph"/>
        <w:widowControl w:val="0"/>
        <w:numPr>
          <w:ilvl w:val="3"/>
          <w:numId w:val="455"/>
        </w:numPr>
        <w:tabs>
          <w:tab w:val="left" w:pos="1944"/>
        </w:tabs>
        <w:autoSpaceDE w:val="0"/>
        <w:autoSpaceDN w:val="0"/>
        <w:spacing w:before="59" w:after="0" w:line="240" w:lineRule="auto"/>
        <w:ind w:right="-22" w:hanging="361"/>
        <w:contextualSpacing w:val="0"/>
        <w:jc w:val="both"/>
      </w:pPr>
      <w:r>
        <w:t xml:space="preserve">provision, sale or distribution </w:t>
      </w:r>
      <w:r w:rsidRPr="00826AC6">
        <w:t>of single use plastic</w:t>
      </w:r>
      <w:r>
        <w:t xml:space="preserve"> water</w:t>
      </w:r>
      <w:r>
        <w:rPr>
          <w:spacing w:val="-10"/>
        </w:rPr>
        <w:t xml:space="preserve"> </w:t>
      </w:r>
      <w:r>
        <w:t>bottles.</w:t>
      </w:r>
    </w:p>
    <w:p w14:paraId="790A37F5" w14:textId="7B5ED6FD" w:rsidR="00510B12" w:rsidRDefault="00510B12" w:rsidP="008E6824">
      <w:pPr>
        <w:widowControl w:val="0"/>
        <w:tabs>
          <w:tab w:val="left" w:pos="1517"/>
        </w:tabs>
        <w:autoSpaceDE w:val="0"/>
        <w:autoSpaceDN w:val="0"/>
        <w:spacing w:before="101" w:after="0"/>
        <w:ind w:left="1560" w:right="-22" w:hanging="469"/>
        <w:jc w:val="both"/>
      </w:pPr>
      <w:r>
        <w:t>b.</w:t>
      </w:r>
      <w:r>
        <w:tab/>
      </w:r>
      <w:proofErr w:type="gramStart"/>
      <w:r>
        <w:t>minimise</w:t>
      </w:r>
      <w:proofErr w:type="gramEnd"/>
      <w:r>
        <w:t xml:space="preserve"> the use of printed promotional material and instead use social media platforms for the distribution and dissemination of information and promotional material.</w:t>
      </w:r>
    </w:p>
    <w:p w14:paraId="181198CF" w14:textId="12B236AD" w:rsidR="00510B12" w:rsidRDefault="00510B12" w:rsidP="008E6824">
      <w:pPr>
        <w:widowControl w:val="0"/>
        <w:tabs>
          <w:tab w:val="left" w:pos="1104"/>
        </w:tabs>
        <w:autoSpaceDE w:val="0"/>
        <w:autoSpaceDN w:val="0"/>
        <w:spacing w:before="120" w:after="0" w:line="240" w:lineRule="auto"/>
        <w:ind w:left="1134" w:right="-22" w:hanging="548"/>
        <w:jc w:val="both"/>
      </w:pPr>
      <w:r>
        <w:t>ii.</w:t>
      </w:r>
      <w:r>
        <w:tab/>
        <w:t>Events approved by the Town but produced by a third party are encouraged</w:t>
      </w:r>
      <w:r w:rsidRPr="00510B12">
        <w:rPr>
          <w:spacing w:val="-15"/>
        </w:rPr>
        <w:t xml:space="preserve"> </w:t>
      </w:r>
      <w:r>
        <w:t>to:</w:t>
      </w:r>
    </w:p>
    <w:p w14:paraId="761FF8C4" w14:textId="4B0891A3" w:rsidR="00510B12" w:rsidRDefault="00510B12" w:rsidP="008E6824">
      <w:pPr>
        <w:widowControl w:val="0"/>
        <w:tabs>
          <w:tab w:val="left" w:pos="1519"/>
        </w:tabs>
        <w:autoSpaceDE w:val="0"/>
        <w:autoSpaceDN w:val="0"/>
        <w:spacing w:before="101" w:after="0"/>
        <w:ind w:left="1560" w:right="-22" w:hanging="402"/>
        <w:jc w:val="both"/>
      </w:pPr>
      <w:r>
        <w:t>a.</w:t>
      </w:r>
      <w:r>
        <w:tab/>
      </w:r>
      <w:proofErr w:type="gramStart"/>
      <w:r>
        <w:t>exclude</w:t>
      </w:r>
      <w:proofErr w:type="gramEnd"/>
      <w:r w:rsidRPr="00510B12">
        <w:rPr>
          <w:spacing w:val="-8"/>
        </w:rPr>
        <w:t xml:space="preserve"> </w:t>
      </w:r>
      <w:r>
        <w:t>provision,</w:t>
      </w:r>
      <w:r w:rsidRPr="00510B12">
        <w:rPr>
          <w:spacing w:val="-8"/>
        </w:rPr>
        <w:t xml:space="preserve"> </w:t>
      </w:r>
      <w:r>
        <w:t>sale</w:t>
      </w:r>
      <w:r w:rsidRPr="00510B12">
        <w:rPr>
          <w:spacing w:val="-10"/>
        </w:rPr>
        <w:t xml:space="preserve"> </w:t>
      </w:r>
      <w:r>
        <w:t>or</w:t>
      </w:r>
      <w:r w:rsidRPr="00510B12">
        <w:rPr>
          <w:spacing w:val="-9"/>
        </w:rPr>
        <w:t xml:space="preserve"> </w:t>
      </w:r>
      <w:r>
        <w:t>distribution</w:t>
      </w:r>
      <w:r w:rsidRPr="00510B12">
        <w:rPr>
          <w:spacing w:val="-9"/>
        </w:rPr>
        <w:t xml:space="preserve"> </w:t>
      </w:r>
      <w:r>
        <w:t>of</w:t>
      </w:r>
      <w:r w:rsidRPr="00510B12">
        <w:rPr>
          <w:spacing w:val="-11"/>
        </w:rPr>
        <w:t xml:space="preserve"> </w:t>
      </w:r>
      <w:r>
        <w:t>single-use</w:t>
      </w:r>
      <w:r w:rsidRPr="00510B12">
        <w:rPr>
          <w:spacing w:val="-9"/>
        </w:rPr>
        <w:t xml:space="preserve"> </w:t>
      </w:r>
      <w:r>
        <w:t>plastics</w:t>
      </w:r>
      <w:r w:rsidRPr="00510B12">
        <w:rPr>
          <w:spacing w:val="-8"/>
        </w:rPr>
        <w:t xml:space="preserve"> </w:t>
      </w:r>
      <w:r>
        <w:t>at</w:t>
      </w:r>
      <w:r w:rsidRPr="00510B12">
        <w:rPr>
          <w:spacing w:val="-8"/>
        </w:rPr>
        <w:t xml:space="preserve"> </w:t>
      </w:r>
      <w:r>
        <w:t>the</w:t>
      </w:r>
      <w:r w:rsidRPr="00510B12">
        <w:rPr>
          <w:spacing w:val="-11"/>
        </w:rPr>
        <w:t xml:space="preserve"> </w:t>
      </w:r>
      <w:r>
        <w:t>event.</w:t>
      </w:r>
      <w:r w:rsidRPr="00510B12">
        <w:rPr>
          <w:spacing w:val="-8"/>
        </w:rPr>
        <w:t xml:space="preserve"> </w:t>
      </w:r>
      <w:r>
        <w:t>This</w:t>
      </w:r>
      <w:r w:rsidRPr="00510B12">
        <w:rPr>
          <w:spacing w:val="-9"/>
        </w:rPr>
        <w:t xml:space="preserve"> </w:t>
      </w:r>
      <w:proofErr w:type="gramStart"/>
      <w:r>
        <w:t>includes:</w:t>
      </w:r>
      <w:proofErr w:type="gramEnd"/>
      <w:r>
        <w:t xml:space="preserve"> cutlery, cups, coffee cups, bottles, plates, containers, bags, cling wrap, straws and bottled water. This does not include compostable packaging made from organic material e.g. paper, cardboard, sugar cane and</w:t>
      </w:r>
      <w:r w:rsidRPr="00510B12">
        <w:rPr>
          <w:spacing w:val="-6"/>
        </w:rPr>
        <w:t xml:space="preserve"> </w:t>
      </w:r>
      <w:r>
        <w:t>cornstarch.</w:t>
      </w:r>
    </w:p>
    <w:p w14:paraId="4397608D" w14:textId="76EE5222" w:rsidR="00510B12" w:rsidRDefault="00510B12" w:rsidP="008E6824">
      <w:pPr>
        <w:widowControl w:val="0"/>
        <w:tabs>
          <w:tab w:val="left" w:pos="1519"/>
        </w:tabs>
        <w:autoSpaceDE w:val="0"/>
        <w:autoSpaceDN w:val="0"/>
        <w:spacing w:before="58" w:after="0"/>
        <w:ind w:left="1560" w:right="-22" w:hanging="402"/>
        <w:jc w:val="both"/>
      </w:pPr>
      <w:r>
        <w:t>b.</w:t>
      </w:r>
      <w:r>
        <w:tab/>
      </w:r>
      <w:proofErr w:type="gramStart"/>
      <w:r>
        <w:t>restrict</w:t>
      </w:r>
      <w:proofErr w:type="gramEnd"/>
      <w:r w:rsidRPr="00510B12">
        <w:rPr>
          <w:spacing w:val="-5"/>
        </w:rPr>
        <w:t xml:space="preserve"> </w:t>
      </w:r>
      <w:r>
        <w:t>promotional</w:t>
      </w:r>
      <w:r w:rsidRPr="00510B12">
        <w:rPr>
          <w:spacing w:val="-9"/>
        </w:rPr>
        <w:t xml:space="preserve"> </w:t>
      </w:r>
      <w:r>
        <w:t>material,</w:t>
      </w:r>
      <w:r w:rsidRPr="00510B12">
        <w:rPr>
          <w:spacing w:val="-6"/>
        </w:rPr>
        <w:t xml:space="preserve"> </w:t>
      </w:r>
      <w:r>
        <w:t>decorations</w:t>
      </w:r>
      <w:r w:rsidRPr="00510B12">
        <w:rPr>
          <w:spacing w:val="-6"/>
        </w:rPr>
        <w:t xml:space="preserve"> </w:t>
      </w:r>
      <w:r>
        <w:t>and</w:t>
      </w:r>
      <w:r w:rsidRPr="00510B12">
        <w:rPr>
          <w:spacing w:val="-5"/>
        </w:rPr>
        <w:t xml:space="preserve"> </w:t>
      </w:r>
      <w:r>
        <w:t>supplies</w:t>
      </w:r>
      <w:r w:rsidRPr="00510B12">
        <w:rPr>
          <w:spacing w:val="-6"/>
        </w:rPr>
        <w:t xml:space="preserve"> </w:t>
      </w:r>
      <w:r>
        <w:t>to</w:t>
      </w:r>
      <w:r w:rsidRPr="00510B12">
        <w:rPr>
          <w:spacing w:val="-4"/>
        </w:rPr>
        <w:t xml:space="preserve"> </w:t>
      </w:r>
      <w:r>
        <w:t>those</w:t>
      </w:r>
      <w:r w:rsidRPr="00510B12">
        <w:rPr>
          <w:spacing w:val="-8"/>
        </w:rPr>
        <w:t xml:space="preserve"> </w:t>
      </w:r>
      <w:r>
        <w:t>which</w:t>
      </w:r>
      <w:r w:rsidRPr="00510B12">
        <w:rPr>
          <w:spacing w:val="-6"/>
        </w:rPr>
        <w:t xml:space="preserve"> </w:t>
      </w:r>
      <w:r>
        <w:t>can</w:t>
      </w:r>
      <w:r w:rsidRPr="00510B12">
        <w:rPr>
          <w:spacing w:val="-6"/>
        </w:rPr>
        <w:t xml:space="preserve"> </w:t>
      </w:r>
      <w:r>
        <w:t>be</w:t>
      </w:r>
      <w:r w:rsidRPr="00510B12">
        <w:rPr>
          <w:spacing w:val="-5"/>
        </w:rPr>
        <w:t xml:space="preserve"> </w:t>
      </w:r>
      <w:r>
        <w:t>reused, recycled, contain recycled content and/or be certified carbon</w:t>
      </w:r>
      <w:r w:rsidRPr="00510B12">
        <w:rPr>
          <w:spacing w:val="-15"/>
        </w:rPr>
        <w:t xml:space="preserve"> </w:t>
      </w:r>
      <w:r>
        <w:t>offset.</w:t>
      </w:r>
    </w:p>
    <w:p w14:paraId="215FEA0D" w14:textId="570D9A30" w:rsidR="00510B12" w:rsidRDefault="00510B12" w:rsidP="008E6824">
      <w:pPr>
        <w:widowControl w:val="0"/>
        <w:tabs>
          <w:tab w:val="left" w:pos="1104"/>
        </w:tabs>
        <w:autoSpaceDE w:val="0"/>
        <w:autoSpaceDN w:val="0"/>
        <w:spacing w:before="62" w:after="0" w:line="240" w:lineRule="auto"/>
        <w:ind w:left="1134" w:right="-22" w:hanging="598"/>
        <w:jc w:val="both"/>
      </w:pPr>
      <w:r>
        <w:t>iii.</w:t>
      </w:r>
      <w:r>
        <w:tab/>
        <w:t xml:space="preserve">In addition, all </w:t>
      </w:r>
      <w:proofErr w:type="gramStart"/>
      <w:r>
        <w:t>large scale</w:t>
      </w:r>
      <w:proofErr w:type="gramEnd"/>
      <w:r>
        <w:t xml:space="preserve"> events where five (5) or more businesses are present are</w:t>
      </w:r>
      <w:r w:rsidRPr="00510B12">
        <w:rPr>
          <w:spacing w:val="-16"/>
        </w:rPr>
        <w:t xml:space="preserve"> </w:t>
      </w:r>
      <w:r>
        <w:t>to:</w:t>
      </w:r>
    </w:p>
    <w:p w14:paraId="77A2AC9E" w14:textId="14CCE5B4" w:rsidR="00510B12" w:rsidRDefault="00510B12" w:rsidP="008E6824">
      <w:pPr>
        <w:widowControl w:val="0"/>
        <w:tabs>
          <w:tab w:val="left" w:pos="1519"/>
        </w:tabs>
        <w:autoSpaceDE w:val="0"/>
        <w:autoSpaceDN w:val="0"/>
        <w:spacing w:before="98" w:after="0" w:line="240" w:lineRule="auto"/>
        <w:ind w:left="1560" w:right="-22" w:hanging="467"/>
        <w:jc w:val="both"/>
      </w:pPr>
      <w:r>
        <w:t>a.</w:t>
      </w:r>
      <w:r>
        <w:tab/>
      </w:r>
      <w:proofErr w:type="gramStart"/>
      <w:r>
        <w:t>provide</w:t>
      </w:r>
      <w:proofErr w:type="gramEnd"/>
      <w:r>
        <w:t xml:space="preserve"> clearly labelled FOGO, Recycling and General Waste</w:t>
      </w:r>
      <w:r w:rsidRPr="00510B12">
        <w:rPr>
          <w:spacing w:val="-14"/>
        </w:rPr>
        <w:t xml:space="preserve"> </w:t>
      </w:r>
      <w:r>
        <w:t>bins.</w:t>
      </w:r>
    </w:p>
    <w:p w14:paraId="36C51692" w14:textId="3171859D" w:rsidR="00510B12" w:rsidRDefault="00510B12" w:rsidP="00510B12">
      <w:pPr>
        <w:widowControl w:val="0"/>
        <w:tabs>
          <w:tab w:val="left" w:pos="1519"/>
        </w:tabs>
        <w:autoSpaceDE w:val="0"/>
        <w:autoSpaceDN w:val="0"/>
        <w:spacing w:before="102" w:after="0" w:line="240" w:lineRule="auto"/>
        <w:ind w:left="1560" w:hanging="467"/>
        <w:jc w:val="both"/>
      </w:pPr>
      <w:r>
        <w:t>b.</w:t>
      </w:r>
      <w:r>
        <w:tab/>
      </w:r>
      <w:proofErr w:type="gramStart"/>
      <w:r>
        <w:t>incorporate</w:t>
      </w:r>
      <w:proofErr w:type="gramEnd"/>
      <w:r>
        <w:t>:</w:t>
      </w:r>
    </w:p>
    <w:p w14:paraId="41FFAB8B" w14:textId="77777777" w:rsidR="00510B12" w:rsidRDefault="00510B12" w:rsidP="002A3889">
      <w:pPr>
        <w:pStyle w:val="ListParagraph"/>
        <w:widowControl w:val="0"/>
        <w:numPr>
          <w:ilvl w:val="3"/>
          <w:numId w:val="455"/>
        </w:numPr>
        <w:tabs>
          <w:tab w:val="left" w:pos="1944"/>
        </w:tabs>
        <w:autoSpaceDE w:val="0"/>
        <w:autoSpaceDN w:val="0"/>
        <w:spacing w:before="101" w:after="0" w:line="240" w:lineRule="auto"/>
        <w:ind w:hanging="361"/>
        <w:contextualSpacing w:val="0"/>
        <w:jc w:val="both"/>
      </w:pPr>
      <w:r>
        <w:t>promotion of walking, cycling and public transport</w:t>
      </w:r>
      <w:r>
        <w:rPr>
          <w:spacing w:val="-6"/>
        </w:rPr>
        <w:t xml:space="preserve"> </w:t>
      </w:r>
      <w:r>
        <w:t>options.</w:t>
      </w:r>
    </w:p>
    <w:p w14:paraId="0864B86F" w14:textId="77777777" w:rsidR="00510B12" w:rsidRDefault="00510B12" w:rsidP="002A3889">
      <w:pPr>
        <w:pStyle w:val="ListParagraph"/>
        <w:widowControl w:val="0"/>
        <w:numPr>
          <w:ilvl w:val="3"/>
          <w:numId w:val="455"/>
        </w:numPr>
        <w:tabs>
          <w:tab w:val="left" w:pos="1944"/>
        </w:tabs>
        <w:autoSpaceDE w:val="0"/>
        <w:autoSpaceDN w:val="0"/>
        <w:spacing w:before="98" w:after="0" w:line="240" w:lineRule="auto"/>
        <w:ind w:hanging="361"/>
        <w:contextualSpacing w:val="0"/>
        <w:jc w:val="both"/>
      </w:pPr>
      <w:r>
        <w:t>provision of adequate bike</w:t>
      </w:r>
      <w:r>
        <w:rPr>
          <w:spacing w:val="-6"/>
        </w:rPr>
        <w:t xml:space="preserve"> </w:t>
      </w:r>
      <w:r>
        <w:t>parking.</w:t>
      </w:r>
    </w:p>
    <w:p w14:paraId="1B043200" w14:textId="77777777" w:rsidR="00510B12" w:rsidRPr="00826AC6" w:rsidRDefault="00510B12" w:rsidP="002A3889">
      <w:pPr>
        <w:pStyle w:val="ListParagraph"/>
        <w:widowControl w:val="0"/>
        <w:numPr>
          <w:ilvl w:val="3"/>
          <w:numId w:val="455"/>
        </w:numPr>
        <w:tabs>
          <w:tab w:val="left" w:pos="1944"/>
        </w:tabs>
        <w:autoSpaceDE w:val="0"/>
        <w:autoSpaceDN w:val="0"/>
        <w:spacing w:before="98" w:after="0" w:line="240" w:lineRule="auto"/>
        <w:ind w:hanging="361"/>
        <w:contextualSpacing w:val="0"/>
        <w:jc w:val="both"/>
      </w:pPr>
      <w:r w:rsidRPr="00826AC6">
        <w:t>Preference of local suppliers and services.</w:t>
      </w:r>
    </w:p>
    <w:p w14:paraId="0AFEDBE8" w14:textId="77777777" w:rsidR="00510B12" w:rsidRPr="00826AC6" w:rsidRDefault="00510B12" w:rsidP="002A3889">
      <w:pPr>
        <w:pStyle w:val="ListParagraph"/>
        <w:widowControl w:val="0"/>
        <w:numPr>
          <w:ilvl w:val="3"/>
          <w:numId w:val="455"/>
        </w:numPr>
        <w:tabs>
          <w:tab w:val="left" w:pos="1944"/>
        </w:tabs>
        <w:autoSpaceDE w:val="0"/>
        <w:autoSpaceDN w:val="0"/>
        <w:spacing w:before="98" w:after="0" w:line="240" w:lineRule="auto"/>
        <w:ind w:hanging="361"/>
        <w:contextualSpacing w:val="0"/>
        <w:jc w:val="both"/>
      </w:pPr>
      <w:r w:rsidRPr="00826AC6">
        <w:t xml:space="preserve">Provision of post event clean-up.   </w:t>
      </w:r>
    </w:p>
    <w:p w14:paraId="6E4705B5" w14:textId="7FDEA360" w:rsidR="00510B12" w:rsidRPr="00826AC6" w:rsidRDefault="00510B12" w:rsidP="008E6824">
      <w:pPr>
        <w:widowControl w:val="0"/>
        <w:tabs>
          <w:tab w:val="left" w:pos="1519"/>
        </w:tabs>
        <w:autoSpaceDE w:val="0"/>
        <w:autoSpaceDN w:val="0"/>
        <w:spacing w:before="101" w:after="0"/>
        <w:ind w:left="1560" w:right="-22" w:hanging="467"/>
        <w:jc w:val="both"/>
      </w:pPr>
      <w:r>
        <w:lastRenderedPageBreak/>
        <w:t>c.</w:t>
      </w:r>
      <w:r>
        <w:tab/>
        <w:t>where</w:t>
      </w:r>
      <w:r w:rsidRPr="00510B12">
        <w:rPr>
          <w:spacing w:val="-10"/>
        </w:rPr>
        <w:t xml:space="preserve"> </w:t>
      </w:r>
      <w:r>
        <w:t>practical</w:t>
      </w:r>
      <w:r w:rsidRPr="00510B12">
        <w:rPr>
          <w:spacing w:val="-11"/>
        </w:rPr>
        <w:t xml:space="preserve"> </w:t>
      </w:r>
      <w:r>
        <w:t>and</w:t>
      </w:r>
      <w:r w:rsidRPr="00510B12">
        <w:rPr>
          <w:spacing w:val="-11"/>
        </w:rPr>
        <w:t xml:space="preserve"> </w:t>
      </w:r>
      <w:r>
        <w:t>available,</w:t>
      </w:r>
      <w:r w:rsidRPr="00510B12">
        <w:rPr>
          <w:spacing w:val="-10"/>
        </w:rPr>
        <w:t xml:space="preserve"> </w:t>
      </w:r>
      <w:r>
        <w:t>provide</w:t>
      </w:r>
      <w:r w:rsidRPr="00510B12">
        <w:rPr>
          <w:spacing w:val="-10"/>
        </w:rPr>
        <w:t xml:space="preserve"> </w:t>
      </w:r>
      <w:r>
        <w:t>an</w:t>
      </w:r>
      <w:r w:rsidRPr="00510B12">
        <w:rPr>
          <w:spacing w:val="-11"/>
        </w:rPr>
        <w:t xml:space="preserve"> </w:t>
      </w:r>
      <w:r>
        <w:t>easily</w:t>
      </w:r>
      <w:r w:rsidRPr="00510B12">
        <w:rPr>
          <w:spacing w:val="-10"/>
        </w:rPr>
        <w:t xml:space="preserve"> </w:t>
      </w:r>
      <w:r>
        <w:t>accessible</w:t>
      </w:r>
      <w:r w:rsidRPr="00510B12">
        <w:rPr>
          <w:spacing w:val="-10"/>
        </w:rPr>
        <w:t xml:space="preserve"> </w:t>
      </w:r>
      <w:r>
        <w:t>alternative</w:t>
      </w:r>
      <w:r w:rsidRPr="00510B12">
        <w:rPr>
          <w:spacing w:val="-10"/>
        </w:rPr>
        <w:t xml:space="preserve"> </w:t>
      </w:r>
      <w:r>
        <w:t>to</w:t>
      </w:r>
      <w:r w:rsidRPr="00510B12">
        <w:rPr>
          <w:spacing w:val="-9"/>
        </w:rPr>
        <w:t xml:space="preserve"> </w:t>
      </w:r>
      <w:r>
        <w:t>bottled</w:t>
      </w:r>
      <w:r w:rsidRPr="00510B12">
        <w:rPr>
          <w:spacing w:val="-11"/>
        </w:rPr>
        <w:t xml:space="preserve"> </w:t>
      </w:r>
      <w:r>
        <w:t>water which enables patrons to refill empty drink bottles with drinking water free of</w:t>
      </w:r>
      <w:r w:rsidRPr="00510B12">
        <w:rPr>
          <w:spacing w:val="-25"/>
        </w:rPr>
        <w:t xml:space="preserve"> </w:t>
      </w:r>
      <w:r>
        <w:t xml:space="preserve">cost and/or </w:t>
      </w:r>
      <w:r w:rsidRPr="00826AC6">
        <w:t>the incorporation of Containers for Change Bins when alternatives are unavailable.</w:t>
      </w:r>
    </w:p>
    <w:p w14:paraId="35B2D3F6" w14:textId="77777777" w:rsidR="00510B12" w:rsidRPr="00510B12" w:rsidRDefault="00510B12" w:rsidP="008E6824">
      <w:pPr>
        <w:pStyle w:val="BodyText"/>
        <w:spacing w:before="60" w:line="276" w:lineRule="auto"/>
        <w:ind w:left="1094" w:right="-22"/>
        <w:jc w:val="both"/>
        <w:rPr>
          <w:rFonts w:asciiTheme="minorHAnsi" w:hAnsiTheme="minorHAnsi" w:cstheme="minorHAnsi"/>
        </w:rPr>
      </w:pPr>
      <w:r w:rsidRPr="00510B12">
        <w:rPr>
          <w:rFonts w:asciiTheme="minorHAnsi" w:hAnsiTheme="minorHAnsi" w:cstheme="minorHAnsi"/>
        </w:rPr>
        <w:t>Small scale events where there are less than five trading businesses are encouraged to adhere to these requirements also.</w:t>
      </w:r>
    </w:p>
    <w:p w14:paraId="287A4ABA" w14:textId="408FA733" w:rsidR="00510B12" w:rsidRDefault="009C6164" w:rsidP="008E6824">
      <w:pPr>
        <w:widowControl w:val="0"/>
        <w:tabs>
          <w:tab w:val="left" w:pos="1104"/>
        </w:tabs>
        <w:autoSpaceDE w:val="0"/>
        <w:autoSpaceDN w:val="0"/>
        <w:spacing w:before="62" w:after="0" w:line="240" w:lineRule="auto"/>
        <w:ind w:left="1134" w:right="-22" w:hanging="598"/>
        <w:jc w:val="both"/>
      </w:pPr>
      <w:r>
        <w:t>iv.</w:t>
      </w:r>
      <w:r>
        <w:tab/>
      </w:r>
      <w:r w:rsidR="00510B12">
        <w:t>Variations</w:t>
      </w:r>
    </w:p>
    <w:p w14:paraId="76918A8C" w14:textId="77777777" w:rsidR="00510B12" w:rsidRDefault="00510B12" w:rsidP="008E6824">
      <w:pPr>
        <w:tabs>
          <w:tab w:val="left" w:pos="1517"/>
        </w:tabs>
        <w:spacing w:line="273" w:lineRule="auto"/>
        <w:ind w:left="1134" w:right="-22"/>
      </w:pPr>
      <w:r>
        <w:t>Variations to this policy may be sought for valid health and safety reasons or where there is no other practical alternative</w:t>
      </w:r>
      <w:r>
        <w:rPr>
          <w:spacing w:val="-7"/>
        </w:rPr>
        <w:t xml:space="preserve"> </w:t>
      </w:r>
      <w:r>
        <w:t>available.</w:t>
      </w:r>
    </w:p>
    <w:p w14:paraId="025805FF" w14:textId="77777777" w:rsidR="00510B12" w:rsidRPr="009C6164" w:rsidRDefault="00510B12" w:rsidP="008E6824">
      <w:pPr>
        <w:pStyle w:val="Heading2"/>
        <w:spacing w:before="46"/>
        <w:ind w:right="-22"/>
        <w:rPr>
          <w:rFonts w:asciiTheme="minorHAnsi" w:hAnsiTheme="minorHAnsi" w:cstheme="minorHAnsi"/>
          <w:color w:val="auto"/>
          <w:sz w:val="22"/>
          <w:szCs w:val="22"/>
        </w:rPr>
      </w:pPr>
      <w:r w:rsidRPr="009C6164">
        <w:rPr>
          <w:rFonts w:asciiTheme="minorHAnsi" w:hAnsiTheme="minorHAnsi" w:cstheme="minorHAnsi"/>
          <w:color w:val="auto"/>
          <w:sz w:val="22"/>
          <w:szCs w:val="22"/>
        </w:rPr>
        <w:t>Implementation and Enforcement of this Policy</w:t>
      </w:r>
    </w:p>
    <w:p w14:paraId="05EAAEE7" w14:textId="77777777" w:rsidR="00510B12" w:rsidRPr="009C6164" w:rsidRDefault="00510B12" w:rsidP="008E6824">
      <w:pPr>
        <w:pStyle w:val="BodyText"/>
        <w:spacing w:line="276" w:lineRule="auto"/>
        <w:ind w:left="0" w:right="-22"/>
        <w:jc w:val="both"/>
        <w:rPr>
          <w:rFonts w:asciiTheme="minorHAnsi" w:hAnsiTheme="minorHAnsi" w:cstheme="minorHAnsi"/>
        </w:rPr>
      </w:pPr>
      <w:r w:rsidRPr="009C6164">
        <w:rPr>
          <w:rFonts w:asciiTheme="minorHAnsi" w:hAnsiTheme="minorHAnsi" w:cstheme="minorHAnsi"/>
        </w:rPr>
        <w:t xml:space="preserve">Implementation of the policy will be staged over a 2 year roll out period. Vendors and businesses will </w:t>
      </w:r>
      <w:proofErr w:type="spellStart"/>
      <w:r w:rsidRPr="009C6164">
        <w:rPr>
          <w:rFonts w:asciiTheme="minorHAnsi" w:hAnsiTheme="minorHAnsi" w:cstheme="minorHAnsi"/>
        </w:rPr>
        <w:t>e</w:t>
      </w:r>
      <w:proofErr w:type="spellEnd"/>
      <w:r w:rsidRPr="009C6164">
        <w:rPr>
          <w:rFonts w:asciiTheme="minorHAnsi" w:hAnsiTheme="minorHAnsi" w:cstheme="minorHAnsi"/>
        </w:rPr>
        <w:t xml:space="preserve"> provided the Town’s requirements for events prior to approval being granted and then will be requested to provide information to confirm compliance with those requirements.</w:t>
      </w:r>
    </w:p>
    <w:p w14:paraId="17448E4B" w14:textId="77777777" w:rsidR="00510B12" w:rsidRPr="009C6164" w:rsidRDefault="00510B12" w:rsidP="008E6824">
      <w:pPr>
        <w:pStyle w:val="BodyText"/>
        <w:spacing w:before="60" w:line="276" w:lineRule="auto"/>
        <w:ind w:left="0" w:right="-22"/>
        <w:jc w:val="both"/>
        <w:rPr>
          <w:rFonts w:asciiTheme="minorHAnsi" w:hAnsiTheme="minorHAnsi" w:cstheme="minorHAnsi"/>
        </w:rPr>
      </w:pPr>
      <w:r w:rsidRPr="009C6164">
        <w:rPr>
          <w:rFonts w:asciiTheme="minorHAnsi" w:hAnsiTheme="minorHAnsi" w:cstheme="minorHAnsi"/>
        </w:rPr>
        <w:t xml:space="preserve">Compliance with the policy will be pursued through proactive communication, education and support rather than through formal monitoring and enforcement. </w:t>
      </w:r>
      <w:proofErr w:type="gramStart"/>
      <w:r w:rsidRPr="009C6164">
        <w:rPr>
          <w:rFonts w:asciiTheme="minorHAnsi" w:hAnsiTheme="minorHAnsi" w:cstheme="minorHAnsi"/>
        </w:rPr>
        <w:t>However</w:t>
      </w:r>
      <w:proofErr w:type="gramEnd"/>
      <w:r w:rsidRPr="009C6164">
        <w:rPr>
          <w:rFonts w:asciiTheme="minorHAnsi" w:hAnsiTheme="minorHAnsi" w:cstheme="minorHAnsi"/>
          <w:spacing w:val="-36"/>
        </w:rPr>
        <w:t xml:space="preserve"> </w:t>
      </w:r>
      <w:r w:rsidRPr="009C6164">
        <w:rPr>
          <w:rFonts w:asciiTheme="minorHAnsi" w:hAnsiTheme="minorHAnsi" w:cstheme="minorHAnsi"/>
        </w:rPr>
        <w:t xml:space="preserve">where there is blatant disregard for this Policy, third party providers of events and other such trading businesses will not be </w:t>
      </w:r>
      <w:proofErr w:type="spellStart"/>
      <w:r w:rsidRPr="009C6164">
        <w:rPr>
          <w:rFonts w:asciiTheme="minorHAnsi" w:hAnsiTheme="minorHAnsi" w:cstheme="minorHAnsi"/>
        </w:rPr>
        <w:t>authorised</w:t>
      </w:r>
      <w:proofErr w:type="spellEnd"/>
      <w:r w:rsidRPr="009C6164">
        <w:rPr>
          <w:rFonts w:asciiTheme="minorHAnsi" w:hAnsiTheme="minorHAnsi" w:cstheme="minorHAnsi"/>
        </w:rPr>
        <w:t xml:space="preserve"> or approved to operate at future events as described under this policy or where approval is required under the Trading in Public Places Policy, until such time as it can be appropriately demonstrated there is compliance with this</w:t>
      </w:r>
      <w:r w:rsidRPr="009C6164">
        <w:rPr>
          <w:rFonts w:asciiTheme="minorHAnsi" w:hAnsiTheme="minorHAnsi" w:cstheme="minorHAnsi"/>
          <w:spacing w:val="-6"/>
        </w:rPr>
        <w:t xml:space="preserve"> </w:t>
      </w:r>
      <w:r w:rsidRPr="009C6164">
        <w:rPr>
          <w:rFonts w:asciiTheme="minorHAnsi" w:hAnsiTheme="minorHAnsi" w:cstheme="minorHAnsi"/>
        </w:rPr>
        <w:t>Policy.</w:t>
      </w:r>
    </w:p>
    <w:p w14:paraId="3C138A76" w14:textId="77777777" w:rsidR="00510B12" w:rsidRPr="009C6164" w:rsidRDefault="00510B12" w:rsidP="009C6164">
      <w:pPr>
        <w:pStyle w:val="BodyText"/>
        <w:ind w:left="0"/>
        <w:jc w:val="both"/>
        <w:rPr>
          <w:rFonts w:asciiTheme="minorHAnsi" w:hAnsiTheme="minorHAnsi" w:cstheme="minorHAnsi"/>
          <w:sz w:val="20"/>
        </w:rPr>
      </w:pPr>
    </w:p>
    <w:p w14:paraId="54B39670" w14:textId="77777777" w:rsidR="00510B12" w:rsidRDefault="00510B12" w:rsidP="00510B12">
      <w:pPr>
        <w:pStyle w:val="BodyText"/>
        <w:rPr>
          <w:sz w:val="20"/>
        </w:rPr>
      </w:pPr>
    </w:p>
    <w:tbl>
      <w:tblPr>
        <w:tblW w:w="9393"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3"/>
        <w:gridCol w:w="6150"/>
      </w:tblGrid>
      <w:tr w:rsidR="00510B12" w14:paraId="7A841641" w14:textId="77777777" w:rsidTr="008E6824">
        <w:trPr>
          <w:trHeight w:val="309"/>
        </w:trPr>
        <w:tc>
          <w:tcPr>
            <w:tcW w:w="3243" w:type="dxa"/>
          </w:tcPr>
          <w:p w14:paraId="5C92C27F" w14:textId="77777777" w:rsidR="00510B12" w:rsidRPr="009C6164" w:rsidRDefault="00510B12" w:rsidP="009C6164">
            <w:pPr>
              <w:pStyle w:val="TableParagraph"/>
              <w:ind w:left="164"/>
              <w:rPr>
                <w:rFonts w:asciiTheme="minorHAnsi" w:hAnsiTheme="minorHAnsi" w:cstheme="minorHAnsi"/>
                <w:b/>
              </w:rPr>
            </w:pPr>
            <w:r w:rsidRPr="009C6164">
              <w:rPr>
                <w:rFonts w:asciiTheme="minorHAnsi" w:hAnsiTheme="minorHAnsi" w:cstheme="minorHAnsi"/>
                <w:b/>
              </w:rPr>
              <w:t>Responsible Directorate:</w:t>
            </w:r>
          </w:p>
        </w:tc>
        <w:tc>
          <w:tcPr>
            <w:tcW w:w="6150" w:type="dxa"/>
          </w:tcPr>
          <w:p w14:paraId="053C6F3C" w14:textId="77777777" w:rsidR="00510B12" w:rsidRPr="009C6164" w:rsidRDefault="00510B12" w:rsidP="009C6164">
            <w:pPr>
              <w:pStyle w:val="TableParagraph"/>
              <w:ind w:left="184"/>
              <w:rPr>
                <w:rFonts w:asciiTheme="minorHAnsi" w:hAnsiTheme="minorHAnsi" w:cstheme="minorHAnsi"/>
              </w:rPr>
            </w:pPr>
            <w:r w:rsidRPr="009C6164">
              <w:rPr>
                <w:rFonts w:asciiTheme="minorHAnsi" w:hAnsiTheme="minorHAnsi" w:cstheme="minorHAnsi"/>
              </w:rPr>
              <w:t>Regulatory Services</w:t>
            </w:r>
          </w:p>
        </w:tc>
      </w:tr>
      <w:tr w:rsidR="00510B12" w14:paraId="435AF15F" w14:textId="77777777" w:rsidTr="008E6824">
        <w:trPr>
          <w:trHeight w:val="307"/>
        </w:trPr>
        <w:tc>
          <w:tcPr>
            <w:tcW w:w="3243" w:type="dxa"/>
          </w:tcPr>
          <w:p w14:paraId="3856A410" w14:textId="77777777" w:rsidR="00510B12" w:rsidRPr="009C6164" w:rsidRDefault="00510B12" w:rsidP="009C6164">
            <w:pPr>
              <w:pStyle w:val="TableParagraph"/>
              <w:ind w:left="164"/>
              <w:rPr>
                <w:rFonts w:asciiTheme="minorHAnsi" w:hAnsiTheme="minorHAnsi" w:cstheme="minorHAnsi"/>
                <w:b/>
              </w:rPr>
            </w:pPr>
            <w:r w:rsidRPr="009C6164">
              <w:rPr>
                <w:rFonts w:asciiTheme="minorHAnsi" w:hAnsiTheme="minorHAnsi" w:cstheme="minorHAnsi"/>
                <w:b/>
              </w:rPr>
              <w:t>Reviewing Officer:</w:t>
            </w:r>
          </w:p>
        </w:tc>
        <w:tc>
          <w:tcPr>
            <w:tcW w:w="6150" w:type="dxa"/>
          </w:tcPr>
          <w:p w14:paraId="6EE0DBBE" w14:textId="77777777" w:rsidR="00510B12" w:rsidRPr="009C6164" w:rsidRDefault="00510B12" w:rsidP="009C6164">
            <w:pPr>
              <w:pStyle w:val="TableParagraph"/>
              <w:ind w:left="184"/>
              <w:rPr>
                <w:rFonts w:asciiTheme="minorHAnsi" w:hAnsiTheme="minorHAnsi" w:cstheme="minorHAnsi"/>
              </w:rPr>
            </w:pPr>
            <w:r w:rsidRPr="009C6164">
              <w:rPr>
                <w:rFonts w:asciiTheme="minorHAnsi" w:hAnsiTheme="minorHAnsi" w:cstheme="minorHAnsi"/>
              </w:rPr>
              <w:t>Executive Manager Regulatory Services</w:t>
            </w:r>
          </w:p>
        </w:tc>
      </w:tr>
      <w:tr w:rsidR="00510B12" w14:paraId="33D0FAAC" w14:textId="77777777" w:rsidTr="008E6824">
        <w:trPr>
          <w:trHeight w:val="309"/>
        </w:trPr>
        <w:tc>
          <w:tcPr>
            <w:tcW w:w="3243" w:type="dxa"/>
          </w:tcPr>
          <w:p w14:paraId="12EAB257" w14:textId="77777777" w:rsidR="00510B12" w:rsidRPr="009C6164" w:rsidRDefault="00510B12" w:rsidP="009C6164">
            <w:pPr>
              <w:pStyle w:val="TableParagraph"/>
              <w:spacing w:before="1"/>
              <w:ind w:left="164"/>
              <w:rPr>
                <w:rFonts w:asciiTheme="minorHAnsi" w:hAnsiTheme="minorHAnsi" w:cstheme="minorHAnsi"/>
                <w:b/>
              </w:rPr>
            </w:pPr>
            <w:r w:rsidRPr="009C6164">
              <w:rPr>
                <w:rFonts w:asciiTheme="minorHAnsi" w:hAnsiTheme="minorHAnsi" w:cstheme="minorHAnsi"/>
                <w:b/>
              </w:rPr>
              <w:t>Decision making Authority:</w:t>
            </w:r>
          </w:p>
        </w:tc>
        <w:tc>
          <w:tcPr>
            <w:tcW w:w="6150" w:type="dxa"/>
          </w:tcPr>
          <w:p w14:paraId="50C86B80" w14:textId="77777777" w:rsidR="00510B12" w:rsidRPr="009C6164" w:rsidRDefault="00510B12" w:rsidP="009C6164">
            <w:pPr>
              <w:pStyle w:val="TableParagraph"/>
              <w:spacing w:before="1"/>
              <w:ind w:left="184"/>
              <w:rPr>
                <w:rFonts w:asciiTheme="minorHAnsi" w:hAnsiTheme="minorHAnsi" w:cstheme="minorHAnsi"/>
              </w:rPr>
            </w:pPr>
            <w:r w:rsidRPr="009C6164">
              <w:rPr>
                <w:rFonts w:asciiTheme="minorHAnsi" w:hAnsiTheme="minorHAnsi" w:cstheme="minorHAnsi"/>
              </w:rPr>
              <w:t>Council</w:t>
            </w:r>
          </w:p>
        </w:tc>
      </w:tr>
      <w:tr w:rsidR="00510B12" w14:paraId="219B8CB1" w14:textId="77777777" w:rsidTr="008E6824">
        <w:trPr>
          <w:trHeight w:val="309"/>
        </w:trPr>
        <w:tc>
          <w:tcPr>
            <w:tcW w:w="3243" w:type="dxa"/>
          </w:tcPr>
          <w:p w14:paraId="732D64E9" w14:textId="77777777" w:rsidR="00510B12" w:rsidRPr="009C6164" w:rsidRDefault="00510B12" w:rsidP="009C6164">
            <w:pPr>
              <w:pStyle w:val="TableParagraph"/>
              <w:ind w:left="164"/>
              <w:rPr>
                <w:rFonts w:asciiTheme="minorHAnsi" w:hAnsiTheme="minorHAnsi" w:cstheme="minorHAnsi"/>
                <w:b/>
              </w:rPr>
            </w:pPr>
            <w:r w:rsidRPr="009C6164">
              <w:rPr>
                <w:rFonts w:asciiTheme="minorHAnsi" w:hAnsiTheme="minorHAnsi" w:cstheme="minorHAnsi"/>
                <w:b/>
              </w:rPr>
              <w:t>Policy Adopted:</w:t>
            </w:r>
          </w:p>
        </w:tc>
        <w:tc>
          <w:tcPr>
            <w:tcW w:w="6150" w:type="dxa"/>
          </w:tcPr>
          <w:p w14:paraId="2F8522FA" w14:textId="77777777" w:rsidR="00510B12" w:rsidRPr="009C6164" w:rsidRDefault="00510B12" w:rsidP="009C6164">
            <w:pPr>
              <w:pStyle w:val="TableParagraph"/>
              <w:ind w:left="184"/>
              <w:rPr>
                <w:rFonts w:asciiTheme="minorHAnsi" w:hAnsiTheme="minorHAnsi" w:cstheme="minorHAnsi"/>
              </w:rPr>
            </w:pPr>
            <w:r w:rsidRPr="009C6164">
              <w:rPr>
                <w:rFonts w:asciiTheme="minorHAnsi" w:hAnsiTheme="minorHAnsi" w:cstheme="minorHAnsi"/>
              </w:rPr>
              <w:t>20/10/20</w:t>
            </w:r>
          </w:p>
        </w:tc>
      </w:tr>
      <w:tr w:rsidR="00510B12" w14:paraId="099947CC" w14:textId="77777777" w:rsidTr="008E6824">
        <w:trPr>
          <w:trHeight w:val="309"/>
        </w:trPr>
        <w:tc>
          <w:tcPr>
            <w:tcW w:w="3243" w:type="dxa"/>
          </w:tcPr>
          <w:p w14:paraId="67711ACB" w14:textId="77777777" w:rsidR="00510B12" w:rsidRPr="009C6164" w:rsidRDefault="00510B12" w:rsidP="009C6164">
            <w:pPr>
              <w:pStyle w:val="TableParagraph"/>
              <w:ind w:left="164"/>
              <w:rPr>
                <w:rFonts w:asciiTheme="minorHAnsi" w:hAnsiTheme="minorHAnsi" w:cstheme="minorHAnsi"/>
                <w:b/>
              </w:rPr>
            </w:pPr>
            <w:r w:rsidRPr="009C6164">
              <w:rPr>
                <w:rFonts w:asciiTheme="minorHAnsi" w:hAnsiTheme="minorHAnsi" w:cstheme="minorHAnsi"/>
                <w:b/>
              </w:rPr>
              <w:t>Policy Amended/Reviewed:</w:t>
            </w:r>
          </w:p>
        </w:tc>
        <w:tc>
          <w:tcPr>
            <w:tcW w:w="6150" w:type="dxa"/>
          </w:tcPr>
          <w:p w14:paraId="791DDC4C" w14:textId="77777777" w:rsidR="00510B12" w:rsidRPr="009C6164" w:rsidRDefault="00510B12" w:rsidP="00510B12">
            <w:pPr>
              <w:pStyle w:val="TableParagraph"/>
              <w:ind w:left="0"/>
              <w:rPr>
                <w:rFonts w:asciiTheme="minorHAnsi" w:hAnsiTheme="minorHAnsi" w:cstheme="minorHAnsi"/>
              </w:rPr>
            </w:pPr>
          </w:p>
        </w:tc>
      </w:tr>
    </w:tbl>
    <w:p w14:paraId="56B6A733" w14:textId="77777777" w:rsidR="00E16F52" w:rsidRPr="00C03313" w:rsidRDefault="00E16F52" w:rsidP="009C6164">
      <w:pPr>
        <w:jc w:val="both"/>
        <w:rPr>
          <w:rFonts w:cstheme="minorHAnsi"/>
          <w:lang w:val="en-US"/>
        </w:rPr>
      </w:pPr>
    </w:p>
    <w:sectPr w:rsidR="00E16F52" w:rsidRPr="00C03313" w:rsidSect="006C2BE9">
      <w:pgSz w:w="11906" w:h="16838"/>
      <w:pgMar w:top="1440" w:right="1274"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49FBB4" w14:textId="77777777" w:rsidR="000552AD" w:rsidRDefault="000552AD" w:rsidP="00110364">
      <w:pPr>
        <w:spacing w:after="0" w:line="240" w:lineRule="auto"/>
      </w:pPr>
      <w:r>
        <w:separator/>
      </w:r>
    </w:p>
  </w:endnote>
  <w:endnote w:type="continuationSeparator" w:id="0">
    <w:p w14:paraId="06216222" w14:textId="77777777" w:rsidR="000552AD" w:rsidRDefault="000552AD" w:rsidP="001103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venir LT 85 Heavy">
    <w:altName w:val="Rockwell Extra Bold"/>
    <w:charset w:val="00"/>
    <w:family w:val="auto"/>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Avenir LT 45 Book">
    <w:altName w:val="Agency FB"/>
    <w:charset w:val="00"/>
    <w:family w:val="auto"/>
    <w:pitch w:val="variable"/>
    <w:sig w:usb0="8000002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Roboto Slab Black">
    <w:charset w:val="00"/>
    <w:family w:val="auto"/>
    <w:pitch w:val="variable"/>
    <w:sig w:usb0="000004FF" w:usb1="8000405F" w:usb2="00000022" w:usb3="00000000" w:csb0="000001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venir LT 65 Medium">
    <w:altName w:val="Rockwell"/>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illSans Light">
    <w:altName w:val="Times New Roman"/>
    <w:panose1 w:val="00000000000000000000"/>
    <w:charset w:val="00"/>
    <w:family w:val="roman"/>
    <w:notTrueType/>
    <w:pitch w:val="default"/>
  </w:font>
  <w:font w:name="Palatino">
    <w:charset w:val="00"/>
    <w:family w:val="roman"/>
    <w:pitch w:val="variable"/>
    <w:sig w:usb0="00000003" w:usb1="00000000" w:usb2="00000000" w:usb3="00000000" w:csb0="00000001" w:csb1="00000000"/>
  </w:font>
  <w:font w:name="Open Sans Light">
    <w:charset w:val="00"/>
    <w:family w:val="swiss"/>
    <w:pitch w:val="variable"/>
    <w:sig w:usb0="E00002EF" w:usb1="4000205B" w:usb2="00000028"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Larsseit Light">
    <w:altName w:val="Larsseit Light"/>
    <w:panose1 w:val="00000000000000000000"/>
    <w:charset w:val="00"/>
    <w:family w:val="swiss"/>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Helvetica LT">
    <w:altName w:val="Arial"/>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Bold">
    <w:panose1 w:val="020B0704020202020204"/>
    <w:charset w:val="00"/>
    <w:family w:val="auto"/>
    <w:pitch w:val="variable"/>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Swiss721BT-Light">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IDFont+F1">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ED26E" w14:textId="77777777" w:rsidR="00EC605B" w:rsidRDefault="00EC605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BAA3D" w14:textId="0699B379" w:rsidR="002D6926" w:rsidRPr="00677BD6" w:rsidRDefault="002D6926" w:rsidP="00677BD6">
    <w:pPr>
      <w:tabs>
        <w:tab w:val="left" w:pos="6375"/>
        <w:tab w:val="right" w:pos="9026"/>
      </w:tabs>
      <w:rPr>
        <w:rFonts w:cs="Arial"/>
        <w:caps/>
        <w:noProof/>
        <w:sz w:val="18"/>
        <w:szCs w:val="18"/>
      </w:rPr>
    </w:pPr>
    <w:r>
      <w:rPr>
        <w:rFonts w:cs="Arial"/>
        <w:noProof/>
        <w:sz w:val="18"/>
        <w:szCs w:val="18"/>
      </w:rPr>
      <w:tab/>
    </w:r>
    <w:r>
      <w:rPr>
        <w:rFonts w:cs="Arial"/>
        <w:noProof/>
        <w:sz w:val="18"/>
        <w:szCs w:val="18"/>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EC364" w14:textId="77777777" w:rsidR="002D6926" w:rsidRPr="00A264D5" w:rsidRDefault="002D6926" w:rsidP="00477767"/>
  <w:p w14:paraId="773AA1DA" w14:textId="77777777" w:rsidR="002D6926" w:rsidRDefault="002D6926" w:rsidP="00477767">
    <w:pPr>
      <w:tabs>
        <w:tab w:val="left" w:pos="1101"/>
      </w:tabs>
      <w:ind w:left="-1134"/>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F73B5" w14:textId="77777777" w:rsidR="00FD55D7" w:rsidRDefault="00FD55D7" w:rsidP="00FA5404">
    <w:pPr>
      <w:pStyle w:val="Footer"/>
      <w:pBdr>
        <w:top w:val="single" w:sz="4" w:space="1" w:color="auto"/>
      </w:pBdr>
      <w:jc w:val="righ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70501537"/>
      <w:docPartObj>
        <w:docPartGallery w:val="Page Numbers (Bottom of Page)"/>
        <w:docPartUnique/>
      </w:docPartObj>
    </w:sdtPr>
    <w:sdtEndPr>
      <w:rPr>
        <w:noProof/>
      </w:rPr>
    </w:sdtEndPr>
    <w:sdtContent>
      <w:p w14:paraId="2C50DB18" w14:textId="77777777" w:rsidR="00B028E9" w:rsidRDefault="00B028E9">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34F1F379" w14:textId="77777777" w:rsidR="00B028E9" w:rsidRDefault="00B028E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1ACA5" w14:textId="77777777" w:rsidR="00FD55D7" w:rsidRDefault="00FD55D7">
    <w:pPr>
      <w:pStyle w:val="BodyText"/>
      <w:spacing w:line="14" w:lineRule="auto"/>
    </w:pPr>
    <w:r>
      <w:rPr>
        <w:noProof/>
      </w:rPr>
      <mc:AlternateContent>
        <mc:Choice Requires="wps">
          <w:drawing>
            <wp:anchor distT="0" distB="0" distL="114300" distR="114300" simplePos="0" relativeHeight="251664384" behindDoc="1" locked="0" layoutInCell="1" allowOverlap="1" wp14:anchorId="5CAC1EC8" wp14:editId="5225BA11">
              <wp:simplePos x="0" y="0"/>
              <wp:positionH relativeFrom="page">
                <wp:posOffset>0</wp:posOffset>
              </wp:positionH>
              <wp:positionV relativeFrom="page">
                <wp:posOffset>10140950</wp:posOffset>
              </wp:positionV>
              <wp:extent cx="7557135" cy="9715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7135" cy="97155"/>
                      </a:xfrm>
                      <a:custGeom>
                        <a:avLst/>
                        <a:gdLst>
                          <a:gd name="T0" fmla="*/ 11900 w 11901"/>
                          <a:gd name="T1" fmla="+- 0 15970 15970"/>
                          <a:gd name="T2" fmla="*/ 15970 h 153"/>
                          <a:gd name="T3" fmla="*/ 0 w 11901"/>
                          <a:gd name="T4" fmla="+- 0 15970 15970"/>
                          <a:gd name="T5" fmla="*/ 15970 h 153"/>
                          <a:gd name="T6" fmla="*/ 0 w 11901"/>
                          <a:gd name="T7" fmla="+- 0 15990 15970"/>
                          <a:gd name="T8" fmla="*/ 15990 h 153"/>
                          <a:gd name="T9" fmla="*/ 0 w 11901"/>
                          <a:gd name="T10" fmla="+- 0 16009 15970"/>
                          <a:gd name="T11" fmla="*/ 16009 h 153"/>
                          <a:gd name="T12" fmla="*/ 0 w 11901"/>
                          <a:gd name="T13" fmla="+- 0 16082 15970"/>
                          <a:gd name="T14" fmla="*/ 16082 h 153"/>
                          <a:gd name="T15" fmla="*/ 0 w 11901"/>
                          <a:gd name="T16" fmla="+- 0 16103 15970"/>
                          <a:gd name="T17" fmla="*/ 16103 h 153"/>
                          <a:gd name="T18" fmla="*/ 0 w 11901"/>
                          <a:gd name="T19" fmla="+- 0 16122 15970"/>
                          <a:gd name="T20" fmla="*/ 16122 h 153"/>
                          <a:gd name="T21" fmla="*/ 11900 w 11901"/>
                          <a:gd name="T22" fmla="+- 0 16122 15970"/>
                          <a:gd name="T23" fmla="*/ 16122 h 153"/>
                          <a:gd name="T24" fmla="*/ 11900 w 11901"/>
                          <a:gd name="T25" fmla="+- 0 16103 15970"/>
                          <a:gd name="T26" fmla="*/ 16103 h 153"/>
                          <a:gd name="T27" fmla="*/ 11900 w 11901"/>
                          <a:gd name="T28" fmla="+- 0 16082 15970"/>
                          <a:gd name="T29" fmla="*/ 16082 h 153"/>
                          <a:gd name="T30" fmla="*/ 11900 w 11901"/>
                          <a:gd name="T31" fmla="+- 0 16009 15970"/>
                          <a:gd name="T32" fmla="*/ 16009 h 153"/>
                          <a:gd name="T33" fmla="*/ 11900 w 11901"/>
                          <a:gd name="T34" fmla="+- 0 15990 15970"/>
                          <a:gd name="T35" fmla="*/ 15990 h 153"/>
                          <a:gd name="T36" fmla="*/ 11900 w 11901"/>
                          <a:gd name="T37" fmla="+- 0 15970 15970"/>
                          <a:gd name="T38" fmla="*/ 15970 h 15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1" h="153">
                            <a:moveTo>
                              <a:pt x="11900" y="0"/>
                            </a:moveTo>
                            <a:lnTo>
                              <a:pt x="0" y="0"/>
                            </a:lnTo>
                            <a:lnTo>
                              <a:pt x="0" y="20"/>
                            </a:lnTo>
                            <a:lnTo>
                              <a:pt x="0" y="39"/>
                            </a:lnTo>
                            <a:lnTo>
                              <a:pt x="0" y="112"/>
                            </a:lnTo>
                            <a:lnTo>
                              <a:pt x="0" y="133"/>
                            </a:lnTo>
                            <a:lnTo>
                              <a:pt x="0" y="152"/>
                            </a:lnTo>
                            <a:lnTo>
                              <a:pt x="11900" y="152"/>
                            </a:lnTo>
                            <a:lnTo>
                              <a:pt x="11900" y="133"/>
                            </a:lnTo>
                            <a:lnTo>
                              <a:pt x="11900" y="112"/>
                            </a:lnTo>
                            <a:lnTo>
                              <a:pt x="11900" y="39"/>
                            </a:lnTo>
                            <a:lnTo>
                              <a:pt x="11900" y="20"/>
                            </a:lnTo>
                            <a:lnTo>
                              <a:pt x="11900" y="0"/>
                            </a:lnTo>
                            <a:close/>
                          </a:path>
                        </a:pathLst>
                      </a:custGeom>
                      <a:solidFill>
                        <a:srgbClr val="006F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4F32E" id="Freeform 8" o:spid="_x0000_s1026" style="position:absolute;margin-left:0;margin-top:798.5pt;width:595.05pt;height:7.6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1,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" path="m11900,l,,,20,,39r,73l,133r,19l11900,152r,-19l11900,112r,-73l11900,20r,-20xe" fillcolor="#006f65" stroked="f">
              <v:path arrowok="t" o:connecttype="custom" o:connectlocs="7556500,10140950;0,10140950;0,10153650;0,10165715;0,10212070;0,10225405;0,10237470;7556500,10237470;7556500,10225405;7556500,10212070;7556500,10165715;7556500,10153650;7556500,10140950" o:connectangles="0,0,0,0,0,0,0,0,0,0,0,0,0"/>
              <w10:wrap anchorx="page" anchory="page"/>
            </v:shape>
          </w:pict>
        </mc:Fallback>
      </mc:AlternateContent>
    </w:r>
    <w:r>
      <w:rPr>
        <w:noProof/>
      </w:rPr>
      <mc:AlternateContent>
        <mc:Choice Requires="wps">
          <w:drawing>
            <wp:anchor distT="0" distB="0" distL="114300" distR="114300" simplePos="0" relativeHeight="251665408" behindDoc="1" locked="0" layoutInCell="1" allowOverlap="1" wp14:anchorId="0C600F19" wp14:editId="5C2FDB4B">
              <wp:simplePos x="0" y="0"/>
              <wp:positionH relativeFrom="page">
                <wp:posOffset>6404610</wp:posOffset>
              </wp:positionH>
              <wp:positionV relativeFrom="page">
                <wp:posOffset>9947275</wp:posOffset>
              </wp:positionV>
              <wp:extent cx="474345" cy="15367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B41BD" w14:textId="77777777" w:rsidR="00FD55D7" w:rsidRDefault="00FD55D7">
                          <w:pPr>
                            <w:spacing w:before="14"/>
                            <w:ind w:left="20"/>
                            <w:rPr>
                              <w:sz w:val="18"/>
                            </w:rPr>
                          </w:pPr>
                          <w:r>
                            <w:rPr>
                              <w:color w:val="78767A"/>
                              <w:sz w:val="18"/>
                            </w:rPr>
                            <w:t xml:space="preserve">Page | </w:t>
                          </w:r>
                          <w:r>
                            <w:fldChar w:fldCharType="begin"/>
                          </w:r>
                          <w:r>
                            <w:rPr>
                              <w:color w:val="78767A"/>
                              <w:sz w:val="18"/>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600F19" id="_x0000_t202" coordsize="21600,21600" o:spt="202" path="m,l,21600r21600,l21600,xe">
              <v:stroke joinstyle="miter"/>
              <v:path gradientshapeok="t" o:connecttype="rect"/>
            </v:shapetype>
            <v:shape id="Text Box 7" o:spid="_x0000_s1165" type="#_x0000_t202" style="position:absolute;left:0;text-align:left;margin-left:504.3pt;margin-top:783.25pt;width:37.35pt;height:12.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" filled="f" stroked="f">
              <v:textbox inset="0,0,0,0">
                <w:txbxContent>
                  <w:p w14:paraId="025B41BD" w14:textId="77777777" w:rsidR="00FD55D7" w:rsidRDefault="00FD55D7">
                    <w:pPr>
                      <w:spacing w:before="14"/>
                      <w:ind w:left="20"/>
                      <w:rPr>
                        <w:sz w:val="18"/>
                      </w:rPr>
                    </w:pPr>
                    <w:r>
                      <w:rPr>
                        <w:color w:val="78767A"/>
                        <w:sz w:val="18"/>
                      </w:rPr>
                      <w:t xml:space="preserve">Page | </w:t>
                    </w:r>
                    <w:r>
                      <w:fldChar w:fldCharType="begin"/>
                    </w:r>
                    <w:r>
                      <w:rPr>
                        <w:color w:val="78767A"/>
                        <w:sz w:val="18"/>
                      </w:rPr>
                      <w:instrText xml:space="preserve"> PAGE </w:instrText>
                    </w:r>
                    <w:r>
                      <w:fldChar w:fldCharType="separate"/>
                    </w:r>
                    <w:r>
                      <w:t>4</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B13D5" w14:textId="77777777" w:rsidR="00FD55D7" w:rsidRDefault="00FD55D7">
    <w:pPr>
      <w:pStyle w:val="BodyText"/>
      <w:spacing w:line="14" w:lineRule="auto"/>
    </w:pPr>
    <w:r>
      <w:rPr>
        <w:noProof/>
      </w:rPr>
      <mc:AlternateContent>
        <mc:Choice Requires="wps">
          <w:drawing>
            <wp:anchor distT="0" distB="0" distL="114300" distR="114300" simplePos="0" relativeHeight="251666432" behindDoc="1" locked="0" layoutInCell="1" allowOverlap="1" wp14:anchorId="32FCA257" wp14:editId="20ECB222">
              <wp:simplePos x="0" y="0"/>
              <wp:positionH relativeFrom="page">
                <wp:posOffset>0</wp:posOffset>
              </wp:positionH>
              <wp:positionV relativeFrom="page">
                <wp:posOffset>10140950</wp:posOffset>
              </wp:positionV>
              <wp:extent cx="7557135" cy="97155"/>
              <wp:effectExtent l="0" t="0" r="0" b="0"/>
              <wp:wrapNone/>
              <wp:docPr id="12"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7135" cy="97155"/>
                      </a:xfrm>
                      <a:custGeom>
                        <a:avLst/>
                        <a:gdLst>
                          <a:gd name="T0" fmla="*/ 11900 w 11901"/>
                          <a:gd name="T1" fmla="+- 0 15970 15970"/>
                          <a:gd name="T2" fmla="*/ 15970 h 153"/>
                          <a:gd name="T3" fmla="*/ 0 w 11901"/>
                          <a:gd name="T4" fmla="+- 0 15970 15970"/>
                          <a:gd name="T5" fmla="*/ 15970 h 153"/>
                          <a:gd name="T6" fmla="*/ 0 w 11901"/>
                          <a:gd name="T7" fmla="+- 0 15990 15970"/>
                          <a:gd name="T8" fmla="*/ 15990 h 153"/>
                          <a:gd name="T9" fmla="*/ 0 w 11901"/>
                          <a:gd name="T10" fmla="+- 0 16009 15970"/>
                          <a:gd name="T11" fmla="*/ 16009 h 153"/>
                          <a:gd name="T12" fmla="*/ 0 w 11901"/>
                          <a:gd name="T13" fmla="+- 0 16082 15970"/>
                          <a:gd name="T14" fmla="*/ 16082 h 153"/>
                          <a:gd name="T15" fmla="*/ 0 w 11901"/>
                          <a:gd name="T16" fmla="+- 0 16103 15970"/>
                          <a:gd name="T17" fmla="*/ 16103 h 153"/>
                          <a:gd name="T18" fmla="*/ 0 w 11901"/>
                          <a:gd name="T19" fmla="+- 0 16122 15970"/>
                          <a:gd name="T20" fmla="*/ 16122 h 153"/>
                          <a:gd name="T21" fmla="*/ 11900 w 11901"/>
                          <a:gd name="T22" fmla="+- 0 16122 15970"/>
                          <a:gd name="T23" fmla="*/ 16122 h 153"/>
                          <a:gd name="T24" fmla="*/ 11900 w 11901"/>
                          <a:gd name="T25" fmla="+- 0 16103 15970"/>
                          <a:gd name="T26" fmla="*/ 16103 h 153"/>
                          <a:gd name="T27" fmla="*/ 11900 w 11901"/>
                          <a:gd name="T28" fmla="+- 0 16082 15970"/>
                          <a:gd name="T29" fmla="*/ 16082 h 153"/>
                          <a:gd name="T30" fmla="*/ 11900 w 11901"/>
                          <a:gd name="T31" fmla="+- 0 16009 15970"/>
                          <a:gd name="T32" fmla="*/ 16009 h 153"/>
                          <a:gd name="T33" fmla="*/ 11900 w 11901"/>
                          <a:gd name="T34" fmla="+- 0 15990 15970"/>
                          <a:gd name="T35" fmla="*/ 15990 h 153"/>
                          <a:gd name="T36" fmla="*/ 11900 w 11901"/>
                          <a:gd name="T37" fmla="+- 0 15970 15970"/>
                          <a:gd name="T38" fmla="*/ 15970 h 15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1" h="153">
                            <a:moveTo>
                              <a:pt x="11900" y="0"/>
                            </a:moveTo>
                            <a:lnTo>
                              <a:pt x="0" y="0"/>
                            </a:lnTo>
                            <a:lnTo>
                              <a:pt x="0" y="20"/>
                            </a:lnTo>
                            <a:lnTo>
                              <a:pt x="0" y="39"/>
                            </a:lnTo>
                            <a:lnTo>
                              <a:pt x="0" y="112"/>
                            </a:lnTo>
                            <a:lnTo>
                              <a:pt x="0" y="133"/>
                            </a:lnTo>
                            <a:lnTo>
                              <a:pt x="0" y="152"/>
                            </a:lnTo>
                            <a:lnTo>
                              <a:pt x="11900" y="152"/>
                            </a:lnTo>
                            <a:lnTo>
                              <a:pt x="11900" y="133"/>
                            </a:lnTo>
                            <a:lnTo>
                              <a:pt x="11900" y="112"/>
                            </a:lnTo>
                            <a:lnTo>
                              <a:pt x="11900" y="39"/>
                            </a:lnTo>
                            <a:lnTo>
                              <a:pt x="11900" y="20"/>
                            </a:lnTo>
                            <a:lnTo>
                              <a:pt x="11900" y="0"/>
                            </a:lnTo>
                            <a:close/>
                          </a:path>
                        </a:pathLst>
                      </a:custGeom>
                      <a:solidFill>
                        <a:srgbClr val="006F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AC7FC" id="Freeform 6" o:spid="_x0000_s1026" style="position:absolute;margin-left:0;margin-top:798.5pt;width:595.05pt;height:7.6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1,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" path="m11900,l,,,20,,39r,73l,133r,19l11900,152r,-19l11900,112r,-73l11900,20r,-20xe" fillcolor="#006f65" stroked="f">
              <v:path arrowok="t" o:connecttype="custom" o:connectlocs="7556500,10140950;0,10140950;0,10153650;0,10165715;0,10212070;0,10225405;0,10237470;7556500,10237470;7556500,10225405;7556500,10212070;7556500,10165715;7556500,10153650;7556500,10140950" o:connectangles="0,0,0,0,0,0,0,0,0,0,0,0,0"/>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84739" w14:textId="77777777" w:rsidR="00FD55D7" w:rsidRDefault="00FD55D7">
    <w:pPr>
      <w:pStyle w:val="BodyText"/>
      <w:spacing w:line="14" w:lineRule="auto"/>
    </w:pPr>
    <w:r>
      <w:rPr>
        <w:noProof/>
      </w:rPr>
      <mc:AlternateContent>
        <mc:Choice Requires="wps">
          <w:drawing>
            <wp:anchor distT="0" distB="0" distL="114300" distR="114300" simplePos="0" relativeHeight="251667456" behindDoc="1" locked="0" layoutInCell="1" allowOverlap="1" wp14:anchorId="337A839D" wp14:editId="7E17FFE3">
              <wp:simplePos x="0" y="0"/>
              <wp:positionH relativeFrom="page">
                <wp:posOffset>0</wp:posOffset>
              </wp:positionH>
              <wp:positionV relativeFrom="page">
                <wp:posOffset>10140950</wp:posOffset>
              </wp:positionV>
              <wp:extent cx="7557135" cy="97155"/>
              <wp:effectExtent l="0" t="0" r="0" b="0"/>
              <wp:wrapNone/>
              <wp:docPr id="10"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7135" cy="97155"/>
                      </a:xfrm>
                      <a:custGeom>
                        <a:avLst/>
                        <a:gdLst>
                          <a:gd name="T0" fmla="*/ 11900 w 11901"/>
                          <a:gd name="T1" fmla="+- 0 15970 15970"/>
                          <a:gd name="T2" fmla="*/ 15970 h 153"/>
                          <a:gd name="T3" fmla="*/ 0 w 11901"/>
                          <a:gd name="T4" fmla="+- 0 15970 15970"/>
                          <a:gd name="T5" fmla="*/ 15970 h 153"/>
                          <a:gd name="T6" fmla="*/ 0 w 11901"/>
                          <a:gd name="T7" fmla="+- 0 15990 15970"/>
                          <a:gd name="T8" fmla="*/ 15990 h 153"/>
                          <a:gd name="T9" fmla="*/ 0 w 11901"/>
                          <a:gd name="T10" fmla="+- 0 16009 15970"/>
                          <a:gd name="T11" fmla="*/ 16009 h 153"/>
                          <a:gd name="T12" fmla="*/ 0 w 11901"/>
                          <a:gd name="T13" fmla="+- 0 16082 15970"/>
                          <a:gd name="T14" fmla="*/ 16082 h 153"/>
                          <a:gd name="T15" fmla="*/ 0 w 11901"/>
                          <a:gd name="T16" fmla="+- 0 16103 15970"/>
                          <a:gd name="T17" fmla="*/ 16103 h 153"/>
                          <a:gd name="T18" fmla="*/ 0 w 11901"/>
                          <a:gd name="T19" fmla="+- 0 16122 15970"/>
                          <a:gd name="T20" fmla="*/ 16122 h 153"/>
                          <a:gd name="T21" fmla="*/ 11900 w 11901"/>
                          <a:gd name="T22" fmla="+- 0 16122 15970"/>
                          <a:gd name="T23" fmla="*/ 16122 h 153"/>
                          <a:gd name="T24" fmla="*/ 11900 w 11901"/>
                          <a:gd name="T25" fmla="+- 0 16103 15970"/>
                          <a:gd name="T26" fmla="*/ 16103 h 153"/>
                          <a:gd name="T27" fmla="*/ 11900 w 11901"/>
                          <a:gd name="T28" fmla="+- 0 16082 15970"/>
                          <a:gd name="T29" fmla="*/ 16082 h 153"/>
                          <a:gd name="T30" fmla="*/ 11900 w 11901"/>
                          <a:gd name="T31" fmla="+- 0 16009 15970"/>
                          <a:gd name="T32" fmla="*/ 16009 h 153"/>
                          <a:gd name="T33" fmla="*/ 11900 w 11901"/>
                          <a:gd name="T34" fmla="+- 0 15990 15970"/>
                          <a:gd name="T35" fmla="*/ 15990 h 153"/>
                          <a:gd name="T36" fmla="*/ 11900 w 11901"/>
                          <a:gd name="T37" fmla="+- 0 15970 15970"/>
                          <a:gd name="T38" fmla="*/ 15970 h 15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1" h="153">
                            <a:moveTo>
                              <a:pt x="11900" y="0"/>
                            </a:moveTo>
                            <a:lnTo>
                              <a:pt x="0" y="0"/>
                            </a:lnTo>
                            <a:lnTo>
                              <a:pt x="0" y="20"/>
                            </a:lnTo>
                            <a:lnTo>
                              <a:pt x="0" y="39"/>
                            </a:lnTo>
                            <a:lnTo>
                              <a:pt x="0" y="112"/>
                            </a:lnTo>
                            <a:lnTo>
                              <a:pt x="0" y="133"/>
                            </a:lnTo>
                            <a:lnTo>
                              <a:pt x="0" y="152"/>
                            </a:lnTo>
                            <a:lnTo>
                              <a:pt x="11900" y="152"/>
                            </a:lnTo>
                            <a:lnTo>
                              <a:pt x="11900" y="133"/>
                            </a:lnTo>
                            <a:lnTo>
                              <a:pt x="11900" y="112"/>
                            </a:lnTo>
                            <a:lnTo>
                              <a:pt x="11900" y="39"/>
                            </a:lnTo>
                            <a:lnTo>
                              <a:pt x="11900" y="20"/>
                            </a:lnTo>
                            <a:lnTo>
                              <a:pt x="11900" y="0"/>
                            </a:lnTo>
                            <a:close/>
                          </a:path>
                        </a:pathLst>
                      </a:custGeom>
                      <a:solidFill>
                        <a:srgbClr val="006F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41491" id="Freeform 5" o:spid="_x0000_s1026" style="position:absolute;margin-left:0;margin-top:798.5pt;width:595.05pt;height:7.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1,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" path="m11900,l,,,20,,39r,73l,133r,19l11900,152r,-19l11900,112r,-73l11900,20r,-20xe" fillcolor="#006f65" stroked="f">
              <v:path arrowok="t" o:connecttype="custom" o:connectlocs="7556500,10140950;0,10140950;0,10153650;0,10165715;0,10212070;0,10225405;0,10237470;7556500,10237470;7556500,10225405;7556500,10212070;7556500,10165715;7556500,10153650;7556500,10140950" o:connectangles="0,0,0,0,0,0,0,0,0,0,0,0,0"/>
              <w10:wrap anchorx="page" anchory="page"/>
            </v:shape>
          </w:pict>
        </mc:Fallback>
      </mc:AlternateContent>
    </w:r>
    <w:r>
      <w:rPr>
        <w:noProof/>
      </w:rPr>
      <mc:AlternateContent>
        <mc:Choice Requires="wps">
          <w:drawing>
            <wp:anchor distT="0" distB="0" distL="114300" distR="114300" simplePos="0" relativeHeight="251668480" behindDoc="1" locked="0" layoutInCell="1" allowOverlap="1" wp14:anchorId="79C0B035" wp14:editId="7034CE1F">
              <wp:simplePos x="0" y="0"/>
              <wp:positionH relativeFrom="page">
                <wp:posOffset>6341745</wp:posOffset>
              </wp:positionH>
              <wp:positionV relativeFrom="page">
                <wp:posOffset>9947275</wp:posOffset>
              </wp:positionV>
              <wp:extent cx="537845" cy="15367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3C4BF" w14:textId="77777777" w:rsidR="00FD55D7" w:rsidRDefault="00FD55D7">
                          <w:pPr>
                            <w:spacing w:before="14"/>
                            <w:ind w:left="20"/>
                            <w:rPr>
                              <w:sz w:val="18"/>
                            </w:rPr>
                          </w:pPr>
                          <w:r>
                            <w:rPr>
                              <w:color w:val="78767A"/>
                              <w:sz w:val="18"/>
                            </w:rPr>
                            <w:t xml:space="preserve">Page | </w:t>
                          </w:r>
                          <w:r>
                            <w:fldChar w:fldCharType="begin"/>
                          </w:r>
                          <w:r>
                            <w:rPr>
                              <w:color w:val="78767A"/>
                              <w:sz w:val="18"/>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C0B035" id="_x0000_t202" coordsize="21600,21600" o:spt="202" path="m,l,21600r21600,l21600,xe">
              <v:stroke joinstyle="miter"/>
              <v:path gradientshapeok="t" o:connecttype="rect"/>
            </v:shapetype>
            <v:shape id="Text Box 4" o:spid="_x0000_s1166" type="#_x0000_t202" style="position:absolute;left:0;text-align:left;margin-left:499.35pt;margin-top:783.25pt;width:42.35pt;height:12.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" filled="f" stroked="f">
              <v:textbox inset="0,0,0,0">
                <w:txbxContent>
                  <w:p w14:paraId="44F3C4BF" w14:textId="77777777" w:rsidR="00FD55D7" w:rsidRDefault="00FD55D7">
                    <w:pPr>
                      <w:spacing w:before="14"/>
                      <w:ind w:left="20"/>
                      <w:rPr>
                        <w:sz w:val="18"/>
                      </w:rPr>
                    </w:pPr>
                    <w:r>
                      <w:rPr>
                        <w:color w:val="78767A"/>
                        <w:sz w:val="18"/>
                      </w:rPr>
                      <w:t xml:space="preserve">Page | </w:t>
                    </w:r>
                    <w:r>
                      <w:fldChar w:fldCharType="begin"/>
                    </w:r>
                    <w:r>
                      <w:rPr>
                        <w:color w:val="78767A"/>
                        <w:sz w:val="18"/>
                      </w:rPr>
                      <w:instrText xml:space="preserve"> PAGE </w:instrText>
                    </w:r>
                    <w:r>
                      <w:fldChar w:fldCharType="separate"/>
                    </w:r>
                    <w:r>
                      <w:t>10</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4F770" w14:textId="77777777" w:rsidR="00FD55D7" w:rsidRDefault="00FD55D7">
    <w:pPr>
      <w:pStyle w:val="BodyText"/>
      <w:spacing w:line="14" w:lineRule="auto"/>
    </w:pPr>
    <w:r>
      <w:rPr>
        <w:noProof/>
      </w:rPr>
      <mc:AlternateContent>
        <mc:Choice Requires="wps">
          <w:drawing>
            <wp:anchor distT="0" distB="0" distL="114300" distR="114300" simplePos="0" relativeHeight="251669504" behindDoc="1" locked="0" layoutInCell="1" allowOverlap="1" wp14:anchorId="34D4789E" wp14:editId="56241AE4">
              <wp:simplePos x="0" y="0"/>
              <wp:positionH relativeFrom="page">
                <wp:posOffset>9492615</wp:posOffset>
              </wp:positionH>
              <wp:positionV relativeFrom="page">
                <wp:posOffset>6944995</wp:posOffset>
              </wp:positionV>
              <wp:extent cx="537210" cy="15367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CEF8B" w14:textId="77777777" w:rsidR="00FD55D7" w:rsidRDefault="00FD55D7">
                          <w:pPr>
                            <w:spacing w:before="14"/>
                            <w:ind w:left="20"/>
                            <w:rPr>
                              <w:sz w:val="18"/>
                            </w:rPr>
                          </w:pPr>
                          <w:r>
                            <w:rPr>
                              <w:sz w:val="18"/>
                            </w:rPr>
                            <w:t xml:space="preserve">Page | </w:t>
                          </w:r>
                          <w:r>
                            <w:fldChar w:fldCharType="begin"/>
                          </w:r>
                          <w:r>
                            <w:rPr>
                              <w:sz w:val="18"/>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D4789E" id="_x0000_t202" coordsize="21600,21600" o:spt="202" path="m,l,21600r21600,l21600,xe">
              <v:stroke joinstyle="miter"/>
              <v:path gradientshapeok="t" o:connecttype="rect"/>
            </v:shapetype>
            <v:shape id="_x0000_s1167" type="#_x0000_t202" style="position:absolute;left:0;text-align:left;margin-left:747.45pt;margin-top:546.85pt;width:42.3pt;height:12.1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" filled="f" stroked="f">
              <v:textbox inset="0,0,0,0">
                <w:txbxContent>
                  <w:p w14:paraId="780CEF8B" w14:textId="77777777" w:rsidR="00FD55D7" w:rsidRDefault="00FD55D7">
                    <w:pPr>
                      <w:spacing w:before="14"/>
                      <w:ind w:left="20"/>
                      <w:rPr>
                        <w:sz w:val="18"/>
                      </w:rPr>
                    </w:pPr>
                    <w:r>
                      <w:rPr>
                        <w:sz w:val="18"/>
                      </w:rPr>
                      <w:t xml:space="preserve">Page | </w:t>
                    </w:r>
                    <w:r>
                      <w:fldChar w:fldCharType="begin"/>
                    </w:r>
                    <w:r>
                      <w:rPr>
                        <w:sz w:val="18"/>
                      </w:rPr>
                      <w:instrText xml:space="preserve"> PAGE </w:instrText>
                    </w:r>
                    <w:r>
                      <w:fldChar w:fldCharType="separate"/>
                    </w:r>
                    <w:r>
                      <w:t>14</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5A830" w14:textId="77777777" w:rsidR="00FD55D7" w:rsidRDefault="00FD55D7">
    <w:pPr>
      <w:pStyle w:val="BodyText"/>
      <w:spacing w:line="14" w:lineRule="auto"/>
    </w:pPr>
    <w:r>
      <w:rPr>
        <w:noProof/>
      </w:rPr>
      <w:drawing>
        <wp:anchor distT="0" distB="0" distL="0" distR="0" simplePos="0" relativeHeight="251670528" behindDoc="1" locked="0" layoutInCell="1" allowOverlap="1" wp14:anchorId="42288055" wp14:editId="26D01F1D">
          <wp:simplePos x="0" y="0"/>
          <wp:positionH relativeFrom="page">
            <wp:posOffset>1409</wp:posOffset>
          </wp:positionH>
          <wp:positionV relativeFrom="page">
            <wp:posOffset>7202423</wp:posOffset>
          </wp:positionV>
          <wp:extent cx="10691622" cy="91439"/>
          <wp:effectExtent l="0" t="0" r="0" b="0"/>
          <wp:wrapNone/>
          <wp:docPr id="1235027768"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8.png"/>
                  <pic:cNvPicPr/>
                </pic:nvPicPr>
                <pic:blipFill>
                  <a:blip r:embed="rId1" cstate="print"/>
                  <a:stretch>
                    <a:fillRect/>
                  </a:stretch>
                </pic:blipFill>
                <pic:spPr>
                  <a:xfrm>
                    <a:off x="0" y="0"/>
                    <a:ext cx="10691622" cy="91439"/>
                  </a:xfrm>
                  <a:prstGeom prst="rect">
                    <a:avLst/>
                  </a:prstGeom>
                </pic:spPr>
              </pic:pic>
            </a:graphicData>
          </a:graphic>
        </wp:anchor>
      </w:drawing>
    </w:r>
    <w:r>
      <w:rPr>
        <w:noProof/>
      </w:rPr>
      <mc:AlternateContent>
        <mc:Choice Requires="wps">
          <w:drawing>
            <wp:anchor distT="0" distB="0" distL="114300" distR="114300" simplePos="0" relativeHeight="251671552" behindDoc="1" locked="0" layoutInCell="1" allowOverlap="1" wp14:anchorId="19465409" wp14:editId="3A128F19">
              <wp:simplePos x="0" y="0"/>
              <wp:positionH relativeFrom="page">
                <wp:posOffset>9491345</wp:posOffset>
              </wp:positionH>
              <wp:positionV relativeFrom="page">
                <wp:posOffset>7018655</wp:posOffset>
              </wp:positionV>
              <wp:extent cx="537210" cy="15367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0921B" w14:textId="77777777" w:rsidR="00FD55D7" w:rsidRDefault="00FD55D7">
                          <w:pPr>
                            <w:spacing w:before="14"/>
                            <w:ind w:left="20"/>
                            <w:rPr>
                              <w:sz w:val="18"/>
                            </w:rPr>
                          </w:pPr>
                          <w:r>
                            <w:rPr>
                              <w:color w:val="78767A"/>
                              <w:sz w:val="18"/>
                            </w:rPr>
                            <w:t xml:space="preserve">Page | </w:t>
                          </w:r>
                          <w:r>
                            <w:fldChar w:fldCharType="begin"/>
                          </w:r>
                          <w:r>
                            <w:rPr>
                              <w:color w:val="78767A"/>
                              <w:sz w:val="18"/>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465409" id="_x0000_t202" coordsize="21600,21600" o:spt="202" path="m,l,21600r21600,l21600,xe">
              <v:stroke joinstyle="miter"/>
              <v:path gradientshapeok="t" o:connecttype="rect"/>
            </v:shapetype>
            <v:shape id="_x0000_s1168" type="#_x0000_t202" style="position:absolute;left:0;text-align:left;margin-left:747.35pt;margin-top:552.65pt;width:42.3pt;height:12.1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" filled="f" stroked="f">
              <v:textbox inset="0,0,0,0">
                <w:txbxContent>
                  <w:p w14:paraId="1B50921B" w14:textId="77777777" w:rsidR="00FD55D7" w:rsidRDefault="00FD55D7">
                    <w:pPr>
                      <w:spacing w:before="14"/>
                      <w:ind w:left="20"/>
                      <w:rPr>
                        <w:sz w:val="18"/>
                      </w:rPr>
                    </w:pPr>
                    <w:r>
                      <w:rPr>
                        <w:color w:val="78767A"/>
                        <w:sz w:val="18"/>
                      </w:rPr>
                      <w:t xml:space="preserve">Page | </w:t>
                    </w:r>
                    <w:r>
                      <w:fldChar w:fldCharType="begin"/>
                    </w:r>
                    <w:r>
                      <w:rPr>
                        <w:color w:val="78767A"/>
                        <w:sz w:val="18"/>
                      </w:rPr>
                      <w:instrText xml:space="preserve"> PAGE </w:instrText>
                    </w:r>
                    <w:r>
                      <w:fldChar w:fldCharType="separate"/>
                    </w:r>
                    <w:r>
                      <w:t>15</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CCEB0" w14:textId="77777777" w:rsidR="00FD55D7" w:rsidRDefault="00FD55D7">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75436" w14:textId="77777777" w:rsidR="00FD55D7" w:rsidRDefault="00FD55D7" w:rsidP="007479BF">
    <w:pPr>
      <w:pStyle w:val="Footer"/>
      <w:jc w:val="righ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6B977" w14:textId="77777777" w:rsidR="00FD55D7" w:rsidRDefault="00FD55D7" w:rsidP="001A685E">
    <w:pPr>
      <w:pStyle w:val="Footer"/>
      <w:pBdr>
        <w:top w:val="single" w:sz="4" w:space="1" w:color="auto"/>
      </w:pBd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6669036"/>
      <w:docPartObj>
        <w:docPartGallery w:val="Page Numbers (Bottom of Page)"/>
        <w:docPartUnique/>
      </w:docPartObj>
    </w:sdtPr>
    <w:sdtEndPr>
      <w:rPr>
        <w:noProof/>
      </w:rPr>
    </w:sdtEndPr>
    <w:sdtContent>
      <w:p w14:paraId="68DAEE98" w14:textId="77777777" w:rsidR="0041150C" w:rsidRDefault="0041150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2003C00" w14:textId="77777777" w:rsidR="0041150C" w:rsidRDefault="0041150C">
    <w:pPr>
      <w:pStyle w:val="Footer"/>
    </w:pPr>
  </w:p>
  <w:p w14:paraId="4E0A8C5D" w14:textId="77777777" w:rsidR="0041150C" w:rsidRDefault="0041150C"/>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2942418"/>
      <w:docPartObj>
        <w:docPartGallery w:val="Page Numbers (Bottom of Page)"/>
        <w:docPartUnique/>
      </w:docPartObj>
    </w:sdtPr>
    <w:sdtEndPr/>
    <w:sdtContent>
      <w:p w14:paraId="73803412" w14:textId="77777777" w:rsidR="00FD55D7" w:rsidRDefault="00FD55D7" w:rsidP="008048CE">
        <w:pPr>
          <w:pStyle w:val="Footer"/>
          <w:jc w:val="center"/>
          <w:rPr>
            <w:rStyle w:val="PageNumber"/>
            <w:rFonts w:ascii="Avenir LT 45 Book" w:hAnsi="Avenir LT 45 Book" w:cs="Arial"/>
            <w:sz w:val="18"/>
            <w:szCs w:val="18"/>
          </w:rPr>
        </w:pPr>
        <w:r w:rsidRPr="009D79C1">
          <w:rPr>
            <w:rStyle w:val="PageNumber"/>
            <w:rFonts w:ascii="Avenir LT 45 Book" w:hAnsi="Avenir LT 45 Book" w:cs="Arial"/>
            <w:sz w:val="18"/>
            <w:szCs w:val="18"/>
          </w:rPr>
          <w:t xml:space="preserve">TOWN OF EAST FREMANTLE </w:t>
        </w:r>
        <w:r>
          <w:rPr>
            <w:rStyle w:val="PageNumber"/>
            <w:rFonts w:ascii="Avenir LT 45 Book" w:hAnsi="Avenir LT 45 Book" w:cs="Arial"/>
            <w:sz w:val="18"/>
            <w:szCs w:val="18"/>
          </w:rPr>
          <w:t>LOCAL PLANNING POLICY</w:t>
        </w:r>
      </w:p>
      <w:p w14:paraId="185A9A57" w14:textId="77777777" w:rsidR="00FD55D7" w:rsidRDefault="00FD55D7" w:rsidP="008048CE">
        <w:pPr>
          <w:pStyle w:val="Footer"/>
          <w:tabs>
            <w:tab w:val="right" w:pos="9214"/>
          </w:tabs>
          <w:jc w:val="center"/>
        </w:pPr>
        <w:r>
          <w:rPr>
            <w:rStyle w:val="PageNumber"/>
            <w:rFonts w:ascii="Avenir LT 45 Book" w:hAnsi="Avenir LT 45 Book" w:cs="Arial"/>
            <w:sz w:val="18"/>
            <w:szCs w:val="18"/>
          </w:rPr>
          <w:tab/>
          <w:t>RESIDENTIAL DESIGN GUIDELINES – WOOSIDE AND RICHMOND</w:t>
        </w:r>
        <w:r>
          <w:tab/>
          <w:t xml:space="preserve">Page </w:t>
        </w:r>
        <w:r>
          <w:fldChar w:fldCharType="begin"/>
        </w:r>
        <w:r>
          <w:instrText xml:space="preserve"> PAGE   \* MERGEFORMAT </w:instrText>
        </w:r>
        <w:r>
          <w:fldChar w:fldCharType="separate"/>
        </w:r>
        <w:r>
          <w:rPr>
            <w:noProof/>
          </w:rPr>
          <w:t>57</w:t>
        </w:r>
        <w:r>
          <w:rPr>
            <w:noProof/>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59175520"/>
      <w:docPartObj>
        <w:docPartGallery w:val="Page Numbers (Bottom of Page)"/>
        <w:docPartUnique/>
      </w:docPartObj>
    </w:sdtPr>
    <w:sdtEndPr/>
    <w:sdtContent>
      <w:p w14:paraId="3137E8AD" w14:textId="77777777" w:rsidR="00FD55D7" w:rsidRDefault="00FD55D7" w:rsidP="008048CE">
        <w:pPr>
          <w:pStyle w:val="Footer"/>
          <w:tabs>
            <w:tab w:val="right" w:pos="8647"/>
          </w:tabs>
          <w:jc w:val="center"/>
          <w:rPr>
            <w:rStyle w:val="PageNumber"/>
            <w:rFonts w:ascii="Avenir LT 45 Book" w:hAnsi="Avenir LT 45 Book" w:cs="Arial"/>
            <w:sz w:val="18"/>
            <w:szCs w:val="18"/>
          </w:rPr>
        </w:pPr>
        <w:r>
          <w:rPr>
            <w:rStyle w:val="PageNumber"/>
            <w:rFonts w:ascii="Avenir LT 45 Book" w:hAnsi="Avenir LT 45 Book" w:cs="Arial"/>
            <w:sz w:val="18"/>
            <w:szCs w:val="18"/>
          </w:rPr>
          <w:t>TOWN OF EAST FREMANTLE LOCAL PLANNING POLICY</w:t>
        </w:r>
      </w:p>
      <w:p w14:paraId="48E610EF" w14:textId="77777777" w:rsidR="00FD55D7" w:rsidRPr="00403987" w:rsidRDefault="00FD55D7" w:rsidP="008048CE">
        <w:pPr>
          <w:pStyle w:val="Footer"/>
          <w:tabs>
            <w:tab w:val="clear" w:pos="4513"/>
            <w:tab w:val="center" w:pos="4536"/>
            <w:tab w:val="right" w:pos="9072"/>
          </w:tabs>
          <w:rPr>
            <w:rFonts w:cs="Arial"/>
            <w:sz w:val="18"/>
            <w:szCs w:val="18"/>
          </w:rPr>
        </w:pPr>
        <w:r>
          <w:rPr>
            <w:rStyle w:val="PageNumber"/>
            <w:rFonts w:ascii="Avenir LT 45 Book" w:hAnsi="Avenir LT 45 Book" w:cs="Arial"/>
            <w:sz w:val="18"/>
            <w:szCs w:val="18"/>
          </w:rPr>
          <w:tab/>
        </w:r>
        <w:r w:rsidRPr="009D79C1">
          <w:rPr>
            <w:rStyle w:val="PageNumber"/>
            <w:rFonts w:ascii="Avenir LT 45 Book" w:hAnsi="Avenir LT 45 Book" w:cs="Arial"/>
            <w:sz w:val="18"/>
            <w:szCs w:val="18"/>
          </w:rPr>
          <w:t xml:space="preserve">RESIDENTIAL DESIGN GUIDELINES </w:t>
        </w:r>
        <w:r>
          <w:rPr>
            <w:sz w:val="18"/>
            <w:szCs w:val="18"/>
          </w:rPr>
          <w:t>–</w:t>
        </w:r>
        <w:r w:rsidRPr="007C1346">
          <w:rPr>
            <w:sz w:val="18"/>
            <w:szCs w:val="18"/>
          </w:rPr>
          <w:t xml:space="preserve"> </w:t>
        </w:r>
        <w:r>
          <w:rPr>
            <w:sz w:val="18"/>
            <w:szCs w:val="18"/>
          </w:rPr>
          <w:t>PLYMPTON</w:t>
        </w:r>
        <w:r>
          <w:rPr>
            <w:rStyle w:val="PageNumber"/>
            <w:rFonts w:ascii="Avenir LT 45 Book" w:hAnsi="Avenir LT 45 Book" w:cs="Arial"/>
            <w:sz w:val="18"/>
            <w:szCs w:val="18"/>
          </w:rPr>
          <w:tab/>
        </w:r>
        <w:r>
          <w:rPr>
            <w:sz w:val="18"/>
            <w:szCs w:val="18"/>
          </w:rPr>
          <w:t>P</w:t>
        </w:r>
        <w:r>
          <w:t xml:space="preserve">age </w:t>
        </w:r>
        <w:r>
          <w:fldChar w:fldCharType="begin"/>
        </w:r>
        <w:r>
          <w:instrText xml:space="preserve"> PAGE   \* MERGEFORMAT </w:instrText>
        </w:r>
        <w:r>
          <w:fldChar w:fldCharType="separate"/>
        </w:r>
        <w:r>
          <w:rPr>
            <w:noProof/>
          </w:rPr>
          <w:t>67</w:t>
        </w:r>
        <w:r>
          <w:rPr>
            <w:noProof/>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6604727"/>
      <w:docPartObj>
        <w:docPartGallery w:val="Page Numbers (Bottom of Page)"/>
        <w:docPartUnique/>
      </w:docPartObj>
    </w:sdtPr>
    <w:sdtEndPr/>
    <w:sdtContent>
      <w:p w14:paraId="3CDE6DC8" w14:textId="77777777" w:rsidR="00FD55D7" w:rsidRDefault="00FD55D7" w:rsidP="008048CE">
        <w:pPr>
          <w:pStyle w:val="Footer"/>
          <w:jc w:val="center"/>
          <w:rPr>
            <w:rStyle w:val="PageNumber"/>
            <w:rFonts w:ascii="Avenir LT 45 Book" w:hAnsi="Avenir LT 45 Book" w:cs="Arial"/>
            <w:sz w:val="18"/>
            <w:szCs w:val="18"/>
          </w:rPr>
        </w:pPr>
        <w:r>
          <w:rPr>
            <w:rStyle w:val="PageNumber"/>
            <w:rFonts w:ascii="Avenir LT 45 Book" w:hAnsi="Avenir LT 45 Book" w:cs="Arial"/>
            <w:sz w:val="18"/>
            <w:szCs w:val="18"/>
          </w:rPr>
          <w:t>TOWN OF EAST FREMANTLE LOCAL PLANNING POLICY</w:t>
        </w:r>
      </w:p>
      <w:p w14:paraId="3C266B1F" w14:textId="77777777" w:rsidR="00FD55D7" w:rsidRDefault="00FD55D7" w:rsidP="008048CE">
        <w:pPr>
          <w:pStyle w:val="Footer"/>
          <w:tabs>
            <w:tab w:val="clear" w:pos="4513"/>
            <w:tab w:val="center" w:pos="4536"/>
            <w:tab w:val="right" w:pos="9072"/>
          </w:tabs>
          <w:jc w:val="center"/>
        </w:pPr>
        <w:r>
          <w:rPr>
            <w:rStyle w:val="PageNumber"/>
            <w:rFonts w:ascii="Avenir LT 45 Book" w:hAnsi="Avenir LT 45 Book" w:cs="Arial"/>
            <w:sz w:val="18"/>
            <w:szCs w:val="18"/>
          </w:rPr>
          <w:tab/>
        </w:r>
        <w:r w:rsidRPr="009D79C1">
          <w:rPr>
            <w:rStyle w:val="PageNumber"/>
            <w:rFonts w:ascii="Avenir LT 45 Book" w:hAnsi="Avenir LT 45 Book" w:cs="Arial"/>
            <w:sz w:val="18"/>
            <w:szCs w:val="18"/>
          </w:rPr>
          <w:t xml:space="preserve">RESIDENTIAL DESIGN GUIDELINES </w:t>
        </w:r>
        <w:r>
          <w:rPr>
            <w:sz w:val="18"/>
            <w:szCs w:val="18"/>
          </w:rPr>
          <w:t>–</w:t>
        </w:r>
        <w:r w:rsidRPr="007C1346">
          <w:rPr>
            <w:sz w:val="18"/>
            <w:szCs w:val="18"/>
          </w:rPr>
          <w:t xml:space="preserve"> RICHMOND HILL</w:t>
        </w:r>
        <w:r>
          <w:tab/>
          <w:t xml:space="preserve">Page </w:t>
        </w:r>
        <w:r>
          <w:fldChar w:fldCharType="begin"/>
        </w:r>
        <w:r>
          <w:instrText xml:space="preserve"> PAGE   \* MERGEFORMAT </w:instrText>
        </w:r>
        <w:r>
          <w:fldChar w:fldCharType="separate"/>
        </w:r>
        <w:r>
          <w:rPr>
            <w:noProof/>
          </w:rPr>
          <w:t>78</w:t>
        </w:r>
        <w:r>
          <w:rPr>
            <w:noProof/>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8423592"/>
      <w:docPartObj>
        <w:docPartGallery w:val="Page Numbers (Bottom of Page)"/>
        <w:docPartUnique/>
      </w:docPartObj>
    </w:sdtPr>
    <w:sdtEndPr/>
    <w:sdtContent>
      <w:p w14:paraId="74BCA522" w14:textId="77777777" w:rsidR="00FD55D7" w:rsidRDefault="00FD55D7" w:rsidP="008048CE">
        <w:pPr>
          <w:pStyle w:val="Footer"/>
          <w:jc w:val="center"/>
          <w:rPr>
            <w:rStyle w:val="PageNumber"/>
            <w:rFonts w:ascii="Avenir LT 45 Book" w:hAnsi="Avenir LT 45 Book" w:cs="Arial"/>
            <w:sz w:val="18"/>
            <w:szCs w:val="18"/>
          </w:rPr>
        </w:pPr>
        <w:r>
          <w:rPr>
            <w:rStyle w:val="PageNumber"/>
            <w:rFonts w:ascii="Avenir LT 45 Book" w:hAnsi="Avenir LT 45 Book" w:cs="Arial"/>
            <w:sz w:val="18"/>
            <w:szCs w:val="18"/>
          </w:rPr>
          <w:t>TOWN OF EAST FREMANTLE LOCAL PLANNING POLICY</w:t>
        </w:r>
      </w:p>
      <w:p w14:paraId="0417FC12" w14:textId="77777777" w:rsidR="00FD55D7" w:rsidRDefault="00FD55D7" w:rsidP="008048CE">
        <w:pPr>
          <w:pStyle w:val="Footer"/>
          <w:tabs>
            <w:tab w:val="clear" w:pos="4513"/>
            <w:tab w:val="center" w:pos="4536"/>
            <w:tab w:val="right" w:pos="9072"/>
          </w:tabs>
          <w:jc w:val="center"/>
        </w:pPr>
        <w:r>
          <w:rPr>
            <w:rStyle w:val="PageNumber"/>
            <w:rFonts w:ascii="Avenir LT 45 Book" w:hAnsi="Avenir LT 45 Book" w:cs="Arial"/>
            <w:sz w:val="18"/>
            <w:szCs w:val="18"/>
          </w:rPr>
          <w:tab/>
        </w:r>
        <w:r w:rsidRPr="009D79C1">
          <w:rPr>
            <w:rStyle w:val="PageNumber"/>
            <w:rFonts w:ascii="Avenir LT 45 Book" w:hAnsi="Avenir LT 45 Book" w:cs="Arial"/>
            <w:sz w:val="18"/>
            <w:szCs w:val="18"/>
          </w:rPr>
          <w:t xml:space="preserve">RESIDENTIAL DESIGN GUIDELINES </w:t>
        </w:r>
        <w:r>
          <w:rPr>
            <w:rStyle w:val="PageNumber"/>
            <w:rFonts w:ascii="Avenir LT 45 Book" w:hAnsi="Avenir LT 45 Book" w:cs="Arial"/>
            <w:sz w:val="18"/>
            <w:szCs w:val="18"/>
          </w:rPr>
          <w:t>–</w:t>
        </w:r>
        <w:r w:rsidRPr="007C1346">
          <w:rPr>
            <w:sz w:val="18"/>
            <w:szCs w:val="18"/>
          </w:rPr>
          <w:t xml:space="preserve"> RIVERSIDE</w:t>
        </w:r>
        <w:r>
          <w:rPr>
            <w:sz w:val="18"/>
            <w:szCs w:val="18"/>
          </w:rPr>
          <w:tab/>
        </w:r>
        <w:r>
          <w:t xml:space="preserve">Page </w:t>
        </w:r>
        <w:r>
          <w:fldChar w:fldCharType="begin"/>
        </w:r>
        <w:r>
          <w:instrText xml:space="preserve"> PAGE   \* MERGEFORMAT </w:instrText>
        </w:r>
        <w:r>
          <w:fldChar w:fldCharType="separate"/>
        </w:r>
        <w:r>
          <w:rPr>
            <w:noProof/>
          </w:rPr>
          <w:t>93</w:t>
        </w:r>
        <w:r>
          <w:rPr>
            <w:noProof/>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1460040"/>
      <w:docPartObj>
        <w:docPartGallery w:val="Page Numbers (Bottom of Page)"/>
        <w:docPartUnique/>
      </w:docPartObj>
    </w:sdtPr>
    <w:sdtEndPr/>
    <w:sdtContent>
      <w:p w14:paraId="29344EEB" w14:textId="77777777" w:rsidR="00FD55D7" w:rsidRDefault="00FD55D7" w:rsidP="008048CE">
        <w:pPr>
          <w:pStyle w:val="Footer"/>
          <w:jc w:val="center"/>
          <w:rPr>
            <w:rStyle w:val="PageNumber"/>
            <w:rFonts w:ascii="Avenir LT 45 Book" w:hAnsi="Avenir LT 45 Book" w:cs="Arial"/>
            <w:sz w:val="18"/>
            <w:szCs w:val="18"/>
          </w:rPr>
        </w:pPr>
        <w:r>
          <w:rPr>
            <w:rStyle w:val="PageNumber"/>
            <w:rFonts w:ascii="Avenir LT 45 Book" w:hAnsi="Avenir LT 45 Book" w:cs="Arial"/>
            <w:sz w:val="18"/>
            <w:szCs w:val="18"/>
          </w:rPr>
          <w:t>TOWN OF EAST FREMANTLE LOCAL PLANNING POLICY</w:t>
        </w:r>
      </w:p>
      <w:p w14:paraId="56C460C4" w14:textId="77777777" w:rsidR="00FD55D7" w:rsidRDefault="00FD55D7" w:rsidP="008048CE">
        <w:pPr>
          <w:pStyle w:val="Footer"/>
          <w:tabs>
            <w:tab w:val="clear" w:pos="4513"/>
            <w:tab w:val="center" w:pos="4536"/>
            <w:tab w:val="right" w:pos="9072"/>
          </w:tabs>
          <w:jc w:val="center"/>
        </w:pPr>
        <w:r>
          <w:rPr>
            <w:rStyle w:val="PageNumber"/>
            <w:rFonts w:ascii="Avenir LT 45 Book" w:hAnsi="Avenir LT 45 Book" w:cs="Arial"/>
            <w:sz w:val="18"/>
            <w:szCs w:val="18"/>
          </w:rPr>
          <w:tab/>
        </w:r>
        <w:r w:rsidRPr="009D79C1">
          <w:rPr>
            <w:rStyle w:val="PageNumber"/>
            <w:rFonts w:ascii="Avenir LT 45 Book" w:hAnsi="Avenir LT 45 Book" w:cs="Arial"/>
            <w:sz w:val="18"/>
            <w:szCs w:val="18"/>
          </w:rPr>
          <w:t xml:space="preserve">RESIDENTIAL DESIGN GUIDELINES </w:t>
        </w:r>
        <w:r>
          <w:rPr>
            <w:rStyle w:val="PageNumber"/>
            <w:rFonts w:ascii="Avenir LT 45 Book" w:hAnsi="Avenir LT 45 Book" w:cs="Arial"/>
            <w:sz w:val="18"/>
            <w:szCs w:val="18"/>
          </w:rPr>
          <w:t>–</w:t>
        </w:r>
        <w:r>
          <w:t xml:space="preserve"> </w:t>
        </w:r>
        <w:r w:rsidRPr="007C1346">
          <w:rPr>
            <w:sz w:val="18"/>
            <w:szCs w:val="18"/>
          </w:rPr>
          <w:t>PRESTON POINT</w:t>
        </w:r>
        <w:r>
          <w:tab/>
          <w:t xml:space="preserve">Page </w:t>
        </w:r>
        <w:r>
          <w:fldChar w:fldCharType="begin"/>
        </w:r>
        <w:r>
          <w:instrText xml:space="preserve"> PAGE   \* MERGEFORMAT </w:instrText>
        </w:r>
        <w:r>
          <w:fldChar w:fldCharType="separate"/>
        </w:r>
        <w:r>
          <w:rPr>
            <w:noProof/>
          </w:rPr>
          <w:t>94</w:t>
        </w:r>
        <w:r>
          <w:rPr>
            <w:noProof/>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8395659"/>
      <w:docPartObj>
        <w:docPartGallery w:val="Page Numbers (Bottom of Page)"/>
        <w:docPartUnique/>
      </w:docPartObj>
    </w:sdtPr>
    <w:sdtEndPr/>
    <w:sdtContent>
      <w:p w14:paraId="79DEE1AC" w14:textId="77777777" w:rsidR="00FD55D7" w:rsidRDefault="00FD55D7" w:rsidP="008048CE">
        <w:pPr>
          <w:pStyle w:val="Footer"/>
          <w:jc w:val="center"/>
          <w:rPr>
            <w:rStyle w:val="PageNumber"/>
            <w:rFonts w:ascii="Avenir LT 45 Book" w:hAnsi="Avenir LT 45 Book" w:cs="Arial"/>
            <w:sz w:val="18"/>
            <w:szCs w:val="18"/>
          </w:rPr>
        </w:pPr>
        <w:r>
          <w:rPr>
            <w:rStyle w:val="PageNumber"/>
            <w:rFonts w:ascii="Avenir LT 45 Book" w:hAnsi="Avenir LT 45 Book" w:cs="Arial"/>
            <w:sz w:val="18"/>
            <w:szCs w:val="18"/>
          </w:rPr>
          <w:t>TOWN OF EAST FREMANTLE LOCAL PLANNING POLICY</w:t>
        </w:r>
      </w:p>
      <w:p w14:paraId="76847E37" w14:textId="77777777" w:rsidR="00FD55D7" w:rsidRDefault="00FD55D7" w:rsidP="008048CE">
        <w:pPr>
          <w:pStyle w:val="Footer"/>
          <w:tabs>
            <w:tab w:val="clear" w:pos="4513"/>
            <w:tab w:val="center" w:pos="4536"/>
            <w:tab w:val="right" w:pos="9072"/>
          </w:tabs>
          <w:jc w:val="center"/>
        </w:pPr>
        <w:r>
          <w:rPr>
            <w:rStyle w:val="PageNumber"/>
            <w:rFonts w:ascii="Avenir LT 45 Book" w:hAnsi="Avenir LT 45 Book" w:cs="Arial"/>
            <w:sz w:val="18"/>
            <w:szCs w:val="18"/>
          </w:rPr>
          <w:tab/>
        </w:r>
        <w:r w:rsidRPr="009D79C1">
          <w:rPr>
            <w:rStyle w:val="PageNumber"/>
            <w:rFonts w:ascii="Avenir LT 45 Book" w:hAnsi="Avenir LT 45 Book" w:cs="Arial"/>
            <w:sz w:val="18"/>
            <w:szCs w:val="18"/>
          </w:rPr>
          <w:t xml:space="preserve">RESIDENTIAL DESIGN GUIDELINES </w:t>
        </w:r>
        <w:r>
          <w:rPr>
            <w:rStyle w:val="PageNumber"/>
            <w:rFonts w:ascii="Avenir LT 45 Book" w:hAnsi="Avenir LT 45 Book" w:cs="Arial"/>
            <w:sz w:val="18"/>
            <w:szCs w:val="18"/>
          </w:rPr>
          <w:t>–</w:t>
        </w:r>
        <w:r>
          <w:t xml:space="preserve"> </w:t>
        </w:r>
        <w:r w:rsidRPr="007C1346">
          <w:rPr>
            <w:sz w:val="18"/>
            <w:szCs w:val="18"/>
          </w:rPr>
          <w:t>RICHMOND RACEWAY</w:t>
        </w:r>
        <w:r>
          <w:tab/>
          <w:t xml:space="preserve">Page </w:t>
        </w:r>
        <w:r>
          <w:fldChar w:fldCharType="begin"/>
        </w:r>
        <w:r>
          <w:instrText xml:space="preserve"> PAGE   \* MERGEFORMAT </w:instrText>
        </w:r>
        <w:r>
          <w:fldChar w:fldCharType="separate"/>
        </w:r>
        <w:r>
          <w:rPr>
            <w:noProof/>
          </w:rPr>
          <w:t>104</w:t>
        </w:r>
        <w:r>
          <w:rPr>
            <w:noProof/>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8273907"/>
      <w:docPartObj>
        <w:docPartGallery w:val="Page Numbers (Bottom of Page)"/>
        <w:docPartUnique/>
      </w:docPartObj>
    </w:sdtPr>
    <w:sdtEndPr/>
    <w:sdtContent>
      <w:p w14:paraId="775A6FDB" w14:textId="77777777" w:rsidR="00FD55D7" w:rsidRDefault="00FD55D7" w:rsidP="008048CE">
        <w:pPr>
          <w:pStyle w:val="Footer"/>
          <w:jc w:val="center"/>
          <w:rPr>
            <w:rStyle w:val="PageNumber"/>
            <w:rFonts w:ascii="Avenir LT 45 Book" w:hAnsi="Avenir LT 45 Book" w:cs="Arial"/>
            <w:sz w:val="18"/>
            <w:szCs w:val="18"/>
          </w:rPr>
        </w:pPr>
        <w:r>
          <w:rPr>
            <w:rStyle w:val="PageNumber"/>
            <w:rFonts w:ascii="Avenir LT 45 Book" w:hAnsi="Avenir LT 45 Book" w:cs="Arial"/>
            <w:sz w:val="18"/>
            <w:szCs w:val="18"/>
          </w:rPr>
          <w:t>TOWN OF EAST FREMANTLE LOCAL PLANNING POLICY</w:t>
        </w:r>
      </w:p>
      <w:p w14:paraId="638222E3" w14:textId="77777777" w:rsidR="00FD55D7" w:rsidRDefault="00FD55D7" w:rsidP="008048CE">
        <w:pPr>
          <w:pStyle w:val="Footer"/>
          <w:tabs>
            <w:tab w:val="clear" w:pos="4513"/>
            <w:tab w:val="center" w:pos="4536"/>
            <w:tab w:val="right" w:pos="9072"/>
          </w:tabs>
          <w:jc w:val="center"/>
        </w:pPr>
        <w:r>
          <w:rPr>
            <w:rStyle w:val="PageNumber"/>
            <w:rFonts w:ascii="Avenir LT 45 Book" w:hAnsi="Avenir LT 45 Book" w:cs="Arial"/>
            <w:sz w:val="18"/>
            <w:szCs w:val="18"/>
          </w:rPr>
          <w:tab/>
        </w:r>
        <w:r w:rsidRPr="009D79C1">
          <w:rPr>
            <w:rStyle w:val="PageNumber"/>
            <w:rFonts w:ascii="Avenir LT 45 Book" w:hAnsi="Avenir LT 45 Book" w:cs="Arial"/>
            <w:sz w:val="18"/>
            <w:szCs w:val="18"/>
          </w:rPr>
          <w:t xml:space="preserve">RESIDENTIAL DESIGN GUIDELINES </w:t>
        </w:r>
        <w:r>
          <w:rPr>
            <w:rStyle w:val="PageNumber"/>
            <w:rFonts w:ascii="Avenir LT 45 Book" w:hAnsi="Avenir LT 45 Book" w:cs="Arial"/>
            <w:sz w:val="18"/>
            <w:szCs w:val="18"/>
          </w:rPr>
          <w:t>– DEVELOPMENT APPLICATIONS</w:t>
        </w:r>
        <w:r>
          <w:tab/>
          <w:t xml:space="preserve">Page </w:t>
        </w:r>
        <w:r>
          <w:fldChar w:fldCharType="begin"/>
        </w:r>
        <w:r>
          <w:instrText xml:space="preserve"> PAGE   \* MERGEFORMAT </w:instrText>
        </w:r>
        <w:r>
          <w:fldChar w:fldCharType="separate"/>
        </w:r>
        <w:r>
          <w:rPr>
            <w:noProof/>
          </w:rPr>
          <w:t>106</w:t>
        </w:r>
        <w:r>
          <w:rPr>
            <w:noProof/>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7494488"/>
      <w:docPartObj>
        <w:docPartGallery w:val="Page Numbers (Bottom of Page)"/>
        <w:docPartUnique/>
      </w:docPartObj>
    </w:sdtPr>
    <w:sdtEndPr/>
    <w:sdtContent>
      <w:p w14:paraId="03C9C975" w14:textId="77777777" w:rsidR="00FD55D7" w:rsidRDefault="00FD55D7" w:rsidP="008048CE">
        <w:pPr>
          <w:pStyle w:val="Footer"/>
          <w:jc w:val="center"/>
          <w:rPr>
            <w:rStyle w:val="PageNumber"/>
            <w:rFonts w:ascii="Avenir LT 45 Book" w:hAnsi="Avenir LT 45 Book" w:cs="Arial"/>
            <w:sz w:val="18"/>
            <w:szCs w:val="18"/>
          </w:rPr>
        </w:pPr>
        <w:r>
          <w:rPr>
            <w:rStyle w:val="PageNumber"/>
            <w:rFonts w:ascii="Avenir LT 45 Book" w:hAnsi="Avenir LT 45 Book" w:cs="Arial"/>
            <w:sz w:val="18"/>
            <w:szCs w:val="18"/>
          </w:rPr>
          <w:t>TOWN OF EAST FREMANTLE LOCAL PLANNING POLICY</w:t>
        </w:r>
      </w:p>
      <w:p w14:paraId="6F424A1E" w14:textId="77777777" w:rsidR="00FD55D7" w:rsidRDefault="00FD55D7" w:rsidP="008048CE">
        <w:pPr>
          <w:pStyle w:val="Footer"/>
          <w:tabs>
            <w:tab w:val="clear" w:pos="4513"/>
            <w:tab w:val="center" w:pos="4536"/>
            <w:tab w:val="right" w:pos="9072"/>
          </w:tabs>
          <w:jc w:val="center"/>
        </w:pPr>
        <w:r>
          <w:rPr>
            <w:rStyle w:val="PageNumber"/>
            <w:rFonts w:ascii="Avenir LT 45 Book" w:hAnsi="Avenir LT 45 Book" w:cs="Arial"/>
            <w:sz w:val="18"/>
            <w:szCs w:val="18"/>
          </w:rPr>
          <w:tab/>
        </w:r>
        <w:r w:rsidRPr="009D79C1">
          <w:rPr>
            <w:rStyle w:val="PageNumber"/>
            <w:rFonts w:ascii="Avenir LT 45 Book" w:hAnsi="Avenir LT 45 Book" w:cs="Arial"/>
            <w:sz w:val="18"/>
            <w:szCs w:val="18"/>
          </w:rPr>
          <w:t xml:space="preserve">RESIDENTIAL DESIGN GUIDELINES </w:t>
        </w:r>
        <w:r>
          <w:rPr>
            <w:rStyle w:val="PageNumber"/>
            <w:rFonts w:ascii="Avenir LT 45 Book" w:hAnsi="Avenir LT 45 Book" w:cs="Arial"/>
            <w:sz w:val="18"/>
            <w:szCs w:val="18"/>
          </w:rPr>
          <w:t>– APPENDIX A</w:t>
        </w:r>
        <w:r>
          <w:tab/>
          <w:t xml:space="preserve">Page </w:t>
        </w:r>
        <w:r>
          <w:fldChar w:fldCharType="begin"/>
        </w:r>
        <w:r>
          <w:instrText xml:space="preserve"> PAGE   \* MERGEFORMAT </w:instrText>
        </w:r>
        <w:r>
          <w:fldChar w:fldCharType="separate"/>
        </w:r>
        <w:r>
          <w:rPr>
            <w:noProof/>
          </w:rPr>
          <w:t>116</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12CD2" w14:textId="77777777" w:rsidR="00EC605B" w:rsidRDefault="00EC605B">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3399206"/>
      <w:docPartObj>
        <w:docPartGallery w:val="Page Numbers (Bottom of Page)"/>
        <w:docPartUnique/>
      </w:docPartObj>
    </w:sdtPr>
    <w:sdtEndPr>
      <w:rPr>
        <w:noProof/>
      </w:rPr>
    </w:sdtEndPr>
    <w:sdtContent>
      <w:p w14:paraId="75B11294" w14:textId="2BB1291D" w:rsidR="00164C01" w:rsidRDefault="00746ABF" w:rsidP="00D3450C">
        <w:pPr>
          <w:pStyle w:val="Footer"/>
          <w:jc w:val="center"/>
        </w:pPr>
      </w:p>
    </w:sdtContent>
  </w:sdt>
  <w:p w14:paraId="2522B892" w14:textId="77777777" w:rsidR="00164C01" w:rsidRDefault="00164C01">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61E39A" w14:textId="77777777" w:rsidR="00FD55D7" w:rsidRDefault="00FD55D7" w:rsidP="00C2142A">
    <w:pPr>
      <w:pStyle w:val="BodyText"/>
      <w:tabs>
        <w:tab w:val="center" w:pos="5165"/>
      </w:tabs>
      <w:spacing w:line="14" w:lineRule="auto"/>
      <w:rPr>
        <w:sz w:val="20"/>
      </w:rPr>
    </w:pPr>
    <w:r>
      <w:rPr>
        <w:sz w:val="20"/>
      </w:rPr>
      <w:tab/>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14CD7C" w14:textId="77777777" w:rsidR="00FD55D7" w:rsidRDefault="00FD55D7">
    <w:pPr>
      <w:pStyle w:val="BodyText"/>
      <w:spacing w:line="14" w:lineRule="auto"/>
      <w:rPr>
        <w:sz w:val="14"/>
      </w:rPr>
    </w:pPr>
    <w:r>
      <w:rPr>
        <w:noProof/>
        <w:lang w:val="en-AU" w:eastAsia="en-AU"/>
      </w:rPr>
      <mc:AlternateContent>
        <mc:Choice Requires="wps">
          <w:drawing>
            <wp:anchor distT="0" distB="0" distL="114300" distR="114300" simplePos="0" relativeHeight="251660288" behindDoc="1" locked="0" layoutInCell="1" allowOverlap="1" wp14:anchorId="21A7D724" wp14:editId="3EF5441D">
              <wp:simplePos x="0" y="0"/>
              <wp:positionH relativeFrom="page">
                <wp:posOffset>3698240</wp:posOffset>
              </wp:positionH>
              <wp:positionV relativeFrom="page">
                <wp:posOffset>9916160</wp:posOffset>
              </wp:positionV>
              <wp:extent cx="193040" cy="165735"/>
              <wp:effectExtent l="0" t="0" r="0" b="0"/>
              <wp:wrapNone/>
              <wp:docPr id="26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5D5BD" w14:textId="77777777" w:rsidR="00FD55D7" w:rsidRDefault="00FD55D7" w:rsidP="00895C3A">
                          <w:pPr>
                            <w:pStyle w:val="BodyText"/>
                            <w:spacing w:line="245" w:lineRule="exact"/>
                            <w:ind w:left="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A7D724" id="_x0000_t202" coordsize="21600,21600" o:spt="202" path="m,l,21600r21600,l21600,xe">
              <v:stroke joinstyle="miter"/>
              <v:path gradientshapeok="t" o:connecttype="rect"/>
            </v:shapetype>
            <v:shape id="_x0000_s1169" type="#_x0000_t202" style="position:absolute;left:0;text-align:left;margin-left:291.2pt;margin-top:780.8pt;width:15.2pt;height:13.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" filled="f" stroked="f">
              <v:textbox inset="0,0,0,0">
                <w:txbxContent>
                  <w:p w14:paraId="7565D5BD" w14:textId="77777777" w:rsidR="00FD55D7" w:rsidRDefault="00FD55D7" w:rsidP="00895C3A">
                    <w:pPr>
                      <w:pStyle w:val="BodyText"/>
                      <w:spacing w:line="245" w:lineRule="exact"/>
                      <w:ind w:left="0"/>
                    </w:pP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AEDBE" w14:textId="77777777" w:rsidR="00FD55D7" w:rsidRDefault="00FD55D7">
    <w:pPr>
      <w:pStyle w:val="BodyText"/>
      <w:spacing w:line="14" w:lineRule="auto"/>
      <w:rPr>
        <w:sz w:val="20"/>
      </w:rPr>
    </w:pPr>
    <w:r>
      <w:rPr>
        <w:noProof/>
        <w:lang w:val="en-AU" w:eastAsia="en-AU"/>
      </w:rPr>
      <mc:AlternateContent>
        <mc:Choice Requires="wps">
          <w:drawing>
            <wp:anchor distT="0" distB="0" distL="114300" distR="114300" simplePos="0" relativeHeight="251661312" behindDoc="1" locked="0" layoutInCell="1" allowOverlap="1" wp14:anchorId="6242E3AD" wp14:editId="3B254734">
              <wp:simplePos x="0" y="0"/>
              <wp:positionH relativeFrom="page">
                <wp:posOffset>3698240</wp:posOffset>
              </wp:positionH>
              <wp:positionV relativeFrom="page">
                <wp:posOffset>9916160</wp:posOffset>
              </wp:positionV>
              <wp:extent cx="167640" cy="165735"/>
              <wp:effectExtent l="0" t="0" r="0" b="0"/>
              <wp:wrapNone/>
              <wp:docPr id="2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F8923" w14:textId="77777777" w:rsidR="00FD55D7" w:rsidRDefault="00FD55D7">
                          <w:pPr>
                            <w:pStyle w:val="BodyText"/>
                            <w:spacing w:line="245" w:lineRule="exact"/>
                            <w:ind w:left="20"/>
                          </w:pPr>
                          <w: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42E3AD" id="_x0000_t202" coordsize="21600,21600" o:spt="202" path="m,l,21600r21600,l21600,xe">
              <v:stroke joinstyle="miter"/>
              <v:path gradientshapeok="t" o:connecttype="rect"/>
            </v:shapetype>
            <v:shape id="_x0000_s1170" type="#_x0000_t202" style="position:absolute;left:0;text-align:left;margin-left:291.2pt;margin-top:780.8pt;width:13.2pt;height:13.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" filled="f" stroked="f">
              <v:textbox inset="0,0,0,0">
                <w:txbxContent>
                  <w:p w14:paraId="5FFF8923" w14:textId="77777777" w:rsidR="00FD55D7" w:rsidRDefault="00FD55D7">
                    <w:pPr>
                      <w:pStyle w:val="BodyText"/>
                      <w:spacing w:line="245" w:lineRule="exact"/>
                      <w:ind w:left="20"/>
                    </w:pPr>
                    <w:r>
                      <w:t>30</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21973" w14:textId="77777777" w:rsidR="00FD55D7" w:rsidRDefault="00FD55D7">
    <w:pPr>
      <w:pStyle w:val="BodyText"/>
      <w:spacing w:line="14" w:lineRule="auto"/>
      <w:rPr>
        <w:sz w:val="20"/>
      </w:rPr>
    </w:pPr>
    <w:r>
      <w:rPr>
        <w:noProof/>
        <w:lang w:val="en-AU" w:eastAsia="en-AU"/>
      </w:rPr>
      <mc:AlternateContent>
        <mc:Choice Requires="wps">
          <w:drawing>
            <wp:anchor distT="0" distB="0" distL="114300" distR="114300" simplePos="0" relativeHeight="251662336" behindDoc="1" locked="0" layoutInCell="1" allowOverlap="1" wp14:anchorId="20296A30" wp14:editId="6FDB742C">
              <wp:simplePos x="0" y="0"/>
              <wp:positionH relativeFrom="page">
                <wp:posOffset>3698240</wp:posOffset>
              </wp:positionH>
              <wp:positionV relativeFrom="page">
                <wp:posOffset>9916160</wp:posOffset>
              </wp:positionV>
              <wp:extent cx="193040" cy="165735"/>
              <wp:effectExtent l="0" t="0" r="0" b="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FF46B" w14:textId="77777777" w:rsidR="00FD55D7" w:rsidRDefault="00FD55D7">
                          <w:pPr>
                            <w:pStyle w:val="BodyText"/>
                            <w:spacing w:line="245" w:lineRule="exact"/>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296A30" id="_x0000_t202" coordsize="21600,21600" o:spt="202" path="m,l,21600r21600,l21600,xe">
              <v:stroke joinstyle="miter"/>
              <v:path gradientshapeok="t" o:connecttype="rect"/>
            </v:shapetype>
            <v:shape id="_x0000_s1171" type="#_x0000_t202" style="position:absolute;left:0;text-align:left;margin-left:291.2pt;margin-top:780.8pt;width:15.2pt;height:13.0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" filled="f" stroked="f">
              <v:textbox inset="0,0,0,0">
                <w:txbxContent>
                  <w:p w14:paraId="603FF46B" w14:textId="77777777" w:rsidR="00FD55D7" w:rsidRDefault="00FD55D7">
                    <w:pPr>
                      <w:pStyle w:val="BodyText"/>
                      <w:spacing w:line="245" w:lineRule="exact"/>
                      <w:ind w:left="20"/>
                    </w:pP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18A1F" w14:textId="77777777" w:rsidR="00FD55D7" w:rsidRDefault="00FD55D7" w:rsidP="00287890">
    <w:pPr>
      <w:pStyle w:val="Footer"/>
      <w:pBdr>
        <w:top w:val="single" w:sz="4" w:space="1" w:color="auto"/>
      </w:pBdr>
      <w:tabs>
        <w:tab w:val="clear" w:pos="4513"/>
        <w:tab w:val="center" w:pos="4536"/>
        <w:tab w:val="right" w:pos="9072"/>
      </w:tabs>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B56B9" w14:textId="77777777" w:rsidR="00FD55D7" w:rsidRDefault="00FD55D7">
    <w:pPr>
      <w:pStyle w:val="Footer"/>
      <w:pBdr>
        <w:bottom w:val="single" w:sz="4" w:space="1" w:color="auto"/>
      </w:pBdr>
      <w:rPr>
        <w:sz w:val="20"/>
      </w:rPr>
    </w:pPr>
  </w:p>
  <w:p w14:paraId="717AB4F2" w14:textId="5437D779" w:rsidR="00FD55D7" w:rsidRDefault="00FD55D7">
    <w:pPr>
      <w:pStyle w:val="Footer"/>
      <w:tabs>
        <w:tab w:val="center" w:pos="3600"/>
        <w:tab w:val="right" w:pos="7080"/>
      </w:tabs>
      <w:rPr>
        <w:sz w:val="20"/>
      </w:rPr>
    </w:pPr>
    <w:r>
      <w:rPr>
        <w:sz w:val="20"/>
      </w:rPr>
      <w:tab/>
      <w:t xml:space="preserve">Version </w:t>
    </w:r>
    <w:r>
      <w:rPr>
        <w:sz w:val="20"/>
      </w:rPr>
      <w:fldChar w:fldCharType="begin"/>
    </w:r>
    <w:r>
      <w:rPr>
        <w:sz w:val="20"/>
      </w:rPr>
      <w:instrText xml:space="preserve"> DOCPROPERTY "Suffix" </w:instrText>
    </w:r>
    <w:r>
      <w:rPr>
        <w:sz w:val="20"/>
      </w:rPr>
      <w:fldChar w:fldCharType="separate"/>
    </w:r>
    <w:r w:rsidR="004D51B7">
      <w:rPr>
        <w:b/>
        <w:bCs/>
        <w:sz w:val="20"/>
        <w:lang w:val="en-US"/>
      </w:rPr>
      <w:t>Error! Unknown document property name.</w:t>
    </w:r>
    <w:r>
      <w:rPr>
        <w:sz w:val="20"/>
      </w:rPr>
      <w:fldChar w:fldCharType="end"/>
    </w:r>
    <w:r>
      <w:rPr>
        <w:sz w:val="20"/>
      </w:rPr>
      <w:tab/>
      <w:t xml:space="preserve">As at </w:t>
    </w:r>
    <w:r>
      <w:rPr>
        <w:sz w:val="20"/>
      </w:rPr>
      <w:fldChar w:fldCharType="begin"/>
    </w:r>
    <w:r>
      <w:rPr>
        <w:sz w:val="20"/>
      </w:rPr>
      <w:instrText xml:space="preserve"> DOCPROPERTY "AsAtDate" </w:instrText>
    </w:r>
    <w:r>
      <w:rPr>
        <w:sz w:val="20"/>
      </w:rPr>
      <w:fldChar w:fldCharType="separate"/>
    </w:r>
    <w:r w:rsidR="004D51B7">
      <w:rPr>
        <w:b/>
        <w:bCs/>
        <w:sz w:val="20"/>
        <w:lang w:val="en-US"/>
      </w:rPr>
      <w:t>Error! Unknown document property name.</w:t>
    </w:r>
    <w:r>
      <w:rPr>
        <w:sz w:val="20"/>
      </w:rPr>
      <w:fldChar w:fldCharType="end"/>
    </w:r>
  </w:p>
  <w:p w14:paraId="0B7C9B88" w14:textId="77777777" w:rsidR="00FD55D7" w:rsidRDefault="00FD55D7">
    <w:pPr>
      <w:pStyle w:val="Footer"/>
      <w:tabs>
        <w:tab w:val="center" w:pos="3600"/>
      </w:tabs>
      <w:rPr>
        <w:sz w:val="16"/>
      </w:rPr>
    </w:pPr>
    <w:r>
      <w:rPr>
        <w:sz w:val="16"/>
      </w:rPr>
      <w:tab/>
      <w:t>Published on www.legislation.wa.gov.au</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214AC" w14:textId="77777777" w:rsidR="00FD55D7" w:rsidRPr="00D5772A" w:rsidRDefault="00FD55D7" w:rsidP="00FF1058">
    <w:pPr>
      <w:pStyle w:val="Footer"/>
      <w:jc w:val="center"/>
      <w:rPr>
        <w:rFonts w:ascii="Times New Roman" w:hAnsi="Times New Roman" w:cs="Times New Roman"/>
        <w:sz w:val="18"/>
        <w:szCs w:val="18"/>
      </w:rPr>
    </w:pPr>
  </w:p>
  <w:p w14:paraId="2FDFBC03" w14:textId="77777777" w:rsidR="00FD55D7" w:rsidRDefault="00FD55D7" w:rsidP="00FF1058">
    <w:pPr>
      <w:pStyle w:val="Footer"/>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D67F17" w14:textId="77777777" w:rsidR="00FD55D7" w:rsidRDefault="00FD55D7">
    <w:pPr>
      <w:pStyle w:val="Footer"/>
      <w:pBdr>
        <w:bottom w:val="single" w:sz="4" w:space="1" w:color="auto"/>
      </w:pBdr>
      <w:rPr>
        <w:sz w:val="20"/>
      </w:rPr>
    </w:pPr>
  </w:p>
  <w:p w14:paraId="37D66DEC" w14:textId="560628FE" w:rsidR="00FD55D7" w:rsidRDefault="00FD55D7">
    <w:pPr>
      <w:pStyle w:val="Footer"/>
      <w:tabs>
        <w:tab w:val="center" w:pos="3600"/>
        <w:tab w:val="right" w:pos="7080"/>
      </w:tabs>
      <w:rPr>
        <w:sz w:val="20"/>
      </w:rPr>
    </w:pPr>
    <w:r>
      <w:rPr>
        <w:sz w:val="20"/>
      </w:rPr>
      <w:t xml:space="preserve">As at </w:t>
    </w:r>
    <w:r>
      <w:rPr>
        <w:sz w:val="20"/>
      </w:rPr>
      <w:fldChar w:fldCharType="begin"/>
    </w:r>
    <w:r>
      <w:rPr>
        <w:sz w:val="20"/>
      </w:rPr>
      <w:instrText xml:space="preserve"> DOCPROPERTY "AsAtDate" </w:instrText>
    </w:r>
    <w:r>
      <w:rPr>
        <w:sz w:val="20"/>
      </w:rPr>
      <w:fldChar w:fldCharType="separate"/>
    </w:r>
    <w:r w:rsidR="004D51B7">
      <w:rPr>
        <w:b/>
        <w:bCs/>
        <w:sz w:val="20"/>
        <w:lang w:val="en-US"/>
      </w:rPr>
      <w:t>Error! Unknown document property name.</w:t>
    </w:r>
    <w:r>
      <w:rPr>
        <w:sz w:val="20"/>
      </w:rPr>
      <w:fldChar w:fldCharType="end"/>
    </w:r>
    <w:r>
      <w:rPr>
        <w:sz w:val="20"/>
      </w:rPr>
      <w:tab/>
      <w:t xml:space="preserve">Version </w:t>
    </w:r>
    <w:r>
      <w:rPr>
        <w:sz w:val="20"/>
      </w:rPr>
      <w:fldChar w:fldCharType="begin"/>
    </w:r>
    <w:r>
      <w:rPr>
        <w:sz w:val="20"/>
      </w:rPr>
      <w:instrText xml:space="preserve"> DOCPROPERTY "Suffix" </w:instrText>
    </w:r>
    <w:r>
      <w:rPr>
        <w:sz w:val="20"/>
      </w:rPr>
      <w:fldChar w:fldCharType="separate"/>
    </w:r>
    <w:r w:rsidR="004D51B7">
      <w:rPr>
        <w:b/>
        <w:bCs/>
        <w:sz w:val="20"/>
        <w:lang w:val="en-US"/>
      </w:rPr>
      <w:t>Error! Unknown document property name.</w:t>
    </w:r>
    <w:r>
      <w:rPr>
        <w:sz w:val="20"/>
      </w:rPr>
      <w:fldChar w:fldCharType="end"/>
    </w:r>
  </w:p>
  <w:p w14:paraId="3843C509" w14:textId="77777777" w:rsidR="00FD55D7" w:rsidRDefault="00FD55D7">
    <w:pPr>
      <w:pStyle w:val="Footer"/>
      <w:tabs>
        <w:tab w:val="center" w:pos="3600"/>
      </w:tabs>
      <w:rPr>
        <w:sz w:val="16"/>
      </w:rPr>
    </w:pPr>
    <w:r>
      <w:rPr>
        <w:sz w:val="16"/>
      </w:rPr>
      <w:tab/>
      <w:t>Published on www.legislation.wa.gov.au</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28D8C" w14:textId="77777777" w:rsidR="00FD55D7" w:rsidRPr="00D5772A" w:rsidRDefault="00FD55D7" w:rsidP="00FF1058">
    <w:pPr>
      <w:pStyle w:val="Footer"/>
      <w:jc w:val="center"/>
      <w:rPr>
        <w:rFonts w:ascii="Times New Roman" w:hAnsi="Times New Roman" w:cs="Times New Roman"/>
        <w:sz w:val="18"/>
        <w:szCs w:val="18"/>
      </w:rPr>
    </w:pPr>
  </w:p>
  <w:p w14:paraId="2DFD23BB" w14:textId="77777777" w:rsidR="00FD55D7" w:rsidRDefault="00FD55D7" w:rsidP="00FF1058">
    <w:pPr>
      <w:pStyle w:val="Footer"/>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5351689"/>
      <w:docPartObj>
        <w:docPartGallery w:val="Page Numbers (Bottom of Page)"/>
        <w:docPartUnique/>
      </w:docPartObj>
    </w:sdtPr>
    <w:sdtEndPr>
      <w:rPr>
        <w:noProof/>
      </w:rPr>
    </w:sdtEndPr>
    <w:sdtContent>
      <w:p w14:paraId="2B6B23DD" w14:textId="16430193" w:rsidR="00FD55D7" w:rsidRDefault="00FD55D7" w:rsidP="00A76C7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A1428E2" w14:textId="77777777" w:rsidR="00FD55D7" w:rsidRDefault="00FD55D7" w:rsidP="00A76C77">
    <w:pPr>
      <w:pStyle w:val="Footer"/>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6442894"/>
      <w:docPartObj>
        <w:docPartGallery w:val="Page Numbers (Bottom of Page)"/>
        <w:docPartUnique/>
      </w:docPartObj>
    </w:sdtPr>
    <w:sdtEndPr>
      <w:rPr>
        <w:noProof/>
      </w:rPr>
    </w:sdtEndPr>
    <w:sdtContent>
      <w:p w14:paraId="1EE6F1A2" w14:textId="77777777" w:rsidR="002D6926" w:rsidRDefault="002D692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CD08F46" w14:textId="77777777" w:rsidR="002D6926" w:rsidRDefault="002D69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42A32D" w14:textId="77777777" w:rsidR="000552AD" w:rsidRDefault="000552AD" w:rsidP="00110364">
      <w:pPr>
        <w:spacing w:after="0" w:line="240" w:lineRule="auto"/>
      </w:pPr>
      <w:r>
        <w:separator/>
      </w:r>
    </w:p>
  </w:footnote>
  <w:footnote w:type="continuationSeparator" w:id="0">
    <w:p w14:paraId="34A56191" w14:textId="77777777" w:rsidR="000552AD" w:rsidRDefault="000552AD" w:rsidP="00110364">
      <w:pPr>
        <w:spacing w:after="0" w:line="240" w:lineRule="auto"/>
      </w:pPr>
      <w:r>
        <w:continuationSeparator/>
      </w:r>
    </w:p>
  </w:footnote>
  <w:footnote w:id="1">
    <w:p w14:paraId="694F710B" w14:textId="77777777" w:rsidR="00FD55D7" w:rsidRPr="008F4A30" w:rsidRDefault="00FD55D7" w:rsidP="008F4A30">
      <w:pPr>
        <w:pStyle w:val="FootnoteText"/>
        <w:jc w:val="both"/>
        <w:rPr>
          <w:rFonts w:asciiTheme="minorHAnsi" w:hAnsiTheme="minorHAnsi" w:cstheme="minorHAnsi"/>
        </w:rPr>
      </w:pPr>
      <w:r w:rsidRPr="008F4A30">
        <w:rPr>
          <w:rStyle w:val="FootnoteReference"/>
          <w:rFonts w:asciiTheme="minorHAnsi" w:hAnsiTheme="minorHAnsi" w:cstheme="minorHAnsi"/>
        </w:rPr>
        <w:footnoteRef/>
      </w:r>
      <w:r w:rsidRPr="008F4A30">
        <w:rPr>
          <w:rFonts w:asciiTheme="minorHAnsi" w:hAnsiTheme="minorHAnsi" w:cstheme="minorHAnsi"/>
        </w:rPr>
        <w:t xml:space="preserve"> Environmental Protection Act 1986 and the Environmental Protection (Noise) Regulations 1997 provide powers for officers of the Department of Environment, WA Police Service and authorised Environmental Health officers from Local Governments to regulate noise where it is deemed to constitute a ‘nuisance’.</w:t>
      </w:r>
    </w:p>
    <w:p w14:paraId="27B0A6D6" w14:textId="77777777" w:rsidR="00FD55D7" w:rsidRPr="00373B75" w:rsidRDefault="00FD55D7" w:rsidP="008F4A30">
      <w:pPr>
        <w:pStyle w:val="FootnoteText"/>
        <w:jc w:val="both"/>
        <w:rPr>
          <w:rFonts w:ascii="Arial" w:hAnsi="Arial" w:cs="Arial"/>
          <w:sz w:val="18"/>
          <w:szCs w:val="18"/>
        </w:rPr>
      </w:pPr>
      <w:r w:rsidRPr="008F4A30">
        <w:rPr>
          <w:rFonts w:asciiTheme="minorHAnsi" w:hAnsiTheme="minorHAnsi" w:cstheme="minorHAnsi"/>
        </w:rPr>
        <w:t>The Director Liquor Licensing Division has power to deal with noise issues and anti-social behaviour under section 117 of the Liquor Licensing Act 1988.</w:t>
      </w:r>
    </w:p>
  </w:footnote>
  <w:footnote w:id="2">
    <w:p w14:paraId="3EFD328A" w14:textId="77777777" w:rsidR="00FD55D7" w:rsidRPr="008F4A30" w:rsidRDefault="00FD55D7" w:rsidP="008F4A30">
      <w:pPr>
        <w:autoSpaceDE w:val="0"/>
        <w:autoSpaceDN w:val="0"/>
        <w:adjustRightInd w:val="0"/>
        <w:spacing w:after="0"/>
        <w:rPr>
          <w:sz w:val="18"/>
          <w:szCs w:val="18"/>
        </w:rPr>
      </w:pPr>
      <w:r w:rsidRPr="008F4A30">
        <w:rPr>
          <w:rStyle w:val="FootnoteReference"/>
          <w:sz w:val="18"/>
          <w:szCs w:val="18"/>
        </w:rPr>
        <w:footnoteRef/>
      </w:r>
      <w:r w:rsidRPr="008F4A30">
        <w:rPr>
          <w:sz w:val="18"/>
          <w:szCs w:val="18"/>
        </w:rPr>
        <w:t xml:space="preserve"> A major road shall have the same meaning as the definition contained in the Environmental Protection (Noise) Regulations 1997 being “a road estimated to have an average daily traffic count of more than 15,000 vehicles”. Major roads within the Town of East Fremantle are the Canning and Stirling Highways. For residential dwellings within 150m of a rail corridor, a design sound level tolerance of 5 dB in excess of the above levels is acceptable. </w:t>
      </w:r>
    </w:p>
    <w:p w14:paraId="1288A6F6" w14:textId="77777777" w:rsidR="00FD55D7" w:rsidRDefault="00FD55D7" w:rsidP="008F4A30">
      <w:pPr>
        <w:pStyle w:val="FootnoteText"/>
      </w:pPr>
    </w:p>
  </w:footnote>
  <w:footnote w:id="3">
    <w:p w14:paraId="1F79E224" w14:textId="77777777" w:rsidR="00FD55D7" w:rsidRPr="00D51CB7" w:rsidRDefault="00FD55D7" w:rsidP="008F4A30">
      <w:pPr>
        <w:pStyle w:val="FootnoteText"/>
        <w:rPr>
          <w:lang w:val="en-US"/>
        </w:rPr>
      </w:pPr>
      <w:r w:rsidRPr="00D51CB7">
        <w:rPr>
          <w:rStyle w:val="FootnoteReference"/>
        </w:rPr>
        <w:footnoteRef/>
      </w:r>
      <w:r w:rsidRPr="00D51CB7">
        <w:t xml:space="preserve"> </w:t>
      </w:r>
      <w:r w:rsidRPr="00D51CB7">
        <w:rPr>
          <w:lang w:val="en-US"/>
        </w:rPr>
        <w:t>For further guidance refer to State Planning Policy 5.4 – Road and Rail Transport Noise and Freight Considerations in Land Use Planning, section 5.3 Noise Criteria which apply to outdoor living areas.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973AB" w14:textId="77777777" w:rsidR="00EC605B" w:rsidRDefault="00EC6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0ADBF" w14:textId="77777777" w:rsidR="00EC605B" w:rsidRDefault="00EC605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A5DD0" w14:textId="77777777" w:rsidR="00EC605B" w:rsidRDefault="00EC605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28FDD" w14:textId="77777777" w:rsidR="00FD55D7" w:rsidRDefault="00FD55D7">
    <w:pPr>
      <w:pStyle w:val="Header"/>
    </w:pPr>
    <w:bookmarkStart w:id="15" w:name="TitlePage"/>
    <w:bookmarkEnd w:id="15"/>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CD38" w14:textId="77777777" w:rsidR="002D6926" w:rsidRDefault="002D6926">
    <w:pPr>
      <w:pStyle w:val="Header"/>
    </w:pPr>
    <w:r w:rsidRPr="00557EC9">
      <w:rPr>
        <w:noProof/>
        <w:lang w:eastAsia="en-AU"/>
      </w:rPr>
      <w:drawing>
        <wp:anchor distT="0" distB="0" distL="114300" distR="114300" simplePos="0" relativeHeight="251673600" behindDoc="1" locked="0" layoutInCell="1" allowOverlap="1" wp14:anchorId="25FB617E" wp14:editId="37D7EA74">
          <wp:simplePos x="0" y="0"/>
          <wp:positionH relativeFrom="page">
            <wp:align>right</wp:align>
          </wp:positionH>
          <wp:positionV relativeFrom="paragraph">
            <wp:posOffset>-433388</wp:posOffset>
          </wp:positionV>
          <wp:extent cx="2182894" cy="1366520"/>
          <wp:effectExtent l="0" t="0" r="8255" b="5080"/>
          <wp:wrapNone/>
          <wp:docPr id="1682774600" name="Picture 168277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l="41711" b="74205"/>
                  <a:stretch/>
                </pic:blipFill>
                <pic:spPr bwMode="auto">
                  <a:xfrm>
                    <a:off x="0" y="0"/>
                    <a:ext cx="2182894" cy="1366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F5CF9" w14:textId="77777777" w:rsidR="002D6926" w:rsidRDefault="002D692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6579D" w14:textId="77777777" w:rsidR="00FD55D7" w:rsidRPr="001400A8" w:rsidRDefault="00FD55D7" w:rsidP="001400A8">
    <w:pPr>
      <w:pStyle w:val="Header"/>
      <w:rPr>
        <w:sz w:val="2"/>
        <w:szCs w:val="1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6FBA2" w14:textId="77777777" w:rsidR="00FD55D7" w:rsidRDefault="00FD55D7" w:rsidP="001400A8">
    <w:pPr>
      <w:pStyle w:val="Header"/>
      <w:tabs>
        <w:tab w:val="clear" w:pos="4513"/>
        <w:tab w:val="clear" w:pos="9026"/>
        <w:tab w:val="right" w:pos="9356"/>
      </w:tabs>
      <w:jc w:val="both"/>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F9360" w14:textId="77777777" w:rsidR="00164C01" w:rsidRDefault="00164C01" w:rsidP="00AC460C">
    <w:pPr>
      <w:pStyle w:val="Header"/>
      <w:ind w:left="144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74379"/>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4C1FD6"/>
    <w:multiLevelType w:val="hybridMultilevel"/>
    <w:tmpl w:val="F618BAFC"/>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05446F8"/>
    <w:multiLevelType w:val="hybridMultilevel"/>
    <w:tmpl w:val="9C026C48"/>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 w15:restartNumberingAfterBreak="0">
    <w:nsid w:val="00BD0710"/>
    <w:multiLevelType w:val="multilevel"/>
    <w:tmpl w:val="2076AB90"/>
    <w:numStyleLink w:val="Style2"/>
  </w:abstractNum>
  <w:abstractNum w:abstractNumId="4" w15:restartNumberingAfterBreak="0">
    <w:nsid w:val="019C7042"/>
    <w:multiLevelType w:val="hybridMultilevel"/>
    <w:tmpl w:val="5AC46C1C"/>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1D8680B"/>
    <w:multiLevelType w:val="hybridMultilevel"/>
    <w:tmpl w:val="12D6FD2A"/>
    <w:lvl w:ilvl="0" w:tplc="D4ECDB7E">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2063BD8"/>
    <w:multiLevelType w:val="hybridMultilevel"/>
    <w:tmpl w:val="FA5C2DBC"/>
    <w:lvl w:ilvl="0" w:tplc="213C6F62">
      <w:start w:val="1"/>
      <w:numFmt w:val="bullet"/>
      <w:lvlText w:val="­"/>
      <w:lvlJc w:val="left"/>
      <w:pPr>
        <w:ind w:left="536" w:hanging="360"/>
      </w:pPr>
      <w:rPr>
        <w:rFonts w:ascii="Courier New" w:hAnsi="Courier New" w:hint="default"/>
      </w:rPr>
    </w:lvl>
    <w:lvl w:ilvl="1" w:tplc="0C090003" w:tentative="1">
      <w:start w:val="1"/>
      <w:numFmt w:val="bullet"/>
      <w:lvlText w:val="o"/>
      <w:lvlJc w:val="left"/>
      <w:pPr>
        <w:ind w:left="1256" w:hanging="360"/>
      </w:pPr>
      <w:rPr>
        <w:rFonts w:ascii="Courier New" w:hAnsi="Courier New" w:cs="Courier New" w:hint="default"/>
      </w:rPr>
    </w:lvl>
    <w:lvl w:ilvl="2" w:tplc="0C090005" w:tentative="1">
      <w:start w:val="1"/>
      <w:numFmt w:val="bullet"/>
      <w:lvlText w:val=""/>
      <w:lvlJc w:val="left"/>
      <w:pPr>
        <w:ind w:left="1976" w:hanging="360"/>
      </w:pPr>
      <w:rPr>
        <w:rFonts w:ascii="Wingdings" w:hAnsi="Wingdings" w:hint="default"/>
      </w:rPr>
    </w:lvl>
    <w:lvl w:ilvl="3" w:tplc="0C090001" w:tentative="1">
      <w:start w:val="1"/>
      <w:numFmt w:val="bullet"/>
      <w:lvlText w:val=""/>
      <w:lvlJc w:val="left"/>
      <w:pPr>
        <w:ind w:left="2696" w:hanging="360"/>
      </w:pPr>
      <w:rPr>
        <w:rFonts w:ascii="Symbol" w:hAnsi="Symbol" w:hint="default"/>
      </w:rPr>
    </w:lvl>
    <w:lvl w:ilvl="4" w:tplc="0C090003" w:tentative="1">
      <w:start w:val="1"/>
      <w:numFmt w:val="bullet"/>
      <w:lvlText w:val="o"/>
      <w:lvlJc w:val="left"/>
      <w:pPr>
        <w:ind w:left="3416" w:hanging="360"/>
      </w:pPr>
      <w:rPr>
        <w:rFonts w:ascii="Courier New" w:hAnsi="Courier New" w:cs="Courier New" w:hint="default"/>
      </w:rPr>
    </w:lvl>
    <w:lvl w:ilvl="5" w:tplc="0C090005" w:tentative="1">
      <w:start w:val="1"/>
      <w:numFmt w:val="bullet"/>
      <w:lvlText w:val=""/>
      <w:lvlJc w:val="left"/>
      <w:pPr>
        <w:ind w:left="4136" w:hanging="360"/>
      </w:pPr>
      <w:rPr>
        <w:rFonts w:ascii="Wingdings" w:hAnsi="Wingdings" w:hint="default"/>
      </w:rPr>
    </w:lvl>
    <w:lvl w:ilvl="6" w:tplc="0C090001" w:tentative="1">
      <w:start w:val="1"/>
      <w:numFmt w:val="bullet"/>
      <w:lvlText w:val=""/>
      <w:lvlJc w:val="left"/>
      <w:pPr>
        <w:ind w:left="4856" w:hanging="360"/>
      </w:pPr>
      <w:rPr>
        <w:rFonts w:ascii="Symbol" w:hAnsi="Symbol" w:hint="default"/>
      </w:rPr>
    </w:lvl>
    <w:lvl w:ilvl="7" w:tplc="0C090003" w:tentative="1">
      <w:start w:val="1"/>
      <w:numFmt w:val="bullet"/>
      <w:lvlText w:val="o"/>
      <w:lvlJc w:val="left"/>
      <w:pPr>
        <w:ind w:left="5576" w:hanging="360"/>
      </w:pPr>
      <w:rPr>
        <w:rFonts w:ascii="Courier New" w:hAnsi="Courier New" w:cs="Courier New" w:hint="default"/>
      </w:rPr>
    </w:lvl>
    <w:lvl w:ilvl="8" w:tplc="0C090005" w:tentative="1">
      <w:start w:val="1"/>
      <w:numFmt w:val="bullet"/>
      <w:lvlText w:val=""/>
      <w:lvlJc w:val="left"/>
      <w:pPr>
        <w:ind w:left="6296" w:hanging="360"/>
      </w:pPr>
      <w:rPr>
        <w:rFonts w:ascii="Wingdings" w:hAnsi="Wingdings" w:hint="default"/>
      </w:rPr>
    </w:lvl>
  </w:abstractNum>
  <w:abstractNum w:abstractNumId="7" w15:restartNumberingAfterBreak="0">
    <w:nsid w:val="02495142"/>
    <w:multiLevelType w:val="hybridMultilevel"/>
    <w:tmpl w:val="3EC2E1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24D7726"/>
    <w:multiLevelType w:val="hybridMultilevel"/>
    <w:tmpl w:val="6110285E"/>
    <w:lvl w:ilvl="0" w:tplc="0DE67582">
      <w:start w:val="1"/>
      <w:numFmt w:val="upperLetter"/>
      <w:lvlText w:val="%1."/>
      <w:lvlJc w:val="left"/>
      <w:pPr>
        <w:ind w:left="480" w:hanging="360"/>
      </w:pPr>
      <w:rPr>
        <w:rFonts w:ascii="Calibri" w:eastAsia="Calibri" w:hAnsi="Calibri" w:cs="Calibri" w:hint="default"/>
        <w:w w:val="100"/>
        <w:sz w:val="22"/>
        <w:szCs w:val="22"/>
      </w:rPr>
    </w:lvl>
    <w:lvl w:ilvl="1" w:tplc="81AC101E">
      <w:numFmt w:val="bullet"/>
      <w:lvlText w:val=""/>
      <w:lvlJc w:val="left"/>
      <w:pPr>
        <w:ind w:left="840" w:hanging="360"/>
      </w:pPr>
      <w:rPr>
        <w:rFonts w:ascii="Symbol" w:eastAsia="Symbol" w:hAnsi="Symbol" w:cs="Symbol" w:hint="default"/>
        <w:color w:val="FF0000"/>
        <w:w w:val="100"/>
        <w:sz w:val="22"/>
        <w:szCs w:val="22"/>
      </w:rPr>
    </w:lvl>
    <w:lvl w:ilvl="2" w:tplc="C292068C">
      <w:numFmt w:val="bullet"/>
      <w:lvlText w:val=""/>
      <w:lvlJc w:val="left"/>
      <w:pPr>
        <w:ind w:left="1252" w:hanging="360"/>
      </w:pPr>
      <w:rPr>
        <w:rFonts w:ascii="Wingdings" w:eastAsia="Wingdings" w:hAnsi="Wingdings" w:cs="Wingdings" w:hint="default"/>
        <w:color w:val="FF0000"/>
        <w:w w:val="100"/>
        <w:sz w:val="22"/>
        <w:szCs w:val="22"/>
      </w:rPr>
    </w:lvl>
    <w:lvl w:ilvl="3" w:tplc="9A9CFCDE">
      <w:numFmt w:val="bullet"/>
      <w:lvlText w:val="•"/>
      <w:lvlJc w:val="left"/>
      <w:pPr>
        <w:ind w:left="2303" w:hanging="360"/>
      </w:pPr>
      <w:rPr>
        <w:rFonts w:hint="default"/>
      </w:rPr>
    </w:lvl>
    <w:lvl w:ilvl="4" w:tplc="5F20B872">
      <w:numFmt w:val="bullet"/>
      <w:lvlText w:val="•"/>
      <w:lvlJc w:val="left"/>
      <w:pPr>
        <w:ind w:left="3346" w:hanging="360"/>
      </w:pPr>
      <w:rPr>
        <w:rFonts w:hint="default"/>
      </w:rPr>
    </w:lvl>
    <w:lvl w:ilvl="5" w:tplc="95DEE4BC">
      <w:numFmt w:val="bullet"/>
      <w:lvlText w:val="•"/>
      <w:lvlJc w:val="left"/>
      <w:pPr>
        <w:ind w:left="4389" w:hanging="360"/>
      </w:pPr>
      <w:rPr>
        <w:rFonts w:hint="default"/>
      </w:rPr>
    </w:lvl>
    <w:lvl w:ilvl="6" w:tplc="92A67024">
      <w:numFmt w:val="bullet"/>
      <w:lvlText w:val="•"/>
      <w:lvlJc w:val="left"/>
      <w:pPr>
        <w:ind w:left="5433" w:hanging="360"/>
      </w:pPr>
      <w:rPr>
        <w:rFonts w:hint="default"/>
      </w:rPr>
    </w:lvl>
    <w:lvl w:ilvl="7" w:tplc="7C64649A">
      <w:numFmt w:val="bullet"/>
      <w:lvlText w:val="•"/>
      <w:lvlJc w:val="left"/>
      <w:pPr>
        <w:ind w:left="6476" w:hanging="360"/>
      </w:pPr>
      <w:rPr>
        <w:rFonts w:hint="default"/>
      </w:rPr>
    </w:lvl>
    <w:lvl w:ilvl="8" w:tplc="DE12EB6A">
      <w:numFmt w:val="bullet"/>
      <w:lvlText w:val="•"/>
      <w:lvlJc w:val="left"/>
      <w:pPr>
        <w:ind w:left="7519" w:hanging="360"/>
      </w:pPr>
      <w:rPr>
        <w:rFonts w:hint="default"/>
      </w:rPr>
    </w:lvl>
  </w:abstractNum>
  <w:abstractNum w:abstractNumId="9" w15:restartNumberingAfterBreak="0">
    <w:nsid w:val="024E24AF"/>
    <w:multiLevelType w:val="multilevel"/>
    <w:tmpl w:val="F98E45E8"/>
    <w:lvl w:ilvl="0">
      <w:start w:val="10"/>
      <w:numFmt w:val="decimal"/>
      <w:lvlText w:val="%1"/>
      <w:lvlJc w:val="left"/>
      <w:pPr>
        <w:ind w:left="840" w:hanging="721"/>
      </w:pPr>
      <w:rPr>
        <w:rFonts w:hint="default"/>
      </w:rPr>
    </w:lvl>
    <w:lvl w:ilvl="1">
      <w:start w:val="1"/>
      <w:numFmt w:val="decimal"/>
      <w:lvlText w:val="%1.%2"/>
      <w:lvlJc w:val="left"/>
      <w:pPr>
        <w:ind w:left="840" w:hanging="721"/>
      </w:pPr>
      <w:rPr>
        <w:rFonts w:ascii="Calibri" w:eastAsia="Calibri" w:hAnsi="Calibri" w:hint="default"/>
        <w:b/>
        <w:bCs/>
        <w:sz w:val="22"/>
        <w:szCs w:val="22"/>
      </w:rPr>
    </w:lvl>
    <w:lvl w:ilvl="2">
      <w:start w:val="1"/>
      <w:numFmt w:val="bullet"/>
      <w:lvlText w:val=""/>
      <w:lvlJc w:val="left"/>
      <w:pPr>
        <w:ind w:left="840" w:hanging="361"/>
      </w:pPr>
      <w:rPr>
        <w:rFonts w:ascii="Symbol" w:eastAsia="Symbol" w:hAnsi="Symbol" w:hint="default"/>
        <w:sz w:val="22"/>
        <w:szCs w:val="22"/>
      </w:rPr>
    </w:lvl>
    <w:lvl w:ilvl="3">
      <w:start w:val="1"/>
      <w:numFmt w:val="bullet"/>
      <w:lvlText w:val="•"/>
      <w:lvlJc w:val="left"/>
      <w:pPr>
        <w:ind w:left="2942" w:hanging="361"/>
      </w:pPr>
      <w:rPr>
        <w:rFonts w:hint="default"/>
      </w:rPr>
    </w:lvl>
    <w:lvl w:ilvl="4">
      <w:start w:val="1"/>
      <w:numFmt w:val="bullet"/>
      <w:lvlText w:val="•"/>
      <w:lvlJc w:val="left"/>
      <w:pPr>
        <w:ind w:left="3993" w:hanging="361"/>
      </w:pPr>
      <w:rPr>
        <w:rFonts w:hint="default"/>
      </w:rPr>
    </w:lvl>
    <w:lvl w:ilvl="5">
      <w:start w:val="1"/>
      <w:numFmt w:val="bullet"/>
      <w:lvlText w:val="•"/>
      <w:lvlJc w:val="left"/>
      <w:pPr>
        <w:ind w:left="5044" w:hanging="361"/>
      </w:pPr>
      <w:rPr>
        <w:rFonts w:hint="default"/>
      </w:rPr>
    </w:lvl>
    <w:lvl w:ilvl="6">
      <w:start w:val="1"/>
      <w:numFmt w:val="bullet"/>
      <w:lvlText w:val="•"/>
      <w:lvlJc w:val="left"/>
      <w:pPr>
        <w:ind w:left="6095" w:hanging="361"/>
      </w:pPr>
      <w:rPr>
        <w:rFonts w:hint="default"/>
      </w:rPr>
    </w:lvl>
    <w:lvl w:ilvl="7">
      <w:start w:val="1"/>
      <w:numFmt w:val="bullet"/>
      <w:lvlText w:val="•"/>
      <w:lvlJc w:val="left"/>
      <w:pPr>
        <w:ind w:left="7146" w:hanging="361"/>
      </w:pPr>
      <w:rPr>
        <w:rFonts w:hint="default"/>
      </w:rPr>
    </w:lvl>
    <w:lvl w:ilvl="8">
      <w:start w:val="1"/>
      <w:numFmt w:val="bullet"/>
      <w:lvlText w:val="•"/>
      <w:lvlJc w:val="left"/>
      <w:pPr>
        <w:ind w:left="8197" w:hanging="361"/>
      </w:pPr>
      <w:rPr>
        <w:rFonts w:hint="default"/>
      </w:rPr>
    </w:lvl>
  </w:abstractNum>
  <w:abstractNum w:abstractNumId="10" w15:restartNumberingAfterBreak="0">
    <w:nsid w:val="02D42244"/>
    <w:multiLevelType w:val="multilevel"/>
    <w:tmpl w:val="02DE4D2E"/>
    <w:lvl w:ilvl="0">
      <w:start w:val="2"/>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1" w15:restartNumberingAfterBreak="0">
    <w:nsid w:val="02DD79A0"/>
    <w:multiLevelType w:val="hybridMultilevel"/>
    <w:tmpl w:val="8F12451A"/>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E418D2"/>
    <w:multiLevelType w:val="multilevel"/>
    <w:tmpl w:val="177A1206"/>
    <w:numStyleLink w:val="Style4"/>
  </w:abstractNum>
  <w:abstractNum w:abstractNumId="13" w15:restartNumberingAfterBreak="0">
    <w:nsid w:val="02F050D1"/>
    <w:multiLevelType w:val="multilevel"/>
    <w:tmpl w:val="3238E996"/>
    <w:lvl w:ilvl="0">
      <w:start w:val="1"/>
      <w:numFmt w:val="decimal"/>
      <w:lvlText w:val="%1"/>
      <w:lvlJc w:val="left"/>
      <w:pPr>
        <w:tabs>
          <w:tab w:val="num" w:pos="1060"/>
        </w:tabs>
        <w:ind w:left="1060" w:hanging="700"/>
      </w:pPr>
      <w:rPr>
        <w:rFonts w:hint="default"/>
      </w:rPr>
    </w:lvl>
    <w:lvl w:ilvl="1">
      <w:start w:val="1"/>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decimal"/>
      <w:lvlText w:val="(%6)"/>
      <w:lvlJc w:val="left"/>
      <w:pPr>
        <w:tabs>
          <w:tab w:val="num" w:pos="4500"/>
        </w:tabs>
        <w:ind w:left="4500" w:hanging="360"/>
      </w:pPr>
      <w:rPr>
        <w:rFonts w:hint="default"/>
      </w:rPr>
    </w:lvl>
    <w:lvl w:ilvl="6">
      <w:start w:val="1"/>
      <w:numFmt w:val="lowerLetter"/>
      <w:lvlText w:val="(%7)"/>
      <w:lvlJc w:val="left"/>
      <w:pPr>
        <w:ind w:left="5040" w:hanging="360"/>
      </w:pPr>
      <w:rPr>
        <w:rFonts w:hint="default"/>
      </w:r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4" w15:restartNumberingAfterBreak="0">
    <w:nsid w:val="032B2AF1"/>
    <w:multiLevelType w:val="hybridMultilevel"/>
    <w:tmpl w:val="3746F56E"/>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3810E51"/>
    <w:multiLevelType w:val="hybridMultilevel"/>
    <w:tmpl w:val="B36268C0"/>
    <w:lvl w:ilvl="0" w:tplc="2340C690">
      <w:start w:val="1"/>
      <w:numFmt w:val="lowerRoman"/>
      <w:lvlText w:val="%1."/>
      <w:lvlJc w:val="left"/>
      <w:pPr>
        <w:ind w:left="1200" w:hanging="720"/>
      </w:pPr>
      <w:rPr>
        <w:rFonts w:ascii="Calibri" w:eastAsia="Calibri" w:hAnsi="Calibri" w:cs="Calibri" w:hint="default"/>
        <w:spacing w:val="-1"/>
        <w:w w:val="100"/>
        <w:sz w:val="22"/>
        <w:szCs w:val="22"/>
      </w:rPr>
    </w:lvl>
    <w:lvl w:ilvl="1" w:tplc="217AC376">
      <w:numFmt w:val="bullet"/>
      <w:lvlText w:val="•"/>
      <w:lvlJc w:val="left"/>
      <w:pPr>
        <w:ind w:left="2040" w:hanging="720"/>
      </w:pPr>
      <w:rPr>
        <w:rFonts w:hint="default"/>
      </w:rPr>
    </w:lvl>
    <w:lvl w:ilvl="2" w:tplc="037C2374">
      <w:numFmt w:val="bullet"/>
      <w:lvlText w:val="•"/>
      <w:lvlJc w:val="left"/>
      <w:pPr>
        <w:ind w:left="2881" w:hanging="720"/>
      </w:pPr>
      <w:rPr>
        <w:rFonts w:hint="default"/>
      </w:rPr>
    </w:lvl>
    <w:lvl w:ilvl="3" w:tplc="6302A5CE">
      <w:numFmt w:val="bullet"/>
      <w:lvlText w:val="•"/>
      <w:lvlJc w:val="left"/>
      <w:pPr>
        <w:ind w:left="3721" w:hanging="720"/>
      </w:pPr>
      <w:rPr>
        <w:rFonts w:hint="default"/>
      </w:rPr>
    </w:lvl>
    <w:lvl w:ilvl="4" w:tplc="7E66770C">
      <w:numFmt w:val="bullet"/>
      <w:lvlText w:val="•"/>
      <w:lvlJc w:val="left"/>
      <w:pPr>
        <w:ind w:left="4562" w:hanging="720"/>
      </w:pPr>
      <w:rPr>
        <w:rFonts w:hint="default"/>
      </w:rPr>
    </w:lvl>
    <w:lvl w:ilvl="5" w:tplc="801AEAC2">
      <w:numFmt w:val="bullet"/>
      <w:lvlText w:val="•"/>
      <w:lvlJc w:val="left"/>
      <w:pPr>
        <w:ind w:left="5403" w:hanging="720"/>
      </w:pPr>
      <w:rPr>
        <w:rFonts w:hint="default"/>
      </w:rPr>
    </w:lvl>
    <w:lvl w:ilvl="6" w:tplc="B170B016">
      <w:numFmt w:val="bullet"/>
      <w:lvlText w:val="•"/>
      <w:lvlJc w:val="left"/>
      <w:pPr>
        <w:ind w:left="6243" w:hanging="720"/>
      </w:pPr>
      <w:rPr>
        <w:rFonts w:hint="default"/>
      </w:rPr>
    </w:lvl>
    <w:lvl w:ilvl="7" w:tplc="B754A5C8">
      <w:numFmt w:val="bullet"/>
      <w:lvlText w:val="•"/>
      <w:lvlJc w:val="left"/>
      <w:pPr>
        <w:ind w:left="7084" w:hanging="720"/>
      </w:pPr>
      <w:rPr>
        <w:rFonts w:hint="default"/>
      </w:rPr>
    </w:lvl>
    <w:lvl w:ilvl="8" w:tplc="60E48BCE">
      <w:numFmt w:val="bullet"/>
      <w:lvlText w:val="•"/>
      <w:lvlJc w:val="left"/>
      <w:pPr>
        <w:ind w:left="7925" w:hanging="720"/>
      </w:pPr>
      <w:rPr>
        <w:rFonts w:hint="default"/>
      </w:rPr>
    </w:lvl>
  </w:abstractNum>
  <w:abstractNum w:abstractNumId="16" w15:restartNumberingAfterBreak="0">
    <w:nsid w:val="039053B5"/>
    <w:multiLevelType w:val="hybridMultilevel"/>
    <w:tmpl w:val="E216040A"/>
    <w:lvl w:ilvl="0" w:tplc="8F10F5C2">
      <w:start w:val="1"/>
      <w:numFmt w:val="decimal"/>
      <w:lvlText w:val="%1."/>
      <w:lvlJc w:val="left"/>
      <w:pPr>
        <w:ind w:left="525" w:hanging="425"/>
      </w:pPr>
      <w:rPr>
        <w:rFonts w:ascii="Calibri" w:eastAsia="Calibri" w:hAnsi="Calibri" w:cs="Calibri" w:hint="default"/>
        <w:b/>
        <w:bCs/>
        <w:w w:val="100"/>
        <w:sz w:val="22"/>
        <w:szCs w:val="22"/>
        <w:lang w:val="en-AU" w:eastAsia="en-US" w:bidi="ar-SA"/>
      </w:rPr>
    </w:lvl>
    <w:lvl w:ilvl="1" w:tplc="0C09000F">
      <w:start w:val="1"/>
      <w:numFmt w:val="decimal"/>
      <w:lvlText w:val="%2."/>
      <w:lvlJc w:val="left"/>
      <w:pPr>
        <w:ind w:left="1094" w:hanging="533"/>
        <w:jc w:val="right"/>
      </w:pPr>
      <w:rPr>
        <w:rFonts w:hint="default"/>
        <w:spacing w:val="-1"/>
        <w:w w:val="100"/>
        <w:sz w:val="22"/>
        <w:szCs w:val="22"/>
        <w:lang w:val="en-AU" w:eastAsia="en-US" w:bidi="ar-SA"/>
      </w:rPr>
    </w:lvl>
    <w:lvl w:ilvl="2" w:tplc="757E04BC">
      <w:start w:val="1"/>
      <w:numFmt w:val="lowerLetter"/>
      <w:lvlText w:val="%3."/>
      <w:lvlJc w:val="left"/>
      <w:pPr>
        <w:ind w:left="1518" w:hanging="360"/>
      </w:pPr>
      <w:rPr>
        <w:rFonts w:ascii="Calibri" w:eastAsia="Calibri" w:hAnsi="Calibri" w:cs="Calibri" w:hint="default"/>
        <w:spacing w:val="-1"/>
        <w:w w:val="100"/>
        <w:sz w:val="22"/>
        <w:szCs w:val="22"/>
        <w:lang w:val="en-AU" w:eastAsia="en-US" w:bidi="ar-SA"/>
      </w:rPr>
    </w:lvl>
    <w:lvl w:ilvl="3" w:tplc="EEEA410E">
      <w:numFmt w:val="bullet"/>
      <w:lvlText w:val=""/>
      <w:lvlJc w:val="left"/>
      <w:pPr>
        <w:ind w:left="1943" w:hanging="360"/>
      </w:pPr>
      <w:rPr>
        <w:rFonts w:ascii="Symbol" w:eastAsia="Symbol" w:hAnsi="Symbol" w:cs="Symbol" w:hint="default"/>
        <w:w w:val="99"/>
        <w:sz w:val="20"/>
        <w:szCs w:val="20"/>
        <w:lang w:val="en-AU" w:eastAsia="en-US" w:bidi="ar-SA"/>
      </w:rPr>
    </w:lvl>
    <w:lvl w:ilvl="4" w:tplc="2D1E2D3C">
      <w:numFmt w:val="bullet"/>
      <w:lvlText w:val="•"/>
      <w:lvlJc w:val="left"/>
      <w:pPr>
        <w:ind w:left="1940" w:hanging="360"/>
      </w:pPr>
      <w:rPr>
        <w:rFonts w:hint="default"/>
        <w:lang w:val="en-AU" w:eastAsia="en-US" w:bidi="ar-SA"/>
      </w:rPr>
    </w:lvl>
    <w:lvl w:ilvl="5" w:tplc="D2F207BE">
      <w:numFmt w:val="bullet"/>
      <w:lvlText w:val="•"/>
      <w:lvlJc w:val="left"/>
      <w:pPr>
        <w:ind w:left="3221" w:hanging="360"/>
      </w:pPr>
      <w:rPr>
        <w:rFonts w:hint="default"/>
        <w:lang w:val="en-AU" w:eastAsia="en-US" w:bidi="ar-SA"/>
      </w:rPr>
    </w:lvl>
    <w:lvl w:ilvl="6" w:tplc="5250269E">
      <w:numFmt w:val="bullet"/>
      <w:lvlText w:val="•"/>
      <w:lvlJc w:val="left"/>
      <w:pPr>
        <w:ind w:left="4502" w:hanging="360"/>
      </w:pPr>
      <w:rPr>
        <w:rFonts w:hint="default"/>
        <w:lang w:val="en-AU" w:eastAsia="en-US" w:bidi="ar-SA"/>
      </w:rPr>
    </w:lvl>
    <w:lvl w:ilvl="7" w:tplc="C4962BBC">
      <w:numFmt w:val="bullet"/>
      <w:lvlText w:val="•"/>
      <w:lvlJc w:val="left"/>
      <w:pPr>
        <w:ind w:left="5783" w:hanging="360"/>
      </w:pPr>
      <w:rPr>
        <w:rFonts w:hint="default"/>
        <w:lang w:val="en-AU" w:eastAsia="en-US" w:bidi="ar-SA"/>
      </w:rPr>
    </w:lvl>
    <w:lvl w:ilvl="8" w:tplc="208AB418">
      <w:numFmt w:val="bullet"/>
      <w:lvlText w:val="•"/>
      <w:lvlJc w:val="left"/>
      <w:pPr>
        <w:ind w:left="7064" w:hanging="360"/>
      </w:pPr>
      <w:rPr>
        <w:rFonts w:hint="default"/>
        <w:lang w:val="en-AU" w:eastAsia="en-US" w:bidi="ar-SA"/>
      </w:rPr>
    </w:lvl>
  </w:abstractNum>
  <w:abstractNum w:abstractNumId="17" w15:restartNumberingAfterBreak="0">
    <w:nsid w:val="039B0F2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03CA19EF"/>
    <w:multiLevelType w:val="hybridMultilevel"/>
    <w:tmpl w:val="17D48FB0"/>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3D41DFE"/>
    <w:multiLevelType w:val="hybridMultilevel"/>
    <w:tmpl w:val="C55E457C"/>
    <w:lvl w:ilvl="0" w:tplc="0E727E6C">
      <w:start w:val="1"/>
      <w:numFmt w:val="lowerLetter"/>
      <w:lvlText w:val="%1)"/>
      <w:lvlJc w:val="left"/>
      <w:pPr>
        <w:ind w:left="1252" w:hanging="706"/>
      </w:pPr>
      <w:rPr>
        <w:rFonts w:ascii="Calibri" w:eastAsia="Calibri" w:hAnsi="Calibri" w:cs="Calibri" w:hint="default"/>
        <w:w w:val="104"/>
        <w:sz w:val="22"/>
        <w:szCs w:val="22"/>
      </w:rPr>
    </w:lvl>
    <w:lvl w:ilvl="1" w:tplc="8B96870A">
      <w:numFmt w:val="bullet"/>
      <w:lvlText w:val="•"/>
      <w:lvlJc w:val="left"/>
      <w:pPr>
        <w:ind w:left="2094" w:hanging="706"/>
      </w:pPr>
      <w:rPr>
        <w:rFonts w:hint="default"/>
      </w:rPr>
    </w:lvl>
    <w:lvl w:ilvl="2" w:tplc="2ADCAC3C">
      <w:numFmt w:val="bullet"/>
      <w:lvlText w:val="•"/>
      <w:lvlJc w:val="left"/>
      <w:pPr>
        <w:ind w:left="2929" w:hanging="706"/>
      </w:pPr>
      <w:rPr>
        <w:rFonts w:hint="default"/>
      </w:rPr>
    </w:lvl>
    <w:lvl w:ilvl="3" w:tplc="035C58D6">
      <w:numFmt w:val="bullet"/>
      <w:lvlText w:val="•"/>
      <w:lvlJc w:val="left"/>
      <w:pPr>
        <w:ind w:left="3763" w:hanging="706"/>
      </w:pPr>
      <w:rPr>
        <w:rFonts w:hint="default"/>
      </w:rPr>
    </w:lvl>
    <w:lvl w:ilvl="4" w:tplc="7E38B3CA">
      <w:numFmt w:val="bullet"/>
      <w:lvlText w:val="•"/>
      <w:lvlJc w:val="left"/>
      <w:pPr>
        <w:ind w:left="4598" w:hanging="706"/>
      </w:pPr>
      <w:rPr>
        <w:rFonts w:hint="default"/>
      </w:rPr>
    </w:lvl>
    <w:lvl w:ilvl="5" w:tplc="BA943D70">
      <w:numFmt w:val="bullet"/>
      <w:lvlText w:val="•"/>
      <w:lvlJc w:val="left"/>
      <w:pPr>
        <w:ind w:left="5433" w:hanging="706"/>
      </w:pPr>
      <w:rPr>
        <w:rFonts w:hint="default"/>
      </w:rPr>
    </w:lvl>
    <w:lvl w:ilvl="6" w:tplc="4CB8C026">
      <w:numFmt w:val="bullet"/>
      <w:lvlText w:val="•"/>
      <w:lvlJc w:val="left"/>
      <w:pPr>
        <w:ind w:left="6267" w:hanging="706"/>
      </w:pPr>
      <w:rPr>
        <w:rFonts w:hint="default"/>
      </w:rPr>
    </w:lvl>
    <w:lvl w:ilvl="7" w:tplc="26F8536A">
      <w:numFmt w:val="bullet"/>
      <w:lvlText w:val="•"/>
      <w:lvlJc w:val="left"/>
      <w:pPr>
        <w:ind w:left="7102" w:hanging="706"/>
      </w:pPr>
      <w:rPr>
        <w:rFonts w:hint="default"/>
      </w:rPr>
    </w:lvl>
    <w:lvl w:ilvl="8" w:tplc="7DF494E6">
      <w:numFmt w:val="bullet"/>
      <w:lvlText w:val="•"/>
      <w:lvlJc w:val="left"/>
      <w:pPr>
        <w:ind w:left="7937" w:hanging="706"/>
      </w:pPr>
      <w:rPr>
        <w:rFonts w:hint="default"/>
      </w:rPr>
    </w:lvl>
  </w:abstractNum>
  <w:abstractNum w:abstractNumId="20" w15:restartNumberingAfterBreak="0">
    <w:nsid w:val="03DF3605"/>
    <w:multiLevelType w:val="hybridMultilevel"/>
    <w:tmpl w:val="4C68C5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3E5224F"/>
    <w:multiLevelType w:val="hybridMultilevel"/>
    <w:tmpl w:val="D57A22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5E42ED7"/>
    <w:multiLevelType w:val="multilevel"/>
    <w:tmpl w:val="4920D36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3" w15:restartNumberingAfterBreak="0">
    <w:nsid w:val="063555DF"/>
    <w:multiLevelType w:val="hybridMultilevel"/>
    <w:tmpl w:val="28B05F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066751F4"/>
    <w:multiLevelType w:val="multilevel"/>
    <w:tmpl w:val="177A1206"/>
    <w:numStyleLink w:val="Style4"/>
  </w:abstractNum>
  <w:abstractNum w:abstractNumId="25" w15:restartNumberingAfterBreak="0">
    <w:nsid w:val="06E416CC"/>
    <w:multiLevelType w:val="hybridMultilevel"/>
    <w:tmpl w:val="7C566F06"/>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7654E3F"/>
    <w:multiLevelType w:val="hybridMultilevel"/>
    <w:tmpl w:val="0C2E84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082D5AFE"/>
    <w:multiLevelType w:val="hybridMultilevel"/>
    <w:tmpl w:val="1458BD26"/>
    <w:lvl w:ilvl="0" w:tplc="0C090001">
      <w:start w:val="1"/>
      <w:numFmt w:val="bullet"/>
      <w:lvlText w:val=""/>
      <w:lvlJc w:val="left"/>
      <w:pPr>
        <w:ind w:left="1296" w:hanging="360"/>
      </w:pPr>
      <w:rPr>
        <w:rFonts w:ascii="Symbol" w:hAnsi="Symbol" w:hint="default"/>
      </w:rPr>
    </w:lvl>
    <w:lvl w:ilvl="1" w:tplc="0C090003" w:tentative="1">
      <w:start w:val="1"/>
      <w:numFmt w:val="bullet"/>
      <w:lvlText w:val="o"/>
      <w:lvlJc w:val="left"/>
      <w:pPr>
        <w:ind w:left="2016" w:hanging="360"/>
      </w:pPr>
      <w:rPr>
        <w:rFonts w:ascii="Courier New" w:hAnsi="Courier New" w:cs="Courier New" w:hint="default"/>
      </w:rPr>
    </w:lvl>
    <w:lvl w:ilvl="2" w:tplc="0C090005" w:tentative="1">
      <w:start w:val="1"/>
      <w:numFmt w:val="bullet"/>
      <w:lvlText w:val=""/>
      <w:lvlJc w:val="left"/>
      <w:pPr>
        <w:ind w:left="2736" w:hanging="360"/>
      </w:pPr>
      <w:rPr>
        <w:rFonts w:ascii="Wingdings" w:hAnsi="Wingdings" w:hint="default"/>
      </w:rPr>
    </w:lvl>
    <w:lvl w:ilvl="3" w:tplc="0C090001" w:tentative="1">
      <w:start w:val="1"/>
      <w:numFmt w:val="bullet"/>
      <w:lvlText w:val=""/>
      <w:lvlJc w:val="left"/>
      <w:pPr>
        <w:ind w:left="3456" w:hanging="360"/>
      </w:pPr>
      <w:rPr>
        <w:rFonts w:ascii="Symbol" w:hAnsi="Symbol" w:hint="default"/>
      </w:rPr>
    </w:lvl>
    <w:lvl w:ilvl="4" w:tplc="0C090003" w:tentative="1">
      <w:start w:val="1"/>
      <w:numFmt w:val="bullet"/>
      <w:lvlText w:val="o"/>
      <w:lvlJc w:val="left"/>
      <w:pPr>
        <w:ind w:left="4176" w:hanging="360"/>
      </w:pPr>
      <w:rPr>
        <w:rFonts w:ascii="Courier New" w:hAnsi="Courier New" w:cs="Courier New" w:hint="default"/>
      </w:rPr>
    </w:lvl>
    <w:lvl w:ilvl="5" w:tplc="0C090005" w:tentative="1">
      <w:start w:val="1"/>
      <w:numFmt w:val="bullet"/>
      <w:lvlText w:val=""/>
      <w:lvlJc w:val="left"/>
      <w:pPr>
        <w:ind w:left="4896" w:hanging="360"/>
      </w:pPr>
      <w:rPr>
        <w:rFonts w:ascii="Wingdings" w:hAnsi="Wingdings" w:hint="default"/>
      </w:rPr>
    </w:lvl>
    <w:lvl w:ilvl="6" w:tplc="0C090001" w:tentative="1">
      <w:start w:val="1"/>
      <w:numFmt w:val="bullet"/>
      <w:lvlText w:val=""/>
      <w:lvlJc w:val="left"/>
      <w:pPr>
        <w:ind w:left="5616" w:hanging="360"/>
      </w:pPr>
      <w:rPr>
        <w:rFonts w:ascii="Symbol" w:hAnsi="Symbol" w:hint="default"/>
      </w:rPr>
    </w:lvl>
    <w:lvl w:ilvl="7" w:tplc="0C090003" w:tentative="1">
      <w:start w:val="1"/>
      <w:numFmt w:val="bullet"/>
      <w:lvlText w:val="o"/>
      <w:lvlJc w:val="left"/>
      <w:pPr>
        <w:ind w:left="6336" w:hanging="360"/>
      </w:pPr>
      <w:rPr>
        <w:rFonts w:ascii="Courier New" w:hAnsi="Courier New" w:cs="Courier New" w:hint="default"/>
      </w:rPr>
    </w:lvl>
    <w:lvl w:ilvl="8" w:tplc="0C090005" w:tentative="1">
      <w:start w:val="1"/>
      <w:numFmt w:val="bullet"/>
      <w:lvlText w:val=""/>
      <w:lvlJc w:val="left"/>
      <w:pPr>
        <w:ind w:left="7056" w:hanging="360"/>
      </w:pPr>
      <w:rPr>
        <w:rFonts w:ascii="Wingdings" w:hAnsi="Wingdings" w:hint="default"/>
      </w:rPr>
    </w:lvl>
  </w:abstractNum>
  <w:abstractNum w:abstractNumId="28" w15:restartNumberingAfterBreak="0">
    <w:nsid w:val="083F190F"/>
    <w:multiLevelType w:val="hybridMultilevel"/>
    <w:tmpl w:val="273A5D50"/>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86B3154"/>
    <w:multiLevelType w:val="multilevel"/>
    <w:tmpl w:val="247283C0"/>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0" w15:restartNumberingAfterBreak="0">
    <w:nsid w:val="08AC512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09A41116"/>
    <w:multiLevelType w:val="hybridMultilevel"/>
    <w:tmpl w:val="4E1CF9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9B34BE1"/>
    <w:multiLevelType w:val="hybridMultilevel"/>
    <w:tmpl w:val="69125326"/>
    <w:lvl w:ilvl="0" w:tplc="211EEE30">
      <w:start w:val="1"/>
      <w:numFmt w:val="lowerLetter"/>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3" w15:restartNumberingAfterBreak="0">
    <w:nsid w:val="0A866940"/>
    <w:multiLevelType w:val="multilevel"/>
    <w:tmpl w:val="1E32B340"/>
    <w:lvl w:ilvl="0">
      <w:start w:val="1"/>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34" w15:restartNumberingAfterBreak="0">
    <w:nsid w:val="0AD95A6F"/>
    <w:multiLevelType w:val="hybridMultilevel"/>
    <w:tmpl w:val="208E4DC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0AE34789"/>
    <w:multiLevelType w:val="hybridMultilevel"/>
    <w:tmpl w:val="54907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0B0C720A"/>
    <w:multiLevelType w:val="hybridMultilevel"/>
    <w:tmpl w:val="7B0CF5EC"/>
    <w:lvl w:ilvl="0" w:tplc="0C090001">
      <w:start w:val="1"/>
      <w:numFmt w:val="bullet"/>
      <w:lvlText w:val=""/>
      <w:lvlJc w:val="left"/>
      <w:pPr>
        <w:ind w:left="1297" w:hanging="360"/>
      </w:pPr>
      <w:rPr>
        <w:rFonts w:ascii="Symbol" w:hAnsi="Symbol" w:hint="default"/>
      </w:rPr>
    </w:lvl>
    <w:lvl w:ilvl="1" w:tplc="0C090003" w:tentative="1">
      <w:start w:val="1"/>
      <w:numFmt w:val="bullet"/>
      <w:lvlText w:val="o"/>
      <w:lvlJc w:val="left"/>
      <w:pPr>
        <w:ind w:left="2017" w:hanging="360"/>
      </w:pPr>
      <w:rPr>
        <w:rFonts w:ascii="Courier New" w:hAnsi="Courier New" w:cs="Courier New" w:hint="default"/>
      </w:rPr>
    </w:lvl>
    <w:lvl w:ilvl="2" w:tplc="0C090005" w:tentative="1">
      <w:start w:val="1"/>
      <w:numFmt w:val="bullet"/>
      <w:lvlText w:val=""/>
      <w:lvlJc w:val="left"/>
      <w:pPr>
        <w:ind w:left="2737" w:hanging="360"/>
      </w:pPr>
      <w:rPr>
        <w:rFonts w:ascii="Wingdings" w:hAnsi="Wingdings" w:hint="default"/>
      </w:rPr>
    </w:lvl>
    <w:lvl w:ilvl="3" w:tplc="0C090001" w:tentative="1">
      <w:start w:val="1"/>
      <w:numFmt w:val="bullet"/>
      <w:lvlText w:val=""/>
      <w:lvlJc w:val="left"/>
      <w:pPr>
        <w:ind w:left="3457" w:hanging="360"/>
      </w:pPr>
      <w:rPr>
        <w:rFonts w:ascii="Symbol" w:hAnsi="Symbol" w:hint="default"/>
      </w:rPr>
    </w:lvl>
    <w:lvl w:ilvl="4" w:tplc="0C090003" w:tentative="1">
      <w:start w:val="1"/>
      <w:numFmt w:val="bullet"/>
      <w:lvlText w:val="o"/>
      <w:lvlJc w:val="left"/>
      <w:pPr>
        <w:ind w:left="4177" w:hanging="360"/>
      </w:pPr>
      <w:rPr>
        <w:rFonts w:ascii="Courier New" w:hAnsi="Courier New" w:cs="Courier New" w:hint="default"/>
      </w:rPr>
    </w:lvl>
    <w:lvl w:ilvl="5" w:tplc="0C090005" w:tentative="1">
      <w:start w:val="1"/>
      <w:numFmt w:val="bullet"/>
      <w:lvlText w:val=""/>
      <w:lvlJc w:val="left"/>
      <w:pPr>
        <w:ind w:left="4897" w:hanging="360"/>
      </w:pPr>
      <w:rPr>
        <w:rFonts w:ascii="Wingdings" w:hAnsi="Wingdings" w:hint="default"/>
      </w:rPr>
    </w:lvl>
    <w:lvl w:ilvl="6" w:tplc="0C090001" w:tentative="1">
      <w:start w:val="1"/>
      <w:numFmt w:val="bullet"/>
      <w:lvlText w:val=""/>
      <w:lvlJc w:val="left"/>
      <w:pPr>
        <w:ind w:left="5617" w:hanging="360"/>
      </w:pPr>
      <w:rPr>
        <w:rFonts w:ascii="Symbol" w:hAnsi="Symbol" w:hint="default"/>
      </w:rPr>
    </w:lvl>
    <w:lvl w:ilvl="7" w:tplc="0C090003" w:tentative="1">
      <w:start w:val="1"/>
      <w:numFmt w:val="bullet"/>
      <w:lvlText w:val="o"/>
      <w:lvlJc w:val="left"/>
      <w:pPr>
        <w:ind w:left="6337" w:hanging="360"/>
      </w:pPr>
      <w:rPr>
        <w:rFonts w:ascii="Courier New" w:hAnsi="Courier New" w:cs="Courier New" w:hint="default"/>
      </w:rPr>
    </w:lvl>
    <w:lvl w:ilvl="8" w:tplc="0C090005" w:tentative="1">
      <w:start w:val="1"/>
      <w:numFmt w:val="bullet"/>
      <w:lvlText w:val=""/>
      <w:lvlJc w:val="left"/>
      <w:pPr>
        <w:ind w:left="7057" w:hanging="360"/>
      </w:pPr>
      <w:rPr>
        <w:rFonts w:ascii="Wingdings" w:hAnsi="Wingdings" w:hint="default"/>
      </w:rPr>
    </w:lvl>
  </w:abstractNum>
  <w:abstractNum w:abstractNumId="37" w15:restartNumberingAfterBreak="0">
    <w:nsid w:val="0B1E39E4"/>
    <w:multiLevelType w:val="multilevel"/>
    <w:tmpl w:val="177A1206"/>
    <w:numStyleLink w:val="Style4"/>
  </w:abstractNum>
  <w:abstractNum w:abstractNumId="38" w15:restartNumberingAfterBreak="0">
    <w:nsid w:val="0B765ECF"/>
    <w:multiLevelType w:val="hybridMultilevel"/>
    <w:tmpl w:val="FC166DFA"/>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0B98737A"/>
    <w:multiLevelType w:val="hybridMultilevel"/>
    <w:tmpl w:val="C0949C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B99214A"/>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41" w15:restartNumberingAfterBreak="0">
    <w:nsid w:val="0BD17209"/>
    <w:multiLevelType w:val="hybridMultilevel"/>
    <w:tmpl w:val="4620C6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0BD21C11"/>
    <w:multiLevelType w:val="hybridMultilevel"/>
    <w:tmpl w:val="C4C8A2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0BE746FC"/>
    <w:multiLevelType w:val="hybridMultilevel"/>
    <w:tmpl w:val="C7DA761E"/>
    <w:lvl w:ilvl="0" w:tplc="BDD08504">
      <w:start w:val="1"/>
      <w:numFmt w:val="lowerRoman"/>
      <w:lvlText w:val="%1."/>
      <w:lvlJc w:val="left"/>
      <w:pPr>
        <w:ind w:left="1197" w:hanging="720"/>
      </w:pPr>
      <w:rPr>
        <w:rFonts w:ascii="Calibri" w:eastAsia="Calibri" w:hAnsi="Calibri" w:cs="Calibri" w:hint="default"/>
        <w:spacing w:val="-1"/>
        <w:w w:val="100"/>
        <w:sz w:val="22"/>
        <w:szCs w:val="22"/>
      </w:rPr>
    </w:lvl>
    <w:lvl w:ilvl="1" w:tplc="8C6C8DF2">
      <w:start w:val="1"/>
      <w:numFmt w:val="lowerLetter"/>
      <w:lvlText w:val="%2)"/>
      <w:lvlJc w:val="left"/>
      <w:pPr>
        <w:ind w:left="1557" w:hanging="360"/>
      </w:pPr>
      <w:rPr>
        <w:rFonts w:ascii="Calibri" w:eastAsia="Calibri" w:hAnsi="Calibri" w:cs="Calibri" w:hint="default"/>
        <w:w w:val="100"/>
        <w:sz w:val="22"/>
        <w:szCs w:val="22"/>
      </w:rPr>
    </w:lvl>
    <w:lvl w:ilvl="2" w:tplc="F2148F4C">
      <w:numFmt w:val="bullet"/>
      <w:lvlText w:val="•"/>
      <w:lvlJc w:val="left"/>
      <w:pPr>
        <w:ind w:left="2454" w:hanging="360"/>
      </w:pPr>
      <w:rPr>
        <w:rFonts w:hint="default"/>
      </w:rPr>
    </w:lvl>
    <w:lvl w:ilvl="3" w:tplc="F51820C8">
      <w:numFmt w:val="bullet"/>
      <w:lvlText w:val="•"/>
      <w:lvlJc w:val="left"/>
      <w:pPr>
        <w:ind w:left="3348" w:hanging="360"/>
      </w:pPr>
      <w:rPr>
        <w:rFonts w:hint="default"/>
      </w:rPr>
    </w:lvl>
    <w:lvl w:ilvl="4" w:tplc="09B0FB82">
      <w:numFmt w:val="bullet"/>
      <w:lvlText w:val="•"/>
      <w:lvlJc w:val="left"/>
      <w:pPr>
        <w:ind w:left="4242" w:hanging="360"/>
      </w:pPr>
      <w:rPr>
        <w:rFonts w:hint="default"/>
      </w:rPr>
    </w:lvl>
    <w:lvl w:ilvl="5" w:tplc="3C5E394C">
      <w:numFmt w:val="bullet"/>
      <w:lvlText w:val="•"/>
      <w:lvlJc w:val="left"/>
      <w:pPr>
        <w:ind w:left="5136" w:hanging="360"/>
      </w:pPr>
      <w:rPr>
        <w:rFonts w:hint="default"/>
      </w:rPr>
    </w:lvl>
    <w:lvl w:ilvl="6" w:tplc="A8600B46">
      <w:numFmt w:val="bullet"/>
      <w:lvlText w:val="•"/>
      <w:lvlJc w:val="left"/>
      <w:pPr>
        <w:ind w:left="6030" w:hanging="360"/>
      </w:pPr>
      <w:rPr>
        <w:rFonts w:hint="default"/>
      </w:rPr>
    </w:lvl>
    <w:lvl w:ilvl="7" w:tplc="CD40C296">
      <w:numFmt w:val="bullet"/>
      <w:lvlText w:val="•"/>
      <w:lvlJc w:val="left"/>
      <w:pPr>
        <w:ind w:left="6924" w:hanging="360"/>
      </w:pPr>
      <w:rPr>
        <w:rFonts w:hint="default"/>
      </w:rPr>
    </w:lvl>
    <w:lvl w:ilvl="8" w:tplc="7A4E9B90">
      <w:numFmt w:val="bullet"/>
      <w:lvlText w:val="•"/>
      <w:lvlJc w:val="left"/>
      <w:pPr>
        <w:ind w:left="7818" w:hanging="360"/>
      </w:pPr>
      <w:rPr>
        <w:rFonts w:hint="default"/>
      </w:rPr>
    </w:lvl>
  </w:abstractNum>
  <w:abstractNum w:abstractNumId="44" w15:restartNumberingAfterBreak="0">
    <w:nsid w:val="0C3D3763"/>
    <w:multiLevelType w:val="multilevel"/>
    <w:tmpl w:val="177A1206"/>
    <w:numStyleLink w:val="Style4"/>
  </w:abstractNum>
  <w:abstractNum w:abstractNumId="45" w15:restartNumberingAfterBreak="0">
    <w:nsid w:val="0C426049"/>
    <w:multiLevelType w:val="hybridMultilevel"/>
    <w:tmpl w:val="60062322"/>
    <w:lvl w:ilvl="0" w:tplc="FE52F106">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D3F4A75"/>
    <w:multiLevelType w:val="multilevel"/>
    <w:tmpl w:val="2076AB90"/>
    <w:numStyleLink w:val="Style2"/>
  </w:abstractNum>
  <w:abstractNum w:abstractNumId="47" w15:restartNumberingAfterBreak="0">
    <w:nsid w:val="0D720399"/>
    <w:multiLevelType w:val="multilevel"/>
    <w:tmpl w:val="83C8156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8" w15:restartNumberingAfterBreak="0">
    <w:nsid w:val="0DA94DF0"/>
    <w:multiLevelType w:val="multilevel"/>
    <w:tmpl w:val="4E1856FA"/>
    <w:lvl w:ilvl="0">
      <w:start w:val="4"/>
      <w:numFmt w:val="decimal"/>
      <w:lvlText w:val="%1"/>
      <w:lvlJc w:val="left"/>
      <w:pPr>
        <w:ind w:left="360" w:hanging="360"/>
      </w:pPr>
    </w:lvl>
    <w:lvl w:ilvl="1">
      <w:start w:val="1"/>
      <w:numFmt w:val="decimal"/>
      <w:lvlText w:val="%1.%2"/>
      <w:lvlJc w:val="left"/>
      <w:pPr>
        <w:ind w:left="360" w:hanging="360"/>
      </w:pPr>
    </w:lvl>
    <w:lvl w:ilvl="2">
      <w:start w:val="1"/>
      <w:numFmt w:val="upperRoman"/>
      <w:lvlText w:val="%1.%2.%3"/>
      <w:lvlJc w:val="left"/>
      <w:pPr>
        <w:ind w:left="1080" w:hanging="108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49" w15:restartNumberingAfterBreak="0">
    <w:nsid w:val="0DCE37B0"/>
    <w:multiLevelType w:val="multilevel"/>
    <w:tmpl w:val="680AB09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upperRoman"/>
      <w:isLgl/>
      <w:lvlText w:val="%1.%2.%3"/>
      <w:lvlJc w:val="left"/>
      <w:pPr>
        <w:ind w:left="1440" w:hanging="108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0" w15:restartNumberingAfterBreak="0">
    <w:nsid w:val="0DF93AAB"/>
    <w:multiLevelType w:val="hybridMultilevel"/>
    <w:tmpl w:val="FB30FF1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0E382B33"/>
    <w:multiLevelType w:val="hybridMultilevel"/>
    <w:tmpl w:val="193C8E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0EB0236C"/>
    <w:multiLevelType w:val="hybridMultilevel"/>
    <w:tmpl w:val="F2FA064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0EE52653"/>
    <w:multiLevelType w:val="hybridMultilevel"/>
    <w:tmpl w:val="1B641104"/>
    <w:lvl w:ilvl="0" w:tplc="0C090001">
      <w:start w:val="1"/>
      <w:numFmt w:val="bullet"/>
      <w:lvlText w:val=""/>
      <w:lvlJc w:val="left"/>
      <w:pPr>
        <w:ind w:left="858" w:hanging="360"/>
      </w:pPr>
      <w:rPr>
        <w:rFonts w:ascii="Symbol" w:hAnsi="Symbol" w:hint="default"/>
      </w:rPr>
    </w:lvl>
    <w:lvl w:ilvl="1" w:tplc="0C090003" w:tentative="1">
      <w:start w:val="1"/>
      <w:numFmt w:val="bullet"/>
      <w:lvlText w:val="o"/>
      <w:lvlJc w:val="left"/>
      <w:pPr>
        <w:ind w:left="1578" w:hanging="360"/>
      </w:pPr>
      <w:rPr>
        <w:rFonts w:ascii="Courier New" w:hAnsi="Courier New" w:cs="Courier New" w:hint="default"/>
      </w:rPr>
    </w:lvl>
    <w:lvl w:ilvl="2" w:tplc="0C090005" w:tentative="1">
      <w:start w:val="1"/>
      <w:numFmt w:val="bullet"/>
      <w:lvlText w:val=""/>
      <w:lvlJc w:val="left"/>
      <w:pPr>
        <w:ind w:left="2298" w:hanging="360"/>
      </w:pPr>
      <w:rPr>
        <w:rFonts w:ascii="Wingdings" w:hAnsi="Wingdings" w:hint="default"/>
      </w:rPr>
    </w:lvl>
    <w:lvl w:ilvl="3" w:tplc="0C090001" w:tentative="1">
      <w:start w:val="1"/>
      <w:numFmt w:val="bullet"/>
      <w:lvlText w:val=""/>
      <w:lvlJc w:val="left"/>
      <w:pPr>
        <w:ind w:left="3018" w:hanging="360"/>
      </w:pPr>
      <w:rPr>
        <w:rFonts w:ascii="Symbol" w:hAnsi="Symbol" w:hint="default"/>
      </w:rPr>
    </w:lvl>
    <w:lvl w:ilvl="4" w:tplc="0C090003" w:tentative="1">
      <w:start w:val="1"/>
      <w:numFmt w:val="bullet"/>
      <w:lvlText w:val="o"/>
      <w:lvlJc w:val="left"/>
      <w:pPr>
        <w:ind w:left="3738" w:hanging="360"/>
      </w:pPr>
      <w:rPr>
        <w:rFonts w:ascii="Courier New" w:hAnsi="Courier New" w:cs="Courier New" w:hint="default"/>
      </w:rPr>
    </w:lvl>
    <w:lvl w:ilvl="5" w:tplc="0C090005" w:tentative="1">
      <w:start w:val="1"/>
      <w:numFmt w:val="bullet"/>
      <w:lvlText w:val=""/>
      <w:lvlJc w:val="left"/>
      <w:pPr>
        <w:ind w:left="4458" w:hanging="360"/>
      </w:pPr>
      <w:rPr>
        <w:rFonts w:ascii="Wingdings" w:hAnsi="Wingdings" w:hint="default"/>
      </w:rPr>
    </w:lvl>
    <w:lvl w:ilvl="6" w:tplc="0C090001" w:tentative="1">
      <w:start w:val="1"/>
      <w:numFmt w:val="bullet"/>
      <w:lvlText w:val=""/>
      <w:lvlJc w:val="left"/>
      <w:pPr>
        <w:ind w:left="5178" w:hanging="360"/>
      </w:pPr>
      <w:rPr>
        <w:rFonts w:ascii="Symbol" w:hAnsi="Symbol" w:hint="default"/>
      </w:rPr>
    </w:lvl>
    <w:lvl w:ilvl="7" w:tplc="0C090003" w:tentative="1">
      <w:start w:val="1"/>
      <w:numFmt w:val="bullet"/>
      <w:lvlText w:val="o"/>
      <w:lvlJc w:val="left"/>
      <w:pPr>
        <w:ind w:left="5898" w:hanging="360"/>
      </w:pPr>
      <w:rPr>
        <w:rFonts w:ascii="Courier New" w:hAnsi="Courier New" w:cs="Courier New" w:hint="default"/>
      </w:rPr>
    </w:lvl>
    <w:lvl w:ilvl="8" w:tplc="0C090005" w:tentative="1">
      <w:start w:val="1"/>
      <w:numFmt w:val="bullet"/>
      <w:lvlText w:val=""/>
      <w:lvlJc w:val="left"/>
      <w:pPr>
        <w:ind w:left="6618" w:hanging="360"/>
      </w:pPr>
      <w:rPr>
        <w:rFonts w:ascii="Wingdings" w:hAnsi="Wingdings" w:hint="default"/>
      </w:rPr>
    </w:lvl>
  </w:abstractNum>
  <w:abstractNum w:abstractNumId="54" w15:restartNumberingAfterBreak="0">
    <w:nsid w:val="0F24030B"/>
    <w:multiLevelType w:val="hybridMultilevel"/>
    <w:tmpl w:val="EC040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0F4A4B6B"/>
    <w:multiLevelType w:val="hybridMultilevel"/>
    <w:tmpl w:val="002A8E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0F9B6E5C"/>
    <w:multiLevelType w:val="hybridMultilevel"/>
    <w:tmpl w:val="DFC292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1028098D"/>
    <w:multiLevelType w:val="hybridMultilevel"/>
    <w:tmpl w:val="0F382CAC"/>
    <w:lvl w:ilvl="0" w:tplc="D44283FA">
      <w:start w:val="1"/>
      <w:numFmt w:val="bullet"/>
      <w:lvlText w:val="-"/>
      <w:lvlJc w:val="left"/>
      <w:pPr>
        <w:ind w:left="720" w:hanging="360"/>
      </w:pPr>
      <w:rPr>
        <w:rFonts w:ascii="Sylfaen" w:hAnsi="Sylfae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103D3410"/>
    <w:multiLevelType w:val="hybridMultilevel"/>
    <w:tmpl w:val="271E2A9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0426674"/>
    <w:multiLevelType w:val="hybridMultilevel"/>
    <w:tmpl w:val="65A4C664"/>
    <w:lvl w:ilvl="0" w:tplc="8BDA960C">
      <w:start w:val="1"/>
      <w:numFmt w:val="lowerRoman"/>
      <w:lvlText w:val="%1."/>
      <w:lvlJc w:val="left"/>
      <w:pPr>
        <w:ind w:left="1288" w:hanging="720"/>
      </w:pPr>
      <w:rPr>
        <w:rFonts w:ascii="Calibri" w:eastAsia="Calibri" w:hAnsi="Calibri" w:cs="Calibri" w:hint="default"/>
        <w:i w:val="0"/>
        <w:spacing w:val="-1"/>
        <w:w w:val="100"/>
        <w:sz w:val="22"/>
        <w:szCs w:val="22"/>
      </w:rPr>
    </w:lvl>
    <w:lvl w:ilvl="1" w:tplc="1C9E5A00">
      <w:numFmt w:val="bullet"/>
      <w:lvlText w:val="•"/>
      <w:lvlJc w:val="left"/>
      <w:pPr>
        <w:ind w:left="1788" w:hanging="720"/>
      </w:pPr>
      <w:rPr>
        <w:rFonts w:hint="default"/>
      </w:rPr>
    </w:lvl>
    <w:lvl w:ilvl="2" w:tplc="1E4EE39C">
      <w:numFmt w:val="bullet"/>
      <w:lvlText w:val="•"/>
      <w:lvlJc w:val="left"/>
      <w:pPr>
        <w:ind w:left="2657" w:hanging="720"/>
      </w:pPr>
      <w:rPr>
        <w:rFonts w:hint="default"/>
      </w:rPr>
    </w:lvl>
    <w:lvl w:ilvl="3" w:tplc="94DE8D20">
      <w:numFmt w:val="bullet"/>
      <w:lvlText w:val="•"/>
      <w:lvlJc w:val="left"/>
      <w:pPr>
        <w:ind w:left="3525" w:hanging="720"/>
      </w:pPr>
      <w:rPr>
        <w:rFonts w:hint="default"/>
      </w:rPr>
    </w:lvl>
    <w:lvl w:ilvl="4" w:tplc="9F82A702">
      <w:numFmt w:val="bullet"/>
      <w:lvlText w:val="•"/>
      <w:lvlJc w:val="left"/>
      <w:pPr>
        <w:ind w:left="4394" w:hanging="720"/>
      </w:pPr>
      <w:rPr>
        <w:rFonts w:hint="default"/>
      </w:rPr>
    </w:lvl>
    <w:lvl w:ilvl="5" w:tplc="8E585510">
      <w:numFmt w:val="bullet"/>
      <w:lvlText w:val="•"/>
      <w:lvlJc w:val="left"/>
      <w:pPr>
        <w:ind w:left="5263" w:hanging="720"/>
      </w:pPr>
      <w:rPr>
        <w:rFonts w:hint="default"/>
      </w:rPr>
    </w:lvl>
    <w:lvl w:ilvl="6" w:tplc="A6521088">
      <w:numFmt w:val="bullet"/>
      <w:lvlText w:val="•"/>
      <w:lvlJc w:val="left"/>
      <w:pPr>
        <w:ind w:left="6131" w:hanging="720"/>
      </w:pPr>
      <w:rPr>
        <w:rFonts w:hint="default"/>
      </w:rPr>
    </w:lvl>
    <w:lvl w:ilvl="7" w:tplc="B16CFBFA">
      <w:numFmt w:val="bullet"/>
      <w:lvlText w:val="•"/>
      <w:lvlJc w:val="left"/>
      <w:pPr>
        <w:ind w:left="7000" w:hanging="720"/>
      </w:pPr>
      <w:rPr>
        <w:rFonts w:hint="default"/>
      </w:rPr>
    </w:lvl>
    <w:lvl w:ilvl="8" w:tplc="5D88AA90">
      <w:numFmt w:val="bullet"/>
      <w:lvlText w:val="•"/>
      <w:lvlJc w:val="left"/>
      <w:pPr>
        <w:ind w:left="7869" w:hanging="720"/>
      </w:pPr>
      <w:rPr>
        <w:rFonts w:hint="default"/>
      </w:rPr>
    </w:lvl>
  </w:abstractNum>
  <w:abstractNum w:abstractNumId="60" w15:restartNumberingAfterBreak="0">
    <w:nsid w:val="1050029D"/>
    <w:multiLevelType w:val="hybridMultilevel"/>
    <w:tmpl w:val="D9C266D8"/>
    <w:lvl w:ilvl="0" w:tplc="FE52F106">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10524784"/>
    <w:multiLevelType w:val="multilevel"/>
    <w:tmpl w:val="AA3C3C92"/>
    <w:lvl w:ilvl="0">
      <w:start w:val="4"/>
      <w:numFmt w:val="decimal"/>
      <w:lvlText w:val="%1"/>
      <w:lvlJc w:val="left"/>
      <w:pPr>
        <w:ind w:left="435" w:hanging="435"/>
      </w:pPr>
      <w:rPr>
        <w:rFonts w:hint="default"/>
      </w:rPr>
    </w:lvl>
    <w:lvl w:ilvl="1">
      <w:start w:val="3"/>
      <w:numFmt w:val="decimal"/>
      <w:lvlText w:val="%1.%2"/>
      <w:lvlJc w:val="left"/>
      <w:pPr>
        <w:ind w:left="615" w:hanging="435"/>
      </w:pPr>
      <w:rPr>
        <w:rFonts w:hint="default"/>
      </w:rPr>
    </w:lvl>
    <w:lvl w:ilvl="2">
      <w:start w:val="1"/>
      <w:numFmt w:val="decimal"/>
      <w:lvlText w:val="%1.%2.%3"/>
      <w:lvlJc w:val="left"/>
      <w:pPr>
        <w:ind w:left="1080" w:hanging="720"/>
      </w:pPr>
      <w:rPr>
        <w:rFonts w:hint="default"/>
        <w:b w:val="0"/>
        <w:bCs w:val="0"/>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62" w15:restartNumberingAfterBreak="0">
    <w:nsid w:val="10567876"/>
    <w:multiLevelType w:val="multilevel"/>
    <w:tmpl w:val="2076AB90"/>
    <w:numStyleLink w:val="Style2"/>
  </w:abstractNum>
  <w:abstractNum w:abstractNumId="63" w15:restartNumberingAfterBreak="0">
    <w:nsid w:val="10582684"/>
    <w:multiLevelType w:val="multilevel"/>
    <w:tmpl w:val="177A1206"/>
    <w:numStyleLink w:val="Style4"/>
  </w:abstractNum>
  <w:abstractNum w:abstractNumId="64" w15:restartNumberingAfterBreak="0">
    <w:nsid w:val="10CD377E"/>
    <w:multiLevelType w:val="multilevel"/>
    <w:tmpl w:val="2076AB90"/>
    <w:numStyleLink w:val="Style2"/>
  </w:abstractNum>
  <w:abstractNum w:abstractNumId="65" w15:restartNumberingAfterBreak="0">
    <w:nsid w:val="110B7401"/>
    <w:multiLevelType w:val="hybridMultilevel"/>
    <w:tmpl w:val="3CE0D1C8"/>
    <w:lvl w:ilvl="0" w:tplc="F2CC29D6">
      <w:start w:val="1"/>
      <w:numFmt w:val="decimal"/>
      <w:lvlText w:val="(%1)"/>
      <w:lvlJc w:val="left"/>
      <w:pPr>
        <w:ind w:left="1215" w:hanging="85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113563EB"/>
    <w:multiLevelType w:val="hybridMultilevel"/>
    <w:tmpl w:val="D8EC733A"/>
    <w:lvl w:ilvl="0" w:tplc="E2F42BCE">
      <w:start w:val="1"/>
      <w:numFmt w:val="lowerRoman"/>
      <w:lvlText w:val="%1."/>
      <w:lvlJc w:val="right"/>
      <w:pPr>
        <w:ind w:left="1287" w:hanging="360"/>
      </w:pPr>
      <w:rPr>
        <w:rFonts w:ascii="Avenir LT 45 Book" w:hAnsi="Avenir LT 45 Book" w:hint="default"/>
        <w:sz w:val="20"/>
        <w:szCs w:val="20"/>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7" w15:restartNumberingAfterBreak="0">
    <w:nsid w:val="113C5674"/>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68" w15:restartNumberingAfterBreak="0">
    <w:nsid w:val="117F6F25"/>
    <w:multiLevelType w:val="hybridMultilevel"/>
    <w:tmpl w:val="3744B36C"/>
    <w:lvl w:ilvl="0" w:tplc="04090019">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118C5CAA"/>
    <w:multiLevelType w:val="hybridMultilevel"/>
    <w:tmpl w:val="3E547026"/>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11B462DD"/>
    <w:multiLevelType w:val="hybridMultilevel"/>
    <w:tmpl w:val="01580FA6"/>
    <w:lvl w:ilvl="0" w:tplc="BD805928">
      <w:start w:val="1"/>
      <w:numFmt w:val="decimal"/>
      <w:lvlText w:val="%1."/>
      <w:lvlJc w:val="left"/>
      <w:pPr>
        <w:ind w:left="946" w:hanging="720"/>
      </w:pPr>
      <w:rPr>
        <w:rFonts w:asciiTheme="minorHAnsi" w:eastAsia="Arial" w:hAnsiTheme="minorHAnsi" w:cstheme="minorHAnsi" w:hint="default"/>
        <w:b w:val="0"/>
        <w:bCs w:val="0"/>
        <w:i w:val="0"/>
        <w:iCs w:val="0"/>
        <w:w w:val="100"/>
        <w:sz w:val="22"/>
        <w:szCs w:val="22"/>
        <w:lang w:val="en-US" w:eastAsia="en-US" w:bidi="ar-SA"/>
      </w:rPr>
    </w:lvl>
    <w:lvl w:ilvl="1" w:tplc="E16EF20C">
      <w:start w:val="1"/>
      <w:numFmt w:val="lowerRoman"/>
      <w:lvlText w:val="(%2)"/>
      <w:lvlJc w:val="left"/>
      <w:pPr>
        <w:ind w:left="1666" w:hanging="720"/>
      </w:pPr>
      <w:rPr>
        <w:rFonts w:ascii="Arial" w:eastAsia="Arial" w:hAnsi="Arial" w:cs="Arial" w:hint="default"/>
        <w:b w:val="0"/>
        <w:bCs w:val="0"/>
        <w:i w:val="0"/>
        <w:iCs w:val="0"/>
        <w:spacing w:val="-1"/>
        <w:w w:val="99"/>
        <w:sz w:val="24"/>
        <w:szCs w:val="24"/>
        <w:lang w:val="en-US" w:eastAsia="en-US" w:bidi="ar-SA"/>
      </w:rPr>
    </w:lvl>
    <w:lvl w:ilvl="2" w:tplc="60C4ABB8">
      <w:numFmt w:val="bullet"/>
      <w:lvlText w:val="•"/>
      <w:lvlJc w:val="left"/>
      <w:pPr>
        <w:ind w:left="2715" w:hanging="720"/>
      </w:pPr>
      <w:rPr>
        <w:rFonts w:hint="default"/>
        <w:lang w:val="en-US" w:eastAsia="en-US" w:bidi="ar-SA"/>
      </w:rPr>
    </w:lvl>
    <w:lvl w:ilvl="3" w:tplc="213C588A">
      <w:numFmt w:val="bullet"/>
      <w:lvlText w:val="•"/>
      <w:lvlJc w:val="left"/>
      <w:pPr>
        <w:ind w:left="3770" w:hanging="720"/>
      </w:pPr>
      <w:rPr>
        <w:rFonts w:hint="default"/>
        <w:lang w:val="en-US" w:eastAsia="en-US" w:bidi="ar-SA"/>
      </w:rPr>
    </w:lvl>
    <w:lvl w:ilvl="4" w:tplc="F8CC6800">
      <w:numFmt w:val="bullet"/>
      <w:lvlText w:val="•"/>
      <w:lvlJc w:val="left"/>
      <w:pPr>
        <w:ind w:left="4826" w:hanging="720"/>
      </w:pPr>
      <w:rPr>
        <w:rFonts w:hint="default"/>
        <w:lang w:val="en-US" w:eastAsia="en-US" w:bidi="ar-SA"/>
      </w:rPr>
    </w:lvl>
    <w:lvl w:ilvl="5" w:tplc="20303366">
      <w:numFmt w:val="bullet"/>
      <w:lvlText w:val="•"/>
      <w:lvlJc w:val="left"/>
      <w:pPr>
        <w:ind w:left="5881" w:hanging="720"/>
      </w:pPr>
      <w:rPr>
        <w:rFonts w:hint="default"/>
        <w:lang w:val="en-US" w:eastAsia="en-US" w:bidi="ar-SA"/>
      </w:rPr>
    </w:lvl>
    <w:lvl w:ilvl="6" w:tplc="48067F3A">
      <w:numFmt w:val="bullet"/>
      <w:lvlText w:val="•"/>
      <w:lvlJc w:val="left"/>
      <w:pPr>
        <w:ind w:left="6937" w:hanging="720"/>
      </w:pPr>
      <w:rPr>
        <w:rFonts w:hint="default"/>
        <w:lang w:val="en-US" w:eastAsia="en-US" w:bidi="ar-SA"/>
      </w:rPr>
    </w:lvl>
    <w:lvl w:ilvl="7" w:tplc="50C6198A">
      <w:numFmt w:val="bullet"/>
      <w:lvlText w:val="•"/>
      <w:lvlJc w:val="left"/>
      <w:pPr>
        <w:ind w:left="7992" w:hanging="720"/>
      </w:pPr>
      <w:rPr>
        <w:rFonts w:hint="default"/>
        <w:lang w:val="en-US" w:eastAsia="en-US" w:bidi="ar-SA"/>
      </w:rPr>
    </w:lvl>
    <w:lvl w:ilvl="8" w:tplc="05144894">
      <w:numFmt w:val="bullet"/>
      <w:lvlText w:val="•"/>
      <w:lvlJc w:val="left"/>
      <w:pPr>
        <w:ind w:left="9048" w:hanging="720"/>
      </w:pPr>
      <w:rPr>
        <w:rFonts w:hint="default"/>
        <w:lang w:val="en-US" w:eastAsia="en-US" w:bidi="ar-SA"/>
      </w:rPr>
    </w:lvl>
  </w:abstractNum>
  <w:abstractNum w:abstractNumId="71" w15:restartNumberingAfterBreak="0">
    <w:nsid w:val="11D974AF"/>
    <w:multiLevelType w:val="hybridMultilevel"/>
    <w:tmpl w:val="706C6F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22A1615"/>
    <w:multiLevelType w:val="hybridMultilevel"/>
    <w:tmpl w:val="AA68E2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128F2A93"/>
    <w:multiLevelType w:val="hybridMultilevel"/>
    <w:tmpl w:val="22C2E0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129B7305"/>
    <w:multiLevelType w:val="multilevel"/>
    <w:tmpl w:val="2076AB90"/>
    <w:numStyleLink w:val="Style2"/>
  </w:abstractNum>
  <w:abstractNum w:abstractNumId="75" w15:restartNumberingAfterBreak="0">
    <w:nsid w:val="12FB4E6C"/>
    <w:multiLevelType w:val="multilevel"/>
    <w:tmpl w:val="2076AB90"/>
    <w:numStyleLink w:val="Style2"/>
  </w:abstractNum>
  <w:abstractNum w:abstractNumId="76" w15:restartNumberingAfterBreak="0">
    <w:nsid w:val="131B2414"/>
    <w:multiLevelType w:val="hybridMultilevel"/>
    <w:tmpl w:val="B67E9F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1346091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8" w15:restartNumberingAfterBreak="0">
    <w:nsid w:val="13566D75"/>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79" w15:restartNumberingAfterBreak="0">
    <w:nsid w:val="138C0905"/>
    <w:multiLevelType w:val="multilevel"/>
    <w:tmpl w:val="2076AB90"/>
    <w:numStyleLink w:val="Style2"/>
  </w:abstractNum>
  <w:abstractNum w:abstractNumId="80" w15:restartNumberingAfterBreak="0">
    <w:nsid w:val="13926C72"/>
    <w:multiLevelType w:val="hybridMultilevel"/>
    <w:tmpl w:val="1E785446"/>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13DA4F45"/>
    <w:multiLevelType w:val="multilevel"/>
    <w:tmpl w:val="0A4EA07C"/>
    <w:lvl w:ilvl="0">
      <w:start w:val="4"/>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82" w15:restartNumberingAfterBreak="0">
    <w:nsid w:val="13F304EF"/>
    <w:multiLevelType w:val="hybridMultilevel"/>
    <w:tmpl w:val="2C82C6EE"/>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15:restartNumberingAfterBreak="0">
    <w:nsid w:val="14301B9D"/>
    <w:multiLevelType w:val="hybridMultilevel"/>
    <w:tmpl w:val="1FD4883C"/>
    <w:lvl w:ilvl="0" w:tplc="E034E226">
      <w:start w:val="1"/>
      <w:numFmt w:val="lowerRoman"/>
      <w:lvlText w:val="%1."/>
      <w:lvlJc w:val="left"/>
      <w:pPr>
        <w:ind w:left="1200" w:hanging="720"/>
      </w:pPr>
      <w:rPr>
        <w:rFonts w:hint="default"/>
        <w:spacing w:val="-1"/>
        <w:w w:val="100"/>
      </w:rPr>
    </w:lvl>
    <w:lvl w:ilvl="1" w:tplc="7B2478AC">
      <w:numFmt w:val="bullet"/>
      <w:lvlText w:val="•"/>
      <w:lvlJc w:val="left"/>
      <w:pPr>
        <w:ind w:left="2040" w:hanging="720"/>
      </w:pPr>
      <w:rPr>
        <w:rFonts w:hint="default"/>
      </w:rPr>
    </w:lvl>
    <w:lvl w:ilvl="2" w:tplc="C074DCCA">
      <w:numFmt w:val="bullet"/>
      <w:lvlText w:val="•"/>
      <w:lvlJc w:val="left"/>
      <w:pPr>
        <w:ind w:left="2881" w:hanging="720"/>
      </w:pPr>
      <w:rPr>
        <w:rFonts w:hint="default"/>
      </w:rPr>
    </w:lvl>
    <w:lvl w:ilvl="3" w:tplc="CAA0FD52">
      <w:numFmt w:val="bullet"/>
      <w:lvlText w:val="•"/>
      <w:lvlJc w:val="left"/>
      <w:pPr>
        <w:ind w:left="3721" w:hanging="720"/>
      </w:pPr>
      <w:rPr>
        <w:rFonts w:hint="default"/>
      </w:rPr>
    </w:lvl>
    <w:lvl w:ilvl="4" w:tplc="C4CC7712">
      <w:numFmt w:val="bullet"/>
      <w:lvlText w:val="•"/>
      <w:lvlJc w:val="left"/>
      <w:pPr>
        <w:ind w:left="4562" w:hanging="720"/>
      </w:pPr>
      <w:rPr>
        <w:rFonts w:hint="default"/>
      </w:rPr>
    </w:lvl>
    <w:lvl w:ilvl="5" w:tplc="660E8C7A">
      <w:numFmt w:val="bullet"/>
      <w:lvlText w:val="•"/>
      <w:lvlJc w:val="left"/>
      <w:pPr>
        <w:ind w:left="5403" w:hanging="720"/>
      </w:pPr>
      <w:rPr>
        <w:rFonts w:hint="default"/>
      </w:rPr>
    </w:lvl>
    <w:lvl w:ilvl="6" w:tplc="A6348556">
      <w:numFmt w:val="bullet"/>
      <w:lvlText w:val="•"/>
      <w:lvlJc w:val="left"/>
      <w:pPr>
        <w:ind w:left="6243" w:hanging="720"/>
      </w:pPr>
      <w:rPr>
        <w:rFonts w:hint="default"/>
      </w:rPr>
    </w:lvl>
    <w:lvl w:ilvl="7" w:tplc="BF8C1448">
      <w:numFmt w:val="bullet"/>
      <w:lvlText w:val="•"/>
      <w:lvlJc w:val="left"/>
      <w:pPr>
        <w:ind w:left="7084" w:hanging="720"/>
      </w:pPr>
      <w:rPr>
        <w:rFonts w:hint="default"/>
      </w:rPr>
    </w:lvl>
    <w:lvl w:ilvl="8" w:tplc="75D60442">
      <w:numFmt w:val="bullet"/>
      <w:lvlText w:val="•"/>
      <w:lvlJc w:val="left"/>
      <w:pPr>
        <w:ind w:left="7925" w:hanging="720"/>
      </w:pPr>
      <w:rPr>
        <w:rFonts w:hint="default"/>
      </w:rPr>
    </w:lvl>
  </w:abstractNum>
  <w:abstractNum w:abstractNumId="84" w15:restartNumberingAfterBreak="0">
    <w:nsid w:val="14412C20"/>
    <w:multiLevelType w:val="hybridMultilevel"/>
    <w:tmpl w:val="1434653E"/>
    <w:lvl w:ilvl="0" w:tplc="0C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146E6ACB"/>
    <w:multiLevelType w:val="hybridMultilevel"/>
    <w:tmpl w:val="9C2CD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14787C46"/>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87" w15:restartNumberingAfterBreak="0">
    <w:nsid w:val="147B662E"/>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88" w15:restartNumberingAfterBreak="0">
    <w:nsid w:val="148B5390"/>
    <w:multiLevelType w:val="hybridMultilevel"/>
    <w:tmpl w:val="252A1A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14BF106D"/>
    <w:multiLevelType w:val="multilevel"/>
    <w:tmpl w:val="C9F2D8EE"/>
    <w:lvl w:ilvl="0">
      <w:start w:val="1"/>
      <w:numFmt w:val="decimal"/>
      <w:lvlText w:val="%1."/>
      <w:lvlJc w:val="left"/>
      <w:pPr>
        <w:ind w:left="699" w:hanging="569"/>
      </w:pPr>
      <w:rPr>
        <w:rFonts w:ascii="Calibri" w:eastAsia="Calibri" w:hAnsi="Calibri" w:cs="Calibri" w:hint="default"/>
        <w:spacing w:val="0"/>
        <w:w w:val="103"/>
        <w:sz w:val="23"/>
        <w:szCs w:val="23"/>
        <w:lang w:val="en-AU" w:eastAsia="en-US" w:bidi="ar-SA"/>
      </w:rPr>
    </w:lvl>
    <w:lvl w:ilvl="1">
      <w:start w:val="1"/>
      <w:numFmt w:val="decimal"/>
      <w:lvlText w:val="%1.%2"/>
      <w:lvlJc w:val="left"/>
      <w:pPr>
        <w:ind w:left="1570" w:hanging="721"/>
      </w:pPr>
      <w:rPr>
        <w:rFonts w:ascii="Calibri" w:eastAsia="Calibri" w:hAnsi="Calibri" w:cs="Calibri" w:hint="default"/>
        <w:spacing w:val="-3"/>
        <w:w w:val="103"/>
        <w:sz w:val="23"/>
        <w:szCs w:val="23"/>
        <w:lang w:val="en-AU" w:eastAsia="en-US" w:bidi="ar-SA"/>
      </w:rPr>
    </w:lvl>
    <w:lvl w:ilvl="2">
      <w:numFmt w:val="bullet"/>
      <w:lvlText w:val="•"/>
      <w:lvlJc w:val="left"/>
      <w:pPr>
        <w:ind w:left="2507" w:hanging="721"/>
      </w:pPr>
      <w:rPr>
        <w:rFonts w:hint="default"/>
        <w:lang w:val="en-AU" w:eastAsia="en-US" w:bidi="ar-SA"/>
      </w:rPr>
    </w:lvl>
    <w:lvl w:ilvl="3">
      <w:numFmt w:val="bullet"/>
      <w:lvlText w:val="•"/>
      <w:lvlJc w:val="left"/>
      <w:pPr>
        <w:ind w:left="3435" w:hanging="721"/>
      </w:pPr>
      <w:rPr>
        <w:rFonts w:hint="default"/>
        <w:lang w:val="en-AU" w:eastAsia="en-US" w:bidi="ar-SA"/>
      </w:rPr>
    </w:lvl>
    <w:lvl w:ilvl="4">
      <w:numFmt w:val="bullet"/>
      <w:lvlText w:val="•"/>
      <w:lvlJc w:val="left"/>
      <w:pPr>
        <w:ind w:left="4362" w:hanging="721"/>
      </w:pPr>
      <w:rPr>
        <w:rFonts w:hint="default"/>
        <w:lang w:val="en-AU" w:eastAsia="en-US" w:bidi="ar-SA"/>
      </w:rPr>
    </w:lvl>
    <w:lvl w:ilvl="5">
      <w:numFmt w:val="bullet"/>
      <w:lvlText w:val="•"/>
      <w:lvlJc w:val="left"/>
      <w:pPr>
        <w:ind w:left="5290" w:hanging="721"/>
      </w:pPr>
      <w:rPr>
        <w:rFonts w:hint="default"/>
        <w:lang w:val="en-AU" w:eastAsia="en-US" w:bidi="ar-SA"/>
      </w:rPr>
    </w:lvl>
    <w:lvl w:ilvl="6">
      <w:numFmt w:val="bullet"/>
      <w:lvlText w:val="•"/>
      <w:lvlJc w:val="left"/>
      <w:pPr>
        <w:ind w:left="6218" w:hanging="721"/>
      </w:pPr>
      <w:rPr>
        <w:rFonts w:hint="default"/>
        <w:lang w:val="en-AU" w:eastAsia="en-US" w:bidi="ar-SA"/>
      </w:rPr>
    </w:lvl>
    <w:lvl w:ilvl="7">
      <w:numFmt w:val="bullet"/>
      <w:lvlText w:val="•"/>
      <w:lvlJc w:val="left"/>
      <w:pPr>
        <w:ind w:left="7145" w:hanging="721"/>
      </w:pPr>
      <w:rPr>
        <w:rFonts w:hint="default"/>
        <w:lang w:val="en-AU" w:eastAsia="en-US" w:bidi="ar-SA"/>
      </w:rPr>
    </w:lvl>
    <w:lvl w:ilvl="8">
      <w:numFmt w:val="bullet"/>
      <w:lvlText w:val="•"/>
      <w:lvlJc w:val="left"/>
      <w:pPr>
        <w:ind w:left="8073" w:hanging="721"/>
      </w:pPr>
      <w:rPr>
        <w:rFonts w:hint="default"/>
        <w:lang w:val="en-AU" w:eastAsia="en-US" w:bidi="ar-SA"/>
      </w:rPr>
    </w:lvl>
  </w:abstractNum>
  <w:abstractNum w:abstractNumId="90" w15:restartNumberingAfterBreak="0">
    <w:nsid w:val="152D20F4"/>
    <w:multiLevelType w:val="hybridMultilevel"/>
    <w:tmpl w:val="3EE898DC"/>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15C55C0B"/>
    <w:multiLevelType w:val="hybridMultilevel"/>
    <w:tmpl w:val="C576B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15E93958"/>
    <w:multiLevelType w:val="multilevel"/>
    <w:tmpl w:val="177A1206"/>
    <w:numStyleLink w:val="Style4"/>
  </w:abstractNum>
  <w:abstractNum w:abstractNumId="93" w15:restartNumberingAfterBreak="0">
    <w:nsid w:val="161A0EF8"/>
    <w:multiLevelType w:val="multilevel"/>
    <w:tmpl w:val="08D2A8F8"/>
    <w:lvl w:ilvl="0">
      <w:start w:val="1"/>
      <w:numFmt w:val="decimal"/>
      <w:lvlText w:val="%1"/>
      <w:lvlJc w:val="left"/>
      <w:pPr>
        <w:ind w:left="536" w:hanging="425"/>
      </w:pPr>
      <w:rPr>
        <w:rFonts w:asciiTheme="minorHAnsi" w:eastAsia="Arial" w:hAnsiTheme="minorHAnsi" w:cs="Arial" w:hint="default"/>
        <w:b/>
        <w:bCs/>
        <w:w w:val="99"/>
        <w:sz w:val="22"/>
        <w:szCs w:val="20"/>
        <w:lang w:val="en-AU" w:eastAsia="en-AU" w:bidi="en-AU"/>
      </w:rPr>
    </w:lvl>
    <w:lvl w:ilvl="1">
      <w:start w:val="1"/>
      <w:numFmt w:val="decimal"/>
      <w:lvlText w:val="%1.%2"/>
      <w:lvlJc w:val="left"/>
      <w:pPr>
        <w:ind w:left="2694" w:hanging="425"/>
      </w:pPr>
      <w:rPr>
        <w:rFonts w:asciiTheme="minorHAnsi" w:eastAsia="Arial" w:hAnsiTheme="minorHAnsi" w:cs="Arial" w:hint="default"/>
        <w:b w:val="0"/>
        <w:spacing w:val="-1"/>
        <w:w w:val="99"/>
        <w:sz w:val="22"/>
        <w:szCs w:val="20"/>
        <w:lang w:val="en-AU" w:eastAsia="en-AU" w:bidi="en-AU"/>
      </w:rPr>
    </w:lvl>
    <w:lvl w:ilvl="2">
      <w:start w:val="1"/>
      <w:numFmt w:val="lowerLetter"/>
      <w:lvlText w:val="(%3)"/>
      <w:lvlJc w:val="left"/>
      <w:pPr>
        <w:ind w:left="961" w:hanging="425"/>
        <w:jc w:val="right"/>
      </w:pPr>
      <w:rPr>
        <w:rFonts w:asciiTheme="minorHAnsi" w:eastAsia="Arial" w:hAnsiTheme="minorHAnsi" w:cs="Arial" w:hint="default"/>
        <w:b w:val="0"/>
        <w:spacing w:val="-1"/>
        <w:w w:val="99"/>
        <w:sz w:val="22"/>
        <w:szCs w:val="20"/>
        <w:lang w:val="en-AU" w:eastAsia="en-AU" w:bidi="en-AU"/>
      </w:rPr>
    </w:lvl>
    <w:lvl w:ilvl="3">
      <w:numFmt w:val="bullet"/>
      <w:lvlText w:val="•"/>
      <w:lvlJc w:val="left"/>
      <w:pPr>
        <w:ind w:left="3112" w:hanging="425"/>
      </w:pPr>
      <w:rPr>
        <w:rFonts w:hint="default"/>
        <w:lang w:val="en-AU" w:eastAsia="en-AU" w:bidi="en-AU"/>
      </w:rPr>
    </w:lvl>
    <w:lvl w:ilvl="4">
      <w:numFmt w:val="bullet"/>
      <w:lvlText w:val="•"/>
      <w:lvlJc w:val="left"/>
      <w:pPr>
        <w:ind w:left="4188" w:hanging="425"/>
      </w:pPr>
      <w:rPr>
        <w:rFonts w:hint="default"/>
        <w:lang w:val="en-AU" w:eastAsia="en-AU" w:bidi="en-AU"/>
      </w:rPr>
    </w:lvl>
    <w:lvl w:ilvl="5">
      <w:numFmt w:val="bullet"/>
      <w:lvlText w:val="•"/>
      <w:lvlJc w:val="left"/>
      <w:pPr>
        <w:ind w:left="5265" w:hanging="425"/>
      </w:pPr>
      <w:rPr>
        <w:rFonts w:hint="default"/>
        <w:lang w:val="en-AU" w:eastAsia="en-AU" w:bidi="en-AU"/>
      </w:rPr>
    </w:lvl>
    <w:lvl w:ilvl="6">
      <w:numFmt w:val="bullet"/>
      <w:lvlText w:val="•"/>
      <w:lvlJc w:val="left"/>
      <w:pPr>
        <w:ind w:left="6341" w:hanging="425"/>
      </w:pPr>
      <w:rPr>
        <w:rFonts w:hint="default"/>
        <w:lang w:val="en-AU" w:eastAsia="en-AU" w:bidi="en-AU"/>
      </w:rPr>
    </w:lvl>
    <w:lvl w:ilvl="7">
      <w:numFmt w:val="bullet"/>
      <w:lvlText w:val="•"/>
      <w:lvlJc w:val="left"/>
      <w:pPr>
        <w:ind w:left="7417" w:hanging="425"/>
      </w:pPr>
      <w:rPr>
        <w:rFonts w:hint="default"/>
        <w:lang w:val="en-AU" w:eastAsia="en-AU" w:bidi="en-AU"/>
      </w:rPr>
    </w:lvl>
    <w:lvl w:ilvl="8">
      <w:numFmt w:val="bullet"/>
      <w:lvlText w:val="•"/>
      <w:lvlJc w:val="left"/>
      <w:pPr>
        <w:ind w:left="8493" w:hanging="425"/>
      </w:pPr>
      <w:rPr>
        <w:rFonts w:hint="default"/>
        <w:lang w:val="en-AU" w:eastAsia="en-AU" w:bidi="en-AU"/>
      </w:rPr>
    </w:lvl>
  </w:abstractNum>
  <w:abstractNum w:abstractNumId="94" w15:restartNumberingAfterBreak="0">
    <w:nsid w:val="1623017E"/>
    <w:multiLevelType w:val="hybridMultilevel"/>
    <w:tmpl w:val="9D5A1768"/>
    <w:lvl w:ilvl="0" w:tplc="C4348736">
      <w:start w:val="1"/>
      <w:numFmt w:val="lowerRoman"/>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5" w15:restartNumberingAfterBreak="0">
    <w:nsid w:val="167664CE"/>
    <w:multiLevelType w:val="hybridMultilevel"/>
    <w:tmpl w:val="F5EE4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16B30226"/>
    <w:multiLevelType w:val="singleLevel"/>
    <w:tmpl w:val="43BCF916"/>
    <w:lvl w:ilvl="0">
      <w:start w:val="1"/>
      <w:numFmt w:val="bullet"/>
      <w:lvlText w:val=""/>
      <w:lvlJc w:val="left"/>
      <w:pPr>
        <w:tabs>
          <w:tab w:val="num" w:pos="1778"/>
        </w:tabs>
        <w:ind w:left="1778" w:hanging="360"/>
      </w:pPr>
      <w:rPr>
        <w:rFonts w:ascii="Symbol" w:hAnsi="Symbol" w:hint="default"/>
      </w:rPr>
    </w:lvl>
  </w:abstractNum>
  <w:abstractNum w:abstractNumId="97" w15:restartNumberingAfterBreak="0">
    <w:nsid w:val="16B31897"/>
    <w:multiLevelType w:val="hybridMultilevel"/>
    <w:tmpl w:val="1090B59C"/>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170C5862"/>
    <w:multiLevelType w:val="multilevel"/>
    <w:tmpl w:val="177A1206"/>
    <w:numStyleLink w:val="Style4"/>
  </w:abstractNum>
  <w:abstractNum w:abstractNumId="99" w15:restartNumberingAfterBreak="0">
    <w:nsid w:val="171A7170"/>
    <w:multiLevelType w:val="hybridMultilevel"/>
    <w:tmpl w:val="D716FF6E"/>
    <w:lvl w:ilvl="0" w:tplc="04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173F0D57"/>
    <w:multiLevelType w:val="singleLevel"/>
    <w:tmpl w:val="9560049A"/>
    <w:lvl w:ilvl="0">
      <w:start w:val="1"/>
      <w:numFmt w:val="decimal"/>
      <w:lvlText w:val="%1."/>
      <w:lvlJc w:val="left"/>
      <w:pPr>
        <w:tabs>
          <w:tab w:val="num" w:pos="360"/>
        </w:tabs>
        <w:ind w:left="360" w:hanging="360"/>
      </w:pPr>
      <w:rPr>
        <w:rFonts w:cs="Times New Roman"/>
      </w:rPr>
    </w:lvl>
  </w:abstractNum>
  <w:abstractNum w:abstractNumId="101" w15:restartNumberingAfterBreak="0">
    <w:nsid w:val="17804029"/>
    <w:multiLevelType w:val="multilevel"/>
    <w:tmpl w:val="6786FF86"/>
    <w:lvl w:ilvl="0">
      <w:start w:val="1"/>
      <w:numFmt w:val="decimal"/>
      <w:lvlText w:val="%1"/>
      <w:lvlJc w:val="left"/>
      <w:pPr>
        <w:ind w:left="1820" w:hanging="720"/>
      </w:pPr>
      <w:rPr>
        <w:rFonts w:ascii="Arial" w:eastAsia="Arial" w:hAnsi="Arial" w:cs="Arial" w:hint="default"/>
        <w:b/>
        <w:bCs/>
        <w:color w:val="010202"/>
        <w:w w:val="99"/>
        <w:sz w:val="32"/>
        <w:szCs w:val="32"/>
      </w:rPr>
    </w:lvl>
    <w:lvl w:ilvl="1">
      <w:start w:val="1"/>
      <w:numFmt w:val="decimal"/>
      <w:lvlText w:val="%1.%2"/>
      <w:lvlJc w:val="left"/>
      <w:pPr>
        <w:ind w:left="1819" w:hanging="719"/>
      </w:pPr>
      <w:rPr>
        <w:rFonts w:ascii="Arial" w:eastAsia="Arial" w:hAnsi="Arial" w:cs="Arial" w:hint="default"/>
        <w:b/>
        <w:bCs/>
        <w:color w:val="010202"/>
        <w:w w:val="99"/>
        <w:sz w:val="24"/>
        <w:szCs w:val="24"/>
      </w:rPr>
    </w:lvl>
    <w:lvl w:ilvl="2">
      <w:numFmt w:val="bullet"/>
      <w:lvlText w:val=""/>
      <w:lvlJc w:val="left"/>
      <w:pPr>
        <w:ind w:left="2180" w:hanging="360"/>
      </w:pPr>
      <w:rPr>
        <w:rFonts w:ascii="Symbol" w:eastAsia="Symbol" w:hAnsi="Symbol" w:cs="Symbol" w:hint="default"/>
        <w:color w:val="010202"/>
        <w:w w:val="100"/>
        <w:sz w:val="22"/>
        <w:szCs w:val="22"/>
      </w:rPr>
    </w:lvl>
    <w:lvl w:ilvl="3">
      <w:numFmt w:val="bullet"/>
      <w:lvlText w:val="•"/>
      <w:lvlJc w:val="left"/>
      <w:pPr>
        <w:ind w:left="4207" w:hanging="360"/>
      </w:pPr>
      <w:rPr>
        <w:rFonts w:hint="default"/>
      </w:rPr>
    </w:lvl>
    <w:lvl w:ilvl="4">
      <w:numFmt w:val="bullet"/>
      <w:lvlText w:val="•"/>
      <w:lvlJc w:val="left"/>
      <w:pPr>
        <w:ind w:left="5221" w:hanging="360"/>
      </w:pPr>
      <w:rPr>
        <w:rFonts w:hint="default"/>
      </w:rPr>
    </w:lvl>
    <w:lvl w:ilvl="5">
      <w:numFmt w:val="bullet"/>
      <w:lvlText w:val="•"/>
      <w:lvlJc w:val="left"/>
      <w:pPr>
        <w:ind w:left="6235" w:hanging="360"/>
      </w:pPr>
      <w:rPr>
        <w:rFonts w:hint="default"/>
      </w:rPr>
    </w:lvl>
    <w:lvl w:ilvl="6">
      <w:numFmt w:val="bullet"/>
      <w:lvlText w:val="•"/>
      <w:lvlJc w:val="left"/>
      <w:pPr>
        <w:ind w:left="7249" w:hanging="360"/>
      </w:pPr>
      <w:rPr>
        <w:rFonts w:hint="default"/>
      </w:rPr>
    </w:lvl>
    <w:lvl w:ilvl="7">
      <w:numFmt w:val="bullet"/>
      <w:lvlText w:val="•"/>
      <w:lvlJc w:val="left"/>
      <w:pPr>
        <w:ind w:left="8262" w:hanging="360"/>
      </w:pPr>
      <w:rPr>
        <w:rFonts w:hint="default"/>
      </w:rPr>
    </w:lvl>
    <w:lvl w:ilvl="8">
      <w:numFmt w:val="bullet"/>
      <w:lvlText w:val="•"/>
      <w:lvlJc w:val="left"/>
      <w:pPr>
        <w:ind w:left="9276" w:hanging="360"/>
      </w:pPr>
      <w:rPr>
        <w:rFonts w:hint="default"/>
      </w:rPr>
    </w:lvl>
  </w:abstractNum>
  <w:abstractNum w:abstractNumId="102" w15:restartNumberingAfterBreak="0">
    <w:nsid w:val="17F131B2"/>
    <w:multiLevelType w:val="hybridMultilevel"/>
    <w:tmpl w:val="777AE2C8"/>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3" w15:restartNumberingAfterBreak="0">
    <w:nsid w:val="180538FB"/>
    <w:multiLevelType w:val="hybridMultilevel"/>
    <w:tmpl w:val="85DE1112"/>
    <w:lvl w:ilvl="0" w:tplc="71C62CD6">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4" w15:restartNumberingAfterBreak="0">
    <w:nsid w:val="180C3409"/>
    <w:multiLevelType w:val="hybridMultilevel"/>
    <w:tmpl w:val="F9C48D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183023BB"/>
    <w:multiLevelType w:val="multilevel"/>
    <w:tmpl w:val="177A1206"/>
    <w:numStyleLink w:val="Style4"/>
  </w:abstractNum>
  <w:abstractNum w:abstractNumId="106" w15:restartNumberingAfterBreak="0">
    <w:nsid w:val="18E36F31"/>
    <w:multiLevelType w:val="hybridMultilevel"/>
    <w:tmpl w:val="EF2853CE"/>
    <w:lvl w:ilvl="0" w:tplc="870EA484">
      <w:numFmt w:val="bullet"/>
      <w:lvlText w:val=""/>
      <w:lvlJc w:val="left"/>
      <w:pPr>
        <w:ind w:left="515" w:hanging="286"/>
      </w:pPr>
      <w:rPr>
        <w:rFonts w:ascii="Symbol" w:eastAsia="Symbol" w:hAnsi="Symbol" w:cs="Symbol" w:hint="default"/>
        <w:b w:val="0"/>
        <w:bCs w:val="0"/>
        <w:i w:val="0"/>
        <w:iCs w:val="0"/>
        <w:spacing w:val="0"/>
        <w:w w:val="100"/>
        <w:sz w:val="22"/>
        <w:szCs w:val="22"/>
        <w:lang w:val="en-US" w:eastAsia="en-US" w:bidi="ar-SA"/>
      </w:rPr>
    </w:lvl>
    <w:lvl w:ilvl="1" w:tplc="04CEB222">
      <w:numFmt w:val="bullet"/>
      <w:lvlText w:val="•"/>
      <w:lvlJc w:val="left"/>
      <w:pPr>
        <w:ind w:left="1127" w:hanging="286"/>
      </w:pPr>
      <w:rPr>
        <w:rFonts w:hint="default"/>
        <w:lang w:val="en-US" w:eastAsia="en-US" w:bidi="ar-SA"/>
      </w:rPr>
    </w:lvl>
    <w:lvl w:ilvl="2" w:tplc="4676A442">
      <w:numFmt w:val="bullet"/>
      <w:lvlText w:val="•"/>
      <w:lvlJc w:val="left"/>
      <w:pPr>
        <w:ind w:left="1735" w:hanging="286"/>
      </w:pPr>
      <w:rPr>
        <w:rFonts w:hint="default"/>
        <w:lang w:val="en-US" w:eastAsia="en-US" w:bidi="ar-SA"/>
      </w:rPr>
    </w:lvl>
    <w:lvl w:ilvl="3" w:tplc="12A45CD6">
      <w:numFmt w:val="bullet"/>
      <w:lvlText w:val="•"/>
      <w:lvlJc w:val="left"/>
      <w:pPr>
        <w:ind w:left="2342" w:hanging="286"/>
      </w:pPr>
      <w:rPr>
        <w:rFonts w:hint="default"/>
        <w:lang w:val="en-US" w:eastAsia="en-US" w:bidi="ar-SA"/>
      </w:rPr>
    </w:lvl>
    <w:lvl w:ilvl="4" w:tplc="EEEA5034">
      <w:numFmt w:val="bullet"/>
      <w:lvlText w:val="•"/>
      <w:lvlJc w:val="left"/>
      <w:pPr>
        <w:ind w:left="2950" w:hanging="286"/>
      </w:pPr>
      <w:rPr>
        <w:rFonts w:hint="default"/>
        <w:lang w:val="en-US" w:eastAsia="en-US" w:bidi="ar-SA"/>
      </w:rPr>
    </w:lvl>
    <w:lvl w:ilvl="5" w:tplc="6B62014E">
      <w:numFmt w:val="bullet"/>
      <w:lvlText w:val="•"/>
      <w:lvlJc w:val="left"/>
      <w:pPr>
        <w:ind w:left="3558" w:hanging="286"/>
      </w:pPr>
      <w:rPr>
        <w:rFonts w:hint="default"/>
        <w:lang w:val="en-US" w:eastAsia="en-US" w:bidi="ar-SA"/>
      </w:rPr>
    </w:lvl>
    <w:lvl w:ilvl="6" w:tplc="555E7CF0">
      <w:numFmt w:val="bullet"/>
      <w:lvlText w:val="•"/>
      <w:lvlJc w:val="left"/>
      <w:pPr>
        <w:ind w:left="4165" w:hanging="286"/>
      </w:pPr>
      <w:rPr>
        <w:rFonts w:hint="default"/>
        <w:lang w:val="en-US" w:eastAsia="en-US" w:bidi="ar-SA"/>
      </w:rPr>
    </w:lvl>
    <w:lvl w:ilvl="7" w:tplc="925AECE4">
      <w:numFmt w:val="bullet"/>
      <w:lvlText w:val="•"/>
      <w:lvlJc w:val="left"/>
      <w:pPr>
        <w:ind w:left="4773" w:hanging="286"/>
      </w:pPr>
      <w:rPr>
        <w:rFonts w:hint="default"/>
        <w:lang w:val="en-US" w:eastAsia="en-US" w:bidi="ar-SA"/>
      </w:rPr>
    </w:lvl>
    <w:lvl w:ilvl="8" w:tplc="A2F28D3C">
      <w:numFmt w:val="bullet"/>
      <w:lvlText w:val="•"/>
      <w:lvlJc w:val="left"/>
      <w:pPr>
        <w:ind w:left="5380" w:hanging="286"/>
      </w:pPr>
      <w:rPr>
        <w:rFonts w:hint="default"/>
        <w:lang w:val="en-US" w:eastAsia="en-US" w:bidi="ar-SA"/>
      </w:rPr>
    </w:lvl>
  </w:abstractNum>
  <w:abstractNum w:abstractNumId="107" w15:restartNumberingAfterBreak="0">
    <w:nsid w:val="19157809"/>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108" w15:restartNumberingAfterBreak="0">
    <w:nsid w:val="191C7A8C"/>
    <w:multiLevelType w:val="hybridMultilevel"/>
    <w:tmpl w:val="F7763650"/>
    <w:lvl w:ilvl="0" w:tplc="0C090001">
      <w:start w:val="1"/>
      <w:numFmt w:val="bullet"/>
      <w:lvlText w:val=""/>
      <w:lvlJc w:val="left"/>
      <w:pPr>
        <w:ind w:left="1571" w:hanging="360"/>
      </w:pPr>
      <w:rPr>
        <w:rFonts w:ascii="Symbol" w:hAnsi="Symbo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09" w15:restartNumberingAfterBreak="0">
    <w:nsid w:val="192D76D3"/>
    <w:multiLevelType w:val="hybridMultilevel"/>
    <w:tmpl w:val="9998C26E"/>
    <w:lvl w:ilvl="0" w:tplc="43BCF916">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19A17779"/>
    <w:multiLevelType w:val="multilevel"/>
    <w:tmpl w:val="C79C66C0"/>
    <w:lvl w:ilvl="0">
      <w:start w:val="5"/>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11" w15:restartNumberingAfterBreak="0">
    <w:nsid w:val="19CF3EA9"/>
    <w:multiLevelType w:val="hybridMultilevel"/>
    <w:tmpl w:val="CCCC2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19D371DD"/>
    <w:multiLevelType w:val="hybridMultilevel"/>
    <w:tmpl w:val="0EFC35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19F179CE"/>
    <w:multiLevelType w:val="hybridMultilevel"/>
    <w:tmpl w:val="60DAFE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1A9B67D7"/>
    <w:multiLevelType w:val="hybridMultilevel"/>
    <w:tmpl w:val="EC727F84"/>
    <w:lvl w:ilvl="0" w:tplc="0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1AA73F86"/>
    <w:multiLevelType w:val="multilevel"/>
    <w:tmpl w:val="177A1206"/>
    <w:numStyleLink w:val="Style4"/>
  </w:abstractNum>
  <w:abstractNum w:abstractNumId="116" w15:restartNumberingAfterBreak="0">
    <w:nsid w:val="1AF016B4"/>
    <w:multiLevelType w:val="hybridMultilevel"/>
    <w:tmpl w:val="CC404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1B63678A"/>
    <w:multiLevelType w:val="hybridMultilevel"/>
    <w:tmpl w:val="BB6A4A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8" w15:restartNumberingAfterBreak="0">
    <w:nsid w:val="1BA706C7"/>
    <w:multiLevelType w:val="hybridMultilevel"/>
    <w:tmpl w:val="7C38E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1BA713CF"/>
    <w:multiLevelType w:val="multilevel"/>
    <w:tmpl w:val="177A1206"/>
    <w:numStyleLink w:val="Style4"/>
  </w:abstractNum>
  <w:abstractNum w:abstractNumId="120" w15:restartNumberingAfterBreak="0">
    <w:nsid w:val="1BE96DA5"/>
    <w:multiLevelType w:val="multilevel"/>
    <w:tmpl w:val="9D9A9DAC"/>
    <w:lvl w:ilvl="0">
      <w:start w:val="3"/>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121" w15:restartNumberingAfterBreak="0">
    <w:nsid w:val="1BF24495"/>
    <w:multiLevelType w:val="hybridMultilevel"/>
    <w:tmpl w:val="A6A455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2" w15:restartNumberingAfterBreak="0">
    <w:nsid w:val="1C0528F6"/>
    <w:multiLevelType w:val="multilevel"/>
    <w:tmpl w:val="2076AB90"/>
    <w:numStyleLink w:val="Style2"/>
  </w:abstractNum>
  <w:abstractNum w:abstractNumId="123" w15:restartNumberingAfterBreak="0">
    <w:nsid w:val="1C1E5DAE"/>
    <w:multiLevelType w:val="hybridMultilevel"/>
    <w:tmpl w:val="539037DE"/>
    <w:lvl w:ilvl="0" w:tplc="910600CA">
      <w:numFmt w:val="bullet"/>
      <w:lvlText w:val=""/>
      <w:lvlJc w:val="left"/>
      <w:pPr>
        <w:ind w:left="972" w:hanging="425"/>
      </w:pPr>
      <w:rPr>
        <w:rFonts w:ascii="Symbol" w:eastAsia="Symbol" w:hAnsi="Symbol" w:cs="Symbol" w:hint="default"/>
        <w:w w:val="100"/>
        <w:sz w:val="22"/>
        <w:szCs w:val="22"/>
        <w:lang w:val="en-AU" w:eastAsia="en-AU" w:bidi="en-AU"/>
      </w:rPr>
    </w:lvl>
    <w:lvl w:ilvl="1" w:tplc="91B0AFB6">
      <w:numFmt w:val="bullet"/>
      <w:lvlText w:val="•"/>
      <w:lvlJc w:val="left"/>
      <w:pPr>
        <w:ind w:left="1842" w:hanging="425"/>
      </w:pPr>
      <w:rPr>
        <w:rFonts w:hint="default"/>
        <w:lang w:val="en-AU" w:eastAsia="en-AU" w:bidi="en-AU"/>
      </w:rPr>
    </w:lvl>
    <w:lvl w:ilvl="2" w:tplc="5D0CF772">
      <w:numFmt w:val="bullet"/>
      <w:lvlText w:val="•"/>
      <w:lvlJc w:val="left"/>
      <w:pPr>
        <w:ind w:left="2705" w:hanging="425"/>
      </w:pPr>
      <w:rPr>
        <w:rFonts w:hint="default"/>
        <w:lang w:val="en-AU" w:eastAsia="en-AU" w:bidi="en-AU"/>
      </w:rPr>
    </w:lvl>
    <w:lvl w:ilvl="3" w:tplc="5D6EDF18">
      <w:numFmt w:val="bullet"/>
      <w:lvlText w:val="•"/>
      <w:lvlJc w:val="left"/>
      <w:pPr>
        <w:ind w:left="3567" w:hanging="425"/>
      </w:pPr>
      <w:rPr>
        <w:rFonts w:hint="default"/>
        <w:lang w:val="en-AU" w:eastAsia="en-AU" w:bidi="en-AU"/>
      </w:rPr>
    </w:lvl>
    <w:lvl w:ilvl="4" w:tplc="34CE0B82">
      <w:numFmt w:val="bullet"/>
      <w:lvlText w:val="•"/>
      <w:lvlJc w:val="left"/>
      <w:pPr>
        <w:ind w:left="4430" w:hanging="425"/>
      </w:pPr>
      <w:rPr>
        <w:rFonts w:hint="default"/>
        <w:lang w:val="en-AU" w:eastAsia="en-AU" w:bidi="en-AU"/>
      </w:rPr>
    </w:lvl>
    <w:lvl w:ilvl="5" w:tplc="F9F83644">
      <w:numFmt w:val="bullet"/>
      <w:lvlText w:val="•"/>
      <w:lvlJc w:val="left"/>
      <w:pPr>
        <w:ind w:left="5293" w:hanging="425"/>
      </w:pPr>
      <w:rPr>
        <w:rFonts w:hint="default"/>
        <w:lang w:val="en-AU" w:eastAsia="en-AU" w:bidi="en-AU"/>
      </w:rPr>
    </w:lvl>
    <w:lvl w:ilvl="6" w:tplc="43E4DA9C">
      <w:numFmt w:val="bullet"/>
      <w:lvlText w:val="•"/>
      <w:lvlJc w:val="left"/>
      <w:pPr>
        <w:ind w:left="6155" w:hanging="425"/>
      </w:pPr>
      <w:rPr>
        <w:rFonts w:hint="default"/>
        <w:lang w:val="en-AU" w:eastAsia="en-AU" w:bidi="en-AU"/>
      </w:rPr>
    </w:lvl>
    <w:lvl w:ilvl="7" w:tplc="48EC01CA">
      <w:numFmt w:val="bullet"/>
      <w:lvlText w:val="•"/>
      <w:lvlJc w:val="left"/>
      <w:pPr>
        <w:ind w:left="7018" w:hanging="425"/>
      </w:pPr>
      <w:rPr>
        <w:rFonts w:hint="default"/>
        <w:lang w:val="en-AU" w:eastAsia="en-AU" w:bidi="en-AU"/>
      </w:rPr>
    </w:lvl>
    <w:lvl w:ilvl="8" w:tplc="01C8BB74">
      <w:numFmt w:val="bullet"/>
      <w:lvlText w:val="•"/>
      <w:lvlJc w:val="left"/>
      <w:pPr>
        <w:ind w:left="7881" w:hanging="425"/>
      </w:pPr>
      <w:rPr>
        <w:rFonts w:hint="default"/>
        <w:lang w:val="en-AU" w:eastAsia="en-AU" w:bidi="en-AU"/>
      </w:rPr>
    </w:lvl>
  </w:abstractNum>
  <w:abstractNum w:abstractNumId="124" w15:restartNumberingAfterBreak="0">
    <w:nsid w:val="1C2D191B"/>
    <w:multiLevelType w:val="multilevel"/>
    <w:tmpl w:val="7F4AA0BC"/>
    <w:lvl w:ilvl="0">
      <w:start w:val="2"/>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25" w15:restartNumberingAfterBreak="0">
    <w:nsid w:val="1C2E3532"/>
    <w:multiLevelType w:val="hybridMultilevel"/>
    <w:tmpl w:val="D944AF4A"/>
    <w:lvl w:ilvl="0" w:tplc="5894A7A0">
      <w:numFmt w:val="bullet"/>
      <w:lvlText w:val=""/>
      <w:lvlJc w:val="left"/>
      <w:pPr>
        <w:ind w:left="527" w:hanging="428"/>
      </w:pPr>
      <w:rPr>
        <w:rFonts w:ascii="Symbol" w:eastAsia="Symbol" w:hAnsi="Symbol" w:cs="Symbol" w:hint="default"/>
        <w:b w:val="0"/>
        <w:bCs w:val="0"/>
        <w:i w:val="0"/>
        <w:iCs w:val="0"/>
        <w:spacing w:val="0"/>
        <w:w w:val="100"/>
        <w:sz w:val="22"/>
        <w:szCs w:val="22"/>
        <w:lang w:val="en-US" w:eastAsia="en-US" w:bidi="ar-SA"/>
      </w:rPr>
    </w:lvl>
    <w:lvl w:ilvl="1" w:tplc="108ACC2A">
      <w:numFmt w:val="bullet"/>
      <w:lvlText w:val="•"/>
      <w:lvlJc w:val="left"/>
      <w:pPr>
        <w:ind w:left="1425" w:hanging="428"/>
      </w:pPr>
      <w:rPr>
        <w:rFonts w:hint="default"/>
        <w:lang w:val="en-US" w:eastAsia="en-US" w:bidi="ar-SA"/>
      </w:rPr>
    </w:lvl>
    <w:lvl w:ilvl="2" w:tplc="E10E583C">
      <w:numFmt w:val="bullet"/>
      <w:lvlText w:val="•"/>
      <w:lvlJc w:val="left"/>
      <w:pPr>
        <w:ind w:left="2330" w:hanging="428"/>
      </w:pPr>
      <w:rPr>
        <w:rFonts w:hint="default"/>
        <w:lang w:val="en-US" w:eastAsia="en-US" w:bidi="ar-SA"/>
      </w:rPr>
    </w:lvl>
    <w:lvl w:ilvl="3" w:tplc="7126224A">
      <w:numFmt w:val="bullet"/>
      <w:lvlText w:val="•"/>
      <w:lvlJc w:val="left"/>
      <w:pPr>
        <w:ind w:left="3235" w:hanging="428"/>
      </w:pPr>
      <w:rPr>
        <w:rFonts w:hint="default"/>
        <w:lang w:val="en-US" w:eastAsia="en-US" w:bidi="ar-SA"/>
      </w:rPr>
    </w:lvl>
    <w:lvl w:ilvl="4" w:tplc="E9AE35B6">
      <w:numFmt w:val="bullet"/>
      <w:lvlText w:val="•"/>
      <w:lvlJc w:val="left"/>
      <w:pPr>
        <w:ind w:left="4140" w:hanging="428"/>
      </w:pPr>
      <w:rPr>
        <w:rFonts w:hint="default"/>
        <w:lang w:val="en-US" w:eastAsia="en-US" w:bidi="ar-SA"/>
      </w:rPr>
    </w:lvl>
    <w:lvl w:ilvl="5" w:tplc="DE8EB2E2">
      <w:numFmt w:val="bullet"/>
      <w:lvlText w:val="•"/>
      <w:lvlJc w:val="left"/>
      <w:pPr>
        <w:ind w:left="5045" w:hanging="428"/>
      </w:pPr>
      <w:rPr>
        <w:rFonts w:hint="default"/>
        <w:lang w:val="en-US" w:eastAsia="en-US" w:bidi="ar-SA"/>
      </w:rPr>
    </w:lvl>
    <w:lvl w:ilvl="6" w:tplc="369C6F34">
      <w:numFmt w:val="bullet"/>
      <w:lvlText w:val="•"/>
      <w:lvlJc w:val="left"/>
      <w:pPr>
        <w:ind w:left="5950" w:hanging="428"/>
      </w:pPr>
      <w:rPr>
        <w:rFonts w:hint="default"/>
        <w:lang w:val="en-US" w:eastAsia="en-US" w:bidi="ar-SA"/>
      </w:rPr>
    </w:lvl>
    <w:lvl w:ilvl="7" w:tplc="8E3033FC">
      <w:numFmt w:val="bullet"/>
      <w:lvlText w:val="•"/>
      <w:lvlJc w:val="left"/>
      <w:pPr>
        <w:ind w:left="6855" w:hanging="428"/>
      </w:pPr>
      <w:rPr>
        <w:rFonts w:hint="default"/>
        <w:lang w:val="en-US" w:eastAsia="en-US" w:bidi="ar-SA"/>
      </w:rPr>
    </w:lvl>
    <w:lvl w:ilvl="8" w:tplc="B644C3BA">
      <w:numFmt w:val="bullet"/>
      <w:lvlText w:val="•"/>
      <w:lvlJc w:val="left"/>
      <w:pPr>
        <w:ind w:left="7760" w:hanging="428"/>
      </w:pPr>
      <w:rPr>
        <w:rFonts w:hint="default"/>
        <w:lang w:val="en-US" w:eastAsia="en-US" w:bidi="ar-SA"/>
      </w:rPr>
    </w:lvl>
  </w:abstractNum>
  <w:abstractNum w:abstractNumId="126" w15:restartNumberingAfterBreak="0">
    <w:nsid w:val="1CC8649E"/>
    <w:multiLevelType w:val="hybridMultilevel"/>
    <w:tmpl w:val="9B8AAD2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1CC86809"/>
    <w:multiLevelType w:val="hybridMultilevel"/>
    <w:tmpl w:val="8D70A40E"/>
    <w:lvl w:ilvl="0" w:tplc="18CA5EBE">
      <w:start w:val="1"/>
      <w:numFmt w:val="bullet"/>
      <w:pStyle w:val="Bulletbody"/>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1CF05C32"/>
    <w:multiLevelType w:val="hybridMultilevel"/>
    <w:tmpl w:val="7C8461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9" w15:restartNumberingAfterBreak="0">
    <w:nsid w:val="1CF10B3B"/>
    <w:multiLevelType w:val="hybridMultilevel"/>
    <w:tmpl w:val="2876AED8"/>
    <w:lvl w:ilvl="0" w:tplc="1898F614">
      <w:start w:val="1"/>
      <w:numFmt w:val="lowerLetter"/>
      <w:lvlText w:val="(%1)"/>
      <w:lvlJc w:val="left"/>
      <w:pPr>
        <w:ind w:left="1431" w:hanging="1005"/>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30" w15:restartNumberingAfterBreak="0">
    <w:nsid w:val="1D27265F"/>
    <w:multiLevelType w:val="multilevel"/>
    <w:tmpl w:val="5C78CB1A"/>
    <w:lvl w:ilvl="0">
      <w:start w:val="4"/>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31" w15:restartNumberingAfterBreak="0">
    <w:nsid w:val="1D3002E4"/>
    <w:multiLevelType w:val="hybridMultilevel"/>
    <w:tmpl w:val="3F1A20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1D481A6D"/>
    <w:multiLevelType w:val="multilevel"/>
    <w:tmpl w:val="0CD0E306"/>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3" w15:restartNumberingAfterBreak="0">
    <w:nsid w:val="1D5C016F"/>
    <w:multiLevelType w:val="hybridMultilevel"/>
    <w:tmpl w:val="4F1A32F6"/>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1D697ADF"/>
    <w:multiLevelType w:val="hybridMultilevel"/>
    <w:tmpl w:val="23A86262"/>
    <w:lvl w:ilvl="0" w:tplc="E6C84606">
      <w:numFmt w:val="bullet"/>
      <w:lvlText w:val=""/>
      <w:lvlJc w:val="left"/>
      <w:pPr>
        <w:ind w:left="515" w:hanging="286"/>
      </w:pPr>
      <w:rPr>
        <w:rFonts w:ascii="Symbol" w:eastAsia="Symbol" w:hAnsi="Symbol" w:cs="Symbol" w:hint="default"/>
        <w:b w:val="0"/>
        <w:bCs w:val="0"/>
        <w:i w:val="0"/>
        <w:iCs w:val="0"/>
        <w:spacing w:val="0"/>
        <w:w w:val="100"/>
        <w:sz w:val="22"/>
        <w:szCs w:val="22"/>
        <w:lang w:val="en-US" w:eastAsia="en-US" w:bidi="ar-SA"/>
      </w:rPr>
    </w:lvl>
    <w:lvl w:ilvl="1" w:tplc="CCD82D76">
      <w:numFmt w:val="bullet"/>
      <w:lvlText w:val="•"/>
      <w:lvlJc w:val="left"/>
      <w:pPr>
        <w:ind w:left="1127" w:hanging="286"/>
      </w:pPr>
      <w:rPr>
        <w:rFonts w:hint="default"/>
        <w:lang w:val="en-US" w:eastAsia="en-US" w:bidi="ar-SA"/>
      </w:rPr>
    </w:lvl>
    <w:lvl w:ilvl="2" w:tplc="904C532A">
      <w:numFmt w:val="bullet"/>
      <w:lvlText w:val="•"/>
      <w:lvlJc w:val="left"/>
      <w:pPr>
        <w:ind w:left="1735" w:hanging="286"/>
      </w:pPr>
      <w:rPr>
        <w:rFonts w:hint="default"/>
        <w:lang w:val="en-US" w:eastAsia="en-US" w:bidi="ar-SA"/>
      </w:rPr>
    </w:lvl>
    <w:lvl w:ilvl="3" w:tplc="049298DA">
      <w:numFmt w:val="bullet"/>
      <w:lvlText w:val="•"/>
      <w:lvlJc w:val="left"/>
      <w:pPr>
        <w:ind w:left="2342" w:hanging="286"/>
      </w:pPr>
      <w:rPr>
        <w:rFonts w:hint="default"/>
        <w:lang w:val="en-US" w:eastAsia="en-US" w:bidi="ar-SA"/>
      </w:rPr>
    </w:lvl>
    <w:lvl w:ilvl="4" w:tplc="49C0E2BC">
      <w:numFmt w:val="bullet"/>
      <w:lvlText w:val="•"/>
      <w:lvlJc w:val="left"/>
      <w:pPr>
        <w:ind w:left="2950" w:hanging="286"/>
      </w:pPr>
      <w:rPr>
        <w:rFonts w:hint="default"/>
        <w:lang w:val="en-US" w:eastAsia="en-US" w:bidi="ar-SA"/>
      </w:rPr>
    </w:lvl>
    <w:lvl w:ilvl="5" w:tplc="0C742456">
      <w:numFmt w:val="bullet"/>
      <w:lvlText w:val="•"/>
      <w:lvlJc w:val="left"/>
      <w:pPr>
        <w:ind w:left="3558" w:hanging="286"/>
      </w:pPr>
      <w:rPr>
        <w:rFonts w:hint="default"/>
        <w:lang w:val="en-US" w:eastAsia="en-US" w:bidi="ar-SA"/>
      </w:rPr>
    </w:lvl>
    <w:lvl w:ilvl="6" w:tplc="690C7770">
      <w:numFmt w:val="bullet"/>
      <w:lvlText w:val="•"/>
      <w:lvlJc w:val="left"/>
      <w:pPr>
        <w:ind w:left="4165" w:hanging="286"/>
      </w:pPr>
      <w:rPr>
        <w:rFonts w:hint="default"/>
        <w:lang w:val="en-US" w:eastAsia="en-US" w:bidi="ar-SA"/>
      </w:rPr>
    </w:lvl>
    <w:lvl w:ilvl="7" w:tplc="A3D81572">
      <w:numFmt w:val="bullet"/>
      <w:lvlText w:val="•"/>
      <w:lvlJc w:val="left"/>
      <w:pPr>
        <w:ind w:left="4773" w:hanging="286"/>
      </w:pPr>
      <w:rPr>
        <w:rFonts w:hint="default"/>
        <w:lang w:val="en-US" w:eastAsia="en-US" w:bidi="ar-SA"/>
      </w:rPr>
    </w:lvl>
    <w:lvl w:ilvl="8" w:tplc="3498061E">
      <w:numFmt w:val="bullet"/>
      <w:lvlText w:val="•"/>
      <w:lvlJc w:val="left"/>
      <w:pPr>
        <w:ind w:left="5380" w:hanging="286"/>
      </w:pPr>
      <w:rPr>
        <w:rFonts w:hint="default"/>
        <w:lang w:val="en-US" w:eastAsia="en-US" w:bidi="ar-SA"/>
      </w:rPr>
    </w:lvl>
  </w:abstractNum>
  <w:abstractNum w:abstractNumId="135" w15:restartNumberingAfterBreak="0">
    <w:nsid w:val="1D771B00"/>
    <w:multiLevelType w:val="multilevel"/>
    <w:tmpl w:val="177A1206"/>
    <w:numStyleLink w:val="Style4"/>
  </w:abstractNum>
  <w:abstractNum w:abstractNumId="136" w15:restartNumberingAfterBreak="0">
    <w:nsid w:val="1D8C29B3"/>
    <w:multiLevelType w:val="hybridMultilevel"/>
    <w:tmpl w:val="C1267C50"/>
    <w:lvl w:ilvl="0" w:tplc="8AF2FF68">
      <w:start w:val="1"/>
      <w:numFmt w:val="lowerRoman"/>
      <w:lvlText w:val="%1."/>
      <w:lvlJc w:val="left"/>
      <w:pPr>
        <w:ind w:left="1199" w:hanging="720"/>
      </w:pPr>
      <w:rPr>
        <w:rFonts w:ascii="Calibri" w:eastAsia="Calibri" w:hAnsi="Calibri" w:cs="Calibri" w:hint="default"/>
        <w:spacing w:val="-1"/>
        <w:w w:val="100"/>
        <w:sz w:val="22"/>
        <w:szCs w:val="22"/>
      </w:rPr>
    </w:lvl>
    <w:lvl w:ilvl="1" w:tplc="D63EABF6">
      <w:start w:val="1"/>
      <w:numFmt w:val="lowerLetter"/>
      <w:lvlText w:val="%2)"/>
      <w:lvlJc w:val="left"/>
      <w:pPr>
        <w:ind w:left="1560" w:hanging="361"/>
      </w:pPr>
      <w:rPr>
        <w:rFonts w:ascii="Calibri" w:eastAsia="Calibri" w:hAnsi="Calibri" w:cs="Calibri" w:hint="default"/>
        <w:w w:val="100"/>
        <w:sz w:val="22"/>
        <w:szCs w:val="22"/>
      </w:rPr>
    </w:lvl>
    <w:lvl w:ilvl="2" w:tplc="87A2F2CC">
      <w:numFmt w:val="bullet"/>
      <w:lvlText w:val="•"/>
      <w:lvlJc w:val="left"/>
      <w:pPr>
        <w:ind w:left="2454" w:hanging="361"/>
      </w:pPr>
      <w:rPr>
        <w:rFonts w:hint="default"/>
      </w:rPr>
    </w:lvl>
    <w:lvl w:ilvl="3" w:tplc="2F982012">
      <w:numFmt w:val="bullet"/>
      <w:lvlText w:val="•"/>
      <w:lvlJc w:val="left"/>
      <w:pPr>
        <w:ind w:left="3348" w:hanging="361"/>
      </w:pPr>
      <w:rPr>
        <w:rFonts w:hint="default"/>
      </w:rPr>
    </w:lvl>
    <w:lvl w:ilvl="4" w:tplc="D61EC0BC">
      <w:numFmt w:val="bullet"/>
      <w:lvlText w:val="•"/>
      <w:lvlJc w:val="left"/>
      <w:pPr>
        <w:ind w:left="4242" w:hanging="361"/>
      </w:pPr>
      <w:rPr>
        <w:rFonts w:hint="default"/>
      </w:rPr>
    </w:lvl>
    <w:lvl w:ilvl="5" w:tplc="98D0D6B8">
      <w:numFmt w:val="bullet"/>
      <w:lvlText w:val="•"/>
      <w:lvlJc w:val="left"/>
      <w:pPr>
        <w:ind w:left="5136" w:hanging="361"/>
      </w:pPr>
      <w:rPr>
        <w:rFonts w:hint="default"/>
      </w:rPr>
    </w:lvl>
    <w:lvl w:ilvl="6" w:tplc="ECD8B3B2">
      <w:numFmt w:val="bullet"/>
      <w:lvlText w:val="•"/>
      <w:lvlJc w:val="left"/>
      <w:pPr>
        <w:ind w:left="6030" w:hanging="361"/>
      </w:pPr>
      <w:rPr>
        <w:rFonts w:hint="default"/>
      </w:rPr>
    </w:lvl>
    <w:lvl w:ilvl="7" w:tplc="34AACD5E">
      <w:numFmt w:val="bullet"/>
      <w:lvlText w:val="•"/>
      <w:lvlJc w:val="left"/>
      <w:pPr>
        <w:ind w:left="6924" w:hanging="361"/>
      </w:pPr>
      <w:rPr>
        <w:rFonts w:hint="default"/>
      </w:rPr>
    </w:lvl>
    <w:lvl w:ilvl="8" w:tplc="0E4A797A">
      <w:numFmt w:val="bullet"/>
      <w:lvlText w:val="•"/>
      <w:lvlJc w:val="left"/>
      <w:pPr>
        <w:ind w:left="7818" w:hanging="361"/>
      </w:pPr>
      <w:rPr>
        <w:rFonts w:hint="default"/>
      </w:rPr>
    </w:lvl>
  </w:abstractNum>
  <w:abstractNum w:abstractNumId="137" w15:restartNumberingAfterBreak="0">
    <w:nsid w:val="1DBF59AE"/>
    <w:multiLevelType w:val="multilevel"/>
    <w:tmpl w:val="D89459FC"/>
    <w:lvl w:ilvl="0">
      <w:start w:val="2"/>
      <w:numFmt w:val="decimal"/>
      <w:lvlText w:val="A%1"/>
      <w:lvlJc w:val="left"/>
      <w:pPr>
        <w:ind w:left="720" w:hanging="363"/>
      </w:pPr>
      <w:rPr>
        <w:rFonts w:ascii="Avenir LT 85 Heavy" w:hAnsi="Avenir LT 85 Heavy" w:hint="default"/>
        <w:sz w:val="20"/>
      </w:rPr>
    </w:lvl>
    <w:lvl w:ilvl="1">
      <w:start w:val="3"/>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38" w15:restartNumberingAfterBreak="0">
    <w:nsid w:val="1DCB3015"/>
    <w:multiLevelType w:val="hybridMultilevel"/>
    <w:tmpl w:val="B538D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1E0B52B8"/>
    <w:multiLevelType w:val="multilevel"/>
    <w:tmpl w:val="1B40DBDC"/>
    <w:lvl w:ilvl="0">
      <w:start w:val="3"/>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40" w15:restartNumberingAfterBreak="0">
    <w:nsid w:val="1E125263"/>
    <w:multiLevelType w:val="hybridMultilevel"/>
    <w:tmpl w:val="B48E34DE"/>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1E915D90"/>
    <w:multiLevelType w:val="multilevel"/>
    <w:tmpl w:val="3E64C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1F2C24BB"/>
    <w:multiLevelType w:val="hybridMultilevel"/>
    <w:tmpl w:val="C3BEFCA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3" w15:restartNumberingAfterBreak="0">
    <w:nsid w:val="1F954BD2"/>
    <w:multiLevelType w:val="multilevel"/>
    <w:tmpl w:val="0C09001D"/>
    <w:styleLink w:val="Style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4" w15:restartNumberingAfterBreak="0">
    <w:nsid w:val="1FF822B7"/>
    <w:multiLevelType w:val="multilevel"/>
    <w:tmpl w:val="2076AB90"/>
    <w:numStyleLink w:val="Style2"/>
  </w:abstractNum>
  <w:abstractNum w:abstractNumId="145" w15:restartNumberingAfterBreak="0">
    <w:nsid w:val="204F24ED"/>
    <w:multiLevelType w:val="multilevel"/>
    <w:tmpl w:val="E05CA3E4"/>
    <w:lvl w:ilvl="0">
      <w:start w:val="2"/>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46" w15:restartNumberingAfterBreak="0">
    <w:nsid w:val="211966D1"/>
    <w:multiLevelType w:val="hybridMultilevel"/>
    <w:tmpl w:val="4A02AFAE"/>
    <w:lvl w:ilvl="0" w:tplc="38045A7A">
      <w:numFmt w:val="bullet"/>
      <w:lvlText w:val="•"/>
      <w:lvlJc w:val="left"/>
      <w:pPr>
        <w:ind w:left="823" w:hanging="360"/>
      </w:pPr>
      <w:rPr>
        <w:rFonts w:ascii="Calibri" w:eastAsia="Calibri" w:hAnsi="Calibri" w:cs="Calibri" w:hint="default"/>
        <w:w w:val="100"/>
        <w:sz w:val="22"/>
        <w:szCs w:val="22"/>
      </w:rPr>
    </w:lvl>
    <w:lvl w:ilvl="1" w:tplc="68C00B72">
      <w:numFmt w:val="bullet"/>
      <w:lvlText w:val="•"/>
      <w:lvlJc w:val="left"/>
      <w:pPr>
        <w:ind w:left="1170" w:hanging="360"/>
      </w:pPr>
      <w:rPr>
        <w:rFonts w:hint="default"/>
      </w:rPr>
    </w:lvl>
    <w:lvl w:ilvl="2" w:tplc="6388AD80">
      <w:numFmt w:val="bullet"/>
      <w:lvlText w:val="•"/>
      <w:lvlJc w:val="left"/>
      <w:pPr>
        <w:ind w:left="1520" w:hanging="360"/>
      </w:pPr>
      <w:rPr>
        <w:rFonts w:hint="default"/>
      </w:rPr>
    </w:lvl>
    <w:lvl w:ilvl="3" w:tplc="79542AC8">
      <w:numFmt w:val="bullet"/>
      <w:lvlText w:val="•"/>
      <w:lvlJc w:val="left"/>
      <w:pPr>
        <w:ind w:left="1871" w:hanging="360"/>
      </w:pPr>
      <w:rPr>
        <w:rFonts w:hint="default"/>
      </w:rPr>
    </w:lvl>
    <w:lvl w:ilvl="4" w:tplc="84ECF418">
      <w:numFmt w:val="bullet"/>
      <w:lvlText w:val="•"/>
      <w:lvlJc w:val="left"/>
      <w:pPr>
        <w:ind w:left="2221" w:hanging="360"/>
      </w:pPr>
      <w:rPr>
        <w:rFonts w:hint="default"/>
      </w:rPr>
    </w:lvl>
    <w:lvl w:ilvl="5" w:tplc="DCF437B4">
      <w:numFmt w:val="bullet"/>
      <w:lvlText w:val="•"/>
      <w:lvlJc w:val="left"/>
      <w:pPr>
        <w:ind w:left="2572" w:hanging="360"/>
      </w:pPr>
      <w:rPr>
        <w:rFonts w:hint="default"/>
      </w:rPr>
    </w:lvl>
    <w:lvl w:ilvl="6" w:tplc="622A6020">
      <w:numFmt w:val="bullet"/>
      <w:lvlText w:val="•"/>
      <w:lvlJc w:val="left"/>
      <w:pPr>
        <w:ind w:left="2922" w:hanging="360"/>
      </w:pPr>
      <w:rPr>
        <w:rFonts w:hint="default"/>
      </w:rPr>
    </w:lvl>
    <w:lvl w:ilvl="7" w:tplc="4B149398">
      <w:numFmt w:val="bullet"/>
      <w:lvlText w:val="•"/>
      <w:lvlJc w:val="left"/>
      <w:pPr>
        <w:ind w:left="3273" w:hanging="360"/>
      </w:pPr>
      <w:rPr>
        <w:rFonts w:hint="default"/>
      </w:rPr>
    </w:lvl>
    <w:lvl w:ilvl="8" w:tplc="CCEADC70">
      <w:numFmt w:val="bullet"/>
      <w:lvlText w:val="•"/>
      <w:lvlJc w:val="left"/>
      <w:pPr>
        <w:ind w:left="3623" w:hanging="360"/>
      </w:pPr>
      <w:rPr>
        <w:rFonts w:hint="default"/>
      </w:rPr>
    </w:lvl>
  </w:abstractNum>
  <w:abstractNum w:abstractNumId="147" w15:restartNumberingAfterBreak="0">
    <w:nsid w:val="212F51C4"/>
    <w:multiLevelType w:val="hybridMultilevel"/>
    <w:tmpl w:val="13C6E9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2183452B"/>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149" w15:restartNumberingAfterBreak="0">
    <w:nsid w:val="21E632E7"/>
    <w:multiLevelType w:val="hybridMultilevel"/>
    <w:tmpl w:val="F5AA461C"/>
    <w:lvl w:ilvl="0" w:tplc="0C090001">
      <w:start w:val="1"/>
      <w:numFmt w:val="bullet"/>
      <w:lvlText w:val=""/>
      <w:lvlJc w:val="left"/>
      <w:pPr>
        <w:ind w:left="719" w:hanging="360"/>
      </w:pPr>
      <w:rPr>
        <w:rFonts w:ascii="Symbol" w:hAnsi="Symbol" w:hint="default"/>
      </w:rPr>
    </w:lvl>
    <w:lvl w:ilvl="1" w:tplc="0C090003">
      <w:start w:val="1"/>
      <w:numFmt w:val="bullet"/>
      <w:lvlText w:val="o"/>
      <w:lvlJc w:val="left"/>
      <w:pPr>
        <w:ind w:left="1439" w:hanging="360"/>
      </w:pPr>
      <w:rPr>
        <w:rFonts w:ascii="Courier New" w:hAnsi="Courier New" w:cs="Courier New" w:hint="default"/>
      </w:rPr>
    </w:lvl>
    <w:lvl w:ilvl="2" w:tplc="0C090005" w:tentative="1">
      <w:start w:val="1"/>
      <w:numFmt w:val="bullet"/>
      <w:lvlText w:val=""/>
      <w:lvlJc w:val="left"/>
      <w:pPr>
        <w:ind w:left="2159" w:hanging="360"/>
      </w:pPr>
      <w:rPr>
        <w:rFonts w:ascii="Wingdings" w:hAnsi="Wingdings" w:hint="default"/>
      </w:rPr>
    </w:lvl>
    <w:lvl w:ilvl="3" w:tplc="0C090001" w:tentative="1">
      <w:start w:val="1"/>
      <w:numFmt w:val="bullet"/>
      <w:lvlText w:val=""/>
      <w:lvlJc w:val="left"/>
      <w:pPr>
        <w:ind w:left="2879" w:hanging="360"/>
      </w:pPr>
      <w:rPr>
        <w:rFonts w:ascii="Symbol" w:hAnsi="Symbol" w:hint="default"/>
      </w:rPr>
    </w:lvl>
    <w:lvl w:ilvl="4" w:tplc="0C090003" w:tentative="1">
      <w:start w:val="1"/>
      <w:numFmt w:val="bullet"/>
      <w:lvlText w:val="o"/>
      <w:lvlJc w:val="left"/>
      <w:pPr>
        <w:ind w:left="3599" w:hanging="360"/>
      </w:pPr>
      <w:rPr>
        <w:rFonts w:ascii="Courier New" w:hAnsi="Courier New" w:cs="Courier New" w:hint="default"/>
      </w:rPr>
    </w:lvl>
    <w:lvl w:ilvl="5" w:tplc="0C090005" w:tentative="1">
      <w:start w:val="1"/>
      <w:numFmt w:val="bullet"/>
      <w:lvlText w:val=""/>
      <w:lvlJc w:val="left"/>
      <w:pPr>
        <w:ind w:left="4319" w:hanging="360"/>
      </w:pPr>
      <w:rPr>
        <w:rFonts w:ascii="Wingdings" w:hAnsi="Wingdings" w:hint="default"/>
      </w:rPr>
    </w:lvl>
    <w:lvl w:ilvl="6" w:tplc="0C090001" w:tentative="1">
      <w:start w:val="1"/>
      <w:numFmt w:val="bullet"/>
      <w:lvlText w:val=""/>
      <w:lvlJc w:val="left"/>
      <w:pPr>
        <w:ind w:left="5039" w:hanging="360"/>
      </w:pPr>
      <w:rPr>
        <w:rFonts w:ascii="Symbol" w:hAnsi="Symbol" w:hint="default"/>
      </w:rPr>
    </w:lvl>
    <w:lvl w:ilvl="7" w:tplc="0C090003" w:tentative="1">
      <w:start w:val="1"/>
      <w:numFmt w:val="bullet"/>
      <w:lvlText w:val="o"/>
      <w:lvlJc w:val="left"/>
      <w:pPr>
        <w:ind w:left="5759" w:hanging="360"/>
      </w:pPr>
      <w:rPr>
        <w:rFonts w:ascii="Courier New" w:hAnsi="Courier New" w:cs="Courier New" w:hint="default"/>
      </w:rPr>
    </w:lvl>
    <w:lvl w:ilvl="8" w:tplc="0C090005" w:tentative="1">
      <w:start w:val="1"/>
      <w:numFmt w:val="bullet"/>
      <w:lvlText w:val=""/>
      <w:lvlJc w:val="left"/>
      <w:pPr>
        <w:ind w:left="6479" w:hanging="360"/>
      </w:pPr>
      <w:rPr>
        <w:rFonts w:ascii="Wingdings" w:hAnsi="Wingdings" w:hint="default"/>
      </w:rPr>
    </w:lvl>
  </w:abstractNum>
  <w:abstractNum w:abstractNumId="150" w15:restartNumberingAfterBreak="0">
    <w:nsid w:val="221549B0"/>
    <w:multiLevelType w:val="hybridMultilevel"/>
    <w:tmpl w:val="3B42CE3E"/>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222B05B4"/>
    <w:multiLevelType w:val="hybridMultilevel"/>
    <w:tmpl w:val="EE2A5F18"/>
    <w:lvl w:ilvl="0" w:tplc="FE52F106">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22747111"/>
    <w:multiLevelType w:val="hybridMultilevel"/>
    <w:tmpl w:val="BC967782"/>
    <w:lvl w:ilvl="0" w:tplc="0C09000B">
      <w:start w:val="1"/>
      <w:numFmt w:val="bullet"/>
      <w:lvlText w:val=""/>
      <w:lvlJc w:val="left"/>
      <w:pPr>
        <w:ind w:left="720" w:hanging="360"/>
      </w:pPr>
      <w:rPr>
        <w:rFonts w:ascii="Wingdings" w:hAnsi="Wingdings"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228752B9"/>
    <w:multiLevelType w:val="hybridMultilevel"/>
    <w:tmpl w:val="6F520E12"/>
    <w:lvl w:ilvl="0" w:tplc="4C0CC184">
      <w:start w:val="1"/>
      <w:numFmt w:val="lowerRoman"/>
      <w:lvlText w:val="%1."/>
      <w:lvlJc w:val="left"/>
      <w:pPr>
        <w:ind w:left="1197" w:hanging="720"/>
      </w:pPr>
      <w:rPr>
        <w:rFonts w:ascii="Calibri" w:eastAsia="Calibri" w:hAnsi="Calibri" w:cs="Calibri" w:hint="default"/>
        <w:spacing w:val="-1"/>
        <w:w w:val="100"/>
        <w:sz w:val="22"/>
        <w:szCs w:val="22"/>
      </w:rPr>
    </w:lvl>
    <w:lvl w:ilvl="1" w:tplc="7DD6DED8">
      <w:numFmt w:val="bullet"/>
      <w:lvlText w:val="•"/>
      <w:lvlJc w:val="left"/>
      <w:pPr>
        <w:ind w:left="2040" w:hanging="720"/>
      </w:pPr>
      <w:rPr>
        <w:rFonts w:hint="default"/>
      </w:rPr>
    </w:lvl>
    <w:lvl w:ilvl="2" w:tplc="AB346678">
      <w:numFmt w:val="bullet"/>
      <w:lvlText w:val="•"/>
      <w:lvlJc w:val="left"/>
      <w:pPr>
        <w:ind w:left="2881" w:hanging="720"/>
      </w:pPr>
      <w:rPr>
        <w:rFonts w:hint="default"/>
      </w:rPr>
    </w:lvl>
    <w:lvl w:ilvl="3" w:tplc="64684CA0">
      <w:numFmt w:val="bullet"/>
      <w:lvlText w:val="•"/>
      <w:lvlJc w:val="left"/>
      <w:pPr>
        <w:ind w:left="3721" w:hanging="720"/>
      </w:pPr>
      <w:rPr>
        <w:rFonts w:hint="default"/>
      </w:rPr>
    </w:lvl>
    <w:lvl w:ilvl="4" w:tplc="0804CA2A">
      <w:numFmt w:val="bullet"/>
      <w:lvlText w:val="•"/>
      <w:lvlJc w:val="left"/>
      <w:pPr>
        <w:ind w:left="4562" w:hanging="720"/>
      </w:pPr>
      <w:rPr>
        <w:rFonts w:hint="default"/>
      </w:rPr>
    </w:lvl>
    <w:lvl w:ilvl="5" w:tplc="5880B558">
      <w:numFmt w:val="bullet"/>
      <w:lvlText w:val="•"/>
      <w:lvlJc w:val="left"/>
      <w:pPr>
        <w:ind w:left="5403" w:hanging="720"/>
      </w:pPr>
      <w:rPr>
        <w:rFonts w:hint="default"/>
      </w:rPr>
    </w:lvl>
    <w:lvl w:ilvl="6" w:tplc="80A6F798">
      <w:numFmt w:val="bullet"/>
      <w:lvlText w:val="•"/>
      <w:lvlJc w:val="left"/>
      <w:pPr>
        <w:ind w:left="6243" w:hanging="720"/>
      </w:pPr>
      <w:rPr>
        <w:rFonts w:hint="default"/>
      </w:rPr>
    </w:lvl>
    <w:lvl w:ilvl="7" w:tplc="080C0C08">
      <w:numFmt w:val="bullet"/>
      <w:lvlText w:val="•"/>
      <w:lvlJc w:val="left"/>
      <w:pPr>
        <w:ind w:left="7084" w:hanging="720"/>
      </w:pPr>
      <w:rPr>
        <w:rFonts w:hint="default"/>
      </w:rPr>
    </w:lvl>
    <w:lvl w:ilvl="8" w:tplc="FAC86496">
      <w:numFmt w:val="bullet"/>
      <w:lvlText w:val="•"/>
      <w:lvlJc w:val="left"/>
      <w:pPr>
        <w:ind w:left="7925" w:hanging="720"/>
      </w:pPr>
      <w:rPr>
        <w:rFonts w:hint="default"/>
      </w:rPr>
    </w:lvl>
  </w:abstractNum>
  <w:abstractNum w:abstractNumId="154" w15:restartNumberingAfterBreak="0">
    <w:nsid w:val="228A3ABE"/>
    <w:multiLevelType w:val="hybridMultilevel"/>
    <w:tmpl w:val="823EE44A"/>
    <w:lvl w:ilvl="0" w:tplc="9E54A0B6">
      <w:start w:val="1"/>
      <w:numFmt w:val="decimal"/>
      <w:lvlText w:val="%1."/>
      <w:lvlJc w:val="left"/>
      <w:pPr>
        <w:ind w:left="1531" w:hanging="568"/>
        <w:jc w:val="right"/>
      </w:pPr>
      <w:rPr>
        <w:rFonts w:ascii="Arial" w:eastAsia="Arial" w:hAnsi="Arial" w:cs="Arial" w:hint="default"/>
        <w:b/>
        <w:bCs/>
        <w:w w:val="99"/>
        <w:sz w:val="22"/>
        <w:szCs w:val="22"/>
      </w:rPr>
    </w:lvl>
    <w:lvl w:ilvl="1" w:tplc="D71AAE64">
      <w:numFmt w:val="bullet"/>
      <w:lvlText w:val=""/>
      <w:lvlJc w:val="left"/>
      <w:pPr>
        <w:ind w:left="2098" w:hanging="567"/>
      </w:pPr>
      <w:rPr>
        <w:rFonts w:ascii="Symbol" w:eastAsia="Symbol" w:hAnsi="Symbol" w:cs="Symbol" w:hint="default"/>
        <w:w w:val="99"/>
        <w:sz w:val="22"/>
        <w:szCs w:val="22"/>
      </w:rPr>
    </w:lvl>
    <w:lvl w:ilvl="2" w:tplc="9F4A7862">
      <w:numFmt w:val="bullet"/>
      <w:lvlText w:val="•"/>
      <w:lvlJc w:val="left"/>
      <w:pPr>
        <w:ind w:left="3189" w:hanging="567"/>
      </w:pPr>
      <w:rPr>
        <w:rFonts w:hint="default"/>
      </w:rPr>
    </w:lvl>
    <w:lvl w:ilvl="3" w:tplc="A9D4AE58">
      <w:numFmt w:val="bullet"/>
      <w:lvlText w:val="•"/>
      <w:lvlJc w:val="left"/>
      <w:pPr>
        <w:ind w:left="4279" w:hanging="567"/>
      </w:pPr>
      <w:rPr>
        <w:rFonts w:hint="default"/>
      </w:rPr>
    </w:lvl>
    <w:lvl w:ilvl="4" w:tplc="09E4C2CA">
      <w:numFmt w:val="bullet"/>
      <w:lvlText w:val="•"/>
      <w:lvlJc w:val="left"/>
      <w:pPr>
        <w:ind w:left="5368" w:hanging="567"/>
      </w:pPr>
      <w:rPr>
        <w:rFonts w:hint="default"/>
      </w:rPr>
    </w:lvl>
    <w:lvl w:ilvl="5" w:tplc="60B0AF8A">
      <w:numFmt w:val="bullet"/>
      <w:lvlText w:val="•"/>
      <w:lvlJc w:val="left"/>
      <w:pPr>
        <w:ind w:left="6458" w:hanging="567"/>
      </w:pPr>
      <w:rPr>
        <w:rFonts w:hint="default"/>
      </w:rPr>
    </w:lvl>
    <w:lvl w:ilvl="6" w:tplc="ADD2E23E">
      <w:numFmt w:val="bullet"/>
      <w:lvlText w:val="•"/>
      <w:lvlJc w:val="left"/>
      <w:pPr>
        <w:ind w:left="7548" w:hanging="567"/>
      </w:pPr>
      <w:rPr>
        <w:rFonts w:hint="default"/>
      </w:rPr>
    </w:lvl>
    <w:lvl w:ilvl="7" w:tplc="FD9032F6">
      <w:numFmt w:val="bullet"/>
      <w:lvlText w:val="•"/>
      <w:lvlJc w:val="left"/>
      <w:pPr>
        <w:ind w:left="8637" w:hanging="567"/>
      </w:pPr>
      <w:rPr>
        <w:rFonts w:hint="default"/>
      </w:rPr>
    </w:lvl>
    <w:lvl w:ilvl="8" w:tplc="762C0B10">
      <w:numFmt w:val="bullet"/>
      <w:lvlText w:val="•"/>
      <w:lvlJc w:val="left"/>
      <w:pPr>
        <w:ind w:left="9727" w:hanging="567"/>
      </w:pPr>
      <w:rPr>
        <w:rFonts w:hint="default"/>
      </w:rPr>
    </w:lvl>
  </w:abstractNum>
  <w:abstractNum w:abstractNumId="155" w15:restartNumberingAfterBreak="0">
    <w:nsid w:val="2297432A"/>
    <w:multiLevelType w:val="hybridMultilevel"/>
    <w:tmpl w:val="A3B4D454"/>
    <w:lvl w:ilvl="0" w:tplc="0409001B">
      <w:start w:val="1"/>
      <w:numFmt w:val="lowerRoman"/>
      <w:lvlText w:val="%1."/>
      <w:lvlJc w:val="right"/>
      <w:pPr>
        <w:ind w:left="2067" w:hanging="360"/>
      </w:pPr>
      <w:rPr>
        <w:rFonts w:hint="default"/>
      </w:rPr>
    </w:lvl>
    <w:lvl w:ilvl="1" w:tplc="0C090003" w:tentative="1">
      <w:start w:val="1"/>
      <w:numFmt w:val="bullet"/>
      <w:lvlText w:val="o"/>
      <w:lvlJc w:val="left"/>
      <w:pPr>
        <w:ind w:left="2787" w:hanging="360"/>
      </w:pPr>
      <w:rPr>
        <w:rFonts w:ascii="Courier New" w:hAnsi="Courier New" w:cs="Courier New" w:hint="default"/>
      </w:rPr>
    </w:lvl>
    <w:lvl w:ilvl="2" w:tplc="0C090005" w:tentative="1">
      <w:start w:val="1"/>
      <w:numFmt w:val="bullet"/>
      <w:lvlText w:val=""/>
      <w:lvlJc w:val="left"/>
      <w:pPr>
        <w:ind w:left="3507" w:hanging="360"/>
      </w:pPr>
      <w:rPr>
        <w:rFonts w:ascii="Wingdings" w:hAnsi="Wingdings" w:hint="default"/>
      </w:rPr>
    </w:lvl>
    <w:lvl w:ilvl="3" w:tplc="0C090001" w:tentative="1">
      <w:start w:val="1"/>
      <w:numFmt w:val="bullet"/>
      <w:lvlText w:val=""/>
      <w:lvlJc w:val="left"/>
      <w:pPr>
        <w:ind w:left="4227" w:hanging="360"/>
      </w:pPr>
      <w:rPr>
        <w:rFonts w:ascii="Symbol" w:hAnsi="Symbol" w:hint="default"/>
      </w:rPr>
    </w:lvl>
    <w:lvl w:ilvl="4" w:tplc="0C090003" w:tentative="1">
      <w:start w:val="1"/>
      <w:numFmt w:val="bullet"/>
      <w:lvlText w:val="o"/>
      <w:lvlJc w:val="left"/>
      <w:pPr>
        <w:ind w:left="4947" w:hanging="360"/>
      </w:pPr>
      <w:rPr>
        <w:rFonts w:ascii="Courier New" w:hAnsi="Courier New" w:cs="Courier New" w:hint="default"/>
      </w:rPr>
    </w:lvl>
    <w:lvl w:ilvl="5" w:tplc="0C090005" w:tentative="1">
      <w:start w:val="1"/>
      <w:numFmt w:val="bullet"/>
      <w:lvlText w:val=""/>
      <w:lvlJc w:val="left"/>
      <w:pPr>
        <w:ind w:left="5667" w:hanging="360"/>
      </w:pPr>
      <w:rPr>
        <w:rFonts w:ascii="Wingdings" w:hAnsi="Wingdings" w:hint="default"/>
      </w:rPr>
    </w:lvl>
    <w:lvl w:ilvl="6" w:tplc="0C090001" w:tentative="1">
      <w:start w:val="1"/>
      <w:numFmt w:val="bullet"/>
      <w:lvlText w:val=""/>
      <w:lvlJc w:val="left"/>
      <w:pPr>
        <w:ind w:left="6387" w:hanging="360"/>
      </w:pPr>
      <w:rPr>
        <w:rFonts w:ascii="Symbol" w:hAnsi="Symbol" w:hint="default"/>
      </w:rPr>
    </w:lvl>
    <w:lvl w:ilvl="7" w:tplc="0C090003" w:tentative="1">
      <w:start w:val="1"/>
      <w:numFmt w:val="bullet"/>
      <w:lvlText w:val="o"/>
      <w:lvlJc w:val="left"/>
      <w:pPr>
        <w:ind w:left="7107" w:hanging="360"/>
      </w:pPr>
      <w:rPr>
        <w:rFonts w:ascii="Courier New" w:hAnsi="Courier New" w:cs="Courier New" w:hint="default"/>
      </w:rPr>
    </w:lvl>
    <w:lvl w:ilvl="8" w:tplc="0C090005" w:tentative="1">
      <w:start w:val="1"/>
      <w:numFmt w:val="bullet"/>
      <w:lvlText w:val=""/>
      <w:lvlJc w:val="left"/>
      <w:pPr>
        <w:ind w:left="7827" w:hanging="360"/>
      </w:pPr>
      <w:rPr>
        <w:rFonts w:ascii="Wingdings" w:hAnsi="Wingdings" w:hint="default"/>
      </w:rPr>
    </w:lvl>
  </w:abstractNum>
  <w:abstractNum w:abstractNumId="156" w15:restartNumberingAfterBreak="0">
    <w:nsid w:val="22AB3566"/>
    <w:multiLevelType w:val="hybridMultilevel"/>
    <w:tmpl w:val="A7B66472"/>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22E30CB6"/>
    <w:multiLevelType w:val="hybridMultilevel"/>
    <w:tmpl w:val="89F2A63E"/>
    <w:lvl w:ilvl="0" w:tplc="04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8" w15:restartNumberingAfterBreak="0">
    <w:nsid w:val="237B51FB"/>
    <w:multiLevelType w:val="hybridMultilevel"/>
    <w:tmpl w:val="C27829D0"/>
    <w:lvl w:ilvl="0" w:tplc="9C06FDFE">
      <w:start w:val="1"/>
      <w:numFmt w:val="lowerRoman"/>
      <w:lvlText w:val="%1."/>
      <w:lvlJc w:val="left"/>
      <w:pPr>
        <w:ind w:left="1200" w:hanging="720"/>
      </w:pPr>
      <w:rPr>
        <w:rFonts w:ascii="Calibri" w:eastAsia="Calibri" w:hAnsi="Calibri" w:cs="Calibri" w:hint="default"/>
        <w:spacing w:val="-1"/>
        <w:w w:val="100"/>
        <w:sz w:val="22"/>
        <w:szCs w:val="22"/>
      </w:rPr>
    </w:lvl>
    <w:lvl w:ilvl="1" w:tplc="A6A474AA">
      <w:numFmt w:val="bullet"/>
      <w:lvlText w:val="•"/>
      <w:lvlJc w:val="left"/>
      <w:pPr>
        <w:ind w:left="2040" w:hanging="720"/>
      </w:pPr>
      <w:rPr>
        <w:rFonts w:hint="default"/>
      </w:rPr>
    </w:lvl>
    <w:lvl w:ilvl="2" w:tplc="020E44D2">
      <w:numFmt w:val="bullet"/>
      <w:lvlText w:val="•"/>
      <w:lvlJc w:val="left"/>
      <w:pPr>
        <w:ind w:left="2881" w:hanging="720"/>
      </w:pPr>
      <w:rPr>
        <w:rFonts w:hint="default"/>
      </w:rPr>
    </w:lvl>
    <w:lvl w:ilvl="3" w:tplc="B5B43AA2">
      <w:numFmt w:val="bullet"/>
      <w:lvlText w:val="•"/>
      <w:lvlJc w:val="left"/>
      <w:pPr>
        <w:ind w:left="3721" w:hanging="720"/>
      </w:pPr>
      <w:rPr>
        <w:rFonts w:hint="default"/>
      </w:rPr>
    </w:lvl>
    <w:lvl w:ilvl="4" w:tplc="A9DE3604">
      <w:numFmt w:val="bullet"/>
      <w:lvlText w:val="•"/>
      <w:lvlJc w:val="left"/>
      <w:pPr>
        <w:ind w:left="4562" w:hanging="720"/>
      </w:pPr>
      <w:rPr>
        <w:rFonts w:hint="default"/>
      </w:rPr>
    </w:lvl>
    <w:lvl w:ilvl="5" w:tplc="803A8DB8">
      <w:numFmt w:val="bullet"/>
      <w:lvlText w:val="•"/>
      <w:lvlJc w:val="left"/>
      <w:pPr>
        <w:ind w:left="5403" w:hanging="720"/>
      </w:pPr>
      <w:rPr>
        <w:rFonts w:hint="default"/>
      </w:rPr>
    </w:lvl>
    <w:lvl w:ilvl="6" w:tplc="4E0A25D4">
      <w:numFmt w:val="bullet"/>
      <w:lvlText w:val="•"/>
      <w:lvlJc w:val="left"/>
      <w:pPr>
        <w:ind w:left="6243" w:hanging="720"/>
      </w:pPr>
      <w:rPr>
        <w:rFonts w:hint="default"/>
      </w:rPr>
    </w:lvl>
    <w:lvl w:ilvl="7" w:tplc="B57CF6A0">
      <w:numFmt w:val="bullet"/>
      <w:lvlText w:val="•"/>
      <w:lvlJc w:val="left"/>
      <w:pPr>
        <w:ind w:left="7084" w:hanging="720"/>
      </w:pPr>
      <w:rPr>
        <w:rFonts w:hint="default"/>
      </w:rPr>
    </w:lvl>
    <w:lvl w:ilvl="8" w:tplc="EFB0F570">
      <w:numFmt w:val="bullet"/>
      <w:lvlText w:val="•"/>
      <w:lvlJc w:val="left"/>
      <w:pPr>
        <w:ind w:left="7925" w:hanging="720"/>
      </w:pPr>
      <w:rPr>
        <w:rFonts w:hint="default"/>
      </w:rPr>
    </w:lvl>
  </w:abstractNum>
  <w:abstractNum w:abstractNumId="159" w15:restartNumberingAfterBreak="0">
    <w:nsid w:val="238550A0"/>
    <w:multiLevelType w:val="hybridMultilevel"/>
    <w:tmpl w:val="8DDA53FA"/>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0" w15:restartNumberingAfterBreak="0">
    <w:nsid w:val="23C14CF6"/>
    <w:multiLevelType w:val="hybridMultilevel"/>
    <w:tmpl w:val="9E106DBC"/>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23D31B27"/>
    <w:multiLevelType w:val="hybridMultilevel"/>
    <w:tmpl w:val="5F8E3BD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23DB33B2"/>
    <w:multiLevelType w:val="multilevel"/>
    <w:tmpl w:val="B6345BC6"/>
    <w:lvl w:ilvl="0">
      <w:start w:val="3"/>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63" w15:restartNumberingAfterBreak="0">
    <w:nsid w:val="2408125B"/>
    <w:multiLevelType w:val="multilevel"/>
    <w:tmpl w:val="F91A0750"/>
    <w:lvl w:ilvl="0">
      <w:start w:val="4"/>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64" w15:restartNumberingAfterBreak="0">
    <w:nsid w:val="240A43C5"/>
    <w:multiLevelType w:val="hybridMultilevel"/>
    <w:tmpl w:val="D76611A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5" w15:restartNumberingAfterBreak="0">
    <w:nsid w:val="247A102E"/>
    <w:multiLevelType w:val="hybridMultilevel"/>
    <w:tmpl w:val="CCA696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15:restartNumberingAfterBreak="0">
    <w:nsid w:val="24907305"/>
    <w:multiLevelType w:val="hybridMultilevel"/>
    <w:tmpl w:val="FF0AD1D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7" w15:restartNumberingAfterBreak="0">
    <w:nsid w:val="24A92D97"/>
    <w:multiLevelType w:val="multilevel"/>
    <w:tmpl w:val="2076AB90"/>
    <w:numStyleLink w:val="Style2"/>
  </w:abstractNum>
  <w:abstractNum w:abstractNumId="168" w15:restartNumberingAfterBreak="0">
    <w:nsid w:val="24E35B4C"/>
    <w:multiLevelType w:val="hybridMultilevel"/>
    <w:tmpl w:val="5D8E897C"/>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9" w15:restartNumberingAfterBreak="0">
    <w:nsid w:val="2516716A"/>
    <w:multiLevelType w:val="hybridMultilevel"/>
    <w:tmpl w:val="71D20CEE"/>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15:restartNumberingAfterBreak="0">
    <w:nsid w:val="256134AF"/>
    <w:multiLevelType w:val="hybridMultilevel"/>
    <w:tmpl w:val="F432E8F8"/>
    <w:lvl w:ilvl="0" w:tplc="0958B7F0">
      <w:start w:val="1"/>
      <w:numFmt w:val="lowerRoman"/>
      <w:lvlText w:val="%1."/>
      <w:lvlJc w:val="right"/>
      <w:pPr>
        <w:ind w:left="720" w:hanging="360"/>
      </w:pPr>
      <w:rPr>
        <w:rFonts w:hint="default"/>
        <w:i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1" w15:restartNumberingAfterBreak="0">
    <w:nsid w:val="25C1091D"/>
    <w:multiLevelType w:val="hybridMultilevel"/>
    <w:tmpl w:val="A2F87F28"/>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25E04848"/>
    <w:multiLevelType w:val="hybridMultilevel"/>
    <w:tmpl w:val="848C5182"/>
    <w:lvl w:ilvl="0" w:tplc="5EB8184C">
      <w:start w:val="1"/>
      <w:numFmt w:val="lowerRoman"/>
      <w:lvlText w:val="%1."/>
      <w:lvlJc w:val="left"/>
      <w:pPr>
        <w:ind w:left="924" w:hanging="720"/>
      </w:pPr>
      <w:rPr>
        <w:rFonts w:ascii="Calibri" w:eastAsia="Calibri" w:hAnsi="Calibri" w:cs="Calibri" w:hint="default"/>
        <w:spacing w:val="-1"/>
        <w:w w:val="100"/>
        <w:sz w:val="22"/>
        <w:szCs w:val="22"/>
      </w:rPr>
    </w:lvl>
    <w:lvl w:ilvl="1" w:tplc="83E66E20">
      <w:numFmt w:val="bullet"/>
      <w:lvlText w:val="•"/>
      <w:lvlJc w:val="left"/>
      <w:pPr>
        <w:ind w:left="1788" w:hanging="720"/>
      </w:pPr>
      <w:rPr>
        <w:rFonts w:hint="default"/>
      </w:rPr>
    </w:lvl>
    <w:lvl w:ilvl="2" w:tplc="587844CE">
      <w:numFmt w:val="bullet"/>
      <w:lvlText w:val="•"/>
      <w:lvlJc w:val="left"/>
      <w:pPr>
        <w:ind w:left="2657" w:hanging="720"/>
      </w:pPr>
      <w:rPr>
        <w:rFonts w:hint="default"/>
      </w:rPr>
    </w:lvl>
    <w:lvl w:ilvl="3" w:tplc="1F78AB5A">
      <w:numFmt w:val="bullet"/>
      <w:lvlText w:val="•"/>
      <w:lvlJc w:val="left"/>
      <w:pPr>
        <w:ind w:left="3525" w:hanging="720"/>
      </w:pPr>
      <w:rPr>
        <w:rFonts w:hint="default"/>
      </w:rPr>
    </w:lvl>
    <w:lvl w:ilvl="4" w:tplc="28CECA60">
      <w:numFmt w:val="bullet"/>
      <w:lvlText w:val="•"/>
      <w:lvlJc w:val="left"/>
      <w:pPr>
        <w:ind w:left="4394" w:hanging="720"/>
      </w:pPr>
      <w:rPr>
        <w:rFonts w:hint="default"/>
      </w:rPr>
    </w:lvl>
    <w:lvl w:ilvl="5" w:tplc="38CC4CF6">
      <w:numFmt w:val="bullet"/>
      <w:lvlText w:val="•"/>
      <w:lvlJc w:val="left"/>
      <w:pPr>
        <w:ind w:left="5263" w:hanging="720"/>
      </w:pPr>
      <w:rPr>
        <w:rFonts w:hint="default"/>
      </w:rPr>
    </w:lvl>
    <w:lvl w:ilvl="6" w:tplc="0A0250EE">
      <w:numFmt w:val="bullet"/>
      <w:lvlText w:val="•"/>
      <w:lvlJc w:val="left"/>
      <w:pPr>
        <w:ind w:left="6131" w:hanging="720"/>
      </w:pPr>
      <w:rPr>
        <w:rFonts w:hint="default"/>
      </w:rPr>
    </w:lvl>
    <w:lvl w:ilvl="7" w:tplc="4B8C9BE0">
      <w:numFmt w:val="bullet"/>
      <w:lvlText w:val="•"/>
      <w:lvlJc w:val="left"/>
      <w:pPr>
        <w:ind w:left="7000" w:hanging="720"/>
      </w:pPr>
      <w:rPr>
        <w:rFonts w:hint="default"/>
      </w:rPr>
    </w:lvl>
    <w:lvl w:ilvl="8" w:tplc="8E0853AE">
      <w:numFmt w:val="bullet"/>
      <w:lvlText w:val="•"/>
      <w:lvlJc w:val="left"/>
      <w:pPr>
        <w:ind w:left="7869" w:hanging="720"/>
      </w:pPr>
      <w:rPr>
        <w:rFonts w:hint="default"/>
      </w:rPr>
    </w:lvl>
  </w:abstractNum>
  <w:abstractNum w:abstractNumId="173" w15:restartNumberingAfterBreak="0">
    <w:nsid w:val="263450C4"/>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174" w15:restartNumberingAfterBreak="0">
    <w:nsid w:val="263B68DD"/>
    <w:multiLevelType w:val="hybridMultilevel"/>
    <w:tmpl w:val="46AA4B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5" w15:restartNumberingAfterBreak="0">
    <w:nsid w:val="263D34AB"/>
    <w:multiLevelType w:val="hybridMultilevel"/>
    <w:tmpl w:val="8E34F9C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76" w15:restartNumberingAfterBreak="0">
    <w:nsid w:val="26472148"/>
    <w:multiLevelType w:val="multilevel"/>
    <w:tmpl w:val="2076AB90"/>
    <w:numStyleLink w:val="Style2"/>
  </w:abstractNum>
  <w:abstractNum w:abstractNumId="177" w15:restartNumberingAfterBreak="0">
    <w:nsid w:val="2656726E"/>
    <w:multiLevelType w:val="multilevel"/>
    <w:tmpl w:val="2076AB90"/>
    <w:styleLink w:val="Style2"/>
    <w:lvl w:ilvl="0">
      <w:start w:val="1"/>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178" w15:restartNumberingAfterBreak="0">
    <w:nsid w:val="2659696B"/>
    <w:multiLevelType w:val="hybridMultilevel"/>
    <w:tmpl w:val="ECA889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26677E8A"/>
    <w:multiLevelType w:val="hybridMultilevel"/>
    <w:tmpl w:val="1EF4CF00"/>
    <w:lvl w:ilvl="0" w:tplc="9ACE8188">
      <w:start w:val="1"/>
      <w:numFmt w:val="bullet"/>
      <w:lvlText w:val="-"/>
      <w:lvlJc w:val="left"/>
      <w:pPr>
        <w:ind w:left="720" w:hanging="360"/>
      </w:pPr>
      <w:rPr>
        <w:rFonts w:ascii="Roboto Slab Black" w:hAnsi="Roboto Slab Black" w:hint="default"/>
        <w:b w:val="0"/>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0" w15:restartNumberingAfterBreak="0">
    <w:nsid w:val="267C16E0"/>
    <w:multiLevelType w:val="hybridMultilevel"/>
    <w:tmpl w:val="87F8C922"/>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1" w15:restartNumberingAfterBreak="0">
    <w:nsid w:val="26914DC2"/>
    <w:multiLevelType w:val="hybridMultilevel"/>
    <w:tmpl w:val="5198BA2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2" w15:restartNumberingAfterBreak="0">
    <w:nsid w:val="269E2B8A"/>
    <w:multiLevelType w:val="hybridMultilevel"/>
    <w:tmpl w:val="24BEEE8C"/>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3" w15:restartNumberingAfterBreak="0">
    <w:nsid w:val="27133255"/>
    <w:multiLevelType w:val="hybridMultilevel"/>
    <w:tmpl w:val="6B4CB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4" w15:restartNumberingAfterBreak="0">
    <w:nsid w:val="2756371F"/>
    <w:multiLevelType w:val="hybridMultilevel"/>
    <w:tmpl w:val="3D044F9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5" w15:restartNumberingAfterBreak="0">
    <w:nsid w:val="27D72C80"/>
    <w:multiLevelType w:val="multilevel"/>
    <w:tmpl w:val="2076AB90"/>
    <w:numStyleLink w:val="Style2"/>
  </w:abstractNum>
  <w:abstractNum w:abstractNumId="186" w15:restartNumberingAfterBreak="0">
    <w:nsid w:val="28661CEA"/>
    <w:multiLevelType w:val="hybridMultilevel"/>
    <w:tmpl w:val="C54806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15:restartNumberingAfterBreak="0">
    <w:nsid w:val="296A1341"/>
    <w:multiLevelType w:val="multilevel"/>
    <w:tmpl w:val="2076AB90"/>
    <w:numStyleLink w:val="Style2"/>
  </w:abstractNum>
  <w:abstractNum w:abstractNumId="188" w15:restartNumberingAfterBreak="0">
    <w:nsid w:val="29A302EA"/>
    <w:multiLevelType w:val="multilevel"/>
    <w:tmpl w:val="8F94B6B8"/>
    <w:lvl w:ilvl="0">
      <w:start w:val="2"/>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189" w15:restartNumberingAfterBreak="0">
    <w:nsid w:val="2A5C4AB8"/>
    <w:multiLevelType w:val="multilevel"/>
    <w:tmpl w:val="177A1206"/>
    <w:numStyleLink w:val="Style4"/>
  </w:abstractNum>
  <w:abstractNum w:abstractNumId="190" w15:restartNumberingAfterBreak="0">
    <w:nsid w:val="2A9844C4"/>
    <w:multiLevelType w:val="multilevel"/>
    <w:tmpl w:val="539E674A"/>
    <w:lvl w:ilvl="0">
      <w:start w:val="2"/>
      <w:numFmt w:val="decimal"/>
      <w:lvlText w:val="%1"/>
      <w:lvlJc w:val="left"/>
      <w:pPr>
        <w:tabs>
          <w:tab w:val="num" w:pos="360"/>
        </w:tabs>
        <w:ind w:left="360" w:hanging="360"/>
      </w:pPr>
      <w:rPr>
        <w:rFonts w:hint="default"/>
        <w:b/>
      </w:rPr>
    </w:lvl>
    <w:lvl w:ilvl="1">
      <w:start w:val="1"/>
      <w:numFmt w:val="decimal"/>
      <w:lvlText w:val="%1.%2"/>
      <w:lvlJc w:val="left"/>
      <w:pPr>
        <w:tabs>
          <w:tab w:val="num" w:pos="3240"/>
        </w:tabs>
        <w:ind w:left="3240" w:hanging="360"/>
      </w:pPr>
      <w:rPr>
        <w:rFonts w:hint="default"/>
        <w:b w:val="0"/>
        <w:i w:val="0"/>
      </w:rPr>
    </w:lvl>
    <w:lvl w:ilvl="2">
      <w:start w:val="1"/>
      <w:numFmt w:val="decimal"/>
      <w:lvlText w:val="%1.%2.%3"/>
      <w:lvlJc w:val="left"/>
      <w:pPr>
        <w:tabs>
          <w:tab w:val="num" w:pos="6480"/>
        </w:tabs>
        <w:ind w:left="6480" w:hanging="720"/>
      </w:pPr>
      <w:rPr>
        <w:rFonts w:hint="default"/>
        <w:b/>
      </w:rPr>
    </w:lvl>
    <w:lvl w:ilvl="3">
      <w:start w:val="1"/>
      <w:numFmt w:val="decimal"/>
      <w:lvlText w:val="%1.%2.%3.%4"/>
      <w:lvlJc w:val="left"/>
      <w:pPr>
        <w:tabs>
          <w:tab w:val="num" w:pos="9720"/>
        </w:tabs>
        <w:ind w:left="9720" w:hanging="1080"/>
      </w:pPr>
      <w:rPr>
        <w:rFonts w:hint="default"/>
        <w:b/>
      </w:rPr>
    </w:lvl>
    <w:lvl w:ilvl="4">
      <w:start w:val="1"/>
      <w:numFmt w:val="decimal"/>
      <w:lvlText w:val="%1.%2.%3.%4.%5"/>
      <w:lvlJc w:val="left"/>
      <w:pPr>
        <w:tabs>
          <w:tab w:val="num" w:pos="12600"/>
        </w:tabs>
        <w:ind w:left="12600" w:hanging="1080"/>
      </w:pPr>
      <w:rPr>
        <w:rFonts w:hint="default"/>
        <w:b/>
      </w:rPr>
    </w:lvl>
    <w:lvl w:ilvl="5">
      <w:start w:val="1"/>
      <w:numFmt w:val="decimal"/>
      <w:lvlText w:val="%1.%2.%3.%4.%5.%6"/>
      <w:lvlJc w:val="left"/>
      <w:pPr>
        <w:tabs>
          <w:tab w:val="num" w:pos="15840"/>
        </w:tabs>
        <w:ind w:left="15840" w:hanging="1440"/>
      </w:pPr>
      <w:rPr>
        <w:rFonts w:hint="default"/>
        <w:b/>
      </w:rPr>
    </w:lvl>
    <w:lvl w:ilvl="6">
      <w:start w:val="1"/>
      <w:numFmt w:val="decimal"/>
      <w:lvlText w:val="%1.%2.%3.%4.%5.%6.%7"/>
      <w:lvlJc w:val="left"/>
      <w:pPr>
        <w:tabs>
          <w:tab w:val="num" w:pos="18720"/>
        </w:tabs>
        <w:ind w:left="18720" w:hanging="1440"/>
      </w:pPr>
      <w:rPr>
        <w:rFonts w:hint="default"/>
        <w:b/>
      </w:rPr>
    </w:lvl>
    <w:lvl w:ilvl="7">
      <w:start w:val="1"/>
      <w:numFmt w:val="decimal"/>
      <w:lvlText w:val="%1.%2.%3.%4.%5.%6.%7.%8"/>
      <w:lvlJc w:val="left"/>
      <w:pPr>
        <w:tabs>
          <w:tab w:val="num" w:pos="21960"/>
        </w:tabs>
        <w:ind w:left="21960" w:hanging="1800"/>
      </w:pPr>
      <w:rPr>
        <w:rFonts w:hint="default"/>
        <w:b/>
      </w:rPr>
    </w:lvl>
    <w:lvl w:ilvl="8">
      <w:start w:val="1"/>
      <w:numFmt w:val="decimal"/>
      <w:lvlText w:val="%1.%2.%3.%4.%5.%6.%7.%8.%9"/>
      <w:lvlJc w:val="left"/>
      <w:pPr>
        <w:tabs>
          <w:tab w:val="num" w:pos="24840"/>
        </w:tabs>
        <w:ind w:left="24840" w:hanging="1800"/>
      </w:pPr>
      <w:rPr>
        <w:rFonts w:hint="default"/>
        <w:b/>
      </w:rPr>
    </w:lvl>
  </w:abstractNum>
  <w:abstractNum w:abstractNumId="191" w15:restartNumberingAfterBreak="0">
    <w:nsid w:val="2AD7484F"/>
    <w:multiLevelType w:val="hybridMultilevel"/>
    <w:tmpl w:val="80582752"/>
    <w:lvl w:ilvl="0" w:tplc="0409001B">
      <w:start w:val="1"/>
      <w:numFmt w:val="lowerRoman"/>
      <w:lvlText w:val="%1."/>
      <w:lvlJc w:val="righ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2" w15:restartNumberingAfterBreak="0">
    <w:nsid w:val="2AF116FB"/>
    <w:multiLevelType w:val="hybridMultilevel"/>
    <w:tmpl w:val="B9EAF0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3" w15:restartNumberingAfterBreak="0">
    <w:nsid w:val="2B051202"/>
    <w:multiLevelType w:val="multilevel"/>
    <w:tmpl w:val="2076AB90"/>
    <w:numStyleLink w:val="Style2"/>
  </w:abstractNum>
  <w:abstractNum w:abstractNumId="194" w15:restartNumberingAfterBreak="0">
    <w:nsid w:val="2B550C32"/>
    <w:multiLevelType w:val="hybridMultilevel"/>
    <w:tmpl w:val="075CAF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15:restartNumberingAfterBreak="0">
    <w:nsid w:val="2B687DB9"/>
    <w:multiLevelType w:val="hybridMultilevel"/>
    <w:tmpl w:val="056C82AC"/>
    <w:lvl w:ilvl="0" w:tplc="75D6EE68">
      <w:start w:val="1"/>
      <w:numFmt w:val="decimal"/>
      <w:lvlText w:val="%1."/>
      <w:lvlJc w:val="left"/>
      <w:pPr>
        <w:ind w:left="480" w:hanging="360"/>
      </w:pPr>
      <w:rPr>
        <w:rFonts w:ascii="Calibri" w:eastAsia="Calibri" w:hAnsi="Calibri" w:cs="Calibri" w:hint="default"/>
        <w:b w:val="0"/>
        <w:bCs w:val="0"/>
        <w:i w:val="0"/>
        <w:iCs w:val="0"/>
        <w:spacing w:val="0"/>
        <w:w w:val="100"/>
        <w:sz w:val="22"/>
        <w:szCs w:val="22"/>
        <w:lang w:val="en-US" w:eastAsia="en-US" w:bidi="ar-SA"/>
      </w:rPr>
    </w:lvl>
    <w:lvl w:ilvl="1" w:tplc="CDDABA78">
      <w:numFmt w:val="bullet"/>
      <w:lvlText w:val="•"/>
      <w:lvlJc w:val="left"/>
      <w:pPr>
        <w:ind w:left="1391" w:hanging="360"/>
      </w:pPr>
      <w:rPr>
        <w:rFonts w:hint="default"/>
        <w:lang w:val="en-US" w:eastAsia="en-US" w:bidi="ar-SA"/>
      </w:rPr>
    </w:lvl>
    <w:lvl w:ilvl="2" w:tplc="11C2B71E">
      <w:numFmt w:val="bullet"/>
      <w:lvlText w:val="•"/>
      <w:lvlJc w:val="left"/>
      <w:pPr>
        <w:ind w:left="2302" w:hanging="360"/>
      </w:pPr>
      <w:rPr>
        <w:rFonts w:hint="default"/>
        <w:lang w:val="en-US" w:eastAsia="en-US" w:bidi="ar-SA"/>
      </w:rPr>
    </w:lvl>
    <w:lvl w:ilvl="3" w:tplc="AC2472E4">
      <w:numFmt w:val="bullet"/>
      <w:lvlText w:val="•"/>
      <w:lvlJc w:val="left"/>
      <w:pPr>
        <w:ind w:left="3213" w:hanging="360"/>
      </w:pPr>
      <w:rPr>
        <w:rFonts w:hint="default"/>
        <w:lang w:val="en-US" w:eastAsia="en-US" w:bidi="ar-SA"/>
      </w:rPr>
    </w:lvl>
    <w:lvl w:ilvl="4" w:tplc="0CD8FDB0">
      <w:numFmt w:val="bullet"/>
      <w:lvlText w:val="•"/>
      <w:lvlJc w:val="left"/>
      <w:pPr>
        <w:ind w:left="4124" w:hanging="360"/>
      </w:pPr>
      <w:rPr>
        <w:rFonts w:hint="default"/>
        <w:lang w:val="en-US" w:eastAsia="en-US" w:bidi="ar-SA"/>
      </w:rPr>
    </w:lvl>
    <w:lvl w:ilvl="5" w:tplc="DCA4409C">
      <w:numFmt w:val="bullet"/>
      <w:lvlText w:val="•"/>
      <w:lvlJc w:val="left"/>
      <w:pPr>
        <w:ind w:left="5035" w:hanging="360"/>
      </w:pPr>
      <w:rPr>
        <w:rFonts w:hint="default"/>
        <w:lang w:val="en-US" w:eastAsia="en-US" w:bidi="ar-SA"/>
      </w:rPr>
    </w:lvl>
    <w:lvl w:ilvl="6" w:tplc="33CCA71C">
      <w:numFmt w:val="bullet"/>
      <w:lvlText w:val="•"/>
      <w:lvlJc w:val="left"/>
      <w:pPr>
        <w:ind w:left="5946" w:hanging="360"/>
      </w:pPr>
      <w:rPr>
        <w:rFonts w:hint="default"/>
        <w:lang w:val="en-US" w:eastAsia="en-US" w:bidi="ar-SA"/>
      </w:rPr>
    </w:lvl>
    <w:lvl w:ilvl="7" w:tplc="49B03528">
      <w:numFmt w:val="bullet"/>
      <w:lvlText w:val="•"/>
      <w:lvlJc w:val="left"/>
      <w:pPr>
        <w:ind w:left="6857" w:hanging="360"/>
      </w:pPr>
      <w:rPr>
        <w:rFonts w:hint="default"/>
        <w:lang w:val="en-US" w:eastAsia="en-US" w:bidi="ar-SA"/>
      </w:rPr>
    </w:lvl>
    <w:lvl w:ilvl="8" w:tplc="ACB40B20">
      <w:numFmt w:val="bullet"/>
      <w:lvlText w:val="•"/>
      <w:lvlJc w:val="left"/>
      <w:pPr>
        <w:ind w:left="7768" w:hanging="360"/>
      </w:pPr>
      <w:rPr>
        <w:rFonts w:hint="default"/>
        <w:lang w:val="en-US" w:eastAsia="en-US" w:bidi="ar-SA"/>
      </w:rPr>
    </w:lvl>
  </w:abstractNum>
  <w:abstractNum w:abstractNumId="196" w15:restartNumberingAfterBreak="0">
    <w:nsid w:val="2CB7126D"/>
    <w:multiLevelType w:val="hybridMultilevel"/>
    <w:tmpl w:val="148A7056"/>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7" w15:restartNumberingAfterBreak="0">
    <w:nsid w:val="2CC13229"/>
    <w:multiLevelType w:val="hybridMultilevel"/>
    <w:tmpl w:val="F88CCC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2CFB565F"/>
    <w:multiLevelType w:val="hybridMultilevel"/>
    <w:tmpl w:val="9438C04C"/>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2D24088A"/>
    <w:multiLevelType w:val="multilevel"/>
    <w:tmpl w:val="80A47214"/>
    <w:lvl w:ilvl="0">
      <w:start w:val="1"/>
      <w:numFmt w:val="bullet"/>
      <w:lvlText w:val=""/>
      <w:lvlJc w:val="left"/>
      <w:pPr>
        <w:ind w:left="360" w:hanging="360"/>
      </w:pPr>
      <w:rPr>
        <w:rFonts w:ascii="Symbol" w:hAnsi="Symbol"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0" w15:restartNumberingAfterBreak="0">
    <w:nsid w:val="2D5B4A20"/>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201" w15:restartNumberingAfterBreak="0">
    <w:nsid w:val="2D5C69DE"/>
    <w:multiLevelType w:val="hybridMultilevel"/>
    <w:tmpl w:val="414C4DF2"/>
    <w:lvl w:ilvl="0" w:tplc="FAEAA63E">
      <w:start w:val="1"/>
      <w:numFmt w:val="lowerRoman"/>
      <w:lvlText w:val="(%1)"/>
      <w:lvlJc w:val="left"/>
      <w:pPr>
        <w:ind w:left="2220" w:hanging="78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02" w15:restartNumberingAfterBreak="0">
    <w:nsid w:val="2E0C4DB4"/>
    <w:multiLevelType w:val="hybridMultilevel"/>
    <w:tmpl w:val="5040FE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3" w15:restartNumberingAfterBreak="0">
    <w:nsid w:val="2E221584"/>
    <w:multiLevelType w:val="hybridMultilevel"/>
    <w:tmpl w:val="152A3798"/>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204" w15:restartNumberingAfterBreak="0">
    <w:nsid w:val="2EE831B5"/>
    <w:multiLevelType w:val="hybridMultilevel"/>
    <w:tmpl w:val="51EAE3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2EEE277F"/>
    <w:multiLevelType w:val="hybridMultilevel"/>
    <w:tmpl w:val="B4163330"/>
    <w:lvl w:ilvl="0" w:tplc="43BCF916">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6" w15:restartNumberingAfterBreak="0">
    <w:nsid w:val="2F120396"/>
    <w:multiLevelType w:val="multilevel"/>
    <w:tmpl w:val="177A1206"/>
    <w:numStyleLink w:val="Style4"/>
  </w:abstractNum>
  <w:abstractNum w:abstractNumId="207" w15:restartNumberingAfterBreak="0">
    <w:nsid w:val="2F2A267D"/>
    <w:multiLevelType w:val="hybridMultilevel"/>
    <w:tmpl w:val="A0D6A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8" w15:restartNumberingAfterBreak="0">
    <w:nsid w:val="2F3E25C2"/>
    <w:multiLevelType w:val="hybridMultilevel"/>
    <w:tmpl w:val="55449302"/>
    <w:lvl w:ilvl="0" w:tplc="44DCFF7C">
      <w:numFmt w:val="bullet"/>
      <w:lvlText w:val=""/>
      <w:lvlJc w:val="left"/>
      <w:pPr>
        <w:ind w:left="823" w:hanging="284"/>
      </w:pPr>
      <w:rPr>
        <w:rFonts w:ascii="Symbol" w:eastAsia="Symbol" w:hAnsi="Symbol" w:cs="Symbol" w:hint="default"/>
        <w:w w:val="100"/>
        <w:sz w:val="22"/>
        <w:szCs w:val="22"/>
      </w:rPr>
    </w:lvl>
    <w:lvl w:ilvl="1" w:tplc="E356F01A">
      <w:numFmt w:val="bullet"/>
      <w:lvlText w:val="•"/>
      <w:lvlJc w:val="left"/>
      <w:pPr>
        <w:ind w:left="1170" w:hanging="284"/>
      </w:pPr>
      <w:rPr>
        <w:rFonts w:hint="default"/>
      </w:rPr>
    </w:lvl>
    <w:lvl w:ilvl="2" w:tplc="A41C76BA">
      <w:numFmt w:val="bullet"/>
      <w:lvlText w:val="•"/>
      <w:lvlJc w:val="left"/>
      <w:pPr>
        <w:ind w:left="1520" w:hanging="284"/>
      </w:pPr>
      <w:rPr>
        <w:rFonts w:hint="default"/>
      </w:rPr>
    </w:lvl>
    <w:lvl w:ilvl="3" w:tplc="3E8291C0">
      <w:numFmt w:val="bullet"/>
      <w:lvlText w:val="•"/>
      <w:lvlJc w:val="left"/>
      <w:pPr>
        <w:ind w:left="1871" w:hanging="284"/>
      </w:pPr>
      <w:rPr>
        <w:rFonts w:hint="default"/>
      </w:rPr>
    </w:lvl>
    <w:lvl w:ilvl="4" w:tplc="13D66B2A">
      <w:numFmt w:val="bullet"/>
      <w:lvlText w:val="•"/>
      <w:lvlJc w:val="left"/>
      <w:pPr>
        <w:ind w:left="2221" w:hanging="284"/>
      </w:pPr>
      <w:rPr>
        <w:rFonts w:hint="default"/>
      </w:rPr>
    </w:lvl>
    <w:lvl w:ilvl="5" w:tplc="C80020F6">
      <w:numFmt w:val="bullet"/>
      <w:lvlText w:val="•"/>
      <w:lvlJc w:val="left"/>
      <w:pPr>
        <w:ind w:left="2572" w:hanging="284"/>
      </w:pPr>
      <w:rPr>
        <w:rFonts w:hint="default"/>
      </w:rPr>
    </w:lvl>
    <w:lvl w:ilvl="6" w:tplc="E7A07144">
      <w:numFmt w:val="bullet"/>
      <w:lvlText w:val="•"/>
      <w:lvlJc w:val="left"/>
      <w:pPr>
        <w:ind w:left="2922" w:hanging="284"/>
      </w:pPr>
      <w:rPr>
        <w:rFonts w:hint="default"/>
      </w:rPr>
    </w:lvl>
    <w:lvl w:ilvl="7" w:tplc="D81C5110">
      <w:numFmt w:val="bullet"/>
      <w:lvlText w:val="•"/>
      <w:lvlJc w:val="left"/>
      <w:pPr>
        <w:ind w:left="3273" w:hanging="284"/>
      </w:pPr>
      <w:rPr>
        <w:rFonts w:hint="default"/>
      </w:rPr>
    </w:lvl>
    <w:lvl w:ilvl="8" w:tplc="574A4A40">
      <w:numFmt w:val="bullet"/>
      <w:lvlText w:val="•"/>
      <w:lvlJc w:val="left"/>
      <w:pPr>
        <w:ind w:left="3623" w:hanging="284"/>
      </w:pPr>
      <w:rPr>
        <w:rFonts w:hint="default"/>
      </w:rPr>
    </w:lvl>
  </w:abstractNum>
  <w:abstractNum w:abstractNumId="209" w15:restartNumberingAfterBreak="0">
    <w:nsid w:val="2F725422"/>
    <w:multiLevelType w:val="multilevel"/>
    <w:tmpl w:val="A3CC3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2F824EC9"/>
    <w:multiLevelType w:val="hybridMultilevel"/>
    <w:tmpl w:val="B98229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1" w15:restartNumberingAfterBreak="0">
    <w:nsid w:val="2F9E044A"/>
    <w:multiLevelType w:val="hybridMultilevel"/>
    <w:tmpl w:val="90D859F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2" w15:restartNumberingAfterBreak="0">
    <w:nsid w:val="2FAF7716"/>
    <w:multiLevelType w:val="hybridMultilevel"/>
    <w:tmpl w:val="913418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3" w15:restartNumberingAfterBreak="0">
    <w:nsid w:val="2FD82890"/>
    <w:multiLevelType w:val="hybridMultilevel"/>
    <w:tmpl w:val="C0D092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4" w15:restartNumberingAfterBreak="0">
    <w:nsid w:val="2FF576C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15" w15:restartNumberingAfterBreak="0">
    <w:nsid w:val="30195F1D"/>
    <w:multiLevelType w:val="hybridMultilevel"/>
    <w:tmpl w:val="11D8F296"/>
    <w:lvl w:ilvl="0" w:tplc="E5C661D0">
      <w:start w:val="1"/>
      <w:numFmt w:val="lowerRoman"/>
      <w:lvlText w:val="%1."/>
      <w:lvlJc w:val="right"/>
      <w:pPr>
        <w:ind w:left="1080" w:hanging="360"/>
      </w:pPr>
      <w:rPr>
        <w:rFonts w:ascii="Avenir LT 45 Book" w:hAnsi="Avenir LT 45 Book"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6" w15:restartNumberingAfterBreak="0">
    <w:nsid w:val="30363942"/>
    <w:multiLevelType w:val="hybridMultilevel"/>
    <w:tmpl w:val="D2B055A6"/>
    <w:lvl w:ilvl="0" w:tplc="0409001B">
      <w:start w:val="1"/>
      <w:numFmt w:val="lowerRoman"/>
      <w:lvlText w:val="%1."/>
      <w:lvlJc w:val="right"/>
      <w:pPr>
        <w:ind w:left="1004"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7" w15:restartNumberingAfterBreak="0">
    <w:nsid w:val="30433243"/>
    <w:multiLevelType w:val="multilevel"/>
    <w:tmpl w:val="143225CC"/>
    <w:lvl w:ilvl="0">
      <w:start w:val="3"/>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218" w15:restartNumberingAfterBreak="0">
    <w:nsid w:val="304B5EAA"/>
    <w:multiLevelType w:val="hybridMultilevel"/>
    <w:tmpl w:val="E2187888"/>
    <w:lvl w:ilvl="0" w:tplc="940053C0">
      <w:start w:val="1"/>
      <w:numFmt w:val="lowerRoman"/>
      <w:lvlText w:val="%1."/>
      <w:lvlJc w:val="left"/>
      <w:pPr>
        <w:ind w:left="1197" w:hanging="720"/>
      </w:pPr>
      <w:rPr>
        <w:rFonts w:ascii="Calibri" w:eastAsia="Calibri" w:hAnsi="Calibri" w:cs="Calibri" w:hint="default"/>
        <w:spacing w:val="-1"/>
        <w:w w:val="100"/>
        <w:sz w:val="22"/>
        <w:szCs w:val="22"/>
      </w:rPr>
    </w:lvl>
    <w:lvl w:ilvl="1" w:tplc="78A6D5A4">
      <w:numFmt w:val="bullet"/>
      <w:lvlText w:val="•"/>
      <w:lvlJc w:val="left"/>
      <w:pPr>
        <w:ind w:left="2040" w:hanging="720"/>
      </w:pPr>
      <w:rPr>
        <w:rFonts w:hint="default"/>
      </w:rPr>
    </w:lvl>
    <w:lvl w:ilvl="2" w:tplc="A564858A">
      <w:numFmt w:val="bullet"/>
      <w:lvlText w:val="•"/>
      <w:lvlJc w:val="left"/>
      <w:pPr>
        <w:ind w:left="2881" w:hanging="720"/>
      </w:pPr>
      <w:rPr>
        <w:rFonts w:hint="default"/>
      </w:rPr>
    </w:lvl>
    <w:lvl w:ilvl="3" w:tplc="6AC0E628">
      <w:numFmt w:val="bullet"/>
      <w:lvlText w:val="•"/>
      <w:lvlJc w:val="left"/>
      <w:pPr>
        <w:ind w:left="3721" w:hanging="720"/>
      </w:pPr>
      <w:rPr>
        <w:rFonts w:hint="default"/>
      </w:rPr>
    </w:lvl>
    <w:lvl w:ilvl="4" w:tplc="4E86C37C">
      <w:numFmt w:val="bullet"/>
      <w:lvlText w:val="•"/>
      <w:lvlJc w:val="left"/>
      <w:pPr>
        <w:ind w:left="4562" w:hanging="720"/>
      </w:pPr>
      <w:rPr>
        <w:rFonts w:hint="default"/>
      </w:rPr>
    </w:lvl>
    <w:lvl w:ilvl="5" w:tplc="17E882D8">
      <w:numFmt w:val="bullet"/>
      <w:lvlText w:val="•"/>
      <w:lvlJc w:val="left"/>
      <w:pPr>
        <w:ind w:left="5403" w:hanging="720"/>
      </w:pPr>
      <w:rPr>
        <w:rFonts w:hint="default"/>
      </w:rPr>
    </w:lvl>
    <w:lvl w:ilvl="6" w:tplc="0B007CF4">
      <w:numFmt w:val="bullet"/>
      <w:lvlText w:val="•"/>
      <w:lvlJc w:val="left"/>
      <w:pPr>
        <w:ind w:left="6243" w:hanging="720"/>
      </w:pPr>
      <w:rPr>
        <w:rFonts w:hint="default"/>
      </w:rPr>
    </w:lvl>
    <w:lvl w:ilvl="7" w:tplc="364C55F6">
      <w:numFmt w:val="bullet"/>
      <w:lvlText w:val="•"/>
      <w:lvlJc w:val="left"/>
      <w:pPr>
        <w:ind w:left="7084" w:hanging="720"/>
      </w:pPr>
      <w:rPr>
        <w:rFonts w:hint="default"/>
      </w:rPr>
    </w:lvl>
    <w:lvl w:ilvl="8" w:tplc="5072BAA0">
      <w:numFmt w:val="bullet"/>
      <w:lvlText w:val="•"/>
      <w:lvlJc w:val="left"/>
      <w:pPr>
        <w:ind w:left="7925" w:hanging="720"/>
      </w:pPr>
      <w:rPr>
        <w:rFonts w:hint="default"/>
      </w:rPr>
    </w:lvl>
  </w:abstractNum>
  <w:abstractNum w:abstractNumId="219" w15:restartNumberingAfterBreak="0">
    <w:nsid w:val="30F67B30"/>
    <w:multiLevelType w:val="multilevel"/>
    <w:tmpl w:val="E6C23A14"/>
    <w:lvl w:ilvl="0">
      <w:start w:val="2"/>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220" w15:restartNumberingAfterBreak="0">
    <w:nsid w:val="314865C2"/>
    <w:multiLevelType w:val="multilevel"/>
    <w:tmpl w:val="0A861F68"/>
    <w:lvl w:ilvl="0">
      <w:start w:val="2"/>
      <w:numFmt w:val="decimal"/>
      <w:lvlText w:val="%1"/>
      <w:lvlJc w:val="left"/>
      <w:pPr>
        <w:ind w:left="1113" w:hanging="992"/>
      </w:pPr>
      <w:rPr>
        <w:rFonts w:hint="default"/>
        <w:lang w:val="en-US" w:eastAsia="en-US" w:bidi="ar-SA"/>
      </w:rPr>
    </w:lvl>
    <w:lvl w:ilvl="1">
      <w:start w:val="1"/>
      <w:numFmt w:val="decimal"/>
      <w:lvlText w:val="%1.%2"/>
      <w:lvlJc w:val="left"/>
      <w:pPr>
        <w:ind w:left="1113" w:hanging="992"/>
      </w:pPr>
      <w:rPr>
        <w:rFonts w:hint="default"/>
        <w:lang w:val="en-US" w:eastAsia="en-US" w:bidi="ar-SA"/>
      </w:rPr>
    </w:lvl>
    <w:lvl w:ilvl="2">
      <w:start w:val="3"/>
      <w:numFmt w:val="decimal"/>
      <w:lvlText w:val="%1.%2.%3"/>
      <w:lvlJc w:val="left"/>
      <w:pPr>
        <w:ind w:left="1113" w:hanging="992"/>
      </w:pPr>
      <w:rPr>
        <w:rFonts w:ascii="Calibri" w:eastAsia="Calibri" w:hAnsi="Calibri" w:cs="Calibri" w:hint="default"/>
        <w:b/>
        <w:bCs/>
        <w:i w:val="0"/>
        <w:iCs w:val="0"/>
        <w:color w:val="17365D"/>
        <w:spacing w:val="0"/>
        <w:w w:val="100"/>
        <w:sz w:val="28"/>
        <w:szCs w:val="28"/>
        <w:lang w:val="en-US" w:eastAsia="en-US" w:bidi="ar-SA"/>
      </w:rPr>
    </w:lvl>
    <w:lvl w:ilvl="3">
      <w:numFmt w:val="bullet"/>
      <w:lvlText w:val=""/>
      <w:lvlJc w:val="left"/>
      <w:pPr>
        <w:ind w:left="666" w:hanging="567"/>
      </w:pPr>
      <w:rPr>
        <w:rFonts w:ascii="Symbol" w:eastAsia="Symbol" w:hAnsi="Symbol" w:cs="Symbol" w:hint="default"/>
        <w:b w:val="0"/>
        <w:bCs w:val="0"/>
        <w:i w:val="0"/>
        <w:iCs w:val="0"/>
        <w:spacing w:val="0"/>
        <w:w w:val="100"/>
        <w:sz w:val="22"/>
        <w:szCs w:val="22"/>
        <w:lang w:val="en-US" w:eastAsia="en-US" w:bidi="ar-SA"/>
      </w:rPr>
    </w:lvl>
    <w:lvl w:ilvl="4">
      <w:numFmt w:val="bullet"/>
      <w:lvlText w:val="•"/>
      <w:lvlJc w:val="left"/>
      <w:pPr>
        <w:ind w:left="3937" w:hanging="567"/>
      </w:pPr>
      <w:rPr>
        <w:rFonts w:hint="default"/>
        <w:lang w:val="en-US" w:eastAsia="en-US" w:bidi="ar-SA"/>
      </w:rPr>
    </w:lvl>
    <w:lvl w:ilvl="5">
      <w:numFmt w:val="bullet"/>
      <w:lvlText w:val="•"/>
      <w:lvlJc w:val="left"/>
      <w:pPr>
        <w:ind w:left="4876" w:hanging="567"/>
      </w:pPr>
      <w:rPr>
        <w:rFonts w:hint="default"/>
        <w:lang w:val="en-US" w:eastAsia="en-US" w:bidi="ar-SA"/>
      </w:rPr>
    </w:lvl>
    <w:lvl w:ilvl="6">
      <w:numFmt w:val="bullet"/>
      <w:lvlText w:val="•"/>
      <w:lvlJc w:val="left"/>
      <w:pPr>
        <w:ind w:left="5815" w:hanging="567"/>
      </w:pPr>
      <w:rPr>
        <w:rFonts w:hint="default"/>
        <w:lang w:val="en-US" w:eastAsia="en-US" w:bidi="ar-SA"/>
      </w:rPr>
    </w:lvl>
    <w:lvl w:ilvl="7">
      <w:numFmt w:val="bullet"/>
      <w:lvlText w:val="•"/>
      <w:lvlJc w:val="left"/>
      <w:pPr>
        <w:ind w:left="6754" w:hanging="567"/>
      </w:pPr>
      <w:rPr>
        <w:rFonts w:hint="default"/>
        <w:lang w:val="en-US" w:eastAsia="en-US" w:bidi="ar-SA"/>
      </w:rPr>
    </w:lvl>
    <w:lvl w:ilvl="8">
      <w:numFmt w:val="bullet"/>
      <w:lvlText w:val="•"/>
      <w:lvlJc w:val="left"/>
      <w:pPr>
        <w:ind w:left="7693" w:hanging="567"/>
      </w:pPr>
      <w:rPr>
        <w:rFonts w:hint="default"/>
        <w:lang w:val="en-US" w:eastAsia="en-US" w:bidi="ar-SA"/>
      </w:rPr>
    </w:lvl>
  </w:abstractNum>
  <w:abstractNum w:abstractNumId="221" w15:restartNumberingAfterBreak="0">
    <w:nsid w:val="315132E6"/>
    <w:multiLevelType w:val="hybridMultilevel"/>
    <w:tmpl w:val="A3268C32"/>
    <w:lvl w:ilvl="0" w:tplc="E7727FA2">
      <w:start w:val="1"/>
      <w:numFmt w:val="lowerRoman"/>
      <w:lvlText w:val="%1."/>
      <w:lvlJc w:val="left"/>
      <w:pPr>
        <w:ind w:left="1200" w:hanging="720"/>
      </w:pPr>
      <w:rPr>
        <w:rFonts w:ascii="Calibri" w:eastAsia="Calibri" w:hAnsi="Calibri" w:cs="Calibri" w:hint="default"/>
        <w:spacing w:val="-1"/>
        <w:w w:val="100"/>
        <w:sz w:val="22"/>
        <w:szCs w:val="22"/>
      </w:rPr>
    </w:lvl>
    <w:lvl w:ilvl="1" w:tplc="100E45A2">
      <w:numFmt w:val="bullet"/>
      <w:lvlText w:val="•"/>
      <w:lvlJc w:val="left"/>
      <w:pPr>
        <w:ind w:left="2040" w:hanging="720"/>
      </w:pPr>
      <w:rPr>
        <w:rFonts w:hint="default"/>
      </w:rPr>
    </w:lvl>
    <w:lvl w:ilvl="2" w:tplc="D6261846">
      <w:numFmt w:val="bullet"/>
      <w:lvlText w:val="•"/>
      <w:lvlJc w:val="left"/>
      <w:pPr>
        <w:ind w:left="2881" w:hanging="720"/>
      </w:pPr>
      <w:rPr>
        <w:rFonts w:hint="default"/>
      </w:rPr>
    </w:lvl>
    <w:lvl w:ilvl="3" w:tplc="87B6D494">
      <w:numFmt w:val="bullet"/>
      <w:lvlText w:val="•"/>
      <w:lvlJc w:val="left"/>
      <w:pPr>
        <w:ind w:left="3721" w:hanging="720"/>
      </w:pPr>
      <w:rPr>
        <w:rFonts w:hint="default"/>
      </w:rPr>
    </w:lvl>
    <w:lvl w:ilvl="4" w:tplc="C47EB352">
      <w:numFmt w:val="bullet"/>
      <w:lvlText w:val="•"/>
      <w:lvlJc w:val="left"/>
      <w:pPr>
        <w:ind w:left="4562" w:hanging="720"/>
      </w:pPr>
      <w:rPr>
        <w:rFonts w:hint="default"/>
      </w:rPr>
    </w:lvl>
    <w:lvl w:ilvl="5" w:tplc="0458EE24">
      <w:numFmt w:val="bullet"/>
      <w:lvlText w:val="•"/>
      <w:lvlJc w:val="left"/>
      <w:pPr>
        <w:ind w:left="5403" w:hanging="720"/>
      </w:pPr>
      <w:rPr>
        <w:rFonts w:hint="default"/>
      </w:rPr>
    </w:lvl>
    <w:lvl w:ilvl="6" w:tplc="8E1C3F22">
      <w:numFmt w:val="bullet"/>
      <w:lvlText w:val="•"/>
      <w:lvlJc w:val="left"/>
      <w:pPr>
        <w:ind w:left="6243" w:hanging="720"/>
      </w:pPr>
      <w:rPr>
        <w:rFonts w:hint="default"/>
      </w:rPr>
    </w:lvl>
    <w:lvl w:ilvl="7" w:tplc="86086380">
      <w:numFmt w:val="bullet"/>
      <w:lvlText w:val="•"/>
      <w:lvlJc w:val="left"/>
      <w:pPr>
        <w:ind w:left="7084" w:hanging="720"/>
      </w:pPr>
      <w:rPr>
        <w:rFonts w:hint="default"/>
      </w:rPr>
    </w:lvl>
    <w:lvl w:ilvl="8" w:tplc="79A8A248">
      <w:numFmt w:val="bullet"/>
      <w:lvlText w:val="•"/>
      <w:lvlJc w:val="left"/>
      <w:pPr>
        <w:ind w:left="7925" w:hanging="720"/>
      </w:pPr>
      <w:rPr>
        <w:rFonts w:hint="default"/>
      </w:rPr>
    </w:lvl>
  </w:abstractNum>
  <w:abstractNum w:abstractNumId="222" w15:restartNumberingAfterBreak="0">
    <w:nsid w:val="315A7D01"/>
    <w:multiLevelType w:val="hybridMultilevel"/>
    <w:tmpl w:val="CA025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3" w15:restartNumberingAfterBreak="0">
    <w:nsid w:val="31641067"/>
    <w:multiLevelType w:val="hybridMultilevel"/>
    <w:tmpl w:val="C6484E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4" w15:restartNumberingAfterBreak="0">
    <w:nsid w:val="31901F27"/>
    <w:multiLevelType w:val="hybridMultilevel"/>
    <w:tmpl w:val="A846290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5" w15:restartNumberingAfterBreak="0">
    <w:nsid w:val="31A11A2E"/>
    <w:multiLevelType w:val="multilevel"/>
    <w:tmpl w:val="D526A2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6" w15:restartNumberingAfterBreak="0">
    <w:nsid w:val="31EE24EF"/>
    <w:multiLevelType w:val="hybridMultilevel"/>
    <w:tmpl w:val="2228D532"/>
    <w:lvl w:ilvl="0" w:tplc="9AE83C4E">
      <w:start w:val="1"/>
      <w:numFmt w:val="lowerRoman"/>
      <w:lvlText w:val="%1."/>
      <w:lvlJc w:val="left"/>
      <w:pPr>
        <w:ind w:left="1200" w:hanging="720"/>
      </w:pPr>
      <w:rPr>
        <w:rFonts w:ascii="Calibri" w:eastAsia="Calibri" w:hAnsi="Calibri" w:cs="Calibri" w:hint="default"/>
        <w:spacing w:val="-1"/>
        <w:w w:val="100"/>
        <w:sz w:val="22"/>
        <w:szCs w:val="22"/>
      </w:rPr>
    </w:lvl>
    <w:lvl w:ilvl="1" w:tplc="E74AC730">
      <w:numFmt w:val="bullet"/>
      <w:lvlText w:val="•"/>
      <w:lvlJc w:val="left"/>
      <w:pPr>
        <w:ind w:left="2040" w:hanging="720"/>
      </w:pPr>
      <w:rPr>
        <w:rFonts w:hint="default"/>
      </w:rPr>
    </w:lvl>
    <w:lvl w:ilvl="2" w:tplc="28269DD2">
      <w:numFmt w:val="bullet"/>
      <w:lvlText w:val="•"/>
      <w:lvlJc w:val="left"/>
      <w:pPr>
        <w:ind w:left="2881" w:hanging="720"/>
      </w:pPr>
      <w:rPr>
        <w:rFonts w:hint="default"/>
      </w:rPr>
    </w:lvl>
    <w:lvl w:ilvl="3" w:tplc="265AD2AA">
      <w:numFmt w:val="bullet"/>
      <w:lvlText w:val="•"/>
      <w:lvlJc w:val="left"/>
      <w:pPr>
        <w:ind w:left="3721" w:hanging="720"/>
      </w:pPr>
      <w:rPr>
        <w:rFonts w:hint="default"/>
      </w:rPr>
    </w:lvl>
    <w:lvl w:ilvl="4" w:tplc="56A8FCD4">
      <w:numFmt w:val="bullet"/>
      <w:lvlText w:val="•"/>
      <w:lvlJc w:val="left"/>
      <w:pPr>
        <w:ind w:left="4562" w:hanging="720"/>
      </w:pPr>
      <w:rPr>
        <w:rFonts w:hint="default"/>
      </w:rPr>
    </w:lvl>
    <w:lvl w:ilvl="5" w:tplc="07D2797C">
      <w:numFmt w:val="bullet"/>
      <w:lvlText w:val="•"/>
      <w:lvlJc w:val="left"/>
      <w:pPr>
        <w:ind w:left="5403" w:hanging="720"/>
      </w:pPr>
      <w:rPr>
        <w:rFonts w:hint="default"/>
      </w:rPr>
    </w:lvl>
    <w:lvl w:ilvl="6" w:tplc="2996DC94">
      <w:numFmt w:val="bullet"/>
      <w:lvlText w:val="•"/>
      <w:lvlJc w:val="left"/>
      <w:pPr>
        <w:ind w:left="6243" w:hanging="720"/>
      </w:pPr>
      <w:rPr>
        <w:rFonts w:hint="default"/>
      </w:rPr>
    </w:lvl>
    <w:lvl w:ilvl="7" w:tplc="B80E90B6">
      <w:numFmt w:val="bullet"/>
      <w:lvlText w:val="•"/>
      <w:lvlJc w:val="left"/>
      <w:pPr>
        <w:ind w:left="7084" w:hanging="720"/>
      </w:pPr>
      <w:rPr>
        <w:rFonts w:hint="default"/>
      </w:rPr>
    </w:lvl>
    <w:lvl w:ilvl="8" w:tplc="3E9A1E60">
      <w:numFmt w:val="bullet"/>
      <w:lvlText w:val="•"/>
      <w:lvlJc w:val="left"/>
      <w:pPr>
        <w:ind w:left="7925" w:hanging="720"/>
      </w:pPr>
      <w:rPr>
        <w:rFonts w:hint="default"/>
      </w:rPr>
    </w:lvl>
  </w:abstractNum>
  <w:abstractNum w:abstractNumId="227" w15:restartNumberingAfterBreak="0">
    <w:nsid w:val="3202353E"/>
    <w:multiLevelType w:val="hybridMultilevel"/>
    <w:tmpl w:val="9C40D882"/>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28" w15:restartNumberingAfterBreak="0">
    <w:nsid w:val="32397C66"/>
    <w:multiLevelType w:val="hybridMultilevel"/>
    <w:tmpl w:val="6E66C11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9" w15:restartNumberingAfterBreak="0">
    <w:nsid w:val="32616E3D"/>
    <w:multiLevelType w:val="hybridMultilevel"/>
    <w:tmpl w:val="E2A8DC70"/>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0" w15:restartNumberingAfterBreak="0">
    <w:nsid w:val="32A635B7"/>
    <w:multiLevelType w:val="hybridMultilevel"/>
    <w:tmpl w:val="714AA3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1" w15:restartNumberingAfterBreak="0">
    <w:nsid w:val="32BB5CD6"/>
    <w:multiLevelType w:val="hybridMultilevel"/>
    <w:tmpl w:val="83BA0066"/>
    <w:lvl w:ilvl="0" w:tplc="C17A0ECE">
      <w:numFmt w:val="bullet"/>
      <w:lvlText w:val=""/>
      <w:lvlJc w:val="left"/>
      <w:pPr>
        <w:ind w:left="822" w:hanging="360"/>
      </w:pPr>
      <w:rPr>
        <w:rFonts w:ascii="Symbol" w:eastAsia="Symbol" w:hAnsi="Symbol" w:cs="Symbol" w:hint="default"/>
        <w:w w:val="100"/>
        <w:sz w:val="24"/>
        <w:szCs w:val="24"/>
      </w:rPr>
    </w:lvl>
    <w:lvl w:ilvl="1" w:tplc="7AF22D66">
      <w:numFmt w:val="bullet"/>
      <w:lvlText w:val="•"/>
      <w:lvlJc w:val="left"/>
      <w:pPr>
        <w:ind w:left="1384" w:hanging="360"/>
      </w:pPr>
      <w:rPr>
        <w:rFonts w:hint="default"/>
      </w:rPr>
    </w:lvl>
    <w:lvl w:ilvl="2" w:tplc="EBA6C37A">
      <w:numFmt w:val="bullet"/>
      <w:lvlText w:val="•"/>
      <w:lvlJc w:val="left"/>
      <w:pPr>
        <w:ind w:left="1948" w:hanging="360"/>
      </w:pPr>
      <w:rPr>
        <w:rFonts w:hint="default"/>
      </w:rPr>
    </w:lvl>
    <w:lvl w:ilvl="3" w:tplc="A20067E8">
      <w:numFmt w:val="bullet"/>
      <w:lvlText w:val="•"/>
      <w:lvlJc w:val="left"/>
      <w:pPr>
        <w:ind w:left="2512" w:hanging="360"/>
      </w:pPr>
      <w:rPr>
        <w:rFonts w:hint="default"/>
      </w:rPr>
    </w:lvl>
    <w:lvl w:ilvl="4" w:tplc="867CC84C">
      <w:numFmt w:val="bullet"/>
      <w:lvlText w:val="•"/>
      <w:lvlJc w:val="left"/>
      <w:pPr>
        <w:ind w:left="3076" w:hanging="360"/>
      </w:pPr>
      <w:rPr>
        <w:rFonts w:hint="default"/>
      </w:rPr>
    </w:lvl>
    <w:lvl w:ilvl="5" w:tplc="B7DC0A90">
      <w:numFmt w:val="bullet"/>
      <w:lvlText w:val="•"/>
      <w:lvlJc w:val="left"/>
      <w:pPr>
        <w:ind w:left="3640" w:hanging="360"/>
      </w:pPr>
      <w:rPr>
        <w:rFonts w:hint="default"/>
      </w:rPr>
    </w:lvl>
    <w:lvl w:ilvl="6" w:tplc="A17487C8">
      <w:numFmt w:val="bullet"/>
      <w:lvlText w:val="•"/>
      <w:lvlJc w:val="left"/>
      <w:pPr>
        <w:ind w:left="4204" w:hanging="360"/>
      </w:pPr>
      <w:rPr>
        <w:rFonts w:hint="default"/>
      </w:rPr>
    </w:lvl>
    <w:lvl w:ilvl="7" w:tplc="AD2279EC">
      <w:numFmt w:val="bullet"/>
      <w:lvlText w:val="•"/>
      <w:lvlJc w:val="left"/>
      <w:pPr>
        <w:ind w:left="4769" w:hanging="360"/>
      </w:pPr>
      <w:rPr>
        <w:rFonts w:hint="default"/>
      </w:rPr>
    </w:lvl>
    <w:lvl w:ilvl="8" w:tplc="E9669414">
      <w:numFmt w:val="bullet"/>
      <w:lvlText w:val="•"/>
      <w:lvlJc w:val="left"/>
      <w:pPr>
        <w:ind w:left="5333" w:hanging="360"/>
      </w:pPr>
      <w:rPr>
        <w:rFonts w:hint="default"/>
      </w:rPr>
    </w:lvl>
  </w:abstractNum>
  <w:abstractNum w:abstractNumId="232" w15:restartNumberingAfterBreak="0">
    <w:nsid w:val="32D70FFE"/>
    <w:multiLevelType w:val="hybridMultilevel"/>
    <w:tmpl w:val="50506376"/>
    <w:lvl w:ilvl="0" w:tplc="36920676">
      <w:numFmt w:val="bullet"/>
      <w:lvlText w:val=""/>
      <w:lvlJc w:val="left"/>
      <w:pPr>
        <w:ind w:left="515" w:hanging="286"/>
      </w:pPr>
      <w:rPr>
        <w:rFonts w:ascii="Symbol" w:eastAsia="Symbol" w:hAnsi="Symbol" w:cs="Symbol" w:hint="default"/>
        <w:b w:val="0"/>
        <w:bCs w:val="0"/>
        <w:i w:val="0"/>
        <w:iCs w:val="0"/>
        <w:spacing w:val="0"/>
        <w:w w:val="100"/>
        <w:sz w:val="22"/>
        <w:szCs w:val="22"/>
        <w:lang w:val="en-US" w:eastAsia="en-US" w:bidi="ar-SA"/>
      </w:rPr>
    </w:lvl>
    <w:lvl w:ilvl="1" w:tplc="4FA27226">
      <w:numFmt w:val="bullet"/>
      <w:lvlText w:val="•"/>
      <w:lvlJc w:val="left"/>
      <w:pPr>
        <w:ind w:left="1127" w:hanging="286"/>
      </w:pPr>
      <w:rPr>
        <w:rFonts w:hint="default"/>
        <w:lang w:val="en-US" w:eastAsia="en-US" w:bidi="ar-SA"/>
      </w:rPr>
    </w:lvl>
    <w:lvl w:ilvl="2" w:tplc="9692E5AA">
      <w:numFmt w:val="bullet"/>
      <w:lvlText w:val="•"/>
      <w:lvlJc w:val="left"/>
      <w:pPr>
        <w:ind w:left="1735" w:hanging="286"/>
      </w:pPr>
      <w:rPr>
        <w:rFonts w:hint="default"/>
        <w:lang w:val="en-US" w:eastAsia="en-US" w:bidi="ar-SA"/>
      </w:rPr>
    </w:lvl>
    <w:lvl w:ilvl="3" w:tplc="561E5424">
      <w:numFmt w:val="bullet"/>
      <w:lvlText w:val="•"/>
      <w:lvlJc w:val="left"/>
      <w:pPr>
        <w:ind w:left="2342" w:hanging="286"/>
      </w:pPr>
      <w:rPr>
        <w:rFonts w:hint="default"/>
        <w:lang w:val="en-US" w:eastAsia="en-US" w:bidi="ar-SA"/>
      </w:rPr>
    </w:lvl>
    <w:lvl w:ilvl="4" w:tplc="7C52EB26">
      <w:numFmt w:val="bullet"/>
      <w:lvlText w:val="•"/>
      <w:lvlJc w:val="left"/>
      <w:pPr>
        <w:ind w:left="2950" w:hanging="286"/>
      </w:pPr>
      <w:rPr>
        <w:rFonts w:hint="default"/>
        <w:lang w:val="en-US" w:eastAsia="en-US" w:bidi="ar-SA"/>
      </w:rPr>
    </w:lvl>
    <w:lvl w:ilvl="5" w:tplc="BC2ED344">
      <w:numFmt w:val="bullet"/>
      <w:lvlText w:val="•"/>
      <w:lvlJc w:val="left"/>
      <w:pPr>
        <w:ind w:left="3558" w:hanging="286"/>
      </w:pPr>
      <w:rPr>
        <w:rFonts w:hint="default"/>
        <w:lang w:val="en-US" w:eastAsia="en-US" w:bidi="ar-SA"/>
      </w:rPr>
    </w:lvl>
    <w:lvl w:ilvl="6" w:tplc="77E6323E">
      <w:numFmt w:val="bullet"/>
      <w:lvlText w:val="•"/>
      <w:lvlJc w:val="left"/>
      <w:pPr>
        <w:ind w:left="4165" w:hanging="286"/>
      </w:pPr>
      <w:rPr>
        <w:rFonts w:hint="default"/>
        <w:lang w:val="en-US" w:eastAsia="en-US" w:bidi="ar-SA"/>
      </w:rPr>
    </w:lvl>
    <w:lvl w:ilvl="7" w:tplc="D60C1F4A">
      <w:numFmt w:val="bullet"/>
      <w:lvlText w:val="•"/>
      <w:lvlJc w:val="left"/>
      <w:pPr>
        <w:ind w:left="4773" w:hanging="286"/>
      </w:pPr>
      <w:rPr>
        <w:rFonts w:hint="default"/>
        <w:lang w:val="en-US" w:eastAsia="en-US" w:bidi="ar-SA"/>
      </w:rPr>
    </w:lvl>
    <w:lvl w:ilvl="8" w:tplc="CB400AD6">
      <w:numFmt w:val="bullet"/>
      <w:lvlText w:val="•"/>
      <w:lvlJc w:val="left"/>
      <w:pPr>
        <w:ind w:left="5380" w:hanging="286"/>
      </w:pPr>
      <w:rPr>
        <w:rFonts w:hint="default"/>
        <w:lang w:val="en-US" w:eastAsia="en-US" w:bidi="ar-SA"/>
      </w:rPr>
    </w:lvl>
  </w:abstractNum>
  <w:abstractNum w:abstractNumId="233" w15:restartNumberingAfterBreak="0">
    <w:nsid w:val="32E00317"/>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234" w15:restartNumberingAfterBreak="0">
    <w:nsid w:val="32E121C0"/>
    <w:multiLevelType w:val="hybridMultilevel"/>
    <w:tmpl w:val="961AE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32F224BF"/>
    <w:multiLevelType w:val="hybridMultilevel"/>
    <w:tmpl w:val="928A63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6" w15:restartNumberingAfterBreak="0">
    <w:nsid w:val="3353458D"/>
    <w:multiLevelType w:val="multilevel"/>
    <w:tmpl w:val="0E96E9C8"/>
    <w:lvl w:ilvl="0">
      <w:start w:val="1"/>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237" w15:restartNumberingAfterBreak="0">
    <w:nsid w:val="33A90CAE"/>
    <w:multiLevelType w:val="hybridMultilevel"/>
    <w:tmpl w:val="2EAC0D12"/>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8" w15:restartNumberingAfterBreak="0">
    <w:nsid w:val="33B27985"/>
    <w:multiLevelType w:val="hybridMultilevel"/>
    <w:tmpl w:val="6AD02B00"/>
    <w:lvl w:ilvl="0" w:tplc="03D4385A">
      <w:numFmt w:val="bullet"/>
      <w:lvlText w:val="•"/>
      <w:lvlJc w:val="left"/>
      <w:pPr>
        <w:ind w:left="403" w:hanging="284"/>
      </w:pPr>
      <w:rPr>
        <w:rFonts w:ascii="Calibri" w:eastAsia="Calibri" w:hAnsi="Calibri" w:cs="Calibri" w:hint="default"/>
        <w:w w:val="100"/>
        <w:sz w:val="22"/>
        <w:szCs w:val="22"/>
        <w:lang w:val="en-AU" w:eastAsia="en-AU" w:bidi="en-AU"/>
      </w:rPr>
    </w:lvl>
    <w:lvl w:ilvl="1" w:tplc="66D46AA8">
      <w:numFmt w:val="bullet"/>
      <w:lvlText w:val=""/>
      <w:lvlJc w:val="left"/>
      <w:pPr>
        <w:ind w:left="840" w:hanging="360"/>
      </w:pPr>
      <w:rPr>
        <w:rFonts w:ascii="Symbol" w:eastAsia="Symbol" w:hAnsi="Symbol" w:cs="Symbol" w:hint="default"/>
        <w:w w:val="100"/>
        <w:sz w:val="22"/>
        <w:szCs w:val="22"/>
        <w:lang w:val="en-AU" w:eastAsia="en-AU" w:bidi="en-AU"/>
      </w:rPr>
    </w:lvl>
    <w:lvl w:ilvl="2" w:tplc="17AA3504">
      <w:numFmt w:val="bullet"/>
      <w:lvlText w:val="•"/>
      <w:lvlJc w:val="left"/>
      <w:pPr>
        <w:ind w:left="1814" w:hanging="360"/>
      </w:pPr>
      <w:rPr>
        <w:rFonts w:hint="default"/>
        <w:lang w:val="en-AU" w:eastAsia="en-AU" w:bidi="en-AU"/>
      </w:rPr>
    </w:lvl>
    <w:lvl w:ilvl="3" w:tplc="6AD4C8C8">
      <w:numFmt w:val="bullet"/>
      <w:lvlText w:val="•"/>
      <w:lvlJc w:val="left"/>
      <w:pPr>
        <w:ind w:left="2788" w:hanging="360"/>
      </w:pPr>
      <w:rPr>
        <w:rFonts w:hint="default"/>
        <w:lang w:val="en-AU" w:eastAsia="en-AU" w:bidi="en-AU"/>
      </w:rPr>
    </w:lvl>
    <w:lvl w:ilvl="4" w:tplc="2626C444">
      <w:numFmt w:val="bullet"/>
      <w:lvlText w:val="•"/>
      <w:lvlJc w:val="left"/>
      <w:pPr>
        <w:ind w:left="3762" w:hanging="360"/>
      </w:pPr>
      <w:rPr>
        <w:rFonts w:hint="default"/>
        <w:lang w:val="en-AU" w:eastAsia="en-AU" w:bidi="en-AU"/>
      </w:rPr>
    </w:lvl>
    <w:lvl w:ilvl="5" w:tplc="0BFE4A26">
      <w:numFmt w:val="bullet"/>
      <w:lvlText w:val="•"/>
      <w:lvlJc w:val="left"/>
      <w:pPr>
        <w:ind w:left="4736" w:hanging="360"/>
      </w:pPr>
      <w:rPr>
        <w:rFonts w:hint="default"/>
        <w:lang w:val="en-AU" w:eastAsia="en-AU" w:bidi="en-AU"/>
      </w:rPr>
    </w:lvl>
    <w:lvl w:ilvl="6" w:tplc="0626533E">
      <w:numFmt w:val="bullet"/>
      <w:lvlText w:val="•"/>
      <w:lvlJc w:val="left"/>
      <w:pPr>
        <w:ind w:left="5710" w:hanging="360"/>
      </w:pPr>
      <w:rPr>
        <w:rFonts w:hint="default"/>
        <w:lang w:val="en-AU" w:eastAsia="en-AU" w:bidi="en-AU"/>
      </w:rPr>
    </w:lvl>
    <w:lvl w:ilvl="7" w:tplc="C12E8E04">
      <w:numFmt w:val="bullet"/>
      <w:lvlText w:val="•"/>
      <w:lvlJc w:val="left"/>
      <w:pPr>
        <w:ind w:left="6684" w:hanging="360"/>
      </w:pPr>
      <w:rPr>
        <w:rFonts w:hint="default"/>
        <w:lang w:val="en-AU" w:eastAsia="en-AU" w:bidi="en-AU"/>
      </w:rPr>
    </w:lvl>
    <w:lvl w:ilvl="8" w:tplc="B4C801DC">
      <w:numFmt w:val="bullet"/>
      <w:lvlText w:val="•"/>
      <w:lvlJc w:val="left"/>
      <w:pPr>
        <w:ind w:left="7658" w:hanging="360"/>
      </w:pPr>
      <w:rPr>
        <w:rFonts w:hint="default"/>
        <w:lang w:val="en-AU" w:eastAsia="en-AU" w:bidi="en-AU"/>
      </w:rPr>
    </w:lvl>
  </w:abstractNum>
  <w:abstractNum w:abstractNumId="239" w15:restartNumberingAfterBreak="0">
    <w:nsid w:val="33D359AE"/>
    <w:multiLevelType w:val="hybridMultilevel"/>
    <w:tmpl w:val="492C81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0" w15:restartNumberingAfterBreak="0">
    <w:nsid w:val="33ED3772"/>
    <w:multiLevelType w:val="multilevel"/>
    <w:tmpl w:val="177A1206"/>
    <w:numStyleLink w:val="Style4"/>
  </w:abstractNum>
  <w:abstractNum w:abstractNumId="241" w15:restartNumberingAfterBreak="0">
    <w:nsid w:val="341F5846"/>
    <w:multiLevelType w:val="hybridMultilevel"/>
    <w:tmpl w:val="831EB7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2" w15:restartNumberingAfterBreak="0">
    <w:nsid w:val="342E0E90"/>
    <w:multiLevelType w:val="hybridMultilevel"/>
    <w:tmpl w:val="DE24A7EA"/>
    <w:lvl w:ilvl="0" w:tplc="0C090001">
      <w:start w:val="1"/>
      <w:numFmt w:val="bullet"/>
      <w:lvlText w:val=""/>
      <w:lvlJc w:val="left"/>
      <w:pPr>
        <w:ind w:left="720" w:hanging="360"/>
      </w:pPr>
      <w:rPr>
        <w:rFonts w:ascii="Symbol" w:hAnsi="Symbol" w:hint="default"/>
      </w:rPr>
    </w:lvl>
    <w:lvl w:ilvl="1" w:tplc="5A144258">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3" w15:restartNumberingAfterBreak="0">
    <w:nsid w:val="34392C03"/>
    <w:multiLevelType w:val="multilevel"/>
    <w:tmpl w:val="3A867160"/>
    <w:lvl w:ilvl="0">
      <w:start w:val="2"/>
      <w:numFmt w:val="decimal"/>
      <w:lvlText w:val="P%1"/>
      <w:lvlJc w:val="left"/>
      <w:pPr>
        <w:ind w:left="360" w:hanging="360"/>
      </w:pPr>
      <w:rPr>
        <w:rFonts w:ascii="Avenir LT 85 Heavy" w:hAnsi="Avenir LT 85 Heavy" w:hint="default"/>
        <w:sz w:val="20"/>
      </w:rPr>
    </w:lvl>
    <w:lvl w:ilvl="1">
      <w:start w:val="1"/>
      <w:numFmt w:val="lowerLetter"/>
      <w:lvlText w:val="%2)"/>
      <w:lvlJc w:val="left"/>
      <w:pPr>
        <w:ind w:left="720" w:hanging="360"/>
      </w:pPr>
      <w:rPr>
        <w:rFonts w:ascii="Avenir LT 45 Book" w:hAnsi="Avenir LT 45 Book" w:hint="default"/>
        <w:sz w:val="2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4" w15:restartNumberingAfterBreak="0">
    <w:nsid w:val="344207C8"/>
    <w:multiLevelType w:val="hybridMultilevel"/>
    <w:tmpl w:val="753CFF16"/>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5" w15:restartNumberingAfterBreak="0">
    <w:nsid w:val="35387497"/>
    <w:multiLevelType w:val="multilevel"/>
    <w:tmpl w:val="2C2877AE"/>
    <w:lvl w:ilvl="0">
      <w:start w:val="1"/>
      <w:numFmt w:val="lowerRoman"/>
      <w:lvlText w:val="%1."/>
      <w:lvlJc w:val="right"/>
      <w:pPr>
        <w:ind w:left="720" w:hanging="363"/>
      </w:pPr>
      <w:rPr>
        <w:rFonts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246" w15:restartNumberingAfterBreak="0">
    <w:nsid w:val="35FB1570"/>
    <w:multiLevelType w:val="hybridMultilevel"/>
    <w:tmpl w:val="3BC2D7D6"/>
    <w:lvl w:ilvl="0" w:tplc="0C09000F">
      <w:start w:val="1"/>
      <w:numFmt w:val="decimal"/>
      <w:lvlText w:val="%1."/>
      <w:lvlJc w:val="left"/>
      <w:pPr>
        <w:ind w:left="1571" w:hanging="360"/>
      </w:p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247" w15:restartNumberingAfterBreak="0">
    <w:nsid w:val="35FE1B7F"/>
    <w:multiLevelType w:val="hybridMultilevel"/>
    <w:tmpl w:val="2384CE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8" w15:restartNumberingAfterBreak="0">
    <w:nsid w:val="36505913"/>
    <w:multiLevelType w:val="multilevel"/>
    <w:tmpl w:val="177A1206"/>
    <w:numStyleLink w:val="Style4"/>
  </w:abstractNum>
  <w:abstractNum w:abstractNumId="249" w15:restartNumberingAfterBreak="0">
    <w:nsid w:val="36B878C6"/>
    <w:multiLevelType w:val="multilevel"/>
    <w:tmpl w:val="498A8D5C"/>
    <w:lvl w:ilvl="0">
      <w:start w:val="4"/>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250" w15:restartNumberingAfterBreak="0">
    <w:nsid w:val="36C84D08"/>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251" w15:restartNumberingAfterBreak="0">
    <w:nsid w:val="370A3511"/>
    <w:multiLevelType w:val="hybridMultilevel"/>
    <w:tmpl w:val="3CA28502"/>
    <w:lvl w:ilvl="0" w:tplc="36000826">
      <w:start w:val="1"/>
      <w:numFmt w:val="decimal"/>
      <w:lvlText w:val="%1."/>
      <w:lvlJc w:val="left"/>
      <w:pPr>
        <w:ind w:left="820" w:hanging="360"/>
      </w:pPr>
      <w:rPr>
        <w:rFonts w:ascii="Calibri" w:eastAsia="Calibri" w:hAnsi="Calibri" w:cs="Calibri" w:hint="default"/>
        <w:b w:val="0"/>
        <w:bCs w:val="0"/>
        <w:i w:val="0"/>
        <w:iCs w:val="0"/>
        <w:spacing w:val="0"/>
        <w:w w:val="100"/>
        <w:sz w:val="22"/>
        <w:szCs w:val="22"/>
        <w:lang w:val="en-US" w:eastAsia="en-US" w:bidi="ar-SA"/>
      </w:rPr>
    </w:lvl>
    <w:lvl w:ilvl="1" w:tplc="E0000308">
      <w:start w:val="1"/>
      <w:numFmt w:val="lowerLetter"/>
      <w:lvlText w:val="(%2)"/>
      <w:lvlJc w:val="left"/>
      <w:pPr>
        <w:ind w:left="1180" w:hanging="360"/>
      </w:pPr>
      <w:rPr>
        <w:rFonts w:ascii="Calibri" w:eastAsia="Calibri" w:hAnsi="Calibri" w:cs="Calibri" w:hint="default"/>
        <w:b w:val="0"/>
        <w:bCs w:val="0"/>
        <w:i w:val="0"/>
        <w:iCs w:val="0"/>
        <w:spacing w:val="-3"/>
        <w:w w:val="100"/>
        <w:sz w:val="22"/>
        <w:szCs w:val="22"/>
        <w:lang w:val="en-US" w:eastAsia="en-US" w:bidi="ar-SA"/>
      </w:rPr>
    </w:lvl>
    <w:lvl w:ilvl="2" w:tplc="CBBA166C">
      <w:numFmt w:val="bullet"/>
      <w:lvlText w:val="•"/>
      <w:lvlJc w:val="left"/>
      <w:pPr>
        <w:ind w:left="2112" w:hanging="360"/>
      </w:pPr>
      <w:rPr>
        <w:rFonts w:hint="default"/>
        <w:lang w:val="en-US" w:eastAsia="en-US" w:bidi="ar-SA"/>
      </w:rPr>
    </w:lvl>
    <w:lvl w:ilvl="3" w:tplc="9FB8D4A4">
      <w:numFmt w:val="bullet"/>
      <w:lvlText w:val="•"/>
      <w:lvlJc w:val="left"/>
      <w:pPr>
        <w:ind w:left="3044" w:hanging="360"/>
      </w:pPr>
      <w:rPr>
        <w:rFonts w:hint="default"/>
        <w:lang w:val="en-US" w:eastAsia="en-US" w:bidi="ar-SA"/>
      </w:rPr>
    </w:lvl>
    <w:lvl w:ilvl="4" w:tplc="37E82266">
      <w:numFmt w:val="bullet"/>
      <w:lvlText w:val="•"/>
      <w:lvlJc w:val="left"/>
      <w:pPr>
        <w:ind w:left="3977" w:hanging="360"/>
      </w:pPr>
      <w:rPr>
        <w:rFonts w:hint="default"/>
        <w:lang w:val="en-US" w:eastAsia="en-US" w:bidi="ar-SA"/>
      </w:rPr>
    </w:lvl>
    <w:lvl w:ilvl="5" w:tplc="087AA8A6">
      <w:numFmt w:val="bullet"/>
      <w:lvlText w:val="•"/>
      <w:lvlJc w:val="left"/>
      <w:pPr>
        <w:ind w:left="4909" w:hanging="360"/>
      </w:pPr>
      <w:rPr>
        <w:rFonts w:hint="default"/>
        <w:lang w:val="en-US" w:eastAsia="en-US" w:bidi="ar-SA"/>
      </w:rPr>
    </w:lvl>
    <w:lvl w:ilvl="6" w:tplc="630417A6">
      <w:numFmt w:val="bullet"/>
      <w:lvlText w:val="•"/>
      <w:lvlJc w:val="left"/>
      <w:pPr>
        <w:ind w:left="5841" w:hanging="360"/>
      </w:pPr>
      <w:rPr>
        <w:rFonts w:hint="default"/>
        <w:lang w:val="en-US" w:eastAsia="en-US" w:bidi="ar-SA"/>
      </w:rPr>
    </w:lvl>
    <w:lvl w:ilvl="7" w:tplc="BC06BCE2">
      <w:numFmt w:val="bullet"/>
      <w:lvlText w:val="•"/>
      <w:lvlJc w:val="left"/>
      <w:pPr>
        <w:ind w:left="6774" w:hanging="360"/>
      </w:pPr>
      <w:rPr>
        <w:rFonts w:hint="default"/>
        <w:lang w:val="en-US" w:eastAsia="en-US" w:bidi="ar-SA"/>
      </w:rPr>
    </w:lvl>
    <w:lvl w:ilvl="8" w:tplc="C806222E">
      <w:numFmt w:val="bullet"/>
      <w:lvlText w:val="•"/>
      <w:lvlJc w:val="left"/>
      <w:pPr>
        <w:ind w:left="7706" w:hanging="360"/>
      </w:pPr>
      <w:rPr>
        <w:rFonts w:hint="default"/>
        <w:lang w:val="en-US" w:eastAsia="en-US" w:bidi="ar-SA"/>
      </w:rPr>
    </w:lvl>
  </w:abstractNum>
  <w:abstractNum w:abstractNumId="252" w15:restartNumberingAfterBreak="0">
    <w:nsid w:val="372C5C02"/>
    <w:multiLevelType w:val="multilevel"/>
    <w:tmpl w:val="82DA5DDE"/>
    <w:styleLink w:val="Style7"/>
    <w:lvl w:ilvl="0">
      <w:start w:val="1"/>
      <w:numFmt w:val="decimal"/>
      <w:lvlText w:val="A%1.2"/>
      <w:lvlJc w:val="left"/>
      <w:pPr>
        <w:ind w:left="930" w:hanging="363"/>
      </w:pPr>
      <w:rPr>
        <w:rFonts w:ascii="Avenir LT 85 Heavy" w:hAnsi="Avenir LT 85 Heavy" w:hint="default"/>
        <w:color w:val="auto"/>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253" w15:restartNumberingAfterBreak="0">
    <w:nsid w:val="373B06D8"/>
    <w:multiLevelType w:val="hybridMultilevel"/>
    <w:tmpl w:val="90D0FC32"/>
    <w:lvl w:ilvl="0" w:tplc="FE52F106">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4" w15:restartNumberingAfterBreak="0">
    <w:nsid w:val="375911D5"/>
    <w:multiLevelType w:val="hybridMultilevel"/>
    <w:tmpl w:val="BDE0C0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5" w15:restartNumberingAfterBreak="0">
    <w:nsid w:val="382402B0"/>
    <w:multiLevelType w:val="multilevel"/>
    <w:tmpl w:val="2076AB90"/>
    <w:numStyleLink w:val="Style2"/>
  </w:abstractNum>
  <w:abstractNum w:abstractNumId="256" w15:restartNumberingAfterBreak="0">
    <w:nsid w:val="384145DF"/>
    <w:multiLevelType w:val="hybridMultilevel"/>
    <w:tmpl w:val="6DCA7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7" w15:restartNumberingAfterBreak="0">
    <w:nsid w:val="38721C35"/>
    <w:multiLevelType w:val="hybridMultilevel"/>
    <w:tmpl w:val="72DE1248"/>
    <w:lvl w:ilvl="0" w:tplc="0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8" w15:restartNumberingAfterBreak="0">
    <w:nsid w:val="387B0F93"/>
    <w:multiLevelType w:val="hybridMultilevel"/>
    <w:tmpl w:val="BDC85180"/>
    <w:lvl w:ilvl="0" w:tplc="034E2860">
      <w:start w:val="1"/>
      <w:numFmt w:val="decimal"/>
      <w:lvlText w:val="%1."/>
      <w:lvlJc w:val="left"/>
      <w:pPr>
        <w:ind w:left="946" w:hanging="720"/>
      </w:pPr>
      <w:rPr>
        <w:rFonts w:asciiTheme="minorHAnsi" w:eastAsia="Arial" w:hAnsiTheme="minorHAnsi" w:cstheme="minorHAnsi" w:hint="default"/>
        <w:b w:val="0"/>
        <w:bCs w:val="0"/>
        <w:i w:val="0"/>
        <w:iCs w:val="0"/>
        <w:w w:val="100"/>
        <w:sz w:val="22"/>
        <w:szCs w:val="22"/>
        <w:lang w:val="en-US" w:eastAsia="en-US" w:bidi="ar-SA"/>
      </w:rPr>
    </w:lvl>
    <w:lvl w:ilvl="1" w:tplc="2CBE01AE">
      <w:numFmt w:val="bullet"/>
      <w:lvlText w:val="•"/>
      <w:lvlJc w:val="left"/>
      <w:pPr>
        <w:ind w:left="1961" w:hanging="720"/>
      </w:pPr>
      <w:rPr>
        <w:rFonts w:hint="default"/>
        <w:lang w:val="en-US" w:eastAsia="en-US" w:bidi="ar-SA"/>
      </w:rPr>
    </w:lvl>
    <w:lvl w:ilvl="2" w:tplc="ABAEC398">
      <w:numFmt w:val="bullet"/>
      <w:lvlText w:val="•"/>
      <w:lvlJc w:val="left"/>
      <w:pPr>
        <w:ind w:left="2983" w:hanging="720"/>
      </w:pPr>
      <w:rPr>
        <w:rFonts w:hint="default"/>
        <w:lang w:val="en-US" w:eastAsia="en-US" w:bidi="ar-SA"/>
      </w:rPr>
    </w:lvl>
    <w:lvl w:ilvl="3" w:tplc="41B0531C">
      <w:numFmt w:val="bullet"/>
      <w:lvlText w:val="•"/>
      <w:lvlJc w:val="left"/>
      <w:pPr>
        <w:ind w:left="4005" w:hanging="720"/>
      </w:pPr>
      <w:rPr>
        <w:rFonts w:hint="default"/>
        <w:lang w:val="en-US" w:eastAsia="en-US" w:bidi="ar-SA"/>
      </w:rPr>
    </w:lvl>
    <w:lvl w:ilvl="4" w:tplc="D6D685BE">
      <w:numFmt w:val="bullet"/>
      <w:lvlText w:val="•"/>
      <w:lvlJc w:val="left"/>
      <w:pPr>
        <w:ind w:left="5027" w:hanging="720"/>
      </w:pPr>
      <w:rPr>
        <w:rFonts w:hint="default"/>
        <w:lang w:val="en-US" w:eastAsia="en-US" w:bidi="ar-SA"/>
      </w:rPr>
    </w:lvl>
    <w:lvl w:ilvl="5" w:tplc="2F94BC08">
      <w:numFmt w:val="bullet"/>
      <w:lvlText w:val="•"/>
      <w:lvlJc w:val="left"/>
      <w:pPr>
        <w:ind w:left="6049" w:hanging="720"/>
      </w:pPr>
      <w:rPr>
        <w:rFonts w:hint="default"/>
        <w:lang w:val="en-US" w:eastAsia="en-US" w:bidi="ar-SA"/>
      </w:rPr>
    </w:lvl>
    <w:lvl w:ilvl="6" w:tplc="F7168AF2">
      <w:numFmt w:val="bullet"/>
      <w:lvlText w:val="•"/>
      <w:lvlJc w:val="left"/>
      <w:pPr>
        <w:ind w:left="7071" w:hanging="720"/>
      </w:pPr>
      <w:rPr>
        <w:rFonts w:hint="default"/>
        <w:lang w:val="en-US" w:eastAsia="en-US" w:bidi="ar-SA"/>
      </w:rPr>
    </w:lvl>
    <w:lvl w:ilvl="7" w:tplc="CD5A6BD4">
      <w:numFmt w:val="bullet"/>
      <w:lvlText w:val="•"/>
      <w:lvlJc w:val="left"/>
      <w:pPr>
        <w:ind w:left="8093" w:hanging="720"/>
      </w:pPr>
      <w:rPr>
        <w:rFonts w:hint="default"/>
        <w:lang w:val="en-US" w:eastAsia="en-US" w:bidi="ar-SA"/>
      </w:rPr>
    </w:lvl>
    <w:lvl w:ilvl="8" w:tplc="0166E390">
      <w:numFmt w:val="bullet"/>
      <w:lvlText w:val="•"/>
      <w:lvlJc w:val="left"/>
      <w:pPr>
        <w:ind w:left="9115" w:hanging="720"/>
      </w:pPr>
      <w:rPr>
        <w:rFonts w:hint="default"/>
        <w:lang w:val="en-US" w:eastAsia="en-US" w:bidi="ar-SA"/>
      </w:rPr>
    </w:lvl>
  </w:abstractNum>
  <w:abstractNum w:abstractNumId="259" w15:restartNumberingAfterBreak="0">
    <w:nsid w:val="387D5CE6"/>
    <w:multiLevelType w:val="hybridMultilevel"/>
    <w:tmpl w:val="4CE688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0" w15:restartNumberingAfterBreak="0">
    <w:nsid w:val="387E02AB"/>
    <w:multiLevelType w:val="hybridMultilevel"/>
    <w:tmpl w:val="242AD146"/>
    <w:lvl w:ilvl="0" w:tplc="0C090001">
      <w:start w:val="1"/>
      <w:numFmt w:val="bullet"/>
      <w:lvlText w:val=""/>
      <w:lvlJc w:val="left"/>
      <w:pPr>
        <w:ind w:left="1636" w:hanging="360"/>
      </w:pPr>
      <w:rPr>
        <w:rFonts w:ascii="Symbol" w:hAnsi="Symbol" w:hint="default"/>
      </w:rPr>
    </w:lvl>
    <w:lvl w:ilvl="1" w:tplc="0C090003" w:tentative="1">
      <w:start w:val="1"/>
      <w:numFmt w:val="bullet"/>
      <w:lvlText w:val="o"/>
      <w:lvlJc w:val="left"/>
      <w:pPr>
        <w:ind w:left="2356" w:hanging="360"/>
      </w:pPr>
      <w:rPr>
        <w:rFonts w:ascii="Courier New" w:hAnsi="Courier New" w:cs="Courier New" w:hint="default"/>
      </w:rPr>
    </w:lvl>
    <w:lvl w:ilvl="2" w:tplc="0C090005" w:tentative="1">
      <w:start w:val="1"/>
      <w:numFmt w:val="bullet"/>
      <w:lvlText w:val=""/>
      <w:lvlJc w:val="left"/>
      <w:pPr>
        <w:ind w:left="3076" w:hanging="360"/>
      </w:pPr>
      <w:rPr>
        <w:rFonts w:ascii="Wingdings" w:hAnsi="Wingdings" w:hint="default"/>
      </w:rPr>
    </w:lvl>
    <w:lvl w:ilvl="3" w:tplc="0C090001" w:tentative="1">
      <w:start w:val="1"/>
      <w:numFmt w:val="bullet"/>
      <w:lvlText w:val=""/>
      <w:lvlJc w:val="left"/>
      <w:pPr>
        <w:ind w:left="3796" w:hanging="360"/>
      </w:pPr>
      <w:rPr>
        <w:rFonts w:ascii="Symbol" w:hAnsi="Symbol" w:hint="default"/>
      </w:rPr>
    </w:lvl>
    <w:lvl w:ilvl="4" w:tplc="0C090003" w:tentative="1">
      <w:start w:val="1"/>
      <w:numFmt w:val="bullet"/>
      <w:lvlText w:val="o"/>
      <w:lvlJc w:val="left"/>
      <w:pPr>
        <w:ind w:left="4516" w:hanging="360"/>
      </w:pPr>
      <w:rPr>
        <w:rFonts w:ascii="Courier New" w:hAnsi="Courier New" w:cs="Courier New" w:hint="default"/>
      </w:rPr>
    </w:lvl>
    <w:lvl w:ilvl="5" w:tplc="0C090005" w:tentative="1">
      <w:start w:val="1"/>
      <w:numFmt w:val="bullet"/>
      <w:lvlText w:val=""/>
      <w:lvlJc w:val="left"/>
      <w:pPr>
        <w:ind w:left="5236" w:hanging="360"/>
      </w:pPr>
      <w:rPr>
        <w:rFonts w:ascii="Wingdings" w:hAnsi="Wingdings" w:hint="default"/>
      </w:rPr>
    </w:lvl>
    <w:lvl w:ilvl="6" w:tplc="0C090001" w:tentative="1">
      <w:start w:val="1"/>
      <w:numFmt w:val="bullet"/>
      <w:lvlText w:val=""/>
      <w:lvlJc w:val="left"/>
      <w:pPr>
        <w:ind w:left="5956" w:hanging="360"/>
      </w:pPr>
      <w:rPr>
        <w:rFonts w:ascii="Symbol" w:hAnsi="Symbol" w:hint="default"/>
      </w:rPr>
    </w:lvl>
    <w:lvl w:ilvl="7" w:tplc="0C090003" w:tentative="1">
      <w:start w:val="1"/>
      <w:numFmt w:val="bullet"/>
      <w:lvlText w:val="o"/>
      <w:lvlJc w:val="left"/>
      <w:pPr>
        <w:ind w:left="6676" w:hanging="360"/>
      </w:pPr>
      <w:rPr>
        <w:rFonts w:ascii="Courier New" w:hAnsi="Courier New" w:cs="Courier New" w:hint="default"/>
      </w:rPr>
    </w:lvl>
    <w:lvl w:ilvl="8" w:tplc="0C090005" w:tentative="1">
      <w:start w:val="1"/>
      <w:numFmt w:val="bullet"/>
      <w:lvlText w:val=""/>
      <w:lvlJc w:val="left"/>
      <w:pPr>
        <w:ind w:left="7396" w:hanging="360"/>
      </w:pPr>
      <w:rPr>
        <w:rFonts w:ascii="Wingdings" w:hAnsi="Wingdings" w:hint="default"/>
      </w:rPr>
    </w:lvl>
  </w:abstractNum>
  <w:abstractNum w:abstractNumId="261" w15:restartNumberingAfterBreak="0">
    <w:nsid w:val="38A55A7B"/>
    <w:multiLevelType w:val="hybridMultilevel"/>
    <w:tmpl w:val="EC7E5B4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2" w15:restartNumberingAfterBreak="0">
    <w:nsid w:val="390071B8"/>
    <w:multiLevelType w:val="hybridMultilevel"/>
    <w:tmpl w:val="C7323CDC"/>
    <w:lvl w:ilvl="0" w:tplc="3BB855B4">
      <w:start w:val="1"/>
      <w:numFmt w:val="decimal"/>
      <w:lvlText w:val="%1."/>
      <w:lvlJc w:val="left"/>
      <w:pPr>
        <w:ind w:left="699" w:hanging="361"/>
      </w:pPr>
      <w:rPr>
        <w:rFonts w:ascii="Arial" w:eastAsia="Arial" w:hAnsi="Arial" w:cs="Arial" w:hint="default"/>
        <w:color w:val="006F65"/>
        <w:w w:val="100"/>
        <w:sz w:val="20"/>
        <w:szCs w:val="20"/>
        <w:lang w:val="en-AU" w:eastAsia="en-US" w:bidi="ar-SA"/>
      </w:rPr>
    </w:lvl>
    <w:lvl w:ilvl="1" w:tplc="442E12A0">
      <w:numFmt w:val="bullet"/>
      <w:lvlText w:val=""/>
      <w:lvlJc w:val="left"/>
      <w:pPr>
        <w:ind w:left="1047" w:hanging="360"/>
      </w:pPr>
      <w:rPr>
        <w:rFonts w:ascii="Symbol" w:eastAsia="Symbol" w:hAnsi="Symbol" w:cs="Symbol" w:hint="default"/>
        <w:w w:val="100"/>
        <w:sz w:val="20"/>
        <w:szCs w:val="20"/>
        <w:lang w:val="en-AU" w:eastAsia="en-US" w:bidi="ar-SA"/>
      </w:rPr>
    </w:lvl>
    <w:lvl w:ilvl="2" w:tplc="CF80E3EC">
      <w:numFmt w:val="bullet"/>
      <w:lvlText w:val="•"/>
      <w:lvlJc w:val="left"/>
      <w:pPr>
        <w:ind w:left="2033" w:hanging="360"/>
      </w:pPr>
      <w:rPr>
        <w:rFonts w:hint="default"/>
        <w:lang w:val="en-AU" w:eastAsia="en-US" w:bidi="ar-SA"/>
      </w:rPr>
    </w:lvl>
    <w:lvl w:ilvl="3" w:tplc="61F682B0">
      <w:numFmt w:val="bullet"/>
      <w:lvlText w:val="•"/>
      <w:lvlJc w:val="left"/>
      <w:pPr>
        <w:ind w:left="3027" w:hanging="360"/>
      </w:pPr>
      <w:rPr>
        <w:rFonts w:hint="default"/>
        <w:lang w:val="en-AU" w:eastAsia="en-US" w:bidi="ar-SA"/>
      </w:rPr>
    </w:lvl>
    <w:lvl w:ilvl="4" w:tplc="213A37AE">
      <w:numFmt w:val="bullet"/>
      <w:lvlText w:val="•"/>
      <w:lvlJc w:val="left"/>
      <w:pPr>
        <w:ind w:left="4021" w:hanging="360"/>
      </w:pPr>
      <w:rPr>
        <w:rFonts w:hint="default"/>
        <w:lang w:val="en-AU" w:eastAsia="en-US" w:bidi="ar-SA"/>
      </w:rPr>
    </w:lvl>
    <w:lvl w:ilvl="5" w:tplc="82E8710C">
      <w:numFmt w:val="bullet"/>
      <w:lvlText w:val="•"/>
      <w:lvlJc w:val="left"/>
      <w:pPr>
        <w:ind w:left="5015" w:hanging="360"/>
      </w:pPr>
      <w:rPr>
        <w:rFonts w:hint="default"/>
        <w:lang w:val="en-AU" w:eastAsia="en-US" w:bidi="ar-SA"/>
      </w:rPr>
    </w:lvl>
    <w:lvl w:ilvl="6" w:tplc="583C81FA">
      <w:numFmt w:val="bullet"/>
      <w:lvlText w:val="•"/>
      <w:lvlJc w:val="left"/>
      <w:pPr>
        <w:ind w:left="6009" w:hanging="360"/>
      </w:pPr>
      <w:rPr>
        <w:rFonts w:hint="default"/>
        <w:lang w:val="en-AU" w:eastAsia="en-US" w:bidi="ar-SA"/>
      </w:rPr>
    </w:lvl>
    <w:lvl w:ilvl="7" w:tplc="E286F2F2">
      <w:numFmt w:val="bullet"/>
      <w:lvlText w:val="•"/>
      <w:lvlJc w:val="left"/>
      <w:pPr>
        <w:ind w:left="7002" w:hanging="360"/>
      </w:pPr>
      <w:rPr>
        <w:rFonts w:hint="default"/>
        <w:lang w:val="en-AU" w:eastAsia="en-US" w:bidi="ar-SA"/>
      </w:rPr>
    </w:lvl>
    <w:lvl w:ilvl="8" w:tplc="EC52B768">
      <w:numFmt w:val="bullet"/>
      <w:lvlText w:val="•"/>
      <w:lvlJc w:val="left"/>
      <w:pPr>
        <w:ind w:left="7996" w:hanging="360"/>
      </w:pPr>
      <w:rPr>
        <w:rFonts w:hint="default"/>
        <w:lang w:val="en-AU" w:eastAsia="en-US" w:bidi="ar-SA"/>
      </w:rPr>
    </w:lvl>
  </w:abstractNum>
  <w:abstractNum w:abstractNumId="263" w15:restartNumberingAfterBreak="0">
    <w:nsid w:val="39066217"/>
    <w:multiLevelType w:val="hybridMultilevel"/>
    <w:tmpl w:val="D174078C"/>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4" w15:restartNumberingAfterBreak="0">
    <w:nsid w:val="392E6A2E"/>
    <w:multiLevelType w:val="hybridMultilevel"/>
    <w:tmpl w:val="581CAA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5" w15:restartNumberingAfterBreak="0">
    <w:nsid w:val="392F0EFE"/>
    <w:multiLevelType w:val="hybridMultilevel"/>
    <w:tmpl w:val="C66A6DE8"/>
    <w:lvl w:ilvl="0" w:tplc="04090005">
      <w:start w:val="1"/>
      <w:numFmt w:val="bullet"/>
      <w:lvlText w:val=""/>
      <w:lvlJc w:val="left"/>
      <w:pPr>
        <w:ind w:left="720" w:hanging="360"/>
      </w:pPr>
      <w:rPr>
        <w:rFonts w:ascii="Wingdings" w:hAnsi="Wingdings" w:hint="default"/>
      </w:rPr>
    </w:lvl>
    <w:lvl w:ilvl="1" w:tplc="657E0FB6">
      <w:start w:val="4"/>
      <w:numFmt w:val="bullet"/>
      <w:lvlText w:val="-"/>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6" w15:restartNumberingAfterBreak="0">
    <w:nsid w:val="393D0AFE"/>
    <w:multiLevelType w:val="hybridMultilevel"/>
    <w:tmpl w:val="CAFA66D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7" w15:restartNumberingAfterBreak="0">
    <w:nsid w:val="39511068"/>
    <w:multiLevelType w:val="multilevel"/>
    <w:tmpl w:val="2076AB90"/>
    <w:numStyleLink w:val="Style2"/>
  </w:abstractNum>
  <w:abstractNum w:abstractNumId="268" w15:restartNumberingAfterBreak="0">
    <w:nsid w:val="395652B3"/>
    <w:multiLevelType w:val="multilevel"/>
    <w:tmpl w:val="396C578A"/>
    <w:lvl w:ilvl="0">
      <w:start w:val="2"/>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269" w15:restartNumberingAfterBreak="0">
    <w:nsid w:val="396107FB"/>
    <w:multiLevelType w:val="hybridMultilevel"/>
    <w:tmpl w:val="BF1C3F9E"/>
    <w:lvl w:ilvl="0" w:tplc="0C090001">
      <w:start w:val="1"/>
      <w:numFmt w:val="bullet"/>
      <w:lvlText w:val=""/>
      <w:lvlJc w:val="left"/>
      <w:pPr>
        <w:ind w:left="1571" w:hanging="360"/>
      </w:pPr>
      <w:rPr>
        <w:rFonts w:ascii="Symbol" w:hAnsi="Symbo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270" w15:restartNumberingAfterBreak="0">
    <w:nsid w:val="398446A8"/>
    <w:multiLevelType w:val="multilevel"/>
    <w:tmpl w:val="B6205A2E"/>
    <w:lvl w:ilvl="0">
      <w:start w:val="1"/>
      <w:numFmt w:val="bullet"/>
      <w:lvlText w:val=""/>
      <w:lvlJc w:val="left"/>
      <w:pPr>
        <w:tabs>
          <w:tab w:val="num" w:pos="1800"/>
        </w:tabs>
        <w:ind w:left="1800" w:hanging="360"/>
      </w:pPr>
      <w:rPr>
        <w:rFonts w:ascii="Symbol" w:hAnsi="Symbol" w:hint="default"/>
        <w:sz w:val="20"/>
      </w:rPr>
    </w:lvl>
    <w:lvl w:ilvl="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271" w15:restartNumberingAfterBreak="0">
    <w:nsid w:val="39A81501"/>
    <w:multiLevelType w:val="hybridMultilevel"/>
    <w:tmpl w:val="87F8C922"/>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2" w15:restartNumberingAfterBreak="0">
    <w:nsid w:val="39BC3040"/>
    <w:multiLevelType w:val="multilevel"/>
    <w:tmpl w:val="A3903EE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3" w15:restartNumberingAfterBreak="0">
    <w:nsid w:val="39E371EB"/>
    <w:multiLevelType w:val="hybridMultilevel"/>
    <w:tmpl w:val="5C080A6C"/>
    <w:lvl w:ilvl="0" w:tplc="1D9C57EA">
      <w:start w:val="1"/>
      <w:numFmt w:val="lowerLetter"/>
      <w:lvlText w:val="(%1)"/>
      <w:lvlJc w:val="left"/>
      <w:pPr>
        <w:ind w:left="536" w:hanging="425"/>
      </w:pPr>
      <w:rPr>
        <w:rFonts w:asciiTheme="minorHAnsi" w:eastAsia="Arial" w:hAnsiTheme="minorHAnsi" w:cs="Arial" w:hint="default"/>
        <w:spacing w:val="-1"/>
        <w:w w:val="99"/>
        <w:sz w:val="22"/>
        <w:szCs w:val="20"/>
        <w:lang w:val="en-AU" w:eastAsia="en-AU" w:bidi="en-AU"/>
      </w:rPr>
    </w:lvl>
    <w:lvl w:ilvl="1" w:tplc="A3B85D84">
      <w:numFmt w:val="bullet"/>
      <w:lvlText w:val="•"/>
      <w:lvlJc w:val="left"/>
      <w:pPr>
        <w:ind w:left="1550" w:hanging="425"/>
      </w:pPr>
      <w:rPr>
        <w:rFonts w:hint="default"/>
        <w:lang w:val="en-AU" w:eastAsia="en-AU" w:bidi="en-AU"/>
      </w:rPr>
    </w:lvl>
    <w:lvl w:ilvl="2" w:tplc="F2FA00B4">
      <w:numFmt w:val="bullet"/>
      <w:lvlText w:val="•"/>
      <w:lvlJc w:val="left"/>
      <w:pPr>
        <w:ind w:left="2561" w:hanging="425"/>
      </w:pPr>
      <w:rPr>
        <w:rFonts w:hint="default"/>
        <w:lang w:val="en-AU" w:eastAsia="en-AU" w:bidi="en-AU"/>
      </w:rPr>
    </w:lvl>
    <w:lvl w:ilvl="3" w:tplc="47783DB0">
      <w:numFmt w:val="bullet"/>
      <w:lvlText w:val="•"/>
      <w:lvlJc w:val="left"/>
      <w:pPr>
        <w:ind w:left="3571" w:hanging="425"/>
      </w:pPr>
      <w:rPr>
        <w:rFonts w:hint="default"/>
        <w:lang w:val="en-AU" w:eastAsia="en-AU" w:bidi="en-AU"/>
      </w:rPr>
    </w:lvl>
    <w:lvl w:ilvl="4" w:tplc="D7AC85A8">
      <w:numFmt w:val="bullet"/>
      <w:lvlText w:val="•"/>
      <w:lvlJc w:val="left"/>
      <w:pPr>
        <w:ind w:left="4582" w:hanging="425"/>
      </w:pPr>
      <w:rPr>
        <w:rFonts w:hint="default"/>
        <w:lang w:val="en-AU" w:eastAsia="en-AU" w:bidi="en-AU"/>
      </w:rPr>
    </w:lvl>
    <w:lvl w:ilvl="5" w:tplc="067C396C">
      <w:numFmt w:val="bullet"/>
      <w:lvlText w:val="•"/>
      <w:lvlJc w:val="left"/>
      <w:pPr>
        <w:ind w:left="5593" w:hanging="425"/>
      </w:pPr>
      <w:rPr>
        <w:rFonts w:hint="default"/>
        <w:lang w:val="en-AU" w:eastAsia="en-AU" w:bidi="en-AU"/>
      </w:rPr>
    </w:lvl>
    <w:lvl w:ilvl="6" w:tplc="633C9144">
      <w:numFmt w:val="bullet"/>
      <w:lvlText w:val="•"/>
      <w:lvlJc w:val="left"/>
      <w:pPr>
        <w:ind w:left="6603" w:hanging="425"/>
      </w:pPr>
      <w:rPr>
        <w:rFonts w:hint="default"/>
        <w:lang w:val="en-AU" w:eastAsia="en-AU" w:bidi="en-AU"/>
      </w:rPr>
    </w:lvl>
    <w:lvl w:ilvl="7" w:tplc="7E40E030">
      <w:numFmt w:val="bullet"/>
      <w:lvlText w:val="•"/>
      <w:lvlJc w:val="left"/>
      <w:pPr>
        <w:ind w:left="7614" w:hanging="425"/>
      </w:pPr>
      <w:rPr>
        <w:rFonts w:hint="default"/>
        <w:lang w:val="en-AU" w:eastAsia="en-AU" w:bidi="en-AU"/>
      </w:rPr>
    </w:lvl>
    <w:lvl w:ilvl="8" w:tplc="2D0C7B54">
      <w:numFmt w:val="bullet"/>
      <w:lvlText w:val="•"/>
      <w:lvlJc w:val="left"/>
      <w:pPr>
        <w:ind w:left="8625" w:hanging="425"/>
      </w:pPr>
      <w:rPr>
        <w:rFonts w:hint="default"/>
        <w:lang w:val="en-AU" w:eastAsia="en-AU" w:bidi="en-AU"/>
      </w:rPr>
    </w:lvl>
  </w:abstractNum>
  <w:abstractNum w:abstractNumId="274" w15:restartNumberingAfterBreak="0">
    <w:nsid w:val="39FD65C5"/>
    <w:multiLevelType w:val="multilevel"/>
    <w:tmpl w:val="7F566314"/>
    <w:lvl w:ilvl="0">
      <w:start w:val="4"/>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275" w15:restartNumberingAfterBreak="0">
    <w:nsid w:val="3A200CB9"/>
    <w:multiLevelType w:val="hybridMultilevel"/>
    <w:tmpl w:val="7032CA12"/>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6" w15:restartNumberingAfterBreak="0">
    <w:nsid w:val="3A3A009F"/>
    <w:multiLevelType w:val="hybridMultilevel"/>
    <w:tmpl w:val="E08ACED2"/>
    <w:lvl w:ilvl="0" w:tplc="FD22AB60">
      <w:start w:val="1"/>
      <w:numFmt w:val="lowerRoman"/>
      <w:lvlText w:val="%1."/>
      <w:lvlJc w:val="left"/>
      <w:pPr>
        <w:ind w:left="1252" w:hanging="720"/>
      </w:pPr>
      <w:rPr>
        <w:rFonts w:ascii="Calibri" w:eastAsia="Calibri" w:hAnsi="Calibri" w:cs="Calibri" w:hint="default"/>
        <w:spacing w:val="-1"/>
        <w:w w:val="100"/>
        <w:sz w:val="22"/>
        <w:szCs w:val="22"/>
      </w:rPr>
    </w:lvl>
    <w:lvl w:ilvl="1" w:tplc="0480FAF4">
      <w:numFmt w:val="bullet"/>
      <w:lvlText w:val="•"/>
      <w:lvlJc w:val="left"/>
      <w:pPr>
        <w:ind w:left="2094" w:hanging="720"/>
      </w:pPr>
      <w:rPr>
        <w:rFonts w:hint="default"/>
      </w:rPr>
    </w:lvl>
    <w:lvl w:ilvl="2" w:tplc="1C601778">
      <w:numFmt w:val="bullet"/>
      <w:lvlText w:val="•"/>
      <w:lvlJc w:val="left"/>
      <w:pPr>
        <w:ind w:left="2929" w:hanging="720"/>
      </w:pPr>
      <w:rPr>
        <w:rFonts w:hint="default"/>
      </w:rPr>
    </w:lvl>
    <w:lvl w:ilvl="3" w:tplc="A3DA7C96">
      <w:numFmt w:val="bullet"/>
      <w:lvlText w:val="•"/>
      <w:lvlJc w:val="left"/>
      <w:pPr>
        <w:ind w:left="3763" w:hanging="720"/>
      </w:pPr>
      <w:rPr>
        <w:rFonts w:hint="default"/>
      </w:rPr>
    </w:lvl>
    <w:lvl w:ilvl="4" w:tplc="1368F0DE">
      <w:numFmt w:val="bullet"/>
      <w:lvlText w:val="•"/>
      <w:lvlJc w:val="left"/>
      <w:pPr>
        <w:ind w:left="4598" w:hanging="720"/>
      </w:pPr>
      <w:rPr>
        <w:rFonts w:hint="default"/>
      </w:rPr>
    </w:lvl>
    <w:lvl w:ilvl="5" w:tplc="110C6A20">
      <w:numFmt w:val="bullet"/>
      <w:lvlText w:val="•"/>
      <w:lvlJc w:val="left"/>
      <w:pPr>
        <w:ind w:left="5433" w:hanging="720"/>
      </w:pPr>
      <w:rPr>
        <w:rFonts w:hint="default"/>
      </w:rPr>
    </w:lvl>
    <w:lvl w:ilvl="6" w:tplc="E28C9636">
      <w:numFmt w:val="bullet"/>
      <w:lvlText w:val="•"/>
      <w:lvlJc w:val="left"/>
      <w:pPr>
        <w:ind w:left="6267" w:hanging="720"/>
      </w:pPr>
      <w:rPr>
        <w:rFonts w:hint="default"/>
      </w:rPr>
    </w:lvl>
    <w:lvl w:ilvl="7" w:tplc="232A6716">
      <w:numFmt w:val="bullet"/>
      <w:lvlText w:val="•"/>
      <w:lvlJc w:val="left"/>
      <w:pPr>
        <w:ind w:left="7102" w:hanging="720"/>
      </w:pPr>
      <w:rPr>
        <w:rFonts w:hint="default"/>
      </w:rPr>
    </w:lvl>
    <w:lvl w:ilvl="8" w:tplc="2654E90A">
      <w:numFmt w:val="bullet"/>
      <w:lvlText w:val="•"/>
      <w:lvlJc w:val="left"/>
      <w:pPr>
        <w:ind w:left="7937" w:hanging="720"/>
      </w:pPr>
      <w:rPr>
        <w:rFonts w:hint="default"/>
      </w:rPr>
    </w:lvl>
  </w:abstractNum>
  <w:abstractNum w:abstractNumId="277" w15:restartNumberingAfterBreak="0">
    <w:nsid w:val="3A61584D"/>
    <w:multiLevelType w:val="hybridMultilevel"/>
    <w:tmpl w:val="8F4CCC4A"/>
    <w:lvl w:ilvl="0" w:tplc="6B26033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8" w15:restartNumberingAfterBreak="0">
    <w:nsid w:val="3AB15C42"/>
    <w:multiLevelType w:val="hybridMultilevel"/>
    <w:tmpl w:val="22A68E76"/>
    <w:lvl w:ilvl="0" w:tplc="B930D83C">
      <w:start w:val="1"/>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9" w15:restartNumberingAfterBreak="0">
    <w:nsid w:val="3AC300B6"/>
    <w:multiLevelType w:val="hybridMultilevel"/>
    <w:tmpl w:val="DA36F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0" w15:restartNumberingAfterBreak="0">
    <w:nsid w:val="3BB716A0"/>
    <w:multiLevelType w:val="multilevel"/>
    <w:tmpl w:val="177A1206"/>
    <w:numStyleLink w:val="Style4"/>
  </w:abstractNum>
  <w:abstractNum w:abstractNumId="281" w15:restartNumberingAfterBreak="0">
    <w:nsid w:val="3BE86A6D"/>
    <w:multiLevelType w:val="multilevel"/>
    <w:tmpl w:val="177A1206"/>
    <w:numStyleLink w:val="Style4"/>
  </w:abstractNum>
  <w:abstractNum w:abstractNumId="282" w15:restartNumberingAfterBreak="0">
    <w:nsid w:val="3C1F22A3"/>
    <w:multiLevelType w:val="multilevel"/>
    <w:tmpl w:val="2076AB90"/>
    <w:numStyleLink w:val="Style2"/>
  </w:abstractNum>
  <w:abstractNum w:abstractNumId="283" w15:restartNumberingAfterBreak="0">
    <w:nsid w:val="3C45538B"/>
    <w:multiLevelType w:val="hybridMultilevel"/>
    <w:tmpl w:val="9412E342"/>
    <w:lvl w:ilvl="0" w:tplc="5AAA93D4">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4" w15:restartNumberingAfterBreak="0">
    <w:nsid w:val="3CB64531"/>
    <w:multiLevelType w:val="hybridMultilevel"/>
    <w:tmpl w:val="55865B0A"/>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5" w15:restartNumberingAfterBreak="0">
    <w:nsid w:val="3D1B7F4F"/>
    <w:multiLevelType w:val="hybridMultilevel"/>
    <w:tmpl w:val="92986DA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6" w15:restartNumberingAfterBreak="0">
    <w:nsid w:val="3D2611FD"/>
    <w:multiLevelType w:val="hybridMultilevel"/>
    <w:tmpl w:val="EB887820"/>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2214" w:hanging="360"/>
      </w:pPr>
      <w:rPr>
        <w:rFonts w:ascii="Courier New" w:hAnsi="Courier New" w:cs="Courier New" w:hint="default"/>
      </w:rPr>
    </w:lvl>
    <w:lvl w:ilvl="2" w:tplc="0C090005">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287" w15:restartNumberingAfterBreak="0">
    <w:nsid w:val="3D6E67CB"/>
    <w:multiLevelType w:val="hybridMultilevel"/>
    <w:tmpl w:val="C7EC5C78"/>
    <w:lvl w:ilvl="0" w:tplc="FFFFFFFF">
      <w:start w:val="1"/>
      <w:numFmt w:val="lowerLetter"/>
      <w:lvlText w:val="%1)"/>
      <w:lvlJc w:val="left"/>
      <w:pPr>
        <w:ind w:left="360" w:hanging="360"/>
      </w:pPr>
    </w:lvl>
    <w:lvl w:ilvl="1" w:tplc="0C090019">
      <w:start w:val="1"/>
      <w:numFmt w:val="lowerLetter"/>
      <w:lvlText w:val="%2."/>
      <w:lvlJc w:val="left"/>
      <w:pPr>
        <w:ind w:left="1080" w:hanging="360"/>
      </w:pPr>
    </w:lvl>
    <w:lvl w:ilvl="2" w:tplc="FFFFFFFF">
      <w:start w:val="1"/>
      <w:numFmt w:val="lowerRoman"/>
      <w:lvlText w:val="%3."/>
      <w:lvlJc w:val="right"/>
      <w:pPr>
        <w:ind w:left="1800" w:hanging="180"/>
      </w:pPr>
    </w:lvl>
    <w:lvl w:ilvl="3" w:tplc="AC6420B8">
      <w:start w:val="1"/>
      <w:numFmt w:val="decimal"/>
      <w:lvlText w:val="(%4)"/>
      <w:lvlJc w:val="left"/>
      <w:pPr>
        <w:ind w:left="2520" w:hanging="360"/>
      </w:pPr>
      <w:rPr>
        <w:rFonts w:hint="default"/>
      </w:r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8" w15:restartNumberingAfterBreak="0">
    <w:nsid w:val="3E10287F"/>
    <w:multiLevelType w:val="hybridMultilevel"/>
    <w:tmpl w:val="742EA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9" w15:restartNumberingAfterBreak="0">
    <w:nsid w:val="3E3D73F2"/>
    <w:multiLevelType w:val="multilevel"/>
    <w:tmpl w:val="2076AB90"/>
    <w:numStyleLink w:val="Style2"/>
  </w:abstractNum>
  <w:abstractNum w:abstractNumId="290" w15:restartNumberingAfterBreak="0">
    <w:nsid w:val="3EAA3CEB"/>
    <w:multiLevelType w:val="hybridMultilevel"/>
    <w:tmpl w:val="94CA78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1" w15:restartNumberingAfterBreak="0">
    <w:nsid w:val="3EB430E5"/>
    <w:multiLevelType w:val="multilevel"/>
    <w:tmpl w:val="177A1206"/>
    <w:numStyleLink w:val="Style4"/>
  </w:abstractNum>
  <w:abstractNum w:abstractNumId="292" w15:restartNumberingAfterBreak="0">
    <w:nsid w:val="3EC269F4"/>
    <w:multiLevelType w:val="hybridMultilevel"/>
    <w:tmpl w:val="9454C432"/>
    <w:lvl w:ilvl="0" w:tplc="B930D83C">
      <w:start w:val="1"/>
      <w:numFmt w:val="bullet"/>
      <w:lvlText w:val="-"/>
      <w:lvlJc w:val="left"/>
      <w:pPr>
        <w:ind w:left="720" w:hanging="360"/>
      </w:pPr>
      <w:rPr>
        <w:rFonts w:ascii="Times New Roman" w:eastAsia="Times New Roman"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3" w15:restartNumberingAfterBreak="0">
    <w:nsid w:val="3EF21013"/>
    <w:multiLevelType w:val="hybridMultilevel"/>
    <w:tmpl w:val="A66C071C"/>
    <w:lvl w:ilvl="0" w:tplc="35AE9F1E">
      <w:start w:val="1"/>
      <w:numFmt w:val="lowerRoman"/>
      <w:lvlText w:val="%1."/>
      <w:lvlJc w:val="left"/>
      <w:pPr>
        <w:ind w:left="1199" w:hanging="720"/>
      </w:pPr>
      <w:rPr>
        <w:rFonts w:hint="default"/>
        <w:spacing w:val="-1"/>
        <w:w w:val="100"/>
      </w:rPr>
    </w:lvl>
    <w:lvl w:ilvl="1" w:tplc="B61AB760">
      <w:numFmt w:val="bullet"/>
      <w:lvlText w:val="•"/>
      <w:lvlJc w:val="left"/>
      <w:pPr>
        <w:ind w:left="2040" w:hanging="720"/>
      </w:pPr>
      <w:rPr>
        <w:rFonts w:hint="default"/>
      </w:rPr>
    </w:lvl>
    <w:lvl w:ilvl="2" w:tplc="719AAD6E">
      <w:numFmt w:val="bullet"/>
      <w:lvlText w:val="•"/>
      <w:lvlJc w:val="left"/>
      <w:pPr>
        <w:ind w:left="2881" w:hanging="720"/>
      </w:pPr>
      <w:rPr>
        <w:rFonts w:hint="default"/>
      </w:rPr>
    </w:lvl>
    <w:lvl w:ilvl="3" w:tplc="FB94DFB2">
      <w:numFmt w:val="bullet"/>
      <w:lvlText w:val="•"/>
      <w:lvlJc w:val="left"/>
      <w:pPr>
        <w:ind w:left="3721" w:hanging="720"/>
      </w:pPr>
      <w:rPr>
        <w:rFonts w:hint="default"/>
      </w:rPr>
    </w:lvl>
    <w:lvl w:ilvl="4" w:tplc="30906034">
      <w:numFmt w:val="bullet"/>
      <w:lvlText w:val="•"/>
      <w:lvlJc w:val="left"/>
      <w:pPr>
        <w:ind w:left="4562" w:hanging="720"/>
      </w:pPr>
      <w:rPr>
        <w:rFonts w:hint="default"/>
      </w:rPr>
    </w:lvl>
    <w:lvl w:ilvl="5" w:tplc="0DC831DC">
      <w:numFmt w:val="bullet"/>
      <w:lvlText w:val="•"/>
      <w:lvlJc w:val="left"/>
      <w:pPr>
        <w:ind w:left="5403" w:hanging="720"/>
      </w:pPr>
      <w:rPr>
        <w:rFonts w:hint="default"/>
      </w:rPr>
    </w:lvl>
    <w:lvl w:ilvl="6" w:tplc="1CC29DE0">
      <w:numFmt w:val="bullet"/>
      <w:lvlText w:val="•"/>
      <w:lvlJc w:val="left"/>
      <w:pPr>
        <w:ind w:left="6243" w:hanging="720"/>
      </w:pPr>
      <w:rPr>
        <w:rFonts w:hint="default"/>
      </w:rPr>
    </w:lvl>
    <w:lvl w:ilvl="7" w:tplc="2D625E48">
      <w:numFmt w:val="bullet"/>
      <w:lvlText w:val="•"/>
      <w:lvlJc w:val="left"/>
      <w:pPr>
        <w:ind w:left="7084" w:hanging="720"/>
      </w:pPr>
      <w:rPr>
        <w:rFonts w:hint="default"/>
      </w:rPr>
    </w:lvl>
    <w:lvl w:ilvl="8" w:tplc="4BF095E0">
      <w:numFmt w:val="bullet"/>
      <w:lvlText w:val="•"/>
      <w:lvlJc w:val="left"/>
      <w:pPr>
        <w:ind w:left="7925" w:hanging="720"/>
      </w:pPr>
      <w:rPr>
        <w:rFonts w:hint="default"/>
      </w:rPr>
    </w:lvl>
  </w:abstractNum>
  <w:abstractNum w:abstractNumId="294" w15:restartNumberingAfterBreak="0">
    <w:nsid w:val="3F21217A"/>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295" w15:restartNumberingAfterBreak="0">
    <w:nsid w:val="3F8E7514"/>
    <w:multiLevelType w:val="hybridMultilevel"/>
    <w:tmpl w:val="9ED6E42A"/>
    <w:lvl w:ilvl="0" w:tplc="FAA2E11C">
      <w:numFmt w:val="bullet"/>
      <w:lvlText w:val="-"/>
      <w:lvlJc w:val="left"/>
      <w:pPr>
        <w:ind w:left="1800" w:hanging="360"/>
      </w:pPr>
      <w:rPr>
        <w:rFonts w:ascii="Calibri" w:eastAsiaTheme="minorHAnsi" w:hAnsi="Calibri" w:cs="Calibri"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96" w15:restartNumberingAfterBreak="0">
    <w:nsid w:val="3F950880"/>
    <w:multiLevelType w:val="hybridMultilevel"/>
    <w:tmpl w:val="081C684E"/>
    <w:lvl w:ilvl="0" w:tplc="865023AC">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97" w15:restartNumberingAfterBreak="0">
    <w:nsid w:val="3FD03E33"/>
    <w:multiLevelType w:val="hybridMultilevel"/>
    <w:tmpl w:val="ED243D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8" w15:restartNumberingAfterBreak="0">
    <w:nsid w:val="400C5416"/>
    <w:multiLevelType w:val="multilevel"/>
    <w:tmpl w:val="2076AB90"/>
    <w:lvl w:ilvl="0">
      <w:start w:val="1"/>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299" w15:restartNumberingAfterBreak="0">
    <w:nsid w:val="4017765E"/>
    <w:multiLevelType w:val="hybridMultilevel"/>
    <w:tmpl w:val="984062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0" w15:restartNumberingAfterBreak="0">
    <w:nsid w:val="402E5E3D"/>
    <w:multiLevelType w:val="multilevel"/>
    <w:tmpl w:val="177A1206"/>
    <w:numStyleLink w:val="Style4"/>
  </w:abstractNum>
  <w:abstractNum w:abstractNumId="301" w15:restartNumberingAfterBreak="0">
    <w:nsid w:val="408A24CD"/>
    <w:multiLevelType w:val="hybridMultilevel"/>
    <w:tmpl w:val="308E1E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2" w15:restartNumberingAfterBreak="0">
    <w:nsid w:val="409F5A97"/>
    <w:multiLevelType w:val="hybridMultilevel"/>
    <w:tmpl w:val="2F622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3" w15:restartNumberingAfterBreak="0">
    <w:nsid w:val="40B944AC"/>
    <w:multiLevelType w:val="hybridMultilevel"/>
    <w:tmpl w:val="6590C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4" w15:restartNumberingAfterBreak="0">
    <w:nsid w:val="413C5E5D"/>
    <w:multiLevelType w:val="hybridMultilevel"/>
    <w:tmpl w:val="B92699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5" w15:restartNumberingAfterBreak="0">
    <w:nsid w:val="41774062"/>
    <w:multiLevelType w:val="multilevel"/>
    <w:tmpl w:val="AB74FDD0"/>
    <w:lvl w:ilvl="0">
      <w:start w:val="4"/>
      <w:numFmt w:val="decimal"/>
      <w:lvlText w:val="%1"/>
      <w:lvlJc w:val="left"/>
      <w:pPr>
        <w:ind w:left="1805" w:hanging="568"/>
      </w:pPr>
      <w:rPr>
        <w:rFonts w:hint="default"/>
      </w:rPr>
    </w:lvl>
    <w:lvl w:ilvl="1">
      <w:start w:val="1"/>
      <w:numFmt w:val="decimal"/>
      <w:lvlText w:val="%1.%2"/>
      <w:lvlJc w:val="left"/>
      <w:pPr>
        <w:ind w:left="1805" w:hanging="568"/>
      </w:pPr>
      <w:rPr>
        <w:rFonts w:hint="default"/>
      </w:rPr>
    </w:lvl>
    <w:lvl w:ilvl="2">
      <w:start w:val="1"/>
      <w:numFmt w:val="decimal"/>
      <w:lvlText w:val="%1.%2.%3."/>
      <w:lvlJc w:val="left"/>
      <w:pPr>
        <w:ind w:left="1805" w:hanging="568"/>
      </w:pPr>
      <w:rPr>
        <w:rFonts w:ascii="Arial" w:eastAsia="Arial" w:hAnsi="Arial" w:cs="Arial" w:hint="default"/>
        <w:b/>
        <w:bCs/>
        <w:w w:val="99"/>
        <w:sz w:val="22"/>
        <w:szCs w:val="22"/>
      </w:rPr>
    </w:lvl>
    <w:lvl w:ilvl="3">
      <w:numFmt w:val="bullet"/>
      <w:lvlText w:val=""/>
      <w:lvlJc w:val="left"/>
      <w:pPr>
        <w:ind w:left="2264" w:hanging="459"/>
      </w:pPr>
      <w:rPr>
        <w:rFonts w:ascii="Symbol" w:eastAsia="Symbol" w:hAnsi="Symbol" w:cs="Symbol" w:hint="default"/>
        <w:w w:val="99"/>
        <w:sz w:val="22"/>
        <w:szCs w:val="22"/>
      </w:rPr>
    </w:lvl>
    <w:lvl w:ilvl="4">
      <w:numFmt w:val="bullet"/>
      <w:lvlText w:val="•"/>
      <w:lvlJc w:val="left"/>
      <w:pPr>
        <w:ind w:left="4331" w:hanging="459"/>
      </w:pPr>
      <w:rPr>
        <w:rFonts w:hint="default"/>
      </w:rPr>
    </w:lvl>
    <w:lvl w:ilvl="5">
      <w:numFmt w:val="bullet"/>
      <w:lvlText w:val="•"/>
      <w:lvlJc w:val="left"/>
      <w:pPr>
        <w:ind w:left="5307" w:hanging="459"/>
      </w:pPr>
      <w:rPr>
        <w:rFonts w:hint="default"/>
      </w:rPr>
    </w:lvl>
    <w:lvl w:ilvl="6">
      <w:numFmt w:val="bullet"/>
      <w:lvlText w:val="•"/>
      <w:lvlJc w:val="left"/>
      <w:pPr>
        <w:ind w:left="6283" w:hanging="459"/>
      </w:pPr>
      <w:rPr>
        <w:rFonts w:hint="default"/>
      </w:rPr>
    </w:lvl>
    <w:lvl w:ilvl="7">
      <w:numFmt w:val="bullet"/>
      <w:lvlText w:val="•"/>
      <w:lvlJc w:val="left"/>
      <w:pPr>
        <w:ind w:left="7259" w:hanging="459"/>
      </w:pPr>
      <w:rPr>
        <w:rFonts w:hint="default"/>
      </w:rPr>
    </w:lvl>
    <w:lvl w:ilvl="8">
      <w:numFmt w:val="bullet"/>
      <w:lvlText w:val="•"/>
      <w:lvlJc w:val="left"/>
      <w:pPr>
        <w:ind w:left="8234" w:hanging="459"/>
      </w:pPr>
      <w:rPr>
        <w:rFonts w:hint="default"/>
      </w:rPr>
    </w:lvl>
  </w:abstractNum>
  <w:abstractNum w:abstractNumId="306" w15:restartNumberingAfterBreak="0">
    <w:nsid w:val="418B21C6"/>
    <w:multiLevelType w:val="hybridMultilevel"/>
    <w:tmpl w:val="A17EFCD0"/>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7" w15:restartNumberingAfterBreak="0">
    <w:nsid w:val="418B3D6E"/>
    <w:multiLevelType w:val="hybridMultilevel"/>
    <w:tmpl w:val="D0EC9B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8" w15:restartNumberingAfterBreak="0">
    <w:nsid w:val="41C447C9"/>
    <w:multiLevelType w:val="hybridMultilevel"/>
    <w:tmpl w:val="3DD472AE"/>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9" w15:restartNumberingAfterBreak="0">
    <w:nsid w:val="41E07BD0"/>
    <w:multiLevelType w:val="multilevel"/>
    <w:tmpl w:val="2076AB90"/>
    <w:numStyleLink w:val="Style2"/>
  </w:abstractNum>
  <w:abstractNum w:abstractNumId="310" w15:restartNumberingAfterBreak="0">
    <w:nsid w:val="41F766BB"/>
    <w:multiLevelType w:val="multilevel"/>
    <w:tmpl w:val="2076AB90"/>
    <w:numStyleLink w:val="Style2"/>
  </w:abstractNum>
  <w:abstractNum w:abstractNumId="311" w15:restartNumberingAfterBreak="0">
    <w:nsid w:val="420212A0"/>
    <w:multiLevelType w:val="hybridMultilevel"/>
    <w:tmpl w:val="885E1440"/>
    <w:lvl w:ilvl="0" w:tplc="6B260330">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2" w15:restartNumberingAfterBreak="0">
    <w:nsid w:val="429A3CF9"/>
    <w:multiLevelType w:val="multilevel"/>
    <w:tmpl w:val="3F3C64AC"/>
    <w:lvl w:ilvl="0">
      <w:start w:val="2"/>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313" w15:restartNumberingAfterBreak="0">
    <w:nsid w:val="42C95435"/>
    <w:multiLevelType w:val="hybridMultilevel"/>
    <w:tmpl w:val="89C0F4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4" w15:restartNumberingAfterBreak="0">
    <w:nsid w:val="42E2099C"/>
    <w:multiLevelType w:val="hybridMultilevel"/>
    <w:tmpl w:val="AB00BEE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15" w15:restartNumberingAfterBreak="0">
    <w:nsid w:val="42F32C88"/>
    <w:multiLevelType w:val="multilevel"/>
    <w:tmpl w:val="F982B46E"/>
    <w:lvl w:ilvl="0">
      <w:start w:val="2"/>
      <w:numFmt w:val="decimal"/>
      <w:pStyle w:val="Style3"/>
      <w:lvlText w:val="P%1"/>
      <w:lvlJc w:val="left"/>
      <w:pPr>
        <w:ind w:left="360" w:hanging="360"/>
      </w:pPr>
      <w:rPr>
        <w:rFonts w:ascii="Avenir LT 85 Heavy" w:hAnsi="Avenir LT 85 Heavy" w:hint="default"/>
        <w:sz w:val="20"/>
      </w:rPr>
    </w:lvl>
    <w:lvl w:ilvl="1">
      <w:start w:val="1"/>
      <w:numFmt w:val="lowerLetter"/>
      <w:lvlText w:val="%2)"/>
      <w:lvlJc w:val="left"/>
      <w:pPr>
        <w:ind w:left="720" w:hanging="360"/>
      </w:pPr>
      <w:rPr>
        <w:rFonts w:ascii="Avenir LT 45 Book" w:hAnsi="Avenir LT 45 Book" w:hint="default"/>
        <w:sz w:val="2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6" w15:restartNumberingAfterBreak="0">
    <w:nsid w:val="43106F98"/>
    <w:multiLevelType w:val="hybridMultilevel"/>
    <w:tmpl w:val="BCF6A946"/>
    <w:lvl w:ilvl="0" w:tplc="87F07BB6">
      <w:numFmt w:val="bullet"/>
      <w:lvlText w:val=""/>
      <w:lvlJc w:val="left"/>
      <w:pPr>
        <w:ind w:left="453" w:hanging="286"/>
      </w:pPr>
      <w:rPr>
        <w:rFonts w:ascii="Symbol" w:eastAsia="Symbol" w:hAnsi="Symbol" w:cs="Symbol" w:hint="default"/>
        <w:b w:val="0"/>
        <w:bCs w:val="0"/>
        <w:i w:val="0"/>
        <w:iCs w:val="0"/>
        <w:spacing w:val="0"/>
        <w:w w:val="100"/>
        <w:sz w:val="22"/>
        <w:szCs w:val="22"/>
        <w:lang w:val="en-US" w:eastAsia="en-US" w:bidi="ar-SA"/>
      </w:rPr>
    </w:lvl>
    <w:lvl w:ilvl="1" w:tplc="8D405848">
      <w:numFmt w:val="bullet"/>
      <w:lvlText w:val="•"/>
      <w:lvlJc w:val="left"/>
      <w:pPr>
        <w:ind w:left="996" w:hanging="286"/>
      </w:pPr>
      <w:rPr>
        <w:rFonts w:hint="default"/>
        <w:lang w:val="en-US" w:eastAsia="en-US" w:bidi="ar-SA"/>
      </w:rPr>
    </w:lvl>
    <w:lvl w:ilvl="2" w:tplc="26B687F8">
      <w:numFmt w:val="bullet"/>
      <w:lvlText w:val="•"/>
      <w:lvlJc w:val="left"/>
      <w:pPr>
        <w:ind w:left="1533" w:hanging="286"/>
      </w:pPr>
      <w:rPr>
        <w:rFonts w:hint="default"/>
        <w:lang w:val="en-US" w:eastAsia="en-US" w:bidi="ar-SA"/>
      </w:rPr>
    </w:lvl>
    <w:lvl w:ilvl="3" w:tplc="AAE828C0">
      <w:numFmt w:val="bullet"/>
      <w:lvlText w:val="•"/>
      <w:lvlJc w:val="left"/>
      <w:pPr>
        <w:ind w:left="2069" w:hanging="286"/>
      </w:pPr>
      <w:rPr>
        <w:rFonts w:hint="default"/>
        <w:lang w:val="en-US" w:eastAsia="en-US" w:bidi="ar-SA"/>
      </w:rPr>
    </w:lvl>
    <w:lvl w:ilvl="4" w:tplc="C1DA595C">
      <w:numFmt w:val="bullet"/>
      <w:lvlText w:val="•"/>
      <w:lvlJc w:val="left"/>
      <w:pPr>
        <w:ind w:left="2606" w:hanging="286"/>
      </w:pPr>
      <w:rPr>
        <w:rFonts w:hint="default"/>
        <w:lang w:val="en-US" w:eastAsia="en-US" w:bidi="ar-SA"/>
      </w:rPr>
    </w:lvl>
    <w:lvl w:ilvl="5" w:tplc="9CACE510">
      <w:numFmt w:val="bullet"/>
      <w:lvlText w:val="•"/>
      <w:lvlJc w:val="left"/>
      <w:pPr>
        <w:ind w:left="3143" w:hanging="286"/>
      </w:pPr>
      <w:rPr>
        <w:rFonts w:hint="default"/>
        <w:lang w:val="en-US" w:eastAsia="en-US" w:bidi="ar-SA"/>
      </w:rPr>
    </w:lvl>
    <w:lvl w:ilvl="6" w:tplc="3174BF1A">
      <w:numFmt w:val="bullet"/>
      <w:lvlText w:val="•"/>
      <w:lvlJc w:val="left"/>
      <w:pPr>
        <w:ind w:left="3679" w:hanging="286"/>
      </w:pPr>
      <w:rPr>
        <w:rFonts w:hint="default"/>
        <w:lang w:val="en-US" w:eastAsia="en-US" w:bidi="ar-SA"/>
      </w:rPr>
    </w:lvl>
    <w:lvl w:ilvl="7" w:tplc="D56E9A18">
      <w:numFmt w:val="bullet"/>
      <w:lvlText w:val="•"/>
      <w:lvlJc w:val="left"/>
      <w:pPr>
        <w:ind w:left="4216" w:hanging="286"/>
      </w:pPr>
      <w:rPr>
        <w:rFonts w:hint="default"/>
        <w:lang w:val="en-US" w:eastAsia="en-US" w:bidi="ar-SA"/>
      </w:rPr>
    </w:lvl>
    <w:lvl w:ilvl="8" w:tplc="065AEFCC">
      <w:numFmt w:val="bullet"/>
      <w:lvlText w:val="•"/>
      <w:lvlJc w:val="left"/>
      <w:pPr>
        <w:ind w:left="4752" w:hanging="286"/>
      </w:pPr>
      <w:rPr>
        <w:rFonts w:hint="default"/>
        <w:lang w:val="en-US" w:eastAsia="en-US" w:bidi="ar-SA"/>
      </w:rPr>
    </w:lvl>
  </w:abstractNum>
  <w:abstractNum w:abstractNumId="317" w15:restartNumberingAfterBreak="0">
    <w:nsid w:val="431256F7"/>
    <w:multiLevelType w:val="hybridMultilevel"/>
    <w:tmpl w:val="F64C5270"/>
    <w:lvl w:ilvl="0" w:tplc="33A4618A">
      <w:start w:val="1"/>
      <w:numFmt w:val="lowerLetter"/>
      <w:lvlText w:val="(%1)"/>
      <w:lvlJc w:val="left"/>
      <w:pPr>
        <w:ind w:left="852" w:hanging="720"/>
      </w:pPr>
      <w:rPr>
        <w:rFonts w:asciiTheme="minorHAnsi" w:eastAsia="Arial" w:hAnsiTheme="minorHAnsi" w:cstheme="minorHAnsi" w:hint="default"/>
        <w:spacing w:val="-1"/>
        <w:w w:val="100"/>
        <w:sz w:val="22"/>
        <w:szCs w:val="22"/>
      </w:rPr>
    </w:lvl>
    <w:lvl w:ilvl="1" w:tplc="0FBE67CA">
      <w:start w:val="1"/>
      <w:numFmt w:val="lowerLetter"/>
      <w:lvlText w:val="(%2)"/>
      <w:lvlJc w:val="left"/>
      <w:pPr>
        <w:ind w:left="952" w:hanging="720"/>
      </w:pPr>
      <w:rPr>
        <w:rFonts w:asciiTheme="minorHAnsi" w:eastAsia="Arial" w:hAnsiTheme="minorHAnsi" w:cstheme="minorHAnsi" w:hint="default"/>
        <w:spacing w:val="-1"/>
        <w:w w:val="100"/>
        <w:sz w:val="22"/>
        <w:szCs w:val="22"/>
      </w:rPr>
    </w:lvl>
    <w:lvl w:ilvl="2" w:tplc="71DC8388">
      <w:numFmt w:val="bullet"/>
      <w:lvlText w:val="•"/>
      <w:lvlJc w:val="left"/>
      <w:pPr>
        <w:ind w:left="1954" w:hanging="720"/>
      </w:pPr>
      <w:rPr>
        <w:rFonts w:hint="default"/>
      </w:rPr>
    </w:lvl>
    <w:lvl w:ilvl="3" w:tplc="9E9AFD0A">
      <w:numFmt w:val="bullet"/>
      <w:lvlText w:val="•"/>
      <w:lvlJc w:val="left"/>
      <w:pPr>
        <w:ind w:left="2949" w:hanging="720"/>
      </w:pPr>
      <w:rPr>
        <w:rFonts w:hint="default"/>
      </w:rPr>
    </w:lvl>
    <w:lvl w:ilvl="4" w:tplc="02780382">
      <w:numFmt w:val="bullet"/>
      <w:lvlText w:val="•"/>
      <w:lvlJc w:val="left"/>
      <w:pPr>
        <w:ind w:left="3943" w:hanging="720"/>
      </w:pPr>
      <w:rPr>
        <w:rFonts w:hint="default"/>
      </w:rPr>
    </w:lvl>
    <w:lvl w:ilvl="5" w:tplc="037E646E">
      <w:numFmt w:val="bullet"/>
      <w:lvlText w:val="•"/>
      <w:lvlJc w:val="left"/>
      <w:pPr>
        <w:ind w:left="4938" w:hanging="720"/>
      </w:pPr>
      <w:rPr>
        <w:rFonts w:hint="default"/>
      </w:rPr>
    </w:lvl>
    <w:lvl w:ilvl="6" w:tplc="6ED09396">
      <w:numFmt w:val="bullet"/>
      <w:lvlText w:val="•"/>
      <w:lvlJc w:val="left"/>
      <w:pPr>
        <w:ind w:left="5932" w:hanging="720"/>
      </w:pPr>
      <w:rPr>
        <w:rFonts w:hint="default"/>
      </w:rPr>
    </w:lvl>
    <w:lvl w:ilvl="7" w:tplc="8DD81F8E">
      <w:numFmt w:val="bullet"/>
      <w:lvlText w:val="•"/>
      <w:lvlJc w:val="left"/>
      <w:pPr>
        <w:ind w:left="6927" w:hanging="720"/>
      </w:pPr>
      <w:rPr>
        <w:rFonts w:hint="default"/>
      </w:rPr>
    </w:lvl>
    <w:lvl w:ilvl="8" w:tplc="D236DABE">
      <w:numFmt w:val="bullet"/>
      <w:lvlText w:val="•"/>
      <w:lvlJc w:val="left"/>
      <w:pPr>
        <w:ind w:left="7922" w:hanging="720"/>
      </w:pPr>
      <w:rPr>
        <w:rFonts w:hint="default"/>
      </w:rPr>
    </w:lvl>
  </w:abstractNum>
  <w:abstractNum w:abstractNumId="318" w15:restartNumberingAfterBreak="0">
    <w:nsid w:val="43263E64"/>
    <w:multiLevelType w:val="hybridMultilevel"/>
    <w:tmpl w:val="891EA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9" w15:restartNumberingAfterBreak="0">
    <w:nsid w:val="4329487C"/>
    <w:multiLevelType w:val="hybridMultilevel"/>
    <w:tmpl w:val="0BE82794"/>
    <w:lvl w:ilvl="0" w:tplc="FE52F106">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435D125F"/>
    <w:multiLevelType w:val="hybridMultilevel"/>
    <w:tmpl w:val="120A8A34"/>
    <w:lvl w:ilvl="0" w:tplc="04090001">
      <w:start w:val="1"/>
      <w:numFmt w:val="bullet"/>
      <w:lvlText w:val=""/>
      <w:lvlJc w:val="left"/>
      <w:pPr>
        <w:tabs>
          <w:tab w:val="num" w:pos="1854"/>
        </w:tabs>
        <w:ind w:left="1854" w:hanging="360"/>
      </w:pPr>
      <w:rPr>
        <w:rFonts w:ascii="Symbol" w:hAnsi="Symbol" w:hint="default"/>
      </w:rPr>
    </w:lvl>
    <w:lvl w:ilvl="1" w:tplc="04090003" w:tentative="1">
      <w:start w:val="1"/>
      <w:numFmt w:val="bullet"/>
      <w:lvlText w:val="o"/>
      <w:lvlJc w:val="left"/>
      <w:pPr>
        <w:tabs>
          <w:tab w:val="num" w:pos="2574"/>
        </w:tabs>
        <w:ind w:left="2574" w:hanging="360"/>
      </w:pPr>
      <w:rPr>
        <w:rFonts w:ascii="Courier New" w:hAnsi="Courier New" w:cs="Courier New" w:hint="default"/>
      </w:rPr>
    </w:lvl>
    <w:lvl w:ilvl="2" w:tplc="04090005" w:tentative="1">
      <w:start w:val="1"/>
      <w:numFmt w:val="bullet"/>
      <w:lvlText w:val=""/>
      <w:lvlJc w:val="left"/>
      <w:pPr>
        <w:tabs>
          <w:tab w:val="num" w:pos="3294"/>
        </w:tabs>
        <w:ind w:left="3294" w:hanging="360"/>
      </w:pPr>
      <w:rPr>
        <w:rFonts w:ascii="Wingdings" w:hAnsi="Wingdings" w:hint="default"/>
      </w:rPr>
    </w:lvl>
    <w:lvl w:ilvl="3" w:tplc="04090001" w:tentative="1">
      <w:start w:val="1"/>
      <w:numFmt w:val="bullet"/>
      <w:lvlText w:val=""/>
      <w:lvlJc w:val="left"/>
      <w:pPr>
        <w:tabs>
          <w:tab w:val="num" w:pos="4014"/>
        </w:tabs>
        <w:ind w:left="4014" w:hanging="360"/>
      </w:pPr>
      <w:rPr>
        <w:rFonts w:ascii="Symbol" w:hAnsi="Symbol" w:hint="default"/>
      </w:rPr>
    </w:lvl>
    <w:lvl w:ilvl="4" w:tplc="04090003" w:tentative="1">
      <w:start w:val="1"/>
      <w:numFmt w:val="bullet"/>
      <w:lvlText w:val="o"/>
      <w:lvlJc w:val="left"/>
      <w:pPr>
        <w:tabs>
          <w:tab w:val="num" w:pos="4734"/>
        </w:tabs>
        <w:ind w:left="4734" w:hanging="360"/>
      </w:pPr>
      <w:rPr>
        <w:rFonts w:ascii="Courier New" w:hAnsi="Courier New" w:cs="Courier New" w:hint="default"/>
      </w:rPr>
    </w:lvl>
    <w:lvl w:ilvl="5" w:tplc="04090005" w:tentative="1">
      <w:start w:val="1"/>
      <w:numFmt w:val="bullet"/>
      <w:lvlText w:val=""/>
      <w:lvlJc w:val="left"/>
      <w:pPr>
        <w:tabs>
          <w:tab w:val="num" w:pos="5454"/>
        </w:tabs>
        <w:ind w:left="5454" w:hanging="360"/>
      </w:pPr>
      <w:rPr>
        <w:rFonts w:ascii="Wingdings" w:hAnsi="Wingdings" w:hint="default"/>
      </w:rPr>
    </w:lvl>
    <w:lvl w:ilvl="6" w:tplc="04090001" w:tentative="1">
      <w:start w:val="1"/>
      <w:numFmt w:val="bullet"/>
      <w:lvlText w:val=""/>
      <w:lvlJc w:val="left"/>
      <w:pPr>
        <w:tabs>
          <w:tab w:val="num" w:pos="6174"/>
        </w:tabs>
        <w:ind w:left="6174" w:hanging="360"/>
      </w:pPr>
      <w:rPr>
        <w:rFonts w:ascii="Symbol" w:hAnsi="Symbol" w:hint="default"/>
      </w:rPr>
    </w:lvl>
    <w:lvl w:ilvl="7" w:tplc="04090003" w:tentative="1">
      <w:start w:val="1"/>
      <w:numFmt w:val="bullet"/>
      <w:lvlText w:val="o"/>
      <w:lvlJc w:val="left"/>
      <w:pPr>
        <w:tabs>
          <w:tab w:val="num" w:pos="6894"/>
        </w:tabs>
        <w:ind w:left="6894" w:hanging="360"/>
      </w:pPr>
      <w:rPr>
        <w:rFonts w:ascii="Courier New" w:hAnsi="Courier New" w:cs="Courier New" w:hint="default"/>
      </w:rPr>
    </w:lvl>
    <w:lvl w:ilvl="8" w:tplc="04090005" w:tentative="1">
      <w:start w:val="1"/>
      <w:numFmt w:val="bullet"/>
      <w:lvlText w:val=""/>
      <w:lvlJc w:val="left"/>
      <w:pPr>
        <w:tabs>
          <w:tab w:val="num" w:pos="7614"/>
        </w:tabs>
        <w:ind w:left="7614" w:hanging="360"/>
      </w:pPr>
      <w:rPr>
        <w:rFonts w:ascii="Wingdings" w:hAnsi="Wingdings" w:hint="default"/>
      </w:rPr>
    </w:lvl>
  </w:abstractNum>
  <w:abstractNum w:abstractNumId="321" w15:restartNumberingAfterBreak="0">
    <w:nsid w:val="43BC53AB"/>
    <w:multiLevelType w:val="multilevel"/>
    <w:tmpl w:val="2076AB90"/>
    <w:numStyleLink w:val="Style2"/>
  </w:abstractNum>
  <w:abstractNum w:abstractNumId="322" w15:restartNumberingAfterBreak="0">
    <w:nsid w:val="43D46DEE"/>
    <w:multiLevelType w:val="multilevel"/>
    <w:tmpl w:val="520AC4F4"/>
    <w:lvl w:ilvl="0">
      <w:start w:val="6"/>
      <w:numFmt w:val="decimal"/>
      <w:lvlText w:val="P%1"/>
      <w:lvlJc w:val="left"/>
      <w:pPr>
        <w:ind w:left="363" w:hanging="363"/>
      </w:pPr>
      <w:rPr>
        <w:rFonts w:ascii="Avenir LT 85 Heavy" w:hAnsi="Avenir LT 85 Heavy" w:hint="default"/>
        <w:sz w:val="20"/>
      </w:rPr>
    </w:lvl>
    <w:lvl w:ilvl="1">
      <w:start w:val="1"/>
      <w:numFmt w:val="decimal"/>
      <w:lvlText w:val="A%1.%2"/>
      <w:lvlJc w:val="left"/>
      <w:pPr>
        <w:ind w:left="363" w:hanging="363"/>
      </w:pPr>
      <w:rPr>
        <w:rFonts w:ascii="Avenir LT 85 Heavy" w:hAnsi="Avenir LT 85 Heavy" w:hint="default"/>
        <w:sz w:val="20"/>
      </w:rPr>
    </w:lvl>
    <w:lvl w:ilvl="2">
      <w:start w:val="1"/>
      <w:numFmt w:val="lowerRoman"/>
      <w:lvlText w:val="%3)"/>
      <w:lvlJc w:val="left"/>
      <w:pPr>
        <w:ind w:left="1077" w:hanging="363"/>
      </w:pPr>
      <w:rPr>
        <w:rFonts w:hint="default"/>
      </w:rPr>
    </w:lvl>
    <w:lvl w:ilvl="3">
      <w:start w:val="1"/>
      <w:numFmt w:val="decimal"/>
      <w:lvlText w:val="(%4)"/>
      <w:lvlJc w:val="left"/>
      <w:pPr>
        <w:ind w:left="1434" w:hanging="363"/>
      </w:pPr>
      <w:rPr>
        <w:rFonts w:hint="default"/>
      </w:rPr>
    </w:lvl>
    <w:lvl w:ilvl="4">
      <w:start w:val="1"/>
      <w:numFmt w:val="lowerLetter"/>
      <w:lvlText w:val="(%5)"/>
      <w:lvlJc w:val="left"/>
      <w:pPr>
        <w:ind w:left="1791" w:hanging="363"/>
      </w:pPr>
      <w:rPr>
        <w:rFonts w:hint="default"/>
      </w:rPr>
    </w:lvl>
    <w:lvl w:ilvl="5">
      <w:start w:val="1"/>
      <w:numFmt w:val="lowerRoman"/>
      <w:lvlText w:val="(%6)"/>
      <w:lvlJc w:val="left"/>
      <w:pPr>
        <w:ind w:left="2148" w:hanging="363"/>
      </w:pPr>
      <w:rPr>
        <w:rFonts w:hint="default"/>
      </w:rPr>
    </w:lvl>
    <w:lvl w:ilvl="6">
      <w:start w:val="1"/>
      <w:numFmt w:val="decimal"/>
      <w:lvlText w:val="%7."/>
      <w:lvlJc w:val="left"/>
      <w:pPr>
        <w:ind w:left="2505" w:hanging="363"/>
      </w:pPr>
      <w:rPr>
        <w:rFonts w:hint="default"/>
      </w:rPr>
    </w:lvl>
    <w:lvl w:ilvl="7">
      <w:start w:val="1"/>
      <w:numFmt w:val="lowerLetter"/>
      <w:lvlText w:val="%8."/>
      <w:lvlJc w:val="left"/>
      <w:pPr>
        <w:ind w:left="2862" w:hanging="363"/>
      </w:pPr>
      <w:rPr>
        <w:rFonts w:hint="default"/>
      </w:rPr>
    </w:lvl>
    <w:lvl w:ilvl="8">
      <w:start w:val="1"/>
      <w:numFmt w:val="lowerRoman"/>
      <w:lvlText w:val="%9."/>
      <w:lvlJc w:val="left"/>
      <w:pPr>
        <w:ind w:left="3219" w:hanging="363"/>
      </w:pPr>
      <w:rPr>
        <w:rFonts w:hint="default"/>
      </w:rPr>
    </w:lvl>
  </w:abstractNum>
  <w:abstractNum w:abstractNumId="323" w15:restartNumberingAfterBreak="0">
    <w:nsid w:val="43E31FF2"/>
    <w:multiLevelType w:val="hybridMultilevel"/>
    <w:tmpl w:val="8C88D9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4" w15:restartNumberingAfterBreak="0">
    <w:nsid w:val="43EA1F41"/>
    <w:multiLevelType w:val="hybridMultilevel"/>
    <w:tmpl w:val="7EF27AE6"/>
    <w:lvl w:ilvl="0" w:tplc="6B260330">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5" w15:restartNumberingAfterBreak="0">
    <w:nsid w:val="440F2685"/>
    <w:multiLevelType w:val="hybridMultilevel"/>
    <w:tmpl w:val="BC72FA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6" w15:restartNumberingAfterBreak="0">
    <w:nsid w:val="444015E2"/>
    <w:multiLevelType w:val="hybridMultilevel"/>
    <w:tmpl w:val="35380C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7" w15:restartNumberingAfterBreak="0">
    <w:nsid w:val="44E828F6"/>
    <w:multiLevelType w:val="multilevel"/>
    <w:tmpl w:val="177A1206"/>
    <w:numStyleLink w:val="Style4"/>
  </w:abstractNum>
  <w:abstractNum w:abstractNumId="328" w15:restartNumberingAfterBreak="0">
    <w:nsid w:val="44F529FC"/>
    <w:multiLevelType w:val="hybridMultilevel"/>
    <w:tmpl w:val="E9F84CFE"/>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9" w15:restartNumberingAfterBreak="0">
    <w:nsid w:val="453413BB"/>
    <w:multiLevelType w:val="multilevel"/>
    <w:tmpl w:val="177A1206"/>
    <w:numStyleLink w:val="Style4"/>
  </w:abstractNum>
  <w:abstractNum w:abstractNumId="330" w15:restartNumberingAfterBreak="0">
    <w:nsid w:val="457A211D"/>
    <w:multiLevelType w:val="multilevel"/>
    <w:tmpl w:val="2076AB90"/>
    <w:numStyleLink w:val="Style2"/>
  </w:abstractNum>
  <w:abstractNum w:abstractNumId="331" w15:restartNumberingAfterBreak="0">
    <w:nsid w:val="458418C0"/>
    <w:multiLevelType w:val="hybridMultilevel"/>
    <w:tmpl w:val="70A869E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32" w15:restartNumberingAfterBreak="0">
    <w:nsid w:val="45AB78BA"/>
    <w:multiLevelType w:val="hybridMultilevel"/>
    <w:tmpl w:val="3CE6B974"/>
    <w:lvl w:ilvl="0" w:tplc="1982E680">
      <w:start w:val="1"/>
      <w:numFmt w:val="decimal"/>
      <w:lvlText w:val="(%1)"/>
      <w:lvlJc w:val="left"/>
      <w:pPr>
        <w:ind w:left="1077" w:hanging="360"/>
      </w:pPr>
      <w:rPr>
        <w:rFonts w:asciiTheme="minorHAnsi" w:hAnsiTheme="minorHAnsi" w:cstheme="minorHAnsi" w:hint="default"/>
        <w:sz w:val="22"/>
        <w:szCs w:val="22"/>
      </w:r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333" w15:restartNumberingAfterBreak="0">
    <w:nsid w:val="45BE4EA6"/>
    <w:multiLevelType w:val="hybridMultilevel"/>
    <w:tmpl w:val="04B62AEA"/>
    <w:lvl w:ilvl="0" w:tplc="BB8682BA">
      <w:start w:val="1"/>
      <w:numFmt w:val="decimal"/>
      <w:lvlText w:val="%1."/>
      <w:lvlJc w:val="left"/>
      <w:pPr>
        <w:ind w:left="177" w:hanging="178"/>
      </w:pPr>
      <w:rPr>
        <w:rFonts w:ascii="Arial" w:eastAsia="Arial" w:hAnsi="Arial" w:cs="Arial" w:hint="default"/>
        <w:b/>
        <w:bCs/>
        <w:spacing w:val="-1"/>
        <w:w w:val="99"/>
        <w:sz w:val="16"/>
        <w:szCs w:val="16"/>
        <w:lang w:val="en-AU" w:eastAsia="en-US" w:bidi="ar-SA"/>
      </w:rPr>
    </w:lvl>
    <w:lvl w:ilvl="1" w:tplc="ACCC9C68">
      <w:numFmt w:val="bullet"/>
      <w:lvlText w:val="•"/>
      <w:lvlJc w:val="left"/>
      <w:pPr>
        <w:ind w:left="372" w:hanging="178"/>
      </w:pPr>
      <w:rPr>
        <w:rFonts w:hint="default"/>
        <w:lang w:val="en-AU" w:eastAsia="en-US" w:bidi="ar-SA"/>
      </w:rPr>
    </w:lvl>
    <w:lvl w:ilvl="2" w:tplc="A8F4081C">
      <w:numFmt w:val="bullet"/>
      <w:lvlText w:val="•"/>
      <w:lvlJc w:val="left"/>
      <w:pPr>
        <w:ind w:left="565" w:hanging="178"/>
      </w:pPr>
      <w:rPr>
        <w:rFonts w:hint="default"/>
        <w:lang w:val="en-AU" w:eastAsia="en-US" w:bidi="ar-SA"/>
      </w:rPr>
    </w:lvl>
    <w:lvl w:ilvl="3" w:tplc="9ABED720">
      <w:numFmt w:val="bullet"/>
      <w:lvlText w:val="•"/>
      <w:lvlJc w:val="left"/>
      <w:pPr>
        <w:ind w:left="758" w:hanging="178"/>
      </w:pPr>
      <w:rPr>
        <w:rFonts w:hint="default"/>
        <w:lang w:val="en-AU" w:eastAsia="en-US" w:bidi="ar-SA"/>
      </w:rPr>
    </w:lvl>
    <w:lvl w:ilvl="4" w:tplc="965E2DBC">
      <w:numFmt w:val="bullet"/>
      <w:lvlText w:val="•"/>
      <w:lvlJc w:val="left"/>
      <w:pPr>
        <w:ind w:left="951" w:hanging="178"/>
      </w:pPr>
      <w:rPr>
        <w:rFonts w:hint="default"/>
        <w:lang w:val="en-AU" w:eastAsia="en-US" w:bidi="ar-SA"/>
      </w:rPr>
    </w:lvl>
    <w:lvl w:ilvl="5" w:tplc="F530DAB8">
      <w:numFmt w:val="bullet"/>
      <w:lvlText w:val="•"/>
      <w:lvlJc w:val="left"/>
      <w:pPr>
        <w:ind w:left="1144" w:hanging="178"/>
      </w:pPr>
      <w:rPr>
        <w:rFonts w:hint="default"/>
        <w:lang w:val="en-AU" w:eastAsia="en-US" w:bidi="ar-SA"/>
      </w:rPr>
    </w:lvl>
    <w:lvl w:ilvl="6" w:tplc="6CA0D66A">
      <w:numFmt w:val="bullet"/>
      <w:lvlText w:val="•"/>
      <w:lvlJc w:val="left"/>
      <w:pPr>
        <w:ind w:left="1336" w:hanging="178"/>
      </w:pPr>
      <w:rPr>
        <w:rFonts w:hint="default"/>
        <w:lang w:val="en-AU" w:eastAsia="en-US" w:bidi="ar-SA"/>
      </w:rPr>
    </w:lvl>
    <w:lvl w:ilvl="7" w:tplc="4AF2AA10">
      <w:numFmt w:val="bullet"/>
      <w:lvlText w:val="•"/>
      <w:lvlJc w:val="left"/>
      <w:pPr>
        <w:ind w:left="1529" w:hanging="178"/>
      </w:pPr>
      <w:rPr>
        <w:rFonts w:hint="default"/>
        <w:lang w:val="en-AU" w:eastAsia="en-US" w:bidi="ar-SA"/>
      </w:rPr>
    </w:lvl>
    <w:lvl w:ilvl="8" w:tplc="CC10002A">
      <w:numFmt w:val="bullet"/>
      <w:lvlText w:val="•"/>
      <w:lvlJc w:val="left"/>
      <w:pPr>
        <w:ind w:left="1722" w:hanging="178"/>
      </w:pPr>
      <w:rPr>
        <w:rFonts w:hint="default"/>
        <w:lang w:val="en-AU" w:eastAsia="en-US" w:bidi="ar-SA"/>
      </w:rPr>
    </w:lvl>
  </w:abstractNum>
  <w:abstractNum w:abstractNumId="334" w15:restartNumberingAfterBreak="0">
    <w:nsid w:val="45DD62E7"/>
    <w:multiLevelType w:val="hybridMultilevel"/>
    <w:tmpl w:val="F3907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5" w15:restartNumberingAfterBreak="0">
    <w:nsid w:val="46253641"/>
    <w:multiLevelType w:val="hybridMultilevel"/>
    <w:tmpl w:val="51EE6648"/>
    <w:lvl w:ilvl="0" w:tplc="4ADE9276">
      <w:start w:val="1"/>
      <w:numFmt w:val="lowerLetter"/>
      <w:lvlText w:val="%1)"/>
      <w:lvlJc w:val="left"/>
      <w:pPr>
        <w:ind w:left="1289" w:hanging="437"/>
        <w:jc w:val="right"/>
      </w:pPr>
      <w:rPr>
        <w:rFonts w:ascii="Verdana" w:eastAsia="Verdana" w:hAnsi="Verdana" w:cs="Verdana" w:hint="default"/>
        <w:color w:val="010202"/>
        <w:spacing w:val="-1"/>
        <w:w w:val="100"/>
        <w:sz w:val="22"/>
        <w:szCs w:val="22"/>
      </w:rPr>
    </w:lvl>
    <w:lvl w:ilvl="1" w:tplc="4F780914">
      <w:numFmt w:val="bullet"/>
      <w:lvlText w:val=""/>
      <w:lvlJc w:val="left"/>
      <w:pPr>
        <w:ind w:left="1571" w:hanging="284"/>
      </w:pPr>
      <w:rPr>
        <w:rFonts w:ascii="Symbol" w:eastAsia="Symbol" w:hAnsi="Symbol" w:cs="Symbol" w:hint="default"/>
        <w:color w:val="010202"/>
        <w:w w:val="100"/>
        <w:sz w:val="22"/>
        <w:szCs w:val="22"/>
      </w:rPr>
    </w:lvl>
    <w:lvl w:ilvl="2" w:tplc="87CE8786">
      <w:numFmt w:val="bullet"/>
      <w:lvlText w:val="•"/>
      <w:lvlJc w:val="left"/>
      <w:pPr>
        <w:ind w:left="1580" w:hanging="284"/>
      </w:pPr>
      <w:rPr>
        <w:rFonts w:hint="default"/>
      </w:rPr>
    </w:lvl>
    <w:lvl w:ilvl="3" w:tplc="B1801774">
      <w:numFmt w:val="bullet"/>
      <w:lvlText w:val="•"/>
      <w:lvlJc w:val="left"/>
      <w:pPr>
        <w:ind w:left="1750" w:hanging="284"/>
      </w:pPr>
      <w:rPr>
        <w:rFonts w:hint="default"/>
      </w:rPr>
    </w:lvl>
    <w:lvl w:ilvl="4" w:tplc="1A7EAAC6">
      <w:numFmt w:val="bullet"/>
      <w:lvlText w:val="•"/>
      <w:lvlJc w:val="left"/>
      <w:pPr>
        <w:ind w:left="1921" w:hanging="284"/>
      </w:pPr>
      <w:rPr>
        <w:rFonts w:hint="default"/>
      </w:rPr>
    </w:lvl>
    <w:lvl w:ilvl="5" w:tplc="1E90F888">
      <w:numFmt w:val="bullet"/>
      <w:lvlText w:val="•"/>
      <w:lvlJc w:val="left"/>
      <w:pPr>
        <w:ind w:left="2092" w:hanging="284"/>
      </w:pPr>
      <w:rPr>
        <w:rFonts w:hint="default"/>
      </w:rPr>
    </w:lvl>
    <w:lvl w:ilvl="6" w:tplc="1774222C">
      <w:numFmt w:val="bullet"/>
      <w:lvlText w:val="•"/>
      <w:lvlJc w:val="left"/>
      <w:pPr>
        <w:ind w:left="2262" w:hanging="284"/>
      </w:pPr>
      <w:rPr>
        <w:rFonts w:hint="default"/>
      </w:rPr>
    </w:lvl>
    <w:lvl w:ilvl="7" w:tplc="669CD6D2">
      <w:numFmt w:val="bullet"/>
      <w:lvlText w:val="•"/>
      <w:lvlJc w:val="left"/>
      <w:pPr>
        <w:ind w:left="2433" w:hanging="284"/>
      </w:pPr>
      <w:rPr>
        <w:rFonts w:hint="default"/>
      </w:rPr>
    </w:lvl>
    <w:lvl w:ilvl="8" w:tplc="DD442A5E">
      <w:numFmt w:val="bullet"/>
      <w:lvlText w:val="•"/>
      <w:lvlJc w:val="left"/>
      <w:pPr>
        <w:ind w:left="2604" w:hanging="284"/>
      </w:pPr>
      <w:rPr>
        <w:rFonts w:hint="default"/>
      </w:rPr>
    </w:lvl>
  </w:abstractNum>
  <w:abstractNum w:abstractNumId="336" w15:restartNumberingAfterBreak="0">
    <w:nsid w:val="464917F6"/>
    <w:multiLevelType w:val="multilevel"/>
    <w:tmpl w:val="C6B48ADC"/>
    <w:lvl w:ilvl="0">
      <w:start w:val="3"/>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337" w15:restartNumberingAfterBreak="0">
    <w:nsid w:val="46544E98"/>
    <w:multiLevelType w:val="hybridMultilevel"/>
    <w:tmpl w:val="A2BA2762"/>
    <w:lvl w:ilvl="0" w:tplc="45B0D4EE">
      <w:start w:val="1"/>
      <w:numFmt w:val="decimal"/>
      <w:lvlText w:val="%1."/>
      <w:lvlJc w:val="left"/>
      <w:pPr>
        <w:ind w:left="480" w:hanging="360"/>
      </w:pPr>
      <w:rPr>
        <w:rFonts w:hint="default"/>
        <w:b/>
        <w:bCs/>
        <w:w w:val="100"/>
      </w:rPr>
    </w:lvl>
    <w:lvl w:ilvl="1" w:tplc="6B368022">
      <w:start w:val="1"/>
      <w:numFmt w:val="lowerRoman"/>
      <w:lvlText w:val="%2."/>
      <w:lvlJc w:val="left"/>
      <w:pPr>
        <w:ind w:left="1200" w:hanging="720"/>
      </w:pPr>
      <w:rPr>
        <w:rFonts w:hint="default"/>
        <w:spacing w:val="-1"/>
        <w:w w:val="100"/>
      </w:rPr>
    </w:lvl>
    <w:lvl w:ilvl="2" w:tplc="0E4A8768">
      <w:start w:val="1"/>
      <w:numFmt w:val="lowerLetter"/>
      <w:lvlText w:val="%3)"/>
      <w:lvlJc w:val="left"/>
      <w:pPr>
        <w:ind w:left="1560" w:hanging="720"/>
      </w:pPr>
      <w:rPr>
        <w:rFonts w:ascii="Calibri" w:eastAsia="Calibri" w:hAnsi="Calibri" w:cs="Calibri" w:hint="default"/>
        <w:w w:val="100"/>
        <w:sz w:val="22"/>
        <w:szCs w:val="22"/>
      </w:rPr>
    </w:lvl>
    <w:lvl w:ilvl="3" w:tplc="2842D72A">
      <w:numFmt w:val="bullet"/>
      <w:lvlText w:val="•"/>
      <w:lvlJc w:val="left"/>
      <w:pPr>
        <w:ind w:left="1420" w:hanging="720"/>
      </w:pPr>
      <w:rPr>
        <w:rFonts w:hint="default"/>
      </w:rPr>
    </w:lvl>
    <w:lvl w:ilvl="4" w:tplc="154A3B06">
      <w:numFmt w:val="bullet"/>
      <w:lvlText w:val="•"/>
      <w:lvlJc w:val="left"/>
      <w:pPr>
        <w:ind w:left="1560" w:hanging="720"/>
      </w:pPr>
      <w:rPr>
        <w:rFonts w:hint="default"/>
      </w:rPr>
    </w:lvl>
    <w:lvl w:ilvl="5" w:tplc="DD9C63CC">
      <w:numFmt w:val="bullet"/>
      <w:lvlText w:val="•"/>
      <w:lvlJc w:val="left"/>
      <w:pPr>
        <w:ind w:left="2901" w:hanging="720"/>
      </w:pPr>
      <w:rPr>
        <w:rFonts w:hint="default"/>
      </w:rPr>
    </w:lvl>
    <w:lvl w:ilvl="6" w:tplc="F72616BE">
      <w:numFmt w:val="bullet"/>
      <w:lvlText w:val="•"/>
      <w:lvlJc w:val="left"/>
      <w:pPr>
        <w:ind w:left="4242" w:hanging="720"/>
      </w:pPr>
      <w:rPr>
        <w:rFonts w:hint="default"/>
      </w:rPr>
    </w:lvl>
    <w:lvl w:ilvl="7" w:tplc="B7245D84">
      <w:numFmt w:val="bullet"/>
      <w:lvlText w:val="•"/>
      <w:lvlJc w:val="left"/>
      <w:pPr>
        <w:ind w:left="5583" w:hanging="720"/>
      </w:pPr>
      <w:rPr>
        <w:rFonts w:hint="default"/>
      </w:rPr>
    </w:lvl>
    <w:lvl w:ilvl="8" w:tplc="2968FAB0">
      <w:numFmt w:val="bullet"/>
      <w:lvlText w:val="•"/>
      <w:lvlJc w:val="left"/>
      <w:pPr>
        <w:ind w:left="6924" w:hanging="720"/>
      </w:pPr>
      <w:rPr>
        <w:rFonts w:hint="default"/>
      </w:rPr>
    </w:lvl>
  </w:abstractNum>
  <w:abstractNum w:abstractNumId="338" w15:restartNumberingAfterBreak="0">
    <w:nsid w:val="46A56DF6"/>
    <w:multiLevelType w:val="hybridMultilevel"/>
    <w:tmpl w:val="9668C1E6"/>
    <w:lvl w:ilvl="0" w:tplc="42449D9E">
      <w:numFmt w:val="bullet"/>
      <w:lvlText w:val="-"/>
      <w:lvlJc w:val="left"/>
      <w:pPr>
        <w:ind w:left="677" w:hanging="360"/>
      </w:pPr>
      <w:rPr>
        <w:rFonts w:ascii="Arial" w:eastAsia="Cambria" w:hAnsi="Arial" w:cs="Arial" w:hint="default"/>
      </w:rPr>
    </w:lvl>
    <w:lvl w:ilvl="1" w:tplc="04090003" w:tentative="1">
      <w:start w:val="1"/>
      <w:numFmt w:val="bullet"/>
      <w:lvlText w:val="o"/>
      <w:lvlJc w:val="left"/>
      <w:pPr>
        <w:ind w:left="1397" w:hanging="360"/>
      </w:pPr>
      <w:rPr>
        <w:rFonts w:ascii="Courier New" w:hAnsi="Courier New" w:cs="Courier New" w:hint="default"/>
      </w:rPr>
    </w:lvl>
    <w:lvl w:ilvl="2" w:tplc="04090005" w:tentative="1">
      <w:start w:val="1"/>
      <w:numFmt w:val="bullet"/>
      <w:lvlText w:val=""/>
      <w:lvlJc w:val="left"/>
      <w:pPr>
        <w:ind w:left="2117" w:hanging="360"/>
      </w:pPr>
      <w:rPr>
        <w:rFonts w:ascii="Wingdings" w:hAnsi="Wingdings" w:hint="default"/>
      </w:rPr>
    </w:lvl>
    <w:lvl w:ilvl="3" w:tplc="04090001" w:tentative="1">
      <w:start w:val="1"/>
      <w:numFmt w:val="bullet"/>
      <w:lvlText w:val=""/>
      <w:lvlJc w:val="left"/>
      <w:pPr>
        <w:ind w:left="2837" w:hanging="360"/>
      </w:pPr>
      <w:rPr>
        <w:rFonts w:ascii="Symbol" w:hAnsi="Symbol" w:hint="default"/>
      </w:rPr>
    </w:lvl>
    <w:lvl w:ilvl="4" w:tplc="04090003" w:tentative="1">
      <w:start w:val="1"/>
      <w:numFmt w:val="bullet"/>
      <w:lvlText w:val="o"/>
      <w:lvlJc w:val="left"/>
      <w:pPr>
        <w:ind w:left="3557" w:hanging="360"/>
      </w:pPr>
      <w:rPr>
        <w:rFonts w:ascii="Courier New" w:hAnsi="Courier New" w:cs="Courier New" w:hint="default"/>
      </w:rPr>
    </w:lvl>
    <w:lvl w:ilvl="5" w:tplc="04090005" w:tentative="1">
      <w:start w:val="1"/>
      <w:numFmt w:val="bullet"/>
      <w:lvlText w:val=""/>
      <w:lvlJc w:val="left"/>
      <w:pPr>
        <w:ind w:left="4277" w:hanging="360"/>
      </w:pPr>
      <w:rPr>
        <w:rFonts w:ascii="Wingdings" w:hAnsi="Wingdings" w:hint="default"/>
      </w:rPr>
    </w:lvl>
    <w:lvl w:ilvl="6" w:tplc="04090001" w:tentative="1">
      <w:start w:val="1"/>
      <w:numFmt w:val="bullet"/>
      <w:lvlText w:val=""/>
      <w:lvlJc w:val="left"/>
      <w:pPr>
        <w:ind w:left="4997" w:hanging="360"/>
      </w:pPr>
      <w:rPr>
        <w:rFonts w:ascii="Symbol" w:hAnsi="Symbol" w:hint="default"/>
      </w:rPr>
    </w:lvl>
    <w:lvl w:ilvl="7" w:tplc="04090003" w:tentative="1">
      <w:start w:val="1"/>
      <w:numFmt w:val="bullet"/>
      <w:lvlText w:val="o"/>
      <w:lvlJc w:val="left"/>
      <w:pPr>
        <w:ind w:left="5717" w:hanging="360"/>
      </w:pPr>
      <w:rPr>
        <w:rFonts w:ascii="Courier New" w:hAnsi="Courier New" w:cs="Courier New" w:hint="default"/>
      </w:rPr>
    </w:lvl>
    <w:lvl w:ilvl="8" w:tplc="04090005" w:tentative="1">
      <w:start w:val="1"/>
      <w:numFmt w:val="bullet"/>
      <w:lvlText w:val=""/>
      <w:lvlJc w:val="left"/>
      <w:pPr>
        <w:ind w:left="6437" w:hanging="360"/>
      </w:pPr>
      <w:rPr>
        <w:rFonts w:ascii="Wingdings" w:hAnsi="Wingdings" w:hint="default"/>
      </w:rPr>
    </w:lvl>
  </w:abstractNum>
  <w:abstractNum w:abstractNumId="339" w15:restartNumberingAfterBreak="0">
    <w:nsid w:val="46C06DDA"/>
    <w:multiLevelType w:val="multilevel"/>
    <w:tmpl w:val="43C2D39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0" w15:restartNumberingAfterBreak="0">
    <w:nsid w:val="46C5438C"/>
    <w:multiLevelType w:val="hybridMultilevel"/>
    <w:tmpl w:val="2C8C547E"/>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1" w15:restartNumberingAfterBreak="0">
    <w:nsid w:val="46E86C80"/>
    <w:multiLevelType w:val="multilevel"/>
    <w:tmpl w:val="177A1206"/>
    <w:numStyleLink w:val="Style4"/>
  </w:abstractNum>
  <w:abstractNum w:abstractNumId="342" w15:restartNumberingAfterBreak="0">
    <w:nsid w:val="47584358"/>
    <w:multiLevelType w:val="hybridMultilevel"/>
    <w:tmpl w:val="833E7504"/>
    <w:lvl w:ilvl="0" w:tplc="04090001">
      <w:start w:val="1"/>
      <w:numFmt w:val="bullet"/>
      <w:lvlText w:val=""/>
      <w:lvlJc w:val="left"/>
      <w:pPr>
        <w:tabs>
          <w:tab w:val="num" w:pos="3240"/>
        </w:tabs>
        <w:ind w:left="3240" w:hanging="360"/>
      </w:pPr>
      <w:rPr>
        <w:rFonts w:ascii="Symbol" w:hAnsi="Symbol" w:hint="default"/>
      </w:rPr>
    </w:lvl>
    <w:lvl w:ilvl="1" w:tplc="04090003" w:tentative="1">
      <w:start w:val="1"/>
      <w:numFmt w:val="bullet"/>
      <w:lvlText w:val="o"/>
      <w:lvlJc w:val="left"/>
      <w:pPr>
        <w:tabs>
          <w:tab w:val="num" w:pos="3960"/>
        </w:tabs>
        <w:ind w:left="3960" w:hanging="360"/>
      </w:pPr>
      <w:rPr>
        <w:rFonts w:ascii="Courier New" w:hAnsi="Courier New" w:cs="Courier New" w:hint="default"/>
      </w:rPr>
    </w:lvl>
    <w:lvl w:ilvl="2" w:tplc="04090005" w:tentative="1">
      <w:start w:val="1"/>
      <w:numFmt w:val="bullet"/>
      <w:lvlText w:val=""/>
      <w:lvlJc w:val="left"/>
      <w:pPr>
        <w:tabs>
          <w:tab w:val="num" w:pos="4680"/>
        </w:tabs>
        <w:ind w:left="4680" w:hanging="360"/>
      </w:pPr>
      <w:rPr>
        <w:rFonts w:ascii="Wingdings" w:hAnsi="Wingdings" w:hint="default"/>
      </w:rPr>
    </w:lvl>
    <w:lvl w:ilvl="3" w:tplc="04090001" w:tentative="1">
      <w:start w:val="1"/>
      <w:numFmt w:val="bullet"/>
      <w:lvlText w:val=""/>
      <w:lvlJc w:val="left"/>
      <w:pPr>
        <w:tabs>
          <w:tab w:val="num" w:pos="5400"/>
        </w:tabs>
        <w:ind w:left="5400" w:hanging="360"/>
      </w:pPr>
      <w:rPr>
        <w:rFonts w:ascii="Symbol" w:hAnsi="Symbol" w:hint="default"/>
      </w:rPr>
    </w:lvl>
    <w:lvl w:ilvl="4" w:tplc="04090003" w:tentative="1">
      <w:start w:val="1"/>
      <w:numFmt w:val="bullet"/>
      <w:lvlText w:val="o"/>
      <w:lvlJc w:val="left"/>
      <w:pPr>
        <w:tabs>
          <w:tab w:val="num" w:pos="6120"/>
        </w:tabs>
        <w:ind w:left="6120" w:hanging="360"/>
      </w:pPr>
      <w:rPr>
        <w:rFonts w:ascii="Courier New" w:hAnsi="Courier New" w:cs="Courier New" w:hint="default"/>
      </w:rPr>
    </w:lvl>
    <w:lvl w:ilvl="5" w:tplc="04090005" w:tentative="1">
      <w:start w:val="1"/>
      <w:numFmt w:val="bullet"/>
      <w:lvlText w:val=""/>
      <w:lvlJc w:val="left"/>
      <w:pPr>
        <w:tabs>
          <w:tab w:val="num" w:pos="6840"/>
        </w:tabs>
        <w:ind w:left="6840" w:hanging="360"/>
      </w:pPr>
      <w:rPr>
        <w:rFonts w:ascii="Wingdings" w:hAnsi="Wingdings" w:hint="default"/>
      </w:rPr>
    </w:lvl>
    <w:lvl w:ilvl="6" w:tplc="04090001" w:tentative="1">
      <w:start w:val="1"/>
      <w:numFmt w:val="bullet"/>
      <w:lvlText w:val=""/>
      <w:lvlJc w:val="left"/>
      <w:pPr>
        <w:tabs>
          <w:tab w:val="num" w:pos="7560"/>
        </w:tabs>
        <w:ind w:left="7560" w:hanging="360"/>
      </w:pPr>
      <w:rPr>
        <w:rFonts w:ascii="Symbol" w:hAnsi="Symbol" w:hint="default"/>
      </w:rPr>
    </w:lvl>
    <w:lvl w:ilvl="7" w:tplc="04090003" w:tentative="1">
      <w:start w:val="1"/>
      <w:numFmt w:val="bullet"/>
      <w:lvlText w:val="o"/>
      <w:lvlJc w:val="left"/>
      <w:pPr>
        <w:tabs>
          <w:tab w:val="num" w:pos="8280"/>
        </w:tabs>
        <w:ind w:left="8280" w:hanging="360"/>
      </w:pPr>
      <w:rPr>
        <w:rFonts w:ascii="Courier New" w:hAnsi="Courier New" w:cs="Courier New" w:hint="default"/>
      </w:rPr>
    </w:lvl>
    <w:lvl w:ilvl="8" w:tplc="04090005" w:tentative="1">
      <w:start w:val="1"/>
      <w:numFmt w:val="bullet"/>
      <w:lvlText w:val=""/>
      <w:lvlJc w:val="left"/>
      <w:pPr>
        <w:tabs>
          <w:tab w:val="num" w:pos="9000"/>
        </w:tabs>
        <w:ind w:left="9000" w:hanging="360"/>
      </w:pPr>
      <w:rPr>
        <w:rFonts w:ascii="Wingdings" w:hAnsi="Wingdings" w:hint="default"/>
      </w:rPr>
    </w:lvl>
  </w:abstractNum>
  <w:abstractNum w:abstractNumId="343" w15:restartNumberingAfterBreak="0">
    <w:nsid w:val="477E5D6C"/>
    <w:multiLevelType w:val="hybridMultilevel"/>
    <w:tmpl w:val="7BD286F8"/>
    <w:lvl w:ilvl="0" w:tplc="3D80AE54">
      <w:numFmt w:val="bullet"/>
      <w:lvlText w:val="•"/>
      <w:lvlJc w:val="left"/>
      <w:pPr>
        <w:ind w:left="823" w:hanging="360"/>
      </w:pPr>
      <w:rPr>
        <w:rFonts w:ascii="Calibri" w:eastAsia="Calibri" w:hAnsi="Calibri" w:cs="Calibri" w:hint="default"/>
        <w:w w:val="100"/>
        <w:sz w:val="22"/>
        <w:szCs w:val="22"/>
      </w:rPr>
    </w:lvl>
    <w:lvl w:ilvl="1" w:tplc="3A3C6F80">
      <w:numFmt w:val="bullet"/>
      <w:lvlText w:val="•"/>
      <w:lvlJc w:val="left"/>
      <w:pPr>
        <w:ind w:left="1170" w:hanging="360"/>
      </w:pPr>
      <w:rPr>
        <w:rFonts w:hint="default"/>
      </w:rPr>
    </w:lvl>
    <w:lvl w:ilvl="2" w:tplc="F638642A">
      <w:numFmt w:val="bullet"/>
      <w:lvlText w:val="•"/>
      <w:lvlJc w:val="left"/>
      <w:pPr>
        <w:ind w:left="1520" w:hanging="360"/>
      </w:pPr>
      <w:rPr>
        <w:rFonts w:hint="default"/>
      </w:rPr>
    </w:lvl>
    <w:lvl w:ilvl="3" w:tplc="0268A87C">
      <w:numFmt w:val="bullet"/>
      <w:lvlText w:val="•"/>
      <w:lvlJc w:val="left"/>
      <w:pPr>
        <w:ind w:left="1871" w:hanging="360"/>
      </w:pPr>
      <w:rPr>
        <w:rFonts w:hint="default"/>
      </w:rPr>
    </w:lvl>
    <w:lvl w:ilvl="4" w:tplc="0C569D16">
      <w:numFmt w:val="bullet"/>
      <w:lvlText w:val="•"/>
      <w:lvlJc w:val="left"/>
      <w:pPr>
        <w:ind w:left="2221" w:hanging="360"/>
      </w:pPr>
      <w:rPr>
        <w:rFonts w:hint="default"/>
      </w:rPr>
    </w:lvl>
    <w:lvl w:ilvl="5" w:tplc="E9482072">
      <w:numFmt w:val="bullet"/>
      <w:lvlText w:val="•"/>
      <w:lvlJc w:val="left"/>
      <w:pPr>
        <w:ind w:left="2572" w:hanging="360"/>
      </w:pPr>
      <w:rPr>
        <w:rFonts w:hint="default"/>
      </w:rPr>
    </w:lvl>
    <w:lvl w:ilvl="6" w:tplc="4136461A">
      <w:numFmt w:val="bullet"/>
      <w:lvlText w:val="•"/>
      <w:lvlJc w:val="left"/>
      <w:pPr>
        <w:ind w:left="2922" w:hanging="360"/>
      </w:pPr>
      <w:rPr>
        <w:rFonts w:hint="default"/>
      </w:rPr>
    </w:lvl>
    <w:lvl w:ilvl="7" w:tplc="B8AEA484">
      <w:numFmt w:val="bullet"/>
      <w:lvlText w:val="•"/>
      <w:lvlJc w:val="left"/>
      <w:pPr>
        <w:ind w:left="3273" w:hanging="360"/>
      </w:pPr>
      <w:rPr>
        <w:rFonts w:hint="default"/>
      </w:rPr>
    </w:lvl>
    <w:lvl w:ilvl="8" w:tplc="DD5A6964">
      <w:numFmt w:val="bullet"/>
      <w:lvlText w:val="•"/>
      <w:lvlJc w:val="left"/>
      <w:pPr>
        <w:ind w:left="3623" w:hanging="360"/>
      </w:pPr>
      <w:rPr>
        <w:rFonts w:hint="default"/>
      </w:rPr>
    </w:lvl>
  </w:abstractNum>
  <w:abstractNum w:abstractNumId="344" w15:restartNumberingAfterBreak="0">
    <w:nsid w:val="47D4583E"/>
    <w:multiLevelType w:val="hybridMultilevel"/>
    <w:tmpl w:val="1C7660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5" w15:restartNumberingAfterBreak="0">
    <w:nsid w:val="47DA3C4B"/>
    <w:multiLevelType w:val="multilevel"/>
    <w:tmpl w:val="2076AB90"/>
    <w:numStyleLink w:val="Style2"/>
  </w:abstractNum>
  <w:abstractNum w:abstractNumId="346" w15:restartNumberingAfterBreak="0">
    <w:nsid w:val="481926A8"/>
    <w:multiLevelType w:val="hybridMultilevel"/>
    <w:tmpl w:val="684824A4"/>
    <w:lvl w:ilvl="0" w:tplc="0DAE201C">
      <w:start w:val="1"/>
      <w:numFmt w:val="decimal"/>
      <w:lvlText w:val="%1."/>
      <w:lvlJc w:val="left"/>
      <w:pPr>
        <w:ind w:left="360" w:hanging="360"/>
      </w:pPr>
      <w:rPr>
        <w:rFonts w:ascii="Arial" w:eastAsia="Arial" w:hAnsi="Arial" w:cs="Arial" w:hint="default"/>
        <w:b/>
        <w:bCs/>
        <w:spacing w:val="-1"/>
        <w:w w:val="100"/>
        <w:sz w:val="22"/>
        <w:szCs w:val="22"/>
      </w:rPr>
    </w:lvl>
    <w:lvl w:ilvl="1" w:tplc="45D2FB64">
      <w:numFmt w:val="bullet"/>
      <w:lvlText w:val=""/>
      <w:lvlJc w:val="left"/>
      <w:pPr>
        <w:ind w:left="852" w:hanging="360"/>
      </w:pPr>
      <w:rPr>
        <w:rFonts w:ascii="Symbol" w:eastAsia="Symbol" w:hAnsi="Symbol" w:cs="Symbol" w:hint="default"/>
        <w:w w:val="100"/>
        <w:sz w:val="22"/>
        <w:szCs w:val="22"/>
      </w:rPr>
    </w:lvl>
    <w:lvl w:ilvl="2" w:tplc="ADE84654">
      <w:numFmt w:val="bullet"/>
      <w:lvlText w:val="•"/>
      <w:lvlJc w:val="left"/>
      <w:pPr>
        <w:ind w:left="1780" w:hanging="360"/>
      </w:pPr>
      <w:rPr>
        <w:rFonts w:hint="default"/>
      </w:rPr>
    </w:lvl>
    <w:lvl w:ilvl="3" w:tplc="919A4A6E">
      <w:numFmt w:val="bullet"/>
      <w:lvlText w:val="•"/>
      <w:lvlJc w:val="left"/>
      <w:pPr>
        <w:ind w:left="2701" w:hanging="360"/>
      </w:pPr>
      <w:rPr>
        <w:rFonts w:hint="default"/>
      </w:rPr>
    </w:lvl>
    <w:lvl w:ilvl="4" w:tplc="EAC2D99C">
      <w:numFmt w:val="bullet"/>
      <w:lvlText w:val="•"/>
      <w:lvlJc w:val="left"/>
      <w:pPr>
        <w:ind w:left="3622" w:hanging="360"/>
      </w:pPr>
      <w:rPr>
        <w:rFonts w:hint="default"/>
      </w:rPr>
    </w:lvl>
    <w:lvl w:ilvl="5" w:tplc="D730DCA4">
      <w:numFmt w:val="bullet"/>
      <w:lvlText w:val="•"/>
      <w:lvlJc w:val="left"/>
      <w:pPr>
        <w:ind w:left="4542" w:hanging="360"/>
      </w:pPr>
      <w:rPr>
        <w:rFonts w:hint="default"/>
      </w:rPr>
    </w:lvl>
    <w:lvl w:ilvl="6" w:tplc="F8EC2DFA">
      <w:numFmt w:val="bullet"/>
      <w:lvlText w:val="•"/>
      <w:lvlJc w:val="left"/>
      <w:pPr>
        <w:ind w:left="5463" w:hanging="360"/>
      </w:pPr>
      <w:rPr>
        <w:rFonts w:hint="default"/>
      </w:rPr>
    </w:lvl>
    <w:lvl w:ilvl="7" w:tplc="5600A866">
      <w:numFmt w:val="bullet"/>
      <w:lvlText w:val="•"/>
      <w:lvlJc w:val="left"/>
      <w:pPr>
        <w:ind w:left="6384" w:hanging="360"/>
      </w:pPr>
      <w:rPr>
        <w:rFonts w:hint="default"/>
      </w:rPr>
    </w:lvl>
    <w:lvl w:ilvl="8" w:tplc="D2AA7E50">
      <w:numFmt w:val="bullet"/>
      <w:lvlText w:val="•"/>
      <w:lvlJc w:val="left"/>
      <w:pPr>
        <w:ind w:left="7304" w:hanging="360"/>
      </w:pPr>
      <w:rPr>
        <w:rFonts w:hint="default"/>
      </w:rPr>
    </w:lvl>
  </w:abstractNum>
  <w:abstractNum w:abstractNumId="347" w15:restartNumberingAfterBreak="0">
    <w:nsid w:val="4857761C"/>
    <w:multiLevelType w:val="hybridMultilevel"/>
    <w:tmpl w:val="9D4296BA"/>
    <w:lvl w:ilvl="0" w:tplc="0409001B">
      <w:start w:val="1"/>
      <w:numFmt w:val="lowerRoman"/>
      <w:lvlText w:val="%1."/>
      <w:lvlJc w:val="righ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48" w15:restartNumberingAfterBreak="0">
    <w:nsid w:val="4886092E"/>
    <w:multiLevelType w:val="hybridMultilevel"/>
    <w:tmpl w:val="CA2A45DC"/>
    <w:lvl w:ilvl="0" w:tplc="6FDE3A4E">
      <w:start w:val="1"/>
      <w:numFmt w:val="lowerRoman"/>
      <w:lvlText w:val="%1."/>
      <w:lvlJc w:val="left"/>
      <w:pPr>
        <w:ind w:left="924" w:hanging="720"/>
      </w:pPr>
      <w:rPr>
        <w:rFonts w:ascii="Calibri" w:eastAsia="Calibri" w:hAnsi="Calibri" w:cs="Calibri" w:hint="default"/>
        <w:spacing w:val="-1"/>
        <w:w w:val="100"/>
        <w:sz w:val="22"/>
        <w:szCs w:val="22"/>
      </w:rPr>
    </w:lvl>
    <w:lvl w:ilvl="1" w:tplc="4E989DB6">
      <w:numFmt w:val="bullet"/>
      <w:lvlText w:val="•"/>
      <w:lvlJc w:val="left"/>
      <w:pPr>
        <w:ind w:left="1788" w:hanging="720"/>
      </w:pPr>
      <w:rPr>
        <w:rFonts w:hint="default"/>
      </w:rPr>
    </w:lvl>
    <w:lvl w:ilvl="2" w:tplc="E806C150">
      <w:numFmt w:val="bullet"/>
      <w:lvlText w:val="•"/>
      <w:lvlJc w:val="left"/>
      <w:pPr>
        <w:ind w:left="2657" w:hanging="720"/>
      </w:pPr>
      <w:rPr>
        <w:rFonts w:hint="default"/>
      </w:rPr>
    </w:lvl>
    <w:lvl w:ilvl="3" w:tplc="AEB258C6">
      <w:numFmt w:val="bullet"/>
      <w:lvlText w:val="•"/>
      <w:lvlJc w:val="left"/>
      <w:pPr>
        <w:ind w:left="3525" w:hanging="720"/>
      </w:pPr>
      <w:rPr>
        <w:rFonts w:hint="default"/>
      </w:rPr>
    </w:lvl>
    <w:lvl w:ilvl="4" w:tplc="0A56C0D4">
      <w:numFmt w:val="bullet"/>
      <w:lvlText w:val="•"/>
      <w:lvlJc w:val="left"/>
      <w:pPr>
        <w:ind w:left="4394" w:hanging="720"/>
      </w:pPr>
      <w:rPr>
        <w:rFonts w:hint="default"/>
      </w:rPr>
    </w:lvl>
    <w:lvl w:ilvl="5" w:tplc="2750A39A">
      <w:numFmt w:val="bullet"/>
      <w:lvlText w:val="•"/>
      <w:lvlJc w:val="left"/>
      <w:pPr>
        <w:ind w:left="5263" w:hanging="720"/>
      </w:pPr>
      <w:rPr>
        <w:rFonts w:hint="default"/>
      </w:rPr>
    </w:lvl>
    <w:lvl w:ilvl="6" w:tplc="E04C427E">
      <w:numFmt w:val="bullet"/>
      <w:lvlText w:val="•"/>
      <w:lvlJc w:val="left"/>
      <w:pPr>
        <w:ind w:left="6131" w:hanging="720"/>
      </w:pPr>
      <w:rPr>
        <w:rFonts w:hint="default"/>
      </w:rPr>
    </w:lvl>
    <w:lvl w:ilvl="7" w:tplc="56346B5C">
      <w:numFmt w:val="bullet"/>
      <w:lvlText w:val="•"/>
      <w:lvlJc w:val="left"/>
      <w:pPr>
        <w:ind w:left="7000" w:hanging="720"/>
      </w:pPr>
      <w:rPr>
        <w:rFonts w:hint="default"/>
      </w:rPr>
    </w:lvl>
    <w:lvl w:ilvl="8" w:tplc="2FD2E654">
      <w:numFmt w:val="bullet"/>
      <w:lvlText w:val="•"/>
      <w:lvlJc w:val="left"/>
      <w:pPr>
        <w:ind w:left="7869" w:hanging="720"/>
      </w:pPr>
      <w:rPr>
        <w:rFonts w:hint="default"/>
      </w:rPr>
    </w:lvl>
  </w:abstractNum>
  <w:abstractNum w:abstractNumId="349" w15:restartNumberingAfterBreak="0">
    <w:nsid w:val="48B46C9E"/>
    <w:multiLevelType w:val="hybridMultilevel"/>
    <w:tmpl w:val="852EC17C"/>
    <w:lvl w:ilvl="0" w:tplc="04090019">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0" w15:restartNumberingAfterBreak="0">
    <w:nsid w:val="493259E5"/>
    <w:multiLevelType w:val="hybridMultilevel"/>
    <w:tmpl w:val="D1DA2074"/>
    <w:lvl w:ilvl="0" w:tplc="6B260330">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1" w15:restartNumberingAfterBreak="0">
    <w:nsid w:val="4953299A"/>
    <w:multiLevelType w:val="multilevel"/>
    <w:tmpl w:val="4E6AAE0C"/>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52" w15:restartNumberingAfterBreak="0">
    <w:nsid w:val="497E29DF"/>
    <w:multiLevelType w:val="hybridMultilevel"/>
    <w:tmpl w:val="1BCEF8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3" w15:restartNumberingAfterBreak="0">
    <w:nsid w:val="49A808FA"/>
    <w:multiLevelType w:val="multilevel"/>
    <w:tmpl w:val="0A36F34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4" w15:restartNumberingAfterBreak="0">
    <w:nsid w:val="49AF7969"/>
    <w:multiLevelType w:val="hybridMultilevel"/>
    <w:tmpl w:val="ED268E02"/>
    <w:lvl w:ilvl="0" w:tplc="91668F38">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55" w15:restartNumberingAfterBreak="0">
    <w:nsid w:val="49C84423"/>
    <w:multiLevelType w:val="hybridMultilevel"/>
    <w:tmpl w:val="ABDEDE4A"/>
    <w:lvl w:ilvl="0" w:tplc="79CC1AB4">
      <w:numFmt w:val="bullet"/>
      <w:lvlText w:val="-"/>
      <w:lvlJc w:val="left"/>
      <w:pPr>
        <w:ind w:left="786" w:hanging="360"/>
      </w:pPr>
      <w:rPr>
        <w:rFonts w:ascii="Arial" w:eastAsiaTheme="minorHAnsi" w:hAnsi="Arial" w:cs="Aria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356" w15:restartNumberingAfterBreak="0">
    <w:nsid w:val="4AC2267A"/>
    <w:multiLevelType w:val="hybridMultilevel"/>
    <w:tmpl w:val="BF780BF0"/>
    <w:lvl w:ilvl="0" w:tplc="D44283FA">
      <w:start w:val="1"/>
      <w:numFmt w:val="bullet"/>
      <w:lvlText w:val="-"/>
      <w:lvlJc w:val="left"/>
      <w:pPr>
        <w:ind w:left="862" w:hanging="360"/>
      </w:pPr>
      <w:rPr>
        <w:rFonts w:ascii="Sylfaen" w:hAnsi="Sylfaen"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357" w15:restartNumberingAfterBreak="0">
    <w:nsid w:val="4AD45C99"/>
    <w:multiLevelType w:val="hybridMultilevel"/>
    <w:tmpl w:val="36C23F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8" w15:restartNumberingAfterBreak="0">
    <w:nsid w:val="4B042E49"/>
    <w:multiLevelType w:val="hybridMultilevel"/>
    <w:tmpl w:val="DD1C02B4"/>
    <w:lvl w:ilvl="0" w:tplc="0C090017">
      <w:start w:val="1"/>
      <w:numFmt w:val="lowerLetter"/>
      <w:lvlText w:val="%1)"/>
      <w:lvlJc w:val="left"/>
      <w:pPr>
        <w:ind w:left="1644" w:hanging="360"/>
      </w:pPr>
    </w:lvl>
    <w:lvl w:ilvl="1" w:tplc="0C090019" w:tentative="1">
      <w:start w:val="1"/>
      <w:numFmt w:val="lowerLetter"/>
      <w:lvlText w:val="%2."/>
      <w:lvlJc w:val="left"/>
      <w:pPr>
        <w:ind w:left="2364" w:hanging="360"/>
      </w:pPr>
    </w:lvl>
    <w:lvl w:ilvl="2" w:tplc="0C09001B" w:tentative="1">
      <w:start w:val="1"/>
      <w:numFmt w:val="lowerRoman"/>
      <w:lvlText w:val="%3."/>
      <w:lvlJc w:val="right"/>
      <w:pPr>
        <w:ind w:left="3084" w:hanging="180"/>
      </w:pPr>
    </w:lvl>
    <w:lvl w:ilvl="3" w:tplc="0C09000F" w:tentative="1">
      <w:start w:val="1"/>
      <w:numFmt w:val="decimal"/>
      <w:lvlText w:val="%4."/>
      <w:lvlJc w:val="left"/>
      <w:pPr>
        <w:ind w:left="3804" w:hanging="360"/>
      </w:pPr>
    </w:lvl>
    <w:lvl w:ilvl="4" w:tplc="0C090019" w:tentative="1">
      <w:start w:val="1"/>
      <w:numFmt w:val="lowerLetter"/>
      <w:lvlText w:val="%5."/>
      <w:lvlJc w:val="left"/>
      <w:pPr>
        <w:ind w:left="4524" w:hanging="360"/>
      </w:pPr>
    </w:lvl>
    <w:lvl w:ilvl="5" w:tplc="0C09001B" w:tentative="1">
      <w:start w:val="1"/>
      <w:numFmt w:val="lowerRoman"/>
      <w:lvlText w:val="%6."/>
      <w:lvlJc w:val="right"/>
      <w:pPr>
        <w:ind w:left="5244" w:hanging="180"/>
      </w:pPr>
    </w:lvl>
    <w:lvl w:ilvl="6" w:tplc="0C09000F" w:tentative="1">
      <w:start w:val="1"/>
      <w:numFmt w:val="decimal"/>
      <w:lvlText w:val="%7."/>
      <w:lvlJc w:val="left"/>
      <w:pPr>
        <w:ind w:left="5964" w:hanging="360"/>
      </w:pPr>
    </w:lvl>
    <w:lvl w:ilvl="7" w:tplc="0C090019" w:tentative="1">
      <w:start w:val="1"/>
      <w:numFmt w:val="lowerLetter"/>
      <w:lvlText w:val="%8."/>
      <w:lvlJc w:val="left"/>
      <w:pPr>
        <w:ind w:left="6684" w:hanging="360"/>
      </w:pPr>
    </w:lvl>
    <w:lvl w:ilvl="8" w:tplc="0C09001B" w:tentative="1">
      <w:start w:val="1"/>
      <w:numFmt w:val="lowerRoman"/>
      <w:lvlText w:val="%9."/>
      <w:lvlJc w:val="right"/>
      <w:pPr>
        <w:ind w:left="7404" w:hanging="180"/>
      </w:pPr>
    </w:lvl>
  </w:abstractNum>
  <w:abstractNum w:abstractNumId="359" w15:restartNumberingAfterBreak="0">
    <w:nsid w:val="4B122B78"/>
    <w:multiLevelType w:val="hybridMultilevel"/>
    <w:tmpl w:val="24C27AF2"/>
    <w:lvl w:ilvl="0" w:tplc="FE52F106">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0" w15:restartNumberingAfterBreak="0">
    <w:nsid w:val="4B357BA8"/>
    <w:multiLevelType w:val="hybridMultilevel"/>
    <w:tmpl w:val="54C0E458"/>
    <w:lvl w:ilvl="0" w:tplc="A9909A54">
      <w:start w:val="5"/>
      <w:numFmt w:val="bullet"/>
      <w:lvlText w:val="-"/>
      <w:lvlJc w:val="left"/>
      <w:pPr>
        <w:ind w:left="893" w:hanging="360"/>
      </w:pPr>
      <w:rPr>
        <w:rFonts w:ascii="Calibri" w:eastAsiaTheme="minorHAnsi" w:hAnsi="Calibri" w:cstheme="minorBidi" w:hint="default"/>
      </w:rPr>
    </w:lvl>
    <w:lvl w:ilvl="1" w:tplc="04090003" w:tentative="1">
      <w:start w:val="1"/>
      <w:numFmt w:val="bullet"/>
      <w:lvlText w:val="o"/>
      <w:lvlJc w:val="left"/>
      <w:pPr>
        <w:ind w:left="1613" w:hanging="360"/>
      </w:pPr>
      <w:rPr>
        <w:rFonts w:ascii="Courier New" w:hAnsi="Courier New" w:cs="Courier New" w:hint="default"/>
      </w:rPr>
    </w:lvl>
    <w:lvl w:ilvl="2" w:tplc="04090005" w:tentative="1">
      <w:start w:val="1"/>
      <w:numFmt w:val="bullet"/>
      <w:lvlText w:val=""/>
      <w:lvlJc w:val="left"/>
      <w:pPr>
        <w:ind w:left="2333" w:hanging="360"/>
      </w:pPr>
      <w:rPr>
        <w:rFonts w:ascii="Wingdings" w:hAnsi="Wingdings" w:hint="default"/>
      </w:rPr>
    </w:lvl>
    <w:lvl w:ilvl="3" w:tplc="04090001" w:tentative="1">
      <w:start w:val="1"/>
      <w:numFmt w:val="bullet"/>
      <w:lvlText w:val=""/>
      <w:lvlJc w:val="left"/>
      <w:pPr>
        <w:ind w:left="3053" w:hanging="360"/>
      </w:pPr>
      <w:rPr>
        <w:rFonts w:ascii="Symbol" w:hAnsi="Symbol" w:hint="default"/>
      </w:rPr>
    </w:lvl>
    <w:lvl w:ilvl="4" w:tplc="04090003" w:tentative="1">
      <w:start w:val="1"/>
      <w:numFmt w:val="bullet"/>
      <w:lvlText w:val="o"/>
      <w:lvlJc w:val="left"/>
      <w:pPr>
        <w:ind w:left="3773" w:hanging="360"/>
      </w:pPr>
      <w:rPr>
        <w:rFonts w:ascii="Courier New" w:hAnsi="Courier New" w:cs="Courier New" w:hint="default"/>
      </w:rPr>
    </w:lvl>
    <w:lvl w:ilvl="5" w:tplc="04090005" w:tentative="1">
      <w:start w:val="1"/>
      <w:numFmt w:val="bullet"/>
      <w:lvlText w:val=""/>
      <w:lvlJc w:val="left"/>
      <w:pPr>
        <w:ind w:left="4493" w:hanging="360"/>
      </w:pPr>
      <w:rPr>
        <w:rFonts w:ascii="Wingdings" w:hAnsi="Wingdings" w:hint="default"/>
      </w:rPr>
    </w:lvl>
    <w:lvl w:ilvl="6" w:tplc="04090001" w:tentative="1">
      <w:start w:val="1"/>
      <w:numFmt w:val="bullet"/>
      <w:lvlText w:val=""/>
      <w:lvlJc w:val="left"/>
      <w:pPr>
        <w:ind w:left="5213" w:hanging="360"/>
      </w:pPr>
      <w:rPr>
        <w:rFonts w:ascii="Symbol" w:hAnsi="Symbol" w:hint="default"/>
      </w:rPr>
    </w:lvl>
    <w:lvl w:ilvl="7" w:tplc="04090003" w:tentative="1">
      <w:start w:val="1"/>
      <w:numFmt w:val="bullet"/>
      <w:lvlText w:val="o"/>
      <w:lvlJc w:val="left"/>
      <w:pPr>
        <w:ind w:left="5933" w:hanging="360"/>
      </w:pPr>
      <w:rPr>
        <w:rFonts w:ascii="Courier New" w:hAnsi="Courier New" w:cs="Courier New" w:hint="default"/>
      </w:rPr>
    </w:lvl>
    <w:lvl w:ilvl="8" w:tplc="04090005" w:tentative="1">
      <w:start w:val="1"/>
      <w:numFmt w:val="bullet"/>
      <w:lvlText w:val=""/>
      <w:lvlJc w:val="left"/>
      <w:pPr>
        <w:ind w:left="6653" w:hanging="360"/>
      </w:pPr>
      <w:rPr>
        <w:rFonts w:ascii="Wingdings" w:hAnsi="Wingdings" w:hint="default"/>
      </w:rPr>
    </w:lvl>
  </w:abstractNum>
  <w:abstractNum w:abstractNumId="361" w15:restartNumberingAfterBreak="0">
    <w:nsid w:val="4B890252"/>
    <w:multiLevelType w:val="hybridMultilevel"/>
    <w:tmpl w:val="8618A924"/>
    <w:lvl w:ilvl="0" w:tplc="68E82DD0">
      <w:start w:val="1"/>
      <w:numFmt w:val="decimal"/>
      <w:lvlText w:val="%1."/>
      <w:lvlJc w:val="left"/>
      <w:pPr>
        <w:ind w:left="1180" w:hanging="360"/>
      </w:pPr>
      <w:rPr>
        <w:rFonts w:ascii="Calibri" w:eastAsia="Calibri" w:hAnsi="Calibri" w:cs="Calibri" w:hint="default"/>
        <w:b w:val="0"/>
        <w:bCs w:val="0"/>
        <w:i w:val="0"/>
        <w:iCs w:val="0"/>
        <w:spacing w:val="0"/>
        <w:w w:val="100"/>
        <w:sz w:val="22"/>
        <w:szCs w:val="22"/>
        <w:lang w:val="en-US" w:eastAsia="en-US" w:bidi="ar-SA"/>
      </w:rPr>
    </w:lvl>
    <w:lvl w:ilvl="1" w:tplc="E8FCD41C">
      <w:numFmt w:val="bullet"/>
      <w:lvlText w:val="-"/>
      <w:lvlJc w:val="left"/>
      <w:pPr>
        <w:ind w:left="1540" w:hanging="360"/>
      </w:pPr>
      <w:rPr>
        <w:rFonts w:ascii="Calibri" w:eastAsia="Calibri" w:hAnsi="Calibri" w:cs="Calibri" w:hint="default"/>
        <w:b w:val="0"/>
        <w:bCs w:val="0"/>
        <w:i w:val="0"/>
        <w:iCs w:val="0"/>
        <w:spacing w:val="0"/>
        <w:w w:val="100"/>
        <w:sz w:val="22"/>
        <w:szCs w:val="22"/>
        <w:lang w:val="en-US" w:eastAsia="en-US" w:bidi="ar-SA"/>
      </w:rPr>
    </w:lvl>
    <w:lvl w:ilvl="2" w:tplc="BA48D54E">
      <w:numFmt w:val="bullet"/>
      <w:lvlText w:val="•"/>
      <w:lvlJc w:val="left"/>
      <w:pPr>
        <w:ind w:left="2432" w:hanging="360"/>
      </w:pPr>
      <w:rPr>
        <w:rFonts w:hint="default"/>
        <w:lang w:val="en-US" w:eastAsia="en-US" w:bidi="ar-SA"/>
      </w:rPr>
    </w:lvl>
    <w:lvl w:ilvl="3" w:tplc="D0DADD10">
      <w:numFmt w:val="bullet"/>
      <w:lvlText w:val="•"/>
      <w:lvlJc w:val="left"/>
      <w:pPr>
        <w:ind w:left="3324" w:hanging="360"/>
      </w:pPr>
      <w:rPr>
        <w:rFonts w:hint="default"/>
        <w:lang w:val="en-US" w:eastAsia="en-US" w:bidi="ar-SA"/>
      </w:rPr>
    </w:lvl>
    <w:lvl w:ilvl="4" w:tplc="3DAC4156">
      <w:numFmt w:val="bullet"/>
      <w:lvlText w:val="•"/>
      <w:lvlJc w:val="left"/>
      <w:pPr>
        <w:ind w:left="4217" w:hanging="360"/>
      </w:pPr>
      <w:rPr>
        <w:rFonts w:hint="default"/>
        <w:lang w:val="en-US" w:eastAsia="en-US" w:bidi="ar-SA"/>
      </w:rPr>
    </w:lvl>
    <w:lvl w:ilvl="5" w:tplc="12DE2EA4">
      <w:numFmt w:val="bullet"/>
      <w:lvlText w:val="•"/>
      <w:lvlJc w:val="left"/>
      <w:pPr>
        <w:ind w:left="5109" w:hanging="360"/>
      </w:pPr>
      <w:rPr>
        <w:rFonts w:hint="default"/>
        <w:lang w:val="en-US" w:eastAsia="en-US" w:bidi="ar-SA"/>
      </w:rPr>
    </w:lvl>
    <w:lvl w:ilvl="6" w:tplc="D2C0B5A4">
      <w:numFmt w:val="bullet"/>
      <w:lvlText w:val="•"/>
      <w:lvlJc w:val="left"/>
      <w:pPr>
        <w:ind w:left="6001" w:hanging="360"/>
      </w:pPr>
      <w:rPr>
        <w:rFonts w:hint="default"/>
        <w:lang w:val="en-US" w:eastAsia="en-US" w:bidi="ar-SA"/>
      </w:rPr>
    </w:lvl>
    <w:lvl w:ilvl="7" w:tplc="C184838E">
      <w:numFmt w:val="bullet"/>
      <w:lvlText w:val="•"/>
      <w:lvlJc w:val="left"/>
      <w:pPr>
        <w:ind w:left="6894" w:hanging="360"/>
      </w:pPr>
      <w:rPr>
        <w:rFonts w:hint="default"/>
        <w:lang w:val="en-US" w:eastAsia="en-US" w:bidi="ar-SA"/>
      </w:rPr>
    </w:lvl>
    <w:lvl w:ilvl="8" w:tplc="7E3C5F8E">
      <w:numFmt w:val="bullet"/>
      <w:lvlText w:val="•"/>
      <w:lvlJc w:val="left"/>
      <w:pPr>
        <w:ind w:left="7786" w:hanging="360"/>
      </w:pPr>
      <w:rPr>
        <w:rFonts w:hint="default"/>
        <w:lang w:val="en-US" w:eastAsia="en-US" w:bidi="ar-SA"/>
      </w:rPr>
    </w:lvl>
  </w:abstractNum>
  <w:abstractNum w:abstractNumId="362" w15:restartNumberingAfterBreak="0">
    <w:nsid w:val="4BAA7C03"/>
    <w:multiLevelType w:val="hybridMultilevel"/>
    <w:tmpl w:val="C2A0FDFC"/>
    <w:lvl w:ilvl="0" w:tplc="0409001B">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3" w15:restartNumberingAfterBreak="0">
    <w:nsid w:val="4BBC1E0B"/>
    <w:multiLevelType w:val="multilevel"/>
    <w:tmpl w:val="C4EAC3D0"/>
    <w:lvl w:ilvl="0">
      <w:start w:val="4"/>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364" w15:restartNumberingAfterBreak="0">
    <w:nsid w:val="4C00661F"/>
    <w:multiLevelType w:val="hybridMultilevel"/>
    <w:tmpl w:val="03426F40"/>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5" w15:restartNumberingAfterBreak="0">
    <w:nsid w:val="4C4961A4"/>
    <w:multiLevelType w:val="multilevel"/>
    <w:tmpl w:val="177A1206"/>
    <w:numStyleLink w:val="Style4"/>
  </w:abstractNum>
  <w:abstractNum w:abstractNumId="366" w15:restartNumberingAfterBreak="0">
    <w:nsid w:val="4C517FA1"/>
    <w:multiLevelType w:val="hybridMultilevel"/>
    <w:tmpl w:val="0E0673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7" w15:restartNumberingAfterBreak="0">
    <w:nsid w:val="4C55E569"/>
    <w:multiLevelType w:val="hybridMultilevel"/>
    <w:tmpl w:val="05B2CADE"/>
    <w:lvl w:ilvl="0" w:tplc="286ABEB8">
      <w:start w:val="1"/>
      <w:numFmt w:val="bullet"/>
      <w:lvlText w:val=""/>
      <w:lvlJc w:val="left"/>
      <w:pPr>
        <w:ind w:left="1440" w:hanging="360"/>
      </w:pPr>
      <w:rPr>
        <w:rFonts w:ascii="Symbol" w:hAnsi="Symbol" w:hint="default"/>
      </w:rPr>
    </w:lvl>
    <w:lvl w:ilvl="1" w:tplc="4C6E6EFA">
      <w:start w:val="1"/>
      <w:numFmt w:val="bullet"/>
      <w:lvlText w:val="o"/>
      <w:lvlJc w:val="left"/>
      <w:pPr>
        <w:ind w:left="2160" w:hanging="360"/>
      </w:pPr>
      <w:rPr>
        <w:rFonts w:ascii="Courier New" w:hAnsi="Courier New" w:hint="default"/>
      </w:rPr>
    </w:lvl>
    <w:lvl w:ilvl="2" w:tplc="D7847412">
      <w:start w:val="1"/>
      <w:numFmt w:val="bullet"/>
      <w:lvlText w:val=""/>
      <w:lvlJc w:val="left"/>
      <w:pPr>
        <w:ind w:left="2880" w:hanging="360"/>
      </w:pPr>
      <w:rPr>
        <w:rFonts w:ascii="Wingdings" w:hAnsi="Wingdings" w:hint="default"/>
      </w:rPr>
    </w:lvl>
    <w:lvl w:ilvl="3" w:tplc="3FA6329A">
      <w:start w:val="1"/>
      <w:numFmt w:val="bullet"/>
      <w:lvlText w:val=""/>
      <w:lvlJc w:val="left"/>
      <w:pPr>
        <w:ind w:left="3600" w:hanging="360"/>
      </w:pPr>
      <w:rPr>
        <w:rFonts w:ascii="Symbol" w:hAnsi="Symbol" w:hint="default"/>
      </w:rPr>
    </w:lvl>
    <w:lvl w:ilvl="4" w:tplc="8B466882">
      <w:start w:val="1"/>
      <w:numFmt w:val="bullet"/>
      <w:lvlText w:val="o"/>
      <w:lvlJc w:val="left"/>
      <w:pPr>
        <w:ind w:left="4320" w:hanging="360"/>
      </w:pPr>
      <w:rPr>
        <w:rFonts w:ascii="Courier New" w:hAnsi="Courier New" w:hint="default"/>
      </w:rPr>
    </w:lvl>
    <w:lvl w:ilvl="5" w:tplc="B3FAEEBE">
      <w:start w:val="1"/>
      <w:numFmt w:val="bullet"/>
      <w:lvlText w:val=""/>
      <w:lvlJc w:val="left"/>
      <w:pPr>
        <w:ind w:left="5040" w:hanging="360"/>
      </w:pPr>
      <w:rPr>
        <w:rFonts w:ascii="Wingdings" w:hAnsi="Wingdings" w:hint="default"/>
      </w:rPr>
    </w:lvl>
    <w:lvl w:ilvl="6" w:tplc="AAD2A6FA">
      <w:start w:val="1"/>
      <w:numFmt w:val="bullet"/>
      <w:lvlText w:val=""/>
      <w:lvlJc w:val="left"/>
      <w:pPr>
        <w:ind w:left="5760" w:hanging="360"/>
      </w:pPr>
      <w:rPr>
        <w:rFonts w:ascii="Symbol" w:hAnsi="Symbol" w:hint="default"/>
      </w:rPr>
    </w:lvl>
    <w:lvl w:ilvl="7" w:tplc="2EE2FD30">
      <w:start w:val="1"/>
      <w:numFmt w:val="bullet"/>
      <w:lvlText w:val="o"/>
      <w:lvlJc w:val="left"/>
      <w:pPr>
        <w:ind w:left="6480" w:hanging="360"/>
      </w:pPr>
      <w:rPr>
        <w:rFonts w:ascii="Courier New" w:hAnsi="Courier New" w:hint="default"/>
      </w:rPr>
    </w:lvl>
    <w:lvl w:ilvl="8" w:tplc="B020476C">
      <w:start w:val="1"/>
      <w:numFmt w:val="bullet"/>
      <w:lvlText w:val=""/>
      <w:lvlJc w:val="left"/>
      <w:pPr>
        <w:ind w:left="7200" w:hanging="360"/>
      </w:pPr>
      <w:rPr>
        <w:rFonts w:ascii="Wingdings" w:hAnsi="Wingdings" w:hint="default"/>
      </w:rPr>
    </w:lvl>
  </w:abstractNum>
  <w:abstractNum w:abstractNumId="368" w15:restartNumberingAfterBreak="0">
    <w:nsid w:val="4C5C3397"/>
    <w:multiLevelType w:val="hybridMultilevel"/>
    <w:tmpl w:val="A940A4FA"/>
    <w:lvl w:ilvl="0" w:tplc="7DDE521A">
      <w:numFmt w:val="bullet"/>
      <w:lvlText w:val=""/>
      <w:lvlJc w:val="left"/>
      <w:pPr>
        <w:ind w:left="926" w:hanging="567"/>
      </w:pPr>
      <w:rPr>
        <w:rFonts w:ascii="Symbol" w:eastAsia="Symbol" w:hAnsi="Symbol" w:cs="Symbol" w:hint="default"/>
        <w:w w:val="100"/>
        <w:sz w:val="22"/>
        <w:szCs w:val="22"/>
        <w:lang w:val="en-AU" w:eastAsia="en-US" w:bidi="ar-SA"/>
      </w:rPr>
    </w:lvl>
    <w:lvl w:ilvl="1" w:tplc="46AA43C8">
      <w:numFmt w:val="bullet"/>
      <w:lvlText w:val=""/>
      <w:lvlJc w:val="left"/>
      <w:pPr>
        <w:ind w:left="1058" w:hanging="361"/>
      </w:pPr>
      <w:rPr>
        <w:rFonts w:ascii="Symbol" w:eastAsia="Symbol" w:hAnsi="Symbol" w:cs="Symbol" w:hint="default"/>
        <w:w w:val="100"/>
        <w:sz w:val="20"/>
        <w:szCs w:val="20"/>
        <w:lang w:val="en-AU" w:eastAsia="en-US" w:bidi="ar-SA"/>
      </w:rPr>
    </w:lvl>
    <w:lvl w:ilvl="2" w:tplc="9BC661D8">
      <w:numFmt w:val="bullet"/>
      <w:lvlText w:val="o"/>
      <w:lvlJc w:val="left"/>
      <w:pPr>
        <w:ind w:left="1778" w:hanging="358"/>
      </w:pPr>
      <w:rPr>
        <w:rFonts w:ascii="Courier New" w:eastAsia="Courier New" w:hAnsi="Courier New" w:cs="Courier New" w:hint="default"/>
        <w:w w:val="100"/>
        <w:sz w:val="20"/>
        <w:szCs w:val="20"/>
        <w:lang w:val="en-AU" w:eastAsia="en-US" w:bidi="ar-SA"/>
      </w:rPr>
    </w:lvl>
    <w:lvl w:ilvl="3" w:tplc="0DCA5A08">
      <w:numFmt w:val="bullet"/>
      <w:lvlText w:val="•"/>
      <w:lvlJc w:val="left"/>
      <w:pPr>
        <w:ind w:left="2805" w:hanging="358"/>
      </w:pPr>
      <w:rPr>
        <w:rFonts w:hint="default"/>
        <w:lang w:val="en-AU" w:eastAsia="en-US" w:bidi="ar-SA"/>
      </w:rPr>
    </w:lvl>
    <w:lvl w:ilvl="4" w:tplc="4E821FF0">
      <w:numFmt w:val="bullet"/>
      <w:lvlText w:val="•"/>
      <w:lvlJc w:val="left"/>
      <w:pPr>
        <w:ind w:left="3831" w:hanging="358"/>
      </w:pPr>
      <w:rPr>
        <w:rFonts w:hint="default"/>
        <w:lang w:val="en-AU" w:eastAsia="en-US" w:bidi="ar-SA"/>
      </w:rPr>
    </w:lvl>
    <w:lvl w:ilvl="5" w:tplc="B71ADA68">
      <w:numFmt w:val="bullet"/>
      <w:lvlText w:val="•"/>
      <w:lvlJc w:val="left"/>
      <w:pPr>
        <w:ind w:left="4856" w:hanging="358"/>
      </w:pPr>
      <w:rPr>
        <w:rFonts w:hint="default"/>
        <w:lang w:val="en-AU" w:eastAsia="en-US" w:bidi="ar-SA"/>
      </w:rPr>
    </w:lvl>
    <w:lvl w:ilvl="6" w:tplc="4DA62832">
      <w:numFmt w:val="bullet"/>
      <w:lvlText w:val="•"/>
      <w:lvlJc w:val="left"/>
      <w:pPr>
        <w:ind w:left="5882" w:hanging="358"/>
      </w:pPr>
      <w:rPr>
        <w:rFonts w:hint="default"/>
        <w:lang w:val="en-AU" w:eastAsia="en-US" w:bidi="ar-SA"/>
      </w:rPr>
    </w:lvl>
    <w:lvl w:ilvl="7" w:tplc="773A5820">
      <w:numFmt w:val="bullet"/>
      <w:lvlText w:val="•"/>
      <w:lvlJc w:val="left"/>
      <w:pPr>
        <w:ind w:left="6907" w:hanging="358"/>
      </w:pPr>
      <w:rPr>
        <w:rFonts w:hint="default"/>
        <w:lang w:val="en-AU" w:eastAsia="en-US" w:bidi="ar-SA"/>
      </w:rPr>
    </w:lvl>
    <w:lvl w:ilvl="8" w:tplc="41A4B508">
      <w:numFmt w:val="bullet"/>
      <w:lvlText w:val="•"/>
      <w:lvlJc w:val="left"/>
      <w:pPr>
        <w:ind w:left="7933" w:hanging="358"/>
      </w:pPr>
      <w:rPr>
        <w:rFonts w:hint="default"/>
        <w:lang w:val="en-AU" w:eastAsia="en-US" w:bidi="ar-SA"/>
      </w:rPr>
    </w:lvl>
  </w:abstractNum>
  <w:abstractNum w:abstractNumId="369" w15:restartNumberingAfterBreak="0">
    <w:nsid w:val="4C843657"/>
    <w:multiLevelType w:val="hybridMultilevel"/>
    <w:tmpl w:val="4F5879D2"/>
    <w:lvl w:ilvl="0" w:tplc="E6503B02">
      <w:start w:val="2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0" w15:restartNumberingAfterBreak="0">
    <w:nsid w:val="4C9661D0"/>
    <w:multiLevelType w:val="multilevel"/>
    <w:tmpl w:val="177A1206"/>
    <w:numStyleLink w:val="Style4"/>
  </w:abstractNum>
  <w:abstractNum w:abstractNumId="371" w15:restartNumberingAfterBreak="0">
    <w:nsid w:val="4DB305FA"/>
    <w:multiLevelType w:val="multilevel"/>
    <w:tmpl w:val="177A1206"/>
    <w:numStyleLink w:val="Style4"/>
  </w:abstractNum>
  <w:abstractNum w:abstractNumId="372" w15:restartNumberingAfterBreak="0">
    <w:nsid w:val="4E247900"/>
    <w:multiLevelType w:val="hybridMultilevel"/>
    <w:tmpl w:val="4CAAA436"/>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3" w15:restartNumberingAfterBreak="0">
    <w:nsid w:val="4ECD5C88"/>
    <w:multiLevelType w:val="multilevel"/>
    <w:tmpl w:val="177A1206"/>
    <w:numStyleLink w:val="Style4"/>
  </w:abstractNum>
  <w:abstractNum w:abstractNumId="374" w15:restartNumberingAfterBreak="0">
    <w:nsid w:val="4F036D12"/>
    <w:multiLevelType w:val="multilevel"/>
    <w:tmpl w:val="9788CF88"/>
    <w:lvl w:ilvl="0">
      <w:start w:val="3"/>
      <w:numFmt w:val="decimal"/>
      <w:lvlText w:val="%1"/>
      <w:lvlJc w:val="left"/>
      <w:pPr>
        <w:ind w:left="952" w:hanging="720"/>
      </w:pPr>
      <w:rPr>
        <w:rFonts w:hint="default"/>
      </w:rPr>
    </w:lvl>
    <w:lvl w:ilvl="1">
      <w:start w:val="1"/>
      <w:numFmt w:val="decimal"/>
      <w:lvlText w:val="%1.%2"/>
      <w:lvlJc w:val="left"/>
      <w:pPr>
        <w:ind w:left="952" w:hanging="720"/>
      </w:pPr>
      <w:rPr>
        <w:rFonts w:ascii="Arial" w:eastAsia="Arial" w:hAnsi="Arial" w:cs="Arial" w:hint="default"/>
        <w:b/>
        <w:bCs/>
        <w:spacing w:val="-4"/>
        <w:w w:val="98"/>
        <w:sz w:val="24"/>
        <w:szCs w:val="24"/>
      </w:rPr>
    </w:lvl>
    <w:lvl w:ilvl="2">
      <w:start w:val="1"/>
      <w:numFmt w:val="lowerLetter"/>
      <w:lvlText w:val="(%3)"/>
      <w:lvlJc w:val="left"/>
      <w:pPr>
        <w:ind w:left="1672" w:hanging="720"/>
      </w:pPr>
      <w:rPr>
        <w:rFonts w:asciiTheme="minorHAnsi" w:eastAsia="Arial" w:hAnsiTheme="minorHAnsi" w:cstheme="minorHAnsi" w:hint="default"/>
        <w:i/>
        <w:spacing w:val="-1"/>
        <w:w w:val="100"/>
        <w:sz w:val="22"/>
        <w:szCs w:val="22"/>
      </w:rPr>
    </w:lvl>
    <w:lvl w:ilvl="3">
      <w:numFmt w:val="bullet"/>
      <w:lvlText w:val="•"/>
      <w:lvlJc w:val="left"/>
      <w:pPr>
        <w:ind w:left="3535" w:hanging="720"/>
      </w:pPr>
      <w:rPr>
        <w:rFonts w:hint="default"/>
      </w:rPr>
    </w:lvl>
    <w:lvl w:ilvl="4">
      <w:numFmt w:val="bullet"/>
      <w:lvlText w:val="•"/>
      <w:lvlJc w:val="left"/>
      <w:pPr>
        <w:ind w:left="4463" w:hanging="720"/>
      </w:pPr>
      <w:rPr>
        <w:rFonts w:hint="default"/>
      </w:rPr>
    </w:lvl>
    <w:lvl w:ilvl="5">
      <w:numFmt w:val="bullet"/>
      <w:lvlText w:val="•"/>
      <w:lvlJc w:val="left"/>
      <w:pPr>
        <w:ind w:left="5391" w:hanging="720"/>
      </w:pPr>
      <w:rPr>
        <w:rFonts w:hint="default"/>
      </w:rPr>
    </w:lvl>
    <w:lvl w:ilvl="6">
      <w:numFmt w:val="bullet"/>
      <w:lvlText w:val="•"/>
      <w:lvlJc w:val="left"/>
      <w:pPr>
        <w:ind w:left="6319" w:hanging="720"/>
      </w:pPr>
      <w:rPr>
        <w:rFonts w:hint="default"/>
      </w:rPr>
    </w:lvl>
    <w:lvl w:ilvl="7">
      <w:numFmt w:val="bullet"/>
      <w:lvlText w:val="•"/>
      <w:lvlJc w:val="left"/>
      <w:pPr>
        <w:ind w:left="7247" w:hanging="720"/>
      </w:pPr>
      <w:rPr>
        <w:rFonts w:hint="default"/>
      </w:rPr>
    </w:lvl>
    <w:lvl w:ilvl="8">
      <w:numFmt w:val="bullet"/>
      <w:lvlText w:val="•"/>
      <w:lvlJc w:val="left"/>
      <w:pPr>
        <w:ind w:left="8175" w:hanging="720"/>
      </w:pPr>
      <w:rPr>
        <w:rFonts w:hint="default"/>
      </w:rPr>
    </w:lvl>
  </w:abstractNum>
  <w:abstractNum w:abstractNumId="375" w15:restartNumberingAfterBreak="0">
    <w:nsid w:val="4F594707"/>
    <w:multiLevelType w:val="hybridMultilevel"/>
    <w:tmpl w:val="4ABEADD6"/>
    <w:lvl w:ilvl="0" w:tplc="82F0AA48">
      <w:start w:val="1"/>
      <w:numFmt w:val="lowerLetter"/>
      <w:lvlText w:val="(%1)"/>
      <w:lvlJc w:val="left"/>
      <w:pPr>
        <w:ind w:left="962" w:hanging="425"/>
      </w:pPr>
      <w:rPr>
        <w:rFonts w:asciiTheme="minorHAnsi" w:eastAsia="Arial" w:hAnsiTheme="minorHAnsi" w:cs="Arial" w:hint="default"/>
        <w:spacing w:val="-1"/>
        <w:w w:val="99"/>
        <w:sz w:val="22"/>
        <w:szCs w:val="20"/>
        <w:lang w:val="en-AU" w:eastAsia="en-AU" w:bidi="en-AU"/>
      </w:rPr>
    </w:lvl>
    <w:lvl w:ilvl="1" w:tplc="F514A336">
      <w:numFmt w:val="bullet"/>
      <w:lvlText w:val="•"/>
      <w:lvlJc w:val="left"/>
      <w:pPr>
        <w:ind w:left="1928" w:hanging="425"/>
      </w:pPr>
      <w:rPr>
        <w:rFonts w:hint="default"/>
        <w:lang w:val="en-AU" w:eastAsia="en-AU" w:bidi="en-AU"/>
      </w:rPr>
    </w:lvl>
    <w:lvl w:ilvl="2" w:tplc="EA2EA420">
      <w:numFmt w:val="bullet"/>
      <w:lvlText w:val="•"/>
      <w:lvlJc w:val="left"/>
      <w:pPr>
        <w:ind w:left="2897" w:hanging="425"/>
      </w:pPr>
      <w:rPr>
        <w:rFonts w:hint="default"/>
        <w:lang w:val="en-AU" w:eastAsia="en-AU" w:bidi="en-AU"/>
      </w:rPr>
    </w:lvl>
    <w:lvl w:ilvl="3" w:tplc="0DFE3C4C">
      <w:numFmt w:val="bullet"/>
      <w:lvlText w:val="•"/>
      <w:lvlJc w:val="left"/>
      <w:pPr>
        <w:ind w:left="3865" w:hanging="425"/>
      </w:pPr>
      <w:rPr>
        <w:rFonts w:hint="default"/>
        <w:lang w:val="en-AU" w:eastAsia="en-AU" w:bidi="en-AU"/>
      </w:rPr>
    </w:lvl>
    <w:lvl w:ilvl="4" w:tplc="7A745A38">
      <w:numFmt w:val="bullet"/>
      <w:lvlText w:val="•"/>
      <w:lvlJc w:val="left"/>
      <w:pPr>
        <w:ind w:left="4834" w:hanging="425"/>
      </w:pPr>
      <w:rPr>
        <w:rFonts w:hint="default"/>
        <w:lang w:val="en-AU" w:eastAsia="en-AU" w:bidi="en-AU"/>
      </w:rPr>
    </w:lvl>
    <w:lvl w:ilvl="5" w:tplc="B2305EE2">
      <w:numFmt w:val="bullet"/>
      <w:lvlText w:val="•"/>
      <w:lvlJc w:val="left"/>
      <w:pPr>
        <w:ind w:left="5803" w:hanging="425"/>
      </w:pPr>
      <w:rPr>
        <w:rFonts w:hint="default"/>
        <w:lang w:val="en-AU" w:eastAsia="en-AU" w:bidi="en-AU"/>
      </w:rPr>
    </w:lvl>
    <w:lvl w:ilvl="6" w:tplc="72A8229C">
      <w:numFmt w:val="bullet"/>
      <w:lvlText w:val="•"/>
      <w:lvlJc w:val="left"/>
      <w:pPr>
        <w:ind w:left="6771" w:hanging="425"/>
      </w:pPr>
      <w:rPr>
        <w:rFonts w:hint="default"/>
        <w:lang w:val="en-AU" w:eastAsia="en-AU" w:bidi="en-AU"/>
      </w:rPr>
    </w:lvl>
    <w:lvl w:ilvl="7" w:tplc="35A69698">
      <w:numFmt w:val="bullet"/>
      <w:lvlText w:val="•"/>
      <w:lvlJc w:val="left"/>
      <w:pPr>
        <w:ind w:left="7740" w:hanging="425"/>
      </w:pPr>
      <w:rPr>
        <w:rFonts w:hint="default"/>
        <w:lang w:val="en-AU" w:eastAsia="en-AU" w:bidi="en-AU"/>
      </w:rPr>
    </w:lvl>
    <w:lvl w:ilvl="8" w:tplc="B9F8E040">
      <w:numFmt w:val="bullet"/>
      <w:lvlText w:val="•"/>
      <w:lvlJc w:val="left"/>
      <w:pPr>
        <w:ind w:left="8709" w:hanging="425"/>
      </w:pPr>
      <w:rPr>
        <w:rFonts w:hint="default"/>
        <w:lang w:val="en-AU" w:eastAsia="en-AU" w:bidi="en-AU"/>
      </w:rPr>
    </w:lvl>
  </w:abstractNum>
  <w:abstractNum w:abstractNumId="376" w15:restartNumberingAfterBreak="0">
    <w:nsid w:val="4FEF379B"/>
    <w:multiLevelType w:val="hybridMultilevel"/>
    <w:tmpl w:val="054C8D26"/>
    <w:lvl w:ilvl="0" w:tplc="657E0FB6">
      <w:start w:val="4"/>
      <w:numFmt w:val="bullet"/>
      <w:lvlText w:val="-"/>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77" w15:restartNumberingAfterBreak="0">
    <w:nsid w:val="50AC1AE6"/>
    <w:multiLevelType w:val="hybridMultilevel"/>
    <w:tmpl w:val="62364B2A"/>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8" w15:restartNumberingAfterBreak="0">
    <w:nsid w:val="50B27979"/>
    <w:multiLevelType w:val="hybridMultilevel"/>
    <w:tmpl w:val="C7988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9" w15:restartNumberingAfterBreak="0">
    <w:nsid w:val="50B90456"/>
    <w:multiLevelType w:val="hybridMultilevel"/>
    <w:tmpl w:val="2638B734"/>
    <w:lvl w:ilvl="0" w:tplc="E66A3362">
      <w:start w:val="1"/>
      <w:numFmt w:val="lowerRoman"/>
      <w:lvlText w:val="%1."/>
      <w:lvlJc w:val="right"/>
      <w:pPr>
        <w:ind w:left="720" w:hanging="360"/>
      </w:pPr>
      <w:rPr>
        <w:rFonts w:ascii="Avenir LT 45 Book" w:hAnsi="Avenir LT 45 Book"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0" w15:restartNumberingAfterBreak="0">
    <w:nsid w:val="50E11AFC"/>
    <w:multiLevelType w:val="hybridMultilevel"/>
    <w:tmpl w:val="B824BA5E"/>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1" w15:restartNumberingAfterBreak="0">
    <w:nsid w:val="50F51586"/>
    <w:multiLevelType w:val="hybridMultilevel"/>
    <w:tmpl w:val="B7A6FCC2"/>
    <w:lvl w:ilvl="0" w:tplc="21006C06">
      <w:numFmt w:val="bullet"/>
      <w:lvlText w:val=""/>
      <w:lvlJc w:val="left"/>
      <w:pPr>
        <w:ind w:left="453" w:hanging="286"/>
      </w:pPr>
      <w:rPr>
        <w:rFonts w:ascii="Symbol" w:eastAsia="Symbol" w:hAnsi="Symbol" w:cs="Symbol" w:hint="default"/>
        <w:b w:val="0"/>
        <w:bCs w:val="0"/>
        <w:i w:val="0"/>
        <w:iCs w:val="0"/>
        <w:spacing w:val="0"/>
        <w:w w:val="100"/>
        <w:sz w:val="22"/>
        <w:szCs w:val="22"/>
        <w:lang w:val="en-US" w:eastAsia="en-US" w:bidi="ar-SA"/>
      </w:rPr>
    </w:lvl>
    <w:lvl w:ilvl="1" w:tplc="A69E6AF0">
      <w:numFmt w:val="bullet"/>
      <w:lvlText w:val="•"/>
      <w:lvlJc w:val="left"/>
      <w:pPr>
        <w:ind w:left="996" w:hanging="286"/>
      </w:pPr>
      <w:rPr>
        <w:rFonts w:hint="default"/>
        <w:lang w:val="en-US" w:eastAsia="en-US" w:bidi="ar-SA"/>
      </w:rPr>
    </w:lvl>
    <w:lvl w:ilvl="2" w:tplc="F39C6880">
      <w:numFmt w:val="bullet"/>
      <w:lvlText w:val="•"/>
      <w:lvlJc w:val="left"/>
      <w:pPr>
        <w:ind w:left="1533" w:hanging="286"/>
      </w:pPr>
      <w:rPr>
        <w:rFonts w:hint="default"/>
        <w:lang w:val="en-US" w:eastAsia="en-US" w:bidi="ar-SA"/>
      </w:rPr>
    </w:lvl>
    <w:lvl w:ilvl="3" w:tplc="55E00372">
      <w:numFmt w:val="bullet"/>
      <w:lvlText w:val="•"/>
      <w:lvlJc w:val="left"/>
      <w:pPr>
        <w:ind w:left="2069" w:hanging="286"/>
      </w:pPr>
      <w:rPr>
        <w:rFonts w:hint="default"/>
        <w:lang w:val="en-US" w:eastAsia="en-US" w:bidi="ar-SA"/>
      </w:rPr>
    </w:lvl>
    <w:lvl w:ilvl="4" w:tplc="931641C2">
      <w:numFmt w:val="bullet"/>
      <w:lvlText w:val="•"/>
      <w:lvlJc w:val="left"/>
      <w:pPr>
        <w:ind w:left="2606" w:hanging="286"/>
      </w:pPr>
      <w:rPr>
        <w:rFonts w:hint="default"/>
        <w:lang w:val="en-US" w:eastAsia="en-US" w:bidi="ar-SA"/>
      </w:rPr>
    </w:lvl>
    <w:lvl w:ilvl="5" w:tplc="00D8C5EE">
      <w:numFmt w:val="bullet"/>
      <w:lvlText w:val="•"/>
      <w:lvlJc w:val="left"/>
      <w:pPr>
        <w:ind w:left="3143" w:hanging="286"/>
      </w:pPr>
      <w:rPr>
        <w:rFonts w:hint="default"/>
        <w:lang w:val="en-US" w:eastAsia="en-US" w:bidi="ar-SA"/>
      </w:rPr>
    </w:lvl>
    <w:lvl w:ilvl="6" w:tplc="DD406AE2">
      <w:numFmt w:val="bullet"/>
      <w:lvlText w:val="•"/>
      <w:lvlJc w:val="left"/>
      <w:pPr>
        <w:ind w:left="3679" w:hanging="286"/>
      </w:pPr>
      <w:rPr>
        <w:rFonts w:hint="default"/>
        <w:lang w:val="en-US" w:eastAsia="en-US" w:bidi="ar-SA"/>
      </w:rPr>
    </w:lvl>
    <w:lvl w:ilvl="7" w:tplc="E3CED690">
      <w:numFmt w:val="bullet"/>
      <w:lvlText w:val="•"/>
      <w:lvlJc w:val="left"/>
      <w:pPr>
        <w:ind w:left="4216" w:hanging="286"/>
      </w:pPr>
      <w:rPr>
        <w:rFonts w:hint="default"/>
        <w:lang w:val="en-US" w:eastAsia="en-US" w:bidi="ar-SA"/>
      </w:rPr>
    </w:lvl>
    <w:lvl w:ilvl="8" w:tplc="DE88916C">
      <w:numFmt w:val="bullet"/>
      <w:lvlText w:val="•"/>
      <w:lvlJc w:val="left"/>
      <w:pPr>
        <w:ind w:left="4752" w:hanging="286"/>
      </w:pPr>
      <w:rPr>
        <w:rFonts w:hint="default"/>
        <w:lang w:val="en-US" w:eastAsia="en-US" w:bidi="ar-SA"/>
      </w:rPr>
    </w:lvl>
  </w:abstractNum>
  <w:abstractNum w:abstractNumId="382" w15:restartNumberingAfterBreak="0">
    <w:nsid w:val="518F2596"/>
    <w:multiLevelType w:val="hybridMultilevel"/>
    <w:tmpl w:val="37EE378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83" w15:restartNumberingAfterBreak="0">
    <w:nsid w:val="51C07460"/>
    <w:multiLevelType w:val="hybridMultilevel"/>
    <w:tmpl w:val="AB2C49E6"/>
    <w:lvl w:ilvl="0" w:tplc="58089688">
      <w:numFmt w:val="bullet"/>
      <w:lvlText w:val=""/>
      <w:lvlJc w:val="left"/>
      <w:pPr>
        <w:ind w:left="666" w:hanging="567"/>
      </w:pPr>
      <w:rPr>
        <w:rFonts w:ascii="Symbol" w:eastAsia="Symbol" w:hAnsi="Symbol" w:cs="Symbol" w:hint="default"/>
        <w:w w:val="99"/>
        <w:sz w:val="20"/>
        <w:szCs w:val="20"/>
        <w:lang w:val="en-AU" w:eastAsia="en-US" w:bidi="ar-SA"/>
      </w:rPr>
    </w:lvl>
    <w:lvl w:ilvl="1" w:tplc="453CA46C">
      <w:numFmt w:val="bullet"/>
      <w:lvlText w:val="•"/>
      <w:lvlJc w:val="left"/>
      <w:pPr>
        <w:ind w:left="1556" w:hanging="567"/>
      </w:pPr>
      <w:rPr>
        <w:rFonts w:hint="default"/>
        <w:lang w:val="en-AU" w:eastAsia="en-US" w:bidi="ar-SA"/>
      </w:rPr>
    </w:lvl>
    <w:lvl w:ilvl="2" w:tplc="6B26F1B2">
      <w:numFmt w:val="bullet"/>
      <w:lvlText w:val="•"/>
      <w:lvlJc w:val="left"/>
      <w:pPr>
        <w:ind w:left="2453" w:hanging="567"/>
      </w:pPr>
      <w:rPr>
        <w:rFonts w:hint="default"/>
        <w:lang w:val="en-AU" w:eastAsia="en-US" w:bidi="ar-SA"/>
      </w:rPr>
    </w:lvl>
    <w:lvl w:ilvl="3" w:tplc="CDC6B8C0">
      <w:numFmt w:val="bullet"/>
      <w:lvlText w:val="•"/>
      <w:lvlJc w:val="left"/>
      <w:pPr>
        <w:ind w:left="3349" w:hanging="567"/>
      </w:pPr>
      <w:rPr>
        <w:rFonts w:hint="default"/>
        <w:lang w:val="en-AU" w:eastAsia="en-US" w:bidi="ar-SA"/>
      </w:rPr>
    </w:lvl>
    <w:lvl w:ilvl="4" w:tplc="321841EE">
      <w:numFmt w:val="bullet"/>
      <w:lvlText w:val="•"/>
      <w:lvlJc w:val="left"/>
      <w:pPr>
        <w:ind w:left="4246" w:hanging="567"/>
      </w:pPr>
      <w:rPr>
        <w:rFonts w:hint="default"/>
        <w:lang w:val="en-AU" w:eastAsia="en-US" w:bidi="ar-SA"/>
      </w:rPr>
    </w:lvl>
    <w:lvl w:ilvl="5" w:tplc="9D240702">
      <w:numFmt w:val="bullet"/>
      <w:lvlText w:val="•"/>
      <w:lvlJc w:val="left"/>
      <w:pPr>
        <w:ind w:left="5143" w:hanging="567"/>
      </w:pPr>
      <w:rPr>
        <w:rFonts w:hint="default"/>
        <w:lang w:val="en-AU" w:eastAsia="en-US" w:bidi="ar-SA"/>
      </w:rPr>
    </w:lvl>
    <w:lvl w:ilvl="6" w:tplc="4A8E7ED4">
      <w:numFmt w:val="bullet"/>
      <w:lvlText w:val="•"/>
      <w:lvlJc w:val="left"/>
      <w:pPr>
        <w:ind w:left="6039" w:hanging="567"/>
      </w:pPr>
      <w:rPr>
        <w:rFonts w:hint="default"/>
        <w:lang w:val="en-AU" w:eastAsia="en-US" w:bidi="ar-SA"/>
      </w:rPr>
    </w:lvl>
    <w:lvl w:ilvl="7" w:tplc="2AA8B246">
      <w:numFmt w:val="bullet"/>
      <w:lvlText w:val="•"/>
      <w:lvlJc w:val="left"/>
      <w:pPr>
        <w:ind w:left="6936" w:hanging="567"/>
      </w:pPr>
      <w:rPr>
        <w:rFonts w:hint="default"/>
        <w:lang w:val="en-AU" w:eastAsia="en-US" w:bidi="ar-SA"/>
      </w:rPr>
    </w:lvl>
    <w:lvl w:ilvl="8" w:tplc="BB3C6678">
      <w:numFmt w:val="bullet"/>
      <w:lvlText w:val="•"/>
      <w:lvlJc w:val="left"/>
      <w:pPr>
        <w:ind w:left="7833" w:hanging="567"/>
      </w:pPr>
      <w:rPr>
        <w:rFonts w:hint="default"/>
        <w:lang w:val="en-AU" w:eastAsia="en-US" w:bidi="ar-SA"/>
      </w:rPr>
    </w:lvl>
  </w:abstractNum>
  <w:abstractNum w:abstractNumId="384" w15:restartNumberingAfterBreak="0">
    <w:nsid w:val="51F570A9"/>
    <w:multiLevelType w:val="multilevel"/>
    <w:tmpl w:val="C20CE252"/>
    <w:lvl w:ilvl="0">
      <w:start w:val="1"/>
      <w:numFmt w:val="lowerRoman"/>
      <w:lvlText w:val="%1."/>
      <w:lvlJc w:val="right"/>
      <w:pPr>
        <w:ind w:left="720" w:hanging="363"/>
      </w:pPr>
      <w:rPr>
        <w:rFonts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385" w15:restartNumberingAfterBreak="0">
    <w:nsid w:val="51F86518"/>
    <w:multiLevelType w:val="multilevel"/>
    <w:tmpl w:val="8B2C7980"/>
    <w:lvl w:ilvl="0">
      <w:start w:val="6"/>
      <w:numFmt w:val="decimal"/>
      <w:lvlText w:val="A%1.2"/>
      <w:lvlJc w:val="left"/>
      <w:pPr>
        <w:ind w:left="930" w:hanging="363"/>
      </w:pPr>
      <w:rPr>
        <w:rFonts w:ascii="Avenir LT 85 Heavy" w:hAnsi="Avenir LT 85 Heavy" w:hint="default"/>
        <w:color w:val="auto"/>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386" w15:restartNumberingAfterBreak="0">
    <w:nsid w:val="522D5159"/>
    <w:multiLevelType w:val="multilevel"/>
    <w:tmpl w:val="2076AB90"/>
    <w:numStyleLink w:val="Style2"/>
  </w:abstractNum>
  <w:abstractNum w:abstractNumId="387" w15:restartNumberingAfterBreak="0">
    <w:nsid w:val="52E60B19"/>
    <w:multiLevelType w:val="hybridMultilevel"/>
    <w:tmpl w:val="FCDE547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8" w15:restartNumberingAfterBreak="0">
    <w:nsid w:val="53413119"/>
    <w:multiLevelType w:val="hybridMultilevel"/>
    <w:tmpl w:val="A12CB6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9" w15:restartNumberingAfterBreak="0">
    <w:nsid w:val="539664CB"/>
    <w:multiLevelType w:val="hybridMultilevel"/>
    <w:tmpl w:val="F9143586"/>
    <w:lvl w:ilvl="0" w:tplc="CBD4FCC8">
      <w:numFmt w:val="bullet"/>
      <w:lvlText w:val=""/>
      <w:lvlJc w:val="left"/>
      <w:pPr>
        <w:ind w:left="480" w:hanging="360"/>
      </w:pPr>
      <w:rPr>
        <w:rFonts w:ascii="Symbol" w:eastAsia="Symbol" w:hAnsi="Symbol" w:cs="Symbol" w:hint="default"/>
        <w:w w:val="100"/>
        <w:sz w:val="22"/>
        <w:szCs w:val="22"/>
      </w:rPr>
    </w:lvl>
    <w:lvl w:ilvl="1" w:tplc="266EC4EC">
      <w:numFmt w:val="bullet"/>
      <w:lvlText w:val="•"/>
      <w:lvlJc w:val="left"/>
      <w:pPr>
        <w:ind w:left="1392" w:hanging="360"/>
      </w:pPr>
      <w:rPr>
        <w:rFonts w:hint="default"/>
      </w:rPr>
    </w:lvl>
    <w:lvl w:ilvl="2" w:tplc="1FCC54F6">
      <w:numFmt w:val="bullet"/>
      <w:lvlText w:val="•"/>
      <w:lvlJc w:val="left"/>
      <w:pPr>
        <w:ind w:left="2305" w:hanging="360"/>
      </w:pPr>
      <w:rPr>
        <w:rFonts w:hint="default"/>
      </w:rPr>
    </w:lvl>
    <w:lvl w:ilvl="3" w:tplc="D87A7D06">
      <w:numFmt w:val="bullet"/>
      <w:lvlText w:val="•"/>
      <w:lvlJc w:val="left"/>
      <w:pPr>
        <w:ind w:left="3217" w:hanging="360"/>
      </w:pPr>
      <w:rPr>
        <w:rFonts w:hint="default"/>
      </w:rPr>
    </w:lvl>
    <w:lvl w:ilvl="4" w:tplc="E18E9026">
      <w:numFmt w:val="bullet"/>
      <w:lvlText w:val="•"/>
      <w:lvlJc w:val="left"/>
      <w:pPr>
        <w:ind w:left="4130" w:hanging="360"/>
      </w:pPr>
      <w:rPr>
        <w:rFonts w:hint="default"/>
      </w:rPr>
    </w:lvl>
    <w:lvl w:ilvl="5" w:tplc="94B42C12">
      <w:numFmt w:val="bullet"/>
      <w:lvlText w:val="•"/>
      <w:lvlJc w:val="left"/>
      <w:pPr>
        <w:ind w:left="5043" w:hanging="360"/>
      </w:pPr>
      <w:rPr>
        <w:rFonts w:hint="default"/>
      </w:rPr>
    </w:lvl>
    <w:lvl w:ilvl="6" w:tplc="2EE0C344">
      <w:numFmt w:val="bullet"/>
      <w:lvlText w:val="•"/>
      <w:lvlJc w:val="left"/>
      <w:pPr>
        <w:ind w:left="5955" w:hanging="360"/>
      </w:pPr>
      <w:rPr>
        <w:rFonts w:hint="default"/>
      </w:rPr>
    </w:lvl>
    <w:lvl w:ilvl="7" w:tplc="A8149FA2">
      <w:numFmt w:val="bullet"/>
      <w:lvlText w:val="•"/>
      <w:lvlJc w:val="left"/>
      <w:pPr>
        <w:ind w:left="6868" w:hanging="360"/>
      </w:pPr>
      <w:rPr>
        <w:rFonts w:hint="default"/>
      </w:rPr>
    </w:lvl>
    <w:lvl w:ilvl="8" w:tplc="9B1626EA">
      <w:numFmt w:val="bullet"/>
      <w:lvlText w:val="•"/>
      <w:lvlJc w:val="left"/>
      <w:pPr>
        <w:ind w:left="7781" w:hanging="360"/>
      </w:pPr>
      <w:rPr>
        <w:rFonts w:hint="default"/>
      </w:rPr>
    </w:lvl>
  </w:abstractNum>
  <w:abstractNum w:abstractNumId="390" w15:restartNumberingAfterBreak="0">
    <w:nsid w:val="53E66864"/>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391" w15:restartNumberingAfterBreak="0">
    <w:nsid w:val="53F9371C"/>
    <w:multiLevelType w:val="hybridMultilevel"/>
    <w:tmpl w:val="E9E467B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2" w15:restartNumberingAfterBreak="0">
    <w:nsid w:val="54046FB3"/>
    <w:multiLevelType w:val="hybridMultilevel"/>
    <w:tmpl w:val="D50EF7D8"/>
    <w:lvl w:ilvl="0" w:tplc="C98ED270">
      <w:numFmt w:val="bullet"/>
      <w:lvlText w:val=""/>
      <w:lvlJc w:val="left"/>
      <w:pPr>
        <w:ind w:left="515" w:hanging="286"/>
      </w:pPr>
      <w:rPr>
        <w:rFonts w:ascii="Symbol" w:eastAsia="Symbol" w:hAnsi="Symbol" w:cs="Symbol" w:hint="default"/>
        <w:b w:val="0"/>
        <w:bCs w:val="0"/>
        <w:i w:val="0"/>
        <w:iCs w:val="0"/>
        <w:spacing w:val="0"/>
        <w:w w:val="100"/>
        <w:sz w:val="22"/>
        <w:szCs w:val="22"/>
        <w:lang w:val="en-US" w:eastAsia="en-US" w:bidi="ar-SA"/>
      </w:rPr>
    </w:lvl>
    <w:lvl w:ilvl="1" w:tplc="CF4E6FDE">
      <w:numFmt w:val="bullet"/>
      <w:lvlText w:val="•"/>
      <w:lvlJc w:val="left"/>
      <w:pPr>
        <w:ind w:left="1127" w:hanging="286"/>
      </w:pPr>
      <w:rPr>
        <w:rFonts w:hint="default"/>
        <w:lang w:val="en-US" w:eastAsia="en-US" w:bidi="ar-SA"/>
      </w:rPr>
    </w:lvl>
    <w:lvl w:ilvl="2" w:tplc="FC40B014">
      <w:numFmt w:val="bullet"/>
      <w:lvlText w:val="•"/>
      <w:lvlJc w:val="left"/>
      <w:pPr>
        <w:ind w:left="1735" w:hanging="286"/>
      </w:pPr>
      <w:rPr>
        <w:rFonts w:hint="default"/>
        <w:lang w:val="en-US" w:eastAsia="en-US" w:bidi="ar-SA"/>
      </w:rPr>
    </w:lvl>
    <w:lvl w:ilvl="3" w:tplc="91BEA140">
      <w:numFmt w:val="bullet"/>
      <w:lvlText w:val="•"/>
      <w:lvlJc w:val="left"/>
      <w:pPr>
        <w:ind w:left="2342" w:hanging="286"/>
      </w:pPr>
      <w:rPr>
        <w:rFonts w:hint="default"/>
        <w:lang w:val="en-US" w:eastAsia="en-US" w:bidi="ar-SA"/>
      </w:rPr>
    </w:lvl>
    <w:lvl w:ilvl="4" w:tplc="C150BFCA">
      <w:numFmt w:val="bullet"/>
      <w:lvlText w:val="•"/>
      <w:lvlJc w:val="left"/>
      <w:pPr>
        <w:ind w:left="2950" w:hanging="286"/>
      </w:pPr>
      <w:rPr>
        <w:rFonts w:hint="default"/>
        <w:lang w:val="en-US" w:eastAsia="en-US" w:bidi="ar-SA"/>
      </w:rPr>
    </w:lvl>
    <w:lvl w:ilvl="5" w:tplc="5AD879E8">
      <w:numFmt w:val="bullet"/>
      <w:lvlText w:val="•"/>
      <w:lvlJc w:val="left"/>
      <w:pPr>
        <w:ind w:left="3558" w:hanging="286"/>
      </w:pPr>
      <w:rPr>
        <w:rFonts w:hint="default"/>
        <w:lang w:val="en-US" w:eastAsia="en-US" w:bidi="ar-SA"/>
      </w:rPr>
    </w:lvl>
    <w:lvl w:ilvl="6" w:tplc="410CE364">
      <w:numFmt w:val="bullet"/>
      <w:lvlText w:val="•"/>
      <w:lvlJc w:val="left"/>
      <w:pPr>
        <w:ind w:left="4165" w:hanging="286"/>
      </w:pPr>
      <w:rPr>
        <w:rFonts w:hint="default"/>
        <w:lang w:val="en-US" w:eastAsia="en-US" w:bidi="ar-SA"/>
      </w:rPr>
    </w:lvl>
    <w:lvl w:ilvl="7" w:tplc="F692F954">
      <w:numFmt w:val="bullet"/>
      <w:lvlText w:val="•"/>
      <w:lvlJc w:val="left"/>
      <w:pPr>
        <w:ind w:left="4773" w:hanging="286"/>
      </w:pPr>
      <w:rPr>
        <w:rFonts w:hint="default"/>
        <w:lang w:val="en-US" w:eastAsia="en-US" w:bidi="ar-SA"/>
      </w:rPr>
    </w:lvl>
    <w:lvl w:ilvl="8" w:tplc="C118313A">
      <w:numFmt w:val="bullet"/>
      <w:lvlText w:val="•"/>
      <w:lvlJc w:val="left"/>
      <w:pPr>
        <w:ind w:left="5380" w:hanging="286"/>
      </w:pPr>
      <w:rPr>
        <w:rFonts w:hint="default"/>
        <w:lang w:val="en-US" w:eastAsia="en-US" w:bidi="ar-SA"/>
      </w:rPr>
    </w:lvl>
  </w:abstractNum>
  <w:abstractNum w:abstractNumId="393" w15:restartNumberingAfterBreak="0">
    <w:nsid w:val="54174B95"/>
    <w:multiLevelType w:val="multilevel"/>
    <w:tmpl w:val="AF249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54B03AD3"/>
    <w:multiLevelType w:val="hybridMultilevel"/>
    <w:tmpl w:val="BBF8AE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5" w15:restartNumberingAfterBreak="0">
    <w:nsid w:val="54D93F2E"/>
    <w:multiLevelType w:val="multilevel"/>
    <w:tmpl w:val="3D4AC664"/>
    <w:lvl w:ilvl="0">
      <w:start w:val="4"/>
      <w:numFmt w:val="decimal"/>
      <w:lvlText w:val="%1"/>
      <w:lvlJc w:val="left"/>
      <w:pPr>
        <w:ind w:left="435" w:hanging="435"/>
      </w:pPr>
      <w:rPr>
        <w:rFonts w:hint="default"/>
      </w:rPr>
    </w:lvl>
    <w:lvl w:ilvl="1">
      <w:start w:val="2"/>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396" w15:restartNumberingAfterBreak="0">
    <w:nsid w:val="55351E31"/>
    <w:multiLevelType w:val="hybridMultilevel"/>
    <w:tmpl w:val="E1BC8E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7" w15:restartNumberingAfterBreak="0">
    <w:nsid w:val="556B2D22"/>
    <w:multiLevelType w:val="hybridMultilevel"/>
    <w:tmpl w:val="519C2F0E"/>
    <w:lvl w:ilvl="0" w:tplc="FE52F106">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8" w15:restartNumberingAfterBreak="0">
    <w:nsid w:val="55BC601E"/>
    <w:multiLevelType w:val="hybridMultilevel"/>
    <w:tmpl w:val="49B646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9" w15:restartNumberingAfterBreak="0">
    <w:nsid w:val="55F6099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00" w15:restartNumberingAfterBreak="0">
    <w:nsid w:val="560A00CD"/>
    <w:multiLevelType w:val="hybridMultilevel"/>
    <w:tmpl w:val="E61EC7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1" w15:restartNumberingAfterBreak="0">
    <w:nsid w:val="56A36747"/>
    <w:multiLevelType w:val="multilevel"/>
    <w:tmpl w:val="3356B66A"/>
    <w:lvl w:ilvl="0">
      <w:start w:val="2"/>
      <w:numFmt w:val="decimal"/>
      <w:lvlText w:val="A%1"/>
      <w:lvlJc w:val="left"/>
      <w:pPr>
        <w:ind w:left="720" w:hanging="363"/>
      </w:pPr>
      <w:rPr>
        <w:rFonts w:ascii="Avenir LT 85 Heavy" w:hAnsi="Avenir LT 85 Heavy" w:hint="default"/>
        <w:sz w:val="20"/>
      </w:rPr>
    </w:lvl>
    <w:lvl w:ilvl="1">
      <w:start w:val="2"/>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402" w15:restartNumberingAfterBreak="0">
    <w:nsid w:val="575C1B94"/>
    <w:multiLevelType w:val="multilevel"/>
    <w:tmpl w:val="177A1206"/>
    <w:numStyleLink w:val="Style4"/>
  </w:abstractNum>
  <w:abstractNum w:abstractNumId="403" w15:restartNumberingAfterBreak="0">
    <w:nsid w:val="57860A45"/>
    <w:multiLevelType w:val="hybridMultilevel"/>
    <w:tmpl w:val="103E78A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4" w15:restartNumberingAfterBreak="0">
    <w:nsid w:val="57BA4A17"/>
    <w:multiLevelType w:val="multilevel"/>
    <w:tmpl w:val="FE989AD6"/>
    <w:lvl w:ilvl="0">
      <w:start w:val="7"/>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405" w15:restartNumberingAfterBreak="0">
    <w:nsid w:val="57DA0DCF"/>
    <w:multiLevelType w:val="multilevel"/>
    <w:tmpl w:val="850A66C4"/>
    <w:lvl w:ilvl="0">
      <w:start w:val="4"/>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406" w15:restartNumberingAfterBreak="0">
    <w:nsid w:val="58893FA4"/>
    <w:multiLevelType w:val="multilevel"/>
    <w:tmpl w:val="2076AB90"/>
    <w:numStyleLink w:val="Style2"/>
  </w:abstractNum>
  <w:abstractNum w:abstractNumId="407" w15:restartNumberingAfterBreak="0">
    <w:nsid w:val="58AD294B"/>
    <w:multiLevelType w:val="multilevel"/>
    <w:tmpl w:val="079E940A"/>
    <w:lvl w:ilvl="0">
      <w:start w:val="3"/>
      <w:numFmt w:val="decimal"/>
      <w:lvlText w:val="P%1"/>
      <w:lvlJc w:val="left"/>
      <w:pPr>
        <w:ind w:left="720" w:hanging="363"/>
      </w:pPr>
      <w:rPr>
        <w:rFonts w:ascii="Avenir LT 85 Heavy" w:hAnsi="Avenir LT 85 Heavy" w:hint="default"/>
        <w:sz w:val="20"/>
      </w:rPr>
    </w:lvl>
    <w:lvl w:ilvl="1">
      <w:start w:val="2"/>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408" w15:restartNumberingAfterBreak="0">
    <w:nsid w:val="58E1775C"/>
    <w:multiLevelType w:val="multilevel"/>
    <w:tmpl w:val="CDD61774"/>
    <w:lvl w:ilvl="0">
      <w:start w:val="9"/>
      <w:numFmt w:val="decimal"/>
      <w:lvlText w:val="%1"/>
      <w:lvlJc w:val="left"/>
      <w:pPr>
        <w:ind w:left="840" w:hanging="721"/>
      </w:pPr>
      <w:rPr>
        <w:rFonts w:hint="default"/>
      </w:rPr>
    </w:lvl>
    <w:lvl w:ilvl="1">
      <w:start w:val="1"/>
      <w:numFmt w:val="decimal"/>
      <w:lvlText w:val="%1.%2"/>
      <w:lvlJc w:val="left"/>
      <w:pPr>
        <w:ind w:left="840" w:hanging="721"/>
      </w:pPr>
      <w:rPr>
        <w:rFonts w:ascii="Calibri" w:eastAsia="Calibri" w:hAnsi="Calibri" w:hint="default"/>
        <w:b/>
        <w:bCs/>
        <w:sz w:val="22"/>
        <w:szCs w:val="22"/>
      </w:rPr>
    </w:lvl>
    <w:lvl w:ilvl="2">
      <w:start w:val="1"/>
      <w:numFmt w:val="bullet"/>
      <w:lvlText w:val=""/>
      <w:lvlJc w:val="left"/>
      <w:pPr>
        <w:ind w:left="839" w:hanging="361"/>
      </w:pPr>
      <w:rPr>
        <w:rFonts w:ascii="Symbol" w:eastAsia="Symbol" w:hAnsi="Symbol" w:hint="default"/>
        <w:sz w:val="22"/>
        <w:szCs w:val="22"/>
      </w:rPr>
    </w:lvl>
    <w:lvl w:ilvl="3">
      <w:start w:val="1"/>
      <w:numFmt w:val="bullet"/>
      <w:lvlText w:val="•"/>
      <w:lvlJc w:val="left"/>
      <w:pPr>
        <w:ind w:left="2942" w:hanging="361"/>
      </w:pPr>
      <w:rPr>
        <w:rFonts w:hint="default"/>
      </w:rPr>
    </w:lvl>
    <w:lvl w:ilvl="4">
      <w:start w:val="1"/>
      <w:numFmt w:val="bullet"/>
      <w:lvlText w:val="•"/>
      <w:lvlJc w:val="left"/>
      <w:pPr>
        <w:ind w:left="3993" w:hanging="361"/>
      </w:pPr>
      <w:rPr>
        <w:rFonts w:hint="default"/>
      </w:rPr>
    </w:lvl>
    <w:lvl w:ilvl="5">
      <w:start w:val="1"/>
      <w:numFmt w:val="bullet"/>
      <w:lvlText w:val="•"/>
      <w:lvlJc w:val="left"/>
      <w:pPr>
        <w:ind w:left="5044" w:hanging="361"/>
      </w:pPr>
      <w:rPr>
        <w:rFonts w:hint="default"/>
      </w:rPr>
    </w:lvl>
    <w:lvl w:ilvl="6">
      <w:start w:val="1"/>
      <w:numFmt w:val="bullet"/>
      <w:lvlText w:val="•"/>
      <w:lvlJc w:val="left"/>
      <w:pPr>
        <w:ind w:left="6095" w:hanging="361"/>
      </w:pPr>
      <w:rPr>
        <w:rFonts w:hint="default"/>
      </w:rPr>
    </w:lvl>
    <w:lvl w:ilvl="7">
      <w:start w:val="1"/>
      <w:numFmt w:val="bullet"/>
      <w:lvlText w:val="•"/>
      <w:lvlJc w:val="left"/>
      <w:pPr>
        <w:ind w:left="7146" w:hanging="361"/>
      </w:pPr>
      <w:rPr>
        <w:rFonts w:hint="default"/>
      </w:rPr>
    </w:lvl>
    <w:lvl w:ilvl="8">
      <w:start w:val="1"/>
      <w:numFmt w:val="bullet"/>
      <w:lvlText w:val="•"/>
      <w:lvlJc w:val="left"/>
      <w:pPr>
        <w:ind w:left="8197" w:hanging="361"/>
      </w:pPr>
      <w:rPr>
        <w:rFonts w:hint="default"/>
      </w:rPr>
    </w:lvl>
  </w:abstractNum>
  <w:abstractNum w:abstractNumId="409" w15:restartNumberingAfterBreak="0">
    <w:nsid w:val="58EA50E7"/>
    <w:multiLevelType w:val="hybridMultilevel"/>
    <w:tmpl w:val="E090A0C6"/>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0" w15:restartNumberingAfterBreak="0">
    <w:nsid w:val="59195908"/>
    <w:multiLevelType w:val="multilevel"/>
    <w:tmpl w:val="2076AB90"/>
    <w:numStyleLink w:val="Style2"/>
  </w:abstractNum>
  <w:abstractNum w:abstractNumId="411" w15:restartNumberingAfterBreak="0">
    <w:nsid w:val="594E4E24"/>
    <w:multiLevelType w:val="hybridMultilevel"/>
    <w:tmpl w:val="F740E5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2" w15:restartNumberingAfterBreak="0">
    <w:nsid w:val="59751463"/>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413" w15:restartNumberingAfterBreak="0">
    <w:nsid w:val="597C2502"/>
    <w:multiLevelType w:val="hybridMultilevel"/>
    <w:tmpl w:val="00C4C2F2"/>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4" w15:restartNumberingAfterBreak="0">
    <w:nsid w:val="59A42D1D"/>
    <w:multiLevelType w:val="hybridMultilevel"/>
    <w:tmpl w:val="CD76E0DA"/>
    <w:lvl w:ilvl="0" w:tplc="944A7282">
      <w:start w:val="1"/>
      <w:numFmt w:val="lowerRoman"/>
      <w:lvlText w:val="%1."/>
      <w:lvlJc w:val="left"/>
      <w:pPr>
        <w:ind w:left="1200" w:hanging="720"/>
      </w:pPr>
      <w:rPr>
        <w:rFonts w:ascii="Calibri" w:eastAsia="Calibri" w:hAnsi="Calibri" w:cs="Calibri" w:hint="default"/>
        <w:spacing w:val="-1"/>
        <w:w w:val="100"/>
        <w:sz w:val="22"/>
        <w:szCs w:val="22"/>
      </w:rPr>
    </w:lvl>
    <w:lvl w:ilvl="1" w:tplc="8856E5EC">
      <w:start w:val="1"/>
      <w:numFmt w:val="lowerLetter"/>
      <w:lvlText w:val="%2)"/>
      <w:lvlJc w:val="left"/>
      <w:pPr>
        <w:ind w:left="1560" w:hanging="361"/>
      </w:pPr>
      <w:rPr>
        <w:rFonts w:ascii="Calibri" w:eastAsia="Calibri" w:hAnsi="Calibri" w:cs="Calibri" w:hint="default"/>
        <w:w w:val="100"/>
        <w:sz w:val="22"/>
        <w:szCs w:val="22"/>
      </w:rPr>
    </w:lvl>
    <w:lvl w:ilvl="2" w:tplc="0ADA88FA">
      <w:numFmt w:val="bullet"/>
      <w:lvlText w:val="•"/>
      <w:lvlJc w:val="left"/>
      <w:pPr>
        <w:ind w:left="2454" w:hanging="361"/>
      </w:pPr>
      <w:rPr>
        <w:rFonts w:hint="default"/>
      </w:rPr>
    </w:lvl>
    <w:lvl w:ilvl="3" w:tplc="74182678">
      <w:numFmt w:val="bullet"/>
      <w:lvlText w:val="•"/>
      <w:lvlJc w:val="left"/>
      <w:pPr>
        <w:ind w:left="3348" w:hanging="361"/>
      </w:pPr>
      <w:rPr>
        <w:rFonts w:hint="default"/>
      </w:rPr>
    </w:lvl>
    <w:lvl w:ilvl="4" w:tplc="4C7CBA06">
      <w:numFmt w:val="bullet"/>
      <w:lvlText w:val="•"/>
      <w:lvlJc w:val="left"/>
      <w:pPr>
        <w:ind w:left="4242" w:hanging="361"/>
      </w:pPr>
      <w:rPr>
        <w:rFonts w:hint="default"/>
      </w:rPr>
    </w:lvl>
    <w:lvl w:ilvl="5" w:tplc="13340D24">
      <w:numFmt w:val="bullet"/>
      <w:lvlText w:val="•"/>
      <w:lvlJc w:val="left"/>
      <w:pPr>
        <w:ind w:left="5136" w:hanging="361"/>
      </w:pPr>
      <w:rPr>
        <w:rFonts w:hint="default"/>
      </w:rPr>
    </w:lvl>
    <w:lvl w:ilvl="6" w:tplc="7A2098E2">
      <w:numFmt w:val="bullet"/>
      <w:lvlText w:val="•"/>
      <w:lvlJc w:val="left"/>
      <w:pPr>
        <w:ind w:left="6030" w:hanging="361"/>
      </w:pPr>
      <w:rPr>
        <w:rFonts w:hint="default"/>
      </w:rPr>
    </w:lvl>
    <w:lvl w:ilvl="7" w:tplc="877E5DD4">
      <w:numFmt w:val="bullet"/>
      <w:lvlText w:val="•"/>
      <w:lvlJc w:val="left"/>
      <w:pPr>
        <w:ind w:left="6924" w:hanging="361"/>
      </w:pPr>
      <w:rPr>
        <w:rFonts w:hint="default"/>
      </w:rPr>
    </w:lvl>
    <w:lvl w:ilvl="8" w:tplc="2A64AA3E">
      <w:numFmt w:val="bullet"/>
      <w:lvlText w:val="•"/>
      <w:lvlJc w:val="left"/>
      <w:pPr>
        <w:ind w:left="7818" w:hanging="361"/>
      </w:pPr>
      <w:rPr>
        <w:rFonts w:hint="default"/>
      </w:rPr>
    </w:lvl>
  </w:abstractNum>
  <w:abstractNum w:abstractNumId="415" w15:restartNumberingAfterBreak="0">
    <w:nsid w:val="59EA3A30"/>
    <w:multiLevelType w:val="multilevel"/>
    <w:tmpl w:val="FD64A25E"/>
    <w:lvl w:ilvl="0">
      <w:start w:val="1"/>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416" w15:restartNumberingAfterBreak="0">
    <w:nsid w:val="59FE241B"/>
    <w:multiLevelType w:val="multilevel"/>
    <w:tmpl w:val="BBE019A2"/>
    <w:lvl w:ilvl="0">
      <w:start w:val="2"/>
      <w:numFmt w:val="decimal"/>
      <w:lvlText w:val="%1"/>
      <w:lvlJc w:val="left"/>
      <w:pPr>
        <w:ind w:left="435" w:hanging="435"/>
      </w:pPr>
      <w:rPr>
        <w:rFonts w:hint="default"/>
      </w:rPr>
    </w:lvl>
    <w:lvl w:ilvl="1">
      <w:start w:val="1"/>
      <w:numFmt w:val="decimal"/>
      <w:lvlText w:val="%1.%2"/>
      <w:lvlJc w:val="left"/>
      <w:pPr>
        <w:ind w:left="1155" w:hanging="43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7" w15:restartNumberingAfterBreak="0">
    <w:nsid w:val="5A286CEC"/>
    <w:multiLevelType w:val="hybridMultilevel"/>
    <w:tmpl w:val="BB089440"/>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8" w15:restartNumberingAfterBreak="0">
    <w:nsid w:val="5A7F7B4D"/>
    <w:multiLevelType w:val="hybridMultilevel"/>
    <w:tmpl w:val="6F0EFE08"/>
    <w:lvl w:ilvl="0" w:tplc="A5D44FB0">
      <w:start w:val="1"/>
      <w:numFmt w:val="lowerLetter"/>
      <w:lvlText w:val="(%1)"/>
      <w:lvlJc w:val="left"/>
      <w:pPr>
        <w:ind w:left="1916" w:hanging="360"/>
      </w:pPr>
      <w:rPr>
        <w:rFonts w:hint="default"/>
      </w:rPr>
    </w:lvl>
    <w:lvl w:ilvl="1" w:tplc="0C090019" w:tentative="1">
      <w:start w:val="1"/>
      <w:numFmt w:val="lowerLetter"/>
      <w:lvlText w:val="%2."/>
      <w:lvlJc w:val="left"/>
      <w:pPr>
        <w:ind w:left="2636" w:hanging="360"/>
      </w:pPr>
    </w:lvl>
    <w:lvl w:ilvl="2" w:tplc="0C09001B" w:tentative="1">
      <w:start w:val="1"/>
      <w:numFmt w:val="lowerRoman"/>
      <w:lvlText w:val="%3."/>
      <w:lvlJc w:val="right"/>
      <w:pPr>
        <w:ind w:left="3356" w:hanging="180"/>
      </w:pPr>
    </w:lvl>
    <w:lvl w:ilvl="3" w:tplc="0C09000F" w:tentative="1">
      <w:start w:val="1"/>
      <w:numFmt w:val="decimal"/>
      <w:lvlText w:val="%4."/>
      <w:lvlJc w:val="left"/>
      <w:pPr>
        <w:ind w:left="4076" w:hanging="360"/>
      </w:pPr>
    </w:lvl>
    <w:lvl w:ilvl="4" w:tplc="0C090019" w:tentative="1">
      <w:start w:val="1"/>
      <w:numFmt w:val="lowerLetter"/>
      <w:lvlText w:val="%5."/>
      <w:lvlJc w:val="left"/>
      <w:pPr>
        <w:ind w:left="4796" w:hanging="360"/>
      </w:pPr>
    </w:lvl>
    <w:lvl w:ilvl="5" w:tplc="0C09001B" w:tentative="1">
      <w:start w:val="1"/>
      <w:numFmt w:val="lowerRoman"/>
      <w:lvlText w:val="%6."/>
      <w:lvlJc w:val="right"/>
      <w:pPr>
        <w:ind w:left="5516" w:hanging="180"/>
      </w:pPr>
    </w:lvl>
    <w:lvl w:ilvl="6" w:tplc="0C09000F" w:tentative="1">
      <w:start w:val="1"/>
      <w:numFmt w:val="decimal"/>
      <w:lvlText w:val="%7."/>
      <w:lvlJc w:val="left"/>
      <w:pPr>
        <w:ind w:left="6236" w:hanging="360"/>
      </w:pPr>
    </w:lvl>
    <w:lvl w:ilvl="7" w:tplc="0C090019" w:tentative="1">
      <w:start w:val="1"/>
      <w:numFmt w:val="lowerLetter"/>
      <w:lvlText w:val="%8."/>
      <w:lvlJc w:val="left"/>
      <w:pPr>
        <w:ind w:left="6956" w:hanging="360"/>
      </w:pPr>
    </w:lvl>
    <w:lvl w:ilvl="8" w:tplc="0C09001B" w:tentative="1">
      <w:start w:val="1"/>
      <w:numFmt w:val="lowerRoman"/>
      <w:lvlText w:val="%9."/>
      <w:lvlJc w:val="right"/>
      <w:pPr>
        <w:ind w:left="7676" w:hanging="180"/>
      </w:pPr>
    </w:lvl>
  </w:abstractNum>
  <w:abstractNum w:abstractNumId="419" w15:restartNumberingAfterBreak="0">
    <w:nsid w:val="5A843D9D"/>
    <w:multiLevelType w:val="hybridMultilevel"/>
    <w:tmpl w:val="FDA2B9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0" w15:restartNumberingAfterBreak="0">
    <w:nsid w:val="5AAD5E14"/>
    <w:multiLevelType w:val="hybridMultilevel"/>
    <w:tmpl w:val="F5C8C41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21" w15:restartNumberingAfterBreak="0">
    <w:nsid w:val="5B1F7BA1"/>
    <w:multiLevelType w:val="hybridMultilevel"/>
    <w:tmpl w:val="5D8AD3A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2" w15:restartNumberingAfterBreak="0">
    <w:nsid w:val="5B4811A5"/>
    <w:multiLevelType w:val="hybridMultilevel"/>
    <w:tmpl w:val="230CEE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3" w15:restartNumberingAfterBreak="0">
    <w:nsid w:val="5B784112"/>
    <w:multiLevelType w:val="hybridMultilevel"/>
    <w:tmpl w:val="5FFEE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4" w15:restartNumberingAfterBreak="0">
    <w:nsid w:val="5B8B211C"/>
    <w:multiLevelType w:val="hybridMultilevel"/>
    <w:tmpl w:val="ED72C8CE"/>
    <w:lvl w:ilvl="0" w:tplc="31923B68">
      <w:start w:val="1"/>
      <w:numFmt w:val="decimal"/>
      <w:lvlText w:val="%1."/>
      <w:lvlJc w:val="left"/>
      <w:pPr>
        <w:ind w:left="946" w:hanging="720"/>
      </w:pPr>
      <w:rPr>
        <w:rFonts w:ascii="Calibri" w:eastAsia="Arial" w:hAnsi="Calibri" w:cs="Calibri" w:hint="default"/>
        <w:b w:val="0"/>
        <w:bCs w:val="0"/>
        <w:i w:val="0"/>
        <w:iCs w:val="0"/>
        <w:w w:val="100"/>
        <w:sz w:val="22"/>
        <w:szCs w:val="22"/>
        <w:lang w:val="en-US" w:eastAsia="en-US" w:bidi="ar-SA"/>
      </w:rPr>
    </w:lvl>
    <w:lvl w:ilvl="1" w:tplc="04743008">
      <w:numFmt w:val="bullet"/>
      <w:lvlText w:val=""/>
      <w:lvlJc w:val="left"/>
      <w:pPr>
        <w:ind w:left="1666" w:hanging="732"/>
      </w:pPr>
      <w:rPr>
        <w:rFonts w:ascii="Symbol" w:eastAsia="Symbol" w:hAnsi="Symbol" w:cs="Symbol" w:hint="default"/>
        <w:b w:val="0"/>
        <w:bCs w:val="0"/>
        <w:i w:val="0"/>
        <w:iCs w:val="0"/>
        <w:w w:val="100"/>
        <w:sz w:val="24"/>
        <w:szCs w:val="24"/>
        <w:lang w:val="en-US" w:eastAsia="en-US" w:bidi="ar-SA"/>
      </w:rPr>
    </w:lvl>
    <w:lvl w:ilvl="2" w:tplc="F95E326E">
      <w:numFmt w:val="bullet"/>
      <w:lvlText w:val="•"/>
      <w:lvlJc w:val="left"/>
      <w:pPr>
        <w:ind w:left="2715" w:hanging="732"/>
      </w:pPr>
      <w:rPr>
        <w:rFonts w:hint="default"/>
        <w:lang w:val="en-US" w:eastAsia="en-US" w:bidi="ar-SA"/>
      </w:rPr>
    </w:lvl>
    <w:lvl w:ilvl="3" w:tplc="08DEA4CE">
      <w:numFmt w:val="bullet"/>
      <w:lvlText w:val="•"/>
      <w:lvlJc w:val="left"/>
      <w:pPr>
        <w:ind w:left="3770" w:hanging="732"/>
      </w:pPr>
      <w:rPr>
        <w:rFonts w:hint="default"/>
        <w:lang w:val="en-US" w:eastAsia="en-US" w:bidi="ar-SA"/>
      </w:rPr>
    </w:lvl>
    <w:lvl w:ilvl="4" w:tplc="E5D26B9C">
      <w:numFmt w:val="bullet"/>
      <w:lvlText w:val="•"/>
      <w:lvlJc w:val="left"/>
      <w:pPr>
        <w:ind w:left="4826" w:hanging="732"/>
      </w:pPr>
      <w:rPr>
        <w:rFonts w:hint="default"/>
        <w:lang w:val="en-US" w:eastAsia="en-US" w:bidi="ar-SA"/>
      </w:rPr>
    </w:lvl>
    <w:lvl w:ilvl="5" w:tplc="B1626AFA">
      <w:numFmt w:val="bullet"/>
      <w:lvlText w:val="•"/>
      <w:lvlJc w:val="left"/>
      <w:pPr>
        <w:ind w:left="5881" w:hanging="732"/>
      </w:pPr>
      <w:rPr>
        <w:rFonts w:hint="default"/>
        <w:lang w:val="en-US" w:eastAsia="en-US" w:bidi="ar-SA"/>
      </w:rPr>
    </w:lvl>
    <w:lvl w:ilvl="6" w:tplc="557CD480">
      <w:numFmt w:val="bullet"/>
      <w:lvlText w:val="•"/>
      <w:lvlJc w:val="left"/>
      <w:pPr>
        <w:ind w:left="6937" w:hanging="732"/>
      </w:pPr>
      <w:rPr>
        <w:rFonts w:hint="default"/>
        <w:lang w:val="en-US" w:eastAsia="en-US" w:bidi="ar-SA"/>
      </w:rPr>
    </w:lvl>
    <w:lvl w:ilvl="7" w:tplc="D73CAD80">
      <w:numFmt w:val="bullet"/>
      <w:lvlText w:val="•"/>
      <w:lvlJc w:val="left"/>
      <w:pPr>
        <w:ind w:left="7992" w:hanging="732"/>
      </w:pPr>
      <w:rPr>
        <w:rFonts w:hint="default"/>
        <w:lang w:val="en-US" w:eastAsia="en-US" w:bidi="ar-SA"/>
      </w:rPr>
    </w:lvl>
    <w:lvl w:ilvl="8" w:tplc="BD54D868">
      <w:numFmt w:val="bullet"/>
      <w:lvlText w:val="•"/>
      <w:lvlJc w:val="left"/>
      <w:pPr>
        <w:ind w:left="9048" w:hanging="732"/>
      </w:pPr>
      <w:rPr>
        <w:rFonts w:hint="default"/>
        <w:lang w:val="en-US" w:eastAsia="en-US" w:bidi="ar-SA"/>
      </w:rPr>
    </w:lvl>
  </w:abstractNum>
  <w:abstractNum w:abstractNumId="425" w15:restartNumberingAfterBreak="0">
    <w:nsid w:val="5B9411EF"/>
    <w:multiLevelType w:val="multilevel"/>
    <w:tmpl w:val="80A47214"/>
    <w:lvl w:ilvl="0">
      <w:start w:val="1"/>
      <w:numFmt w:val="bullet"/>
      <w:lvlText w:val=""/>
      <w:lvlJc w:val="left"/>
      <w:pPr>
        <w:ind w:left="360" w:hanging="360"/>
      </w:pPr>
      <w:rPr>
        <w:rFonts w:ascii="Symbol" w:hAnsi="Symbol"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26" w15:restartNumberingAfterBreak="0">
    <w:nsid w:val="5BA93B5B"/>
    <w:multiLevelType w:val="hybridMultilevel"/>
    <w:tmpl w:val="98242CF2"/>
    <w:lvl w:ilvl="0" w:tplc="87A2B0A2">
      <w:start w:val="1"/>
      <w:numFmt w:val="lowerRoman"/>
      <w:lvlText w:val="%1."/>
      <w:lvlJc w:val="left"/>
      <w:pPr>
        <w:ind w:left="1252" w:hanging="771"/>
      </w:pPr>
      <w:rPr>
        <w:rFonts w:ascii="Calibri" w:eastAsia="Calibri" w:hAnsi="Calibri" w:cs="Calibri" w:hint="default"/>
        <w:w w:val="104"/>
        <w:sz w:val="22"/>
        <w:szCs w:val="22"/>
      </w:rPr>
    </w:lvl>
    <w:lvl w:ilvl="1" w:tplc="C9426E00">
      <w:numFmt w:val="bullet"/>
      <w:lvlText w:val="•"/>
      <w:lvlJc w:val="left"/>
      <w:pPr>
        <w:ind w:left="2094" w:hanging="771"/>
      </w:pPr>
      <w:rPr>
        <w:rFonts w:hint="default"/>
      </w:rPr>
    </w:lvl>
    <w:lvl w:ilvl="2" w:tplc="586CB292">
      <w:numFmt w:val="bullet"/>
      <w:lvlText w:val="•"/>
      <w:lvlJc w:val="left"/>
      <w:pPr>
        <w:ind w:left="2929" w:hanging="771"/>
      </w:pPr>
      <w:rPr>
        <w:rFonts w:hint="default"/>
      </w:rPr>
    </w:lvl>
    <w:lvl w:ilvl="3" w:tplc="20F4BB04">
      <w:numFmt w:val="bullet"/>
      <w:lvlText w:val="•"/>
      <w:lvlJc w:val="left"/>
      <w:pPr>
        <w:ind w:left="3763" w:hanging="771"/>
      </w:pPr>
      <w:rPr>
        <w:rFonts w:hint="default"/>
      </w:rPr>
    </w:lvl>
    <w:lvl w:ilvl="4" w:tplc="0A2804B6">
      <w:numFmt w:val="bullet"/>
      <w:lvlText w:val="•"/>
      <w:lvlJc w:val="left"/>
      <w:pPr>
        <w:ind w:left="4598" w:hanging="771"/>
      </w:pPr>
      <w:rPr>
        <w:rFonts w:hint="default"/>
      </w:rPr>
    </w:lvl>
    <w:lvl w:ilvl="5" w:tplc="29565724">
      <w:numFmt w:val="bullet"/>
      <w:lvlText w:val="•"/>
      <w:lvlJc w:val="left"/>
      <w:pPr>
        <w:ind w:left="5433" w:hanging="771"/>
      </w:pPr>
      <w:rPr>
        <w:rFonts w:hint="default"/>
      </w:rPr>
    </w:lvl>
    <w:lvl w:ilvl="6" w:tplc="9530F424">
      <w:numFmt w:val="bullet"/>
      <w:lvlText w:val="•"/>
      <w:lvlJc w:val="left"/>
      <w:pPr>
        <w:ind w:left="6267" w:hanging="771"/>
      </w:pPr>
      <w:rPr>
        <w:rFonts w:hint="default"/>
      </w:rPr>
    </w:lvl>
    <w:lvl w:ilvl="7" w:tplc="94946F76">
      <w:numFmt w:val="bullet"/>
      <w:lvlText w:val="•"/>
      <w:lvlJc w:val="left"/>
      <w:pPr>
        <w:ind w:left="7102" w:hanging="771"/>
      </w:pPr>
      <w:rPr>
        <w:rFonts w:hint="default"/>
      </w:rPr>
    </w:lvl>
    <w:lvl w:ilvl="8" w:tplc="69AAF934">
      <w:numFmt w:val="bullet"/>
      <w:lvlText w:val="•"/>
      <w:lvlJc w:val="left"/>
      <w:pPr>
        <w:ind w:left="7937" w:hanging="771"/>
      </w:pPr>
      <w:rPr>
        <w:rFonts w:hint="default"/>
      </w:rPr>
    </w:lvl>
  </w:abstractNum>
  <w:abstractNum w:abstractNumId="427" w15:restartNumberingAfterBreak="0">
    <w:nsid w:val="5C155B81"/>
    <w:multiLevelType w:val="hybridMultilevel"/>
    <w:tmpl w:val="430A5D48"/>
    <w:lvl w:ilvl="0" w:tplc="2F8C6E28">
      <w:start w:val="1"/>
      <w:numFmt w:val="decimal"/>
      <w:lvlText w:val="%1."/>
      <w:lvlJc w:val="left"/>
      <w:pPr>
        <w:ind w:left="547" w:hanging="428"/>
      </w:pPr>
      <w:rPr>
        <w:rFonts w:ascii="Calibri" w:eastAsia="Calibri" w:hAnsi="Calibri" w:cs="Calibri" w:hint="default"/>
        <w:b w:val="0"/>
        <w:bCs w:val="0"/>
        <w:i w:val="0"/>
        <w:iCs w:val="0"/>
        <w:spacing w:val="0"/>
        <w:w w:val="100"/>
        <w:sz w:val="22"/>
        <w:szCs w:val="22"/>
        <w:lang w:val="en-US" w:eastAsia="en-US" w:bidi="ar-SA"/>
      </w:rPr>
    </w:lvl>
    <w:lvl w:ilvl="1" w:tplc="7DA21770">
      <w:numFmt w:val="bullet"/>
      <w:lvlText w:val="•"/>
      <w:lvlJc w:val="left"/>
      <w:pPr>
        <w:ind w:left="1445" w:hanging="428"/>
      </w:pPr>
      <w:rPr>
        <w:rFonts w:hint="default"/>
        <w:lang w:val="en-US" w:eastAsia="en-US" w:bidi="ar-SA"/>
      </w:rPr>
    </w:lvl>
    <w:lvl w:ilvl="2" w:tplc="6554AF64">
      <w:numFmt w:val="bullet"/>
      <w:lvlText w:val="•"/>
      <w:lvlJc w:val="left"/>
      <w:pPr>
        <w:ind w:left="2350" w:hanging="428"/>
      </w:pPr>
      <w:rPr>
        <w:rFonts w:hint="default"/>
        <w:lang w:val="en-US" w:eastAsia="en-US" w:bidi="ar-SA"/>
      </w:rPr>
    </w:lvl>
    <w:lvl w:ilvl="3" w:tplc="3E1AF48E">
      <w:numFmt w:val="bullet"/>
      <w:lvlText w:val="•"/>
      <w:lvlJc w:val="left"/>
      <w:pPr>
        <w:ind w:left="3255" w:hanging="428"/>
      </w:pPr>
      <w:rPr>
        <w:rFonts w:hint="default"/>
        <w:lang w:val="en-US" w:eastAsia="en-US" w:bidi="ar-SA"/>
      </w:rPr>
    </w:lvl>
    <w:lvl w:ilvl="4" w:tplc="79AAFFA6">
      <w:numFmt w:val="bullet"/>
      <w:lvlText w:val="•"/>
      <w:lvlJc w:val="left"/>
      <w:pPr>
        <w:ind w:left="4160" w:hanging="428"/>
      </w:pPr>
      <w:rPr>
        <w:rFonts w:hint="default"/>
        <w:lang w:val="en-US" w:eastAsia="en-US" w:bidi="ar-SA"/>
      </w:rPr>
    </w:lvl>
    <w:lvl w:ilvl="5" w:tplc="07102C9E">
      <w:numFmt w:val="bullet"/>
      <w:lvlText w:val="•"/>
      <w:lvlJc w:val="left"/>
      <w:pPr>
        <w:ind w:left="5065" w:hanging="428"/>
      </w:pPr>
      <w:rPr>
        <w:rFonts w:hint="default"/>
        <w:lang w:val="en-US" w:eastAsia="en-US" w:bidi="ar-SA"/>
      </w:rPr>
    </w:lvl>
    <w:lvl w:ilvl="6" w:tplc="167AC16C">
      <w:numFmt w:val="bullet"/>
      <w:lvlText w:val="•"/>
      <w:lvlJc w:val="left"/>
      <w:pPr>
        <w:ind w:left="5970" w:hanging="428"/>
      </w:pPr>
      <w:rPr>
        <w:rFonts w:hint="default"/>
        <w:lang w:val="en-US" w:eastAsia="en-US" w:bidi="ar-SA"/>
      </w:rPr>
    </w:lvl>
    <w:lvl w:ilvl="7" w:tplc="EA66F69E">
      <w:numFmt w:val="bullet"/>
      <w:lvlText w:val="•"/>
      <w:lvlJc w:val="left"/>
      <w:pPr>
        <w:ind w:left="6875" w:hanging="428"/>
      </w:pPr>
      <w:rPr>
        <w:rFonts w:hint="default"/>
        <w:lang w:val="en-US" w:eastAsia="en-US" w:bidi="ar-SA"/>
      </w:rPr>
    </w:lvl>
    <w:lvl w:ilvl="8" w:tplc="BB4E4B14">
      <w:numFmt w:val="bullet"/>
      <w:lvlText w:val="•"/>
      <w:lvlJc w:val="left"/>
      <w:pPr>
        <w:ind w:left="7780" w:hanging="428"/>
      </w:pPr>
      <w:rPr>
        <w:rFonts w:hint="default"/>
        <w:lang w:val="en-US" w:eastAsia="en-US" w:bidi="ar-SA"/>
      </w:rPr>
    </w:lvl>
  </w:abstractNum>
  <w:abstractNum w:abstractNumId="428" w15:restartNumberingAfterBreak="0">
    <w:nsid w:val="5C197F4C"/>
    <w:multiLevelType w:val="hybridMultilevel"/>
    <w:tmpl w:val="9E50E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9" w15:restartNumberingAfterBreak="0">
    <w:nsid w:val="5C3D5033"/>
    <w:multiLevelType w:val="hybridMultilevel"/>
    <w:tmpl w:val="D9AA12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0" w15:restartNumberingAfterBreak="0">
    <w:nsid w:val="5CE162B5"/>
    <w:multiLevelType w:val="multilevel"/>
    <w:tmpl w:val="177A1206"/>
    <w:numStyleLink w:val="Style4"/>
  </w:abstractNum>
  <w:abstractNum w:abstractNumId="431" w15:restartNumberingAfterBreak="0">
    <w:nsid w:val="5CEE596F"/>
    <w:multiLevelType w:val="multilevel"/>
    <w:tmpl w:val="2076AB90"/>
    <w:lvl w:ilvl="0">
      <w:start w:val="1"/>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432" w15:restartNumberingAfterBreak="0">
    <w:nsid w:val="5D072B01"/>
    <w:multiLevelType w:val="hybridMultilevel"/>
    <w:tmpl w:val="ECE49E78"/>
    <w:lvl w:ilvl="0" w:tplc="EAF0ACE8">
      <w:numFmt w:val="bullet"/>
      <w:lvlText w:val=""/>
      <w:lvlJc w:val="left"/>
      <w:pPr>
        <w:ind w:left="693" w:hanging="425"/>
      </w:pPr>
      <w:rPr>
        <w:rFonts w:ascii="Symbol" w:eastAsia="Symbol" w:hAnsi="Symbol" w:cs="Symbol" w:hint="default"/>
        <w:b w:val="0"/>
        <w:bCs w:val="0"/>
        <w:i w:val="0"/>
        <w:iCs w:val="0"/>
        <w:spacing w:val="0"/>
        <w:w w:val="100"/>
        <w:sz w:val="22"/>
        <w:szCs w:val="22"/>
        <w:lang w:val="en-US" w:eastAsia="en-US" w:bidi="ar-SA"/>
      </w:rPr>
    </w:lvl>
    <w:lvl w:ilvl="1" w:tplc="B448B620">
      <w:numFmt w:val="bullet"/>
      <w:lvlText w:val="•"/>
      <w:lvlJc w:val="left"/>
      <w:pPr>
        <w:ind w:left="1289" w:hanging="425"/>
      </w:pPr>
      <w:rPr>
        <w:rFonts w:hint="default"/>
        <w:lang w:val="en-US" w:eastAsia="en-US" w:bidi="ar-SA"/>
      </w:rPr>
    </w:lvl>
    <w:lvl w:ilvl="2" w:tplc="A2ECE72A">
      <w:numFmt w:val="bullet"/>
      <w:lvlText w:val="•"/>
      <w:lvlJc w:val="left"/>
      <w:pPr>
        <w:ind w:left="1879" w:hanging="425"/>
      </w:pPr>
      <w:rPr>
        <w:rFonts w:hint="default"/>
        <w:lang w:val="en-US" w:eastAsia="en-US" w:bidi="ar-SA"/>
      </w:rPr>
    </w:lvl>
    <w:lvl w:ilvl="3" w:tplc="B89E3390">
      <w:numFmt w:val="bullet"/>
      <w:lvlText w:val="•"/>
      <w:lvlJc w:val="left"/>
      <w:pPr>
        <w:ind w:left="2468" w:hanging="425"/>
      </w:pPr>
      <w:rPr>
        <w:rFonts w:hint="default"/>
        <w:lang w:val="en-US" w:eastAsia="en-US" w:bidi="ar-SA"/>
      </w:rPr>
    </w:lvl>
    <w:lvl w:ilvl="4" w:tplc="9BFA3C52">
      <w:numFmt w:val="bullet"/>
      <w:lvlText w:val="•"/>
      <w:lvlJc w:val="left"/>
      <w:pPr>
        <w:ind w:left="3058" w:hanging="425"/>
      </w:pPr>
      <w:rPr>
        <w:rFonts w:hint="default"/>
        <w:lang w:val="en-US" w:eastAsia="en-US" w:bidi="ar-SA"/>
      </w:rPr>
    </w:lvl>
    <w:lvl w:ilvl="5" w:tplc="9026A6FA">
      <w:numFmt w:val="bullet"/>
      <w:lvlText w:val="•"/>
      <w:lvlJc w:val="left"/>
      <w:pPr>
        <w:ind w:left="3648" w:hanging="425"/>
      </w:pPr>
      <w:rPr>
        <w:rFonts w:hint="default"/>
        <w:lang w:val="en-US" w:eastAsia="en-US" w:bidi="ar-SA"/>
      </w:rPr>
    </w:lvl>
    <w:lvl w:ilvl="6" w:tplc="6B8C64A4">
      <w:numFmt w:val="bullet"/>
      <w:lvlText w:val="•"/>
      <w:lvlJc w:val="left"/>
      <w:pPr>
        <w:ind w:left="4237" w:hanging="425"/>
      </w:pPr>
      <w:rPr>
        <w:rFonts w:hint="default"/>
        <w:lang w:val="en-US" w:eastAsia="en-US" w:bidi="ar-SA"/>
      </w:rPr>
    </w:lvl>
    <w:lvl w:ilvl="7" w:tplc="6186E976">
      <w:numFmt w:val="bullet"/>
      <w:lvlText w:val="•"/>
      <w:lvlJc w:val="left"/>
      <w:pPr>
        <w:ind w:left="4827" w:hanging="425"/>
      </w:pPr>
      <w:rPr>
        <w:rFonts w:hint="default"/>
        <w:lang w:val="en-US" w:eastAsia="en-US" w:bidi="ar-SA"/>
      </w:rPr>
    </w:lvl>
    <w:lvl w:ilvl="8" w:tplc="10002ACC">
      <w:numFmt w:val="bullet"/>
      <w:lvlText w:val="•"/>
      <w:lvlJc w:val="left"/>
      <w:pPr>
        <w:ind w:left="5416" w:hanging="425"/>
      </w:pPr>
      <w:rPr>
        <w:rFonts w:hint="default"/>
        <w:lang w:val="en-US" w:eastAsia="en-US" w:bidi="ar-SA"/>
      </w:rPr>
    </w:lvl>
  </w:abstractNum>
  <w:abstractNum w:abstractNumId="433" w15:restartNumberingAfterBreak="0">
    <w:nsid w:val="5DC921E9"/>
    <w:multiLevelType w:val="multilevel"/>
    <w:tmpl w:val="177A1206"/>
    <w:styleLink w:val="Style4"/>
    <w:lvl w:ilvl="0">
      <w:start w:val="1"/>
      <w:numFmt w:val="decimal"/>
      <w:lvlText w:val="A%1"/>
      <w:lvlJc w:val="left"/>
      <w:pPr>
        <w:ind w:left="720" w:hanging="363"/>
      </w:pPr>
      <w:rPr>
        <w:rFonts w:ascii="Avenir LT 85 Heavy" w:hAnsi="Avenir LT 85 Heavy" w:hint="default"/>
        <w:sz w:val="20"/>
      </w:rPr>
    </w:lvl>
    <w:lvl w:ilvl="1">
      <w:start w:val="1"/>
      <w:numFmt w:val="decimal"/>
      <w:lvlText w:val="A%1.%2"/>
      <w:lvlJc w:val="left"/>
      <w:pPr>
        <w:ind w:left="1072"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434" w15:restartNumberingAfterBreak="0">
    <w:nsid w:val="5E0A7F79"/>
    <w:multiLevelType w:val="hybridMultilevel"/>
    <w:tmpl w:val="33080354"/>
    <w:lvl w:ilvl="0" w:tplc="E9669E9E">
      <w:numFmt w:val="bullet"/>
      <w:lvlText w:val=""/>
      <w:lvlJc w:val="left"/>
      <w:pPr>
        <w:ind w:left="453" w:hanging="286"/>
      </w:pPr>
      <w:rPr>
        <w:rFonts w:ascii="Symbol" w:eastAsia="Symbol" w:hAnsi="Symbol" w:cs="Symbol" w:hint="default"/>
        <w:b w:val="0"/>
        <w:bCs w:val="0"/>
        <w:i w:val="0"/>
        <w:iCs w:val="0"/>
        <w:spacing w:val="0"/>
        <w:w w:val="100"/>
        <w:sz w:val="22"/>
        <w:szCs w:val="22"/>
        <w:lang w:val="en-US" w:eastAsia="en-US" w:bidi="ar-SA"/>
      </w:rPr>
    </w:lvl>
    <w:lvl w:ilvl="1" w:tplc="82C400AA">
      <w:numFmt w:val="bullet"/>
      <w:lvlText w:val="•"/>
      <w:lvlJc w:val="left"/>
      <w:pPr>
        <w:ind w:left="996" w:hanging="286"/>
      </w:pPr>
      <w:rPr>
        <w:rFonts w:hint="default"/>
        <w:lang w:val="en-US" w:eastAsia="en-US" w:bidi="ar-SA"/>
      </w:rPr>
    </w:lvl>
    <w:lvl w:ilvl="2" w:tplc="D2E64CE6">
      <w:numFmt w:val="bullet"/>
      <w:lvlText w:val="•"/>
      <w:lvlJc w:val="left"/>
      <w:pPr>
        <w:ind w:left="1533" w:hanging="286"/>
      </w:pPr>
      <w:rPr>
        <w:rFonts w:hint="default"/>
        <w:lang w:val="en-US" w:eastAsia="en-US" w:bidi="ar-SA"/>
      </w:rPr>
    </w:lvl>
    <w:lvl w:ilvl="3" w:tplc="8B581D30">
      <w:numFmt w:val="bullet"/>
      <w:lvlText w:val="•"/>
      <w:lvlJc w:val="left"/>
      <w:pPr>
        <w:ind w:left="2069" w:hanging="286"/>
      </w:pPr>
      <w:rPr>
        <w:rFonts w:hint="default"/>
        <w:lang w:val="en-US" w:eastAsia="en-US" w:bidi="ar-SA"/>
      </w:rPr>
    </w:lvl>
    <w:lvl w:ilvl="4" w:tplc="FE7C6584">
      <w:numFmt w:val="bullet"/>
      <w:lvlText w:val="•"/>
      <w:lvlJc w:val="left"/>
      <w:pPr>
        <w:ind w:left="2606" w:hanging="286"/>
      </w:pPr>
      <w:rPr>
        <w:rFonts w:hint="default"/>
        <w:lang w:val="en-US" w:eastAsia="en-US" w:bidi="ar-SA"/>
      </w:rPr>
    </w:lvl>
    <w:lvl w:ilvl="5" w:tplc="DA44E4EE">
      <w:numFmt w:val="bullet"/>
      <w:lvlText w:val="•"/>
      <w:lvlJc w:val="left"/>
      <w:pPr>
        <w:ind w:left="3143" w:hanging="286"/>
      </w:pPr>
      <w:rPr>
        <w:rFonts w:hint="default"/>
        <w:lang w:val="en-US" w:eastAsia="en-US" w:bidi="ar-SA"/>
      </w:rPr>
    </w:lvl>
    <w:lvl w:ilvl="6" w:tplc="FB28B454">
      <w:numFmt w:val="bullet"/>
      <w:lvlText w:val="•"/>
      <w:lvlJc w:val="left"/>
      <w:pPr>
        <w:ind w:left="3679" w:hanging="286"/>
      </w:pPr>
      <w:rPr>
        <w:rFonts w:hint="default"/>
        <w:lang w:val="en-US" w:eastAsia="en-US" w:bidi="ar-SA"/>
      </w:rPr>
    </w:lvl>
    <w:lvl w:ilvl="7" w:tplc="B358D5EA">
      <w:numFmt w:val="bullet"/>
      <w:lvlText w:val="•"/>
      <w:lvlJc w:val="left"/>
      <w:pPr>
        <w:ind w:left="4216" w:hanging="286"/>
      </w:pPr>
      <w:rPr>
        <w:rFonts w:hint="default"/>
        <w:lang w:val="en-US" w:eastAsia="en-US" w:bidi="ar-SA"/>
      </w:rPr>
    </w:lvl>
    <w:lvl w:ilvl="8" w:tplc="023ABC48">
      <w:numFmt w:val="bullet"/>
      <w:lvlText w:val="•"/>
      <w:lvlJc w:val="left"/>
      <w:pPr>
        <w:ind w:left="4752" w:hanging="286"/>
      </w:pPr>
      <w:rPr>
        <w:rFonts w:hint="default"/>
        <w:lang w:val="en-US" w:eastAsia="en-US" w:bidi="ar-SA"/>
      </w:rPr>
    </w:lvl>
  </w:abstractNum>
  <w:abstractNum w:abstractNumId="435" w15:restartNumberingAfterBreak="0">
    <w:nsid w:val="5E152647"/>
    <w:multiLevelType w:val="hybridMultilevel"/>
    <w:tmpl w:val="8F00731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6" w15:restartNumberingAfterBreak="0">
    <w:nsid w:val="5E2D37A1"/>
    <w:multiLevelType w:val="hybridMultilevel"/>
    <w:tmpl w:val="75B4F8F8"/>
    <w:lvl w:ilvl="0" w:tplc="71C03256">
      <w:start w:val="1"/>
      <w:numFmt w:val="lowerLetter"/>
      <w:lvlText w:val="(%1)"/>
      <w:lvlJc w:val="left"/>
      <w:pPr>
        <w:ind w:left="460" w:hanging="360"/>
      </w:pPr>
      <w:rPr>
        <w:rFonts w:hint="default"/>
      </w:rPr>
    </w:lvl>
    <w:lvl w:ilvl="1" w:tplc="0C090019" w:tentative="1">
      <w:start w:val="1"/>
      <w:numFmt w:val="lowerLetter"/>
      <w:lvlText w:val="%2."/>
      <w:lvlJc w:val="left"/>
      <w:pPr>
        <w:ind w:left="1180" w:hanging="360"/>
      </w:pPr>
    </w:lvl>
    <w:lvl w:ilvl="2" w:tplc="0C09001B" w:tentative="1">
      <w:start w:val="1"/>
      <w:numFmt w:val="lowerRoman"/>
      <w:lvlText w:val="%3."/>
      <w:lvlJc w:val="right"/>
      <w:pPr>
        <w:ind w:left="1900" w:hanging="180"/>
      </w:pPr>
    </w:lvl>
    <w:lvl w:ilvl="3" w:tplc="0C09000F" w:tentative="1">
      <w:start w:val="1"/>
      <w:numFmt w:val="decimal"/>
      <w:lvlText w:val="%4."/>
      <w:lvlJc w:val="left"/>
      <w:pPr>
        <w:ind w:left="2620" w:hanging="360"/>
      </w:pPr>
    </w:lvl>
    <w:lvl w:ilvl="4" w:tplc="0C090019" w:tentative="1">
      <w:start w:val="1"/>
      <w:numFmt w:val="lowerLetter"/>
      <w:lvlText w:val="%5."/>
      <w:lvlJc w:val="left"/>
      <w:pPr>
        <w:ind w:left="3340" w:hanging="360"/>
      </w:pPr>
    </w:lvl>
    <w:lvl w:ilvl="5" w:tplc="0C09001B" w:tentative="1">
      <w:start w:val="1"/>
      <w:numFmt w:val="lowerRoman"/>
      <w:lvlText w:val="%6."/>
      <w:lvlJc w:val="right"/>
      <w:pPr>
        <w:ind w:left="4060" w:hanging="180"/>
      </w:pPr>
    </w:lvl>
    <w:lvl w:ilvl="6" w:tplc="0C09000F" w:tentative="1">
      <w:start w:val="1"/>
      <w:numFmt w:val="decimal"/>
      <w:lvlText w:val="%7."/>
      <w:lvlJc w:val="left"/>
      <w:pPr>
        <w:ind w:left="4780" w:hanging="360"/>
      </w:pPr>
    </w:lvl>
    <w:lvl w:ilvl="7" w:tplc="0C090019" w:tentative="1">
      <w:start w:val="1"/>
      <w:numFmt w:val="lowerLetter"/>
      <w:lvlText w:val="%8."/>
      <w:lvlJc w:val="left"/>
      <w:pPr>
        <w:ind w:left="5500" w:hanging="360"/>
      </w:pPr>
    </w:lvl>
    <w:lvl w:ilvl="8" w:tplc="0C09001B" w:tentative="1">
      <w:start w:val="1"/>
      <w:numFmt w:val="lowerRoman"/>
      <w:lvlText w:val="%9."/>
      <w:lvlJc w:val="right"/>
      <w:pPr>
        <w:ind w:left="6220" w:hanging="180"/>
      </w:pPr>
    </w:lvl>
  </w:abstractNum>
  <w:abstractNum w:abstractNumId="437" w15:restartNumberingAfterBreak="0">
    <w:nsid w:val="5E787F02"/>
    <w:multiLevelType w:val="multilevel"/>
    <w:tmpl w:val="2076AB90"/>
    <w:numStyleLink w:val="Style2"/>
  </w:abstractNum>
  <w:abstractNum w:abstractNumId="438" w15:restartNumberingAfterBreak="0">
    <w:nsid w:val="5E88509E"/>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439" w15:restartNumberingAfterBreak="0">
    <w:nsid w:val="5EA6539B"/>
    <w:multiLevelType w:val="hybridMultilevel"/>
    <w:tmpl w:val="71E858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0" w15:restartNumberingAfterBreak="0">
    <w:nsid w:val="5ED72456"/>
    <w:multiLevelType w:val="hybridMultilevel"/>
    <w:tmpl w:val="7B3AE3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1" w15:restartNumberingAfterBreak="0">
    <w:nsid w:val="5EEE0C9E"/>
    <w:multiLevelType w:val="multilevel"/>
    <w:tmpl w:val="177A1206"/>
    <w:numStyleLink w:val="Style4"/>
  </w:abstractNum>
  <w:abstractNum w:abstractNumId="442" w15:restartNumberingAfterBreak="0">
    <w:nsid w:val="5F0E787C"/>
    <w:multiLevelType w:val="hybridMultilevel"/>
    <w:tmpl w:val="E018B634"/>
    <w:lvl w:ilvl="0" w:tplc="04090005">
      <w:start w:val="1"/>
      <w:numFmt w:val="bullet"/>
      <w:lvlText w:val=""/>
      <w:lvlJc w:val="left"/>
      <w:pPr>
        <w:ind w:left="720" w:hanging="360"/>
      </w:pPr>
      <w:rPr>
        <w:rFonts w:ascii="Wingdings" w:hAnsi="Wingdings" w:hint="default"/>
      </w:rPr>
    </w:lvl>
    <w:lvl w:ilvl="1" w:tplc="0409001B">
      <w:start w:val="1"/>
      <w:numFmt w:val="lowerRoman"/>
      <w:lvlText w:val="%2."/>
      <w:lvlJc w:val="righ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3" w15:restartNumberingAfterBreak="0">
    <w:nsid w:val="5F102879"/>
    <w:multiLevelType w:val="multilevel"/>
    <w:tmpl w:val="D5EA11C6"/>
    <w:lvl w:ilvl="0">
      <w:start w:val="2"/>
      <w:numFmt w:val="decimal"/>
      <w:lvlText w:val="%1"/>
      <w:lvlJc w:val="left"/>
      <w:pPr>
        <w:ind w:left="360" w:hanging="360"/>
      </w:pPr>
      <w:rPr>
        <w:rFonts w:hint="default"/>
        <w:b/>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44" w15:restartNumberingAfterBreak="0">
    <w:nsid w:val="5FBD29B6"/>
    <w:multiLevelType w:val="hybridMultilevel"/>
    <w:tmpl w:val="EEEC6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5FEB1411"/>
    <w:multiLevelType w:val="hybridMultilevel"/>
    <w:tmpl w:val="04082404"/>
    <w:lvl w:ilvl="0" w:tplc="0409001B">
      <w:start w:val="1"/>
      <w:numFmt w:val="lowerRoman"/>
      <w:lvlText w:val="%1."/>
      <w:lvlJc w:val="right"/>
      <w:pPr>
        <w:ind w:left="720" w:hanging="360"/>
      </w:pPr>
      <w:rPr>
        <w:rFonts w:hint="default"/>
      </w:rPr>
    </w:lvl>
    <w:lvl w:ilvl="1" w:tplc="04090005">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6" w15:restartNumberingAfterBreak="0">
    <w:nsid w:val="5FF033EB"/>
    <w:multiLevelType w:val="hybridMultilevel"/>
    <w:tmpl w:val="EA345B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7" w15:restartNumberingAfterBreak="0">
    <w:nsid w:val="600868A3"/>
    <w:multiLevelType w:val="hybridMultilevel"/>
    <w:tmpl w:val="21B46A46"/>
    <w:lvl w:ilvl="0" w:tplc="94C4A9D0">
      <w:start w:val="1"/>
      <w:numFmt w:val="decimal"/>
      <w:lvlText w:val="%1."/>
      <w:lvlJc w:val="left"/>
      <w:pPr>
        <w:ind w:left="480" w:hanging="360"/>
      </w:pPr>
      <w:rPr>
        <w:rFonts w:ascii="Calibri" w:eastAsia="Calibri" w:hAnsi="Calibri" w:cs="Calibri" w:hint="default"/>
        <w:w w:val="100"/>
        <w:sz w:val="22"/>
        <w:szCs w:val="22"/>
      </w:rPr>
    </w:lvl>
    <w:lvl w:ilvl="1" w:tplc="29EC9F0E">
      <w:numFmt w:val="bullet"/>
      <w:lvlText w:val="•"/>
      <w:lvlJc w:val="left"/>
      <w:pPr>
        <w:ind w:left="1392" w:hanging="360"/>
      </w:pPr>
      <w:rPr>
        <w:rFonts w:hint="default"/>
      </w:rPr>
    </w:lvl>
    <w:lvl w:ilvl="2" w:tplc="6726BCF6">
      <w:numFmt w:val="bullet"/>
      <w:lvlText w:val="•"/>
      <w:lvlJc w:val="left"/>
      <w:pPr>
        <w:ind w:left="2305" w:hanging="360"/>
      </w:pPr>
      <w:rPr>
        <w:rFonts w:hint="default"/>
      </w:rPr>
    </w:lvl>
    <w:lvl w:ilvl="3" w:tplc="A4BE7660">
      <w:numFmt w:val="bullet"/>
      <w:lvlText w:val="•"/>
      <w:lvlJc w:val="left"/>
      <w:pPr>
        <w:ind w:left="3217" w:hanging="360"/>
      </w:pPr>
      <w:rPr>
        <w:rFonts w:hint="default"/>
      </w:rPr>
    </w:lvl>
    <w:lvl w:ilvl="4" w:tplc="AB7A1C32">
      <w:numFmt w:val="bullet"/>
      <w:lvlText w:val="•"/>
      <w:lvlJc w:val="left"/>
      <w:pPr>
        <w:ind w:left="4130" w:hanging="360"/>
      </w:pPr>
      <w:rPr>
        <w:rFonts w:hint="default"/>
      </w:rPr>
    </w:lvl>
    <w:lvl w:ilvl="5" w:tplc="0298E676">
      <w:numFmt w:val="bullet"/>
      <w:lvlText w:val="•"/>
      <w:lvlJc w:val="left"/>
      <w:pPr>
        <w:ind w:left="5043" w:hanging="360"/>
      </w:pPr>
      <w:rPr>
        <w:rFonts w:hint="default"/>
      </w:rPr>
    </w:lvl>
    <w:lvl w:ilvl="6" w:tplc="F1D8895C">
      <w:numFmt w:val="bullet"/>
      <w:lvlText w:val="•"/>
      <w:lvlJc w:val="left"/>
      <w:pPr>
        <w:ind w:left="5955" w:hanging="360"/>
      </w:pPr>
      <w:rPr>
        <w:rFonts w:hint="default"/>
      </w:rPr>
    </w:lvl>
    <w:lvl w:ilvl="7" w:tplc="13DC4D12">
      <w:numFmt w:val="bullet"/>
      <w:lvlText w:val="•"/>
      <w:lvlJc w:val="left"/>
      <w:pPr>
        <w:ind w:left="6868" w:hanging="360"/>
      </w:pPr>
      <w:rPr>
        <w:rFonts w:hint="default"/>
      </w:rPr>
    </w:lvl>
    <w:lvl w:ilvl="8" w:tplc="3788A6DA">
      <w:numFmt w:val="bullet"/>
      <w:lvlText w:val="•"/>
      <w:lvlJc w:val="left"/>
      <w:pPr>
        <w:ind w:left="7781" w:hanging="360"/>
      </w:pPr>
      <w:rPr>
        <w:rFonts w:hint="default"/>
      </w:rPr>
    </w:lvl>
  </w:abstractNum>
  <w:abstractNum w:abstractNumId="448" w15:restartNumberingAfterBreak="0">
    <w:nsid w:val="60AC7B13"/>
    <w:multiLevelType w:val="hybridMultilevel"/>
    <w:tmpl w:val="BA20E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9" w15:restartNumberingAfterBreak="0">
    <w:nsid w:val="60DB0DDC"/>
    <w:multiLevelType w:val="hybridMultilevel"/>
    <w:tmpl w:val="B18E3D24"/>
    <w:lvl w:ilvl="0" w:tplc="E3943DD4">
      <w:start w:val="1"/>
      <w:numFmt w:val="lowerLetter"/>
      <w:lvlText w:val="(%1)"/>
      <w:lvlJc w:val="left"/>
      <w:pPr>
        <w:ind w:left="536" w:hanging="425"/>
      </w:pPr>
      <w:rPr>
        <w:rFonts w:asciiTheme="minorHAnsi" w:eastAsia="Arial" w:hAnsiTheme="minorHAnsi" w:cs="Arial" w:hint="default"/>
        <w:spacing w:val="-1"/>
        <w:w w:val="99"/>
        <w:sz w:val="22"/>
        <w:szCs w:val="20"/>
        <w:lang w:val="en-AU" w:eastAsia="en-AU" w:bidi="en-AU"/>
      </w:rPr>
    </w:lvl>
    <w:lvl w:ilvl="1" w:tplc="BAF4A008">
      <w:numFmt w:val="bullet"/>
      <w:lvlText w:val="•"/>
      <w:lvlJc w:val="left"/>
      <w:pPr>
        <w:ind w:left="1550" w:hanging="425"/>
      </w:pPr>
      <w:rPr>
        <w:rFonts w:hint="default"/>
        <w:lang w:val="en-AU" w:eastAsia="en-AU" w:bidi="en-AU"/>
      </w:rPr>
    </w:lvl>
    <w:lvl w:ilvl="2" w:tplc="BC6ABAD8">
      <w:numFmt w:val="bullet"/>
      <w:lvlText w:val="•"/>
      <w:lvlJc w:val="left"/>
      <w:pPr>
        <w:ind w:left="2561" w:hanging="425"/>
      </w:pPr>
      <w:rPr>
        <w:rFonts w:hint="default"/>
        <w:lang w:val="en-AU" w:eastAsia="en-AU" w:bidi="en-AU"/>
      </w:rPr>
    </w:lvl>
    <w:lvl w:ilvl="3" w:tplc="7CC64EDE">
      <w:numFmt w:val="bullet"/>
      <w:lvlText w:val="•"/>
      <w:lvlJc w:val="left"/>
      <w:pPr>
        <w:ind w:left="3571" w:hanging="425"/>
      </w:pPr>
      <w:rPr>
        <w:rFonts w:hint="default"/>
        <w:lang w:val="en-AU" w:eastAsia="en-AU" w:bidi="en-AU"/>
      </w:rPr>
    </w:lvl>
    <w:lvl w:ilvl="4" w:tplc="21762BA2">
      <w:numFmt w:val="bullet"/>
      <w:lvlText w:val="•"/>
      <w:lvlJc w:val="left"/>
      <w:pPr>
        <w:ind w:left="4582" w:hanging="425"/>
      </w:pPr>
      <w:rPr>
        <w:rFonts w:hint="default"/>
        <w:lang w:val="en-AU" w:eastAsia="en-AU" w:bidi="en-AU"/>
      </w:rPr>
    </w:lvl>
    <w:lvl w:ilvl="5" w:tplc="51824E24">
      <w:numFmt w:val="bullet"/>
      <w:lvlText w:val="•"/>
      <w:lvlJc w:val="left"/>
      <w:pPr>
        <w:ind w:left="5593" w:hanging="425"/>
      </w:pPr>
      <w:rPr>
        <w:rFonts w:hint="default"/>
        <w:lang w:val="en-AU" w:eastAsia="en-AU" w:bidi="en-AU"/>
      </w:rPr>
    </w:lvl>
    <w:lvl w:ilvl="6" w:tplc="1E645BE4">
      <w:numFmt w:val="bullet"/>
      <w:lvlText w:val="•"/>
      <w:lvlJc w:val="left"/>
      <w:pPr>
        <w:ind w:left="6603" w:hanging="425"/>
      </w:pPr>
      <w:rPr>
        <w:rFonts w:hint="default"/>
        <w:lang w:val="en-AU" w:eastAsia="en-AU" w:bidi="en-AU"/>
      </w:rPr>
    </w:lvl>
    <w:lvl w:ilvl="7" w:tplc="D09CA102">
      <w:numFmt w:val="bullet"/>
      <w:lvlText w:val="•"/>
      <w:lvlJc w:val="left"/>
      <w:pPr>
        <w:ind w:left="7614" w:hanging="425"/>
      </w:pPr>
      <w:rPr>
        <w:rFonts w:hint="default"/>
        <w:lang w:val="en-AU" w:eastAsia="en-AU" w:bidi="en-AU"/>
      </w:rPr>
    </w:lvl>
    <w:lvl w:ilvl="8" w:tplc="467C83FE">
      <w:numFmt w:val="bullet"/>
      <w:lvlText w:val="•"/>
      <w:lvlJc w:val="left"/>
      <w:pPr>
        <w:ind w:left="8625" w:hanging="425"/>
      </w:pPr>
      <w:rPr>
        <w:rFonts w:hint="default"/>
        <w:lang w:val="en-AU" w:eastAsia="en-AU" w:bidi="en-AU"/>
      </w:rPr>
    </w:lvl>
  </w:abstractNum>
  <w:abstractNum w:abstractNumId="450" w15:restartNumberingAfterBreak="0">
    <w:nsid w:val="614B3FDA"/>
    <w:multiLevelType w:val="multilevel"/>
    <w:tmpl w:val="2076AB90"/>
    <w:numStyleLink w:val="Style2"/>
  </w:abstractNum>
  <w:abstractNum w:abstractNumId="451" w15:restartNumberingAfterBreak="0">
    <w:nsid w:val="615D0A7A"/>
    <w:multiLevelType w:val="multilevel"/>
    <w:tmpl w:val="21B0E554"/>
    <w:lvl w:ilvl="0">
      <w:start w:val="2"/>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452" w15:restartNumberingAfterBreak="0">
    <w:nsid w:val="61A135C8"/>
    <w:multiLevelType w:val="hybridMultilevel"/>
    <w:tmpl w:val="B9B4BBF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53" w15:restartNumberingAfterBreak="0">
    <w:nsid w:val="61FF3AA5"/>
    <w:multiLevelType w:val="multilevel"/>
    <w:tmpl w:val="06F67214"/>
    <w:lvl w:ilvl="0">
      <w:start w:val="5"/>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454" w15:restartNumberingAfterBreak="0">
    <w:nsid w:val="62227260"/>
    <w:multiLevelType w:val="hybridMultilevel"/>
    <w:tmpl w:val="3260E77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5" w15:restartNumberingAfterBreak="0">
    <w:nsid w:val="62634823"/>
    <w:multiLevelType w:val="hybridMultilevel"/>
    <w:tmpl w:val="5DA28554"/>
    <w:lvl w:ilvl="0" w:tplc="EEA840D4">
      <w:start w:val="3"/>
      <w:numFmt w:val="bullet"/>
      <w:lvlText w:val="•"/>
      <w:lvlJc w:val="left"/>
      <w:pPr>
        <w:ind w:left="644" w:hanging="360"/>
      </w:pPr>
      <w:rPr>
        <w:rFonts w:ascii="Calibri" w:eastAsiaTheme="minorHAnsi" w:hAnsi="Calibri" w:cs="Calibri"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56" w15:restartNumberingAfterBreak="0">
    <w:nsid w:val="62964F5E"/>
    <w:multiLevelType w:val="hybridMultilevel"/>
    <w:tmpl w:val="B5DA0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7" w15:restartNumberingAfterBreak="0">
    <w:nsid w:val="62BD2EE7"/>
    <w:multiLevelType w:val="hybridMultilevel"/>
    <w:tmpl w:val="23C81F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8" w15:restartNumberingAfterBreak="0">
    <w:nsid w:val="632E301D"/>
    <w:multiLevelType w:val="hybridMultilevel"/>
    <w:tmpl w:val="E8D0F9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9" w15:restartNumberingAfterBreak="0">
    <w:nsid w:val="63A2061B"/>
    <w:multiLevelType w:val="multilevel"/>
    <w:tmpl w:val="2076AB90"/>
    <w:numStyleLink w:val="Style2"/>
  </w:abstractNum>
  <w:abstractNum w:abstractNumId="460" w15:restartNumberingAfterBreak="0">
    <w:nsid w:val="63AB72AD"/>
    <w:multiLevelType w:val="hybridMultilevel"/>
    <w:tmpl w:val="6ACED762"/>
    <w:lvl w:ilvl="0" w:tplc="FFFFFFFF">
      <w:start w:val="1"/>
      <w:numFmt w:val="bullet"/>
      <w:lvlText w:val=""/>
      <w:lvlJc w:val="left"/>
      <w:pPr>
        <w:tabs>
          <w:tab w:val="num" w:pos="1077"/>
        </w:tabs>
        <w:ind w:left="1077" w:hanging="360"/>
      </w:pPr>
      <w:rPr>
        <w:rFonts w:ascii="Symbol" w:hAnsi="Symbol" w:hint="default"/>
      </w:rPr>
    </w:lvl>
    <w:lvl w:ilvl="1" w:tplc="FFFFFFFF" w:tentative="1">
      <w:start w:val="1"/>
      <w:numFmt w:val="bullet"/>
      <w:lvlText w:val="o"/>
      <w:lvlJc w:val="left"/>
      <w:pPr>
        <w:tabs>
          <w:tab w:val="num" w:pos="1797"/>
        </w:tabs>
        <w:ind w:left="1797" w:hanging="360"/>
      </w:pPr>
      <w:rPr>
        <w:rFonts w:ascii="Courier New" w:hAnsi="Courier New" w:hint="default"/>
      </w:rPr>
    </w:lvl>
    <w:lvl w:ilvl="2" w:tplc="FFFFFFFF" w:tentative="1">
      <w:start w:val="1"/>
      <w:numFmt w:val="bullet"/>
      <w:lvlText w:val=""/>
      <w:lvlJc w:val="left"/>
      <w:pPr>
        <w:tabs>
          <w:tab w:val="num" w:pos="2517"/>
        </w:tabs>
        <w:ind w:left="2517" w:hanging="360"/>
      </w:pPr>
      <w:rPr>
        <w:rFonts w:ascii="Wingdings" w:hAnsi="Wingdings" w:hint="default"/>
      </w:rPr>
    </w:lvl>
    <w:lvl w:ilvl="3" w:tplc="FFFFFFFF" w:tentative="1">
      <w:start w:val="1"/>
      <w:numFmt w:val="bullet"/>
      <w:lvlText w:val=""/>
      <w:lvlJc w:val="left"/>
      <w:pPr>
        <w:tabs>
          <w:tab w:val="num" w:pos="3237"/>
        </w:tabs>
        <w:ind w:left="3237" w:hanging="360"/>
      </w:pPr>
      <w:rPr>
        <w:rFonts w:ascii="Symbol" w:hAnsi="Symbol" w:hint="default"/>
      </w:rPr>
    </w:lvl>
    <w:lvl w:ilvl="4" w:tplc="FFFFFFFF" w:tentative="1">
      <w:start w:val="1"/>
      <w:numFmt w:val="bullet"/>
      <w:lvlText w:val="o"/>
      <w:lvlJc w:val="left"/>
      <w:pPr>
        <w:tabs>
          <w:tab w:val="num" w:pos="3957"/>
        </w:tabs>
        <w:ind w:left="3957" w:hanging="360"/>
      </w:pPr>
      <w:rPr>
        <w:rFonts w:ascii="Courier New" w:hAnsi="Courier New" w:hint="default"/>
      </w:rPr>
    </w:lvl>
    <w:lvl w:ilvl="5" w:tplc="FFFFFFFF" w:tentative="1">
      <w:start w:val="1"/>
      <w:numFmt w:val="bullet"/>
      <w:lvlText w:val=""/>
      <w:lvlJc w:val="left"/>
      <w:pPr>
        <w:tabs>
          <w:tab w:val="num" w:pos="4677"/>
        </w:tabs>
        <w:ind w:left="4677" w:hanging="360"/>
      </w:pPr>
      <w:rPr>
        <w:rFonts w:ascii="Wingdings" w:hAnsi="Wingdings" w:hint="default"/>
      </w:rPr>
    </w:lvl>
    <w:lvl w:ilvl="6" w:tplc="FFFFFFFF" w:tentative="1">
      <w:start w:val="1"/>
      <w:numFmt w:val="bullet"/>
      <w:lvlText w:val=""/>
      <w:lvlJc w:val="left"/>
      <w:pPr>
        <w:tabs>
          <w:tab w:val="num" w:pos="5397"/>
        </w:tabs>
        <w:ind w:left="5397" w:hanging="360"/>
      </w:pPr>
      <w:rPr>
        <w:rFonts w:ascii="Symbol" w:hAnsi="Symbol" w:hint="default"/>
      </w:rPr>
    </w:lvl>
    <w:lvl w:ilvl="7" w:tplc="FFFFFFFF" w:tentative="1">
      <w:start w:val="1"/>
      <w:numFmt w:val="bullet"/>
      <w:lvlText w:val="o"/>
      <w:lvlJc w:val="left"/>
      <w:pPr>
        <w:tabs>
          <w:tab w:val="num" w:pos="6117"/>
        </w:tabs>
        <w:ind w:left="6117" w:hanging="360"/>
      </w:pPr>
      <w:rPr>
        <w:rFonts w:ascii="Courier New" w:hAnsi="Courier New" w:hint="default"/>
      </w:rPr>
    </w:lvl>
    <w:lvl w:ilvl="8" w:tplc="FFFFFFFF" w:tentative="1">
      <w:start w:val="1"/>
      <w:numFmt w:val="bullet"/>
      <w:lvlText w:val=""/>
      <w:lvlJc w:val="left"/>
      <w:pPr>
        <w:tabs>
          <w:tab w:val="num" w:pos="6837"/>
        </w:tabs>
        <w:ind w:left="6837" w:hanging="360"/>
      </w:pPr>
      <w:rPr>
        <w:rFonts w:ascii="Wingdings" w:hAnsi="Wingdings" w:hint="default"/>
      </w:rPr>
    </w:lvl>
  </w:abstractNum>
  <w:abstractNum w:abstractNumId="461" w15:restartNumberingAfterBreak="0">
    <w:nsid w:val="63CA0B59"/>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462" w15:restartNumberingAfterBreak="0">
    <w:nsid w:val="64002D99"/>
    <w:multiLevelType w:val="hybridMultilevel"/>
    <w:tmpl w:val="E558F3D4"/>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3" w15:restartNumberingAfterBreak="0">
    <w:nsid w:val="640843A5"/>
    <w:multiLevelType w:val="hybridMultilevel"/>
    <w:tmpl w:val="FD4849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4" w15:restartNumberingAfterBreak="0">
    <w:nsid w:val="641252F7"/>
    <w:multiLevelType w:val="hybridMultilevel"/>
    <w:tmpl w:val="4B86E308"/>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5" w15:restartNumberingAfterBreak="0">
    <w:nsid w:val="646F45E6"/>
    <w:multiLevelType w:val="hybridMultilevel"/>
    <w:tmpl w:val="A8F2C972"/>
    <w:lvl w:ilvl="0" w:tplc="020AB39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6" w15:restartNumberingAfterBreak="0">
    <w:nsid w:val="64961B49"/>
    <w:multiLevelType w:val="hybridMultilevel"/>
    <w:tmpl w:val="F4586952"/>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67" w15:restartNumberingAfterBreak="0">
    <w:nsid w:val="64F563D3"/>
    <w:multiLevelType w:val="hybridMultilevel"/>
    <w:tmpl w:val="A204F5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8" w15:restartNumberingAfterBreak="0">
    <w:nsid w:val="65135FCE"/>
    <w:multiLevelType w:val="hybridMultilevel"/>
    <w:tmpl w:val="CF72CC22"/>
    <w:lvl w:ilvl="0" w:tplc="B3CA04DE">
      <w:start w:val="1"/>
      <w:numFmt w:val="decimal"/>
      <w:lvlText w:val="%1."/>
      <w:lvlJc w:val="left"/>
      <w:pPr>
        <w:ind w:left="946" w:hanging="720"/>
      </w:pPr>
      <w:rPr>
        <w:rFonts w:ascii="Calibri" w:eastAsia="Arial" w:hAnsi="Calibri" w:cs="Calibri" w:hint="default"/>
        <w:b w:val="0"/>
        <w:bCs w:val="0"/>
        <w:i w:val="0"/>
        <w:iCs w:val="0"/>
        <w:w w:val="100"/>
        <w:sz w:val="22"/>
        <w:szCs w:val="22"/>
        <w:lang w:val="en-US" w:eastAsia="en-US" w:bidi="ar-SA"/>
      </w:rPr>
    </w:lvl>
    <w:lvl w:ilvl="1" w:tplc="F8B4AC70">
      <w:numFmt w:val="bullet"/>
      <w:lvlText w:val="•"/>
      <w:lvlJc w:val="left"/>
      <w:pPr>
        <w:ind w:left="1961" w:hanging="720"/>
      </w:pPr>
      <w:rPr>
        <w:rFonts w:hint="default"/>
        <w:lang w:val="en-US" w:eastAsia="en-US" w:bidi="ar-SA"/>
      </w:rPr>
    </w:lvl>
    <w:lvl w:ilvl="2" w:tplc="D16E0E8E">
      <w:numFmt w:val="bullet"/>
      <w:lvlText w:val="•"/>
      <w:lvlJc w:val="left"/>
      <w:pPr>
        <w:ind w:left="2983" w:hanging="720"/>
      </w:pPr>
      <w:rPr>
        <w:rFonts w:hint="default"/>
        <w:lang w:val="en-US" w:eastAsia="en-US" w:bidi="ar-SA"/>
      </w:rPr>
    </w:lvl>
    <w:lvl w:ilvl="3" w:tplc="ABFA3FEE">
      <w:numFmt w:val="bullet"/>
      <w:lvlText w:val="•"/>
      <w:lvlJc w:val="left"/>
      <w:pPr>
        <w:ind w:left="4005" w:hanging="720"/>
      </w:pPr>
      <w:rPr>
        <w:rFonts w:hint="default"/>
        <w:lang w:val="en-US" w:eastAsia="en-US" w:bidi="ar-SA"/>
      </w:rPr>
    </w:lvl>
    <w:lvl w:ilvl="4" w:tplc="1A8A67A2">
      <w:numFmt w:val="bullet"/>
      <w:lvlText w:val="•"/>
      <w:lvlJc w:val="left"/>
      <w:pPr>
        <w:ind w:left="5027" w:hanging="720"/>
      </w:pPr>
      <w:rPr>
        <w:rFonts w:hint="default"/>
        <w:lang w:val="en-US" w:eastAsia="en-US" w:bidi="ar-SA"/>
      </w:rPr>
    </w:lvl>
    <w:lvl w:ilvl="5" w:tplc="1EDAD780">
      <w:numFmt w:val="bullet"/>
      <w:lvlText w:val="•"/>
      <w:lvlJc w:val="left"/>
      <w:pPr>
        <w:ind w:left="6049" w:hanging="720"/>
      </w:pPr>
      <w:rPr>
        <w:rFonts w:hint="default"/>
        <w:lang w:val="en-US" w:eastAsia="en-US" w:bidi="ar-SA"/>
      </w:rPr>
    </w:lvl>
    <w:lvl w:ilvl="6" w:tplc="ED3CD78A">
      <w:numFmt w:val="bullet"/>
      <w:lvlText w:val="•"/>
      <w:lvlJc w:val="left"/>
      <w:pPr>
        <w:ind w:left="7071" w:hanging="720"/>
      </w:pPr>
      <w:rPr>
        <w:rFonts w:hint="default"/>
        <w:lang w:val="en-US" w:eastAsia="en-US" w:bidi="ar-SA"/>
      </w:rPr>
    </w:lvl>
    <w:lvl w:ilvl="7" w:tplc="53C664F8">
      <w:numFmt w:val="bullet"/>
      <w:lvlText w:val="•"/>
      <w:lvlJc w:val="left"/>
      <w:pPr>
        <w:ind w:left="8093" w:hanging="720"/>
      </w:pPr>
      <w:rPr>
        <w:rFonts w:hint="default"/>
        <w:lang w:val="en-US" w:eastAsia="en-US" w:bidi="ar-SA"/>
      </w:rPr>
    </w:lvl>
    <w:lvl w:ilvl="8" w:tplc="04B85314">
      <w:numFmt w:val="bullet"/>
      <w:lvlText w:val="•"/>
      <w:lvlJc w:val="left"/>
      <w:pPr>
        <w:ind w:left="9115" w:hanging="720"/>
      </w:pPr>
      <w:rPr>
        <w:rFonts w:hint="default"/>
        <w:lang w:val="en-US" w:eastAsia="en-US" w:bidi="ar-SA"/>
      </w:rPr>
    </w:lvl>
  </w:abstractNum>
  <w:abstractNum w:abstractNumId="469" w15:restartNumberingAfterBreak="0">
    <w:nsid w:val="65412D03"/>
    <w:multiLevelType w:val="hybridMultilevel"/>
    <w:tmpl w:val="FB92A13A"/>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0" w15:restartNumberingAfterBreak="0">
    <w:nsid w:val="65484FF0"/>
    <w:multiLevelType w:val="hybridMultilevel"/>
    <w:tmpl w:val="F1DC321E"/>
    <w:lvl w:ilvl="0" w:tplc="EF50868C">
      <w:start w:val="1"/>
      <w:numFmt w:val="lowerRoman"/>
      <w:lvlText w:val="%1."/>
      <w:lvlJc w:val="left"/>
      <w:pPr>
        <w:ind w:left="924" w:hanging="720"/>
      </w:pPr>
      <w:rPr>
        <w:rFonts w:hint="default"/>
        <w:spacing w:val="-1"/>
        <w:w w:val="100"/>
      </w:rPr>
    </w:lvl>
    <w:lvl w:ilvl="1" w:tplc="1FE86376">
      <w:start w:val="1"/>
      <w:numFmt w:val="lowerLetter"/>
      <w:lvlText w:val="%2)"/>
      <w:lvlJc w:val="left"/>
      <w:pPr>
        <w:ind w:left="1396" w:hanging="360"/>
      </w:pPr>
      <w:rPr>
        <w:rFonts w:ascii="Calibri" w:eastAsia="Calibri" w:hAnsi="Calibri" w:cs="Calibri" w:hint="default"/>
        <w:color w:val="FF0000"/>
        <w:w w:val="100"/>
        <w:sz w:val="22"/>
        <w:szCs w:val="22"/>
      </w:rPr>
    </w:lvl>
    <w:lvl w:ilvl="2" w:tplc="2D126144">
      <w:numFmt w:val="bullet"/>
      <w:lvlText w:val="•"/>
      <w:lvlJc w:val="left"/>
      <w:pPr>
        <w:ind w:left="2311" w:hanging="360"/>
      </w:pPr>
      <w:rPr>
        <w:rFonts w:hint="default"/>
      </w:rPr>
    </w:lvl>
    <w:lvl w:ilvl="3" w:tplc="D15EB696">
      <w:numFmt w:val="bullet"/>
      <w:lvlText w:val="•"/>
      <w:lvlJc w:val="left"/>
      <w:pPr>
        <w:ind w:left="3223" w:hanging="360"/>
      </w:pPr>
      <w:rPr>
        <w:rFonts w:hint="default"/>
      </w:rPr>
    </w:lvl>
    <w:lvl w:ilvl="4" w:tplc="0B180620">
      <w:numFmt w:val="bullet"/>
      <w:lvlText w:val="•"/>
      <w:lvlJc w:val="left"/>
      <w:pPr>
        <w:ind w:left="4135" w:hanging="360"/>
      </w:pPr>
      <w:rPr>
        <w:rFonts w:hint="default"/>
      </w:rPr>
    </w:lvl>
    <w:lvl w:ilvl="5" w:tplc="7B8E7BFE">
      <w:numFmt w:val="bullet"/>
      <w:lvlText w:val="•"/>
      <w:lvlJc w:val="left"/>
      <w:pPr>
        <w:ind w:left="5047" w:hanging="360"/>
      </w:pPr>
      <w:rPr>
        <w:rFonts w:hint="default"/>
      </w:rPr>
    </w:lvl>
    <w:lvl w:ilvl="6" w:tplc="34260C20">
      <w:numFmt w:val="bullet"/>
      <w:lvlText w:val="•"/>
      <w:lvlJc w:val="left"/>
      <w:pPr>
        <w:ind w:left="5959" w:hanging="360"/>
      </w:pPr>
      <w:rPr>
        <w:rFonts w:hint="default"/>
      </w:rPr>
    </w:lvl>
    <w:lvl w:ilvl="7" w:tplc="91304FE4">
      <w:numFmt w:val="bullet"/>
      <w:lvlText w:val="•"/>
      <w:lvlJc w:val="left"/>
      <w:pPr>
        <w:ind w:left="6870" w:hanging="360"/>
      </w:pPr>
      <w:rPr>
        <w:rFonts w:hint="default"/>
      </w:rPr>
    </w:lvl>
    <w:lvl w:ilvl="8" w:tplc="4F1E997A">
      <w:numFmt w:val="bullet"/>
      <w:lvlText w:val="•"/>
      <w:lvlJc w:val="left"/>
      <w:pPr>
        <w:ind w:left="7782" w:hanging="360"/>
      </w:pPr>
      <w:rPr>
        <w:rFonts w:hint="default"/>
      </w:rPr>
    </w:lvl>
  </w:abstractNum>
  <w:abstractNum w:abstractNumId="471" w15:restartNumberingAfterBreak="0">
    <w:nsid w:val="658E3C62"/>
    <w:multiLevelType w:val="multilevel"/>
    <w:tmpl w:val="886AD38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2" w15:restartNumberingAfterBreak="0">
    <w:nsid w:val="65FF39F5"/>
    <w:multiLevelType w:val="hybridMultilevel"/>
    <w:tmpl w:val="6CAEABE0"/>
    <w:lvl w:ilvl="0" w:tplc="0C090001">
      <w:start w:val="1"/>
      <w:numFmt w:val="bullet"/>
      <w:lvlText w:val=""/>
      <w:lvlJc w:val="left"/>
      <w:pPr>
        <w:ind w:left="840" w:hanging="360"/>
      </w:pPr>
      <w:rPr>
        <w:rFonts w:ascii="Symbol" w:hAnsi="Symbol" w:hint="default"/>
      </w:rPr>
    </w:lvl>
    <w:lvl w:ilvl="1" w:tplc="0C090003" w:tentative="1">
      <w:start w:val="1"/>
      <w:numFmt w:val="bullet"/>
      <w:lvlText w:val="o"/>
      <w:lvlJc w:val="left"/>
      <w:pPr>
        <w:ind w:left="1560" w:hanging="360"/>
      </w:pPr>
      <w:rPr>
        <w:rFonts w:ascii="Courier New" w:hAnsi="Courier New" w:cs="Courier New" w:hint="default"/>
      </w:rPr>
    </w:lvl>
    <w:lvl w:ilvl="2" w:tplc="0C090005" w:tentative="1">
      <w:start w:val="1"/>
      <w:numFmt w:val="bullet"/>
      <w:lvlText w:val=""/>
      <w:lvlJc w:val="left"/>
      <w:pPr>
        <w:ind w:left="2280" w:hanging="360"/>
      </w:pPr>
      <w:rPr>
        <w:rFonts w:ascii="Wingdings" w:hAnsi="Wingdings" w:hint="default"/>
      </w:rPr>
    </w:lvl>
    <w:lvl w:ilvl="3" w:tplc="0C090001" w:tentative="1">
      <w:start w:val="1"/>
      <w:numFmt w:val="bullet"/>
      <w:lvlText w:val=""/>
      <w:lvlJc w:val="left"/>
      <w:pPr>
        <w:ind w:left="3000" w:hanging="360"/>
      </w:pPr>
      <w:rPr>
        <w:rFonts w:ascii="Symbol" w:hAnsi="Symbol" w:hint="default"/>
      </w:rPr>
    </w:lvl>
    <w:lvl w:ilvl="4" w:tplc="0C090003" w:tentative="1">
      <w:start w:val="1"/>
      <w:numFmt w:val="bullet"/>
      <w:lvlText w:val="o"/>
      <w:lvlJc w:val="left"/>
      <w:pPr>
        <w:ind w:left="3720" w:hanging="360"/>
      </w:pPr>
      <w:rPr>
        <w:rFonts w:ascii="Courier New" w:hAnsi="Courier New" w:cs="Courier New" w:hint="default"/>
      </w:rPr>
    </w:lvl>
    <w:lvl w:ilvl="5" w:tplc="0C090005" w:tentative="1">
      <w:start w:val="1"/>
      <w:numFmt w:val="bullet"/>
      <w:lvlText w:val=""/>
      <w:lvlJc w:val="left"/>
      <w:pPr>
        <w:ind w:left="4440" w:hanging="360"/>
      </w:pPr>
      <w:rPr>
        <w:rFonts w:ascii="Wingdings" w:hAnsi="Wingdings" w:hint="default"/>
      </w:rPr>
    </w:lvl>
    <w:lvl w:ilvl="6" w:tplc="0C090001" w:tentative="1">
      <w:start w:val="1"/>
      <w:numFmt w:val="bullet"/>
      <w:lvlText w:val=""/>
      <w:lvlJc w:val="left"/>
      <w:pPr>
        <w:ind w:left="5160" w:hanging="360"/>
      </w:pPr>
      <w:rPr>
        <w:rFonts w:ascii="Symbol" w:hAnsi="Symbol" w:hint="default"/>
      </w:rPr>
    </w:lvl>
    <w:lvl w:ilvl="7" w:tplc="0C090003" w:tentative="1">
      <w:start w:val="1"/>
      <w:numFmt w:val="bullet"/>
      <w:lvlText w:val="o"/>
      <w:lvlJc w:val="left"/>
      <w:pPr>
        <w:ind w:left="5880" w:hanging="360"/>
      </w:pPr>
      <w:rPr>
        <w:rFonts w:ascii="Courier New" w:hAnsi="Courier New" w:cs="Courier New" w:hint="default"/>
      </w:rPr>
    </w:lvl>
    <w:lvl w:ilvl="8" w:tplc="0C090005" w:tentative="1">
      <w:start w:val="1"/>
      <w:numFmt w:val="bullet"/>
      <w:lvlText w:val=""/>
      <w:lvlJc w:val="left"/>
      <w:pPr>
        <w:ind w:left="6600" w:hanging="360"/>
      </w:pPr>
      <w:rPr>
        <w:rFonts w:ascii="Wingdings" w:hAnsi="Wingdings" w:hint="default"/>
      </w:rPr>
    </w:lvl>
  </w:abstractNum>
  <w:abstractNum w:abstractNumId="473" w15:restartNumberingAfterBreak="0">
    <w:nsid w:val="661D36A8"/>
    <w:multiLevelType w:val="hybridMultilevel"/>
    <w:tmpl w:val="B3AA1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4" w15:restartNumberingAfterBreak="0">
    <w:nsid w:val="662E4E52"/>
    <w:multiLevelType w:val="hybridMultilevel"/>
    <w:tmpl w:val="4AC4CA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5" w15:restartNumberingAfterBreak="0">
    <w:nsid w:val="66A760ED"/>
    <w:multiLevelType w:val="hybridMultilevel"/>
    <w:tmpl w:val="56FA1B40"/>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6" w15:restartNumberingAfterBreak="0">
    <w:nsid w:val="676429E9"/>
    <w:multiLevelType w:val="multilevel"/>
    <w:tmpl w:val="09AAFD52"/>
    <w:lvl w:ilvl="0">
      <w:start w:val="1"/>
      <w:numFmt w:val="decimal"/>
      <w:lvlText w:val="%1"/>
      <w:lvlJc w:val="left"/>
      <w:pPr>
        <w:ind w:left="1820" w:hanging="720"/>
      </w:pPr>
      <w:rPr>
        <w:rFonts w:ascii="Arial" w:eastAsia="Arial" w:hAnsi="Arial" w:cs="Arial" w:hint="default"/>
        <w:b/>
        <w:bCs/>
        <w:color w:val="010202"/>
        <w:w w:val="99"/>
        <w:sz w:val="32"/>
        <w:szCs w:val="32"/>
      </w:rPr>
    </w:lvl>
    <w:lvl w:ilvl="1">
      <w:numFmt w:val="bullet"/>
      <w:lvlText w:val=""/>
      <w:lvlJc w:val="left"/>
      <w:pPr>
        <w:ind w:left="1819" w:hanging="719"/>
      </w:pPr>
      <w:rPr>
        <w:rFonts w:ascii="Symbol" w:eastAsia="Symbol" w:hAnsi="Symbol" w:cs="Symbol" w:hint="default"/>
        <w:b/>
        <w:bCs/>
        <w:color w:val="010202"/>
        <w:w w:val="99"/>
        <w:sz w:val="22"/>
        <w:szCs w:val="22"/>
      </w:rPr>
    </w:lvl>
    <w:lvl w:ilvl="2">
      <w:numFmt w:val="bullet"/>
      <w:lvlText w:val=""/>
      <w:lvlJc w:val="left"/>
      <w:pPr>
        <w:ind w:left="2180" w:hanging="360"/>
      </w:pPr>
      <w:rPr>
        <w:rFonts w:ascii="Symbol" w:eastAsia="Symbol" w:hAnsi="Symbol" w:cs="Symbol" w:hint="default"/>
        <w:color w:val="010202"/>
        <w:w w:val="100"/>
        <w:sz w:val="22"/>
        <w:szCs w:val="22"/>
      </w:rPr>
    </w:lvl>
    <w:lvl w:ilvl="3">
      <w:numFmt w:val="bullet"/>
      <w:lvlText w:val="•"/>
      <w:lvlJc w:val="left"/>
      <w:pPr>
        <w:ind w:left="4207" w:hanging="360"/>
      </w:pPr>
      <w:rPr>
        <w:rFonts w:hint="default"/>
      </w:rPr>
    </w:lvl>
    <w:lvl w:ilvl="4">
      <w:numFmt w:val="bullet"/>
      <w:lvlText w:val="•"/>
      <w:lvlJc w:val="left"/>
      <w:pPr>
        <w:ind w:left="5221" w:hanging="360"/>
      </w:pPr>
      <w:rPr>
        <w:rFonts w:hint="default"/>
      </w:rPr>
    </w:lvl>
    <w:lvl w:ilvl="5">
      <w:numFmt w:val="bullet"/>
      <w:lvlText w:val="•"/>
      <w:lvlJc w:val="left"/>
      <w:pPr>
        <w:ind w:left="6235" w:hanging="360"/>
      </w:pPr>
      <w:rPr>
        <w:rFonts w:hint="default"/>
      </w:rPr>
    </w:lvl>
    <w:lvl w:ilvl="6">
      <w:numFmt w:val="bullet"/>
      <w:lvlText w:val="•"/>
      <w:lvlJc w:val="left"/>
      <w:pPr>
        <w:ind w:left="7249" w:hanging="360"/>
      </w:pPr>
      <w:rPr>
        <w:rFonts w:hint="default"/>
      </w:rPr>
    </w:lvl>
    <w:lvl w:ilvl="7">
      <w:numFmt w:val="bullet"/>
      <w:lvlText w:val="•"/>
      <w:lvlJc w:val="left"/>
      <w:pPr>
        <w:ind w:left="8262" w:hanging="360"/>
      </w:pPr>
      <w:rPr>
        <w:rFonts w:hint="default"/>
      </w:rPr>
    </w:lvl>
    <w:lvl w:ilvl="8">
      <w:numFmt w:val="bullet"/>
      <w:lvlText w:val="•"/>
      <w:lvlJc w:val="left"/>
      <w:pPr>
        <w:ind w:left="9276" w:hanging="360"/>
      </w:pPr>
      <w:rPr>
        <w:rFonts w:hint="default"/>
      </w:rPr>
    </w:lvl>
  </w:abstractNum>
  <w:abstractNum w:abstractNumId="477" w15:restartNumberingAfterBreak="0">
    <w:nsid w:val="685F4281"/>
    <w:multiLevelType w:val="hybridMultilevel"/>
    <w:tmpl w:val="F8BC0420"/>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8" w15:restartNumberingAfterBreak="0">
    <w:nsid w:val="68E31A3F"/>
    <w:multiLevelType w:val="hybridMultilevel"/>
    <w:tmpl w:val="12268D90"/>
    <w:lvl w:ilvl="0" w:tplc="D44283FA">
      <w:start w:val="1"/>
      <w:numFmt w:val="bullet"/>
      <w:lvlText w:val="-"/>
      <w:lvlJc w:val="left"/>
      <w:pPr>
        <w:ind w:left="720" w:hanging="360"/>
      </w:pPr>
      <w:rPr>
        <w:rFonts w:ascii="Sylfaen" w:hAnsi="Sylfae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9" w15:restartNumberingAfterBreak="0">
    <w:nsid w:val="69216FD6"/>
    <w:multiLevelType w:val="hybridMultilevel"/>
    <w:tmpl w:val="6FFA669C"/>
    <w:lvl w:ilvl="0" w:tplc="056A32FA">
      <w:start w:val="1"/>
      <w:numFmt w:val="decimal"/>
      <w:lvlText w:val="%1."/>
      <w:lvlJc w:val="left"/>
      <w:pPr>
        <w:ind w:left="527" w:hanging="428"/>
      </w:pPr>
      <w:rPr>
        <w:rFonts w:ascii="Calibri" w:eastAsia="Calibri" w:hAnsi="Calibri" w:cs="Calibri" w:hint="default"/>
        <w:b w:val="0"/>
        <w:bCs w:val="0"/>
        <w:i w:val="0"/>
        <w:iCs w:val="0"/>
        <w:spacing w:val="0"/>
        <w:w w:val="100"/>
        <w:sz w:val="22"/>
        <w:szCs w:val="22"/>
        <w:lang w:val="en-US" w:eastAsia="en-US" w:bidi="ar-SA"/>
      </w:rPr>
    </w:lvl>
    <w:lvl w:ilvl="1" w:tplc="2594100C">
      <w:numFmt w:val="bullet"/>
      <w:lvlText w:val=""/>
      <w:lvlJc w:val="left"/>
      <w:pPr>
        <w:ind w:left="820" w:hanging="365"/>
      </w:pPr>
      <w:rPr>
        <w:rFonts w:ascii="Symbol" w:eastAsia="Symbol" w:hAnsi="Symbol" w:cs="Symbol" w:hint="default"/>
        <w:b w:val="0"/>
        <w:bCs w:val="0"/>
        <w:i w:val="0"/>
        <w:iCs w:val="0"/>
        <w:spacing w:val="0"/>
        <w:w w:val="100"/>
        <w:sz w:val="22"/>
        <w:szCs w:val="22"/>
        <w:lang w:val="en-US" w:eastAsia="en-US" w:bidi="ar-SA"/>
      </w:rPr>
    </w:lvl>
    <w:lvl w:ilvl="2" w:tplc="F31ADC72">
      <w:numFmt w:val="bullet"/>
      <w:lvlText w:val="•"/>
      <w:lvlJc w:val="left"/>
      <w:pPr>
        <w:ind w:left="1792" w:hanging="365"/>
      </w:pPr>
      <w:rPr>
        <w:rFonts w:hint="default"/>
        <w:lang w:val="en-US" w:eastAsia="en-US" w:bidi="ar-SA"/>
      </w:rPr>
    </w:lvl>
    <w:lvl w:ilvl="3" w:tplc="7D7EDD98">
      <w:numFmt w:val="bullet"/>
      <w:lvlText w:val="•"/>
      <w:lvlJc w:val="left"/>
      <w:pPr>
        <w:ind w:left="2764" w:hanging="365"/>
      </w:pPr>
      <w:rPr>
        <w:rFonts w:hint="default"/>
        <w:lang w:val="en-US" w:eastAsia="en-US" w:bidi="ar-SA"/>
      </w:rPr>
    </w:lvl>
    <w:lvl w:ilvl="4" w:tplc="CF6E2B56">
      <w:numFmt w:val="bullet"/>
      <w:lvlText w:val="•"/>
      <w:lvlJc w:val="left"/>
      <w:pPr>
        <w:ind w:left="3737" w:hanging="365"/>
      </w:pPr>
      <w:rPr>
        <w:rFonts w:hint="default"/>
        <w:lang w:val="en-US" w:eastAsia="en-US" w:bidi="ar-SA"/>
      </w:rPr>
    </w:lvl>
    <w:lvl w:ilvl="5" w:tplc="007031AA">
      <w:numFmt w:val="bullet"/>
      <w:lvlText w:val="•"/>
      <w:lvlJc w:val="left"/>
      <w:pPr>
        <w:ind w:left="4709" w:hanging="365"/>
      </w:pPr>
      <w:rPr>
        <w:rFonts w:hint="default"/>
        <w:lang w:val="en-US" w:eastAsia="en-US" w:bidi="ar-SA"/>
      </w:rPr>
    </w:lvl>
    <w:lvl w:ilvl="6" w:tplc="AB8A805E">
      <w:numFmt w:val="bullet"/>
      <w:lvlText w:val="•"/>
      <w:lvlJc w:val="left"/>
      <w:pPr>
        <w:ind w:left="5681" w:hanging="365"/>
      </w:pPr>
      <w:rPr>
        <w:rFonts w:hint="default"/>
        <w:lang w:val="en-US" w:eastAsia="en-US" w:bidi="ar-SA"/>
      </w:rPr>
    </w:lvl>
    <w:lvl w:ilvl="7" w:tplc="3830F52A">
      <w:numFmt w:val="bullet"/>
      <w:lvlText w:val="•"/>
      <w:lvlJc w:val="left"/>
      <w:pPr>
        <w:ind w:left="6654" w:hanging="365"/>
      </w:pPr>
      <w:rPr>
        <w:rFonts w:hint="default"/>
        <w:lang w:val="en-US" w:eastAsia="en-US" w:bidi="ar-SA"/>
      </w:rPr>
    </w:lvl>
    <w:lvl w:ilvl="8" w:tplc="D34EE858">
      <w:numFmt w:val="bullet"/>
      <w:lvlText w:val="•"/>
      <w:lvlJc w:val="left"/>
      <w:pPr>
        <w:ind w:left="7626" w:hanging="365"/>
      </w:pPr>
      <w:rPr>
        <w:rFonts w:hint="default"/>
        <w:lang w:val="en-US" w:eastAsia="en-US" w:bidi="ar-SA"/>
      </w:rPr>
    </w:lvl>
  </w:abstractNum>
  <w:abstractNum w:abstractNumId="480" w15:restartNumberingAfterBreak="0">
    <w:nsid w:val="692C0D01"/>
    <w:multiLevelType w:val="hybridMultilevel"/>
    <w:tmpl w:val="10C25132"/>
    <w:lvl w:ilvl="0" w:tplc="6B260330">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481" w15:restartNumberingAfterBreak="0">
    <w:nsid w:val="69861744"/>
    <w:multiLevelType w:val="hybridMultilevel"/>
    <w:tmpl w:val="72D85662"/>
    <w:lvl w:ilvl="0" w:tplc="6EF2A83C">
      <w:start w:val="1"/>
      <w:numFmt w:val="lowerRoman"/>
      <w:lvlText w:val="%1."/>
      <w:lvlJc w:val="left"/>
      <w:pPr>
        <w:ind w:left="1252" w:hanging="706"/>
      </w:pPr>
      <w:rPr>
        <w:rFonts w:ascii="Calibri" w:eastAsia="Calibri" w:hAnsi="Calibri" w:cs="Calibri" w:hint="default"/>
        <w:spacing w:val="-1"/>
        <w:w w:val="100"/>
        <w:sz w:val="22"/>
        <w:szCs w:val="22"/>
      </w:rPr>
    </w:lvl>
    <w:lvl w:ilvl="1" w:tplc="81E21992">
      <w:numFmt w:val="bullet"/>
      <w:lvlText w:val="•"/>
      <w:lvlJc w:val="left"/>
      <w:pPr>
        <w:ind w:left="2094" w:hanging="706"/>
      </w:pPr>
      <w:rPr>
        <w:rFonts w:hint="default"/>
      </w:rPr>
    </w:lvl>
    <w:lvl w:ilvl="2" w:tplc="5B38E992">
      <w:numFmt w:val="bullet"/>
      <w:lvlText w:val="•"/>
      <w:lvlJc w:val="left"/>
      <w:pPr>
        <w:ind w:left="2929" w:hanging="706"/>
      </w:pPr>
      <w:rPr>
        <w:rFonts w:hint="default"/>
      </w:rPr>
    </w:lvl>
    <w:lvl w:ilvl="3" w:tplc="2B3024DC">
      <w:numFmt w:val="bullet"/>
      <w:lvlText w:val="•"/>
      <w:lvlJc w:val="left"/>
      <w:pPr>
        <w:ind w:left="3763" w:hanging="706"/>
      </w:pPr>
      <w:rPr>
        <w:rFonts w:hint="default"/>
      </w:rPr>
    </w:lvl>
    <w:lvl w:ilvl="4" w:tplc="69044C9C">
      <w:numFmt w:val="bullet"/>
      <w:lvlText w:val="•"/>
      <w:lvlJc w:val="left"/>
      <w:pPr>
        <w:ind w:left="4598" w:hanging="706"/>
      </w:pPr>
      <w:rPr>
        <w:rFonts w:hint="default"/>
      </w:rPr>
    </w:lvl>
    <w:lvl w:ilvl="5" w:tplc="713EEE9C">
      <w:numFmt w:val="bullet"/>
      <w:lvlText w:val="•"/>
      <w:lvlJc w:val="left"/>
      <w:pPr>
        <w:ind w:left="5433" w:hanging="706"/>
      </w:pPr>
      <w:rPr>
        <w:rFonts w:hint="default"/>
      </w:rPr>
    </w:lvl>
    <w:lvl w:ilvl="6" w:tplc="92D67F32">
      <w:numFmt w:val="bullet"/>
      <w:lvlText w:val="•"/>
      <w:lvlJc w:val="left"/>
      <w:pPr>
        <w:ind w:left="6267" w:hanging="706"/>
      </w:pPr>
      <w:rPr>
        <w:rFonts w:hint="default"/>
      </w:rPr>
    </w:lvl>
    <w:lvl w:ilvl="7" w:tplc="08420A5C">
      <w:numFmt w:val="bullet"/>
      <w:lvlText w:val="•"/>
      <w:lvlJc w:val="left"/>
      <w:pPr>
        <w:ind w:left="7102" w:hanging="706"/>
      </w:pPr>
      <w:rPr>
        <w:rFonts w:hint="default"/>
      </w:rPr>
    </w:lvl>
    <w:lvl w:ilvl="8" w:tplc="BB369B12">
      <w:numFmt w:val="bullet"/>
      <w:lvlText w:val="•"/>
      <w:lvlJc w:val="left"/>
      <w:pPr>
        <w:ind w:left="7937" w:hanging="706"/>
      </w:pPr>
      <w:rPr>
        <w:rFonts w:hint="default"/>
      </w:rPr>
    </w:lvl>
  </w:abstractNum>
  <w:abstractNum w:abstractNumId="482" w15:restartNumberingAfterBreak="0">
    <w:nsid w:val="69925C76"/>
    <w:multiLevelType w:val="hybridMultilevel"/>
    <w:tmpl w:val="E620FFA6"/>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3" w15:restartNumberingAfterBreak="0">
    <w:nsid w:val="69EF5179"/>
    <w:multiLevelType w:val="hybridMultilevel"/>
    <w:tmpl w:val="90408E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4" w15:restartNumberingAfterBreak="0">
    <w:nsid w:val="69F06471"/>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485" w15:restartNumberingAfterBreak="0">
    <w:nsid w:val="6A243329"/>
    <w:multiLevelType w:val="hybridMultilevel"/>
    <w:tmpl w:val="F50C87B8"/>
    <w:lvl w:ilvl="0" w:tplc="04090001">
      <w:start w:val="1"/>
      <w:numFmt w:val="bullet"/>
      <w:lvlText w:val=""/>
      <w:lvlJc w:val="left"/>
      <w:pPr>
        <w:tabs>
          <w:tab w:val="num" w:pos="3240"/>
        </w:tabs>
        <w:ind w:left="3240" w:hanging="360"/>
      </w:pPr>
      <w:rPr>
        <w:rFonts w:ascii="Symbol" w:hAnsi="Symbol" w:hint="default"/>
      </w:rPr>
    </w:lvl>
    <w:lvl w:ilvl="1" w:tplc="04090003" w:tentative="1">
      <w:start w:val="1"/>
      <w:numFmt w:val="bullet"/>
      <w:lvlText w:val="o"/>
      <w:lvlJc w:val="left"/>
      <w:pPr>
        <w:tabs>
          <w:tab w:val="num" w:pos="3960"/>
        </w:tabs>
        <w:ind w:left="3960" w:hanging="360"/>
      </w:pPr>
      <w:rPr>
        <w:rFonts w:ascii="Courier New" w:hAnsi="Courier New" w:cs="Courier New" w:hint="default"/>
      </w:rPr>
    </w:lvl>
    <w:lvl w:ilvl="2" w:tplc="04090005" w:tentative="1">
      <w:start w:val="1"/>
      <w:numFmt w:val="bullet"/>
      <w:lvlText w:val=""/>
      <w:lvlJc w:val="left"/>
      <w:pPr>
        <w:tabs>
          <w:tab w:val="num" w:pos="4680"/>
        </w:tabs>
        <w:ind w:left="4680" w:hanging="360"/>
      </w:pPr>
      <w:rPr>
        <w:rFonts w:ascii="Wingdings" w:hAnsi="Wingdings" w:hint="default"/>
      </w:rPr>
    </w:lvl>
    <w:lvl w:ilvl="3" w:tplc="04090001" w:tentative="1">
      <w:start w:val="1"/>
      <w:numFmt w:val="bullet"/>
      <w:lvlText w:val=""/>
      <w:lvlJc w:val="left"/>
      <w:pPr>
        <w:tabs>
          <w:tab w:val="num" w:pos="5400"/>
        </w:tabs>
        <w:ind w:left="5400" w:hanging="360"/>
      </w:pPr>
      <w:rPr>
        <w:rFonts w:ascii="Symbol" w:hAnsi="Symbol" w:hint="default"/>
      </w:rPr>
    </w:lvl>
    <w:lvl w:ilvl="4" w:tplc="04090003" w:tentative="1">
      <w:start w:val="1"/>
      <w:numFmt w:val="bullet"/>
      <w:lvlText w:val="o"/>
      <w:lvlJc w:val="left"/>
      <w:pPr>
        <w:tabs>
          <w:tab w:val="num" w:pos="6120"/>
        </w:tabs>
        <w:ind w:left="6120" w:hanging="360"/>
      </w:pPr>
      <w:rPr>
        <w:rFonts w:ascii="Courier New" w:hAnsi="Courier New" w:cs="Courier New" w:hint="default"/>
      </w:rPr>
    </w:lvl>
    <w:lvl w:ilvl="5" w:tplc="04090005" w:tentative="1">
      <w:start w:val="1"/>
      <w:numFmt w:val="bullet"/>
      <w:lvlText w:val=""/>
      <w:lvlJc w:val="left"/>
      <w:pPr>
        <w:tabs>
          <w:tab w:val="num" w:pos="6840"/>
        </w:tabs>
        <w:ind w:left="6840" w:hanging="360"/>
      </w:pPr>
      <w:rPr>
        <w:rFonts w:ascii="Wingdings" w:hAnsi="Wingdings" w:hint="default"/>
      </w:rPr>
    </w:lvl>
    <w:lvl w:ilvl="6" w:tplc="04090001" w:tentative="1">
      <w:start w:val="1"/>
      <w:numFmt w:val="bullet"/>
      <w:lvlText w:val=""/>
      <w:lvlJc w:val="left"/>
      <w:pPr>
        <w:tabs>
          <w:tab w:val="num" w:pos="7560"/>
        </w:tabs>
        <w:ind w:left="7560" w:hanging="360"/>
      </w:pPr>
      <w:rPr>
        <w:rFonts w:ascii="Symbol" w:hAnsi="Symbol" w:hint="default"/>
      </w:rPr>
    </w:lvl>
    <w:lvl w:ilvl="7" w:tplc="04090003" w:tentative="1">
      <w:start w:val="1"/>
      <w:numFmt w:val="bullet"/>
      <w:lvlText w:val="o"/>
      <w:lvlJc w:val="left"/>
      <w:pPr>
        <w:tabs>
          <w:tab w:val="num" w:pos="8280"/>
        </w:tabs>
        <w:ind w:left="8280" w:hanging="360"/>
      </w:pPr>
      <w:rPr>
        <w:rFonts w:ascii="Courier New" w:hAnsi="Courier New" w:cs="Courier New" w:hint="default"/>
      </w:rPr>
    </w:lvl>
    <w:lvl w:ilvl="8" w:tplc="04090005" w:tentative="1">
      <w:start w:val="1"/>
      <w:numFmt w:val="bullet"/>
      <w:lvlText w:val=""/>
      <w:lvlJc w:val="left"/>
      <w:pPr>
        <w:tabs>
          <w:tab w:val="num" w:pos="9000"/>
        </w:tabs>
        <w:ind w:left="9000" w:hanging="360"/>
      </w:pPr>
      <w:rPr>
        <w:rFonts w:ascii="Wingdings" w:hAnsi="Wingdings" w:hint="default"/>
      </w:rPr>
    </w:lvl>
  </w:abstractNum>
  <w:abstractNum w:abstractNumId="486" w15:restartNumberingAfterBreak="0">
    <w:nsid w:val="6A435B0B"/>
    <w:multiLevelType w:val="hybridMultilevel"/>
    <w:tmpl w:val="26223768"/>
    <w:lvl w:ilvl="0" w:tplc="9962DE34">
      <w:start w:val="5"/>
      <w:numFmt w:val="bullet"/>
      <w:lvlText w:val="-"/>
      <w:lvlJc w:val="left"/>
      <w:pPr>
        <w:ind w:left="1471" w:hanging="360"/>
      </w:pPr>
      <w:rPr>
        <w:rFonts w:ascii="Calibri" w:eastAsia="Calibri" w:hAnsi="Calibri" w:cs="Calibri" w:hint="default"/>
      </w:rPr>
    </w:lvl>
    <w:lvl w:ilvl="1" w:tplc="0C090003" w:tentative="1">
      <w:start w:val="1"/>
      <w:numFmt w:val="bullet"/>
      <w:lvlText w:val="o"/>
      <w:lvlJc w:val="left"/>
      <w:pPr>
        <w:ind w:left="2191" w:hanging="360"/>
      </w:pPr>
      <w:rPr>
        <w:rFonts w:ascii="Courier New" w:hAnsi="Courier New" w:cs="Courier New" w:hint="default"/>
      </w:rPr>
    </w:lvl>
    <w:lvl w:ilvl="2" w:tplc="0C090005" w:tentative="1">
      <w:start w:val="1"/>
      <w:numFmt w:val="bullet"/>
      <w:lvlText w:val=""/>
      <w:lvlJc w:val="left"/>
      <w:pPr>
        <w:ind w:left="2911" w:hanging="360"/>
      </w:pPr>
      <w:rPr>
        <w:rFonts w:ascii="Wingdings" w:hAnsi="Wingdings" w:hint="default"/>
      </w:rPr>
    </w:lvl>
    <w:lvl w:ilvl="3" w:tplc="0C090001" w:tentative="1">
      <w:start w:val="1"/>
      <w:numFmt w:val="bullet"/>
      <w:lvlText w:val=""/>
      <w:lvlJc w:val="left"/>
      <w:pPr>
        <w:ind w:left="3631" w:hanging="360"/>
      </w:pPr>
      <w:rPr>
        <w:rFonts w:ascii="Symbol" w:hAnsi="Symbol" w:hint="default"/>
      </w:rPr>
    </w:lvl>
    <w:lvl w:ilvl="4" w:tplc="0C090003" w:tentative="1">
      <w:start w:val="1"/>
      <w:numFmt w:val="bullet"/>
      <w:lvlText w:val="o"/>
      <w:lvlJc w:val="left"/>
      <w:pPr>
        <w:ind w:left="4351" w:hanging="360"/>
      </w:pPr>
      <w:rPr>
        <w:rFonts w:ascii="Courier New" w:hAnsi="Courier New" w:cs="Courier New" w:hint="default"/>
      </w:rPr>
    </w:lvl>
    <w:lvl w:ilvl="5" w:tplc="0C090005" w:tentative="1">
      <w:start w:val="1"/>
      <w:numFmt w:val="bullet"/>
      <w:lvlText w:val=""/>
      <w:lvlJc w:val="left"/>
      <w:pPr>
        <w:ind w:left="5071" w:hanging="360"/>
      </w:pPr>
      <w:rPr>
        <w:rFonts w:ascii="Wingdings" w:hAnsi="Wingdings" w:hint="default"/>
      </w:rPr>
    </w:lvl>
    <w:lvl w:ilvl="6" w:tplc="0C090001" w:tentative="1">
      <w:start w:val="1"/>
      <w:numFmt w:val="bullet"/>
      <w:lvlText w:val=""/>
      <w:lvlJc w:val="left"/>
      <w:pPr>
        <w:ind w:left="5791" w:hanging="360"/>
      </w:pPr>
      <w:rPr>
        <w:rFonts w:ascii="Symbol" w:hAnsi="Symbol" w:hint="default"/>
      </w:rPr>
    </w:lvl>
    <w:lvl w:ilvl="7" w:tplc="0C090003" w:tentative="1">
      <w:start w:val="1"/>
      <w:numFmt w:val="bullet"/>
      <w:lvlText w:val="o"/>
      <w:lvlJc w:val="left"/>
      <w:pPr>
        <w:ind w:left="6511" w:hanging="360"/>
      </w:pPr>
      <w:rPr>
        <w:rFonts w:ascii="Courier New" w:hAnsi="Courier New" w:cs="Courier New" w:hint="default"/>
      </w:rPr>
    </w:lvl>
    <w:lvl w:ilvl="8" w:tplc="0C090005" w:tentative="1">
      <w:start w:val="1"/>
      <w:numFmt w:val="bullet"/>
      <w:lvlText w:val=""/>
      <w:lvlJc w:val="left"/>
      <w:pPr>
        <w:ind w:left="7231" w:hanging="360"/>
      </w:pPr>
      <w:rPr>
        <w:rFonts w:ascii="Wingdings" w:hAnsi="Wingdings" w:hint="default"/>
      </w:rPr>
    </w:lvl>
  </w:abstractNum>
  <w:abstractNum w:abstractNumId="487" w15:restartNumberingAfterBreak="0">
    <w:nsid w:val="6A627284"/>
    <w:multiLevelType w:val="hybridMultilevel"/>
    <w:tmpl w:val="8364F8CA"/>
    <w:lvl w:ilvl="0" w:tplc="0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8" w15:restartNumberingAfterBreak="0">
    <w:nsid w:val="6A8551A5"/>
    <w:multiLevelType w:val="hybridMultilevel"/>
    <w:tmpl w:val="1CA6707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9" w15:restartNumberingAfterBreak="0">
    <w:nsid w:val="6AAD3F61"/>
    <w:multiLevelType w:val="hybridMultilevel"/>
    <w:tmpl w:val="6360DB08"/>
    <w:lvl w:ilvl="0" w:tplc="42843EFE">
      <w:start w:val="1"/>
      <w:numFmt w:val="lowerRoman"/>
      <w:lvlText w:val="%1."/>
      <w:lvlJc w:val="left"/>
      <w:pPr>
        <w:ind w:left="1200" w:hanging="720"/>
      </w:pPr>
      <w:rPr>
        <w:rFonts w:ascii="Calibri" w:eastAsia="Calibri" w:hAnsi="Calibri" w:cs="Calibri" w:hint="default"/>
        <w:spacing w:val="-1"/>
        <w:w w:val="100"/>
        <w:sz w:val="22"/>
        <w:szCs w:val="22"/>
      </w:rPr>
    </w:lvl>
    <w:lvl w:ilvl="1" w:tplc="1542C954">
      <w:start w:val="1"/>
      <w:numFmt w:val="lowerLetter"/>
      <w:lvlText w:val="%2)"/>
      <w:lvlJc w:val="left"/>
      <w:pPr>
        <w:ind w:left="1560" w:hanging="361"/>
      </w:pPr>
      <w:rPr>
        <w:rFonts w:ascii="Calibri" w:eastAsia="Calibri" w:hAnsi="Calibri" w:cs="Calibri" w:hint="default"/>
        <w:w w:val="100"/>
        <w:sz w:val="22"/>
        <w:szCs w:val="22"/>
      </w:rPr>
    </w:lvl>
    <w:lvl w:ilvl="2" w:tplc="39B68234">
      <w:numFmt w:val="bullet"/>
      <w:lvlText w:val="•"/>
      <w:lvlJc w:val="left"/>
      <w:pPr>
        <w:ind w:left="2454" w:hanging="361"/>
      </w:pPr>
      <w:rPr>
        <w:rFonts w:hint="default"/>
      </w:rPr>
    </w:lvl>
    <w:lvl w:ilvl="3" w:tplc="9B385EDE">
      <w:numFmt w:val="bullet"/>
      <w:lvlText w:val="•"/>
      <w:lvlJc w:val="left"/>
      <w:pPr>
        <w:ind w:left="3348" w:hanging="361"/>
      </w:pPr>
      <w:rPr>
        <w:rFonts w:hint="default"/>
      </w:rPr>
    </w:lvl>
    <w:lvl w:ilvl="4" w:tplc="0192856A">
      <w:numFmt w:val="bullet"/>
      <w:lvlText w:val="•"/>
      <w:lvlJc w:val="left"/>
      <w:pPr>
        <w:ind w:left="4242" w:hanging="361"/>
      </w:pPr>
      <w:rPr>
        <w:rFonts w:hint="default"/>
      </w:rPr>
    </w:lvl>
    <w:lvl w:ilvl="5" w:tplc="BD2CB506">
      <w:numFmt w:val="bullet"/>
      <w:lvlText w:val="•"/>
      <w:lvlJc w:val="left"/>
      <w:pPr>
        <w:ind w:left="5136" w:hanging="361"/>
      </w:pPr>
      <w:rPr>
        <w:rFonts w:hint="default"/>
      </w:rPr>
    </w:lvl>
    <w:lvl w:ilvl="6" w:tplc="21D2BEF6">
      <w:numFmt w:val="bullet"/>
      <w:lvlText w:val="•"/>
      <w:lvlJc w:val="left"/>
      <w:pPr>
        <w:ind w:left="6030" w:hanging="361"/>
      </w:pPr>
      <w:rPr>
        <w:rFonts w:hint="default"/>
      </w:rPr>
    </w:lvl>
    <w:lvl w:ilvl="7" w:tplc="67629332">
      <w:numFmt w:val="bullet"/>
      <w:lvlText w:val="•"/>
      <w:lvlJc w:val="left"/>
      <w:pPr>
        <w:ind w:left="6924" w:hanging="361"/>
      </w:pPr>
      <w:rPr>
        <w:rFonts w:hint="default"/>
      </w:rPr>
    </w:lvl>
    <w:lvl w:ilvl="8" w:tplc="8F8A44A2">
      <w:numFmt w:val="bullet"/>
      <w:lvlText w:val="•"/>
      <w:lvlJc w:val="left"/>
      <w:pPr>
        <w:ind w:left="7818" w:hanging="361"/>
      </w:pPr>
      <w:rPr>
        <w:rFonts w:hint="default"/>
      </w:rPr>
    </w:lvl>
  </w:abstractNum>
  <w:abstractNum w:abstractNumId="490" w15:restartNumberingAfterBreak="0">
    <w:nsid w:val="6B9F70CA"/>
    <w:multiLevelType w:val="multilevel"/>
    <w:tmpl w:val="177A1206"/>
    <w:numStyleLink w:val="Style4"/>
  </w:abstractNum>
  <w:abstractNum w:abstractNumId="491" w15:restartNumberingAfterBreak="0">
    <w:nsid w:val="6BAD242F"/>
    <w:multiLevelType w:val="multilevel"/>
    <w:tmpl w:val="BC581960"/>
    <w:lvl w:ilvl="0">
      <w:start w:val="4"/>
      <w:numFmt w:val="decimal"/>
      <w:lvlText w:val="P%1"/>
      <w:lvlJc w:val="left"/>
      <w:pPr>
        <w:ind w:left="720" w:hanging="363"/>
      </w:pPr>
      <w:rPr>
        <w:rFonts w:ascii="Avenir LT 85 Heavy" w:hAnsi="Avenir LT 85 Heavy" w:hint="default"/>
        <w:sz w:val="20"/>
      </w:rPr>
    </w:lvl>
    <w:lvl w:ilvl="1">
      <w:start w:val="2"/>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492" w15:restartNumberingAfterBreak="0">
    <w:nsid w:val="6BB41520"/>
    <w:multiLevelType w:val="hybridMultilevel"/>
    <w:tmpl w:val="68285B2E"/>
    <w:lvl w:ilvl="0" w:tplc="0C090001">
      <w:start w:val="1"/>
      <w:numFmt w:val="bullet"/>
      <w:lvlText w:val=""/>
      <w:lvlJc w:val="left"/>
      <w:pPr>
        <w:ind w:left="1636" w:hanging="360"/>
      </w:pPr>
      <w:rPr>
        <w:rFonts w:ascii="Symbol" w:hAnsi="Symbol" w:hint="default"/>
      </w:rPr>
    </w:lvl>
    <w:lvl w:ilvl="1" w:tplc="0C090003" w:tentative="1">
      <w:start w:val="1"/>
      <w:numFmt w:val="bullet"/>
      <w:lvlText w:val="o"/>
      <w:lvlJc w:val="left"/>
      <w:pPr>
        <w:ind w:left="2356" w:hanging="360"/>
      </w:pPr>
      <w:rPr>
        <w:rFonts w:ascii="Courier New" w:hAnsi="Courier New" w:cs="Courier New" w:hint="default"/>
      </w:rPr>
    </w:lvl>
    <w:lvl w:ilvl="2" w:tplc="0C090005" w:tentative="1">
      <w:start w:val="1"/>
      <w:numFmt w:val="bullet"/>
      <w:lvlText w:val=""/>
      <w:lvlJc w:val="left"/>
      <w:pPr>
        <w:ind w:left="3076" w:hanging="360"/>
      </w:pPr>
      <w:rPr>
        <w:rFonts w:ascii="Wingdings" w:hAnsi="Wingdings" w:hint="default"/>
      </w:rPr>
    </w:lvl>
    <w:lvl w:ilvl="3" w:tplc="0C090001" w:tentative="1">
      <w:start w:val="1"/>
      <w:numFmt w:val="bullet"/>
      <w:lvlText w:val=""/>
      <w:lvlJc w:val="left"/>
      <w:pPr>
        <w:ind w:left="3796" w:hanging="360"/>
      </w:pPr>
      <w:rPr>
        <w:rFonts w:ascii="Symbol" w:hAnsi="Symbol" w:hint="default"/>
      </w:rPr>
    </w:lvl>
    <w:lvl w:ilvl="4" w:tplc="0C090003" w:tentative="1">
      <w:start w:val="1"/>
      <w:numFmt w:val="bullet"/>
      <w:lvlText w:val="o"/>
      <w:lvlJc w:val="left"/>
      <w:pPr>
        <w:ind w:left="4516" w:hanging="360"/>
      </w:pPr>
      <w:rPr>
        <w:rFonts w:ascii="Courier New" w:hAnsi="Courier New" w:cs="Courier New" w:hint="default"/>
      </w:rPr>
    </w:lvl>
    <w:lvl w:ilvl="5" w:tplc="0C090005" w:tentative="1">
      <w:start w:val="1"/>
      <w:numFmt w:val="bullet"/>
      <w:lvlText w:val=""/>
      <w:lvlJc w:val="left"/>
      <w:pPr>
        <w:ind w:left="5236" w:hanging="360"/>
      </w:pPr>
      <w:rPr>
        <w:rFonts w:ascii="Wingdings" w:hAnsi="Wingdings" w:hint="default"/>
      </w:rPr>
    </w:lvl>
    <w:lvl w:ilvl="6" w:tplc="0C090001" w:tentative="1">
      <w:start w:val="1"/>
      <w:numFmt w:val="bullet"/>
      <w:lvlText w:val=""/>
      <w:lvlJc w:val="left"/>
      <w:pPr>
        <w:ind w:left="5956" w:hanging="360"/>
      </w:pPr>
      <w:rPr>
        <w:rFonts w:ascii="Symbol" w:hAnsi="Symbol" w:hint="default"/>
      </w:rPr>
    </w:lvl>
    <w:lvl w:ilvl="7" w:tplc="0C090003" w:tentative="1">
      <w:start w:val="1"/>
      <w:numFmt w:val="bullet"/>
      <w:lvlText w:val="o"/>
      <w:lvlJc w:val="left"/>
      <w:pPr>
        <w:ind w:left="6676" w:hanging="360"/>
      </w:pPr>
      <w:rPr>
        <w:rFonts w:ascii="Courier New" w:hAnsi="Courier New" w:cs="Courier New" w:hint="default"/>
      </w:rPr>
    </w:lvl>
    <w:lvl w:ilvl="8" w:tplc="0C090005" w:tentative="1">
      <w:start w:val="1"/>
      <w:numFmt w:val="bullet"/>
      <w:lvlText w:val=""/>
      <w:lvlJc w:val="left"/>
      <w:pPr>
        <w:ind w:left="7396" w:hanging="360"/>
      </w:pPr>
      <w:rPr>
        <w:rFonts w:ascii="Wingdings" w:hAnsi="Wingdings" w:hint="default"/>
      </w:rPr>
    </w:lvl>
  </w:abstractNum>
  <w:abstractNum w:abstractNumId="493" w15:restartNumberingAfterBreak="0">
    <w:nsid w:val="6C2C16B6"/>
    <w:multiLevelType w:val="hybridMultilevel"/>
    <w:tmpl w:val="0D280324"/>
    <w:lvl w:ilvl="0" w:tplc="04090019">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4" w15:restartNumberingAfterBreak="0">
    <w:nsid w:val="6C4A2961"/>
    <w:multiLevelType w:val="hybridMultilevel"/>
    <w:tmpl w:val="3F5295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5" w15:restartNumberingAfterBreak="0">
    <w:nsid w:val="6CA841DB"/>
    <w:multiLevelType w:val="hybridMultilevel"/>
    <w:tmpl w:val="255EF620"/>
    <w:lvl w:ilvl="0" w:tplc="0409001B">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6" w15:restartNumberingAfterBreak="0">
    <w:nsid w:val="6E561A2D"/>
    <w:multiLevelType w:val="hybridMultilevel"/>
    <w:tmpl w:val="F2B00D7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7" w15:restartNumberingAfterBreak="0">
    <w:nsid w:val="6E587B37"/>
    <w:multiLevelType w:val="hybridMultilevel"/>
    <w:tmpl w:val="6D84D132"/>
    <w:lvl w:ilvl="0" w:tplc="EA14B376">
      <w:numFmt w:val="bullet"/>
      <w:lvlText w:val=""/>
      <w:lvlJc w:val="left"/>
      <w:pPr>
        <w:ind w:left="670" w:hanging="442"/>
      </w:pPr>
      <w:rPr>
        <w:rFonts w:ascii="Symbol" w:eastAsia="Symbol" w:hAnsi="Symbol" w:cs="Symbol" w:hint="default"/>
        <w:b w:val="0"/>
        <w:bCs w:val="0"/>
        <w:i w:val="0"/>
        <w:iCs w:val="0"/>
        <w:spacing w:val="0"/>
        <w:w w:val="100"/>
        <w:sz w:val="22"/>
        <w:szCs w:val="22"/>
        <w:lang w:val="en-US" w:eastAsia="en-US" w:bidi="ar-SA"/>
      </w:rPr>
    </w:lvl>
    <w:lvl w:ilvl="1" w:tplc="6C128634">
      <w:numFmt w:val="bullet"/>
      <w:lvlText w:val="•"/>
      <w:lvlJc w:val="left"/>
      <w:pPr>
        <w:ind w:left="1532" w:hanging="442"/>
      </w:pPr>
      <w:rPr>
        <w:rFonts w:hint="default"/>
        <w:lang w:val="en-US" w:eastAsia="en-US" w:bidi="ar-SA"/>
      </w:rPr>
    </w:lvl>
    <w:lvl w:ilvl="2" w:tplc="FD761A28">
      <w:numFmt w:val="bullet"/>
      <w:lvlText w:val="•"/>
      <w:lvlJc w:val="left"/>
      <w:pPr>
        <w:ind w:left="2385" w:hanging="442"/>
      </w:pPr>
      <w:rPr>
        <w:rFonts w:hint="default"/>
        <w:lang w:val="en-US" w:eastAsia="en-US" w:bidi="ar-SA"/>
      </w:rPr>
    </w:lvl>
    <w:lvl w:ilvl="3" w:tplc="CD245E46">
      <w:numFmt w:val="bullet"/>
      <w:lvlText w:val="•"/>
      <w:lvlJc w:val="left"/>
      <w:pPr>
        <w:ind w:left="3237" w:hanging="442"/>
      </w:pPr>
      <w:rPr>
        <w:rFonts w:hint="default"/>
        <w:lang w:val="en-US" w:eastAsia="en-US" w:bidi="ar-SA"/>
      </w:rPr>
    </w:lvl>
    <w:lvl w:ilvl="4" w:tplc="010EACE2">
      <w:numFmt w:val="bullet"/>
      <w:lvlText w:val="•"/>
      <w:lvlJc w:val="left"/>
      <w:pPr>
        <w:ind w:left="4090" w:hanging="442"/>
      </w:pPr>
      <w:rPr>
        <w:rFonts w:hint="default"/>
        <w:lang w:val="en-US" w:eastAsia="en-US" w:bidi="ar-SA"/>
      </w:rPr>
    </w:lvl>
    <w:lvl w:ilvl="5" w:tplc="061A80F0">
      <w:numFmt w:val="bullet"/>
      <w:lvlText w:val="•"/>
      <w:lvlJc w:val="left"/>
      <w:pPr>
        <w:ind w:left="4943" w:hanging="442"/>
      </w:pPr>
      <w:rPr>
        <w:rFonts w:hint="default"/>
        <w:lang w:val="en-US" w:eastAsia="en-US" w:bidi="ar-SA"/>
      </w:rPr>
    </w:lvl>
    <w:lvl w:ilvl="6" w:tplc="F392E278">
      <w:numFmt w:val="bullet"/>
      <w:lvlText w:val="•"/>
      <w:lvlJc w:val="left"/>
      <w:pPr>
        <w:ind w:left="5795" w:hanging="442"/>
      </w:pPr>
      <w:rPr>
        <w:rFonts w:hint="default"/>
        <w:lang w:val="en-US" w:eastAsia="en-US" w:bidi="ar-SA"/>
      </w:rPr>
    </w:lvl>
    <w:lvl w:ilvl="7" w:tplc="AF3287C4">
      <w:numFmt w:val="bullet"/>
      <w:lvlText w:val="•"/>
      <w:lvlJc w:val="left"/>
      <w:pPr>
        <w:ind w:left="6648" w:hanging="442"/>
      </w:pPr>
      <w:rPr>
        <w:rFonts w:hint="default"/>
        <w:lang w:val="en-US" w:eastAsia="en-US" w:bidi="ar-SA"/>
      </w:rPr>
    </w:lvl>
    <w:lvl w:ilvl="8" w:tplc="0A9EA47C">
      <w:numFmt w:val="bullet"/>
      <w:lvlText w:val="•"/>
      <w:lvlJc w:val="left"/>
      <w:pPr>
        <w:ind w:left="7501" w:hanging="442"/>
      </w:pPr>
      <w:rPr>
        <w:rFonts w:hint="default"/>
        <w:lang w:val="en-US" w:eastAsia="en-US" w:bidi="ar-SA"/>
      </w:rPr>
    </w:lvl>
  </w:abstractNum>
  <w:abstractNum w:abstractNumId="498" w15:restartNumberingAfterBreak="0">
    <w:nsid w:val="6F3048F9"/>
    <w:multiLevelType w:val="multilevel"/>
    <w:tmpl w:val="2076AB90"/>
    <w:numStyleLink w:val="Style2"/>
  </w:abstractNum>
  <w:abstractNum w:abstractNumId="499" w15:restartNumberingAfterBreak="0">
    <w:nsid w:val="6F462564"/>
    <w:multiLevelType w:val="hybridMultilevel"/>
    <w:tmpl w:val="332688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00" w15:restartNumberingAfterBreak="0">
    <w:nsid w:val="6F502B82"/>
    <w:multiLevelType w:val="hybridMultilevel"/>
    <w:tmpl w:val="AAA2BCAC"/>
    <w:lvl w:ilvl="0" w:tplc="A26CB26C">
      <w:start w:val="1"/>
      <w:numFmt w:val="lowerRoman"/>
      <w:lvlText w:val="%1."/>
      <w:lvlJc w:val="left"/>
      <w:pPr>
        <w:ind w:left="1197" w:hanging="720"/>
      </w:pPr>
      <w:rPr>
        <w:rFonts w:ascii="Calibri" w:eastAsia="Calibri" w:hAnsi="Calibri" w:cs="Calibri" w:hint="default"/>
        <w:spacing w:val="-1"/>
        <w:w w:val="100"/>
        <w:sz w:val="22"/>
        <w:szCs w:val="22"/>
      </w:rPr>
    </w:lvl>
    <w:lvl w:ilvl="1" w:tplc="868878DC">
      <w:numFmt w:val="bullet"/>
      <w:lvlText w:val="•"/>
      <w:lvlJc w:val="left"/>
      <w:pPr>
        <w:ind w:left="2040" w:hanging="720"/>
      </w:pPr>
      <w:rPr>
        <w:rFonts w:hint="default"/>
      </w:rPr>
    </w:lvl>
    <w:lvl w:ilvl="2" w:tplc="350A0BB2">
      <w:numFmt w:val="bullet"/>
      <w:lvlText w:val="•"/>
      <w:lvlJc w:val="left"/>
      <w:pPr>
        <w:ind w:left="2881" w:hanging="720"/>
      </w:pPr>
      <w:rPr>
        <w:rFonts w:hint="default"/>
      </w:rPr>
    </w:lvl>
    <w:lvl w:ilvl="3" w:tplc="2E502FC6">
      <w:numFmt w:val="bullet"/>
      <w:lvlText w:val="•"/>
      <w:lvlJc w:val="left"/>
      <w:pPr>
        <w:ind w:left="3721" w:hanging="720"/>
      </w:pPr>
      <w:rPr>
        <w:rFonts w:hint="default"/>
      </w:rPr>
    </w:lvl>
    <w:lvl w:ilvl="4" w:tplc="2C7269B2">
      <w:numFmt w:val="bullet"/>
      <w:lvlText w:val="•"/>
      <w:lvlJc w:val="left"/>
      <w:pPr>
        <w:ind w:left="4562" w:hanging="720"/>
      </w:pPr>
      <w:rPr>
        <w:rFonts w:hint="default"/>
      </w:rPr>
    </w:lvl>
    <w:lvl w:ilvl="5" w:tplc="5CDA8E10">
      <w:numFmt w:val="bullet"/>
      <w:lvlText w:val="•"/>
      <w:lvlJc w:val="left"/>
      <w:pPr>
        <w:ind w:left="5403" w:hanging="720"/>
      </w:pPr>
      <w:rPr>
        <w:rFonts w:hint="default"/>
      </w:rPr>
    </w:lvl>
    <w:lvl w:ilvl="6" w:tplc="726C0B98">
      <w:numFmt w:val="bullet"/>
      <w:lvlText w:val="•"/>
      <w:lvlJc w:val="left"/>
      <w:pPr>
        <w:ind w:left="6243" w:hanging="720"/>
      </w:pPr>
      <w:rPr>
        <w:rFonts w:hint="default"/>
      </w:rPr>
    </w:lvl>
    <w:lvl w:ilvl="7" w:tplc="46443296">
      <w:numFmt w:val="bullet"/>
      <w:lvlText w:val="•"/>
      <w:lvlJc w:val="left"/>
      <w:pPr>
        <w:ind w:left="7084" w:hanging="720"/>
      </w:pPr>
      <w:rPr>
        <w:rFonts w:hint="default"/>
      </w:rPr>
    </w:lvl>
    <w:lvl w:ilvl="8" w:tplc="240C4F0C">
      <w:numFmt w:val="bullet"/>
      <w:lvlText w:val="•"/>
      <w:lvlJc w:val="left"/>
      <w:pPr>
        <w:ind w:left="7925" w:hanging="720"/>
      </w:pPr>
      <w:rPr>
        <w:rFonts w:hint="default"/>
      </w:rPr>
    </w:lvl>
  </w:abstractNum>
  <w:abstractNum w:abstractNumId="501" w15:restartNumberingAfterBreak="0">
    <w:nsid w:val="6F60158E"/>
    <w:multiLevelType w:val="multilevel"/>
    <w:tmpl w:val="1C567F1A"/>
    <w:lvl w:ilvl="0">
      <w:start w:val="1"/>
      <w:numFmt w:val="decimal"/>
      <w:lvlText w:val="%1."/>
      <w:lvlJc w:val="left"/>
      <w:pPr>
        <w:ind w:left="686" w:hanging="569"/>
      </w:pPr>
      <w:rPr>
        <w:rFonts w:ascii="Calibri" w:eastAsia="Calibri" w:hAnsi="Calibri" w:cs="Calibri" w:hint="default"/>
        <w:b w:val="0"/>
        <w:bCs w:val="0"/>
        <w:i w:val="0"/>
        <w:iCs w:val="0"/>
        <w:spacing w:val="0"/>
        <w:w w:val="100"/>
        <w:sz w:val="22"/>
        <w:szCs w:val="22"/>
        <w:lang w:val="en-US" w:eastAsia="en-US" w:bidi="ar-SA"/>
      </w:rPr>
    </w:lvl>
    <w:lvl w:ilvl="1">
      <w:start w:val="1"/>
      <w:numFmt w:val="decimal"/>
      <w:lvlText w:val="%1.%2"/>
      <w:lvlJc w:val="left"/>
      <w:pPr>
        <w:ind w:left="1253" w:hanging="567"/>
      </w:pPr>
      <w:rPr>
        <w:rFonts w:ascii="Calibri" w:eastAsia="Calibri" w:hAnsi="Calibri" w:cs="Calibri" w:hint="default"/>
        <w:b w:val="0"/>
        <w:bCs w:val="0"/>
        <w:i w:val="0"/>
        <w:iCs w:val="0"/>
        <w:spacing w:val="-3"/>
        <w:w w:val="100"/>
        <w:sz w:val="22"/>
        <w:szCs w:val="22"/>
        <w:lang w:val="en-US" w:eastAsia="en-US" w:bidi="ar-SA"/>
      </w:rPr>
    </w:lvl>
    <w:lvl w:ilvl="2">
      <w:numFmt w:val="bullet"/>
      <w:lvlText w:val="•"/>
      <w:lvlJc w:val="left"/>
      <w:pPr>
        <w:ind w:left="2142" w:hanging="567"/>
      </w:pPr>
      <w:rPr>
        <w:rFonts w:hint="default"/>
        <w:lang w:val="en-US" w:eastAsia="en-US" w:bidi="ar-SA"/>
      </w:rPr>
    </w:lvl>
    <w:lvl w:ilvl="3">
      <w:numFmt w:val="bullet"/>
      <w:lvlText w:val="•"/>
      <w:lvlJc w:val="left"/>
      <w:pPr>
        <w:ind w:left="3025" w:hanging="567"/>
      </w:pPr>
      <w:rPr>
        <w:rFonts w:hint="default"/>
        <w:lang w:val="en-US" w:eastAsia="en-US" w:bidi="ar-SA"/>
      </w:rPr>
    </w:lvl>
    <w:lvl w:ilvl="4">
      <w:numFmt w:val="bullet"/>
      <w:lvlText w:val="•"/>
      <w:lvlJc w:val="left"/>
      <w:pPr>
        <w:ind w:left="3908" w:hanging="567"/>
      </w:pPr>
      <w:rPr>
        <w:rFonts w:hint="default"/>
        <w:lang w:val="en-US" w:eastAsia="en-US" w:bidi="ar-SA"/>
      </w:rPr>
    </w:lvl>
    <w:lvl w:ilvl="5">
      <w:numFmt w:val="bullet"/>
      <w:lvlText w:val="•"/>
      <w:lvlJc w:val="left"/>
      <w:pPr>
        <w:ind w:left="4791" w:hanging="567"/>
      </w:pPr>
      <w:rPr>
        <w:rFonts w:hint="default"/>
        <w:lang w:val="en-US" w:eastAsia="en-US" w:bidi="ar-SA"/>
      </w:rPr>
    </w:lvl>
    <w:lvl w:ilvl="6">
      <w:numFmt w:val="bullet"/>
      <w:lvlText w:val="•"/>
      <w:lvlJc w:val="left"/>
      <w:pPr>
        <w:ind w:left="5674" w:hanging="567"/>
      </w:pPr>
      <w:rPr>
        <w:rFonts w:hint="default"/>
        <w:lang w:val="en-US" w:eastAsia="en-US" w:bidi="ar-SA"/>
      </w:rPr>
    </w:lvl>
    <w:lvl w:ilvl="7">
      <w:numFmt w:val="bullet"/>
      <w:lvlText w:val="•"/>
      <w:lvlJc w:val="left"/>
      <w:pPr>
        <w:ind w:left="6557" w:hanging="567"/>
      </w:pPr>
      <w:rPr>
        <w:rFonts w:hint="default"/>
        <w:lang w:val="en-US" w:eastAsia="en-US" w:bidi="ar-SA"/>
      </w:rPr>
    </w:lvl>
    <w:lvl w:ilvl="8">
      <w:numFmt w:val="bullet"/>
      <w:lvlText w:val="•"/>
      <w:lvlJc w:val="left"/>
      <w:pPr>
        <w:ind w:left="7440" w:hanging="567"/>
      </w:pPr>
      <w:rPr>
        <w:rFonts w:hint="default"/>
        <w:lang w:val="en-US" w:eastAsia="en-US" w:bidi="ar-SA"/>
      </w:rPr>
    </w:lvl>
  </w:abstractNum>
  <w:abstractNum w:abstractNumId="502" w15:restartNumberingAfterBreak="0">
    <w:nsid w:val="6F612A9F"/>
    <w:multiLevelType w:val="hybridMultilevel"/>
    <w:tmpl w:val="D4463C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3" w15:restartNumberingAfterBreak="0">
    <w:nsid w:val="6FFE31AF"/>
    <w:multiLevelType w:val="hybridMultilevel"/>
    <w:tmpl w:val="800A8AD2"/>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4" w15:restartNumberingAfterBreak="0">
    <w:nsid w:val="702748D6"/>
    <w:multiLevelType w:val="hybridMultilevel"/>
    <w:tmpl w:val="F8FEB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5" w15:restartNumberingAfterBreak="0">
    <w:nsid w:val="70594853"/>
    <w:multiLevelType w:val="hybridMultilevel"/>
    <w:tmpl w:val="C15EB586"/>
    <w:lvl w:ilvl="0" w:tplc="0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6" w15:restartNumberingAfterBreak="0">
    <w:nsid w:val="70634917"/>
    <w:multiLevelType w:val="hybridMultilevel"/>
    <w:tmpl w:val="55A04E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7" w15:restartNumberingAfterBreak="0">
    <w:nsid w:val="70694BF1"/>
    <w:multiLevelType w:val="hybridMultilevel"/>
    <w:tmpl w:val="1F14BB18"/>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8" w15:restartNumberingAfterBreak="0">
    <w:nsid w:val="70E678A9"/>
    <w:multiLevelType w:val="hybridMultilevel"/>
    <w:tmpl w:val="2ACE911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9" w15:restartNumberingAfterBreak="0">
    <w:nsid w:val="71163102"/>
    <w:multiLevelType w:val="hybridMultilevel"/>
    <w:tmpl w:val="AEEAEBE0"/>
    <w:lvl w:ilvl="0" w:tplc="6B26033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0" w15:restartNumberingAfterBreak="0">
    <w:nsid w:val="7130127F"/>
    <w:multiLevelType w:val="hybridMultilevel"/>
    <w:tmpl w:val="D1F427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1" w15:restartNumberingAfterBreak="0">
    <w:nsid w:val="715172BA"/>
    <w:multiLevelType w:val="hybridMultilevel"/>
    <w:tmpl w:val="5634A0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2" w15:restartNumberingAfterBreak="0">
    <w:nsid w:val="71547BB1"/>
    <w:multiLevelType w:val="hybridMultilevel"/>
    <w:tmpl w:val="5BEE4C8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3" w15:restartNumberingAfterBreak="0">
    <w:nsid w:val="71714694"/>
    <w:multiLevelType w:val="hybridMultilevel"/>
    <w:tmpl w:val="BB82E2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4" w15:restartNumberingAfterBreak="0">
    <w:nsid w:val="71C02C22"/>
    <w:multiLevelType w:val="hybridMultilevel"/>
    <w:tmpl w:val="7C08E2A6"/>
    <w:lvl w:ilvl="0" w:tplc="9F7AAA98">
      <w:start w:val="1"/>
      <w:numFmt w:val="decimal"/>
      <w:lvlText w:val="%1."/>
      <w:lvlJc w:val="left"/>
      <w:pPr>
        <w:ind w:left="820" w:hanging="358"/>
      </w:pPr>
      <w:rPr>
        <w:rFonts w:ascii="Calibri" w:eastAsia="Calibri" w:hAnsi="Calibri" w:cs="Calibri" w:hint="default"/>
        <w:b w:val="0"/>
        <w:bCs w:val="0"/>
        <w:i w:val="0"/>
        <w:iCs w:val="0"/>
        <w:spacing w:val="0"/>
        <w:w w:val="100"/>
        <w:sz w:val="22"/>
        <w:szCs w:val="22"/>
        <w:lang w:val="en-US" w:eastAsia="en-US" w:bidi="ar-SA"/>
      </w:rPr>
    </w:lvl>
    <w:lvl w:ilvl="1" w:tplc="FA868AA4">
      <w:numFmt w:val="bullet"/>
      <w:lvlText w:val=""/>
      <w:lvlJc w:val="left"/>
      <w:pPr>
        <w:ind w:left="1540" w:hanging="360"/>
      </w:pPr>
      <w:rPr>
        <w:rFonts w:ascii="Symbol" w:eastAsia="Symbol" w:hAnsi="Symbol" w:cs="Symbol" w:hint="default"/>
        <w:b w:val="0"/>
        <w:bCs w:val="0"/>
        <w:i w:val="0"/>
        <w:iCs w:val="0"/>
        <w:spacing w:val="0"/>
        <w:w w:val="100"/>
        <w:sz w:val="22"/>
        <w:szCs w:val="22"/>
        <w:lang w:val="en-US" w:eastAsia="en-US" w:bidi="ar-SA"/>
      </w:rPr>
    </w:lvl>
    <w:lvl w:ilvl="2" w:tplc="1F62628A">
      <w:numFmt w:val="bullet"/>
      <w:lvlText w:val="•"/>
      <w:lvlJc w:val="left"/>
      <w:pPr>
        <w:ind w:left="2432" w:hanging="360"/>
      </w:pPr>
      <w:rPr>
        <w:rFonts w:hint="default"/>
        <w:lang w:val="en-US" w:eastAsia="en-US" w:bidi="ar-SA"/>
      </w:rPr>
    </w:lvl>
    <w:lvl w:ilvl="3" w:tplc="9ED24AF8">
      <w:numFmt w:val="bullet"/>
      <w:lvlText w:val="•"/>
      <w:lvlJc w:val="left"/>
      <w:pPr>
        <w:ind w:left="3324" w:hanging="360"/>
      </w:pPr>
      <w:rPr>
        <w:rFonts w:hint="default"/>
        <w:lang w:val="en-US" w:eastAsia="en-US" w:bidi="ar-SA"/>
      </w:rPr>
    </w:lvl>
    <w:lvl w:ilvl="4" w:tplc="7C646E68">
      <w:numFmt w:val="bullet"/>
      <w:lvlText w:val="•"/>
      <w:lvlJc w:val="left"/>
      <w:pPr>
        <w:ind w:left="4217" w:hanging="360"/>
      </w:pPr>
      <w:rPr>
        <w:rFonts w:hint="default"/>
        <w:lang w:val="en-US" w:eastAsia="en-US" w:bidi="ar-SA"/>
      </w:rPr>
    </w:lvl>
    <w:lvl w:ilvl="5" w:tplc="02AA9F0A">
      <w:numFmt w:val="bullet"/>
      <w:lvlText w:val="•"/>
      <w:lvlJc w:val="left"/>
      <w:pPr>
        <w:ind w:left="5109" w:hanging="360"/>
      </w:pPr>
      <w:rPr>
        <w:rFonts w:hint="default"/>
        <w:lang w:val="en-US" w:eastAsia="en-US" w:bidi="ar-SA"/>
      </w:rPr>
    </w:lvl>
    <w:lvl w:ilvl="6" w:tplc="E8FCD088">
      <w:numFmt w:val="bullet"/>
      <w:lvlText w:val="•"/>
      <w:lvlJc w:val="left"/>
      <w:pPr>
        <w:ind w:left="6001" w:hanging="360"/>
      </w:pPr>
      <w:rPr>
        <w:rFonts w:hint="default"/>
        <w:lang w:val="en-US" w:eastAsia="en-US" w:bidi="ar-SA"/>
      </w:rPr>
    </w:lvl>
    <w:lvl w:ilvl="7" w:tplc="7B54DB72">
      <w:numFmt w:val="bullet"/>
      <w:lvlText w:val="•"/>
      <w:lvlJc w:val="left"/>
      <w:pPr>
        <w:ind w:left="6894" w:hanging="360"/>
      </w:pPr>
      <w:rPr>
        <w:rFonts w:hint="default"/>
        <w:lang w:val="en-US" w:eastAsia="en-US" w:bidi="ar-SA"/>
      </w:rPr>
    </w:lvl>
    <w:lvl w:ilvl="8" w:tplc="277E520A">
      <w:numFmt w:val="bullet"/>
      <w:lvlText w:val="•"/>
      <w:lvlJc w:val="left"/>
      <w:pPr>
        <w:ind w:left="7786" w:hanging="360"/>
      </w:pPr>
      <w:rPr>
        <w:rFonts w:hint="default"/>
        <w:lang w:val="en-US" w:eastAsia="en-US" w:bidi="ar-SA"/>
      </w:rPr>
    </w:lvl>
  </w:abstractNum>
  <w:abstractNum w:abstractNumId="515" w15:restartNumberingAfterBreak="0">
    <w:nsid w:val="71C57025"/>
    <w:multiLevelType w:val="hybridMultilevel"/>
    <w:tmpl w:val="0DEEC9F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6" w15:restartNumberingAfterBreak="0">
    <w:nsid w:val="71D37BED"/>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517" w15:restartNumberingAfterBreak="0">
    <w:nsid w:val="72922D18"/>
    <w:multiLevelType w:val="hybridMultilevel"/>
    <w:tmpl w:val="3D6E0C64"/>
    <w:lvl w:ilvl="0" w:tplc="B930D83C">
      <w:start w:val="1"/>
      <w:numFmt w:val="bullet"/>
      <w:lvlText w:val="-"/>
      <w:lvlJc w:val="left"/>
      <w:pPr>
        <w:ind w:left="720" w:hanging="360"/>
      </w:pPr>
      <w:rPr>
        <w:rFonts w:ascii="Times New Roman" w:eastAsia="Times New Roman"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8" w15:restartNumberingAfterBreak="0">
    <w:nsid w:val="729E624A"/>
    <w:multiLevelType w:val="multilevel"/>
    <w:tmpl w:val="177A1206"/>
    <w:numStyleLink w:val="Style4"/>
  </w:abstractNum>
  <w:abstractNum w:abstractNumId="519" w15:restartNumberingAfterBreak="0">
    <w:nsid w:val="731829E8"/>
    <w:multiLevelType w:val="hybridMultilevel"/>
    <w:tmpl w:val="B01E061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0" w15:restartNumberingAfterBreak="0">
    <w:nsid w:val="73303732"/>
    <w:multiLevelType w:val="hybridMultilevel"/>
    <w:tmpl w:val="7A9C4DBA"/>
    <w:lvl w:ilvl="0" w:tplc="3C7A8F26">
      <w:numFmt w:val="bullet"/>
      <w:lvlText w:val="•"/>
      <w:lvlJc w:val="left"/>
      <w:pPr>
        <w:ind w:left="823" w:hanging="360"/>
      </w:pPr>
      <w:rPr>
        <w:rFonts w:ascii="Calibri" w:eastAsia="Calibri" w:hAnsi="Calibri" w:cs="Calibri" w:hint="default"/>
        <w:w w:val="100"/>
        <w:sz w:val="22"/>
        <w:szCs w:val="22"/>
      </w:rPr>
    </w:lvl>
    <w:lvl w:ilvl="1" w:tplc="3F1CA3B6">
      <w:numFmt w:val="bullet"/>
      <w:lvlText w:val="•"/>
      <w:lvlJc w:val="left"/>
      <w:pPr>
        <w:ind w:left="1170" w:hanging="360"/>
      </w:pPr>
      <w:rPr>
        <w:rFonts w:hint="default"/>
      </w:rPr>
    </w:lvl>
    <w:lvl w:ilvl="2" w:tplc="26DC3EB8">
      <w:numFmt w:val="bullet"/>
      <w:lvlText w:val="•"/>
      <w:lvlJc w:val="left"/>
      <w:pPr>
        <w:ind w:left="1520" w:hanging="360"/>
      </w:pPr>
      <w:rPr>
        <w:rFonts w:hint="default"/>
      </w:rPr>
    </w:lvl>
    <w:lvl w:ilvl="3" w:tplc="A9722D8E">
      <w:numFmt w:val="bullet"/>
      <w:lvlText w:val="•"/>
      <w:lvlJc w:val="left"/>
      <w:pPr>
        <w:ind w:left="1871" w:hanging="360"/>
      </w:pPr>
      <w:rPr>
        <w:rFonts w:hint="default"/>
      </w:rPr>
    </w:lvl>
    <w:lvl w:ilvl="4" w:tplc="1974BB1C">
      <w:numFmt w:val="bullet"/>
      <w:lvlText w:val="•"/>
      <w:lvlJc w:val="left"/>
      <w:pPr>
        <w:ind w:left="2221" w:hanging="360"/>
      </w:pPr>
      <w:rPr>
        <w:rFonts w:hint="default"/>
      </w:rPr>
    </w:lvl>
    <w:lvl w:ilvl="5" w:tplc="D94A8F06">
      <w:numFmt w:val="bullet"/>
      <w:lvlText w:val="•"/>
      <w:lvlJc w:val="left"/>
      <w:pPr>
        <w:ind w:left="2572" w:hanging="360"/>
      </w:pPr>
      <w:rPr>
        <w:rFonts w:hint="default"/>
      </w:rPr>
    </w:lvl>
    <w:lvl w:ilvl="6" w:tplc="40D480B6">
      <w:numFmt w:val="bullet"/>
      <w:lvlText w:val="•"/>
      <w:lvlJc w:val="left"/>
      <w:pPr>
        <w:ind w:left="2922" w:hanging="360"/>
      </w:pPr>
      <w:rPr>
        <w:rFonts w:hint="default"/>
      </w:rPr>
    </w:lvl>
    <w:lvl w:ilvl="7" w:tplc="38708DC8">
      <w:numFmt w:val="bullet"/>
      <w:lvlText w:val="•"/>
      <w:lvlJc w:val="left"/>
      <w:pPr>
        <w:ind w:left="3273" w:hanging="360"/>
      </w:pPr>
      <w:rPr>
        <w:rFonts w:hint="default"/>
      </w:rPr>
    </w:lvl>
    <w:lvl w:ilvl="8" w:tplc="C044AA6C">
      <w:numFmt w:val="bullet"/>
      <w:lvlText w:val="•"/>
      <w:lvlJc w:val="left"/>
      <w:pPr>
        <w:ind w:left="3623" w:hanging="360"/>
      </w:pPr>
      <w:rPr>
        <w:rFonts w:hint="default"/>
      </w:rPr>
    </w:lvl>
  </w:abstractNum>
  <w:abstractNum w:abstractNumId="521" w15:restartNumberingAfterBreak="0">
    <w:nsid w:val="734B5270"/>
    <w:multiLevelType w:val="hybridMultilevel"/>
    <w:tmpl w:val="9EFE14FC"/>
    <w:lvl w:ilvl="0" w:tplc="73F648D6">
      <w:start w:val="1"/>
      <w:numFmt w:val="lowerRoman"/>
      <w:lvlText w:val="%1."/>
      <w:lvlJc w:val="left"/>
      <w:pPr>
        <w:ind w:left="1060" w:hanging="720"/>
      </w:pPr>
      <w:rPr>
        <w:rFonts w:ascii="Calibri" w:eastAsia="Calibri" w:hAnsi="Calibri" w:cs="Calibri" w:hint="default"/>
        <w:spacing w:val="-1"/>
        <w:w w:val="100"/>
        <w:sz w:val="22"/>
        <w:szCs w:val="22"/>
      </w:rPr>
    </w:lvl>
    <w:lvl w:ilvl="1" w:tplc="D08C1B3A">
      <w:start w:val="1"/>
      <w:numFmt w:val="lowerLetter"/>
      <w:lvlText w:val="%2)"/>
      <w:lvlJc w:val="left"/>
      <w:pPr>
        <w:ind w:left="1420" w:hanging="360"/>
      </w:pPr>
      <w:rPr>
        <w:rFonts w:ascii="Calibri" w:eastAsia="Calibri" w:hAnsi="Calibri" w:cs="Calibri" w:hint="default"/>
        <w:w w:val="100"/>
        <w:sz w:val="22"/>
        <w:szCs w:val="22"/>
      </w:rPr>
    </w:lvl>
    <w:lvl w:ilvl="2" w:tplc="C672BD9A">
      <w:numFmt w:val="bullet"/>
      <w:lvlText w:val="•"/>
      <w:lvlJc w:val="left"/>
      <w:pPr>
        <w:ind w:left="2329" w:hanging="360"/>
      </w:pPr>
      <w:rPr>
        <w:rFonts w:hint="default"/>
      </w:rPr>
    </w:lvl>
    <w:lvl w:ilvl="3" w:tplc="4AC00CCE">
      <w:numFmt w:val="bullet"/>
      <w:lvlText w:val="•"/>
      <w:lvlJc w:val="left"/>
      <w:pPr>
        <w:ind w:left="3239" w:hanging="360"/>
      </w:pPr>
      <w:rPr>
        <w:rFonts w:hint="default"/>
      </w:rPr>
    </w:lvl>
    <w:lvl w:ilvl="4" w:tplc="C030ABBA">
      <w:numFmt w:val="bullet"/>
      <w:lvlText w:val="•"/>
      <w:lvlJc w:val="left"/>
      <w:pPr>
        <w:ind w:left="4148" w:hanging="360"/>
      </w:pPr>
      <w:rPr>
        <w:rFonts w:hint="default"/>
      </w:rPr>
    </w:lvl>
    <w:lvl w:ilvl="5" w:tplc="9F82D3BC">
      <w:numFmt w:val="bullet"/>
      <w:lvlText w:val="•"/>
      <w:lvlJc w:val="left"/>
      <w:pPr>
        <w:ind w:left="5058" w:hanging="360"/>
      </w:pPr>
      <w:rPr>
        <w:rFonts w:hint="default"/>
      </w:rPr>
    </w:lvl>
    <w:lvl w:ilvl="6" w:tplc="7AFC8B28">
      <w:numFmt w:val="bullet"/>
      <w:lvlText w:val="•"/>
      <w:lvlJc w:val="left"/>
      <w:pPr>
        <w:ind w:left="5968" w:hanging="360"/>
      </w:pPr>
      <w:rPr>
        <w:rFonts w:hint="default"/>
      </w:rPr>
    </w:lvl>
    <w:lvl w:ilvl="7" w:tplc="E86E54E8">
      <w:numFmt w:val="bullet"/>
      <w:lvlText w:val="•"/>
      <w:lvlJc w:val="left"/>
      <w:pPr>
        <w:ind w:left="6877" w:hanging="360"/>
      </w:pPr>
      <w:rPr>
        <w:rFonts w:hint="default"/>
      </w:rPr>
    </w:lvl>
    <w:lvl w:ilvl="8" w:tplc="BB3462CE">
      <w:numFmt w:val="bullet"/>
      <w:lvlText w:val="•"/>
      <w:lvlJc w:val="left"/>
      <w:pPr>
        <w:ind w:left="7787" w:hanging="360"/>
      </w:pPr>
      <w:rPr>
        <w:rFonts w:hint="default"/>
      </w:rPr>
    </w:lvl>
  </w:abstractNum>
  <w:abstractNum w:abstractNumId="522" w15:restartNumberingAfterBreak="0">
    <w:nsid w:val="73682786"/>
    <w:multiLevelType w:val="hybridMultilevel"/>
    <w:tmpl w:val="F1A86982"/>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523" w15:restartNumberingAfterBreak="0">
    <w:nsid w:val="739C0573"/>
    <w:multiLevelType w:val="hybridMultilevel"/>
    <w:tmpl w:val="8824477E"/>
    <w:lvl w:ilvl="0" w:tplc="04090005">
      <w:start w:val="1"/>
      <w:numFmt w:val="bullet"/>
      <w:lvlText w:val=""/>
      <w:lvlJc w:val="left"/>
      <w:pPr>
        <w:ind w:left="720" w:hanging="360"/>
      </w:pPr>
      <w:rPr>
        <w:rFonts w:ascii="Wingdings" w:hAnsi="Wingdings" w:hint="default"/>
      </w:rPr>
    </w:lvl>
    <w:lvl w:ilvl="1" w:tplc="0409001B">
      <w:start w:val="1"/>
      <w:numFmt w:val="lowerRoman"/>
      <w:lvlText w:val="%2."/>
      <w:lvlJc w:val="righ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4" w15:restartNumberingAfterBreak="0">
    <w:nsid w:val="73C23805"/>
    <w:multiLevelType w:val="hybridMultilevel"/>
    <w:tmpl w:val="A17C79CC"/>
    <w:lvl w:ilvl="0" w:tplc="0C090001">
      <w:start w:val="1"/>
      <w:numFmt w:val="bullet"/>
      <w:lvlText w:val=""/>
      <w:lvlJc w:val="left"/>
      <w:pPr>
        <w:ind w:left="1296" w:hanging="360"/>
      </w:pPr>
      <w:rPr>
        <w:rFonts w:ascii="Symbol" w:hAnsi="Symbol" w:hint="default"/>
      </w:rPr>
    </w:lvl>
    <w:lvl w:ilvl="1" w:tplc="0C090003" w:tentative="1">
      <w:start w:val="1"/>
      <w:numFmt w:val="bullet"/>
      <w:lvlText w:val="o"/>
      <w:lvlJc w:val="left"/>
      <w:pPr>
        <w:ind w:left="2016" w:hanging="360"/>
      </w:pPr>
      <w:rPr>
        <w:rFonts w:ascii="Courier New" w:hAnsi="Courier New" w:cs="Courier New" w:hint="default"/>
      </w:rPr>
    </w:lvl>
    <w:lvl w:ilvl="2" w:tplc="0C090005" w:tentative="1">
      <w:start w:val="1"/>
      <w:numFmt w:val="bullet"/>
      <w:lvlText w:val=""/>
      <w:lvlJc w:val="left"/>
      <w:pPr>
        <w:ind w:left="2736" w:hanging="360"/>
      </w:pPr>
      <w:rPr>
        <w:rFonts w:ascii="Wingdings" w:hAnsi="Wingdings" w:hint="default"/>
      </w:rPr>
    </w:lvl>
    <w:lvl w:ilvl="3" w:tplc="0C090001" w:tentative="1">
      <w:start w:val="1"/>
      <w:numFmt w:val="bullet"/>
      <w:lvlText w:val=""/>
      <w:lvlJc w:val="left"/>
      <w:pPr>
        <w:ind w:left="3456" w:hanging="360"/>
      </w:pPr>
      <w:rPr>
        <w:rFonts w:ascii="Symbol" w:hAnsi="Symbol" w:hint="default"/>
      </w:rPr>
    </w:lvl>
    <w:lvl w:ilvl="4" w:tplc="0C090003" w:tentative="1">
      <w:start w:val="1"/>
      <w:numFmt w:val="bullet"/>
      <w:lvlText w:val="o"/>
      <w:lvlJc w:val="left"/>
      <w:pPr>
        <w:ind w:left="4176" w:hanging="360"/>
      </w:pPr>
      <w:rPr>
        <w:rFonts w:ascii="Courier New" w:hAnsi="Courier New" w:cs="Courier New" w:hint="default"/>
      </w:rPr>
    </w:lvl>
    <w:lvl w:ilvl="5" w:tplc="0C090005" w:tentative="1">
      <w:start w:val="1"/>
      <w:numFmt w:val="bullet"/>
      <w:lvlText w:val=""/>
      <w:lvlJc w:val="left"/>
      <w:pPr>
        <w:ind w:left="4896" w:hanging="360"/>
      </w:pPr>
      <w:rPr>
        <w:rFonts w:ascii="Wingdings" w:hAnsi="Wingdings" w:hint="default"/>
      </w:rPr>
    </w:lvl>
    <w:lvl w:ilvl="6" w:tplc="0C090001" w:tentative="1">
      <w:start w:val="1"/>
      <w:numFmt w:val="bullet"/>
      <w:lvlText w:val=""/>
      <w:lvlJc w:val="left"/>
      <w:pPr>
        <w:ind w:left="5616" w:hanging="360"/>
      </w:pPr>
      <w:rPr>
        <w:rFonts w:ascii="Symbol" w:hAnsi="Symbol" w:hint="default"/>
      </w:rPr>
    </w:lvl>
    <w:lvl w:ilvl="7" w:tplc="0C090003" w:tentative="1">
      <w:start w:val="1"/>
      <w:numFmt w:val="bullet"/>
      <w:lvlText w:val="o"/>
      <w:lvlJc w:val="left"/>
      <w:pPr>
        <w:ind w:left="6336" w:hanging="360"/>
      </w:pPr>
      <w:rPr>
        <w:rFonts w:ascii="Courier New" w:hAnsi="Courier New" w:cs="Courier New" w:hint="default"/>
      </w:rPr>
    </w:lvl>
    <w:lvl w:ilvl="8" w:tplc="0C090005" w:tentative="1">
      <w:start w:val="1"/>
      <w:numFmt w:val="bullet"/>
      <w:lvlText w:val=""/>
      <w:lvlJc w:val="left"/>
      <w:pPr>
        <w:ind w:left="7056" w:hanging="360"/>
      </w:pPr>
      <w:rPr>
        <w:rFonts w:ascii="Wingdings" w:hAnsi="Wingdings" w:hint="default"/>
      </w:rPr>
    </w:lvl>
  </w:abstractNum>
  <w:abstractNum w:abstractNumId="525" w15:restartNumberingAfterBreak="0">
    <w:nsid w:val="73FA2169"/>
    <w:multiLevelType w:val="hybridMultilevel"/>
    <w:tmpl w:val="C4B4C152"/>
    <w:lvl w:ilvl="0" w:tplc="0C09000F">
      <w:start w:val="1"/>
      <w:numFmt w:val="decimal"/>
      <w:lvlText w:val="%1."/>
      <w:lvlJc w:val="left"/>
      <w:pPr>
        <w:ind w:left="786"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6" w15:restartNumberingAfterBreak="0">
    <w:nsid w:val="742D3460"/>
    <w:multiLevelType w:val="hybridMultilevel"/>
    <w:tmpl w:val="22F698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7" w15:restartNumberingAfterBreak="0">
    <w:nsid w:val="749B2DF7"/>
    <w:multiLevelType w:val="multilevel"/>
    <w:tmpl w:val="2076AB90"/>
    <w:numStyleLink w:val="Style2"/>
  </w:abstractNum>
  <w:abstractNum w:abstractNumId="528" w15:restartNumberingAfterBreak="0">
    <w:nsid w:val="74A418A4"/>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529" w15:restartNumberingAfterBreak="0">
    <w:nsid w:val="74AA6679"/>
    <w:multiLevelType w:val="hybridMultilevel"/>
    <w:tmpl w:val="F432E8F8"/>
    <w:lvl w:ilvl="0" w:tplc="0958B7F0">
      <w:start w:val="1"/>
      <w:numFmt w:val="lowerRoman"/>
      <w:lvlText w:val="%1."/>
      <w:lvlJc w:val="right"/>
      <w:pPr>
        <w:ind w:left="720" w:hanging="360"/>
      </w:pPr>
      <w:rPr>
        <w:rFonts w:hint="default"/>
        <w:i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0" w15:restartNumberingAfterBreak="0">
    <w:nsid w:val="74EE28E9"/>
    <w:multiLevelType w:val="hybridMultilevel"/>
    <w:tmpl w:val="79D699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1" w15:restartNumberingAfterBreak="0">
    <w:nsid w:val="751574FA"/>
    <w:multiLevelType w:val="hybridMultilevel"/>
    <w:tmpl w:val="CB5ADDB4"/>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2" w15:restartNumberingAfterBreak="0">
    <w:nsid w:val="752424B0"/>
    <w:multiLevelType w:val="hybridMultilevel"/>
    <w:tmpl w:val="71369E3A"/>
    <w:lvl w:ilvl="0" w:tplc="0C090001">
      <w:start w:val="1"/>
      <w:numFmt w:val="bullet"/>
      <w:lvlText w:val=""/>
      <w:lvlJc w:val="left"/>
      <w:pPr>
        <w:ind w:left="1384" w:hanging="360"/>
      </w:pPr>
      <w:rPr>
        <w:rFonts w:ascii="Symbol" w:hAnsi="Symbol" w:hint="default"/>
      </w:rPr>
    </w:lvl>
    <w:lvl w:ilvl="1" w:tplc="0C090003" w:tentative="1">
      <w:start w:val="1"/>
      <w:numFmt w:val="bullet"/>
      <w:lvlText w:val="o"/>
      <w:lvlJc w:val="left"/>
      <w:pPr>
        <w:ind w:left="2104" w:hanging="360"/>
      </w:pPr>
      <w:rPr>
        <w:rFonts w:ascii="Courier New" w:hAnsi="Courier New" w:cs="Courier New" w:hint="default"/>
      </w:rPr>
    </w:lvl>
    <w:lvl w:ilvl="2" w:tplc="0C090005" w:tentative="1">
      <w:start w:val="1"/>
      <w:numFmt w:val="bullet"/>
      <w:lvlText w:val=""/>
      <w:lvlJc w:val="left"/>
      <w:pPr>
        <w:ind w:left="2824" w:hanging="360"/>
      </w:pPr>
      <w:rPr>
        <w:rFonts w:ascii="Wingdings" w:hAnsi="Wingdings" w:hint="default"/>
      </w:rPr>
    </w:lvl>
    <w:lvl w:ilvl="3" w:tplc="0C090001" w:tentative="1">
      <w:start w:val="1"/>
      <w:numFmt w:val="bullet"/>
      <w:lvlText w:val=""/>
      <w:lvlJc w:val="left"/>
      <w:pPr>
        <w:ind w:left="3544" w:hanging="360"/>
      </w:pPr>
      <w:rPr>
        <w:rFonts w:ascii="Symbol" w:hAnsi="Symbol" w:hint="default"/>
      </w:rPr>
    </w:lvl>
    <w:lvl w:ilvl="4" w:tplc="0C090003" w:tentative="1">
      <w:start w:val="1"/>
      <w:numFmt w:val="bullet"/>
      <w:lvlText w:val="o"/>
      <w:lvlJc w:val="left"/>
      <w:pPr>
        <w:ind w:left="4264" w:hanging="360"/>
      </w:pPr>
      <w:rPr>
        <w:rFonts w:ascii="Courier New" w:hAnsi="Courier New" w:cs="Courier New" w:hint="default"/>
      </w:rPr>
    </w:lvl>
    <w:lvl w:ilvl="5" w:tplc="0C090005" w:tentative="1">
      <w:start w:val="1"/>
      <w:numFmt w:val="bullet"/>
      <w:lvlText w:val=""/>
      <w:lvlJc w:val="left"/>
      <w:pPr>
        <w:ind w:left="4984" w:hanging="360"/>
      </w:pPr>
      <w:rPr>
        <w:rFonts w:ascii="Wingdings" w:hAnsi="Wingdings" w:hint="default"/>
      </w:rPr>
    </w:lvl>
    <w:lvl w:ilvl="6" w:tplc="0C090001" w:tentative="1">
      <w:start w:val="1"/>
      <w:numFmt w:val="bullet"/>
      <w:lvlText w:val=""/>
      <w:lvlJc w:val="left"/>
      <w:pPr>
        <w:ind w:left="5704" w:hanging="360"/>
      </w:pPr>
      <w:rPr>
        <w:rFonts w:ascii="Symbol" w:hAnsi="Symbol" w:hint="default"/>
      </w:rPr>
    </w:lvl>
    <w:lvl w:ilvl="7" w:tplc="0C090003" w:tentative="1">
      <w:start w:val="1"/>
      <w:numFmt w:val="bullet"/>
      <w:lvlText w:val="o"/>
      <w:lvlJc w:val="left"/>
      <w:pPr>
        <w:ind w:left="6424" w:hanging="360"/>
      </w:pPr>
      <w:rPr>
        <w:rFonts w:ascii="Courier New" w:hAnsi="Courier New" w:cs="Courier New" w:hint="default"/>
      </w:rPr>
    </w:lvl>
    <w:lvl w:ilvl="8" w:tplc="0C090005" w:tentative="1">
      <w:start w:val="1"/>
      <w:numFmt w:val="bullet"/>
      <w:lvlText w:val=""/>
      <w:lvlJc w:val="left"/>
      <w:pPr>
        <w:ind w:left="7144" w:hanging="360"/>
      </w:pPr>
      <w:rPr>
        <w:rFonts w:ascii="Wingdings" w:hAnsi="Wingdings" w:hint="default"/>
      </w:rPr>
    </w:lvl>
  </w:abstractNum>
  <w:abstractNum w:abstractNumId="533" w15:restartNumberingAfterBreak="0">
    <w:nsid w:val="75947F65"/>
    <w:multiLevelType w:val="multilevel"/>
    <w:tmpl w:val="37A880E2"/>
    <w:lvl w:ilvl="0">
      <w:start w:val="4"/>
      <w:numFmt w:val="decimal"/>
      <w:lvlText w:val="%1"/>
      <w:lvlJc w:val="left"/>
      <w:pPr>
        <w:ind w:left="435" w:hanging="435"/>
      </w:pPr>
      <w:rPr>
        <w:rFonts w:hint="default"/>
      </w:rPr>
    </w:lvl>
    <w:lvl w:ilvl="1">
      <w:start w:val="1"/>
      <w:numFmt w:val="decimal"/>
      <w:lvlText w:val="%1.%2"/>
      <w:lvlJc w:val="left"/>
      <w:pPr>
        <w:ind w:left="615" w:hanging="435"/>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534" w15:restartNumberingAfterBreak="0">
    <w:nsid w:val="760E42D0"/>
    <w:multiLevelType w:val="hybridMultilevel"/>
    <w:tmpl w:val="F704DC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5" w15:restartNumberingAfterBreak="0">
    <w:nsid w:val="767F259A"/>
    <w:multiLevelType w:val="hybridMultilevel"/>
    <w:tmpl w:val="6A8CF0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6" w15:restartNumberingAfterBreak="0">
    <w:nsid w:val="76B72EB1"/>
    <w:multiLevelType w:val="hybridMultilevel"/>
    <w:tmpl w:val="10F4E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7" w15:restartNumberingAfterBreak="0">
    <w:nsid w:val="76D11275"/>
    <w:multiLevelType w:val="hybridMultilevel"/>
    <w:tmpl w:val="71DA1D58"/>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8" w15:restartNumberingAfterBreak="0">
    <w:nsid w:val="76F84D28"/>
    <w:multiLevelType w:val="hybridMultilevel"/>
    <w:tmpl w:val="69B240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9" w15:restartNumberingAfterBreak="0">
    <w:nsid w:val="770429AA"/>
    <w:multiLevelType w:val="multilevel"/>
    <w:tmpl w:val="2076AB90"/>
    <w:numStyleLink w:val="Style2"/>
  </w:abstractNum>
  <w:abstractNum w:abstractNumId="540" w15:restartNumberingAfterBreak="0">
    <w:nsid w:val="772E61DE"/>
    <w:multiLevelType w:val="multilevel"/>
    <w:tmpl w:val="0DA027AA"/>
    <w:lvl w:ilvl="0">
      <w:start w:val="2"/>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541" w15:restartNumberingAfterBreak="0">
    <w:nsid w:val="773F05B7"/>
    <w:multiLevelType w:val="hybridMultilevel"/>
    <w:tmpl w:val="CFE0567A"/>
    <w:lvl w:ilvl="0" w:tplc="E04C620A">
      <w:start w:val="1"/>
      <w:numFmt w:val="lowerRoman"/>
      <w:lvlText w:val="%1."/>
      <w:lvlJc w:val="left"/>
      <w:pPr>
        <w:ind w:left="1200" w:hanging="720"/>
      </w:pPr>
      <w:rPr>
        <w:rFonts w:ascii="Calibri" w:eastAsia="Calibri" w:hAnsi="Calibri" w:cs="Calibri" w:hint="default"/>
        <w:spacing w:val="-1"/>
        <w:w w:val="100"/>
        <w:sz w:val="22"/>
        <w:szCs w:val="22"/>
      </w:rPr>
    </w:lvl>
    <w:lvl w:ilvl="1" w:tplc="75BC5208">
      <w:numFmt w:val="bullet"/>
      <w:lvlText w:val="•"/>
      <w:lvlJc w:val="left"/>
      <w:pPr>
        <w:ind w:left="2040" w:hanging="720"/>
      </w:pPr>
      <w:rPr>
        <w:rFonts w:hint="default"/>
      </w:rPr>
    </w:lvl>
    <w:lvl w:ilvl="2" w:tplc="50600972">
      <w:numFmt w:val="bullet"/>
      <w:lvlText w:val="•"/>
      <w:lvlJc w:val="left"/>
      <w:pPr>
        <w:ind w:left="2881" w:hanging="720"/>
      </w:pPr>
      <w:rPr>
        <w:rFonts w:hint="default"/>
      </w:rPr>
    </w:lvl>
    <w:lvl w:ilvl="3" w:tplc="C464EB32">
      <w:numFmt w:val="bullet"/>
      <w:lvlText w:val="•"/>
      <w:lvlJc w:val="left"/>
      <w:pPr>
        <w:ind w:left="3721" w:hanging="720"/>
      </w:pPr>
      <w:rPr>
        <w:rFonts w:hint="default"/>
      </w:rPr>
    </w:lvl>
    <w:lvl w:ilvl="4" w:tplc="614E69DA">
      <w:numFmt w:val="bullet"/>
      <w:lvlText w:val="•"/>
      <w:lvlJc w:val="left"/>
      <w:pPr>
        <w:ind w:left="4562" w:hanging="720"/>
      </w:pPr>
      <w:rPr>
        <w:rFonts w:hint="default"/>
      </w:rPr>
    </w:lvl>
    <w:lvl w:ilvl="5" w:tplc="449469A4">
      <w:numFmt w:val="bullet"/>
      <w:lvlText w:val="•"/>
      <w:lvlJc w:val="left"/>
      <w:pPr>
        <w:ind w:left="5403" w:hanging="720"/>
      </w:pPr>
      <w:rPr>
        <w:rFonts w:hint="default"/>
      </w:rPr>
    </w:lvl>
    <w:lvl w:ilvl="6" w:tplc="3C700D94">
      <w:numFmt w:val="bullet"/>
      <w:lvlText w:val="•"/>
      <w:lvlJc w:val="left"/>
      <w:pPr>
        <w:ind w:left="6243" w:hanging="720"/>
      </w:pPr>
      <w:rPr>
        <w:rFonts w:hint="default"/>
      </w:rPr>
    </w:lvl>
    <w:lvl w:ilvl="7" w:tplc="62364910">
      <w:numFmt w:val="bullet"/>
      <w:lvlText w:val="•"/>
      <w:lvlJc w:val="left"/>
      <w:pPr>
        <w:ind w:left="7084" w:hanging="720"/>
      </w:pPr>
      <w:rPr>
        <w:rFonts w:hint="default"/>
      </w:rPr>
    </w:lvl>
    <w:lvl w:ilvl="8" w:tplc="632AAFA8">
      <w:numFmt w:val="bullet"/>
      <w:lvlText w:val="•"/>
      <w:lvlJc w:val="left"/>
      <w:pPr>
        <w:ind w:left="7925" w:hanging="720"/>
      </w:pPr>
      <w:rPr>
        <w:rFonts w:hint="default"/>
      </w:rPr>
    </w:lvl>
  </w:abstractNum>
  <w:abstractNum w:abstractNumId="542" w15:restartNumberingAfterBreak="0">
    <w:nsid w:val="776825BB"/>
    <w:multiLevelType w:val="hybridMultilevel"/>
    <w:tmpl w:val="63CAD0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3" w15:restartNumberingAfterBreak="0">
    <w:nsid w:val="7799048F"/>
    <w:multiLevelType w:val="hybridMultilevel"/>
    <w:tmpl w:val="40E041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4" w15:restartNumberingAfterBreak="0">
    <w:nsid w:val="77FA09A7"/>
    <w:multiLevelType w:val="hybridMultilevel"/>
    <w:tmpl w:val="F1FE40FE"/>
    <w:lvl w:ilvl="0" w:tplc="0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5" w15:restartNumberingAfterBreak="0">
    <w:nsid w:val="78455332"/>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546" w15:restartNumberingAfterBreak="0">
    <w:nsid w:val="787E4008"/>
    <w:multiLevelType w:val="multilevel"/>
    <w:tmpl w:val="2076AB90"/>
    <w:numStyleLink w:val="Style2"/>
  </w:abstractNum>
  <w:abstractNum w:abstractNumId="547" w15:restartNumberingAfterBreak="0">
    <w:nsid w:val="788A2359"/>
    <w:multiLevelType w:val="hybridMultilevel"/>
    <w:tmpl w:val="1D72E5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8" w15:restartNumberingAfterBreak="0">
    <w:nsid w:val="78A10A51"/>
    <w:multiLevelType w:val="hybridMultilevel"/>
    <w:tmpl w:val="F6E2ED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9" w15:restartNumberingAfterBreak="0">
    <w:nsid w:val="78A80562"/>
    <w:multiLevelType w:val="multilevel"/>
    <w:tmpl w:val="2076AB90"/>
    <w:lvl w:ilvl="0">
      <w:start w:val="1"/>
      <w:numFmt w:val="decimal"/>
      <w:lvlText w:val="P%1"/>
      <w:lvlJc w:val="left"/>
      <w:pPr>
        <w:ind w:left="720" w:hanging="363"/>
      </w:pPr>
      <w:rPr>
        <w:rFonts w:ascii="Avenir LT 85 Heavy" w:hAnsi="Avenir LT 85 Heavy" w:hint="default"/>
        <w:sz w:val="20"/>
      </w:rPr>
    </w:lvl>
    <w:lvl w:ilvl="1">
      <w:start w:val="1"/>
      <w:numFmt w:val="decimal"/>
      <w:lvlText w:val="P%1.%2"/>
      <w:lvlJc w:val="left"/>
      <w:pPr>
        <w:ind w:left="720" w:hanging="363"/>
      </w:pPr>
      <w:rPr>
        <w:rFonts w:ascii="Avenir LT 85 Heavy" w:hAnsi="Avenir LT 85 Heavy" w:hint="default"/>
        <w:sz w:val="20"/>
      </w:rPr>
    </w:lvl>
    <w:lvl w:ilvl="2">
      <w:start w:val="1"/>
      <w:numFmt w:val="lowerRoman"/>
      <w:lvlText w:val="%3)"/>
      <w:lvlJc w:val="left"/>
      <w:pPr>
        <w:ind w:left="1434" w:hanging="363"/>
      </w:pPr>
      <w:rPr>
        <w:rFonts w:hint="default"/>
      </w:rPr>
    </w:lvl>
    <w:lvl w:ilvl="3">
      <w:start w:val="1"/>
      <w:numFmt w:val="decimal"/>
      <w:lvlText w:val="(%4)"/>
      <w:lvlJc w:val="left"/>
      <w:pPr>
        <w:ind w:left="1791" w:hanging="363"/>
      </w:pPr>
      <w:rPr>
        <w:rFonts w:hint="default"/>
      </w:rPr>
    </w:lvl>
    <w:lvl w:ilvl="4">
      <w:start w:val="1"/>
      <w:numFmt w:val="lowerLetter"/>
      <w:lvlText w:val="(%5)"/>
      <w:lvlJc w:val="left"/>
      <w:pPr>
        <w:ind w:left="2148" w:hanging="363"/>
      </w:pPr>
      <w:rPr>
        <w:rFonts w:hint="default"/>
      </w:rPr>
    </w:lvl>
    <w:lvl w:ilvl="5">
      <w:start w:val="1"/>
      <w:numFmt w:val="lowerRoman"/>
      <w:lvlText w:val="(%6)"/>
      <w:lvlJc w:val="left"/>
      <w:pPr>
        <w:ind w:left="2505" w:hanging="363"/>
      </w:pPr>
      <w:rPr>
        <w:rFonts w:hint="default"/>
      </w:rPr>
    </w:lvl>
    <w:lvl w:ilvl="6">
      <w:start w:val="1"/>
      <w:numFmt w:val="decimal"/>
      <w:lvlText w:val="%7."/>
      <w:lvlJc w:val="left"/>
      <w:pPr>
        <w:ind w:left="2862" w:hanging="363"/>
      </w:pPr>
      <w:rPr>
        <w:rFonts w:hint="default"/>
      </w:rPr>
    </w:lvl>
    <w:lvl w:ilvl="7">
      <w:start w:val="1"/>
      <w:numFmt w:val="lowerLetter"/>
      <w:lvlText w:val="%8."/>
      <w:lvlJc w:val="left"/>
      <w:pPr>
        <w:ind w:left="3219" w:hanging="363"/>
      </w:pPr>
      <w:rPr>
        <w:rFonts w:hint="default"/>
      </w:rPr>
    </w:lvl>
    <w:lvl w:ilvl="8">
      <w:start w:val="1"/>
      <w:numFmt w:val="lowerRoman"/>
      <w:lvlText w:val="%9."/>
      <w:lvlJc w:val="left"/>
      <w:pPr>
        <w:ind w:left="3576" w:hanging="363"/>
      </w:pPr>
      <w:rPr>
        <w:rFonts w:hint="default"/>
      </w:rPr>
    </w:lvl>
  </w:abstractNum>
  <w:abstractNum w:abstractNumId="550" w15:restartNumberingAfterBreak="0">
    <w:nsid w:val="78BC28DF"/>
    <w:multiLevelType w:val="multilevel"/>
    <w:tmpl w:val="2076AB90"/>
    <w:numStyleLink w:val="Style2"/>
  </w:abstractNum>
  <w:abstractNum w:abstractNumId="551" w15:restartNumberingAfterBreak="0">
    <w:nsid w:val="79481421"/>
    <w:multiLevelType w:val="hybridMultilevel"/>
    <w:tmpl w:val="B90A27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2" w15:restartNumberingAfterBreak="0">
    <w:nsid w:val="79AF103F"/>
    <w:multiLevelType w:val="hybridMultilevel"/>
    <w:tmpl w:val="0C6CE33A"/>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3" w15:restartNumberingAfterBreak="0">
    <w:nsid w:val="79FB5D08"/>
    <w:multiLevelType w:val="hybridMultilevel"/>
    <w:tmpl w:val="9EEE8352"/>
    <w:lvl w:ilvl="0" w:tplc="89CA93EA">
      <w:numFmt w:val="bullet"/>
      <w:lvlText w:val=""/>
      <w:lvlJc w:val="left"/>
      <w:pPr>
        <w:ind w:left="1253" w:hanging="569"/>
      </w:pPr>
      <w:rPr>
        <w:rFonts w:ascii="Symbol" w:eastAsia="Symbol" w:hAnsi="Symbol" w:cs="Symbol" w:hint="default"/>
        <w:b w:val="0"/>
        <w:bCs w:val="0"/>
        <w:i w:val="0"/>
        <w:iCs w:val="0"/>
        <w:spacing w:val="0"/>
        <w:w w:val="100"/>
        <w:sz w:val="22"/>
        <w:szCs w:val="22"/>
        <w:lang w:val="en-US" w:eastAsia="en-US" w:bidi="ar-SA"/>
      </w:rPr>
    </w:lvl>
    <w:lvl w:ilvl="1" w:tplc="E966840E">
      <w:numFmt w:val="bullet"/>
      <w:lvlText w:val="•"/>
      <w:lvlJc w:val="left"/>
      <w:pPr>
        <w:ind w:left="2054" w:hanging="569"/>
      </w:pPr>
      <w:rPr>
        <w:rFonts w:hint="default"/>
        <w:lang w:val="en-US" w:eastAsia="en-US" w:bidi="ar-SA"/>
      </w:rPr>
    </w:lvl>
    <w:lvl w:ilvl="2" w:tplc="86783690">
      <w:numFmt w:val="bullet"/>
      <w:lvlText w:val="•"/>
      <w:lvlJc w:val="left"/>
      <w:pPr>
        <w:ind w:left="2849" w:hanging="569"/>
      </w:pPr>
      <w:rPr>
        <w:rFonts w:hint="default"/>
        <w:lang w:val="en-US" w:eastAsia="en-US" w:bidi="ar-SA"/>
      </w:rPr>
    </w:lvl>
    <w:lvl w:ilvl="3" w:tplc="AC76A356">
      <w:numFmt w:val="bullet"/>
      <w:lvlText w:val="•"/>
      <w:lvlJc w:val="left"/>
      <w:pPr>
        <w:ind w:left="3643" w:hanging="569"/>
      </w:pPr>
      <w:rPr>
        <w:rFonts w:hint="default"/>
        <w:lang w:val="en-US" w:eastAsia="en-US" w:bidi="ar-SA"/>
      </w:rPr>
    </w:lvl>
    <w:lvl w:ilvl="4" w:tplc="99447032">
      <w:numFmt w:val="bullet"/>
      <w:lvlText w:val="•"/>
      <w:lvlJc w:val="left"/>
      <w:pPr>
        <w:ind w:left="4438" w:hanging="569"/>
      </w:pPr>
      <w:rPr>
        <w:rFonts w:hint="default"/>
        <w:lang w:val="en-US" w:eastAsia="en-US" w:bidi="ar-SA"/>
      </w:rPr>
    </w:lvl>
    <w:lvl w:ilvl="5" w:tplc="8EC83066">
      <w:numFmt w:val="bullet"/>
      <w:lvlText w:val="•"/>
      <w:lvlJc w:val="left"/>
      <w:pPr>
        <w:ind w:left="5233" w:hanging="569"/>
      </w:pPr>
      <w:rPr>
        <w:rFonts w:hint="default"/>
        <w:lang w:val="en-US" w:eastAsia="en-US" w:bidi="ar-SA"/>
      </w:rPr>
    </w:lvl>
    <w:lvl w:ilvl="6" w:tplc="419E9CD4">
      <w:numFmt w:val="bullet"/>
      <w:lvlText w:val="•"/>
      <w:lvlJc w:val="left"/>
      <w:pPr>
        <w:ind w:left="6027" w:hanging="569"/>
      </w:pPr>
      <w:rPr>
        <w:rFonts w:hint="default"/>
        <w:lang w:val="en-US" w:eastAsia="en-US" w:bidi="ar-SA"/>
      </w:rPr>
    </w:lvl>
    <w:lvl w:ilvl="7" w:tplc="217AA3CA">
      <w:numFmt w:val="bullet"/>
      <w:lvlText w:val="•"/>
      <w:lvlJc w:val="left"/>
      <w:pPr>
        <w:ind w:left="6822" w:hanging="569"/>
      </w:pPr>
      <w:rPr>
        <w:rFonts w:hint="default"/>
        <w:lang w:val="en-US" w:eastAsia="en-US" w:bidi="ar-SA"/>
      </w:rPr>
    </w:lvl>
    <w:lvl w:ilvl="8" w:tplc="1F1E3764">
      <w:numFmt w:val="bullet"/>
      <w:lvlText w:val="•"/>
      <w:lvlJc w:val="left"/>
      <w:pPr>
        <w:ind w:left="7617" w:hanging="569"/>
      </w:pPr>
      <w:rPr>
        <w:rFonts w:hint="default"/>
        <w:lang w:val="en-US" w:eastAsia="en-US" w:bidi="ar-SA"/>
      </w:rPr>
    </w:lvl>
  </w:abstractNum>
  <w:abstractNum w:abstractNumId="554" w15:restartNumberingAfterBreak="0">
    <w:nsid w:val="7A8F007F"/>
    <w:multiLevelType w:val="hybridMultilevel"/>
    <w:tmpl w:val="6DAAA118"/>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5" w15:restartNumberingAfterBreak="0">
    <w:nsid w:val="7AA96A52"/>
    <w:multiLevelType w:val="hybridMultilevel"/>
    <w:tmpl w:val="3F945A7E"/>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6" w15:restartNumberingAfterBreak="0">
    <w:nsid w:val="7AB65A4F"/>
    <w:multiLevelType w:val="singleLevel"/>
    <w:tmpl w:val="0409000F"/>
    <w:lvl w:ilvl="0">
      <w:start w:val="5"/>
      <w:numFmt w:val="decimal"/>
      <w:lvlText w:val="%1."/>
      <w:lvlJc w:val="left"/>
      <w:pPr>
        <w:tabs>
          <w:tab w:val="num" w:pos="360"/>
        </w:tabs>
        <w:ind w:left="360" w:hanging="360"/>
      </w:pPr>
      <w:rPr>
        <w:rFonts w:hint="default"/>
      </w:rPr>
    </w:lvl>
  </w:abstractNum>
  <w:abstractNum w:abstractNumId="557" w15:restartNumberingAfterBreak="0">
    <w:nsid w:val="7AC370FB"/>
    <w:multiLevelType w:val="hybridMultilevel"/>
    <w:tmpl w:val="4EBE45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8" w15:restartNumberingAfterBreak="0">
    <w:nsid w:val="7AD058E6"/>
    <w:multiLevelType w:val="hybridMultilevel"/>
    <w:tmpl w:val="8FBE0DAA"/>
    <w:lvl w:ilvl="0" w:tplc="FE52F106">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7B053E40"/>
    <w:multiLevelType w:val="hybridMultilevel"/>
    <w:tmpl w:val="A934E210"/>
    <w:lvl w:ilvl="0" w:tplc="0C090001">
      <w:start w:val="1"/>
      <w:numFmt w:val="bullet"/>
      <w:lvlText w:val=""/>
      <w:lvlJc w:val="left"/>
      <w:pPr>
        <w:ind w:left="781" w:hanging="360"/>
      </w:pPr>
      <w:rPr>
        <w:rFonts w:ascii="Symbol" w:hAnsi="Symbol" w:hint="default"/>
      </w:rPr>
    </w:lvl>
    <w:lvl w:ilvl="1" w:tplc="0C090003" w:tentative="1">
      <w:start w:val="1"/>
      <w:numFmt w:val="bullet"/>
      <w:lvlText w:val="o"/>
      <w:lvlJc w:val="left"/>
      <w:pPr>
        <w:ind w:left="1501" w:hanging="360"/>
      </w:pPr>
      <w:rPr>
        <w:rFonts w:ascii="Courier New" w:hAnsi="Courier New" w:cs="Courier New" w:hint="default"/>
      </w:rPr>
    </w:lvl>
    <w:lvl w:ilvl="2" w:tplc="0C090005" w:tentative="1">
      <w:start w:val="1"/>
      <w:numFmt w:val="bullet"/>
      <w:lvlText w:val=""/>
      <w:lvlJc w:val="left"/>
      <w:pPr>
        <w:ind w:left="2221" w:hanging="360"/>
      </w:pPr>
      <w:rPr>
        <w:rFonts w:ascii="Wingdings" w:hAnsi="Wingdings" w:hint="default"/>
      </w:rPr>
    </w:lvl>
    <w:lvl w:ilvl="3" w:tplc="0C090001" w:tentative="1">
      <w:start w:val="1"/>
      <w:numFmt w:val="bullet"/>
      <w:lvlText w:val=""/>
      <w:lvlJc w:val="left"/>
      <w:pPr>
        <w:ind w:left="2941" w:hanging="360"/>
      </w:pPr>
      <w:rPr>
        <w:rFonts w:ascii="Symbol" w:hAnsi="Symbol" w:hint="default"/>
      </w:rPr>
    </w:lvl>
    <w:lvl w:ilvl="4" w:tplc="0C090003" w:tentative="1">
      <w:start w:val="1"/>
      <w:numFmt w:val="bullet"/>
      <w:lvlText w:val="o"/>
      <w:lvlJc w:val="left"/>
      <w:pPr>
        <w:ind w:left="3661" w:hanging="360"/>
      </w:pPr>
      <w:rPr>
        <w:rFonts w:ascii="Courier New" w:hAnsi="Courier New" w:cs="Courier New" w:hint="default"/>
      </w:rPr>
    </w:lvl>
    <w:lvl w:ilvl="5" w:tplc="0C090005" w:tentative="1">
      <w:start w:val="1"/>
      <w:numFmt w:val="bullet"/>
      <w:lvlText w:val=""/>
      <w:lvlJc w:val="left"/>
      <w:pPr>
        <w:ind w:left="4381" w:hanging="360"/>
      </w:pPr>
      <w:rPr>
        <w:rFonts w:ascii="Wingdings" w:hAnsi="Wingdings" w:hint="default"/>
      </w:rPr>
    </w:lvl>
    <w:lvl w:ilvl="6" w:tplc="0C090001" w:tentative="1">
      <w:start w:val="1"/>
      <w:numFmt w:val="bullet"/>
      <w:lvlText w:val=""/>
      <w:lvlJc w:val="left"/>
      <w:pPr>
        <w:ind w:left="5101" w:hanging="360"/>
      </w:pPr>
      <w:rPr>
        <w:rFonts w:ascii="Symbol" w:hAnsi="Symbol" w:hint="default"/>
      </w:rPr>
    </w:lvl>
    <w:lvl w:ilvl="7" w:tplc="0C090003" w:tentative="1">
      <w:start w:val="1"/>
      <w:numFmt w:val="bullet"/>
      <w:lvlText w:val="o"/>
      <w:lvlJc w:val="left"/>
      <w:pPr>
        <w:ind w:left="5821" w:hanging="360"/>
      </w:pPr>
      <w:rPr>
        <w:rFonts w:ascii="Courier New" w:hAnsi="Courier New" w:cs="Courier New" w:hint="default"/>
      </w:rPr>
    </w:lvl>
    <w:lvl w:ilvl="8" w:tplc="0C090005" w:tentative="1">
      <w:start w:val="1"/>
      <w:numFmt w:val="bullet"/>
      <w:lvlText w:val=""/>
      <w:lvlJc w:val="left"/>
      <w:pPr>
        <w:ind w:left="6541" w:hanging="360"/>
      </w:pPr>
      <w:rPr>
        <w:rFonts w:ascii="Wingdings" w:hAnsi="Wingdings" w:hint="default"/>
      </w:rPr>
    </w:lvl>
  </w:abstractNum>
  <w:abstractNum w:abstractNumId="560" w15:restartNumberingAfterBreak="0">
    <w:nsid w:val="7B2750FC"/>
    <w:multiLevelType w:val="hybridMultilevel"/>
    <w:tmpl w:val="511E6FD8"/>
    <w:lvl w:ilvl="0" w:tplc="37984E44">
      <w:numFmt w:val="bullet"/>
      <w:lvlText w:val="•"/>
      <w:lvlJc w:val="left"/>
      <w:pPr>
        <w:ind w:left="828" w:hanging="281"/>
      </w:pPr>
      <w:rPr>
        <w:rFonts w:ascii="Calibri" w:eastAsia="Calibri" w:hAnsi="Calibri" w:cs="Calibri" w:hint="default"/>
        <w:w w:val="100"/>
        <w:sz w:val="22"/>
        <w:szCs w:val="22"/>
        <w:lang w:val="en-AU" w:eastAsia="en-AU" w:bidi="en-AU"/>
      </w:rPr>
    </w:lvl>
    <w:lvl w:ilvl="1" w:tplc="E7B6F4FE">
      <w:numFmt w:val="bullet"/>
      <w:lvlText w:val="•"/>
      <w:lvlJc w:val="left"/>
      <w:pPr>
        <w:ind w:left="1698" w:hanging="281"/>
      </w:pPr>
      <w:rPr>
        <w:rFonts w:hint="default"/>
        <w:lang w:val="en-AU" w:eastAsia="en-AU" w:bidi="en-AU"/>
      </w:rPr>
    </w:lvl>
    <w:lvl w:ilvl="2" w:tplc="4AD4FE3A">
      <w:numFmt w:val="bullet"/>
      <w:lvlText w:val="•"/>
      <w:lvlJc w:val="left"/>
      <w:pPr>
        <w:ind w:left="2577" w:hanging="281"/>
      </w:pPr>
      <w:rPr>
        <w:rFonts w:hint="default"/>
        <w:lang w:val="en-AU" w:eastAsia="en-AU" w:bidi="en-AU"/>
      </w:rPr>
    </w:lvl>
    <w:lvl w:ilvl="3" w:tplc="8B8A9A9C">
      <w:numFmt w:val="bullet"/>
      <w:lvlText w:val="•"/>
      <w:lvlJc w:val="left"/>
      <w:pPr>
        <w:ind w:left="3455" w:hanging="281"/>
      </w:pPr>
      <w:rPr>
        <w:rFonts w:hint="default"/>
        <w:lang w:val="en-AU" w:eastAsia="en-AU" w:bidi="en-AU"/>
      </w:rPr>
    </w:lvl>
    <w:lvl w:ilvl="4" w:tplc="BE1CBF72">
      <w:numFmt w:val="bullet"/>
      <w:lvlText w:val="•"/>
      <w:lvlJc w:val="left"/>
      <w:pPr>
        <w:ind w:left="4334" w:hanging="281"/>
      </w:pPr>
      <w:rPr>
        <w:rFonts w:hint="default"/>
        <w:lang w:val="en-AU" w:eastAsia="en-AU" w:bidi="en-AU"/>
      </w:rPr>
    </w:lvl>
    <w:lvl w:ilvl="5" w:tplc="24CAE4B2">
      <w:numFmt w:val="bullet"/>
      <w:lvlText w:val="•"/>
      <w:lvlJc w:val="left"/>
      <w:pPr>
        <w:ind w:left="5213" w:hanging="281"/>
      </w:pPr>
      <w:rPr>
        <w:rFonts w:hint="default"/>
        <w:lang w:val="en-AU" w:eastAsia="en-AU" w:bidi="en-AU"/>
      </w:rPr>
    </w:lvl>
    <w:lvl w:ilvl="6" w:tplc="3B50FE3A">
      <w:numFmt w:val="bullet"/>
      <w:lvlText w:val="•"/>
      <w:lvlJc w:val="left"/>
      <w:pPr>
        <w:ind w:left="6091" w:hanging="281"/>
      </w:pPr>
      <w:rPr>
        <w:rFonts w:hint="default"/>
        <w:lang w:val="en-AU" w:eastAsia="en-AU" w:bidi="en-AU"/>
      </w:rPr>
    </w:lvl>
    <w:lvl w:ilvl="7" w:tplc="C14AE8B6">
      <w:numFmt w:val="bullet"/>
      <w:lvlText w:val="•"/>
      <w:lvlJc w:val="left"/>
      <w:pPr>
        <w:ind w:left="6970" w:hanging="281"/>
      </w:pPr>
      <w:rPr>
        <w:rFonts w:hint="default"/>
        <w:lang w:val="en-AU" w:eastAsia="en-AU" w:bidi="en-AU"/>
      </w:rPr>
    </w:lvl>
    <w:lvl w:ilvl="8" w:tplc="49E2F804">
      <w:numFmt w:val="bullet"/>
      <w:lvlText w:val="•"/>
      <w:lvlJc w:val="left"/>
      <w:pPr>
        <w:ind w:left="7849" w:hanging="281"/>
      </w:pPr>
      <w:rPr>
        <w:rFonts w:hint="default"/>
        <w:lang w:val="en-AU" w:eastAsia="en-AU" w:bidi="en-AU"/>
      </w:rPr>
    </w:lvl>
  </w:abstractNum>
  <w:abstractNum w:abstractNumId="561" w15:restartNumberingAfterBreak="0">
    <w:nsid w:val="7B5B1EC0"/>
    <w:multiLevelType w:val="hybridMultilevel"/>
    <w:tmpl w:val="D5F6BA66"/>
    <w:lvl w:ilvl="0" w:tplc="04090019">
      <w:start w:val="1"/>
      <w:numFmt w:val="lowerLetter"/>
      <w:lvlText w:val="%1."/>
      <w:lvlJc w:val="left"/>
      <w:pPr>
        <w:ind w:left="1080" w:hanging="360"/>
      </w:pPr>
      <w:rPr>
        <w:rFonts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62" w15:restartNumberingAfterBreak="0">
    <w:nsid w:val="7B8E3A68"/>
    <w:multiLevelType w:val="multilevel"/>
    <w:tmpl w:val="2076AB90"/>
    <w:numStyleLink w:val="Style2"/>
  </w:abstractNum>
  <w:abstractNum w:abstractNumId="563" w15:restartNumberingAfterBreak="0">
    <w:nsid w:val="7BD603DB"/>
    <w:multiLevelType w:val="hybridMultilevel"/>
    <w:tmpl w:val="5058B252"/>
    <w:lvl w:ilvl="0" w:tplc="987439B4">
      <w:start w:val="1"/>
      <w:numFmt w:val="decimal"/>
      <w:lvlText w:val="%1."/>
      <w:lvlJc w:val="left"/>
      <w:pPr>
        <w:ind w:left="1580" w:hanging="157"/>
      </w:pPr>
      <w:rPr>
        <w:rFonts w:ascii="Arial" w:eastAsia="Arial" w:hAnsi="Arial" w:cs="Arial" w:hint="default"/>
        <w:w w:val="100"/>
        <w:sz w:val="14"/>
        <w:szCs w:val="14"/>
        <w:lang w:val="en-AU" w:eastAsia="en-US" w:bidi="ar-SA"/>
      </w:rPr>
    </w:lvl>
    <w:lvl w:ilvl="1" w:tplc="40E8964C">
      <w:numFmt w:val="bullet"/>
      <w:lvlText w:val="•"/>
      <w:lvlJc w:val="left"/>
      <w:pPr>
        <w:ind w:left="2271" w:hanging="157"/>
      </w:pPr>
      <w:rPr>
        <w:rFonts w:hint="default"/>
        <w:lang w:val="en-AU" w:eastAsia="en-US" w:bidi="ar-SA"/>
      </w:rPr>
    </w:lvl>
    <w:lvl w:ilvl="2" w:tplc="50FC38CA">
      <w:numFmt w:val="bullet"/>
      <w:lvlText w:val="•"/>
      <w:lvlJc w:val="left"/>
      <w:pPr>
        <w:ind w:left="2963" w:hanging="157"/>
      </w:pPr>
      <w:rPr>
        <w:rFonts w:hint="default"/>
        <w:lang w:val="en-AU" w:eastAsia="en-US" w:bidi="ar-SA"/>
      </w:rPr>
    </w:lvl>
    <w:lvl w:ilvl="3" w:tplc="228E0224">
      <w:numFmt w:val="bullet"/>
      <w:lvlText w:val="•"/>
      <w:lvlJc w:val="left"/>
      <w:pPr>
        <w:ind w:left="3654" w:hanging="157"/>
      </w:pPr>
      <w:rPr>
        <w:rFonts w:hint="default"/>
        <w:lang w:val="en-AU" w:eastAsia="en-US" w:bidi="ar-SA"/>
      </w:rPr>
    </w:lvl>
    <w:lvl w:ilvl="4" w:tplc="70BC63AC">
      <w:numFmt w:val="bullet"/>
      <w:lvlText w:val="•"/>
      <w:lvlJc w:val="left"/>
      <w:pPr>
        <w:ind w:left="4346" w:hanging="157"/>
      </w:pPr>
      <w:rPr>
        <w:rFonts w:hint="default"/>
        <w:lang w:val="en-AU" w:eastAsia="en-US" w:bidi="ar-SA"/>
      </w:rPr>
    </w:lvl>
    <w:lvl w:ilvl="5" w:tplc="160AC53E">
      <w:numFmt w:val="bullet"/>
      <w:lvlText w:val="•"/>
      <w:lvlJc w:val="left"/>
      <w:pPr>
        <w:ind w:left="5038" w:hanging="157"/>
      </w:pPr>
      <w:rPr>
        <w:rFonts w:hint="default"/>
        <w:lang w:val="en-AU" w:eastAsia="en-US" w:bidi="ar-SA"/>
      </w:rPr>
    </w:lvl>
    <w:lvl w:ilvl="6" w:tplc="813682B8">
      <w:numFmt w:val="bullet"/>
      <w:lvlText w:val="•"/>
      <w:lvlJc w:val="left"/>
      <w:pPr>
        <w:ind w:left="5729" w:hanging="157"/>
      </w:pPr>
      <w:rPr>
        <w:rFonts w:hint="default"/>
        <w:lang w:val="en-AU" w:eastAsia="en-US" w:bidi="ar-SA"/>
      </w:rPr>
    </w:lvl>
    <w:lvl w:ilvl="7" w:tplc="45765644">
      <w:numFmt w:val="bullet"/>
      <w:lvlText w:val="•"/>
      <w:lvlJc w:val="left"/>
      <w:pPr>
        <w:ind w:left="6421" w:hanging="157"/>
      </w:pPr>
      <w:rPr>
        <w:rFonts w:hint="default"/>
        <w:lang w:val="en-AU" w:eastAsia="en-US" w:bidi="ar-SA"/>
      </w:rPr>
    </w:lvl>
    <w:lvl w:ilvl="8" w:tplc="DA4E7B7A">
      <w:numFmt w:val="bullet"/>
      <w:lvlText w:val="•"/>
      <w:lvlJc w:val="left"/>
      <w:pPr>
        <w:ind w:left="7112" w:hanging="157"/>
      </w:pPr>
      <w:rPr>
        <w:rFonts w:hint="default"/>
        <w:lang w:val="en-AU" w:eastAsia="en-US" w:bidi="ar-SA"/>
      </w:rPr>
    </w:lvl>
  </w:abstractNum>
  <w:abstractNum w:abstractNumId="564" w15:restartNumberingAfterBreak="0">
    <w:nsid w:val="7C7B5353"/>
    <w:multiLevelType w:val="hybridMultilevel"/>
    <w:tmpl w:val="A54CEB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5" w15:restartNumberingAfterBreak="0">
    <w:nsid w:val="7D5D23BB"/>
    <w:multiLevelType w:val="hybridMultilevel"/>
    <w:tmpl w:val="F364EFC2"/>
    <w:lvl w:ilvl="0" w:tplc="0C090001">
      <w:start w:val="1"/>
      <w:numFmt w:val="bullet"/>
      <w:lvlText w:val=""/>
      <w:lvlJc w:val="left"/>
      <w:pPr>
        <w:ind w:left="1636" w:hanging="360"/>
      </w:pPr>
      <w:rPr>
        <w:rFonts w:ascii="Symbol" w:hAnsi="Symbol" w:hint="default"/>
      </w:rPr>
    </w:lvl>
    <w:lvl w:ilvl="1" w:tplc="0C090003" w:tentative="1">
      <w:start w:val="1"/>
      <w:numFmt w:val="bullet"/>
      <w:lvlText w:val="o"/>
      <w:lvlJc w:val="left"/>
      <w:pPr>
        <w:ind w:left="2356" w:hanging="360"/>
      </w:pPr>
      <w:rPr>
        <w:rFonts w:ascii="Courier New" w:hAnsi="Courier New" w:cs="Courier New" w:hint="default"/>
      </w:rPr>
    </w:lvl>
    <w:lvl w:ilvl="2" w:tplc="0C090005" w:tentative="1">
      <w:start w:val="1"/>
      <w:numFmt w:val="bullet"/>
      <w:lvlText w:val=""/>
      <w:lvlJc w:val="left"/>
      <w:pPr>
        <w:ind w:left="3076" w:hanging="360"/>
      </w:pPr>
      <w:rPr>
        <w:rFonts w:ascii="Wingdings" w:hAnsi="Wingdings" w:hint="default"/>
      </w:rPr>
    </w:lvl>
    <w:lvl w:ilvl="3" w:tplc="0C090001" w:tentative="1">
      <w:start w:val="1"/>
      <w:numFmt w:val="bullet"/>
      <w:lvlText w:val=""/>
      <w:lvlJc w:val="left"/>
      <w:pPr>
        <w:ind w:left="3796" w:hanging="360"/>
      </w:pPr>
      <w:rPr>
        <w:rFonts w:ascii="Symbol" w:hAnsi="Symbol" w:hint="default"/>
      </w:rPr>
    </w:lvl>
    <w:lvl w:ilvl="4" w:tplc="0C090003" w:tentative="1">
      <w:start w:val="1"/>
      <w:numFmt w:val="bullet"/>
      <w:lvlText w:val="o"/>
      <w:lvlJc w:val="left"/>
      <w:pPr>
        <w:ind w:left="4516" w:hanging="360"/>
      </w:pPr>
      <w:rPr>
        <w:rFonts w:ascii="Courier New" w:hAnsi="Courier New" w:cs="Courier New" w:hint="default"/>
      </w:rPr>
    </w:lvl>
    <w:lvl w:ilvl="5" w:tplc="0C090005" w:tentative="1">
      <w:start w:val="1"/>
      <w:numFmt w:val="bullet"/>
      <w:lvlText w:val=""/>
      <w:lvlJc w:val="left"/>
      <w:pPr>
        <w:ind w:left="5236" w:hanging="360"/>
      </w:pPr>
      <w:rPr>
        <w:rFonts w:ascii="Wingdings" w:hAnsi="Wingdings" w:hint="default"/>
      </w:rPr>
    </w:lvl>
    <w:lvl w:ilvl="6" w:tplc="0C090001" w:tentative="1">
      <w:start w:val="1"/>
      <w:numFmt w:val="bullet"/>
      <w:lvlText w:val=""/>
      <w:lvlJc w:val="left"/>
      <w:pPr>
        <w:ind w:left="5956" w:hanging="360"/>
      </w:pPr>
      <w:rPr>
        <w:rFonts w:ascii="Symbol" w:hAnsi="Symbol" w:hint="default"/>
      </w:rPr>
    </w:lvl>
    <w:lvl w:ilvl="7" w:tplc="0C090003" w:tentative="1">
      <w:start w:val="1"/>
      <w:numFmt w:val="bullet"/>
      <w:lvlText w:val="o"/>
      <w:lvlJc w:val="left"/>
      <w:pPr>
        <w:ind w:left="6676" w:hanging="360"/>
      </w:pPr>
      <w:rPr>
        <w:rFonts w:ascii="Courier New" w:hAnsi="Courier New" w:cs="Courier New" w:hint="default"/>
      </w:rPr>
    </w:lvl>
    <w:lvl w:ilvl="8" w:tplc="0C090005" w:tentative="1">
      <w:start w:val="1"/>
      <w:numFmt w:val="bullet"/>
      <w:lvlText w:val=""/>
      <w:lvlJc w:val="left"/>
      <w:pPr>
        <w:ind w:left="7396" w:hanging="360"/>
      </w:pPr>
      <w:rPr>
        <w:rFonts w:ascii="Wingdings" w:hAnsi="Wingdings" w:hint="default"/>
      </w:rPr>
    </w:lvl>
  </w:abstractNum>
  <w:abstractNum w:abstractNumId="566" w15:restartNumberingAfterBreak="0">
    <w:nsid w:val="7DD0767A"/>
    <w:multiLevelType w:val="hybridMultilevel"/>
    <w:tmpl w:val="E0BC0CA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7" w15:restartNumberingAfterBreak="0">
    <w:nsid w:val="7DE8111A"/>
    <w:multiLevelType w:val="hybridMultilevel"/>
    <w:tmpl w:val="976E04D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8" w15:restartNumberingAfterBreak="0">
    <w:nsid w:val="7E124A27"/>
    <w:multiLevelType w:val="multilevel"/>
    <w:tmpl w:val="1E32B340"/>
    <w:lvl w:ilvl="0">
      <w:start w:val="1"/>
      <w:numFmt w:val="decimal"/>
      <w:lvlText w:val="A%1"/>
      <w:lvlJc w:val="left"/>
      <w:pPr>
        <w:ind w:left="720" w:hanging="363"/>
      </w:pPr>
      <w:rPr>
        <w:rFonts w:ascii="Avenir LT 85 Heavy" w:hAnsi="Avenir LT 85 Heavy" w:hint="default"/>
        <w:sz w:val="20"/>
      </w:rPr>
    </w:lvl>
    <w:lvl w:ilvl="1">
      <w:start w:val="1"/>
      <w:numFmt w:val="decimal"/>
      <w:lvlText w:val="A%1.%2"/>
      <w:lvlJc w:val="left"/>
      <w:pPr>
        <w:ind w:left="714" w:hanging="363"/>
      </w:pPr>
      <w:rPr>
        <w:rFonts w:ascii="Avenir LT 85 Heavy" w:hAnsi="Avenir LT 85 Heavy" w:hint="default"/>
        <w:sz w:val="20"/>
      </w:rPr>
    </w:lvl>
    <w:lvl w:ilvl="2">
      <w:start w:val="1"/>
      <w:numFmt w:val="lowerRoman"/>
      <w:lvlText w:val="%3)"/>
      <w:lvlJc w:val="left"/>
      <w:pPr>
        <w:ind w:left="708" w:hanging="363"/>
      </w:pPr>
      <w:rPr>
        <w:rFonts w:hint="default"/>
      </w:rPr>
    </w:lvl>
    <w:lvl w:ilvl="3">
      <w:start w:val="1"/>
      <w:numFmt w:val="decimal"/>
      <w:lvlText w:val="(%4)"/>
      <w:lvlJc w:val="left"/>
      <w:pPr>
        <w:ind w:left="702" w:hanging="363"/>
      </w:pPr>
      <w:rPr>
        <w:rFonts w:hint="default"/>
      </w:rPr>
    </w:lvl>
    <w:lvl w:ilvl="4">
      <w:start w:val="1"/>
      <w:numFmt w:val="lowerLetter"/>
      <w:lvlText w:val="(%5)"/>
      <w:lvlJc w:val="left"/>
      <w:pPr>
        <w:ind w:left="696" w:hanging="363"/>
      </w:pPr>
      <w:rPr>
        <w:rFonts w:hint="default"/>
      </w:rPr>
    </w:lvl>
    <w:lvl w:ilvl="5">
      <w:start w:val="1"/>
      <w:numFmt w:val="lowerRoman"/>
      <w:lvlText w:val="(%6)"/>
      <w:lvlJc w:val="left"/>
      <w:pPr>
        <w:ind w:left="690" w:hanging="363"/>
      </w:pPr>
      <w:rPr>
        <w:rFonts w:hint="default"/>
      </w:rPr>
    </w:lvl>
    <w:lvl w:ilvl="6">
      <w:start w:val="1"/>
      <w:numFmt w:val="decimal"/>
      <w:lvlText w:val="%7."/>
      <w:lvlJc w:val="left"/>
      <w:pPr>
        <w:ind w:left="684" w:hanging="363"/>
      </w:pPr>
      <w:rPr>
        <w:rFonts w:hint="default"/>
      </w:rPr>
    </w:lvl>
    <w:lvl w:ilvl="7">
      <w:start w:val="1"/>
      <w:numFmt w:val="lowerLetter"/>
      <w:lvlText w:val="%8."/>
      <w:lvlJc w:val="left"/>
      <w:pPr>
        <w:ind w:left="678" w:hanging="363"/>
      </w:pPr>
      <w:rPr>
        <w:rFonts w:hint="default"/>
      </w:rPr>
    </w:lvl>
    <w:lvl w:ilvl="8">
      <w:start w:val="1"/>
      <w:numFmt w:val="lowerRoman"/>
      <w:lvlText w:val="%9."/>
      <w:lvlJc w:val="left"/>
      <w:pPr>
        <w:ind w:left="672" w:hanging="363"/>
      </w:pPr>
      <w:rPr>
        <w:rFonts w:hint="default"/>
      </w:rPr>
    </w:lvl>
  </w:abstractNum>
  <w:abstractNum w:abstractNumId="569" w15:restartNumberingAfterBreak="0">
    <w:nsid w:val="7E596449"/>
    <w:multiLevelType w:val="multilevel"/>
    <w:tmpl w:val="FD50AD62"/>
    <w:styleLink w:val="Style1"/>
    <w:lvl w:ilvl="0">
      <w:start w:val="1"/>
      <w:numFmt w:val="decimal"/>
      <w:lvlText w:val="%1.0"/>
      <w:lvlJc w:val="left"/>
      <w:pPr>
        <w:ind w:left="0" w:firstLine="0"/>
      </w:pPr>
      <w:rPr>
        <w:rFonts w:ascii="Avenir LT 65 Medium" w:hAnsi="Avenir LT 65 Medium" w:hint="default"/>
        <w:b w:val="0"/>
        <w:i w:val="0"/>
        <w:sz w:val="24"/>
      </w:rPr>
    </w:lvl>
    <w:lvl w:ilvl="1">
      <w:start w:val="1"/>
      <w:numFmt w:val="decimal"/>
      <w:lvlText w:val="%1.%2"/>
      <w:lvlJc w:val="left"/>
      <w:pPr>
        <w:ind w:left="0" w:firstLine="0"/>
      </w:pPr>
      <w:rPr>
        <w:rFonts w:ascii="Avenir LT 65 Medium" w:hAnsi="Avenir LT 65 Medium" w:hint="default"/>
        <w:b w:val="0"/>
        <w:i w:val="0"/>
        <w:sz w:val="22"/>
      </w:rPr>
    </w:lvl>
    <w:lvl w:ilvl="2">
      <w:start w:val="1"/>
      <w:numFmt w:val="decimal"/>
      <w:lvlText w:val="%1.%2.%3"/>
      <w:lvlJc w:val="left"/>
      <w:pPr>
        <w:ind w:left="0" w:firstLine="0"/>
      </w:pPr>
      <w:rPr>
        <w:rFonts w:ascii="Avenir LT 65 Medium" w:hAnsi="Avenir LT 65 Medium" w:hint="default"/>
        <w:sz w:val="22"/>
      </w:rPr>
    </w:lvl>
    <w:lvl w:ilvl="3">
      <w:start w:val="1"/>
      <w:numFmt w:val="decimal"/>
      <w:lvlText w:val="%1.%2.%3.%4"/>
      <w:lvlJc w:val="left"/>
      <w:pPr>
        <w:ind w:left="0" w:firstLine="0"/>
      </w:pPr>
      <w:rPr>
        <w:rFonts w:ascii="Avenir LT 45 Book" w:hAnsi="Avenir LT 45 Book" w:hint="default"/>
        <w:b w:val="0"/>
        <w:i w:val="0"/>
        <w:sz w:val="22"/>
      </w:rPr>
    </w:lvl>
    <w:lvl w:ilvl="4">
      <w:start w:val="1"/>
      <w:numFmt w:val="decimal"/>
      <w:lvlText w:val="%1.%2.%3.%4.%5"/>
      <w:lvlJc w:val="left"/>
      <w:pPr>
        <w:ind w:left="0" w:firstLine="0"/>
      </w:pPr>
      <w:rPr>
        <w:rFonts w:ascii="Avenir LT 45 Book" w:hAnsi="Avenir LT 45 Book" w:hint="default"/>
        <w:b w:val="0"/>
        <w:i w:val="0"/>
        <w:sz w:val="22"/>
      </w:rPr>
    </w:lvl>
    <w:lvl w:ilvl="5">
      <w:start w:val="1"/>
      <w:numFmt w:val="decimal"/>
      <w:lvlText w:val="%1.%2.%3.%4.%5.%6"/>
      <w:lvlJc w:val="left"/>
      <w:pPr>
        <w:ind w:left="0" w:firstLine="0"/>
      </w:pPr>
      <w:rPr>
        <w:rFonts w:ascii="Avenir LT 45 Book" w:hAnsi="Avenir LT 45 Book" w:hint="default"/>
        <w:b w:val="0"/>
        <w:i w:val="0"/>
        <w:sz w:val="22"/>
      </w:rPr>
    </w:lvl>
    <w:lvl w:ilvl="6">
      <w:start w:val="1"/>
      <w:numFmt w:val="none"/>
      <w:lvlText w:val="%1.%2.%3.%4.%5.%6"/>
      <w:lvlJc w:val="left"/>
      <w:pPr>
        <w:ind w:left="0" w:firstLine="0"/>
      </w:pPr>
      <w:rPr>
        <w:rFonts w:ascii="Avenir LT 45 Book" w:hAnsi="Avenir LT 45 Book" w:hint="default"/>
        <w:b w:val="0"/>
        <w:i w:val="0"/>
        <w:sz w:val="22"/>
      </w:rPr>
    </w:lvl>
    <w:lvl w:ilvl="7">
      <w:start w:val="1"/>
      <w:numFmt w:val="lowerLetter"/>
      <w:lvlText w:val="%8."/>
      <w:lvlJc w:val="left"/>
      <w:pPr>
        <w:ind w:left="8280" w:hanging="360"/>
      </w:pPr>
      <w:rPr>
        <w:rFonts w:hint="default"/>
      </w:rPr>
    </w:lvl>
    <w:lvl w:ilvl="8">
      <w:start w:val="1"/>
      <w:numFmt w:val="lowerRoman"/>
      <w:lvlText w:val="%9."/>
      <w:lvlJc w:val="left"/>
      <w:pPr>
        <w:ind w:left="8640" w:hanging="360"/>
      </w:pPr>
      <w:rPr>
        <w:rFonts w:hint="default"/>
      </w:rPr>
    </w:lvl>
  </w:abstractNum>
  <w:abstractNum w:abstractNumId="570" w15:restartNumberingAfterBreak="0">
    <w:nsid w:val="7EE0290A"/>
    <w:multiLevelType w:val="singleLevel"/>
    <w:tmpl w:val="43BCF916"/>
    <w:lvl w:ilvl="0">
      <w:start w:val="1"/>
      <w:numFmt w:val="bullet"/>
      <w:lvlText w:val=""/>
      <w:lvlJc w:val="left"/>
      <w:pPr>
        <w:tabs>
          <w:tab w:val="num" w:pos="360"/>
        </w:tabs>
        <w:ind w:left="360" w:hanging="360"/>
      </w:pPr>
      <w:rPr>
        <w:rFonts w:ascii="Symbol" w:hAnsi="Symbol" w:hint="default"/>
      </w:rPr>
    </w:lvl>
  </w:abstractNum>
  <w:abstractNum w:abstractNumId="571" w15:restartNumberingAfterBreak="0">
    <w:nsid w:val="7F164F2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72" w15:restartNumberingAfterBreak="0">
    <w:nsid w:val="7F56508C"/>
    <w:multiLevelType w:val="singleLevel"/>
    <w:tmpl w:val="0C090001"/>
    <w:lvl w:ilvl="0">
      <w:start w:val="1"/>
      <w:numFmt w:val="bullet"/>
      <w:lvlText w:val=""/>
      <w:lvlJc w:val="left"/>
      <w:pPr>
        <w:ind w:left="720" w:hanging="360"/>
      </w:pPr>
      <w:rPr>
        <w:rFonts w:ascii="Symbol" w:hAnsi="Symbol" w:hint="default"/>
      </w:rPr>
    </w:lvl>
  </w:abstractNum>
  <w:abstractNum w:abstractNumId="573" w15:restartNumberingAfterBreak="0">
    <w:nsid w:val="7F57010C"/>
    <w:multiLevelType w:val="hybridMultilevel"/>
    <w:tmpl w:val="BBC055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4" w15:restartNumberingAfterBreak="0">
    <w:nsid w:val="7F635133"/>
    <w:multiLevelType w:val="hybridMultilevel"/>
    <w:tmpl w:val="9C0885BA"/>
    <w:lvl w:ilvl="0" w:tplc="0409001B">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5" w15:restartNumberingAfterBreak="0">
    <w:nsid w:val="7F9A005B"/>
    <w:multiLevelType w:val="hybridMultilevel"/>
    <w:tmpl w:val="C05649FC"/>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6" w15:restartNumberingAfterBreak="0">
    <w:nsid w:val="7FA64EB5"/>
    <w:multiLevelType w:val="hybridMultilevel"/>
    <w:tmpl w:val="72A47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63995636">
    <w:abstractNumId w:val="72"/>
  </w:num>
  <w:num w:numId="2" w16cid:durableId="1146703809">
    <w:abstractNumId w:val="307"/>
  </w:num>
  <w:num w:numId="3" w16cid:durableId="781850242">
    <w:abstractNumId w:val="494"/>
  </w:num>
  <w:num w:numId="4" w16cid:durableId="136193421">
    <w:abstractNumId w:val="299"/>
  </w:num>
  <w:num w:numId="5" w16cid:durableId="1423140442">
    <w:abstractNumId w:val="439"/>
  </w:num>
  <w:num w:numId="6" w16cid:durableId="1014921665">
    <w:abstractNumId w:val="511"/>
  </w:num>
  <w:num w:numId="7" w16cid:durableId="1621112066">
    <w:abstractNumId w:val="357"/>
  </w:num>
  <w:num w:numId="8" w16cid:durableId="527065565">
    <w:abstractNumId w:val="535"/>
  </w:num>
  <w:num w:numId="9" w16cid:durableId="1359162499">
    <w:abstractNumId w:val="331"/>
  </w:num>
  <w:num w:numId="10" w16cid:durableId="931010339">
    <w:abstractNumId w:val="304"/>
  </w:num>
  <w:num w:numId="11" w16cid:durableId="1631092106">
    <w:abstractNumId w:val="536"/>
  </w:num>
  <w:num w:numId="12" w16cid:durableId="136849309">
    <w:abstractNumId w:val="421"/>
  </w:num>
  <w:num w:numId="13" w16cid:durableId="751052326">
    <w:abstractNumId w:val="213"/>
  </w:num>
  <w:num w:numId="14" w16cid:durableId="271981641">
    <w:abstractNumId w:val="242"/>
  </w:num>
  <w:num w:numId="15" w16cid:durableId="314918474">
    <w:abstractNumId w:val="517"/>
  </w:num>
  <w:num w:numId="16" w16cid:durableId="897518500">
    <w:abstractNumId w:val="278"/>
  </w:num>
  <w:num w:numId="17" w16cid:durableId="277488821">
    <w:abstractNumId w:val="292"/>
  </w:num>
  <w:num w:numId="18" w16cid:durableId="610553434">
    <w:abstractNumId w:val="492"/>
  </w:num>
  <w:num w:numId="19" w16cid:durableId="272983545">
    <w:abstractNumId w:val="260"/>
  </w:num>
  <w:num w:numId="20" w16cid:durableId="1117867682">
    <w:abstractNumId w:val="565"/>
  </w:num>
  <w:num w:numId="21" w16cid:durableId="156924604">
    <w:abstractNumId w:val="452"/>
  </w:num>
  <w:num w:numId="22" w16cid:durableId="2081713091">
    <w:abstractNumId w:val="178"/>
  </w:num>
  <w:num w:numId="23" w16cid:durableId="22754485">
    <w:abstractNumId w:val="551"/>
  </w:num>
  <w:num w:numId="24" w16cid:durableId="371418516">
    <w:abstractNumId w:val="184"/>
  </w:num>
  <w:num w:numId="25" w16cid:durableId="591547884">
    <w:abstractNumId w:val="388"/>
  </w:num>
  <w:num w:numId="26" w16cid:durableId="913511019">
    <w:abstractNumId w:val="181"/>
  </w:num>
  <w:num w:numId="27" w16cid:durableId="1700542672">
    <w:abstractNumId w:val="27"/>
  </w:num>
  <w:num w:numId="28" w16cid:durableId="1741098947">
    <w:abstractNumId w:val="524"/>
  </w:num>
  <w:num w:numId="29" w16cid:durableId="1981376948">
    <w:abstractNumId w:val="42"/>
  </w:num>
  <w:num w:numId="30" w16cid:durableId="199244209">
    <w:abstractNumId w:val="21"/>
  </w:num>
  <w:num w:numId="31" w16cid:durableId="1398556050">
    <w:abstractNumId w:val="504"/>
  </w:num>
  <w:num w:numId="32" w16cid:durableId="931205703">
    <w:abstractNumId w:val="456"/>
  </w:num>
  <w:num w:numId="33" w16cid:durableId="1392735289">
    <w:abstractNumId w:val="56"/>
  </w:num>
  <w:num w:numId="34" w16cid:durableId="1766613710">
    <w:abstractNumId w:val="548"/>
  </w:num>
  <w:num w:numId="35" w16cid:durableId="1573589031">
    <w:abstractNumId w:val="375"/>
  </w:num>
  <w:num w:numId="36" w16cid:durableId="245504744">
    <w:abstractNumId w:val="273"/>
  </w:num>
  <w:num w:numId="37" w16cid:durableId="379790072">
    <w:abstractNumId w:val="449"/>
  </w:num>
  <w:num w:numId="38" w16cid:durableId="334308034">
    <w:abstractNumId w:val="93"/>
  </w:num>
  <w:num w:numId="39" w16cid:durableId="957446746">
    <w:abstractNumId w:val="288"/>
  </w:num>
  <w:num w:numId="40" w16cid:durableId="748846000">
    <w:abstractNumId w:val="286"/>
  </w:num>
  <w:num w:numId="41" w16cid:durableId="663507040">
    <w:abstractNumId w:val="9"/>
  </w:num>
  <w:num w:numId="42" w16cid:durableId="1576236365">
    <w:abstractNumId w:val="408"/>
  </w:num>
  <w:num w:numId="43" w16cid:durableId="1849052097">
    <w:abstractNumId w:val="91"/>
  </w:num>
  <w:num w:numId="44" w16cid:durableId="1653872813">
    <w:abstractNumId w:val="231"/>
  </w:num>
  <w:num w:numId="45" w16cid:durableId="373191109">
    <w:abstractNumId w:val="538"/>
  </w:num>
  <w:num w:numId="46" w16cid:durableId="961228225">
    <w:abstractNumId w:val="259"/>
  </w:num>
  <w:num w:numId="47" w16cid:durableId="1679190194">
    <w:abstractNumId w:val="279"/>
  </w:num>
  <w:num w:numId="48" w16cid:durableId="287512860">
    <w:abstractNumId w:val="522"/>
  </w:num>
  <w:num w:numId="49" w16cid:durableId="546183178">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495606685">
    <w:abstractNumId w:val="131"/>
  </w:num>
  <w:num w:numId="51" w16cid:durableId="1586068755">
    <w:abstractNumId w:val="223"/>
  </w:num>
  <w:num w:numId="52" w16cid:durableId="1029602719">
    <w:abstractNumId w:val="462"/>
  </w:num>
  <w:num w:numId="53" w16cid:durableId="1667708783">
    <w:abstractNumId w:val="396"/>
  </w:num>
  <w:num w:numId="54" w16cid:durableId="1545940890">
    <w:abstractNumId w:val="564"/>
  </w:num>
  <w:num w:numId="55" w16cid:durableId="18239780">
    <w:abstractNumId w:val="82"/>
  </w:num>
  <w:num w:numId="56" w16cid:durableId="1861040054">
    <w:abstractNumId w:val="23"/>
  </w:num>
  <w:num w:numId="57" w16cid:durableId="506023456">
    <w:abstractNumId w:val="30"/>
  </w:num>
  <w:num w:numId="58" w16cid:durableId="698244076">
    <w:abstractNumId w:val="77"/>
  </w:num>
  <w:num w:numId="59" w16cid:durableId="970209108">
    <w:abstractNumId w:val="399"/>
  </w:num>
  <w:num w:numId="60" w16cid:durableId="720981963">
    <w:abstractNumId w:val="17"/>
  </w:num>
  <w:num w:numId="61" w16cid:durableId="1041201116">
    <w:abstractNumId w:val="214"/>
  </w:num>
  <w:num w:numId="62" w16cid:durableId="1451977135">
    <w:abstractNumId w:val="571"/>
  </w:num>
  <w:num w:numId="63" w16cid:durableId="40331201">
    <w:abstractNumId w:val="556"/>
  </w:num>
  <w:num w:numId="64" w16cid:durableId="1972633780">
    <w:abstractNumId w:val="572"/>
  </w:num>
  <w:num w:numId="65" w16cid:durableId="1043480576">
    <w:abstractNumId w:val="190"/>
  </w:num>
  <w:num w:numId="66" w16cid:durableId="500239009">
    <w:abstractNumId w:val="40"/>
  </w:num>
  <w:num w:numId="67" w16cid:durableId="1427652019">
    <w:abstractNumId w:val="458"/>
  </w:num>
  <w:num w:numId="68" w16cid:durableId="1471553205">
    <w:abstractNumId w:val="269"/>
  </w:num>
  <w:num w:numId="69" w16cid:durableId="430318937">
    <w:abstractNumId w:val="36"/>
  </w:num>
  <w:num w:numId="70" w16cid:durableId="1244073531">
    <w:abstractNumId w:val="203"/>
  </w:num>
  <w:num w:numId="71" w16cid:durableId="837694779">
    <w:abstractNumId w:val="138"/>
  </w:num>
  <w:num w:numId="72" w16cid:durableId="1848133219">
    <w:abstractNumId w:val="154"/>
  </w:num>
  <w:num w:numId="73" w16cid:durableId="266278490">
    <w:abstractNumId w:val="305"/>
  </w:num>
  <w:num w:numId="74" w16cid:durableId="2106459054">
    <w:abstractNumId w:val="114"/>
  </w:num>
  <w:num w:numId="75" w16cid:durableId="1494762507">
    <w:abstractNumId w:val="265"/>
  </w:num>
  <w:num w:numId="76" w16cid:durableId="1310595285">
    <w:abstractNumId w:val="487"/>
  </w:num>
  <w:num w:numId="77" w16cid:durableId="1763605962">
    <w:abstractNumId w:val="257"/>
  </w:num>
  <w:num w:numId="78" w16cid:durableId="1271544559">
    <w:abstractNumId w:val="505"/>
  </w:num>
  <w:num w:numId="79" w16cid:durableId="2038697063">
    <w:abstractNumId w:val="544"/>
  </w:num>
  <w:num w:numId="80" w16cid:durableId="198593229">
    <w:abstractNumId w:val="229"/>
  </w:num>
  <w:num w:numId="81" w16cid:durableId="1475609480">
    <w:abstractNumId w:val="177"/>
  </w:num>
  <w:num w:numId="82" w16cid:durableId="323047403">
    <w:abstractNumId w:val="74"/>
  </w:num>
  <w:num w:numId="83" w16cid:durableId="294721849">
    <w:abstractNumId w:val="433"/>
  </w:num>
  <w:num w:numId="84" w16cid:durableId="1629505643">
    <w:abstractNumId w:val="546"/>
    <w:lvlOverride w:ilvl="0">
      <w:lvl w:ilvl="0">
        <w:start w:val="1"/>
        <w:numFmt w:val="decimal"/>
        <w:lvlText w:val=""/>
        <w:lvlJc w:val="left"/>
        <w:pPr>
          <w:ind w:left="0" w:firstLine="0"/>
        </w:pPr>
        <w:rPr>
          <w:rFonts w:hint="default"/>
        </w:rPr>
      </w:lvl>
    </w:lvlOverride>
    <w:lvlOverride w:ilvl="1">
      <w:lvl w:ilvl="1">
        <w:start w:val="1"/>
        <w:numFmt w:val="decimal"/>
        <w:lvlText w:val="P%1.%2"/>
        <w:lvlJc w:val="left"/>
        <w:pPr>
          <w:ind w:left="1077" w:hanging="363"/>
        </w:pPr>
        <w:rPr>
          <w:rFonts w:ascii="Avenir LT 85 Heavy" w:hAnsi="Avenir LT 85 Heavy" w:hint="default"/>
          <w:sz w:val="20"/>
        </w:rPr>
      </w:lvl>
    </w:lvlOverride>
    <w:lvlOverride w:ilvl="2">
      <w:lvl w:ilvl="2">
        <w:start w:val="1"/>
        <w:numFmt w:val="lowerRoman"/>
        <w:lvlText w:val="%3)"/>
        <w:lvlJc w:val="left"/>
        <w:pPr>
          <w:ind w:left="1434" w:hanging="363"/>
        </w:pPr>
        <w:rPr>
          <w:rFonts w:hint="default"/>
        </w:rPr>
      </w:lvl>
    </w:lvlOverride>
    <w:lvlOverride w:ilvl="3">
      <w:lvl w:ilvl="3">
        <w:start w:val="1"/>
        <w:numFmt w:val="decimal"/>
        <w:lvlText w:val="(%4)"/>
        <w:lvlJc w:val="left"/>
        <w:pPr>
          <w:ind w:left="1791" w:hanging="363"/>
        </w:pPr>
        <w:rPr>
          <w:rFonts w:hint="default"/>
        </w:rPr>
      </w:lvl>
    </w:lvlOverride>
    <w:lvlOverride w:ilvl="4">
      <w:lvl w:ilvl="4">
        <w:start w:val="1"/>
        <w:numFmt w:val="lowerLetter"/>
        <w:lvlText w:val="(%5)"/>
        <w:lvlJc w:val="left"/>
        <w:pPr>
          <w:ind w:left="2148" w:hanging="363"/>
        </w:pPr>
        <w:rPr>
          <w:rFonts w:hint="default"/>
        </w:rPr>
      </w:lvl>
    </w:lvlOverride>
    <w:lvlOverride w:ilvl="5">
      <w:lvl w:ilvl="5">
        <w:start w:val="1"/>
        <w:numFmt w:val="lowerRoman"/>
        <w:lvlText w:val="(%6)"/>
        <w:lvlJc w:val="left"/>
        <w:pPr>
          <w:ind w:left="2505" w:hanging="363"/>
        </w:pPr>
        <w:rPr>
          <w:rFonts w:hint="default"/>
        </w:rPr>
      </w:lvl>
    </w:lvlOverride>
    <w:lvlOverride w:ilvl="6">
      <w:lvl w:ilvl="6">
        <w:start w:val="1"/>
        <w:numFmt w:val="decimal"/>
        <w:lvlText w:val="%7."/>
        <w:lvlJc w:val="left"/>
        <w:pPr>
          <w:ind w:left="2862" w:hanging="363"/>
        </w:pPr>
        <w:rPr>
          <w:rFonts w:hint="default"/>
        </w:rPr>
      </w:lvl>
    </w:lvlOverride>
    <w:lvlOverride w:ilvl="7">
      <w:lvl w:ilvl="7">
        <w:start w:val="1"/>
        <w:numFmt w:val="lowerLetter"/>
        <w:lvlText w:val="%8."/>
        <w:lvlJc w:val="left"/>
        <w:pPr>
          <w:ind w:left="3219" w:hanging="363"/>
        </w:pPr>
        <w:rPr>
          <w:rFonts w:hint="default"/>
        </w:rPr>
      </w:lvl>
    </w:lvlOverride>
    <w:lvlOverride w:ilvl="8">
      <w:lvl w:ilvl="8">
        <w:start w:val="1"/>
        <w:numFmt w:val="lowerRoman"/>
        <w:lvlText w:val="%9."/>
        <w:lvlJc w:val="left"/>
        <w:pPr>
          <w:ind w:left="3576" w:hanging="363"/>
        </w:pPr>
        <w:rPr>
          <w:rFonts w:hint="default"/>
        </w:rPr>
      </w:lvl>
    </w:lvlOverride>
  </w:num>
  <w:num w:numId="85" w16cid:durableId="1951428090">
    <w:abstractNumId w:val="315"/>
  </w:num>
  <w:num w:numId="86" w16cid:durableId="272982709">
    <w:abstractNumId w:val="568"/>
  </w:num>
  <w:num w:numId="87" w16cid:durableId="143738700">
    <w:abstractNumId w:val="243"/>
  </w:num>
  <w:num w:numId="88" w16cid:durableId="467893540">
    <w:abstractNumId w:val="191"/>
  </w:num>
  <w:num w:numId="89" w16cid:durableId="660085398">
    <w:abstractNumId w:val="445"/>
  </w:num>
  <w:num w:numId="90" w16cid:durableId="638996160">
    <w:abstractNumId w:val="64"/>
    <w:lvlOverride w:ilvl="0">
      <w:lvl w:ilvl="0">
        <w:start w:val="1"/>
        <w:numFmt w:val="decimal"/>
        <w:lvlText w:val="P%1"/>
        <w:lvlJc w:val="left"/>
        <w:pPr>
          <w:ind w:left="720" w:hanging="363"/>
        </w:pPr>
        <w:rPr>
          <w:rFonts w:ascii="Avenir LT 85 Heavy" w:hAnsi="Avenir LT 85 Heavy" w:hint="default"/>
          <w:sz w:val="20"/>
        </w:rPr>
      </w:lvl>
    </w:lvlOverride>
    <w:lvlOverride w:ilvl="1">
      <w:lvl w:ilvl="1">
        <w:start w:val="1"/>
        <w:numFmt w:val="decimal"/>
        <w:lvlText w:val="P%1.%2"/>
        <w:lvlJc w:val="left"/>
        <w:pPr>
          <w:ind w:left="720" w:hanging="363"/>
        </w:pPr>
        <w:rPr>
          <w:rFonts w:ascii="Avenir LT 85 Heavy" w:hAnsi="Avenir LT 85 Heavy" w:hint="default"/>
          <w:sz w:val="20"/>
        </w:rPr>
      </w:lvl>
    </w:lvlOverride>
    <w:lvlOverride w:ilvl="2">
      <w:lvl w:ilvl="2">
        <w:start w:val="1"/>
        <w:numFmt w:val="lowerRoman"/>
        <w:lvlText w:val="%3)"/>
        <w:lvlJc w:val="left"/>
        <w:pPr>
          <w:ind w:left="1434" w:hanging="363"/>
        </w:pPr>
        <w:rPr>
          <w:rFonts w:hint="default"/>
        </w:rPr>
      </w:lvl>
    </w:lvlOverride>
    <w:lvlOverride w:ilvl="3">
      <w:lvl w:ilvl="3">
        <w:start w:val="1"/>
        <w:numFmt w:val="decimal"/>
        <w:lvlText w:val="(%4)"/>
        <w:lvlJc w:val="left"/>
        <w:pPr>
          <w:ind w:left="1791" w:hanging="363"/>
        </w:pPr>
        <w:rPr>
          <w:rFonts w:hint="default"/>
        </w:rPr>
      </w:lvl>
    </w:lvlOverride>
    <w:lvlOverride w:ilvl="4">
      <w:lvl w:ilvl="4">
        <w:start w:val="1"/>
        <w:numFmt w:val="lowerLetter"/>
        <w:lvlText w:val="(%5)"/>
        <w:lvlJc w:val="left"/>
        <w:pPr>
          <w:ind w:left="2148" w:hanging="363"/>
        </w:pPr>
        <w:rPr>
          <w:rFonts w:hint="default"/>
        </w:rPr>
      </w:lvl>
    </w:lvlOverride>
    <w:lvlOverride w:ilvl="5">
      <w:lvl w:ilvl="5">
        <w:start w:val="1"/>
        <w:numFmt w:val="lowerRoman"/>
        <w:lvlText w:val="(%6)"/>
        <w:lvlJc w:val="left"/>
        <w:pPr>
          <w:ind w:left="2505" w:hanging="363"/>
        </w:pPr>
        <w:rPr>
          <w:rFonts w:hint="default"/>
        </w:rPr>
      </w:lvl>
    </w:lvlOverride>
    <w:lvlOverride w:ilvl="6">
      <w:lvl w:ilvl="6">
        <w:start w:val="1"/>
        <w:numFmt w:val="decimal"/>
        <w:lvlText w:val="%7."/>
        <w:lvlJc w:val="left"/>
        <w:pPr>
          <w:ind w:left="2862" w:hanging="363"/>
        </w:pPr>
        <w:rPr>
          <w:rFonts w:hint="default"/>
        </w:rPr>
      </w:lvl>
    </w:lvlOverride>
    <w:lvlOverride w:ilvl="7">
      <w:lvl w:ilvl="7">
        <w:start w:val="1"/>
        <w:numFmt w:val="lowerLetter"/>
        <w:lvlText w:val="%8."/>
        <w:lvlJc w:val="left"/>
        <w:pPr>
          <w:ind w:left="3219" w:hanging="363"/>
        </w:pPr>
        <w:rPr>
          <w:rFonts w:hint="default"/>
        </w:rPr>
      </w:lvl>
    </w:lvlOverride>
    <w:lvlOverride w:ilvl="8">
      <w:lvl w:ilvl="8">
        <w:start w:val="1"/>
        <w:numFmt w:val="lowerRoman"/>
        <w:lvlText w:val="%9."/>
        <w:lvlJc w:val="left"/>
        <w:pPr>
          <w:ind w:left="3576" w:hanging="363"/>
        </w:pPr>
        <w:rPr>
          <w:rFonts w:hint="default"/>
        </w:rPr>
      </w:lvl>
    </w:lvlOverride>
  </w:num>
  <w:num w:numId="91" w16cid:durableId="92865160">
    <w:abstractNumId w:val="373"/>
  </w:num>
  <w:num w:numId="92" w16cid:durableId="89088789">
    <w:abstractNumId w:val="451"/>
  </w:num>
  <w:num w:numId="93" w16cid:durableId="2010978681">
    <w:abstractNumId w:val="217"/>
  </w:num>
  <w:num w:numId="94" w16cid:durableId="2015380666">
    <w:abstractNumId w:val="407"/>
  </w:num>
  <w:num w:numId="95" w16cid:durableId="948390588">
    <w:abstractNumId w:val="391"/>
  </w:num>
  <w:num w:numId="96" w16cid:durableId="1895311026">
    <w:abstractNumId w:val="79"/>
    <w:lvlOverride w:ilvl="0">
      <w:lvl w:ilvl="0">
        <w:start w:val="1"/>
        <w:numFmt w:val="decimal"/>
        <w:lvlText w:val="P%1"/>
        <w:lvlJc w:val="left"/>
        <w:pPr>
          <w:ind w:left="720" w:hanging="363"/>
        </w:pPr>
        <w:rPr>
          <w:rFonts w:ascii="Avenir LT 85 Heavy" w:hAnsi="Avenir LT 85 Heavy" w:hint="default"/>
          <w:sz w:val="20"/>
        </w:rPr>
      </w:lvl>
    </w:lvlOverride>
  </w:num>
  <w:num w:numId="97" w16cid:durableId="2003266621">
    <w:abstractNumId w:val="322"/>
  </w:num>
  <w:num w:numId="98" w16cid:durableId="864830017">
    <w:abstractNumId w:val="523"/>
  </w:num>
  <w:num w:numId="99" w16cid:durableId="333454158">
    <w:abstractNumId w:val="38"/>
  </w:num>
  <w:num w:numId="100" w16cid:durableId="111830026">
    <w:abstractNumId w:val="282"/>
  </w:num>
  <w:num w:numId="101" w16cid:durableId="325207819">
    <w:abstractNumId w:val="402"/>
  </w:num>
  <w:num w:numId="102" w16cid:durableId="294019832">
    <w:abstractNumId w:val="124"/>
  </w:num>
  <w:num w:numId="103" w16cid:durableId="2011177097">
    <w:abstractNumId w:val="139"/>
  </w:num>
  <w:num w:numId="104" w16cid:durableId="450710355">
    <w:abstractNumId w:val="453"/>
  </w:num>
  <w:num w:numId="105" w16cid:durableId="113714306">
    <w:abstractNumId w:val="237"/>
  </w:num>
  <w:num w:numId="106" w16cid:durableId="989092588">
    <w:abstractNumId w:val="25"/>
  </w:num>
  <w:num w:numId="107" w16cid:durableId="1485663360">
    <w:abstractNumId w:val="75"/>
  </w:num>
  <w:num w:numId="108" w16cid:durableId="80638872">
    <w:abstractNumId w:val="415"/>
  </w:num>
  <w:num w:numId="109" w16cid:durableId="1200700347">
    <w:abstractNumId w:val="145"/>
  </w:num>
  <w:num w:numId="110" w16cid:durableId="1232036580">
    <w:abstractNumId w:val="171"/>
  </w:num>
  <w:num w:numId="111" w16cid:durableId="958493951">
    <w:abstractNumId w:val="380"/>
  </w:num>
  <w:num w:numId="112" w16cid:durableId="1423186991">
    <w:abstractNumId w:val="162"/>
  </w:num>
  <w:num w:numId="113" w16cid:durableId="1080757224">
    <w:abstractNumId w:val="488"/>
  </w:num>
  <w:num w:numId="114" w16cid:durableId="1194267197">
    <w:abstractNumId w:val="130"/>
  </w:num>
  <w:num w:numId="115" w16cid:durableId="702249049">
    <w:abstractNumId w:val="409"/>
  </w:num>
  <w:num w:numId="116" w16cid:durableId="213583365">
    <w:abstractNumId w:val="216"/>
  </w:num>
  <w:num w:numId="117" w16cid:durableId="1150751811">
    <w:abstractNumId w:val="160"/>
  </w:num>
  <w:num w:numId="118" w16cid:durableId="444038157">
    <w:abstractNumId w:val="345"/>
    <w:lvlOverride w:ilvl="0">
      <w:lvl w:ilvl="0">
        <w:start w:val="1"/>
        <w:numFmt w:val="decimal"/>
        <w:lvlText w:val="P%1"/>
        <w:lvlJc w:val="left"/>
        <w:pPr>
          <w:ind w:left="720" w:hanging="363"/>
        </w:pPr>
        <w:rPr>
          <w:rFonts w:ascii="Avenir LT 85 Heavy" w:hAnsi="Avenir LT 85 Heavy" w:hint="default"/>
          <w:sz w:val="20"/>
        </w:rPr>
      </w:lvl>
    </w:lvlOverride>
  </w:num>
  <w:num w:numId="119" w16cid:durableId="1225944842">
    <w:abstractNumId w:val="215"/>
  </w:num>
  <w:num w:numId="120" w16cid:durableId="1718238204">
    <w:abstractNumId w:val="363"/>
  </w:num>
  <w:num w:numId="121" w16cid:durableId="1073510898">
    <w:abstractNumId w:val="379"/>
  </w:num>
  <w:num w:numId="122" w16cid:durableId="219485524">
    <w:abstractNumId w:val="491"/>
  </w:num>
  <w:num w:numId="123" w16cid:durableId="1538548482">
    <w:abstractNumId w:val="33"/>
  </w:num>
  <w:num w:numId="124" w16cid:durableId="1036470453">
    <w:abstractNumId w:val="219"/>
  </w:num>
  <w:num w:numId="125" w16cid:durableId="1064791543">
    <w:abstractNumId w:val="155"/>
  </w:num>
  <w:num w:numId="126" w16cid:durableId="762603154">
    <w:abstractNumId w:val="401"/>
  </w:num>
  <w:num w:numId="127" w16cid:durableId="1119836398">
    <w:abstractNumId w:val="137"/>
  </w:num>
  <w:num w:numId="128" w16cid:durableId="749738793">
    <w:abstractNumId w:val="336"/>
  </w:num>
  <w:num w:numId="129" w16cid:durableId="608004473">
    <w:abstractNumId w:val="442"/>
  </w:num>
  <w:num w:numId="130" w16cid:durableId="1855535149">
    <w:abstractNumId w:val="50"/>
  </w:num>
  <w:num w:numId="131" w16cid:durableId="1472089757">
    <w:abstractNumId w:val="289"/>
  </w:num>
  <w:num w:numId="132" w16cid:durableId="1664434940">
    <w:abstractNumId w:val="371"/>
  </w:num>
  <w:num w:numId="133" w16cid:durableId="1461454532">
    <w:abstractNumId w:val="163"/>
  </w:num>
  <w:num w:numId="134" w16cid:durableId="855385383">
    <w:abstractNumId w:val="180"/>
  </w:num>
  <w:num w:numId="135" w16cid:durableId="1609046198">
    <w:abstractNumId w:val="386"/>
  </w:num>
  <w:num w:numId="136" w16cid:durableId="1016465175">
    <w:abstractNumId w:val="405"/>
  </w:num>
  <w:num w:numId="137" w16cid:durableId="623582480">
    <w:abstractNumId w:val="441"/>
  </w:num>
  <w:num w:numId="138" w16cid:durableId="695348890">
    <w:abstractNumId w:val="268"/>
  </w:num>
  <w:num w:numId="139" w16cid:durableId="931356918">
    <w:abstractNumId w:val="81"/>
  </w:num>
  <w:num w:numId="140" w16cid:durableId="1169638609">
    <w:abstractNumId w:val="110"/>
  </w:num>
  <w:num w:numId="141" w16cid:durableId="640502084">
    <w:abstractNumId w:val="4"/>
  </w:num>
  <w:num w:numId="142" w16cid:durableId="1390956314">
    <w:abstractNumId w:val="561"/>
  </w:num>
  <w:num w:numId="143" w16cid:durableId="736705770">
    <w:abstractNumId w:val="185"/>
  </w:num>
  <w:num w:numId="144" w16cid:durableId="479662754">
    <w:abstractNumId w:val="365"/>
  </w:num>
  <w:num w:numId="145" w16cid:durableId="1893496037">
    <w:abstractNumId w:val="555"/>
  </w:num>
  <w:num w:numId="146" w16cid:durableId="1071344547">
    <w:abstractNumId w:val="464"/>
  </w:num>
  <w:num w:numId="147" w16cid:durableId="794954580">
    <w:abstractNumId w:val="539"/>
  </w:num>
  <w:num w:numId="148" w16cid:durableId="1358116073">
    <w:abstractNumId w:val="430"/>
  </w:num>
  <w:num w:numId="149" w16cid:durableId="1638990670">
    <w:abstractNumId w:val="306"/>
  </w:num>
  <w:num w:numId="150" w16cid:durableId="536549783">
    <w:abstractNumId w:val="167"/>
  </w:num>
  <w:num w:numId="151" w16cid:durableId="477842229">
    <w:abstractNumId w:val="37"/>
  </w:num>
  <w:num w:numId="152" w16cid:durableId="665204132">
    <w:abstractNumId w:val="347"/>
  </w:num>
  <w:num w:numId="153" w16cid:durableId="397703863">
    <w:abstractNumId w:val="66"/>
  </w:num>
  <w:num w:numId="154" w16cid:durableId="1221676132">
    <w:abstractNumId w:val="211"/>
  </w:num>
  <w:num w:numId="155" w16cid:durableId="1625578032">
    <w:abstractNumId w:val="255"/>
  </w:num>
  <w:num w:numId="156" w16cid:durableId="1412124143">
    <w:abstractNumId w:val="240"/>
  </w:num>
  <w:num w:numId="157" w16cid:durableId="868759796">
    <w:abstractNumId w:val="496"/>
  </w:num>
  <w:num w:numId="158" w16cid:durableId="1469124765">
    <w:abstractNumId w:val="150"/>
  </w:num>
  <w:num w:numId="159" w16cid:durableId="1335644910">
    <w:abstractNumId w:val="62"/>
  </w:num>
  <w:num w:numId="160" w16cid:durableId="140464314">
    <w:abstractNumId w:val="575"/>
  </w:num>
  <w:num w:numId="161" w16cid:durableId="368457839">
    <w:abstractNumId w:val="327"/>
  </w:num>
  <w:num w:numId="162" w16cid:durableId="1230381991">
    <w:abstractNumId w:val="384"/>
  </w:num>
  <w:num w:numId="163" w16cid:durableId="1495873504">
    <w:abstractNumId w:val="531"/>
  </w:num>
  <w:num w:numId="164" w16cid:durableId="1110706568">
    <w:abstractNumId w:val="176"/>
  </w:num>
  <w:num w:numId="165" w16cid:durableId="1594823501">
    <w:abstractNumId w:val="12"/>
  </w:num>
  <w:num w:numId="166" w16cid:durableId="285352969">
    <w:abstractNumId w:val="69"/>
  </w:num>
  <w:num w:numId="167" w16cid:durableId="112791521">
    <w:abstractNumId w:val="28"/>
  </w:num>
  <w:num w:numId="168" w16cid:durableId="1125585469">
    <w:abstractNumId w:val="1"/>
  </w:num>
  <w:num w:numId="169" w16cid:durableId="1499999083">
    <w:abstractNumId w:val="193"/>
  </w:num>
  <w:num w:numId="170" w16cid:durableId="619073245">
    <w:abstractNumId w:val="518"/>
  </w:num>
  <w:num w:numId="171" w16cid:durableId="1949391617">
    <w:abstractNumId w:val="437"/>
  </w:num>
  <w:num w:numId="172" w16cid:durableId="1143354672">
    <w:abstractNumId w:val="44"/>
  </w:num>
  <w:num w:numId="173" w16cid:durableId="970671665">
    <w:abstractNumId w:val="377"/>
  </w:num>
  <w:num w:numId="174" w16cid:durableId="730736785">
    <w:abstractNumId w:val="266"/>
  </w:num>
  <w:num w:numId="175" w16cid:durableId="113519940">
    <w:abstractNumId w:val="550"/>
    <w:lvlOverride w:ilvl="0">
      <w:lvl w:ilvl="0">
        <w:numFmt w:val="decimal"/>
        <w:lvlText w:val=""/>
        <w:lvlJc w:val="left"/>
      </w:lvl>
    </w:lvlOverride>
    <w:lvlOverride w:ilvl="1">
      <w:lvl w:ilvl="1">
        <w:start w:val="1"/>
        <w:numFmt w:val="decimal"/>
        <w:lvlText w:val="P%1.%2"/>
        <w:lvlJc w:val="left"/>
        <w:pPr>
          <w:ind w:left="720" w:hanging="363"/>
        </w:pPr>
        <w:rPr>
          <w:rFonts w:ascii="Avenir LT 85 Heavy" w:hAnsi="Avenir LT 85 Heavy" w:hint="default"/>
          <w:sz w:val="20"/>
        </w:rPr>
      </w:lvl>
    </w:lvlOverride>
  </w:num>
  <w:num w:numId="176" w16cid:durableId="1342585873">
    <w:abstractNumId w:val="364"/>
  </w:num>
  <w:num w:numId="177" w16cid:durableId="57366909">
    <w:abstractNumId w:val="291"/>
  </w:num>
  <w:num w:numId="178" w16cid:durableId="1028287915">
    <w:abstractNumId w:val="14"/>
  </w:num>
  <w:num w:numId="179" w16cid:durableId="1420252364">
    <w:abstractNumId w:val="144"/>
  </w:num>
  <w:num w:numId="180" w16cid:durableId="931282110">
    <w:abstractNumId w:val="98"/>
  </w:num>
  <w:num w:numId="181" w16cid:durableId="209265291">
    <w:abstractNumId w:val="245"/>
  </w:num>
  <w:num w:numId="182" w16cid:durableId="285432823">
    <w:abstractNumId w:val="310"/>
  </w:num>
  <w:num w:numId="183" w16cid:durableId="50739666">
    <w:abstractNumId w:val="370"/>
  </w:num>
  <w:num w:numId="184" w16cid:durableId="616985733">
    <w:abstractNumId w:val="554"/>
  </w:num>
  <w:num w:numId="185" w16cid:durableId="1140264944">
    <w:abstractNumId w:val="18"/>
  </w:num>
  <w:num w:numId="186" w16cid:durableId="1994288844">
    <w:abstractNumId w:val="187"/>
  </w:num>
  <w:num w:numId="187" w16cid:durableId="2023243675">
    <w:abstractNumId w:val="115"/>
  </w:num>
  <w:num w:numId="188" w16cid:durableId="1045789795">
    <w:abstractNumId w:val="503"/>
  </w:num>
  <w:num w:numId="189" w16cid:durableId="1717504037">
    <w:abstractNumId w:val="527"/>
  </w:num>
  <w:num w:numId="190" w16cid:durableId="1981422271">
    <w:abstractNumId w:val="248"/>
    <w:lvlOverride w:ilvl="0">
      <w:lvl w:ilvl="0">
        <w:numFmt w:val="decimal"/>
        <w:lvlText w:val=""/>
        <w:lvlJc w:val="left"/>
      </w:lvl>
    </w:lvlOverride>
    <w:lvlOverride w:ilvl="1">
      <w:lvl w:ilvl="1">
        <w:start w:val="1"/>
        <w:numFmt w:val="decimal"/>
        <w:lvlText w:val="A%1.%2"/>
        <w:lvlJc w:val="left"/>
        <w:pPr>
          <w:ind w:left="714" w:hanging="363"/>
        </w:pPr>
        <w:rPr>
          <w:rFonts w:ascii="Avenir LT 85 Heavy" w:hAnsi="Avenir LT 85 Heavy" w:hint="default"/>
          <w:sz w:val="20"/>
        </w:rPr>
      </w:lvl>
    </w:lvlOverride>
  </w:num>
  <w:num w:numId="191" w16cid:durableId="151071102">
    <w:abstractNumId w:val="157"/>
  </w:num>
  <w:num w:numId="192" w16cid:durableId="1507135251">
    <w:abstractNumId w:val="188"/>
  </w:num>
  <w:num w:numId="193" w16cid:durableId="2111314386">
    <w:abstractNumId w:val="552"/>
  </w:num>
  <w:num w:numId="194" w16cid:durableId="604772996">
    <w:abstractNumId w:val="413"/>
  </w:num>
  <w:num w:numId="195" w16cid:durableId="1154562335">
    <w:abstractNumId w:val="169"/>
  </w:num>
  <w:num w:numId="196" w16cid:durableId="1173377222">
    <w:abstractNumId w:val="309"/>
  </w:num>
  <w:num w:numId="197" w16cid:durableId="526797741">
    <w:abstractNumId w:val="24"/>
  </w:num>
  <w:num w:numId="198" w16cid:durableId="1153326832">
    <w:abstractNumId w:val="156"/>
  </w:num>
  <w:num w:numId="199" w16cid:durableId="211230239">
    <w:abstractNumId w:val="469"/>
  </w:num>
  <w:num w:numId="200" w16cid:durableId="1070807667">
    <w:abstractNumId w:val="477"/>
  </w:num>
  <w:num w:numId="201" w16cid:durableId="1673218139">
    <w:abstractNumId w:val="562"/>
  </w:num>
  <w:num w:numId="202" w16cid:durableId="1556430307">
    <w:abstractNumId w:val="281"/>
  </w:num>
  <w:num w:numId="203" w16cid:durableId="1081219432">
    <w:abstractNumId w:val="529"/>
  </w:num>
  <w:num w:numId="204" w16cid:durableId="1832867649">
    <w:abstractNumId w:val="90"/>
  </w:num>
  <w:num w:numId="205" w16cid:durableId="144710157">
    <w:abstractNumId w:val="330"/>
  </w:num>
  <w:num w:numId="206" w16cid:durableId="1180895535">
    <w:abstractNumId w:val="120"/>
  </w:num>
  <w:num w:numId="207" w16cid:durableId="1277785284">
    <w:abstractNumId w:val="329"/>
  </w:num>
  <w:num w:numId="208" w16cid:durableId="194075294">
    <w:abstractNumId w:val="228"/>
  </w:num>
  <w:num w:numId="209" w16cid:durableId="1496801562">
    <w:abstractNumId w:val="410"/>
  </w:num>
  <w:num w:numId="210" w16cid:durableId="782766407">
    <w:abstractNumId w:val="63"/>
  </w:num>
  <w:num w:numId="211" w16cid:durableId="171647083">
    <w:abstractNumId w:val="263"/>
  </w:num>
  <w:num w:numId="212" w16cid:durableId="885680625">
    <w:abstractNumId w:val="321"/>
  </w:num>
  <w:num w:numId="213" w16cid:durableId="1483237099">
    <w:abstractNumId w:val="312"/>
  </w:num>
  <w:num w:numId="214" w16cid:durableId="1013452985">
    <w:abstractNumId w:val="206"/>
  </w:num>
  <w:num w:numId="215" w16cid:durableId="773476823">
    <w:abstractNumId w:val="58"/>
  </w:num>
  <w:num w:numId="216" w16cid:durableId="1191341039">
    <w:abstractNumId w:val="97"/>
  </w:num>
  <w:num w:numId="217" w16cid:durableId="798761906">
    <w:abstractNumId w:val="450"/>
  </w:num>
  <w:num w:numId="218" w16cid:durableId="70544094">
    <w:abstractNumId w:val="105"/>
  </w:num>
  <w:num w:numId="219" w16cid:durableId="1726024446">
    <w:abstractNumId w:val="328"/>
  </w:num>
  <w:num w:numId="220" w16cid:durableId="1791900685">
    <w:abstractNumId w:val="11"/>
  </w:num>
  <w:num w:numId="221" w16cid:durableId="1747069051">
    <w:abstractNumId w:val="140"/>
  </w:num>
  <w:num w:numId="222" w16cid:durableId="1998806293">
    <w:abstractNumId w:val="46"/>
  </w:num>
  <w:num w:numId="223" w16cid:durableId="1214581962">
    <w:abstractNumId w:val="236"/>
  </w:num>
  <w:num w:numId="224" w16cid:durableId="1787693500">
    <w:abstractNumId w:val="10"/>
  </w:num>
  <w:num w:numId="225" w16cid:durableId="1669164877">
    <w:abstractNumId w:val="133"/>
  </w:num>
  <w:num w:numId="226" w16cid:durableId="1893928447">
    <w:abstractNumId w:val="519"/>
  </w:num>
  <w:num w:numId="227" w16cid:durableId="2106339141">
    <w:abstractNumId w:val="406"/>
  </w:num>
  <w:num w:numId="228" w16cid:durableId="579339218">
    <w:abstractNumId w:val="92"/>
    <w:lvlOverride w:ilvl="0">
      <w:lvl w:ilvl="0">
        <w:start w:val="1"/>
        <w:numFmt w:val="decimal"/>
        <w:lvlText w:val="A%1"/>
        <w:lvlJc w:val="left"/>
        <w:pPr>
          <w:ind w:left="720" w:hanging="363"/>
        </w:pPr>
        <w:rPr>
          <w:rFonts w:ascii="Avenir LT 85 Heavy" w:hAnsi="Avenir LT 85 Heavy" w:hint="default"/>
          <w:sz w:val="20"/>
        </w:rPr>
      </w:lvl>
    </w:lvlOverride>
  </w:num>
  <w:num w:numId="229" w16cid:durableId="1429034167">
    <w:abstractNumId w:val="308"/>
  </w:num>
  <w:num w:numId="230" w16cid:durableId="1366640067">
    <w:abstractNumId w:val="3"/>
  </w:num>
  <w:num w:numId="231" w16cid:durableId="1241452092">
    <w:abstractNumId w:val="135"/>
  </w:num>
  <w:num w:numId="232" w16cid:durableId="146483887">
    <w:abstractNumId w:val="540"/>
  </w:num>
  <w:num w:numId="233" w16cid:durableId="481888602">
    <w:abstractNumId w:val="99"/>
  </w:num>
  <w:num w:numId="234" w16cid:durableId="1530559221">
    <w:abstractNumId w:val="68"/>
  </w:num>
  <w:num w:numId="235" w16cid:durableId="1593515259">
    <w:abstractNumId w:val="493"/>
  </w:num>
  <w:num w:numId="236" w16cid:durableId="2049723481">
    <w:abstractNumId w:val="349"/>
  </w:num>
  <w:num w:numId="237" w16cid:durableId="314725563">
    <w:abstractNumId w:val="340"/>
  </w:num>
  <w:num w:numId="238" w16cid:durableId="420024550">
    <w:abstractNumId w:val="284"/>
  </w:num>
  <w:num w:numId="239" w16cid:durableId="1935674205">
    <w:abstractNumId w:val="267"/>
  </w:num>
  <w:num w:numId="240" w16cid:durableId="497619619">
    <w:abstractNumId w:val="341"/>
  </w:num>
  <w:num w:numId="241" w16cid:durableId="1173642877">
    <w:abstractNumId w:val="482"/>
  </w:num>
  <w:num w:numId="242" w16cid:durableId="1986855876">
    <w:abstractNumId w:val="507"/>
  </w:num>
  <w:num w:numId="243" w16cid:durableId="1312951253">
    <w:abstractNumId w:val="498"/>
    <w:lvlOverride w:ilvl="0">
      <w:lvl w:ilvl="0">
        <w:start w:val="1"/>
        <w:numFmt w:val="decimal"/>
        <w:lvlText w:val="P%1"/>
        <w:lvlJc w:val="left"/>
        <w:pPr>
          <w:ind w:left="720" w:hanging="363"/>
        </w:pPr>
        <w:rPr>
          <w:rFonts w:ascii="Avenir LT 85 Heavy" w:hAnsi="Avenir LT 85 Heavy" w:hint="default"/>
          <w:sz w:val="20"/>
        </w:rPr>
      </w:lvl>
    </w:lvlOverride>
  </w:num>
  <w:num w:numId="244" w16cid:durableId="857278390">
    <w:abstractNumId w:val="249"/>
  </w:num>
  <w:num w:numId="245" w16cid:durableId="2142264604">
    <w:abstractNumId w:val="189"/>
    <w:lvlOverride w:ilvl="0">
      <w:lvl w:ilvl="0">
        <w:start w:val="1"/>
        <w:numFmt w:val="decimal"/>
        <w:lvlText w:val="A%1"/>
        <w:lvlJc w:val="left"/>
        <w:pPr>
          <w:ind w:left="720" w:hanging="363"/>
        </w:pPr>
        <w:rPr>
          <w:rFonts w:ascii="Avenir LT 85 Heavy" w:hAnsi="Avenir LT 85 Heavy" w:hint="default"/>
          <w:sz w:val="20"/>
        </w:rPr>
      </w:lvl>
    </w:lvlOverride>
  </w:num>
  <w:num w:numId="246" w16cid:durableId="1520895026">
    <w:abstractNumId w:val="274"/>
  </w:num>
  <w:num w:numId="247" w16cid:durableId="574239162">
    <w:abstractNumId w:val="126"/>
  </w:num>
  <w:num w:numId="248" w16cid:durableId="1821387929">
    <w:abstractNumId w:val="80"/>
  </w:num>
  <w:num w:numId="249" w16cid:durableId="660475394">
    <w:abstractNumId w:val="261"/>
  </w:num>
  <w:num w:numId="250" w16cid:durableId="923613529">
    <w:abstractNumId w:val="459"/>
  </w:num>
  <w:num w:numId="251" w16cid:durableId="1147667029">
    <w:abstractNumId w:val="300"/>
  </w:num>
  <w:num w:numId="252" w16cid:durableId="1766684869">
    <w:abstractNumId w:val="362"/>
  </w:num>
  <w:num w:numId="253" w16cid:durableId="1062873109">
    <w:abstractNumId w:val="198"/>
  </w:num>
  <w:num w:numId="254" w16cid:durableId="582300732">
    <w:abstractNumId w:val="495"/>
  </w:num>
  <w:num w:numId="255" w16cid:durableId="1322927646">
    <w:abstractNumId w:val="475"/>
  </w:num>
  <w:num w:numId="256" w16cid:durableId="40176532">
    <w:abstractNumId w:val="275"/>
  </w:num>
  <w:num w:numId="257" w16cid:durableId="1682659898">
    <w:abstractNumId w:val="122"/>
  </w:num>
  <w:num w:numId="258" w16cid:durableId="383068077">
    <w:abstractNumId w:val="280"/>
  </w:num>
  <w:num w:numId="259" w16cid:durableId="1313296475">
    <w:abstractNumId w:val="537"/>
  </w:num>
  <w:num w:numId="260" w16cid:durableId="2040005009">
    <w:abstractNumId w:val="298"/>
  </w:num>
  <w:num w:numId="261" w16cid:durableId="280189160">
    <w:abstractNumId w:val="119"/>
  </w:num>
  <w:num w:numId="262" w16cid:durableId="440686018">
    <w:abstractNumId w:val="549"/>
  </w:num>
  <w:num w:numId="263" w16cid:durableId="533612989">
    <w:abstractNumId w:val="143"/>
  </w:num>
  <w:num w:numId="264" w16cid:durableId="261842525">
    <w:abstractNumId w:val="490"/>
    <w:lvlOverride w:ilvl="0">
      <w:lvl w:ilvl="0">
        <w:start w:val="1"/>
        <w:numFmt w:val="decimal"/>
        <w:lvlText w:val="A%1"/>
        <w:lvlJc w:val="left"/>
        <w:pPr>
          <w:ind w:left="720" w:hanging="363"/>
        </w:pPr>
        <w:rPr>
          <w:rFonts w:ascii="Avenir LT 85 Heavy" w:hAnsi="Avenir LT 85 Heavy" w:hint="default"/>
          <w:sz w:val="20"/>
        </w:rPr>
      </w:lvl>
    </w:lvlOverride>
  </w:num>
  <w:num w:numId="265" w16cid:durableId="343435782">
    <w:abstractNumId w:val="252"/>
  </w:num>
  <w:num w:numId="266" w16cid:durableId="325675226">
    <w:abstractNumId w:val="385"/>
  </w:num>
  <w:num w:numId="267" w16cid:durableId="1733961577">
    <w:abstractNumId w:val="404"/>
  </w:num>
  <w:num w:numId="268" w16cid:durableId="381945261">
    <w:abstractNumId w:val="271"/>
  </w:num>
  <w:num w:numId="269" w16cid:durableId="1275940631">
    <w:abstractNumId w:val="431"/>
  </w:num>
  <w:num w:numId="270" w16cid:durableId="244464820">
    <w:abstractNumId w:val="170"/>
  </w:num>
  <w:num w:numId="271" w16cid:durableId="238485930">
    <w:abstractNumId w:val="376"/>
  </w:num>
  <w:num w:numId="272" w16cid:durableId="1020546424">
    <w:abstractNumId w:val="569"/>
  </w:num>
  <w:num w:numId="273" w16cid:durableId="261769172">
    <w:abstractNumId w:val="569"/>
    <w:lvlOverride w:ilvl="0">
      <w:lvl w:ilvl="0">
        <w:start w:val="1"/>
        <w:numFmt w:val="decimal"/>
        <w:lvlText w:val="%1.0"/>
        <w:lvlJc w:val="left"/>
        <w:pPr>
          <w:ind w:left="0" w:firstLine="0"/>
        </w:pPr>
        <w:rPr>
          <w:rFonts w:ascii="Avenir LT 65 Medium" w:hAnsi="Avenir LT 65 Medium" w:hint="default"/>
          <w:b w:val="0"/>
          <w:i w:val="0"/>
          <w:sz w:val="24"/>
        </w:rPr>
      </w:lvl>
    </w:lvlOverride>
    <w:lvlOverride w:ilvl="1">
      <w:lvl w:ilvl="1">
        <w:start w:val="1"/>
        <w:numFmt w:val="decimal"/>
        <w:lvlText w:val="%1.%2"/>
        <w:lvlJc w:val="left"/>
        <w:pPr>
          <w:ind w:left="0" w:firstLine="0"/>
        </w:pPr>
        <w:rPr>
          <w:rFonts w:ascii="Avenir LT 65 Medium" w:hAnsi="Avenir LT 65 Medium" w:hint="default"/>
          <w:b w:val="0"/>
          <w:i w:val="0"/>
          <w:sz w:val="22"/>
        </w:rPr>
      </w:lvl>
    </w:lvlOverride>
    <w:lvlOverride w:ilvl="2">
      <w:lvl w:ilvl="2">
        <w:start w:val="1"/>
        <w:numFmt w:val="decimal"/>
        <w:lvlText w:val="%1.%2.%3"/>
        <w:lvlJc w:val="left"/>
        <w:pPr>
          <w:ind w:left="0" w:firstLine="0"/>
        </w:pPr>
        <w:rPr>
          <w:rFonts w:ascii="Avenir LT 65 Medium" w:hAnsi="Avenir LT 65 Medium" w:hint="default"/>
          <w:sz w:val="22"/>
        </w:rPr>
      </w:lvl>
    </w:lvlOverride>
    <w:lvlOverride w:ilvl="3">
      <w:lvl w:ilvl="3">
        <w:start w:val="1"/>
        <w:numFmt w:val="decimal"/>
        <w:lvlText w:val="%1.%2.%3.%4"/>
        <w:lvlJc w:val="left"/>
        <w:pPr>
          <w:ind w:left="0" w:firstLine="0"/>
        </w:pPr>
        <w:rPr>
          <w:rFonts w:ascii="Avenir LT 45 Book" w:hAnsi="Avenir LT 45 Book" w:hint="default"/>
          <w:b w:val="0"/>
          <w:i w:val="0"/>
          <w:sz w:val="22"/>
        </w:rPr>
      </w:lvl>
    </w:lvlOverride>
    <w:lvlOverride w:ilvl="4">
      <w:lvl w:ilvl="4">
        <w:start w:val="1"/>
        <w:numFmt w:val="decimal"/>
        <w:lvlText w:val="%1.%2.%3.%4.%5"/>
        <w:lvlJc w:val="left"/>
        <w:pPr>
          <w:ind w:left="0" w:firstLine="0"/>
        </w:pPr>
        <w:rPr>
          <w:rFonts w:ascii="Avenir LT 45 Book" w:hAnsi="Avenir LT 45 Book" w:hint="default"/>
          <w:b w:val="0"/>
          <w:i w:val="0"/>
          <w:sz w:val="22"/>
        </w:rPr>
      </w:lvl>
    </w:lvlOverride>
    <w:lvlOverride w:ilvl="5">
      <w:lvl w:ilvl="5">
        <w:start w:val="1"/>
        <w:numFmt w:val="decimal"/>
        <w:lvlText w:val="%1.%2.%3.%4.%5.%6"/>
        <w:lvlJc w:val="left"/>
        <w:pPr>
          <w:ind w:left="0" w:firstLine="0"/>
        </w:pPr>
        <w:rPr>
          <w:rFonts w:ascii="Avenir LT 45 Book" w:hAnsi="Avenir LT 45 Book" w:hint="default"/>
          <w:b w:val="0"/>
          <w:i w:val="0"/>
          <w:sz w:val="22"/>
        </w:rPr>
      </w:lvl>
    </w:lvlOverride>
    <w:lvlOverride w:ilvl="6">
      <w:lvl w:ilvl="6">
        <w:start w:val="1"/>
        <w:numFmt w:val="none"/>
        <w:lvlText w:val="%1.%2.%3.%4.%5.%6"/>
        <w:lvlJc w:val="left"/>
        <w:pPr>
          <w:ind w:left="0" w:firstLine="0"/>
        </w:pPr>
        <w:rPr>
          <w:rFonts w:ascii="Avenir LT 45 Book" w:hAnsi="Avenir LT 45 Book" w:hint="default"/>
          <w:b w:val="0"/>
          <w:i w:val="0"/>
          <w:sz w:val="22"/>
        </w:rPr>
      </w:lvl>
    </w:lvlOverride>
    <w:lvlOverride w:ilvl="7">
      <w:lvl w:ilvl="7">
        <w:start w:val="1"/>
        <w:numFmt w:val="lowerLetter"/>
        <w:lvlText w:val="%8."/>
        <w:lvlJc w:val="left"/>
        <w:pPr>
          <w:ind w:left="8280" w:hanging="360"/>
        </w:pPr>
        <w:rPr>
          <w:rFonts w:hint="default"/>
        </w:rPr>
      </w:lvl>
    </w:lvlOverride>
    <w:lvlOverride w:ilvl="8">
      <w:lvl w:ilvl="8">
        <w:start w:val="1"/>
        <w:numFmt w:val="lowerRoman"/>
        <w:lvlText w:val="%9."/>
        <w:lvlJc w:val="left"/>
        <w:pPr>
          <w:ind w:left="8640" w:hanging="360"/>
        </w:pPr>
        <w:rPr>
          <w:rFonts w:hint="default"/>
        </w:rPr>
      </w:lvl>
    </w:lvlOverride>
  </w:num>
  <w:num w:numId="274" w16cid:durableId="750733870">
    <w:abstractNumId w:val="460"/>
  </w:num>
  <w:num w:numId="275" w16cid:durableId="1464079874">
    <w:abstractNumId w:val="148"/>
  </w:num>
  <w:num w:numId="276" w16cid:durableId="676620480">
    <w:abstractNumId w:val="96"/>
  </w:num>
  <w:num w:numId="277" w16cid:durableId="2130468405">
    <w:abstractNumId w:val="86"/>
  </w:num>
  <w:num w:numId="278" w16cid:durableId="32534772">
    <w:abstractNumId w:val="412"/>
  </w:num>
  <w:num w:numId="279" w16cid:durableId="1614747930">
    <w:abstractNumId w:val="528"/>
  </w:num>
  <w:num w:numId="280" w16cid:durableId="1103040852">
    <w:abstractNumId w:val="78"/>
  </w:num>
  <w:num w:numId="281" w16cid:durableId="1727561377">
    <w:abstractNumId w:val="570"/>
  </w:num>
  <w:num w:numId="282" w16cid:durableId="1049186831">
    <w:abstractNumId w:val="67"/>
  </w:num>
  <w:num w:numId="283" w16cid:durableId="1535191155">
    <w:abstractNumId w:val="484"/>
  </w:num>
  <w:num w:numId="284" w16cid:durableId="2145541215">
    <w:abstractNumId w:val="250"/>
  </w:num>
  <w:num w:numId="285" w16cid:durableId="531766505">
    <w:abstractNumId w:val="461"/>
  </w:num>
  <w:num w:numId="286" w16cid:durableId="321391428">
    <w:abstractNumId w:val="545"/>
  </w:num>
  <w:num w:numId="287" w16cid:durableId="334454640">
    <w:abstractNumId w:val="438"/>
  </w:num>
  <w:num w:numId="288" w16cid:durableId="957951949">
    <w:abstractNumId w:val="200"/>
  </w:num>
  <w:num w:numId="289" w16cid:durableId="1719014818">
    <w:abstractNumId w:val="516"/>
  </w:num>
  <w:num w:numId="290" w16cid:durableId="1363633660">
    <w:abstractNumId w:val="87"/>
  </w:num>
  <w:num w:numId="291" w16cid:durableId="551893928">
    <w:abstractNumId w:val="233"/>
  </w:num>
  <w:num w:numId="292" w16cid:durableId="191650716">
    <w:abstractNumId w:val="173"/>
  </w:num>
  <w:num w:numId="293" w16cid:durableId="1916889917">
    <w:abstractNumId w:val="294"/>
  </w:num>
  <w:num w:numId="294" w16cid:durableId="33502737">
    <w:abstractNumId w:val="390"/>
  </w:num>
  <w:num w:numId="295" w16cid:durableId="369644185">
    <w:abstractNumId w:val="107"/>
  </w:num>
  <w:num w:numId="296" w16cid:durableId="1215700557">
    <w:abstractNumId w:val="0"/>
  </w:num>
  <w:num w:numId="297" w16cid:durableId="1674410632">
    <w:abstractNumId w:val="109"/>
  </w:num>
  <w:num w:numId="298" w16cid:durableId="2122606733">
    <w:abstractNumId w:val="205"/>
  </w:num>
  <w:num w:numId="299" w16cid:durableId="1766263033">
    <w:abstractNumId w:val="53"/>
  </w:num>
  <w:num w:numId="300" w16cid:durableId="1673754209">
    <w:abstractNumId w:val="418"/>
  </w:num>
  <w:num w:numId="301" w16cid:durableId="1513567266">
    <w:abstractNumId w:val="256"/>
  </w:num>
  <w:num w:numId="302" w16cid:durableId="1862279426">
    <w:abstractNumId w:val="112"/>
  </w:num>
  <w:num w:numId="303" w16cid:durableId="256595820">
    <w:abstractNumId w:val="419"/>
  </w:num>
  <w:num w:numId="304" w16cid:durableId="610206536">
    <w:abstractNumId w:val="557"/>
  </w:num>
  <w:num w:numId="305" w16cid:durableId="1262837472">
    <w:abstractNumId w:val="224"/>
  </w:num>
  <w:num w:numId="306" w16cid:durableId="760102534">
    <w:abstractNumId w:val="313"/>
  </w:num>
  <w:num w:numId="307" w16cid:durableId="583026884">
    <w:abstractNumId w:val="532"/>
  </w:num>
  <w:num w:numId="308" w16cid:durableId="50539945">
    <w:abstractNumId w:val="45"/>
  </w:num>
  <w:num w:numId="309" w16cid:durableId="1087459078">
    <w:abstractNumId w:val="359"/>
  </w:num>
  <w:num w:numId="310" w16cid:durableId="1361513374">
    <w:abstractNumId w:val="253"/>
  </w:num>
  <w:num w:numId="311" w16cid:durableId="957882119">
    <w:abstractNumId w:val="283"/>
  </w:num>
  <w:num w:numId="312" w16cid:durableId="80765540">
    <w:abstractNumId w:val="444"/>
  </w:num>
  <w:num w:numId="313" w16cid:durableId="1063984229">
    <w:abstractNumId w:val="85"/>
  </w:num>
  <w:num w:numId="314" w16cid:durableId="125536211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16cid:durableId="938871126">
    <w:abstractNumId w:val="199"/>
  </w:num>
  <w:num w:numId="316" w16cid:durableId="651521474">
    <w:abstractNumId w:val="225"/>
  </w:num>
  <w:num w:numId="317" w16cid:durableId="608467408">
    <w:abstractNumId w:val="353"/>
  </w:num>
  <w:num w:numId="318" w16cid:durableId="913051316">
    <w:abstractNumId w:val="443"/>
  </w:num>
  <w:num w:numId="319" w16cid:durableId="1692149177">
    <w:abstractNumId w:val="339"/>
  </w:num>
  <w:num w:numId="320" w16cid:durableId="1143081597">
    <w:abstractNumId w:val="319"/>
  </w:num>
  <w:num w:numId="321" w16cid:durableId="1759666960">
    <w:abstractNumId w:val="397"/>
  </w:num>
  <w:num w:numId="322" w16cid:durableId="2000957369">
    <w:abstractNumId w:val="425"/>
  </w:num>
  <w:num w:numId="323" w16cid:durableId="1454514914">
    <w:abstractNumId w:val="182"/>
  </w:num>
  <w:num w:numId="324" w16cid:durableId="256135002">
    <w:abstractNumId w:val="320"/>
  </w:num>
  <w:num w:numId="325" w16cid:durableId="1362626219">
    <w:abstractNumId w:val="342"/>
  </w:num>
  <w:num w:numId="326" w16cid:durableId="371921431">
    <w:abstractNumId w:val="485"/>
  </w:num>
  <w:num w:numId="327" w16cid:durableId="742416875">
    <w:abstractNumId w:val="510"/>
  </w:num>
  <w:num w:numId="328" w16cid:durableId="2085905170">
    <w:abstractNumId w:val="186"/>
  </w:num>
  <w:num w:numId="329" w16cid:durableId="1641228562">
    <w:abstractNumId w:val="296"/>
  </w:num>
  <w:num w:numId="330" w16cid:durableId="1464999927">
    <w:abstractNumId w:val="13"/>
  </w:num>
  <w:num w:numId="331" w16cid:durableId="1373310469">
    <w:abstractNumId w:val="22"/>
  </w:num>
  <w:num w:numId="332" w16cid:durableId="721641013">
    <w:abstractNumId w:val="41"/>
  </w:num>
  <w:num w:numId="333" w16cid:durableId="1547639069">
    <w:abstractNumId w:val="60"/>
  </w:num>
  <w:num w:numId="334" w16cid:durableId="373120461">
    <w:abstractNumId w:val="207"/>
  </w:num>
  <w:num w:numId="335" w16cid:durableId="1690333695">
    <w:abstractNumId w:val="366"/>
  </w:num>
  <w:num w:numId="336" w16cid:durableId="1153252554">
    <w:abstractNumId w:val="334"/>
  </w:num>
  <w:num w:numId="337" w16cid:durableId="810638771">
    <w:abstractNumId w:val="502"/>
  </w:num>
  <w:num w:numId="338" w16cid:durableId="1362173035">
    <w:abstractNumId w:val="290"/>
  </w:num>
  <w:num w:numId="339" w16cid:durableId="1056516709">
    <w:abstractNumId w:val="446"/>
  </w:num>
  <w:num w:numId="340" w16cid:durableId="2073967481">
    <w:abstractNumId w:val="513"/>
  </w:num>
  <w:num w:numId="341" w16cid:durableId="1859388170">
    <w:abstractNumId w:val="457"/>
  </w:num>
  <w:num w:numId="342" w16cid:durableId="425199942">
    <w:abstractNumId w:val="344"/>
  </w:num>
  <w:num w:numId="343" w16cid:durableId="1508665897">
    <w:abstractNumId w:val="558"/>
  </w:num>
  <w:num w:numId="344" w16cid:durableId="411775673">
    <w:abstractNumId w:val="151"/>
  </w:num>
  <w:num w:numId="345" w16cid:durableId="1319530334">
    <w:abstractNumId w:val="159"/>
  </w:num>
  <w:num w:numId="346" w16cid:durableId="2010938073">
    <w:abstractNumId w:val="102"/>
  </w:num>
  <w:num w:numId="347" w16cid:durableId="429008848">
    <w:abstractNumId w:val="417"/>
  </w:num>
  <w:num w:numId="348" w16cid:durableId="1387603876">
    <w:abstractNumId w:val="196"/>
  </w:num>
  <w:num w:numId="349" w16cid:durableId="1209221506">
    <w:abstractNumId w:val="471"/>
  </w:num>
  <w:num w:numId="350" w16cid:durableId="2123645226">
    <w:abstractNumId w:val="47"/>
  </w:num>
  <w:num w:numId="351" w16cid:durableId="1339235876">
    <w:abstractNumId w:val="423"/>
  </w:num>
  <w:num w:numId="352" w16cid:durableId="896818296">
    <w:abstractNumId w:val="326"/>
  </w:num>
  <w:num w:numId="353" w16cid:durableId="1393851077">
    <w:abstractNumId w:val="52"/>
  </w:num>
  <w:num w:numId="354" w16cid:durableId="918438848">
    <w:abstractNumId w:val="5"/>
  </w:num>
  <w:num w:numId="355" w16cid:durableId="973757807">
    <w:abstractNumId w:val="508"/>
  </w:num>
  <w:num w:numId="356" w16cid:durableId="1187713704">
    <w:abstractNumId w:val="566"/>
  </w:num>
  <w:num w:numId="357" w16cid:durableId="1281261176">
    <w:abstractNumId w:val="234"/>
  </w:num>
  <w:num w:numId="358" w16cid:durableId="1567305150">
    <w:abstractNumId w:val="467"/>
  </w:num>
  <w:num w:numId="359" w16cid:durableId="1221163143">
    <w:abstractNumId w:val="202"/>
  </w:num>
  <w:num w:numId="360" w16cid:durableId="971524546">
    <w:abstractNumId w:val="128"/>
  </w:num>
  <w:num w:numId="361" w16cid:durableId="1013727539">
    <w:abstractNumId w:val="382"/>
  </w:num>
  <w:num w:numId="362" w16cid:durableId="1942489575">
    <w:abstractNumId w:val="567"/>
  </w:num>
  <w:num w:numId="363" w16cid:durableId="1863547186">
    <w:abstractNumId w:val="244"/>
  </w:num>
  <w:num w:numId="364" w16cid:durableId="1101414911">
    <w:abstractNumId w:val="20"/>
  </w:num>
  <w:num w:numId="365" w16cid:durableId="482938780">
    <w:abstractNumId w:val="239"/>
  </w:num>
  <w:num w:numId="366" w16cid:durableId="40640626">
    <w:abstractNumId w:val="574"/>
  </w:num>
  <w:num w:numId="367" w16cid:durableId="196699128">
    <w:abstractNumId w:val="285"/>
  </w:num>
  <w:num w:numId="368" w16cid:durableId="1269238505">
    <w:abstractNumId w:val="34"/>
  </w:num>
  <w:num w:numId="369" w16cid:durableId="512230984">
    <w:abstractNumId w:val="323"/>
  </w:num>
  <w:num w:numId="370" w16cid:durableId="1324359380">
    <w:abstractNumId w:val="297"/>
  </w:num>
  <w:num w:numId="371" w16cid:durableId="1146363417">
    <w:abstractNumId w:val="31"/>
  </w:num>
  <w:num w:numId="372" w16cid:durableId="1374959375">
    <w:abstractNumId w:val="192"/>
  </w:num>
  <w:num w:numId="373" w16cid:durableId="1848982500">
    <w:abstractNumId w:val="147"/>
  </w:num>
  <w:num w:numId="374" w16cid:durableId="1335836154">
    <w:abstractNumId w:val="473"/>
  </w:num>
  <w:num w:numId="375" w16cid:durableId="1544367026">
    <w:abstractNumId w:val="100"/>
  </w:num>
  <w:num w:numId="376" w16cid:durableId="2012101760">
    <w:abstractNumId w:val="7"/>
  </w:num>
  <w:num w:numId="377" w16cid:durableId="111440559">
    <w:abstractNumId w:val="483"/>
  </w:num>
  <w:num w:numId="378" w16cid:durableId="1048259133">
    <w:abstractNumId w:val="149"/>
  </w:num>
  <w:num w:numId="379" w16cid:durableId="178813817">
    <w:abstractNumId w:val="403"/>
  </w:num>
  <w:num w:numId="380" w16cid:durableId="424108276">
    <w:abstractNumId w:val="55"/>
  </w:num>
  <w:num w:numId="381" w16cid:durableId="890188458">
    <w:abstractNumId w:val="542"/>
  </w:num>
  <w:num w:numId="382" w16cid:durableId="742262736">
    <w:abstractNumId w:val="113"/>
  </w:num>
  <w:num w:numId="383" w16cid:durableId="135685652">
    <w:abstractNumId w:val="295"/>
  </w:num>
  <w:num w:numId="384" w16cid:durableId="2010402356">
    <w:abstractNumId w:val="398"/>
  </w:num>
  <w:num w:numId="385" w16cid:durableId="1384521661">
    <w:abstractNumId w:val="247"/>
  </w:num>
  <w:num w:numId="386" w16cid:durableId="443504987">
    <w:abstractNumId w:val="35"/>
  </w:num>
  <w:num w:numId="387" w16cid:durableId="1492671708">
    <w:abstractNumId w:val="543"/>
  </w:num>
  <w:num w:numId="388" w16cid:durableId="149715070">
    <w:abstractNumId w:val="210"/>
  </w:num>
  <w:num w:numId="389" w16cid:durableId="66002278">
    <w:abstractNumId w:val="121"/>
  </w:num>
  <w:num w:numId="390" w16cid:durableId="1581208358">
    <w:abstractNumId w:val="355"/>
  </w:num>
  <w:num w:numId="391" w16cid:durableId="1580209989">
    <w:abstractNumId w:val="332"/>
  </w:num>
  <w:num w:numId="392" w16cid:durableId="794251367">
    <w:abstractNumId w:val="8"/>
  </w:num>
  <w:num w:numId="393" w16cid:durableId="818349663">
    <w:abstractNumId w:val="15"/>
  </w:num>
  <w:num w:numId="394" w16cid:durableId="62026525">
    <w:abstractNumId w:val="541"/>
  </w:num>
  <w:num w:numId="395" w16cid:durableId="1655909905">
    <w:abstractNumId w:val="158"/>
  </w:num>
  <w:num w:numId="396" w16cid:durableId="677080786">
    <w:abstractNumId w:val="221"/>
  </w:num>
  <w:num w:numId="397" w16cid:durableId="1063065313">
    <w:abstractNumId w:val="59"/>
  </w:num>
  <w:num w:numId="398" w16cid:durableId="566764713">
    <w:abstractNumId w:val="470"/>
  </w:num>
  <w:num w:numId="399" w16cid:durableId="1438718049">
    <w:abstractNumId w:val="172"/>
  </w:num>
  <w:num w:numId="400" w16cid:durableId="1857116565">
    <w:abstractNumId w:val="348"/>
  </w:num>
  <w:num w:numId="401" w16cid:durableId="211814014">
    <w:abstractNumId w:val="521"/>
  </w:num>
  <w:num w:numId="402" w16cid:durableId="1819104286">
    <w:abstractNumId w:val="19"/>
  </w:num>
  <w:num w:numId="403" w16cid:durableId="1342049658">
    <w:abstractNumId w:val="481"/>
  </w:num>
  <w:num w:numId="404" w16cid:durableId="1798982676">
    <w:abstractNumId w:val="276"/>
  </w:num>
  <w:num w:numId="405" w16cid:durableId="1787843856">
    <w:abstractNumId w:val="426"/>
  </w:num>
  <w:num w:numId="406" w16cid:durableId="534083861">
    <w:abstractNumId w:val="500"/>
  </w:num>
  <w:num w:numId="407" w16cid:durableId="1742558622">
    <w:abstractNumId w:val="43"/>
  </w:num>
  <w:num w:numId="408" w16cid:durableId="185410540">
    <w:abstractNumId w:val="218"/>
  </w:num>
  <w:num w:numId="409" w16cid:durableId="216549819">
    <w:abstractNumId w:val="153"/>
  </w:num>
  <w:num w:numId="410" w16cid:durableId="1942756994">
    <w:abstractNumId w:val="83"/>
  </w:num>
  <w:num w:numId="411" w16cid:durableId="608464203">
    <w:abstractNumId w:val="414"/>
  </w:num>
  <w:num w:numId="412" w16cid:durableId="961618795">
    <w:abstractNumId w:val="293"/>
  </w:num>
  <w:num w:numId="413" w16cid:durableId="1298560759">
    <w:abstractNumId w:val="136"/>
  </w:num>
  <w:num w:numId="414" w16cid:durableId="180095949">
    <w:abstractNumId w:val="489"/>
  </w:num>
  <w:num w:numId="415" w16cid:durableId="726612231">
    <w:abstractNumId w:val="226"/>
  </w:num>
  <w:num w:numId="416" w16cid:durableId="1586110798">
    <w:abstractNumId w:val="337"/>
  </w:num>
  <w:num w:numId="417" w16cid:durableId="204408797">
    <w:abstractNumId w:val="447"/>
  </w:num>
  <w:num w:numId="418" w16cid:durableId="658772768">
    <w:abstractNumId w:val="389"/>
  </w:num>
  <w:num w:numId="419" w16cid:durableId="453402121">
    <w:abstractNumId w:val="358"/>
  </w:num>
  <w:num w:numId="420" w16cid:durableId="18548805">
    <w:abstractNumId w:val="26"/>
  </w:num>
  <w:num w:numId="421" w16cid:durableId="1490246411">
    <w:abstractNumId w:val="152"/>
  </w:num>
  <w:num w:numId="422" w16cid:durableId="1191332493">
    <w:abstractNumId w:val="287"/>
  </w:num>
  <w:num w:numId="423" w16cid:durableId="494338642">
    <w:abstractNumId w:val="346"/>
  </w:num>
  <w:num w:numId="424" w16cid:durableId="1928416591">
    <w:abstractNumId w:val="39"/>
  </w:num>
  <w:num w:numId="425" w16cid:durableId="2066027829">
    <w:abstractNumId w:val="560"/>
  </w:num>
  <w:num w:numId="426" w16cid:durableId="1555970075">
    <w:abstractNumId w:val="123"/>
  </w:num>
  <w:num w:numId="427" w16cid:durableId="1735156789">
    <w:abstractNumId w:val="238"/>
  </w:num>
  <w:num w:numId="428" w16cid:durableId="985016027">
    <w:abstractNumId w:val="411"/>
  </w:num>
  <w:num w:numId="429" w16cid:durableId="1316757261">
    <w:abstractNumId w:val="515"/>
  </w:num>
  <w:num w:numId="430" w16cid:durableId="1110003652">
    <w:abstractNumId w:val="455"/>
  </w:num>
  <w:num w:numId="431" w16cid:durableId="442112750">
    <w:abstractNumId w:val="246"/>
  </w:num>
  <w:num w:numId="432" w16cid:durableId="1689868305">
    <w:abstractNumId w:val="146"/>
  </w:num>
  <w:num w:numId="433" w16cid:durableId="1170827703">
    <w:abstractNumId w:val="208"/>
  </w:num>
  <w:num w:numId="434" w16cid:durableId="1861964147">
    <w:abstractNumId w:val="520"/>
  </w:num>
  <w:num w:numId="435" w16cid:durableId="796879075">
    <w:abstractNumId w:val="343"/>
  </w:num>
  <w:num w:numId="436" w16cid:durableId="1692680541">
    <w:abstractNumId w:val="356"/>
  </w:num>
  <w:num w:numId="437" w16cid:durableId="1538473239">
    <w:abstractNumId w:val="303"/>
  </w:num>
  <w:num w:numId="438" w16cid:durableId="828908810">
    <w:abstractNumId w:val="302"/>
  </w:num>
  <w:num w:numId="439" w16cid:durableId="2079477178">
    <w:abstractNumId w:val="318"/>
  </w:num>
  <w:num w:numId="440" w16cid:durableId="454712473">
    <w:abstractNumId w:val="164"/>
  </w:num>
  <w:num w:numId="441" w16cid:durableId="416558886">
    <w:abstractNumId w:val="57"/>
  </w:num>
  <w:num w:numId="442" w16cid:durableId="1772048373">
    <w:abstractNumId w:val="478"/>
  </w:num>
  <w:num w:numId="443" w16cid:durableId="709111515">
    <w:abstractNumId w:val="525"/>
  </w:num>
  <w:num w:numId="444" w16cid:durableId="1159233024">
    <w:abstractNumId w:val="547"/>
  </w:num>
  <w:num w:numId="445" w16cid:durableId="1899824917">
    <w:abstractNumId w:val="576"/>
  </w:num>
  <w:num w:numId="446" w16cid:durableId="861436618">
    <w:abstractNumId w:val="88"/>
  </w:num>
  <w:num w:numId="447" w16cid:durableId="253444819">
    <w:abstractNumId w:val="474"/>
  </w:num>
  <w:num w:numId="448" w16cid:durableId="1895045462">
    <w:abstractNumId w:val="335"/>
  </w:num>
  <w:num w:numId="449" w16cid:durableId="2111661692">
    <w:abstractNumId w:val="101"/>
  </w:num>
  <w:num w:numId="450" w16cid:durableId="1888374920">
    <w:abstractNumId w:val="476"/>
  </w:num>
  <w:num w:numId="451" w16cid:durableId="559367614">
    <w:abstractNumId w:val="435"/>
  </w:num>
  <w:num w:numId="452" w16cid:durableId="365910492">
    <w:abstractNumId w:val="354"/>
  </w:num>
  <w:num w:numId="453" w16cid:durableId="1844707654">
    <w:abstractNumId w:val="420"/>
  </w:num>
  <w:num w:numId="454" w16cid:durableId="2101631936">
    <w:abstractNumId w:val="103"/>
  </w:num>
  <w:num w:numId="455" w16cid:durableId="159741367">
    <w:abstractNumId w:val="16"/>
  </w:num>
  <w:num w:numId="456" w16cid:durableId="520558474">
    <w:abstractNumId w:val="383"/>
  </w:num>
  <w:num w:numId="457" w16cid:durableId="32579637">
    <w:abstractNumId w:val="142"/>
  </w:num>
  <w:num w:numId="458" w16cid:durableId="934748568">
    <w:abstractNumId w:val="466"/>
  </w:num>
  <w:num w:numId="459" w16cid:durableId="2145925229">
    <w:abstractNumId w:val="563"/>
  </w:num>
  <w:num w:numId="460" w16cid:durableId="1205291334">
    <w:abstractNumId w:val="262"/>
  </w:num>
  <w:num w:numId="461" w16cid:durableId="1555506152">
    <w:abstractNumId w:val="333"/>
  </w:num>
  <w:num w:numId="462" w16cid:durableId="1870796615">
    <w:abstractNumId w:val="368"/>
  </w:num>
  <w:num w:numId="463" w16cid:durableId="1720321832">
    <w:abstractNumId w:val="212"/>
  </w:num>
  <w:num w:numId="464" w16cid:durableId="949552875">
    <w:abstractNumId w:val="428"/>
  </w:num>
  <w:num w:numId="465" w16cid:durableId="497042292">
    <w:abstractNumId w:val="111"/>
  </w:num>
  <w:num w:numId="466" w16cid:durableId="1175850725">
    <w:abstractNumId w:val="71"/>
  </w:num>
  <w:num w:numId="467" w16cid:durableId="1798526290">
    <w:abstractNumId w:val="463"/>
  </w:num>
  <w:num w:numId="468" w16cid:durableId="928391335">
    <w:abstractNumId w:val="506"/>
  </w:num>
  <w:num w:numId="469" w16cid:durableId="640038476">
    <w:abstractNumId w:val="141"/>
  </w:num>
  <w:num w:numId="470" w16cid:durableId="2114592386">
    <w:abstractNumId w:val="235"/>
  </w:num>
  <w:num w:numId="471" w16cid:durableId="976953819">
    <w:abstractNumId w:val="227"/>
  </w:num>
  <w:num w:numId="472" w16cid:durableId="274944539">
    <w:abstractNumId w:val="127"/>
  </w:num>
  <w:num w:numId="473" w16cid:durableId="1442608209">
    <w:abstractNumId w:val="264"/>
  </w:num>
  <w:num w:numId="474" w16cid:durableId="1647367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16cid:durableId="541400338">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16cid:durableId="2144272867">
    <w:abstractNumId w:val="573"/>
  </w:num>
  <w:num w:numId="477" w16cid:durableId="423065072">
    <w:abstractNumId w:val="559"/>
  </w:num>
  <w:num w:numId="478" w16cid:durableId="1556696982">
    <w:abstractNumId w:val="165"/>
  </w:num>
  <w:num w:numId="479" w16cid:durableId="226309178">
    <w:abstractNumId w:val="174"/>
  </w:num>
  <w:num w:numId="480" w16cid:durableId="645471125">
    <w:abstractNumId w:val="89"/>
  </w:num>
  <w:num w:numId="481" w16cid:durableId="2050911639">
    <w:abstractNumId w:val="422"/>
  </w:num>
  <w:num w:numId="482" w16cid:durableId="903415729">
    <w:abstractNumId w:val="116"/>
  </w:num>
  <w:num w:numId="483" w16cid:durableId="641155516">
    <w:abstractNumId w:val="317"/>
  </w:num>
  <w:num w:numId="484" w16cid:durableId="58983108">
    <w:abstractNumId w:val="374"/>
  </w:num>
  <w:num w:numId="485" w16cid:durableId="1011177694">
    <w:abstractNumId w:val="108"/>
  </w:num>
  <w:num w:numId="486" w16cid:durableId="1966498995">
    <w:abstractNumId w:val="2"/>
  </w:num>
  <w:num w:numId="487" w16cid:durableId="923683120">
    <w:abstractNumId w:val="118"/>
  </w:num>
  <w:num w:numId="488" w16cid:durableId="77404664">
    <w:abstractNumId w:val="104"/>
  </w:num>
  <w:num w:numId="489" w16cid:durableId="1893030692">
    <w:abstractNumId w:val="352"/>
  </w:num>
  <w:num w:numId="490" w16cid:durableId="607397929">
    <w:abstractNumId w:val="400"/>
  </w:num>
  <w:num w:numId="491" w16cid:durableId="1382368364">
    <w:abstractNumId w:val="76"/>
  </w:num>
  <w:num w:numId="492" w16cid:durableId="1851216243">
    <w:abstractNumId w:val="301"/>
  </w:num>
  <w:num w:numId="493" w16cid:durableId="581649459">
    <w:abstractNumId w:val="512"/>
  </w:num>
  <w:num w:numId="494" w16cid:durableId="1014380853">
    <w:abstractNumId w:val="429"/>
  </w:num>
  <w:num w:numId="495" w16cid:durableId="1348943603">
    <w:abstractNumId w:val="534"/>
  </w:num>
  <w:num w:numId="496" w16cid:durableId="1186603233">
    <w:abstractNumId w:val="51"/>
  </w:num>
  <w:num w:numId="497" w16cid:durableId="1441990183">
    <w:abstractNumId w:val="440"/>
  </w:num>
  <w:num w:numId="498" w16cid:durableId="927807115">
    <w:abstractNumId w:val="230"/>
  </w:num>
  <w:num w:numId="499" w16cid:durableId="440878194">
    <w:abstractNumId w:val="254"/>
  </w:num>
  <w:num w:numId="500" w16cid:durableId="1499157083">
    <w:abstractNumId w:val="166"/>
  </w:num>
  <w:num w:numId="501" w16cid:durableId="1068262455">
    <w:abstractNumId w:val="387"/>
  </w:num>
  <w:num w:numId="502" w16cid:durableId="911041152">
    <w:abstractNumId w:val="117"/>
  </w:num>
  <w:num w:numId="503" w16cid:durableId="1195386202">
    <w:abstractNumId w:val="372"/>
  </w:num>
  <w:num w:numId="504" w16cid:durableId="530726831">
    <w:abstractNumId w:val="394"/>
  </w:num>
  <w:num w:numId="505" w16cid:durableId="1780832770">
    <w:abstractNumId w:val="454"/>
  </w:num>
  <w:num w:numId="506" w16cid:durableId="1521165138">
    <w:abstractNumId w:val="311"/>
  </w:num>
  <w:num w:numId="507" w16cid:durableId="1509245585">
    <w:abstractNumId w:val="360"/>
  </w:num>
  <w:num w:numId="508" w16cid:durableId="2040425079">
    <w:abstractNumId w:val="338"/>
  </w:num>
  <w:num w:numId="509" w16cid:durableId="549998613">
    <w:abstractNumId w:val="480"/>
  </w:num>
  <w:num w:numId="510" w16cid:durableId="1433355525">
    <w:abstractNumId w:val="6"/>
  </w:num>
  <w:num w:numId="511" w16cid:durableId="866331779">
    <w:abstractNumId w:val="350"/>
  </w:num>
  <w:num w:numId="512" w16cid:durableId="826751516">
    <w:abstractNumId w:val="73"/>
  </w:num>
  <w:num w:numId="513" w16cid:durableId="1361663282">
    <w:abstractNumId w:val="168"/>
  </w:num>
  <w:num w:numId="514" w16cid:durableId="1555000548">
    <w:abstractNumId w:val="161"/>
  </w:num>
  <w:num w:numId="515" w16cid:durableId="556742854">
    <w:abstractNumId w:val="324"/>
  </w:num>
  <w:num w:numId="516" w16cid:durableId="501625513">
    <w:abstractNumId w:val="277"/>
  </w:num>
  <w:num w:numId="517" w16cid:durableId="1047536294">
    <w:abstractNumId w:val="509"/>
  </w:num>
  <w:num w:numId="518" w16cid:durableId="2064867908">
    <w:abstractNumId w:val="84"/>
  </w:num>
  <w:num w:numId="519" w16cid:durableId="1226258510">
    <w:abstractNumId w:val="258"/>
  </w:num>
  <w:num w:numId="520" w16cid:durableId="1200245035">
    <w:abstractNumId w:val="70"/>
  </w:num>
  <w:num w:numId="521" w16cid:durableId="511115433">
    <w:abstractNumId w:val="424"/>
  </w:num>
  <w:num w:numId="522" w16cid:durableId="710153609">
    <w:abstractNumId w:val="468"/>
  </w:num>
  <w:num w:numId="523" w16cid:durableId="987781009">
    <w:abstractNumId w:val="499"/>
  </w:num>
  <w:num w:numId="524" w16cid:durableId="1566139429">
    <w:abstractNumId w:val="175"/>
  </w:num>
  <w:num w:numId="525" w16cid:durableId="1597900963">
    <w:abstractNumId w:val="197"/>
  </w:num>
  <w:num w:numId="526" w16cid:durableId="396126963">
    <w:abstractNumId w:val="325"/>
  </w:num>
  <w:num w:numId="527" w16cid:durableId="82335276">
    <w:abstractNumId w:val="369"/>
  </w:num>
  <w:num w:numId="528" w16cid:durableId="1398166234">
    <w:abstractNumId w:val="434"/>
  </w:num>
  <w:num w:numId="529" w16cid:durableId="1583637083">
    <w:abstractNumId w:val="316"/>
  </w:num>
  <w:num w:numId="530" w16cid:durableId="214659795">
    <w:abstractNumId w:val="381"/>
  </w:num>
  <w:num w:numId="531" w16cid:durableId="590506126">
    <w:abstractNumId w:val="427"/>
  </w:num>
  <w:num w:numId="532" w16cid:durableId="275991380">
    <w:abstractNumId w:val="195"/>
  </w:num>
  <w:num w:numId="533" w16cid:durableId="644358972">
    <w:abstractNumId w:val="472"/>
  </w:num>
  <w:num w:numId="534" w16cid:durableId="423381554">
    <w:abstractNumId w:val="553"/>
  </w:num>
  <w:num w:numId="535" w16cid:durableId="1170831406">
    <w:abstractNumId w:val="497"/>
  </w:num>
  <w:num w:numId="536" w16cid:durableId="420836689">
    <w:abstractNumId w:val="501"/>
  </w:num>
  <w:num w:numId="537" w16cid:durableId="825559972">
    <w:abstractNumId w:val="361"/>
  </w:num>
  <w:num w:numId="538" w16cid:durableId="533274521">
    <w:abstractNumId w:val="251"/>
  </w:num>
  <w:num w:numId="539" w16cid:durableId="1877350695">
    <w:abstractNumId w:val="125"/>
  </w:num>
  <w:num w:numId="540" w16cid:durableId="2064791933">
    <w:abstractNumId w:val="514"/>
  </w:num>
  <w:num w:numId="541" w16cid:durableId="1852836921">
    <w:abstractNumId w:val="392"/>
  </w:num>
  <w:num w:numId="542" w16cid:durableId="182868235">
    <w:abstractNumId w:val="432"/>
  </w:num>
  <w:num w:numId="543" w16cid:durableId="284505599">
    <w:abstractNumId w:val="232"/>
  </w:num>
  <w:num w:numId="544" w16cid:durableId="1817988215">
    <w:abstractNumId w:val="134"/>
  </w:num>
  <w:num w:numId="545" w16cid:durableId="766344189">
    <w:abstractNumId w:val="106"/>
  </w:num>
  <w:num w:numId="546" w16cid:durableId="1091777699">
    <w:abstractNumId w:val="479"/>
  </w:num>
  <w:num w:numId="547" w16cid:durableId="1180007633">
    <w:abstractNumId w:val="220"/>
  </w:num>
  <w:num w:numId="548" w16cid:durableId="214780952">
    <w:abstractNumId w:val="465"/>
  </w:num>
  <w:num w:numId="549" w16cid:durableId="529294110">
    <w:abstractNumId w:val="436"/>
  </w:num>
  <w:num w:numId="550" w16cid:durableId="657850955">
    <w:abstractNumId w:val="194"/>
  </w:num>
  <w:num w:numId="551" w16cid:durableId="1182010455">
    <w:abstractNumId w:val="54"/>
  </w:num>
  <w:num w:numId="552" w16cid:durableId="1381006261">
    <w:abstractNumId w:val="179"/>
  </w:num>
  <w:num w:numId="553" w16cid:durableId="613756574">
    <w:abstractNumId w:val="204"/>
  </w:num>
  <w:num w:numId="554" w16cid:durableId="1200358642">
    <w:abstractNumId w:val="530"/>
  </w:num>
  <w:num w:numId="555" w16cid:durableId="595331039">
    <w:abstractNumId w:val="241"/>
  </w:num>
  <w:num w:numId="556" w16cid:durableId="752164062">
    <w:abstractNumId w:val="222"/>
  </w:num>
  <w:num w:numId="557" w16cid:durableId="839082294">
    <w:abstractNumId w:val="183"/>
  </w:num>
  <w:num w:numId="558" w16cid:durableId="1341590483">
    <w:abstractNumId w:val="448"/>
  </w:num>
  <w:num w:numId="559" w16cid:durableId="1402944231">
    <w:abstractNumId w:val="526"/>
  </w:num>
  <w:num w:numId="560" w16cid:durableId="2078437560">
    <w:abstractNumId w:val="95"/>
  </w:num>
  <w:num w:numId="561" w16cid:durableId="1147894711">
    <w:abstractNumId w:val="65"/>
  </w:num>
  <w:num w:numId="562" w16cid:durableId="1185939728">
    <w:abstractNumId w:val="272"/>
  </w:num>
  <w:num w:numId="563" w16cid:durableId="1510221147">
    <w:abstractNumId w:val="416"/>
  </w:num>
  <w:num w:numId="564" w16cid:durableId="1622876572">
    <w:abstractNumId w:val="129"/>
  </w:num>
  <w:num w:numId="565" w16cid:durableId="2127573860">
    <w:abstractNumId w:val="132"/>
  </w:num>
  <w:num w:numId="566" w16cid:durableId="1611083788">
    <w:abstractNumId w:val="29"/>
  </w:num>
  <w:num w:numId="567" w16cid:durableId="1030766105">
    <w:abstractNumId w:val="351"/>
  </w:num>
  <w:num w:numId="568" w16cid:durableId="916789681">
    <w:abstractNumId w:val="486"/>
  </w:num>
  <w:num w:numId="569" w16cid:durableId="1557012717">
    <w:abstractNumId w:val="378"/>
  </w:num>
  <w:num w:numId="570" w16cid:durableId="1584492377">
    <w:abstractNumId w:val="367"/>
  </w:num>
  <w:num w:numId="571" w16cid:durableId="1315258172">
    <w:abstractNumId w:val="393"/>
  </w:num>
  <w:num w:numId="572" w16cid:durableId="124083330">
    <w:abstractNumId w:val="209"/>
  </w:num>
  <w:num w:numId="573" w16cid:durableId="85615394">
    <w:abstractNumId w:val="270"/>
  </w:num>
  <w:num w:numId="574" w16cid:durableId="1304892962">
    <w:abstractNumId w:val="49"/>
  </w:num>
  <w:num w:numId="575" w16cid:durableId="465976398">
    <w:abstractNumId w:val="48"/>
  </w:num>
  <w:num w:numId="576" w16cid:durableId="2000114081">
    <w:abstractNumId w:val="533"/>
  </w:num>
  <w:num w:numId="577" w16cid:durableId="1062217775">
    <w:abstractNumId w:val="395"/>
  </w:num>
  <w:num w:numId="578" w16cid:durableId="719744544">
    <w:abstractNumId w:val="61"/>
  </w:num>
  <w:numIdMacAtCleanup w:val="5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3E87"/>
    <w:rsid w:val="000010BB"/>
    <w:rsid w:val="00003ACA"/>
    <w:rsid w:val="00007BC9"/>
    <w:rsid w:val="00016932"/>
    <w:rsid w:val="00020992"/>
    <w:rsid w:val="000212B1"/>
    <w:rsid w:val="00025A38"/>
    <w:rsid w:val="000321C8"/>
    <w:rsid w:val="000430A2"/>
    <w:rsid w:val="000430B6"/>
    <w:rsid w:val="000435AA"/>
    <w:rsid w:val="00045DC5"/>
    <w:rsid w:val="00047CB7"/>
    <w:rsid w:val="00052293"/>
    <w:rsid w:val="000552AD"/>
    <w:rsid w:val="00057296"/>
    <w:rsid w:val="00057396"/>
    <w:rsid w:val="000577A3"/>
    <w:rsid w:val="00060800"/>
    <w:rsid w:val="00062301"/>
    <w:rsid w:val="00063DD7"/>
    <w:rsid w:val="0006540A"/>
    <w:rsid w:val="0006610C"/>
    <w:rsid w:val="0008185E"/>
    <w:rsid w:val="000823CA"/>
    <w:rsid w:val="00082DB7"/>
    <w:rsid w:val="00084A3F"/>
    <w:rsid w:val="00087424"/>
    <w:rsid w:val="000913E9"/>
    <w:rsid w:val="0009696C"/>
    <w:rsid w:val="00097FF1"/>
    <w:rsid w:val="000A458A"/>
    <w:rsid w:val="000A5624"/>
    <w:rsid w:val="000A5B09"/>
    <w:rsid w:val="000A6A26"/>
    <w:rsid w:val="000A7EEA"/>
    <w:rsid w:val="000C07AD"/>
    <w:rsid w:val="000C1E1C"/>
    <w:rsid w:val="000C29DC"/>
    <w:rsid w:val="000E4502"/>
    <w:rsid w:val="000F6FF8"/>
    <w:rsid w:val="00102CA0"/>
    <w:rsid w:val="001054BA"/>
    <w:rsid w:val="00107197"/>
    <w:rsid w:val="00110364"/>
    <w:rsid w:val="00111418"/>
    <w:rsid w:val="00111FC3"/>
    <w:rsid w:val="00113E47"/>
    <w:rsid w:val="00116A0C"/>
    <w:rsid w:val="00121E13"/>
    <w:rsid w:val="00125ECD"/>
    <w:rsid w:val="00131EAF"/>
    <w:rsid w:val="0013610A"/>
    <w:rsid w:val="001400A8"/>
    <w:rsid w:val="001414BA"/>
    <w:rsid w:val="001451B0"/>
    <w:rsid w:val="0014591B"/>
    <w:rsid w:val="0015103E"/>
    <w:rsid w:val="0015426F"/>
    <w:rsid w:val="001543AD"/>
    <w:rsid w:val="00156970"/>
    <w:rsid w:val="00160E4C"/>
    <w:rsid w:val="00164C01"/>
    <w:rsid w:val="0016753D"/>
    <w:rsid w:val="00167AD0"/>
    <w:rsid w:val="00183E47"/>
    <w:rsid w:val="00185BF4"/>
    <w:rsid w:val="00187E4E"/>
    <w:rsid w:val="001903A1"/>
    <w:rsid w:val="00197D26"/>
    <w:rsid w:val="001A1544"/>
    <w:rsid w:val="001A55C5"/>
    <w:rsid w:val="001A685E"/>
    <w:rsid w:val="001A7972"/>
    <w:rsid w:val="001B5B0A"/>
    <w:rsid w:val="001C2952"/>
    <w:rsid w:val="001C59A5"/>
    <w:rsid w:val="001C7F4A"/>
    <w:rsid w:val="001D156A"/>
    <w:rsid w:val="001D165E"/>
    <w:rsid w:val="001D2965"/>
    <w:rsid w:val="001D2E60"/>
    <w:rsid w:val="001D6410"/>
    <w:rsid w:val="001D7345"/>
    <w:rsid w:val="001D7F3E"/>
    <w:rsid w:val="001F0392"/>
    <w:rsid w:val="001F159B"/>
    <w:rsid w:val="00202060"/>
    <w:rsid w:val="00202E12"/>
    <w:rsid w:val="00204A62"/>
    <w:rsid w:val="00204D38"/>
    <w:rsid w:val="00206BFD"/>
    <w:rsid w:val="00210062"/>
    <w:rsid w:val="00210A41"/>
    <w:rsid w:val="002166E1"/>
    <w:rsid w:val="002203B1"/>
    <w:rsid w:val="00220B1B"/>
    <w:rsid w:val="00232D87"/>
    <w:rsid w:val="002332BE"/>
    <w:rsid w:val="002351BC"/>
    <w:rsid w:val="00245106"/>
    <w:rsid w:val="002475E2"/>
    <w:rsid w:val="00247DBB"/>
    <w:rsid w:val="0025254F"/>
    <w:rsid w:val="00255165"/>
    <w:rsid w:val="00256110"/>
    <w:rsid w:val="002568D5"/>
    <w:rsid w:val="00261ACB"/>
    <w:rsid w:val="00262175"/>
    <w:rsid w:val="002627A6"/>
    <w:rsid w:val="00265622"/>
    <w:rsid w:val="002656F5"/>
    <w:rsid w:val="00267F4C"/>
    <w:rsid w:val="00272EB4"/>
    <w:rsid w:val="00275F50"/>
    <w:rsid w:val="00281099"/>
    <w:rsid w:val="002824F8"/>
    <w:rsid w:val="00284F4C"/>
    <w:rsid w:val="00285297"/>
    <w:rsid w:val="00285A85"/>
    <w:rsid w:val="00287890"/>
    <w:rsid w:val="0028797B"/>
    <w:rsid w:val="00292508"/>
    <w:rsid w:val="0029325F"/>
    <w:rsid w:val="002A1F8D"/>
    <w:rsid w:val="002A3889"/>
    <w:rsid w:val="002B1876"/>
    <w:rsid w:val="002B335E"/>
    <w:rsid w:val="002B6A65"/>
    <w:rsid w:val="002B7590"/>
    <w:rsid w:val="002C4F6E"/>
    <w:rsid w:val="002C6E58"/>
    <w:rsid w:val="002D138F"/>
    <w:rsid w:val="002D6804"/>
    <w:rsid w:val="002D6926"/>
    <w:rsid w:val="002E1444"/>
    <w:rsid w:val="002E2944"/>
    <w:rsid w:val="002E6654"/>
    <w:rsid w:val="002F4265"/>
    <w:rsid w:val="002F6B25"/>
    <w:rsid w:val="003015BB"/>
    <w:rsid w:val="003039AF"/>
    <w:rsid w:val="00303E96"/>
    <w:rsid w:val="00310E50"/>
    <w:rsid w:val="0031307D"/>
    <w:rsid w:val="00324F70"/>
    <w:rsid w:val="0032649F"/>
    <w:rsid w:val="003309BF"/>
    <w:rsid w:val="00331B91"/>
    <w:rsid w:val="0033352E"/>
    <w:rsid w:val="00333837"/>
    <w:rsid w:val="00333982"/>
    <w:rsid w:val="00333BEC"/>
    <w:rsid w:val="00334EE3"/>
    <w:rsid w:val="003369A9"/>
    <w:rsid w:val="003434F9"/>
    <w:rsid w:val="00351F3D"/>
    <w:rsid w:val="00355F2E"/>
    <w:rsid w:val="003623C6"/>
    <w:rsid w:val="00367513"/>
    <w:rsid w:val="00367C7B"/>
    <w:rsid w:val="00391FD9"/>
    <w:rsid w:val="00397A83"/>
    <w:rsid w:val="003A1A80"/>
    <w:rsid w:val="003B31DA"/>
    <w:rsid w:val="003C6BA5"/>
    <w:rsid w:val="003D010C"/>
    <w:rsid w:val="003D30F2"/>
    <w:rsid w:val="003D4055"/>
    <w:rsid w:val="003D65FF"/>
    <w:rsid w:val="003E0B9A"/>
    <w:rsid w:val="003E0F9C"/>
    <w:rsid w:val="003E3A67"/>
    <w:rsid w:val="003F1D8D"/>
    <w:rsid w:val="003F2125"/>
    <w:rsid w:val="00400D24"/>
    <w:rsid w:val="004111DE"/>
    <w:rsid w:val="0041150C"/>
    <w:rsid w:val="0041207D"/>
    <w:rsid w:val="00413AC7"/>
    <w:rsid w:val="0041446E"/>
    <w:rsid w:val="0041594F"/>
    <w:rsid w:val="004237B0"/>
    <w:rsid w:val="00430340"/>
    <w:rsid w:val="00440F47"/>
    <w:rsid w:val="00443834"/>
    <w:rsid w:val="00443F2C"/>
    <w:rsid w:val="00444F1C"/>
    <w:rsid w:val="00446784"/>
    <w:rsid w:val="004614B6"/>
    <w:rsid w:val="0046441B"/>
    <w:rsid w:val="00465205"/>
    <w:rsid w:val="00467924"/>
    <w:rsid w:val="00467F77"/>
    <w:rsid w:val="00472E31"/>
    <w:rsid w:val="00473546"/>
    <w:rsid w:val="0047584C"/>
    <w:rsid w:val="00476A8C"/>
    <w:rsid w:val="0048473F"/>
    <w:rsid w:val="00486CAC"/>
    <w:rsid w:val="00492C9F"/>
    <w:rsid w:val="004935F9"/>
    <w:rsid w:val="004A59FD"/>
    <w:rsid w:val="004A6CD4"/>
    <w:rsid w:val="004B2412"/>
    <w:rsid w:val="004B2E6D"/>
    <w:rsid w:val="004B3882"/>
    <w:rsid w:val="004C4A75"/>
    <w:rsid w:val="004C4ADB"/>
    <w:rsid w:val="004C54EA"/>
    <w:rsid w:val="004C7530"/>
    <w:rsid w:val="004D1AAB"/>
    <w:rsid w:val="004D3E8B"/>
    <w:rsid w:val="004D51B7"/>
    <w:rsid w:val="004E6C98"/>
    <w:rsid w:val="004F0F1D"/>
    <w:rsid w:val="004F2F89"/>
    <w:rsid w:val="004F586C"/>
    <w:rsid w:val="004F6193"/>
    <w:rsid w:val="00505ACC"/>
    <w:rsid w:val="00506633"/>
    <w:rsid w:val="00507F24"/>
    <w:rsid w:val="00510B12"/>
    <w:rsid w:val="00510F7B"/>
    <w:rsid w:val="00513521"/>
    <w:rsid w:val="00515BF3"/>
    <w:rsid w:val="005171F2"/>
    <w:rsid w:val="005230B3"/>
    <w:rsid w:val="005269D3"/>
    <w:rsid w:val="0053186D"/>
    <w:rsid w:val="00531920"/>
    <w:rsid w:val="0054009D"/>
    <w:rsid w:val="00541D42"/>
    <w:rsid w:val="00542B44"/>
    <w:rsid w:val="00543E1B"/>
    <w:rsid w:val="00546492"/>
    <w:rsid w:val="00551775"/>
    <w:rsid w:val="005521E7"/>
    <w:rsid w:val="00552F0E"/>
    <w:rsid w:val="00561BE2"/>
    <w:rsid w:val="00562FFF"/>
    <w:rsid w:val="00574E1B"/>
    <w:rsid w:val="005851BA"/>
    <w:rsid w:val="00586D43"/>
    <w:rsid w:val="00592629"/>
    <w:rsid w:val="00594569"/>
    <w:rsid w:val="005955C3"/>
    <w:rsid w:val="00597090"/>
    <w:rsid w:val="00597282"/>
    <w:rsid w:val="005B2AA5"/>
    <w:rsid w:val="005B3450"/>
    <w:rsid w:val="005B4BD9"/>
    <w:rsid w:val="005B51CF"/>
    <w:rsid w:val="005C6781"/>
    <w:rsid w:val="005F0BE5"/>
    <w:rsid w:val="005F31FC"/>
    <w:rsid w:val="005F421C"/>
    <w:rsid w:val="005F4E70"/>
    <w:rsid w:val="006005F9"/>
    <w:rsid w:val="0060198F"/>
    <w:rsid w:val="00602E37"/>
    <w:rsid w:val="00604FC0"/>
    <w:rsid w:val="00606611"/>
    <w:rsid w:val="006112BF"/>
    <w:rsid w:val="00612DB8"/>
    <w:rsid w:val="006159B7"/>
    <w:rsid w:val="0062401B"/>
    <w:rsid w:val="00624BF5"/>
    <w:rsid w:val="0062714E"/>
    <w:rsid w:val="006272D3"/>
    <w:rsid w:val="0062740A"/>
    <w:rsid w:val="0063107B"/>
    <w:rsid w:val="00635833"/>
    <w:rsid w:val="0063713F"/>
    <w:rsid w:val="0063759C"/>
    <w:rsid w:val="00641014"/>
    <w:rsid w:val="00647175"/>
    <w:rsid w:val="006472C8"/>
    <w:rsid w:val="00647DF8"/>
    <w:rsid w:val="006505F7"/>
    <w:rsid w:val="00662CF7"/>
    <w:rsid w:val="00662D85"/>
    <w:rsid w:val="006633EF"/>
    <w:rsid w:val="00665A13"/>
    <w:rsid w:val="00666FFC"/>
    <w:rsid w:val="006763C4"/>
    <w:rsid w:val="006849D6"/>
    <w:rsid w:val="00692D9F"/>
    <w:rsid w:val="006A0C50"/>
    <w:rsid w:val="006A23FA"/>
    <w:rsid w:val="006A7093"/>
    <w:rsid w:val="006B1124"/>
    <w:rsid w:val="006B49C8"/>
    <w:rsid w:val="006C2BE9"/>
    <w:rsid w:val="006C6D50"/>
    <w:rsid w:val="006D07AE"/>
    <w:rsid w:val="006D089F"/>
    <w:rsid w:val="006D0967"/>
    <w:rsid w:val="006D5ABF"/>
    <w:rsid w:val="006D6805"/>
    <w:rsid w:val="006E4C0E"/>
    <w:rsid w:val="006E54D0"/>
    <w:rsid w:val="006F1399"/>
    <w:rsid w:val="006F1F28"/>
    <w:rsid w:val="006F6DAD"/>
    <w:rsid w:val="006F7BC1"/>
    <w:rsid w:val="00703158"/>
    <w:rsid w:val="00707F63"/>
    <w:rsid w:val="00710174"/>
    <w:rsid w:val="00711E41"/>
    <w:rsid w:val="007163B0"/>
    <w:rsid w:val="00720DB1"/>
    <w:rsid w:val="007316DC"/>
    <w:rsid w:val="00731C34"/>
    <w:rsid w:val="00733DE9"/>
    <w:rsid w:val="00734C83"/>
    <w:rsid w:val="00735771"/>
    <w:rsid w:val="00736719"/>
    <w:rsid w:val="00737E08"/>
    <w:rsid w:val="0074553C"/>
    <w:rsid w:val="00746ABF"/>
    <w:rsid w:val="007479BF"/>
    <w:rsid w:val="00753C65"/>
    <w:rsid w:val="00760D17"/>
    <w:rsid w:val="00761E47"/>
    <w:rsid w:val="00762BA1"/>
    <w:rsid w:val="00766830"/>
    <w:rsid w:val="0077046C"/>
    <w:rsid w:val="007714E3"/>
    <w:rsid w:val="007759BD"/>
    <w:rsid w:val="00781B78"/>
    <w:rsid w:val="00783E4C"/>
    <w:rsid w:val="00790B02"/>
    <w:rsid w:val="007A0E62"/>
    <w:rsid w:val="007A1587"/>
    <w:rsid w:val="007B07EB"/>
    <w:rsid w:val="007B3B6F"/>
    <w:rsid w:val="007B5B5B"/>
    <w:rsid w:val="007B679F"/>
    <w:rsid w:val="007B7628"/>
    <w:rsid w:val="007C32A8"/>
    <w:rsid w:val="007D0B6D"/>
    <w:rsid w:val="007D4DF6"/>
    <w:rsid w:val="007D5C00"/>
    <w:rsid w:val="007D689A"/>
    <w:rsid w:val="007E0F07"/>
    <w:rsid w:val="007E249C"/>
    <w:rsid w:val="007E6E51"/>
    <w:rsid w:val="007E7A1B"/>
    <w:rsid w:val="007E7C79"/>
    <w:rsid w:val="007F177A"/>
    <w:rsid w:val="007F4D47"/>
    <w:rsid w:val="00800F7A"/>
    <w:rsid w:val="00801FA4"/>
    <w:rsid w:val="008047BC"/>
    <w:rsid w:val="008048CE"/>
    <w:rsid w:val="00806D99"/>
    <w:rsid w:val="008125FD"/>
    <w:rsid w:val="00812BA6"/>
    <w:rsid w:val="00822598"/>
    <w:rsid w:val="008240F7"/>
    <w:rsid w:val="00826D45"/>
    <w:rsid w:val="00827110"/>
    <w:rsid w:val="00832CA2"/>
    <w:rsid w:val="0083371F"/>
    <w:rsid w:val="008357C7"/>
    <w:rsid w:val="00837116"/>
    <w:rsid w:val="00840B2C"/>
    <w:rsid w:val="008416B7"/>
    <w:rsid w:val="008434EA"/>
    <w:rsid w:val="00846564"/>
    <w:rsid w:val="00847998"/>
    <w:rsid w:val="00847DB8"/>
    <w:rsid w:val="00850EBF"/>
    <w:rsid w:val="00862911"/>
    <w:rsid w:val="00862AB2"/>
    <w:rsid w:val="0087597A"/>
    <w:rsid w:val="008806C0"/>
    <w:rsid w:val="00882106"/>
    <w:rsid w:val="00890492"/>
    <w:rsid w:val="00895C3A"/>
    <w:rsid w:val="008A2520"/>
    <w:rsid w:val="008A53B6"/>
    <w:rsid w:val="008A6421"/>
    <w:rsid w:val="008A6DA7"/>
    <w:rsid w:val="008A7E09"/>
    <w:rsid w:val="008B072F"/>
    <w:rsid w:val="008B1D65"/>
    <w:rsid w:val="008B5083"/>
    <w:rsid w:val="008B5680"/>
    <w:rsid w:val="008B6210"/>
    <w:rsid w:val="008B638F"/>
    <w:rsid w:val="008C14DB"/>
    <w:rsid w:val="008C2868"/>
    <w:rsid w:val="008C334E"/>
    <w:rsid w:val="008D2EC3"/>
    <w:rsid w:val="008D6C4F"/>
    <w:rsid w:val="008E2B1F"/>
    <w:rsid w:val="008E6824"/>
    <w:rsid w:val="008F134F"/>
    <w:rsid w:val="008F3843"/>
    <w:rsid w:val="008F4A30"/>
    <w:rsid w:val="008F63CA"/>
    <w:rsid w:val="00901DFF"/>
    <w:rsid w:val="00904BFC"/>
    <w:rsid w:val="009144C0"/>
    <w:rsid w:val="00926364"/>
    <w:rsid w:val="009269A5"/>
    <w:rsid w:val="00926F94"/>
    <w:rsid w:val="00927350"/>
    <w:rsid w:val="009275DA"/>
    <w:rsid w:val="00927E53"/>
    <w:rsid w:val="00930CDF"/>
    <w:rsid w:val="0093618A"/>
    <w:rsid w:val="009416F7"/>
    <w:rsid w:val="00944588"/>
    <w:rsid w:val="00953CA1"/>
    <w:rsid w:val="00956CC0"/>
    <w:rsid w:val="009579A8"/>
    <w:rsid w:val="00961956"/>
    <w:rsid w:val="009664C4"/>
    <w:rsid w:val="0096673E"/>
    <w:rsid w:val="009706BB"/>
    <w:rsid w:val="009723A4"/>
    <w:rsid w:val="00974B78"/>
    <w:rsid w:val="00976061"/>
    <w:rsid w:val="009829EA"/>
    <w:rsid w:val="00982C9F"/>
    <w:rsid w:val="00984648"/>
    <w:rsid w:val="00985EC3"/>
    <w:rsid w:val="00995FD3"/>
    <w:rsid w:val="00996626"/>
    <w:rsid w:val="009A574A"/>
    <w:rsid w:val="009B4C1D"/>
    <w:rsid w:val="009B5D07"/>
    <w:rsid w:val="009C40DB"/>
    <w:rsid w:val="009C6164"/>
    <w:rsid w:val="009C6DD8"/>
    <w:rsid w:val="009E5692"/>
    <w:rsid w:val="009E702C"/>
    <w:rsid w:val="009E7385"/>
    <w:rsid w:val="009F1EDC"/>
    <w:rsid w:val="009F458E"/>
    <w:rsid w:val="009F5ABD"/>
    <w:rsid w:val="009F6D58"/>
    <w:rsid w:val="00A02FF9"/>
    <w:rsid w:val="00A0408D"/>
    <w:rsid w:val="00A044A2"/>
    <w:rsid w:val="00A04674"/>
    <w:rsid w:val="00A047D0"/>
    <w:rsid w:val="00A15894"/>
    <w:rsid w:val="00A217F5"/>
    <w:rsid w:val="00A2336B"/>
    <w:rsid w:val="00A2715C"/>
    <w:rsid w:val="00A27277"/>
    <w:rsid w:val="00A307B7"/>
    <w:rsid w:val="00A338E5"/>
    <w:rsid w:val="00A33E87"/>
    <w:rsid w:val="00A35BE7"/>
    <w:rsid w:val="00A36126"/>
    <w:rsid w:val="00A373E9"/>
    <w:rsid w:val="00A3747B"/>
    <w:rsid w:val="00A4127F"/>
    <w:rsid w:val="00A42BE9"/>
    <w:rsid w:val="00A508A4"/>
    <w:rsid w:val="00A51CD9"/>
    <w:rsid w:val="00A53749"/>
    <w:rsid w:val="00A60D11"/>
    <w:rsid w:val="00A61CA9"/>
    <w:rsid w:val="00A628F0"/>
    <w:rsid w:val="00A71731"/>
    <w:rsid w:val="00A766F0"/>
    <w:rsid w:val="00A76A09"/>
    <w:rsid w:val="00A76BAC"/>
    <w:rsid w:val="00A76C77"/>
    <w:rsid w:val="00A778B9"/>
    <w:rsid w:val="00A82412"/>
    <w:rsid w:val="00A903A5"/>
    <w:rsid w:val="00A90DEE"/>
    <w:rsid w:val="00A9290F"/>
    <w:rsid w:val="00A9373D"/>
    <w:rsid w:val="00A94F0E"/>
    <w:rsid w:val="00AA0C1E"/>
    <w:rsid w:val="00AA5AEE"/>
    <w:rsid w:val="00AB1B20"/>
    <w:rsid w:val="00AB3570"/>
    <w:rsid w:val="00AB3B6C"/>
    <w:rsid w:val="00AB60B0"/>
    <w:rsid w:val="00AB6813"/>
    <w:rsid w:val="00AC303C"/>
    <w:rsid w:val="00AC6640"/>
    <w:rsid w:val="00AC797A"/>
    <w:rsid w:val="00AC7C4E"/>
    <w:rsid w:val="00AC7E95"/>
    <w:rsid w:val="00AD0E20"/>
    <w:rsid w:val="00AD4E49"/>
    <w:rsid w:val="00AD5419"/>
    <w:rsid w:val="00AD56A7"/>
    <w:rsid w:val="00AD7972"/>
    <w:rsid w:val="00AE2A2B"/>
    <w:rsid w:val="00AF00FA"/>
    <w:rsid w:val="00AF13D5"/>
    <w:rsid w:val="00AF746E"/>
    <w:rsid w:val="00B00094"/>
    <w:rsid w:val="00B00D30"/>
    <w:rsid w:val="00B028E9"/>
    <w:rsid w:val="00B046F0"/>
    <w:rsid w:val="00B11A8D"/>
    <w:rsid w:val="00B135D3"/>
    <w:rsid w:val="00B222A6"/>
    <w:rsid w:val="00B31BDA"/>
    <w:rsid w:val="00B32822"/>
    <w:rsid w:val="00B36C5A"/>
    <w:rsid w:val="00B4063E"/>
    <w:rsid w:val="00B418B0"/>
    <w:rsid w:val="00B434DD"/>
    <w:rsid w:val="00B43583"/>
    <w:rsid w:val="00B464F3"/>
    <w:rsid w:val="00B46EF1"/>
    <w:rsid w:val="00B47F10"/>
    <w:rsid w:val="00B50AAC"/>
    <w:rsid w:val="00B56140"/>
    <w:rsid w:val="00B640E1"/>
    <w:rsid w:val="00B654B2"/>
    <w:rsid w:val="00B65B43"/>
    <w:rsid w:val="00B67169"/>
    <w:rsid w:val="00B71509"/>
    <w:rsid w:val="00B737DC"/>
    <w:rsid w:val="00B8111F"/>
    <w:rsid w:val="00B90C61"/>
    <w:rsid w:val="00B93477"/>
    <w:rsid w:val="00B943C6"/>
    <w:rsid w:val="00BA165F"/>
    <w:rsid w:val="00BB24E8"/>
    <w:rsid w:val="00BB762C"/>
    <w:rsid w:val="00BB7742"/>
    <w:rsid w:val="00BC54F9"/>
    <w:rsid w:val="00BC5BBF"/>
    <w:rsid w:val="00BC6147"/>
    <w:rsid w:val="00BD1BBA"/>
    <w:rsid w:val="00BE054A"/>
    <w:rsid w:val="00BE10C4"/>
    <w:rsid w:val="00BE14FF"/>
    <w:rsid w:val="00BE3751"/>
    <w:rsid w:val="00BE407A"/>
    <w:rsid w:val="00BF0E06"/>
    <w:rsid w:val="00BF10B0"/>
    <w:rsid w:val="00BF1F95"/>
    <w:rsid w:val="00BF2CD9"/>
    <w:rsid w:val="00BF393D"/>
    <w:rsid w:val="00BF46C8"/>
    <w:rsid w:val="00BF666D"/>
    <w:rsid w:val="00C017EE"/>
    <w:rsid w:val="00C01D4C"/>
    <w:rsid w:val="00C03313"/>
    <w:rsid w:val="00C0368D"/>
    <w:rsid w:val="00C03873"/>
    <w:rsid w:val="00C041D6"/>
    <w:rsid w:val="00C045DD"/>
    <w:rsid w:val="00C13A3B"/>
    <w:rsid w:val="00C145D1"/>
    <w:rsid w:val="00C2142A"/>
    <w:rsid w:val="00C216FC"/>
    <w:rsid w:val="00C22959"/>
    <w:rsid w:val="00C33FE0"/>
    <w:rsid w:val="00C3795E"/>
    <w:rsid w:val="00C44D1F"/>
    <w:rsid w:val="00C55185"/>
    <w:rsid w:val="00C558AD"/>
    <w:rsid w:val="00C620F8"/>
    <w:rsid w:val="00C63DFC"/>
    <w:rsid w:val="00C646B2"/>
    <w:rsid w:val="00C7267C"/>
    <w:rsid w:val="00C90A93"/>
    <w:rsid w:val="00CA3E66"/>
    <w:rsid w:val="00CA4361"/>
    <w:rsid w:val="00CB0129"/>
    <w:rsid w:val="00CB7DA7"/>
    <w:rsid w:val="00CD43A9"/>
    <w:rsid w:val="00CD728D"/>
    <w:rsid w:val="00CE02E7"/>
    <w:rsid w:val="00CE251E"/>
    <w:rsid w:val="00CE4C1A"/>
    <w:rsid w:val="00CE5D0F"/>
    <w:rsid w:val="00CF01D0"/>
    <w:rsid w:val="00CF5405"/>
    <w:rsid w:val="00CF7233"/>
    <w:rsid w:val="00D03274"/>
    <w:rsid w:val="00D12216"/>
    <w:rsid w:val="00D15A29"/>
    <w:rsid w:val="00D22141"/>
    <w:rsid w:val="00D24C10"/>
    <w:rsid w:val="00D341F1"/>
    <w:rsid w:val="00D376C6"/>
    <w:rsid w:val="00D4082F"/>
    <w:rsid w:val="00D447B7"/>
    <w:rsid w:val="00D46B89"/>
    <w:rsid w:val="00D52769"/>
    <w:rsid w:val="00D5540F"/>
    <w:rsid w:val="00D56721"/>
    <w:rsid w:val="00D56AE7"/>
    <w:rsid w:val="00D577CE"/>
    <w:rsid w:val="00D61E21"/>
    <w:rsid w:val="00D645F5"/>
    <w:rsid w:val="00D64BBA"/>
    <w:rsid w:val="00D65959"/>
    <w:rsid w:val="00D66810"/>
    <w:rsid w:val="00D71E0E"/>
    <w:rsid w:val="00D755B6"/>
    <w:rsid w:val="00D75621"/>
    <w:rsid w:val="00D75B37"/>
    <w:rsid w:val="00D75E15"/>
    <w:rsid w:val="00D82852"/>
    <w:rsid w:val="00D841A0"/>
    <w:rsid w:val="00D85005"/>
    <w:rsid w:val="00D856B1"/>
    <w:rsid w:val="00D90BB9"/>
    <w:rsid w:val="00DC04FA"/>
    <w:rsid w:val="00DC6735"/>
    <w:rsid w:val="00DD096A"/>
    <w:rsid w:val="00DE26EC"/>
    <w:rsid w:val="00DE350B"/>
    <w:rsid w:val="00DE4444"/>
    <w:rsid w:val="00DE6DC1"/>
    <w:rsid w:val="00DF00DB"/>
    <w:rsid w:val="00DF0371"/>
    <w:rsid w:val="00DF397B"/>
    <w:rsid w:val="00E10B57"/>
    <w:rsid w:val="00E14879"/>
    <w:rsid w:val="00E16F52"/>
    <w:rsid w:val="00E237B8"/>
    <w:rsid w:val="00E270B4"/>
    <w:rsid w:val="00E27363"/>
    <w:rsid w:val="00E3607C"/>
    <w:rsid w:val="00E379A5"/>
    <w:rsid w:val="00E478AA"/>
    <w:rsid w:val="00E60DB5"/>
    <w:rsid w:val="00E6562C"/>
    <w:rsid w:val="00E70704"/>
    <w:rsid w:val="00E71D25"/>
    <w:rsid w:val="00E76A93"/>
    <w:rsid w:val="00E80A20"/>
    <w:rsid w:val="00E82163"/>
    <w:rsid w:val="00E845E5"/>
    <w:rsid w:val="00E9055C"/>
    <w:rsid w:val="00E91624"/>
    <w:rsid w:val="00E9280E"/>
    <w:rsid w:val="00E96381"/>
    <w:rsid w:val="00EA0D1A"/>
    <w:rsid w:val="00EA2651"/>
    <w:rsid w:val="00EA357C"/>
    <w:rsid w:val="00EA61B4"/>
    <w:rsid w:val="00EA69BB"/>
    <w:rsid w:val="00EA79AC"/>
    <w:rsid w:val="00EB12E1"/>
    <w:rsid w:val="00EB60AD"/>
    <w:rsid w:val="00EC605B"/>
    <w:rsid w:val="00EC67FC"/>
    <w:rsid w:val="00ED3ED4"/>
    <w:rsid w:val="00ED6CFB"/>
    <w:rsid w:val="00EE71CF"/>
    <w:rsid w:val="00EF011D"/>
    <w:rsid w:val="00EF1926"/>
    <w:rsid w:val="00EF4ED3"/>
    <w:rsid w:val="00EF56B4"/>
    <w:rsid w:val="00EF6E66"/>
    <w:rsid w:val="00F02656"/>
    <w:rsid w:val="00F0273E"/>
    <w:rsid w:val="00F1050A"/>
    <w:rsid w:val="00F106D4"/>
    <w:rsid w:val="00F1515F"/>
    <w:rsid w:val="00F233ED"/>
    <w:rsid w:val="00F23DE3"/>
    <w:rsid w:val="00F2434D"/>
    <w:rsid w:val="00F25D1B"/>
    <w:rsid w:val="00F25EA0"/>
    <w:rsid w:val="00F32368"/>
    <w:rsid w:val="00F333C3"/>
    <w:rsid w:val="00F336BA"/>
    <w:rsid w:val="00F43F73"/>
    <w:rsid w:val="00F5276D"/>
    <w:rsid w:val="00F55C58"/>
    <w:rsid w:val="00F60A43"/>
    <w:rsid w:val="00F61373"/>
    <w:rsid w:val="00F6294E"/>
    <w:rsid w:val="00F709C9"/>
    <w:rsid w:val="00F74526"/>
    <w:rsid w:val="00F75918"/>
    <w:rsid w:val="00F877CA"/>
    <w:rsid w:val="00F9352F"/>
    <w:rsid w:val="00F93FBB"/>
    <w:rsid w:val="00F97345"/>
    <w:rsid w:val="00F979FC"/>
    <w:rsid w:val="00F97FA8"/>
    <w:rsid w:val="00FA3169"/>
    <w:rsid w:val="00FA5404"/>
    <w:rsid w:val="00FA7A52"/>
    <w:rsid w:val="00FB11D5"/>
    <w:rsid w:val="00FB1C2E"/>
    <w:rsid w:val="00FC0CF1"/>
    <w:rsid w:val="00FC3043"/>
    <w:rsid w:val="00FC3385"/>
    <w:rsid w:val="00FC3E90"/>
    <w:rsid w:val="00FC490B"/>
    <w:rsid w:val="00FC5816"/>
    <w:rsid w:val="00FC6FDE"/>
    <w:rsid w:val="00FD02DE"/>
    <w:rsid w:val="00FD23E1"/>
    <w:rsid w:val="00FD4C05"/>
    <w:rsid w:val="00FD55D7"/>
    <w:rsid w:val="00FD7520"/>
    <w:rsid w:val="00FE022B"/>
    <w:rsid w:val="00FE1D12"/>
    <w:rsid w:val="00FE7A93"/>
    <w:rsid w:val="00FF1058"/>
    <w:rsid w:val="00FF449F"/>
    <w:rsid w:val="00FF46E3"/>
    <w:rsid w:val="00FF6714"/>
    <w:rsid w:val="00FF737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F61CC2"/>
  <w15:docId w15:val="{1F1636C7-D9B6-48F8-BE5C-4DB03F24D1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5AB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C620F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9F1ED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C33FE0"/>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next w:val="Normal"/>
    <w:link w:val="Heading5Char"/>
    <w:uiPriority w:val="9"/>
    <w:unhideWhenUsed/>
    <w:qFormat/>
    <w:rsid w:val="009F1EDC"/>
    <w:pPr>
      <w:spacing w:before="120" w:line="360" w:lineRule="auto"/>
      <w:outlineLvl w:val="4"/>
    </w:pPr>
    <w:rPr>
      <w:rFonts w:ascii="Avenir LT 65 Medium" w:eastAsiaTheme="majorEastAsia" w:hAnsi="Avenir LT 65 Medium" w:cs="Times New Roman"/>
      <w:bCs/>
      <w:color w:val="000000"/>
    </w:rPr>
  </w:style>
  <w:style w:type="paragraph" w:styleId="Heading6">
    <w:name w:val="heading 6"/>
    <w:basedOn w:val="Normal"/>
    <w:next w:val="Normal"/>
    <w:link w:val="Heading6Char"/>
    <w:uiPriority w:val="9"/>
    <w:unhideWhenUsed/>
    <w:qFormat/>
    <w:rsid w:val="009F1EDC"/>
    <w:pPr>
      <w:keepNext/>
      <w:keepLines/>
      <w:spacing w:line="360" w:lineRule="auto"/>
      <w:outlineLvl w:val="5"/>
    </w:pPr>
    <w:rPr>
      <w:rFonts w:ascii="Avenir LT 45 Book" w:eastAsiaTheme="majorEastAsia" w:hAnsi="Avenir LT 45 Book" w:cstheme="majorBidi"/>
      <w:iCs/>
    </w:rPr>
  </w:style>
  <w:style w:type="paragraph" w:styleId="Heading7">
    <w:name w:val="heading 7"/>
    <w:basedOn w:val="Normal"/>
    <w:next w:val="Normal"/>
    <w:link w:val="Heading7Char"/>
    <w:uiPriority w:val="9"/>
    <w:unhideWhenUsed/>
    <w:qFormat/>
    <w:rsid w:val="007163B0"/>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D6926"/>
    <w:pPr>
      <w:keepNext/>
      <w:keepLines/>
      <w:spacing w:before="40" w:after="0" w:line="259" w:lineRule="auto"/>
      <w:outlineLvl w:val="7"/>
    </w:pPr>
    <w:rPr>
      <w:rFonts w:asciiTheme="majorHAnsi" w:eastAsiaTheme="majorEastAsia" w:hAnsiTheme="majorHAnsi" w:cstheme="majorBidi"/>
      <w:color w:val="272727" w:themeColor="text1" w:themeTint="D8"/>
      <w:sz w:val="21"/>
      <w:szCs w:val="21"/>
      <w:lang w:eastAsia="zh-CN"/>
    </w:rPr>
  </w:style>
  <w:style w:type="paragraph" w:styleId="Heading9">
    <w:name w:val="heading 9"/>
    <w:basedOn w:val="Normal"/>
    <w:next w:val="Normal"/>
    <w:link w:val="Heading9Char"/>
    <w:uiPriority w:val="9"/>
    <w:semiHidden/>
    <w:unhideWhenUsed/>
    <w:qFormat/>
    <w:rsid w:val="002D6926"/>
    <w:pPr>
      <w:keepNext/>
      <w:keepLines/>
      <w:spacing w:before="40" w:after="0" w:line="259" w:lineRule="auto"/>
      <w:outlineLvl w:val="8"/>
    </w:pPr>
    <w:rPr>
      <w:rFonts w:asciiTheme="majorHAnsi" w:eastAsiaTheme="majorEastAsia" w:hAnsiTheme="majorHAnsi" w:cstheme="majorBidi"/>
      <w:i/>
      <w:iCs/>
      <w:color w:val="272727" w:themeColor="text1" w:themeTint="D8"/>
      <w:sz w:val="21"/>
      <w:szCs w:val="21"/>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title,title frontpage"/>
    <w:basedOn w:val="Normal"/>
    <w:next w:val="Normal"/>
    <w:link w:val="TitleChar"/>
    <w:uiPriority w:val="10"/>
    <w:qFormat/>
    <w:rsid w:val="00A33E8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aliases w:val="title Char,title frontpage Char"/>
    <w:basedOn w:val="DefaultParagraphFont"/>
    <w:link w:val="Title"/>
    <w:uiPriority w:val="10"/>
    <w:rsid w:val="00A33E87"/>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6D5AB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C620F8"/>
    <w:rPr>
      <w:rFonts w:asciiTheme="majorHAnsi" w:eastAsiaTheme="majorEastAsia" w:hAnsiTheme="majorHAnsi" w:cstheme="majorBidi"/>
      <w:b/>
      <w:bCs/>
      <w:color w:val="4F81BD" w:themeColor="accent1"/>
      <w:sz w:val="26"/>
      <w:szCs w:val="26"/>
    </w:rPr>
  </w:style>
  <w:style w:type="paragraph" w:styleId="ListParagraph">
    <w:name w:val="List Paragraph"/>
    <w:aliases w:val="List items,Bullet list,NFP GP Bulleted List,List Paragraph1"/>
    <w:basedOn w:val="Normal"/>
    <w:link w:val="ListParagraphChar"/>
    <w:uiPriority w:val="34"/>
    <w:qFormat/>
    <w:rsid w:val="0077046C"/>
    <w:pPr>
      <w:ind w:left="720"/>
      <w:contextualSpacing/>
    </w:pPr>
  </w:style>
  <w:style w:type="table" w:styleId="TableGrid">
    <w:name w:val="Table Grid"/>
    <w:basedOn w:val="TableNormal"/>
    <w:uiPriority w:val="59"/>
    <w:rsid w:val="006159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333982"/>
    <w:pPr>
      <w:spacing w:before="100" w:beforeAutospacing="1" w:after="100" w:afterAutospacing="1" w:line="240" w:lineRule="auto"/>
    </w:pPr>
    <w:rPr>
      <w:rFonts w:ascii="Times New Roman" w:eastAsia="Times New Roman" w:hAnsi="Times New Roman" w:cs="Times New Roman"/>
      <w:color w:val="000000"/>
      <w:sz w:val="24"/>
      <w:szCs w:val="24"/>
      <w:lang w:eastAsia="en-AU"/>
    </w:rPr>
  </w:style>
  <w:style w:type="paragraph" w:customStyle="1" w:styleId="Pa3">
    <w:name w:val="Pa3"/>
    <w:basedOn w:val="Normal"/>
    <w:uiPriority w:val="99"/>
    <w:rsid w:val="00D341F1"/>
    <w:pPr>
      <w:autoSpaceDE w:val="0"/>
      <w:autoSpaceDN w:val="0"/>
      <w:spacing w:after="0" w:line="161" w:lineRule="atLeast"/>
    </w:pPr>
    <w:rPr>
      <w:rFonts w:ascii="Arial" w:hAnsi="Arial" w:cs="Arial"/>
      <w:sz w:val="24"/>
      <w:szCs w:val="24"/>
    </w:rPr>
  </w:style>
  <w:style w:type="character" w:customStyle="1" w:styleId="A1">
    <w:name w:val="A1"/>
    <w:basedOn w:val="DefaultParagraphFont"/>
    <w:uiPriority w:val="99"/>
    <w:rsid w:val="00D341F1"/>
    <w:rPr>
      <w:color w:val="000000"/>
    </w:rPr>
  </w:style>
  <w:style w:type="paragraph" w:styleId="Header">
    <w:name w:val="header"/>
    <w:basedOn w:val="Normal"/>
    <w:link w:val="HeaderChar"/>
    <w:unhideWhenUsed/>
    <w:rsid w:val="00110364"/>
    <w:pPr>
      <w:tabs>
        <w:tab w:val="center" w:pos="4513"/>
        <w:tab w:val="right" w:pos="9026"/>
      </w:tabs>
      <w:spacing w:after="0" w:line="240" w:lineRule="auto"/>
    </w:pPr>
  </w:style>
  <w:style w:type="character" w:customStyle="1" w:styleId="HeaderChar">
    <w:name w:val="Header Char"/>
    <w:basedOn w:val="DefaultParagraphFont"/>
    <w:link w:val="Header"/>
    <w:rsid w:val="00110364"/>
  </w:style>
  <w:style w:type="paragraph" w:styleId="Footer">
    <w:name w:val="footer"/>
    <w:basedOn w:val="Normal"/>
    <w:link w:val="FooterChar"/>
    <w:uiPriority w:val="99"/>
    <w:unhideWhenUsed/>
    <w:rsid w:val="0011036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0364"/>
  </w:style>
  <w:style w:type="paragraph" w:customStyle="1" w:styleId="Default">
    <w:name w:val="Default"/>
    <w:rsid w:val="009F5ABD"/>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5230B3"/>
    <w:rPr>
      <w:color w:val="0000FF" w:themeColor="hyperlink"/>
      <w:u w:val="single"/>
    </w:rPr>
  </w:style>
  <w:style w:type="paragraph" w:customStyle="1" w:styleId="FeatureCopy">
    <w:name w:val="Feature Copy"/>
    <w:basedOn w:val="Normal"/>
    <w:link w:val="FeatureCopyChar"/>
    <w:qFormat/>
    <w:rsid w:val="0096673E"/>
    <w:pPr>
      <w:spacing w:after="0" w:line="240" w:lineRule="auto"/>
    </w:pPr>
    <w:rPr>
      <w:rFonts w:ascii="Arial" w:hAnsi="Arial" w:cs="Arial"/>
      <w:color w:val="205686"/>
      <w:szCs w:val="20"/>
    </w:rPr>
  </w:style>
  <w:style w:type="character" w:customStyle="1" w:styleId="FeatureCopyChar">
    <w:name w:val="Feature Copy Char"/>
    <w:basedOn w:val="DefaultParagraphFont"/>
    <w:link w:val="FeatureCopy"/>
    <w:rsid w:val="0096673E"/>
    <w:rPr>
      <w:rFonts w:ascii="Arial" w:hAnsi="Arial" w:cs="Arial"/>
      <w:color w:val="205686"/>
      <w:szCs w:val="20"/>
    </w:rPr>
  </w:style>
  <w:style w:type="paragraph" w:styleId="BodyText">
    <w:name w:val="Body Text"/>
    <w:basedOn w:val="Normal"/>
    <w:link w:val="BodyTextChar"/>
    <w:qFormat/>
    <w:rsid w:val="00A60D11"/>
    <w:pPr>
      <w:spacing w:after="120" w:line="240" w:lineRule="auto"/>
      <w:ind w:left="720"/>
    </w:pPr>
    <w:rPr>
      <w:rFonts w:ascii="Arial" w:eastAsia="Times New Roman" w:hAnsi="Arial" w:cs="Times New Roman"/>
      <w:szCs w:val="20"/>
      <w:lang w:val="en-US"/>
    </w:rPr>
  </w:style>
  <w:style w:type="character" w:customStyle="1" w:styleId="BodyTextChar">
    <w:name w:val="Body Text Char"/>
    <w:basedOn w:val="DefaultParagraphFont"/>
    <w:link w:val="BodyText"/>
    <w:rsid w:val="00A60D11"/>
    <w:rPr>
      <w:rFonts w:ascii="Arial" w:eastAsia="Times New Roman" w:hAnsi="Arial" w:cs="Times New Roman"/>
      <w:szCs w:val="20"/>
      <w:lang w:val="en-US"/>
    </w:rPr>
  </w:style>
  <w:style w:type="paragraph" w:styleId="BodyTextIndent">
    <w:name w:val="Body Text Indent"/>
    <w:basedOn w:val="Normal"/>
    <w:link w:val="BodyTextIndentChar"/>
    <w:uiPriority w:val="99"/>
    <w:unhideWhenUsed/>
    <w:rsid w:val="003A1A80"/>
    <w:pPr>
      <w:spacing w:after="120"/>
      <w:ind w:left="283"/>
    </w:pPr>
  </w:style>
  <w:style w:type="character" w:customStyle="1" w:styleId="BodyTextIndentChar">
    <w:name w:val="Body Text Indent Char"/>
    <w:basedOn w:val="DefaultParagraphFont"/>
    <w:link w:val="BodyTextIndent"/>
    <w:uiPriority w:val="99"/>
    <w:rsid w:val="003A1A80"/>
  </w:style>
  <w:style w:type="character" w:customStyle="1" w:styleId="Heading4Char">
    <w:name w:val="Heading 4 Char"/>
    <w:basedOn w:val="DefaultParagraphFont"/>
    <w:link w:val="Heading4"/>
    <w:uiPriority w:val="9"/>
    <w:rsid w:val="00C33FE0"/>
    <w:rPr>
      <w:rFonts w:asciiTheme="majorHAnsi" w:eastAsiaTheme="majorEastAsia" w:hAnsiTheme="majorHAnsi" w:cstheme="majorBidi"/>
      <w:i/>
      <w:iCs/>
      <w:color w:val="365F91" w:themeColor="accent1" w:themeShade="BF"/>
    </w:rPr>
  </w:style>
  <w:style w:type="character" w:customStyle="1" w:styleId="text-persondetails-position">
    <w:name w:val="text-persondetails-position"/>
    <w:basedOn w:val="DefaultParagraphFont"/>
    <w:rsid w:val="00C33FE0"/>
  </w:style>
  <w:style w:type="paragraph" w:styleId="BalloonText">
    <w:name w:val="Balloon Text"/>
    <w:basedOn w:val="Normal"/>
    <w:link w:val="BalloonTextChar"/>
    <w:uiPriority w:val="99"/>
    <w:semiHidden/>
    <w:unhideWhenUsed/>
    <w:rsid w:val="004644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441B"/>
    <w:rPr>
      <w:rFonts w:ascii="Tahoma" w:hAnsi="Tahoma" w:cs="Tahoma"/>
      <w:sz w:val="16"/>
      <w:szCs w:val="16"/>
    </w:rPr>
  </w:style>
  <w:style w:type="paragraph" w:customStyle="1" w:styleId="TableParagraph">
    <w:name w:val="Table Paragraph"/>
    <w:basedOn w:val="Normal"/>
    <w:uiPriority w:val="1"/>
    <w:qFormat/>
    <w:rsid w:val="0046441B"/>
    <w:pPr>
      <w:widowControl w:val="0"/>
      <w:autoSpaceDE w:val="0"/>
      <w:autoSpaceDN w:val="0"/>
      <w:spacing w:after="0" w:line="240" w:lineRule="auto"/>
      <w:ind w:left="822"/>
    </w:pPr>
    <w:rPr>
      <w:rFonts w:ascii="Arial" w:eastAsia="Arial" w:hAnsi="Arial" w:cs="Arial"/>
      <w:lang w:val="en-US"/>
    </w:rPr>
  </w:style>
  <w:style w:type="paragraph" w:customStyle="1" w:styleId="Pa2">
    <w:name w:val="Pa2"/>
    <w:basedOn w:val="Normal"/>
    <w:next w:val="Normal"/>
    <w:rsid w:val="00826D45"/>
    <w:pPr>
      <w:autoSpaceDE w:val="0"/>
      <w:autoSpaceDN w:val="0"/>
      <w:adjustRightInd w:val="0"/>
      <w:spacing w:after="0" w:line="201" w:lineRule="atLeast"/>
    </w:pPr>
    <w:rPr>
      <w:rFonts w:ascii="GillSans Light" w:eastAsia="Times New Roman" w:hAnsi="GillSans Light" w:cs="Times New Roman"/>
      <w:sz w:val="24"/>
      <w:szCs w:val="24"/>
      <w:lang w:eastAsia="en-AU"/>
    </w:rPr>
  </w:style>
  <w:style w:type="paragraph" w:styleId="BodyTextIndent2">
    <w:name w:val="Body Text Indent 2"/>
    <w:basedOn w:val="Normal"/>
    <w:link w:val="BodyTextIndent2Char"/>
    <w:uiPriority w:val="99"/>
    <w:semiHidden/>
    <w:unhideWhenUsed/>
    <w:rsid w:val="00711E41"/>
    <w:pPr>
      <w:spacing w:after="120" w:line="480" w:lineRule="auto"/>
      <w:ind w:left="283"/>
    </w:pPr>
  </w:style>
  <w:style w:type="character" w:customStyle="1" w:styleId="BodyTextIndent2Char">
    <w:name w:val="Body Text Indent 2 Char"/>
    <w:basedOn w:val="DefaultParagraphFont"/>
    <w:link w:val="BodyTextIndent2"/>
    <w:uiPriority w:val="99"/>
    <w:semiHidden/>
    <w:rsid w:val="00711E41"/>
  </w:style>
  <w:style w:type="paragraph" w:styleId="BodyText3">
    <w:name w:val="Body Text 3"/>
    <w:basedOn w:val="Normal"/>
    <w:link w:val="BodyText3Char"/>
    <w:uiPriority w:val="99"/>
    <w:semiHidden/>
    <w:unhideWhenUsed/>
    <w:rsid w:val="00711E41"/>
    <w:pPr>
      <w:spacing w:after="120"/>
    </w:pPr>
    <w:rPr>
      <w:sz w:val="16"/>
      <w:szCs w:val="16"/>
    </w:rPr>
  </w:style>
  <w:style w:type="character" w:customStyle="1" w:styleId="BodyText3Char">
    <w:name w:val="Body Text 3 Char"/>
    <w:basedOn w:val="DefaultParagraphFont"/>
    <w:link w:val="BodyText3"/>
    <w:uiPriority w:val="99"/>
    <w:semiHidden/>
    <w:rsid w:val="00711E41"/>
    <w:rPr>
      <w:sz w:val="16"/>
      <w:szCs w:val="16"/>
    </w:rPr>
  </w:style>
  <w:style w:type="character" w:customStyle="1" w:styleId="Heading7Char">
    <w:name w:val="Heading 7 Char"/>
    <w:basedOn w:val="DefaultParagraphFont"/>
    <w:link w:val="Heading7"/>
    <w:uiPriority w:val="9"/>
    <w:rsid w:val="007163B0"/>
    <w:rPr>
      <w:rFonts w:asciiTheme="majorHAnsi" w:eastAsiaTheme="majorEastAsia" w:hAnsiTheme="majorHAnsi" w:cstheme="majorBidi"/>
      <w:i/>
      <w:iCs/>
      <w:color w:val="243F60" w:themeColor="accent1" w:themeShade="7F"/>
    </w:rPr>
  </w:style>
  <w:style w:type="paragraph" w:styleId="BodyTextIndent3">
    <w:name w:val="Body Text Indent 3"/>
    <w:basedOn w:val="Normal"/>
    <w:link w:val="BodyTextIndent3Char"/>
    <w:uiPriority w:val="99"/>
    <w:semiHidden/>
    <w:unhideWhenUsed/>
    <w:rsid w:val="007163B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163B0"/>
    <w:rPr>
      <w:sz w:val="16"/>
      <w:szCs w:val="16"/>
    </w:rPr>
  </w:style>
  <w:style w:type="paragraph" w:styleId="BodyText2">
    <w:name w:val="Body Text 2"/>
    <w:basedOn w:val="Normal"/>
    <w:link w:val="BodyText2Char"/>
    <w:unhideWhenUsed/>
    <w:rsid w:val="007163B0"/>
    <w:pPr>
      <w:spacing w:after="120" w:line="480" w:lineRule="auto"/>
    </w:pPr>
  </w:style>
  <w:style w:type="character" w:customStyle="1" w:styleId="BodyText2Char">
    <w:name w:val="Body Text 2 Char"/>
    <w:basedOn w:val="DefaultParagraphFont"/>
    <w:link w:val="BodyText2"/>
    <w:rsid w:val="007163B0"/>
  </w:style>
  <w:style w:type="character" w:customStyle="1" w:styleId="ListParagraphChar">
    <w:name w:val="List Paragraph Char"/>
    <w:aliases w:val="List items Char,Bullet list Char,NFP GP Bulleted List Char,List Paragraph1 Char"/>
    <w:basedOn w:val="DefaultParagraphFont"/>
    <w:link w:val="ListParagraph"/>
    <w:uiPriority w:val="34"/>
    <w:rsid w:val="007A1587"/>
  </w:style>
  <w:style w:type="character" w:customStyle="1" w:styleId="Heading3Char">
    <w:name w:val="Heading 3 Char"/>
    <w:basedOn w:val="DefaultParagraphFont"/>
    <w:link w:val="Heading3"/>
    <w:rsid w:val="009F1EDC"/>
    <w:rPr>
      <w:rFonts w:asciiTheme="majorHAnsi" w:eastAsiaTheme="majorEastAsia" w:hAnsiTheme="majorHAnsi" w:cstheme="majorBidi"/>
      <w:color w:val="243F60" w:themeColor="accent1" w:themeShade="7F"/>
      <w:sz w:val="24"/>
      <w:szCs w:val="24"/>
    </w:rPr>
  </w:style>
  <w:style w:type="character" w:customStyle="1" w:styleId="Heading5Char">
    <w:name w:val="Heading 5 Char"/>
    <w:basedOn w:val="DefaultParagraphFont"/>
    <w:link w:val="Heading5"/>
    <w:uiPriority w:val="9"/>
    <w:rsid w:val="009F1EDC"/>
    <w:rPr>
      <w:rFonts w:ascii="Avenir LT 65 Medium" w:eastAsiaTheme="majorEastAsia" w:hAnsi="Avenir LT 65 Medium" w:cs="Times New Roman"/>
      <w:bCs/>
      <w:color w:val="000000"/>
    </w:rPr>
  </w:style>
  <w:style w:type="character" w:customStyle="1" w:styleId="Heading6Char">
    <w:name w:val="Heading 6 Char"/>
    <w:basedOn w:val="DefaultParagraphFont"/>
    <w:link w:val="Heading6"/>
    <w:uiPriority w:val="9"/>
    <w:rsid w:val="009F1EDC"/>
    <w:rPr>
      <w:rFonts w:ascii="Avenir LT 45 Book" w:eastAsiaTheme="majorEastAsia" w:hAnsi="Avenir LT 45 Book" w:cstheme="majorBidi"/>
      <w:iCs/>
    </w:rPr>
  </w:style>
  <w:style w:type="character" w:styleId="PageNumber">
    <w:name w:val="page number"/>
    <w:rsid w:val="009F1EDC"/>
    <w:rPr>
      <w:rFonts w:ascii="Palatino" w:hAnsi="Palatino"/>
      <w:sz w:val="24"/>
      <w:szCs w:val="24"/>
    </w:rPr>
  </w:style>
  <w:style w:type="paragraph" w:styleId="TOCHeading">
    <w:name w:val="TOC Heading"/>
    <w:basedOn w:val="Heading1"/>
    <w:next w:val="Normal"/>
    <w:uiPriority w:val="39"/>
    <w:unhideWhenUsed/>
    <w:qFormat/>
    <w:rsid w:val="009F1EDC"/>
    <w:pPr>
      <w:outlineLvl w:val="9"/>
    </w:pPr>
    <w:rPr>
      <w:lang w:val="en-US"/>
    </w:rPr>
  </w:style>
  <w:style w:type="paragraph" w:styleId="TOC1">
    <w:name w:val="toc 1"/>
    <w:basedOn w:val="Normal"/>
    <w:next w:val="Normal"/>
    <w:autoRedefine/>
    <w:uiPriority w:val="39"/>
    <w:unhideWhenUsed/>
    <w:qFormat/>
    <w:rsid w:val="00C0368D"/>
    <w:pPr>
      <w:tabs>
        <w:tab w:val="left" w:pos="403"/>
        <w:tab w:val="right" w:pos="9214"/>
      </w:tabs>
      <w:spacing w:after="60" w:line="240" w:lineRule="auto"/>
    </w:pPr>
    <w:rPr>
      <w:rFonts w:eastAsia="Calibri"/>
      <w:sz w:val="24"/>
    </w:rPr>
  </w:style>
  <w:style w:type="paragraph" w:styleId="TOC2">
    <w:name w:val="toc 2"/>
    <w:basedOn w:val="Normal"/>
    <w:next w:val="Normal"/>
    <w:autoRedefine/>
    <w:uiPriority w:val="39"/>
    <w:unhideWhenUsed/>
    <w:qFormat/>
    <w:rsid w:val="00543E1B"/>
    <w:pPr>
      <w:tabs>
        <w:tab w:val="left" w:pos="851"/>
        <w:tab w:val="left" w:pos="1418"/>
        <w:tab w:val="right" w:leader="dot" w:pos="8931"/>
      </w:tabs>
      <w:spacing w:after="60" w:line="240" w:lineRule="auto"/>
      <w:ind w:left="851" w:hanging="425"/>
    </w:pPr>
    <w:rPr>
      <w:rFonts w:eastAsia="Calibri"/>
    </w:rPr>
  </w:style>
  <w:style w:type="paragraph" w:styleId="TOC3">
    <w:name w:val="toc 3"/>
    <w:basedOn w:val="Normal"/>
    <w:next w:val="Normal"/>
    <w:autoRedefine/>
    <w:uiPriority w:val="39"/>
    <w:unhideWhenUsed/>
    <w:rsid w:val="00B00094"/>
    <w:pPr>
      <w:tabs>
        <w:tab w:val="right" w:pos="9214"/>
      </w:tabs>
      <w:spacing w:after="60" w:line="240" w:lineRule="auto"/>
      <w:ind w:left="1985" w:hanging="1134"/>
    </w:pPr>
    <w:rPr>
      <w:rFonts w:eastAsia="Calibri"/>
    </w:rPr>
  </w:style>
  <w:style w:type="paragraph" w:customStyle="1" w:styleId="Figure">
    <w:name w:val="Figure"/>
    <w:basedOn w:val="Normal"/>
    <w:qFormat/>
    <w:rsid w:val="009F1EDC"/>
    <w:pPr>
      <w:spacing w:after="0" w:line="300" w:lineRule="auto"/>
      <w:jc w:val="both"/>
    </w:pPr>
    <w:rPr>
      <w:rFonts w:ascii="Avenir LT 45 Book" w:eastAsia="Calibri" w:hAnsi="Avenir LT 45 Book" w:cs="Times New Roman"/>
      <w:sz w:val="20"/>
      <w:szCs w:val="20"/>
      <w:lang w:val="en-US"/>
    </w:rPr>
  </w:style>
  <w:style w:type="paragraph" w:customStyle="1" w:styleId="CM19">
    <w:name w:val="CM19"/>
    <w:basedOn w:val="Default"/>
    <w:next w:val="Default"/>
    <w:uiPriority w:val="99"/>
    <w:rsid w:val="009F1EDC"/>
    <w:pPr>
      <w:widowControl w:val="0"/>
    </w:pPr>
    <w:rPr>
      <w:rFonts w:ascii="Arial" w:eastAsia="Times New Roman" w:hAnsi="Arial" w:cs="Arial"/>
      <w:color w:val="auto"/>
      <w:lang w:eastAsia="en-AU"/>
    </w:rPr>
  </w:style>
  <w:style w:type="paragraph" w:customStyle="1" w:styleId="CM21">
    <w:name w:val="CM21"/>
    <w:basedOn w:val="Default"/>
    <w:next w:val="Default"/>
    <w:uiPriority w:val="99"/>
    <w:rsid w:val="009F1EDC"/>
    <w:pPr>
      <w:widowControl w:val="0"/>
    </w:pPr>
    <w:rPr>
      <w:rFonts w:ascii="Arial" w:eastAsia="Times New Roman" w:hAnsi="Arial" w:cs="Arial"/>
      <w:color w:val="auto"/>
      <w:lang w:eastAsia="en-AU"/>
    </w:rPr>
  </w:style>
  <w:style w:type="character" w:styleId="CommentReference">
    <w:name w:val="annotation reference"/>
    <w:basedOn w:val="DefaultParagraphFont"/>
    <w:uiPriority w:val="99"/>
    <w:semiHidden/>
    <w:unhideWhenUsed/>
    <w:rsid w:val="009F1EDC"/>
    <w:rPr>
      <w:sz w:val="16"/>
      <w:szCs w:val="16"/>
    </w:rPr>
  </w:style>
  <w:style w:type="paragraph" w:styleId="CommentText">
    <w:name w:val="annotation text"/>
    <w:basedOn w:val="Normal"/>
    <w:link w:val="CommentTextChar"/>
    <w:uiPriority w:val="99"/>
    <w:unhideWhenUsed/>
    <w:rsid w:val="009F1EDC"/>
    <w:pPr>
      <w:spacing w:line="240" w:lineRule="auto"/>
    </w:pPr>
    <w:rPr>
      <w:rFonts w:ascii="Avenir LT 45 Book" w:eastAsia="Calibri" w:hAnsi="Avenir LT 45 Book"/>
      <w:sz w:val="20"/>
      <w:szCs w:val="20"/>
    </w:rPr>
  </w:style>
  <w:style w:type="character" w:customStyle="1" w:styleId="CommentTextChar">
    <w:name w:val="Comment Text Char"/>
    <w:basedOn w:val="DefaultParagraphFont"/>
    <w:link w:val="CommentText"/>
    <w:uiPriority w:val="99"/>
    <w:rsid w:val="009F1EDC"/>
    <w:rPr>
      <w:rFonts w:ascii="Avenir LT 45 Book" w:eastAsia="Calibri" w:hAnsi="Avenir LT 45 Book"/>
      <w:sz w:val="20"/>
      <w:szCs w:val="20"/>
    </w:rPr>
  </w:style>
  <w:style w:type="paragraph" w:styleId="CommentSubject">
    <w:name w:val="annotation subject"/>
    <w:basedOn w:val="CommentText"/>
    <w:next w:val="CommentText"/>
    <w:link w:val="CommentSubjectChar"/>
    <w:uiPriority w:val="99"/>
    <w:semiHidden/>
    <w:unhideWhenUsed/>
    <w:rsid w:val="009F1EDC"/>
    <w:rPr>
      <w:b/>
      <w:bCs/>
    </w:rPr>
  </w:style>
  <w:style w:type="character" w:customStyle="1" w:styleId="CommentSubjectChar">
    <w:name w:val="Comment Subject Char"/>
    <w:basedOn w:val="CommentTextChar"/>
    <w:link w:val="CommentSubject"/>
    <w:uiPriority w:val="99"/>
    <w:semiHidden/>
    <w:rsid w:val="009F1EDC"/>
    <w:rPr>
      <w:rFonts w:ascii="Avenir LT 45 Book" w:eastAsia="Calibri" w:hAnsi="Avenir LT 45 Book"/>
      <w:b/>
      <w:bCs/>
      <w:sz w:val="20"/>
      <w:szCs w:val="20"/>
    </w:rPr>
  </w:style>
  <w:style w:type="paragraph" w:styleId="FootnoteText">
    <w:name w:val="footnote text"/>
    <w:basedOn w:val="Normal"/>
    <w:link w:val="FootnoteTextChar"/>
    <w:semiHidden/>
    <w:rsid w:val="009F1EDC"/>
    <w:pPr>
      <w:spacing w:after="0" w:line="240" w:lineRule="auto"/>
    </w:pPr>
    <w:rPr>
      <w:rFonts w:ascii="Times New Roman" w:eastAsia="Times New Roman" w:hAnsi="Times New Roman" w:cs="Times New Roman"/>
      <w:sz w:val="20"/>
      <w:szCs w:val="20"/>
      <w:lang w:eastAsia="en-AU"/>
    </w:rPr>
  </w:style>
  <w:style w:type="character" w:customStyle="1" w:styleId="FootnoteTextChar">
    <w:name w:val="Footnote Text Char"/>
    <w:basedOn w:val="DefaultParagraphFont"/>
    <w:link w:val="FootnoteText"/>
    <w:semiHidden/>
    <w:rsid w:val="009F1EDC"/>
    <w:rPr>
      <w:rFonts w:ascii="Times New Roman" w:eastAsia="Times New Roman" w:hAnsi="Times New Roman" w:cs="Times New Roman"/>
      <w:sz w:val="20"/>
      <w:szCs w:val="20"/>
      <w:lang w:eastAsia="en-AU"/>
    </w:rPr>
  </w:style>
  <w:style w:type="character" w:styleId="FootnoteReference">
    <w:name w:val="footnote reference"/>
    <w:basedOn w:val="DefaultParagraphFont"/>
    <w:semiHidden/>
    <w:rsid w:val="009F1EDC"/>
    <w:rPr>
      <w:vertAlign w:val="superscript"/>
    </w:rPr>
  </w:style>
  <w:style w:type="character" w:customStyle="1" w:styleId="apple-style-span">
    <w:name w:val="apple-style-span"/>
    <w:basedOn w:val="DefaultParagraphFont"/>
    <w:rsid w:val="009F1EDC"/>
  </w:style>
  <w:style w:type="paragraph" w:styleId="TOC4">
    <w:name w:val="toc 4"/>
    <w:basedOn w:val="Normal"/>
    <w:next w:val="Normal"/>
    <w:autoRedefine/>
    <w:uiPriority w:val="39"/>
    <w:unhideWhenUsed/>
    <w:rsid w:val="009F1EDC"/>
    <w:pPr>
      <w:spacing w:after="100"/>
      <w:ind w:left="660"/>
    </w:pPr>
    <w:rPr>
      <w:rFonts w:eastAsiaTheme="minorEastAsia"/>
      <w:lang w:eastAsia="en-AU"/>
    </w:rPr>
  </w:style>
  <w:style w:type="paragraph" w:styleId="TOC5">
    <w:name w:val="toc 5"/>
    <w:basedOn w:val="Normal"/>
    <w:next w:val="Normal"/>
    <w:autoRedefine/>
    <w:uiPriority w:val="39"/>
    <w:unhideWhenUsed/>
    <w:rsid w:val="009F1EDC"/>
    <w:pPr>
      <w:spacing w:after="100"/>
      <w:ind w:left="880"/>
    </w:pPr>
    <w:rPr>
      <w:rFonts w:eastAsiaTheme="minorEastAsia"/>
      <w:lang w:eastAsia="en-AU"/>
    </w:rPr>
  </w:style>
  <w:style w:type="paragraph" w:styleId="TOC6">
    <w:name w:val="toc 6"/>
    <w:basedOn w:val="Normal"/>
    <w:next w:val="Normal"/>
    <w:autoRedefine/>
    <w:uiPriority w:val="39"/>
    <w:unhideWhenUsed/>
    <w:rsid w:val="009F1EDC"/>
    <w:pPr>
      <w:spacing w:after="100"/>
      <w:ind w:left="1100"/>
    </w:pPr>
    <w:rPr>
      <w:rFonts w:eastAsiaTheme="minorEastAsia"/>
      <w:lang w:eastAsia="en-AU"/>
    </w:rPr>
  </w:style>
  <w:style w:type="paragraph" w:styleId="TOC7">
    <w:name w:val="toc 7"/>
    <w:basedOn w:val="Normal"/>
    <w:next w:val="Normal"/>
    <w:autoRedefine/>
    <w:uiPriority w:val="39"/>
    <w:unhideWhenUsed/>
    <w:rsid w:val="009F1EDC"/>
    <w:pPr>
      <w:spacing w:after="100"/>
      <w:ind w:left="1320"/>
    </w:pPr>
    <w:rPr>
      <w:rFonts w:eastAsiaTheme="minorEastAsia"/>
      <w:lang w:eastAsia="en-AU"/>
    </w:rPr>
  </w:style>
  <w:style w:type="paragraph" w:styleId="TOC8">
    <w:name w:val="toc 8"/>
    <w:basedOn w:val="Normal"/>
    <w:next w:val="Normal"/>
    <w:autoRedefine/>
    <w:uiPriority w:val="39"/>
    <w:unhideWhenUsed/>
    <w:rsid w:val="009F1EDC"/>
    <w:pPr>
      <w:spacing w:after="100"/>
      <w:ind w:left="1540"/>
    </w:pPr>
    <w:rPr>
      <w:rFonts w:eastAsiaTheme="minorEastAsia"/>
      <w:lang w:eastAsia="en-AU"/>
    </w:rPr>
  </w:style>
  <w:style w:type="paragraph" w:styleId="TOC9">
    <w:name w:val="toc 9"/>
    <w:basedOn w:val="Normal"/>
    <w:next w:val="Normal"/>
    <w:autoRedefine/>
    <w:uiPriority w:val="39"/>
    <w:unhideWhenUsed/>
    <w:rsid w:val="009F1EDC"/>
    <w:pPr>
      <w:spacing w:after="100"/>
      <w:ind w:left="1760"/>
    </w:pPr>
    <w:rPr>
      <w:rFonts w:eastAsiaTheme="minorEastAsia"/>
      <w:lang w:eastAsia="en-AU"/>
    </w:rPr>
  </w:style>
  <w:style w:type="numbering" w:customStyle="1" w:styleId="Style1">
    <w:name w:val="Style1"/>
    <w:uiPriority w:val="99"/>
    <w:rsid w:val="009F1EDC"/>
    <w:pPr>
      <w:numPr>
        <w:numId w:val="272"/>
      </w:numPr>
    </w:pPr>
  </w:style>
  <w:style w:type="numbering" w:customStyle="1" w:styleId="Style2">
    <w:name w:val="Style2"/>
    <w:uiPriority w:val="99"/>
    <w:rsid w:val="009F1EDC"/>
    <w:pPr>
      <w:numPr>
        <w:numId w:val="81"/>
      </w:numPr>
    </w:pPr>
  </w:style>
  <w:style w:type="paragraph" w:customStyle="1" w:styleId="Style3">
    <w:name w:val="Style3"/>
    <w:basedOn w:val="Normal"/>
    <w:qFormat/>
    <w:rsid w:val="009F1EDC"/>
    <w:pPr>
      <w:numPr>
        <w:numId w:val="85"/>
      </w:numPr>
      <w:spacing w:line="360" w:lineRule="auto"/>
    </w:pPr>
    <w:rPr>
      <w:rFonts w:ascii="Avenir LT 45 Book" w:eastAsia="Calibri" w:hAnsi="Avenir LT 45 Book"/>
      <w:sz w:val="20"/>
    </w:rPr>
  </w:style>
  <w:style w:type="numbering" w:customStyle="1" w:styleId="Style4">
    <w:name w:val="Style4"/>
    <w:uiPriority w:val="99"/>
    <w:rsid w:val="009F1EDC"/>
    <w:pPr>
      <w:numPr>
        <w:numId w:val="83"/>
      </w:numPr>
    </w:pPr>
  </w:style>
  <w:style w:type="paragraph" w:customStyle="1" w:styleId="Style5">
    <w:name w:val="Style5"/>
    <w:basedOn w:val="ListParagraph"/>
    <w:qFormat/>
    <w:rsid w:val="009F1EDC"/>
    <w:pPr>
      <w:spacing w:before="120" w:line="360" w:lineRule="auto"/>
      <w:ind w:left="0"/>
    </w:pPr>
    <w:rPr>
      <w:rFonts w:ascii="Avenir LT 45 Book" w:eastAsia="Calibri" w:hAnsi="Avenir LT 45 Book" w:cs="Times New Roman"/>
      <w:sz w:val="20"/>
    </w:rPr>
  </w:style>
  <w:style w:type="numbering" w:customStyle="1" w:styleId="Style6">
    <w:name w:val="Style6"/>
    <w:uiPriority w:val="99"/>
    <w:rsid w:val="009F1EDC"/>
    <w:pPr>
      <w:numPr>
        <w:numId w:val="263"/>
      </w:numPr>
    </w:pPr>
  </w:style>
  <w:style w:type="numbering" w:customStyle="1" w:styleId="Style7">
    <w:name w:val="Style7"/>
    <w:uiPriority w:val="99"/>
    <w:rsid w:val="009F1EDC"/>
    <w:pPr>
      <w:numPr>
        <w:numId w:val="265"/>
      </w:numPr>
    </w:pPr>
  </w:style>
  <w:style w:type="table" w:styleId="TableContemporary">
    <w:name w:val="Table Contemporary"/>
    <w:basedOn w:val="TableNormal"/>
    <w:rsid w:val="002C6E5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BookTitle">
    <w:name w:val="Book Title"/>
    <w:basedOn w:val="DefaultParagraphFont"/>
    <w:uiPriority w:val="33"/>
    <w:qFormat/>
    <w:rsid w:val="002C6E58"/>
    <w:rPr>
      <w:b/>
      <w:bCs/>
      <w:smallCaps/>
      <w:spacing w:val="5"/>
    </w:rPr>
  </w:style>
  <w:style w:type="paragraph" w:styleId="NoSpacing">
    <w:name w:val="No Spacing"/>
    <w:link w:val="NoSpacingChar"/>
    <w:uiPriority w:val="99"/>
    <w:qFormat/>
    <w:rsid w:val="001400A8"/>
    <w:pPr>
      <w:spacing w:after="0" w:line="240" w:lineRule="auto"/>
    </w:pPr>
    <w:rPr>
      <w:rFonts w:ascii="Calibri" w:eastAsia="Cambria" w:hAnsi="Calibri" w:cs="Times New Roman"/>
      <w:lang w:val="en-US"/>
    </w:rPr>
  </w:style>
  <w:style w:type="character" w:customStyle="1" w:styleId="NoSpacingChar">
    <w:name w:val="No Spacing Char"/>
    <w:basedOn w:val="DefaultParagraphFont"/>
    <w:link w:val="NoSpacing"/>
    <w:uiPriority w:val="99"/>
    <w:locked/>
    <w:rsid w:val="001400A8"/>
    <w:rPr>
      <w:rFonts w:ascii="Calibri" w:eastAsia="Cambria" w:hAnsi="Calibri" w:cs="Times New Roman"/>
      <w:lang w:val="en-US"/>
    </w:rPr>
  </w:style>
  <w:style w:type="paragraph" w:styleId="DocumentMap">
    <w:name w:val="Document Map"/>
    <w:basedOn w:val="Normal"/>
    <w:link w:val="DocumentMapChar"/>
    <w:semiHidden/>
    <w:rsid w:val="00A338E5"/>
    <w:pPr>
      <w:shd w:val="clear" w:color="auto" w:fill="000080"/>
      <w:spacing w:after="0" w:line="240" w:lineRule="auto"/>
      <w:jc w:val="both"/>
    </w:pPr>
    <w:rPr>
      <w:rFonts w:ascii="Tahoma" w:eastAsia="Times New Roman" w:hAnsi="Tahoma" w:cs="Times New Roman"/>
      <w:sz w:val="16"/>
      <w:szCs w:val="20"/>
    </w:rPr>
  </w:style>
  <w:style w:type="character" w:customStyle="1" w:styleId="DocumentMapChar">
    <w:name w:val="Document Map Char"/>
    <w:basedOn w:val="DefaultParagraphFont"/>
    <w:link w:val="DocumentMap"/>
    <w:semiHidden/>
    <w:rsid w:val="00A338E5"/>
    <w:rPr>
      <w:rFonts w:ascii="Tahoma" w:eastAsia="Times New Roman" w:hAnsi="Tahoma" w:cs="Times New Roman"/>
      <w:sz w:val="16"/>
      <w:szCs w:val="20"/>
      <w:shd w:val="clear" w:color="auto" w:fill="000080"/>
    </w:rPr>
  </w:style>
  <w:style w:type="paragraph" w:styleId="Index1">
    <w:name w:val="index 1"/>
    <w:basedOn w:val="Normal"/>
    <w:next w:val="Normal"/>
    <w:autoRedefine/>
    <w:semiHidden/>
    <w:rsid w:val="00A338E5"/>
    <w:pPr>
      <w:spacing w:after="0" w:line="240" w:lineRule="auto"/>
      <w:ind w:left="240" w:hanging="240"/>
      <w:jc w:val="both"/>
    </w:pPr>
    <w:rPr>
      <w:rFonts w:ascii="Arial" w:eastAsia="Times New Roman" w:hAnsi="Arial" w:cs="Times New Roman"/>
      <w:sz w:val="24"/>
      <w:szCs w:val="20"/>
    </w:rPr>
  </w:style>
  <w:style w:type="paragraph" w:styleId="Index2">
    <w:name w:val="index 2"/>
    <w:basedOn w:val="Normal"/>
    <w:next w:val="Normal"/>
    <w:autoRedefine/>
    <w:semiHidden/>
    <w:rsid w:val="00A338E5"/>
    <w:pPr>
      <w:spacing w:after="0" w:line="240" w:lineRule="auto"/>
      <w:ind w:left="480" w:hanging="240"/>
      <w:jc w:val="both"/>
    </w:pPr>
    <w:rPr>
      <w:rFonts w:ascii="Arial" w:eastAsia="Times New Roman" w:hAnsi="Arial" w:cs="Times New Roman"/>
      <w:sz w:val="24"/>
      <w:szCs w:val="20"/>
    </w:rPr>
  </w:style>
  <w:style w:type="paragraph" w:styleId="Index3">
    <w:name w:val="index 3"/>
    <w:basedOn w:val="Normal"/>
    <w:next w:val="Normal"/>
    <w:autoRedefine/>
    <w:semiHidden/>
    <w:rsid w:val="00A338E5"/>
    <w:pPr>
      <w:spacing w:after="0" w:line="240" w:lineRule="auto"/>
      <w:ind w:left="720" w:hanging="240"/>
      <w:jc w:val="both"/>
    </w:pPr>
    <w:rPr>
      <w:rFonts w:ascii="Arial" w:eastAsia="Times New Roman" w:hAnsi="Arial" w:cs="Times New Roman"/>
      <w:sz w:val="24"/>
      <w:szCs w:val="20"/>
    </w:rPr>
  </w:style>
  <w:style w:type="paragraph" w:styleId="Index4">
    <w:name w:val="index 4"/>
    <w:basedOn w:val="Normal"/>
    <w:next w:val="Normal"/>
    <w:autoRedefine/>
    <w:semiHidden/>
    <w:rsid w:val="00A338E5"/>
    <w:pPr>
      <w:spacing w:after="0" w:line="240" w:lineRule="auto"/>
      <w:ind w:left="960" w:hanging="240"/>
      <w:jc w:val="both"/>
    </w:pPr>
    <w:rPr>
      <w:rFonts w:ascii="Arial" w:eastAsia="Times New Roman" w:hAnsi="Arial" w:cs="Times New Roman"/>
      <w:sz w:val="24"/>
      <w:szCs w:val="20"/>
    </w:rPr>
  </w:style>
  <w:style w:type="paragraph" w:styleId="Index5">
    <w:name w:val="index 5"/>
    <w:basedOn w:val="Normal"/>
    <w:next w:val="Normal"/>
    <w:autoRedefine/>
    <w:semiHidden/>
    <w:rsid w:val="00A338E5"/>
    <w:pPr>
      <w:spacing w:after="0" w:line="240" w:lineRule="auto"/>
      <w:ind w:left="1200" w:hanging="240"/>
      <w:jc w:val="both"/>
    </w:pPr>
    <w:rPr>
      <w:rFonts w:ascii="Arial" w:eastAsia="Times New Roman" w:hAnsi="Arial" w:cs="Times New Roman"/>
      <w:sz w:val="24"/>
      <w:szCs w:val="20"/>
    </w:rPr>
  </w:style>
  <w:style w:type="paragraph" w:styleId="Index6">
    <w:name w:val="index 6"/>
    <w:basedOn w:val="Normal"/>
    <w:next w:val="Normal"/>
    <w:autoRedefine/>
    <w:semiHidden/>
    <w:rsid w:val="00A338E5"/>
    <w:pPr>
      <w:spacing w:after="0" w:line="240" w:lineRule="auto"/>
      <w:ind w:left="1440" w:hanging="240"/>
      <w:jc w:val="both"/>
    </w:pPr>
    <w:rPr>
      <w:rFonts w:ascii="Arial" w:eastAsia="Times New Roman" w:hAnsi="Arial" w:cs="Times New Roman"/>
      <w:sz w:val="24"/>
      <w:szCs w:val="20"/>
    </w:rPr>
  </w:style>
  <w:style w:type="paragraph" w:styleId="Index7">
    <w:name w:val="index 7"/>
    <w:basedOn w:val="Normal"/>
    <w:next w:val="Normal"/>
    <w:autoRedefine/>
    <w:semiHidden/>
    <w:rsid w:val="00A338E5"/>
    <w:pPr>
      <w:spacing w:after="0" w:line="240" w:lineRule="auto"/>
      <w:ind w:left="1680" w:hanging="240"/>
      <w:jc w:val="both"/>
    </w:pPr>
    <w:rPr>
      <w:rFonts w:ascii="Arial" w:eastAsia="Times New Roman" w:hAnsi="Arial" w:cs="Times New Roman"/>
      <w:sz w:val="24"/>
      <w:szCs w:val="20"/>
    </w:rPr>
  </w:style>
  <w:style w:type="paragraph" w:styleId="Index8">
    <w:name w:val="index 8"/>
    <w:basedOn w:val="Normal"/>
    <w:next w:val="Normal"/>
    <w:autoRedefine/>
    <w:semiHidden/>
    <w:rsid w:val="00A338E5"/>
    <w:pPr>
      <w:spacing w:after="0" w:line="240" w:lineRule="auto"/>
      <w:ind w:left="1920" w:hanging="240"/>
      <w:jc w:val="both"/>
    </w:pPr>
    <w:rPr>
      <w:rFonts w:ascii="Arial" w:eastAsia="Times New Roman" w:hAnsi="Arial" w:cs="Times New Roman"/>
      <w:sz w:val="24"/>
      <w:szCs w:val="20"/>
    </w:rPr>
  </w:style>
  <w:style w:type="paragraph" w:styleId="Index9">
    <w:name w:val="index 9"/>
    <w:basedOn w:val="Normal"/>
    <w:next w:val="Normal"/>
    <w:autoRedefine/>
    <w:semiHidden/>
    <w:rsid w:val="00A338E5"/>
    <w:pPr>
      <w:spacing w:after="0" w:line="240" w:lineRule="auto"/>
      <w:ind w:left="2160" w:hanging="240"/>
      <w:jc w:val="both"/>
    </w:pPr>
    <w:rPr>
      <w:rFonts w:ascii="Arial" w:eastAsia="Times New Roman" w:hAnsi="Arial" w:cs="Times New Roman"/>
      <w:sz w:val="24"/>
      <w:szCs w:val="20"/>
    </w:rPr>
  </w:style>
  <w:style w:type="paragraph" w:styleId="IndexHeading">
    <w:name w:val="index heading"/>
    <w:basedOn w:val="Normal"/>
    <w:next w:val="Index1"/>
    <w:semiHidden/>
    <w:rsid w:val="00A338E5"/>
    <w:pPr>
      <w:spacing w:after="0" w:line="240" w:lineRule="auto"/>
      <w:jc w:val="both"/>
    </w:pPr>
    <w:rPr>
      <w:rFonts w:ascii="Arial" w:eastAsia="Times New Roman" w:hAnsi="Arial" w:cs="Times New Roman"/>
      <w:sz w:val="24"/>
      <w:szCs w:val="20"/>
    </w:rPr>
  </w:style>
  <w:style w:type="paragraph" w:customStyle="1" w:styleId="ItemHeading">
    <w:name w:val="Item Heading"/>
    <w:next w:val="Normal"/>
    <w:rsid w:val="00A338E5"/>
    <w:pPr>
      <w:spacing w:after="0" w:line="240" w:lineRule="auto"/>
      <w:outlineLvl w:val="0"/>
    </w:pPr>
    <w:rPr>
      <w:rFonts w:ascii="Arial" w:eastAsia="Times New Roman" w:hAnsi="Arial" w:cs="Times New Roman"/>
      <w:b/>
      <w:caps/>
      <w:color w:val="0000FF"/>
      <w:sz w:val="28"/>
      <w:szCs w:val="20"/>
    </w:rPr>
  </w:style>
  <w:style w:type="paragraph" w:customStyle="1" w:styleId="Recommendation">
    <w:name w:val="Recommendation"/>
    <w:basedOn w:val="Heading2"/>
    <w:next w:val="Normal"/>
    <w:rsid w:val="00A338E5"/>
    <w:pPr>
      <w:keepNext w:val="0"/>
      <w:keepLines w:val="0"/>
      <w:spacing w:before="0" w:line="240" w:lineRule="auto"/>
      <w:jc w:val="both"/>
    </w:pPr>
    <w:rPr>
      <w:rFonts w:ascii="Arial" w:eastAsia="Times New Roman" w:hAnsi="Arial" w:cs="Times New Roman"/>
      <w:bCs w:val="0"/>
      <w:caps/>
      <w:color w:val="FF0000"/>
      <w:sz w:val="22"/>
      <w:szCs w:val="20"/>
    </w:rPr>
  </w:style>
  <w:style w:type="paragraph" w:customStyle="1" w:styleId="RecommendationText">
    <w:name w:val="Recommendation Text"/>
    <w:basedOn w:val="Normal"/>
    <w:rsid w:val="00A338E5"/>
    <w:pPr>
      <w:spacing w:after="0" w:line="240" w:lineRule="auto"/>
      <w:jc w:val="both"/>
    </w:pPr>
    <w:rPr>
      <w:rFonts w:ascii="Arial" w:eastAsia="Times New Roman" w:hAnsi="Arial" w:cs="Times New Roman"/>
      <w:b/>
      <w:color w:val="FF0000"/>
      <w:szCs w:val="20"/>
    </w:rPr>
  </w:style>
  <w:style w:type="paragraph" w:customStyle="1" w:styleId="Text">
    <w:name w:val="Text"/>
    <w:qFormat/>
    <w:rsid w:val="00A338E5"/>
    <w:pPr>
      <w:spacing w:after="0" w:line="240" w:lineRule="auto"/>
    </w:pPr>
    <w:rPr>
      <w:rFonts w:ascii="Arial" w:eastAsia="Times New Roman" w:hAnsi="Arial" w:cs="Times New Roman"/>
      <w:szCs w:val="20"/>
    </w:rPr>
  </w:style>
  <w:style w:type="paragraph" w:customStyle="1" w:styleId="Briefing">
    <w:name w:val="Briefing"/>
    <w:basedOn w:val="Normal"/>
    <w:rsid w:val="00A338E5"/>
    <w:pPr>
      <w:spacing w:after="0" w:line="240" w:lineRule="auto"/>
      <w:jc w:val="both"/>
    </w:pPr>
    <w:rPr>
      <w:rFonts w:ascii="Arial" w:eastAsia="Times New Roman" w:hAnsi="Arial" w:cs="Times New Roman"/>
      <w:color w:val="808080"/>
      <w:sz w:val="20"/>
      <w:szCs w:val="20"/>
    </w:rPr>
  </w:style>
  <w:style w:type="paragraph" w:styleId="Caption">
    <w:name w:val="caption"/>
    <w:basedOn w:val="Normal"/>
    <w:next w:val="Normal"/>
    <w:link w:val="CaptionChar"/>
    <w:qFormat/>
    <w:rsid w:val="00A338E5"/>
    <w:pPr>
      <w:tabs>
        <w:tab w:val="left" w:pos="1526"/>
        <w:tab w:val="left" w:pos="9180"/>
      </w:tabs>
      <w:spacing w:after="0" w:line="240" w:lineRule="auto"/>
    </w:pPr>
    <w:rPr>
      <w:rFonts w:ascii="Arial" w:eastAsia="Times New Roman" w:hAnsi="Arial" w:cs="Times New Roman"/>
      <w:b/>
      <w:szCs w:val="20"/>
    </w:rPr>
  </w:style>
  <w:style w:type="paragraph" w:customStyle="1" w:styleId="ItemSubheading">
    <w:name w:val="Item Subheading"/>
    <w:basedOn w:val="Normal"/>
    <w:next w:val="Normal"/>
    <w:rsid w:val="00A338E5"/>
    <w:pPr>
      <w:spacing w:after="0" w:line="240" w:lineRule="auto"/>
      <w:jc w:val="both"/>
    </w:pPr>
    <w:rPr>
      <w:rFonts w:ascii="Arial" w:eastAsia="Times New Roman" w:hAnsi="Arial" w:cs="Times New Roman"/>
      <w:b/>
      <w:szCs w:val="20"/>
    </w:rPr>
  </w:style>
  <w:style w:type="paragraph" w:customStyle="1" w:styleId="TitleHeading">
    <w:name w:val="Title Heading"/>
    <w:basedOn w:val="NormalWeb"/>
    <w:qFormat/>
    <w:rsid w:val="006D0967"/>
    <w:pPr>
      <w:spacing w:before="0" w:beforeAutospacing="0" w:after="360" w:afterAutospacing="0"/>
      <w:outlineLvl w:val="0"/>
    </w:pPr>
    <w:rPr>
      <w:rFonts w:ascii="Open Sans Light" w:eastAsia="Gulim" w:hAnsi="Open Sans Light" w:cs="Arial"/>
      <w:color w:val="C0504D"/>
      <w:sz w:val="36"/>
      <w:szCs w:val="36"/>
      <w:lang w:val="en-GB" w:eastAsia="en-GB"/>
    </w:rPr>
  </w:style>
  <w:style w:type="paragraph" w:customStyle="1" w:styleId="BodyTextA">
    <w:name w:val="Body Text A"/>
    <w:basedOn w:val="Normal"/>
    <w:rsid w:val="00FD02DE"/>
    <w:pPr>
      <w:tabs>
        <w:tab w:val="left" w:pos="0"/>
      </w:tabs>
      <w:spacing w:after="0" w:line="312" w:lineRule="auto"/>
      <w:jc w:val="both"/>
    </w:pPr>
    <w:rPr>
      <w:rFonts w:ascii="Arial" w:eastAsia="Times New Roman" w:hAnsi="Arial" w:cs="Times New Roman"/>
      <w:sz w:val="24"/>
      <w:szCs w:val="30"/>
    </w:rPr>
  </w:style>
  <w:style w:type="paragraph" w:customStyle="1" w:styleId="p1">
    <w:name w:val="p1"/>
    <w:basedOn w:val="Normal"/>
    <w:rsid w:val="00E16F52"/>
    <w:pPr>
      <w:spacing w:after="0" w:line="240" w:lineRule="auto"/>
    </w:pPr>
    <w:rPr>
      <w:rFonts w:ascii="Arial" w:eastAsia="Times New Roman" w:hAnsi="Arial" w:cs="Arial"/>
      <w:sz w:val="17"/>
      <w:szCs w:val="17"/>
      <w:lang w:val="en-GB" w:eastAsia="en-GB"/>
    </w:rPr>
  </w:style>
  <w:style w:type="character" w:customStyle="1" w:styleId="apple-converted-space">
    <w:name w:val="apple-converted-space"/>
    <w:rsid w:val="00E16F52"/>
  </w:style>
  <w:style w:type="paragraph" w:customStyle="1" w:styleId="Policy1">
    <w:name w:val="Policy 1"/>
    <w:basedOn w:val="Title"/>
    <w:link w:val="Policy1Char"/>
    <w:qFormat/>
    <w:rsid w:val="00BB24E8"/>
    <w:pPr>
      <w:pBdr>
        <w:bottom w:val="none" w:sz="0" w:space="0" w:color="auto"/>
      </w:pBdr>
      <w:spacing w:after="240"/>
      <w:ind w:left="1134" w:hanging="1134"/>
    </w:pPr>
    <w:rPr>
      <w:rFonts w:asciiTheme="minorHAnsi" w:hAnsiTheme="minorHAnsi" w:cstheme="minorHAnsi"/>
      <w:b/>
      <w:color w:val="auto"/>
      <w:sz w:val="32"/>
      <w:szCs w:val="32"/>
      <w:lang w:val="en-US"/>
    </w:rPr>
  </w:style>
  <w:style w:type="paragraph" w:customStyle="1" w:styleId="Policy2">
    <w:name w:val="Policy 2"/>
    <w:basedOn w:val="Title"/>
    <w:link w:val="Policy2Char"/>
    <w:qFormat/>
    <w:rsid w:val="00BB24E8"/>
    <w:pPr>
      <w:pBdr>
        <w:bottom w:val="none" w:sz="0" w:space="0" w:color="auto"/>
      </w:pBdr>
      <w:spacing w:after="240"/>
      <w:ind w:left="1134" w:hanging="1134"/>
    </w:pPr>
    <w:rPr>
      <w:rFonts w:asciiTheme="minorHAnsi" w:hAnsiTheme="minorHAnsi" w:cstheme="minorHAnsi"/>
      <w:b/>
      <w:color w:val="auto"/>
      <w:sz w:val="28"/>
      <w:szCs w:val="22"/>
      <w:lang w:val="en-US"/>
    </w:rPr>
  </w:style>
  <w:style w:type="character" w:customStyle="1" w:styleId="Policy1Char">
    <w:name w:val="Policy 1 Char"/>
    <w:basedOn w:val="TitleChar"/>
    <w:link w:val="Policy1"/>
    <w:rsid w:val="00BB24E8"/>
    <w:rPr>
      <w:rFonts w:asciiTheme="majorHAnsi" w:eastAsiaTheme="majorEastAsia" w:hAnsiTheme="majorHAnsi" w:cstheme="minorHAnsi"/>
      <w:b/>
      <w:color w:val="17365D" w:themeColor="text2" w:themeShade="BF"/>
      <w:spacing w:val="5"/>
      <w:kern w:val="28"/>
      <w:sz w:val="32"/>
      <w:szCs w:val="32"/>
      <w:lang w:val="en-US"/>
    </w:rPr>
  </w:style>
  <w:style w:type="paragraph" w:customStyle="1" w:styleId="Policy3">
    <w:name w:val="Policy 3"/>
    <w:basedOn w:val="Title"/>
    <w:link w:val="Policy3Char"/>
    <w:qFormat/>
    <w:rsid w:val="00BB24E8"/>
    <w:pPr>
      <w:pBdr>
        <w:bottom w:val="none" w:sz="0" w:space="0" w:color="auto"/>
      </w:pBdr>
      <w:spacing w:after="240"/>
      <w:ind w:left="1134" w:hanging="1134"/>
    </w:pPr>
    <w:rPr>
      <w:rFonts w:asciiTheme="minorHAnsi" w:hAnsiTheme="minorHAnsi" w:cstheme="minorHAnsi"/>
      <w:b/>
      <w:sz w:val="28"/>
      <w:szCs w:val="22"/>
      <w:lang w:val="en-US"/>
    </w:rPr>
  </w:style>
  <w:style w:type="character" w:customStyle="1" w:styleId="Policy2Char">
    <w:name w:val="Policy 2 Char"/>
    <w:basedOn w:val="TitleChar"/>
    <w:link w:val="Policy2"/>
    <w:rsid w:val="00BB24E8"/>
    <w:rPr>
      <w:rFonts w:asciiTheme="majorHAnsi" w:eastAsiaTheme="majorEastAsia" w:hAnsiTheme="majorHAnsi" w:cstheme="minorHAnsi"/>
      <w:b/>
      <w:color w:val="17365D" w:themeColor="text2" w:themeShade="BF"/>
      <w:spacing w:val="5"/>
      <w:kern w:val="28"/>
      <w:sz w:val="28"/>
      <w:szCs w:val="52"/>
      <w:lang w:val="en-US"/>
    </w:rPr>
  </w:style>
  <w:style w:type="character" w:customStyle="1" w:styleId="Policy3Char">
    <w:name w:val="Policy 3 Char"/>
    <w:basedOn w:val="TitleChar"/>
    <w:link w:val="Policy3"/>
    <w:rsid w:val="00BB24E8"/>
    <w:rPr>
      <w:rFonts w:asciiTheme="majorHAnsi" w:eastAsiaTheme="majorEastAsia" w:hAnsiTheme="majorHAnsi" w:cstheme="minorHAnsi"/>
      <w:b/>
      <w:color w:val="17365D" w:themeColor="text2" w:themeShade="BF"/>
      <w:spacing w:val="5"/>
      <w:kern w:val="28"/>
      <w:sz w:val="28"/>
      <w:szCs w:val="52"/>
      <w:lang w:val="en-US"/>
    </w:rPr>
  </w:style>
  <w:style w:type="paragraph" w:customStyle="1" w:styleId="SubtitleCover">
    <w:name w:val="Subtitle Cover"/>
    <w:basedOn w:val="TitleCover"/>
    <w:next w:val="BodyText"/>
    <w:rsid w:val="00391FD9"/>
    <w:pPr>
      <w:pBdr>
        <w:top w:val="single" w:sz="6" w:space="12" w:color="808080"/>
      </w:pBdr>
      <w:spacing w:after="0" w:line="440" w:lineRule="atLeast"/>
    </w:pPr>
    <w:rPr>
      <w:spacing w:val="30"/>
      <w:sz w:val="36"/>
    </w:rPr>
  </w:style>
  <w:style w:type="paragraph" w:customStyle="1" w:styleId="TitleCover">
    <w:name w:val="Title Cover"/>
    <w:basedOn w:val="Normal"/>
    <w:next w:val="SubtitleCover"/>
    <w:rsid w:val="00391FD9"/>
    <w:pPr>
      <w:keepNext/>
      <w:keepLines/>
      <w:spacing w:after="240" w:line="720" w:lineRule="atLeast"/>
      <w:jc w:val="center"/>
    </w:pPr>
    <w:rPr>
      <w:rFonts w:ascii="Garamond" w:eastAsia="Times New Roman" w:hAnsi="Garamond" w:cs="Times New Roman"/>
      <w:caps/>
      <w:spacing w:val="65"/>
      <w:kern w:val="20"/>
      <w:sz w:val="64"/>
      <w:szCs w:val="20"/>
      <w:lang w:val="en-US"/>
    </w:rPr>
  </w:style>
  <w:style w:type="paragraph" w:customStyle="1" w:styleId="Subheading">
    <w:name w:val="Subheading"/>
    <w:basedOn w:val="BodyText"/>
    <w:link w:val="SubheadingChar"/>
    <w:qFormat/>
    <w:rsid w:val="006D07AE"/>
    <w:pPr>
      <w:spacing w:before="240" w:after="240"/>
      <w:ind w:left="0"/>
      <w:jc w:val="both"/>
    </w:pPr>
    <w:rPr>
      <w:rFonts w:cs="Arial"/>
      <w:b/>
    </w:rPr>
  </w:style>
  <w:style w:type="character" w:customStyle="1" w:styleId="SubheadingChar">
    <w:name w:val="Subheading Char"/>
    <w:basedOn w:val="BodyTextChar"/>
    <w:link w:val="Subheading"/>
    <w:rsid w:val="006D07AE"/>
    <w:rPr>
      <w:rFonts w:ascii="Arial" w:eastAsia="Times New Roman" w:hAnsi="Arial" w:cs="Arial"/>
      <w:b/>
      <w:szCs w:val="20"/>
      <w:lang w:val="en-US"/>
    </w:rPr>
  </w:style>
  <w:style w:type="character" w:styleId="UnresolvedMention">
    <w:name w:val="Unresolved Mention"/>
    <w:basedOn w:val="DefaultParagraphFont"/>
    <w:uiPriority w:val="99"/>
    <w:semiHidden/>
    <w:unhideWhenUsed/>
    <w:rsid w:val="00125ECD"/>
    <w:rPr>
      <w:color w:val="605E5C"/>
      <w:shd w:val="clear" w:color="auto" w:fill="E1DFDD"/>
    </w:rPr>
  </w:style>
  <w:style w:type="paragraph" w:customStyle="1" w:styleId="CentredBaseLine">
    <w:name w:val="CentredBaseLine"/>
    <w:rsid w:val="00FF1058"/>
    <w:pPr>
      <w:suppressLineNumbers/>
      <w:spacing w:before="240" w:after="0" w:line="240" w:lineRule="auto"/>
    </w:pPr>
    <w:rPr>
      <w:rFonts w:ascii="Times New Roman" w:eastAsia="Times New Roman" w:hAnsi="Times New Roman" w:cs="Times New Roman"/>
      <w:sz w:val="20"/>
      <w:szCs w:val="20"/>
      <w:lang w:eastAsia="en-AU"/>
    </w:rPr>
  </w:style>
  <w:style w:type="character" w:customStyle="1" w:styleId="DraftersNotes">
    <w:name w:val="DraftersNotes"/>
    <w:basedOn w:val="DefaultParagraphFont"/>
    <w:rsid w:val="00FF1058"/>
    <w:rPr>
      <w:b/>
      <w:i/>
      <w:sz w:val="20"/>
    </w:rPr>
  </w:style>
  <w:style w:type="paragraph" w:customStyle="1" w:styleId="yDefpara">
    <w:name w:val="yDefpara"/>
    <w:rsid w:val="00FF1058"/>
    <w:pPr>
      <w:tabs>
        <w:tab w:val="right" w:pos="1332"/>
      </w:tabs>
      <w:spacing w:before="80" w:after="0" w:line="240" w:lineRule="auto"/>
      <w:ind w:left="1616" w:hanging="1616"/>
    </w:pPr>
    <w:rPr>
      <w:rFonts w:ascii="Times New Roman" w:eastAsia="Times New Roman" w:hAnsi="Times New Roman" w:cs="Times New Roman"/>
      <w:snapToGrid w:val="0"/>
      <w:szCs w:val="20"/>
      <w:lang w:eastAsia="en-AU"/>
    </w:rPr>
  </w:style>
  <w:style w:type="paragraph" w:customStyle="1" w:styleId="yDefstart">
    <w:name w:val="yDefstart"/>
    <w:rsid w:val="00FF1058"/>
    <w:pPr>
      <w:spacing w:before="80" w:after="0" w:line="240" w:lineRule="auto"/>
      <w:ind w:left="879" w:hanging="879"/>
    </w:pPr>
    <w:rPr>
      <w:rFonts w:ascii="Times New Roman" w:eastAsia="Times New Roman" w:hAnsi="Times New Roman" w:cs="Times New Roman"/>
      <w:snapToGrid w:val="0"/>
      <w:szCs w:val="20"/>
      <w:lang w:eastAsia="en-AU"/>
    </w:rPr>
  </w:style>
  <w:style w:type="paragraph" w:customStyle="1" w:styleId="yHeading3">
    <w:name w:val="yHeading 3"/>
    <w:basedOn w:val="Heading3"/>
    <w:rsid w:val="00FF1058"/>
    <w:pPr>
      <w:keepLines w:val="0"/>
      <w:spacing w:before="240" w:line="240" w:lineRule="auto"/>
      <w:jc w:val="center"/>
    </w:pPr>
    <w:rPr>
      <w:rFonts w:ascii="Times New Roman" w:eastAsia="Times New Roman" w:hAnsi="Times New Roman" w:cs="Times New Roman"/>
      <w:b/>
      <w:color w:val="auto"/>
      <w:szCs w:val="20"/>
      <w:lang w:eastAsia="en-AU"/>
    </w:rPr>
  </w:style>
  <w:style w:type="paragraph" w:customStyle="1" w:styleId="yIndenta">
    <w:name w:val="yIndent(a)"/>
    <w:basedOn w:val="Normal"/>
    <w:rsid w:val="00FF1058"/>
    <w:pPr>
      <w:tabs>
        <w:tab w:val="right" w:pos="1332"/>
        <w:tab w:val="left" w:pos="1616"/>
      </w:tabs>
      <w:spacing w:before="80" w:after="0" w:line="240" w:lineRule="auto"/>
      <w:ind w:left="1616" w:hanging="1616"/>
    </w:pPr>
    <w:rPr>
      <w:rFonts w:ascii="Times New Roman" w:eastAsia="Times New Roman" w:hAnsi="Times New Roman" w:cs="Times New Roman"/>
      <w:szCs w:val="20"/>
      <w:lang w:eastAsia="en-AU"/>
    </w:rPr>
  </w:style>
  <w:style w:type="paragraph" w:customStyle="1" w:styleId="yIndenti">
    <w:name w:val="yIndent(i)"/>
    <w:basedOn w:val="Normal"/>
    <w:rsid w:val="00FF1058"/>
    <w:pPr>
      <w:tabs>
        <w:tab w:val="right" w:pos="2041"/>
        <w:tab w:val="left" w:pos="2325"/>
      </w:tabs>
      <w:spacing w:before="80" w:after="0" w:line="240" w:lineRule="auto"/>
      <w:ind w:left="2325" w:hanging="2325"/>
    </w:pPr>
    <w:rPr>
      <w:rFonts w:ascii="Times New Roman" w:eastAsia="Times New Roman" w:hAnsi="Times New Roman" w:cs="Times New Roman"/>
      <w:szCs w:val="20"/>
      <w:lang w:eastAsia="en-AU"/>
    </w:rPr>
  </w:style>
  <w:style w:type="paragraph" w:customStyle="1" w:styleId="ySubsection">
    <w:name w:val="ySubsection"/>
    <w:basedOn w:val="Normal"/>
    <w:rsid w:val="00FF1058"/>
    <w:pPr>
      <w:tabs>
        <w:tab w:val="right" w:pos="595"/>
        <w:tab w:val="left" w:pos="879"/>
      </w:tabs>
      <w:spacing w:before="160" w:after="0" w:line="240" w:lineRule="auto"/>
      <w:ind w:left="879" w:hanging="879"/>
    </w:pPr>
    <w:rPr>
      <w:rFonts w:ascii="Times New Roman" w:eastAsia="Times New Roman" w:hAnsi="Times New Roman" w:cs="Times New Roman"/>
      <w:szCs w:val="20"/>
      <w:lang w:eastAsia="en-AU"/>
    </w:rPr>
  </w:style>
  <w:style w:type="character" w:customStyle="1" w:styleId="CharDefText">
    <w:name w:val="CharDefText"/>
    <w:basedOn w:val="DefaultParagraphFont"/>
    <w:rsid w:val="00FF1058"/>
    <w:rPr>
      <w:b/>
      <w:i/>
    </w:rPr>
  </w:style>
  <w:style w:type="character" w:customStyle="1" w:styleId="CharSClsNo">
    <w:name w:val="CharSClsNo"/>
    <w:basedOn w:val="DefaultParagraphFont"/>
    <w:rsid w:val="00FF1058"/>
    <w:rPr>
      <w:sz w:val="22"/>
    </w:rPr>
  </w:style>
  <w:style w:type="character" w:customStyle="1" w:styleId="CharSDivNo">
    <w:name w:val="CharSDivNo"/>
    <w:basedOn w:val="DefaultParagraphFont"/>
    <w:rsid w:val="00FF1058"/>
    <w:rPr>
      <w:sz w:val="24"/>
    </w:rPr>
  </w:style>
  <w:style w:type="character" w:customStyle="1" w:styleId="CharSDivText">
    <w:name w:val="CharSDivText"/>
    <w:basedOn w:val="DefaultParagraphFont"/>
    <w:rsid w:val="00FF1058"/>
    <w:rPr>
      <w:sz w:val="24"/>
    </w:rPr>
  </w:style>
  <w:style w:type="paragraph" w:customStyle="1" w:styleId="PermNoteHeading">
    <w:name w:val="PermNoteHeading"/>
    <w:qFormat/>
    <w:rsid w:val="00FF1058"/>
    <w:pPr>
      <w:keepNext/>
      <w:spacing w:before="160" w:after="0" w:line="240" w:lineRule="auto"/>
      <w:ind w:left="879" w:hanging="879"/>
    </w:pPr>
    <w:rPr>
      <w:rFonts w:ascii="Arial" w:eastAsia="Times New Roman" w:hAnsi="Arial" w:cs="Times New Roman"/>
      <w:sz w:val="18"/>
      <w:szCs w:val="20"/>
      <w:lang w:eastAsia="en-AU"/>
    </w:rPr>
  </w:style>
  <w:style w:type="paragraph" w:customStyle="1" w:styleId="PermNoteText">
    <w:name w:val="PermNoteText"/>
    <w:qFormat/>
    <w:rsid w:val="00FF1058"/>
    <w:pPr>
      <w:tabs>
        <w:tab w:val="left" w:pos="879"/>
      </w:tabs>
      <w:spacing w:before="80" w:after="0" w:line="240" w:lineRule="auto"/>
      <w:ind w:left="1418" w:hanging="1418"/>
    </w:pPr>
    <w:rPr>
      <w:rFonts w:ascii="Arial" w:eastAsia="Times New Roman" w:hAnsi="Arial" w:cs="Times New Roman"/>
      <w:sz w:val="18"/>
      <w:szCs w:val="20"/>
      <w:lang w:eastAsia="en-AU"/>
    </w:rPr>
  </w:style>
  <w:style w:type="table" w:customStyle="1" w:styleId="TableGrid1">
    <w:name w:val="Table Grid1"/>
    <w:basedOn w:val="TableNormal"/>
    <w:next w:val="TableGrid"/>
    <w:uiPriority w:val="99"/>
    <w:rsid w:val="000A6A26"/>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uiPriority w:val="9"/>
    <w:semiHidden/>
    <w:rsid w:val="002D6926"/>
    <w:rPr>
      <w:rFonts w:asciiTheme="majorHAnsi" w:eastAsiaTheme="majorEastAsia" w:hAnsiTheme="majorHAnsi" w:cstheme="majorBidi"/>
      <w:color w:val="272727" w:themeColor="text1" w:themeTint="D8"/>
      <w:sz w:val="21"/>
      <w:szCs w:val="21"/>
      <w:lang w:eastAsia="zh-CN"/>
    </w:rPr>
  </w:style>
  <w:style w:type="character" w:customStyle="1" w:styleId="Heading9Char">
    <w:name w:val="Heading 9 Char"/>
    <w:basedOn w:val="DefaultParagraphFont"/>
    <w:link w:val="Heading9"/>
    <w:uiPriority w:val="9"/>
    <w:semiHidden/>
    <w:rsid w:val="002D6926"/>
    <w:rPr>
      <w:rFonts w:asciiTheme="majorHAnsi" w:eastAsiaTheme="majorEastAsia" w:hAnsiTheme="majorHAnsi" w:cstheme="majorBidi"/>
      <w:i/>
      <w:iCs/>
      <w:color w:val="272727" w:themeColor="text1" w:themeTint="D8"/>
      <w:sz w:val="21"/>
      <w:szCs w:val="21"/>
      <w:lang w:eastAsia="zh-CN"/>
    </w:rPr>
  </w:style>
  <w:style w:type="character" w:styleId="PlaceholderText">
    <w:name w:val="Placeholder Text"/>
    <w:basedOn w:val="DefaultParagraphFont"/>
    <w:uiPriority w:val="99"/>
    <w:semiHidden/>
    <w:rsid w:val="002D6926"/>
    <w:rPr>
      <w:color w:val="808080"/>
    </w:rPr>
  </w:style>
  <w:style w:type="paragraph" w:styleId="Subtitle">
    <w:name w:val="Subtitle"/>
    <w:aliases w:val="caption text"/>
    <w:basedOn w:val="Normal"/>
    <w:next w:val="Normal"/>
    <w:link w:val="SubtitleChar"/>
    <w:uiPriority w:val="11"/>
    <w:qFormat/>
    <w:rsid w:val="002D6926"/>
    <w:pPr>
      <w:numPr>
        <w:ilvl w:val="1"/>
      </w:numPr>
      <w:spacing w:before="240" w:after="160" w:line="259" w:lineRule="auto"/>
    </w:pPr>
    <w:rPr>
      <w:rFonts w:ascii="Arial" w:eastAsiaTheme="minorEastAsia" w:hAnsi="Arial"/>
      <w:color w:val="262626" w:themeColor="text1" w:themeTint="D9"/>
      <w:spacing w:val="15"/>
      <w:sz w:val="18"/>
      <w:lang w:eastAsia="zh-CN"/>
    </w:rPr>
  </w:style>
  <w:style w:type="character" w:customStyle="1" w:styleId="SubtitleChar">
    <w:name w:val="Subtitle Char"/>
    <w:aliases w:val="caption text Char"/>
    <w:basedOn w:val="DefaultParagraphFont"/>
    <w:link w:val="Subtitle"/>
    <w:uiPriority w:val="11"/>
    <w:rsid w:val="002D6926"/>
    <w:rPr>
      <w:rFonts w:ascii="Arial" w:eastAsiaTheme="minorEastAsia" w:hAnsi="Arial"/>
      <w:color w:val="262626" w:themeColor="text1" w:themeTint="D9"/>
      <w:spacing w:val="15"/>
      <w:sz w:val="18"/>
      <w:lang w:eastAsia="zh-CN"/>
    </w:rPr>
  </w:style>
  <w:style w:type="paragraph" w:styleId="Quote">
    <w:name w:val="Quote"/>
    <w:aliases w:val="case study box"/>
    <w:basedOn w:val="Normal"/>
    <w:next w:val="Normal"/>
    <w:link w:val="QuoteChar"/>
    <w:uiPriority w:val="29"/>
    <w:qFormat/>
    <w:rsid w:val="002D6926"/>
    <w:pPr>
      <w:framePr w:wrap="around" w:vAnchor="text" w:hAnchor="text" w:y="1"/>
      <w:pBdr>
        <w:top w:val="single" w:sz="4" w:space="1" w:color="auto" w:shadow="1"/>
        <w:left w:val="single" w:sz="4" w:space="4" w:color="auto" w:shadow="1"/>
        <w:bottom w:val="single" w:sz="4" w:space="1" w:color="auto" w:shadow="1"/>
        <w:right w:val="single" w:sz="4" w:space="4" w:color="auto" w:shadow="1"/>
      </w:pBdr>
      <w:spacing w:before="200" w:after="160" w:line="259" w:lineRule="auto"/>
      <w:ind w:left="864" w:right="864"/>
    </w:pPr>
    <w:rPr>
      <w:rFonts w:ascii="Arial" w:eastAsiaTheme="minorEastAsia" w:hAnsi="Arial"/>
      <w:iCs/>
      <w:color w:val="404040" w:themeColor="text1" w:themeTint="BF"/>
      <w:lang w:eastAsia="zh-CN"/>
    </w:rPr>
  </w:style>
  <w:style w:type="character" w:customStyle="1" w:styleId="QuoteChar">
    <w:name w:val="Quote Char"/>
    <w:aliases w:val="case study box Char"/>
    <w:basedOn w:val="DefaultParagraphFont"/>
    <w:link w:val="Quote"/>
    <w:uiPriority w:val="29"/>
    <w:rsid w:val="002D6926"/>
    <w:rPr>
      <w:rFonts w:ascii="Arial" w:eastAsiaTheme="minorEastAsia" w:hAnsi="Arial"/>
      <w:iCs/>
      <w:color w:val="404040" w:themeColor="text1" w:themeTint="BF"/>
      <w:lang w:eastAsia="zh-CN"/>
    </w:rPr>
  </w:style>
  <w:style w:type="paragraph" w:styleId="IntenseQuote">
    <w:name w:val="Intense Quote"/>
    <w:basedOn w:val="Normal"/>
    <w:next w:val="Normal"/>
    <w:link w:val="IntenseQuoteChar"/>
    <w:uiPriority w:val="30"/>
    <w:qFormat/>
    <w:rsid w:val="002D6926"/>
    <w:pPr>
      <w:pBdr>
        <w:top w:val="single" w:sz="4" w:space="10" w:color="4F81BD" w:themeColor="accent1"/>
        <w:bottom w:val="single" w:sz="4" w:space="10" w:color="4F81BD" w:themeColor="accent1"/>
      </w:pBdr>
      <w:spacing w:before="360" w:after="360" w:line="259" w:lineRule="auto"/>
      <w:ind w:left="864" w:right="864"/>
    </w:pPr>
    <w:rPr>
      <w:rFonts w:ascii="Arial" w:eastAsiaTheme="minorEastAsia" w:hAnsi="Arial"/>
      <w:i/>
      <w:iCs/>
      <w:color w:val="1F497D"/>
      <w:lang w:eastAsia="zh-CN"/>
    </w:rPr>
  </w:style>
  <w:style w:type="character" w:customStyle="1" w:styleId="IntenseQuoteChar">
    <w:name w:val="Intense Quote Char"/>
    <w:basedOn w:val="DefaultParagraphFont"/>
    <w:link w:val="IntenseQuote"/>
    <w:uiPriority w:val="30"/>
    <w:rsid w:val="002D6926"/>
    <w:rPr>
      <w:rFonts w:ascii="Arial" w:eastAsiaTheme="minorEastAsia" w:hAnsi="Arial"/>
      <w:i/>
      <w:iCs/>
      <w:color w:val="1F497D"/>
      <w:lang w:eastAsia="zh-CN"/>
    </w:rPr>
  </w:style>
  <w:style w:type="paragraph" w:customStyle="1" w:styleId="disclaimertext">
    <w:name w:val="disclaimer text"/>
    <w:basedOn w:val="NoSpacing"/>
    <w:link w:val="disclaimertextChar"/>
    <w:locked/>
    <w:rsid w:val="002D6926"/>
    <w:pPr>
      <w:spacing w:after="120" w:line="288" w:lineRule="auto"/>
    </w:pPr>
    <w:rPr>
      <w:rFonts w:ascii="Arial" w:eastAsiaTheme="minorEastAsia" w:hAnsi="Arial" w:cs="Arial"/>
      <w:sz w:val="16"/>
      <w:lang w:eastAsia="zh-CN"/>
    </w:rPr>
  </w:style>
  <w:style w:type="character" w:customStyle="1" w:styleId="disclaimertextChar">
    <w:name w:val="disclaimer text Char"/>
    <w:basedOn w:val="NoSpacingChar"/>
    <w:link w:val="disclaimertext"/>
    <w:rsid w:val="002D6926"/>
    <w:rPr>
      <w:rFonts w:ascii="Arial" w:eastAsiaTheme="minorEastAsia" w:hAnsi="Arial" w:cs="Arial"/>
      <w:sz w:val="16"/>
      <w:lang w:val="en-US" w:eastAsia="zh-CN"/>
    </w:rPr>
  </w:style>
  <w:style w:type="paragraph" w:customStyle="1" w:styleId="disclaimerheading">
    <w:name w:val="disclaimer heading"/>
    <w:basedOn w:val="Caption"/>
    <w:link w:val="disclaimerheadingChar"/>
    <w:locked/>
    <w:rsid w:val="002D6926"/>
    <w:rPr>
      <w:b w:val="0"/>
      <w:i/>
      <w:iCs/>
    </w:rPr>
  </w:style>
  <w:style w:type="character" w:customStyle="1" w:styleId="CaptionChar">
    <w:name w:val="Caption Char"/>
    <w:basedOn w:val="DefaultParagraphFont"/>
    <w:link w:val="Caption"/>
    <w:uiPriority w:val="35"/>
    <w:rsid w:val="002D6926"/>
    <w:rPr>
      <w:rFonts w:ascii="Arial" w:eastAsia="Times New Roman" w:hAnsi="Arial" w:cs="Times New Roman"/>
      <w:b/>
      <w:szCs w:val="20"/>
    </w:rPr>
  </w:style>
  <w:style w:type="character" w:customStyle="1" w:styleId="disclaimerheadingChar">
    <w:name w:val="disclaimer heading Char"/>
    <w:basedOn w:val="CaptionChar"/>
    <w:link w:val="disclaimerheading"/>
    <w:rsid w:val="002D6926"/>
    <w:rPr>
      <w:rFonts w:ascii="Arial" w:eastAsia="Times New Roman" w:hAnsi="Arial" w:cs="Times New Roman"/>
      <w:b w:val="0"/>
      <w:i/>
      <w:iCs/>
      <w:szCs w:val="20"/>
    </w:rPr>
  </w:style>
  <w:style w:type="character" w:styleId="Strong">
    <w:name w:val="Strong"/>
    <w:basedOn w:val="DefaultParagraphFont"/>
    <w:uiPriority w:val="22"/>
    <w:qFormat/>
    <w:rsid w:val="002D6926"/>
    <w:rPr>
      <w:b/>
      <w:bCs/>
    </w:rPr>
  </w:style>
  <w:style w:type="character" w:styleId="Emphasis">
    <w:name w:val="Emphasis"/>
    <w:basedOn w:val="DefaultParagraphFont"/>
    <w:uiPriority w:val="20"/>
    <w:rsid w:val="002D6926"/>
    <w:rPr>
      <w:i/>
      <w:iCs/>
    </w:rPr>
  </w:style>
  <w:style w:type="character" w:styleId="SubtleEmphasis">
    <w:name w:val="Subtle Emphasis"/>
    <w:basedOn w:val="DefaultParagraphFont"/>
    <w:uiPriority w:val="19"/>
    <w:rsid w:val="002D6926"/>
    <w:rPr>
      <w:i/>
      <w:iCs/>
      <w:color w:val="404040" w:themeColor="text1" w:themeTint="BF"/>
    </w:rPr>
  </w:style>
  <w:style w:type="character" w:styleId="IntenseEmphasis">
    <w:name w:val="Intense Emphasis"/>
    <w:basedOn w:val="DefaultParagraphFont"/>
    <w:uiPriority w:val="21"/>
    <w:rsid w:val="002D6926"/>
    <w:rPr>
      <w:i/>
      <w:iCs/>
      <w:color w:val="4F81BD" w:themeColor="accent1"/>
    </w:rPr>
  </w:style>
  <w:style w:type="character" w:styleId="SubtleReference">
    <w:name w:val="Subtle Reference"/>
    <w:basedOn w:val="DefaultParagraphFont"/>
    <w:uiPriority w:val="31"/>
    <w:rsid w:val="002D6926"/>
    <w:rPr>
      <w:smallCaps/>
      <w:color w:val="5A5A5A" w:themeColor="text1" w:themeTint="A5"/>
    </w:rPr>
  </w:style>
  <w:style w:type="character" w:styleId="IntenseReference">
    <w:name w:val="Intense Reference"/>
    <w:basedOn w:val="DefaultParagraphFont"/>
    <w:uiPriority w:val="32"/>
    <w:rsid w:val="002D6926"/>
    <w:rPr>
      <w:b/>
      <w:bCs/>
      <w:smallCaps/>
      <w:color w:val="4F81BD" w:themeColor="accent1"/>
      <w:spacing w:val="5"/>
    </w:rPr>
  </w:style>
  <w:style w:type="paragraph" w:customStyle="1" w:styleId="captionstyleheading">
    <w:name w:val="caption style heading"/>
    <w:basedOn w:val="disclaimerheading"/>
    <w:link w:val="captionstyleheadingChar"/>
    <w:locked/>
    <w:rsid w:val="002D6926"/>
  </w:style>
  <w:style w:type="character" w:customStyle="1" w:styleId="captionstyleheadingChar">
    <w:name w:val="caption style heading Char"/>
    <w:basedOn w:val="disclaimerheadingChar"/>
    <w:link w:val="captionstyleheading"/>
    <w:rsid w:val="002D6926"/>
    <w:rPr>
      <w:rFonts w:ascii="Arial" w:eastAsia="Times New Roman" w:hAnsi="Arial" w:cs="Times New Roman"/>
      <w:b w:val="0"/>
      <w:i/>
      <w:iCs/>
      <w:szCs w:val="20"/>
    </w:rPr>
  </w:style>
  <w:style w:type="paragraph" w:customStyle="1" w:styleId="titlesub">
    <w:name w:val="title sub"/>
    <w:basedOn w:val="Title"/>
    <w:link w:val="titlesubChar"/>
    <w:qFormat/>
    <w:rsid w:val="002D6926"/>
    <w:pPr>
      <w:pBdr>
        <w:bottom w:val="none" w:sz="0" w:space="0" w:color="auto"/>
      </w:pBdr>
      <w:spacing w:before="240" w:after="0"/>
    </w:pPr>
    <w:rPr>
      <w:rFonts w:ascii="Arial" w:hAnsi="Arial"/>
      <w:color w:val="E8AF10"/>
      <w:spacing w:val="22"/>
      <w:sz w:val="56"/>
      <w:szCs w:val="56"/>
      <w:lang w:eastAsia="zh-CN"/>
    </w:rPr>
  </w:style>
  <w:style w:type="paragraph" w:customStyle="1" w:styleId="titletrainingtype">
    <w:name w:val="title training type"/>
    <w:basedOn w:val="titlesub"/>
    <w:link w:val="titletrainingtypeChar"/>
    <w:qFormat/>
    <w:rsid w:val="002D6926"/>
    <w:rPr>
      <w:color w:val="948A54" w:themeColor="background2" w:themeShade="80"/>
      <w:sz w:val="44"/>
    </w:rPr>
  </w:style>
  <w:style w:type="character" w:customStyle="1" w:styleId="titlesubChar">
    <w:name w:val="title sub Char"/>
    <w:basedOn w:val="TitleChar"/>
    <w:link w:val="titlesub"/>
    <w:rsid w:val="002D6926"/>
    <w:rPr>
      <w:rFonts w:ascii="Arial" w:eastAsiaTheme="majorEastAsia" w:hAnsi="Arial" w:cstheme="majorBidi"/>
      <w:color w:val="E8AF10"/>
      <w:spacing w:val="22"/>
      <w:kern w:val="28"/>
      <w:sz w:val="56"/>
      <w:szCs w:val="56"/>
      <w:lang w:eastAsia="zh-CN"/>
    </w:rPr>
  </w:style>
  <w:style w:type="character" w:customStyle="1" w:styleId="titletrainingtypeChar">
    <w:name w:val="title training type Char"/>
    <w:basedOn w:val="titlesubChar"/>
    <w:link w:val="titletrainingtype"/>
    <w:rsid w:val="002D6926"/>
    <w:rPr>
      <w:rFonts w:ascii="Arial" w:eastAsiaTheme="majorEastAsia" w:hAnsi="Arial" w:cstheme="majorBidi"/>
      <w:color w:val="948A54" w:themeColor="background2" w:themeShade="80"/>
      <w:spacing w:val="22"/>
      <w:kern w:val="28"/>
      <w:sz w:val="44"/>
      <w:szCs w:val="56"/>
      <w:lang w:eastAsia="zh-CN"/>
    </w:rPr>
  </w:style>
  <w:style w:type="paragraph" w:customStyle="1" w:styleId="TitleItalic">
    <w:name w:val="Title Italic"/>
    <w:basedOn w:val="Title"/>
    <w:link w:val="TitleItalicChar"/>
    <w:qFormat/>
    <w:rsid w:val="002D6926"/>
    <w:pPr>
      <w:pBdr>
        <w:bottom w:val="none" w:sz="0" w:space="0" w:color="auto"/>
      </w:pBdr>
      <w:spacing w:before="240" w:after="0"/>
    </w:pPr>
    <w:rPr>
      <w:rFonts w:ascii="Arial" w:hAnsi="Arial"/>
      <w:color w:val="1F497D"/>
      <w:spacing w:val="22"/>
      <w:sz w:val="72"/>
      <w:szCs w:val="56"/>
      <w:lang w:eastAsia="zh-CN"/>
    </w:rPr>
  </w:style>
  <w:style w:type="character" w:customStyle="1" w:styleId="TitleItalicChar">
    <w:name w:val="Title Italic Char"/>
    <w:basedOn w:val="TitleChar"/>
    <w:link w:val="TitleItalic"/>
    <w:rsid w:val="002D6926"/>
    <w:rPr>
      <w:rFonts w:ascii="Arial" w:eastAsiaTheme="majorEastAsia" w:hAnsi="Arial" w:cstheme="majorBidi"/>
      <w:color w:val="1F497D"/>
      <w:spacing w:val="22"/>
      <w:kern w:val="28"/>
      <w:sz w:val="72"/>
      <w:szCs w:val="56"/>
      <w:lang w:eastAsia="zh-CN"/>
    </w:rPr>
  </w:style>
  <w:style w:type="paragraph" w:customStyle="1" w:styleId="BodyItalics">
    <w:name w:val="Body Italics"/>
    <w:basedOn w:val="Normal"/>
    <w:link w:val="BodyItalicsChar"/>
    <w:rsid w:val="002D6926"/>
    <w:pPr>
      <w:spacing w:before="240" w:after="160" w:line="259" w:lineRule="auto"/>
    </w:pPr>
    <w:rPr>
      <w:rFonts w:ascii="Arial" w:eastAsiaTheme="minorEastAsia" w:hAnsi="Arial"/>
      <w:i/>
      <w:color w:val="000000" w:themeColor="text1"/>
      <w:lang w:eastAsia="zh-CN"/>
    </w:rPr>
  </w:style>
  <w:style w:type="character" w:customStyle="1" w:styleId="BodyItalicsChar">
    <w:name w:val="Body Italics Char"/>
    <w:basedOn w:val="DefaultParagraphFont"/>
    <w:link w:val="BodyItalics"/>
    <w:rsid w:val="002D6926"/>
    <w:rPr>
      <w:rFonts w:ascii="Arial" w:eastAsiaTheme="minorEastAsia" w:hAnsi="Arial"/>
      <w:i/>
      <w:color w:val="000000" w:themeColor="text1"/>
      <w:lang w:eastAsia="zh-CN"/>
    </w:rPr>
  </w:style>
  <w:style w:type="paragraph" w:customStyle="1" w:styleId="Bulletbody">
    <w:name w:val="Bullet body"/>
    <w:basedOn w:val="ListParagraph"/>
    <w:link w:val="BulletbodyChar"/>
    <w:qFormat/>
    <w:rsid w:val="002D6926"/>
    <w:pPr>
      <w:numPr>
        <w:numId w:val="472"/>
      </w:numPr>
      <w:overflowPunct w:val="0"/>
      <w:autoSpaceDE w:val="0"/>
      <w:autoSpaceDN w:val="0"/>
      <w:adjustRightInd w:val="0"/>
      <w:spacing w:before="240" w:after="0" w:line="240" w:lineRule="auto"/>
      <w:textAlignment w:val="baseline"/>
    </w:pPr>
    <w:rPr>
      <w:rFonts w:ascii="Arial" w:eastAsiaTheme="minorEastAsia" w:hAnsi="Arial"/>
      <w:color w:val="000000" w:themeColor="text1"/>
      <w:szCs w:val="20"/>
    </w:rPr>
  </w:style>
  <w:style w:type="character" w:customStyle="1" w:styleId="BulletbodyChar">
    <w:name w:val="Bullet body Char"/>
    <w:basedOn w:val="DefaultParagraphFont"/>
    <w:link w:val="Bulletbody"/>
    <w:rsid w:val="002D6926"/>
    <w:rPr>
      <w:rFonts w:ascii="Arial" w:eastAsiaTheme="minorEastAsia" w:hAnsi="Arial"/>
      <w:color w:val="000000" w:themeColor="text1"/>
      <w:szCs w:val="20"/>
    </w:rPr>
  </w:style>
  <w:style w:type="table" w:styleId="ListTable3-Accent1">
    <w:name w:val="List Table 3 Accent 1"/>
    <w:basedOn w:val="TableNormal"/>
    <w:uiPriority w:val="48"/>
    <w:rsid w:val="002D6926"/>
    <w:pPr>
      <w:spacing w:after="0" w:line="240" w:lineRule="auto"/>
    </w:pPr>
    <w:rPr>
      <w:rFonts w:eastAsiaTheme="minorEastAsia"/>
      <w:lang w:eastAsia="zh-CN"/>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stTable3-Accent11">
    <w:name w:val="List Table 3 - Accent 11"/>
    <w:basedOn w:val="TableNormal"/>
    <w:next w:val="ListTable3-Accent1"/>
    <w:uiPriority w:val="48"/>
    <w:locked/>
    <w:rsid w:val="002D6926"/>
    <w:pPr>
      <w:spacing w:after="0" w:line="240" w:lineRule="auto"/>
    </w:pPr>
    <w:rPr>
      <w:rFonts w:eastAsiaTheme="minorEastAsia"/>
      <w:lang w:eastAsia="zh-CN"/>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styleId="FollowedHyperlink">
    <w:name w:val="FollowedHyperlink"/>
    <w:basedOn w:val="DefaultParagraphFont"/>
    <w:uiPriority w:val="99"/>
    <w:semiHidden/>
    <w:unhideWhenUsed/>
    <w:rsid w:val="002D6926"/>
    <w:rPr>
      <w:color w:val="800080" w:themeColor="followedHyperlink"/>
      <w:u w:val="single"/>
    </w:rPr>
  </w:style>
  <w:style w:type="paragraph" w:customStyle="1" w:styleId="Heading01Yellow">
    <w:name w:val="Heading01 Yellow"/>
    <w:basedOn w:val="Normal"/>
    <w:link w:val="Heading01YellowChar"/>
    <w:qFormat/>
    <w:rsid w:val="002D6926"/>
    <w:pPr>
      <w:spacing w:before="120" w:after="120" w:line="240" w:lineRule="auto"/>
    </w:pPr>
    <w:rPr>
      <w:rFonts w:ascii="Arial" w:hAnsi="Arial" w:cs="Arial"/>
      <w:noProof/>
      <w:color w:val="D8AE18"/>
      <w:sz w:val="50"/>
      <w:szCs w:val="50"/>
      <w:lang w:eastAsia="en-AU"/>
    </w:rPr>
  </w:style>
  <w:style w:type="character" w:customStyle="1" w:styleId="Heading01YellowChar">
    <w:name w:val="Heading01 Yellow Char"/>
    <w:basedOn w:val="DefaultParagraphFont"/>
    <w:link w:val="Heading01Yellow"/>
    <w:rsid w:val="002D6926"/>
    <w:rPr>
      <w:rFonts w:ascii="Arial" w:hAnsi="Arial" w:cs="Arial"/>
      <w:noProof/>
      <w:color w:val="D8AE18"/>
      <w:sz w:val="50"/>
      <w:szCs w:val="50"/>
      <w:lang w:eastAsia="en-AU"/>
    </w:rPr>
  </w:style>
  <w:style w:type="character" w:customStyle="1" w:styleId="jsgrdq">
    <w:name w:val="jsgrdq"/>
    <w:basedOn w:val="DefaultParagraphFont"/>
    <w:rsid w:val="00E9280E"/>
  </w:style>
  <w:style w:type="paragraph" w:styleId="Revision">
    <w:name w:val="Revision"/>
    <w:hidden/>
    <w:uiPriority w:val="99"/>
    <w:semiHidden/>
    <w:rsid w:val="00733DE9"/>
    <w:pPr>
      <w:spacing w:after="0" w:line="240" w:lineRule="auto"/>
    </w:pPr>
  </w:style>
  <w:style w:type="paragraph" w:customStyle="1" w:styleId="Pa6">
    <w:name w:val="Pa6"/>
    <w:basedOn w:val="Default"/>
    <w:next w:val="Default"/>
    <w:uiPriority w:val="99"/>
    <w:rsid w:val="00164C01"/>
    <w:pPr>
      <w:spacing w:line="201" w:lineRule="atLeast"/>
    </w:pPr>
    <w:rPr>
      <w:rFonts w:ascii="Larsseit Light" w:hAnsi="Larsseit Light" w:cstheme="minorBidi"/>
      <w:color w:val="auto"/>
    </w:rPr>
  </w:style>
  <w:style w:type="numbering" w:customStyle="1" w:styleId="NoList1">
    <w:name w:val="No List1"/>
    <w:next w:val="NoList"/>
    <w:uiPriority w:val="99"/>
    <w:semiHidden/>
    <w:unhideWhenUsed/>
    <w:rsid w:val="00272EB4"/>
  </w:style>
  <w:style w:type="numbering" w:customStyle="1" w:styleId="NoList2">
    <w:name w:val="No List2"/>
    <w:next w:val="NoList"/>
    <w:uiPriority w:val="99"/>
    <w:semiHidden/>
    <w:unhideWhenUsed/>
    <w:rsid w:val="00272E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6854166">
      <w:bodyDiv w:val="1"/>
      <w:marLeft w:val="0"/>
      <w:marRight w:val="0"/>
      <w:marTop w:val="0"/>
      <w:marBottom w:val="0"/>
      <w:divBdr>
        <w:top w:val="none" w:sz="0" w:space="0" w:color="auto"/>
        <w:left w:val="none" w:sz="0" w:space="0" w:color="auto"/>
        <w:bottom w:val="none" w:sz="0" w:space="0" w:color="auto"/>
        <w:right w:val="none" w:sz="0" w:space="0" w:color="auto"/>
      </w:divBdr>
    </w:div>
    <w:div w:id="1772431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99" Type="http://schemas.openxmlformats.org/officeDocument/2006/relationships/image" Target="media/image237.png"/><Relationship Id="rId303" Type="http://schemas.openxmlformats.org/officeDocument/2006/relationships/image" Target="media/image239.png"/><Relationship Id="rId21" Type="http://schemas.openxmlformats.org/officeDocument/2006/relationships/hyperlink" Target="https://www.slp.wa.gov.au/legislation/statutes.nsf/law_s34895.html" TargetMode="External"/><Relationship Id="rId42" Type="http://schemas.openxmlformats.org/officeDocument/2006/relationships/hyperlink" Target="mailto:gtuffin@eastfremantle.wa.gov.au" TargetMode="External"/><Relationship Id="rId63" Type="http://schemas.openxmlformats.org/officeDocument/2006/relationships/image" Target="media/image23.jpeg"/><Relationship Id="rId84" Type="http://schemas.openxmlformats.org/officeDocument/2006/relationships/image" Target="media/image42.png"/><Relationship Id="rId138" Type="http://schemas.openxmlformats.org/officeDocument/2006/relationships/image" Target="media/image92.png"/><Relationship Id="rId159" Type="http://schemas.openxmlformats.org/officeDocument/2006/relationships/footer" Target="footer20.xml"/><Relationship Id="rId324" Type="http://schemas.openxmlformats.org/officeDocument/2006/relationships/image" Target="media/image255.jpeg"/><Relationship Id="rId345" Type="http://schemas.openxmlformats.org/officeDocument/2006/relationships/image" Target="media/image266.png"/><Relationship Id="rId170" Type="http://schemas.openxmlformats.org/officeDocument/2006/relationships/image" Target="media/image119.wmf"/><Relationship Id="rId191" Type="http://schemas.openxmlformats.org/officeDocument/2006/relationships/image" Target="media/image140.jpeg"/><Relationship Id="rId205" Type="http://schemas.openxmlformats.org/officeDocument/2006/relationships/image" Target="media/image154.jpeg"/><Relationship Id="rId226" Type="http://schemas.openxmlformats.org/officeDocument/2006/relationships/image" Target="media/image175.wmf"/><Relationship Id="rId247" Type="http://schemas.openxmlformats.org/officeDocument/2006/relationships/image" Target="media/image194.jpeg"/><Relationship Id="rId107" Type="http://schemas.openxmlformats.org/officeDocument/2006/relationships/footer" Target="footer16.xml"/><Relationship Id="rId268" Type="http://schemas.openxmlformats.org/officeDocument/2006/relationships/image" Target="media/image213.jpeg"/><Relationship Id="rId289" Type="http://schemas.openxmlformats.org/officeDocument/2006/relationships/image" Target="media/image227.png"/><Relationship Id="rId11" Type="http://schemas.openxmlformats.org/officeDocument/2006/relationships/endnotes" Target="endnotes.xml"/><Relationship Id="rId32" Type="http://schemas.openxmlformats.org/officeDocument/2006/relationships/hyperlink" Target="mailto:gtuffin@eastfremantle.wa.gov.au" TargetMode="External"/><Relationship Id="rId53" Type="http://schemas.openxmlformats.org/officeDocument/2006/relationships/image" Target="media/image16.png"/><Relationship Id="rId74" Type="http://schemas.openxmlformats.org/officeDocument/2006/relationships/image" Target="media/image32.png"/><Relationship Id="rId128" Type="http://schemas.openxmlformats.org/officeDocument/2006/relationships/image" Target="media/image82.png"/><Relationship Id="rId149" Type="http://schemas.openxmlformats.org/officeDocument/2006/relationships/image" Target="media/image102.png"/><Relationship Id="rId314" Type="http://schemas.openxmlformats.org/officeDocument/2006/relationships/image" Target="media/image247.png"/><Relationship Id="rId335" Type="http://schemas.openxmlformats.org/officeDocument/2006/relationships/hyperlink" Target="https://www.watercorporation.com.au/-/media/WaterCorp/Documents/Help-and-advice/Waterwise-business-programs/Waterwise-council-program/Waterwise-verge-best-practice-guidelines.pdf" TargetMode="External"/><Relationship Id="rId5" Type="http://schemas.openxmlformats.org/officeDocument/2006/relationships/customXml" Target="../customXml/item5.xml"/><Relationship Id="rId95" Type="http://schemas.openxmlformats.org/officeDocument/2006/relationships/image" Target="media/image53.png"/><Relationship Id="rId160" Type="http://schemas.openxmlformats.org/officeDocument/2006/relationships/image" Target="media/image110.jpeg"/><Relationship Id="rId181" Type="http://schemas.openxmlformats.org/officeDocument/2006/relationships/image" Target="media/image130.jpeg"/><Relationship Id="rId216" Type="http://schemas.openxmlformats.org/officeDocument/2006/relationships/image" Target="media/image165.jpeg"/><Relationship Id="rId237" Type="http://schemas.openxmlformats.org/officeDocument/2006/relationships/image" Target="media/image185.jpeg"/><Relationship Id="rId258" Type="http://schemas.openxmlformats.org/officeDocument/2006/relationships/image" Target="media/image204.jpeg"/><Relationship Id="rId279" Type="http://schemas.openxmlformats.org/officeDocument/2006/relationships/image" Target="media/image223.wmf"/><Relationship Id="rId22" Type="http://schemas.openxmlformats.org/officeDocument/2006/relationships/hyperlink" Target="http://www.sro.wa.gov.au/sites/default/files/src_standard_8_-_june_2016.pdf" TargetMode="External"/><Relationship Id="rId43" Type="http://schemas.openxmlformats.org/officeDocument/2006/relationships/hyperlink" Target="mailto:gtuffin@eastfremantle.wa.gov.au" TargetMode="External"/><Relationship Id="rId64" Type="http://schemas.openxmlformats.org/officeDocument/2006/relationships/footer" Target="footer13.xml"/><Relationship Id="rId118" Type="http://schemas.openxmlformats.org/officeDocument/2006/relationships/footer" Target="footer17.xml"/><Relationship Id="rId139" Type="http://schemas.openxmlformats.org/officeDocument/2006/relationships/image" Target="media/image93.png"/><Relationship Id="rId290" Type="http://schemas.openxmlformats.org/officeDocument/2006/relationships/image" Target="media/image228.jpeg"/><Relationship Id="rId304" Type="http://schemas.openxmlformats.org/officeDocument/2006/relationships/hyperlink" Target="https://www.wa.gov.au/system/files/2021-08/PD-Clause-77H-4-Method-of-calculation.pdf" TargetMode="External"/><Relationship Id="rId325" Type="http://schemas.openxmlformats.org/officeDocument/2006/relationships/image" Target="media/image256.png"/><Relationship Id="rId346" Type="http://schemas.openxmlformats.org/officeDocument/2006/relationships/image" Target="media/image267.png"/><Relationship Id="rId85" Type="http://schemas.openxmlformats.org/officeDocument/2006/relationships/image" Target="media/image43.png"/><Relationship Id="rId150" Type="http://schemas.openxmlformats.org/officeDocument/2006/relationships/image" Target="media/image103.png"/><Relationship Id="rId171" Type="http://schemas.openxmlformats.org/officeDocument/2006/relationships/image" Target="media/image120.jpeg"/><Relationship Id="rId192" Type="http://schemas.openxmlformats.org/officeDocument/2006/relationships/image" Target="media/image141.jpeg"/><Relationship Id="rId206" Type="http://schemas.openxmlformats.org/officeDocument/2006/relationships/image" Target="media/image155.jpeg"/><Relationship Id="rId227" Type="http://schemas.openxmlformats.org/officeDocument/2006/relationships/footer" Target="footer22.xml"/><Relationship Id="rId248" Type="http://schemas.openxmlformats.org/officeDocument/2006/relationships/image" Target="media/image195.jpeg"/><Relationship Id="rId269" Type="http://schemas.openxmlformats.org/officeDocument/2006/relationships/footer" Target="footer26.xml"/><Relationship Id="rId12" Type="http://schemas.openxmlformats.org/officeDocument/2006/relationships/image" Target="media/image1.jpeg"/><Relationship Id="rId33" Type="http://schemas.openxmlformats.org/officeDocument/2006/relationships/footer" Target="footer9.xml"/><Relationship Id="rId108" Type="http://schemas.openxmlformats.org/officeDocument/2006/relationships/image" Target="media/image64.png"/><Relationship Id="rId129" Type="http://schemas.openxmlformats.org/officeDocument/2006/relationships/image" Target="media/image83.png"/><Relationship Id="rId280" Type="http://schemas.openxmlformats.org/officeDocument/2006/relationships/footer" Target="footer27.xml"/><Relationship Id="rId315" Type="http://schemas.openxmlformats.org/officeDocument/2006/relationships/footer" Target="footer33.xml"/><Relationship Id="rId336" Type="http://schemas.openxmlformats.org/officeDocument/2006/relationships/hyperlink" Target="https://www.eastfremantle.wa.gov.au/residents/sustainability-and-our-environment/verge-treatments-and-street-trees.aspx" TargetMode="External"/><Relationship Id="rId54" Type="http://schemas.openxmlformats.org/officeDocument/2006/relationships/image" Target="media/image17.jpeg"/><Relationship Id="rId75" Type="http://schemas.openxmlformats.org/officeDocument/2006/relationships/image" Target="media/image33.png"/><Relationship Id="rId96" Type="http://schemas.openxmlformats.org/officeDocument/2006/relationships/image" Target="media/image54.png"/><Relationship Id="rId140" Type="http://schemas.openxmlformats.org/officeDocument/2006/relationships/image" Target="media/image94.png"/><Relationship Id="rId161" Type="http://schemas.openxmlformats.org/officeDocument/2006/relationships/image" Target="media/image111.jpeg"/><Relationship Id="rId182" Type="http://schemas.openxmlformats.org/officeDocument/2006/relationships/image" Target="media/image131.jpeg"/><Relationship Id="rId217" Type="http://schemas.openxmlformats.org/officeDocument/2006/relationships/image" Target="media/image166.wmf"/><Relationship Id="rId6" Type="http://schemas.openxmlformats.org/officeDocument/2006/relationships/numbering" Target="numbering.xml"/><Relationship Id="rId238" Type="http://schemas.openxmlformats.org/officeDocument/2006/relationships/image" Target="media/image186.jpeg"/><Relationship Id="rId259" Type="http://schemas.openxmlformats.org/officeDocument/2006/relationships/image" Target="media/image205.jpeg"/><Relationship Id="rId23" Type="http://schemas.openxmlformats.org/officeDocument/2006/relationships/hyperlink" Target="http://sro.wa.gov.au/sites/default/files/guideline_digital_records_v2.pdf" TargetMode="External"/><Relationship Id="rId119" Type="http://schemas.openxmlformats.org/officeDocument/2006/relationships/image" Target="media/image74.png"/><Relationship Id="rId270" Type="http://schemas.openxmlformats.org/officeDocument/2006/relationships/image" Target="media/image214.jpeg"/><Relationship Id="rId291" Type="http://schemas.openxmlformats.org/officeDocument/2006/relationships/image" Target="media/image229.jpeg"/><Relationship Id="rId305" Type="http://schemas.openxmlformats.org/officeDocument/2006/relationships/image" Target="media/image240.jpeg"/><Relationship Id="rId326" Type="http://schemas.openxmlformats.org/officeDocument/2006/relationships/image" Target="media/image257.png"/><Relationship Id="rId347" Type="http://schemas.openxmlformats.org/officeDocument/2006/relationships/fontTable" Target="fontTable.xml"/><Relationship Id="rId44" Type="http://schemas.openxmlformats.org/officeDocument/2006/relationships/header" Target="header6.xml"/><Relationship Id="rId65" Type="http://schemas.openxmlformats.org/officeDocument/2006/relationships/image" Target="media/image24.png"/><Relationship Id="rId86" Type="http://schemas.openxmlformats.org/officeDocument/2006/relationships/image" Target="media/image44.png"/><Relationship Id="rId130" Type="http://schemas.openxmlformats.org/officeDocument/2006/relationships/image" Target="media/image84.png"/><Relationship Id="rId151" Type="http://schemas.openxmlformats.org/officeDocument/2006/relationships/image" Target="media/image104.png"/><Relationship Id="rId172" Type="http://schemas.openxmlformats.org/officeDocument/2006/relationships/image" Target="media/image121.jpeg"/><Relationship Id="rId193" Type="http://schemas.openxmlformats.org/officeDocument/2006/relationships/image" Target="media/image142.wmf"/><Relationship Id="rId207" Type="http://schemas.openxmlformats.org/officeDocument/2006/relationships/image" Target="media/image156.emf"/><Relationship Id="rId228" Type="http://schemas.openxmlformats.org/officeDocument/2006/relationships/image" Target="media/image176.jpeg"/><Relationship Id="rId249" Type="http://schemas.openxmlformats.org/officeDocument/2006/relationships/image" Target="media/image196.jpeg"/><Relationship Id="rId13" Type="http://schemas.openxmlformats.org/officeDocument/2006/relationships/header" Target="header1.xml"/><Relationship Id="rId109" Type="http://schemas.openxmlformats.org/officeDocument/2006/relationships/image" Target="media/image65.png"/><Relationship Id="rId260" Type="http://schemas.openxmlformats.org/officeDocument/2006/relationships/image" Target="media/image206.jpeg"/><Relationship Id="rId281" Type="http://schemas.openxmlformats.org/officeDocument/2006/relationships/footer" Target="footer28.xml"/><Relationship Id="rId316" Type="http://schemas.openxmlformats.org/officeDocument/2006/relationships/image" Target="media/image248.png"/><Relationship Id="rId337" Type="http://schemas.openxmlformats.org/officeDocument/2006/relationships/hyperlink" Target="https://www.eastfremantle.wa.gov.au/residents/sustainability-and-our-environment/verge-treatments-and-street-trees.aspx" TargetMode="External"/><Relationship Id="rId34" Type="http://schemas.openxmlformats.org/officeDocument/2006/relationships/image" Target="media/image5.jpeg"/><Relationship Id="rId55" Type="http://schemas.openxmlformats.org/officeDocument/2006/relationships/image" Target="media/image18.jpeg"/><Relationship Id="rId76" Type="http://schemas.openxmlformats.org/officeDocument/2006/relationships/image" Target="media/image34.png"/><Relationship Id="rId97" Type="http://schemas.openxmlformats.org/officeDocument/2006/relationships/image" Target="media/image55.png"/><Relationship Id="rId120" Type="http://schemas.openxmlformats.org/officeDocument/2006/relationships/footer" Target="footer18.xml"/><Relationship Id="rId141" Type="http://schemas.openxmlformats.org/officeDocument/2006/relationships/image" Target="media/image95.png"/><Relationship Id="rId7" Type="http://schemas.openxmlformats.org/officeDocument/2006/relationships/styles" Target="styles.xml"/><Relationship Id="rId162" Type="http://schemas.openxmlformats.org/officeDocument/2006/relationships/image" Target="media/image112.jpeg"/><Relationship Id="rId183" Type="http://schemas.openxmlformats.org/officeDocument/2006/relationships/image" Target="media/image132.jpeg"/><Relationship Id="rId218" Type="http://schemas.openxmlformats.org/officeDocument/2006/relationships/image" Target="media/image167.wmf"/><Relationship Id="rId239" Type="http://schemas.openxmlformats.org/officeDocument/2006/relationships/image" Target="media/image187.wmf"/><Relationship Id="rId250" Type="http://schemas.openxmlformats.org/officeDocument/2006/relationships/image" Target="media/image197.jpeg"/><Relationship Id="rId271" Type="http://schemas.openxmlformats.org/officeDocument/2006/relationships/image" Target="media/image215.jpeg"/><Relationship Id="rId292" Type="http://schemas.openxmlformats.org/officeDocument/2006/relationships/image" Target="media/image230.png"/><Relationship Id="rId306" Type="http://schemas.openxmlformats.org/officeDocument/2006/relationships/image" Target="media/image241.png"/><Relationship Id="rId24" Type="http://schemas.openxmlformats.org/officeDocument/2006/relationships/hyperlink" Target="mailto:admin@eastfremantle.wa.gov.au" TargetMode="External"/><Relationship Id="rId45" Type="http://schemas.openxmlformats.org/officeDocument/2006/relationships/image" Target="media/image8.jpeg"/><Relationship Id="rId66" Type="http://schemas.openxmlformats.org/officeDocument/2006/relationships/image" Target="media/image25.png"/><Relationship Id="rId87" Type="http://schemas.openxmlformats.org/officeDocument/2006/relationships/image" Target="media/image45.png"/><Relationship Id="rId110" Type="http://schemas.openxmlformats.org/officeDocument/2006/relationships/image" Target="media/image66.png"/><Relationship Id="rId131" Type="http://schemas.openxmlformats.org/officeDocument/2006/relationships/image" Target="media/image85.png"/><Relationship Id="rId327" Type="http://schemas.openxmlformats.org/officeDocument/2006/relationships/image" Target="media/image258.png"/><Relationship Id="rId348" Type="http://schemas.openxmlformats.org/officeDocument/2006/relationships/theme" Target="theme/theme1.xml"/><Relationship Id="rId152" Type="http://schemas.openxmlformats.org/officeDocument/2006/relationships/image" Target="media/image105.png"/><Relationship Id="rId173" Type="http://schemas.openxmlformats.org/officeDocument/2006/relationships/image" Target="media/image122.wmf"/><Relationship Id="rId194" Type="http://schemas.openxmlformats.org/officeDocument/2006/relationships/image" Target="media/image143.wmf"/><Relationship Id="rId208" Type="http://schemas.openxmlformats.org/officeDocument/2006/relationships/image" Target="media/image157.wmf"/><Relationship Id="rId229" Type="http://schemas.openxmlformats.org/officeDocument/2006/relationships/image" Target="media/image177.jpeg"/><Relationship Id="rId240" Type="http://schemas.openxmlformats.org/officeDocument/2006/relationships/footer" Target="footer23.xml"/><Relationship Id="rId261" Type="http://schemas.openxmlformats.org/officeDocument/2006/relationships/image" Target="media/image207.jpeg"/><Relationship Id="rId14" Type="http://schemas.openxmlformats.org/officeDocument/2006/relationships/header" Target="header2.xml"/><Relationship Id="rId35" Type="http://schemas.openxmlformats.org/officeDocument/2006/relationships/hyperlink" Target="https://www.legislation.wa.gov.au/legislation/statutes.nsf/law_s52479.html" TargetMode="External"/><Relationship Id="rId56" Type="http://schemas.openxmlformats.org/officeDocument/2006/relationships/image" Target="media/image19.jpeg"/><Relationship Id="rId77" Type="http://schemas.openxmlformats.org/officeDocument/2006/relationships/image" Target="media/image35.png"/><Relationship Id="rId100" Type="http://schemas.openxmlformats.org/officeDocument/2006/relationships/image" Target="media/image58.png"/><Relationship Id="rId282" Type="http://schemas.openxmlformats.org/officeDocument/2006/relationships/footer" Target="footer29.xml"/><Relationship Id="rId317" Type="http://schemas.openxmlformats.org/officeDocument/2006/relationships/image" Target="media/image249.png"/><Relationship Id="rId338" Type="http://schemas.openxmlformats.org/officeDocument/2006/relationships/hyperlink" Target="https://www.1100.com.au/" TargetMode="External"/><Relationship Id="rId8" Type="http://schemas.openxmlformats.org/officeDocument/2006/relationships/settings" Target="settings.xml"/><Relationship Id="rId98" Type="http://schemas.openxmlformats.org/officeDocument/2006/relationships/image" Target="media/image56.png"/><Relationship Id="rId121" Type="http://schemas.openxmlformats.org/officeDocument/2006/relationships/image" Target="media/image76.png"/><Relationship Id="rId142" Type="http://schemas.openxmlformats.org/officeDocument/2006/relationships/image" Target="media/image96.png"/><Relationship Id="rId163" Type="http://schemas.openxmlformats.org/officeDocument/2006/relationships/image" Target="media/image113.jpeg"/><Relationship Id="rId184" Type="http://schemas.openxmlformats.org/officeDocument/2006/relationships/image" Target="media/image133.jpeg"/><Relationship Id="rId219" Type="http://schemas.openxmlformats.org/officeDocument/2006/relationships/image" Target="media/image168.jpeg"/><Relationship Id="rId230" Type="http://schemas.openxmlformats.org/officeDocument/2006/relationships/image" Target="media/image178.jpeg"/><Relationship Id="rId251" Type="http://schemas.openxmlformats.org/officeDocument/2006/relationships/image" Target="media/image198.wmf"/><Relationship Id="rId25" Type="http://schemas.openxmlformats.org/officeDocument/2006/relationships/image" Target="media/image4.jpeg"/><Relationship Id="rId46" Type="http://schemas.openxmlformats.org/officeDocument/2006/relationships/image" Target="media/image9.png"/><Relationship Id="rId67" Type="http://schemas.openxmlformats.org/officeDocument/2006/relationships/image" Target="media/image26.emf"/><Relationship Id="rId116" Type="http://schemas.openxmlformats.org/officeDocument/2006/relationships/image" Target="media/image72.png"/><Relationship Id="rId137" Type="http://schemas.openxmlformats.org/officeDocument/2006/relationships/image" Target="media/image91.png"/><Relationship Id="rId158" Type="http://schemas.openxmlformats.org/officeDocument/2006/relationships/hyperlink" Target="http://www.legislation.gov.au" TargetMode="External"/><Relationship Id="rId272" Type="http://schemas.openxmlformats.org/officeDocument/2006/relationships/image" Target="media/image216.jpeg"/><Relationship Id="rId293" Type="http://schemas.openxmlformats.org/officeDocument/2006/relationships/image" Target="media/image231.png"/><Relationship Id="rId302" Type="http://schemas.openxmlformats.org/officeDocument/2006/relationships/footer" Target="footer30.xml"/><Relationship Id="rId307" Type="http://schemas.openxmlformats.org/officeDocument/2006/relationships/image" Target="media/image242.jpeg"/><Relationship Id="rId323" Type="http://schemas.openxmlformats.org/officeDocument/2006/relationships/image" Target="media/image254.jpeg"/><Relationship Id="rId328" Type="http://schemas.openxmlformats.org/officeDocument/2006/relationships/image" Target="media/image259.png"/><Relationship Id="rId344" Type="http://schemas.openxmlformats.org/officeDocument/2006/relationships/image" Target="media/image265.png"/><Relationship Id="rId20" Type="http://schemas.openxmlformats.org/officeDocument/2006/relationships/image" Target="media/image3.jpeg"/><Relationship Id="rId41" Type="http://schemas.openxmlformats.org/officeDocument/2006/relationships/hyperlink" Target="http://www.dlgsc.wa.gov.au" TargetMode="External"/><Relationship Id="rId62" Type="http://schemas.openxmlformats.org/officeDocument/2006/relationships/image" Target="media/image22.jpeg"/><Relationship Id="rId83" Type="http://schemas.openxmlformats.org/officeDocument/2006/relationships/image" Target="media/image41.png"/><Relationship Id="rId88" Type="http://schemas.openxmlformats.org/officeDocument/2006/relationships/image" Target="media/image46.png"/><Relationship Id="rId111" Type="http://schemas.openxmlformats.org/officeDocument/2006/relationships/image" Target="media/image67.png"/><Relationship Id="rId132" Type="http://schemas.openxmlformats.org/officeDocument/2006/relationships/image" Target="media/image86.png"/><Relationship Id="rId153" Type="http://schemas.openxmlformats.org/officeDocument/2006/relationships/image" Target="media/image106.png"/><Relationship Id="rId174" Type="http://schemas.openxmlformats.org/officeDocument/2006/relationships/image" Target="media/image123.wmf"/><Relationship Id="rId179" Type="http://schemas.openxmlformats.org/officeDocument/2006/relationships/image" Target="media/image128.wmf"/><Relationship Id="rId195" Type="http://schemas.openxmlformats.org/officeDocument/2006/relationships/image" Target="media/image144.jpeg"/><Relationship Id="rId209" Type="http://schemas.openxmlformats.org/officeDocument/2006/relationships/image" Target="media/image158.jpeg"/><Relationship Id="rId190" Type="http://schemas.openxmlformats.org/officeDocument/2006/relationships/image" Target="media/image139.wmf"/><Relationship Id="rId204" Type="http://schemas.openxmlformats.org/officeDocument/2006/relationships/image" Target="media/image153.jpeg"/><Relationship Id="rId220" Type="http://schemas.openxmlformats.org/officeDocument/2006/relationships/image" Target="media/image169.jpeg"/><Relationship Id="rId225" Type="http://schemas.openxmlformats.org/officeDocument/2006/relationships/image" Target="media/image174.wmf"/><Relationship Id="rId241" Type="http://schemas.openxmlformats.org/officeDocument/2006/relationships/image" Target="media/image188.jpeg"/><Relationship Id="rId246" Type="http://schemas.openxmlformats.org/officeDocument/2006/relationships/image" Target="media/image193.jpeg"/><Relationship Id="rId267" Type="http://schemas.openxmlformats.org/officeDocument/2006/relationships/image" Target="media/image212.jpeg"/><Relationship Id="rId288" Type="http://schemas.openxmlformats.org/officeDocument/2006/relationships/image" Target="media/image226.png"/><Relationship Id="rId15" Type="http://schemas.openxmlformats.org/officeDocument/2006/relationships/footer" Target="footer1.xml"/><Relationship Id="rId36" Type="http://schemas.openxmlformats.org/officeDocument/2006/relationships/footer" Target="footer10.xml"/><Relationship Id="rId57" Type="http://schemas.openxmlformats.org/officeDocument/2006/relationships/image" Target="media/image20.jpeg"/><Relationship Id="rId106" Type="http://schemas.openxmlformats.org/officeDocument/2006/relationships/footer" Target="footer15.xml"/><Relationship Id="rId127" Type="http://schemas.openxmlformats.org/officeDocument/2006/relationships/image" Target="media/image81.png"/><Relationship Id="rId262" Type="http://schemas.openxmlformats.org/officeDocument/2006/relationships/image" Target="media/image208.jpeg"/><Relationship Id="rId283" Type="http://schemas.openxmlformats.org/officeDocument/2006/relationships/hyperlink" Target="http://en.wikipedia.org/wiki/Natural_environment" TargetMode="External"/><Relationship Id="rId313" Type="http://schemas.openxmlformats.org/officeDocument/2006/relationships/image" Target="media/image246.png"/><Relationship Id="rId318" Type="http://schemas.openxmlformats.org/officeDocument/2006/relationships/image" Target="media/image250.jpeg"/><Relationship Id="rId339" Type="http://schemas.openxmlformats.org/officeDocument/2006/relationships/hyperlink" Target="https://www.1100.com.au/" TargetMode="External"/><Relationship Id="rId10" Type="http://schemas.openxmlformats.org/officeDocument/2006/relationships/footnotes" Target="footnotes.xml"/><Relationship Id="rId31" Type="http://schemas.openxmlformats.org/officeDocument/2006/relationships/footer" Target="footer8.xml"/><Relationship Id="rId52" Type="http://schemas.openxmlformats.org/officeDocument/2006/relationships/image" Target="media/image15.png"/><Relationship Id="rId73" Type="http://schemas.openxmlformats.org/officeDocument/2006/relationships/image" Target="media/image31.png"/><Relationship Id="rId78" Type="http://schemas.openxmlformats.org/officeDocument/2006/relationships/image" Target="media/image36.pn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77.png"/><Relationship Id="rId143" Type="http://schemas.openxmlformats.org/officeDocument/2006/relationships/image" Target="media/image97.png"/><Relationship Id="rId148" Type="http://schemas.openxmlformats.org/officeDocument/2006/relationships/image" Target="media/image101.png"/><Relationship Id="rId164" Type="http://schemas.openxmlformats.org/officeDocument/2006/relationships/image" Target="media/image114.jpeg"/><Relationship Id="rId169" Type="http://schemas.openxmlformats.org/officeDocument/2006/relationships/image" Target="media/image118.png"/><Relationship Id="rId185" Type="http://schemas.openxmlformats.org/officeDocument/2006/relationships/image" Target="media/image134.wmf"/><Relationship Id="rId334" Type="http://schemas.openxmlformats.org/officeDocument/2006/relationships/hyperlink" Target="https://www.eastfremantle.wa.gov.au/documents/522/public-places-and-local-government-property-local-law-2016"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29.wmf"/><Relationship Id="rId210" Type="http://schemas.openxmlformats.org/officeDocument/2006/relationships/image" Target="media/image159.jpeg"/><Relationship Id="rId215" Type="http://schemas.openxmlformats.org/officeDocument/2006/relationships/image" Target="media/image164.jpeg"/><Relationship Id="rId236" Type="http://schemas.openxmlformats.org/officeDocument/2006/relationships/image" Target="media/image184.jpeg"/><Relationship Id="rId257" Type="http://schemas.openxmlformats.org/officeDocument/2006/relationships/image" Target="media/image203.jpeg"/><Relationship Id="rId278" Type="http://schemas.openxmlformats.org/officeDocument/2006/relationships/image" Target="media/image222.jpeg"/><Relationship Id="rId26" Type="http://schemas.openxmlformats.org/officeDocument/2006/relationships/footer" Target="footer4.xml"/><Relationship Id="rId231" Type="http://schemas.openxmlformats.org/officeDocument/2006/relationships/image" Target="media/image179.jpeg"/><Relationship Id="rId252" Type="http://schemas.openxmlformats.org/officeDocument/2006/relationships/footer" Target="footer24.xml"/><Relationship Id="rId273" Type="http://schemas.openxmlformats.org/officeDocument/2006/relationships/image" Target="media/image217.jpeg"/><Relationship Id="rId294" Type="http://schemas.openxmlformats.org/officeDocument/2006/relationships/image" Target="media/image232.jpeg"/><Relationship Id="rId308" Type="http://schemas.openxmlformats.org/officeDocument/2006/relationships/image" Target="media/image243.png"/><Relationship Id="rId329" Type="http://schemas.openxmlformats.org/officeDocument/2006/relationships/image" Target="media/image260.jpeg"/><Relationship Id="rId47" Type="http://schemas.openxmlformats.org/officeDocument/2006/relationships/image" Target="media/image10.png"/><Relationship Id="rId68" Type="http://schemas.openxmlformats.org/officeDocument/2006/relationships/footer" Target="footer14.xml"/><Relationship Id="rId89" Type="http://schemas.openxmlformats.org/officeDocument/2006/relationships/image" Target="media/image47.png"/><Relationship Id="rId112" Type="http://schemas.openxmlformats.org/officeDocument/2006/relationships/image" Target="media/image68.png"/><Relationship Id="rId133" Type="http://schemas.openxmlformats.org/officeDocument/2006/relationships/image" Target="media/image87.png"/><Relationship Id="rId154" Type="http://schemas.openxmlformats.org/officeDocument/2006/relationships/image" Target="media/image107.png"/><Relationship Id="rId175" Type="http://schemas.openxmlformats.org/officeDocument/2006/relationships/image" Target="media/image124.wmf"/><Relationship Id="rId340" Type="http://schemas.openxmlformats.org/officeDocument/2006/relationships/hyperlink" Target="https://www.watercorporation.com.au/Waterwise/Waterwise-plants" TargetMode="External"/><Relationship Id="rId196" Type="http://schemas.openxmlformats.org/officeDocument/2006/relationships/image" Target="media/image145.jpeg"/><Relationship Id="rId200" Type="http://schemas.openxmlformats.org/officeDocument/2006/relationships/image" Target="media/image149.jpeg"/><Relationship Id="rId16" Type="http://schemas.openxmlformats.org/officeDocument/2006/relationships/footer" Target="footer2.xml"/><Relationship Id="rId221" Type="http://schemas.openxmlformats.org/officeDocument/2006/relationships/image" Target="media/image170.jpeg"/><Relationship Id="rId242" Type="http://schemas.openxmlformats.org/officeDocument/2006/relationships/image" Target="media/image189.jpeg"/><Relationship Id="rId263" Type="http://schemas.openxmlformats.org/officeDocument/2006/relationships/image" Target="media/image209.jpeg"/><Relationship Id="rId284" Type="http://schemas.openxmlformats.org/officeDocument/2006/relationships/header" Target="header7.xml"/><Relationship Id="rId319" Type="http://schemas.openxmlformats.org/officeDocument/2006/relationships/image" Target="media/image251.jpeg"/><Relationship Id="rId37" Type="http://schemas.openxmlformats.org/officeDocument/2006/relationships/footer" Target="footer11.xml"/><Relationship Id="rId58" Type="http://schemas.openxmlformats.org/officeDocument/2006/relationships/hyperlink" Target="mailto:admin@eastfremantle.wa.gov.au" TargetMode="External"/><Relationship Id="rId79" Type="http://schemas.openxmlformats.org/officeDocument/2006/relationships/image" Target="media/image37.png"/><Relationship Id="rId102" Type="http://schemas.openxmlformats.org/officeDocument/2006/relationships/image" Target="media/image60.png"/><Relationship Id="rId123" Type="http://schemas.openxmlformats.org/officeDocument/2006/relationships/footer" Target="footer19.xml"/><Relationship Id="rId144" Type="http://schemas.openxmlformats.org/officeDocument/2006/relationships/image" Target="media/image98.png"/><Relationship Id="rId330" Type="http://schemas.openxmlformats.org/officeDocument/2006/relationships/image" Target="media/image261.jpeg"/><Relationship Id="rId90" Type="http://schemas.openxmlformats.org/officeDocument/2006/relationships/image" Target="media/image48.png"/><Relationship Id="rId165" Type="http://schemas.openxmlformats.org/officeDocument/2006/relationships/image" Target="media/image115.jpeg"/><Relationship Id="rId186" Type="http://schemas.openxmlformats.org/officeDocument/2006/relationships/image" Target="media/image135.jpeg"/><Relationship Id="rId211" Type="http://schemas.openxmlformats.org/officeDocument/2006/relationships/image" Target="media/image160.jpeg"/><Relationship Id="rId232" Type="http://schemas.openxmlformats.org/officeDocument/2006/relationships/image" Target="media/image180.jpeg"/><Relationship Id="rId253" Type="http://schemas.openxmlformats.org/officeDocument/2006/relationships/image" Target="media/image199.jpeg"/><Relationship Id="rId274" Type="http://schemas.openxmlformats.org/officeDocument/2006/relationships/image" Target="media/image218.jpeg"/><Relationship Id="rId295" Type="http://schemas.openxmlformats.org/officeDocument/2006/relationships/image" Target="media/image233.png"/><Relationship Id="rId309" Type="http://schemas.openxmlformats.org/officeDocument/2006/relationships/image" Target="media/image244.png"/><Relationship Id="rId27" Type="http://schemas.openxmlformats.org/officeDocument/2006/relationships/footer" Target="footer5.xml"/><Relationship Id="rId48" Type="http://schemas.openxmlformats.org/officeDocument/2006/relationships/image" Target="media/image11.png"/><Relationship Id="rId69" Type="http://schemas.openxmlformats.org/officeDocument/2006/relationships/image" Target="media/image27.png"/><Relationship Id="rId113" Type="http://schemas.openxmlformats.org/officeDocument/2006/relationships/image" Target="media/image69.png"/><Relationship Id="rId134" Type="http://schemas.openxmlformats.org/officeDocument/2006/relationships/image" Target="media/image88.png"/><Relationship Id="rId320" Type="http://schemas.openxmlformats.org/officeDocument/2006/relationships/footer" Target="footer34.xml"/><Relationship Id="rId80" Type="http://schemas.openxmlformats.org/officeDocument/2006/relationships/image" Target="media/image38.png"/><Relationship Id="rId155" Type="http://schemas.openxmlformats.org/officeDocument/2006/relationships/image" Target="media/image108.png"/><Relationship Id="rId176" Type="http://schemas.openxmlformats.org/officeDocument/2006/relationships/image" Target="media/image125.wmf"/><Relationship Id="rId197" Type="http://schemas.openxmlformats.org/officeDocument/2006/relationships/image" Target="media/image146.jpeg"/><Relationship Id="rId341" Type="http://schemas.openxmlformats.org/officeDocument/2006/relationships/hyperlink" Target="https://www.eastfremantle.wa.gov.au/forms/verge-tree-request-form/20" TargetMode="External"/><Relationship Id="rId201" Type="http://schemas.openxmlformats.org/officeDocument/2006/relationships/image" Target="media/image150.jpeg"/><Relationship Id="rId222" Type="http://schemas.openxmlformats.org/officeDocument/2006/relationships/image" Target="media/image171.jpeg"/><Relationship Id="rId243" Type="http://schemas.openxmlformats.org/officeDocument/2006/relationships/image" Target="media/image190.jpeg"/><Relationship Id="rId264" Type="http://schemas.openxmlformats.org/officeDocument/2006/relationships/image" Target="media/image210.jpeg"/><Relationship Id="rId285" Type="http://schemas.openxmlformats.org/officeDocument/2006/relationships/header" Target="header8.xml"/><Relationship Id="rId17" Type="http://schemas.openxmlformats.org/officeDocument/2006/relationships/header" Target="header3.xml"/><Relationship Id="rId38" Type="http://schemas.openxmlformats.org/officeDocument/2006/relationships/image" Target="media/image6.jpeg"/><Relationship Id="rId59" Type="http://schemas.openxmlformats.org/officeDocument/2006/relationships/image" Target="media/image21.jpeg"/><Relationship Id="rId103" Type="http://schemas.openxmlformats.org/officeDocument/2006/relationships/image" Target="media/image61.png"/><Relationship Id="rId124" Type="http://schemas.openxmlformats.org/officeDocument/2006/relationships/image" Target="media/image78.png"/><Relationship Id="rId310" Type="http://schemas.openxmlformats.org/officeDocument/2006/relationships/footer" Target="footer31.xml"/><Relationship Id="rId70" Type="http://schemas.openxmlformats.org/officeDocument/2006/relationships/image" Target="media/image28.png"/><Relationship Id="rId91" Type="http://schemas.openxmlformats.org/officeDocument/2006/relationships/image" Target="media/image49.png"/><Relationship Id="rId145" Type="http://schemas.openxmlformats.org/officeDocument/2006/relationships/image" Target="media/image99.png"/><Relationship Id="rId166" Type="http://schemas.openxmlformats.org/officeDocument/2006/relationships/image" Target="media/image116.jpeg"/><Relationship Id="rId187" Type="http://schemas.openxmlformats.org/officeDocument/2006/relationships/image" Target="media/image136.jpeg"/><Relationship Id="rId331" Type="http://schemas.openxmlformats.org/officeDocument/2006/relationships/image" Target="media/image262.png"/><Relationship Id="rId1" Type="http://schemas.openxmlformats.org/officeDocument/2006/relationships/customXml" Target="../customXml/item1.xml"/><Relationship Id="rId212" Type="http://schemas.openxmlformats.org/officeDocument/2006/relationships/image" Target="media/image161.jpeg"/><Relationship Id="rId233" Type="http://schemas.openxmlformats.org/officeDocument/2006/relationships/image" Target="media/image181.jpeg"/><Relationship Id="rId254" Type="http://schemas.openxmlformats.org/officeDocument/2006/relationships/image" Target="media/image200.jpeg"/><Relationship Id="rId28" Type="http://schemas.openxmlformats.org/officeDocument/2006/relationships/header" Target="header4.xml"/><Relationship Id="rId49" Type="http://schemas.openxmlformats.org/officeDocument/2006/relationships/image" Target="media/image12.png"/><Relationship Id="rId114" Type="http://schemas.openxmlformats.org/officeDocument/2006/relationships/image" Target="media/image70.png"/><Relationship Id="rId275" Type="http://schemas.openxmlformats.org/officeDocument/2006/relationships/image" Target="media/image219.jpeg"/><Relationship Id="rId296" Type="http://schemas.openxmlformats.org/officeDocument/2006/relationships/image" Target="media/image234.png"/><Relationship Id="rId300" Type="http://schemas.openxmlformats.org/officeDocument/2006/relationships/image" Target="media/image238.png"/><Relationship Id="rId60" Type="http://schemas.openxmlformats.org/officeDocument/2006/relationships/footer" Target="footer12.xml"/><Relationship Id="rId81" Type="http://schemas.openxmlformats.org/officeDocument/2006/relationships/image" Target="media/image39.png"/><Relationship Id="rId135" Type="http://schemas.openxmlformats.org/officeDocument/2006/relationships/image" Target="media/image89.png"/><Relationship Id="rId156" Type="http://schemas.openxmlformats.org/officeDocument/2006/relationships/image" Target="media/image109.jpeg"/><Relationship Id="rId177" Type="http://schemas.openxmlformats.org/officeDocument/2006/relationships/image" Target="media/image126.wmf"/><Relationship Id="rId198" Type="http://schemas.openxmlformats.org/officeDocument/2006/relationships/image" Target="media/image147.jpeg"/><Relationship Id="rId321" Type="http://schemas.openxmlformats.org/officeDocument/2006/relationships/image" Target="media/image252.png"/><Relationship Id="rId342" Type="http://schemas.openxmlformats.org/officeDocument/2006/relationships/footer" Target="footer35.xml"/><Relationship Id="rId202" Type="http://schemas.openxmlformats.org/officeDocument/2006/relationships/image" Target="media/image151.jpeg"/><Relationship Id="rId223" Type="http://schemas.openxmlformats.org/officeDocument/2006/relationships/image" Target="media/image172.jpeg"/><Relationship Id="rId244" Type="http://schemas.openxmlformats.org/officeDocument/2006/relationships/image" Target="media/image191.jpeg"/><Relationship Id="rId18" Type="http://schemas.openxmlformats.org/officeDocument/2006/relationships/footer" Target="footer3.xml"/><Relationship Id="rId39" Type="http://schemas.openxmlformats.org/officeDocument/2006/relationships/header" Target="header5.xml"/><Relationship Id="rId265" Type="http://schemas.openxmlformats.org/officeDocument/2006/relationships/image" Target="media/image211.wmf"/><Relationship Id="rId286" Type="http://schemas.openxmlformats.org/officeDocument/2006/relationships/image" Target="media/image224.png"/><Relationship Id="rId50" Type="http://schemas.openxmlformats.org/officeDocument/2006/relationships/image" Target="media/image13.png"/><Relationship Id="rId104" Type="http://schemas.openxmlformats.org/officeDocument/2006/relationships/image" Target="media/image62.png"/><Relationship Id="rId125" Type="http://schemas.openxmlformats.org/officeDocument/2006/relationships/image" Target="media/image79.png"/><Relationship Id="rId146" Type="http://schemas.openxmlformats.org/officeDocument/2006/relationships/hyperlink" Target="mailto:michael.sparks@jlta.com.au" TargetMode="External"/><Relationship Id="rId167" Type="http://schemas.openxmlformats.org/officeDocument/2006/relationships/footer" Target="footer21.xml"/><Relationship Id="rId188" Type="http://schemas.openxmlformats.org/officeDocument/2006/relationships/image" Target="media/image137.wmf"/><Relationship Id="rId311" Type="http://schemas.openxmlformats.org/officeDocument/2006/relationships/image" Target="media/image245.png"/><Relationship Id="rId332" Type="http://schemas.openxmlformats.org/officeDocument/2006/relationships/image" Target="media/image263.png"/><Relationship Id="rId71" Type="http://schemas.openxmlformats.org/officeDocument/2006/relationships/image" Target="media/image29.png"/><Relationship Id="rId92" Type="http://schemas.openxmlformats.org/officeDocument/2006/relationships/image" Target="media/image50.png"/><Relationship Id="rId213" Type="http://schemas.openxmlformats.org/officeDocument/2006/relationships/image" Target="media/image162.jpeg"/><Relationship Id="rId234" Type="http://schemas.openxmlformats.org/officeDocument/2006/relationships/image" Target="media/image182.jpeg"/><Relationship Id="rId2" Type="http://schemas.openxmlformats.org/officeDocument/2006/relationships/customXml" Target="../customXml/item2.xml"/><Relationship Id="rId29" Type="http://schemas.openxmlformats.org/officeDocument/2006/relationships/footer" Target="footer6.xml"/><Relationship Id="rId255" Type="http://schemas.openxmlformats.org/officeDocument/2006/relationships/image" Target="media/image201.jpeg"/><Relationship Id="rId276" Type="http://schemas.openxmlformats.org/officeDocument/2006/relationships/image" Target="media/image220.jpeg"/><Relationship Id="rId297" Type="http://schemas.openxmlformats.org/officeDocument/2006/relationships/image" Target="media/image235.png"/><Relationship Id="rId40" Type="http://schemas.openxmlformats.org/officeDocument/2006/relationships/hyperlink" Target="http://www.eastfremantle.wa.gov.au" TargetMode="External"/><Relationship Id="rId115" Type="http://schemas.openxmlformats.org/officeDocument/2006/relationships/image" Target="media/image71.png"/><Relationship Id="rId136" Type="http://schemas.openxmlformats.org/officeDocument/2006/relationships/image" Target="media/image90.png"/><Relationship Id="rId157" Type="http://schemas.openxmlformats.org/officeDocument/2006/relationships/hyperlink" Target="http://www.legislation.wa.gov.au" TargetMode="External"/><Relationship Id="rId178" Type="http://schemas.openxmlformats.org/officeDocument/2006/relationships/image" Target="media/image127.wmf"/><Relationship Id="rId301" Type="http://schemas.openxmlformats.org/officeDocument/2006/relationships/header" Target="header9.xml"/><Relationship Id="rId322" Type="http://schemas.openxmlformats.org/officeDocument/2006/relationships/image" Target="media/image253.png"/><Relationship Id="rId343" Type="http://schemas.openxmlformats.org/officeDocument/2006/relationships/image" Target="media/image264.jpg"/><Relationship Id="rId61" Type="http://schemas.openxmlformats.org/officeDocument/2006/relationships/hyperlink" Target="https://www.eastfremantle.wa.gov.au/documents/570/waste-local-law-2017" TargetMode="External"/><Relationship Id="rId82" Type="http://schemas.openxmlformats.org/officeDocument/2006/relationships/image" Target="media/image40.png"/><Relationship Id="rId199" Type="http://schemas.openxmlformats.org/officeDocument/2006/relationships/image" Target="media/image148.jpeg"/><Relationship Id="rId203" Type="http://schemas.openxmlformats.org/officeDocument/2006/relationships/image" Target="media/image152.jpeg"/><Relationship Id="rId19" Type="http://schemas.openxmlformats.org/officeDocument/2006/relationships/image" Target="media/image2.jpeg"/><Relationship Id="rId224" Type="http://schemas.openxmlformats.org/officeDocument/2006/relationships/image" Target="media/image173.jpeg"/><Relationship Id="rId245" Type="http://schemas.openxmlformats.org/officeDocument/2006/relationships/image" Target="media/image192.jpeg"/><Relationship Id="rId266" Type="http://schemas.openxmlformats.org/officeDocument/2006/relationships/footer" Target="footer25.xml"/><Relationship Id="rId287" Type="http://schemas.openxmlformats.org/officeDocument/2006/relationships/image" Target="media/image225.jpeg"/><Relationship Id="rId30" Type="http://schemas.openxmlformats.org/officeDocument/2006/relationships/footer" Target="footer7.xml"/><Relationship Id="rId105" Type="http://schemas.openxmlformats.org/officeDocument/2006/relationships/image" Target="media/image63.png"/><Relationship Id="rId126" Type="http://schemas.openxmlformats.org/officeDocument/2006/relationships/image" Target="media/image80.png"/><Relationship Id="rId147" Type="http://schemas.openxmlformats.org/officeDocument/2006/relationships/image" Target="media/image100.png"/><Relationship Id="rId168" Type="http://schemas.openxmlformats.org/officeDocument/2006/relationships/image" Target="media/image117.jpeg"/><Relationship Id="rId312" Type="http://schemas.openxmlformats.org/officeDocument/2006/relationships/footer" Target="footer32.xml"/><Relationship Id="rId333" Type="http://schemas.openxmlformats.org/officeDocument/2006/relationships/hyperlink" Target="http://www.smartwatermark.org" TargetMode="External"/><Relationship Id="rId51" Type="http://schemas.openxmlformats.org/officeDocument/2006/relationships/image" Target="media/image14.png"/><Relationship Id="rId72" Type="http://schemas.openxmlformats.org/officeDocument/2006/relationships/image" Target="media/image30.png"/><Relationship Id="rId93" Type="http://schemas.openxmlformats.org/officeDocument/2006/relationships/image" Target="media/image51.png"/><Relationship Id="rId189" Type="http://schemas.openxmlformats.org/officeDocument/2006/relationships/image" Target="media/image138.jpeg"/><Relationship Id="rId3" Type="http://schemas.openxmlformats.org/officeDocument/2006/relationships/customXml" Target="../customXml/item3.xml"/><Relationship Id="rId214" Type="http://schemas.openxmlformats.org/officeDocument/2006/relationships/image" Target="media/image163.jpeg"/><Relationship Id="rId235" Type="http://schemas.openxmlformats.org/officeDocument/2006/relationships/image" Target="media/image183.jpeg"/><Relationship Id="rId256" Type="http://schemas.openxmlformats.org/officeDocument/2006/relationships/image" Target="media/image202.jpeg"/><Relationship Id="rId277" Type="http://schemas.openxmlformats.org/officeDocument/2006/relationships/image" Target="media/image221.jpeg"/><Relationship Id="rId298" Type="http://schemas.openxmlformats.org/officeDocument/2006/relationships/image" Target="media/image236.png"/></Relationships>
</file>

<file path=word/_rels/footer18.xml.rels><?xml version="1.0" encoding="UTF-8" standalone="yes"?>
<Relationships xmlns="http://schemas.openxmlformats.org/package/2006/relationships"><Relationship Id="rId1" Type="http://schemas.openxmlformats.org/officeDocument/2006/relationships/image" Target="media/image75.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cd087e55-8692-4f50-8578-88828ad34a78">TPQPQ2PFWPPH-817326511-256</_dlc_DocId>
    <_dlc_DocIdUrl xmlns="cd087e55-8692-4f50-8578-88828ad34a78">
      <Url>https://townofeastfremantle.sharepoint.com/sites/Controlled_Documents/Council_Policies/_layouts/15/DocIdRedir.aspx?ID=TPQPQ2PFWPPH-817326511-256</Url>
      <Description>TPQPQ2PFWPPH-817326511-256</Description>
    </_dlc_DocIdUrl>
    <Entity xmlns="f76bb202-e0ee-44b5-81bd-1165e74daad9">Town of East Fremantle</Entity>
    <Site xmlns="f76bb202-e0ee-44b5-81bd-1165e74daad9">Meetings &amp; Agendas</Site>
    <Library xmlns="f76bb202-e0ee-44b5-81bd-1165e74daad9">Council Reports</Library>
    <_dlc_DocIdPersistId xmlns="cd087e55-8692-4f50-8578-88828ad34a78" xsi:nil="true"/>
    <Document_Owner xmlns="cd087e55-8692-4f50-8578-88828ad34a78">
      <UserInfo>
        <DisplayName>Janine May</DisplayName>
        <AccountId>20</AccountId>
        <AccountType/>
      </UserInfo>
    </Document_Owner>
    <Document_Publisher xmlns="cd087e55-8692-4f50-8578-88828ad34a78">
      <UserInfo>
        <DisplayName>Janine May</DisplayName>
        <AccountId>20</AccountId>
        <AccountType/>
      </UserInfo>
    </Document_Publisher>
    <Obsolete xmlns="5ae04d3c-143d-44b1-9de7-bd4bbc3b5a14">false</Obsolete>
    <Next_Review_Due xmlns="5ae04d3c-143d-44b1-9de7-bd4bbc3b5a14" xsi:nil="true"/>
    <approval_status_previous xmlns="5ae04d3c-143d-44b1-9de7-bd4bbc3b5a14">Approved</approval_status_previous>
    <file_mapping_id xmlns="5ae04d3c-143d-44b1-9de7-bd4bbc3b5a14">256</file_mapping_id>
    <Published_Version xmlns="5ae04d3c-143d-44b1-9de7-bd4bbc3b5a14">7</Published_Version>
    <name_previous xmlns="5ae04d3c-143d-44b1-9de7-bd4bbc3b5a14">Policy Register Current.docx</name_previous>
    <Document_Approver xmlns="cd087e55-8692-4f50-8578-88828ad34a78">
      <UserInfo>
        <DisplayName>Janine May</DisplayName>
        <AccountId>20</AccountId>
        <AccountType/>
      </UserInfo>
    </Document_Approver>
    <Latest_Comment xmlns="5ae04d3c-143d-44b1-9de7-bd4bbc3b5a14">Approve</Latest_Comment>
    <Document_Type xmlns="5ae04d3c-143d-44b1-9de7-bd4bbc3b5a14">External Policy</Document_Type>
    <obsolete_previous xmlns="5ae04d3c-143d-44b1-9de7-bd4bbc3b5a14">False</obsolete_previous>
    <Approval_Status xmlns="5ae04d3c-143d-44b1-9de7-bd4bbc3b5a14">Approved</Approval_Status>
    <Business_Area xmlns="5ae04d3c-143d-44b1-9de7-bd4bbc3b5a14">Office of the CEO - Elected Members</Business_Area>
  </documentManagement>
</p:properties>
</file>

<file path=customXml/item5.xml><?xml version="1.0" encoding="utf-8"?>
<ct:contentTypeSchema xmlns:ct="http://schemas.microsoft.com/office/2006/metadata/contentType" xmlns:ma="http://schemas.microsoft.com/office/2006/metadata/properties/metaAttributes" ct:_="" ma:_="" ma:contentTypeName="Controlled Document" ma:contentTypeID="0x0101000E64A23F1383D74E9A471A69050FD18B006FD8D11DC0196C41A0486B027EE32CA4" ma:contentTypeVersion="43" ma:contentTypeDescription="" ma:contentTypeScope="" ma:versionID="8fd95a513cc2269a10d7c3eb8b3b77ac">
  <xsd:schema xmlns:xsd="http://www.w3.org/2001/XMLSchema" xmlns:xs="http://www.w3.org/2001/XMLSchema" xmlns:p="http://schemas.microsoft.com/office/2006/metadata/properties" xmlns:ns2="5ae04d3c-143d-44b1-9de7-bd4bbc3b5a14" xmlns:ns3="cd087e55-8692-4f50-8578-88828ad34a78" xmlns:ns4="f76bb202-e0ee-44b5-81bd-1165e74daad9" xmlns:ns5="5a888aab-a39a-49e3-96b1-f43396313daf" targetNamespace="http://schemas.microsoft.com/office/2006/metadata/properties" ma:root="true" ma:fieldsID="0d1e65ec53b94840ce044a37c7f5daf7" ns2:_="" ns3:_="" ns4:_="" ns5:_="">
    <xsd:import namespace="5ae04d3c-143d-44b1-9de7-bd4bbc3b5a14"/>
    <xsd:import namespace="cd087e55-8692-4f50-8578-88828ad34a78"/>
    <xsd:import namespace="f76bb202-e0ee-44b5-81bd-1165e74daad9"/>
    <xsd:import namespace="5a888aab-a39a-49e3-96b1-f43396313daf"/>
    <xsd:element name="properties">
      <xsd:complexType>
        <xsd:sequence>
          <xsd:element name="documentManagement">
            <xsd:complexType>
              <xsd:all>
                <xsd:element ref="ns2:Obsolete" minOccurs="0"/>
                <xsd:element ref="ns2:Document_Type" minOccurs="0"/>
                <xsd:element ref="ns2:Business_Area"/>
                <xsd:element ref="ns3:Document_Owner"/>
                <xsd:element ref="ns3:Document_Approver" minOccurs="0"/>
                <xsd:element ref="ns3:Document_Publisher" minOccurs="0"/>
                <xsd:element ref="ns2:Published_Version" minOccurs="0"/>
                <xsd:element ref="ns2:Next_Review_Due" minOccurs="0"/>
                <xsd:element ref="ns2:Latest_Comment" minOccurs="0"/>
                <xsd:element ref="ns2:file_mapping_id" minOccurs="0"/>
                <xsd:element ref="ns2:obsolete_previous" minOccurs="0"/>
                <xsd:element ref="ns2:name_previous" minOccurs="0"/>
                <xsd:element ref="ns2:Approval_Status" minOccurs="0"/>
                <xsd:element ref="ns2:approval_status_previous" minOccurs="0"/>
                <xsd:element ref="ns4:Entity" minOccurs="0"/>
                <xsd:element ref="ns4:Site" minOccurs="0"/>
                <xsd:element ref="ns4:Library" minOccurs="0"/>
                <xsd:element ref="ns3:_dlc_DocId" minOccurs="0"/>
                <xsd:element ref="ns3:_dlc_DocIdUrl" minOccurs="0"/>
                <xsd:element ref="ns3:_dlc_DocIdPersistId" minOccurs="0"/>
                <xsd:element ref="ns5:MediaServiceMetadata" minOccurs="0"/>
                <xsd:element ref="ns5:MediaServiceFastMetadata" minOccurs="0"/>
                <xsd:element ref="ns5:MediaServiceAutoKeyPoints" minOccurs="0"/>
                <xsd:element ref="ns5:MediaServiceObjectDetectorVersions"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e04d3c-143d-44b1-9de7-bd4bbc3b5a14" elementFormDefault="qualified">
    <xsd:import namespace="http://schemas.microsoft.com/office/2006/documentManagement/types"/>
    <xsd:import namespace="http://schemas.microsoft.com/office/infopath/2007/PartnerControls"/>
    <xsd:element name="Obsolete" ma:index="1" nillable="true" ma:displayName="Obsolete" ma:default="0" ma:internalName="Obsolete">
      <xsd:simpleType>
        <xsd:restriction base="dms:Boolean"/>
      </xsd:simpleType>
    </xsd:element>
    <xsd:element name="Document_Type" ma:index="2" nillable="true" ma:displayName="Document Type" ma:format="Dropdown" ma:hidden="true" ma:internalName="Document_Type" ma:readOnly="false">
      <xsd:simpleType>
        <xsd:restriction base="dms:Choice">
          <xsd:enumeration value="External Policy"/>
        </xsd:restriction>
      </xsd:simpleType>
    </xsd:element>
    <xsd:element name="Business_Area" ma:index="3" ma:displayName="Business Area" ma:format="Dropdown" ma:internalName="Business_Area">
      <xsd:simpleType>
        <xsd:restriction base="dms:Choice">
          <xsd:enumeration value="Community - Activities"/>
          <xsd:enumeration value="Corporate Services - Financial Management"/>
          <xsd:enumeration value="Corporate Services - Risk Management"/>
          <xsd:enumeration value="Office of the CEO - Communication &amp; Community Engagement"/>
          <xsd:enumeration value="Office of the CEO - Elected Members"/>
          <xsd:enumeration value="Office of the CEO - Human Resources"/>
          <xsd:enumeration value="Operations - Parks and Reserves"/>
          <xsd:enumeration value="Operations - Plant and Equipment"/>
          <xsd:enumeration value="Operations - Public Infrastructure"/>
          <xsd:enumeration value="Rangers Services - Animal Control"/>
          <xsd:enumeration value="Regulatory Services - Environmental Health"/>
          <xsd:enumeration value="Regulatory Services - Planning"/>
        </xsd:restriction>
      </xsd:simpleType>
    </xsd:element>
    <xsd:element name="Published_Version" ma:index="7" nillable="true" ma:displayName="Published Version" ma:decimals="1" ma:default="0" ma:hidden="true" ma:internalName="Published_Version" ma:readOnly="false">
      <xsd:simpleType>
        <xsd:restriction base="dms:Number"/>
      </xsd:simpleType>
    </xsd:element>
    <xsd:element name="Next_Review_Due" ma:index="8" nillable="true" ma:displayName="Next Review Due" ma:format="DateOnly" ma:internalName="Next_Review_Due">
      <xsd:simpleType>
        <xsd:restriction base="dms:DateTime"/>
      </xsd:simpleType>
    </xsd:element>
    <xsd:element name="Latest_Comment" ma:index="9" nillable="true" ma:displayName="Comment" ma:internalName="Latest_Comment">
      <xsd:simpleType>
        <xsd:restriction base="dms:Note">
          <xsd:maxLength value="255"/>
        </xsd:restriction>
      </xsd:simpleType>
    </xsd:element>
    <xsd:element name="file_mapping_id" ma:index="10" nillable="true" ma:displayName="file mapping id" ma:decimals="0" ma:default="0" ma:hidden="true" ma:internalName="file_mapping_id" ma:readOnly="false" ma:percentage="FALSE">
      <xsd:simpleType>
        <xsd:restriction base="dms:Number"/>
      </xsd:simpleType>
    </xsd:element>
    <xsd:element name="obsolete_previous" ma:index="11" nillable="true" ma:displayName="obsolete previous" ma:default="false" ma:hidden="true" ma:internalName="obsolete_previous" ma:readOnly="false">
      <xsd:simpleType>
        <xsd:restriction base="dms:Text">
          <xsd:maxLength value="255"/>
        </xsd:restriction>
      </xsd:simpleType>
    </xsd:element>
    <xsd:element name="name_previous" ma:index="12" nillable="true" ma:displayName="name previous" ma:hidden="true" ma:internalName="name_previous" ma:readOnly="false">
      <xsd:simpleType>
        <xsd:restriction base="dms:Text">
          <xsd:maxLength value="255"/>
        </xsd:restriction>
      </xsd:simpleType>
    </xsd:element>
    <xsd:element name="Approval_Status" ma:index="13" nillable="true" ma:displayName="Approval Status" ma:default="Draft" ma:format="Dropdown" ma:hidden="true" ma:internalName="Approval_Status" ma:readOnly="false">
      <xsd:simpleType>
        <xsd:restriction base="dms:Choice">
          <xsd:enumeration value="Draft"/>
          <xsd:enumeration value="Pending"/>
          <xsd:enumeration value="Approved"/>
          <xsd:enumeration value="Rejected"/>
        </xsd:restriction>
      </xsd:simpleType>
    </xsd:element>
    <xsd:element name="approval_status_previous" ma:index="14" nillable="true" ma:displayName="approval status previous" ma:default="Draft" ma:hidden="true" ma:internalName="approval_status_previous"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d087e55-8692-4f50-8578-88828ad34a78" elementFormDefault="qualified">
    <xsd:import namespace="http://schemas.microsoft.com/office/2006/documentManagement/types"/>
    <xsd:import namespace="http://schemas.microsoft.com/office/infopath/2007/PartnerControls"/>
    <xsd:element name="Document_Owner" ma:index="4" ma:displayName="Document Owner" ma:list="UserInfo" ma:SharePointGroup="0" ma:internalName="Document_Own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Document_Approver" ma:index="5" nillable="true" ma:displayName="Document Approver" ma:hidden="true" ma:list="UserInfo" ma:SharePointGroup="0" ma:internalName="Document_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_Publisher" ma:index="6" nillable="true" ma:displayName="Document Publisher" ma:hidden="true" ma:list="UserInfo" ma:SharePointGroup="0" ma:internalName="Document_Publish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76bb202-e0ee-44b5-81bd-1165e74daad9" elementFormDefault="qualified">
    <xsd:import namespace="http://schemas.microsoft.com/office/2006/documentManagement/types"/>
    <xsd:import namespace="http://schemas.microsoft.com/office/infopath/2007/PartnerControls"/>
    <xsd:element name="Entity" ma:index="15" nillable="true" ma:displayName="Entity" ma:default="" ma:hidden="true" ma:internalName="Entity" ma:readOnly="false">
      <xsd:simpleType>
        <xsd:restriction base="dms:Text">
          <xsd:maxLength value="255"/>
        </xsd:restriction>
      </xsd:simpleType>
    </xsd:element>
    <xsd:element name="Site" ma:index="16" nillable="true" ma:displayName="Site" ma:default="" ma:hidden="true" ma:internalName="Site" ma:readOnly="false">
      <xsd:simpleType>
        <xsd:restriction base="dms:Text">
          <xsd:maxLength value="255"/>
        </xsd:restriction>
      </xsd:simpleType>
    </xsd:element>
    <xsd:element name="Library" ma:index="17" nillable="true" ma:displayName="Library" ma:default="" ma:hidden="true" ma:internalName="Librar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a888aab-a39a-49e3-96b1-f43396313daf" elementFormDefault="qualified">
    <xsd:import namespace="http://schemas.microsoft.com/office/2006/documentManagement/types"/>
    <xsd:import namespace="http://schemas.microsoft.com/office/infopath/2007/PartnerControls"/>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DFBDA69-1C18-481F-B507-C662C821D6E0}">
  <ds:schemaRefs>
    <ds:schemaRef ds:uri="http://schemas.microsoft.com/sharepoint/v3/contenttype/forms"/>
  </ds:schemaRefs>
</ds:datastoreItem>
</file>

<file path=customXml/itemProps2.xml><?xml version="1.0" encoding="utf-8"?>
<ds:datastoreItem xmlns:ds="http://schemas.openxmlformats.org/officeDocument/2006/customXml" ds:itemID="{3D402466-AB6B-43DD-A56D-5A3C11DAAD66}">
  <ds:schemaRefs>
    <ds:schemaRef ds:uri="http://schemas.openxmlformats.org/officeDocument/2006/bibliography"/>
  </ds:schemaRefs>
</ds:datastoreItem>
</file>

<file path=customXml/itemProps3.xml><?xml version="1.0" encoding="utf-8"?>
<ds:datastoreItem xmlns:ds="http://schemas.openxmlformats.org/officeDocument/2006/customXml" ds:itemID="{C5E25FE6-73C4-4A1E-A880-1207B9284180}">
  <ds:schemaRefs>
    <ds:schemaRef ds:uri="http://schemas.microsoft.com/sharepoint/events"/>
  </ds:schemaRefs>
</ds:datastoreItem>
</file>

<file path=customXml/itemProps4.xml><?xml version="1.0" encoding="utf-8"?>
<ds:datastoreItem xmlns:ds="http://schemas.openxmlformats.org/officeDocument/2006/customXml" ds:itemID="{C487051F-77C8-4E1E-B3D1-F9169CB1F7F6}">
  <ds:schemaRefs>
    <ds:schemaRef ds:uri="http://purl.org/dc/terms/"/>
    <ds:schemaRef ds:uri="http://schemas.microsoft.com/office/2006/metadata/properties"/>
    <ds:schemaRef ds:uri="http://schemas.microsoft.com/office/2006/documentManagement/types"/>
    <ds:schemaRef ds:uri="5a888aab-a39a-49e3-96b1-f43396313daf"/>
    <ds:schemaRef ds:uri="http://purl.org/dc/elements/1.1/"/>
    <ds:schemaRef ds:uri="5ae04d3c-143d-44b1-9de7-bd4bbc3b5a14"/>
    <ds:schemaRef ds:uri="http://schemas.microsoft.com/office/infopath/2007/PartnerControls"/>
    <ds:schemaRef ds:uri="cd087e55-8692-4f50-8578-88828ad34a78"/>
    <ds:schemaRef ds:uri="http://schemas.openxmlformats.org/package/2006/metadata/core-properties"/>
    <ds:schemaRef ds:uri="f76bb202-e0ee-44b5-81bd-1165e74daad9"/>
    <ds:schemaRef ds:uri="http://www.w3.org/XML/1998/namespace"/>
    <ds:schemaRef ds:uri="http://purl.org/dc/dcmitype/"/>
  </ds:schemaRefs>
</ds:datastoreItem>
</file>

<file path=customXml/itemProps5.xml><?xml version="1.0" encoding="utf-8"?>
<ds:datastoreItem xmlns:ds="http://schemas.openxmlformats.org/officeDocument/2006/customXml" ds:itemID="{A96AD396-FD55-43D7-8899-6FC27AE401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e04d3c-143d-44b1-9de7-bd4bbc3b5a14"/>
    <ds:schemaRef ds:uri="cd087e55-8692-4f50-8578-88828ad34a78"/>
    <ds:schemaRef ds:uri="f76bb202-e0ee-44b5-81bd-1165e74daad9"/>
    <ds:schemaRef ds:uri="5a888aab-a39a-49e3-96b1-f43396313d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542</Pages>
  <Words>145476</Words>
  <Characters>829219</Characters>
  <Application>Microsoft Office Word</Application>
  <DocSecurity>0</DocSecurity>
  <Lines>6910</Lines>
  <Paragraphs>1945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Clark</dc:creator>
  <cp:keywords/>
  <dc:description/>
  <cp:lastModifiedBy>Janine May</cp:lastModifiedBy>
  <cp:revision>2</cp:revision>
  <cp:lastPrinted>2023-04-21T05:28:00Z</cp:lastPrinted>
  <dcterms:created xsi:type="dcterms:W3CDTF">2025-12-17T04:26:00Z</dcterms:created>
  <dcterms:modified xsi:type="dcterms:W3CDTF">2025-12-17T04:26:00Z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ynergySoftUID">
    <vt:lpwstr>K5AC1C100</vt:lpwstr>
  </property>
  <property fmtid="{D5CDD505-2E9C-101B-9397-08002B2CF9AE}" pid="3" name="MSIP_Label_caf8df36-fa6b-45ec-80e8-b8894357d199_Enabled">
    <vt:lpwstr>true</vt:lpwstr>
  </property>
  <property fmtid="{D5CDD505-2E9C-101B-9397-08002B2CF9AE}" pid="4" name="MSIP_Label_caf8df36-fa6b-45ec-80e8-b8894357d199_SetDate">
    <vt:lpwstr>2024-04-04T06:07:26Z</vt:lpwstr>
  </property>
  <property fmtid="{D5CDD505-2E9C-101B-9397-08002B2CF9AE}" pid="5" name="MSIP_Label_caf8df36-fa6b-45ec-80e8-b8894357d199_Method">
    <vt:lpwstr>Standard</vt:lpwstr>
  </property>
  <property fmtid="{D5CDD505-2E9C-101B-9397-08002B2CF9AE}" pid="6" name="MSIP_Label_caf8df36-fa6b-45ec-80e8-b8894357d199_Name">
    <vt:lpwstr>Town of East Fremantle Document Label</vt:lpwstr>
  </property>
  <property fmtid="{D5CDD505-2E9C-101B-9397-08002B2CF9AE}" pid="7" name="MSIP_Label_caf8df36-fa6b-45ec-80e8-b8894357d199_SiteId">
    <vt:lpwstr>a8ba7fba-d310-4e46-b262-51843ee7de14</vt:lpwstr>
  </property>
  <property fmtid="{D5CDD505-2E9C-101B-9397-08002B2CF9AE}" pid="8" name="MSIP_Label_caf8df36-fa6b-45ec-80e8-b8894357d199_ActionId">
    <vt:lpwstr>6220b02b-485d-488c-a880-38c46e45e062</vt:lpwstr>
  </property>
  <property fmtid="{D5CDD505-2E9C-101B-9397-08002B2CF9AE}" pid="9" name="MSIP_Label_caf8df36-fa6b-45ec-80e8-b8894357d199_ContentBits">
    <vt:lpwstr>0</vt:lpwstr>
  </property>
  <property fmtid="{D5CDD505-2E9C-101B-9397-08002B2CF9AE}" pid="10" name="ContentTypeId">
    <vt:lpwstr>0x0101000E64A23F1383D74E9A471A69050FD18B006FD8D11DC0196C41A0486B027EE32CA4</vt:lpwstr>
  </property>
  <property fmtid="{D5CDD505-2E9C-101B-9397-08002B2CF9AE}" pid="11" name="_dlc_DocIdItemGuid">
    <vt:lpwstr>86012e8c-2140-4136-8b07-cfc9285e79bd</vt:lpwstr>
  </property>
  <property fmtid="{D5CDD505-2E9C-101B-9397-08002B2CF9AE}" pid="12" name="document set status previous">
    <vt:lpwstr>Active</vt:lpwstr>
  </property>
  <property fmtid="{D5CDD505-2E9C-101B-9397-08002B2CF9AE}" pid="13" name="report status previous">
    <vt:lpwstr>Draft</vt:lpwstr>
  </property>
  <property fmtid="{D5CDD505-2E9C-101B-9397-08002B2CF9AE}" pid="14" name="MediaServiceImageTags">
    <vt:lpwstr/>
  </property>
</Properties>
</file>